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9D08E" w14:textId="6E82B7DA" w:rsidR="00792824" w:rsidRPr="00801DB4" w:rsidRDefault="00C35619" w:rsidP="00792824">
      <w:pPr>
        <w:pStyle w:val="Default"/>
        <w:rPr>
          <w:rFonts w:ascii="Lato" w:hAnsi="Lato"/>
          <w:sz w:val="20"/>
          <w:szCs w:val="20"/>
        </w:rPr>
      </w:pPr>
      <w:bookmarkStart w:id="0" w:name="_Toc480963967"/>
      <w:bookmarkStart w:id="1" w:name="_Toc200059"/>
      <w:r>
        <w:rPr>
          <w:noProof/>
        </w:rPr>
        <mc:AlternateContent>
          <mc:Choice Requires="wps">
            <w:drawing>
              <wp:anchor distT="0" distB="0" distL="114300" distR="114300" simplePos="0" relativeHeight="251654656" behindDoc="0" locked="0" layoutInCell="0" allowOverlap="1" wp14:anchorId="38C6EC40" wp14:editId="2FC9DF27">
                <wp:simplePos x="0" y="0"/>
                <wp:positionH relativeFrom="page">
                  <wp:posOffset>533400</wp:posOffset>
                </wp:positionH>
                <wp:positionV relativeFrom="page">
                  <wp:posOffset>552450</wp:posOffset>
                </wp:positionV>
                <wp:extent cx="6344285" cy="3609975"/>
                <wp:effectExtent l="0" t="0" r="18415" b="28575"/>
                <wp:wrapNone/>
                <wp:docPr id="8" name="Schemat blokowy: proces alternatywny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285" cy="3609975"/>
                        </a:xfrm>
                        <a:prstGeom prst="flowChartAlternateProcess">
                          <a:avLst/>
                        </a:prstGeom>
                        <a:solidFill>
                          <a:sysClr val="window" lastClr="FFFFFF"/>
                        </a:solidFill>
                        <a:ln w="25400" cap="flat" cmpd="sng" algn="ctr">
                          <a:solidFill>
                            <a:srgbClr val="4F81BD"/>
                          </a:solidFill>
                          <a:prstDash val="solid"/>
                          <a:headEnd/>
                          <a:tailEnd/>
                        </a:ln>
                        <a:effectLst/>
                      </wps:spPr>
                      <wps:txbx>
                        <w:txbxContent>
                          <w:p w14:paraId="1C68DA48" w14:textId="77777777" w:rsidR="00763345" w:rsidRDefault="00763345" w:rsidP="00792824">
                            <w:pPr>
                              <w:pStyle w:val="Bezodstpw"/>
                              <w:spacing w:before="240"/>
                              <w:jc w:val="center"/>
                              <w:rPr>
                                <w:rFonts w:ascii="Lato" w:hAnsi="Lato"/>
                                <w:b/>
                                <w:i/>
                                <w:color w:val="0070C0"/>
                                <w:sz w:val="44"/>
                                <w:szCs w:val="48"/>
                              </w:rPr>
                            </w:pPr>
                            <w:r w:rsidRPr="004C6411">
                              <w:rPr>
                                <w:rFonts w:ascii="Lato" w:hAnsi="Lato"/>
                                <w:b/>
                                <w:i/>
                                <w:color w:val="0070C0"/>
                                <w:sz w:val="44"/>
                                <w:szCs w:val="48"/>
                              </w:rPr>
                              <w:t>Ewaluacja mid-term dotycząca postępu rzeczowego RPO WZ 2014-2020 dla potrzeb przeglądu śródokresowego,</w:t>
                            </w:r>
                            <w:r>
                              <w:rPr>
                                <w:rFonts w:ascii="Lato" w:hAnsi="Lato"/>
                                <w:b/>
                                <w:i/>
                                <w:color w:val="0070C0"/>
                                <w:sz w:val="44"/>
                                <w:szCs w:val="48"/>
                              </w:rPr>
                              <w:t xml:space="preserve"> w </w:t>
                            </w:r>
                            <w:r w:rsidRPr="004C6411">
                              <w:rPr>
                                <w:rFonts w:ascii="Lato" w:hAnsi="Lato"/>
                                <w:b/>
                                <w:i/>
                                <w:color w:val="0070C0"/>
                                <w:sz w:val="44"/>
                                <w:szCs w:val="48"/>
                              </w:rPr>
                              <w:t>tym realizacji zapisów ram</w:t>
                            </w:r>
                            <w:r>
                              <w:rPr>
                                <w:rFonts w:ascii="Lato" w:hAnsi="Lato"/>
                                <w:b/>
                                <w:i/>
                                <w:color w:val="0070C0"/>
                                <w:sz w:val="44"/>
                                <w:szCs w:val="48"/>
                              </w:rPr>
                              <w:t xml:space="preserve"> i </w:t>
                            </w:r>
                            <w:r w:rsidRPr="004C6411">
                              <w:rPr>
                                <w:rFonts w:ascii="Lato" w:hAnsi="Lato"/>
                                <w:b/>
                                <w:i/>
                                <w:color w:val="0070C0"/>
                                <w:sz w:val="44"/>
                                <w:szCs w:val="48"/>
                              </w:rPr>
                              <w:t>rezerwy wykonania</w:t>
                            </w:r>
                          </w:p>
                          <w:p w14:paraId="7D8ABC11" w14:textId="77777777" w:rsidR="00763345" w:rsidRPr="00BB7EF1" w:rsidRDefault="00763345" w:rsidP="00792824">
                            <w:pPr>
                              <w:pStyle w:val="Bezodstpw"/>
                              <w:spacing w:before="240"/>
                              <w:jc w:val="center"/>
                              <w:rPr>
                                <w:rFonts w:ascii="Lato" w:hAnsi="Lato"/>
                                <w:b/>
                                <w:color w:val="0070C0"/>
                                <w:sz w:val="24"/>
                                <w:szCs w:val="26"/>
                              </w:rPr>
                            </w:pPr>
                            <w:r w:rsidRPr="0076538C">
                              <w:rPr>
                                <w:rFonts w:ascii="Lato" w:hAnsi="Lato"/>
                                <w:b/>
                                <w:i/>
                                <w:color w:val="0070C0"/>
                                <w:sz w:val="44"/>
                                <w:szCs w:val="48"/>
                              </w:rPr>
                              <w:t xml:space="preserve">Raport </w:t>
                            </w:r>
                            <w:r>
                              <w:rPr>
                                <w:rFonts w:ascii="Lato" w:hAnsi="Lato"/>
                                <w:b/>
                                <w:i/>
                                <w:color w:val="0070C0"/>
                                <w:sz w:val="44"/>
                                <w:szCs w:val="48"/>
                              </w:rPr>
                              <w:t>końcowy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6EC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38" o:spid="_x0000_s1026" type="#_x0000_t176" style="position:absolute;margin-left:42pt;margin-top:43.5pt;width:499.55pt;height:28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" o:allowincell="f" fillcolor="window" strokecolor="#4f81bd" strokeweight="2pt">
                <v:textbox inset="14.4pt,,14.4pt">
                  <w:txbxContent>
                    <w:p w14:paraId="1C68DA48" w14:textId="77777777" w:rsidR="00763345" w:rsidRDefault="00763345" w:rsidP="00792824">
                      <w:pPr>
                        <w:pStyle w:val="Bezodstpw"/>
                        <w:spacing w:before="240"/>
                        <w:jc w:val="center"/>
                        <w:rPr>
                          <w:rFonts w:ascii="Lato" w:hAnsi="Lato"/>
                          <w:b/>
                          <w:i/>
                          <w:color w:val="0070C0"/>
                          <w:sz w:val="44"/>
                          <w:szCs w:val="48"/>
                        </w:rPr>
                      </w:pPr>
                      <w:r w:rsidRPr="004C6411">
                        <w:rPr>
                          <w:rFonts w:ascii="Lato" w:hAnsi="Lato"/>
                          <w:b/>
                          <w:i/>
                          <w:color w:val="0070C0"/>
                          <w:sz w:val="44"/>
                          <w:szCs w:val="48"/>
                        </w:rPr>
                        <w:t>Ewaluacja mid-term dotycząca postępu rzeczowego RPO WZ 2014-2020 dla potrzeb przeglądu śródokresowego,</w:t>
                      </w:r>
                      <w:r>
                        <w:rPr>
                          <w:rFonts w:ascii="Lato" w:hAnsi="Lato"/>
                          <w:b/>
                          <w:i/>
                          <w:color w:val="0070C0"/>
                          <w:sz w:val="44"/>
                          <w:szCs w:val="48"/>
                        </w:rPr>
                        <w:t xml:space="preserve"> w </w:t>
                      </w:r>
                      <w:r w:rsidRPr="004C6411">
                        <w:rPr>
                          <w:rFonts w:ascii="Lato" w:hAnsi="Lato"/>
                          <w:b/>
                          <w:i/>
                          <w:color w:val="0070C0"/>
                          <w:sz w:val="44"/>
                          <w:szCs w:val="48"/>
                        </w:rPr>
                        <w:t>tym realizacji zapisów ram</w:t>
                      </w:r>
                      <w:r>
                        <w:rPr>
                          <w:rFonts w:ascii="Lato" w:hAnsi="Lato"/>
                          <w:b/>
                          <w:i/>
                          <w:color w:val="0070C0"/>
                          <w:sz w:val="44"/>
                          <w:szCs w:val="48"/>
                        </w:rPr>
                        <w:t xml:space="preserve"> i </w:t>
                      </w:r>
                      <w:r w:rsidRPr="004C6411">
                        <w:rPr>
                          <w:rFonts w:ascii="Lato" w:hAnsi="Lato"/>
                          <w:b/>
                          <w:i/>
                          <w:color w:val="0070C0"/>
                          <w:sz w:val="44"/>
                          <w:szCs w:val="48"/>
                        </w:rPr>
                        <w:t>rezerwy wykonania</w:t>
                      </w:r>
                    </w:p>
                    <w:p w14:paraId="7D8ABC11" w14:textId="77777777" w:rsidR="00763345" w:rsidRPr="00BB7EF1" w:rsidRDefault="00763345" w:rsidP="00792824">
                      <w:pPr>
                        <w:pStyle w:val="Bezodstpw"/>
                        <w:spacing w:before="240"/>
                        <w:jc w:val="center"/>
                        <w:rPr>
                          <w:rFonts w:ascii="Lato" w:hAnsi="Lato"/>
                          <w:b/>
                          <w:color w:val="0070C0"/>
                          <w:sz w:val="24"/>
                          <w:szCs w:val="26"/>
                        </w:rPr>
                      </w:pPr>
                      <w:r w:rsidRPr="0076538C">
                        <w:rPr>
                          <w:rFonts w:ascii="Lato" w:hAnsi="Lato"/>
                          <w:b/>
                          <w:i/>
                          <w:color w:val="0070C0"/>
                          <w:sz w:val="44"/>
                          <w:szCs w:val="48"/>
                        </w:rPr>
                        <w:t xml:space="preserve">Raport </w:t>
                      </w:r>
                      <w:r>
                        <w:rPr>
                          <w:rFonts w:ascii="Lato" w:hAnsi="Lato"/>
                          <w:b/>
                          <w:i/>
                          <w:color w:val="0070C0"/>
                          <w:sz w:val="44"/>
                          <w:szCs w:val="48"/>
                        </w:rPr>
                        <w:t>końcowy</w:t>
                      </w:r>
                    </w:p>
                  </w:txbxContent>
                </v:textbox>
                <w10:wrap anchorx="page" anchory="page"/>
              </v:shape>
            </w:pict>
          </mc:Fallback>
        </mc:AlternateContent>
      </w:r>
    </w:p>
    <w:p w14:paraId="0152AF68" w14:textId="77777777" w:rsidR="00792824" w:rsidRPr="00801DB4" w:rsidRDefault="00792824" w:rsidP="00792824">
      <w:pPr>
        <w:rPr>
          <w:szCs w:val="20"/>
        </w:rPr>
      </w:pPr>
    </w:p>
    <w:p w14:paraId="5C1FD7C3" w14:textId="77777777" w:rsidR="00792824" w:rsidRPr="00801DB4" w:rsidRDefault="00792824" w:rsidP="00792824">
      <w:pPr>
        <w:rPr>
          <w:szCs w:val="20"/>
        </w:rPr>
      </w:pPr>
    </w:p>
    <w:p w14:paraId="4CA52969" w14:textId="77777777" w:rsidR="00792824" w:rsidRPr="00801DB4" w:rsidRDefault="00792824" w:rsidP="00792824">
      <w:pPr>
        <w:rPr>
          <w:szCs w:val="20"/>
        </w:rPr>
      </w:pPr>
    </w:p>
    <w:p w14:paraId="773270B7" w14:textId="77777777" w:rsidR="00792824" w:rsidRPr="00801DB4" w:rsidRDefault="00792824" w:rsidP="00792824">
      <w:pPr>
        <w:rPr>
          <w:szCs w:val="20"/>
        </w:rPr>
      </w:pPr>
    </w:p>
    <w:p w14:paraId="651B18EF" w14:textId="77777777" w:rsidR="00792824" w:rsidRPr="00801DB4" w:rsidRDefault="00792824" w:rsidP="00792824">
      <w:pPr>
        <w:rPr>
          <w:szCs w:val="20"/>
        </w:rPr>
      </w:pPr>
    </w:p>
    <w:p w14:paraId="5B987DC9" w14:textId="51824C10" w:rsidR="00792824" w:rsidRPr="00801DB4" w:rsidRDefault="00C35619" w:rsidP="00792824">
      <w:pPr>
        <w:rPr>
          <w:szCs w:val="20"/>
        </w:rPr>
      </w:pPr>
      <w:r>
        <w:rPr>
          <w:noProof/>
        </w:rPr>
        <mc:AlternateContent>
          <mc:Choice Requires="wps">
            <w:drawing>
              <wp:anchor distT="0" distB="0" distL="114300" distR="114300" simplePos="0" relativeHeight="251655680" behindDoc="0" locked="0" layoutInCell="1" allowOverlap="1" wp14:anchorId="426215F0" wp14:editId="718D36F5">
                <wp:simplePos x="0" y="0"/>
                <wp:positionH relativeFrom="column">
                  <wp:posOffset>1681480</wp:posOffset>
                </wp:positionH>
                <wp:positionV relativeFrom="page">
                  <wp:posOffset>9734550</wp:posOffset>
                </wp:positionV>
                <wp:extent cx="2266950" cy="342900"/>
                <wp:effectExtent l="0" t="0" r="19050" b="1905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solidFill>
                          <a:srgbClr val="FFFFFF"/>
                        </a:solidFill>
                        <a:ln w="9525">
                          <a:solidFill>
                            <a:sysClr val="window" lastClr="FFFFFF">
                              <a:lumMod val="100000"/>
                              <a:lumOff val="0"/>
                            </a:sysClr>
                          </a:solidFill>
                          <a:miter lim="800000"/>
                          <a:headEnd/>
                          <a:tailEnd/>
                        </a:ln>
                      </wps:spPr>
                      <wps:txbx>
                        <w:txbxContent>
                          <w:p w14:paraId="00E9B6EC" w14:textId="77777777" w:rsidR="00763345" w:rsidRPr="00404DA5" w:rsidRDefault="00763345" w:rsidP="00792824">
                            <w:pPr>
                              <w:jc w:val="center"/>
                              <w:rPr>
                                <w:color w:val="365F91"/>
                              </w:rPr>
                            </w:pPr>
                            <w:r>
                              <w:rPr>
                                <w:color w:val="365F91"/>
                              </w:rPr>
                              <w:t>Kwiecień</w:t>
                            </w:r>
                            <w:r w:rsidRPr="00404DA5">
                              <w:rPr>
                                <w:color w:val="365F91"/>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215F0" id="_x0000_t202" coordsize="21600,21600" o:spt="202" path="m,l,21600r21600,l21600,xe">
                <v:stroke joinstyle="miter"/>
                <v:path gradientshapeok="t" o:connecttype="rect"/>
              </v:shapetype>
              <v:shape id="Pole tekstowe 9" o:spid="_x0000_s1027" type="#_x0000_t202" style="position:absolute;left:0;text-align:left;margin-left:132.4pt;margin-top:766.5pt;width:178.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" strokecolor="white">
                <v:textbox>
                  <w:txbxContent>
                    <w:p w14:paraId="00E9B6EC" w14:textId="77777777" w:rsidR="00763345" w:rsidRPr="00404DA5" w:rsidRDefault="00763345" w:rsidP="00792824">
                      <w:pPr>
                        <w:jc w:val="center"/>
                        <w:rPr>
                          <w:color w:val="365F91"/>
                        </w:rPr>
                      </w:pPr>
                      <w:r>
                        <w:rPr>
                          <w:color w:val="365F91"/>
                        </w:rPr>
                        <w:t>Kwiecień</w:t>
                      </w:r>
                      <w:r w:rsidRPr="00404DA5">
                        <w:rPr>
                          <w:color w:val="365F91"/>
                        </w:rPr>
                        <w:t xml:space="preserve"> 2019</w:t>
                      </w:r>
                    </w:p>
                  </w:txbxContent>
                </v:textbox>
                <w10:wrap anchory="page"/>
              </v:shape>
            </w:pict>
          </mc:Fallback>
        </mc:AlternateContent>
      </w:r>
      <w:r>
        <w:rPr>
          <w:noProof/>
        </w:rPr>
        <w:drawing>
          <wp:anchor distT="0" distB="2286" distL="114300" distR="123063" simplePos="0" relativeHeight="251656704" behindDoc="1" locked="0" layoutInCell="1" allowOverlap="1" wp14:anchorId="47F064FD" wp14:editId="65D523C8">
            <wp:simplePos x="0" y="0"/>
            <wp:positionH relativeFrom="column">
              <wp:posOffset>-271145</wp:posOffset>
            </wp:positionH>
            <wp:positionV relativeFrom="page">
              <wp:posOffset>4229100</wp:posOffset>
            </wp:positionV>
            <wp:extent cx="6251829" cy="3699383"/>
            <wp:effectExtent l="0" t="0" r="0" b="0"/>
            <wp:wrapTopAndBottom/>
            <wp:docPr id="6" name="Obraz 13" descr="C:\Users\admin\Downloads\success-208116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descr="C:\Users\admin\Downloads\success-2081167_1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1575" cy="3698875"/>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bookmarkEnd w:id="0"/>
      <w:r w:rsidR="00792824" w:rsidRPr="00801DB4">
        <w:rPr>
          <w:szCs w:val="20"/>
        </w:rPr>
        <w:br w:type="page"/>
      </w:r>
    </w:p>
    <w:p w14:paraId="041E769E" w14:textId="77777777" w:rsidR="00792824" w:rsidRPr="00801DB4" w:rsidRDefault="00792824" w:rsidP="00792824">
      <w:pPr>
        <w:rPr>
          <w:rFonts w:cs="Segoe UI"/>
          <w:b/>
          <w:bCs/>
          <w:color w:val="FF9900"/>
          <w:szCs w:val="20"/>
        </w:rPr>
      </w:pPr>
    </w:p>
    <w:p w14:paraId="1FB942C6" w14:textId="77777777" w:rsidR="00792824" w:rsidRPr="00404DA5" w:rsidRDefault="00792824" w:rsidP="00792824">
      <w:pPr>
        <w:rPr>
          <w:rFonts w:cs="Segoe UI"/>
          <w:b/>
          <w:bCs/>
          <w:color w:val="365F91"/>
          <w:szCs w:val="20"/>
        </w:rPr>
      </w:pPr>
      <w:r w:rsidRPr="00404DA5">
        <w:rPr>
          <w:rFonts w:cs="Segoe UI"/>
          <w:b/>
          <w:bCs/>
          <w:color w:val="365F91"/>
          <w:szCs w:val="20"/>
        </w:rPr>
        <w:t>Zamawiający:</w:t>
      </w:r>
      <w:r w:rsidRPr="00801DB4">
        <w:rPr>
          <w:color w:val="000000"/>
          <w:w w:val="0"/>
          <w:szCs w:val="20"/>
          <w:u w:color="000000"/>
          <w:bdr w:val="none" w:sz="0" w:space="0" w:color="000000"/>
          <w:shd w:val="clear" w:color="000000" w:fill="000000"/>
        </w:rPr>
        <w:t xml:space="preserve"> </w:t>
      </w:r>
    </w:p>
    <w:p w14:paraId="21436253" w14:textId="77777777" w:rsidR="00792824" w:rsidRPr="00801DB4" w:rsidRDefault="00792824" w:rsidP="00792824">
      <w:pPr>
        <w:contextualSpacing/>
        <w:rPr>
          <w:rFonts w:cs="Segoe UI"/>
          <w:b/>
          <w:bCs/>
          <w:szCs w:val="20"/>
        </w:rPr>
      </w:pPr>
      <w:r w:rsidRPr="00801DB4">
        <w:rPr>
          <w:rFonts w:cs="Segoe UI"/>
          <w:b/>
          <w:bCs/>
          <w:szCs w:val="20"/>
        </w:rPr>
        <w:t xml:space="preserve">Województwo Zachodniopomorskie – Urząd Marszałkowski </w:t>
      </w:r>
    </w:p>
    <w:p w14:paraId="311FCD11" w14:textId="77777777" w:rsidR="00792824" w:rsidRPr="00801DB4" w:rsidRDefault="00792824" w:rsidP="00792824">
      <w:pPr>
        <w:contextualSpacing/>
        <w:rPr>
          <w:rFonts w:cs="Segoe UI"/>
          <w:b/>
          <w:bCs/>
          <w:szCs w:val="20"/>
        </w:rPr>
      </w:pPr>
      <w:r w:rsidRPr="00801DB4">
        <w:rPr>
          <w:rFonts w:cs="Segoe UI"/>
          <w:b/>
          <w:bCs/>
          <w:szCs w:val="20"/>
        </w:rPr>
        <w:t>Województwa Zachodniopomorskiego</w:t>
      </w:r>
      <w:r w:rsidR="00E66B89">
        <w:rPr>
          <w:rFonts w:cs="Segoe UI"/>
          <w:b/>
          <w:bCs/>
          <w:szCs w:val="20"/>
        </w:rPr>
        <w:t xml:space="preserve"> w </w:t>
      </w:r>
      <w:r w:rsidRPr="00801DB4">
        <w:rPr>
          <w:rFonts w:cs="Segoe UI"/>
          <w:b/>
          <w:bCs/>
          <w:szCs w:val="20"/>
        </w:rPr>
        <w:t xml:space="preserve">Szczecinie </w:t>
      </w:r>
    </w:p>
    <w:p w14:paraId="2C0AC085" w14:textId="77777777" w:rsidR="00792824" w:rsidRPr="00801DB4" w:rsidRDefault="00792824" w:rsidP="00792824">
      <w:pPr>
        <w:contextualSpacing/>
        <w:rPr>
          <w:rFonts w:cs="Segoe UI"/>
          <w:bCs/>
          <w:szCs w:val="20"/>
        </w:rPr>
      </w:pPr>
      <w:r w:rsidRPr="00801DB4">
        <w:rPr>
          <w:rFonts w:cs="Segoe UI"/>
          <w:bCs/>
          <w:szCs w:val="20"/>
        </w:rPr>
        <w:t>ul. Korsarzy 34</w:t>
      </w:r>
    </w:p>
    <w:p w14:paraId="338882C3" w14:textId="77777777" w:rsidR="00792824" w:rsidRPr="00801DB4" w:rsidRDefault="00792824" w:rsidP="00792824">
      <w:pPr>
        <w:contextualSpacing/>
        <w:rPr>
          <w:rFonts w:cs="Segoe UI"/>
          <w:bCs/>
          <w:szCs w:val="20"/>
        </w:rPr>
      </w:pPr>
      <w:r w:rsidRPr="00801DB4">
        <w:rPr>
          <w:rFonts w:cs="Segoe UI"/>
          <w:bCs/>
          <w:szCs w:val="20"/>
        </w:rPr>
        <w:t>70-540 Szczecin</w:t>
      </w:r>
    </w:p>
    <w:p w14:paraId="170D4184" w14:textId="77777777" w:rsidR="00792824" w:rsidRPr="00801DB4" w:rsidRDefault="00792824" w:rsidP="00792824">
      <w:pPr>
        <w:contextualSpacing/>
        <w:rPr>
          <w:rFonts w:cs="Segoe UI"/>
          <w:bCs/>
          <w:szCs w:val="20"/>
        </w:rPr>
      </w:pPr>
    </w:p>
    <w:p w14:paraId="72973426" w14:textId="77777777" w:rsidR="00792824" w:rsidRPr="00801DB4" w:rsidRDefault="00792824" w:rsidP="00792824">
      <w:pPr>
        <w:rPr>
          <w:rFonts w:cs="Segoe UI"/>
          <w:bCs/>
          <w:szCs w:val="20"/>
        </w:rPr>
      </w:pPr>
    </w:p>
    <w:p w14:paraId="2DB895C9" w14:textId="77777777" w:rsidR="00792824" w:rsidRPr="00404DA5" w:rsidRDefault="00792824" w:rsidP="00792824">
      <w:pPr>
        <w:rPr>
          <w:b/>
          <w:color w:val="365F91"/>
          <w:szCs w:val="20"/>
        </w:rPr>
      </w:pPr>
    </w:p>
    <w:p w14:paraId="1D56FCCA" w14:textId="77777777" w:rsidR="00792824" w:rsidRPr="00404DA5" w:rsidRDefault="00792824" w:rsidP="00792824">
      <w:pPr>
        <w:rPr>
          <w:b/>
          <w:color w:val="365F91"/>
          <w:szCs w:val="20"/>
        </w:rPr>
      </w:pPr>
    </w:p>
    <w:p w14:paraId="2D2C90C6" w14:textId="77777777" w:rsidR="00792824" w:rsidRPr="00404DA5" w:rsidRDefault="00792824" w:rsidP="00792824">
      <w:pPr>
        <w:rPr>
          <w:b/>
          <w:color w:val="365F91"/>
          <w:szCs w:val="20"/>
        </w:rPr>
      </w:pPr>
    </w:p>
    <w:p w14:paraId="15BF0E3A" w14:textId="77777777" w:rsidR="00792824" w:rsidRPr="00404DA5" w:rsidRDefault="00792824" w:rsidP="00792824">
      <w:pPr>
        <w:rPr>
          <w:b/>
          <w:color w:val="365F91"/>
          <w:szCs w:val="20"/>
        </w:rPr>
      </w:pPr>
    </w:p>
    <w:p w14:paraId="5D918423" w14:textId="77777777" w:rsidR="00792824" w:rsidRPr="00404DA5" w:rsidRDefault="00792824" w:rsidP="00792824">
      <w:pPr>
        <w:rPr>
          <w:b/>
          <w:color w:val="365F91"/>
          <w:szCs w:val="20"/>
        </w:rPr>
      </w:pPr>
    </w:p>
    <w:p w14:paraId="32870DFB" w14:textId="77777777" w:rsidR="00792824" w:rsidRPr="00404DA5" w:rsidRDefault="00792824" w:rsidP="00792824">
      <w:pPr>
        <w:rPr>
          <w:b/>
          <w:color w:val="365F91"/>
          <w:szCs w:val="20"/>
        </w:rPr>
      </w:pPr>
    </w:p>
    <w:p w14:paraId="023012CE" w14:textId="77777777" w:rsidR="00792824" w:rsidRPr="00404DA5" w:rsidRDefault="00792824" w:rsidP="00792824">
      <w:pPr>
        <w:rPr>
          <w:b/>
          <w:color w:val="365F91"/>
          <w:szCs w:val="20"/>
        </w:rPr>
      </w:pPr>
    </w:p>
    <w:p w14:paraId="094E1A4B" w14:textId="77777777" w:rsidR="00792824" w:rsidRPr="00404DA5" w:rsidRDefault="00792824" w:rsidP="00792824">
      <w:pPr>
        <w:rPr>
          <w:b/>
          <w:color w:val="365F91"/>
          <w:szCs w:val="20"/>
        </w:rPr>
      </w:pPr>
    </w:p>
    <w:p w14:paraId="14535E3B" w14:textId="77777777" w:rsidR="00792824" w:rsidRPr="00404DA5" w:rsidRDefault="00792824" w:rsidP="00792824">
      <w:pPr>
        <w:rPr>
          <w:rFonts w:cs="Segoe UI"/>
          <w:b/>
          <w:bCs/>
          <w:color w:val="365F91"/>
          <w:szCs w:val="20"/>
        </w:rPr>
      </w:pPr>
      <w:r w:rsidRPr="00404DA5">
        <w:rPr>
          <w:rFonts w:cs="Segoe UI"/>
          <w:b/>
          <w:bCs/>
          <w:color w:val="365F91"/>
          <w:szCs w:val="20"/>
        </w:rPr>
        <w:t xml:space="preserve">Wykonawca: </w:t>
      </w:r>
    </w:p>
    <w:p w14:paraId="5D52C3A1" w14:textId="7CB546D9" w:rsidR="00792824" w:rsidRPr="00801DB4" w:rsidRDefault="00C35619" w:rsidP="00FA5A5E">
      <w:pPr>
        <w:spacing w:before="0" w:after="0"/>
        <w:rPr>
          <w:rFonts w:cs="Segoe UI"/>
          <w:bCs/>
          <w:szCs w:val="20"/>
        </w:rPr>
      </w:pPr>
      <w:r>
        <w:rPr>
          <w:noProof/>
        </w:rPr>
        <w:drawing>
          <wp:anchor distT="0" distB="0" distL="114300" distR="114300" simplePos="0" relativeHeight="251658752" behindDoc="0" locked="0" layoutInCell="1" allowOverlap="1" wp14:anchorId="6C5F1EB7" wp14:editId="4677CB0B">
            <wp:simplePos x="0" y="0"/>
            <wp:positionH relativeFrom="margin">
              <wp:posOffset>3349625</wp:posOffset>
            </wp:positionH>
            <wp:positionV relativeFrom="paragraph">
              <wp:posOffset>48895</wp:posOffset>
            </wp:positionV>
            <wp:extent cx="2108200" cy="939800"/>
            <wp:effectExtent l="0" t="0" r="6350" b="0"/>
            <wp:wrapNone/>
            <wp:docPr id="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2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82A4666" wp14:editId="1E3C9F78">
            <wp:simplePos x="0" y="0"/>
            <wp:positionH relativeFrom="margin">
              <wp:posOffset>3349625</wp:posOffset>
            </wp:positionH>
            <wp:positionV relativeFrom="paragraph">
              <wp:posOffset>48895</wp:posOffset>
            </wp:positionV>
            <wp:extent cx="2108200" cy="939800"/>
            <wp:effectExtent l="0" t="0" r="6350" b="0"/>
            <wp:wrapNone/>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2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24" w:rsidRPr="00801DB4">
        <w:rPr>
          <w:rFonts w:cs="Segoe UI"/>
          <w:bCs/>
          <w:szCs w:val="20"/>
        </w:rPr>
        <w:t>Konsorcjum:</w:t>
      </w:r>
    </w:p>
    <w:p w14:paraId="4B27F003" w14:textId="77777777" w:rsidR="00FA5A5E" w:rsidRDefault="00792824" w:rsidP="00FA5A5E">
      <w:pPr>
        <w:spacing w:before="0" w:after="0" w:line="276" w:lineRule="auto"/>
        <w:rPr>
          <w:rFonts w:cs="Segoe UI"/>
          <w:b/>
          <w:bCs/>
          <w:szCs w:val="20"/>
        </w:rPr>
      </w:pPr>
      <w:r w:rsidRPr="00801DB4">
        <w:rPr>
          <w:rFonts w:cs="Segoe UI"/>
          <w:b/>
          <w:bCs/>
          <w:szCs w:val="20"/>
        </w:rPr>
        <w:t>EVALU Sp.</w:t>
      </w:r>
      <w:r w:rsidR="00E66B89">
        <w:rPr>
          <w:rFonts w:cs="Segoe UI"/>
          <w:b/>
          <w:bCs/>
          <w:szCs w:val="20"/>
        </w:rPr>
        <w:t xml:space="preserve"> z </w:t>
      </w:r>
      <w:r w:rsidRPr="00801DB4">
        <w:rPr>
          <w:rFonts w:cs="Segoe UI"/>
          <w:b/>
          <w:bCs/>
          <w:szCs w:val="20"/>
        </w:rPr>
        <w:t xml:space="preserve">o.o. </w:t>
      </w:r>
    </w:p>
    <w:p w14:paraId="562F7044" w14:textId="77777777" w:rsidR="00FA5A5E" w:rsidRDefault="00792824" w:rsidP="00FA5A5E">
      <w:pPr>
        <w:spacing w:before="0" w:after="0" w:line="276" w:lineRule="auto"/>
        <w:rPr>
          <w:rFonts w:cs="Segoe UI"/>
          <w:bCs/>
          <w:szCs w:val="20"/>
        </w:rPr>
      </w:pPr>
      <w:r w:rsidRPr="00801DB4">
        <w:rPr>
          <w:rFonts w:cs="Segoe UI"/>
          <w:bCs/>
          <w:szCs w:val="20"/>
        </w:rPr>
        <w:t xml:space="preserve">ul. Dzika 19/23 lok. 55 </w:t>
      </w:r>
    </w:p>
    <w:p w14:paraId="74F2BDFC" w14:textId="77777777" w:rsidR="00FA5A5E" w:rsidRDefault="00FA5A5E" w:rsidP="00FA5A5E">
      <w:pPr>
        <w:spacing w:before="0" w:after="0" w:line="276" w:lineRule="auto"/>
        <w:rPr>
          <w:rFonts w:cs="Segoe UI"/>
          <w:bCs/>
          <w:szCs w:val="20"/>
        </w:rPr>
      </w:pPr>
      <w:r>
        <w:rPr>
          <w:rFonts w:cs="Segoe UI"/>
          <w:bCs/>
          <w:szCs w:val="20"/>
        </w:rPr>
        <w:t>00-172 Warszawa</w:t>
      </w:r>
    </w:p>
    <w:p w14:paraId="1F6F7239" w14:textId="77777777" w:rsidR="00FA5A5E" w:rsidRDefault="00792824" w:rsidP="00FA5A5E">
      <w:pPr>
        <w:spacing w:before="0" w:after="0" w:line="276" w:lineRule="auto"/>
        <w:rPr>
          <w:rFonts w:cs="Segoe UI"/>
          <w:bCs/>
          <w:szCs w:val="20"/>
        </w:rPr>
      </w:pPr>
      <w:r w:rsidRPr="00801DB4">
        <w:rPr>
          <w:rFonts w:cs="Segoe UI"/>
          <w:bCs/>
          <w:szCs w:val="20"/>
        </w:rPr>
        <w:t>tel.: 22 403-80-26</w:t>
      </w:r>
    </w:p>
    <w:p w14:paraId="117DA9FC" w14:textId="77777777" w:rsidR="00FA5A5E" w:rsidRDefault="00792824" w:rsidP="00FA5A5E">
      <w:pPr>
        <w:spacing w:before="0" w:after="0" w:line="276" w:lineRule="auto"/>
        <w:rPr>
          <w:rFonts w:cs="Segoe UI"/>
          <w:bCs/>
          <w:szCs w:val="20"/>
          <w:lang w:val="en-US"/>
        </w:rPr>
      </w:pPr>
      <w:r w:rsidRPr="00FA5A5E">
        <w:rPr>
          <w:rFonts w:cs="Segoe UI"/>
          <w:bCs/>
          <w:szCs w:val="20"/>
          <w:lang w:val="en-US"/>
        </w:rPr>
        <w:t>fax: 22 403-80-25</w:t>
      </w:r>
    </w:p>
    <w:p w14:paraId="1CEEE1A5" w14:textId="77777777" w:rsidR="00792824" w:rsidRPr="00FA5A5E" w:rsidRDefault="00792824" w:rsidP="00FA5A5E">
      <w:pPr>
        <w:spacing w:before="0" w:after="0" w:line="276" w:lineRule="auto"/>
        <w:rPr>
          <w:rFonts w:cs="Segoe UI"/>
          <w:bCs/>
          <w:szCs w:val="20"/>
          <w:lang w:val="en-US"/>
        </w:rPr>
      </w:pPr>
      <w:r w:rsidRPr="00FA5A5E">
        <w:rPr>
          <w:rFonts w:cs="Segoe UI"/>
          <w:bCs/>
          <w:szCs w:val="20"/>
          <w:lang w:val="en-US"/>
        </w:rPr>
        <w:t xml:space="preserve">e-mail: </w:t>
      </w:r>
      <w:hyperlink r:id="rId13" w:history="1">
        <w:r w:rsidRPr="00FA5A5E">
          <w:rPr>
            <w:rStyle w:val="Hipercze"/>
            <w:rFonts w:cs="Segoe UI"/>
            <w:bCs/>
            <w:szCs w:val="20"/>
            <w:lang w:val="en-US"/>
          </w:rPr>
          <w:t>evalu@evalu.pl</w:t>
        </w:r>
      </w:hyperlink>
      <w:r w:rsidRPr="00FA5A5E">
        <w:rPr>
          <w:rFonts w:cs="Segoe UI"/>
          <w:bCs/>
          <w:szCs w:val="20"/>
          <w:lang w:val="en-US"/>
        </w:rPr>
        <w:t xml:space="preserve"> </w:t>
      </w:r>
    </w:p>
    <w:p w14:paraId="13533A28" w14:textId="77777777" w:rsidR="00792824" w:rsidRPr="00FA5A5E" w:rsidRDefault="00792824" w:rsidP="00792824">
      <w:pPr>
        <w:rPr>
          <w:szCs w:val="20"/>
          <w:lang w:val="en-US"/>
        </w:rPr>
      </w:pPr>
    </w:p>
    <w:p w14:paraId="7AEAC162" w14:textId="79E5D9D2" w:rsidR="00792824" w:rsidRPr="00FA5A5E" w:rsidRDefault="00C35619" w:rsidP="00792824">
      <w:pPr>
        <w:rPr>
          <w:szCs w:val="20"/>
          <w:lang w:val="en-US"/>
        </w:rPr>
      </w:pPr>
      <w:r>
        <w:rPr>
          <w:noProof/>
        </w:rPr>
        <w:drawing>
          <wp:anchor distT="0" distB="0" distL="114300" distR="114300" simplePos="0" relativeHeight="251660800" behindDoc="1" locked="0" layoutInCell="1" allowOverlap="1" wp14:anchorId="28DB6A88" wp14:editId="0EC36AD3">
            <wp:simplePos x="0" y="0"/>
            <wp:positionH relativeFrom="column">
              <wp:posOffset>3351530</wp:posOffset>
            </wp:positionH>
            <wp:positionV relativeFrom="paragraph">
              <wp:posOffset>10160</wp:posOffset>
            </wp:positionV>
            <wp:extent cx="2296795" cy="1914525"/>
            <wp:effectExtent l="0" t="0" r="8255" b="9525"/>
            <wp:wrapTight wrapText="bothSides">
              <wp:wrapPolygon edited="0">
                <wp:start x="0" y="0"/>
                <wp:lineTo x="0" y="21493"/>
                <wp:lineTo x="21498" y="21493"/>
                <wp:lineTo x="21498" y="0"/>
                <wp:lineTo x="0" y="0"/>
              </wp:wrapPolygon>
            </wp:wrapTight>
            <wp:docPr id="3" name="Obraz 5" descr="Opis: C:\Users\admin\Pictures\ecorys_logo_who_we_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C:\Users\admin\Pictures\ecorys_logo_who_we_a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79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9B6ED" w14:textId="5D8B61D2" w:rsidR="00792824" w:rsidRPr="00FA5A5E" w:rsidRDefault="00C35619" w:rsidP="00792824">
      <w:pPr>
        <w:rPr>
          <w:szCs w:val="20"/>
          <w:lang w:val="en-US"/>
        </w:rPr>
      </w:pPr>
      <w:r>
        <w:rPr>
          <w:noProof/>
        </w:rPr>
        <w:drawing>
          <wp:anchor distT="0" distB="0" distL="114300" distR="114300" simplePos="0" relativeHeight="251659776" behindDoc="1" locked="0" layoutInCell="1" allowOverlap="1" wp14:anchorId="0492B515" wp14:editId="6A3A66EC">
            <wp:simplePos x="0" y="0"/>
            <wp:positionH relativeFrom="column">
              <wp:posOffset>3351530</wp:posOffset>
            </wp:positionH>
            <wp:positionV relativeFrom="paragraph">
              <wp:posOffset>10160</wp:posOffset>
            </wp:positionV>
            <wp:extent cx="2296795" cy="1914525"/>
            <wp:effectExtent l="0" t="0" r="8255" b="9525"/>
            <wp:wrapTight wrapText="bothSides">
              <wp:wrapPolygon edited="0">
                <wp:start x="0" y="0"/>
                <wp:lineTo x="0" y="21493"/>
                <wp:lineTo x="21498" y="21493"/>
                <wp:lineTo x="21498" y="0"/>
                <wp:lineTo x="0" y="0"/>
              </wp:wrapPolygon>
            </wp:wrapTight>
            <wp:docPr id="2" name="Obraz 5" descr="Opis: ecorys_logo_who_we_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ecorys_logo_who_we_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79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B7258" w14:textId="77777777" w:rsidR="00792824" w:rsidRPr="00801DB4" w:rsidRDefault="00792824" w:rsidP="00792824">
      <w:pPr>
        <w:pStyle w:val="Bezodstpw"/>
        <w:spacing w:after="240"/>
        <w:rPr>
          <w:rFonts w:ascii="Lato" w:hAnsi="Lato"/>
        </w:rPr>
      </w:pPr>
      <w:r w:rsidRPr="00801DB4">
        <w:rPr>
          <w:rFonts w:ascii="Lato" w:hAnsi="Lato"/>
          <w:b/>
        </w:rPr>
        <w:t>ECORYS Polska Sp.</w:t>
      </w:r>
      <w:r w:rsidR="00E66B89">
        <w:rPr>
          <w:rFonts w:ascii="Lato" w:hAnsi="Lato"/>
          <w:b/>
        </w:rPr>
        <w:t xml:space="preserve"> z </w:t>
      </w:r>
      <w:r w:rsidRPr="00801DB4">
        <w:rPr>
          <w:rFonts w:ascii="Lato" w:hAnsi="Lato"/>
          <w:b/>
        </w:rPr>
        <w:t>o.o.</w:t>
      </w:r>
      <w:r w:rsidRPr="00801DB4">
        <w:rPr>
          <w:rFonts w:ascii="Lato" w:hAnsi="Lato"/>
        </w:rPr>
        <w:br/>
        <w:t>ul. Solec 38 lok. 105</w:t>
      </w:r>
      <w:r w:rsidRPr="00801DB4">
        <w:rPr>
          <w:rFonts w:ascii="Lato" w:hAnsi="Lato"/>
        </w:rPr>
        <w:br/>
        <w:t>00-394 Warszawa</w:t>
      </w:r>
      <w:r w:rsidRPr="00801DB4">
        <w:rPr>
          <w:rFonts w:ascii="Lato" w:hAnsi="Lato"/>
        </w:rPr>
        <w:br/>
        <w:t>tel.: +48 22 339 36 40</w:t>
      </w:r>
      <w:r w:rsidRPr="00801DB4">
        <w:rPr>
          <w:rFonts w:ascii="Lato" w:hAnsi="Lato"/>
        </w:rPr>
        <w:br/>
        <w:t>faks: +48 22 339 36 49</w:t>
      </w:r>
      <w:r w:rsidRPr="00801DB4">
        <w:rPr>
          <w:rFonts w:ascii="Lato" w:hAnsi="Lato"/>
        </w:rPr>
        <w:br/>
        <w:t xml:space="preserve">e-mail: </w:t>
      </w:r>
      <w:hyperlink r:id="rId15" w:history="1">
        <w:r w:rsidRPr="00801DB4">
          <w:rPr>
            <w:rStyle w:val="Hipercze"/>
            <w:rFonts w:ascii="Lato" w:hAnsi="Lato"/>
          </w:rPr>
          <w:t>ecorys@ecorys.pl</w:t>
        </w:r>
      </w:hyperlink>
      <w:r w:rsidRPr="00801DB4">
        <w:rPr>
          <w:rFonts w:ascii="Lato" w:hAnsi="Lato"/>
        </w:rPr>
        <w:t xml:space="preserve"> </w:t>
      </w:r>
    </w:p>
    <w:p w14:paraId="581E8869" w14:textId="77777777" w:rsidR="00792824" w:rsidRPr="00801DB4" w:rsidRDefault="00792824" w:rsidP="00792824">
      <w:pPr>
        <w:spacing w:line="276" w:lineRule="auto"/>
        <w:rPr>
          <w:rFonts w:cs="Segoe UI"/>
          <w:bCs/>
          <w:szCs w:val="20"/>
        </w:rPr>
      </w:pPr>
      <w:r w:rsidRPr="00801DB4">
        <w:rPr>
          <w:rFonts w:cs="Segoe UI"/>
          <w:bCs/>
          <w:szCs w:val="20"/>
        </w:rPr>
        <w:br w:type="page"/>
      </w:r>
    </w:p>
    <w:p w14:paraId="26641A4F" w14:textId="77777777" w:rsidR="00792824" w:rsidRPr="00801DB4" w:rsidRDefault="00792824" w:rsidP="00D45914">
      <w:pPr>
        <w:pStyle w:val="Nagwekspisutreci"/>
      </w:pPr>
      <w:r w:rsidRPr="00801DB4">
        <w:lastRenderedPageBreak/>
        <w:t>Spis treści</w:t>
      </w:r>
    </w:p>
    <w:p w14:paraId="69520D55" w14:textId="77777777" w:rsidR="00DB385A" w:rsidRPr="005F04FC" w:rsidRDefault="00037594">
      <w:pPr>
        <w:pStyle w:val="Spistreci1"/>
        <w:tabs>
          <w:tab w:val="right" w:leader="dot" w:pos="9062"/>
        </w:tabs>
        <w:rPr>
          <w:rFonts w:ascii="Calibri" w:hAnsi="Calibri"/>
          <w:noProof/>
          <w:sz w:val="22"/>
          <w:szCs w:val="22"/>
        </w:rPr>
      </w:pPr>
      <w:r w:rsidRPr="00910AB0">
        <w:rPr>
          <w:b/>
          <w:bCs/>
          <w:sz w:val="18"/>
          <w:szCs w:val="20"/>
        </w:rPr>
        <w:fldChar w:fldCharType="begin"/>
      </w:r>
      <w:r w:rsidRPr="00910AB0">
        <w:rPr>
          <w:b/>
          <w:bCs/>
          <w:sz w:val="18"/>
          <w:szCs w:val="20"/>
        </w:rPr>
        <w:instrText xml:space="preserve"> TOC \o "1-2" \h \z \u </w:instrText>
      </w:r>
      <w:r w:rsidRPr="00910AB0">
        <w:rPr>
          <w:b/>
          <w:bCs/>
          <w:sz w:val="18"/>
          <w:szCs w:val="20"/>
        </w:rPr>
        <w:fldChar w:fldCharType="separate"/>
      </w:r>
      <w:hyperlink w:anchor="_Toc6523739" w:history="1">
        <w:r w:rsidR="00DB385A" w:rsidRPr="00B11D46">
          <w:rPr>
            <w:rStyle w:val="Hipercze"/>
            <w:noProof/>
          </w:rPr>
          <w:t>WYKAZ SKRÓTÓW</w:t>
        </w:r>
        <w:r w:rsidR="00DB385A">
          <w:rPr>
            <w:noProof/>
            <w:webHidden/>
          </w:rPr>
          <w:tab/>
        </w:r>
        <w:r w:rsidR="00DB385A">
          <w:rPr>
            <w:noProof/>
            <w:webHidden/>
          </w:rPr>
          <w:fldChar w:fldCharType="begin"/>
        </w:r>
        <w:r w:rsidR="00DB385A">
          <w:rPr>
            <w:noProof/>
            <w:webHidden/>
          </w:rPr>
          <w:instrText xml:space="preserve"> PAGEREF _Toc6523739 \h </w:instrText>
        </w:r>
        <w:r w:rsidR="00DB385A">
          <w:rPr>
            <w:noProof/>
            <w:webHidden/>
          </w:rPr>
        </w:r>
        <w:r w:rsidR="00DB385A">
          <w:rPr>
            <w:noProof/>
            <w:webHidden/>
          </w:rPr>
          <w:fldChar w:fldCharType="separate"/>
        </w:r>
        <w:r w:rsidR="00E667FD">
          <w:rPr>
            <w:noProof/>
            <w:webHidden/>
          </w:rPr>
          <w:t>5</w:t>
        </w:r>
        <w:r w:rsidR="00DB385A">
          <w:rPr>
            <w:noProof/>
            <w:webHidden/>
          </w:rPr>
          <w:fldChar w:fldCharType="end"/>
        </w:r>
      </w:hyperlink>
    </w:p>
    <w:p w14:paraId="0BD65E68" w14:textId="77777777" w:rsidR="00DB385A" w:rsidRPr="005F04FC" w:rsidRDefault="00FA14F6">
      <w:pPr>
        <w:pStyle w:val="Spistreci1"/>
        <w:tabs>
          <w:tab w:val="right" w:leader="dot" w:pos="9062"/>
        </w:tabs>
        <w:rPr>
          <w:rFonts w:ascii="Calibri" w:hAnsi="Calibri"/>
          <w:noProof/>
          <w:sz w:val="22"/>
          <w:szCs w:val="22"/>
        </w:rPr>
      </w:pPr>
      <w:hyperlink w:anchor="_Toc6523740" w:history="1">
        <w:r w:rsidR="00DB385A" w:rsidRPr="00B11D46">
          <w:rPr>
            <w:rStyle w:val="Hipercze"/>
            <w:noProof/>
          </w:rPr>
          <w:t>STRESZCZENIE</w:t>
        </w:r>
        <w:r w:rsidR="00DB385A">
          <w:rPr>
            <w:noProof/>
            <w:webHidden/>
          </w:rPr>
          <w:tab/>
        </w:r>
        <w:r w:rsidR="00DB385A">
          <w:rPr>
            <w:noProof/>
            <w:webHidden/>
          </w:rPr>
          <w:fldChar w:fldCharType="begin"/>
        </w:r>
        <w:r w:rsidR="00DB385A">
          <w:rPr>
            <w:noProof/>
            <w:webHidden/>
          </w:rPr>
          <w:instrText xml:space="preserve"> PAGEREF _Toc6523740 \h </w:instrText>
        </w:r>
        <w:r w:rsidR="00DB385A">
          <w:rPr>
            <w:noProof/>
            <w:webHidden/>
          </w:rPr>
        </w:r>
        <w:r w:rsidR="00DB385A">
          <w:rPr>
            <w:noProof/>
            <w:webHidden/>
          </w:rPr>
          <w:fldChar w:fldCharType="separate"/>
        </w:r>
        <w:r w:rsidR="00E667FD">
          <w:rPr>
            <w:noProof/>
            <w:webHidden/>
          </w:rPr>
          <w:t>9</w:t>
        </w:r>
        <w:r w:rsidR="00DB385A">
          <w:rPr>
            <w:noProof/>
            <w:webHidden/>
          </w:rPr>
          <w:fldChar w:fldCharType="end"/>
        </w:r>
      </w:hyperlink>
    </w:p>
    <w:p w14:paraId="39F07E2B" w14:textId="77777777" w:rsidR="00DB385A" w:rsidRPr="005F04FC" w:rsidRDefault="00FA14F6">
      <w:pPr>
        <w:pStyle w:val="Spistreci1"/>
        <w:tabs>
          <w:tab w:val="right" w:leader="dot" w:pos="9062"/>
        </w:tabs>
        <w:rPr>
          <w:rFonts w:ascii="Calibri" w:hAnsi="Calibri"/>
          <w:noProof/>
          <w:sz w:val="22"/>
          <w:szCs w:val="22"/>
        </w:rPr>
      </w:pPr>
      <w:hyperlink w:anchor="_Toc6523741" w:history="1">
        <w:r w:rsidR="00DB385A" w:rsidRPr="00B11D46">
          <w:rPr>
            <w:rStyle w:val="Hipercze"/>
            <w:noProof/>
            <w:lang w:val="en-US"/>
          </w:rPr>
          <w:t>SUMMARY</w:t>
        </w:r>
        <w:r w:rsidR="00DB385A">
          <w:rPr>
            <w:noProof/>
            <w:webHidden/>
          </w:rPr>
          <w:tab/>
        </w:r>
        <w:r w:rsidR="00DB385A">
          <w:rPr>
            <w:noProof/>
            <w:webHidden/>
          </w:rPr>
          <w:fldChar w:fldCharType="begin"/>
        </w:r>
        <w:r w:rsidR="00DB385A">
          <w:rPr>
            <w:noProof/>
            <w:webHidden/>
          </w:rPr>
          <w:instrText xml:space="preserve"> PAGEREF _Toc6523741 \h </w:instrText>
        </w:r>
        <w:r w:rsidR="00DB385A">
          <w:rPr>
            <w:noProof/>
            <w:webHidden/>
          </w:rPr>
        </w:r>
        <w:r w:rsidR="00DB385A">
          <w:rPr>
            <w:noProof/>
            <w:webHidden/>
          </w:rPr>
          <w:fldChar w:fldCharType="separate"/>
        </w:r>
        <w:r w:rsidR="00E667FD">
          <w:rPr>
            <w:noProof/>
            <w:webHidden/>
          </w:rPr>
          <w:t>15</w:t>
        </w:r>
        <w:r w:rsidR="00DB385A">
          <w:rPr>
            <w:noProof/>
            <w:webHidden/>
          </w:rPr>
          <w:fldChar w:fldCharType="end"/>
        </w:r>
      </w:hyperlink>
    </w:p>
    <w:p w14:paraId="5A250EE9"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42" w:history="1">
        <w:r w:rsidR="00DB385A" w:rsidRPr="00B11D46">
          <w:rPr>
            <w:rStyle w:val="Hipercze"/>
            <w:noProof/>
          </w:rPr>
          <w:t>1</w:t>
        </w:r>
        <w:r w:rsidR="00DB385A" w:rsidRPr="005F04FC">
          <w:rPr>
            <w:rFonts w:ascii="Calibri" w:hAnsi="Calibri"/>
            <w:noProof/>
            <w:sz w:val="22"/>
            <w:szCs w:val="22"/>
          </w:rPr>
          <w:tab/>
        </w:r>
        <w:r w:rsidR="00DB385A" w:rsidRPr="00B11D46">
          <w:rPr>
            <w:rStyle w:val="Hipercze"/>
            <w:noProof/>
          </w:rPr>
          <w:t>WPROWADZENIE</w:t>
        </w:r>
        <w:r w:rsidR="00DB385A">
          <w:rPr>
            <w:noProof/>
            <w:webHidden/>
          </w:rPr>
          <w:tab/>
        </w:r>
        <w:r w:rsidR="00DB385A">
          <w:rPr>
            <w:noProof/>
            <w:webHidden/>
          </w:rPr>
          <w:fldChar w:fldCharType="begin"/>
        </w:r>
        <w:r w:rsidR="00DB385A">
          <w:rPr>
            <w:noProof/>
            <w:webHidden/>
          </w:rPr>
          <w:instrText xml:space="preserve"> PAGEREF _Toc6523742 \h </w:instrText>
        </w:r>
        <w:r w:rsidR="00DB385A">
          <w:rPr>
            <w:noProof/>
            <w:webHidden/>
          </w:rPr>
        </w:r>
        <w:r w:rsidR="00DB385A">
          <w:rPr>
            <w:noProof/>
            <w:webHidden/>
          </w:rPr>
          <w:fldChar w:fldCharType="separate"/>
        </w:r>
        <w:r w:rsidR="00E667FD">
          <w:rPr>
            <w:noProof/>
            <w:webHidden/>
          </w:rPr>
          <w:t>21</w:t>
        </w:r>
        <w:r w:rsidR="00DB385A">
          <w:rPr>
            <w:noProof/>
            <w:webHidden/>
          </w:rPr>
          <w:fldChar w:fldCharType="end"/>
        </w:r>
      </w:hyperlink>
    </w:p>
    <w:p w14:paraId="5AB9F1EF"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43" w:history="1">
        <w:r w:rsidR="00DB385A" w:rsidRPr="00B11D46">
          <w:rPr>
            <w:rStyle w:val="Hipercze"/>
            <w:noProof/>
          </w:rPr>
          <w:t>2</w:t>
        </w:r>
        <w:r w:rsidR="00DB385A" w:rsidRPr="005F04FC">
          <w:rPr>
            <w:rFonts w:ascii="Calibri" w:hAnsi="Calibri"/>
            <w:noProof/>
            <w:sz w:val="22"/>
            <w:szCs w:val="22"/>
          </w:rPr>
          <w:tab/>
        </w:r>
        <w:r w:rsidR="00DB385A" w:rsidRPr="00B11D46">
          <w:rPr>
            <w:rStyle w:val="Hipercze"/>
            <w:noProof/>
          </w:rPr>
          <w:t>KONCEPCJA ORAZ METODOLOGIA BADANIA</w:t>
        </w:r>
        <w:r w:rsidR="00DB385A">
          <w:rPr>
            <w:noProof/>
            <w:webHidden/>
          </w:rPr>
          <w:tab/>
        </w:r>
        <w:r w:rsidR="00DB385A">
          <w:rPr>
            <w:noProof/>
            <w:webHidden/>
          </w:rPr>
          <w:fldChar w:fldCharType="begin"/>
        </w:r>
        <w:r w:rsidR="00DB385A">
          <w:rPr>
            <w:noProof/>
            <w:webHidden/>
          </w:rPr>
          <w:instrText xml:space="preserve"> PAGEREF _Toc6523743 \h </w:instrText>
        </w:r>
        <w:r w:rsidR="00DB385A">
          <w:rPr>
            <w:noProof/>
            <w:webHidden/>
          </w:rPr>
        </w:r>
        <w:r w:rsidR="00DB385A">
          <w:rPr>
            <w:noProof/>
            <w:webHidden/>
          </w:rPr>
          <w:fldChar w:fldCharType="separate"/>
        </w:r>
        <w:r w:rsidR="00E667FD">
          <w:rPr>
            <w:noProof/>
            <w:webHidden/>
          </w:rPr>
          <w:t>24</w:t>
        </w:r>
        <w:r w:rsidR="00DB385A">
          <w:rPr>
            <w:noProof/>
            <w:webHidden/>
          </w:rPr>
          <w:fldChar w:fldCharType="end"/>
        </w:r>
      </w:hyperlink>
    </w:p>
    <w:p w14:paraId="2A83503E"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44" w:history="1">
        <w:r w:rsidR="00DB385A" w:rsidRPr="00B11D46">
          <w:rPr>
            <w:rStyle w:val="Hipercze"/>
            <w:noProof/>
          </w:rPr>
          <w:t>3</w:t>
        </w:r>
        <w:r w:rsidR="00DB385A" w:rsidRPr="005F04FC">
          <w:rPr>
            <w:rFonts w:ascii="Calibri" w:hAnsi="Calibri"/>
            <w:noProof/>
            <w:sz w:val="22"/>
            <w:szCs w:val="22"/>
          </w:rPr>
          <w:tab/>
        </w:r>
        <w:r w:rsidR="00DB385A" w:rsidRPr="00B11D46">
          <w:rPr>
            <w:rStyle w:val="Hipercze"/>
            <w:noProof/>
          </w:rPr>
          <w:t>OCENA POSTĘPU RZECZOWEGO I FINANSOWEGO REGIONALNEGO PROGRAMU OPERACYJNEGO WOJEWÓDZTWA ZACHODNIOPOMORSKIEGO 2014-2020 NA POZIOMIE OSI I PRIORYTETÓW INWESTYCYJNYCH</w:t>
        </w:r>
        <w:r w:rsidR="00DB385A">
          <w:rPr>
            <w:noProof/>
            <w:webHidden/>
          </w:rPr>
          <w:tab/>
        </w:r>
        <w:r w:rsidR="00DB385A">
          <w:rPr>
            <w:noProof/>
            <w:webHidden/>
          </w:rPr>
          <w:fldChar w:fldCharType="begin"/>
        </w:r>
        <w:r w:rsidR="00DB385A">
          <w:rPr>
            <w:noProof/>
            <w:webHidden/>
          </w:rPr>
          <w:instrText xml:space="preserve"> PAGEREF _Toc6523744 \h </w:instrText>
        </w:r>
        <w:r w:rsidR="00DB385A">
          <w:rPr>
            <w:noProof/>
            <w:webHidden/>
          </w:rPr>
        </w:r>
        <w:r w:rsidR="00DB385A">
          <w:rPr>
            <w:noProof/>
            <w:webHidden/>
          </w:rPr>
          <w:fldChar w:fldCharType="separate"/>
        </w:r>
        <w:r w:rsidR="00E667FD">
          <w:rPr>
            <w:noProof/>
            <w:webHidden/>
          </w:rPr>
          <w:t>32</w:t>
        </w:r>
        <w:r w:rsidR="00DB385A">
          <w:rPr>
            <w:noProof/>
            <w:webHidden/>
          </w:rPr>
          <w:fldChar w:fldCharType="end"/>
        </w:r>
      </w:hyperlink>
    </w:p>
    <w:p w14:paraId="0AAA1C04"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45" w:history="1">
        <w:r w:rsidR="00DB385A" w:rsidRPr="00B11D46">
          <w:rPr>
            <w:rStyle w:val="Hipercze"/>
            <w:noProof/>
          </w:rPr>
          <w:t>3.1</w:t>
        </w:r>
        <w:r w:rsidR="00DB385A" w:rsidRPr="005F04FC">
          <w:rPr>
            <w:rFonts w:ascii="Calibri" w:hAnsi="Calibri"/>
            <w:noProof/>
            <w:sz w:val="22"/>
            <w:szCs w:val="22"/>
          </w:rPr>
          <w:tab/>
        </w:r>
        <w:r w:rsidR="00DB385A" w:rsidRPr="00B11D46">
          <w:rPr>
            <w:rStyle w:val="Hipercze"/>
            <w:noProof/>
          </w:rPr>
          <w:t>Oś priorytetowa I Gospodarka, innowacje, nowoczesne technologie</w:t>
        </w:r>
        <w:r w:rsidR="00DB385A">
          <w:rPr>
            <w:noProof/>
            <w:webHidden/>
          </w:rPr>
          <w:tab/>
        </w:r>
        <w:r w:rsidR="00DB385A">
          <w:rPr>
            <w:noProof/>
            <w:webHidden/>
          </w:rPr>
          <w:fldChar w:fldCharType="begin"/>
        </w:r>
        <w:r w:rsidR="00DB385A">
          <w:rPr>
            <w:noProof/>
            <w:webHidden/>
          </w:rPr>
          <w:instrText xml:space="preserve"> PAGEREF _Toc6523745 \h </w:instrText>
        </w:r>
        <w:r w:rsidR="00DB385A">
          <w:rPr>
            <w:noProof/>
            <w:webHidden/>
          </w:rPr>
        </w:r>
        <w:r w:rsidR="00DB385A">
          <w:rPr>
            <w:noProof/>
            <w:webHidden/>
          </w:rPr>
          <w:fldChar w:fldCharType="separate"/>
        </w:r>
        <w:r w:rsidR="00E667FD">
          <w:rPr>
            <w:noProof/>
            <w:webHidden/>
          </w:rPr>
          <w:t>32</w:t>
        </w:r>
        <w:r w:rsidR="00DB385A">
          <w:rPr>
            <w:noProof/>
            <w:webHidden/>
          </w:rPr>
          <w:fldChar w:fldCharType="end"/>
        </w:r>
      </w:hyperlink>
    </w:p>
    <w:p w14:paraId="3B016F7D"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46" w:history="1">
        <w:r w:rsidR="00DB385A" w:rsidRPr="00B11D46">
          <w:rPr>
            <w:rStyle w:val="Hipercze"/>
            <w:noProof/>
          </w:rPr>
          <w:t>3.2</w:t>
        </w:r>
        <w:r w:rsidR="00DB385A" w:rsidRPr="005F04FC">
          <w:rPr>
            <w:rFonts w:ascii="Calibri" w:hAnsi="Calibri"/>
            <w:noProof/>
            <w:sz w:val="22"/>
            <w:szCs w:val="22"/>
          </w:rPr>
          <w:tab/>
        </w:r>
        <w:r w:rsidR="00DB385A" w:rsidRPr="00B11D46">
          <w:rPr>
            <w:rStyle w:val="Hipercze"/>
            <w:noProof/>
          </w:rPr>
          <w:t>Oś priorytetowa II Gospodarka niskoemisyjna</w:t>
        </w:r>
        <w:r w:rsidR="00DB385A">
          <w:rPr>
            <w:noProof/>
            <w:webHidden/>
          </w:rPr>
          <w:tab/>
        </w:r>
        <w:r w:rsidR="00DB385A">
          <w:rPr>
            <w:noProof/>
            <w:webHidden/>
          </w:rPr>
          <w:fldChar w:fldCharType="begin"/>
        </w:r>
        <w:r w:rsidR="00DB385A">
          <w:rPr>
            <w:noProof/>
            <w:webHidden/>
          </w:rPr>
          <w:instrText xml:space="preserve"> PAGEREF _Toc6523746 \h </w:instrText>
        </w:r>
        <w:r w:rsidR="00DB385A">
          <w:rPr>
            <w:noProof/>
            <w:webHidden/>
          </w:rPr>
        </w:r>
        <w:r w:rsidR="00DB385A">
          <w:rPr>
            <w:noProof/>
            <w:webHidden/>
          </w:rPr>
          <w:fldChar w:fldCharType="separate"/>
        </w:r>
        <w:r w:rsidR="00E667FD">
          <w:rPr>
            <w:noProof/>
            <w:webHidden/>
          </w:rPr>
          <w:t>63</w:t>
        </w:r>
        <w:r w:rsidR="00DB385A">
          <w:rPr>
            <w:noProof/>
            <w:webHidden/>
          </w:rPr>
          <w:fldChar w:fldCharType="end"/>
        </w:r>
      </w:hyperlink>
    </w:p>
    <w:p w14:paraId="411EE46E"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47" w:history="1">
        <w:r w:rsidR="00DB385A" w:rsidRPr="00B11D46">
          <w:rPr>
            <w:rStyle w:val="Hipercze"/>
            <w:noProof/>
          </w:rPr>
          <w:t>3.3</w:t>
        </w:r>
        <w:r w:rsidR="00DB385A" w:rsidRPr="005F04FC">
          <w:rPr>
            <w:rFonts w:ascii="Calibri" w:hAnsi="Calibri"/>
            <w:noProof/>
            <w:sz w:val="22"/>
            <w:szCs w:val="22"/>
          </w:rPr>
          <w:tab/>
        </w:r>
        <w:r w:rsidR="00DB385A" w:rsidRPr="00B11D46">
          <w:rPr>
            <w:rStyle w:val="Hipercze"/>
            <w:noProof/>
          </w:rPr>
          <w:t>Oś priorytetowa III Ochrona środowiska i adaptacja do zmian klimatu</w:t>
        </w:r>
        <w:r w:rsidR="00DB385A">
          <w:rPr>
            <w:noProof/>
            <w:webHidden/>
          </w:rPr>
          <w:tab/>
        </w:r>
        <w:r w:rsidR="00DB385A">
          <w:rPr>
            <w:noProof/>
            <w:webHidden/>
          </w:rPr>
          <w:fldChar w:fldCharType="begin"/>
        </w:r>
        <w:r w:rsidR="00DB385A">
          <w:rPr>
            <w:noProof/>
            <w:webHidden/>
          </w:rPr>
          <w:instrText xml:space="preserve"> PAGEREF _Toc6523747 \h </w:instrText>
        </w:r>
        <w:r w:rsidR="00DB385A">
          <w:rPr>
            <w:noProof/>
            <w:webHidden/>
          </w:rPr>
        </w:r>
        <w:r w:rsidR="00DB385A">
          <w:rPr>
            <w:noProof/>
            <w:webHidden/>
          </w:rPr>
          <w:fldChar w:fldCharType="separate"/>
        </w:r>
        <w:r w:rsidR="00E667FD">
          <w:rPr>
            <w:noProof/>
            <w:webHidden/>
          </w:rPr>
          <w:t>103</w:t>
        </w:r>
        <w:r w:rsidR="00DB385A">
          <w:rPr>
            <w:noProof/>
            <w:webHidden/>
          </w:rPr>
          <w:fldChar w:fldCharType="end"/>
        </w:r>
      </w:hyperlink>
    </w:p>
    <w:p w14:paraId="592E1784"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48" w:history="1">
        <w:r w:rsidR="00DB385A" w:rsidRPr="00B11D46">
          <w:rPr>
            <w:rStyle w:val="Hipercze"/>
            <w:noProof/>
          </w:rPr>
          <w:t>3.4</w:t>
        </w:r>
        <w:r w:rsidR="00DB385A" w:rsidRPr="005F04FC">
          <w:rPr>
            <w:rFonts w:ascii="Calibri" w:hAnsi="Calibri"/>
            <w:noProof/>
            <w:sz w:val="22"/>
            <w:szCs w:val="22"/>
          </w:rPr>
          <w:tab/>
        </w:r>
        <w:r w:rsidR="00DB385A" w:rsidRPr="00B11D46">
          <w:rPr>
            <w:rStyle w:val="Hipercze"/>
            <w:noProof/>
          </w:rPr>
          <w:t>Oś priorytetowa IV Naturalne o</w:t>
        </w:r>
        <w:bookmarkStart w:id="2" w:name="_GoBack"/>
        <w:bookmarkEnd w:id="2"/>
        <w:r w:rsidR="00DB385A" w:rsidRPr="00B11D46">
          <w:rPr>
            <w:rStyle w:val="Hipercze"/>
            <w:noProof/>
          </w:rPr>
          <w:t>toczenie człowieka</w:t>
        </w:r>
        <w:r w:rsidR="00DB385A">
          <w:rPr>
            <w:noProof/>
            <w:webHidden/>
          </w:rPr>
          <w:tab/>
        </w:r>
        <w:r w:rsidR="00DB385A">
          <w:rPr>
            <w:noProof/>
            <w:webHidden/>
          </w:rPr>
          <w:fldChar w:fldCharType="begin"/>
        </w:r>
        <w:r w:rsidR="00DB385A">
          <w:rPr>
            <w:noProof/>
            <w:webHidden/>
          </w:rPr>
          <w:instrText xml:space="preserve"> PAGEREF _Toc6523748 \h </w:instrText>
        </w:r>
        <w:r w:rsidR="00DB385A">
          <w:rPr>
            <w:noProof/>
            <w:webHidden/>
          </w:rPr>
        </w:r>
        <w:r w:rsidR="00DB385A">
          <w:rPr>
            <w:noProof/>
            <w:webHidden/>
          </w:rPr>
          <w:fldChar w:fldCharType="separate"/>
        </w:r>
        <w:r w:rsidR="00E667FD">
          <w:rPr>
            <w:noProof/>
            <w:webHidden/>
          </w:rPr>
          <w:t>149</w:t>
        </w:r>
        <w:r w:rsidR="00DB385A">
          <w:rPr>
            <w:noProof/>
            <w:webHidden/>
          </w:rPr>
          <w:fldChar w:fldCharType="end"/>
        </w:r>
      </w:hyperlink>
    </w:p>
    <w:p w14:paraId="58490EB3"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49" w:history="1">
        <w:r w:rsidR="00DB385A" w:rsidRPr="00B11D46">
          <w:rPr>
            <w:rStyle w:val="Hipercze"/>
            <w:noProof/>
          </w:rPr>
          <w:t>3.5</w:t>
        </w:r>
        <w:r w:rsidR="00DB385A" w:rsidRPr="005F04FC">
          <w:rPr>
            <w:rFonts w:ascii="Calibri" w:hAnsi="Calibri"/>
            <w:noProof/>
            <w:sz w:val="22"/>
            <w:szCs w:val="22"/>
          </w:rPr>
          <w:tab/>
        </w:r>
        <w:r w:rsidR="00DB385A" w:rsidRPr="00B11D46">
          <w:rPr>
            <w:rStyle w:val="Hipercze"/>
            <w:noProof/>
          </w:rPr>
          <w:t>Oś priorytetowa V Zrównoważony transport</w:t>
        </w:r>
        <w:r w:rsidR="00DB385A">
          <w:rPr>
            <w:noProof/>
            <w:webHidden/>
          </w:rPr>
          <w:tab/>
        </w:r>
        <w:r w:rsidR="00DB385A">
          <w:rPr>
            <w:noProof/>
            <w:webHidden/>
          </w:rPr>
          <w:fldChar w:fldCharType="begin"/>
        </w:r>
        <w:r w:rsidR="00DB385A">
          <w:rPr>
            <w:noProof/>
            <w:webHidden/>
          </w:rPr>
          <w:instrText xml:space="preserve"> PAGEREF _Toc6523749 \h </w:instrText>
        </w:r>
        <w:r w:rsidR="00DB385A">
          <w:rPr>
            <w:noProof/>
            <w:webHidden/>
          </w:rPr>
        </w:r>
        <w:r w:rsidR="00DB385A">
          <w:rPr>
            <w:noProof/>
            <w:webHidden/>
          </w:rPr>
          <w:fldChar w:fldCharType="separate"/>
        </w:r>
        <w:r w:rsidR="00E667FD">
          <w:rPr>
            <w:noProof/>
            <w:webHidden/>
          </w:rPr>
          <w:t>167</w:t>
        </w:r>
        <w:r w:rsidR="00DB385A">
          <w:rPr>
            <w:noProof/>
            <w:webHidden/>
          </w:rPr>
          <w:fldChar w:fldCharType="end"/>
        </w:r>
      </w:hyperlink>
    </w:p>
    <w:p w14:paraId="05C5CA83"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0" w:history="1">
        <w:r w:rsidR="00DB385A" w:rsidRPr="00B11D46">
          <w:rPr>
            <w:rStyle w:val="Hipercze"/>
            <w:noProof/>
          </w:rPr>
          <w:t>3.6</w:t>
        </w:r>
        <w:r w:rsidR="00DB385A" w:rsidRPr="005F04FC">
          <w:rPr>
            <w:rFonts w:ascii="Calibri" w:hAnsi="Calibri"/>
            <w:noProof/>
            <w:sz w:val="22"/>
            <w:szCs w:val="22"/>
          </w:rPr>
          <w:tab/>
        </w:r>
        <w:r w:rsidR="00DB385A" w:rsidRPr="00B11D46">
          <w:rPr>
            <w:rStyle w:val="Hipercze"/>
            <w:noProof/>
          </w:rPr>
          <w:t>Oś priorytetowa VI Rynek pracy</w:t>
        </w:r>
        <w:r w:rsidR="00DB385A">
          <w:rPr>
            <w:noProof/>
            <w:webHidden/>
          </w:rPr>
          <w:tab/>
        </w:r>
        <w:r w:rsidR="00DB385A">
          <w:rPr>
            <w:noProof/>
            <w:webHidden/>
          </w:rPr>
          <w:fldChar w:fldCharType="begin"/>
        </w:r>
        <w:r w:rsidR="00DB385A">
          <w:rPr>
            <w:noProof/>
            <w:webHidden/>
          </w:rPr>
          <w:instrText xml:space="preserve"> PAGEREF _Toc6523750 \h </w:instrText>
        </w:r>
        <w:r w:rsidR="00DB385A">
          <w:rPr>
            <w:noProof/>
            <w:webHidden/>
          </w:rPr>
        </w:r>
        <w:r w:rsidR="00DB385A">
          <w:rPr>
            <w:noProof/>
            <w:webHidden/>
          </w:rPr>
          <w:fldChar w:fldCharType="separate"/>
        </w:r>
        <w:r w:rsidR="00E667FD">
          <w:rPr>
            <w:noProof/>
            <w:webHidden/>
          </w:rPr>
          <w:t>187</w:t>
        </w:r>
        <w:r w:rsidR="00DB385A">
          <w:rPr>
            <w:noProof/>
            <w:webHidden/>
          </w:rPr>
          <w:fldChar w:fldCharType="end"/>
        </w:r>
      </w:hyperlink>
    </w:p>
    <w:p w14:paraId="0FF6C322"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1" w:history="1">
        <w:r w:rsidR="00DB385A" w:rsidRPr="00B11D46">
          <w:rPr>
            <w:rStyle w:val="Hipercze"/>
            <w:noProof/>
          </w:rPr>
          <w:t>3.7</w:t>
        </w:r>
        <w:r w:rsidR="00DB385A" w:rsidRPr="005F04FC">
          <w:rPr>
            <w:rFonts w:ascii="Calibri" w:hAnsi="Calibri"/>
            <w:noProof/>
            <w:sz w:val="22"/>
            <w:szCs w:val="22"/>
          </w:rPr>
          <w:tab/>
        </w:r>
        <w:r w:rsidR="00DB385A" w:rsidRPr="00B11D46">
          <w:rPr>
            <w:rStyle w:val="Hipercze"/>
            <w:noProof/>
          </w:rPr>
          <w:t>Oś priorytetowa VII Włączenie społeczne</w:t>
        </w:r>
        <w:r w:rsidR="00DB385A">
          <w:rPr>
            <w:noProof/>
            <w:webHidden/>
          </w:rPr>
          <w:tab/>
        </w:r>
        <w:r w:rsidR="00DB385A">
          <w:rPr>
            <w:noProof/>
            <w:webHidden/>
          </w:rPr>
          <w:fldChar w:fldCharType="begin"/>
        </w:r>
        <w:r w:rsidR="00DB385A">
          <w:rPr>
            <w:noProof/>
            <w:webHidden/>
          </w:rPr>
          <w:instrText xml:space="preserve"> PAGEREF _Toc6523751 \h </w:instrText>
        </w:r>
        <w:r w:rsidR="00DB385A">
          <w:rPr>
            <w:noProof/>
            <w:webHidden/>
          </w:rPr>
        </w:r>
        <w:r w:rsidR="00DB385A">
          <w:rPr>
            <w:noProof/>
            <w:webHidden/>
          </w:rPr>
          <w:fldChar w:fldCharType="separate"/>
        </w:r>
        <w:r w:rsidR="00E667FD">
          <w:rPr>
            <w:noProof/>
            <w:webHidden/>
          </w:rPr>
          <w:t>234</w:t>
        </w:r>
        <w:r w:rsidR="00DB385A">
          <w:rPr>
            <w:noProof/>
            <w:webHidden/>
          </w:rPr>
          <w:fldChar w:fldCharType="end"/>
        </w:r>
      </w:hyperlink>
    </w:p>
    <w:p w14:paraId="08A8A408"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2" w:history="1">
        <w:r w:rsidR="00DB385A" w:rsidRPr="00B11D46">
          <w:rPr>
            <w:rStyle w:val="Hipercze"/>
            <w:noProof/>
          </w:rPr>
          <w:t>3.8</w:t>
        </w:r>
        <w:r w:rsidR="00DB385A" w:rsidRPr="005F04FC">
          <w:rPr>
            <w:rFonts w:ascii="Calibri" w:hAnsi="Calibri"/>
            <w:noProof/>
            <w:sz w:val="22"/>
            <w:szCs w:val="22"/>
          </w:rPr>
          <w:tab/>
        </w:r>
        <w:r w:rsidR="00DB385A" w:rsidRPr="00B11D46">
          <w:rPr>
            <w:rStyle w:val="Hipercze"/>
            <w:noProof/>
          </w:rPr>
          <w:t>Oś priorytetowa VIII Edukacja</w:t>
        </w:r>
        <w:r w:rsidR="00DB385A">
          <w:rPr>
            <w:noProof/>
            <w:webHidden/>
          </w:rPr>
          <w:tab/>
        </w:r>
        <w:r w:rsidR="00DB385A">
          <w:rPr>
            <w:noProof/>
            <w:webHidden/>
          </w:rPr>
          <w:fldChar w:fldCharType="begin"/>
        </w:r>
        <w:r w:rsidR="00DB385A">
          <w:rPr>
            <w:noProof/>
            <w:webHidden/>
          </w:rPr>
          <w:instrText xml:space="preserve"> PAGEREF _Toc6523752 \h </w:instrText>
        </w:r>
        <w:r w:rsidR="00DB385A">
          <w:rPr>
            <w:noProof/>
            <w:webHidden/>
          </w:rPr>
        </w:r>
        <w:r w:rsidR="00DB385A">
          <w:rPr>
            <w:noProof/>
            <w:webHidden/>
          </w:rPr>
          <w:fldChar w:fldCharType="separate"/>
        </w:r>
        <w:r w:rsidR="00E667FD">
          <w:rPr>
            <w:noProof/>
            <w:webHidden/>
          </w:rPr>
          <w:t>255</w:t>
        </w:r>
        <w:r w:rsidR="00DB385A">
          <w:rPr>
            <w:noProof/>
            <w:webHidden/>
          </w:rPr>
          <w:fldChar w:fldCharType="end"/>
        </w:r>
      </w:hyperlink>
    </w:p>
    <w:p w14:paraId="48A96E9E"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3" w:history="1">
        <w:r w:rsidR="00DB385A" w:rsidRPr="00B11D46">
          <w:rPr>
            <w:rStyle w:val="Hipercze"/>
            <w:noProof/>
          </w:rPr>
          <w:t>3.9</w:t>
        </w:r>
        <w:r w:rsidR="00DB385A" w:rsidRPr="005F04FC">
          <w:rPr>
            <w:rFonts w:ascii="Calibri" w:hAnsi="Calibri"/>
            <w:noProof/>
            <w:sz w:val="22"/>
            <w:szCs w:val="22"/>
          </w:rPr>
          <w:tab/>
        </w:r>
        <w:r w:rsidR="00DB385A" w:rsidRPr="00B11D46">
          <w:rPr>
            <w:rStyle w:val="Hipercze"/>
            <w:noProof/>
          </w:rPr>
          <w:t>Oś priorytetowa IX Infrastruktura publiczna</w:t>
        </w:r>
        <w:r w:rsidR="00DB385A">
          <w:rPr>
            <w:noProof/>
            <w:webHidden/>
          </w:rPr>
          <w:tab/>
        </w:r>
        <w:r w:rsidR="00DB385A">
          <w:rPr>
            <w:noProof/>
            <w:webHidden/>
          </w:rPr>
          <w:fldChar w:fldCharType="begin"/>
        </w:r>
        <w:r w:rsidR="00DB385A">
          <w:rPr>
            <w:noProof/>
            <w:webHidden/>
          </w:rPr>
          <w:instrText xml:space="preserve"> PAGEREF _Toc6523753 \h </w:instrText>
        </w:r>
        <w:r w:rsidR="00DB385A">
          <w:rPr>
            <w:noProof/>
            <w:webHidden/>
          </w:rPr>
        </w:r>
        <w:r w:rsidR="00DB385A">
          <w:rPr>
            <w:noProof/>
            <w:webHidden/>
          </w:rPr>
          <w:fldChar w:fldCharType="separate"/>
        </w:r>
        <w:r w:rsidR="00E667FD">
          <w:rPr>
            <w:noProof/>
            <w:webHidden/>
          </w:rPr>
          <w:t>284</w:t>
        </w:r>
        <w:r w:rsidR="00DB385A">
          <w:rPr>
            <w:noProof/>
            <w:webHidden/>
          </w:rPr>
          <w:fldChar w:fldCharType="end"/>
        </w:r>
      </w:hyperlink>
    </w:p>
    <w:p w14:paraId="27058794"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54" w:history="1">
        <w:r w:rsidR="00DB385A" w:rsidRPr="00B11D46">
          <w:rPr>
            <w:rStyle w:val="Hipercze"/>
            <w:noProof/>
          </w:rPr>
          <w:t>4</w:t>
        </w:r>
        <w:r w:rsidR="00DB385A" w:rsidRPr="005F04FC">
          <w:rPr>
            <w:rFonts w:ascii="Calibri" w:hAnsi="Calibri"/>
            <w:noProof/>
            <w:sz w:val="22"/>
            <w:szCs w:val="22"/>
          </w:rPr>
          <w:tab/>
        </w:r>
        <w:r w:rsidR="00DB385A" w:rsidRPr="00B11D46">
          <w:rPr>
            <w:rStyle w:val="Hipercze"/>
            <w:noProof/>
          </w:rPr>
          <w:t>OCENA SKUTECZNOŚCI MECHANIZMÓW TERYTORIALNYCH</w:t>
        </w:r>
        <w:r w:rsidR="00DB385A">
          <w:rPr>
            <w:noProof/>
            <w:webHidden/>
          </w:rPr>
          <w:tab/>
        </w:r>
        <w:r w:rsidR="00DB385A">
          <w:rPr>
            <w:noProof/>
            <w:webHidden/>
          </w:rPr>
          <w:fldChar w:fldCharType="begin"/>
        </w:r>
        <w:r w:rsidR="00DB385A">
          <w:rPr>
            <w:noProof/>
            <w:webHidden/>
          </w:rPr>
          <w:instrText xml:space="preserve"> PAGEREF _Toc6523754 \h </w:instrText>
        </w:r>
        <w:r w:rsidR="00DB385A">
          <w:rPr>
            <w:noProof/>
            <w:webHidden/>
          </w:rPr>
        </w:r>
        <w:r w:rsidR="00DB385A">
          <w:rPr>
            <w:noProof/>
            <w:webHidden/>
          </w:rPr>
          <w:fldChar w:fldCharType="separate"/>
        </w:r>
        <w:r w:rsidR="00E667FD">
          <w:rPr>
            <w:noProof/>
            <w:webHidden/>
          </w:rPr>
          <w:t>317</w:t>
        </w:r>
        <w:r w:rsidR="00DB385A">
          <w:rPr>
            <w:noProof/>
            <w:webHidden/>
          </w:rPr>
          <w:fldChar w:fldCharType="end"/>
        </w:r>
      </w:hyperlink>
    </w:p>
    <w:p w14:paraId="1A2F0CFD"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55" w:history="1">
        <w:r w:rsidR="00DB385A" w:rsidRPr="00B11D46">
          <w:rPr>
            <w:rStyle w:val="Hipercze"/>
            <w:noProof/>
          </w:rPr>
          <w:t>5</w:t>
        </w:r>
        <w:r w:rsidR="00DB385A" w:rsidRPr="005F04FC">
          <w:rPr>
            <w:rFonts w:ascii="Calibri" w:hAnsi="Calibri"/>
            <w:noProof/>
            <w:sz w:val="22"/>
            <w:szCs w:val="22"/>
          </w:rPr>
          <w:tab/>
        </w:r>
        <w:r w:rsidR="00DB385A" w:rsidRPr="00B11D46">
          <w:rPr>
            <w:rStyle w:val="Hipercze"/>
            <w:noProof/>
          </w:rPr>
          <w:t>OCENA SKUTECZNOŚCI ZASTOSOWANYCH FORM INTERWENCJI – DOTACJE, POMOC ZWROTNA LUB INSTRUMENTY FINANSOWE</w:t>
        </w:r>
        <w:r w:rsidR="00DB385A">
          <w:rPr>
            <w:noProof/>
            <w:webHidden/>
          </w:rPr>
          <w:tab/>
        </w:r>
        <w:r w:rsidR="00DB385A">
          <w:rPr>
            <w:noProof/>
            <w:webHidden/>
          </w:rPr>
          <w:fldChar w:fldCharType="begin"/>
        </w:r>
        <w:r w:rsidR="00DB385A">
          <w:rPr>
            <w:noProof/>
            <w:webHidden/>
          </w:rPr>
          <w:instrText xml:space="preserve"> PAGEREF _Toc6523755 \h </w:instrText>
        </w:r>
        <w:r w:rsidR="00DB385A">
          <w:rPr>
            <w:noProof/>
            <w:webHidden/>
          </w:rPr>
        </w:r>
        <w:r w:rsidR="00DB385A">
          <w:rPr>
            <w:noProof/>
            <w:webHidden/>
          </w:rPr>
          <w:fldChar w:fldCharType="separate"/>
        </w:r>
        <w:r w:rsidR="00E667FD">
          <w:rPr>
            <w:noProof/>
            <w:webHidden/>
          </w:rPr>
          <w:t>367</w:t>
        </w:r>
        <w:r w:rsidR="00DB385A">
          <w:rPr>
            <w:noProof/>
            <w:webHidden/>
          </w:rPr>
          <w:fldChar w:fldCharType="end"/>
        </w:r>
      </w:hyperlink>
    </w:p>
    <w:p w14:paraId="1A11FFAF"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6" w:history="1">
        <w:r w:rsidR="00DB385A" w:rsidRPr="00B11D46">
          <w:rPr>
            <w:rStyle w:val="Hipercze"/>
            <w:noProof/>
          </w:rPr>
          <w:t>5.1</w:t>
        </w:r>
        <w:r w:rsidR="00DB385A" w:rsidRPr="005F04FC">
          <w:rPr>
            <w:rFonts w:ascii="Calibri" w:hAnsi="Calibri"/>
            <w:noProof/>
            <w:sz w:val="22"/>
            <w:szCs w:val="22"/>
          </w:rPr>
          <w:tab/>
        </w:r>
        <w:r w:rsidR="00DB385A" w:rsidRPr="00B11D46">
          <w:rPr>
            <w:rStyle w:val="Hipercze"/>
            <w:noProof/>
          </w:rPr>
          <w:t>Działania związane z promowaniem innowacyjności</w:t>
        </w:r>
        <w:r w:rsidR="00DB385A">
          <w:rPr>
            <w:noProof/>
            <w:webHidden/>
          </w:rPr>
          <w:tab/>
        </w:r>
        <w:r w:rsidR="00DB385A">
          <w:rPr>
            <w:noProof/>
            <w:webHidden/>
          </w:rPr>
          <w:fldChar w:fldCharType="begin"/>
        </w:r>
        <w:r w:rsidR="00DB385A">
          <w:rPr>
            <w:noProof/>
            <w:webHidden/>
          </w:rPr>
          <w:instrText xml:space="preserve"> PAGEREF _Toc6523756 \h </w:instrText>
        </w:r>
        <w:r w:rsidR="00DB385A">
          <w:rPr>
            <w:noProof/>
            <w:webHidden/>
          </w:rPr>
        </w:r>
        <w:r w:rsidR="00DB385A">
          <w:rPr>
            <w:noProof/>
            <w:webHidden/>
          </w:rPr>
          <w:fldChar w:fldCharType="separate"/>
        </w:r>
        <w:r w:rsidR="00E667FD">
          <w:rPr>
            <w:noProof/>
            <w:webHidden/>
          </w:rPr>
          <w:t>368</w:t>
        </w:r>
        <w:r w:rsidR="00DB385A">
          <w:rPr>
            <w:noProof/>
            <w:webHidden/>
          </w:rPr>
          <w:fldChar w:fldCharType="end"/>
        </w:r>
      </w:hyperlink>
    </w:p>
    <w:p w14:paraId="3F8A91C6"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7" w:history="1">
        <w:r w:rsidR="00DB385A" w:rsidRPr="00B11D46">
          <w:rPr>
            <w:rStyle w:val="Hipercze"/>
            <w:noProof/>
          </w:rPr>
          <w:t>5.2</w:t>
        </w:r>
        <w:r w:rsidR="00DB385A" w:rsidRPr="005F04FC">
          <w:rPr>
            <w:rFonts w:ascii="Calibri" w:hAnsi="Calibri"/>
            <w:noProof/>
            <w:sz w:val="22"/>
            <w:szCs w:val="22"/>
          </w:rPr>
          <w:tab/>
        </w:r>
        <w:r w:rsidR="00DB385A" w:rsidRPr="00B11D46">
          <w:rPr>
            <w:rStyle w:val="Hipercze"/>
            <w:noProof/>
          </w:rPr>
          <w:t>Porównanie Działań 6.4 i 6.5</w:t>
        </w:r>
        <w:r w:rsidR="00DB385A">
          <w:rPr>
            <w:noProof/>
            <w:webHidden/>
          </w:rPr>
          <w:tab/>
        </w:r>
        <w:r w:rsidR="00DB385A">
          <w:rPr>
            <w:noProof/>
            <w:webHidden/>
          </w:rPr>
          <w:fldChar w:fldCharType="begin"/>
        </w:r>
        <w:r w:rsidR="00DB385A">
          <w:rPr>
            <w:noProof/>
            <w:webHidden/>
          </w:rPr>
          <w:instrText xml:space="preserve"> PAGEREF _Toc6523757 \h </w:instrText>
        </w:r>
        <w:r w:rsidR="00DB385A">
          <w:rPr>
            <w:noProof/>
            <w:webHidden/>
          </w:rPr>
        </w:r>
        <w:r w:rsidR="00DB385A">
          <w:rPr>
            <w:noProof/>
            <w:webHidden/>
          </w:rPr>
          <w:fldChar w:fldCharType="separate"/>
        </w:r>
        <w:r w:rsidR="00E667FD">
          <w:rPr>
            <w:noProof/>
            <w:webHidden/>
          </w:rPr>
          <w:t>370</w:t>
        </w:r>
        <w:r w:rsidR="00DB385A">
          <w:rPr>
            <w:noProof/>
            <w:webHidden/>
          </w:rPr>
          <w:fldChar w:fldCharType="end"/>
        </w:r>
      </w:hyperlink>
    </w:p>
    <w:p w14:paraId="4207316C"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8" w:history="1">
        <w:r w:rsidR="00DB385A" w:rsidRPr="00B11D46">
          <w:rPr>
            <w:rStyle w:val="Hipercze"/>
            <w:noProof/>
          </w:rPr>
          <w:t>5.3</w:t>
        </w:r>
        <w:r w:rsidR="00DB385A" w:rsidRPr="005F04FC">
          <w:rPr>
            <w:rFonts w:ascii="Calibri" w:hAnsi="Calibri"/>
            <w:noProof/>
            <w:sz w:val="22"/>
            <w:szCs w:val="22"/>
          </w:rPr>
          <w:tab/>
        </w:r>
        <w:r w:rsidR="00DB385A" w:rsidRPr="00B11D46">
          <w:rPr>
            <w:rStyle w:val="Hipercze"/>
            <w:noProof/>
          </w:rPr>
          <w:t>Charakterystyka wykorzystania instrumentów finansowych z RPO WZ</w:t>
        </w:r>
        <w:r w:rsidR="00DB385A">
          <w:rPr>
            <w:noProof/>
            <w:webHidden/>
          </w:rPr>
          <w:tab/>
        </w:r>
        <w:r w:rsidR="00DB385A">
          <w:rPr>
            <w:noProof/>
            <w:webHidden/>
          </w:rPr>
          <w:fldChar w:fldCharType="begin"/>
        </w:r>
        <w:r w:rsidR="00DB385A">
          <w:rPr>
            <w:noProof/>
            <w:webHidden/>
          </w:rPr>
          <w:instrText xml:space="preserve"> PAGEREF _Toc6523758 \h </w:instrText>
        </w:r>
        <w:r w:rsidR="00DB385A">
          <w:rPr>
            <w:noProof/>
            <w:webHidden/>
          </w:rPr>
        </w:r>
        <w:r w:rsidR="00DB385A">
          <w:rPr>
            <w:noProof/>
            <w:webHidden/>
          </w:rPr>
          <w:fldChar w:fldCharType="separate"/>
        </w:r>
        <w:r w:rsidR="00E667FD">
          <w:rPr>
            <w:noProof/>
            <w:webHidden/>
          </w:rPr>
          <w:t>371</w:t>
        </w:r>
        <w:r w:rsidR="00DB385A">
          <w:rPr>
            <w:noProof/>
            <w:webHidden/>
          </w:rPr>
          <w:fldChar w:fldCharType="end"/>
        </w:r>
      </w:hyperlink>
    </w:p>
    <w:p w14:paraId="28FFC391"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59" w:history="1">
        <w:r w:rsidR="00DB385A" w:rsidRPr="00B11D46">
          <w:rPr>
            <w:rStyle w:val="Hipercze"/>
            <w:noProof/>
          </w:rPr>
          <w:t>5.4</w:t>
        </w:r>
        <w:r w:rsidR="00DB385A" w:rsidRPr="005F04FC">
          <w:rPr>
            <w:rFonts w:ascii="Calibri" w:hAnsi="Calibri"/>
            <w:noProof/>
            <w:sz w:val="22"/>
            <w:szCs w:val="22"/>
          </w:rPr>
          <w:tab/>
        </w:r>
        <w:r w:rsidR="00DB385A" w:rsidRPr="00B11D46">
          <w:rPr>
            <w:rStyle w:val="Hipercze"/>
            <w:noProof/>
          </w:rPr>
          <w:t>Wnioski odnośnie do oceny skuteczności zastosowanych instrumentów finansowych</w:t>
        </w:r>
        <w:r w:rsidR="00DB385A">
          <w:rPr>
            <w:noProof/>
            <w:webHidden/>
          </w:rPr>
          <w:tab/>
        </w:r>
        <w:r w:rsidR="00DB385A">
          <w:rPr>
            <w:noProof/>
            <w:webHidden/>
          </w:rPr>
          <w:fldChar w:fldCharType="begin"/>
        </w:r>
        <w:r w:rsidR="00DB385A">
          <w:rPr>
            <w:noProof/>
            <w:webHidden/>
          </w:rPr>
          <w:instrText xml:space="preserve"> PAGEREF _Toc6523759 \h </w:instrText>
        </w:r>
        <w:r w:rsidR="00DB385A">
          <w:rPr>
            <w:noProof/>
            <w:webHidden/>
          </w:rPr>
        </w:r>
        <w:r w:rsidR="00DB385A">
          <w:rPr>
            <w:noProof/>
            <w:webHidden/>
          </w:rPr>
          <w:fldChar w:fldCharType="separate"/>
        </w:r>
        <w:r w:rsidR="00E667FD">
          <w:rPr>
            <w:noProof/>
            <w:webHidden/>
          </w:rPr>
          <w:t>372</w:t>
        </w:r>
        <w:r w:rsidR="00DB385A">
          <w:rPr>
            <w:noProof/>
            <w:webHidden/>
          </w:rPr>
          <w:fldChar w:fldCharType="end"/>
        </w:r>
      </w:hyperlink>
    </w:p>
    <w:p w14:paraId="76FE6884"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0" w:history="1">
        <w:r w:rsidR="00DB385A" w:rsidRPr="00B11D46">
          <w:rPr>
            <w:rStyle w:val="Hipercze"/>
            <w:noProof/>
          </w:rPr>
          <w:t>6</w:t>
        </w:r>
        <w:r w:rsidR="00DB385A" w:rsidRPr="005F04FC">
          <w:rPr>
            <w:rFonts w:ascii="Calibri" w:hAnsi="Calibri"/>
            <w:noProof/>
            <w:sz w:val="22"/>
            <w:szCs w:val="22"/>
          </w:rPr>
          <w:tab/>
        </w:r>
        <w:r w:rsidR="00DB385A" w:rsidRPr="00B11D46">
          <w:rPr>
            <w:rStyle w:val="Hipercze"/>
            <w:noProof/>
          </w:rPr>
          <w:t>OCENA SKUTECZNOŚCI SYSTEMU ZARZĄDZANIA RPO WZ 2014-2020</w:t>
        </w:r>
        <w:r w:rsidR="00DB385A">
          <w:rPr>
            <w:noProof/>
            <w:webHidden/>
          </w:rPr>
          <w:tab/>
        </w:r>
        <w:r w:rsidR="00DB385A">
          <w:rPr>
            <w:noProof/>
            <w:webHidden/>
          </w:rPr>
          <w:fldChar w:fldCharType="begin"/>
        </w:r>
        <w:r w:rsidR="00DB385A">
          <w:rPr>
            <w:noProof/>
            <w:webHidden/>
          </w:rPr>
          <w:instrText xml:space="preserve"> PAGEREF _Toc6523760 \h </w:instrText>
        </w:r>
        <w:r w:rsidR="00DB385A">
          <w:rPr>
            <w:noProof/>
            <w:webHidden/>
          </w:rPr>
        </w:r>
        <w:r w:rsidR="00DB385A">
          <w:rPr>
            <w:noProof/>
            <w:webHidden/>
          </w:rPr>
          <w:fldChar w:fldCharType="separate"/>
        </w:r>
        <w:r w:rsidR="00E667FD">
          <w:rPr>
            <w:noProof/>
            <w:webHidden/>
          </w:rPr>
          <w:t>373</w:t>
        </w:r>
        <w:r w:rsidR="00DB385A">
          <w:rPr>
            <w:noProof/>
            <w:webHidden/>
          </w:rPr>
          <w:fldChar w:fldCharType="end"/>
        </w:r>
      </w:hyperlink>
    </w:p>
    <w:p w14:paraId="18FC7DCD"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1" w:history="1">
        <w:r w:rsidR="00DB385A" w:rsidRPr="00B11D46">
          <w:rPr>
            <w:rStyle w:val="Hipercze"/>
            <w:noProof/>
          </w:rPr>
          <w:t>7</w:t>
        </w:r>
        <w:r w:rsidR="00DB385A" w:rsidRPr="005F04FC">
          <w:rPr>
            <w:rFonts w:ascii="Calibri" w:hAnsi="Calibri"/>
            <w:noProof/>
            <w:sz w:val="22"/>
            <w:szCs w:val="22"/>
          </w:rPr>
          <w:tab/>
        </w:r>
        <w:r w:rsidR="00DB385A" w:rsidRPr="00B11D46">
          <w:rPr>
            <w:rStyle w:val="Hipercze"/>
            <w:noProof/>
          </w:rPr>
          <w:t>OCENA STOPNIA REALIZACJI ZASAD HORYZONTALNYCH W RAMACH RPO WZ 2014-2020</w:t>
        </w:r>
        <w:r w:rsidR="00DB385A">
          <w:rPr>
            <w:noProof/>
            <w:webHidden/>
          </w:rPr>
          <w:tab/>
        </w:r>
        <w:r w:rsidR="00DB385A">
          <w:rPr>
            <w:noProof/>
            <w:webHidden/>
          </w:rPr>
          <w:fldChar w:fldCharType="begin"/>
        </w:r>
        <w:r w:rsidR="00DB385A">
          <w:rPr>
            <w:noProof/>
            <w:webHidden/>
          </w:rPr>
          <w:instrText xml:space="preserve"> PAGEREF _Toc6523761 \h </w:instrText>
        </w:r>
        <w:r w:rsidR="00DB385A">
          <w:rPr>
            <w:noProof/>
            <w:webHidden/>
          </w:rPr>
        </w:r>
        <w:r w:rsidR="00DB385A">
          <w:rPr>
            <w:noProof/>
            <w:webHidden/>
          </w:rPr>
          <w:fldChar w:fldCharType="separate"/>
        </w:r>
        <w:r w:rsidR="00E667FD">
          <w:rPr>
            <w:noProof/>
            <w:webHidden/>
          </w:rPr>
          <w:t>394</w:t>
        </w:r>
        <w:r w:rsidR="00DB385A">
          <w:rPr>
            <w:noProof/>
            <w:webHidden/>
          </w:rPr>
          <w:fldChar w:fldCharType="end"/>
        </w:r>
      </w:hyperlink>
    </w:p>
    <w:p w14:paraId="2972E00A"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2" w:history="1">
        <w:r w:rsidR="00DB385A" w:rsidRPr="00B11D46">
          <w:rPr>
            <w:rStyle w:val="Hipercze"/>
            <w:noProof/>
          </w:rPr>
          <w:t>8</w:t>
        </w:r>
        <w:r w:rsidR="00DB385A" w:rsidRPr="005F04FC">
          <w:rPr>
            <w:rFonts w:ascii="Calibri" w:hAnsi="Calibri"/>
            <w:noProof/>
            <w:sz w:val="22"/>
            <w:szCs w:val="22"/>
          </w:rPr>
          <w:tab/>
        </w:r>
        <w:r w:rsidR="00DB385A" w:rsidRPr="00B11D46">
          <w:rPr>
            <w:rStyle w:val="Hipercze"/>
            <w:noProof/>
          </w:rPr>
          <w:t>OCENA WKŁADU INTERWENCJI REGIONALNEGO PROGRAMU OPERACYJNEGO WOJEWÓDZTWA ZACHODNIOPOMORSKIEGO 2014-2020 W REALIZACJĘ CELÓW STRATEGII EUROPA 2020 NA POZIOMIE OSI PRIORYTETOWYCH</w:t>
        </w:r>
        <w:r w:rsidR="00DB385A">
          <w:rPr>
            <w:noProof/>
            <w:webHidden/>
          </w:rPr>
          <w:tab/>
        </w:r>
        <w:r w:rsidR="00DB385A">
          <w:rPr>
            <w:noProof/>
            <w:webHidden/>
          </w:rPr>
          <w:fldChar w:fldCharType="begin"/>
        </w:r>
        <w:r w:rsidR="00DB385A">
          <w:rPr>
            <w:noProof/>
            <w:webHidden/>
          </w:rPr>
          <w:instrText xml:space="preserve"> PAGEREF _Toc6523762 \h </w:instrText>
        </w:r>
        <w:r w:rsidR="00DB385A">
          <w:rPr>
            <w:noProof/>
            <w:webHidden/>
          </w:rPr>
        </w:r>
        <w:r w:rsidR="00DB385A">
          <w:rPr>
            <w:noProof/>
            <w:webHidden/>
          </w:rPr>
          <w:fldChar w:fldCharType="separate"/>
        </w:r>
        <w:r w:rsidR="00E667FD">
          <w:rPr>
            <w:noProof/>
            <w:webHidden/>
          </w:rPr>
          <w:t>401</w:t>
        </w:r>
        <w:r w:rsidR="00DB385A">
          <w:rPr>
            <w:noProof/>
            <w:webHidden/>
          </w:rPr>
          <w:fldChar w:fldCharType="end"/>
        </w:r>
      </w:hyperlink>
    </w:p>
    <w:p w14:paraId="3709ACCF"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3" w:history="1">
        <w:r w:rsidR="00DB385A" w:rsidRPr="00B11D46">
          <w:rPr>
            <w:rStyle w:val="Hipercze"/>
            <w:noProof/>
          </w:rPr>
          <w:t>9</w:t>
        </w:r>
        <w:r w:rsidR="00DB385A" w:rsidRPr="005F04FC">
          <w:rPr>
            <w:rFonts w:ascii="Calibri" w:hAnsi="Calibri"/>
            <w:noProof/>
            <w:sz w:val="22"/>
            <w:szCs w:val="22"/>
          </w:rPr>
          <w:tab/>
        </w:r>
        <w:r w:rsidR="00DB385A" w:rsidRPr="00B11D46">
          <w:rPr>
            <w:rStyle w:val="Hipercze"/>
            <w:noProof/>
          </w:rPr>
          <w:t>WNIOSKI I REKOMENDACJE</w:t>
        </w:r>
        <w:r w:rsidR="00DB385A">
          <w:rPr>
            <w:noProof/>
            <w:webHidden/>
          </w:rPr>
          <w:tab/>
        </w:r>
        <w:r w:rsidR="00DB385A">
          <w:rPr>
            <w:noProof/>
            <w:webHidden/>
          </w:rPr>
          <w:fldChar w:fldCharType="begin"/>
        </w:r>
        <w:r w:rsidR="00DB385A">
          <w:rPr>
            <w:noProof/>
            <w:webHidden/>
          </w:rPr>
          <w:instrText xml:space="preserve"> PAGEREF _Toc6523763 \h </w:instrText>
        </w:r>
        <w:r w:rsidR="00DB385A">
          <w:rPr>
            <w:noProof/>
            <w:webHidden/>
          </w:rPr>
        </w:r>
        <w:r w:rsidR="00DB385A">
          <w:rPr>
            <w:noProof/>
            <w:webHidden/>
          </w:rPr>
          <w:fldChar w:fldCharType="separate"/>
        </w:r>
        <w:r w:rsidR="00E667FD">
          <w:rPr>
            <w:noProof/>
            <w:webHidden/>
          </w:rPr>
          <w:t>409</w:t>
        </w:r>
        <w:r w:rsidR="00DB385A">
          <w:rPr>
            <w:noProof/>
            <w:webHidden/>
          </w:rPr>
          <w:fldChar w:fldCharType="end"/>
        </w:r>
      </w:hyperlink>
    </w:p>
    <w:p w14:paraId="09375E7D"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4" w:history="1">
        <w:r w:rsidR="00DB385A" w:rsidRPr="00B11D46">
          <w:rPr>
            <w:rStyle w:val="Hipercze"/>
            <w:noProof/>
          </w:rPr>
          <w:t>10</w:t>
        </w:r>
        <w:r w:rsidR="00DB385A" w:rsidRPr="005F04FC">
          <w:rPr>
            <w:rFonts w:ascii="Calibri" w:hAnsi="Calibri"/>
            <w:noProof/>
            <w:sz w:val="22"/>
            <w:szCs w:val="22"/>
          </w:rPr>
          <w:tab/>
        </w:r>
        <w:r w:rsidR="00DB385A" w:rsidRPr="00B11D46">
          <w:rPr>
            <w:rStyle w:val="Hipercze"/>
            <w:noProof/>
          </w:rPr>
          <w:t>ZAŁĄCZNIKI</w:t>
        </w:r>
        <w:r w:rsidR="00DB385A">
          <w:rPr>
            <w:noProof/>
            <w:webHidden/>
          </w:rPr>
          <w:tab/>
        </w:r>
        <w:r w:rsidR="00DB385A">
          <w:rPr>
            <w:noProof/>
            <w:webHidden/>
          </w:rPr>
          <w:fldChar w:fldCharType="begin"/>
        </w:r>
        <w:r w:rsidR="00DB385A">
          <w:rPr>
            <w:noProof/>
            <w:webHidden/>
          </w:rPr>
          <w:instrText xml:space="preserve"> PAGEREF _Toc6523764 \h </w:instrText>
        </w:r>
        <w:r w:rsidR="00DB385A">
          <w:rPr>
            <w:noProof/>
            <w:webHidden/>
          </w:rPr>
        </w:r>
        <w:r w:rsidR="00DB385A">
          <w:rPr>
            <w:noProof/>
            <w:webHidden/>
          </w:rPr>
          <w:fldChar w:fldCharType="separate"/>
        </w:r>
        <w:r w:rsidR="00E667FD">
          <w:rPr>
            <w:noProof/>
            <w:webHidden/>
          </w:rPr>
          <w:t>409</w:t>
        </w:r>
        <w:r w:rsidR="00DB385A">
          <w:rPr>
            <w:noProof/>
            <w:webHidden/>
          </w:rPr>
          <w:fldChar w:fldCharType="end"/>
        </w:r>
      </w:hyperlink>
    </w:p>
    <w:p w14:paraId="2C309A5B"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65" w:history="1">
        <w:r w:rsidR="00DB385A" w:rsidRPr="00B11D46">
          <w:rPr>
            <w:rStyle w:val="Hipercze"/>
            <w:noProof/>
          </w:rPr>
          <w:t>10.1</w:t>
        </w:r>
        <w:r w:rsidR="00DB385A" w:rsidRPr="005F04FC">
          <w:rPr>
            <w:rFonts w:ascii="Calibri" w:hAnsi="Calibri"/>
            <w:noProof/>
            <w:sz w:val="22"/>
            <w:szCs w:val="22"/>
          </w:rPr>
          <w:tab/>
        </w:r>
        <w:r w:rsidR="00DB385A" w:rsidRPr="00B11D46">
          <w:rPr>
            <w:rStyle w:val="Hipercze"/>
            <w:noProof/>
          </w:rPr>
          <w:t>Spis tabel</w:t>
        </w:r>
        <w:r w:rsidR="00DB385A">
          <w:rPr>
            <w:noProof/>
            <w:webHidden/>
          </w:rPr>
          <w:tab/>
        </w:r>
        <w:r w:rsidR="00DB385A">
          <w:rPr>
            <w:noProof/>
            <w:webHidden/>
          </w:rPr>
          <w:fldChar w:fldCharType="begin"/>
        </w:r>
        <w:r w:rsidR="00DB385A">
          <w:rPr>
            <w:noProof/>
            <w:webHidden/>
          </w:rPr>
          <w:instrText xml:space="preserve"> PAGEREF _Toc6523765 \h </w:instrText>
        </w:r>
        <w:r w:rsidR="00DB385A">
          <w:rPr>
            <w:noProof/>
            <w:webHidden/>
          </w:rPr>
        </w:r>
        <w:r w:rsidR="00DB385A">
          <w:rPr>
            <w:noProof/>
            <w:webHidden/>
          </w:rPr>
          <w:fldChar w:fldCharType="separate"/>
        </w:r>
        <w:r w:rsidR="00E667FD">
          <w:rPr>
            <w:noProof/>
            <w:webHidden/>
          </w:rPr>
          <w:t>409</w:t>
        </w:r>
        <w:r w:rsidR="00DB385A">
          <w:rPr>
            <w:noProof/>
            <w:webHidden/>
          </w:rPr>
          <w:fldChar w:fldCharType="end"/>
        </w:r>
      </w:hyperlink>
    </w:p>
    <w:p w14:paraId="5F9E70B2"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66" w:history="1">
        <w:r w:rsidR="00DB385A" w:rsidRPr="00B11D46">
          <w:rPr>
            <w:rStyle w:val="Hipercze"/>
            <w:noProof/>
          </w:rPr>
          <w:t>10.2</w:t>
        </w:r>
        <w:r w:rsidR="00DB385A" w:rsidRPr="005F04FC">
          <w:rPr>
            <w:rFonts w:ascii="Calibri" w:hAnsi="Calibri"/>
            <w:noProof/>
            <w:sz w:val="22"/>
            <w:szCs w:val="22"/>
          </w:rPr>
          <w:tab/>
        </w:r>
        <w:r w:rsidR="00DB385A" w:rsidRPr="00B11D46">
          <w:rPr>
            <w:rStyle w:val="Hipercze"/>
            <w:noProof/>
          </w:rPr>
          <w:t>Spis wykresów</w:t>
        </w:r>
        <w:r w:rsidR="00DB385A">
          <w:rPr>
            <w:noProof/>
            <w:webHidden/>
          </w:rPr>
          <w:tab/>
        </w:r>
        <w:r w:rsidR="00DB385A">
          <w:rPr>
            <w:noProof/>
            <w:webHidden/>
          </w:rPr>
          <w:fldChar w:fldCharType="begin"/>
        </w:r>
        <w:r w:rsidR="00DB385A">
          <w:rPr>
            <w:noProof/>
            <w:webHidden/>
          </w:rPr>
          <w:instrText xml:space="preserve"> PAGEREF _Toc6523766 \h </w:instrText>
        </w:r>
        <w:r w:rsidR="00DB385A">
          <w:rPr>
            <w:noProof/>
            <w:webHidden/>
          </w:rPr>
        </w:r>
        <w:r w:rsidR="00DB385A">
          <w:rPr>
            <w:noProof/>
            <w:webHidden/>
          </w:rPr>
          <w:fldChar w:fldCharType="separate"/>
        </w:r>
        <w:r w:rsidR="00E667FD">
          <w:rPr>
            <w:noProof/>
            <w:webHidden/>
          </w:rPr>
          <w:t>417</w:t>
        </w:r>
        <w:r w:rsidR="00DB385A">
          <w:rPr>
            <w:noProof/>
            <w:webHidden/>
          </w:rPr>
          <w:fldChar w:fldCharType="end"/>
        </w:r>
      </w:hyperlink>
    </w:p>
    <w:p w14:paraId="5C563C1F"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67" w:history="1">
        <w:r w:rsidR="00DB385A" w:rsidRPr="00B11D46">
          <w:rPr>
            <w:rStyle w:val="Hipercze"/>
            <w:noProof/>
          </w:rPr>
          <w:t>10.3</w:t>
        </w:r>
        <w:r w:rsidR="00DB385A" w:rsidRPr="005F04FC">
          <w:rPr>
            <w:rFonts w:ascii="Calibri" w:hAnsi="Calibri"/>
            <w:noProof/>
            <w:sz w:val="22"/>
            <w:szCs w:val="22"/>
          </w:rPr>
          <w:tab/>
        </w:r>
        <w:r w:rsidR="00DB385A" w:rsidRPr="00B11D46">
          <w:rPr>
            <w:rStyle w:val="Hipercze"/>
            <w:noProof/>
          </w:rPr>
          <w:t>Spis rysunków i map</w:t>
        </w:r>
        <w:r w:rsidR="00DB385A">
          <w:rPr>
            <w:noProof/>
            <w:webHidden/>
          </w:rPr>
          <w:tab/>
        </w:r>
        <w:r w:rsidR="00DB385A">
          <w:rPr>
            <w:noProof/>
            <w:webHidden/>
          </w:rPr>
          <w:fldChar w:fldCharType="begin"/>
        </w:r>
        <w:r w:rsidR="00DB385A">
          <w:rPr>
            <w:noProof/>
            <w:webHidden/>
          </w:rPr>
          <w:instrText xml:space="preserve"> PAGEREF _Toc6523767 \h </w:instrText>
        </w:r>
        <w:r w:rsidR="00DB385A">
          <w:rPr>
            <w:noProof/>
            <w:webHidden/>
          </w:rPr>
        </w:r>
        <w:r w:rsidR="00DB385A">
          <w:rPr>
            <w:noProof/>
            <w:webHidden/>
          </w:rPr>
          <w:fldChar w:fldCharType="separate"/>
        </w:r>
        <w:r w:rsidR="00E667FD">
          <w:rPr>
            <w:noProof/>
            <w:webHidden/>
          </w:rPr>
          <w:t>419</w:t>
        </w:r>
        <w:r w:rsidR="00DB385A">
          <w:rPr>
            <w:noProof/>
            <w:webHidden/>
          </w:rPr>
          <w:fldChar w:fldCharType="end"/>
        </w:r>
      </w:hyperlink>
    </w:p>
    <w:p w14:paraId="734D5AD5" w14:textId="77777777" w:rsidR="00DB385A" w:rsidRPr="005F04FC" w:rsidRDefault="00FA14F6">
      <w:pPr>
        <w:pStyle w:val="Spistreci1"/>
        <w:tabs>
          <w:tab w:val="left" w:pos="480"/>
          <w:tab w:val="right" w:leader="dot" w:pos="9062"/>
        </w:tabs>
        <w:rPr>
          <w:rFonts w:ascii="Calibri" w:hAnsi="Calibri"/>
          <w:noProof/>
          <w:sz w:val="22"/>
          <w:szCs w:val="22"/>
        </w:rPr>
      </w:pPr>
      <w:hyperlink w:anchor="_Toc6523768" w:history="1">
        <w:r w:rsidR="00DB385A" w:rsidRPr="00B11D46">
          <w:rPr>
            <w:rStyle w:val="Hipercze"/>
            <w:noProof/>
          </w:rPr>
          <w:t>11</w:t>
        </w:r>
        <w:r w:rsidR="00DB385A" w:rsidRPr="005F04FC">
          <w:rPr>
            <w:rFonts w:ascii="Calibri" w:hAnsi="Calibri"/>
            <w:noProof/>
            <w:sz w:val="22"/>
            <w:szCs w:val="22"/>
          </w:rPr>
          <w:tab/>
        </w:r>
        <w:r w:rsidR="00DB385A" w:rsidRPr="00B11D46">
          <w:rPr>
            <w:rStyle w:val="Hipercze"/>
            <w:noProof/>
          </w:rPr>
          <w:t>ANEKSY</w:t>
        </w:r>
        <w:r w:rsidR="00DB385A">
          <w:rPr>
            <w:noProof/>
            <w:webHidden/>
          </w:rPr>
          <w:tab/>
        </w:r>
        <w:r w:rsidR="00DB385A">
          <w:rPr>
            <w:noProof/>
            <w:webHidden/>
          </w:rPr>
          <w:fldChar w:fldCharType="begin"/>
        </w:r>
        <w:r w:rsidR="00DB385A">
          <w:rPr>
            <w:noProof/>
            <w:webHidden/>
          </w:rPr>
          <w:instrText xml:space="preserve"> PAGEREF _Toc6523768 \h </w:instrText>
        </w:r>
        <w:r w:rsidR="00DB385A">
          <w:rPr>
            <w:noProof/>
            <w:webHidden/>
          </w:rPr>
        </w:r>
        <w:r w:rsidR="00DB385A">
          <w:rPr>
            <w:noProof/>
            <w:webHidden/>
          </w:rPr>
          <w:fldChar w:fldCharType="separate"/>
        </w:r>
        <w:r w:rsidR="00E667FD">
          <w:rPr>
            <w:noProof/>
            <w:webHidden/>
          </w:rPr>
          <w:t>420</w:t>
        </w:r>
        <w:r w:rsidR="00DB385A">
          <w:rPr>
            <w:noProof/>
            <w:webHidden/>
          </w:rPr>
          <w:fldChar w:fldCharType="end"/>
        </w:r>
      </w:hyperlink>
    </w:p>
    <w:p w14:paraId="79A29AF5"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69" w:history="1">
        <w:r w:rsidR="00DB385A" w:rsidRPr="00B11D46">
          <w:rPr>
            <w:rStyle w:val="Hipercze"/>
            <w:noProof/>
          </w:rPr>
          <w:t>11.1</w:t>
        </w:r>
        <w:r w:rsidR="00DB385A" w:rsidRPr="005F04FC">
          <w:rPr>
            <w:rFonts w:ascii="Calibri" w:hAnsi="Calibri"/>
            <w:noProof/>
            <w:sz w:val="22"/>
            <w:szCs w:val="22"/>
          </w:rPr>
          <w:tab/>
        </w:r>
        <w:r w:rsidR="00DB385A" w:rsidRPr="00B11D46">
          <w:rPr>
            <w:rStyle w:val="Hipercze"/>
            <w:noProof/>
          </w:rPr>
          <w:t>Podsumowanie – syntetyczne odpowiedzi na postawione pytania badawcze</w:t>
        </w:r>
        <w:r w:rsidR="00DB385A">
          <w:rPr>
            <w:noProof/>
            <w:webHidden/>
          </w:rPr>
          <w:tab/>
        </w:r>
        <w:r w:rsidR="00DB385A">
          <w:rPr>
            <w:noProof/>
            <w:webHidden/>
          </w:rPr>
          <w:fldChar w:fldCharType="begin"/>
        </w:r>
        <w:r w:rsidR="00DB385A">
          <w:rPr>
            <w:noProof/>
            <w:webHidden/>
          </w:rPr>
          <w:instrText xml:space="preserve"> PAGEREF _Toc6523769 \h </w:instrText>
        </w:r>
        <w:r w:rsidR="00DB385A">
          <w:rPr>
            <w:noProof/>
            <w:webHidden/>
          </w:rPr>
        </w:r>
        <w:r w:rsidR="00DB385A">
          <w:rPr>
            <w:noProof/>
            <w:webHidden/>
          </w:rPr>
          <w:fldChar w:fldCharType="separate"/>
        </w:r>
        <w:r w:rsidR="00E667FD">
          <w:rPr>
            <w:noProof/>
            <w:webHidden/>
          </w:rPr>
          <w:t>420</w:t>
        </w:r>
        <w:r w:rsidR="00DB385A">
          <w:rPr>
            <w:noProof/>
            <w:webHidden/>
          </w:rPr>
          <w:fldChar w:fldCharType="end"/>
        </w:r>
      </w:hyperlink>
    </w:p>
    <w:p w14:paraId="6E1F9353"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70" w:history="1">
        <w:r w:rsidR="00DB385A" w:rsidRPr="00B11D46">
          <w:rPr>
            <w:rStyle w:val="Hipercze"/>
            <w:noProof/>
          </w:rPr>
          <w:t>11.2</w:t>
        </w:r>
        <w:r w:rsidR="00DB385A" w:rsidRPr="005F04FC">
          <w:rPr>
            <w:rFonts w:ascii="Calibri" w:hAnsi="Calibri"/>
            <w:noProof/>
            <w:sz w:val="22"/>
            <w:szCs w:val="22"/>
          </w:rPr>
          <w:tab/>
        </w:r>
        <w:r w:rsidR="00DB385A" w:rsidRPr="00B11D46">
          <w:rPr>
            <w:rStyle w:val="Hipercze"/>
            <w:noProof/>
          </w:rPr>
          <w:t>Narzędzia badawcze</w:t>
        </w:r>
        <w:r w:rsidR="00DB385A">
          <w:rPr>
            <w:noProof/>
            <w:webHidden/>
          </w:rPr>
          <w:tab/>
        </w:r>
        <w:r w:rsidR="00DB385A">
          <w:rPr>
            <w:noProof/>
            <w:webHidden/>
          </w:rPr>
          <w:fldChar w:fldCharType="begin"/>
        </w:r>
        <w:r w:rsidR="00DB385A">
          <w:rPr>
            <w:noProof/>
            <w:webHidden/>
          </w:rPr>
          <w:instrText xml:space="preserve"> PAGEREF _Toc6523770 \h </w:instrText>
        </w:r>
        <w:r w:rsidR="00DB385A">
          <w:rPr>
            <w:noProof/>
            <w:webHidden/>
          </w:rPr>
        </w:r>
        <w:r w:rsidR="00DB385A">
          <w:rPr>
            <w:noProof/>
            <w:webHidden/>
          </w:rPr>
          <w:fldChar w:fldCharType="separate"/>
        </w:r>
        <w:r w:rsidR="00E667FD">
          <w:rPr>
            <w:noProof/>
            <w:webHidden/>
          </w:rPr>
          <w:t>420</w:t>
        </w:r>
        <w:r w:rsidR="00DB385A">
          <w:rPr>
            <w:noProof/>
            <w:webHidden/>
          </w:rPr>
          <w:fldChar w:fldCharType="end"/>
        </w:r>
      </w:hyperlink>
    </w:p>
    <w:p w14:paraId="4C63CDC3"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71" w:history="1">
        <w:r w:rsidR="00DB385A" w:rsidRPr="00B11D46">
          <w:rPr>
            <w:rStyle w:val="Hipercze"/>
            <w:noProof/>
          </w:rPr>
          <w:t>11.3</w:t>
        </w:r>
        <w:r w:rsidR="00DB385A" w:rsidRPr="005F04FC">
          <w:rPr>
            <w:rFonts w:ascii="Calibri" w:hAnsi="Calibri"/>
            <w:noProof/>
            <w:sz w:val="22"/>
            <w:szCs w:val="22"/>
          </w:rPr>
          <w:tab/>
        </w:r>
        <w:r w:rsidR="00DB385A" w:rsidRPr="00B11D46">
          <w:rPr>
            <w:rStyle w:val="Hipercze"/>
            <w:noProof/>
          </w:rPr>
          <w:t>Dane pierwotne zebrane w trakcie badania</w:t>
        </w:r>
        <w:r w:rsidR="00DB385A">
          <w:rPr>
            <w:noProof/>
            <w:webHidden/>
          </w:rPr>
          <w:tab/>
        </w:r>
        <w:r w:rsidR="00DB385A">
          <w:rPr>
            <w:noProof/>
            <w:webHidden/>
          </w:rPr>
          <w:fldChar w:fldCharType="begin"/>
        </w:r>
        <w:r w:rsidR="00DB385A">
          <w:rPr>
            <w:noProof/>
            <w:webHidden/>
          </w:rPr>
          <w:instrText xml:space="preserve"> PAGEREF _Toc6523771 \h </w:instrText>
        </w:r>
        <w:r w:rsidR="00DB385A">
          <w:rPr>
            <w:noProof/>
            <w:webHidden/>
          </w:rPr>
        </w:r>
        <w:r w:rsidR="00DB385A">
          <w:rPr>
            <w:noProof/>
            <w:webHidden/>
          </w:rPr>
          <w:fldChar w:fldCharType="separate"/>
        </w:r>
        <w:r w:rsidR="00E667FD">
          <w:rPr>
            <w:noProof/>
            <w:webHidden/>
          </w:rPr>
          <w:t>421</w:t>
        </w:r>
        <w:r w:rsidR="00DB385A">
          <w:rPr>
            <w:noProof/>
            <w:webHidden/>
          </w:rPr>
          <w:fldChar w:fldCharType="end"/>
        </w:r>
      </w:hyperlink>
    </w:p>
    <w:p w14:paraId="2BD9A05C" w14:textId="77777777" w:rsidR="00DB385A" w:rsidRPr="005F04FC" w:rsidRDefault="00FA14F6">
      <w:pPr>
        <w:pStyle w:val="Spistreci2"/>
        <w:tabs>
          <w:tab w:val="left" w:pos="880"/>
          <w:tab w:val="right" w:leader="dot" w:pos="9062"/>
        </w:tabs>
        <w:rPr>
          <w:rFonts w:ascii="Calibri" w:hAnsi="Calibri"/>
          <w:noProof/>
          <w:sz w:val="22"/>
          <w:szCs w:val="22"/>
        </w:rPr>
      </w:pPr>
      <w:hyperlink w:anchor="_Toc6523772" w:history="1">
        <w:r w:rsidR="00DB385A" w:rsidRPr="00B11D46">
          <w:rPr>
            <w:rStyle w:val="Hipercze"/>
            <w:noProof/>
          </w:rPr>
          <w:t>11.4</w:t>
        </w:r>
        <w:r w:rsidR="00DB385A" w:rsidRPr="005F04FC">
          <w:rPr>
            <w:rFonts w:ascii="Calibri" w:hAnsi="Calibri"/>
            <w:noProof/>
            <w:sz w:val="22"/>
            <w:szCs w:val="22"/>
          </w:rPr>
          <w:tab/>
        </w:r>
        <w:r w:rsidR="00DB385A" w:rsidRPr="00B11D46">
          <w:rPr>
            <w:rStyle w:val="Hipercze"/>
            <w:noProof/>
          </w:rPr>
          <w:t>Odtworzone logiki interwencji dla OP I-IX RPO WZ 2014-2020</w:t>
        </w:r>
        <w:r w:rsidR="00DB385A">
          <w:rPr>
            <w:noProof/>
            <w:webHidden/>
          </w:rPr>
          <w:tab/>
        </w:r>
        <w:r w:rsidR="00DB385A">
          <w:rPr>
            <w:noProof/>
            <w:webHidden/>
          </w:rPr>
          <w:fldChar w:fldCharType="begin"/>
        </w:r>
        <w:r w:rsidR="00DB385A">
          <w:rPr>
            <w:noProof/>
            <w:webHidden/>
          </w:rPr>
          <w:instrText xml:space="preserve"> PAGEREF _Toc6523772 \h </w:instrText>
        </w:r>
        <w:r w:rsidR="00DB385A">
          <w:rPr>
            <w:noProof/>
            <w:webHidden/>
          </w:rPr>
        </w:r>
        <w:r w:rsidR="00DB385A">
          <w:rPr>
            <w:noProof/>
            <w:webHidden/>
          </w:rPr>
          <w:fldChar w:fldCharType="separate"/>
        </w:r>
        <w:r w:rsidR="00E667FD">
          <w:rPr>
            <w:noProof/>
            <w:webHidden/>
          </w:rPr>
          <w:t>421</w:t>
        </w:r>
        <w:r w:rsidR="00DB385A">
          <w:rPr>
            <w:noProof/>
            <w:webHidden/>
          </w:rPr>
          <w:fldChar w:fldCharType="end"/>
        </w:r>
      </w:hyperlink>
    </w:p>
    <w:p w14:paraId="56E9C030" w14:textId="77777777" w:rsidR="00792824" w:rsidRPr="00801DB4" w:rsidRDefault="00037594">
      <w:pPr>
        <w:rPr>
          <w:szCs w:val="20"/>
        </w:rPr>
      </w:pPr>
      <w:r w:rsidRPr="00910AB0">
        <w:rPr>
          <w:b/>
          <w:bCs/>
          <w:sz w:val="18"/>
          <w:szCs w:val="20"/>
        </w:rPr>
        <w:fldChar w:fldCharType="end"/>
      </w:r>
    </w:p>
    <w:p w14:paraId="607ED850" w14:textId="77777777" w:rsidR="00792824" w:rsidRPr="00404DA5" w:rsidRDefault="00792824">
      <w:pPr>
        <w:spacing w:after="200" w:line="276" w:lineRule="auto"/>
        <w:rPr>
          <w:b/>
          <w:bCs/>
          <w:color w:val="365F91"/>
          <w:szCs w:val="20"/>
        </w:rPr>
      </w:pPr>
      <w:r w:rsidRPr="00801DB4">
        <w:rPr>
          <w:szCs w:val="20"/>
        </w:rPr>
        <w:br w:type="page"/>
      </w:r>
    </w:p>
    <w:p w14:paraId="7D3D5DF5" w14:textId="77777777" w:rsidR="005D4915" w:rsidRPr="000A479F" w:rsidRDefault="00C10C7F" w:rsidP="000A479F">
      <w:pPr>
        <w:pStyle w:val="Nagwek1"/>
        <w:numPr>
          <w:ilvl w:val="0"/>
          <w:numId w:val="0"/>
        </w:numPr>
      </w:pPr>
      <w:bookmarkStart w:id="3" w:name="_Toc6523739"/>
      <w:r w:rsidRPr="00801DB4">
        <w:lastRenderedPageBreak/>
        <w:t>WYKAZ SKRÓTÓW</w:t>
      </w:r>
      <w:bookmarkEnd w:id="1"/>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2"/>
      </w:tblGrid>
      <w:tr w:rsidR="00AA5F92" w:rsidRPr="00801DB4" w14:paraId="215716BE" w14:textId="77777777" w:rsidTr="005F04FC">
        <w:trPr>
          <w:trHeight w:val="340"/>
          <w:tblHeader/>
        </w:trPr>
        <w:tc>
          <w:tcPr>
            <w:tcW w:w="1980" w:type="dxa"/>
            <w:shd w:val="clear" w:color="auto" w:fill="DBE5F1"/>
          </w:tcPr>
          <w:p w14:paraId="364A8B99" w14:textId="77777777" w:rsidR="00AA5F92" w:rsidRPr="005F04FC" w:rsidRDefault="00AA5F92" w:rsidP="005F04FC">
            <w:pPr>
              <w:jc w:val="center"/>
              <w:rPr>
                <w:b/>
                <w:bCs/>
                <w:szCs w:val="20"/>
              </w:rPr>
            </w:pPr>
            <w:r w:rsidRPr="005F04FC">
              <w:rPr>
                <w:b/>
                <w:bCs/>
                <w:szCs w:val="20"/>
              </w:rPr>
              <w:t>Skrót</w:t>
            </w:r>
          </w:p>
        </w:tc>
        <w:tc>
          <w:tcPr>
            <w:tcW w:w="7082" w:type="dxa"/>
            <w:shd w:val="clear" w:color="auto" w:fill="DBE5F1"/>
          </w:tcPr>
          <w:p w14:paraId="64DA2F57" w14:textId="77777777" w:rsidR="00AA5F92" w:rsidRPr="005F04FC" w:rsidRDefault="00AA5F92" w:rsidP="005F04FC">
            <w:pPr>
              <w:jc w:val="center"/>
              <w:rPr>
                <w:b/>
                <w:bCs/>
                <w:szCs w:val="20"/>
              </w:rPr>
            </w:pPr>
            <w:r w:rsidRPr="005F04FC">
              <w:rPr>
                <w:b/>
                <w:bCs/>
                <w:szCs w:val="20"/>
              </w:rPr>
              <w:t>Rozwinięcie</w:t>
            </w:r>
          </w:p>
        </w:tc>
      </w:tr>
      <w:tr w:rsidR="00AA5F92" w:rsidRPr="00801DB4" w14:paraId="72DA2337" w14:textId="77777777" w:rsidTr="005F04FC">
        <w:trPr>
          <w:trHeight w:val="340"/>
        </w:trPr>
        <w:tc>
          <w:tcPr>
            <w:tcW w:w="1980" w:type="dxa"/>
            <w:shd w:val="clear" w:color="auto" w:fill="auto"/>
          </w:tcPr>
          <w:p w14:paraId="25102D59" w14:textId="77777777" w:rsidR="00AA5F92" w:rsidRPr="005F04FC" w:rsidRDefault="00AA5F92" w:rsidP="007F7D4A">
            <w:pPr>
              <w:rPr>
                <w:rFonts w:cs="Calibri"/>
                <w:bCs/>
                <w:szCs w:val="20"/>
              </w:rPr>
            </w:pPr>
            <w:r w:rsidRPr="005F04FC">
              <w:rPr>
                <w:rFonts w:cs="Calibri"/>
                <w:bCs/>
                <w:szCs w:val="20"/>
              </w:rPr>
              <w:t>B+R</w:t>
            </w:r>
          </w:p>
        </w:tc>
        <w:tc>
          <w:tcPr>
            <w:tcW w:w="7082" w:type="dxa"/>
            <w:shd w:val="clear" w:color="auto" w:fill="auto"/>
          </w:tcPr>
          <w:p w14:paraId="78A87D41" w14:textId="77777777" w:rsidR="00AA5F92" w:rsidRPr="005F04FC" w:rsidRDefault="00AA5F92" w:rsidP="007F7D4A">
            <w:pPr>
              <w:rPr>
                <w:rFonts w:cs="Calibri"/>
                <w:szCs w:val="20"/>
              </w:rPr>
            </w:pPr>
            <w:r w:rsidRPr="005F04FC">
              <w:rPr>
                <w:rFonts w:cs="Calibri"/>
                <w:szCs w:val="20"/>
              </w:rPr>
              <w:t>Prace badawczo-rozwojowe</w:t>
            </w:r>
          </w:p>
        </w:tc>
      </w:tr>
      <w:tr w:rsidR="00AA5F92" w:rsidRPr="00801DB4" w14:paraId="1D0085B7" w14:textId="77777777" w:rsidTr="005F04FC">
        <w:trPr>
          <w:trHeight w:val="340"/>
        </w:trPr>
        <w:tc>
          <w:tcPr>
            <w:tcW w:w="1980" w:type="dxa"/>
            <w:shd w:val="clear" w:color="auto" w:fill="auto"/>
          </w:tcPr>
          <w:p w14:paraId="3585F7E2" w14:textId="77777777" w:rsidR="00AA5F92" w:rsidRPr="005F04FC" w:rsidRDefault="00AA5F92" w:rsidP="007F7D4A">
            <w:pPr>
              <w:rPr>
                <w:rFonts w:cs="Calibri"/>
                <w:bCs/>
                <w:szCs w:val="20"/>
              </w:rPr>
            </w:pPr>
            <w:r w:rsidRPr="005F04FC">
              <w:rPr>
                <w:rFonts w:cs="Calibri"/>
                <w:bCs/>
                <w:szCs w:val="20"/>
              </w:rPr>
              <w:t>B+R+I</w:t>
            </w:r>
          </w:p>
        </w:tc>
        <w:tc>
          <w:tcPr>
            <w:tcW w:w="7082" w:type="dxa"/>
            <w:shd w:val="clear" w:color="auto" w:fill="auto"/>
          </w:tcPr>
          <w:p w14:paraId="6F83592A" w14:textId="77777777" w:rsidR="00AA5F92" w:rsidRPr="005F04FC" w:rsidRDefault="00AA5F92" w:rsidP="007F7D4A">
            <w:pPr>
              <w:rPr>
                <w:rFonts w:cs="Calibri"/>
                <w:szCs w:val="20"/>
              </w:rPr>
            </w:pPr>
            <w:r w:rsidRPr="005F04FC">
              <w:rPr>
                <w:rFonts w:cs="Calibri"/>
                <w:szCs w:val="20"/>
              </w:rPr>
              <w:t>Prace badawczo-rozwojowe</w:t>
            </w:r>
            <w:r w:rsidR="00E66B89" w:rsidRPr="005F04FC">
              <w:rPr>
                <w:rFonts w:cs="Calibri"/>
                <w:szCs w:val="20"/>
              </w:rPr>
              <w:t xml:space="preserve"> i </w:t>
            </w:r>
            <w:r w:rsidRPr="005F04FC">
              <w:rPr>
                <w:rFonts w:cs="Calibri"/>
                <w:szCs w:val="20"/>
              </w:rPr>
              <w:t>innowacyjne</w:t>
            </w:r>
          </w:p>
        </w:tc>
      </w:tr>
      <w:tr w:rsidR="00AA5F92" w:rsidRPr="00801DB4" w14:paraId="70EF894C" w14:textId="77777777" w:rsidTr="005F04FC">
        <w:trPr>
          <w:trHeight w:val="340"/>
        </w:trPr>
        <w:tc>
          <w:tcPr>
            <w:tcW w:w="1980" w:type="dxa"/>
            <w:shd w:val="clear" w:color="auto" w:fill="auto"/>
          </w:tcPr>
          <w:p w14:paraId="38166EDC" w14:textId="77777777" w:rsidR="00AA5F92" w:rsidRPr="005F04FC" w:rsidRDefault="00AA5F92" w:rsidP="007F7D4A">
            <w:pPr>
              <w:rPr>
                <w:rFonts w:cs="Calibri"/>
                <w:bCs/>
                <w:szCs w:val="20"/>
              </w:rPr>
            </w:pPr>
            <w:r w:rsidRPr="005F04FC">
              <w:rPr>
                <w:rFonts w:cs="Calibri"/>
                <w:bCs/>
                <w:szCs w:val="20"/>
              </w:rPr>
              <w:t>CATI</w:t>
            </w:r>
          </w:p>
        </w:tc>
        <w:tc>
          <w:tcPr>
            <w:tcW w:w="7082" w:type="dxa"/>
            <w:shd w:val="clear" w:color="auto" w:fill="auto"/>
          </w:tcPr>
          <w:p w14:paraId="4FA7BC4C" w14:textId="77777777" w:rsidR="00AA5F92" w:rsidRPr="005F04FC" w:rsidRDefault="00AA5F92" w:rsidP="007F7D4A">
            <w:pPr>
              <w:rPr>
                <w:rFonts w:cs="Calibri"/>
                <w:szCs w:val="20"/>
              </w:rPr>
            </w:pPr>
            <w:r w:rsidRPr="005F04FC">
              <w:rPr>
                <w:rFonts w:cs="Calibri"/>
                <w:szCs w:val="20"/>
              </w:rPr>
              <w:t>wspomagany komputerowo wywiad telefoniczny (ang. computer-assisted telephone interviewing)</w:t>
            </w:r>
          </w:p>
        </w:tc>
      </w:tr>
      <w:tr w:rsidR="00AA5F92" w:rsidRPr="00801DB4" w14:paraId="556D2271" w14:textId="77777777" w:rsidTr="005F04FC">
        <w:trPr>
          <w:trHeight w:val="340"/>
        </w:trPr>
        <w:tc>
          <w:tcPr>
            <w:tcW w:w="1980" w:type="dxa"/>
            <w:shd w:val="clear" w:color="auto" w:fill="auto"/>
          </w:tcPr>
          <w:p w14:paraId="307312B6" w14:textId="77777777" w:rsidR="00AA5F92" w:rsidRPr="005F04FC" w:rsidRDefault="00AA5F92" w:rsidP="007F7D4A">
            <w:pPr>
              <w:rPr>
                <w:rFonts w:cs="Calibri"/>
                <w:bCs/>
                <w:szCs w:val="20"/>
              </w:rPr>
            </w:pPr>
            <w:r w:rsidRPr="005F04FC">
              <w:rPr>
                <w:rFonts w:cs="Calibri"/>
                <w:bCs/>
                <w:szCs w:val="20"/>
              </w:rPr>
              <w:t>CAWI</w:t>
            </w:r>
          </w:p>
        </w:tc>
        <w:tc>
          <w:tcPr>
            <w:tcW w:w="7082" w:type="dxa"/>
            <w:shd w:val="clear" w:color="auto" w:fill="auto"/>
          </w:tcPr>
          <w:p w14:paraId="49A18B63" w14:textId="77777777" w:rsidR="00AA5F92" w:rsidRPr="005F04FC" w:rsidRDefault="00AA5F92" w:rsidP="007F7D4A">
            <w:pPr>
              <w:rPr>
                <w:rFonts w:cs="Calibri"/>
                <w:szCs w:val="20"/>
              </w:rPr>
            </w:pPr>
            <w:r w:rsidRPr="005F04FC">
              <w:rPr>
                <w:rFonts w:cs="Calibri"/>
                <w:szCs w:val="20"/>
              </w:rPr>
              <w:t>wspomagany komputerowo wywiad przy pomocy strony WWW (ang. Computer-Assisted Web Interview)</w:t>
            </w:r>
          </w:p>
        </w:tc>
      </w:tr>
      <w:tr w:rsidR="00AA5F92" w:rsidRPr="00FA14F6" w14:paraId="697A642A" w14:textId="77777777" w:rsidTr="005F04FC">
        <w:trPr>
          <w:trHeight w:val="340"/>
        </w:trPr>
        <w:tc>
          <w:tcPr>
            <w:tcW w:w="1980" w:type="dxa"/>
            <w:shd w:val="clear" w:color="auto" w:fill="auto"/>
          </w:tcPr>
          <w:p w14:paraId="56CF1BD8" w14:textId="77777777" w:rsidR="00AA5F92" w:rsidRPr="005F04FC" w:rsidRDefault="00AA5F92" w:rsidP="007F7D4A">
            <w:pPr>
              <w:rPr>
                <w:rFonts w:cs="Calibri"/>
                <w:bCs/>
                <w:szCs w:val="20"/>
              </w:rPr>
            </w:pPr>
            <w:r w:rsidRPr="005F04FC">
              <w:rPr>
                <w:rFonts w:cs="Calibri"/>
                <w:bCs/>
                <w:szCs w:val="20"/>
              </w:rPr>
              <w:t>CEF</w:t>
            </w:r>
          </w:p>
        </w:tc>
        <w:tc>
          <w:tcPr>
            <w:tcW w:w="7082" w:type="dxa"/>
            <w:shd w:val="clear" w:color="auto" w:fill="auto"/>
          </w:tcPr>
          <w:p w14:paraId="626C22A8" w14:textId="77777777" w:rsidR="00AA5F92" w:rsidRPr="005F04FC" w:rsidRDefault="00AA5F92" w:rsidP="007F7D4A">
            <w:pPr>
              <w:rPr>
                <w:rFonts w:cs="Calibri"/>
                <w:szCs w:val="20"/>
                <w:lang w:val="en-US"/>
              </w:rPr>
            </w:pPr>
            <w:r w:rsidRPr="005F04FC">
              <w:rPr>
                <w:rFonts w:cs="Calibri"/>
                <w:szCs w:val="20"/>
                <w:lang w:val="en-US"/>
              </w:rPr>
              <w:t>Instrument „Łącząc Europę” (ang. Connecting Europe Facility)</w:t>
            </w:r>
          </w:p>
        </w:tc>
      </w:tr>
      <w:tr w:rsidR="00AA5F92" w:rsidRPr="00801DB4" w14:paraId="5E2A20E0" w14:textId="77777777" w:rsidTr="005F04FC">
        <w:trPr>
          <w:trHeight w:val="340"/>
        </w:trPr>
        <w:tc>
          <w:tcPr>
            <w:tcW w:w="1980" w:type="dxa"/>
            <w:shd w:val="clear" w:color="auto" w:fill="auto"/>
          </w:tcPr>
          <w:p w14:paraId="176196FF" w14:textId="77777777" w:rsidR="00AA5F92" w:rsidRPr="005F04FC" w:rsidRDefault="00AA5F92" w:rsidP="007F7D4A">
            <w:pPr>
              <w:rPr>
                <w:rFonts w:cs="Calibri"/>
                <w:bCs/>
                <w:szCs w:val="20"/>
              </w:rPr>
            </w:pPr>
            <w:r w:rsidRPr="005F04FC">
              <w:rPr>
                <w:rFonts w:cs="Calibri"/>
                <w:bCs/>
                <w:szCs w:val="20"/>
              </w:rPr>
              <w:t>CKZiU</w:t>
            </w:r>
          </w:p>
        </w:tc>
        <w:tc>
          <w:tcPr>
            <w:tcW w:w="7082" w:type="dxa"/>
            <w:shd w:val="clear" w:color="auto" w:fill="auto"/>
          </w:tcPr>
          <w:p w14:paraId="15EA7228" w14:textId="77777777" w:rsidR="00AA5F92" w:rsidRPr="005F04FC" w:rsidRDefault="00AA5F92" w:rsidP="007F7D4A">
            <w:pPr>
              <w:rPr>
                <w:rFonts w:cs="Calibri"/>
                <w:szCs w:val="20"/>
              </w:rPr>
            </w:pPr>
            <w:r w:rsidRPr="005F04FC">
              <w:rPr>
                <w:rFonts w:cs="Calibri"/>
                <w:szCs w:val="20"/>
              </w:rPr>
              <w:t>Centrum Kształcenia Zawodowego</w:t>
            </w:r>
            <w:r w:rsidR="00E66B89" w:rsidRPr="005F04FC">
              <w:rPr>
                <w:rFonts w:cs="Calibri"/>
                <w:szCs w:val="20"/>
              </w:rPr>
              <w:t xml:space="preserve"> i </w:t>
            </w:r>
            <w:r w:rsidRPr="005F04FC">
              <w:rPr>
                <w:rFonts w:cs="Calibri"/>
                <w:szCs w:val="20"/>
              </w:rPr>
              <w:t>Ustawicznego</w:t>
            </w:r>
          </w:p>
        </w:tc>
      </w:tr>
      <w:tr w:rsidR="00AA5F92" w:rsidRPr="00801DB4" w14:paraId="16E7B4D2" w14:textId="77777777" w:rsidTr="005F04FC">
        <w:trPr>
          <w:trHeight w:val="340"/>
        </w:trPr>
        <w:tc>
          <w:tcPr>
            <w:tcW w:w="1980" w:type="dxa"/>
            <w:shd w:val="clear" w:color="auto" w:fill="auto"/>
          </w:tcPr>
          <w:p w14:paraId="113C21FF" w14:textId="77777777" w:rsidR="00AA5F92" w:rsidRPr="005F04FC" w:rsidRDefault="00AA5F92" w:rsidP="007F7D4A">
            <w:pPr>
              <w:rPr>
                <w:rFonts w:cs="Calibri"/>
                <w:bCs/>
                <w:szCs w:val="20"/>
              </w:rPr>
            </w:pPr>
            <w:r w:rsidRPr="005F04FC">
              <w:rPr>
                <w:rFonts w:cs="Calibri"/>
                <w:bCs/>
                <w:szCs w:val="20"/>
              </w:rPr>
              <w:t>CPI</w:t>
            </w:r>
          </w:p>
        </w:tc>
        <w:tc>
          <w:tcPr>
            <w:tcW w:w="7082" w:type="dxa"/>
            <w:shd w:val="clear" w:color="auto" w:fill="auto"/>
          </w:tcPr>
          <w:p w14:paraId="4AF0E756" w14:textId="77777777" w:rsidR="00AA5F92" w:rsidRPr="005F04FC" w:rsidRDefault="00AA5F92" w:rsidP="007F7D4A">
            <w:pPr>
              <w:rPr>
                <w:rFonts w:cs="Calibri"/>
                <w:szCs w:val="20"/>
              </w:rPr>
            </w:pPr>
            <w:r w:rsidRPr="005F04FC">
              <w:rPr>
                <w:rFonts w:cs="Calibri"/>
                <w:color w:val="000000"/>
                <w:szCs w:val="20"/>
              </w:rPr>
              <w:t>Consumer Price Index</w:t>
            </w:r>
          </w:p>
        </w:tc>
      </w:tr>
      <w:tr w:rsidR="00AA5F92" w:rsidRPr="00801DB4" w14:paraId="7A002E7A" w14:textId="77777777" w:rsidTr="005F04FC">
        <w:trPr>
          <w:trHeight w:val="340"/>
        </w:trPr>
        <w:tc>
          <w:tcPr>
            <w:tcW w:w="1980" w:type="dxa"/>
            <w:shd w:val="clear" w:color="auto" w:fill="auto"/>
          </w:tcPr>
          <w:p w14:paraId="5210A951" w14:textId="77777777" w:rsidR="00AA5F92" w:rsidRPr="005F04FC" w:rsidRDefault="00AA5F92" w:rsidP="007F7D4A">
            <w:pPr>
              <w:rPr>
                <w:rFonts w:cs="Calibri"/>
                <w:bCs/>
                <w:szCs w:val="20"/>
              </w:rPr>
            </w:pPr>
            <w:r w:rsidRPr="005F04FC">
              <w:rPr>
                <w:rFonts w:cs="Calibri"/>
                <w:bCs/>
                <w:szCs w:val="20"/>
              </w:rPr>
              <w:t>CT</w:t>
            </w:r>
          </w:p>
        </w:tc>
        <w:tc>
          <w:tcPr>
            <w:tcW w:w="7082" w:type="dxa"/>
            <w:shd w:val="clear" w:color="auto" w:fill="auto"/>
          </w:tcPr>
          <w:p w14:paraId="643C57C6" w14:textId="77777777" w:rsidR="00AA5F92" w:rsidRPr="005F04FC" w:rsidRDefault="00AA5F92" w:rsidP="007F7D4A">
            <w:pPr>
              <w:rPr>
                <w:rFonts w:cs="Calibri"/>
                <w:szCs w:val="20"/>
              </w:rPr>
            </w:pPr>
            <w:r w:rsidRPr="005F04FC">
              <w:rPr>
                <w:rFonts w:cs="Calibri"/>
                <w:szCs w:val="20"/>
              </w:rPr>
              <w:t>Cel tematyczny</w:t>
            </w:r>
          </w:p>
        </w:tc>
      </w:tr>
      <w:tr w:rsidR="00AA5F92" w:rsidRPr="00801DB4" w14:paraId="6BB6FC7F" w14:textId="77777777" w:rsidTr="005F04FC">
        <w:trPr>
          <w:trHeight w:val="340"/>
        </w:trPr>
        <w:tc>
          <w:tcPr>
            <w:tcW w:w="1980" w:type="dxa"/>
            <w:shd w:val="clear" w:color="auto" w:fill="auto"/>
          </w:tcPr>
          <w:p w14:paraId="7403FF92" w14:textId="77777777" w:rsidR="00AA5F92" w:rsidRPr="005F04FC" w:rsidRDefault="00AA5F92" w:rsidP="007F7D4A">
            <w:pPr>
              <w:rPr>
                <w:rFonts w:cs="Calibri"/>
                <w:bCs/>
                <w:szCs w:val="20"/>
              </w:rPr>
            </w:pPr>
            <w:r w:rsidRPr="005F04FC">
              <w:rPr>
                <w:rFonts w:cs="Calibri"/>
                <w:bCs/>
                <w:szCs w:val="20"/>
              </w:rPr>
              <w:t>GUS</w:t>
            </w:r>
          </w:p>
        </w:tc>
        <w:tc>
          <w:tcPr>
            <w:tcW w:w="7082" w:type="dxa"/>
            <w:shd w:val="clear" w:color="auto" w:fill="auto"/>
          </w:tcPr>
          <w:p w14:paraId="58706A9D" w14:textId="77777777" w:rsidR="00AA5F92" w:rsidRPr="005F04FC" w:rsidRDefault="00AA5F92" w:rsidP="007F7D4A">
            <w:pPr>
              <w:rPr>
                <w:rFonts w:cs="Calibri"/>
                <w:szCs w:val="20"/>
              </w:rPr>
            </w:pPr>
            <w:r w:rsidRPr="005F04FC">
              <w:rPr>
                <w:rFonts w:cs="Calibri"/>
                <w:szCs w:val="20"/>
              </w:rPr>
              <w:t>Główny Urząd Statystyczny</w:t>
            </w:r>
          </w:p>
        </w:tc>
      </w:tr>
      <w:tr w:rsidR="00AA5F92" w:rsidRPr="00801DB4" w14:paraId="3891CF52" w14:textId="77777777" w:rsidTr="005F04FC">
        <w:trPr>
          <w:trHeight w:val="340"/>
        </w:trPr>
        <w:tc>
          <w:tcPr>
            <w:tcW w:w="1980" w:type="dxa"/>
            <w:shd w:val="clear" w:color="auto" w:fill="auto"/>
          </w:tcPr>
          <w:p w14:paraId="660190D1" w14:textId="77777777" w:rsidR="00AA5F92" w:rsidRPr="005F04FC" w:rsidRDefault="00AA5F92" w:rsidP="007F7D4A">
            <w:pPr>
              <w:rPr>
                <w:rFonts w:cs="Calibri"/>
                <w:bCs/>
                <w:szCs w:val="20"/>
              </w:rPr>
            </w:pPr>
            <w:r w:rsidRPr="005F04FC">
              <w:rPr>
                <w:rFonts w:cs="Calibri"/>
                <w:bCs/>
                <w:szCs w:val="20"/>
              </w:rPr>
              <w:t>EFRR</w:t>
            </w:r>
          </w:p>
        </w:tc>
        <w:tc>
          <w:tcPr>
            <w:tcW w:w="7082" w:type="dxa"/>
            <w:shd w:val="clear" w:color="auto" w:fill="auto"/>
          </w:tcPr>
          <w:p w14:paraId="651D855B" w14:textId="77777777" w:rsidR="00AA5F92" w:rsidRPr="005F04FC" w:rsidRDefault="00AA5F92" w:rsidP="007F7D4A">
            <w:pPr>
              <w:rPr>
                <w:rFonts w:cs="Calibri"/>
                <w:szCs w:val="20"/>
              </w:rPr>
            </w:pPr>
            <w:r w:rsidRPr="005F04FC">
              <w:rPr>
                <w:rFonts w:cs="Calibri"/>
                <w:szCs w:val="20"/>
              </w:rPr>
              <w:t>Europejski Fundusz Rozwoju Regionalnego</w:t>
            </w:r>
          </w:p>
        </w:tc>
      </w:tr>
      <w:tr w:rsidR="00AA5F92" w:rsidRPr="00801DB4" w14:paraId="151DE4F3" w14:textId="77777777" w:rsidTr="005F04FC">
        <w:trPr>
          <w:trHeight w:val="340"/>
        </w:trPr>
        <w:tc>
          <w:tcPr>
            <w:tcW w:w="1980" w:type="dxa"/>
            <w:shd w:val="clear" w:color="auto" w:fill="auto"/>
          </w:tcPr>
          <w:p w14:paraId="4CCB5FC5" w14:textId="77777777" w:rsidR="00AA5F92" w:rsidRPr="005F04FC" w:rsidRDefault="00AA5F92" w:rsidP="007F7D4A">
            <w:pPr>
              <w:rPr>
                <w:rFonts w:cs="Calibri"/>
                <w:bCs/>
                <w:szCs w:val="20"/>
              </w:rPr>
            </w:pPr>
            <w:r w:rsidRPr="005F04FC">
              <w:rPr>
                <w:rFonts w:cs="Calibri"/>
                <w:bCs/>
                <w:szCs w:val="20"/>
              </w:rPr>
              <w:t>EFS</w:t>
            </w:r>
          </w:p>
        </w:tc>
        <w:tc>
          <w:tcPr>
            <w:tcW w:w="7082" w:type="dxa"/>
            <w:shd w:val="clear" w:color="auto" w:fill="auto"/>
          </w:tcPr>
          <w:p w14:paraId="3125E062" w14:textId="77777777" w:rsidR="00AA5F92" w:rsidRPr="005F04FC" w:rsidRDefault="00AA5F92" w:rsidP="007F7D4A">
            <w:pPr>
              <w:rPr>
                <w:rFonts w:cs="Calibri"/>
                <w:szCs w:val="20"/>
              </w:rPr>
            </w:pPr>
            <w:r w:rsidRPr="005F04FC">
              <w:rPr>
                <w:rFonts w:cs="Calibri"/>
                <w:szCs w:val="20"/>
              </w:rPr>
              <w:t>Europejski Fundusz Społeczny</w:t>
            </w:r>
          </w:p>
        </w:tc>
      </w:tr>
      <w:tr w:rsidR="00AA5F92" w:rsidRPr="00801DB4" w14:paraId="0C6346A5" w14:textId="77777777" w:rsidTr="005F04FC">
        <w:trPr>
          <w:trHeight w:val="340"/>
        </w:trPr>
        <w:tc>
          <w:tcPr>
            <w:tcW w:w="1980" w:type="dxa"/>
            <w:shd w:val="clear" w:color="auto" w:fill="auto"/>
          </w:tcPr>
          <w:p w14:paraId="36E4ED7C" w14:textId="77777777" w:rsidR="00AA5F92" w:rsidRPr="005F04FC" w:rsidRDefault="00AA5F92" w:rsidP="007F7D4A">
            <w:pPr>
              <w:rPr>
                <w:rFonts w:cs="Calibri"/>
                <w:bCs/>
                <w:szCs w:val="20"/>
              </w:rPr>
            </w:pPr>
            <w:r w:rsidRPr="005F04FC">
              <w:rPr>
                <w:rFonts w:cs="Calibri"/>
                <w:bCs/>
                <w:szCs w:val="20"/>
              </w:rPr>
              <w:t>ICT</w:t>
            </w:r>
          </w:p>
        </w:tc>
        <w:tc>
          <w:tcPr>
            <w:tcW w:w="7082" w:type="dxa"/>
            <w:shd w:val="clear" w:color="auto" w:fill="auto"/>
          </w:tcPr>
          <w:p w14:paraId="07777229" w14:textId="77777777" w:rsidR="00AA5F92" w:rsidRPr="005F04FC" w:rsidRDefault="00AA5F92" w:rsidP="005F04FC">
            <w:pPr>
              <w:jc w:val="left"/>
              <w:rPr>
                <w:rFonts w:cs="Calibri"/>
                <w:szCs w:val="20"/>
              </w:rPr>
            </w:pPr>
            <w:r w:rsidRPr="005F04FC">
              <w:rPr>
                <w:rFonts w:cs="Calibri"/>
                <w:szCs w:val="20"/>
              </w:rPr>
              <w:t>Technologie informacyjno-komunikacyjne (ang. Information and Communication Technologies)</w:t>
            </w:r>
          </w:p>
        </w:tc>
      </w:tr>
      <w:tr w:rsidR="00AA5F92" w:rsidRPr="00FA14F6" w14:paraId="04429B04" w14:textId="77777777" w:rsidTr="005F04FC">
        <w:trPr>
          <w:trHeight w:val="340"/>
        </w:trPr>
        <w:tc>
          <w:tcPr>
            <w:tcW w:w="1980" w:type="dxa"/>
            <w:shd w:val="clear" w:color="auto" w:fill="auto"/>
          </w:tcPr>
          <w:p w14:paraId="5799E0D0" w14:textId="77777777" w:rsidR="00AA5F92" w:rsidRPr="005F04FC" w:rsidRDefault="00AA5F92" w:rsidP="007F7D4A">
            <w:pPr>
              <w:rPr>
                <w:rFonts w:cs="Calibri"/>
                <w:bCs/>
                <w:szCs w:val="20"/>
              </w:rPr>
            </w:pPr>
            <w:r w:rsidRPr="005F04FC">
              <w:rPr>
                <w:rFonts w:cs="Calibri"/>
                <w:bCs/>
                <w:szCs w:val="20"/>
              </w:rPr>
              <w:t>IDI</w:t>
            </w:r>
          </w:p>
        </w:tc>
        <w:tc>
          <w:tcPr>
            <w:tcW w:w="7082" w:type="dxa"/>
            <w:shd w:val="clear" w:color="auto" w:fill="auto"/>
          </w:tcPr>
          <w:p w14:paraId="4552603B" w14:textId="77777777" w:rsidR="00AA5F92" w:rsidRPr="005F04FC" w:rsidRDefault="00D25946" w:rsidP="007F7D4A">
            <w:pPr>
              <w:rPr>
                <w:rFonts w:cs="Calibri"/>
                <w:szCs w:val="20"/>
                <w:lang w:val="en-US"/>
              </w:rPr>
            </w:pPr>
            <w:r w:rsidRPr="005F04FC">
              <w:rPr>
                <w:rFonts w:cs="Calibri"/>
                <w:szCs w:val="20"/>
                <w:lang w:val="en-US"/>
              </w:rPr>
              <w:t xml:space="preserve"> </w:t>
            </w:r>
            <w:r w:rsidR="00771C46" w:rsidRPr="005F04FC">
              <w:rPr>
                <w:rFonts w:cs="Calibri"/>
                <w:szCs w:val="20"/>
                <w:lang w:val="en-US"/>
              </w:rPr>
              <w:t xml:space="preserve">Indywidualny </w:t>
            </w:r>
            <w:r w:rsidR="00AA5F92" w:rsidRPr="005F04FC">
              <w:rPr>
                <w:rFonts w:cs="Calibri"/>
                <w:szCs w:val="20"/>
                <w:lang w:val="en-US"/>
              </w:rPr>
              <w:t>wywiad pogłębiony (ang. Individual in Depth Interview)</w:t>
            </w:r>
          </w:p>
        </w:tc>
      </w:tr>
      <w:tr w:rsidR="00AA5F92" w:rsidRPr="00801DB4" w14:paraId="1E6B7C54" w14:textId="77777777" w:rsidTr="005F04FC">
        <w:trPr>
          <w:trHeight w:val="340"/>
        </w:trPr>
        <w:tc>
          <w:tcPr>
            <w:tcW w:w="1980" w:type="dxa"/>
            <w:shd w:val="clear" w:color="auto" w:fill="auto"/>
          </w:tcPr>
          <w:p w14:paraId="0A41AB4B" w14:textId="77777777" w:rsidR="00AA5F92" w:rsidRPr="005F04FC" w:rsidRDefault="00AA5F92" w:rsidP="007F7D4A">
            <w:pPr>
              <w:rPr>
                <w:rFonts w:cs="Calibri"/>
                <w:bCs/>
                <w:szCs w:val="20"/>
              </w:rPr>
            </w:pPr>
            <w:r w:rsidRPr="005F04FC">
              <w:rPr>
                <w:bCs/>
                <w:szCs w:val="20"/>
              </w:rPr>
              <w:t>IOB</w:t>
            </w:r>
          </w:p>
        </w:tc>
        <w:tc>
          <w:tcPr>
            <w:tcW w:w="7082" w:type="dxa"/>
            <w:shd w:val="clear" w:color="auto" w:fill="auto"/>
          </w:tcPr>
          <w:p w14:paraId="145510A0" w14:textId="77777777" w:rsidR="00AA5F92" w:rsidRPr="005F04FC" w:rsidRDefault="00AA5F92" w:rsidP="007F7D4A">
            <w:pPr>
              <w:rPr>
                <w:rFonts w:cs="Calibri"/>
                <w:szCs w:val="20"/>
              </w:rPr>
            </w:pPr>
            <w:r w:rsidRPr="005F04FC">
              <w:rPr>
                <w:rFonts w:cs="Calibri"/>
                <w:szCs w:val="20"/>
              </w:rPr>
              <w:t>Instytucje otoczenia biznesu</w:t>
            </w:r>
          </w:p>
        </w:tc>
      </w:tr>
      <w:tr w:rsidR="00AA5F92" w:rsidRPr="00801DB4" w14:paraId="6E43AC29" w14:textId="77777777" w:rsidTr="005F04FC">
        <w:trPr>
          <w:trHeight w:val="340"/>
        </w:trPr>
        <w:tc>
          <w:tcPr>
            <w:tcW w:w="1980" w:type="dxa"/>
            <w:shd w:val="clear" w:color="auto" w:fill="auto"/>
          </w:tcPr>
          <w:p w14:paraId="1C8D70D1" w14:textId="77777777" w:rsidR="00AA5F92" w:rsidRPr="005F04FC" w:rsidRDefault="00AA5F92" w:rsidP="007F7D4A">
            <w:pPr>
              <w:rPr>
                <w:bCs/>
                <w:szCs w:val="20"/>
              </w:rPr>
            </w:pPr>
            <w:r w:rsidRPr="005F04FC">
              <w:rPr>
                <w:bCs/>
                <w:szCs w:val="20"/>
              </w:rPr>
              <w:t>ITI</w:t>
            </w:r>
          </w:p>
        </w:tc>
        <w:tc>
          <w:tcPr>
            <w:tcW w:w="7082" w:type="dxa"/>
            <w:shd w:val="clear" w:color="auto" w:fill="auto"/>
          </w:tcPr>
          <w:p w14:paraId="792DD4A5" w14:textId="77777777" w:rsidR="00AA5F92" w:rsidRPr="005F04FC" w:rsidRDefault="00AA5F92" w:rsidP="007F7D4A">
            <w:pPr>
              <w:rPr>
                <w:rFonts w:cs="Calibri"/>
                <w:szCs w:val="20"/>
              </w:rPr>
            </w:pPr>
            <w:r w:rsidRPr="005F04FC">
              <w:rPr>
                <w:rFonts w:cs="Calibri"/>
                <w:szCs w:val="20"/>
              </w:rPr>
              <w:t>Telefoniczny wywiad pogłębiony (ang. In-telephone Interviev)</w:t>
            </w:r>
          </w:p>
        </w:tc>
      </w:tr>
      <w:tr w:rsidR="00AA5F92" w:rsidRPr="00801DB4" w14:paraId="3549F36C" w14:textId="77777777" w:rsidTr="005F04FC">
        <w:trPr>
          <w:trHeight w:val="340"/>
        </w:trPr>
        <w:tc>
          <w:tcPr>
            <w:tcW w:w="1980" w:type="dxa"/>
            <w:shd w:val="clear" w:color="auto" w:fill="auto"/>
          </w:tcPr>
          <w:p w14:paraId="3530823A" w14:textId="77777777" w:rsidR="00AA5F92" w:rsidRPr="005F04FC" w:rsidRDefault="00AA5F92" w:rsidP="007F7D4A">
            <w:pPr>
              <w:rPr>
                <w:rFonts w:cs="Calibri"/>
                <w:bCs/>
                <w:szCs w:val="20"/>
              </w:rPr>
            </w:pPr>
            <w:r w:rsidRPr="005F04FC">
              <w:rPr>
                <w:rFonts w:cs="Calibri"/>
                <w:bCs/>
                <w:szCs w:val="20"/>
              </w:rPr>
              <w:t>IZ</w:t>
            </w:r>
          </w:p>
        </w:tc>
        <w:tc>
          <w:tcPr>
            <w:tcW w:w="7082" w:type="dxa"/>
            <w:shd w:val="clear" w:color="auto" w:fill="auto"/>
          </w:tcPr>
          <w:p w14:paraId="2100C31D" w14:textId="77777777" w:rsidR="00AA5F92" w:rsidRPr="005F04FC" w:rsidRDefault="00AA5F92" w:rsidP="007F7D4A">
            <w:pPr>
              <w:rPr>
                <w:rFonts w:cs="Calibri"/>
                <w:szCs w:val="20"/>
              </w:rPr>
            </w:pPr>
            <w:r w:rsidRPr="005F04FC">
              <w:rPr>
                <w:rFonts w:cs="Calibri"/>
                <w:szCs w:val="20"/>
              </w:rPr>
              <w:t xml:space="preserve">Instytucja Zarządzająca </w:t>
            </w:r>
          </w:p>
        </w:tc>
      </w:tr>
      <w:tr w:rsidR="00AA5F92" w:rsidRPr="00801DB4" w14:paraId="2BBA9F11" w14:textId="77777777" w:rsidTr="005F04FC">
        <w:trPr>
          <w:trHeight w:val="340"/>
        </w:trPr>
        <w:tc>
          <w:tcPr>
            <w:tcW w:w="1980" w:type="dxa"/>
            <w:shd w:val="clear" w:color="auto" w:fill="auto"/>
          </w:tcPr>
          <w:p w14:paraId="710C3F70" w14:textId="77777777" w:rsidR="00AA5F92" w:rsidRPr="005F04FC" w:rsidRDefault="00AA5F92" w:rsidP="007F7D4A">
            <w:pPr>
              <w:rPr>
                <w:rFonts w:cs="Calibri"/>
                <w:bCs/>
                <w:szCs w:val="20"/>
              </w:rPr>
            </w:pPr>
            <w:r w:rsidRPr="005F04FC">
              <w:rPr>
                <w:rFonts w:cs="Calibri"/>
                <w:bCs/>
                <w:szCs w:val="20"/>
              </w:rPr>
              <w:t>IP</w:t>
            </w:r>
          </w:p>
        </w:tc>
        <w:tc>
          <w:tcPr>
            <w:tcW w:w="7082" w:type="dxa"/>
            <w:shd w:val="clear" w:color="auto" w:fill="auto"/>
          </w:tcPr>
          <w:p w14:paraId="7DEA9748" w14:textId="77777777" w:rsidR="00AA5F92" w:rsidRPr="005F04FC" w:rsidRDefault="00AA5F92" w:rsidP="007F7D4A">
            <w:pPr>
              <w:rPr>
                <w:rFonts w:cs="Calibri"/>
                <w:szCs w:val="20"/>
              </w:rPr>
            </w:pPr>
            <w:r w:rsidRPr="005F04FC">
              <w:rPr>
                <w:rFonts w:cs="Calibri"/>
                <w:szCs w:val="20"/>
              </w:rPr>
              <w:t xml:space="preserve">Instytucja Pośrednicząca </w:t>
            </w:r>
          </w:p>
        </w:tc>
      </w:tr>
      <w:tr w:rsidR="00AA5F92" w:rsidRPr="00801DB4" w14:paraId="76126F41" w14:textId="77777777" w:rsidTr="005F04FC">
        <w:trPr>
          <w:trHeight w:val="340"/>
        </w:trPr>
        <w:tc>
          <w:tcPr>
            <w:tcW w:w="1980" w:type="dxa"/>
            <w:shd w:val="clear" w:color="auto" w:fill="auto"/>
          </w:tcPr>
          <w:p w14:paraId="31751709" w14:textId="77777777" w:rsidR="00AA5F92" w:rsidRPr="005F04FC" w:rsidRDefault="00AA5F92" w:rsidP="007F7D4A">
            <w:pPr>
              <w:rPr>
                <w:rFonts w:cs="Calibri"/>
                <w:bCs/>
                <w:szCs w:val="20"/>
              </w:rPr>
            </w:pPr>
            <w:r w:rsidRPr="005F04FC">
              <w:rPr>
                <w:rFonts w:cs="Calibri"/>
                <w:bCs/>
                <w:szCs w:val="20"/>
              </w:rPr>
              <w:t>JST</w:t>
            </w:r>
          </w:p>
        </w:tc>
        <w:tc>
          <w:tcPr>
            <w:tcW w:w="7082" w:type="dxa"/>
            <w:shd w:val="clear" w:color="auto" w:fill="auto"/>
          </w:tcPr>
          <w:p w14:paraId="74016F29" w14:textId="77777777" w:rsidR="00AA5F92" w:rsidRPr="005F04FC" w:rsidRDefault="00AA5F92" w:rsidP="007F7D4A">
            <w:pPr>
              <w:rPr>
                <w:rFonts w:cs="Calibri"/>
                <w:szCs w:val="20"/>
              </w:rPr>
            </w:pPr>
            <w:r w:rsidRPr="005F04FC">
              <w:rPr>
                <w:rFonts w:cs="Calibri"/>
                <w:szCs w:val="20"/>
              </w:rPr>
              <w:t>Jednostka samorządu terytorialnego</w:t>
            </w:r>
          </w:p>
        </w:tc>
      </w:tr>
      <w:tr w:rsidR="00AA5F92" w:rsidRPr="00801DB4" w14:paraId="24146DED" w14:textId="77777777" w:rsidTr="005F04FC">
        <w:trPr>
          <w:trHeight w:val="340"/>
        </w:trPr>
        <w:tc>
          <w:tcPr>
            <w:tcW w:w="1980" w:type="dxa"/>
            <w:shd w:val="clear" w:color="auto" w:fill="auto"/>
          </w:tcPr>
          <w:p w14:paraId="3C42F817" w14:textId="77777777" w:rsidR="00AA5F92" w:rsidRPr="005F04FC" w:rsidRDefault="00AA5F92" w:rsidP="007F7D4A">
            <w:pPr>
              <w:rPr>
                <w:rFonts w:cs="Calibri"/>
                <w:bCs/>
                <w:szCs w:val="20"/>
              </w:rPr>
            </w:pPr>
            <w:r w:rsidRPr="005F04FC">
              <w:rPr>
                <w:rFonts w:cs="Calibri"/>
                <w:bCs/>
                <w:szCs w:val="20"/>
              </w:rPr>
              <w:t>KEW</w:t>
            </w:r>
          </w:p>
        </w:tc>
        <w:tc>
          <w:tcPr>
            <w:tcW w:w="7082" w:type="dxa"/>
            <w:shd w:val="clear" w:color="auto" w:fill="auto"/>
          </w:tcPr>
          <w:p w14:paraId="70345E59" w14:textId="77777777" w:rsidR="00AA5F92" w:rsidRPr="005F04FC" w:rsidRDefault="00AA5F92" w:rsidP="007F7D4A">
            <w:pPr>
              <w:rPr>
                <w:rFonts w:cs="Calibri"/>
                <w:szCs w:val="20"/>
              </w:rPr>
            </w:pPr>
            <w:r w:rsidRPr="005F04FC">
              <w:rPr>
                <w:rFonts w:cs="Calibri"/>
                <w:szCs w:val="20"/>
              </w:rPr>
              <w:t>Kluczowy Etap Wdrażania</w:t>
            </w:r>
          </w:p>
        </w:tc>
      </w:tr>
      <w:tr w:rsidR="00AA5F92" w:rsidRPr="00801DB4" w14:paraId="19A89ABD" w14:textId="77777777" w:rsidTr="005F04FC">
        <w:trPr>
          <w:trHeight w:val="340"/>
        </w:trPr>
        <w:tc>
          <w:tcPr>
            <w:tcW w:w="1980" w:type="dxa"/>
            <w:shd w:val="clear" w:color="auto" w:fill="auto"/>
          </w:tcPr>
          <w:p w14:paraId="3EC9DEA9" w14:textId="77777777" w:rsidR="00AA5F92" w:rsidRPr="005F04FC" w:rsidRDefault="00AA5F92" w:rsidP="007F7D4A">
            <w:pPr>
              <w:rPr>
                <w:rFonts w:cs="Calibri"/>
                <w:bCs/>
                <w:szCs w:val="20"/>
              </w:rPr>
            </w:pPr>
            <w:r w:rsidRPr="005F04FC">
              <w:rPr>
                <w:rFonts w:cs="Calibri"/>
                <w:bCs/>
                <w:szCs w:val="20"/>
              </w:rPr>
              <w:t>KE</w:t>
            </w:r>
          </w:p>
        </w:tc>
        <w:tc>
          <w:tcPr>
            <w:tcW w:w="7082" w:type="dxa"/>
            <w:shd w:val="clear" w:color="auto" w:fill="auto"/>
          </w:tcPr>
          <w:p w14:paraId="616FD0C2" w14:textId="77777777" w:rsidR="00AA5F92" w:rsidRPr="005F04FC" w:rsidRDefault="00AA5F92" w:rsidP="007F7D4A">
            <w:pPr>
              <w:rPr>
                <w:rFonts w:cs="Calibri"/>
                <w:szCs w:val="20"/>
              </w:rPr>
            </w:pPr>
            <w:r w:rsidRPr="005F04FC">
              <w:rPr>
                <w:rFonts w:cs="Calibri"/>
                <w:szCs w:val="20"/>
              </w:rPr>
              <w:t>Komisja Europejska</w:t>
            </w:r>
          </w:p>
        </w:tc>
      </w:tr>
      <w:tr w:rsidR="00AA5F92" w:rsidRPr="00801DB4" w14:paraId="75612394" w14:textId="77777777" w:rsidTr="005F04FC">
        <w:trPr>
          <w:trHeight w:val="340"/>
        </w:trPr>
        <w:tc>
          <w:tcPr>
            <w:tcW w:w="1980" w:type="dxa"/>
            <w:shd w:val="clear" w:color="auto" w:fill="auto"/>
          </w:tcPr>
          <w:p w14:paraId="74450C97" w14:textId="77777777" w:rsidR="00AA5F92" w:rsidRPr="005F04FC" w:rsidRDefault="00AA5F92" w:rsidP="007F7D4A">
            <w:pPr>
              <w:rPr>
                <w:rFonts w:cs="Calibri"/>
                <w:bCs/>
                <w:szCs w:val="20"/>
              </w:rPr>
            </w:pPr>
            <w:r w:rsidRPr="005F04FC">
              <w:rPr>
                <w:rFonts w:cs="Calibri"/>
                <w:bCs/>
                <w:szCs w:val="20"/>
              </w:rPr>
              <w:t>KKBOF</w:t>
            </w:r>
          </w:p>
        </w:tc>
        <w:tc>
          <w:tcPr>
            <w:tcW w:w="7082" w:type="dxa"/>
            <w:shd w:val="clear" w:color="auto" w:fill="auto"/>
          </w:tcPr>
          <w:p w14:paraId="1800E515" w14:textId="77777777" w:rsidR="00AA5F92" w:rsidRPr="005F04FC" w:rsidRDefault="00AA5F92" w:rsidP="007F7D4A">
            <w:pPr>
              <w:rPr>
                <w:rFonts w:cs="Calibri"/>
                <w:szCs w:val="20"/>
              </w:rPr>
            </w:pPr>
            <w:r w:rsidRPr="005F04FC">
              <w:rPr>
                <w:rFonts w:cs="Calibri"/>
                <w:szCs w:val="20"/>
              </w:rPr>
              <w:t>Koszalińsko-Kołobrzesko-Białogardzki Obszar Funkcjonalny</w:t>
            </w:r>
          </w:p>
        </w:tc>
      </w:tr>
      <w:tr w:rsidR="00AA5F92" w:rsidRPr="00801DB4" w14:paraId="6A98CACF" w14:textId="77777777" w:rsidTr="005F04FC">
        <w:trPr>
          <w:trHeight w:val="340"/>
        </w:trPr>
        <w:tc>
          <w:tcPr>
            <w:tcW w:w="1980" w:type="dxa"/>
            <w:shd w:val="clear" w:color="auto" w:fill="auto"/>
          </w:tcPr>
          <w:p w14:paraId="2A9ED383" w14:textId="77777777" w:rsidR="00AA5F92" w:rsidRPr="005F04FC" w:rsidRDefault="00AA5F92" w:rsidP="007F7D4A">
            <w:pPr>
              <w:rPr>
                <w:bCs/>
                <w:szCs w:val="20"/>
              </w:rPr>
            </w:pPr>
            <w:r w:rsidRPr="005F04FC">
              <w:rPr>
                <w:szCs w:val="20"/>
              </w:rPr>
              <w:t>KOŚ</w:t>
            </w:r>
          </w:p>
        </w:tc>
        <w:tc>
          <w:tcPr>
            <w:tcW w:w="7082" w:type="dxa"/>
            <w:shd w:val="clear" w:color="auto" w:fill="auto"/>
          </w:tcPr>
          <w:p w14:paraId="2A250E0D" w14:textId="77777777" w:rsidR="00AA5F92" w:rsidRPr="005F04FC" w:rsidRDefault="00AA5F92" w:rsidP="007F7D4A">
            <w:pPr>
              <w:rPr>
                <w:rFonts w:cs="Calibri"/>
                <w:szCs w:val="20"/>
              </w:rPr>
            </w:pPr>
            <w:r w:rsidRPr="005F04FC">
              <w:rPr>
                <w:rFonts w:cs="Calibri"/>
                <w:szCs w:val="20"/>
              </w:rPr>
              <w:t>Komunalne osady ściekowe</w:t>
            </w:r>
          </w:p>
        </w:tc>
      </w:tr>
      <w:tr w:rsidR="00AA5F92" w:rsidRPr="00801DB4" w14:paraId="435AD823" w14:textId="77777777" w:rsidTr="005F04FC">
        <w:trPr>
          <w:trHeight w:val="340"/>
        </w:trPr>
        <w:tc>
          <w:tcPr>
            <w:tcW w:w="1980" w:type="dxa"/>
            <w:shd w:val="clear" w:color="auto" w:fill="auto"/>
          </w:tcPr>
          <w:p w14:paraId="02A948FC" w14:textId="77777777" w:rsidR="00AA5F92" w:rsidRPr="005F04FC" w:rsidRDefault="00AA5F92" w:rsidP="007F7D4A">
            <w:pPr>
              <w:rPr>
                <w:rFonts w:cs="Calibri"/>
                <w:bCs/>
                <w:szCs w:val="20"/>
              </w:rPr>
            </w:pPr>
            <w:r w:rsidRPr="005F04FC">
              <w:rPr>
                <w:bCs/>
                <w:szCs w:val="20"/>
              </w:rPr>
              <w:lastRenderedPageBreak/>
              <w:t>KOWEZiU</w:t>
            </w:r>
          </w:p>
        </w:tc>
        <w:tc>
          <w:tcPr>
            <w:tcW w:w="7082" w:type="dxa"/>
            <w:shd w:val="clear" w:color="auto" w:fill="auto"/>
          </w:tcPr>
          <w:p w14:paraId="3361A099" w14:textId="77777777" w:rsidR="00AA5F92" w:rsidRPr="005F04FC" w:rsidRDefault="00AA5F92" w:rsidP="007F7D4A">
            <w:pPr>
              <w:rPr>
                <w:rFonts w:cs="Calibri"/>
                <w:szCs w:val="20"/>
              </w:rPr>
            </w:pPr>
            <w:r w:rsidRPr="005F04FC">
              <w:rPr>
                <w:rFonts w:cs="Calibri"/>
                <w:szCs w:val="20"/>
              </w:rPr>
              <w:t>Krajowy Ośrodek Wspierania Edukacji Zawodowej</w:t>
            </w:r>
            <w:r w:rsidR="00E66B89" w:rsidRPr="005F04FC">
              <w:rPr>
                <w:rFonts w:cs="Calibri"/>
                <w:szCs w:val="20"/>
              </w:rPr>
              <w:t xml:space="preserve"> i </w:t>
            </w:r>
            <w:r w:rsidRPr="005F04FC">
              <w:rPr>
                <w:rFonts w:cs="Calibri"/>
                <w:szCs w:val="20"/>
              </w:rPr>
              <w:t>Ustawicznej</w:t>
            </w:r>
          </w:p>
        </w:tc>
      </w:tr>
      <w:tr w:rsidR="00AA5F92" w:rsidRPr="00801DB4" w14:paraId="176533C8" w14:textId="77777777" w:rsidTr="005F04FC">
        <w:trPr>
          <w:trHeight w:val="340"/>
        </w:trPr>
        <w:tc>
          <w:tcPr>
            <w:tcW w:w="1980" w:type="dxa"/>
            <w:shd w:val="clear" w:color="auto" w:fill="auto"/>
          </w:tcPr>
          <w:p w14:paraId="0F229D4C" w14:textId="77777777" w:rsidR="00AA5F92" w:rsidRPr="005F04FC" w:rsidRDefault="00AA5F92" w:rsidP="007F7D4A">
            <w:pPr>
              <w:rPr>
                <w:bCs/>
                <w:szCs w:val="20"/>
              </w:rPr>
            </w:pPr>
            <w:r w:rsidRPr="005F04FC">
              <w:rPr>
                <w:szCs w:val="20"/>
              </w:rPr>
              <w:t>KPGO</w:t>
            </w:r>
          </w:p>
        </w:tc>
        <w:tc>
          <w:tcPr>
            <w:tcW w:w="7082" w:type="dxa"/>
            <w:shd w:val="clear" w:color="auto" w:fill="auto"/>
          </w:tcPr>
          <w:p w14:paraId="3DF91346" w14:textId="77777777" w:rsidR="00AA5F92" w:rsidRPr="005F04FC" w:rsidRDefault="00AA5F92" w:rsidP="007F7D4A">
            <w:pPr>
              <w:rPr>
                <w:rFonts w:cs="Calibri"/>
                <w:szCs w:val="20"/>
              </w:rPr>
            </w:pPr>
            <w:r w:rsidRPr="005F04FC">
              <w:rPr>
                <w:rFonts w:cs="Calibri"/>
                <w:szCs w:val="20"/>
              </w:rPr>
              <w:t>Krajowy Plan Gospodarki Odpadami</w:t>
            </w:r>
          </w:p>
        </w:tc>
      </w:tr>
      <w:tr w:rsidR="00AA5F92" w:rsidRPr="00801DB4" w14:paraId="24F07E90" w14:textId="77777777" w:rsidTr="005F04FC">
        <w:trPr>
          <w:trHeight w:val="340"/>
        </w:trPr>
        <w:tc>
          <w:tcPr>
            <w:tcW w:w="1980" w:type="dxa"/>
            <w:shd w:val="clear" w:color="auto" w:fill="auto"/>
          </w:tcPr>
          <w:p w14:paraId="208040D9" w14:textId="77777777" w:rsidR="00AA5F92" w:rsidRPr="005F04FC" w:rsidRDefault="00AA5F92" w:rsidP="007F7D4A">
            <w:pPr>
              <w:rPr>
                <w:rFonts w:cs="Calibri"/>
                <w:bCs/>
                <w:szCs w:val="20"/>
              </w:rPr>
            </w:pPr>
            <w:r w:rsidRPr="005F04FC">
              <w:rPr>
                <w:bCs/>
                <w:szCs w:val="20"/>
              </w:rPr>
              <w:t>KPOŚK</w:t>
            </w:r>
          </w:p>
        </w:tc>
        <w:tc>
          <w:tcPr>
            <w:tcW w:w="7082" w:type="dxa"/>
            <w:shd w:val="clear" w:color="auto" w:fill="auto"/>
          </w:tcPr>
          <w:p w14:paraId="7344795B" w14:textId="77777777" w:rsidR="00AA5F92" w:rsidRPr="005F04FC" w:rsidRDefault="00AA5F92" w:rsidP="007F7D4A">
            <w:pPr>
              <w:rPr>
                <w:rFonts w:cs="Calibri"/>
                <w:szCs w:val="20"/>
              </w:rPr>
            </w:pPr>
            <w:r w:rsidRPr="005F04FC">
              <w:rPr>
                <w:rFonts w:cs="Calibri"/>
                <w:szCs w:val="20"/>
              </w:rPr>
              <w:t>Krajowy Program Oczyszczania Ścieków Komunalnych</w:t>
            </w:r>
          </w:p>
        </w:tc>
      </w:tr>
      <w:tr w:rsidR="00AA5F92" w:rsidRPr="00801DB4" w14:paraId="3DCE175C" w14:textId="77777777" w:rsidTr="005F04FC">
        <w:trPr>
          <w:trHeight w:val="340"/>
        </w:trPr>
        <w:tc>
          <w:tcPr>
            <w:tcW w:w="1980" w:type="dxa"/>
            <w:shd w:val="clear" w:color="auto" w:fill="auto"/>
          </w:tcPr>
          <w:p w14:paraId="3934205F" w14:textId="77777777" w:rsidR="00AA5F92" w:rsidRPr="005F04FC" w:rsidRDefault="00AA5F92" w:rsidP="007F7D4A">
            <w:pPr>
              <w:rPr>
                <w:bCs/>
                <w:szCs w:val="20"/>
              </w:rPr>
            </w:pPr>
            <w:r w:rsidRPr="005F04FC">
              <w:rPr>
                <w:bCs/>
                <w:szCs w:val="20"/>
              </w:rPr>
              <w:t>KS</w:t>
            </w:r>
          </w:p>
        </w:tc>
        <w:tc>
          <w:tcPr>
            <w:tcW w:w="7082" w:type="dxa"/>
            <w:shd w:val="clear" w:color="auto" w:fill="auto"/>
          </w:tcPr>
          <w:p w14:paraId="1FCAAFFC" w14:textId="77777777" w:rsidR="00AA5F92" w:rsidRPr="005F04FC" w:rsidRDefault="00AA5F92" w:rsidP="007F7D4A">
            <w:pPr>
              <w:rPr>
                <w:rFonts w:cs="Calibri"/>
                <w:szCs w:val="20"/>
              </w:rPr>
            </w:pPr>
            <w:r w:rsidRPr="005F04FC">
              <w:rPr>
                <w:rFonts w:cs="Calibri"/>
                <w:szCs w:val="20"/>
              </w:rPr>
              <w:t>Kontrakt Samorządowy</w:t>
            </w:r>
          </w:p>
        </w:tc>
      </w:tr>
      <w:tr w:rsidR="00AA5F92" w:rsidRPr="00801DB4" w14:paraId="5909E1CF" w14:textId="77777777" w:rsidTr="005F04FC">
        <w:trPr>
          <w:trHeight w:val="340"/>
        </w:trPr>
        <w:tc>
          <w:tcPr>
            <w:tcW w:w="1980" w:type="dxa"/>
            <w:shd w:val="clear" w:color="auto" w:fill="auto"/>
          </w:tcPr>
          <w:p w14:paraId="266302D5" w14:textId="77777777" w:rsidR="00AA5F92" w:rsidRPr="005F04FC" w:rsidRDefault="00AA5F92" w:rsidP="007F7D4A">
            <w:pPr>
              <w:rPr>
                <w:rFonts w:cs="Calibri"/>
                <w:bCs/>
                <w:szCs w:val="20"/>
              </w:rPr>
            </w:pPr>
            <w:r w:rsidRPr="005F04FC">
              <w:rPr>
                <w:rFonts w:cs="Calibri"/>
                <w:bCs/>
                <w:szCs w:val="20"/>
              </w:rPr>
              <w:t>LPR</w:t>
            </w:r>
          </w:p>
        </w:tc>
        <w:tc>
          <w:tcPr>
            <w:tcW w:w="7082" w:type="dxa"/>
            <w:shd w:val="clear" w:color="auto" w:fill="auto"/>
          </w:tcPr>
          <w:p w14:paraId="3F707A20" w14:textId="77777777" w:rsidR="00AA5F92" w:rsidRPr="005F04FC" w:rsidRDefault="00AA5F92" w:rsidP="007F7D4A">
            <w:pPr>
              <w:rPr>
                <w:rFonts w:cs="Calibri"/>
                <w:szCs w:val="20"/>
              </w:rPr>
            </w:pPr>
            <w:r w:rsidRPr="005F04FC">
              <w:rPr>
                <w:rFonts w:cs="Calibri"/>
                <w:szCs w:val="20"/>
              </w:rPr>
              <w:t>Lokalny Program Rewitalizacji</w:t>
            </w:r>
          </w:p>
        </w:tc>
      </w:tr>
      <w:tr w:rsidR="00AA5F92" w:rsidRPr="00801DB4" w14:paraId="2EA27E54" w14:textId="77777777" w:rsidTr="005F04FC">
        <w:trPr>
          <w:trHeight w:val="340"/>
        </w:trPr>
        <w:tc>
          <w:tcPr>
            <w:tcW w:w="1980" w:type="dxa"/>
            <w:shd w:val="clear" w:color="auto" w:fill="auto"/>
          </w:tcPr>
          <w:p w14:paraId="6B28A746" w14:textId="77777777" w:rsidR="00AA5F92" w:rsidRPr="005F04FC" w:rsidRDefault="00AA5F92" w:rsidP="007F7D4A">
            <w:pPr>
              <w:rPr>
                <w:rFonts w:cs="Calibri"/>
                <w:bCs/>
                <w:szCs w:val="20"/>
              </w:rPr>
            </w:pPr>
            <w:r w:rsidRPr="005F04FC">
              <w:rPr>
                <w:szCs w:val="20"/>
              </w:rPr>
              <w:t>Instalacje MBP</w:t>
            </w:r>
          </w:p>
        </w:tc>
        <w:tc>
          <w:tcPr>
            <w:tcW w:w="7082" w:type="dxa"/>
            <w:shd w:val="clear" w:color="auto" w:fill="auto"/>
          </w:tcPr>
          <w:p w14:paraId="11A629E9" w14:textId="77777777" w:rsidR="00AA5F92" w:rsidRPr="005F04FC" w:rsidRDefault="00AA5F92" w:rsidP="007F7D4A">
            <w:pPr>
              <w:rPr>
                <w:rFonts w:cs="Calibri"/>
                <w:szCs w:val="20"/>
              </w:rPr>
            </w:pPr>
            <w:r>
              <w:t>Instalacje do mechaniczno-biologicznego przetwarzania odpadów</w:t>
            </w:r>
          </w:p>
        </w:tc>
      </w:tr>
      <w:tr w:rsidR="00AA5F92" w:rsidRPr="00801DB4" w14:paraId="6942F63A" w14:textId="77777777" w:rsidTr="005F04FC">
        <w:trPr>
          <w:trHeight w:val="340"/>
        </w:trPr>
        <w:tc>
          <w:tcPr>
            <w:tcW w:w="1980" w:type="dxa"/>
            <w:shd w:val="clear" w:color="auto" w:fill="auto"/>
          </w:tcPr>
          <w:p w14:paraId="2AD51636" w14:textId="77777777" w:rsidR="00AA5F92" w:rsidRPr="005F04FC" w:rsidRDefault="00AA5F92" w:rsidP="007F7D4A">
            <w:pPr>
              <w:rPr>
                <w:rFonts w:cs="Calibri"/>
                <w:bCs/>
                <w:szCs w:val="20"/>
              </w:rPr>
            </w:pPr>
            <w:r w:rsidRPr="005F04FC">
              <w:rPr>
                <w:rFonts w:cs="Calibri"/>
                <w:bCs/>
                <w:szCs w:val="20"/>
              </w:rPr>
              <w:t>MEN</w:t>
            </w:r>
          </w:p>
        </w:tc>
        <w:tc>
          <w:tcPr>
            <w:tcW w:w="7082" w:type="dxa"/>
            <w:shd w:val="clear" w:color="auto" w:fill="auto"/>
          </w:tcPr>
          <w:p w14:paraId="4BC1EA36" w14:textId="77777777" w:rsidR="00AA5F92" w:rsidRPr="005F04FC" w:rsidRDefault="00AA5F92" w:rsidP="007F7D4A">
            <w:pPr>
              <w:rPr>
                <w:rFonts w:cs="Calibri"/>
                <w:szCs w:val="20"/>
              </w:rPr>
            </w:pPr>
            <w:r w:rsidRPr="005F04FC">
              <w:rPr>
                <w:rFonts w:cs="Calibri"/>
                <w:szCs w:val="20"/>
              </w:rPr>
              <w:t>Ministerstwo Edukacji Narodowej</w:t>
            </w:r>
          </w:p>
        </w:tc>
      </w:tr>
      <w:tr w:rsidR="00AA5F92" w:rsidRPr="00801DB4" w14:paraId="5225FC63" w14:textId="77777777" w:rsidTr="005F04FC">
        <w:trPr>
          <w:trHeight w:val="340"/>
        </w:trPr>
        <w:tc>
          <w:tcPr>
            <w:tcW w:w="1980" w:type="dxa"/>
            <w:shd w:val="clear" w:color="auto" w:fill="auto"/>
          </w:tcPr>
          <w:p w14:paraId="48ECFC64" w14:textId="77777777" w:rsidR="00AA5F92" w:rsidRPr="005F04FC" w:rsidRDefault="00AA5F92" w:rsidP="007F7D4A">
            <w:pPr>
              <w:rPr>
                <w:rFonts w:cs="Calibri"/>
                <w:bCs/>
                <w:szCs w:val="20"/>
              </w:rPr>
            </w:pPr>
            <w:r w:rsidRPr="005F04FC">
              <w:rPr>
                <w:rFonts w:cs="Calibri"/>
                <w:bCs/>
                <w:szCs w:val="20"/>
              </w:rPr>
              <w:t>MIiR</w:t>
            </w:r>
          </w:p>
        </w:tc>
        <w:tc>
          <w:tcPr>
            <w:tcW w:w="7082" w:type="dxa"/>
            <w:shd w:val="clear" w:color="auto" w:fill="auto"/>
          </w:tcPr>
          <w:p w14:paraId="469B62B1" w14:textId="77777777" w:rsidR="00AA5F92" w:rsidRPr="005F04FC" w:rsidRDefault="00AA5F92" w:rsidP="007F7D4A">
            <w:pPr>
              <w:rPr>
                <w:rFonts w:cs="Calibri"/>
                <w:szCs w:val="20"/>
              </w:rPr>
            </w:pPr>
            <w:r w:rsidRPr="005F04FC">
              <w:rPr>
                <w:rFonts w:cs="Calibri"/>
                <w:szCs w:val="20"/>
              </w:rPr>
              <w:t>Ministerstwo Inwestycji</w:t>
            </w:r>
            <w:r w:rsidR="00E66B89" w:rsidRPr="005F04FC">
              <w:rPr>
                <w:rFonts w:cs="Calibri"/>
                <w:szCs w:val="20"/>
              </w:rPr>
              <w:t xml:space="preserve"> I </w:t>
            </w:r>
            <w:r w:rsidRPr="005F04FC">
              <w:rPr>
                <w:rFonts w:cs="Calibri"/>
                <w:szCs w:val="20"/>
              </w:rPr>
              <w:t>Rozwoju</w:t>
            </w:r>
          </w:p>
        </w:tc>
      </w:tr>
      <w:tr w:rsidR="00AA5F92" w:rsidRPr="00801DB4" w14:paraId="5AF4A463" w14:textId="77777777" w:rsidTr="005F04FC">
        <w:trPr>
          <w:trHeight w:val="340"/>
        </w:trPr>
        <w:tc>
          <w:tcPr>
            <w:tcW w:w="1980" w:type="dxa"/>
            <w:shd w:val="clear" w:color="auto" w:fill="auto"/>
          </w:tcPr>
          <w:p w14:paraId="165044E0" w14:textId="77777777" w:rsidR="00AA5F92" w:rsidRPr="005F04FC" w:rsidRDefault="00AA5F92" w:rsidP="007F7D4A">
            <w:pPr>
              <w:rPr>
                <w:rFonts w:cs="Calibri"/>
                <w:bCs/>
                <w:szCs w:val="20"/>
              </w:rPr>
            </w:pPr>
            <w:r w:rsidRPr="005F04FC">
              <w:rPr>
                <w:rFonts w:cs="Calibri"/>
                <w:bCs/>
                <w:szCs w:val="20"/>
              </w:rPr>
              <w:t>MŚP</w:t>
            </w:r>
          </w:p>
        </w:tc>
        <w:tc>
          <w:tcPr>
            <w:tcW w:w="7082" w:type="dxa"/>
            <w:shd w:val="clear" w:color="auto" w:fill="auto"/>
          </w:tcPr>
          <w:p w14:paraId="206EEFDD" w14:textId="77777777" w:rsidR="00AA5F92" w:rsidRPr="005F04FC" w:rsidRDefault="00AA5F92" w:rsidP="007F7D4A">
            <w:pPr>
              <w:rPr>
                <w:rFonts w:cs="Calibri"/>
                <w:szCs w:val="20"/>
              </w:rPr>
            </w:pPr>
            <w:r w:rsidRPr="005F04FC">
              <w:rPr>
                <w:rFonts w:cs="Calibri"/>
                <w:szCs w:val="20"/>
              </w:rPr>
              <w:t>Mikro, małe</w:t>
            </w:r>
            <w:r w:rsidR="00E66B89" w:rsidRPr="005F04FC">
              <w:rPr>
                <w:rFonts w:cs="Calibri"/>
                <w:szCs w:val="20"/>
              </w:rPr>
              <w:t xml:space="preserve"> i </w:t>
            </w:r>
            <w:r w:rsidRPr="005F04FC">
              <w:rPr>
                <w:rFonts w:cs="Calibri"/>
                <w:szCs w:val="20"/>
              </w:rPr>
              <w:t>średnie przedsiębiorstwa</w:t>
            </w:r>
          </w:p>
        </w:tc>
      </w:tr>
      <w:tr w:rsidR="00AA5F92" w:rsidRPr="00801DB4" w14:paraId="1DE83A66" w14:textId="77777777" w:rsidTr="005F04FC">
        <w:trPr>
          <w:trHeight w:val="340"/>
        </w:trPr>
        <w:tc>
          <w:tcPr>
            <w:tcW w:w="1980" w:type="dxa"/>
            <w:shd w:val="clear" w:color="auto" w:fill="auto"/>
          </w:tcPr>
          <w:p w14:paraId="76533F28" w14:textId="77777777" w:rsidR="00AA5F92" w:rsidRPr="005F04FC" w:rsidRDefault="00AA5F92" w:rsidP="007F7D4A">
            <w:pPr>
              <w:rPr>
                <w:rFonts w:cs="Calibri"/>
                <w:bCs/>
                <w:szCs w:val="20"/>
              </w:rPr>
            </w:pPr>
            <w:r w:rsidRPr="005F04FC">
              <w:rPr>
                <w:rFonts w:cs="Calibri"/>
                <w:bCs/>
                <w:szCs w:val="20"/>
              </w:rPr>
              <w:t>NCBR</w:t>
            </w:r>
          </w:p>
        </w:tc>
        <w:tc>
          <w:tcPr>
            <w:tcW w:w="7082" w:type="dxa"/>
            <w:shd w:val="clear" w:color="auto" w:fill="auto"/>
          </w:tcPr>
          <w:p w14:paraId="72AACF86" w14:textId="77777777" w:rsidR="00AA5F92" w:rsidRPr="005F04FC" w:rsidRDefault="00AA5F92" w:rsidP="007F7D4A">
            <w:pPr>
              <w:rPr>
                <w:rFonts w:cs="Calibri"/>
                <w:szCs w:val="20"/>
              </w:rPr>
            </w:pPr>
            <w:r w:rsidRPr="005F04FC">
              <w:rPr>
                <w:rFonts w:cs="Calibri"/>
                <w:szCs w:val="20"/>
              </w:rPr>
              <w:t>Narodowe Centrum Badań</w:t>
            </w:r>
            <w:r w:rsidR="00E66B89" w:rsidRPr="005F04FC">
              <w:rPr>
                <w:rFonts w:cs="Calibri"/>
                <w:szCs w:val="20"/>
              </w:rPr>
              <w:t xml:space="preserve"> i </w:t>
            </w:r>
            <w:r w:rsidRPr="005F04FC">
              <w:rPr>
                <w:rFonts w:cs="Calibri"/>
                <w:szCs w:val="20"/>
              </w:rPr>
              <w:t>Rozwoju</w:t>
            </w:r>
          </w:p>
        </w:tc>
      </w:tr>
      <w:tr w:rsidR="00AA5F92" w:rsidRPr="00801DB4" w14:paraId="57C3388E" w14:textId="77777777" w:rsidTr="005F04FC">
        <w:trPr>
          <w:trHeight w:val="340"/>
        </w:trPr>
        <w:tc>
          <w:tcPr>
            <w:tcW w:w="1980" w:type="dxa"/>
            <w:shd w:val="clear" w:color="auto" w:fill="auto"/>
          </w:tcPr>
          <w:p w14:paraId="71151220" w14:textId="77777777" w:rsidR="00AA5F92" w:rsidRPr="005F04FC" w:rsidRDefault="00AA5F92" w:rsidP="007F7D4A">
            <w:pPr>
              <w:rPr>
                <w:rFonts w:cs="Calibri"/>
                <w:bCs/>
                <w:szCs w:val="20"/>
              </w:rPr>
            </w:pPr>
            <w:r w:rsidRPr="005F04FC">
              <w:rPr>
                <w:rFonts w:cs="Calibri"/>
                <w:bCs/>
                <w:szCs w:val="20"/>
              </w:rPr>
              <w:t>OP</w:t>
            </w:r>
          </w:p>
        </w:tc>
        <w:tc>
          <w:tcPr>
            <w:tcW w:w="7082" w:type="dxa"/>
            <w:shd w:val="clear" w:color="auto" w:fill="auto"/>
          </w:tcPr>
          <w:p w14:paraId="506542DF" w14:textId="77777777" w:rsidR="00AA5F92" w:rsidRPr="005F04FC" w:rsidRDefault="00AA5F92" w:rsidP="007F7D4A">
            <w:pPr>
              <w:rPr>
                <w:rFonts w:cs="Calibri"/>
                <w:szCs w:val="20"/>
              </w:rPr>
            </w:pPr>
            <w:r w:rsidRPr="005F04FC">
              <w:rPr>
                <w:rFonts w:cs="Calibri"/>
                <w:szCs w:val="20"/>
              </w:rPr>
              <w:t>Oś priorytetowa</w:t>
            </w:r>
          </w:p>
        </w:tc>
      </w:tr>
      <w:tr w:rsidR="00AA5F92" w:rsidRPr="00801DB4" w14:paraId="06BB74E8" w14:textId="77777777" w:rsidTr="005F04FC">
        <w:trPr>
          <w:trHeight w:val="340"/>
        </w:trPr>
        <w:tc>
          <w:tcPr>
            <w:tcW w:w="1980" w:type="dxa"/>
            <w:shd w:val="clear" w:color="auto" w:fill="auto"/>
          </w:tcPr>
          <w:p w14:paraId="775D8DBA" w14:textId="77777777" w:rsidR="00AA5F92" w:rsidRPr="005F04FC" w:rsidRDefault="00AA5F92" w:rsidP="007F7D4A">
            <w:pPr>
              <w:rPr>
                <w:rFonts w:cs="Calibri"/>
                <w:bCs/>
                <w:szCs w:val="20"/>
              </w:rPr>
            </w:pPr>
            <w:r w:rsidRPr="005F04FC">
              <w:rPr>
                <w:rFonts w:cs="Calibri"/>
                <w:bCs/>
                <w:szCs w:val="20"/>
              </w:rPr>
              <w:t>OPS</w:t>
            </w:r>
          </w:p>
        </w:tc>
        <w:tc>
          <w:tcPr>
            <w:tcW w:w="7082" w:type="dxa"/>
            <w:shd w:val="clear" w:color="auto" w:fill="auto"/>
          </w:tcPr>
          <w:p w14:paraId="5B131939" w14:textId="77777777" w:rsidR="00AA5F92" w:rsidRPr="005F04FC" w:rsidRDefault="00AA5F92" w:rsidP="007F7D4A">
            <w:pPr>
              <w:rPr>
                <w:rFonts w:cs="Calibri"/>
                <w:szCs w:val="20"/>
              </w:rPr>
            </w:pPr>
            <w:r w:rsidRPr="005F04FC">
              <w:rPr>
                <w:rFonts w:cs="Calibri"/>
                <w:szCs w:val="20"/>
              </w:rPr>
              <w:t>Ośrodek Pomocy Społecznej</w:t>
            </w:r>
          </w:p>
        </w:tc>
      </w:tr>
      <w:tr w:rsidR="00AA5F92" w:rsidRPr="00801DB4" w14:paraId="60B48EC3" w14:textId="77777777" w:rsidTr="005F04FC">
        <w:trPr>
          <w:trHeight w:val="340"/>
        </w:trPr>
        <w:tc>
          <w:tcPr>
            <w:tcW w:w="1980" w:type="dxa"/>
            <w:shd w:val="clear" w:color="auto" w:fill="auto"/>
          </w:tcPr>
          <w:p w14:paraId="6080898C" w14:textId="77777777" w:rsidR="00AA5F92" w:rsidRPr="005F04FC" w:rsidRDefault="00AA5F92" w:rsidP="007F7D4A">
            <w:pPr>
              <w:rPr>
                <w:rFonts w:cs="Calibri"/>
                <w:bCs/>
                <w:szCs w:val="20"/>
              </w:rPr>
            </w:pPr>
            <w:r w:rsidRPr="005F04FC">
              <w:rPr>
                <w:bCs/>
                <w:szCs w:val="20"/>
              </w:rPr>
              <w:t>OWES</w:t>
            </w:r>
          </w:p>
        </w:tc>
        <w:tc>
          <w:tcPr>
            <w:tcW w:w="7082" w:type="dxa"/>
            <w:shd w:val="clear" w:color="auto" w:fill="auto"/>
          </w:tcPr>
          <w:p w14:paraId="3E29B293" w14:textId="77777777" w:rsidR="00AA5F92" w:rsidRPr="005F04FC" w:rsidRDefault="00AA5F92" w:rsidP="007F7D4A">
            <w:pPr>
              <w:rPr>
                <w:rFonts w:cs="Calibri"/>
                <w:szCs w:val="20"/>
              </w:rPr>
            </w:pPr>
            <w:r w:rsidRPr="005F04FC">
              <w:rPr>
                <w:rFonts w:cs="Calibri"/>
                <w:szCs w:val="20"/>
              </w:rPr>
              <w:t>Ośrodek Wsparcia Ekonomii Społecznej</w:t>
            </w:r>
          </w:p>
        </w:tc>
      </w:tr>
      <w:tr w:rsidR="00AA5F92" w:rsidRPr="00801DB4" w14:paraId="0D991D58" w14:textId="77777777" w:rsidTr="005F04FC">
        <w:trPr>
          <w:trHeight w:val="340"/>
        </w:trPr>
        <w:tc>
          <w:tcPr>
            <w:tcW w:w="1980" w:type="dxa"/>
            <w:shd w:val="clear" w:color="auto" w:fill="auto"/>
          </w:tcPr>
          <w:p w14:paraId="09D5B51F" w14:textId="77777777" w:rsidR="00AA5F92" w:rsidRPr="005F04FC" w:rsidRDefault="00AA5F92" w:rsidP="007F7D4A">
            <w:pPr>
              <w:rPr>
                <w:rFonts w:cs="Calibri"/>
                <w:bCs/>
                <w:szCs w:val="20"/>
              </w:rPr>
            </w:pPr>
            <w:r w:rsidRPr="005F04FC">
              <w:rPr>
                <w:rFonts w:cs="Calibri"/>
                <w:bCs/>
                <w:szCs w:val="20"/>
              </w:rPr>
              <w:t>OZE</w:t>
            </w:r>
          </w:p>
        </w:tc>
        <w:tc>
          <w:tcPr>
            <w:tcW w:w="7082" w:type="dxa"/>
            <w:shd w:val="clear" w:color="auto" w:fill="auto"/>
          </w:tcPr>
          <w:p w14:paraId="6692176A" w14:textId="77777777" w:rsidR="00AA5F92" w:rsidRPr="005F04FC" w:rsidRDefault="00AA5F92" w:rsidP="007F7D4A">
            <w:pPr>
              <w:rPr>
                <w:rFonts w:cs="Calibri"/>
                <w:szCs w:val="20"/>
              </w:rPr>
            </w:pPr>
            <w:r w:rsidRPr="005F04FC">
              <w:rPr>
                <w:rFonts w:cs="Calibri"/>
                <w:szCs w:val="20"/>
              </w:rPr>
              <w:t>Odnawialne źródła energii</w:t>
            </w:r>
          </w:p>
        </w:tc>
      </w:tr>
      <w:tr w:rsidR="00AA5F92" w:rsidRPr="00801DB4" w14:paraId="269C4890" w14:textId="77777777" w:rsidTr="005F04FC">
        <w:trPr>
          <w:trHeight w:val="340"/>
        </w:trPr>
        <w:tc>
          <w:tcPr>
            <w:tcW w:w="1980" w:type="dxa"/>
            <w:shd w:val="clear" w:color="auto" w:fill="auto"/>
          </w:tcPr>
          <w:p w14:paraId="460778A8" w14:textId="77777777" w:rsidR="00AA5F92" w:rsidRPr="005F04FC" w:rsidRDefault="00AA5F92" w:rsidP="007F7D4A">
            <w:pPr>
              <w:rPr>
                <w:rFonts w:cs="Calibri"/>
                <w:bCs/>
                <w:szCs w:val="20"/>
              </w:rPr>
            </w:pPr>
            <w:r w:rsidRPr="005F04FC">
              <w:rPr>
                <w:bCs/>
                <w:szCs w:val="20"/>
              </w:rPr>
              <w:t>PCPR</w:t>
            </w:r>
          </w:p>
        </w:tc>
        <w:tc>
          <w:tcPr>
            <w:tcW w:w="7082" w:type="dxa"/>
            <w:shd w:val="clear" w:color="auto" w:fill="auto"/>
          </w:tcPr>
          <w:p w14:paraId="27ACAE02" w14:textId="77777777" w:rsidR="00AA5F92" w:rsidRPr="005F04FC" w:rsidRDefault="00AA5F92" w:rsidP="007F7D4A">
            <w:pPr>
              <w:rPr>
                <w:rFonts w:cs="Calibri"/>
                <w:szCs w:val="20"/>
              </w:rPr>
            </w:pPr>
            <w:r w:rsidRPr="005F04FC">
              <w:rPr>
                <w:rFonts w:cs="Calibri"/>
                <w:szCs w:val="20"/>
              </w:rPr>
              <w:t>Powiatowe Centrum Pomocy Rodzinie</w:t>
            </w:r>
          </w:p>
        </w:tc>
      </w:tr>
      <w:tr w:rsidR="00AA5F92" w:rsidRPr="00801DB4" w14:paraId="6677AC4B" w14:textId="77777777" w:rsidTr="005F04FC">
        <w:trPr>
          <w:trHeight w:val="340"/>
        </w:trPr>
        <w:tc>
          <w:tcPr>
            <w:tcW w:w="1980" w:type="dxa"/>
            <w:shd w:val="clear" w:color="auto" w:fill="auto"/>
          </w:tcPr>
          <w:p w14:paraId="54987AE0" w14:textId="77777777" w:rsidR="00AA5F92" w:rsidRPr="005F04FC" w:rsidRDefault="00AA5F92" w:rsidP="007F7D4A">
            <w:pPr>
              <w:rPr>
                <w:rFonts w:cs="Calibri"/>
                <w:bCs/>
                <w:szCs w:val="20"/>
              </w:rPr>
            </w:pPr>
            <w:r w:rsidRPr="005F04FC">
              <w:rPr>
                <w:rFonts w:cs="Calibri"/>
                <w:bCs/>
                <w:szCs w:val="20"/>
              </w:rPr>
              <w:t>PI</w:t>
            </w:r>
          </w:p>
        </w:tc>
        <w:tc>
          <w:tcPr>
            <w:tcW w:w="7082" w:type="dxa"/>
            <w:shd w:val="clear" w:color="auto" w:fill="auto"/>
          </w:tcPr>
          <w:p w14:paraId="78AED6E9" w14:textId="77777777" w:rsidR="00AA5F92" w:rsidRPr="005F04FC" w:rsidRDefault="00AA5F92" w:rsidP="007F7D4A">
            <w:pPr>
              <w:rPr>
                <w:rFonts w:cs="Calibri"/>
                <w:szCs w:val="20"/>
              </w:rPr>
            </w:pPr>
            <w:r w:rsidRPr="005F04FC">
              <w:rPr>
                <w:rFonts w:cs="Calibri"/>
                <w:szCs w:val="20"/>
              </w:rPr>
              <w:t>Priorytet Inwestycyjny</w:t>
            </w:r>
          </w:p>
        </w:tc>
      </w:tr>
      <w:tr w:rsidR="00AA5F92" w:rsidRPr="00801DB4" w14:paraId="2F44E30F" w14:textId="77777777" w:rsidTr="005F04FC">
        <w:trPr>
          <w:trHeight w:val="340"/>
        </w:trPr>
        <w:tc>
          <w:tcPr>
            <w:tcW w:w="1980" w:type="dxa"/>
            <w:shd w:val="clear" w:color="auto" w:fill="auto"/>
          </w:tcPr>
          <w:p w14:paraId="181998A2" w14:textId="77777777" w:rsidR="00AA5F92" w:rsidRPr="005F04FC" w:rsidRDefault="00AA5F92" w:rsidP="007F7D4A">
            <w:pPr>
              <w:rPr>
                <w:rFonts w:cs="Calibri"/>
                <w:bCs/>
                <w:szCs w:val="20"/>
              </w:rPr>
            </w:pPr>
            <w:r w:rsidRPr="005F04FC">
              <w:rPr>
                <w:szCs w:val="20"/>
              </w:rPr>
              <w:t>PGW Wody Polskie</w:t>
            </w:r>
          </w:p>
        </w:tc>
        <w:tc>
          <w:tcPr>
            <w:tcW w:w="7082" w:type="dxa"/>
            <w:shd w:val="clear" w:color="auto" w:fill="auto"/>
          </w:tcPr>
          <w:p w14:paraId="29013B18" w14:textId="77777777" w:rsidR="00AA5F92" w:rsidRPr="005F04FC" w:rsidRDefault="00AA5F92" w:rsidP="007F7D4A">
            <w:pPr>
              <w:rPr>
                <w:rFonts w:cs="Calibri"/>
                <w:szCs w:val="20"/>
              </w:rPr>
            </w:pPr>
            <w:r w:rsidRPr="005F04FC">
              <w:rPr>
                <w:rFonts w:cs="Calibri"/>
                <w:szCs w:val="20"/>
              </w:rPr>
              <w:t>Państwowego Gospodarstwa Wodnego Wody Polskie</w:t>
            </w:r>
          </w:p>
        </w:tc>
      </w:tr>
      <w:tr w:rsidR="00AA5F92" w:rsidRPr="00801DB4" w14:paraId="71909F72" w14:textId="77777777" w:rsidTr="005F04FC">
        <w:trPr>
          <w:trHeight w:val="340"/>
        </w:trPr>
        <w:tc>
          <w:tcPr>
            <w:tcW w:w="1980" w:type="dxa"/>
            <w:shd w:val="clear" w:color="auto" w:fill="auto"/>
          </w:tcPr>
          <w:p w14:paraId="00C77A0A" w14:textId="77777777" w:rsidR="00AA5F92" w:rsidRPr="005F04FC" w:rsidRDefault="00AA5F92" w:rsidP="007F7D4A">
            <w:pPr>
              <w:rPr>
                <w:rFonts w:cs="Calibri"/>
                <w:bCs/>
                <w:szCs w:val="20"/>
              </w:rPr>
            </w:pPr>
            <w:r w:rsidRPr="005F04FC">
              <w:rPr>
                <w:rFonts w:cs="Calibri"/>
                <w:bCs/>
                <w:szCs w:val="20"/>
              </w:rPr>
              <w:t>PKD</w:t>
            </w:r>
          </w:p>
        </w:tc>
        <w:tc>
          <w:tcPr>
            <w:tcW w:w="7082" w:type="dxa"/>
            <w:shd w:val="clear" w:color="auto" w:fill="auto"/>
          </w:tcPr>
          <w:p w14:paraId="7FA17EF6" w14:textId="77777777" w:rsidR="00AA5F92" w:rsidRPr="005F04FC" w:rsidRDefault="00AA5F92" w:rsidP="007F7D4A">
            <w:pPr>
              <w:rPr>
                <w:rFonts w:cs="Calibri"/>
                <w:szCs w:val="20"/>
              </w:rPr>
            </w:pPr>
            <w:r w:rsidRPr="005F04FC">
              <w:rPr>
                <w:rFonts w:cs="Calibri"/>
                <w:szCs w:val="20"/>
              </w:rPr>
              <w:t>Polska Klasyfikacja Działalności</w:t>
            </w:r>
          </w:p>
        </w:tc>
      </w:tr>
      <w:tr w:rsidR="00AA5F92" w:rsidRPr="00801DB4" w14:paraId="5819D555" w14:textId="77777777" w:rsidTr="005F04FC">
        <w:trPr>
          <w:trHeight w:val="340"/>
        </w:trPr>
        <w:tc>
          <w:tcPr>
            <w:tcW w:w="1980" w:type="dxa"/>
            <w:shd w:val="clear" w:color="auto" w:fill="auto"/>
          </w:tcPr>
          <w:p w14:paraId="5441DC5D" w14:textId="77777777" w:rsidR="00AA5F92" w:rsidRPr="005F04FC" w:rsidRDefault="00AA5F92" w:rsidP="007F7D4A">
            <w:pPr>
              <w:rPr>
                <w:rFonts w:cs="Calibri"/>
                <w:bCs/>
                <w:szCs w:val="20"/>
              </w:rPr>
            </w:pPr>
            <w:r w:rsidRPr="005F04FC">
              <w:rPr>
                <w:rFonts w:cs="Calibri"/>
                <w:bCs/>
                <w:szCs w:val="20"/>
              </w:rPr>
              <w:t>PKB</w:t>
            </w:r>
          </w:p>
        </w:tc>
        <w:tc>
          <w:tcPr>
            <w:tcW w:w="7082" w:type="dxa"/>
            <w:shd w:val="clear" w:color="auto" w:fill="auto"/>
          </w:tcPr>
          <w:p w14:paraId="7DAFB0AD" w14:textId="77777777" w:rsidR="00AA5F92" w:rsidRPr="005F04FC" w:rsidRDefault="00AA5F92" w:rsidP="007F7D4A">
            <w:pPr>
              <w:rPr>
                <w:rFonts w:cs="Calibri"/>
                <w:szCs w:val="20"/>
              </w:rPr>
            </w:pPr>
            <w:r w:rsidRPr="005F04FC">
              <w:rPr>
                <w:rFonts w:cs="Calibri"/>
                <w:szCs w:val="20"/>
              </w:rPr>
              <w:t>Produkt krajowy brutto</w:t>
            </w:r>
          </w:p>
        </w:tc>
      </w:tr>
      <w:tr w:rsidR="00AA5F92" w:rsidRPr="00801DB4" w14:paraId="3D63701F" w14:textId="77777777" w:rsidTr="005F04FC">
        <w:trPr>
          <w:trHeight w:val="340"/>
        </w:trPr>
        <w:tc>
          <w:tcPr>
            <w:tcW w:w="1980" w:type="dxa"/>
            <w:shd w:val="clear" w:color="auto" w:fill="auto"/>
          </w:tcPr>
          <w:p w14:paraId="7219FAB6" w14:textId="77777777" w:rsidR="00AA5F92" w:rsidRPr="005F04FC" w:rsidRDefault="00AA5F92" w:rsidP="007F7D4A">
            <w:pPr>
              <w:rPr>
                <w:rFonts w:cs="Calibri"/>
                <w:bCs/>
                <w:szCs w:val="20"/>
              </w:rPr>
            </w:pPr>
            <w:r w:rsidRPr="005F04FC">
              <w:rPr>
                <w:bCs/>
                <w:szCs w:val="20"/>
              </w:rPr>
              <w:t>PO IiŚ</w:t>
            </w:r>
          </w:p>
        </w:tc>
        <w:tc>
          <w:tcPr>
            <w:tcW w:w="7082" w:type="dxa"/>
            <w:shd w:val="clear" w:color="auto" w:fill="auto"/>
          </w:tcPr>
          <w:p w14:paraId="69B41A57" w14:textId="77777777" w:rsidR="00AA5F92" w:rsidRPr="005F04FC" w:rsidRDefault="00AA5F92" w:rsidP="007F7D4A">
            <w:pPr>
              <w:rPr>
                <w:rFonts w:cs="Calibri"/>
                <w:szCs w:val="20"/>
              </w:rPr>
            </w:pPr>
            <w:r w:rsidRPr="005F04FC">
              <w:rPr>
                <w:rFonts w:cs="Calibri"/>
                <w:szCs w:val="20"/>
              </w:rPr>
              <w:t>Program Operacyjny Infrastruktura</w:t>
            </w:r>
            <w:r w:rsidR="00E66B89" w:rsidRPr="005F04FC">
              <w:rPr>
                <w:rFonts w:cs="Calibri"/>
                <w:szCs w:val="20"/>
              </w:rPr>
              <w:t xml:space="preserve"> i </w:t>
            </w:r>
            <w:r w:rsidRPr="005F04FC">
              <w:rPr>
                <w:rFonts w:cs="Calibri"/>
                <w:szCs w:val="20"/>
              </w:rPr>
              <w:t>Środowisko</w:t>
            </w:r>
          </w:p>
        </w:tc>
      </w:tr>
      <w:tr w:rsidR="00AA5F92" w:rsidRPr="00801DB4" w14:paraId="7EF47F02" w14:textId="77777777" w:rsidTr="005F04FC">
        <w:trPr>
          <w:trHeight w:val="340"/>
        </w:trPr>
        <w:tc>
          <w:tcPr>
            <w:tcW w:w="1980" w:type="dxa"/>
            <w:shd w:val="clear" w:color="auto" w:fill="auto"/>
          </w:tcPr>
          <w:p w14:paraId="2AD11A0C" w14:textId="77777777" w:rsidR="00AA5F92" w:rsidRPr="005F04FC" w:rsidRDefault="00AA5F92" w:rsidP="007F7D4A">
            <w:pPr>
              <w:rPr>
                <w:rFonts w:cs="Calibri"/>
                <w:bCs/>
                <w:szCs w:val="20"/>
              </w:rPr>
            </w:pPr>
            <w:r w:rsidRPr="005F04FC">
              <w:rPr>
                <w:rFonts w:cs="Calibri"/>
                <w:bCs/>
                <w:szCs w:val="20"/>
              </w:rPr>
              <w:t>PO KL</w:t>
            </w:r>
          </w:p>
        </w:tc>
        <w:tc>
          <w:tcPr>
            <w:tcW w:w="7082" w:type="dxa"/>
            <w:shd w:val="clear" w:color="auto" w:fill="auto"/>
          </w:tcPr>
          <w:p w14:paraId="32E10E75" w14:textId="77777777" w:rsidR="00AA5F92" w:rsidRPr="005F04FC" w:rsidRDefault="00AA5F92" w:rsidP="007F7D4A">
            <w:pPr>
              <w:rPr>
                <w:rFonts w:cs="Calibri"/>
                <w:szCs w:val="20"/>
              </w:rPr>
            </w:pPr>
            <w:r w:rsidRPr="005F04FC">
              <w:rPr>
                <w:rFonts w:cs="Calibri"/>
                <w:szCs w:val="20"/>
              </w:rPr>
              <w:t>Program Operacyjny Kapitał Ludzki</w:t>
            </w:r>
          </w:p>
        </w:tc>
      </w:tr>
      <w:tr w:rsidR="00AA5F92" w:rsidRPr="00801DB4" w14:paraId="450B173C" w14:textId="77777777" w:rsidTr="005F04FC">
        <w:trPr>
          <w:trHeight w:val="340"/>
        </w:trPr>
        <w:tc>
          <w:tcPr>
            <w:tcW w:w="1980" w:type="dxa"/>
            <w:shd w:val="clear" w:color="auto" w:fill="auto"/>
          </w:tcPr>
          <w:p w14:paraId="04B96E22" w14:textId="77777777" w:rsidR="00AA5F92" w:rsidRPr="005F04FC" w:rsidRDefault="00AA5F92" w:rsidP="007F7D4A">
            <w:pPr>
              <w:rPr>
                <w:rFonts w:cs="Calibri"/>
                <w:bCs/>
                <w:szCs w:val="20"/>
              </w:rPr>
            </w:pPr>
            <w:r w:rsidRPr="005F04FC">
              <w:rPr>
                <w:szCs w:val="20"/>
              </w:rPr>
              <w:t>RIPOK</w:t>
            </w:r>
          </w:p>
        </w:tc>
        <w:tc>
          <w:tcPr>
            <w:tcW w:w="7082" w:type="dxa"/>
            <w:shd w:val="clear" w:color="auto" w:fill="auto"/>
          </w:tcPr>
          <w:p w14:paraId="58C2D24F" w14:textId="77777777" w:rsidR="00AA5F92" w:rsidRPr="005F04FC" w:rsidRDefault="00AA5F92" w:rsidP="007F7D4A">
            <w:pPr>
              <w:rPr>
                <w:rFonts w:cs="Calibri"/>
                <w:szCs w:val="20"/>
              </w:rPr>
            </w:pPr>
            <w:r w:rsidRPr="005F04FC">
              <w:rPr>
                <w:rFonts w:cs="Calibri"/>
                <w:szCs w:val="20"/>
              </w:rPr>
              <w:t>Regionalna instalacja przetwarzania odpadów komunalnych</w:t>
            </w:r>
          </w:p>
        </w:tc>
      </w:tr>
      <w:tr w:rsidR="00AA5F92" w:rsidRPr="00801DB4" w14:paraId="2A09EDF5" w14:textId="77777777" w:rsidTr="005F04FC">
        <w:trPr>
          <w:trHeight w:val="340"/>
        </w:trPr>
        <w:tc>
          <w:tcPr>
            <w:tcW w:w="1980" w:type="dxa"/>
            <w:shd w:val="clear" w:color="auto" w:fill="auto"/>
          </w:tcPr>
          <w:p w14:paraId="55874046" w14:textId="77777777" w:rsidR="00AA5F92" w:rsidRPr="005F04FC" w:rsidRDefault="00AA5F92" w:rsidP="007F7D4A">
            <w:pPr>
              <w:rPr>
                <w:rFonts w:cs="Calibri"/>
                <w:bCs/>
                <w:szCs w:val="20"/>
              </w:rPr>
            </w:pPr>
            <w:r w:rsidRPr="005F04FC">
              <w:rPr>
                <w:bCs/>
                <w:szCs w:val="20"/>
              </w:rPr>
              <w:t>RLM</w:t>
            </w:r>
          </w:p>
        </w:tc>
        <w:tc>
          <w:tcPr>
            <w:tcW w:w="7082" w:type="dxa"/>
            <w:shd w:val="clear" w:color="auto" w:fill="auto"/>
          </w:tcPr>
          <w:p w14:paraId="40B9915A" w14:textId="77777777" w:rsidR="00AA5F92" w:rsidRPr="005F04FC" w:rsidRDefault="00AA5F92" w:rsidP="007F7D4A">
            <w:pPr>
              <w:rPr>
                <w:rFonts w:cs="Calibri"/>
                <w:szCs w:val="20"/>
              </w:rPr>
            </w:pPr>
            <w:r w:rsidRPr="005F04FC">
              <w:rPr>
                <w:rFonts w:cs="Calibri"/>
                <w:szCs w:val="20"/>
              </w:rPr>
              <w:t>Równoważna liczba mieszkańców</w:t>
            </w:r>
          </w:p>
        </w:tc>
      </w:tr>
      <w:tr w:rsidR="00AA5F92" w:rsidRPr="00801DB4" w14:paraId="1B331AE2" w14:textId="77777777" w:rsidTr="005F04FC">
        <w:trPr>
          <w:trHeight w:val="340"/>
        </w:trPr>
        <w:tc>
          <w:tcPr>
            <w:tcW w:w="1980" w:type="dxa"/>
            <w:shd w:val="clear" w:color="auto" w:fill="auto"/>
          </w:tcPr>
          <w:p w14:paraId="59FA95B0" w14:textId="77777777" w:rsidR="00AA5F92" w:rsidRPr="005F04FC" w:rsidRDefault="00AA5F92" w:rsidP="007F7D4A">
            <w:pPr>
              <w:rPr>
                <w:bCs/>
                <w:color w:val="C00000"/>
                <w:szCs w:val="20"/>
              </w:rPr>
            </w:pPr>
            <w:r w:rsidRPr="005F04FC">
              <w:rPr>
                <w:rFonts w:cs="Calibri"/>
                <w:bCs/>
                <w:szCs w:val="20"/>
              </w:rPr>
              <w:t>RPO WZ</w:t>
            </w:r>
          </w:p>
        </w:tc>
        <w:tc>
          <w:tcPr>
            <w:tcW w:w="7082" w:type="dxa"/>
            <w:shd w:val="clear" w:color="auto" w:fill="auto"/>
          </w:tcPr>
          <w:p w14:paraId="7D4D57ED" w14:textId="77777777" w:rsidR="00AA5F92" w:rsidRPr="005F04FC" w:rsidRDefault="00AA5F92" w:rsidP="007F7D4A">
            <w:pPr>
              <w:rPr>
                <w:color w:val="C00000"/>
                <w:szCs w:val="20"/>
              </w:rPr>
            </w:pPr>
            <w:r w:rsidRPr="005F04FC">
              <w:rPr>
                <w:rFonts w:cs="Calibri"/>
                <w:szCs w:val="20"/>
              </w:rPr>
              <w:t>Regionalny Program Operacyjny Województwa Zachodniopomorskiego</w:t>
            </w:r>
          </w:p>
        </w:tc>
      </w:tr>
      <w:tr w:rsidR="00AA5F92" w:rsidRPr="00801DB4" w14:paraId="74818423" w14:textId="77777777" w:rsidTr="005F04FC">
        <w:trPr>
          <w:trHeight w:val="340"/>
        </w:trPr>
        <w:tc>
          <w:tcPr>
            <w:tcW w:w="1980" w:type="dxa"/>
            <w:shd w:val="clear" w:color="auto" w:fill="auto"/>
          </w:tcPr>
          <w:p w14:paraId="129B0647" w14:textId="77777777" w:rsidR="00AA5F92" w:rsidRPr="005F04FC" w:rsidRDefault="00AA5F92" w:rsidP="007F7D4A">
            <w:pPr>
              <w:rPr>
                <w:rFonts w:cs="Calibri"/>
                <w:bCs/>
                <w:szCs w:val="20"/>
              </w:rPr>
            </w:pPr>
            <w:r w:rsidRPr="005F04FC">
              <w:rPr>
                <w:rFonts w:cs="Calibri"/>
                <w:bCs/>
                <w:szCs w:val="20"/>
              </w:rPr>
              <w:t>PSZOK</w:t>
            </w:r>
          </w:p>
        </w:tc>
        <w:tc>
          <w:tcPr>
            <w:tcW w:w="7082" w:type="dxa"/>
            <w:shd w:val="clear" w:color="auto" w:fill="auto"/>
          </w:tcPr>
          <w:p w14:paraId="604C91C8" w14:textId="77777777" w:rsidR="00AA5F92" w:rsidRPr="005F04FC" w:rsidRDefault="00AA5F92" w:rsidP="007F7D4A">
            <w:pPr>
              <w:rPr>
                <w:rFonts w:cs="Calibri"/>
                <w:szCs w:val="20"/>
              </w:rPr>
            </w:pPr>
            <w:r w:rsidRPr="005F04FC">
              <w:rPr>
                <w:rFonts w:cs="Calibri"/>
                <w:szCs w:val="20"/>
              </w:rPr>
              <w:t>Punkty Selektywnego Zbierania Odpadów Komunalnych</w:t>
            </w:r>
          </w:p>
        </w:tc>
      </w:tr>
      <w:tr w:rsidR="00AA5F92" w:rsidRPr="00801DB4" w14:paraId="1E785DA8" w14:textId="77777777" w:rsidTr="005F04FC">
        <w:trPr>
          <w:trHeight w:val="340"/>
        </w:trPr>
        <w:tc>
          <w:tcPr>
            <w:tcW w:w="1980" w:type="dxa"/>
            <w:shd w:val="clear" w:color="auto" w:fill="auto"/>
          </w:tcPr>
          <w:p w14:paraId="27B734CB" w14:textId="77777777" w:rsidR="00AA5F92" w:rsidRPr="005F04FC" w:rsidRDefault="00AA5F92" w:rsidP="007F7D4A">
            <w:pPr>
              <w:rPr>
                <w:rFonts w:cs="Calibri"/>
                <w:bCs/>
                <w:szCs w:val="20"/>
              </w:rPr>
            </w:pPr>
            <w:r w:rsidRPr="005F04FC">
              <w:rPr>
                <w:rFonts w:cs="Calibri"/>
                <w:bCs/>
                <w:szCs w:val="20"/>
              </w:rPr>
              <w:lastRenderedPageBreak/>
              <w:t>RW</w:t>
            </w:r>
          </w:p>
        </w:tc>
        <w:tc>
          <w:tcPr>
            <w:tcW w:w="7082" w:type="dxa"/>
            <w:shd w:val="clear" w:color="auto" w:fill="auto"/>
          </w:tcPr>
          <w:p w14:paraId="3A710FCF" w14:textId="77777777" w:rsidR="00AA5F92" w:rsidRPr="005F04FC" w:rsidRDefault="00AA5F92" w:rsidP="007F7D4A">
            <w:pPr>
              <w:rPr>
                <w:rFonts w:cs="Calibri"/>
                <w:szCs w:val="20"/>
              </w:rPr>
            </w:pPr>
            <w:r w:rsidRPr="005F04FC">
              <w:rPr>
                <w:rFonts w:cs="Calibri"/>
                <w:szCs w:val="20"/>
              </w:rPr>
              <w:t>Ramy Wykonania</w:t>
            </w:r>
          </w:p>
        </w:tc>
      </w:tr>
      <w:tr w:rsidR="00AA5F92" w:rsidRPr="00801DB4" w14:paraId="0411353A" w14:textId="77777777" w:rsidTr="005F04FC">
        <w:trPr>
          <w:trHeight w:val="340"/>
        </w:trPr>
        <w:tc>
          <w:tcPr>
            <w:tcW w:w="1980" w:type="dxa"/>
            <w:shd w:val="clear" w:color="auto" w:fill="auto"/>
          </w:tcPr>
          <w:p w14:paraId="0AADA743" w14:textId="77777777" w:rsidR="00AA5F92" w:rsidRPr="005F04FC" w:rsidRDefault="00AA5F92" w:rsidP="007F7D4A">
            <w:pPr>
              <w:rPr>
                <w:rFonts w:cs="Calibri"/>
                <w:bCs/>
                <w:szCs w:val="20"/>
              </w:rPr>
            </w:pPr>
            <w:r w:rsidRPr="005F04FC">
              <w:rPr>
                <w:rFonts w:cs="Calibri"/>
                <w:bCs/>
                <w:szCs w:val="20"/>
              </w:rPr>
              <w:t>SOM</w:t>
            </w:r>
          </w:p>
        </w:tc>
        <w:tc>
          <w:tcPr>
            <w:tcW w:w="7082" w:type="dxa"/>
            <w:shd w:val="clear" w:color="auto" w:fill="auto"/>
          </w:tcPr>
          <w:p w14:paraId="42F675C7" w14:textId="77777777" w:rsidR="00AA5F92" w:rsidRPr="005F04FC" w:rsidRDefault="00AA5F92" w:rsidP="007F7D4A">
            <w:pPr>
              <w:rPr>
                <w:rFonts w:cs="Calibri"/>
                <w:szCs w:val="20"/>
              </w:rPr>
            </w:pPr>
            <w:r w:rsidRPr="005F04FC">
              <w:rPr>
                <w:rFonts w:cs="Calibri"/>
                <w:szCs w:val="20"/>
              </w:rPr>
              <w:t>Szczeciński Obszar Metropolitalny</w:t>
            </w:r>
          </w:p>
        </w:tc>
      </w:tr>
      <w:tr w:rsidR="00AA5F92" w:rsidRPr="00801DB4" w14:paraId="04FD832B" w14:textId="77777777" w:rsidTr="005F04FC">
        <w:trPr>
          <w:trHeight w:val="340"/>
        </w:trPr>
        <w:tc>
          <w:tcPr>
            <w:tcW w:w="1980" w:type="dxa"/>
            <w:shd w:val="clear" w:color="auto" w:fill="auto"/>
          </w:tcPr>
          <w:p w14:paraId="2333B50F" w14:textId="77777777" w:rsidR="00AA5F92" w:rsidRPr="005F04FC" w:rsidRDefault="00AA5F92" w:rsidP="007F7D4A">
            <w:pPr>
              <w:rPr>
                <w:rFonts w:cs="Calibri"/>
                <w:bCs/>
                <w:szCs w:val="20"/>
              </w:rPr>
            </w:pPr>
            <w:r w:rsidRPr="005F04FC">
              <w:rPr>
                <w:rFonts w:cs="Calibri"/>
                <w:bCs/>
                <w:szCs w:val="20"/>
              </w:rPr>
              <w:t>SSOM</w:t>
            </w:r>
          </w:p>
        </w:tc>
        <w:tc>
          <w:tcPr>
            <w:tcW w:w="7082" w:type="dxa"/>
            <w:shd w:val="clear" w:color="auto" w:fill="auto"/>
          </w:tcPr>
          <w:p w14:paraId="11B5C2C4" w14:textId="77777777" w:rsidR="00AA5F92" w:rsidRPr="005F04FC" w:rsidRDefault="00AA5F92" w:rsidP="007F7D4A">
            <w:pPr>
              <w:rPr>
                <w:rFonts w:cs="Calibri"/>
                <w:szCs w:val="20"/>
              </w:rPr>
            </w:pPr>
            <w:r w:rsidRPr="005F04FC">
              <w:rPr>
                <w:rFonts w:cs="Calibri"/>
                <w:szCs w:val="20"/>
              </w:rPr>
              <w:t>Stowarzyszenie Szczecińskiego Obszaru Metropolitalnego</w:t>
            </w:r>
          </w:p>
        </w:tc>
      </w:tr>
      <w:tr w:rsidR="00AA5F92" w:rsidRPr="00801DB4" w14:paraId="7D97213E" w14:textId="77777777" w:rsidTr="005F04FC">
        <w:trPr>
          <w:trHeight w:val="340"/>
        </w:trPr>
        <w:tc>
          <w:tcPr>
            <w:tcW w:w="1980" w:type="dxa"/>
            <w:shd w:val="clear" w:color="auto" w:fill="auto"/>
          </w:tcPr>
          <w:p w14:paraId="0C9DB150" w14:textId="77777777" w:rsidR="00AA5F92" w:rsidRPr="005F04FC" w:rsidRDefault="00AA5F92" w:rsidP="007F7D4A">
            <w:pPr>
              <w:rPr>
                <w:rFonts w:cs="Calibri"/>
                <w:bCs/>
                <w:szCs w:val="20"/>
              </w:rPr>
            </w:pPr>
            <w:r w:rsidRPr="005F04FC">
              <w:rPr>
                <w:rFonts w:cs="Calibri"/>
                <w:bCs/>
                <w:szCs w:val="20"/>
              </w:rPr>
              <w:t>SL2014</w:t>
            </w:r>
          </w:p>
        </w:tc>
        <w:tc>
          <w:tcPr>
            <w:tcW w:w="7082" w:type="dxa"/>
            <w:shd w:val="clear" w:color="auto" w:fill="auto"/>
          </w:tcPr>
          <w:p w14:paraId="18A7EF61" w14:textId="77777777" w:rsidR="00AA5F92" w:rsidRPr="005F04FC" w:rsidRDefault="00AA5F92" w:rsidP="007F7D4A">
            <w:pPr>
              <w:rPr>
                <w:rFonts w:cs="Calibri"/>
                <w:szCs w:val="20"/>
              </w:rPr>
            </w:pPr>
            <w:r w:rsidRPr="005F04FC">
              <w:rPr>
                <w:rFonts w:cs="Calibri"/>
                <w:szCs w:val="20"/>
              </w:rPr>
              <w:t>Centralny system teleinformatyczny</w:t>
            </w:r>
          </w:p>
        </w:tc>
      </w:tr>
      <w:tr w:rsidR="00AA5F92" w:rsidRPr="00801DB4" w14:paraId="59FDD19F" w14:textId="77777777" w:rsidTr="005F04FC">
        <w:trPr>
          <w:trHeight w:val="340"/>
        </w:trPr>
        <w:tc>
          <w:tcPr>
            <w:tcW w:w="1980" w:type="dxa"/>
            <w:shd w:val="clear" w:color="auto" w:fill="auto"/>
          </w:tcPr>
          <w:p w14:paraId="29E352E4" w14:textId="77777777" w:rsidR="00AA5F92" w:rsidRPr="005F04FC" w:rsidRDefault="00AA5F92" w:rsidP="007F7D4A">
            <w:pPr>
              <w:rPr>
                <w:rFonts w:cs="Calibri"/>
                <w:bCs/>
                <w:szCs w:val="20"/>
              </w:rPr>
            </w:pPr>
            <w:r w:rsidRPr="005F04FC">
              <w:rPr>
                <w:rFonts w:cs="Calibri"/>
                <w:bCs/>
                <w:szCs w:val="20"/>
              </w:rPr>
              <w:t>SOOP</w:t>
            </w:r>
          </w:p>
        </w:tc>
        <w:tc>
          <w:tcPr>
            <w:tcW w:w="7082" w:type="dxa"/>
            <w:shd w:val="clear" w:color="auto" w:fill="auto"/>
          </w:tcPr>
          <w:p w14:paraId="10EFC8FA" w14:textId="77777777" w:rsidR="00AA5F92" w:rsidRPr="005F04FC" w:rsidRDefault="00AA5F92" w:rsidP="007F7D4A">
            <w:pPr>
              <w:rPr>
                <w:rFonts w:cs="Calibri"/>
                <w:szCs w:val="20"/>
              </w:rPr>
            </w:pPr>
            <w:r w:rsidRPr="005F04FC">
              <w:rPr>
                <w:rFonts w:cs="Calibri"/>
                <w:szCs w:val="20"/>
              </w:rPr>
              <w:t>Szczegółowy Opis Osi Priorytetowych</w:t>
            </w:r>
          </w:p>
        </w:tc>
      </w:tr>
      <w:tr w:rsidR="00AA5F92" w:rsidRPr="00801DB4" w14:paraId="2B62E543" w14:textId="77777777" w:rsidTr="005F04FC">
        <w:trPr>
          <w:trHeight w:val="340"/>
        </w:trPr>
        <w:tc>
          <w:tcPr>
            <w:tcW w:w="1980" w:type="dxa"/>
            <w:shd w:val="clear" w:color="auto" w:fill="auto"/>
          </w:tcPr>
          <w:p w14:paraId="795FA071" w14:textId="77777777" w:rsidR="00AA5F92" w:rsidRPr="005F04FC" w:rsidRDefault="00AA5F92" w:rsidP="007F7D4A">
            <w:pPr>
              <w:rPr>
                <w:rFonts w:cs="Calibri"/>
                <w:bCs/>
                <w:szCs w:val="20"/>
              </w:rPr>
            </w:pPr>
            <w:r w:rsidRPr="005F04FC">
              <w:rPr>
                <w:rFonts w:cs="Calibri"/>
                <w:bCs/>
                <w:szCs w:val="20"/>
              </w:rPr>
              <w:t>SOPZ</w:t>
            </w:r>
          </w:p>
        </w:tc>
        <w:tc>
          <w:tcPr>
            <w:tcW w:w="7082" w:type="dxa"/>
            <w:shd w:val="clear" w:color="auto" w:fill="auto"/>
          </w:tcPr>
          <w:p w14:paraId="649B0D87" w14:textId="77777777" w:rsidR="00AA5F92" w:rsidRPr="005F04FC" w:rsidRDefault="00AA5F92" w:rsidP="007F7D4A">
            <w:pPr>
              <w:rPr>
                <w:rFonts w:cs="Calibri"/>
                <w:szCs w:val="20"/>
              </w:rPr>
            </w:pPr>
            <w:r w:rsidRPr="005F04FC">
              <w:rPr>
                <w:rFonts w:cs="Calibri"/>
                <w:szCs w:val="20"/>
              </w:rPr>
              <w:t>Szczegółowy opis przedmiotu zamówienia</w:t>
            </w:r>
          </w:p>
        </w:tc>
      </w:tr>
      <w:tr w:rsidR="00AA5F92" w:rsidRPr="00801DB4" w14:paraId="2E3B9047" w14:textId="77777777" w:rsidTr="005F04FC">
        <w:trPr>
          <w:trHeight w:val="340"/>
        </w:trPr>
        <w:tc>
          <w:tcPr>
            <w:tcW w:w="1980" w:type="dxa"/>
            <w:shd w:val="clear" w:color="auto" w:fill="auto"/>
          </w:tcPr>
          <w:p w14:paraId="0C02006D" w14:textId="77777777" w:rsidR="00AA5F92" w:rsidRPr="005F04FC" w:rsidRDefault="00AA5F92" w:rsidP="007F7D4A">
            <w:pPr>
              <w:rPr>
                <w:rFonts w:cs="Calibri"/>
                <w:bCs/>
                <w:szCs w:val="20"/>
              </w:rPr>
            </w:pPr>
            <w:r w:rsidRPr="005F04FC">
              <w:rPr>
                <w:rFonts w:cs="Calibri"/>
                <w:bCs/>
                <w:szCs w:val="20"/>
              </w:rPr>
              <w:t>SOR</w:t>
            </w:r>
          </w:p>
        </w:tc>
        <w:tc>
          <w:tcPr>
            <w:tcW w:w="7082" w:type="dxa"/>
            <w:shd w:val="clear" w:color="auto" w:fill="auto"/>
          </w:tcPr>
          <w:p w14:paraId="43D71B35" w14:textId="77777777" w:rsidR="00AA5F92" w:rsidRPr="005F04FC" w:rsidRDefault="00AA5F92" w:rsidP="007F7D4A">
            <w:pPr>
              <w:rPr>
                <w:rFonts w:cs="Calibri"/>
                <w:szCs w:val="20"/>
              </w:rPr>
            </w:pPr>
            <w:r w:rsidRPr="005F04FC">
              <w:rPr>
                <w:rFonts w:cs="Calibri"/>
                <w:szCs w:val="20"/>
              </w:rPr>
              <w:t>Strategia na rzecz Odpowiedzialnego Rozwoju</w:t>
            </w:r>
          </w:p>
        </w:tc>
      </w:tr>
      <w:tr w:rsidR="00AA5F92" w:rsidRPr="00801DB4" w14:paraId="3F74F382" w14:textId="77777777" w:rsidTr="005F04FC">
        <w:trPr>
          <w:trHeight w:val="340"/>
        </w:trPr>
        <w:tc>
          <w:tcPr>
            <w:tcW w:w="1980" w:type="dxa"/>
            <w:shd w:val="clear" w:color="auto" w:fill="auto"/>
          </w:tcPr>
          <w:p w14:paraId="3E1ACD55" w14:textId="77777777" w:rsidR="00AA5F92" w:rsidRPr="005F04FC" w:rsidRDefault="00AA5F92" w:rsidP="007F7D4A">
            <w:pPr>
              <w:rPr>
                <w:bCs/>
                <w:iCs/>
                <w:szCs w:val="20"/>
              </w:rPr>
            </w:pPr>
            <w:r w:rsidRPr="005F04FC">
              <w:rPr>
                <w:bCs/>
                <w:iCs/>
                <w:szCs w:val="20"/>
              </w:rPr>
              <w:t>SSW</w:t>
            </w:r>
          </w:p>
        </w:tc>
        <w:tc>
          <w:tcPr>
            <w:tcW w:w="7082" w:type="dxa"/>
            <w:shd w:val="clear" w:color="auto" w:fill="auto"/>
          </w:tcPr>
          <w:p w14:paraId="2544120B" w14:textId="77777777" w:rsidR="00AA5F92" w:rsidRPr="005F04FC" w:rsidRDefault="00AA5F92" w:rsidP="007F7D4A">
            <w:pPr>
              <w:rPr>
                <w:rFonts w:cs="Calibri"/>
                <w:szCs w:val="20"/>
              </w:rPr>
            </w:pPr>
            <w:r w:rsidRPr="005F04FC">
              <w:rPr>
                <w:rFonts w:cs="Calibri"/>
                <w:szCs w:val="20"/>
              </w:rPr>
              <w:t>Specjalna Strefa Włączenia</w:t>
            </w:r>
          </w:p>
        </w:tc>
      </w:tr>
      <w:tr w:rsidR="00AA5F92" w:rsidRPr="00801DB4" w14:paraId="4FB2405B" w14:textId="77777777" w:rsidTr="005F04FC">
        <w:trPr>
          <w:trHeight w:val="340"/>
        </w:trPr>
        <w:tc>
          <w:tcPr>
            <w:tcW w:w="1980" w:type="dxa"/>
            <w:shd w:val="clear" w:color="auto" w:fill="auto"/>
          </w:tcPr>
          <w:p w14:paraId="04AE8EF5" w14:textId="77777777" w:rsidR="00AA5F92" w:rsidRPr="005F04FC" w:rsidRDefault="00AA5F92" w:rsidP="007F7D4A">
            <w:pPr>
              <w:rPr>
                <w:bCs/>
                <w:iCs/>
                <w:szCs w:val="20"/>
              </w:rPr>
            </w:pPr>
            <w:r w:rsidRPr="005F04FC">
              <w:rPr>
                <w:bCs/>
                <w:iCs/>
                <w:szCs w:val="20"/>
              </w:rPr>
              <w:t>TBE</w:t>
            </w:r>
          </w:p>
        </w:tc>
        <w:tc>
          <w:tcPr>
            <w:tcW w:w="7082" w:type="dxa"/>
            <w:shd w:val="clear" w:color="auto" w:fill="auto"/>
          </w:tcPr>
          <w:p w14:paraId="37AF007B" w14:textId="77777777" w:rsidR="00AA5F92" w:rsidRPr="005F04FC" w:rsidRDefault="00AA5F92" w:rsidP="007F7D4A">
            <w:pPr>
              <w:rPr>
                <w:rFonts w:cs="Calibri"/>
                <w:szCs w:val="20"/>
              </w:rPr>
            </w:pPr>
            <w:r w:rsidRPr="005F04FC">
              <w:rPr>
                <w:rFonts w:cs="Calibri"/>
                <w:szCs w:val="20"/>
              </w:rPr>
              <w:t>Theory Based Evaluation</w:t>
            </w:r>
          </w:p>
        </w:tc>
      </w:tr>
      <w:tr w:rsidR="00AA5F92" w:rsidRPr="00801DB4" w14:paraId="5445301D" w14:textId="77777777" w:rsidTr="005F04FC">
        <w:trPr>
          <w:trHeight w:val="340"/>
        </w:trPr>
        <w:tc>
          <w:tcPr>
            <w:tcW w:w="1980" w:type="dxa"/>
            <w:shd w:val="clear" w:color="auto" w:fill="auto"/>
          </w:tcPr>
          <w:p w14:paraId="045BBC74" w14:textId="77777777" w:rsidR="00AA5F92" w:rsidRPr="005F04FC" w:rsidRDefault="00AA5F92" w:rsidP="007F7D4A">
            <w:pPr>
              <w:rPr>
                <w:bCs/>
                <w:iCs/>
                <w:szCs w:val="20"/>
              </w:rPr>
            </w:pPr>
            <w:r w:rsidRPr="005F04FC">
              <w:rPr>
                <w:bCs/>
                <w:iCs/>
                <w:szCs w:val="20"/>
              </w:rPr>
              <w:t>TDI</w:t>
            </w:r>
          </w:p>
        </w:tc>
        <w:tc>
          <w:tcPr>
            <w:tcW w:w="7082" w:type="dxa"/>
            <w:shd w:val="clear" w:color="auto" w:fill="auto"/>
          </w:tcPr>
          <w:p w14:paraId="4E595600" w14:textId="77777777" w:rsidR="00AA5F92" w:rsidRPr="005F04FC" w:rsidRDefault="00AA5F92" w:rsidP="007F7D4A">
            <w:pPr>
              <w:rPr>
                <w:rFonts w:cs="Calibri"/>
                <w:szCs w:val="20"/>
              </w:rPr>
            </w:pPr>
            <w:r w:rsidRPr="005F04FC">
              <w:rPr>
                <w:rFonts w:cs="Calibri"/>
                <w:szCs w:val="20"/>
              </w:rPr>
              <w:t>Telefoniczny wywiad pogłębiony (ang. Telephone In-depth Interviev)</w:t>
            </w:r>
          </w:p>
        </w:tc>
      </w:tr>
      <w:tr w:rsidR="00AA5F92" w:rsidRPr="00801DB4" w14:paraId="5CF12C92" w14:textId="77777777" w:rsidTr="005F04FC">
        <w:trPr>
          <w:trHeight w:val="340"/>
        </w:trPr>
        <w:tc>
          <w:tcPr>
            <w:tcW w:w="1980" w:type="dxa"/>
            <w:shd w:val="clear" w:color="auto" w:fill="auto"/>
          </w:tcPr>
          <w:p w14:paraId="7D53BADF" w14:textId="77777777" w:rsidR="00AA5F92" w:rsidRPr="005F04FC" w:rsidRDefault="00AA5F92" w:rsidP="007F7D4A">
            <w:pPr>
              <w:rPr>
                <w:rFonts w:cs="Calibri"/>
                <w:bCs/>
                <w:szCs w:val="20"/>
              </w:rPr>
            </w:pPr>
            <w:r w:rsidRPr="005F04FC">
              <w:rPr>
                <w:bCs/>
                <w:iCs/>
                <w:szCs w:val="20"/>
              </w:rPr>
              <w:t>TEN-T</w:t>
            </w:r>
          </w:p>
        </w:tc>
        <w:tc>
          <w:tcPr>
            <w:tcW w:w="7082" w:type="dxa"/>
            <w:shd w:val="clear" w:color="auto" w:fill="auto"/>
          </w:tcPr>
          <w:p w14:paraId="10350443" w14:textId="77777777" w:rsidR="00AA5F92" w:rsidRPr="005F04FC" w:rsidRDefault="00AA5F92" w:rsidP="007F7D4A">
            <w:pPr>
              <w:rPr>
                <w:rFonts w:cs="Calibri"/>
                <w:szCs w:val="20"/>
              </w:rPr>
            </w:pPr>
            <w:r w:rsidRPr="005F04FC">
              <w:rPr>
                <w:rFonts w:cs="Calibri"/>
                <w:szCs w:val="20"/>
              </w:rPr>
              <w:t>Transeuropejska Sieć Transportowa</w:t>
            </w:r>
          </w:p>
        </w:tc>
      </w:tr>
      <w:tr w:rsidR="00AA5F92" w:rsidRPr="00801DB4" w14:paraId="0A338E7E" w14:textId="77777777" w:rsidTr="005F04FC">
        <w:trPr>
          <w:trHeight w:val="340"/>
        </w:trPr>
        <w:tc>
          <w:tcPr>
            <w:tcW w:w="1980" w:type="dxa"/>
            <w:shd w:val="clear" w:color="auto" w:fill="auto"/>
          </w:tcPr>
          <w:p w14:paraId="2B47B9A7" w14:textId="77777777" w:rsidR="00AA5F92" w:rsidRPr="005F04FC" w:rsidRDefault="00AA5F92" w:rsidP="007F7D4A">
            <w:pPr>
              <w:rPr>
                <w:rFonts w:cs="Calibri"/>
                <w:bCs/>
                <w:szCs w:val="20"/>
              </w:rPr>
            </w:pPr>
            <w:r w:rsidRPr="005F04FC">
              <w:rPr>
                <w:rFonts w:cs="Calibri"/>
                <w:bCs/>
                <w:szCs w:val="20"/>
              </w:rPr>
              <w:t>TIK</w:t>
            </w:r>
          </w:p>
        </w:tc>
        <w:tc>
          <w:tcPr>
            <w:tcW w:w="7082" w:type="dxa"/>
            <w:shd w:val="clear" w:color="auto" w:fill="auto"/>
          </w:tcPr>
          <w:p w14:paraId="79AA029F" w14:textId="77777777" w:rsidR="00AA5F92" w:rsidRPr="005F04FC" w:rsidRDefault="00AA5F92" w:rsidP="007F7D4A">
            <w:pPr>
              <w:rPr>
                <w:rFonts w:cs="Calibri"/>
                <w:szCs w:val="20"/>
              </w:rPr>
            </w:pPr>
            <w:r w:rsidRPr="005F04FC">
              <w:rPr>
                <w:rFonts w:cs="Calibri"/>
                <w:szCs w:val="20"/>
              </w:rPr>
              <w:t>Technologie informacyjno-Komunikacyjne</w:t>
            </w:r>
          </w:p>
        </w:tc>
      </w:tr>
      <w:tr w:rsidR="00AA5F92" w:rsidRPr="00801DB4" w14:paraId="5A4FFEC6" w14:textId="77777777" w:rsidTr="005F04FC">
        <w:trPr>
          <w:trHeight w:val="340"/>
        </w:trPr>
        <w:tc>
          <w:tcPr>
            <w:tcW w:w="1980" w:type="dxa"/>
            <w:shd w:val="clear" w:color="auto" w:fill="auto"/>
          </w:tcPr>
          <w:p w14:paraId="76EE2DA5" w14:textId="77777777" w:rsidR="00AA5F92" w:rsidRPr="005F04FC" w:rsidRDefault="00AA5F92" w:rsidP="007F7D4A">
            <w:pPr>
              <w:rPr>
                <w:rFonts w:cs="Calibri"/>
                <w:bCs/>
                <w:szCs w:val="20"/>
              </w:rPr>
            </w:pPr>
            <w:r w:rsidRPr="005F04FC">
              <w:rPr>
                <w:rFonts w:cs="Calibri"/>
                <w:bCs/>
                <w:szCs w:val="20"/>
              </w:rPr>
              <w:t>UE</w:t>
            </w:r>
          </w:p>
        </w:tc>
        <w:tc>
          <w:tcPr>
            <w:tcW w:w="7082" w:type="dxa"/>
            <w:shd w:val="clear" w:color="auto" w:fill="auto"/>
          </w:tcPr>
          <w:p w14:paraId="2A5A03C9" w14:textId="77777777" w:rsidR="00AA5F92" w:rsidRPr="005F04FC" w:rsidRDefault="00AA5F92" w:rsidP="007F7D4A">
            <w:pPr>
              <w:rPr>
                <w:rFonts w:cs="Calibri"/>
                <w:szCs w:val="20"/>
              </w:rPr>
            </w:pPr>
            <w:r w:rsidRPr="005F04FC">
              <w:rPr>
                <w:rFonts w:cs="Calibri"/>
                <w:szCs w:val="20"/>
              </w:rPr>
              <w:t>Unia Europejska</w:t>
            </w:r>
          </w:p>
        </w:tc>
      </w:tr>
      <w:tr w:rsidR="00AA5F92" w:rsidRPr="00801DB4" w14:paraId="187DFCAB" w14:textId="77777777" w:rsidTr="005F04FC">
        <w:trPr>
          <w:trHeight w:val="340"/>
        </w:trPr>
        <w:tc>
          <w:tcPr>
            <w:tcW w:w="1980" w:type="dxa"/>
            <w:shd w:val="clear" w:color="auto" w:fill="auto"/>
          </w:tcPr>
          <w:p w14:paraId="49EDDA14" w14:textId="77777777" w:rsidR="00AA5F92" w:rsidRPr="005F04FC" w:rsidRDefault="00AA5F92" w:rsidP="007F7D4A">
            <w:pPr>
              <w:rPr>
                <w:rFonts w:cs="Calibri"/>
                <w:bCs/>
                <w:szCs w:val="20"/>
              </w:rPr>
            </w:pPr>
            <w:r w:rsidRPr="005F04FC">
              <w:rPr>
                <w:rFonts w:cs="Calibri"/>
                <w:bCs/>
                <w:szCs w:val="20"/>
              </w:rPr>
              <w:t>UM</w:t>
            </w:r>
          </w:p>
        </w:tc>
        <w:tc>
          <w:tcPr>
            <w:tcW w:w="7082" w:type="dxa"/>
            <w:shd w:val="clear" w:color="auto" w:fill="auto"/>
          </w:tcPr>
          <w:p w14:paraId="44D41D89" w14:textId="77777777" w:rsidR="00AA5F92" w:rsidRPr="005F04FC" w:rsidRDefault="00AA5F92" w:rsidP="007F7D4A">
            <w:pPr>
              <w:rPr>
                <w:rFonts w:cs="Calibri"/>
                <w:szCs w:val="20"/>
              </w:rPr>
            </w:pPr>
            <w:r w:rsidRPr="005F04FC">
              <w:rPr>
                <w:rFonts w:cs="Calibri"/>
                <w:szCs w:val="20"/>
              </w:rPr>
              <w:t>Urząd Marszałkowski</w:t>
            </w:r>
          </w:p>
        </w:tc>
      </w:tr>
      <w:tr w:rsidR="00AA5F92" w:rsidRPr="00801DB4" w14:paraId="79583183" w14:textId="77777777" w:rsidTr="005F04FC">
        <w:trPr>
          <w:trHeight w:val="340"/>
        </w:trPr>
        <w:tc>
          <w:tcPr>
            <w:tcW w:w="1980" w:type="dxa"/>
            <w:shd w:val="clear" w:color="auto" w:fill="auto"/>
          </w:tcPr>
          <w:p w14:paraId="3452F52D" w14:textId="77777777" w:rsidR="00AA5F92" w:rsidRPr="005F04FC" w:rsidRDefault="00AA5F92" w:rsidP="007F7D4A">
            <w:pPr>
              <w:rPr>
                <w:rFonts w:cs="Calibri"/>
                <w:bCs/>
                <w:szCs w:val="20"/>
              </w:rPr>
            </w:pPr>
            <w:r w:rsidRPr="005F04FC">
              <w:rPr>
                <w:rFonts w:cs="Calibri"/>
                <w:bCs/>
                <w:szCs w:val="20"/>
              </w:rPr>
              <w:t>UP</w:t>
            </w:r>
          </w:p>
        </w:tc>
        <w:tc>
          <w:tcPr>
            <w:tcW w:w="7082" w:type="dxa"/>
            <w:shd w:val="clear" w:color="auto" w:fill="auto"/>
          </w:tcPr>
          <w:p w14:paraId="6D949D01" w14:textId="77777777" w:rsidR="00AA5F92" w:rsidRPr="005F04FC" w:rsidRDefault="00AA5F92" w:rsidP="007F7D4A">
            <w:pPr>
              <w:rPr>
                <w:rFonts w:cs="Calibri"/>
                <w:szCs w:val="20"/>
              </w:rPr>
            </w:pPr>
            <w:r w:rsidRPr="005F04FC">
              <w:rPr>
                <w:rFonts w:cs="Calibri"/>
                <w:szCs w:val="20"/>
              </w:rPr>
              <w:t>Umowa Partnerstwa</w:t>
            </w:r>
          </w:p>
        </w:tc>
      </w:tr>
      <w:tr w:rsidR="00AA5F92" w:rsidRPr="00801DB4" w14:paraId="5E9BE077" w14:textId="77777777" w:rsidTr="005F04FC">
        <w:trPr>
          <w:trHeight w:val="340"/>
        </w:trPr>
        <w:tc>
          <w:tcPr>
            <w:tcW w:w="1980" w:type="dxa"/>
            <w:shd w:val="clear" w:color="auto" w:fill="auto"/>
          </w:tcPr>
          <w:p w14:paraId="47705C0F" w14:textId="77777777" w:rsidR="00AA5F92" w:rsidRPr="005F04FC" w:rsidRDefault="00AA5F92" w:rsidP="007F7D4A">
            <w:pPr>
              <w:rPr>
                <w:rFonts w:cs="Calibri"/>
                <w:bCs/>
                <w:szCs w:val="20"/>
              </w:rPr>
            </w:pPr>
            <w:r w:rsidRPr="005F04FC">
              <w:rPr>
                <w:rFonts w:cs="Calibri"/>
                <w:bCs/>
                <w:szCs w:val="20"/>
              </w:rPr>
              <w:t>UoD</w:t>
            </w:r>
          </w:p>
        </w:tc>
        <w:tc>
          <w:tcPr>
            <w:tcW w:w="7082" w:type="dxa"/>
            <w:shd w:val="clear" w:color="auto" w:fill="auto"/>
          </w:tcPr>
          <w:p w14:paraId="3C8893D3" w14:textId="77777777" w:rsidR="00AA5F92" w:rsidRPr="005F04FC" w:rsidRDefault="00AA5F92" w:rsidP="007F7D4A">
            <w:pPr>
              <w:rPr>
                <w:rFonts w:cs="Calibri"/>
                <w:szCs w:val="20"/>
              </w:rPr>
            </w:pPr>
            <w:r w:rsidRPr="005F04FC">
              <w:rPr>
                <w:rFonts w:cs="Calibri"/>
                <w:szCs w:val="20"/>
              </w:rPr>
              <w:t>Umowa</w:t>
            </w:r>
            <w:r w:rsidR="00E66B89" w:rsidRPr="005F04FC">
              <w:rPr>
                <w:rFonts w:cs="Calibri"/>
                <w:szCs w:val="20"/>
              </w:rPr>
              <w:t xml:space="preserve"> o </w:t>
            </w:r>
            <w:r w:rsidRPr="005F04FC">
              <w:rPr>
                <w:rFonts w:cs="Calibri"/>
                <w:szCs w:val="20"/>
              </w:rPr>
              <w:t>dofinansowanie</w:t>
            </w:r>
          </w:p>
        </w:tc>
      </w:tr>
      <w:tr w:rsidR="00AA5F92" w:rsidRPr="00801DB4" w14:paraId="3D8D1BB3" w14:textId="77777777" w:rsidTr="005F04FC">
        <w:trPr>
          <w:trHeight w:val="340"/>
        </w:trPr>
        <w:tc>
          <w:tcPr>
            <w:tcW w:w="1980" w:type="dxa"/>
            <w:shd w:val="clear" w:color="auto" w:fill="auto"/>
          </w:tcPr>
          <w:p w14:paraId="1CFF14C4" w14:textId="77777777" w:rsidR="00AA5F92" w:rsidRPr="005F04FC" w:rsidRDefault="00AA5F92" w:rsidP="007F7D4A">
            <w:pPr>
              <w:rPr>
                <w:rFonts w:cs="Calibri"/>
                <w:bCs/>
                <w:szCs w:val="20"/>
              </w:rPr>
            </w:pPr>
            <w:r w:rsidRPr="005F04FC">
              <w:rPr>
                <w:rFonts w:cs="Calibri"/>
                <w:color w:val="000000"/>
                <w:szCs w:val="20"/>
              </w:rPr>
              <w:t>WCPBM</w:t>
            </w:r>
          </w:p>
        </w:tc>
        <w:tc>
          <w:tcPr>
            <w:tcW w:w="7082" w:type="dxa"/>
            <w:shd w:val="clear" w:color="auto" w:fill="auto"/>
          </w:tcPr>
          <w:p w14:paraId="00CC6D63" w14:textId="77777777" w:rsidR="00AA5F92" w:rsidRPr="005F04FC" w:rsidRDefault="00AA5F92" w:rsidP="007F7D4A">
            <w:pPr>
              <w:rPr>
                <w:rFonts w:cs="Calibri"/>
                <w:szCs w:val="20"/>
              </w:rPr>
            </w:pPr>
            <w:r w:rsidRPr="005F04FC">
              <w:rPr>
                <w:rFonts w:cs="Calibri"/>
                <w:color w:val="000000"/>
                <w:szCs w:val="20"/>
              </w:rPr>
              <w:t>Wskaźnik cen produkcji budowlano-montażowej</w:t>
            </w:r>
          </w:p>
        </w:tc>
      </w:tr>
      <w:tr w:rsidR="00AA5F92" w:rsidRPr="00801DB4" w14:paraId="54DDC9C5" w14:textId="77777777" w:rsidTr="005F04FC">
        <w:trPr>
          <w:trHeight w:val="340"/>
        </w:trPr>
        <w:tc>
          <w:tcPr>
            <w:tcW w:w="1980" w:type="dxa"/>
            <w:shd w:val="clear" w:color="auto" w:fill="auto"/>
          </w:tcPr>
          <w:p w14:paraId="696C665C" w14:textId="77777777" w:rsidR="00AA5F92" w:rsidRPr="005F04FC" w:rsidRDefault="00AA5F92" w:rsidP="007F7D4A">
            <w:pPr>
              <w:rPr>
                <w:rFonts w:cs="Calibri"/>
                <w:bCs/>
                <w:szCs w:val="20"/>
              </w:rPr>
            </w:pPr>
            <w:r w:rsidRPr="005F04FC">
              <w:rPr>
                <w:rFonts w:cs="Calibri"/>
                <w:color w:val="000000"/>
                <w:szCs w:val="20"/>
              </w:rPr>
              <w:t>WCPSP</w:t>
            </w:r>
          </w:p>
        </w:tc>
        <w:tc>
          <w:tcPr>
            <w:tcW w:w="7082" w:type="dxa"/>
            <w:shd w:val="clear" w:color="auto" w:fill="auto"/>
          </w:tcPr>
          <w:p w14:paraId="7E9FD5E6" w14:textId="77777777" w:rsidR="00AA5F92" w:rsidRPr="005F04FC" w:rsidRDefault="00AA5F92" w:rsidP="007F7D4A">
            <w:pPr>
              <w:rPr>
                <w:rFonts w:cs="Calibri"/>
                <w:szCs w:val="20"/>
              </w:rPr>
            </w:pPr>
            <w:r w:rsidRPr="005F04FC">
              <w:rPr>
                <w:rFonts w:cs="Calibri"/>
                <w:color w:val="000000"/>
                <w:szCs w:val="20"/>
              </w:rPr>
              <w:t>Wskaźnik cen produkcji sprzedanej przemysłu</w:t>
            </w:r>
          </w:p>
        </w:tc>
      </w:tr>
      <w:tr w:rsidR="00AA5F92" w:rsidRPr="00801DB4" w14:paraId="6A67C8B9" w14:textId="77777777" w:rsidTr="005F04FC">
        <w:trPr>
          <w:trHeight w:val="340"/>
        </w:trPr>
        <w:tc>
          <w:tcPr>
            <w:tcW w:w="1980" w:type="dxa"/>
            <w:shd w:val="clear" w:color="auto" w:fill="auto"/>
          </w:tcPr>
          <w:p w14:paraId="5B927616" w14:textId="77777777" w:rsidR="00AA5F92" w:rsidRPr="005F04FC" w:rsidRDefault="00AA5F92" w:rsidP="007F7D4A">
            <w:pPr>
              <w:rPr>
                <w:bCs/>
                <w:szCs w:val="20"/>
              </w:rPr>
            </w:pPr>
            <w:r w:rsidRPr="005F04FC">
              <w:rPr>
                <w:bCs/>
                <w:szCs w:val="20"/>
              </w:rPr>
              <w:t>WDDT</w:t>
            </w:r>
          </w:p>
        </w:tc>
        <w:tc>
          <w:tcPr>
            <w:tcW w:w="7082" w:type="dxa"/>
            <w:shd w:val="clear" w:color="auto" w:fill="auto"/>
          </w:tcPr>
          <w:p w14:paraId="1CC91CEF" w14:textId="77777777" w:rsidR="00AA5F92" w:rsidRPr="005F04FC" w:rsidRDefault="00AA5F92" w:rsidP="007F7D4A">
            <w:pPr>
              <w:rPr>
                <w:rFonts w:cs="Calibri"/>
                <w:szCs w:val="20"/>
              </w:rPr>
            </w:pPr>
            <w:r w:rsidRPr="005F04FC">
              <w:rPr>
                <w:rFonts w:cs="Calibri"/>
                <w:szCs w:val="20"/>
              </w:rPr>
              <w:t>Wskaźnik Drogowej Dostępności Transportowej</w:t>
            </w:r>
          </w:p>
        </w:tc>
      </w:tr>
      <w:tr w:rsidR="00AA5F92" w:rsidRPr="00801DB4" w14:paraId="0A94F736" w14:textId="77777777" w:rsidTr="005F04FC">
        <w:trPr>
          <w:trHeight w:val="340"/>
        </w:trPr>
        <w:tc>
          <w:tcPr>
            <w:tcW w:w="1980" w:type="dxa"/>
            <w:shd w:val="clear" w:color="auto" w:fill="auto"/>
          </w:tcPr>
          <w:p w14:paraId="2A8C617C" w14:textId="77777777" w:rsidR="00AA5F92" w:rsidRPr="005F04FC" w:rsidRDefault="00AA5F92" w:rsidP="007F7D4A">
            <w:pPr>
              <w:rPr>
                <w:bCs/>
                <w:szCs w:val="20"/>
              </w:rPr>
            </w:pPr>
            <w:r w:rsidRPr="005F04FC">
              <w:rPr>
                <w:bCs/>
                <w:szCs w:val="20"/>
              </w:rPr>
              <w:t>WIOŚ</w:t>
            </w:r>
          </w:p>
        </w:tc>
        <w:tc>
          <w:tcPr>
            <w:tcW w:w="7082" w:type="dxa"/>
            <w:shd w:val="clear" w:color="auto" w:fill="auto"/>
          </w:tcPr>
          <w:p w14:paraId="6684AAAF" w14:textId="77777777" w:rsidR="00AA5F92" w:rsidRPr="005F04FC" w:rsidRDefault="00AA5F92" w:rsidP="007F7D4A">
            <w:pPr>
              <w:rPr>
                <w:rFonts w:cs="Calibri"/>
                <w:szCs w:val="20"/>
              </w:rPr>
            </w:pPr>
            <w:r w:rsidRPr="005F04FC">
              <w:rPr>
                <w:rFonts w:cs="Calibri"/>
                <w:szCs w:val="20"/>
              </w:rPr>
              <w:t>Wojewódzki Inspektorat Ochrony Środowiska</w:t>
            </w:r>
          </w:p>
        </w:tc>
      </w:tr>
      <w:tr w:rsidR="00AA5F92" w:rsidRPr="00801DB4" w14:paraId="7F9F821D" w14:textId="77777777" w:rsidTr="005F04FC">
        <w:trPr>
          <w:trHeight w:val="340"/>
        </w:trPr>
        <w:tc>
          <w:tcPr>
            <w:tcW w:w="1980" w:type="dxa"/>
            <w:shd w:val="clear" w:color="auto" w:fill="auto"/>
          </w:tcPr>
          <w:p w14:paraId="0FDC7ADB" w14:textId="77777777" w:rsidR="00AA5F92" w:rsidRPr="005F04FC" w:rsidRDefault="00AA5F92" w:rsidP="007F7D4A">
            <w:pPr>
              <w:rPr>
                <w:rFonts w:cs="Calibri"/>
                <w:bCs/>
                <w:szCs w:val="20"/>
              </w:rPr>
            </w:pPr>
            <w:r w:rsidRPr="005F04FC">
              <w:rPr>
                <w:bCs/>
                <w:szCs w:val="20"/>
              </w:rPr>
              <w:t>WFOŚiGW</w:t>
            </w:r>
          </w:p>
        </w:tc>
        <w:tc>
          <w:tcPr>
            <w:tcW w:w="7082" w:type="dxa"/>
            <w:shd w:val="clear" w:color="auto" w:fill="auto"/>
          </w:tcPr>
          <w:p w14:paraId="1861EBCB" w14:textId="77777777" w:rsidR="00AA5F92" w:rsidRPr="005F04FC" w:rsidRDefault="00AA5F92" w:rsidP="007F7D4A">
            <w:pPr>
              <w:rPr>
                <w:rFonts w:cs="Calibri"/>
                <w:szCs w:val="20"/>
              </w:rPr>
            </w:pPr>
            <w:r w:rsidRPr="005F04FC">
              <w:rPr>
                <w:rFonts w:cs="Calibri"/>
                <w:szCs w:val="20"/>
              </w:rPr>
              <w:t>Wojewódzki Fundusz Ochrony Środowiska</w:t>
            </w:r>
            <w:r w:rsidR="00E66B89" w:rsidRPr="005F04FC">
              <w:rPr>
                <w:rFonts w:cs="Calibri"/>
                <w:szCs w:val="20"/>
              </w:rPr>
              <w:t xml:space="preserve"> i </w:t>
            </w:r>
            <w:r w:rsidRPr="005F04FC">
              <w:rPr>
                <w:rFonts w:cs="Calibri"/>
                <w:szCs w:val="20"/>
              </w:rPr>
              <w:t>Gospodarki Wodnej</w:t>
            </w:r>
          </w:p>
        </w:tc>
      </w:tr>
      <w:tr w:rsidR="00AA5F92" w:rsidRPr="00801DB4" w14:paraId="4F6844FF" w14:textId="77777777" w:rsidTr="005F04FC">
        <w:trPr>
          <w:trHeight w:val="340"/>
        </w:trPr>
        <w:tc>
          <w:tcPr>
            <w:tcW w:w="1980" w:type="dxa"/>
            <w:shd w:val="clear" w:color="auto" w:fill="auto"/>
          </w:tcPr>
          <w:p w14:paraId="254F9BA8" w14:textId="77777777" w:rsidR="00AA5F92" w:rsidRPr="005F04FC" w:rsidRDefault="00AA5F92" w:rsidP="007F7D4A">
            <w:pPr>
              <w:rPr>
                <w:bCs/>
                <w:szCs w:val="20"/>
              </w:rPr>
            </w:pPr>
            <w:r w:rsidRPr="005F04FC">
              <w:rPr>
                <w:bCs/>
                <w:szCs w:val="20"/>
              </w:rPr>
              <w:t>WKDT</w:t>
            </w:r>
          </w:p>
        </w:tc>
        <w:tc>
          <w:tcPr>
            <w:tcW w:w="7082" w:type="dxa"/>
            <w:shd w:val="clear" w:color="auto" w:fill="auto"/>
          </w:tcPr>
          <w:p w14:paraId="7A133F17" w14:textId="77777777" w:rsidR="00AA5F92" w:rsidRPr="005F04FC" w:rsidRDefault="00AA5F92" w:rsidP="007F7D4A">
            <w:pPr>
              <w:rPr>
                <w:rFonts w:cs="Calibri"/>
                <w:szCs w:val="20"/>
              </w:rPr>
            </w:pPr>
            <w:r w:rsidRPr="005F04FC">
              <w:rPr>
                <w:rFonts w:cs="Calibri"/>
                <w:szCs w:val="20"/>
              </w:rPr>
              <w:t>Wskaźnik Kolejowej Dostępności Transportowej</w:t>
            </w:r>
          </w:p>
        </w:tc>
      </w:tr>
      <w:tr w:rsidR="00AA5F92" w:rsidRPr="00801DB4" w14:paraId="22973684" w14:textId="77777777" w:rsidTr="005F04FC">
        <w:trPr>
          <w:trHeight w:val="340"/>
        </w:trPr>
        <w:tc>
          <w:tcPr>
            <w:tcW w:w="1980" w:type="dxa"/>
            <w:shd w:val="clear" w:color="auto" w:fill="auto"/>
          </w:tcPr>
          <w:p w14:paraId="6E2BDD59" w14:textId="77777777" w:rsidR="00AA5F92" w:rsidRPr="005F04FC" w:rsidRDefault="00AA5F92" w:rsidP="007F7D4A">
            <w:pPr>
              <w:rPr>
                <w:rFonts w:cs="Calibri"/>
                <w:bCs/>
                <w:szCs w:val="20"/>
              </w:rPr>
            </w:pPr>
            <w:r w:rsidRPr="005F04FC">
              <w:rPr>
                <w:bCs/>
                <w:color w:val="000000"/>
                <w:szCs w:val="20"/>
              </w:rPr>
              <w:t>WLWK</w:t>
            </w:r>
          </w:p>
        </w:tc>
        <w:tc>
          <w:tcPr>
            <w:tcW w:w="7082" w:type="dxa"/>
            <w:shd w:val="clear" w:color="auto" w:fill="auto"/>
          </w:tcPr>
          <w:p w14:paraId="23D7A30F" w14:textId="77777777" w:rsidR="00AA5F92" w:rsidRPr="005F04FC" w:rsidRDefault="00AA5F92" w:rsidP="007F7D4A">
            <w:pPr>
              <w:rPr>
                <w:rFonts w:cs="Calibri"/>
                <w:szCs w:val="20"/>
              </w:rPr>
            </w:pPr>
            <w:r w:rsidRPr="005F04FC">
              <w:rPr>
                <w:rFonts w:cs="Calibri"/>
                <w:szCs w:val="20"/>
              </w:rPr>
              <w:t>Wspólna Lista Wskaźników Kluczowych</w:t>
            </w:r>
          </w:p>
        </w:tc>
      </w:tr>
      <w:tr w:rsidR="00AA5F92" w:rsidRPr="00801DB4" w14:paraId="704DD74B" w14:textId="77777777" w:rsidTr="005F04FC">
        <w:trPr>
          <w:trHeight w:val="340"/>
        </w:trPr>
        <w:tc>
          <w:tcPr>
            <w:tcW w:w="1980" w:type="dxa"/>
            <w:shd w:val="clear" w:color="auto" w:fill="auto"/>
          </w:tcPr>
          <w:p w14:paraId="1E13250C" w14:textId="77777777" w:rsidR="00AA5F92" w:rsidRPr="005F04FC" w:rsidRDefault="00AA5F92" w:rsidP="007F7D4A">
            <w:pPr>
              <w:rPr>
                <w:rFonts w:cs="Calibri"/>
                <w:bCs/>
                <w:szCs w:val="20"/>
              </w:rPr>
            </w:pPr>
            <w:r w:rsidRPr="005F04FC">
              <w:rPr>
                <w:rFonts w:cs="Calibri"/>
                <w:bCs/>
                <w:szCs w:val="20"/>
              </w:rPr>
              <w:t>WoD</w:t>
            </w:r>
          </w:p>
        </w:tc>
        <w:tc>
          <w:tcPr>
            <w:tcW w:w="7082" w:type="dxa"/>
            <w:shd w:val="clear" w:color="auto" w:fill="auto"/>
          </w:tcPr>
          <w:p w14:paraId="5F80EE96" w14:textId="77777777" w:rsidR="00AA5F92" w:rsidRPr="005F04FC" w:rsidRDefault="00AA5F92" w:rsidP="007F7D4A">
            <w:pPr>
              <w:rPr>
                <w:rFonts w:cs="Calibri"/>
                <w:szCs w:val="20"/>
              </w:rPr>
            </w:pPr>
            <w:r w:rsidRPr="005F04FC">
              <w:rPr>
                <w:rFonts w:cs="Calibri"/>
                <w:szCs w:val="20"/>
              </w:rPr>
              <w:t>Wniosek</w:t>
            </w:r>
            <w:r w:rsidR="00E66B89" w:rsidRPr="005F04FC">
              <w:rPr>
                <w:rFonts w:cs="Calibri"/>
                <w:szCs w:val="20"/>
              </w:rPr>
              <w:t xml:space="preserve"> o </w:t>
            </w:r>
            <w:r w:rsidRPr="005F04FC">
              <w:rPr>
                <w:rFonts w:cs="Calibri"/>
                <w:szCs w:val="20"/>
              </w:rPr>
              <w:t>dofinasowanie</w:t>
            </w:r>
          </w:p>
        </w:tc>
      </w:tr>
      <w:tr w:rsidR="00AA5F92" w:rsidRPr="00801DB4" w14:paraId="4868AA49" w14:textId="77777777" w:rsidTr="005F04FC">
        <w:trPr>
          <w:trHeight w:val="340"/>
        </w:trPr>
        <w:tc>
          <w:tcPr>
            <w:tcW w:w="1980" w:type="dxa"/>
            <w:shd w:val="clear" w:color="auto" w:fill="auto"/>
          </w:tcPr>
          <w:p w14:paraId="75493A2D" w14:textId="77777777" w:rsidR="00AA5F92" w:rsidRPr="005F04FC" w:rsidRDefault="00AA5F92" w:rsidP="007F7D4A">
            <w:pPr>
              <w:rPr>
                <w:rFonts w:cs="Calibri"/>
                <w:bCs/>
                <w:szCs w:val="20"/>
              </w:rPr>
            </w:pPr>
            <w:r w:rsidRPr="005F04FC">
              <w:rPr>
                <w:rFonts w:cs="Calibri"/>
                <w:bCs/>
                <w:szCs w:val="20"/>
              </w:rPr>
              <w:t>WoP</w:t>
            </w:r>
          </w:p>
        </w:tc>
        <w:tc>
          <w:tcPr>
            <w:tcW w:w="7082" w:type="dxa"/>
            <w:shd w:val="clear" w:color="auto" w:fill="auto"/>
          </w:tcPr>
          <w:p w14:paraId="1549B9C6" w14:textId="77777777" w:rsidR="00AA5F92" w:rsidRPr="005F04FC" w:rsidRDefault="00AA5F92" w:rsidP="007F7D4A">
            <w:pPr>
              <w:rPr>
                <w:rFonts w:cs="Calibri"/>
                <w:szCs w:val="20"/>
              </w:rPr>
            </w:pPr>
            <w:r w:rsidRPr="005F04FC">
              <w:rPr>
                <w:rFonts w:cs="Calibri"/>
                <w:szCs w:val="20"/>
              </w:rPr>
              <w:t>Wniosek</w:t>
            </w:r>
            <w:r w:rsidR="00E66B89" w:rsidRPr="005F04FC">
              <w:rPr>
                <w:rFonts w:cs="Calibri"/>
                <w:szCs w:val="20"/>
              </w:rPr>
              <w:t xml:space="preserve"> o </w:t>
            </w:r>
            <w:r w:rsidRPr="005F04FC">
              <w:rPr>
                <w:rFonts w:cs="Calibri"/>
                <w:szCs w:val="20"/>
              </w:rPr>
              <w:t>płatność</w:t>
            </w:r>
          </w:p>
        </w:tc>
      </w:tr>
      <w:tr w:rsidR="00AA5F92" w:rsidRPr="00801DB4" w14:paraId="68ECDCE9" w14:textId="77777777" w:rsidTr="005F04FC">
        <w:trPr>
          <w:trHeight w:val="340"/>
        </w:trPr>
        <w:tc>
          <w:tcPr>
            <w:tcW w:w="1980" w:type="dxa"/>
            <w:shd w:val="clear" w:color="auto" w:fill="auto"/>
          </w:tcPr>
          <w:p w14:paraId="725985B0" w14:textId="77777777" w:rsidR="00AA5F92" w:rsidRPr="005F04FC" w:rsidRDefault="00AA5F92" w:rsidP="007F7D4A">
            <w:pPr>
              <w:rPr>
                <w:rFonts w:cs="Calibri"/>
                <w:bCs/>
                <w:szCs w:val="20"/>
              </w:rPr>
            </w:pPr>
            <w:r w:rsidRPr="005F04FC">
              <w:rPr>
                <w:bCs/>
                <w:szCs w:val="20"/>
              </w:rPr>
              <w:lastRenderedPageBreak/>
              <w:t>WPGO</w:t>
            </w:r>
          </w:p>
        </w:tc>
        <w:tc>
          <w:tcPr>
            <w:tcW w:w="7082" w:type="dxa"/>
            <w:shd w:val="clear" w:color="auto" w:fill="auto"/>
          </w:tcPr>
          <w:p w14:paraId="6F6AA29A" w14:textId="77777777" w:rsidR="00AA5F92" w:rsidRPr="005F04FC" w:rsidRDefault="00AA5F92" w:rsidP="007F7D4A">
            <w:pPr>
              <w:rPr>
                <w:rFonts w:cs="Calibri"/>
                <w:szCs w:val="20"/>
              </w:rPr>
            </w:pPr>
            <w:r w:rsidRPr="005F04FC">
              <w:rPr>
                <w:rFonts w:cs="Calibri"/>
                <w:szCs w:val="20"/>
              </w:rPr>
              <w:t>Wojewódzki Plan Gospodarki Odpadami</w:t>
            </w:r>
          </w:p>
        </w:tc>
      </w:tr>
      <w:tr w:rsidR="00AA5F92" w:rsidRPr="00801DB4" w14:paraId="05E3ED9A" w14:textId="77777777" w:rsidTr="005F04FC">
        <w:trPr>
          <w:trHeight w:val="340"/>
        </w:trPr>
        <w:tc>
          <w:tcPr>
            <w:tcW w:w="1980" w:type="dxa"/>
            <w:shd w:val="clear" w:color="auto" w:fill="auto"/>
          </w:tcPr>
          <w:p w14:paraId="61E3D74B" w14:textId="77777777" w:rsidR="00AA5F92" w:rsidRPr="005F04FC" w:rsidRDefault="00AA5F92" w:rsidP="007F7D4A">
            <w:pPr>
              <w:rPr>
                <w:bCs/>
                <w:szCs w:val="20"/>
              </w:rPr>
            </w:pPr>
            <w:r w:rsidRPr="005F04FC">
              <w:rPr>
                <w:rFonts w:cs="Calibri"/>
                <w:szCs w:val="20"/>
              </w:rPr>
              <w:t>WSO</w:t>
            </w:r>
          </w:p>
        </w:tc>
        <w:tc>
          <w:tcPr>
            <w:tcW w:w="7082" w:type="dxa"/>
            <w:shd w:val="clear" w:color="auto" w:fill="auto"/>
          </w:tcPr>
          <w:p w14:paraId="7CC753B9" w14:textId="77777777" w:rsidR="00AA5F92" w:rsidRPr="005F04FC" w:rsidRDefault="00AA5F92" w:rsidP="007F7D4A">
            <w:pPr>
              <w:rPr>
                <w:rFonts w:cs="Calibri"/>
                <w:szCs w:val="20"/>
              </w:rPr>
            </w:pPr>
            <w:r w:rsidRPr="005F04FC">
              <w:rPr>
                <w:rFonts w:cs="Calibri"/>
                <w:szCs w:val="20"/>
              </w:rPr>
              <w:t>Wojewódzki System Odpadowy</w:t>
            </w:r>
          </w:p>
        </w:tc>
      </w:tr>
      <w:tr w:rsidR="00AA5F92" w:rsidRPr="00801DB4" w14:paraId="103B333B" w14:textId="77777777" w:rsidTr="005F04FC">
        <w:trPr>
          <w:trHeight w:val="340"/>
        </w:trPr>
        <w:tc>
          <w:tcPr>
            <w:tcW w:w="1980" w:type="dxa"/>
            <w:shd w:val="clear" w:color="auto" w:fill="auto"/>
          </w:tcPr>
          <w:p w14:paraId="141ED722" w14:textId="77777777" w:rsidR="00AA5F92" w:rsidRPr="005F04FC" w:rsidRDefault="00AA5F92" w:rsidP="007F7D4A">
            <w:pPr>
              <w:rPr>
                <w:rFonts w:cs="Calibri"/>
                <w:bCs/>
                <w:szCs w:val="20"/>
              </w:rPr>
            </w:pPr>
            <w:r w:rsidRPr="005F04FC">
              <w:rPr>
                <w:rFonts w:cs="Calibri"/>
                <w:bCs/>
                <w:szCs w:val="20"/>
              </w:rPr>
              <w:t>WUP</w:t>
            </w:r>
          </w:p>
        </w:tc>
        <w:tc>
          <w:tcPr>
            <w:tcW w:w="7082" w:type="dxa"/>
            <w:shd w:val="clear" w:color="auto" w:fill="auto"/>
          </w:tcPr>
          <w:p w14:paraId="7E2FF0F0" w14:textId="77777777" w:rsidR="00AA5F92" w:rsidRPr="005F04FC" w:rsidRDefault="00AA5F92" w:rsidP="007F7D4A">
            <w:pPr>
              <w:rPr>
                <w:rFonts w:cs="Calibri"/>
                <w:szCs w:val="20"/>
              </w:rPr>
            </w:pPr>
            <w:r w:rsidRPr="005F04FC">
              <w:rPr>
                <w:rFonts w:cs="Calibri"/>
                <w:szCs w:val="20"/>
              </w:rPr>
              <w:t>Wojewódzki Urząd Pracy</w:t>
            </w:r>
          </w:p>
        </w:tc>
      </w:tr>
      <w:tr w:rsidR="00AA5F92" w:rsidRPr="00801DB4" w14:paraId="7CE70A7A" w14:textId="77777777" w:rsidTr="005F04FC">
        <w:trPr>
          <w:trHeight w:val="340"/>
        </w:trPr>
        <w:tc>
          <w:tcPr>
            <w:tcW w:w="1980" w:type="dxa"/>
            <w:shd w:val="clear" w:color="auto" w:fill="auto"/>
          </w:tcPr>
          <w:p w14:paraId="4A2924A4" w14:textId="77777777" w:rsidR="00AA5F92" w:rsidRPr="005F04FC" w:rsidRDefault="00AA5F92" w:rsidP="007F7D4A">
            <w:pPr>
              <w:rPr>
                <w:rFonts w:cs="Calibri"/>
                <w:bCs/>
                <w:szCs w:val="20"/>
              </w:rPr>
            </w:pPr>
            <w:r w:rsidRPr="005F04FC">
              <w:rPr>
                <w:rFonts w:cs="Calibri"/>
                <w:bCs/>
                <w:szCs w:val="20"/>
              </w:rPr>
              <w:t>WWRPO</w:t>
            </w:r>
          </w:p>
        </w:tc>
        <w:tc>
          <w:tcPr>
            <w:tcW w:w="7082" w:type="dxa"/>
            <w:shd w:val="clear" w:color="auto" w:fill="auto"/>
          </w:tcPr>
          <w:p w14:paraId="276F88FD" w14:textId="77777777" w:rsidR="00AA5F92" w:rsidRPr="005F04FC" w:rsidRDefault="00AA5F92" w:rsidP="007F7D4A">
            <w:pPr>
              <w:rPr>
                <w:rFonts w:cs="Calibri"/>
                <w:szCs w:val="20"/>
              </w:rPr>
            </w:pPr>
            <w:r w:rsidRPr="005F04FC">
              <w:rPr>
                <w:rFonts w:cs="Calibri"/>
                <w:szCs w:val="20"/>
              </w:rPr>
              <w:t>Wydział Wdrażania Regionalnego Programu Operacyjnego</w:t>
            </w:r>
          </w:p>
        </w:tc>
      </w:tr>
      <w:tr w:rsidR="00AA5F92" w:rsidRPr="00801DB4" w14:paraId="37C9BC10" w14:textId="77777777" w:rsidTr="005F04FC">
        <w:trPr>
          <w:trHeight w:val="340"/>
        </w:trPr>
        <w:tc>
          <w:tcPr>
            <w:tcW w:w="1980" w:type="dxa"/>
            <w:shd w:val="clear" w:color="auto" w:fill="auto"/>
          </w:tcPr>
          <w:p w14:paraId="4689EFD8" w14:textId="77777777" w:rsidR="00AA5F92" w:rsidRPr="005F04FC" w:rsidRDefault="00AA5F92" w:rsidP="007F7D4A">
            <w:pPr>
              <w:rPr>
                <w:rFonts w:cs="Calibri"/>
                <w:bCs/>
                <w:szCs w:val="20"/>
              </w:rPr>
            </w:pPr>
            <w:r w:rsidRPr="005F04FC">
              <w:rPr>
                <w:rFonts w:cs="Calibri"/>
                <w:bCs/>
                <w:szCs w:val="20"/>
              </w:rPr>
              <w:t>WWŚRPO</w:t>
            </w:r>
          </w:p>
        </w:tc>
        <w:tc>
          <w:tcPr>
            <w:tcW w:w="7082" w:type="dxa"/>
            <w:shd w:val="clear" w:color="auto" w:fill="auto"/>
          </w:tcPr>
          <w:p w14:paraId="34C2FF52" w14:textId="77777777" w:rsidR="00AA5F92" w:rsidRPr="005F04FC" w:rsidRDefault="00AA5F92" w:rsidP="007F7D4A">
            <w:pPr>
              <w:rPr>
                <w:rFonts w:cs="Calibri"/>
                <w:szCs w:val="20"/>
              </w:rPr>
            </w:pPr>
            <w:r w:rsidRPr="005F04FC">
              <w:rPr>
                <w:rFonts w:cs="Calibri"/>
                <w:szCs w:val="20"/>
              </w:rPr>
              <w:t>Wydział Wdrażania Działań Środowiskowych Regionalnego Programu Operacyjnego</w:t>
            </w:r>
          </w:p>
        </w:tc>
      </w:tr>
      <w:tr w:rsidR="00AA5F92" w:rsidRPr="00801DB4" w14:paraId="01F6B829" w14:textId="77777777" w:rsidTr="005F04FC">
        <w:trPr>
          <w:trHeight w:val="340"/>
        </w:trPr>
        <w:tc>
          <w:tcPr>
            <w:tcW w:w="1980" w:type="dxa"/>
            <w:shd w:val="clear" w:color="auto" w:fill="auto"/>
          </w:tcPr>
          <w:p w14:paraId="51409265" w14:textId="77777777" w:rsidR="00AA5F92" w:rsidRPr="005F04FC" w:rsidRDefault="00AA5F92" w:rsidP="007F7D4A">
            <w:pPr>
              <w:rPr>
                <w:rFonts w:cs="Calibri"/>
                <w:bCs/>
                <w:szCs w:val="20"/>
              </w:rPr>
            </w:pPr>
            <w:r w:rsidRPr="005F04FC">
              <w:rPr>
                <w:rFonts w:cs="Calibri"/>
                <w:bCs/>
                <w:szCs w:val="20"/>
              </w:rPr>
              <w:t>WZS</w:t>
            </w:r>
          </w:p>
        </w:tc>
        <w:tc>
          <w:tcPr>
            <w:tcW w:w="7082" w:type="dxa"/>
            <w:shd w:val="clear" w:color="auto" w:fill="auto"/>
          </w:tcPr>
          <w:p w14:paraId="353D0BB4" w14:textId="77777777" w:rsidR="00AA5F92" w:rsidRPr="005F04FC" w:rsidRDefault="00AA5F92" w:rsidP="007F7D4A">
            <w:pPr>
              <w:rPr>
                <w:szCs w:val="20"/>
              </w:rPr>
            </w:pPr>
            <w:r w:rsidRPr="005F04FC">
              <w:rPr>
                <w:szCs w:val="20"/>
              </w:rPr>
              <w:t xml:space="preserve">Wydział Zarządzania Strategicznego </w:t>
            </w:r>
          </w:p>
        </w:tc>
      </w:tr>
      <w:tr w:rsidR="00AA5F92" w:rsidRPr="00801DB4" w14:paraId="43217F31" w14:textId="77777777" w:rsidTr="005F04FC">
        <w:trPr>
          <w:trHeight w:val="340"/>
        </w:trPr>
        <w:tc>
          <w:tcPr>
            <w:tcW w:w="1980" w:type="dxa"/>
            <w:shd w:val="clear" w:color="auto" w:fill="auto"/>
          </w:tcPr>
          <w:p w14:paraId="7103A01C" w14:textId="77777777" w:rsidR="00AA5F92" w:rsidRPr="005F04FC" w:rsidRDefault="00AA5F92" w:rsidP="007F7D4A">
            <w:pPr>
              <w:rPr>
                <w:rFonts w:cs="Calibri"/>
                <w:bCs/>
                <w:szCs w:val="20"/>
              </w:rPr>
            </w:pPr>
            <w:r w:rsidRPr="005F04FC">
              <w:rPr>
                <w:rFonts w:cs="Calibri"/>
                <w:bCs/>
                <w:szCs w:val="20"/>
              </w:rPr>
              <w:t>WŻDT</w:t>
            </w:r>
          </w:p>
        </w:tc>
        <w:tc>
          <w:tcPr>
            <w:tcW w:w="7082" w:type="dxa"/>
            <w:shd w:val="clear" w:color="auto" w:fill="auto"/>
          </w:tcPr>
          <w:p w14:paraId="33223A40" w14:textId="77777777" w:rsidR="00AA5F92" w:rsidRPr="005F04FC" w:rsidRDefault="00AA5F92" w:rsidP="007F7D4A">
            <w:pPr>
              <w:rPr>
                <w:rFonts w:cs="Calibri"/>
                <w:szCs w:val="20"/>
              </w:rPr>
            </w:pPr>
            <w:r w:rsidRPr="005F04FC">
              <w:rPr>
                <w:rFonts w:cs="Calibri"/>
                <w:szCs w:val="20"/>
              </w:rPr>
              <w:t>Wskaźnik Żeglugowej Dostępności Transportowej</w:t>
            </w:r>
          </w:p>
        </w:tc>
      </w:tr>
      <w:tr w:rsidR="00AA5F92" w:rsidRPr="00801DB4" w14:paraId="48B37895" w14:textId="77777777" w:rsidTr="005F04FC">
        <w:trPr>
          <w:trHeight w:val="340"/>
        </w:trPr>
        <w:tc>
          <w:tcPr>
            <w:tcW w:w="1980" w:type="dxa"/>
            <w:shd w:val="clear" w:color="auto" w:fill="auto"/>
          </w:tcPr>
          <w:p w14:paraId="771961C0" w14:textId="77777777" w:rsidR="00AA5F92" w:rsidRPr="005F04FC" w:rsidRDefault="00AA5F92" w:rsidP="007F7D4A">
            <w:pPr>
              <w:rPr>
                <w:rFonts w:cs="Calibri"/>
                <w:bCs/>
                <w:szCs w:val="20"/>
              </w:rPr>
            </w:pPr>
            <w:r w:rsidRPr="005F04FC">
              <w:rPr>
                <w:rFonts w:cs="Calibri"/>
                <w:bCs/>
                <w:szCs w:val="20"/>
              </w:rPr>
              <w:t>ZAZ</w:t>
            </w:r>
          </w:p>
        </w:tc>
        <w:tc>
          <w:tcPr>
            <w:tcW w:w="7082" w:type="dxa"/>
            <w:shd w:val="clear" w:color="auto" w:fill="auto"/>
          </w:tcPr>
          <w:p w14:paraId="23C7F29F" w14:textId="77777777" w:rsidR="00AA5F92" w:rsidRPr="005F04FC" w:rsidRDefault="00AA5F92" w:rsidP="007F7D4A">
            <w:pPr>
              <w:rPr>
                <w:rFonts w:cs="Calibri"/>
                <w:szCs w:val="20"/>
              </w:rPr>
            </w:pPr>
            <w:r w:rsidRPr="005F04FC">
              <w:rPr>
                <w:rFonts w:cs="Calibri"/>
                <w:szCs w:val="20"/>
              </w:rPr>
              <w:t>Zakład Aktywizacji Zawodowej</w:t>
            </w:r>
          </w:p>
        </w:tc>
      </w:tr>
      <w:tr w:rsidR="00AA5F92" w:rsidRPr="00801DB4" w14:paraId="66A3CDA9" w14:textId="77777777" w:rsidTr="005F04FC">
        <w:trPr>
          <w:trHeight w:val="340"/>
        </w:trPr>
        <w:tc>
          <w:tcPr>
            <w:tcW w:w="1980" w:type="dxa"/>
            <w:shd w:val="clear" w:color="auto" w:fill="auto"/>
          </w:tcPr>
          <w:p w14:paraId="2825B629" w14:textId="77777777" w:rsidR="00AA5F92" w:rsidRPr="005F04FC" w:rsidRDefault="00AA5F92" w:rsidP="007F7D4A">
            <w:pPr>
              <w:rPr>
                <w:rFonts w:cs="Calibri"/>
                <w:bCs/>
                <w:szCs w:val="20"/>
              </w:rPr>
            </w:pPr>
            <w:r w:rsidRPr="005F04FC">
              <w:rPr>
                <w:rFonts w:cs="Calibri"/>
                <w:bCs/>
                <w:szCs w:val="20"/>
              </w:rPr>
              <w:t>ZIT</w:t>
            </w:r>
          </w:p>
        </w:tc>
        <w:tc>
          <w:tcPr>
            <w:tcW w:w="7082" w:type="dxa"/>
            <w:shd w:val="clear" w:color="auto" w:fill="auto"/>
          </w:tcPr>
          <w:p w14:paraId="49CA080E" w14:textId="77777777" w:rsidR="00AA5F92" w:rsidRPr="005F04FC" w:rsidRDefault="00AA5F92" w:rsidP="007F7D4A">
            <w:pPr>
              <w:rPr>
                <w:rFonts w:cs="Calibri"/>
                <w:szCs w:val="20"/>
              </w:rPr>
            </w:pPr>
            <w:r w:rsidRPr="005F04FC">
              <w:rPr>
                <w:rFonts w:cs="Calibri"/>
                <w:szCs w:val="20"/>
              </w:rPr>
              <w:t>Zintegrowane Inwestycje Terytorialne</w:t>
            </w:r>
          </w:p>
        </w:tc>
      </w:tr>
      <w:tr w:rsidR="00AA5F92" w:rsidRPr="00801DB4" w14:paraId="1FFD3657" w14:textId="77777777" w:rsidTr="005F04FC">
        <w:trPr>
          <w:trHeight w:val="340"/>
        </w:trPr>
        <w:tc>
          <w:tcPr>
            <w:tcW w:w="1980" w:type="dxa"/>
            <w:shd w:val="clear" w:color="auto" w:fill="auto"/>
          </w:tcPr>
          <w:p w14:paraId="3515BEA9" w14:textId="77777777" w:rsidR="00AA5F92" w:rsidRPr="005F04FC" w:rsidRDefault="00AA5F92" w:rsidP="007F7D4A">
            <w:pPr>
              <w:rPr>
                <w:rFonts w:cs="Calibri"/>
                <w:bCs/>
                <w:szCs w:val="20"/>
              </w:rPr>
            </w:pPr>
            <w:r w:rsidRPr="005F04FC">
              <w:rPr>
                <w:szCs w:val="20"/>
              </w:rPr>
              <w:t>ZZMiUW</w:t>
            </w:r>
          </w:p>
        </w:tc>
        <w:tc>
          <w:tcPr>
            <w:tcW w:w="7082" w:type="dxa"/>
            <w:shd w:val="clear" w:color="auto" w:fill="auto"/>
          </w:tcPr>
          <w:p w14:paraId="1E403350" w14:textId="77777777" w:rsidR="00AA5F92" w:rsidRPr="005F04FC" w:rsidRDefault="00AA5F92" w:rsidP="007F7D4A">
            <w:pPr>
              <w:rPr>
                <w:rFonts w:cs="Calibri"/>
                <w:szCs w:val="20"/>
              </w:rPr>
            </w:pPr>
            <w:r w:rsidRPr="005F04FC">
              <w:rPr>
                <w:rFonts w:cs="Calibri"/>
                <w:szCs w:val="20"/>
              </w:rPr>
              <w:t>Zachodniopomorski Zarząd Melioracji</w:t>
            </w:r>
            <w:r w:rsidR="00E66B89" w:rsidRPr="005F04FC">
              <w:rPr>
                <w:rFonts w:cs="Calibri"/>
                <w:szCs w:val="20"/>
              </w:rPr>
              <w:t xml:space="preserve"> i </w:t>
            </w:r>
            <w:r w:rsidRPr="005F04FC">
              <w:rPr>
                <w:rFonts w:cs="Calibri"/>
                <w:szCs w:val="20"/>
              </w:rPr>
              <w:t>Urządzeń Wodnych</w:t>
            </w:r>
          </w:p>
        </w:tc>
      </w:tr>
      <w:tr w:rsidR="00AA5F92" w:rsidRPr="00801DB4" w14:paraId="537C1E0D" w14:textId="77777777" w:rsidTr="005F04FC">
        <w:trPr>
          <w:trHeight w:val="340"/>
        </w:trPr>
        <w:tc>
          <w:tcPr>
            <w:tcW w:w="1980" w:type="dxa"/>
            <w:shd w:val="clear" w:color="auto" w:fill="auto"/>
          </w:tcPr>
          <w:p w14:paraId="501A7CE0" w14:textId="77777777" w:rsidR="00AA5F92" w:rsidRPr="005F04FC" w:rsidRDefault="00AA5F92" w:rsidP="007F7D4A">
            <w:pPr>
              <w:rPr>
                <w:rFonts w:cs="Calibri"/>
                <w:bCs/>
                <w:szCs w:val="20"/>
              </w:rPr>
            </w:pPr>
            <w:r w:rsidRPr="005F04FC">
              <w:rPr>
                <w:szCs w:val="20"/>
              </w:rPr>
              <w:t>ZZO</w:t>
            </w:r>
          </w:p>
        </w:tc>
        <w:tc>
          <w:tcPr>
            <w:tcW w:w="7082" w:type="dxa"/>
            <w:shd w:val="clear" w:color="auto" w:fill="auto"/>
          </w:tcPr>
          <w:p w14:paraId="23356BFA" w14:textId="77777777" w:rsidR="00AA5F92" w:rsidRPr="005F04FC" w:rsidRDefault="00AA5F92" w:rsidP="007F7D4A">
            <w:pPr>
              <w:rPr>
                <w:rFonts w:cs="Calibri"/>
                <w:szCs w:val="20"/>
              </w:rPr>
            </w:pPr>
            <w:r>
              <w:t>Zakład zagospodarowania odpadów</w:t>
            </w:r>
          </w:p>
        </w:tc>
      </w:tr>
      <w:tr w:rsidR="00AA5F92" w:rsidRPr="00801DB4" w14:paraId="2A139241" w14:textId="77777777" w:rsidTr="005F04FC">
        <w:trPr>
          <w:trHeight w:val="340"/>
        </w:trPr>
        <w:tc>
          <w:tcPr>
            <w:tcW w:w="1980" w:type="dxa"/>
            <w:shd w:val="clear" w:color="auto" w:fill="auto"/>
          </w:tcPr>
          <w:p w14:paraId="5B99B675" w14:textId="77777777" w:rsidR="00AA5F92" w:rsidRPr="005F04FC" w:rsidRDefault="00AA5F92" w:rsidP="007F7D4A">
            <w:pPr>
              <w:rPr>
                <w:rFonts w:cs="Calibri"/>
                <w:bCs/>
                <w:szCs w:val="20"/>
              </w:rPr>
            </w:pPr>
            <w:r w:rsidRPr="005F04FC">
              <w:rPr>
                <w:rFonts w:cs="Calibri"/>
                <w:bCs/>
                <w:szCs w:val="20"/>
              </w:rPr>
              <w:t>ZUO</w:t>
            </w:r>
          </w:p>
        </w:tc>
        <w:tc>
          <w:tcPr>
            <w:tcW w:w="7082" w:type="dxa"/>
            <w:shd w:val="clear" w:color="auto" w:fill="auto"/>
          </w:tcPr>
          <w:p w14:paraId="32F98943" w14:textId="77777777" w:rsidR="00AA5F92" w:rsidRPr="005F04FC" w:rsidRDefault="00AA5F92" w:rsidP="007F7D4A">
            <w:pPr>
              <w:rPr>
                <w:rFonts w:cs="Calibri"/>
                <w:szCs w:val="20"/>
              </w:rPr>
            </w:pPr>
            <w:r w:rsidRPr="005F04FC">
              <w:rPr>
                <w:rFonts w:cs="Calibri"/>
                <w:szCs w:val="20"/>
              </w:rPr>
              <w:t>Zakładu Unieszkodliwiania Odpadów</w:t>
            </w:r>
          </w:p>
        </w:tc>
      </w:tr>
    </w:tbl>
    <w:p w14:paraId="4BDE82F5" w14:textId="77777777" w:rsidR="00775E47" w:rsidRPr="00404DA5" w:rsidRDefault="00775E47" w:rsidP="005D4915">
      <w:pPr>
        <w:rPr>
          <w:rFonts w:cs="Calibri"/>
          <w:color w:val="FF0000"/>
          <w:szCs w:val="20"/>
        </w:rPr>
      </w:pPr>
    </w:p>
    <w:p w14:paraId="3252C573" w14:textId="77777777" w:rsidR="000D766A" w:rsidRDefault="000D766A">
      <w:pPr>
        <w:spacing w:before="0" w:after="0" w:line="240" w:lineRule="auto"/>
        <w:jc w:val="left"/>
        <w:rPr>
          <w:b/>
          <w:bCs/>
          <w:color w:val="365F91"/>
          <w:sz w:val="28"/>
          <w:szCs w:val="28"/>
        </w:rPr>
      </w:pPr>
      <w:r>
        <w:br w:type="page"/>
      </w:r>
    </w:p>
    <w:p w14:paraId="2C6D9B74" w14:textId="77777777" w:rsidR="005D4915" w:rsidRPr="00801DB4" w:rsidRDefault="005D4915" w:rsidP="00D45914">
      <w:pPr>
        <w:pStyle w:val="Nagwek1"/>
        <w:numPr>
          <w:ilvl w:val="0"/>
          <w:numId w:val="0"/>
        </w:numPr>
      </w:pPr>
      <w:bookmarkStart w:id="4" w:name="_Toc6523740"/>
      <w:r w:rsidRPr="00801DB4">
        <w:lastRenderedPageBreak/>
        <w:t>STRESZCZENIE</w:t>
      </w:r>
      <w:bookmarkEnd w:id="4"/>
    </w:p>
    <w:p w14:paraId="03F18058" w14:textId="77777777" w:rsidR="00CA74F5" w:rsidRDefault="00CA74F5" w:rsidP="00CA74F5">
      <w:pPr>
        <w:rPr>
          <w:szCs w:val="20"/>
        </w:rPr>
      </w:pPr>
      <w:r w:rsidRPr="00351E3B">
        <w:rPr>
          <w:szCs w:val="20"/>
        </w:rPr>
        <w:t xml:space="preserve">Przedmiotowy raport stanowi opis </w:t>
      </w:r>
      <w:r>
        <w:rPr>
          <w:szCs w:val="20"/>
        </w:rPr>
        <w:t>końcowych</w:t>
      </w:r>
      <w:r w:rsidRPr="00351E3B">
        <w:rPr>
          <w:szCs w:val="20"/>
        </w:rPr>
        <w:t xml:space="preserve"> wyników prowadzonego badania ewaluacyjnego </w:t>
      </w:r>
      <w:r w:rsidRPr="00351E3B">
        <w:rPr>
          <w:i/>
          <w:szCs w:val="20"/>
        </w:rPr>
        <w:t>Ewaluacja mid-term dotycząca postępu rzeczowego RPO WZ 2014-2020 dla potrzeb przeglądu śródokresowego,</w:t>
      </w:r>
      <w:r w:rsidR="00E66B89">
        <w:rPr>
          <w:i/>
          <w:szCs w:val="20"/>
        </w:rPr>
        <w:t xml:space="preserve"> w </w:t>
      </w:r>
      <w:r w:rsidRPr="00351E3B">
        <w:rPr>
          <w:i/>
          <w:szCs w:val="20"/>
        </w:rPr>
        <w:t>tym realizacji zapisów ram</w:t>
      </w:r>
      <w:r w:rsidR="00E66B89">
        <w:rPr>
          <w:i/>
          <w:szCs w:val="20"/>
        </w:rPr>
        <w:t xml:space="preserve"> i </w:t>
      </w:r>
      <w:r w:rsidRPr="00351E3B">
        <w:rPr>
          <w:i/>
          <w:szCs w:val="20"/>
        </w:rPr>
        <w:t>rezerwy wykonania</w:t>
      </w:r>
      <w:r w:rsidRPr="00351E3B">
        <w:rPr>
          <w:szCs w:val="20"/>
        </w:rPr>
        <w:t xml:space="preserve">. </w:t>
      </w:r>
      <w:r>
        <w:rPr>
          <w:szCs w:val="20"/>
        </w:rPr>
        <w:t>Badanie prowadzone było od października 2018 roku do kwietnia 2019 roku.</w:t>
      </w:r>
      <w:r w:rsidR="00E66B89">
        <w:rPr>
          <w:szCs w:val="20"/>
        </w:rPr>
        <w:t xml:space="preserve"> W </w:t>
      </w:r>
      <w:r>
        <w:rPr>
          <w:szCs w:val="20"/>
        </w:rPr>
        <w:t>raporcie dokonano oceny zmian sytuacji społeczno-gospodarczej</w:t>
      </w:r>
      <w:r w:rsidR="00E66B89">
        <w:rPr>
          <w:szCs w:val="20"/>
        </w:rPr>
        <w:t xml:space="preserve"> w </w:t>
      </w:r>
      <w:r>
        <w:rPr>
          <w:szCs w:val="20"/>
        </w:rPr>
        <w:t>poszczególnych obszarach wsparcia; oceny realizacji celów pośrednich</w:t>
      </w:r>
      <w:r w:rsidR="00E66B89">
        <w:rPr>
          <w:szCs w:val="20"/>
        </w:rPr>
        <w:t xml:space="preserve"> i </w:t>
      </w:r>
      <w:r>
        <w:rPr>
          <w:szCs w:val="20"/>
        </w:rPr>
        <w:t>końcowych (wykorzystując</w:t>
      </w:r>
      <w:r w:rsidR="00E66B89">
        <w:rPr>
          <w:szCs w:val="20"/>
        </w:rPr>
        <w:t xml:space="preserve"> w </w:t>
      </w:r>
      <w:r>
        <w:rPr>
          <w:szCs w:val="20"/>
        </w:rPr>
        <w:t>tym celu prognozy) wyrażonych odpowiednimi wskaźnikami produktu</w:t>
      </w:r>
      <w:r w:rsidR="00E66B89">
        <w:rPr>
          <w:szCs w:val="20"/>
        </w:rPr>
        <w:t xml:space="preserve"> i </w:t>
      </w:r>
      <w:r>
        <w:rPr>
          <w:szCs w:val="20"/>
        </w:rPr>
        <w:t>rezultatu; oceny postępów</w:t>
      </w:r>
      <w:r w:rsidR="00E66B89">
        <w:rPr>
          <w:szCs w:val="20"/>
        </w:rPr>
        <w:t xml:space="preserve"> w </w:t>
      </w:r>
      <w:r>
        <w:rPr>
          <w:szCs w:val="20"/>
        </w:rPr>
        <w:t>realizacji poszczególnych Priorytetów Inwestycyjnych (PI), ich potencjału absorpcyjnego, oraz możliwości</w:t>
      </w:r>
      <w:r w:rsidR="00E66B89">
        <w:rPr>
          <w:szCs w:val="20"/>
        </w:rPr>
        <w:t xml:space="preserve"> i </w:t>
      </w:r>
      <w:r>
        <w:rPr>
          <w:szCs w:val="20"/>
        </w:rPr>
        <w:t>sposobów postepowania</w:t>
      </w:r>
      <w:r w:rsidR="00E66B89">
        <w:rPr>
          <w:szCs w:val="20"/>
        </w:rPr>
        <w:t xml:space="preserve"> z </w:t>
      </w:r>
      <w:r>
        <w:rPr>
          <w:szCs w:val="20"/>
        </w:rPr>
        <w:t>dostępnymi wciąż środkami alokacji.</w:t>
      </w:r>
      <w:r w:rsidR="00E66B89">
        <w:rPr>
          <w:szCs w:val="20"/>
        </w:rPr>
        <w:t xml:space="preserve"> W </w:t>
      </w:r>
      <w:r>
        <w:rPr>
          <w:szCs w:val="20"/>
        </w:rPr>
        <w:t>raporcie zawarto także analizę skuteczności</w:t>
      </w:r>
      <w:r w:rsidR="00E66B89">
        <w:rPr>
          <w:szCs w:val="20"/>
        </w:rPr>
        <w:t xml:space="preserve"> i </w:t>
      </w:r>
      <w:r>
        <w:rPr>
          <w:szCs w:val="20"/>
        </w:rPr>
        <w:t>użyteczności mechanizmów Polityki terytorialnej oraz trafności zastosowanych form interwencji, ocenę skuteczności systemu zarządzania Programem, ocenę realizacji zasad horyzontalnych oraz analizę wkładu RPO WZ 2014-2020</w:t>
      </w:r>
      <w:r w:rsidR="00E66B89">
        <w:rPr>
          <w:szCs w:val="20"/>
        </w:rPr>
        <w:t xml:space="preserve"> w </w:t>
      </w:r>
      <w:r>
        <w:rPr>
          <w:szCs w:val="20"/>
        </w:rPr>
        <w:t>cele Strategii Europa 2020. Raport kończy się przedstawieniem kluczowych wniosków</w:t>
      </w:r>
      <w:r w:rsidR="00E66B89">
        <w:rPr>
          <w:szCs w:val="20"/>
        </w:rPr>
        <w:t xml:space="preserve"> i </w:t>
      </w:r>
      <w:r>
        <w:rPr>
          <w:szCs w:val="20"/>
        </w:rPr>
        <w:t>rekomendacji, jakie Wykonawca proponuje wdrożyć</w:t>
      </w:r>
      <w:r w:rsidR="00E66B89">
        <w:rPr>
          <w:szCs w:val="20"/>
        </w:rPr>
        <w:t xml:space="preserve"> w </w:t>
      </w:r>
      <w:r>
        <w:rPr>
          <w:szCs w:val="20"/>
        </w:rPr>
        <w:t>przyszłości</w:t>
      </w:r>
      <w:r w:rsidR="00E66B89">
        <w:rPr>
          <w:szCs w:val="20"/>
        </w:rPr>
        <w:t xml:space="preserve"> w </w:t>
      </w:r>
      <w:r>
        <w:rPr>
          <w:szCs w:val="20"/>
        </w:rPr>
        <w:t xml:space="preserve">celu zoptymalizowania wdrażania interwencji. </w:t>
      </w:r>
    </w:p>
    <w:p w14:paraId="62D56338" w14:textId="77777777" w:rsidR="00CA74F5" w:rsidRDefault="00CA74F5" w:rsidP="00CA74F5">
      <w:pPr>
        <w:rPr>
          <w:i/>
          <w:color w:val="4F81BD"/>
        </w:rPr>
      </w:pPr>
      <w:r w:rsidRPr="00DB79E1">
        <w:rPr>
          <w:i/>
          <w:color w:val="4F81BD"/>
        </w:rPr>
        <w:t>Zmiany sytuacji społeczno-gospodarczej województwa zachodniopomorskiego</w:t>
      </w:r>
      <w:r w:rsidR="00E66B89">
        <w:rPr>
          <w:i/>
          <w:color w:val="4F81BD"/>
        </w:rPr>
        <w:t xml:space="preserve"> i </w:t>
      </w:r>
      <w:r w:rsidRPr="00DB79E1">
        <w:rPr>
          <w:i/>
          <w:color w:val="4F81BD"/>
        </w:rPr>
        <w:t>ich wpływ na wdrażanie Programu</w:t>
      </w:r>
    </w:p>
    <w:p w14:paraId="2F4C3E7A" w14:textId="77777777" w:rsidR="00CA74F5" w:rsidRDefault="00CA74F5" w:rsidP="00CA74F5">
      <w:r>
        <w:t>Projektowanie interwencji</w:t>
      </w:r>
      <w:r w:rsidR="00E66B89">
        <w:t xml:space="preserve"> w </w:t>
      </w:r>
      <w:r>
        <w:t>ramach RPO WZ 2014-2020 poprzedzone było przeprowadzeniem diagnozy sytuacji społeczno-gospodarczej województwa, dzięki czemu możliwe było dopasowanie form oraz zakresu wsparcia do zidentyfikowanych problemów.</w:t>
      </w:r>
      <w:r w:rsidR="00E66B89">
        <w:t xml:space="preserve"> W </w:t>
      </w:r>
      <w:r>
        <w:t>ramach przedmiotowego badania ewaluacyjnego przeprowadzono analizę głównych zmian społeczno-gospodarczych zachodzących,</w:t>
      </w:r>
      <w:r w:rsidR="00E66B89">
        <w:t xml:space="preserve"> w </w:t>
      </w:r>
      <w:r>
        <w:t>latach 2014-2017/2018,</w:t>
      </w:r>
      <w:r w:rsidR="00E66B89">
        <w:t xml:space="preserve"> w </w:t>
      </w:r>
      <w:r>
        <w:t>poszczególnych obszarach wsparcia Programu, co umożliwiło wskazanie czynników pozytywnie</w:t>
      </w:r>
      <w:r w:rsidR="00E66B89">
        <w:t xml:space="preserve"> i </w:t>
      </w:r>
      <w:r>
        <w:t>negatywnie wpływających na wdrażanie Programu oraz wskazanie dalszych potrzeb regionu, które powinny być zaspokajane</w:t>
      </w:r>
      <w:r w:rsidR="00E66B89">
        <w:t xml:space="preserve"> w </w:t>
      </w:r>
      <w:r>
        <w:t xml:space="preserve">kolejnych latach. </w:t>
      </w:r>
    </w:p>
    <w:p w14:paraId="1B058DB6" w14:textId="77777777" w:rsidR="00CA74F5" w:rsidRDefault="00CA74F5" w:rsidP="00CA74F5">
      <w:r>
        <w:t>Wyniki tej analizy wskazały, że</w:t>
      </w:r>
      <w:r w:rsidR="00E66B89">
        <w:t xml:space="preserve"> w </w:t>
      </w:r>
      <w:r>
        <w:t>każdym</w:t>
      </w:r>
      <w:r w:rsidR="00E66B89">
        <w:t xml:space="preserve"> z </w:t>
      </w:r>
      <w:r>
        <w:t>analizowanych Priorytetów Inwestycyjnych (PI) zaszły dość istotne zmiany, jednak ich skala nie pozwoliła</w:t>
      </w:r>
      <w:r w:rsidR="00E66B89">
        <w:t xml:space="preserve"> w </w:t>
      </w:r>
      <w:r>
        <w:t>żadnym wypadku stwierdzić kategorycznie wyczerpania się potrzeb regionu (wyjątkiem mogą być jedynie potrzeby</w:t>
      </w:r>
      <w:r w:rsidR="00E66B89">
        <w:t xml:space="preserve"> z </w:t>
      </w:r>
      <w:r>
        <w:t>zakresu zakupu/modernizacji zelektryfikowanych jednostek taboru kolejowego). Co więcej,</w:t>
      </w:r>
      <w:r w:rsidR="00E66B89">
        <w:t xml:space="preserve"> w </w:t>
      </w:r>
      <w:r>
        <w:t>sporej części PI zachodzące zmiany (społeczne, gospodarcze oraz prawne) zaowocowały pojawieniem się kolejnych, nowych deficytów rozwojowych, które wymagają wsparcia. Przykładem mogą być np. zmiany prawne</w:t>
      </w:r>
      <w:r w:rsidR="00E66B89">
        <w:t xml:space="preserve"> w </w:t>
      </w:r>
      <w:r>
        <w:t>obszarze gospodarki odpadami komunalnymi, które nakładają coraz bardziej rygorystyczne obowiązki na jednostki samorządu; zachodzące powoli zmiany klimatu oraz postępująca ingerencja człowieka</w:t>
      </w:r>
      <w:r w:rsidR="00E66B89">
        <w:t xml:space="preserve"> w </w:t>
      </w:r>
      <w:r>
        <w:t>środowisko naturalne powodują pojawianie się nowych potrzeb</w:t>
      </w:r>
      <w:r w:rsidR="00E66B89">
        <w:t xml:space="preserve"> w </w:t>
      </w:r>
      <w:r>
        <w:t>zakresie sposobów ochrony środowiska; zmiany demograficzne (wzrost odsetka osób</w:t>
      </w:r>
      <w:r w:rsidR="00E66B89">
        <w:t xml:space="preserve"> w </w:t>
      </w:r>
      <w:r>
        <w:t>wieku poprodukcyjnym, wydłużająca się średnia długość życia, itp.) powodują coraz większe znaczenie inwestycji</w:t>
      </w:r>
      <w:r w:rsidR="00E66B89">
        <w:t xml:space="preserve"> w </w:t>
      </w:r>
      <w:r>
        <w:t>sektorze usług społecznych</w:t>
      </w:r>
      <w:r w:rsidR="00E66B89">
        <w:t xml:space="preserve"> i </w:t>
      </w:r>
      <w:r>
        <w:t>zdrowotnych</w:t>
      </w:r>
      <w:r w:rsidR="002206E0">
        <w:t>,</w:t>
      </w:r>
      <w:r w:rsidR="00E66B89">
        <w:t xml:space="preserve"> a </w:t>
      </w:r>
      <w:r>
        <w:t>szybkie zmiany na rynku pracy (szczególnie</w:t>
      </w:r>
      <w:r w:rsidR="00E66B89">
        <w:t xml:space="preserve"> w </w:t>
      </w:r>
      <w:r>
        <w:t>zakresie wymaganych kompetencji</w:t>
      </w:r>
      <w:r w:rsidR="00E66B89">
        <w:t xml:space="preserve"> i </w:t>
      </w:r>
      <w:r>
        <w:t>kwalifikacji, umiejętności</w:t>
      </w:r>
      <w:r w:rsidR="00E66B89">
        <w:t xml:space="preserve"> i </w:t>
      </w:r>
      <w:r>
        <w:t>wiedzy związanych</w:t>
      </w:r>
      <w:r w:rsidR="00E66B89">
        <w:t xml:space="preserve"> z </w:t>
      </w:r>
      <w:r>
        <w:t>inteligentnymi specjalizacjami regionu) wpływają na aktualizację potrzeb</w:t>
      </w:r>
      <w:r w:rsidR="00E66B89">
        <w:t xml:space="preserve"> w </w:t>
      </w:r>
      <w:r>
        <w:t xml:space="preserve">obszarze edukacji (przede wszystkim zawodowej). </w:t>
      </w:r>
    </w:p>
    <w:p w14:paraId="3F1A4C38" w14:textId="77777777" w:rsidR="00CA74F5" w:rsidRPr="00797DF9" w:rsidRDefault="00CA74F5" w:rsidP="00CA74F5">
      <w:r>
        <w:t>Zachodzące zmiany</w:t>
      </w:r>
      <w:r w:rsidR="00E66B89">
        <w:t xml:space="preserve"> w </w:t>
      </w:r>
      <w:r>
        <w:t>regionie oraz kraju miały</w:t>
      </w:r>
      <w:r w:rsidR="00E66B89">
        <w:t xml:space="preserve"> i </w:t>
      </w:r>
      <w:r>
        <w:t>będą mieć nadal istotny wpływ na proces wdrażania całego RPO WZ. Część</w:t>
      </w:r>
      <w:r w:rsidR="00E66B89">
        <w:t xml:space="preserve"> z </w:t>
      </w:r>
      <w:r>
        <w:t>tych zmian wpływa pozytywnie (np. wzrost liczby MŚP</w:t>
      </w:r>
      <w:r w:rsidR="00E66B89">
        <w:t xml:space="preserve"> w </w:t>
      </w:r>
      <w:r>
        <w:t>regionie, poprawa świadomości ekologicznej</w:t>
      </w:r>
      <w:r w:rsidR="00E66B89">
        <w:t xml:space="preserve"> i </w:t>
      </w:r>
      <w:r>
        <w:t>prozdrowotnej mieszkańców, upowszechnianie się technologii przyjaznych środowisku, wzrost znaczenia komunikacji miejskiej),</w:t>
      </w:r>
      <w:r w:rsidR="00E66B89">
        <w:t xml:space="preserve"> a </w:t>
      </w:r>
      <w:r>
        <w:t>część negatywnie (np. spadek przychodów firm ze sprzedaży produktów innowacyjnych, niedostateczne uczestnictwo</w:t>
      </w:r>
      <w:r w:rsidR="00E66B89">
        <w:t xml:space="preserve"> w </w:t>
      </w:r>
      <w:r>
        <w:t>wydarzeniach kulturalnych, wzrost kosztów pracy oraz materiałów budowlanych czy różnego rodzaju maszyn/sprzętu). Nie bez znaczenia pozostają także zmiany dotyczące spadku bezrobocia, wzrostu dochodów gospodarstw domowych (np.</w:t>
      </w:r>
      <w:r w:rsidR="00E66B89">
        <w:t xml:space="preserve"> w </w:t>
      </w:r>
      <w:r>
        <w:t xml:space="preserve">efekcie programu </w:t>
      </w:r>
      <w:r w:rsidR="00472EC3">
        <w:t xml:space="preserve">Rodzina </w:t>
      </w:r>
      <w:r>
        <w:t>500+) –</w:t>
      </w:r>
      <w:r w:rsidR="00E66B89">
        <w:t xml:space="preserve"> z </w:t>
      </w:r>
      <w:r>
        <w:t>jednej strony są to zmiany jak najbardziej pozytywne,</w:t>
      </w:r>
      <w:r w:rsidR="00E66B89">
        <w:t xml:space="preserve"> z </w:t>
      </w:r>
      <w:r>
        <w:t>drugiej jednak strony znacząco utrudniają realizację projektów</w:t>
      </w:r>
      <w:r w:rsidR="00E66B89">
        <w:t xml:space="preserve"> z </w:t>
      </w:r>
      <w:r>
        <w:t xml:space="preserve">EFS. </w:t>
      </w:r>
    </w:p>
    <w:p w14:paraId="6EEAD6A9" w14:textId="77777777" w:rsidR="00CA74F5" w:rsidRDefault="00CA74F5" w:rsidP="00CA74F5">
      <w:pPr>
        <w:rPr>
          <w:i/>
          <w:color w:val="4F81BD"/>
        </w:rPr>
      </w:pPr>
      <w:r>
        <w:rPr>
          <w:i/>
          <w:color w:val="4F81BD"/>
        </w:rPr>
        <w:lastRenderedPageBreak/>
        <w:t>Postęp realizacji RPO WZ 2014-2020</w:t>
      </w:r>
    </w:p>
    <w:p w14:paraId="4239F4D3" w14:textId="1BCD6DF5" w:rsidR="00CA74F5" w:rsidRDefault="00CA74F5" w:rsidP="00CA74F5">
      <w:r>
        <w:t>W badaniu dokonano również oceny postępu realizacji poszczególnych osi priorytetowych (OP) oraz PI Programu, uwzględniając ocenę skuteczności oraz efektywności interwencji. Do 7 stycznia 2019 roku</w:t>
      </w:r>
      <w:r w:rsidR="00E66B89">
        <w:t xml:space="preserve"> w </w:t>
      </w:r>
      <w:r>
        <w:t>1516 podpisanych (i nierozwiązanych) umowach</w:t>
      </w:r>
      <w:r w:rsidR="00E66B89">
        <w:t xml:space="preserve"> o </w:t>
      </w:r>
      <w:r>
        <w:t>dofinansowanie (UoD) zakontraktowano już 60,4% całkowitej alokacji RPO WZ (uwzględniającej środki rezerwy wykonania). Poziom kontraktacji bez środków rezerwy wyniósł zaś 64,2%. Najwyższy poziom kontraktacji (powyżej 90% alokacji wraz ze środkami rezerwy) zanotowano dotychczas</w:t>
      </w:r>
      <w:r w:rsidR="00E66B89">
        <w:t xml:space="preserve"> w </w:t>
      </w:r>
      <w:r>
        <w:t>PI 7c (</w:t>
      </w:r>
      <w:r w:rsidRPr="00DB3492">
        <w:rPr>
          <w:i/>
        </w:rPr>
        <w:t>Rozwój</w:t>
      </w:r>
      <w:r w:rsidR="00E66B89">
        <w:rPr>
          <w:i/>
        </w:rPr>
        <w:t xml:space="preserve"> i </w:t>
      </w:r>
      <w:r w:rsidRPr="00DB3492">
        <w:rPr>
          <w:i/>
        </w:rPr>
        <w:t>usprawnianie przyjaznych środowisku (w tym</w:t>
      </w:r>
      <w:r w:rsidR="00E66B89">
        <w:rPr>
          <w:i/>
        </w:rPr>
        <w:t xml:space="preserve"> o </w:t>
      </w:r>
      <w:r w:rsidRPr="00DB3492">
        <w:rPr>
          <w:i/>
        </w:rPr>
        <w:t>obniżonej emisji hałasu)</w:t>
      </w:r>
      <w:r w:rsidR="00E66B89">
        <w:rPr>
          <w:i/>
        </w:rPr>
        <w:t xml:space="preserve"> i </w:t>
      </w:r>
      <w:r w:rsidRPr="00DB3492">
        <w:rPr>
          <w:i/>
        </w:rPr>
        <w:t>niskoemisyjnych systemów transportu,</w:t>
      </w:r>
      <w:r w:rsidR="00E66B89">
        <w:rPr>
          <w:i/>
        </w:rPr>
        <w:t xml:space="preserve"> w </w:t>
      </w:r>
      <w:r w:rsidRPr="00DB3492">
        <w:rPr>
          <w:i/>
        </w:rPr>
        <w:t>tym śródlądowych dróg wodnych</w:t>
      </w:r>
      <w:r w:rsidR="00E66B89">
        <w:rPr>
          <w:i/>
        </w:rPr>
        <w:t xml:space="preserve"> i </w:t>
      </w:r>
      <w:r w:rsidRPr="00DB3492">
        <w:rPr>
          <w:i/>
        </w:rPr>
        <w:t>transportu morskiego, portów, połączeń multimodalnych oraz infrastruktury portów lotniczych,</w:t>
      </w:r>
      <w:r w:rsidR="00E66B89">
        <w:rPr>
          <w:i/>
        </w:rPr>
        <w:t xml:space="preserve"> w </w:t>
      </w:r>
      <w:r w:rsidRPr="00DB3492">
        <w:rPr>
          <w:i/>
        </w:rPr>
        <w:t>celu</w:t>
      </w:r>
      <w:r w:rsidRPr="00DB3492">
        <w:rPr>
          <w:i/>
        </w:rPr>
        <w:br/>
        <w:t>promowania zrównoważonej mobilności regionalnej</w:t>
      </w:r>
      <w:r w:rsidR="00E66B89">
        <w:rPr>
          <w:i/>
        </w:rPr>
        <w:t xml:space="preserve"> i </w:t>
      </w:r>
      <w:r w:rsidRPr="00DB3492">
        <w:rPr>
          <w:i/>
        </w:rPr>
        <w:t>lokalnej</w:t>
      </w:r>
      <w:r>
        <w:t>), 7d (</w:t>
      </w:r>
      <w:r w:rsidRPr="00DB3492">
        <w:rPr>
          <w:i/>
        </w:rPr>
        <w:t>Rozwój</w:t>
      </w:r>
      <w:r w:rsidR="00E66B89">
        <w:rPr>
          <w:i/>
        </w:rPr>
        <w:t xml:space="preserve"> i </w:t>
      </w:r>
      <w:r w:rsidRPr="00DB3492">
        <w:rPr>
          <w:i/>
        </w:rPr>
        <w:t>rehabilitacja kompleksowych, wysokiej jakości</w:t>
      </w:r>
      <w:r w:rsidR="00E66B89">
        <w:rPr>
          <w:i/>
        </w:rPr>
        <w:t xml:space="preserve"> i </w:t>
      </w:r>
      <w:r w:rsidRPr="00DB3492">
        <w:rPr>
          <w:i/>
        </w:rPr>
        <w:t>interoperacyjnych systemów transportu kolejowego oraz propagowanie działań służących zmniejszaniu hałasu</w:t>
      </w:r>
      <w:r>
        <w:t>)</w:t>
      </w:r>
      <w:r w:rsidR="00E66B89">
        <w:t xml:space="preserve"> i </w:t>
      </w:r>
      <w:r>
        <w:t>2c (</w:t>
      </w:r>
      <w:r w:rsidRPr="00DB3492">
        <w:rPr>
          <w:i/>
        </w:rPr>
        <w:t>Wzmocnienie zastosowań TIK dla e- administracji, e-uczenia się, e-włączenia społecznego, e-kultury</w:t>
      </w:r>
      <w:r w:rsidR="00E66B89">
        <w:rPr>
          <w:i/>
        </w:rPr>
        <w:t xml:space="preserve"> i </w:t>
      </w:r>
      <w:r w:rsidRPr="00DB3492">
        <w:rPr>
          <w:i/>
        </w:rPr>
        <w:t>e-zdrowia</w:t>
      </w:r>
      <w:r w:rsidR="001C357C">
        <w:t>).</w:t>
      </w:r>
    </w:p>
    <w:p w14:paraId="44721DFD" w14:textId="77777777" w:rsidR="00CA74F5" w:rsidRDefault="00CA74F5" w:rsidP="00CA74F5">
      <w:r>
        <w:t>Dotychczasowy postęp wdrażania Programu oceniono jako skuteczny. Świadczy</w:t>
      </w:r>
      <w:r w:rsidR="00E66B89">
        <w:t xml:space="preserve"> o </w:t>
      </w:r>
      <w:r>
        <w:t>tym przede wszystkim fakt zrealizowania wszystkich założonych celów pośrednich na 2018 rok, wyrażonych wskaźnikami Ram Wykonania (RW). Dotychczasowy poziom kontraktacji wskaźników RW jest</w:t>
      </w:r>
      <w:r w:rsidR="00E66B89">
        <w:t xml:space="preserve"> w </w:t>
      </w:r>
      <w:r>
        <w:t>części przypadków na poziomie pozwalającym zrealizować już cele końcowe wskaźników produktu, określone na 2023 rok – wyjątkiem są OP:</w:t>
      </w:r>
      <w:r w:rsidR="00E66B89">
        <w:t xml:space="preserve"> I </w:t>
      </w:r>
      <w:r w:rsidRPr="00862AF2">
        <w:rPr>
          <w:i/>
        </w:rPr>
        <w:t>Gospodarka, innowacje, nowoczesne technologie</w:t>
      </w:r>
      <w:r>
        <w:t xml:space="preserve">, V </w:t>
      </w:r>
      <w:r w:rsidRPr="00862AF2">
        <w:rPr>
          <w:i/>
        </w:rPr>
        <w:t>Zrównoważony transport</w:t>
      </w:r>
      <w:r>
        <w:t xml:space="preserve">, VI </w:t>
      </w:r>
      <w:r w:rsidRPr="00862AF2">
        <w:rPr>
          <w:i/>
        </w:rPr>
        <w:t>Rynek pracy</w:t>
      </w:r>
      <w:r>
        <w:rPr>
          <w:i/>
        </w:rPr>
        <w:t xml:space="preserve">, </w:t>
      </w:r>
      <w:r>
        <w:t xml:space="preserve">VII </w:t>
      </w:r>
      <w:r>
        <w:rPr>
          <w:i/>
        </w:rPr>
        <w:t xml:space="preserve">Włączenie społeczne, </w:t>
      </w:r>
      <w:r>
        <w:t xml:space="preserve">VIII </w:t>
      </w:r>
      <w:r>
        <w:rPr>
          <w:i/>
        </w:rPr>
        <w:t>Edukacja –</w:t>
      </w:r>
      <w:r w:rsidR="00E66B89">
        <w:rPr>
          <w:i/>
        </w:rPr>
        <w:t xml:space="preserve"> w </w:t>
      </w:r>
      <w:r>
        <w:t>tych przypadkach konieczne jest zawarcie umów</w:t>
      </w:r>
      <w:r w:rsidR="00E66B89">
        <w:t xml:space="preserve"> i </w:t>
      </w:r>
      <w:r>
        <w:t>zrealizowanie kolejnych projektów</w:t>
      </w:r>
      <w:r w:rsidR="00E66B89">
        <w:t xml:space="preserve"> w </w:t>
      </w:r>
      <w:r>
        <w:t>celu osiągnięcia celów końcowych RW. Do oceny skuteczności wykorzystano także informacje</w:t>
      </w:r>
      <w:r w:rsidR="00E66B89">
        <w:t xml:space="preserve"> o </w:t>
      </w:r>
      <w:r>
        <w:t>poziomie osiągania celów mierzonych programowymi wskaźnikami produktu</w:t>
      </w:r>
      <w:r w:rsidR="00E66B89">
        <w:t xml:space="preserve"> i </w:t>
      </w:r>
      <w:r>
        <w:t>rezultatu. Przeprowadzone analizy wskazują, że</w:t>
      </w:r>
      <w:r w:rsidR="00E66B89">
        <w:t xml:space="preserve"> w </w:t>
      </w:r>
      <w:r>
        <w:t>znacznej części przypadków zakładane wartości docelowe wskaźników RPO WZ są już osiągane na relatywnie wysokim poziomie (mając tu na względzie deklarowane wartości tych wskaźników przez beneficjentów</w:t>
      </w:r>
      <w:r w:rsidR="00E66B89">
        <w:t xml:space="preserve"> w </w:t>
      </w:r>
      <w:r>
        <w:t>zawartych do 7 stycznia umowach</w:t>
      </w:r>
      <w:r w:rsidR="00E66B89">
        <w:t xml:space="preserve"> o </w:t>
      </w:r>
      <w:r>
        <w:t xml:space="preserve">dofinansowanie). </w:t>
      </w:r>
    </w:p>
    <w:p w14:paraId="68F55CDB" w14:textId="77777777" w:rsidR="00CA74F5" w:rsidRPr="00851CA3" w:rsidRDefault="00CA74F5" w:rsidP="00CA74F5">
      <w:r>
        <w:t>Do oceny efektywności interwencji wykorzystano analizę postępu finansowego (poziom kontraktacji) względem postępu rzeczowego oraz przeanalizowano zakładane na etapie programowania koszty jednostkowe osiągania poszczególnych wskaźników</w:t>
      </w:r>
      <w:r w:rsidR="00E66B89">
        <w:t xml:space="preserve"> z </w:t>
      </w:r>
      <w:r>
        <w:t>kosztami, jakie wystąpiły</w:t>
      </w:r>
      <w:r w:rsidR="00E66B89">
        <w:t xml:space="preserve"> w </w:t>
      </w:r>
      <w:r>
        <w:t>rzeczywistości (na podstawie zawartych do 7 stycznia umów). Generalnie, można stwierdzić, że wdrażana interwencja jest efektywna. Ocena relacji postępu finansowego wobec rzeczowego jest pozytywna – tj. widoczny jest najczęściej postęp rzeczowy przekraczający dotychczasowy postęp finansowy.</w:t>
      </w:r>
      <w:r w:rsidR="00E66B89">
        <w:t xml:space="preserve"> W </w:t>
      </w:r>
      <w:r>
        <w:t>przypadku porównania kosztów jednostkowych zakładanych</w:t>
      </w:r>
      <w:r w:rsidR="00E66B89">
        <w:t xml:space="preserve"> w </w:t>
      </w:r>
      <w:r>
        <w:t>Programie</w:t>
      </w:r>
      <w:r w:rsidR="00E66B89">
        <w:t xml:space="preserve"> z </w:t>
      </w:r>
      <w:r>
        <w:t>tymi, które wyliczono na podstawie dotychczasowych umów, ocena nie jest do końca jednoznaczna.</w:t>
      </w:r>
      <w:r w:rsidR="00E66B89">
        <w:t xml:space="preserve"> Z </w:t>
      </w:r>
      <w:r>
        <w:t>jednej strony zidentyfikowano wskaźniki, dla których koszty jednostkowe</w:t>
      </w:r>
      <w:r w:rsidR="00E66B89">
        <w:t xml:space="preserve"> z </w:t>
      </w:r>
      <w:r>
        <w:t>okresu programowania, jak</w:t>
      </w:r>
      <w:r w:rsidR="00E66B89">
        <w:t xml:space="preserve"> i </w:t>
      </w:r>
      <w:r>
        <w:t>liczone na podstawie zawartych UoD są do siebie bardzo zbliżone (co świadczy</w:t>
      </w:r>
      <w:r w:rsidR="00E66B89">
        <w:t xml:space="preserve"> o </w:t>
      </w:r>
      <w:r>
        <w:t>przyjmowaniu trafnych założeń na etapie projektowania Programu).</w:t>
      </w:r>
      <w:r w:rsidR="00E66B89">
        <w:t xml:space="preserve"> Z </w:t>
      </w:r>
      <w:r>
        <w:t>drugiej strony, są zarówno wskaźniki, dla których koszty rzeczywiste okazały się znacznie niższe niż zakładano (m.in.</w:t>
      </w:r>
      <w:r w:rsidR="00E66B89">
        <w:t xml:space="preserve"> z </w:t>
      </w:r>
      <w:r>
        <w:t>powodu spadku cen konkretnych rozwiązań technologicznych, przyjętych zastrzeżeń metodologicznych na etapie szacowania wartości docelowych – posiłkowano się wówczas danymi</w:t>
      </w:r>
      <w:r w:rsidR="00E66B89">
        <w:t xml:space="preserve"> z </w:t>
      </w:r>
      <w:r>
        <w:t>projektów realizowanych</w:t>
      </w:r>
      <w:r w:rsidR="00E66B89">
        <w:t xml:space="preserve"> w </w:t>
      </w:r>
      <w:r>
        <w:t>poprzedniej perspektywie finansowej, które nierzadko różniły się zakresem wsparcia wpływającym na koszty), ale są też wskaźniki, gdzie sytuacja jest odwrotna (wzrost kosztów to najczęściej wynik wzrostu cen materiałów, sprzętu oraz usług).</w:t>
      </w:r>
      <w:r w:rsidR="008B706B">
        <w:t xml:space="preserve"> </w:t>
      </w:r>
    </w:p>
    <w:p w14:paraId="27F8379E" w14:textId="77777777" w:rsidR="00CA74F5" w:rsidRDefault="00CA74F5" w:rsidP="00CA74F5">
      <w:pPr>
        <w:rPr>
          <w:i/>
          <w:color w:val="4F81BD"/>
        </w:rPr>
      </w:pPr>
      <w:r>
        <w:rPr>
          <w:i/>
          <w:color w:val="4F81BD"/>
        </w:rPr>
        <w:t xml:space="preserve">Potencjał absorpcyjny </w:t>
      </w:r>
    </w:p>
    <w:p w14:paraId="787A7E1D" w14:textId="77777777" w:rsidR="00CA74F5" w:rsidRDefault="00CA74F5" w:rsidP="00CA74F5">
      <w:r w:rsidRPr="009B58EE">
        <w:t>Przeprowadzone analizy wskazują na wciąż duży potencjał absorpcyjny we wszystkich osiach oraz priorytetach inwestycyjnych Programu.</w:t>
      </w:r>
      <w:r>
        <w:t xml:space="preserve"> Wydaje się wręcz, że rzeczywisty potencjał (na podstawie dotychczasowego zainteresowania naborami</w:t>
      </w:r>
      <w:r w:rsidR="00E66B89">
        <w:t xml:space="preserve"> w </w:t>
      </w:r>
      <w:r>
        <w:t>poszczególnych Działaniach oraz wyników badania ilościowego</w:t>
      </w:r>
      <w:r w:rsidR="00E66B89">
        <w:t xml:space="preserve"> z </w:t>
      </w:r>
      <w:r>
        <w:t xml:space="preserve">wnioskodawcami RPO WZ) znacznie przekracza możliwości finansowe Programu (tj. </w:t>
      </w:r>
      <w:r>
        <w:lastRenderedPageBreak/>
        <w:t xml:space="preserve">dostępną wciąż kwotę alokacji). Największy potencjał dotyczy OP VIII </w:t>
      </w:r>
      <w:r w:rsidRPr="00B31C36">
        <w:rPr>
          <w:i/>
        </w:rPr>
        <w:t>Edukacja</w:t>
      </w:r>
      <w:r>
        <w:t>, OP</w:t>
      </w:r>
      <w:r w:rsidR="00E66B89">
        <w:t xml:space="preserve"> I </w:t>
      </w:r>
      <w:r w:rsidRPr="00B31C36">
        <w:rPr>
          <w:i/>
        </w:rPr>
        <w:t>Gospodarka, innowacje, nowoczesne technologie</w:t>
      </w:r>
      <w:r>
        <w:rPr>
          <w:i/>
        </w:rPr>
        <w:t xml:space="preserve">, </w:t>
      </w:r>
      <w:r w:rsidRPr="00B31C36">
        <w:t>OP II</w:t>
      </w:r>
      <w:r>
        <w:rPr>
          <w:i/>
        </w:rPr>
        <w:t xml:space="preserve"> </w:t>
      </w:r>
      <w:r w:rsidRPr="00B31C36">
        <w:rPr>
          <w:i/>
        </w:rPr>
        <w:t>Gospodarka niskoemisyjna</w:t>
      </w:r>
      <w:r w:rsidR="00E66B89">
        <w:rPr>
          <w:i/>
        </w:rPr>
        <w:t xml:space="preserve"> i </w:t>
      </w:r>
      <w:r>
        <w:t xml:space="preserve">OP IX </w:t>
      </w:r>
      <w:r w:rsidRPr="00B31C36">
        <w:rPr>
          <w:i/>
        </w:rPr>
        <w:t>Infrastruktura publiczna</w:t>
      </w:r>
      <w:r>
        <w:rPr>
          <w:i/>
        </w:rPr>
        <w:t xml:space="preserve">. </w:t>
      </w:r>
      <w:r>
        <w:t>Relatywnie mniejszy potencjał dotyczy OP V, co ma związek</w:t>
      </w:r>
      <w:r w:rsidR="00E66B89">
        <w:t xml:space="preserve"> z </w:t>
      </w:r>
      <w:r>
        <w:t>tym, że znaczna część projektów zapisanych</w:t>
      </w:r>
      <w:r w:rsidR="00E66B89">
        <w:t xml:space="preserve"> w </w:t>
      </w:r>
      <w:r>
        <w:t xml:space="preserve">Planie Inwestycji Transportowych dla województwa zachodniopomorskiego została już zrealizowana. </w:t>
      </w:r>
      <w:r w:rsidRPr="009B58EE">
        <w:t>Ewentualny brak potencjału</w:t>
      </w:r>
      <w:r w:rsidR="008B706B">
        <w:t xml:space="preserve"> </w:t>
      </w:r>
      <w:r>
        <w:t xml:space="preserve">lub jego niski poziom </w:t>
      </w:r>
      <w:r w:rsidRPr="009B58EE">
        <w:t xml:space="preserve">dotyczy </w:t>
      </w:r>
      <w:r>
        <w:t>jedynie</w:t>
      </w:r>
      <w:r w:rsidRPr="009B58EE">
        <w:t xml:space="preserve"> pojedynczych Działań</w:t>
      </w:r>
      <w:r w:rsidR="00E66B89">
        <w:t xml:space="preserve"> w </w:t>
      </w:r>
      <w:r w:rsidRPr="009B58EE">
        <w:t>ramach PI</w:t>
      </w:r>
      <w:r>
        <w:t xml:space="preserve"> (wówczas proponuje się dokonanie przesunięć środków między Działaniami). </w:t>
      </w:r>
    </w:p>
    <w:p w14:paraId="0E4516F3" w14:textId="77777777" w:rsidR="00CA74F5" w:rsidRDefault="00CA74F5" w:rsidP="00CA74F5">
      <w:r>
        <w:t>W toku badania wskazano typy interwencji (np. konkretne Działania), które dotychczas wykazywały się wysoką skutecznością,</w:t>
      </w:r>
      <w:r w:rsidR="00E66B89">
        <w:t xml:space="preserve"> a </w:t>
      </w:r>
      <w:r>
        <w:t>zarazem wpisują się</w:t>
      </w:r>
      <w:r w:rsidR="00E66B89">
        <w:t xml:space="preserve"> w </w:t>
      </w:r>
      <w:r>
        <w:t>wciąż istniejące potrzeby województwa zachodniopomorskiego. Wśród takich typów projektów można wskazać na: inwestycje</w:t>
      </w:r>
      <w:r w:rsidR="00E66B89">
        <w:t xml:space="preserve"> z </w:t>
      </w:r>
      <w:r>
        <w:t>obszaru inteligentnych specjalizacji regionu, rozwój infrastruktury na rzecz rozwoju gospodarczego regionu, wzmacnianie pozycji gospodarki regionu</w:t>
      </w:r>
      <w:r w:rsidR="00E66B89">
        <w:t xml:space="preserve"> w </w:t>
      </w:r>
      <w:r>
        <w:t>kraju jak</w:t>
      </w:r>
      <w:r w:rsidR="00E66B89">
        <w:t xml:space="preserve"> i </w:t>
      </w:r>
      <w:r>
        <w:t>zagranicą (umiędzynarodowienie przedsiębiorstw), rozwój OZE, poprawa jakości powietrza,</w:t>
      </w:r>
      <w:r w:rsidR="008B706B">
        <w:t xml:space="preserve"> </w:t>
      </w:r>
      <w:r>
        <w:t xml:space="preserve">węzły przesiadkowe, infrastruktura dla rowerów, transport niskoemisyjny, działania proekologiczne </w:t>
      </w:r>
      <w:r w:rsidRPr="0080796F">
        <w:rPr>
          <w:rFonts w:cs="Calibri"/>
          <w:szCs w:val="20"/>
        </w:rPr>
        <w:t>(od edukacji ekologicznej społeczeństwa, zbierania, przez przetwarzanie oraz unieszkodliwianie odpadów)</w:t>
      </w:r>
      <w:r>
        <w:t>, ochrona dziedzictwa kulturowego, wzmocnienie instytucji kultury, p</w:t>
      </w:r>
      <w:r w:rsidRPr="008A03BF">
        <w:t>rogramy na rzecz integracji osób</w:t>
      </w:r>
      <w:r w:rsidR="00E66B89">
        <w:t xml:space="preserve"> i </w:t>
      </w:r>
      <w:r w:rsidRPr="008A03BF">
        <w:t>rodzin zagrożonych ubóstwem i/lub wykluczeniem społecznym</w:t>
      </w:r>
      <w:r>
        <w:t xml:space="preserve">, </w:t>
      </w:r>
      <w:r w:rsidRPr="0080796F">
        <w:rPr>
          <w:rFonts w:cs="Calibri"/>
          <w:szCs w:val="20"/>
        </w:rPr>
        <w:t>wsparcie podmiotów ekonomii społecznej</w:t>
      </w:r>
      <w:r>
        <w:rPr>
          <w:rFonts w:cs="Calibri"/>
          <w:szCs w:val="20"/>
        </w:rPr>
        <w:t>, tworzenie</w:t>
      </w:r>
      <w:r w:rsidR="00E66B89">
        <w:rPr>
          <w:rFonts w:cs="Calibri"/>
          <w:szCs w:val="20"/>
        </w:rPr>
        <w:t xml:space="preserve"> i </w:t>
      </w:r>
      <w:r>
        <w:rPr>
          <w:rFonts w:cs="Calibri"/>
          <w:szCs w:val="20"/>
        </w:rPr>
        <w:t>rozwój u</w:t>
      </w:r>
      <w:r w:rsidRPr="008A03BF">
        <w:rPr>
          <w:rFonts w:cs="Calibri"/>
          <w:szCs w:val="20"/>
        </w:rPr>
        <w:t>sług środowiskowych, usług opiekuńczych oraz usług wsparcia rodziny</w:t>
      </w:r>
      <w:r w:rsidR="00E66B89">
        <w:rPr>
          <w:rFonts w:cs="Calibri"/>
          <w:szCs w:val="20"/>
        </w:rPr>
        <w:t xml:space="preserve"> i </w:t>
      </w:r>
      <w:r w:rsidRPr="008A03BF">
        <w:rPr>
          <w:rFonts w:cs="Calibri"/>
          <w:szCs w:val="20"/>
        </w:rPr>
        <w:t>pieczy zastępczej</w:t>
      </w:r>
      <w:r>
        <w:rPr>
          <w:rFonts w:cs="Calibri"/>
          <w:szCs w:val="20"/>
        </w:rPr>
        <w:t>, wyposażenie szkół</w:t>
      </w:r>
      <w:r w:rsidR="00E66B89">
        <w:rPr>
          <w:rFonts w:cs="Calibri"/>
          <w:szCs w:val="20"/>
        </w:rPr>
        <w:t xml:space="preserve"> w </w:t>
      </w:r>
      <w:r>
        <w:rPr>
          <w:rFonts w:cs="Calibri"/>
          <w:szCs w:val="20"/>
        </w:rPr>
        <w:t>TIK, działania edukacyjne kierowane do osób po 50 roku życia, wspieranie infrastruktury ochrony zdrowia</w:t>
      </w:r>
      <w:r w:rsidR="00E66B89">
        <w:rPr>
          <w:rFonts w:cs="Calibri"/>
          <w:szCs w:val="20"/>
        </w:rPr>
        <w:t xml:space="preserve"> i </w:t>
      </w:r>
      <w:r>
        <w:rPr>
          <w:rFonts w:cs="Calibri"/>
          <w:szCs w:val="20"/>
        </w:rPr>
        <w:t>społecznej oraz rozwój społeczeństwa informacyjnego (np.</w:t>
      </w:r>
      <w:r w:rsidR="00E66B89">
        <w:rPr>
          <w:rFonts w:cs="Calibri"/>
          <w:szCs w:val="20"/>
        </w:rPr>
        <w:t xml:space="preserve"> w </w:t>
      </w:r>
      <w:r>
        <w:rPr>
          <w:rFonts w:cs="Calibri"/>
          <w:szCs w:val="20"/>
        </w:rPr>
        <w:t xml:space="preserve">zakresie e-zdrowia). </w:t>
      </w:r>
    </w:p>
    <w:p w14:paraId="0B8E17DC" w14:textId="77777777" w:rsidR="00CA74F5" w:rsidRPr="009B58EE" w:rsidRDefault="00CA74F5" w:rsidP="00CA74F5">
      <w:r>
        <w:t>Trzeba mieć jednak na względzie, że identyfikowany duży potencjał absorpcyjny nie musi oznaczać możliwości realizacji konkretnych typów inwestycji. Związane jest to</w:t>
      </w:r>
      <w:r w:rsidR="00E66B89">
        <w:t xml:space="preserve"> z </w:t>
      </w:r>
      <w:r>
        <w:t>licznymi problemami zewnętrznymi,</w:t>
      </w:r>
      <w:r w:rsidR="00E66B89">
        <w:t xml:space="preserve"> z </w:t>
      </w:r>
      <w:r>
        <w:t>jakimi mierzą się już obecnie beneficjenci Programu, które związane są</w:t>
      </w:r>
      <w:r w:rsidR="00E66B89">
        <w:t xml:space="preserve"> z </w:t>
      </w:r>
      <w:r>
        <w:t>brakiem możliwości wyboru wykonawców, brakiem składanych ofert, składaniem ofert opiewających na kwoty znacznie przekraczające dostępne budżety zamawiających, rozwiązywanie umów</w:t>
      </w:r>
      <w:r w:rsidR="00E66B89">
        <w:t xml:space="preserve"> z </w:t>
      </w:r>
      <w:r>
        <w:t>wykonawcami (którzy często notują znaczne opóźnienia</w:t>
      </w:r>
      <w:r w:rsidR="00E66B89">
        <w:t xml:space="preserve"> w </w:t>
      </w:r>
      <w:r>
        <w:t>realizacji, co nie gwarantuje wykonania projektów</w:t>
      </w:r>
      <w:r w:rsidR="00E66B89">
        <w:t xml:space="preserve"> w </w:t>
      </w:r>
      <w:r>
        <w:t>założonych terminach, występują</w:t>
      </w:r>
      <w:r w:rsidR="00E66B89">
        <w:t xml:space="preserve"> z </w:t>
      </w:r>
      <w:r>
        <w:t>nieuzasadnionymi roszczeniami finansowymi).</w:t>
      </w:r>
    </w:p>
    <w:p w14:paraId="65361382" w14:textId="77777777" w:rsidR="00CA74F5" w:rsidRDefault="00CA74F5" w:rsidP="00CA74F5">
      <w:pPr>
        <w:rPr>
          <w:i/>
          <w:color w:val="4F81BD"/>
        </w:rPr>
      </w:pPr>
      <w:r>
        <w:rPr>
          <w:i/>
          <w:color w:val="4F81BD"/>
        </w:rPr>
        <w:t>Możliwość osiągnięcia celów końcowych RPO WZ 2014-2020</w:t>
      </w:r>
    </w:p>
    <w:p w14:paraId="66975218" w14:textId="77777777" w:rsidR="00CA74F5" w:rsidRDefault="00CA74F5" w:rsidP="00CA74F5">
      <w:pPr>
        <w:rPr>
          <w:szCs w:val="20"/>
        </w:rPr>
      </w:pPr>
      <w:r w:rsidRPr="00D20992">
        <w:rPr>
          <w:szCs w:val="20"/>
        </w:rPr>
        <w:t>Możliwość osiągnięcia celów końcowych Programu analizowano zarówno</w:t>
      </w:r>
      <w:r w:rsidR="00E66B89">
        <w:rPr>
          <w:szCs w:val="20"/>
        </w:rPr>
        <w:t xml:space="preserve"> w </w:t>
      </w:r>
      <w:r w:rsidR="002C1F4C">
        <w:rPr>
          <w:szCs w:val="20"/>
        </w:rPr>
        <w:t>odniesieniu</w:t>
      </w:r>
      <w:r w:rsidR="002C1F4C" w:rsidRPr="00D20992">
        <w:rPr>
          <w:szCs w:val="20"/>
        </w:rPr>
        <w:t xml:space="preserve"> </w:t>
      </w:r>
      <w:r w:rsidRPr="00D20992">
        <w:rPr>
          <w:szCs w:val="20"/>
        </w:rPr>
        <w:t>do wskaźników rezultatu strategicznego, jak</w:t>
      </w:r>
      <w:r w:rsidR="00E66B89">
        <w:rPr>
          <w:szCs w:val="20"/>
        </w:rPr>
        <w:t xml:space="preserve"> i </w:t>
      </w:r>
      <w:r w:rsidRPr="00D20992">
        <w:rPr>
          <w:szCs w:val="20"/>
        </w:rPr>
        <w:t>wszystkich wskaźników produktu</w:t>
      </w:r>
      <w:r w:rsidR="00E66B89">
        <w:rPr>
          <w:szCs w:val="20"/>
        </w:rPr>
        <w:t xml:space="preserve"> i </w:t>
      </w:r>
      <w:r w:rsidRPr="00D20992">
        <w:rPr>
          <w:szCs w:val="20"/>
        </w:rPr>
        <w:t>rezultatu bezpośredniego wskazanych</w:t>
      </w:r>
      <w:r w:rsidR="00E66B89">
        <w:rPr>
          <w:szCs w:val="20"/>
        </w:rPr>
        <w:t xml:space="preserve"> w </w:t>
      </w:r>
      <w:r w:rsidRPr="00D20992">
        <w:rPr>
          <w:szCs w:val="20"/>
        </w:rPr>
        <w:t>RPO WZ.</w:t>
      </w:r>
      <w:r w:rsidR="00E66B89">
        <w:rPr>
          <w:szCs w:val="20"/>
        </w:rPr>
        <w:t xml:space="preserve"> W </w:t>
      </w:r>
      <w:r w:rsidRPr="00D20992">
        <w:rPr>
          <w:szCs w:val="20"/>
        </w:rPr>
        <w:t>większości przypadków zakłada się osiągnięcie wartości docelowych wskaźników rezultatu strategicznego</w:t>
      </w:r>
      <w:r>
        <w:rPr>
          <w:szCs w:val="20"/>
        </w:rPr>
        <w:t>,</w:t>
      </w:r>
      <w:r w:rsidR="00E66B89">
        <w:rPr>
          <w:szCs w:val="20"/>
        </w:rPr>
        <w:t xml:space="preserve"> a </w:t>
      </w:r>
      <w:r>
        <w:rPr>
          <w:szCs w:val="20"/>
        </w:rPr>
        <w:t>nawet ich przekroczenie</w:t>
      </w:r>
      <w:r w:rsidRPr="00D20992">
        <w:rPr>
          <w:szCs w:val="20"/>
        </w:rPr>
        <w:t>. Trudności</w:t>
      </w:r>
      <w:r w:rsidR="00E66B89">
        <w:rPr>
          <w:szCs w:val="20"/>
        </w:rPr>
        <w:t xml:space="preserve"> w </w:t>
      </w:r>
      <w:r w:rsidRPr="00D20992">
        <w:rPr>
          <w:szCs w:val="20"/>
        </w:rPr>
        <w:t>realizacji założeń na 2023 rok zidentyfikowano</w:t>
      </w:r>
      <w:r w:rsidR="00E66B89">
        <w:rPr>
          <w:szCs w:val="20"/>
        </w:rPr>
        <w:t xml:space="preserve"> w </w:t>
      </w:r>
      <w:r w:rsidRPr="00D20992">
        <w:rPr>
          <w:szCs w:val="20"/>
        </w:rPr>
        <w:t xml:space="preserve">przypadku takich wskaźników strategicznych, jak: </w:t>
      </w:r>
      <w:r w:rsidRPr="00D20992">
        <w:rPr>
          <w:i/>
          <w:szCs w:val="20"/>
        </w:rPr>
        <w:t>Nakłady sektora przedsiębiorstw na działalność B+R</w:t>
      </w:r>
      <w:r w:rsidR="00E66B89">
        <w:rPr>
          <w:i/>
          <w:szCs w:val="20"/>
        </w:rPr>
        <w:t xml:space="preserve"> w </w:t>
      </w:r>
      <w:r w:rsidRPr="00D20992">
        <w:rPr>
          <w:i/>
          <w:szCs w:val="20"/>
        </w:rPr>
        <w:t>relacji do PKB (BERD), Nakłady na działalność B+R</w:t>
      </w:r>
      <w:r w:rsidR="00E66B89">
        <w:rPr>
          <w:i/>
          <w:szCs w:val="20"/>
        </w:rPr>
        <w:t xml:space="preserve"> w </w:t>
      </w:r>
      <w:r w:rsidRPr="00D20992">
        <w:rPr>
          <w:i/>
          <w:szCs w:val="20"/>
        </w:rPr>
        <w:t>relacji do PKB, Średni udział przedsiębiorstw innowacyjnych -</w:t>
      </w:r>
      <w:r w:rsidR="00E66B89">
        <w:rPr>
          <w:i/>
          <w:szCs w:val="20"/>
        </w:rPr>
        <w:t xml:space="preserve"> w </w:t>
      </w:r>
      <w:r w:rsidRPr="00D20992">
        <w:rPr>
          <w:i/>
          <w:szCs w:val="20"/>
        </w:rPr>
        <w:t>ogólnej liczbie przedsiębiorstw przemysłowych</w:t>
      </w:r>
      <w:r w:rsidR="00E66B89">
        <w:rPr>
          <w:i/>
          <w:szCs w:val="20"/>
        </w:rPr>
        <w:t xml:space="preserve"> i z </w:t>
      </w:r>
      <w:r w:rsidRPr="00D20992">
        <w:rPr>
          <w:i/>
          <w:szCs w:val="20"/>
        </w:rPr>
        <w:t xml:space="preserve">sektora usług, Pojemność obiektów małej retencji wodnej (dam3), </w:t>
      </w:r>
      <w:r w:rsidRPr="00D20992">
        <w:rPr>
          <w:rFonts w:cs="Calibri"/>
          <w:i/>
          <w:szCs w:val="20"/>
        </w:rPr>
        <w:t>Odsetek oczyszczalni spełniających warunek III dyrektywy 91/271/EWG</w:t>
      </w:r>
      <w:r w:rsidR="00E66B89">
        <w:rPr>
          <w:rFonts w:cs="Calibri"/>
          <w:i/>
          <w:szCs w:val="20"/>
        </w:rPr>
        <w:t xml:space="preserve"> w </w:t>
      </w:r>
      <w:r w:rsidRPr="00D20992">
        <w:rPr>
          <w:rFonts w:cs="Calibri"/>
          <w:i/>
          <w:szCs w:val="20"/>
        </w:rPr>
        <w:t>ogólnej liczbie oczyszczalni</w:t>
      </w:r>
      <w:r w:rsidR="00E66B89">
        <w:rPr>
          <w:rFonts w:cs="Calibri"/>
          <w:i/>
          <w:szCs w:val="20"/>
        </w:rPr>
        <w:t xml:space="preserve"> w </w:t>
      </w:r>
      <w:r w:rsidRPr="00D20992">
        <w:rPr>
          <w:rFonts w:cs="Calibri"/>
          <w:i/>
          <w:szCs w:val="20"/>
        </w:rPr>
        <w:t xml:space="preserve">KPOŚK, Wskaźnik Drogowej Dostępności Transportowej - WDDT II (syntetyczny), </w:t>
      </w:r>
      <w:r w:rsidRPr="00D20992">
        <w:rPr>
          <w:rFonts w:cs="Calibri"/>
          <w:i/>
          <w:color w:val="000000"/>
          <w:szCs w:val="20"/>
        </w:rPr>
        <w:t xml:space="preserve">Wskaźnik Kolejowej Dostępności Transportowej - WKDT II (syntetyczny), Wskaźnik Żeglugowej Dostępności Transportowej - WŻDT II (syntetyczny), </w:t>
      </w:r>
      <w:r w:rsidRPr="00D20992">
        <w:rPr>
          <w:i/>
          <w:szCs w:val="20"/>
        </w:rPr>
        <w:t>Zdawalność egzaminów maturalnych (w stosunku do średniej krajowej)</w:t>
      </w:r>
      <w:r>
        <w:rPr>
          <w:i/>
          <w:szCs w:val="20"/>
        </w:rPr>
        <w:t>.</w:t>
      </w:r>
      <w:r w:rsidR="00E66B89">
        <w:rPr>
          <w:szCs w:val="20"/>
        </w:rPr>
        <w:t xml:space="preserve"> W </w:t>
      </w:r>
      <w:r>
        <w:rPr>
          <w:szCs w:val="20"/>
        </w:rPr>
        <w:t>raporcie zaproponowano odpowiednie zalecenia</w:t>
      </w:r>
      <w:r w:rsidR="00E66B89">
        <w:rPr>
          <w:szCs w:val="20"/>
        </w:rPr>
        <w:t xml:space="preserve"> w </w:t>
      </w:r>
      <w:r>
        <w:rPr>
          <w:szCs w:val="20"/>
        </w:rPr>
        <w:t xml:space="preserve">zakresie podjęcia działań zmierzających do zaktualizowania (w tym przypadku obniżenia) wartości docelowych wskazanych tu wskaźników. </w:t>
      </w:r>
    </w:p>
    <w:p w14:paraId="563543D3" w14:textId="77777777" w:rsidR="00CA74F5" w:rsidRPr="003168B3" w:rsidRDefault="00CA74F5" w:rsidP="00CA74F5">
      <w:pPr>
        <w:rPr>
          <w:i/>
          <w:szCs w:val="20"/>
        </w:rPr>
      </w:pPr>
      <w:r>
        <w:rPr>
          <w:szCs w:val="20"/>
        </w:rPr>
        <w:t>W przypadku pozostałych wskaźników produktu</w:t>
      </w:r>
      <w:r w:rsidR="00E66B89">
        <w:rPr>
          <w:szCs w:val="20"/>
        </w:rPr>
        <w:t xml:space="preserve"> i </w:t>
      </w:r>
      <w:r>
        <w:rPr>
          <w:szCs w:val="20"/>
        </w:rPr>
        <w:t>rezultatu bezpośredniego, Wykonawca</w:t>
      </w:r>
      <w:r w:rsidR="00E66B89">
        <w:rPr>
          <w:szCs w:val="20"/>
        </w:rPr>
        <w:t xml:space="preserve"> w </w:t>
      </w:r>
      <w:r>
        <w:rPr>
          <w:szCs w:val="20"/>
        </w:rPr>
        <w:t>oparciu</w:t>
      </w:r>
      <w:r w:rsidR="00E66B89">
        <w:rPr>
          <w:szCs w:val="20"/>
        </w:rPr>
        <w:t xml:space="preserve"> o </w:t>
      </w:r>
      <w:r>
        <w:rPr>
          <w:szCs w:val="20"/>
        </w:rPr>
        <w:t>przeprowadzone prognozy ilościowe oraz jakościowe wskazał, że zdecydowana większość wskaźników osiągnie zakładane wartości</w:t>
      </w:r>
      <w:r w:rsidR="00E66B89">
        <w:rPr>
          <w:szCs w:val="20"/>
        </w:rPr>
        <w:t xml:space="preserve"> w </w:t>
      </w:r>
      <w:r>
        <w:rPr>
          <w:szCs w:val="20"/>
        </w:rPr>
        <w:t>wyniku zrealizowania projektów, na które dotychczas podpisano lub planuje się podpisać</w:t>
      </w:r>
      <w:r w:rsidR="00E66B89">
        <w:rPr>
          <w:szCs w:val="20"/>
        </w:rPr>
        <w:t xml:space="preserve"> w </w:t>
      </w:r>
      <w:r>
        <w:rPr>
          <w:szCs w:val="20"/>
        </w:rPr>
        <w:t>przyszłości umowy</w:t>
      </w:r>
      <w:r w:rsidR="00E66B89">
        <w:rPr>
          <w:szCs w:val="20"/>
        </w:rPr>
        <w:t xml:space="preserve"> o </w:t>
      </w:r>
      <w:r>
        <w:rPr>
          <w:szCs w:val="20"/>
        </w:rPr>
        <w:t>dofinansowanie. Znaczna część wskaźników zostanie zrealizowana na poziomie znacznie przekraczającym 100%.</w:t>
      </w:r>
      <w:r w:rsidR="00E66B89">
        <w:rPr>
          <w:szCs w:val="20"/>
        </w:rPr>
        <w:t xml:space="preserve"> W </w:t>
      </w:r>
      <w:r>
        <w:rPr>
          <w:szCs w:val="20"/>
        </w:rPr>
        <w:t xml:space="preserve">przypadku zaś wskaźników, dla których </w:t>
      </w:r>
      <w:r>
        <w:rPr>
          <w:szCs w:val="20"/>
        </w:rPr>
        <w:lastRenderedPageBreak/>
        <w:t>prognozowany poziom realizacji jest istotnie niższy, niż 100% zalecono podjęcie działań zaradczych –</w:t>
      </w:r>
      <w:r w:rsidR="00E66B89">
        <w:rPr>
          <w:szCs w:val="20"/>
        </w:rPr>
        <w:t xml:space="preserve"> w </w:t>
      </w:r>
      <w:r>
        <w:rPr>
          <w:szCs w:val="20"/>
        </w:rPr>
        <w:t xml:space="preserve">tym zaktualizowanie ich wartości docelowych. Problemowymi wskaźnikami Programu, pod kątem szans realizacji </w:t>
      </w:r>
      <w:r w:rsidRPr="003168B3">
        <w:rPr>
          <w:szCs w:val="20"/>
        </w:rPr>
        <w:t xml:space="preserve">założonych wartości docelowych, są: </w:t>
      </w:r>
      <w:r w:rsidRPr="003168B3">
        <w:rPr>
          <w:rFonts w:cs="Calibri"/>
          <w:bCs/>
          <w:i/>
          <w:szCs w:val="20"/>
        </w:rPr>
        <w:t>Inwestycje prywatne uzupełniające wsparcie publiczne</w:t>
      </w:r>
      <w:r w:rsidR="00E66B89">
        <w:rPr>
          <w:rFonts w:cs="Calibri"/>
          <w:bCs/>
          <w:i/>
          <w:szCs w:val="20"/>
        </w:rPr>
        <w:t xml:space="preserve"> w </w:t>
      </w:r>
      <w:r w:rsidRPr="003168B3">
        <w:rPr>
          <w:rFonts w:cs="Calibri"/>
          <w:bCs/>
          <w:i/>
          <w:szCs w:val="20"/>
        </w:rPr>
        <w:t>projekty</w:t>
      </w:r>
      <w:r w:rsidR="00E66B89">
        <w:rPr>
          <w:rFonts w:cs="Calibri"/>
          <w:bCs/>
          <w:i/>
          <w:szCs w:val="20"/>
        </w:rPr>
        <w:t xml:space="preserve"> w </w:t>
      </w:r>
      <w:r w:rsidRPr="003168B3">
        <w:rPr>
          <w:rFonts w:cs="Calibri"/>
          <w:bCs/>
          <w:i/>
          <w:szCs w:val="20"/>
        </w:rPr>
        <w:t>zakresie innowacji lub badań</w:t>
      </w:r>
      <w:r w:rsidR="00E66B89">
        <w:rPr>
          <w:rFonts w:cs="Calibri"/>
          <w:bCs/>
          <w:i/>
          <w:szCs w:val="20"/>
        </w:rPr>
        <w:t xml:space="preserve"> i </w:t>
      </w:r>
      <w:r w:rsidRPr="003168B3">
        <w:rPr>
          <w:rFonts w:cs="Calibri"/>
          <w:bCs/>
          <w:i/>
          <w:szCs w:val="20"/>
        </w:rPr>
        <w:t xml:space="preserve">rozwoju (PI 1a), </w:t>
      </w:r>
      <w:r w:rsidRPr="003168B3">
        <w:rPr>
          <w:bCs/>
          <w:i/>
          <w:szCs w:val="20"/>
        </w:rPr>
        <w:t xml:space="preserve">Liczba przedsiębiorstw otrzymujących dotacje (CI) (PI 3c), Liczba przedsiębiorstw otrzymujących wsparcie (CI), </w:t>
      </w:r>
      <w:r w:rsidRPr="003168B3">
        <w:rPr>
          <w:rFonts w:cs="Calibri"/>
          <w:bCs/>
          <w:i/>
          <w:szCs w:val="20"/>
        </w:rPr>
        <w:t>Dodatkowa zdolność wytwarzania energii cieplnej</w:t>
      </w:r>
      <w:r w:rsidR="00E66B89">
        <w:rPr>
          <w:rFonts w:cs="Calibri"/>
          <w:bCs/>
          <w:i/>
          <w:szCs w:val="20"/>
        </w:rPr>
        <w:t xml:space="preserve"> i </w:t>
      </w:r>
      <w:r w:rsidRPr="003168B3">
        <w:rPr>
          <w:rFonts w:cs="Calibri"/>
          <w:bCs/>
          <w:i/>
          <w:szCs w:val="20"/>
        </w:rPr>
        <w:t>elektrycznej</w:t>
      </w:r>
      <w:r w:rsidR="00E66B89">
        <w:rPr>
          <w:rFonts w:cs="Calibri"/>
          <w:bCs/>
          <w:i/>
          <w:szCs w:val="20"/>
        </w:rPr>
        <w:t xml:space="preserve"> w </w:t>
      </w:r>
      <w:r w:rsidRPr="003168B3">
        <w:rPr>
          <w:rFonts w:cs="Calibri"/>
          <w:bCs/>
          <w:i/>
          <w:szCs w:val="20"/>
        </w:rPr>
        <w:t xml:space="preserve">warunkach kogeneracji (PI 4g), </w:t>
      </w:r>
      <w:r w:rsidRPr="003168B3">
        <w:rPr>
          <w:i/>
          <w:szCs w:val="20"/>
          <w:lang w:eastAsia="en-US"/>
        </w:rPr>
        <w:t>Długość sieci kanalizacji sanitarnej</w:t>
      </w:r>
      <w:r w:rsidRPr="003168B3">
        <w:rPr>
          <w:i/>
          <w:szCs w:val="20"/>
        </w:rPr>
        <w:t xml:space="preserve"> (PI 6b), </w:t>
      </w:r>
      <w:r w:rsidRPr="003168B3">
        <w:rPr>
          <w:i/>
          <w:szCs w:val="20"/>
          <w:lang w:eastAsia="en-US"/>
        </w:rPr>
        <w:t>Dodatkowa zdolność przerobowa zakładów recyklingu</w:t>
      </w:r>
      <w:r w:rsidRPr="003168B3">
        <w:rPr>
          <w:i/>
          <w:szCs w:val="20"/>
        </w:rPr>
        <w:t xml:space="preserve"> (PI 6a), Liczba wspartych instytucji paramuzealnych (PI 6d) – wskaźnik planowany do usunięcia</w:t>
      </w:r>
      <w:r w:rsidR="00E66B89">
        <w:rPr>
          <w:i/>
          <w:szCs w:val="20"/>
        </w:rPr>
        <w:t xml:space="preserve"> z </w:t>
      </w:r>
      <w:r w:rsidRPr="003168B3">
        <w:rPr>
          <w:i/>
          <w:szCs w:val="20"/>
        </w:rPr>
        <w:t xml:space="preserve">RPO WZ, </w:t>
      </w:r>
      <w:r w:rsidRPr="003168B3">
        <w:rPr>
          <w:rFonts w:cs="Calibri"/>
          <w:i/>
          <w:szCs w:val="20"/>
        </w:rPr>
        <w:t xml:space="preserve">Całkowita długość przebudowanych lub zmodernizowanych linii kolejowych (PI 7d), </w:t>
      </w:r>
      <w:r w:rsidRPr="003168B3">
        <w:rPr>
          <w:rFonts w:eastAsia="Calibri" w:cs="Calibri"/>
          <w:i/>
          <w:szCs w:val="20"/>
        </w:rPr>
        <w:t>Liczba osób długotrwale bezrobotnych objętych wsparciem</w:t>
      </w:r>
      <w:r w:rsidR="00E66B89">
        <w:rPr>
          <w:rFonts w:eastAsia="Calibri" w:cs="Calibri"/>
          <w:i/>
          <w:szCs w:val="20"/>
        </w:rPr>
        <w:t xml:space="preserve"> w </w:t>
      </w:r>
      <w:r w:rsidRPr="003168B3">
        <w:rPr>
          <w:rFonts w:eastAsia="Calibri" w:cs="Calibri"/>
          <w:i/>
          <w:szCs w:val="20"/>
        </w:rPr>
        <w:t xml:space="preserve">programie (PI 8i), </w:t>
      </w:r>
      <w:r w:rsidRPr="003168B3">
        <w:rPr>
          <w:rFonts w:cs="Calibri"/>
          <w:i/>
          <w:szCs w:val="20"/>
        </w:rPr>
        <w:t>Liczba osób</w:t>
      </w:r>
      <w:r w:rsidR="00E66B89">
        <w:rPr>
          <w:rFonts w:cs="Calibri"/>
          <w:i/>
          <w:szCs w:val="20"/>
        </w:rPr>
        <w:t xml:space="preserve"> z </w:t>
      </w:r>
      <w:r w:rsidRPr="003168B3">
        <w:rPr>
          <w:rFonts w:cs="Calibri"/>
          <w:i/>
          <w:szCs w:val="20"/>
        </w:rPr>
        <w:t>niepełnosprawnościami objętych wsparciem</w:t>
      </w:r>
      <w:r w:rsidR="00E66B89">
        <w:rPr>
          <w:rFonts w:cs="Calibri"/>
          <w:i/>
          <w:szCs w:val="20"/>
        </w:rPr>
        <w:t xml:space="preserve"> w </w:t>
      </w:r>
      <w:r w:rsidRPr="003168B3">
        <w:rPr>
          <w:rFonts w:cs="Calibri"/>
          <w:i/>
          <w:szCs w:val="20"/>
        </w:rPr>
        <w:t>programie (C), Liczba osób zagrożonych ubóstwem lub wykluczeniem społecznym objętych wsparciem</w:t>
      </w:r>
      <w:r w:rsidR="00E66B89">
        <w:rPr>
          <w:rFonts w:cs="Calibri"/>
          <w:i/>
          <w:szCs w:val="20"/>
        </w:rPr>
        <w:t xml:space="preserve"> w </w:t>
      </w:r>
      <w:r w:rsidRPr="003168B3">
        <w:rPr>
          <w:rFonts w:cs="Calibri"/>
          <w:i/>
          <w:szCs w:val="20"/>
        </w:rPr>
        <w:t>programie, Liczba osób zagrożonych ubóstwem lub wykluczeniem społecznym poszukujących pracy po opuszczeniu programu, Liczba osób zagrożonych ubóstwem lub wykluczeniem społecznym, które uzyskały kwalifikacje po opuszczeniu programu (PI 9i), Liczba osób zagrożonych ubóstwem lub wykluczeniem społecznym objętych wsparciem</w:t>
      </w:r>
      <w:r w:rsidR="00E66B89">
        <w:rPr>
          <w:rFonts w:cs="Calibri"/>
          <w:i/>
          <w:szCs w:val="20"/>
        </w:rPr>
        <w:t xml:space="preserve"> w </w:t>
      </w:r>
      <w:r w:rsidRPr="003168B3">
        <w:rPr>
          <w:rFonts w:cs="Calibri"/>
          <w:i/>
          <w:szCs w:val="20"/>
        </w:rPr>
        <w:t>programie (PI 9iv), Liczba osób zagrożonych ubóstwem lub wykluczeniem społecznym objętych wsparciem</w:t>
      </w:r>
      <w:r w:rsidR="00E66B89">
        <w:rPr>
          <w:rFonts w:cs="Calibri"/>
          <w:i/>
          <w:szCs w:val="20"/>
        </w:rPr>
        <w:t xml:space="preserve"> w </w:t>
      </w:r>
      <w:r w:rsidRPr="003168B3">
        <w:rPr>
          <w:rFonts w:cs="Calibri"/>
          <w:i/>
          <w:szCs w:val="20"/>
        </w:rPr>
        <w:t xml:space="preserve">programie, </w:t>
      </w:r>
      <w:r w:rsidRPr="003168B3">
        <w:rPr>
          <w:rFonts w:cs="Calibri"/>
          <w:bCs/>
          <w:i/>
          <w:szCs w:val="20"/>
        </w:rPr>
        <w:t>Liczba osób zagrożonych ubóstwem lub wykluczeniem społecznym pracujących po opuszczeniu programu (łącznie</w:t>
      </w:r>
      <w:r w:rsidR="00E66B89">
        <w:rPr>
          <w:rFonts w:cs="Calibri"/>
          <w:bCs/>
          <w:i/>
          <w:szCs w:val="20"/>
        </w:rPr>
        <w:t xml:space="preserve"> z </w:t>
      </w:r>
      <w:r w:rsidRPr="003168B3">
        <w:rPr>
          <w:rFonts w:cs="Calibri"/>
          <w:bCs/>
          <w:i/>
          <w:szCs w:val="20"/>
        </w:rPr>
        <w:t xml:space="preserve">pracującymi na własny rachunek) </w:t>
      </w:r>
      <w:r w:rsidRPr="003168B3">
        <w:rPr>
          <w:rFonts w:cs="Calibri"/>
          <w:i/>
          <w:szCs w:val="20"/>
        </w:rPr>
        <w:t xml:space="preserve">(PI 9v), </w:t>
      </w:r>
      <w:r w:rsidRPr="003168B3">
        <w:rPr>
          <w:rFonts w:cs="Calibri"/>
          <w:bCs/>
          <w:i/>
          <w:szCs w:val="20"/>
        </w:rPr>
        <w:t>Liczba dzieci objętych</w:t>
      </w:r>
      <w:r w:rsidR="00E66B89">
        <w:rPr>
          <w:rFonts w:cs="Calibri"/>
          <w:bCs/>
          <w:i/>
          <w:szCs w:val="20"/>
        </w:rPr>
        <w:t xml:space="preserve"> w </w:t>
      </w:r>
      <w:r w:rsidRPr="003168B3">
        <w:rPr>
          <w:rFonts w:cs="Calibri"/>
          <w:bCs/>
          <w:i/>
          <w:szCs w:val="20"/>
        </w:rPr>
        <w:t>ramach programu dodatkowymi zajęciami zwiększającymi ich szanse edukacyjne</w:t>
      </w:r>
      <w:r w:rsidR="00E66B89">
        <w:rPr>
          <w:rFonts w:cs="Calibri"/>
          <w:bCs/>
          <w:i/>
          <w:szCs w:val="20"/>
        </w:rPr>
        <w:t xml:space="preserve"> w </w:t>
      </w:r>
      <w:r w:rsidRPr="003168B3">
        <w:rPr>
          <w:rFonts w:cs="Calibri"/>
          <w:bCs/>
          <w:i/>
          <w:szCs w:val="20"/>
        </w:rPr>
        <w:t xml:space="preserve">edukacji przedszkolnej, </w:t>
      </w:r>
      <w:r w:rsidRPr="003168B3">
        <w:rPr>
          <w:rFonts w:cs="Calibri"/>
          <w:i/>
          <w:szCs w:val="20"/>
        </w:rPr>
        <w:t>Liczba miejsc wychowania przedszkolnego dofinansowanych</w:t>
      </w:r>
      <w:r w:rsidR="00E66B89">
        <w:rPr>
          <w:rFonts w:cs="Calibri"/>
          <w:i/>
          <w:szCs w:val="20"/>
        </w:rPr>
        <w:t xml:space="preserve"> w </w:t>
      </w:r>
      <w:r w:rsidRPr="003168B3">
        <w:rPr>
          <w:rFonts w:cs="Calibri"/>
          <w:i/>
          <w:szCs w:val="20"/>
        </w:rPr>
        <w:t xml:space="preserve">programie (PI 10i), Liczba uczniów, którzy nabyli kompetencje kluczowe lub umiejętności uniwersalne po opuszczeniu programu, </w:t>
      </w:r>
      <w:r w:rsidRPr="003168B3">
        <w:rPr>
          <w:rFonts w:cs="Calibri"/>
          <w:bCs/>
          <w:i/>
          <w:szCs w:val="20"/>
        </w:rPr>
        <w:t>Liczba nauczycieli kształcenia zawodowego oraz instruktorów praktycznej nauki zawodu objętych wsparciem</w:t>
      </w:r>
      <w:r w:rsidR="00E66B89">
        <w:rPr>
          <w:rFonts w:cs="Calibri"/>
          <w:bCs/>
          <w:i/>
          <w:szCs w:val="20"/>
        </w:rPr>
        <w:t xml:space="preserve"> w </w:t>
      </w:r>
      <w:r w:rsidRPr="003168B3">
        <w:rPr>
          <w:rFonts w:cs="Calibri"/>
          <w:bCs/>
          <w:i/>
          <w:szCs w:val="20"/>
        </w:rPr>
        <w:t xml:space="preserve">programie (PI 10iv), </w:t>
      </w:r>
      <w:r w:rsidRPr="003168B3">
        <w:rPr>
          <w:rFonts w:cs="Calibri"/>
          <w:i/>
          <w:szCs w:val="20"/>
        </w:rPr>
        <w:t>Liczba osób</w:t>
      </w:r>
      <w:r w:rsidR="00E66B89">
        <w:rPr>
          <w:rFonts w:cs="Calibri"/>
          <w:i/>
          <w:szCs w:val="20"/>
        </w:rPr>
        <w:t xml:space="preserve"> o </w:t>
      </w:r>
      <w:r w:rsidRPr="003168B3">
        <w:rPr>
          <w:rFonts w:cs="Calibri"/>
          <w:i/>
          <w:szCs w:val="20"/>
        </w:rPr>
        <w:t>niskich kwalifikacjach, objętych wsparciem</w:t>
      </w:r>
      <w:r w:rsidR="00E66B89">
        <w:rPr>
          <w:rFonts w:cs="Calibri"/>
          <w:i/>
          <w:szCs w:val="20"/>
        </w:rPr>
        <w:t xml:space="preserve"> w </w:t>
      </w:r>
      <w:r w:rsidRPr="003168B3">
        <w:rPr>
          <w:rFonts w:cs="Calibri"/>
          <w:i/>
          <w:szCs w:val="20"/>
        </w:rPr>
        <w:t xml:space="preserve">programie, </w:t>
      </w:r>
      <w:r w:rsidRPr="003168B3">
        <w:rPr>
          <w:rFonts w:cs="Calibri"/>
          <w:bCs/>
          <w:i/>
          <w:szCs w:val="20"/>
        </w:rPr>
        <w:t>Liczba osób</w:t>
      </w:r>
      <w:r w:rsidR="00E66B89">
        <w:rPr>
          <w:rFonts w:cs="Calibri"/>
          <w:bCs/>
          <w:i/>
          <w:szCs w:val="20"/>
        </w:rPr>
        <w:t xml:space="preserve"> w </w:t>
      </w:r>
      <w:r w:rsidRPr="003168B3">
        <w:rPr>
          <w:rFonts w:cs="Calibri"/>
          <w:bCs/>
          <w:i/>
          <w:szCs w:val="20"/>
        </w:rPr>
        <w:t>wieku 25 lat</w:t>
      </w:r>
      <w:r w:rsidR="00E66B89">
        <w:rPr>
          <w:rFonts w:cs="Calibri"/>
          <w:bCs/>
          <w:i/>
          <w:szCs w:val="20"/>
        </w:rPr>
        <w:t xml:space="preserve"> i </w:t>
      </w:r>
      <w:r w:rsidRPr="003168B3">
        <w:rPr>
          <w:rFonts w:cs="Calibri"/>
          <w:bCs/>
          <w:i/>
          <w:szCs w:val="20"/>
        </w:rPr>
        <w:t>więcej objętych wsparciem</w:t>
      </w:r>
      <w:r w:rsidR="00E66B89">
        <w:rPr>
          <w:rFonts w:cs="Calibri"/>
          <w:bCs/>
          <w:i/>
          <w:szCs w:val="20"/>
        </w:rPr>
        <w:t xml:space="preserve"> w </w:t>
      </w:r>
      <w:r w:rsidRPr="003168B3">
        <w:rPr>
          <w:rFonts w:cs="Calibri"/>
          <w:bCs/>
          <w:i/>
          <w:szCs w:val="20"/>
        </w:rPr>
        <w:t>programie (PI 10iii).</w:t>
      </w:r>
    </w:p>
    <w:p w14:paraId="5477DF13" w14:textId="77777777" w:rsidR="00CA74F5" w:rsidRDefault="00CA74F5" w:rsidP="00CA74F5">
      <w:pPr>
        <w:rPr>
          <w:i/>
          <w:color w:val="4F81BD"/>
        </w:rPr>
      </w:pPr>
      <w:r>
        <w:rPr>
          <w:i/>
          <w:color w:val="4F81BD"/>
        </w:rPr>
        <w:t xml:space="preserve">Możliwe sposoby zarządzania środkami rezerwy wykonania </w:t>
      </w:r>
    </w:p>
    <w:p w14:paraId="15B5CB8C" w14:textId="77777777" w:rsidR="00CA74F5" w:rsidRPr="00D45744" w:rsidRDefault="00CA74F5" w:rsidP="00CA74F5">
      <w:r w:rsidRPr="00D45744">
        <w:t>Wedle stanu</w:t>
      </w:r>
      <w:r w:rsidR="00E66B89">
        <w:t xml:space="preserve"> z </w:t>
      </w:r>
      <w:r w:rsidRPr="00D45744">
        <w:t xml:space="preserve">dnia 7 stycznia 2019 roku, dostępna wciąż kwota alokacji </w:t>
      </w:r>
      <w:r>
        <w:t>(z uwzględnieniem środków rezerwy wykonania)</w:t>
      </w:r>
      <w:r w:rsidR="00E66B89">
        <w:t xml:space="preserve"> w </w:t>
      </w:r>
      <w:r w:rsidRPr="00D45744">
        <w:t xml:space="preserve">ramach RPO WZ 2014-2020 wynosiła około 2,3 mld zł. </w:t>
      </w:r>
      <w:r>
        <w:t>Analizując potencjał poszczególnych PI do tego by zakontraktować całą dotychczasową alokację (bez środków rezerwy) wskazano, że tylko</w:t>
      </w:r>
      <w:r w:rsidR="00E66B89">
        <w:t xml:space="preserve"> w </w:t>
      </w:r>
      <w:r>
        <w:t>przypadku PI 3a, 3c, 8iv oraz 9i może istnieć ryzyko jej niewydatkowania – jest to jednak uzależnione od decyzji IZ</w:t>
      </w:r>
      <w:r w:rsidR="00E66B89">
        <w:t xml:space="preserve"> w </w:t>
      </w:r>
      <w:r>
        <w:t>zakresie kolejnych naborów oraz od innych czynników, które szerzej zostały omówione</w:t>
      </w:r>
      <w:r w:rsidR="00E66B89">
        <w:t xml:space="preserve"> w </w:t>
      </w:r>
      <w:r>
        <w:t>poszczególnych rozdziałach raportu poświęconym tym właśnie PI.</w:t>
      </w:r>
      <w:r w:rsidR="00E66B89">
        <w:t xml:space="preserve"> W </w:t>
      </w:r>
      <w:r>
        <w:t>przypadku tych PI stwierdzono także, że nie będzie najpewniej możliwości wykorzystania środków rezerwy wykonania doń przypisanych.</w:t>
      </w:r>
      <w:r w:rsidR="00E66B89">
        <w:t xml:space="preserve"> Z </w:t>
      </w:r>
      <w:r>
        <w:t>drugiej strony zidentyfikowano takie PI, na które można byłoby skierować dodatkowe środki finansowe (wykraczające poza aktualnie przypisaną alokację</w:t>
      </w:r>
      <w:r w:rsidR="00E66B89">
        <w:t xml:space="preserve"> i </w:t>
      </w:r>
      <w:r>
        <w:t>rezerwę wykonania). Do takich Pi należą: 2c</w:t>
      </w:r>
      <w:r w:rsidR="00E66B89">
        <w:t xml:space="preserve"> i </w:t>
      </w:r>
      <w:r>
        <w:t>9iv.</w:t>
      </w:r>
      <w:r w:rsidR="00E66B89">
        <w:t xml:space="preserve"> W </w:t>
      </w:r>
      <w:r>
        <w:t xml:space="preserve">przypadku pozostałych PI zaleca się wykorzystanie dostępnej alokacji na realizację kolejnych projektów oraz ewentualne </w:t>
      </w:r>
      <w:r w:rsidR="009424FF">
        <w:t xml:space="preserve">przesunięcie </w:t>
      </w:r>
      <w:r>
        <w:t>środków,</w:t>
      </w:r>
      <w:r w:rsidR="00E66B89">
        <w:t xml:space="preserve"> w </w:t>
      </w:r>
      <w:r>
        <w:t xml:space="preserve">przypadku identyfikowania większego zainteresowania ze strony wnioskodawców. </w:t>
      </w:r>
    </w:p>
    <w:p w14:paraId="7A4E860F" w14:textId="77777777" w:rsidR="00CA74F5" w:rsidRDefault="00CA74F5" w:rsidP="00CA74F5">
      <w:pPr>
        <w:rPr>
          <w:i/>
          <w:color w:val="4F81BD"/>
        </w:rPr>
      </w:pPr>
      <w:r>
        <w:rPr>
          <w:i/>
          <w:color w:val="4F81BD"/>
        </w:rPr>
        <w:t>Skuteczność Polityki Terytorialnej realizowanej</w:t>
      </w:r>
      <w:r w:rsidR="00E66B89">
        <w:rPr>
          <w:i/>
          <w:color w:val="4F81BD"/>
        </w:rPr>
        <w:t xml:space="preserve"> w </w:t>
      </w:r>
      <w:r>
        <w:rPr>
          <w:i/>
          <w:color w:val="4F81BD"/>
        </w:rPr>
        <w:t>ramach RPO WZ 2014-2020</w:t>
      </w:r>
    </w:p>
    <w:p w14:paraId="3179E33D" w14:textId="77777777" w:rsidR="00CA74F5" w:rsidRPr="00C94007" w:rsidRDefault="00CA74F5" w:rsidP="00CA74F5">
      <w:pPr>
        <w:rPr>
          <w:rFonts w:cs="Calibri"/>
          <w:szCs w:val="20"/>
        </w:rPr>
      </w:pPr>
      <w:r w:rsidRPr="000C7100">
        <w:rPr>
          <w:rFonts w:cs="Calibri"/>
          <w:szCs w:val="20"/>
        </w:rPr>
        <w:t>W ramach RPO WZ 2014-2020 wdrażane są projekty dotyczące Polityki Terytorialnej</w:t>
      </w:r>
      <w:r w:rsidR="00E66B89">
        <w:rPr>
          <w:rFonts w:cs="Calibri"/>
          <w:szCs w:val="20"/>
        </w:rPr>
        <w:t xml:space="preserve"> z </w:t>
      </w:r>
      <w:r w:rsidRPr="000C7100">
        <w:rPr>
          <w:rFonts w:cs="Calibri"/>
          <w:szCs w:val="20"/>
        </w:rPr>
        <w:t>wykorzystaniem dwóch głównych instrumentów: Zintegrowane Inwestycje Terytorialne</w:t>
      </w:r>
      <w:r>
        <w:rPr>
          <w:rFonts w:cs="Calibri"/>
          <w:szCs w:val="20"/>
        </w:rPr>
        <w:t xml:space="preserve"> (ZIT)</w:t>
      </w:r>
      <w:r w:rsidRPr="000C7100">
        <w:rPr>
          <w:rFonts w:cs="Calibri"/>
          <w:szCs w:val="20"/>
        </w:rPr>
        <w:t xml:space="preserve"> oraz Kontrakty Samorządowe</w:t>
      </w:r>
      <w:r>
        <w:rPr>
          <w:rFonts w:cs="Calibri"/>
          <w:szCs w:val="20"/>
        </w:rPr>
        <w:t xml:space="preserve"> (KS)</w:t>
      </w:r>
      <w:r w:rsidRPr="000C7100">
        <w:rPr>
          <w:rFonts w:cs="Calibri"/>
          <w:szCs w:val="20"/>
        </w:rPr>
        <w:t xml:space="preserve">. </w:t>
      </w:r>
      <w:r w:rsidRPr="000C7100">
        <w:rPr>
          <w:rFonts w:cs="Calibri"/>
          <w:bCs/>
          <w:szCs w:val="20"/>
        </w:rPr>
        <w:t>Inwestycje ZIT wdrażane są</w:t>
      </w:r>
      <w:r w:rsidR="00E66B89">
        <w:rPr>
          <w:rFonts w:cs="Calibri"/>
          <w:bCs/>
          <w:szCs w:val="20"/>
        </w:rPr>
        <w:t xml:space="preserve"> w </w:t>
      </w:r>
      <w:r w:rsidRPr="000C7100">
        <w:rPr>
          <w:rFonts w:cs="Calibri"/>
          <w:szCs w:val="20"/>
        </w:rPr>
        <w:t>takich obszarach jak: gospodarka, innowacje, nowoczesne technologie, gospodarka niskoemisyjna, zrównoważony transport, edukacja.</w:t>
      </w:r>
      <w:r>
        <w:rPr>
          <w:rFonts w:cs="Calibri"/>
          <w:szCs w:val="20"/>
        </w:rPr>
        <w:t xml:space="preserve"> </w:t>
      </w:r>
      <w:r w:rsidRPr="000C7100">
        <w:rPr>
          <w:rFonts w:cs="Calibri"/>
          <w:szCs w:val="20"/>
        </w:rPr>
        <w:t>Instrument KS wdrażany jest zaś</w:t>
      </w:r>
      <w:r w:rsidR="00E66B89">
        <w:rPr>
          <w:rFonts w:cs="Calibri"/>
          <w:szCs w:val="20"/>
        </w:rPr>
        <w:t xml:space="preserve"> w </w:t>
      </w:r>
      <w:r>
        <w:rPr>
          <w:rFonts w:cs="Calibri"/>
          <w:szCs w:val="20"/>
        </w:rPr>
        <w:t>takich</w:t>
      </w:r>
      <w:r w:rsidRPr="000C7100">
        <w:rPr>
          <w:rFonts w:cs="Calibri"/>
          <w:szCs w:val="20"/>
        </w:rPr>
        <w:t xml:space="preserve"> obszarach</w:t>
      </w:r>
      <w:r>
        <w:rPr>
          <w:rFonts w:cs="Calibri"/>
          <w:szCs w:val="20"/>
        </w:rPr>
        <w:t>, jak</w:t>
      </w:r>
      <w:r w:rsidRPr="000C7100">
        <w:rPr>
          <w:rFonts w:cs="Calibri"/>
          <w:szCs w:val="20"/>
        </w:rPr>
        <w:t xml:space="preserve"> gospodarka, innowacje, nowoczesne technologie, gospodarka niskoemisyjna, rynek pracy, edukacja, infrastruktura publiczna.</w:t>
      </w:r>
      <w:r>
        <w:rPr>
          <w:rFonts w:cs="Calibri"/>
          <w:szCs w:val="20"/>
        </w:rPr>
        <w:t xml:space="preserve"> </w:t>
      </w:r>
      <w:r w:rsidRPr="000C7100">
        <w:rPr>
          <w:rFonts w:cs="Arial"/>
          <w:color w:val="000000"/>
          <w:szCs w:val="20"/>
          <w:shd w:val="clear" w:color="auto" w:fill="FFFFFF"/>
        </w:rPr>
        <w:t>Przeprowadzone analizy szczegółowe na poziomie poszczególnych PI wskazują, że</w:t>
      </w:r>
      <w:r w:rsidR="00E66B89">
        <w:rPr>
          <w:rFonts w:cs="Arial"/>
          <w:color w:val="000000"/>
          <w:szCs w:val="20"/>
          <w:shd w:val="clear" w:color="auto" w:fill="FFFFFF"/>
        </w:rPr>
        <w:t xml:space="preserve"> w </w:t>
      </w:r>
      <w:r w:rsidRPr="000C7100">
        <w:rPr>
          <w:rFonts w:cs="Arial"/>
          <w:color w:val="000000"/>
          <w:szCs w:val="20"/>
          <w:shd w:val="clear" w:color="auto" w:fill="FFFFFF"/>
        </w:rPr>
        <w:t>zdecydowanej większości przypadków interwencja jest bardziej skuteczna oraz użyteczna, od tej kierowanej dla całego regionu. Świadczy</w:t>
      </w:r>
      <w:r w:rsidR="00E66B89">
        <w:rPr>
          <w:rFonts w:cs="Arial"/>
          <w:color w:val="000000"/>
          <w:szCs w:val="20"/>
          <w:shd w:val="clear" w:color="auto" w:fill="FFFFFF"/>
        </w:rPr>
        <w:t xml:space="preserve"> o </w:t>
      </w:r>
      <w:r w:rsidRPr="000C7100">
        <w:rPr>
          <w:rFonts w:cs="Arial"/>
          <w:color w:val="000000"/>
          <w:szCs w:val="20"/>
          <w:shd w:val="clear" w:color="auto" w:fill="FFFFFF"/>
        </w:rPr>
        <w:t>tym nie tylko poziom kontraktacji środków, ale także wkład projektów ZIT</w:t>
      </w:r>
      <w:r w:rsidR="00E66B89">
        <w:rPr>
          <w:rFonts w:cs="Arial"/>
          <w:color w:val="000000"/>
          <w:szCs w:val="20"/>
          <w:shd w:val="clear" w:color="auto" w:fill="FFFFFF"/>
        </w:rPr>
        <w:t xml:space="preserve"> i </w:t>
      </w:r>
      <w:r w:rsidRPr="000C7100">
        <w:rPr>
          <w:rFonts w:cs="Arial"/>
          <w:color w:val="000000"/>
          <w:szCs w:val="20"/>
          <w:shd w:val="clear" w:color="auto" w:fill="FFFFFF"/>
        </w:rPr>
        <w:t>KS</w:t>
      </w:r>
      <w:r w:rsidR="00E66B89">
        <w:rPr>
          <w:rFonts w:cs="Arial"/>
          <w:color w:val="000000"/>
          <w:szCs w:val="20"/>
          <w:shd w:val="clear" w:color="auto" w:fill="FFFFFF"/>
        </w:rPr>
        <w:t xml:space="preserve"> w </w:t>
      </w:r>
      <w:r w:rsidRPr="000C7100">
        <w:rPr>
          <w:rFonts w:cs="Arial"/>
          <w:color w:val="000000"/>
          <w:szCs w:val="20"/>
          <w:shd w:val="clear" w:color="auto" w:fill="FFFFFF"/>
        </w:rPr>
        <w:t>osiąganie celów danych PI.</w:t>
      </w:r>
      <w:r w:rsidR="00E66B89">
        <w:rPr>
          <w:rFonts w:cs="Arial"/>
          <w:color w:val="000000"/>
          <w:szCs w:val="20"/>
          <w:shd w:val="clear" w:color="auto" w:fill="FFFFFF"/>
        </w:rPr>
        <w:t xml:space="preserve"> O </w:t>
      </w:r>
      <w:r w:rsidRPr="000C7100">
        <w:rPr>
          <w:rFonts w:cs="Arial"/>
          <w:color w:val="000000"/>
          <w:szCs w:val="20"/>
          <w:shd w:val="clear" w:color="auto" w:fill="FFFFFF"/>
        </w:rPr>
        <w:t>wysokiej skuteczności</w:t>
      </w:r>
      <w:r w:rsidR="00E66B89">
        <w:rPr>
          <w:rFonts w:cs="Arial"/>
          <w:color w:val="000000"/>
          <w:szCs w:val="20"/>
          <w:shd w:val="clear" w:color="auto" w:fill="FFFFFF"/>
        </w:rPr>
        <w:t xml:space="preserve"> i </w:t>
      </w:r>
      <w:r w:rsidRPr="000C7100">
        <w:rPr>
          <w:rFonts w:cs="Arial"/>
          <w:color w:val="000000"/>
          <w:szCs w:val="20"/>
          <w:shd w:val="clear" w:color="auto" w:fill="FFFFFF"/>
        </w:rPr>
        <w:t>użyteczności interwencji</w:t>
      </w:r>
      <w:r w:rsidR="00E66B89">
        <w:rPr>
          <w:rFonts w:cs="Arial"/>
          <w:color w:val="000000"/>
          <w:szCs w:val="20"/>
          <w:shd w:val="clear" w:color="auto" w:fill="FFFFFF"/>
        </w:rPr>
        <w:t xml:space="preserve"> w </w:t>
      </w:r>
      <w:r w:rsidRPr="000C7100">
        <w:rPr>
          <w:rFonts w:cs="Arial"/>
          <w:color w:val="000000"/>
          <w:szCs w:val="20"/>
          <w:shd w:val="clear" w:color="auto" w:fill="FFFFFF"/>
        </w:rPr>
        <w:t xml:space="preserve">ramach Polityki Terytorialnej zdecydowały przede wszystkim </w:t>
      </w:r>
      <w:r w:rsidRPr="000C7100">
        <w:rPr>
          <w:rFonts w:cs="Arial"/>
          <w:color w:val="000000"/>
          <w:szCs w:val="20"/>
          <w:shd w:val="clear" w:color="auto" w:fill="FFFFFF"/>
        </w:rPr>
        <w:lastRenderedPageBreak/>
        <w:t>takie czynniki jak: odpowiednio wczesne zidentyfikowanie</w:t>
      </w:r>
      <w:r w:rsidR="00E66B89">
        <w:rPr>
          <w:rFonts w:cs="Arial"/>
          <w:color w:val="000000"/>
          <w:szCs w:val="20"/>
          <w:shd w:val="clear" w:color="auto" w:fill="FFFFFF"/>
        </w:rPr>
        <w:t xml:space="preserve"> i </w:t>
      </w:r>
      <w:r w:rsidRPr="000C7100">
        <w:rPr>
          <w:rFonts w:cs="Arial"/>
          <w:color w:val="000000"/>
          <w:szCs w:val="20"/>
          <w:shd w:val="clear" w:color="auto" w:fill="FFFFFF"/>
        </w:rPr>
        <w:t>wskazanie kierunków wsparcia, wczesne przygotowanie procesu identyfikacji</w:t>
      </w:r>
      <w:r w:rsidR="00E66B89">
        <w:rPr>
          <w:rFonts w:cs="Arial"/>
          <w:color w:val="000000"/>
          <w:szCs w:val="20"/>
          <w:shd w:val="clear" w:color="auto" w:fill="FFFFFF"/>
        </w:rPr>
        <w:t xml:space="preserve"> i </w:t>
      </w:r>
      <w:r w:rsidRPr="000C7100">
        <w:rPr>
          <w:rFonts w:cs="Arial"/>
          <w:color w:val="000000"/>
          <w:szCs w:val="20"/>
          <w:shd w:val="clear" w:color="auto" w:fill="FFFFFF"/>
        </w:rPr>
        <w:t>przygotowania poszczególnych inwestycji, wydzielenie</w:t>
      </w:r>
      <w:r w:rsidR="00E66B89">
        <w:rPr>
          <w:rFonts w:cs="Arial"/>
          <w:color w:val="000000"/>
          <w:szCs w:val="20"/>
          <w:shd w:val="clear" w:color="auto" w:fill="FFFFFF"/>
        </w:rPr>
        <w:t xml:space="preserve"> i </w:t>
      </w:r>
      <w:r w:rsidRPr="000C7100">
        <w:rPr>
          <w:rFonts w:cs="Arial"/>
          <w:color w:val="000000"/>
          <w:szCs w:val="20"/>
          <w:shd w:val="clear" w:color="auto" w:fill="FFFFFF"/>
        </w:rPr>
        <w:t>zapewnienie odpowiedniej puli środków na sfinansowanie zidentyfikowanych projektów, współpraca między partnerami działającymi na danym obszarze, zapewnienie realnych szans pozyskania środków</w:t>
      </w:r>
      <w:r w:rsidR="00E66B89">
        <w:rPr>
          <w:rFonts w:cs="Arial"/>
          <w:color w:val="000000"/>
          <w:szCs w:val="20"/>
          <w:shd w:val="clear" w:color="auto" w:fill="FFFFFF"/>
        </w:rPr>
        <w:t xml:space="preserve"> z </w:t>
      </w:r>
      <w:r w:rsidRPr="000C7100">
        <w:rPr>
          <w:rFonts w:cs="Arial"/>
          <w:color w:val="000000"/>
          <w:szCs w:val="20"/>
          <w:shd w:val="clear" w:color="auto" w:fill="FFFFFF"/>
        </w:rPr>
        <w:t>RPO dla małych gmin.</w:t>
      </w:r>
      <w:r>
        <w:rPr>
          <w:rFonts w:cs="Arial"/>
          <w:color w:val="000000"/>
          <w:szCs w:val="20"/>
          <w:shd w:val="clear" w:color="auto" w:fill="FFFFFF"/>
        </w:rPr>
        <w:t xml:space="preserve"> </w:t>
      </w:r>
      <w:r w:rsidRPr="000C7100">
        <w:rPr>
          <w:rFonts w:cs="Arial"/>
          <w:color w:val="000000"/>
          <w:szCs w:val="20"/>
          <w:shd w:val="clear" w:color="auto" w:fill="FFFFFF"/>
        </w:rPr>
        <w:t>Mimo pozytywnej oceny, zidentyfikowano także obszary wymagające poprawy</w:t>
      </w:r>
      <w:r w:rsidR="00E66B89">
        <w:rPr>
          <w:rFonts w:cs="Arial"/>
          <w:color w:val="000000"/>
          <w:szCs w:val="20"/>
          <w:shd w:val="clear" w:color="auto" w:fill="FFFFFF"/>
        </w:rPr>
        <w:t xml:space="preserve"> w </w:t>
      </w:r>
      <w:r w:rsidRPr="000C7100">
        <w:rPr>
          <w:rFonts w:cs="Arial"/>
          <w:color w:val="000000"/>
          <w:szCs w:val="20"/>
          <w:shd w:val="clear" w:color="auto" w:fill="FFFFFF"/>
        </w:rPr>
        <w:t>przyszłości</w:t>
      </w:r>
      <w:r>
        <w:rPr>
          <w:rFonts w:cs="Arial"/>
          <w:color w:val="000000"/>
          <w:szCs w:val="20"/>
          <w:shd w:val="clear" w:color="auto" w:fill="FFFFFF"/>
        </w:rPr>
        <w:t xml:space="preserve"> – zmiany, które</w:t>
      </w:r>
      <w:r w:rsidR="00E66B89">
        <w:rPr>
          <w:rFonts w:cs="Arial"/>
          <w:color w:val="000000"/>
          <w:szCs w:val="20"/>
          <w:shd w:val="clear" w:color="auto" w:fill="FFFFFF"/>
        </w:rPr>
        <w:t xml:space="preserve"> w </w:t>
      </w:r>
      <w:r>
        <w:rPr>
          <w:rFonts w:cs="Arial"/>
          <w:color w:val="000000"/>
          <w:szCs w:val="20"/>
          <w:shd w:val="clear" w:color="auto" w:fill="FFFFFF"/>
        </w:rPr>
        <w:t>efekcie zwiększą skuteczność Polityki Terytorialnej to np. większy udział partnerów (członków ZIT/KS)</w:t>
      </w:r>
      <w:r w:rsidR="00E66B89">
        <w:rPr>
          <w:rFonts w:cs="Arial"/>
          <w:color w:val="000000"/>
          <w:szCs w:val="20"/>
          <w:shd w:val="clear" w:color="auto" w:fill="FFFFFF"/>
        </w:rPr>
        <w:t xml:space="preserve"> w </w:t>
      </w:r>
      <w:r>
        <w:rPr>
          <w:rFonts w:cs="Arial"/>
          <w:color w:val="000000"/>
          <w:szCs w:val="20"/>
          <w:shd w:val="clear" w:color="auto" w:fill="FFFFFF"/>
        </w:rPr>
        <w:t>diagnozie obszarów wymagających wsparcia, zwiększenie kompetencji podmiotów tworzących KS</w:t>
      </w:r>
      <w:r w:rsidR="00E66B89">
        <w:rPr>
          <w:rFonts w:cs="Arial"/>
          <w:color w:val="000000"/>
          <w:szCs w:val="20"/>
          <w:shd w:val="clear" w:color="auto" w:fill="FFFFFF"/>
        </w:rPr>
        <w:t xml:space="preserve"> w </w:t>
      </w:r>
      <w:r>
        <w:rPr>
          <w:rFonts w:cs="Arial"/>
          <w:color w:val="000000"/>
          <w:szCs w:val="20"/>
          <w:shd w:val="clear" w:color="auto" w:fill="FFFFFF"/>
        </w:rPr>
        <w:t>zakresie wykorzystywania raz pozyskanych środków finansowych, podjęcie działań zwiększających komplementarność inwestycji EFRR</w:t>
      </w:r>
      <w:r w:rsidR="00E66B89">
        <w:rPr>
          <w:rFonts w:cs="Arial"/>
          <w:color w:val="000000"/>
          <w:szCs w:val="20"/>
          <w:shd w:val="clear" w:color="auto" w:fill="FFFFFF"/>
        </w:rPr>
        <w:t xml:space="preserve"> i </w:t>
      </w:r>
      <w:r>
        <w:rPr>
          <w:rFonts w:cs="Arial"/>
          <w:color w:val="000000"/>
          <w:szCs w:val="20"/>
          <w:shd w:val="clear" w:color="auto" w:fill="FFFFFF"/>
        </w:rPr>
        <w:t>EFS.</w:t>
      </w:r>
      <w:r w:rsidR="008B706B">
        <w:rPr>
          <w:rFonts w:cs="Arial"/>
          <w:color w:val="000000"/>
          <w:szCs w:val="20"/>
          <w:shd w:val="clear" w:color="auto" w:fill="FFFFFF"/>
        </w:rPr>
        <w:t xml:space="preserve"> </w:t>
      </w:r>
    </w:p>
    <w:p w14:paraId="2C0F6351" w14:textId="77777777" w:rsidR="00CA74F5" w:rsidRDefault="00CA74F5" w:rsidP="00CA74F5">
      <w:pPr>
        <w:rPr>
          <w:i/>
          <w:color w:val="4F81BD"/>
        </w:rPr>
      </w:pPr>
      <w:r>
        <w:rPr>
          <w:i/>
          <w:color w:val="4F81BD"/>
        </w:rPr>
        <w:t>Trafność zastosowanych form interwencji – dotacje, pomoc zwrotna, instrumenty finansowe</w:t>
      </w:r>
    </w:p>
    <w:p w14:paraId="6561F131" w14:textId="77777777" w:rsidR="00CA74F5" w:rsidRPr="005F04FC" w:rsidRDefault="00CA74F5" w:rsidP="00CA74F5">
      <w:pPr>
        <w:spacing w:before="0" w:line="276" w:lineRule="auto"/>
        <w:rPr>
          <w:rFonts w:ascii="Calibri" w:eastAsia="Calibri" w:hAnsi="Calibri"/>
          <w:sz w:val="22"/>
        </w:rPr>
      </w:pPr>
      <w:r w:rsidRPr="34BACE92">
        <w:rPr>
          <w:rFonts w:eastAsia="Lato" w:cs="Lato"/>
          <w:szCs w:val="20"/>
        </w:rPr>
        <w:t>Analiza wyników badania CAWI pokazała, że instrument</w:t>
      </w:r>
      <w:r w:rsidR="00593C01">
        <w:rPr>
          <w:rFonts w:eastAsia="Lato" w:cs="Lato"/>
          <w:szCs w:val="20"/>
        </w:rPr>
        <w:t>y</w:t>
      </w:r>
      <w:r w:rsidRPr="34BACE92">
        <w:rPr>
          <w:rFonts w:eastAsia="Lato" w:cs="Lato"/>
          <w:szCs w:val="20"/>
        </w:rPr>
        <w:t xml:space="preserve"> finansowe zwrotne są chętnie stosowane przez przedsiębiorców, ale ich głównym przeznaczeniem jest zakup lub modernizacja kapitału rzeczowego (inwestycje</w:t>
      </w:r>
      <w:r w:rsidR="00E66B89">
        <w:rPr>
          <w:rFonts w:eastAsia="Lato" w:cs="Lato"/>
          <w:szCs w:val="20"/>
        </w:rPr>
        <w:t xml:space="preserve"> o </w:t>
      </w:r>
      <w:r w:rsidRPr="34BACE92">
        <w:rPr>
          <w:rFonts w:eastAsia="Lato" w:cs="Lato"/>
          <w:szCs w:val="20"/>
        </w:rPr>
        <w:t>niskim poziomie ryzyka),</w:t>
      </w:r>
      <w:r w:rsidR="00E66B89">
        <w:rPr>
          <w:rFonts w:eastAsia="Lato" w:cs="Lato"/>
          <w:szCs w:val="20"/>
        </w:rPr>
        <w:t xml:space="preserve"> a </w:t>
      </w:r>
      <w:r w:rsidRPr="34BACE92">
        <w:rPr>
          <w:rFonts w:eastAsia="Lato" w:cs="Lato"/>
          <w:szCs w:val="20"/>
        </w:rPr>
        <w:t>nie inwestycje</w:t>
      </w:r>
      <w:r w:rsidR="00E66B89">
        <w:rPr>
          <w:rFonts w:eastAsia="Lato" w:cs="Lato"/>
          <w:szCs w:val="20"/>
        </w:rPr>
        <w:t xml:space="preserve"> w </w:t>
      </w:r>
      <w:r w:rsidRPr="34BACE92">
        <w:rPr>
          <w:rFonts w:eastAsia="Lato" w:cs="Lato"/>
          <w:szCs w:val="20"/>
        </w:rPr>
        <w:t>działania innowacyjne</w:t>
      </w:r>
      <w:r w:rsidR="00E66B89">
        <w:rPr>
          <w:rFonts w:eastAsia="Lato" w:cs="Lato"/>
          <w:szCs w:val="20"/>
        </w:rPr>
        <w:t xml:space="preserve"> o </w:t>
      </w:r>
      <w:r w:rsidRPr="34BACE92">
        <w:rPr>
          <w:rFonts w:eastAsia="Lato" w:cs="Lato"/>
          <w:szCs w:val="20"/>
        </w:rPr>
        <w:t>wysokim ryzyku. Zatem,</w:t>
      </w:r>
      <w:r w:rsidR="00E66B89">
        <w:rPr>
          <w:rFonts w:eastAsia="Lato" w:cs="Lato"/>
          <w:szCs w:val="20"/>
        </w:rPr>
        <w:t xml:space="preserve"> o </w:t>
      </w:r>
      <w:r w:rsidRPr="34BACE92">
        <w:rPr>
          <w:rFonts w:eastAsia="Lato" w:cs="Lato"/>
          <w:szCs w:val="20"/>
        </w:rPr>
        <w:t>ile</w:t>
      </w:r>
      <w:r w:rsidR="008B706B">
        <w:rPr>
          <w:rFonts w:eastAsia="Lato" w:cs="Lato"/>
          <w:szCs w:val="20"/>
        </w:rPr>
        <w:t> </w:t>
      </w:r>
      <w:r w:rsidRPr="34BACE92">
        <w:rPr>
          <w:rFonts w:eastAsia="Lato" w:cs="Lato"/>
          <w:szCs w:val="20"/>
        </w:rPr>
        <w:t>dla projektów mających na celu zwiększenie kapitału rzeczowego przedsiębiorców, możliwe</w:t>
      </w:r>
      <w:r w:rsidR="00E66B89">
        <w:rPr>
          <w:rFonts w:eastAsia="Lato" w:cs="Lato"/>
          <w:szCs w:val="20"/>
        </w:rPr>
        <w:t xml:space="preserve"> i </w:t>
      </w:r>
      <w:r w:rsidRPr="34BACE92">
        <w:rPr>
          <w:rFonts w:eastAsia="Lato" w:cs="Lato"/>
          <w:szCs w:val="20"/>
        </w:rPr>
        <w:t>skuteczne jest stosowanie instrumentów finansowych zwrotnych,</w:t>
      </w:r>
      <w:r w:rsidR="00E66B89">
        <w:rPr>
          <w:rFonts w:eastAsia="Lato" w:cs="Lato"/>
          <w:szCs w:val="20"/>
        </w:rPr>
        <w:t xml:space="preserve"> o </w:t>
      </w:r>
      <w:r w:rsidRPr="34BACE92">
        <w:rPr>
          <w:rFonts w:eastAsia="Lato" w:cs="Lato"/>
          <w:szCs w:val="20"/>
        </w:rPr>
        <w:t>tyle</w:t>
      </w:r>
      <w:r w:rsidR="00E66B89">
        <w:rPr>
          <w:rFonts w:eastAsia="Lato" w:cs="Lato"/>
          <w:szCs w:val="20"/>
        </w:rPr>
        <w:t xml:space="preserve"> w </w:t>
      </w:r>
      <w:r w:rsidRPr="34BACE92">
        <w:rPr>
          <w:rFonts w:eastAsia="Lato" w:cs="Lato"/>
          <w:szCs w:val="20"/>
        </w:rPr>
        <w:t>przypadku działań inwestycyjnych</w:t>
      </w:r>
      <w:r w:rsidR="00E66B89">
        <w:rPr>
          <w:rFonts w:eastAsia="Lato" w:cs="Lato"/>
          <w:szCs w:val="20"/>
        </w:rPr>
        <w:t xml:space="preserve"> o </w:t>
      </w:r>
      <w:r w:rsidRPr="34BACE92">
        <w:rPr>
          <w:rFonts w:eastAsia="Lato" w:cs="Lato"/>
          <w:szCs w:val="20"/>
        </w:rPr>
        <w:t>wysokim stopniu ryzyka (np. inwestycje</w:t>
      </w:r>
      <w:r w:rsidR="00E66B89">
        <w:rPr>
          <w:rFonts w:eastAsia="Lato" w:cs="Lato"/>
          <w:szCs w:val="20"/>
        </w:rPr>
        <w:t xml:space="preserve"> w </w:t>
      </w:r>
      <w:r w:rsidRPr="34BACE92">
        <w:rPr>
          <w:rFonts w:eastAsia="Lato" w:cs="Lato"/>
          <w:szCs w:val="20"/>
        </w:rPr>
        <w:t>endogeniczną innowację lub zakup innowacyjnych rozwiązań) lepszym rozwiązaniem będą instrumenty finansowe bezzwrotne</w:t>
      </w:r>
      <w:r w:rsidR="00E66B89">
        <w:rPr>
          <w:rFonts w:eastAsia="Lato" w:cs="Lato"/>
          <w:szCs w:val="20"/>
        </w:rPr>
        <w:t xml:space="preserve"> o </w:t>
      </w:r>
      <w:r w:rsidRPr="34BACE92">
        <w:rPr>
          <w:rFonts w:eastAsia="Lato" w:cs="Lato"/>
          <w:szCs w:val="20"/>
        </w:rPr>
        <w:t>niskim lub zerowym wkładzie własnym. Należy pamiętać, że generalnie im mniejsze</w:t>
      </w:r>
      <w:r w:rsidR="00E66B89">
        <w:rPr>
          <w:rFonts w:eastAsia="Lato" w:cs="Lato"/>
          <w:szCs w:val="20"/>
        </w:rPr>
        <w:t xml:space="preserve"> i </w:t>
      </w:r>
      <w:r w:rsidRPr="34BACE92">
        <w:rPr>
          <w:rFonts w:eastAsia="Lato" w:cs="Lato"/>
          <w:szCs w:val="20"/>
        </w:rPr>
        <w:t>nowsze przedsiębiorstwo, tym mniejszy jest potencjał finansowy</w:t>
      </w:r>
      <w:r w:rsidR="00E66B89">
        <w:rPr>
          <w:rFonts w:eastAsia="Lato" w:cs="Lato"/>
          <w:szCs w:val="20"/>
        </w:rPr>
        <w:t xml:space="preserve"> i </w:t>
      </w:r>
      <w:r w:rsidRPr="34BACE92">
        <w:rPr>
          <w:rFonts w:eastAsia="Lato" w:cs="Lato"/>
          <w:szCs w:val="20"/>
        </w:rPr>
        <w:t>tym większa awersja do ryzyka.</w:t>
      </w:r>
    </w:p>
    <w:p w14:paraId="796ECBAD" w14:textId="77777777" w:rsidR="00CA74F5" w:rsidRDefault="00CA74F5" w:rsidP="00CA74F5">
      <w:pPr>
        <w:rPr>
          <w:i/>
          <w:color w:val="4F81BD"/>
        </w:rPr>
      </w:pPr>
      <w:r>
        <w:rPr>
          <w:i/>
          <w:color w:val="4F81BD"/>
        </w:rPr>
        <w:t>Skuteczność systemu zarządzania</w:t>
      </w:r>
      <w:r w:rsidR="00E66B89">
        <w:rPr>
          <w:i/>
          <w:color w:val="4F81BD"/>
        </w:rPr>
        <w:t xml:space="preserve"> i </w:t>
      </w:r>
      <w:r>
        <w:rPr>
          <w:i/>
          <w:color w:val="4F81BD"/>
        </w:rPr>
        <w:t>wdrażania RPO WZ 2014-2020</w:t>
      </w:r>
    </w:p>
    <w:p w14:paraId="2A8894C0" w14:textId="77777777" w:rsidR="00CA74F5" w:rsidRPr="00A441AE" w:rsidRDefault="00CA74F5" w:rsidP="00CA74F5">
      <w:pPr>
        <w:rPr>
          <w:rFonts w:cs="Arial"/>
          <w:color w:val="000000"/>
          <w:szCs w:val="20"/>
          <w:shd w:val="clear" w:color="auto" w:fill="FFFFFF"/>
        </w:rPr>
      </w:pPr>
      <w:r w:rsidRPr="00A441AE">
        <w:rPr>
          <w:rFonts w:cs="Arial"/>
          <w:color w:val="000000"/>
          <w:szCs w:val="20"/>
          <w:shd w:val="clear" w:color="auto" w:fill="FFFFFF"/>
        </w:rPr>
        <w:t>We wdrażaniu RPO WZ 2014-2020 uczestniczy Instytucja Zarządzająca (IZ) tj. Urząd Marszałkowski Województwa Zachodniopomorskiego oraz Instytucje Pośredniczące (IP): WUP Szczecin (</w:t>
      </w:r>
      <w:r w:rsidR="00916B61" w:rsidRPr="00916B61">
        <w:rPr>
          <w:rFonts w:cs="Arial"/>
          <w:color w:val="000000"/>
          <w:szCs w:val="20"/>
          <w:shd w:val="clear" w:color="auto" w:fill="FFFFFF"/>
        </w:rPr>
        <w:t xml:space="preserve">odpowiedzialny za wdrażanie </w:t>
      </w:r>
      <w:r w:rsidRPr="00A441AE">
        <w:rPr>
          <w:rFonts w:cs="Arial"/>
          <w:color w:val="000000"/>
          <w:szCs w:val="20"/>
          <w:shd w:val="clear" w:color="auto" w:fill="FFFFFF"/>
        </w:rPr>
        <w:t>EFS</w:t>
      </w:r>
      <w:r w:rsidR="00E66B89">
        <w:rPr>
          <w:rFonts w:cs="Arial"/>
          <w:color w:val="000000"/>
          <w:szCs w:val="20"/>
          <w:shd w:val="clear" w:color="auto" w:fill="FFFFFF"/>
        </w:rPr>
        <w:t xml:space="preserve"> w </w:t>
      </w:r>
      <w:r w:rsidR="00916B61" w:rsidRPr="002206E0">
        <w:t>ramach RPO WZ 2014-2020</w:t>
      </w:r>
      <w:r w:rsidRPr="00A441AE">
        <w:rPr>
          <w:rFonts w:cs="Arial"/>
          <w:color w:val="000000"/>
          <w:szCs w:val="20"/>
          <w:shd w:val="clear" w:color="auto" w:fill="FFFFFF"/>
        </w:rPr>
        <w:t>), Wydział Wdrażania Działań Środowiskowych RPO (WWŚRPO),</w:t>
      </w:r>
      <w:r w:rsidR="00E66B89">
        <w:rPr>
          <w:rFonts w:cs="Arial"/>
          <w:color w:val="000000"/>
          <w:szCs w:val="20"/>
          <w:shd w:val="clear" w:color="auto" w:fill="FFFFFF"/>
        </w:rPr>
        <w:t xml:space="preserve"> a </w:t>
      </w:r>
      <w:r w:rsidRPr="00A441AE">
        <w:rPr>
          <w:rFonts w:cs="Arial"/>
          <w:color w:val="000000"/>
          <w:szCs w:val="20"/>
          <w:shd w:val="clear" w:color="auto" w:fill="FFFFFF"/>
        </w:rPr>
        <w:t>także dwie instytucje uczestniczące we wdrażaniu wsparcia</w:t>
      </w:r>
      <w:r w:rsidR="00E66B89">
        <w:rPr>
          <w:rFonts w:cs="Arial"/>
          <w:color w:val="000000"/>
          <w:szCs w:val="20"/>
          <w:shd w:val="clear" w:color="auto" w:fill="FFFFFF"/>
        </w:rPr>
        <w:t xml:space="preserve"> w </w:t>
      </w:r>
      <w:r w:rsidRPr="00A441AE">
        <w:rPr>
          <w:rFonts w:cs="Arial"/>
          <w:color w:val="000000"/>
          <w:szCs w:val="20"/>
          <w:shd w:val="clear" w:color="auto" w:fill="FFFFFF"/>
        </w:rPr>
        <w:t>ramach ZIT: Koszalińsko-Kołobrzesko-Białogardzki Obszar Funkcjonalny oraz Stowarzyszenie Szczecińskiego Obszaru Metropolitalnego. Instytucje te</w:t>
      </w:r>
      <w:r w:rsidR="00E66B89">
        <w:rPr>
          <w:rFonts w:cs="Arial"/>
          <w:color w:val="000000"/>
          <w:szCs w:val="20"/>
          <w:shd w:val="clear" w:color="auto" w:fill="FFFFFF"/>
        </w:rPr>
        <w:t xml:space="preserve"> w </w:t>
      </w:r>
      <w:r w:rsidRPr="00A441AE">
        <w:rPr>
          <w:rFonts w:cs="Arial"/>
          <w:color w:val="000000"/>
          <w:szCs w:val="20"/>
          <w:shd w:val="clear" w:color="auto" w:fill="FFFFFF"/>
        </w:rPr>
        <w:t>ramach swoich obowiązków są odpowiedzialne m.in. za: wybór projektów do dofinansowania (biorąc pod uwagę cały proces od ogłoszenia konkursu naboru do rozliczenia</w:t>
      </w:r>
      <w:r w:rsidR="00E66B89">
        <w:rPr>
          <w:rFonts w:cs="Arial"/>
          <w:color w:val="000000"/>
          <w:szCs w:val="20"/>
          <w:shd w:val="clear" w:color="auto" w:fill="FFFFFF"/>
        </w:rPr>
        <w:t xml:space="preserve"> i </w:t>
      </w:r>
      <w:r w:rsidRPr="00A441AE">
        <w:rPr>
          <w:rFonts w:cs="Arial"/>
          <w:color w:val="000000"/>
          <w:szCs w:val="20"/>
          <w:shd w:val="clear" w:color="auto" w:fill="FFFFFF"/>
        </w:rPr>
        <w:t>kontroli projektów), prowadzenie monitoringu danych RPO WZ,</w:t>
      </w:r>
      <w:r w:rsidR="00E66B89">
        <w:rPr>
          <w:rFonts w:cs="Arial"/>
          <w:color w:val="000000"/>
          <w:szCs w:val="20"/>
          <w:shd w:val="clear" w:color="auto" w:fill="FFFFFF"/>
        </w:rPr>
        <w:t xml:space="preserve"> w </w:t>
      </w:r>
      <w:r w:rsidRPr="00A441AE">
        <w:rPr>
          <w:rFonts w:cs="Arial"/>
          <w:color w:val="000000"/>
          <w:szCs w:val="20"/>
          <w:shd w:val="clear" w:color="auto" w:fill="FFFFFF"/>
        </w:rPr>
        <w:t>tym Ram Wykonania, prowadzenie działań informacyjno-promocyjnych</w:t>
      </w:r>
      <w:r w:rsidR="00E66B89">
        <w:rPr>
          <w:rFonts w:cs="Arial"/>
          <w:color w:val="000000"/>
          <w:szCs w:val="20"/>
          <w:shd w:val="clear" w:color="auto" w:fill="FFFFFF"/>
        </w:rPr>
        <w:t xml:space="preserve"> i </w:t>
      </w:r>
      <w:r w:rsidRPr="00A441AE">
        <w:rPr>
          <w:rFonts w:cs="Arial"/>
          <w:color w:val="000000"/>
          <w:szCs w:val="20"/>
          <w:shd w:val="clear" w:color="auto" w:fill="FFFFFF"/>
        </w:rPr>
        <w:t>szkoleniowych</w:t>
      </w:r>
      <w:r w:rsidR="00E66B89">
        <w:rPr>
          <w:rFonts w:cs="Arial"/>
          <w:color w:val="000000"/>
          <w:szCs w:val="20"/>
          <w:shd w:val="clear" w:color="auto" w:fill="FFFFFF"/>
        </w:rPr>
        <w:t xml:space="preserve"> w </w:t>
      </w:r>
      <w:r w:rsidRPr="00A441AE">
        <w:rPr>
          <w:rFonts w:cs="Arial"/>
          <w:color w:val="000000"/>
          <w:szCs w:val="20"/>
          <w:shd w:val="clear" w:color="auto" w:fill="FFFFFF"/>
        </w:rPr>
        <w:t>zakresie RPO WZ oraz koordynację całego systemu.</w:t>
      </w:r>
    </w:p>
    <w:p w14:paraId="54BF489D" w14:textId="77777777" w:rsidR="00CA74F5" w:rsidRPr="00A441AE" w:rsidRDefault="00CA74F5" w:rsidP="00CA74F5">
      <w:pPr>
        <w:rPr>
          <w:rFonts w:cs="Arial"/>
          <w:color w:val="000000"/>
          <w:szCs w:val="20"/>
          <w:shd w:val="clear" w:color="auto" w:fill="FFFFFF"/>
        </w:rPr>
      </w:pPr>
      <w:r w:rsidRPr="00A441AE">
        <w:rPr>
          <w:rFonts w:cs="Arial"/>
          <w:color w:val="000000"/>
          <w:szCs w:val="20"/>
          <w:shd w:val="clear" w:color="auto" w:fill="FFFFFF"/>
        </w:rPr>
        <w:t>Działania podejmowane</w:t>
      </w:r>
      <w:r w:rsidR="00E66B89">
        <w:rPr>
          <w:rFonts w:cs="Arial"/>
          <w:color w:val="000000"/>
          <w:szCs w:val="20"/>
          <w:shd w:val="clear" w:color="auto" w:fill="FFFFFF"/>
        </w:rPr>
        <w:t xml:space="preserve"> w </w:t>
      </w:r>
      <w:r w:rsidRPr="00A441AE">
        <w:rPr>
          <w:rFonts w:cs="Arial"/>
          <w:color w:val="000000"/>
          <w:szCs w:val="20"/>
          <w:shd w:val="clear" w:color="auto" w:fill="FFFFFF"/>
        </w:rPr>
        <w:t>ramach systemu instytucjonalnego skutecznie wspierają realizację RPO WZ. Świadczy</w:t>
      </w:r>
      <w:r w:rsidR="00E66B89">
        <w:rPr>
          <w:rFonts w:cs="Arial"/>
          <w:color w:val="000000"/>
          <w:szCs w:val="20"/>
          <w:shd w:val="clear" w:color="auto" w:fill="FFFFFF"/>
        </w:rPr>
        <w:t xml:space="preserve"> o </w:t>
      </w:r>
      <w:r w:rsidRPr="00A441AE">
        <w:rPr>
          <w:rFonts w:cs="Arial"/>
          <w:color w:val="000000"/>
          <w:szCs w:val="20"/>
          <w:shd w:val="clear" w:color="auto" w:fill="FFFFFF"/>
        </w:rPr>
        <w:t>tym wysoki poziom osiągnięcia wskaźników Ram Wykonania.</w:t>
      </w:r>
      <w:r w:rsidR="00E66B89">
        <w:rPr>
          <w:rFonts w:cs="Arial"/>
          <w:color w:val="000000"/>
          <w:szCs w:val="20"/>
          <w:shd w:val="clear" w:color="auto" w:fill="FFFFFF"/>
        </w:rPr>
        <w:t xml:space="preserve"> W </w:t>
      </w:r>
      <w:r w:rsidRPr="00A441AE">
        <w:rPr>
          <w:rFonts w:cs="Arial"/>
          <w:color w:val="000000"/>
          <w:szCs w:val="20"/>
          <w:shd w:val="clear" w:color="auto" w:fill="FFFFFF"/>
        </w:rPr>
        <w:t>trakcie dotychczasowego wdrażania Programu pojawiały się zagrożenia nieosiągnięcia wartości docelowych wskaźników, jednak IZ</w:t>
      </w:r>
      <w:r w:rsidR="00E66B89">
        <w:rPr>
          <w:rFonts w:cs="Arial"/>
          <w:color w:val="000000"/>
          <w:szCs w:val="20"/>
          <w:shd w:val="clear" w:color="auto" w:fill="FFFFFF"/>
        </w:rPr>
        <w:t xml:space="preserve"> i </w:t>
      </w:r>
      <w:r w:rsidRPr="00A441AE">
        <w:rPr>
          <w:rFonts w:cs="Arial"/>
          <w:color w:val="000000"/>
          <w:szCs w:val="20"/>
          <w:shd w:val="clear" w:color="auto" w:fill="FFFFFF"/>
        </w:rPr>
        <w:t>IP podejmowały środki zaradcze</w:t>
      </w:r>
      <w:r w:rsidR="00E66B89">
        <w:rPr>
          <w:rFonts w:cs="Arial"/>
          <w:color w:val="000000"/>
          <w:szCs w:val="20"/>
          <w:shd w:val="clear" w:color="auto" w:fill="FFFFFF"/>
        </w:rPr>
        <w:t xml:space="preserve"> w </w:t>
      </w:r>
      <w:r w:rsidRPr="00A441AE">
        <w:rPr>
          <w:rFonts w:cs="Arial"/>
          <w:color w:val="000000"/>
          <w:szCs w:val="20"/>
          <w:shd w:val="clear" w:color="auto" w:fill="FFFFFF"/>
        </w:rPr>
        <w:t>celu wyeliminowania tych ryzyk. Trudności jakie zidentyfikowano związane były często</w:t>
      </w:r>
      <w:r w:rsidR="00E66B89">
        <w:rPr>
          <w:rFonts w:cs="Arial"/>
          <w:color w:val="000000"/>
          <w:szCs w:val="20"/>
          <w:shd w:val="clear" w:color="auto" w:fill="FFFFFF"/>
        </w:rPr>
        <w:t xml:space="preserve"> z </w:t>
      </w:r>
      <w:r w:rsidRPr="00A441AE">
        <w:rPr>
          <w:rFonts w:cs="Arial"/>
          <w:color w:val="000000"/>
          <w:szCs w:val="20"/>
          <w:shd w:val="clear" w:color="auto" w:fill="FFFFFF"/>
        </w:rPr>
        <w:t>małym zainteresowaniem wnioskodawców aplikowaniem</w:t>
      </w:r>
      <w:r w:rsidR="00E66B89">
        <w:rPr>
          <w:rFonts w:cs="Arial"/>
          <w:color w:val="000000"/>
          <w:szCs w:val="20"/>
          <w:shd w:val="clear" w:color="auto" w:fill="FFFFFF"/>
        </w:rPr>
        <w:t xml:space="preserve"> o </w:t>
      </w:r>
      <w:r w:rsidRPr="00A441AE">
        <w:rPr>
          <w:rFonts w:cs="Arial"/>
          <w:color w:val="000000"/>
          <w:szCs w:val="20"/>
          <w:shd w:val="clear" w:color="auto" w:fill="FFFFFF"/>
        </w:rPr>
        <w:t>środki</w:t>
      </w:r>
      <w:r w:rsidR="00E66B89">
        <w:rPr>
          <w:rFonts w:cs="Arial"/>
          <w:color w:val="000000"/>
          <w:szCs w:val="20"/>
          <w:shd w:val="clear" w:color="auto" w:fill="FFFFFF"/>
        </w:rPr>
        <w:t xml:space="preserve"> z </w:t>
      </w:r>
      <w:r w:rsidRPr="00A441AE">
        <w:rPr>
          <w:rFonts w:cs="Arial"/>
          <w:color w:val="000000"/>
          <w:szCs w:val="20"/>
          <w:shd w:val="clear" w:color="auto" w:fill="FFFFFF"/>
        </w:rPr>
        <w:t>niektórych działań RPO WZ 2014-2020. IZ</w:t>
      </w:r>
      <w:r w:rsidR="00E66B89">
        <w:rPr>
          <w:rFonts w:cs="Arial"/>
          <w:color w:val="000000"/>
          <w:szCs w:val="20"/>
          <w:shd w:val="clear" w:color="auto" w:fill="FFFFFF"/>
        </w:rPr>
        <w:t xml:space="preserve"> i </w:t>
      </w:r>
      <w:r w:rsidRPr="00A441AE">
        <w:rPr>
          <w:rFonts w:cs="Arial"/>
          <w:color w:val="000000"/>
          <w:szCs w:val="20"/>
          <w:shd w:val="clear" w:color="auto" w:fill="FFFFFF"/>
        </w:rPr>
        <w:t>IP podejmowały wówczas działa</w:t>
      </w:r>
      <w:r w:rsidR="0044756A">
        <w:rPr>
          <w:rFonts w:cs="Arial"/>
          <w:color w:val="000000"/>
          <w:szCs w:val="20"/>
          <w:shd w:val="clear" w:color="auto" w:fill="FFFFFF"/>
        </w:rPr>
        <w:t>nia</w:t>
      </w:r>
      <w:r w:rsidRPr="00A441AE">
        <w:rPr>
          <w:rFonts w:cs="Arial"/>
          <w:color w:val="000000"/>
          <w:szCs w:val="20"/>
          <w:shd w:val="clear" w:color="auto" w:fill="FFFFFF"/>
        </w:rPr>
        <w:t xml:space="preserve"> mające na celu zwiększenie liczby wnioskujących podmiotów: spotkania, konsultacje mailowe</w:t>
      </w:r>
      <w:r w:rsidR="00E66B89">
        <w:rPr>
          <w:rFonts w:cs="Arial"/>
          <w:color w:val="000000"/>
          <w:szCs w:val="20"/>
          <w:shd w:val="clear" w:color="auto" w:fill="FFFFFF"/>
        </w:rPr>
        <w:t xml:space="preserve"> i </w:t>
      </w:r>
      <w:r w:rsidRPr="00A441AE">
        <w:rPr>
          <w:rFonts w:cs="Arial"/>
          <w:color w:val="000000"/>
          <w:szCs w:val="20"/>
          <w:shd w:val="clear" w:color="auto" w:fill="FFFFFF"/>
        </w:rPr>
        <w:t>telefoniczne, szkolenia dla potencjalnych wnioskodawców, ogłaszanie dodatkowych naborów lub wydłużanie trwających.</w:t>
      </w:r>
      <w:r w:rsidR="00E66B89">
        <w:rPr>
          <w:rFonts w:cs="Arial"/>
          <w:color w:val="000000"/>
          <w:szCs w:val="20"/>
          <w:shd w:val="clear" w:color="auto" w:fill="FFFFFF"/>
        </w:rPr>
        <w:t xml:space="preserve"> W </w:t>
      </w:r>
      <w:r w:rsidRPr="00A441AE">
        <w:rPr>
          <w:rFonts w:cs="Arial"/>
          <w:color w:val="000000"/>
          <w:szCs w:val="20"/>
          <w:shd w:val="clear" w:color="auto" w:fill="FFFFFF"/>
        </w:rPr>
        <w:t>razie potrzeb podejmowano także konsultacje</w:t>
      </w:r>
      <w:r w:rsidR="00E66B89">
        <w:rPr>
          <w:rFonts w:cs="Arial"/>
          <w:color w:val="000000"/>
          <w:szCs w:val="20"/>
          <w:shd w:val="clear" w:color="auto" w:fill="FFFFFF"/>
        </w:rPr>
        <w:t xml:space="preserve"> z </w:t>
      </w:r>
      <w:r w:rsidRPr="00A441AE">
        <w:rPr>
          <w:rFonts w:cs="Arial"/>
          <w:color w:val="000000"/>
          <w:szCs w:val="20"/>
          <w:shd w:val="clear" w:color="auto" w:fill="FFFFFF"/>
        </w:rPr>
        <w:t>przedstawicielami MIiR</w:t>
      </w:r>
      <w:r w:rsidR="00E66B89">
        <w:rPr>
          <w:rFonts w:cs="Arial"/>
          <w:color w:val="000000"/>
          <w:szCs w:val="20"/>
          <w:shd w:val="clear" w:color="auto" w:fill="FFFFFF"/>
        </w:rPr>
        <w:t xml:space="preserve"> i </w:t>
      </w:r>
      <w:r w:rsidRPr="00A441AE">
        <w:rPr>
          <w:rFonts w:cs="Arial"/>
          <w:color w:val="000000"/>
          <w:szCs w:val="20"/>
          <w:shd w:val="clear" w:color="auto" w:fill="FFFFFF"/>
        </w:rPr>
        <w:t>KE mające na celu wypracowanie potrzebnych zmian. Działania jakie zastosowano</w:t>
      </w:r>
      <w:r w:rsidR="00E66B89">
        <w:rPr>
          <w:rFonts w:cs="Arial"/>
          <w:color w:val="000000"/>
          <w:szCs w:val="20"/>
          <w:shd w:val="clear" w:color="auto" w:fill="FFFFFF"/>
        </w:rPr>
        <w:t xml:space="preserve"> w </w:t>
      </w:r>
      <w:r w:rsidRPr="00A441AE">
        <w:rPr>
          <w:rFonts w:cs="Arial"/>
          <w:color w:val="000000"/>
          <w:szCs w:val="20"/>
          <w:shd w:val="clear" w:color="auto" w:fill="FFFFFF"/>
        </w:rPr>
        <w:t>systemie wdrażania były adekwatne do występujących problemów. Analiza stanu realizacji projektów oraz przewidywanej liczby projektów, które zakończą się</w:t>
      </w:r>
      <w:r w:rsidR="00E66B89">
        <w:rPr>
          <w:rFonts w:cs="Arial"/>
          <w:color w:val="000000"/>
          <w:szCs w:val="20"/>
          <w:shd w:val="clear" w:color="auto" w:fill="FFFFFF"/>
        </w:rPr>
        <w:t xml:space="preserve"> w </w:t>
      </w:r>
      <w:r w:rsidRPr="00A441AE">
        <w:rPr>
          <w:rFonts w:cs="Arial"/>
          <w:color w:val="000000"/>
          <w:szCs w:val="20"/>
          <w:shd w:val="clear" w:color="auto" w:fill="FFFFFF"/>
        </w:rPr>
        <w:t>kolejnych latach obecnej perspektywy finansowej wskazuje, że instytucje zaangażowane we wdrażanie RPO WZ 2014-2020 są gotowe na przyjęcie ewentualnych dodatkowych zobowiązań wynikających</w:t>
      </w:r>
      <w:r w:rsidR="00E66B89">
        <w:rPr>
          <w:rFonts w:cs="Arial"/>
          <w:color w:val="000000"/>
          <w:szCs w:val="20"/>
          <w:shd w:val="clear" w:color="auto" w:fill="FFFFFF"/>
        </w:rPr>
        <w:t xml:space="preserve"> z </w:t>
      </w:r>
      <w:r w:rsidRPr="00A441AE">
        <w:rPr>
          <w:rFonts w:cs="Arial"/>
          <w:color w:val="000000"/>
          <w:szCs w:val="20"/>
          <w:shd w:val="clear" w:color="auto" w:fill="FFFFFF"/>
        </w:rPr>
        <w:t>przyznania dodatkowych środków. Większość obecnie realizowanych projektów, które są głównym czynnikiem obciążenia pracowników, zakończy się</w:t>
      </w:r>
      <w:r w:rsidR="00E66B89">
        <w:rPr>
          <w:rFonts w:cs="Arial"/>
          <w:color w:val="000000"/>
          <w:szCs w:val="20"/>
          <w:shd w:val="clear" w:color="auto" w:fill="FFFFFF"/>
        </w:rPr>
        <w:t xml:space="preserve"> w </w:t>
      </w:r>
      <w:r w:rsidRPr="00A441AE">
        <w:rPr>
          <w:rFonts w:cs="Arial"/>
          <w:color w:val="000000"/>
          <w:szCs w:val="20"/>
          <w:shd w:val="clear" w:color="auto" w:fill="FFFFFF"/>
        </w:rPr>
        <w:t>roku 2019</w:t>
      </w:r>
      <w:r w:rsidR="00E66B89">
        <w:rPr>
          <w:rFonts w:cs="Arial"/>
          <w:color w:val="000000"/>
          <w:szCs w:val="20"/>
          <w:shd w:val="clear" w:color="auto" w:fill="FFFFFF"/>
        </w:rPr>
        <w:t xml:space="preserve"> i </w:t>
      </w:r>
      <w:r w:rsidRPr="00A441AE">
        <w:rPr>
          <w:rFonts w:cs="Arial"/>
          <w:color w:val="000000"/>
          <w:szCs w:val="20"/>
          <w:shd w:val="clear" w:color="auto" w:fill="FFFFFF"/>
        </w:rPr>
        <w:t>2020,</w:t>
      </w:r>
      <w:r w:rsidR="00E66B89">
        <w:rPr>
          <w:rFonts w:cs="Arial"/>
          <w:color w:val="000000"/>
          <w:szCs w:val="20"/>
          <w:shd w:val="clear" w:color="auto" w:fill="FFFFFF"/>
        </w:rPr>
        <w:t xml:space="preserve"> a </w:t>
      </w:r>
      <w:r w:rsidRPr="00A441AE">
        <w:rPr>
          <w:rFonts w:cs="Arial"/>
          <w:color w:val="000000"/>
          <w:szCs w:val="20"/>
          <w:shd w:val="clear" w:color="auto" w:fill="FFFFFF"/>
        </w:rPr>
        <w:t>liczba nowych projektów, które zostaną wybrane do dofinansowania nie będzie aż tak liczna.</w:t>
      </w:r>
      <w:r w:rsidR="00E66B89">
        <w:rPr>
          <w:rFonts w:cs="Arial"/>
          <w:color w:val="000000"/>
          <w:szCs w:val="20"/>
          <w:shd w:val="clear" w:color="auto" w:fill="FFFFFF"/>
        </w:rPr>
        <w:t xml:space="preserve"> </w:t>
      </w:r>
      <w:r w:rsidR="00E66B89">
        <w:rPr>
          <w:rFonts w:cs="Arial"/>
          <w:color w:val="000000"/>
          <w:szCs w:val="20"/>
          <w:shd w:val="clear" w:color="auto" w:fill="FFFFFF"/>
        </w:rPr>
        <w:lastRenderedPageBreak/>
        <w:t>W </w:t>
      </w:r>
      <w:r w:rsidRPr="00A441AE">
        <w:rPr>
          <w:rFonts w:cs="Arial"/>
          <w:color w:val="000000"/>
          <w:szCs w:val="20"/>
          <w:shd w:val="clear" w:color="auto" w:fill="FFFFFF"/>
        </w:rPr>
        <w:t>związku</w:t>
      </w:r>
      <w:r w:rsidR="00E66B89">
        <w:rPr>
          <w:rFonts w:cs="Arial"/>
          <w:color w:val="000000"/>
          <w:szCs w:val="20"/>
          <w:shd w:val="clear" w:color="auto" w:fill="FFFFFF"/>
        </w:rPr>
        <w:t xml:space="preserve"> z </w:t>
      </w:r>
      <w:r w:rsidRPr="00A441AE">
        <w:rPr>
          <w:rFonts w:cs="Arial"/>
          <w:color w:val="000000"/>
          <w:szCs w:val="20"/>
          <w:shd w:val="clear" w:color="auto" w:fill="FFFFFF"/>
        </w:rPr>
        <w:t xml:space="preserve">tym zasoby, którymi dysponują instytucje obecnie wydają się zapewniać dalszą skuteczną realizację Programu. </w:t>
      </w:r>
    </w:p>
    <w:p w14:paraId="49519816" w14:textId="77777777" w:rsidR="00CA74F5" w:rsidRPr="00A441AE" w:rsidRDefault="00CA74F5" w:rsidP="00CA74F5">
      <w:pPr>
        <w:rPr>
          <w:rFonts w:cs="Arial"/>
          <w:color w:val="000000"/>
          <w:szCs w:val="20"/>
          <w:shd w:val="clear" w:color="auto" w:fill="FFFFFF"/>
        </w:rPr>
      </w:pPr>
      <w:r w:rsidRPr="00A441AE">
        <w:rPr>
          <w:rFonts w:cs="Arial"/>
          <w:color w:val="000000"/>
          <w:szCs w:val="20"/>
          <w:shd w:val="clear" w:color="auto" w:fill="FFFFFF"/>
        </w:rPr>
        <w:t>Usprawnienia jakie mogłyby zostać wdrożone obejmują głównie poprawienie komunikacji wewnątrz IZ (pomiędzy WZS</w:t>
      </w:r>
      <w:r w:rsidR="00E66B89">
        <w:rPr>
          <w:rFonts w:cs="Arial"/>
          <w:color w:val="000000"/>
          <w:szCs w:val="20"/>
          <w:shd w:val="clear" w:color="auto" w:fill="FFFFFF"/>
        </w:rPr>
        <w:t xml:space="preserve"> a </w:t>
      </w:r>
      <w:r w:rsidRPr="00A441AE">
        <w:rPr>
          <w:rFonts w:cs="Arial"/>
          <w:color w:val="000000"/>
          <w:szCs w:val="20"/>
          <w:shd w:val="clear" w:color="auto" w:fill="FFFFFF"/>
        </w:rPr>
        <w:t>WWRPO) oraz między IZ</w:t>
      </w:r>
      <w:r w:rsidR="00E66B89">
        <w:rPr>
          <w:rFonts w:cs="Arial"/>
          <w:color w:val="000000"/>
          <w:szCs w:val="20"/>
          <w:shd w:val="clear" w:color="auto" w:fill="FFFFFF"/>
        </w:rPr>
        <w:t xml:space="preserve"> a </w:t>
      </w:r>
      <w:r w:rsidRPr="00A441AE">
        <w:rPr>
          <w:rFonts w:cs="Arial"/>
          <w:color w:val="000000"/>
          <w:szCs w:val="20"/>
          <w:shd w:val="clear" w:color="auto" w:fill="FFFFFF"/>
        </w:rPr>
        <w:t>poszczególnymi IP. Aby móc zaangażować do wdrażania Programu wykwalifikowaną kadrę warto postawić na szkolenia specjalistyczne</w:t>
      </w:r>
      <w:r w:rsidR="00E66B89">
        <w:rPr>
          <w:rFonts w:cs="Arial"/>
          <w:color w:val="000000"/>
          <w:szCs w:val="20"/>
          <w:shd w:val="clear" w:color="auto" w:fill="FFFFFF"/>
        </w:rPr>
        <w:t xml:space="preserve"> w </w:t>
      </w:r>
      <w:r w:rsidRPr="00A441AE">
        <w:rPr>
          <w:rFonts w:cs="Arial"/>
          <w:color w:val="000000"/>
          <w:szCs w:val="20"/>
          <w:shd w:val="clear" w:color="auto" w:fill="FFFFFF"/>
        </w:rPr>
        <w:t>ramach już posiadanych kadr lub wdroż</w:t>
      </w:r>
      <w:r>
        <w:rPr>
          <w:rFonts w:cs="Arial"/>
          <w:color w:val="000000"/>
          <w:szCs w:val="20"/>
          <w:shd w:val="clear" w:color="auto" w:fill="FFFFFF"/>
        </w:rPr>
        <w:t>yć</w:t>
      </w:r>
      <w:r w:rsidRPr="00A441AE">
        <w:rPr>
          <w:rFonts w:cs="Arial"/>
          <w:color w:val="000000"/>
          <w:szCs w:val="20"/>
          <w:shd w:val="clear" w:color="auto" w:fill="FFFFFF"/>
        </w:rPr>
        <w:t xml:space="preserve"> atrakcyjn</w:t>
      </w:r>
      <w:r>
        <w:rPr>
          <w:rFonts w:cs="Arial"/>
          <w:color w:val="000000"/>
          <w:szCs w:val="20"/>
          <w:shd w:val="clear" w:color="auto" w:fill="FFFFFF"/>
        </w:rPr>
        <w:t>e</w:t>
      </w:r>
      <w:r w:rsidRPr="00A441AE">
        <w:rPr>
          <w:rFonts w:cs="Arial"/>
          <w:color w:val="000000"/>
          <w:szCs w:val="20"/>
          <w:shd w:val="clear" w:color="auto" w:fill="FFFFFF"/>
        </w:rPr>
        <w:t xml:space="preserve"> system</w:t>
      </w:r>
      <w:r>
        <w:rPr>
          <w:rFonts w:cs="Arial"/>
          <w:color w:val="000000"/>
          <w:szCs w:val="20"/>
          <w:shd w:val="clear" w:color="auto" w:fill="FFFFFF"/>
        </w:rPr>
        <w:t>y</w:t>
      </w:r>
      <w:r w:rsidRPr="00A441AE">
        <w:rPr>
          <w:rFonts w:cs="Arial"/>
          <w:color w:val="000000"/>
          <w:szCs w:val="20"/>
          <w:shd w:val="clear" w:color="auto" w:fill="FFFFFF"/>
        </w:rPr>
        <w:t xml:space="preserve"> płacow</w:t>
      </w:r>
      <w:r>
        <w:rPr>
          <w:rFonts w:cs="Arial"/>
          <w:color w:val="000000"/>
          <w:szCs w:val="20"/>
          <w:shd w:val="clear" w:color="auto" w:fill="FFFFFF"/>
        </w:rPr>
        <w:t>e</w:t>
      </w:r>
      <w:r w:rsidR="00E66B89">
        <w:rPr>
          <w:rFonts w:cs="Arial"/>
          <w:color w:val="000000"/>
          <w:szCs w:val="20"/>
          <w:shd w:val="clear" w:color="auto" w:fill="FFFFFF"/>
        </w:rPr>
        <w:t xml:space="preserve"> i </w:t>
      </w:r>
      <w:r w:rsidRPr="00A441AE">
        <w:rPr>
          <w:rFonts w:cs="Arial"/>
          <w:color w:val="000000"/>
          <w:szCs w:val="20"/>
          <w:shd w:val="clear" w:color="auto" w:fill="FFFFFF"/>
        </w:rPr>
        <w:t>pozapłacow</w:t>
      </w:r>
      <w:r>
        <w:rPr>
          <w:rFonts w:cs="Arial"/>
          <w:color w:val="000000"/>
          <w:szCs w:val="20"/>
          <w:shd w:val="clear" w:color="auto" w:fill="FFFFFF"/>
        </w:rPr>
        <w:t>e</w:t>
      </w:r>
      <w:r w:rsidRPr="00A441AE">
        <w:rPr>
          <w:rFonts w:cs="Arial"/>
          <w:color w:val="000000"/>
          <w:szCs w:val="20"/>
          <w:shd w:val="clear" w:color="auto" w:fill="FFFFFF"/>
        </w:rPr>
        <w:t xml:space="preserve"> </w:t>
      </w:r>
      <w:r>
        <w:rPr>
          <w:rFonts w:cs="Arial"/>
          <w:color w:val="000000"/>
          <w:szCs w:val="20"/>
          <w:shd w:val="clear" w:color="auto" w:fill="FFFFFF"/>
        </w:rPr>
        <w:t xml:space="preserve">mogące </w:t>
      </w:r>
      <w:r w:rsidRPr="00A441AE">
        <w:rPr>
          <w:rFonts w:cs="Arial"/>
          <w:color w:val="000000"/>
          <w:szCs w:val="20"/>
          <w:shd w:val="clear" w:color="auto" w:fill="FFFFFF"/>
        </w:rPr>
        <w:t>przyciąg</w:t>
      </w:r>
      <w:r>
        <w:rPr>
          <w:rFonts w:cs="Arial"/>
          <w:color w:val="000000"/>
          <w:szCs w:val="20"/>
          <w:shd w:val="clear" w:color="auto" w:fill="FFFFFF"/>
        </w:rPr>
        <w:t>nąć</w:t>
      </w:r>
      <w:r w:rsidRPr="00A441AE">
        <w:rPr>
          <w:rFonts w:cs="Arial"/>
          <w:color w:val="000000"/>
          <w:szCs w:val="20"/>
          <w:shd w:val="clear" w:color="auto" w:fill="FFFFFF"/>
        </w:rPr>
        <w:t xml:space="preserve"> ekspertów zewnętrznych do instytucji</w:t>
      </w:r>
      <w:r>
        <w:rPr>
          <w:rFonts w:cs="Arial"/>
          <w:color w:val="000000"/>
          <w:szCs w:val="20"/>
          <w:shd w:val="clear" w:color="auto" w:fill="FFFFFF"/>
        </w:rPr>
        <w:t xml:space="preserve"> systemu wdrażania RPO WZ</w:t>
      </w:r>
      <w:r w:rsidRPr="00A441AE">
        <w:rPr>
          <w:rFonts w:cs="Arial"/>
          <w:color w:val="000000"/>
          <w:szCs w:val="20"/>
          <w:shd w:val="clear" w:color="auto" w:fill="FFFFFF"/>
        </w:rPr>
        <w:t>.</w:t>
      </w:r>
    </w:p>
    <w:p w14:paraId="5A4450CB" w14:textId="77777777" w:rsidR="00CA74F5" w:rsidRDefault="00CA74F5" w:rsidP="00CA74F5">
      <w:pPr>
        <w:rPr>
          <w:i/>
          <w:color w:val="4F81BD"/>
        </w:rPr>
      </w:pPr>
      <w:r>
        <w:rPr>
          <w:i/>
          <w:color w:val="4F81BD"/>
        </w:rPr>
        <w:t>Skuteczność realizacji zasad horyzontalnych</w:t>
      </w:r>
      <w:r w:rsidR="00E66B89">
        <w:rPr>
          <w:i/>
          <w:color w:val="4F81BD"/>
        </w:rPr>
        <w:t xml:space="preserve"> w </w:t>
      </w:r>
      <w:r>
        <w:rPr>
          <w:i/>
          <w:color w:val="4F81BD"/>
        </w:rPr>
        <w:t>ramach projektów RPO WZ 2014-2020</w:t>
      </w:r>
    </w:p>
    <w:p w14:paraId="09DC5C8F" w14:textId="77777777" w:rsidR="00CA74F5" w:rsidRPr="00EC72A3" w:rsidRDefault="00CA74F5" w:rsidP="00CA74F5">
      <w:pPr>
        <w:rPr>
          <w:color w:val="4F81BD"/>
          <w:szCs w:val="20"/>
        </w:rPr>
      </w:pPr>
      <w:r>
        <w:rPr>
          <w:rFonts w:cs="Arial"/>
          <w:szCs w:val="20"/>
        </w:rPr>
        <w:t>W ramach RPO WZ 2014-2020 realizacja projektów zgodnie</w:t>
      </w:r>
      <w:r w:rsidR="00E66B89">
        <w:rPr>
          <w:rFonts w:cs="Arial"/>
          <w:szCs w:val="20"/>
        </w:rPr>
        <w:t xml:space="preserve"> z </w:t>
      </w:r>
      <w:r>
        <w:rPr>
          <w:rFonts w:cs="Arial"/>
          <w:szCs w:val="20"/>
        </w:rPr>
        <w:t>logiką interwencji ma</w:t>
      </w:r>
      <w:r w:rsidR="00E66B89">
        <w:rPr>
          <w:rFonts w:cs="Arial"/>
          <w:szCs w:val="20"/>
        </w:rPr>
        <w:t xml:space="preserve"> z </w:t>
      </w:r>
      <w:r>
        <w:rPr>
          <w:rFonts w:cs="Arial"/>
          <w:szCs w:val="20"/>
        </w:rPr>
        <w:t>założenia oddziaływać na realizację zasady zrównoważonego rozwoju, równości szans</w:t>
      </w:r>
      <w:r w:rsidR="00E66B89">
        <w:rPr>
          <w:rFonts w:cs="Arial"/>
          <w:szCs w:val="20"/>
        </w:rPr>
        <w:t xml:space="preserve"> i </w:t>
      </w:r>
      <w:r>
        <w:rPr>
          <w:rFonts w:cs="Arial"/>
          <w:szCs w:val="20"/>
        </w:rPr>
        <w:t xml:space="preserve">niedyskryminacji oraz równości płci. </w:t>
      </w:r>
      <w:r w:rsidRPr="00EC72A3">
        <w:rPr>
          <w:rFonts w:eastAsia="Calibri"/>
          <w:szCs w:val="20"/>
        </w:rPr>
        <w:t>Konieczność spełniania zasad horyzontalnych jest jednym</w:t>
      </w:r>
      <w:r w:rsidR="00E66B89">
        <w:rPr>
          <w:rFonts w:eastAsia="Calibri"/>
          <w:szCs w:val="20"/>
        </w:rPr>
        <w:t xml:space="preserve"> z </w:t>
      </w:r>
      <w:r w:rsidRPr="00EC72A3">
        <w:rPr>
          <w:rFonts w:eastAsia="Calibri"/>
          <w:szCs w:val="20"/>
        </w:rPr>
        <w:t>elementów kryteriów wyboru projektów zarówno</w:t>
      </w:r>
      <w:r w:rsidR="00E66B89">
        <w:rPr>
          <w:rFonts w:eastAsia="Calibri"/>
          <w:szCs w:val="20"/>
        </w:rPr>
        <w:t xml:space="preserve"> w </w:t>
      </w:r>
      <w:r w:rsidRPr="00EC72A3">
        <w:rPr>
          <w:rFonts w:eastAsia="Calibri"/>
          <w:szCs w:val="20"/>
        </w:rPr>
        <w:t>ramach EFS</w:t>
      </w:r>
      <w:r w:rsidR="00E66B89">
        <w:rPr>
          <w:rFonts w:eastAsia="Calibri"/>
          <w:szCs w:val="20"/>
        </w:rPr>
        <w:t xml:space="preserve"> i </w:t>
      </w:r>
      <w:r w:rsidRPr="00EC72A3">
        <w:rPr>
          <w:rFonts w:eastAsia="Calibri"/>
          <w:szCs w:val="20"/>
        </w:rPr>
        <w:t xml:space="preserve">EFRR – element ten stanowi kryterium dopuszczalności. </w:t>
      </w:r>
      <w:r w:rsidRPr="00EC72A3">
        <w:rPr>
          <w:szCs w:val="20"/>
        </w:rPr>
        <w:t>Każdy</w:t>
      </w:r>
      <w:r w:rsidR="00E66B89">
        <w:rPr>
          <w:szCs w:val="20"/>
        </w:rPr>
        <w:t xml:space="preserve"> z </w:t>
      </w:r>
      <w:r w:rsidRPr="00EC72A3">
        <w:rPr>
          <w:szCs w:val="20"/>
        </w:rPr>
        <w:t>funduszy charakteryzuje się nieco inną specyfiką</w:t>
      </w:r>
      <w:r w:rsidR="00E66B89">
        <w:rPr>
          <w:szCs w:val="20"/>
        </w:rPr>
        <w:t xml:space="preserve"> i w </w:t>
      </w:r>
      <w:r w:rsidRPr="00EC72A3">
        <w:rPr>
          <w:szCs w:val="20"/>
        </w:rPr>
        <w:t xml:space="preserve">jego wdrażaniu kładziony jest inny nacisk na realizację poszczególnych zasad horyzontalnych. </w:t>
      </w:r>
      <w:r w:rsidRPr="00EC72A3">
        <w:rPr>
          <w:rFonts w:eastAsia="Calibri"/>
          <w:szCs w:val="20"/>
        </w:rPr>
        <w:t>Wnioskodawcy</w:t>
      </w:r>
      <w:r w:rsidR="00E66B89">
        <w:rPr>
          <w:rFonts w:eastAsia="Calibri"/>
          <w:szCs w:val="20"/>
        </w:rPr>
        <w:t xml:space="preserve"> w </w:t>
      </w:r>
      <w:r w:rsidRPr="00EC72A3">
        <w:rPr>
          <w:rFonts w:eastAsia="Calibri"/>
          <w:szCs w:val="20"/>
        </w:rPr>
        <w:t>ramach ogłoszonych konkursów mieli zapewnione szkolenia</w:t>
      </w:r>
      <w:r w:rsidR="00E66B89">
        <w:rPr>
          <w:rFonts w:eastAsia="Calibri"/>
          <w:szCs w:val="20"/>
        </w:rPr>
        <w:t xml:space="preserve"> i </w:t>
      </w:r>
      <w:r w:rsidRPr="00EC72A3">
        <w:rPr>
          <w:rFonts w:eastAsia="Calibri"/>
          <w:szCs w:val="20"/>
        </w:rPr>
        <w:t>spotkania mające na celu m.in. wyjaśnienie wątpliwości związanych</w:t>
      </w:r>
      <w:r w:rsidR="00E66B89">
        <w:rPr>
          <w:rFonts w:eastAsia="Calibri"/>
          <w:szCs w:val="20"/>
        </w:rPr>
        <w:t xml:space="preserve"> z </w:t>
      </w:r>
      <w:r w:rsidRPr="00EC72A3">
        <w:rPr>
          <w:rFonts w:eastAsia="Calibri"/>
          <w:szCs w:val="20"/>
        </w:rPr>
        <w:t>uwzględnieniem zasad horyzontalnych. Informacje</w:t>
      </w:r>
      <w:r w:rsidR="00E66B89">
        <w:rPr>
          <w:rFonts w:eastAsia="Calibri"/>
          <w:szCs w:val="20"/>
        </w:rPr>
        <w:t xml:space="preserve"> o </w:t>
      </w:r>
      <w:r w:rsidRPr="00EC72A3">
        <w:rPr>
          <w:rFonts w:eastAsia="Calibri"/>
          <w:szCs w:val="20"/>
        </w:rPr>
        <w:t>spotkaniach były publikowane</w:t>
      </w:r>
      <w:r w:rsidR="00E66B89">
        <w:rPr>
          <w:rFonts w:eastAsia="Calibri"/>
          <w:szCs w:val="20"/>
        </w:rPr>
        <w:t xml:space="preserve"> w </w:t>
      </w:r>
      <w:r w:rsidRPr="00EC72A3">
        <w:rPr>
          <w:rFonts w:eastAsia="Calibri"/>
          <w:szCs w:val="20"/>
        </w:rPr>
        <w:t>serwisie RPO WZ (</w:t>
      </w:r>
      <w:hyperlink r:id="rId16" w:history="1">
        <w:r w:rsidRPr="00EC72A3">
          <w:rPr>
            <w:rStyle w:val="Hipercze"/>
            <w:rFonts w:eastAsia="Calibri"/>
            <w:szCs w:val="20"/>
          </w:rPr>
          <w:t>http://www.rpo.wzp.pl</w:t>
        </w:r>
      </w:hyperlink>
      <w:r w:rsidRPr="00EC72A3">
        <w:rPr>
          <w:rFonts w:eastAsia="Calibri"/>
          <w:szCs w:val="20"/>
        </w:rPr>
        <w:t>). S</w:t>
      </w:r>
      <w:r w:rsidRPr="00EC72A3">
        <w:rPr>
          <w:szCs w:val="20"/>
        </w:rPr>
        <w:t>topień realizacji zasad horyzontalnych przez system wdrażania RPO WZ 2014-2020 oceniono pozytywnie. Realizacji zasad horyzontalnych sprzyjają m.in. przyjęte kryteria wyboru projektów uwzględniające powyższe zasady</w:t>
      </w:r>
      <w:r w:rsidR="00E66B89">
        <w:rPr>
          <w:szCs w:val="20"/>
        </w:rPr>
        <w:t xml:space="preserve"> i </w:t>
      </w:r>
      <w:r w:rsidRPr="00EC72A3">
        <w:rPr>
          <w:szCs w:val="20"/>
        </w:rPr>
        <w:t>pozwalające na wybór projektów uwzględniających przede wszystkim zasadę dotyczącą równości szans kobiet</w:t>
      </w:r>
      <w:r w:rsidR="00E66B89">
        <w:rPr>
          <w:szCs w:val="20"/>
        </w:rPr>
        <w:t xml:space="preserve"> i </w:t>
      </w:r>
      <w:r w:rsidRPr="00EC72A3">
        <w:rPr>
          <w:szCs w:val="20"/>
        </w:rPr>
        <w:t>mężczyzn</w:t>
      </w:r>
      <w:r w:rsidR="00E66B89">
        <w:rPr>
          <w:szCs w:val="20"/>
        </w:rPr>
        <w:t xml:space="preserve"> i </w:t>
      </w:r>
      <w:r w:rsidRPr="00EC72A3">
        <w:rPr>
          <w:szCs w:val="20"/>
        </w:rPr>
        <w:t>osób</w:t>
      </w:r>
      <w:r w:rsidR="00E66B89">
        <w:rPr>
          <w:szCs w:val="20"/>
        </w:rPr>
        <w:t xml:space="preserve"> z </w:t>
      </w:r>
      <w:r w:rsidRPr="00EC72A3">
        <w:rPr>
          <w:szCs w:val="20"/>
        </w:rPr>
        <w:t>niepełnosprawnościami, zasadę uniwersalnego projektowania oraz zasadę zrównoważonego rozwoju. K</w:t>
      </w:r>
      <w:r w:rsidRPr="00EC72A3">
        <w:rPr>
          <w:rFonts w:cs="Arial"/>
          <w:szCs w:val="20"/>
        </w:rPr>
        <w:t>westie realizacji zasad horyzontalnych są także przedmiotem oceny</w:t>
      </w:r>
      <w:r w:rsidR="00E66B89">
        <w:rPr>
          <w:rFonts w:cs="Arial"/>
          <w:szCs w:val="20"/>
        </w:rPr>
        <w:t xml:space="preserve"> w </w:t>
      </w:r>
      <w:r w:rsidRPr="00EC72A3">
        <w:rPr>
          <w:rFonts w:cs="Arial"/>
          <w:szCs w:val="20"/>
        </w:rPr>
        <w:t>trakcie realizacji projektu</w:t>
      </w:r>
      <w:r w:rsidR="00E66B89">
        <w:rPr>
          <w:rFonts w:cs="Arial"/>
          <w:szCs w:val="20"/>
        </w:rPr>
        <w:t xml:space="preserve"> i </w:t>
      </w:r>
      <w:r w:rsidRPr="00EC72A3">
        <w:rPr>
          <w:rFonts w:cs="Arial"/>
          <w:szCs w:val="20"/>
        </w:rPr>
        <w:t>po jego zakończeniu. Realizacja projektów zgodnie</w:t>
      </w:r>
      <w:r w:rsidR="00E66B89">
        <w:rPr>
          <w:rFonts w:cs="Arial"/>
          <w:szCs w:val="20"/>
        </w:rPr>
        <w:t xml:space="preserve"> z </w:t>
      </w:r>
      <w:r w:rsidRPr="00EC72A3">
        <w:rPr>
          <w:rFonts w:cs="Arial"/>
          <w:szCs w:val="20"/>
        </w:rPr>
        <w:t>politykami horyzontalnymi przebiega bez większych trudności.</w:t>
      </w:r>
    </w:p>
    <w:p w14:paraId="65D78122" w14:textId="77777777" w:rsidR="00CA74F5" w:rsidRPr="00DB79E1" w:rsidRDefault="00CA74F5" w:rsidP="00CA74F5">
      <w:pPr>
        <w:rPr>
          <w:i/>
          <w:color w:val="4F81BD"/>
        </w:rPr>
      </w:pPr>
      <w:r>
        <w:rPr>
          <w:i/>
          <w:color w:val="4F81BD"/>
        </w:rPr>
        <w:t>Wkład RPO WZ 2014-2020</w:t>
      </w:r>
      <w:r w:rsidR="00E66B89">
        <w:rPr>
          <w:i/>
          <w:color w:val="4F81BD"/>
        </w:rPr>
        <w:t xml:space="preserve"> w </w:t>
      </w:r>
      <w:r>
        <w:rPr>
          <w:i/>
          <w:color w:val="4F81BD"/>
        </w:rPr>
        <w:t>osiąganie celów Strategii Europa 2020</w:t>
      </w:r>
    </w:p>
    <w:p w14:paraId="1781F57B" w14:textId="77777777" w:rsidR="005D4915" w:rsidRPr="00801DB4" w:rsidRDefault="00CA74F5" w:rsidP="005D4915">
      <w:pPr>
        <w:rPr>
          <w:szCs w:val="20"/>
        </w:rPr>
      </w:pPr>
      <w:r w:rsidRPr="00853004">
        <w:rPr>
          <w:szCs w:val="20"/>
        </w:rPr>
        <w:t>Wsparcie udzielone</w:t>
      </w:r>
      <w:r w:rsidR="00E66B89">
        <w:rPr>
          <w:szCs w:val="20"/>
        </w:rPr>
        <w:t xml:space="preserve"> w </w:t>
      </w:r>
      <w:r w:rsidRPr="00853004">
        <w:rPr>
          <w:szCs w:val="20"/>
        </w:rPr>
        <w:t>ramach osi priorytetowych RPO WZ ma dwojaki wpływ na realizację celów Strategii Europa 2020: bezpośredni</w:t>
      </w:r>
      <w:r w:rsidR="00E66B89">
        <w:rPr>
          <w:szCs w:val="20"/>
        </w:rPr>
        <w:t xml:space="preserve"> i </w:t>
      </w:r>
      <w:r w:rsidRPr="00853004">
        <w:rPr>
          <w:szCs w:val="20"/>
        </w:rPr>
        <w:t>pośredni.</w:t>
      </w:r>
      <w:r w:rsidR="00E66B89">
        <w:rPr>
          <w:szCs w:val="20"/>
        </w:rPr>
        <w:t xml:space="preserve"> Z </w:t>
      </w:r>
      <w:r w:rsidRPr="00853004">
        <w:rPr>
          <w:szCs w:val="20"/>
        </w:rPr>
        <w:t>uwagi na dostępność danych, analiza ilościowa dotyczy tylko oddziaływania bezpośredniego. Przy takim założeniu, realizacja celów Strategii</w:t>
      </w:r>
      <w:r w:rsidR="00E66B89">
        <w:rPr>
          <w:szCs w:val="20"/>
        </w:rPr>
        <w:t xml:space="preserve"> w </w:t>
      </w:r>
      <w:r w:rsidRPr="00853004">
        <w:rPr>
          <w:szCs w:val="20"/>
        </w:rPr>
        <w:t>perspektywie 2020/2023 jest prawdopodobna</w:t>
      </w:r>
      <w:r w:rsidR="00E66B89">
        <w:rPr>
          <w:szCs w:val="20"/>
        </w:rPr>
        <w:t xml:space="preserve"> w </w:t>
      </w:r>
      <w:r w:rsidRPr="00853004">
        <w:rPr>
          <w:szCs w:val="20"/>
        </w:rPr>
        <w:t>odniesieniu do wskaźnika zatrudnienia, wykształcenia wyższego</w:t>
      </w:r>
      <w:r w:rsidR="00E66B89">
        <w:rPr>
          <w:szCs w:val="20"/>
        </w:rPr>
        <w:t xml:space="preserve"> u </w:t>
      </w:r>
      <w:r w:rsidRPr="00853004">
        <w:rPr>
          <w:szCs w:val="20"/>
        </w:rPr>
        <w:t>osób</w:t>
      </w:r>
      <w:r w:rsidR="00E66B89">
        <w:rPr>
          <w:szCs w:val="20"/>
        </w:rPr>
        <w:t xml:space="preserve"> w </w:t>
      </w:r>
      <w:r w:rsidR="0044756A">
        <w:rPr>
          <w:szCs w:val="20"/>
        </w:rPr>
        <w:t xml:space="preserve">wieku </w:t>
      </w:r>
      <w:r w:rsidRPr="00853004">
        <w:rPr>
          <w:szCs w:val="20"/>
        </w:rPr>
        <w:t>30-34</w:t>
      </w:r>
      <w:r w:rsidR="0044756A">
        <w:rPr>
          <w:szCs w:val="20"/>
        </w:rPr>
        <w:t xml:space="preserve"> lata</w:t>
      </w:r>
      <w:r w:rsidRPr="00853004">
        <w:rPr>
          <w:szCs w:val="20"/>
        </w:rPr>
        <w:t xml:space="preserve"> oraz ubóstwa.</w:t>
      </w:r>
      <w:r w:rsidR="00E66B89">
        <w:rPr>
          <w:szCs w:val="20"/>
        </w:rPr>
        <w:t xml:space="preserve"> W </w:t>
      </w:r>
      <w:r w:rsidRPr="00853004">
        <w:rPr>
          <w:szCs w:val="20"/>
        </w:rPr>
        <w:t>tym pierwszym przypadku udział RPO WZ jest relatywnie niewielki,</w:t>
      </w:r>
      <w:r w:rsidR="00E66B89">
        <w:rPr>
          <w:szCs w:val="20"/>
        </w:rPr>
        <w:t xml:space="preserve"> w </w:t>
      </w:r>
      <w:r w:rsidRPr="00853004">
        <w:rPr>
          <w:szCs w:val="20"/>
        </w:rPr>
        <w:t>drugim – żaden (nie ma adresujących ten aspekt działań; co więcej, jego brak świadczy</w:t>
      </w:r>
      <w:r w:rsidR="00E66B89">
        <w:rPr>
          <w:szCs w:val="20"/>
        </w:rPr>
        <w:t xml:space="preserve"> o </w:t>
      </w:r>
      <w:r w:rsidRPr="00853004">
        <w:rPr>
          <w:szCs w:val="20"/>
        </w:rPr>
        <w:t>efektywności kosztowej interwencji),</w:t>
      </w:r>
      <w:r w:rsidR="00E66B89">
        <w:rPr>
          <w:szCs w:val="20"/>
        </w:rPr>
        <w:t xml:space="preserve"> w </w:t>
      </w:r>
      <w:r w:rsidRPr="00853004">
        <w:rPr>
          <w:szCs w:val="20"/>
        </w:rPr>
        <w:t>trzecim – umiarkowany.</w:t>
      </w:r>
      <w:r w:rsidR="00E66B89">
        <w:rPr>
          <w:szCs w:val="20"/>
        </w:rPr>
        <w:t xml:space="preserve"> W </w:t>
      </w:r>
      <w:r w:rsidRPr="00853004">
        <w:rPr>
          <w:szCs w:val="20"/>
        </w:rPr>
        <w:t>odniesieniu do działalności B+R – mimo postępu cel krajowy (ani tym bardziej, ogólnoeuropejski) nie zostanie osiągnięty we wskazanym horyzoncie czasowym. Mimo to, należy podkreślić relatywnie duży wkład RPO</w:t>
      </w:r>
      <w:r w:rsidR="00E66B89">
        <w:rPr>
          <w:szCs w:val="20"/>
        </w:rPr>
        <w:t xml:space="preserve"> w </w:t>
      </w:r>
      <w:r w:rsidRPr="00853004">
        <w:rPr>
          <w:szCs w:val="20"/>
        </w:rPr>
        <w:t>obserwowany progres. Działania środowiskowe nie przynoszą oczekiwanych skutków: zarówno emisja gazów cieplarnianych, jak</w:t>
      </w:r>
      <w:r w:rsidR="00E66B89">
        <w:rPr>
          <w:szCs w:val="20"/>
        </w:rPr>
        <w:t xml:space="preserve"> i </w:t>
      </w:r>
      <w:r w:rsidRPr="00853004">
        <w:rPr>
          <w:szCs w:val="20"/>
        </w:rPr>
        <w:t>zużycie energii pierwotnej rosną, chociaż zakładano ich redukcję. Najprawdopodobniej ten stan rzeczy wynika</w:t>
      </w:r>
      <w:r w:rsidR="00E66B89">
        <w:rPr>
          <w:szCs w:val="20"/>
        </w:rPr>
        <w:t xml:space="preserve"> z </w:t>
      </w:r>
      <w:r w:rsidRPr="00853004">
        <w:rPr>
          <w:szCs w:val="20"/>
        </w:rPr>
        <w:t>przewagi skali efektów pośrednich nad bezpośrednimi (przykładowo, rozwój przedsiębiorczości, który także jest wspierany</w:t>
      </w:r>
      <w:r w:rsidR="00E66B89">
        <w:rPr>
          <w:szCs w:val="20"/>
        </w:rPr>
        <w:t xml:space="preserve"> w </w:t>
      </w:r>
      <w:r w:rsidRPr="00853004">
        <w:rPr>
          <w:szCs w:val="20"/>
        </w:rPr>
        <w:t>RPO WZ naturalnie przekłada się na wzrost emisji). Nie jest to wyłącznie przypadek województwa zachodniopomorskiego. Ostatecznie, wkład RPO WZ</w:t>
      </w:r>
      <w:r w:rsidR="00E66B89">
        <w:rPr>
          <w:szCs w:val="20"/>
        </w:rPr>
        <w:t xml:space="preserve"> w </w:t>
      </w:r>
      <w:r w:rsidRPr="00853004">
        <w:rPr>
          <w:szCs w:val="20"/>
        </w:rPr>
        <w:t>podniesienie udziału OZE</w:t>
      </w:r>
      <w:r w:rsidR="00E66B89">
        <w:rPr>
          <w:szCs w:val="20"/>
        </w:rPr>
        <w:t xml:space="preserve"> w </w:t>
      </w:r>
      <w:r w:rsidRPr="00853004">
        <w:rPr>
          <w:szCs w:val="20"/>
        </w:rPr>
        <w:t>miksie energetycznym nie został oszacowany</w:t>
      </w:r>
      <w:r w:rsidR="00E66B89">
        <w:rPr>
          <w:szCs w:val="20"/>
        </w:rPr>
        <w:t xml:space="preserve"> w </w:t>
      </w:r>
      <w:r w:rsidRPr="00853004">
        <w:rPr>
          <w:szCs w:val="20"/>
        </w:rPr>
        <w:t>uwagi na brak danych na poziomie regionu.</w:t>
      </w:r>
    </w:p>
    <w:p w14:paraId="6FB33A62" w14:textId="77777777" w:rsidR="00036F5B" w:rsidRDefault="00036F5B">
      <w:pPr>
        <w:spacing w:before="0" w:after="0" w:line="240" w:lineRule="auto"/>
        <w:jc w:val="left"/>
        <w:rPr>
          <w:b/>
          <w:bCs/>
          <w:color w:val="365F91"/>
          <w:sz w:val="28"/>
          <w:szCs w:val="28"/>
        </w:rPr>
      </w:pPr>
      <w:r>
        <w:br w:type="page"/>
      </w:r>
    </w:p>
    <w:p w14:paraId="49D3C57A" w14:textId="77777777" w:rsidR="00803660" w:rsidRPr="00C22C26" w:rsidRDefault="00803660" w:rsidP="00D45914">
      <w:pPr>
        <w:pStyle w:val="Nagwek1"/>
        <w:numPr>
          <w:ilvl w:val="0"/>
          <w:numId w:val="0"/>
        </w:numPr>
        <w:rPr>
          <w:lang w:val="en-US"/>
        </w:rPr>
      </w:pPr>
      <w:bookmarkStart w:id="5" w:name="_Toc6523741"/>
      <w:r w:rsidRPr="00C22C26">
        <w:rPr>
          <w:lang w:val="en-US"/>
        </w:rPr>
        <w:lastRenderedPageBreak/>
        <w:t>SUMMARY</w:t>
      </w:r>
      <w:bookmarkEnd w:id="5"/>
    </w:p>
    <w:p w14:paraId="556794E6" w14:textId="77777777" w:rsidR="00720FE9" w:rsidRPr="00720FE9" w:rsidRDefault="00720FE9" w:rsidP="001E6254">
      <w:pPr>
        <w:rPr>
          <w:szCs w:val="20"/>
          <w:lang w:val="en-US"/>
        </w:rPr>
      </w:pPr>
      <w:r w:rsidRPr="00720FE9">
        <w:rPr>
          <w:lang w:val="en-US"/>
        </w:rPr>
        <w:t xml:space="preserve">This report offers a description of end results of the conducted evaluation study </w:t>
      </w:r>
      <w:r w:rsidRPr="00720FE9">
        <w:rPr>
          <w:i/>
          <w:iCs/>
          <w:lang w:val="en-US"/>
        </w:rPr>
        <w:t>Mid-term Evaluation of Material Progress of ZV ROP 2014-2020 for the Mid-Term Review, Including Fulfilment of Provisions of Performance Framework and Performance Reserve.</w:t>
      </w:r>
      <w:r w:rsidRPr="00720FE9">
        <w:rPr>
          <w:lang w:val="en-US"/>
        </w:rPr>
        <w:t xml:space="preserve"> The study was conducted between October 2018 and April 2019. The report evaluates changes in the socio-economic situation in individual aid areas, fulfilment of interim and final objectives (to this aim with the use of forecasts) expressed by relevant output and result indicators, progress in performance of individual Investment Priorities (IP), their absorption potential, and the possibilities and modes of handling still available funds of the allocation. The report includes an analysis of efficiency and utility of the Territorial Policy mechanisms and accuracy of the applied forms of intervention, evaluation of the efficiency of management system of the Programme, evaluation of implementation of horizontal principles and analysis of contribution of ZV ROP 2014-2020 to the objectives of Europe 2020 Strategy. The report ends with a presentation of key conclusions and recommendations, which the Contractor proposes to implement in the future in order to optimise the implementation of interventions. </w:t>
      </w:r>
    </w:p>
    <w:p w14:paraId="01C80F8E" w14:textId="77777777" w:rsidR="00720FE9" w:rsidRPr="00720FE9" w:rsidRDefault="00720FE9" w:rsidP="001E6254">
      <w:pPr>
        <w:rPr>
          <w:i/>
          <w:color w:val="4F81BD"/>
          <w:lang w:val="en-US"/>
        </w:rPr>
      </w:pPr>
      <w:r w:rsidRPr="00720FE9">
        <w:rPr>
          <w:i/>
          <w:color w:val="4F81BD"/>
          <w:lang w:val="en-US"/>
        </w:rPr>
        <w:t>Changes in Socio-economic Situation in the Zachodniopomorskie Voivodeship and Their Impact on Programme Implementation</w:t>
      </w:r>
    </w:p>
    <w:p w14:paraId="73095F73" w14:textId="77777777" w:rsidR="00720FE9" w:rsidRPr="00720FE9" w:rsidRDefault="00720FE9" w:rsidP="001E6254">
      <w:pPr>
        <w:rPr>
          <w:lang w:val="en-US"/>
        </w:rPr>
      </w:pPr>
      <w:r w:rsidRPr="00720FE9">
        <w:rPr>
          <w:lang w:val="en-US"/>
        </w:rPr>
        <w:t xml:space="preserve">Designing interventions as part of ZV ROP 2014-2020 was preceded by a diagnosis of socio-economic situation in the voivodeship, thanks to which the forms and the scope of aid was adjusted to the identified problems. As part of the evaluation study, an analysis of major socio-economic changes was carried out, which occurred between 2014-2017/2018 in individual support areas of the Programme; this allowed for designation of factors positively and negatively affecting the Programme implementation and indication of further needs in the region, which should be satisfied in the years to come. </w:t>
      </w:r>
    </w:p>
    <w:p w14:paraId="499FA6B4" w14:textId="77777777" w:rsidR="00720FE9" w:rsidRPr="00720FE9" w:rsidRDefault="00720FE9" w:rsidP="001E6254">
      <w:pPr>
        <w:rPr>
          <w:lang w:val="en-US"/>
        </w:rPr>
      </w:pPr>
      <w:r w:rsidRPr="00720FE9">
        <w:rPr>
          <w:lang w:val="en-US"/>
        </w:rPr>
        <w:t xml:space="preserve">The results of such analysis have shown that quite significant changes have occurred in each of the analysed Investment Priorities (IP), yet their scale did not allow, in any case, to determine explicitly that the region's needs have been satisfied (the only exception may be the needs in the area of purchase/ modernisation of electrified units of railway stock). Furthermore, in a considerable part of the IP, the occurring changes (social, economic and legal) bore fruit in the appearance of subsequent, new development deficits which require support. Examples may include legal changes in the area of municipal waste management, which impose increasingly more rigorous obligations on local government units; slowly occurring climate changes and progressing interference of man in the natural environment cause emergence of new needs with respect to the environmental protection; demographic changes (increase in the percentage of persons in the post-working age, growing average length of life, etc.) result in greater significance of investments in the sector of social and health services, whereas rapid changes on the labour market (in particular within the area of required competence and qualifications, skills and knowledge related to smart specialisations of the region) affect the up-dating of needs in the area of education (primarily vocational). </w:t>
      </w:r>
    </w:p>
    <w:p w14:paraId="0CCB35C3" w14:textId="77777777" w:rsidR="00720FE9" w:rsidRPr="00720FE9" w:rsidRDefault="00720FE9" w:rsidP="001E6254">
      <w:pPr>
        <w:rPr>
          <w:lang w:val="en-US"/>
        </w:rPr>
      </w:pPr>
      <w:r w:rsidRPr="00720FE9">
        <w:rPr>
          <w:lang w:val="en-US"/>
        </w:rPr>
        <w:t xml:space="preserve">Changes occurring in the region and the country exerted and will continue to exert material impact on the process of implementation of the entire ZV ROP. Some of such changes are positive (e.g. increase in the number of SME in the region, improvement of environmental and health awareness of residents, popularisation of environmentally-friendly technologies, increased significance of public transport), whereas others are negative (e.g. drop in companies’ revenues from sale of innovative products, insufficient participation in cultural events, increase in labour costs and construction materials or various types of machines/ equipment). Furthermore, changes pertaining to a drop in unemployment, increase in income of households (e.g. in effect of the Family 500+ Programme) are, on the one hand, very positive, yet on the other they significantly hinder the performance of the ESF projects. </w:t>
      </w:r>
    </w:p>
    <w:p w14:paraId="6ADA42AB" w14:textId="77777777" w:rsidR="00720FE9" w:rsidRPr="00720FE9" w:rsidRDefault="00720FE9" w:rsidP="001E6254">
      <w:pPr>
        <w:rPr>
          <w:i/>
          <w:color w:val="4F81BD"/>
          <w:lang w:val="en-US"/>
        </w:rPr>
      </w:pPr>
      <w:r w:rsidRPr="00720FE9">
        <w:rPr>
          <w:i/>
          <w:color w:val="4F81BD"/>
          <w:lang w:val="en-US"/>
        </w:rPr>
        <w:lastRenderedPageBreak/>
        <w:t>Progress in Implementation of ZV ROP 2014-2020</w:t>
      </w:r>
    </w:p>
    <w:p w14:paraId="523C893D" w14:textId="77777777" w:rsidR="00720FE9" w:rsidRPr="00720FE9" w:rsidRDefault="00720FE9" w:rsidP="001E6254">
      <w:pPr>
        <w:rPr>
          <w:lang w:val="en-US"/>
        </w:rPr>
      </w:pPr>
      <w:r w:rsidRPr="00720FE9">
        <w:rPr>
          <w:lang w:val="en-US"/>
        </w:rPr>
        <w:t>The study also evaluates progress in implementation of individual priority axes (PA) and IP of the Programme, taking into account the evaluation of efficiency and accuracy of interventions. By 7 January 2019, under 1,516 signed (and non-terminated) co-financing agreements (CA), 60.4% of the total ZV ROP allocation was already contracted (including funds from the performance reserve). The level of contracting without the reserve funds was 64.2%. The highest level of contracting (above 90% of the allocation with the reserve funds) has been recorded to-date in IP 7c (</w:t>
      </w:r>
      <w:r w:rsidRPr="00720FE9">
        <w:rPr>
          <w:i/>
          <w:iCs/>
          <w:lang w:val="en-US"/>
        </w:rPr>
        <w:t>Development and improvement of environmentally friendly (including reduced noise emission) and low-emission transport systems, including in-land waterways and maritime transport, harbours, multi-modal connections and airport infrastructure, with the aim of promoting sustainable regional and local mobility</w:t>
      </w:r>
      <w:r w:rsidRPr="00720FE9">
        <w:rPr>
          <w:lang w:val="en-US"/>
        </w:rPr>
        <w:t>), 7d (</w:t>
      </w:r>
      <w:r w:rsidRPr="00720FE9">
        <w:rPr>
          <w:i/>
          <w:iCs/>
          <w:lang w:val="en-US"/>
        </w:rPr>
        <w:t>Development and rehabilitation of comprehensive, high quality and inter-operational railway systems and promotion of activities used to reduce noise</w:t>
      </w:r>
      <w:r w:rsidRPr="00720FE9">
        <w:rPr>
          <w:lang w:val="en-US"/>
        </w:rPr>
        <w:t>) and 2c (</w:t>
      </w:r>
      <w:r w:rsidRPr="00720FE9">
        <w:rPr>
          <w:i/>
          <w:iCs/>
          <w:lang w:val="en-US"/>
        </w:rPr>
        <w:t>Enhanced application of ICT for e-administration, e-learning, e-social inclusion, e-culture and e-health</w:t>
      </w:r>
      <w:r w:rsidRPr="00720FE9">
        <w:rPr>
          <w:lang w:val="en-US"/>
        </w:rPr>
        <w:t xml:space="preserve">). </w:t>
      </w:r>
    </w:p>
    <w:p w14:paraId="7769D162" w14:textId="77777777" w:rsidR="00720FE9" w:rsidRPr="00720FE9" w:rsidRDefault="00720FE9" w:rsidP="001E6254">
      <w:pPr>
        <w:rPr>
          <w:lang w:val="en-US"/>
        </w:rPr>
      </w:pPr>
      <w:r w:rsidRPr="00720FE9">
        <w:rPr>
          <w:lang w:val="en-US"/>
        </w:rPr>
        <w:t xml:space="preserve">Hitherto progress in the Programme implementation was assessed as efficient. This is primarily testified by the fact of meeting all the assumed interim objectives for 2018, expressed by the Performance Framework (PF) indicators. The hitherto level of contracting of PF indicators is, in some cases, on a level allowing for meeting the final objectives of output indicators designated for 2023; the exceptions are the following PA: I </w:t>
      </w:r>
      <w:r w:rsidRPr="00720FE9">
        <w:rPr>
          <w:i/>
          <w:iCs/>
          <w:lang w:val="en-US"/>
        </w:rPr>
        <w:t>Economy, innovations, modern technologies</w:t>
      </w:r>
      <w:r w:rsidRPr="00720FE9">
        <w:rPr>
          <w:lang w:val="en-US"/>
        </w:rPr>
        <w:t xml:space="preserve">, V </w:t>
      </w:r>
      <w:r w:rsidRPr="00720FE9">
        <w:rPr>
          <w:i/>
          <w:iCs/>
          <w:lang w:val="en-US"/>
        </w:rPr>
        <w:t>Sustainable transport</w:t>
      </w:r>
      <w:r w:rsidRPr="00720FE9">
        <w:rPr>
          <w:lang w:val="en-US"/>
        </w:rPr>
        <w:t xml:space="preserve">, VI </w:t>
      </w:r>
      <w:r w:rsidRPr="00720FE9">
        <w:rPr>
          <w:i/>
          <w:iCs/>
          <w:lang w:val="en-US"/>
        </w:rPr>
        <w:t>Labour market</w:t>
      </w:r>
      <w:r w:rsidRPr="00720FE9">
        <w:rPr>
          <w:lang w:val="en-US"/>
        </w:rPr>
        <w:t xml:space="preserve">, VII </w:t>
      </w:r>
      <w:r w:rsidRPr="00720FE9">
        <w:rPr>
          <w:i/>
          <w:iCs/>
          <w:lang w:val="en-US"/>
        </w:rPr>
        <w:t>Social inclusion</w:t>
      </w:r>
      <w:r w:rsidRPr="00720FE9">
        <w:rPr>
          <w:lang w:val="en-US"/>
        </w:rPr>
        <w:t xml:space="preserve">, VIII </w:t>
      </w:r>
      <w:r w:rsidRPr="00720FE9">
        <w:rPr>
          <w:i/>
          <w:iCs/>
          <w:lang w:val="en-US"/>
        </w:rPr>
        <w:t>Education</w:t>
      </w:r>
      <w:r w:rsidRPr="00720FE9">
        <w:rPr>
          <w:lang w:val="en-US"/>
        </w:rPr>
        <w:t xml:space="preserve"> - in these cases, it is necessary to conclude agreements and implement subsequent projects in order to achieve the final objectives of the PF. Information about the level of achieving the objectives measured with the programme output and result indicators was also used to evaluate the efficiency. The performed analyses show that in a significant portion of cases, the assumed final values of indicators of ZV ROP are achieved on a relatively high level (here bearing in mind the declared values of such indicators by beneficiaries in the co-financing agreements concluded by 7 January). </w:t>
      </w:r>
    </w:p>
    <w:p w14:paraId="31928FD8" w14:textId="77777777" w:rsidR="00720FE9" w:rsidRPr="00720FE9" w:rsidRDefault="00720FE9" w:rsidP="001E6254">
      <w:pPr>
        <w:rPr>
          <w:lang w:val="en-US"/>
        </w:rPr>
      </w:pPr>
      <w:r w:rsidRPr="00720FE9">
        <w:rPr>
          <w:lang w:val="en-US"/>
        </w:rPr>
        <w:t xml:space="preserve">Analysis of financial progress (level of contracting) as compared to the material progress was used to evaluate the efficiency of interventions, along with the analysis of unit costs assumed at the programming stage to achieve the individual indicators with costs which occurred in reality (on the basis of agreements concluded by 7 January). In general, it may be stated that the implemented intervention is efficient. Evaluation of the relation between the financial and material progress is positive, i.e. material progress exceeding the hitherto financial progress is recorded most frequently. In case of comparing the unit costs assumed in the Programme with the costs that were calculated on the basis of hitherto agreements, the evaluation is equivocal. On the one hand, indicators were identified for which the unit costs from the period of programming, as well as calculated on the basis of the concluded CA, are very similar (which testifies to the adoption of accurate premises at the stage of Programme development). On the other hand, there are both indicators for which the actual costs turned out to be much lower than assumed (including due to the drop in prices of specific technological solutions, adopted methodological reservations at the stage of estimating target values - at that time, data from projects implemented in the previous financial perspective were used, which often differed by the scope of aid affecting costs), yet there are also indicators where the situation is reverse (higher costs most often result from an increase in prices of materials, equipment and services). </w:t>
      </w:r>
    </w:p>
    <w:p w14:paraId="5EA51308" w14:textId="77777777" w:rsidR="00720FE9" w:rsidRPr="00720FE9" w:rsidRDefault="00720FE9" w:rsidP="001E6254">
      <w:pPr>
        <w:rPr>
          <w:i/>
          <w:color w:val="4F81BD"/>
          <w:lang w:val="en-US"/>
        </w:rPr>
      </w:pPr>
      <w:r w:rsidRPr="00720FE9">
        <w:rPr>
          <w:i/>
          <w:color w:val="4F81BD"/>
          <w:lang w:val="en-US"/>
        </w:rPr>
        <w:t xml:space="preserve">Absorption Potential </w:t>
      </w:r>
    </w:p>
    <w:p w14:paraId="7DD7F145" w14:textId="77777777" w:rsidR="00720FE9" w:rsidRPr="00720FE9" w:rsidRDefault="00720FE9" w:rsidP="001E6254">
      <w:pPr>
        <w:rPr>
          <w:lang w:val="en-US"/>
        </w:rPr>
      </w:pPr>
      <w:r w:rsidRPr="00720FE9">
        <w:rPr>
          <w:lang w:val="en-US"/>
        </w:rPr>
        <w:t xml:space="preserve">The completed analyses show a still considerable absorption potential in all axes and investment priorities of the Programme. It even seems that the actual potential (based on hitherto interest in calls in individual Measures and the results of a quantity study with the applicants to ZV ROP) noticeably exceeds the financial potential of the Programme (i.e. the amount of allocation that is still available). The greatest </w:t>
      </w:r>
      <w:r w:rsidRPr="00720FE9">
        <w:rPr>
          <w:lang w:val="en-US"/>
        </w:rPr>
        <w:lastRenderedPageBreak/>
        <w:t xml:space="preserve">potential refers to PA VIII </w:t>
      </w:r>
      <w:r w:rsidRPr="00720FE9">
        <w:rPr>
          <w:i/>
          <w:iCs/>
          <w:lang w:val="en-US"/>
        </w:rPr>
        <w:t>Education</w:t>
      </w:r>
      <w:r w:rsidRPr="00720FE9">
        <w:rPr>
          <w:lang w:val="en-US"/>
        </w:rPr>
        <w:t xml:space="preserve">, PA I </w:t>
      </w:r>
      <w:r w:rsidRPr="00720FE9">
        <w:rPr>
          <w:i/>
          <w:iCs/>
          <w:lang w:val="en-US"/>
        </w:rPr>
        <w:t>Economy</w:t>
      </w:r>
      <w:r w:rsidRPr="00720FE9">
        <w:rPr>
          <w:lang w:val="en-US"/>
        </w:rPr>
        <w:t xml:space="preserve">, </w:t>
      </w:r>
      <w:r w:rsidRPr="00720FE9">
        <w:rPr>
          <w:i/>
          <w:iCs/>
          <w:lang w:val="en-US"/>
        </w:rPr>
        <w:t>innovations, modern technologies</w:t>
      </w:r>
      <w:r w:rsidRPr="00720FE9">
        <w:rPr>
          <w:lang w:val="en-US"/>
        </w:rPr>
        <w:t xml:space="preserve">, PA II </w:t>
      </w:r>
      <w:r w:rsidRPr="00720FE9">
        <w:rPr>
          <w:i/>
          <w:iCs/>
          <w:lang w:val="en-US"/>
        </w:rPr>
        <w:t>Low-emission economy</w:t>
      </w:r>
      <w:r w:rsidRPr="00720FE9">
        <w:rPr>
          <w:lang w:val="en-US"/>
        </w:rPr>
        <w:t xml:space="preserve"> and PA IX </w:t>
      </w:r>
      <w:r w:rsidRPr="00720FE9">
        <w:rPr>
          <w:i/>
          <w:iCs/>
          <w:lang w:val="en-US"/>
        </w:rPr>
        <w:t>Public infrastructure</w:t>
      </w:r>
      <w:r w:rsidRPr="00720FE9">
        <w:rPr>
          <w:lang w:val="en-US"/>
        </w:rPr>
        <w:t>.</w:t>
      </w:r>
      <w:r w:rsidRPr="00720FE9">
        <w:rPr>
          <w:i/>
          <w:lang w:val="en-US"/>
        </w:rPr>
        <w:t xml:space="preserve"> </w:t>
      </w:r>
      <w:r w:rsidRPr="00720FE9">
        <w:rPr>
          <w:lang w:val="en-US"/>
        </w:rPr>
        <w:t xml:space="preserve">Relatively smaller potential refers to PA V, which is related to the fact that a significant part of projects included in the Transport Investments Plan for the Zachodniopomorskie Voivodeship was already completed. Possible lack of potential or its low level pertains only to individual Measures as part of IP (in such cases, transfers of funds among Measures are proposed). </w:t>
      </w:r>
    </w:p>
    <w:p w14:paraId="604FDC53" w14:textId="77777777" w:rsidR="00720FE9" w:rsidRPr="00720FE9" w:rsidRDefault="00720FE9" w:rsidP="001E6254">
      <w:pPr>
        <w:rPr>
          <w:lang w:val="en-US"/>
        </w:rPr>
      </w:pPr>
      <w:r w:rsidRPr="00720FE9">
        <w:rPr>
          <w:lang w:val="en-US"/>
        </w:rPr>
        <w:t xml:space="preserve">In the course of the study, types of interventions were indicated (e.g. specific Measures) which have, so far, showed high efficiency and, at the same time, contributed to the existing needs of the Zachodniopomorskie Voivodeship. The following may be indicated among such types of projects: investments in the area of smart specialisations of the region, development of infrastructure for the benefit of economic development of the region, reinforcement of the position of the region's economy in the country and abroad (internationalisation of companies), development of RES, improvement of air quality, transfer nodes, bicycle infrastructure, low-emission transport, pro-environmental activities (from ecological education of the society, collection through processing and neutralisation of waste), protection of cultural heritage, reinforcement of cultural institutions, programmes aimed at integration of persons and families at risk of poverty and/ or social exclusion, support for social economy entities, creation and development of environmental services, care services and support services for families and foster families, provision of schools with ICT, educational activities addressed to 50+ persons, support for health protection and social infrastructure and development of information society (e.g. in the area of e-health). </w:t>
      </w:r>
    </w:p>
    <w:p w14:paraId="72C44A85" w14:textId="77777777" w:rsidR="00720FE9" w:rsidRPr="00720FE9" w:rsidRDefault="00720FE9" w:rsidP="001E6254">
      <w:pPr>
        <w:rPr>
          <w:lang w:val="en-US"/>
        </w:rPr>
      </w:pPr>
      <w:r w:rsidRPr="00720FE9">
        <w:rPr>
          <w:lang w:val="en-US"/>
        </w:rPr>
        <w:t>However, it is necessary to bear in mind that the identified significant absorption potential does not have to entail a possibility of implementing specific types of investments. This is related to numerous external problems, which the Programme beneficiaries have to face even now, and which pertain to no possibility of choosing contractors, absence of bids, submission of bids for amounts significantly exceeding the available budgets of employers, termination of agreements with contractors (who often record considerable delays in implementation, which does not guarantee completion of projects within the stipulated deadlines, and who file unjustified financial claims).</w:t>
      </w:r>
    </w:p>
    <w:p w14:paraId="6F6BBF82" w14:textId="77777777" w:rsidR="00720FE9" w:rsidRPr="00720FE9" w:rsidRDefault="00720FE9" w:rsidP="001E6254">
      <w:pPr>
        <w:rPr>
          <w:i/>
          <w:color w:val="4F81BD"/>
          <w:lang w:val="en-US"/>
        </w:rPr>
      </w:pPr>
      <w:r w:rsidRPr="00720FE9">
        <w:rPr>
          <w:i/>
          <w:color w:val="4F81BD"/>
          <w:lang w:val="en-US"/>
        </w:rPr>
        <w:t>Possibility of Achieving Final Objectives of ZV ROP 2014-2020</w:t>
      </w:r>
    </w:p>
    <w:p w14:paraId="139ECD59" w14:textId="77777777" w:rsidR="00720FE9" w:rsidRPr="00720FE9" w:rsidRDefault="00720FE9" w:rsidP="001E6254">
      <w:pPr>
        <w:rPr>
          <w:szCs w:val="20"/>
          <w:lang w:val="en-US"/>
        </w:rPr>
      </w:pPr>
      <w:r w:rsidRPr="00720FE9">
        <w:rPr>
          <w:lang w:val="en-US"/>
        </w:rPr>
        <w:t xml:space="preserve">The possibility of achieving the final objectives of the Programme was analysed both in reference to the strategic result indicators, as well as all direct output and result indicators specified in the ZV ROP. In the majority of cases, achievement of target values of the strategic result indicators is expected and even exceeding them. Difficulties in implementing the assumptions for 2023 were identified in the case of such strategic indicators as: </w:t>
      </w:r>
      <w:r w:rsidRPr="00720FE9">
        <w:rPr>
          <w:i/>
          <w:szCs w:val="20"/>
          <w:lang w:val="en-US"/>
        </w:rPr>
        <w:t>Business enterprise R&amp;D expenditure (BERD) in relation to GDP, R&amp;D expenditure in relation to GDP, Average share of innovative companies in the total number of industrial companies and service sector companies, Capacity of small retention facilities (dam3), Percentage of sewage treatment plants fulfilling condition III of Directive 91/27/EEC in the total number of sewage treatment plants in the National Programme for Municipal Waste Water Treatment (KPOŚK), Synthetic Road Transport Accessibility Indicator - WDDT II, Synthetic Rail Transport Accessibility Indicator - WKDT II, Synthetic Water Transport Accessibility Indicator - WŻDT II, Passing rate of matriculation exams (in comparison to the national average).</w:t>
      </w:r>
      <w:r w:rsidRPr="00720FE9">
        <w:rPr>
          <w:lang w:val="en-US"/>
        </w:rPr>
        <w:t xml:space="preserve"> The report includes relevant recommendations with respect to the commencement of activities aimed at up-dating (in this case reducing) the target values of indicators listed here. </w:t>
      </w:r>
    </w:p>
    <w:p w14:paraId="4E389132" w14:textId="77777777" w:rsidR="00720FE9" w:rsidRPr="00720FE9" w:rsidRDefault="00720FE9" w:rsidP="001E6254">
      <w:pPr>
        <w:rPr>
          <w:i/>
          <w:szCs w:val="20"/>
          <w:lang w:val="en-US"/>
        </w:rPr>
      </w:pPr>
      <w:r w:rsidRPr="00720FE9">
        <w:rPr>
          <w:lang w:val="en-US"/>
        </w:rPr>
        <w:t xml:space="preserve">In the case of other direct output and result indicators, the Contractor, based on the completed quantity and quality forecasts, has indicated that a definite majority of indicators will achieve the stipulated values as a result of project implementation with respect to which co-financing agreements were already signed or which will be signed in the future. A significant portion of indicators will be achieved on a level greatly exceeding 100%. In the case of indicators where the forecast level of achievement is considerably lower </w:t>
      </w:r>
      <w:r w:rsidRPr="00720FE9">
        <w:rPr>
          <w:lang w:val="en-US"/>
        </w:rPr>
        <w:lastRenderedPageBreak/>
        <w:t xml:space="preserve">than 100%, remedial activities were recommended - including up-dates of their target values. Problematic indicators in the Programme, with respect to the chances for achieving the assumed target values, are: </w:t>
      </w:r>
      <w:r w:rsidRPr="00720FE9">
        <w:rPr>
          <w:i/>
          <w:szCs w:val="20"/>
          <w:lang w:val="en-US"/>
        </w:rPr>
        <w:t xml:space="preserve">Private investments supplementing public support for projects in the area of innovations or research and development (IP 1a), Number of companies receiving subsidies (CI) (IP 3c), Number of companies receiving support (CI), Additional capacity for generation of heat and electric energy in co-generation (IP 4g), Length of sanitary sewage networks (IP 6b), Additional output capacity of recycling plants (IP 6a), Number of supported para-museum facilities (IP 6d) </w:t>
      </w:r>
      <w:r w:rsidRPr="00720FE9">
        <w:rPr>
          <w:szCs w:val="20"/>
          <w:lang w:val="en-US"/>
        </w:rPr>
        <w:t>- indicator scheduled for removal from ZV ROP,</w:t>
      </w:r>
      <w:r w:rsidRPr="00720FE9">
        <w:rPr>
          <w:i/>
          <w:szCs w:val="20"/>
          <w:lang w:val="en-US"/>
        </w:rPr>
        <w:t xml:space="preserve"> Total length of rebuilt or modernised railway lines (IP 7d), Number of long-term unemployed covered by support in the programme (IP 8i), Number of persons with disabilities covered by support in the programme (C), Number of persons at risk of poverty or social exclusion covered by support in the programme, Number of persons at risk of poverty or social exclusion looking for work after leaving the programme, Number of persons at risk of poverty or social exclusion who acquired qualifications after leaving the programme (IP 9i), Number of persons at risk of poverty or social exclusion covered by support in the programme (IP 9iv), Number of persons at risk of poverty or social exclusion covered by support in the programme, Number of persons at risk of poverty or social exclusion working after leaving the programme (including self-employed persons) (IP 9v), Number of children covered, as part of the programme, by additional classes increasing their educational chances in pre-school education, Number of places in pre-school education co-financed in the programme (IP 10i), Number of students who acquired key competence or universal skills after leaving the programme, Number of vocational education teachers or practical vocation instructors covered by support in the programme (IP 10iv), Number of persons with low qualifications covered by support in the programme, Number of persons aged 25 and more covered by support in the programme (IP 10iii).</w:t>
      </w:r>
    </w:p>
    <w:p w14:paraId="6B26F80A" w14:textId="77777777" w:rsidR="00720FE9" w:rsidRPr="00720FE9" w:rsidRDefault="00720FE9" w:rsidP="001E6254">
      <w:pPr>
        <w:rPr>
          <w:i/>
          <w:color w:val="4F81BD"/>
          <w:lang w:val="en-US"/>
        </w:rPr>
      </w:pPr>
      <w:r w:rsidRPr="00720FE9">
        <w:rPr>
          <w:i/>
          <w:color w:val="4F81BD"/>
          <w:lang w:val="en-US"/>
        </w:rPr>
        <w:t xml:space="preserve">Potential Modes of Managing the Performance Reserve Funds </w:t>
      </w:r>
    </w:p>
    <w:p w14:paraId="51067F68" w14:textId="77777777" w:rsidR="00720FE9" w:rsidRPr="00720FE9" w:rsidRDefault="00720FE9" w:rsidP="001E6254">
      <w:pPr>
        <w:rPr>
          <w:lang w:val="en-US"/>
        </w:rPr>
      </w:pPr>
      <w:r w:rsidRPr="00720FE9">
        <w:rPr>
          <w:lang w:val="en-US"/>
        </w:rPr>
        <w:t xml:space="preserve">According to the status of 7 January 2019, the amount of allocation still available as part of ZV ROP 2014-2020 (including the funds from the performance reserve) was approx. PLN 2.3 billion. When analysing the potential of individual IP for contracting the entire hitherto allocation (excluding reserve funds), it was noted that only in the case of IP 3a, 3c, 8iv and 9i, there may be a risk of it not being expended - however, this depends on the decision of the MA with respect to the next calls and on other factors which were discussed in detail in individual sections of the report devoted to such IP. In the case of such IP, it was also acknowledged that there will most probably be no possibility of using the funds of the performance reserve assigned to them. On the other hand, such IP were also identified to which additional funds could have been assigned (exceeding the currently assigned allocation and performance reserve). These IP include: 2c and 9iv. In the case of other IP, use of the available allocation for the implementation of subsequent projects and potential transfers of funds, in case of identifying greater interest on the part of applicants, is recommended. </w:t>
      </w:r>
    </w:p>
    <w:p w14:paraId="0152A8A7" w14:textId="77777777" w:rsidR="00720FE9" w:rsidRPr="00720FE9" w:rsidRDefault="00720FE9" w:rsidP="001E6254">
      <w:pPr>
        <w:rPr>
          <w:i/>
          <w:color w:val="4F81BD"/>
          <w:lang w:val="en-US"/>
        </w:rPr>
      </w:pPr>
      <w:r w:rsidRPr="00720FE9">
        <w:rPr>
          <w:i/>
          <w:color w:val="4F81BD"/>
          <w:lang w:val="en-US"/>
        </w:rPr>
        <w:t>Efficiency of Territorial Policy Implemented as Part of ZV ROP 2014-2020</w:t>
      </w:r>
    </w:p>
    <w:p w14:paraId="5B1CC969" w14:textId="77777777" w:rsidR="00720FE9" w:rsidRPr="00720FE9" w:rsidRDefault="00720FE9" w:rsidP="001E6254">
      <w:pPr>
        <w:rPr>
          <w:rFonts w:cs="Calibri"/>
          <w:szCs w:val="20"/>
          <w:lang w:val="en-US"/>
        </w:rPr>
      </w:pPr>
      <w:r w:rsidRPr="00720FE9">
        <w:rPr>
          <w:lang w:val="en-US"/>
        </w:rPr>
        <w:t xml:space="preserve">As part of ZV ROP 2014-2020, projects pertaining to the Territorial Policy are implemented with the use of two main instruments: Integrated Territorial Investments (ITI) and Local Government Contracts (LGC). The ITI are implemented in such areas as: economy, innovations, modern technologies, low-emission economy, sustainable transport and education. The LGC instrument is implemented in such areas as: economy, innovations, modern technologies, low-emission economy, labour market, education and public infrastructure. </w:t>
      </w:r>
      <w:r w:rsidRPr="00720FE9">
        <w:rPr>
          <w:color w:val="000000"/>
          <w:szCs w:val="20"/>
          <w:shd w:val="clear" w:color="auto" w:fill="FFFFFF"/>
          <w:lang w:val="en-US"/>
        </w:rPr>
        <w:t xml:space="preserve">The completed detailed analyses on the level of individual IP show that in a definite majority of cases, such intervention is more efficient and useful as compared to the intervention addressed to the entire region. This is testified not only by the level of contracting of funds, but also the contribution of ITI and LGC projects in achieving the objectives of specific IP. High efficiency and utility of interventions as part of the Territorial Policy is primarily determined by such factors as: adequately early identification and designation of aid directions, early preparation of the process of identification and preparation of individual investments, separation and guarantee of an adequate pool of funds to </w:t>
      </w:r>
      <w:r w:rsidRPr="00720FE9">
        <w:rPr>
          <w:color w:val="000000"/>
          <w:szCs w:val="20"/>
          <w:shd w:val="clear" w:color="auto" w:fill="FFFFFF"/>
          <w:lang w:val="en-US"/>
        </w:rPr>
        <w:lastRenderedPageBreak/>
        <w:t xml:space="preserve">finance the identified projects, cooperation among partners operating in a given area, ensuring actual chances for procuring funds from the ROP for small communes. In spite of positive evaluation, areas were also identified which require improvement in the future - changes, that will, in effect, increase the efficiency of the Territorial Policy include, e.g.: greater share of partners (members of ITI/ LGC) in the diagnosis of areas requiring aid, increase in competence of entities forming the LGC within the scope of using the once procured funds, commencement of activities increasing complementary of ERDF and ESF investments. </w:t>
      </w:r>
    </w:p>
    <w:p w14:paraId="7A67AA91" w14:textId="77777777" w:rsidR="00720FE9" w:rsidRPr="00720FE9" w:rsidRDefault="00720FE9" w:rsidP="001E6254">
      <w:pPr>
        <w:rPr>
          <w:i/>
          <w:color w:val="4F81BD"/>
          <w:lang w:val="en-US"/>
        </w:rPr>
      </w:pPr>
      <w:r w:rsidRPr="00720FE9">
        <w:rPr>
          <w:i/>
          <w:color w:val="4F81BD"/>
          <w:lang w:val="en-US"/>
        </w:rPr>
        <w:t>Accuracy of Applied Intervention Forms: Subsidies, Returnable Support, Financial Instruments</w:t>
      </w:r>
    </w:p>
    <w:p w14:paraId="760777C8" w14:textId="77777777" w:rsidR="00720FE9" w:rsidRPr="00720FE9" w:rsidRDefault="00720FE9" w:rsidP="001E6254">
      <w:pPr>
        <w:rPr>
          <w:rFonts w:asciiTheme="minorHAnsi" w:eastAsiaTheme="minorHAnsi" w:hAnsiTheme="minorHAnsi"/>
          <w:sz w:val="22"/>
          <w:lang w:val="en-US"/>
        </w:rPr>
      </w:pPr>
      <w:r w:rsidRPr="00720FE9">
        <w:rPr>
          <w:lang w:val="en-US"/>
        </w:rPr>
        <w:t>Analysis of the CAWI study results showed that entrepreneurs willingly use returnable financial instruments, yet their main intended use is to purchase or modernise material assets (investments with a low level of risk) and not to invest in innovative high-risk activities. Thus, even though it is possible and efficient to apply financial returnable instruments for projects aimed at increasing material capital of entrepreneurs, yet in the case of high-risk investment activities (e.g. investments in endogenous innovations or purchase of innovative solutions), non-returnable financial instruments with low or zero own contribution would be a better solution. It should be remembered that in general, smaller and newer companies have more limited financial potential and greater aversion to risk.</w:t>
      </w:r>
    </w:p>
    <w:p w14:paraId="178B1E48" w14:textId="77777777" w:rsidR="00720FE9" w:rsidRPr="00720FE9" w:rsidRDefault="00720FE9" w:rsidP="001E6254">
      <w:pPr>
        <w:rPr>
          <w:i/>
          <w:color w:val="4F81BD"/>
          <w:lang w:val="en-US"/>
        </w:rPr>
      </w:pPr>
      <w:r w:rsidRPr="00720FE9">
        <w:rPr>
          <w:i/>
          <w:color w:val="4F81BD"/>
          <w:lang w:val="en-US"/>
        </w:rPr>
        <w:t>Efficiency of Management and Implementation System of ZV ROP 2014-2020</w:t>
      </w:r>
    </w:p>
    <w:p w14:paraId="4F1575EA" w14:textId="77777777" w:rsidR="00720FE9" w:rsidRPr="00720FE9" w:rsidRDefault="00720FE9" w:rsidP="001E6254">
      <w:pPr>
        <w:rPr>
          <w:rFonts w:cs="Arial"/>
          <w:color w:val="000000"/>
          <w:szCs w:val="20"/>
          <w:shd w:val="clear" w:color="auto" w:fill="FFFFFF"/>
          <w:lang w:val="en-US"/>
        </w:rPr>
      </w:pPr>
      <w:r w:rsidRPr="00720FE9">
        <w:rPr>
          <w:color w:val="000000"/>
          <w:szCs w:val="20"/>
          <w:shd w:val="clear" w:color="auto" w:fill="FFFFFF"/>
          <w:lang w:val="en-US"/>
        </w:rPr>
        <w:t>The Managing Authority (MA) i.e. the Marshal’s Office of the Zachodniopomorskie Voivodeship participates in the implementation of ZV ROP 2014-2010, along with Intermediate Bodies (IB): Voivodeship Labour Office (WUP) in Szczecin (responsible for the implementation of the ESF as part of </w:t>
      </w:r>
      <w:r w:rsidRPr="00720FE9">
        <w:rPr>
          <w:lang w:val="en-US"/>
        </w:rPr>
        <w:t>ZV ROP 2014-2020</w:t>
      </w:r>
      <w:r w:rsidRPr="00720FE9">
        <w:rPr>
          <w:color w:val="000000"/>
          <w:szCs w:val="20"/>
          <w:shd w:val="clear" w:color="auto" w:fill="FFFFFF"/>
          <w:lang w:val="en-US"/>
        </w:rPr>
        <w:t>), Division for Implementation of Environmental Measures of ROP (WWŚRPO), as well as two institutions participating in implementation of aid as part of ITI: Koszalin-Kołobrzeg-Białogard Functional Area and the Association of the Szczecin Metropolitan Area. These institutions, as part of their duties, are responsible for choosing projects for co-financing (taking into account the entire process from call announcement, up to settlement and control of projects), monitoring data of ZV ROP, including the Performance Framework, carrying out information, promotion and training activities in the area of ZV ROP and coordinating the entire system.</w:t>
      </w:r>
    </w:p>
    <w:p w14:paraId="05596FF9" w14:textId="77777777" w:rsidR="00720FE9" w:rsidRPr="00720FE9" w:rsidRDefault="00720FE9" w:rsidP="001E6254">
      <w:pPr>
        <w:rPr>
          <w:rFonts w:cs="Arial"/>
          <w:color w:val="000000"/>
          <w:szCs w:val="20"/>
          <w:shd w:val="clear" w:color="auto" w:fill="FFFFFF"/>
          <w:lang w:val="en-US"/>
        </w:rPr>
      </w:pPr>
      <w:r w:rsidRPr="00720FE9">
        <w:rPr>
          <w:color w:val="000000"/>
          <w:szCs w:val="20"/>
          <w:shd w:val="clear" w:color="auto" w:fill="FFFFFF"/>
          <w:lang w:val="en-US"/>
        </w:rPr>
        <w:t xml:space="preserve">Activities undertaken as part of the institutional system efficiently support the implementation of ZV ROP. This is testified by the high level of achieving the Performance Framework indicators. During the implementation of the Programme to-date, threats had been detected of failing to achieve the target values of indicators, yet the MA and the IB undertook remedial measures in order to eliminate them. The identified difficulties were often related to low interest of applicants in applying for funds from some measures of ZV ROP 2014-2020. The MA and the IB undertook activities aimed at increasing the number of applying entities, namely: meetings, e-mail and telephone consultations, trainings for potential applicants, announcing additional calls or extension of the current ones. In case of necessity, consultations were also held with representatives of the Ministry of Investments and Economic Development and the EC, with a view of developing the necessary changes. Activities which were applied in the implementation system were adequate with respect to the detected problems. Analysis of the status of implementation of projects and the estimated number of projects which will end in next years of the current financial perspective shows that the institutions engaged in the implementation of ZV ROP 2014-2020 are ready to accept potential additional obligations resulting from the granting of extra funds. The majority of currently implemented projects which are the main encumbrance factor of employees will end in 2019 and 2020, whereas the number of new projects that will be chosen for co-financing will not be so high. In relation to this, the resources which are at the disposal of institutions nowadays seem to ensure further efficient implementation of the Programme. </w:t>
      </w:r>
    </w:p>
    <w:p w14:paraId="53294E64" w14:textId="77777777" w:rsidR="00720FE9" w:rsidRPr="00720FE9" w:rsidRDefault="00720FE9" w:rsidP="001E6254">
      <w:pPr>
        <w:rPr>
          <w:rFonts w:cs="Arial"/>
          <w:color w:val="000000"/>
          <w:szCs w:val="20"/>
          <w:shd w:val="clear" w:color="auto" w:fill="FFFFFF"/>
          <w:lang w:val="en-US"/>
        </w:rPr>
      </w:pPr>
      <w:r w:rsidRPr="00720FE9">
        <w:rPr>
          <w:color w:val="000000"/>
          <w:szCs w:val="20"/>
          <w:shd w:val="clear" w:color="auto" w:fill="FFFFFF"/>
          <w:lang w:val="en-US"/>
        </w:rPr>
        <w:lastRenderedPageBreak/>
        <w:t>Improvements which could be implemented primarily include better communication inside the MA (between the Division for Strategic Management (WZS) and the Division for Implementation of the Regional Operational Programme (WWRPO)) and between the MA and the individual IB. In order to engage qualified personnel in implementation of the Programme, it is worth focusing on specialist training for the current personnel or launching attractive pay and non-pay schemes, which may attract external experts to the institutions involved in the system of implementation of ZV ROP.</w:t>
      </w:r>
    </w:p>
    <w:p w14:paraId="72B12F3D" w14:textId="77777777" w:rsidR="00720FE9" w:rsidRPr="00720FE9" w:rsidRDefault="00720FE9" w:rsidP="001E6254">
      <w:pPr>
        <w:rPr>
          <w:i/>
          <w:color w:val="4F81BD"/>
          <w:lang w:val="en-US"/>
        </w:rPr>
      </w:pPr>
      <w:r w:rsidRPr="00720FE9">
        <w:rPr>
          <w:i/>
          <w:color w:val="4F81BD"/>
          <w:lang w:val="en-US"/>
        </w:rPr>
        <w:t>Efficient Implementation of Horizontal Principles as Part of ZV ROP 2014-2020</w:t>
      </w:r>
    </w:p>
    <w:p w14:paraId="126E19FE" w14:textId="77777777" w:rsidR="00720FE9" w:rsidRPr="00720FE9" w:rsidRDefault="00720FE9" w:rsidP="001E6254">
      <w:pPr>
        <w:rPr>
          <w:color w:val="4F81BD"/>
          <w:szCs w:val="20"/>
          <w:lang w:val="en-US"/>
        </w:rPr>
      </w:pPr>
      <w:r w:rsidRPr="00720FE9">
        <w:rPr>
          <w:lang w:val="en-US"/>
        </w:rPr>
        <w:t>As part of ZV ROP 2014-2020, implementation of projects in line with the logic of interventions is, by assumption, meant to impact the principle of sustainable development, equal opportunities, non-discrimination and gender equality. The necessity of fulfilling the horizontal principles is one of the elements of project selection criteria, both in case of the ESF and the ERDF; this element is the criterion of admissibility. Each of the funds has a slightly different specifics and different emphasis is placed in its implementation on the performance of individual horizontal principles. As part of the announced calls, the applicants could participate in trainings and meetings aimed at clarification of doubts related to the inclusion of horizontal principles. Information about the meetings was published on the ZV ROP website (</w:t>
      </w:r>
      <w:hyperlink r:id="rId17" w:history="1">
        <w:r w:rsidRPr="00720FE9">
          <w:rPr>
            <w:rStyle w:val="Hipercze"/>
            <w:szCs w:val="20"/>
            <w:lang w:val="en-US"/>
          </w:rPr>
          <w:t>http://www.rpo.wzp.pl</w:t>
        </w:r>
      </w:hyperlink>
      <w:r w:rsidRPr="00720FE9">
        <w:rPr>
          <w:lang w:val="en-US"/>
        </w:rPr>
        <w:t>). The degree of implementation of horizontal principles in the implementation system of ZV ROP 2014-2020 was evaluated positively. Implementation of horizontal principles is fostered by the adopted selection criteria of projects, including the above principles and criteria allowing for selection of projects, primarily including the principle pertaining to the equal opportunities for men and women and persons with disabilities, principles of universal design and the principle of sustainable development. The issues of implementation of horizontal principles are also the object of evaluation during the project implementation and after its end. Performance of projects in compliance with the horizontal principles does not encounter greater difficulties.</w:t>
      </w:r>
    </w:p>
    <w:p w14:paraId="24E7EF3B" w14:textId="77777777" w:rsidR="00720FE9" w:rsidRPr="00720FE9" w:rsidRDefault="00720FE9" w:rsidP="001E6254">
      <w:pPr>
        <w:rPr>
          <w:i/>
          <w:color w:val="4F81BD"/>
          <w:lang w:val="en-US"/>
        </w:rPr>
      </w:pPr>
      <w:r w:rsidRPr="00720FE9">
        <w:rPr>
          <w:i/>
          <w:color w:val="4F81BD"/>
          <w:lang w:val="en-US"/>
        </w:rPr>
        <w:t>Contribution of ZV ROP 2014-2020 to Achievement of Europe 2020 Strategy</w:t>
      </w:r>
    </w:p>
    <w:p w14:paraId="3CC81BB9" w14:textId="70D1689F" w:rsidR="00803660" w:rsidRPr="00720FE9" w:rsidRDefault="00720FE9" w:rsidP="001E6254">
      <w:pPr>
        <w:rPr>
          <w:lang w:val="en-US"/>
        </w:rPr>
      </w:pPr>
      <w:r w:rsidRPr="00720FE9">
        <w:rPr>
          <w:lang w:val="en-US"/>
        </w:rPr>
        <w:t>Aid granted as part of priority axes of ZV ROP has dual impact on the achievement of objectives of Europe 2020 Strategy: direct and indirect. Given the availability of data, the quantity analysis pertains exclusively to the direct impact. In line with such assumption, achieving the objectives of the Strategy in the 2020/2023 perspective is probable in reference to the employment indicator, higher education of persons aged 30 - 34 and poverty. In the first case, the share of ZV ROP is relatively low; in the second case, it is none (there are no activities addressing this aspect; furthermore, this absence testifies to cost efficiency of the intervention); in the third one, it is moderate. In reference to the R&amp;D activities, the national objectives (or, what is more, the European objective) will not be achieved in the designated time horizon in spite of progress. Nevertheless, it is necessary to highlight the relatively considerable contribution of the ROP to the observed progress. Environmental activities do not offer the expected results: both the emission of greenhouse gases and the consumption of primary energy are growing, even though their reduction was planned. This state of affairs results most probably from the prevalence of the scale of indirect effects over direct effects (for example, development of entrepreneurship, which is also supported as part of ZV ROP, naturally translates to higher emission). This is not only the case in the Zachodniopomorskie Voivodeship. Finally, the contribution of ZV ROP to increased share of RES in the energy mix was not estimated due to the absence of data on the level of the region.</w:t>
      </w:r>
    </w:p>
    <w:p w14:paraId="63DC5DB3" w14:textId="77777777" w:rsidR="00803660" w:rsidRPr="00C22C26" w:rsidRDefault="00803660" w:rsidP="005D4915">
      <w:pPr>
        <w:rPr>
          <w:szCs w:val="20"/>
          <w:lang w:val="en-US"/>
        </w:rPr>
      </w:pPr>
    </w:p>
    <w:p w14:paraId="18037F89" w14:textId="77777777" w:rsidR="00036F5B" w:rsidRPr="00C22C26" w:rsidRDefault="00036F5B">
      <w:pPr>
        <w:spacing w:before="0" w:after="0" w:line="240" w:lineRule="auto"/>
        <w:jc w:val="left"/>
        <w:rPr>
          <w:b/>
          <w:bCs/>
          <w:color w:val="365F91"/>
          <w:sz w:val="28"/>
          <w:szCs w:val="28"/>
          <w:lang w:val="en-US"/>
        </w:rPr>
      </w:pPr>
      <w:bookmarkStart w:id="6" w:name="_Toc200062"/>
      <w:r w:rsidRPr="00C22C26">
        <w:rPr>
          <w:lang w:val="en-US"/>
        </w:rPr>
        <w:br w:type="page"/>
      </w:r>
    </w:p>
    <w:p w14:paraId="594066A3" w14:textId="77777777" w:rsidR="00C10C7F" w:rsidRPr="00801DB4" w:rsidRDefault="00BE254B" w:rsidP="00D45914">
      <w:pPr>
        <w:pStyle w:val="Nagwek1"/>
      </w:pPr>
      <w:bookmarkStart w:id="7" w:name="_Toc6523742"/>
      <w:r w:rsidRPr="00801DB4">
        <w:lastRenderedPageBreak/>
        <w:t>WPROWADZENIE</w:t>
      </w:r>
      <w:bookmarkEnd w:id="6"/>
      <w:bookmarkEnd w:id="7"/>
    </w:p>
    <w:p w14:paraId="16AE5A14" w14:textId="77777777" w:rsidR="009639CE" w:rsidRPr="00404DA5" w:rsidRDefault="009639CE" w:rsidP="00A25B8B">
      <w:pPr>
        <w:rPr>
          <w:rFonts w:eastAsia="Calibri" w:cs="Calibri"/>
          <w:i/>
          <w:color w:val="4F81BD"/>
          <w:sz w:val="22"/>
          <w:szCs w:val="22"/>
        </w:rPr>
      </w:pPr>
      <w:r w:rsidRPr="00404DA5">
        <w:rPr>
          <w:rFonts w:eastAsia="Calibri" w:cs="Calibri"/>
          <w:i/>
          <w:color w:val="4F81BD"/>
          <w:sz w:val="22"/>
          <w:szCs w:val="22"/>
        </w:rPr>
        <w:t>Cele badania</w:t>
      </w:r>
    </w:p>
    <w:p w14:paraId="39C26318" w14:textId="77777777" w:rsidR="009639CE" w:rsidRPr="00801DB4" w:rsidRDefault="00E40C8E" w:rsidP="00A25B8B">
      <w:pPr>
        <w:rPr>
          <w:szCs w:val="20"/>
        </w:rPr>
      </w:pPr>
      <w:r w:rsidRPr="00801DB4">
        <w:rPr>
          <w:szCs w:val="20"/>
        </w:rPr>
        <w:t>Głównym celem przeprowadzonego badania ewaluacyjnego była ocena mid-term postępu rzeczowego RPO WZ 2014-2020 dla potrzeb przeglądu śródokresowego,</w:t>
      </w:r>
      <w:r w:rsidR="00E66B89">
        <w:rPr>
          <w:szCs w:val="20"/>
        </w:rPr>
        <w:t xml:space="preserve"> w </w:t>
      </w:r>
      <w:r w:rsidRPr="00801DB4">
        <w:rPr>
          <w:szCs w:val="20"/>
        </w:rPr>
        <w:t>tym realizacji zapisów ram</w:t>
      </w:r>
      <w:r w:rsidR="00E66B89">
        <w:rPr>
          <w:szCs w:val="20"/>
        </w:rPr>
        <w:t xml:space="preserve"> i </w:t>
      </w:r>
      <w:r w:rsidRPr="00801DB4">
        <w:rPr>
          <w:szCs w:val="20"/>
        </w:rPr>
        <w:t xml:space="preserve">rezerwy wykonania. Cel ten został osiągnięty poprzez następujące cele szczegółowe: </w:t>
      </w:r>
    </w:p>
    <w:p w14:paraId="7160618A" w14:textId="77777777" w:rsidR="009639CE" w:rsidRPr="00801DB4" w:rsidRDefault="00E40C8E" w:rsidP="00093E14">
      <w:pPr>
        <w:pStyle w:val="Akapitzlist"/>
        <w:numPr>
          <w:ilvl w:val="0"/>
          <w:numId w:val="2"/>
        </w:numPr>
        <w:spacing w:after="120" w:line="288" w:lineRule="auto"/>
        <w:contextualSpacing w:val="0"/>
        <w:rPr>
          <w:rFonts w:ascii="Lato" w:hAnsi="Lato"/>
          <w:sz w:val="20"/>
          <w:szCs w:val="20"/>
        </w:rPr>
      </w:pPr>
      <w:r w:rsidRPr="00801DB4">
        <w:rPr>
          <w:rFonts w:ascii="Lato" w:hAnsi="Lato"/>
          <w:sz w:val="20"/>
          <w:szCs w:val="20"/>
        </w:rPr>
        <w:t>Ocenę postępu rzeczowego</w:t>
      </w:r>
      <w:r w:rsidR="00E66B89">
        <w:rPr>
          <w:rFonts w:ascii="Lato" w:hAnsi="Lato"/>
          <w:sz w:val="20"/>
          <w:szCs w:val="20"/>
        </w:rPr>
        <w:t xml:space="preserve"> i </w:t>
      </w:r>
      <w:r w:rsidRPr="00801DB4">
        <w:rPr>
          <w:rFonts w:ascii="Lato" w:hAnsi="Lato"/>
          <w:sz w:val="20"/>
          <w:szCs w:val="20"/>
        </w:rPr>
        <w:t>finansowego Regionalnego Programu Operacyjnego Województwa Zachodniopomorskiego 2014-2020 na poziomie osi</w:t>
      </w:r>
      <w:r w:rsidR="00E66B89">
        <w:rPr>
          <w:rFonts w:ascii="Lato" w:hAnsi="Lato"/>
          <w:sz w:val="20"/>
          <w:szCs w:val="20"/>
        </w:rPr>
        <w:t xml:space="preserve"> i </w:t>
      </w:r>
      <w:r w:rsidRPr="00801DB4">
        <w:rPr>
          <w:rFonts w:ascii="Lato" w:hAnsi="Lato"/>
          <w:sz w:val="20"/>
          <w:szCs w:val="20"/>
        </w:rPr>
        <w:t>priorytetów inwestycyjnych poprzez ocenę realizacji założonych wartości pośrednich</w:t>
      </w:r>
      <w:r w:rsidR="00E66B89">
        <w:rPr>
          <w:rFonts w:ascii="Lato" w:hAnsi="Lato"/>
          <w:sz w:val="20"/>
          <w:szCs w:val="20"/>
        </w:rPr>
        <w:t xml:space="preserve"> i </w:t>
      </w:r>
      <w:r w:rsidRPr="00801DB4">
        <w:rPr>
          <w:rFonts w:ascii="Lato" w:hAnsi="Lato"/>
          <w:sz w:val="20"/>
          <w:szCs w:val="20"/>
        </w:rPr>
        <w:t xml:space="preserve">docelowych wskaźników; </w:t>
      </w:r>
    </w:p>
    <w:p w14:paraId="198AD276" w14:textId="77777777" w:rsidR="009639CE" w:rsidRPr="00801DB4" w:rsidRDefault="00E40C8E" w:rsidP="00093E14">
      <w:pPr>
        <w:pStyle w:val="Akapitzlist"/>
        <w:numPr>
          <w:ilvl w:val="0"/>
          <w:numId w:val="2"/>
        </w:numPr>
        <w:spacing w:after="120" w:line="288" w:lineRule="auto"/>
        <w:contextualSpacing w:val="0"/>
        <w:rPr>
          <w:rFonts w:ascii="Lato" w:hAnsi="Lato"/>
          <w:sz w:val="20"/>
          <w:szCs w:val="20"/>
        </w:rPr>
      </w:pPr>
      <w:r w:rsidRPr="00801DB4">
        <w:rPr>
          <w:rFonts w:ascii="Lato" w:hAnsi="Lato"/>
          <w:sz w:val="20"/>
          <w:szCs w:val="20"/>
        </w:rPr>
        <w:t>Ocenę wkładu interwencji Regionalnego Programu Operacyjnego Województwa Zachodniopomorskiego 2014-2020</w:t>
      </w:r>
      <w:r w:rsidR="00E66B89">
        <w:rPr>
          <w:rFonts w:ascii="Lato" w:hAnsi="Lato"/>
          <w:sz w:val="20"/>
          <w:szCs w:val="20"/>
        </w:rPr>
        <w:t xml:space="preserve"> w </w:t>
      </w:r>
      <w:r w:rsidRPr="00801DB4">
        <w:rPr>
          <w:rFonts w:ascii="Lato" w:hAnsi="Lato"/>
          <w:sz w:val="20"/>
          <w:szCs w:val="20"/>
        </w:rPr>
        <w:t xml:space="preserve">realizację celów Strategii Europa 2020 na poziomie osi priorytetowych; </w:t>
      </w:r>
    </w:p>
    <w:p w14:paraId="7DB8BEEC" w14:textId="77777777" w:rsidR="009639CE" w:rsidRPr="00801DB4" w:rsidRDefault="00E40C8E" w:rsidP="00093E14">
      <w:pPr>
        <w:pStyle w:val="Akapitzlist"/>
        <w:numPr>
          <w:ilvl w:val="0"/>
          <w:numId w:val="2"/>
        </w:numPr>
        <w:spacing w:after="120" w:line="288" w:lineRule="auto"/>
        <w:contextualSpacing w:val="0"/>
        <w:rPr>
          <w:rFonts w:ascii="Lato" w:hAnsi="Lato"/>
          <w:sz w:val="20"/>
          <w:szCs w:val="20"/>
        </w:rPr>
      </w:pPr>
      <w:r w:rsidRPr="00801DB4">
        <w:rPr>
          <w:rFonts w:ascii="Lato" w:hAnsi="Lato"/>
          <w:sz w:val="20"/>
          <w:szCs w:val="20"/>
        </w:rPr>
        <w:t>Analizę realizacji założonych wskaźników wartości pośrednich</w:t>
      </w:r>
      <w:r w:rsidR="00E66B89">
        <w:rPr>
          <w:rFonts w:ascii="Lato" w:hAnsi="Lato"/>
          <w:sz w:val="20"/>
          <w:szCs w:val="20"/>
        </w:rPr>
        <w:t xml:space="preserve"> i </w:t>
      </w:r>
      <w:r w:rsidRPr="00801DB4">
        <w:rPr>
          <w:rFonts w:ascii="Lato" w:hAnsi="Lato"/>
          <w:sz w:val="20"/>
          <w:szCs w:val="20"/>
        </w:rPr>
        <w:t>docelowych wskaźników ustanowionych dla priorytetów Regionalnego Programu Operacyjnego Województwa Zachodniopomorskiego 2014-2020 wraz</w:t>
      </w:r>
      <w:r w:rsidR="00E66B89">
        <w:rPr>
          <w:rFonts w:ascii="Lato" w:hAnsi="Lato"/>
          <w:sz w:val="20"/>
          <w:szCs w:val="20"/>
        </w:rPr>
        <w:t xml:space="preserve"> z </w:t>
      </w:r>
      <w:r w:rsidRPr="00801DB4">
        <w:rPr>
          <w:rFonts w:ascii="Lato" w:hAnsi="Lato"/>
          <w:sz w:val="20"/>
          <w:szCs w:val="20"/>
        </w:rPr>
        <w:t xml:space="preserve">komentarzem; </w:t>
      </w:r>
    </w:p>
    <w:p w14:paraId="33815D92" w14:textId="77777777" w:rsidR="009639CE" w:rsidRPr="00801DB4" w:rsidRDefault="00E40C8E" w:rsidP="00093E14">
      <w:pPr>
        <w:pStyle w:val="Akapitzlist"/>
        <w:numPr>
          <w:ilvl w:val="0"/>
          <w:numId w:val="2"/>
        </w:numPr>
        <w:spacing w:after="120" w:line="288" w:lineRule="auto"/>
        <w:contextualSpacing w:val="0"/>
        <w:rPr>
          <w:rFonts w:ascii="Lato" w:hAnsi="Lato"/>
          <w:sz w:val="20"/>
          <w:szCs w:val="20"/>
        </w:rPr>
      </w:pPr>
      <w:r w:rsidRPr="00801DB4">
        <w:rPr>
          <w:rFonts w:ascii="Lato" w:hAnsi="Lato"/>
          <w:sz w:val="20"/>
          <w:szCs w:val="20"/>
        </w:rPr>
        <w:t>Analizę potencjału osi priorytetowych do przyjęcia</w:t>
      </w:r>
      <w:r w:rsidR="00E66B89">
        <w:rPr>
          <w:rFonts w:ascii="Lato" w:hAnsi="Lato"/>
          <w:sz w:val="20"/>
          <w:szCs w:val="20"/>
        </w:rPr>
        <w:t xml:space="preserve"> i </w:t>
      </w:r>
      <w:r w:rsidRPr="00801DB4">
        <w:rPr>
          <w:rFonts w:ascii="Lato" w:hAnsi="Lato"/>
          <w:sz w:val="20"/>
          <w:szCs w:val="20"/>
        </w:rPr>
        <w:t>wykorzystania dodatkowych środków przesuniętych</w:t>
      </w:r>
      <w:r w:rsidR="00E66B89">
        <w:rPr>
          <w:rFonts w:ascii="Lato" w:hAnsi="Lato"/>
          <w:sz w:val="20"/>
          <w:szCs w:val="20"/>
        </w:rPr>
        <w:t xml:space="preserve"> w </w:t>
      </w:r>
      <w:r w:rsidRPr="00801DB4">
        <w:rPr>
          <w:rFonts w:ascii="Lato" w:hAnsi="Lato"/>
          <w:sz w:val="20"/>
          <w:szCs w:val="20"/>
        </w:rPr>
        <w:t>ramach Regionalnego Programu Operacyjnego Województwa Zachodniopomorskiego 2014-2020 lub innych programów operacyjnych, uwzględniająca zmiany społeczno-gospodarcze</w:t>
      </w:r>
      <w:r w:rsidR="00E66B89">
        <w:rPr>
          <w:rFonts w:ascii="Lato" w:hAnsi="Lato"/>
          <w:sz w:val="20"/>
          <w:szCs w:val="20"/>
        </w:rPr>
        <w:t xml:space="preserve"> i </w:t>
      </w:r>
      <w:r w:rsidRPr="00801DB4">
        <w:rPr>
          <w:rFonts w:ascii="Lato" w:hAnsi="Lato"/>
          <w:sz w:val="20"/>
          <w:szCs w:val="20"/>
        </w:rPr>
        <w:t xml:space="preserve">trendy rozwojowe regionu; </w:t>
      </w:r>
    </w:p>
    <w:p w14:paraId="04EF6B01" w14:textId="77777777" w:rsidR="00C10C7F" w:rsidRPr="00801DB4" w:rsidRDefault="00E40C8E" w:rsidP="00093E14">
      <w:pPr>
        <w:pStyle w:val="Akapitzlist"/>
        <w:numPr>
          <w:ilvl w:val="0"/>
          <w:numId w:val="2"/>
        </w:numPr>
        <w:spacing w:after="120" w:line="288" w:lineRule="auto"/>
        <w:contextualSpacing w:val="0"/>
        <w:rPr>
          <w:rFonts w:ascii="Lato" w:hAnsi="Lato"/>
          <w:sz w:val="20"/>
          <w:szCs w:val="20"/>
        </w:rPr>
      </w:pPr>
      <w:r w:rsidRPr="00801DB4">
        <w:rPr>
          <w:rFonts w:ascii="Lato" w:hAnsi="Lato"/>
          <w:sz w:val="20"/>
          <w:szCs w:val="20"/>
        </w:rPr>
        <w:t>Wypracowanie rekomendacji</w:t>
      </w:r>
      <w:r w:rsidR="00E66B89">
        <w:rPr>
          <w:rFonts w:ascii="Lato" w:hAnsi="Lato"/>
          <w:sz w:val="20"/>
          <w:szCs w:val="20"/>
        </w:rPr>
        <w:t xml:space="preserve"> w </w:t>
      </w:r>
      <w:r w:rsidRPr="00801DB4">
        <w:rPr>
          <w:rFonts w:ascii="Lato" w:hAnsi="Lato"/>
          <w:sz w:val="20"/>
          <w:szCs w:val="20"/>
        </w:rPr>
        <w:t>zakresie wsparcia procesu zarządzania rezerwą wykonania</w:t>
      </w:r>
      <w:r w:rsidR="00E66B89">
        <w:rPr>
          <w:rFonts w:ascii="Lato" w:hAnsi="Lato"/>
          <w:sz w:val="20"/>
          <w:szCs w:val="20"/>
        </w:rPr>
        <w:t xml:space="preserve"> i </w:t>
      </w:r>
      <w:r w:rsidRPr="00801DB4">
        <w:rPr>
          <w:rFonts w:ascii="Lato" w:hAnsi="Lato"/>
          <w:sz w:val="20"/>
          <w:szCs w:val="20"/>
        </w:rPr>
        <w:t>ukierunkowania inwestycji, które zostaną sfinansowane ze środków rezerwy wykonania po przeprowadzeniu śródokresowego przeglądu wyników.</w:t>
      </w:r>
    </w:p>
    <w:p w14:paraId="6FE8CB58" w14:textId="77777777" w:rsidR="009639CE" w:rsidRPr="00404DA5" w:rsidRDefault="009639CE" w:rsidP="00A25B8B">
      <w:pPr>
        <w:rPr>
          <w:rFonts w:eastAsia="Calibri" w:cs="Calibri"/>
          <w:i/>
          <w:color w:val="4F81BD"/>
          <w:sz w:val="22"/>
          <w:szCs w:val="22"/>
        </w:rPr>
      </w:pPr>
      <w:r w:rsidRPr="00404DA5">
        <w:rPr>
          <w:rFonts w:eastAsia="Calibri" w:cs="Calibri"/>
          <w:i/>
          <w:color w:val="4F81BD"/>
          <w:sz w:val="22"/>
          <w:szCs w:val="22"/>
        </w:rPr>
        <w:t>Kryteria ewaluacji</w:t>
      </w:r>
    </w:p>
    <w:p w14:paraId="50CDE1D5" w14:textId="77777777" w:rsidR="009639CE" w:rsidRPr="00404DA5" w:rsidRDefault="009639CE" w:rsidP="00A25B8B">
      <w:pPr>
        <w:autoSpaceDE w:val="0"/>
        <w:autoSpaceDN w:val="0"/>
        <w:adjustRightInd w:val="0"/>
        <w:rPr>
          <w:rFonts w:eastAsia="Calibri" w:cs="Calibri"/>
          <w:szCs w:val="20"/>
        </w:rPr>
      </w:pPr>
      <w:r w:rsidRPr="00404DA5">
        <w:rPr>
          <w:rFonts w:eastAsia="Calibri" w:cs="Calibri"/>
          <w:szCs w:val="20"/>
        </w:rPr>
        <w:t>Przyjęte na potrzeby badania przez Zamawiającego kryteria ewaluacji: skuteczność, efektywność oraz użyteczność, służyły wskazaniu, co</w:t>
      </w:r>
      <w:r w:rsidR="00E66B89">
        <w:rPr>
          <w:rFonts w:eastAsia="Calibri" w:cs="Calibri"/>
          <w:szCs w:val="20"/>
        </w:rPr>
        <w:t xml:space="preserve"> w </w:t>
      </w:r>
      <w:r w:rsidRPr="00404DA5">
        <w:rPr>
          <w:rFonts w:eastAsia="Calibri" w:cs="Calibri"/>
          <w:szCs w:val="20"/>
        </w:rPr>
        <w:t>ramach prowadzonej ewaluacji podlegało ocenie.</w:t>
      </w:r>
    </w:p>
    <w:p w14:paraId="055D93C1" w14:textId="77777777" w:rsidR="009639CE" w:rsidRPr="00801DB4" w:rsidRDefault="009639CE" w:rsidP="00093E14">
      <w:pPr>
        <w:numPr>
          <w:ilvl w:val="0"/>
          <w:numId w:val="3"/>
        </w:numPr>
        <w:rPr>
          <w:rFonts w:eastAsia="Lato,TT16Ft00"/>
          <w:szCs w:val="20"/>
        </w:rPr>
      </w:pPr>
      <w:r w:rsidRPr="00801DB4">
        <w:rPr>
          <w:rFonts w:eastAsia="Lato,TT16Ft00"/>
          <w:szCs w:val="20"/>
        </w:rPr>
        <w:t xml:space="preserve">Skuteczność </w:t>
      </w:r>
      <w:r w:rsidR="009D46E5" w:rsidRPr="009D46E5">
        <w:rPr>
          <w:rFonts w:eastAsia="Lato,TT16Ft00"/>
          <w:szCs w:val="20"/>
        </w:rPr>
        <w:t>–</w:t>
      </w:r>
      <w:r w:rsidRPr="00801DB4">
        <w:rPr>
          <w:rFonts w:eastAsia="Lato,TT16Ft00"/>
          <w:szCs w:val="20"/>
        </w:rPr>
        <w:t xml:space="preserve"> pozwoliła ocenić wstępne efekty</w:t>
      </w:r>
      <w:r w:rsidR="00E66B89">
        <w:rPr>
          <w:rFonts w:eastAsia="Lato,TT16Ft00"/>
          <w:szCs w:val="20"/>
        </w:rPr>
        <w:t xml:space="preserve"> w </w:t>
      </w:r>
      <w:r w:rsidRPr="00801DB4">
        <w:rPr>
          <w:rFonts w:eastAsia="Lato,TT16Ft00"/>
          <w:szCs w:val="20"/>
        </w:rPr>
        <w:t xml:space="preserve">kontekście realizacji zakładanych celów (czy osiągnięto to, co zostało zaplanowane), skuteczność użytych metod, instytucji oraz wpływ czynników zewnętrznych na uzyskane, pierwsze efekty; </w:t>
      </w:r>
    </w:p>
    <w:p w14:paraId="71FA11C0" w14:textId="77777777" w:rsidR="009639CE" w:rsidRPr="00801DB4" w:rsidRDefault="009639CE" w:rsidP="00093E14">
      <w:pPr>
        <w:numPr>
          <w:ilvl w:val="0"/>
          <w:numId w:val="3"/>
        </w:numPr>
        <w:rPr>
          <w:rFonts w:eastAsia="Lato,TT16Ft00"/>
          <w:szCs w:val="20"/>
        </w:rPr>
      </w:pPr>
      <w:r w:rsidRPr="00801DB4">
        <w:rPr>
          <w:rFonts w:eastAsia="Lato,TT16Ft00"/>
          <w:szCs w:val="20"/>
        </w:rPr>
        <w:t>Efektywność – pozwoliła ocenić efektywność alokowanych zasobów, ustalając relację między nakładami, kosztami, zasobami</w:t>
      </w:r>
      <w:r w:rsidR="00E66B89">
        <w:rPr>
          <w:rFonts w:eastAsia="Lato,TT16Ft00"/>
          <w:szCs w:val="20"/>
        </w:rPr>
        <w:t xml:space="preserve"> a </w:t>
      </w:r>
      <w:r w:rsidRPr="00801DB4">
        <w:rPr>
          <w:rFonts w:eastAsia="Lato,TT16Ft00"/>
          <w:szCs w:val="20"/>
        </w:rPr>
        <w:t>osiągniętymi efektami interwencji;</w:t>
      </w:r>
    </w:p>
    <w:p w14:paraId="2187ED43" w14:textId="77777777" w:rsidR="009639CE" w:rsidRPr="00404DA5" w:rsidRDefault="009639CE" w:rsidP="00093E14">
      <w:pPr>
        <w:numPr>
          <w:ilvl w:val="0"/>
          <w:numId w:val="3"/>
        </w:numPr>
        <w:autoSpaceDE w:val="0"/>
        <w:autoSpaceDN w:val="0"/>
        <w:adjustRightInd w:val="0"/>
        <w:rPr>
          <w:rFonts w:eastAsia="Calibri" w:cs="Calibri"/>
          <w:szCs w:val="20"/>
        </w:rPr>
      </w:pPr>
      <w:r w:rsidRPr="00801DB4">
        <w:rPr>
          <w:rFonts w:eastAsia="Lato,TT16Ft00"/>
          <w:szCs w:val="20"/>
        </w:rPr>
        <w:t>Użyteczność – pozwoliła ocenić,</w:t>
      </w:r>
      <w:r w:rsidR="00E66B89">
        <w:rPr>
          <w:rFonts w:eastAsia="Lato,TT16Ft00"/>
          <w:szCs w:val="20"/>
        </w:rPr>
        <w:t xml:space="preserve"> w </w:t>
      </w:r>
      <w:r w:rsidRPr="00801DB4">
        <w:rPr>
          <w:rFonts w:eastAsia="Lato,TT16Ft00"/>
          <w:szCs w:val="20"/>
        </w:rPr>
        <w:t>jakim stopniu zidentyfikowane na etapie projektowania interwencji priorytety oraz uzyskane efekty są trafne</w:t>
      </w:r>
      <w:r w:rsidR="00E66B89">
        <w:rPr>
          <w:rFonts w:eastAsia="Lato,TT16Ft00"/>
          <w:szCs w:val="20"/>
        </w:rPr>
        <w:t xml:space="preserve"> w </w:t>
      </w:r>
      <w:r w:rsidRPr="00801DB4">
        <w:rPr>
          <w:rFonts w:eastAsia="Lato,TT16Ft00"/>
          <w:szCs w:val="20"/>
        </w:rPr>
        <w:t>kontekście obecnych wyzwań społeczno-gospodarczych.</w:t>
      </w:r>
    </w:p>
    <w:p w14:paraId="76A5D637" w14:textId="77777777" w:rsidR="009639CE" w:rsidRPr="00404DA5" w:rsidRDefault="009639CE" w:rsidP="00A25B8B">
      <w:pPr>
        <w:rPr>
          <w:rFonts w:eastAsia="Calibri" w:cs="Calibri"/>
          <w:i/>
          <w:color w:val="4F81BD"/>
          <w:sz w:val="22"/>
          <w:szCs w:val="22"/>
        </w:rPr>
      </w:pPr>
      <w:r w:rsidRPr="00404DA5">
        <w:rPr>
          <w:rFonts w:eastAsia="Calibri" w:cs="Calibri"/>
          <w:i/>
          <w:color w:val="4F81BD"/>
          <w:sz w:val="22"/>
          <w:szCs w:val="22"/>
        </w:rPr>
        <w:t xml:space="preserve">Uzasadnienie badania </w:t>
      </w:r>
    </w:p>
    <w:p w14:paraId="5317E2A2" w14:textId="77777777" w:rsidR="009639CE" w:rsidRPr="00404DA5" w:rsidRDefault="009639CE" w:rsidP="00A25B8B">
      <w:pPr>
        <w:rPr>
          <w:rFonts w:cs="Lato"/>
          <w:szCs w:val="20"/>
        </w:rPr>
      </w:pPr>
      <w:r w:rsidRPr="00404DA5">
        <w:rPr>
          <w:rFonts w:cs="Lato"/>
          <w:szCs w:val="20"/>
        </w:rPr>
        <w:t xml:space="preserve">Na podstawie </w:t>
      </w:r>
      <w:r w:rsidRPr="00404DA5">
        <w:rPr>
          <w:rFonts w:cs="Lato"/>
          <w:i/>
          <w:szCs w:val="20"/>
        </w:rPr>
        <w:t>Wytycznych</w:t>
      </w:r>
      <w:r w:rsidR="00E66B89">
        <w:rPr>
          <w:rFonts w:cs="Lato"/>
          <w:i/>
          <w:szCs w:val="20"/>
        </w:rPr>
        <w:t xml:space="preserve"> w </w:t>
      </w:r>
      <w:r w:rsidRPr="00404DA5">
        <w:rPr>
          <w:rFonts w:cs="Lato"/>
          <w:i/>
          <w:szCs w:val="20"/>
        </w:rPr>
        <w:t>zakresie ewaluacji polityki spójności na lata 2014-2020 Ministra Infrastruktury</w:t>
      </w:r>
      <w:r w:rsidR="00E66B89">
        <w:rPr>
          <w:rFonts w:cs="Lato"/>
          <w:i/>
          <w:szCs w:val="20"/>
        </w:rPr>
        <w:t xml:space="preserve"> i </w:t>
      </w:r>
      <w:r w:rsidRPr="00404DA5">
        <w:rPr>
          <w:rFonts w:cs="Lato"/>
          <w:i/>
          <w:szCs w:val="20"/>
        </w:rPr>
        <w:t>Rozwoju</w:t>
      </w:r>
      <w:r w:rsidRPr="00404DA5">
        <w:rPr>
          <w:rFonts w:cs="Lato"/>
          <w:szCs w:val="20"/>
        </w:rPr>
        <w:t>,</w:t>
      </w:r>
      <w:r w:rsidR="00E66B89">
        <w:rPr>
          <w:rFonts w:cs="Lato"/>
          <w:szCs w:val="20"/>
        </w:rPr>
        <w:t xml:space="preserve"> a </w:t>
      </w:r>
      <w:r w:rsidRPr="00404DA5">
        <w:rPr>
          <w:rFonts w:cs="Lato"/>
          <w:szCs w:val="20"/>
        </w:rPr>
        <w:t xml:space="preserve">także </w:t>
      </w:r>
      <w:r w:rsidRPr="00404DA5">
        <w:rPr>
          <w:rFonts w:cs="Lato"/>
          <w:i/>
          <w:szCs w:val="20"/>
        </w:rPr>
        <w:t>Planu Ewaluacji RPO WZ na lata 2014-2020</w:t>
      </w:r>
      <w:r w:rsidRPr="00404DA5">
        <w:rPr>
          <w:rFonts w:cs="Lato"/>
          <w:szCs w:val="20"/>
        </w:rPr>
        <w:t xml:space="preserve">, obowiązkiem jest przeprowadzenie ewaluacji mid-term do końca kwietnia 2019 r. </w:t>
      </w:r>
    </w:p>
    <w:p w14:paraId="565E34FF" w14:textId="77777777" w:rsidR="009639CE" w:rsidRPr="00404DA5" w:rsidRDefault="009639CE" w:rsidP="00A25B8B">
      <w:pPr>
        <w:rPr>
          <w:rFonts w:cs="Lato"/>
          <w:szCs w:val="20"/>
        </w:rPr>
      </w:pPr>
      <w:r w:rsidRPr="00404DA5">
        <w:rPr>
          <w:rFonts w:cs="Lato"/>
          <w:szCs w:val="20"/>
        </w:rPr>
        <w:t>Ewaluacja mid-term posłuży do określenia,</w:t>
      </w:r>
      <w:r w:rsidR="00E66B89">
        <w:rPr>
          <w:rFonts w:cs="Lato"/>
          <w:szCs w:val="20"/>
        </w:rPr>
        <w:t xml:space="preserve"> w </w:t>
      </w:r>
      <w:r w:rsidRPr="00404DA5">
        <w:rPr>
          <w:rFonts w:cs="Lato"/>
          <w:szCs w:val="20"/>
        </w:rPr>
        <w:t>jakim stopniu udało się osiągnąć zakładane cele, jak zmieniły się warunki zewnętrzne towarzyszące interwencji,</w:t>
      </w:r>
      <w:r w:rsidR="00E66B89">
        <w:rPr>
          <w:rFonts w:cs="Lato"/>
          <w:szCs w:val="20"/>
        </w:rPr>
        <w:t xml:space="preserve"> a </w:t>
      </w:r>
      <w:r w:rsidRPr="00404DA5">
        <w:rPr>
          <w:rFonts w:cs="Lato"/>
          <w:szCs w:val="20"/>
        </w:rPr>
        <w:t>przez to gdzie wymagana będzie modyfikacja przyjętych na etapie programowania założeń, oraz na ile skuteczny</w:t>
      </w:r>
      <w:r w:rsidR="00E66B89">
        <w:rPr>
          <w:rFonts w:cs="Lato"/>
          <w:szCs w:val="20"/>
        </w:rPr>
        <w:t xml:space="preserve"> w </w:t>
      </w:r>
      <w:r w:rsidRPr="00404DA5">
        <w:rPr>
          <w:rFonts w:cs="Lato"/>
          <w:szCs w:val="20"/>
        </w:rPr>
        <w:t xml:space="preserve">realizacji swoich celów jest system instytucjonalny wsparcia. </w:t>
      </w:r>
    </w:p>
    <w:p w14:paraId="7723F3CC" w14:textId="77777777" w:rsidR="009639CE" w:rsidRPr="00404DA5" w:rsidRDefault="009639CE" w:rsidP="00A25B8B">
      <w:pPr>
        <w:rPr>
          <w:rFonts w:cs="Lato"/>
          <w:szCs w:val="20"/>
        </w:rPr>
      </w:pPr>
      <w:r w:rsidRPr="00404DA5">
        <w:rPr>
          <w:rFonts w:cs="Lato"/>
          <w:szCs w:val="20"/>
        </w:rPr>
        <w:lastRenderedPageBreak/>
        <w:t>Na potrzeby realizacji polityki spójności</w:t>
      </w:r>
      <w:r w:rsidR="00E66B89">
        <w:rPr>
          <w:rFonts w:cs="Lato"/>
          <w:szCs w:val="20"/>
        </w:rPr>
        <w:t xml:space="preserve"> w </w:t>
      </w:r>
      <w:r w:rsidRPr="00404DA5">
        <w:rPr>
          <w:rFonts w:cs="Lato"/>
          <w:szCs w:val="20"/>
        </w:rPr>
        <w:t>perspektywie finansowej</w:t>
      </w:r>
      <w:r w:rsidR="00DE75EA">
        <w:rPr>
          <w:rFonts w:cs="Lato"/>
          <w:szCs w:val="20"/>
        </w:rPr>
        <w:t xml:space="preserve"> 2014-2020 ustanowione zostały Ramy W</w:t>
      </w:r>
      <w:r w:rsidRPr="00404DA5">
        <w:rPr>
          <w:rFonts w:cs="Lato"/>
          <w:szCs w:val="20"/>
        </w:rPr>
        <w:t>ykonania, wykorzystywane do mierzenia postępu we wdrażaniu środków unijnych we wszystkich osiach p</w:t>
      </w:r>
      <w:r w:rsidR="00DE75EA">
        <w:rPr>
          <w:rFonts w:cs="Lato"/>
          <w:szCs w:val="20"/>
        </w:rPr>
        <w:t>riorytetowych. Ocena wykonania R</w:t>
      </w:r>
      <w:r w:rsidRPr="00404DA5">
        <w:rPr>
          <w:rFonts w:cs="Lato"/>
          <w:szCs w:val="20"/>
        </w:rPr>
        <w:t>am stanowić będzie podstawę do dalszych analiz dotyczących skuteczności wdrażanej interwencji oraz dyskusji nad możliwymi kierunkami realokowania środków zabezpieczonych</w:t>
      </w:r>
      <w:r w:rsidR="00E66B89">
        <w:rPr>
          <w:rFonts w:cs="Lato"/>
          <w:szCs w:val="20"/>
        </w:rPr>
        <w:t xml:space="preserve"> w </w:t>
      </w:r>
      <w:r w:rsidRPr="00404DA5">
        <w:rPr>
          <w:rFonts w:cs="Lato"/>
          <w:szCs w:val="20"/>
        </w:rPr>
        <w:t>ramach rezerwy wykonania.</w:t>
      </w:r>
    </w:p>
    <w:p w14:paraId="394CDF28" w14:textId="77777777" w:rsidR="009639CE" w:rsidRPr="00404DA5" w:rsidRDefault="009639CE" w:rsidP="00A25B8B">
      <w:pPr>
        <w:rPr>
          <w:i/>
          <w:color w:val="4F81BD"/>
          <w:sz w:val="22"/>
          <w:szCs w:val="22"/>
        </w:rPr>
      </w:pPr>
      <w:bookmarkStart w:id="8" w:name="_Toc528965067"/>
      <w:r w:rsidRPr="00404DA5">
        <w:rPr>
          <w:i/>
          <w:color w:val="4F81BD"/>
          <w:sz w:val="22"/>
          <w:szCs w:val="22"/>
        </w:rPr>
        <w:t>Zakres czasowy badania</w:t>
      </w:r>
      <w:bookmarkEnd w:id="8"/>
    </w:p>
    <w:p w14:paraId="5519D9B9" w14:textId="77777777" w:rsidR="00E40C8E" w:rsidRPr="00404DA5" w:rsidRDefault="009639CE" w:rsidP="00A25B8B">
      <w:pPr>
        <w:rPr>
          <w:rFonts w:eastAsia="Calibri" w:cs="Calibri"/>
          <w:szCs w:val="20"/>
        </w:rPr>
      </w:pPr>
      <w:r w:rsidRPr="00404DA5">
        <w:rPr>
          <w:rFonts w:eastAsia="Calibri" w:cs="Calibri"/>
          <w:szCs w:val="20"/>
        </w:rPr>
        <w:t>Ewaluacja obejm</w:t>
      </w:r>
      <w:r w:rsidR="00D71518" w:rsidRPr="00404DA5">
        <w:rPr>
          <w:rFonts w:eastAsia="Calibri" w:cs="Calibri"/>
          <w:szCs w:val="20"/>
        </w:rPr>
        <w:t>owała</w:t>
      </w:r>
      <w:r w:rsidRPr="00404DA5">
        <w:rPr>
          <w:rFonts w:eastAsia="Calibri" w:cs="Calibri"/>
          <w:szCs w:val="20"/>
        </w:rPr>
        <w:t xml:space="preserve"> lata 2015-2018.</w:t>
      </w:r>
    </w:p>
    <w:p w14:paraId="5BC26007" w14:textId="77777777" w:rsidR="00D71518" w:rsidRPr="00404DA5" w:rsidRDefault="00BF7FE4" w:rsidP="00A25B8B">
      <w:pPr>
        <w:rPr>
          <w:i/>
          <w:color w:val="4F81BD"/>
          <w:sz w:val="22"/>
          <w:szCs w:val="22"/>
        </w:rPr>
      </w:pPr>
      <w:r w:rsidRPr="00404DA5">
        <w:rPr>
          <w:i/>
          <w:color w:val="4F81BD"/>
          <w:sz w:val="22"/>
          <w:szCs w:val="22"/>
        </w:rPr>
        <w:t>Zawartość</w:t>
      </w:r>
      <w:r w:rsidR="00D71518" w:rsidRPr="00404DA5">
        <w:rPr>
          <w:i/>
          <w:color w:val="4F81BD"/>
          <w:sz w:val="22"/>
          <w:szCs w:val="22"/>
        </w:rPr>
        <w:t xml:space="preserve"> raportu</w:t>
      </w:r>
    </w:p>
    <w:p w14:paraId="4AEAD3DE" w14:textId="77777777" w:rsidR="00D71518" w:rsidRPr="00801DB4" w:rsidRDefault="00D71518" w:rsidP="00A25B8B">
      <w:pPr>
        <w:pStyle w:val="evaluTresc"/>
      </w:pPr>
      <w:r w:rsidRPr="00801DB4">
        <w:t>Niniejszy raport końcowy stanowi drugi produkt badania,</w:t>
      </w:r>
      <w:r w:rsidR="00E66B89">
        <w:t xml:space="preserve"> w </w:t>
      </w:r>
      <w:r w:rsidRPr="00801DB4">
        <w:t>którym prezentowane są wszystkie wyniki badania wraz</w:t>
      </w:r>
      <w:r w:rsidR="00E66B89">
        <w:t xml:space="preserve"> z </w:t>
      </w:r>
      <w:r w:rsidRPr="00801DB4">
        <w:t>propozycją wniosków</w:t>
      </w:r>
      <w:r w:rsidR="00E66B89">
        <w:t xml:space="preserve"> i </w:t>
      </w:r>
      <w:r w:rsidRPr="00801DB4">
        <w:t>rekomendacji.</w:t>
      </w:r>
      <w:r w:rsidR="00E66B89">
        <w:t xml:space="preserve"> W </w:t>
      </w:r>
      <w:r w:rsidRPr="00801DB4">
        <w:t>rozdziale 3 przedstawiono ocenę postępu rzeczowego</w:t>
      </w:r>
      <w:r w:rsidR="00E66B89">
        <w:t xml:space="preserve"> i </w:t>
      </w:r>
      <w:r w:rsidRPr="00801DB4">
        <w:t>finansowego Regionalnego Programu Operacyjnego Województwa Zachodniopomorskiego 2014-2020 na poziomie osi</w:t>
      </w:r>
      <w:r w:rsidR="00E66B89">
        <w:t xml:space="preserve"> i </w:t>
      </w:r>
      <w:r w:rsidRPr="00801DB4">
        <w:t>priorytetów inwestycyjnych</w:t>
      </w:r>
      <w:r w:rsidR="00042989">
        <w:t xml:space="preserve"> (poniżej zamieszczono informację</w:t>
      </w:r>
      <w:r w:rsidR="00E66B89">
        <w:t xml:space="preserve"> o </w:t>
      </w:r>
      <w:r w:rsidR="00042989">
        <w:t>przypisaniu pytań badawczych do poszczególnych podrozdziałów)</w:t>
      </w:r>
      <w:r w:rsidRPr="00801DB4">
        <w:t>.</w:t>
      </w:r>
      <w:r w:rsidR="00E66B89">
        <w:t xml:space="preserve"> W </w:t>
      </w:r>
      <w:r w:rsidRPr="00801DB4">
        <w:t xml:space="preserve">rozdziale </w:t>
      </w:r>
      <w:r w:rsidR="00BF7FE4" w:rsidRPr="00801DB4">
        <w:t>4</w:t>
      </w:r>
      <w:r w:rsidRPr="00801DB4">
        <w:t xml:space="preserve"> znajduje się </w:t>
      </w:r>
      <w:r w:rsidR="00BF7FE4" w:rsidRPr="00801DB4">
        <w:t>ocena skuteczności mechanizmów terytorialnych</w:t>
      </w:r>
      <w:r w:rsidRPr="00801DB4">
        <w:t>.</w:t>
      </w:r>
      <w:r w:rsidR="00E66B89">
        <w:t xml:space="preserve"> W </w:t>
      </w:r>
      <w:r w:rsidR="00BF7FE4" w:rsidRPr="00801DB4">
        <w:t>rozdziale 5 dokonano analizy skuteczności zastosowanych form interwencji – dotacji, pomocy zwrotnej lub instrumentów finansowych. Rozdział 6 poświęcono ocenie skuteczności systemu zarządzania RPO WZ 2014-2020. Rozdział 7 przedstawia analizę stopnia realizacji zasad horyzontalnych</w:t>
      </w:r>
      <w:r w:rsidR="00E66B89">
        <w:t xml:space="preserve"> w </w:t>
      </w:r>
      <w:r w:rsidR="00BF7FE4" w:rsidRPr="00801DB4">
        <w:t>ramach Programu. Rozdział 8 zawiera ocenę wkładu interwencji RPO WZ 2014-2020</w:t>
      </w:r>
      <w:r w:rsidR="00E66B89">
        <w:t xml:space="preserve"> w </w:t>
      </w:r>
      <w:r w:rsidR="00BF7FE4" w:rsidRPr="00801DB4">
        <w:t>realizację celów Strategii Europa 2020.</w:t>
      </w:r>
      <w:r w:rsidR="008B706B">
        <w:t xml:space="preserve"> W </w:t>
      </w:r>
      <w:r w:rsidR="00803660" w:rsidRPr="00801DB4">
        <w:t xml:space="preserve">rozdziale </w:t>
      </w:r>
      <w:r w:rsidR="008323DB">
        <w:t>9</w:t>
      </w:r>
      <w:r w:rsidR="008323DB" w:rsidRPr="00801DB4">
        <w:t xml:space="preserve"> </w:t>
      </w:r>
      <w:r w:rsidR="00803660" w:rsidRPr="00801DB4">
        <w:t>zawarto tabelę wniosków</w:t>
      </w:r>
      <w:r w:rsidR="00E66B89">
        <w:t xml:space="preserve"> i </w:t>
      </w:r>
      <w:r w:rsidR="00BF7FE4" w:rsidRPr="00801DB4">
        <w:t xml:space="preserve">rekomendacji, które będą przedmiotem </w:t>
      </w:r>
      <w:r w:rsidR="00803660" w:rsidRPr="00801DB4">
        <w:t xml:space="preserve">dyskusji podczas </w:t>
      </w:r>
      <w:r w:rsidR="00BF7FE4" w:rsidRPr="00801DB4">
        <w:t>warsztatu implementacyjnego.</w:t>
      </w:r>
      <w:r w:rsidR="00803660" w:rsidRPr="00801DB4">
        <w:t xml:space="preserve"> Raport kończy się </w:t>
      </w:r>
      <w:r w:rsidR="00D276EA" w:rsidRPr="00801DB4">
        <w:t>przedstawianiem</w:t>
      </w:r>
      <w:r w:rsidR="00803660" w:rsidRPr="00801DB4">
        <w:t xml:space="preserve"> załączników oraz aneksów</w:t>
      </w:r>
      <w:r w:rsidR="00D276EA" w:rsidRPr="00801DB4">
        <w:t>.</w:t>
      </w:r>
    </w:p>
    <w:p w14:paraId="2DCED7FF" w14:textId="77777777" w:rsidR="00A25B8B" w:rsidRPr="00801DB4" w:rsidRDefault="00D71518" w:rsidP="00A25B8B">
      <w:pPr>
        <w:rPr>
          <w:szCs w:val="20"/>
        </w:rPr>
      </w:pPr>
      <w:r w:rsidRPr="00801DB4">
        <w:rPr>
          <w:szCs w:val="20"/>
        </w:rPr>
        <w:t>Do przeprowadzenia analiz oraz sformułowania wniosków wykorzystano informacje pochodzące</w:t>
      </w:r>
      <w:r w:rsidR="00E66B89">
        <w:rPr>
          <w:szCs w:val="20"/>
        </w:rPr>
        <w:t xml:space="preserve"> z </w:t>
      </w:r>
      <w:r w:rsidRPr="00801DB4">
        <w:rPr>
          <w:szCs w:val="20"/>
        </w:rPr>
        <w:t>wywiadów IDI</w:t>
      </w:r>
      <w:r w:rsidR="00E66B89">
        <w:rPr>
          <w:szCs w:val="20"/>
        </w:rPr>
        <w:t xml:space="preserve"> z </w:t>
      </w:r>
      <w:r w:rsidRPr="00801DB4">
        <w:rPr>
          <w:szCs w:val="20"/>
        </w:rPr>
        <w:t>przedstawicielami IZ</w:t>
      </w:r>
      <w:r w:rsidR="00E66B89">
        <w:rPr>
          <w:szCs w:val="20"/>
        </w:rPr>
        <w:t xml:space="preserve"> i </w:t>
      </w:r>
      <w:r w:rsidRPr="00801DB4">
        <w:rPr>
          <w:szCs w:val="20"/>
        </w:rPr>
        <w:t>IP RPO WZ 2014-2020,</w:t>
      </w:r>
      <w:r w:rsidR="00A25B8B" w:rsidRPr="00801DB4">
        <w:rPr>
          <w:szCs w:val="20"/>
        </w:rPr>
        <w:t xml:space="preserve"> wywiady TDI</w:t>
      </w:r>
      <w:r w:rsidR="00E66B89">
        <w:rPr>
          <w:szCs w:val="20"/>
        </w:rPr>
        <w:t xml:space="preserve"> z </w:t>
      </w:r>
      <w:r w:rsidR="00A25B8B" w:rsidRPr="00801DB4">
        <w:rPr>
          <w:szCs w:val="20"/>
        </w:rPr>
        <w:t>przedstawicielami Kontraktów Samorządowych, wywiady ITI</w:t>
      </w:r>
      <w:r w:rsidR="00E66B89">
        <w:rPr>
          <w:szCs w:val="20"/>
        </w:rPr>
        <w:t xml:space="preserve"> z </w:t>
      </w:r>
      <w:r w:rsidR="00A25B8B" w:rsidRPr="00801DB4">
        <w:rPr>
          <w:szCs w:val="20"/>
        </w:rPr>
        <w:t>przedstawicielami wybranych operatorów finansowych, benchmarking, wyniki badań ilościowych</w:t>
      </w:r>
      <w:r w:rsidR="00E66B89">
        <w:rPr>
          <w:szCs w:val="20"/>
        </w:rPr>
        <w:t xml:space="preserve"> z </w:t>
      </w:r>
      <w:r w:rsidR="00A25B8B" w:rsidRPr="00801DB4">
        <w:rPr>
          <w:szCs w:val="20"/>
        </w:rPr>
        <w:t>wnioskodawcami skutecznymi</w:t>
      </w:r>
      <w:r w:rsidR="00E66B89">
        <w:rPr>
          <w:szCs w:val="20"/>
        </w:rPr>
        <w:t xml:space="preserve"> i </w:t>
      </w:r>
      <w:r w:rsidR="00A25B8B" w:rsidRPr="00801DB4">
        <w:rPr>
          <w:szCs w:val="20"/>
        </w:rPr>
        <w:t>nieskutecznymi oraz odbiorcami wsparcia</w:t>
      </w:r>
      <w:r w:rsidR="00E66B89">
        <w:rPr>
          <w:szCs w:val="20"/>
        </w:rPr>
        <w:t xml:space="preserve"> w </w:t>
      </w:r>
      <w:r w:rsidR="00A25B8B" w:rsidRPr="00801DB4">
        <w:rPr>
          <w:szCs w:val="20"/>
        </w:rPr>
        <w:t>postaci instrumentów finansowych, panele ekspertów,</w:t>
      </w:r>
      <w:r w:rsidRPr="00801DB4">
        <w:rPr>
          <w:szCs w:val="20"/>
        </w:rPr>
        <w:t xml:space="preserve"> dane statystyczne GUS, STRATEG, EUROSTAT, dane pochodzące</w:t>
      </w:r>
      <w:r w:rsidR="00E66B89">
        <w:rPr>
          <w:szCs w:val="20"/>
        </w:rPr>
        <w:t xml:space="preserve"> z </w:t>
      </w:r>
      <w:r w:rsidRPr="00801DB4">
        <w:rPr>
          <w:szCs w:val="20"/>
        </w:rPr>
        <w:t>informacji kwartalnych, dane pochodzące</w:t>
      </w:r>
      <w:r w:rsidR="00E66B89">
        <w:rPr>
          <w:szCs w:val="20"/>
        </w:rPr>
        <w:t xml:space="preserve"> z </w:t>
      </w:r>
      <w:r w:rsidRPr="00801DB4">
        <w:rPr>
          <w:szCs w:val="20"/>
        </w:rPr>
        <w:t>SL2014</w:t>
      </w:r>
      <w:r w:rsidR="00A25B8B" w:rsidRPr="00801DB4">
        <w:rPr>
          <w:szCs w:val="20"/>
        </w:rPr>
        <w:t xml:space="preserve">, </w:t>
      </w:r>
      <w:r w:rsidRPr="00801DB4">
        <w:rPr>
          <w:szCs w:val="20"/>
        </w:rPr>
        <w:t>inne dane przekazane przez Zamawiającego</w:t>
      </w:r>
      <w:r w:rsidR="00A25B8B" w:rsidRPr="00801DB4">
        <w:rPr>
          <w:szCs w:val="20"/>
        </w:rPr>
        <w:t xml:space="preserve"> oraz analizy eksperckie</w:t>
      </w:r>
      <w:r w:rsidRPr="00801DB4">
        <w:rPr>
          <w:szCs w:val="20"/>
        </w:rPr>
        <w:t xml:space="preserve">. </w:t>
      </w:r>
    </w:p>
    <w:p w14:paraId="73411E23" w14:textId="77777777" w:rsidR="00D71518" w:rsidRDefault="00D71518" w:rsidP="00A25B8B">
      <w:pPr>
        <w:rPr>
          <w:szCs w:val="20"/>
        </w:rPr>
      </w:pPr>
      <w:r w:rsidRPr="00801DB4">
        <w:rPr>
          <w:szCs w:val="20"/>
        </w:rPr>
        <w:t>Wszystkie dane dotyczące liczby, wartości zawartych umów oraz poziomu kontraktacji prezentowane są wedle stanu</w:t>
      </w:r>
      <w:r w:rsidR="00E66B89">
        <w:rPr>
          <w:szCs w:val="20"/>
        </w:rPr>
        <w:t xml:space="preserve"> z </w:t>
      </w:r>
      <w:r w:rsidRPr="00801DB4">
        <w:rPr>
          <w:szCs w:val="20"/>
        </w:rPr>
        <w:t>dnia 07.01.2019 roku (dokonano stosownych obliczeń na podstawie danych SL2014 przekazanych przez Zamawiającego). Informacje na temat poziomu realizacji celów pośrednich Ram Wykonania przedstawiono wedle stanu</w:t>
      </w:r>
      <w:r w:rsidR="00E66B89">
        <w:rPr>
          <w:szCs w:val="20"/>
        </w:rPr>
        <w:t xml:space="preserve"> z </w:t>
      </w:r>
      <w:r w:rsidRPr="00801DB4">
        <w:rPr>
          <w:szCs w:val="20"/>
        </w:rPr>
        <w:t>31.12.2018 roku.</w:t>
      </w:r>
      <w:r w:rsidR="00A25B8B" w:rsidRPr="00801DB4">
        <w:rPr>
          <w:szCs w:val="20"/>
        </w:rPr>
        <w:t xml:space="preserve"> Informacje na temat poziomu realizacji pozostałych wskaźników produktu</w:t>
      </w:r>
      <w:r w:rsidR="00E66B89">
        <w:rPr>
          <w:szCs w:val="20"/>
        </w:rPr>
        <w:t xml:space="preserve"> i </w:t>
      </w:r>
      <w:r w:rsidR="00A25B8B" w:rsidRPr="00801DB4">
        <w:rPr>
          <w:szCs w:val="20"/>
        </w:rPr>
        <w:t>rezultatu bezpośredniego przedstawiono wedle stanu</w:t>
      </w:r>
      <w:r w:rsidR="00E66B89">
        <w:rPr>
          <w:szCs w:val="20"/>
        </w:rPr>
        <w:t xml:space="preserve"> z </w:t>
      </w:r>
      <w:r w:rsidR="00A25B8B" w:rsidRPr="00801DB4">
        <w:rPr>
          <w:szCs w:val="20"/>
        </w:rPr>
        <w:t>dnia 07.01.2019 r.</w:t>
      </w:r>
    </w:p>
    <w:p w14:paraId="242E1004" w14:textId="77777777" w:rsidR="00042989" w:rsidRPr="00404DA5" w:rsidRDefault="00042989" w:rsidP="00A25B8B">
      <w:pPr>
        <w:rPr>
          <w:rFonts w:eastAsia="Calibri" w:cs="Calibri"/>
          <w:szCs w:val="20"/>
        </w:rPr>
      </w:pPr>
      <w:r w:rsidRPr="00404DA5">
        <w:rPr>
          <w:rFonts w:eastAsia="Calibri" w:cs="Calibri"/>
          <w:szCs w:val="20"/>
        </w:rPr>
        <w:t>Poniżej przedstawiono strukturę rozdziału 3 tj. przypisan</w:t>
      </w:r>
      <w:r w:rsidR="00292FD7" w:rsidRPr="00404DA5">
        <w:rPr>
          <w:rFonts w:eastAsia="Calibri" w:cs="Calibri"/>
          <w:szCs w:val="20"/>
        </w:rPr>
        <w:t>o</w:t>
      </w:r>
      <w:r w:rsidRPr="00404DA5">
        <w:rPr>
          <w:rFonts w:eastAsia="Calibri" w:cs="Calibri"/>
          <w:szCs w:val="20"/>
        </w:rPr>
        <w:t xml:space="preserve"> pyta</w:t>
      </w:r>
      <w:r w:rsidR="00292FD7" w:rsidRPr="00404DA5">
        <w:rPr>
          <w:rFonts w:eastAsia="Calibri" w:cs="Calibri"/>
          <w:szCs w:val="20"/>
        </w:rPr>
        <w:t>nia</w:t>
      </w:r>
      <w:r w:rsidRPr="00404DA5">
        <w:rPr>
          <w:rFonts w:eastAsia="Calibri" w:cs="Calibri"/>
          <w:szCs w:val="20"/>
        </w:rPr>
        <w:t xml:space="preserve"> badawcz</w:t>
      </w:r>
      <w:r w:rsidR="00292FD7" w:rsidRPr="00404DA5">
        <w:rPr>
          <w:rFonts w:eastAsia="Calibri" w:cs="Calibri"/>
          <w:szCs w:val="20"/>
        </w:rPr>
        <w:t>e</w:t>
      </w:r>
      <w:r w:rsidRPr="00404DA5">
        <w:rPr>
          <w:rFonts w:eastAsia="Calibri" w:cs="Calibri"/>
          <w:szCs w:val="20"/>
        </w:rPr>
        <w:t xml:space="preserve"> do poszczególnych </w:t>
      </w:r>
      <w:r w:rsidR="00292FD7" w:rsidRPr="00404DA5">
        <w:rPr>
          <w:rFonts w:eastAsia="Calibri" w:cs="Calibri"/>
          <w:szCs w:val="20"/>
        </w:rPr>
        <w:t>pod</w:t>
      </w:r>
      <w:r w:rsidRPr="00404DA5">
        <w:rPr>
          <w:rFonts w:eastAsia="Calibri" w:cs="Calibri"/>
          <w:szCs w:val="20"/>
        </w:rPr>
        <w:t>rozdziałów, które dotyczą każdej</w:t>
      </w:r>
      <w:r w:rsidR="00E66B89">
        <w:rPr>
          <w:rFonts w:eastAsia="Calibri" w:cs="Calibri"/>
          <w:szCs w:val="20"/>
        </w:rPr>
        <w:t xml:space="preserve"> z </w:t>
      </w:r>
      <w:r w:rsidRPr="00404DA5">
        <w:rPr>
          <w:rFonts w:eastAsia="Calibri" w:cs="Calibri"/>
          <w:szCs w:val="20"/>
        </w:rPr>
        <w:t>osi priorytetowych</w:t>
      </w:r>
      <w:r w:rsidR="00292FD7" w:rsidRPr="00404DA5">
        <w:rPr>
          <w:rFonts w:eastAsia="Calibri" w:cs="Calibri"/>
          <w:szCs w:val="20"/>
        </w:rPr>
        <w:t xml:space="preserve"> oraz poszczególnych PI</w:t>
      </w:r>
      <w:r w:rsidRPr="00404DA5">
        <w:rPr>
          <w:rFonts w:eastAsia="Calibri" w:cs="Calibri"/>
          <w:szCs w:val="20"/>
        </w:rPr>
        <w:t xml:space="preserve"> RPO WZ 2014-2020.</w:t>
      </w:r>
    </w:p>
    <w:p w14:paraId="16292121" w14:textId="77777777" w:rsidR="00042989" w:rsidRPr="00404DA5" w:rsidRDefault="00292FD7" w:rsidP="00A25B8B">
      <w:pPr>
        <w:rPr>
          <w:b/>
          <w:color w:val="365F91"/>
          <w:sz w:val="22"/>
        </w:rPr>
      </w:pPr>
      <w:r w:rsidRPr="00404DA5">
        <w:rPr>
          <w:b/>
          <w:color w:val="365F91"/>
          <w:sz w:val="22"/>
        </w:rPr>
        <w:t>1. Ocena zmian sytuacji społeczno-gospodarczej</w:t>
      </w:r>
      <w:r w:rsidR="00E66B89">
        <w:rPr>
          <w:b/>
          <w:color w:val="365F91"/>
          <w:sz w:val="22"/>
        </w:rPr>
        <w:t xml:space="preserve"> w </w:t>
      </w:r>
      <w:r w:rsidRPr="00404DA5">
        <w:rPr>
          <w:b/>
          <w:color w:val="365F91"/>
          <w:sz w:val="22"/>
        </w:rPr>
        <w:t>obszarze OP X</w:t>
      </w:r>
    </w:p>
    <w:p w14:paraId="42E8A0E4" w14:textId="77777777" w:rsidR="00292FD7" w:rsidRPr="00404DA5" w:rsidRDefault="00292FD7" w:rsidP="00404DA5">
      <w:pPr>
        <w:shd w:val="clear" w:color="auto" w:fill="DBE5F1"/>
        <w:rPr>
          <w:rFonts w:cs="Calibri"/>
          <w:szCs w:val="20"/>
        </w:rPr>
      </w:pPr>
      <w:r w:rsidRPr="00404DA5">
        <w:rPr>
          <w:rFonts w:cs="Calibri"/>
          <w:szCs w:val="20"/>
        </w:rPr>
        <w:t>16. Jakie zmiany sytuacji społeczno-gospodarczej regionu nastąpiły na przełomie ostatnich lat, licząc od początku okresu programowania do czasu realizacji przedmiotowego badania oraz jaki miały one wpływ na dotychczasowe wdrażanie RPO WZ 2014-2020?</w:t>
      </w:r>
    </w:p>
    <w:p w14:paraId="7171239E" w14:textId="77777777" w:rsidR="00292FD7" w:rsidRPr="00404DA5" w:rsidRDefault="00292FD7" w:rsidP="00A25B8B">
      <w:pPr>
        <w:rPr>
          <w:b/>
          <w:color w:val="365F91"/>
          <w:sz w:val="22"/>
        </w:rPr>
      </w:pPr>
      <w:r w:rsidRPr="00404DA5">
        <w:rPr>
          <w:b/>
          <w:color w:val="365F91"/>
          <w:sz w:val="22"/>
        </w:rPr>
        <w:t>2. Realizacja Ram Wykonania</w:t>
      </w:r>
      <w:r w:rsidR="00E66B89">
        <w:rPr>
          <w:b/>
          <w:color w:val="365F91"/>
          <w:sz w:val="22"/>
        </w:rPr>
        <w:t xml:space="preserve"> w </w:t>
      </w:r>
      <w:r w:rsidRPr="00404DA5">
        <w:rPr>
          <w:b/>
          <w:color w:val="365F91"/>
          <w:sz w:val="22"/>
        </w:rPr>
        <w:t>OP</w:t>
      </w:r>
      <w:r w:rsidR="00FA35D5" w:rsidRPr="00404DA5">
        <w:rPr>
          <w:b/>
          <w:color w:val="365F91"/>
          <w:sz w:val="22"/>
        </w:rPr>
        <w:t xml:space="preserve"> X</w:t>
      </w:r>
    </w:p>
    <w:p w14:paraId="1C70479B" w14:textId="77777777" w:rsidR="00292FD7" w:rsidRPr="00404DA5" w:rsidRDefault="00292FD7" w:rsidP="00404DA5">
      <w:pPr>
        <w:shd w:val="clear" w:color="auto" w:fill="DBE5F1"/>
        <w:rPr>
          <w:rFonts w:cs="Calibri"/>
          <w:szCs w:val="20"/>
        </w:rPr>
      </w:pPr>
      <w:r w:rsidRPr="00404DA5">
        <w:rPr>
          <w:rFonts w:cs="Calibri"/>
          <w:szCs w:val="20"/>
        </w:rPr>
        <w:t xml:space="preserve">5. Jakie są podstawowe przyczyny przekroczenia i/lub nieosiągnięcia zakładanych wielkości (w kontekście nieosiągnięcia wartości śródokresowych/ ryzyka nieosiągnięcia wartości docelowych) </w:t>
      </w:r>
      <w:r w:rsidRPr="00404DA5">
        <w:rPr>
          <w:rFonts w:cs="Calibri"/>
          <w:b/>
          <w:szCs w:val="20"/>
        </w:rPr>
        <w:lastRenderedPageBreak/>
        <w:t>wskaźników ram wykonania</w:t>
      </w:r>
      <w:r w:rsidRPr="00404DA5">
        <w:rPr>
          <w:rFonts w:cs="Calibri"/>
          <w:szCs w:val="20"/>
        </w:rPr>
        <w:t>, wskaźników rezultatu, wskaźników produktu</w:t>
      </w:r>
      <w:r w:rsidR="00E66B89">
        <w:rPr>
          <w:rFonts w:cs="Calibri"/>
          <w:szCs w:val="20"/>
        </w:rPr>
        <w:t xml:space="preserve"> i </w:t>
      </w:r>
      <w:r w:rsidRPr="00404DA5">
        <w:rPr>
          <w:rFonts w:cs="Calibri"/>
          <w:b/>
          <w:szCs w:val="20"/>
        </w:rPr>
        <w:t>wskaźników finansowych</w:t>
      </w:r>
      <w:r w:rsidRPr="00404DA5">
        <w:rPr>
          <w:rFonts w:cs="Calibri"/>
          <w:szCs w:val="20"/>
        </w:rPr>
        <w:t xml:space="preserve"> założonych na etapie programowania interwencji? (…)</w:t>
      </w:r>
    </w:p>
    <w:p w14:paraId="1A77CBAB" w14:textId="77777777" w:rsidR="00292FD7" w:rsidRPr="00404DA5" w:rsidRDefault="00292FD7" w:rsidP="00A25B8B">
      <w:pPr>
        <w:rPr>
          <w:b/>
          <w:color w:val="365F91"/>
          <w:sz w:val="22"/>
        </w:rPr>
      </w:pPr>
      <w:r w:rsidRPr="00404DA5">
        <w:rPr>
          <w:b/>
          <w:color w:val="365F91"/>
          <w:sz w:val="22"/>
        </w:rPr>
        <w:t xml:space="preserve">3. </w:t>
      </w:r>
      <w:bookmarkStart w:id="9" w:name="_Toc3217860"/>
      <w:r w:rsidRPr="00404DA5">
        <w:rPr>
          <w:b/>
          <w:color w:val="365F91"/>
          <w:sz w:val="22"/>
        </w:rPr>
        <w:t>Priorytet inwestycyjny nr xxx (Działania xxx, xxx, xxx)</w:t>
      </w:r>
      <w:bookmarkEnd w:id="9"/>
    </w:p>
    <w:p w14:paraId="00CD281B" w14:textId="77777777" w:rsidR="00292FD7" w:rsidRPr="00404DA5" w:rsidRDefault="00292FD7" w:rsidP="00292FD7">
      <w:pPr>
        <w:rPr>
          <w:b/>
          <w:i/>
          <w:color w:val="4F81BD"/>
        </w:rPr>
      </w:pPr>
      <w:r w:rsidRPr="00404DA5">
        <w:rPr>
          <w:b/>
          <w:i/>
          <w:color w:val="4F81BD"/>
        </w:rPr>
        <w:t>Ocena postępów</w:t>
      </w:r>
      <w:r w:rsidR="00E66B89">
        <w:rPr>
          <w:b/>
          <w:i/>
          <w:color w:val="4F81BD"/>
        </w:rPr>
        <w:t xml:space="preserve"> w </w:t>
      </w:r>
      <w:r w:rsidRPr="00404DA5">
        <w:rPr>
          <w:b/>
          <w:i/>
          <w:color w:val="4F81BD"/>
        </w:rPr>
        <w:t xml:space="preserve">realizacji PI </w:t>
      </w:r>
    </w:p>
    <w:p w14:paraId="59884423" w14:textId="77777777" w:rsidR="0006170B" w:rsidRPr="00404DA5" w:rsidRDefault="0006170B" w:rsidP="00404DA5">
      <w:pPr>
        <w:shd w:val="clear" w:color="auto" w:fill="DBE5F1"/>
        <w:rPr>
          <w:rFonts w:cs="Calibri"/>
          <w:szCs w:val="20"/>
        </w:rPr>
      </w:pPr>
      <w:r w:rsidRPr="00404DA5">
        <w:rPr>
          <w:rFonts w:cs="Calibri"/>
          <w:szCs w:val="20"/>
        </w:rPr>
        <w:t>1. Jaka jest skuteczność</w:t>
      </w:r>
      <w:r w:rsidR="00E66B89">
        <w:rPr>
          <w:rFonts w:cs="Calibri"/>
          <w:szCs w:val="20"/>
        </w:rPr>
        <w:t xml:space="preserve"> i </w:t>
      </w:r>
      <w:r w:rsidRPr="00404DA5">
        <w:rPr>
          <w:rFonts w:cs="Calibri"/>
          <w:szCs w:val="20"/>
        </w:rPr>
        <w:t>efektywność interwencji RPO WZ</w:t>
      </w:r>
      <w:r w:rsidR="00E66B89">
        <w:rPr>
          <w:rFonts w:cs="Calibri"/>
          <w:szCs w:val="20"/>
        </w:rPr>
        <w:t xml:space="preserve"> w </w:t>
      </w:r>
      <w:r w:rsidRPr="00404DA5">
        <w:rPr>
          <w:rFonts w:cs="Calibri"/>
          <w:szCs w:val="20"/>
        </w:rPr>
        <w:t>zakresie osiągania założonych</w:t>
      </w:r>
      <w:r w:rsidR="00E66B89">
        <w:rPr>
          <w:rFonts w:cs="Calibri"/>
          <w:szCs w:val="20"/>
        </w:rPr>
        <w:t xml:space="preserve"> w </w:t>
      </w:r>
      <w:r w:rsidRPr="00404DA5">
        <w:rPr>
          <w:rFonts w:cs="Calibri"/>
          <w:szCs w:val="20"/>
        </w:rPr>
        <w:t>programie celów?</w:t>
      </w:r>
    </w:p>
    <w:p w14:paraId="5BAAD29F" w14:textId="77777777" w:rsidR="00292FD7" w:rsidRPr="00404DA5" w:rsidRDefault="00292FD7" w:rsidP="00404DA5">
      <w:pPr>
        <w:shd w:val="clear" w:color="auto" w:fill="DBE5F1"/>
        <w:rPr>
          <w:rFonts w:cs="Calibri"/>
          <w:szCs w:val="20"/>
        </w:rPr>
      </w:pPr>
      <w:r w:rsidRPr="00404DA5">
        <w:rPr>
          <w:rFonts w:cs="Calibri"/>
          <w:szCs w:val="20"/>
        </w:rPr>
        <w:t>5. Jakie są podstawowe przyczyny przekroczenia i/lub nieosiągnięcia zakładanych wielkości (w kontekście nieosiągnięcia wartości śródokresowych/ ryzyka nieosiągnięcia wartości docelowych) wskaźników ram wykonania, wskaźników rezultatu, wskaźników produktu</w:t>
      </w:r>
      <w:r w:rsidR="00E66B89">
        <w:rPr>
          <w:rFonts w:cs="Calibri"/>
          <w:szCs w:val="20"/>
        </w:rPr>
        <w:t xml:space="preserve"> i </w:t>
      </w:r>
      <w:r w:rsidRPr="00404DA5">
        <w:rPr>
          <w:rFonts w:cs="Calibri"/>
          <w:szCs w:val="20"/>
        </w:rPr>
        <w:t>wskaźników finansowych założonych na etapie programowania interwencji? (…)</w:t>
      </w:r>
    </w:p>
    <w:p w14:paraId="435F163F" w14:textId="77777777" w:rsidR="00292FD7" w:rsidRPr="00404DA5" w:rsidRDefault="00292FD7" w:rsidP="00292FD7">
      <w:pPr>
        <w:rPr>
          <w:b/>
          <w:i/>
          <w:color w:val="4F81BD"/>
        </w:rPr>
      </w:pPr>
      <w:r w:rsidRPr="00404DA5">
        <w:rPr>
          <w:b/>
          <w:i/>
          <w:color w:val="4F81BD"/>
        </w:rPr>
        <w:t xml:space="preserve">Ocena potencjału absorpcyjnego </w:t>
      </w:r>
    </w:p>
    <w:p w14:paraId="31E54BB9" w14:textId="77777777" w:rsidR="00292FD7" w:rsidRPr="00404DA5" w:rsidRDefault="00292FD7" w:rsidP="00404DA5">
      <w:pPr>
        <w:shd w:val="clear" w:color="auto" w:fill="DBE5F1"/>
        <w:rPr>
          <w:rFonts w:cs="Calibri"/>
          <w:szCs w:val="20"/>
        </w:rPr>
      </w:pPr>
      <w:r w:rsidRPr="00404DA5">
        <w:rPr>
          <w:rFonts w:cs="Calibri"/>
          <w:szCs w:val="20"/>
        </w:rPr>
        <w:t>13. Jakie rodzaje interwencji należałoby wspierać ze względu na wysoką skuteczność</w:t>
      </w:r>
      <w:r w:rsidR="00E66B89">
        <w:rPr>
          <w:rFonts w:cs="Calibri"/>
          <w:szCs w:val="20"/>
        </w:rPr>
        <w:t xml:space="preserve"> i </w:t>
      </w:r>
      <w:r w:rsidRPr="00404DA5">
        <w:rPr>
          <w:rFonts w:cs="Calibri"/>
          <w:szCs w:val="20"/>
        </w:rPr>
        <w:t>istniejące potrzeby, biorąc pod uwagę dotychczas zrealizowane projekty</w:t>
      </w:r>
      <w:r w:rsidR="00E66B89">
        <w:rPr>
          <w:rFonts w:cs="Calibri"/>
          <w:szCs w:val="20"/>
        </w:rPr>
        <w:t xml:space="preserve"> i </w:t>
      </w:r>
      <w:r w:rsidRPr="00404DA5">
        <w:rPr>
          <w:rFonts w:cs="Calibri"/>
          <w:szCs w:val="20"/>
        </w:rPr>
        <w:t>dostępne dane?</w:t>
      </w:r>
    </w:p>
    <w:p w14:paraId="4496D412" w14:textId="77777777" w:rsidR="00292FD7" w:rsidRPr="00404DA5" w:rsidRDefault="00292FD7" w:rsidP="00292FD7">
      <w:pPr>
        <w:rPr>
          <w:b/>
          <w:i/>
          <w:color w:val="4F81BD"/>
        </w:rPr>
      </w:pPr>
      <w:r w:rsidRPr="00404DA5">
        <w:rPr>
          <w:b/>
          <w:i/>
          <w:color w:val="4F81BD"/>
        </w:rPr>
        <w:t>Prognozy osiągnięcia celów zakładanych na 2023 rok</w:t>
      </w:r>
    </w:p>
    <w:p w14:paraId="6952848A" w14:textId="77777777" w:rsidR="00292FD7" w:rsidRPr="00404DA5" w:rsidRDefault="00292FD7" w:rsidP="00404DA5">
      <w:pPr>
        <w:shd w:val="clear" w:color="auto" w:fill="DBE5F1"/>
        <w:rPr>
          <w:rFonts w:cs="Calibri"/>
          <w:szCs w:val="20"/>
        </w:rPr>
      </w:pPr>
      <w:r w:rsidRPr="00404DA5">
        <w:rPr>
          <w:rFonts w:cs="Calibri"/>
          <w:szCs w:val="20"/>
        </w:rPr>
        <w:t>2. Czy</w:t>
      </w:r>
      <w:r w:rsidR="00E66B89">
        <w:rPr>
          <w:rFonts w:cs="Calibri"/>
          <w:szCs w:val="20"/>
        </w:rPr>
        <w:t xml:space="preserve"> i w </w:t>
      </w:r>
      <w:r w:rsidRPr="00404DA5">
        <w:rPr>
          <w:rFonts w:cs="Calibri"/>
          <w:szCs w:val="20"/>
        </w:rPr>
        <w:t>jakim stopniu aktualny stan wdrażania RPO WZ zapewnia realizację wartości docelowych wskaźników rezultatu RPO WZ?</w:t>
      </w:r>
    </w:p>
    <w:p w14:paraId="1DB37F59" w14:textId="77777777" w:rsidR="00292FD7" w:rsidRPr="00404DA5" w:rsidRDefault="00292FD7" w:rsidP="00404DA5">
      <w:pPr>
        <w:shd w:val="clear" w:color="auto" w:fill="DBE5F1"/>
        <w:rPr>
          <w:rFonts w:cs="Calibri"/>
          <w:szCs w:val="20"/>
        </w:rPr>
      </w:pPr>
      <w:r w:rsidRPr="00404DA5">
        <w:rPr>
          <w:rFonts w:cs="Calibri"/>
          <w:szCs w:val="20"/>
        </w:rPr>
        <w:t>4. Czy aktualny stan wdrażania zapewnia realizację wartości docelowych wskaźników określonych na rok 2023? (odpowiedź na to pytanie zostanie udzielona poprzez ustalenie prognozowanych wartości wskaźników</w:t>
      </w:r>
      <w:r w:rsidR="00E66B89">
        <w:rPr>
          <w:rFonts w:cs="Calibri"/>
          <w:szCs w:val="20"/>
        </w:rPr>
        <w:t xml:space="preserve"> w </w:t>
      </w:r>
      <w:r w:rsidRPr="00404DA5">
        <w:rPr>
          <w:rFonts w:cs="Calibri"/>
          <w:szCs w:val="20"/>
        </w:rPr>
        <w:t>roku 2023)</w:t>
      </w:r>
    </w:p>
    <w:p w14:paraId="0A292B50" w14:textId="77777777" w:rsidR="00292FD7" w:rsidRPr="00404DA5" w:rsidRDefault="00292FD7" w:rsidP="00404DA5">
      <w:pPr>
        <w:shd w:val="clear" w:color="auto" w:fill="DBE5F1"/>
        <w:rPr>
          <w:rFonts w:cs="Calibri"/>
          <w:szCs w:val="20"/>
        </w:rPr>
      </w:pPr>
      <w:r w:rsidRPr="00404DA5">
        <w:rPr>
          <w:rFonts w:cs="Calibri"/>
          <w:szCs w:val="20"/>
        </w:rPr>
        <w:t>8. Czy wartość środków finansowych przeznaczonych na poszczególne osie priorytetowe/ priorytety inwestycyjne jest wystarczająca do realizacji wszystkich zobowiązań wskaźnikowych na lata 2014-2020?</w:t>
      </w:r>
      <w:r w:rsidR="00E66B89">
        <w:rPr>
          <w:rFonts w:cs="Calibri"/>
          <w:szCs w:val="20"/>
        </w:rPr>
        <w:t xml:space="preserve"> W </w:t>
      </w:r>
      <w:r w:rsidRPr="00404DA5">
        <w:rPr>
          <w:rFonts w:cs="Calibri"/>
          <w:szCs w:val="20"/>
        </w:rPr>
        <w:t>jakim stopniu zwiększenie/zmniejszenie alokacji na osi priorytetowej przyczyni się do zmiany osiąganych efektów?</w:t>
      </w:r>
    </w:p>
    <w:p w14:paraId="686F5575" w14:textId="77777777" w:rsidR="00292FD7" w:rsidRPr="00404DA5" w:rsidRDefault="00292FD7" w:rsidP="00404DA5">
      <w:pPr>
        <w:shd w:val="clear" w:color="auto" w:fill="DBE5F1"/>
        <w:rPr>
          <w:rFonts w:cs="Calibri"/>
          <w:szCs w:val="20"/>
        </w:rPr>
      </w:pPr>
      <w:r w:rsidRPr="00404DA5">
        <w:rPr>
          <w:rFonts w:cs="Calibri"/>
          <w:szCs w:val="20"/>
        </w:rPr>
        <w:t>12.</w:t>
      </w:r>
      <w:r w:rsidR="00E66B89">
        <w:rPr>
          <w:rFonts w:cs="Calibri"/>
          <w:szCs w:val="20"/>
        </w:rPr>
        <w:t xml:space="preserve"> W </w:t>
      </w:r>
      <w:r w:rsidRPr="00404DA5">
        <w:rPr>
          <w:rFonts w:cs="Calibri"/>
          <w:szCs w:val="20"/>
        </w:rPr>
        <w:t>obrębie jakich typów projektów możliwych do wdrażania</w:t>
      </w:r>
      <w:r w:rsidR="00E66B89">
        <w:rPr>
          <w:rFonts w:cs="Calibri"/>
          <w:szCs w:val="20"/>
        </w:rPr>
        <w:t xml:space="preserve"> w </w:t>
      </w:r>
      <w:r w:rsidRPr="00404DA5">
        <w:rPr>
          <w:rFonts w:cs="Calibri"/>
          <w:szCs w:val="20"/>
        </w:rPr>
        <w:t>ramach osi priorytetowych identyfikuje się niewystarczającą ilość dostępnych środków finansowych?</w:t>
      </w:r>
    </w:p>
    <w:p w14:paraId="122E4897" w14:textId="77777777" w:rsidR="00292FD7" w:rsidRPr="00404DA5" w:rsidRDefault="00292FD7" w:rsidP="00404DA5">
      <w:pPr>
        <w:shd w:val="clear" w:color="auto" w:fill="DBE5F1"/>
        <w:rPr>
          <w:rFonts w:cs="Calibri"/>
          <w:szCs w:val="20"/>
        </w:rPr>
      </w:pPr>
      <w:r w:rsidRPr="00404DA5">
        <w:rPr>
          <w:rFonts w:cs="Calibri"/>
          <w:szCs w:val="20"/>
        </w:rPr>
        <w:t>9. Czy istnieje ryzyko utraty środków</w:t>
      </w:r>
      <w:r w:rsidR="00E66B89">
        <w:rPr>
          <w:rFonts w:cs="Calibri"/>
          <w:szCs w:val="20"/>
        </w:rPr>
        <w:t xml:space="preserve"> w </w:t>
      </w:r>
      <w:r w:rsidRPr="00404DA5">
        <w:rPr>
          <w:rFonts w:cs="Calibri"/>
          <w:szCs w:val="20"/>
        </w:rPr>
        <w:t>ramach zasady n+3? Jeśli tak, to jakie działania należy podjąć, aby je minimalizować?</w:t>
      </w:r>
    </w:p>
    <w:p w14:paraId="14A38F97" w14:textId="77777777" w:rsidR="00292FD7" w:rsidRPr="00404DA5" w:rsidRDefault="00292FD7" w:rsidP="00A25B8B">
      <w:pPr>
        <w:rPr>
          <w:b/>
          <w:i/>
          <w:color w:val="4F81BD"/>
        </w:rPr>
      </w:pPr>
      <w:r w:rsidRPr="00404DA5">
        <w:rPr>
          <w:b/>
          <w:i/>
          <w:color w:val="4F81BD"/>
        </w:rPr>
        <w:t>Możliwości zarządzania środkami rezerwy wykonania</w:t>
      </w:r>
      <w:r w:rsidR="00E66B89">
        <w:rPr>
          <w:b/>
          <w:i/>
          <w:color w:val="4F81BD"/>
        </w:rPr>
        <w:t xml:space="preserve"> i </w:t>
      </w:r>
      <w:r w:rsidRPr="00404DA5">
        <w:rPr>
          <w:b/>
          <w:i/>
          <w:color w:val="4F81BD"/>
        </w:rPr>
        <w:t>identyfikacja obszarów wymagających interwencji – podsumowanie</w:t>
      </w:r>
    </w:p>
    <w:p w14:paraId="61C85950" w14:textId="77777777" w:rsidR="00292FD7" w:rsidRPr="00404DA5" w:rsidRDefault="00292FD7" w:rsidP="00404DA5">
      <w:pPr>
        <w:shd w:val="clear" w:color="auto" w:fill="DBE5F1"/>
        <w:rPr>
          <w:rFonts w:cs="Calibri"/>
          <w:szCs w:val="20"/>
        </w:rPr>
      </w:pPr>
      <w:r w:rsidRPr="00404DA5">
        <w:rPr>
          <w:rFonts w:cs="Calibri"/>
          <w:szCs w:val="20"/>
        </w:rPr>
        <w:t>11.</w:t>
      </w:r>
      <w:r w:rsidR="00E66B89">
        <w:rPr>
          <w:rFonts w:cs="Calibri"/>
          <w:szCs w:val="20"/>
        </w:rPr>
        <w:t xml:space="preserve"> W </w:t>
      </w:r>
      <w:r w:rsidRPr="00404DA5">
        <w:rPr>
          <w:rFonts w:cs="Calibri"/>
          <w:szCs w:val="20"/>
        </w:rPr>
        <w:t>jaki sposób skutecznie przeciwdziałać trendom występującym</w:t>
      </w:r>
      <w:r w:rsidR="00E66B89">
        <w:rPr>
          <w:rFonts w:cs="Calibri"/>
          <w:szCs w:val="20"/>
        </w:rPr>
        <w:t xml:space="preserve"> w </w:t>
      </w:r>
      <w:r w:rsidRPr="00404DA5">
        <w:rPr>
          <w:rFonts w:cs="Calibri"/>
          <w:szCs w:val="20"/>
        </w:rPr>
        <w:t>obszarach,</w:t>
      </w:r>
      <w:r w:rsidR="00E66B89">
        <w:rPr>
          <w:rFonts w:cs="Calibri"/>
          <w:szCs w:val="20"/>
        </w:rPr>
        <w:t xml:space="preserve"> w </w:t>
      </w:r>
      <w:r w:rsidRPr="00404DA5">
        <w:rPr>
          <w:rFonts w:cs="Calibri"/>
          <w:szCs w:val="20"/>
        </w:rPr>
        <w:t>których uzyskane wartości są niewystarczające</w:t>
      </w:r>
      <w:r w:rsidR="00E66B89">
        <w:rPr>
          <w:rFonts w:cs="Calibri"/>
          <w:szCs w:val="20"/>
        </w:rPr>
        <w:t xml:space="preserve"> w </w:t>
      </w:r>
      <w:r w:rsidRPr="00404DA5">
        <w:rPr>
          <w:rFonts w:cs="Calibri"/>
          <w:szCs w:val="20"/>
        </w:rPr>
        <w:t>kontekście założonych wartości pośrednich</w:t>
      </w:r>
      <w:r w:rsidR="00E66B89">
        <w:rPr>
          <w:rFonts w:cs="Calibri"/>
          <w:szCs w:val="20"/>
        </w:rPr>
        <w:t xml:space="preserve"> i </w:t>
      </w:r>
      <w:r w:rsidRPr="00404DA5">
        <w:rPr>
          <w:rFonts w:cs="Calibri"/>
          <w:szCs w:val="20"/>
        </w:rPr>
        <w:t>docelowych wskaźników? Jakie narzędzia instytucjonalne</w:t>
      </w:r>
      <w:r w:rsidR="00E66B89">
        <w:rPr>
          <w:rFonts w:cs="Calibri"/>
          <w:szCs w:val="20"/>
        </w:rPr>
        <w:t xml:space="preserve"> i </w:t>
      </w:r>
      <w:r w:rsidRPr="00404DA5">
        <w:rPr>
          <w:rFonts w:cs="Calibri"/>
          <w:szCs w:val="20"/>
        </w:rPr>
        <w:t>operacyjne należy wdrożyć, aby osiągnąć cele sformułowane na etapie programowania?</w:t>
      </w:r>
    </w:p>
    <w:p w14:paraId="5E173A83" w14:textId="77777777" w:rsidR="00292FD7" w:rsidRDefault="00292FD7" w:rsidP="00404DA5">
      <w:pPr>
        <w:shd w:val="clear" w:color="auto" w:fill="DBE5F1"/>
        <w:rPr>
          <w:rFonts w:cs="Calibri"/>
          <w:szCs w:val="20"/>
        </w:rPr>
      </w:pPr>
      <w:r w:rsidRPr="00404DA5">
        <w:rPr>
          <w:rFonts w:cs="Calibri"/>
          <w:szCs w:val="20"/>
        </w:rPr>
        <w:t>14. Czy</w:t>
      </w:r>
      <w:r w:rsidR="00E66B89">
        <w:rPr>
          <w:rFonts w:cs="Calibri"/>
          <w:szCs w:val="20"/>
        </w:rPr>
        <w:t xml:space="preserve"> i w </w:t>
      </w:r>
      <w:r w:rsidRPr="00404DA5">
        <w:rPr>
          <w:rFonts w:cs="Calibri"/>
          <w:szCs w:val="20"/>
        </w:rPr>
        <w:t>jaki sposób należy dostosować przyjęte wartości wskaźników uwzględniając oddziaływanie takich czynników jak: warunki społeczno-gospodarcze, potencjał instytucjonalny oraz potencjał beneficjentów, aby były one możliwe do osiągnięcia? Jakie jest uzasadnienie zmiany wartości wskaźników docelowych</w:t>
      </w:r>
      <w:r w:rsidR="00E66B89">
        <w:rPr>
          <w:rFonts w:cs="Calibri"/>
          <w:szCs w:val="20"/>
        </w:rPr>
        <w:t xml:space="preserve"> w </w:t>
      </w:r>
      <w:r w:rsidRPr="00404DA5">
        <w:rPr>
          <w:rFonts w:cs="Calibri"/>
          <w:szCs w:val="20"/>
        </w:rPr>
        <w:t>ramach poszczególnych osi priorytetowych?</w:t>
      </w:r>
    </w:p>
    <w:p w14:paraId="3C2C955F" w14:textId="77777777" w:rsidR="00EF7D97" w:rsidRPr="008B706B" w:rsidRDefault="00EF7D97" w:rsidP="008B706B">
      <w:pPr>
        <w:rPr>
          <w:i/>
          <w:color w:val="4F81BD"/>
          <w:sz w:val="22"/>
          <w:szCs w:val="22"/>
        </w:rPr>
      </w:pPr>
      <w:r>
        <w:rPr>
          <w:i/>
          <w:color w:val="4F81BD"/>
          <w:sz w:val="22"/>
          <w:szCs w:val="22"/>
        </w:rPr>
        <w:t>Informacje dodatkowe</w:t>
      </w:r>
    </w:p>
    <w:p w14:paraId="156B38ED" w14:textId="77777777" w:rsidR="005F5F96" w:rsidRDefault="004A5C0E" w:rsidP="008B706B">
      <w:pPr>
        <w:rPr>
          <w:rFonts w:cs="Calibri"/>
          <w:color w:val="000000"/>
          <w:szCs w:val="20"/>
        </w:rPr>
      </w:pPr>
      <w:r>
        <w:rPr>
          <w:rFonts w:cs="Calibri"/>
          <w:color w:val="000000"/>
          <w:szCs w:val="20"/>
        </w:rPr>
        <w:t>W podrozdziałach</w:t>
      </w:r>
      <w:r w:rsidR="00EF7D97">
        <w:rPr>
          <w:rFonts w:cs="Calibri"/>
          <w:color w:val="000000"/>
          <w:szCs w:val="20"/>
        </w:rPr>
        <w:t xml:space="preserve"> raportu</w:t>
      </w:r>
      <w:r>
        <w:rPr>
          <w:rFonts w:cs="Calibri"/>
          <w:color w:val="000000"/>
          <w:szCs w:val="20"/>
        </w:rPr>
        <w:t xml:space="preserve"> dotyczących prognozowania wartości wskaźników, jakie mogą być osiągnięte</w:t>
      </w:r>
      <w:r w:rsidR="00E66B89">
        <w:rPr>
          <w:rFonts w:cs="Calibri"/>
          <w:color w:val="000000"/>
          <w:szCs w:val="20"/>
        </w:rPr>
        <w:t xml:space="preserve"> w </w:t>
      </w:r>
      <w:r>
        <w:rPr>
          <w:rFonts w:cs="Calibri"/>
          <w:color w:val="000000"/>
          <w:szCs w:val="20"/>
        </w:rPr>
        <w:t xml:space="preserve">2023 roku Wykonawca przyjął, że </w:t>
      </w:r>
      <w:r w:rsidRPr="004A5C0E">
        <w:rPr>
          <w:rFonts w:cs="Calibri"/>
          <w:color w:val="000000"/>
          <w:szCs w:val="20"/>
        </w:rPr>
        <w:t xml:space="preserve">wynik prognozowania uzyskany dzięki analizie ilościowej </w:t>
      </w:r>
      <w:r>
        <w:rPr>
          <w:rFonts w:cs="Calibri"/>
          <w:color w:val="000000"/>
          <w:szCs w:val="20"/>
        </w:rPr>
        <w:t>jest</w:t>
      </w:r>
      <w:r w:rsidRPr="004A5C0E">
        <w:rPr>
          <w:rFonts w:cs="Calibri"/>
          <w:color w:val="000000"/>
          <w:szCs w:val="20"/>
        </w:rPr>
        <w:t xml:space="preserve"> jednym</w:t>
      </w:r>
      <w:r w:rsidR="00E66B89">
        <w:rPr>
          <w:rFonts w:cs="Calibri"/>
          <w:color w:val="000000"/>
          <w:szCs w:val="20"/>
        </w:rPr>
        <w:t xml:space="preserve"> z </w:t>
      </w:r>
      <w:r w:rsidRPr="004A5C0E">
        <w:rPr>
          <w:rFonts w:cs="Calibri"/>
          <w:color w:val="000000"/>
          <w:szCs w:val="20"/>
        </w:rPr>
        <w:t xml:space="preserve">elementów służących opracowaniu </w:t>
      </w:r>
      <w:r>
        <w:rPr>
          <w:rFonts w:cs="Calibri"/>
          <w:color w:val="000000"/>
          <w:szCs w:val="20"/>
        </w:rPr>
        <w:t>wniosk</w:t>
      </w:r>
      <w:r w:rsidR="00EF7D97">
        <w:rPr>
          <w:rFonts w:cs="Calibri"/>
          <w:color w:val="000000"/>
          <w:szCs w:val="20"/>
        </w:rPr>
        <w:t>ów</w:t>
      </w:r>
      <w:r w:rsidR="00E66B89">
        <w:rPr>
          <w:rFonts w:cs="Calibri"/>
          <w:color w:val="000000"/>
          <w:szCs w:val="20"/>
        </w:rPr>
        <w:t xml:space="preserve"> i </w:t>
      </w:r>
      <w:r>
        <w:rPr>
          <w:rFonts w:cs="Calibri"/>
          <w:color w:val="000000"/>
          <w:szCs w:val="20"/>
        </w:rPr>
        <w:t xml:space="preserve">ewentualnych </w:t>
      </w:r>
      <w:r w:rsidRPr="004A5C0E">
        <w:rPr>
          <w:rFonts w:cs="Calibri"/>
          <w:color w:val="000000"/>
          <w:szCs w:val="20"/>
        </w:rPr>
        <w:t>rekomendacji</w:t>
      </w:r>
      <w:r w:rsidR="00E66B89">
        <w:rPr>
          <w:rFonts w:cs="Calibri"/>
          <w:color w:val="000000"/>
          <w:szCs w:val="20"/>
        </w:rPr>
        <w:t xml:space="preserve"> w </w:t>
      </w:r>
      <w:r w:rsidRPr="004A5C0E">
        <w:rPr>
          <w:rFonts w:cs="Calibri"/>
          <w:color w:val="000000"/>
          <w:szCs w:val="20"/>
        </w:rPr>
        <w:t xml:space="preserve">zakresie </w:t>
      </w:r>
      <w:r w:rsidRPr="004A5C0E">
        <w:rPr>
          <w:rFonts w:cs="Calibri"/>
          <w:color w:val="000000"/>
          <w:szCs w:val="20"/>
        </w:rPr>
        <w:lastRenderedPageBreak/>
        <w:t xml:space="preserve">możliwych scenariuszy osiągania celów końcowych. </w:t>
      </w:r>
      <w:r>
        <w:rPr>
          <w:rFonts w:cs="Calibri"/>
          <w:color w:val="000000"/>
          <w:szCs w:val="20"/>
        </w:rPr>
        <w:t>Wnioski były formułowane</w:t>
      </w:r>
      <w:r w:rsidR="00E66B89">
        <w:rPr>
          <w:rFonts w:cs="Calibri"/>
          <w:color w:val="000000"/>
          <w:szCs w:val="20"/>
        </w:rPr>
        <w:t xml:space="preserve"> w </w:t>
      </w:r>
      <w:r w:rsidRPr="004A5C0E">
        <w:rPr>
          <w:rFonts w:cs="Calibri"/>
          <w:color w:val="000000"/>
          <w:szCs w:val="20"/>
        </w:rPr>
        <w:t>efekcie zderzenia wyników prognoz ilościowych</w:t>
      </w:r>
      <w:r w:rsidR="00E66B89">
        <w:rPr>
          <w:rFonts w:cs="Calibri"/>
          <w:color w:val="000000"/>
          <w:szCs w:val="20"/>
        </w:rPr>
        <w:t xml:space="preserve"> z </w:t>
      </w:r>
      <w:r w:rsidRPr="004A5C0E">
        <w:rPr>
          <w:rFonts w:cs="Calibri"/>
          <w:color w:val="000000"/>
          <w:szCs w:val="20"/>
        </w:rPr>
        <w:t>danymi jakościowymi zgromadzonymi</w:t>
      </w:r>
      <w:r w:rsidR="00E66B89">
        <w:rPr>
          <w:rFonts w:cs="Calibri"/>
          <w:color w:val="000000"/>
          <w:szCs w:val="20"/>
        </w:rPr>
        <w:t xml:space="preserve"> w </w:t>
      </w:r>
      <w:r w:rsidRPr="004A5C0E">
        <w:rPr>
          <w:rFonts w:cs="Calibri"/>
          <w:color w:val="000000"/>
          <w:szCs w:val="20"/>
        </w:rPr>
        <w:t>toku badania.</w:t>
      </w:r>
      <w:r>
        <w:rPr>
          <w:rFonts w:cs="Calibri"/>
          <w:color w:val="000000"/>
          <w:szCs w:val="20"/>
        </w:rPr>
        <w:t xml:space="preserve"> Przeprowadzone analizy ilościowe</w:t>
      </w:r>
      <w:r w:rsidR="00E66B89">
        <w:rPr>
          <w:rFonts w:cs="Calibri"/>
          <w:color w:val="000000"/>
          <w:szCs w:val="20"/>
        </w:rPr>
        <w:t xml:space="preserve"> w </w:t>
      </w:r>
      <w:r>
        <w:rPr>
          <w:rFonts w:cs="Calibri"/>
          <w:color w:val="000000"/>
          <w:szCs w:val="20"/>
        </w:rPr>
        <w:t xml:space="preserve">tym zakresie uwzględniały </w:t>
      </w:r>
      <w:r w:rsidRPr="004A5C0E">
        <w:rPr>
          <w:rFonts w:cs="Calibri"/>
          <w:color w:val="000000"/>
          <w:szCs w:val="20"/>
        </w:rPr>
        <w:t>wskaźnik</w:t>
      </w:r>
      <w:r>
        <w:rPr>
          <w:rFonts w:cs="Calibri"/>
          <w:color w:val="000000"/>
          <w:szCs w:val="20"/>
        </w:rPr>
        <w:t>i</w:t>
      </w:r>
      <w:r w:rsidRPr="004A5C0E">
        <w:rPr>
          <w:rFonts w:cs="Calibri"/>
          <w:color w:val="000000"/>
          <w:szCs w:val="20"/>
        </w:rPr>
        <w:t xml:space="preserve"> Programu do tej pory nie realizowan</w:t>
      </w:r>
      <w:r>
        <w:rPr>
          <w:rFonts w:cs="Calibri"/>
          <w:color w:val="000000"/>
          <w:szCs w:val="20"/>
        </w:rPr>
        <w:t>e</w:t>
      </w:r>
      <w:r w:rsidR="00E66B89">
        <w:rPr>
          <w:rFonts w:cs="Calibri"/>
          <w:color w:val="000000"/>
          <w:szCs w:val="20"/>
        </w:rPr>
        <w:t xml:space="preserve"> w </w:t>
      </w:r>
      <w:r w:rsidRPr="004A5C0E">
        <w:rPr>
          <w:rFonts w:cs="Calibri"/>
          <w:color w:val="000000"/>
          <w:szCs w:val="20"/>
        </w:rPr>
        <w:t>Programie (brak umów</w:t>
      </w:r>
      <w:r w:rsidR="00E66B89">
        <w:rPr>
          <w:rFonts w:cs="Calibri"/>
          <w:color w:val="000000"/>
          <w:szCs w:val="20"/>
        </w:rPr>
        <w:t xml:space="preserve"> o </w:t>
      </w:r>
      <w:r w:rsidRPr="004A5C0E">
        <w:rPr>
          <w:rFonts w:cs="Calibri"/>
          <w:color w:val="000000"/>
          <w:szCs w:val="20"/>
        </w:rPr>
        <w:t>dofinansowanie realizujących wskaź</w:t>
      </w:r>
      <w:r>
        <w:rPr>
          <w:rFonts w:cs="Calibri"/>
          <w:color w:val="000000"/>
          <w:szCs w:val="20"/>
        </w:rPr>
        <w:t xml:space="preserve">niki/ brak postępu rzeczowego) oraz </w:t>
      </w:r>
      <w:r w:rsidRPr="004A5C0E">
        <w:rPr>
          <w:rFonts w:cs="Calibri"/>
          <w:color w:val="000000"/>
          <w:szCs w:val="20"/>
        </w:rPr>
        <w:t>uwzględni</w:t>
      </w:r>
      <w:r>
        <w:rPr>
          <w:rFonts w:cs="Calibri"/>
          <w:color w:val="000000"/>
          <w:szCs w:val="20"/>
        </w:rPr>
        <w:t>ały</w:t>
      </w:r>
      <w:r w:rsidRPr="004A5C0E">
        <w:rPr>
          <w:rFonts w:cs="Calibri"/>
          <w:color w:val="000000"/>
          <w:szCs w:val="20"/>
        </w:rPr>
        <w:t xml:space="preserve"> zmian</w:t>
      </w:r>
      <w:r>
        <w:rPr>
          <w:rFonts w:cs="Calibri"/>
          <w:color w:val="000000"/>
          <w:szCs w:val="20"/>
        </w:rPr>
        <w:t>y dynamiki cen specyficznych</w:t>
      </w:r>
      <w:r w:rsidRPr="004A5C0E">
        <w:rPr>
          <w:rFonts w:cs="Calibri"/>
          <w:color w:val="000000"/>
          <w:szCs w:val="20"/>
        </w:rPr>
        <w:t xml:space="preserve"> dla danego typu projektów.</w:t>
      </w:r>
    </w:p>
    <w:p w14:paraId="4D73A6A7" w14:textId="77777777" w:rsidR="004A5C0E" w:rsidRPr="00EF7D97" w:rsidRDefault="004A5C0E">
      <w:pPr>
        <w:rPr>
          <w:rFonts w:cs="Calibri"/>
          <w:color w:val="000000"/>
          <w:szCs w:val="20"/>
        </w:rPr>
      </w:pPr>
      <w:r>
        <w:rPr>
          <w:rFonts w:cs="Calibri"/>
          <w:color w:val="000000"/>
          <w:szCs w:val="20"/>
        </w:rPr>
        <w:t>W prognozach</w:t>
      </w:r>
      <w:r w:rsidR="00EF7D97">
        <w:rPr>
          <w:rFonts w:cs="Calibri"/>
          <w:color w:val="000000"/>
          <w:szCs w:val="20"/>
        </w:rPr>
        <w:t xml:space="preserve"> ilościowych</w:t>
      </w:r>
      <w:r>
        <w:rPr>
          <w:rFonts w:cs="Calibri"/>
          <w:color w:val="000000"/>
          <w:szCs w:val="20"/>
        </w:rPr>
        <w:t xml:space="preserve"> wykorzystano </w:t>
      </w:r>
      <w:r w:rsidRPr="004A5C0E">
        <w:rPr>
          <w:rFonts w:cs="Calibri"/>
          <w:color w:val="000000"/>
          <w:szCs w:val="20"/>
        </w:rPr>
        <w:t>średni koszt jednostkowy wskaźników Programu, wyliczony dla każdego wskaźnika ze wszystkich UoD</w:t>
      </w:r>
      <w:r w:rsidR="003F7C59">
        <w:rPr>
          <w:rFonts w:cs="Calibri"/>
          <w:color w:val="000000"/>
          <w:szCs w:val="20"/>
        </w:rPr>
        <w:t xml:space="preserve"> (zawartych do dnia 7 stycznia 2019 roku)</w:t>
      </w:r>
      <w:r w:rsidRPr="004A5C0E">
        <w:rPr>
          <w:rFonts w:cs="Calibri"/>
          <w:color w:val="000000"/>
          <w:szCs w:val="20"/>
        </w:rPr>
        <w:t>,</w:t>
      </w:r>
      <w:r w:rsidR="00E66B89">
        <w:rPr>
          <w:rFonts w:cs="Calibri"/>
          <w:color w:val="000000"/>
          <w:szCs w:val="20"/>
        </w:rPr>
        <w:t xml:space="preserve"> w </w:t>
      </w:r>
      <w:r w:rsidRPr="004A5C0E">
        <w:rPr>
          <w:rFonts w:cs="Calibri"/>
          <w:color w:val="000000"/>
          <w:szCs w:val="20"/>
        </w:rPr>
        <w:t>ramach których jest osiągany dany wskaźnik</w:t>
      </w:r>
      <w:r w:rsidR="00EF7D97">
        <w:rPr>
          <w:rFonts w:cs="Calibri"/>
          <w:color w:val="000000"/>
          <w:szCs w:val="20"/>
        </w:rPr>
        <w:t>.</w:t>
      </w:r>
      <w:r w:rsidR="003F7C59">
        <w:rPr>
          <w:rFonts w:cs="Calibri"/>
          <w:color w:val="000000"/>
          <w:szCs w:val="20"/>
        </w:rPr>
        <w:t xml:space="preserve"> Oznacza to, że do obliczenia kosztu jednostkowego wskaźnika X wybrano tylko te projekty,</w:t>
      </w:r>
      <w:r w:rsidR="00E66B89">
        <w:rPr>
          <w:rFonts w:cs="Calibri"/>
          <w:color w:val="000000"/>
          <w:szCs w:val="20"/>
        </w:rPr>
        <w:t xml:space="preserve"> w </w:t>
      </w:r>
      <w:r w:rsidR="003F7C59">
        <w:rPr>
          <w:rFonts w:cs="Calibri"/>
          <w:color w:val="000000"/>
          <w:szCs w:val="20"/>
        </w:rPr>
        <w:t>których założono osiągnięcie tego wskaźnika. Koszt jednostkowy to stosunek sumy wartości dofinansowania UE tych właśnie projektów</w:t>
      </w:r>
      <w:r w:rsidR="00E66B89">
        <w:rPr>
          <w:rFonts w:cs="Calibri"/>
          <w:color w:val="000000"/>
          <w:szCs w:val="20"/>
        </w:rPr>
        <w:t xml:space="preserve"> i </w:t>
      </w:r>
      <w:r w:rsidR="003F7C59">
        <w:rPr>
          <w:rFonts w:cs="Calibri"/>
          <w:color w:val="000000"/>
          <w:szCs w:val="20"/>
        </w:rPr>
        <w:t>sumy docelowych wartości wskaźnika pochodzących</w:t>
      </w:r>
      <w:r w:rsidR="00E66B89">
        <w:rPr>
          <w:rFonts w:cs="Calibri"/>
          <w:color w:val="000000"/>
          <w:szCs w:val="20"/>
        </w:rPr>
        <w:t xml:space="preserve"> z </w:t>
      </w:r>
      <w:r w:rsidR="003F7C59">
        <w:rPr>
          <w:rFonts w:cs="Calibri"/>
          <w:color w:val="000000"/>
          <w:szCs w:val="20"/>
        </w:rPr>
        <w:t>tych projektów.</w:t>
      </w:r>
      <w:r w:rsidR="00C22C26">
        <w:rPr>
          <w:rFonts w:cs="Calibri"/>
          <w:color w:val="000000"/>
          <w:szCs w:val="20"/>
        </w:rPr>
        <w:t xml:space="preserve"> </w:t>
      </w:r>
      <w:r w:rsidR="00EF7D97">
        <w:rPr>
          <w:rFonts w:cs="Calibri"/>
          <w:color w:val="000000"/>
          <w:szCs w:val="20"/>
        </w:rPr>
        <w:t>Tak wyliczone koszty zostały urealnione na lata 2019-2023 -</w:t>
      </w:r>
      <w:r w:rsidRPr="004A5C0E">
        <w:rPr>
          <w:rFonts w:cs="Calibri"/>
          <w:color w:val="000000"/>
          <w:szCs w:val="20"/>
        </w:rPr>
        <w:t xml:space="preserve"> </w:t>
      </w:r>
      <w:r w:rsidR="00EF7D97">
        <w:rPr>
          <w:rFonts w:cs="Calibri"/>
          <w:color w:val="000000"/>
          <w:szCs w:val="20"/>
        </w:rPr>
        <w:t>w</w:t>
      </w:r>
      <w:r w:rsidRPr="004A5C0E">
        <w:rPr>
          <w:rFonts w:cs="Calibri"/>
          <w:color w:val="000000"/>
          <w:szCs w:val="20"/>
        </w:rPr>
        <w:t>yliczone średnie koszty jednostkowe poszczególnych wskaźników zosta</w:t>
      </w:r>
      <w:r w:rsidR="00EF7D97">
        <w:rPr>
          <w:rFonts w:cs="Calibri"/>
          <w:color w:val="000000"/>
          <w:szCs w:val="20"/>
        </w:rPr>
        <w:t>ły</w:t>
      </w:r>
      <w:r w:rsidRPr="004A5C0E">
        <w:rPr>
          <w:rFonts w:cs="Calibri"/>
          <w:color w:val="000000"/>
          <w:szCs w:val="20"/>
        </w:rPr>
        <w:t xml:space="preserve"> </w:t>
      </w:r>
      <w:r w:rsidR="003F7C59">
        <w:rPr>
          <w:rFonts w:cs="Calibri"/>
          <w:color w:val="000000"/>
          <w:szCs w:val="20"/>
        </w:rPr>
        <w:t>zaktualizowane (urealnione)</w:t>
      </w:r>
      <w:r w:rsidR="00EF7D97">
        <w:rPr>
          <w:rFonts w:cs="Calibri"/>
          <w:color w:val="000000"/>
          <w:szCs w:val="20"/>
        </w:rPr>
        <w:t xml:space="preserve"> poprzez wykorzystanie</w:t>
      </w:r>
      <w:r w:rsidRPr="004A5C0E">
        <w:rPr>
          <w:rFonts w:cs="Calibri"/>
          <w:color w:val="000000"/>
          <w:szCs w:val="20"/>
        </w:rPr>
        <w:t xml:space="preserve"> wa</w:t>
      </w:r>
      <w:r w:rsidR="00EF7D97">
        <w:rPr>
          <w:rFonts w:cs="Calibri"/>
          <w:color w:val="000000"/>
          <w:szCs w:val="20"/>
        </w:rPr>
        <w:t>rtości</w:t>
      </w:r>
      <w:r w:rsidRPr="004A5C0E">
        <w:rPr>
          <w:rFonts w:cs="Calibri"/>
          <w:color w:val="000000"/>
          <w:szCs w:val="20"/>
        </w:rPr>
        <w:t xml:space="preserve"> trzech indeksów uwzględniających prognozowaną dynamikę cen specyficzną dla danego </w:t>
      </w:r>
      <w:r w:rsidRPr="00EF7D97">
        <w:rPr>
          <w:rFonts w:cs="Calibri"/>
          <w:color w:val="000000"/>
          <w:szCs w:val="20"/>
        </w:rPr>
        <w:t>typu projektów</w:t>
      </w:r>
      <w:r w:rsidR="00EF7D97" w:rsidRPr="00EF7D97">
        <w:rPr>
          <w:rFonts w:cs="Calibri"/>
          <w:color w:val="000000"/>
          <w:szCs w:val="20"/>
        </w:rPr>
        <w:t>:</w:t>
      </w:r>
    </w:p>
    <w:p w14:paraId="68CD243D" w14:textId="77777777" w:rsidR="00EF7D97" w:rsidRPr="008755C3" w:rsidRDefault="004A5C0E" w:rsidP="00093E14">
      <w:pPr>
        <w:pStyle w:val="Akapitzlist"/>
        <w:numPr>
          <w:ilvl w:val="0"/>
          <w:numId w:val="42"/>
        </w:numPr>
        <w:spacing w:after="120" w:line="288" w:lineRule="auto"/>
        <w:contextualSpacing w:val="0"/>
        <w:rPr>
          <w:rFonts w:cs="Calibri"/>
          <w:color w:val="000000"/>
          <w:szCs w:val="20"/>
        </w:rPr>
      </w:pPr>
      <w:r w:rsidRPr="008B706B">
        <w:rPr>
          <w:rFonts w:ascii="Lato" w:hAnsi="Lato" w:cs="Calibri"/>
          <w:color w:val="000000"/>
          <w:sz w:val="20"/>
          <w:szCs w:val="20"/>
        </w:rPr>
        <w:t>Wskaźnik cen towarów</w:t>
      </w:r>
      <w:r w:rsidR="00E66B89">
        <w:rPr>
          <w:rFonts w:ascii="Lato" w:hAnsi="Lato" w:cs="Calibri"/>
          <w:color w:val="000000"/>
          <w:sz w:val="20"/>
          <w:szCs w:val="20"/>
        </w:rPr>
        <w:t xml:space="preserve"> i </w:t>
      </w:r>
      <w:r w:rsidRPr="008B706B">
        <w:rPr>
          <w:rFonts w:ascii="Lato" w:hAnsi="Lato" w:cs="Calibri"/>
          <w:color w:val="000000"/>
          <w:sz w:val="20"/>
          <w:szCs w:val="20"/>
        </w:rPr>
        <w:t>usług konsumpcyjnych (CPI – Consumer Price Index) – do zastosowania</w:t>
      </w:r>
      <w:r w:rsidR="00E66B89">
        <w:rPr>
          <w:rFonts w:ascii="Lato" w:hAnsi="Lato" w:cs="Calibri"/>
          <w:color w:val="000000"/>
          <w:sz w:val="20"/>
          <w:szCs w:val="20"/>
        </w:rPr>
        <w:t xml:space="preserve"> w </w:t>
      </w:r>
      <w:r w:rsidRPr="008B706B">
        <w:rPr>
          <w:rFonts w:ascii="Lato" w:hAnsi="Lato" w:cs="Calibri"/>
          <w:color w:val="000000"/>
          <w:sz w:val="20"/>
          <w:szCs w:val="20"/>
        </w:rPr>
        <w:t>projektach miękkich (EFS), dla których decydujące znaczenie mają wynagrodzenia pracowników.</w:t>
      </w:r>
    </w:p>
    <w:p w14:paraId="20F4349E" w14:textId="77777777" w:rsidR="00EF7D97" w:rsidRPr="008755C3" w:rsidRDefault="004A5C0E" w:rsidP="00093E14">
      <w:pPr>
        <w:pStyle w:val="Akapitzlist"/>
        <w:numPr>
          <w:ilvl w:val="0"/>
          <w:numId w:val="42"/>
        </w:numPr>
        <w:spacing w:after="120" w:line="288" w:lineRule="auto"/>
        <w:contextualSpacing w:val="0"/>
        <w:rPr>
          <w:rFonts w:cs="Calibri"/>
          <w:color w:val="000000"/>
          <w:szCs w:val="20"/>
        </w:rPr>
      </w:pPr>
      <w:r w:rsidRPr="008B706B">
        <w:rPr>
          <w:rFonts w:ascii="Lato" w:hAnsi="Lato" w:cs="Calibri"/>
          <w:color w:val="000000"/>
          <w:sz w:val="20"/>
          <w:szCs w:val="20"/>
        </w:rPr>
        <w:t>Wskaźnik cen produkcji sprzedanej przemysłu (WCPSP) – do zastosowania</w:t>
      </w:r>
      <w:r w:rsidR="00E66B89">
        <w:rPr>
          <w:rFonts w:ascii="Lato" w:hAnsi="Lato" w:cs="Calibri"/>
          <w:color w:val="000000"/>
          <w:sz w:val="20"/>
          <w:szCs w:val="20"/>
        </w:rPr>
        <w:t xml:space="preserve"> w </w:t>
      </w:r>
      <w:r w:rsidRPr="008B706B">
        <w:rPr>
          <w:rFonts w:ascii="Lato" w:hAnsi="Lato" w:cs="Calibri"/>
          <w:color w:val="000000"/>
          <w:sz w:val="20"/>
          <w:szCs w:val="20"/>
        </w:rPr>
        <w:t>projektach związanych ze wsparciem przedsiębiorstw (EFRR).</w:t>
      </w:r>
    </w:p>
    <w:p w14:paraId="53935FEC" w14:textId="77777777" w:rsidR="004A5C0E" w:rsidRPr="008B706B" w:rsidRDefault="004A5C0E" w:rsidP="00093E14">
      <w:pPr>
        <w:pStyle w:val="Akapitzlist"/>
        <w:numPr>
          <w:ilvl w:val="0"/>
          <w:numId w:val="42"/>
        </w:numPr>
        <w:spacing w:after="120" w:line="288" w:lineRule="auto"/>
        <w:contextualSpacing w:val="0"/>
        <w:rPr>
          <w:rFonts w:cs="Calibri"/>
          <w:color w:val="000000"/>
          <w:szCs w:val="20"/>
        </w:rPr>
      </w:pPr>
      <w:r w:rsidRPr="008B706B">
        <w:rPr>
          <w:rFonts w:ascii="Lato" w:hAnsi="Lato" w:cs="Calibri"/>
          <w:color w:val="000000"/>
          <w:sz w:val="20"/>
          <w:szCs w:val="20"/>
        </w:rPr>
        <w:t>Wskaźnik cen produkcji budowlano-montażowej (WCPBM) – do zastosowania</w:t>
      </w:r>
      <w:r w:rsidR="00E66B89">
        <w:rPr>
          <w:rFonts w:ascii="Lato" w:hAnsi="Lato" w:cs="Calibri"/>
          <w:color w:val="000000"/>
          <w:sz w:val="20"/>
          <w:szCs w:val="20"/>
        </w:rPr>
        <w:t xml:space="preserve"> w </w:t>
      </w:r>
      <w:r w:rsidRPr="008B706B">
        <w:rPr>
          <w:rFonts w:ascii="Lato" w:hAnsi="Lato" w:cs="Calibri"/>
          <w:color w:val="000000"/>
          <w:sz w:val="20"/>
          <w:szCs w:val="20"/>
        </w:rPr>
        <w:t>projektach infrastrukturalnych (EFRR).</w:t>
      </w:r>
    </w:p>
    <w:p w14:paraId="57D3C85C" w14:textId="77777777" w:rsidR="004A5C0E" w:rsidRPr="004A5C0E" w:rsidRDefault="00EF7D97">
      <w:pPr>
        <w:rPr>
          <w:rFonts w:cs="Calibri"/>
          <w:color w:val="000000"/>
          <w:szCs w:val="20"/>
        </w:rPr>
      </w:pPr>
      <w:r>
        <w:rPr>
          <w:rFonts w:cs="Calibri"/>
          <w:color w:val="000000"/>
          <w:szCs w:val="20"/>
        </w:rPr>
        <w:t xml:space="preserve">W przypadku </w:t>
      </w:r>
      <w:r w:rsidR="004A5C0E" w:rsidRPr="004A5C0E">
        <w:rPr>
          <w:rFonts w:cs="Calibri"/>
          <w:color w:val="000000"/>
          <w:szCs w:val="20"/>
        </w:rPr>
        <w:t>wskaźników Programu do tej pory nierealizowanych (brak UoD/ brak postępu rzeczow</w:t>
      </w:r>
      <w:r>
        <w:rPr>
          <w:rFonts w:cs="Calibri"/>
          <w:color w:val="000000"/>
          <w:szCs w:val="20"/>
        </w:rPr>
        <w:t xml:space="preserve">ego wg. stanu na 07.01.2017 r.) </w:t>
      </w:r>
      <w:r w:rsidR="004A5C0E" w:rsidRPr="004A5C0E">
        <w:rPr>
          <w:rFonts w:cs="Calibri"/>
          <w:color w:val="000000"/>
          <w:szCs w:val="20"/>
        </w:rPr>
        <w:t xml:space="preserve">podstawą prognozowania </w:t>
      </w:r>
      <w:r>
        <w:rPr>
          <w:rFonts w:cs="Calibri"/>
          <w:color w:val="000000"/>
          <w:szCs w:val="20"/>
        </w:rPr>
        <w:t>był</w:t>
      </w:r>
      <w:r w:rsidR="004A5C0E" w:rsidRPr="004A5C0E">
        <w:rPr>
          <w:rFonts w:cs="Calibri"/>
          <w:color w:val="000000"/>
          <w:szCs w:val="20"/>
        </w:rPr>
        <w:t xml:space="preserve"> również średni koszt jednostkowy, ale ujęty/ wskazany</w:t>
      </w:r>
      <w:r w:rsidR="00E66B89">
        <w:rPr>
          <w:rFonts w:cs="Calibri"/>
          <w:color w:val="000000"/>
          <w:szCs w:val="20"/>
        </w:rPr>
        <w:t xml:space="preserve"> w </w:t>
      </w:r>
      <w:r w:rsidR="004A5C0E" w:rsidRPr="004A5C0E">
        <w:rPr>
          <w:rFonts w:cs="Calibri"/>
          <w:color w:val="000000"/>
          <w:szCs w:val="20"/>
        </w:rPr>
        <w:t>dokumencie Me</w:t>
      </w:r>
      <w:r>
        <w:rPr>
          <w:rFonts w:cs="Calibri"/>
          <w:color w:val="000000"/>
          <w:szCs w:val="20"/>
        </w:rPr>
        <w:t xml:space="preserve">todologia szacowania wskaźników. Koszt ten również podlegał </w:t>
      </w:r>
      <w:r w:rsidR="003F7C59">
        <w:rPr>
          <w:rFonts w:cs="Calibri"/>
          <w:color w:val="000000"/>
          <w:szCs w:val="20"/>
        </w:rPr>
        <w:t>zaktualizowaniu (urealnieniu)</w:t>
      </w:r>
      <w:r>
        <w:rPr>
          <w:rFonts w:cs="Calibri"/>
          <w:color w:val="000000"/>
          <w:szCs w:val="20"/>
        </w:rPr>
        <w:t xml:space="preserve"> przez wartości powyższych indeksów.</w:t>
      </w:r>
    </w:p>
    <w:p w14:paraId="72BA5347" w14:textId="77777777" w:rsidR="00C10C7F" w:rsidRPr="00801DB4" w:rsidRDefault="00EB1772" w:rsidP="00D45914">
      <w:pPr>
        <w:pStyle w:val="Nagwek1"/>
      </w:pPr>
      <w:bookmarkStart w:id="10" w:name="_Toc200063"/>
      <w:bookmarkStart w:id="11" w:name="_Toc6523743"/>
      <w:r>
        <w:t xml:space="preserve">KONCEPCJA ORAZ </w:t>
      </w:r>
      <w:r w:rsidR="00BE254B" w:rsidRPr="00801DB4">
        <w:t>METODOLOGIA BADANIA</w:t>
      </w:r>
      <w:bookmarkEnd w:id="10"/>
      <w:bookmarkEnd w:id="11"/>
    </w:p>
    <w:p w14:paraId="7119AD2C" w14:textId="77777777" w:rsidR="000A479F" w:rsidRPr="00E3214E" w:rsidRDefault="000A479F" w:rsidP="000A479F">
      <w:pPr>
        <w:rPr>
          <w:bCs/>
          <w:szCs w:val="20"/>
        </w:rPr>
      </w:pPr>
      <w:bookmarkStart w:id="12" w:name="_Toc2082096"/>
      <w:r>
        <w:rPr>
          <w:bCs/>
          <w:szCs w:val="20"/>
        </w:rPr>
        <w:t xml:space="preserve">Poniżej przedstawiono syntetyczne etapy </w:t>
      </w:r>
      <w:r w:rsidRPr="00E3214E">
        <w:rPr>
          <w:bCs/>
          <w:szCs w:val="20"/>
        </w:rPr>
        <w:t>badania – ciąg logiczny następujących po sobie działań, które</w:t>
      </w:r>
      <w:r w:rsidR="00E66B89">
        <w:rPr>
          <w:bCs/>
          <w:szCs w:val="20"/>
        </w:rPr>
        <w:t xml:space="preserve"> w </w:t>
      </w:r>
      <w:r>
        <w:rPr>
          <w:bCs/>
          <w:szCs w:val="20"/>
        </w:rPr>
        <w:t>efekcie doprowadziły</w:t>
      </w:r>
      <w:r w:rsidRPr="00E3214E">
        <w:rPr>
          <w:bCs/>
          <w:szCs w:val="20"/>
        </w:rPr>
        <w:t xml:space="preserve"> do powstania raportu końcowego oraz rekomendacji</w:t>
      </w:r>
      <w:r w:rsidR="00E66B89">
        <w:rPr>
          <w:bCs/>
          <w:szCs w:val="20"/>
        </w:rPr>
        <w:t xml:space="preserve"> z </w:t>
      </w:r>
      <w:r w:rsidRPr="00E3214E">
        <w:rPr>
          <w:bCs/>
          <w:szCs w:val="20"/>
        </w:rPr>
        <w:t>badania. Etapy te są zgodne</w:t>
      </w:r>
      <w:r w:rsidR="00E66B89">
        <w:rPr>
          <w:bCs/>
          <w:szCs w:val="20"/>
        </w:rPr>
        <w:t xml:space="preserve"> z </w:t>
      </w:r>
      <w:r w:rsidRPr="00E3214E">
        <w:rPr>
          <w:bCs/>
          <w:szCs w:val="20"/>
        </w:rPr>
        <w:t>zapisami SOPZ.</w:t>
      </w:r>
    </w:p>
    <w:p w14:paraId="01155DDC" w14:textId="267C5008" w:rsidR="000A479F" w:rsidRPr="00404DA5" w:rsidRDefault="00C35619" w:rsidP="000A479F">
      <w:pPr>
        <w:rPr>
          <w:szCs w:val="20"/>
        </w:rPr>
      </w:pPr>
      <w:r w:rsidRPr="005F04FC">
        <w:rPr>
          <w:noProof/>
          <w:szCs w:val="20"/>
        </w:rPr>
        <w:drawing>
          <wp:inline distT="0" distB="0" distL="0" distR="0" wp14:anchorId="0B3999A9" wp14:editId="52BFE335">
            <wp:extent cx="5939155" cy="1941830"/>
            <wp:effectExtent l="57150" t="19050" r="61595" b="77470"/>
            <wp:docPr id="1" name="Diagram 4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A3E795C" w14:textId="77777777" w:rsidR="0042389C" w:rsidRDefault="0042389C">
      <w:pPr>
        <w:spacing w:before="0" w:after="0" w:line="240" w:lineRule="auto"/>
        <w:jc w:val="left"/>
        <w:rPr>
          <w:b/>
          <w:color w:val="1F497D"/>
          <w:szCs w:val="20"/>
        </w:rPr>
      </w:pPr>
      <w:r>
        <w:rPr>
          <w:b/>
          <w:color w:val="1F497D"/>
          <w:szCs w:val="20"/>
        </w:rPr>
        <w:br w:type="page"/>
      </w:r>
    </w:p>
    <w:p w14:paraId="2BBE718D" w14:textId="08E37CFC" w:rsidR="000A479F" w:rsidRPr="00404DA5" w:rsidRDefault="000A479F" w:rsidP="000A479F">
      <w:pPr>
        <w:rPr>
          <w:b/>
          <w:color w:val="1F497D"/>
          <w:szCs w:val="20"/>
        </w:rPr>
      </w:pPr>
      <w:r w:rsidRPr="00404DA5">
        <w:rPr>
          <w:b/>
          <w:color w:val="1F497D"/>
          <w:szCs w:val="20"/>
        </w:rPr>
        <w:lastRenderedPageBreak/>
        <w:t xml:space="preserve">I etap badawczy – OPRACOWANIE RAPORTU METODOLOGICZNEGO </w:t>
      </w:r>
    </w:p>
    <w:p w14:paraId="441703A4" w14:textId="77777777" w:rsidR="000A479F" w:rsidRPr="00404DA5" w:rsidRDefault="000A479F" w:rsidP="000A479F">
      <w:pPr>
        <w:rPr>
          <w:szCs w:val="20"/>
        </w:rPr>
      </w:pPr>
      <w:r w:rsidRPr="00404DA5">
        <w:rPr>
          <w:szCs w:val="20"/>
        </w:rPr>
        <w:t xml:space="preserve">W pierwszym etapie badania (po podpisaniu umowy, ale przed przekazaniem ostatecznej wersji raportu metodologicznego) odbyła się </w:t>
      </w:r>
      <w:r w:rsidRPr="00404DA5">
        <w:rPr>
          <w:b/>
          <w:szCs w:val="20"/>
        </w:rPr>
        <w:t>konsultacja robocza</w:t>
      </w:r>
      <w:r w:rsidR="00E66B89">
        <w:rPr>
          <w:b/>
          <w:szCs w:val="20"/>
        </w:rPr>
        <w:t xml:space="preserve"> z </w:t>
      </w:r>
      <w:r w:rsidRPr="00404DA5">
        <w:rPr>
          <w:b/>
          <w:szCs w:val="20"/>
        </w:rPr>
        <w:t>Zamawiającym</w:t>
      </w:r>
      <w:r w:rsidRPr="00404DA5">
        <w:rPr>
          <w:szCs w:val="20"/>
        </w:rPr>
        <w:t>,</w:t>
      </w:r>
      <w:r w:rsidR="00E66B89">
        <w:rPr>
          <w:szCs w:val="20"/>
        </w:rPr>
        <w:t xml:space="preserve"> w </w:t>
      </w:r>
      <w:r w:rsidRPr="00404DA5">
        <w:rPr>
          <w:szCs w:val="20"/>
        </w:rPr>
        <w:t>trakcie której omówione zostały wszystkie elementy procesu badawczego oraz uszczegółowione oczekiwania Zamawiającego. Wyjaśnione zostały niejasności SOPZ</w:t>
      </w:r>
      <w:r w:rsidR="00E66B89">
        <w:rPr>
          <w:szCs w:val="20"/>
        </w:rPr>
        <w:t xml:space="preserve"> i </w:t>
      </w:r>
      <w:r w:rsidRPr="00404DA5">
        <w:rPr>
          <w:szCs w:val="20"/>
        </w:rPr>
        <w:t>oferty, zostały jednoznacznie zdefiniowane kluczowe pojęcia</w:t>
      </w:r>
      <w:r w:rsidR="00E66B89">
        <w:rPr>
          <w:szCs w:val="20"/>
        </w:rPr>
        <w:t xml:space="preserve"> i </w:t>
      </w:r>
      <w:r w:rsidRPr="00404DA5">
        <w:rPr>
          <w:szCs w:val="20"/>
        </w:rPr>
        <w:t>omówione założenia doboru prób badawczych. Faza ta pozwoliła na precyzyjne określenie założeń procesu badawczego</w:t>
      </w:r>
      <w:r w:rsidR="00E66B89">
        <w:rPr>
          <w:szCs w:val="20"/>
        </w:rPr>
        <w:t xml:space="preserve"> i </w:t>
      </w:r>
      <w:r w:rsidRPr="00404DA5">
        <w:rPr>
          <w:szCs w:val="20"/>
        </w:rPr>
        <w:t>opracowanie ostatecznej wersji Raportu Metodologicznego.</w:t>
      </w:r>
    </w:p>
    <w:p w14:paraId="41F3929E" w14:textId="77777777" w:rsidR="000A479F" w:rsidRPr="00404DA5" w:rsidRDefault="000A479F" w:rsidP="000A479F">
      <w:pPr>
        <w:rPr>
          <w:szCs w:val="20"/>
        </w:rPr>
      </w:pPr>
      <w:r w:rsidRPr="00404DA5">
        <w:rPr>
          <w:szCs w:val="20"/>
        </w:rPr>
        <w:t>Etap badawczy obejmujący sporządzenie raportu metodologicznego,</w:t>
      </w:r>
      <w:r w:rsidR="00E66B89">
        <w:rPr>
          <w:szCs w:val="20"/>
        </w:rPr>
        <w:t xml:space="preserve"> z </w:t>
      </w:r>
      <w:r w:rsidRPr="00404DA5">
        <w:rPr>
          <w:szCs w:val="20"/>
        </w:rPr>
        <w:t>uwagi na szeroki zakres analiz oraz typów wsparcia będących przedmiotem badania, miał charakter kroczący. Oznaczało to, że projekt raportu metodologicznego oraz wszystkie narzędzia badawcze, niezbędne do przeprowadzenia badań terenowych, Zamawiający poddał konsultacjom. Kompletny projekt raportu metodologicznego został skonsultowany</w:t>
      </w:r>
      <w:r w:rsidR="00E66B89">
        <w:rPr>
          <w:szCs w:val="20"/>
        </w:rPr>
        <w:t xml:space="preserve"> i </w:t>
      </w:r>
      <w:r w:rsidRPr="00404DA5">
        <w:rPr>
          <w:szCs w:val="20"/>
        </w:rPr>
        <w:t>na tej podstawie Wykonawca opracował jego ostateczną wersję</w:t>
      </w:r>
      <w:r w:rsidR="00E66B89">
        <w:rPr>
          <w:szCs w:val="20"/>
        </w:rPr>
        <w:t xml:space="preserve"> i </w:t>
      </w:r>
      <w:r w:rsidRPr="00404DA5">
        <w:rPr>
          <w:szCs w:val="20"/>
        </w:rPr>
        <w:t>przekazał Zamawiającemu</w:t>
      </w:r>
      <w:r w:rsidR="00E66B89">
        <w:rPr>
          <w:szCs w:val="20"/>
        </w:rPr>
        <w:t xml:space="preserve"> w </w:t>
      </w:r>
      <w:r w:rsidRPr="00404DA5">
        <w:rPr>
          <w:szCs w:val="20"/>
        </w:rPr>
        <w:t>wersji elektronicznej zawierającej edytowalne pliki</w:t>
      </w:r>
      <w:r w:rsidR="00E66B89">
        <w:rPr>
          <w:szCs w:val="20"/>
        </w:rPr>
        <w:t xml:space="preserve"> w </w:t>
      </w:r>
      <w:r w:rsidRPr="00404DA5">
        <w:rPr>
          <w:szCs w:val="20"/>
        </w:rPr>
        <w:t>terminie określonym</w:t>
      </w:r>
      <w:r w:rsidR="00E66B89">
        <w:rPr>
          <w:szCs w:val="20"/>
        </w:rPr>
        <w:t xml:space="preserve"> w </w:t>
      </w:r>
      <w:r w:rsidRPr="00404DA5">
        <w:rPr>
          <w:szCs w:val="20"/>
        </w:rPr>
        <w:t xml:space="preserve">harmonogramie. </w:t>
      </w:r>
    </w:p>
    <w:p w14:paraId="384C8613" w14:textId="77777777" w:rsidR="000A479F" w:rsidRPr="00404DA5" w:rsidRDefault="000A479F" w:rsidP="000A479F">
      <w:pPr>
        <w:rPr>
          <w:b/>
          <w:color w:val="1F497D"/>
          <w:szCs w:val="20"/>
        </w:rPr>
      </w:pPr>
      <w:r w:rsidRPr="00404DA5">
        <w:rPr>
          <w:b/>
          <w:color w:val="1F497D"/>
          <w:szCs w:val="20"/>
        </w:rPr>
        <w:t xml:space="preserve">II etap badawczy – OPRACOWANIE RAPORTU CZĄSTKOWEGO oraz III etap badawczy – OPRACOWANIE RAPORTU KOŃCOWEGO </w:t>
      </w:r>
    </w:p>
    <w:p w14:paraId="6AC05619" w14:textId="77777777" w:rsidR="000A479F" w:rsidRPr="00404DA5" w:rsidRDefault="000A479F" w:rsidP="000A479F">
      <w:pPr>
        <w:rPr>
          <w:szCs w:val="20"/>
          <w:u w:val="single"/>
        </w:rPr>
      </w:pPr>
      <w:r w:rsidRPr="00404DA5">
        <w:rPr>
          <w:szCs w:val="20"/>
          <w:u w:val="single"/>
        </w:rPr>
        <w:t>Eksploracja</w:t>
      </w:r>
    </w:p>
    <w:p w14:paraId="6FB3FD0F" w14:textId="77777777" w:rsidR="000A479F" w:rsidRPr="00404DA5" w:rsidRDefault="000A479F" w:rsidP="000A479F">
      <w:pPr>
        <w:rPr>
          <w:szCs w:val="20"/>
        </w:rPr>
      </w:pPr>
      <w:r w:rsidRPr="00404DA5">
        <w:rPr>
          <w:szCs w:val="20"/>
        </w:rPr>
        <w:t xml:space="preserve">W ramach fazy eksploracji zrealizowano </w:t>
      </w:r>
      <w:r w:rsidR="0081201E">
        <w:rPr>
          <w:szCs w:val="20"/>
        </w:rPr>
        <w:t xml:space="preserve">już </w:t>
      </w:r>
      <w:r w:rsidRPr="00404DA5">
        <w:rPr>
          <w:szCs w:val="20"/>
        </w:rPr>
        <w:t>większość</w:t>
      </w:r>
      <w:r w:rsidR="00E66B89">
        <w:rPr>
          <w:szCs w:val="20"/>
        </w:rPr>
        <w:t xml:space="preserve"> z </w:t>
      </w:r>
      <w:r w:rsidRPr="00404DA5">
        <w:rPr>
          <w:szCs w:val="20"/>
        </w:rPr>
        <w:t>metod gromadzenia danych źródłowych przewidzianych</w:t>
      </w:r>
      <w:r w:rsidR="00E66B89">
        <w:rPr>
          <w:szCs w:val="20"/>
        </w:rPr>
        <w:t xml:space="preserve"> w </w:t>
      </w:r>
      <w:r w:rsidRPr="00404DA5">
        <w:rPr>
          <w:szCs w:val="20"/>
        </w:rPr>
        <w:t xml:space="preserve">ramach </w:t>
      </w:r>
      <w:r w:rsidR="0081201E">
        <w:rPr>
          <w:szCs w:val="20"/>
        </w:rPr>
        <w:t xml:space="preserve">całej </w:t>
      </w:r>
      <w:r w:rsidRPr="00404DA5">
        <w:rPr>
          <w:szCs w:val="20"/>
        </w:rPr>
        <w:t>koncepcji badania. Równolegle</w:t>
      </w:r>
      <w:r w:rsidR="00E66B89">
        <w:rPr>
          <w:szCs w:val="20"/>
        </w:rPr>
        <w:t xml:space="preserve"> z </w:t>
      </w:r>
      <w:r w:rsidRPr="00404DA5">
        <w:rPr>
          <w:szCs w:val="20"/>
        </w:rPr>
        <w:t>pogłębionym desk research, odbyły się wywiady</w:t>
      </w:r>
      <w:r w:rsidR="00E66B89">
        <w:rPr>
          <w:szCs w:val="20"/>
        </w:rPr>
        <w:t xml:space="preserve"> z </w:t>
      </w:r>
      <w:r w:rsidRPr="00404DA5">
        <w:rPr>
          <w:szCs w:val="20"/>
        </w:rPr>
        <w:t>przedstawicielami kluczowych instytucji systemu wdrażania RPO WZ 2014-2020, które dostarczyły nie tylko unikatowej wiedzy</w:t>
      </w:r>
      <w:r w:rsidR="00E66B89">
        <w:rPr>
          <w:szCs w:val="20"/>
        </w:rPr>
        <w:t xml:space="preserve"> z </w:t>
      </w:r>
      <w:r w:rsidRPr="00404DA5">
        <w:rPr>
          <w:szCs w:val="20"/>
        </w:rPr>
        <w:t>perspektywy instytucjonalnej, ale pozwoliły również zidentyfikować ewentualne potrzeby informacyjne przedstawicieli IZ</w:t>
      </w:r>
      <w:r w:rsidR="00E66B89">
        <w:rPr>
          <w:szCs w:val="20"/>
        </w:rPr>
        <w:t xml:space="preserve"> i </w:t>
      </w:r>
      <w:r w:rsidRPr="00404DA5">
        <w:rPr>
          <w:szCs w:val="20"/>
        </w:rPr>
        <w:t>IP, które nie zostały wyartykułowane na wcześniejszych etapach,</w:t>
      </w:r>
      <w:r w:rsidR="00E66B89">
        <w:rPr>
          <w:szCs w:val="20"/>
        </w:rPr>
        <w:t xml:space="preserve"> a </w:t>
      </w:r>
      <w:r w:rsidRPr="00404DA5">
        <w:rPr>
          <w:szCs w:val="20"/>
        </w:rPr>
        <w:t>których zaspokojenie</w:t>
      </w:r>
      <w:r w:rsidR="00E66B89">
        <w:rPr>
          <w:szCs w:val="20"/>
        </w:rPr>
        <w:t xml:space="preserve"> w </w:t>
      </w:r>
      <w:r w:rsidRPr="00404DA5">
        <w:rPr>
          <w:szCs w:val="20"/>
        </w:rPr>
        <w:t>ramach ewaluacji jest możliwe</w:t>
      </w:r>
      <w:r w:rsidR="00E66B89">
        <w:rPr>
          <w:szCs w:val="20"/>
        </w:rPr>
        <w:t xml:space="preserve"> i </w:t>
      </w:r>
      <w:r w:rsidRPr="00404DA5">
        <w:rPr>
          <w:szCs w:val="20"/>
        </w:rPr>
        <w:t>zasadne. Analiza danych zastanych oraz wypowiedzi przedstawicieli IZ</w:t>
      </w:r>
      <w:r w:rsidR="00E66B89">
        <w:rPr>
          <w:szCs w:val="20"/>
        </w:rPr>
        <w:t xml:space="preserve"> i </w:t>
      </w:r>
      <w:r w:rsidRPr="00404DA5">
        <w:rPr>
          <w:szCs w:val="20"/>
        </w:rPr>
        <w:t>IP stanowiły podstawę dla analitycznego odtworzenia logiki interwencji, rozumianej zarówno jako opisanie mechanizmów przyczynowo-skutkowych, jak</w:t>
      </w:r>
      <w:r w:rsidR="00E66B89">
        <w:rPr>
          <w:szCs w:val="20"/>
        </w:rPr>
        <w:t xml:space="preserve"> i </w:t>
      </w:r>
      <w:r w:rsidRPr="00404DA5">
        <w:rPr>
          <w:szCs w:val="20"/>
        </w:rPr>
        <w:t>wskazanie założeń stojących za takim</w:t>
      </w:r>
      <w:r w:rsidR="0081201E">
        <w:rPr>
          <w:szCs w:val="20"/>
        </w:rPr>
        <w:t xml:space="preserve"> </w:t>
      </w:r>
      <w:r w:rsidRPr="00404DA5">
        <w:rPr>
          <w:szCs w:val="20"/>
        </w:rPr>
        <w:t xml:space="preserve">zaprogramowaniem wsparcia. </w:t>
      </w:r>
    </w:p>
    <w:p w14:paraId="67000B94" w14:textId="77777777" w:rsidR="000A479F" w:rsidRPr="00404DA5" w:rsidRDefault="000A479F" w:rsidP="000A479F">
      <w:pPr>
        <w:rPr>
          <w:szCs w:val="20"/>
        </w:rPr>
      </w:pPr>
      <w:r w:rsidRPr="00404DA5">
        <w:rPr>
          <w:szCs w:val="20"/>
        </w:rPr>
        <w:t>Kolejny krok to badanie ilościowe</w:t>
      </w:r>
      <w:r w:rsidR="00E66B89">
        <w:rPr>
          <w:szCs w:val="20"/>
        </w:rPr>
        <w:t xml:space="preserve"> z </w:t>
      </w:r>
      <w:r w:rsidRPr="00404DA5">
        <w:rPr>
          <w:szCs w:val="20"/>
        </w:rPr>
        <w:t>beneficjentami Programu – metoda, która dostarczyła informacji</w:t>
      </w:r>
      <w:r w:rsidR="00E66B89">
        <w:rPr>
          <w:szCs w:val="20"/>
        </w:rPr>
        <w:t xml:space="preserve"> w </w:t>
      </w:r>
      <w:r w:rsidRPr="00404DA5">
        <w:rPr>
          <w:szCs w:val="20"/>
        </w:rPr>
        <w:t xml:space="preserve">odniesieniu do wszystkich celów szczegółowych badania. </w:t>
      </w:r>
    </w:p>
    <w:p w14:paraId="07C91299" w14:textId="77777777" w:rsidR="000A479F" w:rsidRPr="00404DA5" w:rsidRDefault="000A479F" w:rsidP="000A479F">
      <w:pPr>
        <w:rPr>
          <w:szCs w:val="20"/>
        </w:rPr>
      </w:pPr>
      <w:r w:rsidRPr="00404DA5">
        <w:rPr>
          <w:szCs w:val="20"/>
        </w:rPr>
        <w:t xml:space="preserve">Równolegle </w:t>
      </w:r>
      <w:r w:rsidR="0094418C">
        <w:rPr>
          <w:szCs w:val="20"/>
        </w:rPr>
        <w:t>były</w:t>
      </w:r>
      <w:r w:rsidR="0094418C" w:rsidRPr="00404DA5">
        <w:rPr>
          <w:szCs w:val="20"/>
        </w:rPr>
        <w:t xml:space="preserve"> </w:t>
      </w:r>
      <w:r w:rsidRPr="00404DA5">
        <w:rPr>
          <w:szCs w:val="20"/>
        </w:rPr>
        <w:t>realizowane analizy porównawcze (benchmarking), oparte</w:t>
      </w:r>
      <w:r w:rsidR="00E66B89">
        <w:rPr>
          <w:szCs w:val="20"/>
        </w:rPr>
        <w:t xml:space="preserve"> o </w:t>
      </w:r>
      <w:r w:rsidRPr="00404DA5">
        <w:rPr>
          <w:szCs w:val="20"/>
        </w:rPr>
        <w:t>analizę dokumentów oraz wywiady telefoniczne.</w:t>
      </w:r>
    </w:p>
    <w:p w14:paraId="47DB254A" w14:textId="77777777" w:rsidR="000A479F" w:rsidRPr="00404DA5" w:rsidRDefault="000A479F" w:rsidP="000A479F">
      <w:pPr>
        <w:rPr>
          <w:szCs w:val="20"/>
          <w:u w:val="single"/>
        </w:rPr>
      </w:pPr>
      <w:r w:rsidRPr="00404DA5">
        <w:rPr>
          <w:szCs w:val="20"/>
          <w:u w:val="single"/>
        </w:rPr>
        <w:t>Kwantyfikacja</w:t>
      </w:r>
      <w:r w:rsidR="00E66B89">
        <w:rPr>
          <w:szCs w:val="20"/>
          <w:u w:val="single"/>
        </w:rPr>
        <w:t xml:space="preserve"> i </w:t>
      </w:r>
      <w:r w:rsidRPr="00404DA5">
        <w:rPr>
          <w:szCs w:val="20"/>
          <w:u w:val="single"/>
        </w:rPr>
        <w:t>opracowanie raportu cząstkowego</w:t>
      </w:r>
      <w:r w:rsidR="00E66B89">
        <w:rPr>
          <w:szCs w:val="20"/>
          <w:u w:val="single"/>
        </w:rPr>
        <w:t xml:space="preserve"> i </w:t>
      </w:r>
      <w:r w:rsidRPr="00404DA5">
        <w:rPr>
          <w:szCs w:val="20"/>
          <w:u w:val="single"/>
        </w:rPr>
        <w:t>końcowego</w:t>
      </w:r>
    </w:p>
    <w:p w14:paraId="3D325A14" w14:textId="77777777" w:rsidR="000A479F" w:rsidRPr="00404DA5" w:rsidRDefault="000A479F" w:rsidP="000A479F">
      <w:pPr>
        <w:rPr>
          <w:szCs w:val="20"/>
        </w:rPr>
      </w:pPr>
      <w:r w:rsidRPr="00404DA5">
        <w:rPr>
          <w:szCs w:val="20"/>
        </w:rPr>
        <w:t xml:space="preserve">Na tym etapie zadaniem ewaluatorów była </w:t>
      </w:r>
      <w:r w:rsidRPr="00404DA5">
        <w:rPr>
          <w:b/>
          <w:szCs w:val="20"/>
        </w:rPr>
        <w:t>analiza zebranych danych na poziomie poszczególnych celów</w:t>
      </w:r>
      <w:r w:rsidR="00E66B89">
        <w:rPr>
          <w:b/>
          <w:szCs w:val="20"/>
        </w:rPr>
        <w:t xml:space="preserve"> i </w:t>
      </w:r>
      <w:r w:rsidRPr="00404DA5">
        <w:rPr>
          <w:b/>
          <w:szCs w:val="20"/>
        </w:rPr>
        <w:t>pytań badawczych</w:t>
      </w:r>
      <w:r w:rsidRPr="00404DA5">
        <w:rPr>
          <w:szCs w:val="20"/>
        </w:rPr>
        <w:t>. Analizy miały charakter jakościowy (analiza eksploracyjna, ekspercka)</w:t>
      </w:r>
      <w:r w:rsidR="00E66B89">
        <w:rPr>
          <w:szCs w:val="20"/>
        </w:rPr>
        <w:t xml:space="preserve"> i </w:t>
      </w:r>
      <w:r w:rsidRPr="00404DA5">
        <w:rPr>
          <w:szCs w:val="20"/>
        </w:rPr>
        <w:t>ilościowy (analiza statystyczna, ekonometryczna),</w:t>
      </w:r>
      <w:r w:rsidR="00E66B89">
        <w:rPr>
          <w:szCs w:val="20"/>
        </w:rPr>
        <w:t xml:space="preserve"> a </w:t>
      </w:r>
      <w:r w:rsidRPr="00404DA5">
        <w:rPr>
          <w:szCs w:val="20"/>
        </w:rPr>
        <w:t>także kartograficzny. Istotne było wykorzystanie zastosowanej</w:t>
      </w:r>
      <w:r w:rsidR="00E66B89">
        <w:rPr>
          <w:szCs w:val="20"/>
        </w:rPr>
        <w:t xml:space="preserve"> w </w:t>
      </w:r>
      <w:r w:rsidRPr="00404DA5">
        <w:rPr>
          <w:szCs w:val="20"/>
        </w:rPr>
        <w:t>badaniu zasady triangulacji metod, tj. powiązanie wyników badań terenowych</w:t>
      </w:r>
      <w:r w:rsidR="00E66B89">
        <w:rPr>
          <w:szCs w:val="20"/>
        </w:rPr>
        <w:t xml:space="preserve"> z </w:t>
      </w:r>
      <w:r w:rsidRPr="00404DA5">
        <w:rPr>
          <w:szCs w:val="20"/>
        </w:rPr>
        <w:t>różnych źródeł</w:t>
      </w:r>
      <w:r w:rsidR="00E66B89">
        <w:rPr>
          <w:szCs w:val="20"/>
        </w:rPr>
        <w:t xml:space="preserve"> i </w:t>
      </w:r>
      <w:r w:rsidRPr="00404DA5">
        <w:rPr>
          <w:szCs w:val="20"/>
        </w:rPr>
        <w:t>analizy dokumentów. Wyniki badania prezentowane są m.in.</w:t>
      </w:r>
      <w:r w:rsidR="00E66B89">
        <w:rPr>
          <w:szCs w:val="20"/>
        </w:rPr>
        <w:t xml:space="preserve"> w </w:t>
      </w:r>
      <w:r w:rsidRPr="00404DA5">
        <w:rPr>
          <w:szCs w:val="20"/>
        </w:rPr>
        <w:t>postaci tabel, wykresów, map, infografik, tak</w:t>
      </w:r>
      <w:r w:rsidR="004B45CD">
        <w:rPr>
          <w:szCs w:val="20"/>
        </w:rPr>
        <w:t>,</w:t>
      </w:r>
      <w:r w:rsidRPr="00404DA5">
        <w:rPr>
          <w:szCs w:val="20"/>
        </w:rPr>
        <w:t xml:space="preserve"> aby zwiększyć czytelność</w:t>
      </w:r>
      <w:r w:rsidR="00E66B89">
        <w:rPr>
          <w:szCs w:val="20"/>
        </w:rPr>
        <w:t xml:space="preserve"> i </w:t>
      </w:r>
      <w:r w:rsidRPr="00404DA5">
        <w:rPr>
          <w:szCs w:val="20"/>
        </w:rPr>
        <w:t xml:space="preserve">atrakcyjność raportu. </w:t>
      </w:r>
    </w:p>
    <w:p w14:paraId="4FB69512" w14:textId="77777777" w:rsidR="000A479F" w:rsidRPr="00404DA5" w:rsidRDefault="000A479F" w:rsidP="000A479F">
      <w:pPr>
        <w:rPr>
          <w:szCs w:val="20"/>
        </w:rPr>
      </w:pPr>
      <w:r w:rsidRPr="00404DA5">
        <w:rPr>
          <w:szCs w:val="20"/>
        </w:rPr>
        <w:t>Zgodnie</w:t>
      </w:r>
      <w:r w:rsidR="00E66B89">
        <w:rPr>
          <w:szCs w:val="20"/>
        </w:rPr>
        <w:t xml:space="preserve"> z </w:t>
      </w:r>
      <w:r w:rsidRPr="00404DA5">
        <w:rPr>
          <w:szCs w:val="20"/>
        </w:rPr>
        <w:t>zaproponowanym harmonogramem,</w:t>
      </w:r>
      <w:r w:rsidR="00E66B89">
        <w:rPr>
          <w:szCs w:val="20"/>
        </w:rPr>
        <w:t xml:space="preserve"> w </w:t>
      </w:r>
      <w:r w:rsidRPr="00404DA5">
        <w:rPr>
          <w:szCs w:val="20"/>
        </w:rPr>
        <w:t xml:space="preserve">pierwszej kolejności przygotowany został </w:t>
      </w:r>
      <w:r w:rsidRPr="00404DA5">
        <w:rPr>
          <w:b/>
          <w:szCs w:val="20"/>
        </w:rPr>
        <w:t>raport cząstkowy</w:t>
      </w:r>
      <w:r w:rsidR="00E66B89">
        <w:rPr>
          <w:szCs w:val="20"/>
        </w:rPr>
        <w:t xml:space="preserve"> z </w:t>
      </w:r>
      <w:r w:rsidRPr="00404DA5">
        <w:rPr>
          <w:szCs w:val="20"/>
        </w:rPr>
        <w:t>badania, który zawierał opis wyników badania wraz</w:t>
      </w:r>
      <w:r w:rsidR="00E66B89">
        <w:rPr>
          <w:szCs w:val="20"/>
        </w:rPr>
        <w:t xml:space="preserve"> z </w:t>
      </w:r>
      <w:r w:rsidRPr="00404DA5">
        <w:rPr>
          <w:szCs w:val="20"/>
        </w:rPr>
        <w:t xml:space="preserve">pierwszymi wnioskami </w:t>
      </w:r>
      <w:r w:rsidR="00606862">
        <w:rPr>
          <w:szCs w:val="20"/>
        </w:rPr>
        <w:t>dotyczącymi wskaźników Ram W</w:t>
      </w:r>
      <w:r w:rsidRPr="00404DA5">
        <w:rPr>
          <w:szCs w:val="20"/>
        </w:rPr>
        <w:t>ykonania</w:t>
      </w:r>
      <w:r w:rsidR="00E66B89">
        <w:rPr>
          <w:szCs w:val="20"/>
        </w:rPr>
        <w:t xml:space="preserve"> i </w:t>
      </w:r>
      <w:r w:rsidRPr="00404DA5">
        <w:rPr>
          <w:szCs w:val="20"/>
        </w:rPr>
        <w:t>zarządzania rezerwą wykonania.</w:t>
      </w:r>
    </w:p>
    <w:p w14:paraId="2A81AB48" w14:textId="77777777" w:rsidR="000A479F" w:rsidRPr="00404DA5" w:rsidRDefault="000A479F" w:rsidP="000A479F">
      <w:pPr>
        <w:rPr>
          <w:szCs w:val="20"/>
        </w:rPr>
      </w:pPr>
      <w:r w:rsidRPr="00404DA5">
        <w:rPr>
          <w:szCs w:val="20"/>
        </w:rPr>
        <w:t>Informacje zebrane</w:t>
      </w:r>
      <w:r w:rsidR="00E66B89">
        <w:rPr>
          <w:szCs w:val="20"/>
        </w:rPr>
        <w:t xml:space="preserve"> z </w:t>
      </w:r>
      <w:r w:rsidRPr="00404DA5">
        <w:rPr>
          <w:szCs w:val="20"/>
        </w:rPr>
        <w:t xml:space="preserve">różnych źródeł analizowane były na potrzeby </w:t>
      </w:r>
      <w:r w:rsidRPr="00404DA5">
        <w:rPr>
          <w:b/>
          <w:szCs w:val="20"/>
        </w:rPr>
        <w:t>opracowania wniosków</w:t>
      </w:r>
      <w:r w:rsidR="00E66B89">
        <w:rPr>
          <w:b/>
          <w:szCs w:val="20"/>
        </w:rPr>
        <w:t xml:space="preserve"> i </w:t>
      </w:r>
      <w:r w:rsidRPr="00404DA5">
        <w:rPr>
          <w:b/>
          <w:szCs w:val="20"/>
        </w:rPr>
        <w:t>rekomendacji</w:t>
      </w:r>
      <w:r w:rsidR="00E66B89">
        <w:rPr>
          <w:szCs w:val="20"/>
        </w:rPr>
        <w:t xml:space="preserve"> w </w:t>
      </w:r>
      <w:r w:rsidRPr="00404DA5">
        <w:rPr>
          <w:szCs w:val="20"/>
        </w:rPr>
        <w:t xml:space="preserve">projekcie </w:t>
      </w:r>
      <w:r w:rsidRPr="00404DA5">
        <w:rPr>
          <w:b/>
          <w:szCs w:val="20"/>
        </w:rPr>
        <w:t>raportu końcowego</w:t>
      </w:r>
      <w:r w:rsidR="00E66B89">
        <w:rPr>
          <w:szCs w:val="20"/>
        </w:rPr>
        <w:t xml:space="preserve"> w </w:t>
      </w:r>
      <w:r w:rsidRPr="00404DA5">
        <w:rPr>
          <w:szCs w:val="20"/>
        </w:rPr>
        <w:t>sposób całościowy</w:t>
      </w:r>
      <w:r w:rsidR="004B45CD">
        <w:rPr>
          <w:szCs w:val="20"/>
        </w:rPr>
        <w:t>.</w:t>
      </w:r>
      <w:r w:rsidRPr="00404DA5">
        <w:rPr>
          <w:szCs w:val="20"/>
        </w:rPr>
        <w:t xml:space="preserve"> </w:t>
      </w:r>
      <w:r w:rsidR="004B45CD">
        <w:rPr>
          <w:szCs w:val="20"/>
        </w:rPr>
        <w:t>O</w:t>
      </w:r>
      <w:r w:rsidRPr="00404DA5">
        <w:rPr>
          <w:szCs w:val="20"/>
        </w:rPr>
        <w:t>znacza</w:t>
      </w:r>
      <w:r w:rsidR="004B45CD">
        <w:rPr>
          <w:szCs w:val="20"/>
        </w:rPr>
        <w:t xml:space="preserve"> to</w:t>
      </w:r>
      <w:r w:rsidRPr="00404DA5">
        <w:rPr>
          <w:szCs w:val="20"/>
        </w:rPr>
        <w:t>, że ocena opierała się na informacjach</w:t>
      </w:r>
      <w:r w:rsidR="00E66B89">
        <w:rPr>
          <w:szCs w:val="20"/>
        </w:rPr>
        <w:t xml:space="preserve"> z </w:t>
      </w:r>
      <w:r w:rsidRPr="00404DA5">
        <w:rPr>
          <w:szCs w:val="20"/>
        </w:rPr>
        <w:t>różnych źródeł wzajemnie się weryfikujących (ocena nie była odzwierciedleniem subiektywnych ocen poszczególnych respondentów). Jednocześnie zwrócona została uwaga, aby zapisy</w:t>
      </w:r>
      <w:r w:rsidR="00E66B89">
        <w:rPr>
          <w:szCs w:val="20"/>
        </w:rPr>
        <w:t xml:space="preserve"> </w:t>
      </w:r>
      <w:r w:rsidR="00E66B89">
        <w:rPr>
          <w:szCs w:val="20"/>
        </w:rPr>
        <w:lastRenderedPageBreak/>
        <w:t>w </w:t>
      </w:r>
      <w:r w:rsidRPr="00404DA5">
        <w:rPr>
          <w:szCs w:val="20"/>
        </w:rPr>
        <w:t>projekcie raportu końcowego mające charakter ocenny były odpowiednio uzasadnione, poparte faktami</w:t>
      </w:r>
      <w:r w:rsidR="00E66B89">
        <w:rPr>
          <w:szCs w:val="20"/>
        </w:rPr>
        <w:t xml:space="preserve"> i </w:t>
      </w:r>
      <w:r w:rsidRPr="00404DA5">
        <w:rPr>
          <w:szCs w:val="20"/>
        </w:rPr>
        <w:t xml:space="preserve">przykładami. </w:t>
      </w:r>
    </w:p>
    <w:p w14:paraId="4B94B788" w14:textId="77777777" w:rsidR="000A479F" w:rsidRPr="00404DA5" w:rsidRDefault="000A479F" w:rsidP="000A479F">
      <w:pPr>
        <w:rPr>
          <w:b/>
          <w:color w:val="1F497D"/>
          <w:szCs w:val="20"/>
        </w:rPr>
      </w:pPr>
      <w:r w:rsidRPr="00404DA5">
        <w:rPr>
          <w:b/>
          <w:color w:val="1F497D"/>
          <w:szCs w:val="20"/>
        </w:rPr>
        <w:t>IV etap badawczy – WYPRACOWANIE</w:t>
      </w:r>
      <w:r w:rsidR="00E66B89">
        <w:rPr>
          <w:b/>
          <w:color w:val="1F497D"/>
          <w:szCs w:val="20"/>
        </w:rPr>
        <w:t xml:space="preserve"> I </w:t>
      </w:r>
      <w:r w:rsidRPr="00404DA5">
        <w:rPr>
          <w:b/>
          <w:color w:val="1F497D"/>
          <w:szCs w:val="20"/>
        </w:rPr>
        <w:t xml:space="preserve">UZGODNIENIE REKOMENDACJI </w:t>
      </w:r>
    </w:p>
    <w:p w14:paraId="2351B619" w14:textId="77777777" w:rsidR="000A479F" w:rsidRPr="00404DA5" w:rsidRDefault="000A479F" w:rsidP="000A479F">
      <w:pPr>
        <w:rPr>
          <w:szCs w:val="20"/>
        </w:rPr>
      </w:pPr>
      <w:r w:rsidRPr="00404DA5">
        <w:rPr>
          <w:szCs w:val="20"/>
        </w:rPr>
        <w:t xml:space="preserve">Do opracowania rekomendacji przyczyni się </w:t>
      </w:r>
      <w:r w:rsidRPr="00404DA5">
        <w:rPr>
          <w:b/>
          <w:szCs w:val="20"/>
        </w:rPr>
        <w:t>warsztat implementacyjny</w:t>
      </w:r>
      <w:r w:rsidR="00E66B89">
        <w:rPr>
          <w:b/>
          <w:szCs w:val="20"/>
        </w:rPr>
        <w:t xml:space="preserve"> i </w:t>
      </w:r>
      <w:r w:rsidRPr="00404DA5">
        <w:rPr>
          <w:b/>
          <w:szCs w:val="20"/>
        </w:rPr>
        <w:t>panele eksperckie</w:t>
      </w:r>
      <w:r w:rsidRPr="00404DA5">
        <w:rPr>
          <w:szCs w:val="20"/>
        </w:rPr>
        <w:t>, które zosta</w:t>
      </w:r>
      <w:r w:rsidR="004B45CD">
        <w:rPr>
          <w:szCs w:val="20"/>
        </w:rPr>
        <w:t>ły</w:t>
      </w:r>
      <w:r w:rsidRPr="00404DA5">
        <w:rPr>
          <w:szCs w:val="20"/>
        </w:rPr>
        <w:t xml:space="preserve"> zorganizowane na koniec realizacji badania. Położony zostanie nacisk, aby rekomendacje miały jak najbardziej operacyjny charakter – zostaną sformułowane możliwie konkretnie</w:t>
      </w:r>
      <w:r w:rsidR="00E66B89">
        <w:rPr>
          <w:szCs w:val="20"/>
        </w:rPr>
        <w:t xml:space="preserve"> i </w:t>
      </w:r>
      <w:r w:rsidRPr="00404DA5">
        <w:rPr>
          <w:szCs w:val="20"/>
        </w:rPr>
        <w:t>szczegółowo.</w:t>
      </w:r>
      <w:r w:rsidR="00E66B89">
        <w:rPr>
          <w:szCs w:val="20"/>
        </w:rPr>
        <w:t xml:space="preserve"> W </w:t>
      </w:r>
      <w:r w:rsidRPr="00404DA5">
        <w:rPr>
          <w:szCs w:val="20"/>
        </w:rPr>
        <w:t>jasny sposób będą wskazywać, co należy zmienić, aby osiągnąć pożądany efekt. Każdorazowo zostanie określony precyzyjnie adresat lub adresaci rekomendacji oraz sposób,</w:t>
      </w:r>
      <w:r w:rsidR="00E66B89">
        <w:rPr>
          <w:szCs w:val="20"/>
        </w:rPr>
        <w:t xml:space="preserve"> w </w:t>
      </w:r>
      <w:r w:rsidRPr="00404DA5">
        <w:rPr>
          <w:szCs w:val="20"/>
        </w:rPr>
        <w:t xml:space="preserve">jaki należy wdrożyć rekomendację. </w:t>
      </w:r>
    </w:p>
    <w:p w14:paraId="10C3A0D2" w14:textId="77777777" w:rsidR="000A479F" w:rsidRPr="00404DA5" w:rsidRDefault="000A479F" w:rsidP="000A479F">
      <w:pPr>
        <w:rPr>
          <w:b/>
          <w:color w:val="1F497D"/>
          <w:szCs w:val="20"/>
        </w:rPr>
      </w:pPr>
      <w:r w:rsidRPr="00404DA5">
        <w:rPr>
          <w:b/>
          <w:color w:val="1F497D"/>
          <w:szCs w:val="20"/>
        </w:rPr>
        <w:t>V etap badawczy – TRZYKROTNA PREZENTACJA WYNIKÓW BADANIA</w:t>
      </w:r>
    </w:p>
    <w:p w14:paraId="3BFD538F" w14:textId="77777777" w:rsidR="000A479F" w:rsidRPr="00404DA5" w:rsidRDefault="000A479F" w:rsidP="000A479F">
      <w:pPr>
        <w:rPr>
          <w:szCs w:val="20"/>
        </w:rPr>
      </w:pPr>
      <w:r w:rsidRPr="00404DA5">
        <w:rPr>
          <w:szCs w:val="20"/>
        </w:rPr>
        <w:t xml:space="preserve">W ciągu 2 miesięcy od podpisania protokołu odbioru raportu końcowego Wykonawca przeprowadzi </w:t>
      </w:r>
      <w:r w:rsidRPr="00404DA5">
        <w:rPr>
          <w:b/>
          <w:szCs w:val="20"/>
        </w:rPr>
        <w:t>prezentację wyników badania</w:t>
      </w:r>
      <w:r w:rsidRPr="00404DA5">
        <w:rPr>
          <w:szCs w:val="20"/>
        </w:rPr>
        <w:t xml:space="preserve"> na 3 spotkaniach</w:t>
      </w:r>
      <w:r w:rsidR="00E66B89">
        <w:rPr>
          <w:szCs w:val="20"/>
        </w:rPr>
        <w:t xml:space="preserve"> w </w:t>
      </w:r>
      <w:r w:rsidRPr="00404DA5">
        <w:rPr>
          <w:szCs w:val="20"/>
        </w:rPr>
        <w:t>terminach uzgodnionych</w:t>
      </w:r>
      <w:r w:rsidR="00E66B89">
        <w:rPr>
          <w:szCs w:val="20"/>
        </w:rPr>
        <w:t xml:space="preserve"> z </w:t>
      </w:r>
      <w:r w:rsidRPr="00404DA5">
        <w:rPr>
          <w:szCs w:val="20"/>
        </w:rPr>
        <w:t>Zamawiającym.</w:t>
      </w:r>
    </w:p>
    <w:p w14:paraId="007B626E" w14:textId="77777777" w:rsidR="000A479F" w:rsidRPr="00404DA5" w:rsidRDefault="000A479F" w:rsidP="000A479F">
      <w:pPr>
        <w:rPr>
          <w:szCs w:val="20"/>
        </w:rPr>
      </w:pPr>
    </w:p>
    <w:p w14:paraId="187BC265" w14:textId="77777777" w:rsidR="000A479F" w:rsidRPr="00404DA5" w:rsidRDefault="000A479F" w:rsidP="00CF4C92">
      <w:pPr>
        <w:rPr>
          <w:b/>
          <w:color w:val="365F91"/>
          <w:sz w:val="22"/>
        </w:rPr>
      </w:pPr>
      <w:r w:rsidRPr="00404DA5">
        <w:rPr>
          <w:b/>
          <w:color w:val="365F91"/>
          <w:sz w:val="22"/>
        </w:rPr>
        <w:t>Metodyka badania</w:t>
      </w:r>
      <w:bookmarkEnd w:id="12"/>
    </w:p>
    <w:p w14:paraId="5EDD6B84" w14:textId="77777777" w:rsidR="000A479F" w:rsidRPr="00E3214E" w:rsidRDefault="00CF4C92" w:rsidP="000A479F">
      <w:pPr>
        <w:rPr>
          <w:rFonts w:eastAsia="Calibri"/>
          <w:szCs w:val="20"/>
        </w:rPr>
      </w:pPr>
      <w:bookmarkStart w:id="13" w:name="_Toc531951425"/>
      <w:r>
        <w:rPr>
          <w:rFonts w:eastAsia="Calibri"/>
          <w:szCs w:val="20"/>
        </w:rPr>
        <w:t>W ramach badania wykorzystano</w:t>
      </w:r>
      <w:r w:rsidR="000A479F" w:rsidRPr="00E3214E">
        <w:rPr>
          <w:rFonts w:eastAsia="Calibri"/>
          <w:szCs w:val="20"/>
        </w:rPr>
        <w:t xml:space="preserve"> następujące metody badawcze</w:t>
      </w:r>
      <w:r w:rsidR="00E66B89">
        <w:rPr>
          <w:rFonts w:eastAsia="Calibri"/>
          <w:szCs w:val="20"/>
        </w:rPr>
        <w:t xml:space="preserve"> i </w:t>
      </w:r>
      <w:r w:rsidR="000A479F" w:rsidRPr="00E3214E">
        <w:rPr>
          <w:rFonts w:eastAsia="Calibri"/>
          <w:szCs w:val="20"/>
        </w:rPr>
        <w:t>analityczne:</w:t>
      </w:r>
    </w:p>
    <w:p w14:paraId="6F728F97" w14:textId="77777777" w:rsidR="000A479F" w:rsidRPr="00404DA5" w:rsidRDefault="000A479F" w:rsidP="00404DA5">
      <w:pPr>
        <w:keepNext/>
        <w:keepLines/>
        <w:shd w:val="clear" w:color="auto" w:fill="4F81BD"/>
        <w:outlineLvl w:val="2"/>
        <w:rPr>
          <w:b/>
          <w:bCs/>
          <w:color w:val="FFFFFF"/>
        </w:rPr>
      </w:pPr>
      <w:bookmarkStart w:id="14" w:name="_Toc2082097"/>
      <w:r w:rsidRPr="00404DA5">
        <w:rPr>
          <w:b/>
          <w:bCs/>
          <w:color w:val="FFFFFF"/>
        </w:rPr>
        <w:t>Analiza desk research</w:t>
      </w:r>
      <w:bookmarkEnd w:id="13"/>
      <w:bookmarkEnd w:id="14"/>
    </w:p>
    <w:p w14:paraId="18FB73EB" w14:textId="77777777" w:rsidR="000A479F" w:rsidRPr="00E3214E" w:rsidRDefault="000A479F" w:rsidP="000A479F">
      <w:pPr>
        <w:rPr>
          <w:bCs/>
          <w:szCs w:val="20"/>
        </w:rPr>
      </w:pPr>
      <w:r w:rsidRPr="00E3214E">
        <w:rPr>
          <w:bCs/>
          <w:szCs w:val="20"/>
        </w:rPr>
        <w:t xml:space="preserve">Analiza desk research objęła: </w:t>
      </w:r>
    </w:p>
    <w:p w14:paraId="019AACC1" w14:textId="77777777" w:rsidR="000A479F" w:rsidRPr="00E3214E" w:rsidRDefault="007F0718" w:rsidP="00093E14">
      <w:pPr>
        <w:numPr>
          <w:ilvl w:val="0"/>
          <w:numId w:val="14"/>
        </w:numPr>
        <w:rPr>
          <w:szCs w:val="20"/>
        </w:rPr>
      </w:pPr>
      <w:r>
        <w:rPr>
          <w:szCs w:val="20"/>
        </w:rPr>
        <w:t>a</w:t>
      </w:r>
      <w:r w:rsidR="000A479F" w:rsidRPr="00E3214E">
        <w:rPr>
          <w:szCs w:val="20"/>
        </w:rPr>
        <w:t>kty prawne</w:t>
      </w:r>
      <w:r w:rsidR="00E66B89">
        <w:rPr>
          <w:szCs w:val="20"/>
        </w:rPr>
        <w:t xml:space="preserve"> i </w:t>
      </w:r>
      <w:r w:rsidR="000A479F" w:rsidRPr="00E3214E">
        <w:rPr>
          <w:szCs w:val="20"/>
        </w:rPr>
        <w:t>wytyczne szczebla unijnego</w:t>
      </w:r>
      <w:r w:rsidR="00E66B89">
        <w:rPr>
          <w:szCs w:val="20"/>
        </w:rPr>
        <w:t xml:space="preserve"> i </w:t>
      </w:r>
      <w:r w:rsidR="000A479F" w:rsidRPr="00E3214E">
        <w:rPr>
          <w:szCs w:val="20"/>
        </w:rPr>
        <w:t>krajowego</w:t>
      </w:r>
      <w:r>
        <w:rPr>
          <w:szCs w:val="20"/>
        </w:rPr>
        <w:t>,</w:t>
      </w:r>
      <w:r w:rsidR="000A479F" w:rsidRPr="00E3214E">
        <w:rPr>
          <w:szCs w:val="20"/>
        </w:rPr>
        <w:t xml:space="preserve"> </w:t>
      </w:r>
    </w:p>
    <w:p w14:paraId="25E22C4D" w14:textId="77777777" w:rsidR="000A479F" w:rsidRPr="00E3214E" w:rsidRDefault="007F0718" w:rsidP="00093E14">
      <w:pPr>
        <w:numPr>
          <w:ilvl w:val="0"/>
          <w:numId w:val="14"/>
        </w:numPr>
        <w:rPr>
          <w:szCs w:val="20"/>
        </w:rPr>
      </w:pPr>
      <w:r>
        <w:rPr>
          <w:szCs w:val="20"/>
        </w:rPr>
        <w:t>d</w:t>
      </w:r>
      <w:r w:rsidR="000A479F" w:rsidRPr="00E3214E">
        <w:rPr>
          <w:szCs w:val="20"/>
        </w:rPr>
        <w:t>okumenty strategiczne</w:t>
      </w:r>
      <w:r w:rsidR="00E66B89">
        <w:rPr>
          <w:szCs w:val="20"/>
        </w:rPr>
        <w:t xml:space="preserve"> i </w:t>
      </w:r>
      <w:r w:rsidR="000A479F" w:rsidRPr="00E3214E">
        <w:rPr>
          <w:szCs w:val="20"/>
        </w:rPr>
        <w:t>programowe</w:t>
      </w:r>
      <w:r>
        <w:rPr>
          <w:szCs w:val="20"/>
        </w:rPr>
        <w:t>,</w:t>
      </w:r>
    </w:p>
    <w:p w14:paraId="70CA44B0" w14:textId="77777777" w:rsidR="000A479F" w:rsidRPr="00E3214E" w:rsidRDefault="007F0718" w:rsidP="00093E14">
      <w:pPr>
        <w:numPr>
          <w:ilvl w:val="0"/>
          <w:numId w:val="14"/>
        </w:numPr>
        <w:rPr>
          <w:szCs w:val="20"/>
        </w:rPr>
      </w:pPr>
      <w:r>
        <w:rPr>
          <w:szCs w:val="20"/>
        </w:rPr>
        <w:t>d</w:t>
      </w:r>
      <w:r w:rsidR="000A479F" w:rsidRPr="00E3214E">
        <w:rPr>
          <w:szCs w:val="20"/>
        </w:rPr>
        <w:t>ane</w:t>
      </w:r>
      <w:r w:rsidR="00E66B89">
        <w:rPr>
          <w:szCs w:val="20"/>
        </w:rPr>
        <w:t xml:space="preserve"> i </w:t>
      </w:r>
      <w:r w:rsidR="000A479F" w:rsidRPr="00E3214E">
        <w:rPr>
          <w:szCs w:val="20"/>
        </w:rPr>
        <w:t>dokumenty monitoringowe oraz statystyki publiczne</w:t>
      </w:r>
      <w:r>
        <w:rPr>
          <w:szCs w:val="20"/>
        </w:rPr>
        <w:t>,</w:t>
      </w:r>
    </w:p>
    <w:p w14:paraId="1AB9FA8E" w14:textId="77777777" w:rsidR="000A479F" w:rsidRPr="00E3214E" w:rsidRDefault="007F0718" w:rsidP="00093E14">
      <w:pPr>
        <w:numPr>
          <w:ilvl w:val="0"/>
          <w:numId w:val="14"/>
        </w:numPr>
        <w:rPr>
          <w:szCs w:val="20"/>
        </w:rPr>
      </w:pPr>
      <w:r>
        <w:rPr>
          <w:szCs w:val="20"/>
        </w:rPr>
        <w:t>r</w:t>
      </w:r>
      <w:r w:rsidR="000A479F" w:rsidRPr="00E3214E">
        <w:rPr>
          <w:szCs w:val="20"/>
        </w:rPr>
        <w:t>aporty ewaluacyjne</w:t>
      </w:r>
      <w:r w:rsidR="00E66B89">
        <w:rPr>
          <w:szCs w:val="20"/>
        </w:rPr>
        <w:t xml:space="preserve"> i </w:t>
      </w:r>
      <w:r w:rsidR="000A479F" w:rsidRPr="00E3214E">
        <w:rPr>
          <w:szCs w:val="20"/>
        </w:rPr>
        <w:t>ekspertyzy oraz opracowania istotne</w:t>
      </w:r>
      <w:r w:rsidR="00E66B89">
        <w:rPr>
          <w:szCs w:val="20"/>
        </w:rPr>
        <w:t xml:space="preserve"> z </w:t>
      </w:r>
      <w:r w:rsidR="000A479F" w:rsidRPr="00E3214E">
        <w:rPr>
          <w:szCs w:val="20"/>
        </w:rPr>
        <w:t>punktu widzenia tematyki badania</w:t>
      </w:r>
      <w:r>
        <w:rPr>
          <w:szCs w:val="20"/>
        </w:rPr>
        <w:t>.</w:t>
      </w:r>
      <w:r w:rsidR="000A479F" w:rsidRPr="00E3214E">
        <w:rPr>
          <w:szCs w:val="20"/>
        </w:rPr>
        <w:t xml:space="preserve"> </w:t>
      </w:r>
    </w:p>
    <w:p w14:paraId="6BCDD6F3" w14:textId="77777777" w:rsidR="000A479F" w:rsidRPr="00404DA5" w:rsidRDefault="000A479F" w:rsidP="00404DA5">
      <w:pPr>
        <w:keepNext/>
        <w:keepLines/>
        <w:shd w:val="clear" w:color="auto" w:fill="4F81BD"/>
        <w:outlineLvl w:val="2"/>
        <w:rPr>
          <w:b/>
          <w:bCs/>
          <w:color w:val="FFFFFF"/>
        </w:rPr>
      </w:pPr>
      <w:bookmarkStart w:id="15" w:name="_Toc531951427"/>
      <w:bookmarkStart w:id="16" w:name="_Toc2082098"/>
      <w:r w:rsidRPr="00404DA5">
        <w:rPr>
          <w:b/>
          <w:bCs/>
          <w:color w:val="FFFFFF"/>
        </w:rPr>
        <w:t>Wywiady Pogłębione (IDI)</w:t>
      </w:r>
      <w:bookmarkEnd w:id="15"/>
      <w:bookmarkEnd w:id="16"/>
    </w:p>
    <w:p w14:paraId="52BC1F6A" w14:textId="77777777" w:rsidR="000A479F" w:rsidRPr="00E3214E" w:rsidRDefault="000A479F" w:rsidP="000A479F">
      <w:pPr>
        <w:rPr>
          <w:szCs w:val="20"/>
        </w:rPr>
      </w:pPr>
      <w:r w:rsidRPr="00E3214E">
        <w:rPr>
          <w:szCs w:val="20"/>
        </w:rPr>
        <w:t xml:space="preserve">Zrealizowano </w:t>
      </w:r>
      <w:r w:rsidRPr="00E3214E">
        <w:rPr>
          <w:b/>
          <w:szCs w:val="20"/>
        </w:rPr>
        <w:t>16 wywiadów pogłębionych</w:t>
      </w:r>
      <w:r w:rsidRPr="00E3214E">
        <w:rPr>
          <w:szCs w:val="20"/>
        </w:rPr>
        <w:t>. Respondentami</w:t>
      </w:r>
      <w:r w:rsidR="00E66B89">
        <w:rPr>
          <w:szCs w:val="20"/>
        </w:rPr>
        <w:t xml:space="preserve"> w </w:t>
      </w:r>
      <w:r w:rsidRPr="00E3214E">
        <w:rPr>
          <w:szCs w:val="20"/>
        </w:rPr>
        <w:t>badaniu były osoby kluczowe ze względu na posiadaną wiedzę</w:t>
      </w:r>
      <w:r w:rsidR="00E66B89">
        <w:rPr>
          <w:szCs w:val="20"/>
        </w:rPr>
        <w:t xml:space="preserve"> o </w:t>
      </w:r>
      <w:r w:rsidRPr="00E3214E">
        <w:rPr>
          <w:szCs w:val="20"/>
        </w:rPr>
        <w:t>Programie</w:t>
      </w:r>
      <w:r w:rsidR="00E66B89">
        <w:rPr>
          <w:szCs w:val="20"/>
        </w:rPr>
        <w:t xml:space="preserve"> i </w:t>
      </w:r>
      <w:r w:rsidRPr="00E3214E">
        <w:rPr>
          <w:szCs w:val="20"/>
        </w:rPr>
        <w:t>ze względu na kompetencje decyzyjne: dyrektorzy</w:t>
      </w:r>
      <w:r w:rsidR="00E66B89">
        <w:rPr>
          <w:szCs w:val="20"/>
        </w:rPr>
        <w:t xml:space="preserve"> i </w:t>
      </w:r>
      <w:r w:rsidRPr="00E3214E">
        <w:rPr>
          <w:szCs w:val="20"/>
        </w:rPr>
        <w:t>zastępcy dyrektorów oraz kierownicy</w:t>
      </w:r>
      <w:r w:rsidR="00E66B89">
        <w:rPr>
          <w:szCs w:val="20"/>
        </w:rPr>
        <w:t xml:space="preserve"> w </w:t>
      </w:r>
      <w:r w:rsidRPr="00E3214E">
        <w:rPr>
          <w:szCs w:val="20"/>
        </w:rPr>
        <w:t>instytucjach zaangażowanych</w:t>
      </w:r>
      <w:r w:rsidR="00E66B89">
        <w:rPr>
          <w:szCs w:val="20"/>
        </w:rPr>
        <w:t xml:space="preserve"> w </w:t>
      </w:r>
      <w:r w:rsidRPr="00E3214E">
        <w:rPr>
          <w:szCs w:val="20"/>
        </w:rPr>
        <w:t>programowanie, wdrażanie</w:t>
      </w:r>
      <w:r w:rsidR="00E66B89">
        <w:rPr>
          <w:szCs w:val="20"/>
        </w:rPr>
        <w:t xml:space="preserve"> i </w:t>
      </w:r>
      <w:r w:rsidRPr="00E3214E">
        <w:rPr>
          <w:szCs w:val="20"/>
        </w:rPr>
        <w:t>monitorowanie Programu. Dobór rozmówców wynikał</w:t>
      </w:r>
      <w:r w:rsidR="00E66B89">
        <w:rPr>
          <w:szCs w:val="20"/>
        </w:rPr>
        <w:t xml:space="preserve"> z </w:t>
      </w:r>
      <w:r w:rsidRPr="00E3214E">
        <w:rPr>
          <w:szCs w:val="20"/>
        </w:rPr>
        <w:t>przyjętego systemu instytucjonalnego odpowiadającego za zarządzanie</w:t>
      </w:r>
      <w:r w:rsidR="00E66B89">
        <w:rPr>
          <w:szCs w:val="20"/>
        </w:rPr>
        <w:t xml:space="preserve"> i </w:t>
      </w:r>
      <w:r w:rsidRPr="00E3214E">
        <w:rPr>
          <w:szCs w:val="20"/>
        </w:rPr>
        <w:t>wdrażanie RPO WZ. Wywiady zostały przeprowadzone</w:t>
      </w:r>
      <w:r w:rsidR="00E66B89">
        <w:rPr>
          <w:szCs w:val="20"/>
        </w:rPr>
        <w:t xml:space="preserve"> z </w:t>
      </w:r>
      <w:r w:rsidRPr="00E3214E">
        <w:rPr>
          <w:szCs w:val="20"/>
        </w:rPr>
        <w:t xml:space="preserve">niżej wymienionymi respondentami. </w:t>
      </w:r>
    </w:p>
    <w:p w14:paraId="160DF828" w14:textId="77777777" w:rsidR="000A479F" w:rsidRPr="00E3214E" w:rsidRDefault="000A479F" w:rsidP="000A479F">
      <w:pPr>
        <w:rPr>
          <w:szCs w:val="20"/>
          <w:u w:val="single"/>
        </w:rPr>
      </w:pPr>
      <w:r w:rsidRPr="00E3214E">
        <w:rPr>
          <w:szCs w:val="20"/>
          <w:u w:val="single"/>
        </w:rPr>
        <w:t>Instytucja Zarządzająca - Urząd Marszałkowski Województwa Zachodniopomorskiego</w:t>
      </w:r>
    </w:p>
    <w:p w14:paraId="30F5D76C" w14:textId="77777777" w:rsidR="000A479F" w:rsidRPr="00D554E8" w:rsidRDefault="000A479F" w:rsidP="00093E14">
      <w:pPr>
        <w:numPr>
          <w:ilvl w:val="0"/>
          <w:numId w:val="13"/>
        </w:numPr>
        <w:rPr>
          <w:szCs w:val="20"/>
        </w:rPr>
      </w:pPr>
      <w:r w:rsidRPr="00D554E8">
        <w:rPr>
          <w:szCs w:val="20"/>
        </w:rPr>
        <w:t xml:space="preserve">Wydział Zarządzania Strategicznego </w:t>
      </w:r>
    </w:p>
    <w:p w14:paraId="6256093F" w14:textId="77777777" w:rsidR="000A479F" w:rsidRPr="00D554E8" w:rsidRDefault="000A479F" w:rsidP="00093E14">
      <w:pPr>
        <w:numPr>
          <w:ilvl w:val="0"/>
          <w:numId w:val="13"/>
        </w:numPr>
        <w:rPr>
          <w:szCs w:val="20"/>
        </w:rPr>
      </w:pPr>
      <w:r w:rsidRPr="00D554E8">
        <w:rPr>
          <w:szCs w:val="20"/>
        </w:rPr>
        <w:t>Wydział Wdrażania Regionalnego Programu Operacyjnego</w:t>
      </w:r>
    </w:p>
    <w:p w14:paraId="19ADACE0" w14:textId="77777777" w:rsidR="00D554E8" w:rsidRPr="00D554E8" w:rsidRDefault="000A479F" w:rsidP="00093E14">
      <w:pPr>
        <w:numPr>
          <w:ilvl w:val="0"/>
          <w:numId w:val="13"/>
        </w:numPr>
        <w:rPr>
          <w:szCs w:val="20"/>
          <w:u w:val="single"/>
        </w:rPr>
      </w:pPr>
      <w:r w:rsidRPr="00D554E8">
        <w:rPr>
          <w:szCs w:val="20"/>
        </w:rPr>
        <w:t xml:space="preserve">Wydział Wdrażania Działań Środowiskowych RPO </w:t>
      </w:r>
    </w:p>
    <w:p w14:paraId="36CDD1EF" w14:textId="77777777" w:rsidR="000A479F" w:rsidRPr="00D554E8" w:rsidRDefault="000A479F" w:rsidP="00D554E8">
      <w:pPr>
        <w:rPr>
          <w:szCs w:val="20"/>
          <w:u w:val="single"/>
        </w:rPr>
      </w:pPr>
      <w:r w:rsidRPr="00D554E8">
        <w:rPr>
          <w:szCs w:val="20"/>
          <w:u w:val="single"/>
        </w:rPr>
        <w:t>Instytucje Pośredniczące</w:t>
      </w:r>
    </w:p>
    <w:p w14:paraId="10FB9F62" w14:textId="77777777" w:rsidR="000A479F" w:rsidRPr="00D554E8" w:rsidRDefault="000A479F" w:rsidP="00093E14">
      <w:pPr>
        <w:numPr>
          <w:ilvl w:val="0"/>
          <w:numId w:val="13"/>
        </w:numPr>
        <w:rPr>
          <w:szCs w:val="20"/>
        </w:rPr>
      </w:pPr>
      <w:r w:rsidRPr="00D554E8">
        <w:rPr>
          <w:szCs w:val="20"/>
        </w:rPr>
        <w:t>Wojewódzki Urząd Pracy</w:t>
      </w:r>
      <w:r w:rsidR="00E66B89">
        <w:rPr>
          <w:szCs w:val="20"/>
        </w:rPr>
        <w:t xml:space="preserve"> w </w:t>
      </w:r>
      <w:r w:rsidRPr="00D554E8">
        <w:rPr>
          <w:szCs w:val="20"/>
        </w:rPr>
        <w:t>Szczecinie</w:t>
      </w:r>
    </w:p>
    <w:p w14:paraId="201E391D" w14:textId="77777777" w:rsidR="000A479F" w:rsidRPr="00D554E8" w:rsidRDefault="000A479F" w:rsidP="00093E14">
      <w:pPr>
        <w:numPr>
          <w:ilvl w:val="0"/>
          <w:numId w:val="13"/>
        </w:numPr>
        <w:rPr>
          <w:szCs w:val="20"/>
        </w:rPr>
      </w:pPr>
      <w:r w:rsidRPr="00D554E8">
        <w:rPr>
          <w:szCs w:val="20"/>
        </w:rPr>
        <w:t xml:space="preserve">Stowarzyszenie Szczecińskiego Obszaru Metropolitalnego (SSOM) </w:t>
      </w:r>
    </w:p>
    <w:p w14:paraId="4281BE17" w14:textId="77777777" w:rsidR="000A479F" w:rsidRPr="00404DA5" w:rsidRDefault="000A479F" w:rsidP="00093E14">
      <w:pPr>
        <w:numPr>
          <w:ilvl w:val="0"/>
          <w:numId w:val="13"/>
        </w:numPr>
        <w:rPr>
          <w:rFonts w:cs="Calibri"/>
          <w:color w:val="000000"/>
          <w:szCs w:val="20"/>
        </w:rPr>
      </w:pPr>
      <w:r w:rsidRPr="00404DA5">
        <w:rPr>
          <w:rFonts w:cs="Calibri"/>
          <w:color w:val="000000"/>
          <w:szCs w:val="20"/>
        </w:rPr>
        <w:t>Urząd Miejski</w:t>
      </w:r>
      <w:r w:rsidR="00E66B89">
        <w:rPr>
          <w:rFonts w:cs="Calibri"/>
          <w:color w:val="000000"/>
          <w:szCs w:val="20"/>
        </w:rPr>
        <w:t xml:space="preserve"> w </w:t>
      </w:r>
      <w:r w:rsidRPr="00404DA5">
        <w:rPr>
          <w:rFonts w:cs="Calibri"/>
          <w:color w:val="000000"/>
          <w:szCs w:val="20"/>
        </w:rPr>
        <w:t>Koszalinie, Wydział Rozwoju</w:t>
      </w:r>
      <w:r w:rsidR="00E66B89">
        <w:rPr>
          <w:rFonts w:cs="Calibri"/>
          <w:color w:val="000000"/>
          <w:szCs w:val="20"/>
        </w:rPr>
        <w:t xml:space="preserve"> i </w:t>
      </w:r>
      <w:r w:rsidRPr="00404DA5">
        <w:rPr>
          <w:rFonts w:cs="Calibri"/>
          <w:color w:val="000000"/>
          <w:szCs w:val="20"/>
        </w:rPr>
        <w:t>Współpracy Terytorialnej</w:t>
      </w:r>
    </w:p>
    <w:p w14:paraId="066646CF" w14:textId="77777777" w:rsidR="00DB2594" w:rsidRPr="00404DA5" w:rsidRDefault="00DB2594" w:rsidP="00404DA5">
      <w:pPr>
        <w:keepNext/>
        <w:keepLines/>
        <w:shd w:val="clear" w:color="auto" w:fill="4F81BD"/>
        <w:outlineLvl w:val="2"/>
        <w:rPr>
          <w:b/>
          <w:bCs/>
          <w:color w:val="FFFFFF"/>
        </w:rPr>
      </w:pPr>
      <w:r w:rsidRPr="00404DA5">
        <w:rPr>
          <w:b/>
          <w:bCs/>
          <w:color w:val="FFFFFF"/>
        </w:rPr>
        <w:lastRenderedPageBreak/>
        <w:t>Wywiady Pogłębione (TDI)</w:t>
      </w:r>
    </w:p>
    <w:p w14:paraId="1CB72D7F" w14:textId="77777777" w:rsidR="00DB2594" w:rsidRPr="00366FB1" w:rsidRDefault="00366FB1" w:rsidP="00DB2594">
      <w:pPr>
        <w:rPr>
          <w:szCs w:val="20"/>
        </w:rPr>
      </w:pPr>
      <w:r>
        <w:rPr>
          <w:szCs w:val="20"/>
        </w:rPr>
        <w:t>Telefoniczne wywiady pogłębione przeprowadzono</w:t>
      </w:r>
      <w:r w:rsidR="00E66B89">
        <w:rPr>
          <w:szCs w:val="20"/>
        </w:rPr>
        <w:t xml:space="preserve"> z </w:t>
      </w:r>
      <w:r>
        <w:rPr>
          <w:szCs w:val="20"/>
        </w:rPr>
        <w:t>wybranymi przedstawicielami JST wchodzących</w:t>
      </w:r>
      <w:r w:rsidR="00E66B89">
        <w:rPr>
          <w:szCs w:val="20"/>
        </w:rPr>
        <w:t xml:space="preserve"> w </w:t>
      </w:r>
      <w:r>
        <w:rPr>
          <w:szCs w:val="20"/>
        </w:rPr>
        <w:t>skład Kontraktów Samorządowych oraz</w:t>
      </w:r>
      <w:r w:rsidR="00E66B89">
        <w:rPr>
          <w:szCs w:val="20"/>
        </w:rPr>
        <w:t xml:space="preserve"> z </w:t>
      </w:r>
      <w:r>
        <w:rPr>
          <w:szCs w:val="20"/>
        </w:rPr>
        <w:t>przedstawicielami instytucji pełniących rolę Pośredników Finansowych</w:t>
      </w:r>
      <w:r w:rsidR="00E66B89">
        <w:rPr>
          <w:szCs w:val="20"/>
        </w:rPr>
        <w:t xml:space="preserve"> w </w:t>
      </w:r>
      <w:r>
        <w:rPr>
          <w:szCs w:val="20"/>
        </w:rPr>
        <w:t>ramach RPO WZ 2014-2020.</w:t>
      </w:r>
    </w:p>
    <w:p w14:paraId="3A5920C0" w14:textId="77777777" w:rsidR="000A479F" w:rsidRPr="00404DA5" w:rsidRDefault="000A479F" w:rsidP="00404DA5">
      <w:pPr>
        <w:keepNext/>
        <w:keepLines/>
        <w:shd w:val="clear" w:color="auto" w:fill="4F81BD"/>
        <w:outlineLvl w:val="2"/>
        <w:rPr>
          <w:b/>
          <w:bCs/>
          <w:color w:val="FFFFFF"/>
        </w:rPr>
      </w:pPr>
      <w:bookmarkStart w:id="17" w:name="_Toc512605007"/>
      <w:bookmarkStart w:id="18" w:name="_Toc531951434"/>
      <w:bookmarkStart w:id="19" w:name="_Toc2082099"/>
      <w:bookmarkStart w:id="20" w:name="_Hlk522781363"/>
      <w:r w:rsidRPr="00404DA5">
        <w:rPr>
          <w:b/>
          <w:bCs/>
          <w:color w:val="FFFFFF"/>
        </w:rPr>
        <w:t>Badanie ilościowe</w:t>
      </w:r>
    </w:p>
    <w:p w14:paraId="084A47C3" w14:textId="77777777" w:rsidR="000A479F" w:rsidRPr="0051564B" w:rsidRDefault="000A479F" w:rsidP="000A479F">
      <w:pPr>
        <w:rPr>
          <w:rFonts w:cs="Calibri"/>
          <w:szCs w:val="20"/>
        </w:rPr>
      </w:pPr>
      <w:r w:rsidRPr="0051564B">
        <w:rPr>
          <w:rFonts w:cs="Calibri"/>
          <w:szCs w:val="20"/>
        </w:rPr>
        <w:t>W ramach badania ilościowego zastało zastosowane podejście mixed-mode łączące techniki CAWI</w:t>
      </w:r>
      <w:r w:rsidR="00E66B89">
        <w:rPr>
          <w:rFonts w:cs="Calibri"/>
          <w:szCs w:val="20"/>
        </w:rPr>
        <w:t xml:space="preserve"> i </w:t>
      </w:r>
      <w:r w:rsidRPr="0051564B">
        <w:rPr>
          <w:rFonts w:cs="Calibri"/>
          <w:szCs w:val="20"/>
        </w:rPr>
        <w:t>CATI</w:t>
      </w:r>
      <w:r w:rsidR="00E66B89">
        <w:rPr>
          <w:rFonts w:cs="Calibri"/>
          <w:szCs w:val="20"/>
        </w:rPr>
        <w:t xml:space="preserve"> w </w:t>
      </w:r>
      <w:r w:rsidRPr="0051564B">
        <w:rPr>
          <w:rFonts w:cs="Calibri"/>
          <w:szCs w:val="20"/>
        </w:rPr>
        <w:t>realizacji wywiadów. Procedura realizacji badania zakładała: 1/nawiązanie kontaktu</w:t>
      </w:r>
      <w:r w:rsidR="00E66B89">
        <w:rPr>
          <w:rFonts w:cs="Calibri"/>
          <w:szCs w:val="20"/>
        </w:rPr>
        <w:t xml:space="preserve"> z </w:t>
      </w:r>
      <w:r w:rsidRPr="0051564B">
        <w:rPr>
          <w:rFonts w:cs="Calibri"/>
          <w:szCs w:val="20"/>
        </w:rPr>
        <w:t>respondentem</w:t>
      </w:r>
      <w:r w:rsidR="00E66B89">
        <w:rPr>
          <w:rFonts w:cs="Calibri"/>
          <w:szCs w:val="20"/>
        </w:rPr>
        <w:t xml:space="preserve"> i </w:t>
      </w:r>
      <w:r w:rsidRPr="0051564B">
        <w:rPr>
          <w:rFonts w:cs="Calibri"/>
          <w:szCs w:val="20"/>
        </w:rPr>
        <w:t>przekazanie informacji</w:t>
      </w:r>
      <w:r w:rsidR="00E66B89">
        <w:rPr>
          <w:rFonts w:cs="Calibri"/>
          <w:szCs w:val="20"/>
        </w:rPr>
        <w:t xml:space="preserve"> o </w:t>
      </w:r>
      <w:r w:rsidRPr="0051564B">
        <w:rPr>
          <w:rFonts w:cs="Calibri"/>
          <w:szCs w:val="20"/>
        </w:rPr>
        <w:t>badaniu – wysyłka wiadomości e-mail</w:t>
      </w:r>
      <w:r w:rsidR="00E66B89">
        <w:rPr>
          <w:rFonts w:cs="Calibri"/>
          <w:szCs w:val="20"/>
        </w:rPr>
        <w:t xml:space="preserve"> z </w:t>
      </w:r>
      <w:r w:rsidRPr="0051564B">
        <w:rPr>
          <w:rFonts w:cs="Calibri"/>
          <w:szCs w:val="20"/>
        </w:rPr>
        <w:t>informacją</w:t>
      </w:r>
      <w:r w:rsidR="00E66B89">
        <w:rPr>
          <w:rFonts w:cs="Calibri"/>
          <w:szCs w:val="20"/>
        </w:rPr>
        <w:t xml:space="preserve"> o </w:t>
      </w:r>
      <w:r w:rsidRPr="0051564B">
        <w:rPr>
          <w:rFonts w:cs="Calibri"/>
          <w:szCs w:val="20"/>
        </w:rPr>
        <w:t>badaniu, listem polecającym oraz linkiem do elektronicznej wersji kwestionariusza, 2/dwukrotną wysyłkę monitów drogą elektroniczną (do respondentów, którzy nie wypełnili ankiet), 3/kontakt telefoniczny</w:t>
      </w:r>
      <w:r w:rsidR="00E66B89">
        <w:rPr>
          <w:rFonts w:cs="Calibri"/>
          <w:szCs w:val="20"/>
        </w:rPr>
        <w:t xml:space="preserve"> z </w:t>
      </w:r>
      <w:r w:rsidRPr="0051564B">
        <w:rPr>
          <w:rFonts w:cs="Calibri"/>
          <w:szCs w:val="20"/>
        </w:rPr>
        <w:t>respondentami, którzy nie wypełnili (po wysłaniu 2 przypomnień mailowych)</w:t>
      </w:r>
      <w:r w:rsidR="00E66B89">
        <w:rPr>
          <w:rFonts w:cs="Calibri"/>
          <w:szCs w:val="20"/>
        </w:rPr>
        <w:t xml:space="preserve"> i </w:t>
      </w:r>
      <w:r w:rsidRPr="0051564B">
        <w:rPr>
          <w:rFonts w:cs="Calibri"/>
          <w:szCs w:val="20"/>
        </w:rPr>
        <w:t>zachęcenie do wzięcia udziału</w:t>
      </w:r>
      <w:r w:rsidR="00E66B89">
        <w:rPr>
          <w:rFonts w:cs="Calibri"/>
          <w:szCs w:val="20"/>
        </w:rPr>
        <w:t xml:space="preserve"> w </w:t>
      </w:r>
      <w:r w:rsidRPr="0051564B">
        <w:rPr>
          <w:rFonts w:cs="Calibri"/>
          <w:szCs w:val="20"/>
        </w:rPr>
        <w:t>badaniu, 4/ przeprowadzenie wywiadu techniką CATI.</w:t>
      </w:r>
    </w:p>
    <w:p w14:paraId="24AFA76F" w14:textId="77777777" w:rsidR="000A479F" w:rsidRPr="0051564B" w:rsidRDefault="000A479F" w:rsidP="000A479F">
      <w:pPr>
        <w:rPr>
          <w:rFonts w:cs="Calibri"/>
          <w:szCs w:val="20"/>
        </w:rPr>
      </w:pPr>
      <w:r w:rsidRPr="0051564B">
        <w:rPr>
          <w:rFonts w:cs="Calibri"/>
          <w:szCs w:val="20"/>
        </w:rPr>
        <w:t>Badaniem objęto:</w:t>
      </w:r>
    </w:p>
    <w:p w14:paraId="01B70B85" w14:textId="77777777" w:rsidR="000A479F" w:rsidRPr="0051564B" w:rsidRDefault="000A479F" w:rsidP="00093E14">
      <w:pPr>
        <w:numPr>
          <w:ilvl w:val="0"/>
          <w:numId w:val="15"/>
        </w:numPr>
        <w:rPr>
          <w:rFonts w:cs="Calibri"/>
          <w:szCs w:val="20"/>
        </w:rPr>
      </w:pPr>
      <w:r w:rsidRPr="0051564B">
        <w:rPr>
          <w:rFonts w:cs="Calibri"/>
          <w:szCs w:val="20"/>
        </w:rPr>
        <w:t>beneficjentów Osi Priorytetowych 1-9 RPO WZ 2014-2020,</w:t>
      </w:r>
    </w:p>
    <w:p w14:paraId="664197A6" w14:textId="77777777" w:rsidR="000A479F" w:rsidRPr="0051564B" w:rsidRDefault="000A479F" w:rsidP="00093E14">
      <w:pPr>
        <w:numPr>
          <w:ilvl w:val="0"/>
          <w:numId w:val="15"/>
        </w:numPr>
        <w:rPr>
          <w:rFonts w:cs="Calibri"/>
          <w:szCs w:val="20"/>
        </w:rPr>
      </w:pPr>
      <w:r w:rsidRPr="0051564B">
        <w:rPr>
          <w:rFonts w:cs="Calibri"/>
          <w:szCs w:val="20"/>
        </w:rPr>
        <w:t>wnioskodawców nieskutecznie aplikujących</w:t>
      </w:r>
      <w:r w:rsidR="00E66B89">
        <w:rPr>
          <w:rFonts w:cs="Calibri"/>
          <w:szCs w:val="20"/>
        </w:rPr>
        <w:t xml:space="preserve"> w </w:t>
      </w:r>
      <w:r w:rsidRPr="0051564B">
        <w:rPr>
          <w:rFonts w:cs="Calibri"/>
          <w:szCs w:val="20"/>
        </w:rPr>
        <w:t>ramach Osi Priorytetowych 1-9 RPO WZ 2014-2020 (tj. podmiotów, które złożyły wniosek</w:t>
      </w:r>
      <w:r w:rsidR="00E66B89">
        <w:rPr>
          <w:rFonts w:cs="Calibri"/>
          <w:szCs w:val="20"/>
        </w:rPr>
        <w:t xml:space="preserve"> o </w:t>
      </w:r>
      <w:r w:rsidRPr="0051564B">
        <w:rPr>
          <w:rFonts w:cs="Calibri"/>
          <w:szCs w:val="20"/>
        </w:rPr>
        <w:t>dofinansowanie, ale ich projekty nie zostały wybrane</w:t>
      </w:r>
      <w:r w:rsidR="00E66B89">
        <w:rPr>
          <w:rFonts w:cs="Calibri"/>
          <w:szCs w:val="20"/>
        </w:rPr>
        <w:t xml:space="preserve"> i </w:t>
      </w:r>
      <w:r w:rsidRPr="0051564B">
        <w:rPr>
          <w:rFonts w:cs="Calibri"/>
          <w:szCs w:val="20"/>
        </w:rPr>
        <w:t>nie zawarli umowy</w:t>
      </w:r>
      <w:r w:rsidR="00E66B89">
        <w:rPr>
          <w:rFonts w:cs="Calibri"/>
          <w:szCs w:val="20"/>
        </w:rPr>
        <w:t xml:space="preserve"> o </w:t>
      </w:r>
      <w:r w:rsidRPr="0051564B">
        <w:rPr>
          <w:rFonts w:cs="Calibri"/>
          <w:szCs w:val="20"/>
        </w:rPr>
        <w:t>dofinansowanie</w:t>
      </w:r>
      <w:r w:rsidRPr="0051564B">
        <w:rPr>
          <w:szCs w:val="20"/>
          <w:vertAlign w:val="superscript"/>
        </w:rPr>
        <w:footnoteReference w:id="2"/>
      </w:r>
      <w:r w:rsidRPr="0051564B">
        <w:rPr>
          <w:rFonts w:cs="Calibri"/>
          <w:szCs w:val="20"/>
        </w:rPr>
        <w:t>),</w:t>
      </w:r>
    </w:p>
    <w:p w14:paraId="7D63AD32" w14:textId="77777777" w:rsidR="000A479F" w:rsidRPr="0051564B" w:rsidRDefault="000A479F" w:rsidP="00093E14">
      <w:pPr>
        <w:numPr>
          <w:ilvl w:val="0"/>
          <w:numId w:val="15"/>
        </w:numPr>
        <w:rPr>
          <w:rFonts w:cs="Calibri"/>
          <w:szCs w:val="20"/>
        </w:rPr>
      </w:pPr>
      <w:r w:rsidRPr="0051564B">
        <w:rPr>
          <w:szCs w:val="20"/>
        </w:rPr>
        <w:t xml:space="preserve">odbiorców wsparcia </w:t>
      </w:r>
      <w:r w:rsidR="00CF4C92">
        <w:rPr>
          <w:szCs w:val="20"/>
        </w:rPr>
        <w:t>realizowanego</w:t>
      </w:r>
      <w:r w:rsidR="00E66B89">
        <w:rPr>
          <w:szCs w:val="20"/>
        </w:rPr>
        <w:t xml:space="preserve"> w </w:t>
      </w:r>
      <w:r w:rsidR="00CF4C92">
        <w:rPr>
          <w:szCs w:val="20"/>
        </w:rPr>
        <w:t>formie instrumentów finansowych</w:t>
      </w:r>
      <w:r w:rsidR="007F0718">
        <w:rPr>
          <w:szCs w:val="20"/>
        </w:rPr>
        <w:t>.</w:t>
      </w:r>
      <w:r w:rsidR="00CF4C92">
        <w:rPr>
          <w:szCs w:val="20"/>
        </w:rPr>
        <w:t xml:space="preserve"> </w:t>
      </w:r>
    </w:p>
    <w:p w14:paraId="73F84B9A" w14:textId="77777777" w:rsidR="000A479F" w:rsidRPr="0051564B" w:rsidRDefault="000A479F" w:rsidP="000A479F">
      <w:pPr>
        <w:rPr>
          <w:rFonts w:cs="Calibri"/>
          <w:b/>
          <w:szCs w:val="20"/>
        </w:rPr>
      </w:pPr>
      <w:r w:rsidRPr="0051564B">
        <w:rPr>
          <w:rFonts w:cs="Calibri"/>
          <w:b/>
          <w:szCs w:val="20"/>
        </w:rPr>
        <w:t>Beneficjenci RPO WZ 2014-2020</w:t>
      </w:r>
    </w:p>
    <w:p w14:paraId="17793747" w14:textId="77777777" w:rsidR="000A479F" w:rsidRPr="0051564B" w:rsidRDefault="000A479F" w:rsidP="000A479F">
      <w:pPr>
        <w:rPr>
          <w:rFonts w:eastAsia="Calibri" w:cs="Calibri"/>
          <w:szCs w:val="20"/>
        </w:rPr>
      </w:pPr>
      <w:r w:rsidRPr="0051564B">
        <w:rPr>
          <w:rFonts w:cs="Calibri"/>
          <w:szCs w:val="20"/>
        </w:rPr>
        <w:t>Badaniem ilościowym zostali objęci beneficjenci projektów</w:t>
      </w:r>
      <w:r w:rsidR="00E66B89">
        <w:rPr>
          <w:rFonts w:cs="Calibri"/>
          <w:szCs w:val="20"/>
        </w:rPr>
        <w:t xml:space="preserve"> w </w:t>
      </w:r>
      <w:r w:rsidRPr="0051564B">
        <w:rPr>
          <w:rFonts w:cs="Calibri"/>
          <w:szCs w:val="20"/>
        </w:rPr>
        <w:t>ramach RPO WZ 2014-2020 (tj. wnioskodawcy, którzy zawarli umowy</w:t>
      </w:r>
      <w:r w:rsidR="00E66B89">
        <w:rPr>
          <w:rFonts w:cs="Calibri"/>
          <w:szCs w:val="20"/>
        </w:rPr>
        <w:t xml:space="preserve"> o </w:t>
      </w:r>
      <w:r w:rsidRPr="0051564B">
        <w:rPr>
          <w:rFonts w:cs="Calibri"/>
          <w:szCs w:val="20"/>
        </w:rPr>
        <w:t>dofinansowanie</w:t>
      </w:r>
      <w:r w:rsidR="00E66B89">
        <w:rPr>
          <w:rFonts w:cs="Calibri"/>
          <w:szCs w:val="20"/>
        </w:rPr>
        <w:t xml:space="preserve"> w </w:t>
      </w:r>
      <w:r w:rsidRPr="0051564B">
        <w:rPr>
          <w:rFonts w:cs="Calibri"/>
          <w:szCs w:val="20"/>
        </w:rPr>
        <w:t xml:space="preserve">ramach Osi Priorytetowych 1-9). </w:t>
      </w:r>
      <w:r w:rsidRPr="0051564B">
        <w:rPr>
          <w:rFonts w:eastAsia="Calibri" w:cs="Calibri"/>
          <w:szCs w:val="20"/>
        </w:rPr>
        <w:t>Operat badania powstał</w:t>
      </w:r>
      <w:r w:rsidR="00E66B89">
        <w:rPr>
          <w:rFonts w:eastAsia="Calibri" w:cs="Calibri"/>
          <w:szCs w:val="20"/>
        </w:rPr>
        <w:t xml:space="preserve"> w </w:t>
      </w:r>
      <w:r w:rsidRPr="0051564B">
        <w:rPr>
          <w:rFonts w:eastAsia="Calibri" w:cs="Calibri"/>
          <w:szCs w:val="20"/>
        </w:rPr>
        <w:t>oparciu</w:t>
      </w:r>
      <w:r w:rsidR="00E66B89">
        <w:rPr>
          <w:rFonts w:eastAsia="Calibri" w:cs="Calibri"/>
          <w:szCs w:val="20"/>
        </w:rPr>
        <w:t xml:space="preserve"> o </w:t>
      </w:r>
      <w:r w:rsidRPr="0051564B">
        <w:rPr>
          <w:rFonts w:eastAsia="Calibri" w:cs="Calibri"/>
          <w:szCs w:val="20"/>
        </w:rPr>
        <w:t>bazę</w:t>
      </w:r>
      <w:r w:rsidRPr="0051564B">
        <w:rPr>
          <w:rFonts w:cs="Calibri"/>
          <w:szCs w:val="20"/>
        </w:rPr>
        <w:t xml:space="preserve"> kontaktową (zawierającą e-mail</w:t>
      </w:r>
      <w:r w:rsidR="00E66B89">
        <w:rPr>
          <w:rFonts w:cs="Calibri"/>
          <w:szCs w:val="20"/>
        </w:rPr>
        <w:t xml:space="preserve"> i </w:t>
      </w:r>
      <w:r w:rsidRPr="0051564B">
        <w:rPr>
          <w:rFonts w:cs="Calibri"/>
          <w:szCs w:val="20"/>
        </w:rPr>
        <w:t xml:space="preserve">nr telefonu do beneficjentów), która została przekazana na potrzeby realizacji badania ewaluacyjnego przez Zamawiającego. </w:t>
      </w:r>
    </w:p>
    <w:p w14:paraId="204A5AAA" w14:textId="77777777" w:rsidR="000A479F" w:rsidRPr="0051564B" w:rsidRDefault="000A479F" w:rsidP="000A479F">
      <w:pPr>
        <w:rPr>
          <w:rFonts w:cs="Calibri"/>
          <w:szCs w:val="20"/>
        </w:rPr>
      </w:pPr>
      <w:r w:rsidRPr="0051564B">
        <w:rPr>
          <w:rFonts w:cs="Calibri"/>
          <w:szCs w:val="20"/>
        </w:rPr>
        <w:t>Należy zastrzec, iż jednostką analizy byli unikatowi beneficjenci na poziomie OP, nie zaś poszczególne projekty (tj. beneficjenci realizujący więcej niż jeden projekt</w:t>
      </w:r>
      <w:r w:rsidR="00E66B89">
        <w:rPr>
          <w:rFonts w:cs="Calibri"/>
          <w:szCs w:val="20"/>
        </w:rPr>
        <w:t xml:space="preserve"> w </w:t>
      </w:r>
      <w:r w:rsidRPr="0051564B">
        <w:rPr>
          <w:rFonts w:cs="Calibri"/>
          <w:szCs w:val="20"/>
        </w:rPr>
        <w:t xml:space="preserve">ramach danej OP zostali zaproszeni do badania poświęconego danej osi priorytetowej wyłącznie jeden raz (aczkolwiek możliwe było zapraszanie ich kilkukrotnie, jeśli </w:t>
      </w:r>
      <w:r w:rsidR="009D6B39" w:rsidRPr="0051564B">
        <w:rPr>
          <w:rFonts w:cs="Calibri"/>
          <w:szCs w:val="20"/>
        </w:rPr>
        <w:t>nale</w:t>
      </w:r>
      <w:r w:rsidR="009D6B39">
        <w:rPr>
          <w:rFonts w:cs="Calibri"/>
          <w:szCs w:val="20"/>
        </w:rPr>
        <w:t>żeli</w:t>
      </w:r>
      <w:r w:rsidRPr="0051564B">
        <w:rPr>
          <w:rFonts w:cs="Calibri"/>
          <w:szCs w:val="20"/>
        </w:rPr>
        <w:t xml:space="preserve"> do różnych kategorii respondenckich tj.</w:t>
      </w:r>
      <w:r w:rsidR="00E66B89">
        <w:rPr>
          <w:rFonts w:cs="Calibri"/>
          <w:szCs w:val="20"/>
        </w:rPr>
        <w:t xml:space="preserve"> w </w:t>
      </w:r>
      <w:r w:rsidRPr="0051564B">
        <w:rPr>
          <w:rFonts w:cs="Calibri"/>
          <w:szCs w:val="20"/>
        </w:rPr>
        <w:t xml:space="preserve">różnych OP). Identyfikacja unikatowych respondentów następowała na podstawie NIP. </w:t>
      </w:r>
      <w:r w:rsidRPr="0051564B">
        <w:rPr>
          <w:szCs w:val="20"/>
        </w:rPr>
        <w:t>Dobór próby miał charakter warstwowo-losowy tj. losowanie</w:t>
      </w:r>
      <w:r w:rsidR="00E66B89">
        <w:rPr>
          <w:szCs w:val="20"/>
        </w:rPr>
        <w:t xml:space="preserve"> w </w:t>
      </w:r>
      <w:r w:rsidRPr="0051564B">
        <w:rPr>
          <w:szCs w:val="20"/>
        </w:rPr>
        <w:t>obrębie warstwy – OP.</w:t>
      </w:r>
    </w:p>
    <w:p w14:paraId="5F84E441" w14:textId="77777777" w:rsidR="000A479F" w:rsidRPr="0051564B" w:rsidRDefault="000A479F" w:rsidP="000A479F">
      <w:pPr>
        <w:rPr>
          <w:rFonts w:cs="Calibri"/>
          <w:szCs w:val="20"/>
        </w:rPr>
      </w:pPr>
      <w:r w:rsidRPr="0051564B">
        <w:rPr>
          <w:rFonts w:cs="Calibri"/>
          <w:szCs w:val="20"/>
        </w:rPr>
        <w:t xml:space="preserve">Badaniu ankietowemu </w:t>
      </w:r>
      <w:r w:rsidRPr="0051564B">
        <w:rPr>
          <w:rFonts w:cs="Calibri"/>
          <w:b/>
          <w:szCs w:val="20"/>
        </w:rPr>
        <w:t>zostało poddanych 437 beneficjentów realizujących projekty</w:t>
      </w:r>
      <w:r w:rsidR="00E66B89">
        <w:rPr>
          <w:rFonts w:cs="Calibri"/>
          <w:b/>
          <w:szCs w:val="20"/>
        </w:rPr>
        <w:t xml:space="preserve"> w </w:t>
      </w:r>
      <w:r w:rsidRPr="0051564B">
        <w:rPr>
          <w:rFonts w:cs="Calibri"/>
          <w:b/>
          <w:szCs w:val="20"/>
        </w:rPr>
        <w:t>ramach RPO WZ 2014-2020 (tj. 46% wszystkich)</w:t>
      </w:r>
      <w:r w:rsidRPr="0051564B">
        <w:rPr>
          <w:rFonts w:cs="Calibri"/>
          <w:szCs w:val="20"/>
        </w:rPr>
        <w:t>. Osiągnięty został więc błąd oszacowania 3,5% (przy poziomie ufności 95%), co zagwarantowało uzyskanie wiarygodnych</w:t>
      </w:r>
      <w:r w:rsidR="00E66B89">
        <w:rPr>
          <w:rFonts w:cs="Calibri"/>
          <w:szCs w:val="20"/>
        </w:rPr>
        <w:t xml:space="preserve"> i </w:t>
      </w:r>
      <w:r w:rsidRPr="0051564B">
        <w:rPr>
          <w:rFonts w:cs="Calibri"/>
          <w:szCs w:val="20"/>
        </w:rPr>
        <w:t>reprezentatywnych wyników badania. Szczegółowa struktura próby badania ankietowego</w:t>
      </w:r>
      <w:r w:rsidR="00E66B89">
        <w:rPr>
          <w:rFonts w:cs="Calibri"/>
          <w:szCs w:val="20"/>
        </w:rPr>
        <w:t xml:space="preserve"> z </w:t>
      </w:r>
      <w:r w:rsidRPr="0051564B">
        <w:rPr>
          <w:rFonts w:cs="Calibri"/>
          <w:szCs w:val="20"/>
        </w:rPr>
        <w:t>beneficjentami została przedstawiona</w:t>
      </w:r>
      <w:r w:rsidR="00E66B89">
        <w:rPr>
          <w:rFonts w:cs="Calibri"/>
          <w:szCs w:val="20"/>
        </w:rPr>
        <w:t xml:space="preserve"> w </w:t>
      </w:r>
      <w:r w:rsidRPr="0051564B">
        <w:rPr>
          <w:rFonts w:cs="Calibri"/>
          <w:szCs w:val="20"/>
        </w:rPr>
        <w:t xml:space="preserve">tabeli poniżej. </w:t>
      </w:r>
    </w:p>
    <w:p w14:paraId="083569CF" w14:textId="77777777" w:rsidR="000A479F" w:rsidRPr="00C22C26" w:rsidRDefault="000A479F" w:rsidP="00707A80">
      <w:pPr>
        <w:pStyle w:val="Legenda"/>
        <w:spacing w:before="0" w:after="0"/>
      </w:pPr>
      <w:bookmarkStart w:id="21" w:name="_Toc8824112"/>
      <w:r w:rsidRPr="00C22C26">
        <w:lastRenderedPageBreak/>
        <w:t xml:space="preserve">Tabela </w:t>
      </w:r>
      <w:r w:rsidR="006E34DC">
        <w:rPr>
          <w:noProof/>
        </w:rPr>
        <w:fldChar w:fldCharType="begin"/>
      </w:r>
      <w:r w:rsidR="006E34DC">
        <w:rPr>
          <w:noProof/>
        </w:rPr>
        <w:instrText xml:space="preserve"> SEQ Tabela \* ARABIC </w:instrText>
      </w:r>
      <w:r w:rsidR="006E34DC">
        <w:rPr>
          <w:noProof/>
        </w:rPr>
        <w:fldChar w:fldCharType="separate"/>
      </w:r>
      <w:r w:rsidR="00763345">
        <w:rPr>
          <w:noProof/>
        </w:rPr>
        <w:t>1</w:t>
      </w:r>
      <w:r w:rsidR="006E34DC">
        <w:rPr>
          <w:noProof/>
        </w:rPr>
        <w:fldChar w:fldCharType="end"/>
      </w:r>
      <w:r w:rsidRPr="00C22C26">
        <w:t xml:space="preserve"> Struktura próby badania ilościowego zrealizowanego</w:t>
      </w:r>
      <w:r w:rsidR="00E66B89">
        <w:t xml:space="preserve"> z </w:t>
      </w:r>
      <w:r w:rsidRPr="00C22C26">
        <w:t>beneficjentami według OP</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589"/>
        <w:gridCol w:w="2766"/>
        <w:gridCol w:w="1626"/>
      </w:tblGrid>
      <w:tr w:rsidR="00846631" w:rsidRPr="0051564B" w14:paraId="75C7DF87" w14:textId="77777777" w:rsidTr="005351F2">
        <w:trPr>
          <w:trHeight w:val="586"/>
          <w:tblHeader/>
        </w:trPr>
        <w:tc>
          <w:tcPr>
            <w:tcW w:w="1700" w:type="pct"/>
            <w:shd w:val="clear" w:color="auto" w:fill="C6D9F1"/>
            <w:noWrap/>
            <w:vAlign w:val="center"/>
            <w:hideMark/>
          </w:tcPr>
          <w:p w14:paraId="0428D5A9" w14:textId="77777777" w:rsidR="00846631" w:rsidRPr="00404DA5" w:rsidRDefault="00846631" w:rsidP="005351F2">
            <w:pPr>
              <w:spacing w:before="40" w:after="40"/>
              <w:jc w:val="center"/>
              <w:rPr>
                <w:sz w:val="18"/>
                <w:szCs w:val="18"/>
              </w:rPr>
            </w:pPr>
            <w:r w:rsidRPr="00404DA5">
              <w:rPr>
                <w:sz w:val="18"/>
                <w:szCs w:val="18"/>
              </w:rPr>
              <w:t>Oś Priorytetowa RPO WZ 2014-2020</w:t>
            </w:r>
          </w:p>
        </w:tc>
        <w:tc>
          <w:tcPr>
            <w:tcW w:w="877" w:type="pct"/>
            <w:shd w:val="clear" w:color="auto" w:fill="C6D9F1"/>
            <w:noWrap/>
            <w:vAlign w:val="center"/>
            <w:hideMark/>
          </w:tcPr>
          <w:p w14:paraId="2D99755C" w14:textId="77777777" w:rsidR="00846631" w:rsidRPr="00404DA5" w:rsidRDefault="00846631" w:rsidP="005351F2">
            <w:pPr>
              <w:spacing w:before="40" w:after="40"/>
              <w:jc w:val="center"/>
              <w:rPr>
                <w:sz w:val="18"/>
                <w:szCs w:val="18"/>
              </w:rPr>
            </w:pPr>
            <w:r w:rsidRPr="00404DA5">
              <w:rPr>
                <w:sz w:val="18"/>
                <w:szCs w:val="18"/>
              </w:rPr>
              <w:t>Liczba projektów</w:t>
            </w:r>
            <w:r>
              <w:rPr>
                <w:sz w:val="18"/>
                <w:szCs w:val="18"/>
              </w:rPr>
              <w:t xml:space="preserve"> (stan na 1.11.2018 r.)</w:t>
            </w:r>
          </w:p>
        </w:tc>
        <w:tc>
          <w:tcPr>
            <w:tcW w:w="1526" w:type="pct"/>
            <w:shd w:val="clear" w:color="auto" w:fill="C6D9F1"/>
            <w:noWrap/>
            <w:vAlign w:val="center"/>
            <w:hideMark/>
          </w:tcPr>
          <w:p w14:paraId="73381067" w14:textId="77777777" w:rsidR="00846631" w:rsidRPr="00404DA5" w:rsidRDefault="00846631" w:rsidP="005351F2">
            <w:pPr>
              <w:spacing w:before="40" w:after="40"/>
              <w:jc w:val="center"/>
              <w:rPr>
                <w:sz w:val="18"/>
                <w:szCs w:val="18"/>
              </w:rPr>
            </w:pPr>
            <w:r w:rsidRPr="00404DA5">
              <w:rPr>
                <w:sz w:val="18"/>
                <w:szCs w:val="18"/>
              </w:rPr>
              <w:t>Liczba unikatowych beneficjentów</w:t>
            </w:r>
            <w:r w:rsidR="00E66B89">
              <w:rPr>
                <w:sz w:val="18"/>
                <w:szCs w:val="18"/>
              </w:rPr>
              <w:t xml:space="preserve"> w </w:t>
            </w:r>
            <w:r w:rsidRPr="00404DA5">
              <w:rPr>
                <w:sz w:val="18"/>
                <w:szCs w:val="18"/>
              </w:rPr>
              <w:t>ramach OP</w:t>
            </w:r>
            <w:r w:rsidRPr="00404DA5">
              <w:rPr>
                <w:sz w:val="18"/>
                <w:szCs w:val="18"/>
                <w:vertAlign w:val="superscript"/>
              </w:rPr>
              <w:footnoteReference w:id="3"/>
            </w:r>
          </w:p>
        </w:tc>
        <w:tc>
          <w:tcPr>
            <w:tcW w:w="897" w:type="pct"/>
            <w:shd w:val="clear" w:color="auto" w:fill="C6D9F1"/>
            <w:noWrap/>
            <w:vAlign w:val="center"/>
            <w:hideMark/>
          </w:tcPr>
          <w:p w14:paraId="48DA3248" w14:textId="77777777" w:rsidR="00846631" w:rsidRPr="00404DA5" w:rsidRDefault="00846631" w:rsidP="005351F2">
            <w:pPr>
              <w:spacing w:before="40" w:after="40"/>
              <w:jc w:val="center"/>
              <w:rPr>
                <w:sz w:val="18"/>
                <w:szCs w:val="18"/>
              </w:rPr>
            </w:pPr>
            <w:r w:rsidRPr="00404DA5">
              <w:rPr>
                <w:sz w:val="18"/>
                <w:szCs w:val="18"/>
              </w:rPr>
              <w:t>Wielkość próby</w:t>
            </w:r>
          </w:p>
        </w:tc>
      </w:tr>
      <w:tr w:rsidR="00846631" w:rsidRPr="0051564B" w14:paraId="12681644" w14:textId="77777777" w:rsidTr="005351F2">
        <w:trPr>
          <w:trHeight w:val="290"/>
        </w:trPr>
        <w:tc>
          <w:tcPr>
            <w:tcW w:w="1700" w:type="pct"/>
            <w:shd w:val="clear" w:color="auto" w:fill="auto"/>
            <w:noWrap/>
            <w:vAlign w:val="center"/>
            <w:hideMark/>
          </w:tcPr>
          <w:p w14:paraId="0FD7230D" w14:textId="77777777" w:rsidR="00846631" w:rsidRPr="00404DA5" w:rsidRDefault="00846631" w:rsidP="005351F2">
            <w:pPr>
              <w:spacing w:before="40" w:after="40"/>
              <w:rPr>
                <w:sz w:val="18"/>
                <w:szCs w:val="18"/>
              </w:rPr>
            </w:pPr>
            <w:r w:rsidRPr="00404DA5">
              <w:rPr>
                <w:sz w:val="18"/>
                <w:szCs w:val="18"/>
              </w:rPr>
              <w:t>1. Gospodarka, innowacje, nowoczesne technologie</w:t>
            </w:r>
          </w:p>
        </w:tc>
        <w:tc>
          <w:tcPr>
            <w:tcW w:w="877" w:type="pct"/>
            <w:shd w:val="clear" w:color="auto" w:fill="auto"/>
            <w:noWrap/>
            <w:vAlign w:val="center"/>
          </w:tcPr>
          <w:p w14:paraId="4B685781" w14:textId="77777777" w:rsidR="00846631" w:rsidRPr="00404DA5" w:rsidRDefault="00846631" w:rsidP="005351F2">
            <w:pPr>
              <w:spacing w:before="40" w:after="40"/>
              <w:jc w:val="center"/>
              <w:rPr>
                <w:sz w:val="18"/>
                <w:szCs w:val="18"/>
              </w:rPr>
            </w:pPr>
            <w:r w:rsidRPr="00404DA5">
              <w:rPr>
                <w:sz w:val="18"/>
                <w:szCs w:val="18"/>
              </w:rPr>
              <w:t>250</w:t>
            </w:r>
          </w:p>
        </w:tc>
        <w:tc>
          <w:tcPr>
            <w:tcW w:w="1526" w:type="pct"/>
            <w:shd w:val="clear" w:color="auto" w:fill="auto"/>
            <w:noWrap/>
            <w:vAlign w:val="center"/>
          </w:tcPr>
          <w:p w14:paraId="7CF1C906" w14:textId="77777777" w:rsidR="00846631" w:rsidRPr="00404DA5" w:rsidRDefault="00846631" w:rsidP="005351F2">
            <w:pPr>
              <w:spacing w:before="40" w:after="40"/>
              <w:jc w:val="center"/>
              <w:rPr>
                <w:sz w:val="18"/>
                <w:szCs w:val="18"/>
              </w:rPr>
            </w:pPr>
            <w:r w:rsidRPr="00404DA5">
              <w:rPr>
                <w:sz w:val="18"/>
                <w:szCs w:val="18"/>
              </w:rPr>
              <w:t>211</w:t>
            </w:r>
          </w:p>
        </w:tc>
        <w:tc>
          <w:tcPr>
            <w:tcW w:w="897" w:type="pct"/>
            <w:shd w:val="clear" w:color="auto" w:fill="auto"/>
            <w:noWrap/>
            <w:vAlign w:val="center"/>
          </w:tcPr>
          <w:p w14:paraId="62B9F13A" w14:textId="77777777" w:rsidR="00846631" w:rsidRPr="00404DA5" w:rsidRDefault="00846631" w:rsidP="005351F2">
            <w:pPr>
              <w:spacing w:before="40" w:after="40"/>
              <w:jc w:val="center"/>
              <w:rPr>
                <w:sz w:val="18"/>
                <w:szCs w:val="18"/>
              </w:rPr>
            </w:pPr>
            <w:r w:rsidRPr="00404DA5">
              <w:rPr>
                <w:sz w:val="18"/>
                <w:szCs w:val="18"/>
              </w:rPr>
              <w:t>86</w:t>
            </w:r>
          </w:p>
        </w:tc>
      </w:tr>
      <w:tr w:rsidR="00846631" w:rsidRPr="0051564B" w14:paraId="09DD73C6" w14:textId="77777777" w:rsidTr="005351F2">
        <w:trPr>
          <w:trHeight w:val="290"/>
        </w:trPr>
        <w:tc>
          <w:tcPr>
            <w:tcW w:w="1700" w:type="pct"/>
            <w:shd w:val="clear" w:color="auto" w:fill="auto"/>
            <w:noWrap/>
            <w:vAlign w:val="center"/>
            <w:hideMark/>
          </w:tcPr>
          <w:p w14:paraId="3E2ADA29" w14:textId="77777777" w:rsidR="00846631" w:rsidRPr="00404DA5" w:rsidRDefault="00846631" w:rsidP="005351F2">
            <w:pPr>
              <w:spacing w:before="40" w:after="40"/>
              <w:rPr>
                <w:sz w:val="18"/>
                <w:szCs w:val="18"/>
              </w:rPr>
            </w:pPr>
            <w:r w:rsidRPr="00404DA5">
              <w:rPr>
                <w:sz w:val="18"/>
                <w:szCs w:val="18"/>
              </w:rPr>
              <w:t>2. Gospodarka niskoemisyjna</w:t>
            </w:r>
          </w:p>
        </w:tc>
        <w:tc>
          <w:tcPr>
            <w:tcW w:w="877" w:type="pct"/>
            <w:shd w:val="clear" w:color="auto" w:fill="auto"/>
            <w:noWrap/>
            <w:vAlign w:val="center"/>
          </w:tcPr>
          <w:p w14:paraId="0D003E39" w14:textId="77777777" w:rsidR="00846631" w:rsidRPr="00404DA5" w:rsidRDefault="00846631" w:rsidP="005351F2">
            <w:pPr>
              <w:spacing w:before="40" w:after="40"/>
              <w:jc w:val="center"/>
              <w:rPr>
                <w:sz w:val="18"/>
                <w:szCs w:val="18"/>
              </w:rPr>
            </w:pPr>
            <w:r w:rsidRPr="00404DA5">
              <w:rPr>
                <w:sz w:val="18"/>
                <w:szCs w:val="18"/>
              </w:rPr>
              <w:t>279</w:t>
            </w:r>
          </w:p>
        </w:tc>
        <w:tc>
          <w:tcPr>
            <w:tcW w:w="1526" w:type="pct"/>
            <w:shd w:val="clear" w:color="auto" w:fill="auto"/>
            <w:noWrap/>
            <w:vAlign w:val="center"/>
          </w:tcPr>
          <w:p w14:paraId="5D5FD6B0" w14:textId="77777777" w:rsidR="00846631" w:rsidRPr="00404DA5" w:rsidRDefault="00846631" w:rsidP="005351F2">
            <w:pPr>
              <w:spacing w:before="40" w:after="40"/>
              <w:jc w:val="center"/>
              <w:rPr>
                <w:sz w:val="18"/>
                <w:szCs w:val="18"/>
              </w:rPr>
            </w:pPr>
            <w:r w:rsidRPr="00404DA5">
              <w:rPr>
                <w:sz w:val="18"/>
                <w:szCs w:val="18"/>
              </w:rPr>
              <w:t>221</w:t>
            </w:r>
          </w:p>
        </w:tc>
        <w:tc>
          <w:tcPr>
            <w:tcW w:w="897" w:type="pct"/>
            <w:shd w:val="clear" w:color="auto" w:fill="auto"/>
            <w:noWrap/>
            <w:vAlign w:val="center"/>
          </w:tcPr>
          <w:p w14:paraId="40BC10CE" w14:textId="77777777" w:rsidR="00846631" w:rsidRPr="00404DA5" w:rsidRDefault="00846631" w:rsidP="005351F2">
            <w:pPr>
              <w:spacing w:before="40" w:after="40"/>
              <w:jc w:val="center"/>
              <w:rPr>
                <w:sz w:val="18"/>
                <w:szCs w:val="18"/>
              </w:rPr>
            </w:pPr>
            <w:r w:rsidRPr="00404DA5">
              <w:rPr>
                <w:sz w:val="18"/>
                <w:szCs w:val="18"/>
              </w:rPr>
              <w:t>92</w:t>
            </w:r>
          </w:p>
        </w:tc>
      </w:tr>
      <w:tr w:rsidR="00846631" w:rsidRPr="0051564B" w14:paraId="1AF59E45" w14:textId="77777777" w:rsidTr="005351F2">
        <w:trPr>
          <w:trHeight w:val="290"/>
        </w:trPr>
        <w:tc>
          <w:tcPr>
            <w:tcW w:w="1700" w:type="pct"/>
            <w:shd w:val="clear" w:color="auto" w:fill="auto"/>
            <w:noWrap/>
            <w:vAlign w:val="center"/>
            <w:hideMark/>
          </w:tcPr>
          <w:p w14:paraId="0FAF2A9B" w14:textId="77777777" w:rsidR="00846631" w:rsidRPr="00404DA5" w:rsidRDefault="00846631" w:rsidP="005351F2">
            <w:pPr>
              <w:spacing w:before="40" w:after="40"/>
              <w:rPr>
                <w:sz w:val="18"/>
                <w:szCs w:val="18"/>
              </w:rPr>
            </w:pPr>
            <w:r w:rsidRPr="00404DA5">
              <w:rPr>
                <w:sz w:val="18"/>
                <w:szCs w:val="18"/>
              </w:rPr>
              <w:t>3. Ochrona środowiska</w:t>
            </w:r>
            <w:r w:rsidR="00E66B89">
              <w:rPr>
                <w:sz w:val="18"/>
                <w:szCs w:val="18"/>
              </w:rPr>
              <w:t xml:space="preserve"> i </w:t>
            </w:r>
            <w:r w:rsidRPr="00404DA5">
              <w:rPr>
                <w:sz w:val="18"/>
                <w:szCs w:val="18"/>
              </w:rPr>
              <w:t>zapobieganie zagrożeniom</w:t>
            </w:r>
          </w:p>
        </w:tc>
        <w:tc>
          <w:tcPr>
            <w:tcW w:w="877" w:type="pct"/>
            <w:shd w:val="clear" w:color="auto" w:fill="auto"/>
            <w:noWrap/>
            <w:vAlign w:val="center"/>
          </w:tcPr>
          <w:p w14:paraId="4E022E36" w14:textId="77777777" w:rsidR="00846631" w:rsidRPr="00404DA5" w:rsidRDefault="00846631" w:rsidP="005351F2">
            <w:pPr>
              <w:spacing w:before="40" w:after="40"/>
              <w:jc w:val="center"/>
              <w:rPr>
                <w:sz w:val="18"/>
                <w:szCs w:val="18"/>
              </w:rPr>
            </w:pPr>
            <w:r w:rsidRPr="00404DA5">
              <w:rPr>
                <w:sz w:val="18"/>
                <w:szCs w:val="18"/>
              </w:rPr>
              <w:t>43</w:t>
            </w:r>
          </w:p>
        </w:tc>
        <w:tc>
          <w:tcPr>
            <w:tcW w:w="1526" w:type="pct"/>
            <w:shd w:val="clear" w:color="auto" w:fill="auto"/>
            <w:noWrap/>
            <w:vAlign w:val="center"/>
          </w:tcPr>
          <w:p w14:paraId="44B3A668" w14:textId="77777777" w:rsidR="00846631" w:rsidRPr="00404DA5" w:rsidRDefault="00846631" w:rsidP="005351F2">
            <w:pPr>
              <w:spacing w:before="40" w:after="40"/>
              <w:jc w:val="center"/>
              <w:rPr>
                <w:sz w:val="18"/>
                <w:szCs w:val="18"/>
              </w:rPr>
            </w:pPr>
            <w:r w:rsidRPr="00404DA5">
              <w:rPr>
                <w:sz w:val="18"/>
                <w:szCs w:val="18"/>
              </w:rPr>
              <w:t>35</w:t>
            </w:r>
          </w:p>
        </w:tc>
        <w:tc>
          <w:tcPr>
            <w:tcW w:w="897" w:type="pct"/>
            <w:shd w:val="clear" w:color="auto" w:fill="auto"/>
            <w:noWrap/>
            <w:vAlign w:val="center"/>
          </w:tcPr>
          <w:p w14:paraId="3B03C6FD" w14:textId="77777777" w:rsidR="00846631" w:rsidRPr="00404DA5" w:rsidRDefault="00846631" w:rsidP="005351F2">
            <w:pPr>
              <w:spacing w:before="40" w:after="40"/>
              <w:jc w:val="center"/>
              <w:rPr>
                <w:sz w:val="18"/>
                <w:szCs w:val="18"/>
              </w:rPr>
            </w:pPr>
            <w:r w:rsidRPr="00404DA5">
              <w:rPr>
                <w:sz w:val="18"/>
                <w:szCs w:val="18"/>
              </w:rPr>
              <w:t>18</w:t>
            </w:r>
          </w:p>
        </w:tc>
      </w:tr>
      <w:tr w:rsidR="00846631" w:rsidRPr="0051564B" w14:paraId="49FE9028" w14:textId="77777777" w:rsidTr="005351F2">
        <w:trPr>
          <w:trHeight w:val="290"/>
        </w:trPr>
        <w:tc>
          <w:tcPr>
            <w:tcW w:w="1700" w:type="pct"/>
            <w:shd w:val="clear" w:color="auto" w:fill="auto"/>
            <w:noWrap/>
            <w:vAlign w:val="center"/>
            <w:hideMark/>
          </w:tcPr>
          <w:p w14:paraId="5BC5860C" w14:textId="77777777" w:rsidR="00846631" w:rsidRPr="00404DA5" w:rsidRDefault="00846631" w:rsidP="005351F2">
            <w:pPr>
              <w:spacing w:before="40" w:after="40"/>
              <w:rPr>
                <w:sz w:val="18"/>
                <w:szCs w:val="18"/>
              </w:rPr>
            </w:pPr>
            <w:r w:rsidRPr="00404DA5">
              <w:rPr>
                <w:sz w:val="18"/>
                <w:szCs w:val="18"/>
              </w:rPr>
              <w:t>4. Naturalne otoczenie człowieka</w:t>
            </w:r>
          </w:p>
        </w:tc>
        <w:tc>
          <w:tcPr>
            <w:tcW w:w="877" w:type="pct"/>
            <w:shd w:val="clear" w:color="auto" w:fill="auto"/>
            <w:noWrap/>
            <w:vAlign w:val="center"/>
          </w:tcPr>
          <w:p w14:paraId="43B4510D" w14:textId="77777777" w:rsidR="00846631" w:rsidRPr="00404DA5" w:rsidRDefault="00846631" w:rsidP="005351F2">
            <w:pPr>
              <w:spacing w:before="40" w:after="40"/>
              <w:jc w:val="center"/>
              <w:rPr>
                <w:sz w:val="18"/>
                <w:szCs w:val="18"/>
              </w:rPr>
            </w:pPr>
            <w:r w:rsidRPr="00404DA5">
              <w:rPr>
                <w:sz w:val="18"/>
                <w:szCs w:val="18"/>
              </w:rPr>
              <w:t>89</w:t>
            </w:r>
          </w:p>
        </w:tc>
        <w:tc>
          <w:tcPr>
            <w:tcW w:w="1526" w:type="pct"/>
            <w:shd w:val="clear" w:color="auto" w:fill="auto"/>
            <w:noWrap/>
            <w:vAlign w:val="center"/>
          </w:tcPr>
          <w:p w14:paraId="77963FA1" w14:textId="77777777" w:rsidR="00846631" w:rsidRPr="00404DA5" w:rsidRDefault="00846631" w:rsidP="005351F2">
            <w:pPr>
              <w:spacing w:before="40" w:after="40"/>
              <w:jc w:val="center"/>
              <w:rPr>
                <w:sz w:val="18"/>
                <w:szCs w:val="18"/>
              </w:rPr>
            </w:pPr>
            <w:r w:rsidRPr="00404DA5">
              <w:rPr>
                <w:sz w:val="18"/>
                <w:szCs w:val="18"/>
              </w:rPr>
              <w:t>61</w:t>
            </w:r>
          </w:p>
        </w:tc>
        <w:tc>
          <w:tcPr>
            <w:tcW w:w="897" w:type="pct"/>
            <w:shd w:val="clear" w:color="auto" w:fill="auto"/>
            <w:noWrap/>
            <w:vAlign w:val="center"/>
          </w:tcPr>
          <w:p w14:paraId="5A13F082" w14:textId="77777777" w:rsidR="00846631" w:rsidRPr="00404DA5" w:rsidRDefault="00846631" w:rsidP="005351F2">
            <w:pPr>
              <w:spacing w:before="40" w:after="40"/>
              <w:jc w:val="center"/>
              <w:rPr>
                <w:sz w:val="18"/>
                <w:szCs w:val="18"/>
              </w:rPr>
            </w:pPr>
            <w:r w:rsidRPr="00404DA5">
              <w:rPr>
                <w:sz w:val="18"/>
                <w:szCs w:val="18"/>
              </w:rPr>
              <w:t>35</w:t>
            </w:r>
          </w:p>
        </w:tc>
      </w:tr>
      <w:tr w:rsidR="00846631" w:rsidRPr="0051564B" w14:paraId="65624FE5" w14:textId="77777777" w:rsidTr="005351F2">
        <w:trPr>
          <w:trHeight w:val="290"/>
        </w:trPr>
        <w:tc>
          <w:tcPr>
            <w:tcW w:w="1700" w:type="pct"/>
            <w:shd w:val="clear" w:color="auto" w:fill="auto"/>
            <w:noWrap/>
            <w:vAlign w:val="center"/>
            <w:hideMark/>
          </w:tcPr>
          <w:p w14:paraId="45ED1BB5" w14:textId="77777777" w:rsidR="00846631" w:rsidRPr="00404DA5" w:rsidRDefault="00846631" w:rsidP="005351F2">
            <w:pPr>
              <w:spacing w:before="40" w:after="40"/>
              <w:rPr>
                <w:sz w:val="18"/>
                <w:szCs w:val="18"/>
              </w:rPr>
            </w:pPr>
            <w:r w:rsidRPr="00404DA5">
              <w:rPr>
                <w:sz w:val="18"/>
                <w:szCs w:val="18"/>
              </w:rPr>
              <w:t>5. Zrównoważony transport</w:t>
            </w:r>
          </w:p>
        </w:tc>
        <w:tc>
          <w:tcPr>
            <w:tcW w:w="877" w:type="pct"/>
            <w:shd w:val="clear" w:color="auto" w:fill="auto"/>
            <w:noWrap/>
            <w:vAlign w:val="center"/>
          </w:tcPr>
          <w:p w14:paraId="344CCC0A" w14:textId="77777777" w:rsidR="00846631" w:rsidRPr="00404DA5" w:rsidRDefault="00846631" w:rsidP="005351F2">
            <w:pPr>
              <w:spacing w:before="40" w:after="40"/>
              <w:jc w:val="center"/>
              <w:rPr>
                <w:sz w:val="18"/>
                <w:szCs w:val="18"/>
              </w:rPr>
            </w:pPr>
            <w:r w:rsidRPr="00404DA5">
              <w:rPr>
                <w:sz w:val="18"/>
                <w:szCs w:val="18"/>
              </w:rPr>
              <w:t>43</w:t>
            </w:r>
          </w:p>
        </w:tc>
        <w:tc>
          <w:tcPr>
            <w:tcW w:w="1526" w:type="pct"/>
            <w:shd w:val="clear" w:color="auto" w:fill="auto"/>
            <w:noWrap/>
            <w:vAlign w:val="center"/>
          </w:tcPr>
          <w:p w14:paraId="013C7AF2" w14:textId="77777777" w:rsidR="00846631" w:rsidRPr="00404DA5" w:rsidRDefault="00846631" w:rsidP="005351F2">
            <w:pPr>
              <w:spacing w:before="40" w:after="40"/>
              <w:jc w:val="center"/>
              <w:rPr>
                <w:sz w:val="18"/>
                <w:szCs w:val="18"/>
              </w:rPr>
            </w:pPr>
            <w:r w:rsidRPr="00404DA5">
              <w:rPr>
                <w:sz w:val="18"/>
                <w:szCs w:val="18"/>
              </w:rPr>
              <w:t>24</w:t>
            </w:r>
          </w:p>
        </w:tc>
        <w:tc>
          <w:tcPr>
            <w:tcW w:w="897" w:type="pct"/>
            <w:shd w:val="clear" w:color="auto" w:fill="auto"/>
            <w:noWrap/>
            <w:vAlign w:val="center"/>
          </w:tcPr>
          <w:p w14:paraId="08454B31" w14:textId="77777777" w:rsidR="00846631" w:rsidRPr="00404DA5" w:rsidRDefault="00846631" w:rsidP="005351F2">
            <w:pPr>
              <w:spacing w:before="40" w:after="40"/>
              <w:jc w:val="center"/>
              <w:rPr>
                <w:sz w:val="18"/>
                <w:szCs w:val="18"/>
              </w:rPr>
            </w:pPr>
            <w:r w:rsidRPr="00404DA5">
              <w:rPr>
                <w:sz w:val="18"/>
                <w:szCs w:val="18"/>
              </w:rPr>
              <w:t>14</w:t>
            </w:r>
          </w:p>
        </w:tc>
      </w:tr>
      <w:tr w:rsidR="00846631" w:rsidRPr="0051564B" w14:paraId="5C35C1F5" w14:textId="77777777" w:rsidTr="005351F2">
        <w:trPr>
          <w:trHeight w:val="290"/>
        </w:trPr>
        <w:tc>
          <w:tcPr>
            <w:tcW w:w="1700" w:type="pct"/>
            <w:shd w:val="clear" w:color="auto" w:fill="auto"/>
            <w:noWrap/>
            <w:vAlign w:val="center"/>
            <w:hideMark/>
          </w:tcPr>
          <w:p w14:paraId="079FF945" w14:textId="77777777" w:rsidR="00846631" w:rsidRPr="00404DA5" w:rsidRDefault="00846631" w:rsidP="005351F2">
            <w:pPr>
              <w:spacing w:before="40" w:after="40"/>
              <w:rPr>
                <w:sz w:val="18"/>
                <w:szCs w:val="18"/>
              </w:rPr>
            </w:pPr>
            <w:r w:rsidRPr="00404DA5">
              <w:rPr>
                <w:sz w:val="18"/>
                <w:szCs w:val="18"/>
              </w:rPr>
              <w:t>6. Rynek pracy</w:t>
            </w:r>
          </w:p>
        </w:tc>
        <w:tc>
          <w:tcPr>
            <w:tcW w:w="877" w:type="pct"/>
            <w:shd w:val="clear" w:color="auto" w:fill="auto"/>
            <w:noWrap/>
            <w:vAlign w:val="center"/>
          </w:tcPr>
          <w:p w14:paraId="1F2A8B9C" w14:textId="77777777" w:rsidR="00846631" w:rsidRPr="00404DA5" w:rsidRDefault="00846631" w:rsidP="005351F2">
            <w:pPr>
              <w:spacing w:before="40" w:after="40"/>
              <w:jc w:val="center"/>
              <w:rPr>
                <w:sz w:val="18"/>
                <w:szCs w:val="18"/>
              </w:rPr>
            </w:pPr>
            <w:r w:rsidRPr="00404DA5">
              <w:rPr>
                <w:sz w:val="18"/>
                <w:szCs w:val="18"/>
              </w:rPr>
              <w:t>149</w:t>
            </w:r>
          </w:p>
        </w:tc>
        <w:tc>
          <w:tcPr>
            <w:tcW w:w="1526" w:type="pct"/>
            <w:shd w:val="clear" w:color="auto" w:fill="auto"/>
            <w:noWrap/>
            <w:vAlign w:val="center"/>
          </w:tcPr>
          <w:p w14:paraId="3E3A9459" w14:textId="77777777" w:rsidR="00846631" w:rsidRPr="00404DA5" w:rsidRDefault="00846631" w:rsidP="005351F2">
            <w:pPr>
              <w:spacing w:before="40" w:after="40"/>
              <w:jc w:val="center"/>
              <w:rPr>
                <w:sz w:val="18"/>
                <w:szCs w:val="18"/>
              </w:rPr>
            </w:pPr>
            <w:r w:rsidRPr="00404DA5">
              <w:rPr>
                <w:sz w:val="18"/>
                <w:szCs w:val="18"/>
              </w:rPr>
              <w:t>75</w:t>
            </w:r>
          </w:p>
        </w:tc>
        <w:tc>
          <w:tcPr>
            <w:tcW w:w="897" w:type="pct"/>
            <w:shd w:val="clear" w:color="auto" w:fill="auto"/>
            <w:noWrap/>
            <w:vAlign w:val="center"/>
          </w:tcPr>
          <w:p w14:paraId="6859E868" w14:textId="77777777" w:rsidR="00846631" w:rsidRPr="00404DA5" w:rsidRDefault="00846631" w:rsidP="005351F2">
            <w:pPr>
              <w:spacing w:before="40" w:after="40"/>
              <w:jc w:val="center"/>
              <w:rPr>
                <w:sz w:val="18"/>
                <w:szCs w:val="18"/>
              </w:rPr>
            </w:pPr>
            <w:r w:rsidRPr="00404DA5">
              <w:rPr>
                <w:sz w:val="18"/>
                <w:szCs w:val="18"/>
              </w:rPr>
              <w:t>37</w:t>
            </w:r>
          </w:p>
        </w:tc>
      </w:tr>
      <w:tr w:rsidR="00846631" w:rsidRPr="0051564B" w14:paraId="62278808" w14:textId="77777777" w:rsidTr="005351F2">
        <w:trPr>
          <w:trHeight w:val="290"/>
        </w:trPr>
        <w:tc>
          <w:tcPr>
            <w:tcW w:w="1700" w:type="pct"/>
            <w:shd w:val="clear" w:color="auto" w:fill="auto"/>
            <w:noWrap/>
            <w:vAlign w:val="center"/>
            <w:hideMark/>
          </w:tcPr>
          <w:p w14:paraId="155ECE97" w14:textId="77777777" w:rsidR="00846631" w:rsidRPr="00404DA5" w:rsidRDefault="00846631" w:rsidP="005351F2">
            <w:pPr>
              <w:spacing w:before="40" w:after="40"/>
              <w:rPr>
                <w:sz w:val="18"/>
                <w:szCs w:val="18"/>
              </w:rPr>
            </w:pPr>
            <w:r w:rsidRPr="00404DA5">
              <w:rPr>
                <w:sz w:val="18"/>
                <w:szCs w:val="18"/>
              </w:rPr>
              <w:t>7. Włączenie społeczne</w:t>
            </w:r>
          </w:p>
        </w:tc>
        <w:tc>
          <w:tcPr>
            <w:tcW w:w="877" w:type="pct"/>
            <w:shd w:val="clear" w:color="auto" w:fill="auto"/>
            <w:noWrap/>
            <w:vAlign w:val="center"/>
          </w:tcPr>
          <w:p w14:paraId="7128309F" w14:textId="77777777" w:rsidR="00846631" w:rsidRPr="00404DA5" w:rsidRDefault="00846631" w:rsidP="005351F2">
            <w:pPr>
              <w:spacing w:before="40" w:after="40"/>
              <w:jc w:val="center"/>
              <w:rPr>
                <w:sz w:val="18"/>
                <w:szCs w:val="18"/>
              </w:rPr>
            </w:pPr>
            <w:r w:rsidRPr="00404DA5">
              <w:rPr>
                <w:sz w:val="18"/>
                <w:szCs w:val="18"/>
              </w:rPr>
              <w:t>141</w:t>
            </w:r>
          </w:p>
        </w:tc>
        <w:tc>
          <w:tcPr>
            <w:tcW w:w="1526" w:type="pct"/>
            <w:shd w:val="clear" w:color="auto" w:fill="auto"/>
            <w:noWrap/>
            <w:vAlign w:val="center"/>
          </w:tcPr>
          <w:p w14:paraId="2DDE45B0" w14:textId="77777777" w:rsidR="00846631" w:rsidRPr="00404DA5" w:rsidRDefault="00846631" w:rsidP="005351F2">
            <w:pPr>
              <w:spacing w:before="40" w:after="40"/>
              <w:jc w:val="center"/>
              <w:rPr>
                <w:sz w:val="18"/>
                <w:szCs w:val="18"/>
              </w:rPr>
            </w:pPr>
            <w:r w:rsidRPr="00404DA5">
              <w:rPr>
                <w:sz w:val="18"/>
                <w:szCs w:val="18"/>
              </w:rPr>
              <w:t>82</w:t>
            </w:r>
          </w:p>
        </w:tc>
        <w:tc>
          <w:tcPr>
            <w:tcW w:w="897" w:type="pct"/>
            <w:shd w:val="clear" w:color="auto" w:fill="auto"/>
            <w:noWrap/>
            <w:vAlign w:val="center"/>
          </w:tcPr>
          <w:p w14:paraId="43244994" w14:textId="77777777" w:rsidR="00846631" w:rsidRPr="00404DA5" w:rsidRDefault="00846631" w:rsidP="005351F2">
            <w:pPr>
              <w:spacing w:before="40" w:after="40"/>
              <w:jc w:val="center"/>
              <w:rPr>
                <w:sz w:val="18"/>
                <w:szCs w:val="18"/>
              </w:rPr>
            </w:pPr>
            <w:r w:rsidRPr="00404DA5">
              <w:rPr>
                <w:sz w:val="18"/>
                <w:szCs w:val="18"/>
              </w:rPr>
              <w:t>42</w:t>
            </w:r>
          </w:p>
        </w:tc>
      </w:tr>
      <w:tr w:rsidR="00846631" w:rsidRPr="0051564B" w14:paraId="73370334" w14:textId="77777777" w:rsidTr="005351F2">
        <w:trPr>
          <w:trHeight w:val="290"/>
        </w:trPr>
        <w:tc>
          <w:tcPr>
            <w:tcW w:w="1700" w:type="pct"/>
            <w:shd w:val="clear" w:color="auto" w:fill="auto"/>
            <w:noWrap/>
            <w:vAlign w:val="center"/>
            <w:hideMark/>
          </w:tcPr>
          <w:p w14:paraId="219A8FDF" w14:textId="77777777" w:rsidR="00846631" w:rsidRPr="00404DA5" w:rsidRDefault="00846631" w:rsidP="005351F2">
            <w:pPr>
              <w:spacing w:before="40" w:after="40"/>
              <w:rPr>
                <w:sz w:val="18"/>
                <w:szCs w:val="18"/>
              </w:rPr>
            </w:pPr>
            <w:r w:rsidRPr="00404DA5">
              <w:rPr>
                <w:sz w:val="18"/>
                <w:szCs w:val="18"/>
              </w:rPr>
              <w:t>8. Edukacja</w:t>
            </w:r>
          </w:p>
        </w:tc>
        <w:tc>
          <w:tcPr>
            <w:tcW w:w="877" w:type="pct"/>
            <w:shd w:val="clear" w:color="auto" w:fill="auto"/>
            <w:noWrap/>
            <w:vAlign w:val="center"/>
          </w:tcPr>
          <w:p w14:paraId="418E263E" w14:textId="77777777" w:rsidR="00846631" w:rsidRPr="00404DA5" w:rsidRDefault="00846631" w:rsidP="005351F2">
            <w:pPr>
              <w:spacing w:before="40" w:after="40"/>
              <w:jc w:val="center"/>
              <w:rPr>
                <w:sz w:val="18"/>
                <w:szCs w:val="18"/>
              </w:rPr>
            </w:pPr>
            <w:r w:rsidRPr="00404DA5">
              <w:rPr>
                <w:sz w:val="18"/>
                <w:szCs w:val="18"/>
              </w:rPr>
              <w:t>316</w:t>
            </w:r>
          </w:p>
        </w:tc>
        <w:tc>
          <w:tcPr>
            <w:tcW w:w="1526" w:type="pct"/>
            <w:shd w:val="clear" w:color="auto" w:fill="auto"/>
            <w:noWrap/>
            <w:vAlign w:val="center"/>
          </w:tcPr>
          <w:p w14:paraId="055DF643" w14:textId="77777777" w:rsidR="00846631" w:rsidRPr="00404DA5" w:rsidRDefault="00846631" w:rsidP="005351F2">
            <w:pPr>
              <w:spacing w:before="40" w:after="40"/>
              <w:jc w:val="center"/>
              <w:rPr>
                <w:sz w:val="18"/>
                <w:szCs w:val="18"/>
              </w:rPr>
            </w:pPr>
            <w:r w:rsidRPr="00404DA5">
              <w:rPr>
                <w:sz w:val="18"/>
                <w:szCs w:val="18"/>
              </w:rPr>
              <w:t>205</w:t>
            </w:r>
          </w:p>
        </w:tc>
        <w:tc>
          <w:tcPr>
            <w:tcW w:w="897" w:type="pct"/>
            <w:shd w:val="clear" w:color="auto" w:fill="auto"/>
            <w:noWrap/>
            <w:vAlign w:val="center"/>
          </w:tcPr>
          <w:p w14:paraId="00BD24BC" w14:textId="77777777" w:rsidR="00846631" w:rsidRPr="00404DA5" w:rsidRDefault="00846631" w:rsidP="005351F2">
            <w:pPr>
              <w:spacing w:before="40" w:after="40"/>
              <w:jc w:val="center"/>
              <w:rPr>
                <w:sz w:val="18"/>
                <w:szCs w:val="18"/>
              </w:rPr>
            </w:pPr>
            <w:r w:rsidRPr="00404DA5">
              <w:rPr>
                <w:sz w:val="18"/>
                <w:szCs w:val="18"/>
              </w:rPr>
              <w:t>82</w:t>
            </w:r>
          </w:p>
        </w:tc>
      </w:tr>
      <w:tr w:rsidR="00846631" w:rsidRPr="0051564B" w14:paraId="17072144" w14:textId="77777777" w:rsidTr="005351F2">
        <w:trPr>
          <w:trHeight w:val="290"/>
        </w:trPr>
        <w:tc>
          <w:tcPr>
            <w:tcW w:w="1700" w:type="pct"/>
            <w:shd w:val="clear" w:color="auto" w:fill="auto"/>
            <w:noWrap/>
            <w:vAlign w:val="center"/>
            <w:hideMark/>
          </w:tcPr>
          <w:p w14:paraId="2082E9F7" w14:textId="77777777" w:rsidR="00846631" w:rsidRPr="00404DA5" w:rsidRDefault="00846631" w:rsidP="005351F2">
            <w:pPr>
              <w:spacing w:before="40" w:after="40"/>
              <w:rPr>
                <w:sz w:val="18"/>
                <w:szCs w:val="18"/>
              </w:rPr>
            </w:pPr>
            <w:r w:rsidRPr="00404DA5">
              <w:rPr>
                <w:sz w:val="18"/>
                <w:szCs w:val="18"/>
              </w:rPr>
              <w:t>9. Infrastruktura publiczna</w:t>
            </w:r>
          </w:p>
        </w:tc>
        <w:tc>
          <w:tcPr>
            <w:tcW w:w="877" w:type="pct"/>
            <w:shd w:val="clear" w:color="auto" w:fill="auto"/>
            <w:noWrap/>
            <w:vAlign w:val="center"/>
          </w:tcPr>
          <w:p w14:paraId="59566259" w14:textId="77777777" w:rsidR="00846631" w:rsidRPr="00404DA5" w:rsidRDefault="00846631" w:rsidP="005351F2">
            <w:pPr>
              <w:spacing w:before="40" w:after="40"/>
              <w:jc w:val="center"/>
              <w:rPr>
                <w:sz w:val="18"/>
                <w:szCs w:val="18"/>
              </w:rPr>
            </w:pPr>
            <w:r w:rsidRPr="00404DA5">
              <w:rPr>
                <w:sz w:val="18"/>
                <w:szCs w:val="18"/>
              </w:rPr>
              <w:t>53</w:t>
            </w:r>
          </w:p>
        </w:tc>
        <w:tc>
          <w:tcPr>
            <w:tcW w:w="1526" w:type="pct"/>
            <w:shd w:val="clear" w:color="auto" w:fill="auto"/>
            <w:noWrap/>
            <w:vAlign w:val="center"/>
          </w:tcPr>
          <w:p w14:paraId="6207E452" w14:textId="77777777" w:rsidR="00846631" w:rsidRPr="00404DA5" w:rsidRDefault="00846631" w:rsidP="005351F2">
            <w:pPr>
              <w:spacing w:before="40" w:after="40"/>
              <w:jc w:val="center"/>
              <w:rPr>
                <w:sz w:val="18"/>
                <w:szCs w:val="18"/>
              </w:rPr>
            </w:pPr>
            <w:r w:rsidRPr="00404DA5">
              <w:rPr>
                <w:sz w:val="18"/>
                <w:szCs w:val="18"/>
              </w:rPr>
              <w:t>40</w:t>
            </w:r>
          </w:p>
        </w:tc>
        <w:tc>
          <w:tcPr>
            <w:tcW w:w="897" w:type="pct"/>
            <w:shd w:val="clear" w:color="auto" w:fill="auto"/>
            <w:noWrap/>
            <w:vAlign w:val="center"/>
          </w:tcPr>
          <w:p w14:paraId="63CEFE85" w14:textId="77777777" w:rsidR="00846631" w:rsidRPr="00404DA5" w:rsidRDefault="00846631" w:rsidP="005351F2">
            <w:pPr>
              <w:spacing w:before="40" w:after="40"/>
              <w:jc w:val="center"/>
              <w:rPr>
                <w:sz w:val="18"/>
                <w:szCs w:val="18"/>
              </w:rPr>
            </w:pPr>
            <w:r w:rsidRPr="00404DA5">
              <w:rPr>
                <w:sz w:val="18"/>
                <w:szCs w:val="18"/>
              </w:rPr>
              <w:t>31</w:t>
            </w:r>
          </w:p>
        </w:tc>
      </w:tr>
      <w:tr w:rsidR="00846631" w:rsidRPr="0051564B" w14:paraId="4256152E" w14:textId="77777777" w:rsidTr="005351F2">
        <w:trPr>
          <w:trHeight w:val="290"/>
        </w:trPr>
        <w:tc>
          <w:tcPr>
            <w:tcW w:w="1700" w:type="pct"/>
            <w:shd w:val="clear" w:color="auto" w:fill="C6D9F1"/>
            <w:noWrap/>
            <w:vAlign w:val="center"/>
            <w:hideMark/>
          </w:tcPr>
          <w:p w14:paraId="0793E53B" w14:textId="77777777" w:rsidR="00846631" w:rsidRPr="00404DA5" w:rsidRDefault="00846631" w:rsidP="005351F2">
            <w:pPr>
              <w:spacing w:before="40" w:after="40"/>
              <w:jc w:val="center"/>
              <w:rPr>
                <w:b/>
                <w:sz w:val="18"/>
                <w:szCs w:val="18"/>
              </w:rPr>
            </w:pPr>
            <w:r w:rsidRPr="00404DA5">
              <w:rPr>
                <w:b/>
                <w:sz w:val="18"/>
                <w:szCs w:val="18"/>
              </w:rPr>
              <w:t>Suma</w:t>
            </w:r>
          </w:p>
        </w:tc>
        <w:tc>
          <w:tcPr>
            <w:tcW w:w="877" w:type="pct"/>
            <w:shd w:val="clear" w:color="auto" w:fill="C6D9F1"/>
            <w:noWrap/>
            <w:vAlign w:val="center"/>
          </w:tcPr>
          <w:p w14:paraId="4FCDAC66" w14:textId="77777777" w:rsidR="00846631" w:rsidRPr="00404DA5" w:rsidRDefault="00846631" w:rsidP="005351F2">
            <w:pPr>
              <w:spacing w:before="40" w:after="40"/>
              <w:jc w:val="center"/>
              <w:rPr>
                <w:b/>
                <w:bCs/>
                <w:sz w:val="18"/>
                <w:szCs w:val="18"/>
              </w:rPr>
            </w:pPr>
            <w:r w:rsidRPr="00404DA5">
              <w:rPr>
                <w:b/>
                <w:bCs/>
                <w:sz w:val="18"/>
                <w:szCs w:val="18"/>
              </w:rPr>
              <w:t>13</w:t>
            </w:r>
            <w:r>
              <w:rPr>
                <w:b/>
                <w:bCs/>
                <w:sz w:val="18"/>
                <w:szCs w:val="18"/>
              </w:rPr>
              <w:t>63</w:t>
            </w:r>
          </w:p>
        </w:tc>
        <w:tc>
          <w:tcPr>
            <w:tcW w:w="1526" w:type="pct"/>
            <w:shd w:val="clear" w:color="auto" w:fill="C6D9F1"/>
            <w:noWrap/>
            <w:vAlign w:val="center"/>
          </w:tcPr>
          <w:p w14:paraId="205BA617" w14:textId="77777777" w:rsidR="00846631" w:rsidRPr="00404DA5" w:rsidRDefault="00846631" w:rsidP="005351F2">
            <w:pPr>
              <w:spacing w:before="40" w:after="40"/>
              <w:jc w:val="center"/>
              <w:rPr>
                <w:b/>
                <w:bCs/>
                <w:sz w:val="18"/>
                <w:szCs w:val="18"/>
              </w:rPr>
            </w:pPr>
            <w:r w:rsidRPr="00404DA5">
              <w:rPr>
                <w:b/>
                <w:bCs/>
                <w:sz w:val="18"/>
                <w:szCs w:val="18"/>
              </w:rPr>
              <w:t>954</w:t>
            </w:r>
          </w:p>
        </w:tc>
        <w:tc>
          <w:tcPr>
            <w:tcW w:w="897" w:type="pct"/>
            <w:shd w:val="clear" w:color="auto" w:fill="C6D9F1"/>
            <w:noWrap/>
            <w:vAlign w:val="center"/>
          </w:tcPr>
          <w:p w14:paraId="76FF7C72" w14:textId="77777777" w:rsidR="00846631" w:rsidRPr="00404DA5" w:rsidRDefault="00846631" w:rsidP="005351F2">
            <w:pPr>
              <w:spacing w:before="40" w:after="40"/>
              <w:jc w:val="center"/>
              <w:rPr>
                <w:rFonts w:cs="Calibri"/>
                <w:b/>
                <w:color w:val="000000"/>
                <w:sz w:val="18"/>
                <w:szCs w:val="18"/>
              </w:rPr>
            </w:pPr>
            <w:r w:rsidRPr="00404DA5">
              <w:rPr>
                <w:rFonts w:cs="Calibri"/>
                <w:b/>
                <w:color w:val="000000"/>
                <w:sz w:val="18"/>
                <w:szCs w:val="18"/>
              </w:rPr>
              <w:t>437</w:t>
            </w:r>
          </w:p>
        </w:tc>
      </w:tr>
    </w:tbl>
    <w:p w14:paraId="7B77519C" w14:textId="77777777" w:rsidR="00846631" w:rsidRPr="002A5FDF" w:rsidRDefault="00846631" w:rsidP="00707A80">
      <w:pPr>
        <w:spacing w:before="0"/>
      </w:pPr>
      <w:r w:rsidRPr="002A5FDF">
        <w:rPr>
          <w:i/>
          <w:sz w:val="18"/>
          <w:szCs w:val="20"/>
        </w:rPr>
        <w:t>Źródło: opracowanie własne na podstawie bazy zawartych umów SL 2014</w:t>
      </w:r>
      <w:r w:rsidR="00E66B89" w:rsidRPr="002A5FDF">
        <w:rPr>
          <w:i/>
          <w:sz w:val="18"/>
          <w:szCs w:val="20"/>
        </w:rPr>
        <w:t xml:space="preserve"> i </w:t>
      </w:r>
      <w:r w:rsidRPr="002A5FDF">
        <w:rPr>
          <w:i/>
          <w:sz w:val="18"/>
          <w:szCs w:val="20"/>
        </w:rPr>
        <w:t>wyników badania CAWI/CATI, n=437.</w:t>
      </w:r>
    </w:p>
    <w:p w14:paraId="2B82CDF3" w14:textId="77777777" w:rsidR="000A479F" w:rsidRPr="0051564B" w:rsidRDefault="000A479F" w:rsidP="000A479F">
      <w:pPr>
        <w:rPr>
          <w:rFonts w:cs="Calibri"/>
          <w:b/>
          <w:szCs w:val="20"/>
        </w:rPr>
      </w:pPr>
      <w:r w:rsidRPr="0051564B">
        <w:rPr>
          <w:rFonts w:cs="Calibri"/>
          <w:b/>
          <w:szCs w:val="20"/>
        </w:rPr>
        <w:t>Nieskuteczni wnioskodawcy RPO WZ 2014-2020</w:t>
      </w:r>
    </w:p>
    <w:p w14:paraId="5423BBEB" w14:textId="77777777" w:rsidR="000A479F" w:rsidRPr="0051564B" w:rsidRDefault="000A479F" w:rsidP="000A479F">
      <w:pPr>
        <w:rPr>
          <w:szCs w:val="20"/>
        </w:rPr>
      </w:pPr>
      <w:r w:rsidRPr="0051564B">
        <w:rPr>
          <w:szCs w:val="20"/>
        </w:rPr>
        <w:t>Badaniem zostali objęci wnioskodawcy, którzy wnioskowali</w:t>
      </w:r>
      <w:r w:rsidR="00E66B89">
        <w:rPr>
          <w:szCs w:val="20"/>
        </w:rPr>
        <w:t xml:space="preserve"> o </w:t>
      </w:r>
      <w:r w:rsidRPr="0051564B">
        <w:rPr>
          <w:szCs w:val="20"/>
        </w:rPr>
        <w:t>wsparcie, ale nie zawarli żadnej umowy</w:t>
      </w:r>
      <w:r w:rsidR="00E66B89">
        <w:rPr>
          <w:szCs w:val="20"/>
        </w:rPr>
        <w:t xml:space="preserve"> w </w:t>
      </w:r>
      <w:r w:rsidRPr="0051564B">
        <w:rPr>
          <w:szCs w:val="20"/>
        </w:rPr>
        <w:t>ramach RPO WZ 2014-2020. Wnioskodawcy nieskuteczni, którym nie udało się uzyskać dofinansowania na więcej niż jeden projekt</w:t>
      </w:r>
      <w:r w:rsidR="00E66B89">
        <w:rPr>
          <w:szCs w:val="20"/>
        </w:rPr>
        <w:t xml:space="preserve"> w </w:t>
      </w:r>
      <w:r w:rsidRPr="0051564B">
        <w:rPr>
          <w:szCs w:val="20"/>
        </w:rPr>
        <w:t>ramach danej OP zostali zaproszeni do badania poświęconego danej osi priorytetowej wyłącznie jeden raz (aczkolwiek możliwe było zapraszanie ich kilkukrotnie, jeśli należą do różnych kategorii respondenckich tj.</w:t>
      </w:r>
      <w:r w:rsidR="00E66B89">
        <w:rPr>
          <w:szCs w:val="20"/>
        </w:rPr>
        <w:t xml:space="preserve"> w </w:t>
      </w:r>
      <w:r w:rsidRPr="0051564B">
        <w:rPr>
          <w:szCs w:val="20"/>
        </w:rPr>
        <w:t>różnych OP). Identyfikacja unikatowych respondentów</w:t>
      </w:r>
      <w:r w:rsidR="00E66B89">
        <w:rPr>
          <w:szCs w:val="20"/>
        </w:rPr>
        <w:t xml:space="preserve"> w </w:t>
      </w:r>
      <w:r w:rsidRPr="0051564B">
        <w:rPr>
          <w:szCs w:val="20"/>
        </w:rPr>
        <w:t>ramach OP następowała na podstawie NIP.</w:t>
      </w:r>
    </w:p>
    <w:p w14:paraId="79ECFBA3" w14:textId="77777777" w:rsidR="000A479F" w:rsidRDefault="000A479F" w:rsidP="000A479F">
      <w:pPr>
        <w:rPr>
          <w:szCs w:val="20"/>
        </w:rPr>
      </w:pPr>
      <w:r w:rsidRPr="0051564B">
        <w:rPr>
          <w:szCs w:val="20"/>
        </w:rPr>
        <w:t xml:space="preserve">W badaniu zrealizowano wywiady wśród </w:t>
      </w:r>
      <w:r w:rsidRPr="0051564B">
        <w:rPr>
          <w:b/>
          <w:szCs w:val="20"/>
        </w:rPr>
        <w:t>206 nieskutecznych wnioskodawców (responsywność wyniosła 22%)</w:t>
      </w:r>
      <w:r w:rsidRPr="0051564B">
        <w:rPr>
          <w:szCs w:val="20"/>
        </w:rPr>
        <w:t xml:space="preserve">. </w:t>
      </w:r>
    </w:p>
    <w:p w14:paraId="137E912E" w14:textId="77777777" w:rsidR="00756EC1" w:rsidRPr="005F04FC" w:rsidRDefault="00756EC1" w:rsidP="00756EC1">
      <w:pPr>
        <w:rPr>
          <w:rFonts w:cs="Calibri"/>
          <w:b/>
          <w:szCs w:val="20"/>
        </w:rPr>
      </w:pPr>
      <w:r w:rsidRPr="005F04FC">
        <w:rPr>
          <w:rFonts w:cs="Calibri"/>
          <w:b/>
          <w:szCs w:val="20"/>
        </w:rPr>
        <w:t>Badanie dotyczące potencjału absorpcyjnego</w:t>
      </w:r>
    </w:p>
    <w:p w14:paraId="79945A03" w14:textId="77777777" w:rsidR="00756EC1" w:rsidRPr="005F04FC" w:rsidRDefault="00756EC1" w:rsidP="00756EC1">
      <w:pPr>
        <w:rPr>
          <w:rFonts w:cs="Calibri"/>
          <w:szCs w:val="20"/>
        </w:rPr>
      </w:pPr>
      <w:r w:rsidRPr="005F04FC">
        <w:rPr>
          <w:rFonts w:cs="Calibri"/>
          <w:szCs w:val="20"/>
        </w:rPr>
        <w:t>Do beneficjentów</w:t>
      </w:r>
      <w:r w:rsidR="00E66B89" w:rsidRPr="005F04FC">
        <w:rPr>
          <w:rFonts w:cs="Calibri"/>
          <w:szCs w:val="20"/>
        </w:rPr>
        <w:t xml:space="preserve"> i </w:t>
      </w:r>
      <w:r w:rsidRPr="005F04FC">
        <w:rPr>
          <w:rFonts w:cs="Calibri"/>
          <w:szCs w:val="20"/>
        </w:rPr>
        <w:t>nieskutecznych wnioskodawców RPO WZ 2014-2020 zostało również skierowane badanie dotyczące potencjału absorpcyjnego</w:t>
      </w:r>
      <w:r w:rsidR="00E66B89" w:rsidRPr="005F04FC">
        <w:rPr>
          <w:rFonts w:cs="Calibri"/>
          <w:szCs w:val="20"/>
        </w:rPr>
        <w:t xml:space="preserve"> w </w:t>
      </w:r>
      <w:r w:rsidRPr="005F04FC">
        <w:rPr>
          <w:rFonts w:cs="Calibri"/>
          <w:szCs w:val="20"/>
        </w:rPr>
        <w:t>zakresie planów aplikowania</w:t>
      </w:r>
      <w:r w:rsidR="00E66B89" w:rsidRPr="005F04FC">
        <w:rPr>
          <w:rFonts w:cs="Calibri"/>
          <w:szCs w:val="20"/>
        </w:rPr>
        <w:t xml:space="preserve"> o </w:t>
      </w:r>
      <w:r w:rsidRPr="005F04FC">
        <w:rPr>
          <w:rFonts w:cs="Calibri"/>
          <w:szCs w:val="20"/>
        </w:rPr>
        <w:t>wsparcie</w:t>
      </w:r>
      <w:r w:rsidR="00E66B89" w:rsidRPr="005F04FC">
        <w:rPr>
          <w:rFonts w:cs="Calibri"/>
          <w:szCs w:val="20"/>
        </w:rPr>
        <w:t xml:space="preserve"> w </w:t>
      </w:r>
      <w:r w:rsidRPr="005F04FC">
        <w:rPr>
          <w:rFonts w:cs="Calibri"/>
          <w:szCs w:val="20"/>
        </w:rPr>
        <w:t>ramach RPO WZ 2014-2020. Badaniem objęto populację unikatowych wnioskodawców RPO WZ 2014-2020 (beneficjentów</w:t>
      </w:r>
      <w:r w:rsidR="00E66B89" w:rsidRPr="005F04FC">
        <w:rPr>
          <w:rFonts w:cs="Calibri"/>
          <w:szCs w:val="20"/>
        </w:rPr>
        <w:t xml:space="preserve"> i </w:t>
      </w:r>
      <w:r w:rsidRPr="005F04FC">
        <w:rPr>
          <w:rFonts w:cs="Calibri"/>
          <w:szCs w:val="20"/>
        </w:rPr>
        <w:t>nieskutecznych wnioskodawców) liczącą 1391 podmiotów/instytucji. Zrealizowano 423 wywiady. Osiągnięty został więc błąd oszacowania 4% (przy poziomie ufności 95%), co zagwarantowało uzyskanie wiarygodnych</w:t>
      </w:r>
      <w:r w:rsidR="00E66B89" w:rsidRPr="005F04FC">
        <w:rPr>
          <w:rFonts w:cs="Calibri"/>
          <w:szCs w:val="20"/>
        </w:rPr>
        <w:t xml:space="preserve"> i </w:t>
      </w:r>
      <w:r w:rsidRPr="005F04FC">
        <w:rPr>
          <w:rFonts w:cs="Calibri"/>
          <w:szCs w:val="20"/>
        </w:rPr>
        <w:t>reprezentatywnych wyników badania. Struktura próby badania ankietowego dotyczącego potencjału absorpcyjnego według typu wnioskodawcy została przedstawiona</w:t>
      </w:r>
      <w:r w:rsidR="00E66B89" w:rsidRPr="005F04FC">
        <w:rPr>
          <w:rFonts w:cs="Calibri"/>
          <w:szCs w:val="20"/>
        </w:rPr>
        <w:t xml:space="preserve"> w </w:t>
      </w:r>
      <w:r w:rsidRPr="005F04FC">
        <w:rPr>
          <w:rFonts w:cs="Calibri"/>
          <w:szCs w:val="20"/>
        </w:rPr>
        <w:t xml:space="preserve">tabeli poniżej. </w:t>
      </w:r>
    </w:p>
    <w:p w14:paraId="4B4E3028" w14:textId="77777777" w:rsidR="00756EC1" w:rsidRPr="008B706B" w:rsidRDefault="00756EC1" w:rsidP="006E34DC">
      <w:pPr>
        <w:pStyle w:val="Legenda"/>
        <w:spacing w:after="0"/>
      </w:pPr>
      <w:bookmarkStart w:id="22" w:name="_Toc8824113"/>
      <w:r w:rsidRPr="008B706B">
        <w:t xml:space="preserve">Tabela </w:t>
      </w:r>
      <w:r w:rsidRPr="008B706B">
        <w:rPr>
          <w:noProof/>
        </w:rPr>
        <w:fldChar w:fldCharType="begin"/>
      </w:r>
      <w:r w:rsidRPr="008B706B">
        <w:rPr>
          <w:noProof/>
        </w:rPr>
        <w:instrText xml:space="preserve"> SEQ Tabela \* ARABIC </w:instrText>
      </w:r>
      <w:r w:rsidRPr="008B706B">
        <w:rPr>
          <w:noProof/>
        </w:rPr>
        <w:fldChar w:fldCharType="separate"/>
      </w:r>
      <w:r w:rsidR="00763345">
        <w:rPr>
          <w:noProof/>
        </w:rPr>
        <w:t>2</w:t>
      </w:r>
      <w:r w:rsidRPr="008B706B">
        <w:rPr>
          <w:noProof/>
        </w:rPr>
        <w:fldChar w:fldCharType="end"/>
      </w:r>
      <w:r w:rsidRPr="008B706B">
        <w:t xml:space="preserve"> Struktura próby badania ilościowego dotyczącego potencjału absorpcyjnego według typu wnioskodawcy</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5"/>
        <w:gridCol w:w="2287"/>
        <w:gridCol w:w="2340"/>
      </w:tblGrid>
      <w:tr w:rsidR="00756EC1" w:rsidRPr="00756EC1" w14:paraId="241BEA6F" w14:textId="77777777" w:rsidTr="00C22C26">
        <w:trPr>
          <w:trHeight w:val="586"/>
          <w:tblHeader/>
        </w:trPr>
        <w:tc>
          <w:tcPr>
            <w:tcW w:w="2447" w:type="pct"/>
            <w:shd w:val="clear" w:color="auto" w:fill="B8CCE4"/>
            <w:noWrap/>
            <w:hideMark/>
          </w:tcPr>
          <w:p w14:paraId="119A4D2B" w14:textId="77777777" w:rsidR="00756EC1" w:rsidRPr="008B706B" w:rsidRDefault="00756EC1" w:rsidP="004E27AD">
            <w:pPr>
              <w:spacing w:before="40" w:after="40"/>
              <w:jc w:val="center"/>
              <w:rPr>
                <w:sz w:val="18"/>
                <w:szCs w:val="18"/>
              </w:rPr>
            </w:pPr>
            <w:r w:rsidRPr="008B706B">
              <w:rPr>
                <w:sz w:val="18"/>
                <w:szCs w:val="18"/>
              </w:rPr>
              <w:t>Typ wnioskodawcy</w:t>
            </w:r>
          </w:p>
        </w:tc>
        <w:tc>
          <w:tcPr>
            <w:tcW w:w="1262" w:type="pct"/>
            <w:shd w:val="clear" w:color="auto" w:fill="B8CCE4"/>
            <w:noWrap/>
            <w:hideMark/>
          </w:tcPr>
          <w:p w14:paraId="678F2DE8" w14:textId="77777777" w:rsidR="00756EC1" w:rsidRPr="008B706B" w:rsidRDefault="00756EC1" w:rsidP="004E27AD">
            <w:pPr>
              <w:spacing w:before="40" w:after="40"/>
              <w:jc w:val="center"/>
              <w:rPr>
                <w:sz w:val="18"/>
                <w:szCs w:val="18"/>
              </w:rPr>
            </w:pPr>
            <w:r w:rsidRPr="008B706B">
              <w:rPr>
                <w:sz w:val="18"/>
                <w:szCs w:val="18"/>
              </w:rPr>
              <w:t>Wielkość próby</w:t>
            </w:r>
          </w:p>
        </w:tc>
        <w:tc>
          <w:tcPr>
            <w:tcW w:w="1291" w:type="pct"/>
            <w:shd w:val="clear" w:color="auto" w:fill="B8CCE4"/>
            <w:noWrap/>
            <w:hideMark/>
          </w:tcPr>
          <w:p w14:paraId="7AE0FB76" w14:textId="77777777" w:rsidR="00756EC1" w:rsidRPr="008B706B" w:rsidRDefault="00756EC1" w:rsidP="004E27AD">
            <w:pPr>
              <w:spacing w:before="40" w:after="40"/>
              <w:jc w:val="center"/>
              <w:rPr>
                <w:sz w:val="18"/>
                <w:szCs w:val="18"/>
              </w:rPr>
            </w:pPr>
            <w:r w:rsidRPr="008B706B">
              <w:rPr>
                <w:sz w:val="18"/>
                <w:szCs w:val="18"/>
              </w:rPr>
              <w:t>Udział</w:t>
            </w:r>
            <w:r w:rsidR="00E66B89">
              <w:rPr>
                <w:sz w:val="18"/>
                <w:szCs w:val="18"/>
              </w:rPr>
              <w:t xml:space="preserve"> w </w:t>
            </w:r>
            <w:r w:rsidRPr="008B706B">
              <w:rPr>
                <w:sz w:val="18"/>
                <w:szCs w:val="18"/>
              </w:rPr>
              <w:t>próbie</w:t>
            </w:r>
          </w:p>
        </w:tc>
      </w:tr>
      <w:tr w:rsidR="00756EC1" w:rsidRPr="00756EC1" w14:paraId="1258A948" w14:textId="77777777" w:rsidTr="00C22C26">
        <w:trPr>
          <w:trHeight w:val="290"/>
        </w:trPr>
        <w:tc>
          <w:tcPr>
            <w:tcW w:w="2447" w:type="pct"/>
            <w:shd w:val="clear" w:color="auto" w:fill="auto"/>
            <w:noWrap/>
          </w:tcPr>
          <w:p w14:paraId="5DFD74DF" w14:textId="77777777" w:rsidR="00756EC1" w:rsidRPr="008B706B" w:rsidRDefault="00756EC1" w:rsidP="004E27AD">
            <w:pPr>
              <w:autoSpaceDE w:val="0"/>
              <w:autoSpaceDN w:val="0"/>
              <w:adjustRightInd w:val="0"/>
              <w:spacing w:before="40" w:after="40" w:line="240" w:lineRule="auto"/>
              <w:ind w:right="60"/>
              <w:rPr>
                <w:sz w:val="18"/>
                <w:szCs w:val="18"/>
              </w:rPr>
            </w:pPr>
            <w:r w:rsidRPr="008B706B">
              <w:rPr>
                <w:sz w:val="18"/>
                <w:szCs w:val="18"/>
              </w:rPr>
              <w:t>Przedsiębiorstwo, osoba prowadząca działalność gospodarczą</w:t>
            </w:r>
          </w:p>
        </w:tc>
        <w:tc>
          <w:tcPr>
            <w:tcW w:w="1262" w:type="pct"/>
            <w:shd w:val="clear" w:color="auto" w:fill="auto"/>
            <w:noWrap/>
          </w:tcPr>
          <w:p w14:paraId="5F7972F7" w14:textId="77777777" w:rsidR="00756EC1" w:rsidRPr="008B706B" w:rsidRDefault="00756EC1" w:rsidP="004E27AD">
            <w:pPr>
              <w:autoSpaceDE w:val="0"/>
              <w:autoSpaceDN w:val="0"/>
              <w:adjustRightInd w:val="0"/>
              <w:spacing w:before="40" w:after="40" w:line="240" w:lineRule="auto"/>
              <w:ind w:left="60" w:right="60"/>
              <w:jc w:val="center"/>
              <w:rPr>
                <w:sz w:val="18"/>
                <w:szCs w:val="18"/>
              </w:rPr>
            </w:pPr>
            <w:r w:rsidRPr="008B706B">
              <w:rPr>
                <w:sz w:val="18"/>
                <w:szCs w:val="18"/>
              </w:rPr>
              <w:t>226</w:t>
            </w:r>
          </w:p>
        </w:tc>
        <w:tc>
          <w:tcPr>
            <w:tcW w:w="1291" w:type="pct"/>
            <w:shd w:val="clear" w:color="auto" w:fill="auto"/>
            <w:noWrap/>
          </w:tcPr>
          <w:p w14:paraId="513C5368" w14:textId="77777777" w:rsidR="00756EC1" w:rsidRPr="008B706B" w:rsidRDefault="00756EC1" w:rsidP="004E27AD">
            <w:pPr>
              <w:spacing w:before="40" w:after="40" w:line="240" w:lineRule="auto"/>
              <w:jc w:val="center"/>
              <w:rPr>
                <w:sz w:val="18"/>
                <w:szCs w:val="18"/>
              </w:rPr>
            </w:pPr>
            <w:r w:rsidRPr="008B706B">
              <w:rPr>
                <w:sz w:val="18"/>
                <w:szCs w:val="18"/>
              </w:rPr>
              <w:t>53%</w:t>
            </w:r>
          </w:p>
        </w:tc>
      </w:tr>
      <w:tr w:rsidR="00756EC1" w:rsidRPr="00756EC1" w14:paraId="3D187A21" w14:textId="77777777" w:rsidTr="00C22C26">
        <w:trPr>
          <w:trHeight w:val="290"/>
        </w:trPr>
        <w:tc>
          <w:tcPr>
            <w:tcW w:w="2447" w:type="pct"/>
            <w:shd w:val="clear" w:color="auto" w:fill="auto"/>
            <w:noWrap/>
          </w:tcPr>
          <w:p w14:paraId="6E62E33B" w14:textId="77777777" w:rsidR="00756EC1" w:rsidRPr="008B706B" w:rsidRDefault="00756EC1" w:rsidP="004E27AD">
            <w:pPr>
              <w:autoSpaceDE w:val="0"/>
              <w:autoSpaceDN w:val="0"/>
              <w:adjustRightInd w:val="0"/>
              <w:spacing w:before="40" w:after="40" w:line="240" w:lineRule="auto"/>
              <w:ind w:right="60"/>
              <w:rPr>
                <w:sz w:val="18"/>
                <w:szCs w:val="18"/>
              </w:rPr>
            </w:pPr>
            <w:r w:rsidRPr="008B706B">
              <w:rPr>
                <w:sz w:val="18"/>
                <w:szCs w:val="18"/>
              </w:rPr>
              <w:lastRenderedPageBreak/>
              <w:t>Jednostka samorządu terytorialnego, samorządowa jednostka organizacyjna, wspólnota samorządowa</w:t>
            </w:r>
          </w:p>
        </w:tc>
        <w:tc>
          <w:tcPr>
            <w:tcW w:w="1262" w:type="pct"/>
            <w:shd w:val="clear" w:color="auto" w:fill="auto"/>
            <w:noWrap/>
          </w:tcPr>
          <w:p w14:paraId="62B4317D" w14:textId="77777777" w:rsidR="00756EC1" w:rsidRPr="008B706B" w:rsidRDefault="00756EC1" w:rsidP="004E27AD">
            <w:pPr>
              <w:autoSpaceDE w:val="0"/>
              <w:autoSpaceDN w:val="0"/>
              <w:adjustRightInd w:val="0"/>
              <w:spacing w:before="40" w:after="40" w:line="240" w:lineRule="auto"/>
              <w:ind w:left="60" w:right="60"/>
              <w:jc w:val="center"/>
              <w:rPr>
                <w:sz w:val="18"/>
                <w:szCs w:val="18"/>
              </w:rPr>
            </w:pPr>
            <w:r w:rsidRPr="008B706B">
              <w:rPr>
                <w:sz w:val="18"/>
                <w:szCs w:val="18"/>
              </w:rPr>
              <w:t>67</w:t>
            </w:r>
          </w:p>
        </w:tc>
        <w:tc>
          <w:tcPr>
            <w:tcW w:w="1291" w:type="pct"/>
            <w:shd w:val="clear" w:color="auto" w:fill="auto"/>
            <w:noWrap/>
          </w:tcPr>
          <w:p w14:paraId="35DB6758" w14:textId="77777777" w:rsidR="00756EC1" w:rsidRPr="008B706B" w:rsidRDefault="00756EC1" w:rsidP="004E27AD">
            <w:pPr>
              <w:spacing w:before="40" w:after="40" w:line="240" w:lineRule="auto"/>
              <w:jc w:val="center"/>
              <w:rPr>
                <w:sz w:val="18"/>
                <w:szCs w:val="18"/>
              </w:rPr>
            </w:pPr>
            <w:r w:rsidRPr="008B706B">
              <w:rPr>
                <w:sz w:val="18"/>
                <w:szCs w:val="18"/>
              </w:rPr>
              <w:t>16%</w:t>
            </w:r>
          </w:p>
        </w:tc>
      </w:tr>
      <w:tr w:rsidR="00756EC1" w:rsidRPr="00756EC1" w14:paraId="1846AFE5" w14:textId="77777777" w:rsidTr="00C22C26">
        <w:trPr>
          <w:trHeight w:val="290"/>
        </w:trPr>
        <w:tc>
          <w:tcPr>
            <w:tcW w:w="2447" w:type="pct"/>
            <w:shd w:val="clear" w:color="auto" w:fill="auto"/>
            <w:noWrap/>
          </w:tcPr>
          <w:p w14:paraId="6F1211B0" w14:textId="77777777" w:rsidR="00756EC1" w:rsidRPr="008B706B" w:rsidRDefault="00756EC1" w:rsidP="004E27AD">
            <w:pPr>
              <w:autoSpaceDE w:val="0"/>
              <w:autoSpaceDN w:val="0"/>
              <w:adjustRightInd w:val="0"/>
              <w:spacing w:before="40" w:after="40" w:line="240" w:lineRule="auto"/>
              <w:ind w:right="60"/>
              <w:rPr>
                <w:sz w:val="18"/>
                <w:szCs w:val="18"/>
              </w:rPr>
            </w:pPr>
            <w:r w:rsidRPr="008B706B">
              <w:rPr>
                <w:sz w:val="18"/>
                <w:szCs w:val="18"/>
              </w:rPr>
              <w:t>Fundacja, stowarzyszenie, związek stowarzyszeń</w:t>
            </w:r>
          </w:p>
        </w:tc>
        <w:tc>
          <w:tcPr>
            <w:tcW w:w="1262" w:type="pct"/>
            <w:shd w:val="clear" w:color="auto" w:fill="auto"/>
            <w:noWrap/>
          </w:tcPr>
          <w:p w14:paraId="233D74A4" w14:textId="77777777" w:rsidR="00756EC1" w:rsidRPr="008B706B" w:rsidRDefault="00756EC1" w:rsidP="004E27AD">
            <w:pPr>
              <w:autoSpaceDE w:val="0"/>
              <w:autoSpaceDN w:val="0"/>
              <w:adjustRightInd w:val="0"/>
              <w:spacing w:before="40" w:after="40" w:line="240" w:lineRule="auto"/>
              <w:ind w:left="60" w:right="60"/>
              <w:jc w:val="center"/>
              <w:rPr>
                <w:sz w:val="18"/>
                <w:szCs w:val="18"/>
              </w:rPr>
            </w:pPr>
            <w:r w:rsidRPr="008B706B">
              <w:rPr>
                <w:sz w:val="18"/>
                <w:szCs w:val="18"/>
              </w:rPr>
              <w:t>54</w:t>
            </w:r>
          </w:p>
        </w:tc>
        <w:tc>
          <w:tcPr>
            <w:tcW w:w="1291" w:type="pct"/>
            <w:shd w:val="clear" w:color="auto" w:fill="auto"/>
            <w:noWrap/>
          </w:tcPr>
          <w:p w14:paraId="07B07A0B" w14:textId="77777777" w:rsidR="00756EC1" w:rsidRPr="008B706B" w:rsidRDefault="00756EC1" w:rsidP="004E27AD">
            <w:pPr>
              <w:spacing w:before="40" w:after="40" w:line="240" w:lineRule="auto"/>
              <w:jc w:val="center"/>
              <w:rPr>
                <w:sz w:val="18"/>
                <w:szCs w:val="18"/>
              </w:rPr>
            </w:pPr>
            <w:r w:rsidRPr="008B706B">
              <w:rPr>
                <w:sz w:val="18"/>
                <w:szCs w:val="18"/>
              </w:rPr>
              <w:t>13%</w:t>
            </w:r>
          </w:p>
        </w:tc>
      </w:tr>
      <w:tr w:rsidR="00756EC1" w:rsidRPr="00756EC1" w14:paraId="6BB59E40" w14:textId="77777777" w:rsidTr="00C22C26">
        <w:trPr>
          <w:trHeight w:val="290"/>
        </w:trPr>
        <w:tc>
          <w:tcPr>
            <w:tcW w:w="2447" w:type="pct"/>
            <w:shd w:val="clear" w:color="auto" w:fill="auto"/>
            <w:noWrap/>
          </w:tcPr>
          <w:p w14:paraId="6AD6AAFF" w14:textId="77777777" w:rsidR="00756EC1" w:rsidRPr="008B706B" w:rsidRDefault="00756EC1" w:rsidP="004E27AD">
            <w:pPr>
              <w:autoSpaceDE w:val="0"/>
              <w:autoSpaceDN w:val="0"/>
              <w:adjustRightInd w:val="0"/>
              <w:spacing w:before="40" w:after="40" w:line="240" w:lineRule="auto"/>
              <w:ind w:right="60"/>
              <w:rPr>
                <w:sz w:val="18"/>
                <w:szCs w:val="18"/>
              </w:rPr>
            </w:pPr>
            <w:r w:rsidRPr="008B706B">
              <w:rPr>
                <w:sz w:val="18"/>
                <w:szCs w:val="18"/>
              </w:rPr>
              <w:t>Spółdzielnia/wspólnota mieszkaniowa</w:t>
            </w:r>
          </w:p>
        </w:tc>
        <w:tc>
          <w:tcPr>
            <w:tcW w:w="1262" w:type="pct"/>
            <w:shd w:val="clear" w:color="auto" w:fill="auto"/>
            <w:noWrap/>
          </w:tcPr>
          <w:p w14:paraId="486AEB6D" w14:textId="77777777" w:rsidR="00756EC1" w:rsidRPr="008B706B" w:rsidRDefault="00756EC1" w:rsidP="004E27AD">
            <w:pPr>
              <w:autoSpaceDE w:val="0"/>
              <w:autoSpaceDN w:val="0"/>
              <w:adjustRightInd w:val="0"/>
              <w:spacing w:before="40" w:after="40" w:line="240" w:lineRule="auto"/>
              <w:ind w:left="60" w:right="60"/>
              <w:jc w:val="center"/>
              <w:rPr>
                <w:sz w:val="18"/>
                <w:szCs w:val="18"/>
              </w:rPr>
            </w:pPr>
            <w:r w:rsidRPr="008B706B">
              <w:rPr>
                <w:sz w:val="18"/>
                <w:szCs w:val="18"/>
              </w:rPr>
              <w:t>11</w:t>
            </w:r>
          </w:p>
        </w:tc>
        <w:tc>
          <w:tcPr>
            <w:tcW w:w="1291" w:type="pct"/>
            <w:shd w:val="clear" w:color="auto" w:fill="auto"/>
            <w:noWrap/>
          </w:tcPr>
          <w:p w14:paraId="48D698ED" w14:textId="77777777" w:rsidR="00756EC1" w:rsidRPr="008B706B" w:rsidRDefault="00756EC1" w:rsidP="004E27AD">
            <w:pPr>
              <w:spacing w:before="40" w:after="40" w:line="240" w:lineRule="auto"/>
              <w:jc w:val="center"/>
              <w:rPr>
                <w:sz w:val="18"/>
                <w:szCs w:val="18"/>
              </w:rPr>
            </w:pPr>
            <w:r w:rsidRPr="008B706B">
              <w:rPr>
                <w:sz w:val="18"/>
                <w:szCs w:val="18"/>
              </w:rPr>
              <w:t>2%</w:t>
            </w:r>
          </w:p>
        </w:tc>
      </w:tr>
      <w:tr w:rsidR="00756EC1" w:rsidRPr="00756EC1" w14:paraId="22EB137D" w14:textId="77777777" w:rsidTr="00C22C26">
        <w:trPr>
          <w:trHeight w:val="290"/>
        </w:trPr>
        <w:tc>
          <w:tcPr>
            <w:tcW w:w="2447" w:type="pct"/>
            <w:shd w:val="clear" w:color="auto" w:fill="auto"/>
            <w:noWrap/>
          </w:tcPr>
          <w:p w14:paraId="3184FB81" w14:textId="77777777" w:rsidR="00756EC1" w:rsidRPr="008B706B" w:rsidRDefault="00756EC1" w:rsidP="004E27AD">
            <w:pPr>
              <w:autoSpaceDE w:val="0"/>
              <w:autoSpaceDN w:val="0"/>
              <w:adjustRightInd w:val="0"/>
              <w:spacing w:before="40" w:after="40" w:line="240" w:lineRule="auto"/>
              <w:ind w:right="60"/>
              <w:rPr>
                <w:sz w:val="18"/>
                <w:szCs w:val="18"/>
              </w:rPr>
            </w:pPr>
            <w:r w:rsidRPr="008B706B">
              <w:rPr>
                <w:sz w:val="18"/>
                <w:szCs w:val="18"/>
              </w:rPr>
              <w:t>Publiczny zakład opieki zdrowotnej</w:t>
            </w:r>
          </w:p>
        </w:tc>
        <w:tc>
          <w:tcPr>
            <w:tcW w:w="1262" w:type="pct"/>
            <w:shd w:val="clear" w:color="auto" w:fill="auto"/>
            <w:noWrap/>
          </w:tcPr>
          <w:p w14:paraId="55B16040" w14:textId="77777777" w:rsidR="00756EC1" w:rsidRPr="008B706B" w:rsidRDefault="00756EC1" w:rsidP="004E27AD">
            <w:pPr>
              <w:autoSpaceDE w:val="0"/>
              <w:autoSpaceDN w:val="0"/>
              <w:adjustRightInd w:val="0"/>
              <w:spacing w:before="40" w:after="40" w:line="240" w:lineRule="auto"/>
              <w:ind w:left="60" w:right="60"/>
              <w:jc w:val="center"/>
              <w:rPr>
                <w:sz w:val="18"/>
                <w:szCs w:val="18"/>
              </w:rPr>
            </w:pPr>
            <w:r w:rsidRPr="008B706B">
              <w:rPr>
                <w:sz w:val="18"/>
                <w:szCs w:val="18"/>
              </w:rPr>
              <w:t>7</w:t>
            </w:r>
          </w:p>
        </w:tc>
        <w:tc>
          <w:tcPr>
            <w:tcW w:w="1291" w:type="pct"/>
            <w:shd w:val="clear" w:color="auto" w:fill="auto"/>
            <w:noWrap/>
          </w:tcPr>
          <w:p w14:paraId="10C64FAB" w14:textId="77777777" w:rsidR="00756EC1" w:rsidRPr="008B706B" w:rsidRDefault="00756EC1" w:rsidP="004E27AD">
            <w:pPr>
              <w:spacing w:before="40" w:after="40" w:line="240" w:lineRule="auto"/>
              <w:jc w:val="center"/>
              <w:rPr>
                <w:sz w:val="18"/>
                <w:szCs w:val="18"/>
              </w:rPr>
            </w:pPr>
            <w:r w:rsidRPr="008B706B">
              <w:rPr>
                <w:sz w:val="18"/>
                <w:szCs w:val="18"/>
              </w:rPr>
              <w:t>2%</w:t>
            </w:r>
          </w:p>
        </w:tc>
      </w:tr>
      <w:tr w:rsidR="00756EC1" w:rsidRPr="00756EC1" w14:paraId="1D8CF414" w14:textId="77777777" w:rsidTr="00C22C26">
        <w:trPr>
          <w:trHeight w:val="290"/>
        </w:trPr>
        <w:tc>
          <w:tcPr>
            <w:tcW w:w="2447" w:type="pct"/>
            <w:shd w:val="clear" w:color="auto" w:fill="auto"/>
            <w:noWrap/>
          </w:tcPr>
          <w:p w14:paraId="2F575703" w14:textId="77777777" w:rsidR="00756EC1" w:rsidRPr="008B706B" w:rsidRDefault="00756EC1" w:rsidP="004E27AD">
            <w:pPr>
              <w:spacing w:before="40" w:after="40" w:line="240" w:lineRule="auto"/>
              <w:rPr>
                <w:sz w:val="18"/>
                <w:szCs w:val="18"/>
              </w:rPr>
            </w:pPr>
            <w:r w:rsidRPr="008B706B">
              <w:rPr>
                <w:sz w:val="18"/>
                <w:szCs w:val="18"/>
              </w:rPr>
              <w:t>Pozostałe</w:t>
            </w:r>
          </w:p>
        </w:tc>
        <w:tc>
          <w:tcPr>
            <w:tcW w:w="1262" w:type="pct"/>
            <w:shd w:val="clear" w:color="auto" w:fill="auto"/>
            <w:noWrap/>
          </w:tcPr>
          <w:p w14:paraId="44B1D532" w14:textId="77777777" w:rsidR="00756EC1" w:rsidRPr="008B706B" w:rsidRDefault="00756EC1" w:rsidP="004E27AD">
            <w:pPr>
              <w:spacing w:before="40" w:after="40" w:line="240" w:lineRule="auto"/>
              <w:jc w:val="center"/>
              <w:rPr>
                <w:sz w:val="18"/>
                <w:szCs w:val="18"/>
              </w:rPr>
            </w:pPr>
            <w:r w:rsidRPr="008B706B">
              <w:rPr>
                <w:sz w:val="18"/>
                <w:szCs w:val="18"/>
              </w:rPr>
              <w:t>58</w:t>
            </w:r>
          </w:p>
        </w:tc>
        <w:tc>
          <w:tcPr>
            <w:tcW w:w="1291" w:type="pct"/>
            <w:shd w:val="clear" w:color="auto" w:fill="auto"/>
            <w:noWrap/>
          </w:tcPr>
          <w:p w14:paraId="754CC776" w14:textId="77777777" w:rsidR="00756EC1" w:rsidRPr="008B706B" w:rsidRDefault="00756EC1" w:rsidP="004E27AD">
            <w:pPr>
              <w:spacing w:before="40" w:after="40" w:line="240" w:lineRule="auto"/>
              <w:jc w:val="center"/>
              <w:rPr>
                <w:sz w:val="18"/>
                <w:szCs w:val="18"/>
              </w:rPr>
            </w:pPr>
            <w:r w:rsidRPr="008B706B">
              <w:rPr>
                <w:sz w:val="18"/>
                <w:szCs w:val="18"/>
              </w:rPr>
              <w:t>14%</w:t>
            </w:r>
          </w:p>
        </w:tc>
      </w:tr>
      <w:tr w:rsidR="00756EC1" w:rsidRPr="00756EC1" w14:paraId="6552B813" w14:textId="77777777" w:rsidTr="00C22C26">
        <w:trPr>
          <w:trHeight w:val="290"/>
        </w:trPr>
        <w:tc>
          <w:tcPr>
            <w:tcW w:w="2447" w:type="pct"/>
            <w:shd w:val="clear" w:color="auto" w:fill="D9D9D9"/>
            <w:noWrap/>
            <w:hideMark/>
          </w:tcPr>
          <w:p w14:paraId="437C60A2" w14:textId="77777777" w:rsidR="00756EC1" w:rsidRPr="008B706B" w:rsidRDefault="00756EC1" w:rsidP="004E27AD">
            <w:pPr>
              <w:spacing w:before="40" w:after="40"/>
              <w:jc w:val="center"/>
              <w:rPr>
                <w:b/>
                <w:sz w:val="18"/>
                <w:szCs w:val="18"/>
              </w:rPr>
            </w:pPr>
            <w:r w:rsidRPr="008B706B">
              <w:rPr>
                <w:b/>
                <w:sz w:val="18"/>
                <w:szCs w:val="18"/>
              </w:rPr>
              <w:t>Suma</w:t>
            </w:r>
          </w:p>
        </w:tc>
        <w:tc>
          <w:tcPr>
            <w:tcW w:w="1262" w:type="pct"/>
            <w:shd w:val="clear" w:color="auto" w:fill="D9D9D9"/>
            <w:noWrap/>
          </w:tcPr>
          <w:p w14:paraId="1593F7A1" w14:textId="77777777" w:rsidR="00756EC1" w:rsidRPr="008B706B" w:rsidRDefault="00756EC1" w:rsidP="004E27AD">
            <w:pPr>
              <w:spacing w:before="40" w:after="40"/>
              <w:jc w:val="center"/>
              <w:rPr>
                <w:b/>
                <w:bCs/>
                <w:sz w:val="18"/>
                <w:szCs w:val="18"/>
              </w:rPr>
            </w:pPr>
            <w:r w:rsidRPr="008B706B">
              <w:rPr>
                <w:b/>
                <w:bCs/>
                <w:sz w:val="18"/>
                <w:szCs w:val="18"/>
              </w:rPr>
              <w:t>423</w:t>
            </w:r>
          </w:p>
        </w:tc>
        <w:tc>
          <w:tcPr>
            <w:tcW w:w="1291" w:type="pct"/>
            <w:shd w:val="clear" w:color="auto" w:fill="D9D9D9"/>
            <w:noWrap/>
          </w:tcPr>
          <w:p w14:paraId="688F879E" w14:textId="77777777" w:rsidR="00756EC1" w:rsidRPr="008B706B" w:rsidRDefault="00756EC1" w:rsidP="004E27AD">
            <w:pPr>
              <w:spacing w:before="40" w:after="40"/>
              <w:jc w:val="center"/>
              <w:rPr>
                <w:rFonts w:cs="Calibri"/>
                <w:b/>
                <w:color w:val="000000"/>
                <w:sz w:val="18"/>
                <w:szCs w:val="18"/>
              </w:rPr>
            </w:pPr>
            <w:r w:rsidRPr="008B706B">
              <w:rPr>
                <w:rFonts w:cs="Calibri"/>
                <w:b/>
                <w:color w:val="000000"/>
                <w:sz w:val="18"/>
                <w:szCs w:val="18"/>
              </w:rPr>
              <w:t>100%</w:t>
            </w:r>
          </w:p>
        </w:tc>
      </w:tr>
    </w:tbl>
    <w:p w14:paraId="316C9E86" w14:textId="77777777" w:rsidR="00756EC1" w:rsidRPr="002A5FDF" w:rsidRDefault="00756EC1" w:rsidP="006E34DC">
      <w:pPr>
        <w:spacing w:before="0"/>
        <w:rPr>
          <w:rFonts w:cs="Calibri"/>
          <w:sz w:val="22"/>
          <w:szCs w:val="20"/>
        </w:rPr>
      </w:pPr>
      <w:r w:rsidRPr="002A5FDF">
        <w:rPr>
          <w:i/>
          <w:sz w:val="18"/>
          <w:szCs w:val="20"/>
        </w:rPr>
        <w:t>Źródło: opracowanie własne na podstawie wyników badania CAWI/CATI dotyczącego potencjału absorpcyjnego, n=423.</w:t>
      </w:r>
    </w:p>
    <w:p w14:paraId="2F0A4A8E" w14:textId="77777777" w:rsidR="000A479F" w:rsidRPr="0051564B" w:rsidRDefault="000A479F" w:rsidP="000A479F">
      <w:pPr>
        <w:rPr>
          <w:rFonts w:cs="Calibri"/>
          <w:b/>
          <w:szCs w:val="20"/>
        </w:rPr>
      </w:pPr>
      <w:r w:rsidRPr="0051564B">
        <w:rPr>
          <w:rFonts w:cs="Calibri"/>
          <w:b/>
          <w:szCs w:val="20"/>
        </w:rPr>
        <w:t xml:space="preserve">Odbiorcy wsparcia projektu </w:t>
      </w:r>
      <w:r w:rsidRPr="0051564B">
        <w:rPr>
          <w:rFonts w:cs="Calibri"/>
          <w:b/>
          <w:i/>
          <w:szCs w:val="20"/>
        </w:rPr>
        <w:t>Wspieranie przedsiębiorczości poprzez Fundusz Funduszy Pomorza Zachodniego JEREMIE 2</w:t>
      </w:r>
    </w:p>
    <w:p w14:paraId="38DAF530" w14:textId="77777777" w:rsidR="000A479F" w:rsidRPr="00CF4C92" w:rsidRDefault="000A479F" w:rsidP="00CF4C92">
      <w:pPr>
        <w:rPr>
          <w:szCs w:val="20"/>
        </w:rPr>
      </w:pPr>
      <w:r w:rsidRPr="0051564B">
        <w:rPr>
          <w:szCs w:val="20"/>
        </w:rPr>
        <w:t xml:space="preserve">Badaniem zostali objęci przedstawiciele firm – odbiorców wsparcia (na podstawie bazy kontaktowej 387 odbiorców przekazanej przez Zamawiającego na potrzeby realizacji badania). Zrealizowane zostało </w:t>
      </w:r>
      <w:r w:rsidRPr="0051564B">
        <w:rPr>
          <w:b/>
          <w:szCs w:val="20"/>
        </w:rPr>
        <w:t>68 wywiadów (zwrotność badania wyniosła 18%).</w:t>
      </w:r>
      <w:r w:rsidR="00ED7199">
        <w:rPr>
          <w:b/>
          <w:szCs w:val="20"/>
        </w:rPr>
        <w:t xml:space="preserve"> </w:t>
      </w:r>
    </w:p>
    <w:p w14:paraId="42FD16D7" w14:textId="77777777" w:rsidR="000A479F" w:rsidRPr="00404DA5" w:rsidRDefault="000A479F" w:rsidP="00404DA5">
      <w:pPr>
        <w:keepNext/>
        <w:keepLines/>
        <w:shd w:val="clear" w:color="auto" w:fill="4F81BD"/>
        <w:outlineLvl w:val="2"/>
        <w:rPr>
          <w:b/>
          <w:bCs/>
          <w:color w:val="FFFFFF"/>
        </w:rPr>
      </w:pPr>
      <w:r w:rsidRPr="00404DA5">
        <w:rPr>
          <w:b/>
          <w:bCs/>
          <w:color w:val="FFFFFF"/>
        </w:rPr>
        <w:t>Analizy eksperckie,</w:t>
      </w:r>
      <w:r w:rsidR="00E66B89">
        <w:rPr>
          <w:b/>
          <w:bCs/>
          <w:color w:val="FFFFFF"/>
        </w:rPr>
        <w:t xml:space="preserve"> w </w:t>
      </w:r>
      <w:r w:rsidRPr="00404DA5">
        <w:rPr>
          <w:b/>
          <w:bCs/>
          <w:color w:val="FFFFFF"/>
        </w:rPr>
        <w:t>tym prognozy wydatkowania środków oraz osiągnięcia wartości poszczególnych wskaźników</w:t>
      </w:r>
      <w:bookmarkEnd w:id="17"/>
      <w:bookmarkEnd w:id="18"/>
      <w:bookmarkEnd w:id="19"/>
      <w:r w:rsidRPr="00404DA5">
        <w:rPr>
          <w:b/>
          <w:bCs/>
          <w:color w:val="FFFFFF"/>
        </w:rPr>
        <w:t xml:space="preserve"> </w:t>
      </w:r>
    </w:p>
    <w:bookmarkEnd w:id="20"/>
    <w:p w14:paraId="02621F3C" w14:textId="77777777" w:rsidR="000A479F" w:rsidRPr="00404DA5" w:rsidRDefault="000A479F" w:rsidP="000A479F">
      <w:pPr>
        <w:rPr>
          <w:rFonts w:cs="Calibri"/>
          <w:color w:val="000000"/>
          <w:szCs w:val="20"/>
        </w:rPr>
      </w:pPr>
      <w:r w:rsidRPr="00404DA5">
        <w:rPr>
          <w:rFonts w:cs="Calibri"/>
          <w:szCs w:val="20"/>
        </w:rPr>
        <w:t>Analizy eksperckie opracowano</w:t>
      </w:r>
      <w:r w:rsidR="00E66B89">
        <w:rPr>
          <w:rFonts w:cs="Calibri"/>
          <w:szCs w:val="20"/>
        </w:rPr>
        <w:t xml:space="preserve"> w </w:t>
      </w:r>
      <w:r w:rsidRPr="00404DA5">
        <w:rPr>
          <w:rFonts w:cs="Calibri"/>
          <w:szCs w:val="20"/>
        </w:rPr>
        <w:t>ujęciu jakościowym</w:t>
      </w:r>
      <w:r w:rsidR="00E66B89">
        <w:rPr>
          <w:rFonts w:cs="Calibri"/>
          <w:szCs w:val="20"/>
        </w:rPr>
        <w:t xml:space="preserve"> i </w:t>
      </w:r>
      <w:r w:rsidRPr="00404DA5">
        <w:rPr>
          <w:rFonts w:cs="Calibri"/>
          <w:szCs w:val="20"/>
        </w:rPr>
        <w:t xml:space="preserve">ilościowym. </w:t>
      </w:r>
      <w:r w:rsidRPr="00E3214E">
        <w:rPr>
          <w:rFonts w:cs="Calibri"/>
          <w:color w:val="000000"/>
          <w:szCs w:val="20"/>
        </w:rPr>
        <w:t xml:space="preserve">Celem zastosowania analizy eksperckiej było dostarczenie wiarygodnych, bazujących na rygorystycznej ocenie eksperckiej danych pozwalających oszacować wielkość wydatkowania środków oraz osiągnięcia wartości poszczególnych wskaźników określonych dla Programu. Sposobem realizacji tego celu </w:t>
      </w:r>
      <w:r w:rsidRPr="00404DA5">
        <w:rPr>
          <w:rFonts w:cs="Calibri"/>
          <w:color w:val="000000"/>
          <w:szCs w:val="20"/>
        </w:rPr>
        <w:t>była interpretacja zebranego materiału statystycznego</w:t>
      </w:r>
      <w:r w:rsidR="00E66B89">
        <w:rPr>
          <w:rFonts w:cs="Calibri"/>
          <w:color w:val="000000"/>
          <w:szCs w:val="20"/>
        </w:rPr>
        <w:t xml:space="preserve"> w </w:t>
      </w:r>
      <w:r w:rsidRPr="00404DA5">
        <w:rPr>
          <w:rFonts w:cs="Calibri"/>
          <w:color w:val="000000"/>
          <w:szCs w:val="20"/>
        </w:rPr>
        <w:t>celu ujawnienia</w:t>
      </w:r>
      <w:r w:rsidR="00E66B89">
        <w:rPr>
          <w:rFonts w:cs="Calibri"/>
          <w:color w:val="000000"/>
          <w:szCs w:val="20"/>
        </w:rPr>
        <w:t xml:space="preserve"> w </w:t>
      </w:r>
      <w:r w:rsidRPr="00404DA5">
        <w:rPr>
          <w:rFonts w:cs="Calibri"/>
          <w:color w:val="000000"/>
          <w:szCs w:val="20"/>
        </w:rPr>
        <w:t>nim określonych prawidłowości</w:t>
      </w:r>
      <w:r w:rsidR="00E66B89">
        <w:rPr>
          <w:rFonts w:cs="Calibri"/>
          <w:color w:val="000000"/>
          <w:szCs w:val="20"/>
        </w:rPr>
        <w:t xml:space="preserve"> i </w:t>
      </w:r>
      <w:r w:rsidRPr="00404DA5">
        <w:rPr>
          <w:rFonts w:cs="Calibri"/>
          <w:color w:val="000000"/>
          <w:szCs w:val="20"/>
        </w:rPr>
        <w:t xml:space="preserve">związków oraz formułowania na jego podstawie wniosków, które stanowiły podstawę do szacowania wartości wskaźników. </w:t>
      </w:r>
    </w:p>
    <w:p w14:paraId="0954EE35" w14:textId="77777777" w:rsidR="000A479F" w:rsidRPr="00404DA5" w:rsidRDefault="000A479F" w:rsidP="00404DA5">
      <w:pPr>
        <w:shd w:val="clear" w:color="auto" w:fill="4F81BD"/>
        <w:rPr>
          <w:rFonts w:cs="Calibri"/>
          <w:b/>
          <w:color w:val="FFFFFF"/>
          <w:szCs w:val="20"/>
        </w:rPr>
      </w:pPr>
      <w:r w:rsidRPr="00404DA5">
        <w:rPr>
          <w:rFonts w:cs="Calibri"/>
          <w:b/>
          <w:color w:val="FFFFFF"/>
          <w:szCs w:val="20"/>
        </w:rPr>
        <w:t>Analizy ekonometryczne</w:t>
      </w:r>
      <w:r w:rsidR="00E66B89">
        <w:rPr>
          <w:rFonts w:cs="Calibri"/>
          <w:b/>
          <w:color w:val="FFFFFF"/>
          <w:szCs w:val="20"/>
        </w:rPr>
        <w:t xml:space="preserve"> i </w:t>
      </w:r>
      <w:r w:rsidRPr="00404DA5">
        <w:rPr>
          <w:rFonts w:cs="Calibri"/>
          <w:b/>
          <w:color w:val="FFFFFF"/>
          <w:szCs w:val="20"/>
        </w:rPr>
        <w:t>statystyczne</w:t>
      </w:r>
    </w:p>
    <w:p w14:paraId="1A431D95" w14:textId="77777777" w:rsidR="000A479F" w:rsidRPr="00404DA5" w:rsidRDefault="000A479F" w:rsidP="000A479F">
      <w:pPr>
        <w:rPr>
          <w:rFonts w:cs="Calibri"/>
          <w:color w:val="000000"/>
          <w:szCs w:val="20"/>
        </w:rPr>
      </w:pPr>
      <w:r w:rsidRPr="00404DA5">
        <w:rPr>
          <w:rFonts w:cs="Calibri"/>
          <w:color w:val="000000"/>
          <w:szCs w:val="20"/>
        </w:rPr>
        <w:t>Analizy ekonometryczne</w:t>
      </w:r>
      <w:r w:rsidR="00E66B89">
        <w:rPr>
          <w:rFonts w:cs="Calibri"/>
          <w:color w:val="000000"/>
          <w:szCs w:val="20"/>
        </w:rPr>
        <w:t xml:space="preserve"> i </w:t>
      </w:r>
      <w:r w:rsidRPr="00404DA5">
        <w:rPr>
          <w:rFonts w:cs="Calibri"/>
          <w:color w:val="000000"/>
          <w:szCs w:val="20"/>
        </w:rPr>
        <w:t>statystyczne należą do ilościowych metod badawczych, tj. korzystają</w:t>
      </w:r>
      <w:r w:rsidR="00E66B89">
        <w:rPr>
          <w:rFonts w:cs="Calibri"/>
          <w:color w:val="000000"/>
          <w:szCs w:val="20"/>
        </w:rPr>
        <w:t xml:space="preserve"> z </w:t>
      </w:r>
      <w:r w:rsidRPr="00404DA5">
        <w:rPr>
          <w:rFonts w:cs="Calibri"/>
          <w:color w:val="000000"/>
          <w:szCs w:val="20"/>
        </w:rPr>
        <w:t>ilościowych danych źródłowych</w:t>
      </w:r>
      <w:r w:rsidR="00E66B89">
        <w:rPr>
          <w:rFonts w:cs="Calibri"/>
          <w:color w:val="000000"/>
          <w:szCs w:val="20"/>
        </w:rPr>
        <w:t xml:space="preserve"> i </w:t>
      </w:r>
      <w:r w:rsidRPr="00404DA5">
        <w:rPr>
          <w:rFonts w:cs="Calibri"/>
          <w:color w:val="000000"/>
          <w:szCs w:val="20"/>
        </w:rPr>
        <w:t>rezultaty ich zastosowania również mają charakter ilościowy (chociaż podlegają interpretacji jakościowej).</w:t>
      </w:r>
      <w:r w:rsidR="00E66B89">
        <w:rPr>
          <w:rFonts w:cs="Calibri"/>
          <w:color w:val="000000"/>
          <w:szCs w:val="20"/>
        </w:rPr>
        <w:t xml:space="preserve"> W </w:t>
      </w:r>
      <w:r w:rsidRPr="00404DA5">
        <w:rPr>
          <w:rFonts w:cs="Calibri"/>
          <w:color w:val="000000"/>
          <w:szCs w:val="20"/>
        </w:rPr>
        <w:t>ramach obu metod</w:t>
      </w:r>
      <w:r w:rsidR="00ED7199" w:rsidRPr="00404DA5">
        <w:rPr>
          <w:rFonts w:cs="Calibri"/>
          <w:color w:val="000000"/>
          <w:szCs w:val="20"/>
        </w:rPr>
        <w:t xml:space="preserve"> </w:t>
      </w:r>
      <w:r w:rsidRPr="00404DA5">
        <w:rPr>
          <w:rFonts w:cs="Calibri"/>
          <w:color w:val="000000"/>
          <w:szCs w:val="20"/>
        </w:rPr>
        <w:t>korzystano</w:t>
      </w:r>
      <w:r w:rsidR="00E66B89">
        <w:rPr>
          <w:rFonts w:cs="Calibri"/>
          <w:color w:val="000000"/>
          <w:szCs w:val="20"/>
        </w:rPr>
        <w:t xml:space="preserve"> z </w:t>
      </w:r>
      <w:r w:rsidRPr="00404DA5">
        <w:rPr>
          <w:rFonts w:cs="Calibri"/>
          <w:color w:val="000000"/>
          <w:szCs w:val="20"/>
        </w:rPr>
        <w:t>istniejących zbiorów danych (źródeł wtórnych, np. statystyki publicznej</w:t>
      </w:r>
      <w:r w:rsidR="00E66B89">
        <w:rPr>
          <w:rFonts w:cs="Calibri"/>
          <w:color w:val="000000"/>
          <w:szCs w:val="20"/>
        </w:rPr>
        <w:t xml:space="preserve"> i </w:t>
      </w:r>
      <w:r w:rsidRPr="00404DA5">
        <w:rPr>
          <w:rFonts w:cs="Calibri"/>
          <w:color w:val="000000"/>
          <w:szCs w:val="20"/>
        </w:rPr>
        <w:t>źródeł pierwotnych, tj. baz pochodzących</w:t>
      </w:r>
      <w:r w:rsidR="00E66B89">
        <w:rPr>
          <w:rFonts w:cs="Calibri"/>
          <w:color w:val="000000"/>
          <w:szCs w:val="20"/>
        </w:rPr>
        <w:t xml:space="preserve"> z </w:t>
      </w:r>
      <w:r w:rsidRPr="00404DA5">
        <w:rPr>
          <w:rFonts w:cs="Calibri"/>
          <w:color w:val="000000"/>
          <w:szCs w:val="20"/>
        </w:rPr>
        <w:t>badania CATI lub CAWI, baz opisujących historyczny przebieg interwencji publicznej)</w:t>
      </w:r>
      <w:r w:rsidR="00E66B89">
        <w:rPr>
          <w:rFonts w:cs="Calibri"/>
          <w:color w:val="000000"/>
          <w:szCs w:val="20"/>
        </w:rPr>
        <w:t xml:space="preserve"> i </w:t>
      </w:r>
      <w:r w:rsidRPr="00404DA5">
        <w:rPr>
          <w:rFonts w:cs="Calibri"/>
          <w:color w:val="000000"/>
          <w:szCs w:val="20"/>
        </w:rPr>
        <w:t>przetwarzają je</w:t>
      </w:r>
      <w:r w:rsidR="00E66B89">
        <w:rPr>
          <w:rFonts w:cs="Calibri"/>
          <w:color w:val="000000"/>
          <w:szCs w:val="20"/>
        </w:rPr>
        <w:t xml:space="preserve"> w </w:t>
      </w:r>
      <w:r w:rsidRPr="00404DA5">
        <w:rPr>
          <w:rFonts w:cs="Calibri"/>
          <w:color w:val="000000"/>
          <w:szCs w:val="20"/>
        </w:rPr>
        <w:t xml:space="preserve">toku procedur matematycznych. </w:t>
      </w:r>
    </w:p>
    <w:p w14:paraId="1BD29BB0" w14:textId="77777777" w:rsidR="000A479F" w:rsidRPr="00404DA5" w:rsidRDefault="000A479F" w:rsidP="000A479F">
      <w:pPr>
        <w:rPr>
          <w:rFonts w:cs="Calibri"/>
        </w:rPr>
      </w:pPr>
      <w:r w:rsidRPr="00404DA5">
        <w:rPr>
          <w:rFonts w:cs="Calibri"/>
        </w:rPr>
        <w:t>W obu przypadkach – zarówno analiz statystycznych, jak</w:t>
      </w:r>
      <w:r w:rsidR="00E66B89">
        <w:rPr>
          <w:rFonts w:cs="Calibri"/>
        </w:rPr>
        <w:t xml:space="preserve"> i </w:t>
      </w:r>
      <w:r w:rsidRPr="00404DA5">
        <w:rPr>
          <w:rFonts w:cs="Calibri"/>
        </w:rPr>
        <w:t>ekonometrycznych – zastosowano najdłuższe możliwe szeregi czasowe danych historycznych uzasadnione dostępnością</w:t>
      </w:r>
      <w:r w:rsidR="00E66B89">
        <w:rPr>
          <w:rFonts w:cs="Calibri"/>
        </w:rPr>
        <w:t xml:space="preserve"> i </w:t>
      </w:r>
      <w:r w:rsidRPr="00404DA5">
        <w:rPr>
          <w:rFonts w:cs="Calibri"/>
        </w:rPr>
        <w:t>metodologią badania, co pozwoliło na możliwie najdokładniejsze estymowanie</w:t>
      </w:r>
      <w:r w:rsidR="00E66B89">
        <w:rPr>
          <w:rFonts w:cs="Calibri"/>
        </w:rPr>
        <w:t xml:space="preserve"> i </w:t>
      </w:r>
      <w:r w:rsidRPr="00404DA5">
        <w:rPr>
          <w:rFonts w:cs="Calibri"/>
        </w:rPr>
        <w:t xml:space="preserve">interpretację zjawisk. </w:t>
      </w:r>
    </w:p>
    <w:p w14:paraId="79AB6CDD" w14:textId="77777777" w:rsidR="000A479F" w:rsidRPr="00404DA5" w:rsidRDefault="000A479F" w:rsidP="00404DA5">
      <w:pPr>
        <w:keepNext/>
        <w:keepLines/>
        <w:shd w:val="clear" w:color="auto" w:fill="4F81BD"/>
        <w:outlineLvl w:val="2"/>
        <w:rPr>
          <w:b/>
          <w:bCs/>
          <w:color w:val="FFFFFF"/>
        </w:rPr>
      </w:pPr>
      <w:bookmarkStart w:id="23" w:name="_Toc531951435"/>
      <w:bookmarkStart w:id="24" w:name="_Toc2082100"/>
      <w:r w:rsidRPr="00404DA5">
        <w:rPr>
          <w:b/>
          <w:bCs/>
          <w:color w:val="FFFFFF"/>
        </w:rPr>
        <w:t>Analiza PESTEL</w:t>
      </w:r>
      <w:bookmarkEnd w:id="23"/>
      <w:bookmarkEnd w:id="24"/>
      <w:r w:rsidRPr="00404DA5">
        <w:rPr>
          <w:b/>
          <w:bCs/>
          <w:color w:val="FFFFFF"/>
        </w:rPr>
        <w:t xml:space="preserve"> </w:t>
      </w:r>
    </w:p>
    <w:p w14:paraId="407C4C24" w14:textId="77777777" w:rsidR="000A479F" w:rsidRPr="00404DA5" w:rsidRDefault="000A479F" w:rsidP="000A479F">
      <w:pPr>
        <w:rPr>
          <w:rFonts w:cs="Calibri"/>
          <w:szCs w:val="20"/>
        </w:rPr>
      </w:pPr>
      <w:r w:rsidRPr="00E3214E">
        <w:rPr>
          <w:rFonts w:cs="Calibri"/>
          <w:color w:val="000000"/>
          <w:szCs w:val="20"/>
        </w:rPr>
        <w:t>Celem zastosowania analizy PESTEL</w:t>
      </w:r>
      <w:r w:rsidR="00E66B89">
        <w:rPr>
          <w:rFonts w:cs="Calibri"/>
          <w:color w:val="000000"/>
          <w:szCs w:val="20"/>
        </w:rPr>
        <w:t xml:space="preserve"> w </w:t>
      </w:r>
      <w:r w:rsidRPr="00E3214E">
        <w:rPr>
          <w:rFonts w:cs="Calibri"/>
          <w:color w:val="000000"/>
          <w:szCs w:val="20"/>
        </w:rPr>
        <w:t xml:space="preserve">procesie badawczym było </w:t>
      </w:r>
      <w:r w:rsidR="00CF4C92">
        <w:rPr>
          <w:rFonts w:cs="Calibri"/>
          <w:color w:val="000000"/>
          <w:szCs w:val="20"/>
        </w:rPr>
        <w:t xml:space="preserve">dodatkowe </w:t>
      </w:r>
      <w:r w:rsidRPr="00E3214E">
        <w:rPr>
          <w:rFonts w:cs="Calibri"/>
          <w:color w:val="000000"/>
          <w:szCs w:val="20"/>
        </w:rPr>
        <w:t>wsparcie analiz</w:t>
      </w:r>
      <w:r w:rsidR="00E66B89">
        <w:rPr>
          <w:rFonts w:cs="Calibri"/>
          <w:color w:val="000000"/>
          <w:szCs w:val="20"/>
        </w:rPr>
        <w:t xml:space="preserve"> w </w:t>
      </w:r>
      <w:r w:rsidRPr="00E3214E">
        <w:rPr>
          <w:rFonts w:cs="Calibri"/>
          <w:color w:val="000000"/>
          <w:szCs w:val="20"/>
        </w:rPr>
        <w:t>zakresie określenia potencjału poszczególnych osi priorytetowych/działań na tle trendów społecznych, technologicznych, ekonomicznych, ekologicznych</w:t>
      </w:r>
      <w:r w:rsidR="00E66B89">
        <w:rPr>
          <w:rFonts w:cs="Calibri"/>
          <w:color w:val="000000"/>
          <w:szCs w:val="20"/>
        </w:rPr>
        <w:t xml:space="preserve"> i </w:t>
      </w:r>
      <w:r w:rsidRPr="00E3214E">
        <w:rPr>
          <w:rFonts w:cs="Calibri"/>
          <w:color w:val="000000"/>
          <w:szCs w:val="20"/>
        </w:rPr>
        <w:t>politycznych, które</w:t>
      </w:r>
      <w:r w:rsidR="00E66B89">
        <w:rPr>
          <w:rFonts w:cs="Calibri"/>
          <w:color w:val="000000"/>
          <w:szCs w:val="20"/>
        </w:rPr>
        <w:t xml:space="preserve"> w </w:t>
      </w:r>
      <w:r w:rsidRPr="00E3214E">
        <w:rPr>
          <w:rFonts w:cs="Calibri"/>
          <w:color w:val="000000"/>
          <w:szCs w:val="20"/>
        </w:rPr>
        <w:t>sposób pozytywny lub negatywny będą oddziaływać na wdrażanie RPO WZ</w:t>
      </w:r>
      <w:r w:rsidR="00E66B89">
        <w:rPr>
          <w:rFonts w:cs="Calibri"/>
          <w:color w:val="000000"/>
          <w:szCs w:val="20"/>
        </w:rPr>
        <w:t xml:space="preserve"> w </w:t>
      </w:r>
      <w:r w:rsidRPr="00E3214E">
        <w:rPr>
          <w:rFonts w:cs="Calibri"/>
          <w:color w:val="000000"/>
          <w:szCs w:val="20"/>
        </w:rPr>
        <w:t>okresie 2018-2020,</w:t>
      </w:r>
      <w:r w:rsidR="00E66B89">
        <w:rPr>
          <w:rFonts w:cs="Calibri"/>
          <w:color w:val="000000"/>
          <w:szCs w:val="20"/>
        </w:rPr>
        <w:t xml:space="preserve"> z </w:t>
      </w:r>
      <w:r w:rsidRPr="00E3214E">
        <w:rPr>
          <w:rFonts w:cs="Calibri"/>
          <w:color w:val="000000"/>
          <w:szCs w:val="20"/>
        </w:rPr>
        <w:t xml:space="preserve">perspektywą do 2023 roku. </w:t>
      </w:r>
    </w:p>
    <w:p w14:paraId="7B81C7E2" w14:textId="77777777" w:rsidR="000A479F" w:rsidRPr="00404DA5" w:rsidRDefault="000A479F" w:rsidP="00404DA5">
      <w:pPr>
        <w:keepNext/>
        <w:keepLines/>
        <w:shd w:val="clear" w:color="auto" w:fill="4F81BD"/>
        <w:outlineLvl w:val="2"/>
        <w:rPr>
          <w:b/>
          <w:bCs/>
          <w:color w:val="FFFFFF"/>
        </w:rPr>
      </w:pPr>
      <w:bookmarkStart w:id="25" w:name="_Toc531951437"/>
      <w:bookmarkStart w:id="26" w:name="_Toc2082101"/>
      <w:r w:rsidRPr="00404DA5">
        <w:rPr>
          <w:b/>
          <w:bCs/>
          <w:color w:val="FFFFFF"/>
        </w:rPr>
        <w:t>Odtworzenie logiki interwencji</w:t>
      </w:r>
      <w:bookmarkEnd w:id="25"/>
      <w:bookmarkEnd w:id="26"/>
    </w:p>
    <w:p w14:paraId="3CDE1BE4" w14:textId="77777777" w:rsidR="000A479F" w:rsidRDefault="000A479F" w:rsidP="000A479F">
      <w:pPr>
        <w:autoSpaceDE w:val="0"/>
        <w:autoSpaceDN w:val="0"/>
        <w:adjustRightInd w:val="0"/>
        <w:rPr>
          <w:rFonts w:cs="Calibri"/>
          <w:color w:val="000000"/>
          <w:szCs w:val="20"/>
        </w:rPr>
      </w:pPr>
      <w:r w:rsidRPr="00E3214E">
        <w:rPr>
          <w:rFonts w:cs="Calibri"/>
          <w:color w:val="000000"/>
          <w:szCs w:val="20"/>
        </w:rPr>
        <w:t>Celem zastosowania odtworzenia logiki interwencji</w:t>
      </w:r>
      <w:r w:rsidR="00E66B89">
        <w:rPr>
          <w:rFonts w:cs="Calibri"/>
          <w:b/>
          <w:color w:val="000000"/>
          <w:szCs w:val="20"/>
        </w:rPr>
        <w:t xml:space="preserve"> </w:t>
      </w:r>
      <w:r w:rsidR="00E66B89" w:rsidRPr="00BF3663">
        <w:rPr>
          <w:rFonts w:cs="Calibri"/>
          <w:color w:val="000000"/>
          <w:szCs w:val="20"/>
        </w:rPr>
        <w:t>w</w:t>
      </w:r>
      <w:r w:rsidR="00E66B89">
        <w:rPr>
          <w:rFonts w:cs="Calibri"/>
          <w:b/>
          <w:color w:val="000000"/>
          <w:szCs w:val="20"/>
        </w:rPr>
        <w:t> </w:t>
      </w:r>
      <w:r w:rsidRPr="00E3214E">
        <w:rPr>
          <w:rFonts w:cs="Calibri"/>
          <w:color w:val="000000"/>
          <w:szCs w:val="20"/>
        </w:rPr>
        <w:t>procesie badawczym było analityczne przedstawienie wykorzystania</w:t>
      </w:r>
      <w:r w:rsidR="00E66B89">
        <w:rPr>
          <w:rFonts w:cs="Calibri"/>
          <w:color w:val="000000"/>
          <w:szCs w:val="20"/>
        </w:rPr>
        <w:t xml:space="preserve"> w </w:t>
      </w:r>
      <w:r w:rsidRPr="00E3214E">
        <w:rPr>
          <w:rFonts w:cs="Calibri"/>
          <w:color w:val="000000"/>
          <w:szCs w:val="20"/>
        </w:rPr>
        <w:t xml:space="preserve">badaniu podejścia TBE. Zastosowanie diagramów logicznych jako </w:t>
      </w:r>
      <w:r w:rsidRPr="00E3214E">
        <w:rPr>
          <w:rFonts w:cs="Calibri"/>
          <w:color w:val="000000"/>
          <w:szCs w:val="20"/>
        </w:rPr>
        <w:lastRenderedPageBreak/>
        <w:t>metody analityczno-prezentacyjnej ułatwia zbadanie</w:t>
      </w:r>
      <w:r w:rsidR="00E66B89">
        <w:rPr>
          <w:rFonts w:cs="Calibri"/>
          <w:color w:val="000000"/>
          <w:szCs w:val="20"/>
        </w:rPr>
        <w:t xml:space="preserve"> i </w:t>
      </w:r>
      <w:r w:rsidRPr="00E3214E">
        <w:rPr>
          <w:rFonts w:cs="Calibri"/>
          <w:color w:val="000000"/>
          <w:szCs w:val="20"/>
        </w:rPr>
        <w:t>zobrazowanie związków przyczynowo-skutkowych zachodzących pomiędzy planowanymi</w:t>
      </w:r>
      <w:r w:rsidR="00E66B89">
        <w:rPr>
          <w:rFonts w:cs="Calibri"/>
          <w:color w:val="000000"/>
          <w:szCs w:val="20"/>
        </w:rPr>
        <w:t xml:space="preserve"> i </w:t>
      </w:r>
      <w:r w:rsidRPr="00E3214E">
        <w:rPr>
          <w:rFonts w:cs="Calibri"/>
          <w:color w:val="000000"/>
          <w:szCs w:val="20"/>
        </w:rPr>
        <w:t>faktycznie realizowanymi</w:t>
      </w:r>
      <w:r w:rsidR="00E66B89">
        <w:rPr>
          <w:rFonts w:cs="Calibri"/>
          <w:color w:val="000000"/>
          <w:szCs w:val="20"/>
        </w:rPr>
        <w:t xml:space="preserve"> w </w:t>
      </w:r>
      <w:r w:rsidRPr="00E3214E">
        <w:rPr>
          <w:rFonts w:cs="Calibri"/>
          <w:color w:val="000000"/>
          <w:szCs w:val="20"/>
        </w:rPr>
        <w:t>ramach programu działaniami</w:t>
      </w:r>
      <w:r w:rsidR="00E66B89">
        <w:rPr>
          <w:rFonts w:cs="Calibri"/>
          <w:color w:val="000000"/>
          <w:szCs w:val="20"/>
        </w:rPr>
        <w:t xml:space="preserve"> i </w:t>
      </w:r>
      <w:r w:rsidRPr="00E3214E">
        <w:rPr>
          <w:rFonts w:cs="Calibri"/>
          <w:color w:val="000000"/>
          <w:szCs w:val="20"/>
        </w:rPr>
        <w:t>ich produktami,</w:t>
      </w:r>
      <w:r w:rsidR="00E66B89">
        <w:rPr>
          <w:rFonts w:cs="Calibri"/>
          <w:color w:val="000000"/>
          <w:szCs w:val="20"/>
        </w:rPr>
        <w:t xml:space="preserve"> a </w:t>
      </w:r>
      <w:r w:rsidRPr="00E3214E">
        <w:rPr>
          <w:rFonts w:cs="Calibri"/>
          <w:color w:val="000000"/>
          <w:szCs w:val="20"/>
        </w:rPr>
        <w:t>oczekiwanymi/osiąganymi rezultatami, jak również obrazujące związki przyczynowo-skutkowe zachodzące pomiędzy spodziewanymi efektami programu,</w:t>
      </w:r>
      <w:r w:rsidR="00E66B89">
        <w:rPr>
          <w:rFonts w:cs="Calibri"/>
          <w:color w:val="000000"/>
          <w:szCs w:val="20"/>
        </w:rPr>
        <w:t xml:space="preserve"> a </w:t>
      </w:r>
      <w:r w:rsidRPr="00E3214E">
        <w:rPr>
          <w:rFonts w:cs="Calibri"/>
          <w:color w:val="000000"/>
          <w:szCs w:val="20"/>
        </w:rPr>
        <w:t>celami najważniejszych strategii na poziomie regionalnym, krajowym</w:t>
      </w:r>
      <w:r w:rsidR="00E66B89">
        <w:rPr>
          <w:rFonts w:cs="Calibri"/>
          <w:color w:val="000000"/>
          <w:szCs w:val="20"/>
        </w:rPr>
        <w:t xml:space="preserve"> i </w:t>
      </w:r>
      <w:r w:rsidRPr="00E3214E">
        <w:rPr>
          <w:rFonts w:cs="Calibri"/>
          <w:color w:val="000000"/>
          <w:szCs w:val="20"/>
        </w:rPr>
        <w:t>unijnym.</w:t>
      </w:r>
    </w:p>
    <w:p w14:paraId="2FE0DE29" w14:textId="77777777" w:rsidR="000A479F" w:rsidRPr="00404DA5" w:rsidRDefault="000A479F" w:rsidP="00404DA5">
      <w:pPr>
        <w:shd w:val="clear" w:color="auto" w:fill="4F81BD"/>
        <w:autoSpaceDE w:val="0"/>
        <w:autoSpaceDN w:val="0"/>
        <w:adjustRightInd w:val="0"/>
        <w:rPr>
          <w:rFonts w:cs="Calibri"/>
          <w:b/>
          <w:color w:val="FFFFFF"/>
          <w:szCs w:val="20"/>
        </w:rPr>
      </w:pPr>
      <w:r w:rsidRPr="00404DA5">
        <w:rPr>
          <w:rFonts w:cs="Calibri"/>
          <w:b/>
          <w:color w:val="FFFFFF"/>
          <w:szCs w:val="20"/>
        </w:rPr>
        <w:t>Analiza kartograficzna</w:t>
      </w:r>
    </w:p>
    <w:p w14:paraId="60B786B0" w14:textId="77777777" w:rsidR="000A479F" w:rsidRPr="00404DA5" w:rsidRDefault="000A479F" w:rsidP="000A479F">
      <w:pPr>
        <w:autoSpaceDE w:val="0"/>
        <w:autoSpaceDN w:val="0"/>
        <w:adjustRightInd w:val="0"/>
        <w:rPr>
          <w:rFonts w:eastAsia="Lato" w:cs="Calibri"/>
          <w:szCs w:val="20"/>
        </w:rPr>
      </w:pPr>
      <w:r w:rsidRPr="00404DA5">
        <w:rPr>
          <w:rFonts w:cs="Calibri"/>
          <w:color w:val="000000"/>
          <w:szCs w:val="20"/>
        </w:rPr>
        <w:t>Celem analizy przestrzennej GIS (kartograficzna) była wizualizacja zjawisk</w:t>
      </w:r>
      <w:r w:rsidR="00E66B89">
        <w:rPr>
          <w:rFonts w:cs="Calibri"/>
          <w:color w:val="000000"/>
          <w:szCs w:val="20"/>
        </w:rPr>
        <w:t xml:space="preserve"> w </w:t>
      </w:r>
      <w:r w:rsidRPr="00404DA5">
        <w:rPr>
          <w:rFonts w:cs="Calibri"/>
          <w:color w:val="000000"/>
          <w:szCs w:val="20"/>
        </w:rPr>
        <w:t>przestrzeni – np.</w:t>
      </w:r>
      <w:r w:rsidR="00E66B89">
        <w:rPr>
          <w:rFonts w:cs="Calibri"/>
          <w:color w:val="000000"/>
          <w:szCs w:val="20"/>
        </w:rPr>
        <w:t xml:space="preserve"> w </w:t>
      </w:r>
      <w:r w:rsidRPr="00404DA5">
        <w:rPr>
          <w:rFonts w:cs="Calibri"/>
          <w:color w:val="000000"/>
          <w:szCs w:val="20"/>
        </w:rPr>
        <w:t>podziale na powiaty/ gminy/ poszczególne obszary funkcjonalne objęte wsparciem (np. wskaźniki dostępności transportowej) - oraz jako technika analizy rozkładu przestrzennego analizowanych efektów.</w:t>
      </w:r>
    </w:p>
    <w:p w14:paraId="7BB6E5D3" w14:textId="77777777" w:rsidR="000A479F" w:rsidRPr="00404DA5" w:rsidRDefault="000A479F" w:rsidP="000A479F">
      <w:pPr>
        <w:autoSpaceDE w:val="0"/>
        <w:autoSpaceDN w:val="0"/>
        <w:adjustRightInd w:val="0"/>
        <w:rPr>
          <w:rFonts w:eastAsia="Lato" w:cs="Calibri"/>
          <w:szCs w:val="20"/>
        </w:rPr>
      </w:pPr>
      <w:r w:rsidRPr="00404DA5">
        <w:rPr>
          <w:rFonts w:eastAsia="Lato" w:cs="Calibri"/>
          <w:szCs w:val="20"/>
        </w:rPr>
        <w:t>W wyniku analiz zjawisk przestrzennych możliwe było zaprezentowanie opracowanych danych (szczególnie</w:t>
      </w:r>
      <w:r w:rsidR="00E66B89">
        <w:rPr>
          <w:rFonts w:eastAsia="Lato" w:cs="Calibri"/>
          <w:szCs w:val="20"/>
        </w:rPr>
        <w:t xml:space="preserve"> z </w:t>
      </w:r>
      <w:r w:rsidRPr="00404DA5">
        <w:rPr>
          <w:rFonts w:eastAsia="Lato" w:cs="Calibri"/>
          <w:szCs w:val="20"/>
        </w:rPr>
        <w:t>badań ilościowych czy analizy danych zastanych)</w:t>
      </w:r>
      <w:r w:rsidR="00E66B89">
        <w:rPr>
          <w:rFonts w:eastAsia="Lato" w:cs="Calibri"/>
          <w:szCs w:val="20"/>
        </w:rPr>
        <w:t xml:space="preserve"> w </w:t>
      </w:r>
      <w:r w:rsidRPr="00404DA5">
        <w:rPr>
          <w:rFonts w:eastAsia="Lato" w:cs="Calibri"/>
          <w:szCs w:val="20"/>
        </w:rPr>
        <w:t>formie map (kartogramów). Taka graficzna prezentacja wyników badań</w:t>
      </w:r>
      <w:r w:rsidR="00E66B89">
        <w:rPr>
          <w:rFonts w:eastAsia="Lato" w:cs="Calibri"/>
          <w:szCs w:val="20"/>
        </w:rPr>
        <w:t xml:space="preserve"> i </w:t>
      </w:r>
      <w:r w:rsidRPr="00404DA5">
        <w:rPr>
          <w:rFonts w:eastAsia="Lato" w:cs="Calibri"/>
          <w:szCs w:val="20"/>
        </w:rPr>
        <w:t>analiz pozwoliła nie tylko uczynić raport / prezentację bardziej atrakcyjnymi wizualnie, ale też</w:t>
      </w:r>
      <w:r w:rsidR="00E66B89">
        <w:rPr>
          <w:rFonts w:eastAsia="Lato" w:cs="Calibri"/>
          <w:szCs w:val="20"/>
        </w:rPr>
        <w:t xml:space="preserve"> w </w:t>
      </w:r>
      <w:r w:rsidRPr="00404DA5">
        <w:rPr>
          <w:rFonts w:eastAsia="Lato" w:cs="Calibri"/>
          <w:szCs w:val="20"/>
        </w:rPr>
        <w:t>czytelny</w:t>
      </w:r>
      <w:r w:rsidR="00E66B89">
        <w:rPr>
          <w:rFonts w:eastAsia="Lato" w:cs="Calibri"/>
          <w:szCs w:val="20"/>
        </w:rPr>
        <w:t xml:space="preserve"> i </w:t>
      </w:r>
      <w:r w:rsidRPr="00404DA5">
        <w:rPr>
          <w:rFonts w:eastAsia="Lato" w:cs="Calibri"/>
          <w:szCs w:val="20"/>
        </w:rPr>
        <w:t>prosty sposób</w:t>
      </w:r>
      <w:r w:rsidR="00ED7199" w:rsidRPr="00404DA5">
        <w:rPr>
          <w:rFonts w:eastAsia="Lato" w:cs="Calibri"/>
          <w:szCs w:val="20"/>
        </w:rPr>
        <w:t xml:space="preserve"> </w:t>
      </w:r>
      <w:r w:rsidRPr="00404DA5">
        <w:rPr>
          <w:rFonts w:eastAsia="Lato" w:cs="Calibri"/>
          <w:szCs w:val="20"/>
        </w:rPr>
        <w:t>pozwoliła zaprezentować złożoną analizę.</w:t>
      </w:r>
    </w:p>
    <w:p w14:paraId="329BD254" w14:textId="77777777" w:rsidR="000A479F" w:rsidRPr="00404DA5" w:rsidRDefault="000A479F" w:rsidP="00404DA5">
      <w:pPr>
        <w:shd w:val="clear" w:color="auto" w:fill="4F81BD"/>
        <w:autoSpaceDE w:val="0"/>
        <w:autoSpaceDN w:val="0"/>
        <w:adjustRightInd w:val="0"/>
        <w:rPr>
          <w:rFonts w:cs="Calibri"/>
          <w:b/>
          <w:color w:val="FFFFFF"/>
          <w:szCs w:val="20"/>
        </w:rPr>
      </w:pPr>
      <w:r w:rsidRPr="00404DA5">
        <w:rPr>
          <w:rFonts w:cs="Calibri"/>
          <w:b/>
          <w:color w:val="FFFFFF"/>
          <w:szCs w:val="20"/>
        </w:rPr>
        <w:t>Analizy macierzowe</w:t>
      </w:r>
    </w:p>
    <w:p w14:paraId="1EE0B1F7" w14:textId="77777777" w:rsidR="000A479F" w:rsidRPr="00404DA5" w:rsidRDefault="000A479F" w:rsidP="000A479F">
      <w:pPr>
        <w:autoSpaceDE w:val="0"/>
        <w:autoSpaceDN w:val="0"/>
        <w:adjustRightInd w:val="0"/>
        <w:rPr>
          <w:rFonts w:cs="Calibri"/>
          <w:color w:val="000000"/>
          <w:szCs w:val="20"/>
        </w:rPr>
      </w:pPr>
      <w:r w:rsidRPr="00404DA5">
        <w:rPr>
          <w:rFonts w:cs="Calibri"/>
          <w:color w:val="000000"/>
          <w:szCs w:val="20"/>
        </w:rPr>
        <w:t>Celem zastosowania analiz macierzowych</w:t>
      </w:r>
      <w:r w:rsidR="00E66B89">
        <w:rPr>
          <w:rFonts w:cs="Calibri"/>
          <w:color w:val="000000"/>
          <w:szCs w:val="20"/>
        </w:rPr>
        <w:t xml:space="preserve"> w </w:t>
      </w:r>
      <w:r w:rsidRPr="00404DA5">
        <w:rPr>
          <w:rFonts w:cs="Calibri"/>
          <w:color w:val="000000"/>
          <w:szCs w:val="20"/>
        </w:rPr>
        <w:t>procesie badawczym była ocena związków przyczynowo-skutkowych pomiędzy działaniami RPO, co przyczyniło się do oceny spójności wewnętrznej regionalnego programu operacyjnego (na moment realizacji badania). Dodatkowo, analizy macierzowe umożliwiły aktualizację oceny spójności działań</w:t>
      </w:r>
      <w:r w:rsidR="00E66B89">
        <w:rPr>
          <w:rFonts w:cs="Calibri"/>
          <w:color w:val="000000"/>
          <w:szCs w:val="20"/>
        </w:rPr>
        <w:t xml:space="preserve"> z </w:t>
      </w:r>
      <w:r w:rsidRPr="00404DA5">
        <w:rPr>
          <w:rFonts w:cs="Calibri"/>
          <w:color w:val="000000"/>
          <w:szCs w:val="20"/>
        </w:rPr>
        <w:t>zapisami dokumentów programowych</w:t>
      </w:r>
      <w:r w:rsidR="00E66B89">
        <w:rPr>
          <w:rFonts w:cs="Calibri"/>
          <w:color w:val="000000"/>
          <w:szCs w:val="20"/>
        </w:rPr>
        <w:t xml:space="preserve"> i </w:t>
      </w:r>
      <w:r w:rsidRPr="00404DA5">
        <w:rPr>
          <w:rFonts w:cs="Calibri"/>
          <w:color w:val="000000"/>
          <w:szCs w:val="20"/>
        </w:rPr>
        <w:t>strategicznych, itp. (w tym zwłaszcza dokumentami, które zostały opublikowane już po przyjęciu RPO WZ 2014-2020, jak np. SOR) oraz</w:t>
      </w:r>
      <w:r w:rsidR="00E66B89">
        <w:rPr>
          <w:rFonts w:cs="Calibri"/>
          <w:color w:val="000000"/>
          <w:szCs w:val="20"/>
        </w:rPr>
        <w:t xml:space="preserve"> w </w:t>
      </w:r>
      <w:r w:rsidRPr="00404DA5">
        <w:rPr>
          <w:rFonts w:cs="Calibri"/>
          <w:color w:val="000000"/>
          <w:szCs w:val="20"/>
        </w:rPr>
        <w:t>zakresie oceny wkładu interwencji Regionalnego Programu Operacyjnego Województwa Zachodniopomorskiego 2014-2020</w:t>
      </w:r>
      <w:r w:rsidR="00E66B89">
        <w:rPr>
          <w:rFonts w:cs="Calibri"/>
          <w:color w:val="000000"/>
          <w:szCs w:val="20"/>
        </w:rPr>
        <w:t xml:space="preserve"> w </w:t>
      </w:r>
      <w:r w:rsidRPr="00404DA5">
        <w:rPr>
          <w:rFonts w:cs="Calibri"/>
          <w:color w:val="000000"/>
          <w:szCs w:val="20"/>
        </w:rPr>
        <w:t>realizację celów Strategii Europa 2020.</w:t>
      </w:r>
    </w:p>
    <w:p w14:paraId="2D181537" w14:textId="77777777" w:rsidR="00065B71" w:rsidRPr="00772B32" w:rsidRDefault="00065B71" w:rsidP="00065B71">
      <w:r w:rsidRPr="00772B32">
        <w:t>Oszacowania wkładu interwencji RPO WZ</w:t>
      </w:r>
      <w:r w:rsidR="00E66B89">
        <w:t xml:space="preserve"> w </w:t>
      </w:r>
      <w:r w:rsidRPr="00772B32">
        <w:t xml:space="preserve">realizację </w:t>
      </w:r>
      <w:r w:rsidRPr="00772B32">
        <w:rPr>
          <w:i/>
        </w:rPr>
        <w:t>Strategii Europa 2020</w:t>
      </w:r>
      <w:r w:rsidRPr="00772B32">
        <w:t xml:space="preserve"> na koniec 2020</w:t>
      </w:r>
      <w:r w:rsidR="00E66B89">
        <w:t xml:space="preserve"> i </w:t>
      </w:r>
      <w:r w:rsidRPr="00772B32">
        <w:t>2023 roku dokonano</w:t>
      </w:r>
      <w:r w:rsidR="00E66B89">
        <w:t xml:space="preserve"> z </w:t>
      </w:r>
      <w:r w:rsidRPr="00772B32">
        <w:t>wykorzystaniem panelowego modelu ekonometrycznego</w:t>
      </w:r>
      <w:r w:rsidR="00E66B89">
        <w:t xml:space="preserve"> z </w:t>
      </w:r>
      <w:r w:rsidRPr="00772B32">
        <w:t>efektami quasi-stałymi.</w:t>
      </w:r>
      <w:r w:rsidR="00E66B89">
        <w:t xml:space="preserve"> W </w:t>
      </w:r>
      <w:r w:rsidRPr="00772B32">
        <w:t xml:space="preserve">modelu wartość wskaźnika Strategii zależy od skali wydatków RPO WZ na cele realizujące wskaźniki </w:t>
      </w:r>
      <w:r w:rsidRPr="00772B32">
        <w:rPr>
          <w:i/>
        </w:rPr>
        <w:t xml:space="preserve">Strategii Europa 2020 </w:t>
      </w:r>
      <w:r w:rsidRPr="00772B32">
        <w:t>oraz od zmiennych kontrolnych odzwierciedlających strukturalne cechy regionu (np. PKB per capita jako % PKB krajowego, gęstość zaludnienia, wskaźnik urbanizacji). Formalnie specyfikacja modelu wygląda następująco:</w:t>
      </w:r>
    </w:p>
    <w:p w14:paraId="0FF2B992" w14:textId="30AA5362" w:rsidR="00065B71" w:rsidRPr="00C35619" w:rsidRDefault="00FA14F6" w:rsidP="00065B71">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p>
            <m:sSupPr>
              <m:ctrlPr>
                <w:rPr>
                  <w:rFonts w:ascii="Cambria Math" w:hAnsi="Cambria Math"/>
                  <w:i/>
                </w:rPr>
              </m:ctrlPr>
            </m:sSupPr>
            <m:e>
              <m:r>
                <m:rPr>
                  <m:sty m:val="bi"/>
                </m:rPr>
                <w:rPr>
                  <w:rFonts w:ascii="Cambria Math" w:hAnsi="Cambria Math"/>
                </w:rPr>
                <m:t>β</m:t>
              </m:r>
            </m:e>
            <m:sup>
              <m:r>
                <w:rPr>
                  <w:rFonts w:ascii="Cambria Math" w:hAnsi="Cambria Math"/>
                </w:rPr>
                <m:t>T</m:t>
              </m:r>
            </m:sup>
          </m:sSup>
          <m:r>
            <m:rPr>
              <m:scr m:val="double-struck"/>
              <m:sty m:val="bi"/>
            </m:rPr>
            <w:rPr>
              <w:rFonts w:ascii="Cambria Math" w:hAnsi="Cambria Math"/>
            </w:rPr>
            <m:t>x</m:t>
          </m:r>
          <m:r>
            <w:rPr>
              <w:rFonts w:ascii="Cambria Math" w:hAnsi="Cambria Math"/>
            </w:rPr>
            <m:t>+</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γ</m:t>
                  </m:r>
                </m:e>
                <m:sup>
                  <m:r>
                    <w:rPr>
                      <w:rFonts w:ascii="Cambria Math" w:hAnsi="Cambria Math"/>
                    </w:rPr>
                    <m:t>T</m:t>
                  </m:r>
                </m:sup>
              </m:sSup>
              <m:r>
                <m:rPr>
                  <m:scr m:val="script"/>
                </m:rP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6DC5E0AA" w14:textId="4A56B40A" w:rsidR="00065B71" w:rsidRPr="00430F7B" w:rsidRDefault="00065B71" w:rsidP="00065B71">
      <w:r w:rsidRPr="00772B32">
        <w:t xml:space="preserve">gdzie: </w:t>
      </w:r>
      <m:oMath>
        <m:r>
          <m:rPr>
            <m:scr m:val="double-struck"/>
          </m:rPr>
          <w:rPr>
            <w:rFonts w:ascii="Cambria Math" w:hAnsi="Cambria Math"/>
          </w:rPr>
          <m:t xml:space="preserve">x </m:t>
        </m:r>
      </m:oMath>
      <w:r w:rsidRPr="00404DA5">
        <w:t xml:space="preserve">: </w:t>
      </w:r>
      <w:r w:rsidRPr="00772B32">
        <w:t xml:space="preserve">wektor zmiennych kontrolnych, </w:t>
      </w:r>
      <m:oMath>
        <m:r>
          <m:rPr>
            <m:scr m:val="script"/>
          </m:rPr>
          <w:rPr>
            <w:rFonts w:ascii="Cambria Math" w:hAnsi="Cambria Math"/>
          </w:rPr>
          <m:t>I</m:t>
        </m:r>
      </m:oMath>
      <w:r w:rsidRPr="00404DA5">
        <w:t>:</w:t>
      </w:r>
      <w:r w:rsidRPr="00772B32">
        <w:t xml:space="preserve"> efekty stałe dla województw, </w:t>
      </w:r>
      <m:oMath>
        <m:r>
          <m:rPr>
            <m:sty m:val="bi"/>
          </m:rPr>
          <w:rPr>
            <w:rFonts w:ascii="Cambria Math" w:hAnsi="Cambria Math"/>
          </w:rPr>
          <m:t>β</m:t>
        </m:r>
      </m:oMath>
      <w:r w:rsidRPr="00772B32">
        <w:t xml:space="preserve">: wektor parametrów związanych ze zmiennymi kontrolnymi, </w:t>
      </w:r>
      <m:oMath>
        <m:r>
          <m:rPr>
            <m:sty m:val="bi"/>
          </m:rPr>
          <w:rPr>
            <w:rFonts w:ascii="Cambria Math" w:hAnsi="Cambria Math"/>
          </w:rPr>
          <m:t>γ</m:t>
        </m:r>
      </m:oMath>
      <w:r w:rsidRPr="00404DA5">
        <w:t>:</w:t>
      </w:r>
      <w:r w:rsidR="00ED7199">
        <w:t xml:space="preserve"> </w:t>
      </w:r>
      <w:r w:rsidRPr="00772B32">
        <w:t xml:space="preserve">wektor parametrów mierzących wpływ wydatków RPO, </w:t>
      </w:r>
      <m:oMath>
        <m:r>
          <w:rPr>
            <w:rFonts w:ascii="Cambria Math" w:hAnsi="Cambria Math"/>
          </w:rPr>
          <m:t>E</m:t>
        </m:r>
      </m:oMath>
      <w:r w:rsidRPr="00772B32">
        <w:t xml:space="preserve">: wydatki RPO, </w:t>
      </w:r>
      <m:oMath>
        <m:r>
          <w:rPr>
            <w:rFonts w:ascii="Cambria Math" w:hAnsi="Cambria Math"/>
          </w:rPr>
          <m:t>i</m:t>
        </m:r>
      </m:oMath>
      <w:r w:rsidRPr="00772B32">
        <w:t xml:space="preserve">: województwo, </w:t>
      </w:r>
      <m:oMath>
        <m:r>
          <w:rPr>
            <w:rFonts w:ascii="Cambria Math" w:hAnsi="Cambria Math"/>
          </w:rPr>
          <m:t>t</m:t>
        </m:r>
      </m:oMath>
      <w:r w:rsidRPr="00772B32">
        <w:t xml:space="preserve">: rok, </w:t>
      </w:r>
      <m:oMath>
        <m:r>
          <w:rPr>
            <w:rFonts w:ascii="Cambria Math" w:hAnsi="Cambria Math"/>
          </w:rPr>
          <m:t>ε</m:t>
        </m:r>
      </m:oMath>
      <w:r w:rsidRPr="00772B32">
        <w:t>: składnik losowy.</w:t>
      </w:r>
      <w:r w:rsidRPr="00430F7B">
        <w:t xml:space="preserve"> </w:t>
      </w:r>
    </w:p>
    <w:p w14:paraId="5B48D6A9" w14:textId="77777777" w:rsidR="00065B71" w:rsidRPr="00065B71" w:rsidRDefault="00065B71" w:rsidP="00065B71">
      <w:r w:rsidRPr="00234772">
        <w:t>Po oszacowaniu wkładu RPO WZ</w:t>
      </w:r>
      <w:r w:rsidR="00E66B89">
        <w:t xml:space="preserve"> w </w:t>
      </w:r>
      <w:r w:rsidRPr="00234772">
        <w:t xml:space="preserve">osiąganie celów </w:t>
      </w:r>
      <w:r w:rsidRPr="00234772">
        <w:rPr>
          <w:i/>
        </w:rPr>
        <w:t>Strategii Europa 2020</w:t>
      </w:r>
      <w:r w:rsidRPr="00234772">
        <w:t>, zaprognozowano jego wkład do 2023 roku na podstawie skonsultowanego</w:t>
      </w:r>
      <w:r w:rsidR="00E66B89">
        <w:t xml:space="preserve"> z </w:t>
      </w:r>
      <w:r w:rsidRPr="00234772">
        <w:t>UMWZ czasowego rozkładu wydatkowania środków RPO.</w:t>
      </w:r>
      <w:r w:rsidR="00E66B89">
        <w:t xml:space="preserve"> W </w:t>
      </w:r>
      <w:r w:rsidRPr="00234772">
        <w:t>prognozach wykorzystano modele trendów</w:t>
      </w:r>
      <w:r w:rsidR="00E66B89">
        <w:t xml:space="preserve"> o </w:t>
      </w:r>
      <w:r w:rsidRPr="00234772">
        <w:t>specyfikacjach zależnych od danych historycznych. Przeprowadzono analizę porównawczą ze zdefiniowanymi na szczeblu krajowym wartościami docelowymi.</w:t>
      </w:r>
      <w:r w:rsidRPr="003D5E89">
        <w:t xml:space="preserve"> </w:t>
      </w:r>
    </w:p>
    <w:p w14:paraId="146009CF" w14:textId="77777777" w:rsidR="000A479F" w:rsidRPr="00404DA5" w:rsidRDefault="000A479F" w:rsidP="00404DA5">
      <w:pPr>
        <w:keepNext/>
        <w:keepLines/>
        <w:shd w:val="clear" w:color="auto" w:fill="4F81BD"/>
        <w:outlineLvl w:val="2"/>
        <w:rPr>
          <w:b/>
          <w:bCs/>
          <w:color w:val="FFFFFF"/>
        </w:rPr>
      </w:pPr>
      <w:r w:rsidRPr="00404DA5">
        <w:rPr>
          <w:b/>
          <w:bCs/>
          <w:color w:val="FFFFFF"/>
        </w:rPr>
        <w:t>Panel</w:t>
      </w:r>
      <w:r w:rsidR="00D554E8" w:rsidRPr="00404DA5">
        <w:rPr>
          <w:b/>
          <w:bCs/>
          <w:color w:val="FFFFFF"/>
        </w:rPr>
        <w:t>e</w:t>
      </w:r>
      <w:r w:rsidRPr="00404DA5">
        <w:rPr>
          <w:b/>
          <w:bCs/>
          <w:color w:val="FFFFFF"/>
        </w:rPr>
        <w:t xml:space="preserve"> ekspertów</w:t>
      </w:r>
    </w:p>
    <w:p w14:paraId="4364F9B4" w14:textId="77777777" w:rsidR="000A479F" w:rsidRPr="00690238" w:rsidRDefault="000A479F" w:rsidP="000A479F">
      <w:r>
        <w:t>Celem panel</w:t>
      </w:r>
      <w:r w:rsidR="004E7C14">
        <w:t>i</w:t>
      </w:r>
      <w:r>
        <w:t xml:space="preserve"> ekspertów </w:t>
      </w:r>
      <w:r w:rsidR="00312788">
        <w:t>było</w:t>
      </w:r>
      <w:r w:rsidR="00312788" w:rsidRPr="00690238">
        <w:t xml:space="preserve"> </w:t>
      </w:r>
      <w:r w:rsidRPr="00690238">
        <w:t>podsumowanie zgromadzonej</w:t>
      </w:r>
      <w:r w:rsidR="00E66B89">
        <w:t xml:space="preserve"> w </w:t>
      </w:r>
      <w:r w:rsidRPr="00690238">
        <w:t xml:space="preserve">procesie badania wiedzy oraz wypracowaniu szczegółowych rozstrzygnięć zidentyfikowanych problemów. </w:t>
      </w:r>
      <w:r>
        <w:t xml:space="preserve">Panele </w:t>
      </w:r>
      <w:r w:rsidR="00312788">
        <w:t>pełniły</w:t>
      </w:r>
      <w:r w:rsidR="00312788" w:rsidRPr="00690238">
        <w:t xml:space="preserve"> </w:t>
      </w:r>
      <w:r w:rsidRPr="00690238">
        <w:t>szczególnie istotną rolę</w:t>
      </w:r>
      <w:r w:rsidR="00E66B89">
        <w:t xml:space="preserve"> w </w:t>
      </w:r>
      <w:r w:rsidRPr="00690238">
        <w:t>sformułowaniu ostatecznej oceny postępu (rzeczowego</w:t>
      </w:r>
      <w:r w:rsidR="00E66B89">
        <w:t xml:space="preserve"> i </w:t>
      </w:r>
      <w:r w:rsidRPr="00690238">
        <w:t>finansowego)</w:t>
      </w:r>
      <w:r w:rsidR="00E66B89">
        <w:t xml:space="preserve"> w </w:t>
      </w:r>
      <w:r w:rsidRPr="00690238">
        <w:t>realizacji celów pośrednich, tj. oceny wyników wdrażania interwencji na poziomie poszczególnych osi priorytetowych RPO WZ 2014-2020, możliwymi rozwiązaniami</w:t>
      </w:r>
      <w:r w:rsidR="00E66B89">
        <w:t xml:space="preserve"> i </w:t>
      </w:r>
      <w:r w:rsidRPr="00690238">
        <w:t>kierunkami realokowania środków zabezpieczonych</w:t>
      </w:r>
      <w:r w:rsidR="00E66B89">
        <w:t xml:space="preserve"> w </w:t>
      </w:r>
      <w:r w:rsidRPr="00690238">
        <w:t>ramach rezerwy wykonania.</w:t>
      </w:r>
    </w:p>
    <w:p w14:paraId="13CC4E60" w14:textId="330F24B8" w:rsidR="000A479F" w:rsidRPr="00404DA5" w:rsidRDefault="000A479F" w:rsidP="00404DA5">
      <w:pPr>
        <w:shd w:val="clear" w:color="auto" w:fill="4F81BD"/>
        <w:rPr>
          <w:b/>
          <w:color w:val="FFFFFF"/>
          <w:szCs w:val="20"/>
        </w:rPr>
      </w:pPr>
      <w:r w:rsidRPr="00404DA5">
        <w:rPr>
          <w:b/>
          <w:color w:val="FFFFFF"/>
          <w:szCs w:val="20"/>
        </w:rPr>
        <w:lastRenderedPageBreak/>
        <w:t>Analizy porównawcze (benchmarking)</w:t>
      </w:r>
    </w:p>
    <w:p w14:paraId="1FE78681" w14:textId="77777777" w:rsidR="000A479F" w:rsidRDefault="000A479F" w:rsidP="000A479F">
      <w:pPr>
        <w:rPr>
          <w:szCs w:val="20"/>
        </w:rPr>
      </w:pPr>
      <w:r w:rsidRPr="00404DA5">
        <w:rPr>
          <w:color w:val="000000"/>
          <w:szCs w:val="20"/>
        </w:rPr>
        <w:t>W ramach benchmarkingu dokonano</w:t>
      </w:r>
      <w:r w:rsidRPr="00404DA5">
        <w:rPr>
          <w:b/>
          <w:color w:val="000000"/>
          <w:szCs w:val="20"/>
        </w:rPr>
        <w:t xml:space="preserve"> </w:t>
      </w:r>
      <w:r w:rsidRPr="00F616E2">
        <w:rPr>
          <w:szCs w:val="20"/>
        </w:rPr>
        <w:t xml:space="preserve">porównania </w:t>
      </w:r>
      <w:r>
        <w:rPr>
          <w:szCs w:val="20"/>
        </w:rPr>
        <w:t>systemów</w:t>
      </w:r>
      <w:r w:rsidR="00CF4C92">
        <w:rPr>
          <w:szCs w:val="20"/>
        </w:rPr>
        <w:t xml:space="preserve"> wdrażania wybranych obszarów wsparcia (PI)</w:t>
      </w:r>
      <w:r>
        <w:rPr>
          <w:szCs w:val="20"/>
        </w:rPr>
        <w:t xml:space="preserve"> między </w:t>
      </w:r>
      <w:r w:rsidRPr="00F616E2">
        <w:rPr>
          <w:szCs w:val="20"/>
        </w:rPr>
        <w:t>RPO WZ 2014-2020</w:t>
      </w:r>
      <w:r w:rsidR="00E66B89">
        <w:rPr>
          <w:szCs w:val="20"/>
        </w:rPr>
        <w:t xml:space="preserve"> a </w:t>
      </w:r>
      <w:r w:rsidR="00CF4C92">
        <w:rPr>
          <w:szCs w:val="20"/>
        </w:rPr>
        <w:t>innym/i</w:t>
      </w:r>
      <w:r w:rsidRPr="00F616E2">
        <w:rPr>
          <w:szCs w:val="20"/>
        </w:rPr>
        <w:t xml:space="preserve"> RPO</w:t>
      </w:r>
      <w:r w:rsidR="00E66B89">
        <w:rPr>
          <w:szCs w:val="20"/>
        </w:rPr>
        <w:t xml:space="preserve"> i </w:t>
      </w:r>
      <w:r>
        <w:rPr>
          <w:szCs w:val="20"/>
        </w:rPr>
        <w:t>rozwiązaniami zagranicznymi</w:t>
      </w:r>
      <w:r w:rsidRPr="00F616E2">
        <w:rPr>
          <w:szCs w:val="20"/>
        </w:rPr>
        <w:t>.</w:t>
      </w:r>
      <w:r>
        <w:rPr>
          <w:szCs w:val="20"/>
        </w:rPr>
        <w:t xml:space="preserve"> </w:t>
      </w:r>
    </w:p>
    <w:p w14:paraId="101FBD3C" w14:textId="77777777" w:rsidR="000A479F" w:rsidRDefault="000A479F" w:rsidP="000A479F">
      <w:pPr>
        <w:rPr>
          <w:szCs w:val="20"/>
        </w:rPr>
      </w:pPr>
      <w:r w:rsidRPr="00325DE6">
        <w:rPr>
          <w:szCs w:val="20"/>
        </w:rPr>
        <w:t>Benchmarking dostarczy</w:t>
      </w:r>
      <w:r>
        <w:rPr>
          <w:szCs w:val="20"/>
        </w:rPr>
        <w:t>ł</w:t>
      </w:r>
      <w:r w:rsidRPr="00325DE6">
        <w:rPr>
          <w:szCs w:val="20"/>
        </w:rPr>
        <w:t xml:space="preserve"> </w:t>
      </w:r>
      <w:r>
        <w:rPr>
          <w:szCs w:val="20"/>
        </w:rPr>
        <w:t>cennych informacji na temat:</w:t>
      </w:r>
    </w:p>
    <w:p w14:paraId="2CAB6D61" w14:textId="77777777" w:rsidR="000A479F" w:rsidRDefault="000A479F" w:rsidP="00093E14">
      <w:pPr>
        <w:pStyle w:val="Akapitzlist"/>
        <w:numPr>
          <w:ilvl w:val="0"/>
          <w:numId w:val="16"/>
        </w:numPr>
        <w:spacing w:after="120" w:line="288" w:lineRule="auto"/>
        <w:rPr>
          <w:rFonts w:ascii="Lato" w:hAnsi="Lato"/>
          <w:sz w:val="20"/>
          <w:szCs w:val="20"/>
        </w:rPr>
      </w:pPr>
      <w:r w:rsidRPr="00525203">
        <w:rPr>
          <w:rFonts w:ascii="Lato" w:hAnsi="Lato"/>
          <w:sz w:val="20"/>
          <w:szCs w:val="20"/>
        </w:rPr>
        <w:t>skali występowania podobnych problemów</w:t>
      </w:r>
      <w:r w:rsidR="00E66B89">
        <w:rPr>
          <w:rFonts w:ascii="Lato" w:hAnsi="Lato"/>
          <w:sz w:val="20"/>
          <w:szCs w:val="20"/>
        </w:rPr>
        <w:t xml:space="preserve"> w </w:t>
      </w:r>
      <w:r w:rsidR="00D554E8">
        <w:rPr>
          <w:rFonts w:ascii="Lato" w:hAnsi="Lato"/>
          <w:sz w:val="20"/>
          <w:szCs w:val="20"/>
        </w:rPr>
        <w:t>wybranych</w:t>
      </w:r>
      <w:r w:rsidRPr="00525203">
        <w:rPr>
          <w:rFonts w:ascii="Lato" w:hAnsi="Lato"/>
          <w:sz w:val="20"/>
          <w:szCs w:val="20"/>
        </w:rPr>
        <w:t xml:space="preserve"> regionach Polski/KPO/zagranicznych PO</w:t>
      </w:r>
      <w:r w:rsidR="00E66B89">
        <w:rPr>
          <w:rFonts w:ascii="Lato" w:hAnsi="Lato"/>
          <w:sz w:val="20"/>
          <w:szCs w:val="20"/>
        </w:rPr>
        <w:t xml:space="preserve"> i </w:t>
      </w:r>
      <w:r w:rsidRPr="00525203">
        <w:rPr>
          <w:rFonts w:ascii="Lato" w:hAnsi="Lato"/>
          <w:sz w:val="20"/>
          <w:szCs w:val="20"/>
        </w:rPr>
        <w:t>czynników je generujących,</w:t>
      </w:r>
    </w:p>
    <w:p w14:paraId="47900020" w14:textId="77777777" w:rsidR="000A479F" w:rsidRDefault="000A479F" w:rsidP="00093E14">
      <w:pPr>
        <w:pStyle w:val="Akapitzlist"/>
        <w:numPr>
          <w:ilvl w:val="0"/>
          <w:numId w:val="16"/>
        </w:numPr>
        <w:spacing w:after="120" w:line="288" w:lineRule="auto"/>
        <w:rPr>
          <w:rFonts w:ascii="Lato" w:hAnsi="Lato"/>
          <w:sz w:val="20"/>
          <w:szCs w:val="20"/>
        </w:rPr>
      </w:pPr>
      <w:r w:rsidRPr="00525203">
        <w:rPr>
          <w:rFonts w:ascii="Lato" w:hAnsi="Lato"/>
          <w:sz w:val="20"/>
          <w:szCs w:val="20"/>
        </w:rPr>
        <w:t>zakresu</w:t>
      </w:r>
      <w:r w:rsidR="00E66B89">
        <w:rPr>
          <w:rFonts w:ascii="Lato" w:hAnsi="Lato"/>
          <w:sz w:val="20"/>
          <w:szCs w:val="20"/>
        </w:rPr>
        <w:t xml:space="preserve"> i </w:t>
      </w:r>
      <w:r w:rsidRPr="00525203">
        <w:rPr>
          <w:rFonts w:ascii="Lato" w:hAnsi="Lato"/>
          <w:sz w:val="20"/>
          <w:szCs w:val="20"/>
        </w:rPr>
        <w:t>skuteczności podejmowanych środków zaradczych,</w:t>
      </w:r>
    </w:p>
    <w:p w14:paraId="7A6195F3" w14:textId="77777777" w:rsidR="000A479F" w:rsidRDefault="000A479F" w:rsidP="00093E14">
      <w:pPr>
        <w:pStyle w:val="Akapitzlist"/>
        <w:numPr>
          <w:ilvl w:val="0"/>
          <w:numId w:val="16"/>
        </w:numPr>
        <w:spacing w:after="120" w:line="288" w:lineRule="auto"/>
        <w:rPr>
          <w:rFonts w:ascii="Lato" w:hAnsi="Lato"/>
          <w:sz w:val="20"/>
          <w:szCs w:val="20"/>
        </w:rPr>
      </w:pPr>
      <w:r w:rsidRPr="00525203">
        <w:rPr>
          <w:rFonts w:ascii="Lato" w:hAnsi="Lato"/>
          <w:sz w:val="20"/>
          <w:szCs w:val="20"/>
        </w:rPr>
        <w:t>skutecznych mechanizmów wspierających realizację interwencji,</w:t>
      </w:r>
    </w:p>
    <w:p w14:paraId="0CC292AD" w14:textId="77777777" w:rsidR="000A479F" w:rsidRPr="00525203" w:rsidRDefault="000A479F" w:rsidP="00093E14">
      <w:pPr>
        <w:pStyle w:val="Akapitzlist"/>
        <w:numPr>
          <w:ilvl w:val="0"/>
          <w:numId w:val="16"/>
        </w:numPr>
        <w:spacing w:after="120" w:line="288" w:lineRule="auto"/>
        <w:rPr>
          <w:rFonts w:ascii="Lato" w:hAnsi="Lato"/>
          <w:sz w:val="20"/>
          <w:szCs w:val="20"/>
        </w:rPr>
      </w:pPr>
      <w:r w:rsidRPr="00525203">
        <w:rPr>
          <w:rFonts w:ascii="Lato" w:hAnsi="Lato"/>
          <w:sz w:val="20"/>
          <w:szCs w:val="20"/>
        </w:rPr>
        <w:t>skutecznych rozwiązań</w:t>
      </w:r>
      <w:r w:rsidR="00E66B89">
        <w:rPr>
          <w:rFonts w:ascii="Lato" w:hAnsi="Lato"/>
          <w:sz w:val="20"/>
          <w:szCs w:val="20"/>
        </w:rPr>
        <w:t xml:space="preserve"> w </w:t>
      </w:r>
      <w:r w:rsidRPr="00525203">
        <w:rPr>
          <w:rFonts w:ascii="Lato" w:hAnsi="Lato"/>
          <w:sz w:val="20"/>
          <w:szCs w:val="20"/>
        </w:rPr>
        <w:t>zakresie warunków wsparcia, kryteriów oceny, typów projektów podnoszących efektywność kosztową</w:t>
      </w:r>
      <w:r w:rsidR="00E66B89">
        <w:rPr>
          <w:rFonts w:ascii="Lato" w:hAnsi="Lato"/>
          <w:sz w:val="20"/>
          <w:szCs w:val="20"/>
        </w:rPr>
        <w:t xml:space="preserve"> i </w:t>
      </w:r>
      <w:r w:rsidRPr="00525203">
        <w:rPr>
          <w:rFonts w:ascii="Lato" w:hAnsi="Lato"/>
          <w:sz w:val="20"/>
          <w:szCs w:val="20"/>
        </w:rPr>
        <w:t>skuteczność wdrażania wsparcia.</w:t>
      </w:r>
    </w:p>
    <w:p w14:paraId="1F81B304" w14:textId="77777777" w:rsidR="000A479F" w:rsidRDefault="000A479F" w:rsidP="000A479F">
      <w:pPr>
        <w:rPr>
          <w:szCs w:val="20"/>
        </w:rPr>
      </w:pPr>
      <w:r w:rsidRPr="00385143">
        <w:rPr>
          <w:szCs w:val="20"/>
        </w:rPr>
        <w:t>Wnioski</w:t>
      </w:r>
      <w:r w:rsidR="00E66B89">
        <w:rPr>
          <w:szCs w:val="20"/>
        </w:rPr>
        <w:t xml:space="preserve"> z </w:t>
      </w:r>
      <w:r>
        <w:rPr>
          <w:szCs w:val="20"/>
        </w:rPr>
        <w:t>analizy porównawczej</w:t>
      </w:r>
      <w:r w:rsidRPr="00385143">
        <w:rPr>
          <w:szCs w:val="20"/>
        </w:rPr>
        <w:t xml:space="preserve"> </w:t>
      </w:r>
      <w:r>
        <w:rPr>
          <w:szCs w:val="20"/>
        </w:rPr>
        <w:t xml:space="preserve">były pomocne </w:t>
      </w:r>
      <w:r w:rsidR="00BF3663" w:rsidRPr="00BF3663">
        <w:rPr>
          <w:szCs w:val="20"/>
        </w:rPr>
        <w:t>–</w:t>
      </w:r>
      <w:r>
        <w:rPr>
          <w:szCs w:val="20"/>
        </w:rPr>
        <w:t xml:space="preserve"> </w:t>
      </w:r>
      <w:r w:rsidRPr="00385143">
        <w:rPr>
          <w:szCs w:val="20"/>
        </w:rPr>
        <w:t>poprzez wskazanie dobrych praktyk – do sformułowania rekomendacji dla dalszego wdrażania RPO WZ 2014-2020.</w:t>
      </w:r>
    </w:p>
    <w:p w14:paraId="4DBD74D2" w14:textId="77777777" w:rsidR="000A479F" w:rsidRPr="00404DA5" w:rsidRDefault="000A479F" w:rsidP="00404DA5">
      <w:pPr>
        <w:keepNext/>
        <w:keepLines/>
        <w:shd w:val="clear" w:color="auto" w:fill="4F81BD"/>
        <w:outlineLvl w:val="2"/>
        <w:rPr>
          <w:b/>
          <w:bCs/>
          <w:color w:val="FFFFFF"/>
        </w:rPr>
      </w:pPr>
      <w:r w:rsidRPr="00404DA5">
        <w:rPr>
          <w:b/>
          <w:bCs/>
          <w:color w:val="FFFFFF"/>
        </w:rPr>
        <w:t>Warsztat implementacyjny</w:t>
      </w:r>
    </w:p>
    <w:p w14:paraId="78378A5B" w14:textId="77777777" w:rsidR="00C10C7F" w:rsidRPr="00404DA5" w:rsidRDefault="000A479F" w:rsidP="000A479F">
      <w:pPr>
        <w:rPr>
          <w:rFonts w:cs="Calibri"/>
          <w:color w:val="FF0000"/>
          <w:szCs w:val="20"/>
        </w:rPr>
      </w:pPr>
      <w:r>
        <w:rPr>
          <w:szCs w:val="20"/>
        </w:rPr>
        <w:t xml:space="preserve">Celem warsztatu implementacyjnego </w:t>
      </w:r>
      <w:r w:rsidR="003F7C59">
        <w:rPr>
          <w:szCs w:val="20"/>
        </w:rPr>
        <w:t xml:space="preserve">było </w:t>
      </w:r>
      <w:r>
        <w:rPr>
          <w:szCs w:val="20"/>
        </w:rPr>
        <w:t>podniesienie</w:t>
      </w:r>
      <w:r w:rsidRPr="00D670F6">
        <w:rPr>
          <w:szCs w:val="20"/>
        </w:rPr>
        <w:t xml:space="preserve"> jakości rekomendacji sformułowanych</w:t>
      </w:r>
      <w:r w:rsidR="00E66B89">
        <w:rPr>
          <w:szCs w:val="20"/>
        </w:rPr>
        <w:t xml:space="preserve"> w </w:t>
      </w:r>
      <w:r w:rsidRPr="00D670F6">
        <w:rPr>
          <w:szCs w:val="20"/>
        </w:rPr>
        <w:t xml:space="preserve">wyniku wcześniejszych kroków badawczych, toteż pierwsza część warsztatu </w:t>
      </w:r>
      <w:r w:rsidR="003F7C59" w:rsidRPr="00D670F6">
        <w:rPr>
          <w:szCs w:val="20"/>
        </w:rPr>
        <w:t>b</w:t>
      </w:r>
      <w:r w:rsidR="003F7C59">
        <w:rPr>
          <w:szCs w:val="20"/>
        </w:rPr>
        <w:t>yła</w:t>
      </w:r>
      <w:r w:rsidR="003F7C59" w:rsidRPr="00D670F6">
        <w:rPr>
          <w:szCs w:val="20"/>
        </w:rPr>
        <w:t xml:space="preserve"> </w:t>
      </w:r>
      <w:r w:rsidRPr="00D670F6">
        <w:rPr>
          <w:szCs w:val="20"/>
        </w:rPr>
        <w:t>poświęcona przedstawieniu najważniejsz</w:t>
      </w:r>
      <w:r>
        <w:rPr>
          <w:szCs w:val="20"/>
        </w:rPr>
        <w:t>ych wniosków</w:t>
      </w:r>
      <w:r w:rsidR="008B706B">
        <w:rPr>
          <w:szCs w:val="20"/>
        </w:rPr>
        <w:t xml:space="preserve"> </w:t>
      </w:r>
      <w:r>
        <w:rPr>
          <w:szCs w:val="20"/>
        </w:rPr>
        <w:t>badania.</w:t>
      </w:r>
      <w:r w:rsidRPr="00D670F6">
        <w:rPr>
          <w:szCs w:val="20"/>
        </w:rPr>
        <w:t xml:space="preserve"> </w:t>
      </w:r>
      <w:r>
        <w:rPr>
          <w:szCs w:val="20"/>
        </w:rPr>
        <w:t>Druga</w:t>
      </w:r>
      <w:r w:rsidR="00E66B89">
        <w:rPr>
          <w:szCs w:val="20"/>
        </w:rPr>
        <w:t xml:space="preserve"> i </w:t>
      </w:r>
      <w:r>
        <w:rPr>
          <w:szCs w:val="20"/>
        </w:rPr>
        <w:t>zarazem g</w:t>
      </w:r>
      <w:r w:rsidRPr="00D670F6">
        <w:rPr>
          <w:szCs w:val="20"/>
        </w:rPr>
        <w:t xml:space="preserve">łówna część spotkania </w:t>
      </w:r>
      <w:r w:rsidR="003F7C59">
        <w:rPr>
          <w:szCs w:val="20"/>
        </w:rPr>
        <w:t xml:space="preserve">była </w:t>
      </w:r>
      <w:r w:rsidRPr="00D670F6">
        <w:rPr>
          <w:szCs w:val="20"/>
        </w:rPr>
        <w:t>prowadzona metodą warsztatową</w:t>
      </w:r>
      <w:r w:rsidR="00E66B89">
        <w:rPr>
          <w:szCs w:val="20"/>
        </w:rPr>
        <w:t xml:space="preserve"> i </w:t>
      </w:r>
      <w:r w:rsidRPr="00D670F6">
        <w:rPr>
          <w:szCs w:val="20"/>
        </w:rPr>
        <w:t>umożliwi</w:t>
      </w:r>
      <w:r w:rsidR="003F7C59">
        <w:rPr>
          <w:szCs w:val="20"/>
        </w:rPr>
        <w:t>ła</w:t>
      </w:r>
      <w:r w:rsidRPr="00D670F6">
        <w:rPr>
          <w:szCs w:val="20"/>
        </w:rPr>
        <w:t xml:space="preserve"> dyskusję nad </w:t>
      </w:r>
      <w:r w:rsidR="001C4D0C">
        <w:rPr>
          <w:szCs w:val="20"/>
        </w:rPr>
        <w:t xml:space="preserve">wstępną wersją </w:t>
      </w:r>
      <w:r w:rsidRPr="00D670F6">
        <w:rPr>
          <w:szCs w:val="20"/>
        </w:rPr>
        <w:t>rekomendacj</w:t>
      </w:r>
      <w:r w:rsidR="001C4D0C">
        <w:rPr>
          <w:szCs w:val="20"/>
        </w:rPr>
        <w:t>i</w:t>
      </w:r>
      <w:r w:rsidRPr="00D670F6">
        <w:rPr>
          <w:szCs w:val="20"/>
        </w:rPr>
        <w:t>.</w:t>
      </w:r>
      <w:r w:rsidR="00E66B89">
        <w:rPr>
          <w:szCs w:val="20"/>
        </w:rPr>
        <w:t xml:space="preserve"> W </w:t>
      </w:r>
      <w:r w:rsidR="001C4D0C">
        <w:rPr>
          <w:szCs w:val="20"/>
        </w:rPr>
        <w:t>efekcie powstała ostateczna tabela wniosków</w:t>
      </w:r>
      <w:r w:rsidR="00E66B89">
        <w:rPr>
          <w:szCs w:val="20"/>
        </w:rPr>
        <w:t xml:space="preserve"> i </w:t>
      </w:r>
      <w:r w:rsidR="001C4D0C">
        <w:rPr>
          <w:szCs w:val="20"/>
        </w:rPr>
        <w:t>rekomendacji</w:t>
      </w:r>
      <w:r w:rsidR="00E66B89">
        <w:rPr>
          <w:szCs w:val="20"/>
        </w:rPr>
        <w:t xml:space="preserve"> z </w:t>
      </w:r>
      <w:r w:rsidR="001C4D0C">
        <w:rPr>
          <w:szCs w:val="20"/>
        </w:rPr>
        <w:t>przedmiotowego badania.</w:t>
      </w:r>
    </w:p>
    <w:p w14:paraId="05C3BEBF" w14:textId="77777777" w:rsidR="00C10C7F" w:rsidRPr="00801DB4" w:rsidRDefault="00C10C7F" w:rsidP="00C10C7F">
      <w:pPr>
        <w:rPr>
          <w:szCs w:val="20"/>
        </w:rPr>
      </w:pPr>
    </w:p>
    <w:p w14:paraId="41795843" w14:textId="77777777" w:rsidR="00CF4C92" w:rsidRPr="00404DA5" w:rsidRDefault="00CF4C92">
      <w:pPr>
        <w:spacing w:before="0" w:after="200" w:line="276" w:lineRule="auto"/>
        <w:jc w:val="left"/>
        <w:rPr>
          <w:b/>
          <w:bCs/>
          <w:color w:val="365F91"/>
          <w:sz w:val="28"/>
          <w:szCs w:val="28"/>
        </w:rPr>
      </w:pPr>
      <w:r>
        <w:br w:type="page"/>
      </w:r>
    </w:p>
    <w:p w14:paraId="673BE8FD" w14:textId="77777777" w:rsidR="00C10C7F" w:rsidRPr="00801DB4" w:rsidRDefault="00BE254B" w:rsidP="00D45914">
      <w:pPr>
        <w:pStyle w:val="Nagwek1"/>
      </w:pPr>
      <w:bookmarkStart w:id="27" w:name="_Toc6523744"/>
      <w:r w:rsidRPr="00801DB4">
        <w:lastRenderedPageBreak/>
        <w:t>OCENA POSTĘPU RZECZOWEGO</w:t>
      </w:r>
      <w:r w:rsidR="00E66B89">
        <w:t xml:space="preserve"> I </w:t>
      </w:r>
      <w:r w:rsidRPr="00801DB4">
        <w:t>FINANSOWEGO REGIONALNEGO PROGRAMU OPERACYJNEGO WOJEWÓDZTWA ZACHODNIOPOMORSKIEGO 2014-2020 NA POZIOMIE OSI</w:t>
      </w:r>
      <w:r w:rsidR="00E66B89">
        <w:t xml:space="preserve"> I </w:t>
      </w:r>
      <w:r w:rsidRPr="00801DB4">
        <w:t>PRIORYTETÓW INWESTYCYJNYCH</w:t>
      </w:r>
      <w:bookmarkEnd w:id="27"/>
    </w:p>
    <w:p w14:paraId="00662C46" w14:textId="77777777" w:rsidR="00BA3B1C" w:rsidRPr="009F57F0" w:rsidRDefault="00BA3B1C" w:rsidP="00BA3B1C">
      <w:pPr>
        <w:pStyle w:val="Nagwek2"/>
      </w:pPr>
      <w:bookmarkStart w:id="28" w:name="_Toc6523745"/>
      <w:r w:rsidRPr="00801DB4">
        <w:t>Oś priorytetowa</w:t>
      </w:r>
      <w:r w:rsidR="00E66B89">
        <w:t xml:space="preserve"> I </w:t>
      </w:r>
      <w:r w:rsidRPr="00801DB4">
        <w:t>Gospodarka, innowacje, nowoczesne technologie</w:t>
      </w:r>
      <w:bookmarkEnd w:id="28"/>
      <w:r w:rsidRPr="00801DB4">
        <w:t xml:space="preserve"> </w:t>
      </w:r>
    </w:p>
    <w:p w14:paraId="6ABD1E4B" w14:textId="77777777" w:rsidR="00BA3B1C" w:rsidRPr="00FE43CD" w:rsidRDefault="00BA3B1C" w:rsidP="00BA3B1C">
      <w:pPr>
        <w:pStyle w:val="Nagwek3"/>
      </w:pPr>
      <w:r w:rsidRPr="00FE43CD">
        <w:t>Ocena zmian sytuacji społeczno-gospodarczej</w:t>
      </w:r>
      <w:r w:rsidR="00E66B89">
        <w:t xml:space="preserve"> w </w:t>
      </w:r>
      <w:r w:rsidRPr="00FE43CD">
        <w:t>obszarze OP I</w:t>
      </w:r>
    </w:p>
    <w:p w14:paraId="74400B2C" w14:textId="77777777" w:rsidR="00BA3B1C" w:rsidRPr="00404DA5" w:rsidRDefault="00BA3B1C" w:rsidP="00BA3B1C">
      <w:pPr>
        <w:rPr>
          <w:rFonts w:cs="Calibri"/>
          <w:szCs w:val="20"/>
        </w:rPr>
      </w:pPr>
      <w:r w:rsidRPr="00404DA5">
        <w:rPr>
          <w:rFonts w:cs="Calibri"/>
          <w:szCs w:val="20"/>
        </w:rPr>
        <w:t>Zmiany, jakie dokonały się</w:t>
      </w:r>
      <w:r w:rsidR="00E66B89">
        <w:rPr>
          <w:rFonts w:cs="Calibri"/>
          <w:szCs w:val="20"/>
        </w:rPr>
        <w:t xml:space="preserve"> w </w:t>
      </w:r>
      <w:r w:rsidRPr="00404DA5">
        <w:rPr>
          <w:rFonts w:cs="Calibri"/>
          <w:szCs w:val="20"/>
        </w:rPr>
        <w:t>obszarze OP</w:t>
      </w:r>
      <w:r w:rsidR="00E66B89">
        <w:rPr>
          <w:rFonts w:cs="Calibri"/>
          <w:szCs w:val="20"/>
        </w:rPr>
        <w:t xml:space="preserve"> I w </w:t>
      </w:r>
      <w:r w:rsidRPr="00404DA5">
        <w:rPr>
          <w:rFonts w:cs="Calibri"/>
          <w:szCs w:val="20"/>
        </w:rPr>
        <w:t>porównaniu ze stanem na moment programowania interwencji, będą najlepiej widoczne przez pryzmat wybranych wskaźników</w:t>
      </w:r>
      <w:r>
        <w:rPr>
          <w:rFonts w:cs="Calibri"/>
          <w:szCs w:val="20"/>
        </w:rPr>
        <w:t>:</w:t>
      </w:r>
      <w:r w:rsidRPr="00404DA5">
        <w:rPr>
          <w:rFonts w:cs="Calibri"/>
          <w:szCs w:val="20"/>
        </w:rPr>
        <w:t xml:space="preserve"> od strony zasobowej (nakładów na B+R, infrastruktury B+R) oraz wynikowych (liczba przedsiębiorstw innowacyjnych, wyniki działalności innowacyjnej).</w:t>
      </w:r>
    </w:p>
    <w:p w14:paraId="57F97CBC" w14:textId="77777777" w:rsidR="00BA3B1C" w:rsidRPr="00404DA5" w:rsidRDefault="00BA3B1C" w:rsidP="00BA3B1C">
      <w:pPr>
        <w:rPr>
          <w:rFonts w:cs="Calibri"/>
          <w:szCs w:val="20"/>
        </w:rPr>
      </w:pPr>
      <w:r w:rsidRPr="00404DA5">
        <w:rPr>
          <w:rFonts w:cs="Calibri"/>
          <w:szCs w:val="20"/>
        </w:rPr>
        <w:t>Od strony zasobowej warto przyjrzeć się zmianom</w:t>
      </w:r>
      <w:r w:rsidR="00E66B89">
        <w:rPr>
          <w:rFonts w:cs="Calibri"/>
          <w:szCs w:val="20"/>
        </w:rPr>
        <w:t xml:space="preserve"> w </w:t>
      </w:r>
      <w:r w:rsidRPr="00404DA5">
        <w:rPr>
          <w:rFonts w:cs="Calibri"/>
          <w:szCs w:val="20"/>
        </w:rPr>
        <w:t>zakresie wielkości nakładów wewnętrznych na B+R</w:t>
      </w:r>
      <w:r w:rsidR="00E66B89">
        <w:rPr>
          <w:rFonts w:cs="Calibri"/>
          <w:szCs w:val="20"/>
        </w:rPr>
        <w:t xml:space="preserve"> w </w:t>
      </w:r>
      <w:r w:rsidRPr="00404DA5">
        <w:rPr>
          <w:rFonts w:cs="Calibri"/>
          <w:szCs w:val="20"/>
        </w:rPr>
        <w:t xml:space="preserve">relacji do PKB (wg cen bieżących). Jak pokazuje </w:t>
      </w:r>
      <w:r>
        <w:fldChar w:fldCharType="begin"/>
      </w:r>
      <w:r>
        <w:instrText xml:space="preserve"> REF _Ref3447372 \h  \* MERGEFORMAT </w:instrText>
      </w:r>
      <w:r>
        <w:fldChar w:fldCharType="separate"/>
      </w:r>
      <w:r w:rsidR="00763345" w:rsidRPr="00763345">
        <w:rPr>
          <w:rFonts w:cs="Calibri"/>
          <w:szCs w:val="20"/>
        </w:rPr>
        <w:t>Wykres 1</w:t>
      </w:r>
      <w:r>
        <w:fldChar w:fldCharType="end"/>
      </w:r>
      <w:r w:rsidR="00BF3663">
        <w:t xml:space="preserve"> </w:t>
      </w:r>
      <w:r>
        <w:t>poniżej</w:t>
      </w:r>
      <w:r w:rsidRPr="00404DA5">
        <w:rPr>
          <w:rFonts w:cs="Calibri"/>
          <w:szCs w:val="20"/>
        </w:rPr>
        <w:t>, wskaźnik ten kształtuje się</w:t>
      </w:r>
      <w:r w:rsidR="00E66B89">
        <w:rPr>
          <w:rFonts w:cs="Calibri"/>
          <w:szCs w:val="20"/>
        </w:rPr>
        <w:t xml:space="preserve"> w </w:t>
      </w:r>
      <w:r w:rsidRPr="00404DA5">
        <w:rPr>
          <w:rFonts w:cs="Calibri"/>
          <w:szCs w:val="20"/>
        </w:rPr>
        <w:t>województwie zachodniopomorskim na poziomie przeszło 3-krotnie niższym (0,27%) aniżeli średnia dla Polski (0,97). Pod tym względem województwo zachodniopomorskie plasuje się na przedostatniej pozycji</w:t>
      </w:r>
      <w:r w:rsidR="00E66B89">
        <w:rPr>
          <w:rFonts w:cs="Calibri"/>
          <w:szCs w:val="20"/>
        </w:rPr>
        <w:t xml:space="preserve"> w </w:t>
      </w:r>
      <w:r w:rsidRPr="00404DA5">
        <w:rPr>
          <w:rFonts w:cs="Calibri"/>
          <w:szCs w:val="20"/>
        </w:rPr>
        <w:t>kraju</w:t>
      </w:r>
      <w:r w:rsidR="00E66B89">
        <w:rPr>
          <w:rFonts w:cs="Calibri"/>
          <w:szCs w:val="20"/>
        </w:rPr>
        <w:t xml:space="preserve"> i </w:t>
      </w:r>
      <w:r w:rsidRPr="00404DA5">
        <w:rPr>
          <w:rFonts w:cs="Calibri"/>
          <w:szCs w:val="20"/>
        </w:rPr>
        <w:t>wyprzedza jedynie województwo lubuskie (0,20%). Co gorsz</w:t>
      </w:r>
      <w:r>
        <w:rPr>
          <w:rFonts w:cs="Calibri"/>
          <w:szCs w:val="20"/>
        </w:rPr>
        <w:t>e</w:t>
      </w:r>
      <w:r w:rsidRPr="00404DA5">
        <w:rPr>
          <w:rFonts w:cs="Calibri"/>
          <w:szCs w:val="20"/>
        </w:rPr>
        <w:t>, wbrew ogólnopolskiemu trendowi wzrostu nakładów wewnętrznych na B+R</w:t>
      </w:r>
      <w:r w:rsidR="00E66B89">
        <w:rPr>
          <w:rFonts w:cs="Calibri"/>
          <w:szCs w:val="20"/>
        </w:rPr>
        <w:t xml:space="preserve"> w </w:t>
      </w:r>
      <w:r w:rsidRPr="00404DA5">
        <w:rPr>
          <w:rFonts w:cs="Calibri"/>
          <w:szCs w:val="20"/>
        </w:rPr>
        <w:t>relacji do PKB (wzrost</w:t>
      </w:r>
      <w:r w:rsidR="00E66B89">
        <w:rPr>
          <w:rFonts w:cs="Calibri"/>
          <w:szCs w:val="20"/>
        </w:rPr>
        <w:t xml:space="preserve"> o </w:t>
      </w:r>
      <w:r w:rsidRPr="00404DA5">
        <w:rPr>
          <w:rFonts w:cs="Calibri"/>
          <w:szCs w:val="20"/>
        </w:rPr>
        <w:t>10%</w:t>
      </w:r>
      <w:r w:rsidR="00E66B89">
        <w:rPr>
          <w:rFonts w:cs="Calibri"/>
          <w:szCs w:val="20"/>
        </w:rPr>
        <w:t xml:space="preserve"> w </w:t>
      </w:r>
      <w:r w:rsidRPr="00404DA5">
        <w:rPr>
          <w:rFonts w:cs="Calibri"/>
          <w:szCs w:val="20"/>
        </w:rPr>
        <w:t>okresie 2012-2016), województwo zachodniopomorskie doświadczyło jednego</w:t>
      </w:r>
      <w:r w:rsidR="00E66B89">
        <w:rPr>
          <w:rFonts w:cs="Calibri"/>
          <w:szCs w:val="20"/>
        </w:rPr>
        <w:t xml:space="preserve"> z </w:t>
      </w:r>
      <w:r w:rsidRPr="00404DA5">
        <w:rPr>
          <w:rFonts w:cs="Calibri"/>
          <w:szCs w:val="20"/>
        </w:rPr>
        <w:t>najgłębszych spadków (o 27%). Większe</w:t>
      </w:r>
      <w:r>
        <w:rPr>
          <w:rFonts w:cs="Calibri"/>
          <w:szCs w:val="20"/>
        </w:rPr>
        <w:t xml:space="preserve"> spadki</w:t>
      </w:r>
      <w:r w:rsidRPr="00404DA5">
        <w:rPr>
          <w:rFonts w:cs="Calibri"/>
          <w:szCs w:val="20"/>
        </w:rPr>
        <w:t xml:space="preserve"> odnotowano jedynie</w:t>
      </w:r>
      <w:r w:rsidR="00E66B89">
        <w:rPr>
          <w:rFonts w:cs="Calibri"/>
          <w:szCs w:val="20"/>
        </w:rPr>
        <w:t xml:space="preserve"> w </w:t>
      </w:r>
      <w:r w:rsidRPr="00404DA5">
        <w:rPr>
          <w:rFonts w:cs="Calibri"/>
          <w:szCs w:val="20"/>
        </w:rPr>
        <w:t>województwach: wielkopolskim (o</w:t>
      </w:r>
      <w:r>
        <w:rPr>
          <w:rFonts w:cs="Calibri"/>
          <w:szCs w:val="20"/>
        </w:rPr>
        <w:t> </w:t>
      </w:r>
      <w:r w:rsidRPr="00404DA5">
        <w:rPr>
          <w:rFonts w:cs="Calibri"/>
          <w:szCs w:val="20"/>
        </w:rPr>
        <w:t>33%)</w:t>
      </w:r>
      <w:r w:rsidR="00E66B89">
        <w:rPr>
          <w:rFonts w:cs="Calibri"/>
          <w:szCs w:val="20"/>
        </w:rPr>
        <w:t xml:space="preserve"> i </w:t>
      </w:r>
      <w:r w:rsidRPr="00404DA5">
        <w:rPr>
          <w:rFonts w:cs="Calibri"/>
          <w:szCs w:val="20"/>
        </w:rPr>
        <w:t>warmińsko-mazurskim (o 31,3%). Zaś na przeciwległym biegunie znalazły się województwa: opolskie (wzrost</w:t>
      </w:r>
      <w:r w:rsidR="00E66B89">
        <w:rPr>
          <w:rFonts w:cs="Calibri"/>
          <w:szCs w:val="20"/>
        </w:rPr>
        <w:t xml:space="preserve"> o </w:t>
      </w:r>
      <w:r w:rsidRPr="00404DA5">
        <w:rPr>
          <w:rFonts w:cs="Calibri"/>
          <w:szCs w:val="20"/>
        </w:rPr>
        <w:t>89,5% głównie</w:t>
      </w:r>
      <w:r w:rsidR="00E66B89">
        <w:rPr>
          <w:rFonts w:cs="Calibri"/>
          <w:szCs w:val="20"/>
        </w:rPr>
        <w:t xml:space="preserve"> z </w:t>
      </w:r>
      <w:r w:rsidRPr="00404DA5">
        <w:rPr>
          <w:rFonts w:cs="Calibri"/>
          <w:szCs w:val="20"/>
        </w:rPr>
        <w:t>uwagi na bardzo niski poziom wyjściowy – 0,19%)</w:t>
      </w:r>
      <w:r w:rsidR="00E66B89">
        <w:rPr>
          <w:rFonts w:cs="Calibri"/>
          <w:szCs w:val="20"/>
        </w:rPr>
        <w:t xml:space="preserve"> i </w:t>
      </w:r>
      <w:r w:rsidRPr="00404DA5">
        <w:rPr>
          <w:rFonts w:cs="Calibri"/>
          <w:szCs w:val="20"/>
        </w:rPr>
        <w:t>małopolskie (wzrost</w:t>
      </w:r>
      <w:r w:rsidR="00E66B89">
        <w:rPr>
          <w:rFonts w:cs="Calibri"/>
          <w:szCs w:val="20"/>
        </w:rPr>
        <w:t xml:space="preserve"> o </w:t>
      </w:r>
      <w:r w:rsidRPr="00404DA5">
        <w:rPr>
          <w:rFonts w:cs="Calibri"/>
          <w:szCs w:val="20"/>
        </w:rPr>
        <w:t>64,9%).</w:t>
      </w:r>
    </w:p>
    <w:p w14:paraId="19332BEA" w14:textId="77777777" w:rsidR="00BA3B1C" w:rsidRPr="006E34DC" w:rsidRDefault="00BA3B1C" w:rsidP="006E34DC">
      <w:pPr>
        <w:pStyle w:val="Legenda"/>
        <w:spacing w:after="0"/>
      </w:pPr>
      <w:bookmarkStart w:id="29" w:name="_Ref3447372"/>
      <w:bookmarkStart w:id="30" w:name="_Toc5311867"/>
      <w:r w:rsidRPr="002B1E37">
        <w:t xml:space="preserve">Wykres </w:t>
      </w:r>
      <w:r>
        <w:fldChar w:fldCharType="begin"/>
      </w:r>
      <w:r>
        <w:instrText xml:space="preserve"> SEQ Wykres \* ARABIC </w:instrText>
      </w:r>
      <w:r>
        <w:fldChar w:fldCharType="separate"/>
      </w:r>
      <w:r w:rsidR="00763345">
        <w:rPr>
          <w:noProof/>
        </w:rPr>
        <w:t>1</w:t>
      </w:r>
      <w:r>
        <w:fldChar w:fldCharType="end"/>
      </w:r>
      <w:bookmarkEnd w:id="29"/>
      <w:r w:rsidRPr="002B1E37">
        <w:t xml:space="preserve"> </w:t>
      </w:r>
      <w:r>
        <w:t>Wielkość nakładów wewnętrznych na B+R</w:t>
      </w:r>
      <w:r w:rsidR="00E66B89">
        <w:t xml:space="preserve"> w </w:t>
      </w:r>
      <w:r>
        <w:t>relacji do PKB (ceny bieżące)</w:t>
      </w:r>
      <w:r w:rsidR="00E66B89">
        <w:t xml:space="preserve"> w </w:t>
      </w:r>
      <w:r w:rsidRPr="002B1E37">
        <w:t xml:space="preserve">województwie </w:t>
      </w:r>
      <w:r>
        <w:t>zachodniopomorskim</w:t>
      </w:r>
      <w:r w:rsidRPr="002B1E37">
        <w:t xml:space="preserve"> na tle Polski</w:t>
      </w:r>
      <w:r w:rsidR="00E66B89">
        <w:t xml:space="preserve"> w </w:t>
      </w:r>
      <w:r w:rsidRPr="002B1E37">
        <w:t>latach 2012-</w:t>
      </w:r>
      <w:r w:rsidRPr="00534F20">
        <w:t>2016</w:t>
      </w:r>
      <w:r w:rsidRPr="002B1E37">
        <w:t xml:space="preserve"> (w %)</w:t>
      </w:r>
      <w:bookmarkEnd w:id="30"/>
    </w:p>
    <w:p w14:paraId="5B286DE6" w14:textId="7B8212AF" w:rsidR="00BA3B1C" w:rsidRPr="00404DA5" w:rsidRDefault="00C35619" w:rsidP="00CF71F2">
      <w:pPr>
        <w:spacing w:before="0" w:after="0"/>
        <w:rPr>
          <w:rFonts w:cs="Calibri"/>
          <w:szCs w:val="20"/>
        </w:rPr>
      </w:pPr>
      <w:r w:rsidRPr="00D508B6">
        <w:rPr>
          <w:noProof/>
        </w:rPr>
        <w:drawing>
          <wp:inline distT="0" distB="0" distL="0" distR="0" wp14:anchorId="578C9B20" wp14:editId="31FE1540">
            <wp:extent cx="5686425" cy="1695450"/>
            <wp:effectExtent l="0" t="0" r="0" b="0"/>
            <wp:docPr id="19"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0CEBBE" w14:textId="69C27F88" w:rsidR="00BA3B1C" w:rsidRPr="002A5FDF" w:rsidRDefault="00BA3B1C" w:rsidP="00BA3B1C">
      <w:pPr>
        <w:keepNext/>
        <w:rPr>
          <w:rFonts w:cs="Calibri"/>
          <w:i/>
          <w:sz w:val="18"/>
        </w:rPr>
      </w:pPr>
      <w:r w:rsidRPr="002A5FDF">
        <w:rPr>
          <w:rFonts w:cs="Calibri"/>
          <w:i/>
          <w:sz w:val="18"/>
        </w:rPr>
        <w:t>Źródło: dane GUS, Bank Danych Lokalnych</w:t>
      </w:r>
      <w:r w:rsidR="0042389C" w:rsidRPr="002A5FDF">
        <w:rPr>
          <w:rFonts w:cs="Calibri"/>
          <w:i/>
          <w:sz w:val="18"/>
        </w:rPr>
        <w:t>.</w:t>
      </w:r>
    </w:p>
    <w:p w14:paraId="3FBCB409" w14:textId="77777777" w:rsidR="00BA3B1C" w:rsidRPr="00404DA5" w:rsidRDefault="00BA3B1C" w:rsidP="00BA3B1C">
      <w:pPr>
        <w:rPr>
          <w:rFonts w:cs="Calibri"/>
          <w:szCs w:val="20"/>
        </w:rPr>
      </w:pPr>
      <w:r w:rsidRPr="00404DA5">
        <w:rPr>
          <w:rFonts w:cs="Calibri"/>
          <w:szCs w:val="20"/>
        </w:rPr>
        <w:t>Jednocześnie należy uznać za korzystną zmianę związaną</w:t>
      </w:r>
      <w:r w:rsidR="00E66B89">
        <w:rPr>
          <w:rFonts w:cs="Calibri"/>
          <w:szCs w:val="20"/>
        </w:rPr>
        <w:t xml:space="preserve"> z </w:t>
      </w:r>
      <w:r w:rsidRPr="00404DA5">
        <w:rPr>
          <w:rFonts w:cs="Calibri"/>
          <w:szCs w:val="20"/>
        </w:rPr>
        <w:t>powiększającym się udziałem sektora przedsiębiorstw</w:t>
      </w:r>
      <w:r w:rsidR="00E66B89">
        <w:rPr>
          <w:rFonts w:cs="Calibri"/>
          <w:szCs w:val="20"/>
        </w:rPr>
        <w:t xml:space="preserve"> w </w:t>
      </w:r>
      <w:r w:rsidRPr="00404DA5">
        <w:rPr>
          <w:rFonts w:cs="Calibri"/>
          <w:szCs w:val="20"/>
        </w:rPr>
        <w:t xml:space="preserve">nakładach na działalność B+R ogółem. Jak obrazuje </w:t>
      </w:r>
      <w:r>
        <w:fldChar w:fldCharType="begin"/>
      </w:r>
      <w:r>
        <w:instrText xml:space="preserve"> REF _Ref3448476 \h  \* MERGEFORMAT </w:instrText>
      </w:r>
      <w:r>
        <w:fldChar w:fldCharType="separate"/>
      </w:r>
      <w:r w:rsidR="00763345" w:rsidRPr="00763345">
        <w:rPr>
          <w:rFonts w:cs="Calibri"/>
          <w:szCs w:val="20"/>
        </w:rPr>
        <w:t>Wykres 2</w:t>
      </w:r>
      <w:r>
        <w:fldChar w:fldCharType="end"/>
      </w:r>
      <w:r w:rsidR="00BF3663">
        <w:t xml:space="preserve"> </w:t>
      </w:r>
      <w:r>
        <w:t>poniżej</w:t>
      </w:r>
      <w:r w:rsidRPr="00404DA5">
        <w:rPr>
          <w:rFonts w:cs="Calibri"/>
          <w:szCs w:val="20"/>
        </w:rPr>
        <w:t>,</w:t>
      </w:r>
      <w:r w:rsidR="00E66B89">
        <w:rPr>
          <w:rFonts w:cs="Calibri"/>
          <w:szCs w:val="20"/>
        </w:rPr>
        <w:t xml:space="preserve"> w </w:t>
      </w:r>
      <w:r w:rsidRPr="00404DA5">
        <w:rPr>
          <w:rFonts w:cs="Calibri"/>
          <w:szCs w:val="20"/>
        </w:rPr>
        <w:t xml:space="preserve">latach 2012-2016 województwo zachodniopomorskie znacząco zmniejszyło dystans dzielący je od średniej dla kraju. </w:t>
      </w:r>
      <w:r>
        <w:rPr>
          <w:rFonts w:cs="Calibri"/>
          <w:szCs w:val="20"/>
        </w:rPr>
        <w:t>W tym zakresie województwo</w:t>
      </w:r>
      <w:r w:rsidRPr="00404DA5">
        <w:rPr>
          <w:rFonts w:cs="Calibri"/>
          <w:szCs w:val="20"/>
        </w:rPr>
        <w:t xml:space="preserve"> zanotowało 4. pod względem wielkości wzrost wśród polskich regionów (o</w:t>
      </w:r>
      <w:r>
        <w:rPr>
          <w:rFonts w:cs="Calibri"/>
          <w:szCs w:val="20"/>
        </w:rPr>
        <w:t> </w:t>
      </w:r>
      <w:r w:rsidRPr="00404DA5">
        <w:rPr>
          <w:rFonts w:cs="Calibri"/>
          <w:szCs w:val="20"/>
        </w:rPr>
        <w:t>27,7 p. proc.). Wyższy wzrost osiągnęły jedynie województwa: małopolskie (o 34,3 p. proc.), lubuskie (o 29,2 p. proc.)</w:t>
      </w:r>
      <w:r w:rsidR="00E66B89">
        <w:rPr>
          <w:rFonts w:cs="Calibri"/>
          <w:szCs w:val="20"/>
        </w:rPr>
        <w:t xml:space="preserve"> i </w:t>
      </w:r>
      <w:r w:rsidRPr="00404DA5">
        <w:rPr>
          <w:rFonts w:cs="Calibri"/>
          <w:szCs w:val="20"/>
        </w:rPr>
        <w:t>pomorskie (o 28,3 p. proc.).</w:t>
      </w:r>
    </w:p>
    <w:p w14:paraId="45539935" w14:textId="77777777" w:rsidR="00BA3B1C" w:rsidRPr="00534F20" w:rsidRDefault="00BA3B1C" w:rsidP="006E34DC">
      <w:pPr>
        <w:pStyle w:val="Legenda"/>
        <w:spacing w:after="0"/>
      </w:pPr>
      <w:bookmarkStart w:id="31" w:name="_Ref3448476"/>
      <w:bookmarkStart w:id="32" w:name="_Toc5311868"/>
      <w:r w:rsidRPr="00534F20">
        <w:lastRenderedPageBreak/>
        <w:t xml:space="preserve">Wykres </w:t>
      </w:r>
      <w:r>
        <w:fldChar w:fldCharType="begin"/>
      </w:r>
      <w:r>
        <w:instrText xml:space="preserve"> SEQ Wykres \* ARABIC </w:instrText>
      </w:r>
      <w:r>
        <w:fldChar w:fldCharType="separate"/>
      </w:r>
      <w:r w:rsidR="00763345">
        <w:rPr>
          <w:noProof/>
        </w:rPr>
        <w:t>2</w:t>
      </w:r>
      <w:r>
        <w:fldChar w:fldCharType="end"/>
      </w:r>
      <w:bookmarkEnd w:id="31"/>
      <w:r w:rsidRPr="00534F20">
        <w:t xml:space="preserve"> Udział nakładów na działalność B+R finansowanych</w:t>
      </w:r>
      <w:r w:rsidR="00E66B89">
        <w:t xml:space="preserve"> z </w:t>
      </w:r>
      <w:r w:rsidRPr="00534F20">
        <w:t>sektora przedsiębiorstw</w:t>
      </w:r>
      <w:r w:rsidR="00E66B89">
        <w:t xml:space="preserve"> w </w:t>
      </w:r>
      <w:r w:rsidRPr="00534F20">
        <w:t>nakładach na działalność B+R ogółem</w:t>
      </w:r>
      <w:r w:rsidR="00E66B89">
        <w:t xml:space="preserve"> w </w:t>
      </w:r>
      <w:r w:rsidRPr="00534F20">
        <w:t>województwie zachodniopomorskim na tle Polski</w:t>
      </w:r>
      <w:r w:rsidR="00E66B89">
        <w:t xml:space="preserve"> w </w:t>
      </w:r>
      <w:r w:rsidRPr="00534F20">
        <w:t>latach 2012-2016 (w %)</w:t>
      </w:r>
      <w:bookmarkEnd w:id="32"/>
    </w:p>
    <w:p w14:paraId="33295B39" w14:textId="46DA5E18" w:rsidR="00BA3B1C" w:rsidRPr="00404DA5" w:rsidRDefault="00C35619" w:rsidP="00CF71F2">
      <w:pPr>
        <w:spacing w:before="0" w:after="0"/>
        <w:rPr>
          <w:rFonts w:cs="Calibri"/>
          <w:szCs w:val="20"/>
        </w:rPr>
      </w:pPr>
      <w:r w:rsidRPr="00D508B6">
        <w:rPr>
          <w:noProof/>
        </w:rPr>
        <w:drawing>
          <wp:inline distT="0" distB="0" distL="0" distR="0" wp14:anchorId="48280001" wp14:editId="745DA045">
            <wp:extent cx="5753100" cy="2124075"/>
            <wp:effectExtent l="0" t="0" r="0" b="0"/>
            <wp:docPr id="20" name="Wykres 18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9D72CC" w14:textId="65A37EB0" w:rsidR="00BA3B1C" w:rsidRPr="002A5FDF" w:rsidRDefault="00BA3B1C" w:rsidP="00BA3B1C">
      <w:pPr>
        <w:keepNext/>
        <w:rPr>
          <w:rFonts w:cs="Calibri"/>
          <w:i/>
          <w:sz w:val="18"/>
        </w:rPr>
      </w:pPr>
      <w:r w:rsidRPr="002A5FDF">
        <w:rPr>
          <w:rFonts w:cs="Calibri"/>
          <w:i/>
          <w:sz w:val="18"/>
        </w:rPr>
        <w:t>Źródło: dane GUS, Bank Danych Lokalnych</w:t>
      </w:r>
      <w:r w:rsidR="0042389C" w:rsidRPr="002A5FDF">
        <w:rPr>
          <w:rFonts w:cs="Calibri"/>
          <w:i/>
          <w:sz w:val="18"/>
        </w:rPr>
        <w:t>.</w:t>
      </w:r>
    </w:p>
    <w:p w14:paraId="3749D4D3" w14:textId="77777777" w:rsidR="00BA3B1C" w:rsidRDefault="00BA3B1C" w:rsidP="00BA3B1C">
      <w:pPr>
        <w:rPr>
          <w:rFonts w:cs="Calibri"/>
          <w:szCs w:val="20"/>
        </w:rPr>
      </w:pPr>
      <w:r>
        <w:rPr>
          <w:rFonts w:cs="Calibri"/>
          <w:szCs w:val="20"/>
        </w:rPr>
        <w:t>Pożądanym kierunkiem zmian</w:t>
      </w:r>
      <w:r w:rsidR="00E66B89">
        <w:rPr>
          <w:rFonts w:cs="Calibri"/>
          <w:szCs w:val="20"/>
        </w:rPr>
        <w:t xml:space="preserve"> w </w:t>
      </w:r>
      <w:r>
        <w:rPr>
          <w:rFonts w:cs="Calibri"/>
          <w:szCs w:val="20"/>
        </w:rPr>
        <w:t>strukturze nakładów na działalność B+R jest rosnący udział sektora przedsiębiorstw. Jak ilustruje poniższy wykres,</w:t>
      </w:r>
      <w:r w:rsidR="00E66B89">
        <w:rPr>
          <w:rFonts w:cs="Calibri"/>
          <w:szCs w:val="20"/>
        </w:rPr>
        <w:t xml:space="preserve"> w </w:t>
      </w:r>
      <w:r>
        <w:rPr>
          <w:rFonts w:cs="Calibri"/>
          <w:szCs w:val="20"/>
        </w:rPr>
        <w:t>województwie zachodniopomorskim wyraźnie zaznaczył się korzystny trend związany ze zwiększaniem udziału sektora przedsiębiorstw</w:t>
      </w:r>
      <w:r w:rsidR="00E66B89">
        <w:rPr>
          <w:rFonts w:cs="Calibri"/>
          <w:szCs w:val="20"/>
        </w:rPr>
        <w:t xml:space="preserve"> w </w:t>
      </w:r>
      <w:r>
        <w:rPr>
          <w:rFonts w:cs="Calibri"/>
          <w:szCs w:val="20"/>
        </w:rPr>
        <w:t>ogólnej strukturze nakładów na B+R, który jest zgodny</w:t>
      </w:r>
      <w:r w:rsidR="00E66B89">
        <w:rPr>
          <w:rFonts w:cs="Calibri"/>
          <w:szCs w:val="20"/>
        </w:rPr>
        <w:t xml:space="preserve"> z </w:t>
      </w:r>
      <w:r>
        <w:rPr>
          <w:rFonts w:cs="Calibri"/>
          <w:szCs w:val="20"/>
        </w:rPr>
        <w:t>trendem obserwowanym dla całego kraju. Jednakże, wciąż utrzymuje się on na znacząco niższym poziomie</w:t>
      </w:r>
      <w:r w:rsidR="00E66B89">
        <w:rPr>
          <w:rFonts w:cs="Calibri"/>
          <w:szCs w:val="20"/>
        </w:rPr>
        <w:t xml:space="preserve"> w </w:t>
      </w:r>
      <w:r>
        <w:rPr>
          <w:rFonts w:cs="Calibri"/>
          <w:szCs w:val="20"/>
        </w:rPr>
        <w:t>porównaniu ze średnią dla Polski, co wskazuje na słabość sektora przedsiębiorstw</w:t>
      </w:r>
      <w:r w:rsidR="00E66B89">
        <w:rPr>
          <w:rFonts w:cs="Calibri"/>
          <w:szCs w:val="20"/>
        </w:rPr>
        <w:t xml:space="preserve"> w </w:t>
      </w:r>
      <w:r>
        <w:rPr>
          <w:rFonts w:cs="Calibri"/>
          <w:szCs w:val="20"/>
        </w:rPr>
        <w:t>zakresie aktywności B+R.</w:t>
      </w:r>
    </w:p>
    <w:p w14:paraId="26767EE4" w14:textId="77777777" w:rsidR="00BA3B1C" w:rsidRDefault="00BA3B1C" w:rsidP="006E34DC">
      <w:pPr>
        <w:pStyle w:val="Legenda"/>
        <w:spacing w:after="0"/>
      </w:pPr>
      <w:bookmarkStart w:id="33" w:name="_Ref5008468"/>
      <w:bookmarkStart w:id="34" w:name="_Toc5311869"/>
      <w:r>
        <w:t xml:space="preserve">Wykres </w:t>
      </w:r>
      <w:r>
        <w:fldChar w:fldCharType="begin"/>
      </w:r>
      <w:r>
        <w:instrText xml:space="preserve"> SEQ Wykres \* ARABIC </w:instrText>
      </w:r>
      <w:r>
        <w:fldChar w:fldCharType="separate"/>
      </w:r>
      <w:r w:rsidR="00763345">
        <w:rPr>
          <w:noProof/>
        </w:rPr>
        <w:t>3</w:t>
      </w:r>
      <w:r>
        <w:fldChar w:fldCharType="end"/>
      </w:r>
      <w:bookmarkEnd w:id="33"/>
      <w:r>
        <w:t xml:space="preserve"> U</w:t>
      </w:r>
      <w:r w:rsidRPr="00BD3505">
        <w:t>dział nakładów ponoszonych przez sektor przedsiębiorstw</w:t>
      </w:r>
      <w:r w:rsidR="00E66B89">
        <w:t xml:space="preserve"> w </w:t>
      </w:r>
      <w:r w:rsidRPr="00BD3505">
        <w:t>nakładach na działalność B+R ogółem</w:t>
      </w:r>
      <w:r w:rsidR="00E66B89">
        <w:t xml:space="preserve"> w </w:t>
      </w:r>
      <w:r w:rsidRPr="00BD3505">
        <w:t>województwie zachodniopomorskim na tle Polski</w:t>
      </w:r>
      <w:r w:rsidR="00E66B89">
        <w:t xml:space="preserve"> w </w:t>
      </w:r>
      <w:r w:rsidRPr="00BD3505">
        <w:t>latach 2012-201</w:t>
      </w:r>
      <w:r>
        <w:t>7</w:t>
      </w:r>
      <w:r w:rsidRPr="00BD3505">
        <w:t xml:space="preserve"> (w %)</w:t>
      </w:r>
      <w:bookmarkEnd w:id="34"/>
    </w:p>
    <w:p w14:paraId="2AEEBB4F" w14:textId="1084A5B2" w:rsidR="00BA3B1C" w:rsidRDefault="00C35619" w:rsidP="00CF71F2">
      <w:pPr>
        <w:spacing w:before="0" w:after="0"/>
        <w:rPr>
          <w:rFonts w:cs="Calibri"/>
          <w:szCs w:val="20"/>
        </w:rPr>
      </w:pPr>
      <w:r w:rsidRPr="00D508B6">
        <w:rPr>
          <w:noProof/>
        </w:rPr>
        <w:drawing>
          <wp:inline distT="0" distB="0" distL="0" distR="0" wp14:anchorId="4194F6FD" wp14:editId="7B29E009">
            <wp:extent cx="5753100" cy="2257425"/>
            <wp:effectExtent l="0" t="0" r="0" b="0"/>
            <wp:docPr id="21"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48E4F" w14:textId="77777777" w:rsidR="00BA3B1C" w:rsidRPr="002A5FDF" w:rsidRDefault="00BA3B1C" w:rsidP="00BA3B1C">
      <w:pPr>
        <w:keepNext/>
        <w:rPr>
          <w:rFonts w:cs="Calibri"/>
          <w:i/>
          <w:sz w:val="18"/>
        </w:rPr>
      </w:pPr>
      <w:r w:rsidRPr="002A5FDF">
        <w:rPr>
          <w:rFonts w:cs="Calibri"/>
          <w:i/>
          <w:sz w:val="18"/>
        </w:rPr>
        <w:t>Źródło: dane GUS, Bank Danych Lokalnych</w:t>
      </w:r>
      <w:r w:rsidR="0015000B" w:rsidRPr="002A5FDF">
        <w:rPr>
          <w:rFonts w:cs="Calibri"/>
          <w:i/>
          <w:sz w:val="18"/>
        </w:rPr>
        <w:t>. Dane za 2013 r. dla województwa zachodniopomorskiego objęte tajemnicą statystyczną.</w:t>
      </w:r>
    </w:p>
    <w:p w14:paraId="1524208D" w14:textId="77777777" w:rsidR="00BA3B1C" w:rsidRPr="00BF1F1F" w:rsidRDefault="00BA3B1C" w:rsidP="00BA3B1C">
      <w:pPr>
        <w:rPr>
          <w:rFonts w:cs="Calibri"/>
          <w:szCs w:val="20"/>
        </w:rPr>
      </w:pPr>
      <w:r w:rsidRPr="00404DA5">
        <w:rPr>
          <w:rFonts w:cs="Calibri"/>
        </w:rPr>
        <w:t>Ważnym aktywem umożliwiającym prowadzenie działalności badawczo-rozwojowej jest wyposażenie podmiotów</w:t>
      </w:r>
      <w:r w:rsidR="00E66B89">
        <w:rPr>
          <w:rFonts w:cs="Calibri"/>
        </w:rPr>
        <w:t xml:space="preserve"> w </w:t>
      </w:r>
      <w:r w:rsidRPr="00404DA5">
        <w:rPr>
          <w:rFonts w:cs="Calibri"/>
        </w:rPr>
        <w:t>aparaturę naukowo-badawczą. Udział województwa zachodniopomorskiego</w:t>
      </w:r>
      <w:r w:rsidR="00E66B89">
        <w:rPr>
          <w:rFonts w:cs="Calibri"/>
        </w:rPr>
        <w:t xml:space="preserve"> w </w:t>
      </w:r>
      <w:r w:rsidRPr="00404DA5">
        <w:rPr>
          <w:rFonts w:cs="Calibri"/>
        </w:rPr>
        <w:t>alokacji aparatury naukowo-badawczej</w:t>
      </w:r>
      <w:r w:rsidR="00E66B89">
        <w:rPr>
          <w:rFonts w:cs="Calibri"/>
        </w:rPr>
        <w:t xml:space="preserve"> w </w:t>
      </w:r>
      <w:r w:rsidRPr="00404DA5">
        <w:rPr>
          <w:rFonts w:cs="Calibri"/>
        </w:rPr>
        <w:t>kraju</w:t>
      </w:r>
      <w:r w:rsidR="00E66B89">
        <w:rPr>
          <w:rFonts w:cs="Calibri"/>
        </w:rPr>
        <w:t xml:space="preserve"> w </w:t>
      </w:r>
      <w:r w:rsidRPr="00404DA5">
        <w:rPr>
          <w:rFonts w:cs="Calibri"/>
        </w:rPr>
        <w:t>2012 roku wynosił zaledwie 2,4%</w:t>
      </w:r>
      <w:r w:rsidR="00E66B89">
        <w:rPr>
          <w:rFonts w:cs="Calibri"/>
        </w:rPr>
        <w:t xml:space="preserve"> i </w:t>
      </w:r>
      <w:r w:rsidRPr="00404DA5">
        <w:rPr>
          <w:rFonts w:cs="Calibri"/>
        </w:rPr>
        <w:t>do 2017 roku jeszcze się obniżył</w:t>
      </w:r>
      <w:r>
        <w:rPr>
          <w:rFonts w:cs="Calibri"/>
        </w:rPr>
        <w:t>,</w:t>
      </w:r>
      <w:r w:rsidRPr="00404DA5">
        <w:rPr>
          <w:rFonts w:cs="Calibri"/>
        </w:rPr>
        <w:t xml:space="preserve"> do poziomu 1,5% (</w:t>
      </w:r>
      <w:r w:rsidRPr="00C22C26">
        <w:rPr>
          <w:rFonts w:cs="Calibri"/>
        </w:rPr>
        <w:t>wykres poniżej</w:t>
      </w:r>
      <w:r w:rsidRPr="00404DA5">
        <w:rPr>
          <w:rFonts w:cs="Calibri"/>
        </w:rPr>
        <w:t>). Obecna wielkość alokacji aparatury naukowo-badawczej plasuje województwo zachodniopomorskie na dalekiej 13. pozycji</w:t>
      </w:r>
      <w:r w:rsidR="00E66B89">
        <w:rPr>
          <w:rFonts w:cs="Calibri"/>
        </w:rPr>
        <w:t xml:space="preserve"> w </w:t>
      </w:r>
      <w:r w:rsidRPr="00404DA5">
        <w:rPr>
          <w:rFonts w:cs="Calibri"/>
        </w:rPr>
        <w:t>kraju, co nie tworzy dobrych podstaw do wzrostu aktywności badawczo-rozwojowej</w:t>
      </w:r>
      <w:r w:rsidR="00E66B89">
        <w:rPr>
          <w:rFonts w:cs="Calibri"/>
        </w:rPr>
        <w:t xml:space="preserve"> w </w:t>
      </w:r>
      <w:r w:rsidRPr="00404DA5">
        <w:rPr>
          <w:rFonts w:cs="Calibri"/>
        </w:rPr>
        <w:t>regionie</w:t>
      </w:r>
      <w:r>
        <w:rPr>
          <w:rFonts w:cs="Calibri"/>
        </w:rPr>
        <w:t>,</w:t>
      </w:r>
      <w:r w:rsidR="00E66B89">
        <w:rPr>
          <w:rFonts w:cs="Calibri"/>
        </w:rPr>
        <w:t xml:space="preserve"> a </w:t>
      </w:r>
      <w:r>
        <w:rPr>
          <w:rFonts w:cs="Calibri"/>
        </w:rPr>
        <w:t>tym samym budowania konkurencyjności regionalnych podmiotów</w:t>
      </w:r>
      <w:r w:rsidR="00E66B89">
        <w:rPr>
          <w:rFonts w:cs="Calibri"/>
        </w:rPr>
        <w:t xml:space="preserve"> w </w:t>
      </w:r>
      <w:r>
        <w:rPr>
          <w:rFonts w:cs="Calibri"/>
        </w:rPr>
        <w:t>oparciu</w:t>
      </w:r>
      <w:r w:rsidR="00E66B89">
        <w:rPr>
          <w:rFonts w:cs="Calibri"/>
        </w:rPr>
        <w:t xml:space="preserve"> o </w:t>
      </w:r>
      <w:r>
        <w:rPr>
          <w:rFonts w:cs="Calibri"/>
        </w:rPr>
        <w:t>innowacyjność.</w:t>
      </w:r>
    </w:p>
    <w:p w14:paraId="26018F60" w14:textId="77777777" w:rsidR="00BA3B1C" w:rsidRPr="002B1E37" w:rsidRDefault="00BA3B1C" w:rsidP="006E34DC">
      <w:pPr>
        <w:pStyle w:val="Legenda"/>
        <w:spacing w:after="0"/>
      </w:pPr>
      <w:bookmarkStart w:id="35" w:name="_Ref3209021"/>
      <w:bookmarkStart w:id="36" w:name="_Toc5311870"/>
      <w:r w:rsidRPr="002B1E37">
        <w:lastRenderedPageBreak/>
        <w:t xml:space="preserve">Wykres </w:t>
      </w:r>
      <w:r>
        <w:fldChar w:fldCharType="begin"/>
      </w:r>
      <w:r>
        <w:instrText xml:space="preserve"> SEQ Wykres \* ARABIC </w:instrText>
      </w:r>
      <w:r>
        <w:fldChar w:fldCharType="separate"/>
      </w:r>
      <w:r w:rsidR="00763345">
        <w:rPr>
          <w:noProof/>
        </w:rPr>
        <w:t>4</w:t>
      </w:r>
      <w:r>
        <w:fldChar w:fldCharType="end"/>
      </w:r>
      <w:bookmarkEnd w:id="35"/>
      <w:r w:rsidRPr="002B1E37">
        <w:t xml:space="preserve"> Alokacja aparatury naukowo-badawczej względem kraju</w:t>
      </w:r>
      <w:r w:rsidR="00E66B89">
        <w:t xml:space="preserve"> w </w:t>
      </w:r>
      <w:r w:rsidRPr="002B1E37">
        <w:t>latach 2012-2017 (w %)</w:t>
      </w:r>
      <w:bookmarkEnd w:id="36"/>
    </w:p>
    <w:p w14:paraId="24E61AA9" w14:textId="053A55A1" w:rsidR="00BA3B1C" w:rsidRPr="002B1E37" w:rsidRDefault="00C35619" w:rsidP="00CF71F2">
      <w:pPr>
        <w:spacing w:before="0" w:after="0"/>
        <w:rPr>
          <w:rFonts w:ascii="Calibri" w:hAnsi="Calibri"/>
          <w:szCs w:val="20"/>
          <w:lang w:eastAsia="en-US"/>
        </w:rPr>
      </w:pPr>
      <w:r w:rsidRPr="005F04FC">
        <w:rPr>
          <w:rFonts w:ascii="Calibri" w:hAnsi="Calibri"/>
          <w:noProof/>
          <w:szCs w:val="20"/>
        </w:rPr>
        <w:drawing>
          <wp:inline distT="0" distB="0" distL="0" distR="0" wp14:anchorId="0AD40C79" wp14:editId="15F8CF6D">
            <wp:extent cx="5657850" cy="6972300"/>
            <wp:effectExtent l="0" t="0" r="0" b="0"/>
            <wp:docPr id="22" name="Wykres 18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99957F" w14:textId="77777777" w:rsidR="00BA3B1C" w:rsidRPr="002A5FDF" w:rsidRDefault="00BA3B1C" w:rsidP="00707A80">
      <w:pPr>
        <w:keepNext/>
        <w:rPr>
          <w:rFonts w:cs="Calibri"/>
          <w:i/>
          <w:sz w:val="18"/>
        </w:rPr>
      </w:pPr>
      <w:r w:rsidRPr="002A5FDF">
        <w:rPr>
          <w:rFonts w:cs="Calibri"/>
          <w:i/>
          <w:sz w:val="18"/>
        </w:rPr>
        <w:t>Źródło: STRATEG oraz GUS, Działalność badawcza</w:t>
      </w:r>
      <w:r w:rsidR="00E66B89" w:rsidRPr="002A5FDF">
        <w:rPr>
          <w:rFonts w:cs="Calibri"/>
          <w:i/>
          <w:sz w:val="18"/>
        </w:rPr>
        <w:t xml:space="preserve"> i </w:t>
      </w:r>
      <w:r w:rsidRPr="002A5FDF">
        <w:rPr>
          <w:rFonts w:cs="Calibri"/>
          <w:i/>
          <w:sz w:val="18"/>
        </w:rPr>
        <w:t>rozwojowa</w:t>
      </w:r>
      <w:r w:rsidR="00E66B89" w:rsidRPr="002A5FDF">
        <w:rPr>
          <w:rFonts w:cs="Calibri"/>
          <w:i/>
          <w:sz w:val="18"/>
        </w:rPr>
        <w:t xml:space="preserve"> w </w:t>
      </w:r>
      <w:r w:rsidRPr="002A5FDF">
        <w:rPr>
          <w:rFonts w:cs="Calibri"/>
          <w:i/>
          <w:sz w:val="18"/>
        </w:rPr>
        <w:t>Polsce</w:t>
      </w:r>
      <w:r w:rsidR="00E66B89" w:rsidRPr="002A5FDF">
        <w:rPr>
          <w:rFonts w:cs="Calibri"/>
          <w:i/>
          <w:sz w:val="18"/>
        </w:rPr>
        <w:t xml:space="preserve"> w </w:t>
      </w:r>
      <w:r w:rsidRPr="002A5FDF">
        <w:rPr>
          <w:rFonts w:cs="Calibri"/>
          <w:i/>
          <w:sz w:val="18"/>
        </w:rPr>
        <w:t>2017 roku, Warszawa, 2018.</w:t>
      </w:r>
    </w:p>
    <w:p w14:paraId="6108E348" w14:textId="77777777" w:rsidR="00BA3B1C" w:rsidRPr="00404DA5" w:rsidRDefault="00BA3B1C" w:rsidP="00707A80">
      <w:pPr>
        <w:spacing w:before="0"/>
        <w:rPr>
          <w:rFonts w:cs="Calibri"/>
          <w:szCs w:val="20"/>
        </w:rPr>
      </w:pPr>
      <w:r w:rsidRPr="00404DA5">
        <w:rPr>
          <w:rFonts w:cs="Calibri"/>
          <w:szCs w:val="20"/>
        </w:rPr>
        <w:t>Od danych ilustrujących ponoszone nakłady jeszcze ważniejsze są dane prezentujące wyniki prowadzonej działalności innowacyjnej. Dobrym miernikiem zmian</w:t>
      </w:r>
      <w:r w:rsidR="00E66B89">
        <w:rPr>
          <w:rFonts w:cs="Calibri"/>
          <w:szCs w:val="20"/>
        </w:rPr>
        <w:t xml:space="preserve"> w </w:t>
      </w:r>
      <w:r w:rsidRPr="00404DA5">
        <w:rPr>
          <w:rFonts w:cs="Calibri"/>
          <w:szCs w:val="20"/>
        </w:rPr>
        <w:t>tym zakresie jest wskaźnik średniego udziału przedsiębiorstw innowacyjnych</w:t>
      </w:r>
      <w:r w:rsidR="00E66B89">
        <w:rPr>
          <w:rFonts w:cs="Calibri"/>
          <w:szCs w:val="20"/>
        </w:rPr>
        <w:t xml:space="preserve"> w </w:t>
      </w:r>
      <w:r w:rsidRPr="00404DA5">
        <w:rPr>
          <w:rFonts w:cs="Calibri"/>
          <w:szCs w:val="20"/>
        </w:rPr>
        <w:t>ogólnej liczbie przedsiębiorstw. Jak przedstawia</w:t>
      </w:r>
      <w:r>
        <w:rPr>
          <w:rFonts w:cs="Calibri"/>
          <w:szCs w:val="20"/>
        </w:rPr>
        <w:t xml:space="preserve"> poniższy wykres</w:t>
      </w:r>
      <w:r w:rsidRPr="00404DA5">
        <w:rPr>
          <w:rFonts w:cs="Calibri"/>
          <w:szCs w:val="20"/>
        </w:rPr>
        <w:t>, wskaźnik ten dla województwa zachodniopomorskiego zmniejszył się</w:t>
      </w:r>
      <w:r w:rsidR="00E66B89">
        <w:rPr>
          <w:rFonts w:cs="Calibri"/>
          <w:szCs w:val="20"/>
        </w:rPr>
        <w:t xml:space="preserve"> z </w:t>
      </w:r>
      <w:r w:rsidRPr="00404DA5">
        <w:rPr>
          <w:rFonts w:cs="Calibri"/>
          <w:szCs w:val="20"/>
        </w:rPr>
        <w:t>poziomu 14,9%</w:t>
      </w:r>
      <w:r w:rsidR="00E66B89">
        <w:rPr>
          <w:rFonts w:cs="Calibri"/>
          <w:szCs w:val="20"/>
        </w:rPr>
        <w:t xml:space="preserve"> w </w:t>
      </w:r>
      <w:r w:rsidRPr="00404DA5">
        <w:rPr>
          <w:rFonts w:cs="Calibri"/>
          <w:szCs w:val="20"/>
        </w:rPr>
        <w:t>2012 roku do poziomu 13,7%</w:t>
      </w:r>
      <w:r w:rsidR="00E66B89">
        <w:rPr>
          <w:rFonts w:cs="Calibri"/>
          <w:szCs w:val="20"/>
        </w:rPr>
        <w:t xml:space="preserve"> w </w:t>
      </w:r>
      <w:r w:rsidRPr="00404DA5">
        <w:rPr>
          <w:rFonts w:cs="Calibri"/>
          <w:szCs w:val="20"/>
        </w:rPr>
        <w:t>2017 roku. Największy wzrost</w:t>
      </w:r>
      <w:r w:rsidR="00E66B89">
        <w:rPr>
          <w:rFonts w:cs="Calibri"/>
          <w:szCs w:val="20"/>
        </w:rPr>
        <w:t xml:space="preserve"> w </w:t>
      </w:r>
      <w:r w:rsidRPr="00404DA5">
        <w:rPr>
          <w:rFonts w:cs="Calibri"/>
          <w:szCs w:val="20"/>
        </w:rPr>
        <w:t xml:space="preserve">tym zakresie odnotowało województwo pomorskie (o 4,7 p. proc.), zaś największy spadek – województwo warmińsko-mazurskie </w:t>
      </w:r>
      <w:r w:rsidRPr="00404DA5">
        <w:rPr>
          <w:rFonts w:cs="Calibri"/>
          <w:szCs w:val="20"/>
        </w:rPr>
        <w:lastRenderedPageBreak/>
        <w:t>(o 2,9 p. proc.).</w:t>
      </w:r>
      <w:r>
        <w:rPr>
          <w:rFonts w:cs="Calibri"/>
          <w:szCs w:val="20"/>
        </w:rPr>
        <w:t xml:space="preserve"> Trend spadkowy wskazuje na pogorszenie się sytuacji konkurencyjnej przedsiębiorstw Pomorza Zachodniego, których coraz większa grupa konkuruje</w:t>
      </w:r>
      <w:r w:rsidR="00E66B89">
        <w:rPr>
          <w:rFonts w:cs="Calibri"/>
          <w:szCs w:val="20"/>
        </w:rPr>
        <w:t xml:space="preserve"> w </w:t>
      </w:r>
      <w:r>
        <w:rPr>
          <w:rFonts w:cs="Calibri"/>
          <w:szCs w:val="20"/>
        </w:rPr>
        <w:t>oparciu</w:t>
      </w:r>
      <w:r w:rsidR="00E66B89">
        <w:rPr>
          <w:rFonts w:cs="Calibri"/>
          <w:szCs w:val="20"/>
        </w:rPr>
        <w:t xml:space="preserve"> o </w:t>
      </w:r>
      <w:r>
        <w:rPr>
          <w:rFonts w:cs="Calibri"/>
          <w:szCs w:val="20"/>
        </w:rPr>
        <w:t>czynniki nieinnowacyjne.</w:t>
      </w:r>
    </w:p>
    <w:p w14:paraId="2D041933" w14:textId="77777777" w:rsidR="00BA3B1C" w:rsidRPr="006E34DC" w:rsidRDefault="00BA3B1C" w:rsidP="006E34DC">
      <w:pPr>
        <w:pStyle w:val="Legenda"/>
        <w:spacing w:after="0"/>
      </w:pPr>
      <w:bookmarkStart w:id="37" w:name="_Ref3449215"/>
      <w:bookmarkStart w:id="38" w:name="_Toc5311871"/>
      <w:r w:rsidRPr="002B1E37">
        <w:t xml:space="preserve">Wykres </w:t>
      </w:r>
      <w:r>
        <w:fldChar w:fldCharType="begin"/>
      </w:r>
      <w:r>
        <w:instrText xml:space="preserve"> SEQ Wykres \* ARABIC </w:instrText>
      </w:r>
      <w:r>
        <w:fldChar w:fldCharType="separate"/>
      </w:r>
      <w:r w:rsidR="00763345">
        <w:rPr>
          <w:noProof/>
        </w:rPr>
        <w:t>5</w:t>
      </w:r>
      <w:r>
        <w:fldChar w:fldCharType="end"/>
      </w:r>
      <w:bookmarkEnd w:id="37"/>
      <w:r w:rsidRPr="002B1E37">
        <w:t xml:space="preserve"> </w:t>
      </w:r>
      <w:r>
        <w:t>Ś</w:t>
      </w:r>
      <w:r w:rsidRPr="00A93A1E">
        <w:t>redni udział przedsiębiorstw innowacyjnych</w:t>
      </w:r>
      <w:r w:rsidR="00E66B89">
        <w:t xml:space="preserve"> w </w:t>
      </w:r>
      <w:r w:rsidRPr="00A93A1E">
        <w:t>ogólnej liczbie przedsiębiorstw</w:t>
      </w:r>
      <w:r w:rsidR="00E66B89">
        <w:t xml:space="preserve"> w </w:t>
      </w:r>
      <w:r w:rsidRPr="002B1E37">
        <w:t xml:space="preserve">województwie </w:t>
      </w:r>
      <w:r>
        <w:t>zachodniopomorskim</w:t>
      </w:r>
      <w:r w:rsidRPr="002B1E37">
        <w:t xml:space="preserve"> na tle Polski</w:t>
      </w:r>
      <w:r w:rsidR="00E66B89">
        <w:t xml:space="preserve"> w </w:t>
      </w:r>
      <w:r w:rsidRPr="002B1E37">
        <w:t>latach 2012-201</w:t>
      </w:r>
      <w:r>
        <w:t>7</w:t>
      </w:r>
      <w:r w:rsidRPr="002B1E37">
        <w:t xml:space="preserve"> (w %)</w:t>
      </w:r>
      <w:bookmarkEnd w:id="38"/>
    </w:p>
    <w:p w14:paraId="11477D6A" w14:textId="3C6C94D2" w:rsidR="00BA3B1C" w:rsidRPr="00404DA5" w:rsidRDefault="00C35619" w:rsidP="00CF71F2">
      <w:pPr>
        <w:spacing w:before="0" w:after="0"/>
        <w:rPr>
          <w:rFonts w:cs="Calibri"/>
          <w:szCs w:val="20"/>
        </w:rPr>
      </w:pPr>
      <w:r w:rsidRPr="00D508B6">
        <w:rPr>
          <w:noProof/>
        </w:rPr>
        <w:drawing>
          <wp:inline distT="0" distB="0" distL="0" distR="0" wp14:anchorId="03EF3928" wp14:editId="332563A6">
            <wp:extent cx="5715000" cy="2057400"/>
            <wp:effectExtent l="0" t="0" r="0" b="0"/>
            <wp:docPr id="23" name="Wykres 18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A314B6" w14:textId="4C40108F" w:rsidR="00BA3B1C" w:rsidRPr="002A5FDF" w:rsidRDefault="00BA3B1C" w:rsidP="00BA3B1C">
      <w:pPr>
        <w:keepNext/>
        <w:rPr>
          <w:rFonts w:cs="Calibri"/>
          <w:i/>
          <w:sz w:val="18"/>
        </w:rPr>
      </w:pPr>
      <w:r w:rsidRPr="002A5FDF">
        <w:rPr>
          <w:rFonts w:cs="Calibri"/>
          <w:i/>
          <w:sz w:val="18"/>
        </w:rPr>
        <w:t>Źródło: dane GUS, Bank Danych Lokalnych</w:t>
      </w:r>
      <w:r w:rsidR="0042389C" w:rsidRPr="002A5FDF">
        <w:rPr>
          <w:rFonts w:cs="Calibri"/>
          <w:i/>
          <w:sz w:val="18"/>
        </w:rPr>
        <w:t>.</w:t>
      </w:r>
    </w:p>
    <w:p w14:paraId="515E75B7" w14:textId="77777777" w:rsidR="00BA3B1C" w:rsidRPr="00404DA5" w:rsidRDefault="00BA3B1C" w:rsidP="00BA3B1C">
      <w:pPr>
        <w:rPr>
          <w:rFonts w:cs="Calibri"/>
          <w:szCs w:val="20"/>
        </w:rPr>
      </w:pPr>
      <w:r w:rsidRPr="00404DA5">
        <w:rPr>
          <w:rFonts w:cs="Calibri"/>
          <w:szCs w:val="20"/>
        </w:rPr>
        <w:t>W pożądanym kierunku następują zmiany</w:t>
      </w:r>
      <w:r w:rsidR="00E66B89">
        <w:rPr>
          <w:rFonts w:cs="Calibri"/>
          <w:szCs w:val="20"/>
        </w:rPr>
        <w:t xml:space="preserve"> w </w:t>
      </w:r>
      <w:r w:rsidRPr="00404DA5">
        <w:rPr>
          <w:rFonts w:cs="Calibri"/>
          <w:szCs w:val="20"/>
        </w:rPr>
        <w:t>przedsiębiorstwach</w:t>
      </w:r>
      <w:r w:rsidR="00E66B89">
        <w:rPr>
          <w:rFonts w:cs="Calibri"/>
          <w:szCs w:val="20"/>
        </w:rPr>
        <w:t xml:space="preserve"> w </w:t>
      </w:r>
      <w:r w:rsidRPr="00404DA5">
        <w:rPr>
          <w:rFonts w:cs="Calibri"/>
          <w:szCs w:val="20"/>
        </w:rPr>
        <w:t>odniesieniu do udziału przychodów ze sprzedaży produktów nowych lub istotnie ulepszonych.</w:t>
      </w:r>
      <w:r w:rsidR="00E66B89">
        <w:rPr>
          <w:rFonts w:cs="Calibri"/>
          <w:szCs w:val="20"/>
        </w:rPr>
        <w:t xml:space="preserve"> W </w:t>
      </w:r>
      <w:r w:rsidRPr="00404DA5">
        <w:rPr>
          <w:rFonts w:cs="Calibri"/>
          <w:szCs w:val="20"/>
        </w:rPr>
        <w:t>przeciwieństwie do ogólnopolskiego trendu spadku tego udziału zanotowanego</w:t>
      </w:r>
      <w:r w:rsidR="00E66B89">
        <w:rPr>
          <w:rFonts w:cs="Calibri"/>
          <w:szCs w:val="20"/>
        </w:rPr>
        <w:t xml:space="preserve"> w </w:t>
      </w:r>
      <w:r w:rsidRPr="00404DA5">
        <w:rPr>
          <w:rFonts w:cs="Calibri"/>
          <w:szCs w:val="20"/>
        </w:rPr>
        <w:t>latach 2012-2017 (z poziomu 9,22%</w:t>
      </w:r>
      <w:r w:rsidR="00E66B89">
        <w:rPr>
          <w:rFonts w:cs="Calibri"/>
          <w:szCs w:val="20"/>
        </w:rPr>
        <w:t xml:space="preserve"> w </w:t>
      </w:r>
      <w:r w:rsidRPr="00404DA5">
        <w:rPr>
          <w:rFonts w:cs="Calibri"/>
          <w:szCs w:val="20"/>
        </w:rPr>
        <w:t>2012 roku do poziomu 7,08%</w:t>
      </w:r>
      <w:r w:rsidR="00E66B89">
        <w:rPr>
          <w:rFonts w:cs="Calibri"/>
          <w:szCs w:val="20"/>
        </w:rPr>
        <w:t xml:space="preserve"> w </w:t>
      </w:r>
      <w:r w:rsidRPr="00404DA5">
        <w:rPr>
          <w:rFonts w:cs="Calibri"/>
          <w:szCs w:val="20"/>
        </w:rPr>
        <w:t>2017 roku)</w:t>
      </w:r>
      <w:r w:rsidR="00E66B89">
        <w:rPr>
          <w:rFonts w:cs="Calibri"/>
          <w:szCs w:val="20"/>
        </w:rPr>
        <w:t xml:space="preserve"> w </w:t>
      </w:r>
      <w:r w:rsidRPr="00404DA5">
        <w:rPr>
          <w:rFonts w:cs="Calibri"/>
          <w:szCs w:val="20"/>
        </w:rPr>
        <w:t>województwie zachodniopomorskim</w:t>
      </w:r>
      <w:r>
        <w:rPr>
          <w:rFonts w:cs="Calibri"/>
          <w:szCs w:val="20"/>
        </w:rPr>
        <w:t>,</w:t>
      </w:r>
      <w:r w:rsidR="00E66B89">
        <w:rPr>
          <w:rFonts w:cs="Calibri"/>
          <w:szCs w:val="20"/>
        </w:rPr>
        <w:t xml:space="preserve"> w </w:t>
      </w:r>
      <w:r w:rsidRPr="00404DA5">
        <w:rPr>
          <w:rFonts w:cs="Calibri"/>
          <w:szCs w:val="20"/>
        </w:rPr>
        <w:t>analogicznym okresie</w:t>
      </w:r>
      <w:r>
        <w:rPr>
          <w:rFonts w:cs="Calibri"/>
          <w:szCs w:val="20"/>
        </w:rPr>
        <w:t xml:space="preserve">, </w:t>
      </w:r>
      <w:r w:rsidRPr="00404DA5">
        <w:rPr>
          <w:rFonts w:cs="Calibri"/>
          <w:szCs w:val="20"/>
        </w:rPr>
        <w:t>miał miejsce jego wzrost</w:t>
      </w:r>
      <w:r>
        <w:rPr>
          <w:rFonts w:cs="Calibri"/>
          <w:szCs w:val="20"/>
        </w:rPr>
        <w:t>: z </w:t>
      </w:r>
      <w:r w:rsidRPr="00404DA5">
        <w:rPr>
          <w:rFonts w:cs="Calibri"/>
          <w:szCs w:val="20"/>
        </w:rPr>
        <w:t>poziomu 3,98% do poziomu 5,57%. Tym samym województwo zachodniopomorskie było</w:t>
      </w:r>
      <w:r w:rsidR="00E66B89">
        <w:rPr>
          <w:rFonts w:cs="Calibri"/>
          <w:szCs w:val="20"/>
        </w:rPr>
        <w:t xml:space="preserve"> w </w:t>
      </w:r>
      <w:r w:rsidRPr="00404DA5">
        <w:rPr>
          <w:rFonts w:cs="Calibri"/>
          <w:szCs w:val="20"/>
        </w:rPr>
        <w:t>stanie znacząco zmniejszyć dystans dzielący je od reszty kraju.</w:t>
      </w:r>
      <w:r>
        <w:rPr>
          <w:rFonts w:cs="Calibri"/>
          <w:szCs w:val="20"/>
        </w:rPr>
        <w:t xml:space="preserve"> Dane statystyczne wskazują, że, co prawda liczba przedsiębiorstw innowacyjnych maleje, jednak te przedsiębiorstwa przemysłowe, które prowadzą działalność innowacyjną, generują</w:t>
      </w:r>
      <w:r w:rsidR="00E66B89">
        <w:rPr>
          <w:rFonts w:cs="Calibri"/>
          <w:szCs w:val="20"/>
        </w:rPr>
        <w:t xml:space="preserve"> z </w:t>
      </w:r>
      <w:r>
        <w:rPr>
          <w:rFonts w:cs="Calibri"/>
          <w:szCs w:val="20"/>
        </w:rPr>
        <w:t>jej efektów coraz większe przychody. Tym niemniej, w</w:t>
      </w:r>
      <w:r w:rsidR="00C22C26">
        <w:rPr>
          <w:rFonts w:cs="Calibri"/>
          <w:szCs w:val="20"/>
        </w:rPr>
        <w:t xml:space="preserve"> </w:t>
      </w:r>
      <w:r>
        <w:rPr>
          <w:rFonts w:cs="Calibri"/>
          <w:szCs w:val="20"/>
        </w:rPr>
        <w:t xml:space="preserve">aspekcie innowacyjnego rozwoju przedsiębiorstw pozostaje wciąż dużo do zrobienia. </w:t>
      </w:r>
      <w:r w:rsidRPr="00B9444D">
        <w:rPr>
          <w:rFonts w:cs="Calibri"/>
          <w:szCs w:val="20"/>
        </w:rPr>
        <w:t xml:space="preserve">Przed podobnym </w:t>
      </w:r>
      <w:r>
        <w:rPr>
          <w:rFonts w:cs="Calibri"/>
          <w:szCs w:val="20"/>
        </w:rPr>
        <w:t>wyzwaniem stała</w:t>
      </w:r>
      <w:r w:rsidR="00E66B89">
        <w:rPr>
          <w:rFonts w:cs="Calibri"/>
          <w:szCs w:val="20"/>
        </w:rPr>
        <w:t xml:space="preserve"> w </w:t>
      </w:r>
      <w:r>
        <w:rPr>
          <w:rFonts w:cs="Calibri"/>
          <w:szCs w:val="20"/>
        </w:rPr>
        <w:t>momencie programowania regionalnego programu operacyjnego</w:t>
      </w:r>
      <w:r w:rsidRPr="00B9444D">
        <w:rPr>
          <w:rFonts w:cs="Calibri"/>
          <w:szCs w:val="20"/>
        </w:rPr>
        <w:t xml:space="preserve"> Wali</w:t>
      </w:r>
      <w:r>
        <w:rPr>
          <w:rFonts w:cs="Calibri"/>
          <w:szCs w:val="20"/>
        </w:rPr>
        <w:t>a</w:t>
      </w:r>
      <w:r w:rsidRPr="00B9444D">
        <w:rPr>
          <w:rFonts w:cs="Calibri"/>
          <w:szCs w:val="20"/>
        </w:rPr>
        <w:t xml:space="preserve"> Zachodni</w:t>
      </w:r>
      <w:r>
        <w:rPr>
          <w:rFonts w:cs="Calibri"/>
          <w:szCs w:val="20"/>
        </w:rPr>
        <w:t>a</w:t>
      </w:r>
      <w:r w:rsidR="00E66B89">
        <w:rPr>
          <w:rFonts w:cs="Calibri"/>
          <w:szCs w:val="20"/>
        </w:rPr>
        <w:t xml:space="preserve"> i </w:t>
      </w:r>
      <w:r w:rsidRPr="00B9444D">
        <w:rPr>
          <w:rFonts w:cs="Calibri"/>
          <w:szCs w:val="20"/>
        </w:rPr>
        <w:t>Dolin</w:t>
      </w:r>
      <w:r>
        <w:rPr>
          <w:rFonts w:cs="Calibri"/>
          <w:szCs w:val="20"/>
        </w:rPr>
        <w:t>y</w:t>
      </w:r>
      <w:r w:rsidRPr="00B9444D">
        <w:rPr>
          <w:rFonts w:cs="Calibri"/>
          <w:szCs w:val="20"/>
        </w:rPr>
        <w:t xml:space="preserve"> (</w:t>
      </w:r>
      <w:r w:rsidRPr="00B9444D">
        <w:rPr>
          <w:rFonts w:cs="Calibri"/>
          <w:i/>
          <w:szCs w:val="20"/>
        </w:rPr>
        <w:t>West Wales and the Valleys</w:t>
      </w:r>
      <w:r w:rsidRPr="00B9444D">
        <w:rPr>
          <w:rFonts w:cs="Calibri"/>
          <w:szCs w:val="20"/>
        </w:rPr>
        <w:t>)</w:t>
      </w:r>
      <w:r>
        <w:rPr>
          <w:rFonts w:cs="Calibri"/>
          <w:szCs w:val="20"/>
        </w:rPr>
        <w:t>, gdzie z</w:t>
      </w:r>
      <w:r w:rsidRPr="00B9444D">
        <w:rPr>
          <w:rFonts w:cs="Calibri"/>
          <w:szCs w:val="20"/>
        </w:rPr>
        <w:t>aledwie 22,4% przychodów pochodzi</w:t>
      </w:r>
      <w:r>
        <w:rPr>
          <w:rFonts w:cs="Calibri"/>
          <w:szCs w:val="20"/>
        </w:rPr>
        <w:t>ło</w:t>
      </w:r>
      <w:r w:rsidR="00E66B89">
        <w:rPr>
          <w:rFonts w:cs="Calibri"/>
          <w:szCs w:val="20"/>
        </w:rPr>
        <w:t xml:space="preserve"> z </w:t>
      </w:r>
      <w:r w:rsidRPr="00B9444D">
        <w:rPr>
          <w:rFonts w:cs="Calibri"/>
          <w:szCs w:val="20"/>
        </w:rPr>
        <w:t>produktów lub usług innowacyjnych</w:t>
      </w:r>
      <w:r w:rsidR="00E66B89">
        <w:rPr>
          <w:rFonts w:cs="Calibri"/>
          <w:szCs w:val="20"/>
        </w:rPr>
        <w:t xml:space="preserve"> i </w:t>
      </w:r>
      <w:r>
        <w:rPr>
          <w:rFonts w:cs="Calibri"/>
          <w:szCs w:val="20"/>
        </w:rPr>
        <w:t xml:space="preserve">był to </w:t>
      </w:r>
      <w:r w:rsidRPr="00B9444D">
        <w:rPr>
          <w:rFonts w:cs="Calibri"/>
          <w:szCs w:val="20"/>
        </w:rPr>
        <w:t>najniższy wskaźnik spośród wszystkich regionów Wlk. Brytanii</w:t>
      </w:r>
      <w:r>
        <w:rPr>
          <w:rFonts w:cs="Calibri"/>
          <w:szCs w:val="20"/>
        </w:rPr>
        <w:t xml:space="preserve"> (</w:t>
      </w:r>
      <w:r w:rsidRPr="00B9444D">
        <w:rPr>
          <w:rFonts w:cs="Calibri"/>
          <w:szCs w:val="20"/>
        </w:rPr>
        <w:t>przy średniej na poziomie 29,7% dla całego kraju)</w:t>
      </w:r>
      <w:r>
        <w:rPr>
          <w:rFonts w:cs="Calibri"/>
          <w:szCs w:val="20"/>
        </w:rPr>
        <w:t>.</w:t>
      </w:r>
    </w:p>
    <w:p w14:paraId="2FD6C107" w14:textId="77777777" w:rsidR="00BA3B1C" w:rsidRPr="002B1E37" w:rsidRDefault="00BA3B1C" w:rsidP="006E34DC">
      <w:pPr>
        <w:pStyle w:val="Legenda"/>
        <w:spacing w:after="0"/>
      </w:pPr>
      <w:bookmarkStart w:id="39" w:name="_Ref3209589"/>
      <w:bookmarkStart w:id="40" w:name="_Toc1482009"/>
      <w:bookmarkStart w:id="41" w:name="_Toc5311872"/>
      <w:r w:rsidRPr="002B1E37">
        <w:t xml:space="preserve">Wykres </w:t>
      </w:r>
      <w:r>
        <w:fldChar w:fldCharType="begin"/>
      </w:r>
      <w:r>
        <w:instrText xml:space="preserve"> SEQ Wykres \* ARABIC </w:instrText>
      </w:r>
      <w:r>
        <w:fldChar w:fldCharType="separate"/>
      </w:r>
      <w:r w:rsidR="00763345">
        <w:rPr>
          <w:noProof/>
        </w:rPr>
        <w:t>6</w:t>
      </w:r>
      <w:r>
        <w:fldChar w:fldCharType="end"/>
      </w:r>
      <w:bookmarkEnd w:id="39"/>
      <w:r w:rsidRPr="002B1E37">
        <w:t xml:space="preserve"> Udział przychodów netto ze sprzedaży produktów innowacyjnych</w:t>
      </w:r>
      <w:r w:rsidR="00E66B89">
        <w:t xml:space="preserve"> w </w:t>
      </w:r>
      <w:r w:rsidRPr="002B1E37">
        <w:t>przedsiębiorstwach przemysłowych</w:t>
      </w:r>
      <w:r w:rsidR="00E66B89">
        <w:t xml:space="preserve"> w </w:t>
      </w:r>
      <w:r w:rsidRPr="002B1E37">
        <w:t xml:space="preserve">województwie </w:t>
      </w:r>
      <w:r>
        <w:t>zachodniopomorskim</w:t>
      </w:r>
      <w:r w:rsidRPr="002B1E37">
        <w:t xml:space="preserve"> na tle Polski</w:t>
      </w:r>
      <w:r w:rsidR="00E66B89">
        <w:t xml:space="preserve"> w </w:t>
      </w:r>
      <w:r w:rsidRPr="002B1E37">
        <w:t>latach 2012-2017 (w %)</w:t>
      </w:r>
      <w:bookmarkEnd w:id="40"/>
      <w:bookmarkEnd w:id="41"/>
    </w:p>
    <w:p w14:paraId="5CB7F153" w14:textId="269D2568" w:rsidR="00BA3B1C" w:rsidRPr="002B1E37" w:rsidRDefault="00C35619" w:rsidP="00CF71F2">
      <w:pPr>
        <w:spacing w:before="0" w:after="0"/>
        <w:rPr>
          <w:rFonts w:ascii="Calibri" w:eastAsia="Calibri" w:hAnsi="Calibri" w:cs="Calibri"/>
          <w:bCs/>
          <w:lang w:eastAsia="en-US"/>
        </w:rPr>
      </w:pPr>
      <w:r w:rsidRPr="00D508B6">
        <w:rPr>
          <w:noProof/>
        </w:rPr>
        <w:drawing>
          <wp:inline distT="0" distB="0" distL="0" distR="0" wp14:anchorId="0B7053AE" wp14:editId="1F3A9CC6">
            <wp:extent cx="5715000" cy="1800225"/>
            <wp:effectExtent l="0" t="0" r="0" b="0"/>
            <wp:docPr id="24" name="Wykres 18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B1D772" w14:textId="50C829FF" w:rsidR="00BA3B1C" w:rsidRPr="002A5FDF" w:rsidRDefault="00BA3B1C" w:rsidP="00707A80">
      <w:pPr>
        <w:keepNext/>
        <w:rPr>
          <w:rFonts w:cs="Calibri"/>
          <w:i/>
          <w:sz w:val="18"/>
        </w:rPr>
      </w:pPr>
      <w:r w:rsidRPr="002A5FDF">
        <w:rPr>
          <w:rFonts w:cs="Calibri"/>
          <w:i/>
          <w:sz w:val="18"/>
        </w:rPr>
        <w:t>Źródło: dane GUS, Bank Danych Lokalnych</w:t>
      </w:r>
      <w:r w:rsidR="0042389C" w:rsidRPr="002A5FDF">
        <w:rPr>
          <w:rFonts w:cs="Calibri"/>
          <w:i/>
          <w:sz w:val="18"/>
        </w:rPr>
        <w:t>.</w:t>
      </w:r>
    </w:p>
    <w:p w14:paraId="1CA2DF2C" w14:textId="77777777" w:rsidR="00BA3B1C" w:rsidRDefault="00BA3B1C" w:rsidP="00BA3B1C">
      <w:pPr>
        <w:rPr>
          <w:rFonts w:cs="Calibri"/>
          <w:szCs w:val="20"/>
        </w:rPr>
      </w:pPr>
      <w:r>
        <w:rPr>
          <w:rFonts w:cs="Calibri"/>
          <w:szCs w:val="20"/>
        </w:rPr>
        <w:t>Wśród czynników zewnętrznych wpływających na skuteczność interwencji podejmowanej</w:t>
      </w:r>
      <w:r w:rsidR="00E66B89">
        <w:rPr>
          <w:rFonts w:cs="Calibri"/>
          <w:szCs w:val="20"/>
        </w:rPr>
        <w:t xml:space="preserve"> w </w:t>
      </w:r>
      <w:r>
        <w:rPr>
          <w:rFonts w:cs="Calibri"/>
          <w:szCs w:val="20"/>
        </w:rPr>
        <w:t>ramach RPO</w:t>
      </w:r>
      <w:r w:rsidR="00E66B89">
        <w:rPr>
          <w:rFonts w:cs="Calibri"/>
          <w:szCs w:val="20"/>
        </w:rPr>
        <w:t xml:space="preserve"> w </w:t>
      </w:r>
      <w:r>
        <w:rPr>
          <w:rFonts w:cs="Calibri"/>
          <w:szCs w:val="20"/>
        </w:rPr>
        <w:t>zakresie CT 1 należy wskazać na:</w:t>
      </w:r>
    </w:p>
    <w:p w14:paraId="2F585BA6" w14:textId="77777777" w:rsidR="00BA3B1C" w:rsidRPr="003850AB" w:rsidRDefault="00BA3B1C" w:rsidP="00093E14">
      <w:pPr>
        <w:pStyle w:val="Akapitzlist"/>
        <w:numPr>
          <w:ilvl w:val="0"/>
          <w:numId w:val="51"/>
        </w:numPr>
        <w:rPr>
          <w:rFonts w:cs="Calibri"/>
          <w:szCs w:val="20"/>
        </w:rPr>
      </w:pPr>
      <w:r w:rsidRPr="00C22C26">
        <w:rPr>
          <w:rFonts w:ascii="Lato" w:hAnsi="Lato" w:cs="Calibri"/>
          <w:sz w:val="20"/>
          <w:szCs w:val="20"/>
        </w:rPr>
        <w:lastRenderedPageBreak/>
        <w:t>reformę systemu nauki</w:t>
      </w:r>
      <w:r w:rsidR="00E66B89">
        <w:rPr>
          <w:rFonts w:ascii="Lato" w:hAnsi="Lato" w:cs="Calibri"/>
          <w:sz w:val="20"/>
          <w:szCs w:val="20"/>
        </w:rPr>
        <w:t xml:space="preserve"> w </w:t>
      </w:r>
      <w:r w:rsidRPr="00C22C26">
        <w:rPr>
          <w:rFonts w:ascii="Lato" w:hAnsi="Lato" w:cs="Calibri"/>
          <w:sz w:val="20"/>
          <w:szCs w:val="20"/>
        </w:rPr>
        <w:t>Polsce, której założenia mają ściślej wiązać środowisko naukowe z</w:t>
      </w:r>
      <w:r>
        <w:rPr>
          <w:rFonts w:ascii="Lato" w:hAnsi="Lato" w:cs="Calibri"/>
          <w:sz w:val="20"/>
          <w:szCs w:val="20"/>
        </w:rPr>
        <w:t> </w:t>
      </w:r>
      <w:r w:rsidRPr="00C22C26">
        <w:rPr>
          <w:rFonts w:ascii="Lato" w:hAnsi="Lato" w:cs="Calibri"/>
          <w:sz w:val="20"/>
          <w:szCs w:val="20"/>
        </w:rPr>
        <w:t>gospodarką</w:t>
      </w:r>
      <w:r>
        <w:rPr>
          <w:rFonts w:ascii="Lato" w:hAnsi="Lato" w:cs="Calibri"/>
          <w:sz w:val="20"/>
          <w:szCs w:val="20"/>
        </w:rPr>
        <w:t>;</w:t>
      </w:r>
    </w:p>
    <w:p w14:paraId="6BC0BFC6" w14:textId="77777777" w:rsidR="00BA3B1C" w:rsidRPr="003850AB" w:rsidRDefault="00BA3B1C" w:rsidP="00093E14">
      <w:pPr>
        <w:pStyle w:val="Akapitzlist"/>
        <w:numPr>
          <w:ilvl w:val="0"/>
          <w:numId w:val="51"/>
        </w:numPr>
        <w:rPr>
          <w:rFonts w:cs="Calibri"/>
          <w:szCs w:val="20"/>
        </w:rPr>
      </w:pPr>
      <w:r w:rsidRPr="00C22C26">
        <w:rPr>
          <w:rFonts w:ascii="Lato" w:hAnsi="Lato" w:cs="Calibri"/>
          <w:sz w:val="20"/>
          <w:szCs w:val="20"/>
        </w:rPr>
        <w:t>dyktat celów wyznaczonych przez Strategię Europa 2020, która innowacjom nadaje wysoki priorytet</w:t>
      </w:r>
      <w:r>
        <w:rPr>
          <w:rFonts w:ascii="Lato" w:hAnsi="Lato" w:cs="Calibri"/>
          <w:sz w:val="20"/>
          <w:szCs w:val="20"/>
        </w:rPr>
        <w:t>;</w:t>
      </w:r>
    </w:p>
    <w:p w14:paraId="5C8A1247" w14:textId="77777777" w:rsidR="00BA3B1C" w:rsidRPr="003850AB" w:rsidRDefault="00BA3B1C" w:rsidP="00093E14">
      <w:pPr>
        <w:pStyle w:val="Akapitzlist"/>
        <w:numPr>
          <w:ilvl w:val="0"/>
          <w:numId w:val="51"/>
        </w:numPr>
        <w:rPr>
          <w:rFonts w:cs="Calibri"/>
          <w:szCs w:val="20"/>
        </w:rPr>
      </w:pPr>
      <w:r w:rsidRPr="00C22C26">
        <w:rPr>
          <w:rFonts w:ascii="Lato" w:hAnsi="Lato" w:cs="Calibri"/>
          <w:sz w:val="20"/>
          <w:szCs w:val="20"/>
        </w:rPr>
        <w:t>stworzenie krajowych</w:t>
      </w:r>
      <w:r w:rsidR="00E66B89">
        <w:rPr>
          <w:rFonts w:ascii="Lato" w:hAnsi="Lato" w:cs="Calibri"/>
          <w:sz w:val="20"/>
          <w:szCs w:val="20"/>
        </w:rPr>
        <w:t xml:space="preserve"> i </w:t>
      </w:r>
      <w:r w:rsidRPr="00C22C26">
        <w:rPr>
          <w:rFonts w:ascii="Lato" w:hAnsi="Lato" w:cs="Calibri"/>
          <w:sz w:val="20"/>
          <w:szCs w:val="20"/>
        </w:rPr>
        <w:t>regionalnych strategicznych ram polityki</w:t>
      </w:r>
      <w:r w:rsidR="00E66B89">
        <w:rPr>
          <w:rFonts w:ascii="Lato" w:hAnsi="Lato" w:cs="Calibri"/>
          <w:sz w:val="20"/>
          <w:szCs w:val="20"/>
        </w:rPr>
        <w:t xml:space="preserve"> w </w:t>
      </w:r>
      <w:r w:rsidRPr="00C22C26">
        <w:rPr>
          <w:rFonts w:ascii="Lato" w:hAnsi="Lato" w:cs="Calibri"/>
          <w:sz w:val="20"/>
          <w:szCs w:val="20"/>
        </w:rPr>
        <w:t>dziedzinie badań</w:t>
      </w:r>
      <w:r w:rsidR="00E66B89">
        <w:rPr>
          <w:rFonts w:ascii="Lato" w:hAnsi="Lato" w:cs="Calibri"/>
          <w:sz w:val="20"/>
          <w:szCs w:val="20"/>
        </w:rPr>
        <w:t xml:space="preserve"> i </w:t>
      </w:r>
      <w:r w:rsidRPr="00C22C26">
        <w:rPr>
          <w:rFonts w:ascii="Lato" w:hAnsi="Lato" w:cs="Calibri"/>
          <w:sz w:val="20"/>
          <w:szCs w:val="20"/>
        </w:rPr>
        <w:t>innowacji na rzecz inteligentnych specjalizacji, których zadaniem jest koncentrowanie wsparcia</w:t>
      </w:r>
      <w:r w:rsidR="00E66B89">
        <w:rPr>
          <w:rFonts w:ascii="Lato" w:hAnsi="Lato" w:cs="Calibri"/>
          <w:sz w:val="20"/>
          <w:szCs w:val="20"/>
        </w:rPr>
        <w:t xml:space="preserve"> w </w:t>
      </w:r>
      <w:r w:rsidRPr="00C22C26">
        <w:rPr>
          <w:rFonts w:ascii="Lato" w:hAnsi="Lato" w:cs="Calibri"/>
          <w:sz w:val="20"/>
          <w:szCs w:val="20"/>
        </w:rPr>
        <w:t>obszarach uznanych za kluczowe dla gospodarki krajowej</w:t>
      </w:r>
      <w:r w:rsidR="00E66B89">
        <w:rPr>
          <w:rFonts w:ascii="Lato" w:hAnsi="Lato" w:cs="Calibri"/>
          <w:sz w:val="20"/>
          <w:szCs w:val="20"/>
        </w:rPr>
        <w:t xml:space="preserve"> i </w:t>
      </w:r>
      <w:r w:rsidRPr="00C22C26">
        <w:rPr>
          <w:rFonts w:ascii="Lato" w:hAnsi="Lato" w:cs="Calibri"/>
          <w:sz w:val="20"/>
          <w:szCs w:val="20"/>
        </w:rPr>
        <w:t>gospodarek regionalnych</w:t>
      </w:r>
      <w:r>
        <w:rPr>
          <w:rFonts w:ascii="Lato" w:hAnsi="Lato" w:cs="Calibri"/>
          <w:sz w:val="20"/>
          <w:szCs w:val="20"/>
        </w:rPr>
        <w:t>;</w:t>
      </w:r>
    </w:p>
    <w:p w14:paraId="37EC17AB" w14:textId="77777777" w:rsidR="00BA3B1C" w:rsidRPr="003850AB" w:rsidRDefault="00BA3B1C" w:rsidP="00093E14">
      <w:pPr>
        <w:pStyle w:val="Akapitzlist"/>
        <w:numPr>
          <w:ilvl w:val="0"/>
          <w:numId w:val="51"/>
        </w:numPr>
        <w:rPr>
          <w:rFonts w:cs="Calibri"/>
          <w:szCs w:val="20"/>
        </w:rPr>
      </w:pPr>
      <w:r w:rsidRPr="00C22C26">
        <w:rPr>
          <w:rFonts w:ascii="Lato" w:hAnsi="Lato" w:cs="Calibri"/>
          <w:sz w:val="20"/>
          <w:szCs w:val="20"/>
        </w:rPr>
        <w:t>obecność alternatywnych krajowych źródeł finansowania publicznego (np. NCBR) oraz unijnych (np. Horyzont 2020)</w:t>
      </w:r>
      <w:r>
        <w:rPr>
          <w:rFonts w:ascii="Lato" w:hAnsi="Lato" w:cs="Calibri"/>
          <w:sz w:val="20"/>
          <w:szCs w:val="20"/>
        </w:rPr>
        <w:t>;</w:t>
      </w:r>
    </w:p>
    <w:p w14:paraId="7754C7D8" w14:textId="77777777" w:rsidR="00BA3B1C" w:rsidRPr="003850AB" w:rsidRDefault="00BA3B1C" w:rsidP="00093E14">
      <w:pPr>
        <w:pStyle w:val="Akapitzlist"/>
        <w:numPr>
          <w:ilvl w:val="0"/>
          <w:numId w:val="51"/>
        </w:numPr>
        <w:rPr>
          <w:rFonts w:cs="Calibri"/>
          <w:szCs w:val="20"/>
        </w:rPr>
      </w:pPr>
      <w:r w:rsidRPr="00C22C26">
        <w:rPr>
          <w:rFonts w:ascii="Lato" w:hAnsi="Lato" w:cs="Calibri"/>
          <w:sz w:val="20"/>
          <w:szCs w:val="20"/>
        </w:rPr>
        <w:t>ogólny wzrost kapitału społecznego tworzący lepsze warunki dla podejmowania współpracy pomiędzy różnymi podmiotami.</w:t>
      </w:r>
    </w:p>
    <w:p w14:paraId="0A83A9AD" w14:textId="77777777" w:rsidR="00BA3B1C" w:rsidRPr="00404DA5" w:rsidRDefault="00BA3B1C" w:rsidP="00BA3B1C">
      <w:pPr>
        <w:rPr>
          <w:rFonts w:cs="Calibri"/>
          <w:szCs w:val="20"/>
        </w:rPr>
      </w:pPr>
      <w:r w:rsidRPr="00404DA5">
        <w:rPr>
          <w:rFonts w:cs="Calibri"/>
          <w:szCs w:val="20"/>
        </w:rPr>
        <w:t>W podsumowaniu stanu innowacyjności gospodarki Pomorza Zachodniego</w:t>
      </w:r>
      <w:r w:rsidR="00E66B89">
        <w:rPr>
          <w:rFonts w:cs="Calibri"/>
          <w:szCs w:val="20"/>
        </w:rPr>
        <w:t xml:space="preserve"> w </w:t>
      </w:r>
      <w:r w:rsidRPr="00404DA5">
        <w:rPr>
          <w:rFonts w:cs="Calibri"/>
          <w:szCs w:val="20"/>
        </w:rPr>
        <w:t>zakresie CT1 należy uznać, że główne wyzwania, jakie zostały zidentyfikowane na etapie programowania pozostają wciąż aktualne</w:t>
      </w:r>
      <w:r w:rsidR="00E66B89">
        <w:rPr>
          <w:rFonts w:cs="Calibri"/>
          <w:szCs w:val="20"/>
        </w:rPr>
        <w:t xml:space="preserve"> i </w:t>
      </w:r>
      <w:r w:rsidRPr="00404DA5">
        <w:rPr>
          <w:rFonts w:cs="Calibri"/>
          <w:szCs w:val="20"/>
        </w:rPr>
        <w:t>należy do nich zaliczyć:</w:t>
      </w:r>
    </w:p>
    <w:p w14:paraId="7810FD3A" w14:textId="77777777" w:rsidR="00BA3B1C" w:rsidRPr="00404DA5" w:rsidRDefault="00BA3B1C" w:rsidP="00093E14">
      <w:pPr>
        <w:pStyle w:val="Akapitzlist"/>
        <w:numPr>
          <w:ilvl w:val="0"/>
          <w:numId w:val="43"/>
        </w:numPr>
        <w:spacing w:after="120" w:line="288" w:lineRule="auto"/>
        <w:rPr>
          <w:rFonts w:ascii="Lato" w:hAnsi="Lato" w:cs="Calibri"/>
          <w:sz w:val="20"/>
          <w:szCs w:val="20"/>
        </w:rPr>
      </w:pPr>
      <w:r w:rsidRPr="00404DA5">
        <w:rPr>
          <w:rFonts w:ascii="Lato" w:hAnsi="Lato" w:cs="Calibri"/>
          <w:sz w:val="20"/>
          <w:szCs w:val="20"/>
        </w:rPr>
        <w:t>niski</w:t>
      </w:r>
      <w:r w:rsidR="00E66B89">
        <w:rPr>
          <w:rFonts w:ascii="Lato" w:hAnsi="Lato" w:cs="Calibri"/>
          <w:sz w:val="20"/>
          <w:szCs w:val="20"/>
        </w:rPr>
        <w:t xml:space="preserve"> i </w:t>
      </w:r>
      <w:r w:rsidRPr="00404DA5">
        <w:rPr>
          <w:rFonts w:ascii="Lato" w:hAnsi="Lato" w:cs="Calibri"/>
          <w:sz w:val="20"/>
          <w:szCs w:val="20"/>
        </w:rPr>
        <w:t>wciąż malejący poziom nakładów wewnętrznych na B+R</w:t>
      </w:r>
      <w:r w:rsidR="00E66B89">
        <w:rPr>
          <w:rFonts w:ascii="Lato" w:hAnsi="Lato" w:cs="Calibri"/>
          <w:sz w:val="20"/>
          <w:szCs w:val="20"/>
        </w:rPr>
        <w:t xml:space="preserve"> w </w:t>
      </w:r>
      <w:r w:rsidRPr="00404DA5">
        <w:rPr>
          <w:rFonts w:ascii="Lato" w:hAnsi="Lato" w:cs="Calibri"/>
          <w:sz w:val="20"/>
          <w:szCs w:val="20"/>
        </w:rPr>
        <w:t>relacji do PKB;</w:t>
      </w:r>
    </w:p>
    <w:p w14:paraId="3ECFA0CB" w14:textId="77777777" w:rsidR="00BA3B1C" w:rsidRPr="00404DA5" w:rsidRDefault="00BA3B1C" w:rsidP="00093E14">
      <w:pPr>
        <w:pStyle w:val="Akapitzlist"/>
        <w:numPr>
          <w:ilvl w:val="0"/>
          <w:numId w:val="43"/>
        </w:numPr>
        <w:spacing w:after="120" w:line="288" w:lineRule="auto"/>
        <w:rPr>
          <w:rFonts w:ascii="Lato" w:hAnsi="Lato" w:cs="Calibri"/>
          <w:sz w:val="20"/>
          <w:szCs w:val="20"/>
        </w:rPr>
      </w:pPr>
      <w:r w:rsidRPr="00404DA5">
        <w:rPr>
          <w:rFonts w:ascii="Lato" w:hAnsi="Lato" w:cs="Calibri"/>
          <w:sz w:val="20"/>
          <w:szCs w:val="20"/>
        </w:rPr>
        <w:t>utrzymywanie się niższego od średniej ogólnopolskiej udziału przedsiębiorstw</w:t>
      </w:r>
      <w:r w:rsidR="00E66B89">
        <w:rPr>
          <w:rFonts w:ascii="Lato" w:hAnsi="Lato" w:cs="Calibri"/>
          <w:sz w:val="20"/>
          <w:szCs w:val="20"/>
        </w:rPr>
        <w:t xml:space="preserve"> w </w:t>
      </w:r>
      <w:r w:rsidRPr="00404DA5">
        <w:rPr>
          <w:rFonts w:ascii="Lato" w:hAnsi="Lato" w:cs="Calibri"/>
          <w:sz w:val="20"/>
          <w:szCs w:val="20"/>
        </w:rPr>
        <w:t>ogólnej strukturze nakładów na B+R wg sektorów wykonawczych;</w:t>
      </w:r>
    </w:p>
    <w:p w14:paraId="3E585600" w14:textId="77777777" w:rsidR="00BA3B1C" w:rsidRPr="00404DA5" w:rsidRDefault="00BA3B1C" w:rsidP="00093E14">
      <w:pPr>
        <w:pStyle w:val="Akapitzlist"/>
        <w:numPr>
          <w:ilvl w:val="0"/>
          <w:numId w:val="43"/>
        </w:numPr>
        <w:spacing w:after="120" w:line="288" w:lineRule="auto"/>
        <w:rPr>
          <w:rFonts w:ascii="Lato" w:hAnsi="Lato" w:cs="Calibri"/>
          <w:sz w:val="20"/>
          <w:szCs w:val="20"/>
        </w:rPr>
      </w:pPr>
      <w:r w:rsidRPr="00404DA5">
        <w:rPr>
          <w:rFonts w:ascii="Lato" w:hAnsi="Lato" w:cs="Calibri"/>
          <w:sz w:val="20"/>
          <w:szCs w:val="20"/>
        </w:rPr>
        <w:t>niski</w:t>
      </w:r>
      <w:r w:rsidR="00E66B89">
        <w:rPr>
          <w:rFonts w:ascii="Lato" w:hAnsi="Lato" w:cs="Calibri"/>
          <w:sz w:val="20"/>
          <w:szCs w:val="20"/>
        </w:rPr>
        <w:t xml:space="preserve"> i </w:t>
      </w:r>
      <w:r w:rsidRPr="00404DA5">
        <w:rPr>
          <w:rFonts w:ascii="Lato" w:hAnsi="Lato" w:cs="Calibri"/>
          <w:sz w:val="20"/>
          <w:szCs w:val="20"/>
        </w:rPr>
        <w:t>malejąc</w:t>
      </w:r>
      <w:r>
        <w:rPr>
          <w:rFonts w:ascii="Lato" w:hAnsi="Lato" w:cs="Calibri"/>
          <w:sz w:val="20"/>
          <w:szCs w:val="20"/>
        </w:rPr>
        <w:t>y</w:t>
      </w:r>
      <w:r w:rsidR="00E66B89">
        <w:rPr>
          <w:rFonts w:ascii="Lato" w:hAnsi="Lato" w:cs="Calibri"/>
          <w:sz w:val="20"/>
          <w:szCs w:val="20"/>
        </w:rPr>
        <w:t xml:space="preserve"> w </w:t>
      </w:r>
      <w:r>
        <w:rPr>
          <w:rFonts w:ascii="Lato" w:hAnsi="Lato" w:cs="Calibri"/>
          <w:sz w:val="20"/>
          <w:szCs w:val="20"/>
        </w:rPr>
        <w:t>ogólnopolskiej strukturze udział</w:t>
      </w:r>
      <w:r w:rsidR="00E66B89">
        <w:rPr>
          <w:rFonts w:ascii="Lato" w:hAnsi="Lato" w:cs="Calibri"/>
          <w:sz w:val="20"/>
          <w:szCs w:val="20"/>
        </w:rPr>
        <w:t xml:space="preserve"> w </w:t>
      </w:r>
      <w:r w:rsidRPr="00404DA5">
        <w:rPr>
          <w:rFonts w:ascii="Lato" w:hAnsi="Lato" w:cs="Calibri"/>
          <w:sz w:val="20"/>
          <w:szCs w:val="20"/>
        </w:rPr>
        <w:t>wyposażeni</w:t>
      </w:r>
      <w:r>
        <w:rPr>
          <w:rFonts w:ascii="Lato" w:hAnsi="Lato" w:cs="Calibri"/>
          <w:sz w:val="20"/>
          <w:szCs w:val="20"/>
        </w:rPr>
        <w:t>u</w:t>
      </w:r>
      <w:r w:rsidRPr="00404DA5">
        <w:rPr>
          <w:rFonts w:ascii="Lato" w:hAnsi="Lato" w:cs="Calibri"/>
          <w:sz w:val="20"/>
          <w:szCs w:val="20"/>
        </w:rPr>
        <w:t xml:space="preserve"> podmiotów</w:t>
      </w:r>
      <w:r w:rsidR="00E66B89">
        <w:rPr>
          <w:rFonts w:ascii="Lato" w:hAnsi="Lato" w:cs="Calibri"/>
          <w:sz w:val="20"/>
          <w:szCs w:val="20"/>
        </w:rPr>
        <w:t xml:space="preserve"> w </w:t>
      </w:r>
      <w:r w:rsidRPr="00404DA5">
        <w:rPr>
          <w:rFonts w:ascii="Lato" w:hAnsi="Lato" w:cs="Calibri"/>
          <w:sz w:val="20"/>
          <w:szCs w:val="20"/>
        </w:rPr>
        <w:t>aparaturę naukowo-badawczą;</w:t>
      </w:r>
    </w:p>
    <w:p w14:paraId="5DE81810" w14:textId="77777777" w:rsidR="00BA3B1C" w:rsidRPr="00404DA5" w:rsidRDefault="00BA3B1C" w:rsidP="00093E14">
      <w:pPr>
        <w:pStyle w:val="Akapitzlist"/>
        <w:numPr>
          <w:ilvl w:val="0"/>
          <w:numId w:val="43"/>
        </w:numPr>
        <w:spacing w:after="120" w:line="288" w:lineRule="auto"/>
        <w:rPr>
          <w:rFonts w:ascii="Lato" w:hAnsi="Lato" w:cs="Calibri"/>
          <w:sz w:val="20"/>
          <w:szCs w:val="20"/>
        </w:rPr>
      </w:pPr>
      <w:r w:rsidRPr="00404DA5">
        <w:rPr>
          <w:rFonts w:ascii="Lato" w:hAnsi="Lato" w:cs="Calibri"/>
          <w:sz w:val="20"/>
          <w:szCs w:val="20"/>
        </w:rPr>
        <w:t>obniżający się udział przedsiębiorstw innowacyjnych</w:t>
      </w:r>
      <w:r w:rsidR="00E66B89">
        <w:rPr>
          <w:rFonts w:ascii="Lato" w:hAnsi="Lato" w:cs="Calibri"/>
          <w:sz w:val="20"/>
          <w:szCs w:val="20"/>
        </w:rPr>
        <w:t xml:space="preserve"> w </w:t>
      </w:r>
      <w:r w:rsidRPr="00404DA5">
        <w:rPr>
          <w:rFonts w:ascii="Lato" w:hAnsi="Lato" w:cs="Calibri"/>
          <w:sz w:val="20"/>
          <w:szCs w:val="20"/>
        </w:rPr>
        <w:t>ogólnej liczbie przedsiębiorstw;</w:t>
      </w:r>
    </w:p>
    <w:p w14:paraId="2BF00464" w14:textId="77777777" w:rsidR="00BA3B1C" w:rsidRPr="00404DA5" w:rsidRDefault="00BA3B1C" w:rsidP="00093E14">
      <w:pPr>
        <w:pStyle w:val="Akapitzlist"/>
        <w:numPr>
          <w:ilvl w:val="0"/>
          <w:numId w:val="43"/>
        </w:numPr>
        <w:spacing w:after="120" w:line="288" w:lineRule="auto"/>
        <w:rPr>
          <w:rFonts w:ascii="Lato" w:hAnsi="Lato" w:cs="Calibri"/>
          <w:sz w:val="20"/>
          <w:szCs w:val="20"/>
        </w:rPr>
      </w:pPr>
      <w:r w:rsidRPr="00404DA5">
        <w:rPr>
          <w:rFonts w:ascii="Lato" w:hAnsi="Lato" w:cs="Calibri"/>
          <w:sz w:val="20"/>
          <w:szCs w:val="20"/>
        </w:rPr>
        <w:t>utrzymujący się na niższym niż ogólnopolski udział przychodów netto ze sprzedaży produktów innowacyjnych</w:t>
      </w:r>
      <w:r w:rsidR="00E66B89">
        <w:rPr>
          <w:rFonts w:ascii="Lato" w:hAnsi="Lato" w:cs="Calibri"/>
          <w:sz w:val="20"/>
          <w:szCs w:val="20"/>
        </w:rPr>
        <w:t xml:space="preserve"> w </w:t>
      </w:r>
      <w:r w:rsidRPr="00404DA5">
        <w:rPr>
          <w:rFonts w:ascii="Lato" w:hAnsi="Lato" w:cs="Calibri"/>
          <w:sz w:val="20"/>
          <w:szCs w:val="20"/>
        </w:rPr>
        <w:t>przedsiębiorstwach przemysłowych.</w:t>
      </w:r>
    </w:p>
    <w:p w14:paraId="31E53D5B" w14:textId="77777777" w:rsidR="00BA3B1C" w:rsidRDefault="00BA3B1C" w:rsidP="00BA3B1C">
      <w:r w:rsidRPr="00404DA5">
        <w:t>Zakres</w:t>
      </w:r>
      <w:r w:rsidR="00E66B89">
        <w:t xml:space="preserve"> i </w:t>
      </w:r>
      <w:r w:rsidRPr="00404DA5">
        <w:t>formy wsparcia przewidziane</w:t>
      </w:r>
      <w:r w:rsidR="00E66B89">
        <w:t xml:space="preserve"> w </w:t>
      </w:r>
      <w:r w:rsidRPr="00404DA5">
        <w:t>RPO</w:t>
      </w:r>
      <w:r w:rsidR="00E66B89">
        <w:t xml:space="preserve"> w </w:t>
      </w:r>
      <w:r>
        <w:t>obszarze</w:t>
      </w:r>
      <w:r w:rsidRPr="00404DA5">
        <w:t xml:space="preserve"> wsparcia innowacyjności</w:t>
      </w:r>
      <w:r w:rsidR="00E66B89">
        <w:t xml:space="preserve"> w</w:t>
      </w:r>
      <w:r w:rsidR="00C22C26">
        <w:t xml:space="preserve"> </w:t>
      </w:r>
      <w:r w:rsidRPr="00404DA5">
        <w:t>CT 1 trafnie odpowiadają na potrzeby regionalnej gospodarki</w:t>
      </w:r>
      <w:r>
        <w:t>. Jak pokazują dane statystyki publicznej, nie we wszystkich obszarach następują pożądane zmiany,</w:t>
      </w:r>
      <w:r w:rsidR="00E66B89">
        <w:t xml:space="preserve"> a </w:t>
      </w:r>
      <w:r>
        <w:t>największym problemem gospodarki Pomorza Zachodniego pozostaje niski poziom nakładów wewnętrznych na B+R, niski odsetek przedsiębiorstw innowacyjnych</w:t>
      </w:r>
      <w:r w:rsidR="00E66B89">
        <w:t xml:space="preserve"> i </w:t>
      </w:r>
      <w:r>
        <w:t>słabe wyposażenie</w:t>
      </w:r>
      <w:r w:rsidR="00E66B89">
        <w:t xml:space="preserve"> w </w:t>
      </w:r>
      <w:r>
        <w:t>aparaturę naukowo-badawczą</w:t>
      </w:r>
      <w:r w:rsidRPr="00404DA5">
        <w:t>. Zasadniczym problemem może być tu potencjał absorpcyjny podmiotów gospodarki regionu, który został poddany bliższej analizie</w:t>
      </w:r>
      <w:r w:rsidR="00E66B89">
        <w:t xml:space="preserve"> w </w:t>
      </w:r>
      <w:r w:rsidRPr="00404DA5">
        <w:t>dalszej części raportu.</w:t>
      </w:r>
    </w:p>
    <w:p w14:paraId="426F9B68" w14:textId="77777777" w:rsidR="00BA3B1C" w:rsidRPr="00F27A4E" w:rsidRDefault="00BA3B1C" w:rsidP="00BA3B1C">
      <w:pPr>
        <w:rPr>
          <w:rFonts w:cs="Calibri"/>
          <w:szCs w:val="20"/>
        </w:rPr>
      </w:pPr>
      <w:r w:rsidRPr="00F27A4E">
        <w:rPr>
          <w:rFonts w:cs="Calibri"/>
          <w:szCs w:val="20"/>
        </w:rPr>
        <w:t>Warto zrobić odniesienie do regionu Walia Zachodnia</w:t>
      </w:r>
      <w:r w:rsidR="00E66B89">
        <w:rPr>
          <w:rFonts w:cs="Calibri"/>
          <w:szCs w:val="20"/>
        </w:rPr>
        <w:t xml:space="preserve"> i </w:t>
      </w:r>
      <w:r w:rsidRPr="00F27A4E">
        <w:rPr>
          <w:rFonts w:cs="Calibri"/>
          <w:szCs w:val="20"/>
        </w:rPr>
        <w:t xml:space="preserve">Doliny, </w:t>
      </w:r>
      <w:r>
        <w:rPr>
          <w:rFonts w:cs="Calibri"/>
          <w:szCs w:val="20"/>
        </w:rPr>
        <w:t>który jak wcześniej wskazano,</w:t>
      </w:r>
      <w:r w:rsidR="00E66B89">
        <w:rPr>
          <w:rFonts w:cs="Calibri"/>
          <w:szCs w:val="20"/>
        </w:rPr>
        <w:t xml:space="preserve"> w </w:t>
      </w:r>
      <w:r w:rsidRPr="00F27A4E">
        <w:rPr>
          <w:rFonts w:cs="Calibri"/>
          <w:szCs w:val="20"/>
        </w:rPr>
        <w:t>obszarze CT 1 stał przed podobnym wyzwaniem niskich przychodów uzyskiwanych</w:t>
      </w:r>
      <w:r w:rsidR="00E66B89">
        <w:rPr>
          <w:rFonts w:cs="Calibri"/>
          <w:szCs w:val="20"/>
        </w:rPr>
        <w:t xml:space="preserve"> z </w:t>
      </w:r>
      <w:r w:rsidRPr="00F27A4E">
        <w:rPr>
          <w:rFonts w:cs="Calibri"/>
          <w:szCs w:val="20"/>
        </w:rPr>
        <w:t>działalności innowacyjnej. Drugą bolączką zdiagnozowaną na etapie programowania był niski poziom współpracy pomiędzy przedsiębiorstwami</w:t>
      </w:r>
      <w:r w:rsidR="00E66B89">
        <w:rPr>
          <w:rFonts w:cs="Calibri"/>
          <w:szCs w:val="20"/>
        </w:rPr>
        <w:t xml:space="preserve"> a </w:t>
      </w:r>
      <w:r w:rsidRPr="00F27A4E">
        <w:rPr>
          <w:rFonts w:cs="Calibri"/>
          <w:szCs w:val="20"/>
        </w:rPr>
        <w:t>jednostkami naukowymi (zaledwie 15% firm aktywnych innowacyjnie współpracowało</w:t>
      </w:r>
      <w:r w:rsidR="00E66B89">
        <w:rPr>
          <w:rFonts w:cs="Calibri"/>
          <w:szCs w:val="20"/>
        </w:rPr>
        <w:t xml:space="preserve"> w </w:t>
      </w:r>
      <w:r w:rsidRPr="00F27A4E">
        <w:rPr>
          <w:rFonts w:cs="Calibri"/>
          <w:szCs w:val="20"/>
        </w:rPr>
        <w:t>tamtym okresie</w:t>
      </w:r>
      <w:r w:rsidR="00E66B89">
        <w:rPr>
          <w:rFonts w:cs="Calibri"/>
          <w:szCs w:val="20"/>
        </w:rPr>
        <w:t xml:space="preserve"> z </w:t>
      </w:r>
      <w:r w:rsidRPr="00F27A4E">
        <w:rPr>
          <w:rFonts w:cs="Calibri"/>
          <w:szCs w:val="20"/>
        </w:rPr>
        <w:t xml:space="preserve">jednostkami naukowymi). </w:t>
      </w:r>
    </w:p>
    <w:p w14:paraId="4EA9CC55" w14:textId="77777777" w:rsidR="00BA3B1C" w:rsidRPr="00F27A4E" w:rsidRDefault="00BA3B1C" w:rsidP="00BA3B1C">
      <w:pPr>
        <w:rPr>
          <w:rFonts w:cs="Calibri"/>
          <w:szCs w:val="20"/>
        </w:rPr>
      </w:pPr>
      <w:r w:rsidRPr="00F27A4E">
        <w:rPr>
          <w:rFonts w:cs="Calibri"/>
          <w:szCs w:val="20"/>
        </w:rPr>
        <w:t>Tym wyzwaniom</w:t>
      </w:r>
      <w:r>
        <w:rPr>
          <w:rFonts w:cs="Calibri"/>
          <w:szCs w:val="20"/>
        </w:rPr>
        <w:t>,</w:t>
      </w:r>
      <w:r w:rsidR="00E66B89">
        <w:rPr>
          <w:rFonts w:cs="Calibri"/>
          <w:szCs w:val="20"/>
        </w:rPr>
        <w:t xml:space="preserve"> w </w:t>
      </w:r>
      <w:r>
        <w:rPr>
          <w:rFonts w:cs="Calibri"/>
          <w:szCs w:val="20"/>
        </w:rPr>
        <w:t xml:space="preserve">Regionalnym Programie Operacyjnym </w:t>
      </w:r>
      <w:r w:rsidRPr="00DD702D">
        <w:rPr>
          <w:rFonts w:cs="Calibri"/>
          <w:szCs w:val="20"/>
        </w:rPr>
        <w:t>regionu Walia Zachodnia</w:t>
      </w:r>
      <w:r w:rsidR="00E66B89">
        <w:rPr>
          <w:rFonts w:cs="Calibri"/>
          <w:szCs w:val="20"/>
        </w:rPr>
        <w:t xml:space="preserve"> i </w:t>
      </w:r>
      <w:r w:rsidRPr="00DD702D">
        <w:rPr>
          <w:rFonts w:cs="Calibri"/>
          <w:szCs w:val="20"/>
        </w:rPr>
        <w:t>Doliny</w:t>
      </w:r>
      <w:r>
        <w:rPr>
          <w:rFonts w:cs="Calibri"/>
          <w:szCs w:val="20"/>
        </w:rPr>
        <w:t>,</w:t>
      </w:r>
      <w:r w:rsidRPr="00F27A4E">
        <w:rPr>
          <w:rFonts w:cs="Calibri"/>
          <w:szCs w:val="20"/>
        </w:rPr>
        <w:t xml:space="preserve"> podporządkowano dobór instrumentów wsparcia.</w:t>
      </w:r>
      <w:r w:rsidR="00E66B89">
        <w:rPr>
          <w:rFonts w:cs="Calibri"/>
          <w:szCs w:val="20"/>
        </w:rPr>
        <w:t xml:space="preserve"> W </w:t>
      </w:r>
      <w:r w:rsidRPr="00F27A4E">
        <w:rPr>
          <w:rFonts w:cs="Calibri"/>
          <w:szCs w:val="20"/>
        </w:rPr>
        <w:t>zakresie PI 1b wśród wspieranych działań znalazły się:</w:t>
      </w:r>
    </w:p>
    <w:p w14:paraId="6310B3C4" w14:textId="77777777" w:rsidR="00BA3B1C" w:rsidRPr="00C052CC" w:rsidRDefault="00BA3B1C" w:rsidP="00093E14">
      <w:pPr>
        <w:pStyle w:val="Akapitzlist"/>
        <w:numPr>
          <w:ilvl w:val="0"/>
          <w:numId w:val="44"/>
        </w:numPr>
        <w:rPr>
          <w:rFonts w:cs="Calibri"/>
          <w:szCs w:val="20"/>
        </w:rPr>
      </w:pPr>
      <w:r w:rsidRPr="00C22C26">
        <w:rPr>
          <w:rFonts w:ascii="Lato" w:hAnsi="Lato"/>
          <w:sz w:val="20"/>
        </w:rPr>
        <w:t>wsparcie przedsiębiorstw</w:t>
      </w:r>
      <w:r w:rsidR="00E66B89">
        <w:rPr>
          <w:rFonts w:ascii="Lato" w:hAnsi="Lato"/>
          <w:sz w:val="20"/>
        </w:rPr>
        <w:t xml:space="preserve"> w </w:t>
      </w:r>
      <w:r w:rsidRPr="00C22C26">
        <w:rPr>
          <w:rFonts w:ascii="Lato" w:hAnsi="Lato"/>
          <w:sz w:val="20"/>
        </w:rPr>
        <w:t>podejmowaniu działalności innowacyjnej</w:t>
      </w:r>
      <w:r w:rsidR="00E66B89">
        <w:rPr>
          <w:rFonts w:ascii="Lato" w:hAnsi="Lato"/>
          <w:sz w:val="20"/>
        </w:rPr>
        <w:t xml:space="preserve"> i </w:t>
      </w:r>
      <w:r w:rsidRPr="00C22C26">
        <w:rPr>
          <w:rFonts w:ascii="Lato" w:hAnsi="Lato"/>
          <w:sz w:val="20"/>
        </w:rPr>
        <w:t>poprawa współpracy między nauką</w:t>
      </w:r>
      <w:r w:rsidR="00E66B89">
        <w:rPr>
          <w:rFonts w:ascii="Lato" w:hAnsi="Lato"/>
          <w:sz w:val="20"/>
        </w:rPr>
        <w:t xml:space="preserve"> a </w:t>
      </w:r>
      <w:r w:rsidRPr="00C22C26">
        <w:rPr>
          <w:rFonts w:ascii="Lato" w:hAnsi="Lato"/>
          <w:sz w:val="20"/>
        </w:rPr>
        <w:t>gospodarką</w:t>
      </w:r>
      <w:r>
        <w:rPr>
          <w:rFonts w:ascii="Lato" w:hAnsi="Lato"/>
          <w:sz w:val="20"/>
        </w:rPr>
        <w:t>;</w:t>
      </w:r>
    </w:p>
    <w:p w14:paraId="12CD4CB5" w14:textId="77777777" w:rsidR="00BA3B1C" w:rsidRPr="00C052CC" w:rsidRDefault="00BA3B1C" w:rsidP="00093E14">
      <w:pPr>
        <w:pStyle w:val="Akapitzlist"/>
        <w:numPr>
          <w:ilvl w:val="0"/>
          <w:numId w:val="44"/>
        </w:numPr>
        <w:rPr>
          <w:rFonts w:cs="Calibri"/>
          <w:szCs w:val="20"/>
        </w:rPr>
      </w:pPr>
      <w:r w:rsidRPr="00C22C26">
        <w:rPr>
          <w:rFonts w:ascii="Lato" w:hAnsi="Lato"/>
          <w:sz w:val="20"/>
        </w:rPr>
        <w:t>wsparcie dla likwidacji barier dla przedsiębiorstw</w:t>
      </w:r>
      <w:r>
        <w:rPr>
          <w:rFonts w:ascii="Lato" w:hAnsi="Lato"/>
          <w:sz w:val="20"/>
        </w:rPr>
        <w:t>;</w:t>
      </w:r>
    </w:p>
    <w:p w14:paraId="690481CF" w14:textId="77777777" w:rsidR="00BA3B1C" w:rsidRPr="00C052CC" w:rsidRDefault="00BA3B1C" w:rsidP="00093E14">
      <w:pPr>
        <w:pStyle w:val="Akapitzlist"/>
        <w:numPr>
          <w:ilvl w:val="0"/>
          <w:numId w:val="44"/>
        </w:numPr>
        <w:rPr>
          <w:rFonts w:cs="Calibri"/>
          <w:szCs w:val="20"/>
        </w:rPr>
      </w:pPr>
      <w:r w:rsidRPr="00C22C26">
        <w:rPr>
          <w:rFonts w:ascii="Lato" w:hAnsi="Lato"/>
          <w:sz w:val="20"/>
        </w:rPr>
        <w:t>finansowanie dla działań pilotażowych</w:t>
      </w:r>
      <w:r w:rsidR="00E66B89">
        <w:rPr>
          <w:rFonts w:ascii="Lato" w:hAnsi="Lato"/>
          <w:sz w:val="20"/>
        </w:rPr>
        <w:t xml:space="preserve"> o </w:t>
      </w:r>
      <w:r w:rsidRPr="00C22C26">
        <w:rPr>
          <w:rFonts w:ascii="Lato" w:hAnsi="Lato"/>
          <w:sz w:val="20"/>
        </w:rPr>
        <w:t>charakterze testującym</w:t>
      </w:r>
      <w:r w:rsidR="00E66B89">
        <w:rPr>
          <w:rFonts w:ascii="Lato" w:hAnsi="Lato"/>
          <w:sz w:val="20"/>
        </w:rPr>
        <w:t xml:space="preserve"> w </w:t>
      </w:r>
      <w:r w:rsidRPr="00C22C26">
        <w:rPr>
          <w:rFonts w:ascii="Lato" w:hAnsi="Lato"/>
          <w:sz w:val="20"/>
        </w:rPr>
        <w:t>odniesieniu do produktów, procesów lub usług</w:t>
      </w:r>
      <w:r w:rsidR="00E66B89">
        <w:rPr>
          <w:rFonts w:ascii="Lato" w:hAnsi="Lato"/>
          <w:sz w:val="20"/>
        </w:rPr>
        <w:t xml:space="preserve"> w </w:t>
      </w:r>
      <w:r w:rsidRPr="00C22C26">
        <w:rPr>
          <w:rFonts w:ascii="Lato" w:hAnsi="Lato"/>
          <w:sz w:val="20"/>
        </w:rPr>
        <w:t>obszarach wykazujących potencjał komercjalizacji</w:t>
      </w:r>
      <w:r>
        <w:rPr>
          <w:rFonts w:ascii="Lato" w:hAnsi="Lato"/>
          <w:sz w:val="20"/>
        </w:rPr>
        <w:t>;</w:t>
      </w:r>
    </w:p>
    <w:p w14:paraId="6CF4DC08" w14:textId="77777777" w:rsidR="00BA3B1C" w:rsidRPr="00C052CC" w:rsidRDefault="00BA3B1C" w:rsidP="00093E14">
      <w:pPr>
        <w:pStyle w:val="Akapitzlist"/>
        <w:numPr>
          <w:ilvl w:val="0"/>
          <w:numId w:val="44"/>
        </w:numPr>
        <w:rPr>
          <w:rFonts w:cs="Calibri"/>
          <w:szCs w:val="20"/>
        </w:rPr>
      </w:pPr>
      <w:r w:rsidRPr="00C22C26">
        <w:rPr>
          <w:rFonts w:ascii="Lato" w:hAnsi="Lato"/>
          <w:sz w:val="20"/>
        </w:rPr>
        <w:t>wsparcie dla rozwoju prototypów, działań pilotażowych, demonstracyjnych</w:t>
      </w:r>
      <w:r w:rsidR="00E66B89">
        <w:rPr>
          <w:rFonts w:ascii="Lato" w:hAnsi="Lato"/>
          <w:sz w:val="20"/>
        </w:rPr>
        <w:t xml:space="preserve"> i </w:t>
      </w:r>
      <w:r w:rsidRPr="00C22C26">
        <w:rPr>
          <w:rFonts w:ascii="Lato" w:hAnsi="Lato"/>
          <w:sz w:val="20"/>
        </w:rPr>
        <w:t>modeli postępowania,</w:t>
      </w:r>
    </w:p>
    <w:p w14:paraId="08AA0616" w14:textId="77777777" w:rsidR="00BA3B1C" w:rsidRPr="00C052CC" w:rsidRDefault="00BA3B1C" w:rsidP="00093E14">
      <w:pPr>
        <w:pStyle w:val="Akapitzlist"/>
        <w:numPr>
          <w:ilvl w:val="0"/>
          <w:numId w:val="44"/>
        </w:numPr>
        <w:rPr>
          <w:rFonts w:cs="Calibri"/>
          <w:szCs w:val="20"/>
        </w:rPr>
      </w:pPr>
      <w:r w:rsidRPr="00C22C26">
        <w:rPr>
          <w:rFonts w:ascii="Lato" w:hAnsi="Lato"/>
          <w:sz w:val="20"/>
        </w:rPr>
        <w:lastRenderedPageBreak/>
        <w:t>wsparcie dla rozwoju infrastruktury niskokosztowej dla firm (</w:t>
      </w:r>
      <w:r w:rsidRPr="00C22C26">
        <w:rPr>
          <w:rFonts w:ascii="Lato" w:hAnsi="Lato"/>
          <w:i/>
          <w:sz w:val="20"/>
        </w:rPr>
        <w:t>low-cost hubs</w:t>
      </w:r>
      <w:r w:rsidRPr="00C22C26">
        <w:rPr>
          <w:rFonts w:ascii="Lato" w:hAnsi="Lato"/>
          <w:sz w:val="20"/>
        </w:rPr>
        <w:t>) lub klastrów dla innowacyjnych przedsiębiorstw</w:t>
      </w:r>
      <w:r w:rsidR="00E66B89">
        <w:rPr>
          <w:rFonts w:ascii="Lato" w:hAnsi="Lato"/>
          <w:sz w:val="20"/>
        </w:rPr>
        <w:t xml:space="preserve"> i </w:t>
      </w:r>
      <w:r w:rsidRPr="00C22C26">
        <w:rPr>
          <w:rFonts w:ascii="Lato" w:hAnsi="Lato"/>
          <w:sz w:val="20"/>
        </w:rPr>
        <w:t>sektorów (np. infrastruktura wirtualna dla firm</w:t>
      </w:r>
      <w:r w:rsidR="00E66B89">
        <w:rPr>
          <w:rFonts w:ascii="Lato" w:hAnsi="Lato"/>
          <w:sz w:val="20"/>
        </w:rPr>
        <w:t xml:space="preserve"> z </w:t>
      </w:r>
      <w:r w:rsidRPr="00C22C26">
        <w:rPr>
          <w:rFonts w:ascii="Lato" w:hAnsi="Lato"/>
          <w:sz w:val="20"/>
        </w:rPr>
        <w:t>sektorów ICT, sektorów kreatywnych, turystyki)</w:t>
      </w:r>
      <w:r>
        <w:rPr>
          <w:rFonts w:ascii="Lato" w:hAnsi="Lato"/>
          <w:sz w:val="20"/>
        </w:rPr>
        <w:t>;</w:t>
      </w:r>
    </w:p>
    <w:p w14:paraId="7DB8321C" w14:textId="77777777" w:rsidR="00BA3B1C" w:rsidRPr="00C052CC" w:rsidRDefault="00BA3B1C" w:rsidP="00093E14">
      <w:pPr>
        <w:pStyle w:val="Akapitzlist"/>
        <w:numPr>
          <w:ilvl w:val="0"/>
          <w:numId w:val="44"/>
        </w:numPr>
        <w:rPr>
          <w:rFonts w:cs="Calibri"/>
          <w:szCs w:val="20"/>
        </w:rPr>
      </w:pPr>
      <w:r w:rsidRPr="00C22C26">
        <w:rPr>
          <w:rFonts w:ascii="Lato" w:hAnsi="Lato"/>
          <w:sz w:val="20"/>
        </w:rPr>
        <w:t>wsparcie rozwoju</w:t>
      </w:r>
      <w:r w:rsidR="00E66B89">
        <w:rPr>
          <w:rFonts w:ascii="Lato" w:hAnsi="Lato"/>
          <w:sz w:val="20"/>
        </w:rPr>
        <w:t xml:space="preserve"> i </w:t>
      </w:r>
      <w:r w:rsidRPr="00C22C26">
        <w:rPr>
          <w:rFonts w:ascii="Lato" w:hAnsi="Lato"/>
          <w:sz w:val="20"/>
        </w:rPr>
        <w:t>wprowadzenia na rynek innowacyjnych nowych zastosowań</w:t>
      </w:r>
      <w:r w:rsidR="00E66B89">
        <w:rPr>
          <w:rFonts w:ascii="Lato" w:hAnsi="Lato"/>
          <w:sz w:val="20"/>
        </w:rPr>
        <w:t xml:space="preserve"> i </w:t>
      </w:r>
      <w:r w:rsidRPr="00C22C26">
        <w:rPr>
          <w:rFonts w:ascii="Lato" w:hAnsi="Lato"/>
          <w:sz w:val="20"/>
        </w:rPr>
        <w:t>dostosowań do wymogów nowych rynków istniejących technologii, procesów lub usług</w:t>
      </w:r>
      <w:r>
        <w:rPr>
          <w:rFonts w:ascii="Lato" w:hAnsi="Lato"/>
          <w:sz w:val="20"/>
        </w:rPr>
        <w:t>;</w:t>
      </w:r>
    </w:p>
    <w:p w14:paraId="1E675E40" w14:textId="77777777" w:rsidR="00BA3B1C" w:rsidRPr="00C052CC" w:rsidRDefault="00BA3B1C" w:rsidP="00093E14">
      <w:pPr>
        <w:pStyle w:val="Akapitzlist"/>
        <w:numPr>
          <w:ilvl w:val="0"/>
          <w:numId w:val="44"/>
        </w:numPr>
        <w:rPr>
          <w:rFonts w:cs="Calibri"/>
          <w:szCs w:val="20"/>
        </w:rPr>
      </w:pPr>
      <w:r w:rsidRPr="00C22C26">
        <w:rPr>
          <w:rFonts w:ascii="Lato" w:hAnsi="Lato"/>
          <w:sz w:val="20"/>
        </w:rPr>
        <w:t>komercjalizacja, ochrona</w:t>
      </w:r>
      <w:r w:rsidR="00E66B89">
        <w:rPr>
          <w:rFonts w:ascii="Lato" w:hAnsi="Lato"/>
          <w:sz w:val="20"/>
        </w:rPr>
        <w:t xml:space="preserve"> i </w:t>
      </w:r>
      <w:r w:rsidRPr="00C22C26">
        <w:rPr>
          <w:rFonts w:ascii="Lato" w:hAnsi="Lato"/>
          <w:sz w:val="20"/>
        </w:rPr>
        <w:t>wykorzystanie wyników badań (łącznie</w:t>
      </w:r>
      <w:r w:rsidR="00E66B89">
        <w:rPr>
          <w:rFonts w:ascii="Lato" w:hAnsi="Lato"/>
          <w:sz w:val="20"/>
        </w:rPr>
        <w:t xml:space="preserve"> z </w:t>
      </w:r>
      <w:r w:rsidRPr="00C22C26">
        <w:rPr>
          <w:rFonts w:ascii="Lato" w:hAnsi="Lato"/>
          <w:sz w:val="20"/>
        </w:rPr>
        <w:t>badaniami stosowanymi podnoszącymi gotowość rynkową)</w:t>
      </w:r>
      <w:r>
        <w:rPr>
          <w:rFonts w:ascii="Lato" w:hAnsi="Lato"/>
          <w:sz w:val="20"/>
        </w:rPr>
        <w:t>;</w:t>
      </w:r>
    </w:p>
    <w:p w14:paraId="7E977D4F" w14:textId="77777777" w:rsidR="00BA3B1C" w:rsidRPr="00C052CC" w:rsidRDefault="00BA3B1C" w:rsidP="00093E14">
      <w:pPr>
        <w:pStyle w:val="Akapitzlist"/>
        <w:numPr>
          <w:ilvl w:val="0"/>
          <w:numId w:val="44"/>
        </w:numPr>
        <w:rPr>
          <w:rFonts w:cs="Calibri"/>
          <w:szCs w:val="20"/>
        </w:rPr>
      </w:pPr>
      <w:r w:rsidRPr="00C22C26">
        <w:rPr>
          <w:rFonts w:ascii="Lato" w:hAnsi="Lato"/>
          <w:sz w:val="20"/>
        </w:rPr>
        <w:t>poprawa współpracy przedsiębiorstw</w:t>
      </w:r>
      <w:r w:rsidR="00E66B89">
        <w:rPr>
          <w:rFonts w:ascii="Lato" w:hAnsi="Lato"/>
          <w:sz w:val="20"/>
        </w:rPr>
        <w:t xml:space="preserve"> z </w:t>
      </w:r>
      <w:r w:rsidRPr="00C22C26">
        <w:rPr>
          <w:rFonts w:ascii="Lato" w:hAnsi="Lato"/>
          <w:sz w:val="20"/>
        </w:rPr>
        <w:t>jednostkami naukowymi</w:t>
      </w:r>
      <w:r>
        <w:rPr>
          <w:rFonts w:ascii="Lato" w:hAnsi="Lato"/>
          <w:sz w:val="20"/>
        </w:rPr>
        <w:t>;</w:t>
      </w:r>
    </w:p>
    <w:p w14:paraId="14AF4B85" w14:textId="77777777" w:rsidR="00BA3B1C" w:rsidRPr="00C052CC" w:rsidRDefault="00BA3B1C" w:rsidP="00093E14">
      <w:pPr>
        <w:pStyle w:val="Akapitzlist"/>
        <w:numPr>
          <w:ilvl w:val="0"/>
          <w:numId w:val="44"/>
        </w:numPr>
        <w:rPr>
          <w:rFonts w:cs="Calibri"/>
          <w:szCs w:val="20"/>
        </w:rPr>
      </w:pPr>
      <w:r w:rsidRPr="00C22C26">
        <w:rPr>
          <w:rFonts w:ascii="Lato" w:hAnsi="Lato"/>
          <w:sz w:val="20"/>
        </w:rPr>
        <w:t>wsparcie dla rozwoju klastrów</w:t>
      </w:r>
      <w:r w:rsidR="00E66B89">
        <w:rPr>
          <w:rFonts w:ascii="Lato" w:hAnsi="Lato"/>
          <w:sz w:val="20"/>
        </w:rPr>
        <w:t xml:space="preserve"> w </w:t>
      </w:r>
      <w:r w:rsidRPr="00C22C26">
        <w:rPr>
          <w:rFonts w:ascii="Lato" w:hAnsi="Lato"/>
          <w:sz w:val="20"/>
        </w:rPr>
        <w:t>obszarach inteligentnych specjalizacji ukierunkowanych na komercyjne wykorzystanie wyników badań</w:t>
      </w:r>
      <w:r w:rsidR="00E66B89">
        <w:rPr>
          <w:rFonts w:ascii="Lato" w:hAnsi="Lato"/>
          <w:sz w:val="20"/>
        </w:rPr>
        <w:t xml:space="preserve"> i </w:t>
      </w:r>
      <w:r w:rsidRPr="00C22C26">
        <w:rPr>
          <w:rFonts w:ascii="Lato" w:hAnsi="Lato"/>
          <w:sz w:val="20"/>
        </w:rPr>
        <w:t>innowacji</w:t>
      </w:r>
      <w:r>
        <w:rPr>
          <w:rFonts w:ascii="Lato" w:hAnsi="Lato"/>
          <w:sz w:val="20"/>
        </w:rPr>
        <w:t>;</w:t>
      </w:r>
    </w:p>
    <w:p w14:paraId="23F0DEB2" w14:textId="77777777" w:rsidR="00BA3B1C" w:rsidRPr="00C052CC" w:rsidRDefault="00BA3B1C" w:rsidP="00093E14">
      <w:pPr>
        <w:pStyle w:val="Akapitzlist"/>
        <w:numPr>
          <w:ilvl w:val="0"/>
          <w:numId w:val="44"/>
        </w:numPr>
        <w:rPr>
          <w:rFonts w:cs="Calibri"/>
          <w:szCs w:val="20"/>
        </w:rPr>
      </w:pPr>
      <w:r w:rsidRPr="00C22C26">
        <w:rPr>
          <w:rFonts w:ascii="Lato" w:hAnsi="Lato"/>
          <w:sz w:val="20"/>
        </w:rPr>
        <w:t>inwestycje</w:t>
      </w:r>
      <w:r w:rsidR="00E66B89">
        <w:rPr>
          <w:rFonts w:ascii="Lato" w:hAnsi="Lato"/>
          <w:sz w:val="20"/>
        </w:rPr>
        <w:t xml:space="preserve"> w </w:t>
      </w:r>
      <w:r w:rsidRPr="00C22C26">
        <w:rPr>
          <w:rFonts w:ascii="Lato" w:hAnsi="Lato"/>
          <w:sz w:val="20"/>
        </w:rPr>
        <w:t>zaawansowaną infrastrukturę produkcyjną</w:t>
      </w:r>
      <w:r>
        <w:rPr>
          <w:rFonts w:ascii="Lato" w:hAnsi="Lato"/>
          <w:sz w:val="20"/>
        </w:rPr>
        <w:t>;</w:t>
      </w:r>
    </w:p>
    <w:p w14:paraId="6A9C2109" w14:textId="77777777" w:rsidR="00BA3B1C" w:rsidRPr="00C052CC" w:rsidRDefault="00BA3B1C" w:rsidP="00093E14">
      <w:pPr>
        <w:pStyle w:val="Akapitzlist"/>
        <w:numPr>
          <w:ilvl w:val="0"/>
          <w:numId w:val="44"/>
        </w:numPr>
        <w:rPr>
          <w:rFonts w:cs="Calibri"/>
          <w:szCs w:val="20"/>
        </w:rPr>
      </w:pPr>
      <w:r w:rsidRPr="00C22C26">
        <w:rPr>
          <w:rFonts w:ascii="Lato" w:hAnsi="Lato"/>
          <w:sz w:val="20"/>
        </w:rPr>
        <w:t>wykorzystanie bonów na innowacje</w:t>
      </w:r>
      <w:r w:rsidR="00E66B89">
        <w:rPr>
          <w:rFonts w:ascii="Lato" w:hAnsi="Lato"/>
          <w:sz w:val="20"/>
        </w:rPr>
        <w:t xml:space="preserve"> w </w:t>
      </w:r>
      <w:r w:rsidRPr="00C22C26">
        <w:rPr>
          <w:rFonts w:ascii="Lato" w:hAnsi="Lato"/>
          <w:sz w:val="20"/>
        </w:rPr>
        <w:t>obszarze ICT.</w:t>
      </w:r>
    </w:p>
    <w:p w14:paraId="02AC5653" w14:textId="77777777" w:rsidR="00BA3B1C" w:rsidRDefault="00BA3B1C" w:rsidP="00BA3B1C">
      <w:pPr>
        <w:rPr>
          <w:rFonts w:cs="Calibri"/>
          <w:szCs w:val="20"/>
        </w:rPr>
      </w:pPr>
      <w:r>
        <w:rPr>
          <w:rFonts w:cs="Calibri"/>
          <w:szCs w:val="20"/>
        </w:rPr>
        <w:t>Spośród stosowanych</w:t>
      </w:r>
      <w:r w:rsidR="00E66B89">
        <w:rPr>
          <w:rFonts w:cs="Calibri"/>
          <w:szCs w:val="20"/>
        </w:rPr>
        <w:t xml:space="preserve"> w </w:t>
      </w:r>
      <w:r>
        <w:rPr>
          <w:rFonts w:cs="Calibri"/>
          <w:szCs w:val="20"/>
        </w:rPr>
        <w:t xml:space="preserve">regionie </w:t>
      </w:r>
      <w:r w:rsidRPr="00DD702D">
        <w:rPr>
          <w:rFonts w:cs="Calibri"/>
          <w:szCs w:val="20"/>
        </w:rPr>
        <w:t>Walia Zachodnia</w:t>
      </w:r>
      <w:r w:rsidR="00E66B89">
        <w:rPr>
          <w:rFonts w:cs="Calibri"/>
          <w:szCs w:val="20"/>
        </w:rPr>
        <w:t xml:space="preserve"> i </w:t>
      </w:r>
      <w:r w:rsidRPr="00DD702D">
        <w:rPr>
          <w:rFonts w:cs="Calibri"/>
          <w:szCs w:val="20"/>
        </w:rPr>
        <w:t>Doliny</w:t>
      </w:r>
      <w:r>
        <w:rPr>
          <w:rFonts w:cs="Calibri"/>
          <w:szCs w:val="20"/>
        </w:rPr>
        <w:t xml:space="preserve"> instrumentów interwencji ukierunkowanych na: rozwój współpracy pomiędzy środowiskiem naukowym</w:t>
      </w:r>
      <w:r w:rsidR="00E66B89">
        <w:rPr>
          <w:rFonts w:cs="Calibri"/>
          <w:szCs w:val="20"/>
        </w:rPr>
        <w:t xml:space="preserve"> a </w:t>
      </w:r>
      <w:r>
        <w:rPr>
          <w:rFonts w:cs="Calibri"/>
          <w:szCs w:val="20"/>
        </w:rPr>
        <w:t xml:space="preserve">gospodarką oraz zwiększenie </w:t>
      </w:r>
      <w:r w:rsidRPr="00AA2EDF">
        <w:rPr>
          <w:rFonts w:cs="Calibri"/>
          <w:szCs w:val="20"/>
        </w:rPr>
        <w:t>przychodów uzyskiwanych</w:t>
      </w:r>
      <w:r w:rsidR="00E66B89">
        <w:rPr>
          <w:rFonts w:cs="Calibri"/>
          <w:szCs w:val="20"/>
        </w:rPr>
        <w:t xml:space="preserve"> z </w:t>
      </w:r>
      <w:r w:rsidRPr="00AA2EDF">
        <w:rPr>
          <w:rFonts w:cs="Calibri"/>
          <w:szCs w:val="20"/>
        </w:rPr>
        <w:t>działalności innowacyjnej</w:t>
      </w:r>
      <w:r>
        <w:rPr>
          <w:rFonts w:cs="Calibri"/>
          <w:szCs w:val="20"/>
        </w:rPr>
        <w:t>, warto zwrócić szczególną uwagę na działania</w:t>
      </w:r>
      <w:r w:rsidR="00E66B89">
        <w:rPr>
          <w:rFonts w:cs="Calibri"/>
          <w:szCs w:val="20"/>
        </w:rPr>
        <w:t xml:space="preserve"> w </w:t>
      </w:r>
      <w:r>
        <w:rPr>
          <w:rFonts w:cs="Calibri"/>
          <w:szCs w:val="20"/>
        </w:rPr>
        <w:t>zakresie polityki klastrowej, nieobecne</w:t>
      </w:r>
      <w:r w:rsidR="00E66B89">
        <w:rPr>
          <w:rFonts w:cs="Calibri"/>
          <w:szCs w:val="20"/>
        </w:rPr>
        <w:t xml:space="preserve"> w </w:t>
      </w:r>
      <w:r>
        <w:rPr>
          <w:rFonts w:cs="Calibri"/>
          <w:szCs w:val="20"/>
        </w:rPr>
        <w:t>RPO WZ 2014-2020. Pozytywne doświadczenia dotyczące działalności klastrów były argumentem za kontynuowaniem ich wsparcia</w:t>
      </w:r>
      <w:r w:rsidR="00E66B89">
        <w:rPr>
          <w:rFonts w:cs="Calibri"/>
          <w:szCs w:val="20"/>
        </w:rPr>
        <w:t xml:space="preserve"> w </w:t>
      </w:r>
      <w:r>
        <w:rPr>
          <w:rFonts w:cs="Calibri"/>
          <w:szCs w:val="20"/>
        </w:rPr>
        <w:t xml:space="preserve">regionie. </w:t>
      </w:r>
    </w:p>
    <w:p w14:paraId="287871E4" w14:textId="77777777" w:rsidR="00BA3B1C" w:rsidRPr="00F27A4E" w:rsidRDefault="00BA3B1C" w:rsidP="00BA3B1C">
      <w:pPr>
        <w:rPr>
          <w:rFonts w:cs="Calibri"/>
          <w:szCs w:val="20"/>
        </w:rPr>
      </w:pPr>
      <w:r w:rsidRPr="00F27A4E">
        <w:rPr>
          <w:rFonts w:cs="Calibri"/>
          <w:szCs w:val="20"/>
        </w:rPr>
        <w:t>W zakresie PI 1a interwencję ukierunkowano na realizację dwóch celów: tworzenie potencjału badawczego oraz tworzenie potencjału do likwidacji barier</w:t>
      </w:r>
      <w:r w:rsidR="00E66B89">
        <w:rPr>
          <w:rFonts w:cs="Calibri"/>
          <w:szCs w:val="20"/>
        </w:rPr>
        <w:t xml:space="preserve"> w </w:t>
      </w:r>
      <w:r w:rsidRPr="00F27A4E">
        <w:rPr>
          <w:rFonts w:cs="Calibri"/>
          <w:szCs w:val="20"/>
        </w:rPr>
        <w:t>dostępie do konkurencyjnych instrumentów finansowania badań (tworzenia sieci, poszukiwań partnerów międzynarodowych, nowych sposobów postępowania).</w:t>
      </w:r>
      <w:r w:rsidR="00E66B89">
        <w:rPr>
          <w:rFonts w:cs="Calibri"/>
          <w:szCs w:val="20"/>
        </w:rPr>
        <w:t xml:space="preserve"> W </w:t>
      </w:r>
      <w:r w:rsidRPr="00F27A4E">
        <w:rPr>
          <w:rFonts w:cs="Calibri"/>
          <w:szCs w:val="20"/>
        </w:rPr>
        <w:t>odniesieniu do pierwszego</w:t>
      </w:r>
      <w:r w:rsidR="00E66B89">
        <w:rPr>
          <w:rFonts w:cs="Calibri"/>
          <w:szCs w:val="20"/>
        </w:rPr>
        <w:t xml:space="preserve"> z </w:t>
      </w:r>
      <w:r w:rsidRPr="00F27A4E">
        <w:rPr>
          <w:rFonts w:cs="Calibri"/>
          <w:szCs w:val="20"/>
        </w:rPr>
        <w:t>tych celów wśród działań objętych wsparciem znalazły się:</w:t>
      </w:r>
    </w:p>
    <w:p w14:paraId="2FB5F31A" w14:textId="77777777" w:rsidR="00BA3B1C" w:rsidRPr="00C052CC" w:rsidRDefault="00BA3B1C" w:rsidP="00093E14">
      <w:pPr>
        <w:pStyle w:val="Akapitzlist"/>
        <w:numPr>
          <w:ilvl w:val="0"/>
          <w:numId w:val="45"/>
        </w:numPr>
        <w:rPr>
          <w:rFonts w:cs="Calibri"/>
          <w:szCs w:val="20"/>
        </w:rPr>
      </w:pPr>
      <w:r w:rsidRPr="00C22C26">
        <w:rPr>
          <w:rFonts w:ascii="Lato" w:hAnsi="Lato"/>
          <w:sz w:val="20"/>
        </w:rPr>
        <w:t>tworzenie</w:t>
      </w:r>
      <w:r w:rsidR="00E66B89">
        <w:rPr>
          <w:rFonts w:ascii="Lato" w:hAnsi="Lato"/>
          <w:sz w:val="20"/>
        </w:rPr>
        <w:t xml:space="preserve"> i </w:t>
      </w:r>
      <w:r w:rsidRPr="00C22C26">
        <w:rPr>
          <w:rFonts w:ascii="Lato" w:hAnsi="Lato"/>
          <w:sz w:val="20"/>
        </w:rPr>
        <w:t>rozwój centrów doskonałości</w:t>
      </w:r>
      <w:r>
        <w:rPr>
          <w:rFonts w:ascii="Lato" w:hAnsi="Lato"/>
          <w:sz w:val="20"/>
        </w:rPr>
        <w:t>;</w:t>
      </w:r>
    </w:p>
    <w:p w14:paraId="723BEA8F" w14:textId="77777777" w:rsidR="00BA3B1C" w:rsidRPr="00C052CC" w:rsidRDefault="00BA3B1C" w:rsidP="00093E14">
      <w:pPr>
        <w:pStyle w:val="Akapitzlist"/>
        <w:numPr>
          <w:ilvl w:val="0"/>
          <w:numId w:val="45"/>
        </w:numPr>
        <w:rPr>
          <w:rFonts w:cs="Calibri"/>
          <w:szCs w:val="20"/>
        </w:rPr>
      </w:pPr>
      <w:r w:rsidRPr="00C22C26">
        <w:rPr>
          <w:rFonts w:ascii="Lato" w:hAnsi="Lato"/>
          <w:sz w:val="20"/>
        </w:rPr>
        <w:t>wsparcie rozwoju klastrów poprzez rozwój infrastruktury</w:t>
      </w:r>
      <w:r w:rsidR="00E66B89">
        <w:rPr>
          <w:rFonts w:ascii="Lato" w:hAnsi="Lato"/>
          <w:sz w:val="20"/>
        </w:rPr>
        <w:t xml:space="preserve"> i </w:t>
      </w:r>
      <w:r w:rsidRPr="00C22C26">
        <w:rPr>
          <w:rFonts w:ascii="Lato" w:hAnsi="Lato"/>
          <w:sz w:val="20"/>
        </w:rPr>
        <w:t>łańcuchów dostaw</w:t>
      </w:r>
      <w:r>
        <w:rPr>
          <w:rFonts w:ascii="Lato" w:hAnsi="Lato"/>
          <w:sz w:val="20"/>
        </w:rPr>
        <w:t>;</w:t>
      </w:r>
    </w:p>
    <w:p w14:paraId="7FA2600A" w14:textId="77777777" w:rsidR="00BA3B1C" w:rsidRPr="00C052CC" w:rsidRDefault="00BA3B1C" w:rsidP="00093E14">
      <w:pPr>
        <w:pStyle w:val="Akapitzlist"/>
        <w:numPr>
          <w:ilvl w:val="0"/>
          <w:numId w:val="45"/>
        </w:numPr>
        <w:rPr>
          <w:rFonts w:cs="Calibri"/>
          <w:szCs w:val="20"/>
        </w:rPr>
      </w:pPr>
      <w:r w:rsidRPr="00C22C26">
        <w:rPr>
          <w:rFonts w:ascii="Lato" w:hAnsi="Lato"/>
          <w:sz w:val="20"/>
        </w:rPr>
        <w:t>wsparcie badań stosowanych, rozwój prototypów</w:t>
      </w:r>
      <w:r>
        <w:rPr>
          <w:rFonts w:ascii="Lato" w:hAnsi="Lato"/>
          <w:sz w:val="20"/>
        </w:rPr>
        <w:t>;</w:t>
      </w:r>
    </w:p>
    <w:p w14:paraId="134B55A6" w14:textId="77777777" w:rsidR="00BA3B1C" w:rsidRPr="00C052CC" w:rsidRDefault="00BA3B1C" w:rsidP="00093E14">
      <w:pPr>
        <w:pStyle w:val="Akapitzlist"/>
        <w:numPr>
          <w:ilvl w:val="0"/>
          <w:numId w:val="45"/>
        </w:numPr>
        <w:rPr>
          <w:rFonts w:cs="Calibri"/>
          <w:szCs w:val="20"/>
        </w:rPr>
      </w:pPr>
      <w:r w:rsidRPr="00C22C26">
        <w:rPr>
          <w:rFonts w:ascii="Lato" w:hAnsi="Lato"/>
          <w:sz w:val="20"/>
        </w:rPr>
        <w:t>wsparcie dla współpracy</w:t>
      </w:r>
      <w:r w:rsidR="00E66B89">
        <w:rPr>
          <w:rFonts w:ascii="Lato" w:hAnsi="Lato"/>
          <w:sz w:val="20"/>
        </w:rPr>
        <w:t xml:space="preserve"> i </w:t>
      </w:r>
      <w:r w:rsidRPr="00C22C26">
        <w:rPr>
          <w:rFonts w:ascii="Lato" w:hAnsi="Lato"/>
          <w:sz w:val="20"/>
        </w:rPr>
        <w:t>rozwoju sieci,</w:t>
      </w:r>
      <w:r w:rsidR="00E66B89">
        <w:rPr>
          <w:rFonts w:ascii="Lato" w:hAnsi="Lato"/>
          <w:sz w:val="20"/>
        </w:rPr>
        <w:t xml:space="preserve"> w </w:t>
      </w:r>
      <w:r w:rsidRPr="00C22C26">
        <w:rPr>
          <w:rFonts w:ascii="Lato" w:hAnsi="Lato"/>
          <w:sz w:val="20"/>
        </w:rPr>
        <w:t>szczególności powiązań gospodarczych</w:t>
      </w:r>
      <w:r w:rsidR="00E66B89">
        <w:rPr>
          <w:rFonts w:ascii="Lato" w:hAnsi="Lato"/>
          <w:sz w:val="20"/>
        </w:rPr>
        <w:t xml:space="preserve"> i </w:t>
      </w:r>
      <w:r w:rsidRPr="00C22C26">
        <w:rPr>
          <w:rFonts w:ascii="Lato" w:hAnsi="Lato"/>
          <w:sz w:val="20"/>
        </w:rPr>
        <w:t>międzynarodowych</w:t>
      </w:r>
      <w:r>
        <w:rPr>
          <w:rFonts w:ascii="Lato" w:hAnsi="Lato"/>
          <w:sz w:val="20"/>
        </w:rPr>
        <w:t>;</w:t>
      </w:r>
    </w:p>
    <w:p w14:paraId="4C217814" w14:textId="77777777" w:rsidR="00BA3B1C" w:rsidRPr="00C052CC" w:rsidRDefault="00BA3B1C" w:rsidP="00093E14">
      <w:pPr>
        <w:pStyle w:val="Akapitzlist"/>
        <w:numPr>
          <w:ilvl w:val="0"/>
          <w:numId w:val="45"/>
        </w:numPr>
        <w:rPr>
          <w:rFonts w:cs="Calibri"/>
          <w:szCs w:val="20"/>
        </w:rPr>
      </w:pPr>
      <w:r w:rsidRPr="00C22C26">
        <w:rPr>
          <w:rFonts w:ascii="Lato" w:hAnsi="Lato"/>
          <w:sz w:val="20"/>
        </w:rPr>
        <w:t>inwestycje</w:t>
      </w:r>
      <w:r w:rsidR="00E66B89">
        <w:rPr>
          <w:rFonts w:ascii="Lato" w:hAnsi="Lato"/>
          <w:sz w:val="20"/>
        </w:rPr>
        <w:t xml:space="preserve"> w </w:t>
      </w:r>
      <w:r w:rsidRPr="00C22C26">
        <w:rPr>
          <w:rFonts w:ascii="Lato" w:hAnsi="Lato"/>
          <w:sz w:val="20"/>
        </w:rPr>
        <w:t>technologie</w:t>
      </w:r>
      <w:r w:rsidR="00E66B89">
        <w:rPr>
          <w:rFonts w:ascii="Lato" w:hAnsi="Lato"/>
          <w:sz w:val="20"/>
        </w:rPr>
        <w:t xml:space="preserve"> i w </w:t>
      </w:r>
      <w:r w:rsidRPr="00C22C26">
        <w:rPr>
          <w:rFonts w:ascii="Lato" w:hAnsi="Lato"/>
          <w:sz w:val="20"/>
        </w:rPr>
        <w:t>zakresie transferu technologii</w:t>
      </w:r>
      <w:r>
        <w:rPr>
          <w:rFonts w:ascii="Lato" w:hAnsi="Lato"/>
          <w:sz w:val="20"/>
        </w:rPr>
        <w:t>;</w:t>
      </w:r>
    </w:p>
    <w:p w14:paraId="3B0868A3" w14:textId="77777777" w:rsidR="00BA3B1C" w:rsidRPr="00C052CC" w:rsidRDefault="00BA3B1C" w:rsidP="00093E14">
      <w:pPr>
        <w:pStyle w:val="Akapitzlist"/>
        <w:numPr>
          <w:ilvl w:val="0"/>
          <w:numId w:val="45"/>
        </w:numPr>
        <w:rPr>
          <w:rFonts w:cs="Calibri"/>
          <w:szCs w:val="20"/>
        </w:rPr>
      </w:pPr>
      <w:r w:rsidRPr="00C22C26">
        <w:rPr>
          <w:rFonts w:ascii="Lato" w:hAnsi="Lato"/>
          <w:sz w:val="20"/>
        </w:rPr>
        <w:t>wsparcie dla tworzenia partnerstw</w:t>
      </w:r>
      <w:r>
        <w:rPr>
          <w:rFonts w:ascii="Lato" w:hAnsi="Lato"/>
          <w:sz w:val="20"/>
        </w:rPr>
        <w:t>;</w:t>
      </w:r>
    </w:p>
    <w:p w14:paraId="4CA31918" w14:textId="77777777" w:rsidR="00BA3B1C" w:rsidRPr="00C052CC" w:rsidRDefault="00BA3B1C" w:rsidP="00093E14">
      <w:pPr>
        <w:pStyle w:val="Akapitzlist"/>
        <w:numPr>
          <w:ilvl w:val="0"/>
          <w:numId w:val="45"/>
        </w:numPr>
        <w:rPr>
          <w:rFonts w:cs="Calibri"/>
          <w:szCs w:val="20"/>
        </w:rPr>
      </w:pPr>
      <w:r w:rsidRPr="00C22C26">
        <w:rPr>
          <w:rFonts w:ascii="Lato" w:hAnsi="Lato"/>
          <w:sz w:val="20"/>
        </w:rPr>
        <w:t>wsparcie więzi</w:t>
      </w:r>
      <w:r w:rsidR="00E66B89">
        <w:rPr>
          <w:rFonts w:ascii="Lato" w:hAnsi="Lato"/>
          <w:sz w:val="20"/>
        </w:rPr>
        <w:t xml:space="preserve"> z </w:t>
      </w:r>
      <w:r w:rsidRPr="00C22C26">
        <w:rPr>
          <w:rFonts w:ascii="Lato" w:hAnsi="Lato"/>
          <w:sz w:val="20"/>
        </w:rPr>
        <w:t>podmiotami zewnętrznymi.</w:t>
      </w:r>
    </w:p>
    <w:p w14:paraId="28068C6E" w14:textId="77777777" w:rsidR="00BA3B1C" w:rsidRDefault="00BA3B1C" w:rsidP="00BA3B1C">
      <w:pPr>
        <w:rPr>
          <w:rFonts w:cs="Calibri"/>
          <w:szCs w:val="20"/>
        </w:rPr>
      </w:pPr>
      <w:r w:rsidRPr="00F27A4E">
        <w:rPr>
          <w:rFonts w:cs="Calibri"/>
          <w:szCs w:val="20"/>
        </w:rPr>
        <w:t>Dla interwencji</w:t>
      </w:r>
      <w:r w:rsidR="00E66B89">
        <w:rPr>
          <w:rFonts w:cs="Calibri"/>
          <w:szCs w:val="20"/>
        </w:rPr>
        <w:t xml:space="preserve"> w </w:t>
      </w:r>
      <w:r w:rsidRPr="00F27A4E">
        <w:rPr>
          <w:rFonts w:cs="Calibri"/>
          <w:szCs w:val="20"/>
        </w:rPr>
        <w:t>obszarze PI 1a wprowadzono wymóg, że wszystkie inwestycje muszą się koncentrować na dziedzinach</w:t>
      </w:r>
      <w:r>
        <w:rPr>
          <w:rFonts w:cs="Calibri"/>
          <w:szCs w:val="20"/>
        </w:rPr>
        <w:t xml:space="preserve"> identyfikowanych jako posiadające </w:t>
      </w:r>
      <w:r w:rsidRPr="00F27A4E">
        <w:rPr>
          <w:rFonts w:cs="Calibri"/>
          <w:szCs w:val="20"/>
        </w:rPr>
        <w:t>potencja</w:t>
      </w:r>
      <w:r>
        <w:rPr>
          <w:rFonts w:cs="Calibri"/>
          <w:szCs w:val="20"/>
        </w:rPr>
        <w:t>ł</w:t>
      </w:r>
      <w:r w:rsidRPr="00F27A4E">
        <w:rPr>
          <w:rFonts w:cs="Calibri"/>
          <w:szCs w:val="20"/>
        </w:rPr>
        <w:t xml:space="preserve"> do rozwoju lub wzmocnieni</w:t>
      </w:r>
      <w:r>
        <w:rPr>
          <w:rFonts w:cs="Calibri"/>
          <w:szCs w:val="20"/>
        </w:rPr>
        <w:t>a</w:t>
      </w:r>
      <w:r w:rsidRPr="00F27A4E">
        <w:rPr>
          <w:rFonts w:cs="Calibri"/>
          <w:szCs w:val="20"/>
        </w:rPr>
        <w:t xml:space="preserve"> doskonałości</w:t>
      </w:r>
      <w:r w:rsidR="00E66B89">
        <w:rPr>
          <w:rFonts w:cs="Calibri"/>
          <w:szCs w:val="20"/>
        </w:rPr>
        <w:t xml:space="preserve"> w </w:t>
      </w:r>
      <w:r w:rsidRPr="00F27A4E">
        <w:rPr>
          <w:rFonts w:cs="Calibri"/>
          <w:szCs w:val="20"/>
        </w:rPr>
        <w:t>wymiarze globalnym (</w:t>
      </w:r>
      <w:r w:rsidRPr="00D65AA1">
        <w:rPr>
          <w:rFonts w:cs="Calibri"/>
          <w:i/>
          <w:szCs w:val="20"/>
        </w:rPr>
        <w:t>world-class excellence</w:t>
      </w:r>
      <w:r w:rsidRPr="00F27A4E">
        <w:rPr>
          <w:rFonts w:cs="Calibri"/>
          <w:szCs w:val="20"/>
        </w:rPr>
        <w:t>)</w:t>
      </w:r>
      <w:r>
        <w:rPr>
          <w:rFonts w:cs="Calibri"/>
          <w:szCs w:val="20"/>
        </w:rPr>
        <w:t xml:space="preserve">. Interwencje muszą mieć również </w:t>
      </w:r>
      <w:r w:rsidRPr="00F27A4E">
        <w:rPr>
          <w:rFonts w:cs="Calibri"/>
          <w:szCs w:val="20"/>
        </w:rPr>
        <w:t>odzwierciedlenie</w:t>
      </w:r>
      <w:r w:rsidR="00E66B89">
        <w:rPr>
          <w:rFonts w:cs="Calibri"/>
          <w:szCs w:val="20"/>
        </w:rPr>
        <w:t xml:space="preserve"> w </w:t>
      </w:r>
      <w:r w:rsidRPr="00F27A4E">
        <w:rPr>
          <w:rFonts w:cs="Calibri"/>
          <w:szCs w:val="20"/>
        </w:rPr>
        <w:t>Inteligentnych Specjalizacjach</w:t>
      </w:r>
      <w:r>
        <w:rPr>
          <w:rFonts w:cs="Calibri"/>
          <w:szCs w:val="20"/>
        </w:rPr>
        <w:t xml:space="preserve"> oraz </w:t>
      </w:r>
      <w:r w:rsidRPr="00F27A4E">
        <w:rPr>
          <w:rFonts w:cs="Calibri"/>
          <w:szCs w:val="20"/>
        </w:rPr>
        <w:t xml:space="preserve">strategii </w:t>
      </w:r>
      <w:r w:rsidRPr="00C22C26">
        <w:rPr>
          <w:rFonts w:cs="Calibri"/>
          <w:i/>
          <w:szCs w:val="20"/>
        </w:rPr>
        <w:t>Nauka dla Walii</w:t>
      </w:r>
      <w:r w:rsidRPr="00F27A4E">
        <w:rPr>
          <w:rFonts w:cs="Calibri"/>
          <w:szCs w:val="20"/>
        </w:rPr>
        <w:t>.</w:t>
      </w:r>
    </w:p>
    <w:p w14:paraId="1E462238" w14:textId="77777777" w:rsidR="00BA3B1C" w:rsidRPr="00404DA5" w:rsidRDefault="00BA3B1C" w:rsidP="00BA3B1C">
      <w:pPr>
        <w:rPr>
          <w:rFonts w:cs="Calibri"/>
          <w:szCs w:val="20"/>
        </w:rPr>
      </w:pPr>
      <w:r>
        <w:rPr>
          <w:rFonts w:cs="Calibri"/>
          <w:szCs w:val="20"/>
        </w:rPr>
        <w:t>Podobnie, jak</w:t>
      </w:r>
      <w:r w:rsidR="00E66B89">
        <w:rPr>
          <w:rFonts w:cs="Calibri"/>
          <w:szCs w:val="20"/>
        </w:rPr>
        <w:t xml:space="preserve"> w </w:t>
      </w:r>
      <w:r>
        <w:rPr>
          <w:rFonts w:cs="Calibri"/>
          <w:szCs w:val="20"/>
        </w:rPr>
        <w:t>przypadku PI 1b,</w:t>
      </w:r>
      <w:r w:rsidR="00E66B89">
        <w:rPr>
          <w:rFonts w:cs="Calibri"/>
          <w:szCs w:val="20"/>
        </w:rPr>
        <w:t xml:space="preserve"> w </w:t>
      </w:r>
      <w:r>
        <w:rPr>
          <w:rFonts w:cs="Calibri"/>
          <w:szCs w:val="20"/>
        </w:rPr>
        <w:t>kontekście warunków rozwojowych regionu Walia Zachodnia</w:t>
      </w:r>
      <w:r w:rsidR="00E66B89">
        <w:rPr>
          <w:rFonts w:cs="Calibri"/>
          <w:szCs w:val="20"/>
        </w:rPr>
        <w:t xml:space="preserve"> i </w:t>
      </w:r>
      <w:r>
        <w:rPr>
          <w:rFonts w:cs="Calibri"/>
          <w:szCs w:val="20"/>
        </w:rPr>
        <w:t>Doliny, klastry zostały uznane za obszar, który warto objąć wsparciem dla realizacji celów przypisanych do tego PI. Ocenia się je bowiem jako element środowiska innowacyjnego mający potencjał do integracji podmiotów tworzących kolejne ogniwa szeroko rozumianych łańcuchów dostaw (bo także</w:t>
      </w:r>
      <w:r w:rsidR="00E66B89">
        <w:rPr>
          <w:rFonts w:cs="Calibri"/>
          <w:szCs w:val="20"/>
        </w:rPr>
        <w:t xml:space="preserve"> w </w:t>
      </w:r>
      <w:r>
        <w:rPr>
          <w:rFonts w:cs="Calibri"/>
          <w:szCs w:val="20"/>
        </w:rPr>
        <w:t>aspekcie działań prowadzonych</w:t>
      </w:r>
      <w:r w:rsidR="00E66B89">
        <w:rPr>
          <w:rFonts w:cs="Calibri"/>
          <w:szCs w:val="20"/>
        </w:rPr>
        <w:t xml:space="preserve"> w </w:t>
      </w:r>
      <w:r>
        <w:rPr>
          <w:rFonts w:cs="Calibri"/>
          <w:szCs w:val="20"/>
        </w:rPr>
        <w:t>dziedzinach</w:t>
      </w:r>
      <w:r w:rsidRPr="0042152B">
        <w:rPr>
          <w:rFonts w:cs="Calibri"/>
          <w:szCs w:val="20"/>
        </w:rPr>
        <w:t xml:space="preserve"> </w:t>
      </w:r>
      <w:r>
        <w:rPr>
          <w:rFonts w:cs="Calibri"/>
          <w:szCs w:val="20"/>
        </w:rPr>
        <w:t>pokrewnych do głównego obszaru aktywności podmiotów tworzących klaster). Ma to wzmacniać powiązania gospodarcze</w:t>
      </w:r>
      <w:r w:rsidR="00E66B89">
        <w:rPr>
          <w:rFonts w:cs="Calibri"/>
          <w:szCs w:val="20"/>
        </w:rPr>
        <w:t xml:space="preserve"> i </w:t>
      </w:r>
      <w:r>
        <w:rPr>
          <w:rFonts w:cs="Calibri"/>
          <w:szCs w:val="20"/>
        </w:rPr>
        <w:t xml:space="preserve">udrażniać kanały ekspansji międzynarodowej. </w:t>
      </w:r>
    </w:p>
    <w:p w14:paraId="039B720C" w14:textId="77777777" w:rsidR="00BA3B1C" w:rsidRPr="00996357" w:rsidRDefault="00BA3B1C" w:rsidP="00BA3B1C">
      <w:pPr>
        <w:rPr>
          <w:rFonts w:cs="Calibri"/>
          <w:szCs w:val="20"/>
        </w:rPr>
      </w:pPr>
      <w:r w:rsidRPr="00B20220">
        <w:lastRenderedPageBreak/>
        <w:t>Mając na uwadze, że PI 3a oraz PI 3c są ukierunkowane na MŚP, pierwszym obszarem,</w:t>
      </w:r>
      <w:r w:rsidR="00E66B89">
        <w:t xml:space="preserve"> w </w:t>
      </w:r>
      <w:r w:rsidRPr="00996357">
        <w:t xml:space="preserve">którym </w:t>
      </w:r>
      <w:r w:rsidRPr="00B20220">
        <w:t>zmiany wpływają na wdrażanie RPO jest dynamika liczby MŚP</w:t>
      </w:r>
      <w:r w:rsidRPr="00996357">
        <w:t>.</w:t>
      </w:r>
      <w:r w:rsidRPr="00996357">
        <w:rPr>
          <w:rStyle w:val="Odwoanieprzypisudolnego"/>
          <w:rFonts w:cs="Calibri"/>
          <w:szCs w:val="20"/>
        </w:rPr>
        <w:footnoteReference w:id="4"/>
      </w:r>
      <w:r w:rsidR="00E66B89">
        <w:rPr>
          <w:rFonts w:cs="Calibri"/>
          <w:szCs w:val="20"/>
        </w:rPr>
        <w:t xml:space="preserve"> O </w:t>
      </w:r>
      <w:r w:rsidRPr="00996357">
        <w:rPr>
          <w:rFonts w:cs="Calibri"/>
          <w:szCs w:val="20"/>
        </w:rPr>
        <w:t>ile na 10 tys. mieszkańców</w:t>
      </w:r>
      <w:r w:rsidR="00E66B89">
        <w:rPr>
          <w:rFonts w:cs="Calibri"/>
          <w:szCs w:val="20"/>
        </w:rPr>
        <w:t xml:space="preserve"> w </w:t>
      </w:r>
      <w:r w:rsidRPr="00996357">
        <w:rPr>
          <w:rFonts w:cs="Calibri"/>
          <w:szCs w:val="20"/>
        </w:rPr>
        <w:t>województwie zachodniopomorskim liczba MŚP jest wyższa niż dla Polski,</w:t>
      </w:r>
      <w:r w:rsidR="00E66B89">
        <w:rPr>
          <w:rFonts w:cs="Calibri"/>
          <w:szCs w:val="20"/>
        </w:rPr>
        <w:t xml:space="preserve"> o </w:t>
      </w:r>
      <w:r w:rsidRPr="00996357">
        <w:rPr>
          <w:rFonts w:cs="Calibri"/>
          <w:szCs w:val="20"/>
        </w:rPr>
        <w:t>tyle dynamika tego wskaźnika jest już znacznie niższa (w latach 2010-2016: 1,41% dla Polski</w:t>
      </w:r>
      <w:r w:rsidR="00E66B89">
        <w:rPr>
          <w:rFonts w:cs="Calibri"/>
          <w:szCs w:val="20"/>
        </w:rPr>
        <w:t xml:space="preserve"> i </w:t>
      </w:r>
      <w:r w:rsidRPr="00996357">
        <w:rPr>
          <w:rFonts w:cs="Calibri"/>
          <w:szCs w:val="20"/>
        </w:rPr>
        <w:t>0,22% dla województwa zachodniopomorskiego). Oznacza to, że przyrost liczby MŚP na 10 tys. mieszkańców</w:t>
      </w:r>
      <w:r w:rsidR="00E66B89">
        <w:rPr>
          <w:rFonts w:cs="Calibri"/>
          <w:szCs w:val="20"/>
        </w:rPr>
        <w:t xml:space="preserve"> w </w:t>
      </w:r>
      <w:r w:rsidRPr="00996357">
        <w:rPr>
          <w:rFonts w:cs="Calibri"/>
          <w:szCs w:val="20"/>
        </w:rPr>
        <w:t xml:space="preserve">województwie zachodniopomorskim jest poniżej przyrostu zaobserwowanego dla Polski. </w:t>
      </w:r>
    </w:p>
    <w:p w14:paraId="7D72F692" w14:textId="77777777" w:rsidR="00BA3B1C" w:rsidRPr="00996357" w:rsidRDefault="00BA3B1C" w:rsidP="00BA3B1C">
      <w:pPr>
        <w:rPr>
          <w:rFonts w:cs="Calibri"/>
          <w:szCs w:val="20"/>
        </w:rPr>
      </w:pPr>
      <w:r w:rsidRPr="00996357">
        <w:rPr>
          <w:rFonts w:cs="Calibri"/>
          <w:szCs w:val="20"/>
        </w:rPr>
        <w:t>W latach 2009-2016 nakłady inwestycyjne</w:t>
      </w:r>
      <w:r w:rsidR="00E66B89">
        <w:rPr>
          <w:rFonts w:cs="Calibri"/>
          <w:szCs w:val="20"/>
        </w:rPr>
        <w:t xml:space="preserve"> w </w:t>
      </w:r>
      <w:r w:rsidRPr="00996357">
        <w:rPr>
          <w:rFonts w:cs="Calibri"/>
          <w:szCs w:val="20"/>
        </w:rPr>
        <w:t>przedsiębiorstwach</w:t>
      </w:r>
      <w:r w:rsidR="00E66B89">
        <w:rPr>
          <w:rFonts w:cs="Calibri"/>
          <w:szCs w:val="20"/>
        </w:rPr>
        <w:t xml:space="preserve"> w </w:t>
      </w:r>
      <w:r w:rsidRPr="00996357">
        <w:rPr>
          <w:rFonts w:cs="Calibri"/>
          <w:szCs w:val="20"/>
        </w:rPr>
        <w:t>województwie zachodniopomorskim (w stosunku do PKB) były niższe niż</w:t>
      </w:r>
      <w:r w:rsidR="00E66B89">
        <w:rPr>
          <w:rFonts w:cs="Calibri"/>
          <w:szCs w:val="20"/>
        </w:rPr>
        <w:t xml:space="preserve"> w </w:t>
      </w:r>
      <w:r w:rsidRPr="00996357">
        <w:rPr>
          <w:rFonts w:cs="Calibri"/>
          <w:szCs w:val="20"/>
        </w:rPr>
        <w:t>przypadku Polski – wyjątkami są tu lata 2012</w:t>
      </w:r>
      <w:r w:rsidR="00E66B89">
        <w:rPr>
          <w:rFonts w:cs="Calibri"/>
          <w:szCs w:val="20"/>
        </w:rPr>
        <w:t xml:space="preserve"> i </w:t>
      </w:r>
      <w:r w:rsidRPr="00996357">
        <w:rPr>
          <w:rFonts w:cs="Calibri"/>
          <w:szCs w:val="20"/>
        </w:rPr>
        <w:t>2013. Oznacza to, że przedsiębiorstwa</w:t>
      </w:r>
      <w:r w:rsidR="00E66B89">
        <w:rPr>
          <w:rFonts w:cs="Calibri"/>
          <w:szCs w:val="20"/>
        </w:rPr>
        <w:t xml:space="preserve"> w </w:t>
      </w:r>
      <w:r w:rsidRPr="00996357">
        <w:rPr>
          <w:rFonts w:cs="Calibri"/>
          <w:szCs w:val="20"/>
        </w:rPr>
        <w:t>województwie zachodniopomorskim</w:t>
      </w:r>
      <w:r w:rsidR="00E66B89">
        <w:rPr>
          <w:rFonts w:cs="Calibri"/>
          <w:szCs w:val="20"/>
        </w:rPr>
        <w:t xml:space="preserve"> w </w:t>
      </w:r>
      <w:r w:rsidRPr="00996357">
        <w:rPr>
          <w:rFonts w:cs="Calibri"/>
          <w:szCs w:val="20"/>
        </w:rPr>
        <w:t>mniejszym stopniu inwestują</w:t>
      </w:r>
      <w:r w:rsidR="00E66B89">
        <w:rPr>
          <w:rFonts w:cs="Calibri"/>
          <w:szCs w:val="20"/>
        </w:rPr>
        <w:t xml:space="preserve"> w </w:t>
      </w:r>
      <w:r w:rsidRPr="00996357">
        <w:rPr>
          <w:rFonts w:cs="Calibri"/>
          <w:szCs w:val="20"/>
        </w:rPr>
        <w:t>swój rozwój niż średnie przedsiębiorstwo</w:t>
      </w:r>
      <w:r w:rsidR="00E66B89">
        <w:rPr>
          <w:rFonts w:cs="Calibri"/>
          <w:szCs w:val="20"/>
        </w:rPr>
        <w:t xml:space="preserve"> w </w:t>
      </w:r>
      <w:r w:rsidRPr="00996357">
        <w:rPr>
          <w:rFonts w:cs="Calibri"/>
          <w:szCs w:val="20"/>
        </w:rPr>
        <w:t>Polsce. Kolejnym niepokojącym aspektem jest fakt, że</w:t>
      </w:r>
      <w:r w:rsidR="00E66B89">
        <w:rPr>
          <w:rFonts w:cs="Calibri"/>
          <w:szCs w:val="20"/>
        </w:rPr>
        <w:t xml:space="preserve"> w </w:t>
      </w:r>
      <w:r w:rsidRPr="00996357">
        <w:rPr>
          <w:rFonts w:cs="Calibri"/>
          <w:szCs w:val="20"/>
        </w:rPr>
        <w:t>2016 r. analizowane nakłady</w:t>
      </w:r>
      <w:r w:rsidR="00E66B89">
        <w:rPr>
          <w:rFonts w:cs="Calibri"/>
          <w:szCs w:val="20"/>
        </w:rPr>
        <w:t xml:space="preserve"> w </w:t>
      </w:r>
      <w:r w:rsidRPr="00996357">
        <w:rPr>
          <w:rFonts w:cs="Calibri"/>
          <w:szCs w:val="20"/>
        </w:rPr>
        <w:t>województwie zachodniopomorskim był</w:t>
      </w:r>
      <w:r>
        <w:rPr>
          <w:rFonts w:cs="Calibri"/>
          <w:szCs w:val="20"/>
        </w:rPr>
        <w:t>y</w:t>
      </w:r>
      <w:r w:rsidRPr="00996357">
        <w:rPr>
          <w:rFonts w:cs="Calibri"/>
          <w:szCs w:val="20"/>
        </w:rPr>
        <w:t xml:space="preserve"> równe 5,9% (8% dla Polski), tj.</w:t>
      </w:r>
      <w:r w:rsidR="00E66B89">
        <w:rPr>
          <w:rFonts w:cs="Calibri"/>
          <w:szCs w:val="20"/>
        </w:rPr>
        <w:t xml:space="preserve"> o </w:t>
      </w:r>
      <w:r w:rsidRPr="00996357">
        <w:rPr>
          <w:rFonts w:cs="Calibri"/>
          <w:szCs w:val="20"/>
        </w:rPr>
        <w:t>3,3 pp. mniej niż</w:t>
      </w:r>
      <w:r w:rsidR="00E66B89">
        <w:rPr>
          <w:rFonts w:cs="Calibri"/>
          <w:szCs w:val="20"/>
        </w:rPr>
        <w:t xml:space="preserve"> w </w:t>
      </w:r>
      <w:r w:rsidRPr="00996357">
        <w:rPr>
          <w:rFonts w:cs="Calibri"/>
          <w:szCs w:val="20"/>
        </w:rPr>
        <w:t>roku poprzednim (o 1,3 pp. mniej dla Polski). Mając na uwadze historycznie niskie koszty pieniądza kredytowego oraz relatywnie wysoki poziom konsumpcji zaskakujący jest niski endogeniczny rozwój przedsiębiorstw</w:t>
      </w:r>
      <w:r w:rsidR="00E66B89">
        <w:rPr>
          <w:rFonts w:cs="Calibri"/>
          <w:szCs w:val="20"/>
        </w:rPr>
        <w:t xml:space="preserve"> w </w:t>
      </w:r>
      <w:r w:rsidRPr="00996357">
        <w:rPr>
          <w:rFonts w:cs="Calibri"/>
          <w:szCs w:val="20"/>
        </w:rPr>
        <w:t>województwie zachodniopomorskim. Jeśli firmy nie są</w:t>
      </w:r>
      <w:r w:rsidR="00E66B89">
        <w:rPr>
          <w:rFonts w:cs="Calibri"/>
          <w:szCs w:val="20"/>
        </w:rPr>
        <w:t xml:space="preserve"> w </w:t>
      </w:r>
      <w:r w:rsidRPr="00996357">
        <w:rPr>
          <w:rFonts w:cs="Calibri"/>
          <w:szCs w:val="20"/>
        </w:rPr>
        <w:t xml:space="preserve">stanie zidentyfikować opłacalnych inwestycji bez pomocy sektora publicznego, należy zadać pytanie, czy podjęte na skutek pomocy publicznej projekty lub zatrudnienie będą kontynuowane po jej zakończeniu. </w:t>
      </w:r>
    </w:p>
    <w:p w14:paraId="3E6A326E" w14:textId="77777777" w:rsidR="00BA3B1C" w:rsidRPr="00996357" w:rsidRDefault="00BA3B1C" w:rsidP="00BA3B1C">
      <w:pPr>
        <w:rPr>
          <w:rFonts w:cs="Calibri"/>
          <w:szCs w:val="20"/>
        </w:rPr>
      </w:pPr>
      <w:r w:rsidRPr="00996357">
        <w:rPr>
          <w:rFonts w:cs="Calibri"/>
          <w:szCs w:val="20"/>
        </w:rPr>
        <w:t>Województwo zachodniopomorskie od 2010 r. charakteryzuje się wzrostem udziału przychodów netto ze sprzedaży produktów innowacyjnych (nowych lub istotnie ulepszonych)</w:t>
      </w:r>
      <w:r w:rsidR="00E66B89">
        <w:rPr>
          <w:rFonts w:cs="Calibri"/>
          <w:szCs w:val="20"/>
        </w:rPr>
        <w:t xml:space="preserve"> w </w:t>
      </w:r>
      <w:r w:rsidRPr="00996357">
        <w:rPr>
          <w:rFonts w:cs="Calibri"/>
          <w:szCs w:val="20"/>
        </w:rPr>
        <w:t>przychodach netto ze sprzedaży ogółem</w:t>
      </w:r>
      <w:r w:rsidR="00E66B89">
        <w:rPr>
          <w:rFonts w:cs="Calibri"/>
          <w:szCs w:val="20"/>
        </w:rPr>
        <w:t xml:space="preserve"> w </w:t>
      </w:r>
      <w:r w:rsidRPr="00996357">
        <w:rPr>
          <w:rFonts w:cs="Calibri"/>
          <w:szCs w:val="20"/>
        </w:rPr>
        <w:t>przedsiębiorstwach przemysłowych.</w:t>
      </w:r>
      <w:r w:rsidR="00E66B89">
        <w:rPr>
          <w:rFonts w:cs="Calibri"/>
          <w:szCs w:val="20"/>
        </w:rPr>
        <w:t xml:space="preserve"> O </w:t>
      </w:r>
      <w:r w:rsidRPr="00996357">
        <w:rPr>
          <w:rFonts w:cs="Calibri"/>
          <w:szCs w:val="20"/>
        </w:rPr>
        <w:t>ile jest to bardzo dobra wiadomość, ponieważ pokazuje ona, że firmy mają możliwość sprzedaży produktów innowacyjnych,</w:t>
      </w:r>
      <w:r w:rsidR="00E66B89">
        <w:rPr>
          <w:rFonts w:cs="Calibri"/>
          <w:szCs w:val="20"/>
        </w:rPr>
        <w:t xml:space="preserve"> o </w:t>
      </w:r>
      <w:r w:rsidRPr="00996357">
        <w:rPr>
          <w:rFonts w:cs="Calibri"/>
          <w:szCs w:val="20"/>
        </w:rPr>
        <w:t>tyle należy zaznaczyć, że od 2014 r. wartość analizowanego wskaźnika spada (</w:t>
      </w:r>
      <w:r>
        <w:rPr>
          <w:rFonts w:cs="Calibri"/>
          <w:szCs w:val="20"/>
        </w:rPr>
        <w:t>odpowiedni</w:t>
      </w:r>
      <w:r w:rsidR="00BE5AF2">
        <w:rPr>
          <w:rFonts w:cs="Calibri"/>
          <w:szCs w:val="20"/>
        </w:rPr>
        <w:t>o</w:t>
      </w:r>
      <w:r>
        <w:rPr>
          <w:rFonts w:cs="Calibri"/>
          <w:szCs w:val="20"/>
        </w:rPr>
        <w:t>:</w:t>
      </w:r>
      <w:r w:rsidR="00E66B89">
        <w:rPr>
          <w:rFonts w:cs="Calibri"/>
          <w:szCs w:val="20"/>
        </w:rPr>
        <w:t xml:space="preserve"> z </w:t>
      </w:r>
      <w:r>
        <w:rPr>
          <w:rFonts w:cs="Calibri"/>
          <w:szCs w:val="20"/>
        </w:rPr>
        <w:t>6,4%</w:t>
      </w:r>
      <w:r w:rsidR="00E66B89">
        <w:rPr>
          <w:rFonts w:cs="Calibri"/>
          <w:szCs w:val="20"/>
        </w:rPr>
        <w:t xml:space="preserve"> w </w:t>
      </w:r>
      <w:r>
        <w:rPr>
          <w:rFonts w:cs="Calibri"/>
          <w:szCs w:val="20"/>
        </w:rPr>
        <w:t xml:space="preserve">2014 r. do </w:t>
      </w:r>
      <w:r w:rsidRPr="00996357">
        <w:rPr>
          <w:rFonts w:cs="Calibri"/>
          <w:szCs w:val="20"/>
        </w:rPr>
        <w:t>5,6%</w:t>
      </w:r>
      <w:r w:rsidR="00E66B89">
        <w:rPr>
          <w:rFonts w:cs="Calibri"/>
          <w:szCs w:val="20"/>
        </w:rPr>
        <w:t xml:space="preserve"> w </w:t>
      </w:r>
      <w:r w:rsidRPr="00996357">
        <w:rPr>
          <w:rFonts w:cs="Calibri"/>
          <w:szCs w:val="20"/>
        </w:rPr>
        <w:t>2017 r.). Wart uwagi jest fakt, że</w:t>
      </w:r>
      <w:r w:rsidR="00E66B89">
        <w:rPr>
          <w:rFonts w:cs="Calibri"/>
          <w:szCs w:val="20"/>
        </w:rPr>
        <w:t xml:space="preserve"> o </w:t>
      </w:r>
      <w:r w:rsidRPr="00996357">
        <w:rPr>
          <w:rFonts w:cs="Calibri"/>
          <w:szCs w:val="20"/>
        </w:rPr>
        <w:t>ile</w:t>
      </w:r>
      <w:r w:rsidR="00E66B89">
        <w:rPr>
          <w:rFonts w:cs="Calibri"/>
          <w:szCs w:val="20"/>
        </w:rPr>
        <w:t xml:space="preserve"> w </w:t>
      </w:r>
      <w:r w:rsidRPr="00996357">
        <w:rPr>
          <w:rFonts w:cs="Calibri"/>
          <w:szCs w:val="20"/>
        </w:rPr>
        <w:t>badanym okresie (2009-2017) wartość opisywanego udziału przychodów</w:t>
      </w:r>
      <w:r w:rsidR="00E66B89">
        <w:rPr>
          <w:rFonts w:cs="Calibri"/>
          <w:szCs w:val="20"/>
        </w:rPr>
        <w:t xml:space="preserve"> w </w:t>
      </w:r>
      <w:r w:rsidRPr="00996357">
        <w:rPr>
          <w:rFonts w:cs="Calibri"/>
          <w:szCs w:val="20"/>
        </w:rPr>
        <w:t>województwie zachodniopomorskim jest poniżej poziomu dla Polski,</w:t>
      </w:r>
      <w:r w:rsidR="00E66B89">
        <w:rPr>
          <w:rFonts w:cs="Calibri"/>
          <w:szCs w:val="20"/>
        </w:rPr>
        <w:t xml:space="preserve"> o </w:t>
      </w:r>
      <w:r w:rsidRPr="00996357">
        <w:rPr>
          <w:rFonts w:cs="Calibri"/>
          <w:szCs w:val="20"/>
        </w:rPr>
        <w:t>tyle ta różnica uległa znacznemu zmniejszeniu (z 5,2 pp.</w:t>
      </w:r>
      <w:r w:rsidR="00E66B89">
        <w:rPr>
          <w:rFonts w:cs="Calibri"/>
          <w:szCs w:val="20"/>
        </w:rPr>
        <w:t xml:space="preserve"> w </w:t>
      </w:r>
      <w:r w:rsidRPr="00996357">
        <w:rPr>
          <w:rFonts w:cs="Calibri"/>
          <w:szCs w:val="20"/>
        </w:rPr>
        <w:t>2009 r. do 1,5 pp.</w:t>
      </w:r>
      <w:r w:rsidR="00E66B89">
        <w:rPr>
          <w:rFonts w:cs="Calibri"/>
          <w:szCs w:val="20"/>
        </w:rPr>
        <w:t xml:space="preserve"> w </w:t>
      </w:r>
      <w:r w:rsidRPr="00996357">
        <w:rPr>
          <w:rFonts w:cs="Calibri"/>
          <w:szCs w:val="20"/>
        </w:rPr>
        <w:t>2017 r.). Pomimo tych optymistycznych obserwacji należy zaznaczyć, że nadal tylko 5 zł</w:t>
      </w:r>
      <w:r w:rsidR="00E66B89">
        <w:rPr>
          <w:rFonts w:cs="Calibri"/>
          <w:szCs w:val="20"/>
        </w:rPr>
        <w:t xml:space="preserve"> i </w:t>
      </w:r>
      <w:r w:rsidRPr="00996357">
        <w:rPr>
          <w:rFonts w:cs="Calibri"/>
          <w:szCs w:val="20"/>
        </w:rPr>
        <w:t>60 gr</w:t>
      </w:r>
      <w:r w:rsidR="00E66B89">
        <w:rPr>
          <w:rFonts w:cs="Calibri"/>
          <w:szCs w:val="20"/>
        </w:rPr>
        <w:t xml:space="preserve"> z </w:t>
      </w:r>
      <w:r w:rsidRPr="00996357">
        <w:rPr>
          <w:rFonts w:cs="Calibri"/>
          <w:szCs w:val="20"/>
        </w:rPr>
        <w:t>każdych 100 zł przychodów pochodzi ze sprzedaży produktów innowacyjnych. Oznacza to, że sprzedaż tych produktów nie tylko nie jest głównym źródłem przychodów firm przemysłowych</w:t>
      </w:r>
      <w:r w:rsidR="00E66B89">
        <w:rPr>
          <w:rFonts w:cs="Calibri"/>
          <w:szCs w:val="20"/>
        </w:rPr>
        <w:t xml:space="preserve"> w </w:t>
      </w:r>
      <w:r w:rsidRPr="00996357">
        <w:rPr>
          <w:rFonts w:cs="Calibri"/>
          <w:szCs w:val="20"/>
        </w:rPr>
        <w:t>województwie zachodniopomorskim, ale również jest działalnością</w:t>
      </w:r>
      <w:r w:rsidR="00E66B89">
        <w:rPr>
          <w:rFonts w:cs="Calibri"/>
          <w:szCs w:val="20"/>
        </w:rPr>
        <w:t xml:space="preserve"> o </w:t>
      </w:r>
      <w:r w:rsidRPr="00996357">
        <w:rPr>
          <w:rFonts w:cs="Calibri"/>
          <w:szCs w:val="20"/>
        </w:rPr>
        <w:t>marginalnym –</w:t>
      </w:r>
      <w:r w:rsidR="00E66B89">
        <w:rPr>
          <w:rFonts w:cs="Calibri"/>
          <w:szCs w:val="20"/>
        </w:rPr>
        <w:t xml:space="preserve"> z </w:t>
      </w:r>
      <w:r w:rsidRPr="00996357">
        <w:rPr>
          <w:rFonts w:cs="Calibri"/>
          <w:szCs w:val="20"/>
        </w:rPr>
        <w:t>punktu widzenia źródeł przychodów – znaczeniu. Do podobnych wniosków można dojść analizując udział przychodów netto ze sprzedaży produktów innowacyjnych (nowych lub istotnie ulepszonych) na eksport</w:t>
      </w:r>
      <w:r w:rsidR="00E66B89">
        <w:rPr>
          <w:rFonts w:cs="Calibri"/>
          <w:szCs w:val="20"/>
        </w:rPr>
        <w:t xml:space="preserve"> w </w:t>
      </w:r>
      <w:r w:rsidRPr="00996357">
        <w:rPr>
          <w:rFonts w:cs="Calibri"/>
          <w:szCs w:val="20"/>
        </w:rPr>
        <w:t>przychodach netto ze sprzedaży produktów, towarów</w:t>
      </w:r>
      <w:r w:rsidR="00E66B89">
        <w:rPr>
          <w:rFonts w:cs="Calibri"/>
          <w:szCs w:val="20"/>
        </w:rPr>
        <w:t xml:space="preserve"> i </w:t>
      </w:r>
      <w:r w:rsidRPr="00996357">
        <w:rPr>
          <w:rFonts w:cs="Calibri"/>
          <w:szCs w:val="20"/>
        </w:rPr>
        <w:t>materiałów</w:t>
      </w:r>
      <w:r w:rsidR="00E66B89">
        <w:rPr>
          <w:rFonts w:cs="Calibri"/>
          <w:szCs w:val="20"/>
        </w:rPr>
        <w:t xml:space="preserve"> w </w:t>
      </w:r>
      <w:r w:rsidRPr="00996357">
        <w:rPr>
          <w:rFonts w:cs="Calibri"/>
          <w:szCs w:val="20"/>
        </w:rPr>
        <w:t>przedsiębiorstwach przemysłowych.</w:t>
      </w:r>
      <w:r w:rsidR="00E66B89">
        <w:rPr>
          <w:rFonts w:cs="Calibri"/>
          <w:szCs w:val="20"/>
        </w:rPr>
        <w:t xml:space="preserve"> O </w:t>
      </w:r>
      <w:r w:rsidRPr="00996357">
        <w:rPr>
          <w:rFonts w:cs="Calibri"/>
          <w:szCs w:val="20"/>
        </w:rPr>
        <w:t>ile</w:t>
      </w:r>
      <w:r w:rsidR="00E66B89">
        <w:rPr>
          <w:rFonts w:cs="Calibri"/>
          <w:szCs w:val="20"/>
        </w:rPr>
        <w:t xml:space="preserve"> w </w:t>
      </w:r>
      <w:r w:rsidRPr="00996357">
        <w:rPr>
          <w:rFonts w:cs="Calibri"/>
          <w:szCs w:val="20"/>
        </w:rPr>
        <w:t>2014 r. opisywany udział osiągną swoją maksymalną wartość dla województwa zachodniopomorskiego (3,7%),</w:t>
      </w:r>
      <w:r w:rsidR="00E66B89">
        <w:rPr>
          <w:rFonts w:cs="Calibri"/>
          <w:szCs w:val="20"/>
        </w:rPr>
        <w:t xml:space="preserve"> o </w:t>
      </w:r>
      <w:r w:rsidRPr="00996357">
        <w:rPr>
          <w:rFonts w:cs="Calibri"/>
          <w:szCs w:val="20"/>
        </w:rPr>
        <w:t>tyle</w:t>
      </w:r>
      <w:r w:rsidR="00E66B89">
        <w:rPr>
          <w:rFonts w:cs="Calibri"/>
          <w:szCs w:val="20"/>
        </w:rPr>
        <w:t xml:space="preserve"> w </w:t>
      </w:r>
      <w:r w:rsidRPr="00996357">
        <w:rPr>
          <w:rFonts w:cs="Calibri"/>
          <w:szCs w:val="20"/>
        </w:rPr>
        <w:t>2017 r. udział ten spadł do 2,4% - tj. do udziału</w:t>
      </w:r>
      <w:r w:rsidR="00E66B89">
        <w:rPr>
          <w:rFonts w:cs="Calibri"/>
          <w:szCs w:val="20"/>
        </w:rPr>
        <w:t xml:space="preserve"> z </w:t>
      </w:r>
      <w:r w:rsidRPr="00996357">
        <w:rPr>
          <w:rFonts w:cs="Calibri"/>
          <w:szCs w:val="20"/>
        </w:rPr>
        <w:t xml:space="preserve">2009 r. </w:t>
      </w:r>
    </w:p>
    <w:p w14:paraId="0B1D7550" w14:textId="77777777" w:rsidR="00BA3B1C" w:rsidRPr="00404DA5" w:rsidRDefault="00BA3B1C" w:rsidP="00BA3B1C">
      <w:pPr>
        <w:rPr>
          <w:rFonts w:cs="Calibri"/>
          <w:szCs w:val="20"/>
        </w:rPr>
      </w:pPr>
      <w:r w:rsidRPr="00996357">
        <w:rPr>
          <w:rFonts w:cs="Calibri"/>
          <w:szCs w:val="20"/>
        </w:rPr>
        <w:t>Gorzej wypadają przedsiębiorstwa usługowe. Udział przychodów netto ze sprzedaży produktów innowacyjnych (nowych lub istotnie ulepszonych)</w:t>
      </w:r>
      <w:r w:rsidR="00E66B89">
        <w:rPr>
          <w:rFonts w:cs="Calibri"/>
          <w:szCs w:val="20"/>
        </w:rPr>
        <w:t xml:space="preserve"> w </w:t>
      </w:r>
      <w:r w:rsidRPr="00996357">
        <w:rPr>
          <w:rFonts w:cs="Calibri"/>
          <w:szCs w:val="20"/>
        </w:rPr>
        <w:t>przychodach netto ze sprzedaży produktów, towarów</w:t>
      </w:r>
      <w:r w:rsidR="00E66B89">
        <w:rPr>
          <w:rFonts w:cs="Calibri"/>
          <w:szCs w:val="20"/>
        </w:rPr>
        <w:t xml:space="preserve"> i </w:t>
      </w:r>
      <w:r w:rsidRPr="00996357">
        <w:rPr>
          <w:rFonts w:cs="Calibri"/>
          <w:szCs w:val="20"/>
        </w:rPr>
        <w:t>materiałów</w:t>
      </w:r>
      <w:r w:rsidR="00E66B89">
        <w:rPr>
          <w:rFonts w:cs="Calibri"/>
          <w:szCs w:val="20"/>
        </w:rPr>
        <w:t xml:space="preserve"> w </w:t>
      </w:r>
      <w:r w:rsidRPr="00996357">
        <w:rPr>
          <w:rFonts w:cs="Calibri"/>
          <w:szCs w:val="20"/>
        </w:rPr>
        <w:t>przedsiębiorstwach usługowych</w:t>
      </w:r>
      <w:r w:rsidR="00E66B89">
        <w:rPr>
          <w:rFonts w:cs="Calibri"/>
          <w:szCs w:val="20"/>
        </w:rPr>
        <w:t xml:space="preserve"> w </w:t>
      </w:r>
      <w:r w:rsidRPr="00996357">
        <w:rPr>
          <w:rFonts w:cs="Calibri"/>
          <w:szCs w:val="20"/>
        </w:rPr>
        <w:t>województwie zachodniopomorskim</w:t>
      </w:r>
      <w:r w:rsidR="00E66B89">
        <w:rPr>
          <w:rFonts w:cs="Calibri"/>
          <w:szCs w:val="20"/>
        </w:rPr>
        <w:t xml:space="preserve"> w </w:t>
      </w:r>
      <w:r w:rsidRPr="00996357">
        <w:rPr>
          <w:rFonts w:cs="Calibri"/>
          <w:szCs w:val="20"/>
        </w:rPr>
        <w:t>okresie 2009-2017 praktycznie nie uległ zmianie (1%</w:t>
      </w:r>
      <w:r w:rsidR="00E66B89">
        <w:rPr>
          <w:rFonts w:cs="Calibri"/>
          <w:szCs w:val="20"/>
        </w:rPr>
        <w:t xml:space="preserve"> w </w:t>
      </w:r>
      <w:r w:rsidRPr="00996357">
        <w:rPr>
          <w:rFonts w:cs="Calibri"/>
          <w:szCs w:val="20"/>
        </w:rPr>
        <w:t>2009 r.</w:t>
      </w:r>
      <w:r w:rsidR="00E66B89">
        <w:rPr>
          <w:rFonts w:cs="Calibri"/>
          <w:szCs w:val="20"/>
        </w:rPr>
        <w:t xml:space="preserve"> i </w:t>
      </w:r>
      <w:r w:rsidRPr="00996357">
        <w:rPr>
          <w:rFonts w:cs="Calibri"/>
          <w:szCs w:val="20"/>
        </w:rPr>
        <w:t>0,8%</w:t>
      </w:r>
      <w:r w:rsidR="00E66B89">
        <w:rPr>
          <w:rFonts w:cs="Calibri"/>
          <w:szCs w:val="20"/>
        </w:rPr>
        <w:t xml:space="preserve"> w </w:t>
      </w:r>
      <w:r w:rsidRPr="00996357">
        <w:rPr>
          <w:rFonts w:cs="Calibri"/>
          <w:szCs w:val="20"/>
        </w:rPr>
        <w:t>2017 r.). Wniosek ten jest prawdziwy również dla całej Polski (3,2%</w:t>
      </w:r>
      <w:r w:rsidR="00E66B89">
        <w:rPr>
          <w:rFonts w:cs="Calibri"/>
          <w:szCs w:val="20"/>
        </w:rPr>
        <w:t xml:space="preserve"> w </w:t>
      </w:r>
      <w:r w:rsidRPr="00996357">
        <w:rPr>
          <w:rFonts w:cs="Calibri"/>
          <w:szCs w:val="20"/>
        </w:rPr>
        <w:t>2009 r.</w:t>
      </w:r>
      <w:r w:rsidR="00E66B89">
        <w:rPr>
          <w:rFonts w:cs="Calibri"/>
          <w:szCs w:val="20"/>
        </w:rPr>
        <w:t xml:space="preserve"> i </w:t>
      </w:r>
      <w:r w:rsidRPr="00996357">
        <w:rPr>
          <w:rFonts w:cs="Calibri"/>
          <w:szCs w:val="20"/>
        </w:rPr>
        <w:t>3%</w:t>
      </w:r>
      <w:r w:rsidR="00E66B89">
        <w:rPr>
          <w:rFonts w:cs="Calibri"/>
          <w:szCs w:val="20"/>
        </w:rPr>
        <w:t xml:space="preserve"> w </w:t>
      </w:r>
      <w:r w:rsidRPr="00996357">
        <w:rPr>
          <w:rFonts w:cs="Calibri"/>
          <w:szCs w:val="20"/>
        </w:rPr>
        <w:t>2017 r.) oraz dla różnicy pomiędzy województwem zachodniopomorskim</w:t>
      </w:r>
      <w:r w:rsidR="00E66B89">
        <w:rPr>
          <w:rFonts w:cs="Calibri"/>
          <w:szCs w:val="20"/>
        </w:rPr>
        <w:t xml:space="preserve"> i </w:t>
      </w:r>
      <w:r w:rsidRPr="00996357">
        <w:rPr>
          <w:rFonts w:cs="Calibri"/>
          <w:szCs w:val="20"/>
        </w:rPr>
        <w:t>Polską (2,2 pp.</w:t>
      </w:r>
      <w:r w:rsidR="00E66B89">
        <w:rPr>
          <w:rFonts w:cs="Calibri"/>
          <w:szCs w:val="20"/>
        </w:rPr>
        <w:t xml:space="preserve"> w </w:t>
      </w:r>
      <w:r w:rsidRPr="00996357">
        <w:rPr>
          <w:rFonts w:cs="Calibri"/>
          <w:szCs w:val="20"/>
        </w:rPr>
        <w:t>2009 r.</w:t>
      </w:r>
      <w:r w:rsidR="00E66B89">
        <w:rPr>
          <w:rFonts w:cs="Calibri"/>
          <w:szCs w:val="20"/>
        </w:rPr>
        <w:t xml:space="preserve"> i w </w:t>
      </w:r>
      <w:r w:rsidRPr="00996357">
        <w:rPr>
          <w:rFonts w:cs="Calibri"/>
          <w:szCs w:val="20"/>
        </w:rPr>
        <w:t>2017 r.). Przedstawione dane sugerują, że przedsiębiorstwa usługowe</w:t>
      </w:r>
      <w:r w:rsidR="00E66B89">
        <w:rPr>
          <w:rFonts w:cs="Calibri"/>
          <w:szCs w:val="20"/>
        </w:rPr>
        <w:t xml:space="preserve"> w </w:t>
      </w:r>
      <w:r w:rsidRPr="00996357">
        <w:rPr>
          <w:rFonts w:cs="Calibri"/>
          <w:szCs w:val="20"/>
        </w:rPr>
        <w:t>województwie zachodniopomorskim nie są</w:t>
      </w:r>
      <w:r w:rsidR="00E66B89">
        <w:rPr>
          <w:rFonts w:cs="Calibri"/>
          <w:szCs w:val="20"/>
        </w:rPr>
        <w:t xml:space="preserve"> w </w:t>
      </w:r>
      <w:r w:rsidRPr="00996357">
        <w:rPr>
          <w:rFonts w:cs="Calibri"/>
          <w:szCs w:val="20"/>
        </w:rPr>
        <w:t>stanie znaleźć popytu na produkty innowacyjne.</w:t>
      </w:r>
      <w:r>
        <w:rPr>
          <w:rFonts w:cs="Calibri"/>
          <w:szCs w:val="20"/>
        </w:rPr>
        <w:t xml:space="preserve"> </w:t>
      </w:r>
    </w:p>
    <w:p w14:paraId="042A3F41" w14:textId="77777777" w:rsidR="00BA3B1C" w:rsidRPr="00FE43CD" w:rsidRDefault="00BA3B1C" w:rsidP="00BA3B1C">
      <w:pPr>
        <w:pStyle w:val="Nagwek3"/>
      </w:pPr>
      <w:r w:rsidRPr="00FE43CD">
        <w:lastRenderedPageBreak/>
        <w:t>Realizacja Ram Wykonania</w:t>
      </w:r>
      <w:r w:rsidR="00E66B89">
        <w:t xml:space="preserve"> w </w:t>
      </w:r>
      <w:r w:rsidRPr="00FE43CD">
        <w:t>OP</w:t>
      </w:r>
      <w:r w:rsidR="00E66B89">
        <w:t xml:space="preserve"> I </w:t>
      </w:r>
    </w:p>
    <w:p w14:paraId="63C95523" w14:textId="77777777" w:rsidR="00BA3B1C" w:rsidRPr="00404DA5" w:rsidRDefault="00BA3B1C" w:rsidP="00BA3B1C">
      <w:pPr>
        <w:rPr>
          <w:rFonts w:eastAsia="Calibri"/>
          <w:szCs w:val="20"/>
          <w:lang w:eastAsia="en-US"/>
        </w:rPr>
      </w:pPr>
      <w:r w:rsidRPr="00404DA5">
        <w:rPr>
          <w:rFonts w:eastAsia="Calibri"/>
          <w:szCs w:val="20"/>
          <w:lang w:eastAsia="en-US"/>
        </w:rPr>
        <w:t>Zgodnie</w:t>
      </w:r>
      <w:r w:rsidR="00E66B89">
        <w:rPr>
          <w:rFonts w:eastAsia="Calibri"/>
          <w:szCs w:val="20"/>
          <w:lang w:eastAsia="en-US"/>
        </w:rPr>
        <w:t xml:space="preserve"> z </w:t>
      </w:r>
      <w:r w:rsidRPr="00404DA5">
        <w:rPr>
          <w:rFonts w:eastAsia="Calibri"/>
          <w:szCs w:val="20"/>
          <w:lang w:eastAsia="en-US"/>
        </w:rPr>
        <w:t>przedstawionymi</w:t>
      </w:r>
      <w:r w:rsidR="00E66B89">
        <w:rPr>
          <w:rFonts w:eastAsia="Calibri"/>
          <w:szCs w:val="20"/>
          <w:lang w:eastAsia="en-US"/>
        </w:rPr>
        <w:t xml:space="preserve"> w </w:t>
      </w:r>
      <w:r w:rsidRPr="00404DA5">
        <w:rPr>
          <w:rFonts w:eastAsia="Calibri"/>
          <w:szCs w:val="20"/>
          <w:lang w:eastAsia="en-US"/>
        </w:rPr>
        <w:t xml:space="preserve">tabeli danymi, cel pośredni </w:t>
      </w:r>
      <w:r>
        <w:rPr>
          <w:rFonts w:eastAsia="Calibri"/>
          <w:szCs w:val="20"/>
          <w:lang w:eastAsia="en-US"/>
        </w:rPr>
        <w:t xml:space="preserve">rzeczowy </w:t>
      </w:r>
      <w:r w:rsidRPr="00404DA5">
        <w:rPr>
          <w:rFonts w:eastAsia="Calibri"/>
          <w:szCs w:val="20"/>
          <w:lang w:eastAsia="en-US"/>
        </w:rPr>
        <w:t>(ustanowiony na koniec 2018 roku) został zrealizowany na poziomie 1</w:t>
      </w:r>
      <w:r>
        <w:rPr>
          <w:rFonts w:eastAsia="Calibri"/>
          <w:szCs w:val="20"/>
          <w:lang w:eastAsia="en-US"/>
        </w:rPr>
        <w:t>19,2</w:t>
      </w:r>
      <w:r w:rsidRPr="00404DA5">
        <w:rPr>
          <w:rFonts w:eastAsia="Calibri"/>
          <w:szCs w:val="20"/>
          <w:lang w:eastAsia="en-US"/>
        </w:rPr>
        <w:t>%. Wartość wskaźnika RW</w:t>
      </w:r>
      <w:r w:rsidR="00E66B89">
        <w:rPr>
          <w:rFonts w:eastAsia="Calibri"/>
          <w:szCs w:val="20"/>
          <w:lang w:eastAsia="en-US"/>
        </w:rPr>
        <w:t xml:space="preserve"> w </w:t>
      </w:r>
      <w:r>
        <w:rPr>
          <w:rFonts w:eastAsia="Calibri"/>
          <w:szCs w:val="20"/>
          <w:lang w:eastAsia="en-US"/>
        </w:rPr>
        <w:t>niewielkim stopniu odbiega</w:t>
      </w:r>
      <w:r w:rsidRPr="00404DA5">
        <w:rPr>
          <w:rFonts w:eastAsia="Calibri"/>
          <w:szCs w:val="20"/>
          <w:lang w:eastAsia="en-US"/>
        </w:rPr>
        <w:t xml:space="preserve"> </w:t>
      </w:r>
      <w:r>
        <w:rPr>
          <w:rFonts w:eastAsia="Calibri"/>
          <w:szCs w:val="20"/>
          <w:lang w:eastAsia="en-US"/>
        </w:rPr>
        <w:t>od</w:t>
      </w:r>
      <w:r w:rsidRPr="00404DA5">
        <w:rPr>
          <w:rFonts w:eastAsia="Calibri"/>
          <w:szCs w:val="20"/>
          <w:lang w:eastAsia="en-US"/>
        </w:rPr>
        <w:t> wcześniej poczyniony</w:t>
      </w:r>
      <w:r>
        <w:rPr>
          <w:rFonts w:eastAsia="Calibri"/>
          <w:szCs w:val="20"/>
          <w:lang w:eastAsia="en-US"/>
        </w:rPr>
        <w:t>ch</w:t>
      </w:r>
      <w:r w:rsidRPr="00404DA5">
        <w:rPr>
          <w:rFonts w:eastAsia="Calibri"/>
          <w:szCs w:val="20"/>
          <w:lang w:eastAsia="en-US"/>
        </w:rPr>
        <w:t xml:space="preserve"> założe</w:t>
      </w:r>
      <w:r>
        <w:rPr>
          <w:rFonts w:eastAsia="Calibri"/>
          <w:szCs w:val="20"/>
          <w:lang w:eastAsia="en-US"/>
        </w:rPr>
        <w:t>ń</w:t>
      </w:r>
      <w:r w:rsidRPr="00404DA5">
        <w:rPr>
          <w:rFonts w:eastAsia="Calibri"/>
          <w:szCs w:val="20"/>
          <w:lang w:eastAsia="en-US"/>
        </w:rPr>
        <w:t xml:space="preserve">. </w:t>
      </w:r>
    </w:p>
    <w:p w14:paraId="3DD40638" w14:textId="77777777" w:rsidR="00BA3B1C" w:rsidRPr="00404DA5" w:rsidRDefault="00BA3B1C" w:rsidP="00BA3B1C">
      <w:pPr>
        <w:rPr>
          <w:rFonts w:eastAsia="Calibri" w:cs="Calibri"/>
          <w:szCs w:val="20"/>
          <w:lang w:eastAsia="en-US"/>
        </w:rPr>
      </w:pPr>
      <w:r w:rsidRPr="00404DA5">
        <w:rPr>
          <w:rFonts w:eastAsia="Calibri" w:cs="Calibri"/>
          <w:szCs w:val="20"/>
          <w:lang w:eastAsia="en-US"/>
        </w:rPr>
        <w:t>Wskaźnik postępu finansowego,</w:t>
      </w:r>
      <w:r w:rsidR="00E66B89">
        <w:rPr>
          <w:rFonts w:eastAsia="Calibri" w:cs="Calibri"/>
          <w:szCs w:val="20"/>
          <w:lang w:eastAsia="en-US"/>
        </w:rPr>
        <w:t xml:space="preserve"> w </w:t>
      </w:r>
      <w:r w:rsidRPr="00404DA5">
        <w:rPr>
          <w:rFonts w:eastAsia="Calibri" w:cs="Calibri"/>
          <w:szCs w:val="20"/>
          <w:lang w:eastAsia="en-US"/>
        </w:rPr>
        <w:t>odniesieniu do wartości pośredniej wyznaczonej na rok 2018, dla PI 1a, 1b, 3a, 3c, został istotnie przekroczony</w:t>
      </w:r>
      <w:r w:rsidR="00E66B89">
        <w:rPr>
          <w:rFonts w:eastAsia="Calibri" w:cs="Calibri"/>
          <w:szCs w:val="20"/>
          <w:lang w:eastAsia="en-US"/>
        </w:rPr>
        <w:t xml:space="preserve"> i </w:t>
      </w:r>
      <w:r w:rsidRPr="00404DA5">
        <w:rPr>
          <w:rFonts w:eastAsia="Calibri" w:cs="Calibri"/>
          <w:szCs w:val="20"/>
          <w:lang w:eastAsia="en-US"/>
        </w:rPr>
        <w:t xml:space="preserve">zrealizowany na poziomie 194,1%. Dotychczasowy postęp finansowy kształtuje się zatem na poziomie znacząco </w:t>
      </w:r>
      <w:r>
        <w:rPr>
          <w:rFonts w:eastAsia="Calibri" w:cs="Calibri"/>
          <w:szCs w:val="20"/>
          <w:lang w:eastAsia="en-US"/>
        </w:rPr>
        <w:t>wyż</w:t>
      </w:r>
      <w:r w:rsidRPr="00404DA5">
        <w:rPr>
          <w:rFonts w:eastAsia="Calibri" w:cs="Calibri"/>
          <w:szCs w:val="20"/>
          <w:lang w:eastAsia="en-US"/>
        </w:rPr>
        <w:t xml:space="preserve">szym od postępu rzeczowego. </w:t>
      </w:r>
      <w:r w:rsidRPr="00404DA5">
        <w:rPr>
          <w:rFonts w:eastAsia="Calibri"/>
          <w:szCs w:val="20"/>
          <w:lang w:eastAsia="en-US"/>
        </w:rPr>
        <w:t>Wpływ na wysoki postęp finansowy miało przede wszystkim zakontraktowanie</w:t>
      </w:r>
      <w:r w:rsidR="00E66B89">
        <w:rPr>
          <w:rFonts w:eastAsia="Calibri"/>
          <w:szCs w:val="20"/>
          <w:lang w:eastAsia="en-US"/>
        </w:rPr>
        <w:t xml:space="preserve"> w </w:t>
      </w:r>
      <w:r w:rsidRPr="00404DA5">
        <w:rPr>
          <w:rFonts w:eastAsia="Calibri"/>
          <w:szCs w:val="20"/>
          <w:lang w:eastAsia="en-US"/>
        </w:rPr>
        <w:t>ramach Działań 1.9</w:t>
      </w:r>
      <w:r w:rsidR="00E66B89">
        <w:rPr>
          <w:rFonts w:eastAsia="Calibri"/>
          <w:szCs w:val="20"/>
          <w:lang w:eastAsia="en-US"/>
        </w:rPr>
        <w:t xml:space="preserve"> i </w:t>
      </w:r>
      <w:r w:rsidRPr="00404DA5">
        <w:rPr>
          <w:rFonts w:eastAsia="Calibri"/>
          <w:szCs w:val="20"/>
          <w:lang w:eastAsia="en-US"/>
        </w:rPr>
        <w:t>1.17 Menad</w:t>
      </w:r>
      <w:r w:rsidRPr="00404DA5">
        <w:rPr>
          <w:rFonts w:eastAsia="Calibri" w:hint="eastAsia"/>
          <w:szCs w:val="20"/>
          <w:lang w:eastAsia="en-US"/>
        </w:rPr>
        <w:t>ż</w:t>
      </w:r>
      <w:r w:rsidRPr="00404DA5">
        <w:rPr>
          <w:rFonts w:eastAsia="Calibri"/>
          <w:szCs w:val="20"/>
          <w:lang w:eastAsia="en-US"/>
        </w:rPr>
        <w:t>era Funduszu Funduszy (Banku Gospodarstwa Krajowego), co</w:t>
      </w:r>
      <w:r w:rsidR="00E66B89">
        <w:rPr>
          <w:rFonts w:eastAsia="Calibri"/>
          <w:szCs w:val="20"/>
          <w:lang w:eastAsia="en-US"/>
        </w:rPr>
        <w:t xml:space="preserve"> w </w:t>
      </w:r>
      <w:r w:rsidRPr="00404DA5">
        <w:rPr>
          <w:rFonts w:eastAsia="Calibri"/>
          <w:szCs w:val="20"/>
          <w:lang w:eastAsia="en-US"/>
        </w:rPr>
        <w:t>dużym stopniu wyczerpało alokację dostępną na realizację tych Działań</w:t>
      </w:r>
      <w:r w:rsidR="00E66B89">
        <w:rPr>
          <w:rFonts w:eastAsia="Calibri"/>
          <w:szCs w:val="20"/>
          <w:lang w:eastAsia="en-US"/>
        </w:rPr>
        <w:t xml:space="preserve"> i </w:t>
      </w:r>
      <w:r w:rsidRPr="00404DA5">
        <w:rPr>
          <w:rFonts w:eastAsia="Calibri"/>
          <w:szCs w:val="20"/>
          <w:lang w:eastAsia="en-US"/>
        </w:rPr>
        <w:t>zadecydowało</w:t>
      </w:r>
      <w:r w:rsidR="00E66B89">
        <w:rPr>
          <w:rFonts w:eastAsia="Calibri"/>
          <w:szCs w:val="20"/>
          <w:lang w:eastAsia="en-US"/>
        </w:rPr>
        <w:t xml:space="preserve"> o </w:t>
      </w:r>
      <w:r w:rsidRPr="00404DA5">
        <w:rPr>
          <w:rFonts w:eastAsia="Calibri"/>
          <w:szCs w:val="20"/>
          <w:lang w:eastAsia="en-US"/>
        </w:rPr>
        <w:t>znaczącym postępie finansowym. Jednocześnie, wsparcie pozadotacyjne (udzielane m.in. za pośrednictwem instrumentów finansowych</w:t>
      </w:r>
      <w:r w:rsidR="00E66B89">
        <w:rPr>
          <w:rFonts w:eastAsia="Calibri"/>
          <w:szCs w:val="20"/>
          <w:lang w:eastAsia="en-US"/>
        </w:rPr>
        <w:t xml:space="preserve"> i </w:t>
      </w:r>
      <w:r w:rsidRPr="00404DA5">
        <w:rPr>
          <w:rFonts w:eastAsia="Calibri"/>
          <w:szCs w:val="20"/>
          <w:lang w:eastAsia="en-US"/>
        </w:rPr>
        <w:t>kapitałowych) będzie mieć</w:t>
      </w:r>
      <w:r w:rsidR="00E66B89">
        <w:rPr>
          <w:rFonts w:eastAsia="Calibri"/>
          <w:szCs w:val="20"/>
          <w:lang w:eastAsia="en-US"/>
        </w:rPr>
        <w:t xml:space="preserve"> w </w:t>
      </w:r>
      <w:r w:rsidRPr="00404DA5">
        <w:rPr>
          <w:rFonts w:eastAsia="Calibri"/>
          <w:szCs w:val="20"/>
          <w:lang w:eastAsia="en-US"/>
        </w:rPr>
        <w:t>kolejnych latach wdrażania tych Działań istotny udział</w:t>
      </w:r>
      <w:r w:rsidR="00E66B89">
        <w:rPr>
          <w:rFonts w:eastAsia="Calibri"/>
          <w:szCs w:val="20"/>
          <w:lang w:eastAsia="en-US"/>
        </w:rPr>
        <w:t xml:space="preserve"> w </w:t>
      </w:r>
      <w:r w:rsidRPr="00404DA5">
        <w:rPr>
          <w:rFonts w:eastAsia="Calibri"/>
          <w:szCs w:val="20"/>
          <w:lang w:eastAsia="en-US"/>
        </w:rPr>
        <w:t>osiągnięciu wskaźnika postępu rzeczowego (w samym Działaniu 1.9 przewidziano wsparcie dla 1163 firm).</w:t>
      </w:r>
    </w:p>
    <w:p w14:paraId="09FF5868" w14:textId="77777777" w:rsidR="00BA3B1C" w:rsidRPr="00FE43CD" w:rsidRDefault="00BA3B1C" w:rsidP="006E34DC">
      <w:pPr>
        <w:pStyle w:val="Legenda"/>
        <w:spacing w:after="0"/>
      </w:pPr>
      <w:bookmarkStart w:id="42" w:name="_Ref3456208"/>
      <w:bookmarkStart w:id="43" w:name="_Toc8824114"/>
      <w:r w:rsidRPr="00FE43CD">
        <w:t xml:space="preserve">Tabela </w:t>
      </w:r>
      <w:r>
        <w:fldChar w:fldCharType="begin"/>
      </w:r>
      <w:r>
        <w:instrText xml:space="preserve"> SEQ Tabela \* ARABIC </w:instrText>
      </w:r>
      <w:r>
        <w:fldChar w:fldCharType="separate"/>
      </w:r>
      <w:r w:rsidR="00763345">
        <w:rPr>
          <w:noProof/>
        </w:rPr>
        <w:t>3</w:t>
      </w:r>
      <w:r>
        <w:fldChar w:fldCharType="end"/>
      </w:r>
      <w:bookmarkEnd w:id="42"/>
      <w:r w:rsidRPr="00FE43CD">
        <w:t xml:space="preserve"> Wskaźniki wybrane do Ram Wykonania – stopień osiągnięcia wartości pośrednich</w:t>
      </w:r>
      <w:r w:rsidR="00E66B89">
        <w:t xml:space="preserve"> i </w:t>
      </w:r>
      <w:r w:rsidRPr="00FE43CD">
        <w:t>docelowych – OP</w:t>
      </w:r>
      <w:r w:rsidR="00E66B89">
        <w:t xml:space="preserve"> I </w:t>
      </w:r>
      <w:r w:rsidRPr="00FE43CD">
        <w:t>Gospodarka, innowacje, nowoczesne technologie</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038"/>
        <w:gridCol w:w="1290"/>
        <w:gridCol w:w="866"/>
        <w:gridCol w:w="1080"/>
        <w:gridCol w:w="775"/>
        <w:gridCol w:w="1012"/>
        <w:gridCol w:w="835"/>
        <w:gridCol w:w="874"/>
        <w:gridCol w:w="874"/>
      </w:tblGrid>
      <w:tr w:rsidR="00BA3B1C" w:rsidRPr="00FE43CD" w14:paraId="247AFEE8" w14:textId="77777777" w:rsidTr="005F04FC">
        <w:trPr>
          <w:tblHeader/>
        </w:trPr>
        <w:tc>
          <w:tcPr>
            <w:tcW w:w="0" w:type="auto"/>
            <w:shd w:val="clear" w:color="auto" w:fill="DBE5F1"/>
          </w:tcPr>
          <w:p w14:paraId="23EF3AE4" w14:textId="77777777" w:rsidR="00BA3B1C" w:rsidRPr="00404DA5" w:rsidRDefault="00BA3B1C" w:rsidP="00BA3B1C">
            <w:pPr>
              <w:keepNext/>
              <w:spacing w:line="276" w:lineRule="auto"/>
              <w:jc w:val="center"/>
              <w:rPr>
                <w:rFonts w:cs="Calibri"/>
                <w:sz w:val="18"/>
                <w:szCs w:val="18"/>
              </w:rPr>
            </w:pPr>
            <w:r>
              <w:rPr>
                <w:rFonts w:cs="Calibri"/>
                <w:sz w:val="18"/>
                <w:szCs w:val="18"/>
              </w:rPr>
              <w:t>PI</w:t>
            </w:r>
          </w:p>
        </w:tc>
        <w:tc>
          <w:tcPr>
            <w:tcW w:w="0" w:type="auto"/>
            <w:shd w:val="clear" w:color="auto" w:fill="DBE5F1"/>
          </w:tcPr>
          <w:p w14:paraId="2BB2FDA5"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Typ wskaźnika</w:t>
            </w:r>
          </w:p>
        </w:tc>
        <w:tc>
          <w:tcPr>
            <w:tcW w:w="0" w:type="auto"/>
            <w:shd w:val="clear" w:color="auto" w:fill="DBE5F1"/>
          </w:tcPr>
          <w:p w14:paraId="0CB95AFE"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Wskaźnik lub KEW</w:t>
            </w:r>
          </w:p>
        </w:tc>
        <w:tc>
          <w:tcPr>
            <w:tcW w:w="0" w:type="auto"/>
            <w:shd w:val="clear" w:color="auto" w:fill="DBE5F1"/>
          </w:tcPr>
          <w:p w14:paraId="3DE470A8"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Jednostka pomiaru</w:t>
            </w:r>
          </w:p>
        </w:tc>
        <w:tc>
          <w:tcPr>
            <w:tcW w:w="0" w:type="auto"/>
            <w:shd w:val="clear" w:color="auto" w:fill="DBE5F1"/>
          </w:tcPr>
          <w:p w14:paraId="7FC2A136" w14:textId="77777777" w:rsidR="00BA3B1C" w:rsidRPr="00404DA5" w:rsidRDefault="00BA3B1C" w:rsidP="00BA3B1C">
            <w:pPr>
              <w:keepNext/>
              <w:spacing w:line="276" w:lineRule="auto"/>
              <w:jc w:val="center"/>
              <w:rPr>
                <w:rFonts w:cs="Calibri"/>
                <w:sz w:val="18"/>
                <w:szCs w:val="18"/>
              </w:rPr>
            </w:pPr>
            <w:r w:rsidRPr="00B84EEA">
              <w:rPr>
                <w:rFonts w:cs="Calibri"/>
                <w:sz w:val="18"/>
                <w:szCs w:val="18"/>
              </w:rPr>
              <w:t>Wartość kumulatywna</w:t>
            </w:r>
          </w:p>
        </w:tc>
        <w:tc>
          <w:tcPr>
            <w:tcW w:w="0" w:type="auto"/>
            <w:shd w:val="clear" w:color="auto" w:fill="DBE5F1"/>
          </w:tcPr>
          <w:p w14:paraId="68AFA00E"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Cel pośredni na 2018 r.</w:t>
            </w:r>
          </w:p>
        </w:tc>
        <w:tc>
          <w:tcPr>
            <w:tcW w:w="0" w:type="auto"/>
            <w:shd w:val="clear" w:color="auto" w:fill="DBE5F1"/>
          </w:tcPr>
          <w:p w14:paraId="349C3AA3"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 realizacji celu pośredniego</w:t>
            </w:r>
          </w:p>
        </w:tc>
        <w:tc>
          <w:tcPr>
            <w:tcW w:w="0" w:type="auto"/>
            <w:shd w:val="clear" w:color="auto" w:fill="DBE5F1"/>
          </w:tcPr>
          <w:p w14:paraId="68825B3A"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Wartość docelowa na koniec 2023 r.</w:t>
            </w:r>
          </w:p>
        </w:tc>
        <w:tc>
          <w:tcPr>
            <w:tcW w:w="0" w:type="auto"/>
            <w:shd w:val="clear" w:color="auto" w:fill="DBE5F1"/>
          </w:tcPr>
          <w:p w14:paraId="6BF29C01"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 xml:space="preserve">% realizacji wartości docelowej </w:t>
            </w:r>
            <w:r w:rsidRPr="00404DA5">
              <w:rPr>
                <w:rFonts w:cs="Calibri"/>
                <w:b/>
                <w:sz w:val="18"/>
                <w:szCs w:val="18"/>
              </w:rPr>
              <w:t>wg WoP</w:t>
            </w:r>
          </w:p>
        </w:tc>
        <w:tc>
          <w:tcPr>
            <w:tcW w:w="0" w:type="auto"/>
            <w:shd w:val="clear" w:color="auto" w:fill="DBE5F1"/>
          </w:tcPr>
          <w:p w14:paraId="5557CDB2" w14:textId="77777777" w:rsidR="00BA3B1C" w:rsidRPr="00404DA5" w:rsidRDefault="00BA3B1C" w:rsidP="00BA3B1C">
            <w:pPr>
              <w:keepNext/>
              <w:spacing w:line="276" w:lineRule="auto"/>
              <w:jc w:val="center"/>
              <w:rPr>
                <w:rFonts w:cs="Calibri"/>
                <w:sz w:val="18"/>
                <w:szCs w:val="18"/>
              </w:rPr>
            </w:pPr>
            <w:r w:rsidRPr="00404DA5">
              <w:rPr>
                <w:rFonts w:cs="Calibri"/>
                <w:sz w:val="18"/>
                <w:szCs w:val="18"/>
              </w:rPr>
              <w:t xml:space="preserve">% realizacji wartości docelowej </w:t>
            </w:r>
            <w:r w:rsidRPr="00404DA5">
              <w:rPr>
                <w:rFonts w:cs="Calibri"/>
                <w:b/>
                <w:sz w:val="18"/>
                <w:szCs w:val="18"/>
              </w:rPr>
              <w:t>wg UoD</w:t>
            </w:r>
          </w:p>
        </w:tc>
      </w:tr>
      <w:tr w:rsidR="00BA3B1C" w:rsidRPr="00FE43CD" w14:paraId="35D217F4" w14:textId="77777777" w:rsidTr="00C22C26">
        <w:tc>
          <w:tcPr>
            <w:tcW w:w="0" w:type="auto"/>
          </w:tcPr>
          <w:p w14:paraId="1D91CA92" w14:textId="77777777" w:rsidR="00BA3B1C" w:rsidRPr="00404DA5" w:rsidRDefault="00483EEF" w:rsidP="00BA3B1C">
            <w:pPr>
              <w:spacing w:line="276" w:lineRule="auto"/>
              <w:jc w:val="center"/>
              <w:rPr>
                <w:rFonts w:cs="Calibri"/>
                <w:sz w:val="18"/>
                <w:szCs w:val="18"/>
              </w:rPr>
            </w:pPr>
            <w:r>
              <w:rPr>
                <w:rFonts w:cs="Calibri"/>
                <w:sz w:val="18"/>
                <w:szCs w:val="18"/>
              </w:rPr>
              <w:t xml:space="preserve">1b, 3a, </w:t>
            </w:r>
            <w:r w:rsidR="00BA3B1C" w:rsidRPr="00404DA5">
              <w:rPr>
                <w:rFonts w:cs="Calibri"/>
                <w:sz w:val="18"/>
                <w:szCs w:val="18"/>
              </w:rPr>
              <w:t>3c</w:t>
            </w:r>
          </w:p>
        </w:tc>
        <w:tc>
          <w:tcPr>
            <w:tcW w:w="0" w:type="auto"/>
          </w:tcPr>
          <w:p w14:paraId="7D151708" w14:textId="77777777" w:rsidR="00BA3B1C" w:rsidRPr="00404DA5" w:rsidRDefault="00BA3B1C" w:rsidP="00BA3B1C">
            <w:pPr>
              <w:spacing w:line="276" w:lineRule="auto"/>
              <w:jc w:val="center"/>
              <w:rPr>
                <w:rFonts w:cs="Calibri"/>
                <w:sz w:val="18"/>
                <w:szCs w:val="18"/>
              </w:rPr>
            </w:pPr>
            <w:r w:rsidRPr="00404DA5">
              <w:rPr>
                <w:rFonts w:cs="Calibri"/>
                <w:sz w:val="18"/>
                <w:szCs w:val="18"/>
              </w:rPr>
              <w:t>wskaźnik produktu</w:t>
            </w:r>
          </w:p>
        </w:tc>
        <w:tc>
          <w:tcPr>
            <w:tcW w:w="0" w:type="auto"/>
          </w:tcPr>
          <w:p w14:paraId="2D217F80" w14:textId="77777777" w:rsidR="00BA3B1C" w:rsidRPr="00404DA5" w:rsidRDefault="00BA3B1C" w:rsidP="00BA3B1C">
            <w:pPr>
              <w:spacing w:line="276" w:lineRule="auto"/>
              <w:jc w:val="center"/>
              <w:rPr>
                <w:rFonts w:cs="Calibri"/>
                <w:sz w:val="18"/>
                <w:szCs w:val="18"/>
              </w:rPr>
            </w:pPr>
            <w:r w:rsidRPr="00404DA5">
              <w:rPr>
                <w:rFonts w:cs="Calibri"/>
                <w:sz w:val="18"/>
                <w:szCs w:val="18"/>
              </w:rPr>
              <w:t>Liczba przedsiębiorstw otrzymujących wsparcie</w:t>
            </w:r>
          </w:p>
        </w:tc>
        <w:tc>
          <w:tcPr>
            <w:tcW w:w="0" w:type="auto"/>
          </w:tcPr>
          <w:p w14:paraId="7925130F" w14:textId="77777777" w:rsidR="00BA3B1C" w:rsidRPr="00404DA5" w:rsidRDefault="00BA3B1C" w:rsidP="00BA3B1C">
            <w:pPr>
              <w:spacing w:line="276" w:lineRule="auto"/>
              <w:jc w:val="center"/>
              <w:rPr>
                <w:rFonts w:cs="Calibri"/>
                <w:sz w:val="18"/>
                <w:szCs w:val="18"/>
              </w:rPr>
            </w:pPr>
            <w:r w:rsidRPr="00404DA5">
              <w:rPr>
                <w:rFonts w:cs="Calibri"/>
                <w:sz w:val="18"/>
                <w:szCs w:val="18"/>
              </w:rPr>
              <w:t>szt.</w:t>
            </w:r>
          </w:p>
        </w:tc>
        <w:tc>
          <w:tcPr>
            <w:tcW w:w="0" w:type="auto"/>
          </w:tcPr>
          <w:p w14:paraId="1E59242E" w14:textId="77777777" w:rsidR="00BA3B1C" w:rsidRPr="00404DA5" w:rsidRDefault="00BA3B1C" w:rsidP="00BA3B1C">
            <w:pPr>
              <w:spacing w:line="276" w:lineRule="auto"/>
              <w:jc w:val="center"/>
              <w:rPr>
                <w:rFonts w:cs="Calibri"/>
                <w:sz w:val="18"/>
                <w:szCs w:val="18"/>
              </w:rPr>
            </w:pPr>
            <w:r>
              <w:rPr>
                <w:rFonts w:cs="Calibri"/>
                <w:sz w:val="18"/>
                <w:szCs w:val="18"/>
              </w:rPr>
              <w:t>535</w:t>
            </w:r>
          </w:p>
        </w:tc>
        <w:tc>
          <w:tcPr>
            <w:tcW w:w="0" w:type="auto"/>
          </w:tcPr>
          <w:p w14:paraId="5CCDCAC2" w14:textId="77777777" w:rsidR="00BA3B1C" w:rsidRPr="00404DA5" w:rsidRDefault="00BA3B1C" w:rsidP="00BA3B1C">
            <w:pPr>
              <w:spacing w:line="276" w:lineRule="auto"/>
              <w:jc w:val="center"/>
              <w:rPr>
                <w:rFonts w:cs="Calibri"/>
                <w:sz w:val="18"/>
                <w:szCs w:val="18"/>
              </w:rPr>
            </w:pPr>
            <w:r w:rsidRPr="00404DA5">
              <w:rPr>
                <w:rFonts w:cs="Calibri"/>
                <w:sz w:val="18"/>
                <w:szCs w:val="18"/>
              </w:rPr>
              <w:t>449</w:t>
            </w:r>
          </w:p>
        </w:tc>
        <w:tc>
          <w:tcPr>
            <w:tcW w:w="0" w:type="auto"/>
          </w:tcPr>
          <w:p w14:paraId="5DE84A58" w14:textId="77777777" w:rsidR="00BA3B1C" w:rsidRPr="00184554" w:rsidRDefault="00BA3B1C" w:rsidP="00BA3B1C">
            <w:pPr>
              <w:spacing w:line="276" w:lineRule="auto"/>
              <w:jc w:val="center"/>
              <w:rPr>
                <w:rFonts w:cs="Calibri"/>
                <w:sz w:val="18"/>
                <w:szCs w:val="18"/>
              </w:rPr>
            </w:pPr>
            <w:r w:rsidRPr="00184554">
              <w:rPr>
                <w:rFonts w:cs="Calibri"/>
                <w:sz w:val="18"/>
                <w:szCs w:val="18"/>
              </w:rPr>
              <w:t>119,2 %</w:t>
            </w:r>
          </w:p>
          <w:p w14:paraId="3378F1F4" w14:textId="77777777" w:rsidR="00BA3B1C" w:rsidRPr="00404DA5" w:rsidRDefault="00BA3B1C" w:rsidP="00BA3B1C">
            <w:pPr>
              <w:spacing w:line="276" w:lineRule="auto"/>
              <w:jc w:val="center"/>
              <w:rPr>
                <w:rFonts w:cs="Calibri"/>
                <w:sz w:val="18"/>
                <w:szCs w:val="18"/>
              </w:rPr>
            </w:pPr>
          </w:p>
        </w:tc>
        <w:tc>
          <w:tcPr>
            <w:tcW w:w="0" w:type="auto"/>
          </w:tcPr>
          <w:p w14:paraId="41E6EB44" w14:textId="77777777" w:rsidR="00BA3B1C" w:rsidRPr="00404DA5" w:rsidRDefault="00BA3B1C" w:rsidP="00BA3B1C">
            <w:pPr>
              <w:spacing w:line="276" w:lineRule="auto"/>
              <w:jc w:val="center"/>
              <w:rPr>
                <w:rFonts w:cs="Calibri"/>
                <w:sz w:val="18"/>
                <w:szCs w:val="18"/>
              </w:rPr>
            </w:pPr>
            <w:r w:rsidRPr="00404DA5">
              <w:rPr>
                <w:rFonts w:cs="Calibri"/>
                <w:sz w:val="18"/>
                <w:szCs w:val="18"/>
              </w:rPr>
              <w:t>2246</w:t>
            </w:r>
          </w:p>
        </w:tc>
        <w:tc>
          <w:tcPr>
            <w:tcW w:w="0" w:type="auto"/>
          </w:tcPr>
          <w:p w14:paraId="52DC706F" w14:textId="77777777" w:rsidR="00BA3B1C" w:rsidRPr="00404DA5" w:rsidRDefault="00BA3B1C" w:rsidP="00BA3B1C">
            <w:pPr>
              <w:spacing w:line="276" w:lineRule="auto"/>
              <w:jc w:val="center"/>
              <w:rPr>
                <w:rFonts w:eastAsia="Calibri" w:cs="Calibri"/>
                <w:sz w:val="18"/>
                <w:szCs w:val="18"/>
              </w:rPr>
            </w:pPr>
            <w:r w:rsidRPr="00184554">
              <w:rPr>
                <w:rFonts w:eastAsia="Calibri" w:cs="Calibri"/>
                <w:sz w:val="18"/>
                <w:szCs w:val="18"/>
              </w:rPr>
              <w:t>23,8 %</w:t>
            </w:r>
          </w:p>
        </w:tc>
        <w:tc>
          <w:tcPr>
            <w:tcW w:w="0" w:type="auto"/>
          </w:tcPr>
          <w:p w14:paraId="6DD23F44" w14:textId="77777777" w:rsidR="00BA3B1C" w:rsidRPr="00404DA5" w:rsidRDefault="00BA3B1C" w:rsidP="00BA3B1C">
            <w:pPr>
              <w:spacing w:line="276" w:lineRule="auto"/>
              <w:jc w:val="center"/>
              <w:rPr>
                <w:rFonts w:eastAsia="Calibri" w:cs="Calibri"/>
                <w:sz w:val="18"/>
                <w:szCs w:val="18"/>
              </w:rPr>
            </w:pPr>
            <w:r w:rsidRPr="00404DA5">
              <w:rPr>
                <w:rFonts w:eastAsia="Calibri" w:cs="Calibri"/>
                <w:sz w:val="18"/>
                <w:szCs w:val="18"/>
              </w:rPr>
              <w:t>74,5%</w:t>
            </w:r>
          </w:p>
        </w:tc>
      </w:tr>
      <w:tr w:rsidR="00BA3B1C" w:rsidRPr="00FE43CD" w14:paraId="387CF7CB" w14:textId="77777777" w:rsidTr="00C22C26">
        <w:tc>
          <w:tcPr>
            <w:tcW w:w="0" w:type="auto"/>
          </w:tcPr>
          <w:p w14:paraId="57EDB60B" w14:textId="77777777" w:rsidR="00BA3B1C" w:rsidRPr="00404DA5" w:rsidRDefault="00483EEF" w:rsidP="00BA3B1C">
            <w:pPr>
              <w:spacing w:line="276" w:lineRule="auto"/>
              <w:jc w:val="center"/>
              <w:rPr>
                <w:rFonts w:cs="Calibri"/>
                <w:sz w:val="18"/>
                <w:szCs w:val="18"/>
              </w:rPr>
            </w:pPr>
            <w:r>
              <w:rPr>
                <w:rFonts w:cs="Calibri"/>
                <w:sz w:val="18"/>
                <w:szCs w:val="18"/>
              </w:rPr>
              <w:t xml:space="preserve">1a, 1b, 3a, </w:t>
            </w:r>
            <w:r w:rsidR="00BA3B1C" w:rsidRPr="00404DA5">
              <w:rPr>
                <w:rFonts w:cs="Calibri"/>
                <w:sz w:val="18"/>
                <w:szCs w:val="18"/>
              </w:rPr>
              <w:t>3c</w:t>
            </w:r>
          </w:p>
        </w:tc>
        <w:tc>
          <w:tcPr>
            <w:tcW w:w="0" w:type="auto"/>
          </w:tcPr>
          <w:p w14:paraId="556DABFF" w14:textId="77777777" w:rsidR="00BA3B1C" w:rsidRPr="00404DA5" w:rsidRDefault="00BA3B1C" w:rsidP="00BA3B1C">
            <w:pPr>
              <w:spacing w:line="276" w:lineRule="auto"/>
              <w:jc w:val="center"/>
              <w:rPr>
                <w:rFonts w:cs="Calibri"/>
                <w:sz w:val="18"/>
                <w:szCs w:val="18"/>
              </w:rPr>
            </w:pPr>
            <w:r w:rsidRPr="00404DA5">
              <w:rPr>
                <w:rFonts w:cs="Calibri"/>
                <w:sz w:val="18"/>
                <w:szCs w:val="18"/>
              </w:rPr>
              <w:t>wskaźnik postępu finansowego</w:t>
            </w:r>
          </w:p>
        </w:tc>
        <w:tc>
          <w:tcPr>
            <w:tcW w:w="0" w:type="auto"/>
          </w:tcPr>
          <w:p w14:paraId="6B6C33F8" w14:textId="77777777" w:rsidR="00BA3B1C" w:rsidRPr="00404DA5" w:rsidRDefault="00BA3B1C" w:rsidP="00BA3B1C">
            <w:pPr>
              <w:spacing w:line="276" w:lineRule="auto"/>
              <w:jc w:val="center"/>
              <w:rPr>
                <w:rFonts w:cs="Calibri"/>
                <w:sz w:val="18"/>
                <w:szCs w:val="18"/>
              </w:rPr>
            </w:pPr>
            <w:r w:rsidRPr="00404DA5">
              <w:rPr>
                <w:rFonts w:cs="Calibri"/>
                <w:sz w:val="18"/>
                <w:szCs w:val="18"/>
              </w:rPr>
              <w:t>Całkowita kwota certyfikowanych wydatków kwalifikowanych</w:t>
            </w:r>
          </w:p>
        </w:tc>
        <w:tc>
          <w:tcPr>
            <w:tcW w:w="0" w:type="auto"/>
          </w:tcPr>
          <w:p w14:paraId="3112A53C" w14:textId="77777777" w:rsidR="00BA3B1C" w:rsidRPr="00404DA5" w:rsidRDefault="00BA3B1C" w:rsidP="00BA3B1C">
            <w:pPr>
              <w:spacing w:line="276" w:lineRule="auto"/>
              <w:jc w:val="center"/>
              <w:rPr>
                <w:rFonts w:cs="Calibri"/>
                <w:sz w:val="18"/>
                <w:szCs w:val="18"/>
              </w:rPr>
            </w:pPr>
            <w:r w:rsidRPr="00404DA5">
              <w:rPr>
                <w:rFonts w:cs="Calibri"/>
                <w:sz w:val="18"/>
                <w:szCs w:val="18"/>
              </w:rPr>
              <w:t>EUR</w:t>
            </w:r>
          </w:p>
        </w:tc>
        <w:tc>
          <w:tcPr>
            <w:tcW w:w="0" w:type="auto"/>
          </w:tcPr>
          <w:p w14:paraId="3359B741" w14:textId="77777777" w:rsidR="00BA3B1C" w:rsidRPr="00404DA5" w:rsidRDefault="00BA3B1C" w:rsidP="00BA3B1C">
            <w:pPr>
              <w:spacing w:line="276" w:lineRule="auto"/>
              <w:jc w:val="center"/>
              <w:rPr>
                <w:rFonts w:cs="Calibri"/>
                <w:sz w:val="18"/>
                <w:szCs w:val="18"/>
              </w:rPr>
            </w:pPr>
            <w:r w:rsidRPr="00B36AE5">
              <w:rPr>
                <w:rFonts w:cs="Calibri"/>
                <w:color w:val="000000"/>
                <w:sz w:val="18"/>
                <w:szCs w:val="18"/>
              </w:rPr>
              <w:t>106 927 737</w:t>
            </w:r>
          </w:p>
        </w:tc>
        <w:tc>
          <w:tcPr>
            <w:tcW w:w="0" w:type="auto"/>
          </w:tcPr>
          <w:p w14:paraId="13D804E5" w14:textId="77777777" w:rsidR="00BA3B1C" w:rsidRPr="00404DA5" w:rsidRDefault="00BA3B1C" w:rsidP="00BA3B1C">
            <w:pPr>
              <w:spacing w:line="276" w:lineRule="auto"/>
              <w:jc w:val="center"/>
              <w:rPr>
                <w:rFonts w:cs="Calibri"/>
                <w:sz w:val="18"/>
                <w:szCs w:val="18"/>
              </w:rPr>
            </w:pPr>
            <w:r w:rsidRPr="00404DA5">
              <w:rPr>
                <w:rFonts w:cs="Calibri"/>
                <w:sz w:val="18"/>
                <w:szCs w:val="18"/>
              </w:rPr>
              <w:t>55 080 034</w:t>
            </w:r>
          </w:p>
        </w:tc>
        <w:tc>
          <w:tcPr>
            <w:tcW w:w="0" w:type="auto"/>
          </w:tcPr>
          <w:p w14:paraId="61407538" w14:textId="77777777" w:rsidR="00BA3B1C" w:rsidRPr="00404DA5" w:rsidRDefault="00BA3B1C" w:rsidP="00BA3B1C">
            <w:pPr>
              <w:spacing w:line="276" w:lineRule="auto"/>
              <w:jc w:val="center"/>
              <w:rPr>
                <w:rFonts w:cs="Calibri"/>
                <w:sz w:val="18"/>
                <w:szCs w:val="18"/>
              </w:rPr>
            </w:pPr>
            <w:r w:rsidRPr="00404DA5">
              <w:rPr>
                <w:rFonts w:cs="Calibri"/>
                <w:sz w:val="18"/>
                <w:szCs w:val="18"/>
              </w:rPr>
              <w:t>194,1%</w:t>
            </w:r>
          </w:p>
        </w:tc>
        <w:tc>
          <w:tcPr>
            <w:tcW w:w="0" w:type="auto"/>
          </w:tcPr>
          <w:p w14:paraId="00DDCFBF" w14:textId="77777777" w:rsidR="00BA3B1C" w:rsidRPr="00404DA5" w:rsidRDefault="00BA3B1C" w:rsidP="00BA3B1C">
            <w:pPr>
              <w:spacing w:line="276" w:lineRule="auto"/>
              <w:jc w:val="center"/>
              <w:rPr>
                <w:rFonts w:cs="Calibri"/>
                <w:sz w:val="18"/>
                <w:szCs w:val="18"/>
              </w:rPr>
            </w:pPr>
            <w:r w:rsidRPr="00404DA5">
              <w:rPr>
                <w:rFonts w:cs="Calibri"/>
                <w:sz w:val="18"/>
                <w:szCs w:val="18"/>
              </w:rPr>
              <w:t>379 470 589</w:t>
            </w:r>
          </w:p>
        </w:tc>
        <w:tc>
          <w:tcPr>
            <w:tcW w:w="0" w:type="auto"/>
          </w:tcPr>
          <w:p w14:paraId="5877832A" w14:textId="77777777" w:rsidR="00BA3B1C" w:rsidRPr="00404DA5" w:rsidRDefault="00BA3B1C" w:rsidP="00BA3B1C">
            <w:pPr>
              <w:spacing w:line="276" w:lineRule="auto"/>
              <w:jc w:val="center"/>
              <w:rPr>
                <w:rFonts w:eastAsia="Calibri" w:cs="Calibri"/>
                <w:sz w:val="18"/>
                <w:szCs w:val="18"/>
              </w:rPr>
            </w:pPr>
            <w:r>
              <w:rPr>
                <w:rFonts w:eastAsia="Calibri" w:cs="Calibri"/>
                <w:sz w:val="18"/>
                <w:szCs w:val="18"/>
              </w:rPr>
              <w:t>28,2%</w:t>
            </w:r>
          </w:p>
        </w:tc>
        <w:tc>
          <w:tcPr>
            <w:tcW w:w="0" w:type="auto"/>
          </w:tcPr>
          <w:p w14:paraId="7BEFC59C" w14:textId="77777777" w:rsidR="00BA3B1C" w:rsidRPr="00404DA5" w:rsidRDefault="00BA3B1C" w:rsidP="00BA3B1C">
            <w:pPr>
              <w:spacing w:line="276" w:lineRule="auto"/>
              <w:jc w:val="center"/>
              <w:rPr>
                <w:rFonts w:eastAsia="Calibri" w:cs="Calibri"/>
                <w:sz w:val="18"/>
                <w:szCs w:val="18"/>
              </w:rPr>
            </w:pPr>
            <w:r>
              <w:rPr>
                <w:rFonts w:eastAsia="Calibri" w:cs="Calibri"/>
                <w:sz w:val="18"/>
                <w:szCs w:val="18"/>
              </w:rPr>
              <w:t>44,1%</w:t>
            </w:r>
          </w:p>
        </w:tc>
      </w:tr>
    </w:tbl>
    <w:p w14:paraId="2D3B05FB" w14:textId="77777777" w:rsidR="00BA3B1C" w:rsidRPr="002A5FDF" w:rsidRDefault="00BA3B1C" w:rsidP="00483EEF">
      <w:pPr>
        <w:spacing w:before="0" w:line="276" w:lineRule="auto"/>
        <w:rPr>
          <w:rFonts w:cs="Calibri"/>
          <w:i/>
          <w:sz w:val="18"/>
          <w:szCs w:val="20"/>
        </w:rPr>
      </w:pPr>
      <w:r w:rsidRPr="002A5FDF">
        <w:rPr>
          <w:rFonts w:cs="Calibri"/>
          <w:i/>
          <w:sz w:val="18"/>
          <w:szCs w:val="20"/>
        </w:rPr>
        <w:t xml:space="preserve">Źródło: </w:t>
      </w:r>
      <w:r w:rsidRPr="002A5FDF">
        <w:rPr>
          <w:rFonts w:cs="Calibri"/>
          <w:i/>
          <w:sz w:val="18"/>
          <w:szCs w:val="16"/>
        </w:rPr>
        <w:t>RPO WZ 2014-2020</w:t>
      </w:r>
      <w:r w:rsidR="00E66B89" w:rsidRPr="002A5FDF">
        <w:rPr>
          <w:rFonts w:cs="Calibri"/>
          <w:i/>
          <w:sz w:val="18"/>
          <w:szCs w:val="16"/>
        </w:rPr>
        <w:t xml:space="preserve"> z </w:t>
      </w:r>
      <w:r w:rsidRPr="002A5FDF">
        <w:rPr>
          <w:rFonts w:cs="Calibri"/>
          <w:i/>
          <w:sz w:val="18"/>
          <w:szCs w:val="16"/>
        </w:rPr>
        <w:t>26.07.2018 r., informacja kwartalna za IV kw. 2018 r., obliczenia % realizacji wartości docelowej RW na podstawie danych SL2014</w:t>
      </w:r>
      <w:r w:rsidR="00E66B89" w:rsidRPr="002A5FDF">
        <w:rPr>
          <w:rFonts w:cs="Calibri"/>
          <w:i/>
          <w:sz w:val="18"/>
          <w:szCs w:val="16"/>
        </w:rPr>
        <w:t xml:space="preserve"> z </w:t>
      </w:r>
      <w:r w:rsidRPr="002A5FDF">
        <w:rPr>
          <w:rFonts w:cs="Calibri"/>
          <w:i/>
          <w:sz w:val="18"/>
          <w:szCs w:val="16"/>
        </w:rPr>
        <w:t>dnia 07.01.2019 r.</w:t>
      </w:r>
    </w:p>
    <w:p w14:paraId="4C6142DA" w14:textId="77777777" w:rsidR="00BA3B1C" w:rsidRPr="002A5FDF" w:rsidRDefault="00BA3B1C" w:rsidP="00BA3B1C">
      <w:pPr>
        <w:spacing w:after="200" w:line="276" w:lineRule="auto"/>
        <w:rPr>
          <w:rFonts w:cs="Calibri"/>
          <w:sz w:val="22"/>
          <w:szCs w:val="20"/>
        </w:rPr>
        <w:sectPr w:rsidR="00BA3B1C" w:rsidRPr="002A5FDF" w:rsidSect="008506D9">
          <w:footerReference w:type="default" r:id="rId29"/>
          <w:footerReference w:type="first" r:id="rId30"/>
          <w:pgSz w:w="11906" w:h="16838"/>
          <w:pgMar w:top="1417" w:right="1417" w:bottom="1417" w:left="1417" w:header="708" w:footer="708" w:gutter="0"/>
          <w:cols w:space="708"/>
          <w:titlePg/>
          <w:docGrid w:linePitch="360"/>
        </w:sectPr>
      </w:pPr>
    </w:p>
    <w:p w14:paraId="4A4E88C6" w14:textId="77777777" w:rsidR="00BA3B1C" w:rsidRPr="00FE43CD" w:rsidRDefault="00BA3B1C" w:rsidP="00BA3B1C">
      <w:pPr>
        <w:pStyle w:val="Nagwek3"/>
      </w:pPr>
      <w:r w:rsidRPr="00FE43CD">
        <w:lastRenderedPageBreak/>
        <w:t xml:space="preserve">Priorytet inwestycyjny nr </w:t>
      </w:r>
      <w:r>
        <w:t>1b</w:t>
      </w:r>
      <w:r w:rsidRPr="00FE43CD">
        <w:t xml:space="preserve"> (Działania </w:t>
      </w:r>
      <w:r>
        <w:t>1.1</w:t>
      </w:r>
      <w:r w:rsidRPr="00FE43CD">
        <w:t xml:space="preserve">, </w:t>
      </w:r>
      <w:r>
        <w:t>1.2</w:t>
      </w:r>
      <w:r w:rsidRPr="00FE43CD">
        <w:t>)</w:t>
      </w:r>
    </w:p>
    <w:p w14:paraId="41E1FD21"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15B8B5BB" w14:textId="77777777" w:rsidR="00BA3B1C" w:rsidRPr="00404DA5" w:rsidRDefault="00BA3B1C" w:rsidP="00BA3B1C">
      <w:pPr>
        <w:spacing w:after="200" w:line="276" w:lineRule="auto"/>
        <w:rPr>
          <w:rFonts w:cs="Calibri"/>
          <w:szCs w:val="20"/>
        </w:rPr>
      </w:pPr>
      <w:r w:rsidRPr="00404DA5">
        <w:rPr>
          <w:rFonts w:cs="Calibri"/>
          <w:szCs w:val="20"/>
        </w:rPr>
        <w:t>Dwa spośród czterech wskaźników produktu przyjętych dla PI 1b zostały już osiągnięte</w:t>
      </w:r>
      <w:r w:rsidR="00E66B89">
        <w:rPr>
          <w:rFonts w:cs="Calibri"/>
          <w:szCs w:val="20"/>
        </w:rPr>
        <w:t xml:space="preserve"> w </w:t>
      </w:r>
      <w:r w:rsidRPr="00404DA5">
        <w:rPr>
          <w:rFonts w:cs="Calibri"/>
          <w:szCs w:val="20"/>
        </w:rPr>
        <w:t>oparciu</w:t>
      </w:r>
      <w:r w:rsidR="00E66B89">
        <w:rPr>
          <w:rFonts w:cs="Calibri"/>
          <w:szCs w:val="20"/>
        </w:rPr>
        <w:t xml:space="preserve"> o </w:t>
      </w:r>
      <w:r>
        <w:rPr>
          <w:rFonts w:cs="Calibri"/>
          <w:szCs w:val="20"/>
        </w:rPr>
        <w:t>deklaracje beneficjentów zawarte</w:t>
      </w:r>
      <w:r w:rsidR="00E66B89">
        <w:rPr>
          <w:rFonts w:cs="Calibri"/>
          <w:szCs w:val="20"/>
        </w:rPr>
        <w:t xml:space="preserve"> w </w:t>
      </w:r>
      <w:r w:rsidRPr="00404DA5">
        <w:rPr>
          <w:rFonts w:cs="Calibri"/>
          <w:szCs w:val="20"/>
        </w:rPr>
        <w:t>um</w:t>
      </w:r>
      <w:r>
        <w:rPr>
          <w:rFonts w:cs="Calibri"/>
          <w:szCs w:val="20"/>
        </w:rPr>
        <w:t>owach</w:t>
      </w:r>
      <w:r w:rsidR="00E66B89">
        <w:rPr>
          <w:rFonts w:cs="Calibri"/>
          <w:szCs w:val="20"/>
        </w:rPr>
        <w:t xml:space="preserve"> o </w:t>
      </w:r>
      <w:r w:rsidRPr="00404DA5">
        <w:rPr>
          <w:rFonts w:cs="Calibri"/>
          <w:szCs w:val="20"/>
        </w:rPr>
        <w:t>dofinansowanie (</w:t>
      </w:r>
      <w:r>
        <w:rPr>
          <w:rFonts w:cs="Calibri"/>
          <w:szCs w:val="20"/>
        </w:rPr>
        <w:t>tabela poniżej</w:t>
      </w:r>
      <w:r w:rsidRPr="00404DA5">
        <w:rPr>
          <w:rFonts w:cs="Calibri"/>
          <w:szCs w:val="20"/>
        </w:rPr>
        <w:t xml:space="preserve">). </w:t>
      </w:r>
      <w:r>
        <w:rPr>
          <w:rFonts w:cs="Calibri"/>
          <w:szCs w:val="20"/>
        </w:rPr>
        <w:t>Są to następujące</w:t>
      </w:r>
      <w:r w:rsidRPr="00404DA5">
        <w:rPr>
          <w:rFonts w:cs="Calibri"/>
          <w:szCs w:val="20"/>
        </w:rPr>
        <w:t xml:space="preserve"> wskaźniki: </w:t>
      </w:r>
      <w:r w:rsidRPr="000E4365">
        <w:rPr>
          <w:rFonts w:cs="Calibri"/>
          <w:i/>
          <w:szCs w:val="20"/>
        </w:rPr>
        <w:t>Liczba przedsiębiorstw otrzymujących wsparcie</w:t>
      </w:r>
      <w:r w:rsidR="00E66B89">
        <w:rPr>
          <w:rFonts w:cs="Calibri"/>
          <w:szCs w:val="20"/>
        </w:rPr>
        <w:t xml:space="preserve"> i </w:t>
      </w:r>
      <w:r w:rsidRPr="000E4365">
        <w:rPr>
          <w:rFonts w:cs="Calibri"/>
          <w:i/>
          <w:szCs w:val="20"/>
        </w:rPr>
        <w:t>Liczba przedsiębiorstw otrzymujących dotacje</w:t>
      </w:r>
      <w:r w:rsidRPr="00404DA5">
        <w:rPr>
          <w:rFonts w:cs="Calibri"/>
          <w:szCs w:val="20"/>
        </w:rPr>
        <w:t xml:space="preserve">. Znaczny stopień przekroczenia wartości docelowych </w:t>
      </w:r>
      <w:r>
        <w:rPr>
          <w:rFonts w:cs="Calibri"/>
          <w:szCs w:val="20"/>
        </w:rPr>
        <w:t>wyżej wskazanych</w:t>
      </w:r>
      <w:r w:rsidRPr="00404DA5">
        <w:rPr>
          <w:rFonts w:cs="Calibri"/>
          <w:szCs w:val="20"/>
        </w:rPr>
        <w:t xml:space="preserve"> wskaźnik</w:t>
      </w:r>
      <w:r>
        <w:rPr>
          <w:rFonts w:cs="Calibri"/>
          <w:szCs w:val="20"/>
        </w:rPr>
        <w:t>ów</w:t>
      </w:r>
      <w:r w:rsidRPr="00404DA5">
        <w:rPr>
          <w:rFonts w:cs="Calibri"/>
          <w:szCs w:val="20"/>
        </w:rPr>
        <w:t xml:space="preserve"> wynika</w:t>
      </w:r>
      <w:r w:rsidR="00E66B89">
        <w:rPr>
          <w:rFonts w:cs="Calibri"/>
          <w:szCs w:val="20"/>
        </w:rPr>
        <w:t xml:space="preserve"> z </w:t>
      </w:r>
      <w:r w:rsidRPr="00404DA5">
        <w:rPr>
          <w:rFonts w:cs="Calibri"/>
          <w:szCs w:val="20"/>
        </w:rPr>
        <w:t>istotnych różnic</w:t>
      </w:r>
      <w:r w:rsidR="00E66B89">
        <w:rPr>
          <w:rFonts w:cs="Calibri"/>
          <w:szCs w:val="20"/>
        </w:rPr>
        <w:t xml:space="preserve"> w </w:t>
      </w:r>
      <w:r w:rsidRPr="00404DA5">
        <w:rPr>
          <w:rFonts w:cs="Calibri"/>
          <w:szCs w:val="20"/>
        </w:rPr>
        <w:t>odniesieniu do rzeczywistego kosztu jednostkowego</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założeniami poczynionymi na etapie programowania interwencji. Na potrzeby oszacowania wartości docelowej obu tych wskaźników przyjęto następujące założenia</w:t>
      </w:r>
      <w:r>
        <w:rPr>
          <w:rFonts w:cs="Calibri"/>
          <w:szCs w:val="20"/>
        </w:rPr>
        <w:t xml:space="preserve"> (w </w:t>
      </w:r>
      <w:r w:rsidRPr="00404DA5">
        <w:rPr>
          <w:rFonts w:cs="Calibri"/>
          <w:szCs w:val="20"/>
        </w:rPr>
        <w:t>odniesieniu do średniego kosztu jednostkowego</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dane historyczne</w:t>
      </w:r>
      <w:r w:rsidR="00E66B89">
        <w:rPr>
          <w:rFonts w:cs="Calibri"/>
          <w:szCs w:val="20"/>
        </w:rPr>
        <w:t xml:space="preserve"> z </w:t>
      </w:r>
      <w:r w:rsidRPr="00404DA5">
        <w:rPr>
          <w:rFonts w:cs="Calibri"/>
          <w:szCs w:val="20"/>
        </w:rPr>
        <w:t>poprzedniej perspektywy finansowania na lata 2007-2013</w:t>
      </w:r>
      <w:r>
        <w:rPr>
          <w:rFonts w:cs="Calibri"/>
          <w:szCs w:val="20"/>
        </w:rPr>
        <w:t>)</w:t>
      </w:r>
      <w:r w:rsidRPr="00404DA5">
        <w:rPr>
          <w:rFonts w:cs="Calibri"/>
          <w:szCs w:val="20"/>
        </w:rPr>
        <w:t>:</w:t>
      </w:r>
    </w:p>
    <w:p w14:paraId="6A207922" w14:textId="77777777" w:rsidR="00BA3B1C" w:rsidRPr="00404DA5" w:rsidRDefault="00BA3B1C" w:rsidP="00093E14">
      <w:pPr>
        <w:pStyle w:val="Akapitzlist"/>
        <w:numPr>
          <w:ilvl w:val="0"/>
          <w:numId w:val="55"/>
        </w:numPr>
        <w:spacing w:before="0"/>
        <w:rPr>
          <w:rFonts w:ascii="Lato" w:hAnsi="Lato" w:cs="Calibri"/>
          <w:sz w:val="20"/>
          <w:szCs w:val="20"/>
        </w:rPr>
      </w:pPr>
      <w:r w:rsidRPr="00404DA5">
        <w:rPr>
          <w:rFonts w:ascii="Lato" w:hAnsi="Lato" w:cs="Calibri"/>
          <w:sz w:val="20"/>
          <w:szCs w:val="20"/>
        </w:rPr>
        <w:t xml:space="preserve">dla typu projektów </w:t>
      </w:r>
      <w:r w:rsidRPr="00E9161E">
        <w:rPr>
          <w:rFonts w:ascii="Lato" w:hAnsi="Lato" w:cs="Calibri"/>
          <w:i/>
          <w:sz w:val="20"/>
          <w:szCs w:val="20"/>
        </w:rPr>
        <w:t>Tworzenie</w:t>
      </w:r>
      <w:r w:rsidR="00E66B89">
        <w:rPr>
          <w:rFonts w:ascii="Lato" w:hAnsi="Lato" w:cs="Calibri"/>
          <w:i/>
          <w:sz w:val="20"/>
          <w:szCs w:val="20"/>
        </w:rPr>
        <w:t xml:space="preserve"> i </w:t>
      </w:r>
      <w:r w:rsidRPr="00E9161E">
        <w:rPr>
          <w:rFonts w:ascii="Lato" w:hAnsi="Lato" w:cs="Calibri"/>
          <w:i/>
          <w:sz w:val="20"/>
          <w:szCs w:val="20"/>
        </w:rPr>
        <w:t>rozwój infrastruktury B+R</w:t>
      </w:r>
      <w:r w:rsidR="00E66B89">
        <w:rPr>
          <w:rFonts w:ascii="Lato" w:hAnsi="Lato" w:cs="Calibri"/>
          <w:i/>
          <w:sz w:val="20"/>
          <w:szCs w:val="20"/>
        </w:rPr>
        <w:t xml:space="preserve"> w </w:t>
      </w:r>
      <w:r w:rsidRPr="00E9161E">
        <w:rPr>
          <w:rFonts w:ascii="Lato" w:hAnsi="Lato" w:cs="Calibri"/>
          <w:i/>
          <w:sz w:val="20"/>
          <w:szCs w:val="20"/>
        </w:rPr>
        <w:t>przedsiębiorstwach</w:t>
      </w:r>
      <w:r w:rsidRPr="00404DA5">
        <w:rPr>
          <w:rFonts w:ascii="Lato" w:hAnsi="Lato" w:cs="Calibri"/>
          <w:sz w:val="20"/>
          <w:szCs w:val="20"/>
        </w:rPr>
        <w:t xml:space="preserve"> - średni koszt jednostkowy</w:t>
      </w:r>
      <w:r w:rsidR="00E66B89">
        <w:rPr>
          <w:rFonts w:ascii="Lato" w:hAnsi="Lato" w:cs="Calibri"/>
          <w:sz w:val="20"/>
          <w:szCs w:val="20"/>
        </w:rPr>
        <w:t xml:space="preserve"> w </w:t>
      </w:r>
      <w:r w:rsidRPr="00404DA5">
        <w:rPr>
          <w:rFonts w:ascii="Lato" w:hAnsi="Lato" w:cs="Calibri"/>
          <w:sz w:val="20"/>
          <w:szCs w:val="20"/>
        </w:rPr>
        <w:t>wysokości 2 339 tys. zł (założono wsparcie 26 przedsiębiorstw</w:t>
      </w:r>
      <w:r w:rsidR="00E66B89">
        <w:rPr>
          <w:rFonts w:ascii="Lato" w:hAnsi="Lato" w:cs="Calibri"/>
          <w:sz w:val="20"/>
          <w:szCs w:val="20"/>
        </w:rPr>
        <w:t xml:space="preserve"> w </w:t>
      </w:r>
      <w:r w:rsidRPr="00404DA5">
        <w:rPr>
          <w:rFonts w:ascii="Lato" w:hAnsi="Lato" w:cs="Calibri"/>
          <w:sz w:val="20"/>
          <w:szCs w:val="20"/>
        </w:rPr>
        <w:t>tym typie projektów);</w:t>
      </w:r>
    </w:p>
    <w:p w14:paraId="7AD40203" w14:textId="77777777" w:rsidR="00BA3B1C" w:rsidRPr="00404DA5" w:rsidRDefault="00BA3B1C" w:rsidP="00093E14">
      <w:pPr>
        <w:pStyle w:val="Akapitzlist"/>
        <w:numPr>
          <w:ilvl w:val="0"/>
          <w:numId w:val="55"/>
        </w:numPr>
        <w:spacing w:before="0"/>
        <w:rPr>
          <w:rFonts w:ascii="Lato" w:hAnsi="Lato" w:cs="Calibri"/>
          <w:sz w:val="20"/>
          <w:szCs w:val="20"/>
        </w:rPr>
      </w:pPr>
      <w:r w:rsidRPr="00404DA5">
        <w:rPr>
          <w:rFonts w:ascii="Lato" w:hAnsi="Lato" w:cs="Calibri"/>
          <w:sz w:val="20"/>
          <w:szCs w:val="20"/>
        </w:rPr>
        <w:t xml:space="preserve">dla typu projektów </w:t>
      </w:r>
      <w:r w:rsidRPr="00E9161E">
        <w:rPr>
          <w:rFonts w:ascii="Lato" w:hAnsi="Lato" w:cs="Calibri"/>
          <w:i/>
          <w:sz w:val="20"/>
          <w:szCs w:val="20"/>
        </w:rPr>
        <w:t>Projekty przedsiębiorstw polegające na prowadzeniu badań naukowych, badań przemysłowych lub prac rozwojowych wraz</w:t>
      </w:r>
      <w:r w:rsidR="00E66B89">
        <w:rPr>
          <w:rFonts w:ascii="Lato" w:hAnsi="Lato" w:cs="Calibri"/>
          <w:i/>
          <w:sz w:val="20"/>
          <w:szCs w:val="20"/>
        </w:rPr>
        <w:t xml:space="preserve"> z </w:t>
      </w:r>
      <w:r w:rsidRPr="00E9161E">
        <w:rPr>
          <w:rFonts w:ascii="Lato" w:hAnsi="Lato" w:cs="Calibri"/>
          <w:i/>
          <w:sz w:val="20"/>
          <w:szCs w:val="20"/>
        </w:rPr>
        <w:t>przygotowaniem do wdrożenia</w:t>
      </w:r>
      <w:r w:rsidR="00E66B89">
        <w:rPr>
          <w:rFonts w:ascii="Lato" w:hAnsi="Lato" w:cs="Calibri"/>
          <w:i/>
          <w:sz w:val="20"/>
          <w:szCs w:val="20"/>
        </w:rPr>
        <w:t xml:space="preserve"> w </w:t>
      </w:r>
      <w:r w:rsidRPr="00E9161E">
        <w:rPr>
          <w:rFonts w:ascii="Lato" w:hAnsi="Lato" w:cs="Calibri"/>
          <w:i/>
          <w:sz w:val="20"/>
          <w:szCs w:val="20"/>
        </w:rPr>
        <w:t>działalności gospodarczej</w:t>
      </w:r>
      <w:r w:rsidRPr="00404DA5">
        <w:rPr>
          <w:rFonts w:ascii="Lato" w:hAnsi="Lato" w:cs="Calibri"/>
          <w:sz w:val="20"/>
          <w:szCs w:val="20"/>
        </w:rPr>
        <w:t xml:space="preserve"> - średni koszt jednostkowy</w:t>
      </w:r>
      <w:r w:rsidR="00E66B89">
        <w:rPr>
          <w:rFonts w:ascii="Lato" w:hAnsi="Lato" w:cs="Calibri"/>
          <w:sz w:val="20"/>
          <w:szCs w:val="20"/>
        </w:rPr>
        <w:t xml:space="preserve"> w </w:t>
      </w:r>
      <w:r w:rsidRPr="00404DA5">
        <w:rPr>
          <w:rFonts w:ascii="Lato" w:hAnsi="Lato" w:cs="Calibri"/>
          <w:sz w:val="20"/>
          <w:szCs w:val="20"/>
        </w:rPr>
        <w:t>wysokości 4 151 tys. zł (założono wsparcie 7 przedsiębiorstw</w:t>
      </w:r>
      <w:r w:rsidR="00E66B89">
        <w:rPr>
          <w:rFonts w:ascii="Lato" w:hAnsi="Lato" w:cs="Calibri"/>
          <w:sz w:val="20"/>
          <w:szCs w:val="20"/>
        </w:rPr>
        <w:t xml:space="preserve"> w </w:t>
      </w:r>
      <w:r w:rsidRPr="00404DA5">
        <w:rPr>
          <w:rFonts w:ascii="Lato" w:hAnsi="Lato" w:cs="Calibri"/>
          <w:sz w:val="20"/>
          <w:szCs w:val="20"/>
        </w:rPr>
        <w:t>tym typie projektów).</w:t>
      </w:r>
    </w:p>
    <w:p w14:paraId="325E262D" w14:textId="77777777" w:rsidR="00BA3B1C" w:rsidRPr="00404DA5" w:rsidRDefault="00BA3B1C" w:rsidP="00BA3B1C">
      <w:pPr>
        <w:spacing w:after="200" w:line="276" w:lineRule="auto"/>
        <w:rPr>
          <w:rFonts w:cs="Calibri"/>
          <w:szCs w:val="20"/>
        </w:rPr>
      </w:pPr>
      <w:r w:rsidRPr="00404DA5">
        <w:rPr>
          <w:rFonts w:cs="Calibri"/>
          <w:szCs w:val="20"/>
        </w:rPr>
        <w:t>Tymczasem średni koszt jednostkowy</w:t>
      </w:r>
      <w:r w:rsidR="00E66B89">
        <w:rPr>
          <w:rFonts w:cs="Calibri"/>
          <w:szCs w:val="20"/>
        </w:rPr>
        <w:t xml:space="preserve"> w </w:t>
      </w:r>
      <w:r w:rsidRPr="00404DA5">
        <w:rPr>
          <w:rFonts w:cs="Calibri"/>
          <w:szCs w:val="20"/>
        </w:rPr>
        <w:t>projektach mających podpisaną umowę</w:t>
      </w:r>
      <w:r w:rsidR="00E66B89">
        <w:rPr>
          <w:rFonts w:cs="Calibri"/>
          <w:szCs w:val="20"/>
        </w:rPr>
        <w:t xml:space="preserve"> o </w:t>
      </w:r>
      <w:r w:rsidRPr="00404DA5">
        <w:rPr>
          <w:rFonts w:cs="Calibri"/>
          <w:szCs w:val="20"/>
        </w:rPr>
        <w:t>dofinansowanie okazał się znacząco niższy</w:t>
      </w:r>
      <w:r w:rsidR="00E66B89">
        <w:rPr>
          <w:rFonts w:cs="Calibri"/>
          <w:szCs w:val="20"/>
        </w:rPr>
        <w:t xml:space="preserve"> i </w:t>
      </w:r>
      <w:r w:rsidRPr="00404DA5">
        <w:rPr>
          <w:rFonts w:cs="Calibri"/>
          <w:szCs w:val="20"/>
        </w:rPr>
        <w:t>wyniósł 890 tys. zł.</w:t>
      </w:r>
    </w:p>
    <w:p w14:paraId="60EB5434" w14:textId="77777777" w:rsidR="00BA3B1C" w:rsidRPr="00404DA5" w:rsidRDefault="00BA3B1C" w:rsidP="00BA3B1C">
      <w:pPr>
        <w:spacing w:after="200" w:line="276" w:lineRule="auto"/>
        <w:rPr>
          <w:rFonts w:cs="Calibri"/>
          <w:szCs w:val="20"/>
        </w:rPr>
      </w:pPr>
      <w:r w:rsidRPr="00404DA5">
        <w:rPr>
          <w:rFonts w:cs="Calibri"/>
          <w:szCs w:val="20"/>
        </w:rPr>
        <w:t xml:space="preserve">W przypadku pozostałych dwóch wskaźników: </w:t>
      </w:r>
      <w:r w:rsidRPr="00E9161E">
        <w:rPr>
          <w:rFonts w:cs="Calibri"/>
          <w:i/>
          <w:szCs w:val="20"/>
        </w:rPr>
        <w:t>Inwestycje prywatne uzupełniające wsparcie publiczne dla przedsiębiorstw (dotacje)</w:t>
      </w:r>
      <w:r w:rsidRPr="00404DA5">
        <w:rPr>
          <w:rFonts w:cs="Calibri"/>
          <w:szCs w:val="20"/>
        </w:rPr>
        <w:t xml:space="preserve"> oraz </w:t>
      </w:r>
      <w:r w:rsidRPr="00E9161E">
        <w:rPr>
          <w:rFonts w:cs="Calibri"/>
          <w:i/>
          <w:szCs w:val="20"/>
        </w:rPr>
        <w:t>Liczba przedsiębiorstw współpracujących</w:t>
      </w:r>
      <w:r w:rsidR="00E66B89">
        <w:rPr>
          <w:rFonts w:cs="Calibri"/>
          <w:i/>
          <w:szCs w:val="20"/>
        </w:rPr>
        <w:t xml:space="preserve"> z </w:t>
      </w:r>
      <w:r w:rsidRPr="00E9161E">
        <w:rPr>
          <w:rFonts w:cs="Calibri"/>
          <w:i/>
          <w:szCs w:val="20"/>
        </w:rPr>
        <w:t>ośrodkami badawczymi</w:t>
      </w:r>
      <w:r w:rsidRPr="00404DA5">
        <w:rPr>
          <w:rFonts w:cs="Calibri"/>
          <w:szCs w:val="20"/>
        </w:rPr>
        <w:t xml:space="preserve"> dostępna alokacja wystarczy do osiągnięcia wartości docelowych obu wskaźników.</w:t>
      </w:r>
      <w:r w:rsidR="00E66B89">
        <w:rPr>
          <w:rFonts w:cs="Calibri"/>
          <w:szCs w:val="20"/>
        </w:rPr>
        <w:t xml:space="preserve"> W </w:t>
      </w:r>
      <w:r w:rsidRPr="00404DA5">
        <w:rPr>
          <w:rFonts w:cs="Calibri"/>
          <w:szCs w:val="20"/>
        </w:rPr>
        <w:t>odniesieniu do projektów obejmujących swym zakresem inwestycje</w:t>
      </w:r>
      <w:r w:rsidR="00E66B89">
        <w:rPr>
          <w:rFonts w:cs="Calibri"/>
          <w:szCs w:val="20"/>
        </w:rPr>
        <w:t xml:space="preserve"> w </w:t>
      </w:r>
      <w:r w:rsidRPr="00404DA5">
        <w:rPr>
          <w:rFonts w:cs="Calibri"/>
          <w:szCs w:val="20"/>
        </w:rPr>
        <w:t>infrastrukturę B+R oraz projektów obejmujących prace rozwojowe, demonstrację, walidację, pierwszą produkcję</w:t>
      </w:r>
      <w:r w:rsidR="00E66B89">
        <w:rPr>
          <w:rFonts w:cs="Calibri"/>
          <w:szCs w:val="20"/>
        </w:rPr>
        <w:t xml:space="preserve"> i </w:t>
      </w:r>
      <w:r w:rsidRPr="00404DA5">
        <w:rPr>
          <w:rFonts w:cs="Calibri"/>
          <w:szCs w:val="20"/>
        </w:rPr>
        <w:t>przygotowanie do wdrożenia założono, że średni wkład prywatny do projektu</w:t>
      </w:r>
      <w:r w:rsidR="00E66B89">
        <w:rPr>
          <w:rFonts w:cs="Calibri"/>
          <w:szCs w:val="20"/>
        </w:rPr>
        <w:t xml:space="preserve"> w </w:t>
      </w:r>
      <w:r>
        <w:rPr>
          <w:rFonts w:cs="Calibri"/>
          <w:szCs w:val="20"/>
        </w:rPr>
        <w:t>tego typu</w:t>
      </w:r>
      <w:r w:rsidRPr="00404DA5">
        <w:rPr>
          <w:rFonts w:cs="Calibri"/>
          <w:szCs w:val="20"/>
        </w:rPr>
        <w:t xml:space="preserve"> </w:t>
      </w:r>
      <w:r>
        <w:rPr>
          <w:rFonts w:cs="Calibri"/>
          <w:szCs w:val="20"/>
        </w:rPr>
        <w:t>przedsięwzięciach</w:t>
      </w:r>
      <w:r w:rsidRPr="00404DA5">
        <w:rPr>
          <w:rFonts w:cs="Calibri"/>
          <w:szCs w:val="20"/>
        </w:rPr>
        <w:t xml:space="preserve"> wyniesie 50% całkowitych wydatków kwalifikowalnych projektu.</w:t>
      </w:r>
      <w:r w:rsidR="00E66B89">
        <w:rPr>
          <w:rFonts w:cs="Calibri"/>
          <w:szCs w:val="20"/>
        </w:rPr>
        <w:t xml:space="preserve"> W </w:t>
      </w:r>
      <w:r w:rsidRPr="00404DA5">
        <w:rPr>
          <w:rFonts w:cs="Calibri"/>
          <w:szCs w:val="20"/>
        </w:rPr>
        <w:t>drugim typie projektów przyjęto zaś, iż średni wkład prywatny</w:t>
      </w:r>
      <w:r w:rsidR="00E66B89">
        <w:rPr>
          <w:rFonts w:cs="Calibri"/>
          <w:szCs w:val="20"/>
        </w:rPr>
        <w:t xml:space="preserve"> w </w:t>
      </w:r>
      <w:r w:rsidRPr="00404DA5">
        <w:rPr>
          <w:rFonts w:cs="Calibri"/>
          <w:szCs w:val="20"/>
        </w:rPr>
        <w:t xml:space="preserve">ramach projektu wynosić będzie 30% całkowitych wydatków kwalifikowalnych. Dotychczasowy postęp </w:t>
      </w:r>
      <w:r>
        <w:rPr>
          <w:rFonts w:cs="Calibri"/>
          <w:szCs w:val="20"/>
        </w:rPr>
        <w:t>w realizacji</w:t>
      </w:r>
      <w:r w:rsidR="00E66B89">
        <w:rPr>
          <w:rFonts w:cs="Calibri"/>
          <w:szCs w:val="20"/>
        </w:rPr>
        <w:t xml:space="preserve"> i </w:t>
      </w:r>
      <w:r w:rsidRPr="00404DA5">
        <w:rPr>
          <w:rFonts w:cs="Calibri"/>
          <w:szCs w:val="20"/>
        </w:rPr>
        <w:t>planowane</w:t>
      </w:r>
      <w:r w:rsidR="00E66B89">
        <w:rPr>
          <w:rFonts w:cs="Calibri"/>
          <w:szCs w:val="20"/>
        </w:rPr>
        <w:t xml:space="preserve"> w </w:t>
      </w:r>
      <w:r w:rsidRPr="00404DA5">
        <w:rPr>
          <w:rFonts w:cs="Calibri"/>
          <w:szCs w:val="20"/>
        </w:rPr>
        <w:t xml:space="preserve">2019 roku wprowadzenie naboru ciągłego wniosków nie tworzą zagrożeń dla realizacji obu wskaźników przy dostępnej alokacji. </w:t>
      </w:r>
    </w:p>
    <w:p w14:paraId="3F0A3026" w14:textId="77777777" w:rsidR="00BA3B1C" w:rsidRPr="00FE43CD" w:rsidRDefault="00BA3B1C" w:rsidP="006E34DC">
      <w:pPr>
        <w:pStyle w:val="Legenda"/>
        <w:spacing w:after="0"/>
      </w:pPr>
      <w:bookmarkStart w:id="44" w:name="_Ref3458022"/>
      <w:bookmarkStart w:id="45" w:name="_Toc8824115"/>
      <w:r w:rsidRPr="00FE43CD">
        <w:t xml:space="preserve">Tabela </w:t>
      </w:r>
      <w:r>
        <w:fldChar w:fldCharType="begin"/>
      </w:r>
      <w:r>
        <w:instrText xml:space="preserve"> SEQ Tabela \* ARABIC </w:instrText>
      </w:r>
      <w:r>
        <w:fldChar w:fldCharType="separate"/>
      </w:r>
      <w:r w:rsidR="00763345">
        <w:rPr>
          <w:noProof/>
        </w:rPr>
        <w:t>4</w:t>
      </w:r>
      <w:r>
        <w:fldChar w:fldCharType="end"/>
      </w:r>
      <w:bookmarkEnd w:id="44"/>
      <w:r w:rsidRPr="00FE43CD">
        <w:t xml:space="preserve"> Wskaźniki produktu (PI 1</w:t>
      </w:r>
      <w:r>
        <w:t>b</w:t>
      </w:r>
      <w:r w:rsidRPr="00FE43CD">
        <w:t>) – postęp rzeczowy</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900"/>
        <w:gridCol w:w="1546"/>
        <w:gridCol w:w="825"/>
        <w:gridCol w:w="928"/>
        <w:gridCol w:w="972"/>
        <w:gridCol w:w="973"/>
        <w:gridCol w:w="972"/>
        <w:gridCol w:w="973"/>
      </w:tblGrid>
      <w:tr w:rsidR="00BA3B1C" w:rsidRPr="00FE43CD" w14:paraId="6160ABE2" w14:textId="77777777" w:rsidTr="00483EEF">
        <w:trPr>
          <w:tblHeader/>
        </w:trPr>
        <w:tc>
          <w:tcPr>
            <w:tcW w:w="0" w:type="auto"/>
            <w:shd w:val="clear" w:color="auto" w:fill="DBE5F1"/>
            <w:vAlign w:val="center"/>
          </w:tcPr>
          <w:p w14:paraId="04E5F2CE" w14:textId="77777777" w:rsidR="00BA3B1C" w:rsidRPr="00404DA5" w:rsidRDefault="00BA3B1C" w:rsidP="00BA3B1C">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04A089E1" w14:textId="77777777" w:rsidR="00BA3B1C" w:rsidRPr="00404DA5" w:rsidRDefault="00BA3B1C" w:rsidP="00BA3B1C">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1DD62354" w14:textId="77777777" w:rsidR="00BA3B1C" w:rsidRPr="00404DA5" w:rsidRDefault="00BA3B1C" w:rsidP="00BA3B1C">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3B1615E6" w14:textId="77777777" w:rsidR="00BA3B1C" w:rsidRPr="00404DA5" w:rsidRDefault="00BA3B1C" w:rsidP="00BA3B1C">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5952DDDD" w14:textId="77777777" w:rsidR="00BA3B1C" w:rsidRPr="00404DA5" w:rsidRDefault="00BA3B1C" w:rsidP="00BA3B1C">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5B1641CC" w14:textId="77777777" w:rsidR="00BA3B1C" w:rsidRPr="00404DA5" w:rsidRDefault="00BA3B1C" w:rsidP="00BA3B1C">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7FE71921" w14:textId="77777777" w:rsidR="00BA3B1C" w:rsidRPr="00404DA5" w:rsidRDefault="00BA3B1C" w:rsidP="00BA3B1C">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5FBC0803" w14:textId="77777777" w:rsidR="00BA3B1C" w:rsidRPr="00404DA5" w:rsidRDefault="00BA3B1C" w:rsidP="00BA3B1C">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4B8C5333" w14:textId="77777777" w:rsidR="00BA3B1C" w:rsidRPr="00404DA5" w:rsidRDefault="00BA3B1C" w:rsidP="00BA3B1C">
            <w:pPr>
              <w:jc w:val="center"/>
              <w:rPr>
                <w:rFonts w:cs="Calibri"/>
                <w:sz w:val="18"/>
                <w:szCs w:val="18"/>
              </w:rPr>
            </w:pPr>
            <w:r w:rsidRPr="00404DA5">
              <w:rPr>
                <w:rFonts w:cs="Calibri"/>
                <w:sz w:val="18"/>
                <w:szCs w:val="18"/>
              </w:rPr>
              <w:t>% realizacji wartości docelowej (wg WoP)</w:t>
            </w:r>
          </w:p>
        </w:tc>
      </w:tr>
      <w:tr w:rsidR="00BA3B1C" w:rsidRPr="005F320E" w14:paraId="45236F4B" w14:textId="77777777" w:rsidTr="00BA3B1C">
        <w:tc>
          <w:tcPr>
            <w:tcW w:w="0" w:type="auto"/>
            <w:shd w:val="clear" w:color="auto" w:fill="auto"/>
            <w:vAlign w:val="center"/>
          </w:tcPr>
          <w:p w14:paraId="54AEED91" w14:textId="77777777" w:rsidR="00BA3B1C" w:rsidRPr="00404DA5" w:rsidRDefault="00BA3B1C" w:rsidP="00BA3B1C">
            <w:pPr>
              <w:jc w:val="center"/>
              <w:rPr>
                <w:rFonts w:cs="Calibri"/>
                <w:sz w:val="18"/>
                <w:szCs w:val="18"/>
              </w:rPr>
            </w:pPr>
            <w:r w:rsidRPr="00404DA5">
              <w:rPr>
                <w:rFonts w:cs="Calibri"/>
                <w:sz w:val="18"/>
                <w:szCs w:val="18"/>
              </w:rPr>
              <w:t>WP</w:t>
            </w:r>
          </w:p>
        </w:tc>
        <w:tc>
          <w:tcPr>
            <w:tcW w:w="0" w:type="auto"/>
            <w:shd w:val="clear" w:color="auto" w:fill="auto"/>
            <w:vAlign w:val="center"/>
          </w:tcPr>
          <w:p w14:paraId="55DCC62A" w14:textId="77777777" w:rsidR="00BA3B1C" w:rsidRPr="00404DA5" w:rsidRDefault="00BA3B1C" w:rsidP="00BA3B1C">
            <w:pPr>
              <w:jc w:val="center"/>
              <w:rPr>
                <w:rFonts w:cs="Calibri"/>
                <w:sz w:val="18"/>
                <w:szCs w:val="18"/>
              </w:rPr>
            </w:pPr>
            <w:r w:rsidRPr="00404DA5">
              <w:rPr>
                <w:rFonts w:cs="Calibri"/>
                <w:sz w:val="18"/>
                <w:szCs w:val="18"/>
              </w:rPr>
              <w:t>1.1</w:t>
            </w:r>
            <w:r w:rsidRPr="00404DA5">
              <w:rPr>
                <w:rFonts w:cs="Calibri"/>
                <w:sz w:val="18"/>
                <w:szCs w:val="18"/>
              </w:rPr>
              <w:br/>
              <w:t>1.2</w:t>
            </w:r>
          </w:p>
        </w:tc>
        <w:tc>
          <w:tcPr>
            <w:tcW w:w="0" w:type="auto"/>
            <w:shd w:val="clear" w:color="auto" w:fill="auto"/>
            <w:vAlign w:val="center"/>
          </w:tcPr>
          <w:p w14:paraId="11AB2814" w14:textId="77777777" w:rsidR="00BA3B1C" w:rsidRPr="00404DA5" w:rsidRDefault="00BA3B1C" w:rsidP="00BA3B1C">
            <w:pPr>
              <w:jc w:val="center"/>
              <w:rPr>
                <w:rFonts w:cs="Calibri"/>
                <w:sz w:val="18"/>
                <w:szCs w:val="18"/>
              </w:rPr>
            </w:pPr>
            <w:r w:rsidRPr="00404DA5">
              <w:rPr>
                <w:rFonts w:cs="Calibri"/>
                <w:sz w:val="18"/>
                <w:szCs w:val="18"/>
              </w:rPr>
              <w:t>Liczba przedsiębiorstw otrzymujących wsparcie</w:t>
            </w:r>
          </w:p>
        </w:tc>
        <w:tc>
          <w:tcPr>
            <w:tcW w:w="0" w:type="auto"/>
            <w:shd w:val="clear" w:color="auto" w:fill="auto"/>
            <w:vAlign w:val="center"/>
          </w:tcPr>
          <w:p w14:paraId="6E2D538A" w14:textId="77777777" w:rsidR="00BA3B1C" w:rsidRPr="00404DA5" w:rsidRDefault="00BA3B1C" w:rsidP="00BA3B1C">
            <w:pPr>
              <w:jc w:val="center"/>
              <w:rPr>
                <w:rFonts w:cs="Calibri"/>
                <w:sz w:val="18"/>
                <w:szCs w:val="18"/>
              </w:rPr>
            </w:pPr>
            <w:r w:rsidRPr="00404DA5">
              <w:rPr>
                <w:rFonts w:cs="Calibri"/>
                <w:sz w:val="18"/>
                <w:szCs w:val="18"/>
              </w:rPr>
              <w:t>szt.</w:t>
            </w:r>
          </w:p>
        </w:tc>
        <w:tc>
          <w:tcPr>
            <w:tcW w:w="0" w:type="auto"/>
            <w:shd w:val="clear" w:color="auto" w:fill="auto"/>
            <w:vAlign w:val="center"/>
          </w:tcPr>
          <w:p w14:paraId="5BEAD1E3" w14:textId="77777777" w:rsidR="00BA3B1C" w:rsidRPr="00404DA5" w:rsidRDefault="00BA3B1C" w:rsidP="00BA3B1C">
            <w:pPr>
              <w:jc w:val="center"/>
              <w:rPr>
                <w:rFonts w:cs="Calibri"/>
                <w:sz w:val="18"/>
                <w:szCs w:val="18"/>
              </w:rPr>
            </w:pPr>
            <w:r w:rsidRPr="00404DA5">
              <w:rPr>
                <w:rFonts w:cs="Calibri"/>
                <w:sz w:val="18"/>
                <w:szCs w:val="18"/>
              </w:rPr>
              <w:t>33</w:t>
            </w:r>
          </w:p>
        </w:tc>
        <w:tc>
          <w:tcPr>
            <w:tcW w:w="0" w:type="auto"/>
            <w:shd w:val="clear" w:color="auto" w:fill="auto"/>
            <w:vAlign w:val="center"/>
          </w:tcPr>
          <w:p w14:paraId="5A82DBF0" w14:textId="77777777" w:rsidR="00BA3B1C" w:rsidRPr="00404DA5" w:rsidRDefault="00BA3B1C" w:rsidP="00BA3B1C">
            <w:pPr>
              <w:jc w:val="center"/>
              <w:rPr>
                <w:rFonts w:cs="Calibri"/>
                <w:sz w:val="18"/>
                <w:szCs w:val="18"/>
              </w:rPr>
            </w:pPr>
            <w:r w:rsidRPr="00404DA5">
              <w:rPr>
                <w:rFonts w:cs="Calibri"/>
                <w:sz w:val="18"/>
                <w:szCs w:val="18"/>
              </w:rPr>
              <w:t>64</w:t>
            </w:r>
          </w:p>
        </w:tc>
        <w:tc>
          <w:tcPr>
            <w:tcW w:w="0" w:type="auto"/>
            <w:shd w:val="clear" w:color="auto" w:fill="auto"/>
            <w:vAlign w:val="center"/>
          </w:tcPr>
          <w:p w14:paraId="693C644C" w14:textId="77777777" w:rsidR="00BA3B1C" w:rsidRPr="00404DA5" w:rsidRDefault="00BA3B1C" w:rsidP="00BA3B1C">
            <w:pPr>
              <w:jc w:val="center"/>
              <w:rPr>
                <w:rFonts w:cs="Calibri"/>
                <w:sz w:val="18"/>
                <w:szCs w:val="18"/>
              </w:rPr>
            </w:pPr>
            <w:r w:rsidRPr="00404DA5">
              <w:rPr>
                <w:rFonts w:cs="Calibri"/>
                <w:sz w:val="18"/>
                <w:szCs w:val="18"/>
              </w:rPr>
              <w:t>193,9%</w:t>
            </w:r>
          </w:p>
        </w:tc>
        <w:tc>
          <w:tcPr>
            <w:tcW w:w="0" w:type="auto"/>
            <w:shd w:val="clear" w:color="auto" w:fill="auto"/>
            <w:vAlign w:val="center"/>
          </w:tcPr>
          <w:p w14:paraId="4CE096D8" w14:textId="77777777" w:rsidR="00BA3B1C" w:rsidRPr="00404DA5" w:rsidRDefault="00BA3B1C" w:rsidP="00BA3B1C">
            <w:pPr>
              <w:jc w:val="center"/>
              <w:rPr>
                <w:rFonts w:cs="Calibri"/>
                <w:sz w:val="18"/>
                <w:szCs w:val="18"/>
              </w:rPr>
            </w:pPr>
            <w:r w:rsidRPr="00184554">
              <w:rPr>
                <w:rFonts w:cs="Calibri"/>
                <w:sz w:val="18"/>
                <w:szCs w:val="18"/>
              </w:rPr>
              <w:t>31</w:t>
            </w:r>
          </w:p>
        </w:tc>
        <w:tc>
          <w:tcPr>
            <w:tcW w:w="0" w:type="auto"/>
            <w:shd w:val="clear" w:color="auto" w:fill="auto"/>
            <w:vAlign w:val="center"/>
          </w:tcPr>
          <w:p w14:paraId="5F07B123" w14:textId="77777777" w:rsidR="00BA3B1C" w:rsidRPr="00404DA5" w:rsidRDefault="00BA3B1C" w:rsidP="00BA3B1C">
            <w:pPr>
              <w:jc w:val="center"/>
              <w:rPr>
                <w:rFonts w:cs="Calibri"/>
                <w:sz w:val="18"/>
                <w:szCs w:val="18"/>
              </w:rPr>
            </w:pPr>
            <w:r w:rsidRPr="00184554">
              <w:rPr>
                <w:rFonts w:cs="Calibri"/>
                <w:sz w:val="18"/>
                <w:szCs w:val="18"/>
              </w:rPr>
              <w:t>93,9</w:t>
            </w:r>
            <w:r w:rsidRPr="00404DA5">
              <w:rPr>
                <w:rFonts w:cs="Calibri"/>
                <w:sz w:val="18"/>
                <w:szCs w:val="18"/>
              </w:rPr>
              <w:t>%</w:t>
            </w:r>
          </w:p>
        </w:tc>
      </w:tr>
      <w:tr w:rsidR="00BA3B1C" w:rsidRPr="005F320E" w14:paraId="59A1732B" w14:textId="77777777" w:rsidTr="00BA3B1C">
        <w:tc>
          <w:tcPr>
            <w:tcW w:w="0" w:type="auto"/>
            <w:shd w:val="clear" w:color="auto" w:fill="auto"/>
            <w:vAlign w:val="center"/>
          </w:tcPr>
          <w:p w14:paraId="7B717971" w14:textId="77777777" w:rsidR="00BA3B1C" w:rsidRPr="00404DA5" w:rsidRDefault="00BA3B1C" w:rsidP="00BA3B1C">
            <w:pPr>
              <w:jc w:val="center"/>
              <w:rPr>
                <w:sz w:val="18"/>
                <w:szCs w:val="18"/>
              </w:rPr>
            </w:pPr>
            <w:r w:rsidRPr="00404DA5">
              <w:rPr>
                <w:sz w:val="18"/>
                <w:szCs w:val="18"/>
              </w:rPr>
              <w:t>WP</w:t>
            </w:r>
          </w:p>
        </w:tc>
        <w:tc>
          <w:tcPr>
            <w:tcW w:w="0" w:type="auto"/>
            <w:shd w:val="clear" w:color="auto" w:fill="auto"/>
            <w:vAlign w:val="center"/>
          </w:tcPr>
          <w:p w14:paraId="4B4CE527" w14:textId="77777777" w:rsidR="00BA3B1C" w:rsidRPr="00404DA5" w:rsidRDefault="00BA3B1C" w:rsidP="00BA3B1C">
            <w:pPr>
              <w:jc w:val="center"/>
              <w:rPr>
                <w:rFonts w:cs="Calibri"/>
                <w:sz w:val="18"/>
                <w:szCs w:val="18"/>
              </w:rPr>
            </w:pPr>
            <w:r w:rsidRPr="00404DA5">
              <w:rPr>
                <w:rFonts w:cs="Calibri"/>
                <w:sz w:val="18"/>
                <w:szCs w:val="18"/>
              </w:rPr>
              <w:t>1.1</w:t>
            </w:r>
            <w:r w:rsidRPr="00404DA5">
              <w:rPr>
                <w:rFonts w:cs="Calibri"/>
                <w:sz w:val="18"/>
                <w:szCs w:val="18"/>
              </w:rPr>
              <w:br/>
              <w:t>1.2</w:t>
            </w:r>
          </w:p>
        </w:tc>
        <w:tc>
          <w:tcPr>
            <w:tcW w:w="0" w:type="auto"/>
            <w:shd w:val="clear" w:color="auto" w:fill="auto"/>
            <w:vAlign w:val="center"/>
          </w:tcPr>
          <w:p w14:paraId="5FFFE1CE" w14:textId="77777777" w:rsidR="00BA3B1C" w:rsidRPr="00404DA5" w:rsidRDefault="00BA3B1C" w:rsidP="00BA3B1C">
            <w:pPr>
              <w:jc w:val="center"/>
              <w:rPr>
                <w:rFonts w:cs="Calibri"/>
                <w:sz w:val="18"/>
                <w:szCs w:val="18"/>
              </w:rPr>
            </w:pPr>
            <w:r w:rsidRPr="00404DA5">
              <w:rPr>
                <w:rFonts w:cs="Calibri"/>
                <w:sz w:val="18"/>
                <w:szCs w:val="18"/>
              </w:rPr>
              <w:t>Liczba przedsiębiorstw otrzymujących dotacje</w:t>
            </w:r>
          </w:p>
        </w:tc>
        <w:tc>
          <w:tcPr>
            <w:tcW w:w="0" w:type="auto"/>
            <w:shd w:val="clear" w:color="auto" w:fill="auto"/>
            <w:vAlign w:val="center"/>
          </w:tcPr>
          <w:p w14:paraId="76869777" w14:textId="77777777" w:rsidR="00BA3B1C" w:rsidRPr="00404DA5" w:rsidRDefault="00BA3B1C" w:rsidP="00BA3B1C">
            <w:pPr>
              <w:jc w:val="center"/>
              <w:rPr>
                <w:rFonts w:cs="Calibri"/>
                <w:sz w:val="18"/>
                <w:szCs w:val="18"/>
              </w:rPr>
            </w:pPr>
            <w:r w:rsidRPr="00404DA5">
              <w:rPr>
                <w:rFonts w:cs="Calibri"/>
                <w:sz w:val="18"/>
                <w:szCs w:val="18"/>
              </w:rPr>
              <w:t>szt.</w:t>
            </w:r>
          </w:p>
        </w:tc>
        <w:tc>
          <w:tcPr>
            <w:tcW w:w="0" w:type="auto"/>
            <w:shd w:val="clear" w:color="auto" w:fill="auto"/>
            <w:vAlign w:val="center"/>
          </w:tcPr>
          <w:p w14:paraId="246DA532" w14:textId="77777777" w:rsidR="00BA3B1C" w:rsidRPr="00404DA5" w:rsidRDefault="00BA3B1C" w:rsidP="00BA3B1C">
            <w:pPr>
              <w:jc w:val="center"/>
              <w:rPr>
                <w:rFonts w:cs="Calibri"/>
                <w:sz w:val="18"/>
                <w:szCs w:val="18"/>
              </w:rPr>
            </w:pPr>
            <w:r w:rsidRPr="00404DA5">
              <w:rPr>
                <w:rFonts w:cs="Calibri"/>
                <w:sz w:val="18"/>
                <w:szCs w:val="18"/>
              </w:rPr>
              <w:t>33</w:t>
            </w:r>
          </w:p>
        </w:tc>
        <w:tc>
          <w:tcPr>
            <w:tcW w:w="0" w:type="auto"/>
            <w:shd w:val="clear" w:color="auto" w:fill="auto"/>
            <w:vAlign w:val="center"/>
          </w:tcPr>
          <w:p w14:paraId="1D673779" w14:textId="77777777" w:rsidR="00BA3B1C" w:rsidRPr="00404DA5" w:rsidRDefault="00BA3B1C" w:rsidP="00BA3B1C">
            <w:pPr>
              <w:jc w:val="center"/>
              <w:rPr>
                <w:rFonts w:cs="Calibri"/>
                <w:sz w:val="18"/>
                <w:szCs w:val="18"/>
              </w:rPr>
            </w:pPr>
            <w:r w:rsidRPr="00404DA5">
              <w:rPr>
                <w:rFonts w:cs="Calibri"/>
                <w:sz w:val="18"/>
                <w:szCs w:val="18"/>
              </w:rPr>
              <w:t>64</w:t>
            </w:r>
          </w:p>
        </w:tc>
        <w:tc>
          <w:tcPr>
            <w:tcW w:w="0" w:type="auto"/>
            <w:shd w:val="clear" w:color="auto" w:fill="auto"/>
            <w:vAlign w:val="center"/>
          </w:tcPr>
          <w:p w14:paraId="1BC7DB4D" w14:textId="77777777" w:rsidR="00BA3B1C" w:rsidRPr="00404DA5" w:rsidRDefault="00BA3B1C" w:rsidP="00BA3B1C">
            <w:pPr>
              <w:jc w:val="center"/>
              <w:rPr>
                <w:rFonts w:cs="Calibri"/>
                <w:sz w:val="18"/>
                <w:szCs w:val="18"/>
              </w:rPr>
            </w:pPr>
            <w:r w:rsidRPr="00404DA5">
              <w:rPr>
                <w:rFonts w:cs="Calibri"/>
                <w:sz w:val="18"/>
                <w:szCs w:val="18"/>
              </w:rPr>
              <w:t>193,9%</w:t>
            </w:r>
          </w:p>
        </w:tc>
        <w:tc>
          <w:tcPr>
            <w:tcW w:w="0" w:type="auto"/>
            <w:shd w:val="clear" w:color="auto" w:fill="auto"/>
            <w:vAlign w:val="center"/>
          </w:tcPr>
          <w:p w14:paraId="5D34D13E" w14:textId="77777777" w:rsidR="00BA3B1C" w:rsidRPr="00404DA5" w:rsidRDefault="00BA3B1C" w:rsidP="00BA3B1C">
            <w:pPr>
              <w:jc w:val="center"/>
              <w:rPr>
                <w:rFonts w:cs="Calibri"/>
                <w:sz w:val="18"/>
                <w:szCs w:val="18"/>
              </w:rPr>
            </w:pPr>
            <w:r w:rsidRPr="00184554">
              <w:rPr>
                <w:rFonts w:cs="Calibri"/>
                <w:sz w:val="18"/>
                <w:szCs w:val="18"/>
              </w:rPr>
              <w:t>31</w:t>
            </w:r>
          </w:p>
        </w:tc>
        <w:tc>
          <w:tcPr>
            <w:tcW w:w="0" w:type="auto"/>
            <w:shd w:val="clear" w:color="auto" w:fill="auto"/>
            <w:vAlign w:val="center"/>
          </w:tcPr>
          <w:p w14:paraId="4E4C212C" w14:textId="77777777" w:rsidR="00BA3B1C" w:rsidRPr="00404DA5" w:rsidRDefault="00BA3B1C" w:rsidP="00BA3B1C">
            <w:pPr>
              <w:jc w:val="center"/>
              <w:rPr>
                <w:rFonts w:cs="Calibri"/>
                <w:sz w:val="18"/>
                <w:szCs w:val="18"/>
              </w:rPr>
            </w:pPr>
            <w:r w:rsidRPr="00184554">
              <w:rPr>
                <w:rFonts w:cs="Calibri"/>
                <w:sz w:val="18"/>
                <w:szCs w:val="18"/>
              </w:rPr>
              <w:t>93,9</w:t>
            </w:r>
            <w:r w:rsidRPr="00404DA5">
              <w:rPr>
                <w:rFonts w:cs="Calibri"/>
                <w:sz w:val="18"/>
                <w:szCs w:val="18"/>
              </w:rPr>
              <w:t>%</w:t>
            </w:r>
          </w:p>
        </w:tc>
      </w:tr>
      <w:tr w:rsidR="00BA3B1C" w:rsidRPr="005F320E" w14:paraId="5FF632BC" w14:textId="77777777" w:rsidTr="00BA3B1C">
        <w:tc>
          <w:tcPr>
            <w:tcW w:w="0" w:type="auto"/>
            <w:shd w:val="clear" w:color="auto" w:fill="auto"/>
            <w:vAlign w:val="center"/>
          </w:tcPr>
          <w:p w14:paraId="21CC1ED3" w14:textId="77777777" w:rsidR="00BA3B1C" w:rsidRPr="00404DA5" w:rsidRDefault="00BA3B1C" w:rsidP="00BA3B1C">
            <w:pPr>
              <w:jc w:val="center"/>
              <w:rPr>
                <w:sz w:val="18"/>
                <w:szCs w:val="18"/>
              </w:rPr>
            </w:pPr>
            <w:r w:rsidRPr="00404DA5">
              <w:rPr>
                <w:sz w:val="18"/>
                <w:szCs w:val="18"/>
              </w:rPr>
              <w:lastRenderedPageBreak/>
              <w:t>WP</w:t>
            </w:r>
          </w:p>
        </w:tc>
        <w:tc>
          <w:tcPr>
            <w:tcW w:w="0" w:type="auto"/>
            <w:shd w:val="clear" w:color="auto" w:fill="auto"/>
            <w:vAlign w:val="center"/>
          </w:tcPr>
          <w:p w14:paraId="2EC75534" w14:textId="77777777" w:rsidR="00BA3B1C" w:rsidRPr="00404DA5" w:rsidRDefault="00BA3B1C" w:rsidP="00BA3B1C">
            <w:pPr>
              <w:jc w:val="center"/>
              <w:rPr>
                <w:rFonts w:cs="Calibri"/>
                <w:bCs/>
                <w:sz w:val="18"/>
                <w:szCs w:val="18"/>
              </w:rPr>
            </w:pPr>
            <w:r w:rsidRPr="00404DA5">
              <w:rPr>
                <w:rFonts w:cs="Calibri"/>
                <w:sz w:val="18"/>
                <w:szCs w:val="18"/>
              </w:rPr>
              <w:t>1.1</w:t>
            </w:r>
            <w:r w:rsidRPr="00404DA5">
              <w:rPr>
                <w:rFonts w:cs="Calibri"/>
                <w:sz w:val="18"/>
                <w:szCs w:val="18"/>
              </w:rPr>
              <w:br/>
              <w:t>1.2</w:t>
            </w:r>
          </w:p>
        </w:tc>
        <w:tc>
          <w:tcPr>
            <w:tcW w:w="0" w:type="auto"/>
            <w:shd w:val="clear" w:color="auto" w:fill="auto"/>
            <w:vAlign w:val="center"/>
          </w:tcPr>
          <w:p w14:paraId="301C697C" w14:textId="77777777" w:rsidR="00BA3B1C" w:rsidRPr="00404DA5" w:rsidRDefault="00BA3B1C" w:rsidP="00BA3B1C">
            <w:pPr>
              <w:jc w:val="center"/>
              <w:rPr>
                <w:rFonts w:cs="Calibri"/>
                <w:bCs/>
                <w:sz w:val="18"/>
                <w:szCs w:val="18"/>
              </w:rPr>
            </w:pPr>
            <w:r w:rsidRPr="00404DA5">
              <w:rPr>
                <w:rFonts w:cs="Calibri"/>
                <w:bCs/>
                <w:sz w:val="18"/>
                <w:szCs w:val="18"/>
              </w:rPr>
              <w:t>Inwestycje prywatne uzupełniające wsparcie publiczne dla przedsiębiorstw (dotacje)</w:t>
            </w:r>
          </w:p>
        </w:tc>
        <w:tc>
          <w:tcPr>
            <w:tcW w:w="0" w:type="auto"/>
            <w:shd w:val="clear" w:color="auto" w:fill="auto"/>
            <w:vAlign w:val="center"/>
          </w:tcPr>
          <w:p w14:paraId="4D07795C" w14:textId="77777777" w:rsidR="00BA3B1C" w:rsidRPr="00404DA5" w:rsidRDefault="00BA3B1C" w:rsidP="00BA3B1C">
            <w:pPr>
              <w:jc w:val="center"/>
              <w:rPr>
                <w:rFonts w:cs="Calibri"/>
                <w:bCs/>
                <w:sz w:val="18"/>
                <w:szCs w:val="18"/>
              </w:rPr>
            </w:pPr>
            <w:r w:rsidRPr="00404DA5">
              <w:rPr>
                <w:rFonts w:cs="Calibri"/>
                <w:bCs/>
                <w:sz w:val="18"/>
                <w:szCs w:val="18"/>
              </w:rPr>
              <w:t>EUR</w:t>
            </w:r>
          </w:p>
        </w:tc>
        <w:tc>
          <w:tcPr>
            <w:tcW w:w="0" w:type="auto"/>
            <w:shd w:val="clear" w:color="auto" w:fill="auto"/>
            <w:vAlign w:val="center"/>
          </w:tcPr>
          <w:p w14:paraId="32C7AAEB" w14:textId="77777777" w:rsidR="00BA3B1C" w:rsidRPr="00404DA5" w:rsidRDefault="00BA3B1C" w:rsidP="00BA3B1C">
            <w:pPr>
              <w:jc w:val="center"/>
              <w:rPr>
                <w:rFonts w:cs="Calibri"/>
                <w:sz w:val="18"/>
                <w:szCs w:val="18"/>
              </w:rPr>
            </w:pPr>
            <w:r w:rsidRPr="00404DA5">
              <w:rPr>
                <w:rFonts w:cs="Calibri"/>
                <w:sz w:val="18"/>
                <w:szCs w:val="18"/>
              </w:rPr>
              <w:t>38 350 000</w:t>
            </w:r>
          </w:p>
        </w:tc>
        <w:tc>
          <w:tcPr>
            <w:tcW w:w="0" w:type="auto"/>
            <w:shd w:val="clear" w:color="auto" w:fill="auto"/>
            <w:vAlign w:val="center"/>
          </w:tcPr>
          <w:p w14:paraId="30F4D3D0" w14:textId="77777777" w:rsidR="00BA3B1C" w:rsidRPr="00404DA5" w:rsidRDefault="00BA3B1C" w:rsidP="00BA3B1C">
            <w:pPr>
              <w:jc w:val="center"/>
              <w:rPr>
                <w:rFonts w:cs="Calibri"/>
                <w:sz w:val="18"/>
                <w:szCs w:val="18"/>
              </w:rPr>
            </w:pPr>
            <w:r w:rsidRPr="00404DA5">
              <w:rPr>
                <w:rFonts w:cs="Calibri"/>
                <w:sz w:val="18"/>
                <w:szCs w:val="18"/>
              </w:rPr>
              <w:t>10 925 199</w:t>
            </w:r>
          </w:p>
        </w:tc>
        <w:tc>
          <w:tcPr>
            <w:tcW w:w="0" w:type="auto"/>
            <w:shd w:val="clear" w:color="auto" w:fill="auto"/>
            <w:vAlign w:val="center"/>
          </w:tcPr>
          <w:p w14:paraId="3B6E8F41" w14:textId="77777777" w:rsidR="00BA3B1C" w:rsidRPr="00404DA5" w:rsidRDefault="00BA3B1C" w:rsidP="00BA3B1C">
            <w:pPr>
              <w:jc w:val="center"/>
              <w:rPr>
                <w:rFonts w:cs="Calibri"/>
                <w:sz w:val="18"/>
                <w:szCs w:val="18"/>
              </w:rPr>
            </w:pPr>
            <w:r w:rsidRPr="00404DA5">
              <w:rPr>
                <w:rFonts w:cs="Calibri"/>
                <w:sz w:val="18"/>
                <w:szCs w:val="18"/>
              </w:rPr>
              <w:t>28,5%</w:t>
            </w:r>
          </w:p>
        </w:tc>
        <w:tc>
          <w:tcPr>
            <w:tcW w:w="0" w:type="auto"/>
            <w:shd w:val="clear" w:color="auto" w:fill="auto"/>
            <w:vAlign w:val="center"/>
          </w:tcPr>
          <w:p w14:paraId="1B7A8F66" w14:textId="77777777" w:rsidR="00BA3B1C" w:rsidRPr="00404DA5" w:rsidRDefault="00BA3B1C" w:rsidP="00BA3B1C">
            <w:pPr>
              <w:jc w:val="center"/>
              <w:rPr>
                <w:rFonts w:cs="Calibri"/>
                <w:sz w:val="18"/>
                <w:szCs w:val="18"/>
              </w:rPr>
            </w:pPr>
            <w:r w:rsidRPr="00404DA5">
              <w:rPr>
                <w:rFonts w:cs="Calibri"/>
                <w:sz w:val="18"/>
                <w:szCs w:val="18"/>
              </w:rPr>
              <w:t>1 656 794</w:t>
            </w:r>
          </w:p>
        </w:tc>
        <w:tc>
          <w:tcPr>
            <w:tcW w:w="0" w:type="auto"/>
            <w:shd w:val="clear" w:color="auto" w:fill="auto"/>
            <w:vAlign w:val="center"/>
          </w:tcPr>
          <w:p w14:paraId="47DC0D47" w14:textId="77777777" w:rsidR="00BA3B1C" w:rsidRPr="00404DA5" w:rsidRDefault="00BA3B1C" w:rsidP="00BA3B1C">
            <w:pPr>
              <w:jc w:val="center"/>
              <w:rPr>
                <w:rFonts w:cs="Calibri"/>
                <w:sz w:val="18"/>
                <w:szCs w:val="18"/>
              </w:rPr>
            </w:pPr>
            <w:r w:rsidRPr="00404DA5">
              <w:rPr>
                <w:rFonts w:cs="Calibri"/>
                <w:sz w:val="18"/>
                <w:szCs w:val="18"/>
              </w:rPr>
              <w:t>4,3%</w:t>
            </w:r>
          </w:p>
        </w:tc>
      </w:tr>
      <w:tr w:rsidR="00BA3B1C" w:rsidRPr="005F320E" w14:paraId="4B349489" w14:textId="77777777" w:rsidTr="00BA3B1C">
        <w:tc>
          <w:tcPr>
            <w:tcW w:w="0" w:type="auto"/>
            <w:shd w:val="clear" w:color="auto" w:fill="auto"/>
            <w:vAlign w:val="center"/>
          </w:tcPr>
          <w:p w14:paraId="03053D41" w14:textId="77777777" w:rsidR="00BA3B1C" w:rsidRPr="00404DA5" w:rsidRDefault="00BA3B1C" w:rsidP="00BA3B1C">
            <w:pPr>
              <w:jc w:val="center"/>
              <w:rPr>
                <w:sz w:val="18"/>
                <w:szCs w:val="18"/>
              </w:rPr>
            </w:pPr>
            <w:r w:rsidRPr="00404DA5">
              <w:rPr>
                <w:sz w:val="18"/>
                <w:szCs w:val="18"/>
              </w:rPr>
              <w:t>WP</w:t>
            </w:r>
          </w:p>
        </w:tc>
        <w:tc>
          <w:tcPr>
            <w:tcW w:w="0" w:type="auto"/>
            <w:shd w:val="clear" w:color="auto" w:fill="auto"/>
            <w:vAlign w:val="center"/>
          </w:tcPr>
          <w:p w14:paraId="7B0B89C0" w14:textId="77777777" w:rsidR="00BA3B1C" w:rsidRPr="00404DA5" w:rsidRDefault="00BA3B1C" w:rsidP="00BA3B1C">
            <w:pPr>
              <w:jc w:val="center"/>
              <w:rPr>
                <w:rFonts w:cs="Calibri"/>
                <w:sz w:val="18"/>
                <w:szCs w:val="18"/>
              </w:rPr>
            </w:pPr>
            <w:r w:rsidRPr="00404DA5">
              <w:rPr>
                <w:rFonts w:cs="Calibri"/>
                <w:sz w:val="18"/>
                <w:szCs w:val="18"/>
              </w:rPr>
              <w:t>1.1</w:t>
            </w:r>
          </w:p>
        </w:tc>
        <w:tc>
          <w:tcPr>
            <w:tcW w:w="0" w:type="auto"/>
            <w:shd w:val="clear" w:color="auto" w:fill="auto"/>
            <w:vAlign w:val="center"/>
          </w:tcPr>
          <w:p w14:paraId="04B0923A" w14:textId="77777777" w:rsidR="00BA3B1C" w:rsidRPr="00404DA5" w:rsidRDefault="00BA3B1C" w:rsidP="00BA3B1C">
            <w:pPr>
              <w:jc w:val="center"/>
              <w:rPr>
                <w:rFonts w:cs="Calibri"/>
                <w:sz w:val="18"/>
                <w:szCs w:val="18"/>
              </w:rPr>
            </w:pPr>
            <w:r w:rsidRPr="00404DA5">
              <w:rPr>
                <w:rFonts w:cs="Calibri"/>
                <w:bCs/>
                <w:sz w:val="18"/>
                <w:szCs w:val="18"/>
              </w:rPr>
              <w:t>Liczba przedsiębiorstw współpracujących</w:t>
            </w:r>
            <w:r w:rsidR="00E66B89">
              <w:rPr>
                <w:rFonts w:cs="Calibri"/>
                <w:bCs/>
                <w:sz w:val="18"/>
                <w:szCs w:val="18"/>
              </w:rPr>
              <w:t xml:space="preserve"> z </w:t>
            </w:r>
            <w:r w:rsidRPr="00404DA5">
              <w:rPr>
                <w:rFonts w:cs="Calibri"/>
                <w:bCs/>
                <w:sz w:val="18"/>
                <w:szCs w:val="18"/>
              </w:rPr>
              <w:t>ośrodkami badawczymi</w:t>
            </w:r>
          </w:p>
        </w:tc>
        <w:tc>
          <w:tcPr>
            <w:tcW w:w="0" w:type="auto"/>
            <w:shd w:val="clear" w:color="auto" w:fill="auto"/>
            <w:vAlign w:val="center"/>
          </w:tcPr>
          <w:p w14:paraId="04E66EDA" w14:textId="77777777" w:rsidR="00BA3B1C" w:rsidRPr="00404DA5" w:rsidRDefault="00BA3B1C" w:rsidP="00BA3B1C">
            <w:pPr>
              <w:jc w:val="center"/>
              <w:rPr>
                <w:rFonts w:cs="Calibri"/>
                <w:sz w:val="18"/>
                <w:szCs w:val="18"/>
              </w:rPr>
            </w:pPr>
            <w:r w:rsidRPr="00404DA5">
              <w:rPr>
                <w:rFonts w:cs="Calibri"/>
                <w:sz w:val="18"/>
                <w:szCs w:val="18"/>
              </w:rPr>
              <w:t>szt.</w:t>
            </w:r>
          </w:p>
        </w:tc>
        <w:tc>
          <w:tcPr>
            <w:tcW w:w="0" w:type="auto"/>
            <w:shd w:val="clear" w:color="auto" w:fill="auto"/>
            <w:vAlign w:val="center"/>
          </w:tcPr>
          <w:p w14:paraId="17374204" w14:textId="77777777" w:rsidR="00BA3B1C" w:rsidRPr="00404DA5" w:rsidRDefault="00BA3B1C" w:rsidP="00BA3B1C">
            <w:pPr>
              <w:jc w:val="center"/>
              <w:rPr>
                <w:rFonts w:cs="Calibri"/>
                <w:sz w:val="18"/>
                <w:szCs w:val="18"/>
              </w:rPr>
            </w:pPr>
            <w:r w:rsidRPr="00404DA5">
              <w:rPr>
                <w:rFonts w:cs="Calibri"/>
                <w:sz w:val="18"/>
                <w:szCs w:val="18"/>
              </w:rPr>
              <w:t>20</w:t>
            </w:r>
          </w:p>
        </w:tc>
        <w:tc>
          <w:tcPr>
            <w:tcW w:w="0" w:type="auto"/>
            <w:shd w:val="clear" w:color="auto" w:fill="auto"/>
            <w:vAlign w:val="center"/>
          </w:tcPr>
          <w:p w14:paraId="3DEC5C5C" w14:textId="77777777" w:rsidR="00BA3B1C" w:rsidRPr="00404DA5" w:rsidRDefault="00BA3B1C" w:rsidP="00BA3B1C">
            <w:pPr>
              <w:jc w:val="center"/>
              <w:rPr>
                <w:rFonts w:cs="Calibri"/>
                <w:sz w:val="18"/>
                <w:szCs w:val="18"/>
              </w:rPr>
            </w:pPr>
            <w:r w:rsidRPr="00404DA5">
              <w:rPr>
                <w:rFonts w:cs="Calibri"/>
                <w:sz w:val="18"/>
                <w:szCs w:val="18"/>
              </w:rPr>
              <w:t>17</w:t>
            </w:r>
          </w:p>
        </w:tc>
        <w:tc>
          <w:tcPr>
            <w:tcW w:w="0" w:type="auto"/>
            <w:shd w:val="clear" w:color="auto" w:fill="auto"/>
            <w:vAlign w:val="center"/>
          </w:tcPr>
          <w:p w14:paraId="2FA00526" w14:textId="77777777" w:rsidR="00BA3B1C" w:rsidRPr="00404DA5" w:rsidRDefault="00BA3B1C" w:rsidP="00BA3B1C">
            <w:pPr>
              <w:jc w:val="center"/>
              <w:rPr>
                <w:rFonts w:cs="Calibri"/>
                <w:sz w:val="18"/>
                <w:szCs w:val="18"/>
              </w:rPr>
            </w:pPr>
            <w:r w:rsidRPr="00404DA5">
              <w:rPr>
                <w:rFonts w:cs="Calibri"/>
                <w:sz w:val="18"/>
                <w:szCs w:val="18"/>
              </w:rPr>
              <w:t>85%</w:t>
            </w:r>
          </w:p>
        </w:tc>
        <w:tc>
          <w:tcPr>
            <w:tcW w:w="0" w:type="auto"/>
            <w:shd w:val="clear" w:color="auto" w:fill="auto"/>
            <w:vAlign w:val="center"/>
          </w:tcPr>
          <w:p w14:paraId="28F24079"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70A0283D" w14:textId="77777777" w:rsidR="00BA3B1C" w:rsidRPr="00404DA5" w:rsidRDefault="00BA3B1C" w:rsidP="00BA3B1C">
            <w:pPr>
              <w:jc w:val="center"/>
              <w:rPr>
                <w:rFonts w:cs="Calibri"/>
                <w:sz w:val="18"/>
                <w:szCs w:val="18"/>
              </w:rPr>
            </w:pPr>
            <w:r w:rsidRPr="00404DA5">
              <w:rPr>
                <w:rFonts w:cs="Calibri"/>
                <w:sz w:val="18"/>
                <w:szCs w:val="18"/>
              </w:rPr>
              <w:t>0%</w:t>
            </w:r>
          </w:p>
        </w:tc>
      </w:tr>
    </w:tbl>
    <w:p w14:paraId="3B3326A8" w14:textId="77777777" w:rsidR="00BA3B1C" w:rsidRPr="002A5FDF" w:rsidRDefault="00BA3B1C" w:rsidP="00483EEF">
      <w:pPr>
        <w:spacing w:before="0"/>
        <w:rPr>
          <w:rFonts w:cs="Calibri"/>
          <w:sz w:val="22"/>
          <w:szCs w:val="20"/>
        </w:rPr>
      </w:pPr>
      <w:r w:rsidRPr="002A5FDF">
        <w:rPr>
          <w:rFonts w:cs="Calibri"/>
          <w:i/>
          <w:sz w:val="18"/>
          <w:szCs w:val="20"/>
        </w:rPr>
        <w:t xml:space="preserve">Źródło: </w:t>
      </w:r>
      <w:r w:rsidRPr="002A5FDF">
        <w:rPr>
          <w:rFonts w:cs="Calibri"/>
          <w:i/>
          <w:sz w:val="18"/>
          <w:szCs w:val="16"/>
        </w:rPr>
        <w:t>RPO WZ 2014-2020</w:t>
      </w:r>
      <w:r w:rsidR="00E66B89" w:rsidRPr="002A5FDF">
        <w:rPr>
          <w:rFonts w:cs="Calibri"/>
          <w:i/>
          <w:sz w:val="18"/>
          <w:szCs w:val="16"/>
        </w:rPr>
        <w:t xml:space="preserve"> z </w:t>
      </w:r>
      <w:r w:rsidRPr="002A5FDF">
        <w:rPr>
          <w:rFonts w:cs="Calibri"/>
          <w:i/>
          <w:sz w:val="18"/>
          <w:szCs w:val="16"/>
        </w:rPr>
        <w:t>26.07.2018 r., obliczenia własne na podstawie danych SL2014 na dzień 07.01.2019 r.</w:t>
      </w:r>
    </w:p>
    <w:p w14:paraId="345EE189" w14:textId="77777777" w:rsidR="00BA3B1C" w:rsidRPr="00F27A4E" w:rsidRDefault="00BA3B1C" w:rsidP="00BA3B1C">
      <w:pPr>
        <w:spacing w:after="200" w:line="276" w:lineRule="auto"/>
        <w:rPr>
          <w:rFonts w:cs="Calibri"/>
          <w:i/>
          <w:szCs w:val="20"/>
        </w:rPr>
      </w:pPr>
      <w:r w:rsidRPr="00F27A4E">
        <w:rPr>
          <w:rFonts w:cs="Calibri"/>
          <w:szCs w:val="20"/>
        </w:rPr>
        <w:t xml:space="preserve">W przypadku </w:t>
      </w:r>
      <w:r>
        <w:rPr>
          <w:rFonts w:cs="Calibri"/>
          <w:szCs w:val="20"/>
        </w:rPr>
        <w:t>P</w:t>
      </w:r>
      <w:r w:rsidRPr="00F27A4E">
        <w:rPr>
          <w:rFonts w:cs="Calibri"/>
          <w:szCs w:val="20"/>
        </w:rPr>
        <w:t xml:space="preserve">rogramu </w:t>
      </w:r>
      <w:r>
        <w:rPr>
          <w:rFonts w:cs="Calibri"/>
          <w:szCs w:val="20"/>
        </w:rPr>
        <w:t>O</w:t>
      </w:r>
      <w:r w:rsidRPr="00F27A4E">
        <w:rPr>
          <w:rFonts w:cs="Calibri"/>
          <w:szCs w:val="20"/>
        </w:rPr>
        <w:t>peracyjnego dla regionu Walia Zachodnia</w:t>
      </w:r>
      <w:r w:rsidR="00E66B89">
        <w:rPr>
          <w:rFonts w:cs="Calibri"/>
          <w:szCs w:val="20"/>
        </w:rPr>
        <w:t xml:space="preserve"> i </w:t>
      </w:r>
      <w:r>
        <w:rPr>
          <w:rFonts w:cs="Calibri"/>
          <w:szCs w:val="20"/>
        </w:rPr>
        <w:t>Doliny system monitorowania</w:t>
      </w:r>
      <w:r w:rsidR="00E66B89">
        <w:rPr>
          <w:rFonts w:cs="Calibri"/>
          <w:szCs w:val="20"/>
        </w:rPr>
        <w:t xml:space="preserve"> w </w:t>
      </w:r>
      <w:r w:rsidRPr="00F27A4E">
        <w:rPr>
          <w:rFonts w:cs="Calibri"/>
          <w:szCs w:val="20"/>
        </w:rPr>
        <w:t xml:space="preserve">PI 1b oparto na szerokim wachlarzu wskaźników. M.in. wydzielono wskaźnik </w:t>
      </w:r>
      <w:r w:rsidRPr="00F27A4E">
        <w:rPr>
          <w:rFonts w:cs="Calibri"/>
          <w:i/>
          <w:szCs w:val="20"/>
        </w:rPr>
        <w:t>Wsparcie dla start-up’ów</w:t>
      </w:r>
      <w:r w:rsidRPr="00F27A4E">
        <w:rPr>
          <w:rFonts w:cs="Calibri"/>
          <w:szCs w:val="20"/>
        </w:rPr>
        <w:t>, którego wartość docelową ustalono na poziomie 30</w:t>
      </w:r>
      <w:r w:rsidR="00E66B89">
        <w:rPr>
          <w:rFonts w:cs="Calibri"/>
          <w:szCs w:val="20"/>
        </w:rPr>
        <w:t xml:space="preserve"> w </w:t>
      </w:r>
      <w:r w:rsidRPr="00F27A4E">
        <w:rPr>
          <w:rFonts w:cs="Calibri"/>
          <w:szCs w:val="20"/>
        </w:rPr>
        <w:t xml:space="preserve">2023 roku. Co ciekawe, dla wskaźnika </w:t>
      </w:r>
      <w:r w:rsidRPr="00F27A4E">
        <w:rPr>
          <w:i/>
        </w:rPr>
        <w:t>Liczba zakończonych działań pilotażowych</w:t>
      </w:r>
      <w:r w:rsidRPr="00F27A4E">
        <w:t xml:space="preserve"> wartość docelową określono na poziomie 0.</w:t>
      </w:r>
    </w:p>
    <w:p w14:paraId="36FF0AD4" w14:textId="77777777" w:rsidR="00BA3B1C" w:rsidRPr="00404DA5" w:rsidRDefault="00BA3B1C" w:rsidP="00BA3B1C">
      <w:pPr>
        <w:spacing w:after="200" w:line="276" w:lineRule="auto"/>
        <w:rPr>
          <w:rFonts w:cs="Calibri"/>
          <w:szCs w:val="20"/>
        </w:rPr>
      </w:pPr>
      <w:r w:rsidRPr="00404DA5">
        <w:rPr>
          <w:rFonts w:cs="Calibri"/>
          <w:szCs w:val="20"/>
        </w:rPr>
        <w:t>Istotnym problemem jest niskie zainteresowanie uprawnionych podmiotów składaniem wniosków</w:t>
      </w:r>
      <w:r w:rsidR="00E66B89">
        <w:rPr>
          <w:rFonts w:cs="Calibri"/>
          <w:szCs w:val="20"/>
        </w:rPr>
        <w:t xml:space="preserve"> w </w:t>
      </w:r>
      <w:r w:rsidRPr="00404DA5">
        <w:rPr>
          <w:rFonts w:cs="Calibri"/>
          <w:szCs w:val="20"/>
        </w:rPr>
        <w:t>ramach obu Działań (1.1</w:t>
      </w:r>
      <w:r w:rsidR="00E66B89">
        <w:rPr>
          <w:rFonts w:cs="Calibri"/>
          <w:szCs w:val="20"/>
        </w:rPr>
        <w:t xml:space="preserve"> i </w:t>
      </w:r>
      <w:r w:rsidRPr="00404DA5">
        <w:rPr>
          <w:rFonts w:cs="Calibri"/>
          <w:szCs w:val="20"/>
        </w:rPr>
        <w:t>1.2) objętych Celem Tematycznym 1. Przy czym szczególnie ten problem dotyka Działania 1.2</w:t>
      </w:r>
      <w:r>
        <w:rPr>
          <w:rFonts w:cs="Calibri"/>
          <w:szCs w:val="20"/>
        </w:rPr>
        <w:t>.</w:t>
      </w:r>
      <w:r w:rsidRPr="00404DA5">
        <w:rPr>
          <w:rFonts w:cs="Calibri"/>
          <w:szCs w:val="20"/>
        </w:rPr>
        <w:t xml:space="preserve"> 10 umów zawartych do dnia 7.01.2019 roku wyczerpuje alokację przewidzianą na to Działanie</w:t>
      </w:r>
      <w:r w:rsidR="00E66B89">
        <w:rPr>
          <w:rFonts w:cs="Calibri"/>
          <w:szCs w:val="20"/>
        </w:rPr>
        <w:t xml:space="preserve"> w </w:t>
      </w:r>
      <w:r w:rsidRPr="00404DA5">
        <w:rPr>
          <w:rFonts w:cs="Calibri"/>
          <w:szCs w:val="20"/>
        </w:rPr>
        <w:t>zaledwie 14,9%. Przyczyn należy szukać przede wszystkim</w:t>
      </w:r>
      <w:r w:rsidR="00E66B89">
        <w:rPr>
          <w:rFonts w:cs="Calibri"/>
          <w:szCs w:val="20"/>
        </w:rPr>
        <w:t xml:space="preserve"> w </w:t>
      </w:r>
      <w:r w:rsidRPr="00404DA5">
        <w:rPr>
          <w:rFonts w:cs="Calibri"/>
          <w:szCs w:val="20"/>
        </w:rPr>
        <w:t>niskim potencjale absorpcyjnym regionalnego środowiska innowacyjnego. To tłumaczy słabszy niż</w:t>
      </w:r>
      <w:r w:rsidR="00E66B89">
        <w:rPr>
          <w:rFonts w:cs="Calibri"/>
          <w:szCs w:val="20"/>
        </w:rPr>
        <w:t xml:space="preserve"> w </w:t>
      </w:r>
      <w:r w:rsidRPr="00404DA5">
        <w:rPr>
          <w:rFonts w:cs="Calibri"/>
          <w:szCs w:val="20"/>
        </w:rPr>
        <w:t>wielu innych regionach Polski postęp realizacyjny</w:t>
      </w:r>
      <w:r w:rsidR="00E66B89">
        <w:rPr>
          <w:rFonts w:cs="Calibri"/>
          <w:szCs w:val="20"/>
        </w:rPr>
        <w:t xml:space="preserve"> w </w:t>
      </w:r>
      <w:r w:rsidRPr="00404DA5">
        <w:rPr>
          <w:rFonts w:cs="Calibri"/>
          <w:szCs w:val="20"/>
        </w:rPr>
        <w:t>zakresie PI 1b, pomimo iż alokacja na niego przewidziana jest jedną</w:t>
      </w:r>
      <w:r w:rsidR="00E66B89">
        <w:rPr>
          <w:rFonts w:cs="Calibri"/>
          <w:szCs w:val="20"/>
        </w:rPr>
        <w:t xml:space="preserve"> z </w:t>
      </w:r>
      <w:r w:rsidRPr="00404DA5">
        <w:rPr>
          <w:rFonts w:cs="Calibri"/>
          <w:szCs w:val="20"/>
        </w:rPr>
        <w:t>niższych</w:t>
      </w:r>
      <w:r w:rsidR="00E66B89">
        <w:rPr>
          <w:rFonts w:cs="Calibri"/>
          <w:szCs w:val="20"/>
        </w:rPr>
        <w:t xml:space="preserve"> w </w:t>
      </w:r>
      <w:r w:rsidRPr="00404DA5">
        <w:rPr>
          <w:rFonts w:cs="Calibri"/>
          <w:szCs w:val="20"/>
        </w:rPr>
        <w:t>Polsce (niższa jedynie</w:t>
      </w:r>
      <w:r w:rsidR="00E66B89">
        <w:rPr>
          <w:rFonts w:cs="Calibri"/>
          <w:szCs w:val="20"/>
        </w:rPr>
        <w:t xml:space="preserve"> w </w:t>
      </w:r>
      <w:r w:rsidRPr="00404DA5">
        <w:rPr>
          <w:rFonts w:cs="Calibri"/>
          <w:szCs w:val="20"/>
        </w:rPr>
        <w:t>województwach: świętokrzyskim, podlaskim, lubuskim</w:t>
      </w:r>
      <w:r w:rsidR="00E66B89">
        <w:rPr>
          <w:rFonts w:cs="Calibri"/>
          <w:szCs w:val="20"/>
        </w:rPr>
        <w:t xml:space="preserve"> i </w:t>
      </w:r>
      <w:r w:rsidRPr="00404DA5">
        <w:rPr>
          <w:rFonts w:cs="Calibri"/>
          <w:szCs w:val="20"/>
        </w:rPr>
        <w:t>warmińsko-mazurskim). Wg stanu na koniec 2018 roku wielkość zakontraktowanej</w:t>
      </w:r>
      <w:r w:rsidR="00E66B89">
        <w:rPr>
          <w:rFonts w:cs="Calibri"/>
          <w:szCs w:val="20"/>
        </w:rPr>
        <w:t xml:space="preserve"> w </w:t>
      </w:r>
      <w:r w:rsidRPr="00404DA5">
        <w:rPr>
          <w:rFonts w:cs="Calibri"/>
          <w:szCs w:val="20"/>
        </w:rPr>
        <w:t>PI 1b alokacji wyczerpuje ją</w:t>
      </w:r>
      <w:r w:rsidR="00E66B89">
        <w:rPr>
          <w:rFonts w:cs="Calibri"/>
          <w:szCs w:val="20"/>
        </w:rPr>
        <w:t xml:space="preserve"> w </w:t>
      </w:r>
      <w:r w:rsidRPr="00404DA5">
        <w:rPr>
          <w:rFonts w:cs="Calibri"/>
          <w:szCs w:val="20"/>
        </w:rPr>
        <w:t>24%</w:t>
      </w:r>
      <w:r w:rsidR="00E66B89">
        <w:rPr>
          <w:rFonts w:cs="Calibri"/>
          <w:szCs w:val="20"/>
        </w:rPr>
        <w:t xml:space="preserve"> i </w:t>
      </w:r>
      <w:r w:rsidRPr="00404DA5">
        <w:rPr>
          <w:rFonts w:cs="Calibri"/>
          <w:szCs w:val="20"/>
        </w:rPr>
        <w:t>jest niższa tylko</w:t>
      </w:r>
      <w:r w:rsidR="00E66B89">
        <w:rPr>
          <w:rFonts w:cs="Calibri"/>
          <w:szCs w:val="20"/>
        </w:rPr>
        <w:t xml:space="preserve"> w </w:t>
      </w:r>
      <w:r w:rsidRPr="00404DA5">
        <w:rPr>
          <w:rFonts w:cs="Calibri"/>
          <w:szCs w:val="20"/>
        </w:rPr>
        <w:t>województwach: warmińsko-mazurskim (20%)</w:t>
      </w:r>
      <w:r w:rsidR="00E66B89">
        <w:rPr>
          <w:rFonts w:cs="Calibri"/>
          <w:szCs w:val="20"/>
        </w:rPr>
        <w:t xml:space="preserve"> i </w:t>
      </w:r>
      <w:r w:rsidRPr="00404DA5">
        <w:rPr>
          <w:rFonts w:cs="Calibri"/>
          <w:szCs w:val="20"/>
        </w:rPr>
        <w:t xml:space="preserve">śląskim (23%). </w:t>
      </w:r>
    </w:p>
    <w:p w14:paraId="714F3A7C" w14:textId="77777777" w:rsidR="00BA3B1C" w:rsidRPr="00404DA5" w:rsidRDefault="00BA3B1C" w:rsidP="00BA3B1C">
      <w:pPr>
        <w:spacing w:after="200" w:line="276" w:lineRule="auto"/>
        <w:rPr>
          <w:rFonts w:cs="Calibri"/>
          <w:szCs w:val="20"/>
        </w:rPr>
      </w:pPr>
      <w:r w:rsidRPr="00404DA5">
        <w:rPr>
          <w:rFonts w:cs="Calibri"/>
          <w:szCs w:val="20"/>
        </w:rPr>
        <w:t>Wśród problemów zgłaszanych przez beneficjentów</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realizacją projektów najczęściej pojawiają się kwestie trudności</w:t>
      </w:r>
      <w:r w:rsidR="00E66B89">
        <w:rPr>
          <w:rFonts w:cs="Calibri"/>
          <w:szCs w:val="20"/>
        </w:rPr>
        <w:t xml:space="preserve"> z </w:t>
      </w:r>
      <w:r w:rsidRPr="00404DA5">
        <w:rPr>
          <w:rFonts w:cs="Calibri"/>
          <w:szCs w:val="20"/>
        </w:rPr>
        <w:t>wyborem dostawcy usługi (brak ofert lub nie spełnianie przez oferty warunków), trudności we współpracy</w:t>
      </w:r>
      <w:r w:rsidR="00E66B89">
        <w:rPr>
          <w:rFonts w:cs="Calibri"/>
          <w:szCs w:val="20"/>
        </w:rPr>
        <w:t xml:space="preserve"> z </w:t>
      </w:r>
      <w:r w:rsidRPr="00404DA5">
        <w:rPr>
          <w:rFonts w:cs="Calibri"/>
          <w:szCs w:val="20"/>
        </w:rPr>
        <w:t>uczelniami (przedłużające się podpisywanie umów, trudność pogodzenia obowiązków związanych</w:t>
      </w:r>
      <w:r w:rsidR="00E66B89">
        <w:rPr>
          <w:rFonts w:cs="Calibri"/>
          <w:szCs w:val="20"/>
        </w:rPr>
        <w:t xml:space="preserve"> z </w:t>
      </w:r>
      <w:r w:rsidRPr="00404DA5">
        <w:rPr>
          <w:rFonts w:cs="Calibri"/>
          <w:szCs w:val="20"/>
        </w:rPr>
        <w:t>realizacją projektu</w:t>
      </w:r>
      <w:r w:rsidR="00E66B89">
        <w:rPr>
          <w:rFonts w:cs="Calibri"/>
          <w:szCs w:val="20"/>
        </w:rPr>
        <w:t xml:space="preserve"> z </w:t>
      </w:r>
      <w:r w:rsidRPr="00404DA5">
        <w:rPr>
          <w:rFonts w:cs="Calibri"/>
          <w:szCs w:val="20"/>
        </w:rPr>
        <w:t>obowiązkami dydaktycznymi pracowników, okres urlopowy wydłużający czas realizacji zadań), wydłużanie terminów uzyskiwania pozwoleń na budowę</w:t>
      </w:r>
      <w:r w:rsidR="00E66B89">
        <w:rPr>
          <w:rFonts w:cs="Calibri"/>
          <w:szCs w:val="20"/>
        </w:rPr>
        <w:t xml:space="preserve"> i </w:t>
      </w:r>
      <w:r w:rsidRPr="00404DA5">
        <w:rPr>
          <w:rFonts w:cs="Calibri"/>
          <w:szCs w:val="20"/>
        </w:rPr>
        <w:t>realizacji prac budowlanych.</w:t>
      </w:r>
    </w:p>
    <w:p w14:paraId="07838E3A" w14:textId="77777777" w:rsidR="00BA3B1C" w:rsidRPr="00404DA5" w:rsidRDefault="00BA3B1C" w:rsidP="00BA3B1C">
      <w:pPr>
        <w:spacing w:after="200" w:line="276" w:lineRule="auto"/>
        <w:rPr>
          <w:rFonts w:cs="Calibri"/>
          <w:szCs w:val="20"/>
        </w:rPr>
      </w:pPr>
      <w:r w:rsidRPr="00404DA5">
        <w:rPr>
          <w:rFonts w:cs="Calibri"/>
          <w:szCs w:val="20"/>
        </w:rPr>
        <w:t>Z przeprowadzonych badań ilościowych CAWI</w:t>
      </w:r>
      <w:r w:rsidR="00E66B89">
        <w:rPr>
          <w:rFonts w:cs="Calibri"/>
          <w:szCs w:val="20"/>
        </w:rPr>
        <w:t xml:space="preserve"> z </w:t>
      </w:r>
      <w:r w:rsidRPr="00404DA5">
        <w:rPr>
          <w:rFonts w:cs="Calibri"/>
          <w:szCs w:val="20"/>
        </w:rPr>
        <w:t>beneficjentami wynika ponadto, że problemem dla znacznej części respondentów był wymóg podawania zbyt szczegółowych danych, które mogą się zmienić</w:t>
      </w:r>
      <w:r w:rsidR="00E66B89">
        <w:rPr>
          <w:rFonts w:cs="Calibri"/>
          <w:szCs w:val="20"/>
        </w:rPr>
        <w:t xml:space="preserve"> w </w:t>
      </w:r>
      <w:r w:rsidRPr="00404DA5">
        <w:rPr>
          <w:rFonts w:cs="Calibri"/>
          <w:szCs w:val="20"/>
        </w:rPr>
        <w:t>trakcie realizacji projektu (50% wskazań), jak również brak praktycznych informacji na etapie przygotowania wniosku</w:t>
      </w:r>
      <w:r w:rsidR="00E66B89">
        <w:rPr>
          <w:rFonts w:cs="Calibri"/>
          <w:szCs w:val="20"/>
        </w:rPr>
        <w:t xml:space="preserve"> o </w:t>
      </w:r>
      <w:r w:rsidRPr="00404DA5">
        <w:rPr>
          <w:rFonts w:cs="Calibri"/>
          <w:szCs w:val="20"/>
        </w:rPr>
        <w:t>dofinansowanie (46,7%, głównie ze strony beneficjentów Działania 1.2). Wymóg zbyt szczegółowych danych dotyczył przede wszystkim parametrów, szczegółów technicznych urządzeń, sprzętu, materiałów przewidzianych do zakupu</w:t>
      </w:r>
      <w:r w:rsidR="00E66B89">
        <w:rPr>
          <w:rFonts w:cs="Calibri"/>
          <w:szCs w:val="20"/>
        </w:rPr>
        <w:t xml:space="preserve"> w </w:t>
      </w:r>
      <w:r w:rsidRPr="00404DA5">
        <w:rPr>
          <w:rFonts w:cs="Calibri"/>
          <w:szCs w:val="20"/>
        </w:rPr>
        <w:t>projekcie, elementów składowych budżetu</w:t>
      </w:r>
      <w:r w:rsidR="00E66B89">
        <w:rPr>
          <w:rFonts w:cs="Calibri"/>
          <w:szCs w:val="20"/>
        </w:rPr>
        <w:t xml:space="preserve"> i </w:t>
      </w:r>
      <w:r w:rsidRPr="00404DA5">
        <w:rPr>
          <w:rFonts w:cs="Calibri"/>
          <w:szCs w:val="20"/>
        </w:rPr>
        <w:t>wartości poszczególnych kosztów oraz terminów realizacji poszczególnych zadań, etapów projektu.</w:t>
      </w:r>
    </w:p>
    <w:p w14:paraId="5CF3FF31"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lastRenderedPageBreak/>
        <w:t xml:space="preserve">Wskaźniki rezultatu strategicznego </w:t>
      </w:r>
    </w:p>
    <w:p w14:paraId="1791D684" w14:textId="77777777" w:rsidR="00BA3B1C" w:rsidRPr="00404DA5" w:rsidRDefault="00BA3B1C" w:rsidP="00BA3B1C">
      <w:pPr>
        <w:spacing w:before="240" w:after="200" w:line="276" w:lineRule="auto"/>
        <w:rPr>
          <w:rFonts w:cs="Calibri"/>
          <w:szCs w:val="20"/>
        </w:rPr>
      </w:pPr>
      <w:r w:rsidRPr="00404DA5">
        <w:rPr>
          <w:rFonts w:cs="Calibri"/>
          <w:szCs w:val="20"/>
        </w:rPr>
        <w:t>W RPO WZ 2014-2020 założono wzrost nakładów sektora przedsiębiorstw na działalność B+R</w:t>
      </w:r>
      <w:r w:rsidR="00E66B89">
        <w:rPr>
          <w:rFonts w:cs="Calibri"/>
          <w:szCs w:val="20"/>
        </w:rPr>
        <w:t xml:space="preserve"> w </w:t>
      </w:r>
      <w:r w:rsidRPr="00404DA5">
        <w:rPr>
          <w:rFonts w:cs="Calibri"/>
          <w:szCs w:val="20"/>
        </w:rPr>
        <w:t>relacji do PKB (BERD)</w:t>
      </w:r>
      <w:r w:rsidR="00E66B89">
        <w:rPr>
          <w:rFonts w:cs="Calibri"/>
          <w:szCs w:val="20"/>
        </w:rPr>
        <w:t xml:space="preserve"> z </w:t>
      </w:r>
      <w:r w:rsidRPr="00404DA5">
        <w:rPr>
          <w:rFonts w:cs="Calibri"/>
          <w:szCs w:val="20"/>
        </w:rPr>
        <w:t>poziomu 0,08%</w:t>
      </w:r>
      <w:r w:rsidR="00E66B89">
        <w:rPr>
          <w:rFonts w:cs="Calibri"/>
          <w:szCs w:val="20"/>
        </w:rPr>
        <w:t xml:space="preserve"> w </w:t>
      </w:r>
      <w:r w:rsidRPr="00404DA5">
        <w:rPr>
          <w:rFonts w:cs="Calibri"/>
          <w:szCs w:val="20"/>
        </w:rPr>
        <w:t>2012 roku do poziomu 0,20%</w:t>
      </w:r>
      <w:r w:rsidR="00E66B89">
        <w:rPr>
          <w:rFonts w:cs="Calibri"/>
          <w:szCs w:val="20"/>
        </w:rPr>
        <w:t xml:space="preserve"> w </w:t>
      </w:r>
      <w:r w:rsidRPr="00404DA5">
        <w:rPr>
          <w:rFonts w:cs="Calibri"/>
          <w:szCs w:val="20"/>
        </w:rPr>
        <w:t>2023 roku.</w:t>
      </w:r>
    </w:p>
    <w:p w14:paraId="50DF4604" w14:textId="77777777" w:rsidR="00BA3B1C" w:rsidRPr="00F057B3" w:rsidRDefault="00BA3B1C" w:rsidP="006E34DC">
      <w:pPr>
        <w:pStyle w:val="Legenda"/>
        <w:spacing w:after="0"/>
      </w:pPr>
      <w:bookmarkStart w:id="46" w:name="_Toc8824116"/>
      <w:r w:rsidRPr="00F057B3">
        <w:t xml:space="preserve">Tabela </w:t>
      </w:r>
      <w:r>
        <w:fldChar w:fldCharType="begin"/>
      </w:r>
      <w:r>
        <w:instrText xml:space="preserve"> SEQ Tabela \* ARABIC </w:instrText>
      </w:r>
      <w:r>
        <w:fldChar w:fldCharType="separate"/>
      </w:r>
      <w:r w:rsidR="00763345">
        <w:rPr>
          <w:noProof/>
        </w:rPr>
        <w:t>5</w:t>
      </w:r>
      <w:r>
        <w:fldChar w:fldCharType="end"/>
      </w:r>
      <w:r w:rsidRPr="00F057B3">
        <w:t>. Prognozowany poziom realizacji wskaźnika rezultatu strategicznego na rok 2023 dla PI 1b</w:t>
      </w:r>
      <w:bookmarkEnd w:id="46"/>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1276"/>
        <w:gridCol w:w="1134"/>
        <w:gridCol w:w="992"/>
        <w:gridCol w:w="1559"/>
      </w:tblGrid>
      <w:tr w:rsidR="00BA3B1C" w:rsidRPr="00F057B3" w14:paraId="340FFDCF" w14:textId="77777777" w:rsidTr="00483EEF">
        <w:trPr>
          <w:trHeight w:val="704"/>
          <w:tblHeader/>
        </w:trPr>
        <w:tc>
          <w:tcPr>
            <w:tcW w:w="4327" w:type="dxa"/>
            <w:shd w:val="clear" w:color="auto" w:fill="D9E2F3"/>
          </w:tcPr>
          <w:p w14:paraId="208DECE9" w14:textId="77777777" w:rsidR="00BA3B1C" w:rsidRPr="00F057B3" w:rsidRDefault="00BA3B1C" w:rsidP="00BA3B1C">
            <w:pPr>
              <w:jc w:val="center"/>
              <w:rPr>
                <w:rFonts w:cs="Calibri"/>
                <w:sz w:val="18"/>
                <w:szCs w:val="18"/>
              </w:rPr>
            </w:pPr>
            <w:r w:rsidRPr="00F057B3">
              <w:rPr>
                <w:rFonts w:cs="Calibri"/>
                <w:sz w:val="18"/>
                <w:szCs w:val="18"/>
              </w:rPr>
              <w:t xml:space="preserve">Wskaźnik </w:t>
            </w:r>
          </w:p>
        </w:tc>
        <w:tc>
          <w:tcPr>
            <w:tcW w:w="1276" w:type="dxa"/>
            <w:shd w:val="clear" w:color="auto" w:fill="D9E2F3"/>
          </w:tcPr>
          <w:p w14:paraId="7FC657DE" w14:textId="77777777" w:rsidR="00BA3B1C" w:rsidRPr="00F057B3" w:rsidRDefault="00BA3B1C" w:rsidP="00BA3B1C">
            <w:pPr>
              <w:jc w:val="center"/>
              <w:rPr>
                <w:rFonts w:cs="Calibri"/>
                <w:sz w:val="18"/>
                <w:szCs w:val="18"/>
              </w:rPr>
            </w:pPr>
            <w:r w:rsidRPr="00F057B3">
              <w:rPr>
                <w:rFonts w:cs="Calibri"/>
                <w:sz w:val="18"/>
                <w:szCs w:val="18"/>
              </w:rPr>
              <w:t xml:space="preserve">Jednostka pomiaru </w:t>
            </w:r>
          </w:p>
        </w:tc>
        <w:tc>
          <w:tcPr>
            <w:tcW w:w="1134" w:type="dxa"/>
            <w:shd w:val="clear" w:color="auto" w:fill="D9E2F3"/>
          </w:tcPr>
          <w:p w14:paraId="7725ECCF" w14:textId="77777777" w:rsidR="00BA3B1C" w:rsidRPr="00F057B3" w:rsidRDefault="00BA3B1C" w:rsidP="00BA3B1C">
            <w:pPr>
              <w:jc w:val="center"/>
              <w:rPr>
                <w:rFonts w:cs="Calibri"/>
                <w:sz w:val="18"/>
                <w:szCs w:val="18"/>
              </w:rPr>
            </w:pPr>
            <w:r w:rsidRPr="00F057B3">
              <w:rPr>
                <w:rFonts w:cs="Calibri"/>
                <w:sz w:val="18"/>
                <w:szCs w:val="18"/>
              </w:rPr>
              <w:t xml:space="preserve">Wartość bazowa </w:t>
            </w:r>
          </w:p>
        </w:tc>
        <w:tc>
          <w:tcPr>
            <w:tcW w:w="992" w:type="dxa"/>
            <w:shd w:val="clear" w:color="auto" w:fill="D9E2F3"/>
          </w:tcPr>
          <w:p w14:paraId="04FAC97F" w14:textId="77777777" w:rsidR="00BA3B1C" w:rsidRPr="00F057B3" w:rsidRDefault="00BA3B1C" w:rsidP="00BA3B1C">
            <w:pPr>
              <w:jc w:val="center"/>
              <w:rPr>
                <w:rFonts w:cs="Calibri"/>
                <w:sz w:val="18"/>
                <w:szCs w:val="18"/>
              </w:rPr>
            </w:pPr>
            <w:r w:rsidRPr="00F057B3">
              <w:rPr>
                <w:rFonts w:cs="Calibri"/>
                <w:sz w:val="18"/>
                <w:szCs w:val="18"/>
              </w:rPr>
              <w:t xml:space="preserve">Rok bazowy </w:t>
            </w:r>
          </w:p>
        </w:tc>
        <w:tc>
          <w:tcPr>
            <w:tcW w:w="1559" w:type="dxa"/>
            <w:shd w:val="clear" w:color="auto" w:fill="D9E2F3"/>
          </w:tcPr>
          <w:p w14:paraId="2410D033" w14:textId="77777777" w:rsidR="00BA3B1C" w:rsidRPr="00F057B3" w:rsidRDefault="00BA3B1C" w:rsidP="00BA3B1C">
            <w:pPr>
              <w:jc w:val="center"/>
              <w:rPr>
                <w:rFonts w:cs="Calibri"/>
                <w:sz w:val="18"/>
                <w:szCs w:val="18"/>
              </w:rPr>
            </w:pPr>
            <w:r>
              <w:rPr>
                <w:rFonts w:cs="Calibri"/>
                <w:sz w:val="18"/>
                <w:szCs w:val="18"/>
              </w:rPr>
              <w:t>W</w:t>
            </w:r>
            <w:r w:rsidRPr="00F057B3">
              <w:rPr>
                <w:rFonts w:cs="Calibri"/>
                <w:sz w:val="18"/>
                <w:szCs w:val="18"/>
              </w:rPr>
              <w:t xml:space="preserve">artość docelowa (2023) </w:t>
            </w:r>
          </w:p>
        </w:tc>
      </w:tr>
      <w:tr w:rsidR="00BA3B1C" w:rsidRPr="00F057B3" w14:paraId="5943572E" w14:textId="77777777" w:rsidTr="00BA3B1C">
        <w:trPr>
          <w:trHeight w:val="167"/>
        </w:trPr>
        <w:tc>
          <w:tcPr>
            <w:tcW w:w="4327" w:type="dxa"/>
          </w:tcPr>
          <w:p w14:paraId="6488BA66" w14:textId="77777777" w:rsidR="00BA3B1C" w:rsidRPr="00F057B3" w:rsidRDefault="00BA3B1C" w:rsidP="00BA3B1C">
            <w:pPr>
              <w:jc w:val="center"/>
              <w:rPr>
                <w:rFonts w:cs="Calibri"/>
                <w:sz w:val="18"/>
                <w:szCs w:val="18"/>
              </w:rPr>
            </w:pPr>
            <w:r w:rsidRPr="00F057B3">
              <w:rPr>
                <w:rFonts w:cs="Calibri"/>
                <w:sz w:val="18"/>
                <w:szCs w:val="18"/>
              </w:rPr>
              <w:t>Nakłady sektora przedsiębiorstw na działalność B+R</w:t>
            </w:r>
            <w:r w:rsidR="00E66B89">
              <w:rPr>
                <w:rFonts w:cs="Calibri"/>
                <w:sz w:val="18"/>
                <w:szCs w:val="18"/>
              </w:rPr>
              <w:t xml:space="preserve"> w </w:t>
            </w:r>
            <w:r w:rsidRPr="00F057B3">
              <w:rPr>
                <w:rFonts w:cs="Calibri"/>
                <w:sz w:val="18"/>
                <w:szCs w:val="18"/>
              </w:rPr>
              <w:t>relacji do PKB (BERD</w:t>
            </w:r>
            <w:r>
              <w:rPr>
                <w:rFonts w:cs="Calibri"/>
                <w:sz w:val="18"/>
                <w:szCs w:val="18"/>
              </w:rPr>
              <w:t>)</w:t>
            </w:r>
          </w:p>
        </w:tc>
        <w:tc>
          <w:tcPr>
            <w:tcW w:w="1276" w:type="dxa"/>
          </w:tcPr>
          <w:p w14:paraId="6C63D0D7" w14:textId="77777777" w:rsidR="00BA3B1C" w:rsidRPr="00F057B3" w:rsidRDefault="00BA3B1C" w:rsidP="00BA3B1C">
            <w:pPr>
              <w:jc w:val="center"/>
              <w:rPr>
                <w:rFonts w:cs="Calibri"/>
                <w:sz w:val="18"/>
                <w:szCs w:val="18"/>
              </w:rPr>
            </w:pPr>
            <w:r w:rsidRPr="00F057B3">
              <w:rPr>
                <w:rFonts w:cs="Calibri"/>
                <w:sz w:val="18"/>
                <w:szCs w:val="18"/>
              </w:rPr>
              <w:t>%</w:t>
            </w:r>
          </w:p>
        </w:tc>
        <w:tc>
          <w:tcPr>
            <w:tcW w:w="1134" w:type="dxa"/>
          </w:tcPr>
          <w:p w14:paraId="4C4FB6A0" w14:textId="77777777" w:rsidR="00BA3B1C" w:rsidRPr="00F057B3" w:rsidRDefault="00BA3B1C" w:rsidP="00BA3B1C">
            <w:pPr>
              <w:jc w:val="center"/>
              <w:rPr>
                <w:rFonts w:cs="Calibri"/>
                <w:sz w:val="18"/>
                <w:szCs w:val="18"/>
              </w:rPr>
            </w:pPr>
            <w:r w:rsidRPr="00F057B3">
              <w:rPr>
                <w:rFonts w:cs="Calibri"/>
                <w:sz w:val="18"/>
                <w:szCs w:val="18"/>
              </w:rPr>
              <w:t>0,</w:t>
            </w:r>
            <w:r>
              <w:rPr>
                <w:rFonts w:cs="Calibri"/>
                <w:sz w:val="18"/>
                <w:szCs w:val="18"/>
              </w:rPr>
              <w:t>08</w:t>
            </w:r>
          </w:p>
        </w:tc>
        <w:tc>
          <w:tcPr>
            <w:tcW w:w="992" w:type="dxa"/>
          </w:tcPr>
          <w:p w14:paraId="291DEEF8" w14:textId="77777777" w:rsidR="00BA3B1C" w:rsidRPr="00F057B3" w:rsidRDefault="00BA3B1C" w:rsidP="00BA3B1C">
            <w:pPr>
              <w:jc w:val="center"/>
              <w:rPr>
                <w:rFonts w:cs="Calibri"/>
                <w:sz w:val="18"/>
                <w:szCs w:val="18"/>
              </w:rPr>
            </w:pPr>
            <w:r w:rsidRPr="00F057B3">
              <w:rPr>
                <w:rFonts w:cs="Calibri"/>
                <w:sz w:val="18"/>
                <w:szCs w:val="18"/>
              </w:rPr>
              <w:t>201</w:t>
            </w:r>
            <w:r>
              <w:rPr>
                <w:rFonts w:cs="Calibri"/>
                <w:sz w:val="18"/>
                <w:szCs w:val="18"/>
              </w:rPr>
              <w:t>2</w:t>
            </w:r>
          </w:p>
        </w:tc>
        <w:tc>
          <w:tcPr>
            <w:tcW w:w="1559" w:type="dxa"/>
          </w:tcPr>
          <w:p w14:paraId="7C656792" w14:textId="77777777" w:rsidR="00BA3B1C" w:rsidRPr="00F057B3" w:rsidRDefault="00BA3B1C" w:rsidP="00BA3B1C">
            <w:pPr>
              <w:jc w:val="center"/>
              <w:rPr>
                <w:rFonts w:cs="Calibri"/>
                <w:sz w:val="18"/>
                <w:szCs w:val="18"/>
              </w:rPr>
            </w:pPr>
            <w:r w:rsidRPr="00F057B3">
              <w:rPr>
                <w:rFonts w:cs="Calibri"/>
                <w:sz w:val="18"/>
                <w:szCs w:val="18"/>
              </w:rPr>
              <w:t>0,</w:t>
            </w:r>
            <w:r>
              <w:rPr>
                <w:rFonts w:cs="Calibri"/>
                <w:sz w:val="18"/>
                <w:szCs w:val="18"/>
              </w:rPr>
              <w:t>20</w:t>
            </w:r>
          </w:p>
        </w:tc>
      </w:tr>
    </w:tbl>
    <w:p w14:paraId="07746564" w14:textId="77777777" w:rsidR="00BA3B1C" w:rsidRPr="002A5FDF" w:rsidRDefault="00BA3B1C" w:rsidP="00483EEF">
      <w:pPr>
        <w:spacing w:before="0" w:after="200" w:line="276" w:lineRule="auto"/>
        <w:rPr>
          <w:rFonts w:cs="Calibri"/>
          <w:sz w:val="22"/>
          <w:szCs w:val="20"/>
        </w:rPr>
      </w:pPr>
      <w:r w:rsidRPr="002A5FDF">
        <w:rPr>
          <w:rFonts w:cs="Calibri"/>
          <w:i/>
          <w:sz w:val="18"/>
          <w:szCs w:val="20"/>
        </w:rPr>
        <w:t xml:space="preserve">Źródło: </w:t>
      </w:r>
      <w:r w:rsidRPr="002A5FDF">
        <w:rPr>
          <w:rFonts w:cs="Calibri"/>
          <w:i/>
          <w:sz w:val="18"/>
          <w:szCs w:val="16"/>
        </w:rPr>
        <w:t>RPO WZ 2014-2020</w:t>
      </w:r>
      <w:r w:rsidR="00E66B89" w:rsidRPr="002A5FDF">
        <w:rPr>
          <w:rFonts w:cs="Calibri"/>
          <w:i/>
          <w:sz w:val="18"/>
          <w:szCs w:val="16"/>
        </w:rPr>
        <w:t xml:space="preserve"> z </w:t>
      </w:r>
      <w:r w:rsidRPr="002A5FDF">
        <w:rPr>
          <w:rFonts w:cs="Calibri"/>
          <w:i/>
          <w:sz w:val="18"/>
          <w:szCs w:val="16"/>
        </w:rPr>
        <w:t>26.07.2018 r.</w:t>
      </w:r>
    </w:p>
    <w:p w14:paraId="17627377" w14:textId="77777777" w:rsidR="00BA3B1C" w:rsidRPr="00404DA5" w:rsidRDefault="00BA3B1C" w:rsidP="00BA3B1C">
      <w:pPr>
        <w:spacing w:before="240" w:after="200" w:line="276" w:lineRule="auto"/>
        <w:rPr>
          <w:rFonts w:cs="Calibri"/>
          <w:szCs w:val="20"/>
        </w:rPr>
      </w:pPr>
      <w:r w:rsidRPr="00404DA5">
        <w:rPr>
          <w:rFonts w:cs="Calibri"/>
          <w:szCs w:val="20"/>
        </w:rPr>
        <w:t>W porównaniu</w:t>
      </w:r>
      <w:r w:rsidR="00E66B89">
        <w:rPr>
          <w:rFonts w:cs="Calibri"/>
          <w:szCs w:val="20"/>
        </w:rPr>
        <w:t xml:space="preserve"> z </w:t>
      </w:r>
      <w:r w:rsidRPr="00404DA5">
        <w:rPr>
          <w:rFonts w:cs="Calibri"/>
          <w:szCs w:val="20"/>
        </w:rPr>
        <w:t xml:space="preserve">rokiem bazowym wartość wskaźnika rezultatu </w:t>
      </w:r>
      <w:r w:rsidRPr="00C22C26">
        <w:rPr>
          <w:rFonts w:cs="Calibri"/>
          <w:i/>
          <w:szCs w:val="20"/>
        </w:rPr>
        <w:t>Nakłady sektora przedsiębiorstw na działalność B+R</w:t>
      </w:r>
      <w:r w:rsidR="00E66B89">
        <w:rPr>
          <w:rFonts w:cs="Calibri"/>
          <w:i/>
          <w:szCs w:val="20"/>
        </w:rPr>
        <w:t xml:space="preserve"> w </w:t>
      </w:r>
      <w:r w:rsidRPr="00C22C26">
        <w:rPr>
          <w:rFonts w:cs="Calibri"/>
          <w:i/>
          <w:szCs w:val="20"/>
        </w:rPr>
        <w:t>relacji do PKB (BERD)</w:t>
      </w:r>
      <w:r w:rsidRPr="00404DA5">
        <w:rPr>
          <w:rFonts w:cs="Calibri"/>
          <w:szCs w:val="20"/>
        </w:rPr>
        <w:t xml:space="preserve"> rośnie</w:t>
      </w:r>
      <w:r w:rsidR="00E66B89">
        <w:rPr>
          <w:rFonts w:cs="Calibri"/>
          <w:szCs w:val="20"/>
        </w:rPr>
        <w:t xml:space="preserve"> i w </w:t>
      </w:r>
      <w:r w:rsidRPr="00404DA5">
        <w:rPr>
          <w:rFonts w:cs="Calibri"/>
          <w:szCs w:val="20"/>
        </w:rPr>
        <w:t>2016 roku osiągnęła wartość 0,14% (</w:t>
      </w:r>
      <w:r>
        <w:rPr>
          <w:rFonts w:cs="Calibri"/>
          <w:szCs w:val="20"/>
        </w:rPr>
        <w:t>tabela poniżej</w:t>
      </w:r>
      <w:r w:rsidRPr="00404DA5">
        <w:rPr>
          <w:rFonts w:cs="Calibri"/>
          <w:szCs w:val="20"/>
        </w:rPr>
        <w:t>). Utrzymanie liniowego trendu wzrostu pozwoli osiągnąć wartość docelową wskaźnika.</w:t>
      </w:r>
    </w:p>
    <w:p w14:paraId="36F4504E" w14:textId="77777777" w:rsidR="00BA3B1C" w:rsidRPr="00F057B3" w:rsidRDefault="00BA3B1C" w:rsidP="006E34DC">
      <w:pPr>
        <w:pStyle w:val="Legenda"/>
        <w:spacing w:after="0"/>
      </w:pPr>
      <w:bookmarkStart w:id="47" w:name="_Ref3469142"/>
      <w:bookmarkStart w:id="48" w:name="_Toc8824117"/>
      <w:r w:rsidRPr="00F057B3">
        <w:t xml:space="preserve">Tabela </w:t>
      </w:r>
      <w:r>
        <w:fldChar w:fldCharType="begin"/>
      </w:r>
      <w:r>
        <w:instrText xml:space="preserve"> SEQ Tabela \* ARABIC </w:instrText>
      </w:r>
      <w:r>
        <w:fldChar w:fldCharType="separate"/>
      </w:r>
      <w:r w:rsidR="00763345">
        <w:rPr>
          <w:noProof/>
        </w:rPr>
        <w:t>6</w:t>
      </w:r>
      <w:r>
        <w:fldChar w:fldCharType="end"/>
      </w:r>
      <w:bookmarkEnd w:id="47"/>
      <w:r w:rsidRPr="00F057B3">
        <w:t>. Wskaźnik rezultatu dla PI 1b</w:t>
      </w:r>
      <w:r w:rsidR="00E66B89">
        <w:t xml:space="preserve"> w </w:t>
      </w:r>
      <w:r w:rsidRPr="00F057B3">
        <w:t>latach 2012-2018</w:t>
      </w:r>
      <w:bookmarkEnd w:id="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2"/>
        <w:gridCol w:w="634"/>
        <w:gridCol w:w="634"/>
        <w:gridCol w:w="634"/>
        <w:gridCol w:w="634"/>
        <w:gridCol w:w="634"/>
        <w:gridCol w:w="634"/>
        <w:gridCol w:w="634"/>
      </w:tblGrid>
      <w:tr w:rsidR="00BA3B1C" w:rsidRPr="00F057B3" w14:paraId="33221BEF" w14:textId="77777777" w:rsidTr="00483EEF">
        <w:trPr>
          <w:trHeight w:val="540"/>
          <w:tblHeader/>
        </w:trPr>
        <w:tc>
          <w:tcPr>
            <w:tcW w:w="0" w:type="auto"/>
            <w:shd w:val="clear" w:color="auto" w:fill="D9E2F3"/>
          </w:tcPr>
          <w:p w14:paraId="55B9A364" w14:textId="77777777" w:rsidR="00BA3B1C" w:rsidRPr="00F057B3" w:rsidRDefault="00BA3B1C" w:rsidP="00BA3B1C">
            <w:pPr>
              <w:jc w:val="center"/>
              <w:rPr>
                <w:rFonts w:cs="Calibri"/>
                <w:sz w:val="18"/>
                <w:szCs w:val="18"/>
              </w:rPr>
            </w:pPr>
            <w:r w:rsidRPr="00F057B3">
              <w:rPr>
                <w:rFonts w:cs="Calibri"/>
                <w:sz w:val="18"/>
                <w:szCs w:val="18"/>
              </w:rPr>
              <w:t xml:space="preserve">Wskaźnik </w:t>
            </w:r>
          </w:p>
        </w:tc>
        <w:tc>
          <w:tcPr>
            <w:tcW w:w="0" w:type="auto"/>
            <w:shd w:val="clear" w:color="auto" w:fill="D9E2F3"/>
          </w:tcPr>
          <w:p w14:paraId="4DBE121D" w14:textId="77777777" w:rsidR="00BA3B1C" w:rsidRPr="00F057B3" w:rsidRDefault="00BA3B1C" w:rsidP="00BA3B1C">
            <w:pPr>
              <w:jc w:val="center"/>
              <w:rPr>
                <w:rFonts w:cs="Calibri"/>
                <w:sz w:val="18"/>
                <w:szCs w:val="18"/>
              </w:rPr>
            </w:pPr>
            <w:r w:rsidRPr="00F057B3">
              <w:rPr>
                <w:rFonts w:cs="Calibri"/>
                <w:sz w:val="18"/>
                <w:szCs w:val="18"/>
              </w:rPr>
              <w:t>2012</w:t>
            </w:r>
          </w:p>
        </w:tc>
        <w:tc>
          <w:tcPr>
            <w:tcW w:w="0" w:type="auto"/>
            <w:shd w:val="clear" w:color="auto" w:fill="D9E2F3"/>
          </w:tcPr>
          <w:p w14:paraId="0FC9B3C3" w14:textId="77777777" w:rsidR="00BA3B1C" w:rsidRPr="00F057B3" w:rsidRDefault="00BA3B1C" w:rsidP="00BA3B1C">
            <w:pPr>
              <w:jc w:val="center"/>
              <w:rPr>
                <w:rFonts w:cs="Calibri"/>
                <w:sz w:val="18"/>
                <w:szCs w:val="18"/>
              </w:rPr>
            </w:pPr>
            <w:r w:rsidRPr="00F057B3">
              <w:rPr>
                <w:rFonts w:cs="Calibri"/>
                <w:sz w:val="18"/>
                <w:szCs w:val="18"/>
              </w:rPr>
              <w:t>2013</w:t>
            </w:r>
          </w:p>
        </w:tc>
        <w:tc>
          <w:tcPr>
            <w:tcW w:w="0" w:type="auto"/>
            <w:shd w:val="clear" w:color="auto" w:fill="D9E2F3"/>
          </w:tcPr>
          <w:p w14:paraId="4801EF6B" w14:textId="77777777" w:rsidR="00BA3B1C" w:rsidRPr="00F057B3" w:rsidRDefault="00BA3B1C" w:rsidP="00BA3B1C">
            <w:pPr>
              <w:jc w:val="center"/>
              <w:rPr>
                <w:rFonts w:cs="Calibri"/>
                <w:sz w:val="18"/>
                <w:szCs w:val="18"/>
              </w:rPr>
            </w:pPr>
            <w:r w:rsidRPr="00F057B3">
              <w:rPr>
                <w:rFonts w:cs="Calibri"/>
                <w:sz w:val="18"/>
                <w:szCs w:val="18"/>
              </w:rPr>
              <w:t>2014</w:t>
            </w:r>
          </w:p>
        </w:tc>
        <w:tc>
          <w:tcPr>
            <w:tcW w:w="0" w:type="auto"/>
            <w:shd w:val="clear" w:color="auto" w:fill="D9E2F3"/>
          </w:tcPr>
          <w:p w14:paraId="0D4AC2D3" w14:textId="77777777" w:rsidR="00BA3B1C" w:rsidRPr="00F057B3" w:rsidRDefault="00BA3B1C" w:rsidP="00BA3B1C">
            <w:pPr>
              <w:jc w:val="center"/>
              <w:rPr>
                <w:rFonts w:cs="Calibri"/>
                <w:sz w:val="18"/>
                <w:szCs w:val="18"/>
              </w:rPr>
            </w:pPr>
            <w:r w:rsidRPr="00F057B3">
              <w:rPr>
                <w:rFonts w:cs="Calibri"/>
                <w:sz w:val="18"/>
                <w:szCs w:val="18"/>
              </w:rPr>
              <w:t>2015</w:t>
            </w:r>
          </w:p>
        </w:tc>
        <w:tc>
          <w:tcPr>
            <w:tcW w:w="0" w:type="auto"/>
            <w:shd w:val="clear" w:color="auto" w:fill="D9E2F3"/>
          </w:tcPr>
          <w:p w14:paraId="0820E229" w14:textId="77777777" w:rsidR="00BA3B1C" w:rsidRPr="00F057B3" w:rsidRDefault="00BA3B1C" w:rsidP="00BA3B1C">
            <w:pPr>
              <w:jc w:val="center"/>
              <w:rPr>
                <w:rFonts w:cs="Calibri"/>
                <w:sz w:val="18"/>
                <w:szCs w:val="18"/>
              </w:rPr>
            </w:pPr>
            <w:r w:rsidRPr="00F057B3">
              <w:rPr>
                <w:rFonts w:cs="Calibri"/>
                <w:sz w:val="18"/>
                <w:szCs w:val="18"/>
              </w:rPr>
              <w:t>2016</w:t>
            </w:r>
          </w:p>
        </w:tc>
        <w:tc>
          <w:tcPr>
            <w:tcW w:w="0" w:type="auto"/>
            <w:shd w:val="clear" w:color="auto" w:fill="D9E2F3"/>
          </w:tcPr>
          <w:p w14:paraId="7090F9A3" w14:textId="77777777" w:rsidR="00BA3B1C" w:rsidRPr="00F057B3" w:rsidRDefault="00BA3B1C" w:rsidP="00BA3B1C">
            <w:pPr>
              <w:jc w:val="center"/>
              <w:rPr>
                <w:rFonts w:cs="Calibri"/>
                <w:sz w:val="18"/>
                <w:szCs w:val="18"/>
              </w:rPr>
            </w:pPr>
            <w:r w:rsidRPr="00F057B3">
              <w:rPr>
                <w:rFonts w:cs="Calibri"/>
                <w:sz w:val="18"/>
                <w:szCs w:val="18"/>
              </w:rPr>
              <w:t>2017</w:t>
            </w:r>
          </w:p>
        </w:tc>
        <w:tc>
          <w:tcPr>
            <w:tcW w:w="0" w:type="auto"/>
            <w:shd w:val="clear" w:color="auto" w:fill="D9E2F3"/>
          </w:tcPr>
          <w:p w14:paraId="04C5CBA5" w14:textId="77777777" w:rsidR="00BA3B1C" w:rsidRPr="00F057B3" w:rsidRDefault="00BA3B1C" w:rsidP="00BA3B1C">
            <w:pPr>
              <w:jc w:val="center"/>
              <w:rPr>
                <w:rFonts w:cs="Calibri"/>
                <w:sz w:val="18"/>
                <w:szCs w:val="18"/>
              </w:rPr>
            </w:pPr>
            <w:r w:rsidRPr="00F057B3">
              <w:rPr>
                <w:rFonts w:cs="Calibri"/>
                <w:sz w:val="18"/>
                <w:szCs w:val="18"/>
              </w:rPr>
              <w:t xml:space="preserve">2018 </w:t>
            </w:r>
          </w:p>
        </w:tc>
      </w:tr>
      <w:tr w:rsidR="00BA3B1C" w:rsidRPr="00F057B3" w14:paraId="19694C29" w14:textId="77777777" w:rsidTr="00483EEF">
        <w:trPr>
          <w:trHeight w:val="128"/>
        </w:trPr>
        <w:tc>
          <w:tcPr>
            <w:tcW w:w="0" w:type="auto"/>
          </w:tcPr>
          <w:p w14:paraId="3E9672FF" w14:textId="77777777" w:rsidR="00BA3B1C" w:rsidRPr="00F057B3" w:rsidRDefault="00BA3B1C" w:rsidP="00BA3B1C">
            <w:pPr>
              <w:jc w:val="center"/>
              <w:rPr>
                <w:rFonts w:ascii="Calibri" w:eastAsia="Calibri" w:hAnsi="Calibri" w:cs="Calibri"/>
                <w:color w:val="000000"/>
                <w:sz w:val="16"/>
                <w:szCs w:val="16"/>
                <w:lang w:eastAsia="en-US"/>
              </w:rPr>
            </w:pPr>
            <w:r w:rsidRPr="00F057B3">
              <w:rPr>
                <w:rFonts w:cs="Calibri"/>
                <w:sz w:val="18"/>
                <w:szCs w:val="18"/>
              </w:rPr>
              <w:t>Nakłady sektora przedsiębiorstw na działalność B+R</w:t>
            </w:r>
            <w:r w:rsidR="00E66B89">
              <w:rPr>
                <w:rFonts w:cs="Calibri"/>
                <w:sz w:val="18"/>
                <w:szCs w:val="18"/>
              </w:rPr>
              <w:t xml:space="preserve"> w </w:t>
            </w:r>
            <w:r w:rsidRPr="00F057B3">
              <w:rPr>
                <w:rFonts w:cs="Calibri"/>
                <w:sz w:val="18"/>
                <w:szCs w:val="18"/>
              </w:rPr>
              <w:t>relacji do PKB (BERD</w:t>
            </w:r>
            <w:r>
              <w:rPr>
                <w:rFonts w:cs="Calibri"/>
                <w:sz w:val="18"/>
                <w:szCs w:val="18"/>
              </w:rPr>
              <w:t>)</w:t>
            </w:r>
          </w:p>
        </w:tc>
        <w:tc>
          <w:tcPr>
            <w:tcW w:w="0" w:type="auto"/>
          </w:tcPr>
          <w:p w14:paraId="2CC66BF1" w14:textId="77777777" w:rsidR="00BA3B1C" w:rsidRPr="00F057B3" w:rsidRDefault="00BA3B1C" w:rsidP="00BA3B1C">
            <w:pPr>
              <w:jc w:val="center"/>
              <w:rPr>
                <w:rFonts w:cs="Calibri"/>
                <w:sz w:val="18"/>
                <w:szCs w:val="18"/>
              </w:rPr>
            </w:pPr>
            <w:r>
              <w:rPr>
                <w:rFonts w:cs="Calibri"/>
                <w:sz w:val="18"/>
                <w:szCs w:val="18"/>
              </w:rPr>
              <w:t>0,08</w:t>
            </w:r>
          </w:p>
        </w:tc>
        <w:tc>
          <w:tcPr>
            <w:tcW w:w="0" w:type="auto"/>
          </w:tcPr>
          <w:p w14:paraId="5327C515" w14:textId="77777777" w:rsidR="00BA3B1C" w:rsidRPr="00F057B3" w:rsidRDefault="00BA3B1C" w:rsidP="00BA3B1C">
            <w:pPr>
              <w:jc w:val="center"/>
              <w:rPr>
                <w:rFonts w:cs="Calibri"/>
                <w:sz w:val="18"/>
                <w:szCs w:val="18"/>
              </w:rPr>
            </w:pPr>
            <w:r>
              <w:rPr>
                <w:rFonts w:cs="Calibri"/>
                <w:sz w:val="18"/>
                <w:szCs w:val="18"/>
              </w:rPr>
              <w:t>0,00</w:t>
            </w:r>
          </w:p>
        </w:tc>
        <w:tc>
          <w:tcPr>
            <w:tcW w:w="0" w:type="auto"/>
          </w:tcPr>
          <w:p w14:paraId="37C089E0" w14:textId="77777777" w:rsidR="00BA3B1C" w:rsidRPr="00F057B3" w:rsidRDefault="00BA3B1C" w:rsidP="00BA3B1C">
            <w:pPr>
              <w:jc w:val="center"/>
              <w:rPr>
                <w:rFonts w:cs="Calibri"/>
                <w:sz w:val="18"/>
                <w:szCs w:val="18"/>
              </w:rPr>
            </w:pPr>
            <w:r>
              <w:rPr>
                <w:rFonts w:cs="Calibri"/>
                <w:sz w:val="18"/>
                <w:szCs w:val="18"/>
              </w:rPr>
              <w:t>0,09</w:t>
            </w:r>
          </w:p>
        </w:tc>
        <w:tc>
          <w:tcPr>
            <w:tcW w:w="0" w:type="auto"/>
          </w:tcPr>
          <w:p w14:paraId="707628A5" w14:textId="77777777" w:rsidR="00BA3B1C" w:rsidRPr="00F057B3" w:rsidRDefault="00BA3B1C" w:rsidP="00BA3B1C">
            <w:pPr>
              <w:jc w:val="center"/>
              <w:rPr>
                <w:rFonts w:cs="Calibri"/>
                <w:sz w:val="18"/>
                <w:szCs w:val="18"/>
              </w:rPr>
            </w:pPr>
            <w:r>
              <w:rPr>
                <w:rFonts w:cs="Calibri"/>
                <w:sz w:val="18"/>
                <w:szCs w:val="18"/>
              </w:rPr>
              <w:t>0,13</w:t>
            </w:r>
          </w:p>
        </w:tc>
        <w:tc>
          <w:tcPr>
            <w:tcW w:w="0" w:type="auto"/>
          </w:tcPr>
          <w:p w14:paraId="00022CB8" w14:textId="77777777" w:rsidR="00BA3B1C" w:rsidRPr="00F057B3" w:rsidRDefault="00BA3B1C" w:rsidP="00BA3B1C">
            <w:pPr>
              <w:jc w:val="center"/>
              <w:rPr>
                <w:rFonts w:cs="Calibri"/>
                <w:sz w:val="18"/>
                <w:szCs w:val="18"/>
              </w:rPr>
            </w:pPr>
            <w:r>
              <w:rPr>
                <w:rFonts w:cs="Calibri"/>
                <w:sz w:val="18"/>
                <w:szCs w:val="18"/>
              </w:rPr>
              <w:t>0,14</w:t>
            </w:r>
          </w:p>
        </w:tc>
        <w:tc>
          <w:tcPr>
            <w:tcW w:w="0" w:type="auto"/>
          </w:tcPr>
          <w:p w14:paraId="6E7A3C2C" w14:textId="77777777" w:rsidR="00BA3B1C" w:rsidRPr="00F057B3" w:rsidRDefault="00BA3B1C" w:rsidP="00BA3B1C">
            <w:pPr>
              <w:jc w:val="center"/>
              <w:rPr>
                <w:rFonts w:cs="Calibri"/>
                <w:sz w:val="18"/>
                <w:szCs w:val="18"/>
              </w:rPr>
            </w:pPr>
            <w:r w:rsidRPr="00F057B3">
              <w:rPr>
                <w:rFonts w:cs="Calibri"/>
                <w:sz w:val="18"/>
                <w:szCs w:val="18"/>
              </w:rPr>
              <w:t>b.d.</w:t>
            </w:r>
          </w:p>
        </w:tc>
        <w:tc>
          <w:tcPr>
            <w:tcW w:w="0" w:type="auto"/>
          </w:tcPr>
          <w:p w14:paraId="62636011" w14:textId="77777777" w:rsidR="00BA3B1C" w:rsidRPr="00F057B3" w:rsidRDefault="00BA3B1C" w:rsidP="00BA3B1C">
            <w:pPr>
              <w:jc w:val="center"/>
              <w:rPr>
                <w:rFonts w:cs="Calibri"/>
                <w:sz w:val="18"/>
                <w:szCs w:val="18"/>
              </w:rPr>
            </w:pPr>
            <w:r w:rsidRPr="00F057B3">
              <w:rPr>
                <w:rFonts w:cs="Calibri"/>
                <w:sz w:val="18"/>
                <w:szCs w:val="18"/>
              </w:rPr>
              <w:t>b.d.</w:t>
            </w:r>
          </w:p>
        </w:tc>
      </w:tr>
    </w:tbl>
    <w:p w14:paraId="779B8E84" w14:textId="77777777" w:rsidR="00BA3B1C" w:rsidRPr="002A5FDF" w:rsidRDefault="00BA3B1C" w:rsidP="00483EEF">
      <w:pPr>
        <w:spacing w:before="0" w:after="200" w:line="276" w:lineRule="auto"/>
        <w:rPr>
          <w:rFonts w:cs="Calibri"/>
          <w:sz w:val="18"/>
          <w:szCs w:val="16"/>
        </w:rPr>
      </w:pPr>
      <w:r w:rsidRPr="002A5FDF">
        <w:rPr>
          <w:rFonts w:cs="Calibri"/>
          <w:i/>
          <w:sz w:val="18"/>
          <w:szCs w:val="16"/>
        </w:rPr>
        <w:t>Źródło: RPO WZ 2014-2020</w:t>
      </w:r>
      <w:r w:rsidR="00E66B89" w:rsidRPr="002A5FDF">
        <w:rPr>
          <w:rFonts w:cs="Calibri"/>
          <w:i/>
          <w:sz w:val="18"/>
          <w:szCs w:val="16"/>
        </w:rPr>
        <w:t xml:space="preserve"> z </w:t>
      </w:r>
      <w:r w:rsidRPr="002A5FDF">
        <w:rPr>
          <w:rFonts w:cs="Calibri"/>
          <w:i/>
          <w:sz w:val="18"/>
          <w:szCs w:val="16"/>
        </w:rPr>
        <w:t>26.07.2018 r.</w:t>
      </w:r>
    </w:p>
    <w:p w14:paraId="25B7650D"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 xml:space="preserve">Ocena potencjału absorpcyjnego </w:t>
      </w:r>
    </w:p>
    <w:p w14:paraId="07AC6A62" w14:textId="77777777" w:rsidR="00BA3B1C" w:rsidRPr="00542114" w:rsidRDefault="00BA3B1C" w:rsidP="00BA3B1C">
      <w:pPr>
        <w:rPr>
          <w:rFonts w:cs="Calibri"/>
          <w:szCs w:val="16"/>
        </w:rPr>
      </w:pPr>
      <w:r w:rsidRPr="00542114">
        <w:rPr>
          <w:rFonts w:cs="Calibri"/>
          <w:szCs w:val="16"/>
        </w:rPr>
        <w:t>Spośród Działań realizujących Priorytet Inwestycyjny 1b, Działanie 1.1 osiągnęło jak dotychczas najwyższy poziom kontraktacji (32% - ze środkami rezerwy wykonania). Od uruchomienia programu do dnia 7.01.2019 roku realizowanych było 55 umów</w:t>
      </w:r>
      <w:r w:rsidR="00E66B89">
        <w:rPr>
          <w:rFonts w:cs="Calibri"/>
          <w:szCs w:val="16"/>
        </w:rPr>
        <w:t xml:space="preserve"> o </w:t>
      </w:r>
      <w:r w:rsidRPr="00542114">
        <w:rPr>
          <w:rFonts w:cs="Calibri"/>
          <w:szCs w:val="16"/>
        </w:rPr>
        <w:t>dofinansowanie projektu na łączną wartość 39 876 517,70 zł wkładu UE (zakontraktowano 57 projektów,</w:t>
      </w:r>
      <w:r w:rsidR="00E66B89">
        <w:rPr>
          <w:rFonts w:cs="Calibri"/>
          <w:szCs w:val="16"/>
        </w:rPr>
        <w:t xml:space="preserve"> z </w:t>
      </w:r>
      <w:r w:rsidRPr="00542114">
        <w:rPr>
          <w:rFonts w:cs="Calibri"/>
          <w:szCs w:val="16"/>
        </w:rPr>
        <w:t xml:space="preserve">czego 2 umowy zostały rozwiązane). </w:t>
      </w:r>
    </w:p>
    <w:p w14:paraId="7C79F017" w14:textId="77777777" w:rsidR="00BA3B1C" w:rsidRDefault="00BA3B1C" w:rsidP="00BA3B1C">
      <w:pPr>
        <w:rPr>
          <w:rFonts w:cs="Calibri"/>
          <w:szCs w:val="16"/>
        </w:rPr>
      </w:pPr>
      <w:r w:rsidRPr="00542114">
        <w:rPr>
          <w:rFonts w:cs="Calibri"/>
          <w:szCs w:val="16"/>
        </w:rPr>
        <w:t>Projekty składane</w:t>
      </w:r>
      <w:r w:rsidR="00E66B89">
        <w:rPr>
          <w:rFonts w:cs="Calibri"/>
          <w:szCs w:val="16"/>
        </w:rPr>
        <w:t xml:space="preserve"> w </w:t>
      </w:r>
      <w:r w:rsidRPr="00542114">
        <w:rPr>
          <w:rFonts w:cs="Calibri"/>
          <w:szCs w:val="16"/>
        </w:rPr>
        <w:t>ramach tego Działania są mocno zróżnicowane pod względem ich zakresu</w:t>
      </w:r>
      <w:r w:rsidR="00E66B89">
        <w:rPr>
          <w:rFonts w:cs="Calibri"/>
          <w:szCs w:val="16"/>
        </w:rPr>
        <w:t xml:space="preserve"> i </w:t>
      </w:r>
      <w:r w:rsidRPr="00542114">
        <w:rPr>
          <w:rFonts w:cs="Calibri"/>
          <w:szCs w:val="16"/>
        </w:rPr>
        <w:t>odpowiadającej im kwoty dofinansowania.</w:t>
      </w:r>
      <w:r w:rsidR="00E66B89">
        <w:rPr>
          <w:rFonts w:cs="Calibri"/>
          <w:szCs w:val="16"/>
        </w:rPr>
        <w:t xml:space="preserve"> W </w:t>
      </w:r>
      <w:r w:rsidRPr="00542114">
        <w:rPr>
          <w:rFonts w:cs="Calibri"/>
          <w:szCs w:val="16"/>
        </w:rPr>
        <w:t>wyniku przeprowadzonych</w:t>
      </w:r>
      <w:r w:rsidR="00E66B89">
        <w:rPr>
          <w:rFonts w:cs="Calibri"/>
          <w:szCs w:val="16"/>
        </w:rPr>
        <w:t xml:space="preserve"> w </w:t>
      </w:r>
      <w:r w:rsidRPr="00542114">
        <w:rPr>
          <w:rFonts w:cs="Calibri"/>
          <w:szCs w:val="16"/>
        </w:rPr>
        <w:t>latach 2016</w:t>
      </w:r>
      <w:r w:rsidR="00E66B89">
        <w:rPr>
          <w:rFonts w:cs="Calibri"/>
          <w:szCs w:val="16"/>
        </w:rPr>
        <w:t xml:space="preserve"> i </w:t>
      </w:r>
      <w:r w:rsidRPr="00542114">
        <w:rPr>
          <w:rFonts w:cs="Calibri"/>
          <w:szCs w:val="16"/>
        </w:rPr>
        <w:t>2017 dwóch naborów</w:t>
      </w:r>
      <w:r w:rsidR="00E66B89">
        <w:rPr>
          <w:rFonts w:cs="Calibri"/>
          <w:szCs w:val="16"/>
        </w:rPr>
        <w:t xml:space="preserve"> w </w:t>
      </w:r>
      <w:r w:rsidRPr="00542114">
        <w:rPr>
          <w:rFonts w:cs="Calibri"/>
          <w:szCs w:val="16"/>
        </w:rPr>
        <w:t>ramach projektów Typu 1 - Małe projekty B+R</w:t>
      </w:r>
      <w:r w:rsidR="00E66B89">
        <w:rPr>
          <w:rFonts w:cs="Calibri"/>
          <w:szCs w:val="16"/>
        </w:rPr>
        <w:t xml:space="preserve"> o </w:t>
      </w:r>
      <w:r w:rsidRPr="00542114">
        <w:rPr>
          <w:rFonts w:cs="Calibri"/>
          <w:szCs w:val="16"/>
        </w:rPr>
        <w:t>wartości dofinansowania do 100 tys. zł (w</w:t>
      </w:r>
      <w:r>
        <w:rPr>
          <w:rFonts w:cs="Calibri"/>
          <w:szCs w:val="16"/>
        </w:rPr>
        <w:t> </w:t>
      </w:r>
      <w:r w:rsidRPr="00542114">
        <w:rPr>
          <w:rFonts w:cs="Calibri"/>
          <w:szCs w:val="16"/>
        </w:rPr>
        <w:t>naborze przeprowadzonym</w:t>
      </w:r>
      <w:r w:rsidR="00E66B89">
        <w:rPr>
          <w:rFonts w:cs="Calibri"/>
          <w:szCs w:val="16"/>
        </w:rPr>
        <w:t xml:space="preserve"> w </w:t>
      </w:r>
      <w:r w:rsidRPr="00542114">
        <w:rPr>
          <w:rFonts w:cs="Calibri"/>
          <w:szCs w:val="16"/>
        </w:rPr>
        <w:t>2016 roku kwota dofinansowania nie mogła przekroczyć 50 tys. zł) wybrano do dofinansowania ogółem 25 projektów. Do 4.01.2019 roku trwał trzeci nabór</w:t>
      </w:r>
      <w:r w:rsidR="00E66B89">
        <w:rPr>
          <w:rFonts w:cs="Calibri"/>
          <w:szCs w:val="16"/>
        </w:rPr>
        <w:t xml:space="preserve"> z </w:t>
      </w:r>
      <w:r w:rsidRPr="00542114">
        <w:rPr>
          <w:rFonts w:cs="Calibri"/>
          <w:szCs w:val="16"/>
        </w:rPr>
        <w:t>przewidywanym terminem rozstrzygnięcia</w:t>
      </w:r>
      <w:r w:rsidR="00E66B89">
        <w:rPr>
          <w:rFonts w:cs="Calibri"/>
          <w:szCs w:val="16"/>
        </w:rPr>
        <w:t xml:space="preserve"> w </w:t>
      </w:r>
      <w:r w:rsidRPr="00542114">
        <w:rPr>
          <w:rFonts w:cs="Calibri"/>
          <w:szCs w:val="16"/>
        </w:rPr>
        <w:t>maju 2019 roku.</w:t>
      </w:r>
      <w:r w:rsidR="00E66B89">
        <w:rPr>
          <w:rFonts w:cs="Calibri"/>
          <w:szCs w:val="16"/>
        </w:rPr>
        <w:t xml:space="preserve"> W </w:t>
      </w:r>
      <w:r w:rsidRPr="00542114">
        <w:rPr>
          <w:rFonts w:cs="Calibri"/>
          <w:szCs w:val="16"/>
        </w:rPr>
        <w:t>ramach projektów Typu 2 - Projekty badawczo-rozwojowe przedsiębiorstw wraz</w:t>
      </w:r>
      <w:r w:rsidR="00E66B89">
        <w:rPr>
          <w:rFonts w:cs="Calibri"/>
          <w:szCs w:val="16"/>
        </w:rPr>
        <w:t xml:space="preserve"> z </w:t>
      </w:r>
      <w:r w:rsidRPr="00542114">
        <w:rPr>
          <w:rFonts w:cs="Calibri"/>
          <w:szCs w:val="16"/>
        </w:rPr>
        <w:t>przygotowaniem do wdrożenia</w:t>
      </w:r>
      <w:r w:rsidR="00E66B89">
        <w:rPr>
          <w:rFonts w:cs="Calibri"/>
          <w:szCs w:val="16"/>
        </w:rPr>
        <w:t xml:space="preserve"> w </w:t>
      </w:r>
      <w:r w:rsidRPr="00542114">
        <w:rPr>
          <w:rFonts w:cs="Calibri"/>
          <w:szCs w:val="16"/>
        </w:rPr>
        <w:t>działalności gospodarczej</w:t>
      </w:r>
      <w:r w:rsidR="00E66B89">
        <w:rPr>
          <w:rFonts w:cs="Calibri"/>
          <w:szCs w:val="16"/>
        </w:rPr>
        <w:t xml:space="preserve"> w </w:t>
      </w:r>
      <w:r w:rsidRPr="00542114">
        <w:rPr>
          <w:rFonts w:cs="Calibri"/>
          <w:szCs w:val="16"/>
        </w:rPr>
        <w:t>dwóch dotychczas przeprowadzonych naborach (w 2017</w:t>
      </w:r>
      <w:r w:rsidR="00E66B89">
        <w:rPr>
          <w:rFonts w:cs="Calibri"/>
          <w:szCs w:val="16"/>
        </w:rPr>
        <w:t xml:space="preserve"> i </w:t>
      </w:r>
      <w:r w:rsidRPr="00542114">
        <w:rPr>
          <w:rFonts w:cs="Calibri"/>
          <w:szCs w:val="16"/>
        </w:rPr>
        <w:t>2018 roku) wybrano do dofinansowania 38 projektów. Wysokość dofinansowania dla projektów nie mogła przekraczać kwoty 5</w:t>
      </w:r>
      <w:r>
        <w:rPr>
          <w:rFonts w:cs="Calibri"/>
          <w:szCs w:val="16"/>
        </w:rPr>
        <w:t> </w:t>
      </w:r>
      <w:r w:rsidRPr="00542114">
        <w:rPr>
          <w:rFonts w:cs="Calibri"/>
          <w:szCs w:val="16"/>
        </w:rPr>
        <w:t>mln zł. Przy średniej wartości realizowanych projektów na poziomie 725 tys. zł,</w:t>
      </w:r>
      <w:r w:rsidR="00E66B89">
        <w:rPr>
          <w:rFonts w:cs="Calibri"/>
          <w:szCs w:val="16"/>
        </w:rPr>
        <w:t xml:space="preserve"> w </w:t>
      </w:r>
      <w:r w:rsidRPr="00542114">
        <w:rPr>
          <w:rFonts w:cs="Calibri"/>
          <w:szCs w:val="16"/>
        </w:rPr>
        <w:t>przypadku aż 23 kwota dofinansowania nie przekracza 100 tys. zł, zaś</w:t>
      </w:r>
      <w:r w:rsidR="00E66B89">
        <w:rPr>
          <w:rFonts w:cs="Calibri"/>
          <w:szCs w:val="16"/>
        </w:rPr>
        <w:t xml:space="preserve"> w </w:t>
      </w:r>
      <w:r w:rsidRPr="00542114">
        <w:rPr>
          <w:rFonts w:cs="Calibri"/>
          <w:szCs w:val="16"/>
        </w:rPr>
        <w:t>przypadku 15 projektów jest wyższa niż 1 mln zł.</w:t>
      </w:r>
    </w:p>
    <w:p w14:paraId="6CFC8EED" w14:textId="77777777" w:rsidR="00BA3B1C" w:rsidRPr="00542114" w:rsidRDefault="00BA3B1C" w:rsidP="00BA3B1C">
      <w:pPr>
        <w:rPr>
          <w:rFonts w:cs="Calibri"/>
          <w:szCs w:val="16"/>
        </w:rPr>
      </w:pPr>
      <w:r w:rsidRPr="00542114">
        <w:rPr>
          <w:rFonts w:cs="Calibri"/>
          <w:szCs w:val="16"/>
        </w:rPr>
        <w:t>Na niskie zainteresowanie przedsiębiorców może wpływać brak stałej dostępności środków na realizację projektów B+R oraz stosunkowo długi proces oceny</w:t>
      </w:r>
      <w:r w:rsidR="00E66B89">
        <w:rPr>
          <w:rFonts w:cs="Calibri"/>
          <w:szCs w:val="16"/>
        </w:rPr>
        <w:t xml:space="preserve"> i </w:t>
      </w:r>
      <w:r w:rsidRPr="00542114">
        <w:rPr>
          <w:rFonts w:cs="Calibri"/>
          <w:szCs w:val="16"/>
        </w:rPr>
        <w:t>wyboru. Jak pokazują też doświadczenia województwa łódzkiego, wśród uprawnionych podmiotów często istnieje mała świadomość dostępności środków na cele B+R</w:t>
      </w:r>
      <w:r>
        <w:rPr>
          <w:rStyle w:val="Odwoanieprzypisudolnego"/>
          <w:rFonts w:cs="Calibri"/>
          <w:szCs w:val="16"/>
        </w:rPr>
        <w:footnoteReference w:id="5"/>
      </w:r>
      <w:r w:rsidRPr="00542114">
        <w:rPr>
          <w:rFonts w:cs="Calibri"/>
          <w:szCs w:val="16"/>
        </w:rPr>
        <w:t xml:space="preserve">. Pierwszym miejscem referencyjnym, </w:t>
      </w:r>
      <w:r>
        <w:rPr>
          <w:rFonts w:cs="Calibri"/>
          <w:szCs w:val="16"/>
        </w:rPr>
        <w:t>do którego</w:t>
      </w:r>
      <w:r w:rsidRPr="00542114">
        <w:rPr>
          <w:rFonts w:cs="Calibri"/>
          <w:szCs w:val="16"/>
        </w:rPr>
        <w:t xml:space="preserve"> </w:t>
      </w:r>
      <w:r>
        <w:rPr>
          <w:rFonts w:cs="Calibri"/>
          <w:szCs w:val="16"/>
        </w:rPr>
        <w:t xml:space="preserve">podmioty </w:t>
      </w:r>
      <w:r w:rsidRPr="00542114">
        <w:rPr>
          <w:rFonts w:cs="Calibri"/>
          <w:szCs w:val="16"/>
        </w:rPr>
        <w:t>zgłaszają się</w:t>
      </w:r>
      <w:r w:rsidR="00E66B89">
        <w:rPr>
          <w:rFonts w:cs="Calibri"/>
          <w:szCs w:val="16"/>
        </w:rPr>
        <w:t xml:space="preserve"> </w:t>
      </w:r>
      <w:r w:rsidR="00E66B89">
        <w:rPr>
          <w:rFonts w:cs="Calibri"/>
          <w:szCs w:val="16"/>
        </w:rPr>
        <w:lastRenderedPageBreak/>
        <w:t>w </w:t>
      </w:r>
      <w:r w:rsidRPr="00542114">
        <w:rPr>
          <w:rFonts w:cs="Calibri"/>
          <w:szCs w:val="16"/>
        </w:rPr>
        <w:t>poszukiwaniu środków finansowych na te cele jest często Narodowe Centrum Badań</w:t>
      </w:r>
      <w:r w:rsidR="00E66B89">
        <w:rPr>
          <w:rFonts w:cs="Calibri"/>
          <w:szCs w:val="16"/>
        </w:rPr>
        <w:t xml:space="preserve"> i </w:t>
      </w:r>
      <w:r w:rsidRPr="00542114">
        <w:rPr>
          <w:rFonts w:cs="Calibri"/>
          <w:szCs w:val="16"/>
        </w:rPr>
        <w:t xml:space="preserve">Rozwoju, co wynika </w:t>
      </w:r>
      <w:r>
        <w:rPr>
          <w:rFonts w:cs="Calibri"/>
          <w:szCs w:val="16"/>
        </w:rPr>
        <w:t>– jak wskazują sami potencjalni beneficjenci -</w:t>
      </w:r>
      <w:r w:rsidR="00E66B89">
        <w:rPr>
          <w:rFonts w:cs="Calibri"/>
          <w:szCs w:val="16"/>
        </w:rPr>
        <w:t xml:space="preserve"> z </w:t>
      </w:r>
      <w:r w:rsidRPr="00542114">
        <w:rPr>
          <w:rFonts w:cs="Calibri"/>
          <w:szCs w:val="16"/>
        </w:rPr>
        <w:t>braku wiedzy</w:t>
      </w:r>
      <w:r w:rsidR="00E66B89">
        <w:rPr>
          <w:rFonts w:cs="Calibri"/>
          <w:szCs w:val="16"/>
        </w:rPr>
        <w:t xml:space="preserve"> o </w:t>
      </w:r>
      <w:r w:rsidRPr="00542114">
        <w:rPr>
          <w:rFonts w:cs="Calibri"/>
          <w:szCs w:val="16"/>
        </w:rPr>
        <w:t>dostępności środków</w:t>
      </w:r>
      <w:r w:rsidR="00E66B89">
        <w:rPr>
          <w:rFonts w:cs="Calibri"/>
          <w:szCs w:val="16"/>
        </w:rPr>
        <w:t xml:space="preserve"> w </w:t>
      </w:r>
      <w:r w:rsidRPr="00542114">
        <w:rPr>
          <w:rFonts w:cs="Calibri"/>
          <w:szCs w:val="16"/>
        </w:rPr>
        <w:t xml:space="preserve">regionie. </w:t>
      </w:r>
    </w:p>
    <w:p w14:paraId="3003FB95" w14:textId="77777777" w:rsidR="00BA3B1C" w:rsidRPr="00542114" w:rsidRDefault="00BA3B1C" w:rsidP="00BA3B1C">
      <w:pPr>
        <w:rPr>
          <w:rFonts w:cs="Calibri"/>
          <w:szCs w:val="16"/>
        </w:rPr>
      </w:pPr>
      <w:r w:rsidRPr="00542114">
        <w:rPr>
          <w:rFonts w:cs="Calibri"/>
          <w:szCs w:val="16"/>
        </w:rPr>
        <w:t>W związku</w:t>
      </w:r>
      <w:r w:rsidR="00E66B89">
        <w:rPr>
          <w:rFonts w:cs="Calibri"/>
          <w:szCs w:val="16"/>
        </w:rPr>
        <w:t xml:space="preserve"> z </w:t>
      </w:r>
      <w:r w:rsidRPr="00542114">
        <w:rPr>
          <w:rFonts w:cs="Calibri"/>
          <w:szCs w:val="16"/>
        </w:rPr>
        <w:t>powyższym należy bardzo pozytywnie ocenić działania zaradcze planowane do realizacji przez system wdrożenia, obejmujące promocję konkursów</w:t>
      </w:r>
      <w:r w:rsidR="00E66B89">
        <w:rPr>
          <w:rFonts w:cs="Calibri"/>
          <w:szCs w:val="16"/>
        </w:rPr>
        <w:t xml:space="preserve"> w </w:t>
      </w:r>
      <w:r w:rsidRPr="00542114">
        <w:rPr>
          <w:rFonts w:cs="Calibri"/>
          <w:szCs w:val="16"/>
        </w:rPr>
        <w:t>mediach regionalnych, współpracę</w:t>
      </w:r>
      <w:r w:rsidR="00E66B89">
        <w:rPr>
          <w:rFonts w:cs="Calibri"/>
          <w:szCs w:val="16"/>
        </w:rPr>
        <w:t xml:space="preserve"> z </w:t>
      </w:r>
      <w:r w:rsidRPr="00542114">
        <w:rPr>
          <w:rFonts w:cs="Calibri"/>
          <w:szCs w:val="16"/>
        </w:rPr>
        <w:t>instytucjami otoczenia biznesu</w:t>
      </w:r>
      <w:r w:rsidR="00E66B89">
        <w:rPr>
          <w:rFonts w:cs="Calibri"/>
          <w:szCs w:val="16"/>
        </w:rPr>
        <w:t xml:space="preserve"> w </w:t>
      </w:r>
      <w:r w:rsidRPr="00542114">
        <w:rPr>
          <w:rFonts w:cs="Calibri"/>
          <w:szCs w:val="16"/>
        </w:rPr>
        <w:t>regionie oraz wprowadzenie konkursów</w:t>
      </w:r>
      <w:r w:rsidR="00E66B89">
        <w:rPr>
          <w:rFonts w:cs="Calibri"/>
          <w:szCs w:val="16"/>
        </w:rPr>
        <w:t xml:space="preserve"> w </w:t>
      </w:r>
      <w:r w:rsidRPr="00542114">
        <w:rPr>
          <w:rFonts w:cs="Calibri"/>
          <w:szCs w:val="16"/>
        </w:rPr>
        <w:t>trybie ciągłym (z</w:t>
      </w:r>
      <w:r>
        <w:rPr>
          <w:rFonts w:cs="Calibri"/>
          <w:szCs w:val="16"/>
        </w:rPr>
        <w:t> </w:t>
      </w:r>
      <w:r w:rsidRPr="00542114">
        <w:rPr>
          <w:rFonts w:cs="Calibri"/>
          <w:szCs w:val="16"/>
        </w:rPr>
        <w:t>rundami oceny).</w:t>
      </w:r>
    </w:p>
    <w:p w14:paraId="23D742BF" w14:textId="77777777" w:rsidR="00BA3B1C" w:rsidRPr="00542114" w:rsidRDefault="00BA3B1C" w:rsidP="00BA3B1C">
      <w:pPr>
        <w:rPr>
          <w:rFonts w:cs="Calibri"/>
          <w:szCs w:val="16"/>
        </w:rPr>
      </w:pPr>
      <w:r w:rsidRPr="00542114">
        <w:rPr>
          <w:rFonts w:cs="Calibri"/>
          <w:szCs w:val="16"/>
        </w:rPr>
        <w:t>W przypadku projektów</w:t>
      </w:r>
      <w:r w:rsidR="00E66B89">
        <w:rPr>
          <w:rFonts w:cs="Calibri"/>
          <w:szCs w:val="16"/>
        </w:rPr>
        <w:t xml:space="preserve"> z </w:t>
      </w:r>
      <w:r w:rsidRPr="00542114">
        <w:rPr>
          <w:rFonts w:cs="Calibri"/>
          <w:szCs w:val="16"/>
        </w:rPr>
        <w:t>zakresu rozwoju infrastruktury B+R</w:t>
      </w:r>
      <w:r w:rsidR="00E66B89">
        <w:rPr>
          <w:rFonts w:cs="Calibri"/>
          <w:szCs w:val="16"/>
        </w:rPr>
        <w:t xml:space="preserve"> w </w:t>
      </w:r>
      <w:r w:rsidRPr="00542114">
        <w:rPr>
          <w:rFonts w:cs="Calibri"/>
          <w:szCs w:val="16"/>
        </w:rPr>
        <w:t>przedsiębiorstwach (Działanie 1.2) barierą dla większego zainteresowania uprawnionych podmiotów</w:t>
      </w:r>
      <w:r w:rsidR="00E66B89">
        <w:rPr>
          <w:rFonts w:cs="Calibri"/>
          <w:szCs w:val="16"/>
        </w:rPr>
        <w:t xml:space="preserve"> w </w:t>
      </w:r>
      <w:r w:rsidRPr="00542114">
        <w:rPr>
          <w:rFonts w:cs="Calibri"/>
          <w:szCs w:val="16"/>
        </w:rPr>
        <w:t>sięganiu po te środki może być niska intensywność wsparcia (podstawą prawną jest regionalna pomoc inwestycyjna). Konieczność zapewnienia stosunkowo dużego wkładu własnego (45%</w:t>
      </w:r>
      <w:r w:rsidR="00E66B89">
        <w:rPr>
          <w:rFonts w:cs="Calibri"/>
          <w:szCs w:val="16"/>
        </w:rPr>
        <w:t xml:space="preserve"> w </w:t>
      </w:r>
      <w:r w:rsidRPr="00542114">
        <w:rPr>
          <w:rFonts w:cs="Calibri"/>
          <w:szCs w:val="16"/>
        </w:rPr>
        <w:t>przypadku mikro</w:t>
      </w:r>
      <w:r w:rsidR="00E66B89">
        <w:rPr>
          <w:rFonts w:cs="Calibri"/>
          <w:szCs w:val="16"/>
        </w:rPr>
        <w:t xml:space="preserve"> i </w:t>
      </w:r>
      <w:r w:rsidRPr="00542114">
        <w:rPr>
          <w:rFonts w:cs="Calibri"/>
          <w:szCs w:val="16"/>
        </w:rPr>
        <w:t>małych przedsiębiorstw, 55%</w:t>
      </w:r>
      <w:r w:rsidR="00E66B89">
        <w:rPr>
          <w:rFonts w:cs="Calibri"/>
          <w:szCs w:val="16"/>
        </w:rPr>
        <w:t xml:space="preserve"> w </w:t>
      </w:r>
      <w:r w:rsidRPr="00542114">
        <w:rPr>
          <w:rFonts w:cs="Calibri"/>
          <w:szCs w:val="16"/>
        </w:rPr>
        <w:t>przypadku średnich przedsiębiorstw</w:t>
      </w:r>
      <w:r w:rsidR="00E66B89">
        <w:rPr>
          <w:rFonts w:cs="Calibri"/>
          <w:szCs w:val="16"/>
        </w:rPr>
        <w:t xml:space="preserve"> i </w:t>
      </w:r>
      <w:r w:rsidRPr="00542114">
        <w:rPr>
          <w:rFonts w:cs="Calibri"/>
          <w:szCs w:val="16"/>
        </w:rPr>
        <w:t>65%</w:t>
      </w:r>
      <w:r w:rsidR="00E66B89">
        <w:rPr>
          <w:rFonts w:cs="Calibri"/>
          <w:szCs w:val="16"/>
        </w:rPr>
        <w:t xml:space="preserve"> w </w:t>
      </w:r>
      <w:r w:rsidRPr="00542114">
        <w:rPr>
          <w:rFonts w:cs="Calibri"/>
          <w:szCs w:val="16"/>
        </w:rPr>
        <w:t>przypadku dużych przedsiębiorstw) może nie tworzyć wystarczająco silnego bodźca do podejmowania przedsięwzięć cechujących się wysokim poziomem ryzyka. Inwestycje</w:t>
      </w:r>
      <w:r w:rsidR="00E66B89">
        <w:rPr>
          <w:rFonts w:cs="Calibri"/>
          <w:szCs w:val="16"/>
        </w:rPr>
        <w:t xml:space="preserve"> w </w:t>
      </w:r>
      <w:r w:rsidRPr="00542114">
        <w:rPr>
          <w:rFonts w:cs="Calibri"/>
          <w:szCs w:val="16"/>
        </w:rPr>
        <w:t>infrastrukturę B+R są bowiem obarczone porównywalnie wysokim ryzykiem jak projekty badawczo-rozwojowe. Przy niskim poziomie kooperacji przedsiębiorstw</w:t>
      </w:r>
      <w:r w:rsidR="00E66B89">
        <w:rPr>
          <w:rFonts w:cs="Calibri"/>
          <w:szCs w:val="16"/>
        </w:rPr>
        <w:t xml:space="preserve"> w </w:t>
      </w:r>
      <w:r w:rsidRPr="00542114">
        <w:rPr>
          <w:rFonts w:cs="Calibri"/>
          <w:szCs w:val="16"/>
        </w:rPr>
        <w:t>Polsce świadczenie odpłatnych usług na rzecz innych przedsiębiorców jest także rozwiązaniem</w:t>
      </w:r>
      <w:r w:rsidR="00E66B89">
        <w:rPr>
          <w:rFonts w:cs="Calibri"/>
          <w:szCs w:val="16"/>
        </w:rPr>
        <w:t xml:space="preserve"> o </w:t>
      </w:r>
      <w:r w:rsidRPr="00542114">
        <w:rPr>
          <w:rFonts w:cs="Calibri"/>
          <w:szCs w:val="16"/>
        </w:rPr>
        <w:t>małym prawdopodobieństwie wykonalności</w:t>
      </w:r>
      <w:r w:rsidR="00E66B89">
        <w:rPr>
          <w:rFonts w:cs="Calibri"/>
          <w:szCs w:val="16"/>
        </w:rPr>
        <w:t xml:space="preserve"> i </w:t>
      </w:r>
      <w:r w:rsidRPr="00542114">
        <w:rPr>
          <w:rFonts w:cs="Calibri"/>
          <w:szCs w:val="16"/>
        </w:rPr>
        <w:t>czerpania</w:t>
      </w:r>
      <w:r w:rsidR="00E66B89">
        <w:rPr>
          <w:rFonts w:cs="Calibri"/>
          <w:szCs w:val="16"/>
        </w:rPr>
        <w:t xml:space="preserve"> z </w:t>
      </w:r>
      <w:r w:rsidRPr="00542114">
        <w:rPr>
          <w:rFonts w:cs="Calibri"/>
          <w:szCs w:val="16"/>
        </w:rPr>
        <w:t>tego tytułu znaczących dochodów. Warto tu wskazać na rozwiązanie przyjęte</w:t>
      </w:r>
      <w:r w:rsidR="00E66B89">
        <w:rPr>
          <w:rFonts w:cs="Calibri"/>
          <w:szCs w:val="16"/>
        </w:rPr>
        <w:t xml:space="preserve"> w </w:t>
      </w:r>
      <w:r w:rsidRPr="00542114">
        <w:rPr>
          <w:rFonts w:cs="Calibri"/>
          <w:szCs w:val="16"/>
        </w:rPr>
        <w:t>województwie wielkopolskim, gdzie</w:t>
      </w:r>
      <w:r w:rsidR="00E66B89">
        <w:rPr>
          <w:rFonts w:cs="Calibri"/>
          <w:szCs w:val="16"/>
        </w:rPr>
        <w:t xml:space="preserve"> w </w:t>
      </w:r>
      <w:r w:rsidRPr="00542114">
        <w:rPr>
          <w:rFonts w:cs="Calibri"/>
          <w:szCs w:val="16"/>
        </w:rPr>
        <w:t>ramach Działania 1.2 Wzmocnienie potencjału innowacyjnego przedsiębiorstw Wielkopolski przewidziano możliwość wsparcia inwestycji</w:t>
      </w:r>
      <w:r w:rsidR="00E66B89">
        <w:rPr>
          <w:rFonts w:cs="Calibri"/>
          <w:szCs w:val="16"/>
        </w:rPr>
        <w:t xml:space="preserve"> w </w:t>
      </w:r>
      <w:r w:rsidRPr="00542114">
        <w:rPr>
          <w:rFonts w:cs="Calibri"/>
          <w:szCs w:val="16"/>
        </w:rPr>
        <w:t>infrastrukturę B+R</w:t>
      </w:r>
      <w:r w:rsidR="00E66B89">
        <w:rPr>
          <w:rFonts w:cs="Calibri"/>
          <w:szCs w:val="16"/>
        </w:rPr>
        <w:t xml:space="preserve"> w </w:t>
      </w:r>
      <w:r w:rsidRPr="00542114">
        <w:rPr>
          <w:rFonts w:cs="Calibri"/>
          <w:szCs w:val="16"/>
        </w:rPr>
        <w:t>oparciu</w:t>
      </w:r>
      <w:r w:rsidR="00E66B89">
        <w:rPr>
          <w:rFonts w:cs="Calibri"/>
          <w:szCs w:val="16"/>
        </w:rPr>
        <w:t xml:space="preserve"> o </w:t>
      </w:r>
      <w:r w:rsidRPr="00542114">
        <w:rPr>
          <w:rFonts w:cs="Calibri"/>
          <w:szCs w:val="16"/>
        </w:rPr>
        <w:t>pomoc de minimis (do wysokości dofinansowania dla projektów nie przekraczającej 700 tys. zł). Mogłoby one stanowić potencjalnie zachętę dla najmniejszych firm, gdzie infrastruktura badawcza nie będzie tak kosztowna, niwelując barierę wysokiego wymaganego wkładu własnego.</w:t>
      </w:r>
    </w:p>
    <w:p w14:paraId="14285508" w14:textId="77777777" w:rsidR="00BA3B1C" w:rsidRDefault="00BA3B1C" w:rsidP="00BA3B1C">
      <w:pPr>
        <w:rPr>
          <w:rFonts w:cs="Calibri"/>
          <w:szCs w:val="16"/>
        </w:rPr>
      </w:pPr>
      <w:r w:rsidRPr="00542114">
        <w:rPr>
          <w:rFonts w:cs="Calibri"/>
          <w:szCs w:val="16"/>
        </w:rPr>
        <w:t xml:space="preserve">Rozwiązaniem, które mogłoby zbudować świadomość </w:t>
      </w:r>
      <w:r>
        <w:rPr>
          <w:rFonts w:cs="Calibri"/>
          <w:szCs w:val="16"/>
        </w:rPr>
        <w:t>dostępności środków na poziomie regionalnym</w:t>
      </w:r>
      <w:r w:rsidR="00E66B89">
        <w:rPr>
          <w:rFonts w:cs="Calibri"/>
          <w:szCs w:val="16"/>
        </w:rPr>
        <w:t xml:space="preserve"> i </w:t>
      </w:r>
      <w:r w:rsidRPr="00542114">
        <w:rPr>
          <w:rFonts w:cs="Calibri"/>
          <w:szCs w:val="16"/>
        </w:rPr>
        <w:t>jednocześnie zachęc</w:t>
      </w:r>
      <w:r>
        <w:rPr>
          <w:rFonts w:cs="Calibri"/>
          <w:szCs w:val="16"/>
        </w:rPr>
        <w:t>a</w:t>
      </w:r>
      <w:r w:rsidRPr="00542114">
        <w:rPr>
          <w:rFonts w:cs="Calibri"/>
          <w:szCs w:val="16"/>
        </w:rPr>
        <w:t>ć uprawnione podmioty do sięgania po środki</w:t>
      </w:r>
      <w:r w:rsidR="00E66B89">
        <w:rPr>
          <w:rFonts w:cs="Calibri"/>
          <w:szCs w:val="16"/>
        </w:rPr>
        <w:t xml:space="preserve"> w </w:t>
      </w:r>
      <w:r w:rsidRPr="00542114">
        <w:rPr>
          <w:rFonts w:cs="Calibri"/>
          <w:szCs w:val="16"/>
        </w:rPr>
        <w:t>ramach Działania 1.1 RPO WZ 2014-2020 jest poszerzenie akcji promocyjno-informacyjnej, jaka już obecnie jest planowana,</w:t>
      </w:r>
      <w:r w:rsidR="00E66B89">
        <w:rPr>
          <w:rFonts w:cs="Calibri"/>
          <w:szCs w:val="16"/>
        </w:rPr>
        <w:t xml:space="preserve"> o </w:t>
      </w:r>
      <w:r w:rsidRPr="00542114">
        <w:rPr>
          <w:rFonts w:cs="Calibri"/>
          <w:szCs w:val="16"/>
        </w:rPr>
        <w:t>mailing kierowany do firm</w:t>
      </w:r>
      <w:r w:rsidR="00E66B89">
        <w:rPr>
          <w:rFonts w:cs="Calibri"/>
          <w:szCs w:val="16"/>
        </w:rPr>
        <w:t xml:space="preserve"> z </w:t>
      </w:r>
      <w:r w:rsidRPr="00542114">
        <w:rPr>
          <w:rFonts w:cs="Calibri"/>
          <w:szCs w:val="16"/>
        </w:rPr>
        <w:t>województwa zachodniopomorskiego, które (1) ubiegały się</w:t>
      </w:r>
      <w:r w:rsidR="00E66B89">
        <w:rPr>
          <w:rFonts w:cs="Calibri"/>
          <w:szCs w:val="16"/>
        </w:rPr>
        <w:t xml:space="preserve"> o </w:t>
      </w:r>
      <w:r w:rsidRPr="00542114">
        <w:rPr>
          <w:rFonts w:cs="Calibri"/>
          <w:szCs w:val="16"/>
        </w:rPr>
        <w:t>wsparcie na projekty B+R</w:t>
      </w:r>
      <w:r w:rsidR="00E66B89">
        <w:rPr>
          <w:rFonts w:cs="Calibri"/>
          <w:szCs w:val="16"/>
        </w:rPr>
        <w:t xml:space="preserve"> z </w:t>
      </w:r>
      <w:r w:rsidRPr="00542114">
        <w:rPr>
          <w:rFonts w:cs="Calibri"/>
          <w:szCs w:val="16"/>
        </w:rPr>
        <w:t>środków NCBR, (2) ubiegały się</w:t>
      </w:r>
      <w:r w:rsidR="00E66B89">
        <w:rPr>
          <w:rFonts w:cs="Calibri"/>
          <w:szCs w:val="16"/>
        </w:rPr>
        <w:t xml:space="preserve"> o </w:t>
      </w:r>
      <w:r w:rsidRPr="00542114">
        <w:rPr>
          <w:rFonts w:cs="Calibri"/>
          <w:szCs w:val="16"/>
        </w:rPr>
        <w:t>bony na innowacje</w:t>
      </w:r>
      <w:r w:rsidR="00E66B89">
        <w:rPr>
          <w:rFonts w:cs="Calibri"/>
          <w:szCs w:val="16"/>
        </w:rPr>
        <w:t xml:space="preserve"> z </w:t>
      </w:r>
      <w:r w:rsidRPr="00542114">
        <w:rPr>
          <w:rFonts w:cs="Calibri"/>
          <w:szCs w:val="16"/>
        </w:rPr>
        <w:t>Polskiej Agencji Rozwoju Przedsiębiorczości, (3) składają do Głównego Urzędu Statystycznego formularze PNT-01 (Sprawozdanie</w:t>
      </w:r>
      <w:r w:rsidR="00E66B89">
        <w:rPr>
          <w:rFonts w:cs="Calibri"/>
          <w:szCs w:val="16"/>
        </w:rPr>
        <w:t xml:space="preserve"> o </w:t>
      </w:r>
      <w:r w:rsidRPr="00542114">
        <w:rPr>
          <w:rFonts w:cs="Calibri"/>
          <w:szCs w:val="16"/>
        </w:rPr>
        <w:t>działalności badawczej</w:t>
      </w:r>
      <w:r w:rsidR="00E66B89">
        <w:rPr>
          <w:rFonts w:cs="Calibri"/>
          <w:szCs w:val="16"/>
        </w:rPr>
        <w:t xml:space="preserve"> i </w:t>
      </w:r>
      <w:r w:rsidRPr="00542114">
        <w:rPr>
          <w:rFonts w:cs="Calibri"/>
          <w:szCs w:val="16"/>
        </w:rPr>
        <w:t>rozwojowej)</w:t>
      </w:r>
      <w:r w:rsidR="00E66B89">
        <w:rPr>
          <w:rFonts w:cs="Calibri"/>
          <w:szCs w:val="16"/>
        </w:rPr>
        <w:t xml:space="preserve"> i </w:t>
      </w:r>
      <w:r w:rsidRPr="00542114">
        <w:rPr>
          <w:rFonts w:cs="Calibri"/>
          <w:szCs w:val="16"/>
        </w:rPr>
        <w:t>PNT-02 (Sprawozdanie</w:t>
      </w:r>
      <w:r w:rsidR="00E66B89">
        <w:rPr>
          <w:rFonts w:cs="Calibri"/>
          <w:szCs w:val="16"/>
        </w:rPr>
        <w:t xml:space="preserve"> o </w:t>
      </w:r>
      <w:r w:rsidRPr="00542114">
        <w:rPr>
          <w:rFonts w:cs="Calibri"/>
          <w:szCs w:val="16"/>
        </w:rPr>
        <w:t>innowacjach</w:t>
      </w:r>
      <w:r w:rsidR="00E66B89">
        <w:rPr>
          <w:rFonts w:cs="Calibri"/>
          <w:szCs w:val="16"/>
        </w:rPr>
        <w:t xml:space="preserve"> w </w:t>
      </w:r>
      <w:r w:rsidRPr="00542114">
        <w:rPr>
          <w:rFonts w:cs="Calibri"/>
          <w:szCs w:val="16"/>
        </w:rPr>
        <w:t>przemyśle), (4) prowadzą działalność</w:t>
      </w:r>
      <w:r w:rsidR="00E66B89">
        <w:rPr>
          <w:rFonts w:cs="Calibri"/>
          <w:szCs w:val="16"/>
        </w:rPr>
        <w:t xml:space="preserve"> w </w:t>
      </w:r>
      <w:r w:rsidRPr="00542114">
        <w:rPr>
          <w:rFonts w:cs="Calibri"/>
          <w:szCs w:val="16"/>
        </w:rPr>
        <w:t>dziale 72 PKD (Badania naukowe</w:t>
      </w:r>
      <w:r w:rsidR="00E66B89">
        <w:rPr>
          <w:rFonts w:cs="Calibri"/>
          <w:szCs w:val="16"/>
        </w:rPr>
        <w:t xml:space="preserve"> i </w:t>
      </w:r>
      <w:r w:rsidRPr="00542114">
        <w:rPr>
          <w:rFonts w:cs="Calibri"/>
          <w:szCs w:val="16"/>
        </w:rPr>
        <w:t>prace rozwojowe).</w:t>
      </w:r>
    </w:p>
    <w:p w14:paraId="6A52DDDC" w14:textId="77777777" w:rsidR="00BA3B1C" w:rsidRPr="00542114" w:rsidRDefault="00BA3B1C" w:rsidP="00BA3B1C">
      <w:pPr>
        <w:rPr>
          <w:rFonts w:cs="Calibri"/>
          <w:szCs w:val="16"/>
        </w:rPr>
      </w:pPr>
      <w:r>
        <w:rPr>
          <w:rFonts w:cs="Calibri"/>
          <w:szCs w:val="16"/>
        </w:rPr>
        <w:t>W zakresie Działania 1.2 stosowanym rozwiązaniem, które może mieć negatywny wpływ na potencjał aplikacyjny podmiotów jest ograniczenie typów beneficjentów</w:t>
      </w:r>
      <w:r w:rsidR="00E66B89">
        <w:rPr>
          <w:rFonts w:cs="Calibri"/>
          <w:szCs w:val="16"/>
        </w:rPr>
        <w:t xml:space="preserve"> w </w:t>
      </w:r>
      <w:r>
        <w:rPr>
          <w:rFonts w:cs="Calibri"/>
          <w:szCs w:val="16"/>
        </w:rPr>
        <w:t>ramach typu 2 projektów (Tworzenie</w:t>
      </w:r>
      <w:r w:rsidR="00E66B89">
        <w:rPr>
          <w:rFonts w:cs="Calibri"/>
          <w:szCs w:val="16"/>
        </w:rPr>
        <w:t xml:space="preserve"> i </w:t>
      </w:r>
      <w:r w:rsidRPr="00E833DC">
        <w:rPr>
          <w:rFonts w:cs="Calibri"/>
          <w:szCs w:val="16"/>
        </w:rPr>
        <w:t>rozwój wspólnej infrastruktury B+R dla przedsiębiorstw</w:t>
      </w:r>
      <w:r>
        <w:rPr>
          <w:rFonts w:cs="Calibri"/>
          <w:szCs w:val="16"/>
        </w:rPr>
        <w:t xml:space="preserve">) do konsorcjów naukowo-badawczych oraz </w:t>
      </w:r>
      <w:r w:rsidRPr="00E833DC">
        <w:rPr>
          <w:rFonts w:cs="Calibri"/>
          <w:szCs w:val="16"/>
        </w:rPr>
        <w:t>instytucj</w:t>
      </w:r>
      <w:r>
        <w:rPr>
          <w:rFonts w:cs="Calibri"/>
          <w:szCs w:val="16"/>
        </w:rPr>
        <w:t>i</w:t>
      </w:r>
      <w:r w:rsidRPr="00E833DC">
        <w:rPr>
          <w:rFonts w:cs="Calibri"/>
          <w:szCs w:val="16"/>
        </w:rPr>
        <w:t xml:space="preserve"> otoczenia biznesu</w:t>
      </w:r>
      <w:r w:rsidR="00E66B89">
        <w:rPr>
          <w:rFonts w:cs="Calibri"/>
          <w:szCs w:val="16"/>
        </w:rPr>
        <w:t xml:space="preserve"> i </w:t>
      </w:r>
      <w:r w:rsidRPr="00E833DC">
        <w:rPr>
          <w:rFonts w:cs="Calibri"/>
          <w:szCs w:val="16"/>
        </w:rPr>
        <w:t>grup przedsiębiorstw</w:t>
      </w:r>
      <w:r>
        <w:rPr>
          <w:rFonts w:cs="Calibri"/>
          <w:szCs w:val="16"/>
        </w:rPr>
        <w:t>. Tymczasem uczestnicy panelu ekspertów wyrazili pogląd, że potencjał aplikacyjny mógłby zostać zwiększony jeśli dopuszczono by możliwość tworzenia konsorcjów, których wyłącznymi członkami byłyby przedsiębiorstwa.</w:t>
      </w:r>
    </w:p>
    <w:p w14:paraId="0816257B" w14:textId="77777777" w:rsidR="00BA3B1C" w:rsidRPr="00542114" w:rsidRDefault="00BA3B1C" w:rsidP="00BA3B1C">
      <w:pPr>
        <w:rPr>
          <w:rFonts w:cs="Calibri"/>
          <w:szCs w:val="16"/>
        </w:rPr>
      </w:pPr>
      <w:r w:rsidRPr="00542114">
        <w:rPr>
          <w:rFonts w:cs="Calibri"/>
          <w:szCs w:val="16"/>
        </w:rPr>
        <w:t>Jak zapisano</w:t>
      </w:r>
      <w:r w:rsidR="00E66B89">
        <w:rPr>
          <w:rFonts w:cs="Calibri"/>
          <w:szCs w:val="16"/>
        </w:rPr>
        <w:t xml:space="preserve"> w </w:t>
      </w:r>
      <w:r w:rsidRPr="00542114">
        <w:rPr>
          <w:rFonts w:cs="Calibri"/>
          <w:szCs w:val="16"/>
        </w:rPr>
        <w:t>dokumencie RPO, warunkiem wsparcia</w:t>
      </w:r>
      <w:r w:rsidR="00E66B89">
        <w:rPr>
          <w:rFonts w:cs="Calibri"/>
          <w:szCs w:val="16"/>
        </w:rPr>
        <w:t xml:space="preserve"> w </w:t>
      </w:r>
      <w:r w:rsidRPr="00542114">
        <w:rPr>
          <w:rFonts w:cs="Calibri"/>
          <w:szCs w:val="16"/>
        </w:rPr>
        <w:t>CT 1 jest zgodność</w:t>
      </w:r>
      <w:r w:rsidR="00E66B89">
        <w:rPr>
          <w:rFonts w:cs="Calibri"/>
          <w:szCs w:val="16"/>
        </w:rPr>
        <w:t xml:space="preserve"> z </w:t>
      </w:r>
      <w:r w:rsidRPr="00542114">
        <w:rPr>
          <w:rFonts w:cs="Calibri"/>
          <w:szCs w:val="16"/>
        </w:rPr>
        <w:t>regionalną strategią inteligentnej specjalizacji.</w:t>
      </w:r>
      <w:r w:rsidR="00E66B89">
        <w:rPr>
          <w:rFonts w:cs="Calibri"/>
          <w:szCs w:val="16"/>
        </w:rPr>
        <w:t xml:space="preserve"> O </w:t>
      </w:r>
      <w:r w:rsidRPr="00542114">
        <w:rPr>
          <w:rFonts w:cs="Calibri"/>
          <w:szCs w:val="16"/>
        </w:rPr>
        <w:t>ile nie sposób kwestionować zasadności rozwiązania ukierunkowującego wsparcie na dziedziny</w:t>
      </w:r>
      <w:r w:rsidR="00E66B89">
        <w:rPr>
          <w:rFonts w:cs="Calibri"/>
          <w:szCs w:val="16"/>
        </w:rPr>
        <w:t xml:space="preserve"> o </w:t>
      </w:r>
      <w:r w:rsidRPr="00542114">
        <w:rPr>
          <w:rFonts w:cs="Calibri"/>
          <w:szCs w:val="16"/>
        </w:rPr>
        <w:t>kluczowym, perspektywicznym znaczeniu dla rozwoju gospodarki Pomorza Zachodniego, to jednak warto rozważyć zastosowanie rozwiązania, które praktykuje kilka polskich regionów (mazowieckie, małopolskie, opolskie, podlaskie)</w:t>
      </w:r>
      <w:r>
        <w:rPr>
          <w:rFonts w:cs="Calibri"/>
          <w:szCs w:val="16"/>
        </w:rPr>
        <w:t xml:space="preserve">. Polega ono na </w:t>
      </w:r>
      <w:r w:rsidRPr="00542114">
        <w:rPr>
          <w:rFonts w:cs="Calibri"/>
          <w:szCs w:val="16"/>
        </w:rPr>
        <w:t>wydzieleni</w:t>
      </w:r>
      <w:r>
        <w:rPr>
          <w:rFonts w:cs="Calibri"/>
          <w:szCs w:val="16"/>
        </w:rPr>
        <w:t>u</w:t>
      </w:r>
      <w:r w:rsidRPr="00542114">
        <w:rPr>
          <w:rFonts w:cs="Calibri"/>
          <w:szCs w:val="16"/>
        </w:rPr>
        <w:t xml:space="preserve"> relatywnie niewielkiej puli środków na wsparcie projektów nie mieszczących się</w:t>
      </w:r>
      <w:r w:rsidR="00E66B89">
        <w:rPr>
          <w:rFonts w:cs="Calibri"/>
          <w:szCs w:val="16"/>
        </w:rPr>
        <w:t xml:space="preserve"> w </w:t>
      </w:r>
      <w:r w:rsidRPr="00542114">
        <w:rPr>
          <w:rFonts w:cs="Calibri"/>
          <w:szCs w:val="16"/>
        </w:rPr>
        <w:t>obszarach inteligentnych specjalizacji danego województwa</w:t>
      </w:r>
      <w:r>
        <w:rPr>
          <w:rFonts w:cs="Calibri"/>
          <w:szCs w:val="16"/>
        </w:rPr>
        <w:t xml:space="preserve">. Co prawda będzie to pula środków przeznaczona na </w:t>
      </w:r>
      <w:r w:rsidRPr="00141FC8">
        <w:rPr>
          <w:rFonts w:cs="Calibri"/>
          <w:szCs w:val="16"/>
        </w:rPr>
        <w:t>wyłonienie nowych inteligentnych specjalizacji, jako element</w:t>
      </w:r>
      <w:r>
        <w:rPr>
          <w:rFonts w:cs="Calibri"/>
          <w:szCs w:val="16"/>
        </w:rPr>
        <w:t>u</w:t>
      </w:r>
      <w:r w:rsidRPr="00141FC8">
        <w:rPr>
          <w:rFonts w:cs="Calibri"/>
          <w:szCs w:val="16"/>
        </w:rPr>
        <w:t xml:space="preserve"> procesu eksperymentowania</w:t>
      </w:r>
      <w:r w:rsidR="00E66B89">
        <w:rPr>
          <w:rFonts w:cs="Calibri"/>
          <w:szCs w:val="16"/>
        </w:rPr>
        <w:t xml:space="preserve"> i </w:t>
      </w:r>
      <w:r w:rsidRPr="00141FC8">
        <w:rPr>
          <w:rFonts w:cs="Calibri"/>
          <w:szCs w:val="16"/>
        </w:rPr>
        <w:t>poszukiwania nisz rozwojowych</w:t>
      </w:r>
      <w:r>
        <w:rPr>
          <w:rFonts w:cs="Calibri"/>
          <w:szCs w:val="16"/>
        </w:rPr>
        <w:t xml:space="preserve">, stworzy jednak możliwość </w:t>
      </w:r>
      <w:r w:rsidRPr="00542114">
        <w:rPr>
          <w:rFonts w:cs="Calibri"/>
          <w:szCs w:val="16"/>
        </w:rPr>
        <w:t>uzyska</w:t>
      </w:r>
      <w:r>
        <w:rPr>
          <w:rFonts w:cs="Calibri"/>
          <w:szCs w:val="16"/>
        </w:rPr>
        <w:t>nia</w:t>
      </w:r>
      <w:r w:rsidRPr="00542114">
        <w:rPr>
          <w:rFonts w:cs="Calibri"/>
          <w:szCs w:val="16"/>
        </w:rPr>
        <w:t xml:space="preserve"> dostęp</w:t>
      </w:r>
      <w:r>
        <w:rPr>
          <w:rFonts w:cs="Calibri"/>
          <w:szCs w:val="16"/>
        </w:rPr>
        <w:t>u</w:t>
      </w:r>
      <w:r w:rsidRPr="00542114">
        <w:rPr>
          <w:rFonts w:cs="Calibri"/>
          <w:szCs w:val="16"/>
        </w:rPr>
        <w:t xml:space="preserve"> do środków na rozwój B+R także tym przedsiębiorcom, którzy działają</w:t>
      </w:r>
      <w:r w:rsidR="00E66B89">
        <w:rPr>
          <w:rFonts w:cs="Calibri"/>
          <w:szCs w:val="16"/>
        </w:rPr>
        <w:t xml:space="preserve"> w </w:t>
      </w:r>
      <w:r w:rsidRPr="00542114">
        <w:rPr>
          <w:rFonts w:cs="Calibri"/>
          <w:szCs w:val="16"/>
        </w:rPr>
        <w:t>obszarach nie objętych regionalnymi inteligentnymi specjalizacjami.</w:t>
      </w:r>
    </w:p>
    <w:p w14:paraId="54A88A04" w14:textId="77777777" w:rsidR="00BA3B1C" w:rsidRDefault="00BA3B1C" w:rsidP="00BA3B1C">
      <w:pPr>
        <w:rPr>
          <w:rFonts w:cs="Calibri"/>
          <w:szCs w:val="16"/>
        </w:rPr>
      </w:pPr>
      <w:r w:rsidRPr="00542114">
        <w:rPr>
          <w:rFonts w:cs="Calibri"/>
          <w:szCs w:val="16"/>
        </w:rPr>
        <w:lastRenderedPageBreak/>
        <w:t>W obszarze realizacji prac B+R (Działanie 1.1) czynnikiem związanym specyficznie</w:t>
      </w:r>
      <w:r w:rsidR="00E66B89">
        <w:rPr>
          <w:rFonts w:cs="Calibri"/>
          <w:szCs w:val="16"/>
        </w:rPr>
        <w:t xml:space="preserve"> z </w:t>
      </w:r>
      <w:r w:rsidRPr="00542114">
        <w:rPr>
          <w:rFonts w:cs="Calibri"/>
          <w:szCs w:val="16"/>
        </w:rPr>
        <w:t xml:space="preserve">bonami na innowacje (Typ 1 projektu - Małe projekty B+R) </w:t>
      </w:r>
      <w:r>
        <w:rPr>
          <w:rFonts w:cs="Calibri"/>
          <w:szCs w:val="16"/>
        </w:rPr>
        <w:t>mogącym wpływać na skuteczność interwencji może być</w:t>
      </w:r>
      <w:r w:rsidRPr="00542114">
        <w:rPr>
          <w:rFonts w:cs="Calibri"/>
          <w:szCs w:val="16"/>
        </w:rPr>
        <w:t xml:space="preserve"> stosowany sposób oceny. Sukces tego instrumentu</w:t>
      </w:r>
      <w:r w:rsidR="00E66B89">
        <w:rPr>
          <w:rFonts w:cs="Calibri"/>
          <w:szCs w:val="16"/>
        </w:rPr>
        <w:t xml:space="preserve"> w </w:t>
      </w:r>
      <w:r w:rsidRPr="00542114">
        <w:rPr>
          <w:rFonts w:cs="Calibri"/>
          <w:szCs w:val="16"/>
        </w:rPr>
        <w:t>województwie małopolskim (ponad 200 zawartych umów spośród ponad 300 złożonych wniosków) można</w:t>
      </w:r>
      <w:r w:rsidR="00E66B89">
        <w:rPr>
          <w:rFonts w:cs="Calibri"/>
          <w:szCs w:val="16"/>
        </w:rPr>
        <w:t xml:space="preserve"> w </w:t>
      </w:r>
      <w:r w:rsidRPr="00542114">
        <w:rPr>
          <w:rFonts w:cs="Calibri"/>
          <w:szCs w:val="16"/>
        </w:rPr>
        <w:t>dużej mierze tłumaczyć całkowitą rezygnacją</w:t>
      </w:r>
      <w:r w:rsidR="00E66B89">
        <w:rPr>
          <w:rFonts w:cs="Calibri"/>
          <w:szCs w:val="16"/>
        </w:rPr>
        <w:t xml:space="preserve"> z </w:t>
      </w:r>
      <w:r w:rsidRPr="00542114">
        <w:rPr>
          <w:rFonts w:cs="Calibri"/>
          <w:szCs w:val="16"/>
        </w:rPr>
        <w:t>kryteriów punktowych</w:t>
      </w:r>
      <w:r w:rsidR="00E66B89">
        <w:rPr>
          <w:rFonts w:cs="Calibri"/>
          <w:szCs w:val="16"/>
        </w:rPr>
        <w:t xml:space="preserve"> w </w:t>
      </w:r>
      <w:r w:rsidRPr="00542114">
        <w:rPr>
          <w:rFonts w:cs="Calibri"/>
          <w:szCs w:val="16"/>
        </w:rPr>
        <w:t xml:space="preserve">ocenie. Nie są ponadto tworzone żadne szczególne wymogi dotyczące wcześniejszego ponoszenia nakładów na B+R (co mogłoby wykluczać start-up’y) lub </w:t>
      </w:r>
      <w:r>
        <w:rPr>
          <w:rFonts w:cs="Calibri"/>
          <w:szCs w:val="16"/>
        </w:rPr>
        <w:t xml:space="preserve">też </w:t>
      </w:r>
      <w:r w:rsidRPr="00542114">
        <w:rPr>
          <w:rFonts w:cs="Calibri"/>
          <w:szCs w:val="16"/>
        </w:rPr>
        <w:t>innowacyjności produktu lub procesu, którego dotyczy usługa, wyższej niż poziom samej firmy.</w:t>
      </w:r>
      <w:r>
        <w:rPr>
          <w:rFonts w:cs="Calibri"/>
          <w:szCs w:val="16"/>
        </w:rPr>
        <w:t xml:space="preserve"> Zbliżone rozwiązania stosowane są także</w:t>
      </w:r>
      <w:r w:rsidR="00E66B89">
        <w:rPr>
          <w:rFonts w:cs="Calibri"/>
          <w:szCs w:val="16"/>
        </w:rPr>
        <w:t xml:space="preserve"> w </w:t>
      </w:r>
      <w:r>
        <w:rPr>
          <w:rFonts w:cs="Calibri"/>
          <w:szCs w:val="16"/>
        </w:rPr>
        <w:t>województwie zachodniopomorskim, co nakazuje szukać przyczyn niskiego zainteresowania tym instrumentem nie</w:t>
      </w:r>
      <w:r w:rsidR="00E66B89">
        <w:rPr>
          <w:rFonts w:cs="Calibri"/>
          <w:szCs w:val="16"/>
        </w:rPr>
        <w:t xml:space="preserve"> w </w:t>
      </w:r>
      <w:r>
        <w:rPr>
          <w:rFonts w:cs="Calibri"/>
          <w:szCs w:val="16"/>
        </w:rPr>
        <w:t>konstrukcji samego instrumentu, lecz raczej</w:t>
      </w:r>
      <w:r w:rsidR="00E66B89">
        <w:rPr>
          <w:rFonts w:cs="Calibri"/>
          <w:szCs w:val="16"/>
        </w:rPr>
        <w:t xml:space="preserve"> w </w:t>
      </w:r>
      <w:r>
        <w:rPr>
          <w:rFonts w:cs="Calibri"/>
          <w:szCs w:val="16"/>
        </w:rPr>
        <w:t>niskim potencjale absorpcyjnym podmiotów</w:t>
      </w:r>
      <w:r w:rsidR="00E66B89">
        <w:rPr>
          <w:rFonts w:cs="Calibri"/>
          <w:szCs w:val="16"/>
        </w:rPr>
        <w:t xml:space="preserve"> z </w:t>
      </w:r>
      <w:r>
        <w:rPr>
          <w:rFonts w:cs="Calibri"/>
          <w:szCs w:val="16"/>
        </w:rPr>
        <w:t xml:space="preserve">Pomorza Zachodniego. </w:t>
      </w:r>
    </w:p>
    <w:p w14:paraId="60C3AD58" w14:textId="77777777" w:rsidR="00BA3B1C" w:rsidRDefault="00BA3B1C" w:rsidP="00BA3B1C">
      <w:pPr>
        <w:rPr>
          <w:rFonts w:cs="Calibri"/>
          <w:szCs w:val="16"/>
        </w:rPr>
      </w:pPr>
      <w:r>
        <w:rPr>
          <w:rFonts w:cs="Calibri"/>
          <w:szCs w:val="16"/>
        </w:rPr>
        <w:t>Podsumowując, typy projektów, które warto szczególnie wspierać, to: tworzenie</w:t>
      </w:r>
      <w:r w:rsidR="00E66B89">
        <w:rPr>
          <w:rFonts w:cs="Calibri"/>
          <w:szCs w:val="16"/>
        </w:rPr>
        <w:t xml:space="preserve"> i </w:t>
      </w:r>
      <w:r>
        <w:rPr>
          <w:rFonts w:cs="Calibri"/>
          <w:szCs w:val="16"/>
        </w:rPr>
        <w:t>rozwój infrastruktury B+R</w:t>
      </w:r>
      <w:r w:rsidR="00E66B89">
        <w:rPr>
          <w:rFonts w:cs="Calibri"/>
          <w:szCs w:val="16"/>
        </w:rPr>
        <w:t xml:space="preserve"> w </w:t>
      </w:r>
      <w:r>
        <w:rPr>
          <w:rFonts w:cs="Calibri"/>
          <w:szCs w:val="16"/>
        </w:rPr>
        <w:t>przedsiębiorstwach oraz p</w:t>
      </w:r>
      <w:r w:rsidRPr="00E1396A">
        <w:rPr>
          <w:rFonts w:cs="Calibri"/>
          <w:szCs w:val="16"/>
        </w:rPr>
        <w:t>rojekty przedsiębiorstw polegające na prowadzeniu badań naukowych, badań</w:t>
      </w:r>
      <w:r>
        <w:rPr>
          <w:rFonts w:cs="Calibri"/>
          <w:szCs w:val="16"/>
        </w:rPr>
        <w:t xml:space="preserve"> </w:t>
      </w:r>
      <w:r w:rsidRPr="00E1396A">
        <w:rPr>
          <w:rFonts w:cs="Calibri"/>
          <w:szCs w:val="16"/>
        </w:rPr>
        <w:t>przemysłowych lub prac rozwojowych ukierunkowane na wdrożenie wyników prac</w:t>
      </w:r>
      <w:r>
        <w:rPr>
          <w:rFonts w:cs="Calibri"/>
          <w:szCs w:val="16"/>
        </w:rPr>
        <w:t xml:space="preserve"> </w:t>
      </w:r>
      <w:r w:rsidRPr="00E1396A">
        <w:rPr>
          <w:rFonts w:cs="Calibri"/>
          <w:szCs w:val="16"/>
        </w:rPr>
        <w:t>B+R</w:t>
      </w:r>
      <w:r w:rsidR="00E66B89">
        <w:rPr>
          <w:rFonts w:cs="Calibri"/>
          <w:szCs w:val="16"/>
        </w:rPr>
        <w:t xml:space="preserve"> w </w:t>
      </w:r>
      <w:r w:rsidRPr="00E1396A">
        <w:rPr>
          <w:rFonts w:cs="Calibri"/>
          <w:szCs w:val="16"/>
        </w:rPr>
        <w:t>działalności konkretnych przedsiębiorstw</w:t>
      </w:r>
      <w:r>
        <w:rPr>
          <w:rFonts w:cs="Calibri"/>
          <w:szCs w:val="16"/>
        </w:rPr>
        <w:t>. Wydobycie potencjału absorpcyjnego</w:t>
      </w:r>
      <w:r w:rsidR="00E66B89">
        <w:rPr>
          <w:rFonts w:cs="Calibri"/>
          <w:szCs w:val="16"/>
        </w:rPr>
        <w:t xml:space="preserve"> w </w:t>
      </w:r>
      <w:r>
        <w:rPr>
          <w:rFonts w:cs="Calibri"/>
          <w:szCs w:val="16"/>
        </w:rPr>
        <w:t>przypadku pierwszego</w:t>
      </w:r>
      <w:r w:rsidR="00E66B89">
        <w:rPr>
          <w:rFonts w:cs="Calibri"/>
          <w:szCs w:val="16"/>
        </w:rPr>
        <w:t xml:space="preserve"> z </w:t>
      </w:r>
      <w:r>
        <w:rPr>
          <w:rFonts w:cs="Calibri"/>
          <w:szCs w:val="16"/>
        </w:rPr>
        <w:t>tych typów projektów wymaga podjęcia wielokierunkowych działań. Ważne jest skuteczne dotarcie</w:t>
      </w:r>
      <w:r w:rsidR="00E66B89">
        <w:rPr>
          <w:rFonts w:cs="Calibri"/>
          <w:szCs w:val="16"/>
        </w:rPr>
        <w:t xml:space="preserve"> z </w:t>
      </w:r>
      <w:r>
        <w:rPr>
          <w:rFonts w:cs="Calibri"/>
          <w:szCs w:val="16"/>
        </w:rPr>
        <w:t>przekazem informacyjnym do uprawnionych podmiotów, które być może nie są świadome możliwości finansowania projektów B+R także</w:t>
      </w:r>
      <w:r w:rsidR="00E66B89">
        <w:rPr>
          <w:rFonts w:cs="Calibri"/>
          <w:szCs w:val="16"/>
        </w:rPr>
        <w:t xml:space="preserve"> z </w:t>
      </w:r>
      <w:r>
        <w:rPr>
          <w:rFonts w:cs="Calibri"/>
          <w:szCs w:val="16"/>
        </w:rPr>
        <w:t>środków RPO. Ponadto, warto rozważyć podjęcie działań kierowanych do najmniejszych podmiotów, które umożliwiłyby im korzystanie</w:t>
      </w:r>
      <w:r w:rsidR="00E66B89">
        <w:rPr>
          <w:rFonts w:cs="Calibri"/>
          <w:szCs w:val="16"/>
        </w:rPr>
        <w:t xml:space="preserve"> z </w:t>
      </w:r>
      <w:r>
        <w:rPr>
          <w:rFonts w:cs="Calibri"/>
          <w:szCs w:val="16"/>
        </w:rPr>
        <w:t>środków na zakup infrastruktury badawczej</w:t>
      </w:r>
      <w:r w:rsidR="00E66B89">
        <w:rPr>
          <w:rFonts w:cs="Calibri"/>
          <w:szCs w:val="16"/>
        </w:rPr>
        <w:t xml:space="preserve"> w </w:t>
      </w:r>
      <w:r>
        <w:rPr>
          <w:rFonts w:cs="Calibri"/>
          <w:szCs w:val="16"/>
        </w:rPr>
        <w:t>ramach pomocy de minimis.</w:t>
      </w:r>
    </w:p>
    <w:p w14:paraId="4DDDE667" w14:textId="77777777" w:rsidR="00BA3B1C" w:rsidRPr="00C50932" w:rsidRDefault="00BA3B1C" w:rsidP="00BA3B1C">
      <w:pPr>
        <w:rPr>
          <w:rFonts w:cs="Calibri"/>
          <w:b/>
          <w:szCs w:val="16"/>
        </w:rPr>
      </w:pPr>
      <w:r w:rsidRPr="00C50932">
        <w:rPr>
          <w:rFonts w:cs="Calibri"/>
          <w:b/>
          <w:szCs w:val="16"/>
        </w:rPr>
        <w:t xml:space="preserve">REKOMENDACJA: należy szczególnie wspierać projekty polegające na </w:t>
      </w:r>
      <w:r>
        <w:rPr>
          <w:rFonts w:cs="Calibri"/>
          <w:b/>
          <w:szCs w:val="16"/>
        </w:rPr>
        <w:t>t</w:t>
      </w:r>
      <w:r w:rsidRPr="00C50932">
        <w:rPr>
          <w:rFonts w:cs="Calibri"/>
          <w:b/>
          <w:szCs w:val="16"/>
        </w:rPr>
        <w:t>worzeni</w:t>
      </w:r>
      <w:r>
        <w:rPr>
          <w:rFonts w:cs="Calibri"/>
          <w:b/>
          <w:szCs w:val="16"/>
        </w:rPr>
        <w:t>u</w:t>
      </w:r>
      <w:r w:rsidR="00E66B89">
        <w:rPr>
          <w:rFonts w:cs="Calibri"/>
          <w:b/>
          <w:szCs w:val="16"/>
        </w:rPr>
        <w:t xml:space="preserve"> i </w:t>
      </w:r>
      <w:r w:rsidRPr="00C50932">
        <w:rPr>
          <w:rFonts w:cs="Calibri"/>
          <w:b/>
          <w:szCs w:val="16"/>
        </w:rPr>
        <w:t>rozw</w:t>
      </w:r>
      <w:r>
        <w:rPr>
          <w:rFonts w:cs="Calibri"/>
          <w:b/>
          <w:szCs w:val="16"/>
        </w:rPr>
        <w:t>o</w:t>
      </w:r>
      <w:r w:rsidRPr="00C50932">
        <w:rPr>
          <w:rFonts w:cs="Calibri"/>
          <w:b/>
          <w:szCs w:val="16"/>
        </w:rPr>
        <w:t>j</w:t>
      </w:r>
      <w:r>
        <w:rPr>
          <w:rFonts w:cs="Calibri"/>
          <w:b/>
          <w:szCs w:val="16"/>
        </w:rPr>
        <w:t>u</w:t>
      </w:r>
      <w:r w:rsidRPr="00C50932">
        <w:rPr>
          <w:rFonts w:cs="Calibri"/>
          <w:b/>
          <w:szCs w:val="16"/>
        </w:rPr>
        <w:t xml:space="preserve"> infrastruktury B+R</w:t>
      </w:r>
      <w:r w:rsidR="00E66B89">
        <w:rPr>
          <w:rFonts w:cs="Calibri"/>
          <w:b/>
          <w:szCs w:val="16"/>
        </w:rPr>
        <w:t xml:space="preserve"> w </w:t>
      </w:r>
      <w:r w:rsidRPr="00C50932">
        <w:rPr>
          <w:rFonts w:cs="Calibri"/>
          <w:b/>
          <w:szCs w:val="16"/>
        </w:rPr>
        <w:t xml:space="preserve">przedsiębiorstwach oraz </w:t>
      </w:r>
      <w:r>
        <w:rPr>
          <w:rFonts w:cs="Calibri"/>
          <w:b/>
          <w:szCs w:val="16"/>
        </w:rPr>
        <w:t>p</w:t>
      </w:r>
      <w:r w:rsidRPr="00C50932">
        <w:rPr>
          <w:rFonts w:cs="Calibri"/>
          <w:b/>
          <w:szCs w:val="16"/>
        </w:rPr>
        <w:t>rojekty przedsiębiorstw polegające na prowadzeniu badań naukowych, badań przemysłowych lub prac rozwojowych ukierunkowane na wdrożenie wyników prac B+R</w:t>
      </w:r>
      <w:r>
        <w:rPr>
          <w:rFonts w:cs="Calibri"/>
          <w:b/>
          <w:szCs w:val="16"/>
        </w:rPr>
        <w:t xml:space="preserve"> poprzez </w:t>
      </w:r>
      <w:r w:rsidRPr="00CB1AB5">
        <w:rPr>
          <w:rFonts w:cs="Calibri"/>
          <w:b/>
          <w:szCs w:val="16"/>
        </w:rPr>
        <w:t>podjęci</w:t>
      </w:r>
      <w:r>
        <w:rPr>
          <w:rFonts w:cs="Calibri"/>
          <w:b/>
          <w:szCs w:val="16"/>
        </w:rPr>
        <w:t>e</w:t>
      </w:r>
      <w:r w:rsidRPr="00CB1AB5">
        <w:rPr>
          <w:rFonts w:cs="Calibri"/>
          <w:b/>
          <w:szCs w:val="16"/>
        </w:rPr>
        <w:t xml:space="preserve"> wielokierunkowych działań</w:t>
      </w:r>
      <w:r>
        <w:rPr>
          <w:rFonts w:cs="Calibri"/>
          <w:b/>
          <w:szCs w:val="16"/>
        </w:rPr>
        <w:t>.</w:t>
      </w:r>
    </w:p>
    <w:p w14:paraId="54DCEAAA"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3A234F27" w14:textId="77777777" w:rsidR="00BA3B1C" w:rsidRDefault="00BA3B1C" w:rsidP="00BA3B1C">
      <w:pPr>
        <w:rPr>
          <w:rFonts w:cs="Calibri"/>
          <w:szCs w:val="20"/>
        </w:rPr>
      </w:pPr>
      <w:r w:rsidRPr="00404DA5">
        <w:rPr>
          <w:rFonts w:cs="Calibri"/>
          <w:szCs w:val="20"/>
        </w:rPr>
        <w:t>Wg stanu na dzień 7.01.2019 roku na realizację PI 1b pozostawała dostępna alokacja (z rezerwą wykonania) na poziomie 174,7 mln zł.</w:t>
      </w:r>
      <w:r w:rsidR="00E66B89">
        <w:rPr>
          <w:rFonts w:cs="Calibri"/>
          <w:szCs w:val="20"/>
        </w:rPr>
        <w:t xml:space="preserve"> W </w:t>
      </w:r>
      <w:r w:rsidRPr="00404DA5">
        <w:rPr>
          <w:rFonts w:cs="Calibri"/>
          <w:szCs w:val="20"/>
        </w:rPr>
        <w:t>analizie dotyczącej potencjału absorpcyjnego wskazano, że pomimo niskiego zainteresowania uprawnionych podmiotów do składania wniosków</w:t>
      </w:r>
      <w:r w:rsidR="00E66B89">
        <w:rPr>
          <w:rFonts w:cs="Calibri"/>
          <w:szCs w:val="20"/>
        </w:rPr>
        <w:t xml:space="preserve"> w </w:t>
      </w:r>
      <w:r w:rsidRPr="00404DA5">
        <w:rPr>
          <w:rFonts w:cs="Calibri"/>
          <w:szCs w:val="20"/>
        </w:rPr>
        <w:t>ramach Działań realizujących PI 1b możliwe jest podjęcie skutecznych (na co wskazują doświadczenia innych regionów) działań</w:t>
      </w:r>
      <w:r w:rsidR="00E66B89">
        <w:rPr>
          <w:rFonts w:cs="Calibri"/>
          <w:szCs w:val="20"/>
        </w:rPr>
        <w:t xml:space="preserve"> w </w:t>
      </w:r>
      <w:r w:rsidRPr="00404DA5">
        <w:rPr>
          <w:rFonts w:cs="Calibri"/>
          <w:szCs w:val="20"/>
        </w:rPr>
        <w:t xml:space="preserve">zakresie zwiększenia liczby składanych aplikacji. Podjęcie rekomendowanych do wdrożenia działań może skutkować zwłaszcza zwiększeniem poziomu realizacji wskaźników: </w:t>
      </w:r>
      <w:r w:rsidRPr="008B706B">
        <w:rPr>
          <w:rFonts w:cs="Calibri"/>
          <w:i/>
          <w:szCs w:val="20"/>
        </w:rPr>
        <w:t>Liczba przedsiębiorstw otrzymujących wsparcie</w:t>
      </w:r>
      <w:r w:rsidRPr="00404DA5">
        <w:rPr>
          <w:rFonts w:cs="Calibri"/>
          <w:szCs w:val="20"/>
        </w:rPr>
        <w:t xml:space="preserve">, </w:t>
      </w:r>
      <w:r w:rsidRPr="008B706B">
        <w:rPr>
          <w:rFonts w:cs="Calibri"/>
          <w:i/>
          <w:szCs w:val="20"/>
        </w:rPr>
        <w:t>Liczba przedsiębiorstw otrzymujących dotacje</w:t>
      </w:r>
      <w:r w:rsidRPr="00404DA5">
        <w:rPr>
          <w:rFonts w:cs="Calibri"/>
          <w:szCs w:val="20"/>
        </w:rPr>
        <w:t xml:space="preserve"> oraz </w:t>
      </w:r>
      <w:r w:rsidRPr="008B706B">
        <w:rPr>
          <w:rFonts w:cs="Calibri"/>
          <w:i/>
          <w:szCs w:val="20"/>
        </w:rPr>
        <w:t>Liczba przedsiębiorstw współpracujących</w:t>
      </w:r>
      <w:r w:rsidR="00E66B89">
        <w:rPr>
          <w:rFonts w:cs="Calibri"/>
          <w:i/>
          <w:szCs w:val="20"/>
        </w:rPr>
        <w:t xml:space="preserve"> z </w:t>
      </w:r>
      <w:r w:rsidRPr="008B706B">
        <w:rPr>
          <w:rFonts w:cs="Calibri"/>
          <w:i/>
          <w:szCs w:val="20"/>
        </w:rPr>
        <w:t>ośrodkami badawczymi</w:t>
      </w:r>
      <w:r w:rsidRPr="00404DA5">
        <w:rPr>
          <w:rFonts w:cs="Calibri"/>
          <w:szCs w:val="20"/>
        </w:rPr>
        <w:t xml:space="preserve">. Przy </w:t>
      </w:r>
      <w:r>
        <w:rPr>
          <w:rFonts w:cs="Calibri"/>
          <w:szCs w:val="20"/>
        </w:rPr>
        <w:t>uwzględnieniu wyższego poziomu dofinansowania</w:t>
      </w:r>
      <w:r w:rsidR="00E66B89">
        <w:rPr>
          <w:rFonts w:cs="Calibri"/>
          <w:szCs w:val="20"/>
        </w:rPr>
        <w:t xml:space="preserve"> w </w:t>
      </w:r>
      <w:r>
        <w:rPr>
          <w:rFonts w:cs="Calibri"/>
          <w:szCs w:val="20"/>
        </w:rPr>
        <w:t xml:space="preserve">Działaniu 1.1 dla obu typów projektów oraz </w:t>
      </w:r>
      <w:r w:rsidRPr="00404DA5">
        <w:rPr>
          <w:rFonts w:cs="Calibri"/>
          <w:szCs w:val="20"/>
        </w:rPr>
        <w:t xml:space="preserve">założeniu utrzymania alokacji </w:t>
      </w:r>
      <w:r>
        <w:rPr>
          <w:rFonts w:cs="Calibri"/>
          <w:szCs w:val="20"/>
        </w:rPr>
        <w:t xml:space="preserve">na niezmienionym poziomie </w:t>
      </w:r>
      <w:r w:rsidRPr="00404DA5">
        <w:rPr>
          <w:rFonts w:cs="Calibri"/>
          <w:szCs w:val="20"/>
        </w:rPr>
        <w:t>przewiduje się realizację dwóch pierwszych wskaźników na poziomie 685%.</w:t>
      </w:r>
      <w:r>
        <w:rPr>
          <w:rFonts w:cs="Calibri"/>
          <w:szCs w:val="20"/>
        </w:rPr>
        <w:t xml:space="preserve"> Podjęcie i</w:t>
      </w:r>
      <w:r w:rsidRPr="00404DA5">
        <w:rPr>
          <w:rFonts w:cs="Calibri"/>
          <w:szCs w:val="20"/>
        </w:rPr>
        <w:t>ntensywn</w:t>
      </w:r>
      <w:r>
        <w:rPr>
          <w:rFonts w:cs="Calibri"/>
          <w:szCs w:val="20"/>
        </w:rPr>
        <w:t>ej</w:t>
      </w:r>
      <w:r w:rsidRPr="00404DA5">
        <w:rPr>
          <w:rFonts w:cs="Calibri"/>
          <w:szCs w:val="20"/>
        </w:rPr>
        <w:t xml:space="preserve"> akcj</w:t>
      </w:r>
      <w:r>
        <w:rPr>
          <w:rFonts w:cs="Calibri"/>
          <w:szCs w:val="20"/>
        </w:rPr>
        <w:t>i</w:t>
      </w:r>
      <w:r w:rsidRPr="00404DA5">
        <w:rPr>
          <w:rFonts w:cs="Calibri"/>
          <w:szCs w:val="20"/>
        </w:rPr>
        <w:t xml:space="preserve"> promocyjno-informacyjn</w:t>
      </w:r>
      <w:r>
        <w:rPr>
          <w:rFonts w:cs="Calibri"/>
          <w:szCs w:val="20"/>
        </w:rPr>
        <w:t>ej</w:t>
      </w:r>
      <w:r w:rsidRPr="00404DA5">
        <w:rPr>
          <w:rFonts w:cs="Calibri"/>
          <w:szCs w:val="20"/>
        </w:rPr>
        <w:t xml:space="preserve"> pozwala oczekiwać osiągnięcia wskaźnika </w:t>
      </w:r>
      <w:r w:rsidRPr="00CB1AB5">
        <w:rPr>
          <w:rFonts w:cs="Calibri"/>
          <w:i/>
          <w:szCs w:val="20"/>
        </w:rPr>
        <w:t>Liczba przedsiębiorstw współpracujących</w:t>
      </w:r>
      <w:r w:rsidR="00E66B89">
        <w:rPr>
          <w:rFonts w:cs="Calibri"/>
          <w:i/>
          <w:szCs w:val="20"/>
        </w:rPr>
        <w:t xml:space="preserve"> z </w:t>
      </w:r>
      <w:r w:rsidRPr="00CB1AB5">
        <w:rPr>
          <w:rFonts w:cs="Calibri"/>
          <w:i/>
          <w:szCs w:val="20"/>
        </w:rPr>
        <w:t>ośrodkami badawczymi</w:t>
      </w:r>
      <w:r w:rsidRPr="00404DA5">
        <w:rPr>
          <w:rFonts w:cs="Calibri"/>
          <w:szCs w:val="20"/>
        </w:rPr>
        <w:t xml:space="preserve"> na poziomie 260%. Także ostatni</w:t>
      </w:r>
      <w:r w:rsidR="00E66B89">
        <w:rPr>
          <w:rFonts w:cs="Calibri"/>
          <w:szCs w:val="20"/>
        </w:rPr>
        <w:t xml:space="preserve"> z </w:t>
      </w:r>
      <w:r w:rsidRPr="00404DA5">
        <w:rPr>
          <w:rFonts w:cs="Calibri"/>
          <w:szCs w:val="20"/>
        </w:rPr>
        <w:t xml:space="preserve">programowych wskaźników: </w:t>
      </w:r>
      <w:r w:rsidRPr="00CB1AB5">
        <w:rPr>
          <w:rFonts w:cs="Calibri"/>
          <w:i/>
          <w:szCs w:val="20"/>
        </w:rPr>
        <w:t>Inwestycje prywatne uzupełniające wsparcie publiczne dla przedsiębiorstw (dotacje)</w:t>
      </w:r>
      <w:r w:rsidRPr="00404DA5">
        <w:rPr>
          <w:rFonts w:cs="Calibri"/>
          <w:szCs w:val="20"/>
        </w:rPr>
        <w:t xml:space="preserve"> powinien zostać osiągnięty (na poziomie 137%).</w:t>
      </w:r>
    </w:p>
    <w:p w14:paraId="77A06B5F" w14:textId="77777777" w:rsidR="00BA3B1C" w:rsidRPr="006E34DC" w:rsidRDefault="00BA3B1C" w:rsidP="006E34DC">
      <w:pPr>
        <w:pStyle w:val="Legenda"/>
        <w:spacing w:after="0"/>
      </w:pPr>
      <w:bookmarkStart w:id="49" w:name="_Toc8824118"/>
      <w:r w:rsidRPr="00404DA5">
        <w:lastRenderedPageBreak/>
        <w:t xml:space="preserve">Tabela </w:t>
      </w:r>
      <w:r>
        <w:fldChar w:fldCharType="begin"/>
      </w:r>
      <w:r>
        <w:instrText xml:space="preserve"> SEQ Tabela \* ARABIC </w:instrText>
      </w:r>
      <w:r>
        <w:fldChar w:fldCharType="separate"/>
      </w:r>
      <w:r w:rsidR="00763345">
        <w:rPr>
          <w:noProof/>
        </w:rPr>
        <w:t>7</w:t>
      </w:r>
      <w:r>
        <w:fldChar w:fldCharType="end"/>
      </w:r>
      <w:r w:rsidRPr="00404DA5">
        <w:t xml:space="preserve"> Prognozowany poziom realizacji wskaźników produktu</w:t>
      </w:r>
      <w:r w:rsidR="00E66B89">
        <w:t xml:space="preserve"> i </w:t>
      </w:r>
      <w:r w:rsidRPr="00404DA5">
        <w:t>rezultatu bezpośredniego na rok 2023 – PI 1b</w:t>
      </w:r>
      <w:bookmarkEnd w:id="49"/>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54"/>
        <w:gridCol w:w="1419"/>
        <w:gridCol w:w="1995"/>
        <w:gridCol w:w="2000"/>
      </w:tblGrid>
      <w:tr w:rsidR="00BA3B1C" w:rsidRPr="00FE43CD" w14:paraId="232009D0" w14:textId="77777777" w:rsidTr="00483EEF">
        <w:trPr>
          <w:trHeight w:val="1046"/>
          <w:tblHeader/>
        </w:trPr>
        <w:tc>
          <w:tcPr>
            <w:tcW w:w="826" w:type="pct"/>
            <w:shd w:val="clear" w:color="auto" w:fill="DBE5F1"/>
            <w:vAlign w:val="center"/>
          </w:tcPr>
          <w:p w14:paraId="60442467" w14:textId="77777777" w:rsidR="00BA3B1C" w:rsidRPr="00404DA5" w:rsidRDefault="00BA3B1C" w:rsidP="00BA3B1C">
            <w:pPr>
              <w:jc w:val="center"/>
              <w:rPr>
                <w:rFonts w:cs="Calibri"/>
                <w:sz w:val="16"/>
                <w:szCs w:val="18"/>
              </w:rPr>
            </w:pPr>
            <w:r w:rsidRPr="00404DA5">
              <w:rPr>
                <w:rFonts w:cs="Calibri"/>
                <w:sz w:val="16"/>
                <w:szCs w:val="18"/>
              </w:rPr>
              <w:t>Typ wskaźnika</w:t>
            </w:r>
          </w:p>
        </w:tc>
        <w:tc>
          <w:tcPr>
            <w:tcW w:w="1148" w:type="pct"/>
            <w:shd w:val="clear" w:color="auto" w:fill="DBE5F1"/>
            <w:vAlign w:val="center"/>
          </w:tcPr>
          <w:p w14:paraId="31357E3A" w14:textId="77777777" w:rsidR="00BA3B1C" w:rsidRPr="00404DA5" w:rsidRDefault="00BA3B1C" w:rsidP="00BA3B1C">
            <w:pPr>
              <w:jc w:val="center"/>
              <w:rPr>
                <w:rFonts w:cs="Calibri"/>
                <w:sz w:val="16"/>
                <w:szCs w:val="18"/>
              </w:rPr>
            </w:pPr>
            <w:r w:rsidRPr="00404DA5">
              <w:rPr>
                <w:rFonts w:cs="Calibri"/>
                <w:sz w:val="16"/>
                <w:szCs w:val="18"/>
              </w:rPr>
              <w:t>Wskaźnik</w:t>
            </w:r>
          </w:p>
        </w:tc>
        <w:tc>
          <w:tcPr>
            <w:tcW w:w="793" w:type="pct"/>
            <w:shd w:val="clear" w:color="auto" w:fill="DBE5F1"/>
          </w:tcPr>
          <w:p w14:paraId="6C3845BE" w14:textId="77777777" w:rsidR="00BA3B1C" w:rsidRPr="00404DA5" w:rsidRDefault="00BA3B1C" w:rsidP="00BA3B1C">
            <w:pPr>
              <w:jc w:val="center"/>
              <w:rPr>
                <w:rFonts w:cs="Calibri"/>
                <w:sz w:val="16"/>
                <w:szCs w:val="18"/>
              </w:rPr>
            </w:pPr>
            <w:r w:rsidRPr="00404DA5">
              <w:rPr>
                <w:rFonts w:cs="Calibri"/>
                <w:sz w:val="16"/>
                <w:szCs w:val="18"/>
              </w:rPr>
              <w:t>Wartość docelowa określona na 2023 rok</w:t>
            </w:r>
          </w:p>
        </w:tc>
        <w:tc>
          <w:tcPr>
            <w:tcW w:w="1115" w:type="pct"/>
            <w:shd w:val="clear" w:color="auto" w:fill="DBE5F1"/>
            <w:vAlign w:val="center"/>
          </w:tcPr>
          <w:p w14:paraId="45D87F96" w14:textId="77777777" w:rsidR="00BA3B1C" w:rsidRPr="00404DA5" w:rsidRDefault="00BA3B1C" w:rsidP="00BA3B1C">
            <w:pPr>
              <w:jc w:val="center"/>
              <w:rPr>
                <w:rFonts w:cs="Calibri"/>
                <w:sz w:val="16"/>
                <w:szCs w:val="18"/>
              </w:rPr>
            </w:pPr>
            <w:r w:rsidRPr="00404DA5">
              <w:rPr>
                <w:rFonts w:cs="Calibri"/>
                <w:sz w:val="16"/>
                <w:szCs w:val="18"/>
              </w:rPr>
              <w:t xml:space="preserve">Prognozowana całkowita wartość wskaźnika </w:t>
            </w:r>
          </w:p>
        </w:tc>
        <w:tc>
          <w:tcPr>
            <w:tcW w:w="1118" w:type="pct"/>
            <w:shd w:val="clear" w:color="auto" w:fill="DBE5F1"/>
            <w:vAlign w:val="center"/>
          </w:tcPr>
          <w:p w14:paraId="1DA3772F" w14:textId="77777777" w:rsidR="00BA3B1C" w:rsidRPr="00404DA5" w:rsidRDefault="00BA3B1C" w:rsidP="00BA3B1C">
            <w:pPr>
              <w:jc w:val="center"/>
              <w:rPr>
                <w:rFonts w:cs="Calibri"/>
                <w:sz w:val="16"/>
                <w:szCs w:val="18"/>
              </w:rPr>
            </w:pPr>
            <w:r w:rsidRPr="00404DA5">
              <w:rPr>
                <w:rFonts w:cs="Calibri"/>
                <w:sz w:val="16"/>
                <w:szCs w:val="18"/>
              </w:rPr>
              <w:t>Prognozowany % realizacji wartości docelowej</w:t>
            </w:r>
          </w:p>
        </w:tc>
      </w:tr>
      <w:tr w:rsidR="00BA3B1C" w:rsidRPr="00FE43CD" w14:paraId="59D3426C" w14:textId="77777777" w:rsidTr="00BA3B1C">
        <w:trPr>
          <w:trHeight w:val="657"/>
        </w:trPr>
        <w:tc>
          <w:tcPr>
            <w:tcW w:w="826" w:type="pct"/>
            <w:shd w:val="clear" w:color="auto" w:fill="auto"/>
            <w:vAlign w:val="center"/>
          </w:tcPr>
          <w:p w14:paraId="1F252BD5"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tcPr>
          <w:p w14:paraId="700F57DA" w14:textId="77777777" w:rsidR="00BA3B1C" w:rsidRPr="00404DA5" w:rsidRDefault="00BA3B1C" w:rsidP="00BA3B1C">
            <w:pPr>
              <w:rPr>
                <w:rFonts w:cs="Calibri"/>
                <w:sz w:val="18"/>
                <w:szCs w:val="18"/>
              </w:rPr>
            </w:pPr>
            <w:r w:rsidRPr="00404DA5">
              <w:rPr>
                <w:rFonts w:cs="Calibri"/>
                <w:sz w:val="18"/>
                <w:szCs w:val="18"/>
              </w:rPr>
              <w:t>Liczba przedsiębiorstw otrzymujących wsparcie</w:t>
            </w:r>
          </w:p>
        </w:tc>
        <w:tc>
          <w:tcPr>
            <w:tcW w:w="793" w:type="pct"/>
            <w:shd w:val="clear" w:color="auto" w:fill="auto"/>
            <w:vAlign w:val="center"/>
          </w:tcPr>
          <w:p w14:paraId="17AA3F5B" w14:textId="77777777" w:rsidR="00BA3B1C" w:rsidRPr="00404DA5" w:rsidRDefault="00BA3B1C" w:rsidP="00BA3B1C">
            <w:pPr>
              <w:jc w:val="center"/>
              <w:rPr>
                <w:rFonts w:cs="Calibri"/>
                <w:sz w:val="18"/>
                <w:szCs w:val="18"/>
              </w:rPr>
            </w:pPr>
            <w:r w:rsidRPr="00404DA5">
              <w:rPr>
                <w:rFonts w:cs="Calibri"/>
                <w:sz w:val="18"/>
                <w:szCs w:val="18"/>
              </w:rPr>
              <w:t>33</w:t>
            </w:r>
          </w:p>
        </w:tc>
        <w:tc>
          <w:tcPr>
            <w:tcW w:w="1115" w:type="pct"/>
            <w:shd w:val="clear" w:color="auto" w:fill="auto"/>
            <w:vAlign w:val="center"/>
          </w:tcPr>
          <w:p w14:paraId="794D54F4" w14:textId="77777777" w:rsidR="00BA3B1C" w:rsidRPr="00404DA5" w:rsidRDefault="00BA3B1C" w:rsidP="00BA3B1C">
            <w:pPr>
              <w:jc w:val="center"/>
              <w:rPr>
                <w:rFonts w:cs="Calibri"/>
                <w:sz w:val="18"/>
                <w:szCs w:val="18"/>
              </w:rPr>
            </w:pPr>
            <w:r w:rsidRPr="00404DA5">
              <w:rPr>
                <w:rFonts w:cs="Calibri"/>
                <w:sz w:val="18"/>
                <w:szCs w:val="18"/>
              </w:rPr>
              <w:t>226</w:t>
            </w:r>
          </w:p>
        </w:tc>
        <w:tc>
          <w:tcPr>
            <w:tcW w:w="1118" w:type="pct"/>
            <w:shd w:val="clear" w:color="auto" w:fill="auto"/>
            <w:vAlign w:val="center"/>
          </w:tcPr>
          <w:p w14:paraId="26C11F1C" w14:textId="77777777" w:rsidR="00BA3B1C" w:rsidRPr="00404DA5" w:rsidRDefault="00BA3B1C" w:rsidP="00BA3B1C">
            <w:pPr>
              <w:jc w:val="center"/>
              <w:rPr>
                <w:rFonts w:cs="Calibri"/>
                <w:sz w:val="18"/>
                <w:szCs w:val="18"/>
              </w:rPr>
            </w:pPr>
            <w:r w:rsidRPr="00404DA5">
              <w:rPr>
                <w:rFonts w:cs="Calibri"/>
                <w:sz w:val="18"/>
                <w:szCs w:val="18"/>
              </w:rPr>
              <w:t>685%</w:t>
            </w:r>
          </w:p>
        </w:tc>
      </w:tr>
      <w:tr w:rsidR="00BA3B1C" w:rsidRPr="00FE43CD" w14:paraId="500B8DE3" w14:textId="77777777" w:rsidTr="00BA3B1C">
        <w:trPr>
          <w:trHeight w:val="657"/>
        </w:trPr>
        <w:tc>
          <w:tcPr>
            <w:tcW w:w="826" w:type="pct"/>
            <w:shd w:val="clear" w:color="auto" w:fill="auto"/>
            <w:vAlign w:val="center"/>
          </w:tcPr>
          <w:p w14:paraId="18A80D7E"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tcPr>
          <w:p w14:paraId="021A4F9A" w14:textId="77777777" w:rsidR="00BA3B1C" w:rsidRPr="00404DA5" w:rsidRDefault="00BA3B1C" w:rsidP="00BA3B1C">
            <w:pPr>
              <w:rPr>
                <w:rFonts w:cs="Calibri"/>
                <w:sz w:val="18"/>
                <w:szCs w:val="18"/>
              </w:rPr>
            </w:pPr>
            <w:r w:rsidRPr="00404DA5">
              <w:rPr>
                <w:rFonts w:cs="Calibri"/>
                <w:sz w:val="18"/>
                <w:szCs w:val="18"/>
              </w:rPr>
              <w:t>Liczba przedsiębiorstw otrzymujących dotacje</w:t>
            </w:r>
          </w:p>
        </w:tc>
        <w:tc>
          <w:tcPr>
            <w:tcW w:w="793" w:type="pct"/>
            <w:shd w:val="clear" w:color="auto" w:fill="auto"/>
            <w:vAlign w:val="center"/>
          </w:tcPr>
          <w:p w14:paraId="466C7C98" w14:textId="77777777" w:rsidR="00BA3B1C" w:rsidRPr="00404DA5" w:rsidRDefault="00BA3B1C" w:rsidP="00BA3B1C">
            <w:pPr>
              <w:jc w:val="center"/>
              <w:rPr>
                <w:rFonts w:cs="Calibri"/>
                <w:sz w:val="18"/>
                <w:szCs w:val="18"/>
              </w:rPr>
            </w:pPr>
            <w:r w:rsidRPr="00404DA5">
              <w:rPr>
                <w:rFonts w:cs="Calibri"/>
                <w:sz w:val="18"/>
                <w:szCs w:val="18"/>
              </w:rPr>
              <w:t>33</w:t>
            </w:r>
          </w:p>
        </w:tc>
        <w:tc>
          <w:tcPr>
            <w:tcW w:w="1115" w:type="pct"/>
            <w:shd w:val="clear" w:color="auto" w:fill="auto"/>
            <w:vAlign w:val="center"/>
          </w:tcPr>
          <w:p w14:paraId="4AF4AF28" w14:textId="77777777" w:rsidR="00BA3B1C" w:rsidRPr="00404DA5" w:rsidRDefault="00BA3B1C" w:rsidP="00BA3B1C">
            <w:pPr>
              <w:jc w:val="center"/>
              <w:rPr>
                <w:rFonts w:cs="Calibri"/>
                <w:sz w:val="18"/>
                <w:szCs w:val="18"/>
              </w:rPr>
            </w:pPr>
            <w:r w:rsidRPr="00404DA5">
              <w:rPr>
                <w:rFonts w:cs="Calibri"/>
                <w:sz w:val="18"/>
                <w:szCs w:val="18"/>
              </w:rPr>
              <w:t>226</w:t>
            </w:r>
          </w:p>
        </w:tc>
        <w:tc>
          <w:tcPr>
            <w:tcW w:w="1118" w:type="pct"/>
            <w:shd w:val="clear" w:color="auto" w:fill="auto"/>
            <w:vAlign w:val="center"/>
          </w:tcPr>
          <w:p w14:paraId="27F07D81" w14:textId="77777777" w:rsidR="00BA3B1C" w:rsidRPr="00404DA5" w:rsidRDefault="00BA3B1C" w:rsidP="00BA3B1C">
            <w:pPr>
              <w:jc w:val="center"/>
              <w:rPr>
                <w:rFonts w:cs="Calibri"/>
                <w:sz w:val="18"/>
                <w:szCs w:val="18"/>
              </w:rPr>
            </w:pPr>
            <w:r w:rsidRPr="00404DA5">
              <w:rPr>
                <w:rFonts w:cs="Calibri"/>
                <w:sz w:val="18"/>
                <w:szCs w:val="18"/>
              </w:rPr>
              <w:t>685%</w:t>
            </w:r>
          </w:p>
        </w:tc>
      </w:tr>
      <w:tr w:rsidR="00BA3B1C" w:rsidRPr="00FE43CD" w14:paraId="308F3D0A" w14:textId="77777777" w:rsidTr="00BA3B1C">
        <w:trPr>
          <w:trHeight w:val="672"/>
        </w:trPr>
        <w:tc>
          <w:tcPr>
            <w:tcW w:w="826" w:type="pct"/>
            <w:shd w:val="clear" w:color="auto" w:fill="auto"/>
            <w:vAlign w:val="center"/>
          </w:tcPr>
          <w:p w14:paraId="664F1701"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tcPr>
          <w:p w14:paraId="03325D87" w14:textId="77777777" w:rsidR="00BA3B1C" w:rsidRPr="00404DA5" w:rsidRDefault="00BA3B1C" w:rsidP="00BA3B1C">
            <w:pPr>
              <w:rPr>
                <w:rFonts w:cs="Calibri"/>
                <w:sz w:val="18"/>
                <w:szCs w:val="18"/>
              </w:rPr>
            </w:pPr>
            <w:r w:rsidRPr="00404DA5">
              <w:rPr>
                <w:rFonts w:cs="Calibri"/>
                <w:sz w:val="18"/>
                <w:szCs w:val="18"/>
              </w:rPr>
              <w:t>Inwestycje prywatne uzupełniające wsparcie publiczne dla przedsiębiorstw (dotacje)</w:t>
            </w:r>
          </w:p>
        </w:tc>
        <w:tc>
          <w:tcPr>
            <w:tcW w:w="793" w:type="pct"/>
            <w:shd w:val="clear" w:color="auto" w:fill="auto"/>
            <w:vAlign w:val="center"/>
          </w:tcPr>
          <w:p w14:paraId="3E3AC78E" w14:textId="77777777" w:rsidR="00BA3B1C" w:rsidRPr="00404DA5" w:rsidRDefault="00BA3B1C" w:rsidP="00BA3B1C">
            <w:pPr>
              <w:jc w:val="center"/>
              <w:rPr>
                <w:rFonts w:cs="Calibri"/>
                <w:sz w:val="18"/>
                <w:szCs w:val="18"/>
              </w:rPr>
            </w:pPr>
            <w:r w:rsidRPr="00404DA5">
              <w:rPr>
                <w:rFonts w:cs="Calibri"/>
                <w:sz w:val="18"/>
                <w:szCs w:val="18"/>
              </w:rPr>
              <w:t>38 350 000</w:t>
            </w:r>
          </w:p>
        </w:tc>
        <w:tc>
          <w:tcPr>
            <w:tcW w:w="1115" w:type="pct"/>
            <w:shd w:val="clear" w:color="auto" w:fill="auto"/>
            <w:vAlign w:val="center"/>
          </w:tcPr>
          <w:p w14:paraId="70065F50" w14:textId="77777777" w:rsidR="00BA3B1C" w:rsidRPr="00404DA5" w:rsidRDefault="00BA3B1C" w:rsidP="00BA3B1C">
            <w:pPr>
              <w:jc w:val="center"/>
              <w:rPr>
                <w:rFonts w:cs="Calibri"/>
                <w:sz w:val="18"/>
                <w:szCs w:val="18"/>
              </w:rPr>
            </w:pPr>
            <w:r w:rsidRPr="00404DA5">
              <w:rPr>
                <w:rFonts w:cs="Calibri"/>
                <w:sz w:val="18"/>
                <w:szCs w:val="18"/>
              </w:rPr>
              <w:t>52 700 169</w:t>
            </w:r>
          </w:p>
        </w:tc>
        <w:tc>
          <w:tcPr>
            <w:tcW w:w="1118" w:type="pct"/>
            <w:shd w:val="clear" w:color="auto" w:fill="auto"/>
            <w:vAlign w:val="center"/>
          </w:tcPr>
          <w:p w14:paraId="3F8370E8" w14:textId="77777777" w:rsidR="00BA3B1C" w:rsidRPr="00404DA5" w:rsidRDefault="00BA3B1C" w:rsidP="00BA3B1C">
            <w:pPr>
              <w:jc w:val="center"/>
              <w:rPr>
                <w:rFonts w:cs="Calibri"/>
                <w:sz w:val="18"/>
                <w:szCs w:val="18"/>
              </w:rPr>
            </w:pPr>
            <w:r w:rsidRPr="00404DA5">
              <w:rPr>
                <w:rFonts w:cs="Calibri"/>
                <w:sz w:val="18"/>
                <w:szCs w:val="18"/>
              </w:rPr>
              <w:t>137%</w:t>
            </w:r>
          </w:p>
        </w:tc>
      </w:tr>
      <w:tr w:rsidR="00BA3B1C" w:rsidRPr="00FE43CD" w14:paraId="31A21C62" w14:textId="77777777" w:rsidTr="00BA3B1C">
        <w:trPr>
          <w:trHeight w:val="672"/>
        </w:trPr>
        <w:tc>
          <w:tcPr>
            <w:tcW w:w="826" w:type="pct"/>
            <w:shd w:val="clear" w:color="auto" w:fill="auto"/>
            <w:vAlign w:val="center"/>
          </w:tcPr>
          <w:p w14:paraId="02256A6D"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tcPr>
          <w:p w14:paraId="70707724" w14:textId="77777777" w:rsidR="00BA3B1C" w:rsidRPr="00404DA5" w:rsidRDefault="00BA3B1C" w:rsidP="00BA3B1C">
            <w:pPr>
              <w:rPr>
                <w:rFonts w:cs="Calibri"/>
                <w:sz w:val="18"/>
                <w:szCs w:val="18"/>
              </w:rPr>
            </w:pPr>
            <w:r w:rsidRPr="00404DA5">
              <w:rPr>
                <w:rFonts w:cs="Calibri"/>
                <w:sz w:val="18"/>
                <w:szCs w:val="18"/>
              </w:rPr>
              <w:t>Liczba przedsiębiorstw współpracujących</w:t>
            </w:r>
            <w:r w:rsidR="00E66B89">
              <w:rPr>
                <w:rFonts w:cs="Calibri"/>
                <w:sz w:val="18"/>
                <w:szCs w:val="18"/>
              </w:rPr>
              <w:t xml:space="preserve"> z </w:t>
            </w:r>
            <w:r w:rsidRPr="00404DA5">
              <w:rPr>
                <w:rFonts w:cs="Calibri"/>
                <w:sz w:val="18"/>
                <w:szCs w:val="18"/>
              </w:rPr>
              <w:t>ośrodkami badawczymi</w:t>
            </w:r>
          </w:p>
        </w:tc>
        <w:tc>
          <w:tcPr>
            <w:tcW w:w="793" w:type="pct"/>
            <w:shd w:val="clear" w:color="auto" w:fill="auto"/>
            <w:vAlign w:val="center"/>
          </w:tcPr>
          <w:p w14:paraId="25978BFB" w14:textId="77777777" w:rsidR="00BA3B1C" w:rsidRPr="00404DA5" w:rsidRDefault="00BA3B1C" w:rsidP="00BA3B1C">
            <w:pPr>
              <w:jc w:val="center"/>
              <w:rPr>
                <w:rFonts w:cs="Calibri"/>
                <w:sz w:val="18"/>
                <w:szCs w:val="18"/>
              </w:rPr>
            </w:pPr>
            <w:r w:rsidRPr="00404DA5">
              <w:rPr>
                <w:rFonts w:cs="Calibri"/>
                <w:sz w:val="18"/>
                <w:szCs w:val="18"/>
              </w:rPr>
              <w:t>20</w:t>
            </w:r>
          </w:p>
        </w:tc>
        <w:tc>
          <w:tcPr>
            <w:tcW w:w="1115" w:type="pct"/>
            <w:shd w:val="clear" w:color="auto" w:fill="auto"/>
            <w:vAlign w:val="center"/>
          </w:tcPr>
          <w:p w14:paraId="41E1D5F4" w14:textId="77777777" w:rsidR="00BA3B1C" w:rsidRPr="00404DA5" w:rsidRDefault="00BA3B1C" w:rsidP="00BA3B1C">
            <w:pPr>
              <w:jc w:val="center"/>
              <w:rPr>
                <w:rFonts w:cs="Calibri"/>
                <w:sz w:val="18"/>
                <w:szCs w:val="18"/>
              </w:rPr>
            </w:pPr>
            <w:r w:rsidRPr="00404DA5">
              <w:rPr>
                <w:rFonts w:cs="Calibri"/>
                <w:sz w:val="18"/>
                <w:szCs w:val="18"/>
              </w:rPr>
              <w:t>52</w:t>
            </w:r>
          </w:p>
        </w:tc>
        <w:tc>
          <w:tcPr>
            <w:tcW w:w="1118" w:type="pct"/>
            <w:shd w:val="clear" w:color="auto" w:fill="auto"/>
            <w:vAlign w:val="center"/>
          </w:tcPr>
          <w:p w14:paraId="0FD9CD35" w14:textId="77777777" w:rsidR="00BA3B1C" w:rsidRPr="00404DA5" w:rsidRDefault="00BA3B1C" w:rsidP="00BA3B1C">
            <w:pPr>
              <w:jc w:val="center"/>
              <w:rPr>
                <w:rFonts w:cs="Calibri"/>
                <w:sz w:val="18"/>
                <w:szCs w:val="18"/>
              </w:rPr>
            </w:pPr>
            <w:r w:rsidRPr="00404DA5">
              <w:rPr>
                <w:rFonts w:cs="Calibri"/>
                <w:sz w:val="18"/>
                <w:szCs w:val="18"/>
              </w:rPr>
              <w:t>260%</w:t>
            </w:r>
          </w:p>
        </w:tc>
      </w:tr>
    </w:tbl>
    <w:p w14:paraId="3327A2EF" w14:textId="77777777" w:rsidR="00BA3B1C" w:rsidRPr="002A5FDF" w:rsidRDefault="00BA3B1C" w:rsidP="00483EEF">
      <w:pPr>
        <w:spacing w:before="0"/>
        <w:rPr>
          <w:rFonts w:cs="Calibri"/>
          <w:i/>
          <w:sz w:val="18"/>
        </w:rPr>
      </w:pPr>
      <w:r w:rsidRPr="002A5FDF">
        <w:rPr>
          <w:rFonts w:cs="Calibri"/>
          <w:i/>
          <w:sz w:val="18"/>
        </w:rPr>
        <w:t>Źródło:</w:t>
      </w:r>
      <w:r w:rsidRPr="002A5FDF">
        <w:rPr>
          <w:rFonts w:cs="Calibri"/>
          <w:i/>
          <w:sz w:val="18"/>
          <w:szCs w:val="16"/>
        </w:rPr>
        <w:t xml:space="preserve"> RPO WZ 2014-2020</w:t>
      </w:r>
      <w:r w:rsidR="00E66B89" w:rsidRPr="002A5FDF">
        <w:rPr>
          <w:rFonts w:cs="Calibri"/>
          <w:i/>
          <w:sz w:val="18"/>
          <w:szCs w:val="16"/>
        </w:rPr>
        <w:t xml:space="preserve"> z </w:t>
      </w:r>
      <w:r w:rsidRPr="002A5FDF">
        <w:rPr>
          <w:rFonts w:cs="Calibri"/>
          <w:i/>
          <w:sz w:val="18"/>
          <w:szCs w:val="16"/>
        </w:rPr>
        <w:t>26.07.2018 r., dane SL2014</w:t>
      </w:r>
      <w:r w:rsidR="00E66B89" w:rsidRPr="002A5FDF">
        <w:rPr>
          <w:rFonts w:cs="Calibri"/>
          <w:i/>
          <w:sz w:val="18"/>
          <w:szCs w:val="16"/>
        </w:rPr>
        <w:t xml:space="preserve"> o </w:t>
      </w:r>
      <w:r w:rsidRPr="002A5FDF">
        <w:rPr>
          <w:rFonts w:cs="Calibri"/>
          <w:i/>
          <w:sz w:val="18"/>
          <w:szCs w:val="16"/>
        </w:rPr>
        <w:t>zawartych UoD na dzień 07.01.2019 r.,</w:t>
      </w:r>
      <w:r w:rsidRPr="002A5FDF">
        <w:rPr>
          <w:rFonts w:cs="Calibri"/>
          <w:i/>
          <w:sz w:val="18"/>
        </w:rPr>
        <w:t xml:space="preserve"> obliczenia</w:t>
      </w:r>
      <w:r w:rsidR="00E66B89" w:rsidRPr="002A5FDF">
        <w:rPr>
          <w:rFonts w:cs="Calibri"/>
          <w:i/>
          <w:sz w:val="18"/>
        </w:rPr>
        <w:t xml:space="preserve"> i </w:t>
      </w:r>
      <w:r w:rsidRPr="002A5FDF">
        <w:rPr>
          <w:rFonts w:cs="Calibri"/>
          <w:i/>
          <w:sz w:val="18"/>
        </w:rPr>
        <w:t xml:space="preserve">analizy własne. </w:t>
      </w:r>
    </w:p>
    <w:p w14:paraId="12A281AB" w14:textId="77777777" w:rsidR="00BA3B1C" w:rsidRPr="00404DA5" w:rsidRDefault="00BA3B1C" w:rsidP="00BA3B1C">
      <w:pPr>
        <w:rPr>
          <w:rFonts w:cs="Calibri"/>
          <w:szCs w:val="20"/>
        </w:rPr>
      </w:pPr>
      <w:r w:rsidRPr="00404DA5">
        <w:rPr>
          <w:rFonts w:cs="Calibri"/>
          <w:szCs w:val="20"/>
        </w:rPr>
        <w:t>Aktualny stan wdrażania RPO WZ zapewnia możliwość realizacji wartości docelowych wskaźników rezultatu. Szacowany koszt jednostkowy wskaźników</w:t>
      </w:r>
      <w:r w:rsidR="00E66B89">
        <w:rPr>
          <w:rFonts w:cs="Calibri"/>
          <w:szCs w:val="20"/>
        </w:rPr>
        <w:t xml:space="preserve"> w </w:t>
      </w:r>
      <w:r w:rsidRPr="00404DA5">
        <w:rPr>
          <w:rFonts w:cs="Calibri"/>
          <w:szCs w:val="20"/>
        </w:rPr>
        <w:t>stosunku do pozostałej alokacji będzie skutkował znacznym przekroczeniem założonych wartości docelowych określonych na rok 2023. Utrzymanie wielkości alokacji pozwoli na realizację wszystkich zobowiązań wskaźnikowych na lata 2014-2020 określonych dla PI 1b.</w:t>
      </w:r>
    </w:p>
    <w:p w14:paraId="7F554499"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0535ACBA" w14:textId="77777777" w:rsidR="00BA3B1C" w:rsidRPr="00404DA5" w:rsidRDefault="00BA3B1C" w:rsidP="00BA3B1C">
      <w:pPr>
        <w:rPr>
          <w:rFonts w:cs="Calibri"/>
          <w:szCs w:val="20"/>
        </w:rPr>
      </w:pPr>
      <w:r w:rsidRPr="00404DA5">
        <w:rPr>
          <w:rFonts w:cs="Calibri"/>
          <w:szCs w:val="20"/>
        </w:rPr>
        <w:t>Jak wcześniej wspomniano, najważniejszym problemem identyfikowanym dla PI 1b jest niskie zainteresowanie uprawnionych podmiotów aplikowaniem</w:t>
      </w:r>
      <w:r w:rsidR="00E66B89">
        <w:rPr>
          <w:rFonts w:cs="Calibri"/>
          <w:szCs w:val="20"/>
        </w:rPr>
        <w:t xml:space="preserve"> o </w:t>
      </w:r>
      <w:r w:rsidRPr="00404DA5">
        <w:rPr>
          <w:rFonts w:cs="Calibri"/>
          <w:szCs w:val="20"/>
        </w:rPr>
        <w:t>środki.</w:t>
      </w:r>
      <w:r w:rsidR="00E66B89">
        <w:rPr>
          <w:rFonts w:cs="Calibri"/>
          <w:szCs w:val="20"/>
        </w:rPr>
        <w:t xml:space="preserve"> W </w:t>
      </w:r>
      <w:r w:rsidRPr="00404DA5">
        <w:rPr>
          <w:rFonts w:cs="Calibri"/>
          <w:szCs w:val="20"/>
        </w:rPr>
        <w:t>celu jego wzmożenia rekomenduje się podjęcie szeregu działań, takich jak: szeroka akcja promocyjno-informacyjna podnosząca świadomość</w:t>
      </w:r>
      <w:r w:rsidR="00E66B89">
        <w:rPr>
          <w:rFonts w:cs="Calibri"/>
          <w:szCs w:val="20"/>
        </w:rPr>
        <w:t xml:space="preserve"> i </w:t>
      </w:r>
      <w:r w:rsidRPr="00404DA5">
        <w:rPr>
          <w:rFonts w:cs="Calibri"/>
          <w:szCs w:val="20"/>
        </w:rPr>
        <w:t>wiedzę</w:t>
      </w:r>
      <w:r w:rsidR="00E66B89">
        <w:rPr>
          <w:rFonts w:cs="Calibri"/>
          <w:szCs w:val="20"/>
        </w:rPr>
        <w:t xml:space="preserve"> o </w:t>
      </w:r>
      <w:r w:rsidRPr="00404DA5">
        <w:rPr>
          <w:rFonts w:cs="Calibri"/>
          <w:szCs w:val="20"/>
        </w:rPr>
        <w:t>możliwościach finansowania działalności B+R</w:t>
      </w:r>
      <w:r w:rsidR="00E66B89">
        <w:rPr>
          <w:rFonts w:cs="Calibri"/>
          <w:szCs w:val="20"/>
        </w:rPr>
        <w:t xml:space="preserve"> z </w:t>
      </w:r>
      <w:r w:rsidRPr="00404DA5">
        <w:rPr>
          <w:rFonts w:cs="Calibri"/>
          <w:szCs w:val="20"/>
        </w:rPr>
        <w:t>środków regionalnych, umożliwienie wsparcia inwestycji</w:t>
      </w:r>
      <w:r w:rsidR="00E66B89">
        <w:rPr>
          <w:rFonts w:cs="Calibri"/>
          <w:szCs w:val="20"/>
        </w:rPr>
        <w:t xml:space="preserve"> w </w:t>
      </w:r>
      <w:r w:rsidRPr="00404DA5">
        <w:rPr>
          <w:rFonts w:cs="Calibri"/>
          <w:szCs w:val="20"/>
        </w:rPr>
        <w:t>infrastrukturę B+R</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pomoc de minimis, wyodrębnienie relatywnie niewielkiej puli środków na wsparcie projektów wykraczających poza obszar inteligentnych specjalizacji regionu, dalsze upraszczanie zasad rozliczania projektów.</w:t>
      </w:r>
    </w:p>
    <w:p w14:paraId="77301AE2" w14:textId="77777777" w:rsidR="00BA3B1C" w:rsidRPr="00404DA5" w:rsidRDefault="00BA3B1C" w:rsidP="00BA3B1C">
      <w:pPr>
        <w:rPr>
          <w:rFonts w:cs="Calibri"/>
          <w:szCs w:val="20"/>
        </w:rPr>
      </w:pPr>
      <w:r w:rsidRPr="00404DA5">
        <w:rPr>
          <w:rFonts w:cs="Calibri"/>
          <w:szCs w:val="20"/>
        </w:rPr>
        <w:t>W związku</w:t>
      </w:r>
      <w:r w:rsidR="00E66B89">
        <w:rPr>
          <w:rFonts w:cs="Calibri"/>
          <w:szCs w:val="20"/>
        </w:rPr>
        <w:t xml:space="preserve"> z </w:t>
      </w:r>
      <w:r w:rsidRPr="00404DA5">
        <w:rPr>
          <w:rFonts w:cs="Calibri"/>
          <w:szCs w:val="20"/>
        </w:rPr>
        <w:t>powyższym nie rekomenduje się realokacji środków</w:t>
      </w:r>
      <w:r w:rsidR="00E66B89">
        <w:rPr>
          <w:rFonts w:cs="Calibri"/>
          <w:szCs w:val="20"/>
        </w:rPr>
        <w:t xml:space="preserve"> z </w:t>
      </w:r>
      <w:r w:rsidRPr="00404DA5">
        <w:rPr>
          <w:rFonts w:cs="Calibri"/>
          <w:szCs w:val="20"/>
        </w:rPr>
        <w:t>PI 1b.</w:t>
      </w:r>
    </w:p>
    <w:p w14:paraId="0B843C9A" w14:textId="77777777" w:rsidR="00BA3B1C" w:rsidRPr="00404DA5" w:rsidRDefault="00BA3B1C" w:rsidP="00BA3B1C">
      <w:pPr>
        <w:rPr>
          <w:rFonts w:cs="Calibri"/>
          <w:szCs w:val="20"/>
        </w:rPr>
      </w:pPr>
      <w:r w:rsidRPr="00404DA5">
        <w:rPr>
          <w:rFonts w:cs="Calibri"/>
          <w:szCs w:val="20"/>
        </w:rPr>
        <w:t>Przeprowadzona symulacja wartości docelowych wskaźników na 2023 rok wskazuje na prawdopodobne ich wysokie przekroczenie. Do rozważenia pozostaje kwestia ich aktualizacji zgodnie</w:t>
      </w:r>
      <w:r w:rsidR="00E66B89">
        <w:rPr>
          <w:rFonts w:cs="Calibri"/>
          <w:szCs w:val="20"/>
        </w:rPr>
        <w:t xml:space="preserve"> z </w:t>
      </w:r>
      <w:r w:rsidRPr="00404DA5">
        <w:rPr>
          <w:rFonts w:cs="Calibri"/>
          <w:szCs w:val="20"/>
        </w:rPr>
        <w:t>prognozą przedstawioną</w:t>
      </w:r>
      <w:r w:rsidR="00E66B89">
        <w:rPr>
          <w:rFonts w:cs="Calibri"/>
          <w:szCs w:val="20"/>
        </w:rPr>
        <w:t xml:space="preserve"> w </w:t>
      </w:r>
      <w:r w:rsidRPr="00404DA5">
        <w:rPr>
          <w:rFonts w:cs="Calibri"/>
          <w:szCs w:val="20"/>
        </w:rPr>
        <w:t>poniższej tabeli.</w:t>
      </w:r>
    </w:p>
    <w:p w14:paraId="6B159405" w14:textId="77777777" w:rsidR="00BA3B1C" w:rsidRPr="00FE43CD" w:rsidRDefault="00BA3B1C" w:rsidP="006E34DC">
      <w:pPr>
        <w:pStyle w:val="Legenda"/>
        <w:spacing w:after="0"/>
      </w:pPr>
      <w:bookmarkStart w:id="50" w:name="_Toc8824119"/>
      <w:r w:rsidRPr="00FE43CD">
        <w:lastRenderedPageBreak/>
        <w:t xml:space="preserve">Tabela </w:t>
      </w:r>
      <w:r>
        <w:fldChar w:fldCharType="begin"/>
      </w:r>
      <w:r>
        <w:instrText xml:space="preserve"> SEQ Tabela \* ARABIC </w:instrText>
      </w:r>
      <w:r>
        <w:fldChar w:fldCharType="separate"/>
      </w:r>
      <w:r w:rsidR="00763345">
        <w:rPr>
          <w:noProof/>
        </w:rPr>
        <w:t>8</w:t>
      </w:r>
      <w:r>
        <w:fldChar w:fldCharType="end"/>
      </w:r>
      <w:r w:rsidRPr="00FE43CD">
        <w:t xml:space="preserve"> Wskaźniki wymagające zmiany wartości – PI </w:t>
      </w:r>
      <w:r>
        <w:t>1b</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763"/>
        <w:gridCol w:w="1165"/>
        <w:gridCol w:w="2089"/>
        <w:gridCol w:w="1947"/>
      </w:tblGrid>
      <w:tr w:rsidR="00BA3B1C" w:rsidRPr="00483EEF" w14:paraId="35BCBDA3" w14:textId="77777777" w:rsidTr="00483EEF">
        <w:trPr>
          <w:tblHeader/>
        </w:trPr>
        <w:tc>
          <w:tcPr>
            <w:tcW w:w="0" w:type="auto"/>
            <w:shd w:val="clear" w:color="auto" w:fill="DBE5F1"/>
            <w:vAlign w:val="center"/>
          </w:tcPr>
          <w:p w14:paraId="35DC66DF" w14:textId="77777777" w:rsidR="00BA3B1C" w:rsidRPr="00483EEF" w:rsidRDefault="00BA3B1C" w:rsidP="00BA3B1C">
            <w:pPr>
              <w:jc w:val="center"/>
              <w:rPr>
                <w:rFonts w:cs="Calibri"/>
                <w:sz w:val="18"/>
                <w:szCs w:val="16"/>
              </w:rPr>
            </w:pPr>
            <w:r w:rsidRPr="00483EEF">
              <w:rPr>
                <w:rFonts w:cs="Calibri"/>
                <w:sz w:val="18"/>
                <w:szCs w:val="16"/>
              </w:rPr>
              <w:t>Typ wskaźnika</w:t>
            </w:r>
          </w:p>
        </w:tc>
        <w:tc>
          <w:tcPr>
            <w:tcW w:w="0" w:type="auto"/>
            <w:shd w:val="clear" w:color="auto" w:fill="DBE5F1"/>
            <w:vAlign w:val="center"/>
          </w:tcPr>
          <w:p w14:paraId="636357F2" w14:textId="77777777" w:rsidR="00BA3B1C" w:rsidRPr="00483EEF" w:rsidRDefault="00BA3B1C" w:rsidP="00BA3B1C">
            <w:pPr>
              <w:jc w:val="center"/>
              <w:rPr>
                <w:rFonts w:cs="Calibri"/>
                <w:sz w:val="18"/>
                <w:szCs w:val="16"/>
              </w:rPr>
            </w:pPr>
            <w:r w:rsidRPr="00483EEF">
              <w:rPr>
                <w:rFonts w:cs="Calibri"/>
                <w:sz w:val="18"/>
                <w:szCs w:val="16"/>
              </w:rPr>
              <w:t>Wskaźnik</w:t>
            </w:r>
          </w:p>
        </w:tc>
        <w:tc>
          <w:tcPr>
            <w:tcW w:w="0" w:type="auto"/>
            <w:shd w:val="clear" w:color="auto" w:fill="DBE5F1"/>
            <w:vAlign w:val="center"/>
          </w:tcPr>
          <w:p w14:paraId="7531BE12" w14:textId="77777777" w:rsidR="00BA3B1C" w:rsidRPr="00483EEF" w:rsidRDefault="00BA3B1C" w:rsidP="00BA3B1C">
            <w:pPr>
              <w:jc w:val="center"/>
              <w:rPr>
                <w:rFonts w:cs="Calibri"/>
                <w:sz w:val="18"/>
                <w:szCs w:val="16"/>
              </w:rPr>
            </w:pPr>
            <w:r w:rsidRPr="00483EEF">
              <w:rPr>
                <w:rFonts w:cs="Calibri"/>
                <w:sz w:val="18"/>
                <w:szCs w:val="16"/>
              </w:rPr>
              <w:t>Jednostka pomiaru</w:t>
            </w:r>
          </w:p>
        </w:tc>
        <w:tc>
          <w:tcPr>
            <w:tcW w:w="0" w:type="auto"/>
            <w:shd w:val="clear" w:color="auto" w:fill="DBE5F1"/>
          </w:tcPr>
          <w:p w14:paraId="1055AC9B" w14:textId="77777777" w:rsidR="00BA3B1C" w:rsidRPr="00483EEF" w:rsidRDefault="00BA3B1C" w:rsidP="00BA3B1C">
            <w:pPr>
              <w:jc w:val="center"/>
              <w:rPr>
                <w:rFonts w:cs="Calibri"/>
                <w:sz w:val="18"/>
                <w:szCs w:val="16"/>
              </w:rPr>
            </w:pPr>
            <w:r w:rsidRPr="00483EEF">
              <w:rPr>
                <w:rFonts w:cs="Calibri"/>
                <w:sz w:val="18"/>
                <w:szCs w:val="16"/>
              </w:rPr>
              <w:t>Wartość docelowa na koniec 2023 r. (określona</w:t>
            </w:r>
            <w:r w:rsidR="00E66B89">
              <w:rPr>
                <w:rFonts w:cs="Calibri"/>
                <w:sz w:val="18"/>
                <w:szCs w:val="16"/>
              </w:rPr>
              <w:t xml:space="preserve"> w </w:t>
            </w:r>
            <w:r w:rsidRPr="00483EEF">
              <w:rPr>
                <w:rFonts w:cs="Calibri"/>
                <w:sz w:val="18"/>
                <w:szCs w:val="16"/>
              </w:rPr>
              <w:t>Programie)</w:t>
            </w:r>
          </w:p>
        </w:tc>
        <w:tc>
          <w:tcPr>
            <w:tcW w:w="0" w:type="auto"/>
            <w:shd w:val="clear" w:color="auto" w:fill="DBE5F1"/>
          </w:tcPr>
          <w:p w14:paraId="41CB77B9" w14:textId="77777777" w:rsidR="00BA3B1C" w:rsidRPr="00483EEF" w:rsidRDefault="00BA3B1C" w:rsidP="00BA3B1C">
            <w:pPr>
              <w:jc w:val="center"/>
              <w:rPr>
                <w:rFonts w:cs="Calibri"/>
                <w:sz w:val="18"/>
                <w:szCs w:val="16"/>
              </w:rPr>
            </w:pPr>
            <w:r w:rsidRPr="00483EEF">
              <w:rPr>
                <w:rFonts w:cs="Calibri"/>
                <w:sz w:val="18"/>
                <w:szCs w:val="16"/>
              </w:rPr>
              <w:t>Proponowana wartość docelowa na koniec 2023 r.</w:t>
            </w:r>
          </w:p>
        </w:tc>
      </w:tr>
      <w:tr w:rsidR="00BA3B1C" w:rsidRPr="00FE43CD" w14:paraId="24288598" w14:textId="77777777" w:rsidTr="00BA3B1C">
        <w:tc>
          <w:tcPr>
            <w:tcW w:w="0" w:type="auto"/>
            <w:shd w:val="clear" w:color="auto" w:fill="auto"/>
            <w:vAlign w:val="center"/>
          </w:tcPr>
          <w:p w14:paraId="24C3F05B" w14:textId="77777777" w:rsidR="00BA3B1C" w:rsidRPr="00404DA5" w:rsidRDefault="00BA3B1C" w:rsidP="00BA3B1C">
            <w:pPr>
              <w:jc w:val="center"/>
              <w:rPr>
                <w:rFonts w:eastAsia="Calibri" w:cs="Calibri"/>
                <w:sz w:val="16"/>
                <w:szCs w:val="16"/>
              </w:rPr>
            </w:pPr>
            <w:r w:rsidRPr="00404DA5">
              <w:rPr>
                <w:rFonts w:eastAsia="Calibri" w:cs="Calibri"/>
                <w:sz w:val="16"/>
                <w:szCs w:val="16"/>
              </w:rPr>
              <w:t>WP</w:t>
            </w:r>
          </w:p>
        </w:tc>
        <w:tc>
          <w:tcPr>
            <w:tcW w:w="0" w:type="auto"/>
            <w:shd w:val="clear" w:color="auto" w:fill="auto"/>
            <w:vAlign w:val="center"/>
          </w:tcPr>
          <w:p w14:paraId="0BE89A3E" w14:textId="77777777" w:rsidR="00BA3B1C" w:rsidRPr="00404DA5" w:rsidRDefault="00BA3B1C" w:rsidP="00BA3B1C">
            <w:pPr>
              <w:jc w:val="center"/>
              <w:rPr>
                <w:rFonts w:eastAsia="Calibri" w:cs="Calibri"/>
                <w:sz w:val="16"/>
                <w:szCs w:val="16"/>
              </w:rPr>
            </w:pPr>
            <w:r w:rsidRPr="00404DA5">
              <w:rPr>
                <w:rFonts w:cs="Calibri"/>
                <w:sz w:val="18"/>
                <w:szCs w:val="18"/>
              </w:rPr>
              <w:t>Liczba przedsiębiorstw otrzymujących wsparcie</w:t>
            </w:r>
          </w:p>
        </w:tc>
        <w:tc>
          <w:tcPr>
            <w:tcW w:w="0" w:type="auto"/>
            <w:shd w:val="clear" w:color="auto" w:fill="auto"/>
            <w:vAlign w:val="center"/>
          </w:tcPr>
          <w:p w14:paraId="7572056D" w14:textId="77777777" w:rsidR="00BA3B1C" w:rsidRPr="00404DA5" w:rsidRDefault="00BA3B1C" w:rsidP="00BA3B1C">
            <w:pPr>
              <w:jc w:val="center"/>
              <w:rPr>
                <w:rFonts w:eastAsia="Calibri" w:cs="Calibri"/>
                <w:sz w:val="16"/>
                <w:szCs w:val="16"/>
              </w:rPr>
            </w:pPr>
            <w:r w:rsidRPr="00404DA5">
              <w:rPr>
                <w:rFonts w:cs="Calibri"/>
                <w:sz w:val="18"/>
                <w:szCs w:val="18"/>
              </w:rPr>
              <w:t>szt.</w:t>
            </w:r>
          </w:p>
        </w:tc>
        <w:tc>
          <w:tcPr>
            <w:tcW w:w="0" w:type="auto"/>
            <w:shd w:val="clear" w:color="auto" w:fill="auto"/>
            <w:vAlign w:val="center"/>
          </w:tcPr>
          <w:p w14:paraId="32471CB0" w14:textId="77777777" w:rsidR="00BA3B1C" w:rsidRPr="00404DA5" w:rsidRDefault="00BA3B1C" w:rsidP="00BA3B1C">
            <w:pPr>
              <w:jc w:val="center"/>
              <w:rPr>
                <w:rFonts w:eastAsia="Calibri" w:cs="Calibri"/>
                <w:sz w:val="16"/>
                <w:szCs w:val="16"/>
              </w:rPr>
            </w:pPr>
            <w:r w:rsidRPr="00404DA5">
              <w:rPr>
                <w:rFonts w:cs="Calibri"/>
                <w:sz w:val="18"/>
                <w:szCs w:val="18"/>
              </w:rPr>
              <w:t>33</w:t>
            </w:r>
          </w:p>
        </w:tc>
        <w:tc>
          <w:tcPr>
            <w:tcW w:w="0" w:type="auto"/>
            <w:shd w:val="clear" w:color="auto" w:fill="auto"/>
            <w:vAlign w:val="center"/>
          </w:tcPr>
          <w:p w14:paraId="6D24499A" w14:textId="77777777" w:rsidR="00BA3B1C" w:rsidRPr="00404DA5" w:rsidRDefault="00BA3B1C" w:rsidP="00BA3B1C">
            <w:pPr>
              <w:jc w:val="center"/>
              <w:rPr>
                <w:rFonts w:eastAsia="Calibri" w:cs="Calibri"/>
                <w:sz w:val="16"/>
                <w:szCs w:val="16"/>
              </w:rPr>
            </w:pPr>
            <w:r w:rsidRPr="00404DA5">
              <w:rPr>
                <w:rFonts w:cs="Calibri"/>
                <w:sz w:val="18"/>
                <w:szCs w:val="18"/>
              </w:rPr>
              <w:t>226</w:t>
            </w:r>
          </w:p>
        </w:tc>
      </w:tr>
      <w:tr w:rsidR="00BA3B1C" w:rsidRPr="00FE43CD" w14:paraId="1D9B7A75" w14:textId="77777777" w:rsidTr="00BA3B1C">
        <w:tc>
          <w:tcPr>
            <w:tcW w:w="0" w:type="auto"/>
            <w:shd w:val="clear" w:color="auto" w:fill="auto"/>
            <w:vAlign w:val="center"/>
          </w:tcPr>
          <w:p w14:paraId="4199DA61" w14:textId="77777777" w:rsidR="00BA3B1C" w:rsidRPr="00404DA5" w:rsidRDefault="00BA3B1C" w:rsidP="00BA3B1C">
            <w:pPr>
              <w:jc w:val="center"/>
              <w:rPr>
                <w:rFonts w:eastAsia="Calibri" w:cs="Calibri"/>
                <w:sz w:val="16"/>
                <w:szCs w:val="16"/>
              </w:rPr>
            </w:pPr>
            <w:r w:rsidRPr="00404DA5">
              <w:rPr>
                <w:rFonts w:eastAsia="Calibri" w:cs="Calibri"/>
                <w:sz w:val="16"/>
                <w:szCs w:val="16"/>
              </w:rPr>
              <w:t>WP</w:t>
            </w:r>
          </w:p>
        </w:tc>
        <w:tc>
          <w:tcPr>
            <w:tcW w:w="0" w:type="auto"/>
            <w:shd w:val="clear" w:color="auto" w:fill="auto"/>
            <w:vAlign w:val="center"/>
          </w:tcPr>
          <w:p w14:paraId="465BA3FD" w14:textId="77777777" w:rsidR="00BA3B1C" w:rsidRPr="00404DA5" w:rsidRDefault="00BA3B1C" w:rsidP="00BA3B1C">
            <w:pPr>
              <w:jc w:val="center"/>
              <w:rPr>
                <w:rFonts w:eastAsia="Calibri" w:cs="Calibri"/>
                <w:sz w:val="16"/>
                <w:szCs w:val="16"/>
              </w:rPr>
            </w:pPr>
            <w:r w:rsidRPr="00404DA5">
              <w:rPr>
                <w:rFonts w:cs="Calibri"/>
                <w:sz w:val="18"/>
                <w:szCs w:val="18"/>
              </w:rPr>
              <w:t>Liczba przedsiębiorstw otrzymujących dotacje</w:t>
            </w:r>
          </w:p>
        </w:tc>
        <w:tc>
          <w:tcPr>
            <w:tcW w:w="0" w:type="auto"/>
            <w:shd w:val="clear" w:color="auto" w:fill="auto"/>
            <w:vAlign w:val="center"/>
          </w:tcPr>
          <w:p w14:paraId="44AEF834" w14:textId="77777777" w:rsidR="00BA3B1C" w:rsidRPr="00404DA5" w:rsidRDefault="00BA3B1C" w:rsidP="00BA3B1C">
            <w:pPr>
              <w:jc w:val="center"/>
              <w:rPr>
                <w:rFonts w:eastAsia="Calibri" w:cs="Calibri"/>
                <w:sz w:val="16"/>
                <w:szCs w:val="16"/>
              </w:rPr>
            </w:pPr>
            <w:r w:rsidRPr="00404DA5">
              <w:rPr>
                <w:rFonts w:cs="Calibri"/>
                <w:sz w:val="18"/>
                <w:szCs w:val="18"/>
              </w:rPr>
              <w:t>szt.</w:t>
            </w:r>
          </w:p>
        </w:tc>
        <w:tc>
          <w:tcPr>
            <w:tcW w:w="0" w:type="auto"/>
            <w:shd w:val="clear" w:color="auto" w:fill="auto"/>
            <w:vAlign w:val="center"/>
          </w:tcPr>
          <w:p w14:paraId="0774ADD3" w14:textId="77777777" w:rsidR="00BA3B1C" w:rsidRPr="00404DA5" w:rsidRDefault="00BA3B1C" w:rsidP="00BA3B1C">
            <w:pPr>
              <w:jc w:val="center"/>
              <w:rPr>
                <w:rFonts w:eastAsia="Calibri" w:cs="Calibri"/>
                <w:sz w:val="16"/>
                <w:szCs w:val="16"/>
              </w:rPr>
            </w:pPr>
            <w:r w:rsidRPr="00404DA5">
              <w:rPr>
                <w:rFonts w:cs="Calibri"/>
                <w:sz w:val="18"/>
                <w:szCs w:val="18"/>
              </w:rPr>
              <w:t>33</w:t>
            </w:r>
          </w:p>
        </w:tc>
        <w:tc>
          <w:tcPr>
            <w:tcW w:w="0" w:type="auto"/>
            <w:shd w:val="clear" w:color="auto" w:fill="auto"/>
            <w:vAlign w:val="center"/>
          </w:tcPr>
          <w:p w14:paraId="223D1D58" w14:textId="77777777" w:rsidR="00BA3B1C" w:rsidRPr="00404DA5" w:rsidRDefault="00BA3B1C" w:rsidP="00BA3B1C">
            <w:pPr>
              <w:jc w:val="center"/>
              <w:rPr>
                <w:rFonts w:eastAsia="Calibri" w:cs="Calibri"/>
                <w:sz w:val="16"/>
                <w:szCs w:val="16"/>
              </w:rPr>
            </w:pPr>
            <w:r w:rsidRPr="00404DA5">
              <w:rPr>
                <w:rFonts w:cs="Calibri"/>
                <w:sz w:val="18"/>
                <w:szCs w:val="18"/>
              </w:rPr>
              <w:t>226</w:t>
            </w:r>
          </w:p>
        </w:tc>
      </w:tr>
      <w:tr w:rsidR="00BA3B1C" w:rsidRPr="00FE43CD" w14:paraId="6F855C00" w14:textId="77777777" w:rsidTr="00BA3B1C">
        <w:tc>
          <w:tcPr>
            <w:tcW w:w="0" w:type="auto"/>
            <w:shd w:val="clear" w:color="auto" w:fill="auto"/>
            <w:vAlign w:val="center"/>
          </w:tcPr>
          <w:p w14:paraId="70B5AAE6" w14:textId="77777777" w:rsidR="00BA3B1C" w:rsidRPr="00404DA5" w:rsidRDefault="00BA3B1C" w:rsidP="00BA3B1C">
            <w:pPr>
              <w:jc w:val="center"/>
              <w:rPr>
                <w:rFonts w:eastAsia="Calibri" w:cs="Calibri"/>
                <w:sz w:val="16"/>
                <w:szCs w:val="16"/>
              </w:rPr>
            </w:pPr>
            <w:r w:rsidRPr="00404DA5">
              <w:rPr>
                <w:rFonts w:eastAsia="Calibri" w:cs="Calibri"/>
                <w:sz w:val="16"/>
                <w:szCs w:val="16"/>
              </w:rPr>
              <w:t>WP</w:t>
            </w:r>
          </w:p>
        </w:tc>
        <w:tc>
          <w:tcPr>
            <w:tcW w:w="0" w:type="auto"/>
            <w:shd w:val="clear" w:color="auto" w:fill="auto"/>
            <w:vAlign w:val="center"/>
          </w:tcPr>
          <w:p w14:paraId="046A35F1" w14:textId="77777777" w:rsidR="00BA3B1C" w:rsidRPr="00404DA5" w:rsidRDefault="00BA3B1C" w:rsidP="00BA3B1C">
            <w:pPr>
              <w:jc w:val="center"/>
              <w:rPr>
                <w:rFonts w:eastAsia="Calibri" w:cs="Calibri"/>
                <w:sz w:val="16"/>
                <w:szCs w:val="16"/>
              </w:rPr>
            </w:pPr>
            <w:r w:rsidRPr="00404DA5">
              <w:rPr>
                <w:rFonts w:cs="Calibri"/>
                <w:bCs/>
                <w:sz w:val="18"/>
                <w:szCs w:val="18"/>
              </w:rPr>
              <w:t>Inwestycje prywatne uzupełniające wsparcie publiczne dla przedsiębiorstw (dotacje)</w:t>
            </w:r>
          </w:p>
        </w:tc>
        <w:tc>
          <w:tcPr>
            <w:tcW w:w="0" w:type="auto"/>
            <w:shd w:val="clear" w:color="auto" w:fill="auto"/>
            <w:vAlign w:val="center"/>
          </w:tcPr>
          <w:p w14:paraId="79A3FFBE" w14:textId="77777777" w:rsidR="00BA3B1C" w:rsidRPr="00404DA5" w:rsidRDefault="00BA3B1C" w:rsidP="00BA3B1C">
            <w:pPr>
              <w:jc w:val="center"/>
              <w:rPr>
                <w:rFonts w:eastAsia="Calibri" w:cs="Calibri"/>
                <w:sz w:val="16"/>
                <w:szCs w:val="16"/>
              </w:rPr>
            </w:pPr>
            <w:r w:rsidRPr="00404DA5">
              <w:rPr>
                <w:rFonts w:cs="Calibri"/>
                <w:bCs/>
                <w:sz w:val="18"/>
                <w:szCs w:val="18"/>
              </w:rPr>
              <w:t>EUR</w:t>
            </w:r>
          </w:p>
        </w:tc>
        <w:tc>
          <w:tcPr>
            <w:tcW w:w="0" w:type="auto"/>
            <w:shd w:val="clear" w:color="auto" w:fill="auto"/>
            <w:vAlign w:val="center"/>
          </w:tcPr>
          <w:p w14:paraId="239707C6" w14:textId="77777777" w:rsidR="00BA3B1C" w:rsidRPr="00404DA5" w:rsidRDefault="00BA3B1C" w:rsidP="00BA3B1C">
            <w:pPr>
              <w:jc w:val="center"/>
              <w:rPr>
                <w:rFonts w:eastAsia="Calibri" w:cs="Calibri"/>
                <w:sz w:val="16"/>
                <w:szCs w:val="16"/>
              </w:rPr>
            </w:pPr>
            <w:r w:rsidRPr="00404DA5">
              <w:rPr>
                <w:rFonts w:cs="Calibri"/>
                <w:sz w:val="18"/>
                <w:szCs w:val="18"/>
              </w:rPr>
              <w:t>38 350 000</w:t>
            </w:r>
          </w:p>
        </w:tc>
        <w:tc>
          <w:tcPr>
            <w:tcW w:w="0" w:type="auto"/>
            <w:shd w:val="clear" w:color="auto" w:fill="auto"/>
            <w:vAlign w:val="center"/>
          </w:tcPr>
          <w:p w14:paraId="7411F232" w14:textId="77777777" w:rsidR="00BA3B1C" w:rsidRPr="00404DA5" w:rsidRDefault="00BA3B1C" w:rsidP="00BA3B1C">
            <w:pPr>
              <w:jc w:val="center"/>
              <w:rPr>
                <w:rFonts w:eastAsia="Calibri" w:cs="Calibri"/>
                <w:sz w:val="16"/>
                <w:szCs w:val="16"/>
              </w:rPr>
            </w:pPr>
            <w:r w:rsidRPr="00404DA5">
              <w:rPr>
                <w:rFonts w:cs="Calibri"/>
                <w:sz w:val="18"/>
                <w:szCs w:val="18"/>
              </w:rPr>
              <w:t>52 700 169</w:t>
            </w:r>
          </w:p>
        </w:tc>
      </w:tr>
      <w:tr w:rsidR="00BA3B1C" w:rsidRPr="00FE43CD" w14:paraId="588A1D1F" w14:textId="77777777" w:rsidTr="00BA3B1C">
        <w:tc>
          <w:tcPr>
            <w:tcW w:w="0" w:type="auto"/>
            <w:shd w:val="clear" w:color="auto" w:fill="auto"/>
            <w:vAlign w:val="center"/>
          </w:tcPr>
          <w:p w14:paraId="6A27654F" w14:textId="77777777" w:rsidR="00BA3B1C" w:rsidRPr="00404DA5" w:rsidRDefault="00BA3B1C" w:rsidP="00BA3B1C">
            <w:pPr>
              <w:jc w:val="center"/>
              <w:rPr>
                <w:rFonts w:eastAsia="Calibri" w:cs="Calibri"/>
                <w:sz w:val="16"/>
                <w:szCs w:val="16"/>
              </w:rPr>
            </w:pPr>
            <w:r w:rsidRPr="00404DA5">
              <w:rPr>
                <w:rFonts w:eastAsia="Calibri" w:cs="Calibri"/>
                <w:sz w:val="16"/>
                <w:szCs w:val="16"/>
              </w:rPr>
              <w:t>WP</w:t>
            </w:r>
          </w:p>
        </w:tc>
        <w:tc>
          <w:tcPr>
            <w:tcW w:w="0" w:type="auto"/>
            <w:shd w:val="clear" w:color="auto" w:fill="auto"/>
            <w:vAlign w:val="center"/>
          </w:tcPr>
          <w:p w14:paraId="0466648A" w14:textId="77777777" w:rsidR="00BA3B1C" w:rsidRPr="00404DA5" w:rsidRDefault="00BA3B1C" w:rsidP="00BA3B1C">
            <w:pPr>
              <w:jc w:val="center"/>
              <w:rPr>
                <w:rFonts w:eastAsia="Calibri" w:cs="Calibri"/>
                <w:sz w:val="16"/>
                <w:szCs w:val="16"/>
              </w:rPr>
            </w:pPr>
            <w:r w:rsidRPr="00404DA5">
              <w:rPr>
                <w:rFonts w:cs="Calibri"/>
                <w:bCs/>
                <w:sz w:val="18"/>
                <w:szCs w:val="18"/>
              </w:rPr>
              <w:t>Liczba przedsiębiorstw współpracujących</w:t>
            </w:r>
            <w:r w:rsidR="00E66B89">
              <w:rPr>
                <w:rFonts w:cs="Calibri"/>
                <w:bCs/>
                <w:sz w:val="18"/>
                <w:szCs w:val="18"/>
              </w:rPr>
              <w:t xml:space="preserve"> z </w:t>
            </w:r>
            <w:r w:rsidRPr="00404DA5">
              <w:rPr>
                <w:rFonts w:cs="Calibri"/>
                <w:bCs/>
                <w:sz w:val="18"/>
                <w:szCs w:val="18"/>
              </w:rPr>
              <w:t>ośrodkami badawczymi</w:t>
            </w:r>
          </w:p>
        </w:tc>
        <w:tc>
          <w:tcPr>
            <w:tcW w:w="0" w:type="auto"/>
            <w:shd w:val="clear" w:color="auto" w:fill="auto"/>
            <w:vAlign w:val="center"/>
          </w:tcPr>
          <w:p w14:paraId="672BB7A1" w14:textId="77777777" w:rsidR="00BA3B1C" w:rsidRPr="00404DA5" w:rsidRDefault="00BA3B1C" w:rsidP="00BA3B1C">
            <w:pPr>
              <w:jc w:val="center"/>
              <w:rPr>
                <w:rFonts w:eastAsia="Calibri" w:cs="Calibri"/>
                <w:sz w:val="16"/>
                <w:szCs w:val="16"/>
              </w:rPr>
            </w:pPr>
            <w:r w:rsidRPr="00404DA5">
              <w:rPr>
                <w:rFonts w:cs="Calibri"/>
                <w:sz w:val="18"/>
                <w:szCs w:val="18"/>
              </w:rPr>
              <w:t>szt.</w:t>
            </w:r>
          </w:p>
        </w:tc>
        <w:tc>
          <w:tcPr>
            <w:tcW w:w="0" w:type="auto"/>
            <w:shd w:val="clear" w:color="auto" w:fill="auto"/>
            <w:vAlign w:val="center"/>
          </w:tcPr>
          <w:p w14:paraId="13308FDB" w14:textId="77777777" w:rsidR="00BA3B1C" w:rsidRPr="00404DA5" w:rsidRDefault="00BA3B1C" w:rsidP="00BA3B1C">
            <w:pPr>
              <w:jc w:val="center"/>
              <w:rPr>
                <w:rFonts w:eastAsia="Calibri" w:cs="Calibri"/>
                <w:sz w:val="16"/>
                <w:szCs w:val="16"/>
              </w:rPr>
            </w:pPr>
            <w:r w:rsidRPr="00404DA5">
              <w:rPr>
                <w:rFonts w:cs="Calibri"/>
                <w:sz w:val="18"/>
                <w:szCs w:val="18"/>
              </w:rPr>
              <w:t>20</w:t>
            </w:r>
          </w:p>
        </w:tc>
        <w:tc>
          <w:tcPr>
            <w:tcW w:w="0" w:type="auto"/>
            <w:shd w:val="clear" w:color="auto" w:fill="auto"/>
            <w:vAlign w:val="center"/>
          </w:tcPr>
          <w:p w14:paraId="490B7B68" w14:textId="77777777" w:rsidR="00BA3B1C" w:rsidRPr="00404DA5" w:rsidRDefault="00BA3B1C" w:rsidP="00BA3B1C">
            <w:pPr>
              <w:jc w:val="center"/>
              <w:rPr>
                <w:rFonts w:eastAsia="Calibri" w:cs="Calibri"/>
                <w:sz w:val="16"/>
                <w:szCs w:val="16"/>
              </w:rPr>
            </w:pPr>
            <w:r w:rsidRPr="00404DA5">
              <w:rPr>
                <w:rFonts w:cs="Calibri"/>
                <w:sz w:val="18"/>
                <w:szCs w:val="18"/>
              </w:rPr>
              <w:t>52</w:t>
            </w:r>
          </w:p>
        </w:tc>
      </w:tr>
    </w:tbl>
    <w:p w14:paraId="458C0E05" w14:textId="77777777" w:rsidR="00BA3B1C" w:rsidRPr="002A5FDF" w:rsidRDefault="00BA3B1C"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analizy własne.</w:t>
      </w:r>
    </w:p>
    <w:p w14:paraId="2902B4E7" w14:textId="77777777" w:rsidR="00BA3B1C" w:rsidRPr="00FE43CD" w:rsidRDefault="00BA3B1C" w:rsidP="00BA3B1C">
      <w:pPr>
        <w:pStyle w:val="Nagwek3"/>
      </w:pPr>
      <w:r w:rsidRPr="00FE43CD">
        <w:t xml:space="preserve">Priorytet inwestycyjny nr </w:t>
      </w:r>
      <w:r>
        <w:t>1a</w:t>
      </w:r>
      <w:r w:rsidRPr="00FE43CD">
        <w:t xml:space="preserve"> (Działani</w:t>
      </w:r>
      <w:r>
        <w:t>e</w:t>
      </w:r>
      <w:r w:rsidRPr="00FE43CD">
        <w:t xml:space="preserve"> </w:t>
      </w:r>
      <w:r>
        <w:t>1.3</w:t>
      </w:r>
      <w:r w:rsidRPr="00FE43CD">
        <w:t>)</w:t>
      </w:r>
    </w:p>
    <w:p w14:paraId="67E2C8A6"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02387421" w14:textId="77777777" w:rsidR="00BA3B1C" w:rsidRPr="00404DA5" w:rsidRDefault="00BA3B1C" w:rsidP="00BA3B1C">
      <w:pPr>
        <w:spacing w:after="200" w:line="276" w:lineRule="auto"/>
        <w:rPr>
          <w:rFonts w:cs="Calibri"/>
          <w:szCs w:val="20"/>
        </w:rPr>
      </w:pPr>
      <w:r w:rsidRPr="00404DA5">
        <w:rPr>
          <w:rFonts w:cs="Calibri"/>
          <w:szCs w:val="20"/>
        </w:rPr>
        <w:t>Spośród trzech wskaźników produktu przyjętych dla PI 1a jeden (</w:t>
      </w:r>
      <w:r w:rsidRPr="008B706B">
        <w:rPr>
          <w:rFonts w:cs="Calibri"/>
          <w:i/>
          <w:szCs w:val="20"/>
        </w:rPr>
        <w:t>Liczba jednostek naukowych ponoszących nakłady inwestycyjne na działalność B+R</w:t>
      </w:r>
      <w:r w:rsidRPr="00404DA5">
        <w:rPr>
          <w:rFonts w:cs="Calibri"/>
          <w:szCs w:val="20"/>
        </w:rPr>
        <w:t>) został już osiągnięty</w:t>
      </w:r>
      <w:r w:rsidR="00E66B89">
        <w:rPr>
          <w:rFonts w:cs="Calibri"/>
          <w:szCs w:val="20"/>
        </w:rPr>
        <w:t xml:space="preserve"> w </w:t>
      </w:r>
      <w:r w:rsidRPr="00404DA5">
        <w:rPr>
          <w:rFonts w:cs="Calibri"/>
          <w:szCs w:val="20"/>
        </w:rPr>
        <w:t>oparciu</w:t>
      </w:r>
      <w:r w:rsidR="00E66B89">
        <w:rPr>
          <w:rFonts w:cs="Calibri"/>
          <w:szCs w:val="20"/>
        </w:rPr>
        <w:t xml:space="preserve"> o </w:t>
      </w:r>
      <w:r w:rsidRPr="00CB1AB5">
        <w:rPr>
          <w:rFonts w:cs="Calibri"/>
          <w:szCs w:val="20"/>
        </w:rPr>
        <w:t>deklaracje beneficjentów zawarte</w:t>
      </w:r>
      <w:r w:rsidR="00E66B89">
        <w:rPr>
          <w:rFonts w:cs="Calibri"/>
          <w:szCs w:val="20"/>
        </w:rPr>
        <w:t xml:space="preserve"> w </w:t>
      </w:r>
      <w:r w:rsidRPr="00CB1AB5">
        <w:rPr>
          <w:rFonts w:cs="Calibri"/>
          <w:szCs w:val="20"/>
        </w:rPr>
        <w:t>umowach</w:t>
      </w:r>
      <w:r w:rsidR="00E66B89">
        <w:rPr>
          <w:rFonts w:cs="Calibri"/>
          <w:szCs w:val="20"/>
        </w:rPr>
        <w:t xml:space="preserve"> o </w:t>
      </w:r>
      <w:r w:rsidRPr="00404DA5">
        <w:rPr>
          <w:rFonts w:cs="Calibri"/>
          <w:szCs w:val="20"/>
        </w:rPr>
        <w:t>dofinansowanie (</w:t>
      </w:r>
      <w:r>
        <w:t>tabela poniżej</w:t>
      </w:r>
      <w:r w:rsidRPr="00404DA5">
        <w:rPr>
          <w:rFonts w:cs="Calibri"/>
          <w:szCs w:val="20"/>
        </w:rPr>
        <w:t>). Biorąc pod uwagę, że kolejne cztery projekty znajdują się</w:t>
      </w:r>
      <w:r w:rsidR="00E66B89">
        <w:rPr>
          <w:rFonts w:cs="Calibri"/>
          <w:szCs w:val="20"/>
        </w:rPr>
        <w:t xml:space="preserve"> w </w:t>
      </w:r>
      <w:r w:rsidRPr="00404DA5">
        <w:rPr>
          <w:rFonts w:cs="Calibri"/>
          <w:szCs w:val="20"/>
        </w:rPr>
        <w:t>trakcie oceny można przyjąć uzyskanie znacznego stopnia przekroczenia wartości docelow</w:t>
      </w:r>
      <w:r>
        <w:rPr>
          <w:rFonts w:cs="Calibri"/>
          <w:szCs w:val="20"/>
        </w:rPr>
        <w:t>ej</w:t>
      </w:r>
      <w:r w:rsidRPr="00404DA5">
        <w:rPr>
          <w:rFonts w:cs="Calibri"/>
          <w:szCs w:val="20"/>
        </w:rPr>
        <w:t xml:space="preserve"> </w:t>
      </w:r>
      <w:r>
        <w:rPr>
          <w:rFonts w:cs="Calibri"/>
          <w:szCs w:val="20"/>
        </w:rPr>
        <w:t>tego</w:t>
      </w:r>
      <w:r w:rsidRPr="00404DA5">
        <w:rPr>
          <w:rFonts w:cs="Calibri"/>
          <w:szCs w:val="20"/>
        </w:rPr>
        <w:t xml:space="preserve"> wskaźnik</w:t>
      </w:r>
      <w:r>
        <w:rPr>
          <w:rFonts w:cs="Calibri"/>
          <w:szCs w:val="20"/>
        </w:rPr>
        <w:t>a</w:t>
      </w:r>
      <w:r w:rsidRPr="00404DA5">
        <w:rPr>
          <w:rFonts w:cs="Calibri"/>
          <w:szCs w:val="20"/>
        </w:rPr>
        <w:t>. Tak znaczne przekroczenie wynika</w:t>
      </w:r>
      <w:r w:rsidR="00E66B89">
        <w:rPr>
          <w:rFonts w:cs="Calibri"/>
          <w:szCs w:val="20"/>
        </w:rPr>
        <w:t xml:space="preserve"> z </w:t>
      </w:r>
      <w:r w:rsidRPr="00404DA5">
        <w:rPr>
          <w:rFonts w:cs="Calibri"/>
          <w:szCs w:val="20"/>
        </w:rPr>
        <w:t>istotnych różnic</w:t>
      </w:r>
      <w:r w:rsidR="00E66B89">
        <w:rPr>
          <w:rFonts w:cs="Calibri"/>
          <w:szCs w:val="20"/>
        </w:rPr>
        <w:t xml:space="preserve"> w </w:t>
      </w:r>
      <w:r w:rsidRPr="00404DA5">
        <w:rPr>
          <w:rFonts w:cs="Calibri"/>
          <w:szCs w:val="20"/>
        </w:rPr>
        <w:t>odniesieniu do rzeczywistego kosztu jednostkowego</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założeniami poczynionymi na etapie programowania interwencji. Na potrzeby oszacowania wartości docelowej tego wskaźnika przyjęto</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dane historyczne</w:t>
      </w:r>
      <w:r w:rsidR="00E66B89">
        <w:rPr>
          <w:rFonts w:cs="Calibri"/>
          <w:szCs w:val="20"/>
        </w:rPr>
        <w:t xml:space="preserve"> z </w:t>
      </w:r>
      <w:r w:rsidRPr="00404DA5">
        <w:rPr>
          <w:rFonts w:cs="Calibri"/>
          <w:szCs w:val="20"/>
        </w:rPr>
        <w:t>projektów</w:t>
      </w:r>
      <w:r w:rsidR="00E66B89">
        <w:rPr>
          <w:rFonts w:cs="Calibri"/>
          <w:szCs w:val="20"/>
        </w:rPr>
        <w:t xml:space="preserve"> w </w:t>
      </w:r>
      <w:r w:rsidRPr="00404DA5">
        <w:rPr>
          <w:rFonts w:cs="Calibri"/>
          <w:szCs w:val="20"/>
        </w:rPr>
        <w:t>zakresie infrastruktury B+R realizowanych</w:t>
      </w:r>
      <w:r w:rsidR="00E66B89">
        <w:rPr>
          <w:rFonts w:cs="Calibri"/>
          <w:szCs w:val="20"/>
        </w:rPr>
        <w:t xml:space="preserve"> w </w:t>
      </w:r>
      <w:r w:rsidRPr="00404DA5">
        <w:rPr>
          <w:rFonts w:cs="Calibri"/>
          <w:szCs w:val="20"/>
        </w:rPr>
        <w:t>perspektywie 2007-2013 przez jednostki naukowe, że średni koszt jednostkowy wyniesie 18,9 mln zł. Tymczasem średni koszt jednostkowy</w:t>
      </w:r>
      <w:r w:rsidR="00E66B89">
        <w:rPr>
          <w:rFonts w:cs="Calibri"/>
          <w:szCs w:val="20"/>
        </w:rPr>
        <w:t xml:space="preserve"> w </w:t>
      </w:r>
      <w:r w:rsidRPr="00404DA5">
        <w:rPr>
          <w:rFonts w:cs="Calibri"/>
          <w:szCs w:val="20"/>
        </w:rPr>
        <w:t>4 projektach mających podpisaną umowę</w:t>
      </w:r>
      <w:r w:rsidR="00E66B89">
        <w:rPr>
          <w:rFonts w:cs="Calibri"/>
          <w:szCs w:val="20"/>
        </w:rPr>
        <w:t xml:space="preserve"> o </w:t>
      </w:r>
      <w:r w:rsidRPr="00404DA5">
        <w:rPr>
          <w:rFonts w:cs="Calibri"/>
          <w:szCs w:val="20"/>
        </w:rPr>
        <w:t>dofinansowanie okazał się blisko 3-krotnie niższy</w:t>
      </w:r>
      <w:r w:rsidR="00E66B89">
        <w:rPr>
          <w:rFonts w:cs="Calibri"/>
          <w:szCs w:val="20"/>
        </w:rPr>
        <w:t xml:space="preserve"> i </w:t>
      </w:r>
      <w:r w:rsidRPr="00404DA5">
        <w:rPr>
          <w:rFonts w:cs="Calibri"/>
          <w:szCs w:val="20"/>
        </w:rPr>
        <w:t>wyniósł 6,4 mln zł (dla kolejnych 4</w:t>
      </w:r>
      <w:r w:rsidR="00E66B89">
        <w:rPr>
          <w:rFonts w:cs="Calibri"/>
          <w:szCs w:val="20"/>
        </w:rPr>
        <w:t xml:space="preserve"> w </w:t>
      </w:r>
      <w:r w:rsidRPr="00404DA5">
        <w:rPr>
          <w:rFonts w:cs="Calibri"/>
          <w:szCs w:val="20"/>
        </w:rPr>
        <w:t>ocenie jest on jeszcze niższy – ok. 5,2 mln zł)</w:t>
      </w:r>
      <w:r>
        <w:rPr>
          <w:rFonts w:cs="Calibri"/>
          <w:szCs w:val="20"/>
        </w:rPr>
        <w:t>.</w:t>
      </w:r>
      <w:r w:rsidRPr="00404DA5">
        <w:rPr>
          <w:rFonts w:cs="Calibri"/>
          <w:szCs w:val="20"/>
        </w:rPr>
        <w:t xml:space="preserve"> </w:t>
      </w:r>
    </w:p>
    <w:p w14:paraId="4ACBD813" w14:textId="77777777" w:rsidR="00BA3B1C" w:rsidRPr="00FE43CD" w:rsidRDefault="00BA3B1C" w:rsidP="006E34DC">
      <w:pPr>
        <w:pStyle w:val="Legenda"/>
        <w:spacing w:after="0"/>
      </w:pPr>
      <w:bookmarkStart w:id="51" w:name="_Ref3481240"/>
      <w:bookmarkStart w:id="52" w:name="_Toc8824120"/>
      <w:r w:rsidRPr="00FE43CD">
        <w:t xml:space="preserve">Tabela </w:t>
      </w:r>
      <w:r>
        <w:fldChar w:fldCharType="begin"/>
      </w:r>
      <w:r>
        <w:instrText xml:space="preserve"> SEQ Tabela \* ARABIC </w:instrText>
      </w:r>
      <w:r>
        <w:fldChar w:fldCharType="separate"/>
      </w:r>
      <w:r w:rsidR="00763345">
        <w:rPr>
          <w:noProof/>
        </w:rPr>
        <w:t>9</w:t>
      </w:r>
      <w:r>
        <w:fldChar w:fldCharType="end"/>
      </w:r>
      <w:bookmarkEnd w:id="51"/>
      <w:r w:rsidRPr="00FE43CD">
        <w:t xml:space="preserve"> Wskaźniki produktu (PI 1</w:t>
      </w:r>
      <w:r>
        <w:t>a</w:t>
      </w:r>
      <w:r w:rsidRPr="00FE43CD">
        <w:t>) – postęp rzeczowy</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23"/>
        <w:gridCol w:w="1348"/>
        <w:gridCol w:w="846"/>
        <w:gridCol w:w="953"/>
        <w:gridCol w:w="998"/>
        <w:gridCol w:w="999"/>
        <w:gridCol w:w="998"/>
        <w:gridCol w:w="999"/>
      </w:tblGrid>
      <w:tr w:rsidR="00BA3B1C" w:rsidRPr="00FE43CD" w14:paraId="3DA141C7" w14:textId="77777777" w:rsidTr="00C22C26">
        <w:trPr>
          <w:tblHeader/>
        </w:trPr>
        <w:tc>
          <w:tcPr>
            <w:tcW w:w="0" w:type="auto"/>
            <w:shd w:val="clear" w:color="auto" w:fill="DBE5F1"/>
            <w:vAlign w:val="center"/>
          </w:tcPr>
          <w:p w14:paraId="092D32B1" w14:textId="77777777" w:rsidR="00BA3B1C" w:rsidRPr="00404DA5" w:rsidRDefault="00BA3B1C" w:rsidP="00BA3B1C">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25FE55FE" w14:textId="77777777" w:rsidR="00BA3B1C" w:rsidRPr="00404DA5" w:rsidRDefault="00BA3B1C" w:rsidP="00BA3B1C">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2935B2C3" w14:textId="77777777" w:rsidR="00BA3B1C" w:rsidRPr="00404DA5" w:rsidRDefault="00BA3B1C" w:rsidP="00BA3B1C">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0C17B33E" w14:textId="77777777" w:rsidR="00BA3B1C" w:rsidRPr="00404DA5" w:rsidRDefault="00BA3B1C" w:rsidP="00BA3B1C">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0444012F" w14:textId="77777777" w:rsidR="00BA3B1C" w:rsidRPr="00404DA5" w:rsidRDefault="00BA3B1C" w:rsidP="00BA3B1C">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3FEE0945" w14:textId="77777777" w:rsidR="00BA3B1C" w:rsidRPr="00404DA5" w:rsidRDefault="00BA3B1C" w:rsidP="00BA3B1C">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29E66174" w14:textId="77777777" w:rsidR="00BA3B1C" w:rsidRPr="00404DA5" w:rsidRDefault="00BA3B1C" w:rsidP="00BA3B1C">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06355A43" w14:textId="77777777" w:rsidR="00BA3B1C" w:rsidRPr="00404DA5" w:rsidRDefault="00BA3B1C" w:rsidP="00BA3B1C">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47D47BE1" w14:textId="77777777" w:rsidR="00BA3B1C" w:rsidRPr="00404DA5" w:rsidRDefault="00BA3B1C" w:rsidP="00BA3B1C">
            <w:pPr>
              <w:jc w:val="center"/>
              <w:rPr>
                <w:rFonts w:cs="Calibri"/>
                <w:sz w:val="18"/>
                <w:szCs w:val="18"/>
              </w:rPr>
            </w:pPr>
            <w:r w:rsidRPr="00404DA5">
              <w:rPr>
                <w:rFonts w:cs="Calibri"/>
                <w:sz w:val="18"/>
                <w:szCs w:val="18"/>
              </w:rPr>
              <w:t>% realizacji wartości docelowej (wg WoP)</w:t>
            </w:r>
          </w:p>
        </w:tc>
      </w:tr>
      <w:tr w:rsidR="00BA3B1C" w:rsidRPr="005F320E" w14:paraId="1CD957EF" w14:textId="77777777" w:rsidTr="00BA3B1C">
        <w:tc>
          <w:tcPr>
            <w:tcW w:w="0" w:type="auto"/>
            <w:shd w:val="clear" w:color="auto" w:fill="auto"/>
            <w:vAlign w:val="center"/>
          </w:tcPr>
          <w:p w14:paraId="6E653D5E" w14:textId="77777777" w:rsidR="00BA3B1C" w:rsidRPr="00404DA5" w:rsidRDefault="00BA3B1C" w:rsidP="00BA3B1C">
            <w:pPr>
              <w:jc w:val="center"/>
              <w:rPr>
                <w:rFonts w:cs="Calibri"/>
                <w:sz w:val="18"/>
                <w:szCs w:val="18"/>
              </w:rPr>
            </w:pPr>
            <w:r w:rsidRPr="00404DA5">
              <w:rPr>
                <w:rFonts w:cs="Calibri"/>
                <w:sz w:val="18"/>
                <w:szCs w:val="18"/>
              </w:rPr>
              <w:t>WP</w:t>
            </w:r>
          </w:p>
        </w:tc>
        <w:tc>
          <w:tcPr>
            <w:tcW w:w="0" w:type="auto"/>
            <w:shd w:val="clear" w:color="auto" w:fill="auto"/>
            <w:vAlign w:val="center"/>
          </w:tcPr>
          <w:p w14:paraId="3CF02354" w14:textId="77777777" w:rsidR="00BA3B1C" w:rsidRPr="00404DA5" w:rsidRDefault="00BA3B1C" w:rsidP="00BA3B1C">
            <w:pPr>
              <w:jc w:val="center"/>
              <w:rPr>
                <w:rFonts w:cs="Calibri"/>
                <w:sz w:val="18"/>
                <w:szCs w:val="18"/>
              </w:rPr>
            </w:pPr>
            <w:r w:rsidRPr="00404DA5">
              <w:rPr>
                <w:rFonts w:cs="Calibri"/>
                <w:sz w:val="18"/>
                <w:szCs w:val="18"/>
              </w:rPr>
              <w:t>1a</w:t>
            </w:r>
          </w:p>
        </w:tc>
        <w:tc>
          <w:tcPr>
            <w:tcW w:w="0" w:type="auto"/>
            <w:shd w:val="clear" w:color="auto" w:fill="auto"/>
            <w:vAlign w:val="center"/>
          </w:tcPr>
          <w:p w14:paraId="638821CF" w14:textId="77777777" w:rsidR="00BA3B1C" w:rsidRPr="00404DA5" w:rsidRDefault="00BA3B1C" w:rsidP="00BA3B1C">
            <w:pPr>
              <w:jc w:val="center"/>
              <w:rPr>
                <w:rFonts w:cs="Calibri"/>
                <w:sz w:val="18"/>
                <w:szCs w:val="18"/>
              </w:rPr>
            </w:pPr>
            <w:r w:rsidRPr="00404DA5">
              <w:rPr>
                <w:rFonts w:cs="Calibri"/>
                <w:sz w:val="18"/>
                <w:szCs w:val="18"/>
              </w:rPr>
              <w:t xml:space="preserve">Liczba jednostek naukowych ponoszących nakłady inwestycyjne </w:t>
            </w:r>
            <w:r w:rsidRPr="00404DA5">
              <w:rPr>
                <w:rFonts w:cs="Calibri"/>
                <w:sz w:val="18"/>
                <w:szCs w:val="18"/>
              </w:rPr>
              <w:lastRenderedPageBreak/>
              <w:t>na działalność B+R</w:t>
            </w:r>
          </w:p>
        </w:tc>
        <w:tc>
          <w:tcPr>
            <w:tcW w:w="0" w:type="auto"/>
            <w:shd w:val="clear" w:color="auto" w:fill="auto"/>
            <w:vAlign w:val="center"/>
          </w:tcPr>
          <w:p w14:paraId="7885E94C" w14:textId="77777777" w:rsidR="00BA3B1C" w:rsidRPr="00404DA5" w:rsidRDefault="00BA3B1C" w:rsidP="00BA3B1C">
            <w:pPr>
              <w:jc w:val="center"/>
              <w:rPr>
                <w:rFonts w:cs="Calibri"/>
                <w:sz w:val="18"/>
                <w:szCs w:val="18"/>
              </w:rPr>
            </w:pPr>
            <w:r w:rsidRPr="00404DA5">
              <w:rPr>
                <w:rFonts w:cs="Calibri"/>
                <w:sz w:val="18"/>
                <w:szCs w:val="18"/>
              </w:rPr>
              <w:lastRenderedPageBreak/>
              <w:t>szt.</w:t>
            </w:r>
          </w:p>
        </w:tc>
        <w:tc>
          <w:tcPr>
            <w:tcW w:w="0" w:type="auto"/>
            <w:shd w:val="clear" w:color="auto" w:fill="auto"/>
            <w:vAlign w:val="center"/>
          </w:tcPr>
          <w:p w14:paraId="4454066A" w14:textId="77777777" w:rsidR="00BA3B1C" w:rsidRPr="00404DA5" w:rsidRDefault="00BA3B1C" w:rsidP="00BA3B1C">
            <w:pPr>
              <w:jc w:val="center"/>
              <w:rPr>
                <w:rFonts w:cs="Calibri"/>
                <w:sz w:val="18"/>
                <w:szCs w:val="18"/>
              </w:rPr>
            </w:pPr>
            <w:r w:rsidRPr="00404DA5">
              <w:rPr>
                <w:rFonts w:cs="Calibri"/>
                <w:sz w:val="18"/>
                <w:szCs w:val="18"/>
              </w:rPr>
              <w:t>3</w:t>
            </w:r>
          </w:p>
        </w:tc>
        <w:tc>
          <w:tcPr>
            <w:tcW w:w="0" w:type="auto"/>
            <w:shd w:val="clear" w:color="auto" w:fill="auto"/>
            <w:vAlign w:val="center"/>
          </w:tcPr>
          <w:p w14:paraId="6686E972" w14:textId="77777777" w:rsidR="00BA3B1C" w:rsidRPr="00404DA5" w:rsidRDefault="00BA3B1C" w:rsidP="00BA3B1C">
            <w:pPr>
              <w:jc w:val="center"/>
              <w:rPr>
                <w:rFonts w:cs="Calibri"/>
                <w:sz w:val="18"/>
                <w:szCs w:val="18"/>
              </w:rPr>
            </w:pPr>
            <w:r w:rsidRPr="00404DA5">
              <w:rPr>
                <w:rFonts w:cs="Calibri"/>
                <w:sz w:val="18"/>
                <w:szCs w:val="18"/>
              </w:rPr>
              <w:t>4</w:t>
            </w:r>
          </w:p>
        </w:tc>
        <w:tc>
          <w:tcPr>
            <w:tcW w:w="0" w:type="auto"/>
            <w:shd w:val="clear" w:color="auto" w:fill="auto"/>
            <w:vAlign w:val="center"/>
          </w:tcPr>
          <w:p w14:paraId="60B6AB8E" w14:textId="77777777" w:rsidR="00BA3B1C" w:rsidRPr="00404DA5" w:rsidRDefault="00BA3B1C" w:rsidP="00BA3B1C">
            <w:pPr>
              <w:jc w:val="center"/>
              <w:rPr>
                <w:rFonts w:cs="Calibri"/>
                <w:sz w:val="18"/>
                <w:szCs w:val="18"/>
              </w:rPr>
            </w:pPr>
            <w:r w:rsidRPr="00404DA5">
              <w:rPr>
                <w:rFonts w:cs="Calibri"/>
                <w:sz w:val="18"/>
                <w:szCs w:val="18"/>
              </w:rPr>
              <w:t>133,3%</w:t>
            </w:r>
          </w:p>
        </w:tc>
        <w:tc>
          <w:tcPr>
            <w:tcW w:w="0" w:type="auto"/>
            <w:shd w:val="clear" w:color="auto" w:fill="auto"/>
            <w:vAlign w:val="center"/>
          </w:tcPr>
          <w:p w14:paraId="5AE04B10"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69AC94E7" w14:textId="77777777" w:rsidR="00BA3B1C" w:rsidRPr="00404DA5" w:rsidRDefault="00BA3B1C" w:rsidP="00BA3B1C">
            <w:pPr>
              <w:jc w:val="center"/>
              <w:rPr>
                <w:rFonts w:cs="Calibri"/>
                <w:sz w:val="18"/>
                <w:szCs w:val="18"/>
              </w:rPr>
            </w:pPr>
            <w:r w:rsidRPr="00404DA5">
              <w:rPr>
                <w:rFonts w:cs="Calibri"/>
                <w:sz w:val="18"/>
                <w:szCs w:val="18"/>
              </w:rPr>
              <w:t>0%</w:t>
            </w:r>
          </w:p>
        </w:tc>
      </w:tr>
      <w:tr w:rsidR="00BA3B1C" w:rsidRPr="005F320E" w14:paraId="22138D97" w14:textId="77777777" w:rsidTr="00BA3B1C">
        <w:tc>
          <w:tcPr>
            <w:tcW w:w="0" w:type="auto"/>
            <w:shd w:val="clear" w:color="auto" w:fill="auto"/>
            <w:vAlign w:val="center"/>
          </w:tcPr>
          <w:p w14:paraId="590F2285" w14:textId="77777777" w:rsidR="00BA3B1C" w:rsidRPr="00404DA5" w:rsidRDefault="00BA3B1C" w:rsidP="00BA3B1C">
            <w:pPr>
              <w:jc w:val="center"/>
              <w:rPr>
                <w:sz w:val="18"/>
                <w:szCs w:val="18"/>
              </w:rPr>
            </w:pPr>
            <w:r w:rsidRPr="00404DA5">
              <w:rPr>
                <w:sz w:val="18"/>
                <w:szCs w:val="18"/>
              </w:rPr>
              <w:t>WR</w:t>
            </w:r>
          </w:p>
        </w:tc>
        <w:tc>
          <w:tcPr>
            <w:tcW w:w="0" w:type="auto"/>
            <w:shd w:val="clear" w:color="auto" w:fill="auto"/>
            <w:vAlign w:val="center"/>
          </w:tcPr>
          <w:p w14:paraId="34AC3916" w14:textId="77777777" w:rsidR="00BA3B1C" w:rsidRPr="00404DA5" w:rsidRDefault="00BA3B1C" w:rsidP="00BA3B1C">
            <w:pPr>
              <w:jc w:val="center"/>
              <w:rPr>
                <w:rFonts w:cs="Calibri"/>
                <w:sz w:val="18"/>
                <w:szCs w:val="18"/>
              </w:rPr>
            </w:pPr>
            <w:r w:rsidRPr="00404DA5">
              <w:rPr>
                <w:rFonts w:cs="Calibri"/>
                <w:sz w:val="18"/>
                <w:szCs w:val="18"/>
              </w:rPr>
              <w:t>1a</w:t>
            </w:r>
          </w:p>
        </w:tc>
        <w:tc>
          <w:tcPr>
            <w:tcW w:w="0" w:type="auto"/>
            <w:shd w:val="clear" w:color="auto" w:fill="auto"/>
            <w:vAlign w:val="center"/>
          </w:tcPr>
          <w:p w14:paraId="4E16C2A1" w14:textId="77777777" w:rsidR="00BA3B1C" w:rsidRPr="00404DA5" w:rsidRDefault="00BA3B1C" w:rsidP="00BA3B1C">
            <w:pPr>
              <w:jc w:val="center"/>
              <w:rPr>
                <w:rFonts w:cs="Calibri"/>
                <w:sz w:val="18"/>
                <w:szCs w:val="18"/>
              </w:rPr>
            </w:pPr>
            <w:r w:rsidRPr="00404DA5">
              <w:rPr>
                <w:rFonts w:cs="Calibri"/>
                <w:sz w:val="18"/>
                <w:szCs w:val="18"/>
              </w:rPr>
              <w:t>Liczba naukowców pracujących</w:t>
            </w:r>
            <w:r w:rsidR="00E66B89">
              <w:rPr>
                <w:rFonts w:cs="Calibri"/>
                <w:sz w:val="18"/>
                <w:szCs w:val="18"/>
              </w:rPr>
              <w:t xml:space="preserve"> w </w:t>
            </w:r>
            <w:r w:rsidRPr="00404DA5">
              <w:rPr>
                <w:rFonts w:cs="Calibri"/>
                <w:sz w:val="18"/>
                <w:szCs w:val="18"/>
              </w:rPr>
              <w:t>ulepszonych obiektach infrastruktury badawczej</w:t>
            </w:r>
          </w:p>
        </w:tc>
        <w:tc>
          <w:tcPr>
            <w:tcW w:w="0" w:type="auto"/>
            <w:shd w:val="clear" w:color="auto" w:fill="auto"/>
            <w:vAlign w:val="center"/>
          </w:tcPr>
          <w:p w14:paraId="5A3578D2" w14:textId="77777777" w:rsidR="00BA3B1C" w:rsidRPr="00404DA5" w:rsidRDefault="00BA3B1C" w:rsidP="00BA3B1C">
            <w:pPr>
              <w:jc w:val="center"/>
              <w:rPr>
                <w:rFonts w:cs="Calibri"/>
                <w:sz w:val="18"/>
                <w:szCs w:val="18"/>
              </w:rPr>
            </w:pPr>
            <w:r w:rsidRPr="00404DA5">
              <w:rPr>
                <w:rFonts w:cs="Calibri"/>
                <w:sz w:val="18"/>
                <w:szCs w:val="18"/>
              </w:rPr>
              <w:t>EPC</w:t>
            </w:r>
          </w:p>
        </w:tc>
        <w:tc>
          <w:tcPr>
            <w:tcW w:w="0" w:type="auto"/>
            <w:shd w:val="clear" w:color="auto" w:fill="auto"/>
            <w:vAlign w:val="center"/>
          </w:tcPr>
          <w:p w14:paraId="5069046D" w14:textId="77777777" w:rsidR="00BA3B1C" w:rsidRPr="00404DA5" w:rsidRDefault="00BA3B1C" w:rsidP="00BA3B1C">
            <w:pPr>
              <w:jc w:val="center"/>
              <w:rPr>
                <w:rFonts w:cs="Calibri"/>
                <w:sz w:val="18"/>
                <w:szCs w:val="18"/>
              </w:rPr>
            </w:pPr>
            <w:r w:rsidRPr="00404DA5">
              <w:rPr>
                <w:rFonts w:cs="Calibri"/>
                <w:sz w:val="18"/>
                <w:szCs w:val="18"/>
              </w:rPr>
              <w:t>41</w:t>
            </w:r>
          </w:p>
        </w:tc>
        <w:tc>
          <w:tcPr>
            <w:tcW w:w="0" w:type="auto"/>
            <w:shd w:val="clear" w:color="auto" w:fill="auto"/>
            <w:vAlign w:val="center"/>
          </w:tcPr>
          <w:p w14:paraId="67DBB844" w14:textId="77777777" w:rsidR="00BA3B1C" w:rsidRPr="00404DA5" w:rsidRDefault="00BA3B1C" w:rsidP="00BA3B1C">
            <w:pPr>
              <w:jc w:val="center"/>
              <w:rPr>
                <w:rFonts w:cs="Calibri"/>
                <w:sz w:val="18"/>
                <w:szCs w:val="18"/>
              </w:rPr>
            </w:pPr>
            <w:r w:rsidRPr="00404DA5">
              <w:rPr>
                <w:rFonts w:cs="Calibri"/>
                <w:sz w:val="18"/>
                <w:szCs w:val="18"/>
              </w:rPr>
              <w:t>19</w:t>
            </w:r>
          </w:p>
        </w:tc>
        <w:tc>
          <w:tcPr>
            <w:tcW w:w="0" w:type="auto"/>
            <w:shd w:val="clear" w:color="auto" w:fill="auto"/>
            <w:vAlign w:val="center"/>
          </w:tcPr>
          <w:p w14:paraId="7338ED67" w14:textId="77777777" w:rsidR="00BA3B1C" w:rsidRPr="00404DA5" w:rsidRDefault="00BA3B1C" w:rsidP="00BA3B1C">
            <w:pPr>
              <w:jc w:val="center"/>
              <w:rPr>
                <w:rFonts w:cs="Calibri"/>
                <w:sz w:val="18"/>
                <w:szCs w:val="18"/>
              </w:rPr>
            </w:pPr>
            <w:r w:rsidRPr="00404DA5">
              <w:rPr>
                <w:rFonts w:cs="Calibri"/>
                <w:sz w:val="18"/>
                <w:szCs w:val="18"/>
              </w:rPr>
              <w:t>46,3%</w:t>
            </w:r>
          </w:p>
        </w:tc>
        <w:tc>
          <w:tcPr>
            <w:tcW w:w="0" w:type="auto"/>
            <w:shd w:val="clear" w:color="auto" w:fill="auto"/>
            <w:vAlign w:val="center"/>
          </w:tcPr>
          <w:p w14:paraId="69F88D6A"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7F56053A" w14:textId="77777777" w:rsidR="00BA3B1C" w:rsidRPr="00404DA5" w:rsidRDefault="00BA3B1C" w:rsidP="00BA3B1C">
            <w:pPr>
              <w:jc w:val="center"/>
              <w:rPr>
                <w:rFonts w:cs="Calibri"/>
                <w:sz w:val="18"/>
                <w:szCs w:val="18"/>
              </w:rPr>
            </w:pPr>
            <w:r w:rsidRPr="00404DA5">
              <w:rPr>
                <w:rFonts w:cs="Calibri"/>
                <w:sz w:val="18"/>
                <w:szCs w:val="18"/>
              </w:rPr>
              <w:t>0%</w:t>
            </w:r>
          </w:p>
        </w:tc>
      </w:tr>
      <w:tr w:rsidR="00BA3B1C" w:rsidRPr="005F320E" w14:paraId="1423AE52" w14:textId="77777777" w:rsidTr="00BA3B1C">
        <w:tc>
          <w:tcPr>
            <w:tcW w:w="0" w:type="auto"/>
            <w:shd w:val="clear" w:color="auto" w:fill="auto"/>
            <w:vAlign w:val="center"/>
          </w:tcPr>
          <w:p w14:paraId="632B95B9" w14:textId="77777777" w:rsidR="00BA3B1C" w:rsidRPr="00404DA5" w:rsidRDefault="00BA3B1C" w:rsidP="00BA3B1C">
            <w:pPr>
              <w:jc w:val="center"/>
              <w:rPr>
                <w:sz w:val="18"/>
                <w:szCs w:val="18"/>
              </w:rPr>
            </w:pPr>
            <w:r w:rsidRPr="00404DA5">
              <w:rPr>
                <w:sz w:val="18"/>
                <w:szCs w:val="18"/>
              </w:rPr>
              <w:t>WP</w:t>
            </w:r>
          </w:p>
        </w:tc>
        <w:tc>
          <w:tcPr>
            <w:tcW w:w="0" w:type="auto"/>
            <w:shd w:val="clear" w:color="auto" w:fill="auto"/>
            <w:vAlign w:val="center"/>
          </w:tcPr>
          <w:p w14:paraId="1A1BB912" w14:textId="77777777" w:rsidR="00BA3B1C" w:rsidRPr="00404DA5" w:rsidRDefault="00BA3B1C" w:rsidP="00BA3B1C">
            <w:pPr>
              <w:jc w:val="center"/>
              <w:rPr>
                <w:rFonts w:cs="Calibri"/>
                <w:bCs/>
                <w:sz w:val="18"/>
                <w:szCs w:val="18"/>
              </w:rPr>
            </w:pPr>
            <w:r w:rsidRPr="00404DA5">
              <w:rPr>
                <w:rFonts w:cs="Calibri"/>
                <w:bCs/>
                <w:sz w:val="18"/>
                <w:szCs w:val="18"/>
              </w:rPr>
              <w:t>1a</w:t>
            </w:r>
          </w:p>
        </w:tc>
        <w:tc>
          <w:tcPr>
            <w:tcW w:w="0" w:type="auto"/>
            <w:shd w:val="clear" w:color="auto" w:fill="auto"/>
            <w:vAlign w:val="center"/>
          </w:tcPr>
          <w:p w14:paraId="3497995E" w14:textId="77777777" w:rsidR="00BA3B1C" w:rsidRPr="00404DA5" w:rsidRDefault="00BA3B1C" w:rsidP="00BA3B1C">
            <w:pPr>
              <w:jc w:val="center"/>
              <w:rPr>
                <w:rFonts w:cs="Calibri"/>
                <w:bCs/>
                <w:sz w:val="18"/>
                <w:szCs w:val="18"/>
              </w:rPr>
            </w:pPr>
            <w:r w:rsidRPr="00404DA5">
              <w:rPr>
                <w:rFonts w:cs="Calibri"/>
                <w:bCs/>
                <w:sz w:val="18"/>
                <w:szCs w:val="18"/>
              </w:rPr>
              <w:t>Inwestycje prywatne uzupełniające wsparcie publiczne</w:t>
            </w:r>
            <w:r w:rsidR="00E66B89">
              <w:rPr>
                <w:rFonts w:cs="Calibri"/>
                <w:bCs/>
                <w:sz w:val="18"/>
                <w:szCs w:val="18"/>
              </w:rPr>
              <w:t xml:space="preserve"> w </w:t>
            </w:r>
            <w:r w:rsidRPr="00404DA5">
              <w:rPr>
                <w:rFonts w:cs="Calibri"/>
                <w:bCs/>
                <w:sz w:val="18"/>
                <w:szCs w:val="18"/>
              </w:rPr>
              <w:t>projekty</w:t>
            </w:r>
            <w:r w:rsidR="00E66B89">
              <w:rPr>
                <w:rFonts w:cs="Calibri"/>
                <w:bCs/>
                <w:sz w:val="18"/>
                <w:szCs w:val="18"/>
              </w:rPr>
              <w:t xml:space="preserve"> w </w:t>
            </w:r>
            <w:r w:rsidRPr="00404DA5">
              <w:rPr>
                <w:rFonts w:cs="Calibri"/>
                <w:bCs/>
                <w:sz w:val="18"/>
                <w:szCs w:val="18"/>
              </w:rPr>
              <w:t>zakresie innowacji lub badań</w:t>
            </w:r>
            <w:r w:rsidR="00E66B89">
              <w:rPr>
                <w:rFonts w:cs="Calibri"/>
                <w:bCs/>
                <w:sz w:val="18"/>
                <w:szCs w:val="18"/>
              </w:rPr>
              <w:t xml:space="preserve"> i </w:t>
            </w:r>
            <w:r w:rsidRPr="00404DA5">
              <w:rPr>
                <w:rFonts w:cs="Calibri"/>
                <w:bCs/>
                <w:sz w:val="18"/>
                <w:szCs w:val="18"/>
              </w:rPr>
              <w:t>rozwoju</w:t>
            </w:r>
          </w:p>
        </w:tc>
        <w:tc>
          <w:tcPr>
            <w:tcW w:w="0" w:type="auto"/>
            <w:shd w:val="clear" w:color="auto" w:fill="auto"/>
            <w:vAlign w:val="center"/>
          </w:tcPr>
          <w:p w14:paraId="36E37CF9" w14:textId="77777777" w:rsidR="00BA3B1C" w:rsidRPr="00404DA5" w:rsidRDefault="00BA3B1C" w:rsidP="00BA3B1C">
            <w:pPr>
              <w:jc w:val="center"/>
              <w:rPr>
                <w:rFonts w:cs="Calibri"/>
                <w:bCs/>
                <w:sz w:val="18"/>
                <w:szCs w:val="18"/>
              </w:rPr>
            </w:pPr>
            <w:r w:rsidRPr="00404DA5">
              <w:rPr>
                <w:rFonts w:cs="Calibri"/>
                <w:bCs/>
                <w:sz w:val="18"/>
                <w:szCs w:val="18"/>
              </w:rPr>
              <w:t>EUR</w:t>
            </w:r>
          </w:p>
        </w:tc>
        <w:tc>
          <w:tcPr>
            <w:tcW w:w="0" w:type="auto"/>
            <w:shd w:val="clear" w:color="auto" w:fill="auto"/>
            <w:vAlign w:val="center"/>
          </w:tcPr>
          <w:p w14:paraId="503E1D6B" w14:textId="77777777" w:rsidR="00BA3B1C" w:rsidRPr="00404DA5" w:rsidRDefault="00BA3B1C" w:rsidP="00BA3B1C">
            <w:pPr>
              <w:jc w:val="center"/>
              <w:rPr>
                <w:rFonts w:cs="Calibri"/>
                <w:sz w:val="18"/>
                <w:szCs w:val="18"/>
              </w:rPr>
            </w:pPr>
            <w:r w:rsidRPr="00404DA5">
              <w:rPr>
                <w:rFonts w:cs="Calibri"/>
                <w:sz w:val="18"/>
                <w:szCs w:val="18"/>
              </w:rPr>
              <w:t>2 044 620</w:t>
            </w:r>
          </w:p>
        </w:tc>
        <w:tc>
          <w:tcPr>
            <w:tcW w:w="0" w:type="auto"/>
            <w:shd w:val="clear" w:color="auto" w:fill="auto"/>
            <w:vAlign w:val="center"/>
          </w:tcPr>
          <w:p w14:paraId="79FB7E37"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4025F6D9"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0B7BA7D8" w14:textId="77777777" w:rsidR="00BA3B1C" w:rsidRPr="00404DA5" w:rsidRDefault="00BA3B1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21E2C81C" w14:textId="77777777" w:rsidR="00BA3B1C" w:rsidRPr="00404DA5" w:rsidRDefault="00BA3B1C" w:rsidP="00BA3B1C">
            <w:pPr>
              <w:jc w:val="center"/>
              <w:rPr>
                <w:rFonts w:cs="Calibri"/>
                <w:sz w:val="18"/>
                <w:szCs w:val="18"/>
              </w:rPr>
            </w:pPr>
            <w:r w:rsidRPr="00404DA5">
              <w:rPr>
                <w:rFonts w:cs="Calibri"/>
                <w:sz w:val="18"/>
                <w:szCs w:val="18"/>
              </w:rPr>
              <w:t>0%</w:t>
            </w:r>
          </w:p>
        </w:tc>
      </w:tr>
    </w:tbl>
    <w:p w14:paraId="37E33297" w14:textId="77777777" w:rsidR="00BA3B1C" w:rsidRPr="002A5FDF" w:rsidRDefault="00BA3B1C" w:rsidP="00C22C26">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obliczenia własne na podstawie danych SL2014 na dzień 07.01.2019 r.</w:t>
      </w:r>
    </w:p>
    <w:p w14:paraId="2218AA8B" w14:textId="77777777" w:rsidR="00BA3B1C" w:rsidRPr="00404DA5" w:rsidRDefault="00BA3B1C" w:rsidP="00BA3B1C">
      <w:pPr>
        <w:spacing w:after="200" w:line="276" w:lineRule="auto"/>
        <w:rPr>
          <w:rFonts w:cs="Calibri"/>
          <w:szCs w:val="20"/>
        </w:rPr>
      </w:pPr>
      <w:r w:rsidRPr="00EF3F5C">
        <w:rPr>
          <w:rFonts w:cs="Calibri"/>
          <w:szCs w:val="20"/>
        </w:rPr>
        <w:t xml:space="preserve">Wpływ na </w:t>
      </w:r>
      <w:r>
        <w:rPr>
          <w:rFonts w:cs="Calibri"/>
          <w:szCs w:val="20"/>
        </w:rPr>
        <w:t>postęp</w:t>
      </w:r>
      <w:r w:rsidRPr="00EF3F5C">
        <w:rPr>
          <w:rFonts w:cs="Calibri"/>
          <w:szCs w:val="20"/>
        </w:rPr>
        <w:t xml:space="preserve"> rzecz</w:t>
      </w:r>
      <w:r>
        <w:rPr>
          <w:rFonts w:cs="Calibri"/>
          <w:szCs w:val="20"/>
        </w:rPr>
        <w:t>owy</w:t>
      </w:r>
      <w:r w:rsidRPr="00EF3F5C">
        <w:rPr>
          <w:rFonts w:cs="Calibri"/>
          <w:szCs w:val="20"/>
        </w:rPr>
        <w:t xml:space="preserve"> m</w:t>
      </w:r>
      <w:r>
        <w:rPr>
          <w:rFonts w:cs="Calibri"/>
          <w:szCs w:val="20"/>
        </w:rPr>
        <w:t>oże mieć</w:t>
      </w:r>
      <w:r w:rsidRPr="00EF3F5C">
        <w:rPr>
          <w:rFonts w:cs="Calibri"/>
          <w:szCs w:val="20"/>
        </w:rPr>
        <w:t xml:space="preserve"> kilka czynników</w:t>
      </w:r>
      <w:r>
        <w:rPr>
          <w:rFonts w:cs="Calibri"/>
          <w:szCs w:val="20"/>
        </w:rPr>
        <w:t xml:space="preserve"> wśród których</w:t>
      </w:r>
      <w:r w:rsidRPr="00EF3F5C" w:rsidDel="00EF3F5C">
        <w:rPr>
          <w:rFonts w:cs="Calibri"/>
          <w:szCs w:val="20"/>
        </w:rPr>
        <w:t xml:space="preserve"> </w:t>
      </w:r>
      <w:r w:rsidRPr="00404DA5">
        <w:rPr>
          <w:rFonts w:cs="Calibri"/>
          <w:szCs w:val="20"/>
        </w:rPr>
        <w:t>można wskazać</w:t>
      </w:r>
      <w:r>
        <w:rPr>
          <w:rFonts w:cs="Calibri"/>
          <w:szCs w:val="20"/>
        </w:rPr>
        <w:t xml:space="preserve"> następujące:</w:t>
      </w:r>
      <w:r w:rsidRPr="00404DA5">
        <w:rPr>
          <w:rFonts w:cs="Calibri"/>
          <w:szCs w:val="20"/>
        </w:rPr>
        <w:t xml:space="preserve"> duży stopień proceduralnej trudności związany</w:t>
      </w:r>
      <w:r w:rsidR="00E66B89">
        <w:rPr>
          <w:rFonts w:cs="Calibri"/>
          <w:szCs w:val="20"/>
        </w:rPr>
        <w:t xml:space="preserve"> z </w:t>
      </w:r>
      <w:r w:rsidRPr="00404DA5">
        <w:rPr>
          <w:rFonts w:cs="Calibri"/>
          <w:szCs w:val="20"/>
        </w:rPr>
        <w:t xml:space="preserve">wdrażaniem projektu, gdzie jego część musi być przeznaczona do wykorzystania gospodarczego, pozyskani partnerzy gospodarczy, </w:t>
      </w:r>
      <w:r>
        <w:rPr>
          <w:rFonts w:cs="Calibri"/>
          <w:szCs w:val="20"/>
        </w:rPr>
        <w:t xml:space="preserve">długi </w:t>
      </w:r>
      <w:r w:rsidRPr="00404DA5">
        <w:rPr>
          <w:rFonts w:cs="Calibri"/>
          <w:szCs w:val="20"/>
        </w:rPr>
        <w:t>proces inwestycyjny związany</w:t>
      </w:r>
      <w:r w:rsidR="00E66B89">
        <w:rPr>
          <w:rFonts w:cs="Calibri"/>
          <w:szCs w:val="20"/>
        </w:rPr>
        <w:t xml:space="preserve"> z </w:t>
      </w:r>
      <w:r w:rsidRPr="00404DA5">
        <w:rPr>
          <w:rFonts w:cs="Calibri"/>
          <w:szCs w:val="20"/>
        </w:rPr>
        <w:t xml:space="preserve">realizacją projektów, co utrudnia prowadzenie rzetelnej kalkulacji finansowej dla projektu. </w:t>
      </w:r>
      <w:r>
        <w:rPr>
          <w:rFonts w:cs="Calibri"/>
          <w:szCs w:val="20"/>
        </w:rPr>
        <w:t>Ponadto</w:t>
      </w:r>
      <w:r w:rsidRPr="00404DA5">
        <w:rPr>
          <w:rFonts w:cs="Calibri"/>
          <w:szCs w:val="20"/>
        </w:rPr>
        <w:t>, niedawno wprowadzona reforma systemu nauki</w:t>
      </w:r>
      <w:r w:rsidR="00E66B89">
        <w:rPr>
          <w:rFonts w:cs="Calibri"/>
          <w:szCs w:val="20"/>
        </w:rPr>
        <w:t xml:space="preserve"> i </w:t>
      </w:r>
      <w:r w:rsidRPr="00404DA5">
        <w:rPr>
          <w:rFonts w:cs="Calibri"/>
          <w:szCs w:val="20"/>
        </w:rPr>
        <w:t>szkolnictwa wyższego, ściślej wiążąca system oceny parametrycznej uczelni</w:t>
      </w:r>
      <w:r w:rsidR="00E66B89">
        <w:rPr>
          <w:rFonts w:cs="Calibri"/>
          <w:szCs w:val="20"/>
        </w:rPr>
        <w:t xml:space="preserve"> i </w:t>
      </w:r>
      <w:r w:rsidRPr="00404DA5">
        <w:rPr>
          <w:rFonts w:cs="Calibri"/>
          <w:szCs w:val="20"/>
        </w:rPr>
        <w:t>jej pracowników</w:t>
      </w:r>
      <w:r w:rsidR="00E66B89">
        <w:rPr>
          <w:rFonts w:cs="Calibri"/>
          <w:szCs w:val="20"/>
        </w:rPr>
        <w:t xml:space="preserve"> z </w:t>
      </w:r>
      <w:r w:rsidRPr="00404DA5">
        <w:rPr>
          <w:rFonts w:cs="Calibri"/>
          <w:szCs w:val="20"/>
        </w:rPr>
        <w:t>oceną współpracy</w:t>
      </w:r>
      <w:r w:rsidR="00E66B89">
        <w:rPr>
          <w:rFonts w:cs="Calibri"/>
          <w:szCs w:val="20"/>
        </w:rPr>
        <w:t xml:space="preserve"> z </w:t>
      </w:r>
      <w:r w:rsidRPr="00404DA5">
        <w:rPr>
          <w:rFonts w:cs="Calibri"/>
          <w:szCs w:val="20"/>
        </w:rPr>
        <w:t>sektorem gospodarczym dopiero początkuje zmiany, jakim będą podlegały uczelnie, nie jest jednak</w:t>
      </w:r>
      <w:r w:rsidR="00E66B89">
        <w:rPr>
          <w:rFonts w:cs="Calibri"/>
          <w:szCs w:val="20"/>
        </w:rPr>
        <w:t xml:space="preserve"> w </w:t>
      </w:r>
      <w:r w:rsidRPr="00404DA5">
        <w:rPr>
          <w:rFonts w:cs="Calibri"/>
          <w:szCs w:val="20"/>
        </w:rPr>
        <w:t>stanie zmienić</w:t>
      </w:r>
      <w:r w:rsidR="00E66B89">
        <w:rPr>
          <w:rFonts w:cs="Calibri"/>
          <w:szCs w:val="20"/>
        </w:rPr>
        <w:t xml:space="preserve"> z </w:t>
      </w:r>
      <w:r w:rsidRPr="00404DA5">
        <w:rPr>
          <w:rFonts w:cs="Calibri"/>
          <w:szCs w:val="20"/>
        </w:rPr>
        <w:t>dnia na dzień podejścia władz uczelni do aktywnego poszukiwania źródeł finansowania poza systemem nauki</w:t>
      </w:r>
      <w:r w:rsidR="00E66B89">
        <w:rPr>
          <w:rFonts w:cs="Calibri"/>
          <w:szCs w:val="20"/>
        </w:rPr>
        <w:t xml:space="preserve"> i </w:t>
      </w:r>
      <w:r w:rsidRPr="00404DA5">
        <w:rPr>
          <w:rFonts w:cs="Calibri"/>
          <w:szCs w:val="20"/>
        </w:rPr>
        <w:t>szkolnictwa wyższego. Utrzymywanie wysokiej dotacji ministerialnej (statutowej) do prowadzonej przez uczelnie działalności (głównie naukowej</w:t>
      </w:r>
      <w:r w:rsidR="00E66B89">
        <w:rPr>
          <w:rFonts w:cs="Calibri"/>
          <w:szCs w:val="20"/>
        </w:rPr>
        <w:t xml:space="preserve"> i </w:t>
      </w:r>
      <w:r w:rsidRPr="00404DA5">
        <w:rPr>
          <w:rFonts w:cs="Calibri"/>
          <w:szCs w:val="20"/>
        </w:rPr>
        <w:t>dydaktycznej) nie tworzy bodźców do ich transformacji</w:t>
      </w:r>
      <w:r w:rsidR="00E66B89">
        <w:rPr>
          <w:rFonts w:cs="Calibri"/>
          <w:szCs w:val="20"/>
        </w:rPr>
        <w:t xml:space="preserve"> w </w:t>
      </w:r>
      <w:r w:rsidRPr="00404DA5">
        <w:rPr>
          <w:rFonts w:cs="Calibri"/>
          <w:szCs w:val="20"/>
        </w:rPr>
        <w:t>kierunku nawiązywania bliższych relacji</w:t>
      </w:r>
      <w:r w:rsidR="00E66B89">
        <w:rPr>
          <w:rFonts w:cs="Calibri"/>
          <w:szCs w:val="20"/>
        </w:rPr>
        <w:t xml:space="preserve"> z </w:t>
      </w:r>
      <w:r w:rsidRPr="00404DA5">
        <w:rPr>
          <w:rFonts w:cs="Calibri"/>
          <w:szCs w:val="20"/>
        </w:rPr>
        <w:t>sektorem gospodarczym</w:t>
      </w:r>
      <w:r w:rsidR="00E66B89">
        <w:rPr>
          <w:rFonts w:cs="Calibri"/>
          <w:szCs w:val="20"/>
        </w:rPr>
        <w:t xml:space="preserve"> i </w:t>
      </w:r>
      <w:r w:rsidRPr="00404DA5">
        <w:rPr>
          <w:rFonts w:cs="Calibri"/>
          <w:szCs w:val="20"/>
        </w:rPr>
        <w:t>poszukiwania</w:t>
      </w:r>
      <w:r w:rsidR="00E66B89">
        <w:rPr>
          <w:rFonts w:cs="Calibri"/>
          <w:szCs w:val="20"/>
        </w:rPr>
        <w:t xml:space="preserve"> w </w:t>
      </w:r>
      <w:r w:rsidRPr="00404DA5">
        <w:rPr>
          <w:rFonts w:cs="Calibri"/>
          <w:szCs w:val="20"/>
        </w:rPr>
        <w:t xml:space="preserve">tym obszarze źródeł generowania dochodów. </w:t>
      </w:r>
    </w:p>
    <w:p w14:paraId="27534840" w14:textId="77777777" w:rsidR="00BA3B1C" w:rsidRPr="00404DA5" w:rsidRDefault="00BA3B1C" w:rsidP="00BA3B1C">
      <w:pPr>
        <w:spacing w:after="200" w:line="276" w:lineRule="auto"/>
        <w:rPr>
          <w:rFonts w:cs="Calibri"/>
          <w:szCs w:val="20"/>
        </w:rPr>
      </w:pPr>
      <w:r w:rsidRPr="00404DA5">
        <w:rPr>
          <w:rFonts w:cs="Calibri"/>
          <w:szCs w:val="20"/>
        </w:rPr>
        <w:t>Problemem</w:t>
      </w:r>
      <w:r w:rsidR="00E66B89">
        <w:rPr>
          <w:rFonts w:cs="Calibri"/>
          <w:szCs w:val="20"/>
        </w:rPr>
        <w:t xml:space="preserve"> w </w:t>
      </w:r>
      <w:r w:rsidRPr="00404DA5">
        <w:rPr>
          <w:rFonts w:cs="Calibri"/>
          <w:szCs w:val="20"/>
        </w:rPr>
        <w:t>tej sytuacji staje się także konieczność zapewnienia wkładu własnego</w:t>
      </w:r>
      <w:r w:rsidR="00E66B89">
        <w:rPr>
          <w:rFonts w:cs="Calibri"/>
          <w:szCs w:val="20"/>
        </w:rPr>
        <w:t xml:space="preserve"> w </w:t>
      </w:r>
      <w:r w:rsidRPr="00404DA5">
        <w:rPr>
          <w:rFonts w:cs="Calibri"/>
          <w:szCs w:val="20"/>
        </w:rPr>
        <w:t>wysokości 15% na realizację projektów objętych wsparciem, co wobec ogólnie dużej niepewności,</w:t>
      </w:r>
      <w:r w:rsidR="00E66B89">
        <w:rPr>
          <w:rFonts w:cs="Calibri"/>
          <w:szCs w:val="20"/>
        </w:rPr>
        <w:t xml:space="preserve"> w </w:t>
      </w:r>
      <w:r w:rsidRPr="00404DA5">
        <w:rPr>
          <w:rFonts w:cs="Calibri"/>
          <w:szCs w:val="20"/>
        </w:rPr>
        <w:t>jakiej obecnie działają uczelnie sprawia, że racjonalizują one wydatki (co wpływa na wartość realizowanych projektów),</w:t>
      </w:r>
      <w:r w:rsidR="00E66B89">
        <w:rPr>
          <w:rFonts w:cs="Calibri"/>
          <w:szCs w:val="20"/>
        </w:rPr>
        <w:t xml:space="preserve"> a w </w:t>
      </w:r>
      <w:r w:rsidRPr="00404DA5">
        <w:rPr>
          <w:rFonts w:cs="Calibri"/>
          <w:szCs w:val="20"/>
        </w:rPr>
        <w:t>wielu sytuacjach powstrzymują się od angażowania</w:t>
      </w:r>
      <w:r w:rsidR="00E66B89">
        <w:rPr>
          <w:rFonts w:cs="Calibri"/>
          <w:szCs w:val="20"/>
        </w:rPr>
        <w:t xml:space="preserve"> w </w:t>
      </w:r>
      <w:r w:rsidRPr="00404DA5">
        <w:rPr>
          <w:rFonts w:cs="Calibri"/>
          <w:szCs w:val="20"/>
        </w:rPr>
        <w:t xml:space="preserve">przedsięwzięcia obarczone dość wysokim ryzykiem. </w:t>
      </w:r>
    </w:p>
    <w:p w14:paraId="41078A1B" w14:textId="77777777" w:rsidR="00BA3B1C" w:rsidRPr="00404DA5" w:rsidRDefault="00BA3B1C" w:rsidP="00BA3B1C">
      <w:pPr>
        <w:spacing w:after="200" w:line="276" w:lineRule="auto"/>
        <w:rPr>
          <w:rFonts w:cs="Calibri"/>
          <w:szCs w:val="20"/>
        </w:rPr>
      </w:pPr>
      <w:r w:rsidRPr="00404DA5">
        <w:rPr>
          <w:rFonts w:cs="Calibri"/>
          <w:szCs w:val="20"/>
        </w:rPr>
        <w:t xml:space="preserve">W przypadku wskaźnika rezultatu bezpośredniego </w:t>
      </w:r>
      <w:r w:rsidRPr="00EF3F5C">
        <w:rPr>
          <w:rFonts w:cs="Calibri"/>
          <w:i/>
          <w:szCs w:val="20"/>
        </w:rPr>
        <w:t>Liczba naukowców pracujących</w:t>
      </w:r>
      <w:r w:rsidR="00E66B89">
        <w:rPr>
          <w:rFonts w:cs="Calibri"/>
          <w:i/>
          <w:szCs w:val="20"/>
        </w:rPr>
        <w:t xml:space="preserve"> w </w:t>
      </w:r>
      <w:r w:rsidRPr="00EF3F5C">
        <w:rPr>
          <w:rFonts w:cs="Calibri"/>
          <w:i/>
          <w:szCs w:val="20"/>
        </w:rPr>
        <w:t>ulepszonych obiektach infrastruktury badawczej</w:t>
      </w:r>
      <w:r w:rsidRPr="00404DA5">
        <w:rPr>
          <w:rFonts w:cs="Calibri"/>
          <w:szCs w:val="20"/>
        </w:rPr>
        <w:t xml:space="preserve"> osiągnięty poziom realizacji wartości docelowej na podstawie UoD to 46,3%. Metodologia szacowania wartości docelowej dla tego wskaźnika zakładała jego bezpośrednie powiązanie ze wskaźnikiem </w:t>
      </w:r>
      <w:r w:rsidRPr="00EF3F5C">
        <w:rPr>
          <w:rFonts w:cs="Calibri"/>
          <w:i/>
          <w:szCs w:val="20"/>
        </w:rPr>
        <w:t xml:space="preserve">Liczby jednostek naukowych ponoszących nakłady inwestycyjne na działalność </w:t>
      </w:r>
      <w:r w:rsidRPr="00EF3F5C">
        <w:rPr>
          <w:rFonts w:cs="Calibri"/>
          <w:i/>
          <w:szCs w:val="20"/>
        </w:rPr>
        <w:lastRenderedPageBreak/>
        <w:t>B+R</w:t>
      </w:r>
      <w:r w:rsidRPr="00404DA5">
        <w:rPr>
          <w:rFonts w:cs="Calibri"/>
          <w:szCs w:val="20"/>
        </w:rPr>
        <w:t xml:space="preserve">. Tak więc niedoszacowanie wartości wskaźnika </w:t>
      </w:r>
      <w:r w:rsidRPr="00EF3F5C">
        <w:rPr>
          <w:rFonts w:cs="Calibri"/>
          <w:i/>
          <w:szCs w:val="20"/>
        </w:rPr>
        <w:t>Liczby jednostek naukowych</w:t>
      </w:r>
      <w:r w:rsidRPr="00404DA5">
        <w:rPr>
          <w:rFonts w:cs="Calibri"/>
          <w:szCs w:val="20"/>
        </w:rPr>
        <w:t xml:space="preserve"> może się też przekładać na względną łatwość realizacji wskaźnika </w:t>
      </w:r>
      <w:r w:rsidRPr="00EF3F5C">
        <w:rPr>
          <w:rFonts w:cs="Calibri"/>
          <w:i/>
          <w:szCs w:val="20"/>
        </w:rPr>
        <w:t>Liczby naukowców pracujących</w:t>
      </w:r>
      <w:r w:rsidR="00E66B89">
        <w:rPr>
          <w:rFonts w:cs="Calibri"/>
          <w:i/>
          <w:szCs w:val="20"/>
        </w:rPr>
        <w:t xml:space="preserve"> w </w:t>
      </w:r>
      <w:r w:rsidRPr="00EF3F5C">
        <w:rPr>
          <w:rFonts w:cs="Calibri"/>
          <w:i/>
          <w:szCs w:val="20"/>
        </w:rPr>
        <w:t>ulepszonych obiektach infrastruktury badawczej</w:t>
      </w:r>
      <w:r w:rsidRPr="00404DA5">
        <w:rPr>
          <w:rFonts w:cs="Calibri"/>
          <w:szCs w:val="20"/>
        </w:rPr>
        <w:t xml:space="preserve">. </w:t>
      </w:r>
    </w:p>
    <w:p w14:paraId="5949F2E4" w14:textId="77777777" w:rsidR="00BA3B1C" w:rsidRPr="00404DA5" w:rsidRDefault="00BA3B1C" w:rsidP="00BA3B1C">
      <w:pPr>
        <w:spacing w:after="200" w:line="276" w:lineRule="auto"/>
        <w:rPr>
          <w:rFonts w:cs="Calibri"/>
          <w:szCs w:val="20"/>
          <w:highlight w:val="yellow"/>
        </w:rPr>
      </w:pPr>
      <w:r w:rsidRPr="00404DA5">
        <w:rPr>
          <w:rFonts w:cs="Calibri"/>
          <w:szCs w:val="20"/>
        </w:rPr>
        <w:t>Kwestia zerowego postępu rzeczowego</w:t>
      </w:r>
      <w:r w:rsidR="00E66B89">
        <w:rPr>
          <w:rFonts w:cs="Calibri"/>
          <w:szCs w:val="20"/>
        </w:rPr>
        <w:t xml:space="preserve"> w </w:t>
      </w:r>
      <w:r w:rsidRPr="00404DA5">
        <w:rPr>
          <w:rFonts w:cs="Calibri"/>
          <w:szCs w:val="20"/>
        </w:rPr>
        <w:t xml:space="preserve">realizacji wskaźnika </w:t>
      </w:r>
      <w:r w:rsidRPr="00EF3F5C">
        <w:rPr>
          <w:rFonts w:cs="Calibri"/>
          <w:i/>
          <w:szCs w:val="20"/>
        </w:rPr>
        <w:t>Inwestycje prywatne uzupełniające wsparcie publiczne</w:t>
      </w:r>
      <w:r w:rsidR="00E66B89">
        <w:rPr>
          <w:rFonts w:cs="Calibri"/>
          <w:i/>
          <w:szCs w:val="20"/>
        </w:rPr>
        <w:t xml:space="preserve"> w </w:t>
      </w:r>
      <w:r w:rsidRPr="00EF3F5C">
        <w:rPr>
          <w:rFonts w:cs="Calibri"/>
          <w:i/>
          <w:szCs w:val="20"/>
        </w:rPr>
        <w:t>projekty</w:t>
      </w:r>
      <w:r w:rsidR="00E66B89">
        <w:rPr>
          <w:rFonts w:cs="Calibri"/>
          <w:i/>
          <w:szCs w:val="20"/>
        </w:rPr>
        <w:t xml:space="preserve"> w </w:t>
      </w:r>
      <w:r w:rsidRPr="00EF3F5C">
        <w:rPr>
          <w:rFonts w:cs="Calibri"/>
          <w:i/>
          <w:szCs w:val="20"/>
        </w:rPr>
        <w:t>zakresie innowacji lub badań</w:t>
      </w:r>
      <w:r w:rsidR="00E66B89">
        <w:rPr>
          <w:rFonts w:cs="Calibri"/>
          <w:i/>
          <w:szCs w:val="20"/>
        </w:rPr>
        <w:t xml:space="preserve"> i </w:t>
      </w:r>
      <w:r w:rsidRPr="00EF3F5C">
        <w:rPr>
          <w:rFonts w:cs="Calibri"/>
          <w:i/>
          <w:szCs w:val="20"/>
        </w:rPr>
        <w:t>rozwoju</w:t>
      </w:r>
      <w:r w:rsidRPr="00404DA5">
        <w:rPr>
          <w:rFonts w:cs="Calibri"/>
          <w:szCs w:val="20"/>
        </w:rPr>
        <w:t xml:space="preserve"> wynika</w:t>
      </w:r>
      <w:r w:rsidR="00E66B89">
        <w:rPr>
          <w:rFonts w:cs="Calibri"/>
          <w:szCs w:val="20"/>
        </w:rPr>
        <w:t xml:space="preserve"> z </w:t>
      </w:r>
      <w:r w:rsidRPr="00404DA5">
        <w:rPr>
          <w:rFonts w:cs="Calibri"/>
          <w:szCs w:val="20"/>
        </w:rPr>
        <w:t xml:space="preserve">aktualnie prezentowanego przez MIiR stanowiska, że środki własne uczelni nie mogą zostać </w:t>
      </w:r>
      <w:r>
        <w:rPr>
          <w:rFonts w:cs="Calibri"/>
          <w:szCs w:val="20"/>
        </w:rPr>
        <w:t>uznane</w:t>
      </w:r>
      <w:r w:rsidRPr="00404DA5">
        <w:rPr>
          <w:rFonts w:cs="Calibri"/>
          <w:szCs w:val="20"/>
        </w:rPr>
        <w:t xml:space="preserve"> jako "inwestycje prywatne". Przy utrzymaniu przez MIiR dotychczasowej interpretacji zachodzi duże ryzyko niezrealizowania wskaźnika. </w:t>
      </w:r>
    </w:p>
    <w:p w14:paraId="04F800CE"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 xml:space="preserve">Wskaźniki rezultatu strategicznego </w:t>
      </w:r>
    </w:p>
    <w:p w14:paraId="3943887F" w14:textId="77777777" w:rsidR="00BA3B1C" w:rsidRPr="00404DA5" w:rsidRDefault="00BA3B1C" w:rsidP="00BA3B1C">
      <w:pPr>
        <w:spacing w:before="240" w:after="200" w:line="276" w:lineRule="auto"/>
        <w:rPr>
          <w:rFonts w:cs="Calibri"/>
          <w:szCs w:val="20"/>
        </w:rPr>
      </w:pPr>
      <w:r w:rsidRPr="00404DA5">
        <w:rPr>
          <w:rFonts w:cs="Calibri"/>
          <w:szCs w:val="20"/>
        </w:rPr>
        <w:t>W RPO WZ 2014-2020 założono wzrost nakładów na działalność B+R</w:t>
      </w:r>
      <w:r w:rsidR="00E66B89">
        <w:rPr>
          <w:rFonts w:cs="Calibri"/>
          <w:szCs w:val="20"/>
        </w:rPr>
        <w:t xml:space="preserve"> w </w:t>
      </w:r>
      <w:r w:rsidRPr="00404DA5">
        <w:rPr>
          <w:rFonts w:cs="Calibri"/>
          <w:szCs w:val="20"/>
        </w:rPr>
        <w:t>relacji do PKB</w:t>
      </w:r>
      <w:r w:rsidR="00E66B89">
        <w:rPr>
          <w:rFonts w:cs="Calibri"/>
          <w:szCs w:val="20"/>
        </w:rPr>
        <w:t xml:space="preserve"> z </w:t>
      </w:r>
      <w:r w:rsidRPr="00404DA5">
        <w:rPr>
          <w:rFonts w:cs="Calibri"/>
          <w:szCs w:val="20"/>
        </w:rPr>
        <w:t>poziomu 0,37%</w:t>
      </w:r>
      <w:r w:rsidR="00E66B89">
        <w:rPr>
          <w:rFonts w:cs="Calibri"/>
          <w:szCs w:val="20"/>
        </w:rPr>
        <w:t xml:space="preserve"> w </w:t>
      </w:r>
      <w:r w:rsidRPr="00404DA5">
        <w:rPr>
          <w:rFonts w:cs="Calibri"/>
          <w:szCs w:val="20"/>
        </w:rPr>
        <w:t>2012 roku do poziomu 0,97%</w:t>
      </w:r>
      <w:r w:rsidR="00E66B89">
        <w:rPr>
          <w:rFonts w:cs="Calibri"/>
          <w:szCs w:val="20"/>
        </w:rPr>
        <w:t xml:space="preserve"> w </w:t>
      </w:r>
      <w:r w:rsidRPr="00404DA5">
        <w:rPr>
          <w:rFonts w:cs="Calibri"/>
          <w:szCs w:val="20"/>
        </w:rPr>
        <w:t>2023 roku.</w:t>
      </w:r>
    </w:p>
    <w:p w14:paraId="6ED849AC" w14:textId="77777777" w:rsidR="00BA3B1C" w:rsidRPr="00F057B3" w:rsidRDefault="00BA3B1C" w:rsidP="006E34DC">
      <w:pPr>
        <w:pStyle w:val="Legenda"/>
        <w:spacing w:after="0"/>
      </w:pPr>
      <w:bookmarkStart w:id="53" w:name="_Toc8824121"/>
      <w:r w:rsidRPr="00F057B3">
        <w:t xml:space="preserve">Tabela </w:t>
      </w:r>
      <w:r>
        <w:fldChar w:fldCharType="begin"/>
      </w:r>
      <w:r>
        <w:instrText xml:space="preserve"> SEQ Tabela \* ARABIC </w:instrText>
      </w:r>
      <w:r>
        <w:fldChar w:fldCharType="separate"/>
      </w:r>
      <w:r w:rsidR="00763345">
        <w:rPr>
          <w:noProof/>
        </w:rPr>
        <w:t>10</w:t>
      </w:r>
      <w:r>
        <w:fldChar w:fldCharType="end"/>
      </w:r>
      <w:r w:rsidRPr="00F057B3">
        <w:t>. Prognozowany poziom realizacji wskaźnika rezultatu strategicznego na rok 2023 dla PI 1</w:t>
      </w:r>
      <w:r>
        <w:t>a</w:t>
      </w:r>
      <w:bookmarkEnd w:id="53"/>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1276"/>
        <w:gridCol w:w="1134"/>
        <w:gridCol w:w="992"/>
        <w:gridCol w:w="1559"/>
      </w:tblGrid>
      <w:tr w:rsidR="00BA3B1C" w:rsidRPr="00F057B3" w14:paraId="062A5FFD" w14:textId="77777777" w:rsidTr="00C22C26">
        <w:trPr>
          <w:trHeight w:val="704"/>
          <w:tblHeader/>
        </w:trPr>
        <w:tc>
          <w:tcPr>
            <w:tcW w:w="4327" w:type="dxa"/>
            <w:shd w:val="clear" w:color="auto" w:fill="D9E2F3"/>
          </w:tcPr>
          <w:p w14:paraId="7A8F4E02" w14:textId="77777777" w:rsidR="00BA3B1C" w:rsidRPr="00F057B3" w:rsidRDefault="00BA3B1C" w:rsidP="00BA3B1C">
            <w:pPr>
              <w:jc w:val="center"/>
              <w:rPr>
                <w:rFonts w:cs="Calibri"/>
                <w:sz w:val="18"/>
                <w:szCs w:val="18"/>
              </w:rPr>
            </w:pPr>
            <w:r w:rsidRPr="00F057B3">
              <w:rPr>
                <w:rFonts w:cs="Calibri"/>
                <w:sz w:val="18"/>
                <w:szCs w:val="18"/>
              </w:rPr>
              <w:t xml:space="preserve">Wskaźnik </w:t>
            </w:r>
          </w:p>
        </w:tc>
        <w:tc>
          <w:tcPr>
            <w:tcW w:w="1276" w:type="dxa"/>
            <w:shd w:val="clear" w:color="auto" w:fill="D9E2F3"/>
          </w:tcPr>
          <w:p w14:paraId="66B08CC0" w14:textId="77777777" w:rsidR="00BA3B1C" w:rsidRPr="00F057B3" w:rsidRDefault="00BA3B1C" w:rsidP="00BA3B1C">
            <w:pPr>
              <w:jc w:val="center"/>
              <w:rPr>
                <w:rFonts w:cs="Calibri"/>
                <w:sz w:val="18"/>
                <w:szCs w:val="18"/>
              </w:rPr>
            </w:pPr>
            <w:r w:rsidRPr="00F057B3">
              <w:rPr>
                <w:rFonts w:cs="Calibri"/>
                <w:sz w:val="18"/>
                <w:szCs w:val="18"/>
              </w:rPr>
              <w:t xml:space="preserve">Jednostka pomiaru </w:t>
            </w:r>
          </w:p>
        </w:tc>
        <w:tc>
          <w:tcPr>
            <w:tcW w:w="1134" w:type="dxa"/>
            <w:shd w:val="clear" w:color="auto" w:fill="D9E2F3"/>
          </w:tcPr>
          <w:p w14:paraId="1E147C7E" w14:textId="77777777" w:rsidR="00BA3B1C" w:rsidRPr="00F057B3" w:rsidRDefault="00BA3B1C" w:rsidP="00BA3B1C">
            <w:pPr>
              <w:jc w:val="center"/>
              <w:rPr>
                <w:rFonts w:cs="Calibri"/>
                <w:sz w:val="18"/>
                <w:szCs w:val="18"/>
              </w:rPr>
            </w:pPr>
            <w:r w:rsidRPr="00F057B3">
              <w:rPr>
                <w:rFonts w:cs="Calibri"/>
                <w:sz w:val="18"/>
                <w:szCs w:val="18"/>
              </w:rPr>
              <w:t xml:space="preserve">Wartość bazowa </w:t>
            </w:r>
          </w:p>
        </w:tc>
        <w:tc>
          <w:tcPr>
            <w:tcW w:w="992" w:type="dxa"/>
            <w:shd w:val="clear" w:color="auto" w:fill="D9E2F3"/>
          </w:tcPr>
          <w:p w14:paraId="12F89FFA" w14:textId="77777777" w:rsidR="00BA3B1C" w:rsidRPr="00F057B3" w:rsidRDefault="00BA3B1C" w:rsidP="00BA3B1C">
            <w:pPr>
              <w:jc w:val="center"/>
              <w:rPr>
                <w:rFonts w:cs="Calibri"/>
                <w:sz w:val="18"/>
                <w:szCs w:val="18"/>
              </w:rPr>
            </w:pPr>
            <w:r w:rsidRPr="00F057B3">
              <w:rPr>
                <w:rFonts w:cs="Calibri"/>
                <w:sz w:val="18"/>
                <w:szCs w:val="18"/>
              </w:rPr>
              <w:t xml:space="preserve">Rok bazowy </w:t>
            </w:r>
          </w:p>
        </w:tc>
        <w:tc>
          <w:tcPr>
            <w:tcW w:w="1559" w:type="dxa"/>
            <w:shd w:val="clear" w:color="auto" w:fill="D9E2F3"/>
          </w:tcPr>
          <w:p w14:paraId="671E081E" w14:textId="77777777" w:rsidR="00BA3B1C" w:rsidRPr="00F057B3" w:rsidRDefault="00BA3B1C" w:rsidP="00BA3B1C">
            <w:pPr>
              <w:jc w:val="center"/>
              <w:rPr>
                <w:rFonts w:cs="Calibri"/>
                <w:sz w:val="18"/>
                <w:szCs w:val="18"/>
              </w:rPr>
            </w:pPr>
            <w:r>
              <w:rPr>
                <w:rFonts w:cs="Calibri"/>
                <w:sz w:val="18"/>
                <w:szCs w:val="18"/>
              </w:rPr>
              <w:t>W</w:t>
            </w:r>
            <w:r w:rsidRPr="00F057B3">
              <w:rPr>
                <w:rFonts w:cs="Calibri"/>
                <w:sz w:val="18"/>
                <w:szCs w:val="18"/>
              </w:rPr>
              <w:t xml:space="preserve">artość docelowa (2023) </w:t>
            </w:r>
          </w:p>
        </w:tc>
      </w:tr>
      <w:tr w:rsidR="00BA3B1C" w:rsidRPr="00F057B3" w14:paraId="43D15501" w14:textId="77777777" w:rsidTr="00BA3B1C">
        <w:trPr>
          <w:trHeight w:val="167"/>
        </w:trPr>
        <w:tc>
          <w:tcPr>
            <w:tcW w:w="4327" w:type="dxa"/>
          </w:tcPr>
          <w:p w14:paraId="22B10E68" w14:textId="77777777" w:rsidR="00BA3B1C" w:rsidRPr="00F057B3" w:rsidRDefault="00BA3B1C" w:rsidP="00BA3B1C">
            <w:pPr>
              <w:jc w:val="center"/>
              <w:rPr>
                <w:rFonts w:cs="Calibri"/>
                <w:sz w:val="18"/>
                <w:szCs w:val="18"/>
              </w:rPr>
            </w:pPr>
            <w:r w:rsidRPr="008A67D7">
              <w:rPr>
                <w:rFonts w:cs="Calibri"/>
                <w:sz w:val="18"/>
                <w:szCs w:val="18"/>
              </w:rPr>
              <w:t>Nakłady na działalność B+R</w:t>
            </w:r>
            <w:r w:rsidR="00E66B89">
              <w:rPr>
                <w:rFonts w:cs="Calibri"/>
                <w:sz w:val="18"/>
                <w:szCs w:val="18"/>
              </w:rPr>
              <w:t xml:space="preserve"> w </w:t>
            </w:r>
            <w:r w:rsidRPr="008A67D7">
              <w:rPr>
                <w:rFonts w:cs="Calibri"/>
                <w:sz w:val="18"/>
                <w:szCs w:val="18"/>
              </w:rPr>
              <w:t>relacji do PKB</w:t>
            </w:r>
          </w:p>
        </w:tc>
        <w:tc>
          <w:tcPr>
            <w:tcW w:w="1276" w:type="dxa"/>
          </w:tcPr>
          <w:p w14:paraId="7D8266AC" w14:textId="77777777" w:rsidR="00BA3B1C" w:rsidRPr="00F057B3" w:rsidRDefault="00BA3B1C" w:rsidP="00BA3B1C">
            <w:pPr>
              <w:jc w:val="center"/>
              <w:rPr>
                <w:rFonts w:cs="Calibri"/>
                <w:sz w:val="18"/>
                <w:szCs w:val="18"/>
              </w:rPr>
            </w:pPr>
            <w:r w:rsidRPr="00F057B3">
              <w:rPr>
                <w:rFonts w:cs="Calibri"/>
                <w:sz w:val="18"/>
                <w:szCs w:val="18"/>
              </w:rPr>
              <w:t>%</w:t>
            </w:r>
          </w:p>
        </w:tc>
        <w:tc>
          <w:tcPr>
            <w:tcW w:w="1134" w:type="dxa"/>
          </w:tcPr>
          <w:p w14:paraId="0EA9CBD9" w14:textId="77777777" w:rsidR="00BA3B1C" w:rsidRPr="00F057B3" w:rsidRDefault="00BA3B1C" w:rsidP="00BA3B1C">
            <w:pPr>
              <w:jc w:val="center"/>
              <w:rPr>
                <w:rFonts w:cs="Calibri"/>
                <w:sz w:val="18"/>
                <w:szCs w:val="18"/>
              </w:rPr>
            </w:pPr>
            <w:r>
              <w:rPr>
                <w:rFonts w:cs="Calibri"/>
                <w:sz w:val="18"/>
                <w:szCs w:val="18"/>
              </w:rPr>
              <w:t>0,37</w:t>
            </w:r>
          </w:p>
        </w:tc>
        <w:tc>
          <w:tcPr>
            <w:tcW w:w="992" w:type="dxa"/>
          </w:tcPr>
          <w:p w14:paraId="22FE04F2" w14:textId="77777777" w:rsidR="00BA3B1C" w:rsidRPr="00F057B3" w:rsidRDefault="00BA3B1C" w:rsidP="00BA3B1C">
            <w:pPr>
              <w:jc w:val="center"/>
              <w:rPr>
                <w:rFonts w:cs="Calibri"/>
                <w:sz w:val="18"/>
                <w:szCs w:val="18"/>
              </w:rPr>
            </w:pPr>
            <w:r>
              <w:rPr>
                <w:rFonts w:cs="Calibri"/>
                <w:sz w:val="18"/>
                <w:szCs w:val="18"/>
              </w:rPr>
              <w:t>2012</w:t>
            </w:r>
          </w:p>
        </w:tc>
        <w:tc>
          <w:tcPr>
            <w:tcW w:w="1559" w:type="dxa"/>
          </w:tcPr>
          <w:p w14:paraId="06108BD6" w14:textId="77777777" w:rsidR="00BA3B1C" w:rsidRPr="00F057B3" w:rsidRDefault="00BA3B1C" w:rsidP="00BA3B1C">
            <w:pPr>
              <w:jc w:val="center"/>
              <w:rPr>
                <w:rFonts w:cs="Calibri"/>
                <w:sz w:val="18"/>
                <w:szCs w:val="18"/>
              </w:rPr>
            </w:pPr>
            <w:r>
              <w:rPr>
                <w:rFonts w:cs="Calibri"/>
                <w:sz w:val="18"/>
                <w:szCs w:val="18"/>
              </w:rPr>
              <w:t>0,97</w:t>
            </w:r>
          </w:p>
        </w:tc>
      </w:tr>
    </w:tbl>
    <w:p w14:paraId="50B6CD0C" w14:textId="77777777" w:rsidR="00BA3B1C" w:rsidRPr="002A5FDF" w:rsidRDefault="00BA3B1C"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w:t>
      </w:r>
    </w:p>
    <w:p w14:paraId="0FE51C5B" w14:textId="77777777" w:rsidR="00BA3B1C" w:rsidRPr="00F27A4E" w:rsidRDefault="00BA3B1C" w:rsidP="00BA3B1C">
      <w:pPr>
        <w:spacing w:before="240" w:after="200" w:line="276" w:lineRule="auto"/>
        <w:rPr>
          <w:rFonts w:cs="Calibri"/>
          <w:szCs w:val="20"/>
        </w:rPr>
      </w:pPr>
      <w:r w:rsidRPr="00F27A4E">
        <w:rPr>
          <w:rFonts w:cs="Calibri"/>
          <w:szCs w:val="20"/>
        </w:rPr>
        <w:t>W regionie Walia Zachodnia</w:t>
      </w:r>
      <w:r w:rsidR="00E66B89">
        <w:rPr>
          <w:rFonts w:cs="Calibri"/>
          <w:szCs w:val="20"/>
        </w:rPr>
        <w:t xml:space="preserve"> i </w:t>
      </w:r>
      <w:r w:rsidRPr="00F27A4E">
        <w:rPr>
          <w:rFonts w:cs="Calibri"/>
          <w:szCs w:val="20"/>
        </w:rPr>
        <w:t xml:space="preserve">Doliny jako specyficzny dla programu wskaźnik rezultatu przyjęto </w:t>
      </w:r>
      <w:r w:rsidRPr="00F27A4E">
        <w:rPr>
          <w:rFonts w:cs="Calibri"/>
          <w:i/>
          <w:szCs w:val="20"/>
        </w:rPr>
        <w:t>Średni udział przychodów</w:t>
      </w:r>
      <w:r w:rsidR="00E66B89">
        <w:rPr>
          <w:rFonts w:cs="Calibri"/>
          <w:i/>
          <w:szCs w:val="20"/>
        </w:rPr>
        <w:t xml:space="preserve"> z </w:t>
      </w:r>
      <w:r w:rsidRPr="00F27A4E">
        <w:rPr>
          <w:rFonts w:cs="Calibri"/>
          <w:i/>
          <w:szCs w:val="20"/>
        </w:rPr>
        <w:t>produktów innowacyjnych</w:t>
      </w:r>
      <w:r w:rsidRPr="00F27A4E">
        <w:rPr>
          <w:rFonts w:cs="Calibri"/>
          <w:szCs w:val="20"/>
        </w:rPr>
        <w:t>. Co ciekawe, jego wartość docelową określono nie na konkretnym poziomie, lecz</w:t>
      </w:r>
      <w:r w:rsidR="00E66B89">
        <w:rPr>
          <w:rFonts w:cs="Calibri"/>
          <w:szCs w:val="20"/>
        </w:rPr>
        <w:t xml:space="preserve"> w </w:t>
      </w:r>
      <w:r w:rsidRPr="00F27A4E">
        <w:rPr>
          <w:rFonts w:cs="Calibri"/>
          <w:szCs w:val="20"/>
        </w:rPr>
        <w:t>przedziale pomiędzy 24</w:t>
      </w:r>
      <w:r w:rsidR="00E66B89">
        <w:rPr>
          <w:rFonts w:cs="Calibri"/>
          <w:szCs w:val="20"/>
        </w:rPr>
        <w:t xml:space="preserve"> a </w:t>
      </w:r>
      <w:r w:rsidRPr="00F27A4E">
        <w:rPr>
          <w:rFonts w:cs="Calibri"/>
          <w:szCs w:val="20"/>
        </w:rPr>
        <w:t>27%.</w:t>
      </w:r>
    </w:p>
    <w:p w14:paraId="637D7E1D" w14:textId="77777777" w:rsidR="00BA3B1C" w:rsidRPr="00404DA5" w:rsidRDefault="00BA3B1C" w:rsidP="00BA3B1C">
      <w:pPr>
        <w:spacing w:before="240" w:after="200" w:line="276" w:lineRule="auto"/>
        <w:rPr>
          <w:rFonts w:cs="Calibri"/>
          <w:szCs w:val="20"/>
        </w:rPr>
      </w:pPr>
      <w:r w:rsidRPr="00404DA5">
        <w:rPr>
          <w:rFonts w:cs="Calibri"/>
          <w:szCs w:val="20"/>
        </w:rPr>
        <w:t>W porównaniu</w:t>
      </w:r>
      <w:r w:rsidR="00E66B89">
        <w:rPr>
          <w:rFonts w:cs="Calibri"/>
          <w:szCs w:val="20"/>
        </w:rPr>
        <w:t xml:space="preserve"> z </w:t>
      </w:r>
      <w:r w:rsidRPr="00404DA5">
        <w:rPr>
          <w:rFonts w:cs="Calibri"/>
          <w:szCs w:val="20"/>
        </w:rPr>
        <w:t xml:space="preserve">rokiem bazowym wartość wskaźnika rezultatu </w:t>
      </w:r>
      <w:r w:rsidRPr="008B706B">
        <w:rPr>
          <w:rFonts w:cs="Calibri"/>
          <w:i/>
          <w:szCs w:val="20"/>
        </w:rPr>
        <w:t>Nakłady na działalność B+R</w:t>
      </w:r>
      <w:r w:rsidR="00E66B89">
        <w:rPr>
          <w:rFonts w:cs="Calibri"/>
          <w:i/>
          <w:szCs w:val="20"/>
        </w:rPr>
        <w:t xml:space="preserve"> w </w:t>
      </w:r>
      <w:r w:rsidRPr="008B706B">
        <w:rPr>
          <w:rFonts w:cs="Calibri"/>
          <w:i/>
          <w:szCs w:val="20"/>
        </w:rPr>
        <w:t>relacji do PKB</w:t>
      </w:r>
      <w:r w:rsidRPr="00404DA5">
        <w:rPr>
          <w:rFonts w:cs="Calibri"/>
          <w:szCs w:val="20"/>
        </w:rPr>
        <w:t xml:space="preserve"> zmalała</w:t>
      </w:r>
      <w:r w:rsidR="00E66B89">
        <w:rPr>
          <w:rFonts w:cs="Calibri"/>
          <w:szCs w:val="20"/>
        </w:rPr>
        <w:t xml:space="preserve"> i w </w:t>
      </w:r>
      <w:r w:rsidRPr="00404DA5">
        <w:rPr>
          <w:rFonts w:cs="Calibri"/>
          <w:szCs w:val="20"/>
        </w:rPr>
        <w:t>2016 roku osiągnęła wartość 0,27% (</w:t>
      </w:r>
      <w:r>
        <w:rPr>
          <w:rFonts w:cs="Calibri"/>
          <w:szCs w:val="20"/>
        </w:rPr>
        <w:t>tabela poniżej</w:t>
      </w:r>
      <w:r w:rsidRPr="00404DA5">
        <w:rPr>
          <w:rFonts w:cs="Calibri"/>
          <w:szCs w:val="20"/>
        </w:rPr>
        <w:t>).</w:t>
      </w:r>
      <w:r w:rsidR="00E66B89">
        <w:rPr>
          <w:rFonts w:cs="Calibri"/>
          <w:szCs w:val="20"/>
        </w:rPr>
        <w:t xml:space="preserve"> W </w:t>
      </w:r>
      <w:r w:rsidRPr="00404DA5">
        <w:rPr>
          <w:rFonts w:cs="Calibri"/>
          <w:szCs w:val="20"/>
        </w:rPr>
        <w:t>tej sytuacji nie jest realne osiągnięcie wartości docelowej wskaźnika.</w:t>
      </w:r>
    </w:p>
    <w:p w14:paraId="605BFB12" w14:textId="77777777" w:rsidR="00BA3B1C" w:rsidRPr="00F057B3" w:rsidRDefault="00BA3B1C" w:rsidP="006E34DC">
      <w:pPr>
        <w:pStyle w:val="Legenda"/>
        <w:spacing w:after="0"/>
      </w:pPr>
      <w:bookmarkStart w:id="54" w:name="_Ref3481289"/>
      <w:bookmarkStart w:id="55" w:name="_Toc8824122"/>
      <w:r w:rsidRPr="00F057B3">
        <w:t xml:space="preserve">Tabela </w:t>
      </w:r>
      <w:r>
        <w:fldChar w:fldCharType="begin"/>
      </w:r>
      <w:r>
        <w:instrText xml:space="preserve"> SEQ Tabela \* ARABIC </w:instrText>
      </w:r>
      <w:r>
        <w:fldChar w:fldCharType="separate"/>
      </w:r>
      <w:r w:rsidR="00763345">
        <w:rPr>
          <w:noProof/>
        </w:rPr>
        <w:t>11</w:t>
      </w:r>
      <w:r>
        <w:fldChar w:fldCharType="end"/>
      </w:r>
      <w:bookmarkEnd w:id="54"/>
      <w:r w:rsidRPr="00F057B3">
        <w:t>. Wskaźnik rezultatu dla PI 1</w:t>
      </w:r>
      <w:r>
        <w:t>a</w:t>
      </w:r>
      <w:r w:rsidR="00E66B89">
        <w:t xml:space="preserve"> w </w:t>
      </w:r>
      <w:r w:rsidRPr="00F057B3">
        <w:t>latach 2012-2018</w:t>
      </w:r>
      <w:bookmarkEnd w:id="55"/>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769"/>
        <w:gridCol w:w="769"/>
        <w:gridCol w:w="770"/>
        <w:gridCol w:w="769"/>
        <w:gridCol w:w="770"/>
        <w:gridCol w:w="769"/>
        <w:gridCol w:w="770"/>
      </w:tblGrid>
      <w:tr w:rsidR="00BA3B1C" w:rsidRPr="00F057B3" w14:paraId="2A6766F7" w14:textId="77777777" w:rsidTr="00C22C26">
        <w:trPr>
          <w:trHeight w:val="540"/>
          <w:tblHeader/>
        </w:trPr>
        <w:tc>
          <w:tcPr>
            <w:tcW w:w="3902" w:type="dxa"/>
            <w:shd w:val="clear" w:color="auto" w:fill="D9E2F3"/>
          </w:tcPr>
          <w:p w14:paraId="43BBC7E4" w14:textId="77777777" w:rsidR="00BA3B1C" w:rsidRPr="00F057B3" w:rsidRDefault="00BA3B1C" w:rsidP="00BA3B1C">
            <w:pPr>
              <w:jc w:val="center"/>
              <w:rPr>
                <w:rFonts w:cs="Calibri"/>
                <w:sz w:val="18"/>
                <w:szCs w:val="18"/>
              </w:rPr>
            </w:pPr>
            <w:r w:rsidRPr="00F057B3">
              <w:rPr>
                <w:rFonts w:cs="Calibri"/>
                <w:sz w:val="18"/>
                <w:szCs w:val="18"/>
              </w:rPr>
              <w:t xml:space="preserve">Wskaźnik </w:t>
            </w:r>
          </w:p>
        </w:tc>
        <w:tc>
          <w:tcPr>
            <w:tcW w:w="769" w:type="dxa"/>
            <w:shd w:val="clear" w:color="auto" w:fill="D9E2F3"/>
          </w:tcPr>
          <w:p w14:paraId="15F05451" w14:textId="77777777" w:rsidR="00BA3B1C" w:rsidRPr="00F057B3" w:rsidRDefault="00BA3B1C" w:rsidP="00BA3B1C">
            <w:pPr>
              <w:jc w:val="center"/>
              <w:rPr>
                <w:rFonts w:cs="Calibri"/>
                <w:sz w:val="18"/>
                <w:szCs w:val="18"/>
              </w:rPr>
            </w:pPr>
            <w:r w:rsidRPr="00F057B3">
              <w:rPr>
                <w:rFonts w:cs="Calibri"/>
                <w:sz w:val="18"/>
                <w:szCs w:val="18"/>
              </w:rPr>
              <w:t>2012</w:t>
            </w:r>
          </w:p>
        </w:tc>
        <w:tc>
          <w:tcPr>
            <w:tcW w:w="769" w:type="dxa"/>
            <w:shd w:val="clear" w:color="auto" w:fill="D9E2F3"/>
          </w:tcPr>
          <w:p w14:paraId="3FDF5CC6" w14:textId="77777777" w:rsidR="00BA3B1C" w:rsidRPr="00F057B3" w:rsidRDefault="00BA3B1C" w:rsidP="00BA3B1C">
            <w:pPr>
              <w:jc w:val="center"/>
              <w:rPr>
                <w:rFonts w:cs="Calibri"/>
                <w:sz w:val="18"/>
                <w:szCs w:val="18"/>
              </w:rPr>
            </w:pPr>
            <w:r w:rsidRPr="00F057B3">
              <w:rPr>
                <w:rFonts w:cs="Calibri"/>
                <w:sz w:val="18"/>
                <w:szCs w:val="18"/>
              </w:rPr>
              <w:t>2013</w:t>
            </w:r>
          </w:p>
        </w:tc>
        <w:tc>
          <w:tcPr>
            <w:tcW w:w="770" w:type="dxa"/>
            <w:shd w:val="clear" w:color="auto" w:fill="D9E2F3"/>
          </w:tcPr>
          <w:p w14:paraId="76F6FE5B" w14:textId="77777777" w:rsidR="00BA3B1C" w:rsidRPr="00F057B3" w:rsidRDefault="00BA3B1C" w:rsidP="00BA3B1C">
            <w:pPr>
              <w:jc w:val="center"/>
              <w:rPr>
                <w:rFonts w:cs="Calibri"/>
                <w:sz w:val="18"/>
                <w:szCs w:val="18"/>
              </w:rPr>
            </w:pPr>
            <w:r w:rsidRPr="00F057B3">
              <w:rPr>
                <w:rFonts w:cs="Calibri"/>
                <w:sz w:val="18"/>
                <w:szCs w:val="18"/>
              </w:rPr>
              <w:t>2014</w:t>
            </w:r>
          </w:p>
        </w:tc>
        <w:tc>
          <w:tcPr>
            <w:tcW w:w="769" w:type="dxa"/>
            <w:shd w:val="clear" w:color="auto" w:fill="D9E2F3"/>
          </w:tcPr>
          <w:p w14:paraId="7C88CE82" w14:textId="77777777" w:rsidR="00BA3B1C" w:rsidRPr="00F057B3" w:rsidRDefault="00BA3B1C" w:rsidP="00BA3B1C">
            <w:pPr>
              <w:jc w:val="center"/>
              <w:rPr>
                <w:rFonts w:cs="Calibri"/>
                <w:sz w:val="18"/>
                <w:szCs w:val="18"/>
              </w:rPr>
            </w:pPr>
            <w:r w:rsidRPr="00F057B3">
              <w:rPr>
                <w:rFonts w:cs="Calibri"/>
                <w:sz w:val="18"/>
                <w:szCs w:val="18"/>
              </w:rPr>
              <w:t>2015</w:t>
            </w:r>
          </w:p>
        </w:tc>
        <w:tc>
          <w:tcPr>
            <w:tcW w:w="770" w:type="dxa"/>
            <w:shd w:val="clear" w:color="auto" w:fill="D9E2F3"/>
          </w:tcPr>
          <w:p w14:paraId="27674F55" w14:textId="77777777" w:rsidR="00BA3B1C" w:rsidRPr="00F057B3" w:rsidRDefault="00BA3B1C" w:rsidP="00BA3B1C">
            <w:pPr>
              <w:jc w:val="center"/>
              <w:rPr>
                <w:rFonts w:cs="Calibri"/>
                <w:sz w:val="18"/>
                <w:szCs w:val="18"/>
              </w:rPr>
            </w:pPr>
            <w:r w:rsidRPr="00F057B3">
              <w:rPr>
                <w:rFonts w:cs="Calibri"/>
                <w:sz w:val="18"/>
                <w:szCs w:val="18"/>
              </w:rPr>
              <w:t>2016</w:t>
            </w:r>
          </w:p>
        </w:tc>
        <w:tc>
          <w:tcPr>
            <w:tcW w:w="769" w:type="dxa"/>
            <w:shd w:val="clear" w:color="auto" w:fill="D9E2F3"/>
          </w:tcPr>
          <w:p w14:paraId="415B3E54" w14:textId="77777777" w:rsidR="00BA3B1C" w:rsidRPr="00F057B3" w:rsidRDefault="00BA3B1C" w:rsidP="00BA3B1C">
            <w:pPr>
              <w:jc w:val="center"/>
              <w:rPr>
                <w:rFonts w:cs="Calibri"/>
                <w:sz w:val="18"/>
                <w:szCs w:val="18"/>
              </w:rPr>
            </w:pPr>
            <w:r w:rsidRPr="00F057B3">
              <w:rPr>
                <w:rFonts w:cs="Calibri"/>
                <w:sz w:val="18"/>
                <w:szCs w:val="18"/>
              </w:rPr>
              <w:t>2017</w:t>
            </w:r>
          </w:p>
        </w:tc>
        <w:tc>
          <w:tcPr>
            <w:tcW w:w="770" w:type="dxa"/>
            <w:shd w:val="clear" w:color="auto" w:fill="D9E2F3"/>
          </w:tcPr>
          <w:p w14:paraId="6472FD2C" w14:textId="77777777" w:rsidR="00BA3B1C" w:rsidRPr="00F057B3" w:rsidRDefault="00BA3B1C" w:rsidP="00BA3B1C">
            <w:pPr>
              <w:jc w:val="center"/>
              <w:rPr>
                <w:rFonts w:cs="Calibri"/>
                <w:sz w:val="18"/>
                <w:szCs w:val="18"/>
              </w:rPr>
            </w:pPr>
            <w:r w:rsidRPr="00F057B3">
              <w:rPr>
                <w:rFonts w:cs="Calibri"/>
                <w:sz w:val="18"/>
                <w:szCs w:val="18"/>
              </w:rPr>
              <w:t xml:space="preserve">2018 </w:t>
            </w:r>
          </w:p>
        </w:tc>
      </w:tr>
      <w:tr w:rsidR="00BA3B1C" w:rsidRPr="00F057B3" w14:paraId="71EB6655" w14:textId="77777777" w:rsidTr="00BA3B1C">
        <w:trPr>
          <w:trHeight w:val="128"/>
        </w:trPr>
        <w:tc>
          <w:tcPr>
            <w:tcW w:w="3902" w:type="dxa"/>
          </w:tcPr>
          <w:p w14:paraId="5BE5CD5F" w14:textId="77777777" w:rsidR="00BA3B1C" w:rsidRPr="00F057B3" w:rsidRDefault="00BA3B1C" w:rsidP="00BA3B1C">
            <w:pPr>
              <w:jc w:val="center"/>
              <w:rPr>
                <w:rFonts w:ascii="Calibri" w:eastAsia="Calibri" w:hAnsi="Calibri" w:cs="Calibri"/>
                <w:color w:val="000000"/>
                <w:sz w:val="16"/>
                <w:szCs w:val="16"/>
                <w:lang w:eastAsia="en-US"/>
              </w:rPr>
            </w:pPr>
            <w:r w:rsidRPr="008A67D7">
              <w:rPr>
                <w:rFonts w:cs="Calibri"/>
                <w:sz w:val="18"/>
                <w:szCs w:val="18"/>
              </w:rPr>
              <w:t>Nakłady na działalność B+R</w:t>
            </w:r>
            <w:r w:rsidR="00E66B89">
              <w:rPr>
                <w:rFonts w:cs="Calibri"/>
                <w:sz w:val="18"/>
                <w:szCs w:val="18"/>
              </w:rPr>
              <w:t xml:space="preserve"> w </w:t>
            </w:r>
            <w:r w:rsidRPr="008A67D7">
              <w:rPr>
                <w:rFonts w:cs="Calibri"/>
                <w:sz w:val="18"/>
                <w:szCs w:val="18"/>
              </w:rPr>
              <w:t>relacji do PKB</w:t>
            </w:r>
          </w:p>
        </w:tc>
        <w:tc>
          <w:tcPr>
            <w:tcW w:w="769" w:type="dxa"/>
          </w:tcPr>
          <w:p w14:paraId="1A04A5D5" w14:textId="77777777" w:rsidR="00BA3B1C" w:rsidRPr="00F057B3" w:rsidRDefault="00BA3B1C" w:rsidP="00BA3B1C">
            <w:pPr>
              <w:jc w:val="center"/>
              <w:rPr>
                <w:rFonts w:cs="Calibri"/>
                <w:sz w:val="18"/>
                <w:szCs w:val="18"/>
              </w:rPr>
            </w:pPr>
            <w:r>
              <w:rPr>
                <w:rFonts w:cs="Calibri"/>
                <w:sz w:val="18"/>
                <w:szCs w:val="18"/>
              </w:rPr>
              <w:t>0,37</w:t>
            </w:r>
          </w:p>
        </w:tc>
        <w:tc>
          <w:tcPr>
            <w:tcW w:w="769" w:type="dxa"/>
          </w:tcPr>
          <w:p w14:paraId="3F5A9A92" w14:textId="77777777" w:rsidR="00BA3B1C" w:rsidRPr="00F057B3" w:rsidRDefault="00BA3B1C" w:rsidP="00BA3B1C">
            <w:pPr>
              <w:jc w:val="center"/>
              <w:rPr>
                <w:rFonts w:cs="Calibri"/>
                <w:sz w:val="18"/>
                <w:szCs w:val="18"/>
              </w:rPr>
            </w:pPr>
            <w:r>
              <w:rPr>
                <w:rFonts w:cs="Calibri"/>
                <w:sz w:val="18"/>
                <w:szCs w:val="18"/>
              </w:rPr>
              <w:t>0,30</w:t>
            </w:r>
          </w:p>
        </w:tc>
        <w:tc>
          <w:tcPr>
            <w:tcW w:w="770" w:type="dxa"/>
          </w:tcPr>
          <w:p w14:paraId="11E8A3BD" w14:textId="77777777" w:rsidR="00BA3B1C" w:rsidRPr="00F057B3" w:rsidRDefault="00BA3B1C" w:rsidP="00BA3B1C">
            <w:pPr>
              <w:jc w:val="center"/>
              <w:rPr>
                <w:rFonts w:cs="Calibri"/>
                <w:sz w:val="18"/>
                <w:szCs w:val="18"/>
              </w:rPr>
            </w:pPr>
            <w:r>
              <w:rPr>
                <w:rFonts w:cs="Calibri"/>
                <w:sz w:val="18"/>
                <w:szCs w:val="18"/>
              </w:rPr>
              <w:t>0,28</w:t>
            </w:r>
          </w:p>
        </w:tc>
        <w:tc>
          <w:tcPr>
            <w:tcW w:w="769" w:type="dxa"/>
          </w:tcPr>
          <w:p w14:paraId="24DE5531" w14:textId="77777777" w:rsidR="00BA3B1C" w:rsidRPr="00F057B3" w:rsidRDefault="00BA3B1C" w:rsidP="00BA3B1C">
            <w:pPr>
              <w:jc w:val="center"/>
              <w:rPr>
                <w:rFonts w:cs="Calibri"/>
                <w:sz w:val="18"/>
                <w:szCs w:val="18"/>
              </w:rPr>
            </w:pPr>
            <w:r>
              <w:rPr>
                <w:rFonts w:cs="Calibri"/>
                <w:sz w:val="18"/>
                <w:szCs w:val="18"/>
              </w:rPr>
              <w:t>0,33</w:t>
            </w:r>
          </w:p>
        </w:tc>
        <w:tc>
          <w:tcPr>
            <w:tcW w:w="770" w:type="dxa"/>
          </w:tcPr>
          <w:p w14:paraId="0076EFE1" w14:textId="77777777" w:rsidR="00BA3B1C" w:rsidRPr="00F057B3" w:rsidRDefault="00BA3B1C" w:rsidP="00BA3B1C">
            <w:pPr>
              <w:jc w:val="center"/>
              <w:rPr>
                <w:rFonts w:cs="Calibri"/>
                <w:sz w:val="18"/>
                <w:szCs w:val="18"/>
              </w:rPr>
            </w:pPr>
            <w:r>
              <w:rPr>
                <w:rFonts w:cs="Calibri"/>
                <w:sz w:val="18"/>
                <w:szCs w:val="18"/>
              </w:rPr>
              <w:t>0,27</w:t>
            </w:r>
          </w:p>
        </w:tc>
        <w:tc>
          <w:tcPr>
            <w:tcW w:w="769" w:type="dxa"/>
          </w:tcPr>
          <w:p w14:paraId="6DDD2B41" w14:textId="77777777" w:rsidR="00BA3B1C" w:rsidRPr="00F057B3" w:rsidRDefault="00BA3B1C" w:rsidP="00BA3B1C">
            <w:pPr>
              <w:jc w:val="center"/>
              <w:rPr>
                <w:rFonts w:cs="Calibri"/>
                <w:sz w:val="18"/>
                <w:szCs w:val="18"/>
              </w:rPr>
            </w:pPr>
            <w:r w:rsidRPr="00F057B3">
              <w:rPr>
                <w:rFonts w:cs="Calibri"/>
                <w:sz w:val="18"/>
                <w:szCs w:val="18"/>
              </w:rPr>
              <w:t>b.d.</w:t>
            </w:r>
          </w:p>
        </w:tc>
        <w:tc>
          <w:tcPr>
            <w:tcW w:w="770" w:type="dxa"/>
          </w:tcPr>
          <w:p w14:paraId="58D1565F" w14:textId="77777777" w:rsidR="00BA3B1C" w:rsidRPr="00F057B3" w:rsidRDefault="00BA3B1C" w:rsidP="00BA3B1C">
            <w:pPr>
              <w:jc w:val="center"/>
              <w:rPr>
                <w:rFonts w:cs="Calibri"/>
                <w:sz w:val="18"/>
                <w:szCs w:val="18"/>
              </w:rPr>
            </w:pPr>
            <w:r w:rsidRPr="00F057B3">
              <w:rPr>
                <w:rFonts w:cs="Calibri"/>
                <w:sz w:val="18"/>
                <w:szCs w:val="18"/>
              </w:rPr>
              <w:t>b.d.</w:t>
            </w:r>
          </w:p>
        </w:tc>
      </w:tr>
    </w:tbl>
    <w:p w14:paraId="6EC1B354" w14:textId="77777777" w:rsidR="00BA3B1C" w:rsidRPr="002A5FDF" w:rsidRDefault="00BA3B1C" w:rsidP="00C22C26">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w:t>
      </w:r>
    </w:p>
    <w:p w14:paraId="18097F73"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 xml:space="preserve">Ocena potencjału absorpcyjnego </w:t>
      </w:r>
    </w:p>
    <w:p w14:paraId="3F6B21D7" w14:textId="77777777" w:rsidR="00BA3B1C" w:rsidRPr="00404DA5" w:rsidRDefault="00BA3B1C" w:rsidP="00BA3B1C">
      <w:pPr>
        <w:rPr>
          <w:szCs w:val="20"/>
        </w:rPr>
      </w:pPr>
      <w:r w:rsidRPr="00404DA5">
        <w:rPr>
          <w:szCs w:val="20"/>
        </w:rPr>
        <w:t>Województwo zachodniopomorskie ma jedną</w:t>
      </w:r>
      <w:r w:rsidR="00E66B89">
        <w:rPr>
          <w:szCs w:val="20"/>
        </w:rPr>
        <w:t xml:space="preserve"> z </w:t>
      </w:r>
      <w:r w:rsidRPr="00404DA5">
        <w:rPr>
          <w:szCs w:val="20"/>
        </w:rPr>
        <w:t>najniższych alokacji na realizację PI 1a (poza województwem lubuskim, które nie realizuje tego Priorytetu, niższą mają jedynie województwa: lubelskie</w:t>
      </w:r>
      <w:r w:rsidR="00E66B89">
        <w:rPr>
          <w:szCs w:val="20"/>
        </w:rPr>
        <w:t xml:space="preserve"> i </w:t>
      </w:r>
      <w:r w:rsidRPr="00404DA5">
        <w:rPr>
          <w:szCs w:val="20"/>
        </w:rPr>
        <w:t>opolskie), co odzwierciedla skromny potencjał absorpcyjny regionalnego środowiska naukowego. Pomimo niedużej alokacji, postęp</w:t>
      </w:r>
      <w:r w:rsidR="00E66B89">
        <w:rPr>
          <w:szCs w:val="20"/>
        </w:rPr>
        <w:t xml:space="preserve"> w </w:t>
      </w:r>
      <w:r w:rsidRPr="00404DA5">
        <w:rPr>
          <w:szCs w:val="20"/>
        </w:rPr>
        <w:t>kontraktacji alokacji jest znacznie niższy od średniej dla Polski (56%). Środki przewidziane na realizację PI 1a (wraz</w:t>
      </w:r>
      <w:r w:rsidR="00E66B89">
        <w:rPr>
          <w:szCs w:val="20"/>
        </w:rPr>
        <w:t xml:space="preserve"> z </w:t>
      </w:r>
      <w:r w:rsidRPr="00404DA5">
        <w:rPr>
          <w:szCs w:val="20"/>
        </w:rPr>
        <w:t>środkami rezerwy wykonania) zostały zakontraktowane na poziomie 34,9%. Ten poziom zakontraktowania został osiągnięty przy zaledwie 4 projektach, które uzyskały dofinansowanie. Kolejne cztery wnioski na łączną kwotę wkładu UE</w:t>
      </w:r>
      <w:r w:rsidR="00E66B89">
        <w:rPr>
          <w:szCs w:val="20"/>
        </w:rPr>
        <w:t xml:space="preserve"> w </w:t>
      </w:r>
      <w:r w:rsidRPr="00404DA5">
        <w:rPr>
          <w:szCs w:val="20"/>
        </w:rPr>
        <w:t>wysokości 20,6 mln zł znajdują się</w:t>
      </w:r>
      <w:r w:rsidR="00E66B89">
        <w:rPr>
          <w:szCs w:val="20"/>
        </w:rPr>
        <w:t xml:space="preserve"> w </w:t>
      </w:r>
      <w:r w:rsidRPr="00404DA5">
        <w:rPr>
          <w:szCs w:val="20"/>
        </w:rPr>
        <w:t>trakcie oceny,</w:t>
      </w:r>
      <w:r w:rsidR="00E66B89">
        <w:rPr>
          <w:szCs w:val="20"/>
        </w:rPr>
        <w:t xml:space="preserve"> a w </w:t>
      </w:r>
      <w:r w:rsidRPr="00404DA5">
        <w:rPr>
          <w:szCs w:val="20"/>
        </w:rPr>
        <w:t>sytuacji ich zakontraktowania alokacja zostałaby wykorzystana</w:t>
      </w:r>
      <w:r w:rsidR="00E66B89">
        <w:rPr>
          <w:szCs w:val="20"/>
        </w:rPr>
        <w:t xml:space="preserve"> w </w:t>
      </w:r>
      <w:r w:rsidRPr="00404DA5">
        <w:rPr>
          <w:szCs w:val="20"/>
        </w:rPr>
        <w:t>63,1% (dostępna wciąż alokacja wyniosłaby 27,1 mln zł).</w:t>
      </w:r>
      <w:r w:rsidR="00E66B89">
        <w:rPr>
          <w:szCs w:val="20"/>
        </w:rPr>
        <w:t xml:space="preserve"> O </w:t>
      </w:r>
      <w:r w:rsidRPr="00404DA5">
        <w:rPr>
          <w:szCs w:val="20"/>
        </w:rPr>
        <w:t>możliwości absorpcji alokacji przesądzi jednakże ostatecznie faktyczne zainteresowanie podmiotów uprawnionych do składania wniosków na rozwój publicznej infrastruktury badawczej, to jest uczelni, jednostek naukowych</w:t>
      </w:r>
      <w:r w:rsidR="00E66B89">
        <w:rPr>
          <w:szCs w:val="20"/>
        </w:rPr>
        <w:t xml:space="preserve"> i </w:t>
      </w:r>
      <w:r w:rsidRPr="00404DA5">
        <w:rPr>
          <w:szCs w:val="20"/>
        </w:rPr>
        <w:t>konsorcjów naukowo-przemysłowych</w:t>
      </w:r>
      <w:r w:rsidR="00E66B89">
        <w:rPr>
          <w:szCs w:val="20"/>
        </w:rPr>
        <w:t xml:space="preserve"> w </w:t>
      </w:r>
      <w:r w:rsidRPr="00404DA5">
        <w:rPr>
          <w:szCs w:val="20"/>
        </w:rPr>
        <w:t>ogłaszanych</w:t>
      </w:r>
      <w:r w:rsidR="00E66B89">
        <w:rPr>
          <w:szCs w:val="20"/>
        </w:rPr>
        <w:t xml:space="preserve"> w </w:t>
      </w:r>
      <w:r w:rsidRPr="00404DA5">
        <w:rPr>
          <w:szCs w:val="20"/>
        </w:rPr>
        <w:t>przyszłości konkursach. Na zaktualizowanej</w:t>
      </w:r>
      <w:r w:rsidR="00E66B89">
        <w:rPr>
          <w:szCs w:val="20"/>
        </w:rPr>
        <w:t xml:space="preserve"> w </w:t>
      </w:r>
      <w:r w:rsidRPr="00404DA5">
        <w:rPr>
          <w:szCs w:val="20"/>
        </w:rPr>
        <w:t xml:space="preserve">2017 roku Zachodniopomorskiej Liście Infrastruktury Badawczej Na Rzecz Przedsiębiorstw zostało zgłoszonych 7 </w:t>
      </w:r>
      <w:r w:rsidRPr="00404DA5">
        <w:rPr>
          <w:szCs w:val="20"/>
        </w:rPr>
        <w:lastRenderedPageBreak/>
        <w:t xml:space="preserve">projektów do objęcia Kontraktem Terytorialnym na łączną kwotę dofinansowania ze środków publicznych 24,7 mln zł. </w:t>
      </w:r>
    </w:p>
    <w:p w14:paraId="0BFDFE64" w14:textId="77777777" w:rsidR="00BA3B1C" w:rsidRPr="00404DA5" w:rsidRDefault="00BA3B1C" w:rsidP="00BA3B1C">
      <w:pPr>
        <w:rPr>
          <w:szCs w:val="20"/>
        </w:rPr>
      </w:pPr>
      <w:r w:rsidRPr="00404DA5">
        <w:rPr>
          <w:szCs w:val="20"/>
        </w:rPr>
        <w:t>Czynnikiem, który może wpływać negatywnie na zainteresowanie potencjalnych wnioskodawców aplikowaniem</w:t>
      </w:r>
      <w:r w:rsidR="00E66B89">
        <w:rPr>
          <w:szCs w:val="20"/>
        </w:rPr>
        <w:t xml:space="preserve"> w </w:t>
      </w:r>
      <w:r w:rsidRPr="00404DA5">
        <w:rPr>
          <w:szCs w:val="20"/>
        </w:rPr>
        <w:t>ramach tego Działania jest wysoki poziom proceduralnej trudności, jakim obarczona jest realizacja projektów, gdzie część projektu musi być przeznaczona do wykorzystania gospodarczego. Nakłada to na projektodawców konieczność wypracowania odpowiedniego modelu biznesowego, który zapewni spełnienie tych wymogów. Istotnym działaniem, które może zwiększyć poziom absorpcji, powinno być wsparcie doradcze udzielane potencjalnym wnioskodawcom</w:t>
      </w:r>
      <w:r w:rsidR="00E66B89">
        <w:rPr>
          <w:szCs w:val="20"/>
        </w:rPr>
        <w:t xml:space="preserve"> w </w:t>
      </w:r>
      <w:r w:rsidRPr="00404DA5">
        <w:rPr>
          <w:szCs w:val="20"/>
        </w:rPr>
        <w:t>wyjaśnianiu kwestii proceduralnych. Ważne jest także prowadzenie dialogu</w:t>
      </w:r>
      <w:r w:rsidR="00E66B89">
        <w:rPr>
          <w:szCs w:val="20"/>
        </w:rPr>
        <w:t xml:space="preserve"> z </w:t>
      </w:r>
      <w:r w:rsidRPr="00404DA5">
        <w:rPr>
          <w:szCs w:val="20"/>
        </w:rPr>
        <w:t>potencjalnymi projektodawcami</w:t>
      </w:r>
      <w:r w:rsidR="00E66B89">
        <w:rPr>
          <w:szCs w:val="20"/>
        </w:rPr>
        <w:t xml:space="preserve"> i </w:t>
      </w:r>
      <w:r w:rsidRPr="00404DA5">
        <w:rPr>
          <w:szCs w:val="20"/>
        </w:rPr>
        <w:t>utrzymywanie ich gotowości do składania projektów. Na chwilę obecną ryzyko nie pozyskania projektów umożliwiających zaabsorbowanie całej alokacji przeznaczonej na to Działanie jest dość wysokie.</w:t>
      </w:r>
    </w:p>
    <w:p w14:paraId="2A14E82B"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7F1B890B" w14:textId="77777777" w:rsidR="00BA3B1C" w:rsidRPr="00404DA5" w:rsidRDefault="00BA3B1C" w:rsidP="00BA3B1C">
      <w:pPr>
        <w:rPr>
          <w:rFonts w:cs="Calibri"/>
          <w:szCs w:val="20"/>
        </w:rPr>
      </w:pPr>
      <w:r w:rsidRPr="00404DA5">
        <w:rPr>
          <w:rFonts w:cs="Calibri"/>
          <w:szCs w:val="20"/>
        </w:rPr>
        <w:t>Wg stanu na dzień 7.01.2019 roku na realizację PI 1b pozostawała dostępna alokacja (z rezerwą wykonania) na poziomie 47,7 mln zł.</w:t>
      </w:r>
      <w:r w:rsidR="00E66B89">
        <w:rPr>
          <w:rFonts w:cs="Calibri"/>
          <w:szCs w:val="20"/>
        </w:rPr>
        <w:t xml:space="preserve"> W </w:t>
      </w:r>
      <w:r w:rsidRPr="00404DA5">
        <w:rPr>
          <w:rFonts w:cs="Calibri"/>
          <w:szCs w:val="20"/>
        </w:rPr>
        <w:t xml:space="preserve">analizie dotyczącej potencjału absorpcyjnego wskazano na szereg barier, które mogą uniemożliwić kontraktację całej alokacji. Co istotne, te bariery pozostają zasadniczo poza wpływem IZ RPO WZ, co sprawia, że ryzyko niepełnego wykorzystania alokacji należy ocenić jako znaczne. Pozostawienie dostępnej alokacji powinno przynieść realizację wskaźnika produktu Liczba jednostek naukowych ponoszących nakłady inwestycyjne na działalność B+R (na poziomie 371,5%) oraz wskaźnika rezultatu bezpośredniego </w:t>
      </w:r>
      <w:r w:rsidRPr="008B706B">
        <w:rPr>
          <w:rFonts w:cs="Calibri"/>
          <w:i/>
          <w:szCs w:val="20"/>
        </w:rPr>
        <w:t>Liczba naukowców pracujących</w:t>
      </w:r>
      <w:r w:rsidR="00E66B89">
        <w:rPr>
          <w:rFonts w:cs="Calibri"/>
          <w:i/>
          <w:szCs w:val="20"/>
        </w:rPr>
        <w:t xml:space="preserve"> w </w:t>
      </w:r>
      <w:r w:rsidRPr="008B706B">
        <w:rPr>
          <w:rFonts w:cs="Calibri"/>
          <w:i/>
          <w:szCs w:val="20"/>
        </w:rPr>
        <w:t>ulepszonych obiektach infrastruktury badawczej</w:t>
      </w:r>
      <w:r w:rsidRPr="00404DA5">
        <w:rPr>
          <w:rFonts w:cs="Calibri"/>
          <w:szCs w:val="20"/>
        </w:rPr>
        <w:t xml:space="preserve"> (na poziomie 129,1%).</w:t>
      </w:r>
      <w:r w:rsidR="00E66B89">
        <w:rPr>
          <w:rFonts w:cs="Calibri"/>
          <w:szCs w:val="20"/>
        </w:rPr>
        <w:t xml:space="preserve"> W </w:t>
      </w:r>
      <w:r w:rsidRPr="00404DA5">
        <w:rPr>
          <w:rFonts w:cs="Calibri"/>
          <w:szCs w:val="20"/>
        </w:rPr>
        <w:t>przypadku ostatniego</w:t>
      </w:r>
      <w:r w:rsidR="00E66B89">
        <w:rPr>
          <w:rFonts w:cs="Calibri"/>
          <w:szCs w:val="20"/>
        </w:rPr>
        <w:t xml:space="preserve"> z </w:t>
      </w:r>
      <w:r w:rsidRPr="00404DA5">
        <w:rPr>
          <w:rFonts w:cs="Calibri"/>
          <w:szCs w:val="20"/>
        </w:rPr>
        <w:t xml:space="preserve">programowych wskaźników: </w:t>
      </w:r>
      <w:r w:rsidRPr="008B706B">
        <w:rPr>
          <w:rFonts w:cs="Calibri"/>
          <w:i/>
          <w:szCs w:val="20"/>
        </w:rPr>
        <w:t>Inwestycje prywatne uzupełniające wsparcie publiczne</w:t>
      </w:r>
      <w:r w:rsidR="00E66B89">
        <w:rPr>
          <w:rFonts w:cs="Calibri"/>
          <w:i/>
          <w:szCs w:val="20"/>
        </w:rPr>
        <w:t xml:space="preserve"> w </w:t>
      </w:r>
      <w:r w:rsidRPr="008B706B">
        <w:rPr>
          <w:rFonts w:cs="Calibri"/>
          <w:i/>
          <w:szCs w:val="20"/>
        </w:rPr>
        <w:t>projekty</w:t>
      </w:r>
      <w:r w:rsidR="00E66B89">
        <w:rPr>
          <w:rFonts w:cs="Calibri"/>
          <w:i/>
          <w:szCs w:val="20"/>
        </w:rPr>
        <w:t xml:space="preserve"> w </w:t>
      </w:r>
      <w:r w:rsidRPr="008B706B">
        <w:rPr>
          <w:rFonts w:cs="Calibri"/>
          <w:i/>
          <w:szCs w:val="20"/>
        </w:rPr>
        <w:t>zakresie innowacji lub badań</w:t>
      </w:r>
      <w:r w:rsidR="00E66B89">
        <w:rPr>
          <w:rFonts w:cs="Calibri"/>
          <w:i/>
          <w:szCs w:val="20"/>
        </w:rPr>
        <w:t xml:space="preserve"> i </w:t>
      </w:r>
      <w:r w:rsidRPr="008B706B">
        <w:rPr>
          <w:rFonts w:cs="Calibri"/>
          <w:i/>
          <w:szCs w:val="20"/>
        </w:rPr>
        <w:t>rozwoju</w:t>
      </w:r>
      <w:r w:rsidRPr="00404DA5">
        <w:rPr>
          <w:rFonts w:cs="Calibri"/>
          <w:szCs w:val="20"/>
        </w:rPr>
        <w:t xml:space="preserve"> istnieje duże ryzyko jego nie osiągnięcia,</w:t>
      </w:r>
      <w:r w:rsidR="00E66B89">
        <w:rPr>
          <w:rFonts w:cs="Calibri"/>
          <w:szCs w:val="20"/>
        </w:rPr>
        <w:t xml:space="preserve"> o </w:t>
      </w:r>
      <w:r w:rsidRPr="00404DA5">
        <w:rPr>
          <w:rFonts w:cs="Calibri"/>
          <w:szCs w:val="20"/>
        </w:rPr>
        <w:t>ile nie zmieni się interpretacja MIiR uniemożliwiająca zaliczenie środków własnych uczelni do "inwestycji prywatnych".</w:t>
      </w:r>
    </w:p>
    <w:p w14:paraId="5E655984" w14:textId="77777777" w:rsidR="00BA3B1C" w:rsidRPr="006E34DC" w:rsidRDefault="00BA3B1C" w:rsidP="006E34DC">
      <w:pPr>
        <w:pStyle w:val="Legenda"/>
        <w:spacing w:after="0"/>
      </w:pPr>
      <w:bookmarkStart w:id="56" w:name="_Toc8824123"/>
      <w:r w:rsidRPr="00404DA5">
        <w:t xml:space="preserve">Tabela </w:t>
      </w:r>
      <w:r>
        <w:fldChar w:fldCharType="begin"/>
      </w:r>
      <w:r>
        <w:instrText xml:space="preserve"> SEQ Tabela \* ARABIC </w:instrText>
      </w:r>
      <w:r>
        <w:fldChar w:fldCharType="separate"/>
      </w:r>
      <w:r w:rsidR="00763345">
        <w:rPr>
          <w:noProof/>
        </w:rPr>
        <w:t>12</w:t>
      </w:r>
      <w:r>
        <w:fldChar w:fldCharType="end"/>
      </w:r>
      <w:r w:rsidRPr="00404DA5">
        <w:t xml:space="preserve"> Prognozowany poziom realizacji wskaźników produktu</w:t>
      </w:r>
      <w:r w:rsidR="00E66B89">
        <w:t xml:space="preserve"> i </w:t>
      </w:r>
      <w:r w:rsidRPr="00404DA5">
        <w:t>rezultatu bezpośredniego na rok 2023 – PI 1a</w:t>
      </w:r>
      <w:bookmarkEnd w:id="56"/>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54"/>
        <w:gridCol w:w="1419"/>
        <w:gridCol w:w="1995"/>
        <w:gridCol w:w="2000"/>
      </w:tblGrid>
      <w:tr w:rsidR="00BA3B1C" w:rsidRPr="00FE43CD" w14:paraId="7830AF15" w14:textId="77777777" w:rsidTr="00C22C26">
        <w:trPr>
          <w:trHeight w:val="925"/>
          <w:tblHeader/>
        </w:trPr>
        <w:tc>
          <w:tcPr>
            <w:tcW w:w="826" w:type="pct"/>
            <w:shd w:val="clear" w:color="auto" w:fill="DBE5F1"/>
            <w:vAlign w:val="center"/>
          </w:tcPr>
          <w:p w14:paraId="7127F3CB" w14:textId="77777777" w:rsidR="00BA3B1C" w:rsidRPr="00404DA5" w:rsidRDefault="00BA3B1C" w:rsidP="00BA3B1C">
            <w:pPr>
              <w:jc w:val="center"/>
              <w:rPr>
                <w:rFonts w:cs="Calibri"/>
                <w:sz w:val="16"/>
                <w:szCs w:val="18"/>
              </w:rPr>
            </w:pPr>
            <w:r w:rsidRPr="00404DA5">
              <w:rPr>
                <w:rFonts w:cs="Calibri"/>
                <w:sz w:val="16"/>
                <w:szCs w:val="18"/>
              </w:rPr>
              <w:t>Typ wskaźnika</w:t>
            </w:r>
          </w:p>
        </w:tc>
        <w:tc>
          <w:tcPr>
            <w:tcW w:w="1148" w:type="pct"/>
            <w:shd w:val="clear" w:color="auto" w:fill="DBE5F1"/>
            <w:vAlign w:val="center"/>
          </w:tcPr>
          <w:p w14:paraId="24C0A098" w14:textId="77777777" w:rsidR="00BA3B1C" w:rsidRPr="00404DA5" w:rsidRDefault="00BA3B1C" w:rsidP="00BA3B1C">
            <w:pPr>
              <w:jc w:val="center"/>
              <w:rPr>
                <w:rFonts w:cs="Calibri"/>
                <w:sz w:val="16"/>
                <w:szCs w:val="18"/>
              </w:rPr>
            </w:pPr>
            <w:r w:rsidRPr="00404DA5">
              <w:rPr>
                <w:rFonts w:cs="Calibri"/>
                <w:sz w:val="16"/>
                <w:szCs w:val="18"/>
              </w:rPr>
              <w:t>Wskaźnik</w:t>
            </w:r>
          </w:p>
        </w:tc>
        <w:tc>
          <w:tcPr>
            <w:tcW w:w="793" w:type="pct"/>
            <w:shd w:val="clear" w:color="auto" w:fill="DBE5F1"/>
            <w:vAlign w:val="center"/>
          </w:tcPr>
          <w:p w14:paraId="0CDDA5CA" w14:textId="77777777" w:rsidR="00BA3B1C" w:rsidRPr="00404DA5" w:rsidRDefault="00BA3B1C" w:rsidP="00BA3B1C">
            <w:pPr>
              <w:jc w:val="center"/>
              <w:rPr>
                <w:rFonts w:cs="Calibri"/>
                <w:sz w:val="16"/>
                <w:szCs w:val="18"/>
              </w:rPr>
            </w:pPr>
            <w:r w:rsidRPr="00404DA5">
              <w:rPr>
                <w:rFonts w:cs="Calibri"/>
                <w:sz w:val="16"/>
                <w:szCs w:val="18"/>
              </w:rPr>
              <w:t>Wartość docelowa określona na 2023 rok</w:t>
            </w:r>
          </w:p>
        </w:tc>
        <w:tc>
          <w:tcPr>
            <w:tcW w:w="1115" w:type="pct"/>
            <w:shd w:val="clear" w:color="auto" w:fill="DBE5F1"/>
            <w:vAlign w:val="center"/>
          </w:tcPr>
          <w:p w14:paraId="2E2DDD32" w14:textId="77777777" w:rsidR="00BA3B1C" w:rsidRPr="00404DA5" w:rsidRDefault="00BA3B1C" w:rsidP="00BA3B1C">
            <w:pPr>
              <w:jc w:val="center"/>
              <w:rPr>
                <w:rFonts w:cs="Calibri"/>
                <w:sz w:val="16"/>
                <w:szCs w:val="18"/>
              </w:rPr>
            </w:pPr>
            <w:r w:rsidRPr="00404DA5">
              <w:rPr>
                <w:rFonts w:cs="Calibri"/>
                <w:sz w:val="16"/>
                <w:szCs w:val="18"/>
              </w:rPr>
              <w:t xml:space="preserve">Prognozowana całkowita wartość wskaźnika </w:t>
            </w:r>
          </w:p>
        </w:tc>
        <w:tc>
          <w:tcPr>
            <w:tcW w:w="1118" w:type="pct"/>
            <w:shd w:val="clear" w:color="auto" w:fill="DBE5F1"/>
            <w:vAlign w:val="center"/>
          </w:tcPr>
          <w:p w14:paraId="308BA473" w14:textId="77777777" w:rsidR="00BA3B1C" w:rsidRPr="00404DA5" w:rsidRDefault="00BA3B1C" w:rsidP="00BA3B1C">
            <w:pPr>
              <w:jc w:val="center"/>
              <w:rPr>
                <w:rFonts w:cs="Calibri"/>
                <w:sz w:val="16"/>
                <w:szCs w:val="18"/>
              </w:rPr>
            </w:pPr>
            <w:r w:rsidRPr="00404DA5">
              <w:rPr>
                <w:rFonts w:cs="Calibri"/>
                <w:sz w:val="16"/>
                <w:szCs w:val="18"/>
              </w:rPr>
              <w:t>Prognozowany % realizacji wartości docelowej</w:t>
            </w:r>
          </w:p>
        </w:tc>
      </w:tr>
      <w:tr w:rsidR="00BA3B1C" w:rsidRPr="00FE43CD" w14:paraId="1C51EB9A" w14:textId="77777777" w:rsidTr="00BA3B1C">
        <w:trPr>
          <w:trHeight w:val="657"/>
        </w:trPr>
        <w:tc>
          <w:tcPr>
            <w:tcW w:w="826" w:type="pct"/>
            <w:shd w:val="clear" w:color="auto" w:fill="auto"/>
            <w:vAlign w:val="center"/>
          </w:tcPr>
          <w:p w14:paraId="7EB9BAA0"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vAlign w:val="center"/>
          </w:tcPr>
          <w:p w14:paraId="36399206" w14:textId="77777777" w:rsidR="00BA3B1C" w:rsidRPr="00404DA5" w:rsidRDefault="00BA3B1C" w:rsidP="00BA3B1C">
            <w:pPr>
              <w:rPr>
                <w:rFonts w:cs="Calibri"/>
                <w:sz w:val="18"/>
                <w:szCs w:val="18"/>
              </w:rPr>
            </w:pPr>
            <w:r w:rsidRPr="00404DA5">
              <w:rPr>
                <w:rFonts w:cs="Calibri"/>
                <w:sz w:val="18"/>
                <w:szCs w:val="18"/>
              </w:rPr>
              <w:t>Liczba jednostek naukowych ponoszących nakłady inwestycyjne na działalność B+R</w:t>
            </w:r>
          </w:p>
        </w:tc>
        <w:tc>
          <w:tcPr>
            <w:tcW w:w="793" w:type="pct"/>
            <w:shd w:val="clear" w:color="auto" w:fill="auto"/>
            <w:vAlign w:val="center"/>
          </w:tcPr>
          <w:p w14:paraId="59A3BA6F" w14:textId="77777777" w:rsidR="00BA3B1C" w:rsidRPr="00404DA5" w:rsidRDefault="00BA3B1C" w:rsidP="00BA3B1C">
            <w:pPr>
              <w:jc w:val="center"/>
              <w:rPr>
                <w:rFonts w:cs="Calibri"/>
                <w:sz w:val="18"/>
                <w:szCs w:val="18"/>
              </w:rPr>
            </w:pPr>
            <w:r w:rsidRPr="00404DA5">
              <w:rPr>
                <w:rFonts w:cs="Calibri"/>
                <w:sz w:val="18"/>
                <w:szCs w:val="18"/>
              </w:rPr>
              <w:t>3</w:t>
            </w:r>
          </w:p>
        </w:tc>
        <w:tc>
          <w:tcPr>
            <w:tcW w:w="1115" w:type="pct"/>
            <w:shd w:val="clear" w:color="auto" w:fill="auto"/>
            <w:vAlign w:val="center"/>
          </w:tcPr>
          <w:p w14:paraId="79340E63" w14:textId="77777777" w:rsidR="00BA3B1C" w:rsidRPr="00404DA5" w:rsidRDefault="00BA3B1C" w:rsidP="00BA3B1C">
            <w:pPr>
              <w:jc w:val="center"/>
              <w:rPr>
                <w:rFonts w:cs="Calibri"/>
                <w:sz w:val="18"/>
                <w:szCs w:val="18"/>
              </w:rPr>
            </w:pPr>
            <w:r w:rsidRPr="00404DA5">
              <w:rPr>
                <w:rFonts w:cs="Calibri"/>
                <w:sz w:val="18"/>
                <w:szCs w:val="18"/>
              </w:rPr>
              <w:t>11</w:t>
            </w:r>
          </w:p>
        </w:tc>
        <w:tc>
          <w:tcPr>
            <w:tcW w:w="1118" w:type="pct"/>
            <w:shd w:val="clear" w:color="auto" w:fill="auto"/>
            <w:vAlign w:val="center"/>
          </w:tcPr>
          <w:p w14:paraId="5D18D28A" w14:textId="77777777" w:rsidR="00BA3B1C" w:rsidRPr="00404DA5" w:rsidRDefault="00BA3B1C" w:rsidP="00BA3B1C">
            <w:pPr>
              <w:jc w:val="center"/>
              <w:rPr>
                <w:rFonts w:cs="Calibri"/>
                <w:sz w:val="18"/>
                <w:szCs w:val="18"/>
              </w:rPr>
            </w:pPr>
            <w:r w:rsidRPr="00404DA5">
              <w:rPr>
                <w:rFonts w:cs="Calibri"/>
                <w:sz w:val="18"/>
                <w:szCs w:val="18"/>
              </w:rPr>
              <w:t>371,5%</w:t>
            </w:r>
          </w:p>
        </w:tc>
      </w:tr>
      <w:tr w:rsidR="00BA3B1C" w:rsidRPr="00FE43CD" w14:paraId="5A836E41" w14:textId="77777777" w:rsidTr="00BA3B1C">
        <w:trPr>
          <w:trHeight w:val="657"/>
        </w:trPr>
        <w:tc>
          <w:tcPr>
            <w:tcW w:w="826" w:type="pct"/>
            <w:shd w:val="clear" w:color="auto" w:fill="auto"/>
            <w:vAlign w:val="center"/>
          </w:tcPr>
          <w:p w14:paraId="0DC822E7" w14:textId="77777777" w:rsidR="00BA3B1C" w:rsidRPr="00404DA5" w:rsidRDefault="00BA3B1C" w:rsidP="00BA3B1C">
            <w:pPr>
              <w:rPr>
                <w:rFonts w:cs="Calibri"/>
                <w:sz w:val="18"/>
                <w:szCs w:val="18"/>
              </w:rPr>
            </w:pPr>
            <w:r w:rsidRPr="00404DA5">
              <w:rPr>
                <w:rFonts w:cs="Calibri"/>
                <w:sz w:val="18"/>
                <w:szCs w:val="18"/>
              </w:rPr>
              <w:t>WR</w:t>
            </w:r>
          </w:p>
        </w:tc>
        <w:tc>
          <w:tcPr>
            <w:tcW w:w="1148" w:type="pct"/>
            <w:shd w:val="clear" w:color="auto" w:fill="auto"/>
            <w:vAlign w:val="center"/>
          </w:tcPr>
          <w:p w14:paraId="51EFB4FC" w14:textId="77777777" w:rsidR="00BA3B1C" w:rsidRPr="00404DA5" w:rsidRDefault="00BA3B1C" w:rsidP="00BA3B1C">
            <w:pPr>
              <w:rPr>
                <w:rFonts w:cs="Calibri"/>
                <w:sz w:val="18"/>
                <w:szCs w:val="18"/>
              </w:rPr>
            </w:pPr>
            <w:r w:rsidRPr="00404DA5">
              <w:rPr>
                <w:rFonts w:cs="Calibri"/>
                <w:sz w:val="18"/>
                <w:szCs w:val="18"/>
              </w:rPr>
              <w:t>Liczba naukowców pracujących</w:t>
            </w:r>
            <w:r w:rsidR="00E66B89">
              <w:rPr>
                <w:rFonts w:cs="Calibri"/>
                <w:sz w:val="18"/>
                <w:szCs w:val="18"/>
              </w:rPr>
              <w:t xml:space="preserve"> w </w:t>
            </w:r>
            <w:r w:rsidRPr="00404DA5">
              <w:rPr>
                <w:rFonts w:cs="Calibri"/>
                <w:sz w:val="18"/>
                <w:szCs w:val="18"/>
              </w:rPr>
              <w:t>ulepszonych obiektach infrastruktury badawczej</w:t>
            </w:r>
          </w:p>
        </w:tc>
        <w:tc>
          <w:tcPr>
            <w:tcW w:w="793" w:type="pct"/>
            <w:shd w:val="clear" w:color="auto" w:fill="auto"/>
            <w:vAlign w:val="center"/>
          </w:tcPr>
          <w:p w14:paraId="73FF02CF" w14:textId="77777777" w:rsidR="00BA3B1C" w:rsidRPr="00404DA5" w:rsidRDefault="00BA3B1C" w:rsidP="00BA3B1C">
            <w:pPr>
              <w:jc w:val="center"/>
              <w:rPr>
                <w:rFonts w:cs="Calibri"/>
                <w:sz w:val="18"/>
                <w:szCs w:val="18"/>
              </w:rPr>
            </w:pPr>
            <w:r w:rsidRPr="00404DA5">
              <w:rPr>
                <w:rFonts w:cs="Calibri"/>
                <w:sz w:val="18"/>
                <w:szCs w:val="18"/>
              </w:rPr>
              <w:t>41</w:t>
            </w:r>
          </w:p>
        </w:tc>
        <w:tc>
          <w:tcPr>
            <w:tcW w:w="1115" w:type="pct"/>
            <w:shd w:val="clear" w:color="auto" w:fill="auto"/>
            <w:vAlign w:val="center"/>
          </w:tcPr>
          <w:p w14:paraId="191BA22F" w14:textId="77777777" w:rsidR="00BA3B1C" w:rsidRPr="00404DA5" w:rsidRDefault="00BA3B1C" w:rsidP="00BA3B1C">
            <w:pPr>
              <w:jc w:val="center"/>
              <w:rPr>
                <w:rFonts w:cs="Calibri"/>
                <w:sz w:val="18"/>
                <w:szCs w:val="18"/>
              </w:rPr>
            </w:pPr>
            <w:r w:rsidRPr="00404DA5">
              <w:rPr>
                <w:rFonts w:cs="Calibri"/>
                <w:sz w:val="18"/>
                <w:szCs w:val="18"/>
              </w:rPr>
              <w:t>53</w:t>
            </w:r>
          </w:p>
        </w:tc>
        <w:tc>
          <w:tcPr>
            <w:tcW w:w="1118" w:type="pct"/>
            <w:shd w:val="clear" w:color="auto" w:fill="auto"/>
            <w:vAlign w:val="center"/>
          </w:tcPr>
          <w:p w14:paraId="5429969A" w14:textId="77777777" w:rsidR="00BA3B1C" w:rsidRPr="00404DA5" w:rsidRDefault="00BA3B1C" w:rsidP="00BA3B1C">
            <w:pPr>
              <w:jc w:val="center"/>
              <w:rPr>
                <w:rFonts w:cs="Calibri"/>
                <w:sz w:val="18"/>
                <w:szCs w:val="18"/>
              </w:rPr>
            </w:pPr>
            <w:r w:rsidRPr="00404DA5">
              <w:rPr>
                <w:rFonts w:cs="Calibri"/>
                <w:sz w:val="18"/>
                <w:szCs w:val="18"/>
              </w:rPr>
              <w:t>129,1%</w:t>
            </w:r>
          </w:p>
        </w:tc>
      </w:tr>
      <w:tr w:rsidR="00BA3B1C" w:rsidRPr="00FE43CD" w14:paraId="48378E37" w14:textId="77777777" w:rsidTr="00BA3B1C">
        <w:trPr>
          <w:trHeight w:val="672"/>
        </w:trPr>
        <w:tc>
          <w:tcPr>
            <w:tcW w:w="826" w:type="pct"/>
            <w:shd w:val="clear" w:color="auto" w:fill="auto"/>
            <w:vAlign w:val="center"/>
          </w:tcPr>
          <w:p w14:paraId="7F29AB6C" w14:textId="77777777" w:rsidR="00BA3B1C" w:rsidRPr="00404DA5" w:rsidRDefault="00BA3B1C" w:rsidP="00BA3B1C">
            <w:pPr>
              <w:rPr>
                <w:rFonts w:cs="Calibri"/>
                <w:sz w:val="18"/>
                <w:szCs w:val="18"/>
              </w:rPr>
            </w:pPr>
            <w:r w:rsidRPr="00404DA5">
              <w:rPr>
                <w:rFonts w:cs="Calibri"/>
                <w:sz w:val="18"/>
                <w:szCs w:val="18"/>
              </w:rPr>
              <w:t>WP</w:t>
            </w:r>
          </w:p>
        </w:tc>
        <w:tc>
          <w:tcPr>
            <w:tcW w:w="1148" w:type="pct"/>
            <w:shd w:val="clear" w:color="auto" w:fill="auto"/>
            <w:vAlign w:val="center"/>
          </w:tcPr>
          <w:p w14:paraId="7CA23914" w14:textId="77777777" w:rsidR="00BA3B1C" w:rsidRPr="00404DA5" w:rsidRDefault="00BA3B1C" w:rsidP="00BA3B1C">
            <w:pPr>
              <w:rPr>
                <w:rFonts w:cs="Calibri"/>
                <w:sz w:val="18"/>
                <w:szCs w:val="18"/>
              </w:rPr>
            </w:pPr>
            <w:r w:rsidRPr="00404DA5">
              <w:rPr>
                <w:rFonts w:cs="Calibri"/>
                <w:bCs/>
                <w:sz w:val="18"/>
                <w:szCs w:val="18"/>
              </w:rPr>
              <w:t>Inwestycje prywatne uzupełniające wsparcie publiczne</w:t>
            </w:r>
            <w:r w:rsidR="00E66B89">
              <w:rPr>
                <w:rFonts w:cs="Calibri"/>
                <w:bCs/>
                <w:sz w:val="18"/>
                <w:szCs w:val="18"/>
              </w:rPr>
              <w:t xml:space="preserve"> w </w:t>
            </w:r>
            <w:r w:rsidRPr="00404DA5">
              <w:rPr>
                <w:rFonts w:cs="Calibri"/>
                <w:bCs/>
                <w:sz w:val="18"/>
                <w:szCs w:val="18"/>
              </w:rPr>
              <w:t>projekty</w:t>
            </w:r>
            <w:r w:rsidR="00E66B89">
              <w:rPr>
                <w:rFonts w:cs="Calibri"/>
                <w:bCs/>
                <w:sz w:val="18"/>
                <w:szCs w:val="18"/>
              </w:rPr>
              <w:t xml:space="preserve"> </w:t>
            </w:r>
            <w:r w:rsidR="00E66B89">
              <w:rPr>
                <w:rFonts w:cs="Calibri"/>
                <w:bCs/>
                <w:sz w:val="18"/>
                <w:szCs w:val="18"/>
              </w:rPr>
              <w:lastRenderedPageBreak/>
              <w:t>w </w:t>
            </w:r>
            <w:r w:rsidRPr="00404DA5">
              <w:rPr>
                <w:rFonts w:cs="Calibri"/>
                <w:bCs/>
                <w:sz w:val="18"/>
                <w:szCs w:val="18"/>
              </w:rPr>
              <w:t>zakresie innowacji lub badań</w:t>
            </w:r>
            <w:r w:rsidR="00E66B89">
              <w:rPr>
                <w:rFonts w:cs="Calibri"/>
                <w:bCs/>
                <w:sz w:val="18"/>
                <w:szCs w:val="18"/>
              </w:rPr>
              <w:t xml:space="preserve"> i </w:t>
            </w:r>
            <w:r w:rsidRPr="00404DA5">
              <w:rPr>
                <w:rFonts w:cs="Calibri"/>
                <w:bCs/>
                <w:sz w:val="18"/>
                <w:szCs w:val="18"/>
              </w:rPr>
              <w:t>rozwoju</w:t>
            </w:r>
          </w:p>
        </w:tc>
        <w:tc>
          <w:tcPr>
            <w:tcW w:w="793" w:type="pct"/>
            <w:shd w:val="clear" w:color="auto" w:fill="auto"/>
            <w:vAlign w:val="center"/>
          </w:tcPr>
          <w:p w14:paraId="7674B55D" w14:textId="77777777" w:rsidR="00BA3B1C" w:rsidRPr="00404DA5" w:rsidRDefault="00BA3B1C" w:rsidP="00BA3B1C">
            <w:pPr>
              <w:jc w:val="center"/>
              <w:rPr>
                <w:rFonts w:cs="Calibri"/>
                <w:sz w:val="18"/>
                <w:szCs w:val="18"/>
              </w:rPr>
            </w:pPr>
            <w:r w:rsidRPr="00404DA5">
              <w:rPr>
                <w:rFonts w:cs="Calibri"/>
                <w:sz w:val="18"/>
                <w:szCs w:val="18"/>
              </w:rPr>
              <w:lastRenderedPageBreak/>
              <w:t>2 044 620</w:t>
            </w:r>
          </w:p>
        </w:tc>
        <w:tc>
          <w:tcPr>
            <w:tcW w:w="1115" w:type="pct"/>
            <w:shd w:val="clear" w:color="auto" w:fill="auto"/>
            <w:vAlign w:val="center"/>
          </w:tcPr>
          <w:p w14:paraId="765EAFC9" w14:textId="77777777" w:rsidR="00BA3B1C" w:rsidRPr="00404DA5" w:rsidRDefault="00BA3B1C" w:rsidP="00BA3B1C">
            <w:pPr>
              <w:jc w:val="center"/>
              <w:rPr>
                <w:rFonts w:cs="Calibri"/>
                <w:sz w:val="18"/>
                <w:szCs w:val="18"/>
              </w:rPr>
            </w:pPr>
            <w:r w:rsidRPr="00404DA5">
              <w:rPr>
                <w:rFonts w:cs="Calibri"/>
                <w:sz w:val="18"/>
                <w:szCs w:val="18"/>
              </w:rPr>
              <w:t>0</w:t>
            </w:r>
          </w:p>
        </w:tc>
        <w:tc>
          <w:tcPr>
            <w:tcW w:w="1118" w:type="pct"/>
            <w:shd w:val="clear" w:color="auto" w:fill="auto"/>
            <w:vAlign w:val="center"/>
          </w:tcPr>
          <w:p w14:paraId="298AADBA" w14:textId="77777777" w:rsidR="00BA3B1C" w:rsidRPr="00404DA5" w:rsidRDefault="00BA3B1C" w:rsidP="00BA3B1C">
            <w:pPr>
              <w:jc w:val="center"/>
              <w:rPr>
                <w:rFonts w:cs="Calibri"/>
                <w:sz w:val="18"/>
                <w:szCs w:val="18"/>
              </w:rPr>
            </w:pPr>
            <w:r w:rsidRPr="00404DA5">
              <w:rPr>
                <w:rFonts w:cs="Calibri"/>
                <w:sz w:val="18"/>
                <w:szCs w:val="18"/>
              </w:rPr>
              <w:t>0%</w:t>
            </w:r>
          </w:p>
        </w:tc>
      </w:tr>
    </w:tbl>
    <w:p w14:paraId="16579F10" w14:textId="77777777" w:rsidR="00BA3B1C" w:rsidRPr="002A5FDF" w:rsidRDefault="00BA3B1C" w:rsidP="00C22C26">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dane SL2014</w:t>
      </w:r>
      <w:r w:rsidR="00E66B89" w:rsidRPr="002A5FDF">
        <w:rPr>
          <w:rFonts w:cs="Calibri"/>
          <w:i/>
          <w:sz w:val="18"/>
        </w:rPr>
        <w:t xml:space="preserve"> o </w:t>
      </w:r>
      <w:r w:rsidRPr="002A5FDF">
        <w:rPr>
          <w:rFonts w:cs="Calibri"/>
          <w:i/>
          <w:sz w:val="18"/>
        </w:rPr>
        <w:t>zawartych UoD na dzień 07.01.2019 r., obliczenia</w:t>
      </w:r>
      <w:r w:rsidR="00E66B89" w:rsidRPr="002A5FDF">
        <w:rPr>
          <w:rFonts w:cs="Calibri"/>
          <w:i/>
          <w:sz w:val="18"/>
        </w:rPr>
        <w:t xml:space="preserve"> i </w:t>
      </w:r>
      <w:r w:rsidRPr="002A5FDF">
        <w:rPr>
          <w:rFonts w:cs="Calibri"/>
          <w:i/>
          <w:sz w:val="18"/>
        </w:rPr>
        <w:t xml:space="preserve">analizy własne. </w:t>
      </w:r>
    </w:p>
    <w:p w14:paraId="3A7DDC70" w14:textId="77777777" w:rsidR="00BA3B1C" w:rsidRPr="008B706B" w:rsidRDefault="00BA3B1C" w:rsidP="00BA3B1C">
      <w:pPr>
        <w:rPr>
          <w:rFonts w:cs="Calibri"/>
          <w:b/>
          <w:szCs w:val="20"/>
        </w:rPr>
      </w:pPr>
      <w:r w:rsidRPr="008B706B">
        <w:rPr>
          <w:rFonts w:cs="Calibri"/>
          <w:b/>
          <w:szCs w:val="20"/>
        </w:rPr>
        <w:t>REKOMENDACJA:</w:t>
      </w:r>
      <w:r w:rsidR="00E66B89">
        <w:rPr>
          <w:rFonts w:cs="Calibri"/>
          <w:b/>
          <w:szCs w:val="20"/>
        </w:rPr>
        <w:t xml:space="preserve"> W </w:t>
      </w:r>
      <w:r w:rsidRPr="008B706B">
        <w:rPr>
          <w:rFonts w:cs="Calibri"/>
          <w:b/>
          <w:szCs w:val="20"/>
        </w:rPr>
        <w:t>związku</w:t>
      </w:r>
      <w:r w:rsidR="00E66B89">
        <w:rPr>
          <w:rFonts w:cs="Calibri"/>
          <w:b/>
          <w:szCs w:val="20"/>
        </w:rPr>
        <w:t xml:space="preserve"> z </w:t>
      </w:r>
      <w:r w:rsidRPr="008B706B">
        <w:rPr>
          <w:rFonts w:cs="Calibri"/>
          <w:b/>
          <w:szCs w:val="20"/>
        </w:rPr>
        <w:t xml:space="preserve">wysokim ryzykiem nie osiągnięcia wartości docelowej wskaźnika </w:t>
      </w:r>
      <w:r w:rsidRPr="008B706B">
        <w:rPr>
          <w:rFonts w:cs="Calibri"/>
          <w:b/>
          <w:i/>
          <w:szCs w:val="20"/>
        </w:rPr>
        <w:t>Inwestycje prywatne uzupełniające wsparcie publiczne</w:t>
      </w:r>
      <w:r w:rsidR="00E66B89">
        <w:rPr>
          <w:rFonts w:cs="Calibri"/>
          <w:b/>
          <w:i/>
          <w:szCs w:val="20"/>
        </w:rPr>
        <w:t xml:space="preserve"> w </w:t>
      </w:r>
      <w:r w:rsidRPr="008B706B">
        <w:rPr>
          <w:rFonts w:cs="Calibri"/>
          <w:b/>
          <w:i/>
          <w:szCs w:val="20"/>
        </w:rPr>
        <w:t>projekty</w:t>
      </w:r>
      <w:r w:rsidR="00E66B89">
        <w:rPr>
          <w:rFonts w:cs="Calibri"/>
          <w:b/>
          <w:i/>
          <w:szCs w:val="20"/>
        </w:rPr>
        <w:t xml:space="preserve"> w </w:t>
      </w:r>
      <w:r w:rsidRPr="008B706B">
        <w:rPr>
          <w:rFonts w:cs="Calibri"/>
          <w:b/>
          <w:i/>
          <w:szCs w:val="20"/>
        </w:rPr>
        <w:t>zakresie innowacji lub badań</w:t>
      </w:r>
      <w:r w:rsidR="00E66B89">
        <w:rPr>
          <w:rFonts w:cs="Calibri"/>
          <w:b/>
          <w:i/>
          <w:szCs w:val="20"/>
        </w:rPr>
        <w:t xml:space="preserve"> i </w:t>
      </w:r>
      <w:r w:rsidRPr="008B706B">
        <w:rPr>
          <w:rFonts w:cs="Calibri"/>
          <w:b/>
          <w:i/>
          <w:szCs w:val="20"/>
        </w:rPr>
        <w:t>rozwoju</w:t>
      </w:r>
      <w:r w:rsidRPr="008B706B">
        <w:rPr>
          <w:rFonts w:cs="Calibri"/>
          <w:b/>
          <w:szCs w:val="20"/>
        </w:rPr>
        <w:t xml:space="preserve"> rekomenduje się zmniejszenie jego wartości do minimalnego poziomu lub jego całkowite usunięcie (o ile będzie to możliwe)</w:t>
      </w:r>
      <w:r w:rsidR="00E66B89">
        <w:rPr>
          <w:rFonts w:cs="Calibri"/>
          <w:b/>
          <w:szCs w:val="20"/>
        </w:rPr>
        <w:t xml:space="preserve"> z </w:t>
      </w:r>
      <w:r w:rsidRPr="008B706B">
        <w:rPr>
          <w:rFonts w:cs="Calibri"/>
          <w:b/>
          <w:szCs w:val="20"/>
        </w:rPr>
        <w:t xml:space="preserve">listy wskaźników produktu dla PI 1a. </w:t>
      </w:r>
    </w:p>
    <w:p w14:paraId="097E944D" w14:textId="77777777" w:rsidR="00BA3B1C" w:rsidRPr="00FE43CD" w:rsidRDefault="00BA3B1C" w:rsidP="00BA3B1C">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580BF8C1" w14:textId="77777777" w:rsidR="00BA3B1C" w:rsidRPr="00404DA5" w:rsidRDefault="00BA3B1C" w:rsidP="00BA3B1C">
      <w:pPr>
        <w:rPr>
          <w:rFonts w:cs="Calibri"/>
          <w:szCs w:val="20"/>
        </w:rPr>
      </w:pPr>
      <w:r>
        <w:rPr>
          <w:rFonts w:cs="Calibri"/>
          <w:szCs w:val="20"/>
        </w:rPr>
        <w:t>E</w:t>
      </w:r>
      <w:r w:rsidRPr="00404DA5">
        <w:rPr>
          <w:rFonts w:cs="Calibri"/>
          <w:szCs w:val="20"/>
        </w:rPr>
        <w:t>lementem ryzyka</w:t>
      </w:r>
      <w:r w:rsidR="00E66B89">
        <w:rPr>
          <w:rFonts w:cs="Calibri"/>
          <w:szCs w:val="20"/>
        </w:rPr>
        <w:t xml:space="preserve"> w </w:t>
      </w:r>
      <w:r w:rsidRPr="00404DA5">
        <w:rPr>
          <w:rFonts w:cs="Calibri"/>
          <w:szCs w:val="20"/>
        </w:rPr>
        <w:t xml:space="preserve">przypadku Działania 1.3 </w:t>
      </w:r>
      <w:r>
        <w:rPr>
          <w:rFonts w:cs="Calibri"/>
          <w:szCs w:val="20"/>
        </w:rPr>
        <w:t xml:space="preserve">może być </w:t>
      </w:r>
      <w:r w:rsidRPr="00404DA5">
        <w:rPr>
          <w:rFonts w:cs="Calibri"/>
          <w:szCs w:val="20"/>
        </w:rPr>
        <w:t>szczególna procedura uzgadniania projektów</w:t>
      </w:r>
      <w:r w:rsidR="00E66B89">
        <w:rPr>
          <w:rFonts w:cs="Calibri"/>
          <w:szCs w:val="20"/>
        </w:rPr>
        <w:t xml:space="preserve"> z </w:t>
      </w:r>
      <w:r w:rsidRPr="00404DA5">
        <w:rPr>
          <w:rFonts w:cs="Calibri"/>
          <w:szCs w:val="20"/>
        </w:rPr>
        <w:t xml:space="preserve">instytucjami szczebla krajowego, która </w:t>
      </w:r>
      <w:r>
        <w:rPr>
          <w:rFonts w:cs="Calibri"/>
          <w:szCs w:val="20"/>
        </w:rPr>
        <w:t>m</w:t>
      </w:r>
      <w:r w:rsidRPr="00404DA5">
        <w:rPr>
          <w:rFonts w:cs="Calibri"/>
          <w:szCs w:val="20"/>
        </w:rPr>
        <w:t>oże zniechęcać potencjalnych beneficjentów do przygotowywania projektów. Ponadto, istotne znaczenie mają tu wcześniej wspomniane czynniki związane</w:t>
      </w:r>
      <w:r w:rsidR="00E66B89">
        <w:rPr>
          <w:rFonts w:cs="Calibri"/>
          <w:szCs w:val="20"/>
        </w:rPr>
        <w:t xml:space="preserve"> z </w:t>
      </w:r>
      <w:r w:rsidRPr="00404DA5">
        <w:rPr>
          <w:rFonts w:cs="Calibri"/>
          <w:szCs w:val="20"/>
        </w:rPr>
        <w:t>nowymi warunkami działania uczelni</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wdrażaniem Ustawy 2.0.</w:t>
      </w:r>
    </w:p>
    <w:p w14:paraId="5E52F973" w14:textId="77777777" w:rsidR="00BA3B1C" w:rsidRPr="00404DA5" w:rsidRDefault="00BA3B1C" w:rsidP="00BA3B1C">
      <w:pPr>
        <w:rPr>
          <w:rFonts w:cs="Calibri"/>
          <w:szCs w:val="20"/>
        </w:rPr>
      </w:pPr>
      <w:r w:rsidRPr="00404DA5">
        <w:rPr>
          <w:rFonts w:cs="Calibri"/>
          <w:szCs w:val="20"/>
        </w:rPr>
        <w:t xml:space="preserve">W gestii IZ RPO WZ 2014-2020 leży </w:t>
      </w:r>
      <w:r>
        <w:rPr>
          <w:rFonts w:cs="Calibri"/>
          <w:szCs w:val="20"/>
        </w:rPr>
        <w:t>przede wszystkim</w:t>
      </w:r>
      <w:r w:rsidRPr="00404DA5">
        <w:rPr>
          <w:rFonts w:cs="Calibri"/>
          <w:szCs w:val="20"/>
        </w:rPr>
        <w:t xml:space="preserve"> wysondowanie możliwości aplikacyjnych potencjalnych wnioskodawców, zidentyfikowanie ewentualnych źródeł ich niepokoju związanego</w:t>
      </w:r>
      <w:r w:rsidR="00E66B89">
        <w:rPr>
          <w:rFonts w:cs="Calibri"/>
          <w:szCs w:val="20"/>
        </w:rPr>
        <w:t xml:space="preserve"> z </w:t>
      </w:r>
      <w:r w:rsidRPr="00404DA5">
        <w:rPr>
          <w:rFonts w:cs="Calibri"/>
          <w:szCs w:val="20"/>
        </w:rPr>
        <w:t>aplikowaniem oraz opracowanie środków mogących te niepokoje</w:t>
      </w:r>
      <w:r w:rsidR="00E66B89">
        <w:rPr>
          <w:rFonts w:cs="Calibri"/>
          <w:szCs w:val="20"/>
        </w:rPr>
        <w:t xml:space="preserve"> i </w:t>
      </w:r>
      <w:r w:rsidRPr="00404DA5">
        <w:rPr>
          <w:rFonts w:cs="Calibri"/>
          <w:szCs w:val="20"/>
        </w:rPr>
        <w:t>wątpliwości niwelować.</w:t>
      </w:r>
    </w:p>
    <w:p w14:paraId="30389BDA" w14:textId="77777777" w:rsidR="00BA3B1C" w:rsidRPr="00404DA5" w:rsidRDefault="00BA3B1C" w:rsidP="00BA3B1C">
      <w:pPr>
        <w:rPr>
          <w:rFonts w:cs="Calibri"/>
          <w:szCs w:val="20"/>
        </w:rPr>
      </w:pPr>
      <w:r w:rsidRPr="00404DA5">
        <w:rPr>
          <w:rFonts w:cs="Calibri"/>
          <w:szCs w:val="20"/>
        </w:rPr>
        <w:t>Kluczowe znaczenie będzie mieć sfinalizowanie uzgodnień projektów</w:t>
      </w:r>
      <w:r w:rsidR="00E66B89">
        <w:rPr>
          <w:rFonts w:cs="Calibri"/>
          <w:szCs w:val="20"/>
        </w:rPr>
        <w:t xml:space="preserve"> w </w:t>
      </w:r>
      <w:r w:rsidRPr="00404DA5">
        <w:rPr>
          <w:rFonts w:cs="Calibri"/>
          <w:szCs w:val="20"/>
        </w:rPr>
        <w:t>infrastrukturę B+R</w:t>
      </w:r>
      <w:r w:rsidR="00E66B89">
        <w:rPr>
          <w:rFonts w:cs="Calibri"/>
          <w:szCs w:val="20"/>
        </w:rPr>
        <w:t xml:space="preserve"> z </w:t>
      </w:r>
      <w:r w:rsidRPr="00404DA5">
        <w:rPr>
          <w:rFonts w:cs="Calibri"/>
          <w:szCs w:val="20"/>
        </w:rPr>
        <w:t>odpowiednimi instytucjami, od których wymagana jest akceptacja dla projektów. Ustalenia poczynione</w:t>
      </w:r>
      <w:r w:rsidR="00E66B89">
        <w:rPr>
          <w:rFonts w:cs="Calibri"/>
          <w:szCs w:val="20"/>
        </w:rPr>
        <w:t xml:space="preserve"> w </w:t>
      </w:r>
      <w:r w:rsidRPr="00404DA5">
        <w:rPr>
          <w:rFonts w:cs="Calibri"/>
          <w:szCs w:val="20"/>
        </w:rPr>
        <w:t>tym zakresie pozwolą uznać za wysoce prawdopodobne złożenie wniosków przez te podmioty, których wstępne projekty są obecnie konsultowane</w:t>
      </w:r>
      <w:r w:rsidR="00E66B89">
        <w:rPr>
          <w:rFonts w:cs="Calibri"/>
          <w:szCs w:val="20"/>
        </w:rPr>
        <w:t xml:space="preserve"> z </w:t>
      </w:r>
      <w:r w:rsidRPr="00404DA5">
        <w:rPr>
          <w:rFonts w:cs="Calibri"/>
          <w:szCs w:val="20"/>
        </w:rPr>
        <w:t>ww. podmiotami,</w:t>
      </w:r>
      <w:r w:rsidR="00E66B89">
        <w:rPr>
          <w:rFonts w:cs="Calibri"/>
          <w:szCs w:val="20"/>
        </w:rPr>
        <w:t xml:space="preserve"> i </w:t>
      </w:r>
      <w:r w:rsidRPr="00404DA5">
        <w:rPr>
          <w:rFonts w:cs="Calibri"/>
          <w:szCs w:val="20"/>
        </w:rPr>
        <w:t xml:space="preserve">ich późniejszą realizację. </w:t>
      </w:r>
    </w:p>
    <w:p w14:paraId="06BFC354" w14:textId="77777777" w:rsidR="00BA3B1C" w:rsidRPr="00404DA5" w:rsidRDefault="00BA3B1C" w:rsidP="00BA3B1C">
      <w:pPr>
        <w:rPr>
          <w:rFonts w:cs="Calibri"/>
          <w:szCs w:val="20"/>
        </w:rPr>
      </w:pPr>
      <w:r w:rsidRPr="00404DA5">
        <w:rPr>
          <w:rFonts w:cs="Calibri"/>
          <w:szCs w:val="20"/>
        </w:rPr>
        <w:t>Tym niemniej ryzyko nie wykorzystania alokacji</w:t>
      </w:r>
      <w:r w:rsidR="00E66B89">
        <w:rPr>
          <w:rFonts w:cs="Calibri"/>
          <w:szCs w:val="20"/>
        </w:rPr>
        <w:t xml:space="preserve"> z </w:t>
      </w:r>
      <w:r w:rsidRPr="00404DA5">
        <w:rPr>
          <w:rFonts w:cs="Calibri"/>
          <w:szCs w:val="20"/>
        </w:rPr>
        <w:t>uwagi na barierę popytu</w:t>
      </w:r>
      <w:r w:rsidR="00E66B89">
        <w:rPr>
          <w:rFonts w:cs="Calibri"/>
          <w:szCs w:val="20"/>
        </w:rPr>
        <w:t xml:space="preserve"> i </w:t>
      </w:r>
      <w:r w:rsidRPr="00404DA5">
        <w:rPr>
          <w:rFonts w:cs="Calibri"/>
          <w:szCs w:val="20"/>
        </w:rPr>
        <w:t>uciążliwą procedurę jest</w:t>
      </w:r>
      <w:r w:rsidR="00E66B89">
        <w:rPr>
          <w:rFonts w:cs="Calibri"/>
          <w:szCs w:val="20"/>
        </w:rPr>
        <w:t xml:space="preserve"> w </w:t>
      </w:r>
      <w:r w:rsidRPr="00404DA5">
        <w:rPr>
          <w:rFonts w:cs="Calibri"/>
          <w:szCs w:val="20"/>
        </w:rPr>
        <w:t>przypadku PI 1a duże,</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czym zasadne jest dokonanie realokacji środków</w:t>
      </w:r>
      <w:r w:rsidR="00E66B89">
        <w:rPr>
          <w:rFonts w:cs="Calibri"/>
          <w:szCs w:val="20"/>
        </w:rPr>
        <w:t xml:space="preserve"> z </w:t>
      </w:r>
      <w:r w:rsidRPr="00404DA5">
        <w:rPr>
          <w:rFonts w:cs="Calibri"/>
          <w:szCs w:val="20"/>
        </w:rPr>
        <w:t xml:space="preserve">tego PI na inne. Rekomenduje się </w:t>
      </w:r>
      <w:r>
        <w:rPr>
          <w:rFonts w:cs="Calibri"/>
          <w:szCs w:val="20"/>
        </w:rPr>
        <w:t xml:space="preserve">rozważenie </w:t>
      </w:r>
      <w:r w:rsidRPr="00404DA5">
        <w:rPr>
          <w:rFonts w:cs="Calibri"/>
          <w:szCs w:val="20"/>
        </w:rPr>
        <w:t>zmniejszeni</w:t>
      </w:r>
      <w:r>
        <w:rPr>
          <w:rFonts w:cs="Calibri"/>
          <w:szCs w:val="20"/>
        </w:rPr>
        <w:t>a</w:t>
      </w:r>
      <w:r w:rsidRPr="00404DA5">
        <w:rPr>
          <w:rFonts w:cs="Calibri"/>
          <w:szCs w:val="20"/>
        </w:rPr>
        <w:t xml:space="preserve"> alokacji na PI 1a do wysokości umożliwiającej osiągnięcie wskaźnika rezultatu bezpośredniego </w:t>
      </w:r>
      <w:r w:rsidRPr="00EF3F5C">
        <w:rPr>
          <w:rFonts w:cs="Calibri"/>
          <w:i/>
          <w:szCs w:val="20"/>
        </w:rPr>
        <w:t>Liczba naukowców pracujących</w:t>
      </w:r>
      <w:r w:rsidR="00E66B89">
        <w:rPr>
          <w:rFonts w:cs="Calibri"/>
          <w:i/>
          <w:szCs w:val="20"/>
        </w:rPr>
        <w:t xml:space="preserve"> w </w:t>
      </w:r>
      <w:r w:rsidRPr="00EF3F5C">
        <w:rPr>
          <w:rFonts w:cs="Calibri"/>
          <w:i/>
          <w:szCs w:val="20"/>
        </w:rPr>
        <w:t>ulepszonych obiektach infrastruktury badawczej</w:t>
      </w:r>
      <w:r w:rsidRPr="00404DA5">
        <w:rPr>
          <w:rFonts w:cs="Calibri"/>
          <w:szCs w:val="20"/>
        </w:rPr>
        <w:t>, tj.</w:t>
      </w:r>
      <w:r w:rsidR="00E66B89">
        <w:rPr>
          <w:rFonts w:cs="Calibri"/>
          <w:szCs w:val="20"/>
        </w:rPr>
        <w:t xml:space="preserve"> o </w:t>
      </w:r>
      <w:r w:rsidRPr="00404DA5">
        <w:rPr>
          <w:rFonts w:cs="Calibri"/>
          <w:szCs w:val="20"/>
        </w:rPr>
        <w:t>4,2 mln euro.</w:t>
      </w:r>
    </w:p>
    <w:p w14:paraId="05B52BC9" w14:textId="77777777" w:rsidR="00BA3B1C" w:rsidRPr="00FE43CD" w:rsidRDefault="00BA3B1C" w:rsidP="006E34DC">
      <w:pPr>
        <w:pStyle w:val="Legenda"/>
        <w:spacing w:after="0"/>
      </w:pPr>
      <w:bookmarkStart w:id="57" w:name="_Toc8824124"/>
      <w:r w:rsidRPr="00FE43CD">
        <w:t xml:space="preserve">Tabela </w:t>
      </w:r>
      <w:r>
        <w:fldChar w:fldCharType="begin"/>
      </w:r>
      <w:r>
        <w:instrText xml:space="preserve"> SEQ Tabela \* ARABIC </w:instrText>
      </w:r>
      <w:r>
        <w:fldChar w:fldCharType="separate"/>
      </w:r>
      <w:r w:rsidR="00763345">
        <w:rPr>
          <w:noProof/>
        </w:rPr>
        <w:t>13</w:t>
      </w:r>
      <w:r>
        <w:fldChar w:fldCharType="end"/>
      </w:r>
      <w:r w:rsidRPr="00FE43CD">
        <w:t xml:space="preserve"> Wskaźniki wymagające zmiany wartości – PI </w:t>
      </w:r>
      <w:r>
        <w:t>1a</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587"/>
        <w:gridCol w:w="1028"/>
        <w:gridCol w:w="1704"/>
        <w:gridCol w:w="2759"/>
      </w:tblGrid>
      <w:tr w:rsidR="00BA3B1C" w:rsidRPr="00FE43CD" w14:paraId="2CF3B74B" w14:textId="77777777" w:rsidTr="00C22C26">
        <w:trPr>
          <w:tblHeader/>
        </w:trPr>
        <w:tc>
          <w:tcPr>
            <w:tcW w:w="0" w:type="auto"/>
            <w:shd w:val="clear" w:color="auto" w:fill="DBE5F1"/>
            <w:vAlign w:val="center"/>
          </w:tcPr>
          <w:p w14:paraId="125D6F53" w14:textId="77777777" w:rsidR="00BA3B1C" w:rsidRPr="00404DA5" w:rsidRDefault="00BA3B1C" w:rsidP="00BA3B1C">
            <w:pPr>
              <w:jc w:val="center"/>
              <w:rPr>
                <w:rFonts w:cs="Calibri"/>
                <w:sz w:val="16"/>
                <w:szCs w:val="16"/>
              </w:rPr>
            </w:pPr>
            <w:r w:rsidRPr="00404DA5">
              <w:rPr>
                <w:rFonts w:cs="Calibri"/>
                <w:sz w:val="16"/>
                <w:szCs w:val="16"/>
              </w:rPr>
              <w:t>Typ wskaźnika</w:t>
            </w:r>
          </w:p>
        </w:tc>
        <w:tc>
          <w:tcPr>
            <w:tcW w:w="0" w:type="auto"/>
            <w:shd w:val="clear" w:color="auto" w:fill="DBE5F1"/>
            <w:vAlign w:val="center"/>
          </w:tcPr>
          <w:p w14:paraId="25848A90" w14:textId="77777777" w:rsidR="00BA3B1C" w:rsidRPr="00404DA5" w:rsidRDefault="00BA3B1C" w:rsidP="00BA3B1C">
            <w:pPr>
              <w:jc w:val="center"/>
              <w:rPr>
                <w:rFonts w:cs="Calibri"/>
                <w:sz w:val="16"/>
                <w:szCs w:val="16"/>
              </w:rPr>
            </w:pPr>
            <w:r w:rsidRPr="00404DA5">
              <w:rPr>
                <w:rFonts w:cs="Calibri"/>
                <w:sz w:val="16"/>
                <w:szCs w:val="16"/>
              </w:rPr>
              <w:t>Wskaźnik</w:t>
            </w:r>
          </w:p>
        </w:tc>
        <w:tc>
          <w:tcPr>
            <w:tcW w:w="0" w:type="auto"/>
            <w:shd w:val="clear" w:color="auto" w:fill="DBE5F1"/>
            <w:vAlign w:val="center"/>
          </w:tcPr>
          <w:p w14:paraId="68C46DC2" w14:textId="77777777" w:rsidR="00BA3B1C" w:rsidRPr="00404DA5" w:rsidRDefault="00BA3B1C" w:rsidP="00BA3B1C">
            <w:pPr>
              <w:jc w:val="center"/>
              <w:rPr>
                <w:rFonts w:cs="Calibri"/>
                <w:sz w:val="16"/>
                <w:szCs w:val="16"/>
              </w:rPr>
            </w:pPr>
            <w:r w:rsidRPr="00404DA5">
              <w:rPr>
                <w:rFonts w:cs="Calibri"/>
                <w:sz w:val="16"/>
                <w:szCs w:val="16"/>
              </w:rPr>
              <w:t>Jednostka pomiaru</w:t>
            </w:r>
          </w:p>
        </w:tc>
        <w:tc>
          <w:tcPr>
            <w:tcW w:w="0" w:type="auto"/>
            <w:shd w:val="clear" w:color="auto" w:fill="DBE5F1"/>
            <w:vAlign w:val="center"/>
          </w:tcPr>
          <w:p w14:paraId="52B39533" w14:textId="77777777" w:rsidR="00BA3B1C" w:rsidRPr="00404DA5" w:rsidRDefault="00BA3B1C" w:rsidP="00BA3B1C">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vAlign w:val="center"/>
          </w:tcPr>
          <w:p w14:paraId="4E6FAAAE" w14:textId="77777777" w:rsidR="00BA3B1C" w:rsidRPr="00404DA5" w:rsidRDefault="00BA3B1C" w:rsidP="00BA3B1C">
            <w:pPr>
              <w:jc w:val="center"/>
              <w:rPr>
                <w:rFonts w:cs="Calibri"/>
                <w:sz w:val="16"/>
                <w:szCs w:val="16"/>
              </w:rPr>
            </w:pPr>
            <w:r>
              <w:rPr>
                <w:rFonts w:cs="Calibri"/>
                <w:sz w:val="16"/>
                <w:szCs w:val="16"/>
              </w:rPr>
              <w:t>Proponowana w</w:t>
            </w:r>
            <w:r w:rsidRPr="00404DA5">
              <w:rPr>
                <w:rFonts w:cs="Calibri"/>
                <w:sz w:val="16"/>
                <w:szCs w:val="16"/>
              </w:rPr>
              <w:t>artość docelowa na koniec 2023 r.</w:t>
            </w:r>
          </w:p>
        </w:tc>
      </w:tr>
      <w:tr w:rsidR="00BA3B1C" w:rsidRPr="00FE43CD" w14:paraId="3E854181" w14:textId="77777777" w:rsidTr="00BA3B1C">
        <w:tc>
          <w:tcPr>
            <w:tcW w:w="0" w:type="auto"/>
            <w:shd w:val="clear" w:color="auto" w:fill="auto"/>
            <w:vAlign w:val="center"/>
          </w:tcPr>
          <w:p w14:paraId="1CCB892C" w14:textId="77777777" w:rsidR="00BA3B1C" w:rsidRPr="00404DA5" w:rsidRDefault="00BA3B1C" w:rsidP="00BA3B1C">
            <w:pPr>
              <w:jc w:val="center"/>
              <w:rPr>
                <w:rFonts w:eastAsia="Calibri" w:cs="Calibri"/>
                <w:sz w:val="16"/>
                <w:szCs w:val="16"/>
              </w:rPr>
            </w:pPr>
            <w:r w:rsidRPr="00404DA5">
              <w:rPr>
                <w:rFonts w:eastAsia="Calibri" w:cs="Calibri"/>
                <w:sz w:val="16"/>
                <w:szCs w:val="16"/>
              </w:rPr>
              <w:t>WP</w:t>
            </w:r>
          </w:p>
        </w:tc>
        <w:tc>
          <w:tcPr>
            <w:tcW w:w="0" w:type="auto"/>
            <w:shd w:val="clear" w:color="auto" w:fill="auto"/>
            <w:vAlign w:val="center"/>
          </w:tcPr>
          <w:p w14:paraId="475A170E" w14:textId="77777777" w:rsidR="00BA3B1C" w:rsidRPr="00404DA5" w:rsidRDefault="00BA3B1C" w:rsidP="00BA3B1C">
            <w:pPr>
              <w:jc w:val="center"/>
              <w:rPr>
                <w:rFonts w:eastAsia="Calibri" w:cs="Calibri"/>
                <w:sz w:val="16"/>
                <w:szCs w:val="16"/>
              </w:rPr>
            </w:pPr>
            <w:r w:rsidRPr="00404DA5">
              <w:rPr>
                <w:rFonts w:cs="Calibri"/>
                <w:sz w:val="18"/>
                <w:szCs w:val="18"/>
              </w:rPr>
              <w:t>Liczba jednostek naukowych ponoszących nakłady inwestycyjne na działalność B+R</w:t>
            </w:r>
          </w:p>
        </w:tc>
        <w:tc>
          <w:tcPr>
            <w:tcW w:w="0" w:type="auto"/>
            <w:shd w:val="clear" w:color="auto" w:fill="auto"/>
            <w:vAlign w:val="center"/>
          </w:tcPr>
          <w:p w14:paraId="66334528" w14:textId="77777777" w:rsidR="00BA3B1C" w:rsidRPr="00404DA5" w:rsidRDefault="00BA3B1C" w:rsidP="00BA3B1C">
            <w:pPr>
              <w:jc w:val="center"/>
              <w:rPr>
                <w:rFonts w:eastAsia="Calibri" w:cs="Calibri"/>
                <w:sz w:val="16"/>
                <w:szCs w:val="16"/>
              </w:rPr>
            </w:pPr>
            <w:r w:rsidRPr="00404DA5">
              <w:rPr>
                <w:rFonts w:cs="Calibri"/>
                <w:sz w:val="18"/>
                <w:szCs w:val="18"/>
              </w:rPr>
              <w:t>szt.</w:t>
            </w:r>
          </w:p>
        </w:tc>
        <w:tc>
          <w:tcPr>
            <w:tcW w:w="0" w:type="auto"/>
            <w:shd w:val="clear" w:color="auto" w:fill="auto"/>
            <w:vAlign w:val="center"/>
          </w:tcPr>
          <w:p w14:paraId="57F0FDE6" w14:textId="77777777" w:rsidR="00BA3B1C" w:rsidRPr="00404DA5" w:rsidRDefault="00BA3B1C" w:rsidP="00BA3B1C">
            <w:pPr>
              <w:jc w:val="center"/>
              <w:rPr>
                <w:rFonts w:eastAsia="Calibri" w:cs="Calibri"/>
                <w:sz w:val="16"/>
                <w:szCs w:val="16"/>
              </w:rPr>
            </w:pPr>
            <w:r w:rsidRPr="00404DA5">
              <w:rPr>
                <w:rFonts w:cs="Calibri"/>
                <w:sz w:val="18"/>
                <w:szCs w:val="18"/>
              </w:rPr>
              <w:t>3</w:t>
            </w:r>
          </w:p>
        </w:tc>
        <w:tc>
          <w:tcPr>
            <w:tcW w:w="0" w:type="auto"/>
            <w:shd w:val="clear" w:color="auto" w:fill="auto"/>
            <w:vAlign w:val="center"/>
          </w:tcPr>
          <w:p w14:paraId="53494FBF" w14:textId="77777777" w:rsidR="00BA3B1C" w:rsidRPr="00404DA5" w:rsidRDefault="00BA3B1C" w:rsidP="00BA3B1C">
            <w:pPr>
              <w:jc w:val="center"/>
              <w:rPr>
                <w:rFonts w:eastAsia="Calibri" w:cs="Calibri"/>
                <w:sz w:val="18"/>
                <w:szCs w:val="16"/>
              </w:rPr>
            </w:pPr>
            <w:r w:rsidRPr="00404DA5">
              <w:rPr>
                <w:rFonts w:eastAsia="Calibri" w:cs="Calibri"/>
                <w:sz w:val="18"/>
                <w:szCs w:val="16"/>
              </w:rPr>
              <w:t>8</w:t>
            </w:r>
          </w:p>
        </w:tc>
      </w:tr>
      <w:tr w:rsidR="00BA3B1C" w:rsidRPr="00FE43CD" w14:paraId="37ED85A6" w14:textId="77777777" w:rsidTr="00BA3B1C">
        <w:tc>
          <w:tcPr>
            <w:tcW w:w="0" w:type="auto"/>
            <w:shd w:val="clear" w:color="auto" w:fill="auto"/>
            <w:vAlign w:val="center"/>
          </w:tcPr>
          <w:p w14:paraId="192EDA04" w14:textId="77777777" w:rsidR="00BA3B1C" w:rsidRPr="00404DA5" w:rsidRDefault="00BA3B1C" w:rsidP="00BA3B1C">
            <w:pPr>
              <w:jc w:val="center"/>
              <w:rPr>
                <w:rFonts w:eastAsia="Calibri" w:cs="Calibri"/>
                <w:sz w:val="16"/>
                <w:szCs w:val="16"/>
              </w:rPr>
            </w:pPr>
            <w:r w:rsidRPr="00404DA5">
              <w:rPr>
                <w:rFonts w:eastAsia="Calibri" w:cs="Calibri"/>
                <w:sz w:val="16"/>
                <w:szCs w:val="16"/>
              </w:rPr>
              <w:t>WR</w:t>
            </w:r>
          </w:p>
        </w:tc>
        <w:tc>
          <w:tcPr>
            <w:tcW w:w="0" w:type="auto"/>
            <w:shd w:val="clear" w:color="auto" w:fill="auto"/>
            <w:vAlign w:val="center"/>
          </w:tcPr>
          <w:p w14:paraId="356E915D" w14:textId="77777777" w:rsidR="00BA3B1C" w:rsidRPr="00404DA5" w:rsidRDefault="00BA3B1C" w:rsidP="00BA3B1C">
            <w:pPr>
              <w:jc w:val="center"/>
              <w:rPr>
                <w:rFonts w:eastAsia="Calibri" w:cs="Calibri"/>
                <w:sz w:val="16"/>
                <w:szCs w:val="16"/>
              </w:rPr>
            </w:pPr>
            <w:r w:rsidRPr="00404DA5">
              <w:rPr>
                <w:rFonts w:cs="Calibri"/>
                <w:sz w:val="18"/>
                <w:szCs w:val="18"/>
              </w:rPr>
              <w:t>Liczba naukowców pracujących</w:t>
            </w:r>
            <w:r w:rsidR="00E66B89">
              <w:rPr>
                <w:rFonts w:cs="Calibri"/>
                <w:sz w:val="18"/>
                <w:szCs w:val="18"/>
              </w:rPr>
              <w:t xml:space="preserve"> w </w:t>
            </w:r>
            <w:r w:rsidRPr="00404DA5">
              <w:rPr>
                <w:rFonts w:cs="Calibri"/>
                <w:sz w:val="18"/>
                <w:szCs w:val="18"/>
              </w:rPr>
              <w:t>ulepszonych obiektach infrastruktury badawczej</w:t>
            </w:r>
          </w:p>
        </w:tc>
        <w:tc>
          <w:tcPr>
            <w:tcW w:w="0" w:type="auto"/>
            <w:shd w:val="clear" w:color="auto" w:fill="auto"/>
            <w:vAlign w:val="center"/>
          </w:tcPr>
          <w:p w14:paraId="6DCB6251" w14:textId="77777777" w:rsidR="00BA3B1C" w:rsidRPr="00404DA5" w:rsidRDefault="00BA3B1C" w:rsidP="00BA3B1C">
            <w:pPr>
              <w:jc w:val="center"/>
              <w:rPr>
                <w:rFonts w:eastAsia="Calibri" w:cs="Calibri"/>
                <w:sz w:val="16"/>
                <w:szCs w:val="16"/>
              </w:rPr>
            </w:pPr>
            <w:r w:rsidRPr="00404DA5">
              <w:rPr>
                <w:rFonts w:cs="Calibri"/>
                <w:sz w:val="18"/>
                <w:szCs w:val="18"/>
              </w:rPr>
              <w:t>szt.</w:t>
            </w:r>
          </w:p>
        </w:tc>
        <w:tc>
          <w:tcPr>
            <w:tcW w:w="0" w:type="auto"/>
            <w:shd w:val="clear" w:color="auto" w:fill="auto"/>
            <w:vAlign w:val="center"/>
          </w:tcPr>
          <w:p w14:paraId="2E87ACD8" w14:textId="77777777" w:rsidR="00BA3B1C" w:rsidRPr="00404DA5" w:rsidRDefault="00BA3B1C" w:rsidP="00BA3B1C">
            <w:pPr>
              <w:jc w:val="center"/>
              <w:rPr>
                <w:rFonts w:eastAsia="Calibri" w:cs="Calibri"/>
                <w:sz w:val="16"/>
                <w:szCs w:val="16"/>
              </w:rPr>
            </w:pPr>
            <w:r w:rsidRPr="00404DA5">
              <w:rPr>
                <w:rFonts w:cs="Calibri"/>
                <w:sz w:val="18"/>
                <w:szCs w:val="18"/>
              </w:rPr>
              <w:t>41</w:t>
            </w:r>
          </w:p>
        </w:tc>
        <w:tc>
          <w:tcPr>
            <w:tcW w:w="0" w:type="auto"/>
            <w:shd w:val="clear" w:color="auto" w:fill="auto"/>
            <w:vAlign w:val="center"/>
          </w:tcPr>
          <w:p w14:paraId="25FEB835" w14:textId="77777777" w:rsidR="00BA3B1C" w:rsidRPr="00404DA5" w:rsidRDefault="00BA3B1C" w:rsidP="00BA3B1C">
            <w:pPr>
              <w:jc w:val="center"/>
              <w:rPr>
                <w:rFonts w:eastAsia="Calibri" w:cs="Calibri"/>
                <w:sz w:val="18"/>
                <w:szCs w:val="16"/>
              </w:rPr>
            </w:pPr>
            <w:r w:rsidRPr="00404DA5">
              <w:rPr>
                <w:rFonts w:eastAsia="Calibri" w:cs="Calibri"/>
                <w:sz w:val="18"/>
                <w:szCs w:val="16"/>
              </w:rPr>
              <w:t>41</w:t>
            </w:r>
          </w:p>
        </w:tc>
      </w:tr>
      <w:tr w:rsidR="00BA3B1C" w:rsidRPr="00FE43CD" w14:paraId="1F2878E4" w14:textId="77777777" w:rsidTr="00BA3B1C">
        <w:tc>
          <w:tcPr>
            <w:tcW w:w="0" w:type="auto"/>
            <w:shd w:val="clear" w:color="auto" w:fill="auto"/>
            <w:vAlign w:val="center"/>
          </w:tcPr>
          <w:p w14:paraId="2E2CF438" w14:textId="77777777" w:rsidR="00BA3B1C" w:rsidRPr="00404DA5" w:rsidRDefault="00BA3B1C" w:rsidP="00BA3B1C">
            <w:pPr>
              <w:jc w:val="center"/>
              <w:rPr>
                <w:rFonts w:eastAsia="Calibri" w:cs="Calibri"/>
                <w:sz w:val="16"/>
                <w:szCs w:val="16"/>
              </w:rPr>
            </w:pPr>
            <w:r w:rsidRPr="00404DA5">
              <w:rPr>
                <w:rFonts w:eastAsia="Calibri" w:cs="Calibri"/>
                <w:sz w:val="16"/>
                <w:szCs w:val="16"/>
              </w:rPr>
              <w:lastRenderedPageBreak/>
              <w:t>WP</w:t>
            </w:r>
          </w:p>
        </w:tc>
        <w:tc>
          <w:tcPr>
            <w:tcW w:w="0" w:type="auto"/>
            <w:shd w:val="clear" w:color="auto" w:fill="auto"/>
            <w:vAlign w:val="center"/>
          </w:tcPr>
          <w:p w14:paraId="0DA1C3B1" w14:textId="77777777" w:rsidR="00BA3B1C" w:rsidRPr="00404DA5" w:rsidRDefault="00BA3B1C" w:rsidP="00BA3B1C">
            <w:pPr>
              <w:jc w:val="center"/>
              <w:rPr>
                <w:rFonts w:eastAsia="Calibri" w:cs="Calibri"/>
                <w:sz w:val="16"/>
                <w:szCs w:val="16"/>
              </w:rPr>
            </w:pPr>
            <w:r w:rsidRPr="00404DA5">
              <w:rPr>
                <w:rFonts w:cs="Calibri"/>
                <w:bCs/>
                <w:sz w:val="18"/>
                <w:szCs w:val="18"/>
              </w:rPr>
              <w:t>Inwestycje prywatne uzupełniające wsparcie publiczne</w:t>
            </w:r>
            <w:r w:rsidR="00E66B89">
              <w:rPr>
                <w:rFonts w:cs="Calibri"/>
                <w:bCs/>
                <w:sz w:val="18"/>
                <w:szCs w:val="18"/>
              </w:rPr>
              <w:t xml:space="preserve"> w </w:t>
            </w:r>
            <w:r w:rsidRPr="00404DA5">
              <w:rPr>
                <w:rFonts w:cs="Calibri"/>
                <w:bCs/>
                <w:sz w:val="18"/>
                <w:szCs w:val="18"/>
              </w:rPr>
              <w:t>projekty</w:t>
            </w:r>
            <w:r w:rsidR="00E66B89">
              <w:rPr>
                <w:rFonts w:cs="Calibri"/>
                <w:bCs/>
                <w:sz w:val="18"/>
                <w:szCs w:val="18"/>
              </w:rPr>
              <w:t xml:space="preserve"> w </w:t>
            </w:r>
            <w:r w:rsidRPr="00404DA5">
              <w:rPr>
                <w:rFonts w:cs="Calibri"/>
                <w:bCs/>
                <w:sz w:val="18"/>
                <w:szCs w:val="18"/>
              </w:rPr>
              <w:t>zakresie innowacji lub badań</w:t>
            </w:r>
            <w:r w:rsidR="00E66B89">
              <w:rPr>
                <w:rFonts w:cs="Calibri"/>
                <w:bCs/>
                <w:sz w:val="18"/>
                <w:szCs w:val="18"/>
              </w:rPr>
              <w:t xml:space="preserve"> i </w:t>
            </w:r>
            <w:r w:rsidRPr="00404DA5">
              <w:rPr>
                <w:rFonts w:cs="Calibri"/>
                <w:bCs/>
                <w:sz w:val="18"/>
                <w:szCs w:val="18"/>
              </w:rPr>
              <w:t>rozwoju</w:t>
            </w:r>
          </w:p>
        </w:tc>
        <w:tc>
          <w:tcPr>
            <w:tcW w:w="0" w:type="auto"/>
            <w:shd w:val="clear" w:color="auto" w:fill="auto"/>
            <w:vAlign w:val="center"/>
          </w:tcPr>
          <w:p w14:paraId="11DD0B63" w14:textId="77777777" w:rsidR="00BA3B1C" w:rsidRPr="00404DA5" w:rsidRDefault="00BA3B1C" w:rsidP="00BA3B1C">
            <w:pPr>
              <w:jc w:val="center"/>
              <w:rPr>
                <w:rFonts w:eastAsia="Calibri" w:cs="Calibri"/>
                <w:sz w:val="16"/>
                <w:szCs w:val="16"/>
              </w:rPr>
            </w:pPr>
            <w:r w:rsidRPr="00404DA5">
              <w:rPr>
                <w:rFonts w:cs="Calibri"/>
                <w:bCs/>
                <w:sz w:val="18"/>
                <w:szCs w:val="18"/>
              </w:rPr>
              <w:t>EUR</w:t>
            </w:r>
          </w:p>
        </w:tc>
        <w:tc>
          <w:tcPr>
            <w:tcW w:w="0" w:type="auto"/>
            <w:shd w:val="clear" w:color="auto" w:fill="auto"/>
            <w:vAlign w:val="center"/>
          </w:tcPr>
          <w:p w14:paraId="680A7D46" w14:textId="77777777" w:rsidR="00BA3B1C" w:rsidRPr="00404DA5" w:rsidRDefault="00BA3B1C" w:rsidP="00BA3B1C">
            <w:pPr>
              <w:jc w:val="center"/>
              <w:rPr>
                <w:rFonts w:eastAsia="Calibri" w:cs="Calibri"/>
                <w:sz w:val="16"/>
                <w:szCs w:val="16"/>
              </w:rPr>
            </w:pPr>
            <w:r w:rsidRPr="00404DA5">
              <w:rPr>
                <w:rFonts w:cs="Calibri"/>
                <w:sz w:val="18"/>
                <w:szCs w:val="18"/>
              </w:rPr>
              <w:t>2 044 620</w:t>
            </w:r>
          </w:p>
        </w:tc>
        <w:tc>
          <w:tcPr>
            <w:tcW w:w="0" w:type="auto"/>
            <w:shd w:val="clear" w:color="auto" w:fill="auto"/>
            <w:vAlign w:val="center"/>
          </w:tcPr>
          <w:p w14:paraId="7574DBFD" w14:textId="77777777" w:rsidR="00BA3B1C" w:rsidRPr="00404DA5" w:rsidRDefault="00BA3B1C" w:rsidP="00BA3B1C">
            <w:pPr>
              <w:jc w:val="center"/>
              <w:rPr>
                <w:rFonts w:eastAsia="Calibri" w:cs="Calibri"/>
                <w:sz w:val="18"/>
                <w:szCs w:val="16"/>
              </w:rPr>
            </w:pPr>
            <w:r w:rsidRPr="00404DA5">
              <w:rPr>
                <w:rFonts w:eastAsia="Calibri" w:cs="Calibri"/>
                <w:sz w:val="18"/>
                <w:szCs w:val="16"/>
              </w:rPr>
              <w:t xml:space="preserve">Rekomendowane </w:t>
            </w:r>
            <w:r>
              <w:rPr>
                <w:rFonts w:eastAsia="Calibri" w:cs="Calibri"/>
                <w:sz w:val="18"/>
                <w:szCs w:val="16"/>
              </w:rPr>
              <w:t xml:space="preserve">zmniejszenie wartości </w:t>
            </w:r>
            <w:r w:rsidRPr="00404DA5">
              <w:rPr>
                <w:rFonts w:eastAsia="Calibri" w:cs="Calibri"/>
                <w:sz w:val="18"/>
                <w:szCs w:val="16"/>
              </w:rPr>
              <w:t>wskaźnika</w:t>
            </w:r>
            <w:r>
              <w:rPr>
                <w:rFonts w:eastAsia="Calibri" w:cs="Calibri"/>
                <w:sz w:val="18"/>
                <w:szCs w:val="16"/>
              </w:rPr>
              <w:t xml:space="preserve"> do minimalnej wartości lub jego</w:t>
            </w:r>
            <w:r w:rsidRPr="00404DA5">
              <w:rPr>
                <w:rFonts w:eastAsia="Calibri" w:cs="Calibri"/>
                <w:sz w:val="18"/>
                <w:szCs w:val="16"/>
              </w:rPr>
              <w:t xml:space="preserve"> usunięcie</w:t>
            </w:r>
            <w:r>
              <w:rPr>
                <w:rFonts w:eastAsia="Calibri" w:cs="Calibri"/>
                <w:sz w:val="18"/>
                <w:szCs w:val="16"/>
              </w:rPr>
              <w:t xml:space="preserve"> (jeśli możliwe)</w:t>
            </w:r>
          </w:p>
        </w:tc>
      </w:tr>
    </w:tbl>
    <w:p w14:paraId="6EB27F98" w14:textId="77777777" w:rsidR="0006170B" w:rsidRPr="002A5FDF" w:rsidRDefault="00BA3B1C"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analizy własne.</w:t>
      </w:r>
    </w:p>
    <w:p w14:paraId="50D5CFF8" w14:textId="77777777" w:rsidR="00F00EE3" w:rsidRPr="00B82E34" w:rsidRDefault="00F00EE3" w:rsidP="00F00EE3">
      <w:pPr>
        <w:pStyle w:val="Nagwek3"/>
      </w:pPr>
      <w:r w:rsidRPr="00FE43CD">
        <w:t>Priorytet inwestycyjny nr</w:t>
      </w:r>
      <w:r>
        <w:t xml:space="preserve"> 3c (Działanie 1.4, 1.5, 1.6, 1.7, 1.8, 1.9)</w:t>
      </w:r>
    </w:p>
    <w:p w14:paraId="359850B6" w14:textId="77777777" w:rsidR="00F00EE3" w:rsidRPr="00786F09" w:rsidRDefault="00F00EE3" w:rsidP="00F00EE3">
      <w:pPr>
        <w:pStyle w:val="Nagwek4"/>
        <w:numPr>
          <w:ilvl w:val="0"/>
          <w:numId w:val="0"/>
        </w:numPr>
        <w:rPr>
          <w:rFonts w:ascii="Lato" w:eastAsia="Calibri" w:hAnsi="Lato"/>
        </w:rPr>
      </w:pPr>
      <w:r w:rsidRPr="00786F09">
        <w:rPr>
          <w:rFonts w:ascii="Lato" w:eastAsia="Calibri" w:hAnsi="Lato"/>
        </w:rPr>
        <w:t>Ocena postępów</w:t>
      </w:r>
      <w:r w:rsidR="00E66B89">
        <w:rPr>
          <w:rFonts w:ascii="Lato" w:eastAsia="Calibri" w:hAnsi="Lato"/>
        </w:rPr>
        <w:t xml:space="preserve"> w </w:t>
      </w:r>
      <w:r w:rsidRPr="00786F09">
        <w:rPr>
          <w:rFonts w:ascii="Lato" w:eastAsia="Calibri" w:hAnsi="Lato"/>
        </w:rPr>
        <w:t xml:space="preserve">realizacji PI </w:t>
      </w:r>
    </w:p>
    <w:p w14:paraId="2F5D1402" w14:textId="77777777" w:rsidR="00F00EE3" w:rsidRPr="00786F09" w:rsidRDefault="00F00EE3" w:rsidP="006E34DC">
      <w:pPr>
        <w:pStyle w:val="Legenda"/>
        <w:spacing w:after="0"/>
      </w:pPr>
      <w:bookmarkStart w:id="58" w:name="_Toc8824125"/>
      <w:r w:rsidRPr="00786F09">
        <w:t xml:space="preserve">Tabela </w:t>
      </w:r>
      <w:r>
        <w:fldChar w:fldCharType="begin"/>
      </w:r>
      <w:r>
        <w:instrText xml:space="preserve"> SEQ Tabela \* ARABIC </w:instrText>
      </w:r>
      <w:r>
        <w:fldChar w:fldCharType="separate"/>
      </w:r>
      <w:r w:rsidR="00763345">
        <w:rPr>
          <w:noProof/>
        </w:rPr>
        <w:t>14</w:t>
      </w:r>
      <w:r>
        <w:fldChar w:fldCharType="end"/>
      </w:r>
      <w:r w:rsidRPr="00786F09">
        <w:t xml:space="preserve"> Wskaźniki produktu (PI 3c) – postęp rzeczowy</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89"/>
        <w:gridCol w:w="1631"/>
        <w:gridCol w:w="816"/>
        <w:gridCol w:w="918"/>
        <w:gridCol w:w="961"/>
        <w:gridCol w:w="962"/>
        <w:gridCol w:w="961"/>
        <w:gridCol w:w="962"/>
      </w:tblGrid>
      <w:tr w:rsidR="00F00EE3" w:rsidRPr="00786F09" w14:paraId="3D08D609" w14:textId="77777777" w:rsidTr="00B673BB">
        <w:trPr>
          <w:tblHeader/>
        </w:trPr>
        <w:tc>
          <w:tcPr>
            <w:tcW w:w="0" w:type="auto"/>
            <w:shd w:val="clear" w:color="auto" w:fill="DBE5F1"/>
            <w:vAlign w:val="center"/>
          </w:tcPr>
          <w:p w14:paraId="20D56BEB" w14:textId="77777777" w:rsidR="00F00EE3" w:rsidRPr="00404DA5" w:rsidRDefault="00F00EE3" w:rsidP="00B673BB">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3699CC05" w14:textId="77777777" w:rsidR="00F00EE3" w:rsidRPr="00404DA5" w:rsidRDefault="00F00EE3" w:rsidP="00B673BB">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4534B7C1" w14:textId="77777777" w:rsidR="00F00EE3" w:rsidRPr="00404DA5" w:rsidRDefault="00F00EE3" w:rsidP="00B673BB">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127A3C16" w14:textId="77777777" w:rsidR="00F00EE3" w:rsidRPr="00404DA5" w:rsidRDefault="00F00EE3" w:rsidP="00B673BB">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765FCAB7" w14:textId="77777777" w:rsidR="00F00EE3" w:rsidRPr="00404DA5" w:rsidRDefault="00F00EE3" w:rsidP="00B673BB">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53F0CD8F" w14:textId="77777777" w:rsidR="00F00EE3" w:rsidRPr="00404DA5" w:rsidRDefault="00F00EE3" w:rsidP="00B673BB">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580AC32F" w14:textId="77777777" w:rsidR="00F00EE3" w:rsidRPr="00404DA5" w:rsidRDefault="00F00EE3" w:rsidP="00B673BB">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2FEED2EB" w14:textId="77777777" w:rsidR="00F00EE3" w:rsidRPr="00404DA5" w:rsidRDefault="00F00EE3" w:rsidP="00B673BB">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781E49F9" w14:textId="77777777" w:rsidR="00F00EE3" w:rsidRPr="00404DA5" w:rsidRDefault="00F00EE3" w:rsidP="00B673BB">
            <w:pPr>
              <w:jc w:val="center"/>
              <w:rPr>
                <w:rFonts w:cs="Calibri"/>
                <w:sz w:val="18"/>
                <w:szCs w:val="18"/>
              </w:rPr>
            </w:pPr>
            <w:r w:rsidRPr="00404DA5">
              <w:rPr>
                <w:rFonts w:cs="Calibri"/>
                <w:sz w:val="18"/>
                <w:szCs w:val="18"/>
              </w:rPr>
              <w:t>% realizacji wartości docelowej (wg WoP)</w:t>
            </w:r>
          </w:p>
        </w:tc>
      </w:tr>
      <w:tr w:rsidR="00F00EE3" w:rsidRPr="00786F09" w14:paraId="376B1542" w14:textId="77777777" w:rsidTr="00B673BB">
        <w:tc>
          <w:tcPr>
            <w:tcW w:w="0" w:type="auto"/>
            <w:shd w:val="clear" w:color="auto" w:fill="auto"/>
            <w:vAlign w:val="center"/>
          </w:tcPr>
          <w:p w14:paraId="1707E56C"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24F92505" w14:textId="17AFEDAB" w:rsidR="00F00EE3" w:rsidRPr="00404DA5" w:rsidRDefault="0042389C" w:rsidP="00B673BB">
            <w:pPr>
              <w:jc w:val="center"/>
              <w:rPr>
                <w:bCs/>
                <w:sz w:val="18"/>
                <w:szCs w:val="18"/>
              </w:rPr>
            </w:pPr>
            <w:r>
              <w:rPr>
                <w:bCs/>
                <w:sz w:val="18"/>
                <w:szCs w:val="18"/>
              </w:rPr>
              <w:t>1.4.,</w:t>
            </w:r>
            <w:r>
              <w:rPr>
                <w:bCs/>
                <w:sz w:val="18"/>
                <w:szCs w:val="18"/>
              </w:rPr>
              <w:br/>
              <w:t>1.</w:t>
            </w:r>
            <w:r w:rsidR="00F00EE3" w:rsidRPr="00404DA5">
              <w:rPr>
                <w:bCs/>
                <w:sz w:val="18"/>
                <w:szCs w:val="18"/>
              </w:rPr>
              <w:t xml:space="preserve">5., </w:t>
            </w:r>
            <w:r>
              <w:rPr>
                <w:bCs/>
                <w:sz w:val="18"/>
                <w:szCs w:val="18"/>
              </w:rPr>
              <w:br/>
              <w:t>1.6.,</w:t>
            </w:r>
            <w:r>
              <w:rPr>
                <w:bCs/>
                <w:sz w:val="18"/>
                <w:szCs w:val="18"/>
              </w:rPr>
              <w:br/>
              <w:t>1.7.,</w:t>
            </w:r>
            <w:r>
              <w:rPr>
                <w:bCs/>
                <w:sz w:val="18"/>
                <w:szCs w:val="18"/>
              </w:rPr>
              <w:br/>
              <w:t>1.8.,</w:t>
            </w:r>
            <w:r>
              <w:rPr>
                <w:bCs/>
                <w:sz w:val="18"/>
                <w:szCs w:val="18"/>
              </w:rPr>
              <w:br/>
              <w:t>1.</w:t>
            </w:r>
            <w:r w:rsidR="00F00EE3" w:rsidRPr="00404DA5">
              <w:rPr>
                <w:bCs/>
                <w:sz w:val="18"/>
                <w:szCs w:val="18"/>
              </w:rPr>
              <w:t>9.,</w:t>
            </w:r>
          </w:p>
        </w:tc>
        <w:tc>
          <w:tcPr>
            <w:tcW w:w="0" w:type="auto"/>
            <w:shd w:val="clear" w:color="auto" w:fill="auto"/>
            <w:vAlign w:val="center"/>
          </w:tcPr>
          <w:p w14:paraId="050E00EB" w14:textId="77777777" w:rsidR="00F00EE3" w:rsidRPr="00404DA5" w:rsidRDefault="00F00EE3" w:rsidP="00B673BB">
            <w:pPr>
              <w:rPr>
                <w:bCs/>
                <w:sz w:val="18"/>
                <w:szCs w:val="18"/>
              </w:rPr>
            </w:pPr>
            <w:r w:rsidRPr="00404DA5">
              <w:rPr>
                <w:bCs/>
                <w:sz w:val="18"/>
                <w:szCs w:val="18"/>
              </w:rPr>
              <w:t>Liczba przedsiębiorstw otrzymujących wsparcie (CI)</w:t>
            </w:r>
          </w:p>
        </w:tc>
        <w:tc>
          <w:tcPr>
            <w:tcW w:w="0" w:type="auto"/>
            <w:shd w:val="clear" w:color="auto" w:fill="auto"/>
            <w:vAlign w:val="center"/>
          </w:tcPr>
          <w:p w14:paraId="0545F185"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674F2CFE" w14:textId="77777777" w:rsidR="00F00EE3" w:rsidRPr="00404DA5" w:rsidRDefault="00F00EE3" w:rsidP="00B673BB">
            <w:pPr>
              <w:jc w:val="center"/>
              <w:rPr>
                <w:bCs/>
                <w:sz w:val="18"/>
                <w:szCs w:val="18"/>
              </w:rPr>
            </w:pPr>
            <w:r w:rsidRPr="00404DA5">
              <w:rPr>
                <w:bCs/>
                <w:sz w:val="18"/>
                <w:szCs w:val="18"/>
              </w:rPr>
              <w:t>1602</w:t>
            </w:r>
          </w:p>
        </w:tc>
        <w:tc>
          <w:tcPr>
            <w:tcW w:w="0" w:type="auto"/>
            <w:shd w:val="clear" w:color="auto" w:fill="auto"/>
            <w:vAlign w:val="center"/>
          </w:tcPr>
          <w:p w14:paraId="637DF685" w14:textId="77777777" w:rsidR="00F00EE3" w:rsidRPr="00404DA5" w:rsidRDefault="00F00EE3" w:rsidP="00B673BB">
            <w:pPr>
              <w:jc w:val="center"/>
              <w:rPr>
                <w:bCs/>
                <w:sz w:val="18"/>
                <w:szCs w:val="18"/>
              </w:rPr>
            </w:pPr>
            <w:r w:rsidRPr="00404DA5">
              <w:rPr>
                <w:bCs/>
                <w:sz w:val="18"/>
                <w:szCs w:val="18"/>
              </w:rPr>
              <w:t>1283</w:t>
            </w:r>
          </w:p>
        </w:tc>
        <w:tc>
          <w:tcPr>
            <w:tcW w:w="0" w:type="auto"/>
            <w:shd w:val="clear" w:color="auto" w:fill="auto"/>
            <w:vAlign w:val="center"/>
          </w:tcPr>
          <w:p w14:paraId="72673BE2" w14:textId="77777777" w:rsidR="00F00EE3" w:rsidRPr="00404DA5" w:rsidRDefault="00F00EE3" w:rsidP="00B673BB">
            <w:pPr>
              <w:jc w:val="center"/>
              <w:rPr>
                <w:bCs/>
                <w:sz w:val="18"/>
                <w:szCs w:val="18"/>
              </w:rPr>
            </w:pPr>
            <w:r w:rsidRPr="00404DA5">
              <w:rPr>
                <w:bCs/>
                <w:sz w:val="18"/>
                <w:szCs w:val="18"/>
              </w:rPr>
              <w:t>80,1%</w:t>
            </w:r>
          </w:p>
        </w:tc>
        <w:tc>
          <w:tcPr>
            <w:tcW w:w="0" w:type="auto"/>
            <w:shd w:val="clear" w:color="auto" w:fill="auto"/>
            <w:vAlign w:val="center"/>
          </w:tcPr>
          <w:p w14:paraId="7D7138B2" w14:textId="77777777" w:rsidR="00F00EE3" w:rsidRPr="00404DA5" w:rsidRDefault="00F00EE3" w:rsidP="00B673BB">
            <w:pPr>
              <w:jc w:val="center"/>
              <w:rPr>
                <w:bCs/>
                <w:sz w:val="18"/>
                <w:szCs w:val="18"/>
              </w:rPr>
            </w:pPr>
            <w:r w:rsidRPr="00184554">
              <w:rPr>
                <w:bCs/>
                <w:sz w:val="18"/>
                <w:szCs w:val="18"/>
              </w:rPr>
              <w:t>333</w:t>
            </w:r>
          </w:p>
        </w:tc>
        <w:tc>
          <w:tcPr>
            <w:tcW w:w="0" w:type="auto"/>
            <w:shd w:val="clear" w:color="auto" w:fill="auto"/>
            <w:vAlign w:val="center"/>
          </w:tcPr>
          <w:p w14:paraId="7B98FE92" w14:textId="77777777" w:rsidR="00F00EE3" w:rsidRPr="00404DA5" w:rsidRDefault="00F00EE3" w:rsidP="00B673BB">
            <w:pPr>
              <w:jc w:val="center"/>
              <w:rPr>
                <w:bCs/>
                <w:sz w:val="18"/>
                <w:szCs w:val="18"/>
              </w:rPr>
            </w:pPr>
            <w:r w:rsidRPr="00184554">
              <w:rPr>
                <w:bCs/>
                <w:sz w:val="18"/>
                <w:szCs w:val="18"/>
              </w:rPr>
              <w:t>20,8</w:t>
            </w:r>
            <w:r w:rsidRPr="00404DA5">
              <w:rPr>
                <w:bCs/>
                <w:sz w:val="18"/>
                <w:szCs w:val="18"/>
              </w:rPr>
              <w:t>%</w:t>
            </w:r>
          </w:p>
        </w:tc>
      </w:tr>
      <w:tr w:rsidR="00F00EE3" w:rsidRPr="00786F09" w14:paraId="56F738AC" w14:textId="77777777" w:rsidTr="00B673BB">
        <w:tc>
          <w:tcPr>
            <w:tcW w:w="0" w:type="auto"/>
            <w:shd w:val="clear" w:color="auto" w:fill="auto"/>
            <w:vAlign w:val="center"/>
          </w:tcPr>
          <w:p w14:paraId="221B6650"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1030BCAB" w14:textId="423D15DF" w:rsidR="00F00EE3" w:rsidRPr="00404DA5" w:rsidRDefault="0042389C" w:rsidP="00B673BB">
            <w:pPr>
              <w:jc w:val="center"/>
              <w:rPr>
                <w:bCs/>
                <w:sz w:val="18"/>
                <w:szCs w:val="18"/>
              </w:rPr>
            </w:pPr>
            <w:r>
              <w:rPr>
                <w:bCs/>
                <w:sz w:val="18"/>
                <w:szCs w:val="18"/>
              </w:rPr>
              <w:t>1.4.,</w:t>
            </w:r>
            <w:r>
              <w:rPr>
                <w:bCs/>
                <w:sz w:val="18"/>
                <w:szCs w:val="18"/>
              </w:rPr>
              <w:br/>
              <w:t>1.5.,</w:t>
            </w:r>
            <w:r>
              <w:rPr>
                <w:bCs/>
                <w:sz w:val="18"/>
                <w:szCs w:val="18"/>
              </w:rPr>
              <w:br/>
              <w:t>1.6.,</w:t>
            </w:r>
            <w:r>
              <w:rPr>
                <w:bCs/>
                <w:sz w:val="18"/>
                <w:szCs w:val="18"/>
              </w:rPr>
              <w:br/>
              <w:t>1.7.,</w:t>
            </w:r>
            <w:r>
              <w:rPr>
                <w:bCs/>
                <w:sz w:val="18"/>
                <w:szCs w:val="18"/>
              </w:rPr>
              <w:br/>
              <w:t>1.</w:t>
            </w:r>
            <w:r w:rsidR="00F00EE3" w:rsidRPr="00404DA5">
              <w:rPr>
                <w:bCs/>
                <w:sz w:val="18"/>
                <w:szCs w:val="18"/>
              </w:rPr>
              <w:t>8.</w:t>
            </w:r>
          </w:p>
        </w:tc>
        <w:tc>
          <w:tcPr>
            <w:tcW w:w="0" w:type="auto"/>
            <w:shd w:val="clear" w:color="auto" w:fill="auto"/>
            <w:vAlign w:val="center"/>
          </w:tcPr>
          <w:p w14:paraId="38C2A90A" w14:textId="77777777" w:rsidR="00F00EE3" w:rsidRPr="00404DA5" w:rsidRDefault="00F00EE3" w:rsidP="00B673BB">
            <w:pPr>
              <w:rPr>
                <w:bCs/>
                <w:sz w:val="18"/>
                <w:szCs w:val="18"/>
              </w:rPr>
            </w:pPr>
            <w:r w:rsidRPr="00404DA5">
              <w:rPr>
                <w:bCs/>
                <w:sz w:val="18"/>
                <w:szCs w:val="18"/>
              </w:rPr>
              <w:t>Liczba przedsiębiorstw otrzymujących dotacje (CI)</w:t>
            </w:r>
          </w:p>
        </w:tc>
        <w:tc>
          <w:tcPr>
            <w:tcW w:w="0" w:type="auto"/>
            <w:shd w:val="clear" w:color="auto" w:fill="auto"/>
            <w:vAlign w:val="center"/>
          </w:tcPr>
          <w:p w14:paraId="1EDBB1F6"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6D46EF39" w14:textId="77777777" w:rsidR="00F00EE3" w:rsidRPr="00404DA5" w:rsidRDefault="00F00EE3" w:rsidP="00B673BB">
            <w:pPr>
              <w:jc w:val="center"/>
              <w:rPr>
                <w:bCs/>
                <w:sz w:val="18"/>
                <w:szCs w:val="18"/>
              </w:rPr>
            </w:pPr>
            <w:r w:rsidRPr="00404DA5">
              <w:rPr>
                <w:bCs/>
                <w:sz w:val="18"/>
                <w:szCs w:val="18"/>
              </w:rPr>
              <w:t>439</w:t>
            </w:r>
          </w:p>
        </w:tc>
        <w:tc>
          <w:tcPr>
            <w:tcW w:w="0" w:type="auto"/>
            <w:shd w:val="clear" w:color="auto" w:fill="auto"/>
            <w:vAlign w:val="center"/>
          </w:tcPr>
          <w:p w14:paraId="55545B23" w14:textId="77777777" w:rsidR="00F00EE3" w:rsidRPr="00404DA5" w:rsidRDefault="00F00EE3" w:rsidP="00B673BB">
            <w:pPr>
              <w:jc w:val="center"/>
              <w:rPr>
                <w:bCs/>
                <w:sz w:val="18"/>
                <w:szCs w:val="18"/>
              </w:rPr>
            </w:pPr>
            <w:r w:rsidRPr="00404DA5">
              <w:rPr>
                <w:bCs/>
                <w:sz w:val="18"/>
                <w:szCs w:val="18"/>
              </w:rPr>
              <w:t>121</w:t>
            </w:r>
          </w:p>
        </w:tc>
        <w:tc>
          <w:tcPr>
            <w:tcW w:w="0" w:type="auto"/>
            <w:shd w:val="clear" w:color="auto" w:fill="auto"/>
            <w:vAlign w:val="center"/>
          </w:tcPr>
          <w:p w14:paraId="20392A41" w14:textId="77777777" w:rsidR="00F00EE3" w:rsidRPr="00404DA5" w:rsidRDefault="00F00EE3" w:rsidP="00B673BB">
            <w:pPr>
              <w:jc w:val="center"/>
              <w:rPr>
                <w:bCs/>
                <w:sz w:val="18"/>
                <w:szCs w:val="18"/>
              </w:rPr>
            </w:pPr>
            <w:r w:rsidRPr="00404DA5">
              <w:rPr>
                <w:bCs/>
                <w:sz w:val="18"/>
                <w:szCs w:val="18"/>
              </w:rPr>
              <w:t>27,6%</w:t>
            </w:r>
          </w:p>
        </w:tc>
        <w:tc>
          <w:tcPr>
            <w:tcW w:w="0" w:type="auto"/>
            <w:shd w:val="clear" w:color="auto" w:fill="auto"/>
            <w:vAlign w:val="center"/>
          </w:tcPr>
          <w:p w14:paraId="4C16BF9A" w14:textId="77777777" w:rsidR="00F00EE3" w:rsidRPr="00404DA5" w:rsidRDefault="00F00EE3" w:rsidP="00B673BB">
            <w:pPr>
              <w:jc w:val="center"/>
              <w:rPr>
                <w:bCs/>
                <w:sz w:val="18"/>
                <w:szCs w:val="18"/>
              </w:rPr>
            </w:pPr>
            <w:r w:rsidRPr="00184554">
              <w:rPr>
                <w:bCs/>
                <w:sz w:val="18"/>
                <w:szCs w:val="18"/>
              </w:rPr>
              <w:t>86</w:t>
            </w:r>
          </w:p>
        </w:tc>
        <w:tc>
          <w:tcPr>
            <w:tcW w:w="0" w:type="auto"/>
            <w:shd w:val="clear" w:color="auto" w:fill="auto"/>
            <w:vAlign w:val="center"/>
          </w:tcPr>
          <w:p w14:paraId="1FC1556F" w14:textId="77777777" w:rsidR="00F00EE3" w:rsidRPr="00404DA5" w:rsidRDefault="00F00EE3" w:rsidP="00B673BB">
            <w:pPr>
              <w:jc w:val="center"/>
              <w:rPr>
                <w:bCs/>
                <w:sz w:val="18"/>
                <w:szCs w:val="18"/>
              </w:rPr>
            </w:pPr>
            <w:r w:rsidRPr="00184554">
              <w:rPr>
                <w:bCs/>
                <w:sz w:val="18"/>
                <w:szCs w:val="18"/>
              </w:rPr>
              <w:t>19,6</w:t>
            </w:r>
            <w:r w:rsidRPr="00404DA5">
              <w:rPr>
                <w:bCs/>
                <w:sz w:val="18"/>
                <w:szCs w:val="18"/>
              </w:rPr>
              <w:t>%</w:t>
            </w:r>
          </w:p>
        </w:tc>
      </w:tr>
      <w:tr w:rsidR="00F00EE3" w:rsidRPr="00786F09" w14:paraId="19C90D26" w14:textId="77777777" w:rsidTr="00B673BB">
        <w:tc>
          <w:tcPr>
            <w:tcW w:w="0" w:type="auto"/>
            <w:shd w:val="clear" w:color="auto" w:fill="auto"/>
            <w:vAlign w:val="center"/>
          </w:tcPr>
          <w:p w14:paraId="654604E9"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4A374419" w14:textId="3F340973" w:rsidR="00F00EE3" w:rsidRPr="00404DA5" w:rsidRDefault="0042389C" w:rsidP="00B673BB">
            <w:pPr>
              <w:jc w:val="center"/>
              <w:rPr>
                <w:bCs/>
                <w:sz w:val="18"/>
                <w:szCs w:val="18"/>
              </w:rPr>
            </w:pPr>
            <w:r>
              <w:rPr>
                <w:bCs/>
                <w:sz w:val="18"/>
                <w:szCs w:val="18"/>
              </w:rPr>
              <w:t>1.4.,</w:t>
            </w:r>
            <w:r>
              <w:rPr>
                <w:bCs/>
                <w:sz w:val="18"/>
                <w:szCs w:val="18"/>
              </w:rPr>
              <w:br/>
              <w:t>1.5.,</w:t>
            </w:r>
            <w:r>
              <w:rPr>
                <w:bCs/>
                <w:sz w:val="18"/>
                <w:szCs w:val="18"/>
              </w:rPr>
              <w:br/>
              <w:t>1.6.,</w:t>
            </w:r>
            <w:r>
              <w:rPr>
                <w:bCs/>
                <w:sz w:val="18"/>
                <w:szCs w:val="18"/>
              </w:rPr>
              <w:br/>
              <w:t>1.</w:t>
            </w:r>
            <w:r w:rsidR="00F00EE3" w:rsidRPr="00404DA5">
              <w:rPr>
                <w:bCs/>
                <w:sz w:val="18"/>
                <w:szCs w:val="18"/>
              </w:rPr>
              <w:t>7</w:t>
            </w:r>
            <w:r>
              <w:rPr>
                <w:bCs/>
                <w:sz w:val="18"/>
                <w:szCs w:val="18"/>
              </w:rPr>
              <w:t>.,</w:t>
            </w:r>
            <w:r>
              <w:rPr>
                <w:bCs/>
                <w:sz w:val="18"/>
                <w:szCs w:val="18"/>
              </w:rPr>
              <w:br/>
              <w:t>1.</w:t>
            </w:r>
            <w:r w:rsidR="00F00EE3" w:rsidRPr="00404DA5">
              <w:rPr>
                <w:bCs/>
                <w:sz w:val="18"/>
                <w:szCs w:val="18"/>
              </w:rPr>
              <w:t>8.,</w:t>
            </w:r>
          </w:p>
        </w:tc>
        <w:tc>
          <w:tcPr>
            <w:tcW w:w="0" w:type="auto"/>
            <w:shd w:val="clear" w:color="auto" w:fill="auto"/>
            <w:vAlign w:val="center"/>
          </w:tcPr>
          <w:p w14:paraId="453C4AAC" w14:textId="77777777" w:rsidR="00F00EE3" w:rsidRPr="00404DA5" w:rsidRDefault="00F00EE3" w:rsidP="00B673BB">
            <w:pPr>
              <w:rPr>
                <w:bCs/>
                <w:sz w:val="18"/>
                <w:szCs w:val="18"/>
              </w:rPr>
            </w:pPr>
            <w:r w:rsidRPr="00404DA5">
              <w:rPr>
                <w:bCs/>
                <w:sz w:val="18"/>
                <w:szCs w:val="18"/>
              </w:rPr>
              <w:t>Inwestycje prywatne uzupełniające wsparcie publiczne dla przedsiębiorstw (dotacje) (CI)</w:t>
            </w:r>
          </w:p>
        </w:tc>
        <w:tc>
          <w:tcPr>
            <w:tcW w:w="0" w:type="auto"/>
            <w:shd w:val="clear" w:color="auto" w:fill="auto"/>
            <w:vAlign w:val="center"/>
          </w:tcPr>
          <w:p w14:paraId="35098F49" w14:textId="77777777" w:rsidR="00F00EE3" w:rsidRPr="00404DA5" w:rsidRDefault="00F00EE3" w:rsidP="00B673BB">
            <w:pPr>
              <w:jc w:val="center"/>
              <w:rPr>
                <w:bCs/>
                <w:sz w:val="18"/>
                <w:szCs w:val="18"/>
              </w:rPr>
            </w:pPr>
            <w:r w:rsidRPr="00404DA5">
              <w:rPr>
                <w:bCs/>
                <w:sz w:val="18"/>
                <w:szCs w:val="18"/>
              </w:rPr>
              <w:t>EUR</w:t>
            </w:r>
          </w:p>
        </w:tc>
        <w:tc>
          <w:tcPr>
            <w:tcW w:w="0" w:type="auto"/>
            <w:shd w:val="clear" w:color="auto" w:fill="auto"/>
            <w:vAlign w:val="center"/>
          </w:tcPr>
          <w:p w14:paraId="4ACAC573" w14:textId="77777777" w:rsidR="00F00EE3" w:rsidRPr="00404DA5" w:rsidRDefault="00F00EE3" w:rsidP="00B673BB">
            <w:pPr>
              <w:jc w:val="center"/>
              <w:rPr>
                <w:bCs/>
                <w:sz w:val="18"/>
                <w:szCs w:val="18"/>
              </w:rPr>
            </w:pPr>
            <w:r w:rsidRPr="00404DA5">
              <w:rPr>
                <w:bCs/>
                <w:sz w:val="18"/>
                <w:szCs w:val="18"/>
              </w:rPr>
              <w:t>137 100 000</w:t>
            </w:r>
          </w:p>
        </w:tc>
        <w:tc>
          <w:tcPr>
            <w:tcW w:w="0" w:type="auto"/>
            <w:shd w:val="clear" w:color="auto" w:fill="auto"/>
            <w:vAlign w:val="center"/>
          </w:tcPr>
          <w:p w14:paraId="6005B620" w14:textId="77777777" w:rsidR="00F00EE3" w:rsidRPr="00404DA5" w:rsidRDefault="00F00EE3" w:rsidP="00B673BB">
            <w:pPr>
              <w:jc w:val="center"/>
              <w:rPr>
                <w:bCs/>
                <w:sz w:val="18"/>
                <w:szCs w:val="18"/>
              </w:rPr>
            </w:pPr>
            <w:r w:rsidRPr="00404DA5">
              <w:rPr>
                <w:bCs/>
                <w:sz w:val="18"/>
                <w:szCs w:val="18"/>
              </w:rPr>
              <w:t>85 209 671,56</w:t>
            </w:r>
          </w:p>
        </w:tc>
        <w:tc>
          <w:tcPr>
            <w:tcW w:w="0" w:type="auto"/>
            <w:shd w:val="clear" w:color="auto" w:fill="auto"/>
            <w:vAlign w:val="center"/>
          </w:tcPr>
          <w:p w14:paraId="5628D24C" w14:textId="77777777" w:rsidR="00F00EE3" w:rsidRPr="00404DA5" w:rsidRDefault="00F00EE3" w:rsidP="00B673BB">
            <w:pPr>
              <w:jc w:val="center"/>
              <w:rPr>
                <w:bCs/>
                <w:sz w:val="18"/>
                <w:szCs w:val="18"/>
              </w:rPr>
            </w:pPr>
            <w:r w:rsidRPr="00404DA5">
              <w:rPr>
                <w:bCs/>
                <w:sz w:val="18"/>
                <w:szCs w:val="18"/>
              </w:rPr>
              <w:t>62,2%</w:t>
            </w:r>
          </w:p>
        </w:tc>
        <w:tc>
          <w:tcPr>
            <w:tcW w:w="0" w:type="auto"/>
            <w:shd w:val="clear" w:color="auto" w:fill="auto"/>
            <w:vAlign w:val="center"/>
          </w:tcPr>
          <w:p w14:paraId="7718A44B" w14:textId="77777777" w:rsidR="00F00EE3" w:rsidRPr="00404DA5" w:rsidRDefault="00F00EE3" w:rsidP="00B673BB">
            <w:pPr>
              <w:jc w:val="center"/>
              <w:rPr>
                <w:bCs/>
                <w:sz w:val="18"/>
                <w:szCs w:val="18"/>
              </w:rPr>
            </w:pPr>
            <w:r w:rsidRPr="00404DA5">
              <w:rPr>
                <w:bCs/>
                <w:sz w:val="18"/>
                <w:szCs w:val="18"/>
              </w:rPr>
              <w:t>41 815 877,09</w:t>
            </w:r>
          </w:p>
        </w:tc>
        <w:tc>
          <w:tcPr>
            <w:tcW w:w="0" w:type="auto"/>
            <w:shd w:val="clear" w:color="auto" w:fill="auto"/>
            <w:vAlign w:val="center"/>
          </w:tcPr>
          <w:p w14:paraId="0763C6AA" w14:textId="77777777" w:rsidR="00F00EE3" w:rsidRPr="00404DA5" w:rsidRDefault="00F00EE3" w:rsidP="00B673BB">
            <w:pPr>
              <w:jc w:val="center"/>
              <w:rPr>
                <w:bCs/>
                <w:sz w:val="18"/>
                <w:szCs w:val="18"/>
              </w:rPr>
            </w:pPr>
            <w:r w:rsidRPr="00404DA5">
              <w:rPr>
                <w:bCs/>
                <w:sz w:val="18"/>
                <w:szCs w:val="18"/>
              </w:rPr>
              <w:t>30,5%</w:t>
            </w:r>
          </w:p>
        </w:tc>
      </w:tr>
      <w:tr w:rsidR="00F00EE3" w:rsidRPr="00786F09" w14:paraId="4FB3784C" w14:textId="77777777" w:rsidTr="00B673BB">
        <w:tc>
          <w:tcPr>
            <w:tcW w:w="0" w:type="auto"/>
            <w:shd w:val="clear" w:color="auto" w:fill="auto"/>
            <w:vAlign w:val="center"/>
          </w:tcPr>
          <w:p w14:paraId="510A36C8" w14:textId="77777777" w:rsidR="00F00EE3" w:rsidRPr="00404DA5" w:rsidRDefault="00F00EE3" w:rsidP="00B673BB">
            <w:pPr>
              <w:jc w:val="center"/>
              <w:rPr>
                <w:rFonts w:cs="Calibri"/>
                <w:sz w:val="18"/>
                <w:szCs w:val="18"/>
              </w:rPr>
            </w:pPr>
            <w:r w:rsidRPr="00404DA5">
              <w:rPr>
                <w:rFonts w:cs="Calibri"/>
                <w:sz w:val="18"/>
                <w:szCs w:val="18"/>
              </w:rPr>
              <w:t>WR</w:t>
            </w:r>
          </w:p>
        </w:tc>
        <w:tc>
          <w:tcPr>
            <w:tcW w:w="0" w:type="auto"/>
            <w:shd w:val="clear" w:color="auto" w:fill="auto"/>
            <w:vAlign w:val="center"/>
          </w:tcPr>
          <w:p w14:paraId="0FE4778B" w14:textId="7D4641AE" w:rsidR="00F00EE3" w:rsidRPr="00404DA5" w:rsidRDefault="0042389C" w:rsidP="00B673BB">
            <w:pPr>
              <w:jc w:val="center"/>
              <w:rPr>
                <w:bCs/>
                <w:sz w:val="18"/>
                <w:szCs w:val="18"/>
              </w:rPr>
            </w:pPr>
            <w:r>
              <w:rPr>
                <w:bCs/>
                <w:sz w:val="18"/>
                <w:szCs w:val="18"/>
              </w:rPr>
              <w:t>1.4.,</w:t>
            </w:r>
            <w:r>
              <w:rPr>
                <w:bCs/>
                <w:sz w:val="18"/>
                <w:szCs w:val="18"/>
              </w:rPr>
              <w:br/>
              <w:t>1.5.,</w:t>
            </w:r>
            <w:r>
              <w:rPr>
                <w:bCs/>
                <w:sz w:val="18"/>
                <w:szCs w:val="18"/>
              </w:rPr>
              <w:br/>
              <w:t xml:space="preserve">1.6., </w:t>
            </w:r>
            <w:r>
              <w:rPr>
                <w:bCs/>
                <w:sz w:val="18"/>
                <w:szCs w:val="18"/>
              </w:rPr>
              <w:br/>
              <w:t>1.7.,</w:t>
            </w:r>
            <w:r>
              <w:rPr>
                <w:bCs/>
                <w:sz w:val="18"/>
                <w:szCs w:val="18"/>
              </w:rPr>
              <w:br/>
              <w:t>1.</w:t>
            </w:r>
            <w:r w:rsidR="00F00EE3" w:rsidRPr="00404DA5">
              <w:rPr>
                <w:bCs/>
                <w:sz w:val="18"/>
                <w:szCs w:val="18"/>
              </w:rPr>
              <w:t>8.</w:t>
            </w:r>
          </w:p>
        </w:tc>
        <w:tc>
          <w:tcPr>
            <w:tcW w:w="0" w:type="auto"/>
            <w:shd w:val="clear" w:color="auto" w:fill="auto"/>
            <w:vAlign w:val="center"/>
          </w:tcPr>
          <w:p w14:paraId="4ACABDA7" w14:textId="77777777" w:rsidR="00F00EE3" w:rsidRPr="00404DA5" w:rsidRDefault="00F00EE3" w:rsidP="00B673BB">
            <w:pPr>
              <w:rPr>
                <w:bCs/>
                <w:sz w:val="18"/>
                <w:szCs w:val="18"/>
              </w:rPr>
            </w:pPr>
            <w:r w:rsidRPr="00404DA5">
              <w:rPr>
                <w:bCs/>
                <w:sz w:val="18"/>
                <w:szCs w:val="18"/>
              </w:rPr>
              <w:t>Wzrost zatrudnienia we wspieranych przedsiębiorstwach</w:t>
            </w:r>
          </w:p>
        </w:tc>
        <w:tc>
          <w:tcPr>
            <w:tcW w:w="0" w:type="auto"/>
            <w:shd w:val="clear" w:color="auto" w:fill="auto"/>
            <w:vAlign w:val="center"/>
          </w:tcPr>
          <w:p w14:paraId="5EDA854F" w14:textId="77777777" w:rsidR="00F00EE3" w:rsidRPr="00404DA5" w:rsidRDefault="00F00EE3" w:rsidP="00B673BB">
            <w:pPr>
              <w:jc w:val="center"/>
              <w:rPr>
                <w:bCs/>
                <w:sz w:val="18"/>
                <w:szCs w:val="18"/>
              </w:rPr>
            </w:pPr>
            <w:r w:rsidRPr="00404DA5">
              <w:rPr>
                <w:bCs/>
                <w:sz w:val="18"/>
                <w:szCs w:val="18"/>
              </w:rPr>
              <w:t>EPC</w:t>
            </w:r>
          </w:p>
        </w:tc>
        <w:tc>
          <w:tcPr>
            <w:tcW w:w="0" w:type="auto"/>
            <w:shd w:val="clear" w:color="auto" w:fill="auto"/>
            <w:vAlign w:val="center"/>
          </w:tcPr>
          <w:p w14:paraId="00391925" w14:textId="77777777" w:rsidR="00F00EE3" w:rsidRPr="00404DA5" w:rsidRDefault="00F00EE3" w:rsidP="00B673BB">
            <w:pPr>
              <w:jc w:val="center"/>
              <w:rPr>
                <w:bCs/>
                <w:sz w:val="18"/>
                <w:szCs w:val="18"/>
              </w:rPr>
            </w:pPr>
            <w:r w:rsidRPr="00404DA5">
              <w:rPr>
                <w:bCs/>
                <w:sz w:val="18"/>
                <w:szCs w:val="18"/>
              </w:rPr>
              <w:t>255</w:t>
            </w:r>
          </w:p>
        </w:tc>
        <w:tc>
          <w:tcPr>
            <w:tcW w:w="0" w:type="auto"/>
            <w:shd w:val="clear" w:color="auto" w:fill="auto"/>
            <w:vAlign w:val="center"/>
          </w:tcPr>
          <w:p w14:paraId="29865412" w14:textId="77777777" w:rsidR="00F00EE3" w:rsidRPr="00404DA5" w:rsidRDefault="00F00EE3" w:rsidP="00B673BB">
            <w:pPr>
              <w:jc w:val="center"/>
              <w:rPr>
                <w:bCs/>
                <w:sz w:val="18"/>
                <w:szCs w:val="18"/>
              </w:rPr>
            </w:pPr>
            <w:r w:rsidRPr="00404DA5">
              <w:rPr>
                <w:bCs/>
                <w:sz w:val="18"/>
                <w:szCs w:val="18"/>
              </w:rPr>
              <w:t>867</w:t>
            </w:r>
          </w:p>
        </w:tc>
        <w:tc>
          <w:tcPr>
            <w:tcW w:w="0" w:type="auto"/>
            <w:shd w:val="clear" w:color="auto" w:fill="auto"/>
            <w:vAlign w:val="center"/>
          </w:tcPr>
          <w:p w14:paraId="2153EFCA" w14:textId="77777777" w:rsidR="00F00EE3" w:rsidRPr="00404DA5" w:rsidRDefault="00F00EE3" w:rsidP="00B673BB">
            <w:pPr>
              <w:jc w:val="center"/>
              <w:rPr>
                <w:bCs/>
                <w:sz w:val="18"/>
                <w:szCs w:val="18"/>
              </w:rPr>
            </w:pPr>
            <w:r w:rsidRPr="00404DA5">
              <w:rPr>
                <w:bCs/>
                <w:sz w:val="18"/>
                <w:szCs w:val="18"/>
              </w:rPr>
              <w:t>340,0%</w:t>
            </w:r>
          </w:p>
        </w:tc>
        <w:tc>
          <w:tcPr>
            <w:tcW w:w="0" w:type="auto"/>
            <w:shd w:val="clear" w:color="auto" w:fill="auto"/>
            <w:vAlign w:val="center"/>
          </w:tcPr>
          <w:p w14:paraId="2C22D18E" w14:textId="77777777" w:rsidR="00F00EE3" w:rsidRPr="00404DA5" w:rsidRDefault="00F00EE3" w:rsidP="00B673BB">
            <w:pPr>
              <w:jc w:val="center"/>
              <w:rPr>
                <w:bCs/>
                <w:sz w:val="18"/>
                <w:szCs w:val="18"/>
              </w:rPr>
            </w:pPr>
            <w:r w:rsidRPr="00404DA5">
              <w:rPr>
                <w:bCs/>
                <w:sz w:val="18"/>
                <w:szCs w:val="18"/>
              </w:rPr>
              <w:t>187</w:t>
            </w:r>
          </w:p>
        </w:tc>
        <w:tc>
          <w:tcPr>
            <w:tcW w:w="0" w:type="auto"/>
            <w:shd w:val="clear" w:color="auto" w:fill="auto"/>
            <w:vAlign w:val="center"/>
          </w:tcPr>
          <w:p w14:paraId="4ECDFEC4" w14:textId="77777777" w:rsidR="00F00EE3" w:rsidRPr="00404DA5" w:rsidRDefault="00F00EE3" w:rsidP="00B673BB">
            <w:pPr>
              <w:jc w:val="center"/>
              <w:rPr>
                <w:bCs/>
                <w:sz w:val="18"/>
                <w:szCs w:val="18"/>
              </w:rPr>
            </w:pPr>
            <w:r w:rsidRPr="00404DA5">
              <w:rPr>
                <w:bCs/>
                <w:sz w:val="18"/>
                <w:szCs w:val="18"/>
              </w:rPr>
              <w:t>73,3%</w:t>
            </w:r>
          </w:p>
        </w:tc>
      </w:tr>
      <w:tr w:rsidR="00F00EE3" w:rsidRPr="00786F09" w14:paraId="72548CCB" w14:textId="77777777" w:rsidTr="00B673BB">
        <w:tc>
          <w:tcPr>
            <w:tcW w:w="0" w:type="auto"/>
            <w:shd w:val="clear" w:color="auto" w:fill="auto"/>
            <w:vAlign w:val="center"/>
          </w:tcPr>
          <w:p w14:paraId="331AE64F"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2A02315A" w14:textId="4FFB3DE4" w:rsidR="00F00EE3" w:rsidRPr="00404DA5" w:rsidRDefault="0042389C" w:rsidP="00B673BB">
            <w:pPr>
              <w:jc w:val="center"/>
              <w:rPr>
                <w:bCs/>
                <w:sz w:val="18"/>
                <w:szCs w:val="18"/>
              </w:rPr>
            </w:pPr>
            <w:r>
              <w:rPr>
                <w:bCs/>
                <w:sz w:val="18"/>
                <w:szCs w:val="18"/>
              </w:rPr>
              <w:t>1.4.,</w:t>
            </w:r>
            <w:r>
              <w:rPr>
                <w:bCs/>
                <w:sz w:val="18"/>
                <w:szCs w:val="18"/>
              </w:rPr>
              <w:br/>
              <w:t>1.</w:t>
            </w:r>
            <w:r w:rsidR="00F00EE3" w:rsidRPr="00404DA5">
              <w:rPr>
                <w:bCs/>
                <w:sz w:val="18"/>
                <w:szCs w:val="18"/>
              </w:rPr>
              <w:t>5.,</w:t>
            </w:r>
            <w:r w:rsidR="00F00EE3" w:rsidRPr="00404DA5">
              <w:rPr>
                <w:bCs/>
                <w:sz w:val="18"/>
                <w:szCs w:val="18"/>
              </w:rPr>
              <w:br/>
            </w:r>
            <w:r>
              <w:rPr>
                <w:bCs/>
                <w:sz w:val="18"/>
                <w:szCs w:val="18"/>
              </w:rPr>
              <w:t>1.6.,</w:t>
            </w:r>
            <w:r>
              <w:rPr>
                <w:bCs/>
                <w:sz w:val="18"/>
                <w:szCs w:val="18"/>
              </w:rPr>
              <w:br/>
            </w:r>
            <w:r>
              <w:rPr>
                <w:bCs/>
                <w:sz w:val="18"/>
                <w:szCs w:val="18"/>
              </w:rPr>
              <w:lastRenderedPageBreak/>
              <w:t>1.7.,</w:t>
            </w:r>
            <w:r>
              <w:rPr>
                <w:bCs/>
                <w:sz w:val="18"/>
                <w:szCs w:val="18"/>
              </w:rPr>
              <w:br/>
              <w:t>1.8.,</w:t>
            </w:r>
            <w:r>
              <w:rPr>
                <w:bCs/>
                <w:sz w:val="18"/>
                <w:szCs w:val="18"/>
              </w:rPr>
              <w:br/>
              <w:t>1.</w:t>
            </w:r>
            <w:r w:rsidR="00F00EE3" w:rsidRPr="00404DA5">
              <w:rPr>
                <w:bCs/>
                <w:sz w:val="18"/>
                <w:szCs w:val="18"/>
              </w:rPr>
              <w:t>9.</w:t>
            </w:r>
          </w:p>
        </w:tc>
        <w:tc>
          <w:tcPr>
            <w:tcW w:w="0" w:type="auto"/>
            <w:shd w:val="clear" w:color="auto" w:fill="auto"/>
            <w:vAlign w:val="center"/>
          </w:tcPr>
          <w:p w14:paraId="312C1C91" w14:textId="77777777" w:rsidR="00F00EE3" w:rsidRPr="00404DA5" w:rsidRDefault="00F00EE3" w:rsidP="00B673BB">
            <w:pPr>
              <w:rPr>
                <w:bCs/>
                <w:sz w:val="18"/>
                <w:szCs w:val="18"/>
              </w:rPr>
            </w:pPr>
            <w:r w:rsidRPr="00404DA5">
              <w:rPr>
                <w:bCs/>
                <w:sz w:val="18"/>
                <w:szCs w:val="18"/>
              </w:rPr>
              <w:lastRenderedPageBreak/>
              <w:t xml:space="preserve">Liczba przedsiębiorstw objętych </w:t>
            </w:r>
            <w:r w:rsidRPr="00404DA5">
              <w:rPr>
                <w:bCs/>
                <w:sz w:val="18"/>
                <w:szCs w:val="18"/>
              </w:rPr>
              <w:lastRenderedPageBreak/>
              <w:t>wsparciem</w:t>
            </w:r>
            <w:r w:rsidR="00E66B89">
              <w:rPr>
                <w:bCs/>
                <w:sz w:val="18"/>
                <w:szCs w:val="18"/>
              </w:rPr>
              <w:t xml:space="preserve"> w </w:t>
            </w:r>
            <w:r w:rsidRPr="00404DA5">
              <w:rPr>
                <w:bCs/>
                <w:sz w:val="18"/>
                <w:szCs w:val="18"/>
              </w:rPr>
              <w:t>celu wprowadzenia produktów nowych dla rynku</w:t>
            </w:r>
          </w:p>
        </w:tc>
        <w:tc>
          <w:tcPr>
            <w:tcW w:w="0" w:type="auto"/>
            <w:shd w:val="clear" w:color="auto" w:fill="auto"/>
            <w:vAlign w:val="center"/>
          </w:tcPr>
          <w:p w14:paraId="0450BC79" w14:textId="77777777" w:rsidR="00F00EE3" w:rsidRPr="00404DA5" w:rsidRDefault="00F00EE3" w:rsidP="00B673BB">
            <w:pPr>
              <w:jc w:val="center"/>
              <w:rPr>
                <w:bCs/>
                <w:sz w:val="18"/>
                <w:szCs w:val="18"/>
              </w:rPr>
            </w:pPr>
            <w:r w:rsidRPr="00404DA5">
              <w:rPr>
                <w:bCs/>
                <w:sz w:val="18"/>
                <w:szCs w:val="18"/>
              </w:rPr>
              <w:lastRenderedPageBreak/>
              <w:t>szt.</w:t>
            </w:r>
          </w:p>
        </w:tc>
        <w:tc>
          <w:tcPr>
            <w:tcW w:w="0" w:type="auto"/>
            <w:shd w:val="clear" w:color="auto" w:fill="auto"/>
            <w:vAlign w:val="center"/>
          </w:tcPr>
          <w:p w14:paraId="285B209C" w14:textId="77777777" w:rsidR="00F00EE3" w:rsidRPr="00404DA5" w:rsidRDefault="00F00EE3" w:rsidP="00B673BB">
            <w:pPr>
              <w:jc w:val="center"/>
              <w:rPr>
                <w:bCs/>
                <w:sz w:val="18"/>
                <w:szCs w:val="18"/>
              </w:rPr>
            </w:pPr>
            <w:r w:rsidRPr="00404DA5">
              <w:rPr>
                <w:bCs/>
                <w:sz w:val="18"/>
                <w:szCs w:val="18"/>
              </w:rPr>
              <w:t>124</w:t>
            </w:r>
          </w:p>
        </w:tc>
        <w:tc>
          <w:tcPr>
            <w:tcW w:w="0" w:type="auto"/>
            <w:shd w:val="clear" w:color="auto" w:fill="auto"/>
            <w:vAlign w:val="center"/>
          </w:tcPr>
          <w:p w14:paraId="4AFED26B" w14:textId="77777777" w:rsidR="00F00EE3" w:rsidRPr="00404DA5" w:rsidRDefault="00F00EE3" w:rsidP="00B673BB">
            <w:pPr>
              <w:jc w:val="center"/>
              <w:rPr>
                <w:bCs/>
                <w:sz w:val="18"/>
                <w:szCs w:val="18"/>
              </w:rPr>
            </w:pPr>
            <w:r w:rsidRPr="00404DA5">
              <w:rPr>
                <w:bCs/>
                <w:sz w:val="18"/>
                <w:szCs w:val="18"/>
              </w:rPr>
              <w:t>163</w:t>
            </w:r>
          </w:p>
        </w:tc>
        <w:tc>
          <w:tcPr>
            <w:tcW w:w="0" w:type="auto"/>
            <w:shd w:val="clear" w:color="auto" w:fill="auto"/>
            <w:vAlign w:val="center"/>
          </w:tcPr>
          <w:p w14:paraId="2CDB333B" w14:textId="77777777" w:rsidR="00F00EE3" w:rsidRPr="00404DA5" w:rsidRDefault="00F00EE3" w:rsidP="00B673BB">
            <w:pPr>
              <w:jc w:val="center"/>
              <w:rPr>
                <w:bCs/>
                <w:sz w:val="18"/>
                <w:szCs w:val="18"/>
              </w:rPr>
            </w:pPr>
            <w:r w:rsidRPr="00404DA5">
              <w:rPr>
                <w:bCs/>
                <w:sz w:val="18"/>
                <w:szCs w:val="18"/>
              </w:rPr>
              <w:t>131,5%</w:t>
            </w:r>
          </w:p>
        </w:tc>
        <w:tc>
          <w:tcPr>
            <w:tcW w:w="0" w:type="auto"/>
            <w:shd w:val="clear" w:color="auto" w:fill="auto"/>
            <w:vAlign w:val="center"/>
          </w:tcPr>
          <w:p w14:paraId="70492889" w14:textId="77777777" w:rsidR="00F00EE3" w:rsidRPr="00404DA5" w:rsidRDefault="00F00EE3" w:rsidP="00B673BB">
            <w:pPr>
              <w:jc w:val="center"/>
              <w:rPr>
                <w:bCs/>
                <w:sz w:val="18"/>
                <w:szCs w:val="18"/>
              </w:rPr>
            </w:pPr>
            <w:r w:rsidRPr="00404DA5">
              <w:rPr>
                <w:bCs/>
                <w:sz w:val="18"/>
                <w:szCs w:val="18"/>
              </w:rPr>
              <w:t>26</w:t>
            </w:r>
          </w:p>
        </w:tc>
        <w:tc>
          <w:tcPr>
            <w:tcW w:w="0" w:type="auto"/>
            <w:shd w:val="clear" w:color="auto" w:fill="auto"/>
            <w:vAlign w:val="center"/>
          </w:tcPr>
          <w:p w14:paraId="41A50243" w14:textId="77777777" w:rsidR="00F00EE3" w:rsidRPr="00404DA5" w:rsidRDefault="00F00EE3" w:rsidP="00B673BB">
            <w:pPr>
              <w:jc w:val="center"/>
              <w:rPr>
                <w:bCs/>
                <w:sz w:val="18"/>
                <w:szCs w:val="18"/>
              </w:rPr>
            </w:pPr>
            <w:r w:rsidRPr="00404DA5">
              <w:rPr>
                <w:bCs/>
                <w:sz w:val="18"/>
                <w:szCs w:val="18"/>
              </w:rPr>
              <w:t>21,0%</w:t>
            </w:r>
          </w:p>
        </w:tc>
      </w:tr>
    </w:tbl>
    <w:p w14:paraId="30AA3A63" w14:textId="77777777" w:rsidR="00F00EE3" w:rsidRPr="002A5FDF" w:rsidRDefault="00F00EE3"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obliczenia własne na podstawie danych SL2014 na dzień 07.01.2019 r.</w:t>
      </w:r>
    </w:p>
    <w:p w14:paraId="0D8EBE83" w14:textId="77777777" w:rsidR="00F00EE3" w:rsidRPr="00786F09" w:rsidRDefault="00F00EE3" w:rsidP="00F00EE3">
      <w:pPr>
        <w:pStyle w:val="Bezodstpw"/>
        <w:spacing w:before="120" w:line="288" w:lineRule="auto"/>
        <w:jc w:val="both"/>
        <w:rPr>
          <w:rFonts w:ascii="Lato" w:hAnsi="Lato"/>
          <w:bCs/>
          <w:sz w:val="18"/>
          <w:szCs w:val="18"/>
        </w:rPr>
      </w:pPr>
      <w:r w:rsidRPr="00786F09">
        <w:rPr>
          <w:rFonts w:ascii="Lato" w:hAnsi="Lato"/>
        </w:rPr>
        <w:t>Ocenę postępu rzeczowego dla PI 3c na dzień 7.01.2019 r. należy nazwać zróżnicowaną. Trudno jednoznacznie stwierdzić, że podpisane umowy pozwalają wnioskować</w:t>
      </w:r>
      <w:r w:rsidR="00E66B89">
        <w:rPr>
          <w:rFonts w:ascii="Lato" w:hAnsi="Lato"/>
        </w:rPr>
        <w:t xml:space="preserve"> o </w:t>
      </w:r>
      <w:r w:rsidRPr="00786F09">
        <w:rPr>
          <w:rFonts w:ascii="Lato" w:hAnsi="Lato"/>
        </w:rPr>
        <w:t>braku zagrożenia dla osiągnięcia celów na rok 2023. Co prawda</w:t>
      </w:r>
      <w:r w:rsidR="00E66B89">
        <w:rPr>
          <w:rFonts w:ascii="Lato" w:hAnsi="Lato"/>
        </w:rPr>
        <w:t xml:space="preserve"> w </w:t>
      </w:r>
      <w:r w:rsidRPr="00786F09">
        <w:rPr>
          <w:rFonts w:ascii="Lato" w:hAnsi="Lato"/>
        </w:rPr>
        <w:t>przypadku każdego</w:t>
      </w:r>
      <w:r w:rsidR="00E66B89">
        <w:rPr>
          <w:rFonts w:ascii="Lato" w:hAnsi="Lato"/>
        </w:rPr>
        <w:t xml:space="preserve"> z </w:t>
      </w:r>
      <w:r w:rsidRPr="00786F09">
        <w:rPr>
          <w:rFonts w:ascii="Lato" w:hAnsi="Lato"/>
        </w:rPr>
        <w:t>wskaźników obserwuje się zaawansowanie już na poziomie złożonych wniosków</w:t>
      </w:r>
      <w:r w:rsidR="00E66B89">
        <w:rPr>
          <w:rFonts w:ascii="Lato" w:hAnsi="Lato"/>
        </w:rPr>
        <w:t xml:space="preserve"> o </w:t>
      </w:r>
      <w:r w:rsidRPr="00786F09">
        <w:rPr>
          <w:rFonts w:ascii="Lato" w:hAnsi="Lato"/>
        </w:rPr>
        <w:t xml:space="preserve">płatność, ale niski poziom kontraktacji projektów wpływających na wskaźnik </w:t>
      </w:r>
      <w:r w:rsidRPr="00C22C26">
        <w:rPr>
          <w:rFonts w:ascii="Lato" w:hAnsi="Lato"/>
          <w:i/>
        </w:rPr>
        <w:t>Liczba przedsiębiorstw otrzymujących dotacje (CI)</w:t>
      </w:r>
      <w:r w:rsidRPr="00786F09">
        <w:rPr>
          <w:rFonts w:ascii="Lato" w:hAnsi="Lato"/>
        </w:rPr>
        <w:t xml:space="preserve"> należy określić jako zagrożenie nieosiągnięcia docelowej wartości założonej</w:t>
      </w:r>
      <w:r w:rsidR="00E66B89">
        <w:rPr>
          <w:rFonts w:ascii="Lato" w:hAnsi="Lato"/>
        </w:rPr>
        <w:t xml:space="preserve"> w </w:t>
      </w:r>
      <w:r w:rsidRPr="00786F09">
        <w:rPr>
          <w:rFonts w:ascii="Lato" w:hAnsi="Lato"/>
        </w:rPr>
        <w:t>okresie programowania interwencji.</w:t>
      </w:r>
    </w:p>
    <w:p w14:paraId="382F5333" w14:textId="77777777" w:rsidR="00F00EE3" w:rsidRPr="00786F09" w:rsidRDefault="00F00EE3" w:rsidP="00F00EE3">
      <w:pPr>
        <w:rPr>
          <w:szCs w:val="20"/>
        </w:rPr>
      </w:pPr>
      <w:r w:rsidRPr="00786F09">
        <w:rPr>
          <w:szCs w:val="20"/>
        </w:rPr>
        <w:t xml:space="preserve">Docelowa wartość wskaźnika </w:t>
      </w:r>
      <w:r w:rsidRPr="00C22C26">
        <w:rPr>
          <w:bCs/>
          <w:i/>
          <w:szCs w:val="20"/>
        </w:rPr>
        <w:t>Liczba przedsiębiorstw otrzymujących wsparcie (CI)</w:t>
      </w:r>
      <w:r w:rsidRPr="00786F09">
        <w:rPr>
          <w:bCs/>
          <w:sz w:val="18"/>
          <w:szCs w:val="18"/>
        </w:rPr>
        <w:t xml:space="preserve"> </w:t>
      </w:r>
      <w:r w:rsidRPr="00786F09">
        <w:rPr>
          <w:szCs w:val="20"/>
        </w:rPr>
        <w:t>została ustalona na etapie programowania interwencji na 1602 sztuki. Zakontraktowane umowy pozwolą wesprzeć 1283 przedsiębiorstwa co stanowi 80,1% wartości docelowej. Wnioski</w:t>
      </w:r>
      <w:r w:rsidR="00E66B89">
        <w:rPr>
          <w:szCs w:val="20"/>
        </w:rPr>
        <w:t xml:space="preserve"> o </w:t>
      </w:r>
      <w:r w:rsidRPr="00786F09">
        <w:rPr>
          <w:szCs w:val="20"/>
        </w:rPr>
        <w:t>płatność dokumentują wsparcie 280 przedsiębiorstw, co oznacza 17,5% celu.</w:t>
      </w:r>
    </w:p>
    <w:p w14:paraId="0A979A6E" w14:textId="77777777" w:rsidR="00F00EE3" w:rsidRPr="00786F09" w:rsidRDefault="00F00EE3" w:rsidP="00F00EE3">
      <w:pPr>
        <w:rPr>
          <w:szCs w:val="20"/>
        </w:rPr>
      </w:pPr>
      <w:r w:rsidRPr="00786F09">
        <w:rPr>
          <w:szCs w:val="20"/>
        </w:rPr>
        <w:t>Należy podkreślić, że taki wynik osiągnięty został pomimo, że nie przeprowadzono żadnego naboru</w:t>
      </w:r>
      <w:r w:rsidR="00E66B89">
        <w:rPr>
          <w:szCs w:val="20"/>
        </w:rPr>
        <w:t xml:space="preserve"> w </w:t>
      </w:r>
      <w:r w:rsidRPr="00786F09">
        <w:rPr>
          <w:szCs w:val="20"/>
        </w:rPr>
        <w:t xml:space="preserve">ramach </w:t>
      </w:r>
      <w:r w:rsidRPr="00786F09">
        <w:rPr>
          <w:i/>
          <w:szCs w:val="20"/>
        </w:rPr>
        <w:t>Działania 1.4 Wdrażanie wyników prac B+R,</w:t>
      </w:r>
      <w:r w:rsidR="00E66B89">
        <w:rPr>
          <w:szCs w:val="20"/>
        </w:rPr>
        <w:t xml:space="preserve"> a </w:t>
      </w:r>
      <w:r w:rsidRPr="00786F09">
        <w:rPr>
          <w:szCs w:val="20"/>
        </w:rPr>
        <w:t>pozostałe działania mające wpływ na przedmiotowy wskaźnik dysponują wciąż znaczącymi alokacjami.</w:t>
      </w:r>
    </w:p>
    <w:p w14:paraId="750C2BB3" w14:textId="77777777" w:rsidR="00F00EE3" w:rsidRPr="00786F09" w:rsidRDefault="00F00EE3" w:rsidP="00F00EE3">
      <w:pPr>
        <w:rPr>
          <w:szCs w:val="20"/>
        </w:rPr>
      </w:pPr>
      <w:r w:rsidRPr="00786F09">
        <w:rPr>
          <w:szCs w:val="20"/>
        </w:rPr>
        <w:t>Brak kontraktacji</w:t>
      </w:r>
      <w:r w:rsidR="00E66B89">
        <w:rPr>
          <w:szCs w:val="20"/>
        </w:rPr>
        <w:t xml:space="preserve"> w </w:t>
      </w:r>
      <w:r w:rsidRPr="00786F09">
        <w:rPr>
          <w:szCs w:val="20"/>
        </w:rPr>
        <w:t xml:space="preserve">ramach wymienionego wyżej </w:t>
      </w:r>
      <w:r w:rsidRPr="00786F09">
        <w:rPr>
          <w:i/>
          <w:szCs w:val="20"/>
        </w:rPr>
        <w:t xml:space="preserve">Działania 1.4 Wdrażanie wyników prac B+R </w:t>
      </w:r>
      <w:r w:rsidRPr="00786F09">
        <w:rPr>
          <w:szCs w:val="20"/>
        </w:rPr>
        <w:t>jest jedną</w:t>
      </w:r>
      <w:r w:rsidR="00E66B89">
        <w:rPr>
          <w:szCs w:val="20"/>
        </w:rPr>
        <w:t xml:space="preserve"> z </w:t>
      </w:r>
      <w:r w:rsidRPr="00786F09">
        <w:rPr>
          <w:szCs w:val="20"/>
        </w:rPr>
        <w:t xml:space="preserve">przyczyn niskich parametrów charakteryzujących wskaźnik produktu </w:t>
      </w:r>
      <w:r w:rsidRPr="00C22C26">
        <w:rPr>
          <w:i/>
          <w:szCs w:val="20"/>
        </w:rPr>
        <w:t>Liczba przedsiębiorstw otrzymujących dotacje (CI)</w:t>
      </w:r>
      <w:r w:rsidRPr="00786F09">
        <w:rPr>
          <w:szCs w:val="20"/>
        </w:rPr>
        <w:t>. Dotychczasowa kontraktacja zapewnia udzielenie 121 dotacji, co</w:t>
      </w:r>
      <w:r w:rsidR="00E66B89">
        <w:rPr>
          <w:szCs w:val="20"/>
        </w:rPr>
        <w:t xml:space="preserve"> w </w:t>
      </w:r>
      <w:r w:rsidRPr="00786F09">
        <w:rPr>
          <w:szCs w:val="20"/>
        </w:rPr>
        <w:t xml:space="preserve">obliczu założonej wartości docelowej 439 dotacji stanowi 27,6% celu. </w:t>
      </w:r>
    </w:p>
    <w:p w14:paraId="6EF565A4" w14:textId="77777777" w:rsidR="00F00EE3" w:rsidRPr="00786F09" w:rsidRDefault="00F00EE3" w:rsidP="00F00EE3">
      <w:pPr>
        <w:rPr>
          <w:szCs w:val="20"/>
        </w:rPr>
      </w:pPr>
      <w:r w:rsidRPr="00786F09">
        <w:rPr>
          <w:szCs w:val="20"/>
        </w:rPr>
        <w:t>Znacznie lepiej kształtuje się sytuacja</w:t>
      </w:r>
      <w:r w:rsidR="00E66B89">
        <w:rPr>
          <w:szCs w:val="20"/>
        </w:rPr>
        <w:t xml:space="preserve"> w </w:t>
      </w:r>
      <w:r w:rsidRPr="00786F09">
        <w:rPr>
          <w:szCs w:val="20"/>
        </w:rPr>
        <w:t xml:space="preserve">przypadku wskaźnika </w:t>
      </w:r>
      <w:r w:rsidRPr="00C22C26">
        <w:rPr>
          <w:i/>
          <w:szCs w:val="20"/>
        </w:rPr>
        <w:t>Inwestycje prywatne uzupełniające wsparcie publiczne dla przedsiębiorstw (dotacje) (CI)</w:t>
      </w:r>
      <w:r w:rsidRPr="00786F09">
        <w:rPr>
          <w:szCs w:val="20"/>
        </w:rPr>
        <w:t>. Do dnia 7 stycznia 2019 r. kontraktacja pozwoliła zabezpieczyć 62,2% wartości docelowej wskaźnika,</w:t>
      </w:r>
      <w:r w:rsidR="00E66B89">
        <w:rPr>
          <w:szCs w:val="20"/>
        </w:rPr>
        <w:t xml:space="preserve"> a </w:t>
      </w:r>
      <w:r w:rsidRPr="00786F09">
        <w:rPr>
          <w:szCs w:val="20"/>
        </w:rPr>
        <w:t>złożone wnioski</w:t>
      </w:r>
      <w:r w:rsidR="00E66B89">
        <w:rPr>
          <w:szCs w:val="20"/>
        </w:rPr>
        <w:t xml:space="preserve"> o </w:t>
      </w:r>
      <w:r w:rsidRPr="00786F09">
        <w:rPr>
          <w:szCs w:val="20"/>
        </w:rPr>
        <w:t>płatność dokumentują realizację na poziomie 30,5%.</w:t>
      </w:r>
    </w:p>
    <w:p w14:paraId="574928E8" w14:textId="77777777" w:rsidR="00F00EE3" w:rsidRPr="00786F09" w:rsidRDefault="00F00EE3" w:rsidP="00F00EE3">
      <w:pPr>
        <w:rPr>
          <w:szCs w:val="20"/>
        </w:rPr>
      </w:pPr>
      <w:r w:rsidRPr="00786F09">
        <w:rPr>
          <w:szCs w:val="20"/>
        </w:rPr>
        <w:t>Zdecydowanie najlepiej ze wszystkich wskaźników realizujących priorytet inwestycyjny 3c wypada wskaźnik mierzący wzrost zatrudnienia we wspieranych przedsiębiorstwach. Pomimo wartości docelowej określonej na 255 EPC do dnia 7 stycznia 2019 roku zakontraktowane projekty przewidują wzrost</w:t>
      </w:r>
      <w:r w:rsidR="00E66B89">
        <w:rPr>
          <w:szCs w:val="20"/>
        </w:rPr>
        <w:t xml:space="preserve"> o </w:t>
      </w:r>
      <w:r w:rsidRPr="00786F09">
        <w:rPr>
          <w:szCs w:val="20"/>
        </w:rPr>
        <w:t>867 EPC co stanowi 340,0% celu. Złożone przez beneficjentów wnioski</w:t>
      </w:r>
      <w:r w:rsidR="00E66B89">
        <w:rPr>
          <w:szCs w:val="20"/>
        </w:rPr>
        <w:t xml:space="preserve"> o </w:t>
      </w:r>
      <w:r w:rsidRPr="00786F09">
        <w:rPr>
          <w:szCs w:val="20"/>
        </w:rPr>
        <w:t>płatność wykazują wzrost</w:t>
      </w:r>
      <w:r w:rsidR="00E66B89">
        <w:rPr>
          <w:szCs w:val="20"/>
        </w:rPr>
        <w:t xml:space="preserve"> o </w:t>
      </w:r>
      <w:r w:rsidRPr="00786F09">
        <w:rPr>
          <w:szCs w:val="20"/>
        </w:rPr>
        <w:t>187 EPC co stanowi 73,3% wartości założonej do osiągnięcia na koniec 2023 roku.</w:t>
      </w:r>
      <w:r>
        <w:rPr>
          <w:szCs w:val="20"/>
        </w:rPr>
        <w:t xml:space="preserve"> Wynik ten jest dodatkowo imponujący, ponieważ</w:t>
      </w:r>
      <w:r w:rsidR="00E66B89">
        <w:rPr>
          <w:szCs w:val="20"/>
        </w:rPr>
        <w:t xml:space="preserve"> w </w:t>
      </w:r>
      <w:r>
        <w:rPr>
          <w:szCs w:val="20"/>
        </w:rPr>
        <w:t>ciągu ostatnich dwóch lat sytuacja na rynku pracy</w:t>
      </w:r>
      <w:r w:rsidR="00E66B89">
        <w:rPr>
          <w:szCs w:val="20"/>
        </w:rPr>
        <w:t xml:space="preserve"> w </w:t>
      </w:r>
      <w:r>
        <w:rPr>
          <w:szCs w:val="20"/>
        </w:rPr>
        <w:t>Polsce uległa znacznej zmianie na korzyść pracowników.</w:t>
      </w:r>
    </w:p>
    <w:p w14:paraId="2CB32E84" w14:textId="77777777" w:rsidR="00F00EE3" w:rsidRPr="00786F09" w:rsidRDefault="00F00EE3" w:rsidP="00F00EE3">
      <w:pPr>
        <w:rPr>
          <w:szCs w:val="20"/>
        </w:rPr>
      </w:pPr>
      <w:r w:rsidRPr="00786F09">
        <w:rPr>
          <w:szCs w:val="20"/>
        </w:rPr>
        <w:t xml:space="preserve">Dotychczasowa kontraktacja zapewnia również realizację wskaźnika </w:t>
      </w:r>
      <w:r w:rsidRPr="00C22C26">
        <w:rPr>
          <w:i/>
          <w:szCs w:val="20"/>
        </w:rPr>
        <w:t>Liczba przedsiębiorstw objętych wsparciem</w:t>
      </w:r>
      <w:r w:rsidR="00E66B89">
        <w:rPr>
          <w:i/>
          <w:szCs w:val="20"/>
        </w:rPr>
        <w:t xml:space="preserve"> w </w:t>
      </w:r>
      <w:r w:rsidRPr="00C22C26">
        <w:rPr>
          <w:i/>
          <w:szCs w:val="20"/>
        </w:rPr>
        <w:t>celu wprowadzenia produktów nowych dla rynku</w:t>
      </w:r>
      <w:r w:rsidRPr="00786F09">
        <w:rPr>
          <w:szCs w:val="20"/>
        </w:rPr>
        <w:t>. Liczba takich przedsiębiorstw, które</w:t>
      </w:r>
      <w:r w:rsidR="00E66B89">
        <w:rPr>
          <w:szCs w:val="20"/>
        </w:rPr>
        <w:t xml:space="preserve"> w </w:t>
      </w:r>
      <w:r w:rsidRPr="00786F09">
        <w:rPr>
          <w:szCs w:val="20"/>
        </w:rPr>
        <w:t xml:space="preserve">wyniku </w:t>
      </w:r>
      <w:r>
        <w:rPr>
          <w:szCs w:val="20"/>
        </w:rPr>
        <w:t>p</w:t>
      </w:r>
      <w:r w:rsidRPr="00786F09">
        <w:rPr>
          <w:szCs w:val="20"/>
        </w:rPr>
        <w:t>odpisanych umów</w:t>
      </w:r>
      <w:r w:rsidR="00E66B89">
        <w:rPr>
          <w:szCs w:val="20"/>
        </w:rPr>
        <w:t xml:space="preserve"> o </w:t>
      </w:r>
      <w:r w:rsidRPr="00786F09">
        <w:rPr>
          <w:szCs w:val="20"/>
        </w:rPr>
        <w:t>dofinansowanie wprowadzą produkty nowe dla rynku wynosi 163 co stanowi 131,5% wartości docelowej. Wnioski</w:t>
      </w:r>
      <w:r w:rsidR="00E66B89">
        <w:rPr>
          <w:szCs w:val="20"/>
        </w:rPr>
        <w:t xml:space="preserve"> o </w:t>
      </w:r>
      <w:r w:rsidRPr="00786F09">
        <w:rPr>
          <w:szCs w:val="20"/>
        </w:rPr>
        <w:t>płatność dokumentują wsparcie 26 takich firm realizując tym samym 21% celu.</w:t>
      </w:r>
      <w:r>
        <w:rPr>
          <w:szCs w:val="20"/>
        </w:rPr>
        <w:t xml:space="preserve"> Wskaźnik ten jest bardzo ważny, ponieważ nawet jeśli nowe dla rynku produkty </w:t>
      </w:r>
      <w:r>
        <w:rPr>
          <w:szCs w:val="20"/>
        </w:rPr>
        <w:lastRenderedPageBreak/>
        <w:t>są wprowadzane na skutek imitacji,</w:t>
      </w:r>
      <w:r w:rsidR="00E66B89">
        <w:rPr>
          <w:szCs w:val="20"/>
        </w:rPr>
        <w:t xml:space="preserve"> a </w:t>
      </w:r>
      <w:r>
        <w:rPr>
          <w:szCs w:val="20"/>
        </w:rPr>
        <w:t>nie endogenicznego procesu B+R, są to rozwiązania innowacyjne dla rynku, na którym są wprowadzane,</w:t>
      </w:r>
      <w:r w:rsidR="00E66B89">
        <w:rPr>
          <w:szCs w:val="20"/>
        </w:rPr>
        <w:t xml:space="preserve"> a </w:t>
      </w:r>
      <w:r>
        <w:rPr>
          <w:szCs w:val="20"/>
        </w:rPr>
        <w:t xml:space="preserve">więc podnoszą poziom innowacyjności tego rynku. </w:t>
      </w:r>
    </w:p>
    <w:p w14:paraId="710C3672" w14:textId="77777777" w:rsidR="00F00EE3" w:rsidRPr="00786F09" w:rsidRDefault="00F00EE3" w:rsidP="00F00EE3">
      <w:pPr>
        <w:pStyle w:val="Nagwek4"/>
        <w:numPr>
          <w:ilvl w:val="0"/>
          <w:numId w:val="0"/>
        </w:numPr>
        <w:spacing w:before="120"/>
        <w:rPr>
          <w:rFonts w:ascii="Lato" w:eastAsia="Calibri" w:hAnsi="Lato"/>
        </w:rPr>
      </w:pPr>
      <w:r w:rsidRPr="00786F09">
        <w:rPr>
          <w:rFonts w:ascii="Lato" w:eastAsia="Calibri" w:hAnsi="Lato"/>
        </w:rPr>
        <w:t xml:space="preserve">Wskaźniki rezultatu strategicznego </w:t>
      </w:r>
    </w:p>
    <w:p w14:paraId="7C91B1F7" w14:textId="77777777" w:rsidR="00F00EE3" w:rsidRPr="00786F09" w:rsidRDefault="00F00EE3" w:rsidP="00F00EE3">
      <w:pPr>
        <w:rPr>
          <w:szCs w:val="20"/>
        </w:rPr>
      </w:pPr>
      <w:r w:rsidRPr="00786F09">
        <w:rPr>
          <w:szCs w:val="20"/>
        </w:rPr>
        <w:t xml:space="preserve">Wskaźnik </w:t>
      </w:r>
      <w:r w:rsidRPr="00C22C26">
        <w:rPr>
          <w:i/>
          <w:szCs w:val="20"/>
        </w:rPr>
        <w:t>Średni udział przedsiębiorstw innowacyjnych -</w:t>
      </w:r>
      <w:r w:rsidR="00E66B89">
        <w:rPr>
          <w:i/>
          <w:szCs w:val="20"/>
        </w:rPr>
        <w:t xml:space="preserve"> w </w:t>
      </w:r>
      <w:r w:rsidRPr="00C22C26">
        <w:rPr>
          <w:i/>
          <w:szCs w:val="20"/>
        </w:rPr>
        <w:t>ogólnej liczbie przedsiębiorstw przemysłowych</w:t>
      </w:r>
      <w:r w:rsidR="00E66B89">
        <w:rPr>
          <w:i/>
          <w:szCs w:val="20"/>
        </w:rPr>
        <w:t xml:space="preserve"> i z </w:t>
      </w:r>
      <w:r w:rsidRPr="00C22C26">
        <w:rPr>
          <w:i/>
          <w:szCs w:val="20"/>
        </w:rPr>
        <w:t>sektora usług</w:t>
      </w:r>
      <w:r>
        <w:rPr>
          <w:szCs w:val="20"/>
        </w:rPr>
        <w:t xml:space="preserve"> w </w:t>
      </w:r>
      <w:r w:rsidRPr="00786F09">
        <w:rPr>
          <w:szCs w:val="20"/>
        </w:rPr>
        <w:t>ciągu ostatnich 10 lat pozostaje na poziomie kilkunastu procent, poza jednorocznym spadkiem</w:t>
      </w:r>
      <w:r w:rsidR="00E66B89">
        <w:rPr>
          <w:szCs w:val="20"/>
        </w:rPr>
        <w:t xml:space="preserve"> w </w:t>
      </w:r>
      <w:r w:rsidRPr="00786F09">
        <w:rPr>
          <w:szCs w:val="20"/>
        </w:rPr>
        <w:t>roku 2011, kiedy jego wartość spadła poniżej 10%. Wartość docelowa została ustalona na 21%</w:t>
      </w:r>
      <w:r w:rsidR="00E66B89">
        <w:rPr>
          <w:szCs w:val="20"/>
        </w:rPr>
        <w:t xml:space="preserve"> w </w:t>
      </w:r>
      <w:r w:rsidRPr="00786F09">
        <w:rPr>
          <w:szCs w:val="20"/>
        </w:rPr>
        <w:t>2023 r., co jest ambitnym założeniem, biorąc pod uwagę dotychczasowe wartości.</w:t>
      </w:r>
      <w:r w:rsidR="00E66B89">
        <w:rPr>
          <w:szCs w:val="20"/>
        </w:rPr>
        <w:t xml:space="preserve"> W </w:t>
      </w:r>
      <w:r w:rsidRPr="00404DA5">
        <w:rPr>
          <w:rFonts w:cs="Calibri"/>
          <w:szCs w:val="20"/>
        </w:rPr>
        <w:t>przypadku utrzymania się tego trendu, osiągnięcie</w:t>
      </w:r>
      <w:r w:rsidRPr="00786F09">
        <w:rPr>
          <w:szCs w:val="20"/>
        </w:rPr>
        <w:t xml:space="preserve"> wartości docelowej jest mało prawdopodobne. </w:t>
      </w:r>
    </w:p>
    <w:p w14:paraId="7C6548FD" w14:textId="77777777" w:rsidR="00F00EE3" w:rsidRPr="00786F09" w:rsidRDefault="00F00EE3" w:rsidP="006E34DC">
      <w:pPr>
        <w:pStyle w:val="Legenda"/>
        <w:spacing w:after="0"/>
      </w:pPr>
      <w:bookmarkStart w:id="59" w:name="_Toc5311873"/>
      <w:r w:rsidRPr="00786F09">
        <w:t xml:space="preserve">Wykres </w:t>
      </w:r>
      <w:r>
        <w:fldChar w:fldCharType="begin"/>
      </w:r>
      <w:r>
        <w:instrText xml:space="preserve"> SEQ Wykres \* ARABIC </w:instrText>
      </w:r>
      <w:r>
        <w:fldChar w:fldCharType="separate"/>
      </w:r>
      <w:r w:rsidR="00763345">
        <w:rPr>
          <w:noProof/>
        </w:rPr>
        <w:t>7</w:t>
      </w:r>
      <w:r>
        <w:fldChar w:fldCharType="end"/>
      </w:r>
      <w:r w:rsidRPr="00786F09">
        <w:t xml:space="preserve"> Średni udział przedsiębiorstw innowacyjnych -</w:t>
      </w:r>
      <w:r w:rsidR="00E66B89">
        <w:t xml:space="preserve"> w </w:t>
      </w:r>
      <w:r w:rsidRPr="00786F09">
        <w:t>ogólnej liczbie przedsiębiorstw przemysłowych</w:t>
      </w:r>
      <w:r w:rsidR="00E66B89">
        <w:t xml:space="preserve"> i z </w:t>
      </w:r>
      <w:r w:rsidRPr="00786F09">
        <w:t>sektora usług [%]</w:t>
      </w:r>
      <w:bookmarkEnd w:id="59"/>
    </w:p>
    <w:p w14:paraId="54AE0047" w14:textId="7CE224DF" w:rsidR="00F00EE3" w:rsidRPr="00786F09" w:rsidRDefault="00C35619" w:rsidP="00CF71F2">
      <w:pPr>
        <w:spacing w:before="0" w:after="0"/>
      </w:pPr>
      <w:r w:rsidRPr="00D508B6">
        <w:rPr>
          <w:noProof/>
        </w:rPr>
        <w:drawing>
          <wp:inline distT="0" distB="0" distL="0" distR="0" wp14:anchorId="6F46EAC3" wp14:editId="02F84FA3">
            <wp:extent cx="5753100" cy="2743200"/>
            <wp:effectExtent l="0" t="0" r="0" b="0"/>
            <wp:docPr id="25" name="Obraz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324D9310" w14:textId="748242F2" w:rsidR="00F00EE3" w:rsidRPr="002A5FDF" w:rsidRDefault="00F00EE3" w:rsidP="005076BF">
      <w:pPr>
        <w:spacing w:before="0"/>
        <w:rPr>
          <w:rFonts w:cs="Calibri"/>
          <w:i/>
          <w:sz w:val="18"/>
        </w:rPr>
      </w:pPr>
      <w:r w:rsidRPr="002A5FDF">
        <w:rPr>
          <w:rFonts w:cs="Calibri"/>
          <w:i/>
          <w:sz w:val="18"/>
        </w:rPr>
        <w:t>Źródło: STRATEG, GUS</w:t>
      </w:r>
      <w:r w:rsidR="0042389C" w:rsidRPr="002A5FDF">
        <w:rPr>
          <w:rFonts w:cs="Calibri"/>
          <w:i/>
          <w:sz w:val="18"/>
        </w:rPr>
        <w:t>.</w:t>
      </w:r>
    </w:p>
    <w:p w14:paraId="650F9C89" w14:textId="77777777" w:rsidR="00F00EE3" w:rsidRPr="00786F09" w:rsidRDefault="00F00EE3" w:rsidP="00F00EE3">
      <w:pPr>
        <w:rPr>
          <w:szCs w:val="20"/>
        </w:rPr>
      </w:pPr>
      <w:r w:rsidRPr="00786F09">
        <w:rPr>
          <w:szCs w:val="20"/>
        </w:rPr>
        <w:t>Na wartość wskaźnika może wpływać wiele czynników, począwszy od dostępności finansowania dla przedsiębiorstw, dostępności wykwalifikowanych kadr, obecności jednostek naukowych</w:t>
      </w:r>
      <w:r w:rsidR="00E66B89">
        <w:rPr>
          <w:szCs w:val="20"/>
        </w:rPr>
        <w:t xml:space="preserve"> i </w:t>
      </w:r>
      <w:r w:rsidRPr="00786F09">
        <w:rPr>
          <w:szCs w:val="20"/>
        </w:rPr>
        <w:t>ich chęci do współpracy, zmian koniunktury gospodarczej, przez konkurencję na rynku krajowym</w:t>
      </w:r>
      <w:r w:rsidR="00E66B89">
        <w:rPr>
          <w:szCs w:val="20"/>
        </w:rPr>
        <w:t xml:space="preserve"> i </w:t>
      </w:r>
      <w:r w:rsidRPr="00786F09">
        <w:rPr>
          <w:szCs w:val="20"/>
        </w:rPr>
        <w:t>rynkach międzynarodowych po trendy globalne,</w:t>
      </w:r>
      <w:r w:rsidR="00E66B89">
        <w:rPr>
          <w:szCs w:val="20"/>
        </w:rPr>
        <w:t xml:space="preserve"> w </w:t>
      </w:r>
      <w:r w:rsidRPr="00786F09">
        <w:rPr>
          <w:szCs w:val="20"/>
        </w:rPr>
        <w:t>tym wprowadzanie rozwiązań związanych</w:t>
      </w:r>
      <w:r w:rsidR="00E66B89">
        <w:rPr>
          <w:szCs w:val="20"/>
        </w:rPr>
        <w:t xml:space="preserve"> z </w:t>
      </w:r>
      <w:r w:rsidRPr="00786F09">
        <w:rPr>
          <w:szCs w:val="20"/>
        </w:rPr>
        <w:t xml:space="preserve">czwartą rewolucją przemysłową (Przemysł 4.0). </w:t>
      </w:r>
    </w:p>
    <w:p w14:paraId="22F517CD" w14:textId="77777777" w:rsidR="00F00EE3" w:rsidRPr="00786F09" w:rsidRDefault="00F00EE3" w:rsidP="00F00EE3">
      <w:pPr>
        <w:pStyle w:val="Nagwek4"/>
        <w:numPr>
          <w:ilvl w:val="0"/>
          <w:numId w:val="0"/>
        </w:numPr>
        <w:rPr>
          <w:rFonts w:ascii="Lato" w:eastAsia="Calibri" w:hAnsi="Lato"/>
        </w:rPr>
      </w:pPr>
      <w:r w:rsidRPr="00786F09">
        <w:rPr>
          <w:rFonts w:ascii="Lato" w:eastAsia="Calibri" w:hAnsi="Lato"/>
        </w:rPr>
        <w:t xml:space="preserve">Ocena potencjału absorpcyjnego </w:t>
      </w:r>
    </w:p>
    <w:p w14:paraId="2F9ED9C2" w14:textId="77777777" w:rsidR="00F00EE3" w:rsidRPr="00786F09" w:rsidRDefault="00F00EE3" w:rsidP="00F00EE3">
      <w:pPr>
        <w:rPr>
          <w:rFonts w:cs="Calibri"/>
          <w:szCs w:val="20"/>
        </w:rPr>
      </w:pPr>
      <w:r w:rsidRPr="00786F09">
        <w:rPr>
          <w:rFonts w:cs="Calibri"/>
          <w:szCs w:val="20"/>
        </w:rPr>
        <w:t>Potencjał absorpcyjny</w:t>
      </w:r>
      <w:r w:rsidR="00E66B89">
        <w:rPr>
          <w:rFonts w:cs="Calibri"/>
          <w:szCs w:val="20"/>
        </w:rPr>
        <w:t xml:space="preserve"> w </w:t>
      </w:r>
      <w:r w:rsidRPr="00786F09">
        <w:rPr>
          <w:rFonts w:cs="Calibri"/>
          <w:szCs w:val="20"/>
        </w:rPr>
        <w:t>PI 3c został oceniony jako relatywnie niski. Biorąc pod uwagę dotychczasowe zainteresowanie potencjalnych wnioskodawców oraz realizację wskaźników, można wnioskować, że potencjał do realizacji projektów, szczególnie tych bardziej wymagających, czyli wymagających wprowadzania na rynek wyników prac badawczo-rozwojowych został</w:t>
      </w:r>
      <w:r w:rsidR="00E66B89">
        <w:rPr>
          <w:rFonts w:cs="Calibri"/>
          <w:szCs w:val="20"/>
        </w:rPr>
        <w:t xml:space="preserve"> w </w:t>
      </w:r>
      <w:r w:rsidRPr="00786F09">
        <w:rPr>
          <w:rFonts w:cs="Calibri"/>
          <w:szCs w:val="20"/>
        </w:rPr>
        <w:t>znacznej mierze wyczerpany. Dotyczy to przede wszystkim przedsiębiorstw działających</w:t>
      </w:r>
      <w:r w:rsidR="00E66B89">
        <w:rPr>
          <w:rFonts w:cs="Calibri"/>
          <w:szCs w:val="20"/>
        </w:rPr>
        <w:t xml:space="preserve"> w </w:t>
      </w:r>
      <w:r w:rsidRPr="00786F09">
        <w:rPr>
          <w:rFonts w:cs="Calibri"/>
          <w:szCs w:val="20"/>
        </w:rPr>
        <w:t>obszarach inteligentnych specjalizacji. Dla pozostałych potencjalnych wnioskodawców atrakcyjną alternatywą pozyskania dofinansowania projektów mogą być programy krajowe,</w:t>
      </w:r>
      <w:r w:rsidR="00E66B89">
        <w:rPr>
          <w:rFonts w:cs="Calibri"/>
          <w:szCs w:val="20"/>
        </w:rPr>
        <w:t xml:space="preserve"> w </w:t>
      </w:r>
      <w:r w:rsidRPr="00786F09">
        <w:rPr>
          <w:rFonts w:cs="Calibri"/>
          <w:szCs w:val="20"/>
        </w:rPr>
        <w:t>szczególności oferta NCBR. Wyniki badania ankietowego dają jednak raczej pozytywny obraz, szczególnie</w:t>
      </w:r>
      <w:r w:rsidR="00E66B89">
        <w:rPr>
          <w:rFonts w:cs="Calibri"/>
          <w:szCs w:val="20"/>
        </w:rPr>
        <w:t xml:space="preserve"> w </w:t>
      </w:r>
      <w:r w:rsidRPr="00786F09">
        <w:rPr>
          <w:rFonts w:cs="Calibri"/>
          <w:szCs w:val="20"/>
        </w:rPr>
        <w:t>działaniu Inwestycje przedsiębiorstw wspierające rozwój regionalnych specjalizacji oraz inteligentnych specjalizacji.</w:t>
      </w:r>
      <w:r>
        <w:rPr>
          <w:rFonts w:cs="Calibri"/>
          <w:szCs w:val="20"/>
        </w:rPr>
        <w:t xml:space="preserve"> Działanie 1.5 jest działaniem, na które aż 40,7% (w ramach osi pierwszej)</w:t>
      </w:r>
      <w:r w:rsidR="00E66B89">
        <w:rPr>
          <w:rFonts w:cs="Calibri"/>
          <w:szCs w:val="20"/>
        </w:rPr>
        <w:t xml:space="preserve"> z </w:t>
      </w:r>
      <w:r>
        <w:rPr>
          <w:rFonts w:cs="Calibri"/>
          <w:szCs w:val="20"/>
        </w:rPr>
        <w:t>ankietowanych wnioskodawców chciałoby ubiegać się</w:t>
      </w:r>
      <w:r w:rsidR="00E66B89">
        <w:rPr>
          <w:rFonts w:cs="Calibri"/>
          <w:szCs w:val="20"/>
        </w:rPr>
        <w:t xml:space="preserve"> o </w:t>
      </w:r>
      <w:r>
        <w:rPr>
          <w:rFonts w:cs="Calibri"/>
          <w:szCs w:val="20"/>
        </w:rPr>
        <w:t>dofinansowanie.</w:t>
      </w:r>
      <w:r w:rsidRPr="00786F09">
        <w:rPr>
          <w:rFonts w:cs="Calibri"/>
          <w:szCs w:val="20"/>
        </w:rPr>
        <w:t xml:space="preserve"> </w:t>
      </w:r>
    </w:p>
    <w:p w14:paraId="7C14A97C" w14:textId="77777777" w:rsidR="00F00EE3" w:rsidRPr="00786F09" w:rsidRDefault="00F00EE3" w:rsidP="00F00EE3">
      <w:pPr>
        <w:pStyle w:val="Nagwek4"/>
        <w:numPr>
          <w:ilvl w:val="0"/>
          <w:numId w:val="0"/>
        </w:numPr>
        <w:rPr>
          <w:rFonts w:ascii="Lato" w:eastAsia="Calibri" w:hAnsi="Lato"/>
        </w:rPr>
      </w:pPr>
      <w:r w:rsidRPr="00786F09">
        <w:rPr>
          <w:rFonts w:ascii="Lato" w:eastAsia="Calibri" w:hAnsi="Lato"/>
        </w:rPr>
        <w:lastRenderedPageBreak/>
        <w:t>Prognozy osiągnięcia celów zakładanych na 2023 rok</w:t>
      </w:r>
    </w:p>
    <w:p w14:paraId="3FB6FB39" w14:textId="77777777" w:rsidR="00F00EE3" w:rsidRPr="00786F09" w:rsidRDefault="00F00EE3" w:rsidP="00F00EE3">
      <w:pPr>
        <w:rPr>
          <w:szCs w:val="20"/>
        </w:rPr>
      </w:pPr>
      <w:r w:rsidRPr="00786F09">
        <w:rPr>
          <w:szCs w:val="20"/>
        </w:rPr>
        <w:t>Wskaźnik mierzący liczbę przedsiębiorstw otrzymujących wsparcie (CI) prognozuje osiągnięcie na poziomie 89,4%. Niemniej jednak,</w:t>
      </w:r>
      <w:r w:rsidR="00E66B89">
        <w:rPr>
          <w:szCs w:val="20"/>
        </w:rPr>
        <w:t xml:space="preserve"> w </w:t>
      </w:r>
      <w:r w:rsidRPr="00786F09">
        <w:rPr>
          <w:szCs w:val="20"/>
        </w:rPr>
        <w:t xml:space="preserve">dużej mierze jest on realizowany za pośrednictwem </w:t>
      </w:r>
      <w:r w:rsidRPr="00C22C26">
        <w:rPr>
          <w:i/>
          <w:szCs w:val="20"/>
        </w:rPr>
        <w:t>Działania 1.9 Inwestycje</w:t>
      </w:r>
      <w:r w:rsidR="00E66B89">
        <w:rPr>
          <w:i/>
          <w:szCs w:val="20"/>
        </w:rPr>
        <w:t xml:space="preserve"> w </w:t>
      </w:r>
      <w:r w:rsidRPr="00C22C26">
        <w:rPr>
          <w:i/>
          <w:szCs w:val="20"/>
        </w:rPr>
        <w:t>przedsiębiorstwach poprzez instrumenty finansowe</w:t>
      </w:r>
      <w:r w:rsidRPr="00786F09">
        <w:rPr>
          <w:szCs w:val="20"/>
        </w:rPr>
        <w:t xml:space="preserve">. Mechanizm wsparcia instrumentami finansowymi wymaga poniesienia nakładów rozumianych jako koszty zarządzania </w:t>
      </w:r>
      <w:r w:rsidR="007A5323">
        <w:rPr>
          <w:szCs w:val="20"/>
        </w:rPr>
        <w:t>(</w:t>
      </w:r>
      <w:r>
        <w:rPr>
          <w:szCs w:val="20"/>
        </w:rPr>
        <w:t>opłata za</w:t>
      </w:r>
      <w:r w:rsidRPr="00786F09">
        <w:rPr>
          <w:szCs w:val="20"/>
        </w:rPr>
        <w:t xml:space="preserve"> zarządzani</w:t>
      </w:r>
      <w:r>
        <w:rPr>
          <w:szCs w:val="20"/>
        </w:rPr>
        <w:t>e</w:t>
      </w:r>
      <w:r w:rsidR="007A5323">
        <w:rPr>
          <w:szCs w:val="20"/>
        </w:rPr>
        <w:t>)</w:t>
      </w:r>
      <w:r w:rsidRPr="00786F09">
        <w:rPr>
          <w:szCs w:val="20"/>
        </w:rPr>
        <w:t xml:space="preserve"> opłacające zarówno Menadżera Funduszu Funduszy jak</w:t>
      </w:r>
      <w:r w:rsidR="00E66B89">
        <w:rPr>
          <w:szCs w:val="20"/>
        </w:rPr>
        <w:t xml:space="preserve"> i </w:t>
      </w:r>
      <w:r w:rsidRPr="00786F09">
        <w:rPr>
          <w:szCs w:val="20"/>
        </w:rPr>
        <w:t>wybieranych przez niego pośredników finansowych. Przed wsparciem ostatecznych beneficjentów konieczne jest przeprowadzenie szeregu czasochłonnych działań. Dlatego też, taką prognozę na poziomie 89,4% należy ocenić pozytywnie, gdyż</w:t>
      </w:r>
      <w:r w:rsidR="00E66B89">
        <w:rPr>
          <w:szCs w:val="20"/>
        </w:rPr>
        <w:t xml:space="preserve"> w </w:t>
      </w:r>
      <w:r w:rsidRPr="00786F09">
        <w:rPr>
          <w:szCs w:val="20"/>
        </w:rPr>
        <w:t>miarę wdrażania, za sprawą malejącego kosztu jednostkowego będzie ona rosnąć.</w:t>
      </w:r>
    </w:p>
    <w:p w14:paraId="69D0993D" w14:textId="77777777" w:rsidR="00F00EE3" w:rsidRPr="00786F09" w:rsidRDefault="00F00EE3" w:rsidP="00F00EE3">
      <w:pPr>
        <w:rPr>
          <w:szCs w:val="20"/>
        </w:rPr>
      </w:pPr>
      <w:r w:rsidRPr="00786F09">
        <w:rPr>
          <w:szCs w:val="20"/>
        </w:rPr>
        <w:t>Ze wszystkich wskaźników realizujących PI 3c negatywnie wyróżnia się wskaźnik poświęcony liczbie przedsiębiorstw otrzymujących dotacje (CI). Alokacja działań realizujących wskaźnik opiewa na 374 404 096,12 zł</w:t>
      </w:r>
      <w:r w:rsidR="007A5323">
        <w:rPr>
          <w:szCs w:val="20"/>
        </w:rPr>
        <w:t>,</w:t>
      </w:r>
      <w:r w:rsidRPr="00786F09">
        <w:rPr>
          <w:szCs w:val="20"/>
        </w:rPr>
        <w:t xml:space="preserve"> co przy dotychczasowym koszcie jednostkowym na poziomie 1 857 302,50 zł pozwoli zwiększyć liczbę dotowanych przedsiębiorstw do 271. Oznaczać to będzie wykonanie 61,7% docelowej wartości ustalonej na etapie programowania.</w:t>
      </w:r>
    </w:p>
    <w:p w14:paraId="0293A9B5" w14:textId="77777777" w:rsidR="00F00EE3" w:rsidRPr="00786F09" w:rsidRDefault="00F00EE3" w:rsidP="00F00EE3">
      <w:pPr>
        <w:rPr>
          <w:szCs w:val="20"/>
        </w:rPr>
      </w:pPr>
      <w:r w:rsidRPr="00786F09">
        <w:rPr>
          <w:szCs w:val="20"/>
        </w:rPr>
        <w:t xml:space="preserve">Bardzo dobry wynik generuje wskaźnik </w:t>
      </w:r>
      <w:r w:rsidRPr="00C22C26">
        <w:rPr>
          <w:i/>
          <w:szCs w:val="20"/>
        </w:rPr>
        <w:t>Inwestycje prywatne uzupełniające wsparcie publiczne dla przedsiębiorstw (dotacje) (CI)</w:t>
      </w:r>
      <w:r w:rsidRPr="00786F09">
        <w:rPr>
          <w:szCs w:val="20"/>
        </w:rPr>
        <w:t>. Zachowanie proporcji wdrażania pozwoli wypełnić założoną wartość docelową</w:t>
      </w:r>
      <w:r w:rsidR="00E66B89">
        <w:rPr>
          <w:szCs w:val="20"/>
        </w:rPr>
        <w:t xml:space="preserve"> w </w:t>
      </w:r>
      <w:r w:rsidRPr="00786F09">
        <w:rPr>
          <w:szCs w:val="20"/>
        </w:rPr>
        <w:t>142,6%. Analiza zestawienia kosztu jednostkowego</w:t>
      </w:r>
      <w:r w:rsidR="00E66B89">
        <w:rPr>
          <w:szCs w:val="20"/>
        </w:rPr>
        <w:t xml:space="preserve"> z </w:t>
      </w:r>
      <w:r w:rsidRPr="00786F09">
        <w:rPr>
          <w:szCs w:val="20"/>
        </w:rPr>
        <w:t>generowanym parametrem wskaźnika pozwala wysnuć wniosek, że 2,5 zł uruchamia wkład</w:t>
      </w:r>
      <w:r w:rsidR="00E66B89">
        <w:rPr>
          <w:szCs w:val="20"/>
        </w:rPr>
        <w:t xml:space="preserve"> o </w:t>
      </w:r>
      <w:r w:rsidRPr="00786F09">
        <w:rPr>
          <w:szCs w:val="20"/>
        </w:rPr>
        <w:t xml:space="preserve">wartości </w:t>
      </w:r>
      <w:r>
        <w:rPr>
          <w:szCs w:val="20"/>
        </w:rPr>
        <w:t>4,29 zł (</w:t>
      </w:r>
      <w:r w:rsidRPr="00786F09">
        <w:rPr>
          <w:szCs w:val="20"/>
        </w:rPr>
        <w:t>1 euro</w:t>
      </w:r>
      <w:r>
        <w:rPr>
          <w:szCs w:val="20"/>
        </w:rPr>
        <w:t>)</w:t>
      </w:r>
      <w:r w:rsidRPr="00786F09">
        <w:rPr>
          <w:szCs w:val="20"/>
        </w:rPr>
        <w:t>.</w:t>
      </w:r>
    </w:p>
    <w:p w14:paraId="75E2317C" w14:textId="77777777" w:rsidR="00F00EE3" w:rsidRPr="00786F09" w:rsidRDefault="00F00EE3" w:rsidP="00F00EE3">
      <w:pPr>
        <w:rPr>
          <w:szCs w:val="20"/>
        </w:rPr>
      </w:pPr>
      <w:r w:rsidRPr="00786F09">
        <w:rPr>
          <w:szCs w:val="20"/>
        </w:rPr>
        <w:t>Największa wartość wskaźnika prognozowana jest</w:t>
      </w:r>
      <w:r w:rsidR="00E66B89">
        <w:rPr>
          <w:szCs w:val="20"/>
        </w:rPr>
        <w:t xml:space="preserve"> w </w:t>
      </w:r>
      <w:r w:rsidRPr="00786F09">
        <w:rPr>
          <w:szCs w:val="20"/>
        </w:rPr>
        <w:t xml:space="preserve">odniesieniu do wskaźnika </w:t>
      </w:r>
      <w:r w:rsidRPr="00C22C26">
        <w:rPr>
          <w:i/>
          <w:szCs w:val="20"/>
        </w:rPr>
        <w:t>Wzrost zatrudnienia we wspieranych przedsiębiorstwach</w:t>
      </w:r>
      <w:r w:rsidRPr="00786F09">
        <w:rPr>
          <w:szCs w:val="20"/>
        </w:rPr>
        <w:t>. Pozostała do absorpcji na rzecz interwencji generujących przedmiotowy wskaźnik kwota środków opiewa na 374 404 096,12 zł. Dotychczasowy koszt jednostkowy stworzenia ekwiwalentu stałego czasu pracy wynosi 254 450,08 zł co przy zachowaniu tej średniej pozwoli stworzyć 1 983 EPC równoważne</w:t>
      </w:r>
      <w:r w:rsidR="00E66B89">
        <w:rPr>
          <w:szCs w:val="20"/>
        </w:rPr>
        <w:t xml:space="preserve"> z </w:t>
      </w:r>
      <w:r w:rsidRPr="00786F09">
        <w:rPr>
          <w:szCs w:val="20"/>
        </w:rPr>
        <w:t>wykonaniem celu</w:t>
      </w:r>
      <w:r w:rsidR="00E66B89">
        <w:rPr>
          <w:szCs w:val="20"/>
        </w:rPr>
        <w:t xml:space="preserve"> w </w:t>
      </w:r>
      <w:r w:rsidRPr="00786F09">
        <w:rPr>
          <w:szCs w:val="20"/>
        </w:rPr>
        <w:t>777,8%.</w:t>
      </w:r>
    </w:p>
    <w:p w14:paraId="01914CC0" w14:textId="77777777" w:rsidR="00F00EE3" w:rsidRPr="00786F09" w:rsidRDefault="00F00EE3" w:rsidP="00F00EE3">
      <w:pPr>
        <w:rPr>
          <w:szCs w:val="20"/>
        </w:rPr>
      </w:pPr>
      <w:r w:rsidRPr="00786F09">
        <w:rPr>
          <w:szCs w:val="20"/>
        </w:rPr>
        <w:t xml:space="preserve">Bardzo optymistyczna prognoza dotyczy również wskaźnika </w:t>
      </w:r>
      <w:r w:rsidRPr="00C22C26">
        <w:rPr>
          <w:i/>
          <w:szCs w:val="20"/>
        </w:rPr>
        <w:t>Liczba przedsiębiorstw objętych wsparciem</w:t>
      </w:r>
      <w:r w:rsidR="00E66B89">
        <w:rPr>
          <w:i/>
          <w:szCs w:val="20"/>
        </w:rPr>
        <w:t xml:space="preserve"> w </w:t>
      </w:r>
      <w:r w:rsidRPr="00C22C26">
        <w:rPr>
          <w:i/>
          <w:szCs w:val="20"/>
        </w:rPr>
        <w:t>celu wprowadzenia produktów nowych dla rynku</w:t>
      </w:r>
      <w:r w:rsidRPr="00786F09">
        <w:rPr>
          <w:szCs w:val="20"/>
        </w:rPr>
        <w:t>. Wartość docelowa ustalona na programowania interwencji przewidywała wsparcie 124 przedsiębiorstw. Tymczasem utrzymanie obecnej proporcji wdrażania pozwoli na objęcie wsparciem co najmniej 301 przedsiębiorstw co oznaczać będzie 243,7% wartości docelowej.</w:t>
      </w:r>
    </w:p>
    <w:p w14:paraId="3E3A1F1E" w14:textId="77777777" w:rsidR="00F00EE3" w:rsidRPr="006E34DC" w:rsidRDefault="00F00EE3" w:rsidP="006E34DC">
      <w:pPr>
        <w:pStyle w:val="Legenda"/>
        <w:spacing w:after="0"/>
      </w:pPr>
      <w:bookmarkStart w:id="60" w:name="_Toc8824126"/>
      <w:r w:rsidRPr="00404DA5">
        <w:t xml:space="preserve">Tabela </w:t>
      </w:r>
      <w:r>
        <w:fldChar w:fldCharType="begin"/>
      </w:r>
      <w:r>
        <w:instrText xml:space="preserve"> SEQ Tabela \* ARABIC </w:instrText>
      </w:r>
      <w:r>
        <w:fldChar w:fldCharType="separate"/>
      </w:r>
      <w:r w:rsidR="00763345">
        <w:rPr>
          <w:noProof/>
        </w:rPr>
        <w:t>15</w:t>
      </w:r>
      <w:r>
        <w:fldChar w:fldCharType="end"/>
      </w:r>
      <w:r w:rsidRPr="00404DA5">
        <w:t xml:space="preserve"> Prognozowany poziom realizacji wskaźników produktu</w:t>
      </w:r>
      <w:r w:rsidR="00E66B89">
        <w:t xml:space="preserve"> i </w:t>
      </w:r>
      <w:r w:rsidRPr="00404DA5">
        <w:t>rezultatu bezpośredniego na rok 2023 – PI 3c</w:t>
      </w:r>
      <w:bookmarkEnd w:id="60"/>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679"/>
        <w:gridCol w:w="1362"/>
        <w:gridCol w:w="1940"/>
        <w:gridCol w:w="1942"/>
      </w:tblGrid>
      <w:tr w:rsidR="00F00EE3" w:rsidRPr="00786F09" w14:paraId="1CB406C2" w14:textId="77777777" w:rsidTr="00B673BB">
        <w:trPr>
          <w:trHeight w:val="951"/>
          <w:tblHeader/>
        </w:trPr>
        <w:tc>
          <w:tcPr>
            <w:tcW w:w="521" w:type="pct"/>
            <w:shd w:val="clear" w:color="auto" w:fill="DBE5F1"/>
            <w:vAlign w:val="center"/>
          </w:tcPr>
          <w:p w14:paraId="56C892AC" w14:textId="77777777" w:rsidR="00F00EE3" w:rsidRPr="00404DA5" w:rsidRDefault="00F00EE3" w:rsidP="00B673BB">
            <w:pPr>
              <w:jc w:val="center"/>
              <w:rPr>
                <w:rFonts w:cs="Calibri"/>
                <w:sz w:val="18"/>
                <w:szCs w:val="20"/>
              </w:rPr>
            </w:pPr>
            <w:r w:rsidRPr="00404DA5">
              <w:rPr>
                <w:rFonts w:cs="Calibri"/>
                <w:sz w:val="18"/>
                <w:szCs w:val="20"/>
              </w:rPr>
              <w:t>Typ wskaźnika</w:t>
            </w:r>
          </w:p>
        </w:tc>
        <w:tc>
          <w:tcPr>
            <w:tcW w:w="1510" w:type="pct"/>
            <w:shd w:val="clear" w:color="auto" w:fill="DBE5F1"/>
            <w:vAlign w:val="center"/>
          </w:tcPr>
          <w:p w14:paraId="67AFAE71" w14:textId="77777777" w:rsidR="00F00EE3" w:rsidRPr="00404DA5" w:rsidRDefault="00F00EE3" w:rsidP="00B673BB">
            <w:pPr>
              <w:jc w:val="center"/>
              <w:rPr>
                <w:rFonts w:cs="Calibri"/>
                <w:sz w:val="18"/>
                <w:szCs w:val="20"/>
              </w:rPr>
            </w:pPr>
            <w:r w:rsidRPr="00404DA5">
              <w:rPr>
                <w:rFonts w:cs="Calibri"/>
                <w:sz w:val="18"/>
                <w:szCs w:val="20"/>
              </w:rPr>
              <w:t>Wskaźnik</w:t>
            </w:r>
          </w:p>
        </w:tc>
        <w:tc>
          <w:tcPr>
            <w:tcW w:w="774" w:type="pct"/>
            <w:shd w:val="clear" w:color="auto" w:fill="DBE5F1"/>
          </w:tcPr>
          <w:p w14:paraId="59C41CB6" w14:textId="77777777" w:rsidR="00F00EE3" w:rsidRPr="00404DA5" w:rsidRDefault="00F00EE3" w:rsidP="00B673BB">
            <w:pPr>
              <w:jc w:val="center"/>
              <w:rPr>
                <w:rFonts w:cs="Calibri"/>
                <w:sz w:val="18"/>
                <w:szCs w:val="20"/>
              </w:rPr>
            </w:pPr>
            <w:r w:rsidRPr="00404DA5">
              <w:rPr>
                <w:rFonts w:cs="Calibri"/>
                <w:sz w:val="18"/>
                <w:szCs w:val="20"/>
              </w:rPr>
              <w:t>Wartość docelowa określona na 2023 rok</w:t>
            </w:r>
          </w:p>
        </w:tc>
        <w:tc>
          <w:tcPr>
            <w:tcW w:w="1097" w:type="pct"/>
            <w:shd w:val="clear" w:color="auto" w:fill="DBE5F1"/>
            <w:vAlign w:val="center"/>
          </w:tcPr>
          <w:p w14:paraId="538E4F07" w14:textId="77777777" w:rsidR="00F00EE3" w:rsidRPr="00404DA5" w:rsidRDefault="00F00EE3" w:rsidP="00B673BB">
            <w:pPr>
              <w:jc w:val="center"/>
              <w:rPr>
                <w:rFonts w:cs="Calibri"/>
                <w:sz w:val="18"/>
                <w:szCs w:val="20"/>
              </w:rPr>
            </w:pPr>
            <w:r w:rsidRPr="00404DA5">
              <w:rPr>
                <w:rFonts w:cs="Calibri"/>
                <w:sz w:val="18"/>
                <w:szCs w:val="20"/>
              </w:rPr>
              <w:t xml:space="preserve">Prognozowana całkowita wartość wskaźnika </w:t>
            </w:r>
          </w:p>
        </w:tc>
        <w:tc>
          <w:tcPr>
            <w:tcW w:w="1098" w:type="pct"/>
            <w:shd w:val="clear" w:color="auto" w:fill="DBE5F1"/>
            <w:vAlign w:val="center"/>
          </w:tcPr>
          <w:p w14:paraId="157AA260" w14:textId="77777777" w:rsidR="00F00EE3" w:rsidRPr="00404DA5" w:rsidRDefault="00F00EE3" w:rsidP="00B673BB">
            <w:pPr>
              <w:jc w:val="center"/>
              <w:rPr>
                <w:rFonts w:cs="Calibri"/>
                <w:sz w:val="18"/>
                <w:szCs w:val="20"/>
              </w:rPr>
            </w:pPr>
            <w:r w:rsidRPr="00404DA5">
              <w:rPr>
                <w:rFonts w:cs="Calibri"/>
                <w:sz w:val="18"/>
                <w:szCs w:val="20"/>
              </w:rPr>
              <w:t>Prognozowany % realizacji wartości docelowej</w:t>
            </w:r>
          </w:p>
        </w:tc>
      </w:tr>
      <w:tr w:rsidR="00F00EE3" w:rsidRPr="00786F09" w14:paraId="04AD0F39" w14:textId="77777777" w:rsidTr="00B673BB">
        <w:trPr>
          <w:trHeight w:val="657"/>
        </w:trPr>
        <w:tc>
          <w:tcPr>
            <w:tcW w:w="521" w:type="pct"/>
            <w:shd w:val="clear" w:color="auto" w:fill="auto"/>
            <w:vAlign w:val="center"/>
          </w:tcPr>
          <w:p w14:paraId="4173F7B3" w14:textId="77777777" w:rsidR="00F00EE3" w:rsidRPr="00404DA5" w:rsidRDefault="00F00EE3" w:rsidP="00B673BB">
            <w:pPr>
              <w:jc w:val="center"/>
              <w:rPr>
                <w:rFonts w:cs="Calibri"/>
                <w:sz w:val="18"/>
                <w:szCs w:val="20"/>
              </w:rPr>
            </w:pPr>
            <w:r w:rsidRPr="00404DA5">
              <w:rPr>
                <w:rFonts w:cs="Calibri"/>
                <w:sz w:val="18"/>
                <w:szCs w:val="20"/>
              </w:rPr>
              <w:t>WP</w:t>
            </w:r>
          </w:p>
        </w:tc>
        <w:tc>
          <w:tcPr>
            <w:tcW w:w="1510" w:type="pct"/>
            <w:shd w:val="clear" w:color="auto" w:fill="auto"/>
            <w:vAlign w:val="center"/>
          </w:tcPr>
          <w:p w14:paraId="18F262D9" w14:textId="77777777" w:rsidR="00F00EE3" w:rsidRPr="00404DA5" w:rsidRDefault="00F00EE3" w:rsidP="00B673BB">
            <w:pPr>
              <w:rPr>
                <w:bCs/>
                <w:sz w:val="18"/>
                <w:szCs w:val="20"/>
              </w:rPr>
            </w:pPr>
            <w:r w:rsidRPr="00404DA5">
              <w:rPr>
                <w:bCs/>
                <w:sz w:val="18"/>
                <w:szCs w:val="20"/>
              </w:rPr>
              <w:t>Liczba przedsiębiorstw otrzymujących wsparcie (CI)</w:t>
            </w:r>
          </w:p>
        </w:tc>
        <w:tc>
          <w:tcPr>
            <w:tcW w:w="774" w:type="pct"/>
            <w:shd w:val="clear" w:color="auto" w:fill="auto"/>
            <w:vAlign w:val="center"/>
          </w:tcPr>
          <w:p w14:paraId="25C6E9FD" w14:textId="77777777" w:rsidR="00F00EE3" w:rsidRPr="00404DA5" w:rsidRDefault="00F00EE3" w:rsidP="00B673BB">
            <w:pPr>
              <w:jc w:val="center"/>
              <w:rPr>
                <w:bCs/>
                <w:sz w:val="18"/>
                <w:szCs w:val="20"/>
              </w:rPr>
            </w:pPr>
            <w:r w:rsidRPr="00404DA5">
              <w:rPr>
                <w:bCs/>
                <w:sz w:val="18"/>
                <w:szCs w:val="20"/>
              </w:rPr>
              <w:t>1602</w:t>
            </w:r>
          </w:p>
        </w:tc>
        <w:tc>
          <w:tcPr>
            <w:tcW w:w="1097" w:type="pct"/>
            <w:shd w:val="clear" w:color="auto" w:fill="auto"/>
            <w:vAlign w:val="center"/>
          </w:tcPr>
          <w:p w14:paraId="5B0B4981" w14:textId="77777777" w:rsidR="00F00EE3" w:rsidRPr="00404DA5" w:rsidRDefault="00F00EE3" w:rsidP="00B673BB">
            <w:pPr>
              <w:jc w:val="center"/>
              <w:rPr>
                <w:bCs/>
                <w:sz w:val="18"/>
                <w:szCs w:val="20"/>
              </w:rPr>
            </w:pPr>
            <w:r w:rsidRPr="00404DA5">
              <w:rPr>
                <w:bCs/>
                <w:sz w:val="18"/>
                <w:szCs w:val="20"/>
              </w:rPr>
              <w:t>1 431</w:t>
            </w:r>
          </w:p>
        </w:tc>
        <w:tc>
          <w:tcPr>
            <w:tcW w:w="1098" w:type="pct"/>
            <w:shd w:val="clear" w:color="auto" w:fill="auto"/>
            <w:vAlign w:val="center"/>
          </w:tcPr>
          <w:p w14:paraId="5B0FB559" w14:textId="77777777" w:rsidR="00F00EE3" w:rsidRPr="00404DA5" w:rsidRDefault="00F00EE3" w:rsidP="00B673BB">
            <w:pPr>
              <w:jc w:val="center"/>
              <w:rPr>
                <w:bCs/>
                <w:sz w:val="18"/>
                <w:szCs w:val="20"/>
              </w:rPr>
            </w:pPr>
            <w:r w:rsidRPr="00404DA5">
              <w:rPr>
                <w:bCs/>
                <w:sz w:val="18"/>
                <w:szCs w:val="20"/>
              </w:rPr>
              <w:t>89,4%</w:t>
            </w:r>
          </w:p>
        </w:tc>
      </w:tr>
      <w:tr w:rsidR="00F00EE3" w:rsidRPr="00786F09" w14:paraId="529FF3E2" w14:textId="77777777" w:rsidTr="00B673BB">
        <w:trPr>
          <w:trHeight w:val="657"/>
        </w:trPr>
        <w:tc>
          <w:tcPr>
            <w:tcW w:w="521" w:type="pct"/>
            <w:shd w:val="clear" w:color="auto" w:fill="auto"/>
            <w:vAlign w:val="center"/>
          </w:tcPr>
          <w:p w14:paraId="7E2DA2CB" w14:textId="77777777" w:rsidR="00F00EE3" w:rsidRPr="00404DA5" w:rsidRDefault="00F00EE3" w:rsidP="00B673BB">
            <w:pPr>
              <w:jc w:val="center"/>
              <w:rPr>
                <w:rFonts w:cs="Calibri"/>
                <w:sz w:val="18"/>
                <w:szCs w:val="20"/>
              </w:rPr>
            </w:pPr>
            <w:r w:rsidRPr="00404DA5">
              <w:rPr>
                <w:rFonts w:cs="Calibri"/>
                <w:sz w:val="18"/>
                <w:szCs w:val="20"/>
              </w:rPr>
              <w:t>WP</w:t>
            </w:r>
          </w:p>
        </w:tc>
        <w:tc>
          <w:tcPr>
            <w:tcW w:w="1510" w:type="pct"/>
            <w:shd w:val="clear" w:color="auto" w:fill="auto"/>
            <w:vAlign w:val="center"/>
          </w:tcPr>
          <w:p w14:paraId="37CB4294" w14:textId="77777777" w:rsidR="00F00EE3" w:rsidRPr="00404DA5" w:rsidRDefault="00F00EE3" w:rsidP="00B673BB">
            <w:pPr>
              <w:rPr>
                <w:bCs/>
                <w:sz w:val="18"/>
                <w:szCs w:val="20"/>
              </w:rPr>
            </w:pPr>
            <w:r w:rsidRPr="00404DA5">
              <w:rPr>
                <w:bCs/>
                <w:sz w:val="18"/>
                <w:szCs w:val="20"/>
              </w:rPr>
              <w:t>Liczba przedsiębiorstw otrzymujących dotacje (CI)</w:t>
            </w:r>
          </w:p>
        </w:tc>
        <w:tc>
          <w:tcPr>
            <w:tcW w:w="774" w:type="pct"/>
            <w:shd w:val="clear" w:color="auto" w:fill="auto"/>
            <w:vAlign w:val="center"/>
          </w:tcPr>
          <w:p w14:paraId="0BC5F2EC" w14:textId="77777777" w:rsidR="00F00EE3" w:rsidRPr="00404DA5" w:rsidRDefault="00F00EE3" w:rsidP="00B673BB">
            <w:pPr>
              <w:jc w:val="center"/>
              <w:rPr>
                <w:bCs/>
                <w:sz w:val="18"/>
                <w:szCs w:val="20"/>
              </w:rPr>
            </w:pPr>
            <w:r w:rsidRPr="00404DA5">
              <w:rPr>
                <w:bCs/>
                <w:sz w:val="18"/>
                <w:szCs w:val="20"/>
              </w:rPr>
              <w:t>439</w:t>
            </w:r>
          </w:p>
        </w:tc>
        <w:tc>
          <w:tcPr>
            <w:tcW w:w="1097" w:type="pct"/>
            <w:shd w:val="clear" w:color="auto" w:fill="auto"/>
            <w:vAlign w:val="center"/>
          </w:tcPr>
          <w:p w14:paraId="44050254" w14:textId="77777777" w:rsidR="00F00EE3" w:rsidRPr="00404DA5" w:rsidRDefault="00F00EE3" w:rsidP="00B673BB">
            <w:pPr>
              <w:jc w:val="center"/>
              <w:rPr>
                <w:bCs/>
                <w:sz w:val="18"/>
                <w:szCs w:val="20"/>
              </w:rPr>
            </w:pPr>
            <w:r w:rsidRPr="00404DA5">
              <w:rPr>
                <w:bCs/>
                <w:sz w:val="18"/>
                <w:szCs w:val="20"/>
              </w:rPr>
              <w:t>271</w:t>
            </w:r>
          </w:p>
        </w:tc>
        <w:tc>
          <w:tcPr>
            <w:tcW w:w="1098" w:type="pct"/>
            <w:shd w:val="clear" w:color="auto" w:fill="auto"/>
            <w:vAlign w:val="center"/>
          </w:tcPr>
          <w:p w14:paraId="0F372C02" w14:textId="77777777" w:rsidR="00F00EE3" w:rsidRPr="00404DA5" w:rsidRDefault="00F00EE3" w:rsidP="00B673BB">
            <w:pPr>
              <w:jc w:val="center"/>
              <w:rPr>
                <w:bCs/>
                <w:sz w:val="18"/>
                <w:szCs w:val="20"/>
              </w:rPr>
            </w:pPr>
            <w:r w:rsidRPr="00404DA5">
              <w:rPr>
                <w:bCs/>
                <w:sz w:val="18"/>
                <w:szCs w:val="20"/>
              </w:rPr>
              <w:t>61,7%</w:t>
            </w:r>
          </w:p>
        </w:tc>
      </w:tr>
      <w:tr w:rsidR="00F00EE3" w:rsidRPr="00786F09" w14:paraId="5361982E" w14:textId="77777777" w:rsidTr="00B673BB">
        <w:trPr>
          <w:trHeight w:val="657"/>
        </w:trPr>
        <w:tc>
          <w:tcPr>
            <w:tcW w:w="521" w:type="pct"/>
            <w:shd w:val="clear" w:color="auto" w:fill="auto"/>
            <w:vAlign w:val="center"/>
          </w:tcPr>
          <w:p w14:paraId="5D5C16EB" w14:textId="77777777" w:rsidR="00F00EE3" w:rsidRPr="00404DA5" w:rsidRDefault="00F00EE3" w:rsidP="00B673BB">
            <w:pPr>
              <w:jc w:val="center"/>
              <w:rPr>
                <w:rFonts w:cs="Calibri"/>
                <w:sz w:val="18"/>
                <w:szCs w:val="20"/>
              </w:rPr>
            </w:pPr>
            <w:r w:rsidRPr="00404DA5">
              <w:rPr>
                <w:rFonts w:cs="Calibri"/>
                <w:sz w:val="18"/>
                <w:szCs w:val="20"/>
              </w:rPr>
              <w:t>WP</w:t>
            </w:r>
          </w:p>
        </w:tc>
        <w:tc>
          <w:tcPr>
            <w:tcW w:w="1510" w:type="pct"/>
            <w:shd w:val="clear" w:color="auto" w:fill="auto"/>
            <w:vAlign w:val="center"/>
          </w:tcPr>
          <w:p w14:paraId="30E80BD7" w14:textId="77777777" w:rsidR="00F00EE3" w:rsidRPr="00404DA5" w:rsidRDefault="00F00EE3" w:rsidP="00B673BB">
            <w:pPr>
              <w:rPr>
                <w:bCs/>
                <w:sz w:val="18"/>
                <w:szCs w:val="20"/>
              </w:rPr>
            </w:pPr>
            <w:r w:rsidRPr="00404DA5">
              <w:rPr>
                <w:bCs/>
                <w:sz w:val="18"/>
                <w:szCs w:val="20"/>
              </w:rPr>
              <w:t>Inwestycje prywatne uzupełniające wsparcie publiczne dla przedsiębiorstw (dotacje) (CI)</w:t>
            </w:r>
          </w:p>
        </w:tc>
        <w:tc>
          <w:tcPr>
            <w:tcW w:w="774" w:type="pct"/>
            <w:shd w:val="clear" w:color="auto" w:fill="auto"/>
            <w:vAlign w:val="center"/>
          </w:tcPr>
          <w:p w14:paraId="511B021C" w14:textId="77777777" w:rsidR="00F00EE3" w:rsidRPr="00404DA5" w:rsidRDefault="00F00EE3" w:rsidP="00B673BB">
            <w:pPr>
              <w:jc w:val="center"/>
              <w:rPr>
                <w:bCs/>
                <w:sz w:val="18"/>
                <w:szCs w:val="20"/>
              </w:rPr>
            </w:pPr>
            <w:r w:rsidRPr="00404DA5">
              <w:rPr>
                <w:bCs/>
                <w:sz w:val="18"/>
                <w:szCs w:val="20"/>
              </w:rPr>
              <w:t>137 100 000</w:t>
            </w:r>
          </w:p>
        </w:tc>
        <w:tc>
          <w:tcPr>
            <w:tcW w:w="1097" w:type="pct"/>
            <w:shd w:val="clear" w:color="auto" w:fill="auto"/>
            <w:vAlign w:val="center"/>
          </w:tcPr>
          <w:p w14:paraId="142CBF32" w14:textId="77777777" w:rsidR="00F00EE3" w:rsidRPr="00404DA5" w:rsidRDefault="00F00EE3" w:rsidP="00B673BB">
            <w:pPr>
              <w:jc w:val="center"/>
              <w:rPr>
                <w:bCs/>
                <w:sz w:val="18"/>
                <w:szCs w:val="20"/>
              </w:rPr>
            </w:pPr>
            <w:r w:rsidRPr="00404DA5">
              <w:rPr>
                <w:bCs/>
                <w:sz w:val="18"/>
                <w:szCs w:val="20"/>
              </w:rPr>
              <w:t>195 511 293</w:t>
            </w:r>
          </w:p>
        </w:tc>
        <w:tc>
          <w:tcPr>
            <w:tcW w:w="1098" w:type="pct"/>
            <w:shd w:val="clear" w:color="auto" w:fill="auto"/>
            <w:vAlign w:val="center"/>
          </w:tcPr>
          <w:p w14:paraId="13AF9E89" w14:textId="77777777" w:rsidR="00F00EE3" w:rsidRPr="00404DA5" w:rsidRDefault="00F00EE3" w:rsidP="00B673BB">
            <w:pPr>
              <w:jc w:val="center"/>
              <w:rPr>
                <w:bCs/>
                <w:sz w:val="18"/>
                <w:szCs w:val="20"/>
              </w:rPr>
            </w:pPr>
            <w:r w:rsidRPr="00404DA5">
              <w:rPr>
                <w:bCs/>
                <w:sz w:val="18"/>
                <w:szCs w:val="20"/>
              </w:rPr>
              <w:t>142,6%</w:t>
            </w:r>
          </w:p>
        </w:tc>
      </w:tr>
      <w:tr w:rsidR="00F00EE3" w:rsidRPr="00786F09" w14:paraId="704B24B5" w14:textId="77777777" w:rsidTr="00B673BB">
        <w:trPr>
          <w:trHeight w:val="657"/>
        </w:trPr>
        <w:tc>
          <w:tcPr>
            <w:tcW w:w="521" w:type="pct"/>
            <w:shd w:val="clear" w:color="auto" w:fill="auto"/>
            <w:vAlign w:val="center"/>
          </w:tcPr>
          <w:p w14:paraId="6217EF35" w14:textId="77777777" w:rsidR="00F00EE3" w:rsidRPr="00404DA5" w:rsidRDefault="00F00EE3" w:rsidP="00B673BB">
            <w:pPr>
              <w:jc w:val="center"/>
              <w:rPr>
                <w:rFonts w:cs="Calibri"/>
                <w:sz w:val="18"/>
                <w:szCs w:val="20"/>
              </w:rPr>
            </w:pPr>
            <w:r w:rsidRPr="00404DA5">
              <w:rPr>
                <w:rFonts w:cs="Calibri"/>
                <w:sz w:val="18"/>
                <w:szCs w:val="20"/>
              </w:rPr>
              <w:lastRenderedPageBreak/>
              <w:t>WR</w:t>
            </w:r>
          </w:p>
        </w:tc>
        <w:tc>
          <w:tcPr>
            <w:tcW w:w="1510" w:type="pct"/>
            <w:shd w:val="clear" w:color="auto" w:fill="auto"/>
            <w:vAlign w:val="center"/>
          </w:tcPr>
          <w:p w14:paraId="4B409D91" w14:textId="77777777" w:rsidR="00F00EE3" w:rsidRPr="00404DA5" w:rsidRDefault="00F00EE3" w:rsidP="00B673BB">
            <w:pPr>
              <w:rPr>
                <w:bCs/>
                <w:sz w:val="18"/>
                <w:szCs w:val="20"/>
              </w:rPr>
            </w:pPr>
            <w:r w:rsidRPr="00404DA5">
              <w:rPr>
                <w:bCs/>
                <w:sz w:val="18"/>
                <w:szCs w:val="20"/>
              </w:rPr>
              <w:t>Wzrost zatrudnienia we wspieranych przedsiębiorstwach</w:t>
            </w:r>
          </w:p>
        </w:tc>
        <w:tc>
          <w:tcPr>
            <w:tcW w:w="774" w:type="pct"/>
            <w:shd w:val="clear" w:color="auto" w:fill="auto"/>
            <w:vAlign w:val="center"/>
          </w:tcPr>
          <w:p w14:paraId="08E9B14D" w14:textId="77777777" w:rsidR="00F00EE3" w:rsidRPr="00404DA5" w:rsidRDefault="00F00EE3" w:rsidP="00B673BB">
            <w:pPr>
              <w:jc w:val="center"/>
              <w:rPr>
                <w:bCs/>
                <w:sz w:val="18"/>
                <w:szCs w:val="20"/>
              </w:rPr>
            </w:pPr>
            <w:r w:rsidRPr="00404DA5">
              <w:rPr>
                <w:bCs/>
                <w:sz w:val="18"/>
                <w:szCs w:val="20"/>
              </w:rPr>
              <w:t>255</w:t>
            </w:r>
          </w:p>
        </w:tc>
        <w:tc>
          <w:tcPr>
            <w:tcW w:w="1097" w:type="pct"/>
            <w:shd w:val="clear" w:color="auto" w:fill="auto"/>
            <w:vAlign w:val="center"/>
          </w:tcPr>
          <w:p w14:paraId="0843807D" w14:textId="77777777" w:rsidR="00F00EE3" w:rsidRPr="00404DA5" w:rsidRDefault="00F00EE3" w:rsidP="00B673BB">
            <w:pPr>
              <w:jc w:val="center"/>
              <w:rPr>
                <w:bCs/>
                <w:sz w:val="18"/>
                <w:szCs w:val="20"/>
              </w:rPr>
            </w:pPr>
            <w:r w:rsidRPr="00404DA5">
              <w:rPr>
                <w:bCs/>
                <w:sz w:val="18"/>
                <w:szCs w:val="20"/>
              </w:rPr>
              <w:t>1 983</w:t>
            </w:r>
          </w:p>
        </w:tc>
        <w:tc>
          <w:tcPr>
            <w:tcW w:w="1098" w:type="pct"/>
            <w:shd w:val="clear" w:color="auto" w:fill="auto"/>
            <w:vAlign w:val="center"/>
          </w:tcPr>
          <w:p w14:paraId="20A4E0A7" w14:textId="77777777" w:rsidR="00F00EE3" w:rsidRPr="00404DA5" w:rsidRDefault="00F00EE3" w:rsidP="00B673BB">
            <w:pPr>
              <w:jc w:val="center"/>
              <w:rPr>
                <w:bCs/>
                <w:sz w:val="18"/>
                <w:szCs w:val="20"/>
              </w:rPr>
            </w:pPr>
            <w:r w:rsidRPr="00404DA5">
              <w:rPr>
                <w:bCs/>
                <w:sz w:val="18"/>
                <w:szCs w:val="20"/>
              </w:rPr>
              <w:t>777,8%</w:t>
            </w:r>
          </w:p>
        </w:tc>
      </w:tr>
      <w:tr w:rsidR="00F00EE3" w:rsidRPr="00786F09" w14:paraId="0AAE5303" w14:textId="77777777" w:rsidTr="00B673BB">
        <w:trPr>
          <w:trHeight w:val="657"/>
        </w:trPr>
        <w:tc>
          <w:tcPr>
            <w:tcW w:w="521" w:type="pct"/>
            <w:shd w:val="clear" w:color="auto" w:fill="auto"/>
            <w:vAlign w:val="center"/>
          </w:tcPr>
          <w:p w14:paraId="0DCC1CE2" w14:textId="77777777" w:rsidR="00F00EE3" w:rsidRPr="00404DA5" w:rsidRDefault="00F00EE3" w:rsidP="00B673BB">
            <w:pPr>
              <w:jc w:val="center"/>
              <w:rPr>
                <w:rFonts w:cs="Calibri"/>
                <w:sz w:val="18"/>
                <w:szCs w:val="20"/>
              </w:rPr>
            </w:pPr>
            <w:r w:rsidRPr="00404DA5">
              <w:rPr>
                <w:rFonts w:cs="Calibri"/>
                <w:sz w:val="18"/>
                <w:szCs w:val="20"/>
              </w:rPr>
              <w:t>WP</w:t>
            </w:r>
          </w:p>
        </w:tc>
        <w:tc>
          <w:tcPr>
            <w:tcW w:w="1510" w:type="pct"/>
            <w:shd w:val="clear" w:color="auto" w:fill="auto"/>
            <w:vAlign w:val="center"/>
          </w:tcPr>
          <w:p w14:paraId="6A7CB795" w14:textId="77777777" w:rsidR="00F00EE3" w:rsidRPr="00404DA5" w:rsidRDefault="00F00EE3" w:rsidP="00B673BB">
            <w:pPr>
              <w:rPr>
                <w:bCs/>
                <w:sz w:val="18"/>
                <w:szCs w:val="20"/>
              </w:rPr>
            </w:pPr>
            <w:r w:rsidRPr="00404DA5">
              <w:rPr>
                <w:bCs/>
                <w:sz w:val="18"/>
                <w:szCs w:val="20"/>
              </w:rPr>
              <w:t>Liczba przedsiębiorstw objętych wsparciem</w:t>
            </w:r>
            <w:r w:rsidR="00E66B89">
              <w:rPr>
                <w:bCs/>
                <w:sz w:val="18"/>
                <w:szCs w:val="20"/>
              </w:rPr>
              <w:t xml:space="preserve"> w </w:t>
            </w:r>
            <w:r w:rsidRPr="00404DA5">
              <w:rPr>
                <w:bCs/>
                <w:sz w:val="18"/>
                <w:szCs w:val="20"/>
              </w:rPr>
              <w:t>celu wprowadzenia produktów nowych dla rynku</w:t>
            </w:r>
          </w:p>
        </w:tc>
        <w:tc>
          <w:tcPr>
            <w:tcW w:w="774" w:type="pct"/>
            <w:shd w:val="clear" w:color="auto" w:fill="auto"/>
            <w:vAlign w:val="center"/>
          </w:tcPr>
          <w:p w14:paraId="4D9BB2C8" w14:textId="77777777" w:rsidR="00F00EE3" w:rsidRPr="00404DA5" w:rsidRDefault="00F00EE3" w:rsidP="00B673BB">
            <w:pPr>
              <w:jc w:val="center"/>
              <w:rPr>
                <w:bCs/>
                <w:sz w:val="18"/>
                <w:szCs w:val="20"/>
              </w:rPr>
            </w:pPr>
            <w:r w:rsidRPr="00404DA5">
              <w:rPr>
                <w:bCs/>
                <w:sz w:val="18"/>
                <w:szCs w:val="20"/>
              </w:rPr>
              <w:t>124</w:t>
            </w:r>
          </w:p>
        </w:tc>
        <w:tc>
          <w:tcPr>
            <w:tcW w:w="1097" w:type="pct"/>
            <w:shd w:val="clear" w:color="auto" w:fill="auto"/>
            <w:vAlign w:val="center"/>
          </w:tcPr>
          <w:p w14:paraId="692692D2" w14:textId="77777777" w:rsidR="00F00EE3" w:rsidRPr="00404DA5" w:rsidRDefault="00F00EE3" w:rsidP="00B673BB">
            <w:pPr>
              <w:jc w:val="center"/>
              <w:rPr>
                <w:bCs/>
                <w:sz w:val="18"/>
                <w:szCs w:val="20"/>
              </w:rPr>
            </w:pPr>
            <w:r w:rsidRPr="00404DA5">
              <w:rPr>
                <w:bCs/>
                <w:sz w:val="18"/>
                <w:szCs w:val="20"/>
              </w:rPr>
              <w:t>302</w:t>
            </w:r>
          </w:p>
        </w:tc>
        <w:tc>
          <w:tcPr>
            <w:tcW w:w="1098" w:type="pct"/>
            <w:shd w:val="clear" w:color="auto" w:fill="auto"/>
            <w:vAlign w:val="center"/>
          </w:tcPr>
          <w:p w14:paraId="07DB7F46" w14:textId="77777777" w:rsidR="00F00EE3" w:rsidRPr="00404DA5" w:rsidRDefault="00F00EE3" w:rsidP="00B673BB">
            <w:pPr>
              <w:jc w:val="center"/>
              <w:rPr>
                <w:bCs/>
                <w:sz w:val="18"/>
                <w:szCs w:val="20"/>
              </w:rPr>
            </w:pPr>
            <w:r w:rsidRPr="00404DA5">
              <w:rPr>
                <w:bCs/>
                <w:sz w:val="18"/>
                <w:szCs w:val="20"/>
              </w:rPr>
              <w:t>243,7%</w:t>
            </w:r>
          </w:p>
        </w:tc>
      </w:tr>
    </w:tbl>
    <w:p w14:paraId="5CB33E81" w14:textId="77777777" w:rsidR="00F00EE3" w:rsidRPr="002A5FDF" w:rsidRDefault="00F00EE3"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dane SL2014</w:t>
      </w:r>
      <w:r w:rsidR="00E66B89" w:rsidRPr="002A5FDF">
        <w:rPr>
          <w:rFonts w:cs="Calibri"/>
          <w:i/>
          <w:sz w:val="18"/>
        </w:rPr>
        <w:t xml:space="preserve"> o </w:t>
      </w:r>
      <w:r w:rsidRPr="002A5FDF">
        <w:rPr>
          <w:rFonts w:cs="Calibri"/>
          <w:i/>
          <w:sz w:val="18"/>
        </w:rPr>
        <w:t>zawartych UoD na dzień 07.01.2019 r., obliczenia</w:t>
      </w:r>
      <w:r w:rsidR="00E66B89" w:rsidRPr="002A5FDF">
        <w:rPr>
          <w:rFonts w:cs="Calibri"/>
          <w:i/>
          <w:sz w:val="18"/>
        </w:rPr>
        <w:t xml:space="preserve"> i </w:t>
      </w:r>
      <w:r w:rsidRPr="002A5FDF">
        <w:rPr>
          <w:rFonts w:cs="Calibri"/>
          <w:i/>
          <w:sz w:val="18"/>
        </w:rPr>
        <w:t xml:space="preserve">analizy własne. </w:t>
      </w:r>
    </w:p>
    <w:p w14:paraId="6371BF57" w14:textId="77777777" w:rsidR="00F00EE3" w:rsidRPr="00404DA5" w:rsidRDefault="00F00EE3" w:rsidP="00F00EE3">
      <w:pPr>
        <w:rPr>
          <w:rFonts w:cs="Calibri"/>
          <w:szCs w:val="20"/>
        </w:rPr>
      </w:pPr>
      <w:r w:rsidRPr="00404DA5">
        <w:rPr>
          <w:rFonts w:cs="Calibri"/>
          <w:szCs w:val="20"/>
        </w:rPr>
        <w:t>Podsumowując, aktualny stan wdrażania RPO WZ 2014-2020</w:t>
      </w:r>
      <w:r w:rsidR="00E66B89">
        <w:rPr>
          <w:rFonts w:cs="Calibri"/>
          <w:szCs w:val="20"/>
        </w:rPr>
        <w:t xml:space="preserve"> w </w:t>
      </w:r>
      <w:r w:rsidRPr="00404DA5">
        <w:rPr>
          <w:rFonts w:cs="Calibri"/>
          <w:szCs w:val="20"/>
        </w:rPr>
        <w:t>zakresie PI 3c należy ocenić pozytywnie. Podjęte interwencje</w:t>
      </w:r>
      <w:r w:rsidR="00E66B89">
        <w:rPr>
          <w:rFonts w:cs="Calibri"/>
          <w:szCs w:val="20"/>
        </w:rPr>
        <w:t xml:space="preserve"> w </w:t>
      </w:r>
      <w:r w:rsidRPr="00404DA5">
        <w:rPr>
          <w:rFonts w:cs="Calibri"/>
          <w:szCs w:val="20"/>
        </w:rPr>
        <w:t>większości przypadków zapewniają realizację wartości docelowych wskaźników określonych na rok 2023,</w:t>
      </w:r>
      <w:r w:rsidR="00E66B89">
        <w:rPr>
          <w:rFonts w:cs="Calibri"/>
          <w:szCs w:val="20"/>
        </w:rPr>
        <w:t xml:space="preserve"> a </w:t>
      </w:r>
      <w:r w:rsidRPr="00404DA5">
        <w:rPr>
          <w:rFonts w:cs="Calibri"/>
          <w:szCs w:val="20"/>
        </w:rPr>
        <w:t>dostępne środki finansowe pozwolą na realizację zobowiązań finansowych</w:t>
      </w:r>
      <w:r w:rsidR="00E66B89">
        <w:rPr>
          <w:rFonts w:cs="Calibri"/>
          <w:szCs w:val="20"/>
        </w:rPr>
        <w:t xml:space="preserve"> i </w:t>
      </w:r>
      <w:r w:rsidRPr="00404DA5">
        <w:rPr>
          <w:rFonts w:cs="Calibri"/>
          <w:szCs w:val="20"/>
        </w:rPr>
        <w:t xml:space="preserve">pokryją zapotrzebowanie zgłaszane przez wnioskodawców. </w:t>
      </w:r>
    </w:p>
    <w:p w14:paraId="1DC65CB3" w14:textId="77777777" w:rsidR="00F00EE3" w:rsidRPr="00786F09" w:rsidRDefault="00F00EE3" w:rsidP="00F00EE3">
      <w:pPr>
        <w:pStyle w:val="Nagwek4"/>
        <w:numPr>
          <w:ilvl w:val="0"/>
          <w:numId w:val="0"/>
        </w:numPr>
        <w:spacing w:before="120"/>
        <w:rPr>
          <w:rFonts w:ascii="Lato" w:eastAsia="Calibri" w:hAnsi="Lato"/>
        </w:rPr>
      </w:pPr>
      <w:r w:rsidRPr="00786F09">
        <w:rPr>
          <w:rFonts w:ascii="Lato" w:eastAsia="Calibri" w:hAnsi="Lato"/>
        </w:rPr>
        <w:t>Możliwości zarządzania środkami rezerwy wykonania</w:t>
      </w:r>
      <w:r w:rsidR="00E66B89">
        <w:rPr>
          <w:rFonts w:ascii="Lato" w:eastAsia="Calibri" w:hAnsi="Lato"/>
        </w:rPr>
        <w:t xml:space="preserve"> i </w:t>
      </w:r>
      <w:r w:rsidRPr="00786F09">
        <w:rPr>
          <w:rFonts w:ascii="Lato" w:eastAsia="Calibri" w:hAnsi="Lato"/>
        </w:rPr>
        <w:t>identyfikacja obszarów wymagających interwencji – podsumowanie</w:t>
      </w:r>
    </w:p>
    <w:p w14:paraId="5DDF0EAD" w14:textId="77777777" w:rsidR="00F00EE3" w:rsidRPr="00DA5AAF" w:rsidRDefault="00F00EE3" w:rsidP="00F00EE3">
      <w:pPr>
        <w:rPr>
          <w:szCs w:val="20"/>
        </w:rPr>
      </w:pPr>
      <w:r>
        <w:rPr>
          <w:szCs w:val="20"/>
        </w:rPr>
        <w:t>Na podstawie przeprowadzonego badania odnośnie do potencjału absorpcyjnego zidentyfikowano Działanie 1.5 jako Działanie</w:t>
      </w:r>
      <w:r w:rsidR="00E66B89">
        <w:rPr>
          <w:szCs w:val="20"/>
        </w:rPr>
        <w:t xml:space="preserve"> o </w:t>
      </w:r>
      <w:r>
        <w:rPr>
          <w:szCs w:val="20"/>
        </w:rPr>
        <w:t>najwyższym potencjale (</w:t>
      </w:r>
      <w:r w:rsidRPr="006E3C07">
        <w:rPr>
          <w:szCs w:val="20"/>
        </w:rPr>
        <w:t>34,8%</w:t>
      </w:r>
      <w:r w:rsidR="00E66B89">
        <w:rPr>
          <w:szCs w:val="20"/>
        </w:rPr>
        <w:t xml:space="preserve"> w </w:t>
      </w:r>
      <w:r w:rsidRPr="006E3C07">
        <w:rPr>
          <w:szCs w:val="20"/>
        </w:rPr>
        <w:t>ramach PI 3c, 40,7%</w:t>
      </w:r>
      <w:r w:rsidR="00E66B89">
        <w:rPr>
          <w:szCs w:val="20"/>
        </w:rPr>
        <w:t xml:space="preserve"> w </w:t>
      </w:r>
      <w:r w:rsidRPr="006E3C07">
        <w:rPr>
          <w:szCs w:val="20"/>
        </w:rPr>
        <w:t>ramach osi)</w:t>
      </w:r>
      <w:r>
        <w:rPr>
          <w:szCs w:val="20"/>
        </w:rPr>
        <w:t>. Działanie 1.5 j</w:t>
      </w:r>
      <w:r w:rsidRPr="006E3C07">
        <w:rPr>
          <w:szCs w:val="20"/>
        </w:rPr>
        <w:t>est najskuteczniejszym działaniem</w:t>
      </w:r>
      <w:r w:rsidR="00E66B89">
        <w:rPr>
          <w:szCs w:val="20"/>
        </w:rPr>
        <w:t xml:space="preserve"> w </w:t>
      </w:r>
      <w:r w:rsidRPr="006E3C07">
        <w:rPr>
          <w:szCs w:val="20"/>
        </w:rPr>
        <w:t>obszarze liczby przedsiębiorstw otrzymujących dotacje, inwestycji prywatnych uzupełniających wsparcie publiczne dla przedsiębiorstw (dotacje) oraz liczby przedsiębiorstw objętych wsparciem</w:t>
      </w:r>
      <w:r w:rsidR="00E66B89">
        <w:rPr>
          <w:szCs w:val="20"/>
        </w:rPr>
        <w:t xml:space="preserve"> w </w:t>
      </w:r>
      <w:r w:rsidRPr="006E3C07">
        <w:rPr>
          <w:szCs w:val="20"/>
        </w:rPr>
        <w:t>celu wprowadzenia produktów nowych dla rynku.</w:t>
      </w:r>
      <w:r>
        <w:rPr>
          <w:szCs w:val="20"/>
        </w:rPr>
        <w:t xml:space="preserve"> Można zatem powiedzieć, że zarówno wyniki analizy potencjału absorpcyjnego oraz wyniki analiz skuteczności (tj. analizy wskaźnikowej) prowadzą do wniosku by to właśnie Działanie 1.5 było dalej wspierane</w:t>
      </w:r>
      <w:r w:rsidR="00E66B89">
        <w:rPr>
          <w:szCs w:val="20"/>
        </w:rPr>
        <w:t xml:space="preserve"> w </w:t>
      </w:r>
      <w:r>
        <w:rPr>
          <w:szCs w:val="20"/>
        </w:rPr>
        <w:t>największym stopniu.</w:t>
      </w:r>
      <w:r w:rsidR="00E66B89">
        <w:rPr>
          <w:szCs w:val="20"/>
        </w:rPr>
        <w:t xml:space="preserve"> W </w:t>
      </w:r>
      <w:r>
        <w:rPr>
          <w:szCs w:val="20"/>
        </w:rPr>
        <w:t>tym miejscu należy jednak zaznaczyć, że – mając na uwadze dwa zaplanowane nabory –</w:t>
      </w:r>
      <w:r w:rsidR="00E66B89">
        <w:rPr>
          <w:szCs w:val="20"/>
        </w:rPr>
        <w:t xml:space="preserve"> w </w:t>
      </w:r>
      <w:r>
        <w:rPr>
          <w:szCs w:val="20"/>
        </w:rPr>
        <w:t>Działaniu 1.5 pozostaje 155,05 mln zł alokacji</w:t>
      </w:r>
      <w:r w:rsidR="00E66B89">
        <w:rPr>
          <w:szCs w:val="20"/>
        </w:rPr>
        <w:t xml:space="preserve"> z </w:t>
      </w:r>
      <w:r>
        <w:rPr>
          <w:szCs w:val="20"/>
        </w:rPr>
        <w:t>rezerwą wykonania, co powoduje, że jest ono zagrożone utratą środków</w:t>
      </w:r>
      <w:r w:rsidR="00E66B89">
        <w:rPr>
          <w:szCs w:val="20"/>
        </w:rPr>
        <w:t xml:space="preserve"> w </w:t>
      </w:r>
      <w:r>
        <w:rPr>
          <w:szCs w:val="20"/>
        </w:rPr>
        <w:t>ramach zasady n+3.</w:t>
      </w:r>
      <w:r w:rsidR="00E66B89">
        <w:rPr>
          <w:szCs w:val="20"/>
        </w:rPr>
        <w:t xml:space="preserve"> Z </w:t>
      </w:r>
      <w:r>
        <w:rPr>
          <w:szCs w:val="20"/>
        </w:rPr>
        <w:t>prognoz wykonanych przez wykonawcę</w:t>
      </w:r>
      <w:r w:rsidR="00E66B89">
        <w:rPr>
          <w:szCs w:val="20"/>
        </w:rPr>
        <w:t xml:space="preserve"> w </w:t>
      </w:r>
      <w:r>
        <w:rPr>
          <w:szCs w:val="20"/>
        </w:rPr>
        <w:t>oparciu</w:t>
      </w:r>
      <w:r w:rsidR="00E66B89">
        <w:rPr>
          <w:szCs w:val="20"/>
        </w:rPr>
        <w:t xml:space="preserve"> o </w:t>
      </w:r>
      <w:r>
        <w:rPr>
          <w:szCs w:val="20"/>
        </w:rPr>
        <w:t xml:space="preserve">koszty jednostkowe wynika, że Działaniem, które jest niedofinansowane jest Działanie 1.9. Działanie to jest bardziej skuteczne niż Działanie 1.5 pod względem </w:t>
      </w:r>
      <w:r w:rsidRPr="007053E3">
        <w:rPr>
          <w:szCs w:val="20"/>
        </w:rPr>
        <w:t>liczby przedsiębiorstw otrzymujących wsparcie</w:t>
      </w:r>
      <w:r>
        <w:rPr>
          <w:szCs w:val="20"/>
        </w:rPr>
        <w:t>. Niestety, Działanie 1.9 cieszy się niższym niż Działanie 1.5 potencjałem absorpcyjnym (10,6%</w:t>
      </w:r>
      <w:r w:rsidR="00E66B89">
        <w:rPr>
          <w:szCs w:val="20"/>
        </w:rPr>
        <w:t xml:space="preserve"> w </w:t>
      </w:r>
      <w:r>
        <w:rPr>
          <w:szCs w:val="20"/>
        </w:rPr>
        <w:t>ramach PI 3c, 12,4%</w:t>
      </w:r>
      <w:r w:rsidR="00E66B89">
        <w:rPr>
          <w:szCs w:val="20"/>
        </w:rPr>
        <w:t xml:space="preserve"> w </w:t>
      </w:r>
      <w:r>
        <w:rPr>
          <w:szCs w:val="20"/>
        </w:rPr>
        <w:t>ramach osi). Jeśli</w:t>
      </w:r>
      <w:r w:rsidR="00E66B89">
        <w:rPr>
          <w:szCs w:val="20"/>
        </w:rPr>
        <w:t xml:space="preserve"> w </w:t>
      </w:r>
      <w:r>
        <w:rPr>
          <w:szCs w:val="20"/>
        </w:rPr>
        <w:t>Działaniu 1.5 nie planuje się już dalszych (tj. poza tymi widocznymi</w:t>
      </w:r>
      <w:r w:rsidR="00E66B89">
        <w:rPr>
          <w:szCs w:val="20"/>
        </w:rPr>
        <w:t xml:space="preserve"> w </w:t>
      </w:r>
      <w:r>
        <w:rPr>
          <w:szCs w:val="20"/>
        </w:rPr>
        <w:t>harmonogramie naborów na 2019 r.) naborów, na podstawie powyższych informacji proponuje się przesunięcie wolnych środków</w:t>
      </w:r>
      <w:r w:rsidR="00E66B89">
        <w:rPr>
          <w:szCs w:val="20"/>
        </w:rPr>
        <w:t xml:space="preserve"> z </w:t>
      </w:r>
      <w:r>
        <w:rPr>
          <w:szCs w:val="20"/>
        </w:rPr>
        <w:t>Działania 1.5 na Działanie 1.9.</w:t>
      </w:r>
      <w:r w:rsidR="00E66B89">
        <w:rPr>
          <w:szCs w:val="20"/>
        </w:rPr>
        <w:t xml:space="preserve"> W </w:t>
      </w:r>
      <w:r>
        <w:rPr>
          <w:szCs w:val="20"/>
        </w:rPr>
        <w:t>tym miejscu należy zaznaczyć, że dodatkowymi Działaniami</w:t>
      </w:r>
      <w:r w:rsidR="00E66B89">
        <w:rPr>
          <w:szCs w:val="20"/>
        </w:rPr>
        <w:t xml:space="preserve"> w </w:t>
      </w:r>
      <w:r>
        <w:rPr>
          <w:szCs w:val="20"/>
        </w:rPr>
        <w:t>PI 3c, które są narażone na utratę środków według zasady n+3 są Działania 1.4, 1.6.</w:t>
      </w:r>
    </w:p>
    <w:p w14:paraId="5142DFE8" w14:textId="77777777" w:rsidR="00F00EE3" w:rsidRPr="00936104" w:rsidRDefault="00F00EE3" w:rsidP="00F00EE3">
      <w:pPr>
        <w:pStyle w:val="Nagwek3"/>
      </w:pPr>
      <w:r w:rsidRPr="00FE43CD">
        <w:lastRenderedPageBreak/>
        <w:t>Priorytet inwestycyjny nr</w:t>
      </w:r>
      <w:r>
        <w:t xml:space="preserve"> 3a </w:t>
      </w:r>
      <w:r w:rsidRPr="00FE43CD">
        <w:t xml:space="preserve">(Działania </w:t>
      </w:r>
      <w:r>
        <w:t>1.10, 1.11, 1.12, 1.13, 1.14, 1.15, 1.16, 1.17</w:t>
      </w:r>
      <w:r w:rsidRPr="00FE43CD">
        <w:t>)</w:t>
      </w:r>
    </w:p>
    <w:p w14:paraId="0D94B80D" w14:textId="77777777" w:rsidR="00F00EE3" w:rsidRPr="00FE43CD" w:rsidRDefault="00F00EE3" w:rsidP="00F00EE3">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1D658C5D" w14:textId="77777777" w:rsidR="00F00EE3" w:rsidRPr="00FE43CD" w:rsidRDefault="00F00EE3" w:rsidP="006E34DC">
      <w:pPr>
        <w:pStyle w:val="Legenda"/>
        <w:spacing w:after="0"/>
      </w:pPr>
      <w:bookmarkStart w:id="61" w:name="_Toc8824127"/>
      <w:r w:rsidRPr="00FE43CD">
        <w:t xml:space="preserve">Tabela </w:t>
      </w:r>
      <w:r>
        <w:fldChar w:fldCharType="begin"/>
      </w:r>
      <w:r>
        <w:instrText xml:space="preserve"> SEQ Tabela \* ARABIC </w:instrText>
      </w:r>
      <w:r>
        <w:fldChar w:fldCharType="separate"/>
      </w:r>
      <w:r w:rsidR="00763345">
        <w:rPr>
          <w:noProof/>
        </w:rPr>
        <w:t>16</w:t>
      </w:r>
      <w:r>
        <w:fldChar w:fldCharType="end"/>
      </w:r>
      <w:r w:rsidRPr="00FE43CD">
        <w:t xml:space="preserve"> Wskaźniki produktu (PI </w:t>
      </w:r>
      <w:r>
        <w:t>3a</w:t>
      </w:r>
      <w:r w:rsidRPr="00FE43CD">
        <w:t>) – postęp rzeczowy</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02"/>
        <w:gridCol w:w="1518"/>
        <w:gridCol w:w="828"/>
        <w:gridCol w:w="932"/>
        <w:gridCol w:w="976"/>
        <w:gridCol w:w="977"/>
        <w:gridCol w:w="976"/>
        <w:gridCol w:w="977"/>
      </w:tblGrid>
      <w:tr w:rsidR="00F00EE3" w:rsidRPr="008A06CB" w14:paraId="0AC35B2B" w14:textId="77777777" w:rsidTr="00B673BB">
        <w:trPr>
          <w:tblHeader/>
        </w:trPr>
        <w:tc>
          <w:tcPr>
            <w:tcW w:w="0" w:type="auto"/>
            <w:shd w:val="clear" w:color="auto" w:fill="DBE5F1"/>
            <w:vAlign w:val="center"/>
          </w:tcPr>
          <w:p w14:paraId="5BC683C1" w14:textId="77777777" w:rsidR="00F00EE3" w:rsidRPr="00404DA5" w:rsidRDefault="00F00EE3" w:rsidP="00B673BB">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69B97740" w14:textId="77777777" w:rsidR="00F00EE3" w:rsidRPr="00404DA5" w:rsidRDefault="00F00EE3" w:rsidP="00B673BB">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0B20C0EC" w14:textId="77777777" w:rsidR="00F00EE3" w:rsidRPr="00404DA5" w:rsidRDefault="00F00EE3" w:rsidP="00B673BB">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0295DC14" w14:textId="77777777" w:rsidR="00F00EE3" w:rsidRPr="00404DA5" w:rsidRDefault="00F00EE3" w:rsidP="00B673BB">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4A28A389" w14:textId="77777777" w:rsidR="00F00EE3" w:rsidRPr="00404DA5" w:rsidRDefault="00F00EE3" w:rsidP="00B673BB">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1416A86C" w14:textId="77777777" w:rsidR="00F00EE3" w:rsidRPr="00404DA5" w:rsidRDefault="00F00EE3" w:rsidP="00B673BB">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4448060F" w14:textId="77777777" w:rsidR="00F00EE3" w:rsidRPr="00404DA5" w:rsidRDefault="00F00EE3" w:rsidP="00B673BB">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1A1D4A96" w14:textId="77777777" w:rsidR="00F00EE3" w:rsidRPr="00404DA5" w:rsidRDefault="00F00EE3" w:rsidP="00B673BB">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70C32DDD" w14:textId="77777777" w:rsidR="00F00EE3" w:rsidRPr="00404DA5" w:rsidRDefault="00F00EE3" w:rsidP="00B673BB">
            <w:pPr>
              <w:jc w:val="center"/>
              <w:rPr>
                <w:rFonts w:cs="Calibri"/>
                <w:sz w:val="18"/>
                <w:szCs w:val="18"/>
              </w:rPr>
            </w:pPr>
            <w:r w:rsidRPr="00404DA5">
              <w:rPr>
                <w:rFonts w:cs="Calibri"/>
                <w:sz w:val="18"/>
                <w:szCs w:val="18"/>
              </w:rPr>
              <w:t>% realizacji wartości docelowej (wg WoP)</w:t>
            </w:r>
          </w:p>
        </w:tc>
      </w:tr>
      <w:tr w:rsidR="00F00EE3" w:rsidRPr="008A06CB" w14:paraId="60831400" w14:textId="77777777" w:rsidTr="00B673BB">
        <w:tc>
          <w:tcPr>
            <w:tcW w:w="0" w:type="auto"/>
            <w:shd w:val="clear" w:color="auto" w:fill="auto"/>
            <w:vAlign w:val="center"/>
          </w:tcPr>
          <w:p w14:paraId="038D390C"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5BD22C38" w14:textId="77777777" w:rsidR="00F00EE3" w:rsidRPr="00404DA5" w:rsidRDefault="00F00EE3" w:rsidP="00B673BB">
            <w:pPr>
              <w:jc w:val="center"/>
              <w:rPr>
                <w:bCs/>
                <w:sz w:val="18"/>
                <w:szCs w:val="18"/>
              </w:rPr>
            </w:pPr>
            <w:r w:rsidRPr="00404DA5">
              <w:rPr>
                <w:bCs/>
                <w:sz w:val="18"/>
                <w:szCs w:val="18"/>
              </w:rPr>
              <w:t xml:space="preserve">1.10, </w:t>
            </w:r>
            <w:r w:rsidRPr="00404DA5">
              <w:rPr>
                <w:bCs/>
                <w:sz w:val="18"/>
                <w:szCs w:val="18"/>
              </w:rPr>
              <w:br/>
              <w:t>1.11,</w:t>
            </w:r>
            <w:r w:rsidRPr="00404DA5">
              <w:rPr>
                <w:bCs/>
                <w:sz w:val="18"/>
                <w:szCs w:val="18"/>
              </w:rPr>
              <w:br/>
              <w:t>1.12,</w:t>
            </w:r>
            <w:r w:rsidRPr="00404DA5">
              <w:rPr>
                <w:bCs/>
                <w:sz w:val="18"/>
                <w:szCs w:val="18"/>
              </w:rPr>
              <w:br/>
              <w:t>1.13</w:t>
            </w:r>
          </w:p>
        </w:tc>
        <w:tc>
          <w:tcPr>
            <w:tcW w:w="0" w:type="auto"/>
            <w:shd w:val="clear" w:color="auto" w:fill="auto"/>
            <w:vAlign w:val="center"/>
          </w:tcPr>
          <w:p w14:paraId="28F7364A" w14:textId="77777777" w:rsidR="00F00EE3" w:rsidRPr="00404DA5" w:rsidRDefault="00F00EE3" w:rsidP="00B673BB">
            <w:pPr>
              <w:rPr>
                <w:bCs/>
                <w:sz w:val="18"/>
                <w:szCs w:val="18"/>
              </w:rPr>
            </w:pPr>
            <w:r w:rsidRPr="00404DA5">
              <w:rPr>
                <w:bCs/>
                <w:sz w:val="18"/>
                <w:szCs w:val="18"/>
              </w:rPr>
              <w:t>Powierzchnia przygotowanych terenów inwestycyjnych</w:t>
            </w:r>
          </w:p>
        </w:tc>
        <w:tc>
          <w:tcPr>
            <w:tcW w:w="0" w:type="auto"/>
            <w:shd w:val="clear" w:color="auto" w:fill="auto"/>
            <w:vAlign w:val="center"/>
          </w:tcPr>
          <w:p w14:paraId="2EEA7579" w14:textId="77777777" w:rsidR="00F00EE3" w:rsidRPr="00404DA5" w:rsidRDefault="00F00EE3" w:rsidP="00B673BB">
            <w:pPr>
              <w:jc w:val="center"/>
              <w:rPr>
                <w:bCs/>
                <w:sz w:val="18"/>
                <w:szCs w:val="18"/>
              </w:rPr>
            </w:pPr>
            <w:r w:rsidRPr="00404DA5">
              <w:rPr>
                <w:bCs/>
                <w:sz w:val="18"/>
                <w:szCs w:val="18"/>
              </w:rPr>
              <w:t>ha</w:t>
            </w:r>
          </w:p>
        </w:tc>
        <w:tc>
          <w:tcPr>
            <w:tcW w:w="0" w:type="auto"/>
            <w:shd w:val="clear" w:color="auto" w:fill="auto"/>
            <w:vAlign w:val="center"/>
          </w:tcPr>
          <w:p w14:paraId="73A96C75" w14:textId="77777777" w:rsidR="00F00EE3" w:rsidRPr="00404DA5" w:rsidRDefault="00F00EE3" w:rsidP="00B673BB">
            <w:pPr>
              <w:jc w:val="center"/>
              <w:rPr>
                <w:bCs/>
                <w:sz w:val="18"/>
                <w:szCs w:val="18"/>
              </w:rPr>
            </w:pPr>
            <w:r w:rsidRPr="00404DA5">
              <w:rPr>
                <w:bCs/>
                <w:sz w:val="18"/>
                <w:szCs w:val="18"/>
              </w:rPr>
              <w:t>208</w:t>
            </w:r>
          </w:p>
        </w:tc>
        <w:tc>
          <w:tcPr>
            <w:tcW w:w="0" w:type="auto"/>
            <w:shd w:val="clear" w:color="auto" w:fill="auto"/>
            <w:vAlign w:val="center"/>
          </w:tcPr>
          <w:p w14:paraId="45B2CBF9" w14:textId="77777777" w:rsidR="00F00EE3" w:rsidRPr="00404DA5" w:rsidRDefault="00F00EE3" w:rsidP="00B673BB">
            <w:pPr>
              <w:jc w:val="center"/>
              <w:rPr>
                <w:bCs/>
                <w:sz w:val="18"/>
                <w:szCs w:val="18"/>
              </w:rPr>
            </w:pPr>
            <w:r w:rsidRPr="00404DA5">
              <w:rPr>
                <w:bCs/>
                <w:sz w:val="18"/>
                <w:szCs w:val="18"/>
              </w:rPr>
              <w:t>198,72</w:t>
            </w:r>
          </w:p>
        </w:tc>
        <w:tc>
          <w:tcPr>
            <w:tcW w:w="0" w:type="auto"/>
            <w:shd w:val="clear" w:color="auto" w:fill="auto"/>
            <w:vAlign w:val="center"/>
          </w:tcPr>
          <w:p w14:paraId="7747F8E1" w14:textId="77777777" w:rsidR="00F00EE3" w:rsidRPr="00404DA5" w:rsidRDefault="00F00EE3" w:rsidP="00B673BB">
            <w:pPr>
              <w:jc w:val="center"/>
              <w:rPr>
                <w:bCs/>
                <w:sz w:val="18"/>
                <w:szCs w:val="18"/>
              </w:rPr>
            </w:pPr>
            <w:r w:rsidRPr="00404DA5">
              <w:rPr>
                <w:bCs/>
                <w:sz w:val="18"/>
                <w:szCs w:val="18"/>
              </w:rPr>
              <w:t>95,5%</w:t>
            </w:r>
          </w:p>
        </w:tc>
        <w:tc>
          <w:tcPr>
            <w:tcW w:w="0" w:type="auto"/>
            <w:shd w:val="clear" w:color="auto" w:fill="auto"/>
            <w:vAlign w:val="center"/>
          </w:tcPr>
          <w:p w14:paraId="1F23BF62" w14:textId="77777777" w:rsidR="00F00EE3" w:rsidRPr="00404DA5" w:rsidRDefault="00F00EE3" w:rsidP="00B673BB">
            <w:pPr>
              <w:jc w:val="center"/>
              <w:rPr>
                <w:bCs/>
                <w:sz w:val="18"/>
                <w:szCs w:val="18"/>
              </w:rPr>
            </w:pPr>
            <w:r w:rsidRPr="00404DA5">
              <w:rPr>
                <w:bCs/>
                <w:sz w:val="18"/>
                <w:szCs w:val="18"/>
              </w:rPr>
              <w:t>68,97</w:t>
            </w:r>
          </w:p>
        </w:tc>
        <w:tc>
          <w:tcPr>
            <w:tcW w:w="0" w:type="auto"/>
            <w:shd w:val="clear" w:color="auto" w:fill="auto"/>
            <w:vAlign w:val="center"/>
          </w:tcPr>
          <w:p w14:paraId="3971DEF4" w14:textId="77777777" w:rsidR="00F00EE3" w:rsidRPr="00404DA5" w:rsidRDefault="00F00EE3" w:rsidP="00B673BB">
            <w:pPr>
              <w:jc w:val="center"/>
              <w:rPr>
                <w:bCs/>
                <w:sz w:val="18"/>
                <w:szCs w:val="18"/>
              </w:rPr>
            </w:pPr>
            <w:r w:rsidRPr="00404DA5">
              <w:rPr>
                <w:bCs/>
                <w:sz w:val="18"/>
                <w:szCs w:val="18"/>
              </w:rPr>
              <w:t>33,2%</w:t>
            </w:r>
          </w:p>
        </w:tc>
      </w:tr>
      <w:tr w:rsidR="00F00EE3" w:rsidRPr="008A06CB" w14:paraId="4384E551" w14:textId="77777777" w:rsidTr="00B673BB">
        <w:tc>
          <w:tcPr>
            <w:tcW w:w="0" w:type="auto"/>
            <w:shd w:val="clear" w:color="auto" w:fill="auto"/>
            <w:vAlign w:val="center"/>
          </w:tcPr>
          <w:p w14:paraId="1FA32A48"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5199BD4F" w14:textId="77777777" w:rsidR="00F00EE3" w:rsidRPr="00404DA5" w:rsidRDefault="00F00EE3" w:rsidP="00B673BB">
            <w:pPr>
              <w:jc w:val="center"/>
              <w:rPr>
                <w:bCs/>
                <w:sz w:val="18"/>
                <w:szCs w:val="18"/>
              </w:rPr>
            </w:pPr>
            <w:r w:rsidRPr="00404DA5">
              <w:rPr>
                <w:bCs/>
                <w:sz w:val="18"/>
                <w:szCs w:val="18"/>
              </w:rPr>
              <w:t>1.14,</w:t>
            </w:r>
            <w:r w:rsidRPr="00404DA5">
              <w:rPr>
                <w:bCs/>
                <w:sz w:val="18"/>
                <w:szCs w:val="18"/>
              </w:rPr>
              <w:br/>
              <w:t>1.15,</w:t>
            </w:r>
            <w:r w:rsidRPr="00404DA5">
              <w:rPr>
                <w:bCs/>
                <w:sz w:val="18"/>
                <w:szCs w:val="18"/>
              </w:rPr>
              <w:br/>
              <w:t>1.16,</w:t>
            </w:r>
            <w:r w:rsidRPr="00404DA5">
              <w:rPr>
                <w:bCs/>
                <w:sz w:val="18"/>
                <w:szCs w:val="18"/>
              </w:rPr>
              <w:br/>
              <w:t>1.17</w:t>
            </w:r>
          </w:p>
        </w:tc>
        <w:tc>
          <w:tcPr>
            <w:tcW w:w="0" w:type="auto"/>
            <w:shd w:val="clear" w:color="auto" w:fill="auto"/>
            <w:vAlign w:val="center"/>
          </w:tcPr>
          <w:p w14:paraId="12005F89" w14:textId="77777777" w:rsidR="00F00EE3" w:rsidRPr="00404DA5" w:rsidRDefault="00F00EE3" w:rsidP="00B673BB">
            <w:pPr>
              <w:rPr>
                <w:bCs/>
                <w:sz w:val="18"/>
                <w:szCs w:val="18"/>
              </w:rPr>
            </w:pPr>
            <w:r w:rsidRPr="00404DA5">
              <w:rPr>
                <w:bCs/>
                <w:sz w:val="18"/>
                <w:szCs w:val="18"/>
              </w:rPr>
              <w:t>Liczba przedsiębiorstw otrzymujących wsparcie (CI)</w:t>
            </w:r>
          </w:p>
        </w:tc>
        <w:tc>
          <w:tcPr>
            <w:tcW w:w="0" w:type="auto"/>
            <w:shd w:val="clear" w:color="auto" w:fill="auto"/>
            <w:vAlign w:val="center"/>
          </w:tcPr>
          <w:p w14:paraId="335DCA76"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302CD37B" w14:textId="77777777" w:rsidR="00F00EE3" w:rsidRPr="00404DA5" w:rsidRDefault="00F00EE3" w:rsidP="00B673BB">
            <w:pPr>
              <w:jc w:val="center"/>
              <w:rPr>
                <w:bCs/>
                <w:sz w:val="18"/>
                <w:szCs w:val="18"/>
              </w:rPr>
            </w:pPr>
            <w:r w:rsidRPr="00404DA5">
              <w:rPr>
                <w:bCs/>
                <w:sz w:val="18"/>
                <w:szCs w:val="18"/>
              </w:rPr>
              <w:t>611</w:t>
            </w:r>
          </w:p>
        </w:tc>
        <w:tc>
          <w:tcPr>
            <w:tcW w:w="0" w:type="auto"/>
            <w:shd w:val="clear" w:color="auto" w:fill="auto"/>
            <w:vAlign w:val="center"/>
          </w:tcPr>
          <w:p w14:paraId="42B9DB84" w14:textId="77777777" w:rsidR="00F00EE3" w:rsidRPr="00404DA5" w:rsidRDefault="00F00EE3" w:rsidP="00B673BB">
            <w:pPr>
              <w:jc w:val="center"/>
              <w:rPr>
                <w:bCs/>
                <w:sz w:val="18"/>
                <w:szCs w:val="18"/>
              </w:rPr>
            </w:pPr>
            <w:r w:rsidRPr="00404DA5">
              <w:rPr>
                <w:bCs/>
                <w:sz w:val="18"/>
                <w:szCs w:val="18"/>
              </w:rPr>
              <w:t>327</w:t>
            </w:r>
          </w:p>
        </w:tc>
        <w:tc>
          <w:tcPr>
            <w:tcW w:w="0" w:type="auto"/>
            <w:shd w:val="clear" w:color="auto" w:fill="auto"/>
            <w:vAlign w:val="center"/>
          </w:tcPr>
          <w:p w14:paraId="6F273BE1" w14:textId="77777777" w:rsidR="00F00EE3" w:rsidRPr="00404DA5" w:rsidRDefault="00F00EE3" w:rsidP="00B673BB">
            <w:pPr>
              <w:jc w:val="center"/>
              <w:rPr>
                <w:bCs/>
                <w:sz w:val="18"/>
                <w:szCs w:val="18"/>
              </w:rPr>
            </w:pPr>
            <w:r w:rsidRPr="00404DA5">
              <w:rPr>
                <w:bCs/>
                <w:sz w:val="18"/>
                <w:szCs w:val="18"/>
              </w:rPr>
              <w:t>53,5%</w:t>
            </w:r>
          </w:p>
        </w:tc>
        <w:tc>
          <w:tcPr>
            <w:tcW w:w="0" w:type="auto"/>
            <w:shd w:val="clear" w:color="auto" w:fill="auto"/>
            <w:vAlign w:val="center"/>
          </w:tcPr>
          <w:p w14:paraId="4F311A47" w14:textId="77777777" w:rsidR="00F00EE3" w:rsidRPr="00404DA5" w:rsidRDefault="00F00EE3" w:rsidP="00B673BB">
            <w:pPr>
              <w:jc w:val="center"/>
              <w:rPr>
                <w:bCs/>
                <w:sz w:val="18"/>
                <w:szCs w:val="18"/>
              </w:rPr>
            </w:pPr>
            <w:r w:rsidRPr="00184554">
              <w:rPr>
                <w:bCs/>
                <w:sz w:val="18"/>
                <w:szCs w:val="18"/>
              </w:rPr>
              <w:t>187</w:t>
            </w:r>
          </w:p>
        </w:tc>
        <w:tc>
          <w:tcPr>
            <w:tcW w:w="0" w:type="auto"/>
            <w:shd w:val="clear" w:color="auto" w:fill="auto"/>
            <w:vAlign w:val="center"/>
          </w:tcPr>
          <w:p w14:paraId="29C9F33B" w14:textId="77777777" w:rsidR="00F00EE3" w:rsidRPr="00404DA5" w:rsidRDefault="00F00EE3" w:rsidP="00B673BB">
            <w:pPr>
              <w:jc w:val="center"/>
              <w:rPr>
                <w:bCs/>
                <w:sz w:val="18"/>
                <w:szCs w:val="18"/>
              </w:rPr>
            </w:pPr>
            <w:r w:rsidRPr="00184554">
              <w:rPr>
                <w:bCs/>
                <w:sz w:val="18"/>
                <w:szCs w:val="18"/>
              </w:rPr>
              <w:t>30,6</w:t>
            </w:r>
            <w:r w:rsidRPr="00404DA5">
              <w:rPr>
                <w:bCs/>
                <w:sz w:val="18"/>
                <w:szCs w:val="18"/>
              </w:rPr>
              <w:t>%</w:t>
            </w:r>
          </w:p>
        </w:tc>
      </w:tr>
      <w:tr w:rsidR="00F00EE3" w:rsidRPr="008A06CB" w14:paraId="73DC2C74" w14:textId="77777777" w:rsidTr="00B673BB">
        <w:tc>
          <w:tcPr>
            <w:tcW w:w="0" w:type="auto"/>
            <w:shd w:val="clear" w:color="auto" w:fill="auto"/>
            <w:vAlign w:val="center"/>
          </w:tcPr>
          <w:p w14:paraId="5C5E27D2"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232A8380" w14:textId="77777777" w:rsidR="00F00EE3" w:rsidRPr="00404DA5" w:rsidRDefault="00F00EE3" w:rsidP="00B673BB">
            <w:pPr>
              <w:jc w:val="center"/>
              <w:rPr>
                <w:bCs/>
                <w:sz w:val="18"/>
                <w:szCs w:val="18"/>
              </w:rPr>
            </w:pPr>
            <w:r w:rsidRPr="00404DA5">
              <w:rPr>
                <w:bCs/>
                <w:sz w:val="18"/>
                <w:szCs w:val="18"/>
              </w:rPr>
              <w:t>1.15,</w:t>
            </w:r>
            <w:r w:rsidRPr="00404DA5">
              <w:rPr>
                <w:bCs/>
                <w:sz w:val="18"/>
                <w:szCs w:val="18"/>
              </w:rPr>
              <w:br/>
              <w:t>1.16</w:t>
            </w:r>
          </w:p>
        </w:tc>
        <w:tc>
          <w:tcPr>
            <w:tcW w:w="0" w:type="auto"/>
            <w:shd w:val="clear" w:color="auto" w:fill="auto"/>
            <w:vAlign w:val="center"/>
          </w:tcPr>
          <w:p w14:paraId="310381AB" w14:textId="77777777" w:rsidR="00F00EE3" w:rsidRPr="00404DA5" w:rsidRDefault="00F00EE3" w:rsidP="00B673BB">
            <w:pPr>
              <w:rPr>
                <w:bCs/>
                <w:sz w:val="18"/>
                <w:szCs w:val="18"/>
              </w:rPr>
            </w:pPr>
            <w:r w:rsidRPr="00404DA5">
              <w:rPr>
                <w:bCs/>
                <w:sz w:val="18"/>
                <w:szCs w:val="18"/>
              </w:rPr>
              <w:t>Liczba przedsiębiorstw otrzymujących dotacje (CI)</w:t>
            </w:r>
          </w:p>
        </w:tc>
        <w:tc>
          <w:tcPr>
            <w:tcW w:w="0" w:type="auto"/>
            <w:shd w:val="clear" w:color="auto" w:fill="auto"/>
            <w:vAlign w:val="center"/>
          </w:tcPr>
          <w:p w14:paraId="6E92517D"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7E4D167A" w14:textId="77777777" w:rsidR="00F00EE3" w:rsidRPr="00404DA5" w:rsidRDefault="00F00EE3" w:rsidP="00B673BB">
            <w:pPr>
              <w:jc w:val="center"/>
              <w:rPr>
                <w:bCs/>
                <w:sz w:val="18"/>
                <w:szCs w:val="18"/>
              </w:rPr>
            </w:pPr>
            <w:r w:rsidRPr="00404DA5">
              <w:rPr>
                <w:bCs/>
                <w:sz w:val="18"/>
                <w:szCs w:val="18"/>
              </w:rPr>
              <w:t>150</w:t>
            </w:r>
          </w:p>
        </w:tc>
        <w:tc>
          <w:tcPr>
            <w:tcW w:w="0" w:type="auto"/>
            <w:shd w:val="clear" w:color="auto" w:fill="auto"/>
            <w:vAlign w:val="center"/>
          </w:tcPr>
          <w:p w14:paraId="6E644014" w14:textId="77777777" w:rsidR="00F00EE3" w:rsidRPr="00404DA5" w:rsidRDefault="00F00EE3" w:rsidP="00B673BB">
            <w:pPr>
              <w:jc w:val="center"/>
              <w:rPr>
                <w:bCs/>
                <w:sz w:val="18"/>
                <w:szCs w:val="18"/>
              </w:rPr>
            </w:pPr>
            <w:r w:rsidRPr="00404DA5">
              <w:rPr>
                <w:bCs/>
                <w:sz w:val="18"/>
                <w:szCs w:val="18"/>
              </w:rPr>
              <w:t>47</w:t>
            </w:r>
          </w:p>
        </w:tc>
        <w:tc>
          <w:tcPr>
            <w:tcW w:w="0" w:type="auto"/>
            <w:shd w:val="clear" w:color="auto" w:fill="auto"/>
            <w:vAlign w:val="center"/>
          </w:tcPr>
          <w:p w14:paraId="16FB1F8D" w14:textId="77777777" w:rsidR="00F00EE3" w:rsidRPr="00404DA5" w:rsidRDefault="00F00EE3" w:rsidP="00B673BB">
            <w:pPr>
              <w:jc w:val="center"/>
              <w:rPr>
                <w:bCs/>
                <w:sz w:val="18"/>
                <w:szCs w:val="18"/>
              </w:rPr>
            </w:pPr>
            <w:r w:rsidRPr="00404DA5">
              <w:rPr>
                <w:bCs/>
                <w:sz w:val="18"/>
                <w:szCs w:val="18"/>
              </w:rPr>
              <w:t>31,3%</w:t>
            </w:r>
          </w:p>
        </w:tc>
        <w:tc>
          <w:tcPr>
            <w:tcW w:w="0" w:type="auto"/>
            <w:shd w:val="clear" w:color="auto" w:fill="auto"/>
            <w:vAlign w:val="center"/>
          </w:tcPr>
          <w:p w14:paraId="3AF6276F" w14:textId="77777777" w:rsidR="00F00EE3" w:rsidRPr="00404DA5" w:rsidRDefault="00F00EE3" w:rsidP="00B673BB">
            <w:pPr>
              <w:jc w:val="center"/>
              <w:rPr>
                <w:bCs/>
                <w:sz w:val="18"/>
                <w:szCs w:val="18"/>
              </w:rPr>
            </w:pPr>
            <w:r w:rsidRPr="00184554">
              <w:rPr>
                <w:bCs/>
                <w:sz w:val="18"/>
                <w:szCs w:val="18"/>
              </w:rPr>
              <w:t>27</w:t>
            </w:r>
          </w:p>
        </w:tc>
        <w:tc>
          <w:tcPr>
            <w:tcW w:w="0" w:type="auto"/>
            <w:shd w:val="clear" w:color="auto" w:fill="auto"/>
            <w:vAlign w:val="center"/>
          </w:tcPr>
          <w:p w14:paraId="1053A48B" w14:textId="77777777" w:rsidR="00F00EE3" w:rsidRPr="00404DA5" w:rsidRDefault="00F00EE3" w:rsidP="00B673BB">
            <w:pPr>
              <w:jc w:val="center"/>
              <w:rPr>
                <w:bCs/>
                <w:sz w:val="18"/>
                <w:szCs w:val="18"/>
              </w:rPr>
            </w:pPr>
            <w:r w:rsidRPr="00184554">
              <w:rPr>
                <w:bCs/>
                <w:sz w:val="18"/>
                <w:szCs w:val="18"/>
              </w:rPr>
              <w:t>18</w:t>
            </w:r>
            <w:r w:rsidRPr="00404DA5">
              <w:rPr>
                <w:bCs/>
                <w:sz w:val="18"/>
                <w:szCs w:val="18"/>
              </w:rPr>
              <w:t>%</w:t>
            </w:r>
          </w:p>
        </w:tc>
      </w:tr>
      <w:tr w:rsidR="00F00EE3" w:rsidRPr="008A06CB" w14:paraId="4C2A67E9" w14:textId="77777777" w:rsidTr="00B673BB">
        <w:tc>
          <w:tcPr>
            <w:tcW w:w="0" w:type="auto"/>
            <w:shd w:val="clear" w:color="auto" w:fill="auto"/>
            <w:vAlign w:val="center"/>
          </w:tcPr>
          <w:p w14:paraId="60A254AD"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4E975879" w14:textId="77777777" w:rsidR="00F00EE3" w:rsidRPr="00404DA5" w:rsidRDefault="00F00EE3" w:rsidP="00B673BB">
            <w:pPr>
              <w:jc w:val="center"/>
              <w:rPr>
                <w:bCs/>
                <w:sz w:val="18"/>
                <w:szCs w:val="18"/>
              </w:rPr>
            </w:pPr>
            <w:r w:rsidRPr="00404DA5">
              <w:rPr>
                <w:bCs/>
                <w:sz w:val="18"/>
                <w:szCs w:val="18"/>
              </w:rPr>
              <w:t>1.17</w:t>
            </w:r>
          </w:p>
        </w:tc>
        <w:tc>
          <w:tcPr>
            <w:tcW w:w="0" w:type="auto"/>
            <w:shd w:val="clear" w:color="auto" w:fill="auto"/>
            <w:vAlign w:val="center"/>
          </w:tcPr>
          <w:p w14:paraId="1F29FBD1" w14:textId="77777777" w:rsidR="00F00EE3" w:rsidRPr="00404DA5" w:rsidRDefault="00F00EE3" w:rsidP="00B673BB">
            <w:pPr>
              <w:rPr>
                <w:bCs/>
                <w:sz w:val="18"/>
                <w:szCs w:val="18"/>
              </w:rPr>
            </w:pPr>
            <w:r w:rsidRPr="00404DA5">
              <w:rPr>
                <w:bCs/>
                <w:sz w:val="18"/>
                <w:szCs w:val="18"/>
              </w:rPr>
              <w:t>Liczba przedsiębiorstw otrzymujących wsparcie finansowe inne niż dotacje</w:t>
            </w:r>
          </w:p>
        </w:tc>
        <w:tc>
          <w:tcPr>
            <w:tcW w:w="0" w:type="auto"/>
            <w:shd w:val="clear" w:color="auto" w:fill="auto"/>
            <w:vAlign w:val="center"/>
          </w:tcPr>
          <w:p w14:paraId="28AE3CF2"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3F64D659" w14:textId="77777777" w:rsidR="00F00EE3" w:rsidRPr="00404DA5" w:rsidRDefault="00F00EE3" w:rsidP="00B673BB">
            <w:pPr>
              <w:jc w:val="center"/>
              <w:rPr>
                <w:bCs/>
                <w:sz w:val="18"/>
                <w:szCs w:val="18"/>
              </w:rPr>
            </w:pPr>
            <w:r w:rsidRPr="00404DA5">
              <w:rPr>
                <w:bCs/>
                <w:sz w:val="18"/>
                <w:szCs w:val="18"/>
              </w:rPr>
              <w:t>26</w:t>
            </w:r>
          </w:p>
        </w:tc>
        <w:tc>
          <w:tcPr>
            <w:tcW w:w="0" w:type="auto"/>
            <w:shd w:val="clear" w:color="auto" w:fill="auto"/>
            <w:vAlign w:val="center"/>
          </w:tcPr>
          <w:p w14:paraId="1A7FE448" w14:textId="77777777" w:rsidR="00F00EE3" w:rsidRPr="00404DA5" w:rsidRDefault="00F00EE3" w:rsidP="00B673BB">
            <w:pPr>
              <w:jc w:val="center"/>
              <w:rPr>
                <w:bCs/>
                <w:sz w:val="18"/>
                <w:szCs w:val="18"/>
              </w:rPr>
            </w:pPr>
            <w:r w:rsidRPr="00404DA5">
              <w:rPr>
                <w:bCs/>
                <w:sz w:val="18"/>
                <w:szCs w:val="18"/>
              </w:rPr>
              <w:t>26</w:t>
            </w:r>
          </w:p>
        </w:tc>
        <w:tc>
          <w:tcPr>
            <w:tcW w:w="0" w:type="auto"/>
            <w:shd w:val="clear" w:color="auto" w:fill="auto"/>
            <w:vAlign w:val="center"/>
          </w:tcPr>
          <w:p w14:paraId="376570BA" w14:textId="77777777" w:rsidR="00F00EE3" w:rsidRPr="00404DA5" w:rsidRDefault="00F00EE3" w:rsidP="00B673BB">
            <w:pPr>
              <w:jc w:val="center"/>
              <w:rPr>
                <w:bCs/>
                <w:sz w:val="18"/>
                <w:szCs w:val="18"/>
              </w:rPr>
            </w:pPr>
            <w:r w:rsidRPr="00404DA5">
              <w:rPr>
                <w:bCs/>
                <w:sz w:val="18"/>
                <w:szCs w:val="18"/>
              </w:rPr>
              <w:t>100,0%</w:t>
            </w:r>
          </w:p>
        </w:tc>
        <w:tc>
          <w:tcPr>
            <w:tcW w:w="0" w:type="auto"/>
            <w:shd w:val="clear" w:color="auto" w:fill="auto"/>
            <w:vAlign w:val="center"/>
          </w:tcPr>
          <w:p w14:paraId="49A26FDA" w14:textId="77777777" w:rsidR="00F00EE3" w:rsidRPr="00404DA5" w:rsidRDefault="00F00EE3" w:rsidP="00B673BB">
            <w:pPr>
              <w:jc w:val="center"/>
              <w:rPr>
                <w:bCs/>
                <w:sz w:val="18"/>
                <w:szCs w:val="18"/>
              </w:rPr>
            </w:pPr>
            <w:r w:rsidRPr="00404DA5">
              <w:rPr>
                <w:bCs/>
                <w:sz w:val="18"/>
                <w:szCs w:val="18"/>
              </w:rPr>
              <w:t>0</w:t>
            </w:r>
          </w:p>
        </w:tc>
        <w:tc>
          <w:tcPr>
            <w:tcW w:w="0" w:type="auto"/>
            <w:shd w:val="clear" w:color="auto" w:fill="auto"/>
            <w:vAlign w:val="center"/>
          </w:tcPr>
          <w:p w14:paraId="77A9E7B1" w14:textId="77777777" w:rsidR="00F00EE3" w:rsidRPr="00404DA5" w:rsidRDefault="00F00EE3" w:rsidP="00B673BB">
            <w:pPr>
              <w:jc w:val="center"/>
              <w:rPr>
                <w:bCs/>
                <w:sz w:val="18"/>
                <w:szCs w:val="18"/>
              </w:rPr>
            </w:pPr>
            <w:r w:rsidRPr="00404DA5">
              <w:rPr>
                <w:bCs/>
                <w:sz w:val="18"/>
                <w:szCs w:val="18"/>
              </w:rPr>
              <w:t>0,0%</w:t>
            </w:r>
          </w:p>
        </w:tc>
      </w:tr>
      <w:tr w:rsidR="00F00EE3" w:rsidRPr="008A06CB" w14:paraId="09909771" w14:textId="77777777" w:rsidTr="00B673BB">
        <w:tc>
          <w:tcPr>
            <w:tcW w:w="0" w:type="auto"/>
            <w:shd w:val="clear" w:color="auto" w:fill="auto"/>
            <w:vAlign w:val="center"/>
          </w:tcPr>
          <w:p w14:paraId="11E1442B"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0A00D607" w14:textId="77777777" w:rsidR="00F00EE3" w:rsidRPr="00404DA5" w:rsidRDefault="00F00EE3" w:rsidP="00B673BB">
            <w:pPr>
              <w:jc w:val="center"/>
              <w:rPr>
                <w:bCs/>
                <w:sz w:val="18"/>
                <w:szCs w:val="18"/>
              </w:rPr>
            </w:pPr>
            <w:r w:rsidRPr="00404DA5">
              <w:rPr>
                <w:bCs/>
                <w:sz w:val="18"/>
                <w:szCs w:val="18"/>
              </w:rPr>
              <w:t>1.14,</w:t>
            </w:r>
            <w:r w:rsidRPr="00404DA5">
              <w:rPr>
                <w:bCs/>
                <w:sz w:val="18"/>
                <w:szCs w:val="18"/>
              </w:rPr>
              <w:br/>
              <w:t>1.15,</w:t>
            </w:r>
            <w:r w:rsidRPr="00404DA5">
              <w:rPr>
                <w:bCs/>
                <w:sz w:val="18"/>
                <w:szCs w:val="18"/>
              </w:rPr>
              <w:br/>
              <w:t>1.17</w:t>
            </w:r>
          </w:p>
        </w:tc>
        <w:tc>
          <w:tcPr>
            <w:tcW w:w="0" w:type="auto"/>
            <w:shd w:val="clear" w:color="auto" w:fill="auto"/>
            <w:vAlign w:val="center"/>
          </w:tcPr>
          <w:p w14:paraId="5D1F8B0E" w14:textId="77777777" w:rsidR="00F00EE3" w:rsidRPr="00404DA5" w:rsidRDefault="00F00EE3" w:rsidP="00B673BB">
            <w:pPr>
              <w:rPr>
                <w:bCs/>
                <w:sz w:val="18"/>
                <w:szCs w:val="18"/>
              </w:rPr>
            </w:pPr>
            <w:r w:rsidRPr="00404DA5">
              <w:rPr>
                <w:bCs/>
                <w:sz w:val="18"/>
                <w:szCs w:val="18"/>
              </w:rPr>
              <w:t>Liczba przedsiębiorstw otrzymujących wsparcie niefinansowe</w:t>
            </w:r>
          </w:p>
        </w:tc>
        <w:tc>
          <w:tcPr>
            <w:tcW w:w="0" w:type="auto"/>
            <w:shd w:val="clear" w:color="auto" w:fill="auto"/>
            <w:vAlign w:val="center"/>
          </w:tcPr>
          <w:p w14:paraId="1E2680FD"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462F28C6" w14:textId="77777777" w:rsidR="00F00EE3" w:rsidRPr="00404DA5" w:rsidRDefault="00F00EE3" w:rsidP="00B673BB">
            <w:pPr>
              <w:jc w:val="center"/>
              <w:rPr>
                <w:bCs/>
                <w:sz w:val="18"/>
                <w:szCs w:val="18"/>
              </w:rPr>
            </w:pPr>
            <w:r w:rsidRPr="00404DA5">
              <w:rPr>
                <w:bCs/>
                <w:sz w:val="18"/>
                <w:szCs w:val="18"/>
              </w:rPr>
              <w:t>435</w:t>
            </w:r>
          </w:p>
        </w:tc>
        <w:tc>
          <w:tcPr>
            <w:tcW w:w="0" w:type="auto"/>
            <w:shd w:val="clear" w:color="auto" w:fill="auto"/>
            <w:vAlign w:val="center"/>
          </w:tcPr>
          <w:p w14:paraId="1A3C1CFB" w14:textId="77777777" w:rsidR="00F00EE3" w:rsidRPr="00404DA5" w:rsidRDefault="00F00EE3" w:rsidP="00B673BB">
            <w:pPr>
              <w:jc w:val="center"/>
              <w:rPr>
                <w:bCs/>
                <w:sz w:val="18"/>
                <w:szCs w:val="18"/>
              </w:rPr>
            </w:pPr>
            <w:r w:rsidRPr="00404DA5">
              <w:rPr>
                <w:bCs/>
                <w:sz w:val="18"/>
                <w:szCs w:val="18"/>
              </w:rPr>
              <w:t>254</w:t>
            </w:r>
          </w:p>
        </w:tc>
        <w:tc>
          <w:tcPr>
            <w:tcW w:w="0" w:type="auto"/>
            <w:shd w:val="clear" w:color="auto" w:fill="auto"/>
            <w:vAlign w:val="center"/>
          </w:tcPr>
          <w:p w14:paraId="0F3095FD" w14:textId="77777777" w:rsidR="00F00EE3" w:rsidRPr="00404DA5" w:rsidRDefault="00F00EE3" w:rsidP="00B673BB">
            <w:pPr>
              <w:jc w:val="center"/>
              <w:rPr>
                <w:bCs/>
                <w:sz w:val="18"/>
                <w:szCs w:val="18"/>
              </w:rPr>
            </w:pPr>
            <w:r w:rsidRPr="00404DA5">
              <w:rPr>
                <w:bCs/>
                <w:sz w:val="18"/>
                <w:szCs w:val="18"/>
              </w:rPr>
              <w:t>58,4%</w:t>
            </w:r>
          </w:p>
        </w:tc>
        <w:tc>
          <w:tcPr>
            <w:tcW w:w="0" w:type="auto"/>
            <w:shd w:val="clear" w:color="auto" w:fill="auto"/>
            <w:vAlign w:val="center"/>
          </w:tcPr>
          <w:p w14:paraId="55F6C55A" w14:textId="77777777" w:rsidR="00F00EE3" w:rsidRPr="00404DA5" w:rsidRDefault="00F00EE3" w:rsidP="00B673BB">
            <w:pPr>
              <w:jc w:val="center"/>
              <w:rPr>
                <w:bCs/>
                <w:sz w:val="18"/>
                <w:szCs w:val="18"/>
              </w:rPr>
            </w:pPr>
            <w:r w:rsidRPr="00184554">
              <w:rPr>
                <w:bCs/>
                <w:sz w:val="18"/>
                <w:szCs w:val="18"/>
              </w:rPr>
              <w:t>160</w:t>
            </w:r>
          </w:p>
        </w:tc>
        <w:tc>
          <w:tcPr>
            <w:tcW w:w="0" w:type="auto"/>
            <w:shd w:val="clear" w:color="auto" w:fill="auto"/>
            <w:vAlign w:val="center"/>
          </w:tcPr>
          <w:p w14:paraId="76FE019B" w14:textId="77777777" w:rsidR="00F00EE3" w:rsidRPr="00404DA5" w:rsidRDefault="00F00EE3" w:rsidP="00B673BB">
            <w:pPr>
              <w:jc w:val="center"/>
              <w:rPr>
                <w:bCs/>
                <w:sz w:val="18"/>
                <w:szCs w:val="18"/>
              </w:rPr>
            </w:pPr>
            <w:r w:rsidRPr="00184554">
              <w:rPr>
                <w:bCs/>
                <w:sz w:val="18"/>
                <w:szCs w:val="18"/>
              </w:rPr>
              <w:t>36,8</w:t>
            </w:r>
            <w:r w:rsidRPr="00404DA5">
              <w:rPr>
                <w:bCs/>
                <w:sz w:val="18"/>
                <w:szCs w:val="18"/>
              </w:rPr>
              <w:t>%</w:t>
            </w:r>
          </w:p>
        </w:tc>
      </w:tr>
      <w:tr w:rsidR="00F00EE3" w:rsidRPr="008A06CB" w14:paraId="440F0896" w14:textId="77777777" w:rsidTr="00B673BB">
        <w:tc>
          <w:tcPr>
            <w:tcW w:w="0" w:type="auto"/>
            <w:shd w:val="clear" w:color="auto" w:fill="auto"/>
            <w:vAlign w:val="center"/>
          </w:tcPr>
          <w:p w14:paraId="0B0E6E8B"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43B38F95" w14:textId="77777777" w:rsidR="00F00EE3" w:rsidRPr="00404DA5" w:rsidRDefault="00F00EE3" w:rsidP="00B673BB">
            <w:pPr>
              <w:jc w:val="center"/>
              <w:rPr>
                <w:bCs/>
                <w:sz w:val="18"/>
                <w:szCs w:val="18"/>
              </w:rPr>
            </w:pPr>
            <w:r w:rsidRPr="00404DA5">
              <w:rPr>
                <w:bCs/>
                <w:sz w:val="18"/>
                <w:szCs w:val="18"/>
              </w:rPr>
              <w:t>1.17</w:t>
            </w:r>
          </w:p>
        </w:tc>
        <w:tc>
          <w:tcPr>
            <w:tcW w:w="0" w:type="auto"/>
            <w:shd w:val="clear" w:color="auto" w:fill="auto"/>
            <w:vAlign w:val="center"/>
          </w:tcPr>
          <w:p w14:paraId="5A980CBC" w14:textId="77777777" w:rsidR="00F00EE3" w:rsidRPr="00404DA5" w:rsidRDefault="00F00EE3" w:rsidP="00B673BB">
            <w:pPr>
              <w:rPr>
                <w:bCs/>
                <w:sz w:val="18"/>
                <w:szCs w:val="18"/>
              </w:rPr>
            </w:pPr>
            <w:r w:rsidRPr="00404DA5">
              <w:rPr>
                <w:bCs/>
                <w:sz w:val="18"/>
                <w:szCs w:val="18"/>
              </w:rPr>
              <w:t>Liczba nowych wspieranych przedsiębiorstw</w:t>
            </w:r>
          </w:p>
        </w:tc>
        <w:tc>
          <w:tcPr>
            <w:tcW w:w="0" w:type="auto"/>
            <w:shd w:val="clear" w:color="auto" w:fill="auto"/>
            <w:vAlign w:val="center"/>
          </w:tcPr>
          <w:p w14:paraId="162D7EB0"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6A61D91C" w14:textId="77777777" w:rsidR="00F00EE3" w:rsidRPr="00404DA5" w:rsidRDefault="00F00EE3" w:rsidP="00B673BB">
            <w:pPr>
              <w:jc w:val="center"/>
              <w:rPr>
                <w:bCs/>
                <w:sz w:val="18"/>
                <w:szCs w:val="18"/>
              </w:rPr>
            </w:pPr>
            <w:r w:rsidRPr="00404DA5">
              <w:rPr>
                <w:bCs/>
                <w:sz w:val="18"/>
                <w:szCs w:val="18"/>
              </w:rPr>
              <w:t>261</w:t>
            </w:r>
          </w:p>
        </w:tc>
        <w:tc>
          <w:tcPr>
            <w:tcW w:w="0" w:type="auto"/>
            <w:shd w:val="clear" w:color="auto" w:fill="auto"/>
            <w:vAlign w:val="center"/>
          </w:tcPr>
          <w:p w14:paraId="46D309B2" w14:textId="77777777" w:rsidR="00F00EE3" w:rsidRPr="00404DA5" w:rsidRDefault="00F00EE3" w:rsidP="00B673BB">
            <w:pPr>
              <w:jc w:val="center"/>
              <w:rPr>
                <w:bCs/>
                <w:sz w:val="18"/>
                <w:szCs w:val="18"/>
              </w:rPr>
            </w:pPr>
            <w:r w:rsidRPr="00404DA5">
              <w:rPr>
                <w:bCs/>
                <w:sz w:val="18"/>
                <w:szCs w:val="18"/>
              </w:rPr>
              <w:t>26</w:t>
            </w:r>
          </w:p>
        </w:tc>
        <w:tc>
          <w:tcPr>
            <w:tcW w:w="0" w:type="auto"/>
            <w:shd w:val="clear" w:color="auto" w:fill="auto"/>
            <w:vAlign w:val="center"/>
          </w:tcPr>
          <w:p w14:paraId="2927DB8A" w14:textId="77777777" w:rsidR="00F00EE3" w:rsidRPr="00404DA5" w:rsidRDefault="00F00EE3" w:rsidP="00B673BB">
            <w:pPr>
              <w:jc w:val="center"/>
              <w:rPr>
                <w:bCs/>
                <w:sz w:val="18"/>
                <w:szCs w:val="18"/>
              </w:rPr>
            </w:pPr>
            <w:r w:rsidRPr="00404DA5">
              <w:rPr>
                <w:bCs/>
                <w:sz w:val="18"/>
                <w:szCs w:val="18"/>
              </w:rPr>
              <w:t>10,0%</w:t>
            </w:r>
          </w:p>
        </w:tc>
        <w:tc>
          <w:tcPr>
            <w:tcW w:w="0" w:type="auto"/>
            <w:shd w:val="clear" w:color="auto" w:fill="auto"/>
            <w:vAlign w:val="center"/>
          </w:tcPr>
          <w:p w14:paraId="791E09DB" w14:textId="77777777" w:rsidR="00F00EE3" w:rsidRPr="00404DA5" w:rsidRDefault="00F00EE3" w:rsidP="00B673BB">
            <w:pPr>
              <w:jc w:val="center"/>
              <w:rPr>
                <w:bCs/>
                <w:sz w:val="18"/>
                <w:szCs w:val="18"/>
              </w:rPr>
            </w:pPr>
            <w:r w:rsidRPr="00404DA5">
              <w:rPr>
                <w:bCs/>
                <w:sz w:val="18"/>
                <w:szCs w:val="18"/>
              </w:rPr>
              <w:t>0</w:t>
            </w:r>
          </w:p>
        </w:tc>
        <w:tc>
          <w:tcPr>
            <w:tcW w:w="0" w:type="auto"/>
            <w:shd w:val="clear" w:color="auto" w:fill="auto"/>
            <w:vAlign w:val="center"/>
          </w:tcPr>
          <w:p w14:paraId="106D16C4" w14:textId="77777777" w:rsidR="00F00EE3" w:rsidRPr="00404DA5" w:rsidRDefault="00F00EE3" w:rsidP="00B673BB">
            <w:pPr>
              <w:jc w:val="center"/>
              <w:rPr>
                <w:bCs/>
                <w:sz w:val="18"/>
                <w:szCs w:val="18"/>
              </w:rPr>
            </w:pPr>
            <w:r w:rsidRPr="00404DA5">
              <w:rPr>
                <w:bCs/>
                <w:sz w:val="18"/>
                <w:szCs w:val="18"/>
              </w:rPr>
              <w:t>0,0%</w:t>
            </w:r>
          </w:p>
        </w:tc>
      </w:tr>
      <w:tr w:rsidR="00F00EE3" w:rsidRPr="008A06CB" w14:paraId="09F96C57" w14:textId="77777777" w:rsidTr="00B673BB">
        <w:tc>
          <w:tcPr>
            <w:tcW w:w="0" w:type="auto"/>
            <w:shd w:val="clear" w:color="auto" w:fill="auto"/>
            <w:vAlign w:val="center"/>
          </w:tcPr>
          <w:p w14:paraId="0FC942DA"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37166F4D" w14:textId="77777777" w:rsidR="00F00EE3" w:rsidRPr="00404DA5" w:rsidRDefault="00F00EE3" w:rsidP="00B673BB">
            <w:pPr>
              <w:jc w:val="center"/>
              <w:rPr>
                <w:bCs/>
                <w:sz w:val="18"/>
                <w:szCs w:val="18"/>
              </w:rPr>
            </w:pPr>
            <w:r w:rsidRPr="00404DA5">
              <w:rPr>
                <w:bCs/>
                <w:sz w:val="18"/>
                <w:szCs w:val="18"/>
              </w:rPr>
              <w:t>1.15,</w:t>
            </w:r>
            <w:r w:rsidRPr="00404DA5">
              <w:rPr>
                <w:bCs/>
                <w:sz w:val="18"/>
                <w:szCs w:val="18"/>
              </w:rPr>
              <w:br/>
              <w:t>1.16</w:t>
            </w:r>
          </w:p>
        </w:tc>
        <w:tc>
          <w:tcPr>
            <w:tcW w:w="0" w:type="auto"/>
            <w:shd w:val="clear" w:color="auto" w:fill="auto"/>
            <w:vAlign w:val="center"/>
          </w:tcPr>
          <w:p w14:paraId="72B8A919" w14:textId="77777777" w:rsidR="00F00EE3" w:rsidRPr="00404DA5" w:rsidRDefault="00F00EE3" w:rsidP="00B673BB">
            <w:pPr>
              <w:rPr>
                <w:bCs/>
                <w:sz w:val="18"/>
                <w:szCs w:val="18"/>
              </w:rPr>
            </w:pPr>
            <w:r w:rsidRPr="00404DA5">
              <w:rPr>
                <w:bCs/>
                <w:sz w:val="18"/>
                <w:szCs w:val="18"/>
              </w:rPr>
              <w:t>Inwestycje prywatne uzupełniające wsparcie publiczne dla przedsiębiorstw (dotacje) (CI)</w:t>
            </w:r>
          </w:p>
        </w:tc>
        <w:tc>
          <w:tcPr>
            <w:tcW w:w="0" w:type="auto"/>
            <w:shd w:val="clear" w:color="auto" w:fill="auto"/>
            <w:vAlign w:val="center"/>
          </w:tcPr>
          <w:p w14:paraId="313C12E7" w14:textId="77777777" w:rsidR="00F00EE3" w:rsidRPr="00404DA5" w:rsidRDefault="00F00EE3" w:rsidP="00B673BB">
            <w:pPr>
              <w:jc w:val="center"/>
              <w:rPr>
                <w:bCs/>
                <w:sz w:val="18"/>
                <w:szCs w:val="18"/>
              </w:rPr>
            </w:pPr>
            <w:r w:rsidRPr="00404DA5">
              <w:rPr>
                <w:bCs/>
                <w:sz w:val="18"/>
                <w:szCs w:val="18"/>
              </w:rPr>
              <w:t>EUR</w:t>
            </w:r>
          </w:p>
        </w:tc>
        <w:tc>
          <w:tcPr>
            <w:tcW w:w="0" w:type="auto"/>
            <w:shd w:val="clear" w:color="auto" w:fill="auto"/>
            <w:vAlign w:val="center"/>
          </w:tcPr>
          <w:p w14:paraId="68ADF445" w14:textId="77777777" w:rsidR="00F00EE3" w:rsidRPr="00404DA5" w:rsidRDefault="00F00EE3" w:rsidP="00B673BB">
            <w:pPr>
              <w:jc w:val="center"/>
              <w:rPr>
                <w:bCs/>
                <w:sz w:val="18"/>
                <w:szCs w:val="18"/>
              </w:rPr>
            </w:pPr>
            <w:r w:rsidRPr="00404DA5">
              <w:rPr>
                <w:bCs/>
                <w:sz w:val="18"/>
                <w:szCs w:val="18"/>
              </w:rPr>
              <w:t>787 301</w:t>
            </w:r>
          </w:p>
        </w:tc>
        <w:tc>
          <w:tcPr>
            <w:tcW w:w="0" w:type="auto"/>
            <w:shd w:val="clear" w:color="auto" w:fill="auto"/>
            <w:vAlign w:val="center"/>
          </w:tcPr>
          <w:p w14:paraId="7480D86D" w14:textId="77777777" w:rsidR="00F00EE3" w:rsidRPr="00404DA5" w:rsidRDefault="00F00EE3" w:rsidP="00B673BB">
            <w:pPr>
              <w:jc w:val="center"/>
              <w:rPr>
                <w:bCs/>
                <w:sz w:val="18"/>
                <w:szCs w:val="18"/>
              </w:rPr>
            </w:pPr>
            <w:r w:rsidRPr="00404DA5">
              <w:rPr>
                <w:bCs/>
                <w:sz w:val="18"/>
                <w:szCs w:val="18"/>
              </w:rPr>
              <w:t>667 124,80</w:t>
            </w:r>
          </w:p>
        </w:tc>
        <w:tc>
          <w:tcPr>
            <w:tcW w:w="0" w:type="auto"/>
            <w:shd w:val="clear" w:color="auto" w:fill="auto"/>
            <w:vAlign w:val="center"/>
          </w:tcPr>
          <w:p w14:paraId="0DFBB3E1" w14:textId="77777777" w:rsidR="00F00EE3" w:rsidRPr="00404DA5" w:rsidRDefault="00F00EE3" w:rsidP="00B673BB">
            <w:pPr>
              <w:jc w:val="center"/>
              <w:rPr>
                <w:bCs/>
                <w:sz w:val="18"/>
                <w:szCs w:val="18"/>
              </w:rPr>
            </w:pPr>
            <w:r w:rsidRPr="00404DA5">
              <w:rPr>
                <w:bCs/>
                <w:sz w:val="18"/>
                <w:szCs w:val="18"/>
              </w:rPr>
              <w:t>84,7%</w:t>
            </w:r>
          </w:p>
        </w:tc>
        <w:tc>
          <w:tcPr>
            <w:tcW w:w="0" w:type="auto"/>
            <w:shd w:val="clear" w:color="auto" w:fill="auto"/>
            <w:vAlign w:val="center"/>
          </w:tcPr>
          <w:p w14:paraId="0C306FF8" w14:textId="77777777" w:rsidR="00F00EE3" w:rsidRPr="00404DA5" w:rsidRDefault="00F00EE3" w:rsidP="00B673BB">
            <w:pPr>
              <w:jc w:val="center"/>
              <w:rPr>
                <w:bCs/>
                <w:sz w:val="18"/>
                <w:szCs w:val="18"/>
              </w:rPr>
            </w:pPr>
            <w:r w:rsidRPr="00404DA5">
              <w:rPr>
                <w:bCs/>
                <w:sz w:val="18"/>
                <w:szCs w:val="18"/>
              </w:rPr>
              <w:t>327 386,97</w:t>
            </w:r>
          </w:p>
        </w:tc>
        <w:tc>
          <w:tcPr>
            <w:tcW w:w="0" w:type="auto"/>
            <w:shd w:val="clear" w:color="auto" w:fill="auto"/>
            <w:vAlign w:val="center"/>
          </w:tcPr>
          <w:p w14:paraId="39443D88" w14:textId="77777777" w:rsidR="00F00EE3" w:rsidRPr="00404DA5" w:rsidRDefault="00F00EE3" w:rsidP="00B673BB">
            <w:pPr>
              <w:jc w:val="center"/>
              <w:rPr>
                <w:bCs/>
                <w:sz w:val="18"/>
                <w:szCs w:val="18"/>
              </w:rPr>
            </w:pPr>
            <w:r w:rsidRPr="00404DA5">
              <w:rPr>
                <w:bCs/>
                <w:sz w:val="18"/>
                <w:szCs w:val="18"/>
              </w:rPr>
              <w:t>41,6%</w:t>
            </w:r>
          </w:p>
        </w:tc>
      </w:tr>
      <w:tr w:rsidR="00F00EE3" w:rsidRPr="008A06CB" w14:paraId="44FB422D" w14:textId="77777777" w:rsidTr="00B673BB">
        <w:tc>
          <w:tcPr>
            <w:tcW w:w="0" w:type="auto"/>
            <w:shd w:val="clear" w:color="auto" w:fill="auto"/>
            <w:vAlign w:val="center"/>
          </w:tcPr>
          <w:p w14:paraId="40BE0897" w14:textId="77777777" w:rsidR="00F00EE3" w:rsidRPr="00404DA5" w:rsidRDefault="00F00EE3" w:rsidP="00B673BB">
            <w:pPr>
              <w:jc w:val="center"/>
              <w:rPr>
                <w:rFonts w:cs="Calibri"/>
                <w:sz w:val="18"/>
                <w:szCs w:val="18"/>
              </w:rPr>
            </w:pPr>
            <w:r w:rsidRPr="00404DA5">
              <w:rPr>
                <w:rFonts w:cs="Calibri"/>
                <w:sz w:val="18"/>
                <w:szCs w:val="18"/>
              </w:rPr>
              <w:lastRenderedPageBreak/>
              <w:t>WP</w:t>
            </w:r>
          </w:p>
        </w:tc>
        <w:tc>
          <w:tcPr>
            <w:tcW w:w="0" w:type="auto"/>
            <w:shd w:val="clear" w:color="auto" w:fill="auto"/>
            <w:vAlign w:val="center"/>
          </w:tcPr>
          <w:p w14:paraId="555C7188" w14:textId="77777777" w:rsidR="00F00EE3" w:rsidRPr="00404DA5" w:rsidRDefault="00F00EE3" w:rsidP="00B673BB">
            <w:pPr>
              <w:jc w:val="center"/>
              <w:rPr>
                <w:bCs/>
                <w:sz w:val="18"/>
                <w:szCs w:val="18"/>
              </w:rPr>
            </w:pPr>
            <w:r w:rsidRPr="00404DA5">
              <w:rPr>
                <w:bCs/>
                <w:sz w:val="18"/>
                <w:szCs w:val="18"/>
              </w:rPr>
              <w:t>1.17</w:t>
            </w:r>
          </w:p>
        </w:tc>
        <w:tc>
          <w:tcPr>
            <w:tcW w:w="0" w:type="auto"/>
            <w:shd w:val="clear" w:color="auto" w:fill="auto"/>
            <w:vAlign w:val="center"/>
          </w:tcPr>
          <w:p w14:paraId="567C3EBA" w14:textId="77777777" w:rsidR="00F00EE3" w:rsidRPr="00404DA5" w:rsidRDefault="00F00EE3" w:rsidP="00B673BB">
            <w:pPr>
              <w:rPr>
                <w:bCs/>
                <w:sz w:val="18"/>
                <w:szCs w:val="18"/>
              </w:rPr>
            </w:pPr>
            <w:r w:rsidRPr="00404DA5">
              <w:rPr>
                <w:bCs/>
                <w:sz w:val="18"/>
                <w:szCs w:val="18"/>
              </w:rPr>
              <w:t>Inwestycje prywatne uzupełniające wsparcie publiczne dla przedsiębiorstw (inne niż dotacje)</w:t>
            </w:r>
          </w:p>
        </w:tc>
        <w:tc>
          <w:tcPr>
            <w:tcW w:w="0" w:type="auto"/>
            <w:shd w:val="clear" w:color="auto" w:fill="auto"/>
            <w:vAlign w:val="center"/>
          </w:tcPr>
          <w:p w14:paraId="777F5AFB" w14:textId="77777777" w:rsidR="00F00EE3" w:rsidRPr="00404DA5" w:rsidRDefault="00F00EE3" w:rsidP="00B673BB">
            <w:pPr>
              <w:jc w:val="center"/>
              <w:rPr>
                <w:bCs/>
                <w:sz w:val="18"/>
                <w:szCs w:val="18"/>
              </w:rPr>
            </w:pPr>
            <w:r w:rsidRPr="00404DA5">
              <w:rPr>
                <w:bCs/>
                <w:sz w:val="18"/>
                <w:szCs w:val="18"/>
              </w:rPr>
              <w:t>EUR</w:t>
            </w:r>
          </w:p>
        </w:tc>
        <w:tc>
          <w:tcPr>
            <w:tcW w:w="0" w:type="auto"/>
            <w:shd w:val="clear" w:color="auto" w:fill="auto"/>
            <w:vAlign w:val="center"/>
          </w:tcPr>
          <w:p w14:paraId="6BD24139" w14:textId="77777777" w:rsidR="00F00EE3" w:rsidRPr="00404DA5" w:rsidRDefault="00F00EE3" w:rsidP="00B673BB">
            <w:pPr>
              <w:jc w:val="center"/>
              <w:rPr>
                <w:bCs/>
                <w:sz w:val="18"/>
                <w:szCs w:val="18"/>
              </w:rPr>
            </w:pPr>
            <w:r w:rsidRPr="00404DA5">
              <w:rPr>
                <w:bCs/>
                <w:sz w:val="18"/>
                <w:szCs w:val="18"/>
              </w:rPr>
              <w:t>1 454 018</w:t>
            </w:r>
          </w:p>
        </w:tc>
        <w:tc>
          <w:tcPr>
            <w:tcW w:w="0" w:type="auto"/>
            <w:shd w:val="clear" w:color="auto" w:fill="auto"/>
            <w:vAlign w:val="center"/>
          </w:tcPr>
          <w:p w14:paraId="7C1D133A" w14:textId="77777777" w:rsidR="00F00EE3" w:rsidRPr="00404DA5" w:rsidRDefault="00F00EE3" w:rsidP="00B673BB">
            <w:pPr>
              <w:jc w:val="center"/>
              <w:rPr>
                <w:bCs/>
                <w:sz w:val="18"/>
                <w:szCs w:val="18"/>
              </w:rPr>
            </w:pPr>
            <w:r w:rsidRPr="00404DA5">
              <w:rPr>
                <w:bCs/>
                <w:sz w:val="18"/>
                <w:szCs w:val="18"/>
              </w:rPr>
              <w:t>1 199 629,08</w:t>
            </w:r>
          </w:p>
        </w:tc>
        <w:tc>
          <w:tcPr>
            <w:tcW w:w="0" w:type="auto"/>
            <w:shd w:val="clear" w:color="auto" w:fill="auto"/>
            <w:vAlign w:val="center"/>
          </w:tcPr>
          <w:p w14:paraId="02778B17" w14:textId="77777777" w:rsidR="00F00EE3" w:rsidRPr="00404DA5" w:rsidRDefault="00F00EE3" w:rsidP="00B673BB">
            <w:pPr>
              <w:jc w:val="center"/>
              <w:rPr>
                <w:bCs/>
                <w:sz w:val="18"/>
                <w:szCs w:val="18"/>
              </w:rPr>
            </w:pPr>
            <w:r w:rsidRPr="00404DA5">
              <w:rPr>
                <w:bCs/>
                <w:sz w:val="18"/>
                <w:szCs w:val="18"/>
              </w:rPr>
              <w:t>82,5%</w:t>
            </w:r>
          </w:p>
        </w:tc>
        <w:tc>
          <w:tcPr>
            <w:tcW w:w="0" w:type="auto"/>
            <w:shd w:val="clear" w:color="auto" w:fill="auto"/>
            <w:vAlign w:val="center"/>
          </w:tcPr>
          <w:p w14:paraId="3F1F9DF0" w14:textId="77777777" w:rsidR="00F00EE3" w:rsidRPr="00404DA5" w:rsidRDefault="00F00EE3" w:rsidP="00B673BB">
            <w:pPr>
              <w:jc w:val="center"/>
              <w:rPr>
                <w:bCs/>
                <w:sz w:val="18"/>
                <w:szCs w:val="18"/>
              </w:rPr>
            </w:pPr>
            <w:r w:rsidRPr="00404DA5">
              <w:rPr>
                <w:bCs/>
                <w:sz w:val="18"/>
                <w:szCs w:val="18"/>
              </w:rPr>
              <w:t>0,00</w:t>
            </w:r>
          </w:p>
        </w:tc>
        <w:tc>
          <w:tcPr>
            <w:tcW w:w="0" w:type="auto"/>
            <w:shd w:val="clear" w:color="auto" w:fill="auto"/>
            <w:vAlign w:val="center"/>
          </w:tcPr>
          <w:p w14:paraId="3AFADCF4" w14:textId="77777777" w:rsidR="00F00EE3" w:rsidRPr="00404DA5" w:rsidRDefault="00F00EE3" w:rsidP="00B673BB">
            <w:pPr>
              <w:jc w:val="center"/>
              <w:rPr>
                <w:bCs/>
                <w:sz w:val="18"/>
                <w:szCs w:val="18"/>
              </w:rPr>
            </w:pPr>
            <w:r w:rsidRPr="00404DA5">
              <w:rPr>
                <w:bCs/>
                <w:sz w:val="18"/>
                <w:szCs w:val="18"/>
              </w:rPr>
              <w:t>0,0%</w:t>
            </w:r>
          </w:p>
        </w:tc>
      </w:tr>
      <w:tr w:rsidR="00F00EE3" w:rsidRPr="008A06CB" w14:paraId="179CA578" w14:textId="77777777" w:rsidTr="00B673BB">
        <w:tc>
          <w:tcPr>
            <w:tcW w:w="0" w:type="auto"/>
            <w:shd w:val="clear" w:color="auto" w:fill="auto"/>
            <w:vAlign w:val="center"/>
          </w:tcPr>
          <w:p w14:paraId="76268166" w14:textId="77777777" w:rsidR="00F00EE3" w:rsidRPr="00404DA5" w:rsidRDefault="00F00EE3" w:rsidP="00B673BB">
            <w:pPr>
              <w:jc w:val="center"/>
              <w:rPr>
                <w:rFonts w:cs="Calibri"/>
                <w:sz w:val="18"/>
                <w:szCs w:val="18"/>
              </w:rPr>
            </w:pPr>
            <w:r w:rsidRPr="00404DA5">
              <w:rPr>
                <w:rFonts w:cs="Calibri"/>
                <w:sz w:val="18"/>
                <w:szCs w:val="18"/>
              </w:rPr>
              <w:t>WP</w:t>
            </w:r>
          </w:p>
        </w:tc>
        <w:tc>
          <w:tcPr>
            <w:tcW w:w="0" w:type="auto"/>
            <w:shd w:val="clear" w:color="auto" w:fill="auto"/>
            <w:vAlign w:val="center"/>
          </w:tcPr>
          <w:p w14:paraId="3E3F2A14" w14:textId="77777777" w:rsidR="00F00EE3" w:rsidRPr="00404DA5" w:rsidRDefault="00F00EE3" w:rsidP="00B673BB">
            <w:pPr>
              <w:jc w:val="center"/>
              <w:rPr>
                <w:bCs/>
                <w:sz w:val="18"/>
                <w:szCs w:val="18"/>
              </w:rPr>
            </w:pPr>
            <w:r w:rsidRPr="00404DA5">
              <w:rPr>
                <w:bCs/>
                <w:sz w:val="18"/>
                <w:szCs w:val="18"/>
              </w:rPr>
              <w:t>1.16</w:t>
            </w:r>
          </w:p>
        </w:tc>
        <w:tc>
          <w:tcPr>
            <w:tcW w:w="0" w:type="auto"/>
            <w:shd w:val="clear" w:color="auto" w:fill="auto"/>
            <w:vAlign w:val="center"/>
          </w:tcPr>
          <w:p w14:paraId="183E1D35" w14:textId="77777777" w:rsidR="00F00EE3" w:rsidRPr="00404DA5" w:rsidRDefault="00F00EE3" w:rsidP="00B673BB">
            <w:pPr>
              <w:rPr>
                <w:bCs/>
                <w:sz w:val="18"/>
                <w:szCs w:val="18"/>
              </w:rPr>
            </w:pPr>
            <w:r w:rsidRPr="00404DA5">
              <w:rPr>
                <w:bCs/>
                <w:sz w:val="18"/>
                <w:szCs w:val="18"/>
              </w:rPr>
              <w:t>Liczba zaawansowanych usług (nowych lub ulepszonych) świadczonych przez IOB</w:t>
            </w:r>
          </w:p>
        </w:tc>
        <w:tc>
          <w:tcPr>
            <w:tcW w:w="0" w:type="auto"/>
            <w:shd w:val="clear" w:color="auto" w:fill="auto"/>
            <w:vAlign w:val="center"/>
          </w:tcPr>
          <w:p w14:paraId="21F328DD" w14:textId="77777777" w:rsidR="00F00EE3" w:rsidRPr="00404DA5" w:rsidRDefault="00F00EE3" w:rsidP="00B673BB">
            <w:pPr>
              <w:jc w:val="center"/>
              <w:rPr>
                <w:bCs/>
                <w:sz w:val="18"/>
                <w:szCs w:val="18"/>
              </w:rPr>
            </w:pPr>
            <w:r w:rsidRPr="00404DA5">
              <w:rPr>
                <w:bCs/>
                <w:sz w:val="18"/>
                <w:szCs w:val="18"/>
              </w:rPr>
              <w:t>szt.</w:t>
            </w:r>
          </w:p>
        </w:tc>
        <w:tc>
          <w:tcPr>
            <w:tcW w:w="0" w:type="auto"/>
            <w:shd w:val="clear" w:color="auto" w:fill="auto"/>
            <w:vAlign w:val="center"/>
          </w:tcPr>
          <w:p w14:paraId="08735904" w14:textId="77777777" w:rsidR="00F00EE3" w:rsidRPr="00404DA5" w:rsidRDefault="00F00EE3" w:rsidP="00B673BB">
            <w:pPr>
              <w:jc w:val="center"/>
              <w:rPr>
                <w:bCs/>
                <w:sz w:val="18"/>
                <w:szCs w:val="18"/>
              </w:rPr>
            </w:pPr>
            <w:r w:rsidRPr="00404DA5">
              <w:rPr>
                <w:bCs/>
                <w:sz w:val="18"/>
                <w:szCs w:val="18"/>
              </w:rPr>
              <w:t>40</w:t>
            </w:r>
          </w:p>
        </w:tc>
        <w:tc>
          <w:tcPr>
            <w:tcW w:w="0" w:type="auto"/>
            <w:shd w:val="clear" w:color="auto" w:fill="auto"/>
            <w:vAlign w:val="center"/>
          </w:tcPr>
          <w:p w14:paraId="4C2AA0CE" w14:textId="77777777" w:rsidR="00F00EE3" w:rsidRPr="00404DA5" w:rsidRDefault="00F00EE3" w:rsidP="00B673BB">
            <w:pPr>
              <w:jc w:val="center"/>
              <w:rPr>
                <w:bCs/>
                <w:sz w:val="18"/>
                <w:szCs w:val="18"/>
              </w:rPr>
            </w:pPr>
            <w:r w:rsidRPr="00404DA5">
              <w:rPr>
                <w:bCs/>
                <w:sz w:val="18"/>
                <w:szCs w:val="18"/>
              </w:rPr>
              <w:t>0</w:t>
            </w:r>
          </w:p>
        </w:tc>
        <w:tc>
          <w:tcPr>
            <w:tcW w:w="0" w:type="auto"/>
            <w:shd w:val="clear" w:color="auto" w:fill="auto"/>
            <w:vAlign w:val="center"/>
          </w:tcPr>
          <w:p w14:paraId="1A67DB13" w14:textId="77777777" w:rsidR="00F00EE3" w:rsidRPr="00404DA5" w:rsidRDefault="00F00EE3" w:rsidP="00B673BB">
            <w:pPr>
              <w:jc w:val="center"/>
              <w:rPr>
                <w:bCs/>
                <w:sz w:val="18"/>
                <w:szCs w:val="18"/>
              </w:rPr>
            </w:pPr>
            <w:r w:rsidRPr="00404DA5">
              <w:rPr>
                <w:bCs/>
                <w:sz w:val="18"/>
                <w:szCs w:val="18"/>
              </w:rPr>
              <w:t>0,0%</w:t>
            </w:r>
          </w:p>
        </w:tc>
        <w:tc>
          <w:tcPr>
            <w:tcW w:w="0" w:type="auto"/>
            <w:shd w:val="clear" w:color="auto" w:fill="auto"/>
            <w:vAlign w:val="center"/>
          </w:tcPr>
          <w:p w14:paraId="1D4C3262" w14:textId="77777777" w:rsidR="00F00EE3" w:rsidRPr="00404DA5" w:rsidRDefault="00F00EE3" w:rsidP="00B673BB">
            <w:pPr>
              <w:jc w:val="center"/>
              <w:rPr>
                <w:bCs/>
                <w:sz w:val="18"/>
                <w:szCs w:val="18"/>
              </w:rPr>
            </w:pPr>
            <w:r w:rsidRPr="00404DA5">
              <w:rPr>
                <w:bCs/>
                <w:sz w:val="18"/>
                <w:szCs w:val="18"/>
              </w:rPr>
              <w:t>0</w:t>
            </w:r>
          </w:p>
        </w:tc>
        <w:tc>
          <w:tcPr>
            <w:tcW w:w="0" w:type="auto"/>
            <w:shd w:val="clear" w:color="auto" w:fill="auto"/>
            <w:vAlign w:val="center"/>
          </w:tcPr>
          <w:p w14:paraId="0F35A236" w14:textId="77777777" w:rsidR="00F00EE3" w:rsidRPr="00404DA5" w:rsidRDefault="00F00EE3" w:rsidP="00B673BB">
            <w:pPr>
              <w:jc w:val="center"/>
              <w:rPr>
                <w:bCs/>
                <w:sz w:val="18"/>
                <w:szCs w:val="18"/>
              </w:rPr>
            </w:pPr>
            <w:r w:rsidRPr="00404DA5">
              <w:rPr>
                <w:bCs/>
                <w:sz w:val="18"/>
                <w:szCs w:val="18"/>
              </w:rPr>
              <w:t>0,0%</w:t>
            </w:r>
          </w:p>
        </w:tc>
      </w:tr>
    </w:tbl>
    <w:p w14:paraId="6F84BABE" w14:textId="77777777" w:rsidR="00F00EE3" w:rsidRPr="002A5FDF" w:rsidRDefault="00F00EE3"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obliczenia własne na podstawie danych SL2014 na dzień 07.01.2019 r.</w:t>
      </w:r>
    </w:p>
    <w:p w14:paraId="51FCF62C" w14:textId="77777777" w:rsidR="00F00EE3" w:rsidRDefault="00F00EE3" w:rsidP="00F00EE3">
      <w:pPr>
        <w:pStyle w:val="Bezodstpw"/>
        <w:spacing w:before="120" w:line="288" w:lineRule="auto"/>
        <w:jc w:val="both"/>
        <w:rPr>
          <w:rFonts w:ascii="Lato" w:hAnsi="Lato"/>
        </w:rPr>
      </w:pPr>
      <w:r>
        <w:rPr>
          <w:rFonts w:ascii="Lato" w:hAnsi="Lato"/>
        </w:rPr>
        <w:t>Postępu rzeczowego dla PI 3a na dzień 7.01.2019 r. nie można ocenić pozytywnie. Zakontraktowane umowy nie pozwalają na stwierdzenie, że osiągnięcie celów na rok 2023 jest niezagrożone. Wynika to</w:t>
      </w:r>
      <w:r w:rsidR="00E66B89">
        <w:rPr>
          <w:rFonts w:ascii="Lato" w:hAnsi="Lato"/>
        </w:rPr>
        <w:t xml:space="preserve"> z </w:t>
      </w:r>
      <w:r>
        <w:rPr>
          <w:rFonts w:ascii="Lato" w:hAnsi="Lato"/>
        </w:rPr>
        <w:t>faktu trwającego wciąż procesu wdrażania,</w:t>
      </w:r>
      <w:r w:rsidR="00E66B89">
        <w:rPr>
          <w:rFonts w:ascii="Lato" w:hAnsi="Lato"/>
        </w:rPr>
        <w:t xml:space="preserve"> w </w:t>
      </w:r>
      <w:r>
        <w:rPr>
          <w:rFonts w:ascii="Lato" w:hAnsi="Lato"/>
        </w:rPr>
        <w:t>którym niektóre działania nie zostały jeszcze uruchomione.</w:t>
      </w:r>
      <w:r w:rsidR="00E66B89">
        <w:rPr>
          <w:rFonts w:ascii="Lato" w:hAnsi="Lato"/>
        </w:rPr>
        <w:t xml:space="preserve"> W </w:t>
      </w:r>
      <w:r>
        <w:rPr>
          <w:rFonts w:ascii="Lato" w:hAnsi="Lato"/>
        </w:rPr>
        <w:t xml:space="preserve">przypadku </w:t>
      </w:r>
      <w:r w:rsidRPr="001F3FAE">
        <w:rPr>
          <w:rFonts w:ascii="Lato" w:hAnsi="Lato"/>
        </w:rPr>
        <w:t>wskaźnika</w:t>
      </w:r>
      <w:r w:rsidRPr="001F3FAE">
        <w:rPr>
          <w:rFonts w:ascii="Lato" w:hAnsi="Lato"/>
          <w:i/>
        </w:rPr>
        <w:t xml:space="preserve"> </w:t>
      </w:r>
      <w:r>
        <w:rPr>
          <w:rFonts w:ascii="Lato" w:hAnsi="Lato"/>
          <w:i/>
        </w:rPr>
        <w:t>L</w:t>
      </w:r>
      <w:r w:rsidRPr="001F3FAE">
        <w:rPr>
          <w:rFonts w:ascii="Lato" w:hAnsi="Lato"/>
          <w:i/>
        </w:rPr>
        <w:t>iczba zaawansowanych usług (nowych lub ulepszonych) świadczonych przez IOB</w:t>
      </w:r>
      <w:r>
        <w:rPr>
          <w:rFonts w:ascii="Lato" w:hAnsi="Lato"/>
        </w:rPr>
        <w:t xml:space="preserve"> obserwuje się brak jakiejkolwiek kontraktacji.</w:t>
      </w:r>
    </w:p>
    <w:p w14:paraId="707CC63B" w14:textId="77777777" w:rsidR="00F00EE3" w:rsidRDefault="00F00EE3" w:rsidP="00F00EE3">
      <w:pPr>
        <w:pStyle w:val="Bezodstpw"/>
        <w:spacing w:before="120" w:line="288" w:lineRule="auto"/>
        <w:jc w:val="both"/>
        <w:rPr>
          <w:rFonts w:ascii="Lato" w:hAnsi="Lato"/>
        </w:rPr>
      </w:pPr>
      <w:r>
        <w:rPr>
          <w:rFonts w:ascii="Lato" w:hAnsi="Lato"/>
        </w:rPr>
        <w:t xml:space="preserve">Wskaźnik produktu </w:t>
      </w:r>
      <w:r w:rsidRPr="00C22C26">
        <w:rPr>
          <w:rFonts w:ascii="Lato" w:hAnsi="Lato"/>
          <w:i/>
        </w:rPr>
        <w:t>Powierzchnia przygotowanych terenów inwestycyjnych</w:t>
      </w:r>
      <w:r>
        <w:rPr>
          <w:rFonts w:ascii="Lato" w:hAnsi="Lato"/>
          <w:i/>
        </w:rPr>
        <w:t xml:space="preserve"> </w:t>
      </w:r>
      <w:r>
        <w:rPr>
          <w:rFonts w:ascii="Lato" w:hAnsi="Lato"/>
        </w:rPr>
        <w:t xml:space="preserve">wykazuje optymistyczny poziom kontraktacji równy </w:t>
      </w:r>
      <w:r w:rsidRPr="00F57292">
        <w:rPr>
          <w:rFonts w:ascii="Lato" w:hAnsi="Lato"/>
        </w:rPr>
        <w:t>95,5% co pozwoli przygotować 198,72 ha</w:t>
      </w:r>
      <w:r w:rsidR="00E66B89">
        <w:rPr>
          <w:rFonts w:ascii="Lato" w:hAnsi="Lato"/>
        </w:rPr>
        <w:t xml:space="preserve"> z </w:t>
      </w:r>
      <w:r w:rsidRPr="00F57292">
        <w:rPr>
          <w:rFonts w:ascii="Lato" w:hAnsi="Lato"/>
        </w:rPr>
        <w:t>208 ha zaplanowanych na koniec roku 2023 terenów inwestycyjnych</w:t>
      </w:r>
      <w:r>
        <w:rPr>
          <w:rFonts w:ascii="Lato" w:hAnsi="Lato"/>
        </w:rPr>
        <w:t>. Dotychczas złożone wnioski</w:t>
      </w:r>
      <w:r w:rsidR="00E66B89">
        <w:rPr>
          <w:rFonts w:ascii="Lato" w:hAnsi="Lato"/>
        </w:rPr>
        <w:t xml:space="preserve"> o </w:t>
      </w:r>
      <w:r>
        <w:rPr>
          <w:rFonts w:ascii="Lato" w:hAnsi="Lato"/>
        </w:rPr>
        <w:t xml:space="preserve">płatność gwarantują przygotowanie </w:t>
      </w:r>
      <w:r w:rsidRPr="00F57292">
        <w:rPr>
          <w:rFonts w:ascii="Lato" w:hAnsi="Lato"/>
        </w:rPr>
        <w:t>68,97 co stanowi 33,2% wartości docelowej.</w:t>
      </w:r>
    </w:p>
    <w:p w14:paraId="7DCDB3E0" w14:textId="77777777" w:rsidR="00F00EE3" w:rsidRPr="00404DA5" w:rsidRDefault="00F00EE3" w:rsidP="00F00EE3">
      <w:pPr>
        <w:rPr>
          <w:rFonts w:cs="Calibri"/>
          <w:szCs w:val="20"/>
        </w:rPr>
      </w:pPr>
      <w:r w:rsidRPr="00404DA5">
        <w:rPr>
          <w:rFonts w:cs="Calibri"/>
          <w:szCs w:val="20"/>
        </w:rPr>
        <w:t>Zakontraktowanie na poziomie 95,5% należy uznać za wynik bardzo dobry jeżeli weźmiemy pod uwagę kwestię wymagań - wynikających</w:t>
      </w:r>
      <w:r w:rsidR="00E66B89">
        <w:rPr>
          <w:rFonts w:cs="Calibri"/>
          <w:szCs w:val="20"/>
        </w:rPr>
        <w:t xml:space="preserve"> z </w:t>
      </w:r>
      <w:r w:rsidRPr="00404DA5">
        <w:rPr>
          <w:rFonts w:cs="Calibri"/>
          <w:szCs w:val="20"/>
        </w:rPr>
        <w:t>Umowy Partnerstwa,</w:t>
      </w:r>
      <w:r w:rsidR="00E66B89">
        <w:rPr>
          <w:rFonts w:cs="Calibri"/>
          <w:szCs w:val="20"/>
        </w:rPr>
        <w:t xml:space="preserve"> a </w:t>
      </w:r>
      <w:r w:rsidRPr="00404DA5">
        <w:rPr>
          <w:rFonts w:cs="Calibri"/>
          <w:szCs w:val="20"/>
        </w:rPr>
        <w:t>zatem niemożliwych do złagodzenia. Dotyczą one bardzo restrykcyjnych wymogów realizacji inwestycji,</w:t>
      </w:r>
      <w:r w:rsidR="00E66B89">
        <w:rPr>
          <w:rFonts w:cs="Calibri"/>
          <w:szCs w:val="20"/>
        </w:rPr>
        <w:t xml:space="preserve"> w </w:t>
      </w:r>
      <w:r w:rsidRPr="00404DA5">
        <w:rPr>
          <w:rFonts w:cs="Calibri"/>
          <w:szCs w:val="20"/>
        </w:rPr>
        <w:t>tym skomercjalizowania przestrzeni terenów inwestycyjnych (pod groźbą zwrotu proporcjonalnej części dofinansowania).</w:t>
      </w:r>
    </w:p>
    <w:p w14:paraId="577A8EB0" w14:textId="77777777" w:rsidR="00F00EE3" w:rsidRPr="00404DA5" w:rsidRDefault="00F00EE3" w:rsidP="00F00EE3">
      <w:pPr>
        <w:pStyle w:val="Bezodstpw"/>
        <w:spacing w:before="120" w:line="288" w:lineRule="auto"/>
        <w:jc w:val="both"/>
        <w:rPr>
          <w:rFonts w:ascii="Lato" w:hAnsi="Lato"/>
        </w:rPr>
      </w:pPr>
      <w:r w:rsidRPr="00404DA5">
        <w:rPr>
          <w:rFonts w:ascii="Lato" w:hAnsi="Lato"/>
        </w:rPr>
        <w:t>Z pewnością omawiany typ projektów jest bardzo trudny</w:t>
      </w:r>
      <w:r w:rsidR="00E66B89">
        <w:rPr>
          <w:rFonts w:ascii="Lato" w:hAnsi="Lato"/>
        </w:rPr>
        <w:t xml:space="preserve"> w </w:t>
      </w:r>
      <w:r w:rsidRPr="00404DA5">
        <w:rPr>
          <w:rFonts w:ascii="Lato" w:hAnsi="Lato"/>
        </w:rPr>
        <w:t>realizacji, jeśli chodzi</w:t>
      </w:r>
      <w:r w:rsidR="00E66B89">
        <w:rPr>
          <w:rFonts w:ascii="Lato" w:hAnsi="Lato"/>
        </w:rPr>
        <w:t xml:space="preserve"> o </w:t>
      </w:r>
      <w:r w:rsidRPr="00404DA5">
        <w:rPr>
          <w:rFonts w:ascii="Lato" w:hAnsi="Lato"/>
        </w:rPr>
        <w:t>zakres wymaganych zgód</w:t>
      </w:r>
      <w:r w:rsidR="00E66B89">
        <w:rPr>
          <w:rFonts w:ascii="Lato" w:hAnsi="Lato"/>
        </w:rPr>
        <w:t xml:space="preserve"> i </w:t>
      </w:r>
      <w:r w:rsidRPr="00404DA5">
        <w:rPr>
          <w:rFonts w:ascii="Lato" w:hAnsi="Lato"/>
        </w:rPr>
        <w:t>pozwoleń. Złożoność</w:t>
      </w:r>
      <w:r w:rsidR="00E66B89">
        <w:rPr>
          <w:rFonts w:ascii="Lato" w:hAnsi="Lato"/>
        </w:rPr>
        <w:t xml:space="preserve"> i </w:t>
      </w:r>
      <w:r w:rsidRPr="00404DA5">
        <w:rPr>
          <w:rFonts w:ascii="Lato" w:hAnsi="Lato"/>
        </w:rPr>
        <w:t>skala inwestycji wymagają wielu takich dokumentów,</w:t>
      </w:r>
      <w:r w:rsidR="00E66B89">
        <w:rPr>
          <w:rFonts w:ascii="Lato" w:hAnsi="Lato"/>
        </w:rPr>
        <w:t xml:space="preserve"> z </w:t>
      </w:r>
      <w:r w:rsidRPr="00404DA5">
        <w:rPr>
          <w:rFonts w:ascii="Lato" w:hAnsi="Lato"/>
        </w:rPr>
        <w:t>różnych instytucji, nierzadko</w:t>
      </w:r>
      <w:r w:rsidR="00E66B89">
        <w:rPr>
          <w:rFonts w:ascii="Lato" w:hAnsi="Lato"/>
        </w:rPr>
        <w:t xml:space="preserve"> o </w:t>
      </w:r>
      <w:r w:rsidRPr="00404DA5">
        <w:rPr>
          <w:rFonts w:ascii="Lato" w:hAnsi="Lato"/>
        </w:rPr>
        <w:t>innych trybach działania. Opóźnienie</w:t>
      </w:r>
      <w:r w:rsidR="00E66B89">
        <w:rPr>
          <w:rFonts w:ascii="Lato" w:hAnsi="Lato"/>
        </w:rPr>
        <w:t xml:space="preserve"> w </w:t>
      </w:r>
      <w:r w:rsidRPr="00404DA5">
        <w:rPr>
          <w:rFonts w:ascii="Lato" w:hAnsi="Lato"/>
        </w:rPr>
        <w:t>pozyskaniu jednego zezwolenia może automatycznie przekładać się na przestój związany</w:t>
      </w:r>
      <w:r w:rsidR="00E66B89">
        <w:rPr>
          <w:rFonts w:ascii="Lato" w:hAnsi="Lato"/>
        </w:rPr>
        <w:t xml:space="preserve"> z </w:t>
      </w:r>
      <w:r w:rsidRPr="00404DA5">
        <w:rPr>
          <w:rFonts w:ascii="Lato" w:hAnsi="Lato"/>
        </w:rPr>
        <w:t>niemożnością ubiegania się</w:t>
      </w:r>
      <w:r w:rsidR="00E66B89">
        <w:rPr>
          <w:rFonts w:ascii="Lato" w:hAnsi="Lato"/>
        </w:rPr>
        <w:t xml:space="preserve"> o </w:t>
      </w:r>
      <w:r w:rsidRPr="00404DA5">
        <w:rPr>
          <w:rFonts w:ascii="Lato" w:hAnsi="Lato"/>
        </w:rPr>
        <w:t>inne dokumenty.</w:t>
      </w:r>
    </w:p>
    <w:p w14:paraId="13C0C896" w14:textId="77777777" w:rsidR="00F00EE3" w:rsidRDefault="00F00EE3" w:rsidP="00F00EE3">
      <w:pPr>
        <w:pStyle w:val="Bezodstpw"/>
        <w:spacing w:before="120" w:after="120" w:line="288" w:lineRule="auto"/>
        <w:jc w:val="both"/>
        <w:rPr>
          <w:rFonts w:ascii="Lato" w:hAnsi="Lato"/>
        </w:rPr>
      </w:pPr>
      <w:r w:rsidRPr="00404DA5">
        <w:rPr>
          <w:rFonts w:ascii="Lato" w:hAnsi="Lato"/>
        </w:rPr>
        <w:t xml:space="preserve">Wskaźnik produktu </w:t>
      </w:r>
      <w:r w:rsidRPr="00C22C26">
        <w:rPr>
          <w:rFonts w:ascii="Lato" w:hAnsi="Lato"/>
          <w:i/>
        </w:rPr>
        <w:t>Liczba przedsiębiorstw otrzymujących wsparcie (CI)</w:t>
      </w:r>
      <w:r>
        <w:rPr>
          <w:rFonts w:ascii="Lato" w:hAnsi="Lato"/>
          <w:i/>
        </w:rPr>
        <w:t xml:space="preserve">, </w:t>
      </w:r>
      <w:r>
        <w:rPr>
          <w:rFonts w:ascii="Lato" w:hAnsi="Lato"/>
        </w:rPr>
        <w:t>na poziomie umów</w:t>
      </w:r>
      <w:r w:rsidR="00E66B89">
        <w:rPr>
          <w:rFonts w:ascii="Lato" w:hAnsi="Lato"/>
        </w:rPr>
        <w:t xml:space="preserve"> o </w:t>
      </w:r>
      <w:r>
        <w:rPr>
          <w:rFonts w:ascii="Lato" w:hAnsi="Lato"/>
        </w:rPr>
        <w:t>dofinansowanie zrealizowany jest</w:t>
      </w:r>
      <w:r w:rsidR="00E66B89">
        <w:rPr>
          <w:rFonts w:ascii="Lato" w:hAnsi="Lato"/>
        </w:rPr>
        <w:t xml:space="preserve"> w </w:t>
      </w:r>
      <w:r>
        <w:rPr>
          <w:rFonts w:ascii="Lato" w:hAnsi="Lato"/>
        </w:rPr>
        <w:t>53,5% co skutkować będzie udzieleniem wsparcia 327 przedsiębiorcom. Wsparcie już uzyskało 179 przedsiębiorców, co zostało potwierdzone</w:t>
      </w:r>
      <w:r w:rsidR="00E66B89">
        <w:rPr>
          <w:rFonts w:ascii="Lato" w:hAnsi="Lato"/>
        </w:rPr>
        <w:t xml:space="preserve"> w </w:t>
      </w:r>
      <w:r>
        <w:rPr>
          <w:rFonts w:ascii="Lato" w:hAnsi="Lato"/>
        </w:rPr>
        <w:t>złożonych wnioskach</w:t>
      </w:r>
      <w:r w:rsidR="00E66B89">
        <w:rPr>
          <w:rFonts w:ascii="Lato" w:hAnsi="Lato"/>
        </w:rPr>
        <w:t xml:space="preserve"> o </w:t>
      </w:r>
      <w:r>
        <w:rPr>
          <w:rFonts w:ascii="Lato" w:hAnsi="Lato"/>
        </w:rPr>
        <w:t xml:space="preserve">płatność. </w:t>
      </w:r>
    </w:p>
    <w:p w14:paraId="65DBE361" w14:textId="77777777" w:rsidR="00F00EE3" w:rsidRPr="00143C30" w:rsidRDefault="00F00EE3" w:rsidP="00F00EE3">
      <w:pPr>
        <w:rPr>
          <w:szCs w:val="20"/>
        </w:rPr>
      </w:pPr>
      <w:r>
        <w:rPr>
          <w:szCs w:val="20"/>
        </w:rPr>
        <w:t xml:space="preserve">Na </w:t>
      </w:r>
      <w:r w:rsidRPr="00F70F0E">
        <w:rPr>
          <w:szCs w:val="20"/>
        </w:rPr>
        <w:t>opóźnienie wdrażania</w:t>
      </w:r>
      <w:r w:rsidR="00E66B89">
        <w:rPr>
          <w:szCs w:val="20"/>
        </w:rPr>
        <w:t xml:space="preserve"> w </w:t>
      </w:r>
      <w:r w:rsidRPr="00F70F0E">
        <w:rPr>
          <w:szCs w:val="20"/>
        </w:rPr>
        <w:t xml:space="preserve">ramach </w:t>
      </w:r>
      <w:r w:rsidRPr="00C22C26">
        <w:rPr>
          <w:i/>
          <w:szCs w:val="20"/>
        </w:rPr>
        <w:t>Działania 1.17 Wzmocnienie procesu wsparcia firm</w:t>
      </w:r>
      <w:r w:rsidR="00E66B89">
        <w:rPr>
          <w:i/>
          <w:szCs w:val="20"/>
        </w:rPr>
        <w:t xml:space="preserve"> w </w:t>
      </w:r>
      <w:r w:rsidRPr="00C22C26">
        <w:rPr>
          <w:i/>
          <w:szCs w:val="20"/>
        </w:rPr>
        <w:t>początkowej fazie rozwoju</w:t>
      </w:r>
      <w:r w:rsidRPr="00D606C9" w:rsidDel="00D606C9">
        <w:rPr>
          <w:szCs w:val="20"/>
        </w:rPr>
        <w:t xml:space="preserve"> </w:t>
      </w:r>
      <w:r w:rsidRPr="00F70F0E">
        <w:rPr>
          <w:szCs w:val="20"/>
        </w:rPr>
        <w:t>wpływ miała trudność</w:t>
      </w:r>
      <w:r w:rsidR="00E66B89">
        <w:rPr>
          <w:szCs w:val="20"/>
        </w:rPr>
        <w:t xml:space="preserve"> w </w:t>
      </w:r>
      <w:r w:rsidRPr="00F70F0E">
        <w:rPr>
          <w:szCs w:val="20"/>
        </w:rPr>
        <w:t>wyłonieniu pośredników finansowych (brak ofert złożonych</w:t>
      </w:r>
      <w:r w:rsidR="00E66B89">
        <w:rPr>
          <w:szCs w:val="20"/>
        </w:rPr>
        <w:t xml:space="preserve"> </w:t>
      </w:r>
      <w:r w:rsidR="00E66B89">
        <w:rPr>
          <w:szCs w:val="20"/>
        </w:rPr>
        <w:lastRenderedPageBreak/>
        <w:t>w </w:t>
      </w:r>
      <w:r w:rsidRPr="00F70F0E">
        <w:rPr>
          <w:szCs w:val="20"/>
        </w:rPr>
        <w:t>postępowaniu przetargowym</w:t>
      </w:r>
      <w:r w:rsidR="00E66B89">
        <w:rPr>
          <w:szCs w:val="20"/>
        </w:rPr>
        <w:t xml:space="preserve"> i </w:t>
      </w:r>
      <w:r w:rsidRPr="00F70F0E">
        <w:rPr>
          <w:szCs w:val="20"/>
        </w:rPr>
        <w:t>podjęcie negocjacji</w:t>
      </w:r>
      <w:r w:rsidR="00E66B89">
        <w:rPr>
          <w:szCs w:val="20"/>
        </w:rPr>
        <w:t xml:space="preserve"> w </w:t>
      </w:r>
      <w:r w:rsidRPr="00F70F0E">
        <w:rPr>
          <w:szCs w:val="20"/>
        </w:rPr>
        <w:t xml:space="preserve">trybie </w:t>
      </w:r>
      <w:r>
        <w:rPr>
          <w:szCs w:val="20"/>
        </w:rPr>
        <w:t>zamówienia</w:t>
      </w:r>
      <w:r w:rsidR="00E66B89">
        <w:rPr>
          <w:szCs w:val="20"/>
        </w:rPr>
        <w:t xml:space="preserve"> z </w:t>
      </w:r>
      <w:r w:rsidRPr="00F70F0E">
        <w:rPr>
          <w:szCs w:val="20"/>
        </w:rPr>
        <w:t>wolnej ręki). Dodatkowo,</w:t>
      </w:r>
      <w:r w:rsidR="00E66B89">
        <w:rPr>
          <w:szCs w:val="20"/>
        </w:rPr>
        <w:t xml:space="preserve"> z </w:t>
      </w:r>
      <w:r w:rsidRPr="00F70F0E">
        <w:rPr>
          <w:szCs w:val="20"/>
        </w:rPr>
        <w:t>uwagi na specyfikę wsparcia - sam fakt, iż mamy do czynienia</w:t>
      </w:r>
      <w:r w:rsidR="00E66B89">
        <w:rPr>
          <w:szCs w:val="20"/>
        </w:rPr>
        <w:t xml:space="preserve"> z </w:t>
      </w:r>
      <w:r w:rsidRPr="00F70F0E">
        <w:rPr>
          <w:szCs w:val="20"/>
        </w:rPr>
        <w:t>przedsiębiorstwami</w:t>
      </w:r>
      <w:r w:rsidR="00E66B89">
        <w:rPr>
          <w:szCs w:val="20"/>
        </w:rPr>
        <w:t xml:space="preserve"> w </w:t>
      </w:r>
      <w:r w:rsidRPr="00F70F0E">
        <w:rPr>
          <w:szCs w:val="20"/>
        </w:rPr>
        <w:t>początkowej fazie rozwoju, statystycznie przeciętnie</w:t>
      </w:r>
      <w:r w:rsidR="00E66B89">
        <w:rPr>
          <w:szCs w:val="20"/>
        </w:rPr>
        <w:t xml:space="preserve"> o </w:t>
      </w:r>
      <w:r w:rsidRPr="00F70F0E">
        <w:rPr>
          <w:szCs w:val="20"/>
        </w:rPr>
        <w:t>niskiej przeżywalności, każe prowadzić szczegółowy monitoring</w:t>
      </w:r>
      <w:r w:rsidR="00E66B89">
        <w:rPr>
          <w:szCs w:val="20"/>
        </w:rPr>
        <w:t xml:space="preserve"> w </w:t>
      </w:r>
      <w:r w:rsidRPr="00F70F0E">
        <w:rPr>
          <w:szCs w:val="20"/>
        </w:rPr>
        <w:t>zakresie zgodności czasowej</w:t>
      </w:r>
      <w:r w:rsidR="00E66B89">
        <w:rPr>
          <w:szCs w:val="20"/>
        </w:rPr>
        <w:t xml:space="preserve"> i </w:t>
      </w:r>
      <w:r w:rsidRPr="00F70F0E">
        <w:rPr>
          <w:szCs w:val="20"/>
        </w:rPr>
        <w:t>rzeczowej realizacji projektu względem jego założeń.</w:t>
      </w:r>
      <w:r w:rsidRPr="00143C30">
        <w:rPr>
          <w:szCs w:val="20"/>
        </w:rPr>
        <w:t xml:space="preserve"> </w:t>
      </w:r>
    </w:p>
    <w:p w14:paraId="3FAEE59E" w14:textId="77777777" w:rsidR="00F00EE3" w:rsidRDefault="00F00EE3" w:rsidP="00F00EE3">
      <w:pPr>
        <w:pStyle w:val="Bezodstpw"/>
        <w:spacing w:before="120" w:line="288" w:lineRule="auto"/>
        <w:jc w:val="both"/>
        <w:rPr>
          <w:rFonts w:ascii="Lato" w:hAnsi="Lato"/>
        </w:rPr>
      </w:pPr>
      <w:r>
        <w:rPr>
          <w:rFonts w:ascii="Lato" w:hAnsi="Lato"/>
        </w:rPr>
        <w:t xml:space="preserve">Kolejnym wskaźnikiem realizującym PI 3a jest </w:t>
      </w:r>
      <w:r w:rsidRPr="00C22C26">
        <w:rPr>
          <w:rFonts w:ascii="Lato" w:hAnsi="Lato"/>
          <w:i/>
        </w:rPr>
        <w:t>Liczba przedsiębiorstw otrzymujących dotacje (CI)</w:t>
      </w:r>
      <w:r w:rsidRPr="00E14F24">
        <w:rPr>
          <w:rFonts w:ascii="Lato" w:hAnsi="Lato"/>
          <w:b/>
          <w:i/>
        </w:rPr>
        <w:t>.</w:t>
      </w:r>
      <w:r>
        <w:rPr>
          <w:rFonts w:ascii="Lato" w:hAnsi="Lato"/>
          <w:i/>
        </w:rPr>
        <w:t xml:space="preserve"> </w:t>
      </w:r>
      <w:r>
        <w:rPr>
          <w:rFonts w:ascii="Lato" w:hAnsi="Lato"/>
        </w:rPr>
        <w:t>Spośród 150 przedsiębiorstw zaplanowanych na etapie programowania niespełna 1/3 zabezpieczona jest dotychczasową kontraktacją. Podpisane umowy bowiem pozwolą wesprzeć dotacją 47 przedsiębiorstw co stanowi 31,3% wartości docelowej. Postęp rzeczowy na poziomie złożonych wniosków</w:t>
      </w:r>
      <w:r w:rsidR="00E66B89">
        <w:rPr>
          <w:rFonts w:ascii="Lato" w:hAnsi="Lato"/>
        </w:rPr>
        <w:t xml:space="preserve"> o </w:t>
      </w:r>
      <w:r>
        <w:rPr>
          <w:rFonts w:ascii="Lato" w:hAnsi="Lato"/>
        </w:rPr>
        <w:t>płatność dowodzi wsparcie 17 przedsiębiorstw tj. 11,3% wartości docelowej planowanej na koniec roku 2023.</w:t>
      </w:r>
    </w:p>
    <w:p w14:paraId="33ABAF06" w14:textId="77777777" w:rsidR="00F00EE3" w:rsidRPr="00282C1B" w:rsidRDefault="00F00EE3" w:rsidP="00F00EE3">
      <w:pPr>
        <w:pStyle w:val="Bezodstpw"/>
        <w:spacing w:before="120" w:line="288" w:lineRule="auto"/>
        <w:jc w:val="both"/>
        <w:rPr>
          <w:rFonts w:ascii="Lato" w:hAnsi="Lato"/>
        </w:rPr>
      </w:pPr>
      <w:r>
        <w:rPr>
          <w:rFonts w:ascii="Lato" w:hAnsi="Lato"/>
        </w:rPr>
        <w:t xml:space="preserve">Przedmiotowy wskaźnik realizowany jest za sprawą dwóch działań: </w:t>
      </w:r>
      <w:r w:rsidRPr="00C22C26">
        <w:rPr>
          <w:rFonts w:ascii="Lato" w:hAnsi="Lato"/>
          <w:i/>
        </w:rPr>
        <w:t>Działania</w:t>
      </w:r>
      <w:r>
        <w:rPr>
          <w:rFonts w:ascii="Lato" w:hAnsi="Lato"/>
        </w:rPr>
        <w:t xml:space="preserve"> </w:t>
      </w:r>
      <w:r w:rsidRPr="00282C1B">
        <w:rPr>
          <w:rFonts w:ascii="Lato" w:hAnsi="Lato"/>
          <w:i/>
        </w:rPr>
        <w:t>1.15 Wsparcie kooperacji przedsiębiorstw</w:t>
      </w:r>
      <w:r>
        <w:rPr>
          <w:rFonts w:ascii="Lato" w:hAnsi="Lato"/>
        </w:rPr>
        <w:t>,</w:t>
      </w:r>
      <w:r w:rsidR="00E66B89">
        <w:rPr>
          <w:rFonts w:ascii="Lato" w:hAnsi="Lato"/>
        </w:rPr>
        <w:t xml:space="preserve"> w </w:t>
      </w:r>
      <w:r>
        <w:rPr>
          <w:rFonts w:ascii="Lato" w:hAnsi="Lato"/>
        </w:rPr>
        <w:t xml:space="preserve">przypadku którego zakontraktowano 50,8% alokacji oraz </w:t>
      </w:r>
      <w:r w:rsidRPr="00282C1B">
        <w:rPr>
          <w:rFonts w:ascii="Lato" w:hAnsi="Lato"/>
          <w:i/>
        </w:rPr>
        <w:t>Działania 1.16 Zwiększenie dostępu do usług Instytucji Otoczenia Biznesu</w:t>
      </w:r>
      <w:r>
        <w:rPr>
          <w:rFonts w:ascii="Lato" w:hAnsi="Lato"/>
        </w:rPr>
        <w:t>,</w:t>
      </w:r>
      <w:r w:rsidR="00E66B89">
        <w:rPr>
          <w:rFonts w:ascii="Lato" w:hAnsi="Lato"/>
        </w:rPr>
        <w:t xml:space="preserve"> w </w:t>
      </w:r>
      <w:r>
        <w:t>ramach którego aktualnie nie są realizowane umowy dofinansowanie</w:t>
      </w:r>
      <w:r>
        <w:rPr>
          <w:rFonts w:ascii="Lato" w:hAnsi="Lato"/>
        </w:rPr>
        <w:t>. Co prawda</w:t>
      </w:r>
      <w:r w:rsidR="00E66B89">
        <w:rPr>
          <w:rFonts w:ascii="Lato" w:hAnsi="Lato"/>
        </w:rPr>
        <w:t xml:space="preserve"> w </w:t>
      </w:r>
      <w:r>
        <w:rPr>
          <w:rFonts w:ascii="Lato" w:hAnsi="Lato"/>
        </w:rPr>
        <w:t xml:space="preserve">ramach obecnej perspektywy finansowej podpisano </w:t>
      </w:r>
      <w:r w:rsidRPr="00282C1B">
        <w:rPr>
          <w:rFonts w:ascii="Lato" w:hAnsi="Lato"/>
        </w:rPr>
        <w:t>dwie umowy na realizację projektów</w:t>
      </w:r>
      <w:r>
        <w:rPr>
          <w:rFonts w:ascii="Lato" w:hAnsi="Lato"/>
        </w:rPr>
        <w:t>,</w:t>
      </w:r>
      <w:r w:rsidRPr="00282C1B">
        <w:rPr>
          <w:rFonts w:ascii="Lato" w:hAnsi="Lato"/>
        </w:rPr>
        <w:t xml:space="preserve"> ale je rozwiązano. Wycofanie się</w:t>
      </w:r>
      <w:r w:rsidR="00E66B89">
        <w:rPr>
          <w:rFonts w:ascii="Lato" w:hAnsi="Lato"/>
        </w:rPr>
        <w:t xml:space="preserve"> z </w:t>
      </w:r>
      <w:r w:rsidRPr="00282C1B">
        <w:rPr>
          <w:rFonts w:ascii="Lato" w:hAnsi="Lato"/>
        </w:rPr>
        <w:t>planowanych przedsięwzięć było argumentowane między innymi niskim popytem na planowaną ofertę</w:t>
      </w:r>
      <w:r w:rsidR="00E66B89">
        <w:rPr>
          <w:rFonts w:ascii="Lato" w:hAnsi="Lato"/>
        </w:rPr>
        <w:t xml:space="preserve"> i </w:t>
      </w:r>
      <w:r w:rsidRPr="00282C1B">
        <w:rPr>
          <w:rFonts w:ascii="Lato" w:hAnsi="Lato"/>
        </w:rPr>
        <w:t>brakiem zainteresowania nią ze strony odbiorców ostatecznych.</w:t>
      </w:r>
    </w:p>
    <w:p w14:paraId="5C663DBD" w14:textId="77777777" w:rsidR="00F00EE3" w:rsidRPr="00E14F24" w:rsidRDefault="00F00EE3" w:rsidP="00F00EE3">
      <w:pPr>
        <w:pStyle w:val="Bezodstpw"/>
        <w:spacing w:before="120" w:line="288" w:lineRule="auto"/>
        <w:jc w:val="both"/>
        <w:rPr>
          <w:rFonts w:ascii="Lato" w:hAnsi="Lato"/>
        </w:rPr>
      </w:pPr>
      <w:r>
        <w:rPr>
          <w:rFonts w:ascii="Lato" w:hAnsi="Lato"/>
        </w:rPr>
        <w:t xml:space="preserve">Wskaźnik </w:t>
      </w:r>
      <w:r w:rsidRPr="00C22C26">
        <w:rPr>
          <w:rFonts w:ascii="Lato" w:hAnsi="Lato"/>
          <w:i/>
        </w:rPr>
        <w:t>Liczba przedsiębiorstw otrzymujących wsparcie finansowe inne niż dotacje</w:t>
      </w:r>
      <w:r>
        <w:rPr>
          <w:rFonts w:ascii="Lato" w:hAnsi="Lato"/>
          <w:b/>
          <w:i/>
        </w:rPr>
        <w:t xml:space="preserve"> </w:t>
      </w:r>
      <w:r>
        <w:rPr>
          <w:rFonts w:ascii="Lato" w:hAnsi="Lato"/>
        </w:rPr>
        <w:t>jest stricte powiązany</w:t>
      </w:r>
      <w:r w:rsidR="00E66B89">
        <w:rPr>
          <w:rFonts w:ascii="Lato" w:hAnsi="Lato"/>
        </w:rPr>
        <w:t xml:space="preserve"> z </w:t>
      </w:r>
      <w:r>
        <w:rPr>
          <w:rFonts w:ascii="Lato" w:hAnsi="Lato"/>
          <w:i/>
        </w:rPr>
        <w:t>Działaniem</w:t>
      </w:r>
      <w:r w:rsidRPr="00F70F0E">
        <w:rPr>
          <w:rFonts w:ascii="Lato" w:hAnsi="Lato"/>
          <w:i/>
        </w:rPr>
        <w:t xml:space="preserve"> 1.17 Wzmocnienie procesu wsparcia </w:t>
      </w:r>
      <w:r>
        <w:rPr>
          <w:rFonts w:ascii="Lato" w:hAnsi="Lato"/>
          <w:i/>
        </w:rPr>
        <w:t>firm</w:t>
      </w:r>
      <w:r w:rsidR="00E66B89">
        <w:rPr>
          <w:rFonts w:ascii="Lato" w:hAnsi="Lato"/>
          <w:i/>
        </w:rPr>
        <w:t xml:space="preserve"> w </w:t>
      </w:r>
      <w:r>
        <w:rPr>
          <w:rFonts w:ascii="Lato" w:hAnsi="Lato"/>
          <w:i/>
        </w:rPr>
        <w:t>początkowej fazie rozwoju</w:t>
      </w:r>
      <w:r w:rsidR="00E66B89">
        <w:rPr>
          <w:rFonts w:ascii="Lato" w:hAnsi="Lato"/>
          <w:i/>
        </w:rPr>
        <w:t xml:space="preserve"> i </w:t>
      </w:r>
      <w:r>
        <w:rPr>
          <w:rFonts w:ascii="Lato" w:hAnsi="Lato"/>
        </w:rPr>
        <w:t xml:space="preserve">wsparciem ostatecznych odbiorców przez wybranych przez Menadżera Funduszu Funduszy pośredników finansowych. </w:t>
      </w:r>
    </w:p>
    <w:p w14:paraId="595B5D37" w14:textId="77777777" w:rsidR="00F00EE3" w:rsidRDefault="00F00EE3" w:rsidP="00F00EE3">
      <w:pPr>
        <w:pStyle w:val="Bezodstpw"/>
        <w:spacing w:before="120" w:line="288" w:lineRule="auto"/>
        <w:jc w:val="both"/>
        <w:rPr>
          <w:rFonts w:ascii="Lato" w:hAnsi="Lato"/>
        </w:rPr>
      </w:pPr>
      <w:r>
        <w:rPr>
          <w:rFonts w:ascii="Lato" w:hAnsi="Lato"/>
        </w:rPr>
        <w:t>Jeżeli chodzi</w:t>
      </w:r>
      <w:r w:rsidR="00E66B89">
        <w:rPr>
          <w:rFonts w:ascii="Lato" w:hAnsi="Lato"/>
        </w:rPr>
        <w:t xml:space="preserve"> o </w:t>
      </w:r>
      <w:r>
        <w:rPr>
          <w:rFonts w:ascii="Lato" w:hAnsi="Lato"/>
        </w:rPr>
        <w:t xml:space="preserve">wskaźnik </w:t>
      </w:r>
      <w:r w:rsidRPr="00C22C26">
        <w:rPr>
          <w:rFonts w:ascii="Lato" w:hAnsi="Lato"/>
          <w:i/>
        </w:rPr>
        <w:t>Liczba przedsiębiorstw otrzymujących wsparcie niefinansowe</w:t>
      </w:r>
      <w:r>
        <w:rPr>
          <w:rFonts w:ascii="Lato" w:hAnsi="Lato"/>
          <w:i/>
        </w:rPr>
        <w:t xml:space="preserve"> </w:t>
      </w:r>
      <w:r>
        <w:rPr>
          <w:rFonts w:ascii="Lato" w:hAnsi="Lato"/>
        </w:rPr>
        <w:t xml:space="preserve">to jego postęp kształtuje się podobnie do postępu wskaźnika </w:t>
      </w:r>
      <w:r w:rsidRPr="00F57292">
        <w:rPr>
          <w:rFonts w:ascii="Lato" w:hAnsi="Lato"/>
          <w:i/>
        </w:rPr>
        <w:t>Liczba przedsiębiorstw otrzymujących wsparcie (CI)</w:t>
      </w:r>
      <w:r>
        <w:rPr>
          <w:rFonts w:ascii="Lato" w:hAnsi="Lato"/>
          <w:i/>
        </w:rPr>
        <w:t xml:space="preserve">. </w:t>
      </w:r>
      <w:r>
        <w:rPr>
          <w:rFonts w:ascii="Lato" w:hAnsi="Lato"/>
        </w:rPr>
        <w:t>Ustawiona na etapie programowania interwencji wartość docelowa wskaźnika zakładała wsparcie finansowe inne niż dotacja dla 435 przedsiębiorstw. Obecnie zakontraktowano wsparcie dla 254 firm co stanowi 58,4% celu na koniec roku 2023. Wnioski</w:t>
      </w:r>
      <w:r w:rsidR="00E66B89">
        <w:rPr>
          <w:rFonts w:ascii="Lato" w:hAnsi="Lato"/>
        </w:rPr>
        <w:t xml:space="preserve"> o </w:t>
      </w:r>
      <w:r>
        <w:rPr>
          <w:rFonts w:ascii="Lato" w:hAnsi="Lato"/>
        </w:rPr>
        <w:t>płatność potwierdziły udzielenie przedmiotowego wsparcia 162 przedsiębiorstwom co stanowi 37,2%.</w:t>
      </w:r>
    </w:p>
    <w:p w14:paraId="2113F3DA" w14:textId="77777777" w:rsidR="00F00EE3" w:rsidRPr="00962D9A" w:rsidRDefault="00F00EE3" w:rsidP="00F00EE3">
      <w:pPr>
        <w:pStyle w:val="Bezodstpw"/>
        <w:spacing w:before="120" w:after="120" w:line="288" w:lineRule="auto"/>
        <w:jc w:val="both"/>
        <w:rPr>
          <w:rFonts w:ascii="Lato" w:hAnsi="Lato"/>
        </w:rPr>
      </w:pPr>
      <w:r>
        <w:rPr>
          <w:rFonts w:ascii="Lato" w:hAnsi="Lato"/>
        </w:rPr>
        <w:t xml:space="preserve">Z uwagi na fakt, iż wskaźnik ten realizowany jest za sprawą </w:t>
      </w:r>
      <w:r w:rsidRPr="00F70F0E">
        <w:rPr>
          <w:rFonts w:ascii="Lato" w:hAnsi="Lato"/>
          <w:i/>
        </w:rPr>
        <w:t xml:space="preserve">Działania 1.17 Wzmocnienie procesu wsparcia </w:t>
      </w:r>
      <w:r>
        <w:rPr>
          <w:rFonts w:ascii="Lato" w:hAnsi="Lato"/>
          <w:i/>
        </w:rPr>
        <w:t>firm</w:t>
      </w:r>
      <w:r w:rsidR="00E66B89">
        <w:rPr>
          <w:rFonts w:ascii="Lato" w:hAnsi="Lato"/>
          <w:i/>
        </w:rPr>
        <w:t xml:space="preserve"> w </w:t>
      </w:r>
      <w:r>
        <w:rPr>
          <w:rFonts w:ascii="Lato" w:hAnsi="Lato"/>
          <w:i/>
        </w:rPr>
        <w:t>początkowej fazie rozwoju,</w:t>
      </w:r>
      <w:r w:rsidR="00E66B89">
        <w:rPr>
          <w:rFonts w:ascii="Lato" w:hAnsi="Lato"/>
          <w:i/>
        </w:rPr>
        <w:t xml:space="preserve"> w </w:t>
      </w:r>
      <w:r>
        <w:rPr>
          <w:rFonts w:ascii="Lato" w:hAnsi="Lato"/>
        </w:rPr>
        <w:t>przypadku którego należy spodziewać się wydatkowania środków na poziom ostatecznego beneficjenta nie ma ryzyka dla niezrealizowania wartości docelowej wskaźnika.</w:t>
      </w:r>
    </w:p>
    <w:p w14:paraId="157EC91D" w14:textId="77777777" w:rsidR="00F00EE3" w:rsidRDefault="00F00EE3" w:rsidP="00F00EE3">
      <w:pPr>
        <w:pStyle w:val="Bezodstpw"/>
        <w:spacing w:before="120" w:line="288" w:lineRule="auto"/>
        <w:jc w:val="both"/>
        <w:rPr>
          <w:rFonts w:ascii="Lato" w:hAnsi="Lato"/>
        </w:rPr>
      </w:pPr>
      <w:r>
        <w:rPr>
          <w:rFonts w:ascii="Lato" w:hAnsi="Lato"/>
        </w:rPr>
        <w:t xml:space="preserve">Również wskaźnik </w:t>
      </w:r>
      <w:r w:rsidRPr="00C22C26">
        <w:rPr>
          <w:rFonts w:ascii="Lato" w:hAnsi="Lato"/>
          <w:i/>
        </w:rPr>
        <w:t>Liczba nowych wspieranych przedsiębiorstw</w:t>
      </w:r>
      <w:r>
        <w:rPr>
          <w:rFonts w:ascii="Lato" w:hAnsi="Lato"/>
          <w:i/>
        </w:rPr>
        <w:t xml:space="preserve"> </w:t>
      </w:r>
      <w:r w:rsidRPr="00C22C26">
        <w:rPr>
          <w:rFonts w:ascii="Lato" w:hAnsi="Lato"/>
        </w:rPr>
        <w:t>wynika wyłącznie ze skuteczności</w:t>
      </w:r>
      <w:r>
        <w:rPr>
          <w:rFonts w:ascii="Lato" w:hAnsi="Lato"/>
          <w:i/>
        </w:rPr>
        <w:t xml:space="preserve"> </w:t>
      </w:r>
      <w:r w:rsidRPr="00F70F0E">
        <w:rPr>
          <w:rFonts w:ascii="Lato" w:hAnsi="Lato"/>
          <w:i/>
        </w:rPr>
        <w:t xml:space="preserve">Działania 1.17 Wzmocnienie procesu wsparcia </w:t>
      </w:r>
      <w:r>
        <w:rPr>
          <w:rFonts w:ascii="Lato" w:hAnsi="Lato"/>
          <w:i/>
        </w:rPr>
        <w:t xml:space="preserve">firm. </w:t>
      </w:r>
      <w:r>
        <w:rPr>
          <w:rFonts w:ascii="Lato" w:hAnsi="Lato"/>
        </w:rPr>
        <w:t>Przedsiębiorstwa, którym pośrednicy finansowi udzielili dotychczas wsparcia stanowią zaledwie 10,0% wartości docelowej wynoszącej 261 przedsiębiorstw.</w:t>
      </w:r>
    </w:p>
    <w:p w14:paraId="3BF62BFC" w14:textId="77777777" w:rsidR="00F00EE3" w:rsidRPr="00CD7F9D" w:rsidRDefault="00F00EE3" w:rsidP="00F00EE3">
      <w:pPr>
        <w:pStyle w:val="Bezodstpw"/>
        <w:spacing w:before="120" w:line="288" w:lineRule="auto"/>
        <w:jc w:val="both"/>
        <w:rPr>
          <w:rFonts w:ascii="Lato" w:hAnsi="Lato"/>
        </w:rPr>
      </w:pPr>
      <w:r>
        <w:rPr>
          <w:rFonts w:ascii="Lato" w:hAnsi="Lato"/>
        </w:rPr>
        <w:t>Na korzyść wzrostu tempa realizacji wskaźnika przemawia zakończona już faza rozruchu, stanowiąca, że można skupić się już wyłącznie na dystrybucji instrumentów finansowych oraz zasady wynagradzania pośredników finansowych pozwalające im otrzymywać profity wprost proporcjonalnie do zwiększającej się puli beneficjentów ostatecznych.</w:t>
      </w:r>
    </w:p>
    <w:p w14:paraId="6E024334" w14:textId="77777777" w:rsidR="00F00EE3" w:rsidRDefault="00F00EE3" w:rsidP="00F00EE3">
      <w:pPr>
        <w:pStyle w:val="Bezodstpw"/>
        <w:spacing w:before="120" w:line="288" w:lineRule="auto"/>
        <w:jc w:val="both"/>
        <w:rPr>
          <w:rFonts w:ascii="Lato" w:hAnsi="Lato"/>
        </w:rPr>
      </w:pPr>
      <w:r>
        <w:rPr>
          <w:rFonts w:ascii="Lato" w:hAnsi="Lato"/>
        </w:rPr>
        <w:t xml:space="preserve">Wskaźnik mierzący </w:t>
      </w:r>
      <w:r w:rsidRPr="00C15B83">
        <w:rPr>
          <w:rFonts w:ascii="Lato" w:hAnsi="Lato"/>
          <w:i/>
        </w:rPr>
        <w:t>I</w:t>
      </w:r>
      <w:r w:rsidRPr="00C22C26">
        <w:rPr>
          <w:rFonts w:ascii="Lato" w:hAnsi="Lato"/>
          <w:i/>
        </w:rPr>
        <w:t>nwestycje prywatne uzupełniające wsparcie publiczne</w:t>
      </w:r>
      <w:r w:rsidRPr="00F57292">
        <w:rPr>
          <w:rFonts w:ascii="Lato" w:hAnsi="Lato"/>
          <w:i/>
        </w:rPr>
        <w:t xml:space="preserve"> dla przedsiębiorstw (dotacje) (CI)</w:t>
      </w:r>
      <w:r>
        <w:rPr>
          <w:rFonts w:ascii="Lato" w:hAnsi="Lato"/>
          <w:i/>
        </w:rPr>
        <w:t xml:space="preserve"> </w:t>
      </w:r>
      <w:r>
        <w:rPr>
          <w:rFonts w:ascii="Lato" w:hAnsi="Lato"/>
        </w:rPr>
        <w:t>wykazuje najwyższy, spośród wszystkich omawianych wskaźników, poziom realizacji na poziomie złożonych wniosków</w:t>
      </w:r>
      <w:r w:rsidR="00E66B89">
        <w:rPr>
          <w:rFonts w:ascii="Lato" w:hAnsi="Lato"/>
        </w:rPr>
        <w:t xml:space="preserve"> o </w:t>
      </w:r>
      <w:r>
        <w:rPr>
          <w:rFonts w:ascii="Lato" w:hAnsi="Lato"/>
        </w:rPr>
        <w:t>płatność, który wynosi 41,6%. Również poziom kontraktacji wynoszący 84,7% należy ocenić pozytywnie.</w:t>
      </w:r>
    </w:p>
    <w:p w14:paraId="67D907DE" w14:textId="77777777" w:rsidR="00F00EE3" w:rsidRDefault="00F00EE3" w:rsidP="00F00EE3">
      <w:pPr>
        <w:pStyle w:val="Bezodstpw"/>
        <w:spacing w:before="120" w:line="288" w:lineRule="auto"/>
        <w:jc w:val="both"/>
        <w:rPr>
          <w:rFonts w:ascii="Lato" w:hAnsi="Lato"/>
        </w:rPr>
      </w:pPr>
      <w:r>
        <w:rPr>
          <w:rFonts w:ascii="Lato" w:hAnsi="Lato"/>
        </w:rPr>
        <w:t xml:space="preserve">Przedmiotowy wskaźnik również realizowany jest za sprawą dwóch działań: </w:t>
      </w:r>
      <w:r w:rsidRPr="00C22C26">
        <w:rPr>
          <w:rFonts w:ascii="Lato" w:hAnsi="Lato"/>
          <w:i/>
        </w:rPr>
        <w:t>Działania</w:t>
      </w:r>
      <w:r>
        <w:rPr>
          <w:rFonts w:ascii="Lato" w:hAnsi="Lato"/>
        </w:rPr>
        <w:t xml:space="preserve"> </w:t>
      </w:r>
      <w:r w:rsidRPr="00282C1B">
        <w:rPr>
          <w:rFonts w:ascii="Lato" w:hAnsi="Lato"/>
          <w:i/>
        </w:rPr>
        <w:t>1.15 Wsparcie kooperacji przedsiębiorstw</w:t>
      </w:r>
      <w:r>
        <w:rPr>
          <w:rFonts w:ascii="Lato" w:hAnsi="Lato"/>
        </w:rPr>
        <w:t>,</w:t>
      </w:r>
      <w:r w:rsidR="00E66B89">
        <w:rPr>
          <w:rFonts w:ascii="Lato" w:hAnsi="Lato"/>
        </w:rPr>
        <w:t xml:space="preserve"> w </w:t>
      </w:r>
      <w:r>
        <w:rPr>
          <w:rFonts w:ascii="Lato" w:hAnsi="Lato"/>
        </w:rPr>
        <w:t xml:space="preserve">przypadku którego zakontraktowano 50,8% alokacji oraz </w:t>
      </w:r>
      <w:r w:rsidRPr="00282C1B">
        <w:rPr>
          <w:rFonts w:ascii="Lato" w:hAnsi="Lato"/>
          <w:i/>
        </w:rPr>
        <w:t>Działania 1.16 Zwiększenie dostępu do usług Instytucji Otoczenia Biznesu</w:t>
      </w:r>
      <w:r>
        <w:rPr>
          <w:rFonts w:ascii="Lato" w:hAnsi="Lato"/>
        </w:rPr>
        <w:t>,</w:t>
      </w:r>
      <w:r w:rsidR="00E66B89">
        <w:rPr>
          <w:rFonts w:ascii="Lato" w:hAnsi="Lato"/>
        </w:rPr>
        <w:t xml:space="preserve"> w </w:t>
      </w:r>
      <w:r>
        <w:t xml:space="preserve">ramach którego aktualnie nie ma podpisanych </w:t>
      </w:r>
      <w:r>
        <w:lastRenderedPageBreak/>
        <w:t>umów</w:t>
      </w:r>
      <w:r w:rsidR="00E66B89">
        <w:t xml:space="preserve"> o </w:t>
      </w:r>
      <w:r>
        <w:t>dofinansowanie</w:t>
      </w:r>
      <w:r>
        <w:rPr>
          <w:rFonts w:ascii="Lato" w:hAnsi="Lato"/>
        </w:rPr>
        <w:t>.</w:t>
      </w:r>
      <w:r w:rsidR="00E66B89">
        <w:rPr>
          <w:rFonts w:ascii="Lato" w:hAnsi="Lato"/>
        </w:rPr>
        <w:t xml:space="preserve"> Z </w:t>
      </w:r>
      <w:r>
        <w:rPr>
          <w:rFonts w:ascii="Lato" w:hAnsi="Lato"/>
        </w:rPr>
        <w:t>uwagi na tempo postępu rzeczowego</w:t>
      </w:r>
      <w:r w:rsidR="00E66B89">
        <w:rPr>
          <w:rFonts w:ascii="Lato" w:hAnsi="Lato"/>
        </w:rPr>
        <w:t xml:space="preserve"> w </w:t>
      </w:r>
      <w:r>
        <w:rPr>
          <w:rFonts w:ascii="Lato" w:hAnsi="Lato"/>
        </w:rPr>
        <w:t>stosunku do wydatkowania środków, należy uznać, że realizacja przedmiotowego wskaźnika nie jest zagrożona.</w:t>
      </w:r>
    </w:p>
    <w:p w14:paraId="0C0FB1BC" w14:textId="77777777" w:rsidR="00F00EE3" w:rsidRPr="00BF05C8" w:rsidRDefault="00F00EE3" w:rsidP="00F00EE3">
      <w:pPr>
        <w:pStyle w:val="Bezodstpw"/>
        <w:spacing w:before="120" w:line="288" w:lineRule="auto"/>
        <w:jc w:val="both"/>
        <w:rPr>
          <w:rFonts w:ascii="Lato" w:hAnsi="Lato"/>
        </w:rPr>
      </w:pPr>
      <w:r>
        <w:rPr>
          <w:rFonts w:ascii="Lato" w:hAnsi="Lato"/>
        </w:rPr>
        <w:t xml:space="preserve">Podobny poziom kontraktacji (82,7%) wykazuje wskaźnik </w:t>
      </w:r>
      <w:r w:rsidRPr="00C22C26">
        <w:rPr>
          <w:rFonts w:ascii="Lato" w:hAnsi="Lato"/>
        </w:rPr>
        <w:t>I</w:t>
      </w:r>
      <w:r w:rsidRPr="00C22C26">
        <w:rPr>
          <w:rFonts w:ascii="Lato" w:hAnsi="Lato"/>
          <w:i/>
        </w:rPr>
        <w:t>nwestycje prywatne uzupełniające wsparcie publiczne dla przedsiębiorstw (inne niż dotacje).</w:t>
      </w:r>
      <w:r>
        <w:rPr>
          <w:rFonts w:ascii="Lato" w:hAnsi="Lato"/>
          <w:i/>
        </w:rPr>
        <w:t xml:space="preserve"> </w:t>
      </w:r>
      <w:r>
        <w:rPr>
          <w:rFonts w:ascii="Lato" w:hAnsi="Lato"/>
        </w:rPr>
        <w:t>Osiągnięcie wskaźnika wynika</w:t>
      </w:r>
      <w:r w:rsidR="00E66B89">
        <w:rPr>
          <w:rFonts w:ascii="Lato" w:hAnsi="Lato"/>
        </w:rPr>
        <w:t xml:space="preserve"> z </w:t>
      </w:r>
      <w:r>
        <w:rPr>
          <w:rFonts w:ascii="Lato" w:hAnsi="Lato"/>
        </w:rPr>
        <w:t>jednego projektu pozakonkursowego</w:t>
      </w:r>
      <w:r w:rsidRPr="00BF05C8">
        <w:rPr>
          <w:rFonts w:ascii="Lato" w:hAnsi="Lato"/>
        </w:rPr>
        <w:t>, którego beneficjentem jest Bank Gospodarstwa Krajowego pełniący funkcję Menadżera Funduszu Funduszy Pomorza Zachodniego Jeremie 2.</w:t>
      </w:r>
    </w:p>
    <w:p w14:paraId="512223DB" w14:textId="77777777" w:rsidR="00F00EE3" w:rsidRPr="008A06CB" w:rsidRDefault="00F00EE3" w:rsidP="00F00EE3">
      <w:pPr>
        <w:pStyle w:val="Bezodstpw"/>
        <w:spacing w:before="120" w:after="120" w:line="288" w:lineRule="auto"/>
        <w:jc w:val="both"/>
        <w:rPr>
          <w:rFonts w:ascii="Lato" w:hAnsi="Lato"/>
        </w:rPr>
      </w:pPr>
      <w:r w:rsidRPr="008A06CB">
        <w:rPr>
          <w:rFonts w:ascii="Lato" w:hAnsi="Lato"/>
        </w:rPr>
        <w:t>Brak jest natomiast jakiejkolwiek kontraktacji</w:t>
      </w:r>
      <w:r w:rsidR="00E66B89">
        <w:rPr>
          <w:rFonts w:ascii="Lato" w:hAnsi="Lato"/>
        </w:rPr>
        <w:t xml:space="preserve"> w </w:t>
      </w:r>
      <w:r w:rsidRPr="008A06CB">
        <w:rPr>
          <w:rFonts w:ascii="Lato" w:hAnsi="Lato"/>
        </w:rPr>
        <w:t xml:space="preserve">ramach działania realizującego wskaźnik </w:t>
      </w:r>
      <w:r w:rsidRPr="00C22C26">
        <w:rPr>
          <w:rFonts w:ascii="Lato" w:hAnsi="Lato"/>
        </w:rPr>
        <w:t>liczby zaawansowanych usług (nowych lub ulepszonych) świadczonych przez IOB.</w:t>
      </w:r>
      <w:r w:rsidR="00E66B89">
        <w:rPr>
          <w:rFonts w:ascii="Lato" w:hAnsi="Lato"/>
          <w:b/>
          <w:i/>
        </w:rPr>
        <w:t xml:space="preserve"> </w:t>
      </w:r>
      <w:r w:rsidR="00E66B89" w:rsidRPr="00C15B83">
        <w:rPr>
          <w:rFonts w:ascii="Lato" w:hAnsi="Lato"/>
        </w:rPr>
        <w:t>O</w:t>
      </w:r>
      <w:r w:rsidR="00E66B89">
        <w:rPr>
          <w:rFonts w:ascii="Lato" w:hAnsi="Lato"/>
          <w:b/>
          <w:i/>
        </w:rPr>
        <w:t> </w:t>
      </w:r>
      <w:r w:rsidRPr="008A06CB">
        <w:rPr>
          <w:rFonts w:ascii="Lato" w:hAnsi="Lato"/>
        </w:rPr>
        <w:t>realizacji wskaźnika będziemy mogli mówić po pozytywnym rozstrzygnięciu konkursu ogłoszonego</w:t>
      </w:r>
      <w:r w:rsidR="00E66B89">
        <w:rPr>
          <w:rFonts w:ascii="Lato" w:hAnsi="Lato"/>
        </w:rPr>
        <w:t xml:space="preserve"> w </w:t>
      </w:r>
      <w:r w:rsidRPr="008A06CB">
        <w:rPr>
          <w:rFonts w:ascii="Lato" w:hAnsi="Lato"/>
        </w:rPr>
        <w:t xml:space="preserve">ramach </w:t>
      </w:r>
      <w:r w:rsidRPr="008A06CB">
        <w:rPr>
          <w:rFonts w:ascii="Lato" w:hAnsi="Lato"/>
          <w:i/>
        </w:rPr>
        <w:t>Działania 1.16 Zwiększenie dostępu do usług Instytucji Otoczenia Biznesu.</w:t>
      </w:r>
      <w:r w:rsidRPr="008A06CB">
        <w:rPr>
          <w:rFonts w:ascii="Lato" w:hAnsi="Lato"/>
        </w:rPr>
        <w:t xml:space="preserve"> </w:t>
      </w:r>
    </w:p>
    <w:p w14:paraId="25C668FE" w14:textId="77777777" w:rsidR="00F00EE3" w:rsidRPr="008A06CB" w:rsidRDefault="00F00EE3" w:rsidP="00F00EE3">
      <w:pPr>
        <w:pStyle w:val="Nagwek4"/>
        <w:numPr>
          <w:ilvl w:val="0"/>
          <w:numId w:val="0"/>
        </w:numPr>
        <w:spacing w:before="120"/>
        <w:rPr>
          <w:rFonts w:ascii="Lato" w:eastAsia="Calibri" w:hAnsi="Lato"/>
        </w:rPr>
      </w:pPr>
      <w:r w:rsidRPr="008A06CB">
        <w:rPr>
          <w:rFonts w:ascii="Lato" w:eastAsia="Calibri" w:hAnsi="Lato"/>
        </w:rPr>
        <w:t xml:space="preserve">Wskaźniki rezultatu strategicznego </w:t>
      </w:r>
    </w:p>
    <w:p w14:paraId="47B6A959" w14:textId="77777777" w:rsidR="00F00EE3" w:rsidRPr="008A06CB" w:rsidRDefault="00F00EE3" w:rsidP="00F00EE3">
      <w:r w:rsidRPr="008A06CB">
        <w:t xml:space="preserve">W priorytecie inwestycyjnym 3a wybrano dwa wskaźniki strategiczne: </w:t>
      </w:r>
      <w:r w:rsidRPr="00C22C26">
        <w:rPr>
          <w:i/>
        </w:rPr>
        <w:t>Nakłady inwestycyjne</w:t>
      </w:r>
      <w:r w:rsidR="00E66B89">
        <w:rPr>
          <w:i/>
        </w:rPr>
        <w:t xml:space="preserve"> w </w:t>
      </w:r>
      <w:r w:rsidRPr="00C22C26">
        <w:rPr>
          <w:i/>
        </w:rPr>
        <w:t>przedsiębiorstwach</w:t>
      </w:r>
      <w:r w:rsidR="00E66B89">
        <w:rPr>
          <w:i/>
        </w:rPr>
        <w:t xml:space="preserve"> w </w:t>
      </w:r>
      <w:r w:rsidRPr="00C22C26">
        <w:rPr>
          <w:i/>
        </w:rPr>
        <w:t>stosunku do PKB (%)</w:t>
      </w:r>
      <w:r w:rsidRPr="008A06CB">
        <w:t xml:space="preserve"> oraz </w:t>
      </w:r>
      <w:r w:rsidRPr="00C22C26">
        <w:rPr>
          <w:i/>
        </w:rPr>
        <w:t>Odsetek przedsiębiorstw przemysłowych, które współpracowały</w:t>
      </w:r>
      <w:r w:rsidR="00E66B89">
        <w:rPr>
          <w:i/>
        </w:rPr>
        <w:t xml:space="preserve"> w </w:t>
      </w:r>
      <w:r w:rsidRPr="00C22C26">
        <w:rPr>
          <w:i/>
        </w:rPr>
        <w:t>zakresie działalności innowacyjnej (%)</w:t>
      </w:r>
      <w:r w:rsidRPr="00F31406">
        <w:t>.</w:t>
      </w:r>
    </w:p>
    <w:p w14:paraId="458B8357" w14:textId="77777777" w:rsidR="00F00EE3" w:rsidRPr="00F31406" w:rsidRDefault="00F00EE3" w:rsidP="00F00EE3">
      <w:r w:rsidRPr="008A06CB">
        <w:t>Wartość docelowa wskaźnika nakładów inwestycyjnych</w:t>
      </w:r>
      <w:r w:rsidR="00E66B89">
        <w:t xml:space="preserve"> w </w:t>
      </w:r>
      <w:r w:rsidRPr="008A06CB">
        <w:t>stosunku do PKB</w:t>
      </w:r>
      <w:r w:rsidR="00E66B89">
        <w:t xml:space="preserve"> w </w:t>
      </w:r>
      <w:r w:rsidRPr="008A06CB">
        <w:t>2023 została ustalona na poziomie 5%.</w:t>
      </w:r>
      <w:r w:rsidR="00E66B89">
        <w:t xml:space="preserve"> W </w:t>
      </w:r>
      <w:r w:rsidRPr="008A06CB">
        <w:t>ciągu ostatnich 10 lat we wszystkich województwach zaobserwowano tylko jeden przypadek, kiedy wartość tego wskaźnika spadła poniżej 5% (na 160 obserwacji jedna była poniżej 5%, czyli wartości docelowej wyznaczonej na rok 2023). Jest zatem wysoce prawdopodobne, że wartość docelowa zostanie osiągnięta.</w:t>
      </w:r>
      <w:r w:rsidR="00E66B89">
        <w:t xml:space="preserve"> W </w:t>
      </w:r>
      <w:r>
        <w:t xml:space="preserve">tym miejscu należy zaznaczyć, że na wartość tego wskaźnika </w:t>
      </w:r>
      <w:r>
        <w:rPr>
          <w:i/>
        </w:rPr>
        <w:t>in plus</w:t>
      </w:r>
      <w:r>
        <w:t xml:space="preserve"> powinny wpływać takie endogeniczne czynniki makroekonomiczne jak np. wzrost PKB, czy relatywnie szybki wzrost konsumpcji oraz historycznie tani pieniądz kredytowy. Czynniki te sugerują rosnący</w:t>
      </w:r>
      <w:r w:rsidR="00E66B89">
        <w:t xml:space="preserve"> i </w:t>
      </w:r>
      <w:r>
        <w:t>stabilny popyt oraz relatywnie wysoką rentowność projektów inwestycyjnych (np. zakup kapitału rzeczowego, ale również inwestycje</w:t>
      </w:r>
      <w:r w:rsidR="00E66B89">
        <w:t xml:space="preserve"> w </w:t>
      </w:r>
      <w:r>
        <w:t xml:space="preserve">kapitał ludzki). </w:t>
      </w:r>
      <w:r>
        <w:rPr>
          <w:i/>
        </w:rPr>
        <w:t>In minus</w:t>
      </w:r>
      <w:r>
        <w:t xml:space="preserve"> na wzrost inwestycji wpływają elementy geopolityczne (np. tzw. Brexit), prognozy spowolnienia gospodarki światowej (w tym naszego głównego partnera handlowego, którym są Niemcy). Dodatkowo </w:t>
      </w:r>
      <w:r>
        <w:rPr>
          <w:i/>
        </w:rPr>
        <w:t>in minus</w:t>
      </w:r>
      <w:r>
        <w:t xml:space="preserve"> na inwestycje przedsiębiorstw wpływa sytuacja</w:t>
      </w:r>
      <w:r w:rsidR="00E66B89">
        <w:t xml:space="preserve"> w </w:t>
      </w:r>
      <w:r>
        <w:t>Polsce związana np.</w:t>
      </w:r>
      <w:r w:rsidR="00E66B89">
        <w:t xml:space="preserve"> z </w:t>
      </w:r>
      <w:r>
        <w:t>przeregulowanie</w:t>
      </w:r>
      <w:r w:rsidR="00C15B83">
        <w:t>m</w:t>
      </w:r>
      <w:r>
        <w:t xml:space="preserve"> systemu podatkowego, przeregulowaniem działalności przedsiębiorczej, brakiem jednolitej interpretacji aktów prawnych itp. (patrz np. Dzienis</w:t>
      </w:r>
      <w:r w:rsidR="00E66B89">
        <w:t xml:space="preserve"> i </w:t>
      </w:r>
      <w:r>
        <w:t>inni, 2019</w:t>
      </w:r>
      <w:r>
        <w:rPr>
          <w:rStyle w:val="Odwoanieprzypisudolnego"/>
        </w:rPr>
        <w:footnoteReference w:id="6"/>
      </w:r>
      <w:r>
        <w:t>).</w:t>
      </w:r>
    </w:p>
    <w:p w14:paraId="143A6970" w14:textId="77777777" w:rsidR="00F00EE3" w:rsidRPr="008A06CB" w:rsidRDefault="00F00EE3" w:rsidP="006E34DC">
      <w:pPr>
        <w:pStyle w:val="Legenda"/>
        <w:spacing w:after="0"/>
      </w:pPr>
      <w:bookmarkStart w:id="62" w:name="_Toc5311874"/>
      <w:r w:rsidRPr="008A06CB">
        <w:lastRenderedPageBreak/>
        <w:t xml:space="preserve">Wykres </w:t>
      </w:r>
      <w:r>
        <w:fldChar w:fldCharType="begin"/>
      </w:r>
      <w:r>
        <w:instrText xml:space="preserve"> SEQ Wykres \* ARABIC </w:instrText>
      </w:r>
      <w:r>
        <w:fldChar w:fldCharType="separate"/>
      </w:r>
      <w:r w:rsidR="00763345">
        <w:rPr>
          <w:noProof/>
        </w:rPr>
        <w:t>8</w:t>
      </w:r>
      <w:r>
        <w:fldChar w:fldCharType="end"/>
      </w:r>
      <w:r w:rsidRPr="008A06CB">
        <w:t xml:space="preserve"> Nakłady inwestycyjne</w:t>
      </w:r>
      <w:r w:rsidR="00E66B89">
        <w:t xml:space="preserve"> w </w:t>
      </w:r>
      <w:r w:rsidRPr="008A06CB">
        <w:t>przedsiębiorstwach</w:t>
      </w:r>
      <w:r w:rsidR="00E66B89">
        <w:t xml:space="preserve"> w </w:t>
      </w:r>
      <w:r w:rsidRPr="008A06CB">
        <w:t>stosunku do PKB</w:t>
      </w:r>
      <w:r w:rsidR="00E66B89">
        <w:t xml:space="preserve"> w </w:t>
      </w:r>
      <w:r w:rsidRPr="008A06CB">
        <w:t>%</w:t>
      </w:r>
      <w:bookmarkEnd w:id="62"/>
    </w:p>
    <w:p w14:paraId="1FEBB672" w14:textId="33C6EC1B" w:rsidR="00F00EE3" w:rsidRDefault="00C35619" w:rsidP="00CF71F2">
      <w:pPr>
        <w:keepNext/>
        <w:spacing w:before="0" w:after="0"/>
      </w:pPr>
      <w:r w:rsidRPr="00D508B6">
        <w:rPr>
          <w:noProof/>
        </w:rPr>
        <w:drawing>
          <wp:inline distT="0" distB="0" distL="0" distR="0" wp14:anchorId="0EA92FA8" wp14:editId="239F5D31">
            <wp:extent cx="5762625" cy="2771775"/>
            <wp:effectExtent l="0" t="0" r="9525" b="9525"/>
            <wp:docPr id="26" name="Obraz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30C2F534" w14:textId="4560385E" w:rsidR="00F00EE3" w:rsidRPr="002A5FDF" w:rsidRDefault="00F00EE3" w:rsidP="005076BF">
      <w:pPr>
        <w:spacing w:before="0"/>
        <w:rPr>
          <w:rFonts w:cs="Calibri"/>
          <w:i/>
          <w:sz w:val="18"/>
        </w:rPr>
      </w:pPr>
      <w:r w:rsidRPr="002A5FDF">
        <w:rPr>
          <w:rFonts w:cs="Calibri"/>
          <w:i/>
          <w:sz w:val="18"/>
        </w:rPr>
        <w:t>Źródło: Bank danych regionalnych, GUS</w:t>
      </w:r>
      <w:r w:rsidR="00C56787" w:rsidRPr="002A5FDF">
        <w:rPr>
          <w:rFonts w:cs="Calibri"/>
          <w:i/>
          <w:sz w:val="18"/>
        </w:rPr>
        <w:t>.</w:t>
      </w:r>
    </w:p>
    <w:p w14:paraId="424591CD" w14:textId="77777777" w:rsidR="00F00EE3" w:rsidRPr="008A06CB" w:rsidRDefault="00F00EE3" w:rsidP="00F00EE3">
      <w:r w:rsidRPr="008A06CB">
        <w:t>Również</w:t>
      </w:r>
      <w:r w:rsidR="00E66B89">
        <w:t xml:space="preserve"> w </w:t>
      </w:r>
      <w:r w:rsidRPr="008A06CB">
        <w:t xml:space="preserve">przypadku drugiego wskaźnika, czyli </w:t>
      </w:r>
      <w:r>
        <w:t>o</w:t>
      </w:r>
      <w:r w:rsidRPr="008A06CB">
        <w:t>dsetka przedsiębiorstw przemysłowych, które współpracowały</w:t>
      </w:r>
      <w:r w:rsidR="00E66B89">
        <w:t xml:space="preserve"> w </w:t>
      </w:r>
      <w:r w:rsidRPr="008A06CB">
        <w:t>zakresie działalności innowacyjnej</w:t>
      </w:r>
      <w:r>
        <w:t xml:space="preserve"> </w:t>
      </w:r>
      <w:r w:rsidRPr="008A06CB">
        <w:t>wartość docelowa została ustalona na bardzo niskim poziomie (1,3%</w:t>
      </w:r>
      <w:r w:rsidR="00E66B89">
        <w:t xml:space="preserve"> w </w:t>
      </w:r>
      <w:r w:rsidRPr="008A06CB">
        <w:t>2023 r.). Dane za poprzednie lata oraz linia trendu wskazują, że również</w:t>
      </w:r>
      <w:r w:rsidR="00E66B89">
        <w:t xml:space="preserve"> w </w:t>
      </w:r>
      <w:r w:rsidRPr="008A06CB">
        <w:t>tym przypadku osiągnięcie wartości docelowej jest niezagrożone.</w:t>
      </w:r>
      <w:r>
        <w:t xml:space="preserve"> </w:t>
      </w:r>
      <w:r w:rsidRPr="008A06CB">
        <w:t>Warto zauważyć, że</w:t>
      </w:r>
      <w:r w:rsidR="00E66B89">
        <w:t xml:space="preserve"> w </w:t>
      </w:r>
      <w:r w:rsidRPr="008A06CB">
        <w:t>przypadku tego wskaźnika najniższa wartość, jaka została zaobserwowana</w:t>
      </w:r>
      <w:r w:rsidR="00E66B89">
        <w:t xml:space="preserve"> w </w:t>
      </w:r>
      <w:r w:rsidRPr="008A06CB">
        <w:t>ciągu ostatnich 13 lat to 3,2% (w 2013 roku, czyli okresie kryzysu gospodarczego oraz końcówki poprzedniej perspektywy finansowej). Zakłócenie</w:t>
      </w:r>
      <w:r w:rsidR="00E66B89">
        <w:t xml:space="preserve"> w </w:t>
      </w:r>
      <w:r w:rsidRPr="008A06CB">
        <w:t>trendzie spowodował jeden nieprzystający do pozostałych obserwacji pomiar,</w:t>
      </w:r>
      <w:r w:rsidR="00E66B89">
        <w:t xml:space="preserve"> w </w:t>
      </w:r>
      <w:r w:rsidRPr="008A06CB">
        <w:t>2007 roku, kiedy wartość wskaźnika wyniosła 18%. Dlatego na poniższym wykresie zaprezentowano wartości od 2009 r. (uwzględnienie wartości za 2007 r. może prowadzić do błędnych wniosków).</w:t>
      </w:r>
    </w:p>
    <w:p w14:paraId="01F72B03" w14:textId="77777777" w:rsidR="00F00EE3" w:rsidRPr="00826BBF" w:rsidRDefault="00F00EE3" w:rsidP="006E34DC">
      <w:pPr>
        <w:pStyle w:val="Legenda"/>
        <w:spacing w:after="0"/>
      </w:pPr>
      <w:bookmarkStart w:id="63" w:name="_Toc5311875"/>
      <w:r w:rsidRPr="008A06CB">
        <w:t xml:space="preserve">Wykres </w:t>
      </w:r>
      <w:r>
        <w:fldChar w:fldCharType="begin"/>
      </w:r>
      <w:r>
        <w:instrText xml:space="preserve"> SEQ Wykres \* ARABIC </w:instrText>
      </w:r>
      <w:r>
        <w:fldChar w:fldCharType="separate"/>
      </w:r>
      <w:r w:rsidR="00763345">
        <w:rPr>
          <w:noProof/>
        </w:rPr>
        <w:t>9</w:t>
      </w:r>
      <w:r>
        <w:fldChar w:fldCharType="end"/>
      </w:r>
      <w:r w:rsidRPr="008A06CB">
        <w:t xml:space="preserve"> Odsetek przedsiębiorstw przemysłowych, które współpracowały</w:t>
      </w:r>
      <w:r w:rsidR="00E66B89">
        <w:t xml:space="preserve"> w </w:t>
      </w:r>
      <w:r w:rsidRPr="008A06CB">
        <w:t>zakresie działalności innowacyjnej</w:t>
      </w:r>
      <w:r w:rsidR="00E66B89">
        <w:t xml:space="preserve"> w </w:t>
      </w:r>
      <w:r w:rsidRPr="008A06CB">
        <w:t>województwie zachodniopomorskim</w:t>
      </w:r>
      <w:r w:rsidR="00E66B89">
        <w:t xml:space="preserve"> w </w:t>
      </w:r>
      <w:r w:rsidRPr="008A06CB">
        <w:t>%.</w:t>
      </w:r>
      <w:bookmarkEnd w:id="63"/>
    </w:p>
    <w:p w14:paraId="0239B4C9" w14:textId="0921FA45" w:rsidR="00F00EE3" w:rsidRDefault="00C35619" w:rsidP="00CF71F2">
      <w:pPr>
        <w:spacing w:before="0" w:after="0"/>
      </w:pPr>
      <w:r w:rsidRPr="00D508B6">
        <w:rPr>
          <w:noProof/>
        </w:rPr>
        <w:drawing>
          <wp:inline distT="0" distB="0" distL="0" distR="0" wp14:anchorId="0B95FA67" wp14:editId="2582FD76">
            <wp:extent cx="5791200" cy="2619375"/>
            <wp:effectExtent l="0" t="0" r="0" b="9525"/>
            <wp:docPr id="27" name="Obraz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2619375"/>
                    </a:xfrm>
                    <a:prstGeom prst="rect">
                      <a:avLst/>
                    </a:prstGeom>
                    <a:noFill/>
                    <a:ln>
                      <a:noFill/>
                    </a:ln>
                  </pic:spPr>
                </pic:pic>
              </a:graphicData>
            </a:graphic>
          </wp:inline>
        </w:drawing>
      </w:r>
    </w:p>
    <w:p w14:paraId="7AD93A51" w14:textId="175F4B4A" w:rsidR="00F00EE3" w:rsidRPr="002A5FDF" w:rsidRDefault="00F00EE3" w:rsidP="005076BF">
      <w:pPr>
        <w:spacing w:before="0"/>
        <w:rPr>
          <w:rFonts w:cs="Calibri"/>
          <w:i/>
          <w:sz w:val="18"/>
        </w:rPr>
      </w:pPr>
      <w:r w:rsidRPr="002A5FDF">
        <w:rPr>
          <w:rFonts w:cs="Calibri"/>
          <w:i/>
          <w:sz w:val="18"/>
        </w:rPr>
        <w:t>Źródło: STRATEG, GUS</w:t>
      </w:r>
      <w:r w:rsidR="00C56787" w:rsidRPr="002A5FDF">
        <w:rPr>
          <w:rFonts w:cs="Calibri"/>
          <w:i/>
          <w:sz w:val="18"/>
        </w:rPr>
        <w:t>.</w:t>
      </w:r>
    </w:p>
    <w:p w14:paraId="30475487" w14:textId="77777777" w:rsidR="00F24C99" w:rsidRDefault="00F24C99">
      <w:pPr>
        <w:spacing w:before="0" w:after="0" w:line="240" w:lineRule="auto"/>
        <w:jc w:val="left"/>
        <w:rPr>
          <w:rFonts w:eastAsia="Calibri"/>
          <w:b/>
          <w:bCs/>
          <w:i/>
          <w:iCs/>
          <w:color w:val="4F81BD"/>
          <w:lang w:val="x-none" w:eastAsia="x-none"/>
        </w:rPr>
      </w:pPr>
      <w:r>
        <w:rPr>
          <w:rFonts w:eastAsia="Calibri"/>
        </w:rPr>
        <w:br w:type="page"/>
      </w:r>
    </w:p>
    <w:p w14:paraId="7A9F2835" w14:textId="411DD37E" w:rsidR="00F00EE3" w:rsidRPr="008A06CB" w:rsidRDefault="00F00EE3" w:rsidP="00F00EE3">
      <w:pPr>
        <w:pStyle w:val="Nagwek4"/>
        <w:numPr>
          <w:ilvl w:val="0"/>
          <w:numId w:val="0"/>
        </w:numPr>
        <w:spacing w:before="120"/>
        <w:rPr>
          <w:rFonts w:ascii="Lato" w:eastAsia="Calibri" w:hAnsi="Lato"/>
        </w:rPr>
      </w:pPr>
      <w:r w:rsidRPr="008A06CB">
        <w:rPr>
          <w:rFonts w:ascii="Lato" w:eastAsia="Calibri" w:hAnsi="Lato"/>
        </w:rPr>
        <w:lastRenderedPageBreak/>
        <w:t xml:space="preserve">Ocena potencjału absorpcyjnego </w:t>
      </w:r>
    </w:p>
    <w:p w14:paraId="46D67C74" w14:textId="77777777" w:rsidR="00F00EE3" w:rsidRPr="008A06CB" w:rsidRDefault="00F00EE3" w:rsidP="00F00EE3">
      <w:pPr>
        <w:rPr>
          <w:szCs w:val="20"/>
        </w:rPr>
      </w:pPr>
      <w:r w:rsidRPr="008A06CB">
        <w:rPr>
          <w:szCs w:val="20"/>
        </w:rPr>
        <w:t>Potencjał absorpcyjny</w:t>
      </w:r>
      <w:r w:rsidR="00E66B89">
        <w:rPr>
          <w:szCs w:val="20"/>
        </w:rPr>
        <w:t xml:space="preserve"> w </w:t>
      </w:r>
      <w:r w:rsidRPr="008A06CB">
        <w:rPr>
          <w:szCs w:val="20"/>
        </w:rPr>
        <w:t>PI 3a można ocenić jako relatywnie niski. Odnotowano wysoki poziom skuteczności</w:t>
      </w:r>
      <w:r w:rsidR="00E66B89">
        <w:rPr>
          <w:szCs w:val="20"/>
        </w:rPr>
        <w:t xml:space="preserve"> w </w:t>
      </w:r>
      <w:r w:rsidRPr="008A06CB">
        <w:rPr>
          <w:szCs w:val="20"/>
        </w:rPr>
        <w:t>działaniach ukierunkowanych na przygotowanie terenów inwestycyjnych, jednak dalszy popyt na tego typu projekty ze strony potencjalnych wnioskodawców nie jest prawdopodobny. Potwierdzają to wyniki badania ankietowego. Także</w:t>
      </w:r>
      <w:r w:rsidR="00E66B89">
        <w:rPr>
          <w:szCs w:val="20"/>
        </w:rPr>
        <w:t xml:space="preserve"> w </w:t>
      </w:r>
      <w:r w:rsidRPr="00C22C26">
        <w:rPr>
          <w:i/>
          <w:szCs w:val="20"/>
        </w:rPr>
        <w:t>Działaniu 1.16 Zwiększenie dostępu do usług Instytucji Otoczenia Biznesu</w:t>
      </w:r>
      <w:r w:rsidRPr="008A06CB">
        <w:rPr>
          <w:szCs w:val="20"/>
        </w:rPr>
        <w:t xml:space="preserve"> potencjał absorpcyjny został oceniony jako niewielki. Rozwiązanie umów</w:t>
      </w:r>
      <w:r w:rsidR="00E66B89">
        <w:rPr>
          <w:szCs w:val="20"/>
        </w:rPr>
        <w:t xml:space="preserve"> w </w:t>
      </w:r>
      <w:r w:rsidRPr="008A06CB">
        <w:rPr>
          <w:szCs w:val="20"/>
        </w:rPr>
        <w:t>tym działaniu było skutkiem braku zainteresowania ze strony odbiorców ostatecznych. Biorąc pod uwagę to doświadczenie należy domniemywać, że potencjał absorpcyjny nie zwiększy się</w:t>
      </w:r>
      <w:r w:rsidR="00E66B89">
        <w:rPr>
          <w:szCs w:val="20"/>
        </w:rPr>
        <w:t xml:space="preserve"> w </w:t>
      </w:r>
      <w:r w:rsidRPr="008A06CB">
        <w:rPr>
          <w:szCs w:val="20"/>
        </w:rPr>
        <w:t>najbliższym czasie.</w:t>
      </w:r>
    </w:p>
    <w:p w14:paraId="2D714A14" w14:textId="77777777" w:rsidR="00F00EE3" w:rsidRPr="008A06CB" w:rsidRDefault="00F00EE3" w:rsidP="00F00EE3">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6E33B63B" w14:textId="77777777" w:rsidR="00F00EE3" w:rsidRPr="00404DA5" w:rsidRDefault="00F00EE3" w:rsidP="00F00EE3">
      <w:pPr>
        <w:rPr>
          <w:rFonts w:cs="Calibri"/>
          <w:szCs w:val="20"/>
        </w:rPr>
      </w:pPr>
      <w:r w:rsidRPr="00404DA5">
        <w:rPr>
          <w:rFonts w:cs="Calibri"/>
          <w:szCs w:val="20"/>
        </w:rPr>
        <w:t xml:space="preserve">Według stanu na 7.01.2019 r., osiągnięcie wskaźnika </w:t>
      </w:r>
      <w:r w:rsidRPr="007E53D6">
        <w:rPr>
          <w:rFonts w:cs="Calibri"/>
          <w:i/>
          <w:szCs w:val="20"/>
        </w:rPr>
        <w:t>Powierzchnia</w:t>
      </w:r>
      <w:r w:rsidRPr="007E53D6">
        <w:rPr>
          <w:i/>
        </w:rPr>
        <w:t xml:space="preserve"> przygotowanych terenów inwestycyjnych</w:t>
      </w:r>
      <w:r w:rsidRPr="00404DA5">
        <w:rPr>
          <w:rFonts w:cs="Calibri"/>
          <w:szCs w:val="20"/>
        </w:rPr>
        <w:t xml:space="preserve"> nie wydaje się być zagrożona. Pozostała alokacja przyczyniająca się do realizacji wskaźnika wynosi 36 747 993,48 zł. </w:t>
      </w:r>
      <w:r>
        <w:rPr>
          <w:rFonts w:cs="Calibri"/>
          <w:szCs w:val="20"/>
        </w:rPr>
        <w:t xml:space="preserve">Na podstawie prognozy opartej na </w:t>
      </w:r>
      <w:r w:rsidRPr="00404DA5">
        <w:rPr>
          <w:rFonts w:cs="Calibri"/>
          <w:szCs w:val="20"/>
        </w:rPr>
        <w:t>jednostkowym koszcie przygotowania 1 ha terenów inwestycyjnych na poziomie 357 210,17 zł oraz zachowując dotychczasową proporcję wdrażania, spodziewać się należy przygotowania</w:t>
      </w:r>
      <w:r w:rsidR="00E66B89">
        <w:rPr>
          <w:rFonts w:cs="Calibri"/>
          <w:szCs w:val="20"/>
        </w:rPr>
        <w:t xml:space="preserve"> w </w:t>
      </w:r>
      <w:r w:rsidRPr="00404DA5">
        <w:rPr>
          <w:rFonts w:cs="Calibri"/>
          <w:szCs w:val="20"/>
        </w:rPr>
        <w:t>ramach RPO WZ 2014-2020 terenów inwestycyjnych</w:t>
      </w:r>
      <w:r w:rsidR="00E66B89">
        <w:rPr>
          <w:rFonts w:cs="Calibri"/>
          <w:szCs w:val="20"/>
        </w:rPr>
        <w:t xml:space="preserve"> o </w:t>
      </w:r>
      <w:r w:rsidRPr="00404DA5">
        <w:rPr>
          <w:rFonts w:cs="Calibri"/>
          <w:szCs w:val="20"/>
        </w:rPr>
        <w:t>powierzchni 311 ha co stanowić będzie 149,3% docelowej wartości założonej do osiągnięcia na koniec 2023 roku.</w:t>
      </w:r>
      <w:r>
        <w:rPr>
          <w:rFonts w:cs="Calibri"/>
          <w:szCs w:val="20"/>
        </w:rPr>
        <w:t xml:space="preserve"> Należy jednak zaznaczyć, że prognozowane wartości zakładają wykorzystanie całych alokacji. </w:t>
      </w:r>
    </w:p>
    <w:p w14:paraId="50E2F4E3" w14:textId="77777777" w:rsidR="00F00EE3" w:rsidRPr="00404DA5" w:rsidRDefault="00F00EE3" w:rsidP="00F00EE3">
      <w:pPr>
        <w:rPr>
          <w:rFonts w:cs="Calibri"/>
          <w:szCs w:val="20"/>
        </w:rPr>
      </w:pPr>
      <w:r w:rsidRPr="00404DA5">
        <w:rPr>
          <w:rFonts w:cs="Calibri"/>
          <w:szCs w:val="20"/>
        </w:rPr>
        <w:t>Prognoza wskaźnika dotyczącego liczby przedsiębiorstw otrzymujących wsparcie (CI) mierzona metodą kosztu jednostkowego nie wygląda tak obiecująco, jak dla wskaźnika wspomnianego powyżej. Przy obecnym koszcie jednostkowym wsparcia przedsiębiorstwa oczekiwać należy wypełnienie wskaźnika na poziomie 82,7%. Należy jednak pamiętać, że gro</w:t>
      </w:r>
      <w:r>
        <w:rPr>
          <w:rFonts w:cs="Calibri"/>
          <w:szCs w:val="20"/>
        </w:rPr>
        <w:t>s</w:t>
      </w:r>
      <w:r w:rsidRPr="00404DA5">
        <w:rPr>
          <w:rFonts w:cs="Calibri"/>
          <w:szCs w:val="20"/>
        </w:rPr>
        <w:t xml:space="preserve"> beneficjentów generujących przedmiotowy wskaźnik wspieranych będzie instrumentami finansowymi, dla których wdrażania już skonsumowano koszty zarządzani</w:t>
      </w:r>
      <w:r>
        <w:rPr>
          <w:rFonts w:cs="Calibri"/>
          <w:szCs w:val="20"/>
        </w:rPr>
        <w:t>a</w:t>
      </w:r>
      <w:r w:rsidRPr="00404DA5">
        <w:rPr>
          <w:rFonts w:cs="Calibri"/>
          <w:szCs w:val="20"/>
        </w:rPr>
        <w:t xml:space="preserve"> zarówno na poziomie Menadżera Funduszu Funduszy, jak</w:t>
      </w:r>
      <w:r w:rsidR="00E66B89">
        <w:rPr>
          <w:rFonts w:cs="Calibri"/>
          <w:szCs w:val="20"/>
        </w:rPr>
        <w:t xml:space="preserve"> i </w:t>
      </w:r>
      <w:r w:rsidRPr="00404DA5">
        <w:rPr>
          <w:rFonts w:cs="Calibri"/>
          <w:szCs w:val="20"/>
        </w:rPr>
        <w:t>pośredników finansowych. Wobec powyższego</w:t>
      </w:r>
      <w:r w:rsidR="00E66B89">
        <w:rPr>
          <w:rFonts w:cs="Calibri"/>
          <w:szCs w:val="20"/>
        </w:rPr>
        <w:t xml:space="preserve"> w </w:t>
      </w:r>
      <w:r w:rsidRPr="00404DA5">
        <w:rPr>
          <w:rFonts w:cs="Calibri"/>
          <w:szCs w:val="20"/>
        </w:rPr>
        <w:t>miarę udzielania wsparcia ostatecznym beneficjentom koszt jednostkowy wsparcia przedsiębiorcy będzie malał co korzystnie odbije się na ostatecznym wyniku.</w:t>
      </w:r>
    </w:p>
    <w:p w14:paraId="2DD98142" w14:textId="77777777" w:rsidR="00F00EE3" w:rsidRPr="00404DA5" w:rsidRDefault="00F00EE3" w:rsidP="00F00EE3">
      <w:pPr>
        <w:rPr>
          <w:rFonts w:cs="Calibri"/>
          <w:szCs w:val="20"/>
        </w:rPr>
      </w:pPr>
      <w:r w:rsidRPr="00404DA5">
        <w:rPr>
          <w:rFonts w:cs="Calibri"/>
          <w:szCs w:val="20"/>
        </w:rPr>
        <w:t>Mniej optymistycznie kształtuje się prognoza</w:t>
      </w:r>
      <w:r w:rsidR="00E66B89">
        <w:rPr>
          <w:rFonts w:cs="Calibri"/>
          <w:szCs w:val="20"/>
        </w:rPr>
        <w:t xml:space="preserve"> w </w:t>
      </w:r>
      <w:r w:rsidRPr="00404DA5">
        <w:rPr>
          <w:rFonts w:cs="Calibri"/>
          <w:szCs w:val="20"/>
        </w:rPr>
        <w:t xml:space="preserve">wypadku wskaźnika </w:t>
      </w:r>
      <w:r w:rsidRPr="00C22C26">
        <w:rPr>
          <w:rFonts w:cs="Calibri"/>
          <w:i/>
          <w:szCs w:val="20"/>
        </w:rPr>
        <w:t>Liczba przedsiębiorstw otrzymujących dotacje (CI)</w:t>
      </w:r>
      <w:r w:rsidRPr="00404DA5">
        <w:rPr>
          <w:rFonts w:cs="Calibri"/>
          <w:szCs w:val="20"/>
        </w:rPr>
        <w:t>. Pozostała dla działań realizujących przedmiotowy wskaźnik alokacja wynosi 30 725 920,03 zł co przy obecnym koszcie jednostkowym na poziomie 133 834,99 zł pozwoli wesprzeć docelowo 91 przedsiębiorców</w:t>
      </w:r>
      <w:r>
        <w:rPr>
          <w:rFonts w:cs="Calibri"/>
          <w:szCs w:val="20"/>
        </w:rPr>
        <w:t>,</w:t>
      </w:r>
      <w:r w:rsidRPr="00404DA5">
        <w:rPr>
          <w:rFonts w:cs="Calibri"/>
          <w:szCs w:val="20"/>
        </w:rPr>
        <w:t xml:space="preserve"> co stanowić będzie 60,4% wartości docelowej.</w:t>
      </w:r>
    </w:p>
    <w:p w14:paraId="0C407DD2" w14:textId="77777777" w:rsidR="00F00EE3" w:rsidRPr="003941CC" w:rsidRDefault="00F00EE3" w:rsidP="00F00EE3">
      <w:pPr>
        <w:rPr>
          <w:rFonts w:ascii="Calibri" w:hAnsi="Calibri"/>
          <w:b/>
          <w:bCs/>
          <w:sz w:val="18"/>
          <w:szCs w:val="18"/>
        </w:rPr>
      </w:pPr>
      <w:r w:rsidRPr="00404DA5">
        <w:rPr>
          <w:rFonts w:cs="Calibri"/>
          <w:szCs w:val="20"/>
        </w:rPr>
        <w:t xml:space="preserve">Podobnie </w:t>
      </w:r>
      <w:r w:rsidRPr="00481A86">
        <w:rPr>
          <w:rFonts w:cs="Calibri"/>
          <w:szCs w:val="20"/>
        </w:rPr>
        <w:t>wygląda sytuacja</w:t>
      </w:r>
      <w:r w:rsidR="00E66B89">
        <w:rPr>
          <w:rFonts w:cs="Calibri"/>
          <w:szCs w:val="20"/>
        </w:rPr>
        <w:t xml:space="preserve"> w </w:t>
      </w:r>
      <w:r w:rsidRPr="00481A86">
        <w:rPr>
          <w:rFonts w:cs="Calibri"/>
          <w:szCs w:val="20"/>
        </w:rPr>
        <w:t xml:space="preserve">przypadku wskaźników liczba przedsiębiorstw otrzymujących wsparcie niefinansowe oraz </w:t>
      </w:r>
      <w:r w:rsidRPr="00C22C26">
        <w:rPr>
          <w:bCs/>
          <w:i/>
          <w:szCs w:val="20"/>
        </w:rPr>
        <w:t>Liczba nowych wspieranych przedsiębiorstw</w:t>
      </w:r>
      <w:r w:rsidRPr="00481A86">
        <w:rPr>
          <w:rFonts w:cs="Calibri"/>
          <w:szCs w:val="20"/>
        </w:rPr>
        <w:t>, gdzie jednym</w:t>
      </w:r>
      <w:r w:rsidR="00E66B89">
        <w:rPr>
          <w:rFonts w:cs="Calibri"/>
          <w:szCs w:val="20"/>
        </w:rPr>
        <w:t xml:space="preserve"> z </w:t>
      </w:r>
      <w:r w:rsidRPr="00481A86">
        <w:rPr>
          <w:rFonts w:cs="Calibri"/>
          <w:szCs w:val="20"/>
        </w:rPr>
        <w:t xml:space="preserve">działań pracujących na ich wielkość </w:t>
      </w:r>
      <w:r w:rsidRPr="00481A86">
        <w:rPr>
          <w:rFonts w:cs="Calibri"/>
          <w:i/>
          <w:szCs w:val="20"/>
        </w:rPr>
        <w:t>jest Działanie 1.17 Wzmocnienie procesu wsparcia firm</w:t>
      </w:r>
      <w:r w:rsidR="00E66B89">
        <w:rPr>
          <w:rFonts w:cs="Calibri"/>
          <w:i/>
          <w:szCs w:val="20"/>
        </w:rPr>
        <w:t xml:space="preserve"> w </w:t>
      </w:r>
      <w:r w:rsidRPr="00481A86">
        <w:rPr>
          <w:rFonts w:cs="Calibri"/>
          <w:i/>
          <w:szCs w:val="20"/>
        </w:rPr>
        <w:t>początkowej fazie rozwoju</w:t>
      </w:r>
      <w:r w:rsidRPr="00481A86">
        <w:rPr>
          <w:rFonts w:cs="Calibri"/>
          <w:szCs w:val="20"/>
        </w:rPr>
        <w:t>. Wspomniane wyżej koszty zarządzania instytucji systemu wdrażania instrumentów</w:t>
      </w:r>
      <w:r w:rsidRPr="00404DA5">
        <w:rPr>
          <w:rFonts w:cs="Calibri"/>
          <w:szCs w:val="20"/>
        </w:rPr>
        <w:t xml:space="preserve"> finansowych znacząco wpłynęły na wysokość kosztu jednostkowego wsparcia przedsiębiorstwa. Nawet stosując metodę prognozowania</w:t>
      </w:r>
      <w:r>
        <w:rPr>
          <w:rFonts w:cs="Calibri"/>
          <w:szCs w:val="20"/>
        </w:rPr>
        <w:t xml:space="preserve"> zakładającą proporcjonalny podział pozostałej alokacji na dany wskaźnik zgodnie</w:t>
      </w:r>
      <w:r w:rsidR="00E66B89">
        <w:rPr>
          <w:rFonts w:cs="Calibri"/>
          <w:szCs w:val="20"/>
        </w:rPr>
        <w:t xml:space="preserve"> z </w:t>
      </w:r>
      <w:r>
        <w:rPr>
          <w:rFonts w:cs="Calibri"/>
          <w:szCs w:val="20"/>
        </w:rPr>
        <w:t>dotychczasową proporcją</w:t>
      </w:r>
      <w:r w:rsidRPr="00404DA5">
        <w:rPr>
          <w:rFonts w:cs="Calibri"/>
          <w:szCs w:val="20"/>
        </w:rPr>
        <w:t xml:space="preserve"> należy zauważyć wypełnienie wartości docelowej pierwszego</w:t>
      </w:r>
      <w:r w:rsidR="00E66B89">
        <w:rPr>
          <w:rFonts w:cs="Calibri"/>
          <w:szCs w:val="20"/>
        </w:rPr>
        <w:t xml:space="preserve"> z </w:t>
      </w:r>
      <w:r w:rsidRPr="00404DA5">
        <w:rPr>
          <w:rFonts w:cs="Calibri"/>
          <w:szCs w:val="20"/>
        </w:rPr>
        <w:t>omawianych wskaźników na poziomie 88,1%. Wskaźnik Liczba nowych wspieranych przedsiębiorstw uzależniony jest wyłącznie od systemu wdrażania instrumentów finansowych</w:t>
      </w:r>
      <w:r w:rsidR="00E66B89">
        <w:rPr>
          <w:rFonts w:cs="Calibri"/>
          <w:szCs w:val="20"/>
        </w:rPr>
        <w:t xml:space="preserve"> i </w:t>
      </w:r>
      <w:r w:rsidRPr="00404DA5">
        <w:rPr>
          <w:rFonts w:cs="Calibri"/>
          <w:szCs w:val="20"/>
        </w:rPr>
        <w:t>również należy wziąć pod uwagę, że dalsze wdrażanie będzie systematycznie obniżać koszt jednostkowy co będzie miało istotny wpływ na osiągnięcie celu.</w:t>
      </w:r>
    </w:p>
    <w:p w14:paraId="2127A7A6" w14:textId="77777777" w:rsidR="00F00EE3" w:rsidRPr="00404DA5" w:rsidRDefault="00F00EE3" w:rsidP="00F00EE3">
      <w:pPr>
        <w:rPr>
          <w:rFonts w:cs="Calibri"/>
          <w:szCs w:val="20"/>
        </w:rPr>
      </w:pPr>
      <w:r w:rsidRPr="00404DA5">
        <w:rPr>
          <w:rFonts w:cs="Calibri"/>
          <w:szCs w:val="20"/>
        </w:rPr>
        <w:t xml:space="preserve">Optymistyczną prognozą charakteryzuje się wskaźnik </w:t>
      </w:r>
      <w:r w:rsidRPr="00C22C26">
        <w:rPr>
          <w:rFonts w:cs="Calibri"/>
          <w:i/>
          <w:szCs w:val="20"/>
        </w:rPr>
        <w:t>Inwestycje prywatne uzupełniające wsparcie publiczne dla przedsiębiorstw (dotacje) (CI)</w:t>
      </w:r>
      <w:r w:rsidRPr="00404DA5">
        <w:rPr>
          <w:rFonts w:cs="Calibri"/>
          <w:szCs w:val="20"/>
        </w:rPr>
        <w:t>. Przyjęta</w:t>
      </w:r>
      <w:r w:rsidR="00E66B89">
        <w:rPr>
          <w:rFonts w:cs="Calibri"/>
          <w:szCs w:val="20"/>
        </w:rPr>
        <w:t xml:space="preserve"> w </w:t>
      </w:r>
      <w:r w:rsidRPr="00404DA5">
        <w:rPr>
          <w:rFonts w:cs="Calibri"/>
          <w:szCs w:val="20"/>
        </w:rPr>
        <w:t>badaniu metodologia wskazuje na osiągnięcie wartości docelowej</w:t>
      </w:r>
      <w:r w:rsidR="00E66B89">
        <w:rPr>
          <w:rFonts w:cs="Calibri"/>
          <w:szCs w:val="20"/>
        </w:rPr>
        <w:t xml:space="preserve"> w </w:t>
      </w:r>
      <w:r w:rsidRPr="00404DA5">
        <w:rPr>
          <w:rFonts w:cs="Calibri"/>
          <w:szCs w:val="20"/>
        </w:rPr>
        <w:t>163,4%.</w:t>
      </w:r>
      <w:r w:rsidR="00E66B89">
        <w:rPr>
          <w:rFonts w:cs="Calibri"/>
          <w:szCs w:val="20"/>
        </w:rPr>
        <w:t xml:space="preserve"> W </w:t>
      </w:r>
      <w:r w:rsidRPr="00404DA5">
        <w:rPr>
          <w:rFonts w:cs="Calibri"/>
          <w:szCs w:val="20"/>
        </w:rPr>
        <w:t>tym przypadku jednak należy się spodziewać przekroczenia tej prognozy z</w:t>
      </w:r>
      <w:r>
        <w:rPr>
          <w:rFonts w:cs="Calibri"/>
          <w:szCs w:val="20"/>
        </w:rPr>
        <w:t>a</w:t>
      </w:r>
      <w:r w:rsidRPr="00404DA5">
        <w:rPr>
          <w:rFonts w:cs="Calibri"/>
          <w:szCs w:val="20"/>
        </w:rPr>
        <w:t xml:space="preserve"> sprawą </w:t>
      </w:r>
      <w:r w:rsidRPr="00404DA5">
        <w:rPr>
          <w:rFonts w:cs="Calibri"/>
          <w:i/>
          <w:szCs w:val="20"/>
        </w:rPr>
        <w:t>Działania 1.16 Zwiększenie dostępu do usług Instytucji Otoczenia Biznesu</w:t>
      </w:r>
      <w:r w:rsidRPr="00404DA5">
        <w:rPr>
          <w:rFonts w:cs="Calibri"/>
          <w:szCs w:val="20"/>
        </w:rPr>
        <w:t>, które dotychczas nie wpłynęło na zasilenie parametrów wskaźnika.</w:t>
      </w:r>
      <w:r>
        <w:rPr>
          <w:rFonts w:cs="Calibri"/>
          <w:szCs w:val="20"/>
        </w:rPr>
        <w:t xml:space="preserve"> </w:t>
      </w:r>
    </w:p>
    <w:p w14:paraId="0957544A" w14:textId="77777777" w:rsidR="00F00EE3" w:rsidRPr="00404DA5" w:rsidRDefault="00F00EE3" w:rsidP="00F00EE3">
      <w:pPr>
        <w:rPr>
          <w:rFonts w:cs="Calibri"/>
          <w:szCs w:val="20"/>
        </w:rPr>
      </w:pPr>
      <w:r w:rsidRPr="00404DA5">
        <w:rPr>
          <w:rFonts w:cs="Calibri"/>
          <w:szCs w:val="20"/>
        </w:rPr>
        <w:lastRenderedPageBreak/>
        <w:t>Również wskaźnik mierzący inwestycje prywatne uzupełniające wsparcie publiczne dla przedsiębiorstw (inne niż dotacje) mimo prognozy 99,5% osiągnie większą wartość. Wygeneruje ją wkład każdego</w:t>
      </w:r>
      <w:r w:rsidR="00E66B89">
        <w:rPr>
          <w:rFonts w:cs="Calibri"/>
          <w:szCs w:val="20"/>
        </w:rPr>
        <w:t xml:space="preserve"> z </w:t>
      </w:r>
      <w:r w:rsidRPr="00404DA5">
        <w:rPr>
          <w:rFonts w:cs="Calibri"/>
          <w:szCs w:val="20"/>
        </w:rPr>
        <w:t>kolejnych pośredników finansowych wybranych do procesu wdrażania instrumentów finansowych przez pełniący rolę Menadżera Funduszu Funduszy Pomorza Zachodniego Jeremie 2, Bank Gospodarstwa Krajowego.</w:t>
      </w:r>
    </w:p>
    <w:p w14:paraId="76494B35" w14:textId="77777777" w:rsidR="00F00EE3" w:rsidRPr="00404DA5" w:rsidRDefault="00F00EE3" w:rsidP="00F00EE3">
      <w:pPr>
        <w:rPr>
          <w:rFonts w:cs="Calibri"/>
          <w:szCs w:val="20"/>
        </w:rPr>
      </w:pPr>
      <w:r w:rsidRPr="00404DA5">
        <w:rPr>
          <w:rFonts w:cs="Calibri"/>
          <w:szCs w:val="20"/>
        </w:rPr>
        <w:t>Dużą niewiadomą jest natomiast ostatni ze wskaźników przyczyniających się do realizacji PI 3a tzn. liczba zaawansowanych usług (nowych lub ulepszonych) świadczonych przez IOB.</w:t>
      </w:r>
      <w:r w:rsidR="00E66B89">
        <w:rPr>
          <w:rFonts w:cs="Calibri"/>
          <w:szCs w:val="20"/>
        </w:rPr>
        <w:t xml:space="preserve"> W </w:t>
      </w:r>
      <w:r w:rsidRPr="00404DA5">
        <w:rPr>
          <w:rFonts w:cs="Calibri"/>
          <w:szCs w:val="20"/>
        </w:rPr>
        <w:t xml:space="preserve">ramach </w:t>
      </w:r>
      <w:r w:rsidRPr="00404DA5">
        <w:rPr>
          <w:rFonts w:cs="Calibri"/>
          <w:i/>
          <w:szCs w:val="20"/>
        </w:rPr>
        <w:t>Działania 1.16 Zwiększenie dostępu do usług Instytucji Otoczenia Biznesu</w:t>
      </w:r>
      <w:r w:rsidRPr="00404DA5">
        <w:rPr>
          <w:rFonts w:cs="Calibri"/>
          <w:szCs w:val="20"/>
        </w:rPr>
        <w:t xml:space="preserve"> </w:t>
      </w:r>
      <w:r>
        <w:rPr>
          <w:rFonts w:cs="Calibri"/>
          <w:szCs w:val="20"/>
        </w:rPr>
        <w:t>nie ma projektów, które realizowałyby wskaźnik związany</w:t>
      </w:r>
      <w:r w:rsidR="00E66B89">
        <w:rPr>
          <w:rFonts w:cs="Calibri"/>
          <w:szCs w:val="20"/>
        </w:rPr>
        <w:t xml:space="preserve"> z </w:t>
      </w:r>
      <w:r>
        <w:rPr>
          <w:rFonts w:cs="Calibri"/>
          <w:szCs w:val="20"/>
        </w:rPr>
        <w:t xml:space="preserve">IOB. </w:t>
      </w:r>
    </w:p>
    <w:p w14:paraId="74D73686" w14:textId="77777777" w:rsidR="00F00EE3" w:rsidRPr="006E34DC" w:rsidRDefault="00F00EE3" w:rsidP="006E34DC">
      <w:pPr>
        <w:pStyle w:val="Legenda"/>
        <w:spacing w:after="0"/>
      </w:pPr>
      <w:bookmarkStart w:id="64" w:name="_Toc8824128"/>
      <w:r w:rsidRPr="00404DA5">
        <w:t xml:space="preserve">Tabela </w:t>
      </w:r>
      <w:r>
        <w:fldChar w:fldCharType="begin"/>
      </w:r>
      <w:r>
        <w:instrText xml:space="preserve"> SEQ Tabela \* ARABIC </w:instrText>
      </w:r>
      <w:r>
        <w:fldChar w:fldCharType="separate"/>
      </w:r>
      <w:r w:rsidR="00763345">
        <w:rPr>
          <w:noProof/>
        </w:rPr>
        <w:t>17</w:t>
      </w:r>
      <w:r>
        <w:fldChar w:fldCharType="end"/>
      </w:r>
      <w:r w:rsidRPr="00404DA5">
        <w:t xml:space="preserve"> Prognozowany poziom realizacji wskaźników produktu</w:t>
      </w:r>
      <w:r w:rsidR="00E66B89">
        <w:t xml:space="preserve"> i </w:t>
      </w:r>
      <w:r w:rsidRPr="00404DA5">
        <w:t>rezultatu bezpośredniego na rok 2023 – PI 3a</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2756"/>
        <w:gridCol w:w="1480"/>
        <w:gridCol w:w="1851"/>
        <w:gridCol w:w="1884"/>
      </w:tblGrid>
      <w:tr w:rsidR="00F00EE3" w:rsidRPr="008A06CB" w14:paraId="507CC7C1" w14:textId="77777777" w:rsidTr="00B673BB">
        <w:trPr>
          <w:trHeight w:val="1011"/>
          <w:tblHeader/>
        </w:trPr>
        <w:tc>
          <w:tcPr>
            <w:tcW w:w="0" w:type="auto"/>
            <w:shd w:val="clear" w:color="auto" w:fill="DBE5F1"/>
            <w:vAlign w:val="center"/>
          </w:tcPr>
          <w:p w14:paraId="7F539FB2" w14:textId="77777777" w:rsidR="00F00EE3" w:rsidRPr="00404DA5" w:rsidRDefault="00F00EE3" w:rsidP="00B673BB">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46227AF5" w14:textId="77777777" w:rsidR="00F00EE3" w:rsidRPr="00404DA5" w:rsidRDefault="00F00EE3" w:rsidP="00B673BB">
            <w:pPr>
              <w:jc w:val="center"/>
              <w:rPr>
                <w:rFonts w:cs="Calibri"/>
                <w:sz w:val="18"/>
                <w:szCs w:val="18"/>
              </w:rPr>
            </w:pPr>
            <w:r w:rsidRPr="00404DA5">
              <w:rPr>
                <w:rFonts w:cs="Calibri"/>
                <w:sz w:val="18"/>
                <w:szCs w:val="18"/>
              </w:rPr>
              <w:t>Wskaźnik</w:t>
            </w:r>
          </w:p>
        </w:tc>
        <w:tc>
          <w:tcPr>
            <w:tcW w:w="0" w:type="auto"/>
            <w:shd w:val="clear" w:color="auto" w:fill="DBE5F1"/>
          </w:tcPr>
          <w:p w14:paraId="33D3D642" w14:textId="77777777" w:rsidR="00F00EE3" w:rsidRPr="00404DA5" w:rsidRDefault="00F00EE3" w:rsidP="00B673BB">
            <w:pPr>
              <w:jc w:val="center"/>
              <w:rPr>
                <w:rFonts w:cs="Calibri"/>
                <w:sz w:val="18"/>
                <w:szCs w:val="18"/>
              </w:rPr>
            </w:pPr>
            <w:r w:rsidRPr="00404DA5">
              <w:rPr>
                <w:rFonts w:cs="Calibri"/>
                <w:sz w:val="18"/>
                <w:szCs w:val="18"/>
              </w:rPr>
              <w:t>Wartość docelowa określona na 2023 rok</w:t>
            </w:r>
          </w:p>
        </w:tc>
        <w:tc>
          <w:tcPr>
            <w:tcW w:w="0" w:type="auto"/>
            <w:shd w:val="clear" w:color="auto" w:fill="DBE5F1"/>
            <w:vAlign w:val="center"/>
          </w:tcPr>
          <w:p w14:paraId="60CF5FDE" w14:textId="77777777" w:rsidR="00F00EE3" w:rsidRPr="00404DA5" w:rsidRDefault="00F00EE3" w:rsidP="00B673BB">
            <w:pPr>
              <w:jc w:val="center"/>
              <w:rPr>
                <w:rFonts w:cs="Calibri"/>
                <w:sz w:val="18"/>
                <w:szCs w:val="18"/>
              </w:rPr>
            </w:pPr>
            <w:r w:rsidRPr="00404DA5">
              <w:rPr>
                <w:rFonts w:cs="Calibri"/>
                <w:sz w:val="18"/>
                <w:szCs w:val="18"/>
              </w:rPr>
              <w:t xml:space="preserve">Prognozowana całkowita wartość wskaźnika </w:t>
            </w:r>
          </w:p>
        </w:tc>
        <w:tc>
          <w:tcPr>
            <w:tcW w:w="0" w:type="auto"/>
            <w:shd w:val="clear" w:color="auto" w:fill="DBE5F1"/>
            <w:vAlign w:val="center"/>
          </w:tcPr>
          <w:p w14:paraId="0E9DA2D7" w14:textId="77777777" w:rsidR="00F00EE3" w:rsidRPr="00404DA5" w:rsidRDefault="00F00EE3" w:rsidP="00B673BB">
            <w:pPr>
              <w:jc w:val="center"/>
              <w:rPr>
                <w:rFonts w:cs="Calibri"/>
                <w:sz w:val="18"/>
                <w:szCs w:val="18"/>
              </w:rPr>
            </w:pPr>
            <w:r w:rsidRPr="00404DA5">
              <w:rPr>
                <w:rFonts w:cs="Calibri"/>
                <w:sz w:val="18"/>
                <w:szCs w:val="18"/>
              </w:rPr>
              <w:t>Prognozowany % realizacji wartości docelowej</w:t>
            </w:r>
          </w:p>
        </w:tc>
      </w:tr>
      <w:tr w:rsidR="00F00EE3" w:rsidRPr="008A06CB" w14:paraId="2A94922B" w14:textId="77777777" w:rsidTr="00B673BB">
        <w:trPr>
          <w:trHeight w:val="657"/>
        </w:trPr>
        <w:tc>
          <w:tcPr>
            <w:tcW w:w="0" w:type="auto"/>
            <w:shd w:val="clear" w:color="auto" w:fill="auto"/>
            <w:vAlign w:val="center"/>
          </w:tcPr>
          <w:p w14:paraId="5E08130C"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76CFAEB0" w14:textId="77777777" w:rsidR="00F00EE3" w:rsidRPr="00404DA5" w:rsidRDefault="00F00EE3" w:rsidP="00B673BB">
            <w:pPr>
              <w:rPr>
                <w:bCs/>
                <w:sz w:val="18"/>
                <w:szCs w:val="18"/>
              </w:rPr>
            </w:pPr>
            <w:r w:rsidRPr="00404DA5">
              <w:rPr>
                <w:bCs/>
                <w:sz w:val="18"/>
                <w:szCs w:val="18"/>
              </w:rPr>
              <w:t>Powierzchnia przygotowanych terenów inwestycyjnych</w:t>
            </w:r>
          </w:p>
        </w:tc>
        <w:tc>
          <w:tcPr>
            <w:tcW w:w="0" w:type="auto"/>
            <w:shd w:val="clear" w:color="auto" w:fill="auto"/>
            <w:vAlign w:val="center"/>
          </w:tcPr>
          <w:p w14:paraId="186D9565" w14:textId="77777777" w:rsidR="00F00EE3" w:rsidRPr="00404DA5" w:rsidRDefault="00F00EE3" w:rsidP="00B673BB">
            <w:pPr>
              <w:jc w:val="center"/>
              <w:rPr>
                <w:bCs/>
                <w:sz w:val="18"/>
                <w:szCs w:val="18"/>
              </w:rPr>
            </w:pPr>
            <w:r w:rsidRPr="00404DA5">
              <w:rPr>
                <w:bCs/>
                <w:sz w:val="18"/>
                <w:szCs w:val="18"/>
              </w:rPr>
              <w:t>208</w:t>
            </w:r>
          </w:p>
        </w:tc>
        <w:tc>
          <w:tcPr>
            <w:tcW w:w="0" w:type="auto"/>
            <w:shd w:val="clear" w:color="auto" w:fill="auto"/>
            <w:vAlign w:val="center"/>
          </w:tcPr>
          <w:p w14:paraId="3F08F61E" w14:textId="77777777" w:rsidR="00F00EE3" w:rsidRPr="00404DA5" w:rsidRDefault="00F00EE3" w:rsidP="00B673BB">
            <w:pPr>
              <w:jc w:val="center"/>
              <w:rPr>
                <w:bCs/>
                <w:sz w:val="18"/>
                <w:szCs w:val="18"/>
              </w:rPr>
            </w:pPr>
            <w:r w:rsidRPr="00404DA5">
              <w:rPr>
                <w:bCs/>
                <w:sz w:val="18"/>
                <w:szCs w:val="18"/>
              </w:rPr>
              <w:t>311</w:t>
            </w:r>
          </w:p>
        </w:tc>
        <w:tc>
          <w:tcPr>
            <w:tcW w:w="0" w:type="auto"/>
            <w:shd w:val="clear" w:color="auto" w:fill="auto"/>
            <w:vAlign w:val="center"/>
          </w:tcPr>
          <w:p w14:paraId="55D6C01A" w14:textId="77777777" w:rsidR="00F00EE3" w:rsidRPr="00404DA5" w:rsidRDefault="00F00EE3" w:rsidP="00B673BB">
            <w:pPr>
              <w:jc w:val="center"/>
              <w:rPr>
                <w:bCs/>
                <w:sz w:val="18"/>
                <w:szCs w:val="18"/>
              </w:rPr>
            </w:pPr>
            <w:r w:rsidRPr="00404DA5">
              <w:rPr>
                <w:bCs/>
                <w:sz w:val="18"/>
                <w:szCs w:val="18"/>
              </w:rPr>
              <w:t>149,3%</w:t>
            </w:r>
          </w:p>
        </w:tc>
      </w:tr>
      <w:tr w:rsidR="00F00EE3" w:rsidRPr="008A06CB" w14:paraId="7118ED4C" w14:textId="77777777" w:rsidTr="00B673BB">
        <w:trPr>
          <w:trHeight w:val="657"/>
        </w:trPr>
        <w:tc>
          <w:tcPr>
            <w:tcW w:w="0" w:type="auto"/>
            <w:shd w:val="clear" w:color="auto" w:fill="auto"/>
            <w:vAlign w:val="center"/>
          </w:tcPr>
          <w:p w14:paraId="20B8449A"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582C9EA3" w14:textId="77777777" w:rsidR="00F00EE3" w:rsidRPr="00404DA5" w:rsidRDefault="00F00EE3" w:rsidP="00B673BB">
            <w:pPr>
              <w:rPr>
                <w:bCs/>
                <w:sz w:val="18"/>
                <w:szCs w:val="18"/>
              </w:rPr>
            </w:pPr>
            <w:r w:rsidRPr="00404DA5">
              <w:rPr>
                <w:bCs/>
                <w:sz w:val="18"/>
                <w:szCs w:val="18"/>
              </w:rPr>
              <w:t>Liczba przedsiębiorstw otrzymujących wsparcie (CI)</w:t>
            </w:r>
          </w:p>
        </w:tc>
        <w:tc>
          <w:tcPr>
            <w:tcW w:w="0" w:type="auto"/>
            <w:shd w:val="clear" w:color="auto" w:fill="auto"/>
            <w:vAlign w:val="center"/>
          </w:tcPr>
          <w:p w14:paraId="42CEB320" w14:textId="77777777" w:rsidR="00F00EE3" w:rsidRPr="00404DA5" w:rsidRDefault="00F00EE3" w:rsidP="00B673BB">
            <w:pPr>
              <w:jc w:val="center"/>
              <w:rPr>
                <w:bCs/>
                <w:sz w:val="18"/>
                <w:szCs w:val="18"/>
              </w:rPr>
            </w:pPr>
            <w:r w:rsidRPr="00404DA5">
              <w:rPr>
                <w:bCs/>
                <w:sz w:val="18"/>
                <w:szCs w:val="18"/>
              </w:rPr>
              <w:t>611</w:t>
            </w:r>
          </w:p>
        </w:tc>
        <w:tc>
          <w:tcPr>
            <w:tcW w:w="0" w:type="auto"/>
            <w:shd w:val="clear" w:color="auto" w:fill="auto"/>
            <w:vAlign w:val="center"/>
          </w:tcPr>
          <w:p w14:paraId="0EBA9949" w14:textId="77777777" w:rsidR="00F00EE3" w:rsidRPr="00404DA5" w:rsidRDefault="00F00EE3" w:rsidP="00B673BB">
            <w:pPr>
              <w:jc w:val="center"/>
              <w:rPr>
                <w:bCs/>
                <w:sz w:val="18"/>
                <w:szCs w:val="18"/>
              </w:rPr>
            </w:pPr>
            <w:r w:rsidRPr="00404DA5">
              <w:rPr>
                <w:bCs/>
                <w:sz w:val="18"/>
                <w:szCs w:val="18"/>
              </w:rPr>
              <w:t>505</w:t>
            </w:r>
          </w:p>
        </w:tc>
        <w:tc>
          <w:tcPr>
            <w:tcW w:w="0" w:type="auto"/>
            <w:shd w:val="clear" w:color="auto" w:fill="auto"/>
            <w:vAlign w:val="center"/>
          </w:tcPr>
          <w:p w14:paraId="27974403" w14:textId="77777777" w:rsidR="00F00EE3" w:rsidRPr="00404DA5" w:rsidRDefault="00F00EE3" w:rsidP="00B673BB">
            <w:pPr>
              <w:jc w:val="center"/>
              <w:rPr>
                <w:bCs/>
                <w:sz w:val="18"/>
                <w:szCs w:val="18"/>
              </w:rPr>
            </w:pPr>
            <w:r w:rsidRPr="00404DA5">
              <w:rPr>
                <w:bCs/>
                <w:sz w:val="18"/>
                <w:szCs w:val="18"/>
              </w:rPr>
              <w:t>82,7%</w:t>
            </w:r>
          </w:p>
        </w:tc>
      </w:tr>
      <w:tr w:rsidR="00F00EE3" w:rsidRPr="008A06CB" w14:paraId="346ED705" w14:textId="77777777" w:rsidTr="00B673BB">
        <w:trPr>
          <w:trHeight w:val="657"/>
        </w:trPr>
        <w:tc>
          <w:tcPr>
            <w:tcW w:w="0" w:type="auto"/>
            <w:shd w:val="clear" w:color="auto" w:fill="auto"/>
            <w:vAlign w:val="center"/>
          </w:tcPr>
          <w:p w14:paraId="64545E04"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13A79E64" w14:textId="77777777" w:rsidR="00F00EE3" w:rsidRPr="00404DA5" w:rsidRDefault="00F00EE3" w:rsidP="00B673BB">
            <w:pPr>
              <w:rPr>
                <w:bCs/>
                <w:sz w:val="18"/>
                <w:szCs w:val="18"/>
              </w:rPr>
            </w:pPr>
            <w:r w:rsidRPr="00404DA5">
              <w:rPr>
                <w:bCs/>
                <w:sz w:val="18"/>
                <w:szCs w:val="18"/>
              </w:rPr>
              <w:t>Liczba przedsiębiorstw otrzymujących dotacje (CI)</w:t>
            </w:r>
          </w:p>
        </w:tc>
        <w:tc>
          <w:tcPr>
            <w:tcW w:w="0" w:type="auto"/>
            <w:shd w:val="clear" w:color="auto" w:fill="auto"/>
            <w:vAlign w:val="center"/>
          </w:tcPr>
          <w:p w14:paraId="20741B20" w14:textId="77777777" w:rsidR="00F00EE3" w:rsidRPr="00404DA5" w:rsidRDefault="00F00EE3" w:rsidP="00B673BB">
            <w:pPr>
              <w:jc w:val="center"/>
              <w:rPr>
                <w:bCs/>
                <w:sz w:val="18"/>
                <w:szCs w:val="18"/>
              </w:rPr>
            </w:pPr>
            <w:r w:rsidRPr="00404DA5">
              <w:rPr>
                <w:bCs/>
                <w:sz w:val="18"/>
                <w:szCs w:val="18"/>
              </w:rPr>
              <w:t>150</w:t>
            </w:r>
          </w:p>
        </w:tc>
        <w:tc>
          <w:tcPr>
            <w:tcW w:w="0" w:type="auto"/>
            <w:shd w:val="clear" w:color="auto" w:fill="auto"/>
            <w:vAlign w:val="center"/>
          </w:tcPr>
          <w:p w14:paraId="21416854" w14:textId="77777777" w:rsidR="00F00EE3" w:rsidRPr="00404DA5" w:rsidRDefault="00F00EE3" w:rsidP="00B673BB">
            <w:pPr>
              <w:jc w:val="center"/>
              <w:rPr>
                <w:bCs/>
                <w:sz w:val="18"/>
                <w:szCs w:val="18"/>
              </w:rPr>
            </w:pPr>
            <w:r w:rsidRPr="00404DA5">
              <w:rPr>
                <w:bCs/>
                <w:sz w:val="18"/>
                <w:szCs w:val="18"/>
              </w:rPr>
              <w:t>91</w:t>
            </w:r>
          </w:p>
        </w:tc>
        <w:tc>
          <w:tcPr>
            <w:tcW w:w="0" w:type="auto"/>
            <w:shd w:val="clear" w:color="auto" w:fill="auto"/>
            <w:vAlign w:val="center"/>
          </w:tcPr>
          <w:p w14:paraId="654C1FDA" w14:textId="77777777" w:rsidR="00F00EE3" w:rsidRPr="00404DA5" w:rsidRDefault="00F00EE3" w:rsidP="00B673BB">
            <w:pPr>
              <w:jc w:val="center"/>
              <w:rPr>
                <w:bCs/>
                <w:sz w:val="18"/>
                <w:szCs w:val="18"/>
              </w:rPr>
            </w:pPr>
            <w:r w:rsidRPr="00404DA5">
              <w:rPr>
                <w:bCs/>
                <w:sz w:val="18"/>
                <w:szCs w:val="18"/>
              </w:rPr>
              <w:t>60,4%</w:t>
            </w:r>
          </w:p>
        </w:tc>
      </w:tr>
      <w:tr w:rsidR="00F00EE3" w:rsidRPr="008A06CB" w14:paraId="0E0F0005" w14:textId="77777777" w:rsidTr="00B673BB">
        <w:trPr>
          <w:trHeight w:val="657"/>
        </w:trPr>
        <w:tc>
          <w:tcPr>
            <w:tcW w:w="0" w:type="auto"/>
            <w:shd w:val="clear" w:color="auto" w:fill="auto"/>
            <w:vAlign w:val="center"/>
          </w:tcPr>
          <w:p w14:paraId="1B3BB914"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5D37FB12" w14:textId="77777777" w:rsidR="00F00EE3" w:rsidRPr="00404DA5" w:rsidRDefault="00F00EE3" w:rsidP="00B673BB">
            <w:pPr>
              <w:rPr>
                <w:bCs/>
                <w:sz w:val="18"/>
                <w:szCs w:val="18"/>
              </w:rPr>
            </w:pPr>
            <w:r w:rsidRPr="00404DA5">
              <w:rPr>
                <w:bCs/>
                <w:sz w:val="18"/>
                <w:szCs w:val="18"/>
              </w:rPr>
              <w:t>Liczba przedsiębiorstw otrzymujących wsparcie finansowe inne niż dotacje</w:t>
            </w:r>
          </w:p>
        </w:tc>
        <w:tc>
          <w:tcPr>
            <w:tcW w:w="0" w:type="auto"/>
            <w:shd w:val="clear" w:color="auto" w:fill="auto"/>
            <w:vAlign w:val="center"/>
          </w:tcPr>
          <w:p w14:paraId="47A7D454" w14:textId="77777777" w:rsidR="00F00EE3" w:rsidRPr="00404DA5" w:rsidRDefault="00F00EE3" w:rsidP="00B673BB">
            <w:pPr>
              <w:jc w:val="center"/>
              <w:rPr>
                <w:bCs/>
                <w:sz w:val="18"/>
                <w:szCs w:val="18"/>
              </w:rPr>
            </w:pPr>
            <w:r w:rsidRPr="00404DA5">
              <w:rPr>
                <w:bCs/>
                <w:sz w:val="18"/>
                <w:szCs w:val="18"/>
              </w:rPr>
              <w:t>26</w:t>
            </w:r>
          </w:p>
        </w:tc>
        <w:tc>
          <w:tcPr>
            <w:tcW w:w="0" w:type="auto"/>
            <w:shd w:val="clear" w:color="auto" w:fill="auto"/>
            <w:vAlign w:val="center"/>
          </w:tcPr>
          <w:p w14:paraId="0C897ED9" w14:textId="77777777" w:rsidR="00F00EE3" w:rsidRPr="00404DA5" w:rsidRDefault="00F00EE3" w:rsidP="00B673BB">
            <w:pPr>
              <w:jc w:val="center"/>
              <w:rPr>
                <w:bCs/>
                <w:sz w:val="18"/>
                <w:szCs w:val="18"/>
              </w:rPr>
            </w:pPr>
            <w:r w:rsidRPr="00404DA5">
              <w:rPr>
                <w:bCs/>
                <w:sz w:val="18"/>
                <w:szCs w:val="18"/>
              </w:rPr>
              <w:t>31</w:t>
            </w:r>
          </w:p>
        </w:tc>
        <w:tc>
          <w:tcPr>
            <w:tcW w:w="0" w:type="auto"/>
            <w:shd w:val="clear" w:color="auto" w:fill="auto"/>
            <w:vAlign w:val="center"/>
          </w:tcPr>
          <w:p w14:paraId="11D406A1" w14:textId="77777777" w:rsidR="00F00EE3" w:rsidRPr="00404DA5" w:rsidRDefault="00F00EE3" w:rsidP="00B673BB">
            <w:pPr>
              <w:jc w:val="center"/>
              <w:rPr>
                <w:bCs/>
                <w:sz w:val="18"/>
                <w:szCs w:val="18"/>
              </w:rPr>
            </w:pPr>
            <w:r w:rsidRPr="00404DA5">
              <w:rPr>
                <w:bCs/>
                <w:sz w:val="18"/>
                <w:szCs w:val="18"/>
              </w:rPr>
              <w:t>120,6%</w:t>
            </w:r>
          </w:p>
        </w:tc>
      </w:tr>
      <w:tr w:rsidR="00F00EE3" w:rsidRPr="008A06CB" w14:paraId="1966B58E" w14:textId="77777777" w:rsidTr="00B673BB">
        <w:trPr>
          <w:trHeight w:val="657"/>
        </w:trPr>
        <w:tc>
          <w:tcPr>
            <w:tcW w:w="0" w:type="auto"/>
            <w:shd w:val="clear" w:color="auto" w:fill="auto"/>
            <w:vAlign w:val="center"/>
          </w:tcPr>
          <w:p w14:paraId="708075C3"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0B32B1A7" w14:textId="77777777" w:rsidR="00F00EE3" w:rsidRPr="00404DA5" w:rsidRDefault="00F00EE3" w:rsidP="00B673BB">
            <w:pPr>
              <w:rPr>
                <w:bCs/>
                <w:sz w:val="18"/>
                <w:szCs w:val="18"/>
              </w:rPr>
            </w:pPr>
            <w:r w:rsidRPr="00404DA5">
              <w:rPr>
                <w:bCs/>
                <w:sz w:val="18"/>
                <w:szCs w:val="18"/>
              </w:rPr>
              <w:t>Liczba przedsiębiorstw otrzymujących wsparcie niefinansowe</w:t>
            </w:r>
          </w:p>
        </w:tc>
        <w:tc>
          <w:tcPr>
            <w:tcW w:w="0" w:type="auto"/>
            <w:shd w:val="clear" w:color="auto" w:fill="auto"/>
            <w:vAlign w:val="center"/>
          </w:tcPr>
          <w:p w14:paraId="32D6183A" w14:textId="77777777" w:rsidR="00F00EE3" w:rsidRPr="00404DA5" w:rsidRDefault="00F00EE3" w:rsidP="00B673BB">
            <w:pPr>
              <w:jc w:val="center"/>
              <w:rPr>
                <w:bCs/>
                <w:sz w:val="18"/>
                <w:szCs w:val="18"/>
              </w:rPr>
            </w:pPr>
            <w:r w:rsidRPr="00404DA5">
              <w:rPr>
                <w:bCs/>
                <w:sz w:val="18"/>
                <w:szCs w:val="18"/>
              </w:rPr>
              <w:t>435</w:t>
            </w:r>
          </w:p>
        </w:tc>
        <w:tc>
          <w:tcPr>
            <w:tcW w:w="0" w:type="auto"/>
            <w:shd w:val="clear" w:color="auto" w:fill="auto"/>
            <w:vAlign w:val="center"/>
          </w:tcPr>
          <w:p w14:paraId="5A6C4AA0" w14:textId="77777777" w:rsidR="00F00EE3" w:rsidRPr="00404DA5" w:rsidRDefault="00F00EE3" w:rsidP="00B673BB">
            <w:pPr>
              <w:jc w:val="center"/>
              <w:rPr>
                <w:bCs/>
                <w:sz w:val="18"/>
                <w:szCs w:val="18"/>
              </w:rPr>
            </w:pPr>
            <w:r w:rsidRPr="00404DA5">
              <w:rPr>
                <w:bCs/>
                <w:sz w:val="18"/>
                <w:szCs w:val="18"/>
              </w:rPr>
              <w:t>383</w:t>
            </w:r>
          </w:p>
        </w:tc>
        <w:tc>
          <w:tcPr>
            <w:tcW w:w="0" w:type="auto"/>
            <w:shd w:val="clear" w:color="auto" w:fill="auto"/>
            <w:vAlign w:val="center"/>
          </w:tcPr>
          <w:p w14:paraId="0777C900" w14:textId="77777777" w:rsidR="00F00EE3" w:rsidRPr="00404DA5" w:rsidRDefault="00F00EE3" w:rsidP="00B673BB">
            <w:pPr>
              <w:jc w:val="center"/>
              <w:rPr>
                <w:bCs/>
                <w:sz w:val="18"/>
                <w:szCs w:val="18"/>
              </w:rPr>
            </w:pPr>
            <w:r w:rsidRPr="00404DA5">
              <w:rPr>
                <w:bCs/>
                <w:sz w:val="18"/>
                <w:szCs w:val="18"/>
              </w:rPr>
              <w:t>88,1%</w:t>
            </w:r>
          </w:p>
        </w:tc>
      </w:tr>
      <w:tr w:rsidR="00F00EE3" w:rsidRPr="008A06CB" w14:paraId="6BF6E635" w14:textId="77777777" w:rsidTr="00B673BB">
        <w:trPr>
          <w:trHeight w:val="672"/>
        </w:trPr>
        <w:tc>
          <w:tcPr>
            <w:tcW w:w="0" w:type="auto"/>
            <w:shd w:val="clear" w:color="auto" w:fill="auto"/>
            <w:vAlign w:val="center"/>
          </w:tcPr>
          <w:p w14:paraId="144FD70A"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55F954ED" w14:textId="77777777" w:rsidR="00F00EE3" w:rsidRPr="00404DA5" w:rsidRDefault="00F00EE3" w:rsidP="00B673BB">
            <w:pPr>
              <w:rPr>
                <w:bCs/>
                <w:sz w:val="18"/>
                <w:szCs w:val="18"/>
              </w:rPr>
            </w:pPr>
            <w:r w:rsidRPr="00404DA5">
              <w:rPr>
                <w:bCs/>
                <w:sz w:val="18"/>
                <w:szCs w:val="18"/>
              </w:rPr>
              <w:t>Liczba nowych wspieranych przedsiębiorstw</w:t>
            </w:r>
          </w:p>
        </w:tc>
        <w:tc>
          <w:tcPr>
            <w:tcW w:w="0" w:type="auto"/>
            <w:shd w:val="clear" w:color="auto" w:fill="auto"/>
            <w:vAlign w:val="center"/>
          </w:tcPr>
          <w:p w14:paraId="593BEE13" w14:textId="77777777" w:rsidR="00F00EE3" w:rsidRPr="00404DA5" w:rsidRDefault="00F00EE3" w:rsidP="00B673BB">
            <w:pPr>
              <w:jc w:val="center"/>
              <w:rPr>
                <w:bCs/>
                <w:sz w:val="18"/>
                <w:szCs w:val="18"/>
              </w:rPr>
            </w:pPr>
            <w:r w:rsidRPr="00404DA5">
              <w:rPr>
                <w:bCs/>
                <w:sz w:val="18"/>
                <w:szCs w:val="18"/>
              </w:rPr>
              <w:t>261</w:t>
            </w:r>
          </w:p>
        </w:tc>
        <w:tc>
          <w:tcPr>
            <w:tcW w:w="0" w:type="auto"/>
            <w:shd w:val="clear" w:color="auto" w:fill="auto"/>
            <w:vAlign w:val="center"/>
          </w:tcPr>
          <w:p w14:paraId="6B2930E8" w14:textId="77777777" w:rsidR="00F00EE3" w:rsidRPr="00404DA5" w:rsidRDefault="00F00EE3" w:rsidP="00B673BB">
            <w:pPr>
              <w:jc w:val="center"/>
              <w:rPr>
                <w:bCs/>
                <w:sz w:val="18"/>
                <w:szCs w:val="18"/>
              </w:rPr>
            </w:pPr>
            <w:r w:rsidRPr="00404DA5">
              <w:rPr>
                <w:bCs/>
                <w:sz w:val="18"/>
                <w:szCs w:val="18"/>
              </w:rPr>
              <w:t>31</w:t>
            </w:r>
          </w:p>
        </w:tc>
        <w:tc>
          <w:tcPr>
            <w:tcW w:w="0" w:type="auto"/>
            <w:shd w:val="clear" w:color="auto" w:fill="auto"/>
            <w:vAlign w:val="center"/>
          </w:tcPr>
          <w:p w14:paraId="2646249A" w14:textId="77777777" w:rsidR="00F00EE3" w:rsidRPr="00404DA5" w:rsidRDefault="00F00EE3" w:rsidP="00B673BB">
            <w:pPr>
              <w:jc w:val="center"/>
              <w:rPr>
                <w:bCs/>
                <w:sz w:val="18"/>
                <w:szCs w:val="18"/>
              </w:rPr>
            </w:pPr>
            <w:r w:rsidRPr="00404DA5">
              <w:rPr>
                <w:bCs/>
                <w:sz w:val="18"/>
                <w:szCs w:val="18"/>
              </w:rPr>
              <w:t>12,0%</w:t>
            </w:r>
          </w:p>
        </w:tc>
      </w:tr>
      <w:tr w:rsidR="00F00EE3" w:rsidRPr="008A06CB" w14:paraId="248C4B0D" w14:textId="77777777" w:rsidTr="00B673BB">
        <w:trPr>
          <w:trHeight w:val="672"/>
        </w:trPr>
        <w:tc>
          <w:tcPr>
            <w:tcW w:w="0" w:type="auto"/>
            <w:shd w:val="clear" w:color="auto" w:fill="auto"/>
            <w:vAlign w:val="center"/>
          </w:tcPr>
          <w:p w14:paraId="79EA7D48"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33D52114" w14:textId="77777777" w:rsidR="00F00EE3" w:rsidRPr="00404DA5" w:rsidRDefault="00F00EE3" w:rsidP="00B673BB">
            <w:pPr>
              <w:rPr>
                <w:bCs/>
                <w:sz w:val="18"/>
                <w:szCs w:val="18"/>
              </w:rPr>
            </w:pPr>
            <w:r w:rsidRPr="00404DA5">
              <w:rPr>
                <w:bCs/>
                <w:sz w:val="18"/>
                <w:szCs w:val="18"/>
              </w:rPr>
              <w:t>Inwestycje prywatne uzupełniające wsparcie publiczne dla przedsiębiorstw (dotacje) (CI)</w:t>
            </w:r>
          </w:p>
        </w:tc>
        <w:tc>
          <w:tcPr>
            <w:tcW w:w="0" w:type="auto"/>
            <w:shd w:val="clear" w:color="auto" w:fill="auto"/>
            <w:vAlign w:val="center"/>
          </w:tcPr>
          <w:p w14:paraId="1262C1BA" w14:textId="77777777" w:rsidR="00F00EE3" w:rsidRPr="00404DA5" w:rsidRDefault="00F00EE3" w:rsidP="00B673BB">
            <w:pPr>
              <w:jc w:val="center"/>
              <w:rPr>
                <w:bCs/>
                <w:sz w:val="18"/>
                <w:szCs w:val="18"/>
              </w:rPr>
            </w:pPr>
            <w:r w:rsidRPr="00404DA5">
              <w:rPr>
                <w:bCs/>
                <w:sz w:val="18"/>
                <w:szCs w:val="18"/>
              </w:rPr>
              <w:t>787 301</w:t>
            </w:r>
          </w:p>
        </w:tc>
        <w:tc>
          <w:tcPr>
            <w:tcW w:w="0" w:type="auto"/>
            <w:shd w:val="clear" w:color="auto" w:fill="auto"/>
            <w:vAlign w:val="center"/>
          </w:tcPr>
          <w:p w14:paraId="71AEBEA8" w14:textId="77777777" w:rsidR="00F00EE3" w:rsidRPr="00404DA5" w:rsidRDefault="00F00EE3" w:rsidP="00B673BB">
            <w:pPr>
              <w:jc w:val="center"/>
              <w:rPr>
                <w:bCs/>
                <w:sz w:val="18"/>
                <w:szCs w:val="18"/>
              </w:rPr>
            </w:pPr>
            <w:r w:rsidRPr="00404DA5">
              <w:rPr>
                <w:bCs/>
                <w:sz w:val="18"/>
                <w:szCs w:val="18"/>
              </w:rPr>
              <w:t>1 286 647</w:t>
            </w:r>
          </w:p>
        </w:tc>
        <w:tc>
          <w:tcPr>
            <w:tcW w:w="0" w:type="auto"/>
            <w:shd w:val="clear" w:color="auto" w:fill="auto"/>
            <w:vAlign w:val="center"/>
          </w:tcPr>
          <w:p w14:paraId="57D514D0" w14:textId="77777777" w:rsidR="00F00EE3" w:rsidRPr="00404DA5" w:rsidRDefault="00F00EE3" w:rsidP="00B673BB">
            <w:pPr>
              <w:jc w:val="center"/>
              <w:rPr>
                <w:bCs/>
                <w:sz w:val="18"/>
                <w:szCs w:val="18"/>
              </w:rPr>
            </w:pPr>
            <w:r w:rsidRPr="00404DA5">
              <w:rPr>
                <w:bCs/>
                <w:sz w:val="18"/>
                <w:szCs w:val="18"/>
              </w:rPr>
              <w:t>163,4%</w:t>
            </w:r>
          </w:p>
        </w:tc>
      </w:tr>
      <w:tr w:rsidR="00F00EE3" w:rsidRPr="008A06CB" w14:paraId="037566B5" w14:textId="77777777" w:rsidTr="00B673BB">
        <w:trPr>
          <w:trHeight w:val="672"/>
        </w:trPr>
        <w:tc>
          <w:tcPr>
            <w:tcW w:w="0" w:type="auto"/>
            <w:shd w:val="clear" w:color="auto" w:fill="auto"/>
            <w:vAlign w:val="center"/>
          </w:tcPr>
          <w:p w14:paraId="3528033F"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5B115357" w14:textId="77777777" w:rsidR="00F00EE3" w:rsidRPr="00404DA5" w:rsidRDefault="00F00EE3" w:rsidP="00B673BB">
            <w:pPr>
              <w:rPr>
                <w:bCs/>
                <w:sz w:val="18"/>
                <w:szCs w:val="18"/>
              </w:rPr>
            </w:pPr>
            <w:r w:rsidRPr="00404DA5">
              <w:rPr>
                <w:bCs/>
                <w:sz w:val="18"/>
                <w:szCs w:val="18"/>
              </w:rPr>
              <w:t>Inwestycje prywatne uzupełniające wsparcie publiczne dla przedsiębiorstw (inne niż dotacje)</w:t>
            </w:r>
          </w:p>
        </w:tc>
        <w:tc>
          <w:tcPr>
            <w:tcW w:w="0" w:type="auto"/>
            <w:shd w:val="clear" w:color="auto" w:fill="auto"/>
            <w:vAlign w:val="center"/>
          </w:tcPr>
          <w:p w14:paraId="42B70713" w14:textId="77777777" w:rsidR="00F00EE3" w:rsidRPr="00404DA5" w:rsidRDefault="00F00EE3" w:rsidP="00B673BB">
            <w:pPr>
              <w:jc w:val="center"/>
              <w:rPr>
                <w:bCs/>
                <w:sz w:val="18"/>
                <w:szCs w:val="18"/>
              </w:rPr>
            </w:pPr>
            <w:r w:rsidRPr="00404DA5">
              <w:rPr>
                <w:bCs/>
                <w:sz w:val="18"/>
                <w:szCs w:val="18"/>
              </w:rPr>
              <w:t>1 454 018</w:t>
            </w:r>
          </w:p>
        </w:tc>
        <w:tc>
          <w:tcPr>
            <w:tcW w:w="0" w:type="auto"/>
            <w:shd w:val="clear" w:color="auto" w:fill="auto"/>
            <w:vAlign w:val="center"/>
          </w:tcPr>
          <w:p w14:paraId="02972EE9" w14:textId="77777777" w:rsidR="00F00EE3" w:rsidRPr="00404DA5" w:rsidRDefault="00F00EE3" w:rsidP="00B673BB">
            <w:pPr>
              <w:jc w:val="center"/>
              <w:rPr>
                <w:bCs/>
                <w:sz w:val="18"/>
                <w:szCs w:val="18"/>
              </w:rPr>
            </w:pPr>
            <w:r w:rsidRPr="00404DA5">
              <w:rPr>
                <w:bCs/>
                <w:sz w:val="18"/>
                <w:szCs w:val="18"/>
              </w:rPr>
              <w:t>1 446 214</w:t>
            </w:r>
          </w:p>
        </w:tc>
        <w:tc>
          <w:tcPr>
            <w:tcW w:w="0" w:type="auto"/>
            <w:shd w:val="clear" w:color="auto" w:fill="auto"/>
            <w:vAlign w:val="center"/>
          </w:tcPr>
          <w:p w14:paraId="7CEF4D4C" w14:textId="77777777" w:rsidR="00F00EE3" w:rsidRPr="00404DA5" w:rsidRDefault="00F00EE3" w:rsidP="00B673BB">
            <w:pPr>
              <w:jc w:val="center"/>
              <w:rPr>
                <w:bCs/>
                <w:sz w:val="18"/>
                <w:szCs w:val="18"/>
              </w:rPr>
            </w:pPr>
            <w:r w:rsidRPr="00404DA5">
              <w:rPr>
                <w:bCs/>
                <w:sz w:val="18"/>
                <w:szCs w:val="18"/>
              </w:rPr>
              <w:t>99,5%</w:t>
            </w:r>
          </w:p>
        </w:tc>
      </w:tr>
      <w:tr w:rsidR="00F00EE3" w:rsidRPr="008A06CB" w14:paraId="1F17693A" w14:textId="77777777" w:rsidTr="00B673BB">
        <w:trPr>
          <w:trHeight w:val="672"/>
        </w:trPr>
        <w:tc>
          <w:tcPr>
            <w:tcW w:w="0" w:type="auto"/>
            <w:shd w:val="clear" w:color="auto" w:fill="auto"/>
            <w:vAlign w:val="center"/>
          </w:tcPr>
          <w:p w14:paraId="49F1EF2B" w14:textId="77777777" w:rsidR="00F00EE3" w:rsidRPr="00404DA5" w:rsidRDefault="00F00EE3" w:rsidP="00B673BB">
            <w:pPr>
              <w:rPr>
                <w:rFonts w:cs="Calibri"/>
                <w:sz w:val="18"/>
                <w:szCs w:val="18"/>
              </w:rPr>
            </w:pPr>
            <w:r w:rsidRPr="00404DA5">
              <w:rPr>
                <w:rFonts w:cs="Calibri"/>
                <w:sz w:val="18"/>
                <w:szCs w:val="18"/>
              </w:rPr>
              <w:t>WP</w:t>
            </w:r>
          </w:p>
        </w:tc>
        <w:tc>
          <w:tcPr>
            <w:tcW w:w="0" w:type="auto"/>
            <w:shd w:val="clear" w:color="auto" w:fill="auto"/>
            <w:vAlign w:val="center"/>
          </w:tcPr>
          <w:p w14:paraId="61710E0D" w14:textId="77777777" w:rsidR="00F00EE3" w:rsidRPr="00404DA5" w:rsidRDefault="00F00EE3" w:rsidP="00B673BB">
            <w:pPr>
              <w:rPr>
                <w:bCs/>
                <w:sz w:val="18"/>
                <w:szCs w:val="18"/>
              </w:rPr>
            </w:pPr>
            <w:r w:rsidRPr="00404DA5">
              <w:rPr>
                <w:bCs/>
                <w:sz w:val="18"/>
                <w:szCs w:val="18"/>
              </w:rPr>
              <w:t>Liczba zaawansowanych usług (nowych lub ulepszonych) świadczonych przez IOB</w:t>
            </w:r>
          </w:p>
        </w:tc>
        <w:tc>
          <w:tcPr>
            <w:tcW w:w="0" w:type="auto"/>
            <w:shd w:val="clear" w:color="auto" w:fill="auto"/>
            <w:vAlign w:val="center"/>
          </w:tcPr>
          <w:p w14:paraId="4934E2DC" w14:textId="77777777" w:rsidR="00F00EE3" w:rsidRPr="00404DA5" w:rsidRDefault="00F00EE3" w:rsidP="00B673BB">
            <w:pPr>
              <w:jc w:val="center"/>
              <w:rPr>
                <w:bCs/>
                <w:sz w:val="18"/>
                <w:szCs w:val="18"/>
              </w:rPr>
            </w:pPr>
            <w:r w:rsidRPr="00404DA5">
              <w:rPr>
                <w:bCs/>
                <w:sz w:val="18"/>
                <w:szCs w:val="18"/>
              </w:rPr>
              <w:t>40</w:t>
            </w:r>
          </w:p>
        </w:tc>
        <w:tc>
          <w:tcPr>
            <w:tcW w:w="0" w:type="auto"/>
            <w:shd w:val="clear" w:color="auto" w:fill="auto"/>
            <w:vAlign w:val="center"/>
          </w:tcPr>
          <w:p w14:paraId="0CEFFF78" w14:textId="77777777" w:rsidR="00F00EE3" w:rsidRPr="00404DA5" w:rsidRDefault="00F00EE3" w:rsidP="00B673BB">
            <w:pPr>
              <w:jc w:val="center"/>
              <w:rPr>
                <w:bCs/>
                <w:sz w:val="18"/>
                <w:szCs w:val="18"/>
              </w:rPr>
            </w:pPr>
            <w:r w:rsidRPr="00404DA5">
              <w:rPr>
                <w:bCs/>
                <w:sz w:val="18"/>
                <w:szCs w:val="18"/>
              </w:rPr>
              <w:t>0</w:t>
            </w:r>
          </w:p>
        </w:tc>
        <w:tc>
          <w:tcPr>
            <w:tcW w:w="0" w:type="auto"/>
            <w:shd w:val="clear" w:color="auto" w:fill="auto"/>
            <w:vAlign w:val="center"/>
          </w:tcPr>
          <w:p w14:paraId="6E28677F" w14:textId="77777777" w:rsidR="00F00EE3" w:rsidRPr="00404DA5" w:rsidRDefault="00F00EE3" w:rsidP="00B673BB">
            <w:pPr>
              <w:jc w:val="center"/>
              <w:rPr>
                <w:bCs/>
                <w:sz w:val="18"/>
                <w:szCs w:val="18"/>
              </w:rPr>
            </w:pPr>
            <w:r w:rsidRPr="00404DA5">
              <w:rPr>
                <w:bCs/>
                <w:sz w:val="18"/>
                <w:szCs w:val="18"/>
              </w:rPr>
              <w:t>0,0%</w:t>
            </w:r>
          </w:p>
        </w:tc>
      </w:tr>
    </w:tbl>
    <w:p w14:paraId="602C93BC" w14:textId="77777777" w:rsidR="00F00EE3" w:rsidRPr="002A5FDF" w:rsidRDefault="00F00EE3"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dane SL2014</w:t>
      </w:r>
      <w:r w:rsidR="00E66B89" w:rsidRPr="002A5FDF">
        <w:rPr>
          <w:rFonts w:cs="Calibri"/>
          <w:i/>
          <w:sz w:val="18"/>
        </w:rPr>
        <w:t xml:space="preserve"> o </w:t>
      </w:r>
      <w:r w:rsidRPr="002A5FDF">
        <w:rPr>
          <w:rFonts w:cs="Calibri"/>
          <w:i/>
          <w:sz w:val="18"/>
        </w:rPr>
        <w:t>zawartych UoD na dzień 07.01.2019 r., obliczenia</w:t>
      </w:r>
      <w:r w:rsidR="00E66B89" w:rsidRPr="002A5FDF">
        <w:rPr>
          <w:rFonts w:cs="Calibri"/>
          <w:i/>
          <w:sz w:val="18"/>
        </w:rPr>
        <w:t xml:space="preserve"> i </w:t>
      </w:r>
      <w:r w:rsidRPr="002A5FDF">
        <w:rPr>
          <w:rFonts w:cs="Calibri"/>
          <w:i/>
          <w:sz w:val="18"/>
        </w:rPr>
        <w:t xml:space="preserve">analizy własne. </w:t>
      </w:r>
    </w:p>
    <w:p w14:paraId="292C7FF2" w14:textId="33000C8C" w:rsidR="00F00EE3" w:rsidRPr="00404DA5" w:rsidRDefault="00F00EE3" w:rsidP="00F00EE3">
      <w:pPr>
        <w:rPr>
          <w:rFonts w:cs="Calibri"/>
          <w:szCs w:val="20"/>
        </w:rPr>
      </w:pPr>
      <w:r w:rsidRPr="00404DA5">
        <w:rPr>
          <w:rFonts w:cs="Calibri"/>
          <w:szCs w:val="20"/>
        </w:rPr>
        <w:lastRenderedPageBreak/>
        <w:t>Podsumowując, aktualny stan wdrażania RPO WZ 2014-2020</w:t>
      </w:r>
      <w:r w:rsidR="00E66B89">
        <w:rPr>
          <w:rFonts w:cs="Calibri"/>
          <w:szCs w:val="20"/>
        </w:rPr>
        <w:t xml:space="preserve"> w </w:t>
      </w:r>
      <w:r w:rsidRPr="00404DA5">
        <w:rPr>
          <w:rFonts w:cs="Calibri"/>
          <w:szCs w:val="20"/>
        </w:rPr>
        <w:t>zakresie PI 3a należy zaznaczyć, że wskaźniki definiujące priorytet są silnie skorelowane</w:t>
      </w:r>
      <w:r w:rsidR="00E66B89">
        <w:rPr>
          <w:rFonts w:cs="Calibri"/>
          <w:szCs w:val="20"/>
        </w:rPr>
        <w:t xml:space="preserve"> z </w:t>
      </w:r>
      <w:r w:rsidRPr="00404DA5">
        <w:rPr>
          <w:rFonts w:cs="Calibri"/>
          <w:szCs w:val="20"/>
        </w:rPr>
        <w:t>wdrażaniem pomocy</w:t>
      </w:r>
      <w:r w:rsidR="00E66B89">
        <w:rPr>
          <w:rFonts w:cs="Calibri"/>
          <w:szCs w:val="20"/>
        </w:rPr>
        <w:t xml:space="preserve"> o </w:t>
      </w:r>
      <w:r w:rsidRPr="00404DA5">
        <w:rPr>
          <w:rFonts w:cs="Calibri"/>
          <w:szCs w:val="20"/>
        </w:rPr>
        <w:t>charakterze zwrotnym</w:t>
      </w:r>
      <w:r w:rsidR="00E66B89">
        <w:rPr>
          <w:rFonts w:cs="Calibri"/>
          <w:szCs w:val="20"/>
        </w:rPr>
        <w:t xml:space="preserve"> a </w:t>
      </w:r>
      <w:r w:rsidRPr="00404DA5">
        <w:rPr>
          <w:rFonts w:cs="Calibri"/>
          <w:szCs w:val="20"/>
        </w:rPr>
        <w:t>ich ostateczny poziom uzależniony jest od sprawności wdrażania instytucji systemu wdrażania instrumentów finansowych.</w:t>
      </w:r>
    </w:p>
    <w:p w14:paraId="2B3528ED" w14:textId="77777777" w:rsidR="00F00EE3" w:rsidRPr="00404DA5" w:rsidRDefault="00F00EE3" w:rsidP="00F00EE3">
      <w:pPr>
        <w:rPr>
          <w:rFonts w:cs="Calibri"/>
          <w:szCs w:val="20"/>
        </w:rPr>
      </w:pPr>
      <w:r w:rsidRPr="00404DA5">
        <w:rPr>
          <w:rFonts w:cs="Calibri"/>
          <w:szCs w:val="20"/>
        </w:rPr>
        <w:t xml:space="preserve">Duże znaczenie dla ostatecznego obrazu wypełnienia założonych wartości docelowych będzie miało również powodzenie </w:t>
      </w:r>
      <w:r w:rsidRPr="00404DA5">
        <w:rPr>
          <w:rFonts w:cs="Calibri"/>
          <w:i/>
          <w:szCs w:val="20"/>
        </w:rPr>
        <w:t>Działania 1.16 Zwiększenie dostępu do usług Instytucji Otoczenia Biznesu.</w:t>
      </w:r>
    </w:p>
    <w:p w14:paraId="316FE6E9" w14:textId="77777777" w:rsidR="00F00EE3" w:rsidRPr="008A06CB" w:rsidRDefault="00F00EE3" w:rsidP="00F00EE3">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2CFA582E" w14:textId="77777777" w:rsidR="00936093" w:rsidRPr="00900547" w:rsidRDefault="00F00EE3" w:rsidP="00936093">
      <w:pPr>
        <w:rPr>
          <w:rFonts w:cs="Calibri"/>
          <w:color w:val="FF0000"/>
          <w:szCs w:val="20"/>
        </w:rPr>
      </w:pPr>
      <w:r>
        <w:rPr>
          <w:rFonts w:cs="Calibri"/>
          <w:szCs w:val="20"/>
        </w:rPr>
        <w:t>Działaniem</w:t>
      </w:r>
      <w:r w:rsidR="00E66B89">
        <w:rPr>
          <w:rFonts w:cs="Calibri"/>
          <w:szCs w:val="20"/>
        </w:rPr>
        <w:t xml:space="preserve"> w </w:t>
      </w:r>
      <w:r>
        <w:rPr>
          <w:rFonts w:cs="Calibri"/>
          <w:szCs w:val="20"/>
        </w:rPr>
        <w:t>PI 3a, które charakteryzuje się największym potencjałem absorpcyjnym jest Działanie 1.10 (</w:t>
      </w:r>
      <w:r w:rsidRPr="00B4551C">
        <w:rPr>
          <w:rFonts w:cs="Calibri"/>
          <w:szCs w:val="20"/>
        </w:rPr>
        <w:t>31,88%</w:t>
      </w:r>
      <w:r w:rsidR="00E66B89">
        <w:rPr>
          <w:rFonts w:cs="Calibri"/>
          <w:szCs w:val="20"/>
        </w:rPr>
        <w:t xml:space="preserve"> w </w:t>
      </w:r>
      <w:r w:rsidRPr="00B4551C">
        <w:rPr>
          <w:rFonts w:cs="Calibri"/>
          <w:szCs w:val="20"/>
        </w:rPr>
        <w:t>ramach PI 3a, 19,5%</w:t>
      </w:r>
      <w:r w:rsidR="00E66B89">
        <w:rPr>
          <w:rFonts w:cs="Calibri"/>
          <w:szCs w:val="20"/>
        </w:rPr>
        <w:t xml:space="preserve"> w </w:t>
      </w:r>
      <w:r w:rsidRPr="00B4551C">
        <w:rPr>
          <w:rFonts w:cs="Calibri"/>
          <w:szCs w:val="20"/>
        </w:rPr>
        <w:t>ramach osi</w:t>
      </w:r>
      <w:r>
        <w:rPr>
          <w:rFonts w:cs="Calibri"/>
          <w:szCs w:val="20"/>
        </w:rPr>
        <w:t>),</w:t>
      </w:r>
      <w:r w:rsidR="00E66B89">
        <w:rPr>
          <w:rFonts w:cs="Calibri"/>
          <w:szCs w:val="20"/>
        </w:rPr>
        <w:t xml:space="preserve"> a </w:t>
      </w:r>
      <w:r>
        <w:rPr>
          <w:rFonts w:cs="Calibri"/>
          <w:szCs w:val="20"/>
        </w:rPr>
        <w:t xml:space="preserve">następnie </w:t>
      </w:r>
      <w:r w:rsidRPr="008F36A5">
        <w:rPr>
          <w:rFonts w:cs="Calibri"/>
          <w:szCs w:val="20"/>
        </w:rPr>
        <w:t>Działanie 1.14 (21,74%</w:t>
      </w:r>
      <w:r w:rsidR="00E66B89">
        <w:rPr>
          <w:rFonts w:cs="Calibri"/>
          <w:szCs w:val="20"/>
        </w:rPr>
        <w:t xml:space="preserve"> i </w:t>
      </w:r>
      <w:r w:rsidRPr="008F36A5">
        <w:rPr>
          <w:rFonts w:cs="Calibri"/>
          <w:szCs w:val="20"/>
        </w:rPr>
        <w:t>13,3%, odpowiednio)</w:t>
      </w:r>
      <w:r>
        <w:rPr>
          <w:rFonts w:cs="Calibri"/>
          <w:szCs w:val="20"/>
        </w:rPr>
        <w:t xml:space="preserve">. </w:t>
      </w:r>
      <w:r w:rsidRPr="00B4551C">
        <w:rPr>
          <w:rFonts w:cs="Calibri"/>
          <w:szCs w:val="20"/>
        </w:rPr>
        <w:t>Działanie 1.10 nie jest działaniem</w:t>
      </w:r>
      <w:r w:rsidR="00E66B89">
        <w:rPr>
          <w:rFonts w:cs="Calibri"/>
          <w:szCs w:val="20"/>
        </w:rPr>
        <w:t xml:space="preserve"> o </w:t>
      </w:r>
      <w:r w:rsidRPr="00B4551C">
        <w:rPr>
          <w:rFonts w:cs="Calibri"/>
          <w:szCs w:val="20"/>
        </w:rPr>
        <w:t>największej skuteczności (mierzonej stopniem osiągnięcia wartości końcowej zaplanowanej na 2023 r. według wniosków</w:t>
      </w:r>
      <w:r w:rsidR="00E66B89">
        <w:rPr>
          <w:rFonts w:cs="Calibri"/>
          <w:szCs w:val="20"/>
        </w:rPr>
        <w:t xml:space="preserve"> o </w:t>
      </w:r>
      <w:r w:rsidRPr="00B4551C">
        <w:rPr>
          <w:rFonts w:cs="Calibri"/>
          <w:szCs w:val="20"/>
        </w:rPr>
        <w:t>płatność).</w:t>
      </w:r>
      <w:r>
        <w:rPr>
          <w:rFonts w:cs="Calibri"/>
          <w:szCs w:val="20"/>
        </w:rPr>
        <w:t xml:space="preserve"> </w:t>
      </w:r>
      <w:r w:rsidRPr="008F36A5">
        <w:rPr>
          <w:rFonts w:cs="Calibri"/>
          <w:szCs w:val="20"/>
        </w:rPr>
        <w:t xml:space="preserve">Działanie 1.14 </w:t>
      </w:r>
      <w:r>
        <w:rPr>
          <w:rFonts w:cs="Calibri"/>
          <w:szCs w:val="20"/>
        </w:rPr>
        <w:t>zajmuje drugą pozycję</w:t>
      </w:r>
      <w:r w:rsidRPr="008F36A5">
        <w:rPr>
          <w:rFonts w:cs="Calibri"/>
          <w:szCs w:val="20"/>
        </w:rPr>
        <w:t xml:space="preserve"> pod względem skuteczności</w:t>
      </w:r>
      <w:r w:rsidR="00E66B89">
        <w:rPr>
          <w:rFonts w:cs="Calibri"/>
          <w:szCs w:val="20"/>
        </w:rPr>
        <w:t xml:space="preserve"> w </w:t>
      </w:r>
      <w:r w:rsidRPr="008F36A5">
        <w:rPr>
          <w:rFonts w:cs="Calibri"/>
          <w:szCs w:val="20"/>
        </w:rPr>
        <w:t xml:space="preserve">przypadku </w:t>
      </w:r>
      <w:r>
        <w:rPr>
          <w:rFonts w:cs="Calibri"/>
          <w:szCs w:val="20"/>
        </w:rPr>
        <w:t>wskaźników</w:t>
      </w:r>
      <w:r w:rsidRPr="008F36A5">
        <w:rPr>
          <w:rFonts w:cs="Calibri"/>
          <w:szCs w:val="20"/>
        </w:rPr>
        <w:t xml:space="preserve"> </w:t>
      </w:r>
      <w:r>
        <w:rPr>
          <w:rFonts w:cs="Calibri"/>
          <w:szCs w:val="20"/>
        </w:rPr>
        <w:t>obrazujących</w:t>
      </w:r>
      <w:r w:rsidRPr="008F36A5">
        <w:rPr>
          <w:rFonts w:cs="Calibri"/>
          <w:szCs w:val="20"/>
        </w:rPr>
        <w:t xml:space="preserve"> liczbę przedsiębiorstw objętych wsparciem oraz liczbę przedsiębiorstw otrzymujących wsparcie niefinansowe –</w:t>
      </w:r>
      <w:r w:rsidR="00E66B89">
        <w:rPr>
          <w:rFonts w:cs="Calibri"/>
          <w:szCs w:val="20"/>
        </w:rPr>
        <w:t xml:space="preserve"> w </w:t>
      </w:r>
      <w:r w:rsidRPr="008F36A5">
        <w:rPr>
          <w:rFonts w:cs="Calibri"/>
          <w:szCs w:val="20"/>
        </w:rPr>
        <w:t xml:space="preserve">obu </w:t>
      </w:r>
      <w:r>
        <w:rPr>
          <w:rFonts w:cs="Calibri"/>
          <w:szCs w:val="20"/>
        </w:rPr>
        <w:t xml:space="preserve">tych </w:t>
      </w:r>
      <w:r w:rsidRPr="008F36A5">
        <w:rPr>
          <w:rFonts w:cs="Calibri"/>
          <w:szCs w:val="20"/>
        </w:rPr>
        <w:t>przypadkach liderem jest Działanie 1.15.</w:t>
      </w:r>
      <w:r>
        <w:rPr>
          <w:rFonts w:cs="Calibri"/>
          <w:szCs w:val="20"/>
        </w:rPr>
        <w:t xml:space="preserve"> Innymi słowy, </w:t>
      </w:r>
      <w:r w:rsidRPr="00B4551C">
        <w:rPr>
          <w:rFonts w:cs="Calibri"/>
          <w:szCs w:val="20"/>
        </w:rPr>
        <w:t xml:space="preserve">wyniki </w:t>
      </w:r>
      <w:r>
        <w:rPr>
          <w:rFonts w:cs="Calibri"/>
          <w:szCs w:val="20"/>
        </w:rPr>
        <w:t>analizy</w:t>
      </w:r>
      <w:r w:rsidRPr="00B4551C">
        <w:rPr>
          <w:rFonts w:cs="Calibri"/>
          <w:szCs w:val="20"/>
        </w:rPr>
        <w:t xml:space="preserve"> potencjału </w:t>
      </w:r>
      <w:r>
        <w:rPr>
          <w:rFonts w:cs="Calibri"/>
          <w:szCs w:val="20"/>
        </w:rPr>
        <w:t xml:space="preserve">absorpcyjnego </w:t>
      </w:r>
      <w:r w:rsidRPr="00B4551C">
        <w:rPr>
          <w:rFonts w:cs="Calibri"/>
          <w:szCs w:val="20"/>
        </w:rPr>
        <w:t>nie pokrywają się z</w:t>
      </w:r>
      <w:r>
        <w:rPr>
          <w:rFonts w:cs="Calibri"/>
          <w:szCs w:val="20"/>
        </w:rPr>
        <w:t>e wskaźnikową</w:t>
      </w:r>
      <w:r w:rsidRPr="00B4551C">
        <w:rPr>
          <w:rFonts w:cs="Calibri"/>
          <w:szCs w:val="20"/>
        </w:rPr>
        <w:t xml:space="preserve"> analizą skuteczności</w:t>
      </w:r>
      <w:r>
        <w:rPr>
          <w:rFonts w:cs="Calibri"/>
          <w:szCs w:val="20"/>
        </w:rPr>
        <w:t>.</w:t>
      </w:r>
      <w:r w:rsidR="00E66B89">
        <w:rPr>
          <w:rFonts w:cs="Calibri"/>
          <w:szCs w:val="20"/>
        </w:rPr>
        <w:t xml:space="preserve"> Z </w:t>
      </w:r>
      <w:r>
        <w:rPr>
          <w:rFonts w:cs="Calibri"/>
          <w:szCs w:val="20"/>
        </w:rPr>
        <w:t>prognoz opartych</w:t>
      </w:r>
      <w:r w:rsidR="00E66B89">
        <w:rPr>
          <w:rFonts w:cs="Calibri"/>
          <w:szCs w:val="20"/>
        </w:rPr>
        <w:t xml:space="preserve"> o </w:t>
      </w:r>
      <w:r>
        <w:rPr>
          <w:rFonts w:cs="Calibri"/>
          <w:szCs w:val="20"/>
        </w:rPr>
        <w:t>koszty jednostkowe wskaźnika wynika jednak, że Działaniem</w:t>
      </w:r>
      <w:r w:rsidR="00E66B89">
        <w:rPr>
          <w:rFonts w:cs="Calibri"/>
          <w:szCs w:val="20"/>
        </w:rPr>
        <w:t xml:space="preserve"> w </w:t>
      </w:r>
      <w:r>
        <w:rPr>
          <w:rFonts w:cs="Calibri"/>
          <w:szCs w:val="20"/>
        </w:rPr>
        <w:t>PI 3a, które cierpi na niedobór środków jest Działanie 1.17. Mając na uwadze, że Działaniami, których fundusze są zagrożone zasadą n+3 są Działania 1.15</w:t>
      </w:r>
      <w:r w:rsidR="00E66B89">
        <w:rPr>
          <w:rFonts w:cs="Calibri"/>
          <w:szCs w:val="20"/>
        </w:rPr>
        <w:t xml:space="preserve"> i </w:t>
      </w:r>
      <w:r>
        <w:rPr>
          <w:rFonts w:cs="Calibri"/>
          <w:szCs w:val="20"/>
        </w:rPr>
        <w:t>1.16 sugeruje się przeniesienie części wolnych środków</w:t>
      </w:r>
      <w:r w:rsidR="00E66B89">
        <w:rPr>
          <w:rFonts w:cs="Calibri"/>
          <w:szCs w:val="20"/>
        </w:rPr>
        <w:t xml:space="preserve"> z </w:t>
      </w:r>
      <w:r>
        <w:rPr>
          <w:rFonts w:cs="Calibri"/>
          <w:szCs w:val="20"/>
        </w:rPr>
        <w:t xml:space="preserve">tych działań na Działanie 1.17 oraz – jeśli wystąpi taka potrzeba np. na skutek większego zainteresowania – na Działanie 1.10, dla którego brakuje już dostępnej alokacji. </w:t>
      </w:r>
    </w:p>
    <w:p w14:paraId="1B15A6E4" w14:textId="77777777" w:rsidR="009F2535" w:rsidRPr="00801DB4" w:rsidRDefault="009F2535" w:rsidP="00D45914">
      <w:pPr>
        <w:pStyle w:val="Nagwek2"/>
      </w:pPr>
      <w:bookmarkStart w:id="65" w:name="_Toc6523746"/>
      <w:r w:rsidRPr="00801DB4">
        <w:t>Oś priorytetowa II Gospodarka niskoemisyjna</w:t>
      </w:r>
      <w:bookmarkEnd w:id="65"/>
      <w:r w:rsidRPr="00801DB4">
        <w:t xml:space="preserve"> </w:t>
      </w:r>
    </w:p>
    <w:p w14:paraId="28B04BED" w14:textId="77777777" w:rsidR="00724F83" w:rsidRPr="00436D27" w:rsidRDefault="00724F83" w:rsidP="00410B29">
      <w:pPr>
        <w:pStyle w:val="Nagwek3"/>
      </w:pPr>
      <w:r w:rsidRPr="00436D27">
        <w:t>Ocena zmian sytuacji społeczno-gospodarczej</w:t>
      </w:r>
      <w:r w:rsidR="00E66B89">
        <w:t xml:space="preserve"> w </w:t>
      </w:r>
      <w:r w:rsidRPr="00436D27">
        <w:t>obszarze OP II</w:t>
      </w:r>
    </w:p>
    <w:p w14:paraId="0E5D8770" w14:textId="77777777" w:rsidR="00216B8D" w:rsidRPr="00B54B6E" w:rsidRDefault="00216B8D" w:rsidP="00B54B6E">
      <w:pPr>
        <w:pStyle w:val="evaluTresc"/>
        <w:rPr>
          <w:b/>
          <w:i/>
          <w:color w:val="4F81BD"/>
        </w:rPr>
      </w:pPr>
      <w:r w:rsidRPr="00B54B6E">
        <w:rPr>
          <w:b/>
          <w:i/>
          <w:color w:val="4F81BD"/>
        </w:rPr>
        <w:t>PI 4a, 4c, 4g, 4e</w:t>
      </w:r>
    </w:p>
    <w:p w14:paraId="352179FA" w14:textId="77777777" w:rsidR="00EA33DF" w:rsidRPr="00404DA5" w:rsidRDefault="00EA33DF" w:rsidP="00EA33DF">
      <w:pPr>
        <w:rPr>
          <w:rFonts w:cs="Calibri"/>
          <w:szCs w:val="20"/>
        </w:rPr>
      </w:pPr>
      <w:r w:rsidRPr="00404DA5">
        <w:rPr>
          <w:rFonts w:cs="Calibri"/>
          <w:szCs w:val="20"/>
        </w:rPr>
        <w:t>Województwo zachodniopomorskie należy do regionów</w:t>
      </w:r>
      <w:r w:rsidR="00E66B89">
        <w:rPr>
          <w:rFonts w:cs="Calibri"/>
          <w:szCs w:val="20"/>
        </w:rPr>
        <w:t xml:space="preserve"> o </w:t>
      </w:r>
      <w:r w:rsidRPr="00404DA5">
        <w:rPr>
          <w:rFonts w:cs="Calibri"/>
          <w:szCs w:val="20"/>
        </w:rPr>
        <w:t>największym udziale produkcji energii elektrycznej do zużycia tejże energii</w:t>
      </w:r>
      <w:r w:rsidR="00E66B89">
        <w:rPr>
          <w:rFonts w:cs="Calibri"/>
          <w:szCs w:val="20"/>
        </w:rPr>
        <w:t xml:space="preserve"> w </w:t>
      </w:r>
      <w:r w:rsidRPr="00404DA5">
        <w:rPr>
          <w:rFonts w:cs="Calibri"/>
          <w:szCs w:val="20"/>
        </w:rPr>
        <w:t>Polsce, co oznacza, iż jest</w:t>
      </w:r>
      <w:r w:rsidR="00E66B89">
        <w:rPr>
          <w:rFonts w:cs="Calibri"/>
          <w:szCs w:val="20"/>
        </w:rPr>
        <w:t xml:space="preserve"> w </w:t>
      </w:r>
      <w:r w:rsidRPr="00404DA5">
        <w:rPr>
          <w:rFonts w:cs="Calibri"/>
          <w:szCs w:val="20"/>
        </w:rPr>
        <w:t>stanie wyprodukować znacznie więcej energii niż konsumuje.</w:t>
      </w:r>
      <w:r w:rsidR="00E66B89">
        <w:rPr>
          <w:rFonts w:cs="Calibri"/>
          <w:szCs w:val="20"/>
        </w:rPr>
        <w:t xml:space="preserve"> W </w:t>
      </w:r>
      <w:r w:rsidRPr="00404DA5">
        <w:rPr>
          <w:rFonts w:cs="Calibri"/>
          <w:szCs w:val="20"/>
        </w:rPr>
        <w:t>2012 r. wskaźnik ten osiągnął 147,2%,</w:t>
      </w:r>
      <w:r w:rsidR="00E66B89">
        <w:rPr>
          <w:rFonts w:cs="Calibri"/>
          <w:szCs w:val="20"/>
        </w:rPr>
        <w:t xml:space="preserve"> a w </w:t>
      </w:r>
      <w:r w:rsidRPr="00404DA5">
        <w:rPr>
          <w:rFonts w:cs="Calibri"/>
          <w:szCs w:val="20"/>
        </w:rPr>
        <w:t>kolejnych latach stopniowo wzrastał, osiągając</w:t>
      </w:r>
      <w:r w:rsidR="00E66B89">
        <w:rPr>
          <w:rFonts w:cs="Calibri"/>
          <w:szCs w:val="20"/>
        </w:rPr>
        <w:t xml:space="preserve"> w </w:t>
      </w:r>
      <w:r w:rsidRPr="00404DA5">
        <w:rPr>
          <w:rFonts w:cs="Calibri"/>
          <w:szCs w:val="20"/>
        </w:rPr>
        <w:t>2017 r. 164,9% (wzrost</w:t>
      </w:r>
      <w:r w:rsidR="00E66B89">
        <w:rPr>
          <w:rFonts w:cs="Calibri"/>
          <w:szCs w:val="20"/>
        </w:rPr>
        <w:t xml:space="preserve"> o </w:t>
      </w:r>
      <w:r w:rsidRPr="00404DA5">
        <w:rPr>
          <w:rFonts w:cs="Calibri"/>
          <w:szCs w:val="20"/>
        </w:rPr>
        <w:t>12%). Na wzrost wartości wskaźnika ma wpływ przede wszystkim rosnąca produkcja energii. Jak wskazują dane GUS,</w:t>
      </w:r>
      <w:r w:rsidR="00E66B89">
        <w:rPr>
          <w:rFonts w:cs="Calibri"/>
          <w:szCs w:val="20"/>
        </w:rPr>
        <w:t xml:space="preserve"> w </w:t>
      </w:r>
      <w:r w:rsidRPr="00404DA5">
        <w:rPr>
          <w:rFonts w:cs="Calibri"/>
          <w:szCs w:val="20"/>
        </w:rPr>
        <w:t>2017 r. na terenie województwa wyprodukowano 9 331 GWh energii, co stanowi wzrost</w:t>
      </w:r>
      <w:r w:rsidR="00E66B89">
        <w:rPr>
          <w:rFonts w:cs="Calibri"/>
          <w:szCs w:val="20"/>
        </w:rPr>
        <w:t xml:space="preserve"> o </w:t>
      </w:r>
      <w:r w:rsidRPr="00404DA5">
        <w:rPr>
          <w:rFonts w:cs="Calibri"/>
          <w:szCs w:val="20"/>
        </w:rPr>
        <w:t>7,3%</w:t>
      </w:r>
      <w:r w:rsidR="00E66B89">
        <w:rPr>
          <w:rFonts w:cs="Calibri"/>
          <w:szCs w:val="20"/>
        </w:rPr>
        <w:t xml:space="preserve"> w </w:t>
      </w:r>
      <w:r w:rsidRPr="00404DA5">
        <w:rPr>
          <w:rFonts w:cs="Calibri"/>
          <w:szCs w:val="20"/>
        </w:rPr>
        <w:t>porównaniu do 2012 r.</w:t>
      </w:r>
      <w:r w:rsidR="00E66B89">
        <w:rPr>
          <w:rFonts w:cs="Calibri"/>
          <w:szCs w:val="20"/>
        </w:rPr>
        <w:t xml:space="preserve"> Z </w:t>
      </w:r>
      <w:r w:rsidRPr="00404DA5">
        <w:rPr>
          <w:rFonts w:cs="Calibri"/>
          <w:szCs w:val="20"/>
        </w:rPr>
        <w:t>kolei zużycie energii elektrycznej, po stopniowym wzroście</w:t>
      </w:r>
      <w:r w:rsidR="00E66B89">
        <w:rPr>
          <w:rFonts w:cs="Calibri"/>
          <w:szCs w:val="20"/>
        </w:rPr>
        <w:t xml:space="preserve"> w </w:t>
      </w:r>
      <w:r w:rsidRPr="00404DA5">
        <w:rPr>
          <w:rFonts w:cs="Calibri"/>
          <w:szCs w:val="20"/>
        </w:rPr>
        <w:t>latach 2012-2016,</w:t>
      </w:r>
      <w:r w:rsidR="00E66B89">
        <w:rPr>
          <w:rFonts w:cs="Calibri"/>
          <w:szCs w:val="20"/>
        </w:rPr>
        <w:t xml:space="preserve"> w </w:t>
      </w:r>
      <w:r w:rsidRPr="00404DA5">
        <w:rPr>
          <w:rFonts w:cs="Calibri"/>
          <w:szCs w:val="20"/>
        </w:rPr>
        <w:t>2017 r. spadło do poziomu 5 660 GWh (spadek</w:t>
      </w:r>
      <w:r w:rsidR="00E66B89">
        <w:rPr>
          <w:rFonts w:cs="Calibri"/>
          <w:szCs w:val="20"/>
        </w:rPr>
        <w:t xml:space="preserve"> o </w:t>
      </w:r>
      <w:r w:rsidRPr="00404DA5">
        <w:rPr>
          <w:rFonts w:cs="Calibri"/>
          <w:szCs w:val="20"/>
        </w:rPr>
        <w:t>4,2%</w:t>
      </w:r>
      <w:r w:rsidR="00E66B89">
        <w:rPr>
          <w:rFonts w:cs="Calibri"/>
          <w:szCs w:val="20"/>
        </w:rPr>
        <w:t xml:space="preserve"> w </w:t>
      </w:r>
      <w:r w:rsidRPr="00404DA5">
        <w:rPr>
          <w:rFonts w:cs="Calibri"/>
          <w:szCs w:val="20"/>
        </w:rPr>
        <w:t>stosunku do roku 2012). Systematycznie rośnie także zużycie energii elektrycznej na jednego mieszkańca (z wyjątkiem spadku</w:t>
      </w:r>
      <w:r w:rsidR="00E66B89">
        <w:rPr>
          <w:rFonts w:cs="Calibri"/>
          <w:szCs w:val="20"/>
        </w:rPr>
        <w:t xml:space="preserve"> w </w:t>
      </w:r>
      <w:r w:rsidRPr="00404DA5">
        <w:rPr>
          <w:rFonts w:cs="Calibri"/>
          <w:szCs w:val="20"/>
        </w:rPr>
        <w:t xml:space="preserve">roku 2017). </w:t>
      </w:r>
    </w:p>
    <w:p w14:paraId="60513EB0" w14:textId="77777777" w:rsidR="00EA33DF" w:rsidRPr="00404DA5" w:rsidRDefault="00EA33DF" w:rsidP="00EA33DF">
      <w:pPr>
        <w:rPr>
          <w:rFonts w:cs="Calibri"/>
          <w:szCs w:val="20"/>
        </w:rPr>
      </w:pPr>
      <w:r w:rsidRPr="00404DA5">
        <w:rPr>
          <w:rFonts w:cs="Calibri"/>
          <w:szCs w:val="20"/>
        </w:rPr>
        <w:t>Jeśli chodzi</w:t>
      </w:r>
      <w:r w:rsidR="00E66B89">
        <w:rPr>
          <w:rFonts w:cs="Calibri"/>
          <w:szCs w:val="20"/>
        </w:rPr>
        <w:t xml:space="preserve"> o </w:t>
      </w:r>
      <w:r w:rsidRPr="00404DA5">
        <w:rPr>
          <w:rFonts w:cs="Calibri"/>
          <w:szCs w:val="20"/>
        </w:rPr>
        <w:t>źródła produkowanej energii elektrycznej,</w:t>
      </w:r>
      <w:r w:rsidR="00E66B89">
        <w:rPr>
          <w:rFonts w:cs="Calibri"/>
          <w:szCs w:val="20"/>
        </w:rPr>
        <w:t xml:space="preserve"> w </w:t>
      </w:r>
      <w:r w:rsidRPr="00404DA5">
        <w:rPr>
          <w:rFonts w:cs="Calibri"/>
          <w:szCs w:val="20"/>
        </w:rPr>
        <w:t>2012 r. 27,0% energii</w:t>
      </w:r>
      <w:r w:rsidR="00E66B89">
        <w:rPr>
          <w:rFonts w:cs="Calibri"/>
          <w:szCs w:val="20"/>
        </w:rPr>
        <w:t xml:space="preserve"> w </w:t>
      </w:r>
      <w:r w:rsidRPr="00404DA5">
        <w:rPr>
          <w:rFonts w:cs="Calibri"/>
          <w:szCs w:val="20"/>
        </w:rPr>
        <w:t>województwie pochodziło ze źródeł odnawialnych. Wynik te</w:t>
      </w:r>
      <w:r>
        <w:rPr>
          <w:rFonts w:cs="Calibri"/>
          <w:szCs w:val="20"/>
        </w:rPr>
        <w:t>n</w:t>
      </w:r>
      <w:r w:rsidRPr="00404DA5">
        <w:rPr>
          <w:rFonts w:cs="Calibri"/>
          <w:szCs w:val="20"/>
        </w:rPr>
        <w:t xml:space="preserve"> był znacząco wyższy od średniej dla Polski (10,4%)</w:t>
      </w:r>
      <w:r w:rsidR="00E66B89">
        <w:rPr>
          <w:rFonts w:cs="Calibri"/>
          <w:szCs w:val="20"/>
        </w:rPr>
        <w:t xml:space="preserve"> i </w:t>
      </w:r>
      <w:r w:rsidRPr="00404DA5">
        <w:rPr>
          <w:rFonts w:cs="Calibri"/>
          <w:szCs w:val="20"/>
        </w:rPr>
        <w:t>plasował województwo zachodniopomorskie na 5. miejscu</w:t>
      </w:r>
      <w:r w:rsidR="00E66B89">
        <w:rPr>
          <w:rFonts w:cs="Calibri"/>
          <w:szCs w:val="20"/>
        </w:rPr>
        <w:t xml:space="preserve"> w </w:t>
      </w:r>
      <w:r w:rsidRPr="00404DA5">
        <w:rPr>
          <w:rFonts w:cs="Calibri"/>
          <w:szCs w:val="20"/>
        </w:rPr>
        <w:t>rankingu regionów.</w:t>
      </w:r>
      <w:r w:rsidR="00E66B89">
        <w:rPr>
          <w:rFonts w:cs="Calibri"/>
          <w:szCs w:val="20"/>
        </w:rPr>
        <w:t xml:space="preserve"> W </w:t>
      </w:r>
      <w:r w:rsidRPr="00404DA5">
        <w:rPr>
          <w:rFonts w:cs="Calibri"/>
          <w:szCs w:val="20"/>
        </w:rPr>
        <w:t>kolejnych latach wartość wskaźnika stopniowo rosła,</w:t>
      </w:r>
      <w:r w:rsidR="00E66B89">
        <w:rPr>
          <w:rFonts w:cs="Calibri"/>
          <w:szCs w:val="20"/>
        </w:rPr>
        <w:t xml:space="preserve"> a w </w:t>
      </w:r>
      <w:r w:rsidRPr="00404DA5">
        <w:rPr>
          <w:rFonts w:cs="Calibri"/>
          <w:szCs w:val="20"/>
        </w:rPr>
        <w:t>2017 r. osiągnęła 47,8%, co stanowi wzrost</w:t>
      </w:r>
      <w:r w:rsidR="00E66B89">
        <w:rPr>
          <w:rFonts w:cs="Calibri"/>
          <w:szCs w:val="20"/>
        </w:rPr>
        <w:t xml:space="preserve"> o </w:t>
      </w:r>
      <w:r w:rsidRPr="00404DA5">
        <w:rPr>
          <w:rFonts w:cs="Calibri"/>
          <w:szCs w:val="20"/>
        </w:rPr>
        <w:t>ponad 20 p. p</w:t>
      </w:r>
      <w:r w:rsidRPr="00404DA5">
        <w:rPr>
          <w:rStyle w:val="Odwoanieprzypisudolnego"/>
          <w:rFonts w:cs="Calibri"/>
          <w:szCs w:val="20"/>
        </w:rPr>
        <w:footnoteReference w:id="7"/>
      </w:r>
      <w:r w:rsidRPr="00404DA5">
        <w:rPr>
          <w:rFonts w:cs="Calibri"/>
          <w:szCs w:val="20"/>
        </w:rPr>
        <w:t>. Zmiany wartości wskaźnika</w:t>
      </w:r>
      <w:r w:rsidR="00E66B89">
        <w:rPr>
          <w:rFonts w:cs="Calibri"/>
          <w:szCs w:val="20"/>
        </w:rPr>
        <w:t xml:space="preserve"> w </w:t>
      </w:r>
      <w:r w:rsidRPr="00404DA5">
        <w:rPr>
          <w:rFonts w:cs="Calibri"/>
          <w:szCs w:val="20"/>
        </w:rPr>
        <w:t xml:space="preserve">latach 2012-2017 obrazuje poniższy wykres. </w:t>
      </w:r>
    </w:p>
    <w:p w14:paraId="27DEE218" w14:textId="77777777" w:rsidR="00EA33DF" w:rsidRPr="00404DA5" w:rsidRDefault="00EA33DF" w:rsidP="006E34DC">
      <w:pPr>
        <w:pStyle w:val="Legenda"/>
        <w:spacing w:after="0"/>
      </w:pPr>
      <w:bookmarkStart w:id="66" w:name="_Toc5311876"/>
      <w:r w:rsidRPr="00404DA5">
        <w:lastRenderedPageBreak/>
        <w:t xml:space="preserve">Wykres </w:t>
      </w:r>
      <w:r>
        <w:fldChar w:fldCharType="begin"/>
      </w:r>
      <w:r>
        <w:instrText xml:space="preserve"> SEQ Wykres \* ARABIC </w:instrText>
      </w:r>
      <w:r>
        <w:fldChar w:fldCharType="separate"/>
      </w:r>
      <w:r w:rsidR="00763345">
        <w:rPr>
          <w:noProof/>
        </w:rPr>
        <w:t>10</w:t>
      </w:r>
      <w:r>
        <w:fldChar w:fldCharType="end"/>
      </w:r>
      <w:r w:rsidRPr="00404DA5">
        <w:t xml:space="preserve"> Udział energii odnawialnej</w:t>
      </w:r>
      <w:r w:rsidR="00E66B89">
        <w:t xml:space="preserve"> w </w:t>
      </w:r>
      <w:r w:rsidRPr="00404DA5">
        <w:t>produkcji energii elektrycznej ogółem</w:t>
      </w:r>
      <w:r w:rsidR="00E66B89">
        <w:t xml:space="preserve"> w </w:t>
      </w:r>
      <w:r w:rsidRPr="00404DA5">
        <w:t>województwie zachodniopomorskim</w:t>
      </w:r>
      <w:r w:rsidR="00E66B89">
        <w:t xml:space="preserve"> i w </w:t>
      </w:r>
      <w:r w:rsidRPr="00404DA5">
        <w:t>Polsce</w:t>
      </w:r>
      <w:r w:rsidR="00E66B89">
        <w:t xml:space="preserve"> w </w:t>
      </w:r>
      <w:r w:rsidRPr="00404DA5">
        <w:t>latach 2012-2017[%]</w:t>
      </w:r>
      <w:bookmarkEnd w:id="66"/>
    </w:p>
    <w:p w14:paraId="2C948BBC" w14:textId="3B27F33A" w:rsidR="00EA33DF" w:rsidRPr="00404DA5" w:rsidRDefault="00C35619" w:rsidP="00CF71F2">
      <w:pPr>
        <w:spacing w:before="0" w:after="0"/>
        <w:jc w:val="center"/>
        <w:rPr>
          <w:rFonts w:cs="Calibri"/>
          <w:b/>
          <w:color w:val="FF0000"/>
          <w:szCs w:val="20"/>
        </w:rPr>
      </w:pPr>
      <w:r w:rsidRPr="00D508B6">
        <w:rPr>
          <w:noProof/>
        </w:rPr>
        <w:drawing>
          <wp:inline distT="0" distB="0" distL="0" distR="0" wp14:anchorId="13B40801" wp14:editId="75B1A586">
            <wp:extent cx="5702935" cy="2196465"/>
            <wp:effectExtent l="0" t="0" r="12065" b="13335"/>
            <wp:docPr id="28" name="Wykres 17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C17D0B" w14:textId="2D425E4D" w:rsidR="00EA33DF" w:rsidRPr="002A5FDF" w:rsidRDefault="00EA33DF" w:rsidP="005076BF">
      <w:pPr>
        <w:spacing w:before="0"/>
        <w:rPr>
          <w:rFonts w:cs="Calibri"/>
          <w:i/>
          <w:sz w:val="18"/>
        </w:rPr>
      </w:pPr>
      <w:r w:rsidRPr="002A5FDF">
        <w:rPr>
          <w:rFonts w:cs="Calibri"/>
          <w:i/>
          <w:sz w:val="18"/>
        </w:rPr>
        <w:t>Źródło: opracowanie własne na podstawie danych BDL GUS</w:t>
      </w:r>
      <w:r w:rsidR="00C56787" w:rsidRPr="002A5FDF">
        <w:rPr>
          <w:rFonts w:cs="Calibri"/>
          <w:i/>
          <w:sz w:val="18"/>
        </w:rPr>
        <w:t>.</w:t>
      </w:r>
    </w:p>
    <w:p w14:paraId="6EE6EF5A" w14:textId="77777777" w:rsidR="00EA33DF" w:rsidRPr="00404DA5" w:rsidRDefault="00EA33DF" w:rsidP="00EA33DF">
      <w:pPr>
        <w:rPr>
          <w:rFonts w:cs="Calibri"/>
          <w:szCs w:val="20"/>
        </w:rPr>
      </w:pPr>
      <w:r w:rsidRPr="00404DA5">
        <w:rPr>
          <w:rFonts w:cs="Calibri"/>
          <w:szCs w:val="20"/>
        </w:rPr>
        <w:t>Biorąc pod uwagę produkcję energii cieplnej,</w:t>
      </w:r>
      <w:r w:rsidR="00E66B89">
        <w:rPr>
          <w:rFonts w:cs="Calibri"/>
          <w:szCs w:val="20"/>
        </w:rPr>
        <w:t xml:space="preserve"> w </w:t>
      </w:r>
      <w:r w:rsidRPr="00404DA5">
        <w:rPr>
          <w:rFonts w:cs="Calibri"/>
          <w:szCs w:val="20"/>
        </w:rPr>
        <w:t>2012 r. udział ciepła produkowanego</w:t>
      </w:r>
      <w:r w:rsidR="00E66B89">
        <w:rPr>
          <w:rFonts w:cs="Calibri"/>
          <w:szCs w:val="20"/>
        </w:rPr>
        <w:t xml:space="preserve"> z </w:t>
      </w:r>
      <w:r w:rsidRPr="00404DA5">
        <w:rPr>
          <w:rFonts w:cs="Calibri"/>
          <w:szCs w:val="20"/>
        </w:rPr>
        <w:t>OZE</w:t>
      </w:r>
      <w:r w:rsidR="00E66B89">
        <w:rPr>
          <w:rFonts w:cs="Calibri"/>
          <w:szCs w:val="20"/>
        </w:rPr>
        <w:t xml:space="preserve"> w </w:t>
      </w:r>
      <w:r w:rsidRPr="00404DA5">
        <w:rPr>
          <w:rFonts w:cs="Calibri"/>
          <w:szCs w:val="20"/>
        </w:rPr>
        <w:t>ogólnej produkcji ciepła wyniósł 6,4% (średnia dla Polski to 6,6%). Na przestrzeni kolejnych lat wartość wskaźnika podlegała nieznacznym wahaniom,</w:t>
      </w:r>
      <w:r w:rsidR="00E66B89">
        <w:rPr>
          <w:rFonts w:cs="Calibri"/>
          <w:szCs w:val="20"/>
        </w:rPr>
        <w:t xml:space="preserve"> a w </w:t>
      </w:r>
      <w:r w:rsidRPr="00404DA5">
        <w:rPr>
          <w:rFonts w:cs="Calibri"/>
          <w:szCs w:val="20"/>
        </w:rPr>
        <w:t>2017 r. osiągnęła wartość 5,5%. Jednak mimo, iż wartość wskaźnika uległa zmniejszeniu, zachodniopomorskie plasuje się na dość wysokim (6.) miejscu</w:t>
      </w:r>
      <w:r w:rsidR="00E66B89">
        <w:rPr>
          <w:rFonts w:cs="Calibri"/>
          <w:szCs w:val="20"/>
        </w:rPr>
        <w:t xml:space="preserve"> w </w:t>
      </w:r>
      <w:r w:rsidRPr="00404DA5">
        <w:rPr>
          <w:rFonts w:cs="Calibri"/>
          <w:szCs w:val="20"/>
        </w:rPr>
        <w:t>rankingu województw. Głównym źródłem ciepła</w:t>
      </w:r>
      <w:r w:rsidR="00E66B89">
        <w:rPr>
          <w:rFonts w:cs="Calibri"/>
          <w:szCs w:val="20"/>
        </w:rPr>
        <w:t xml:space="preserve"> w </w:t>
      </w:r>
      <w:r w:rsidRPr="00404DA5">
        <w:rPr>
          <w:rFonts w:cs="Calibri"/>
          <w:szCs w:val="20"/>
        </w:rPr>
        <w:t>regionie nadal pozostaje węgiel (81,8%</w:t>
      </w:r>
      <w:r w:rsidR="00E66B89">
        <w:rPr>
          <w:rFonts w:cs="Calibri"/>
          <w:szCs w:val="20"/>
        </w:rPr>
        <w:t xml:space="preserve"> w </w:t>
      </w:r>
      <w:r w:rsidRPr="00404DA5">
        <w:rPr>
          <w:rFonts w:cs="Calibri"/>
          <w:szCs w:val="20"/>
        </w:rPr>
        <w:t>2017 r.</w:t>
      </w:r>
      <w:r w:rsidRPr="00404DA5">
        <w:rPr>
          <w:rStyle w:val="Odwoanieprzypisudolnego"/>
          <w:rFonts w:cs="Calibri"/>
          <w:szCs w:val="20"/>
        </w:rPr>
        <w:footnoteReference w:id="8"/>
      </w:r>
      <w:r w:rsidRPr="00404DA5">
        <w:rPr>
          <w:rFonts w:cs="Calibri"/>
          <w:szCs w:val="20"/>
        </w:rPr>
        <w:t xml:space="preserve">). </w:t>
      </w:r>
    </w:p>
    <w:p w14:paraId="2C79402A" w14:textId="77777777" w:rsidR="00EA33DF" w:rsidRPr="00404DA5" w:rsidRDefault="00EA33DF" w:rsidP="00EA33DF">
      <w:pPr>
        <w:rPr>
          <w:rFonts w:cs="Calibri"/>
          <w:szCs w:val="20"/>
        </w:rPr>
      </w:pPr>
      <w:r w:rsidRPr="00404DA5">
        <w:rPr>
          <w:rFonts w:cs="Calibri"/>
          <w:szCs w:val="20"/>
        </w:rPr>
        <w:t>Mimo zwiększającego się udziału „czystej” energii</w:t>
      </w:r>
      <w:r w:rsidR="00E66B89">
        <w:rPr>
          <w:rFonts w:cs="Calibri"/>
          <w:szCs w:val="20"/>
        </w:rPr>
        <w:t xml:space="preserve"> w </w:t>
      </w:r>
      <w:r w:rsidRPr="00404DA5">
        <w:rPr>
          <w:rFonts w:cs="Calibri"/>
          <w:szCs w:val="20"/>
        </w:rPr>
        <w:t>produkcji energii ogółem, potrzeby związane</w:t>
      </w:r>
      <w:r w:rsidR="00E66B89">
        <w:rPr>
          <w:rFonts w:cs="Calibri"/>
          <w:szCs w:val="20"/>
        </w:rPr>
        <w:t xml:space="preserve"> z </w:t>
      </w:r>
      <w:r w:rsidRPr="00404DA5">
        <w:rPr>
          <w:rFonts w:cs="Calibri"/>
          <w:szCs w:val="20"/>
        </w:rPr>
        <w:t>przekształcaniem gospodarki opartej na paliwach węglowych na gospodarkę niskoemisyjną zidentyfikowane na etapie programowania RPO WZ 2014-2020 pozostają nadal aktualne, zwłaszcza</w:t>
      </w:r>
      <w:r w:rsidR="00E66B89">
        <w:rPr>
          <w:rFonts w:cs="Calibri"/>
          <w:szCs w:val="20"/>
        </w:rPr>
        <w:t xml:space="preserve"> w </w:t>
      </w:r>
      <w:r w:rsidRPr="00404DA5">
        <w:rPr>
          <w:rFonts w:cs="Calibri"/>
          <w:szCs w:val="20"/>
        </w:rPr>
        <w:t>przypadku produkcji energii cieplnej. Wspieranie inwestycji związanych</w:t>
      </w:r>
      <w:r w:rsidR="00E66B89">
        <w:rPr>
          <w:rFonts w:cs="Calibri"/>
          <w:szCs w:val="20"/>
        </w:rPr>
        <w:t xml:space="preserve"> z </w:t>
      </w:r>
      <w:r w:rsidRPr="00404DA5">
        <w:rPr>
          <w:rFonts w:cs="Calibri"/>
          <w:szCs w:val="20"/>
        </w:rPr>
        <w:t>budową lub zakupem instalacji wykorzystujących energię ze źródeł odnawialnych (przede wszystkim</w:t>
      </w:r>
      <w:r w:rsidR="00E66B89">
        <w:rPr>
          <w:rFonts w:cs="Calibri"/>
          <w:szCs w:val="20"/>
        </w:rPr>
        <w:t xml:space="preserve"> z </w:t>
      </w:r>
      <w:r w:rsidRPr="00404DA5">
        <w:rPr>
          <w:rFonts w:cs="Calibri"/>
          <w:szCs w:val="20"/>
        </w:rPr>
        <w:t>energii słonecznej, biomasy oraz biogazu) oraz przyłączeniem ich do sieci energetycznej stwarza możliwości produkcji energii</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lokalne odnawialne źródła, co zwiększa bezpieczeństwo energetyczne regionu. Ograniczenie zużycia kopalnych surowców energetycznych przyczynia się także do zmniejszenia emisji gazów cieplarnianych, co ma przełożenie na zdrowie</w:t>
      </w:r>
      <w:r w:rsidR="00E66B89">
        <w:rPr>
          <w:rFonts w:cs="Calibri"/>
          <w:szCs w:val="20"/>
        </w:rPr>
        <w:t xml:space="preserve"> i </w:t>
      </w:r>
      <w:r w:rsidRPr="00404DA5">
        <w:rPr>
          <w:rFonts w:cs="Calibri"/>
          <w:szCs w:val="20"/>
        </w:rPr>
        <w:t xml:space="preserve">jakość życia mieszkańców województwa oraz jego atrakcyjność turystyczną. </w:t>
      </w:r>
    </w:p>
    <w:p w14:paraId="429F5776" w14:textId="77777777" w:rsidR="00EA33DF" w:rsidRPr="00404DA5" w:rsidRDefault="00EA33DF" w:rsidP="00EA33DF">
      <w:pPr>
        <w:rPr>
          <w:rFonts w:cs="Calibri"/>
          <w:szCs w:val="20"/>
        </w:rPr>
      </w:pPr>
      <w:r w:rsidRPr="00404DA5">
        <w:rPr>
          <w:rFonts w:cs="Calibri"/>
          <w:szCs w:val="20"/>
        </w:rPr>
        <w:t>Wdrażanie interwencji przyczynia się także do realizacji zobowiązań nałożonych na mocy pakietu klimatyczno-energetycznego oraz Strategii Europa 2020, według których do 2020 r. udział energii</w:t>
      </w:r>
      <w:r w:rsidR="00E66B89">
        <w:rPr>
          <w:rFonts w:cs="Calibri"/>
          <w:szCs w:val="20"/>
        </w:rPr>
        <w:t xml:space="preserve"> z </w:t>
      </w:r>
      <w:r w:rsidRPr="00404DA5">
        <w:rPr>
          <w:rFonts w:cs="Calibri"/>
          <w:szCs w:val="20"/>
        </w:rPr>
        <w:t>OZE</w:t>
      </w:r>
      <w:r w:rsidR="00E66B89">
        <w:rPr>
          <w:rFonts w:cs="Calibri"/>
          <w:szCs w:val="20"/>
        </w:rPr>
        <w:t xml:space="preserve"> w </w:t>
      </w:r>
      <w:r w:rsidRPr="00404DA5">
        <w:rPr>
          <w:rFonts w:cs="Calibri"/>
          <w:szCs w:val="20"/>
        </w:rPr>
        <w:t>ogólnym zużyciu energii brutto ma osiągnąć</w:t>
      </w:r>
      <w:r w:rsidR="00E66B89">
        <w:rPr>
          <w:rFonts w:cs="Calibri"/>
          <w:szCs w:val="20"/>
        </w:rPr>
        <w:t xml:space="preserve"> w </w:t>
      </w:r>
      <w:r w:rsidRPr="00404DA5">
        <w:rPr>
          <w:rFonts w:cs="Calibri"/>
          <w:szCs w:val="20"/>
        </w:rPr>
        <w:t>Polsce pułap 15%</w:t>
      </w:r>
      <w:r w:rsidRPr="00404DA5">
        <w:rPr>
          <w:rStyle w:val="Odwoanieprzypisudolnego"/>
          <w:rFonts w:cs="Calibri"/>
          <w:szCs w:val="20"/>
        </w:rPr>
        <w:footnoteReference w:id="9"/>
      </w:r>
      <w:r w:rsidRPr="00404DA5">
        <w:rPr>
          <w:rFonts w:cs="Calibri"/>
          <w:szCs w:val="20"/>
        </w:rPr>
        <w:t>. Kierunek wsparcia jest również zgodny</w:t>
      </w:r>
      <w:r w:rsidR="00E66B89">
        <w:rPr>
          <w:rFonts w:cs="Calibri"/>
          <w:szCs w:val="20"/>
        </w:rPr>
        <w:t xml:space="preserve"> z </w:t>
      </w:r>
      <w:r w:rsidRPr="00404DA5">
        <w:rPr>
          <w:rFonts w:cs="Calibri"/>
          <w:szCs w:val="20"/>
        </w:rPr>
        <w:t>zapisami Strategii Bezpieczeństwo Energetyczne</w:t>
      </w:r>
      <w:r w:rsidR="00E66B89">
        <w:rPr>
          <w:rFonts w:cs="Calibri"/>
          <w:szCs w:val="20"/>
        </w:rPr>
        <w:t xml:space="preserve"> i </w:t>
      </w:r>
      <w:r w:rsidRPr="00404DA5">
        <w:rPr>
          <w:rFonts w:cs="Calibri"/>
          <w:szCs w:val="20"/>
        </w:rPr>
        <w:t>Środowisko - perspektywa do 2020 r.</w:t>
      </w:r>
      <w:r w:rsidRPr="00404DA5">
        <w:rPr>
          <w:rStyle w:val="Odwoanieprzypisudolnego"/>
          <w:rFonts w:cs="Calibri"/>
          <w:szCs w:val="20"/>
        </w:rPr>
        <w:footnoteReference w:id="10"/>
      </w:r>
      <w:r w:rsidRPr="00404DA5">
        <w:rPr>
          <w:rFonts w:cs="Calibri"/>
          <w:szCs w:val="20"/>
        </w:rPr>
        <w:t xml:space="preserve"> </w:t>
      </w:r>
    </w:p>
    <w:p w14:paraId="75EB194A" w14:textId="77777777" w:rsidR="00EA33DF" w:rsidRPr="00404DA5" w:rsidRDefault="00EA33DF" w:rsidP="00EA33DF">
      <w:pPr>
        <w:rPr>
          <w:rFonts w:cs="Calibri"/>
          <w:szCs w:val="20"/>
        </w:rPr>
      </w:pPr>
      <w:r w:rsidRPr="00404DA5">
        <w:rPr>
          <w:rFonts w:cs="Calibri"/>
          <w:szCs w:val="20"/>
        </w:rPr>
        <w:t>Jeśli chodzi</w:t>
      </w:r>
      <w:r w:rsidR="00E66B89">
        <w:rPr>
          <w:rFonts w:cs="Calibri"/>
          <w:szCs w:val="20"/>
        </w:rPr>
        <w:t xml:space="preserve"> o </w:t>
      </w:r>
      <w:r w:rsidRPr="00404DA5">
        <w:rPr>
          <w:rFonts w:cs="Calibri"/>
          <w:szCs w:val="20"/>
        </w:rPr>
        <w:t>potrzeby związane</w:t>
      </w:r>
      <w:r w:rsidR="00E66B89">
        <w:rPr>
          <w:rFonts w:cs="Calibri"/>
          <w:szCs w:val="20"/>
        </w:rPr>
        <w:t xml:space="preserve"> z </w:t>
      </w:r>
      <w:r w:rsidRPr="00404DA5">
        <w:rPr>
          <w:rFonts w:cs="Calibri"/>
          <w:szCs w:val="20"/>
        </w:rPr>
        <w:t>produkcją energii</w:t>
      </w:r>
      <w:r w:rsidR="00E66B89">
        <w:rPr>
          <w:rFonts w:cs="Calibri"/>
          <w:szCs w:val="20"/>
        </w:rPr>
        <w:t xml:space="preserve"> w </w:t>
      </w:r>
      <w:r w:rsidRPr="00404DA5">
        <w:rPr>
          <w:rFonts w:cs="Calibri"/>
          <w:szCs w:val="20"/>
        </w:rPr>
        <w:t>wysokosprawnej kogeneracji, potencjał regionu pozostaje</w:t>
      </w:r>
      <w:r w:rsidR="00E66B89">
        <w:rPr>
          <w:rFonts w:cs="Calibri"/>
          <w:szCs w:val="20"/>
        </w:rPr>
        <w:t xml:space="preserve"> w </w:t>
      </w:r>
      <w:r w:rsidRPr="00404DA5">
        <w:rPr>
          <w:rFonts w:cs="Calibri"/>
          <w:szCs w:val="20"/>
        </w:rPr>
        <w:t>tej kwestii nie</w:t>
      </w:r>
      <w:r w:rsidR="00E66B89">
        <w:rPr>
          <w:rFonts w:cs="Calibri"/>
          <w:szCs w:val="20"/>
        </w:rPr>
        <w:t xml:space="preserve"> w </w:t>
      </w:r>
      <w:r w:rsidRPr="00404DA5">
        <w:rPr>
          <w:rFonts w:cs="Calibri"/>
          <w:szCs w:val="20"/>
        </w:rPr>
        <w:t>pełni wykorzystany.</w:t>
      </w:r>
      <w:r w:rsidR="00E66B89">
        <w:rPr>
          <w:rFonts w:cs="Calibri"/>
          <w:szCs w:val="20"/>
        </w:rPr>
        <w:t xml:space="preserve"> W </w:t>
      </w:r>
      <w:r w:rsidRPr="00404DA5">
        <w:rPr>
          <w:rFonts w:cs="Calibri"/>
          <w:szCs w:val="20"/>
        </w:rPr>
        <w:t>2012 r. udział ciepła wytworzonego</w:t>
      </w:r>
      <w:r w:rsidR="00E66B89">
        <w:rPr>
          <w:rFonts w:cs="Calibri"/>
          <w:szCs w:val="20"/>
        </w:rPr>
        <w:t xml:space="preserve"> w </w:t>
      </w:r>
      <w:r w:rsidRPr="00404DA5">
        <w:rPr>
          <w:rFonts w:cs="Calibri"/>
          <w:szCs w:val="20"/>
        </w:rPr>
        <w:t>kogeneracji</w:t>
      </w:r>
      <w:r w:rsidR="00E66B89">
        <w:rPr>
          <w:rFonts w:cs="Calibri"/>
          <w:szCs w:val="20"/>
        </w:rPr>
        <w:t xml:space="preserve"> w </w:t>
      </w:r>
      <w:r w:rsidRPr="00404DA5">
        <w:rPr>
          <w:rFonts w:cs="Calibri"/>
          <w:szCs w:val="20"/>
        </w:rPr>
        <w:t>produkcji energii cieplnej ogółem wyniósł 38,1%</w:t>
      </w:r>
      <w:r w:rsidR="00E66B89">
        <w:rPr>
          <w:rFonts w:cs="Calibri"/>
          <w:szCs w:val="20"/>
        </w:rPr>
        <w:t xml:space="preserve"> i </w:t>
      </w:r>
      <w:r w:rsidRPr="00404DA5">
        <w:rPr>
          <w:rFonts w:cs="Calibri"/>
          <w:szCs w:val="20"/>
        </w:rPr>
        <w:t>był</w:t>
      </w:r>
      <w:r w:rsidR="00E66B89">
        <w:rPr>
          <w:rFonts w:cs="Calibri"/>
          <w:szCs w:val="20"/>
        </w:rPr>
        <w:t xml:space="preserve"> o </w:t>
      </w:r>
      <w:r w:rsidRPr="00404DA5">
        <w:rPr>
          <w:rFonts w:cs="Calibri"/>
          <w:szCs w:val="20"/>
        </w:rPr>
        <w:t>ponad 24 p. p. niższy niż średnia dla Polski. Jak wskazuje wykres poniżej,</w:t>
      </w:r>
      <w:r w:rsidR="00E66B89">
        <w:rPr>
          <w:rFonts w:cs="Calibri"/>
          <w:szCs w:val="20"/>
        </w:rPr>
        <w:t xml:space="preserve"> w </w:t>
      </w:r>
      <w:r w:rsidRPr="00404DA5">
        <w:rPr>
          <w:rFonts w:cs="Calibri"/>
          <w:szCs w:val="20"/>
        </w:rPr>
        <w:t>kolejnych latach wartość wskaźnika stopniowo malała (wyjątkiem jest rok 2015).</w:t>
      </w:r>
      <w:r w:rsidR="00E66B89">
        <w:rPr>
          <w:rFonts w:cs="Calibri"/>
          <w:szCs w:val="20"/>
        </w:rPr>
        <w:t xml:space="preserve"> W </w:t>
      </w:r>
      <w:r w:rsidRPr="00404DA5">
        <w:rPr>
          <w:rFonts w:cs="Calibri"/>
          <w:szCs w:val="20"/>
        </w:rPr>
        <w:t>2017 r. wskaźnik osiągnął wartość 21,6%, co oznacza spadek</w:t>
      </w:r>
      <w:r w:rsidR="00E66B89">
        <w:rPr>
          <w:rFonts w:cs="Calibri"/>
          <w:szCs w:val="20"/>
        </w:rPr>
        <w:t xml:space="preserve"> w </w:t>
      </w:r>
      <w:r w:rsidRPr="00404DA5">
        <w:rPr>
          <w:rFonts w:cs="Calibri"/>
          <w:szCs w:val="20"/>
        </w:rPr>
        <w:t>stosunku do początku okresu programowania</w:t>
      </w:r>
      <w:r w:rsidR="00E66B89">
        <w:rPr>
          <w:rFonts w:cs="Calibri"/>
          <w:szCs w:val="20"/>
        </w:rPr>
        <w:t xml:space="preserve"> o </w:t>
      </w:r>
      <w:r w:rsidRPr="00404DA5">
        <w:rPr>
          <w:rFonts w:cs="Calibri"/>
          <w:szCs w:val="20"/>
        </w:rPr>
        <w:t xml:space="preserve">ponad 16 p. p. Spadek ten spowodowany jest większymi przyrostami ilości ciepła </w:t>
      </w:r>
      <w:r w:rsidRPr="00404DA5">
        <w:rPr>
          <w:rFonts w:cs="Calibri"/>
          <w:szCs w:val="20"/>
        </w:rPr>
        <w:lastRenderedPageBreak/>
        <w:t>wyprodukowanego bez zastosowania procesu kogeneracji niż ilości ciepła wyprodukowanej</w:t>
      </w:r>
      <w:r w:rsidR="00E66B89">
        <w:rPr>
          <w:rFonts w:cs="Calibri"/>
          <w:szCs w:val="20"/>
        </w:rPr>
        <w:t xml:space="preserve"> w </w:t>
      </w:r>
      <w:r w:rsidRPr="00404DA5">
        <w:rPr>
          <w:rFonts w:cs="Calibri"/>
          <w:szCs w:val="20"/>
        </w:rPr>
        <w:t xml:space="preserve">skojarzeniu. </w:t>
      </w:r>
    </w:p>
    <w:p w14:paraId="57361A67" w14:textId="77777777" w:rsidR="00EA33DF" w:rsidRPr="00404DA5" w:rsidRDefault="00EA33DF" w:rsidP="006E34DC">
      <w:pPr>
        <w:pStyle w:val="Legenda"/>
        <w:spacing w:after="0"/>
      </w:pPr>
      <w:bookmarkStart w:id="67" w:name="_Toc5311877"/>
      <w:r w:rsidRPr="00404DA5">
        <w:t xml:space="preserve">Wykres </w:t>
      </w:r>
      <w:r>
        <w:fldChar w:fldCharType="begin"/>
      </w:r>
      <w:r>
        <w:instrText xml:space="preserve"> SEQ Wykres \* ARABIC </w:instrText>
      </w:r>
      <w:r>
        <w:fldChar w:fldCharType="separate"/>
      </w:r>
      <w:r w:rsidR="00763345">
        <w:rPr>
          <w:noProof/>
        </w:rPr>
        <w:t>11</w:t>
      </w:r>
      <w:r>
        <w:fldChar w:fldCharType="end"/>
      </w:r>
      <w:r w:rsidRPr="00404DA5">
        <w:t xml:space="preserve"> Udział energii cieplnej wytworzonej</w:t>
      </w:r>
      <w:r w:rsidR="00E66B89">
        <w:t xml:space="preserve"> w </w:t>
      </w:r>
      <w:r w:rsidRPr="00404DA5">
        <w:t>kogeneracji</w:t>
      </w:r>
      <w:r w:rsidR="00E66B89">
        <w:t xml:space="preserve"> w </w:t>
      </w:r>
      <w:r w:rsidRPr="00404DA5">
        <w:t>produkcji energii cieplnej ogółem</w:t>
      </w:r>
      <w:r w:rsidR="00E66B89">
        <w:t xml:space="preserve"> w </w:t>
      </w:r>
      <w:r w:rsidRPr="00404DA5">
        <w:t>województwie zachodniopomorskim</w:t>
      </w:r>
      <w:r w:rsidR="00E66B89">
        <w:t xml:space="preserve"> i w </w:t>
      </w:r>
      <w:r w:rsidRPr="00404DA5">
        <w:t>Polsce</w:t>
      </w:r>
      <w:r w:rsidR="00E66B89">
        <w:t xml:space="preserve"> w </w:t>
      </w:r>
      <w:r w:rsidRPr="00404DA5">
        <w:t>latach 2012-2017 [%]</w:t>
      </w:r>
      <w:bookmarkEnd w:id="67"/>
    </w:p>
    <w:p w14:paraId="519FB842" w14:textId="7488577E" w:rsidR="00EA33DF" w:rsidRPr="00404DA5" w:rsidRDefault="00C35619" w:rsidP="00CF71F2">
      <w:pPr>
        <w:spacing w:before="0" w:after="0"/>
        <w:jc w:val="center"/>
        <w:rPr>
          <w:rFonts w:cs="Calibri"/>
          <w:b/>
          <w:color w:val="FF0000"/>
          <w:szCs w:val="20"/>
        </w:rPr>
      </w:pPr>
      <w:r w:rsidRPr="00D508B6">
        <w:rPr>
          <w:noProof/>
        </w:rPr>
        <w:drawing>
          <wp:inline distT="0" distB="0" distL="0" distR="0" wp14:anchorId="7CA3C5E2" wp14:editId="5FA2684E">
            <wp:extent cx="5747385" cy="2251710"/>
            <wp:effectExtent l="0" t="0" r="5715" b="15240"/>
            <wp:docPr id="29" name="Wykres 17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6CA9D2" w14:textId="66287FEB" w:rsidR="00EA33DF" w:rsidRPr="002A5FDF" w:rsidRDefault="00EA33DF" w:rsidP="005076BF">
      <w:pPr>
        <w:spacing w:before="0"/>
        <w:rPr>
          <w:rFonts w:cs="Calibri"/>
          <w:i/>
          <w:sz w:val="18"/>
        </w:rPr>
      </w:pPr>
      <w:r w:rsidRPr="002A5FDF">
        <w:rPr>
          <w:rFonts w:cs="Calibri"/>
          <w:i/>
          <w:sz w:val="18"/>
        </w:rPr>
        <w:t>Źródło: opracowanie własne na podstawie danych BDL GUS</w:t>
      </w:r>
      <w:r w:rsidR="00C56787" w:rsidRPr="002A5FDF">
        <w:rPr>
          <w:rFonts w:cs="Calibri"/>
          <w:i/>
          <w:sz w:val="18"/>
        </w:rPr>
        <w:t>.</w:t>
      </w:r>
    </w:p>
    <w:p w14:paraId="1EBBC212" w14:textId="77777777" w:rsidR="00EA33DF" w:rsidRPr="00404DA5" w:rsidRDefault="00EA33DF" w:rsidP="00EA33DF">
      <w:pPr>
        <w:rPr>
          <w:rFonts w:cs="Calibri"/>
          <w:szCs w:val="20"/>
        </w:rPr>
      </w:pPr>
      <w:r w:rsidRPr="00404DA5">
        <w:rPr>
          <w:rFonts w:cs="Calibri"/>
          <w:szCs w:val="20"/>
        </w:rPr>
        <w:t>Zmniejszający się udział wskaźnika potwierdza aktualność potrzeb zidentyfikowanych na etapie programowania. Interwencja polegająca na wsparciu budowy nowych jednostek wytwarzających energię elektryczną</w:t>
      </w:r>
      <w:r w:rsidR="00E66B89">
        <w:rPr>
          <w:rFonts w:cs="Calibri"/>
          <w:szCs w:val="20"/>
        </w:rPr>
        <w:t xml:space="preserve"> i </w:t>
      </w:r>
      <w:r w:rsidRPr="00404DA5">
        <w:rPr>
          <w:rFonts w:cs="Calibri"/>
          <w:szCs w:val="20"/>
        </w:rPr>
        <w:t>cieplną</w:t>
      </w:r>
      <w:r w:rsidR="00E66B89">
        <w:rPr>
          <w:rFonts w:cs="Calibri"/>
          <w:szCs w:val="20"/>
        </w:rPr>
        <w:t xml:space="preserve"> w </w:t>
      </w:r>
      <w:r w:rsidRPr="00404DA5">
        <w:rPr>
          <w:rFonts w:cs="Calibri"/>
          <w:szCs w:val="20"/>
        </w:rPr>
        <w:t>skojarzeniu wraz</w:t>
      </w:r>
      <w:r w:rsidR="00E66B89">
        <w:rPr>
          <w:rFonts w:cs="Calibri"/>
          <w:szCs w:val="20"/>
        </w:rPr>
        <w:t xml:space="preserve"> z </w:t>
      </w:r>
      <w:r w:rsidRPr="00404DA5">
        <w:rPr>
          <w:rFonts w:cs="Calibri"/>
          <w:szCs w:val="20"/>
        </w:rPr>
        <w:t>przyłączeniem do sieci,</w:t>
      </w:r>
      <w:r w:rsidR="00E66B89">
        <w:rPr>
          <w:rFonts w:cs="Calibri"/>
          <w:szCs w:val="20"/>
        </w:rPr>
        <w:t xml:space="preserve"> a </w:t>
      </w:r>
      <w:r w:rsidRPr="00404DA5">
        <w:rPr>
          <w:rFonts w:cs="Calibri"/>
          <w:szCs w:val="20"/>
        </w:rPr>
        <w:t>także przebudowa istniejących jednostek wytwarzania ciepła,</w:t>
      </w:r>
      <w:r w:rsidR="00E66B89">
        <w:rPr>
          <w:rFonts w:cs="Calibri"/>
          <w:szCs w:val="20"/>
        </w:rPr>
        <w:t xml:space="preserve"> w </w:t>
      </w:r>
      <w:r w:rsidRPr="00404DA5">
        <w:rPr>
          <w:rFonts w:cs="Calibri"/>
          <w:szCs w:val="20"/>
        </w:rPr>
        <w:t>wyniku której zostaną one zastąpione jednostkami wytwarzania energii</w:t>
      </w:r>
      <w:r w:rsidR="00E66B89">
        <w:rPr>
          <w:rFonts w:cs="Calibri"/>
          <w:szCs w:val="20"/>
        </w:rPr>
        <w:t xml:space="preserve"> w </w:t>
      </w:r>
      <w:r w:rsidRPr="00404DA5">
        <w:rPr>
          <w:rFonts w:cs="Calibri"/>
          <w:szCs w:val="20"/>
        </w:rPr>
        <w:t>kogeneracji ma za zadanie przyczynić się do zmniejszenia strat energii oraz zmniejszenia zużycia energii pierwotnej. Wsparcie kogeneracji wynika</w:t>
      </w:r>
      <w:r w:rsidR="00E66B89">
        <w:rPr>
          <w:rFonts w:cs="Calibri"/>
          <w:szCs w:val="20"/>
        </w:rPr>
        <w:t xml:space="preserve"> z </w:t>
      </w:r>
      <w:r w:rsidRPr="00404DA5">
        <w:rPr>
          <w:rFonts w:cs="Calibri"/>
          <w:szCs w:val="20"/>
        </w:rPr>
        <w:t>zapisów unijnej Dyrektywy 2004/8/WE Parlamentu Europejskiego</w:t>
      </w:r>
      <w:r w:rsidR="00E66B89">
        <w:rPr>
          <w:rFonts w:cs="Calibri"/>
          <w:szCs w:val="20"/>
        </w:rPr>
        <w:t xml:space="preserve"> i </w:t>
      </w:r>
      <w:r w:rsidRPr="00404DA5">
        <w:rPr>
          <w:rFonts w:cs="Calibri"/>
          <w:szCs w:val="20"/>
        </w:rPr>
        <w:t>Rady</w:t>
      </w:r>
      <w:r w:rsidR="00E66B89">
        <w:rPr>
          <w:rFonts w:cs="Calibri"/>
          <w:szCs w:val="20"/>
        </w:rPr>
        <w:t xml:space="preserve"> z </w:t>
      </w:r>
      <w:r w:rsidRPr="00404DA5">
        <w:rPr>
          <w:rFonts w:cs="Calibri"/>
          <w:szCs w:val="20"/>
        </w:rPr>
        <w:t>11 lutego 2004 r.</w:t>
      </w:r>
      <w:r w:rsidRPr="00404DA5">
        <w:rPr>
          <w:rStyle w:val="Odwoanieprzypisudolnego"/>
          <w:rFonts w:cs="Calibri"/>
          <w:szCs w:val="20"/>
        </w:rPr>
        <w:footnoteReference w:id="11"/>
      </w:r>
      <w:r w:rsidRPr="00404DA5">
        <w:rPr>
          <w:rFonts w:cs="Calibri"/>
          <w:szCs w:val="20"/>
        </w:rPr>
        <w:t xml:space="preserve"> oraz Ustawy</w:t>
      </w:r>
      <w:r w:rsidR="00E66B89">
        <w:rPr>
          <w:rFonts w:cs="Calibri"/>
          <w:szCs w:val="20"/>
        </w:rPr>
        <w:t xml:space="preserve"> o </w:t>
      </w:r>
      <w:r w:rsidRPr="00404DA5">
        <w:rPr>
          <w:rFonts w:cs="Calibri"/>
          <w:szCs w:val="20"/>
        </w:rPr>
        <w:t>promowaniu energii elektrycznej</w:t>
      </w:r>
      <w:r w:rsidR="00E66B89">
        <w:rPr>
          <w:rFonts w:cs="Calibri"/>
          <w:szCs w:val="20"/>
        </w:rPr>
        <w:t xml:space="preserve"> z </w:t>
      </w:r>
      <w:r w:rsidRPr="00404DA5">
        <w:rPr>
          <w:rFonts w:cs="Calibri"/>
          <w:szCs w:val="20"/>
        </w:rPr>
        <w:t>wysokosprawnej kogeneracji, uchwalonej 14.12.2018 r.</w:t>
      </w:r>
      <w:r w:rsidRPr="00404DA5">
        <w:rPr>
          <w:rStyle w:val="Odwoanieprzypisudolnego"/>
          <w:rFonts w:cs="Calibri"/>
          <w:szCs w:val="20"/>
        </w:rPr>
        <w:footnoteReference w:id="12"/>
      </w:r>
    </w:p>
    <w:p w14:paraId="2410EBDB" w14:textId="77777777" w:rsidR="00EA33DF" w:rsidRPr="00404DA5" w:rsidRDefault="00EA33DF" w:rsidP="00EA33DF">
      <w:pPr>
        <w:rPr>
          <w:rFonts w:cs="Calibri"/>
          <w:szCs w:val="20"/>
        </w:rPr>
      </w:pPr>
      <w:r w:rsidRPr="00404DA5">
        <w:rPr>
          <w:rFonts w:cs="Calibri"/>
          <w:szCs w:val="20"/>
        </w:rPr>
        <w:t>Analizując sytuację</w:t>
      </w:r>
      <w:r w:rsidR="00E66B89">
        <w:rPr>
          <w:rFonts w:cs="Calibri"/>
          <w:szCs w:val="20"/>
        </w:rPr>
        <w:t xml:space="preserve"> w </w:t>
      </w:r>
      <w:r w:rsidRPr="00404DA5">
        <w:rPr>
          <w:rFonts w:cs="Calibri"/>
          <w:szCs w:val="20"/>
        </w:rPr>
        <w:t>województwie zachodniopomorskim związaną</w:t>
      </w:r>
      <w:r w:rsidR="00E66B89">
        <w:rPr>
          <w:rFonts w:cs="Calibri"/>
          <w:szCs w:val="20"/>
        </w:rPr>
        <w:t xml:space="preserve"> z </w:t>
      </w:r>
      <w:r w:rsidRPr="00404DA5">
        <w:rPr>
          <w:rFonts w:cs="Calibri"/>
          <w:szCs w:val="20"/>
        </w:rPr>
        <w:t>realizacją zadań</w:t>
      </w:r>
      <w:r w:rsidR="00E66B89">
        <w:rPr>
          <w:rFonts w:cs="Calibri"/>
          <w:szCs w:val="20"/>
        </w:rPr>
        <w:t xml:space="preserve"> z </w:t>
      </w:r>
      <w:r w:rsidRPr="00404DA5">
        <w:rPr>
          <w:rFonts w:cs="Calibri"/>
          <w:szCs w:val="20"/>
        </w:rPr>
        <w:t>zakresu PI 4c, należy szczególną uwagę zwrócić na</w:t>
      </w:r>
      <w:r>
        <w:rPr>
          <w:rFonts w:cs="Calibri"/>
          <w:szCs w:val="20"/>
        </w:rPr>
        <w:t xml:space="preserve"> rolę budynków</w:t>
      </w:r>
      <w:r w:rsidR="00E66B89">
        <w:rPr>
          <w:rFonts w:cs="Calibri"/>
          <w:szCs w:val="20"/>
        </w:rPr>
        <w:t xml:space="preserve"> w </w:t>
      </w:r>
      <w:r>
        <w:rPr>
          <w:rFonts w:cs="Calibri"/>
          <w:szCs w:val="20"/>
        </w:rPr>
        <w:t>problematyce gospodarowania energią</w:t>
      </w:r>
      <w:r w:rsidRPr="00404DA5">
        <w:rPr>
          <w:rFonts w:cs="Calibri"/>
          <w:szCs w:val="20"/>
        </w:rPr>
        <w:t>. Odpowiadają one obecnie za około 40% finalnego zużycia energii</w:t>
      </w:r>
      <w:r w:rsidRPr="00404DA5">
        <w:rPr>
          <w:rFonts w:cs="Calibri"/>
          <w:szCs w:val="20"/>
          <w:vertAlign w:val="superscript"/>
        </w:rPr>
        <w:footnoteReference w:id="13"/>
      </w:r>
      <w:r w:rsidRPr="00404DA5">
        <w:rPr>
          <w:rFonts w:cs="Calibri"/>
          <w:szCs w:val="20"/>
        </w:rPr>
        <w:t>, przyczyniając się jednocześnie do znacznej emisji gazów cieplarnianych. Finalne zużycie energii</w:t>
      </w:r>
      <w:r w:rsidR="00E66B89">
        <w:rPr>
          <w:rFonts w:cs="Calibri"/>
          <w:szCs w:val="20"/>
        </w:rPr>
        <w:t xml:space="preserve"> w </w:t>
      </w:r>
      <w:r w:rsidRPr="00404DA5">
        <w:rPr>
          <w:rFonts w:cs="Calibri"/>
          <w:szCs w:val="20"/>
        </w:rPr>
        <w:t>Polsce wzrasta</w:t>
      </w:r>
      <w:r w:rsidR="00E66B89">
        <w:rPr>
          <w:rFonts w:cs="Calibri"/>
          <w:szCs w:val="20"/>
        </w:rPr>
        <w:t xml:space="preserve"> w </w:t>
      </w:r>
      <w:r w:rsidRPr="00404DA5">
        <w:rPr>
          <w:rFonts w:cs="Calibri"/>
          <w:szCs w:val="20"/>
        </w:rPr>
        <w:t>tempie około 0,8%/rok</w:t>
      </w:r>
      <w:r w:rsidRPr="00404DA5">
        <w:rPr>
          <w:rFonts w:cs="Calibri"/>
          <w:szCs w:val="20"/>
          <w:vertAlign w:val="superscript"/>
        </w:rPr>
        <w:footnoteReference w:id="14"/>
      </w:r>
      <w:r w:rsidRPr="00404DA5">
        <w:rPr>
          <w:rFonts w:cs="Calibri"/>
          <w:szCs w:val="20"/>
        </w:rPr>
        <w:t>.</w:t>
      </w:r>
      <w:r w:rsidR="00E66B89">
        <w:rPr>
          <w:rFonts w:cs="Calibri"/>
          <w:szCs w:val="20"/>
        </w:rPr>
        <w:t xml:space="preserve"> W </w:t>
      </w:r>
      <w:r w:rsidRPr="00404DA5">
        <w:rPr>
          <w:rFonts w:cs="Calibri"/>
          <w:szCs w:val="20"/>
        </w:rPr>
        <w:t>strukturze finalnego zużycia energii wciąż dominują gospodarstwa domowe, przed sektorem przemysłu, transportu, rolnictwa</w:t>
      </w:r>
      <w:r w:rsidR="00E66B89">
        <w:rPr>
          <w:rFonts w:cs="Calibri"/>
          <w:szCs w:val="20"/>
        </w:rPr>
        <w:t xml:space="preserve"> i </w:t>
      </w:r>
      <w:r w:rsidRPr="00404DA5">
        <w:rPr>
          <w:rFonts w:cs="Calibri"/>
          <w:szCs w:val="20"/>
        </w:rPr>
        <w:t>usług.</w:t>
      </w:r>
      <w:r w:rsidR="00E66B89">
        <w:rPr>
          <w:rFonts w:cs="Calibri"/>
          <w:szCs w:val="20"/>
        </w:rPr>
        <w:t xml:space="preserve"> W </w:t>
      </w:r>
      <w:r w:rsidRPr="00404DA5">
        <w:rPr>
          <w:rFonts w:cs="Calibri"/>
          <w:szCs w:val="20"/>
        </w:rPr>
        <w:t>latach 2006-2016 ich udział spadł jednakże</w:t>
      </w:r>
      <w:r w:rsidR="00E66B89">
        <w:rPr>
          <w:rFonts w:cs="Calibri"/>
          <w:szCs w:val="20"/>
        </w:rPr>
        <w:t xml:space="preserve"> z </w:t>
      </w:r>
      <w:r w:rsidRPr="00404DA5">
        <w:rPr>
          <w:rFonts w:cs="Calibri"/>
          <w:szCs w:val="20"/>
        </w:rPr>
        <w:t>35% do 30%</w:t>
      </w:r>
      <w:r w:rsidRPr="00404DA5">
        <w:rPr>
          <w:rFonts w:cs="Calibri"/>
          <w:szCs w:val="20"/>
          <w:vertAlign w:val="superscript"/>
        </w:rPr>
        <w:footnoteReference w:id="15"/>
      </w:r>
      <w:r w:rsidRPr="00404DA5">
        <w:rPr>
          <w:rFonts w:cs="Calibri"/>
          <w:szCs w:val="20"/>
        </w:rPr>
        <w:t>. Zużycie energii do celów domowych (np. ogrzewanie pomieszczeń, przygotowywanie ciepłej wody)</w:t>
      </w:r>
      <w:r w:rsidR="00E66B89">
        <w:rPr>
          <w:rFonts w:cs="Calibri"/>
          <w:szCs w:val="20"/>
        </w:rPr>
        <w:t xml:space="preserve"> w </w:t>
      </w:r>
      <w:r w:rsidRPr="00404DA5">
        <w:rPr>
          <w:rFonts w:cs="Calibri"/>
          <w:szCs w:val="20"/>
        </w:rPr>
        <w:t>roku 2015 stanowiło 27% krajowej podaży energii</w:t>
      </w:r>
      <w:r w:rsidRPr="00404DA5">
        <w:rPr>
          <w:rFonts w:cs="Calibri"/>
          <w:szCs w:val="20"/>
          <w:vertAlign w:val="superscript"/>
        </w:rPr>
        <w:footnoteReference w:id="16"/>
      </w:r>
      <w:r w:rsidRPr="00404DA5">
        <w:rPr>
          <w:rFonts w:cs="Calibri"/>
          <w:szCs w:val="20"/>
        </w:rPr>
        <w:t>. Struktura zużycia energii</w:t>
      </w:r>
      <w:r w:rsidR="00E66B89">
        <w:rPr>
          <w:rFonts w:cs="Calibri"/>
          <w:szCs w:val="20"/>
        </w:rPr>
        <w:t xml:space="preserve"> w </w:t>
      </w:r>
      <w:r w:rsidRPr="00404DA5">
        <w:rPr>
          <w:rFonts w:cs="Calibri"/>
          <w:szCs w:val="20"/>
        </w:rPr>
        <w:t>budynkach</w:t>
      </w:r>
      <w:r w:rsidR="00E66B89">
        <w:rPr>
          <w:rFonts w:cs="Calibri"/>
          <w:szCs w:val="20"/>
        </w:rPr>
        <w:t xml:space="preserve"> w </w:t>
      </w:r>
      <w:r w:rsidRPr="00404DA5">
        <w:rPr>
          <w:rFonts w:cs="Calibri"/>
          <w:szCs w:val="20"/>
        </w:rPr>
        <w:t>Polsce</w:t>
      </w:r>
      <w:r w:rsidR="00E66B89">
        <w:rPr>
          <w:rFonts w:cs="Calibri"/>
          <w:szCs w:val="20"/>
        </w:rPr>
        <w:t xml:space="preserve"> w </w:t>
      </w:r>
      <w:r w:rsidRPr="00404DA5">
        <w:rPr>
          <w:rFonts w:cs="Calibri"/>
          <w:szCs w:val="20"/>
        </w:rPr>
        <w:t>57% dotyczy ogrzewania</w:t>
      </w:r>
      <w:r w:rsidR="00E66B89">
        <w:rPr>
          <w:rFonts w:cs="Calibri"/>
          <w:szCs w:val="20"/>
        </w:rPr>
        <w:t xml:space="preserve"> i </w:t>
      </w:r>
      <w:r w:rsidRPr="00404DA5">
        <w:rPr>
          <w:rFonts w:cs="Calibri"/>
          <w:szCs w:val="20"/>
        </w:rPr>
        <w:t>wentylacji,</w:t>
      </w:r>
      <w:r w:rsidR="00E66B89">
        <w:rPr>
          <w:rFonts w:cs="Calibri"/>
          <w:szCs w:val="20"/>
        </w:rPr>
        <w:t xml:space="preserve"> w </w:t>
      </w:r>
      <w:r w:rsidRPr="00404DA5">
        <w:rPr>
          <w:rFonts w:cs="Calibri"/>
          <w:szCs w:val="20"/>
        </w:rPr>
        <w:t>25% przygotowywania ciepłej wody,</w:t>
      </w:r>
      <w:r w:rsidR="00E66B89">
        <w:rPr>
          <w:rFonts w:cs="Calibri"/>
          <w:szCs w:val="20"/>
        </w:rPr>
        <w:t xml:space="preserve"> a w </w:t>
      </w:r>
      <w:r w:rsidRPr="00404DA5">
        <w:rPr>
          <w:rFonts w:cs="Calibri"/>
          <w:szCs w:val="20"/>
        </w:rPr>
        <w:t>18% oświetlenia, gotowania</w:t>
      </w:r>
      <w:r w:rsidR="00E66B89">
        <w:rPr>
          <w:rFonts w:cs="Calibri"/>
          <w:szCs w:val="20"/>
        </w:rPr>
        <w:t xml:space="preserve"> i </w:t>
      </w:r>
      <w:r w:rsidRPr="00404DA5">
        <w:rPr>
          <w:rFonts w:cs="Calibri"/>
          <w:szCs w:val="20"/>
        </w:rPr>
        <w:t>urządzeń AGD</w:t>
      </w:r>
      <w:r w:rsidRPr="00404DA5">
        <w:rPr>
          <w:rFonts w:cs="Calibri"/>
          <w:szCs w:val="20"/>
          <w:vertAlign w:val="superscript"/>
        </w:rPr>
        <w:footnoteReference w:id="17"/>
      </w:r>
      <w:r w:rsidRPr="00404DA5">
        <w:rPr>
          <w:rFonts w:cs="Calibri"/>
          <w:szCs w:val="20"/>
        </w:rPr>
        <w:t>.</w:t>
      </w:r>
    </w:p>
    <w:p w14:paraId="3834F6B1" w14:textId="77777777" w:rsidR="00EA33DF" w:rsidRPr="00404DA5" w:rsidRDefault="00EA33DF" w:rsidP="00EA33DF">
      <w:pPr>
        <w:spacing w:after="240"/>
        <w:rPr>
          <w:rFonts w:cs="Calibri"/>
          <w:szCs w:val="20"/>
        </w:rPr>
      </w:pPr>
      <w:r w:rsidRPr="00404DA5">
        <w:rPr>
          <w:rFonts w:cs="Calibri"/>
          <w:szCs w:val="20"/>
        </w:rPr>
        <w:lastRenderedPageBreak/>
        <w:t>W zakresie PI 4c na etapie programowania RPO WZ 2014-2020 zwrócono uwagę na duże straty energii</w:t>
      </w:r>
      <w:r w:rsidR="00E66B89">
        <w:rPr>
          <w:rFonts w:cs="Calibri"/>
          <w:szCs w:val="20"/>
        </w:rPr>
        <w:t xml:space="preserve"> w </w:t>
      </w:r>
      <w:r w:rsidRPr="00404DA5">
        <w:rPr>
          <w:rFonts w:cs="Calibri"/>
          <w:szCs w:val="20"/>
        </w:rPr>
        <w:t>istniejących budynkach mieszkalnych</w:t>
      </w:r>
      <w:r w:rsidR="00E66B89">
        <w:rPr>
          <w:rFonts w:cs="Calibri"/>
          <w:szCs w:val="20"/>
        </w:rPr>
        <w:t xml:space="preserve"> i </w:t>
      </w:r>
      <w:r w:rsidRPr="00404DA5">
        <w:rPr>
          <w:rFonts w:cs="Calibri"/>
          <w:szCs w:val="20"/>
        </w:rPr>
        <w:t>publicznych, co przekłada się na wysoki poziom zużycia węgla</w:t>
      </w:r>
      <w:r w:rsidR="00E66B89">
        <w:rPr>
          <w:rFonts w:cs="Calibri"/>
          <w:szCs w:val="20"/>
        </w:rPr>
        <w:t xml:space="preserve"> i </w:t>
      </w:r>
      <w:r w:rsidRPr="00404DA5">
        <w:rPr>
          <w:rFonts w:cs="Calibri"/>
          <w:szCs w:val="20"/>
        </w:rPr>
        <w:t>nadmierną emisję zanieczyszczeń</w:t>
      </w:r>
      <w:r w:rsidR="00E66B89">
        <w:rPr>
          <w:rFonts w:cs="Calibri"/>
          <w:szCs w:val="20"/>
        </w:rPr>
        <w:t xml:space="preserve"> i </w:t>
      </w:r>
      <w:r w:rsidRPr="00404DA5">
        <w:rPr>
          <w:rFonts w:cs="Calibri"/>
          <w:szCs w:val="20"/>
        </w:rPr>
        <w:t>gazów cieplarnianych do atmosfery. Za poziom efektywności energetycznej</w:t>
      </w:r>
      <w:r w:rsidR="00E66B89">
        <w:rPr>
          <w:rFonts w:cs="Calibri"/>
          <w:szCs w:val="20"/>
        </w:rPr>
        <w:t xml:space="preserve"> w </w:t>
      </w:r>
      <w:r w:rsidRPr="00404DA5">
        <w:rPr>
          <w:rFonts w:cs="Calibri"/>
          <w:szCs w:val="20"/>
        </w:rPr>
        <w:t>znacznym stopniu odpowiada stan techniczny budynków. Narodowy Spis Ludności</w:t>
      </w:r>
      <w:r w:rsidR="00E66B89">
        <w:rPr>
          <w:rFonts w:cs="Calibri"/>
          <w:szCs w:val="20"/>
        </w:rPr>
        <w:t xml:space="preserve"> i </w:t>
      </w:r>
      <w:r w:rsidRPr="00404DA5">
        <w:rPr>
          <w:rFonts w:cs="Calibri"/>
          <w:szCs w:val="20"/>
        </w:rPr>
        <w:t>Mieszkań</w:t>
      </w:r>
      <w:r w:rsidR="00E66B89">
        <w:rPr>
          <w:rFonts w:cs="Calibri"/>
          <w:szCs w:val="20"/>
        </w:rPr>
        <w:t xml:space="preserve"> z </w:t>
      </w:r>
      <w:r w:rsidRPr="00404DA5">
        <w:rPr>
          <w:rFonts w:cs="Calibri"/>
          <w:szCs w:val="20"/>
        </w:rPr>
        <w:t>roku 2011 wskazał, że</w:t>
      </w:r>
      <w:r w:rsidR="00E66B89">
        <w:rPr>
          <w:rFonts w:cs="Calibri"/>
          <w:szCs w:val="20"/>
        </w:rPr>
        <w:t xml:space="preserve"> w </w:t>
      </w:r>
      <w:r w:rsidRPr="00404DA5">
        <w:rPr>
          <w:rFonts w:cs="Calibri"/>
          <w:szCs w:val="20"/>
        </w:rPr>
        <w:t>województwie zachodniopomorskim 31,2% mieszkań powstało przed rokiem 1944</w:t>
      </w:r>
      <w:r w:rsidRPr="00404DA5">
        <w:rPr>
          <w:rStyle w:val="Odwoanieprzypisudolnego"/>
          <w:rFonts w:cs="Calibri"/>
          <w:szCs w:val="20"/>
        </w:rPr>
        <w:footnoteReference w:id="18"/>
      </w:r>
      <w:r w:rsidRPr="00404DA5">
        <w:rPr>
          <w:rFonts w:cs="Calibri"/>
          <w:szCs w:val="20"/>
        </w:rPr>
        <w:t>. Budynki pochodzące</w:t>
      </w:r>
      <w:r w:rsidR="00E66B89">
        <w:rPr>
          <w:rFonts w:cs="Calibri"/>
          <w:szCs w:val="20"/>
        </w:rPr>
        <w:t xml:space="preserve"> z </w:t>
      </w:r>
      <w:r w:rsidRPr="00404DA5">
        <w:rPr>
          <w:rFonts w:cs="Calibri"/>
          <w:szCs w:val="20"/>
        </w:rPr>
        <w:t>t</w:t>
      </w:r>
      <w:r>
        <w:rPr>
          <w:rFonts w:cs="Calibri"/>
          <w:szCs w:val="20"/>
        </w:rPr>
        <w:t>ego</w:t>
      </w:r>
      <w:r w:rsidRPr="00404DA5">
        <w:rPr>
          <w:rFonts w:cs="Calibri"/>
          <w:szCs w:val="20"/>
        </w:rPr>
        <w:t xml:space="preserve"> okres</w:t>
      </w:r>
      <w:r>
        <w:rPr>
          <w:rFonts w:cs="Calibri"/>
          <w:szCs w:val="20"/>
        </w:rPr>
        <w:t>u</w:t>
      </w:r>
      <w:r w:rsidRPr="00404DA5">
        <w:rPr>
          <w:rFonts w:cs="Calibri"/>
          <w:szCs w:val="20"/>
        </w:rPr>
        <w:t xml:space="preserve"> zostały wybudowane</w:t>
      </w:r>
      <w:r w:rsidR="00E66B89">
        <w:rPr>
          <w:rFonts w:cs="Calibri"/>
          <w:szCs w:val="20"/>
        </w:rPr>
        <w:t xml:space="preserve"> w </w:t>
      </w:r>
      <w:r w:rsidRPr="00404DA5">
        <w:rPr>
          <w:rFonts w:cs="Calibri"/>
          <w:szCs w:val="20"/>
        </w:rPr>
        <w:t>przestarzałych technologiach budowlanych, przez co cechują się dużymi stratami energii wynikającymi m. in.</w:t>
      </w:r>
      <w:r w:rsidR="00E66B89">
        <w:rPr>
          <w:rFonts w:cs="Calibri"/>
          <w:szCs w:val="20"/>
        </w:rPr>
        <w:t xml:space="preserve"> z </w:t>
      </w:r>
      <w:r w:rsidRPr="00404DA5">
        <w:rPr>
          <w:rFonts w:cs="Calibri"/>
          <w:szCs w:val="20"/>
        </w:rPr>
        <w:t>nieszczelności przegród zewnętrznych czy też nieefektywnej pracy systemów grzewczych.</w:t>
      </w:r>
    </w:p>
    <w:p w14:paraId="62E8BEBD" w14:textId="77777777" w:rsidR="00EA33DF" w:rsidRPr="00404DA5" w:rsidRDefault="00EA33DF" w:rsidP="00EA33DF">
      <w:pPr>
        <w:rPr>
          <w:rFonts w:cs="Calibri"/>
          <w:szCs w:val="20"/>
        </w:rPr>
      </w:pPr>
      <w:r w:rsidRPr="00404DA5">
        <w:rPr>
          <w:rFonts w:cs="Calibri"/>
          <w:szCs w:val="20"/>
        </w:rPr>
        <w:t>Analizując dane GUS dotyczące zużycia energii</w:t>
      </w:r>
      <w:r w:rsidR="00E66B89">
        <w:rPr>
          <w:rFonts w:cs="Calibri"/>
          <w:szCs w:val="20"/>
        </w:rPr>
        <w:t xml:space="preserve"> w </w:t>
      </w:r>
      <w:r w:rsidRPr="00404DA5">
        <w:rPr>
          <w:rFonts w:cs="Calibri"/>
          <w:szCs w:val="20"/>
        </w:rPr>
        <w:t>gospodarstwach domowych</w:t>
      </w:r>
      <w:r w:rsidR="00E66B89">
        <w:rPr>
          <w:rFonts w:cs="Calibri"/>
          <w:szCs w:val="20"/>
        </w:rPr>
        <w:t xml:space="preserve"> w </w:t>
      </w:r>
      <w:r>
        <w:rPr>
          <w:rFonts w:cs="Calibri"/>
          <w:szCs w:val="20"/>
        </w:rPr>
        <w:t>województwie zachodniopomorskim</w:t>
      </w:r>
      <w:r w:rsidRPr="00404DA5">
        <w:rPr>
          <w:rFonts w:cs="Calibri"/>
          <w:szCs w:val="20"/>
        </w:rPr>
        <w:t>, można zwrócić uwagę na wahania wielkości wskaźnika między latami 2012-2017.</w:t>
      </w:r>
      <w:r w:rsidR="00E66B89">
        <w:rPr>
          <w:rFonts w:cs="Calibri"/>
          <w:szCs w:val="20"/>
        </w:rPr>
        <w:t xml:space="preserve"> W </w:t>
      </w:r>
      <w:r w:rsidRPr="00404DA5">
        <w:rPr>
          <w:rFonts w:cs="Calibri"/>
          <w:szCs w:val="20"/>
        </w:rPr>
        <w:t>roku 2012 zużycie wynosiło 1 152 GWh, po czym spadek odnotowano</w:t>
      </w:r>
      <w:r w:rsidR="00E66B89">
        <w:rPr>
          <w:rFonts w:cs="Calibri"/>
          <w:szCs w:val="20"/>
        </w:rPr>
        <w:t xml:space="preserve"> w </w:t>
      </w:r>
      <w:r w:rsidRPr="00404DA5">
        <w:rPr>
          <w:rFonts w:cs="Calibri"/>
          <w:szCs w:val="20"/>
        </w:rPr>
        <w:t>roku 2014, kiedy to wskaźnik osiągnął wartość 1 134 GWh. Dwa kolejne lata przyniosły wzrost zużycia energii,</w:t>
      </w:r>
      <w:r w:rsidR="00E66B89">
        <w:rPr>
          <w:rFonts w:cs="Calibri"/>
          <w:szCs w:val="20"/>
        </w:rPr>
        <w:t xml:space="preserve"> a w </w:t>
      </w:r>
      <w:r w:rsidRPr="00404DA5">
        <w:rPr>
          <w:rFonts w:cs="Calibri"/>
          <w:szCs w:val="20"/>
        </w:rPr>
        <w:t>roku 2017 ponowny spadek</w:t>
      </w:r>
      <w:r>
        <w:rPr>
          <w:rFonts w:cs="Calibri"/>
          <w:szCs w:val="20"/>
        </w:rPr>
        <w:t xml:space="preserve"> (wartość wskaźnika</w:t>
      </w:r>
      <w:r w:rsidR="00E66B89">
        <w:rPr>
          <w:rFonts w:cs="Calibri"/>
          <w:szCs w:val="20"/>
        </w:rPr>
        <w:t xml:space="preserve"> w </w:t>
      </w:r>
      <w:r>
        <w:rPr>
          <w:rFonts w:cs="Calibri"/>
          <w:szCs w:val="20"/>
        </w:rPr>
        <w:t>roku 2017 wyniosła 1 188 GWh)</w:t>
      </w:r>
      <w:r w:rsidRPr="00404DA5">
        <w:rPr>
          <w:rFonts w:cs="Calibri"/>
          <w:szCs w:val="20"/>
        </w:rPr>
        <w:t>.</w:t>
      </w:r>
      <w:r>
        <w:rPr>
          <w:rFonts w:cs="Calibri"/>
          <w:szCs w:val="20"/>
        </w:rPr>
        <w:t xml:space="preserve"> Czynnikiem oddziałującym na wartości wskaźnika</w:t>
      </w:r>
      <w:r w:rsidR="00E66B89">
        <w:rPr>
          <w:rFonts w:cs="Calibri"/>
          <w:szCs w:val="20"/>
        </w:rPr>
        <w:t xml:space="preserve"> w </w:t>
      </w:r>
      <w:r>
        <w:rPr>
          <w:rFonts w:cs="Calibri"/>
          <w:szCs w:val="20"/>
        </w:rPr>
        <w:t>poszczególnych latach, jest</w:t>
      </w:r>
      <w:r w:rsidR="00E66B89">
        <w:rPr>
          <w:rFonts w:cs="Calibri"/>
          <w:szCs w:val="20"/>
        </w:rPr>
        <w:t xml:space="preserve"> w </w:t>
      </w:r>
      <w:r>
        <w:rPr>
          <w:rFonts w:cs="Calibri"/>
          <w:szCs w:val="20"/>
        </w:rPr>
        <w:t>dużej mierze wzrost liczby przyłączanych indywidualnych odbiorców energii elektrycznej. Jednocześnie, na zużycie energii oddziałują długość oraz intensywność sezonów grzewczych</w:t>
      </w:r>
      <w:r w:rsidR="00E66B89">
        <w:rPr>
          <w:rFonts w:cs="Calibri"/>
          <w:szCs w:val="20"/>
        </w:rPr>
        <w:t xml:space="preserve"> w </w:t>
      </w:r>
      <w:r>
        <w:rPr>
          <w:rFonts w:cs="Calibri"/>
          <w:szCs w:val="20"/>
        </w:rPr>
        <w:t>poszczególnych latach, wynikające ze średnich temperatur panujących</w:t>
      </w:r>
      <w:r w:rsidR="00E66B89">
        <w:rPr>
          <w:rFonts w:cs="Calibri"/>
          <w:szCs w:val="20"/>
        </w:rPr>
        <w:t xml:space="preserve"> w </w:t>
      </w:r>
      <w:r>
        <w:rPr>
          <w:rFonts w:cs="Calibri"/>
          <w:szCs w:val="20"/>
        </w:rPr>
        <w:t>okresach grzewczych.</w:t>
      </w:r>
      <w:r w:rsidRPr="00404DA5">
        <w:rPr>
          <w:rFonts w:cs="Calibri"/>
          <w:szCs w:val="20"/>
        </w:rPr>
        <w:t xml:space="preserve"> Porównanie zachodniopomorskiego do pozostałych województw pokazuje, że obszar ten charakteryzuje się średnim zużyciem</w:t>
      </w:r>
      <w:r w:rsidR="00E66B89">
        <w:rPr>
          <w:rFonts w:cs="Calibri"/>
          <w:szCs w:val="20"/>
        </w:rPr>
        <w:t xml:space="preserve"> w </w:t>
      </w:r>
      <w:r w:rsidRPr="00404DA5">
        <w:rPr>
          <w:rFonts w:cs="Calibri"/>
          <w:szCs w:val="20"/>
        </w:rPr>
        <w:t>skali kraju (11 pozycja</w:t>
      </w:r>
      <w:r w:rsidR="00E66B89">
        <w:rPr>
          <w:rFonts w:cs="Calibri"/>
          <w:szCs w:val="20"/>
        </w:rPr>
        <w:t xml:space="preserve"> w </w:t>
      </w:r>
      <w:r w:rsidRPr="00404DA5">
        <w:rPr>
          <w:rFonts w:cs="Calibri"/>
          <w:szCs w:val="20"/>
        </w:rPr>
        <w:t>roku 2017). Pozycja ta od roku 2012 nie uległa zmianie. Postęp technologiczny</w:t>
      </w:r>
      <w:r w:rsidR="00E66B89">
        <w:rPr>
          <w:rFonts w:cs="Calibri"/>
          <w:szCs w:val="20"/>
        </w:rPr>
        <w:t xml:space="preserve"> i </w:t>
      </w:r>
      <w:r w:rsidRPr="00404DA5">
        <w:rPr>
          <w:rFonts w:cs="Calibri"/>
          <w:szCs w:val="20"/>
        </w:rPr>
        <w:t>wzrastająca wraz</w:t>
      </w:r>
      <w:r w:rsidR="00E66B89">
        <w:rPr>
          <w:rFonts w:cs="Calibri"/>
          <w:szCs w:val="20"/>
        </w:rPr>
        <w:t xml:space="preserve"> z </w:t>
      </w:r>
      <w:r w:rsidRPr="00404DA5">
        <w:rPr>
          <w:rFonts w:cs="Calibri"/>
          <w:szCs w:val="20"/>
        </w:rPr>
        <w:t>nim liczba urządzeń, do których pracy niezbędna jest energia elektryczna, sprawiają, że gospodarstwa domowe</w:t>
      </w:r>
      <w:r w:rsidR="00E66B89">
        <w:rPr>
          <w:rFonts w:cs="Calibri"/>
          <w:szCs w:val="20"/>
        </w:rPr>
        <w:t xml:space="preserve"> w </w:t>
      </w:r>
      <w:r w:rsidRPr="00404DA5">
        <w:rPr>
          <w:rFonts w:cs="Calibri"/>
          <w:szCs w:val="20"/>
        </w:rPr>
        <w:t>znacznym stopniu partycypują</w:t>
      </w:r>
      <w:r w:rsidR="00E66B89">
        <w:rPr>
          <w:rFonts w:cs="Calibri"/>
          <w:szCs w:val="20"/>
        </w:rPr>
        <w:t xml:space="preserve"> w </w:t>
      </w:r>
      <w:r w:rsidRPr="00404DA5">
        <w:rPr>
          <w:rFonts w:cs="Calibri"/>
          <w:szCs w:val="20"/>
        </w:rPr>
        <w:t>ogólnym bilansie zużycia energii elektrycznej.</w:t>
      </w:r>
    </w:p>
    <w:p w14:paraId="15EA3BB8" w14:textId="77777777" w:rsidR="00EA33DF" w:rsidRPr="00404DA5" w:rsidRDefault="00EA33DF" w:rsidP="00EA33DF">
      <w:pPr>
        <w:rPr>
          <w:rFonts w:cs="Calibri"/>
          <w:szCs w:val="20"/>
        </w:rPr>
      </w:pPr>
      <w:r w:rsidRPr="00404DA5">
        <w:rPr>
          <w:rFonts w:cs="Calibri"/>
          <w:szCs w:val="20"/>
        </w:rPr>
        <w:t>Wśród mierników obrazujących poziom efektywności energetycznej budynków można wyróżnić także wskaźnik sprzedaży energii cieplnej na cele komunalno-bytowe. Według danych GUS, większość sprzedanej energii cieplnej wędruje do budynków mieszkalnych. Między rokiem 2012</w:t>
      </w:r>
      <w:r w:rsidR="00E66B89">
        <w:rPr>
          <w:rFonts w:cs="Calibri"/>
          <w:szCs w:val="20"/>
        </w:rPr>
        <w:t xml:space="preserve"> a </w:t>
      </w:r>
      <w:r w:rsidRPr="00404DA5">
        <w:rPr>
          <w:rFonts w:cs="Calibri"/>
          <w:szCs w:val="20"/>
        </w:rPr>
        <w:t>2017</w:t>
      </w:r>
      <w:r w:rsidR="00E66B89">
        <w:rPr>
          <w:rFonts w:cs="Calibri"/>
          <w:szCs w:val="20"/>
        </w:rPr>
        <w:t xml:space="preserve"> w </w:t>
      </w:r>
      <w:r w:rsidRPr="00404DA5">
        <w:rPr>
          <w:rFonts w:cs="Calibri"/>
          <w:szCs w:val="20"/>
        </w:rPr>
        <w:t>tym sektorze zaobserwować można systematyczny przyrost</w:t>
      </w:r>
      <w:r w:rsidR="00E66B89">
        <w:rPr>
          <w:rFonts w:cs="Calibri"/>
          <w:szCs w:val="20"/>
        </w:rPr>
        <w:t xml:space="preserve"> w </w:t>
      </w:r>
      <w:r w:rsidRPr="00404DA5">
        <w:rPr>
          <w:rFonts w:cs="Calibri"/>
          <w:szCs w:val="20"/>
        </w:rPr>
        <w:t>latach 2012-2014,</w:t>
      </w:r>
      <w:r w:rsidR="00E66B89">
        <w:rPr>
          <w:rFonts w:cs="Calibri"/>
          <w:szCs w:val="20"/>
        </w:rPr>
        <w:t xml:space="preserve"> a </w:t>
      </w:r>
      <w:r w:rsidRPr="00404DA5">
        <w:rPr>
          <w:rFonts w:cs="Calibri"/>
          <w:szCs w:val="20"/>
        </w:rPr>
        <w:t>następnie spadek</w:t>
      </w:r>
      <w:r w:rsidR="00E66B89">
        <w:rPr>
          <w:rFonts w:cs="Calibri"/>
          <w:szCs w:val="20"/>
        </w:rPr>
        <w:t xml:space="preserve"> w </w:t>
      </w:r>
      <w:r w:rsidRPr="00404DA5">
        <w:rPr>
          <w:rFonts w:cs="Calibri"/>
          <w:szCs w:val="20"/>
        </w:rPr>
        <w:t>latach 2015-2016. Ostatecznie wielkość sprzedanej energii cieplnej</w:t>
      </w:r>
      <w:r w:rsidR="00E66B89">
        <w:rPr>
          <w:rFonts w:cs="Calibri"/>
          <w:szCs w:val="20"/>
        </w:rPr>
        <w:t xml:space="preserve"> w </w:t>
      </w:r>
      <w:r w:rsidRPr="00404DA5">
        <w:rPr>
          <w:rFonts w:cs="Calibri"/>
          <w:szCs w:val="20"/>
        </w:rPr>
        <w:t>roku 2017 ukształtowała się na poziomie 6 954 759 GJ. Jeśli chodzi zaś</w:t>
      </w:r>
      <w:r w:rsidR="00E66B89">
        <w:rPr>
          <w:rFonts w:cs="Calibri"/>
          <w:szCs w:val="20"/>
        </w:rPr>
        <w:t xml:space="preserve"> o </w:t>
      </w:r>
      <w:r w:rsidRPr="00404DA5">
        <w:rPr>
          <w:rFonts w:cs="Calibri"/>
          <w:szCs w:val="20"/>
        </w:rPr>
        <w:t>energię cieplną sprzedaną do urzędów</w:t>
      </w:r>
      <w:r w:rsidR="00E66B89">
        <w:rPr>
          <w:rFonts w:cs="Calibri"/>
          <w:szCs w:val="20"/>
        </w:rPr>
        <w:t xml:space="preserve"> i </w:t>
      </w:r>
      <w:r w:rsidRPr="00404DA5">
        <w:rPr>
          <w:rFonts w:cs="Calibri"/>
          <w:szCs w:val="20"/>
        </w:rPr>
        <w:t>instytucji,</w:t>
      </w:r>
      <w:r w:rsidR="00E66B89">
        <w:rPr>
          <w:rFonts w:cs="Calibri"/>
          <w:szCs w:val="20"/>
        </w:rPr>
        <w:t xml:space="preserve"> w </w:t>
      </w:r>
      <w:r w:rsidRPr="00404DA5">
        <w:rPr>
          <w:rFonts w:cs="Calibri"/>
          <w:szCs w:val="20"/>
        </w:rPr>
        <w:t>omawianym okresie następował bardzo regularny wzrost wartości wskaźnika.</w:t>
      </w:r>
      <w:r w:rsidR="00E66B89">
        <w:rPr>
          <w:rFonts w:cs="Calibri"/>
          <w:szCs w:val="20"/>
        </w:rPr>
        <w:t xml:space="preserve"> W </w:t>
      </w:r>
      <w:r w:rsidRPr="00404DA5">
        <w:rPr>
          <w:rFonts w:cs="Calibri"/>
          <w:szCs w:val="20"/>
        </w:rPr>
        <w:t xml:space="preserve">roku 2011 sprzedano </w:t>
      </w:r>
      <w:r>
        <w:rPr>
          <w:rFonts w:cs="Calibri"/>
          <w:szCs w:val="20"/>
        </w:rPr>
        <w:t>1 095 617</w:t>
      </w:r>
      <w:r w:rsidRPr="00404DA5">
        <w:rPr>
          <w:rFonts w:cs="Calibri"/>
          <w:szCs w:val="20"/>
        </w:rPr>
        <w:t>GJ, podczas gdy</w:t>
      </w:r>
      <w:r w:rsidR="00E66B89">
        <w:rPr>
          <w:rFonts w:cs="Calibri"/>
          <w:szCs w:val="20"/>
        </w:rPr>
        <w:t xml:space="preserve"> w </w:t>
      </w:r>
      <w:r w:rsidRPr="00404DA5">
        <w:rPr>
          <w:rFonts w:cs="Calibri"/>
          <w:szCs w:val="20"/>
        </w:rPr>
        <w:t xml:space="preserve">roku 2017 – już </w:t>
      </w:r>
      <w:r>
        <w:rPr>
          <w:rFonts w:cs="Calibri"/>
          <w:szCs w:val="20"/>
        </w:rPr>
        <w:t>2 496 548</w:t>
      </w:r>
      <w:r w:rsidRPr="00404DA5">
        <w:rPr>
          <w:rFonts w:cs="Calibri"/>
          <w:szCs w:val="20"/>
        </w:rPr>
        <w:t xml:space="preserve"> GJ.</w:t>
      </w:r>
    </w:p>
    <w:p w14:paraId="5601BA44" w14:textId="02762439" w:rsidR="00EA33DF" w:rsidRPr="00404DA5" w:rsidRDefault="00EA33DF" w:rsidP="006E34DC">
      <w:pPr>
        <w:pStyle w:val="Legenda"/>
        <w:spacing w:after="0"/>
      </w:pPr>
      <w:bookmarkStart w:id="68" w:name="_Toc5311878"/>
      <w:r w:rsidRPr="00404DA5">
        <w:t xml:space="preserve">Wykres </w:t>
      </w:r>
      <w:r>
        <w:fldChar w:fldCharType="begin"/>
      </w:r>
      <w:r>
        <w:instrText xml:space="preserve"> SEQ Wykres \* ARABIC </w:instrText>
      </w:r>
      <w:r>
        <w:fldChar w:fldCharType="separate"/>
      </w:r>
      <w:r w:rsidR="00763345">
        <w:rPr>
          <w:noProof/>
        </w:rPr>
        <w:t>12</w:t>
      </w:r>
      <w:r>
        <w:fldChar w:fldCharType="end"/>
      </w:r>
      <w:r w:rsidRPr="00404DA5">
        <w:t xml:space="preserve"> Sprzedaż energii cieplnej do budynków mieszkalnych oraz do urzędów</w:t>
      </w:r>
      <w:r w:rsidR="00E66B89">
        <w:t xml:space="preserve"> i </w:t>
      </w:r>
      <w:r w:rsidRPr="00404DA5">
        <w:t>instytucji</w:t>
      </w:r>
      <w:r w:rsidR="00E66B89">
        <w:t xml:space="preserve"> w </w:t>
      </w:r>
      <w:r w:rsidRPr="00404DA5">
        <w:t>województwie zachodniopomorskim</w:t>
      </w:r>
      <w:r w:rsidR="00E66B89">
        <w:t xml:space="preserve"> w </w:t>
      </w:r>
      <w:r w:rsidRPr="00404DA5">
        <w:t>latach 2007-2017 [GJ]</w:t>
      </w:r>
      <w:bookmarkEnd w:id="68"/>
    </w:p>
    <w:p w14:paraId="1B5393EE" w14:textId="3C5F9A43" w:rsidR="00EA33DF" w:rsidRPr="00404DA5" w:rsidRDefault="00C35619" w:rsidP="00CF71F2">
      <w:pPr>
        <w:spacing w:before="0" w:after="0"/>
        <w:rPr>
          <w:rFonts w:cs="Calibri"/>
          <w:szCs w:val="20"/>
        </w:rPr>
      </w:pPr>
      <w:r w:rsidRPr="00D508B6">
        <w:rPr>
          <w:noProof/>
        </w:rPr>
        <w:drawing>
          <wp:inline distT="0" distB="0" distL="0" distR="0" wp14:anchorId="31EB5FCB" wp14:editId="0D23E911">
            <wp:extent cx="5753100" cy="1999397"/>
            <wp:effectExtent l="0" t="0" r="0" b="1270"/>
            <wp:docPr id="30" name="Wykres 17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5EC10A" w14:textId="3AC0534E" w:rsidR="00EA33DF" w:rsidRPr="002A5FDF" w:rsidRDefault="00EA33DF" w:rsidP="005076BF">
      <w:pPr>
        <w:spacing w:before="0"/>
        <w:rPr>
          <w:rFonts w:cs="Calibri"/>
          <w:i/>
          <w:sz w:val="18"/>
        </w:rPr>
      </w:pPr>
      <w:r w:rsidRPr="002A5FDF">
        <w:rPr>
          <w:rFonts w:cs="Calibri"/>
          <w:i/>
          <w:sz w:val="18"/>
        </w:rPr>
        <w:t>Źródło: opracowanie własne na podstawie Banku Danych Lokalnych GUS</w:t>
      </w:r>
      <w:r w:rsidR="00C56787" w:rsidRPr="002A5FDF">
        <w:rPr>
          <w:rFonts w:cs="Calibri"/>
          <w:i/>
          <w:sz w:val="18"/>
        </w:rPr>
        <w:t>.</w:t>
      </w:r>
    </w:p>
    <w:p w14:paraId="7E208395" w14:textId="77777777" w:rsidR="00EA33DF" w:rsidRPr="00404DA5" w:rsidRDefault="00EA33DF" w:rsidP="00EA33DF">
      <w:pPr>
        <w:rPr>
          <w:rFonts w:cs="Calibri"/>
          <w:szCs w:val="20"/>
        </w:rPr>
      </w:pPr>
      <w:r w:rsidRPr="00404DA5">
        <w:rPr>
          <w:rFonts w:cs="Calibri"/>
          <w:szCs w:val="20"/>
        </w:rPr>
        <w:lastRenderedPageBreak/>
        <w:t>Logika interwencji przyjęta</w:t>
      </w:r>
      <w:r w:rsidR="00E66B89">
        <w:rPr>
          <w:rFonts w:cs="Calibri"/>
          <w:szCs w:val="20"/>
        </w:rPr>
        <w:t xml:space="preserve"> w </w:t>
      </w:r>
      <w:r w:rsidRPr="00404DA5">
        <w:rPr>
          <w:rFonts w:cs="Calibri"/>
          <w:szCs w:val="20"/>
        </w:rPr>
        <w:t>ramach PI 4c dla osiągnięcia celu jakim jest zmniejszona energochłonność budynków mieszkaniowych (wielorodzinnych)</w:t>
      </w:r>
      <w:r w:rsidR="00E66B89">
        <w:rPr>
          <w:rFonts w:cs="Calibri"/>
          <w:szCs w:val="20"/>
        </w:rPr>
        <w:t xml:space="preserve"> i </w:t>
      </w:r>
      <w:r w:rsidRPr="00404DA5">
        <w:rPr>
          <w:rFonts w:cs="Calibri"/>
          <w:szCs w:val="20"/>
        </w:rPr>
        <w:t>publicznych jest zasadna.</w:t>
      </w:r>
      <w:r w:rsidR="00E66B89">
        <w:rPr>
          <w:rFonts w:cs="Calibri"/>
          <w:szCs w:val="20"/>
        </w:rPr>
        <w:t xml:space="preserve"> W </w:t>
      </w:r>
      <w:r w:rsidRPr="00404DA5">
        <w:rPr>
          <w:rFonts w:cs="Calibri"/>
          <w:szCs w:val="20"/>
        </w:rPr>
        <w:t>najbliższych latach należy spodziewać się kontynuacji wzrostu zużycia energii we wszystkich sektorach.</w:t>
      </w:r>
      <w:r>
        <w:rPr>
          <w:rFonts w:cs="Calibri"/>
          <w:szCs w:val="20"/>
        </w:rPr>
        <w:t xml:space="preserve"> Jest to wynik m. in. postępu technologicznego</w:t>
      </w:r>
      <w:r w:rsidR="00E66B89">
        <w:rPr>
          <w:rFonts w:cs="Calibri"/>
          <w:szCs w:val="20"/>
        </w:rPr>
        <w:t xml:space="preserve"> i </w:t>
      </w:r>
      <w:r>
        <w:rPr>
          <w:rFonts w:cs="Calibri"/>
          <w:szCs w:val="20"/>
        </w:rPr>
        <w:t>wzrastającej liczby urządzeń wykorzystujących do swojej pracy energię elektryczną, lecz również rosnącej liczby nowych budynków, które przyłączane są do sieci. Wzrost ten powinien być jednak równoważony poprzez wszelkie działania dotyczące poprawy efektywności energetycznej, realizowane zarówno za pomocą programów krajowych (np. Czyste Powietrze), jak</w:t>
      </w:r>
      <w:r w:rsidR="00E66B89">
        <w:rPr>
          <w:rFonts w:cs="Calibri"/>
          <w:szCs w:val="20"/>
        </w:rPr>
        <w:t xml:space="preserve"> i </w:t>
      </w:r>
      <w:r>
        <w:rPr>
          <w:rFonts w:cs="Calibri"/>
          <w:szCs w:val="20"/>
        </w:rPr>
        <w:t>środków unijnych oraz indywidualnych inwestycji podejmowanych</w:t>
      </w:r>
      <w:r w:rsidR="00E66B89">
        <w:rPr>
          <w:rFonts w:cs="Calibri"/>
          <w:szCs w:val="20"/>
        </w:rPr>
        <w:t xml:space="preserve"> w </w:t>
      </w:r>
      <w:r>
        <w:rPr>
          <w:rFonts w:cs="Calibri"/>
          <w:szCs w:val="20"/>
        </w:rPr>
        <w:t>ramach środków własnych.</w:t>
      </w:r>
      <w:r w:rsidRPr="00404DA5">
        <w:rPr>
          <w:rFonts w:cs="Calibri"/>
          <w:szCs w:val="20"/>
        </w:rPr>
        <w:t xml:space="preserve"> Wobec potrzeby zachowania bezpieczeństwa energetycznego regionu,</w:t>
      </w:r>
      <w:r w:rsidR="00E66B89">
        <w:rPr>
          <w:rFonts w:cs="Calibri"/>
          <w:szCs w:val="20"/>
        </w:rPr>
        <w:t xml:space="preserve"> a </w:t>
      </w:r>
      <w:r w:rsidRPr="00404DA5">
        <w:rPr>
          <w:rFonts w:cs="Calibri"/>
          <w:szCs w:val="20"/>
        </w:rPr>
        <w:t>także korzyści ekonomicznych wynikających</w:t>
      </w:r>
      <w:r w:rsidR="00E66B89">
        <w:rPr>
          <w:rFonts w:cs="Calibri"/>
          <w:szCs w:val="20"/>
        </w:rPr>
        <w:t xml:space="preserve"> z </w:t>
      </w:r>
      <w:r w:rsidRPr="00404DA5">
        <w:rPr>
          <w:rFonts w:cs="Calibri"/>
          <w:szCs w:val="20"/>
        </w:rPr>
        <w:t>oszczędnego gospodarowania energią, przewidywane jest zachowanie wysokiej rangi przedsięwzięć związanych</w:t>
      </w:r>
      <w:r w:rsidR="00E66B89">
        <w:rPr>
          <w:rFonts w:cs="Calibri"/>
          <w:szCs w:val="20"/>
        </w:rPr>
        <w:t xml:space="preserve"> z </w:t>
      </w:r>
      <w:r w:rsidRPr="00404DA5">
        <w:rPr>
          <w:rFonts w:cs="Calibri"/>
          <w:szCs w:val="20"/>
        </w:rPr>
        <w:t>PI 4c. Ponadto, Wśród 5 głównych celów polityki spójności na okres po 2020 roku znajduje się inwestowanie</w:t>
      </w:r>
      <w:r w:rsidR="00E66B89">
        <w:rPr>
          <w:rFonts w:cs="Calibri"/>
          <w:szCs w:val="20"/>
        </w:rPr>
        <w:t xml:space="preserve"> w </w:t>
      </w:r>
      <w:r w:rsidRPr="00404DA5">
        <w:rPr>
          <w:rFonts w:cs="Calibri"/>
          <w:szCs w:val="20"/>
        </w:rPr>
        <w:t>transformację sektora energetycznego</w:t>
      </w:r>
      <w:r w:rsidRPr="00404DA5">
        <w:rPr>
          <w:rFonts w:cs="Calibri"/>
          <w:szCs w:val="20"/>
          <w:vertAlign w:val="superscript"/>
        </w:rPr>
        <w:footnoteReference w:id="19"/>
      </w:r>
      <w:r w:rsidRPr="00404DA5">
        <w:rPr>
          <w:rFonts w:cs="Calibri"/>
          <w:szCs w:val="20"/>
        </w:rPr>
        <w:t>. Przyjęta</w:t>
      </w:r>
      <w:r w:rsidR="00E66B89">
        <w:rPr>
          <w:rFonts w:cs="Calibri"/>
          <w:szCs w:val="20"/>
        </w:rPr>
        <w:t xml:space="preserve"> w </w:t>
      </w:r>
      <w:r w:rsidRPr="00404DA5">
        <w:rPr>
          <w:rFonts w:cs="Calibri"/>
          <w:szCs w:val="20"/>
        </w:rPr>
        <w:t>2012 roku Dyrektywa</w:t>
      </w:r>
      <w:r w:rsidR="00E66B89">
        <w:rPr>
          <w:rFonts w:cs="Calibri"/>
          <w:szCs w:val="20"/>
        </w:rPr>
        <w:t xml:space="preserve"> o </w:t>
      </w:r>
      <w:r w:rsidRPr="00404DA5">
        <w:rPr>
          <w:rFonts w:cs="Calibri"/>
          <w:szCs w:val="20"/>
        </w:rPr>
        <w:t>efektywności energetycznej</w:t>
      </w:r>
      <w:r w:rsidRPr="00404DA5">
        <w:rPr>
          <w:rFonts w:cs="Calibri"/>
          <w:szCs w:val="20"/>
          <w:vertAlign w:val="superscript"/>
        </w:rPr>
        <w:footnoteReference w:id="20"/>
      </w:r>
      <w:r w:rsidRPr="00404DA5">
        <w:rPr>
          <w:rFonts w:cs="Calibri"/>
          <w:szCs w:val="20"/>
        </w:rPr>
        <w:t xml:space="preserve"> podkreśla stojące przed Unią Europejską wyzwania związane</w:t>
      </w:r>
      <w:r w:rsidR="00E66B89">
        <w:rPr>
          <w:rFonts w:cs="Calibri"/>
          <w:szCs w:val="20"/>
        </w:rPr>
        <w:t xml:space="preserve"> z </w:t>
      </w:r>
      <w:r w:rsidRPr="00404DA5">
        <w:rPr>
          <w:rFonts w:cs="Calibri"/>
          <w:szCs w:val="20"/>
        </w:rPr>
        <w:t>ograniczonymi zasobami energetycznymi,</w:t>
      </w:r>
      <w:r w:rsidR="00E66B89">
        <w:rPr>
          <w:rFonts w:cs="Calibri"/>
          <w:szCs w:val="20"/>
        </w:rPr>
        <w:t xml:space="preserve"> z w </w:t>
      </w:r>
      <w:r w:rsidRPr="00404DA5">
        <w:rPr>
          <w:rFonts w:cs="Calibri"/>
          <w:szCs w:val="20"/>
        </w:rPr>
        <w:t>związku</w:t>
      </w:r>
      <w:r w:rsidR="00E66B89">
        <w:rPr>
          <w:rFonts w:cs="Calibri"/>
          <w:szCs w:val="20"/>
        </w:rPr>
        <w:t xml:space="preserve"> z </w:t>
      </w:r>
      <w:r w:rsidRPr="00404DA5">
        <w:rPr>
          <w:rFonts w:cs="Calibri"/>
          <w:szCs w:val="20"/>
        </w:rPr>
        <w:t>tym również</w:t>
      </w:r>
      <w:r w:rsidR="00E66B89">
        <w:rPr>
          <w:rFonts w:cs="Calibri"/>
          <w:szCs w:val="20"/>
        </w:rPr>
        <w:t xml:space="preserve"> z </w:t>
      </w:r>
      <w:r w:rsidRPr="00404DA5">
        <w:rPr>
          <w:rFonts w:cs="Calibri"/>
          <w:szCs w:val="20"/>
        </w:rPr>
        <w:t>bezpieczeństwem energetycznym. Oprócz uregulowań unijnych powstało również prawodawstwo polskie</w:t>
      </w:r>
      <w:r w:rsidRPr="00404DA5">
        <w:rPr>
          <w:rFonts w:cs="Calibri"/>
          <w:szCs w:val="20"/>
          <w:vertAlign w:val="superscript"/>
        </w:rPr>
        <w:footnoteReference w:id="21"/>
      </w:r>
      <w:r w:rsidRPr="00404DA5">
        <w:rPr>
          <w:rFonts w:cs="Calibri"/>
          <w:szCs w:val="20"/>
        </w:rPr>
        <w:t>, określające plan działań na rzecz poprawy efektywności energetycznej</w:t>
      </w:r>
      <w:r w:rsidR="00E66B89">
        <w:rPr>
          <w:rFonts w:cs="Calibri"/>
          <w:szCs w:val="20"/>
        </w:rPr>
        <w:t xml:space="preserve"> w </w:t>
      </w:r>
      <w:r w:rsidRPr="00404DA5">
        <w:rPr>
          <w:rFonts w:cs="Calibri"/>
          <w:szCs w:val="20"/>
        </w:rPr>
        <w:t>kraju. Dokument Polityka Energetyczna Polski do 2030 roku</w:t>
      </w:r>
      <w:r w:rsidRPr="00404DA5">
        <w:rPr>
          <w:rFonts w:cs="Calibri"/>
          <w:szCs w:val="20"/>
          <w:vertAlign w:val="superscript"/>
        </w:rPr>
        <w:footnoteReference w:id="22"/>
      </w:r>
      <w:r w:rsidRPr="00404DA5">
        <w:rPr>
          <w:rFonts w:cs="Calibri"/>
          <w:szCs w:val="20"/>
        </w:rPr>
        <w:t xml:space="preserve"> poprawę efektywności energetycznej traktuje jako priorytetowe zadanie polityki energetycznej. Najbardziej efektywnym sposobem realizacji celów związanych</w:t>
      </w:r>
      <w:r w:rsidR="00E66B89">
        <w:rPr>
          <w:rFonts w:cs="Calibri"/>
          <w:szCs w:val="20"/>
        </w:rPr>
        <w:t xml:space="preserve"> z </w:t>
      </w:r>
      <w:r w:rsidRPr="00404DA5">
        <w:rPr>
          <w:rFonts w:cs="Calibri"/>
          <w:szCs w:val="20"/>
        </w:rPr>
        <w:t>efektywnością energetyczną jest oszczędne gospodarowanie energią – redukcja jej wykorzystania</w:t>
      </w:r>
      <w:r w:rsidR="00E66B89">
        <w:rPr>
          <w:rFonts w:cs="Calibri"/>
          <w:szCs w:val="20"/>
        </w:rPr>
        <w:t xml:space="preserve"> i </w:t>
      </w:r>
      <w:r w:rsidRPr="00404DA5">
        <w:rPr>
          <w:rFonts w:cs="Calibri"/>
          <w:szCs w:val="20"/>
        </w:rPr>
        <w:t>użytkowania. Liczba zmodernizowanych energetycznie budynków wraz</w:t>
      </w:r>
      <w:r w:rsidR="00E66B89">
        <w:rPr>
          <w:rFonts w:cs="Calibri"/>
          <w:szCs w:val="20"/>
        </w:rPr>
        <w:t xml:space="preserve"> z </w:t>
      </w:r>
      <w:r w:rsidRPr="00404DA5">
        <w:rPr>
          <w:rFonts w:cs="Calibri"/>
          <w:szCs w:val="20"/>
        </w:rPr>
        <w:t>szerokim zakresem przeprowadzonych prac, ma bezpośrednie przełożenie na spadek zużycia energii pierwotnej oraz sprzedaży energii cieplnej na cele komunalno-bytowe.</w:t>
      </w:r>
    </w:p>
    <w:p w14:paraId="4064DB26" w14:textId="77777777" w:rsidR="00EA33DF" w:rsidRDefault="00EA33DF" w:rsidP="00EA33DF">
      <w:pPr>
        <w:autoSpaceDE w:val="0"/>
        <w:autoSpaceDN w:val="0"/>
        <w:adjustRightInd w:val="0"/>
        <w:rPr>
          <w:szCs w:val="20"/>
        </w:rPr>
      </w:pPr>
      <w:r w:rsidRPr="00083FF4">
        <w:rPr>
          <w:szCs w:val="20"/>
        </w:rPr>
        <w:t>Na etapie programowania perspektywy unijnej 2014-2020</w:t>
      </w:r>
      <w:r w:rsidR="00E66B89">
        <w:rPr>
          <w:szCs w:val="20"/>
        </w:rPr>
        <w:t xml:space="preserve"> w </w:t>
      </w:r>
      <w:r>
        <w:rPr>
          <w:szCs w:val="20"/>
        </w:rPr>
        <w:t>województwie zachodniopomorskim zdiagnozowano istotny problem związany</w:t>
      </w:r>
      <w:r w:rsidR="00E66B89">
        <w:rPr>
          <w:szCs w:val="20"/>
        </w:rPr>
        <w:t xml:space="preserve"> z </w:t>
      </w:r>
      <w:r>
        <w:rPr>
          <w:szCs w:val="20"/>
        </w:rPr>
        <w:t xml:space="preserve">emisją gazów cieplarnianych generowanych przez środki transportu, szczególnie indywidualnego. </w:t>
      </w:r>
      <w:r w:rsidRPr="00083FF4">
        <w:rPr>
          <w:szCs w:val="20"/>
        </w:rPr>
        <w:t>Analizując zmiany zachodzące</w:t>
      </w:r>
      <w:r w:rsidR="00E66B89">
        <w:rPr>
          <w:szCs w:val="20"/>
        </w:rPr>
        <w:t xml:space="preserve"> w </w:t>
      </w:r>
      <w:r w:rsidRPr="00083FF4">
        <w:rPr>
          <w:szCs w:val="20"/>
        </w:rPr>
        <w:t xml:space="preserve">województwie </w:t>
      </w:r>
      <w:r>
        <w:rPr>
          <w:szCs w:val="20"/>
        </w:rPr>
        <w:t>zachodniopomorskim</w:t>
      </w:r>
      <w:r w:rsidR="00E66B89">
        <w:rPr>
          <w:szCs w:val="20"/>
        </w:rPr>
        <w:t xml:space="preserve"> w </w:t>
      </w:r>
      <w:r w:rsidRPr="00083FF4">
        <w:rPr>
          <w:szCs w:val="20"/>
        </w:rPr>
        <w:t xml:space="preserve">ostatnich latach pod kątem </w:t>
      </w:r>
      <w:r>
        <w:rPr>
          <w:szCs w:val="20"/>
        </w:rPr>
        <w:t xml:space="preserve">wzrostowych </w:t>
      </w:r>
      <w:r w:rsidRPr="00083FF4">
        <w:rPr>
          <w:szCs w:val="20"/>
        </w:rPr>
        <w:t>tendencji</w:t>
      </w:r>
      <w:r>
        <w:rPr>
          <w:szCs w:val="20"/>
        </w:rPr>
        <w:t xml:space="preserve"> ruchu samochodowego,</w:t>
      </w:r>
      <w:r w:rsidRPr="00083FF4">
        <w:rPr>
          <w:szCs w:val="20"/>
        </w:rPr>
        <w:t xml:space="preserve"> obserwowanych</w:t>
      </w:r>
      <w:r w:rsidR="00E66B89">
        <w:rPr>
          <w:szCs w:val="20"/>
        </w:rPr>
        <w:t xml:space="preserve"> w </w:t>
      </w:r>
      <w:r w:rsidRPr="00083FF4">
        <w:rPr>
          <w:szCs w:val="20"/>
        </w:rPr>
        <w:t>miastach (w których ruch pojazdów jest szczególnie nasilony), warto zwrócić uwagę na komunikację miejską.</w:t>
      </w:r>
    </w:p>
    <w:p w14:paraId="7838098F" w14:textId="77777777" w:rsidR="00EA33DF" w:rsidRDefault="00EA33DF" w:rsidP="00EA33DF">
      <w:pPr>
        <w:autoSpaceDE w:val="0"/>
        <w:autoSpaceDN w:val="0"/>
        <w:adjustRightInd w:val="0"/>
        <w:rPr>
          <w:szCs w:val="20"/>
        </w:rPr>
      </w:pPr>
      <w:r>
        <w:rPr>
          <w:szCs w:val="20"/>
        </w:rPr>
        <w:t>Ważną rolę dla ograniczenia ruchu samochodów indywidualnych pełni transport miejski. Wskaźnikiem obrazującym zmiany</w:t>
      </w:r>
      <w:r w:rsidR="00E66B89">
        <w:rPr>
          <w:szCs w:val="20"/>
        </w:rPr>
        <w:t xml:space="preserve"> w </w:t>
      </w:r>
      <w:r>
        <w:rPr>
          <w:szCs w:val="20"/>
        </w:rPr>
        <w:t>regionie jest</w:t>
      </w:r>
      <w:r w:rsidR="00E66B89">
        <w:rPr>
          <w:szCs w:val="20"/>
        </w:rPr>
        <w:t xml:space="preserve"> w </w:t>
      </w:r>
      <w:r>
        <w:rPr>
          <w:szCs w:val="20"/>
        </w:rPr>
        <w:t xml:space="preserve">dużym stopniu </w:t>
      </w:r>
      <w:r w:rsidRPr="005C6F7C">
        <w:rPr>
          <w:i/>
          <w:szCs w:val="20"/>
        </w:rPr>
        <w:t>Liczba przewozów pasażerskich komunikacją miejską</w:t>
      </w:r>
      <w:r>
        <w:rPr>
          <w:szCs w:val="20"/>
        </w:rPr>
        <w:t xml:space="preserve">. </w:t>
      </w:r>
      <w:r w:rsidRPr="00F06951">
        <w:rPr>
          <w:szCs w:val="20"/>
        </w:rPr>
        <w:t>Dane BDL GUS</w:t>
      </w:r>
      <w:r w:rsidR="00E66B89">
        <w:rPr>
          <w:szCs w:val="20"/>
        </w:rPr>
        <w:t xml:space="preserve"> z </w:t>
      </w:r>
      <w:r w:rsidRPr="00F06951">
        <w:rPr>
          <w:szCs w:val="20"/>
        </w:rPr>
        <w:t>lat 2012-2017 wskazują, że po spadkach wartości wskaźnika oraz osiągnięciu minimalnego poziomu 175 mln osób</w:t>
      </w:r>
      <w:r w:rsidR="00E66B89">
        <w:rPr>
          <w:szCs w:val="20"/>
        </w:rPr>
        <w:t xml:space="preserve"> w </w:t>
      </w:r>
      <w:r w:rsidRPr="00F06951">
        <w:rPr>
          <w:szCs w:val="20"/>
        </w:rPr>
        <w:t>roku 2014, jego wartość od tego czasu rośnie systematycznie</w:t>
      </w:r>
      <w:r w:rsidR="00E66B89">
        <w:rPr>
          <w:szCs w:val="20"/>
        </w:rPr>
        <w:t xml:space="preserve"> i w </w:t>
      </w:r>
      <w:r w:rsidRPr="00F06951">
        <w:rPr>
          <w:szCs w:val="20"/>
        </w:rPr>
        <w:t>roku 2017 osiągnęła poziom 180,1 mln osób. Jest to znacznie powyżej założonego</w:t>
      </w:r>
      <w:r w:rsidR="00E66B89">
        <w:rPr>
          <w:szCs w:val="20"/>
        </w:rPr>
        <w:t xml:space="preserve"> w </w:t>
      </w:r>
      <w:r w:rsidRPr="00F06951">
        <w:rPr>
          <w:szCs w:val="20"/>
        </w:rPr>
        <w:t>Programie na rok 2023 celu wynoszącego 173,7 mln osób. Jednakże dynamika wzrostu tego wskaźnika</w:t>
      </w:r>
      <w:r w:rsidR="00E66B89">
        <w:rPr>
          <w:szCs w:val="20"/>
        </w:rPr>
        <w:t xml:space="preserve"> w </w:t>
      </w:r>
      <w:r w:rsidRPr="00F06951">
        <w:rPr>
          <w:szCs w:val="20"/>
        </w:rPr>
        <w:t>latach 2016-2017 była znacznie mniejsza (0,6 mln osób/rok) niż</w:t>
      </w:r>
      <w:r w:rsidR="00E66B89">
        <w:rPr>
          <w:szCs w:val="20"/>
        </w:rPr>
        <w:t xml:space="preserve"> w </w:t>
      </w:r>
      <w:r w:rsidRPr="00F06951">
        <w:rPr>
          <w:szCs w:val="20"/>
        </w:rPr>
        <w:t>latach 2014-2015</w:t>
      </w:r>
      <w:r w:rsidR="00E66B89">
        <w:rPr>
          <w:szCs w:val="20"/>
        </w:rPr>
        <w:t xml:space="preserve"> i </w:t>
      </w:r>
      <w:r w:rsidRPr="00F06951">
        <w:rPr>
          <w:szCs w:val="20"/>
        </w:rPr>
        <w:t>2015-2016 (1,8</w:t>
      </w:r>
      <w:r w:rsidR="00E66B89">
        <w:rPr>
          <w:szCs w:val="20"/>
        </w:rPr>
        <w:t xml:space="preserve"> i </w:t>
      </w:r>
      <w:r w:rsidRPr="00F06951">
        <w:rPr>
          <w:szCs w:val="20"/>
        </w:rPr>
        <w:t>2,8 mln osób/rok odpowiednio). Może to wskazywać na wyczerpanie możliwości jego dalszego wzrostu</w:t>
      </w:r>
      <w:r w:rsidR="00E66B89">
        <w:rPr>
          <w:szCs w:val="20"/>
        </w:rPr>
        <w:t xml:space="preserve"> w </w:t>
      </w:r>
      <w:r w:rsidRPr="00F06951">
        <w:rPr>
          <w:szCs w:val="20"/>
        </w:rPr>
        <w:t>obecnych warunkach.</w:t>
      </w:r>
    </w:p>
    <w:p w14:paraId="18D39B1A" w14:textId="77777777" w:rsidR="00EA33DF" w:rsidRPr="00A41251" w:rsidRDefault="00EA33DF" w:rsidP="006E34DC">
      <w:pPr>
        <w:pStyle w:val="Legenda"/>
        <w:spacing w:after="0"/>
      </w:pPr>
      <w:bookmarkStart w:id="69" w:name="_Toc5311879"/>
      <w:r w:rsidRPr="00A41251">
        <w:lastRenderedPageBreak/>
        <w:t xml:space="preserve">Wykres </w:t>
      </w:r>
      <w:r>
        <w:fldChar w:fldCharType="begin"/>
      </w:r>
      <w:r>
        <w:instrText xml:space="preserve"> SEQ Wykres \* ARABIC </w:instrText>
      </w:r>
      <w:r>
        <w:fldChar w:fldCharType="separate"/>
      </w:r>
      <w:r w:rsidR="00763345">
        <w:rPr>
          <w:noProof/>
        </w:rPr>
        <w:t>13</w:t>
      </w:r>
      <w:r>
        <w:fldChar w:fldCharType="end"/>
      </w:r>
      <w:r w:rsidRPr="00A41251">
        <w:t xml:space="preserve"> Przewozy pasażerów komunikacją miejską</w:t>
      </w:r>
      <w:r w:rsidR="00E66B89">
        <w:t xml:space="preserve"> w </w:t>
      </w:r>
      <w:r w:rsidRPr="00A41251">
        <w:t>województwie zachodniopomorskim</w:t>
      </w:r>
      <w:r w:rsidR="00E66B89">
        <w:t xml:space="preserve"> w </w:t>
      </w:r>
      <w:r w:rsidRPr="00A41251">
        <w:t>latach 2012-2017 [mln</w:t>
      </w:r>
      <w:r>
        <w:t xml:space="preserve"> osób</w:t>
      </w:r>
      <w:r w:rsidRPr="00A41251">
        <w:t>]</w:t>
      </w:r>
      <w:bookmarkEnd w:id="69"/>
    </w:p>
    <w:p w14:paraId="08F1FA82" w14:textId="748924E6" w:rsidR="00EA33DF" w:rsidRPr="002A5FDF" w:rsidRDefault="00C35619" w:rsidP="00CF71F2">
      <w:pPr>
        <w:autoSpaceDE w:val="0"/>
        <w:autoSpaceDN w:val="0"/>
        <w:adjustRightInd w:val="0"/>
        <w:spacing w:before="0" w:line="240" w:lineRule="auto"/>
        <w:rPr>
          <w:rFonts w:cs="Calibri"/>
          <w:i/>
          <w:sz w:val="18"/>
          <w:szCs w:val="18"/>
        </w:rPr>
      </w:pPr>
      <w:r w:rsidRPr="00D508B6">
        <w:rPr>
          <w:noProof/>
        </w:rPr>
        <w:drawing>
          <wp:inline distT="0" distB="0" distL="0" distR="0" wp14:anchorId="2DC6CFC8" wp14:editId="20F70D51">
            <wp:extent cx="5871845" cy="1852295"/>
            <wp:effectExtent l="0" t="0" r="14605" b="14605"/>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A33DF">
        <w:rPr>
          <w:szCs w:val="20"/>
        </w:rPr>
        <w:t xml:space="preserve"> </w:t>
      </w:r>
      <w:r w:rsidR="002A5FDF" w:rsidRPr="002A5FDF">
        <w:rPr>
          <w:sz w:val="18"/>
          <w:szCs w:val="18"/>
        </w:rPr>
        <w:t>Ź</w:t>
      </w:r>
      <w:r w:rsidR="00EA33DF" w:rsidRPr="002A5FDF">
        <w:rPr>
          <w:rFonts w:cs="Calibri"/>
          <w:i/>
          <w:sz w:val="18"/>
          <w:szCs w:val="18"/>
        </w:rPr>
        <w:t>ródło: Opracowanie własne na podstawie GUS, Bank Danych Lokalnych</w:t>
      </w:r>
      <w:r w:rsidR="00C56787" w:rsidRPr="002A5FDF">
        <w:rPr>
          <w:rFonts w:cs="Calibri"/>
          <w:i/>
          <w:sz w:val="18"/>
          <w:szCs w:val="18"/>
        </w:rPr>
        <w:t>.</w:t>
      </w:r>
    </w:p>
    <w:p w14:paraId="4623FA55" w14:textId="77777777" w:rsidR="00EA33DF" w:rsidRDefault="00EA33DF" w:rsidP="00EA33DF">
      <w:pPr>
        <w:autoSpaceDE w:val="0"/>
        <w:autoSpaceDN w:val="0"/>
        <w:adjustRightInd w:val="0"/>
        <w:rPr>
          <w:szCs w:val="20"/>
        </w:rPr>
      </w:pPr>
      <w:r w:rsidRPr="00DB624A">
        <w:rPr>
          <w:szCs w:val="20"/>
        </w:rPr>
        <w:t>Powyższa tendencja jest zgodna</w:t>
      </w:r>
      <w:r w:rsidR="00E66B89">
        <w:rPr>
          <w:szCs w:val="20"/>
        </w:rPr>
        <w:t xml:space="preserve"> z </w:t>
      </w:r>
      <w:r w:rsidRPr="00DB624A">
        <w:rPr>
          <w:szCs w:val="20"/>
        </w:rPr>
        <w:t>danymi BDL GUS dotyczącymi liczby miejsc</w:t>
      </w:r>
      <w:r w:rsidR="00E66B89">
        <w:rPr>
          <w:szCs w:val="20"/>
        </w:rPr>
        <w:t xml:space="preserve"> w </w:t>
      </w:r>
      <w:r w:rsidRPr="00DB624A">
        <w:rPr>
          <w:szCs w:val="20"/>
        </w:rPr>
        <w:t>środkach transportu publicznego</w:t>
      </w:r>
      <w:r w:rsidR="00E66B89">
        <w:rPr>
          <w:szCs w:val="20"/>
        </w:rPr>
        <w:t xml:space="preserve"> w </w:t>
      </w:r>
      <w:r w:rsidRPr="00DB624A">
        <w:rPr>
          <w:szCs w:val="20"/>
        </w:rPr>
        <w:t>województwie zachodniopomorskim. Liczba miejsc</w:t>
      </w:r>
      <w:r w:rsidR="00E66B89">
        <w:rPr>
          <w:szCs w:val="20"/>
        </w:rPr>
        <w:t xml:space="preserve"> w </w:t>
      </w:r>
      <w:r w:rsidRPr="00DB624A">
        <w:rPr>
          <w:szCs w:val="20"/>
        </w:rPr>
        <w:t>autobusach wzrosła</w:t>
      </w:r>
      <w:r w:rsidR="00E66B89">
        <w:rPr>
          <w:szCs w:val="20"/>
        </w:rPr>
        <w:t xml:space="preserve"> z </w:t>
      </w:r>
      <w:r w:rsidRPr="00DB624A">
        <w:rPr>
          <w:szCs w:val="20"/>
        </w:rPr>
        <w:t>poziomu 50,8 tys. miejsc</w:t>
      </w:r>
      <w:r w:rsidR="00E66B89">
        <w:rPr>
          <w:szCs w:val="20"/>
        </w:rPr>
        <w:t xml:space="preserve"> w </w:t>
      </w:r>
      <w:r w:rsidRPr="00DB624A">
        <w:rPr>
          <w:szCs w:val="20"/>
        </w:rPr>
        <w:t>roku 2015 do 56,2 tys. miejsc</w:t>
      </w:r>
      <w:r w:rsidR="00E66B89">
        <w:rPr>
          <w:szCs w:val="20"/>
        </w:rPr>
        <w:t xml:space="preserve"> w </w:t>
      </w:r>
      <w:r w:rsidRPr="00DB624A">
        <w:rPr>
          <w:szCs w:val="20"/>
        </w:rPr>
        <w:t>roku 2016, aby</w:t>
      </w:r>
      <w:r w:rsidR="00E66B89">
        <w:rPr>
          <w:szCs w:val="20"/>
        </w:rPr>
        <w:t xml:space="preserve"> w </w:t>
      </w:r>
      <w:r w:rsidRPr="00DB624A">
        <w:rPr>
          <w:szCs w:val="20"/>
        </w:rPr>
        <w:t>kolejnym roku zmniejszyć się ponownie do wartości 51,0 tys. miejsc. Liczba miejsc</w:t>
      </w:r>
      <w:r w:rsidR="00E66B89">
        <w:rPr>
          <w:szCs w:val="20"/>
        </w:rPr>
        <w:t xml:space="preserve"> w </w:t>
      </w:r>
      <w:r w:rsidRPr="00DB624A">
        <w:rPr>
          <w:szCs w:val="20"/>
        </w:rPr>
        <w:t>tramwajach</w:t>
      </w:r>
      <w:r w:rsidR="00E66B89">
        <w:rPr>
          <w:szCs w:val="20"/>
        </w:rPr>
        <w:t xml:space="preserve"> w </w:t>
      </w:r>
      <w:r w:rsidRPr="00DB624A">
        <w:rPr>
          <w:szCs w:val="20"/>
        </w:rPr>
        <w:t>latach 2014-2017 nieznacznie się zmniejszyła</w:t>
      </w:r>
      <w:r w:rsidR="00E66B89">
        <w:rPr>
          <w:szCs w:val="20"/>
        </w:rPr>
        <w:t xml:space="preserve"> z </w:t>
      </w:r>
      <w:r w:rsidRPr="00DB624A">
        <w:rPr>
          <w:szCs w:val="20"/>
        </w:rPr>
        <w:t>poziomu 31,5 tys. miejsc do poziomu 30,0 tys. miejsc</w:t>
      </w:r>
      <w:r w:rsidR="00E66B89">
        <w:rPr>
          <w:szCs w:val="20"/>
        </w:rPr>
        <w:t xml:space="preserve"> w </w:t>
      </w:r>
      <w:r w:rsidRPr="00DB624A">
        <w:rPr>
          <w:szCs w:val="20"/>
        </w:rPr>
        <w:t>2017 roku. Jednocześnie liczba autobusów wzrosła</w:t>
      </w:r>
      <w:r w:rsidR="00E66B89">
        <w:rPr>
          <w:szCs w:val="20"/>
        </w:rPr>
        <w:t xml:space="preserve"> w </w:t>
      </w:r>
      <w:r w:rsidRPr="00DB624A">
        <w:rPr>
          <w:szCs w:val="20"/>
        </w:rPr>
        <w:t>roku 2016</w:t>
      </w:r>
      <w:r w:rsidR="00E66B89">
        <w:rPr>
          <w:szCs w:val="20"/>
        </w:rPr>
        <w:t xml:space="preserve"> o </w:t>
      </w:r>
      <w:r w:rsidRPr="00DB624A">
        <w:rPr>
          <w:szCs w:val="20"/>
        </w:rPr>
        <w:t>6 szt. osiągając wartość 456 pojazdów</w:t>
      </w:r>
      <w:r w:rsidR="00E66B89">
        <w:rPr>
          <w:szCs w:val="20"/>
        </w:rPr>
        <w:t xml:space="preserve"> i w </w:t>
      </w:r>
      <w:r w:rsidRPr="00DB624A">
        <w:rPr>
          <w:szCs w:val="20"/>
        </w:rPr>
        <w:t>roku 2017 utrzymywała się na podobnym poziomie –</w:t>
      </w:r>
      <w:r>
        <w:rPr>
          <w:szCs w:val="20"/>
        </w:rPr>
        <w:t xml:space="preserve"> </w:t>
      </w:r>
      <w:r w:rsidRPr="00DB624A">
        <w:rPr>
          <w:szCs w:val="20"/>
        </w:rPr>
        <w:t>455 szt. Świadczy to</w:t>
      </w:r>
      <w:r w:rsidR="00E66B89">
        <w:rPr>
          <w:szCs w:val="20"/>
        </w:rPr>
        <w:t xml:space="preserve"> o </w:t>
      </w:r>
      <w:r w:rsidRPr="00DB624A">
        <w:rPr>
          <w:szCs w:val="20"/>
        </w:rPr>
        <w:t>wprowadzeniu</w:t>
      </w:r>
      <w:r w:rsidR="00E66B89">
        <w:rPr>
          <w:szCs w:val="20"/>
        </w:rPr>
        <w:t xml:space="preserve"> w </w:t>
      </w:r>
      <w:r w:rsidRPr="00DB624A">
        <w:rPr>
          <w:szCs w:val="20"/>
        </w:rPr>
        <w:t>roku 2016 nowego taboru autobusowego. Liczba tramwajów</w:t>
      </w:r>
      <w:r w:rsidR="00E66B89">
        <w:rPr>
          <w:szCs w:val="20"/>
        </w:rPr>
        <w:t xml:space="preserve"> w </w:t>
      </w:r>
      <w:r w:rsidRPr="00DB624A">
        <w:rPr>
          <w:szCs w:val="20"/>
        </w:rPr>
        <w:t>tych latach nieznacznie zmniejszyła się</w:t>
      </w:r>
      <w:r w:rsidR="00E66B89">
        <w:rPr>
          <w:szCs w:val="20"/>
        </w:rPr>
        <w:t xml:space="preserve"> z </w:t>
      </w:r>
      <w:r w:rsidRPr="00DB624A">
        <w:rPr>
          <w:szCs w:val="20"/>
        </w:rPr>
        <w:t>poziomu 209 szt.</w:t>
      </w:r>
      <w:r w:rsidR="00E66B89">
        <w:rPr>
          <w:szCs w:val="20"/>
        </w:rPr>
        <w:t xml:space="preserve"> w </w:t>
      </w:r>
      <w:r w:rsidRPr="00DB624A">
        <w:rPr>
          <w:szCs w:val="20"/>
        </w:rPr>
        <w:t>roku 2016 do poziomu</w:t>
      </w:r>
      <w:r>
        <w:rPr>
          <w:szCs w:val="20"/>
        </w:rPr>
        <w:t xml:space="preserve"> </w:t>
      </w:r>
      <w:r w:rsidRPr="00DB624A">
        <w:rPr>
          <w:szCs w:val="20"/>
        </w:rPr>
        <w:t>203 szt.</w:t>
      </w:r>
      <w:r w:rsidR="00E66B89">
        <w:rPr>
          <w:szCs w:val="20"/>
        </w:rPr>
        <w:t xml:space="preserve"> w </w:t>
      </w:r>
      <w:r w:rsidRPr="00DB624A">
        <w:rPr>
          <w:szCs w:val="20"/>
        </w:rPr>
        <w:t>roku 2017.</w:t>
      </w:r>
    </w:p>
    <w:p w14:paraId="6D47760D" w14:textId="77777777" w:rsidR="00EA33DF" w:rsidRPr="00DB624A" w:rsidRDefault="00EA33DF" w:rsidP="00EA33DF">
      <w:pPr>
        <w:autoSpaceDE w:val="0"/>
        <w:autoSpaceDN w:val="0"/>
        <w:adjustRightInd w:val="0"/>
        <w:rPr>
          <w:szCs w:val="20"/>
        </w:rPr>
      </w:pPr>
      <w:r w:rsidRPr="00DB624A">
        <w:rPr>
          <w:szCs w:val="20"/>
        </w:rPr>
        <w:t>W porównaniu</w:t>
      </w:r>
      <w:r w:rsidR="00E66B89">
        <w:rPr>
          <w:szCs w:val="20"/>
        </w:rPr>
        <w:t xml:space="preserve"> z </w:t>
      </w:r>
      <w:r w:rsidRPr="00DB624A">
        <w:rPr>
          <w:szCs w:val="20"/>
        </w:rPr>
        <w:t>innymi województwami</w:t>
      </w:r>
      <w:r w:rsidR="00E66B89">
        <w:rPr>
          <w:szCs w:val="20"/>
        </w:rPr>
        <w:t xml:space="preserve"> w </w:t>
      </w:r>
      <w:r w:rsidRPr="00DB624A">
        <w:rPr>
          <w:szCs w:val="20"/>
        </w:rPr>
        <w:t>Polsce, pod względem liczby przewożonych pasażerów przez środki transportu miejskiego,</w:t>
      </w:r>
      <w:r w:rsidR="00E66B89">
        <w:rPr>
          <w:szCs w:val="20"/>
        </w:rPr>
        <w:t xml:space="preserve"> w </w:t>
      </w:r>
      <w:r w:rsidRPr="00DB624A">
        <w:rPr>
          <w:szCs w:val="20"/>
        </w:rPr>
        <w:t>roku 2017 województwo zachodniopomorskie plasowało się na 8. pozycji</w:t>
      </w:r>
      <w:r w:rsidR="00E66B89">
        <w:rPr>
          <w:szCs w:val="20"/>
        </w:rPr>
        <w:t xml:space="preserve"> w </w:t>
      </w:r>
      <w:r w:rsidRPr="00DB624A">
        <w:rPr>
          <w:szCs w:val="20"/>
        </w:rPr>
        <w:t>kraju za województwami: mazowieckim, małopolskim, śląskim, wielkopolskim, pomorskim, dolnośląskim</w:t>
      </w:r>
      <w:r w:rsidR="00E66B89">
        <w:rPr>
          <w:szCs w:val="20"/>
        </w:rPr>
        <w:t xml:space="preserve"> i </w:t>
      </w:r>
      <w:r w:rsidRPr="00DB624A">
        <w:rPr>
          <w:szCs w:val="20"/>
        </w:rPr>
        <w:t>łódzkim.</w:t>
      </w:r>
    </w:p>
    <w:p w14:paraId="6988D57E" w14:textId="77777777" w:rsidR="00EA33DF" w:rsidRPr="00DB624A" w:rsidRDefault="00EA33DF" w:rsidP="00EA33DF">
      <w:pPr>
        <w:autoSpaceDE w:val="0"/>
        <w:autoSpaceDN w:val="0"/>
        <w:adjustRightInd w:val="0"/>
        <w:rPr>
          <w:szCs w:val="20"/>
        </w:rPr>
      </w:pPr>
      <w:r w:rsidRPr="00DB624A">
        <w:rPr>
          <w:szCs w:val="20"/>
        </w:rPr>
        <w:t>Długość linii komunikacji miejskiej</w:t>
      </w:r>
      <w:r w:rsidR="00E66B89">
        <w:rPr>
          <w:szCs w:val="20"/>
        </w:rPr>
        <w:t xml:space="preserve"> w </w:t>
      </w:r>
      <w:r w:rsidRPr="00DB624A">
        <w:rPr>
          <w:szCs w:val="20"/>
        </w:rPr>
        <w:t>województwie zachodniopomorskim rosła systematycznie</w:t>
      </w:r>
      <w:r w:rsidR="00E66B89">
        <w:rPr>
          <w:szCs w:val="20"/>
        </w:rPr>
        <w:t xml:space="preserve"> w </w:t>
      </w:r>
      <w:r w:rsidRPr="00DB624A">
        <w:rPr>
          <w:szCs w:val="20"/>
        </w:rPr>
        <w:t>latach 2014-2017, aby osiągnąć</w:t>
      </w:r>
      <w:r w:rsidR="00E66B89">
        <w:rPr>
          <w:szCs w:val="20"/>
        </w:rPr>
        <w:t xml:space="preserve"> w </w:t>
      </w:r>
      <w:r w:rsidRPr="00DB624A">
        <w:rPr>
          <w:szCs w:val="20"/>
        </w:rPr>
        <w:t>roku 2017 długość 1.934,5 tys. km,</w:t>
      </w:r>
      <w:r w:rsidR="00E66B89">
        <w:rPr>
          <w:szCs w:val="20"/>
        </w:rPr>
        <w:t xml:space="preserve"> z </w:t>
      </w:r>
      <w:r w:rsidRPr="00DB624A">
        <w:rPr>
          <w:szCs w:val="20"/>
        </w:rPr>
        <w:t>czego linie autobusowe miały długość 1.816,9 tys. km,</w:t>
      </w:r>
      <w:r w:rsidR="00E66B89">
        <w:rPr>
          <w:szCs w:val="20"/>
        </w:rPr>
        <w:t xml:space="preserve"> a </w:t>
      </w:r>
      <w:r w:rsidRPr="00DB624A">
        <w:rPr>
          <w:szCs w:val="20"/>
        </w:rPr>
        <w:t>linie tramwajowe 117,6 tys. km. Pod względem długości linii komunikacji miejskiej</w:t>
      </w:r>
      <w:r w:rsidR="00E66B89">
        <w:rPr>
          <w:szCs w:val="20"/>
        </w:rPr>
        <w:t xml:space="preserve"> w </w:t>
      </w:r>
      <w:r w:rsidRPr="00DB624A">
        <w:rPr>
          <w:szCs w:val="20"/>
        </w:rPr>
        <w:t>2017 roku województwo zachodniopomorskie plasowało się</w:t>
      </w:r>
      <w:r w:rsidR="00E66B89">
        <w:rPr>
          <w:szCs w:val="20"/>
        </w:rPr>
        <w:t xml:space="preserve"> w </w:t>
      </w:r>
      <w:r w:rsidRPr="00DB624A">
        <w:rPr>
          <w:szCs w:val="20"/>
        </w:rPr>
        <w:t>kraju na 11. pozycji za takimi województwami jak: śląskie, mazowieckie, wielkopolskie, małopolskie, dolnośląskie, łódzkie, pomorskie, podkarpackie, lubelskie</w:t>
      </w:r>
      <w:r w:rsidR="00E66B89">
        <w:rPr>
          <w:szCs w:val="20"/>
        </w:rPr>
        <w:t xml:space="preserve"> i </w:t>
      </w:r>
      <w:r w:rsidRPr="00DB624A">
        <w:rPr>
          <w:szCs w:val="20"/>
        </w:rPr>
        <w:t>świętokrzyskie. Jednocześnie</w:t>
      </w:r>
      <w:r>
        <w:rPr>
          <w:szCs w:val="20"/>
        </w:rPr>
        <w:t xml:space="preserve"> </w:t>
      </w:r>
      <w:r w:rsidRPr="00DB624A">
        <w:rPr>
          <w:szCs w:val="20"/>
        </w:rPr>
        <w:t>pod względem długości linii komunikacji miejskiej na 1000 mieszkańców województwo zachodniopomorskie zajmowało 12. miejsce</w:t>
      </w:r>
      <w:r w:rsidR="00E66B89">
        <w:rPr>
          <w:szCs w:val="20"/>
        </w:rPr>
        <w:t xml:space="preserve"> w </w:t>
      </w:r>
      <w:r w:rsidRPr="00DB624A">
        <w:rPr>
          <w:szCs w:val="20"/>
        </w:rPr>
        <w:t>kraju</w:t>
      </w:r>
      <w:r w:rsidR="00E66B89">
        <w:rPr>
          <w:szCs w:val="20"/>
        </w:rPr>
        <w:t xml:space="preserve"> z </w:t>
      </w:r>
      <w:r w:rsidRPr="00DB624A">
        <w:rPr>
          <w:szCs w:val="20"/>
        </w:rPr>
        <w:t>wartością 1,13 tys. km/1000 mieszkańców.</w:t>
      </w:r>
    </w:p>
    <w:p w14:paraId="41733DE1" w14:textId="77777777" w:rsidR="00EA33DF" w:rsidRPr="00DB624A" w:rsidRDefault="00EA33DF" w:rsidP="00EA33DF">
      <w:pPr>
        <w:autoSpaceDE w:val="0"/>
        <w:autoSpaceDN w:val="0"/>
        <w:adjustRightInd w:val="0"/>
        <w:rPr>
          <w:szCs w:val="20"/>
        </w:rPr>
      </w:pPr>
      <w:bookmarkStart w:id="70" w:name="_Hlk6405892"/>
      <w:r w:rsidRPr="00DB624A">
        <w:rPr>
          <w:szCs w:val="20"/>
        </w:rPr>
        <w:t>Długość buspasów</w:t>
      </w:r>
      <w:r w:rsidR="00E66B89">
        <w:rPr>
          <w:szCs w:val="20"/>
        </w:rPr>
        <w:t xml:space="preserve"> w </w:t>
      </w:r>
      <w:r w:rsidRPr="00DB624A">
        <w:rPr>
          <w:szCs w:val="20"/>
        </w:rPr>
        <w:t>województwie wzrosła</w:t>
      </w:r>
      <w:r w:rsidR="00E66B89">
        <w:rPr>
          <w:szCs w:val="20"/>
        </w:rPr>
        <w:t xml:space="preserve"> w </w:t>
      </w:r>
      <w:r w:rsidRPr="00DB624A">
        <w:rPr>
          <w:szCs w:val="20"/>
        </w:rPr>
        <w:t>roku 2016 ponad trzykrotnie</w:t>
      </w:r>
      <w:r w:rsidR="00E66B89">
        <w:rPr>
          <w:szCs w:val="20"/>
        </w:rPr>
        <w:t xml:space="preserve"> i </w:t>
      </w:r>
      <w:r w:rsidRPr="00DB624A">
        <w:rPr>
          <w:szCs w:val="20"/>
        </w:rPr>
        <w:t>osiągnęła wartość 15,4 km</w:t>
      </w:r>
      <w:r w:rsidR="00E66B89">
        <w:rPr>
          <w:szCs w:val="20"/>
        </w:rPr>
        <w:t xml:space="preserve"> w </w:t>
      </w:r>
      <w:r w:rsidRPr="00DB624A">
        <w:rPr>
          <w:szCs w:val="20"/>
        </w:rPr>
        <w:t>porównaniu</w:t>
      </w:r>
      <w:r w:rsidR="00E66B89">
        <w:rPr>
          <w:szCs w:val="20"/>
        </w:rPr>
        <w:t xml:space="preserve"> z </w:t>
      </w:r>
      <w:r w:rsidRPr="00DB624A">
        <w:rPr>
          <w:szCs w:val="20"/>
        </w:rPr>
        <w:t>5,0 km</w:t>
      </w:r>
      <w:r w:rsidR="00E66B89">
        <w:rPr>
          <w:szCs w:val="20"/>
        </w:rPr>
        <w:t xml:space="preserve"> w </w:t>
      </w:r>
      <w:r w:rsidRPr="00DB624A">
        <w:rPr>
          <w:szCs w:val="20"/>
        </w:rPr>
        <w:t xml:space="preserve">roku 2013. </w:t>
      </w:r>
      <w:r>
        <w:rPr>
          <w:szCs w:val="20"/>
        </w:rPr>
        <w:t>Według danych GUS, l</w:t>
      </w:r>
      <w:r w:rsidRPr="00DB624A">
        <w:rPr>
          <w:szCs w:val="20"/>
        </w:rPr>
        <w:t>iczba parkingów Park &amp; Ride</w:t>
      </w:r>
      <w:r w:rsidR="00E66B89">
        <w:rPr>
          <w:szCs w:val="20"/>
        </w:rPr>
        <w:t xml:space="preserve"> w </w:t>
      </w:r>
      <w:r w:rsidRPr="00DB624A">
        <w:rPr>
          <w:szCs w:val="20"/>
        </w:rPr>
        <w:t>województwie</w:t>
      </w:r>
      <w:r>
        <w:rPr>
          <w:szCs w:val="20"/>
        </w:rPr>
        <w:t>,</w:t>
      </w:r>
      <w:r w:rsidR="00E66B89">
        <w:rPr>
          <w:szCs w:val="20"/>
        </w:rPr>
        <w:t xml:space="preserve"> w </w:t>
      </w:r>
      <w:r>
        <w:rPr>
          <w:szCs w:val="20"/>
        </w:rPr>
        <w:t>roku</w:t>
      </w:r>
      <w:r w:rsidRPr="00DB624A">
        <w:rPr>
          <w:szCs w:val="20"/>
        </w:rPr>
        <w:t xml:space="preserve"> 2016</w:t>
      </w:r>
      <w:r>
        <w:rPr>
          <w:rStyle w:val="Odwoanieprzypisudolnego"/>
          <w:szCs w:val="20"/>
        </w:rPr>
        <w:footnoteReference w:id="23"/>
      </w:r>
      <w:r w:rsidR="00C22C26">
        <w:rPr>
          <w:szCs w:val="20"/>
        </w:rPr>
        <w:t xml:space="preserve"> </w:t>
      </w:r>
      <w:r w:rsidRPr="00DB624A">
        <w:rPr>
          <w:szCs w:val="20"/>
        </w:rPr>
        <w:t>wynosi</w:t>
      </w:r>
      <w:r>
        <w:rPr>
          <w:szCs w:val="20"/>
        </w:rPr>
        <w:t>ła</w:t>
      </w:r>
      <w:r w:rsidRPr="00DB624A">
        <w:rPr>
          <w:szCs w:val="20"/>
        </w:rPr>
        <w:t xml:space="preserve"> 5,</w:t>
      </w:r>
      <w:r w:rsidR="00E66B89">
        <w:rPr>
          <w:szCs w:val="20"/>
        </w:rPr>
        <w:t xml:space="preserve"> z </w:t>
      </w:r>
      <w:r w:rsidRPr="00DB624A">
        <w:rPr>
          <w:szCs w:val="20"/>
        </w:rPr>
        <w:t xml:space="preserve">czego 1 </w:t>
      </w:r>
      <w:r>
        <w:rPr>
          <w:szCs w:val="20"/>
        </w:rPr>
        <w:t>był zlokalizowany</w:t>
      </w:r>
      <w:r w:rsidR="00E66B89">
        <w:rPr>
          <w:szCs w:val="20"/>
        </w:rPr>
        <w:t xml:space="preserve"> w </w:t>
      </w:r>
      <w:r w:rsidRPr="00DB624A">
        <w:rPr>
          <w:szCs w:val="20"/>
        </w:rPr>
        <w:t>Szczecinie.</w:t>
      </w:r>
      <w:r w:rsidR="00E66B89">
        <w:rPr>
          <w:szCs w:val="20"/>
        </w:rPr>
        <w:t xml:space="preserve"> W </w:t>
      </w:r>
      <w:r>
        <w:rPr>
          <w:szCs w:val="20"/>
        </w:rPr>
        <w:t>roku 2017</w:t>
      </w:r>
      <w:r w:rsidR="00E66B89">
        <w:rPr>
          <w:szCs w:val="20"/>
        </w:rPr>
        <w:t xml:space="preserve"> w </w:t>
      </w:r>
      <w:r>
        <w:rPr>
          <w:szCs w:val="20"/>
        </w:rPr>
        <w:t>Szczecinie powstał parking, uzupełniający miejski system węzłów przesiadkowych.</w:t>
      </w:r>
    </w:p>
    <w:bookmarkEnd w:id="70"/>
    <w:p w14:paraId="7D19CB48" w14:textId="77777777" w:rsidR="00EA33DF" w:rsidRDefault="00EA33DF" w:rsidP="00EA33DF">
      <w:pPr>
        <w:autoSpaceDE w:val="0"/>
        <w:autoSpaceDN w:val="0"/>
        <w:adjustRightInd w:val="0"/>
        <w:rPr>
          <w:szCs w:val="20"/>
        </w:rPr>
      </w:pPr>
      <w:r w:rsidRPr="00DB624A">
        <w:rPr>
          <w:szCs w:val="20"/>
        </w:rPr>
        <w:t>Powyższe dane statystyczne pokazują, że wzrost liczby przewozów pasażerskich jest ściśle związany ze wzrostem liczby taboru autobusowego, jednoczesnym zwiększeni</w:t>
      </w:r>
      <w:r>
        <w:rPr>
          <w:szCs w:val="20"/>
        </w:rPr>
        <w:t>em</w:t>
      </w:r>
      <w:r w:rsidRPr="00DB624A">
        <w:rPr>
          <w:szCs w:val="20"/>
        </w:rPr>
        <w:t xml:space="preserve"> długości linii komunikacji miejskiej</w:t>
      </w:r>
      <w:r w:rsidR="00E66B89">
        <w:rPr>
          <w:szCs w:val="20"/>
        </w:rPr>
        <w:t xml:space="preserve"> i </w:t>
      </w:r>
      <w:r w:rsidRPr="00DB624A">
        <w:rPr>
          <w:szCs w:val="20"/>
        </w:rPr>
        <w:t>zwiększeni</w:t>
      </w:r>
      <w:r>
        <w:rPr>
          <w:szCs w:val="20"/>
        </w:rPr>
        <w:t>em</w:t>
      </w:r>
      <w:r w:rsidRPr="00DB624A">
        <w:rPr>
          <w:szCs w:val="20"/>
        </w:rPr>
        <w:t xml:space="preserve"> długości buspasów.</w:t>
      </w:r>
    </w:p>
    <w:p w14:paraId="61989499" w14:textId="77777777" w:rsidR="00EA33DF" w:rsidRDefault="00EA33DF" w:rsidP="00EA33DF">
      <w:pPr>
        <w:autoSpaceDE w:val="0"/>
        <w:autoSpaceDN w:val="0"/>
        <w:adjustRightInd w:val="0"/>
        <w:rPr>
          <w:szCs w:val="20"/>
        </w:rPr>
      </w:pPr>
      <w:r w:rsidRPr="00DB624A">
        <w:rPr>
          <w:szCs w:val="20"/>
        </w:rPr>
        <w:t>W latach 201</w:t>
      </w:r>
      <w:r>
        <w:rPr>
          <w:szCs w:val="20"/>
        </w:rPr>
        <w:t>4</w:t>
      </w:r>
      <w:r w:rsidRPr="00DB624A">
        <w:rPr>
          <w:szCs w:val="20"/>
        </w:rPr>
        <w:t>-2017 następował systematyczny rozwój ścieżek rowerowych</w:t>
      </w:r>
      <w:r w:rsidR="00E66B89">
        <w:rPr>
          <w:szCs w:val="20"/>
        </w:rPr>
        <w:t xml:space="preserve"> w </w:t>
      </w:r>
      <w:r w:rsidRPr="00DB624A">
        <w:rPr>
          <w:szCs w:val="20"/>
        </w:rPr>
        <w:t>województwie zachodniopomorskim. Ich długość zwiększyła się</w:t>
      </w:r>
      <w:r w:rsidR="00E66B89">
        <w:rPr>
          <w:szCs w:val="20"/>
        </w:rPr>
        <w:t xml:space="preserve"> z </w:t>
      </w:r>
      <w:r>
        <w:rPr>
          <w:szCs w:val="20"/>
        </w:rPr>
        <w:t>620,2</w:t>
      </w:r>
      <w:r w:rsidRPr="00DB624A">
        <w:rPr>
          <w:szCs w:val="20"/>
        </w:rPr>
        <w:t xml:space="preserve"> km</w:t>
      </w:r>
      <w:r w:rsidR="00E66B89">
        <w:rPr>
          <w:szCs w:val="20"/>
        </w:rPr>
        <w:t xml:space="preserve"> w </w:t>
      </w:r>
      <w:r w:rsidRPr="00DB624A">
        <w:rPr>
          <w:szCs w:val="20"/>
        </w:rPr>
        <w:t>roku 201</w:t>
      </w:r>
      <w:r>
        <w:rPr>
          <w:szCs w:val="20"/>
        </w:rPr>
        <w:t>4</w:t>
      </w:r>
      <w:r w:rsidRPr="00DB624A">
        <w:rPr>
          <w:szCs w:val="20"/>
        </w:rPr>
        <w:t xml:space="preserve"> do 755,3 km</w:t>
      </w:r>
      <w:r w:rsidR="00E66B89">
        <w:rPr>
          <w:szCs w:val="20"/>
        </w:rPr>
        <w:t xml:space="preserve"> w </w:t>
      </w:r>
      <w:r w:rsidRPr="00DB624A">
        <w:rPr>
          <w:szCs w:val="20"/>
        </w:rPr>
        <w:t xml:space="preserve">roku 2017. Co </w:t>
      </w:r>
      <w:r w:rsidRPr="00DB624A">
        <w:rPr>
          <w:szCs w:val="20"/>
        </w:rPr>
        <w:lastRenderedPageBreak/>
        <w:t>więcej dynamika wzrostu</w:t>
      </w:r>
      <w:r w:rsidR="00E66B89">
        <w:rPr>
          <w:szCs w:val="20"/>
        </w:rPr>
        <w:t xml:space="preserve"> w </w:t>
      </w:r>
      <w:r w:rsidRPr="00DB624A">
        <w:rPr>
          <w:szCs w:val="20"/>
        </w:rPr>
        <w:t>tych latach jest mniej więcej stała,</w:t>
      </w:r>
      <w:r w:rsidR="00E66B89">
        <w:rPr>
          <w:szCs w:val="20"/>
        </w:rPr>
        <w:t xml:space="preserve"> z </w:t>
      </w:r>
      <w:r w:rsidRPr="00DB624A">
        <w:rPr>
          <w:szCs w:val="20"/>
        </w:rPr>
        <w:t>niewielkim spadkiem</w:t>
      </w:r>
      <w:r w:rsidR="00E66B89">
        <w:rPr>
          <w:szCs w:val="20"/>
        </w:rPr>
        <w:t xml:space="preserve"> w </w:t>
      </w:r>
      <w:r w:rsidRPr="00DB624A">
        <w:rPr>
          <w:szCs w:val="20"/>
        </w:rPr>
        <w:t xml:space="preserve">latach 2016-2017. Pod względem długości ścieżek rowerowych województwo plasuje się na 6. </w:t>
      </w:r>
      <w:r>
        <w:rPr>
          <w:szCs w:val="20"/>
        </w:rPr>
        <w:t>m</w:t>
      </w:r>
      <w:r w:rsidRPr="00DB624A">
        <w:rPr>
          <w:szCs w:val="20"/>
        </w:rPr>
        <w:t>iejscu</w:t>
      </w:r>
      <w:r w:rsidR="00E66B89">
        <w:rPr>
          <w:szCs w:val="20"/>
        </w:rPr>
        <w:t xml:space="preserve"> w </w:t>
      </w:r>
      <w:r w:rsidRPr="00DB624A">
        <w:rPr>
          <w:szCs w:val="20"/>
        </w:rPr>
        <w:t>kraju po takich województwach jak: mazowieckie, wielkopolskie, pomorskie, kujawsko-pomorskie</w:t>
      </w:r>
      <w:r w:rsidR="00E66B89">
        <w:rPr>
          <w:szCs w:val="20"/>
        </w:rPr>
        <w:t xml:space="preserve"> i </w:t>
      </w:r>
      <w:r w:rsidRPr="00DB624A">
        <w:rPr>
          <w:szCs w:val="20"/>
        </w:rPr>
        <w:t>śląskie. Gęstość ścieżek rowerowych</w:t>
      </w:r>
      <w:r w:rsidR="00E66B89">
        <w:rPr>
          <w:szCs w:val="20"/>
        </w:rPr>
        <w:t xml:space="preserve"> w </w:t>
      </w:r>
      <w:r w:rsidRPr="00DB624A">
        <w:rPr>
          <w:szCs w:val="20"/>
        </w:rPr>
        <w:t>województwie zachodniopomorskim wynosi</w:t>
      </w:r>
      <w:r>
        <w:rPr>
          <w:szCs w:val="20"/>
        </w:rPr>
        <w:t xml:space="preserve"> </w:t>
      </w:r>
      <w:r w:rsidRPr="00DB624A">
        <w:rPr>
          <w:szCs w:val="20"/>
        </w:rPr>
        <w:t>329,9 km na 10 tys. km2 powierzchni,</w:t>
      </w:r>
      <w:r w:rsidR="00E66B89">
        <w:rPr>
          <w:szCs w:val="20"/>
        </w:rPr>
        <w:t xml:space="preserve"> a </w:t>
      </w:r>
      <w:r w:rsidRPr="00DB624A">
        <w:rPr>
          <w:szCs w:val="20"/>
        </w:rPr>
        <w:t>nasycenie 4,43 km na 10 tys. mieszkańców.</w:t>
      </w:r>
    </w:p>
    <w:p w14:paraId="35898CC5" w14:textId="77777777" w:rsidR="00EA33DF" w:rsidRDefault="00EA33DF" w:rsidP="00EA33DF">
      <w:pPr>
        <w:autoSpaceDE w:val="0"/>
        <w:autoSpaceDN w:val="0"/>
        <w:adjustRightInd w:val="0"/>
        <w:rPr>
          <w:szCs w:val="20"/>
        </w:rPr>
      </w:pPr>
      <w:r w:rsidRPr="004E20B4">
        <w:rPr>
          <w:szCs w:val="20"/>
        </w:rPr>
        <w:t>Wskaźnikiem obrazującym zmiany zachodzące</w:t>
      </w:r>
      <w:r w:rsidR="00E66B89">
        <w:rPr>
          <w:szCs w:val="20"/>
        </w:rPr>
        <w:t xml:space="preserve"> w </w:t>
      </w:r>
      <w:r w:rsidRPr="004E20B4">
        <w:rPr>
          <w:szCs w:val="20"/>
        </w:rPr>
        <w:t>środkach komunikacji</w:t>
      </w:r>
      <w:r w:rsidR="00E66B89">
        <w:rPr>
          <w:szCs w:val="20"/>
        </w:rPr>
        <w:t xml:space="preserve"> w </w:t>
      </w:r>
      <w:r w:rsidRPr="004E20B4">
        <w:rPr>
          <w:szCs w:val="20"/>
        </w:rPr>
        <w:t>województwie jest także liczba samochodów osobowych przeliczona na 1000 ludności. Ogółem, między rokiem 201</w:t>
      </w:r>
      <w:r>
        <w:rPr>
          <w:szCs w:val="20"/>
        </w:rPr>
        <w:t>4</w:t>
      </w:r>
      <w:r w:rsidR="00E66B89">
        <w:rPr>
          <w:szCs w:val="20"/>
        </w:rPr>
        <w:t xml:space="preserve"> a </w:t>
      </w:r>
      <w:r w:rsidRPr="004E20B4">
        <w:rPr>
          <w:szCs w:val="20"/>
        </w:rPr>
        <w:t>2017</w:t>
      </w:r>
      <w:r w:rsidR="00E66B89">
        <w:rPr>
          <w:szCs w:val="20"/>
        </w:rPr>
        <w:t xml:space="preserve"> w </w:t>
      </w:r>
      <w:r w:rsidRPr="004E20B4">
        <w:rPr>
          <w:szCs w:val="20"/>
        </w:rPr>
        <w:t>tym zakresie nastąpił</w:t>
      </w:r>
      <w:r>
        <w:rPr>
          <w:szCs w:val="20"/>
        </w:rPr>
        <w:t xml:space="preserve"> silny, systematyczny przyrost (z 490,4 do 554,6 samochodów osobowych na 1000 osób).</w:t>
      </w:r>
    </w:p>
    <w:p w14:paraId="78EA3D93" w14:textId="77777777" w:rsidR="00EA33DF" w:rsidRPr="00404DA5" w:rsidRDefault="00EA33DF" w:rsidP="00EA33DF">
      <w:pPr>
        <w:rPr>
          <w:rFonts w:cs="Calibri"/>
          <w:szCs w:val="20"/>
        </w:rPr>
      </w:pPr>
      <w:r w:rsidRPr="007A02A3">
        <w:rPr>
          <w:szCs w:val="20"/>
        </w:rPr>
        <w:t>W zakresie gospodarki niskoemisyjnej</w:t>
      </w:r>
      <w:r w:rsidR="00E66B89">
        <w:rPr>
          <w:szCs w:val="20"/>
        </w:rPr>
        <w:t xml:space="preserve"> w </w:t>
      </w:r>
      <w:r w:rsidRPr="007A02A3">
        <w:rPr>
          <w:szCs w:val="20"/>
        </w:rPr>
        <w:t xml:space="preserve">województwie </w:t>
      </w:r>
      <w:r>
        <w:rPr>
          <w:szCs w:val="20"/>
        </w:rPr>
        <w:t>zachodniopomorskim</w:t>
      </w:r>
      <w:r w:rsidRPr="007A02A3">
        <w:rPr>
          <w:szCs w:val="20"/>
        </w:rPr>
        <w:t xml:space="preserve"> wciąż zauważalne są istotne potrzeby.</w:t>
      </w:r>
      <w:r w:rsidR="00E66B89">
        <w:rPr>
          <w:szCs w:val="20"/>
        </w:rPr>
        <w:t xml:space="preserve"> W </w:t>
      </w:r>
      <w:r w:rsidRPr="007A02A3">
        <w:rPr>
          <w:szCs w:val="20"/>
        </w:rPr>
        <w:t>latach 201</w:t>
      </w:r>
      <w:r>
        <w:rPr>
          <w:szCs w:val="20"/>
        </w:rPr>
        <w:t>4</w:t>
      </w:r>
      <w:r w:rsidRPr="007A02A3">
        <w:rPr>
          <w:szCs w:val="20"/>
        </w:rPr>
        <w:t>-2017 zachodziły pozytywne zmiany związane</w:t>
      </w:r>
      <w:r w:rsidR="00E66B89">
        <w:rPr>
          <w:szCs w:val="20"/>
        </w:rPr>
        <w:t xml:space="preserve"> z </w:t>
      </w:r>
      <w:r w:rsidRPr="007A02A3">
        <w:rPr>
          <w:szCs w:val="20"/>
        </w:rPr>
        <w:t>inwestycjami</w:t>
      </w:r>
      <w:r w:rsidR="00E66B89">
        <w:rPr>
          <w:szCs w:val="20"/>
        </w:rPr>
        <w:t xml:space="preserve"> w </w:t>
      </w:r>
      <w:r w:rsidRPr="007A02A3">
        <w:rPr>
          <w:szCs w:val="20"/>
        </w:rPr>
        <w:t>infrastrukturę komunikacji miejskiej, lecz jednocześnie wciąż wzrastała liczba samochodów osobowych. Przeciwdziałanie negatywnemu oddziaływaniu transportu na jakość powietrza należy uznać za proces wieloletni, za którym powinna podążać zmiana postaw społecznych.</w:t>
      </w:r>
    </w:p>
    <w:p w14:paraId="4D4932B4" w14:textId="77777777" w:rsidR="00EA33DF" w:rsidRPr="00B54B6E" w:rsidRDefault="00EA33DF" w:rsidP="00EA33DF">
      <w:pPr>
        <w:pStyle w:val="evaluTresc"/>
        <w:rPr>
          <w:b/>
          <w:i/>
          <w:color w:val="4F81BD"/>
        </w:rPr>
      </w:pPr>
      <w:r w:rsidRPr="00B54B6E">
        <w:rPr>
          <w:b/>
          <w:i/>
          <w:color w:val="4F81BD"/>
        </w:rPr>
        <w:t>PI 6e</w:t>
      </w:r>
    </w:p>
    <w:p w14:paraId="0C2AF870" w14:textId="77777777" w:rsidR="00370D80" w:rsidRPr="00404DA5" w:rsidRDefault="00370D80" w:rsidP="00370D80">
      <w:pPr>
        <w:rPr>
          <w:rFonts w:cs="Calibri"/>
          <w:szCs w:val="20"/>
        </w:rPr>
      </w:pPr>
      <w:r w:rsidRPr="00404DA5">
        <w:rPr>
          <w:rFonts w:cs="Calibri"/>
          <w:szCs w:val="20"/>
        </w:rPr>
        <w:t>W regionie</w:t>
      </w:r>
      <w:r>
        <w:rPr>
          <w:rFonts w:cs="Calibri"/>
          <w:szCs w:val="20"/>
        </w:rPr>
        <w:t>,</w:t>
      </w:r>
      <w:r w:rsidR="00E66B89">
        <w:rPr>
          <w:rFonts w:cs="Calibri"/>
          <w:szCs w:val="20"/>
        </w:rPr>
        <w:t xml:space="preserve"> w </w:t>
      </w:r>
      <w:r w:rsidRPr="00404DA5">
        <w:rPr>
          <w:rFonts w:cs="Calibri"/>
          <w:szCs w:val="20"/>
        </w:rPr>
        <w:t>dalszym ciągu</w:t>
      </w:r>
      <w:r>
        <w:rPr>
          <w:rFonts w:cs="Calibri"/>
          <w:szCs w:val="20"/>
        </w:rPr>
        <w:t>,</w:t>
      </w:r>
      <w:r w:rsidRPr="00404DA5">
        <w:rPr>
          <w:rFonts w:cs="Calibri"/>
          <w:szCs w:val="20"/>
        </w:rPr>
        <w:t xml:space="preserve"> aktualnym problemem pozostaje okresowe (tj. głównie</w:t>
      </w:r>
      <w:r w:rsidR="00E66B89">
        <w:rPr>
          <w:rFonts w:cs="Calibri"/>
          <w:szCs w:val="20"/>
        </w:rPr>
        <w:t xml:space="preserve"> w </w:t>
      </w:r>
      <w:r w:rsidRPr="00404DA5">
        <w:rPr>
          <w:rFonts w:cs="Calibri"/>
          <w:szCs w:val="20"/>
        </w:rPr>
        <w:t>trakcie sezonu grzewczego) występowanie ponadnormatywnych stężeń pyłu zawieszonego PM10 oraz benzo(a)pirenu (dane WIOŚ</w:t>
      </w:r>
      <w:r w:rsidR="00E66B89">
        <w:rPr>
          <w:rFonts w:cs="Calibri"/>
          <w:szCs w:val="20"/>
        </w:rPr>
        <w:t xml:space="preserve"> w </w:t>
      </w:r>
      <w:r w:rsidRPr="00404DA5">
        <w:rPr>
          <w:rFonts w:cs="Calibri"/>
          <w:szCs w:val="20"/>
        </w:rPr>
        <w:t>Szczecinie). Kluczową przyczyną takiego stanu rzeczy jest tzw. niska emisja pochodząca przede wszystkim</w:t>
      </w:r>
      <w:r w:rsidR="00E66B89">
        <w:rPr>
          <w:rFonts w:cs="Calibri"/>
          <w:szCs w:val="20"/>
        </w:rPr>
        <w:t xml:space="preserve"> z </w:t>
      </w:r>
      <w:r w:rsidRPr="00404DA5">
        <w:rPr>
          <w:rFonts w:cs="Calibri"/>
          <w:szCs w:val="20"/>
        </w:rPr>
        <w:t>sektora bytowo-komunalnego, obejmującego indywidualne źródła wytwarzania ciepła oraz lokalne ciepłownie komunalne</w:t>
      </w:r>
      <w:r w:rsidR="00E66B89">
        <w:rPr>
          <w:rFonts w:cs="Calibri"/>
          <w:szCs w:val="20"/>
        </w:rPr>
        <w:t xml:space="preserve"> o </w:t>
      </w:r>
      <w:r w:rsidRPr="00404DA5">
        <w:rPr>
          <w:rFonts w:cs="Calibri"/>
          <w:szCs w:val="20"/>
        </w:rPr>
        <w:t>małych mocach wytwórczych.</w:t>
      </w:r>
      <w:r w:rsidR="00E66B89">
        <w:rPr>
          <w:rFonts w:cs="Calibri"/>
          <w:szCs w:val="20"/>
        </w:rPr>
        <w:t xml:space="preserve"> W </w:t>
      </w:r>
      <w:r w:rsidRPr="00404DA5">
        <w:rPr>
          <w:rFonts w:cs="Calibri"/>
          <w:szCs w:val="20"/>
        </w:rPr>
        <w:t>2017 r. zużycie węgla ogółem</w:t>
      </w:r>
      <w:r>
        <w:rPr>
          <w:rFonts w:cs="Calibri"/>
          <w:szCs w:val="20"/>
        </w:rPr>
        <w:t>,</w:t>
      </w:r>
      <w:r w:rsidRPr="00404DA5">
        <w:rPr>
          <w:rFonts w:cs="Calibri"/>
          <w:szCs w:val="20"/>
        </w:rPr>
        <w:t xml:space="preserve"> zgodnie</w:t>
      </w:r>
      <w:r w:rsidR="00E66B89">
        <w:rPr>
          <w:rFonts w:cs="Calibri"/>
          <w:szCs w:val="20"/>
        </w:rPr>
        <w:t xml:space="preserve"> z </w:t>
      </w:r>
      <w:r w:rsidRPr="00404DA5">
        <w:rPr>
          <w:rFonts w:cs="Calibri"/>
          <w:szCs w:val="20"/>
        </w:rPr>
        <w:t>danymi GUS</w:t>
      </w:r>
      <w:r>
        <w:rPr>
          <w:rFonts w:cs="Calibri"/>
          <w:szCs w:val="20"/>
        </w:rPr>
        <w:t>,</w:t>
      </w:r>
      <w:r w:rsidR="00E66B89">
        <w:rPr>
          <w:rFonts w:cs="Calibri"/>
          <w:szCs w:val="20"/>
        </w:rPr>
        <w:t xml:space="preserve"> w </w:t>
      </w:r>
      <w:r w:rsidRPr="00404DA5">
        <w:rPr>
          <w:rFonts w:cs="Calibri"/>
          <w:szCs w:val="20"/>
        </w:rPr>
        <w:t>województwie zachodniopomorskim wyniosło 3239 tys. ton (elektrownie</w:t>
      </w:r>
      <w:r w:rsidR="00E66B89">
        <w:rPr>
          <w:rFonts w:cs="Calibri"/>
          <w:szCs w:val="20"/>
        </w:rPr>
        <w:t xml:space="preserve"> i </w:t>
      </w:r>
      <w:r w:rsidRPr="00404DA5">
        <w:rPr>
          <w:rFonts w:cs="Calibri"/>
          <w:szCs w:val="20"/>
        </w:rPr>
        <w:t>ciepłownie 2107 tys. ton, sektor drobnych odbiorców – gospodarstwa domowe: 257 tys. ton).</w:t>
      </w:r>
      <w:r w:rsidR="00E66B89">
        <w:rPr>
          <w:rFonts w:cs="Calibri"/>
          <w:szCs w:val="20"/>
        </w:rPr>
        <w:t xml:space="preserve"> W </w:t>
      </w:r>
      <w:r w:rsidRPr="00404DA5">
        <w:rPr>
          <w:rFonts w:cs="Calibri"/>
          <w:szCs w:val="20"/>
        </w:rPr>
        <w:t>roku 2014</w:t>
      </w:r>
      <w:r>
        <w:rPr>
          <w:rFonts w:cs="Calibri"/>
          <w:szCs w:val="20"/>
        </w:rPr>
        <w:t>,</w:t>
      </w:r>
      <w:r w:rsidRPr="00404DA5">
        <w:rPr>
          <w:rFonts w:cs="Calibri"/>
          <w:szCs w:val="20"/>
        </w:rPr>
        <w:t xml:space="preserve"> czyli na początku wdrażania interwencji</w:t>
      </w:r>
      <w:r>
        <w:rPr>
          <w:rFonts w:cs="Calibri"/>
          <w:szCs w:val="20"/>
        </w:rPr>
        <w:t>,</w:t>
      </w:r>
      <w:r w:rsidRPr="00404DA5">
        <w:rPr>
          <w:rFonts w:cs="Calibri"/>
          <w:szCs w:val="20"/>
        </w:rPr>
        <w:t xml:space="preserve"> było to: 3565 tys. ton (elektrownie</w:t>
      </w:r>
      <w:r w:rsidR="00E66B89">
        <w:rPr>
          <w:rFonts w:cs="Calibri"/>
          <w:szCs w:val="20"/>
        </w:rPr>
        <w:t xml:space="preserve"> i </w:t>
      </w:r>
      <w:r w:rsidRPr="00404DA5">
        <w:rPr>
          <w:rFonts w:cs="Calibri"/>
          <w:szCs w:val="20"/>
        </w:rPr>
        <w:t xml:space="preserve">ciepłownie 2395 tys. </w:t>
      </w:r>
      <w:r w:rsidRPr="00A25379">
        <w:rPr>
          <w:rFonts w:cs="Calibri"/>
          <w:szCs w:val="20"/>
        </w:rPr>
        <w:t xml:space="preserve">ton, sektor drobnych odbiorców – gospodarstwa domowe: 250 tys. ton). </w:t>
      </w:r>
      <w:r w:rsidRPr="00320223">
        <w:rPr>
          <w:rFonts w:cs="Calibri"/>
          <w:szCs w:val="20"/>
        </w:rPr>
        <w:t>Jak wynika</w:t>
      </w:r>
      <w:r w:rsidR="00E66B89">
        <w:rPr>
          <w:rFonts w:cs="Calibri"/>
          <w:szCs w:val="20"/>
        </w:rPr>
        <w:t xml:space="preserve"> z </w:t>
      </w:r>
      <w:r w:rsidRPr="00A25379">
        <w:rPr>
          <w:rFonts w:cs="Calibri"/>
          <w:szCs w:val="20"/>
        </w:rPr>
        <w:t xml:space="preserve">tych danych </w:t>
      </w:r>
      <w:r w:rsidRPr="00C22C26">
        <w:rPr>
          <w:rFonts w:cs="Calibri"/>
          <w:szCs w:val="20"/>
        </w:rPr>
        <w:t>zużycie węgla kamiennego na potrzeby wytwarzania ciepła</w:t>
      </w:r>
      <w:r w:rsidR="00E66B89">
        <w:rPr>
          <w:rFonts w:cs="Calibri"/>
          <w:szCs w:val="20"/>
        </w:rPr>
        <w:t xml:space="preserve"> w </w:t>
      </w:r>
      <w:r w:rsidRPr="00C22C26">
        <w:rPr>
          <w:rFonts w:cs="Calibri"/>
          <w:szCs w:val="20"/>
        </w:rPr>
        <w:t>województwie zachodniopomorskim utrzymuje się na stałym</w:t>
      </w:r>
      <w:r w:rsidR="00E66B89">
        <w:rPr>
          <w:rFonts w:cs="Calibri"/>
          <w:szCs w:val="20"/>
        </w:rPr>
        <w:t xml:space="preserve"> i </w:t>
      </w:r>
      <w:r w:rsidRPr="00C22C26">
        <w:rPr>
          <w:rFonts w:cs="Calibri"/>
          <w:szCs w:val="20"/>
        </w:rPr>
        <w:t>wysokim</w:t>
      </w:r>
      <w:r w:rsidRPr="00A25379">
        <w:rPr>
          <w:rFonts w:cs="Calibri"/>
          <w:szCs w:val="20"/>
        </w:rPr>
        <w:t xml:space="preserve"> poziomie</w:t>
      </w:r>
      <w:r w:rsidRPr="00404DA5">
        <w:rPr>
          <w:rFonts w:cs="Calibri"/>
          <w:szCs w:val="20"/>
        </w:rPr>
        <w:t xml:space="preserve"> (warto wskazać na rosnący udział</w:t>
      </w:r>
      <w:r w:rsidR="00E66B89">
        <w:rPr>
          <w:rFonts w:cs="Calibri"/>
          <w:szCs w:val="20"/>
        </w:rPr>
        <w:t xml:space="preserve"> w </w:t>
      </w:r>
      <w:r w:rsidRPr="00404DA5">
        <w:rPr>
          <w:rFonts w:cs="Calibri"/>
          <w:szCs w:val="20"/>
        </w:rPr>
        <w:t>tym zakresie sektora drobnych odbiorców tj. gospodarstw domowych). Powyższe skutkuje powstawaniem problemów</w:t>
      </w:r>
      <w:r w:rsidR="00E66B89">
        <w:rPr>
          <w:rFonts w:cs="Calibri"/>
          <w:szCs w:val="20"/>
        </w:rPr>
        <w:t xml:space="preserve"> w </w:t>
      </w:r>
      <w:r w:rsidRPr="00404DA5">
        <w:rPr>
          <w:rFonts w:cs="Calibri"/>
          <w:szCs w:val="20"/>
        </w:rPr>
        <w:t xml:space="preserve">zakresie dotrzymania standardów jakości powietrza (min. pyłu PM10, PM2,5, benzo(a)pirenu, tlenków siarki). </w:t>
      </w:r>
    </w:p>
    <w:p w14:paraId="67899A61" w14:textId="77777777" w:rsidR="00370D80" w:rsidRPr="00404DA5" w:rsidRDefault="00370D80" w:rsidP="006E34DC">
      <w:pPr>
        <w:pStyle w:val="Legenda"/>
        <w:spacing w:after="0"/>
      </w:pPr>
      <w:bookmarkStart w:id="71" w:name="_Toc8824129"/>
      <w:r w:rsidRPr="00404DA5">
        <w:t xml:space="preserve">Tabela </w:t>
      </w:r>
      <w:r w:rsidRPr="00404DA5">
        <w:fldChar w:fldCharType="begin"/>
      </w:r>
      <w:r w:rsidRPr="00404DA5">
        <w:instrText>SEQ Tabela \* ARABIC</w:instrText>
      </w:r>
      <w:r w:rsidRPr="00404DA5">
        <w:fldChar w:fldCharType="separate"/>
      </w:r>
      <w:r w:rsidR="00763345">
        <w:rPr>
          <w:noProof/>
        </w:rPr>
        <w:t>18</w:t>
      </w:r>
      <w:r w:rsidRPr="00404DA5">
        <w:fldChar w:fldCharType="end"/>
      </w:r>
      <w:r w:rsidRPr="00404DA5">
        <w:t xml:space="preserve"> Średnie stężenia roczne pyły PM 2,5</w:t>
      </w:r>
      <w:r w:rsidR="00E66B89">
        <w:t xml:space="preserve"> i </w:t>
      </w:r>
      <w:r w:rsidRPr="00404DA5">
        <w:t>PM 10</w:t>
      </w:r>
      <w:r w:rsidR="00E66B89">
        <w:t xml:space="preserve"> w </w:t>
      </w:r>
      <w:r w:rsidRPr="00404DA5">
        <w:t>województwie zachodniopomorskim</w:t>
      </w:r>
      <w:r w:rsidR="00E66B89">
        <w:t xml:space="preserve"> w </w:t>
      </w:r>
      <w:r w:rsidRPr="00404DA5">
        <w:t>latach 2012-2017</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1247"/>
        <w:gridCol w:w="1025"/>
        <w:gridCol w:w="775"/>
        <w:gridCol w:w="1204"/>
        <w:gridCol w:w="1248"/>
        <w:gridCol w:w="1026"/>
        <w:gridCol w:w="775"/>
        <w:gridCol w:w="1204"/>
      </w:tblGrid>
      <w:tr w:rsidR="00370D80" w:rsidRPr="00FB10C5" w14:paraId="32A8FE9D" w14:textId="77777777" w:rsidTr="00370D80">
        <w:trPr>
          <w:trHeight w:val="153"/>
          <w:tblHeader/>
        </w:trPr>
        <w:tc>
          <w:tcPr>
            <w:tcW w:w="0" w:type="auto"/>
            <w:vMerge w:val="restart"/>
            <w:shd w:val="clear" w:color="auto" w:fill="DBE5F1"/>
            <w:vAlign w:val="center"/>
            <w:hideMark/>
          </w:tcPr>
          <w:p w14:paraId="24F47633" w14:textId="77777777" w:rsidR="00370D80" w:rsidRPr="00FB10C5" w:rsidRDefault="00370D80" w:rsidP="00370D80">
            <w:pPr>
              <w:jc w:val="center"/>
              <w:rPr>
                <w:rFonts w:cs="Arial"/>
                <w:sz w:val="18"/>
                <w:szCs w:val="18"/>
              </w:rPr>
            </w:pPr>
            <w:r w:rsidRPr="00404DA5">
              <w:rPr>
                <w:rFonts w:cs="Calibri"/>
                <w:sz w:val="18"/>
                <w:szCs w:val="18"/>
              </w:rPr>
              <w:t>rok</w:t>
            </w:r>
          </w:p>
        </w:tc>
        <w:tc>
          <w:tcPr>
            <w:tcW w:w="0" w:type="auto"/>
            <w:gridSpan w:val="4"/>
            <w:shd w:val="clear" w:color="auto" w:fill="DBE5F1"/>
            <w:vAlign w:val="center"/>
            <w:hideMark/>
          </w:tcPr>
          <w:p w14:paraId="516738C6" w14:textId="77777777" w:rsidR="00370D80" w:rsidRPr="00FB10C5" w:rsidRDefault="00370D80" w:rsidP="00370D80">
            <w:pPr>
              <w:jc w:val="center"/>
              <w:rPr>
                <w:rFonts w:cs="Arial"/>
                <w:sz w:val="18"/>
                <w:szCs w:val="18"/>
              </w:rPr>
            </w:pPr>
            <w:r w:rsidRPr="00FB10C5">
              <w:rPr>
                <w:rFonts w:cs="Arial"/>
                <w:sz w:val="18"/>
                <w:szCs w:val="18"/>
              </w:rPr>
              <w:t>Stężenia średnie roczne pyłu zawieszonego PM</w:t>
            </w:r>
            <w:r w:rsidRPr="00FB10C5">
              <w:rPr>
                <w:rFonts w:cs="Arial"/>
                <w:sz w:val="18"/>
                <w:szCs w:val="18"/>
                <w:vertAlign w:val="subscript"/>
              </w:rPr>
              <w:t>2,5</w:t>
            </w:r>
          </w:p>
        </w:tc>
        <w:tc>
          <w:tcPr>
            <w:tcW w:w="0" w:type="auto"/>
            <w:gridSpan w:val="4"/>
            <w:shd w:val="clear" w:color="auto" w:fill="DBE5F1"/>
            <w:vAlign w:val="center"/>
            <w:hideMark/>
          </w:tcPr>
          <w:p w14:paraId="7FF9F13F" w14:textId="77777777" w:rsidR="00370D80" w:rsidRPr="00FB10C5" w:rsidRDefault="00370D80" w:rsidP="00370D80">
            <w:pPr>
              <w:jc w:val="center"/>
              <w:rPr>
                <w:rFonts w:cs="Arial"/>
                <w:sz w:val="18"/>
                <w:szCs w:val="18"/>
              </w:rPr>
            </w:pPr>
            <w:r w:rsidRPr="00FB10C5">
              <w:rPr>
                <w:rFonts w:cs="Arial"/>
                <w:sz w:val="18"/>
                <w:szCs w:val="18"/>
              </w:rPr>
              <w:t>Stężenia średnie roczne pyłu zawieszonego PM</w:t>
            </w:r>
            <w:r w:rsidRPr="00FB10C5">
              <w:rPr>
                <w:rFonts w:cs="Arial"/>
                <w:sz w:val="18"/>
                <w:szCs w:val="18"/>
                <w:vertAlign w:val="subscript"/>
              </w:rPr>
              <w:t>10</w:t>
            </w:r>
          </w:p>
        </w:tc>
      </w:tr>
      <w:tr w:rsidR="00370D80" w:rsidRPr="00FB10C5" w14:paraId="31174F63" w14:textId="77777777" w:rsidTr="00370D80">
        <w:trPr>
          <w:trHeight w:val="639"/>
          <w:tblHeader/>
        </w:trPr>
        <w:tc>
          <w:tcPr>
            <w:tcW w:w="0" w:type="auto"/>
            <w:vMerge/>
            <w:shd w:val="clear" w:color="auto" w:fill="DBE5F1"/>
            <w:vAlign w:val="center"/>
            <w:hideMark/>
          </w:tcPr>
          <w:p w14:paraId="183CA946" w14:textId="77777777" w:rsidR="00370D80" w:rsidRPr="00FB10C5" w:rsidRDefault="00370D80" w:rsidP="00370D80">
            <w:pPr>
              <w:rPr>
                <w:rFonts w:cs="Arial"/>
                <w:sz w:val="18"/>
                <w:szCs w:val="18"/>
              </w:rPr>
            </w:pPr>
          </w:p>
        </w:tc>
        <w:tc>
          <w:tcPr>
            <w:tcW w:w="0" w:type="auto"/>
            <w:vMerge w:val="restart"/>
            <w:shd w:val="clear" w:color="auto" w:fill="DBE5F1"/>
            <w:vAlign w:val="center"/>
            <w:hideMark/>
          </w:tcPr>
          <w:p w14:paraId="6A36ACE8" w14:textId="77777777" w:rsidR="00370D80" w:rsidRPr="00FB10C5" w:rsidRDefault="00370D80" w:rsidP="00370D80">
            <w:pPr>
              <w:jc w:val="center"/>
              <w:rPr>
                <w:rFonts w:cs="Arial"/>
                <w:sz w:val="18"/>
                <w:szCs w:val="18"/>
                <w:lang w:val="en-GB"/>
              </w:rPr>
            </w:pPr>
            <w:r w:rsidRPr="00FB10C5">
              <w:rPr>
                <w:rFonts w:cs="Arial"/>
                <w:sz w:val="18"/>
                <w:szCs w:val="18"/>
                <w:lang w:val="en-GB"/>
              </w:rPr>
              <w:t>liczba stanowisk</w:t>
            </w:r>
            <w:r w:rsidRPr="00FB10C5">
              <w:rPr>
                <w:rFonts w:cs="Arial"/>
                <w:sz w:val="18"/>
                <w:szCs w:val="18"/>
                <w:lang w:val="en-GB"/>
              </w:rPr>
              <w:br/>
            </w:r>
          </w:p>
        </w:tc>
        <w:tc>
          <w:tcPr>
            <w:tcW w:w="0" w:type="auto"/>
            <w:gridSpan w:val="3"/>
            <w:shd w:val="clear" w:color="auto" w:fill="DBE5F1"/>
            <w:vAlign w:val="center"/>
            <w:hideMark/>
          </w:tcPr>
          <w:p w14:paraId="4E942F40" w14:textId="77777777" w:rsidR="00370D80" w:rsidRPr="00FB10C5" w:rsidRDefault="00370D80" w:rsidP="00370D80">
            <w:pPr>
              <w:jc w:val="center"/>
              <w:rPr>
                <w:rFonts w:cs="Arial"/>
                <w:sz w:val="18"/>
                <w:szCs w:val="18"/>
              </w:rPr>
            </w:pPr>
            <w:r w:rsidRPr="00FB10C5">
              <w:rPr>
                <w:rFonts w:cs="Arial"/>
                <w:sz w:val="18"/>
                <w:szCs w:val="18"/>
              </w:rPr>
              <w:t>wartość normowanego</w:t>
            </w:r>
            <w:r w:rsidRPr="00FB10C5">
              <w:rPr>
                <w:rFonts w:cs="Arial"/>
                <w:sz w:val="18"/>
                <w:szCs w:val="18"/>
              </w:rPr>
              <w:br/>
              <w:t>stężenia średniego rocznego</w:t>
            </w:r>
            <w:r w:rsidR="00E66B89">
              <w:rPr>
                <w:rFonts w:cs="Arial"/>
                <w:sz w:val="18"/>
                <w:szCs w:val="18"/>
              </w:rPr>
              <w:t xml:space="preserve"> w </w:t>
            </w:r>
            <w:r w:rsidRPr="00FB10C5">
              <w:rPr>
                <w:rFonts w:cs="Arial"/>
                <w:sz w:val="18"/>
                <w:szCs w:val="18"/>
              </w:rPr>
              <w:t>µg/m</w:t>
            </w:r>
            <w:r w:rsidRPr="00FB10C5">
              <w:rPr>
                <w:rFonts w:cs="Arial"/>
                <w:sz w:val="18"/>
                <w:szCs w:val="18"/>
                <w:vertAlign w:val="superscript"/>
              </w:rPr>
              <w:t>3</w:t>
            </w:r>
            <w:r w:rsidRPr="00FB10C5">
              <w:rPr>
                <w:rFonts w:cs="Arial"/>
                <w:sz w:val="18"/>
                <w:szCs w:val="18"/>
                <w:vertAlign w:val="superscript"/>
              </w:rPr>
              <w:br/>
            </w:r>
            <w:r w:rsidRPr="00FB10C5">
              <w:rPr>
                <w:rFonts w:cs="Arial"/>
                <w:sz w:val="18"/>
                <w:szCs w:val="18"/>
              </w:rPr>
              <w:t>(poziom dopuszczalny: 25 µg/m</w:t>
            </w:r>
            <w:r w:rsidRPr="00FB10C5">
              <w:rPr>
                <w:rFonts w:cs="Arial"/>
                <w:sz w:val="18"/>
                <w:szCs w:val="18"/>
                <w:vertAlign w:val="superscript"/>
              </w:rPr>
              <w:t>3</w:t>
            </w:r>
            <w:r w:rsidRPr="00FB10C5">
              <w:rPr>
                <w:rFonts w:cs="Arial"/>
                <w:sz w:val="18"/>
                <w:szCs w:val="18"/>
              </w:rPr>
              <w:t>)</w:t>
            </w:r>
          </w:p>
        </w:tc>
        <w:tc>
          <w:tcPr>
            <w:tcW w:w="0" w:type="auto"/>
            <w:vMerge w:val="restart"/>
            <w:shd w:val="clear" w:color="auto" w:fill="DBE5F1"/>
            <w:vAlign w:val="center"/>
            <w:hideMark/>
          </w:tcPr>
          <w:p w14:paraId="25E58477" w14:textId="77777777" w:rsidR="00370D80" w:rsidRPr="00FB10C5" w:rsidRDefault="00370D80" w:rsidP="00370D80">
            <w:pPr>
              <w:jc w:val="center"/>
              <w:rPr>
                <w:rFonts w:cs="Arial"/>
                <w:sz w:val="18"/>
                <w:szCs w:val="18"/>
                <w:lang w:val="en-GB"/>
              </w:rPr>
            </w:pPr>
            <w:r w:rsidRPr="00FB10C5">
              <w:rPr>
                <w:rFonts w:cs="Arial"/>
                <w:sz w:val="18"/>
                <w:szCs w:val="18"/>
                <w:lang w:val="en-GB"/>
              </w:rPr>
              <w:t>liczba stanowisk</w:t>
            </w:r>
            <w:r w:rsidRPr="00FB10C5">
              <w:rPr>
                <w:rFonts w:cs="Arial"/>
                <w:sz w:val="18"/>
                <w:szCs w:val="18"/>
                <w:lang w:val="en-GB"/>
              </w:rPr>
              <w:br/>
            </w:r>
          </w:p>
        </w:tc>
        <w:tc>
          <w:tcPr>
            <w:tcW w:w="0" w:type="auto"/>
            <w:gridSpan w:val="3"/>
            <w:shd w:val="clear" w:color="auto" w:fill="DBE5F1"/>
            <w:vAlign w:val="center"/>
            <w:hideMark/>
          </w:tcPr>
          <w:p w14:paraId="71179761" w14:textId="77777777" w:rsidR="00370D80" w:rsidRPr="00FB10C5" w:rsidRDefault="00370D80" w:rsidP="00370D80">
            <w:pPr>
              <w:jc w:val="center"/>
              <w:rPr>
                <w:rFonts w:cs="Arial"/>
                <w:sz w:val="18"/>
                <w:szCs w:val="18"/>
              </w:rPr>
            </w:pPr>
            <w:r w:rsidRPr="00FB10C5">
              <w:rPr>
                <w:rFonts w:cs="Arial"/>
                <w:sz w:val="18"/>
                <w:szCs w:val="18"/>
              </w:rPr>
              <w:t>wartość normowanego</w:t>
            </w:r>
            <w:r w:rsidRPr="00FB10C5">
              <w:rPr>
                <w:rFonts w:cs="Arial"/>
                <w:sz w:val="18"/>
                <w:szCs w:val="18"/>
              </w:rPr>
              <w:br/>
              <w:t>stężenia średniego rocznego</w:t>
            </w:r>
            <w:r w:rsidR="00E66B89">
              <w:rPr>
                <w:rFonts w:cs="Arial"/>
                <w:sz w:val="18"/>
                <w:szCs w:val="18"/>
              </w:rPr>
              <w:t xml:space="preserve"> w </w:t>
            </w:r>
            <w:r w:rsidRPr="00FB10C5">
              <w:rPr>
                <w:rFonts w:cs="Arial"/>
                <w:sz w:val="18"/>
                <w:szCs w:val="18"/>
              </w:rPr>
              <w:t>µg/m</w:t>
            </w:r>
            <w:r w:rsidRPr="00FB10C5">
              <w:rPr>
                <w:rFonts w:cs="Arial"/>
                <w:sz w:val="18"/>
                <w:szCs w:val="18"/>
                <w:vertAlign w:val="superscript"/>
              </w:rPr>
              <w:t>3</w:t>
            </w:r>
            <w:r w:rsidRPr="00FB10C5">
              <w:rPr>
                <w:rFonts w:cs="Arial"/>
                <w:sz w:val="18"/>
                <w:szCs w:val="18"/>
                <w:vertAlign w:val="superscript"/>
              </w:rPr>
              <w:br/>
            </w:r>
            <w:r w:rsidRPr="00FB10C5">
              <w:rPr>
                <w:rFonts w:cs="Arial"/>
                <w:sz w:val="18"/>
                <w:szCs w:val="18"/>
              </w:rPr>
              <w:t>(poziom dopuszczalny: 40 µg/m</w:t>
            </w:r>
            <w:r w:rsidRPr="00FB10C5">
              <w:rPr>
                <w:rFonts w:cs="Arial"/>
                <w:sz w:val="18"/>
                <w:szCs w:val="18"/>
                <w:vertAlign w:val="superscript"/>
              </w:rPr>
              <w:t>3</w:t>
            </w:r>
            <w:r w:rsidRPr="00FB10C5">
              <w:rPr>
                <w:rFonts w:cs="Arial"/>
                <w:sz w:val="18"/>
                <w:szCs w:val="18"/>
              </w:rPr>
              <w:t>)</w:t>
            </w:r>
          </w:p>
        </w:tc>
      </w:tr>
      <w:tr w:rsidR="00370D80" w:rsidRPr="00FB10C5" w14:paraId="5E05A67C" w14:textId="77777777" w:rsidTr="00370D80">
        <w:trPr>
          <w:trHeight w:val="294"/>
          <w:tblHeader/>
        </w:trPr>
        <w:tc>
          <w:tcPr>
            <w:tcW w:w="0" w:type="auto"/>
            <w:vMerge/>
            <w:shd w:val="clear" w:color="auto" w:fill="DBE5F1"/>
            <w:vAlign w:val="center"/>
            <w:hideMark/>
          </w:tcPr>
          <w:p w14:paraId="664D5936" w14:textId="77777777" w:rsidR="00370D80" w:rsidRPr="00FB10C5" w:rsidRDefault="00370D80" w:rsidP="00370D80">
            <w:pPr>
              <w:rPr>
                <w:rFonts w:cs="Arial"/>
                <w:sz w:val="18"/>
                <w:szCs w:val="18"/>
              </w:rPr>
            </w:pPr>
          </w:p>
        </w:tc>
        <w:tc>
          <w:tcPr>
            <w:tcW w:w="0" w:type="auto"/>
            <w:vMerge/>
            <w:shd w:val="clear" w:color="auto" w:fill="DBE5F1"/>
            <w:vAlign w:val="center"/>
            <w:hideMark/>
          </w:tcPr>
          <w:p w14:paraId="40645B10" w14:textId="77777777" w:rsidR="00370D80" w:rsidRPr="00FB10C5" w:rsidRDefault="00370D80" w:rsidP="00370D80">
            <w:pPr>
              <w:rPr>
                <w:rFonts w:cs="Arial"/>
                <w:sz w:val="18"/>
                <w:szCs w:val="18"/>
              </w:rPr>
            </w:pPr>
          </w:p>
        </w:tc>
        <w:tc>
          <w:tcPr>
            <w:tcW w:w="0" w:type="auto"/>
            <w:shd w:val="clear" w:color="auto" w:fill="DBE5F1"/>
            <w:vAlign w:val="center"/>
            <w:hideMark/>
          </w:tcPr>
          <w:p w14:paraId="6506449C" w14:textId="77777777" w:rsidR="00370D80" w:rsidRPr="00FB10C5" w:rsidRDefault="00370D80" w:rsidP="00370D80">
            <w:pPr>
              <w:jc w:val="center"/>
              <w:rPr>
                <w:rFonts w:cs="Arial"/>
                <w:sz w:val="18"/>
                <w:szCs w:val="18"/>
              </w:rPr>
            </w:pPr>
            <w:r w:rsidRPr="00FB10C5">
              <w:rPr>
                <w:rFonts w:cs="Arial"/>
                <w:sz w:val="18"/>
                <w:szCs w:val="18"/>
              </w:rPr>
              <w:t>minimalne</w:t>
            </w:r>
          </w:p>
        </w:tc>
        <w:tc>
          <w:tcPr>
            <w:tcW w:w="0" w:type="auto"/>
            <w:shd w:val="clear" w:color="auto" w:fill="DBE5F1"/>
            <w:vAlign w:val="center"/>
            <w:hideMark/>
          </w:tcPr>
          <w:p w14:paraId="3C82FFAC" w14:textId="77777777" w:rsidR="00370D80" w:rsidRPr="00FB10C5" w:rsidRDefault="00370D80" w:rsidP="00370D80">
            <w:pPr>
              <w:jc w:val="center"/>
              <w:rPr>
                <w:rFonts w:cs="Arial"/>
                <w:sz w:val="18"/>
                <w:szCs w:val="18"/>
              </w:rPr>
            </w:pPr>
            <w:r w:rsidRPr="00FB10C5">
              <w:rPr>
                <w:rFonts w:cs="Arial"/>
                <w:sz w:val="18"/>
                <w:szCs w:val="18"/>
              </w:rPr>
              <w:t>średnie</w:t>
            </w:r>
          </w:p>
        </w:tc>
        <w:tc>
          <w:tcPr>
            <w:tcW w:w="0" w:type="auto"/>
            <w:shd w:val="clear" w:color="auto" w:fill="DBE5F1"/>
            <w:vAlign w:val="center"/>
            <w:hideMark/>
          </w:tcPr>
          <w:p w14:paraId="08972BA6" w14:textId="77777777" w:rsidR="00370D80" w:rsidRPr="00FB10C5" w:rsidRDefault="00370D80" w:rsidP="00370D80">
            <w:pPr>
              <w:jc w:val="center"/>
              <w:rPr>
                <w:rFonts w:cs="Arial"/>
                <w:sz w:val="18"/>
                <w:szCs w:val="18"/>
              </w:rPr>
            </w:pPr>
            <w:r w:rsidRPr="00FB10C5">
              <w:rPr>
                <w:rFonts w:cs="Arial"/>
                <w:sz w:val="18"/>
                <w:szCs w:val="18"/>
              </w:rPr>
              <w:t>maksymalne</w:t>
            </w:r>
          </w:p>
        </w:tc>
        <w:tc>
          <w:tcPr>
            <w:tcW w:w="0" w:type="auto"/>
            <w:vMerge/>
            <w:shd w:val="clear" w:color="auto" w:fill="DBE5F1"/>
            <w:vAlign w:val="center"/>
            <w:hideMark/>
          </w:tcPr>
          <w:p w14:paraId="2A7241B1" w14:textId="77777777" w:rsidR="00370D80" w:rsidRPr="00FB10C5" w:rsidRDefault="00370D80" w:rsidP="00370D80">
            <w:pPr>
              <w:rPr>
                <w:rFonts w:cs="Arial"/>
                <w:sz w:val="18"/>
                <w:szCs w:val="18"/>
              </w:rPr>
            </w:pPr>
          </w:p>
        </w:tc>
        <w:tc>
          <w:tcPr>
            <w:tcW w:w="0" w:type="auto"/>
            <w:shd w:val="clear" w:color="auto" w:fill="DBE5F1"/>
            <w:vAlign w:val="center"/>
            <w:hideMark/>
          </w:tcPr>
          <w:p w14:paraId="7C4EFA97" w14:textId="77777777" w:rsidR="00370D80" w:rsidRPr="00FB10C5" w:rsidRDefault="00370D80" w:rsidP="00370D80">
            <w:pPr>
              <w:jc w:val="center"/>
              <w:rPr>
                <w:rFonts w:cs="Arial"/>
                <w:sz w:val="18"/>
                <w:szCs w:val="18"/>
              </w:rPr>
            </w:pPr>
            <w:r w:rsidRPr="00FB10C5">
              <w:rPr>
                <w:rFonts w:cs="Arial"/>
                <w:sz w:val="18"/>
                <w:szCs w:val="18"/>
              </w:rPr>
              <w:t>minimalne</w:t>
            </w:r>
          </w:p>
        </w:tc>
        <w:tc>
          <w:tcPr>
            <w:tcW w:w="0" w:type="auto"/>
            <w:shd w:val="clear" w:color="auto" w:fill="DBE5F1"/>
            <w:vAlign w:val="center"/>
            <w:hideMark/>
          </w:tcPr>
          <w:p w14:paraId="7CF06425" w14:textId="77777777" w:rsidR="00370D80" w:rsidRPr="00FB10C5" w:rsidRDefault="00370D80" w:rsidP="00370D80">
            <w:pPr>
              <w:jc w:val="center"/>
              <w:rPr>
                <w:rFonts w:cs="Arial"/>
                <w:sz w:val="18"/>
                <w:szCs w:val="18"/>
              </w:rPr>
            </w:pPr>
            <w:r w:rsidRPr="00FB10C5">
              <w:rPr>
                <w:rFonts w:cs="Arial"/>
                <w:sz w:val="18"/>
                <w:szCs w:val="18"/>
              </w:rPr>
              <w:t>średnie</w:t>
            </w:r>
          </w:p>
        </w:tc>
        <w:tc>
          <w:tcPr>
            <w:tcW w:w="0" w:type="auto"/>
            <w:shd w:val="clear" w:color="auto" w:fill="DBE5F1"/>
            <w:vAlign w:val="center"/>
            <w:hideMark/>
          </w:tcPr>
          <w:p w14:paraId="2D3ED1DC" w14:textId="77777777" w:rsidR="00370D80" w:rsidRPr="00FB10C5" w:rsidRDefault="00370D80" w:rsidP="00370D80">
            <w:pPr>
              <w:jc w:val="center"/>
              <w:rPr>
                <w:rFonts w:cs="Arial"/>
                <w:sz w:val="18"/>
                <w:szCs w:val="18"/>
              </w:rPr>
            </w:pPr>
            <w:r w:rsidRPr="00FB10C5">
              <w:rPr>
                <w:rFonts w:cs="Arial"/>
                <w:sz w:val="18"/>
                <w:szCs w:val="18"/>
              </w:rPr>
              <w:t>maksymalne</w:t>
            </w:r>
          </w:p>
        </w:tc>
      </w:tr>
      <w:tr w:rsidR="00370D80" w:rsidRPr="00FB10C5" w14:paraId="6CDFDBB3" w14:textId="77777777" w:rsidTr="00370D80">
        <w:trPr>
          <w:trHeight w:val="285"/>
        </w:trPr>
        <w:tc>
          <w:tcPr>
            <w:tcW w:w="0" w:type="auto"/>
            <w:shd w:val="clear" w:color="auto" w:fill="auto"/>
            <w:vAlign w:val="bottom"/>
            <w:hideMark/>
          </w:tcPr>
          <w:p w14:paraId="19D0BA6A" w14:textId="77777777" w:rsidR="00370D80" w:rsidRPr="00FB10C5" w:rsidRDefault="00370D80" w:rsidP="00370D80">
            <w:pPr>
              <w:jc w:val="center"/>
              <w:rPr>
                <w:rFonts w:cs="Arial"/>
                <w:sz w:val="18"/>
                <w:szCs w:val="18"/>
              </w:rPr>
            </w:pPr>
            <w:r w:rsidRPr="00FB10C5">
              <w:rPr>
                <w:rFonts w:cs="Arial"/>
                <w:sz w:val="18"/>
                <w:szCs w:val="18"/>
              </w:rPr>
              <w:t>2017</w:t>
            </w:r>
          </w:p>
        </w:tc>
        <w:tc>
          <w:tcPr>
            <w:tcW w:w="0" w:type="auto"/>
            <w:shd w:val="clear" w:color="auto" w:fill="auto"/>
            <w:vAlign w:val="bottom"/>
          </w:tcPr>
          <w:p w14:paraId="778C4667"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bottom"/>
          </w:tcPr>
          <w:p w14:paraId="5B75CBB6" w14:textId="77777777" w:rsidR="00370D80" w:rsidRPr="00FB10C5" w:rsidRDefault="00370D80" w:rsidP="00370D80">
            <w:pPr>
              <w:jc w:val="center"/>
              <w:rPr>
                <w:rFonts w:cs="Arial"/>
                <w:sz w:val="18"/>
                <w:szCs w:val="18"/>
              </w:rPr>
            </w:pPr>
            <w:r w:rsidRPr="00FB10C5">
              <w:rPr>
                <w:rFonts w:cs="Arial"/>
                <w:sz w:val="18"/>
                <w:szCs w:val="18"/>
              </w:rPr>
              <w:t>15</w:t>
            </w:r>
          </w:p>
        </w:tc>
        <w:tc>
          <w:tcPr>
            <w:tcW w:w="0" w:type="auto"/>
            <w:shd w:val="clear" w:color="auto" w:fill="auto"/>
            <w:vAlign w:val="bottom"/>
          </w:tcPr>
          <w:p w14:paraId="5114ED57" w14:textId="77777777" w:rsidR="00370D80" w:rsidRPr="00FB10C5" w:rsidRDefault="00370D80" w:rsidP="00370D80">
            <w:pPr>
              <w:jc w:val="center"/>
              <w:rPr>
                <w:rFonts w:cs="Arial"/>
                <w:sz w:val="18"/>
                <w:szCs w:val="18"/>
              </w:rPr>
            </w:pPr>
            <w:r w:rsidRPr="00FB10C5">
              <w:rPr>
                <w:rFonts w:cs="Arial"/>
                <w:sz w:val="18"/>
                <w:szCs w:val="18"/>
              </w:rPr>
              <w:t>16,7</w:t>
            </w:r>
          </w:p>
        </w:tc>
        <w:tc>
          <w:tcPr>
            <w:tcW w:w="0" w:type="auto"/>
            <w:shd w:val="clear" w:color="auto" w:fill="auto"/>
            <w:vAlign w:val="bottom"/>
          </w:tcPr>
          <w:p w14:paraId="2AE215D9" w14:textId="77777777" w:rsidR="00370D80" w:rsidRPr="00FB10C5" w:rsidRDefault="00370D80" w:rsidP="00370D80">
            <w:pPr>
              <w:jc w:val="center"/>
              <w:rPr>
                <w:rFonts w:cs="Arial"/>
                <w:sz w:val="18"/>
                <w:szCs w:val="18"/>
              </w:rPr>
            </w:pPr>
            <w:r w:rsidRPr="00FB10C5">
              <w:rPr>
                <w:rFonts w:cs="Arial"/>
                <w:sz w:val="18"/>
                <w:szCs w:val="18"/>
              </w:rPr>
              <w:t>18</w:t>
            </w:r>
          </w:p>
        </w:tc>
        <w:tc>
          <w:tcPr>
            <w:tcW w:w="0" w:type="auto"/>
            <w:shd w:val="clear" w:color="auto" w:fill="auto"/>
            <w:vAlign w:val="center"/>
          </w:tcPr>
          <w:p w14:paraId="3E6CE73F"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center"/>
          </w:tcPr>
          <w:p w14:paraId="72F02550" w14:textId="77777777" w:rsidR="00370D80" w:rsidRPr="00FB10C5" w:rsidRDefault="00370D80" w:rsidP="00370D80">
            <w:pPr>
              <w:jc w:val="center"/>
              <w:rPr>
                <w:rFonts w:cs="Arial"/>
                <w:sz w:val="18"/>
                <w:szCs w:val="18"/>
              </w:rPr>
            </w:pPr>
            <w:r w:rsidRPr="00FB10C5">
              <w:rPr>
                <w:rFonts w:cs="Arial"/>
                <w:sz w:val="18"/>
                <w:szCs w:val="18"/>
              </w:rPr>
              <w:t>21</w:t>
            </w:r>
          </w:p>
        </w:tc>
        <w:tc>
          <w:tcPr>
            <w:tcW w:w="0" w:type="auto"/>
            <w:shd w:val="clear" w:color="auto" w:fill="auto"/>
            <w:vAlign w:val="center"/>
          </w:tcPr>
          <w:p w14:paraId="01D46E92" w14:textId="77777777" w:rsidR="00370D80" w:rsidRPr="00FB10C5" w:rsidRDefault="00370D80" w:rsidP="00370D80">
            <w:pPr>
              <w:jc w:val="center"/>
              <w:rPr>
                <w:rFonts w:cs="Arial"/>
                <w:sz w:val="18"/>
                <w:szCs w:val="18"/>
              </w:rPr>
            </w:pPr>
            <w:r w:rsidRPr="00FB10C5">
              <w:rPr>
                <w:rFonts w:cs="Arial"/>
                <w:sz w:val="18"/>
                <w:szCs w:val="18"/>
              </w:rPr>
              <w:t>21,9</w:t>
            </w:r>
          </w:p>
        </w:tc>
        <w:tc>
          <w:tcPr>
            <w:tcW w:w="0" w:type="auto"/>
            <w:shd w:val="clear" w:color="auto" w:fill="auto"/>
            <w:vAlign w:val="center"/>
          </w:tcPr>
          <w:p w14:paraId="4DA277EF" w14:textId="77777777" w:rsidR="00370D80" w:rsidRPr="00FB10C5" w:rsidRDefault="00370D80" w:rsidP="00370D80">
            <w:pPr>
              <w:jc w:val="center"/>
              <w:rPr>
                <w:rFonts w:cs="Arial"/>
                <w:sz w:val="18"/>
                <w:szCs w:val="18"/>
              </w:rPr>
            </w:pPr>
            <w:r w:rsidRPr="00FB10C5">
              <w:rPr>
                <w:rFonts w:cs="Arial"/>
                <w:sz w:val="18"/>
                <w:szCs w:val="18"/>
              </w:rPr>
              <w:t>23</w:t>
            </w:r>
          </w:p>
        </w:tc>
      </w:tr>
      <w:tr w:rsidR="00370D80" w:rsidRPr="00FB10C5" w14:paraId="63F40FF9" w14:textId="77777777" w:rsidTr="00370D80">
        <w:trPr>
          <w:trHeight w:val="285"/>
        </w:trPr>
        <w:tc>
          <w:tcPr>
            <w:tcW w:w="0" w:type="auto"/>
            <w:shd w:val="clear" w:color="auto" w:fill="auto"/>
            <w:vAlign w:val="bottom"/>
          </w:tcPr>
          <w:p w14:paraId="62FC44A2" w14:textId="77777777" w:rsidR="00370D80" w:rsidRPr="00FB10C5" w:rsidRDefault="00370D80" w:rsidP="00370D80">
            <w:pPr>
              <w:jc w:val="center"/>
              <w:rPr>
                <w:rFonts w:cs="Arial"/>
                <w:sz w:val="18"/>
                <w:szCs w:val="18"/>
              </w:rPr>
            </w:pPr>
            <w:r w:rsidRPr="00FB10C5">
              <w:rPr>
                <w:rFonts w:cs="Arial"/>
                <w:sz w:val="18"/>
                <w:szCs w:val="18"/>
              </w:rPr>
              <w:t>2016</w:t>
            </w:r>
          </w:p>
        </w:tc>
        <w:tc>
          <w:tcPr>
            <w:tcW w:w="0" w:type="auto"/>
            <w:shd w:val="clear" w:color="auto" w:fill="auto"/>
            <w:vAlign w:val="bottom"/>
          </w:tcPr>
          <w:p w14:paraId="02E1D631"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bottom"/>
          </w:tcPr>
          <w:p w14:paraId="2CE2D963" w14:textId="77777777" w:rsidR="00370D80" w:rsidRPr="00FB10C5" w:rsidRDefault="00370D80" w:rsidP="00370D80">
            <w:pPr>
              <w:jc w:val="center"/>
              <w:rPr>
                <w:rFonts w:cs="Arial"/>
                <w:sz w:val="18"/>
                <w:szCs w:val="18"/>
              </w:rPr>
            </w:pPr>
            <w:r w:rsidRPr="00FB10C5">
              <w:rPr>
                <w:rFonts w:cs="Arial"/>
                <w:sz w:val="18"/>
                <w:szCs w:val="18"/>
              </w:rPr>
              <w:t>15</w:t>
            </w:r>
          </w:p>
        </w:tc>
        <w:tc>
          <w:tcPr>
            <w:tcW w:w="0" w:type="auto"/>
            <w:shd w:val="clear" w:color="auto" w:fill="auto"/>
            <w:vAlign w:val="bottom"/>
          </w:tcPr>
          <w:p w14:paraId="15BA7EAA" w14:textId="77777777" w:rsidR="00370D80" w:rsidRPr="00FB10C5" w:rsidRDefault="00370D80" w:rsidP="00370D80">
            <w:pPr>
              <w:jc w:val="center"/>
              <w:rPr>
                <w:rFonts w:cs="Arial"/>
                <w:sz w:val="18"/>
                <w:szCs w:val="18"/>
              </w:rPr>
            </w:pPr>
            <w:r w:rsidRPr="00FB10C5">
              <w:rPr>
                <w:rFonts w:cs="Arial"/>
                <w:sz w:val="18"/>
                <w:szCs w:val="18"/>
              </w:rPr>
              <w:t>17,4</w:t>
            </w:r>
          </w:p>
        </w:tc>
        <w:tc>
          <w:tcPr>
            <w:tcW w:w="0" w:type="auto"/>
            <w:shd w:val="clear" w:color="auto" w:fill="auto"/>
            <w:vAlign w:val="bottom"/>
          </w:tcPr>
          <w:p w14:paraId="2E9A061E" w14:textId="77777777" w:rsidR="00370D80" w:rsidRPr="00FB10C5" w:rsidRDefault="00370D80" w:rsidP="00370D80">
            <w:pPr>
              <w:jc w:val="center"/>
              <w:rPr>
                <w:rFonts w:cs="Arial"/>
                <w:sz w:val="18"/>
                <w:szCs w:val="18"/>
              </w:rPr>
            </w:pPr>
            <w:r w:rsidRPr="00FB10C5">
              <w:rPr>
                <w:rFonts w:cs="Arial"/>
                <w:sz w:val="18"/>
                <w:szCs w:val="18"/>
              </w:rPr>
              <w:t>19</w:t>
            </w:r>
          </w:p>
        </w:tc>
        <w:tc>
          <w:tcPr>
            <w:tcW w:w="0" w:type="auto"/>
            <w:shd w:val="clear" w:color="auto" w:fill="auto"/>
            <w:vAlign w:val="bottom"/>
          </w:tcPr>
          <w:p w14:paraId="65E975E0"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bottom"/>
          </w:tcPr>
          <w:p w14:paraId="485C0F6E" w14:textId="77777777" w:rsidR="00370D80" w:rsidRPr="00FB10C5" w:rsidRDefault="00370D80" w:rsidP="00370D80">
            <w:pPr>
              <w:jc w:val="center"/>
              <w:rPr>
                <w:rFonts w:cs="Arial"/>
                <w:sz w:val="18"/>
                <w:szCs w:val="18"/>
              </w:rPr>
            </w:pPr>
            <w:r w:rsidRPr="00FB10C5">
              <w:rPr>
                <w:rFonts w:cs="Arial"/>
                <w:sz w:val="18"/>
                <w:szCs w:val="18"/>
              </w:rPr>
              <w:t>22</w:t>
            </w:r>
          </w:p>
        </w:tc>
        <w:tc>
          <w:tcPr>
            <w:tcW w:w="0" w:type="auto"/>
            <w:shd w:val="clear" w:color="auto" w:fill="auto"/>
            <w:vAlign w:val="bottom"/>
          </w:tcPr>
          <w:p w14:paraId="0EC8CEDF" w14:textId="77777777" w:rsidR="00370D80" w:rsidRPr="00FB10C5" w:rsidRDefault="00370D80" w:rsidP="00370D80">
            <w:pPr>
              <w:jc w:val="center"/>
              <w:rPr>
                <w:rFonts w:cs="Arial"/>
                <w:sz w:val="18"/>
                <w:szCs w:val="18"/>
              </w:rPr>
            </w:pPr>
            <w:r w:rsidRPr="00FB10C5">
              <w:rPr>
                <w:rFonts w:cs="Arial"/>
                <w:sz w:val="18"/>
                <w:szCs w:val="18"/>
              </w:rPr>
              <w:t>23,6</w:t>
            </w:r>
          </w:p>
        </w:tc>
        <w:tc>
          <w:tcPr>
            <w:tcW w:w="0" w:type="auto"/>
            <w:shd w:val="clear" w:color="auto" w:fill="auto"/>
            <w:vAlign w:val="bottom"/>
          </w:tcPr>
          <w:p w14:paraId="48B507AB" w14:textId="77777777" w:rsidR="00370D80" w:rsidRPr="00FB10C5" w:rsidRDefault="00370D80" w:rsidP="00370D80">
            <w:pPr>
              <w:jc w:val="center"/>
              <w:rPr>
                <w:rFonts w:cs="Arial"/>
                <w:sz w:val="18"/>
                <w:szCs w:val="18"/>
              </w:rPr>
            </w:pPr>
            <w:r w:rsidRPr="00FB10C5">
              <w:rPr>
                <w:rFonts w:cs="Arial"/>
                <w:sz w:val="18"/>
                <w:szCs w:val="18"/>
              </w:rPr>
              <w:t>26</w:t>
            </w:r>
          </w:p>
        </w:tc>
      </w:tr>
      <w:tr w:rsidR="00370D80" w:rsidRPr="00FB10C5" w14:paraId="1A3873E3" w14:textId="77777777" w:rsidTr="00370D80">
        <w:trPr>
          <w:trHeight w:val="285"/>
        </w:trPr>
        <w:tc>
          <w:tcPr>
            <w:tcW w:w="0" w:type="auto"/>
            <w:shd w:val="clear" w:color="auto" w:fill="auto"/>
            <w:vAlign w:val="bottom"/>
          </w:tcPr>
          <w:p w14:paraId="2515B008" w14:textId="77777777" w:rsidR="00370D80" w:rsidRPr="00FB10C5" w:rsidRDefault="00370D80" w:rsidP="00370D80">
            <w:pPr>
              <w:jc w:val="center"/>
              <w:rPr>
                <w:rFonts w:cs="Arial"/>
                <w:sz w:val="18"/>
                <w:szCs w:val="18"/>
              </w:rPr>
            </w:pPr>
            <w:r w:rsidRPr="00FB10C5">
              <w:rPr>
                <w:rFonts w:cs="Arial"/>
                <w:sz w:val="18"/>
                <w:szCs w:val="18"/>
              </w:rPr>
              <w:t>2015</w:t>
            </w:r>
          </w:p>
        </w:tc>
        <w:tc>
          <w:tcPr>
            <w:tcW w:w="0" w:type="auto"/>
            <w:shd w:val="clear" w:color="auto" w:fill="auto"/>
            <w:vAlign w:val="bottom"/>
          </w:tcPr>
          <w:p w14:paraId="4C0EDDF3"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bottom"/>
          </w:tcPr>
          <w:p w14:paraId="71659235" w14:textId="77777777" w:rsidR="00370D80" w:rsidRPr="00FB10C5" w:rsidRDefault="00370D80" w:rsidP="00370D80">
            <w:pPr>
              <w:jc w:val="center"/>
              <w:rPr>
                <w:rFonts w:cs="Arial"/>
                <w:sz w:val="18"/>
                <w:szCs w:val="18"/>
              </w:rPr>
            </w:pPr>
            <w:r w:rsidRPr="00FB10C5">
              <w:rPr>
                <w:rFonts w:cs="Arial"/>
                <w:sz w:val="18"/>
                <w:szCs w:val="18"/>
              </w:rPr>
              <w:t>15</w:t>
            </w:r>
          </w:p>
        </w:tc>
        <w:tc>
          <w:tcPr>
            <w:tcW w:w="0" w:type="auto"/>
            <w:shd w:val="clear" w:color="auto" w:fill="auto"/>
            <w:vAlign w:val="bottom"/>
          </w:tcPr>
          <w:p w14:paraId="60A700C6" w14:textId="77777777" w:rsidR="00370D80" w:rsidRPr="00FB10C5" w:rsidRDefault="00370D80" w:rsidP="00370D80">
            <w:pPr>
              <w:jc w:val="center"/>
              <w:rPr>
                <w:rFonts w:cs="Arial"/>
                <w:sz w:val="18"/>
                <w:szCs w:val="18"/>
              </w:rPr>
            </w:pPr>
            <w:r w:rsidRPr="00FB10C5">
              <w:rPr>
                <w:rFonts w:cs="Arial"/>
                <w:sz w:val="18"/>
                <w:szCs w:val="18"/>
              </w:rPr>
              <w:t>17,3</w:t>
            </w:r>
          </w:p>
        </w:tc>
        <w:tc>
          <w:tcPr>
            <w:tcW w:w="0" w:type="auto"/>
            <w:shd w:val="clear" w:color="auto" w:fill="auto"/>
            <w:vAlign w:val="bottom"/>
          </w:tcPr>
          <w:p w14:paraId="01D5A026" w14:textId="77777777" w:rsidR="00370D80" w:rsidRPr="00FB10C5" w:rsidRDefault="00370D80" w:rsidP="00370D80">
            <w:pPr>
              <w:jc w:val="center"/>
              <w:rPr>
                <w:rFonts w:cs="Arial"/>
                <w:sz w:val="18"/>
                <w:szCs w:val="18"/>
              </w:rPr>
            </w:pPr>
            <w:r w:rsidRPr="00FB10C5">
              <w:rPr>
                <w:rFonts w:cs="Arial"/>
                <w:sz w:val="18"/>
                <w:szCs w:val="18"/>
              </w:rPr>
              <w:t>19</w:t>
            </w:r>
          </w:p>
        </w:tc>
        <w:tc>
          <w:tcPr>
            <w:tcW w:w="0" w:type="auto"/>
            <w:shd w:val="clear" w:color="auto" w:fill="auto"/>
            <w:vAlign w:val="bottom"/>
          </w:tcPr>
          <w:p w14:paraId="7B6D7AB6"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bottom"/>
          </w:tcPr>
          <w:p w14:paraId="32099F11" w14:textId="77777777" w:rsidR="00370D80" w:rsidRPr="00FB10C5" w:rsidRDefault="00370D80" w:rsidP="00370D80">
            <w:pPr>
              <w:jc w:val="center"/>
              <w:rPr>
                <w:rFonts w:cs="Arial"/>
                <w:sz w:val="18"/>
                <w:szCs w:val="18"/>
              </w:rPr>
            </w:pPr>
            <w:r w:rsidRPr="00FB10C5">
              <w:rPr>
                <w:rFonts w:cs="Arial"/>
                <w:sz w:val="18"/>
                <w:szCs w:val="18"/>
              </w:rPr>
              <w:t>23</w:t>
            </w:r>
          </w:p>
        </w:tc>
        <w:tc>
          <w:tcPr>
            <w:tcW w:w="0" w:type="auto"/>
            <w:shd w:val="clear" w:color="auto" w:fill="auto"/>
            <w:vAlign w:val="bottom"/>
          </w:tcPr>
          <w:p w14:paraId="36281ED3" w14:textId="77777777" w:rsidR="00370D80" w:rsidRPr="00FB10C5" w:rsidRDefault="00370D80" w:rsidP="00370D80">
            <w:pPr>
              <w:jc w:val="center"/>
              <w:rPr>
                <w:rFonts w:cs="Arial"/>
                <w:sz w:val="18"/>
                <w:szCs w:val="18"/>
              </w:rPr>
            </w:pPr>
            <w:r w:rsidRPr="00FB10C5">
              <w:rPr>
                <w:rFonts w:cs="Arial"/>
                <w:sz w:val="18"/>
                <w:szCs w:val="18"/>
              </w:rPr>
              <w:t>24,1</w:t>
            </w:r>
          </w:p>
        </w:tc>
        <w:tc>
          <w:tcPr>
            <w:tcW w:w="0" w:type="auto"/>
            <w:shd w:val="clear" w:color="auto" w:fill="auto"/>
            <w:vAlign w:val="bottom"/>
          </w:tcPr>
          <w:p w14:paraId="3C3361B7" w14:textId="77777777" w:rsidR="00370D80" w:rsidRPr="00FB10C5" w:rsidRDefault="00370D80" w:rsidP="00370D80">
            <w:pPr>
              <w:jc w:val="center"/>
              <w:rPr>
                <w:rFonts w:cs="Arial"/>
                <w:sz w:val="18"/>
                <w:szCs w:val="18"/>
              </w:rPr>
            </w:pPr>
            <w:r w:rsidRPr="00FB10C5">
              <w:rPr>
                <w:rFonts w:cs="Arial"/>
                <w:sz w:val="18"/>
                <w:szCs w:val="18"/>
              </w:rPr>
              <w:t>26</w:t>
            </w:r>
          </w:p>
        </w:tc>
      </w:tr>
      <w:tr w:rsidR="00370D80" w:rsidRPr="00FB10C5" w14:paraId="2B33D0AF" w14:textId="77777777" w:rsidTr="00370D80">
        <w:trPr>
          <w:trHeight w:val="285"/>
        </w:trPr>
        <w:tc>
          <w:tcPr>
            <w:tcW w:w="0" w:type="auto"/>
            <w:shd w:val="clear" w:color="auto" w:fill="auto"/>
            <w:vAlign w:val="bottom"/>
          </w:tcPr>
          <w:p w14:paraId="02C28D1B" w14:textId="77777777" w:rsidR="00370D80" w:rsidRPr="00FB10C5" w:rsidRDefault="00370D80" w:rsidP="00370D80">
            <w:pPr>
              <w:jc w:val="center"/>
              <w:rPr>
                <w:rFonts w:cs="Arial"/>
                <w:sz w:val="18"/>
                <w:szCs w:val="18"/>
              </w:rPr>
            </w:pPr>
            <w:r w:rsidRPr="00FB10C5">
              <w:rPr>
                <w:rFonts w:cs="Arial"/>
                <w:sz w:val="18"/>
                <w:szCs w:val="18"/>
              </w:rPr>
              <w:t>2014</w:t>
            </w:r>
          </w:p>
        </w:tc>
        <w:tc>
          <w:tcPr>
            <w:tcW w:w="0" w:type="auto"/>
            <w:shd w:val="clear" w:color="auto" w:fill="auto"/>
            <w:vAlign w:val="bottom"/>
          </w:tcPr>
          <w:p w14:paraId="7CABFCC7"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bottom"/>
          </w:tcPr>
          <w:p w14:paraId="6D0D526F" w14:textId="77777777" w:rsidR="00370D80" w:rsidRPr="00FB10C5" w:rsidRDefault="00370D80" w:rsidP="00370D80">
            <w:pPr>
              <w:jc w:val="center"/>
              <w:rPr>
                <w:rFonts w:cs="Arial"/>
                <w:sz w:val="18"/>
                <w:szCs w:val="18"/>
              </w:rPr>
            </w:pPr>
            <w:r w:rsidRPr="00FB10C5">
              <w:rPr>
                <w:rFonts w:cs="Arial"/>
                <w:sz w:val="18"/>
                <w:szCs w:val="18"/>
              </w:rPr>
              <w:t>18</w:t>
            </w:r>
          </w:p>
        </w:tc>
        <w:tc>
          <w:tcPr>
            <w:tcW w:w="0" w:type="auto"/>
            <w:shd w:val="clear" w:color="auto" w:fill="auto"/>
            <w:vAlign w:val="bottom"/>
          </w:tcPr>
          <w:p w14:paraId="33204BB6" w14:textId="77777777" w:rsidR="00370D80" w:rsidRPr="00FB10C5" w:rsidRDefault="00370D80" w:rsidP="00370D80">
            <w:pPr>
              <w:jc w:val="center"/>
              <w:rPr>
                <w:rFonts w:cs="Arial"/>
                <w:sz w:val="18"/>
                <w:szCs w:val="18"/>
              </w:rPr>
            </w:pPr>
            <w:r w:rsidRPr="00FB10C5">
              <w:rPr>
                <w:rFonts w:cs="Arial"/>
                <w:sz w:val="18"/>
                <w:szCs w:val="18"/>
              </w:rPr>
              <w:t>20,3</w:t>
            </w:r>
          </w:p>
        </w:tc>
        <w:tc>
          <w:tcPr>
            <w:tcW w:w="0" w:type="auto"/>
            <w:shd w:val="clear" w:color="auto" w:fill="auto"/>
            <w:vAlign w:val="bottom"/>
          </w:tcPr>
          <w:p w14:paraId="7905416E" w14:textId="77777777" w:rsidR="00370D80" w:rsidRPr="00FB10C5" w:rsidRDefault="00370D80" w:rsidP="00370D80">
            <w:pPr>
              <w:jc w:val="center"/>
              <w:rPr>
                <w:rFonts w:cs="Arial"/>
                <w:sz w:val="18"/>
                <w:szCs w:val="18"/>
              </w:rPr>
            </w:pPr>
            <w:r w:rsidRPr="00FB10C5">
              <w:rPr>
                <w:rFonts w:cs="Arial"/>
                <w:sz w:val="18"/>
                <w:szCs w:val="18"/>
              </w:rPr>
              <w:t>22</w:t>
            </w:r>
          </w:p>
        </w:tc>
        <w:tc>
          <w:tcPr>
            <w:tcW w:w="0" w:type="auto"/>
            <w:shd w:val="clear" w:color="auto" w:fill="auto"/>
            <w:vAlign w:val="bottom"/>
          </w:tcPr>
          <w:p w14:paraId="59AC21A1"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bottom"/>
          </w:tcPr>
          <w:p w14:paraId="3B930351" w14:textId="77777777" w:rsidR="00370D80" w:rsidRPr="00FB10C5" w:rsidRDefault="00370D80" w:rsidP="00370D80">
            <w:pPr>
              <w:jc w:val="center"/>
              <w:rPr>
                <w:rFonts w:cs="Arial"/>
                <w:sz w:val="18"/>
                <w:szCs w:val="18"/>
              </w:rPr>
            </w:pPr>
            <w:r w:rsidRPr="00FB10C5">
              <w:rPr>
                <w:rFonts w:cs="Arial"/>
                <w:sz w:val="18"/>
                <w:szCs w:val="18"/>
              </w:rPr>
              <w:t>25</w:t>
            </w:r>
          </w:p>
        </w:tc>
        <w:tc>
          <w:tcPr>
            <w:tcW w:w="0" w:type="auto"/>
            <w:shd w:val="clear" w:color="auto" w:fill="auto"/>
            <w:vAlign w:val="bottom"/>
          </w:tcPr>
          <w:p w14:paraId="11F30E80" w14:textId="77777777" w:rsidR="00370D80" w:rsidRPr="00FB10C5" w:rsidRDefault="00370D80" w:rsidP="00370D80">
            <w:pPr>
              <w:jc w:val="center"/>
              <w:rPr>
                <w:rFonts w:cs="Arial"/>
                <w:sz w:val="18"/>
                <w:szCs w:val="18"/>
              </w:rPr>
            </w:pPr>
            <w:r w:rsidRPr="00FB10C5">
              <w:rPr>
                <w:rFonts w:cs="Arial"/>
                <w:sz w:val="18"/>
                <w:szCs w:val="18"/>
              </w:rPr>
              <w:t>26,9</w:t>
            </w:r>
          </w:p>
        </w:tc>
        <w:tc>
          <w:tcPr>
            <w:tcW w:w="0" w:type="auto"/>
            <w:shd w:val="clear" w:color="auto" w:fill="auto"/>
            <w:vAlign w:val="bottom"/>
          </w:tcPr>
          <w:p w14:paraId="347FF056" w14:textId="77777777" w:rsidR="00370D80" w:rsidRPr="00FB10C5" w:rsidRDefault="00370D80" w:rsidP="00370D80">
            <w:pPr>
              <w:jc w:val="center"/>
              <w:rPr>
                <w:rFonts w:cs="Arial"/>
                <w:sz w:val="18"/>
                <w:szCs w:val="18"/>
              </w:rPr>
            </w:pPr>
            <w:r w:rsidRPr="00FB10C5">
              <w:rPr>
                <w:rFonts w:cs="Arial"/>
                <w:sz w:val="18"/>
                <w:szCs w:val="18"/>
              </w:rPr>
              <w:t>30</w:t>
            </w:r>
          </w:p>
        </w:tc>
      </w:tr>
      <w:tr w:rsidR="00370D80" w:rsidRPr="00FB10C5" w14:paraId="338D0BF8" w14:textId="77777777" w:rsidTr="00370D80">
        <w:trPr>
          <w:trHeight w:val="285"/>
        </w:trPr>
        <w:tc>
          <w:tcPr>
            <w:tcW w:w="0" w:type="auto"/>
            <w:shd w:val="clear" w:color="auto" w:fill="auto"/>
            <w:vAlign w:val="bottom"/>
          </w:tcPr>
          <w:p w14:paraId="7DD9A150" w14:textId="77777777" w:rsidR="00370D80" w:rsidRPr="00FB10C5" w:rsidRDefault="00370D80" w:rsidP="00370D80">
            <w:pPr>
              <w:jc w:val="center"/>
              <w:rPr>
                <w:rFonts w:cs="Arial"/>
                <w:sz w:val="18"/>
                <w:szCs w:val="18"/>
              </w:rPr>
            </w:pPr>
            <w:r w:rsidRPr="00FB10C5">
              <w:rPr>
                <w:rFonts w:cs="Arial"/>
                <w:sz w:val="18"/>
                <w:szCs w:val="18"/>
              </w:rPr>
              <w:lastRenderedPageBreak/>
              <w:t>2013</w:t>
            </w:r>
          </w:p>
        </w:tc>
        <w:tc>
          <w:tcPr>
            <w:tcW w:w="0" w:type="auto"/>
            <w:shd w:val="clear" w:color="auto" w:fill="auto"/>
            <w:vAlign w:val="bottom"/>
          </w:tcPr>
          <w:p w14:paraId="210E6ECE"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bottom"/>
          </w:tcPr>
          <w:p w14:paraId="41BD8850" w14:textId="77777777" w:rsidR="00370D80" w:rsidRPr="00FB10C5" w:rsidRDefault="00370D80" w:rsidP="00370D80">
            <w:pPr>
              <w:jc w:val="center"/>
              <w:rPr>
                <w:rFonts w:cs="Arial"/>
                <w:sz w:val="18"/>
                <w:szCs w:val="18"/>
              </w:rPr>
            </w:pPr>
            <w:r w:rsidRPr="00FB10C5">
              <w:rPr>
                <w:rFonts w:cs="Arial"/>
                <w:sz w:val="18"/>
                <w:szCs w:val="18"/>
              </w:rPr>
              <w:t>14</w:t>
            </w:r>
          </w:p>
        </w:tc>
        <w:tc>
          <w:tcPr>
            <w:tcW w:w="0" w:type="auto"/>
            <w:shd w:val="clear" w:color="auto" w:fill="auto"/>
            <w:vAlign w:val="bottom"/>
          </w:tcPr>
          <w:p w14:paraId="1F2336BD" w14:textId="77777777" w:rsidR="00370D80" w:rsidRPr="00FB10C5" w:rsidRDefault="00370D80" w:rsidP="00370D80">
            <w:pPr>
              <w:jc w:val="center"/>
              <w:rPr>
                <w:rFonts w:cs="Arial"/>
                <w:sz w:val="18"/>
                <w:szCs w:val="18"/>
              </w:rPr>
            </w:pPr>
            <w:r w:rsidRPr="00FB10C5">
              <w:rPr>
                <w:rFonts w:cs="Arial"/>
                <w:sz w:val="18"/>
                <w:szCs w:val="18"/>
              </w:rPr>
              <w:t>15.4</w:t>
            </w:r>
          </w:p>
        </w:tc>
        <w:tc>
          <w:tcPr>
            <w:tcW w:w="0" w:type="auto"/>
            <w:shd w:val="clear" w:color="auto" w:fill="auto"/>
            <w:vAlign w:val="bottom"/>
          </w:tcPr>
          <w:p w14:paraId="24F7A3B0" w14:textId="77777777" w:rsidR="00370D80" w:rsidRPr="00FB10C5" w:rsidRDefault="00370D80" w:rsidP="00370D80">
            <w:pPr>
              <w:jc w:val="center"/>
              <w:rPr>
                <w:rFonts w:cs="Arial"/>
                <w:sz w:val="18"/>
                <w:szCs w:val="18"/>
              </w:rPr>
            </w:pPr>
            <w:r w:rsidRPr="00FB10C5">
              <w:rPr>
                <w:rFonts w:cs="Arial"/>
                <w:sz w:val="18"/>
                <w:szCs w:val="18"/>
              </w:rPr>
              <w:t>17</w:t>
            </w:r>
          </w:p>
        </w:tc>
        <w:tc>
          <w:tcPr>
            <w:tcW w:w="0" w:type="auto"/>
            <w:shd w:val="clear" w:color="auto" w:fill="auto"/>
            <w:vAlign w:val="bottom"/>
          </w:tcPr>
          <w:p w14:paraId="4B4F652A"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bottom"/>
          </w:tcPr>
          <w:p w14:paraId="3FE8C803" w14:textId="77777777" w:rsidR="00370D80" w:rsidRPr="00FB10C5" w:rsidRDefault="00370D80" w:rsidP="00370D80">
            <w:pPr>
              <w:jc w:val="center"/>
              <w:rPr>
                <w:rFonts w:cs="Arial"/>
                <w:sz w:val="18"/>
                <w:szCs w:val="18"/>
              </w:rPr>
            </w:pPr>
            <w:r w:rsidRPr="00FB10C5">
              <w:rPr>
                <w:rFonts w:cs="Arial"/>
                <w:sz w:val="18"/>
                <w:szCs w:val="18"/>
              </w:rPr>
              <w:t>20</w:t>
            </w:r>
          </w:p>
        </w:tc>
        <w:tc>
          <w:tcPr>
            <w:tcW w:w="0" w:type="auto"/>
            <w:shd w:val="clear" w:color="auto" w:fill="auto"/>
            <w:vAlign w:val="bottom"/>
          </w:tcPr>
          <w:p w14:paraId="604DE711" w14:textId="77777777" w:rsidR="00370D80" w:rsidRPr="00FB10C5" w:rsidRDefault="00370D80" w:rsidP="00370D80">
            <w:pPr>
              <w:jc w:val="center"/>
              <w:rPr>
                <w:rFonts w:cs="Arial"/>
                <w:sz w:val="18"/>
                <w:szCs w:val="18"/>
              </w:rPr>
            </w:pPr>
            <w:r w:rsidRPr="00FB10C5">
              <w:rPr>
                <w:rFonts w:cs="Arial"/>
                <w:sz w:val="18"/>
                <w:szCs w:val="18"/>
              </w:rPr>
              <w:t>22,9</w:t>
            </w:r>
          </w:p>
        </w:tc>
        <w:tc>
          <w:tcPr>
            <w:tcW w:w="0" w:type="auto"/>
            <w:shd w:val="clear" w:color="auto" w:fill="auto"/>
            <w:vAlign w:val="bottom"/>
          </w:tcPr>
          <w:p w14:paraId="27A6580F" w14:textId="77777777" w:rsidR="00370D80" w:rsidRPr="00FB10C5" w:rsidRDefault="00370D80" w:rsidP="00370D80">
            <w:pPr>
              <w:jc w:val="center"/>
              <w:rPr>
                <w:rFonts w:cs="Arial"/>
                <w:sz w:val="18"/>
                <w:szCs w:val="18"/>
              </w:rPr>
            </w:pPr>
            <w:r w:rsidRPr="00FB10C5">
              <w:rPr>
                <w:rFonts w:cs="Arial"/>
                <w:sz w:val="18"/>
                <w:szCs w:val="18"/>
              </w:rPr>
              <w:t>27</w:t>
            </w:r>
          </w:p>
        </w:tc>
      </w:tr>
      <w:tr w:rsidR="00370D80" w:rsidRPr="00FB10C5" w14:paraId="339AF0C1" w14:textId="77777777" w:rsidTr="00370D80">
        <w:trPr>
          <w:trHeight w:val="285"/>
        </w:trPr>
        <w:tc>
          <w:tcPr>
            <w:tcW w:w="0" w:type="auto"/>
            <w:shd w:val="clear" w:color="auto" w:fill="auto"/>
            <w:vAlign w:val="bottom"/>
          </w:tcPr>
          <w:p w14:paraId="4510FEBD" w14:textId="77777777" w:rsidR="00370D80" w:rsidRPr="00FB10C5" w:rsidRDefault="00370D80" w:rsidP="00370D80">
            <w:pPr>
              <w:jc w:val="center"/>
              <w:rPr>
                <w:rFonts w:cs="Arial"/>
                <w:sz w:val="18"/>
                <w:szCs w:val="18"/>
              </w:rPr>
            </w:pPr>
            <w:r w:rsidRPr="00FB10C5">
              <w:rPr>
                <w:rFonts w:cs="Arial"/>
                <w:sz w:val="18"/>
                <w:szCs w:val="18"/>
              </w:rPr>
              <w:t>2012</w:t>
            </w:r>
          </w:p>
        </w:tc>
        <w:tc>
          <w:tcPr>
            <w:tcW w:w="0" w:type="auto"/>
            <w:shd w:val="clear" w:color="auto" w:fill="auto"/>
            <w:vAlign w:val="center"/>
          </w:tcPr>
          <w:p w14:paraId="380963BD" w14:textId="77777777" w:rsidR="00370D80" w:rsidRPr="00FB10C5" w:rsidRDefault="00370D80" w:rsidP="00370D80">
            <w:pPr>
              <w:jc w:val="center"/>
              <w:rPr>
                <w:rFonts w:cs="Arial"/>
                <w:sz w:val="18"/>
                <w:szCs w:val="18"/>
              </w:rPr>
            </w:pPr>
            <w:r w:rsidRPr="00FB10C5">
              <w:rPr>
                <w:rFonts w:cs="Arial"/>
                <w:sz w:val="18"/>
                <w:szCs w:val="18"/>
              </w:rPr>
              <w:t>2</w:t>
            </w:r>
          </w:p>
        </w:tc>
        <w:tc>
          <w:tcPr>
            <w:tcW w:w="0" w:type="auto"/>
            <w:shd w:val="clear" w:color="auto" w:fill="auto"/>
            <w:vAlign w:val="center"/>
          </w:tcPr>
          <w:p w14:paraId="5B4423A6" w14:textId="77777777" w:rsidR="00370D80" w:rsidRPr="00FB10C5" w:rsidRDefault="00370D80" w:rsidP="00370D80">
            <w:pPr>
              <w:jc w:val="center"/>
              <w:rPr>
                <w:rFonts w:cs="Arial"/>
                <w:sz w:val="18"/>
                <w:szCs w:val="18"/>
              </w:rPr>
            </w:pPr>
            <w:r w:rsidRPr="00FB10C5">
              <w:rPr>
                <w:rFonts w:cs="Arial"/>
                <w:sz w:val="18"/>
                <w:szCs w:val="18"/>
              </w:rPr>
              <w:t>14,9</w:t>
            </w:r>
          </w:p>
        </w:tc>
        <w:tc>
          <w:tcPr>
            <w:tcW w:w="0" w:type="auto"/>
            <w:shd w:val="clear" w:color="auto" w:fill="auto"/>
            <w:vAlign w:val="center"/>
          </w:tcPr>
          <w:p w14:paraId="601876E9" w14:textId="77777777" w:rsidR="00370D80" w:rsidRPr="00FB10C5" w:rsidRDefault="00370D80" w:rsidP="00370D80">
            <w:pPr>
              <w:jc w:val="center"/>
              <w:rPr>
                <w:rFonts w:cs="Arial"/>
                <w:sz w:val="18"/>
                <w:szCs w:val="18"/>
              </w:rPr>
            </w:pPr>
            <w:r w:rsidRPr="00FB10C5">
              <w:rPr>
                <w:rFonts w:cs="Arial"/>
                <w:sz w:val="18"/>
                <w:szCs w:val="18"/>
              </w:rPr>
              <w:t>16,2</w:t>
            </w:r>
          </w:p>
        </w:tc>
        <w:tc>
          <w:tcPr>
            <w:tcW w:w="0" w:type="auto"/>
            <w:shd w:val="clear" w:color="auto" w:fill="auto"/>
            <w:vAlign w:val="center"/>
          </w:tcPr>
          <w:p w14:paraId="2596C028" w14:textId="77777777" w:rsidR="00370D80" w:rsidRPr="00FB10C5" w:rsidRDefault="00370D80" w:rsidP="00370D80">
            <w:pPr>
              <w:jc w:val="center"/>
              <w:rPr>
                <w:rFonts w:cs="Arial"/>
                <w:sz w:val="18"/>
                <w:szCs w:val="18"/>
              </w:rPr>
            </w:pPr>
            <w:r w:rsidRPr="00FB10C5">
              <w:rPr>
                <w:rFonts w:cs="Arial"/>
                <w:sz w:val="18"/>
                <w:szCs w:val="18"/>
              </w:rPr>
              <w:t>17,6</w:t>
            </w:r>
          </w:p>
        </w:tc>
        <w:tc>
          <w:tcPr>
            <w:tcW w:w="0" w:type="auto"/>
            <w:shd w:val="clear" w:color="auto" w:fill="auto"/>
            <w:vAlign w:val="bottom"/>
          </w:tcPr>
          <w:p w14:paraId="23568D82" w14:textId="77777777" w:rsidR="00370D80" w:rsidRPr="00FB10C5" w:rsidRDefault="00370D80" w:rsidP="00370D80">
            <w:pPr>
              <w:jc w:val="center"/>
              <w:rPr>
                <w:rFonts w:cs="Arial"/>
                <w:sz w:val="18"/>
                <w:szCs w:val="18"/>
              </w:rPr>
            </w:pPr>
            <w:r w:rsidRPr="00FB10C5">
              <w:rPr>
                <w:rFonts w:cs="Arial"/>
                <w:sz w:val="18"/>
                <w:szCs w:val="18"/>
              </w:rPr>
              <w:t>3</w:t>
            </w:r>
          </w:p>
        </w:tc>
        <w:tc>
          <w:tcPr>
            <w:tcW w:w="0" w:type="auto"/>
            <w:shd w:val="clear" w:color="auto" w:fill="auto"/>
            <w:vAlign w:val="bottom"/>
          </w:tcPr>
          <w:p w14:paraId="4A7F78EF" w14:textId="77777777" w:rsidR="00370D80" w:rsidRPr="00FB10C5" w:rsidRDefault="00370D80" w:rsidP="00370D80">
            <w:pPr>
              <w:jc w:val="center"/>
              <w:rPr>
                <w:rFonts w:cs="Arial"/>
                <w:sz w:val="18"/>
                <w:szCs w:val="18"/>
              </w:rPr>
            </w:pPr>
            <w:r w:rsidRPr="00FB10C5">
              <w:rPr>
                <w:rFonts w:cs="Arial"/>
                <w:sz w:val="18"/>
                <w:szCs w:val="18"/>
              </w:rPr>
              <w:t>22</w:t>
            </w:r>
          </w:p>
        </w:tc>
        <w:tc>
          <w:tcPr>
            <w:tcW w:w="0" w:type="auto"/>
            <w:shd w:val="clear" w:color="auto" w:fill="auto"/>
            <w:vAlign w:val="bottom"/>
          </w:tcPr>
          <w:p w14:paraId="174F5852" w14:textId="77777777" w:rsidR="00370D80" w:rsidRPr="00FB10C5" w:rsidRDefault="00370D80" w:rsidP="00370D80">
            <w:pPr>
              <w:jc w:val="center"/>
              <w:rPr>
                <w:rFonts w:cs="Arial"/>
                <w:sz w:val="18"/>
                <w:szCs w:val="18"/>
              </w:rPr>
            </w:pPr>
            <w:r w:rsidRPr="00FB10C5">
              <w:rPr>
                <w:rFonts w:cs="Arial"/>
                <w:sz w:val="18"/>
                <w:szCs w:val="18"/>
              </w:rPr>
              <w:t>24,2</w:t>
            </w:r>
          </w:p>
        </w:tc>
        <w:tc>
          <w:tcPr>
            <w:tcW w:w="0" w:type="auto"/>
            <w:shd w:val="clear" w:color="auto" w:fill="auto"/>
            <w:vAlign w:val="bottom"/>
          </w:tcPr>
          <w:p w14:paraId="59FC000E" w14:textId="77777777" w:rsidR="00370D80" w:rsidRPr="00FB10C5" w:rsidRDefault="00370D80" w:rsidP="00370D80">
            <w:pPr>
              <w:jc w:val="center"/>
              <w:rPr>
                <w:rFonts w:cs="Arial"/>
                <w:sz w:val="18"/>
                <w:szCs w:val="18"/>
              </w:rPr>
            </w:pPr>
            <w:r w:rsidRPr="00FB10C5">
              <w:rPr>
                <w:rFonts w:cs="Arial"/>
                <w:sz w:val="18"/>
                <w:szCs w:val="18"/>
              </w:rPr>
              <w:t>27</w:t>
            </w:r>
          </w:p>
        </w:tc>
      </w:tr>
    </w:tbl>
    <w:p w14:paraId="5A12E385" w14:textId="77777777" w:rsidR="00370D80" w:rsidRPr="002A5FDF" w:rsidRDefault="00370D80" w:rsidP="005076BF">
      <w:pPr>
        <w:spacing w:before="0"/>
        <w:rPr>
          <w:rFonts w:cs="Calibri"/>
          <w:i/>
          <w:sz w:val="18"/>
        </w:rPr>
      </w:pPr>
      <w:r w:rsidRPr="002A5FDF">
        <w:rPr>
          <w:rFonts w:cs="Calibri"/>
          <w:i/>
          <w:sz w:val="18"/>
        </w:rPr>
        <w:t>Źródło: GUS.</w:t>
      </w:r>
    </w:p>
    <w:p w14:paraId="21AF4321" w14:textId="77777777" w:rsidR="00370D80" w:rsidRPr="00404DA5" w:rsidRDefault="00370D80" w:rsidP="00370D80">
      <w:pPr>
        <w:rPr>
          <w:rFonts w:cs="Calibri"/>
          <w:color w:val="FF0000"/>
          <w:szCs w:val="20"/>
        </w:rPr>
      </w:pPr>
      <w:r w:rsidRPr="00404DA5">
        <w:rPr>
          <w:rFonts w:cs="Calibri"/>
          <w:szCs w:val="20"/>
        </w:rPr>
        <w:t>Z uwagi na istotne powiązania</w:t>
      </w:r>
      <w:r w:rsidR="00E66B89">
        <w:rPr>
          <w:rFonts w:cs="Calibri"/>
          <w:szCs w:val="20"/>
        </w:rPr>
        <w:t xml:space="preserve"> w </w:t>
      </w:r>
      <w:r w:rsidRPr="00404DA5">
        <w:rPr>
          <w:rFonts w:cs="Calibri"/>
          <w:szCs w:val="20"/>
        </w:rPr>
        <w:t>zakresie oddziaływań skumulowanych na środowisko</w:t>
      </w:r>
      <w:r>
        <w:rPr>
          <w:rFonts w:cs="Calibri"/>
          <w:szCs w:val="20"/>
        </w:rPr>
        <w:t>,</w:t>
      </w:r>
      <w:r w:rsidR="00E66B89">
        <w:rPr>
          <w:rFonts w:cs="Calibri"/>
          <w:szCs w:val="20"/>
        </w:rPr>
        <w:t xml:space="preserve"> w </w:t>
      </w:r>
      <w:r w:rsidRPr="00404DA5">
        <w:rPr>
          <w:rFonts w:cs="Calibri"/>
          <w:szCs w:val="20"/>
        </w:rPr>
        <w:t xml:space="preserve">diagnozie społeczno-gospodarczej dotyczącej </w:t>
      </w:r>
      <w:r w:rsidRPr="00C22C26">
        <w:rPr>
          <w:rFonts w:cs="Calibri"/>
          <w:szCs w:val="20"/>
        </w:rPr>
        <w:t>niskiej emisji</w:t>
      </w:r>
      <w:r w:rsidR="00E66B89">
        <w:rPr>
          <w:rFonts w:cs="Calibri"/>
          <w:szCs w:val="20"/>
        </w:rPr>
        <w:t xml:space="preserve"> w </w:t>
      </w:r>
      <w:r w:rsidRPr="00404DA5">
        <w:rPr>
          <w:rFonts w:cs="Calibri"/>
          <w:szCs w:val="20"/>
        </w:rPr>
        <w:t>województwie zachodniopomorskim nie może zabraknąć informacji</w:t>
      </w:r>
      <w:r w:rsidR="00E66B89">
        <w:rPr>
          <w:rFonts w:cs="Calibri"/>
          <w:szCs w:val="20"/>
        </w:rPr>
        <w:t xml:space="preserve"> o </w:t>
      </w:r>
      <w:r w:rsidRPr="00404DA5">
        <w:rPr>
          <w:rFonts w:cs="Calibri"/>
          <w:szCs w:val="20"/>
        </w:rPr>
        <w:t>rosnącej</w:t>
      </w:r>
      <w:r w:rsidR="00E66B89">
        <w:rPr>
          <w:rFonts w:cs="Calibri"/>
          <w:szCs w:val="20"/>
        </w:rPr>
        <w:t xml:space="preserve"> z </w:t>
      </w:r>
      <w:r w:rsidRPr="00404DA5">
        <w:rPr>
          <w:rFonts w:cs="Calibri"/>
          <w:szCs w:val="20"/>
        </w:rPr>
        <w:t>roku na roku liczbie pojazdów (bezpośrednia emisja, wtórny wznos zanieczyszczeń). Warto</w:t>
      </w:r>
      <w:r w:rsidR="00E66B89">
        <w:rPr>
          <w:rFonts w:cs="Calibri"/>
          <w:szCs w:val="20"/>
        </w:rPr>
        <w:t xml:space="preserve"> w </w:t>
      </w:r>
      <w:r w:rsidRPr="00404DA5">
        <w:rPr>
          <w:rFonts w:cs="Calibri"/>
          <w:szCs w:val="20"/>
        </w:rPr>
        <w:t>tym miejscu także wspomnieć</w:t>
      </w:r>
      <w:r w:rsidR="00E66B89">
        <w:rPr>
          <w:rFonts w:cs="Calibri"/>
          <w:szCs w:val="20"/>
        </w:rPr>
        <w:t xml:space="preserve"> o </w:t>
      </w:r>
      <w:r w:rsidRPr="00404DA5">
        <w:rPr>
          <w:rFonts w:cs="Calibri"/>
          <w:szCs w:val="20"/>
        </w:rPr>
        <w:t>strukturze wiekowej pojazdów.</w:t>
      </w:r>
      <w:r w:rsidR="00E66B89">
        <w:rPr>
          <w:rFonts w:cs="Calibri"/>
          <w:szCs w:val="20"/>
        </w:rPr>
        <w:t xml:space="preserve"> I </w:t>
      </w:r>
      <w:r w:rsidRPr="00404DA5">
        <w:rPr>
          <w:rFonts w:cs="Calibri"/>
          <w:szCs w:val="20"/>
        </w:rPr>
        <w:t>tak</w:t>
      </w:r>
      <w:r w:rsidR="00E66B89">
        <w:rPr>
          <w:rFonts w:cs="Calibri"/>
          <w:szCs w:val="20"/>
        </w:rPr>
        <w:t xml:space="preserve"> w </w:t>
      </w:r>
      <w:r w:rsidRPr="00404DA5">
        <w:rPr>
          <w:rFonts w:cs="Calibri"/>
          <w:szCs w:val="20"/>
        </w:rPr>
        <w:t>latach 2016 - 2017 samochody osobowe</w:t>
      </w:r>
      <w:r w:rsidR="00E66B89">
        <w:rPr>
          <w:rFonts w:cs="Calibri"/>
          <w:szCs w:val="20"/>
        </w:rPr>
        <w:t xml:space="preserve"> w </w:t>
      </w:r>
      <w:r w:rsidRPr="00404DA5">
        <w:rPr>
          <w:rFonts w:cs="Calibri"/>
          <w:szCs w:val="20"/>
        </w:rPr>
        <w:t>wieku 10 lat</w:t>
      </w:r>
      <w:r w:rsidR="00E66B89">
        <w:rPr>
          <w:rFonts w:cs="Calibri"/>
          <w:szCs w:val="20"/>
        </w:rPr>
        <w:t xml:space="preserve"> i </w:t>
      </w:r>
      <w:r w:rsidRPr="00404DA5">
        <w:rPr>
          <w:rFonts w:cs="Calibri"/>
          <w:szCs w:val="20"/>
        </w:rPr>
        <w:t>starsz</w:t>
      </w:r>
      <w:r>
        <w:rPr>
          <w:rFonts w:cs="Calibri"/>
          <w:szCs w:val="20"/>
        </w:rPr>
        <w:t>e</w:t>
      </w:r>
      <w:r w:rsidRPr="00404DA5">
        <w:rPr>
          <w:rFonts w:cs="Calibri"/>
          <w:szCs w:val="20"/>
        </w:rPr>
        <w:t xml:space="preserve"> (tj.</w:t>
      </w:r>
      <w:r w:rsidR="00E66B89">
        <w:rPr>
          <w:rFonts w:cs="Calibri"/>
          <w:szCs w:val="20"/>
        </w:rPr>
        <w:t xml:space="preserve"> o </w:t>
      </w:r>
      <w:r w:rsidRPr="00404DA5">
        <w:rPr>
          <w:rFonts w:cs="Calibri"/>
          <w:szCs w:val="20"/>
        </w:rPr>
        <w:t>niskich normach emisji) stanowił</w:t>
      </w:r>
      <w:r>
        <w:rPr>
          <w:rFonts w:cs="Calibri"/>
          <w:szCs w:val="20"/>
        </w:rPr>
        <w:t>y</w:t>
      </w:r>
      <w:r w:rsidRPr="00404DA5">
        <w:rPr>
          <w:rFonts w:cs="Calibri"/>
          <w:szCs w:val="20"/>
        </w:rPr>
        <w:t xml:space="preserve"> bardzo duży udział</w:t>
      </w:r>
      <w:r w:rsidR="00E66B89">
        <w:rPr>
          <w:rFonts w:cs="Calibri"/>
          <w:szCs w:val="20"/>
        </w:rPr>
        <w:t xml:space="preserve"> w </w:t>
      </w:r>
      <w:r w:rsidRPr="00404DA5">
        <w:rPr>
          <w:rFonts w:cs="Calibri"/>
          <w:szCs w:val="20"/>
        </w:rPr>
        <w:t>strukturze wiekowej pojazdów – co jest zresztą zjawiskiem obserwowanym dość powszechnie także</w:t>
      </w:r>
      <w:r w:rsidR="00E66B89">
        <w:rPr>
          <w:rFonts w:cs="Calibri"/>
          <w:szCs w:val="20"/>
        </w:rPr>
        <w:t xml:space="preserve"> w </w:t>
      </w:r>
      <w:r w:rsidRPr="00404DA5">
        <w:rPr>
          <w:rFonts w:cs="Calibri"/>
          <w:szCs w:val="20"/>
        </w:rPr>
        <w:t>innych regionach (brak jest danych za lata wcześniejsze). Działania zmierzające do ograniczenia niskiej emisji</w:t>
      </w:r>
      <w:r w:rsidR="00E66B89">
        <w:rPr>
          <w:rFonts w:cs="Calibri"/>
          <w:szCs w:val="20"/>
        </w:rPr>
        <w:t xml:space="preserve"> w </w:t>
      </w:r>
      <w:r w:rsidRPr="00404DA5">
        <w:rPr>
          <w:rFonts w:cs="Calibri"/>
          <w:szCs w:val="20"/>
        </w:rPr>
        <w:t>tym zakresie przewidziane został</w:t>
      </w:r>
      <w:r>
        <w:rPr>
          <w:rFonts w:cs="Calibri"/>
          <w:szCs w:val="20"/>
        </w:rPr>
        <w:t>y</w:t>
      </w:r>
      <w:r w:rsidRPr="00404DA5">
        <w:rPr>
          <w:rFonts w:cs="Calibri"/>
          <w:szCs w:val="20"/>
        </w:rPr>
        <w:t xml:space="preserve"> m.in.</w:t>
      </w:r>
      <w:r w:rsidR="00E66B89">
        <w:rPr>
          <w:rFonts w:cs="Calibri"/>
          <w:szCs w:val="20"/>
        </w:rPr>
        <w:t xml:space="preserve"> w </w:t>
      </w:r>
      <w:r w:rsidRPr="00404DA5">
        <w:rPr>
          <w:rFonts w:cs="Calibri"/>
          <w:szCs w:val="20"/>
        </w:rPr>
        <w:t>ramach wsparcia sektora transportu</w:t>
      </w:r>
      <w:r w:rsidR="00E66B89">
        <w:rPr>
          <w:rFonts w:cs="Calibri"/>
          <w:szCs w:val="20"/>
        </w:rPr>
        <w:t xml:space="preserve"> w </w:t>
      </w:r>
      <w:r w:rsidRPr="00404DA5">
        <w:rPr>
          <w:rFonts w:cs="Calibri"/>
          <w:szCs w:val="20"/>
        </w:rPr>
        <w:t>innych PI RPO WZ 2014-2020 (transport drogowy, kolejowy, publiczny – budowa obwodnic, upłynnianie ruchu, zakup taboru).</w:t>
      </w:r>
    </w:p>
    <w:p w14:paraId="5BAF0C59" w14:textId="77777777" w:rsidR="00EA33DF" w:rsidRPr="00436D27" w:rsidRDefault="00EA33DF" w:rsidP="00EA33DF">
      <w:pPr>
        <w:pStyle w:val="Nagwek3"/>
      </w:pPr>
      <w:r w:rsidRPr="00436D27">
        <w:t>Realizacja Ram Wykonania</w:t>
      </w:r>
      <w:r w:rsidR="00E66B89">
        <w:t xml:space="preserve"> w </w:t>
      </w:r>
      <w:r w:rsidRPr="00436D27">
        <w:t>OP II</w:t>
      </w:r>
    </w:p>
    <w:p w14:paraId="6579977C" w14:textId="77777777" w:rsidR="00EA33DF" w:rsidRPr="00404DA5" w:rsidRDefault="00EA33DF" w:rsidP="00EA33DF">
      <w:pPr>
        <w:rPr>
          <w:rFonts w:cs="Calibri"/>
          <w:szCs w:val="20"/>
        </w:rPr>
      </w:pPr>
      <w:r w:rsidRPr="00404DA5">
        <w:rPr>
          <w:rFonts w:cs="Calibri"/>
          <w:szCs w:val="20"/>
        </w:rPr>
        <w:t xml:space="preserve">Wskaźniki Ram Wykonania dla OP II, ustanowione na koniec 2018 r., zostały osiągnięte. Wskaźnik postępu finansowego </w:t>
      </w:r>
      <w:r w:rsidRPr="00404DA5">
        <w:rPr>
          <w:rFonts w:cs="Calibri"/>
          <w:i/>
          <w:szCs w:val="20"/>
        </w:rPr>
        <w:t>Całkowita kwota certyfikowanych wydatków kwalifikowalnych</w:t>
      </w:r>
      <w:r w:rsidRPr="00404DA5">
        <w:rPr>
          <w:rFonts w:cs="Calibri"/>
          <w:szCs w:val="20"/>
        </w:rPr>
        <w:t xml:space="preserve"> zrealizowano na poziomie 124,1%, co wobec wartości osiągniętych</w:t>
      </w:r>
      <w:r w:rsidR="00E66B89">
        <w:rPr>
          <w:rFonts w:cs="Calibri"/>
          <w:szCs w:val="20"/>
        </w:rPr>
        <w:t xml:space="preserve"> w </w:t>
      </w:r>
      <w:r w:rsidRPr="00404DA5">
        <w:rPr>
          <w:rFonts w:cs="Calibri"/>
          <w:szCs w:val="20"/>
        </w:rPr>
        <w:t>przypadku wskaźników postępu rzeczowego, wskazuje na korzystną proporcję poniesionych nakładów wobec osiągniętych efektów. Należy pamiętać, że wartość wskaźnika F01. Całkowita kwota certyfikowanych wydatków kwalifikowalnych</w:t>
      </w:r>
      <w:r w:rsidR="00E66B89">
        <w:rPr>
          <w:rFonts w:cs="Calibri"/>
          <w:szCs w:val="20"/>
        </w:rPr>
        <w:t xml:space="preserve"> w </w:t>
      </w:r>
      <w:r w:rsidRPr="00404DA5">
        <w:rPr>
          <w:rFonts w:cs="Calibri"/>
          <w:szCs w:val="20"/>
        </w:rPr>
        <w:t>ramach OP II uległa obniżeniu</w:t>
      </w:r>
      <w:r w:rsidR="00E66B89">
        <w:rPr>
          <w:rFonts w:cs="Calibri"/>
          <w:szCs w:val="20"/>
        </w:rPr>
        <w:t xml:space="preserve"> o </w:t>
      </w:r>
      <w:r w:rsidRPr="00404DA5">
        <w:rPr>
          <w:rFonts w:cs="Calibri"/>
          <w:szCs w:val="20"/>
        </w:rPr>
        <w:t>11,83%, tj. 4 620 421 euro</w:t>
      </w:r>
      <w:r w:rsidR="00E66B89">
        <w:rPr>
          <w:rFonts w:cs="Calibri"/>
          <w:szCs w:val="20"/>
        </w:rPr>
        <w:t xml:space="preserve"> w </w:t>
      </w:r>
      <w:r w:rsidRPr="00404DA5">
        <w:rPr>
          <w:rFonts w:cs="Calibri"/>
          <w:szCs w:val="20"/>
        </w:rPr>
        <w:t>stosunku do 39 066 895 euro zapisanej pierwotnie</w:t>
      </w:r>
      <w:r w:rsidR="00E66B89">
        <w:rPr>
          <w:rFonts w:cs="Calibri"/>
          <w:szCs w:val="20"/>
        </w:rPr>
        <w:t xml:space="preserve"> w </w:t>
      </w:r>
      <w:r w:rsidRPr="00404DA5">
        <w:rPr>
          <w:rFonts w:cs="Calibri"/>
          <w:szCs w:val="20"/>
        </w:rPr>
        <w:t>Programie</w:t>
      </w:r>
      <w:r w:rsidRPr="00404DA5">
        <w:rPr>
          <w:rStyle w:val="Odwoanieprzypisudolnego"/>
          <w:rFonts w:cs="Calibri"/>
          <w:szCs w:val="20"/>
        </w:rPr>
        <w:footnoteReference w:id="24"/>
      </w:r>
      <w:r w:rsidRPr="00404DA5">
        <w:rPr>
          <w:rFonts w:cs="Calibri"/>
          <w:szCs w:val="20"/>
        </w:rPr>
        <w:t>, co wynikało</w:t>
      </w:r>
      <w:r w:rsidR="00E66B89">
        <w:rPr>
          <w:rFonts w:cs="Calibri"/>
          <w:szCs w:val="20"/>
        </w:rPr>
        <w:t xml:space="preserve"> z </w:t>
      </w:r>
      <w:r w:rsidRPr="00404DA5">
        <w:rPr>
          <w:rFonts w:cs="Calibri"/>
          <w:szCs w:val="20"/>
        </w:rPr>
        <w:t>nierównej pierwotnej dystrybucji</w:t>
      </w:r>
      <w:r w:rsidR="00E66B89">
        <w:rPr>
          <w:rFonts w:cs="Calibri"/>
          <w:szCs w:val="20"/>
        </w:rPr>
        <w:t xml:space="preserve"> i </w:t>
      </w:r>
      <w:r w:rsidRPr="00404DA5">
        <w:rPr>
          <w:rFonts w:cs="Calibri"/>
          <w:szCs w:val="20"/>
        </w:rPr>
        <w:t>braku uzasadnienia dla przypisania każdej osi priorytetowej proporcjonalnej części omówionego wskaźnika.</w:t>
      </w:r>
    </w:p>
    <w:p w14:paraId="04B55222" w14:textId="77777777" w:rsidR="00EA33DF" w:rsidRPr="00404DA5" w:rsidRDefault="00EA33DF" w:rsidP="00EA33DF">
      <w:pPr>
        <w:rPr>
          <w:rFonts w:cs="Calibri"/>
          <w:szCs w:val="20"/>
        </w:rPr>
      </w:pPr>
      <w:r w:rsidRPr="00404DA5">
        <w:rPr>
          <w:rFonts w:cs="Calibri"/>
          <w:szCs w:val="20"/>
        </w:rPr>
        <w:t>Jeśli chodzi</w:t>
      </w:r>
      <w:r w:rsidR="00E66B89">
        <w:rPr>
          <w:rFonts w:cs="Calibri"/>
          <w:szCs w:val="20"/>
        </w:rPr>
        <w:t xml:space="preserve"> o </w:t>
      </w:r>
      <w:r w:rsidRPr="00404DA5">
        <w:rPr>
          <w:rFonts w:cs="Calibri"/>
          <w:szCs w:val="20"/>
        </w:rPr>
        <w:t xml:space="preserve">wskaźnik </w:t>
      </w:r>
      <w:r w:rsidRPr="00404DA5">
        <w:rPr>
          <w:rFonts w:cs="Calibri"/>
          <w:i/>
          <w:szCs w:val="20"/>
        </w:rPr>
        <w:t>Liczba zmodernizowanych energetycznie budynków</w:t>
      </w:r>
      <w:r w:rsidRPr="00404DA5">
        <w:rPr>
          <w:rFonts w:cs="Calibri"/>
          <w:szCs w:val="20"/>
        </w:rPr>
        <w:t>, cel osiągnięto</w:t>
      </w:r>
      <w:r w:rsidR="00E66B89">
        <w:rPr>
          <w:rFonts w:cs="Calibri"/>
          <w:szCs w:val="20"/>
        </w:rPr>
        <w:t xml:space="preserve"> z </w:t>
      </w:r>
      <w:r w:rsidRPr="00404DA5">
        <w:rPr>
          <w:rFonts w:cs="Calibri"/>
          <w:szCs w:val="20"/>
        </w:rPr>
        <w:t>nadwyżką – 130,8%. Wobec poziomu jego realizacji zadeklarowanego</w:t>
      </w:r>
      <w:r w:rsidR="00E66B89">
        <w:rPr>
          <w:rFonts w:cs="Calibri"/>
          <w:szCs w:val="20"/>
        </w:rPr>
        <w:t xml:space="preserve"> w </w:t>
      </w:r>
      <w:r w:rsidRPr="00404DA5">
        <w:rPr>
          <w:rFonts w:cs="Calibri"/>
          <w:szCs w:val="20"/>
        </w:rPr>
        <w:t>zakontraktowanych umowach</w:t>
      </w:r>
      <w:r w:rsidR="00E66B89">
        <w:rPr>
          <w:rFonts w:cs="Calibri"/>
          <w:szCs w:val="20"/>
        </w:rPr>
        <w:t xml:space="preserve"> o </w:t>
      </w:r>
      <w:r w:rsidRPr="00404DA5">
        <w:rPr>
          <w:rFonts w:cs="Calibri"/>
          <w:szCs w:val="20"/>
        </w:rPr>
        <w:t>dofinansowanie (w wysokości 170,6%), nie przewiduje się zagrożenia dla wykonania wartości docelowej</w:t>
      </w:r>
      <w:r w:rsidR="00E66B89">
        <w:rPr>
          <w:rFonts w:cs="Calibri"/>
          <w:szCs w:val="20"/>
        </w:rPr>
        <w:t xml:space="preserve"> w </w:t>
      </w:r>
      <w:r w:rsidRPr="00404DA5">
        <w:rPr>
          <w:rFonts w:cs="Calibri"/>
          <w:szCs w:val="20"/>
        </w:rPr>
        <w:t>roku 2023.</w:t>
      </w:r>
    </w:p>
    <w:p w14:paraId="3B1C8CE9" w14:textId="77777777" w:rsidR="00EA33DF" w:rsidRPr="00404DA5" w:rsidRDefault="00EA33DF" w:rsidP="00EA33DF">
      <w:pPr>
        <w:rPr>
          <w:rFonts w:cs="Calibri"/>
          <w:szCs w:val="20"/>
        </w:rPr>
      </w:pPr>
      <w:r w:rsidRPr="00404DA5">
        <w:rPr>
          <w:rFonts w:cs="Calibri"/>
          <w:szCs w:val="20"/>
        </w:rPr>
        <w:t xml:space="preserve">Wskaźnik </w:t>
      </w:r>
      <w:r w:rsidRPr="00404DA5">
        <w:rPr>
          <w:rFonts w:cs="Calibri"/>
          <w:i/>
          <w:szCs w:val="20"/>
        </w:rPr>
        <w:t>Liczba zakupionych lub zmodernizowanych jednostek taboru pasażerskiego</w:t>
      </w:r>
      <w:r w:rsidR="00E66B89">
        <w:rPr>
          <w:rFonts w:cs="Calibri"/>
          <w:i/>
          <w:szCs w:val="20"/>
        </w:rPr>
        <w:t xml:space="preserve"> w </w:t>
      </w:r>
      <w:r w:rsidRPr="00404DA5">
        <w:rPr>
          <w:rFonts w:cs="Calibri"/>
          <w:i/>
          <w:szCs w:val="20"/>
        </w:rPr>
        <w:t>publicznym transporcie zbiorowym komunikacji miejskiej</w:t>
      </w:r>
      <w:r w:rsidRPr="00404DA5">
        <w:rPr>
          <w:rFonts w:cs="Calibri"/>
          <w:szCs w:val="20"/>
        </w:rPr>
        <w:t xml:space="preserve"> udało się osiągnąć ze znaczną nadwyżką (350% zakładanej wartości</w:t>
      </w:r>
      <w:r>
        <w:rPr>
          <w:rFonts w:cs="Calibri"/>
          <w:szCs w:val="20"/>
        </w:rPr>
        <w:t xml:space="preserve"> pośredniej</w:t>
      </w:r>
      <w:r w:rsidRPr="00404DA5">
        <w:rPr>
          <w:rFonts w:cs="Calibri"/>
          <w:szCs w:val="20"/>
        </w:rPr>
        <w:t>). Złożone wnioski</w:t>
      </w:r>
      <w:r w:rsidR="00E66B89">
        <w:rPr>
          <w:rFonts w:cs="Calibri"/>
          <w:szCs w:val="20"/>
        </w:rPr>
        <w:t xml:space="preserve"> o </w:t>
      </w:r>
      <w:r w:rsidRPr="00404DA5">
        <w:rPr>
          <w:rFonts w:cs="Calibri"/>
          <w:szCs w:val="20"/>
        </w:rPr>
        <w:t>płatność zabezpieczają wykonanie wartości docelowej</w:t>
      </w:r>
      <w:r w:rsidR="00E66B89">
        <w:rPr>
          <w:rFonts w:cs="Calibri"/>
          <w:szCs w:val="20"/>
        </w:rPr>
        <w:t xml:space="preserve"> w </w:t>
      </w:r>
      <w:r w:rsidRPr="00404DA5">
        <w:rPr>
          <w:rFonts w:cs="Calibri"/>
          <w:szCs w:val="20"/>
        </w:rPr>
        <w:t>66,7%,</w:t>
      </w:r>
      <w:r w:rsidR="00E66B89">
        <w:rPr>
          <w:rFonts w:cs="Calibri"/>
          <w:szCs w:val="20"/>
        </w:rPr>
        <w:t xml:space="preserve"> a </w:t>
      </w:r>
      <w:r w:rsidRPr="00404DA5">
        <w:rPr>
          <w:rFonts w:cs="Calibri"/>
          <w:szCs w:val="20"/>
        </w:rPr>
        <w:t>podpisane umowy</w:t>
      </w:r>
      <w:r w:rsidR="00E66B89">
        <w:rPr>
          <w:rFonts w:cs="Calibri"/>
          <w:szCs w:val="20"/>
        </w:rPr>
        <w:t xml:space="preserve"> o </w:t>
      </w:r>
      <w:r w:rsidRPr="00404DA5">
        <w:rPr>
          <w:rFonts w:cs="Calibri"/>
          <w:szCs w:val="20"/>
        </w:rPr>
        <w:t>dofinansowanie wskazują, że omawiany wskaźnik zostanie osiągnięty na poziomie 151,2%.</w:t>
      </w:r>
    </w:p>
    <w:p w14:paraId="5156A714" w14:textId="77777777" w:rsidR="00EA33DF" w:rsidRPr="00404DA5" w:rsidRDefault="00EA33DF" w:rsidP="00EA33DF">
      <w:pPr>
        <w:rPr>
          <w:rFonts w:cs="Calibri"/>
          <w:szCs w:val="20"/>
        </w:rPr>
      </w:pPr>
      <w:r w:rsidRPr="00404DA5">
        <w:rPr>
          <w:rFonts w:cs="Calibri"/>
          <w:szCs w:val="20"/>
        </w:rPr>
        <w:lastRenderedPageBreak/>
        <w:t xml:space="preserve">Znacznie przekroczony został także cel pośredni dla wskaźnika </w:t>
      </w:r>
      <w:r w:rsidRPr="00404DA5">
        <w:rPr>
          <w:rFonts w:cs="Calibri"/>
          <w:i/>
          <w:szCs w:val="20"/>
        </w:rPr>
        <w:t>Liczba jednostek wytwarzania energii elektrycznej</w:t>
      </w:r>
      <w:r w:rsidR="00E66B89">
        <w:rPr>
          <w:rFonts w:cs="Calibri"/>
          <w:i/>
          <w:szCs w:val="20"/>
        </w:rPr>
        <w:t xml:space="preserve"> z </w:t>
      </w:r>
      <w:r w:rsidRPr="00404DA5">
        <w:rPr>
          <w:rFonts w:cs="Calibri"/>
          <w:i/>
          <w:szCs w:val="20"/>
        </w:rPr>
        <w:t>OZE</w:t>
      </w:r>
      <w:r w:rsidRPr="00404DA5">
        <w:rPr>
          <w:rFonts w:cs="Calibri"/>
          <w:szCs w:val="20"/>
        </w:rPr>
        <w:t xml:space="preserve"> (414,3%).</w:t>
      </w:r>
      <w:r w:rsidR="00E66B89">
        <w:rPr>
          <w:rFonts w:cs="Calibri"/>
          <w:szCs w:val="20"/>
        </w:rPr>
        <w:t xml:space="preserve"> W </w:t>
      </w:r>
      <w:r w:rsidRPr="00404DA5">
        <w:rPr>
          <w:rFonts w:cs="Calibri"/>
          <w:szCs w:val="20"/>
        </w:rPr>
        <w:t>przypadku tego wskaźnika zwraca uwagę bardzo wysoki poziom wykonania wartości docelowej odnotowany</w:t>
      </w:r>
      <w:r w:rsidR="00E66B89">
        <w:rPr>
          <w:rFonts w:cs="Calibri"/>
          <w:szCs w:val="20"/>
        </w:rPr>
        <w:t xml:space="preserve"> w </w:t>
      </w:r>
      <w:r w:rsidRPr="00404DA5">
        <w:rPr>
          <w:rFonts w:cs="Calibri"/>
          <w:szCs w:val="20"/>
        </w:rPr>
        <w:t>złożonych wnioskach</w:t>
      </w:r>
      <w:r w:rsidR="00E66B89">
        <w:rPr>
          <w:rFonts w:cs="Calibri"/>
          <w:szCs w:val="20"/>
        </w:rPr>
        <w:t xml:space="preserve"> o </w:t>
      </w:r>
      <w:r w:rsidRPr="00404DA5">
        <w:rPr>
          <w:rFonts w:cs="Calibri"/>
          <w:szCs w:val="20"/>
        </w:rPr>
        <w:t>płatność – aż 79,1%.</w:t>
      </w:r>
      <w:r w:rsidR="00E66B89">
        <w:rPr>
          <w:rFonts w:cs="Calibri"/>
          <w:szCs w:val="20"/>
        </w:rPr>
        <w:t xml:space="preserve"> Z </w:t>
      </w:r>
      <w:r w:rsidRPr="00404DA5">
        <w:rPr>
          <w:rFonts w:cs="Calibri"/>
          <w:szCs w:val="20"/>
        </w:rPr>
        <w:t>kolei zakontraktowane umowy przyczyniać się będą do osiągnięcia wskaźnika</w:t>
      </w:r>
      <w:r w:rsidR="00E66B89">
        <w:rPr>
          <w:rFonts w:cs="Calibri"/>
          <w:szCs w:val="20"/>
        </w:rPr>
        <w:t xml:space="preserve"> w </w:t>
      </w:r>
      <w:r w:rsidRPr="00404DA5">
        <w:rPr>
          <w:rFonts w:cs="Calibri"/>
          <w:szCs w:val="20"/>
        </w:rPr>
        <w:t>wysokości 974,4%. Tak wyraźne przekroczenie celów na rok 2023 ma swoje uzasadnienie</w:t>
      </w:r>
      <w:r w:rsidR="00E66B89">
        <w:rPr>
          <w:rFonts w:cs="Calibri"/>
          <w:szCs w:val="20"/>
        </w:rPr>
        <w:t xml:space="preserve"> w </w:t>
      </w:r>
      <w:r w:rsidRPr="00404DA5">
        <w:rPr>
          <w:rFonts w:cs="Calibri"/>
          <w:szCs w:val="20"/>
        </w:rPr>
        <w:t>preferencjach beneficjentów odnośnie typu realizowanych projektów –</w:t>
      </w:r>
      <w:r w:rsidR="00E66B89">
        <w:rPr>
          <w:rFonts w:cs="Calibri"/>
          <w:szCs w:val="20"/>
        </w:rPr>
        <w:t xml:space="preserve"> w </w:t>
      </w:r>
      <w:r w:rsidRPr="00404DA5">
        <w:rPr>
          <w:rFonts w:cs="Calibri"/>
          <w:szCs w:val="20"/>
        </w:rPr>
        <w:t>przeważającym stopniu dotyczą one małych instalacji wykorzystujących energię słoneczną, podczas gdy na etapie programowania zakładano, że wsparcie rozkładać się będzie bardziej równomiernie między różne typy inwestycji,</w:t>
      </w:r>
      <w:r w:rsidR="00E66B89">
        <w:rPr>
          <w:rFonts w:cs="Calibri"/>
          <w:szCs w:val="20"/>
        </w:rPr>
        <w:t xml:space="preserve"> a </w:t>
      </w:r>
      <w:r w:rsidRPr="00404DA5">
        <w:rPr>
          <w:rFonts w:cs="Calibri"/>
          <w:szCs w:val="20"/>
        </w:rPr>
        <w:t>także</w:t>
      </w:r>
      <w:r w:rsidR="00E66B89">
        <w:rPr>
          <w:rFonts w:cs="Calibri"/>
          <w:szCs w:val="20"/>
        </w:rPr>
        <w:t xml:space="preserve"> w </w:t>
      </w:r>
      <w:r w:rsidRPr="00404DA5">
        <w:rPr>
          <w:rFonts w:cs="Calibri"/>
          <w:szCs w:val="20"/>
        </w:rPr>
        <w:t>większym stopniu niż ma to miejsce faktycznie, dofinansowanie uzyskiwać będą elektrownie wiatrowe.</w:t>
      </w:r>
    </w:p>
    <w:p w14:paraId="04547B58" w14:textId="77777777" w:rsidR="00EA33DF" w:rsidRPr="00404DA5" w:rsidRDefault="00EA33DF" w:rsidP="00EA33DF">
      <w:pPr>
        <w:rPr>
          <w:rFonts w:cs="Calibri"/>
          <w:szCs w:val="20"/>
        </w:rPr>
      </w:pPr>
      <w:r w:rsidRPr="00404DA5">
        <w:rPr>
          <w:rFonts w:cs="Calibri"/>
          <w:szCs w:val="20"/>
        </w:rPr>
        <w:t xml:space="preserve">Ostatni wskaźnik wybrany do Ram Wykonania, </w:t>
      </w:r>
      <w:r w:rsidRPr="00404DA5">
        <w:rPr>
          <w:rFonts w:cs="Calibri"/>
          <w:i/>
          <w:szCs w:val="20"/>
        </w:rPr>
        <w:t>Długość ścieżek rowerowych</w:t>
      </w:r>
      <w:r w:rsidRPr="00404DA5">
        <w:rPr>
          <w:rFonts w:cs="Calibri"/>
          <w:szCs w:val="20"/>
        </w:rPr>
        <w:t>, już na etapie śródokresowym osiąga poziom 171,3%</w:t>
      </w:r>
      <w:r w:rsidR="00E66B89">
        <w:rPr>
          <w:rFonts w:cs="Calibri"/>
          <w:szCs w:val="20"/>
        </w:rPr>
        <w:t xml:space="preserve"> w </w:t>
      </w:r>
      <w:r w:rsidRPr="00404DA5">
        <w:rPr>
          <w:rFonts w:cs="Calibri"/>
          <w:szCs w:val="20"/>
        </w:rPr>
        <w:t>zakontraktowanych umowach</w:t>
      </w:r>
      <w:r w:rsidR="00E66B89">
        <w:rPr>
          <w:rFonts w:cs="Calibri"/>
          <w:szCs w:val="20"/>
        </w:rPr>
        <w:t xml:space="preserve"> o </w:t>
      </w:r>
      <w:r w:rsidRPr="00404DA5">
        <w:rPr>
          <w:rFonts w:cs="Calibri"/>
          <w:szCs w:val="20"/>
        </w:rPr>
        <w:t>dofinansowanie. Cel na koniec 2018 roku również został zrealizowany znacznie powyżej zakładanego poziomu</w:t>
      </w:r>
      <w:r w:rsidR="00E66B89">
        <w:rPr>
          <w:rFonts w:cs="Calibri"/>
          <w:szCs w:val="20"/>
        </w:rPr>
        <w:t xml:space="preserve"> i </w:t>
      </w:r>
      <w:r w:rsidRPr="00404DA5">
        <w:rPr>
          <w:rFonts w:cs="Calibri"/>
          <w:szCs w:val="20"/>
        </w:rPr>
        <w:t>osiągnął 465,5%. Ustanowiony dla tego wskaźnika KEW również udało się wykonać</w:t>
      </w:r>
      <w:r w:rsidR="00E66B89">
        <w:rPr>
          <w:rFonts w:cs="Calibri"/>
          <w:szCs w:val="20"/>
        </w:rPr>
        <w:t xml:space="preserve"> z </w:t>
      </w:r>
      <w:r w:rsidRPr="00404DA5">
        <w:rPr>
          <w:rFonts w:cs="Calibri"/>
          <w:szCs w:val="20"/>
        </w:rPr>
        <w:t>nadwyżką.</w:t>
      </w:r>
    </w:p>
    <w:p w14:paraId="17694068" w14:textId="77777777" w:rsidR="00EA33DF" w:rsidRPr="00404DA5" w:rsidRDefault="00EA33DF" w:rsidP="006E34DC">
      <w:pPr>
        <w:pStyle w:val="Legenda"/>
        <w:spacing w:after="0"/>
      </w:pPr>
      <w:bookmarkStart w:id="72" w:name="_Toc8824130"/>
      <w:r w:rsidRPr="00404DA5">
        <w:t xml:space="preserve">Tabela </w:t>
      </w:r>
      <w:r>
        <w:fldChar w:fldCharType="begin"/>
      </w:r>
      <w:r>
        <w:instrText xml:space="preserve"> SEQ Tabela \* ARABIC </w:instrText>
      </w:r>
      <w:r>
        <w:fldChar w:fldCharType="separate"/>
      </w:r>
      <w:r w:rsidR="00763345">
        <w:rPr>
          <w:noProof/>
        </w:rPr>
        <w:t>19</w:t>
      </w:r>
      <w:r>
        <w:fldChar w:fldCharType="end"/>
      </w:r>
      <w:r w:rsidRPr="00404DA5">
        <w:t xml:space="preserve"> Wskaźniki wybrane do Ram Wykonania – stopień osiągnięcia wartości pośrednich</w:t>
      </w:r>
      <w:r w:rsidR="00E66B89">
        <w:t xml:space="preserve"> i </w:t>
      </w:r>
      <w:r w:rsidRPr="00404DA5">
        <w:t>docelowych – OP II Gospodarka niskoemisyjna</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017"/>
        <w:gridCol w:w="1434"/>
        <w:gridCol w:w="851"/>
        <w:gridCol w:w="1060"/>
        <w:gridCol w:w="762"/>
        <w:gridCol w:w="993"/>
        <w:gridCol w:w="820"/>
        <w:gridCol w:w="859"/>
        <w:gridCol w:w="859"/>
      </w:tblGrid>
      <w:tr w:rsidR="00C22C26" w:rsidRPr="00FE43CD" w14:paraId="5F3CA514" w14:textId="77777777" w:rsidTr="00991242">
        <w:trPr>
          <w:trHeight w:val="1025"/>
          <w:tblHeader/>
        </w:trPr>
        <w:tc>
          <w:tcPr>
            <w:tcW w:w="0" w:type="auto"/>
            <w:shd w:val="clear" w:color="auto" w:fill="DBE5F1"/>
            <w:vAlign w:val="center"/>
          </w:tcPr>
          <w:p w14:paraId="3BD89792" w14:textId="77777777" w:rsidR="00EA33DF" w:rsidRPr="00404DA5" w:rsidRDefault="00EA33DF" w:rsidP="00BA3B1C">
            <w:pPr>
              <w:keepNext/>
              <w:spacing w:line="276" w:lineRule="auto"/>
              <w:jc w:val="center"/>
              <w:rPr>
                <w:rFonts w:cs="Calibri"/>
                <w:sz w:val="18"/>
                <w:szCs w:val="18"/>
              </w:rPr>
            </w:pPr>
            <w:bookmarkStart w:id="73" w:name="_Hlk2976305"/>
            <w:r w:rsidRPr="00404DA5">
              <w:rPr>
                <w:rFonts w:cs="Calibri"/>
                <w:sz w:val="18"/>
                <w:szCs w:val="18"/>
              </w:rPr>
              <w:t>PI</w:t>
            </w:r>
          </w:p>
        </w:tc>
        <w:tc>
          <w:tcPr>
            <w:tcW w:w="0" w:type="auto"/>
            <w:shd w:val="clear" w:color="auto" w:fill="DBE5F1"/>
            <w:vAlign w:val="center"/>
          </w:tcPr>
          <w:p w14:paraId="7F3B81F2"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28F50CD0"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Wskaźnik lub KEW</w:t>
            </w:r>
          </w:p>
        </w:tc>
        <w:tc>
          <w:tcPr>
            <w:tcW w:w="0" w:type="auto"/>
            <w:shd w:val="clear" w:color="auto" w:fill="DBE5F1"/>
            <w:vAlign w:val="center"/>
          </w:tcPr>
          <w:p w14:paraId="5BF9509E"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Jednostka pomiaru</w:t>
            </w:r>
          </w:p>
        </w:tc>
        <w:tc>
          <w:tcPr>
            <w:tcW w:w="0" w:type="auto"/>
            <w:shd w:val="clear" w:color="auto" w:fill="DBE5F1"/>
            <w:vAlign w:val="center"/>
          </w:tcPr>
          <w:p w14:paraId="06969B10" w14:textId="77777777" w:rsidR="00EA33DF" w:rsidRPr="00404DA5" w:rsidRDefault="00EA33DF" w:rsidP="00BA3B1C">
            <w:pPr>
              <w:keepNext/>
              <w:spacing w:line="276" w:lineRule="auto"/>
              <w:jc w:val="center"/>
              <w:rPr>
                <w:rFonts w:cs="Calibri"/>
                <w:sz w:val="18"/>
                <w:szCs w:val="18"/>
              </w:rPr>
            </w:pPr>
            <w:r w:rsidRPr="00CE4130">
              <w:rPr>
                <w:rFonts w:cs="Calibri"/>
                <w:sz w:val="18"/>
                <w:szCs w:val="18"/>
              </w:rPr>
              <w:t>Wartość kumulatywna</w:t>
            </w:r>
          </w:p>
        </w:tc>
        <w:tc>
          <w:tcPr>
            <w:tcW w:w="0" w:type="auto"/>
            <w:shd w:val="clear" w:color="auto" w:fill="DBE5F1"/>
            <w:vAlign w:val="center"/>
          </w:tcPr>
          <w:p w14:paraId="5AC76A3C"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Cel pośredni na 2018 r.</w:t>
            </w:r>
          </w:p>
        </w:tc>
        <w:tc>
          <w:tcPr>
            <w:tcW w:w="0" w:type="auto"/>
            <w:shd w:val="clear" w:color="auto" w:fill="DBE5F1"/>
            <w:vAlign w:val="center"/>
          </w:tcPr>
          <w:p w14:paraId="2F436D32"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 realizacji celu pośredniego</w:t>
            </w:r>
          </w:p>
        </w:tc>
        <w:tc>
          <w:tcPr>
            <w:tcW w:w="0" w:type="auto"/>
            <w:shd w:val="clear" w:color="auto" w:fill="DBE5F1"/>
            <w:vAlign w:val="center"/>
          </w:tcPr>
          <w:p w14:paraId="48C0D222"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Wartość docelowa na koniec 2023 r.</w:t>
            </w:r>
          </w:p>
        </w:tc>
        <w:tc>
          <w:tcPr>
            <w:tcW w:w="0" w:type="auto"/>
            <w:shd w:val="clear" w:color="auto" w:fill="DBE5F1"/>
            <w:vAlign w:val="center"/>
          </w:tcPr>
          <w:p w14:paraId="284A3A52"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 xml:space="preserve">% realizacji wartości docelowej </w:t>
            </w:r>
            <w:r w:rsidRPr="00404DA5">
              <w:rPr>
                <w:rFonts w:cs="Calibri"/>
                <w:b/>
                <w:sz w:val="18"/>
                <w:szCs w:val="18"/>
              </w:rPr>
              <w:t>wg WoP</w:t>
            </w:r>
          </w:p>
        </w:tc>
        <w:tc>
          <w:tcPr>
            <w:tcW w:w="0" w:type="auto"/>
            <w:shd w:val="clear" w:color="auto" w:fill="DBE5F1"/>
            <w:vAlign w:val="center"/>
          </w:tcPr>
          <w:p w14:paraId="42AC18B5"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 xml:space="preserve">% realizacji wartości docelowej </w:t>
            </w:r>
            <w:r w:rsidRPr="00404DA5">
              <w:rPr>
                <w:rFonts w:cs="Calibri"/>
                <w:b/>
                <w:sz w:val="18"/>
                <w:szCs w:val="18"/>
              </w:rPr>
              <w:t>wg UoD</w:t>
            </w:r>
          </w:p>
        </w:tc>
      </w:tr>
      <w:tr w:rsidR="00EA33DF" w:rsidRPr="00FE43CD" w14:paraId="3A125FB6" w14:textId="77777777" w:rsidTr="00C22C26">
        <w:trPr>
          <w:trHeight w:val="722"/>
        </w:trPr>
        <w:tc>
          <w:tcPr>
            <w:tcW w:w="0" w:type="auto"/>
            <w:shd w:val="clear" w:color="auto" w:fill="auto"/>
            <w:vAlign w:val="center"/>
          </w:tcPr>
          <w:p w14:paraId="3495DB7D" w14:textId="77777777" w:rsidR="00EA33DF" w:rsidRPr="00404DA5" w:rsidRDefault="00EA33DF" w:rsidP="00BA3B1C">
            <w:pPr>
              <w:spacing w:line="276" w:lineRule="auto"/>
              <w:jc w:val="center"/>
              <w:rPr>
                <w:rFonts w:cs="Calibri"/>
                <w:sz w:val="18"/>
                <w:szCs w:val="18"/>
              </w:rPr>
            </w:pPr>
            <w:r w:rsidRPr="00404DA5">
              <w:rPr>
                <w:rFonts w:cs="Calibri"/>
                <w:sz w:val="18"/>
                <w:szCs w:val="18"/>
              </w:rPr>
              <w:t>4c</w:t>
            </w:r>
          </w:p>
        </w:tc>
        <w:tc>
          <w:tcPr>
            <w:tcW w:w="0" w:type="auto"/>
            <w:shd w:val="clear" w:color="auto" w:fill="auto"/>
            <w:vAlign w:val="center"/>
          </w:tcPr>
          <w:p w14:paraId="74122179" w14:textId="77777777" w:rsidR="00EA33DF" w:rsidRPr="00404DA5" w:rsidRDefault="00EA33DF" w:rsidP="00BA3B1C">
            <w:pPr>
              <w:spacing w:line="276" w:lineRule="auto"/>
              <w:jc w:val="center"/>
              <w:rPr>
                <w:rFonts w:cs="Calibri"/>
                <w:sz w:val="18"/>
                <w:szCs w:val="18"/>
              </w:rPr>
            </w:pPr>
            <w:r w:rsidRPr="00404DA5">
              <w:rPr>
                <w:rFonts w:cs="Calibri"/>
                <w:sz w:val="18"/>
                <w:szCs w:val="18"/>
              </w:rPr>
              <w:t>wskaźnik produktu</w:t>
            </w:r>
          </w:p>
        </w:tc>
        <w:tc>
          <w:tcPr>
            <w:tcW w:w="0" w:type="auto"/>
            <w:shd w:val="clear" w:color="auto" w:fill="auto"/>
            <w:vAlign w:val="center"/>
          </w:tcPr>
          <w:p w14:paraId="769B21B4" w14:textId="77777777" w:rsidR="00EA33DF" w:rsidRPr="00404DA5" w:rsidRDefault="00EA33DF" w:rsidP="00BA3B1C">
            <w:pPr>
              <w:spacing w:line="276" w:lineRule="auto"/>
              <w:jc w:val="center"/>
              <w:rPr>
                <w:rFonts w:cs="Calibri"/>
                <w:sz w:val="18"/>
                <w:szCs w:val="18"/>
              </w:rPr>
            </w:pPr>
            <w:r w:rsidRPr="00404DA5">
              <w:rPr>
                <w:rFonts w:cs="Calibri"/>
                <w:sz w:val="18"/>
                <w:szCs w:val="18"/>
              </w:rPr>
              <w:t>Liczba zmodernizowanych energetycznie budynków</w:t>
            </w:r>
          </w:p>
        </w:tc>
        <w:tc>
          <w:tcPr>
            <w:tcW w:w="0" w:type="auto"/>
            <w:shd w:val="clear" w:color="auto" w:fill="auto"/>
            <w:vAlign w:val="center"/>
          </w:tcPr>
          <w:p w14:paraId="3868F53F" w14:textId="77777777" w:rsidR="00EA33DF" w:rsidRPr="00404DA5" w:rsidRDefault="00EA33DF" w:rsidP="00BA3B1C">
            <w:pPr>
              <w:spacing w:line="276" w:lineRule="auto"/>
              <w:jc w:val="center"/>
              <w:rPr>
                <w:rFonts w:cs="Calibri"/>
                <w:sz w:val="18"/>
                <w:szCs w:val="18"/>
              </w:rPr>
            </w:pPr>
            <w:r w:rsidRPr="00404DA5">
              <w:rPr>
                <w:rFonts w:cs="Calibri"/>
                <w:sz w:val="18"/>
                <w:szCs w:val="18"/>
              </w:rPr>
              <w:t>szt.</w:t>
            </w:r>
          </w:p>
        </w:tc>
        <w:tc>
          <w:tcPr>
            <w:tcW w:w="0" w:type="auto"/>
            <w:vAlign w:val="center"/>
          </w:tcPr>
          <w:p w14:paraId="2D95394B"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17</w:t>
            </w:r>
          </w:p>
        </w:tc>
        <w:tc>
          <w:tcPr>
            <w:tcW w:w="0" w:type="auto"/>
            <w:shd w:val="clear" w:color="auto" w:fill="auto"/>
            <w:vAlign w:val="center"/>
          </w:tcPr>
          <w:p w14:paraId="50C3D00E" w14:textId="77777777" w:rsidR="00EA33DF" w:rsidRPr="00404DA5" w:rsidRDefault="00EA33DF" w:rsidP="00BA3B1C">
            <w:pPr>
              <w:spacing w:line="276" w:lineRule="auto"/>
              <w:jc w:val="center"/>
              <w:rPr>
                <w:rFonts w:cs="Calibri"/>
                <w:sz w:val="18"/>
                <w:szCs w:val="18"/>
              </w:rPr>
            </w:pPr>
            <w:r w:rsidRPr="00404DA5">
              <w:rPr>
                <w:rFonts w:cs="Calibri"/>
                <w:sz w:val="18"/>
                <w:szCs w:val="18"/>
              </w:rPr>
              <w:t>13</w:t>
            </w:r>
          </w:p>
        </w:tc>
        <w:tc>
          <w:tcPr>
            <w:tcW w:w="0" w:type="auto"/>
            <w:shd w:val="clear" w:color="auto" w:fill="auto"/>
            <w:vAlign w:val="center"/>
          </w:tcPr>
          <w:p w14:paraId="031192D0" w14:textId="77777777" w:rsidR="00EA33DF" w:rsidRPr="00404DA5" w:rsidRDefault="00EA33DF" w:rsidP="00BA3B1C">
            <w:pPr>
              <w:spacing w:line="276" w:lineRule="auto"/>
              <w:jc w:val="center"/>
              <w:rPr>
                <w:rFonts w:cs="Calibri"/>
                <w:sz w:val="18"/>
                <w:szCs w:val="18"/>
              </w:rPr>
            </w:pPr>
            <w:r w:rsidRPr="00404DA5">
              <w:rPr>
                <w:rFonts w:cs="Calibri"/>
                <w:sz w:val="18"/>
                <w:szCs w:val="18"/>
              </w:rPr>
              <w:t>130,8%</w:t>
            </w:r>
          </w:p>
        </w:tc>
        <w:tc>
          <w:tcPr>
            <w:tcW w:w="0" w:type="auto"/>
            <w:shd w:val="clear" w:color="auto" w:fill="auto"/>
            <w:vAlign w:val="center"/>
          </w:tcPr>
          <w:p w14:paraId="5439F45A" w14:textId="77777777" w:rsidR="00EA33DF" w:rsidRPr="00404DA5" w:rsidRDefault="00EA33DF" w:rsidP="00BA3B1C">
            <w:pPr>
              <w:spacing w:line="276" w:lineRule="auto"/>
              <w:jc w:val="center"/>
              <w:rPr>
                <w:rFonts w:cs="Calibri"/>
                <w:sz w:val="18"/>
                <w:szCs w:val="18"/>
              </w:rPr>
            </w:pPr>
            <w:r w:rsidRPr="00404DA5">
              <w:rPr>
                <w:rFonts w:cs="Calibri"/>
                <w:sz w:val="18"/>
                <w:szCs w:val="18"/>
              </w:rPr>
              <w:t>119</w:t>
            </w:r>
          </w:p>
        </w:tc>
        <w:tc>
          <w:tcPr>
            <w:tcW w:w="0" w:type="auto"/>
            <w:shd w:val="clear" w:color="auto" w:fill="auto"/>
            <w:vAlign w:val="center"/>
          </w:tcPr>
          <w:p w14:paraId="4E6002C7" w14:textId="77777777" w:rsidR="00EA33DF" w:rsidRPr="00404DA5" w:rsidRDefault="00EA33DF" w:rsidP="00BA3B1C">
            <w:pPr>
              <w:spacing w:line="276" w:lineRule="auto"/>
              <w:jc w:val="center"/>
              <w:rPr>
                <w:rFonts w:cs="Calibri"/>
                <w:sz w:val="18"/>
                <w:szCs w:val="18"/>
              </w:rPr>
            </w:pPr>
            <w:r w:rsidRPr="00404DA5">
              <w:rPr>
                <w:rFonts w:cs="Calibri"/>
                <w:sz w:val="18"/>
                <w:szCs w:val="18"/>
              </w:rPr>
              <w:t>14,3%</w:t>
            </w:r>
          </w:p>
        </w:tc>
        <w:tc>
          <w:tcPr>
            <w:tcW w:w="0" w:type="auto"/>
            <w:shd w:val="clear" w:color="auto" w:fill="auto"/>
            <w:vAlign w:val="center"/>
          </w:tcPr>
          <w:p w14:paraId="54577438" w14:textId="77777777" w:rsidR="00EA33DF" w:rsidRPr="00404DA5" w:rsidRDefault="00EA33DF" w:rsidP="00BA3B1C">
            <w:pPr>
              <w:spacing w:line="276" w:lineRule="auto"/>
              <w:jc w:val="center"/>
              <w:rPr>
                <w:rFonts w:cs="Calibri"/>
                <w:sz w:val="18"/>
                <w:szCs w:val="18"/>
              </w:rPr>
            </w:pPr>
            <w:r w:rsidRPr="00404DA5">
              <w:rPr>
                <w:rFonts w:cs="Calibri"/>
                <w:sz w:val="18"/>
                <w:szCs w:val="18"/>
              </w:rPr>
              <w:t>170,6%</w:t>
            </w:r>
          </w:p>
        </w:tc>
      </w:tr>
      <w:tr w:rsidR="00EA33DF" w:rsidRPr="00FE43CD" w14:paraId="731859F7" w14:textId="77777777" w:rsidTr="00C22C26">
        <w:trPr>
          <w:trHeight w:val="1187"/>
        </w:trPr>
        <w:tc>
          <w:tcPr>
            <w:tcW w:w="0" w:type="auto"/>
            <w:shd w:val="clear" w:color="auto" w:fill="auto"/>
            <w:vAlign w:val="center"/>
          </w:tcPr>
          <w:p w14:paraId="6DEE9B03"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4e</w:t>
            </w:r>
          </w:p>
        </w:tc>
        <w:tc>
          <w:tcPr>
            <w:tcW w:w="0" w:type="auto"/>
            <w:shd w:val="clear" w:color="auto" w:fill="auto"/>
            <w:vAlign w:val="center"/>
          </w:tcPr>
          <w:p w14:paraId="75BDB062"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wskaźnik produktu</w:t>
            </w:r>
          </w:p>
        </w:tc>
        <w:tc>
          <w:tcPr>
            <w:tcW w:w="0" w:type="auto"/>
            <w:shd w:val="clear" w:color="auto" w:fill="auto"/>
            <w:vAlign w:val="center"/>
          </w:tcPr>
          <w:p w14:paraId="092487D5" w14:textId="77777777" w:rsidR="00EA33DF" w:rsidRPr="00404DA5" w:rsidRDefault="00EA33DF" w:rsidP="00BA3B1C">
            <w:pPr>
              <w:keepNext/>
              <w:spacing w:line="276" w:lineRule="auto"/>
              <w:jc w:val="center"/>
              <w:rPr>
                <w:rFonts w:cs="Calibri"/>
                <w:sz w:val="18"/>
                <w:szCs w:val="18"/>
              </w:rPr>
            </w:pPr>
            <w:r w:rsidRPr="00404DA5">
              <w:rPr>
                <w:rFonts w:cs="Calibri"/>
                <w:sz w:val="18"/>
                <w:szCs w:val="18"/>
              </w:rPr>
              <w:t>Liczba zakupionych lub zmodernizowanych jednostek taboru pasażerskiego</w:t>
            </w:r>
            <w:r w:rsidR="00E66B89">
              <w:rPr>
                <w:rFonts w:cs="Calibri"/>
                <w:sz w:val="18"/>
                <w:szCs w:val="18"/>
              </w:rPr>
              <w:t xml:space="preserve"> w </w:t>
            </w:r>
            <w:r w:rsidRPr="00404DA5">
              <w:rPr>
                <w:rFonts w:cs="Calibri"/>
                <w:sz w:val="18"/>
                <w:szCs w:val="18"/>
              </w:rPr>
              <w:t>publicznym transporcie zbiorowym komunikacji miejskiej</w:t>
            </w:r>
          </w:p>
        </w:tc>
        <w:tc>
          <w:tcPr>
            <w:tcW w:w="0" w:type="auto"/>
            <w:shd w:val="clear" w:color="auto" w:fill="auto"/>
            <w:vAlign w:val="center"/>
          </w:tcPr>
          <w:p w14:paraId="597B9CF7" w14:textId="77777777" w:rsidR="00EA33DF" w:rsidRPr="00404DA5" w:rsidRDefault="00EA33DF" w:rsidP="00BA3B1C">
            <w:pPr>
              <w:spacing w:line="276" w:lineRule="auto"/>
              <w:jc w:val="center"/>
              <w:rPr>
                <w:rFonts w:cs="Calibri"/>
                <w:sz w:val="18"/>
                <w:szCs w:val="18"/>
              </w:rPr>
            </w:pPr>
            <w:r w:rsidRPr="00404DA5">
              <w:rPr>
                <w:rFonts w:cs="Calibri"/>
                <w:sz w:val="18"/>
                <w:szCs w:val="18"/>
              </w:rPr>
              <w:t>szt.</w:t>
            </w:r>
          </w:p>
        </w:tc>
        <w:tc>
          <w:tcPr>
            <w:tcW w:w="0" w:type="auto"/>
            <w:vAlign w:val="center"/>
          </w:tcPr>
          <w:p w14:paraId="76419E79"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56</w:t>
            </w:r>
          </w:p>
        </w:tc>
        <w:tc>
          <w:tcPr>
            <w:tcW w:w="0" w:type="auto"/>
            <w:shd w:val="clear" w:color="auto" w:fill="auto"/>
            <w:vAlign w:val="center"/>
          </w:tcPr>
          <w:p w14:paraId="4E6973A1" w14:textId="77777777" w:rsidR="00EA33DF" w:rsidRPr="00404DA5" w:rsidRDefault="00EA33DF" w:rsidP="00BA3B1C">
            <w:pPr>
              <w:spacing w:line="276" w:lineRule="auto"/>
              <w:jc w:val="center"/>
              <w:rPr>
                <w:rFonts w:cs="Calibri"/>
                <w:sz w:val="18"/>
                <w:szCs w:val="18"/>
              </w:rPr>
            </w:pPr>
            <w:r w:rsidRPr="00404DA5">
              <w:rPr>
                <w:rFonts w:cs="Calibri"/>
                <w:sz w:val="18"/>
                <w:szCs w:val="18"/>
              </w:rPr>
              <w:t>16</w:t>
            </w:r>
          </w:p>
        </w:tc>
        <w:tc>
          <w:tcPr>
            <w:tcW w:w="0" w:type="auto"/>
            <w:shd w:val="clear" w:color="auto" w:fill="auto"/>
            <w:vAlign w:val="center"/>
          </w:tcPr>
          <w:p w14:paraId="3E85C214" w14:textId="77777777" w:rsidR="00EA33DF" w:rsidRPr="00404DA5" w:rsidRDefault="00EA33DF" w:rsidP="00BA3B1C">
            <w:pPr>
              <w:spacing w:line="276" w:lineRule="auto"/>
              <w:jc w:val="center"/>
              <w:rPr>
                <w:rFonts w:cs="Calibri"/>
                <w:sz w:val="18"/>
                <w:szCs w:val="18"/>
              </w:rPr>
            </w:pPr>
            <w:r w:rsidRPr="00404DA5">
              <w:rPr>
                <w:rFonts w:cs="Calibri"/>
                <w:sz w:val="18"/>
                <w:szCs w:val="18"/>
              </w:rPr>
              <w:t>350,0%</w:t>
            </w:r>
          </w:p>
        </w:tc>
        <w:tc>
          <w:tcPr>
            <w:tcW w:w="0" w:type="auto"/>
            <w:shd w:val="clear" w:color="auto" w:fill="auto"/>
            <w:vAlign w:val="center"/>
          </w:tcPr>
          <w:p w14:paraId="2C7343E5" w14:textId="77777777" w:rsidR="00EA33DF" w:rsidRPr="00404DA5" w:rsidRDefault="00EA33DF" w:rsidP="00BA3B1C">
            <w:pPr>
              <w:spacing w:line="276" w:lineRule="auto"/>
              <w:jc w:val="center"/>
              <w:rPr>
                <w:rFonts w:cs="Calibri"/>
                <w:sz w:val="18"/>
                <w:szCs w:val="18"/>
              </w:rPr>
            </w:pPr>
            <w:r w:rsidRPr="00404DA5">
              <w:rPr>
                <w:rFonts w:cs="Calibri"/>
                <w:sz w:val="18"/>
                <w:szCs w:val="18"/>
              </w:rPr>
              <w:t>84</w:t>
            </w:r>
          </w:p>
        </w:tc>
        <w:tc>
          <w:tcPr>
            <w:tcW w:w="0" w:type="auto"/>
            <w:shd w:val="clear" w:color="auto" w:fill="auto"/>
            <w:vAlign w:val="center"/>
          </w:tcPr>
          <w:p w14:paraId="5D007EBB" w14:textId="77777777" w:rsidR="00EA33DF" w:rsidRPr="00404DA5" w:rsidRDefault="00EA33DF" w:rsidP="00BA3B1C">
            <w:pPr>
              <w:spacing w:line="276" w:lineRule="auto"/>
              <w:jc w:val="center"/>
              <w:rPr>
                <w:rFonts w:cs="Calibri"/>
                <w:sz w:val="18"/>
                <w:szCs w:val="18"/>
              </w:rPr>
            </w:pPr>
            <w:r w:rsidRPr="00404DA5">
              <w:rPr>
                <w:rFonts w:cs="Calibri"/>
                <w:sz w:val="18"/>
                <w:szCs w:val="18"/>
              </w:rPr>
              <w:t>66,7%</w:t>
            </w:r>
          </w:p>
        </w:tc>
        <w:tc>
          <w:tcPr>
            <w:tcW w:w="0" w:type="auto"/>
            <w:shd w:val="clear" w:color="auto" w:fill="auto"/>
            <w:vAlign w:val="center"/>
          </w:tcPr>
          <w:p w14:paraId="770AC444" w14:textId="77777777" w:rsidR="00EA33DF" w:rsidRPr="00404DA5" w:rsidRDefault="00EA33DF" w:rsidP="00BA3B1C">
            <w:pPr>
              <w:spacing w:line="276" w:lineRule="auto"/>
              <w:jc w:val="center"/>
              <w:rPr>
                <w:rFonts w:cs="Calibri"/>
                <w:sz w:val="18"/>
                <w:szCs w:val="18"/>
              </w:rPr>
            </w:pPr>
            <w:r w:rsidRPr="00404DA5">
              <w:rPr>
                <w:rFonts w:cs="Calibri"/>
                <w:sz w:val="18"/>
                <w:szCs w:val="18"/>
              </w:rPr>
              <w:t>151,2%</w:t>
            </w:r>
          </w:p>
        </w:tc>
      </w:tr>
      <w:tr w:rsidR="00EA33DF" w:rsidRPr="00FE43CD" w14:paraId="593825DB" w14:textId="77777777" w:rsidTr="00C22C26">
        <w:trPr>
          <w:trHeight w:val="765"/>
        </w:trPr>
        <w:tc>
          <w:tcPr>
            <w:tcW w:w="0" w:type="auto"/>
            <w:shd w:val="clear" w:color="auto" w:fill="auto"/>
            <w:vAlign w:val="center"/>
          </w:tcPr>
          <w:p w14:paraId="08403CEA" w14:textId="77777777" w:rsidR="00EA33DF" w:rsidRPr="00404DA5" w:rsidRDefault="00EA33DF" w:rsidP="00BA3B1C">
            <w:pPr>
              <w:spacing w:line="276" w:lineRule="auto"/>
              <w:jc w:val="center"/>
              <w:rPr>
                <w:rFonts w:cs="Calibri"/>
                <w:sz w:val="18"/>
                <w:szCs w:val="18"/>
              </w:rPr>
            </w:pPr>
            <w:r w:rsidRPr="00404DA5">
              <w:rPr>
                <w:rFonts w:cs="Calibri"/>
                <w:sz w:val="18"/>
                <w:szCs w:val="18"/>
              </w:rPr>
              <w:t>4a</w:t>
            </w:r>
          </w:p>
        </w:tc>
        <w:tc>
          <w:tcPr>
            <w:tcW w:w="0" w:type="auto"/>
            <w:shd w:val="clear" w:color="auto" w:fill="auto"/>
            <w:vAlign w:val="center"/>
          </w:tcPr>
          <w:p w14:paraId="236D8AF1" w14:textId="77777777" w:rsidR="00EA33DF" w:rsidRPr="00404DA5" w:rsidRDefault="00EA33DF" w:rsidP="00BA3B1C">
            <w:pPr>
              <w:spacing w:line="276" w:lineRule="auto"/>
              <w:jc w:val="center"/>
              <w:rPr>
                <w:rFonts w:cs="Calibri"/>
                <w:sz w:val="18"/>
                <w:szCs w:val="18"/>
              </w:rPr>
            </w:pPr>
            <w:r w:rsidRPr="00404DA5">
              <w:rPr>
                <w:rFonts w:cs="Calibri"/>
                <w:sz w:val="18"/>
                <w:szCs w:val="18"/>
              </w:rPr>
              <w:t>wskaźnik produktu</w:t>
            </w:r>
          </w:p>
        </w:tc>
        <w:tc>
          <w:tcPr>
            <w:tcW w:w="0" w:type="auto"/>
            <w:shd w:val="clear" w:color="auto" w:fill="auto"/>
            <w:vAlign w:val="center"/>
          </w:tcPr>
          <w:p w14:paraId="3C78004A" w14:textId="77777777" w:rsidR="00EA33DF" w:rsidRPr="00404DA5" w:rsidRDefault="00EA33DF" w:rsidP="00BA3B1C">
            <w:pPr>
              <w:spacing w:line="276" w:lineRule="auto"/>
              <w:jc w:val="center"/>
              <w:rPr>
                <w:rFonts w:cs="Calibri"/>
                <w:sz w:val="18"/>
                <w:szCs w:val="18"/>
              </w:rPr>
            </w:pPr>
            <w:r w:rsidRPr="00404DA5">
              <w:rPr>
                <w:rFonts w:cs="Calibri"/>
                <w:sz w:val="18"/>
                <w:szCs w:val="18"/>
              </w:rPr>
              <w:t>Liczba jednostek wytwarzania energii elektrycznej</w:t>
            </w:r>
            <w:r w:rsidR="00E66B89">
              <w:rPr>
                <w:rFonts w:cs="Calibri"/>
                <w:sz w:val="18"/>
                <w:szCs w:val="18"/>
              </w:rPr>
              <w:t xml:space="preserve"> z </w:t>
            </w:r>
            <w:r w:rsidRPr="00404DA5">
              <w:rPr>
                <w:rFonts w:cs="Calibri"/>
                <w:sz w:val="18"/>
                <w:szCs w:val="18"/>
              </w:rPr>
              <w:t>OZE</w:t>
            </w:r>
          </w:p>
        </w:tc>
        <w:tc>
          <w:tcPr>
            <w:tcW w:w="0" w:type="auto"/>
            <w:shd w:val="clear" w:color="auto" w:fill="auto"/>
            <w:vAlign w:val="center"/>
          </w:tcPr>
          <w:p w14:paraId="62AFEE53" w14:textId="77777777" w:rsidR="00EA33DF" w:rsidRPr="00404DA5" w:rsidRDefault="00EA33DF" w:rsidP="00BA3B1C">
            <w:pPr>
              <w:spacing w:line="276" w:lineRule="auto"/>
              <w:jc w:val="center"/>
              <w:rPr>
                <w:rFonts w:cs="Calibri"/>
                <w:sz w:val="18"/>
                <w:szCs w:val="18"/>
              </w:rPr>
            </w:pPr>
            <w:r w:rsidRPr="00404DA5">
              <w:rPr>
                <w:rFonts w:cs="Calibri"/>
                <w:sz w:val="18"/>
                <w:szCs w:val="18"/>
              </w:rPr>
              <w:t>szt.</w:t>
            </w:r>
          </w:p>
        </w:tc>
        <w:tc>
          <w:tcPr>
            <w:tcW w:w="0" w:type="auto"/>
            <w:vAlign w:val="center"/>
          </w:tcPr>
          <w:p w14:paraId="1256BF05"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29</w:t>
            </w:r>
          </w:p>
        </w:tc>
        <w:tc>
          <w:tcPr>
            <w:tcW w:w="0" w:type="auto"/>
            <w:shd w:val="clear" w:color="auto" w:fill="auto"/>
            <w:vAlign w:val="center"/>
          </w:tcPr>
          <w:p w14:paraId="24EAE6A1" w14:textId="77777777" w:rsidR="00EA33DF" w:rsidRPr="00404DA5" w:rsidRDefault="00EA33DF" w:rsidP="00BA3B1C">
            <w:pPr>
              <w:spacing w:line="276" w:lineRule="auto"/>
              <w:jc w:val="center"/>
              <w:rPr>
                <w:rFonts w:cs="Calibri"/>
                <w:sz w:val="18"/>
                <w:szCs w:val="18"/>
              </w:rPr>
            </w:pPr>
            <w:r w:rsidRPr="00404DA5">
              <w:rPr>
                <w:rFonts w:cs="Calibri"/>
                <w:sz w:val="18"/>
                <w:szCs w:val="18"/>
              </w:rPr>
              <w:t>7</w:t>
            </w:r>
          </w:p>
        </w:tc>
        <w:tc>
          <w:tcPr>
            <w:tcW w:w="0" w:type="auto"/>
            <w:shd w:val="clear" w:color="auto" w:fill="auto"/>
            <w:vAlign w:val="center"/>
          </w:tcPr>
          <w:p w14:paraId="629E70B9" w14:textId="77777777" w:rsidR="00EA33DF" w:rsidRPr="00404DA5" w:rsidRDefault="00EA33DF" w:rsidP="00BA3B1C">
            <w:pPr>
              <w:spacing w:line="276" w:lineRule="auto"/>
              <w:jc w:val="center"/>
              <w:rPr>
                <w:rFonts w:cs="Calibri"/>
                <w:sz w:val="18"/>
                <w:szCs w:val="18"/>
              </w:rPr>
            </w:pPr>
            <w:r w:rsidRPr="00404DA5">
              <w:rPr>
                <w:rFonts w:cs="Calibri"/>
                <w:sz w:val="18"/>
                <w:szCs w:val="18"/>
              </w:rPr>
              <w:t>414,3%</w:t>
            </w:r>
          </w:p>
        </w:tc>
        <w:tc>
          <w:tcPr>
            <w:tcW w:w="0" w:type="auto"/>
            <w:shd w:val="clear" w:color="auto" w:fill="auto"/>
            <w:vAlign w:val="center"/>
          </w:tcPr>
          <w:p w14:paraId="735758EC" w14:textId="77777777" w:rsidR="00EA33DF" w:rsidRPr="00404DA5" w:rsidRDefault="00EA33DF" w:rsidP="00BA3B1C">
            <w:pPr>
              <w:spacing w:line="276" w:lineRule="auto"/>
              <w:jc w:val="center"/>
              <w:rPr>
                <w:rFonts w:cs="Calibri"/>
                <w:sz w:val="18"/>
                <w:szCs w:val="18"/>
              </w:rPr>
            </w:pPr>
            <w:r w:rsidRPr="00404DA5">
              <w:rPr>
                <w:rFonts w:cs="Calibri"/>
                <w:sz w:val="18"/>
                <w:szCs w:val="18"/>
              </w:rPr>
              <w:t>43</w:t>
            </w:r>
          </w:p>
        </w:tc>
        <w:tc>
          <w:tcPr>
            <w:tcW w:w="0" w:type="auto"/>
            <w:shd w:val="clear" w:color="auto" w:fill="auto"/>
            <w:vAlign w:val="center"/>
          </w:tcPr>
          <w:p w14:paraId="78FB4F44" w14:textId="77777777" w:rsidR="00EA33DF" w:rsidRPr="00404DA5" w:rsidRDefault="00EA33DF" w:rsidP="00BA3B1C">
            <w:pPr>
              <w:spacing w:line="276" w:lineRule="auto"/>
              <w:jc w:val="center"/>
              <w:rPr>
                <w:rFonts w:cs="Calibri"/>
                <w:sz w:val="18"/>
                <w:szCs w:val="18"/>
              </w:rPr>
            </w:pPr>
            <w:r w:rsidRPr="00404DA5">
              <w:rPr>
                <w:rFonts w:cs="Calibri"/>
                <w:sz w:val="18"/>
                <w:szCs w:val="18"/>
              </w:rPr>
              <w:t>79,1%</w:t>
            </w:r>
          </w:p>
        </w:tc>
        <w:tc>
          <w:tcPr>
            <w:tcW w:w="0" w:type="auto"/>
            <w:shd w:val="clear" w:color="auto" w:fill="auto"/>
            <w:vAlign w:val="center"/>
          </w:tcPr>
          <w:p w14:paraId="5C1CD585" w14:textId="77777777" w:rsidR="00EA33DF" w:rsidRPr="00404DA5" w:rsidRDefault="00EA33DF" w:rsidP="00BA3B1C">
            <w:pPr>
              <w:spacing w:line="276" w:lineRule="auto"/>
              <w:jc w:val="center"/>
              <w:rPr>
                <w:rFonts w:cs="Calibri"/>
                <w:sz w:val="18"/>
                <w:szCs w:val="18"/>
              </w:rPr>
            </w:pPr>
            <w:r w:rsidRPr="00404DA5">
              <w:rPr>
                <w:rFonts w:cs="Calibri"/>
                <w:sz w:val="18"/>
                <w:szCs w:val="18"/>
              </w:rPr>
              <w:t>974,4%</w:t>
            </w:r>
          </w:p>
        </w:tc>
      </w:tr>
      <w:tr w:rsidR="00EA33DF" w:rsidRPr="00FE43CD" w14:paraId="24CF4440" w14:textId="77777777" w:rsidTr="00C22C26">
        <w:trPr>
          <w:trHeight w:val="618"/>
        </w:trPr>
        <w:tc>
          <w:tcPr>
            <w:tcW w:w="0" w:type="auto"/>
            <w:shd w:val="clear" w:color="auto" w:fill="auto"/>
            <w:vAlign w:val="center"/>
          </w:tcPr>
          <w:p w14:paraId="5A113AE4" w14:textId="77777777" w:rsidR="00EA33DF" w:rsidRPr="00404DA5" w:rsidRDefault="00EA33DF" w:rsidP="00BA3B1C">
            <w:pPr>
              <w:spacing w:line="276" w:lineRule="auto"/>
              <w:jc w:val="center"/>
              <w:rPr>
                <w:rFonts w:cs="Calibri"/>
                <w:sz w:val="18"/>
                <w:szCs w:val="18"/>
              </w:rPr>
            </w:pPr>
            <w:r w:rsidRPr="00404DA5">
              <w:rPr>
                <w:rFonts w:cs="Calibri"/>
                <w:sz w:val="18"/>
                <w:szCs w:val="18"/>
              </w:rPr>
              <w:lastRenderedPageBreak/>
              <w:t>4e</w:t>
            </w:r>
          </w:p>
        </w:tc>
        <w:tc>
          <w:tcPr>
            <w:tcW w:w="0" w:type="auto"/>
            <w:shd w:val="clear" w:color="auto" w:fill="auto"/>
            <w:vAlign w:val="center"/>
          </w:tcPr>
          <w:p w14:paraId="620D3217" w14:textId="77777777" w:rsidR="00EA33DF" w:rsidRPr="00404DA5" w:rsidRDefault="00EA33DF" w:rsidP="00BA3B1C">
            <w:pPr>
              <w:spacing w:line="276" w:lineRule="auto"/>
              <w:jc w:val="center"/>
              <w:rPr>
                <w:rFonts w:cs="Calibri"/>
                <w:sz w:val="18"/>
                <w:szCs w:val="18"/>
              </w:rPr>
            </w:pPr>
            <w:r w:rsidRPr="00404DA5">
              <w:rPr>
                <w:rFonts w:cs="Calibri"/>
                <w:sz w:val="18"/>
                <w:szCs w:val="18"/>
              </w:rPr>
              <w:t>wskaźnik produktu</w:t>
            </w:r>
          </w:p>
        </w:tc>
        <w:tc>
          <w:tcPr>
            <w:tcW w:w="0" w:type="auto"/>
            <w:shd w:val="clear" w:color="auto" w:fill="auto"/>
            <w:vAlign w:val="center"/>
          </w:tcPr>
          <w:p w14:paraId="2F478076" w14:textId="77777777" w:rsidR="00EA33DF" w:rsidRPr="00404DA5" w:rsidRDefault="00EA33DF" w:rsidP="00BA3B1C">
            <w:pPr>
              <w:spacing w:line="276" w:lineRule="auto"/>
              <w:jc w:val="center"/>
              <w:rPr>
                <w:rFonts w:cs="Calibri"/>
                <w:sz w:val="18"/>
                <w:szCs w:val="18"/>
              </w:rPr>
            </w:pPr>
            <w:r w:rsidRPr="00404DA5">
              <w:rPr>
                <w:rFonts w:cs="Calibri"/>
                <w:sz w:val="18"/>
                <w:szCs w:val="18"/>
              </w:rPr>
              <w:t>Długość ścieżek rowerowych</w:t>
            </w:r>
          </w:p>
        </w:tc>
        <w:tc>
          <w:tcPr>
            <w:tcW w:w="0" w:type="auto"/>
            <w:shd w:val="clear" w:color="auto" w:fill="auto"/>
            <w:vAlign w:val="center"/>
          </w:tcPr>
          <w:p w14:paraId="6517FC1E" w14:textId="77777777" w:rsidR="00EA33DF" w:rsidRPr="00404DA5" w:rsidRDefault="00EA33DF" w:rsidP="00BA3B1C">
            <w:pPr>
              <w:spacing w:line="276" w:lineRule="auto"/>
              <w:jc w:val="center"/>
              <w:rPr>
                <w:rFonts w:cs="Calibri"/>
                <w:sz w:val="18"/>
                <w:szCs w:val="18"/>
              </w:rPr>
            </w:pPr>
            <w:r w:rsidRPr="00404DA5">
              <w:rPr>
                <w:rFonts w:cs="Calibri"/>
                <w:sz w:val="18"/>
                <w:szCs w:val="18"/>
              </w:rPr>
              <w:t>km</w:t>
            </w:r>
          </w:p>
        </w:tc>
        <w:tc>
          <w:tcPr>
            <w:tcW w:w="0" w:type="auto"/>
            <w:vAlign w:val="center"/>
          </w:tcPr>
          <w:p w14:paraId="642FEF27"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23,74</w:t>
            </w:r>
          </w:p>
        </w:tc>
        <w:tc>
          <w:tcPr>
            <w:tcW w:w="0" w:type="auto"/>
            <w:shd w:val="clear" w:color="auto" w:fill="auto"/>
            <w:vAlign w:val="center"/>
          </w:tcPr>
          <w:p w14:paraId="1DF6865C" w14:textId="77777777" w:rsidR="00EA33DF" w:rsidRPr="00404DA5" w:rsidRDefault="00EA33DF" w:rsidP="00BA3B1C">
            <w:pPr>
              <w:spacing w:line="276" w:lineRule="auto"/>
              <w:jc w:val="center"/>
              <w:rPr>
                <w:rFonts w:cs="Calibri"/>
                <w:sz w:val="18"/>
                <w:szCs w:val="18"/>
              </w:rPr>
            </w:pPr>
            <w:r w:rsidRPr="00404DA5">
              <w:rPr>
                <w:rFonts w:cs="Calibri"/>
                <w:sz w:val="18"/>
                <w:szCs w:val="18"/>
              </w:rPr>
              <w:t>5,1</w:t>
            </w:r>
          </w:p>
        </w:tc>
        <w:tc>
          <w:tcPr>
            <w:tcW w:w="0" w:type="auto"/>
            <w:shd w:val="clear" w:color="auto" w:fill="auto"/>
            <w:vAlign w:val="center"/>
          </w:tcPr>
          <w:p w14:paraId="158D2D13" w14:textId="77777777" w:rsidR="00EA33DF" w:rsidRPr="00404DA5" w:rsidRDefault="00EA33DF" w:rsidP="00BA3B1C">
            <w:pPr>
              <w:spacing w:line="276" w:lineRule="auto"/>
              <w:jc w:val="center"/>
              <w:rPr>
                <w:rFonts w:cs="Calibri"/>
                <w:sz w:val="18"/>
                <w:szCs w:val="18"/>
              </w:rPr>
            </w:pPr>
            <w:r w:rsidRPr="00404DA5">
              <w:rPr>
                <w:rFonts w:cs="Calibri"/>
                <w:sz w:val="18"/>
                <w:szCs w:val="18"/>
              </w:rPr>
              <w:t>465,5%</w:t>
            </w:r>
          </w:p>
        </w:tc>
        <w:tc>
          <w:tcPr>
            <w:tcW w:w="0" w:type="auto"/>
            <w:shd w:val="clear" w:color="auto" w:fill="auto"/>
            <w:vAlign w:val="center"/>
          </w:tcPr>
          <w:p w14:paraId="6406E779" w14:textId="77777777" w:rsidR="00EA33DF" w:rsidRPr="00404DA5" w:rsidRDefault="00EA33DF" w:rsidP="00BA3B1C">
            <w:pPr>
              <w:spacing w:line="276" w:lineRule="auto"/>
              <w:jc w:val="center"/>
              <w:rPr>
                <w:rFonts w:cs="Calibri"/>
                <w:sz w:val="18"/>
                <w:szCs w:val="18"/>
              </w:rPr>
            </w:pPr>
            <w:r w:rsidRPr="00404DA5">
              <w:rPr>
                <w:rFonts w:cs="Calibri"/>
                <w:sz w:val="18"/>
                <w:szCs w:val="18"/>
              </w:rPr>
              <w:t>88</w:t>
            </w:r>
          </w:p>
        </w:tc>
        <w:tc>
          <w:tcPr>
            <w:tcW w:w="0" w:type="auto"/>
            <w:shd w:val="clear" w:color="auto" w:fill="auto"/>
            <w:vAlign w:val="center"/>
          </w:tcPr>
          <w:p w14:paraId="77EB0849" w14:textId="77777777" w:rsidR="00EA33DF" w:rsidRPr="00404DA5" w:rsidRDefault="00EA33DF" w:rsidP="00BA3B1C">
            <w:pPr>
              <w:spacing w:line="276" w:lineRule="auto"/>
              <w:jc w:val="center"/>
              <w:rPr>
                <w:rFonts w:cs="Calibri"/>
                <w:sz w:val="18"/>
                <w:szCs w:val="18"/>
              </w:rPr>
            </w:pPr>
            <w:r w:rsidRPr="00404DA5">
              <w:rPr>
                <w:rFonts w:cs="Calibri"/>
                <w:sz w:val="18"/>
                <w:szCs w:val="18"/>
              </w:rPr>
              <w:t>27,0%</w:t>
            </w:r>
          </w:p>
        </w:tc>
        <w:tc>
          <w:tcPr>
            <w:tcW w:w="0" w:type="auto"/>
            <w:shd w:val="clear" w:color="auto" w:fill="auto"/>
            <w:vAlign w:val="center"/>
          </w:tcPr>
          <w:p w14:paraId="0EA9D7FA" w14:textId="77777777" w:rsidR="00EA33DF" w:rsidRPr="00404DA5" w:rsidRDefault="00EA33DF" w:rsidP="00BA3B1C">
            <w:pPr>
              <w:spacing w:line="276" w:lineRule="auto"/>
              <w:jc w:val="center"/>
              <w:rPr>
                <w:rFonts w:cs="Calibri"/>
                <w:sz w:val="18"/>
                <w:szCs w:val="18"/>
              </w:rPr>
            </w:pPr>
            <w:r w:rsidRPr="00404DA5">
              <w:rPr>
                <w:rFonts w:cs="Calibri"/>
                <w:sz w:val="18"/>
                <w:szCs w:val="18"/>
              </w:rPr>
              <w:t>171,3%</w:t>
            </w:r>
          </w:p>
        </w:tc>
      </w:tr>
      <w:tr w:rsidR="00EA33DF" w:rsidRPr="00FE43CD" w14:paraId="49C8CF3E" w14:textId="77777777" w:rsidTr="00C22C26">
        <w:trPr>
          <w:trHeight w:val="527"/>
        </w:trPr>
        <w:tc>
          <w:tcPr>
            <w:tcW w:w="0" w:type="auto"/>
            <w:shd w:val="clear" w:color="auto" w:fill="auto"/>
            <w:vAlign w:val="center"/>
          </w:tcPr>
          <w:p w14:paraId="3E7A0818" w14:textId="77777777" w:rsidR="00EA33DF" w:rsidRPr="00404DA5" w:rsidRDefault="00EA33DF" w:rsidP="00BA3B1C">
            <w:pPr>
              <w:spacing w:line="276" w:lineRule="auto"/>
              <w:jc w:val="center"/>
              <w:rPr>
                <w:rFonts w:cs="Calibri"/>
                <w:sz w:val="18"/>
                <w:szCs w:val="18"/>
              </w:rPr>
            </w:pPr>
            <w:r w:rsidRPr="00404DA5">
              <w:rPr>
                <w:rFonts w:cs="Calibri"/>
                <w:sz w:val="18"/>
                <w:szCs w:val="18"/>
              </w:rPr>
              <w:t>4e</w:t>
            </w:r>
          </w:p>
        </w:tc>
        <w:tc>
          <w:tcPr>
            <w:tcW w:w="0" w:type="auto"/>
            <w:shd w:val="clear" w:color="auto" w:fill="auto"/>
            <w:vAlign w:val="center"/>
          </w:tcPr>
          <w:p w14:paraId="6A954713" w14:textId="77777777" w:rsidR="00EA33DF" w:rsidRPr="00404DA5" w:rsidRDefault="00EA33DF" w:rsidP="00BA3B1C">
            <w:pPr>
              <w:spacing w:line="276" w:lineRule="auto"/>
              <w:jc w:val="center"/>
              <w:rPr>
                <w:rFonts w:cs="Calibri"/>
                <w:sz w:val="18"/>
                <w:szCs w:val="18"/>
              </w:rPr>
            </w:pPr>
            <w:r w:rsidRPr="00404DA5">
              <w:rPr>
                <w:rFonts w:cs="Calibri"/>
                <w:sz w:val="18"/>
                <w:szCs w:val="18"/>
              </w:rPr>
              <w:t>KEW</w:t>
            </w:r>
          </w:p>
        </w:tc>
        <w:tc>
          <w:tcPr>
            <w:tcW w:w="0" w:type="auto"/>
            <w:shd w:val="clear" w:color="auto" w:fill="auto"/>
            <w:vAlign w:val="center"/>
          </w:tcPr>
          <w:p w14:paraId="7BD4933E" w14:textId="77777777" w:rsidR="00EA33DF" w:rsidRPr="00404DA5" w:rsidRDefault="00EA33DF" w:rsidP="00BA3B1C">
            <w:pPr>
              <w:spacing w:line="276" w:lineRule="auto"/>
              <w:jc w:val="center"/>
              <w:rPr>
                <w:rFonts w:cs="Calibri"/>
                <w:sz w:val="18"/>
                <w:szCs w:val="18"/>
              </w:rPr>
            </w:pPr>
            <w:r w:rsidRPr="00404DA5">
              <w:rPr>
                <w:rFonts w:cs="Calibri"/>
                <w:sz w:val="18"/>
                <w:szCs w:val="18"/>
              </w:rPr>
              <w:t>Długość ścieżek rowerowych</w:t>
            </w:r>
            <w:r w:rsidR="00E66B89">
              <w:rPr>
                <w:rFonts w:cs="Calibri"/>
                <w:sz w:val="18"/>
                <w:szCs w:val="18"/>
              </w:rPr>
              <w:t xml:space="preserve"> w </w:t>
            </w:r>
            <w:r w:rsidRPr="00404DA5">
              <w:rPr>
                <w:rFonts w:cs="Calibri"/>
                <w:sz w:val="18"/>
                <w:szCs w:val="18"/>
              </w:rPr>
              <w:t>podpisanych umowach</w:t>
            </w:r>
          </w:p>
        </w:tc>
        <w:tc>
          <w:tcPr>
            <w:tcW w:w="0" w:type="auto"/>
            <w:shd w:val="clear" w:color="auto" w:fill="auto"/>
            <w:vAlign w:val="center"/>
          </w:tcPr>
          <w:p w14:paraId="2521AE95" w14:textId="77777777" w:rsidR="00EA33DF" w:rsidRPr="00404DA5" w:rsidRDefault="00EA33DF" w:rsidP="00BA3B1C">
            <w:pPr>
              <w:spacing w:line="276" w:lineRule="auto"/>
              <w:jc w:val="center"/>
              <w:rPr>
                <w:rFonts w:cs="Calibri"/>
                <w:sz w:val="18"/>
                <w:szCs w:val="18"/>
              </w:rPr>
            </w:pPr>
            <w:r w:rsidRPr="00404DA5">
              <w:rPr>
                <w:rFonts w:cs="Calibri"/>
                <w:sz w:val="18"/>
                <w:szCs w:val="18"/>
              </w:rPr>
              <w:t>km</w:t>
            </w:r>
          </w:p>
        </w:tc>
        <w:tc>
          <w:tcPr>
            <w:tcW w:w="0" w:type="auto"/>
            <w:vAlign w:val="center"/>
          </w:tcPr>
          <w:p w14:paraId="183343C0"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150,75</w:t>
            </w:r>
          </w:p>
        </w:tc>
        <w:tc>
          <w:tcPr>
            <w:tcW w:w="0" w:type="auto"/>
            <w:shd w:val="clear" w:color="auto" w:fill="auto"/>
            <w:vAlign w:val="center"/>
          </w:tcPr>
          <w:p w14:paraId="01BAEA61" w14:textId="77777777" w:rsidR="00EA33DF" w:rsidRPr="00404DA5" w:rsidRDefault="00EA33DF" w:rsidP="00BA3B1C">
            <w:pPr>
              <w:spacing w:line="276" w:lineRule="auto"/>
              <w:jc w:val="center"/>
              <w:rPr>
                <w:rFonts w:cs="Calibri"/>
                <w:sz w:val="18"/>
                <w:szCs w:val="18"/>
              </w:rPr>
            </w:pPr>
            <w:r w:rsidRPr="00404DA5">
              <w:rPr>
                <w:rFonts w:cs="Calibri"/>
                <w:sz w:val="18"/>
                <w:szCs w:val="18"/>
              </w:rPr>
              <w:t>37,9</w:t>
            </w:r>
          </w:p>
        </w:tc>
        <w:tc>
          <w:tcPr>
            <w:tcW w:w="0" w:type="auto"/>
            <w:shd w:val="clear" w:color="auto" w:fill="auto"/>
            <w:vAlign w:val="center"/>
          </w:tcPr>
          <w:p w14:paraId="7ABE459B" w14:textId="77777777" w:rsidR="00EA33DF" w:rsidRPr="00404DA5" w:rsidRDefault="00EA33DF" w:rsidP="00BA3B1C">
            <w:pPr>
              <w:spacing w:line="276" w:lineRule="auto"/>
              <w:jc w:val="center"/>
              <w:rPr>
                <w:rFonts w:cs="Calibri"/>
                <w:sz w:val="18"/>
                <w:szCs w:val="18"/>
              </w:rPr>
            </w:pPr>
            <w:r w:rsidRPr="00404DA5">
              <w:rPr>
                <w:rFonts w:cs="Calibri"/>
                <w:sz w:val="18"/>
                <w:szCs w:val="18"/>
              </w:rPr>
              <w:t>397,8%</w:t>
            </w:r>
          </w:p>
        </w:tc>
        <w:tc>
          <w:tcPr>
            <w:tcW w:w="0" w:type="auto"/>
            <w:shd w:val="clear" w:color="auto" w:fill="auto"/>
            <w:vAlign w:val="center"/>
          </w:tcPr>
          <w:p w14:paraId="70813841" w14:textId="77777777" w:rsidR="00EA33DF" w:rsidRPr="00404DA5" w:rsidRDefault="00EA33DF" w:rsidP="00BA3B1C">
            <w:pPr>
              <w:spacing w:line="276" w:lineRule="auto"/>
              <w:jc w:val="center"/>
              <w:rPr>
                <w:rFonts w:cs="Calibri"/>
                <w:sz w:val="18"/>
                <w:szCs w:val="18"/>
              </w:rPr>
            </w:pPr>
            <w:r w:rsidRPr="00404DA5">
              <w:rPr>
                <w:rFonts w:cs="Calibri"/>
                <w:sz w:val="18"/>
                <w:szCs w:val="18"/>
              </w:rPr>
              <w:t>-</w:t>
            </w:r>
          </w:p>
        </w:tc>
        <w:tc>
          <w:tcPr>
            <w:tcW w:w="0" w:type="auto"/>
            <w:shd w:val="clear" w:color="auto" w:fill="auto"/>
            <w:vAlign w:val="center"/>
          </w:tcPr>
          <w:p w14:paraId="28580A94" w14:textId="77777777" w:rsidR="00EA33DF" w:rsidRPr="00404DA5" w:rsidRDefault="00EA33DF" w:rsidP="00BA3B1C">
            <w:pPr>
              <w:spacing w:line="276" w:lineRule="auto"/>
              <w:jc w:val="center"/>
              <w:rPr>
                <w:rFonts w:cs="Calibri"/>
                <w:sz w:val="18"/>
                <w:szCs w:val="18"/>
              </w:rPr>
            </w:pPr>
            <w:r w:rsidRPr="00404DA5">
              <w:rPr>
                <w:rFonts w:cs="Calibri"/>
                <w:sz w:val="18"/>
                <w:szCs w:val="18"/>
              </w:rPr>
              <w:t>-</w:t>
            </w:r>
          </w:p>
        </w:tc>
        <w:tc>
          <w:tcPr>
            <w:tcW w:w="0" w:type="auto"/>
            <w:shd w:val="clear" w:color="auto" w:fill="auto"/>
            <w:vAlign w:val="center"/>
          </w:tcPr>
          <w:p w14:paraId="549A9812" w14:textId="77777777" w:rsidR="00EA33DF" w:rsidRPr="00404DA5" w:rsidRDefault="00EA33DF" w:rsidP="00BA3B1C">
            <w:pPr>
              <w:spacing w:line="276" w:lineRule="auto"/>
              <w:jc w:val="center"/>
              <w:rPr>
                <w:rFonts w:cs="Calibri"/>
                <w:sz w:val="18"/>
                <w:szCs w:val="18"/>
              </w:rPr>
            </w:pPr>
            <w:r w:rsidRPr="00404DA5">
              <w:rPr>
                <w:rFonts w:cs="Calibri"/>
                <w:sz w:val="18"/>
                <w:szCs w:val="18"/>
              </w:rPr>
              <w:t>-</w:t>
            </w:r>
          </w:p>
        </w:tc>
      </w:tr>
      <w:tr w:rsidR="00EA33DF" w:rsidRPr="00FE43CD" w14:paraId="4EBDA760" w14:textId="77777777" w:rsidTr="00C22C26">
        <w:trPr>
          <w:trHeight w:val="107"/>
        </w:trPr>
        <w:tc>
          <w:tcPr>
            <w:tcW w:w="0" w:type="auto"/>
            <w:shd w:val="clear" w:color="auto" w:fill="auto"/>
            <w:vAlign w:val="center"/>
          </w:tcPr>
          <w:p w14:paraId="37C35C29" w14:textId="77777777" w:rsidR="00EA33DF" w:rsidRPr="00404DA5" w:rsidRDefault="00EA33DF" w:rsidP="00BA3B1C">
            <w:pPr>
              <w:spacing w:line="276" w:lineRule="auto"/>
              <w:jc w:val="center"/>
              <w:rPr>
                <w:rFonts w:cs="Calibri"/>
                <w:sz w:val="18"/>
                <w:szCs w:val="18"/>
              </w:rPr>
            </w:pPr>
            <w:r w:rsidRPr="00404DA5">
              <w:rPr>
                <w:rFonts w:cs="Calibri"/>
                <w:sz w:val="18"/>
                <w:szCs w:val="18"/>
              </w:rPr>
              <w:t>4a, 4e, 4c, 4g</w:t>
            </w:r>
          </w:p>
        </w:tc>
        <w:tc>
          <w:tcPr>
            <w:tcW w:w="0" w:type="auto"/>
            <w:shd w:val="clear" w:color="auto" w:fill="auto"/>
            <w:vAlign w:val="center"/>
          </w:tcPr>
          <w:p w14:paraId="5CB3542E" w14:textId="77777777" w:rsidR="00EA33DF" w:rsidRPr="00404DA5" w:rsidRDefault="00EA33DF" w:rsidP="00BA3B1C">
            <w:pPr>
              <w:spacing w:line="276" w:lineRule="auto"/>
              <w:jc w:val="center"/>
              <w:rPr>
                <w:rFonts w:cs="Calibri"/>
                <w:sz w:val="18"/>
                <w:szCs w:val="18"/>
              </w:rPr>
            </w:pPr>
            <w:r w:rsidRPr="00404DA5">
              <w:rPr>
                <w:rFonts w:cs="Calibri"/>
                <w:sz w:val="18"/>
                <w:szCs w:val="18"/>
              </w:rPr>
              <w:t>wskaźnik postępu finansowego</w:t>
            </w:r>
          </w:p>
        </w:tc>
        <w:tc>
          <w:tcPr>
            <w:tcW w:w="0" w:type="auto"/>
            <w:shd w:val="clear" w:color="auto" w:fill="auto"/>
            <w:vAlign w:val="center"/>
          </w:tcPr>
          <w:p w14:paraId="66B146E5" w14:textId="77777777" w:rsidR="00EA33DF" w:rsidRPr="00404DA5" w:rsidRDefault="00EA33DF" w:rsidP="00BA3B1C">
            <w:pPr>
              <w:spacing w:line="276" w:lineRule="auto"/>
              <w:jc w:val="center"/>
              <w:rPr>
                <w:rFonts w:cs="Calibri"/>
                <w:sz w:val="18"/>
                <w:szCs w:val="18"/>
              </w:rPr>
            </w:pPr>
            <w:r w:rsidRPr="00404DA5">
              <w:rPr>
                <w:rFonts w:cs="Calibri"/>
                <w:sz w:val="18"/>
                <w:szCs w:val="18"/>
              </w:rPr>
              <w:t>Całkowita kwota certyfikowanych wydatków kwalifikowanych</w:t>
            </w:r>
          </w:p>
        </w:tc>
        <w:tc>
          <w:tcPr>
            <w:tcW w:w="0" w:type="auto"/>
            <w:shd w:val="clear" w:color="auto" w:fill="auto"/>
            <w:vAlign w:val="center"/>
          </w:tcPr>
          <w:p w14:paraId="39F9A565" w14:textId="77777777" w:rsidR="00EA33DF" w:rsidRPr="00404DA5" w:rsidRDefault="00EA33DF" w:rsidP="00BA3B1C">
            <w:pPr>
              <w:spacing w:line="276" w:lineRule="auto"/>
              <w:jc w:val="center"/>
              <w:rPr>
                <w:rFonts w:cs="Calibri"/>
                <w:sz w:val="18"/>
                <w:szCs w:val="18"/>
              </w:rPr>
            </w:pPr>
            <w:r w:rsidRPr="00404DA5">
              <w:rPr>
                <w:rFonts w:cs="Calibri"/>
                <w:sz w:val="18"/>
                <w:szCs w:val="18"/>
              </w:rPr>
              <w:t>EUR</w:t>
            </w:r>
          </w:p>
        </w:tc>
        <w:tc>
          <w:tcPr>
            <w:tcW w:w="0" w:type="auto"/>
            <w:vAlign w:val="center"/>
          </w:tcPr>
          <w:p w14:paraId="394AE43D" w14:textId="77777777" w:rsidR="00EA33DF" w:rsidRPr="00404DA5" w:rsidRDefault="00EA33DF" w:rsidP="00BA3B1C">
            <w:pPr>
              <w:spacing w:line="276" w:lineRule="auto"/>
              <w:jc w:val="center"/>
              <w:rPr>
                <w:rFonts w:cs="Calibri"/>
                <w:sz w:val="18"/>
                <w:szCs w:val="18"/>
              </w:rPr>
            </w:pPr>
            <w:r w:rsidRPr="00CE4130">
              <w:rPr>
                <w:rFonts w:cs="Calibri"/>
                <w:color w:val="000000"/>
                <w:sz w:val="18"/>
                <w:szCs w:val="18"/>
              </w:rPr>
              <w:t>42 742 233</w:t>
            </w:r>
          </w:p>
        </w:tc>
        <w:tc>
          <w:tcPr>
            <w:tcW w:w="0" w:type="auto"/>
            <w:shd w:val="clear" w:color="auto" w:fill="auto"/>
            <w:vAlign w:val="center"/>
          </w:tcPr>
          <w:p w14:paraId="0922DC1E" w14:textId="77777777" w:rsidR="00EA33DF" w:rsidRPr="00404DA5" w:rsidRDefault="00EA33DF" w:rsidP="00BA3B1C">
            <w:pPr>
              <w:spacing w:line="276" w:lineRule="auto"/>
              <w:jc w:val="center"/>
              <w:rPr>
                <w:rFonts w:cs="Calibri"/>
                <w:sz w:val="18"/>
                <w:szCs w:val="18"/>
              </w:rPr>
            </w:pPr>
            <w:r w:rsidRPr="00404DA5">
              <w:rPr>
                <w:rFonts w:cs="Calibri"/>
                <w:sz w:val="18"/>
                <w:szCs w:val="18"/>
              </w:rPr>
              <w:t>34 446 474</w:t>
            </w:r>
          </w:p>
        </w:tc>
        <w:tc>
          <w:tcPr>
            <w:tcW w:w="0" w:type="auto"/>
            <w:shd w:val="clear" w:color="auto" w:fill="auto"/>
            <w:vAlign w:val="center"/>
          </w:tcPr>
          <w:p w14:paraId="19632A37" w14:textId="77777777" w:rsidR="00EA33DF" w:rsidRPr="00404DA5" w:rsidRDefault="00EA33DF" w:rsidP="00BA3B1C">
            <w:pPr>
              <w:spacing w:line="276" w:lineRule="auto"/>
              <w:jc w:val="center"/>
              <w:rPr>
                <w:rFonts w:cs="Calibri"/>
                <w:sz w:val="18"/>
                <w:szCs w:val="18"/>
              </w:rPr>
            </w:pPr>
            <w:r w:rsidRPr="00404DA5">
              <w:rPr>
                <w:rFonts w:cs="Calibri"/>
                <w:sz w:val="18"/>
                <w:szCs w:val="18"/>
              </w:rPr>
              <w:t>124,1%</w:t>
            </w:r>
          </w:p>
        </w:tc>
        <w:tc>
          <w:tcPr>
            <w:tcW w:w="0" w:type="auto"/>
            <w:shd w:val="clear" w:color="auto" w:fill="auto"/>
            <w:vAlign w:val="center"/>
          </w:tcPr>
          <w:p w14:paraId="0C57461E" w14:textId="77777777" w:rsidR="00EA33DF" w:rsidRPr="00404DA5" w:rsidRDefault="00EA33DF" w:rsidP="00BA3B1C">
            <w:pPr>
              <w:spacing w:line="276" w:lineRule="auto"/>
              <w:jc w:val="center"/>
              <w:rPr>
                <w:rFonts w:cs="Calibri"/>
                <w:sz w:val="18"/>
                <w:szCs w:val="18"/>
              </w:rPr>
            </w:pPr>
            <w:r>
              <w:rPr>
                <w:rFonts w:cs="Calibri"/>
                <w:sz w:val="18"/>
                <w:szCs w:val="18"/>
              </w:rPr>
              <w:t>283 778 137</w:t>
            </w:r>
          </w:p>
        </w:tc>
        <w:tc>
          <w:tcPr>
            <w:tcW w:w="0" w:type="auto"/>
            <w:shd w:val="clear" w:color="auto" w:fill="auto"/>
            <w:vAlign w:val="center"/>
          </w:tcPr>
          <w:p w14:paraId="0B29A0FA" w14:textId="77777777" w:rsidR="00EA33DF" w:rsidRPr="00404DA5" w:rsidRDefault="00EA33DF" w:rsidP="00BA3B1C">
            <w:pPr>
              <w:spacing w:line="276" w:lineRule="auto"/>
              <w:jc w:val="center"/>
              <w:rPr>
                <w:rFonts w:cs="Calibri"/>
                <w:sz w:val="18"/>
                <w:szCs w:val="18"/>
              </w:rPr>
            </w:pPr>
            <w:r>
              <w:rPr>
                <w:rFonts w:cs="Calibri"/>
                <w:sz w:val="18"/>
                <w:szCs w:val="18"/>
              </w:rPr>
              <w:t>15,1</w:t>
            </w:r>
            <w:r w:rsidRPr="00404DA5">
              <w:rPr>
                <w:rFonts w:cs="Calibri"/>
                <w:sz w:val="18"/>
                <w:szCs w:val="18"/>
              </w:rPr>
              <w:t>%</w:t>
            </w:r>
          </w:p>
        </w:tc>
        <w:tc>
          <w:tcPr>
            <w:tcW w:w="0" w:type="auto"/>
            <w:shd w:val="clear" w:color="auto" w:fill="auto"/>
            <w:vAlign w:val="center"/>
          </w:tcPr>
          <w:p w14:paraId="57115383" w14:textId="77777777" w:rsidR="00EA33DF" w:rsidRPr="00404DA5" w:rsidRDefault="00EA33DF" w:rsidP="00BA3B1C">
            <w:pPr>
              <w:spacing w:line="276" w:lineRule="auto"/>
              <w:jc w:val="center"/>
              <w:rPr>
                <w:rFonts w:cs="Calibri"/>
                <w:sz w:val="18"/>
                <w:szCs w:val="18"/>
              </w:rPr>
            </w:pPr>
            <w:r>
              <w:rPr>
                <w:rFonts w:cs="Calibri"/>
                <w:sz w:val="18"/>
                <w:szCs w:val="18"/>
              </w:rPr>
              <w:t>74,8</w:t>
            </w:r>
            <w:r w:rsidRPr="00404DA5">
              <w:rPr>
                <w:rFonts w:cs="Calibri"/>
                <w:sz w:val="18"/>
                <w:szCs w:val="18"/>
              </w:rPr>
              <w:t>2%</w:t>
            </w:r>
          </w:p>
        </w:tc>
      </w:tr>
    </w:tbl>
    <w:bookmarkEnd w:id="73"/>
    <w:p w14:paraId="6DDD9806" w14:textId="79ADCC8C" w:rsidR="00724F83" w:rsidRPr="002A5FDF" w:rsidRDefault="00EA33DF" w:rsidP="005076BF">
      <w:pPr>
        <w:spacing w:before="0"/>
        <w:rPr>
          <w:rFonts w:cs="Calibri"/>
          <w:i/>
          <w:sz w:val="18"/>
        </w:rPr>
      </w:pPr>
      <w:r w:rsidRPr="002A5FDF">
        <w:rPr>
          <w:rFonts w:cs="Calibri"/>
          <w:i/>
          <w:sz w:val="18"/>
        </w:rPr>
        <w:t>Źródło: RPO WZ 2014-2020</w:t>
      </w:r>
      <w:r w:rsidR="00E66B89" w:rsidRPr="002A5FDF">
        <w:rPr>
          <w:rFonts w:cs="Calibri"/>
          <w:i/>
          <w:sz w:val="18"/>
        </w:rPr>
        <w:t xml:space="preserve"> z </w:t>
      </w:r>
      <w:r w:rsidRPr="002A5FDF">
        <w:rPr>
          <w:rFonts w:cs="Calibri"/>
          <w:i/>
          <w:sz w:val="18"/>
        </w:rPr>
        <w:t>26.07.2018 r., informacja kwartalna za IV kw. 2018 r., obliczenia % realizacji wartości docelowej RW na podstawie danych SL2014</w:t>
      </w:r>
      <w:r w:rsidR="00E66B89" w:rsidRPr="002A5FDF">
        <w:rPr>
          <w:rFonts w:cs="Calibri"/>
          <w:i/>
          <w:sz w:val="18"/>
        </w:rPr>
        <w:t xml:space="preserve"> z </w:t>
      </w:r>
      <w:r w:rsidRPr="002A5FDF">
        <w:rPr>
          <w:rFonts w:cs="Calibri"/>
          <w:i/>
          <w:sz w:val="18"/>
        </w:rPr>
        <w:t>dnia 07.01.2019 r.</w:t>
      </w:r>
    </w:p>
    <w:p w14:paraId="691E0521" w14:textId="77777777" w:rsidR="003824A1" w:rsidRPr="00FE43CD" w:rsidRDefault="003824A1" w:rsidP="00410B29">
      <w:pPr>
        <w:pStyle w:val="Nagwek3"/>
      </w:pPr>
      <w:r w:rsidRPr="00FE43CD">
        <w:t xml:space="preserve">Priorytet inwestycyjny nr </w:t>
      </w:r>
      <w:r>
        <w:t>4a</w:t>
      </w:r>
      <w:r w:rsidRPr="00FE43CD">
        <w:t xml:space="preserve"> (Działania </w:t>
      </w:r>
      <w:r>
        <w:t>2.9</w:t>
      </w:r>
      <w:r w:rsidRPr="00FE43CD">
        <w:t xml:space="preserve">, </w:t>
      </w:r>
      <w:r>
        <w:t>2.10, 2.11</w:t>
      </w:r>
      <w:r w:rsidRPr="00FE43CD">
        <w:t>)</w:t>
      </w:r>
    </w:p>
    <w:p w14:paraId="3FB7B302" w14:textId="77777777" w:rsidR="003824A1" w:rsidRPr="00074292" w:rsidRDefault="003824A1" w:rsidP="003824A1">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r>
        <w:rPr>
          <w:rFonts w:ascii="Lato" w:eastAsia="Calibri" w:hAnsi="Lato"/>
        </w:rPr>
        <w:t>4a</w:t>
      </w:r>
    </w:p>
    <w:p w14:paraId="055B1C69" w14:textId="77777777" w:rsidR="003E5F72" w:rsidRPr="00404DA5" w:rsidRDefault="003E5F72" w:rsidP="003E5F72">
      <w:pPr>
        <w:rPr>
          <w:rFonts w:cs="Calibri"/>
          <w:szCs w:val="20"/>
        </w:rPr>
      </w:pPr>
      <w:r w:rsidRPr="00404DA5">
        <w:rPr>
          <w:rFonts w:cs="Calibri"/>
          <w:szCs w:val="20"/>
        </w:rPr>
        <w:t>Według stanu na 07.01.2019 r.</w:t>
      </w:r>
      <w:r w:rsidR="00E66B89">
        <w:rPr>
          <w:rFonts w:cs="Calibri"/>
          <w:szCs w:val="20"/>
        </w:rPr>
        <w:t xml:space="preserve"> w </w:t>
      </w:r>
      <w:r w:rsidRPr="00404DA5">
        <w:rPr>
          <w:rFonts w:cs="Calibri"/>
          <w:szCs w:val="20"/>
        </w:rPr>
        <w:t>ramach PI 4a zawarto 168 umów, których wartość dofinansowania UE to 215 471 470,49 zł, co oznacza, iż poziom kontraktacji osiągnął 87,6%. Wartość unijnego wkładu</w:t>
      </w:r>
      <w:r w:rsidR="00E66B89">
        <w:rPr>
          <w:rFonts w:cs="Calibri"/>
          <w:szCs w:val="20"/>
        </w:rPr>
        <w:t xml:space="preserve"> w </w:t>
      </w:r>
      <w:r w:rsidRPr="00404DA5">
        <w:rPr>
          <w:rFonts w:cs="Calibri"/>
          <w:szCs w:val="20"/>
        </w:rPr>
        <w:t>zatwierdzonych wnioskach</w:t>
      </w:r>
      <w:r w:rsidR="00E66B89">
        <w:rPr>
          <w:rFonts w:cs="Calibri"/>
          <w:szCs w:val="20"/>
        </w:rPr>
        <w:t xml:space="preserve"> o </w:t>
      </w:r>
      <w:r w:rsidRPr="00404DA5">
        <w:rPr>
          <w:rFonts w:cs="Calibri"/>
          <w:szCs w:val="20"/>
        </w:rPr>
        <w:t>płatność wyniosła 33 872 872,05 zł (poziom certyfikacji to 13,8%). Dla PI 4a nie przewidziano przyznania środków</w:t>
      </w:r>
      <w:r w:rsidR="00E66B89">
        <w:rPr>
          <w:rFonts w:cs="Calibri"/>
          <w:szCs w:val="20"/>
        </w:rPr>
        <w:t xml:space="preserve"> z </w:t>
      </w:r>
      <w:r w:rsidRPr="00404DA5">
        <w:rPr>
          <w:rFonts w:cs="Calibri"/>
          <w:szCs w:val="20"/>
        </w:rPr>
        <w:t xml:space="preserve">rezerwy wykonania. </w:t>
      </w:r>
    </w:p>
    <w:p w14:paraId="135DA2F7" w14:textId="77777777" w:rsidR="003E5F72" w:rsidRPr="00404DA5" w:rsidRDefault="003E5F72" w:rsidP="003E5F72">
      <w:pPr>
        <w:rPr>
          <w:rFonts w:cs="Calibri"/>
          <w:szCs w:val="20"/>
        </w:rPr>
      </w:pPr>
      <w:r w:rsidRPr="00404DA5">
        <w:rPr>
          <w:rFonts w:cs="Calibri"/>
          <w:szCs w:val="20"/>
        </w:rPr>
        <w:t>Interwencja wdrażana</w:t>
      </w:r>
      <w:r w:rsidR="00E66B89">
        <w:rPr>
          <w:rFonts w:cs="Calibri"/>
          <w:szCs w:val="20"/>
        </w:rPr>
        <w:t xml:space="preserve"> w </w:t>
      </w:r>
      <w:r w:rsidRPr="00404DA5">
        <w:rPr>
          <w:rFonts w:cs="Calibri"/>
          <w:szCs w:val="20"/>
        </w:rPr>
        <w:t>ramach PI 4a mierzona jest poprzez cztery wskaźniki programowe, realizowane</w:t>
      </w:r>
      <w:r w:rsidR="00E66B89">
        <w:rPr>
          <w:rFonts w:cs="Calibri"/>
          <w:szCs w:val="20"/>
        </w:rPr>
        <w:t xml:space="preserve"> w </w:t>
      </w:r>
      <w:r w:rsidRPr="00404DA5">
        <w:rPr>
          <w:rFonts w:cs="Calibri"/>
          <w:szCs w:val="20"/>
        </w:rPr>
        <w:t xml:space="preserve">Działaniu 2.9 </w:t>
      </w:r>
      <w:r w:rsidRPr="00404DA5">
        <w:rPr>
          <w:rFonts w:cs="Calibri"/>
          <w:i/>
          <w:szCs w:val="20"/>
        </w:rPr>
        <w:t>Zastępowanie konwencjonalnych źródeł energii źródłami odnawialnymi</w:t>
      </w:r>
      <w:r w:rsidRPr="00404DA5">
        <w:rPr>
          <w:rFonts w:cs="Calibri"/>
          <w:szCs w:val="20"/>
        </w:rPr>
        <w:t xml:space="preserve"> oraz 2.10 </w:t>
      </w:r>
      <w:r w:rsidRPr="00404DA5">
        <w:rPr>
          <w:rFonts w:cs="Calibri"/>
          <w:i/>
          <w:szCs w:val="20"/>
        </w:rPr>
        <w:t>Zwiększenie wykorzystania odnawialnych źródeł</w:t>
      </w:r>
      <w:r w:rsidRPr="00404DA5">
        <w:rPr>
          <w:rFonts w:cs="Calibri"/>
          <w:szCs w:val="20"/>
        </w:rPr>
        <w:t>.</w:t>
      </w:r>
      <w:r w:rsidR="00E66B89">
        <w:rPr>
          <w:rFonts w:cs="Calibri"/>
          <w:szCs w:val="20"/>
        </w:rPr>
        <w:t xml:space="preserve"> W </w:t>
      </w:r>
      <w:r w:rsidRPr="00404DA5">
        <w:rPr>
          <w:rFonts w:cs="Calibri"/>
          <w:szCs w:val="20"/>
        </w:rPr>
        <w:t xml:space="preserve">przypadku wskaźnika </w:t>
      </w:r>
      <w:r w:rsidRPr="00404DA5">
        <w:rPr>
          <w:rFonts w:cs="Calibri"/>
          <w:i/>
          <w:szCs w:val="20"/>
        </w:rPr>
        <w:t>Liczba jednostek wytwarzania energii elektrycznej</w:t>
      </w:r>
      <w:r w:rsidR="00E66B89">
        <w:rPr>
          <w:rFonts w:cs="Calibri"/>
          <w:i/>
          <w:szCs w:val="20"/>
        </w:rPr>
        <w:t xml:space="preserve"> z </w:t>
      </w:r>
      <w:r w:rsidRPr="00404DA5">
        <w:rPr>
          <w:rFonts w:cs="Calibri"/>
          <w:i/>
          <w:szCs w:val="20"/>
        </w:rPr>
        <w:t>OZE</w:t>
      </w:r>
      <w:r w:rsidRPr="00404DA5">
        <w:rPr>
          <w:rFonts w:cs="Calibri"/>
          <w:szCs w:val="20"/>
        </w:rPr>
        <w:t>, wartość deklarowana</w:t>
      </w:r>
      <w:r w:rsidR="00E66B89">
        <w:rPr>
          <w:rFonts w:cs="Calibri"/>
          <w:szCs w:val="20"/>
        </w:rPr>
        <w:t xml:space="preserve"> w </w:t>
      </w:r>
      <w:r w:rsidRPr="00404DA5">
        <w:rPr>
          <w:rFonts w:cs="Calibri"/>
          <w:szCs w:val="20"/>
        </w:rPr>
        <w:t>podpisanych umowach</w:t>
      </w:r>
      <w:r w:rsidR="00E66B89">
        <w:rPr>
          <w:rFonts w:cs="Calibri"/>
          <w:szCs w:val="20"/>
        </w:rPr>
        <w:t xml:space="preserve"> o </w:t>
      </w:r>
      <w:r w:rsidRPr="00404DA5">
        <w:rPr>
          <w:rFonts w:cs="Calibri"/>
          <w:szCs w:val="20"/>
        </w:rPr>
        <w:t>dofinansowanie znacząco przekracza wartość docelową (974,4% celu na 2023 r.). Poziom realizacji wskaźnika również jest dość wysoki (79,1%), co oznacza, iż postęp rzeczowy odpowiada postępowi finansowemu. Ze znacznym przekroczeniem wartości docelowej wskaźnika mamy również do czynienia</w:t>
      </w:r>
      <w:r w:rsidR="00E66B89">
        <w:rPr>
          <w:rFonts w:cs="Calibri"/>
          <w:szCs w:val="20"/>
        </w:rPr>
        <w:t xml:space="preserve"> w </w:t>
      </w:r>
      <w:r w:rsidRPr="00404DA5">
        <w:rPr>
          <w:rFonts w:cs="Calibri"/>
          <w:szCs w:val="20"/>
        </w:rPr>
        <w:t xml:space="preserve">przypadku </w:t>
      </w:r>
      <w:r w:rsidRPr="00404DA5">
        <w:rPr>
          <w:rFonts w:cs="Calibri"/>
          <w:i/>
          <w:szCs w:val="20"/>
        </w:rPr>
        <w:t>Liczby jednostek wytwarzania energii cieplnej</w:t>
      </w:r>
      <w:r w:rsidR="00E66B89">
        <w:rPr>
          <w:rFonts w:cs="Calibri"/>
          <w:i/>
          <w:szCs w:val="20"/>
        </w:rPr>
        <w:t xml:space="preserve"> z </w:t>
      </w:r>
      <w:r w:rsidRPr="00404DA5">
        <w:rPr>
          <w:rFonts w:cs="Calibri"/>
          <w:i/>
          <w:szCs w:val="20"/>
        </w:rPr>
        <w:t>OZE</w:t>
      </w:r>
      <w:r w:rsidRPr="00404DA5">
        <w:rPr>
          <w:rFonts w:cs="Calibri"/>
          <w:szCs w:val="20"/>
        </w:rPr>
        <w:t xml:space="preserve"> – wartość deklarowana przez beneficjentów</w:t>
      </w:r>
      <w:r w:rsidR="00E66B89">
        <w:rPr>
          <w:rFonts w:cs="Calibri"/>
          <w:szCs w:val="20"/>
        </w:rPr>
        <w:t xml:space="preserve"> w </w:t>
      </w:r>
      <w:r w:rsidRPr="00404DA5">
        <w:rPr>
          <w:rFonts w:cs="Calibri"/>
          <w:szCs w:val="20"/>
        </w:rPr>
        <w:t>podpisanych umowach jest ponad dwudziestokrotnie wyższa niż wartość wyznaczona na 2023 r.</w:t>
      </w:r>
      <w:r>
        <w:rPr>
          <w:rFonts w:cs="Calibri"/>
          <w:szCs w:val="20"/>
        </w:rPr>
        <w:t xml:space="preserve">, </w:t>
      </w:r>
      <w:r w:rsidRPr="000B272F">
        <w:rPr>
          <w:rFonts w:cs="Calibri"/>
          <w:szCs w:val="20"/>
        </w:rPr>
        <w:t>co wynika przede wszystkim</w:t>
      </w:r>
      <w:r w:rsidR="00E66B89">
        <w:rPr>
          <w:rFonts w:cs="Calibri"/>
          <w:szCs w:val="20"/>
        </w:rPr>
        <w:t xml:space="preserve"> z </w:t>
      </w:r>
      <w:r w:rsidRPr="000B272F">
        <w:rPr>
          <w:rFonts w:cs="Calibri"/>
          <w:szCs w:val="20"/>
        </w:rPr>
        <w:t>założeń realizacji jednego projektu,</w:t>
      </w:r>
      <w:r w:rsidR="00E66B89">
        <w:rPr>
          <w:rFonts w:cs="Calibri"/>
          <w:szCs w:val="20"/>
        </w:rPr>
        <w:t xml:space="preserve"> w </w:t>
      </w:r>
      <w:r w:rsidRPr="000B272F">
        <w:rPr>
          <w:rFonts w:cs="Calibri"/>
          <w:szCs w:val="20"/>
        </w:rPr>
        <w:t>ramach którego realizowanych jest 910 jednostek wytwarzania energii cieplnej</w:t>
      </w:r>
      <w:r w:rsidR="00E66B89">
        <w:rPr>
          <w:rFonts w:cs="Calibri"/>
          <w:szCs w:val="20"/>
        </w:rPr>
        <w:t xml:space="preserve"> z </w:t>
      </w:r>
      <w:r w:rsidRPr="000B272F">
        <w:rPr>
          <w:rFonts w:cs="Calibri"/>
          <w:szCs w:val="20"/>
        </w:rPr>
        <w:t>OZE</w:t>
      </w:r>
      <w:r>
        <w:rPr>
          <w:rFonts w:cs="Calibri"/>
          <w:szCs w:val="20"/>
        </w:rPr>
        <w:t>.</w:t>
      </w:r>
      <w:r w:rsidRPr="00404DA5">
        <w:rPr>
          <w:rFonts w:cs="Calibri"/>
          <w:szCs w:val="20"/>
        </w:rPr>
        <w:t xml:space="preserve"> Niski jest natomiast poziom realizacji wskaźnika według złożonych wniosków</w:t>
      </w:r>
      <w:r w:rsidR="00E66B89">
        <w:rPr>
          <w:rFonts w:cs="Calibri"/>
          <w:szCs w:val="20"/>
        </w:rPr>
        <w:t xml:space="preserve"> o </w:t>
      </w:r>
      <w:r w:rsidRPr="00404DA5">
        <w:rPr>
          <w:rFonts w:cs="Calibri"/>
          <w:szCs w:val="20"/>
        </w:rPr>
        <w:t>płatność (2,3%), co wynika</w:t>
      </w:r>
      <w:r w:rsidR="00E66B89">
        <w:rPr>
          <w:rFonts w:cs="Calibri"/>
          <w:szCs w:val="20"/>
        </w:rPr>
        <w:t xml:space="preserve"> z </w:t>
      </w:r>
      <w:r w:rsidRPr="00404DA5">
        <w:rPr>
          <w:rFonts w:cs="Calibri"/>
          <w:szCs w:val="20"/>
        </w:rPr>
        <w:t>tego, iż projekty je realizujące jeszcze się nie rozpoczęły bądź nie złożono do tej pory raportującego ich wykonanie wniosku</w:t>
      </w:r>
      <w:r w:rsidR="00E66B89">
        <w:rPr>
          <w:rFonts w:cs="Calibri"/>
          <w:szCs w:val="20"/>
        </w:rPr>
        <w:t xml:space="preserve"> o </w:t>
      </w:r>
      <w:r w:rsidRPr="00404DA5">
        <w:rPr>
          <w:rFonts w:cs="Calibri"/>
          <w:szCs w:val="20"/>
        </w:rPr>
        <w:t xml:space="preserve">płatność. </w:t>
      </w:r>
    </w:p>
    <w:p w14:paraId="0A41A7C3" w14:textId="77777777" w:rsidR="003E5F72" w:rsidRPr="00404DA5" w:rsidRDefault="003E5F72" w:rsidP="003E5F72">
      <w:pPr>
        <w:rPr>
          <w:rFonts w:cs="Calibri"/>
          <w:szCs w:val="20"/>
        </w:rPr>
      </w:pPr>
      <w:r w:rsidRPr="00404DA5">
        <w:rPr>
          <w:rFonts w:cs="Calibri"/>
          <w:szCs w:val="20"/>
        </w:rPr>
        <w:lastRenderedPageBreak/>
        <w:t>Działaniem zaradczym podjętym</w:t>
      </w:r>
      <w:r w:rsidR="00E66B89">
        <w:rPr>
          <w:rFonts w:cs="Calibri"/>
          <w:szCs w:val="20"/>
        </w:rPr>
        <w:t xml:space="preserve"> w </w:t>
      </w:r>
      <w:r w:rsidRPr="00404DA5">
        <w:rPr>
          <w:rFonts w:cs="Calibri"/>
          <w:szCs w:val="20"/>
        </w:rPr>
        <w:t>celu dopasowania wartości docelowych do istniejących realiów były zmiany wartości docelowych dokonane</w:t>
      </w:r>
      <w:r w:rsidR="00E66B89">
        <w:rPr>
          <w:rFonts w:cs="Calibri"/>
          <w:szCs w:val="20"/>
        </w:rPr>
        <w:t xml:space="preserve"> w </w:t>
      </w:r>
      <w:r w:rsidRPr="00404DA5">
        <w:rPr>
          <w:rFonts w:cs="Calibri"/>
          <w:szCs w:val="20"/>
        </w:rPr>
        <w:t>połowie 2018 r. Zmiana polegała na zwiększeniu wartości wskaźnika dotyczącego produkcji energii elektrycznej (z 20 na 43) oraz zmniejszenia wartości wskaźnika dotyczącego produkcji energii cieplnej (z 67 na 44), co było związane</w:t>
      </w:r>
      <w:r w:rsidR="00E66B89">
        <w:rPr>
          <w:rFonts w:cs="Calibri"/>
          <w:szCs w:val="20"/>
        </w:rPr>
        <w:t xml:space="preserve"> z </w:t>
      </w:r>
      <w:r w:rsidRPr="00404DA5">
        <w:rPr>
          <w:rFonts w:cs="Calibri"/>
          <w:szCs w:val="20"/>
        </w:rPr>
        <w:t>dostosowaniem ich wartości do realiów panujących na rynku OZE oraz zainteresowania wnioskodawców</w:t>
      </w:r>
      <w:r w:rsidRPr="00404DA5">
        <w:rPr>
          <w:rStyle w:val="Odwoanieprzypisudolnego"/>
          <w:rFonts w:cs="Calibri"/>
          <w:szCs w:val="20"/>
        </w:rPr>
        <w:footnoteReference w:id="25"/>
      </w:r>
      <w:r w:rsidRPr="00404DA5">
        <w:rPr>
          <w:rFonts w:cs="Calibri"/>
          <w:szCs w:val="20"/>
        </w:rPr>
        <w:t>. Zmiany wartości docelowych były wynikiem zmiany alokacji przeznaczonej na energetykę wiatrową</w:t>
      </w:r>
      <w:r w:rsidR="00E66B89">
        <w:rPr>
          <w:rFonts w:cs="Calibri"/>
          <w:szCs w:val="20"/>
        </w:rPr>
        <w:t xml:space="preserve"> i </w:t>
      </w:r>
      <w:r w:rsidRPr="00404DA5">
        <w:rPr>
          <w:rFonts w:cs="Calibri"/>
          <w:szCs w:val="20"/>
        </w:rPr>
        <w:t>słoneczną. Jednak jak pokazuje stan realizacji wskaźników na dzień 07.01.2019 r., wprowadzone modyfikacje okazały się jednak niewystarczające</w:t>
      </w:r>
      <w:r w:rsidR="00E66B89">
        <w:rPr>
          <w:rFonts w:cs="Calibri"/>
          <w:szCs w:val="20"/>
        </w:rPr>
        <w:t xml:space="preserve"> i </w:t>
      </w:r>
      <w:r w:rsidRPr="00404DA5">
        <w:rPr>
          <w:rFonts w:cs="Calibri"/>
          <w:szCs w:val="20"/>
        </w:rPr>
        <w:t xml:space="preserve">docelowe wartości wskaźników wymagają dalszego urealnienia. </w:t>
      </w:r>
    </w:p>
    <w:p w14:paraId="13CDA900" w14:textId="77777777" w:rsidR="003E5F72" w:rsidRPr="00404DA5" w:rsidRDefault="003E5F72" w:rsidP="003E5F72">
      <w:pPr>
        <w:rPr>
          <w:rFonts w:cs="Calibri"/>
          <w:szCs w:val="20"/>
        </w:rPr>
      </w:pPr>
      <w:r w:rsidRPr="00404DA5">
        <w:rPr>
          <w:rFonts w:cs="Calibri"/>
          <w:szCs w:val="20"/>
        </w:rPr>
        <w:t>Wielokrotne przekroczenie docelowych wartości omówionych wyżej wskaźników wynika przede wszystkim</w:t>
      </w:r>
      <w:r w:rsidR="00E66B89">
        <w:rPr>
          <w:rFonts w:cs="Calibri"/>
          <w:szCs w:val="20"/>
        </w:rPr>
        <w:t xml:space="preserve"> z </w:t>
      </w:r>
      <w:r w:rsidRPr="00404DA5">
        <w:rPr>
          <w:rFonts w:cs="Calibri"/>
          <w:szCs w:val="20"/>
        </w:rPr>
        <w:t>rozbieżności między założeniami przyjętymi podczas szacowania wartości docelowych</w:t>
      </w:r>
      <w:r w:rsidR="00E66B89">
        <w:rPr>
          <w:rFonts w:cs="Calibri"/>
          <w:szCs w:val="20"/>
        </w:rPr>
        <w:t xml:space="preserve"> a </w:t>
      </w:r>
      <w:r w:rsidRPr="00404DA5">
        <w:rPr>
          <w:rFonts w:cs="Calibri"/>
          <w:szCs w:val="20"/>
        </w:rPr>
        <w:t>realną realizacją projektów</w:t>
      </w:r>
      <w:r w:rsidR="00E66B89">
        <w:rPr>
          <w:rFonts w:cs="Calibri"/>
          <w:szCs w:val="20"/>
        </w:rPr>
        <w:t xml:space="preserve"> w </w:t>
      </w:r>
      <w:r w:rsidRPr="00404DA5">
        <w:rPr>
          <w:rFonts w:cs="Calibri"/>
          <w:szCs w:val="20"/>
        </w:rPr>
        <w:t>ramach PI 4a. Szacunki przeprowadzone na etapie programowania, odnoszące się do kosztów produkcji energii</w:t>
      </w:r>
      <w:r w:rsidR="00E66B89">
        <w:rPr>
          <w:rFonts w:cs="Calibri"/>
          <w:szCs w:val="20"/>
        </w:rPr>
        <w:t xml:space="preserve"> w </w:t>
      </w:r>
      <w:r w:rsidRPr="00404DA5">
        <w:rPr>
          <w:rFonts w:cs="Calibri"/>
          <w:szCs w:val="20"/>
        </w:rPr>
        <w:t>projektach</w:t>
      </w:r>
      <w:r w:rsidR="00E66B89">
        <w:rPr>
          <w:rFonts w:cs="Calibri"/>
          <w:szCs w:val="20"/>
        </w:rPr>
        <w:t xml:space="preserve"> z </w:t>
      </w:r>
      <w:r w:rsidRPr="00404DA5">
        <w:rPr>
          <w:rFonts w:cs="Calibri"/>
          <w:szCs w:val="20"/>
        </w:rPr>
        <w:t>perspektywy 2007-2013 zakładały, iż beneficjenci będą</w:t>
      </w:r>
      <w:r w:rsidR="00E66B89">
        <w:rPr>
          <w:rFonts w:cs="Calibri"/>
          <w:szCs w:val="20"/>
        </w:rPr>
        <w:t xml:space="preserve"> w </w:t>
      </w:r>
      <w:r w:rsidRPr="00404DA5">
        <w:rPr>
          <w:rFonts w:cs="Calibri"/>
          <w:szCs w:val="20"/>
        </w:rPr>
        <w:t>swoich projektach wykorzystywać przede wszystkim energię biomasy</w:t>
      </w:r>
      <w:r w:rsidR="00E66B89">
        <w:rPr>
          <w:rFonts w:cs="Calibri"/>
          <w:szCs w:val="20"/>
        </w:rPr>
        <w:t xml:space="preserve"> i </w:t>
      </w:r>
      <w:r w:rsidRPr="00404DA5">
        <w:rPr>
          <w:rFonts w:cs="Calibri"/>
          <w:szCs w:val="20"/>
        </w:rPr>
        <w:t>energię wiatrową. Okazało się jednak, iż potencjalni odbiorcy wsparcia nie są zainteresowani tego rodzaju inwestycjami</w:t>
      </w:r>
      <w:r w:rsidR="00E66B89">
        <w:rPr>
          <w:rFonts w:cs="Calibri"/>
          <w:szCs w:val="20"/>
        </w:rPr>
        <w:t xml:space="preserve"> i </w:t>
      </w:r>
      <w:r w:rsidRPr="00404DA5">
        <w:rPr>
          <w:rFonts w:cs="Calibri"/>
          <w:szCs w:val="20"/>
        </w:rPr>
        <w:t>preferują produkcję energi</w:t>
      </w:r>
      <w:r>
        <w:rPr>
          <w:rFonts w:cs="Calibri"/>
          <w:szCs w:val="20"/>
        </w:rPr>
        <w:t>i</w:t>
      </w:r>
      <w:r w:rsidR="00E66B89">
        <w:rPr>
          <w:rFonts w:cs="Calibri"/>
          <w:szCs w:val="20"/>
        </w:rPr>
        <w:t xml:space="preserve"> z </w:t>
      </w:r>
      <w:r w:rsidRPr="00404DA5">
        <w:rPr>
          <w:rFonts w:cs="Calibri"/>
          <w:szCs w:val="20"/>
        </w:rPr>
        <w:t>wykorzystaniem ogniw fotowoltaicznych</w:t>
      </w:r>
      <w:r w:rsidR="00E66B89">
        <w:rPr>
          <w:rFonts w:cs="Calibri"/>
          <w:szCs w:val="20"/>
        </w:rPr>
        <w:t xml:space="preserve"> i </w:t>
      </w:r>
      <w:r w:rsidRPr="00404DA5">
        <w:rPr>
          <w:rFonts w:cs="Calibri"/>
          <w:szCs w:val="20"/>
        </w:rPr>
        <w:t>kolektorów słonecznych.</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tym, iż instalacje słoneczne są mniejsze</w:t>
      </w:r>
      <w:r w:rsidR="00E66B89">
        <w:rPr>
          <w:rFonts w:cs="Calibri"/>
          <w:szCs w:val="20"/>
        </w:rPr>
        <w:t xml:space="preserve"> i </w:t>
      </w:r>
      <w:r w:rsidRPr="00404DA5">
        <w:rPr>
          <w:rFonts w:cs="Calibri"/>
          <w:szCs w:val="20"/>
        </w:rPr>
        <w:t>mają mniejszą moc niż elektrownie wiatrowe</w:t>
      </w:r>
      <w:r w:rsidR="00E66B89">
        <w:rPr>
          <w:rFonts w:cs="Calibri"/>
          <w:szCs w:val="20"/>
        </w:rPr>
        <w:t xml:space="preserve"> i </w:t>
      </w:r>
      <w:r w:rsidRPr="00404DA5">
        <w:rPr>
          <w:rFonts w:cs="Calibri"/>
          <w:szCs w:val="20"/>
        </w:rPr>
        <w:t>biomasowe,</w:t>
      </w:r>
      <w:r w:rsidR="00E66B89">
        <w:rPr>
          <w:rFonts w:cs="Calibri"/>
          <w:szCs w:val="20"/>
        </w:rPr>
        <w:t xml:space="preserve"> a </w:t>
      </w:r>
      <w:r w:rsidRPr="00404DA5">
        <w:rPr>
          <w:rFonts w:cs="Calibri"/>
          <w:szCs w:val="20"/>
        </w:rPr>
        <w:t>wskaźnik odnosi się do liczby sztuk wspartych instalacji, beneficjenci mogli za pozyskane dofinansowanie wybudować więcej jednostek wytwarzania energii niż pierwotnie zakładano, co przełożyło się na przekroczenie wartości wskaźników.</w:t>
      </w:r>
      <w:r w:rsidR="00E66B89">
        <w:rPr>
          <w:rFonts w:cs="Calibri"/>
          <w:szCs w:val="20"/>
        </w:rPr>
        <w:t xml:space="preserve"> W </w:t>
      </w:r>
      <w:r w:rsidRPr="00404DA5">
        <w:rPr>
          <w:rFonts w:cs="Calibri"/>
          <w:szCs w:val="20"/>
        </w:rPr>
        <w:t>przypadku wskaźnika dotyczącego produkcji cieplnej przekroczenia są dwukrotnie większe, ponieważ koszty kolektorów słonecznych są dużo niższe niż koszty paneli fotowoltaicznych,</w:t>
      </w:r>
      <w:r w:rsidR="00E66B89">
        <w:rPr>
          <w:rFonts w:cs="Calibri"/>
          <w:szCs w:val="20"/>
        </w:rPr>
        <w:t xml:space="preserve"> a </w:t>
      </w:r>
      <w:r w:rsidRPr="00404DA5">
        <w:rPr>
          <w:rFonts w:cs="Calibri"/>
          <w:szCs w:val="20"/>
        </w:rPr>
        <w:t>wartości docelowe zostały określone na praktycznie tym samym poziomie (44</w:t>
      </w:r>
      <w:r w:rsidR="00E66B89">
        <w:rPr>
          <w:rFonts w:cs="Calibri"/>
          <w:szCs w:val="20"/>
        </w:rPr>
        <w:t xml:space="preserve"> i </w:t>
      </w:r>
      <w:r w:rsidRPr="00404DA5">
        <w:rPr>
          <w:rFonts w:cs="Calibri"/>
          <w:szCs w:val="20"/>
        </w:rPr>
        <w:t>43 jednostki).</w:t>
      </w:r>
      <w:r w:rsidR="008B706B">
        <w:rPr>
          <w:rFonts w:cs="Calibri"/>
          <w:szCs w:val="20"/>
        </w:rPr>
        <w:t xml:space="preserve"> </w:t>
      </w:r>
    </w:p>
    <w:p w14:paraId="53D93193" w14:textId="77777777" w:rsidR="003E5F72" w:rsidRPr="00404DA5" w:rsidRDefault="003E5F72" w:rsidP="003E5F72">
      <w:pPr>
        <w:rPr>
          <w:rFonts w:cs="Calibri"/>
          <w:szCs w:val="20"/>
        </w:rPr>
      </w:pPr>
      <w:r w:rsidRPr="00404DA5">
        <w:rPr>
          <w:rFonts w:cs="Calibri"/>
          <w:szCs w:val="20"/>
        </w:rPr>
        <w:t>Brak zainteresowania beneficjentów wykorzystywaniem wiatru</w:t>
      </w:r>
      <w:r w:rsidR="00E66B89">
        <w:rPr>
          <w:rFonts w:cs="Calibri"/>
          <w:szCs w:val="20"/>
        </w:rPr>
        <w:t xml:space="preserve"> i </w:t>
      </w:r>
      <w:r w:rsidRPr="00404DA5">
        <w:rPr>
          <w:rFonts w:cs="Calibri"/>
          <w:szCs w:val="20"/>
        </w:rPr>
        <w:t>biomasy do produkcji energii wynika najprawdopodobniej</w:t>
      </w:r>
      <w:r w:rsidR="00E66B89">
        <w:rPr>
          <w:rFonts w:cs="Calibri"/>
          <w:szCs w:val="20"/>
        </w:rPr>
        <w:t xml:space="preserve"> z </w:t>
      </w:r>
      <w:r w:rsidRPr="00404DA5">
        <w:rPr>
          <w:rFonts w:cs="Calibri"/>
          <w:szCs w:val="20"/>
        </w:rPr>
        <w:t>ograniczeń dotyczących maksymalnej mocy instalowanych elektrowni/jednostek –</w:t>
      </w:r>
      <w:r w:rsidR="00E66B89">
        <w:rPr>
          <w:rFonts w:cs="Calibri"/>
          <w:szCs w:val="20"/>
        </w:rPr>
        <w:t xml:space="preserve"> w </w:t>
      </w:r>
      <w:r>
        <w:rPr>
          <w:rFonts w:cs="Calibri"/>
          <w:szCs w:val="20"/>
        </w:rPr>
        <w:t>ramach RPO</w:t>
      </w:r>
      <w:r w:rsidRPr="00404DA5">
        <w:rPr>
          <w:rFonts w:cs="Calibri"/>
          <w:szCs w:val="20"/>
        </w:rPr>
        <w:t xml:space="preserve"> są one określone na dość niskim poziomie, co związane jest</w:t>
      </w:r>
      <w:r w:rsidR="00E66B89">
        <w:rPr>
          <w:rFonts w:cs="Calibri"/>
          <w:szCs w:val="20"/>
        </w:rPr>
        <w:t xml:space="preserve"> z </w:t>
      </w:r>
      <w:r w:rsidRPr="00404DA5">
        <w:rPr>
          <w:rFonts w:cs="Calibri"/>
          <w:szCs w:val="20"/>
        </w:rPr>
        <w:t>rozgraniczeniem wsparcia między programy regionalne</w:t>
      </w:r>
      <w:r w:rsidR="00E66B89">
        <w:rPr>
          <w:rFonts w:cs="Calibri"/>
          <w:szCs w:val="20"/>
        </w:rPr>
        <w:t xml:space="preserve"> a </w:t>
      </w:r>
      <w:r w:rsidRPr="00404DA5">
        <w:rPr>
          <w:rFonts w:cs="Calibri"/>
          <w:szCs w:val="20"/>
        </w:rPr>
        <w:t>PO IiŚ, (w ramach programu krajowego możliwe jest wsparcie dla instalacji</w:t>
      </w:r>
      <w:r w:rsidR="00E66B89">
        <w:rPr>
          <w:rFonts w:cs="Calibri"/>
          <w:szCs w:val="20"/>
        </w:rPr>
        <w:t xml:space="preserve"> o </w:t>
      </w:r>
      <w:r w:rsidRPr="00404DA5">
        <w:rPr>
          <w:rFonts w:cs="Calibri"/>
          <w:szCs w:val="20"/>
        </w:rPr>
        <w:t>wyższej mocy). Nie bez znaczenia był również fakt, iż realizacja małych projektów dotyczących instalacji ogniw fotowoltaicznych jest mniej skomplikowana</w:t>
      </w:r>
      <w:r w:rsidR="00E66B89">
        <w:rPr>
          <w:rFonts w:cs="Calibri"/>
          <w:szCs w:val="20"/>
        </w:rPr>
        <w:t xml:space="preserve"> i </w:t>
      </w:r>
      <w:r w:rsidRPr="00404DA5">
        <w:rPr>
          <w:rFonts w:cs="Calibri"/>
          <w:szCs w:val="20"/>
        </w:rPr>
        <w:t>trwa stosunkowo krócej niż budowa elektrowni</w:t>
      </w:r>
      <w:r w:rsidR="00E66B89">
        <w:rPr>
          <w:rFonts w:cs="Calibri"/>
          <w:szCs w:val="20"/>
        </w:rPr>
        <w:t xml:space="preserve"> z </w:t>
      </w:r>
      <w:r w:rsidRPr="00404DA5">
        <w:rPr>
          <w:rFonts w:cs="Calibri"/>
          <w:szCs w:val="20"/>
        </w:rPr>
        <w:t>biomasy czy instalacja wiatraków,</w:t>
      </w:r>
      <w:r w:rsidR="00E66B89">
        <w:rPr>
          <w:rFonts w:cs="Calibri"/>
          <w:szCs w:val="20"/>
        </w:rPr>
        <w:t xml:space="preserve"> a </w:t>
      </w:r>
      <w:r w:rsidRPr="00404DA5">
        <w:rPr>
          <w:rFonts w:cs="Calibri"/>
          <w:szCs w:val="20"/>
        </w:rPr>
        <w:t>zatem łatwiej</w:t>
      </w:r>
      <w:r w:rsidR="00E66B89">
        <w:rPr>
          <w:rFonts w:cs="Calibri"/>
          <w:szCs w:val="20"/>
        </w:rPr>
        <w:t xml:space="preserve"> o </w:t>
      </w:r>
      <w:r w:rsidRPr="00404DA5">
        <w:rPr>
          <w:rFonts w:cs="Calibri"/>
          <w:szCs w:val="20"/>
        </w:rPr>
        <w:t>znalezienie zainteresowanych tego rodzaju projektami wnioskodawców. Energetyka oparta</w:t>
      </w:r>
      <w:r w:rsidR="00E66B89">
        <w:rPr>
          <w:rFonts w:cs="Calibri"/>
          <w:szCs w:val="20"/>
        </w:rPr>
        <w:t xml:space="preserve"> o </w:t>
      </w:r>
      <w:r w:rsidRPr="00404DA5">
        <w:rPr>
          <w:rFonts w:cs="Calibri"/>
          <w:szCs w:val="20"/>
        </w:rPr>
        <w:t>wykorzystanie biomasy wymaga również zapewnienia stałych dostaw surowca, podczas gdy instalacje słoneczne są praktycznie bezobsługowe. Wpływ na zainteresowanie energetyką wiatrową mają również regulacje prawne - energetyki wiatrowej – przede wszystkim opodatkowanie części budowlanej</w:t>
      </w:r>
      <w:r w:rsidR="00E66B89">
        <w:rPr>
          <w:rFonts w:cs="Calibri"/>
          <w:szCs w:val="20"/>
        </w:rPr>
        <w:t xml:space="preserve"> i </w:t>
      </w:r>
      <w:r w:rsidRPr="00404DA5">
        <w:rPr>
          <w:rFonts w:cs="Calibri"/>
          <w:szCs w:val="20"/>
        </w:rPr>
        <w:t>technicznej wiatraka (po nowelizacji ustawy</w:t>
      </w:r>
      <w:r w:rsidR="00E66B89">
        <w:rPr>
          <w:rFonts w:cs="Calibri"/>
          <w:szCs w:val="20"/>
        </w:rPr>
        <w:t xml:space="preserve"> z </w:t>
      </w:r>
      <w:r w:rsidRPr="00404DA5">
        <w:rPr>
          <w:rFonts w:cs="Calibri"/>
          <w:szCs w:val="20"/>
        </w:rPr>
        <w:t>dnia 7 czerwca 2018 r.</w:t>
      </w:r>
      <w:r w:rsidR="00E66B89">
        <w:rPr>
          <w:rFonts w:cs="Calibri"/>
          <w:szCs w:val="20"/>
        </w:rPr>
        <w:t xml:space="preserve"> o </w:t>
      </w:r>
      <w:r w:rsidRPr="00404DA5">
        <w:rPr>
          <w:rFonts w:cs="Calibri"/>
          <w:szCs w:val="20"/>
        </w:rPr>
        <w:t>zmianie ustawy</w:t>
      </w:r>
      <w:r w:rsidR="00E66B89">
        <w:rPr>
          <w:rFonts w:cs="Calibri"/>
          <w:szCs w:val="20"/>
        </w:rPr>
        <w:t xml:space="preserve"> o </w:t>
      </w:r>
      <w:r w:rsidRPr="00404DA5">
        <w:rPr>
          <w:rFonts w:cs="Calibri"/>
          <w:szCs w:val="20"/>
        </w:rPr>
        <w:t>odnawialnych źródłach energii oraz niektórych innych ustaw opodatkowana jest jedynie część budowlana),</w:t>
      </w:r>
      <w:r w:rsidR="00E66B89">
        <w:rPr>
          <w:rFonts w:cs="Calibri"/>
          <w:szCs w:val="20"/>
        </w:rPr>
        <w:t xml:space="preserve"> a </w:t>
      </w:r>
      <w:r w:rsidRPr="00404DA5">
        <w:rPr>
          <w:rFonts w:cs="Calibri"/>
          <w:szCs w:val="20"/>
        </w:rPr>
        <w:t>także przepis dotyczący lokalizacji farm wiatrowych – zgodnie</w:t>
      </w:r>
      <w:r w:rsidR="00E66B89">
        <w:rPr>
          <w:rFonts w:cs="Calibri"/>
          <w:szCs w:val="20"/>
        </w:rPr>
        <w:t xml:space="preserve"> z </w:t>
      </w:r>
      <w:r w:rsidRPr="00404DA5">
        <w:rPr>
          <w:rFonts w:cs="Calibri"/>
          <w:szCs w:val="20"/>
        </w:rPr>
        <w:t>Ustawą</w:t>
      </w:r>
      <w:r w:rsidR="00E66B89">
        <w:rPr>
          <w:rFonts w:cs="Calibri"/>
          <w:szCs w:val="20"/>
        </w:rPr>
        <w:t xml:space="preserve"> z </w:t>
      </w:r>
      <w:r w:rsidRPr="00404DA5">
        <w:rPr>
          <w:rFonts w:cs="Calibri"/>
          <w:szCs w:val="20"/>
        </w:rPr>
        <w:t>dnia 20 maja 2016 r.</w:t>
      </w:r>
      <w:r w:rsidR="00E66B89">
        <w:rPr>
          <w:rFonts w:cs="Calibri"/>
          <w:szCs w:val="20"/>
        </w:rPr>
        <w:t xml:space="preserve"> o </w:t>
      </w:r>
      <w:r w:rsidRPr="00404DA5">
        <w:rPr>
          <w:rFonts w:cs="Calibri"/>
          <w:szCs w:val="20"/>
        </w:rPr>
        <w:t>inwestycjach</w:t>
      </w:r>
      <w:r w:rsidR="00E66B89">
        <w:rPr>
          <w:rFonts w:cs="Calibri"/>
          <w:szCs w:val="20"/>
        </w:rPr>
        <w:t xml:space="preserve"> w </w:t>
      </w:r>
      <w:r w:rsidRPr="00404DA5">
        <w:rPr>
          <w:rFonts w:cs="Calibri"/>
          <w:szCs w:val="20"/>
        </w:rPr>
        <w:t>zakresie elektrowni wiatrowych odnawialnych, elektrownie wiatrowe mogą być budowane</w:t>
      </w:r>
      <w:r w:rsidR="00E66B89">
        <w:rPr>
          <w:rFonts w:cs="Calibri"/>
          <w:szCs w:val="20"/>
        </w:rPr>
        <w:t xml:space="preserve"> w </w:t>
      </w:r>
      <w:r w:rsidRPr="00404DA5">
        <w:rPr>
          <w:rFonts w:cs="Calibri"/>
          <w:szCs w:val="20"/>
        </w:rPr>
        <w:t>odległości od budynków mieszkalnych, budynków</w:t>
      </w:r>
      <w:r w:rsidR="00E66B89">
        <w:rPr>
          <w:rFonts w:cs="Calibri"/>
          <w:szCs w:val="20"/>
        </w:rPr>
        <w:t xml:space="preserve"> o </w:t>
      </w:r>
      <w:r w:rsidRPr="00404DA5">
        <w:rPr>
          <w:rFonts w:cs="Calibri"/>
          <w:szCs w:val="20"/>
        </w:rPr>
        <w:t xml:space="preserve">funkcji mieszanej, form ochrony przyrody oraz leśnych kompleksów promocyjnych nie mniejszej niż dziesięciokrotność wysokości elektrowni wiatrowej mierzonej od poziomu gruntu do najwyższego punktu budowli. Ograniczenie to znacznie zmniejszyło obszar potencjalnej lokalizacji farm wiatrowych. </w:t>
      </w:r>
    </w:p>
    <w:p w14:paraId="4E4FC6AB" w14:textId="77777777" w:rsidR="003E5F72" w:rsidRPr="00404DA5" w:rsidRDefault="003E5F72" w:rsidP="003E5F72">
      <w:pPr>
        <w:rPr>
          <w:rFonts w:cs="Calibri"/>
          <w:szCs w:val="20"/>
        </w:rPr>
      </w:pPr>
      <w:r w:rsidRPr="00404DA5">
        <w:rPr>
          <w:rFonts w:cs="Calibri"/>
          <w:szCs w:val="20"/>
        </w:rPr>
        <w:t xml:space="preserve">W przypadku wskaźnika </w:t>
      </w:r>
      <w:r w:rsidRPr="00404DA5">
        <w:rPr>
          <w:rFonts w:cs="Calibri"/>
          <w:i/>
          <w:szCs w:val="20"/>
        </w:rPr>
        <w:t>Dodatkowa zdolność wytwarzania energii ze źródeł odnawialnych</w:t>
      </w:r>
      <w:r w:rsidRPr="00404DA5">
        <w:rPr>
          <w:rFonts w:cs="Calibri"/>
          <w:szCs w:val="20"/>
        </w:rPr>
        <w:t>, wartość deklarowana</w:t>
      </w:r>
      <w:r w:rsidR="00E66B89">
        <w:rPr>
          <w:rFonts w:cs="Calibri"/>
          <w:szCs w:val="20"/>
        </w:rPr>
        <w:t xml:space="preserve"> w </w:t>
      </w:r>
      <w:r w:rsidRPr="00404DA5">
        <w:rPr>
          <w:rFonts w:cs="Calibri"/>
          <w:szCs w:val="20"/>
        </w:rPr>
        <w:t>podpisanych umowach zapewnia realizację wskaźnika na poziomie 111,4%,</w:t>
      </w:r>
      <w:r w:rsidR="00E66B89">
        <w:rPr>
          <w:rFonts w:cs="Calibri"/>
          <w:szCs w:val="20"/>
        </w:rPr>
        <w:t xml:space="preserve"> a </w:t>
      </w:r>
      <w:r w:rsidRPr="00404DA5">
        <w:rPr>
          <w:rFonts w:cs="Calibri"/>
          <w:szCs w:val="20"/>
        </w:rPr>
        <w:t xml:space="preserve">zatem </w:t>
      </w:r>
      <w:r w:rsidRPr="00404DA5">
        <w:rPr>
          <w:rFonts w:cs="Calibri"/>
          <w:szCs w:val="20"/>
        </w:rPr>
        <w:lastRenderedPageBreak/>
        <w:t>przekroczenie docelowej wartości jest nieznaczne. Poziom realizacji wynikający</w:t>
      </w:r>
      <w:r w:rsidR="00E66B89">
        <w:rPr>
          <w:rFonts w:cs="Calibri"/>
          <w:szCs w:val="20"/>
        </w:rPr>
        <w:t xml:space="preserve"> z </w:t>
      </w:r>
      <w:r w:rsidRPr="00404DA5">
        <w:rPr>
          <w:rFonts w:cs="Calibri"/>
          <w:szCs w:val="20"/>
        </w:rPr>
        <w:t>zatwierdzonych wniosków</w:t>
      </w:r>
      <w:r w:rsidR="00E66B89">
        <w:rPr>
          <w:rFonts w:cs="Calibri"/>
          <w:szCs w:val="20"/>
        </w:rPr>
        <w:t xml:space="preserve"> o </w:t>
      </w:r>
      <w:r w:rsidRPr="00404DA5">
        <w:rPr>
          <w:rFonts w:cs="Calibri"/>
          <w:szCs w:val="20"/>
        </w:rPr>
        <w:t xml:space="preserve">płatność stanowi 10,4% wartości docelowej na 2023 r. </w:t>
      </w:r>
    </w:p>
    <w:p w14:paraId="65856808" w14:textId="77777777" w:rsidR="003E5F72" w:rsidRPr="00404DA5" w:rsidRDefault="003E5F72" w:rsidP="003E5F72">
      <w:pPr>
        <w:rPr>
          <w:rFonts w:cs="Calibri"/>
          <w:szCs w:val="20"/>
        </w:rPr>
      </w:pPr>
      <w:r w:rsidRPr="00404DA5">
        <w:rPr>
          <w:rFonts w:cs="Calibri"/>
          <w:szCs w:val="20"/>
        </w:rPr>
        <w:t xml:space="preserve">Poziom osiągnięcia celu na 2023 r. dla wskaźnika rezultatu bezpośredniego </w:t>
      </w:r>
      <w:r w:rsidRPr="00404DA5">
        <w:rPr>
          <w:rFonts w:cs="Calibri"/>
          <w:i/>
          <w:szCs w:val="20"/>
        </w:rPr>
        <w:t>Szacowany roczny spadek emisji gazów cieplarnianych</w:t>
      </w:r>
      <w:r w:rsidRPr="00404DA5">
        <w:rPr>
          <w:rFonts w:cs="Calibri"/>
          <w:szCs w:val="20"/>
        </w:rPr>
        <w:t xml:space="preserve"> według podpisanych umów sięga 736,7%. Znaczące przekroczenie zakładanej wartości wynika</w:t>
      </w:r>
      <w:r w:rsidR="00E66B89">
        <w:rPr>
          <w:rFonts w:cs="Calibri"/>
          <w:szCs w:val="20"/>
        </w:rPr>
        <w:t xml:space="preserve"> z </w:t>
      </w:r>
      <w:r w:rsidRPr="00404DA5">
        <w:rPr>
          <w:rFonts w:cs="Calibri"/>
          <w:szCs w:val="20"/>
        </w:rPr>
        <w:t>nieaktualności przyjętych</w:t>
      </w:r>
      <w:r w:rsidR="00E66B89">
        <w:rPr>
          <w:rFonts w:cs="Calibri"/>
          <w:szCs w:val="20"/>
        </w:rPr>
        <w:t xml:space="preserve"> w </w:t>
      </w:r>
      <w:r w:rsidRPr="00404DA5">
        <w:rPr>
          <w:rFonts w:cs="Calibri"/>
          <w:szCs w:val="20"/>
        </w:rPr>
        <w:t>metodologii danych. Metodologia szacowania wskaźnika opierała się na założeniach przyjętych na podstawie projektów realizowanych</w:t>
      </w:r>
      <w:r w:rsidR="00E66B89">
        <w:rPr>
          <w:rFonts w:cs="Calibri"/>
          <w:szCs w:val="20"/>
        </w:rPr>
        <w:t xml:space="preserve"> w </w:t>
      </w:r>
      <w:r w:rsidRPr="00404DA5">
        <w:rPr>
          <w:rFonts w:cs="Calibri"/>
          <w:szCs w:val="20"/>
        </w:rPr>
        <w:t>ramach PO IiŚ</w:t>
      </w:r>
      <w:r w:rsidR="00E66B89">
        <w:rPr>
          <w:rFonts w:cs="Calibri"/>
          <w:szCs w:val="20"/>
        </w:rPr>
        <w:t xml:space="preserve"> w </w:t>
      </w:r>
      <w:r w:rsidRPr="00404DA5">
        <w:rPr>
          <w:rFonts w:cs="Calibri"/>
          <w:szCs w:val="20"/>
        </w:rPr>
        <w:t xml:space="preserve">perspektywie 2007-2013. Postęp technologiczny oraz idący za nim spadek kosztów instalacji OZE (zwłaszcza fotowoltaicznych) oraz zwiększenie wydajności ich działania sprawiają, iż koszty jednostkowe pozyskania jednej jednostki wskaźnika obniżają się, dzięki czemu osiągnięta wartość wskaźnika jest większa, niż zakładano na etapie programowania. </w:t>
      </w:r>
      <w:r w:rsidRPr="000B272F">
        <w:rPr>
          <w:rFonts w:cs="Calibri"/>
          <w:szCs w:val="20"/>
        </w:rPr>
        <w:t>Spadek kosztów wytwarzania energii</w:t>
      </w:r>
      <w:r w:rsidR="00E66B89">
        <w:rPr>
          <w:rFonts w:cs="Calibri"/>
          <w:szCs w:val="20"/>
        </w:rPr>
        <w:t xml:space="preserve"> z </w:t>
      </w:r>
      <w:r w:rsidRPr="000B272F">
        <w:rPr>
          <w:rFonts w:cs="Calibri"/>
          <w:szCs w:val="20"/>
        </w:rPr>
        <w:t>OZE jest głównym czynnikiem wpływającym na wysoką efektywność wsparcia</w:t>
      </w:r>
      <w:r w:rsidR="00E66B89">
        <w:rPr>
          <w:rFonts w:cs="Calibri"/>
          <w:szCs w:val="20"/>
        </w:rPr>
        <w:t xml:space="preserve"> w </w:t>
      </w:r>
      <w:r w:rsidRPr="000B272F">
        <w:rPr>
          <w:rFonts w:cs="Calibri"/>
          <w:szCs w:val="20"/>
        </w:rPr>
        <w:t>stosunku do założeń powziętych na początku obecnej perspektywy finansowej. Wskazują na to przede wszystkim wielokrotnie niższe koszty jednostkowe niż zakładano na etapie szacowania docelowych wartości wskaźników.</w:t>
      </w:r>
    </w:p>
    <w:p w14:paraId="49F4F9E9" w14:textId="77777777" w:rsidR="003E5F72" w:rsidRPr="00404DA5" w:rsidRDefault="003E5F72" w:rsidP="003E5F72">
      <w:pPr>
        <w:rPr>
          <w:rFonts w:cs="Calibri"/>
          <w:szCs w:val="20"/>
        </w:rPr>
      </w:pPr>
      <w:r w:rsidRPr="00404DA5">
        <w:rPr>
          <w:rFonts w:cs="Calibri"/>
          <w:szCs w:val="20"/>
        </w:rPr>
        <w:t>Działaniem, które</w:t>
      </w:r>
      <w:r w:rsidR="00E66B89">
        <w:rPr>
          <w:rFonts w:cs="Calibri"/>
          <w:szCs w:val="20"/>
        </w:rPr>
        <w:t xml:space="preserve"> w </w:t>
      </w:r>
      <w:r w:rsidRPr="00404DA5">
        <w:rPr>
          <w:rFonts w:cs="Calibri"/>
          <w:szCs w:val="20"/>
        </w:rPr>
        <w:t xml:space="preserve">największym stopniu przyczynia się do </w:t>
      </w:r>
      <w:r>
        <w:rPr>
          <w:rFonts w:cs="Calibri"/>
          <w:szCs w:val="20"/>
        </w:rPr>
        <w:t>osiągnięcia wartości docelowych</w:t>
      </w:r>
      <w:r w:rsidR="008B706B">
        <w:rPr>
          <w:rFonts w:cs="Calibri"/>
          <w:szCs w:val="20"/>
        </w:rPr>
        <w:t xml:space="preserve"> </w:t>
      </w:r>
      <w:r w:rsidRPr="00404DA5">
        <w:rPr>
          <w:rFonts w:cs="Calibri"/>
          <w:szCs w:val="20"/>
        </w:rPr>
        <w:t xml:space="preserve">wskaźników jest Działanie 2.10 </w:t>
      </w:r>
      <w:r w:rsidRPr="00404DA5">
        <w:rPr>
          <w:rFonts w:cs="Calibri"/>
          <w:i/>
          <w:szCs w:val="20"/>
        </w:rPr>
        <w:t>Zwiększenie wykorzystania odnawialnych źródeł</w:t>
      </w:r>
      <w:r w:rsidRPr="00404DA5">
        <w:rPr>
          <w:rFonts w:cs="Calibri"/>
          <w:szCs w:val="20"/>
        </w:rPr>
        <w:t>, co wynika ze znacznie większej alokacji niż</w:t>
      </w:r>
      <w:r w:rsidR="00E66B89">
        <w:rPr>
          <w:rFonts w:cs="Calibri"/>
          <w:szCs w:val="20"/>
        </w:rPr>
        <w:t xml:space="preserve"> w </w:t>
      </w:r>
      <w:r w:rsidRPr="00404DA5">
        <w:rPr>
          <w:rFonts w:cs="Calibri"/>
          <w:szCs w:val="20"/>
        </w:rPr>
        <w:t xml:space="preserve">przypadku Działania 2.9 </w:t>
      </w:r>
      <w:r w:rsidRPr="00404DA5">
        <w:rPr>
          <w:rFonts w:cs="Calibri"/>
          <w:i/>
          <w:szCs w:val="20"/>
        </w:rPr>
        <w:t>Zastępowanie konwencjonalnych źródeł energii źródłami odnawialnymi</w:t>
      </w:r>
      <w:r w:rsidRPr="00404DA5">
        <w:rPr>
          <w:rFonts w:cs="Calibri"/>
          <w:szCs w:val="20"/>
        </w:rPr>
        <w:t xml:space="preserve">. Działanie 2.11 </w:t>
      </w:r>
      <w:r w:rsidRPr="00404DA5">
        <w:rPr>
          <w:rFonts w:cs="Calibri"/>
          <w:i/>
          <w:szCs w:val="20"/>
        </w:rPr>
        <w:t>Zwiększenie potencjału sieci energetycznej do odbioru energii</w:t>
      </w:r>
      <w:r w:rsidR="00E66B89">
        <w:rPr>
          <w:rFonts w:cs="Calibri"/>
          <w:i/>
          <w:szCs w:val="20"/>
        </w:rPr>
        <w:t xml:space="preserve"> z </w:t>
      </w:r>
      <w:r w:rsidRPr="00404DA5">
        <w:rPr>
          <w:rFonts w:cs="Calibri"/>
          <w:i/>
          <w:szCs w:val="20"/>
        </w:rPr>
        <w:t>odnawialnych źródeł energii</w:t>
      </w:r>
      <w:r w:rsidRPr="00404DA5">
        <w:rPr>
          <w:rFonts w:cs="Calibri"/>
          <w:szCs w:val="20"/>
        </w:rPr>
        <w:t>, wdrażane</w:t>
      </w:r>
      <w:r w:rsidR="00E66B89">
        <w:rPr>
          <w:rFonts w:cs="Calibri"/>
          <w:szCs w:val="20"/>
        </w:rPr>
        <w:t xml:space="preserve"> w </w:t>
      </w:r>
      <w:r w:rsidRPr="00404DA5">
        <w:rPr>
          <w:rFonts w:cs="Calibri"/>
          <w:szCs w:val="20"/>
        </w:rPr>
        <w:t xml:space="preserve">ramach PI 4a nie realizuje wskaźników programowych. </w:t>
      </w:r>
    </w:p>
    <w:p w14:paraId="3F72FFE7" w14:textId="77777777" w:rsidR="003E5F72" w:rsidRPr="00FE43CD" w:rsidRDefault="003E5F72" w:rsidP="006E34DC">
      <w:pPr>
        <w:pStyle w:val="Legenda"/>
        <w:spacing w:after="0"/>
      </w:pPr>
      <w:bookmarkStart w:id="74" w:name="_Toc8824131"/>
      <w:r w:rsidRPr="00FE43CD">
        <w:t xml:space="preserve">Tabela </w:t>
      </w:r>
      <w:r w:rsidR="00B72A80">
        <w:fldChar w:fldCharType="begin"/>
      </w:r>
      <w:r w:rsidR="00B72A80">
        <w:instrText xml:space="preserve"> SEQ Tabela \* ARABIC </w:instrText>
      </w:r>
      <w:r w:rsidR="00B72A80">
        <w:fldChar w:fldCharType="separate"/>
      </w:r>
      <w:r w:rsidR="00763345">
        <w:rPr>
          <w:noProof/>
        </w:rPr>
        <w:t>20</w:t>
      </w:r>
      <w:r w:rsidR="00B72A80">
        <w:fldChar w:fldCharType="end"/>
      </w:r>
      <w:r w:rsidRPr="00FE43CD">
        <w:t xml:space="preserve"> Wskaźniki produktu (PI </w:t>
      </w:r>
      <w:r>
        <w:t>4a</w:t>
      </w:r>
      <w:r w:rsidRPr="00FE43CD">
        <w:t>) – postęp rzeczowy</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81"/>
        <w:gridCol w:w="1251"/>
        <w:gridCol w:w="1263"/>
        <w:gridCol w:w="909"/>
        <w:gridCol w:w="951"/>
        <w:gridCol w:w="952"/>
        <w:gridCol w:w="951"/>
        <w:gridCol w:w="952"/>
      </w:tblGrid>
      <w:tr w:rsidR="003E5F72" w:rsidRPr="00A43AB4" w14:paraId="4D1F7DFD" w14:textId="77777777" w:rsidTr="00807CA9">
        <w:trPr>
          <w:tblHeader/>
        </w:trPr>
        <w:tc>
          <w:tcPr>
            <w:tcW w:w="0" w:type="auto"/>
            <w:shd w:val="clear" w:color="auto" w:fill="DBE5F1"/>
            <w:vAlign w:val="center"/>
          </w:tcPr>
          <w:p w14:paraId="39D01EA7" w14:textId="77777777" w:rsidR="003E5F72" w:rsidRPr="00404DA5" w:rsidRDefault="003E5F72" w:rsidP="00FF60A0">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0034CF6D" w14:textId="77777777" w:rsidR="003E5F72" w:rsidRPr="00404DA5" w:rsidRDefault="003E5F72" w:rsidP="00FF60A0">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05064B83" w14:textId="77777777" w:rsidR="003E5F72" w:rsidRPr="00404DA5" w:rsidRDefault="003E5F72" w:rsidP="00FF60A0">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5D8B9BEF" w14:textId="77777777" w:rsidR="003E5F72" w:rsidRPr="00404DA5" w:rsidRDefault="003E5F72" w:rsidP="00FF60A0">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4FEA02A4" w14:textId="77777777" w:rsidR="003E5F72" w:rsidRPr="00404DA5" w:rsidRDefault="003E5F72" w:rsidP="00FF60A0">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5F7426F7" w14:textId="77777777" w:rsidR="003E5F72" w:rsidRPr="00404DA5" w:rsidRDefault="003E5F72" w:rsidP="00FF60A0">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0607C653" w14:textId="77777777" w:rsidR="003E5F72" w:rsidRPr="00404DA5" w:rsidRDefault="003E5F72" w:rsidP="00FF60A0">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7350038A" w14:textId="77777777" w:rsidR="003E5F72" w:rsidRPr="00404DA5" w:rsidRDefault="003E5F72" w:rsidP="00FF60A0">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5FA4B779" w14:textId="77777777" w:rsidR="003E5F72" w:rsidRPr="00404DA5" w:rsidRDefault="003E5F72" w:rsidP="00FF60A0">
            <w:pPr>
              <w:jc w:val="center"/>
              <w:rPr>
                <w:rFonts w:cs="Calibri"/>
                <w:sz w:val="18"/>
                <w:szCs w:val="18"/>
              </w:rPr>
            </w:pPr>
            <w:r w:rsidRPr="00404DA5">
              <w:rPr>
                <w:rFonts w:cs="Calibri"/>
                <w:sz w:val="18"/>
                <w:szCs w:val="18"/>
              </w:rPr>
              <w:t>% realizacji wartości docelowej (wg WoP)</w:t>
            </w:r>
          </w:p>
        </w:tc>
      </w:tr>
      <w:tr w:rsidR="003E5F72" w:rsidRPr="00A43AB4" w14:paraId="3859E14B" w14:textId="77777777" w:rsidTr="00FF60A0">
        <w:tc>
          <w:tcPr>
            <w:tcW w:w="0" w:type="auto"/>
            <w:shd w:val="clear" w:color="auto" w:fill="auto"/>
            <w:vAlign w:val="center"/>
          </w:tcPr>
          <w:p w14:paraId="4C31355E" w14:textId="77777777" w:rsidR="003E5F72" w:rsidRPr="00404DA5" w:rsidRDefault="003E5F72" w:rsidP="00FF60A0">
            <w:pPr>
              <w:jc w:val="center"/>
              <w:rPr>
                <w:rFonts w:cs="Calibri"/>
                <w:sz w:val="18"/>
                <w:szCs w:val="18"/>
              </w:rPr>
            </w:pPr>
            <w:r w:rsidRPr="00404DA5">
              <w:rPr>
                <w:rFonts w:cs="Calibri"/>
                <w:sz w:val="18"/>
                <w:szCs w:val="18"/>
              </w:rPr>
              <w:t>WP</w:t>
            </w:r>
          </w:p>
        </w:tc>
        <w:tc>
          <w:tcPr>
            <w:tcW w:w="0" w:type="auto"/>
            <w:shd w:val="clear" w:color="auto" w:fill="auto"/>
          </w:tcPr>
          <w:p w14:paraId="16D9248D" w14:textId="669C0F88" w:rsidR="003E5F72" w:rsidRPr="00404DA5" w:rsidRDefault="003E5F72" w:rsidP="00FF60A0">
            <w:pPr>
              <w:jc w:val="center"/>
              <w:rPr>
                <w:rFonts w:cs="Calibri"/>
                <w:sz w:val="18"/>
                <w:szCs w:val="18"/>
              </w:rPr>
            </w:pPr>
            <w:r w:rsidRPr="00404DA5">
              <w:rPr>
                <w:rFonts w:cs="Calibri"/>
                <w:sz w:val="18"/>
                <w:szCs w:val="18"/>
              </w:rPr>
              <w:t>2.9</w:t>
            </w:r>
            <w:r w:rsidR="00991242">
              <w:rPr>
                <w:rFonts w:cs="Calibri"/>
                <w:sz w:val="18"/>
                <w:szCs w:val="18"/>
              </w:rPr>
              <w:t>,</w:t>
            </w:r>
          </w:p>
          <w:p w14:paraId="235C010D" w14:textId="77777777" w:rsidR="003E5F72" w:rsidRPr="00404DA5" w:rsidRDefault="003E5F72" w:rsidP="00FF60A0">
            <w:pPr>
              <w:jc w:val="center"/>
              <w:rPr>
                <w:rFonts w:cs="Calibri"/>
                <w:sz w:val="18"/>
                <w:szCs w:val="18"/>
              </w:rPr>
            </w:pPr>
            <w:r w:rsidRPr="00404DA5">
              <w:rPr>
                <w:rFonts w:cs="Calibri"/>
                <w:sz w:val="18"/>
                <w:szCs w:val="18"/>
              </w:rPr>
              <w:t>2.10</w:t>
            </w:r>
          </w:p>
        </w:tc>
        <w:tc>
          <w:tcPr>
            <w:tcW w:w="0" w:type="auto"/>
            <w:shd w:val="clear" w:color="auto" w:fill="auto"/>
            <w:vAlign w:val="center"/>
          </w:tcPr>
          <w:p w14:paraId="1BA122AC" w14:textId="77777777" w:rsidR="003E5F72" w:rsidRPr="00404DA5" w:rsidRDefault="003E5F72" w:rsidP="00FF60A0">
            <w:pPr>
              <w:jc w:val="center"/>
              <w:rPr>
                <w:rFonts w:cs="Calibri"/>
                <w:sz w:val="18"/>
                <w:szCs w:val="18"/>
              </w:rPr>
            </w:pPr>
            <w:r w:rsidRPr="00404DA5">
              <w:rPr>
                <w:rFonts w:cs="Calibri"/>
                <w:sz w:val="18"/>
                <w:szCs w:val="18"/>
              </w:rPr>
              <w:t>Liczba jednostek wytwarzania energii elektrycznej</w:t>
            </w:r>
            <w:r w:rsidR="00E66B89">
              <w:rPr>
                <w:rFonts w:cs="Calibri"/>
                <w:sz w:val="18"/>
                <w:szCs w:val="18"/>
              </w:rPr>
              <w:t xml:space="preserve"> z </w:t>
            </w:r>
            <w:r w:rsidRPr="00404DA5">
              <w:rPr>
                <w:rFonts w:cs="Calibri"/>
                <w:sz w:val="18"/>
                <w:szCs w:val="18"/>
              </w:rPr>
              <w:t>OZE</w:t>
            </w:r>
          </w:p>
        </w:tc>
        <w:tc>
          <w:tcPr>
            <w:tcW w:w="0" w:type="auto"/>
            <w:shd w:val="clear" w:color="auto" w:fill="auto"/>
            <w:vAlign w:val="center"/>
          </w:tcPr>
          <w:p w14:paraId="0FBBD6E3" w14:textId="77777777" w:rsidR="003E5F72" w:rsidRPr="00404DA5" w:rsidRDefault="003E5F72" w:rsidP="00FF60A0">
            <w:pPr>
              <w:jc w:val="center"/>
              <w:rPr>
                <w:rFonts w:cs="Calibri"/>
                <w:sz w:val="18"/>
                <w:szCs w:val="18"/>
              </w:rPr>
            </w:pPr>
            <w:r w:rsidRPr="00404DA5">
              <w:rPr>
                <w:rFonts w:cs="Calibri"/>
                <w:sz w:val="18"/>
                <w:szCs w:val="18"/>
              </w:rPr>
              <w:t>szt.</w:t>
            </w:r>
          </w:p>
        </w:tc>
        <w:tc>
          <w:tcPr>
            <w:tcW w:w="0" w:type="auto"/>
            <w:shd w:val="clear" w:color="auto" w:fill="auto"/>
            <w:vAlign w:val="center"/>
          </w:tcPr>
          <w:p w14:paraId="342F70FF" w14:textId="77777777" w:rsidR="003E5F72" w:rsidRPr="00404DA5" w:rsidRDefault="003E5F72" w:rsidP="00FF60A0">
            <w:pPr>
              <w:jc w:val="center"/>
              <w:rPr>
                <w:rFonts w:cs="Calibri"/>
                <w:sz w:val="18"/>
                <w:szCs w:val="18"/>
              </w:rPr>
            </w:pPr>
            <w:r w:rsidRPr="00404DA5">
              <w:rPr>
                <w:rFonts w:cs="Calibri"/>
                <w:sz w:val="18"/>
                <w:szCs w:val="18"/>
              </w:rPr>
              <w:t>43</w:t>
            </w:r>
          </w:p>
        </w:tc>
        <w:tc>
          <w:tcPr>
            <w:tcW w:w="0" w:type="auto"/>
            <w:shd w:val="clear" w:color="auto" w:fill="auto"/>
            <w:vAlign w:val="center"/>
          </w:tcPr>
          <w:p w14:paraId="1B0EB8C3" w14:textId="77777777" w:rsidR="003E5F72" w:rsidRPr="00404DA5" w:rsidRDefault="003E5F72" w:rsidP="00FF60A0">
            <w:pPr>
              <w:jc w:val="center"/>
              <w:rPr>
                <w:rFonts w:cs="Calibri"/>
                <w:sz w:val="18"/>
                <w:szCs w:val="18"/>
              </w:rPr>
            </w:pPr>
            <w:r w:rsidRPr="00404DA5">
              <w:rPr>
                <w:rFonts w:cs="Calibri"/>
                <w:sz w:val="18"/>
                <w:szCs w:val="18"/>
              </w:rPr>
              <w:t>419</w:t>
            </w:r>
          </w:p>
        </w:tc>
        <w:tc>
          <w:tcPr>
            <w:tcW w:w="0" w:type="auto"/>
            <w:shd w:val="clear" w:color="auto" w:fill="auto"/>
            <w:vAlign w:val="center"/>
          </w:tcPr>
          <w:p w14:paraId="1ED2C751" w14:textId="77777777" w:rsidR="003E5F72" w:rsidRPr="00404DA5" w:rsidRDefault="003E5F72" w:rsidP="00FF60A0">
            <w:pPr>
              <w:jc w:val="center"/>
              <w:rPr>
                <w:rFonts w:cs="Calibri"/>
                <w:sz w:val="18"/>
                <w:szCs w:val="18"/>
              </w:rPr>
            </w:pPr>
            <w:r w:rsidRPr="00404DA5">
              <w:rPr>
                <w:rFonts w:cs="Calibri"/>
                <w:sz w:val="18"/>
                <w:szCs w:val="18"/>
              </w:rPr>
              <w:t>974,4%</w:t>
            </w:r>
          </w:p>
        </w:tc>
        <w:tc>
          <w:tcPr>
            <w:tcW w:w="0" w:type="auto"/>
            <w:shd w:val="clear" w:color="auto" w:fill="auto"/>
            <w:vAlign w:val="center"/>
          </w:tcPr>
          <w:p w14:paraId="173523ED" w14:textId="77777777" w:rsidR="003E5F72" w:rsidRPr="00404DA5" w:rsidRDefault="003E5F72" w:rsidP="00FF60A0">
            <w:pPr>
              <w:jc w:val="center"/>
              <w:rPr>
                <w:rFonts w:cs="Calibri"/>
                <w:sz w:val="18"/>
                <w:szCs w:val="18"/>
              </w:rPr>
            </w:pPr>
            <w:r w:rsidRPr="00404DA5">
              <w:rPr>
                <w:rFonts w:cs="Calibri"/>
                <w:sz w:val="18"/>
                <w:szCs w:val="18"/>
              </w:rPr>
              <w:t>34</w:t>
            </w:r>
          </w:p>
        </w:tc>
        <w:tc>
          <w:tcPr>
            <w:tcW w:w="0" w:type="auto"/>
            <w:shd w:val="clear" w:color="auto" w:fill="auto"/>
            <w:vAlign w:val="center"/>
          </w:tcPr>
          <w:p w14:paraId="6CB00918" w14:textId="77777777" w:rsidR="003E5F72" w:rsidRPr="00404DA5" w:rsidRDefault="003E5F72" w:rsidP="00FF60A0">
            <w:pPr>
              <w:jc w:val="center"/>
              <w:rPr>
                <w:rFonts w:cs="Calibri"/>
                <w:sz w:val="18"/>
                <w:szCs w:val="18"/>
              </w:rPr>
            </w:pPr>
            <w:r w:rsidRPr="00404DA5">
              <w:rPr>
                <w:rFonts w:cs="Calibri"/>
                <w:sz w:val="18"/>
                <w:szCs w:val="18"/>
              </w:rPr>
              <w:t>79,1%</w:t>
            </w:r>
          </w:p>
        </w:tc>
      </w:tr>
      <w:tr w:rsidR="003E5F72" w:rsidRPr="00A43AB4" w14:paraId="56E5AE41" w14:textId="77777777" w:rsidTr="00FF60A0">
        <w:tc>
          <w:tcPr>
            <w:tcW w:w="0" w:type="auto"/>
            <w:shd w:val="clear" w:color="auto" w:fill="auto"/>
            <w:vAlign w:val="center"/>
          </w:tcPr>
          <w:p w14:paraId="6B24D296" w14:textId="77777777" w:rsidR="003E5F72" w:rsidRPr="00404DA5" w:rsidRDefault="003E5F72" w:rsidP="00FF60A0">
            <w:pPr>
              <w:jc w:val="center"/>
              <w:rPr>
                <w:sz w:val="18"/>
                <w:szCs w:val="18"/>
              </w:rPr>
            </w:pPr>
            <w:r w:rsidRPr="00404DA5">
              <w:rPr>
                <w:sz w:val="18"/>
                <w:szCs w:val="18"/>
              </w:rPr>
              <w:t>WP</w:t>
            </w:r>
          </w:p>
        </w:tc>
        <w:tc>
          <w:tcPr>
            <w:tcW w:w="0" w:type="auto"/>
            <w:shd w:val="clear" w:color="auto" w:fill="auto"/>
          </w:tcPr>
          <w:p w14:paraId="7EAFA43F" w14:textId="0C0CD12B" w:rsidR="003E5F72" w:rsidRPr="00404DA5" w:rsidRDefault="003E5F72" w:rsidP="00FF60A0">
            <w:pPr>
              <w:jc w:val="center"/>
              <w:rPr>
                <w:rFonts w:cs="Calibri"/>
                <w:sz w:val="18"/>
                <w:szCs w:val="18"/>
              </w:rPr>
            </w:pPr>
            <w:r w:rsidRPr="00404DA5">
              <w:rPr>
                <w:rFonts w:cs="Calibri"/>
                <w:sz w:val="18"/>
                <w:szCs w:val="18"/>
              </w:rPr>
              <w:t>2.9</w:t>
            </w:r>
            <w:r w:rsidR="00991242">
              <w:rPr>
                <w:rFonts w:cs="Calibri"/>
                <w:sz w:val="18"/>
                <w:szCs w:val="18"/>
              </w:rPr>
              <w:t>,</w:t>
            </w:r>
          </w:p>
          <w:p w14:paraId="333D0A7C" w14:textId="77777777" w:rsidR="003E5F72" w:rsidRPr="00404DA5" w:rsidRDefault="003E5F72" w:rsidP="00FF60A0">
            <w:pPr>
              <w:jc w:val="center"/>
              <w:rPr>
                <w:rFonts w:cs="Calibri"/>
                <w:sz w:val="18"/>
                <w:szCs w:val="18"/>
              </w:rPr>
            </w:pPr>
            <w:r w:rsidRPr="00404DA5">
              <w:rPr>
                <w:rFonts w:cs="Calibri"/>
                <w:sz w:val="18"/>
                <w:szCs w:val="18"/>
              </w:rPr>
              <w:t>2.10</w:t>
            </w:r>
          </w:p>
        </w:tc>
        <w:tc>
          <w:tcPr>
            <w:tcW w:w="0" w:type="auto"/>
            <w:shd w:val="clear" w:color="auto" w:fill="auto"/>
            <w:vAlign w:val="center"/>
          </w:tcPr>
          <w:p w14:paraId="47C80BCA" w14:textId="77777777" w:rsidR="003E5F72" w:rsidRPr="00404DA5" w:rsidRDefault="003E5F72" w:rsidP="00FF60A0">
            <w:pPr>
              <w:jc w:val="center"/>
              <w:rPr>
                <w:rFonts w:cs="Calibri"/>
                <w:sz w:val="18"/>
                <w:szCs w:val="18"/>
              </w:rPr>
            </w:pPr>
            <w:r w:rsidRPr="00404DA5">
              <w:rPr>
                <w:rFonts w:cs="Calibri"/>
                <w:sz w:val="18"/>
                <w:szCs w:val="18"/>
              </w:rPr>
              <w:t>Liczba jednostek wytwarzania energii cieplnej</w:t>
            </w:r>
            <w:r w:rsidR="00E66B89">
              <w:rPr>
                <w:rFonts w:cs="Calibri"/>
                <w:sz w:val="18"/>
                <w:szCs w:val="18"/>
              </w:rPr>
              <w:t xml:space="preserve"> z </w:t>
            </w:r>
            <w:r w:rsidRPr="00404DA5">
              <w:rPr>
                <w:rFonts w:cs="Calibri"/>
                <w:sz w:val="18"/>
                <w:szCs w:val="18"/>
              </w:rPr>
              <w:t>OZE</w:t>
            </w:r>
          </w:p>
        </w:tc>
        <w:tc>
          <w:tcPr>
            <w:tcW w:w="0" w:type="auto"/>
            <w:shd w:val="clear" w:color="auto" w:fill="auto"/>
            <w:vAlign w:val="center"/>
          </w:tcPr>
          <w:p w14:paraId="60792EEE" w14:textId="77777777" w:rsidR="003E5F72" w:rsidRPr="00404DA5" w:rsidRDefault="003E5F72" w:rsidP="00FF60A0">
            <w:pPr>
              <w:jc w:val="center"/>
              <w:rPr>
                <w:rFonts w:cs="Calibri"/>
                <w:sz w:val="18"/>
                <w:szCs w:val="18"/>
              </w:rPr>
            </w:pPr>
            <w:r w:rsidRPr="00404DA5">
              <w:rPr>
                <w:rFonts w:cs="Calibri"/>
                <w:sz w:val="18"/>
                <w:szCs w:val="18"/>
              </w:rPr>
              <w:t>szt.</w:t>
            </w:r>
          </w:p>
        </w:tc>
        <w:tc>
          <w:tcPr>
            <w:tcW w:w="0" w:type="auto"/>
            <w:shd w:val="clear" w:color="auto" w:fill="auto"/>
            <w:vAlign w:val="center"/>
          </w:tcPr>
          <w:p w14:paraId="240A458B" w14:textId="77777777" w:rsidR="003E5F72" w:rsidRPr="00404DA5" w:rsidRDefault="003E5F72" w:rsidP="00FF60A0">
            <w:pPr>
              <w:jc w:val="center"/>
              <w:rPr>
                <w:rFonts w:cs="Calibri"/>
                <w:sz w:val="18"/>
                <w:szCs w:val="18"/>
              </w:rPr>
            </w:pPr>
            <w:r w:rsidRPr="00404DA5">
              <w:rPr>
                <w:rFonts w:cs="Calibri"/>
                <w:sz w:val="18"/>
                <w:szCs w:val="18"/>
              </w:rPr>
              <w:t>44</w:t>
            </w:r>
          </w:p>
        </w:tc>
        <w:tc>
          <w:tcPr>
            <w:tcW w:w="0" w:type="auto"/>
            <w:shd w:val="clear" w:color="auto" w:fill="auto"/>
            <w:vAlign w:val="center"/>
          </w:tcPr>
          <w:p w14:paraId="391A9A3F" w14:textId="77777777" w:rsidR="003E5F72" w:rsidRPr="00404DA5" w:rsidRDefault="003E5F72" w:rsidP="00FF60A0">
            <w:pPr>
              <w:jc w:val="center"/>
              <w:rPr>
                <w:rFonts w:cs="Calibri"/>
                <w:sz w:val="18"/>
                <w:szCs w:val="18"/>
              </w:rPr>
            </w:pPr>
            <w:r w:rsidRPr="00404DA5">
              <w:rPr>
                <w:rFonts w:cs="Calibri"/>
                <w:sz w:val="18"/>
                <w:szCs w:val="18"/>
              </w:rPr>
              <w:t>964</w:t>
            </w:r>
          </w:p>
        </w:tc>
        <w:tc>
          <w:tcPr>
            <w:tcW w:w="0" w:type="auto"/>
            <w:shd w:val="clear" w:color="auto" w:fill="auto"/>
            <w:vAlign w:val="center"/>
          </w:tcPr>
          <w:p w14:paraId="4C9C37EE" w14:textId="77777777" w:rsidR="003E5F72" w:rsidRPr="00404DA5" w:rsidRDefault="003E5F72" w:rsidP="00FF60A0">
            <w:pPr>
              <w:jc w:val="center"/>
              <w:rPr>
                <w:rFonts w:cs="Calibri"/>
                <w:sz w:val="18"/>
                <w:szCs w:val="18"/>
              </w:rPr>
            </w:pPr>
            <w:r w:rsidRPr="00404DA5">
              <w:rPr>
                <w:rFonts w:cs="Calibri"/>
                <w:sz w:val="18"/>
                <w:szCs w:val="18"/>
              </w:rPr>
              <w:t>2190,9%</w:t>
            </w:r>
          </w:p>
        </w:tc>
        <w:tc>
          <w:tcPr>
            <w:tcW w:w="0" w:type="auto"/>
            <w:shd w:val="clear" w:color="auto" w:fill="auto"/>
            <w:vAlign w:val="center"/>
          </w:tcPr>
          <w:p w14:paraId="201A8585" w14:textId="77777777" w:rsidR="003E5F72" w:rsidRPr="00404DA5" w:rsidRDefault="003E5F72" w:rsidP="00FF60A0">
            <w:pPr>
              <w:jc w:val="center"/>
              <w:rPr>
                <w:rFonts w:cs="Calibri"/>
                <w:sz w:val="18"/>
                <w:szCs w:val="18"/>
              </w:rPr>
            </w:pPr>
            <w:r w:rsidRPr="00404DA5">
              <w:rPr>
                <w:rFonts w:cs="Calibri"/>
                <w:sz w:val="18"/>
                <w:szCs w:val="18"/>
              </w:rPr>
              <w:t>1</w:t>
            </w:r>
          </w:p>
        </w:tc>
        <w:tc>
          <w:tcPr>
            <w:tcW w:w="0" w:type="auto"/>
            <w:shd w:val="clear" w:color="auto" w:fill="auto"/>
            <w:vAlign w:val="center"/>
          </w:tcPr>
          <w:p w14:paraId="348113E9" w14:textId="77777777" w:rsidR="003E5F72" w:rsidRPr="00404DA5" w:rsidRDefault="003E5F72" w:rsidP="00FF60A0">
            <w:pPr>
              <w:jc w:val="center"/>
              <w:rPr>
                <w:rFonts w:cs="Calibri"/>
                <w:sz w:val="18"/>
                <w:szCs w:val="18"/>
              </w:rPr>
            </w:pPr>
            <w:r w:rsidRPr="00404DA5">
              <w:rPr>
                <w:rFonts w:cs="Calibri"/>
                <w:sz w:val="18"/>
                <w:szCs w:val="18"/>
              </w:rPr>
              <w:t>2,3%</w:t>
            </w:r>
          </w:p>
        </w:tc>
      </w:tr>
      <w:tr w:rsidR="003E5F72" w:rsidRPr="00A43AB4" w14:paraId="219D954E" w14:textId="77777777" w:rsidTr="00FF60A0">
        <w:tc>
          <w:tcPr>
            <w:tcW w:w="0" w:type="auto"/>
            <w:shd w:val="clear" w:color="auto" w:fill="auto"/>
            <w:vAlign w:val="center"/>
          </w:tcPr>
          <w:p w14:paraId="445AE0EF" w14:textId="77777777" w:rsidR="003E5F72" w:rsidRPr="00404DA5" w:rsidRDefault="003E5F72" w:rsidP="00FF60A0">
            <w:pPr>
              <w:jc w:val="center"/>
              <w:rPr>
                <w:sz w:val="18"/>
                <w:szCs w:val="18"/>
              </w:rPr>
            </w:pPr>
            <w:r w:rsidRPr="00404DA5">
              <w:rPr>
                <w:sz w:val="18"/>
                <w:szCs w:val="18"/>
              </w:rPr>
              <w:t>WP</w:t>
            </w:r>
          </w:p>
        </w:tc>
        <w:tc>
          <w:tcPr>
            <w:tcW w:w="0" w:type="auto"/>
            <w:shd w:val="clear" w:color="auto" w:fill="auto"/>
          </w:tcPr>
          <w:p w14:paraId="6D740B2F" w14:textId="62C10AAD" w:rsidR="003E5F72" w:rsidRPr="00404DA5" w:rsidRDefault="003E5F72" w:rsidP="00FF60A0">
            <w:pPr>
              <w:jc w:val="center"/>
              <w:rPr>
                <w:rFonts w:cs="Calibri"/>
                <w:sz w:val="18"/>
                <w:szCs w:val="18"/>
              </w:rPr>
            </w:pPr>
            <w:r w:rsidRPr="00404DA5">
              <w:rPr>
                <w:rFonts w:cs="Calibri"/>
                <w:sz w:val="18"/>
                <w:szCs w:val="18"/>
              </w:rPr>
              <w:t>2.9</w:t>
            </w:r>
            <w:r w:rsidR="00991242">
              <w:rPr>
                <w:rFonts w:cs="Calibri"/>
                <w:sz w:val="18"/>
                <w:szCs w:val="18"/>
              </w:rPr>
              <w:t>,</w:t>
            </w:r>
          </w:p>
          <w:p w14:paraId="17DE0C87" w14:textId="77777777" w:rsidR="003E5F72" w:rsidRPr="00404DA5" w:rsidRDefault="003E5F72" w:rsidP="00FF60A0">
            <w:pPr>
              <w:jc w:val="center"/>
              <w:rPr>
                <w:rFonts w:cs="Calibri"/>
                <w:bCs/>
                <w:sz w:val="18"/>
                <w:szCs w:val="18"/>
              </w:rPr>
            </w:pPr>
            <w:r w:rsidRPr="00404DA5">
              <w:rPr>
                <w:rFonts w:cs="Calibri"/>
                <w:sz w:val="18"/>
                <w:szCs w:val="18"/>
              </w:rPr>
              <w:t>2.10</w:t>
            </w:r>
          </w:p>
        </w:tc>
        <w:tc>
          <w:tcPr>
            <w:tcW w:w="0" w:type="auto"/>
            <w:shd w:val="clear" w:color="auto" w:fill="auto"/>
            <w:vAlign w:val="center"/>
          </w:tcPr>
          <w:p w14:paraId="3C9353A9" w14:textId="77777777" w:rsidR="003E5F72" w:rsidRPr="00404DA5" w:rsidRDefault="003E5F72" w:rsidP="00FF60A0">
            <w:pPr>
              <w:jc w:val="center"/>
              <w:rPr>
                <w:rFonts w:cs="Calibri"/>
                <w:sz w:val="18"/>
                <w:szCs w:val="18"/>
              </w:rPr>
            </w:pPr>
            <w:bookmarkStart w:id="75" w:name="_Hlk3029724"/>
            <w:r w:rsidRPr="00404DA5">
              <w:rPr>
                <w:rFonts w:cs="Calibri"/>
                <w:sz w:val="18"/>
                <w:szCs w:val="18"/>
              </w:rPr>
              <w:t>Dodatkowa zdolność wytwarzania energii ze źródeł odnawialnych</w:t>
            </w:r>
            <w:bookmarkEnd w:id="75"/>
          </w:p>
        </w:tc>
        <w:tc>
          <w:tcPr>
            <w:tcW w:w="0" w:type="auto"/>
            <w:shd w:val="clear" w:color="auto" w:fill="auto"/>
            <w:vAlign w:val="center"/>
          </w:tcPr>
          <w:p w14:paraId="7AFD5235" w14:textId="77777777" w:rsidR="003E5F72" w:rsidRPr="00404DA5" w:rsidRDefault="003E5F72" w:rsidP="00FF60A0">
            <w:pPr>
              <w:jc w:val="center"/>
              <w:rPr>
                <w:rFonts w:cs="Calibri"/>
                <w:sz w:val="18"/>
                <w:szCs w:val="18"/>
              </w:rPr>
            </w:pPr>
            <w:r w:rsidRPr="00404DA5">
              <w:rPr>
                <w:rFonts w:cs="Calibri"/>
                <w:sz w:val="18"/>
                <w:szCs w:val="18"/>
              </w:rPr>
              <w:t>MW</w:t>
            </w:r>
          </w:p>
        </w:tc>
        <w:tc>
          <w:tcPr>
            <w:tcW w:w="0" w:type="auto"/>
            <w:shd w:val="clear" w:color="auto" w:fill="auto"/>
            <w:vAlign w:val="center"/>
          </w:tcPr>
          <w:p w14:paraId="6347B6F5" w14:textId="77777777" w:rsidR="003E5F72" w:rsidRPr="00404DA5" w:rsidRDefault="003E5F72" w:rsidP="00FF60A0">
            <w:pPr>
              <w:jc w:val="center"/>
              <w:rPr>
                <w:rFonts w:cs="Calibri"/>
                <w:sz w:val="18"/>
                <w:szCs w:val="18"/>
              </w:rPr>
            </w:pPr>
            <w:r w:rsidRPr="00404DA5">
              <w:rPr>
                <w:rFonts w:cs="Calibri"/>
                <w:sz w:val="18"/>
                <w:szCs w:val="18"/>
              </w:rPr>
              <w:t>54,78</w:t>
            </w:r>
          </w:p>
        </w:tc>
        <w:tc>
          <w:tcPr>
            <w:tcW w:w="0" w:type="auto"/>
            <w:shd w:val="clear" w:color="auto" w:fill="auto"/>
            <w:vAlign w:val="center"/>
          </w:tcPr>
          <w:p w14:paraId="5142D102" w14:textId="77777777" w:rsidR="003E5F72" w:rsidRPr="00404DA5" w:rsidRDefault="003E5F72" w:rsidP="00FF60A0">
            <w:pPr>
              <w:jc w:val="center"/>
              <w:rPr>
                <w:rFonts w:cs="Calibri"/>
                <w:sz w:val="18"/>
                <w:szCs w:val="18"/>
              </w:rPr>
            </w:pPr>
            <w:r w:rsidRPr="00404DA5">
              <w:rPr>
                <w:rFonts w:cs="Calibri"/>
                <w:sz w:val="18"/>
                <w:szCs w:val="18"/>
              </w:rPr>
              <w:t>61,02</w:t>
            </w:r>
          </w:p>
        </w:tc>
        <w:tc>
          <w:tcPr>
            <w:tcW w:w="0" w:type="auto"/>
            <w:shd w:val="clear" w:color="auto" w:fill="auto"/>
            <w:vAlign w:val="center"/>
          </w:tcPr>
          <w:p w14:paraId="0B592B2C" w14:textId="77777777" w:rsidR="003E5F72" w:rsidRPr="00404DA5" w:rsidRDefault="003E5F72" w:rsidP="00FF60A0">
            <w:pPr>
              <w:jc w:val="center"/>
              <w:rPr>
                <w:rFonts w:cs="Calibri"/>
                <w:sz w:val="18"/>
                <w:szCs w:val="18"/>
              </w:rPr>
            </w:pPr>
            <w:r w:rsidRPr="00404DA5">
              <w:rPr>
                <w:rFonts w:cs="Calibri"/>
                <w:sz w:val="18"/>
                <w:szCs w:val="18"/>
              </w:rPr>
              <w:t>111,4%</w:t>
            </w:r>
          </w:p>
        </w:tc>
        <w:tc>
          <w:tcPr>
            <w:tcW w:w="0" w:type="auto"/>
            <w:shd w:val="clear" w:color="auto" w:fill="auto"/>
            <w:vAlign w:val="center"/>
          </w:tcPr>
          <w:p w14:paraId="76D9EA9B" w14:textId="77777777" w:rsidR="003E5F72" w:rsidRPr="00404DA5" w:rsidRDefault="003E5F72" w:rsidP="00FF60A0">
            <w:pPr>
              <w:jc w:val="center"/>
              <w:rPr>
                <w:rFonts w:cs="Calibri"/>
                <w:sz w:val="18"/>
                <w:szCs w:val="18"/>
              </w:rPr>
            </w:pPr>
            <w:r w:rsidRPr="00404DA5">
              <w:rPr>
                <w:rFonts w:cs="Calibri"/>
                <w:sz w:val="18"/>
                <w:szCs w:val="18"/>
              </w:rPr>
              <w:t>5,67</w:t>
            </w:r>
          </w:p>
        </w:tc>
        <w:tc>
          <w:tcPr>
            <w:tcW w:w="0" w:type="auto"/>
            <w:shd w:val="clear" w:color="auto" w:fill="auto"/>
            <w:vAlign w:val="center"/>
          </w:tcPr>
          <w:p w14:paraId="210A4248" w14:textId="77777777" w:rsidR="003E5F72" w:rsidRPr="00404DA5" w:rsidRDefault="003E5F72" w:rsidP="00FF60A0">
            <w:pPr>
              <w:jc w:val="center"/>
              <w:rPr>
                <w:rFonts w:cs="Calibri"/>
                <w:sz w:val="18"/>
                <w:szCs w:val="18"/>
              </w:rPr>
            </w:pPr>
            <w:r w:rsidRPr="00404DA5">
              <w:rPr>
                <w:rFonts w:cs="Calibri"/>
                <w:sz w:val="18"/>
                <w:szCs w:val="18"/>
              </w:rPr>
              <w:t>10,4%</w:t>
            </w:r>
          </w:p>
        </w:tc>
      </w:tr>
      <w:tr w:rsidR="003E5F72" w:rsidRPr="00A43AB4" w14:paraId="1504CD7B" w14:textId="77777777" w:rsidTr="00FF60A0">
        <w:tc>
          <w:tcPr>
            <w:tcW w:w="0" w:type="auto"/>
            <w:shd w:val="clear" w:color="auto" w:fill="auto"/>
            <w:vAlign w:val="center"/>
          </w:tcPr>
          <w:p w14:paraId="3575A050" w14:textId="77777777" w:rsidR="003E5F72" w:rsidRPr="00404DA5" w:rsidRDefault="003E5F72" w:rsidP="00FF60A0">
            <w:pPr>
              <w:jc w:val="center"/>
              <w:rPr>
                <w:sz w:val="18"/>
                <w:szCs w:val="18"/>
              </w:rPr>
            </w:pPr>
            <w:r w:rsidRPr="00404DA5">
              <w:rPr>
                <w:sz w:val="18"/>
                <w:szCs w:val="18"/>
              </w:rPr>
              <w:lastRenderedPageBreak/>
              <w:t>WP</w:t>
            </w:r>
          </w:p>
        </w:tc>
        <w:tc>
          <w:tcPr>
            <w:tcW w:w="0" w:type="auto"/>
            <w:shd w:val="clear" w:color="auto" w:fill="auto"/>
          </w:tcPr>
          <w:p w14:paraId="7C93E1C5" w14:textId="42344454" w:rsidR="003E5F72" w:rsidRPr="00404DA5" w:rsidRDefault="003E5F72" w:rsidP="00FF60A0">
            <w:pPr>
              <w:jc w:val="center"/>
              <w:rPr>
                <w:rFonts w:cs="Calibri"/>
                <w:sz w:val="18"/>
                <w:szCs w:val="18"/>
              </w:rPr>
            </w:pPr>
            <w:r w:rsidRPr="00404DA5">
              <w:rPr>
                <w:rFonts w:cs="Calibri"/>
                <w:sz w:val="18"/>
                <w:szCs w:val="18"/>
              </w:rPr>
              <w:t>2.9</w:t>
            </w:r>
            <w:r w:rsidR="00991242">
              <w:rPr>
                <w:rFonts w:cs="Calibri"/>
                <w:sz w:val="18"/>
                <w:szCs w:val="18"/>
              </w:rPr>
              <w:t>,</w:t>
            </w:r>
          </w:p>
          <w:p w14:paraId="5049320F" w14:textId="77777777" w:rsidR="003E5F72" w:rsidRPr="00404DA5" w:rsidRDefault="003E5F72" w:rsidP="00FF60A0">
            <w:pPr>
              <w:jc w:val="center"/>
              <w:rPr>
                <w:rFonts w:cs="Calibri"/>
                <w:sz w:val="18"/>
                <w:szCs w:val="18"/>
              </w:rPr>
            </w:pPr>
            <w:r w:rsidRPr="00404DA5">
              <w:rPr>
                <w:rFonts w:cs="Calibri"/>
                <w:sz w:val="18"/>
                <w:szCs w:val="18"/>
              </w:rPr>
              <w:t>2.10</w:t>
            </w:r>
          </w:p>
        </w:tc>
        <w:tc>
          <w:tcPr>
            <w:tcW w:w="0" w:type="auto"/>
            <w:shd w:val="clear" w:color="auto" w:fill="auto"/>
            <w:vAlign w:val="center"/>
          </w:tcPr>
          <w:p w14:paraId="23124E14" w14:textId="77777777" w:rsidR="003E5F72" w:rsidRPr="00404DA5" w:rsidRDefault="003E5F72" w:rsidP="00FF60A0">
            <w:pPr>
              <w:jc w:val="center"/>
              <w:rPr>
                <w:rFonts w:cs="Calibri"/>
                <w:sz w:val="18"/>
                <w:szCs w:val="18"/>
              </w:rPr>
            </w:pPr>
            <w:r w:rsidRPr="00404DA5">
              <w:rPr>
                <w:rFonts w:cs="Calibri"/>
                <w:sz w:val="18"/>
                <w:szCs w:val="18"/>
              </w:rPr>
              <w:t>Szacowany roczny spadek emisji gazów cieplarnianych</w:t>
            </w:r>
          </w:p>
        </w:tc>
        <w:tc>
          <w:tcPr>
            <w:tcW w:w="0" w:type="auto"/>
            <w:shd w:val="clear" w:color="auto" w:fill="auto"/>
            <w:vAlign w:val="center"/>
          </w:tcPr>
          <w:p w14:paraId="104A2CEF" w14:textId="77777777" w:rsidR="003E5F72" w:rsidRPr="00404DA5" w:rsidRDefault="003E5F72" w:rsidP="00FF60A0">
            <w:pPr>
              <w:jc w:val="center"/>
              <w:rPr>
                <w:rFonts w:cs="Calibri"/>
                <w:sz w:val="18"/>
                <w:szCs w:val="18"/>
                <w:vertAlign w:val="subscript"/>
              </w:rPr>
            </w:pPr>
            <w:r w:rsidRPr="00404DA5">
              <w:rPr>
                <w:rFonts w:cs="Calibri"/>
                <w:sz w:val="18"/>
                <w:szCs w:val="18"/>
              </w:rPr>
              <w:t>tony równoważnika CO</w:t>
            </w:r>
            <w:r w:rsidRPr="00404DA5">
              <w:rPr>
                <w:rFonts w:cs="Calibri"/>
                <w:sz w:val="18"/>
                <w:szCs w:val="18"/>
                <w:vertAlign w:val="subscript"/>
              </w:rPr>
              <w:t>2</w:t>
            </w:r>
          </w:p>
        </w:tc>
        <w:tc>
          <w:tcPr>
            <w:tcW w:w="0" w:type="auto"/>
            <w:shd w:val="clear" w:color="auto" w:fill="auto"/>
            <w:vAlign w:val="center"/>
          </w:tcPr>
          <w:p w14:paraId="08AA943C" w14:textId="77777777" w:rsidR="003E5F72" w:rsidRPr="00404DA5" w:rsidRDefault="003E5F72" w:rsidP="00FF60A0">
            <w:pPr>
              <w:jc w:val="center"/>
              <w:rPr>
                <w:rFonts w:cs="Calibri"/>
                <w:sz w:val="18"/>
                <w:szCs w:val="18"/>
              </w:rPr>
            </w:pPr>
            <w:r w:rsidRPr="00404DA5">
              <w:rPr>
                <w:rFonts w:cs="Calibri"/>
                <w:sz w:val="18"/>
                <w:szCs w:val="18"/>
              </w:rPr>
              <w:t>8909,3</w:t>
            </w:r>
          </w:p>
        </w:tc>
        <w:tc>
          <w:tcPr>
            <w:tcW w:w="0" w:type="auto"/>
            <w:shd w:val="clear" w:color="auto" w:fill="auto"/>
            <w:vAlign w:val="center"/>
          </w:tcPr>
          <w:p w14:paraId="1305793F" w14:textId="77777777" w:rsidR="003E5F72" w:rsidRPr="00404DA5" w:rsidRDefault="003E5F72" w:rsidP="00FF60A0">
            <w:pPr>
              <w:jc w:val="center"/>
              <w:rPr>
                <w:rFonts w:cs="Calibri"/>
                <w:sz w:val="18"/>
                <w:szCs w:val="18"/>
              </w:rPr>
            </w:pPr>
            <w:r w:rsidRPr="00404DA5">
              <w:rPr>
                <w:rFonts w:cs="Calibri"/>
                <w:sz w:val="18"/>
                <w:szCs w:val="18"/>
              </w:rPr>
              <w:t>65 636,68</w:t>
            </w:r>
          </w:p>
        </w:tc>
        <w:tc>
          <w:tcPr>
            <w:tcW w:w="0" w:type="auto"/>
            <w:shd w:val="clear" w:color="auto" w:fill="auto"/>
            <w:vAlign w:val="center"/>
          </w:tcPr>
          <w:p w14:paraId="5409293F" w14:textId="77777777" w:rsidR="003E5F72" w:rsidRPr="00404DA5" w:rsidRDefault="003E5F72" w:rsidP="00FF60A0">
            <w:pPr>
              <w:jc w:val="center"/>
              <w:rPr>
                <w:rFonts w:cs="Calibri"/>
                <w:sz w:val="18"/>
                <w:szCs w:val="18"/>
              </w:rPr>
            </w:pPr>
            <w:r w:rsidRPr="00404DA5">
              <w:rPr>
                <w:rFonts w:cs="Calibri"/>
                <w:sz w:val="18"/>
                <w:szCs w:val="18"/>
              </w:rPr>
              <w:t>736,7%</w:t>
            </w:r>
          </w:p>
        </w:tc>
        <w:tc>
          <w:tcPr>
            <w:tcW w:w="0" w:type="auto"/>
            <w:shd w:val="clear" w:color="auto" w:fill="auto"/>
            <w:vAlign w:val="center"/>
          </w:tcPr>
          <w:p w14:paraId="7E803B09" w14:textId="77777777" w:rsidR="003E5F72" w:rsidRPr="00404DA5" w:rsidRDefault="003E5F72" w:rsidP="00FF60A0">
            <w:pPr>
              <w:jc w:val="center"/>
              <w:rPr>
                <w:rFonts w:cs="Calibri"/>
                <w:sz w:val="18"/>
                <w:szCs w:val="18"/>
              </w:rPr>
            </w:pPr>
            <w:r w:rsidRPr="00404DA5">
              <w:rPr>
                <w:rFonts w:cs="Calibri"/>
                <w:sz w:val="18"/>
                <w:szCs w:val="18"/>
              </w:rPr>
              <w:t>951,43</w:t>
            </w:r>
          </w:p>
        </w:tc>
        <w:tc>
          <w:tcPr>
            <w:tcW w:w="0" w:type="auto"/>
            <w:shd w:val="clear" w:color="auto" w:fill="auto"/>
            <w:vAlign w:val="center"/>
          </w:tcPr>
          <w:p w14:paraId="1865D0B7" w14:textId="77777777" w:rsidR="003E5F72" w:rsidRPr="00404DA5" w:rsidRDefault="003E5F72" w:rsidP="00FF60A0">
            <w:pPr>
              <w:jc w:val="center"/>
              <w:rPr>
                <w:rFonts w:cs="Calibri"/>
                <w:sz w:val="18"/>
                <w:szCs w:val="18"/>
              </w:rPr>
            </w:pPr>
            <w:r w:rsidRPr="00404DA5">
              <w:rPr>
                <w:rFonts w:cs="Calibri"/>
                <w:sz w:val="18"/>
                <w:szCs w:val="18"/>
              </w:rPr>
              <w:t>10,7%</w:t>
            </w:r>
          </w:p>
        </w:tc>
      </w:tr>
    </w:tbl>
    <w:p w14:paraId="744BA8B8" w14:textId="77777777" w:rsidR="003E5F72" w:rsidRPr="002A5FDF" w:rsidRDefault="003E5F72"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7F1E8359" w14:textId="77777777" w:rsidR="003E5F72" w:rsidRPr="00F11931" w:rsidRDefault="003E5F72" w:rsidP="003E5F72">
      <w:pPr>
        <w:pStyle w:val="Nagwek4"/>
        <w:numPr>
          <w:ilvl w:val="0"/>
          <w:numId w:val="0"/>
        </w:numPr>
        <w:rPr>
          <w:rFonts w:ascii="Lato" w:eastAsia="Calibri" w:hAnsi="Lato"/>
        </w:rPr>
      </w:pPr>
      <w:r w:rsidRPr="00FE43CD">
        <w:rPr>
          <w:rFonts w:ascii="Lato" w:eastAsia="Calibri" w:hAnsi="Lato"/>
        </w:rPr>
        <w:t xml:space="preserve">Wskaźnik rezultatu strategicznego </w:t>
      </w:r>
    </w:p>
    <w:p w14:paraId="05A8DA95" w14:textId="545B94F7" w:rsidR="00991242" w:rsidRPr="00807CA9" w:rsidRDefault="003E5F72" w:rsidP="00807CA9">
      <w:pPr>
        <w:rPr>
          <w:rFonts w:cs="Calibri"/>
          <w:szCs w:val="20"/>
        </w:rPr>
      </w:pPr>
      <w:r w:rsidRPr="00404DA5">
        <w:rPr>
          <w:rFonts w:cs="Calibri"/>
          <w:szCs w:val="20"/>
        </w:rPr>
        <w:t xml:space="preserve">Wskaźnikiem rezultatu strategicznego dla PI 4a jest </w:t>
      </w:r>
      <w:r w:rsidRPr="00404DA5">
        <w:rPr>
          <w:rFonts w:cs="Calibri"/>
          <w:i/>
          <w:szCs w:val="20"/>
        </w:rPr>
        <w:t>Udział energii odnawialnej</w:t>
      </w:r>
      <w:r w:rsidR="00E66B89">
        <w:rPr>
          <w:rFonts w:cs="Calibri"/>
          <w:i/>
          <w:szCs w:val="20"/>
        </w:rPr>
        <w:t xml:space="preserve"> w </w:t>
      </w:r>
      <w:r w:rsidRPr="00404DA5">
        <w:rPr>
          <w:rFonts w:cs="Calibri"/>
          <w:i/>
          <w:szCs w:val="20"/>
        </w:rPr>
        <w:t xml:space="preserve">produkcji energii elektrycznej ogółem, </w:t>
      </w:r>
      <w:r w:rsidRPr="00404DA5">
        <w:rPr>
          <w:rFonts w:cs="Calibri"/>
          <w:szCs w:val="20"/>
        </w:rPr>
        <w:t>monitorowany przez GUS. Wartość bazowa wskaźnika dla roku 2012 wyniosła 27%. Wartość docelowa wskaźnika, przyjęta dla 2023 r. to 48,10%.</w:t>
      </w:r>
      <w:r w:rsidR="00E66B89">
        <w:rPr>
          <w:rFonts w:cs="Calibri"/>
          <w:szCs w:val="20"/>
        </w:rPr>
        <w:t xml:space="preserve"> W </w:t>
      </w:r>
      <w:r w:rsidRPr="00404DA5">
        <w:rPr>
          <w:rFonts w:cs="Calibri"/>
          <w:szCs w:val="20"/>
        </w:rPr>
        <w:t>latach 2012-2017 wskaźnik wzrastał systematycznie, osiągając</w:t>
      </w:r>
      <w:r w:rsidR="00E66B89">
        <w:rPr>
          <w:rFonts w:cs="Calibri"/>
          <w:szCs w:val="20"/>
        </w:rPr>
        <w:t xml:space="preserve"> w </w:t>
      </w:r>
      <w:r w:rsidRPr="00404DA5">
        <w:rPr>
          <w:rFonts w:cs="Calibri"/>
          <w:szCs w:val="20"/>
        </w:rPr>
        <w:t>2017 r. poziom 47,8%, co oznacza, iż wartość docelowa została już niemal osiągnięta</w:t>
      </w:r>
      <w:r>
        <w:rPr>
          <w:rFonts w:cs="Calibri"/>
          <w:szCs w:val="20"/>
        </w:rPr>
        <w:t>, nie ma zatem zagrożenia dla wypełnienia celu wyznaczonego na 2023 r</w:t>
      </w:r>
      <w:r w:rsidRPr="00404DA5">
        <w:rPr>
          <w:rFonts w:cs="Calibri"/>
          <w:szCs w:val="20"/>
        </w:rPr>
        <w:t xml:space="preserve">. </w:t>
      </w:r>
    </w:p>
    <w:p w14:paraId="6D1A29FF" w14:textId="6A2E1A03" w:rsidR="003E5F72" w:rsidRDefault="003E5F72" w:rsidP="006E34DC">
      <w:pPr>
        <w:pStyle w:val="Legenda"/>
        <w:spacing w:after="0"/>
      </w:pPr>
      <w:bookmarkStart w:id="76" w:name="_Toc8824132"/>
      <w:r>
        <w:t xml:space="preserve">Tabela </w:t>
      </w:r>
      <w:r w:rsidR="00B72A80">
        <w:fldChar w:fldCharType="begin"/>
      </w:r>
      <w:r w:rsidR="00B72A80">
        <w:instrText xml:space="preserve"> SEQ Tabela \* ARABIC </w:instrText>
      </w:r>
      <w:r w:rsidR="00B72A80">
        <w:fldChar w:fldCharType="separate"/>
      </w:r>
      <w:r w:rsidR="00763345">
        <w:rPr>
          <w:noProof/>
        </w:rPr>
        <w:t>21</w:t>
      </w:r>
      <w:r w:rsidR="00B72A80">
        <w:fldChar w:fldCharType="end"/>
      </w:r>
      <w:r>
        <w:t>.</w:t>
      </w:r>
      <w:r w:rsidRPr="00B533B4">
        <w:t xml:space="preserve"> </w:t>
      </w:r>
      <w:r w:rsidRPr="00F057B3">
        <w:t xml:space="preserve">Wskaźnik rezultatu dla PI </w:t>
      </w:r>
      <w:r>
        <w:t>4a</w:t>
      </w:r>
      <w:r w:rsidR="00E66B89">
        <w:t xml:space="preserve"> w </w:t>
      </w:r>
      <w:r w:rsidRPr="00F057B3">
        <w:t>latach 2012-2018</w:t>
      </w:r>
      <w:bookmarkEnd w:id="76"/>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769"/>
        <w:gridCol w:w="769"/>
        <w:gridCol w:w="770"/>
        <w:gridCol w:w="769"/>
        <w:gridCol w:w="770"/>
        <w:gridCol w:w="769"/>
        <w:gridCol w:w="770"/>
      </w:tblGrid>
      <w:tr w:rsidR="007F62AB" w:rsidRPr="00F057B3" w14:paraId="4267C7B7" w14:textId="77777777" w:rsidTr="00C22C26">
        <w:trPr>
          <w:trHeight w:val="540"/>
          <w:tblHeader/>
        </w:trPr>
        <w:tc>
          <w:tcPr>
            <w:tcW w:w="3902" w:type="dxa"/>
            <w:shd w:val="clear" w:color="auto" w:fill="D9E2F3"/>
          </w:tcPr>
          <w:p w14:paraId="1FCA13F9" w14:textId="77777777" w:rsidR="003E5F72" w:rsidRPr="00F057B3" w:rsidRDefault="003E5F72" w:rsidP="00FF60A0">
            <w:pPr>
              <w:jc w:val="center"/>
              <w:rPr>
                <w:rFonts w:cs="Calibri"/>
                <w:sz w:val="18"/>
                <w:szCs w:val="18"/>
              </w:rPr>
            </w:pPr>
            <w:r w:rsidRPr="00F057B3">
              <w:rPr>
                <w:rFonts w:cs="Calibri"/>
                <w:sz w:val="18"/>
                <w:szCs w:val="18"/>
              </w:rPr>
              <w:t xml:space="preserve">Wskaźnik </w:t>
            </w:r>
          </w:p>
        </w:tc>
        <w:tc>
          <w:tcPr>
            <w:tcW w:w="769" w:type="dxa"/>
            <w:shd w:val="clear" w:color="auto" w:fill="D9E2F3"/>
          </w:tcPr>
          <w:p w14:paraId="266D0682" w14:textId="77777777" w:rsidR="003E5F72" w:rsidRPr="00F057B3" w:rsidRDefault="003E5F72" w:rsidP="00FF60A0">
            <w:pPr>
              <w:jc w:val="center"/>
              <w:rPr>
                <w:rFonts w:cs="Calibri"/>
                <w:sz w:val="18"/>
                <w:szCs w:val="18"/>
              </w:rPr>
            </w:pPr>
            <w:r w:rsidRPr="00F057B3">
              <w:rPr>
                <w:rFonts w:cs="Calibri"/>
                <w:sz w:val="18"/>
                <w:szCs w:val="18"/>
              </w:rPr>
              <w:t>2012</w:t>
            </w:r>
          </w:p>
        </w:tc>
        <w:tc>
          <w:tcPr>
            <w:tcW w:w="769" w:type="dxa"/>
            <w:shd w:val="clear" w:color="auto" w:fill="D9E2F3"/>
          </w:tcPr>
          <w:p w14:paraId="3F9F74E8" w14:textId="77777777" w:rsidR="003E5F72" w:rsidRPr="00F057B3" w:rsidRDefault="003E5F72" w:rsidP="00FF60A0">
            <w:pPr>
              <w:jc w:val="center"/>
              <w:rPr>
                <w:rFonts w:cs="Calibri"/>
                <w:sz w:val="18"/>
                <w:szCs w:val="18"/>
              </w:rPr>
            </w:pPr>
            <w:r w:rsidRPr="00F057B3">
              <w:rPr>
                <w:rFonts w:cs="Calibri"/>
                <w:sz w:val="18"/>
                <w:szCs w:val="18"/>
              </w:rPr>
              <w:t>2013</w:t>
            </w:r>
          </w:p>
        </w:tc>
        <w:tc>
          <w:tcPr>
            <w:tcW w:w="770" w:type="dxa"/>
            <w:shd w:val="clear" w:color="auto" w:fill="D9E2F3"/>
          </w:tcPr>
          <w:p w14:paraId="6354AD4A" w14:textId="77777777" w:rsidR="003E5F72" w:rsidRPr="00F057B3" w:rsidRDefault="003E5F72" w:rsidP="00FF60A0">
            <w:pPr>
              <w:jc w:val="center"/>
              <w:rPr>
                <w:rFonts w:cs="Calibri"/>
                <w:sz w:val="18"/>
                <w:szCs w:val="18"/>
              </w:rPr>
            </w:pPr>
            <w:r w:rsidRPr="00F057B3">
              <w:rPr>
                <w:rFonts w:cs="Calibri"/>
                <w:sz w:val="18"/>
                <w:szCs w:val="18"/>
              </w:rPr>
              <w:t>2014</w:t>
            </w:r>
          </w:p>
        </w:tc>
        <w:tc>
          <w:tcPr>
            <w:tcW w:w="769" w:type="dxa"/>
            <w:shd w:val="clear" w:color="auto" w:fill="D9E2F3"/>
          </w:tcPr>
          <w:p w14:paraId="4288D4E3" w14:textId="77777777" w:rsidR="003E5F72" w:rsidRPr="00F057B3" w:rsidRDefault="003E5F72" w:rsidP="00FF60A0">
            <w:pPr>
              <w:jc w:val="center"/>
              <w:rPr>
                <w:rFonts w:cs="Calibri"/>
                <w:sz w:val="18"/>
                <w:szCs w:val="18"/>
              </w:rPr>
            </w:pPr>
            <w:r w:rsidRPr="00F057B3">
              <w:rPr>
                <w:rFonts w:cs="Calibri"/>
                <w:sz w:val="18"/>
                <w:szCs w:val="18"/>
              </w:rPr>
              <w:t>2015</w:t>
            </w:r>
          </w:p>
        </w:tc>
        <w:tc>
          <w:tcPr>
            <w:tcW w:w="770" w:type="dxa"/>
            <w:shd w:val="clear" w:color="auto" w:fill="D9E2F3"/>
          </w:tcPr>
          <w:p w14:paraId="165BDC9D" w14:textId="77777777" w:rsidR="003E5F72" w:rsidRPr="00F057B3" w:rsidRDefault="003E5F72" w:rsidP="00FF60A0">
            <w:pPr>
              <w:jc w:val="center"/>
              <w:rPr>
                <w:rFonts w:cs="Calibri"/>
                <w:sz w:val="18"/>
                <w:szCs w:val="18"/>
              </w:rPr>
            </w:pPr>
            <w:r w:rsidRPr="00F057B3">
              <w:rPr>
                <w:rFonts w:cs="Calibri"/>
                <w:sz w:val="18"/>
                <w:szCs w:val="18"/>
              </w:rPr>
              <w:t>2016</w:t>
            </w:r>
          </w:p>
        </w:tc>
        <w:tc>
          <w:tcPr>
            <w:tcW w:w="769" w:type="dxa"/>
            <w:shd w:val="clear" w:color="auto" w:fill="D9E2F3"/>
          </w:tcPr>
          <w:p w14:paraId="5D2B25D6" w14:textId="77777777" w:rsidR="003E5F72" w:rsidRPr="00F057B3" w:rsidRDefault="003E5F72" w:rsidP="00FF60A0">
            <w:pPr>
              <w:jc w:val="center"/>
              <w:rPr>
                <w:rFonts w:cs="Calibri"/>
                <w:sz w:val="18"/>
                <w:szCs w:val="18"/>
              </w:rPr>
            </w:pPr>
            <w:r w:rsidRPr="00F057B3">
              <w:rPr>
                <w:rFonts w:cs="Calibri"/>
                <w:sz w:val="18"/>
                <w:szCs w:val="18"/>
              </w:rPr>
              <w:t>2017</w:t>
            </w:r>
          </w:p>
        </w:tc>
        <w:tc>
          <w:tcPr>
            <w:tcW w:w="770" w:type="dxa"/>
            <w:shd w:val="clear" w:color="auto" w:fill="D9E2F3"/>
          </w:tcPr>
          <w:p w14:paraId="5B57626D" w14:textId="77777777" w:rsidR="003E5F72" w:rsidRPr="00F057B3" w:rsidRDefault="003E5F72" w:rsidP="00FF60A0">
            <w:pPr>
              <w:jc w:val="center"/>
              <w:rPr>
                <w:rFonts w:cs="Calibri"/>
                <w:sz w:val="18"/>
                <w:szCs w:val="18"/>
              </w:rPr>
            </w:pPr>
            <w:r w:rsidRPr="00F057B3">
              <w:rPr>
                <w:rFonts w:cs="Calibri"/>
                <w:sz w:val="18"/>
                <w:szCs w:val="18"/>
              </w:rPr>
              <w:t xml:space="preserve">2018 </w:t>
            </w:r>
          </w:p>
        </w:tc>
      </w:tr>
      <w:tr w:rsidR="003E5F72" w:rsidRPr="00F057B3" w14:paraId="2D76D16E" w14:textId="77777777" w:rsidTr="00FF60A0">
        <w:trPr>
          <w:trHeight w:val="128"/>
        </w:trPr>
        <w:tc>
          <w:tcPr>
            <w:tcW w:w="3902" w:type="dxa"/>
          </w:tcPr>
          <w:p w14:paraId="22658256" w14:textId="77777777" w:rsidR="003E5F72" w:rsidRPr="00F057B3" w:rsidRDefault="003E5F72" w:rsidP="00FF60A0">
            <w:pPr>
              <w:jc w:val="center"/>
              <w:rPr>
                <w:rFonts w:ascii="Calibri" w:eastAsia="Calibri" w:hAnsi="Calibri" w:cs="Calibri"/>
                <w:color w:val="000000"/>
                <w:sz w:val="16"/>
                <w:szCs w:val="16"/>
                <w:lang w:eastAsia="en-US"/>
              </w:rPr>
            </w:pPr>
            <w:r w:rsidRPr="00717130">
              <w:rPr>
                <w:rFonts w:cs="Calibri"/>
                <w:sz w:val="18"/>
                <w:szCs w:val="18"/>
              </w:rPr>
              <w:t>Udział energii odnawialnej</w:t>
            </w:r>
            <w:r w:rsidR="00E66B89">
              <w:rPr>
                <w:rFonts w:cs="Calibri"/>
                <w:sz w:val="18"/>
                <w:szCs w:val="18"/>
              </w:rPr>
              <w:t xml:space="preserve"> w </w:t>
            </w:r>
            <w:r w:rsidRPr="00717130">
              <w:rPr>
                <w:rFonts w:cs="Calibri"/>
                <w:sz w:val="18"/>
                <w:szCs w:val="18"/>
              </w:rPr>
              <w:t>produkcji energii elektrycznej ogółem</w:t>
            </w:r>
            <w:r>
              <w:rPr>
                <w:rFonts w:cs="Calibri"/>
                <w:sz w:val="18"/>
                <w:szCs w:val="18"/>
              </w:rPr>
              <w:t xml:space="preserve"> (%)</w:t>
            </w:r>
          </w:p>
        </w:tc>
        <w:tc>
          <w:tcPr>
            <w:tcW w:w="769" w:type="dxa"/>
          </w:tcPr>
          <w:p w14:paraId="2B45E254" w14:textId="77777777" w:rsidR="003E5F72" w:rsidRPr="00F057B3" w:rsidRDefault="003E5F72" w:rsidP="00FF60A0">
            <w:pPr>
              <w:jc w:val="center"/>
              <w:rPr>
                <w:rFonts w:cs="Calibri"/>
                <w:sz w:val="18"/>
                <w:szCs w:val="18"/>
              </w:rPr>
            </w:pPr>
            <w:r>
              <w:rPr>
                <w:rFonts w:cs="Calibri"/>
                <w:sz w:val="18"/>
                <w:szCs w:val="18"/>
              </w:rPr>
              <w:t>27,0</w:t>
            </w:r>
          </w:p>
        </w:tc>
        <w:tc>
          <w:tcPr>
            <w:tcW w:w="769" w:type="dxa"/>
          </w:tcPr>
          <w:p w14:paraId="33087620" w14:textId="77777777" w:rsidR="003E5F72" w:rsidRPr="00B533B4" w:rsidRDefault="003E5F72" w:rsidP="00FF60A0">
            <w:pPr>
              <w:jc w:val="center"/>
              <w:rPr>
                <w:rFonts w:cs="Calibri"/>
                <w:sz w:val="18"/>
                <w:szCs w:val="18"/>
              </w:rPr>
            </w:pPr>
            <w:r w:rsidRPr="00B533B4">
              <w:rPr>
                <w:sz w:val="18"/>
                <w:szCs w:val="18"/>
              </w:rPr>
              <w:t>30,4</w:t>
            </w:r>
          </w:p>
        </w:tc>
        <w:tc>
          <w:tcPr>
            <w:tcW w:w="770" w:type="dxa"/>
          </w:tcPr>
          <w:p w14:paraId="66A879A5" w14:textId="77777777" w:rsidR="003E5F72" w:rsidRPr="00B533B4" w:rsidRDefault="003E5F72" w:rsidP="00FF60A0">
            <w:pPr>
              <w:jc w:val="center"/>
              <w:rPr>
                <w:rFonts w:cs="Calibri"/>
                <w:sz w:val="18"/>
                <w:szCs w:val="18"/>
              </w:rPr>
            </w:pPr>
            <w:r w:rsidRPr="00B533B4">
              <w:rPr>
                <w:sz w:val="18"/>
                <w:szCs w:val="18"/>
              </w:rPr>
              <w:t>35,1</w:t>
            </w:r>
          </w:p>
        </w:tc>
        <w:tc>
          <w:tcPr>
            <w:tcW w:w="769" w:type="dxa"/>
          </w:tcPr>
          <w:p w14:paraId="684FAED8" w14:textId="77777777" w:rsidR="003E5F72" w:rsidRPr="00B533B4" w:rsidRDefault="003E5F72" w:rsidP="00FF60A0">
            <w:pPr>
              <w:jc w:val="center"/>
              <w:rPr>
                <w:rFonts w:cs="Calibri"/>
                <w:sz w:val="18"/>
                <w:szCs w:val="18"/>
              </w:rPr>
            </w:pPr>
            <w:r w:rsidRPr="00B533B4">
              <w:rPr>
                <w:sz w:val="18"/>
                <w:szCs w:val="18"/>
              </w:rPr>
              <w:t>38,6</w:t>
            </w:r>
          </w:p>
        </w:tc>
        <w:tc>
          <w:tcPr>
            <w:tcW w:w="770" w:type="dxa"/>
          </w:tcPr>
          <w:p w14:paraId="53F370A1" w14:textId="77777777" w:rsidR="003E5F72" w:rsidRPr="00B533B4" w:rsidRDefault="003E5F72" w:rsidP="00FF60A0">
            <w:pPr>
              <w:jc w:val="center"/>
              <w:rPr>
                <w:rFonts w:cs="Calibri"/>
                <w:sz w:val="18"/>
                <w:szCs w:val="18"/>
              </w:rPr>
            </w:pPr>
            <w:r w:rsidRPr="00B533B4">
              <w:rPr>
                <w:sz w:val="18"/>
                <w:szCs w:val="18"/>
              </w:rPr>
              <w:t>41,8</w:t>
            </w:r>
          </w:p>
        </w:tc>
        <w:tc>
          <w:tcPr>
            <w:tcW w:w="769" w:type="dxa"/>
          </w:tcPr>
          <w:p w14:paraId="3D34BA5D" w14:textId="77777777" w:rsidR="003E5F72" w:rsidRPr="00B533B4" w:rsidRDefault="003E5F72" w:rsidP="00FF60A0">
            <w:pPr>
              <w:jc w:val="center"/>
              <w:rPr>
                <w:rFonts w:cs="Calibri"/>
                <w:sz w:val="18"/>
                <w:szCs w:val="18"/>
              </w:rPr>
            </w:pPr>
            <w:r w:rsidRPr="00B533B4">
              <w:rPr>
                <w:rFonts w:cs="Calibri"/>
                <w:sz w:val="18"/>
                <w:szCs w:val="18"/>
              </w:rPr>
              <w:t>47,8</w:t>
            </w:r>
          </w:p>
        </w:tc>
        <w:tc>
          <w:tcPr>
            <w:tcW w:w="770" w:type="dxa"/>
          </w:tcPr>
          <w:p w14:paraId="2ADE4E83" w14:textId="77777777" w:rsidR="003E5F72" w:rsidRPr="00B533B4" w:rsidRDefault="003E5F72" w:rsidP="00FF60A0">
            <w:pPr>
              <w:jc w:val="center"/>
              <w:rPr>
                <w:rFonts w:cs="Calibri"/>
                <w:sz w:val="18"/>
                <w:szCs w:val="18"/>
              </w:rPr>
            </w:pPr>
            <w:r w:rsidRPr="00B533B4">
              <w:rPr>
                <w:rFonts w:cs="Calibri"/>
                <w:sz w:val="18"/>
                <w:szCs w:val="18"/>
              </w:rPr>
              <w:t>b.d.</w:t>
            </w:r>
          </w:p>
        </w:tc>
      </w:tr>
    </w:tbl>
    <w:p w14:paraId="424D3AA2" w14:textId="0B13D5A4" w:rsidR="003E5F72" w:rsidRPr="002A5FDF" w:rsidRDefault="003E5F72" w:rsidP="005076BF">
      <w:pPr>
        <w:spacing w:before="0"/>
        <w:rPr>
          <w:i/>
          <w:sz w:val="18"/>
          <w:szCs w:val="20"/>
        </w:rPr>
      </w:pPr>
      <w:r w:rsidRPr="002A5FDF">
        <w:rPr>
          <w:i/>
          <w:sz w:val="18"/>
          <w:szCs w:val="20"/>
        </w:rPr>
        <w:t xml:space="preserve"> Źródło: opracowanie własne na podstawie danych GUS</w:t>
      </w:r>
      <w:r w:rsidR="00FA14F6">
        <w:rPr>
          <w:i/>
          <w:sz w:val="18"/>
          <w:szCs w:val="20"/>
        </w:rPr>
        <w:t>.</w:t>
      </w:r>
    </w:p>
    <w:p w14:paraId="27CF323E"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t xml:space="preserve">Ocena potencjału absorpcyjnego </w:t>
      </w:r>
    </w:p>
    <w:p w14:paraId="52C742BF" w14:textId="77777777" w:rsidR="003E5F72" w:rsidRPr="00404DA5" w:rsidRDefault="003E5F72" w:rsidP="003E5F72">
      <w:pPr>
        <w:rPr>
          <w:rFonts w:cs="Calibri"/>
          <w:szCs w:val="20"/>
        </w:rPr>
      </w:pPr>
      <w:r w:rsidRPr="00404DA5">
        <w:rPr>
          <w:rFonts w:cs="Calibri"/>
          <w:szCs w:val="20"/>
        </w:rPr>
        <w:t>W przypadku Działania 2.9, przeprowadzono 1 nabór obejmujący całą dostępną alokację. Spośród 7 złożonych wniosków, 5 otrzymało pozytywną decyzję</w:t>
      </w:r>
      <w:r w:rsidR="00E66B89">
        <w:rPr>
          <w:rFonts w:cs="Calibri"/>
          <w:szCs w:val="20"/>
        </w:rPr>
        <w:t xml:space="preserve"> o </w:t>
      </w:r>
      <w:r w:rsidRPr="00404DA5">
        <w:rPr>
          <w:rFonts w:cs="Calibri"/>
          <w:szCs w:val="20"/>
        </w:rPr>
        <w:t>dofinansowaniu. Podpisane umowy wyczerpują środki finansowe dostępne</w:t>
      </w:r>
      <w:r w:rsidR="00E66B89">
        <w:rPr>
          <w:rFonts w:cs="Calibri"/>
          <w:szCs w:val="20"/>
        </w:rPr>
        <w:t xml:space="preserve"> w </w:t>
      </w:r>
      <w:r w:rsidRPr="00404DA5">
        <w:rPr>
          <w:rFonts w:cs="Calibri"/>
          <w:szCs w:val="20"/>
        </w:rPr>
        <w:t xml:space="preserve">ramach tego Działania. </w:t>
      </w:r>
    </w:p>
    <w:p w14:paraId="41588B81" w14:textId="77777777" w:rsidR="003E5F72" w:rsidRPr="00404DA5" w:rsidRDefault="003E5F72" w:rsidP="003E5F72">
      <w:pPr>
        <w:rPr>
          <w:rFonts w:cs="Calibri"/>
          <w:szCs w:val="20"/>
        </w:rPr>
      </w:pPr>
      <w:r w:rsidRPr="00404DA5">
        <w:rPr>
          <w:rFonts w:cs="Calibri"/>
          <w:szCs w:val="20"/>
        </w:rPr>
        <w:t>Działanie 2.10 należy do działań cieszących się największym zainteresowaniem potencjalnych beneficjentów –</w:t>
      </w:r>
      <w:r w:rsidR="00E66B89">
        <w:rPr>
          <w:rFonts w:cs="Calibri"/>
          <w:szCs w:val="20"/>
        </w:rPr>
        <w:t xml:space="preserve"> w </w:t>
      </w:r>
      <w:r w:rsidRPr="00404DA5">
        <w:rPr>
          <w:rFonts w:cs="Calibri"/>
          <w:szCs w:val="20"/>
        </w:rPr>
        <w:t>ramach dwóch przeprowadzonych konkursów liczba wniosków</w:t>
      </w:r>
      <w:r w:rsidR="00E66B89">
        <w:rPr>
          <w:rFonts w:cs="Calibri"/>
          <w:szCs w:val="20"/>
        </w:rPr>
        <w:t xml:space="preserve"> o </w:t>
      </w:r>
      <w:r w:rsidRPr="00404DA5">
        <w:rPr>
          <w:rFonts w:cs="Calibri"/>
          <w:szCs w:val="20"/>
        </w:rPr>
        <w:t>dofinansowanie po pozytywnej ocenie formalnej sięgnęła 350,</w:t>
      </w:r>
      <w:r w:rsidR="00E66B89">
        <w:rPr>
          <w:rFonts w:cs="Calibri"/>
          <w:szCs w:val="20"/>
        </w:rPr>
        <w:t xml:space="preserve"> z </w:t>
      </w:r>
      <w:r w:rsidRPr="00404DA5">
        <w:rPr>
          <w:rFonts w:cs="Calibri"/>
          <w:szCs w:val="20"/>
        </w:rPr>
        <w:t>czego 173 wnioski otrzymały pozytywną decyzję</w:t>
      </w:r>
      <w:r w:rsidR="00E66B89">
        <w:rPr>
          <w:rFonts w:cs="Calibri"/>
          <w:szCs w:val="20"/>
        </w:rPr>
        <w:t xml:space="preserve"> o </w:t>
      </w:r>
      <w:r w:rsidRPr="00404DA5">
        <w:rPr>
          <w:rFonts w:cs="Calibri"/>
          <w:szCs w:val="20"/>
        </w:rPr>
        <w:t>przyznaniu dofinansowania. Ostatecznie, według stanu na 07.01.2019 r., doszło do podpisania 162 umów – jest to największa liczba podpisanych umów dla jednego Działania</w:t>
      </w:r>
      <w:r w:rsidR="00E66B89">
        <w:rPr>
          <w:rFonts w:cs="Calibri"/>
          <w:szCs w:val="20"/>
        </w:rPr>
        <w:t xml:space="preserve"> w </w:t>
      </w:r>
      <w:r w:rsidRPr="00404DA5">
        <w:rPr>
          <w:rFonts w:cs="Calibri"/>
          <w:szCs w:val="20"/>
        </w:rPr>
        <w:t>całym Programie. Poziom kontraktacji dla Działania wynosi 87,4%. Pula dostępnych środków</w:t>
      </w:r>
      <w:r w:rsidR="00E66B89">
        <w:rPr>
          <w:rFonts w:cs="Calibri"/>
          <w:szCs w:val="20"/>
        </w:rPr>
        <w:t xml:space="preserve"> w </w:t>
      </w:r>
      <w:r w:rsidRPr="00404DA5">
        <w:rPr>
          <w:rFonts w:cs="Calibri"/>
          <w:szCs w:val="20"/>
        </w:rPr>
        <w:t>ramach działania to 30 347 106,61 zł. Według harmonogramu naborów na 2019 r., zaplanowano przeprowadzenie kolejnego naboru wniosków</w:t>
      </w:r>
      <w:r w:rsidR="00E66B89">
        <w:rPr>
          <w:rFonts w:cs="Calibri"/>
          <w:szCs w:val="20"/>
        </w:rPr>
        <w:t xml:space="preserve"> w </w:t>
      </w:r>
      <w:r w:rsidRPr="00404DA5">
        <w:rPr>
          <w:rFonts w:cs="Calibri"/>
          <w:szCs w:val="20"/>
        </w:rPr>
        <w:t>IV kwartale 2019 r. Orientacyjna kwota przeznaczona na dofinansowanie projektów</w:t>
      </w:r>
      <w:r w:rsidR="00E66B89">
        <w:rPr>
          <w:rFonts w:cs="Calibri"/>
          <w:szCs w:val="20"/>
        </w:rPr>
        <w:t xml:space="preserve"> w </w:t>
      </w:r>
      <w:r w:rsidRPr="00404DA5">
        <w:rPr>
          <w:rFonts w:cs="Calibri"/>
          <w:szCs w:val="20"/>
        </w:rPr>
        <w:t>ramach konkursu to 4 mln euro (ok. 17,2 mln zł). Jak wynika</w:t>
      </w:r>
      <w:r w:rsidR="00E66B89">
        <w:rPr>
          <w:rFonts w:cs="Calibri"/>
          <w:szCs w:val="20"/>
        </w:rPr>
        <w:t xml:space="preserve"> z </w:t>
      </w:r>
      <w:r w:rsidRPr="00404DA5">
        <w:rPr>
          <w:rFonts w:cs="Calibri"/>
          <w:szCs w:val="20"/>
        </w:rPr>
        <w:t>przeprowadzonych wywiadów, należy spodziewać się dużego zainteresowania wnioskodawców, szacowanego na poziomie ok. 300 wniosków. Duże zainteresowanie konkursem potwierdzają wyniki badania CAWI</w:t>
      </w:r>
      <w:r w:rsidR="00E66B89">
        <w:rPr>
          <w:rFonts w:cs="Calibri"/>
          <w:szCs w:val="20"/>
        </w:rPr>
        <w:t xml:space="preserve"> z </w:t>
      </w:r>
      <w:r w:rsidRPr="00404DA5">
        <w:rPr>
          <w:rFonts w:cs="Calibri"/>
          <w:szCs w:val="20"/>
        </w:rPr>
        <w:t>beneficjentami</w:t>
      </w:r>
      <w:r w:rsidR="00E66B89">
        <w:rPr>
          <w:rFonts w:cs="Calibri"/>
          <w:szCs w:val="20"/>
        </w:rPr>
        <w:t xml:space="preserve"> i </w:t>
      </w:r>
      <w:r w:rsidRPr="00404DA5">
        <w:rPr>
          <w:rFonts w:cs="Calibri"/>
          <w:szCs w:val="20"/>
        </w:rPr>
        <w:t>wnioskodawcami nieskutecznymi, według których 60% respondentów, którzy zadeklarowali chęć złożenia wniosku</w:t>
      </w:r>
      <w:r w:rsidR="00E66B89">
        <w:rPr>
          <w:rFonts w:cs="Calibri"/>
          <w:szCs w:val="20"/>
        </w:rPr>
        <w:t xml:space="preserve"> w </w:t>
      </w:r>
      <w:r w:rsidRPr="00404DA5">
        <w:rPr>
          <w:rFonts w:cs="Calibri"/>
          <w:szCs w:val="20"/>
        </w:rPr>
        <w:t>ramach OP II, jest gotowa aplikować</w:t>
      </w:r>
      <w:r w:rsidR="00E66B89">
        <w:rPr>
          <w:rFonts w:cs="Calibri"/>
          <w:szCs w:val="20"/>
        </w:rPr>
        <w:t xml:space="preserve"> o </w:t>
      </w:r>
      <w:r w:rsidRPr="00404DA5">
        <w:rPr>
          <w:rFonts w:cs="Calibri"/>
          <w:szCs w:val="20"/>
        </w:rPr>
        <w:t>środki</w:t>
      </w:r>
      <w:r w:rsidR="00E66B89">
        <w:rPr>
          <w:rFonts w:cs="Calibri"/>
          <w:szCs w:val="20"/>
        </w:rPr>
        <w:t xml:space="preserve"> w </w:t>
      </w:r>
      <w:r w:rsidRPr="00404DA5">
        <w:rPr>
          <w:rFonts w:cs="Calibri"/>
          <w:szCs w:val="20"/>
        </w:rPr>
        <w:t>ramach Działania 2.10 (62 wskazania). 65% spośród nich posiada ogólną koncepcję realizacji projektu, natomiast 35% - posiada przygotowane dokumenty formalne, pozwalające złożyć wniosek</w:t>
      </w:r>
      <w:r w:rsidR="00E66B89">
        <w:rPr>
          <w:rFonts w:cs="Calibri"/>
          <w:szCs w:val="20"/>
        </w:rPr>
        <w:t xml:space="preserve"> o </w:t>
      </w:r>
      <w:r w:rsidRPr="00404DA5">
        <w:rPr>
          <w:rFonts w:cs="Calibri"/>
          <w:szCs w:val="20"/>
        </w:rPr>
        <w:t xml:space="preserve">dofinansowanie. </w:t>
      </w:r>
    </w:p>
    <w:p w14:paraId="7CEC9FD6" w14:textId="77777777" w:rsidR="003E5F72" w:rsidRPr="00404DA5" w:rsidRDefault="003E5F72" w:rsidP="003E5F72">
      <w:pPr>
        <w:rPr>
          <w:rFonts w:cs="Calibri"/>
          <w:szCs w:val="20"/>
        </w:rPr>
      </w:pPr>
      <w:r w:rsidRPr="00404DA5">
        <w:rPr>
          <w:rFonts w:cs="Calibri"/>
          <w:szCs w:val="20"/>
        </w:rPr>
        <w:lastRenderedPageBreak/>
        <w:t>W ramach działania 2.11,</w:t>
      </w:r>
      <w:r w:rsidR="00E66B89">
        <w:rPr>
          <w:rFonts w:cs="Calibri"/>
          <w:szCs w:val="20"/>
        </w:rPr>
        <w:t xml:space="preserve"> w </w:t>
      </w:r>
      <w:r w:rsidRPr="00404DA5">
        <w:rPr>
          <w:rFonts w:cs="Calibri"/>
          <w:szCs w:val="20"/>
        </w:rPr>
        <w:t>wyniku pozytywnego rozstrzygnięcia drugiego</w:t>
      </w:r>
      <w:r w:rsidR="00E66B89">
        <w:rPr>
          <w:rFonts w:cs="Calibri"/>
          <w:szCs w:val="20"/>
        </w:rPr>
        <w:t xml:space="preserve"> z </w:t>
      </w:r>
      <w:r w:rsidRPr="00404DA5">
        <w:rPr>
          <w:rFonts w:cs="Calibri"/>
          <w:szCs w:val="20"/>
        </w:rPr>
        <w:t xml:space="preserve">przeprowadzonych naborów, realizowany jest jeden projekt, który konsumuje 99,4% alokacji dedykowanej temu działaniu. </w:t>
      </w:r>
    </w:p>
    <w:p w14:paraId="1CBCDBFE" w14:textId="77777777" w:rsidR="003E5F72" w:rsidRPr="00404DA5" w:rsidRDefault="003E5F72" w:rsidP="003E5F72">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przeprowadzonych analiz jakościowych</w:t>
      </w:r>
      <w:r w:rsidR="00E66B89">
        <w:rPr>
          <w:rFonts w:cs="Calibri"/>
          <w:szCs w:val="20"/>
        </w:rPr>
        <w:t xml:space="preserve"> i </w:t>
      </w:r>
      <w:r w:rsidRPr="00404DA5">
        <w:rPr>
          <w:rFonts w:cs="Calibri"/>
          <w:szCs w:val="20"/>
        </w:rPr>
        <w:t>ilościowych, największym potencjałem absorpcyjnym</w:t>
      </w:r>
      <w:r w:rsidR="00E66B89">
        <w:rPr>
          <w:rFonts w:cs="Calibri"/>
          <w:szCs w:val="20"/>
        </w:rPr>
        <w:t xml:space="preserve"> w </w:t>
      </w:r>
      <w:r w:rsidRPr="00404DA5">
        <w:rPr>
          <w:rFonts w:cs="Calibri"/>
          <w:szCs w:val="20"/>
        </w:rPr>
        <w:t>ramach PI 4a charakteryzuje się Działanie 2.10, zwłaszcza</w:t>
      </w:r>
      <w:r w:rsidR="00E66B89">
        <w:rPr>
          <w:rFonts w:cs="Calibri"/>
          <w:szCs w:val="20"/>
        </w:rPr>
        <w:t xml:space="preserve"> w </w:t>
      </w:r>
      <w:r w:rsidRPr="00404DA5">
        <w:rPr>
          <w:rFonts w:cs="Calibri"/>
          <w:szCs w:val="20"/>
        </w:rPr>
        <w:t>kwestii wsparcia inwestycji dotyczących energetyki słonecznej. Należy spodziewać się, iż alokacja przewidziana</w:t>
      </w:r>
      <w:r w:rsidR="00E66B89">
        <w:rPr>
          <w:rFonts w:cs="Calibri"/>
          <w:szCs w:val="20"/>
        </w:rPr>
        <w:t xml:space="preserve"> w </w:t>
      </w:r>
      <w:r w:rsidRPr="00404DA5">
        <w:rPr>
          <w:rFonts w:cs="Calibri"/>
          <w:szCs w:val="20"/>
        </w:rPr>
        <w:t xml:space="preserve">planowanym naborze zostanie wykorzystana. </w:t>
      </w:r>
      <w:r w:rsidRPr="00404DA5">
        <w:rPr>
          <w:rFonts w:cs="Calibri"/>
          <w:b/>
          <w:szCs w:val="20"/>
        </w:rPr>
        <w:t>REKOMENDACJA:</w:t>
      </w:r>
      <w:r w:rsidR="00E66B89">
        <w:rPr>
          <w:rFonts w:cs="Calibri"/>
          <w:b/>
          <w:szCs w:val="20"/>
        </w:rPr>
        <w:t xml:space="preserve"> W </w:t>
      </w:r>
      <w:r w:rsidRPr="00404DA5">
        <w:rPr>
          <w:rFonts w:cs="Calibri"/>
          <w:b/>
          <w:szCs w:val="20"/>
        </w:rPr>
        <w:t>związku</w:t>
      </w:r>
      <w:r w:rsidR="00E66B89">
        <w:rPr>
          <w:rFonts w:cs="Calibri"/>
          <w:b/>
          <w:szCs w:val="20"/>
        </w:rPr>
        <w:t xml:space="preserve"> z </w:t>
      </w:r>
      <w:r w:rsidRPr="00404DA5">
        <w:rPr>
          <w:rFonts w:cs="Calibri"/>
          <w:b/>
          <w:szCs w:val="20"/>
        </w:rPr>
        <w:t>tym, iż planowany nabór nie wyczerpie całej alokacji dostępnej dla Działania, warto rozważyć zwiększenie budżetu naboru lub zaplanować kolejny nabór na rok 2020,</w:t>
      </w:r>
      <w:r w:rsidR="00E66B89">
        <w:rPr>
          <w:rFonts w:cs="Calibri"/>
          <w:b/>
          <w:szCs w:val="20"/>
        </w:rPr>
        <w:t xml:space="preserve"> w </w:t>
      </w:r>
      <w:r w:rsidRPr="00404DA5">
        <w:rPr>
          <w:rFonts w:cs="Calibri"/>
          <w:b/>
          <w:szCs w:val="20"/>
        </w:rPr>
        <w:t>ramach którego można będzie wykorzystać całą dostępną pulę środków.</w:t>
      </w:r>
      <w:r w:rsidRPr="00404DA5">
        <w:rPr>
          <w:rFonts w:cs="Calibri"/>
          <w:szCs w:val="20"/>
        </w:rPr>
        <w:t xml:space="preserve"> </w:t>
      </w:r>
    </w:p>
    <w:p w14:paraId="14504D82"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67BA2A79" w14:textId="77777777" w:rsidR="003E5F72" w:rsidRPr="00404DA5" w:rsidRDefault="003E5F72" w:rsidP="003E5F72">
      <w:pPr>
        <w:rPr>
          <w:rFonts w:cs="Calibri"/>
          <w:szCs w:val="20"/>
        </w:rPr>
      </w:pPr>
      <w:r w:rsidRPr="00404DA5">
        <w:rPr>
          <w:rFonts w:cs="Calibri"/>
          <w:szCs w:val="20"/>
        </w:rPr>
        <w:t xml:space="preserve">Biorąc pod uwagę kwotę pozostałej alokacji dla PI 4a (ok. 30 mln zł), planowane skierowanie dostępnych środków na Działanie 2.10 oraz średnie koszty jednostkowe realizowanych projektów, przeprowadzono prognozy osiągnięcia docelowych wartości wskaźników produktu. Gdyby zdecydowano się wykorzystać całą dostępną dla Działania alokację, wskaźnik </w:t>
      </w:r>
      <w:r w:rsidRPr="00404DA5">
        <w:rPr>
          <w:rFonts w:cs="Calibri"/>
          <w:i/>
          <w:szCs w:val="20"/>
        </w:rPr>
        <w:t>Liczba jednostek wytwarzania energii elektrycznej</w:t>
      </w:r>
      <w:r w:rsidR="00E66B89">
        <w:rPr>
          <w:rFonts w:cs="Calibri"/>
          <w:i/>
          <w:szCs w:val="20"/>
        </w:rPr>
        <w:t xml:space="preserve"> z </w:t>
      </w:r>
      <w:r w:rsidRPr="00404DA5">
        <w:rPr>
          <w:rFonts w:cs="Calibri"/>
          <w:i/>
          <w:szCs w:val="20"/>
        </w:rPr>
        <w:t>OZE</w:t>
      </w:r>
      <w:r w:rsidRPr="00404DA5">
        <w:rPr>
          <w:rFonts w:cs="Calibri"/>
          <w:szCs w:val="20"/>
        </w:rPr>
        <w:t xml:space="preserve"> zostałby osiągnięty na poziomie ponad 1100%.</w:t>
      </w:r>
      <w:r w:rsidR="00E66B89">
        <w:rPr>
          <w:rFonts w:cs="Calibri"/>
          <w:szCs w:val="20"/>
        </w:rPr>
        <w:t xml:space="preserve"> W </w:t>
      </w:r>
      <w:r w:rsidRPr="00404DA5">
        <w:rPr>
          <w:rFonts w:cs="Calibri"/>
          <w:szCs w:val="20"/>
        </w:rPr>
        <w:t xml:space="preserve">przypadku wskaźnika </w:t>
      </w:r>
      <w:r w:rsidRPr="00404DA5">
        <w:rPr>
          <w:rFonts w:cs="Calibri"/>
          <w:i/>
          <w:szCs w:val="20"/>
        </w:rPr>
        <w:t>Liczba jednostek wytwarzania energii cieplnej</w:t>
      </w:r>
      <w:r w:rsidR="00E66B89">
        <w:rPr>
          <w:rFonts w:cs="Calibri"/>
          <w:i/>
          <w:szCs w:val="20"/>
        </w:rPr>
        <w:t xml:space="preserve"> z </w:t>
      </w:r>
      <w:r w:rsidRPr="00404DA5">
        <w:rPr>
          <w:rFonts w:cs="Calibri"/>
          <w:i/>
          <w:szCs w:val="20"/>
        </w:rPr>
        <w:t>OZE</w:t>
      </w:r>
      <w:r w:rsidRPr="00404DA5">
        <w:rPr>
          <w:rFonts w:cs="Calibri"/>
          <w:szCs w:val="20"/>
        </w:rPr>
        <w:t>, osiągnięta wartość mogłaby sięgnąć poziomu 2490% wartości docelowej, natomiast</w:t>
      </w:r>
      <w:r w:rsidR="00E66B89">
        <w:rPr>
          <w:rFonts w:cs="Calibri"/>
          <w:szCs w:val="20"/>
        </w:rPr>
        <w:t xml:space="preserve"> w </w:t>
      </w:r>
      <w:r w:rsidRPr="00404DA5">
        <w:rPr>
          <w:rFonts w:cs="Calibri"/>
          <w:szCs w:val="20"/>
        </w:rPr>
        <w:t xml:space="preserve">przypadku wskaźnika </w:t>
      </w:r>
      <w:r w:rsidRPr="00404DA5">
        <w:rPr>
          <w:rFonts w:cs="Calibri"/>
          <w:i/>
          <w:szCs w:val="20"/>
        </w:rPr>
        <w:t>Dodatkowa zdolność wytwarzania energii ze źródeł odnawialnych</w:t>
      </w:r>
      <w:r w:rsidRPr="00404DA5">
        <w:rPr>
          <w:rFonts w:cs="Calibri"/>
          <w:szCs w:val="20"/>
        </w:rPr>
        <w:t xml:space="preserve">, można spodziewać się niewielkiego przekroczenia wartości zaplanowanej na 2023 r. (120% wartości docelowej). Wartość wskaźnika </w:t>
      </w:r>
      <w:r w:rsidRPr="00404DA5">
        <w:rPr>
          <w:rFonts w:cs="Calibri"/>
          <w:i/>
          <w:szCs w:val="20"/>
        </w:rPr>
        <w:t>Szacowany roczny spadek emisji gazów cieplarnianych</w:t>
      </w:r>
      <w:r w:rsidRPr="00404DA5">
        <w:rPr>
          <w:rFonts w:cs="Calibri"/>
          <w:szCs w:val="20"/>
        </w:rPr>
        <w:t xml:space="preserve"> może zostać przekroczona nawet ośmiokrotnie. </w:t>
      </w:r>
    </w:p>
    <w:p w14:paraId="6BFC5146" w14:textId="77777777" w:rsidR="003E5F72" w:rsidRPr="006E34DC" w:rsidRDefault="003E5F72" w:rsidP="006E34DC">
      <w:pPr>
        <w:pStyle w:val="Legenda"/>
        <w:spacing w:after="0"/>
      </w:pPr>
      <w:bookmarkStart w:id="77" w:name="_Toc8824133"/>
      <w:r w:rsidRPr="00404DA5">
        <w:t xml:space="preserve">Tabela </w:t>
      </w:r>
      <w:r w:rsidR="00B72A80">
        <w:fldChar w:fldCharType="begin"/>
      </w:r>
      <w:r w:rsidR="00B72A80">
        <w:instrText xml:space="preserve"> SEQ Tabela \* ARABIC </w:instrText>
      </w:r>
      <w:r w:rsidR="00B72A80">
        <w:fldChar w:fldCharType="separate"/>
      </w:r>
      <w:r w:rsidR="00763345">
        <w:rPr>
          <w:noProof/>
        </w:rPr>
        <w:t>22</w:t>
      </w:r>
      <w:r w:rsidR="00B72A80">
        <w:fldChar w:fldCharType="end"/>
      </w:r>
      <w:r w:rsidRPr="00404DA5">
        <w:t xml:space="preserve"> Prognozowany poziom realizacji wskaźników produktu na rok 2023 – PI 4a</w:t>
      </w:r>
      <w:bookmarkEnd w:id="77"/>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54"/>
        <w:gridCol w:w="1419"/>
        <w:gridCol w:w="1995"/>
        <w:gridCol w:w="2000"/>
      </w:tblGrid>
      <w:tr w:rsidR="003E5F72" w:rsidRPr="00FE43CD" w14:paraId="3F887BD9" w14:textId="77777777" w:rsidTr="00C22C26">
        <w:trPr>
          <w:trHeight w:val="1154"/>
          <w:tblHeader/>
        </w:trPr>
        <w:tc>
          <w:tcPr>
            <w:tcW w:w="826" w:type="pct"/>
            <w:shd w:val="clear" w:color="auto" w:fill="DBE5F1"/>
            <w:vAlign w:val="center"/>
          </w:tcPr>
          <w:p w14:paraId="49C6EB28" w14:textId="77777777" w:rsidR="003E5F72" w:rsidRPr="00404DA5" w:rsidRDefault="003E5F72" w:rsidP="00FF60A0">
            <w:pPr>
              <w:jc w:val="center"/>
              <w:rPr>
                <w:rFonts w:cs="Calibri"/>
                <w:sz w:val="16"/>
                <w:szCs w:val="18"/>
              </w:rPr>
            </w:pPr>
            <w:r w:rsidRPr="00404DA5">
              <w:rPr>
                <w:rFonts w:cs="Calibri"/>
                <w:sz w:val="16"/>
                <w:szCs w:val="18"/>
              </w:rPr>
              <w:t>Typ wskaźnika</w:t>
            </w:r>
          </w:p>
        </w:tc>
        <w:tc>
          <w:tcPr>
            <w:tcW w:w="1148" w:type="pct"/>
            <w:shd w:val="clear" w:color="auto" w:fill="DBE5F1"/>
            <w:vAlign w:val="center"/>
          </w:tcPr>
          <w:p w14:paraId="6F3839C4" w14:textId="77777777" w:rsidR="003E5F72" w:rsidRPr="00404DA5" w:rsidRDefault="003E5F72" w:rsidP="00FF60A0">
            <w:pPr>
              <w:jc w:val="center"/>
              <w:rPr>
                <w:rFonts w:cs="Calibri"/>
                <w:sz w:val="16"/>
                <w:szCs w:val="18"/>
              </w:rPr>
            </w:pPr>
            <w:r w:rsidRPr="00404DA5">
              <w:rPr>
                <w:rFonts w:cs="Calibri"/>
                <w:sz w:val="16"/>
                <w:szCs w:val="18"/>
              </w:rPr>
              <w:t>Wskaźnik</w:t>
            </w:r>
          </w:p>
        </w:tc>
        <w:tc>
          <w:tcPr>
            <w:tcW w:w="793" w:type="pct"/>
            <w:shd w:val="clear" w:color="auto" w:fill="DBE5F1"/>
            <w:vAlign w:val="center"/>
          </w:tcPr>
          <w:p w14:paraId="5B0D050B" w14:textId="77777777" w:rsidR="003E5F72" w:rsidRPr="00404DA5" w:rsidRDefault="003E5F72" w:rsidP="00FF60A0">
            <w:pPr>
              <w:jc w:val="center"/>
              <w:rPr>
                <w:rFonts w:cs="Calibri"/>
                <w:sz w:val="16"/>
                <w:szCs w:val="18"/>
              </w:rPr>
            </w:pPr>
            <w:r w:rsidRPr="00404DA5">
              <w:rPr>
                <w:rFonts w:cs="Calibri"/>
                <w:sz w:val="16"/>
                <w:szCs w:val="18"/>
              </w:rPr>
              <w:t>Wartość docelowa określona na 2023 rok</w:t>
            </w:r>
          </w:p>
        </w:tc>
        <w:tc>
          <w:tcPr>
            <w:tcW w:w="1115" w:type="pct"/>
            <w:shd w:val="clear" w:color="auto" w:fill="DBE5F1"/>
            <w:vAlign w:val="center"/>
          </w:tcPr>
          <w:p w14:paraId="1D87661E" w14:textId="77777777" w:rsidR="003E5F72" w:rsidRPr="00404DA5" w:rsidRDefault="003E5F72" w:rsidP="00FF60A0">
            <w:pPr>
              <w:jc w:val="center"/>
              <w:rPr>
                <w:rFonts w:cs="Calibri"/>
                <w:sz w:val="16"/>
                <w:szCs w:val="18"/>
              </w:rPr>
            </w:pPr>
            <w:r w:rsidRPr="00404DA5">
              <w:rPr>
                <w:rFonts w:cs="Calibri"/>
                <w:sz w:val="16"/>
                <w:szCs w:val="18"/>
              </w:rPr>
              <w:t xml:space="preserve">Prognozowana całkowita wartość wskaźnika </w:t>
            </w:r>
          </w:p>
        </w:tc>
        <w:tc>
          <w:tcPr>
            <w:tcW w:w="1118" w:type="pct"/>
            <w:shd w:val="clear" w:color="auto" w:fill="DBE5F1"/>
            <w:vAlign w:val="center"/>
          </w:tcPr>
          <w:p w14:paraId="6E654EAF" w14:textId="77777777" w:rsidR="003E5F72" w:rsidRPr="00404DA5" w:rsidRDefault="003E5F72" w:rsidP="00FF60A0">
            <w:pPr>
              <w:jc w:val="center"/>
              <w:rPr>
                <w:rFonts w:cs="Calibri"/>
                <w:sz w:val="16"/>
                <w:szCs w:val="18"/>
              </w:rPr>
            </w:pPr>
            <w:r w:rsidRPr="00404DA5">
              <w:rPr>
                <w:rFonts w:cs="Calibri"/>
                <w:sz w:val="16"/>
                <w:szCs w:val="18"/>
              </w:rPr>
              <w:t>Prognozowany % realizacji wartości docelowej</w:t>
            </w:r>
          </w:p>
        </w:tc>
      </w:tr>
      <w:tr w:rsidR="003E5F72" w:rsidRPr="00FE43CD" w14:paraId="00345C81" w14:textId="77777777" w:rsidTr="00FF60A0">
        <w:trPr>
          <w:trHeight w:val="657"/>
        </w:trPr>
        <w:tc>
          <w:tcPr>
            <w:tcW w:w="826" w:type="pct"/>
            <w:shd w:val="clear" w:color="auto" w:fill="auto"/>
            <w:vAlign w:val="center"/>
          </w:tcPr>
          <w:p w14:paraId="7203F970" w14:textId="77777777" w:rsidR="003E5F72" w:rsidRPr="00404DA5" w:rsidRDefault="003E5F72" w:rsidP="00FF60A0">
            <w:pPr>
              <w:rPr>
                <w:rFonts w:cs="Calibri"/>
                <w:sz w:val="18"/>
                <w:szCs w:val="18"/>
              </w:rPr>
            </w:pPr>
            <w:r w:rsidRPr="00404DA5">
              <w:rPr>
                <w:rFonts w:cs="Calibri"/>
                <w:sz w:val="18"/>
                <w:szCs w:val="18"/>
              </w:rPr>
              <w:t>WP</w:t>
            </w:r>
          </w:p>
        </w:tc>
        <w:tc>
          <w:tcPr>
            <w:tcW w:w="1148" w:type="pct"/>
            <w:shd w:val="clear" w:color="auto" w:fill="auto"/>
            <w:vAlign w:val="center"/>
          </w:tcPr>
          <w:p w14:paraId="1D853414" w14:textId="77777777" w:rsidR="003E5F72" w:rsidRPr="00404DA5" w:rsidRDefault="003E5F72" w:rsidP="00FF60A0">
            <w:pPr>
              <w:rPr>
                <w:rFonts w:cs="Calibri"/>
                <w:sz w:val="18"/>
                <w:szCs w:val="18"/>
              </w:rPr>
            </w:pPr>
            <w:r w:rsidRPr="00404DA5">
              <w:rPr>
                <w:rFonts w:cs="Calibri"/>
                <w:sz w:val="18"/>
                <w:szCs w:val="18"/>
              </w:rPr>
              <w:t>Liczba jednostek wytwarzania energii elektrycznej</w:t>
            </w:r>
            <w:r w:rsidR="00E66B89">
              <w:rPr>
                <w:rFonts w:cs="Calibri"/>
                <w:sz w:val="18"/>
                <w:szCs w:val="18"/>
              </w:rPr>
              <w:t xml:space="preserve"> z </w:t>
            </w:r>
            <w:r w:rsidRPr="00404DA5">
              <w:rPr>
                <w:rFonts w:cs="Calibri"/>
                <w:sz w:val="18"/>
                <w:szCs w:val="18"/>
              </w:rPr>
              <w:t>OZE</w:t>
            </w:r>
          </w:p>
        </w:tc>
        <w:tc>
          <w:tcPr>
            <w:tcW w:w="793" w:type="pct"/>
            <w:shd w:val="clear" w:color="auto" w:fill="auto"/>
            <w:vAlign w:val="center"/>
          </w:tcPr>
          <w:p w14:paraId="1A2B9672" w14:textId="77777777" w:rsidR="003E5F72" w:rsidRPr="00404DA5" w:rsidRDefault="003E5F72" w:rsidP="00FF60A0">
            <w:pPr>
              <w:jc w:val="center"/>
              <w:rPr>
                <w:rFonts w:cs="Calibri"/>
                <w:sz w:val="18"/>
                <w:szCs w:val="18"/>
              </w:rPr>
            </w:pPr>
            <w:r w:rsidRPr="00404DA5">
              <w:rPr>
                <w:rFonts w:cs="Calibri"/>
                <w:sz w:val="18"/>
                <w:szCs w:val="18"/>
              </w:rPr>
              <w:t>43</w:t>
            </w:r>
          </w:p>
        </w:tc>
        <w:tc>
          <w:tcPr>
            <w:tcW w:w="1115" w:type="pct"/>
            <w:shd w:val="clear" w:color="auto" w:fill="auto"/>
            <w:vAlign w:val="center"/>
          </w:tcPr>
          <w:p w14:paraId="15374937" w14:textId="77777777" w:rsidR="003E5F72" w:rsidRPr="00404DA5" w:rsidRDefault="003E5F72" w:rsidP="00FF60A0">
            <w:pPr>
              <w:jc w:val="center"/>
              <w:rPr>
                <w:rFonts w:cs="Calibri"/>
                <w:sz w:val="18"/>
                <w:szCs w:val="18"/>
              </w:rPr>
            </w:pPr>
            <w:r w:rsidRPr="00404DA5">
              <w:rPr>
                <w:rFonts w:cs="Calibri"/>
                <w:sz w:val="18"/>
                <w:szCs w:val="18"/>
              </w:rPr>
              <w:t>477</w:t>
            </w:r>
          </w:p>
        </w:tc>
        <w:tc>
          <w:tcPr>
            <w:tcW w:w="1118" w:type="pct"/>
            <w:shd w:val="clear" w:color="auto" w:fill="auto"/>
            <w:vAlign w:val="center"/>
          </w:tcPr>
          <w:p w14:paraId="0500867F" w14:textId="77777777" w:rsidR="003E5F72" w:rsidRPr="00404DA5" w:rsidRDefault="003E5F72" w:rsidP="00FF60A0">
            <w:pPr>
              <w:jc w:val="center"/>
              <w:rPr>
                <w:rFonts w:cs="Calibri"/>
                <w:sz w:val="18"/>
                <w:szCs w:val="18"/>
              </w:rPr>
            </w:pPr>
            <w:r w:rsidRPr="00404DA5">
              <w:rPr>
                <w:rFonts w:cs="Calibri"/>
                <w:sz w:val="18"/>
                <w:szCs w:val="18"/>
              </w:rPr>
              <w:t>1 109%</w:t>
            </w:r>
          </w:p>
        </w:tc>
      </w:tr>
      <w:tr w:rsidR="003E5F72" w:rsidRPr="00FE43CD" w14:paraId="175EB47B" w14:textId="77777777" w:rsidTr="00FF60A0">
        <w:trPr>
          <w:trHeight w:val="672"/>
        </w:trPr>
        <w:tc>
          <w:tcPr>
            <w:tcW w:w="826" w:type="pct"/>
            <w:shd w:val="clear" w:color="auto" w:fill="auto"/>
            <w:vAlign w:val="center"/>
          </w:tcPr>
          <w:p w14:paraId="73CD7456" w14:textId="77777777" w:rsidR="003E5F72" w:rsidRPr="00404DA5" w:rsidRDefault="003E5F72" w:rsidP="00FF60A0">
            <w:pPr>
              <w:rPr>
                <w:rFonts w:cs="Calibri"/>
                <w:sz w:val="18"/>
                <w:szCs w:val="18"/>
              </w:rPr>
            </w:pPr>
            <w:r w:rsidRPr="00404DA5">
              <w:rPr>
                <w:rFonts w:cs="Calibri"/>
                <w:sz w:val="18"/>
                <w:szCs w:val="18"/>
              </w:rPr>
              <w:t>WP</w:t>
            </w:r>
          </w:p>
        </w:tc>
        <w:tc>
          <w:tcPr>
            <w:tcW w:w="1148" w:type="pct"/>
            <w:shd w:val="clear" w:color="auto" w:fill="auto"/>
            <w:vAlign w:val="center"/>
          </w:tcPr>
          <w:p w14:paraId="2BF4FF48" w14:textId="77777777" w:rsidR="003E5F72" w:rsidRPr="00404DA5" w:rsidRDefault="003E5F72" w:rsidP="00FF60A0">
            <w:pPr>
              <w:rPr>
                <w:rFonts w:cs="Calibri"/>
                <w:sz w:val="18"/>
                <w:szCs w:val="18"/>
              </w:rPr>
            </w:pPr>
            <w:r w:rsidRPr="00404DA5">
              <w:rPr>
                <w:rFonts w:cs="Calibri"/>
                <w:sz w:val="18"/>
                <w:szCs w:val="18"/>
              </w:rPr>
              <w:t>Liczba jednostek wytwarzania energii cieplnej</w:t>
            </w:r>
            <w:r w:rsidR="00E66B89">
              <w:rPr>
                <w:rFonts w:cs="Calibri"/>
                <w:sz w:val="18"/>
                <w:szCs w:val="18"/>
              </w:rPr>
              <w:t xml:space="preserve"> z </w:t>
            </w:r>
            <w:r w:rsidRPr="00404DA5">
              <w:rPr>
                <w:rFonts w:cs="Calibri"/>
                <w:sz w:val="18"/>
                <w:szCs w:val="18"/>
              </w:rPr>
              <w:t>OZE</w:t>
            </w:r>
          </w:p>
        </w:tc>
        <w:tc>
          <w:tcPr>
            <w:tcW w:w="793" w:type="pct"/>
            <w:shd w:val="clear" w:color="auto" w:fill="auto"/>
            <w:vAlign w:val="center"/>
          </w:tcPr>
          <w:p w14:paraId="70F22E91" w14:textId="77777777" w:rsidR="003E5F72" w:rsidRPr="00404DA5" w:rsidRDefault="003E5F72" w:rsidP="00FF60A0">
            <w:pPr>
              <w:jc w:val="center"/>
              <w:rPr>
                <w:rFonts w:cs="Calibri"/>
                <w:sz w:val="18"/>
                <w:szCs w:val="18"/>
              </w:rPr>
            </w:pPr>
            <w:r w:rsidRPr="00404DA5">
              <w:rPr>
                <w:rFonts w:cs="Calibri"/>
                <w:sz w:val="18"/>
                <w:szCs w:val="18"/>
              </w:rPr>
              <w:t>44</w:t>
            </w:r>
          </w:p>
        </w:tc>
        <w:tc>
          <w:tcPr>
            <w:tcW w:w="1115" w:type="pct"/>
            <w:shd w:val="clear" w:color="auto" w:fill="auto"/>
            <w:vAlign w:val="center"/>
          </w:tcPr>
          <w:p w14:paraId="15F16079" w14:textId="77777777" w:rsidR="003E5F72" w:rsidRPr="00404DA5" w:rsidRDefault="003E5F72" w:rsidP="00FF60A0">
            <w:pPr>
              <w:jc w:val="center"/>
              <w:rPr>
                <w:rFonts w:cs="Calibri"/>
                <w:sz w:val="18"/>
                <w:szCs w:val="18"/>
              </w:rPr>
            </w:pPr>
            <w:r w:rsidRPr="00404DA5">
              <w:rPr>
                <w:rFonts w:cs="Calibri"/>
                <w:sz w:val="18"/>
                <w:szCs w:val="18"/>
              </w:rPr>
              <w:t>1 097</w:t>
            </w:r>
          </w:p>
        </w:tc>
        <w:tc>
          <w:tcPr>
            <w:tcW w:w="1118" w:type="pct"/>
            <w:shd w:val="clear" w:color="auto" w:fill="auto"/>
            <w:vAlign w:val="center"/>
          </w:tcPr>
          <w:p w14:paraId="680EB5BB" w14:textId="77777777" w:rsidR="003E5F72" w:rsidRPr="00404DA5" w:rsidRDefault="003E5F72" w:rsidP="00FF60A0">
            <w:pPr>
              <w:jc w:val="center"/>
              <w:rPr>
                <w:rFonts w:cs="Calibri"/>
                <w:sz w:val="18"/>
                <w:szCs w:val="18"/>
              </w:rPr>
            </w:pPr>
            <w:r w:rsidRPr="00404DA5">
              <w:rPr>
                <w:rFonts w:cs="Calibri"/>
                <w:sz w:val="18"/>
                <w:szCs w:val="18"/>
              </w:rPr>
              <w:t>2 490%</w:t>
            </w:r>
          </w:p>
        </w:tc>
      </w:tr>
      <w:tr w:rsidR="003E5F72" w:rsidRPr="00FE43CD" w14:paraId="17E10435" w14:textId="77777777" w:rsidTr="00FF60A0">
        <w:trPr>
          <w:trHeight w:val="672"/>
        </w:trPr>
        <w:tc>
          <w:tcPr>
            <w:tcW w:w="826" w:type="pct"/>
            <w:shd w:val="clear" w:color="auto" w:fill="auto"/>
            <w:vAlign w:val="center"/>
          </w:tcPr>
          <w:p w14:paraId="273E9B97" w14:textId="77777777" w:rsidR="003E5F72" w:rsidRPr="00404DA5" w:rsidRDefault="003E5F72" w:rsidP="00FF60A0">
            <w:pPr>
              <w:rPr>
                <w:rFonts w:cs="Calibri"/>
                <w:sz w:val="18"/>
                <w:szCs w:val="18"/>
              </w:rPr>
            </w:pPr>
            <w:r w:rsidRPr="00404DA5">
              <w:rPr>
                <w:rFonts w:cs="Calibri"/>
                <w:sz w:val="18"/>
                <w:szCs w:val="18"/>
              </w:rPr>
              <w:t>WP</w:t>
            </w:r>
          </w:p>
        </w:tc>
        <w:tc>
          <w:tcPr>
            <w:tcW w:w="1148" w:type="pct"/>
            <w:shd w:val="clear" w:color="auto" w:fill="auto"/>
            <w:vAlign w:val="center"/>
          </w:tcPr>
          <w:p w14:paraId="27E3BF95" w14:textId="77777777" w:rsidR="003E5F72" w:rsidRPr="00404DA5" w:rsidRDefault="003E5F72" w:rsidP="00FF60A0">
            <w:pPr>
              <w:rPr>
                <w:rFonts w:cs="Calibri"/>
                <w:sz w:val="18"/>
                <w:szCs w:val="18"/>
              </w:rPr>
            </w:pPr>
            <w:r w:rsidRPr="00404DA5">
              <w:rPr>
                <w:rFonts w:cs="Calibri"/>
                <w:sz w:val="18"/>
                <w:szCs w:val="18"/>
              </w:rPr>
              <w:t>Dodatkowa zdolność wytwarzania energii ze źródeł odnawialnych</w:t>
            </w:r>
          </w:p>
        </w:tc>
        <w:tc>
          <w:tcPr>
            <w:tcW w:w="793" w:type="pct"/>
            <w:shd w:val="clear" w:color="auto" w:fill="auto"/>
            <w:vAlign w:val="center"/>
          </w:tcPr>
          <w:p w14:paraId="673974CB" w14:textId="77777777" w:rsidR="003E5F72" w:rsidRPr="00404DA5" w:rsidRDefault="003E5F72" w:rsidP="00FF60A0">
            <w:pPr>
              <w:jc w:val="center"/>
              <w:rPr>
                <w:rFonts w:cs="Calibri"/>
                <w:sz w:val="18"/>
                <w:szCs w:val="18"/>
              </w:rPr>
            </w:pPr>
            <w:r w:rsidRPr="00404DA5">
              <w:rPr>
                <w:rFonts w:cs="Calibri"/>
                <w:sz w:val="18"/>
                <w:szCs w:val="18"/>
              </w:rPr>
              <w:t>54,78</w:t>
            </w:r>
          </w:p>
        </w:tc>
        <w:tc>
          <w:tcPr>
            <w:tcW w:w="1115" w:type="pct"/>
            <w:shd w:val="clear" w:color="auto" w:fill="auto"/>
            <w:vAlign w:val="center"/>
          </w:tcPr>
          <w:p w14:paraId="22427C65" w14:textId="77777777" w:rsidR="003E5F72" w:rsidRPr="00404DA5" w:rsidRDefault="003E5F72" w:rsidP="00FF60A0">
            <w:pPr>
              <w:jc w:val="center"/>
              <w:rPr>
                <w:rFonts w:cs="Calibri"/>
                <w:sz w:val="18"/>
                <w:szCs w:val="18"/>
              </w:rPr>
            </w:pPr>
            <w:r w:rsidRPr="00404DA5">
              <w:rPr>
                <w:rFonts w:cs="Calibri"/>
                <w:sz w:val="18"/>
                <w:szCs w:val="18"/>
              </w:rPr>
              <w:t>66</w:t>
            </w:r>
          </w:p>
        </w:tc>
        <w:tc>
          <w:tcPr>
            <w:tcW w:w="1118" w:type="pct"/>
            <w:shd w:val="clear" w:color="auto" w:fill="auto"/>
            <w:vAlign w:val="center"/>
          </w:tcPr>
          <w:p w14:paraId="6BAAF0B3" w14:textId="77777777" w:rsidR="003E5F72" w:rsidRPr="00404DA5" w:rsidRDefault="003E5F72" w:rsidP="00FF60A0">
            <w:pPr>
              <w:jc w:val="center"/>
              <w:rPr>
                <w:rFonts w:cs="Calibri"/>
                <w:sz w:val="18"/>
                <w:szCs w:val="18"/>
              </w:rPr>
            </w:pPr>
            <w:r w:rsidRPr="00404DA5">
              <w:rPr>
                <w:rFonts w:cs="Calibri"/>
                <w:sz w:val="18"/>
                <w:szCs w:val="18"/>
              </w:rPr>
              <w:t>120%</w:t>
            </w:r>
          </w:p>
        </w:tc>
      </w:tr>
      <w:tr w:rsidR="003E5F72" w:rsidRPr="00FE43CD" w14:paraId="45210B04" w14:textId="77777777" w:rsidTr="00FF60A0">
        <w:trPr>
          <w:trHeight w:val="672"/>
        </w:trPr>
        <w:tc>
          <w:tcPr>
            <w:tcW w:w="826" w:type="pct"/>
            <w:shd w:val="clear" w:color="auto" w:fill="auto"/>
            <w:vAlign w:val="center"/>
          </w:tcPr>
          <w:p w14:paraId="2E6B1E6D" w14:textId="77777777" w:rsidR="003E5F72" w:rsidRPr="00404DA5" w:rsidRDefault="003E5F72" w:rsidP="00FF60A0">
            <w:pPr>
              <w:rPr>
                <w:rFonts w:cs="Calibri"/>
                <w:sz w:val="18"/>
                <w:szCs w:val="18"/>
              </w:rPr>
            </w:pPr>
            <w:r w:rsidRPr="00404DA5">
              <w:rPr>
                <w:rFonts w:cs="Calibri"/>
                <w:sz w:val="18"/>
                <w:szCs w:val="18"/>
              </w:rPr>
              <w:t>WP</w:t>
            </w:r>
          </w:p>
        </w:tc>
        <w:tc>
          <w:tcPr>
            <w:tcW w:w="1148" w:type="pct"/>
            <w:shd w:val="clear" w:color="auto" w:fill="auto"/>
            <w:vAlign w:val="center"/>
          </w:tcPr>
          <w:p w14:paraId="5E7B05C6" w14:textId="77777777" w:rsidR="003E5F72" w:rsidRPr="00404DA5" w:rsidRDefault="003E5F72" w:rsidP="00FF60A0">
            <w:pPr>
              <w:rPr>
                <w:rFonts w:cs="Calibri"/>
                <w:sz w:val="18"/>
                <w:szCs w:val="18"/>
              </w:rPr>
            </w:pPr>
            <w:r w:rsidRPr="00404DA5">
              <w:rPr>
                <w:rFonts w:cs="Calibri"/>
                <w:sz w:val="18"/>
                <w:szCs w:val="18"/>
              </w:rPr>
              <w:t>Szacowany roczny spadek emisji gazów cieplarnianych</w:t>
            </w:r>
          </w:p>
        </w:tc>
        <w:tc>
          <w:tcPr>
            <w:tcW w:w="793" w:type="pct"/>
            <w:shd w:val="clear" w:color="auto" w:fill="auto"/>
            <w:vAlign w:val="center"/>
          </w:tcPr>
          <w:p w14:paraId="30997664" w14:textId="77777777" w:rsidR="003E5F72" w:rsidRPr="00404DA5" w:rsidRDefault="003E5F72" w:rsidP="00FF60A0">
            <w:pPr>
              <w:jc w:val="center"/>
              <w:rPr>
                <w:rFonts w:cs="Calibri"/>
                <w:sz w:val="18"/>
                <w:szCs w:val="18"/>
              </w:rPr>
            </w:pPr>
            <w:r w:rsidRPr="00404DA5">
              <w:rPr>
                <w:rFonts w:cs="Calibri"/>
                <w:sz w:val="18"/>
                <w:szCs w:val="18"/>
              </w:rPr>
              <w:t>8 909,3</w:t>
            </w:r>
          </w:p>
        </w:tc>
        <w:tc>
          <w:tcPr>
            <w:tcW w:w="1115" w:type="pct"/>
            <w:shd w:val="clear" w:color="auto" w:fill="auto"/>
            <w:vAlign w:val="center"/>
          </w:tcPr>
          <w:p w14:paraId="0A5F9EAB" w14:textId="77777777" w:rsidR="003E5F72" w:rsidRPr="00404DA5" w:rsidRDefault="003E5F72" w:rsidP="00FF60A0">
            <w:pPr>
              <w:jc w:val="center"/>
              <w:rPr>
                <w:rFonts w:cs="Calibri"/>
                <w:sz w:val="18"/>
                <w:szCs w:val="18"/>
              </w:rPr>
            </w:pPr>
            <w:r w:rsidRPr="00404DA5">
              <w:rPr>
                <w:rFonts w:cs="Calibri"/>
                <w:sz w:val="18"/>
                <w:szCs w:val="18"/>
              </w:rPr>
              <w:t>74 566</w:t>
            </w:r>
          </w:p>
        </w:tc>
        <w:tc>
          <w:tcPr>
            <w:tcW w:w="1118" w:type="pct"/>
            <w:shd w:val="clear" w:color="auto" w:fill="auto"/>
            <w:vAlign w:val="center"/>
          </w:tcPr>
          <w:p w14:paraId="1156AC6A" w14:textId="77777777" w:rsidR="003E5F72" w:rsidRPr="00404DA5" w:rsidRDefault="003E5F72" w:rsidP="00FF60A0">
            <w:pPr>
              <w:jc w:val="center"/>
              <w:rPr>
                <w:rFonts w:cs="Calibri"/>
                <w:sz w:val="18"/>
                <w:szCs w:val="18"/>
              </w:rPr>
            </w:pPr>
            <w:r w:rsidRPr="00404DA5">
              <w:rPr>
                <w:rFonts w:cs="Calibri"/>
                <w:sz w:val="18"/>
                <w:szCs w:val="18"/>
              </w:rPr>
              <w:t>836%</w:t>
            </w:r>
          </w:p>
        </w:tc>
      </w:tr>
    </w:tbl>
    <w:p w14:paraId="1FB06E40" w14:textId="77777777" w:rsidR="003E5F72" w:rsidRPr="002A5FDF" w:rsidRDefault="003E5F72"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 xml:space="preserve">analizy własne. </w:t>
      </w:r>
    </w:p>
    <w:p w14:paraId="4E823FE7" w14:textId="77777777" w:rsidR="003E5F72" w:rsidRPr="00404DA5" w:rsidRDefault="003E5F72" w:rsidP="003E5F72">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przeprowadzonych analiz, wszystkie wskaźniki programowe określone dla PI 4a zostaną osiągnięte.</w:t>
      </w:r>
      <w:r w:rsidR="00E66B89">
        <w:rPr>
          <w:rFonts w:cs="Calibri"/>
          <w:szCs w:val="20"/>
        </w:rPr>
        <w:t xml:space="preserve"> W </w:t>
      </w:r>
      <w:r w:rsidRPr="00404DA5">
        <w:rPr>
          <w:rFonts w:cs="Calibri"/>
          <w:szCs w:val="20"/>
        </w:rPr>
        <w:t>przypadku trzech wskaźników ryzyko znacznego przekroczenia wartości docelowych jest tak duże, iż zaleca się ich urealnienie</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 xml:space="preserve">uaktualnione koszty jednostkowe. </w:t>
      </w:r>
    </w:p>
    <w:p w14:paraId="75DA52A9"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lastRenderedPageBreak/>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53A2241D" w14:textId="77777777" w:rsidR="003E5F72" w:rsidRPr="00404DA5" w:rsidRDefault="003E5F72" w:rsidP="003E5F72">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przeprowadzonych analiz, środki</w:t>
      </w:r>
      <w:r w:rsidR="00E66B89">
        <w:rPr>
          <w:rFonts w:cs="Calibri"/>
          <w:szCs w:val="20"/>
        </w:rPr>
        <w:t xml:space="preserve"> w </w:t>
      </w:r>
      <w:r w:rsidRPr="00404DA5">
        <w:rPr>
          <w:rFonts w:cs="Calibri"/>
          <w:szCs w:val="20"/>
        </w:rPr>
        <w:t>ramach Działania 2.9 oraz 2.11 zostały już wyczerpane. Pozostałe środki</w:t>
      </w:r>
      <w:r w:rsidR="00E66B89">
        <w:rPr>
          <w:rFonts w:cs="Calibri"/>
          <w:szCs w:val="20"/>
        </w:rPr>
        <w:t xml:space="preserve"> w </w:t>
      </w:r>
      <w:r w:rsidRPr="00404DA5">
        <w:rPr>
          <w:rFonts w:cs="Calibri"/>
          <w:szCs w:val="20"/>
        </w:rPr>
        <w:t>kwocie około 30 mln zł dostępne są</w:t>
      </w:r>
      <w:r w:rsidR="00E66B89">
        <w:rPr>
          <w:rFonts w:cs="Calibri"/>
          <w:szCs w:val="20"/>
        </w:rPr>
        <w:t xml:space="preserve"> w </w:t>
      </w:r>
      <w:r w:rsidRPr="00404DA5">
        <w:rPr>
          <w:rFonts w:cs="Calibri"/>
          <w:szCs w:val="20"/>
        </w:rPr>
        <w:t>ramach Działania 2.10, dla którego zaplanowano kolejny nabór (IV kwartał 2019 r., szacowany budżet – 4 mln euro)</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bardzo dużym potencjałem absorpcyjnym Działania 2.10, zaleca się wykorzystanie całej kwoty pozostałych środków na realizację projektów dotyczących energetyki słonecznej, gdyż ten typ projektów cieszy się największym zainteresowaniem potencjalnych beneficjentów. Projekty tego rodzaju wpisują się</w:t>
      </w:r>
      <w:r w:rsidR="00E66B89">
        <w:rPr>
          <w:rFonts w:cs="Calibri"/>
          <w:szCs w:val="20"/>
        </w:rPr>
        <w:t xml:space="preserve"> w </w:t>
      </w:r>
      <w:r w:rsidRPr="00404DA5">
        <w:rPr>
          <w:rFonts w:cs="Calibri"/>
          <w:szCs w:val="20"/>
        </w:rPr>
        <w:t xml:space="preserve">zidentyfikowane potrzeby regionu. </w:t>
      </w:r>
    </w:p>
    <w:p w14:paraId="0E505D28" w14:textId="77777777" w:rsidR="003E5F72" w:rsidRPr="00404DA5" w:rsidRDefault="003E5F72" w:rsidP="003E5F72">
      <w:pPr>
        <w:rPr>
          <w:rFonts w:cs="Calibri"/>
          <w:szCs w:val="20"/>
        </w:rPr>
      </w:pPr>
      <w:r w:rsidRPr="00404DA5">
        <w:rPr>
          <w:rFonts w:cs="Calibri"/>
          <w:szCs w:val="20"/>
        </w:rPr>
        <w:t>W ramach PI 4a nie przyznano środków</w:t>
      </w:r>
      <w:r w:rsidR="00E66B89">
        <w:rPr>
          <w:rFonts w:cs="Calibri"/>
          <w:szCs w:val="20"/>
        </w:rPr>
        <w:t xml:space="preserve"> z </w:t>
      </w:r>
      <w:r w:rsidRPr="00404DA5">
        <w:rPr>
          <w:rFonts w:cs="Calibri"/>
          <w:szCs w:val="20"/>
        </w:rPr>
        <w:t>rezerwy wykonania. Nie identyfikuje się potrzeby realokacji dodatkowych środków na działania realizowane</w:t>
      </w:r>
      <w:r w:rsidR="00E66B89">
        <w:rPr>
          <w:rFonts w:cs="Calibri"/>
          <w:szCs w:val="20"/>
        </w:rPr>
        <w:t xml:space="preserve"> w </w:t>
      </w:r>
      <w:r w:rsidRPr="00404DA5">
        <w:rPr>
          <w:rFonts w:cs="Calibri"/>
          <w:szCs w:val="20"/>
        </w:rPr>
        <w:t xml:space="preserve">ramach tego priorytetu. </w:t>
      </w:r>
    </w:p>
    <w:p w14:paraId="3C127B3B" w14:textId="77777777" w:rsidR="003824A1" w:rsidRPr="00FE43CD" w:rsidRDefault="003824A1" w:rsidP="00410B29">
      <w:pPr>
        <w:pStyle w:val="Nagwek3"/>
      </w:pPr>
      <w:r w:rsidRPr="00FE43CD">
        <w:t xml:space="preserve">Priorytet inwestycyjny nr </w:t>
      </w:r>
      <w:r>
        <w:t>4c</w:t>
      </w:r>
      <w:r w:rsidRPr="00FE43CD">
        <w:t xml:space="preserve"> (Działania </w:t>
      </w:r>
      <w:r>
        <w:t>2.5</w:t>
      </w:r>
      <w:r w:rsidRPr="00FE43CD">
        <w:t xml:space="preserve">, </w:t>
      </w:r>
      <w:r>
        <w:t>2.6</w:t>
      </w:r>
      <w:r w:rsidRPr="00FE43CD">
        <w:t xml:space="preserve">, </w:t>
      </w:r>
      <w:r>
        <w:t>2.7, 2.8, 2.13, 2.15</w:t>
      </w:r>
      <w:r w:rsidRPr="00FE43CD">
        <w:t>)</w:t>
      </w:r>
    </w:p>
    <w:p w14:paraId="2C0E6D03" w14:textId="77777777" w:rsidR="00384A8D" w:rsidRPr="00495DB6" w:rsidRDefault="003824A1" w:rsidP="00495DB6">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4078D91E" w14:textId="77777777" w:rsidR="003E5F72" w:rsidRPr="00FE43CD" w:rsidRDefault="003E5F72" w:rsidP="006E34DC">
      <w:pPr>
        <w:pStyle w:val="Legenda"/>
        <w:spacing w:after="0"/>
      </w:pPr>
      <w:bookmarkStart w:id="78" w:name="_Toc8824134"/>
      <w:r w:rsidRPr="00FE43CD">
        <w:t xml:space="preserve">Tabela </w:t>
      </w:r>
      <w:r w:rsidR="00B72A80">
        <w:fldChar w:fldCharType="begin"/>
      </w:r>
      <w:r w:rsidR="00B72A80">
        <w:instrText xml:space="preserve"> SEQ Tabela \* ARABIC </w:instrText>
      </w:r>
      <w:r w:rsidR="00B72A80">
        <w:fldChar w:fldCharType="separate"/>
      </w:r>
      <w:r w:rsidR="00763345">
        <w:rPr>
          <w:noProof/>
        </w:rPr>
        <w:t>23</w:t>
      </w:r>
      <w:r w:rsidR="00B72A80">
        <w:fldChar w:fldCharType="end"/>
      </w:r>
      <w:r w:rsidRPr="00FE43CD">
        <w:t xml:space="preserve"> Wskaźniki produktu (PI </w:t>
      </w:r>
      <w:r>
        <w:t>4c</w:t>
      </w:r>
      <w:r w:rsidRPr="00FE43CD">
        <w:t>) – postęp rzeczowy</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20"/>
        <w:gridCol w:w="1486"/>
        <w:gridCol w:w="1170"/>
        <w:gridCol w:w="847"/>
        <w:gridCol w:w="1194"/>
        <w:gridCol w:w="887"/>
        <w:gridCol w:w="886"/>
        <w:gridCol w:w="887"/>
      </w:tblGrid>
      <w:tr w:rsidR="003E5F72" w:rsidRPr="00E5277F" w14:paraId="25412091" w14:textId="77777777" w:rsidTr="00FF60A0">
        <w:trPr>
          <w:tblHeader/>
        </w:trPr>
        <w:tc>
          <w:tcPr>
            <w:tcW w:w="0" w:type="auto"/>
            <w:shd w:val="clear" w:color="auto" w:fill="DBE5F1"/>
            <w:vAlign w:val="center"/>
          </w:tcPr>
          <w:p w14:paraId="772E233F" w14:textId="77777777" w:rsidR="003E5F72" w:rsidRPr="00404DA5" w:rsidRDefault="003E5F72" w:rsidP="00FF60A0">
            <w:pPr>
              <w:jc w:val="center"/>
              <w:rPr>
                <w:rFonts w:cs="Calibri"/>
                <w:sz w:val="18"/>
                <w:szCs w:val="18"/>
              </w:rPr>
            </w:pPr>
            <w:bookmarkStart w:id="79" w:name="_Hlk2979946"/>
            <w:r w:rsidRPr="00404DA5">
              <w:rPr>
                <w:rFonts w:cs="Calibri"/>
                <w:sz w:val="18"/>
                <w:szCs w:val="18"/>
              </w:rPr>
              <w:t>Typ wskaźnika</w:t>
            </w:r>
          </w:p>
        </w:tc>
        <w:tc>
          <w:tcPr>
            <w:tcW w:w="0" w:type="auto"/>
            <w:shd w:val="clear" w:color="auto" w:fill="DBE5F1"/>
            <w:vAlign w:val="center"/>
          </w:tcPr>
          <w:p w14:paraId="400B0F70" w14:textId="77777777" w:rsidR="003E5F72" w:rsidRPr="00404DA5" w:rsidRDefault="003E5F72" w:rsidP="00FF60A0">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035C16BB" w14:textId="77777777" w:rsidR="003E5F72" w:rsidRPr="00404DA5" w:rsidRDefault="003E5F72" w:rsidP="00FF60A0">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7EE0ABA4" w14:textId="77777777" w:rsidR="003E5F72" w:rsidRPr="00404DA5" w:rsidRDefault="003E5F72" w:rsidP="00FF60A0">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0C25BD20" w14:textId="77777777" w:rsidR="003E5F72" w:rsidRPr="00404DA5" w:rsidRDefault="003E5F72" w:rsidP="00FF60A0">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1ED5228F" w14:textId="77777777" w:rsidR="003E5F72" w:rsidRPr="00404DA5" w:rsidRDefault="003E5F72" w:rsidP="00FF60A0">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719B88AF" w14:textId="77777777" w:rsidR="003E5F72" w:rsidRPr="00404DA5" w:rsidRDefault="003E5F72" w:rsidP="00FF60A0">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76D79F60" w14:textId="77777777" w:rsidR="003E5F72" w:rsidRPr="00404DA5" w:rsidRDefault="003E5F72" w:rsidP="00FF60A0">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490A252E" w14:textId="77777777" w:rsidR="003E5F72" w:rsidRPr="00404DA5" w:rsidRDefault="003E5F72" w:rsidP="00FF60A0">
            <w:pPr>
              <w:jc w:val="center"/>
              <w:rPr>
                <w:rFonts w:cs="Calibri"/>
                <w:sz w:val="18"/>
                <w:szCs w:val="18"/>
              </w:rPr>
            </w:pPr>
            <w:r w:rsidRPr="00404DA5">
              <w:rPr>
                <w:rFonts w:cs="Calibri"/>
                <w:sz w:val="18"/>
                <w:szCs w:val="18"/>
              </w:rPr>
              <w:t>% realizacji wartości docelowej (wg WoP)</w:t>
            </w:r>
          </w:p>
        </w:tc>
      </w:tr>
      <w:tr w:rsidR="003E5F72" w:rsidRPr="00E5277F" w14:paraId="6B1D1996" w14:textId="77777777" w:rsidTr="00FF60A0">
        <w:tc>
          <w:tcPr>
            <w:tcW w:w="0" w:type="auto"/>
            <w:shd w:val="clear" w:color="auto" w:fill="auto"/>
            <w:vAlign w:val="center"/>
          </w:tcPr>
          <w:p w14:paraId="4E8B1FC2" w14:textId="77777777" w:rsidR="003E5F72" w:rsidRPr="00404DA5" w:rsidRDefault="003E5F72" w:rsidP="00FF60A0">
            <w:pPr>
              <w:jc w:val="center"/>
              <w:rPr>
                <w:rFonts w:cs="Calibri"/>
                <w:sz w:val="18"/>
                <w:szCs w:val="18"/>
              </w:rPr>
            </w:pPr>
            <w:r w:rsidRPr="00404DA5">
              <w:rPr>
                <w:rFonts w:cs="Calibri"/>
                <w:sz w:val="18"/>
                <w:szCs w:val="18"/>
              </w:rPr>
              <w:t>WP</w:t>
            </w:r>
          </w:p>
        </w:tc>
        <w:tc>
          <w:tcPr>
            <w:tcW w:w="0" w:type="auto"/>
            <w:shd w:val="clear" w:color="auto" w:fill="auto"/>
          </w:tcPr>
          <w:p w14:paraId="4A4E4173" w14:textId="77777777" w:rsidR="003E5F72" w:rsidRPr="00404DA5" w:rsidRDefault="003E5F72" w:rsidP="00FF60A0">
            <w:pPr>
              <w:jc w:val="center"/>
              <w:rPr>
                <w:rFonts w:cs="Calibri"/>
                <w:sz w:val="18"/>
                <w:szCs w:val="18"/>
              </w:rPr>
            </w:pPr>
            <w:r w:rsidRPr="00404DA5">
              <w:rPr>
                <w:rFonts w:cs="Calibri"/>
                <w:sz w:val="18"/>
                <w:szCs w:val="18"/>
              </w:rPr>
              <w:t>2.5, 2.6, 2.7, 2.8, 2.13</w:t>
            </w:r>
          </w:p>
        </w:tc>
        <w:tc>
          <w:tcPr>
            <w:tcW w:w="0" w:type="auto"/>
            <w:shd w:val="clear" w:color="auto" w:fill="auto"/>
            <w:vAlign w:val="center"/>
          </w:tcPr>
          <w:p w14:paraId="3731A8CD" w14:textId="77777777" w:rsidR="003E5F72" w:rsidRPr="00404DA5" w:rsidRDefault="003E5F72" w:rsidP="00FF60A0">
            <w:pPr>
              <w:jc w:val="center"/>
              <w:rPr>
                <w:rFonts w:cs="Calibri"/>
                <w:sz w:val="18"/>
                <w:szCs w:val="18"/>
              </w:rPr>
            </w:pPr>
            <w:r w:rsidRPr="00404DA5">
              <w:rPr>
                <w:rFonts w:cs="Calibri"/>
                <w:sz w:val="18"/>
                <w:szCs w:val="18"/>
              </w:rPr>
              <w:t>Liczba zmodernizowanych energetycznie budynków</w:t>
            </w:r>
          </w:p>
        </w:tc>
        <w:tc>
          <w:tcPr>
            <w:tcW w:w="0" w:type="auto"/>
            <w:shd w:val="clear" w:color="auto" w:fill="auto"/>
            <w:vAlign w:val="center"/>
          </w:tcPr>
          <w:p w14:paraId="07259A04" w14:textId="77777777" w:rsidR="003E5F72" w:rsidRPr="00404DA5" w:rsidRDefault="003E5F72" w:rsidP="00FF60A0">
            <w:pPr>
              <w:jc w:val="center"/>
              <w:rPr>
                <w:rFonts w:cs="Calibri"/>
                <w:sz w:val="18"/>
                <w:szCs w:val="18"/>
              </w:rPr>
            </w:pPr>
            <w:r w:rsidRPr="00404DA5">
              <w:rPr>
                <w:rFonts w:cs="Calibri"/>
                <w:sz w:val="18"/>
                <w:szCs w:val="18"/>
              </w:rPr>
              <w:t>Szt.</w:t>
            </w:r>
          </w:p>
        </w:tc>
        <w:tc>
          <w:tcPr>
            <w:tcW w:w="0" w:type="auto"/>
            <w:shd w:val="clear" w:color="auto" w:fill="auto"/>
            <w:vAlign w:val="center"/>
          </w:tcPr>
          <w:p w14:paraId="48924140" w14:textId="77777777" w:rsidR="003E5F72" w:rsidRPr="00404DA5" w:rsidRDefault="003E5F72" w:rsidP="00FF60A0">
            <w:pPr>
              <w:jc w:val="center"/>
              <w:rPr>
                <w:rFonts w:cs="Calibri"/>
                <w:sz w:val="18"/>
                <w:szCs w:val="18"/>
              </w:rPr>
            </w:pPr>
            <w:r w:rsidRPr="00404DA5">
              <w:rPr>
                <w:rFonts w:cs="Calibri"/>
                <w:sz w:val="18"/>
                <w:szCs w:val="18"/>
              </w:rPr>
              <w:t>119</w:t>
            </w:r>
          </w:p>
        </w:tc>
        <w:tc>
          <w:tcPr>
            <w:tcW w:w="0" w:type="auto"/>
            <w:shd w:val="clear" w:color="auto" w:fill="auto"/>
            <w:vAlign w:val="center"/>
          </w:tcPr>
          <w:p w14:paraId="2DDE1E20" w14:textId="77777777" w:rsidR="003E5F72" w:rsidRPr="00404DA5" w:rsidRDefault="003E5F72" w:rsidP="00FF60A0">
            <w:pPr>
              <w:jc w:val="center"/>
              <w:rPr>
                <w:rFonts w:cs="Calibri"/>
                <w:sz w:val="18"/>
                <w:szCs w:val="18"/>
              </w:rPr>
            </w:pPr>
            <w:r w:rsidRPr="00404DA5">
              <w:rPr>
                <w:rFonts w:cs="Calibri"/>
                <w:sz w:val="18"/>
                <w:szCs w:val="18"/>
              </w:rPr>
              <w:t>203</w:t>
            </w:r>
          </w:p>
        </w:tc>
        <w:tc>
          <w:tcPr>
            <w:tcW w:w="0" w:type="auto"/>
            <w:shd w:val="clear" w:color="auto" w:fill="auto"/>
            <w:vAlign w:val="center"/>
          </w:tcPr>
          <w:p w14:paraId="3D367E5A" w14:textId="77777777" w:rsidR="003E5F72" w:rsidRPr="00404DA5" w:rsidRDefault="003E5F72" w:rsidP="00FF60A0">
            <w:pPr>
              <w:jc w:val="center"/>
              <w:rPr>
                <w:rFonts w:cs="Calibri"/>
                <w:sz w:val="18"/>
                <w:szCs w:val="18"/>
              </w:rPr>
            </w:pPr>
            <w:r w:rsidRPr="00404DA5">
              <w:rPr>
                <w:rFonts w:cs="Calibri"/>
                <w:sz w:val="18"/>
                <w:szCs w:val="18"/>
              </w:rPr>
              <w:t>170,6%</w:t>
            </w:r>
          </w:p>
        </w:tc>
        <w:tc>
          <w:tcPr>
            <w:tcW w:w="0" w:type="auto"/>
            <w:shd w:val="clear" w:color="auto" w:fill="auto"/>
            <w:vAlign w:val="center"/>
          </w:tcPr>
          <w:p w14:paraId="6E9A1C88" w14:textId="77777777" w:rsidR="003E5F72" w:rsidRPr="00404DA5" w:rsidRDefault="003E5F72" w:rsidP="00FF60A0">
            <w:pPr>
              <w:jc w:val="center"/>
              <w:rPr>
                <w:rFonts w:cs="Calibri"/>
                <w:sz w:val="18"/>
                <w:szCs w:val="18"/>
              </w:rPr>
            </w:pPr>
            <w:r w:rsidRPr="00404DA5">
              <w:rPr>
                <w:rFonts w:cs="Calibri"/>
                <w:sz w:val="18"/>
                <w:szCs w:val="18"/>
              </w:rPr>
              <w:t>17</w:t>
            </w:r>
          </w:p>
        </w:tc>
        <w:tc>
          <w:tcPr>
            <w:tcW w:w="0" w:type="auto"/>
            <w:shd w:val="clear" w:color="auto" w:fill="auto"/>
            <w:vAlign w:val="center"/>
          </w:tcPr>
          <w:p w14:paraId="29458571" w14:textId="77777777" w:rsidR="003E5F72" w:rsidRPr="00404DA5" w:rsidRDefault="003E5F72" w:rsidP="00FF60A0">
            <w:pPr>
              <w:jc w:val="center"/>
              <w:rPr>
                <w:rFonts w:cs="Calibri"/>
                <w:sz w:val="18"/>
                <w:szCs w:val="18"/>
              </w:rPr>
            </w:pPr>
            <w:r w:rsidRPr="00404DA5">
              <w:rPr>
                <w:rFonts w:cs="Calibri"/>
                <w:sz w:val="18"/>
                <w:szCs w:val="18"/>
              </w:rPr>
              <w:t>14,3%</w:t>
            </w:r>
          </w:p>
        </w:tc>
      </w:tr>
      <w:tr w:rsidR="003E5F72" w:rsidRPr="00E5277F" w14:paraId="509F1D1A" w14:textId="77777777" w:rsidTr="00FF60A0">
        <w:tc>
          <w:tcPr>
            <w:tcW w:w="0" w:type="auto"/>
            <w:shd w:val="clear" w:color="auto" w:fill="auto"/>
            <w:vAlign w:val="center"/>
          </w:tcPr>
          <w:p w14:paraId="566B9204" w14:textId="77777777" w:rsidR="003E5F72" w:rsidRPr="00404DA5" w:rsidRDefault="003E5F72" w:rsidP="00FF60A0">
            <w:pPr>
              <w:jc w:val="center"/>
              <w:rPr>
                <w:sz w:val="18"/>
                <w:szCs w:val="18"/>
              </w:rPr>
            </w:pPr>
            <w:r w:rsidRPr="00404DA5">
              <w:rPr>
                <w:sz w:val="18"/>
                <w:szCs w:val="18"/>
              </w:rPr>
              <w:t>WR</w:t>
            </w:r>
          </w:p>
        </w:tc>
        <w:tc>
          <w:tcPr>
            <w:tcW w:w="0" w:type="auto"/>
            <w:shd w:val="clear" w:color="auto" w:fill="auto"/>
          </w:tcPr>
          <w:p w14:paraId="77CD8D79" w14:textId="77777777" w:rsidR="003E5F72" w:rsidRPr="00404DA5" w:rsidRDefault="003E5F72" w:rsidP="00FF60A0">
            <w:pPr>
              <w:jc w:val="center"/>
              <w:rPr>
                <w:rFonts w:cs="Calibri"/>
                <w:sz w:val="18"/>
                <w:szCs w:val="18"/>
              </w:rPr>
            </w:pPr>
            <w:r w:rsidRPr="00404DA5">
              <w:rPr>
                <w:rFonts w:cs="Calibri"/>
                <w:sz w:val="18"/>
                <w:szCs w:val="18"/>
              </w:rPr>
              <w:t>2.5, 2.6, 2.7, 2.8, 2.13</w:t>
            </w:r>
          </w:p>
        </w:tc>
        <w:tc>
          <w:tcPr>
            <w:tcW w:w="0" w:type="auto"/>
            <w:shd w:val="clear" w:color="auto" w:fill="auto"/>
            <w:vAlign w:val="center"/>
          </w:tcPr>
          <w:p w14:paraId="23B95BFC" w14:textId="77777777" w:rsidR="003E5F72" w:rsidRPr="00404DA5" w:rsidRDefault="003E5F72" w:rsidP="00FF60A0">
            <w:pPr>
              <w:jc w:val="center"/>
              <w:rPr>
                <w:rFonts w:cs="Calibri"/>
                <w:sz w:val="18"/>
                <w:szCs w:val="18"/>
              </w:rPr>
            </w:pPr>
            <w:r w:rsidRPr="00404DA5">
              <w:rPr>
                <w:rFonts w:cs="Calibri"/>
                <w:sz w:val="18"/>
                <w:szCs w:val="18"/>
              </w:rPr>
              <w:t>Szacowany roczny spadek emisji gazów cieplarnianych</w:t>
            </w:r>
          </w:p>
        </w:tc>
        <w:tc>
          <w:tcPr>
            <w:tcW w:w="0" w:type="auto"/>
            <w:shd w:val="clear" w:color="auto" w:fill="auto"/>
            <w:vAlign w:val="center"/>
          </w:tcPr>
          <w:p w14:paraId="190AA44C" w14:textId="77777777" w:rsidR="003E5F72" w:rsidRPr="00404DA5" w:rsidRDefault="003E5F72" w:rsidP="00FF60A0">
            <w:pPr>
              <w:jc w:val="center"/>
              <w:rPr>
                <w:rFonts w:cs="Calibri"/>
                <w:sz w:val="18"/>
                <w:szCs w:val="18"/>
              </w:rPr>
            </w:pPr>
            <w:r w:rsidRPr="00404DA5">
              <w:rPr>
                <w:rFonts w:cs="Calibri"/>
                <w:sz w:val="18"/>
                <w:szCs w:val="18"/>
              </w:rPr>
              <w:t>Tony równoważnika CO2</w:t>
            </w:r>
          </w:p>
        </w:tc>
        <w:tc>
          <w:tcPr>
            <w:tcW w:w="0" w:type="auto"/>
            <w:shd w:val="clear" w:color="auto" w:fill="auto"/>
            <w:vAlign w:val="center"/>
          </w:tcPr>
          <w:p w14:paraId="484DB19B" w14:textId="77777777" w:rsidR="003E5F72" w:rsidRPr="00404DA5" w:rsidRDefault="003E5F72" w:rsidP="00FF60A0">
            <w:pPr>
              <w:jc w:val="center"/>
              <w:rPr>
                <w:rFonts w:cs="Calibri"/>
                <w:sz w:val="18"/>
                <w:szCs w:val="18"/>
              </w:rPr>
            </w:pPr>
            <w:r w:rsidRPr="00404DA5">
              <w:rPr>
                <w:rFonts w:cs="Calibri"/>
                <w:sz w:val="18"/>
                <w:szCs w:val="18"/>
              </w:rPr>
              <w:t>23 615</w:t>
            </w:r>
          </w:p>
        </w:tc>
        <w:tc>
          <w:tcPr>
            <w:tcW w:w="0" w:type="auto"/>
            <w:shd w:val="clear" w:color="auto" w:fill="auto"/>
            <w:vAlign w:val="center"/>
          </w:tcPr>
          <w:p w14:paraId="67A35169" w14:textId="77777777" w:rsidR="003E5F72" w:rsidRPr="00404DA5" w:rsidRDefault="003E5F72" w:rsidP="00FF60A0">
            <w:pPr>
              <w:jc w:val="center"/>
              <w:rPr>
                <w:rFonts w:cs="Calibri"/>
                <w:sz w:val="18"/>
                <w:szCs w:val="18"/>
              </w:rPr>
            </w:pPr>
            <w:r w:rsidRPr="00404DA5">
              <w:rPr>
                <w:rFonts w:cs="Calibri"/>
                <w:sz w:val="18"/>
                <w:szCs w:val="18"/>
              </w:rPr>
              <w:t>19 778,46</w:t>
            </w:r>
          </w:p>
        </w:tc>
        <w:tc>
          <w:tcPr>
            <w:tcW w:w="0" w:type="auto"/>
            <w:shd w:val="clear" w:color="auto" w:fill="auto"/>
            <w:vAlign w:val="center"/>
          </w:tcPr>
          <w:p w14:paraId="7F771BA2" w14:textId="77777777" w:rsidR="003E5F72" w:rsidRPr="00404DA5" w:rsidRDefault="003E5F72" w:rsidP="00FF60A0">
            <w:pPr>
              <w:jc w:val="center"/>
              <w:rPr>
                <w:rFonts w:cs="Calibri"/>
                <w:sz w:val="18"/>
                <w:szCs w:val="18"/>
              </w:rPr>
            </w:pPr>
            <w:r w:rsidRPr="00404DA5">
              <w:rPr>
                <w:rFonts w:cs="Calibri"/>
                <w:sz w:val="18"/>
                <w:szCs w:val="18"/>
              </w:rPr>
              <w:t>83,8%</w:t>
            </w:r>
          </w:p>
        </w:tc>
        <w:tc>
          <w:tcPr>
            <w:tcW w:w="0" w:type="auto"/>
            <w:shd w:val="clear" w:color="auto" w:fill="auto"/>
            <w:vAlign w:val="center"/>
          </w:tcPr>
          <w:p w14:paraId="176C04AC" w14:textId="77777777" w:rsidR="003E5F72" w:rsidRPr="00404DA5" w:rsidRDefault="003E5F72" w:rsidP="00FF60A0">
            <w:pPr>
              <w:jc w:val="center"/>
              <w:rPr>
                <w:rFonts w:cs="Calibri"/>
                <w:sz w:val="18"/>
                <w:szCs w:val="18"/>
              </w:rPr>
            </w:pPr>
            <w:r w:rsidRPr="00404DA5">
              <w:rPr>
                <w:rFonts w:cs="Calibri"/>
                <w:sz w:val="18"/>
                <w:szCs w:val="18"/>
              </w:rPr>
              <w:t>0</w:t>
            </w:r>
          </w:p>
        </w:tc>
        <w:tc>
          <w:tcPr>
            <w:tcW w:w="0" w:type="auto"/>
            <w:shd w:val="clear" w:color="auto" w:fill="auto"/>
            <w:vAlign w:val="center"/>
          </w:tcPr>
          <w:p w14:paraId="25FC06D7" w14:textId="77777777" w:rsidR="003E5F72" w:rsidRPr="00404DA5" w:rsidRDefault="003E5F72" w:rsidP="00FF60A0">
            <w:pPr>
              <w:jc w:val="center"/>
              <w:rPr>
                <w:rFonts w:cs="Calibri"/>
                <w:sz w:val="18"/>
                <w:szCs w:val="18"/>
              </w:rPr>
            </w:pPr>
            <w:r w:rsidRPr="00404DA5">
              <w:rPr>
                <w:rFonts w:cs="Calibri"/>
                <w:sz w:val="18"/>
                <w:szCs w:val="18"/>
              </w:rPr>
              <w:t>0%</w:t>
            </w:r>
          </w:p>
        </w:tc>
      </w:tr>
      <w:tr w:rsidR="003E5F72" w:rsidRPr="00E5277F" w14:paraId="72F7DE86" w14:textId="77777777" w:rsidTr="00FF60A0">
        <w:tc>
          <w:tcPr>
            <w:tcW w:w="0" w:type="auto"/>
            <w:shd w:val="clear" w:color="auto" w:fill="auto"/>
            <w:vAlign w:val="center"/>
          </w:tcPr>
          <w:p w14:paraId="032C54BA" w14:textId="77777777" w:rsidR="003E5F72" w:rsidRPr="00404DA5" w:rsidRDefault="003E5F72" w:rsidP="00FF60A0">
            <w:pPr>
              <w:jc w:val="center"/>
              <w:rPr>
                <w:sz w:val="18"/>
                <w:szCs w:val="18"/>
              </w:rPr>
            </w:pPr>
            <w:r w:rsidRPr="00404DA5">
              <w:rPr>
                <w:sz w:val="18"/>
                <w:szCs w:val="18"/>
              </w:rPr>
              <w:t>WP</w:t>
            </w:r>
          </w:p>
        </w:tc>
        <w:tc>
          <w:tcPr>
            <w:tcW w:w="0" w:type="auto"/>
            <w:shd w:val="clear" w:color="auto" w:fill="auto"/>
          </w:tcPr>
          <w:p w14:paraId="56BB14B9" w14:textId="77777777" w:rsidR="003E5F72" w:rsidRPr="00404DA5" w:rsidRDefault="003E5F72" w:rsidP="00FF60A0">
            <w:pPr>
              <w:jc w:val="center"/>
              <w:rPr>
                <w:rFonts w:cs="Calibri"/>
                <w:bCs/>
                <w:sz w:val="18"/>
                <w:szCs w:val="18"/>
              </w:rPr>
            </w:pPr>
            <w:r w:rsidRPr="00404DA5">
              <w:rPr>
                <w:rFonts w:cs="Calibri"/>
                <w:sz w:val="18"/>
                <w:szCs w:val="18"/>
              </w:rPr>
              <w:t>2.7, 2.8</w:t>
            </w:r>
          </w:p>
        </w:tc>
        <w:tc>
          <w:tcPr>
            <w:tcW w:w="0" w:type="auto"/>
            <w:shd w:val="clear" w:color="auto" w:fill="auto"/>
            <w:vAlign w:val="center"/>
          </w:tcPr>
          <w:p w14:paraId="6216DD0A" w14:textId="77777777" w:rsidR="003E5F72" w:rsidRPr="00404DA5" w:rsidRDefault="003E5F72" w:rsidP="00FF60A0">
            <w:pPr>
              <w:jc w:val="center"/>
              <w:rPr>
                <w:rFonts w:cs="Calibri"/>
                <w:bCs/>
                <w:sz w:val="18"/>
                <w:szCs w:val="18"/>
              </w:rPr>
            </w:pPr>
            <w:r w:rsidRPr="00404DA5">
              <w:rPr>
                <w:rFonts w:cs="Calibri"/>
                <w:bCs/>
                <w:sz w:val="18"/>
                <w:szCs w:val="18"/>
              </w:rPr>
              <w:t>Liczba gospodarstw domowych</w:t>
            </w:r>
            <w:r w:rsidR="00E66B89">
              <w:rPr>
                <w:rFonts w:cs="Calibri"/>
                <w:bCs/>
                <w:sz w:val="18"/>
                <w:szCs w:val="18"/>
              </w:rPr>
              <w:t xml:space="preserve"> z </w:t>
            </w:r>
            <w:r w:rsidRPr="00404DA5">
              <w:rPr>
                <w:rFonts w:cs="Calibri"/>
                <w:bCs/>
                <w:sz w:val="18"/>
                <w:szCs w:val="18"/>
              </w:rPr>
              <w:t>ulepszoną klasą energetyczną</w:t>
            </w:r>
          </w:p>
        </w:tc>
        <w:tc>
          <w:tcPr>
            <w:tcW w:w="0" w:type="auto"/>
            <w:shd w:val="clear" w:color="auto" w:fill="auto"/>
            <w:vAlign w:val="center"/>
          </w:tcPr>
          <w:p w14:paraId="222AC5B1" w14:textId="77777777" w:rsidR="003E5F72" w:rsidRPr="00404DA5" w:rsidRDefault="003E5F72" w:rsidP="00FF60A0">
            <w:pPr>
              <w:jc w:val="center"/>
              <w:rPr>
                <w:rFonts w:cs="Calibri"/>
                <w:bCs/>
                <w:sz w:val="18"/>
                <w:szCs w:val="18"/>
              </w:rPr>
            </w:pPr>
            <w:r w:rsidRPr="00404DA5">
              <w:rPr>
                <w:rFonts w:cs="Calibri"/>
                <w:bCs/>
                <w:sz w:val="18"/>
                <w:szCs w:val="18"/>
              </w:rPr>
              <w:t>Gospodarstwa domowe</w:t>
            </w:r>
          </w:p>
        </w:tc>
        <w:tc>
          <w:tcPr>
            <w:tcW w:w="0" w:type="auto"/>
            <w:shd w:val="clear" w:color="auto" w:fill="auto"/>
            <w:vAlign w:val="center"/>
          </w:tcPr>
          <w:p w14:paraId="5DEED0D8" w14:textId="77777777" w:rsidR="003E5F72" w:rsidRPr="00404DA5" w:rsidRDefault="003E5F72" w:rsidP="00FF60A0">
            <w:pPr>
              <w:jc w:val="center"/>
              <w:rPr>
                <w:rFonts w:cs="Calibri"/>
                <w:sz w:val="18"/>
                <w:szCs w:val="18"/>
              </w:rPr>
            </w:pPr>
            <w:r w:rsidRPr="00404DA5">
              <w:rPr>
                <w:rFonts w:cs="Calibri"/>
                <w:sz w:val="18"/>
                <w:szCs w:val="18"/>
              </w:rPr>
              <w:t>568</w:t>
            </w:r>
          </w:p>
        </w:tc>
        <w:tc>
          <w:tcPr>
            <w:tcW w:w="0" w:type="auto"/>
            <w:shd w:val="clear" w:color="auto" w:fill="auto"/>
            <w:vAlign w:val="center"/>
          </w:tcPr>
          <w:p w14:paraId="2DCEDB7E" w14:textId="77777777" w:rsidR="003E5F72" w:rsidRPr="00404DA5" w:rsidRDefault="003E5F72" w:rsidP="00FF60A0">
            <w:pPr>
              <w:jc w:val="center"/>
              <w:rPr>
                <w:rFonts w:cs="Calibri"/>
                <w:sz w:val="18"/>
                <w:szCs w:val="18"/>
              </w:rPr>
            </w:pPr>
            <w:r w:rsidRPr="00404DA5">
              <w:rPr>
                <w:rFonts w:cs="Calibri"/>
                <w:sz w:val="18"/>
                <w:szCs w:val="18"/>
              </w:rPr>
              <w:t>1 579</w:t>
            </w:r>
          </w:p>
        </w:tc>
        <w:tc>
          <w:tcPr>
            <w:tcW w:w="0" w:type="auto"/>
            <w:shd w:val="clear" w:color="auto" w:fill="auto"/>
            <w:vAlign w:val="center"/>
          </w:tcPr>
          <w:p w14:paraId="73C72F43" w14:textId="77777777" w:rsidR="003E5F72" w:rsidRPr="00404DA5" w:rsidRDefault="003E5F72" w:rsidP="00FF60A0">
            <w:pPr>
              <w:jc w:val="center"/>
              <w:rPr>
                <w:rFonts w:cs="Calibri"/>
                <w:sz w:val="18"/>
                <w:szCs w:val="18"/>
              </w:rPr>
            </w:pPr>
            <w:r w:rsidRPr="00404DA5">
              <w:rPr>
                <w:rFonts w:cs="Calibri"/>
                <w:sz w:val="18"/>
                <w:szCs w:val="18"/>
              </w:rPr>
              <w:t>278%</w:t>
            </w:r>
          </w:p>
        </w:tc>
        <w:tc>
          <w:tcPr>
            <w:tcW w:w="0" w:type="auto"/>
            <w:shd w:val="clear" w:color="auto" w:fill="auto"/>
            <w:vAlign w:val="center"/>
          </w:tcPr>
          <w:p w14:paraId="3B6D09E9" w14:textId="77777777" w:rsidR="003E5F72" w:rsidRPr="00404DA5" w:rsidRDefault="003E5F72" w:rsidP="00FF60A0">
            <w:pPr>
              <w:jc w:val="center"/>
              <w:rPr>
                <w:rFonts w:cs="Calibri"/>
                <w:sz w:val="18"/>
                <w:szCs w:val="18"/>
              </w:rPr>
            </w:pPr>
            <w:r w:rsidRPr="00404DA5">
              <w:rPr>
                <w:rFonts w:cs="Calibri"/>
                <w:sz w:val="18"/>
                <w:szCs w:val="18"/>
              </w:rPr>
              <w:t>144</w:t>
            </w:r>
          </w:p>
        </w:tc>
        <w:tc>
          <w:tcPr>
            <w:tcW w:w="0" w:type="auto"/>
            <w:shd w:val="clear" w:color="auto" w:fill="auto"/>
            <w:vAlign w:val="center"/>
          </w:tcPr>
          <w:p w14:paraId="61221120" w14:textId="77777777" w:rsidR="003E5F72" w:rsidRPr="00404DA5" w:rsidRDefault="003E5F72" w:rsidP="00FF60A0">
            <w:pPr>
              <w:jc w:val="center"/>
              <w:rPr>
                <w:rFonts w:cs="Calibri"/>
                <w:sz w:val="18"/>
                <w:szCs w:val="18"/>
              </w:rPr>
            </w:pPr>
            <w:r w:rsidRPr="00404DA5">
              <w:rPr>
                <w:rFonts w:cs="Calibri"/>
                <w:sz w:val="18"/>
                <w:szCs w:val="18"/>
              </w:rPr>
              <w:t>25,4%</w:t>
            </w:r>
          </w:p>
        </w:tc>
      </w:tr>
      <w:tr w:rsidR="003E5F72" w:rsidRPr="00E5277F" w14:paraId="085F726F" w14:textId="77777777" w:rsidTr="00FF60A0">
        <w:tc>
          <w:tcPr>
            <w:tcW w:w="0" w:type="auto"/>
            <w:shd w:val="clear" w:color="auto" w:fill="auto"/>
            <w:vAlign w:val="center"/>
          </w:tcPr>
          <w:p w14:paraId="2A20BC15" w14:textId="77777777" w:rsidR="003E5F72" w:rsidRPr="00404DA5" w:rsidRDefault="003E5F72" w:rsidP="00FF60A0">
            <w:pPr>
              <w:jc w:val="center"/>
              <w:rPr>
                <w:sz w:val="18"/>
                <w:szCs w:val="18"/>
              </w:rPr>
            </w:pPr>
            <w:r w:rsidRPr="00404DA5">
              <w:rPr>
                <w:sz w:val="18"/>
                <w:szCs w:val="18"/>
              </w:rPr>
              <w:t>WR</w:t>
            </w:r>
            <w:r>
              <w:rPr>
                <w:sz w:val="18"/>
                <w:szCs w:val="18"/>
              </w:rPr>
              <w:t>P</w:t>
            </w:r>
          </w:p>
        </w:tc>
        <w:tc>
          <w:tcPr>
            <w:tcW w:w="0" w:type="auto"/>
            <w:shd w:val="clear" w:color="auto" w:fill="auto"/>
          </w:tcPr>
          <w:p w14:paraId="44DC3FC7" w14:textId="77777777" w:rsidR="003E5F72" w:rsidRPr="00404DA5" w:rsidRDefault="003E5F72" w:rsidP="00FF60A0">
            <w:pPr>
              <w:jc w:val="center"/>
              <w:rPr>
                <w:rFonts w:cs="Calibri"/>
                <w:sz w:val="18"/>
                <w:szCs w:val="18"/>
              </w:rPr>
            </w:pPr>
            <w:r w:rsidRPr="00404DA5">
              <w:rPr>
                <w:rFonts w:cs="Calibri"/>
                <w:sz w:val="18"/>
                <w:szCs w:val="18"/>
              </w:rPr>
              <w:t>2.5, 2.6, 2.13</w:t>
            </w:r>
          </w:p>
        </w:tc>
        <w:tc>
          <w:tcPr>
            <w:tcW w:w="0" w:type="auto"/>
            <w:shd w:val="clear" w:color="auto" w:fill="auto"/>
            <w:vAlign w:val="center"/>
          </w:tcPr>
          <w:p w14:paraId="5087A071" w14:textId="77777777" w:rsidR="003E5F72" w:rsidRPr="00404DA5" w:rsidRDefault="003E5F72" w:rsidP="00FF60A0">
            <w:pPr>
              <w:jc w:val="center"/>
              <w:rPr>
                <w:rFonts w:cs="Calibri"/>
                <w:sz w:val="18"/>
                <w:szCs w:val="18"/>
              </w:rPr>
            </w:pPr>
            <w:r w:rsidRPr="00404DA5">
              <w:rPr>
                <w:rFonts w:cs="Calibri"/>
                <w:sz w:val="18"/>
                <w:szCs w:val="18"/>
              </w:rPr>
              <w:t>Zmniejszenie rocznego zużycia energii pierwotnej</w:t>
            </w:r>
            <w:r w:rsidR="00E66B89">
              <w:rPr>
                <w:rFonts w:cs="Calibri"/>
                <w:sz w:val="18"/>
                <w:szCs w:val="18"/>
              </w:rPr>
              <w:t xml:space="preserve"> w </w:t>
            </w:r>
            <w:r w:rsidRPr="00404DA5">
              <w:rPr>
                <w:rFonts w:cs="Calibri"/>
                <w:sz w:val="18"/>
                <w:szCs w:val="18"/>
              </w:rPr>
              <w:t>budynkach publicznych</w:t>
            </w:r>
          </w:p>
        </w:tc>
        <w:tc>
          <w:tcPr>
            <w:tcW w:w="0" w:type="auto"/>
            <w:shd w:val="clear" w:color="auto" w:fill="auto"/>
            <w:vAlign w:val="center"/>
          </w:tcPr>
          <w:p w14:paraId="7E22DF25" w14:textId="77777777" w:rsidR="003E5F72" w:rsidRPr="00404DA5" w:rsidRDefault="003E5F72" w:rsidP="00FF60A0">
            <w:pPr>
              <w:jc w:val="center"/>
              <w:rPr>
                <w:rFonts w:cs="Calibri"/>
                <w:sz w:val="18"/>
                <w:szCs w:val="18"/>
              </w:rPr>
            </w:pPr>
            <w:r w:rsidRPr="00404DA5">
              <w:rPr>
                <w:rFonts w:cs="Calibri"/>
                <w:sz w:val="18"/>
                <w:szCs w:val="18"/>
              </w:rPr>
              <w:t>kWh/rok</w:t>
            </w:r>
          </w:p>
        </w:tc>
        <w:tc>
          <w:tcPr>
            <w:tcW w:w="0" w:type="auto"/>
            <w:shd w:val="clear" w:color="auto" w:fill="auto"/>
            <w:vAlign w:val="center"/>
          </w:tcPr>
          <w:p w14:paraId="1AD79551" w14:textId="77777777" w:rsidR="003E5F72" w:rsidRPr="00404DA5" w:rsidRDefault="003E5F72" w:rsidP="00FF60A0">
            <w:pPr>
              <w:jc w:val="center"/>
              <w:rPr>
                <w:rFonts w:cs="Calibri"/>
                <w:sz w:val="18"/>
                <w:szCs w:val="18"/>
              </w:rPr>
            </w:pPr>
            <w:r w:rsidRPr="00404DA5">
              <w:rPr>
                <w:rFonts w:cs="Calibri"/>
                <w:sz w:val="18"/>
                <w:szCs w:val="18"/>
              </w:rPr>
              <w:t>40 382 230</w:t>
            </w:r>
          </w:p>
        </w:tc>
        <w:tc>
          <w:tcPr>
            <w:tcW w:w="0" w:type="auto"/>
            <w:shd w:val="clear" w:color="auto" w:fill="auto"/>
            <w:vAlign w:val="center"/>
          </w:tcPr>
          <w:p w14:paraId="5B87F61A" w14:textId="77777777" w:rsidR="003E5F72" w:rsidRPr="00404DA5" w:rsidRDefault="003E5F72" w:rsidP="00FF60A0">
            <w:pPr>
              <w:jc w:val="center"/>
              <w:rPr>
                <w:rFonts w:cs="Calibri"/>
                <w:sz w:val="18"/>
                <w:szCs w:val="18"/>
              </w:rPr>
            </w:pPr>
            <w:r w:rsidRPr="00404DA5">
              <w:rPr>
                <w:rFonts w:cs="Calibri"/>
                <w:sz w:val="18"/>
                <w:szCs w:val="18"/>
              </w:rPr>
              <w:t>46 517 747,79</w:t>
            </w:r>
          </w:p>
        </w:tc>
        <w:tc>
          <w:tcPr>
            <w:tcW w:w="0" w:type="auto"/>
            <w:shd w:val="clear" w:color="auto" w:fill="auto"/>
            <w:vAlign w:val="center"/>
          </w:tcPr>
          <w:p w14:paraId="09F92DB2" w14:textId="77777777" w:rsidR="003E5F72" w:rsidRPr="00404DA5" w:rsidRDefault="003E5F72" w:rsidP="00FF60A0">
            <w:pPr>
              <w:jc w:val="center"/>
              <w:rPr>
                <w:rFonts w:cs="Calibri"/>
                <w:sz w:val="18"/>
                <w:szCs w:val="18"/>
              </w:rPr>
            </w:pPr>
            <w:r w:rsidRPr="00404DA5">
              <w:rPr>
                <w:rFonts w:cs="Calibri"/>
                <w:sz w:val="18"/>
                <w:szCs w:val="18"/>
              </w:rPr>
              <w:t>115,2%</w:t>
            </w:r>
          </w:p>
        </w:tc>
        <w:tc>
          <w:tcPr>
            <w:tcW w:w="0" w:type="auto"/>
            <w:shd w:val="clear" w:color="auto" w:fill="auto"/>
            <w:vAlign w:val="center"/>
          </w:tcPr>
          <w:p w14:paraId="375ACEDF" w14:textId="77777777" w:rsidR="003E5F72" w:rsidRPr="00404DA5" w:rsidRDefault="003E5F72" w:rsidP="00FF60A0">
            <w:pPr>
              <w:jc w:val="center"/>
              <w:rPr>
                <w:rFonts w:cs="Calibri"/>
                <w:sz w:val="18"/>
                <w:szCs w:val="18"/>
              </w:rPr>
            </w:pPr>
            <w:r w:rsidRPr="00404DA5">
              <w:rPr>
                <w:rFonts w:cs="Calibri"/>
                <w:sz w:val="18"/>
                <w:szCs w:val="18"/>
              </w:rPr>
              <w:t>0</w:t>
            </w:r>
          </w:p>
        </w:tc>
        <w:tc>
          <w:tcPr>
            <w:tcW w:w="0" w:type="auto"/>
            <w:shd w:val="clear" w:color="auto" w:fill="auto"/>
            <w:vAlign w:val="center"/>
          </w:tcPr>
          <w:p w14:paraId="31BF063F" w14:textId="77777777" w:rsidR="003E5F72" w:rsidRPr="00404DA5" w:rsidRDefault="003E5F72" w:rsidP="00FF60A0">
            <w:pPr>
              <w:jc w:val="center"/>
              <w:rPr>
                <w:rFonts w:cs="Calibri"/>
                <w:sz w:val="18"/>
                <w:szCs w:val="18"/>
              </w:rPr>
            </w:pPr>
            <w:r w:rsidRPr="00404DA5">
              <w:rPr>
                <w:rFonts w:cs="Calibri"/>
                <w:sz w:val="18"/>
                <w:szCs w:val="18"/>
              </w:rPr>
              <w:t>0%</w:t>
            </w:r>
          </w:p>
        </w:tc>
      </w:tr>
    </w:tbl>
    <w:bookmarkEnd w:id="79"/>
    <w:p w14:paraId="50B5D41B" w14:textId="77777777" w:rsidR="003E5F72" w:rsidRPr="002A5FDF" w:rsidRDefault="003E5F72"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6A96EA18" w14:textId="77777777" w:rsidR="003E5F72" w:rsidRDefault="003E5F72" w:rsidP="003E5F72">
      <w:pPr>
        <w:pStyle w:val="Bezodstpw"/>
        <w:spacing w:before="120" w:line="288" w:lineRule="auto"/>
        <w:ind w:left="0"/>
        <w:jc w:val="both"/>
        <w:rPr>
          <w:rFonts w:ascii="Lato" w:hAnsi="Lato"/>
        </w:rPr>
      </w:pPr>
      <w:r>
        <w:rPr>
          <w:rFonts w:ascii="Lato" w:hAnsi="Lato"/>
        </w:rPr>
        <w:lastRenderedPageBreak/>
        <w:t>Postęp rzeczowy dla PI 4c na dzień 7.01.2019 r. ocenia się pozytywnie. Zakontraktowane umowy pozwalają wnioskować</w:t>
      </w:r>
      <w:r w:rsidR="00E66B89">
        <w:rPr>
          <w:rFonts w:ascii="Lato" w:hAnsi="Lato"/>
        </w:rPr>
        <w:t xml:space="preserve"> o </w:t>
      </w:r>
      <w:r>
        <w:rPr>
          <w:rFonts w:ascii="Lato" w:hAnsi="Lato"/>
        </w:rPr>
        <w:t>braku zagrożenia dla osiągnięcia celów na rok 2023.</w:t>
      </w:r>
      <w:r w:rsidR="00E66B89">
        <w:rPr>
          <w:rFonts w:ascii="Lato" w:hAnsi="Lato"/>
        </w:rPr>
        <w:t xml:space="preserve"> W </w:t>
      </w:r>
      <w:r>
        <w:rPr>
          <w:rFonts w:ascii="Lato" w:hAnsi="Lato"/>
        </w:rPr>
        <w:t>przypadku dwóch wskaźników obserwuje się jednak brak wartości wykazanych na podstawie wniosków</w:t>
      </w:r>
      <w:r w:rsidR="00E66B89">
        <w:rPr>
          <w:rFonts w:ascii="Lato" w:hAnsi="Lato"/>
        </w:rPr>
        <w:t xml:space="preserve"> o </w:t>
      </w:r>
      <w:r>
        <w:rPr>
          <w:rFonts w:ascii="Lato" w:hAnsi="Lato"/>
        </w:rPr>
        <w:t>płatność.</w:t>
      </w:r>
    </w:p>
    <w:p w14:paraId="3A9F9634" w14:textId="77777777" w:rsidR="003E5F72" w:rsidRDefault="003E5F72" w:rsidP="003E5F72">
      <w:pPr>
        <w:pStyle w:val="Bezodstpw"/>
        <w:spacing w:before="120" w:line="288" w:lineRule="auto"/>
        <w:jc w:val="both"/>
        <w:rPr>
          <w:rFonts w:ascii="Lato" w:hAnsi="Lato"/>
        </w:rPr>
      </w:pPr>
      <w:r>
        <w:rPr>
          <w:rFonts w:ascii="Lato" w:hAnsi="Lato"/>
        </w:rPr>
        <w:t xml:space="preserve">Wskaźnik </w:t>
      </w:r>
      <w:r w:rsidRPr="00BC15F0">
        <w:rPr>
          <w:rFonts w:ascii="Lato" w:hAnsi="Lato"/>
          <w:i/>
        </w:rPr>
        <w:t>Liczba zmodernizowanych energetycznie budynków</w:t>
      </w:r>
      <w:r>
        <w:rPr>
          <w:rFonts w:ascii="Lato" w:hAnsi="Lato"/>
        </w:rPr>
        <w:t>, jak omówiono podczas analizy osiągnięcia Ram Wykonania, nie jest zagrożony. Zakontraktowane umowy</w:t>
      </w:r>
      <w:r w:rsidR="00E66B89">
        <w:rPr>
          <w:rFonts w:ascii="Lato" w:hAnsi="Lato"/>
        </w:rPr>
        <w:t xml:space="preserve"> o </w:t>
      </w:r>
      <w:r>
        <w:rPr>
          <w:rFonts w:ascii="Lato" w:hAnsi="Lato"/>
        </w:rPr>
        <w:t>dofinansowanie przekraczają</w:t>
      </w:r>
      <w:r w:rsidR="00E66B89">
        <w:rPr>
          <w:rFonts w:ascii="Lato" w:hAnsi="Lato"/>
        </w:rPr>
        <w:t xml:space="preserve"> o </w:t>
      </w:r>
      <w:r>
        <w:rPr>
          <w:rFonts w:ascii="Lato" w:hAnsi="Lato"/>
        </w:rPr>
        <w:t>70% założoną wartość docelową. Do realizacji wskaźnika</w:t>
      </w:r>
      <w:r w:rsidR="00E66B89">
        <w:rPr>
          <w:rFonts w:ascii="Lato" w:hAnsi="Lato"/>
        </w:rPr>
        <w:t xml:space="preserve"> w </w:t>
      </w:r>
      <w:r>
        <w:rPr>
          <w:rFonts w:ascii="Lato" w:hAnsi="Lato"/>
        </w:rPr>
        <w:t>największym stopniu przyczynia się Działanie 2.7 (wartość wskaźnika</w:t>
      </w:r>
      <w:r w:rsidR="00E66B89">
        <w:rPr>
          <w:rFonts w:ascii="Lato" w:hAnsi="Lato"/>
        </w:rPr>
        <w:t xml:space="preserve"> w </w:t>
      </w:r>
      <w:r>
        <w:rPr>
          <w:rFonts w:ascii="Lato" w:hAnsi="Lato"/>
        </w:rPr>
        <w:t>UoD – 72),</w:t>
      </w:r>
      <w:r w:rsidR="00E66B89">
        <w:rPr>
          <w:rFonts w:ascii="Lato" w:hAnsi="Lato"/>
        </w:rPr>
        <w:t xml:space="preserve"> a </w:t>
      </w:r>
      <w:r>
        <w:rPr>
          <w:rFonts w:ascii="Lato" w:hAnsi="Lato"/>
        </w:rPr>
        <w:t>następnie Działanie 2.5 (69). Na wysokie zainteresowanie przedsięwzięciami</w:t>
      </w:r>
      <w:r w:rsidR="00E66B89">
        <w:rPr>
          <w:rFonts w:ascii="Lato" w:hAnsi="Lato"/>
        </w:rPr>
        <w:t xml:space="preserve"> z </w:t>
      </w:r>
      <w:r>
        <w:rPr>
          <w:rFonts w:ascii="Lato" w:hAnsi="Lato"/>
        </w:rPr>
        <w:t>zakresu poprawy efektywności energetycznej</w:t>
      </w:r>
      <w:r w:rsidR="00E66B89">
        <w:rPr>
          <w:rFonts w:ascii="Lato" w:hAnsi="Lato"/>
        </w:rPr>
        <w:t xml:space="preserve"> w </w:t>
      </w:r>
      <w:r>
        <w:rPr>
          <w:rFonts w:ascii="Lato" w:hAnsi="Lato"/>
        </w:rPr>
        <w:t xml:space="preserve">znacznym stopniu wpływają </w:t>
      </w:r>
      <w:r w:rsidRPr="00757F41">
        <w:rPr>
          <w:rFonts w:ascii="Lato" w:hAnsi="Lato"/>
        </w:rPr>
        <w:t>korzyści związane</w:t>
      </w:r>
      <w:r w:rsidR="00E66B89">
        <w:rPr>
          <w:rFonts w:ascii="Lato" w:hAnsi="Lato"/>
        </w:rPr>
        <w:t xml:space="preserve"> z </w:t>
      </w:r>
      <w:r w:rsidRPr="00757F41">
        <w:rPr>
          <w:rFonts w:ascii="Lato" w:hAnsi="Lato"/>
        </w:rPr>
        <w:t>niższymi kosztami utrzymania budynków wynikającymi</w:t>
      </w:r>
      <w:r w:rsidR="00E66B89">
        <w:rPr>
          <w:rFonts w:ascii="Lato" w:hAnsi="Lato"/>
        </w:rPr>
        <w:t xml:space="preserve"> z </w:t>
      </w:r>
      <w:r w:rsidRPr="00757F41">
        <w:rPr>
          <w:rFonts w:ascii="Lato" w:hAnsi="Lato"/>
        </w:rPr>
        <w:t>oszczędnego gospodarowania energią. Warto mieć na uwadze, że budynki wybudowane</w:t>
      </w:r>
      <w:r w:rsidR="00E66B89">
        <w:rPr>
          <w:rFonts w:ascii="Lato" w:hAnsi="Lato"/>
        </w:rPr>
        <w:t xml:space="preserve"> w </w:t>
      </w:r>
      <w:r w:rsidRPr="00757F41">
        <w:rPr>
          <w:rFonts w:ascii="Lato" w:hAnsi="Lato"/>
        </w:rPr>
        <w:t>przestarzałych technologiach budowlanych konsumują trzykrotnie więcej energii, niż te powstałe</w:t>
      </w:r>
      <w:r w:rsidR="00E66B89">
        <w:rPr>
          <w:rFonts w:ascii="Lato" w:hAnsi="Lato"/>
        </w:rPr>
        <w:t xml:space="preserve"> w </w:t>
      </w:r>
      <w:r w:rsidRPr="00757F41">
        <w:rPr>
          <w:rFonts w:ascii="Lato" w:hAnsi="Lato"/>
        </w:rPr>
        <w:t>roku 2007</w:t>
      </w:r>
      <w:r>
        <w:rPr>
          <w:rStyle w:val="Odwoanieprzypisudolnego"/>
          <w:rFonts w:ascii="Lato" w:hAnsi="Lato"/>
        </w:rPr>
        <w:footnoteReference w:id="26"/>
      </w:r>
      <w:r w:rsidRPr="00757F41">
        <w:rPr>
          <w:rFonts w:ascii="Lato" w:hAnsi="Lato"/>
        </w:rPr>
        <w:t>. Podejmowanie inwestycji termomodernizacyjnych ma więc przede wszystkim uzasadnienie ekonomiczne. Nie bez znaczenia pozostaje również rosnąca</w:t>
      </w:r>
      <w:r w:rsidR="00E66B89">
        <w:rPr>
          <w:rFonts w:ascii="Lato" w:hAnsi="Lato"/>
        </w:rPr>
        <w:t xml:space="preserve"> w </w:t>
      </w:r>
      <w:r w:rsidRPr="00757F41">
        <w:rPr>
          <w:rFonts w:ascii="Lato" w:hAnsi="Lato"/>
        </w:rPr>
        <w:t>ostatnich latach świadomość społeczna mająca swoje podłoże</w:t>
      </w:r>
      <w:r w:rsidR="00E66B89">
        <w:rPr>
          <w:rFonts w:ascii="Lato" w:hAnsi="Lato"/>
        </w:rPr>
        <w:t xml:space="preserve"> w </w:t>
      </w:r>
      <w:r w:rsidRPr="00757F41">
        <w:rPr>
          <w:rFonts w:ascii="Lato" w:hAnsi="Lato"/>
        </w:rPr>
        <w:t>nasilających się problemach związanych</w:t>
      </w:r>
      <w:r w:rsidR="00E66B89">
        <w:rPr>
          <w:rFonts w:ascii="Lato" w:hAnsi="Lato"/>
        </w:rPr>
        <w:t xml:space="preserve"> z </w:t>
      </w:r>
      <w:r w:rsidRPr="00757F41">
        <w:rPr>
          <w:rFonts w:ascii="Lato" w:hAnsi="Lato"/>
        </w:rPr>
        <w:t>jakością powietrza oraz wahaniami cen energii. Na powyższe oddziałuje np. funkcjonowanie programu krajowego „Czyste Powietrze”, umożliwiającego dofinansowanie termomodernizacji jednorodzinnych budynków mieszkalnych. Odgrywa on rolę kampanii społecznej na temat korzyści związanych</w:t>
      </w:r>
      <w:r w:rsidR="00E66B89">
        <w:rPr>
          <w:rFonts w:ascii="Lato" w:hAnsi="Lato"/>
        </w:rPr>
        <w:t xml:space="preserve"> z </w:t>
      </w:r>
      <w:r w:rsidRPr="00757F41">
        <w:rPr>
          <w:rFonts w:ascii="Lato" w:hAnsi="Lato"/>
        </w:rPr>
        <w:t>podejmowaniem modernizacji energetycznych budynków.</w:t>
      </w:r>
      <w:r>
        <w:rPr>
          <w:rFonts w:ascii="Lato" w:hAnsi="Lato"/>
        </w:rPr>
        <w:t xml:space="preserve"> </w:t>
      </w:r>
      <w:r w:rsidRPr="00FD5FF8">
        <w:rPr>
          <w:rFonts w:ascii="Lato" w:hAnsi="Lato"/>
        </w:rPr>
        <w:t>Na poziom osiągnięcia celów wpływa także funkcjonowanie programów rewitalizacji</w:t>
      </w:r>
      <w:r w:rsidR="00E66B89">
        <w:rPr>
          <w:rFonts w:ascii="Lato" w:hAnsi="Lato"/>
        </w:rPr>
        <w:t xml:space="preserve"> w </w:t>
      </w:r>
      <w:r w:rsidRPr="00FD5FF8">
        <w:rPr>
          <w:rFonts w:ascii="Lato" w:hAnsi="Lato"/>
        </w:rPr>
        <w:t xml:space="preserve">gminach województwa </w:t>
      </w:r>
      <w:r>
        <w:rPr>
          <w:rFonts w:ascii="Lato" w:hAnsi="Lato"/>
        </w:rPr>
        <w:t>zachodniopomorskiego</w:t>
      </w:r>
      <w:r w:rsidRPr="00FD5FF8">
        <w:rPr>
          <w:rFonts w:ascii="Lato" w:hAnsi="Lato"/>
        </w:rPr>
        <w:t>. Niejednokrotnie na wyznaczonych obszarach rewitalizacji są usytuowane budynki (głównie mieszkalne wielorodzinne) wymagające pilnych interwencji ze względu na ich zły stan techniczny</w:t>
      </w:r>
      <w:r w:rsidR="00E66B89">
        <w:rPr>
          <w:rFonts w:ascii="Lato" w:hAnsi="Lato"/>
        </w:rPr>
        <w:t xml:space="preserve"> i w </w:t>
      </w:r>
      <w:r w:rsidRPr="00FD5FF8">
        <w:rPr>
          <w:rFonts w:ascii="Lato" w:hAnsi="Lato"/>
        </w:rPr>
        <w:t>konsekwencji generowanie dużych strat energii. Programy rewitalizacji zakładają dofinansowanie modernizacji energetycznej m. in. za pomocą dofinansowania unijnego.</w:t>
      </w:r>
    </w:p>
    <w:p w14:paraId="1752098E" w14:textId="77777777" w:rsidR="003E5F72" w:rsidRDefault="003E5F72" w:rsidP="003E5F72">
      <w:pPr>
        <w:pStyle w:val="Bezodstpw"/>
        <w:spacing w:before="120" w:line="288" w:lineRule="auto"/>
        <w:jc w:val="both"/>
        <w:rPr>
          <w:rFonts w:ascii="Lato" w:hAnsi="Lato"/>
        </w:rPr>
      </w:pPr>
      <w:r>
        <w:rPr>
          <w:rFonts w:ascii="Lato" w:hAnsi="Lato"/>
        </w:rPr>
        <w:t xml:space="preserve">Z kolei wskaźnik </w:t>
      </w:r>
      <w:r w:rsidRPr="00885F28">
        <w:rPr>
          <w:rFonts w:ascii="Lato" w:hAnsi="Lato"/>
          <w:i/>
        </w:rPr>
        <w:t>Liczba gospodarstw domowych</w:t>
      </w:r>
      <w:r w:rsidR="00E66B89">
        <w:rPr>
          <w:rFonts w:ascii="Lato" w:hAnsi="Lato"/>
          <w:i/>
        </w:rPr>
        <w:t xml:space="preserve"> z </w:t>
      </w:r>
      <w:r w:rsidRPr="00885F28">
        <w:rPr>
          <w:rFonts w:ascii="Lato" w:hAnsi="Lato"/>
          <w:i/>
        </w:rPr>
        <w:t>ulepszoną klasą energetyczną</w:t>
      </w:r>
      <w:r>
        <w:rPr>
          <w:rFonts w:ascii="Lato" w:hAnsi="Lato"/>
        </w:rPr>
        <w:t xml:space="preserve"> na dzień 7.01.2019 r. powinien zostać osiągnięty</w:t>
      </w:r>
      <w:r w:rsidR="00E66B89">
        <w:rPr>
          <w:rFonts w:ascii="Lato" w:hAnsi="Lato"/>
        </w:rPr>
        <w:t xml:space="preserve"> w </w:t>
      </w:r>
      <w:r>
        <w:rPr>
          <w:rFonts w:ascii="Lato" w:hAnsi="Lato"/>
        </w:rPr>
        <w:t>wysokości 278% zakładanej wartości docelowej. Biorąc pod uwagę złożone wnioski</w:t>
      </w:r>
      <w:r w:rsidR="00E66B89">
        <w:rPr>
          <w:rFonts w:ascii="Lato" w:hAnsi="Lato"/>
        </w:rPr>
        <w:t xml:space="preserve"> o </w:t>
      </w:r>
      <w:r>
        <w:rPr>
          <w:rFonts w:ascii="Lato" w:hAnsi="Lato"/>
        </w:rPr>
        <w:t>płatność, udało się już zabezpieczyć 25,4% celu końcowego. Wskaźnik jest realizowany przez dwa działania.</w:t>
      </w:r>
      <w:r w:rsidR="00E66B89">
        <w:rPr>
          <w:rFonts w:ascii="Lato" w:hAnsi="Lato"/>
        </w:rPr>
        <w:t xml:space="preserve"> W </w:t>
      </w:r>
      <w:r>
        <w:rPr>
          <w:rFonts w:ascii="Lato" w:hAnsi="Lato"/>
        </w:rPr>
        <w:t>największym stopniu do osiąganej wartości przyczynia się Działanie 2.7 (wartość wskaźnika</w:t>
      </w:r>
      <w:r w:rsidR="00E66B89">
        <w:rPr>
          <w:rFonts w:ascii="Lato" w:hAnsi="Lato"/>
        </w:rPr>
        <w:t xml:space="preserve"> w </w:t>
      </w:r>
      <w:r>
        <w:rPr>
          <w:rFonts w:ascii="Lato" w:hAnsi="Lato"/>
        </w:rPr>
        <w:t>UoD – 1 061).</w:t>
      </w:r>
    </w:p>
    <w:p w14:paraId="41455D0F" w14:textId="77777777" w:rsidR="003E5F72" w:rsidRDefault="003E5F72" w:rsidP="003E5F72">
      <w:pPr>
        <w:pStyle w:val="Bezodstpw"/>
        <w:spacing w:before="120" w:line="288" w:lineRule="auto"/>
        <w:jc w:val="both"/>
        <w:rPr>
          <w:rFonts w:ascii="Lato" w:hAnsi="Lato"/>
        </w:rPr>
      </w:pPr>
      <w:r>
        <w:rPr>
          <w:rFonts w:ascii="Lato" w:hAnsi="Lato"/>
        </w:rPr>
        <w:t>Metodologia szacowania wartości docelowej wskaźnika, zastosowana do wyliczenia jego końcowej wartości</w:t>
      </w:r>
      <w:r w:rsidR="00E66B89">
        <w:rPr>
          <w:rFonts w:ascii="Lato" w:hAnsi="Lato"/>
        </w:rPr>
        <w:t xml:space="preserve"> w </w:t>
      </w:r>
      <w:r>
        <w:rPr>
          <w:rFonts w:ascii="Lato" w:hAnsi="Lato"/>
        </w:rPr>
        <w:t>roku 2023, założyła wyliczenie liczby mieszkań</w:t>
      </w:r>
      <w:r w:rsidR="00E66B89">
        <w:rPr>
          <w:rFonts w:ascii="Lato" w:hAnsi="Lato"/>
        </w:rPr>
        <w:t xml:space="preserve"> w </w:t>
      </w:r>
      <w:r>
        <w:rPr>
          <w:rFonts w:ascii="Lato" w:hAnsi="Lato"/>
        </w:rPr>
        <w:t>budynkach zmodernizowanych</w:t>
      </w:r>
      <w:r w:rsidR="00E66B89">
        <w:rPr>
          <w:rFonts w:ascii="Lato" w:hAnsi="Lato"/>
        </w:rPr>
        <w:t xml:space="preserve"> w </w:t>
      </w:r>
      <w:r>
        <w:rPr>
          <w:rFonts w:ascii="Lato" w:hAnsi="Lato"/>
        </w:rPr>
        <w:t xml:space="preserve">ramach RPO WZ według rodzajów budynków wielorodzinnych. Do wyliczeń posłużono się danymi dotyczącymi wskaźnika </w:t>
      </w:r>
      <w:r w:rsidRPr="00442BBF">
        <w:rPr>
          <w:rFonts w:ascii="Lato" w:hAnsi="Lato"/>
          <w:i/>
        </w:rPr>
        <w:t>Liczba zmodernizowanych energetycznie budynków mieszkalnych</w:t>
      </w:r>
      <w:r>
        <w:rPr>
          <w:rFonts w:ascii="Lato" w:hAnsi="Lato"/>
        </w:rPr>
        <w:t xml:space="preserve"> pochodzącymi</w:t>
      </w:r>
      <w:r w:rsidR="00E66B89">
        <w:rPr>
          <w:rFonts w:ascii="Lato" w:hAnsi="Lato"/>
        </w:rPr>
        <w:t xml:space="preserve"> z </w:t>
      </w:r>
      <w:r>
        <w:rPr>
          <w:rFonts w:ascii="Lato" w:hAnsi="Lato"/>
        </w:rPr>
        <w:t>RPO WZ 2007-2013 oraz danymi GUS BDL na temat rozkładu wielkości budynków oraz liczby mieszkań</w:t>
      </w:r>
      <w:r w:rsidR="00E66B89">
        <w:rPr>
          <w:rFonts w:ascii="Lato" w:hAnsi="Lato"/>
        </w:rPr>
        <w:t xml:space="preserve"> w </w:t>
      </w:r>
      <w:r>
        <w:rPr>
          <w:rFonts w:ascii="Lato" w:hAnsi="Lato"/>
        </w:rPr>
        <w:t>województwie</w:t>
      </w:r>
      <w:r w:rsidR="00E66B89">
        <w:rPr>
          <w:rFonts w:ascii="Lato" w:hAnsi="Lato"/>
        </w:rPr>
        <w:t xml:space="preserve"> w </w:t>
      </w:r>
      <w:r>
        <w:rPr>
          <w:rFonts w:ascii="Lato" w:hAnsi="Lato"/>
        </w:rPr>
        <w:t>roku 2011. Ponieważ posłużono się danymi pochodzącymi</w:t>
      </w:r>
      <w:r w:rsidR="00E66B89">
        <w:rPr>
          <w:rFonts w:ascii="Lato" w:hAnsi="Lato"/>
        </w:rPr>
        <w:t xml:space="preserve"> z </w:t>
      </w:r>
      <w:r>
        <w:rPr>
          <w:rFonts w:ascii="Lato" w:hAnsi="Lato"/>
        </w:rPr>
        <w:t>poprzedniego okresu finansowania (2007-2013), niemożliwe było realne oszacowanie liczby mieszkań, które zostaną wsparte – zmianie mogły ulec preferencje wnioskodawców czy też uwarunkowania rynkowe.</w:t>
      </w:r>
      <w:r w:rsidR="00E66B89">
        <w:rPr>
          <w:rFonts w:ascii="Lato" w:hAnsi="Lato"/>
        </w:rPr>
        <w:t xml:space="preserve"> W </w:t>
      </w:r>
      <w:r>
        <w:rPr>
          <w:rFonts w:ascii="Lato" w:hAnsi="Lato"/>
        </w:rPr>
        <w:t>wyliczeniach nie posługiwano się kosztem jednostkowym, lecz założono, że dofinansowanie otrzyma taka sama liczba budynków, jak miało to miejsce</w:t>
      </w:r>
      <w:r w:rsidR="00E66B89">
        <w:rPr>
          <w:rFonts w:ascii="Lato" w:hAnsi="Lato"/>
        </w:rPr>
        <w:t xml:space="preserve"> w </w:t>
      </w:r>
      <w:r>
        <w:rPr>
          <w:rFonts w:ascii="Lato" w:hAnsi="Lato"/>
        </w:rPr>
        <w:t>perspektywie 2007-2013.</w:t>
      </w:r>
      <w:r w:rsidR="00E66B89">
        <w:rPr>
          <w:rFonts w:ascii="Lato" w:hAnsi="Lato"/>
        </w:rPr>
        <w:t xml:space="preserve"> W </w:t>
      </w:r>
      <w:r>
        <w:rPr>
          <w:rFonts w:ascii="Lato" w:hAnsi="Lato"/>
        </w:rPr>
        <w:t>metodologii szacowania tego wskaźnika nie zawarto informacji na temat alokacji dostępnej na realizację tego wskaźnika.</w:t>
      </w:r>
      <w:r w:rsidR="00E66B89">
        <w:rPr>
          <w:rFonts w:ascii="Lato" w:hAnsi="Lato"/>
        </w:rPr>
        <w:t xml:space="preserve"> W </w:t>
      </w:r>
      <w:r>
        <w:rPr>
          <w:rFonts w:ascii="Lato" w:hAnsi="Lato"/>
        </w:rPr>
        <w:t xml:space="preserve">efekcie, </w:t>
      </w:r>
      <w:r w:rsidRPr="00885F28">
        <w:rPr>
          <w:rFonts w:ascii="Lato" w:hAnsi="Lato"/>
          <w:i/>
        </w:rPr>
        <w:t>Liczba gospodarstw domowych</w:t>
      </w:r>
      <w:r w:rsidR="00E66B89">
        <w:rPr>
          <w:rFonts w:ascii="Lato" w:hAnsi="Lato"/>
          <w:i/>
        </w:rPr>
        <w:t xml:space="preserve"> z </w:t>
      </w:r>
      <w:r w:rsidRPr="00885F28">
        <w:rPr>
          <w:rFonts w:ascii="Lato" w:hAnsi="Lato"/>
          <w:i/>
        </w:rPr>
        <w:t>ulepszoną klasą energetyczną</w:t>
      </w:r>
      <w:r>
        <w:rPr>
          <w:rFonts w:ascii="Lato" w:hAnsi="Lato"/>
        </w:rPr>
        <w:t xml:space="preserve"> zwiększyła się niemal trzykrotnie</w:t>
      </w:r>
      <w:r w:rsidR="00E66B89">
        <w:rPr>
          <w:rFonts w:ascii="Lato" w:hAnsi="Lato"/>
        </w:rPr>
        <w:t xml:space="preserve"> w </w:t>
      </w:r>
      <w:r>
        <w:rPr>
          <w:rFonts w:ascii="Lato" w:hAnsi="Lato"/>
        </w:rPr>
        <w:t xml:space="preserve">stosunku do przewidywań na etapie szacowania. </w:t>
      </w:r>
    </w:p>
    <w:p w14:paraId="1D0FE570" w14:textId="77777777" w:rsidR="003E5F72" w:rsidRDefault="003E5F72" w:rsidP="003E5F72">
      <w:pPr>
        <w:rPr>
          <w:szCs w:val="20"/>
        </w:rPr>
      </w:pPr>
      <w:r>
        <w:rPr>
          <w:szCs w:val="20"/>
        </w:rPr>
        <w:t>Umowy zakontraktowane do dnia 7.01.2019 r. nie zabezpieczają</w:t>
      </w:r>
      <w:r w:rsidR="00E66B89">
        <w:rPr>
          <w:szCs w:val="20"/>
        </w:rPr>
        <w:t xml:space="preserve"> w </w:t>
      </w:r>
      <w:r>
        <w:rPr>
          <w:szCs w:val="20"/>
        </w:rPr>
        <w:t xml:space="preserve">pełni osiągnięcia wartości docelowej wskaźnika </w:t>
      </w:r>
      <w:r w:rsidRPr="00191E9C">
        <w:rPr>
          <w:i/>
          <w:szCs w:val="20"/>
        </w:rPr>
        <w:t>Szacowany roczny spadek emisji gazów cieplarnianych</w:t>
      </w:r>
      <w:r>
        <w:rPr>
          <w:szCs w:val="20"/>
        </w:rPr>
        <w:t xml:space="preserve">, choć jest to niemal 85% wartości </w:t>
      </w:r>
      <w:r>
        <w:rPr>
          <w:szCs w:val="20"/>
        </w:rPr>
        <w:lastRenderedPageBreak/>
        <w:t>docelowej – niezbędnej do wykonania celu. Do osiąganych wartości wskaźnika</w:t>
      </w:r>
      <w:r w:rsidR="00E66B89">
        <w:rPr>
          <w:szCs w:val="20"/>
        </w:rPr>
        <w:t xml:space="preserve"> w </w:t>
      </w:r>
      <w:r>
        <w:rPr>
          <w:szCs w:val="20"/>
        </w:rPr>
        <w:t>największym stopniu przyczynia się Działanie 2.5 (wartość wskaźnika</w:t>
      </w:r>
      <w:r w:rsidR="00E66B89">
        <w:rPr>
          <w:szCs w:val="20"/>
        </w:rPr>
        <w:t xml:space="preserve"> w </w:t>
      </w:r>
      <w:r>
        <w:rPr>
          <w:szCs w:val="20"/>
        </w:rPr>
        <w:t xml:space="preserve">UoD – </w:t>
      </w:r>
      <w:r w:rsidRPr="001D7F74">
        <w:rPr>
          <w:szCs w:val="20"/>
        </w:rPr>
        <w:t>9</w:t>
      </w:r>
      <w:r>
        <w:rPr>
          <w:szCs w:val="20"/>
        </w:rPr>
        <w:t xml:space="preserve"> </w:t>
      </w:r>
      <w:r w:rsidRPr="001D7F74">
        <w:rPr>
          <w:szCs w:val="20"/>
        </w:rPr>
        <w:t>804,17</w:t>
      </w:r>
      <w:r>
        <w:rPr>
          <w:szCs w:val="20"/>
        </w:rPr>
        <w:t>),</w:t>
      </w:r>
      <w:r w:rsidR="00E66B89">
        <w:rPr>
          <w:szCs w:val="20"/>
        </w:rPr>
        <w:t xml:space="preserve"> a </w:t>
      </w:r>
      <w:r>
        <w:rPr>
          <w:szCs w:val="20"/>
        </w:rPr>
        <w:t>następnie 2.6 (</w:t>
      </w:r>
      <w:r w:rsidRPr="001D7F74">
        <w:rPr>
          <w:szCs w:val="20"/>
        </w:rPr>
        <w:t>4</w:t>
      </w:r>
      <w:r>
        <w:rPr>
          <w:szCs w:val="20"/>
        </w:rPr>
        <w:t xml:space="preserve"> </w:t>
      </w:r>
      <w:r w:rsidRPr="001D7F74">
        <w:rPr>
          <w:szCs w:val="20"/>
        </w:rPr>
        <w:t>919,05</w:t>
      </w:r>
      <w:r>
        <w:rPr>
          <w:szCs w:val="20"/>
        </w:rPr>
        <w:t>).</w:t>
      </w:r>
    </w:p>
    <w:p w14:paraId="05E1BD20" w14:textId="77777777" w:rsidR="003E5F72" w:rsidRPr="00485BA7" w:rsidRDefault="003E5F72" w:rsidP="003E5F72">
      <w:pPr>
        <w:rPr>
          <w:szCs w:val="20"/>
        </w:rPr>
      </w:pPr>
      <w:r>
        <w:rPr>
          <w:szCs w:val="20"/>
        </w:rPr>
        <w:t>Wartość docelowa wskaźnika została oszacowana</w:t>
      </w:r>
      <w:r w:rsidR="00E66B89">
        <w:rPr>
          <w:szCs w:val="20"/>
        </w:rPr>
        <w:t xml:space="preserve"> z </w:t>
      </w:r>
      <w:r>
        <w:rPr>
          <w:szCs w:val="20"/>
        </w:rPr>
        <w:t>niewielkim odchyleniem od faktycznie szacowanej wartości. Posłużono się Modelem CO2MPARE, zakładając scenariusz dla województwa zachodniopomorskiego przy alokacji przypisanej do PI 4c. Wskaźnik ten jest realizowany przez wszystkie projekty</w:t>
      </w:r>
      <w:r w:rsidR="00E66B89">
        <w:rPr>
          <w:szCs w:val="20"/>
        </w:rPr>
        <w:t xml:space="preserve"> z </w:t>
      </w:r>
      <w:r>
        <w:rPr>
          <w:szCs w:val="20"/>
        </w:rPr>
        <w:t>zakresu PI 4c. Należy mieć na uwadze, że</w:t>
      </w:r>
      <w:r w:rsidR="00E66B89">
        <w:rPr>
          <w:szCs w:val="20"/>
        </w:rPr>
        <w:t xml:space="preserve"> w </w:t>
      </w:r>
      <w:r>
        <w:rPr>
          <w:szCs w:val="20"/>
        </w:rPr>
        <w:t>roku 2019 zostanie uruchomione Działanie 2.15, nakierowane na termomodernizację budynków</w:t>
      </w:r>
      <w:r w:rsidR="00E66B89">
        <w:rPr>
          <w:szCs w:val="20"/>
        </w:rPr>
        <w:t xml:space="preserve"> w </w:t>
      </w:r>
      <w:r>
        <w:rPr>
          <w:szCs w:val="20"/>
        </w:rPr>
        <w:t>ramach Zachodniopomorskiego Programu Antysmogowego, które</w:t>
      </w:r>
      <w:r w:rsidR="00E66B89">
        <w:rPr>
          <w:szCs w:val="20"/>
        </w:rPr>
        <w:t xml:space="preserve"> z </w:t>
      </w:r>
      <w:r>
        <w:rPr>
          <w:szCs w:val="20"/>
        </w:rPr>
        <w:t xml:space="preserve">dużym prawdopodobieństwem pozwoli na zrealizowanie zakładanego scenariusza dla wskaźnika </w:t>
      </w:r>
      <w:r w:rsidRPr="00191E9C">
        <w:rPr>
          <w:i/>
          <w:szCs w:val="20"/>
        </w:rPr>
        <w:t>Szacowany roczny spadek emisji gazów cieplarnianych</w:t>
      </w:r>
      <w:r>
        <w:rPr>
          <w:szCs w:val="20"/>
        </w:rPr>
        <w:t>.</w:t>
      </w:r>
    </w:p>
    <w:p w14:paraId="40213A62" w14:textId="77777777" w:rsidR="003E5F72" w:rsidRDefault="003E5F72" w:rsidP="003E5F72">
      <w:pPr>
        <w:rPr>
          <w:szCs w:val="20"/>
        </w:rPr>
      </w:pPr>
      <w:r>
        <w:rPr>
          <w:szCs w:val="20"/>
        </w:rPr>
        <w:t xml:space="preserve">W przypadku wskaźnika </w:t>
      </w:r>
      <w:r w:rsidRPr="00191E9C">
        <w:rPr>
          <w:i/>
          <w:szCs w:val="20"/>
        </w:rPr>
        <w:t>Zmniejszenie rocznego zużycia energii pierwotnej</w:t>
      </w:r>
      <w:r w:rsidR="00E66B89">
        <w:rPr>
          <w:i/>
          <w:szCs w:val="20"/>
        </w:rPr>
        <w:t xml:space="preserve"> w </w:t>
      </w:r>
      <w:r w:rsidRPr="00191E9C">
        <w:rPr>
          <w:i/>
          <w:szCs w:val="20"/>
        </w:rPr>
        <w:t>budynkach publicznych</w:t>
      </w:r>
      <w:r>
        <w:rPr>
          <w:szCs w:val="20"/>
        </w:rPr>
        <w:t>, obserwuje się nadwykonanie</w:t>
      </w:r>
      <w:r w:rsidR="00E66B89">
        <w:rPr>
          <w:szCs w:val="20"/>
        </w:rPr>
        <w:t xml:space="preserve"> w </w:t>
      </w:r>
      <w:r>
        <w:rPr>
          <w:szCs w:val="20"/>
        </w:rPr>
        <w:t>wysokości 15,2% (w zakontraktowanych na dzień 7.01.2019 r. umowach). Interwencja dotycząca budynków publicznych została zrealizowana</w:t>
      </w:r>
      <w:r w:rsidR="00E66B89">
        <w:rPr>
          <w:szCs w:val="20"/>
        </w:rPr>
        <w:t xml:space="preserve"> z </w:t>
      </w:r>
      <w:r>
        <w:rPr>
          <w:szCs w:val="20"/>
        </w:rPr>
        <w:t>powodzeniem, na co duży wpływ ma nacisk na pełnienie przez sektor publiczny kluczowej roli</w:t>
      </w:r>
      <w:r w:rsidR="00E66B89">
        <w:rPr>
          <w:szCs w:val="20"/>
        </w:rPr>
        <w:t xml:space="preserve"> w </w:t>
      </w:r>
      <w:r>
        <w:rPr>
          <w:szCs w:val="20"/>
        </w:rPr>
        <w:t>procesie poprawy efektywności energetycznej. Wskaźnik jest wykonywany poprzez trzy działania.</w:t>
      </w:r>
      <w:r w:rsidR="00E66B89">
        <w:rPr>
          <w:szCs w:val="20"/>
        </w:rPr>
        <w:t xml:space="preserve"> W </w:t>
      </w:r>
      <w:r>
        <w:rPr>
          <w:szCs w:val="20"/>
        </w:rPr>
        <w:t>największym stopniu do osiąganych wartości przyczynia się Działanie 2.5.</w:t>
      </w:r>
    </w:p>
    <w:p w14:paraId="55C99F90" w14:textId="77777777" w:rsidR="003E5F72" w:rsidRDefault="003E5F72" w:rsidP="003E5F72">
      <w:pPr>
        <w:rPr>
          <w:szCs w:val="20"/>
        </w:rPr>
      </w:pPr>
      <w:r>
        <w:rPr>
          <w:szCs w:val="20"/>
        </w:rPr>
        <w:t>Powyższy wskaźnik oszacowano na podstawie analogicznego wsparcia</w:t>
      </w:r>
      <w:r w:rsidR="00E66B89">
        <w:rPr>
          <w:szCs w:val="20"/>
        </w:rPr>
        <w:t xml:space="preserve"> z </w:t>
      </w:r>
      <w:r>
        <w:rPr>
          <w:szCs w:val="20"/>
        </w:rPr>
        <w:t>zakresu efektywności energetycznej budynków, prowadzonego</w:t>
      </w:r>
      <w:r w:rsidR="00E66B89">
        <w:rPr>
          <w:szCs w:val="20"/>
        </w:rPr>
        <w:t xml:space="preserve"> w </w:t>
      </w:r>
      <w:r>
        <w:rPr>
          <w:szCs w:val="20"/>
        </w:rPr>
        <w:t xml:space="preserve">perspektywie unijnej 2007-2013. Posłużono się wskaźnikiem </w:t>
      </w:r>
      <w:r w:rsidRPr="004B6E4A">
        <w:rPr>
          <w:i/>
          <w:szCs w:val="20"/>
        </w:rPr>
        <w:t>Ilość zaoszczędzonej energii</w:t>
      </w:r>
      <w:r w:rsidR="00E66B89">
        <w:rPr>
          <w:i/>
          <w:szCs w:val="20"/>
        </w:rPr>
        <w:t xml:space="preserve"> w </w:t>
      </w:r>
      <w:r w:rsidRPr="004B6E4A">
        <w:rPr>
          <w:i/>
          <w:szCs w:val="20"/>
        </w:rPr>
        <w:t>wyniku realizacji projektów termomodernizacyjnych</w:t>
      </w:r>
      <w:r>
        <w:rPr>
          <w:szCs w:val="20"/>
        </w:rPr>
        <w:t xml:space="preserve"> </w:t>
      </w:r>
      <w:r w:rsidRPr="004B6E4A">
        <w:rPr>
          <w:szCs w:val="20"/>
        </w:rPr>
        <w:t>[MWh/rok]</w:t>
      </w:r>
      <w:r>
        <w:rPr>
          <w:szCs w:val="20"/>
        </w:rPr>
        <w:t>.</w:t>
      </w:r>
      <w:r w:rsidR="00E66B89">
        <w:rPr>
          <w:szCs w:val="20"/>
        </w:rPr>
        <w:t xml:space="preserve"> W </w:t>
      </w:r>
      <w:r>
        <w:rPr>
          <w:szCs w:val="20"/>
        </w:rPr>
        <w:t>sposób prawidłowy dokonano wyboru takich typów projektów, które realizują wskaźnik</w:t>
      </w:r>
      <w:r w:rsidR="00E66B89">
        <w:rPr>
          <w:szCs w:val="20"/>
        </w:rPr>
        <w:t xml:space="preserve"> w </w:t>
      </w:r>
      <w:r>
        <w:rPr>
          <w:szCs w:val="20"/>
        </w:rPr>
        <w:t>perspektywie 2014-2020. Stworzony referencyjny zbiór projektów skorygowano dodatkowo</w:t>
      </w:r>
      <w:r w:rsidR="00E66B89">
        <w:rPr>
          <w:szCs w:val="20"/>
        </w:rPr>
        <w:t xml:space="preserve"> w </w:t>
      </w:r>
      <w:r>
        <w:rPr>
          <w:szCs w:val="20"/>
        </w:rPr>
        <w:t xml:space="preserve">celu ujednolicenia wyodrębnionej grupy. Dzięki temu uzyskano urealniony koszt jednostkowy jednej jednostki wskaźnika. </w:t>
      </w:r>
    </w:p>
    <w:p w14:paraId="32FB289C" w14:textId="77777777" w:rsidR="003E5F72" w:rsidRDefault="003E5F72" w:rsidP="003E5F72">
      <w:pPr>
        <w:pStyle w:val="Bezodstpw"/>
        <w:spacing w:before="120" w:line="288" w:lineRule="auto"/>
        <w:jc w:val="both"/>
        <w:rPr>
          <w:rFonts w:ascii="Lato" w:hAnsi="Lato"/>
        </w:rPr>
      </w:pPr>
      <w:r>
        <w:rPr>
          <w:rFonts w:ascii="Lato" w:hAnsi="Lato"/>
        </w:rPr>
        <w:t>Warto mieć na uwadze, że inwestycje termomodernizacyjne są obarczone dużym ryzykiem opóźnień</w:t>
      </w:r>
      <w:r w:rsidR="00E66B89">
        <w:rPr>
          <w:rFonts w:ascii="Lato" w:hAnsi="Lato"/>
        </w:rPr>
        <w:t xml:space="preserve"> w </w:t>
      </w:r>
      <w:r>
        <w:rPr>
          <w:rFonts w:ascii="Lato" w:hAnsi="Lato"/>
        </w:rPr>
        <w:t>stosunku do zakładanych harmonogramów projektów</w:t>
      </w:r>
      <w:r w:rsidRPr="00434EDD">
        <w:rPr>
          <w:rFonts w:ascii="Lato" w:hAnsi="Lato"/>
        </w:rPr>
        <w:t>. Ze względu na zaawansowanie perspektywy unijnej 2014-2020, wykonawcy</w:t>
      </w:r>
      <w:r w:rsidR="00E66B89">
        <w:rPr>
          <w:rFonts w:ascii="Lato" w:hAnsi="Lato"/>
        </w:rPr>
        <w:t xml:space="preserve"> z </w:t>
      </w:r>
      <w:r w:rsidRPr="00434EDD">
        <w:rPr>
          <w:rFonts w:ascii="Lato" w:hAnsi="Lato"/>
        </w:rPr>
        <w:t>rynku budowlanego realizują znaczną liczbę inwestycji. Niewielka konkurencja na rynku budowlanym oraz obciążenie wykonawców sprawiają, że niejednokrotnie złożone oferty przewyższają kwotowo środki, którymi dysponuje beneficjent</w:t>
      </w:r>
      <w:r w:rsidR="00E66B89">
        <w:rPr>
          <w:rFonts w:ascii="Lato" w:hAnsi="Lato"/>
        </w:rPr>
        <w:t xml:space="preserve"> w </w:t>
      </w:r>
      <w:r w:rsidRPr="00434EDD">
        <w:rPr>
          <w:rFonts w:ascii="Lato" w:hAnsi="Lato"/>
        </w:rPr>
        <w:t>ramach projektu. Postępowania przetargowe związane</w:t>
      </w:r>
      <w:r w:rsidR="00E66B89">
        <w:rPr>
          <w:rFonts w:ascii="Lato" w:hAnsi="Lato"/>
        </w:rPr>
        <w:t xml:space="preserve"> z </w:t>
      </w:r>
      <w:r w:rsidRPr="00434EDD">
        <w:rPr>
          <w:rFonts w:ascii="Lato" w:hAnsi="Lato"/>
        </w:rPr>
        <w:t>robotami budowlanymi często</w:t>
      </w:r>
      <w:r>
        <w:rPr>
          <w:rFonts w:ascii="Lato" w:hAnsi="Lato"/>
        </w:rPr>
        <w:t xml:space="preserve"> także</w:t>
      </w:r>
      <w:r w:rsidRPr="00434EDD">
        <w:rPr>
          <w:rFonts w:ascii="Lato" w:hAnsi="Lato"/>
        </w:rPr>
        <w:t xml:space="preserve"> pozostają bez rozstrzygnięcia</w:t>
      </w:r>
      <w:r w:rsidR="00E66B89">
        <w:rPr>
          <w:rFonts w:ascii="Lato" w:hAnsi="Lato"/>
        </w:rPr>
        <w:t xml:space="preserve"> i </w:t>
      </w:r>
      <w:r w:rsidRPr="00434EDD">
        <w:rPr>
          <w:rFonts w:ascii="Lato" w:hAnsi="Lato"/>
        </w:rPr>
        <w:t>są kilkukrotnie ponawiane.</w:t>
      </w:r>
      <w:r w:rsidR="00E66B89">
        <w:rPr>
          <w:rFonts w:ascii="Lato" w:hAnsi="Lato"/>
        </w:rPr>
        <w:t xml:space="preserve"> W </w:t>
      </w:r>
      <w:r w:rsidRPr="00434EDD">
        <w:rPr>
          <w:rFonts w:ascii="Lato" w:hAnsi="Lato"/>
        </w:rPr>
        <w:t>pojedynczych przypadkach obserwuje się także rezygnacje</w:t>
      </w:r>
      <w:r w:rsidR="00E66B89">
        <w:rPr>
          <w:rFonts w:ascii="Lato" w:hAnsi="Lato"/>
        </w:rPr>
        <w:t xml:space="preserve"> z </w:t>
      </w:r>
      <w:r w:rsidRPr="00434EDD">
        <w:rPr>
          <w:rFonts w:ascii="Lato" w:hAnsi="Lato"/>
        </w:rPr>
        <w:t>kontynuacji robót</w:t>
      </w:r>
      <w:r w:rsidR="00E66B89">
        <w:rPr>
          <w:rFonts w:ascii="Lato" w:hAnsi="Lato"/>
        </w:rPr>
        <w:t xml:space="preserve"> z </w:t>
      </w:r>
      <w:r w:rsidRPr="00434EDD">
        <w:rPr>
          <w:rFonts w:ascii="Lato" w:hAnsi="Lato"/>
        </w:rPr>
        <w:t>powodu wzrostu cen materiałów</w:t>
      </w:r>
      <w:r w:rsidR="00E66B89">
        <w:rPr>
          <w:rFonts w:ascii="Lato" w:hAnsi="Lato"/>
        </w:rPr>
        <w:t xml:space="preserve"> i </w:t>
      </w:r>
      <w:r w:rsidRPr="00434EDD">
        <w:rPr>
          <w:rFonts w:ascii="Lato" w:hAnsi="Lato"/>
        </w:rPr>
        <w:t>robocizny.</w:t>
      </w:r>
      <w:r w:rsidR="00E66B89">
        <w:rPr>
          <w:rFonts w:ascii="Lato" w:hAnsi="Lato"/>
        </w:rPr>
        <w:t xml:space="preserve"> W </w:t>
      </w:r>
      <w:r w:rsidRPr="00434EDD">
        <w:rPr>
          <w:rFonts w:ascii="Lato" w:hAnsi="Lato"/>
        </w:rPr>
        <w:t>konsekwencji wzrostu kosztów inwestycji, beneficjenci nie mogą zwiększać kwoty dofinansowania, lecz muszą dokonywać pokrycia nadwyżki</w:t>
      </w:r>
      <w:r w:rsidR="00E66B89">
        <w:rPr>
          <w:rFonts w:ascii="Lato" w:hAnsi="Lato"/>
        </w:rPr>
        <w:t xml:space="preserve"> z </w:t>
      </w:r>
      <w:r w:rsidRPr="00434EDD">
        <w:rPr>
          <w:rFonts w:ascii="Lato" w:hAnsi="Lato"/>
        </w:rPr>
        <w:t>własnych środków. Powoduje to próby obniżania kosztów</w:t>
      </w:r>
      <w:r w:rsidR="00E66B89">
        <w:rPr>
          <w:rFonts w:ascii="Lato" w:hAnsi="Lato"/>
        </w:rPr>
        <w:t xml:space="preserve"> w </w:t>
      </w:r>
      <w:r w:rsidRPr="00434EDD">
        <w:rPr>
          <w:rFonts w:ascii="Lato" w:hAnsi="Lato"/>
        </w:rPr>
        <w:t>ramach początkowo wykonanych kosztorysów, np. poprzez zakup tańszych materiałów wykończeniowych. Koszty inwestycji były szacowane</w:t>
      </w:r>
      <w:r w:rsidR="00E66B89">
        <w:rPr>
          <w:rFonts w:ascii="Lato" w:hAnsi="Lato"/>
        </w:rPr>
        <w:t xml:space="preserve"> z </w:t>
      </w:r>
      <w:r w:rsidRPr="00434EDD">
        <w:rPr>
          <w:rFonts w:ascii="Lato" w:hAnsi="Lato"/>
        </w:rPr>
        <w:t>uwzględnieniem ówczesnych uwarunkowań na rynku. Niemożliwe stało się wyliczenie</w:t>
      </w:r>
      <w:r w:rsidR="00E66B89">
        <w:rPr>
          <w:rFonts w:ascii="Lato" w:hAnsi="Lato"/>
        </w:rPr>
        <w:t xml:space="preserve"> z </w:t>
      </w:r>
      <w:r w:rsidRPr="00434EDD">
        <w:rPr>
          <w:rFonts w:ascii="Lato" w:hAnsi="Lato"/>
        </w:rPr>
        <w:t>kilkuletnim wyprzedzeniem nakładów, jakie mogą stać się konieczne. Dotychczas problemy związane ze wzrostem cen usług budowlanych nie wpłynęły</w:t>
      </w:r>
      <w:r w:rsidR="00E66B89">
        <w:rPr>
          <w:rFonts w:ascii="Lato" w:hAnsi="Lato"/>
        </w:rPr>
        <w:t xml:space="preserve"> w </w:t>
      </w:r>
      <w:r w:rsidRPr="00434EDD">
        <w:rPr>
          <w:rFonts w:ascii="Lato" w:hAnsi="Lato"/>
        </w:rPr>
        <w:t>drastyczny sposób na powodzenie przedsięwzięć, jednak należy spodziewać się kontynuacji obecnych trendów na rynku</w:t>
      </w:r>
      <w:r w:rsidR="00E66B89">
        <w:rPr>
          <w:rFonts w:ascii="Lato" w:hAnsi="Lato"/>
        </w:rPr>
        <w:t xml:space="preserve"> i </w:t>
      </w:r>
      <w:r w:rsidRPr="00434EDD">
        <w:rPr>
          <w:rFonts w:ascii="Lato" w:hAnsi="Lato"/>
        </w:rPr>
        <w:t>możliwego oddziaływania na planowan</w:t>
      </w:r>
      <w:r>
        <w:rPr>
          <w:rFonts w:ascii="Lato" w:hAnsi="Lato"/>
        </w:rPr>
        <w:t>e</w:t>
      </w:r>
      <w:r w:rsidRPr="00434EDD">
        <w:rPr>
          <w:rFonts w:ascii="Lato" w:hAnsi="Lato"/>
        </w:rPr>
        <w:t xml:space="preserve"> inwestycje.</w:t>
      </w:r>
    </w:p>
    <w:p w14:paraId="6851C595" w14:textId="77777777" w:rsidR="003E5F72" w:rsidRDefault="003E5F72" w:rsidP="003E5F72">
      <w:pPr>
        <w:rPr>
          <w:rFonts w:cs="Calibri"/>
          <w:szCs w:val="20"/>
        </w:rPr>
      </w:pPr>
      <w:r w:rsidRPr="0069250A">
        <w:rPr>
          <w:rFonts w:cs="Calibri"/>
          <w:szCs w:val="20"/>
        </w:rPr>
        <w:t>Osiągnięte dotychczas wartości wskaźników wskazują na dużą popularność wsparcia</w:t>
      </w:r>
      <w:r w:rsidR="00E66B89">
        <w:rPr>
          <w:rFonts w:cs="Calibri"/>
          <w:szCs w:val="20"/>
        </w:rPr>
        <w:t xml:space="preserve"> w </w:t>
      </w:r>
      <w:r w:rsidRPr="0069250A">
        <w:rPr>
          <w:rFonts w:cs="Calibri"/>
          <w:szCs w:val="20"/>
        </w:rPr>
        <w:t>ramach PI 4c. Obserwuje się potencjał dla poprawy efektywności energetycznej</w:t>
      </w:r>
      <w:r w:rsidR="00E66B89">
        <w:rPr>
          <w:rFonts w:cs="Calibri"/>
          <w:szCs w:val="20"/>
        </w:rPr>
        <w:t xml:space="preserve"> w </w:t>
      </w:r>
      <w:r w:rsidRPr="0069250A">
        <w:rPr>
          <w:rFonts w:cs="Calibri"/>
          <w:szCs w:val="20"/>
        </w:rPr>
        <w:t>sektorze publicznym oraz mieszkaniowym, choć ciężar interwencji jest przesunięty na budynki użyteczności publicznej. Ten typ interwencji cechuje się także największą skutecznością. Jednostki terytorialne upatrują korzyści wynikających</w:t>
      </w:r>
      <w:r w:rsidR="00E66B89">
        <w:rPr>
          <w:rFonts w:cs="Calibri"/>
          <w:szCs w:val="20"/>
        </w:rPr>
        <w:t xml:space="preserve"> z </w:t>
      </w:r>
      <w:r w:rsidRPr="0069250A">
        <w:rPr>
          <w:rFonts w:cs="Calibri"/>
          <w:szCs w:val="20"/>
        </w:rPr>
        <w:t>poprawy efektywności energetycznej zarówno</w:t>
      </w:r>
      <w:r w:rsidR="00E66B89">
        <w:rPr>
          <w:rFonts w:cs="Calibri"/>
          <w:szCs w:val="20"/>
        </w:rPr>
        <w:t xml:space="preserve"> w </w:t>
      </w:r>
      <w:r w:rsidRPr="0069250A">
        <w:rPr>
          <w:rFonts w:cs="Calibri"/>
          <w:szCs w:val="20"/>
        </w:rPr>
        <w:t>sferze ekonomicznej, jak</w:t>
      </w:r>
      <w:r w:rsidR="00E66B89">
        <w:rPr>
          <w:rFonts w:cs="Calibri"/>
          <w:szCs w:val="20"/>
        </w:rPr>
        <w:t xml:space="preserve"> i </w:t>
      </w:r>
      <w:r w:rsidRPr="0069250A">
        <w:rPr>
          <w:rFonts w:cs="Calibri"/>
          <w:szCs w:val="20"/>
        </w:rPr>
        <w:t>ekologicznej. Potrzeby zgłaszane poprzez składane wnioski</w:t>
      </w:r>
      <w:r w:rsidR="00E66B89">
        <w:rPr>
          <w:rFonts w:cs="Calibri"/>
          <w:szCs w:val="20"/>
        </w:rPr>
        <w:t xml:space="preserve"> o </w:t>
      </w:r>
      <w:r w:rsidRPr="0069250A">
        <w:rPr>
          <w:rFonts w:cs="Calibri"/>
          <w:szCs w:val="20"/>
        </w:rPr>
        <w:t>dofinansowanie unaoczniają także skalę problemów,</w:t>
      </w:r>
      <w:r w:rsidR="00E66B89">
        <w:rPr>
          <w:rFonts w:cs="Calibri"/>
          <w:szCs w:val="20"/>
        </w:rPr>
        <w:t xml:space="preserve"> z </w:t>
      </w:r>
      <w:r w:rsidRPr="0069250A">
        <w:rPr>
          <w:rFonts w:cs="Calibri"/>
          <w:szCs w:val="20"/>
        </w:rPr>
        <w:t>jakimi zmagają się JST. Budynki placówek edukacyjnych, kulturalnych czy też zdrowotnych, obarczone są znacznymi kosztami utrzymania, wynikającymi</w:t>
      </w:r>
      <w:r w:rsidR="00E66B89">
        <w:rPr>
          <w:rFonts w:cs="Calibri"/>
          <w:szCs w:val="20"/>
        </w:rPr>
        <w:t xml:space="preserve"> z </w:t>
      </w:r>
      <w:r w:rsidRPr="0069250A">
        <w:rPr>
          <w:rFonts w:cs="Calibri"/>
          <w:szCs w:val="20"/>
        </w:rPr>
        <w:t xml:space="preserve">przestarzałych technologii ich wznoszenia. </w:t>
      </w:r>
      <w:r w:rsidRPr="0069250A">
        <w:rPr>
          <w:rFonts w:cs="Calibri"/>
          <w:szCs w:val="20"/>
        </w:rPr>
        <w:lastRenderedPageBreak/>
        <w:t>Oszczędności płynące</w:t>
      </w:r>
      <w:r w:rsidR="00E66B89">
        <w:rPr>
          <w:rFonts w:cs="Calibri"/>
          <w:szCs w:val="20"/>
        </w:rPr>
        <w:t xml:space="preserve"> z </w:t>
      </w:r>
      <w:r w:rsidRPr="0069250A">
        <w:rPr>
          <w:rFonts w:cs="Calibri"/>
          <w:szCs w:val="20"/>
        </w:rPr>
        <w:t>modernizacji energetycznej przełożą się na możliwość inwestycji</w:t>
      </w:r>
      <w:r w:rsidR="00E66B89">
        <w:rPr>
          <w:rFonts w:cs="Calibri"/>
          <w:szCs w:val="20"/>
        </w:rPr>
        <w:t xml:space="preserve"> w </w:t>
      </w:r>
      <w:r w:rsidRPr="0069250A">
        <w:rPr>
          <w:rFonts w:cs="Calibri"/>
          <w:szCs w:val="20"/>
        </w:rPr>
        <w:t>inne, istotne cele</w:t>
      </w:r>
      <w:r w:rsidR="00E66B89">
        <w:rPr>
          <w:rFonts w:cs="Calibri"/>
          <w:szCs w:val="20"/>
        </w:rPr>
        <w:t xml:space="preserve"> z </w:t>
      </w:r>
      <w:r w:rsidRPr="0069250A">
        <w:rPr>
          <w:rFonts w:cs="Calibri"/>
          <w:szCs w:val="20"/>
        </w:rPr>
        <w:t>punktu widzenia samorządów.</w:t>
      </w:r>
      <w:r>
        <w:rPr>
          <w:rFonts w:cs="Calibri"/>
          <w:szCs w:val="20"/>
        </w:rPr>
        <w:t xml:space="preserve"> </w:t>
      </w:r>
    </w:p>
    <w:p w14:paraId="2415C7F6" w14:textId="77777777" w:rsidR="003E5F72" w:rsidRDefault="003E5F72" w:rsidP="003E5F72">
      <w:pPr>
        <w:rPr>
          <w:rFonts w:cs="Calibri"/>
          <w:szCs w:val="20"/>
        </w:rPr>
      </w:pPr>
      <w:r w:rsidRPr="0069250A">
        <w:rPr>
          <w:rFonts w:cs="Calibri"/>
          <w:szCs w:val="20"/>
        </w:rPr>
        <w:t>Należy zwrócić uwagę, że dodatkową wartość dodaną</w:t>
      </w:r>
      <w:r w:rsidR="00E66B89">
        <w:rPr>
          <w:rFonts w:cs="Calibri"/>
          <w:szCs w:val="20"/>
        </w:rPr>
        <w:t xml:space="preserve"> w </w:t>
      </w:r>
      <w:r w:rsidRPr="0069250A">
        <w:rPr>
          <w:rFonts w:cs="Calibri"/>
          <w:szCs w:val="20"/>
        </w:rPr>
        <w:t>zakresie projektów związanych</w:t>
      </w:r>
      <w:r w:rsidR="00E66B89">
        <w:rPr>
          <w:rFonts w:cs="Calibri"/>
          <w:szCs w:val="20"/>
        </w:rPr>
        <w:t xml:space="preserve"> z </w:t>
      </w:r>
      <w:r w:rsidRPr="0069250A">
        <w:rPr>
          <w:rFonts w:cs="Calibri"/>
          <w:szCs w:val="20"/>
        </w:rPr>
        <w:t>efektywnością energetyczną, przynoszą</w:t>
      </w:r>
      <w:r w:rsidR="00E66B89">
        <w:rPr>
          <w:rFonts w:cs="Calibri"/>
          <w:szCs w:val="20"/>
        </w:rPr>
        <w:t xml:space="preserve"> w </w:t>
      </w:r>
      <w:r w:rsidRPr="0069250A">
        <w:rPr>
          <w:rFonts w:cs="Calibri"/>
          <w:szCs w:val="20"/>
        </w:rPr>
        <w:t>perspektywie 2014-2020 projekty realizowane za pomocą mechanizmów terytorialnych, takich jak zintegrowane inwestycje terytorialne czy zintegrowane porozumienia terytorialne,</w:t>
      </w:r>
      <w:r w:rsidR="00E66B89">
        <w:rPr>
          <w:rFonts w:cs="Calibri"/>
          <w:szCs w:val="20"/>
        </w:rPr>
        <w:t xml:space="preserve"> a </w:t>
      </w:r>
      <w:r w:rsidRPr="0069250A">
        <w:rPr>
          <w:rFonts w:cs="Calibri"/>
          <w:szCs w:val="20"/>
        </w:rPr>
        <w:t>także inne formy współpracy nawiązanej między samorządami</w:t>
      </w:r>
      <w:r w:rsidR="00E66B89">
        <w:rPr>
          <w:rFonts w:cs="Calibri"/>
          <w:szCs w:val="20"/>
        </w:rPr>
        <w:t xml:space="preserve"> w </w:t>
      </w:r>
      <w:r w:rsidRPr="0069250A">
        <w:rPr>
          <w:rFonts w:cs="Calibri"/>
          <w:szCs w:val="20"/>
        </w:rPr>
        <w:t>celu realizacji wspólnych przedsięwzięć.</w:t>
      </w:r>
      <w:r w:rsidR="00E66B89">
        <w:rPr>
          <w:rFonts w:cs="Calibri"/>
          <w:szCs w:val="20"/>
        </w:rPr>
        <w:t xml:space="preserve"> Z </w:t>
      </w:r>
      <w:r w:rsidRPr="0069250A">
        <w:rPr>
          <w:rFonts w:cs="Calibri"/>
          <w:szCs w:val="20"/>
        </w:rPr>
        <w:t>racji skumulowania przedsięwzięć na obszarze spójnym przestrzennie</w:t>
      </w:r>
      <w:r w:rsidR="00E66B89">
        <w:rPr>
          <w:rFonts w:cs="Calibri"/>
          <w:szCs w:val="20"/>
        </w:rPr>
        <w:t xml:space="preserve"> i </w:t>
      </w:r>
      <w:r w:rsidRPr="0069250A">
        <w:rPr>
          <w:rFonts w:cs="Calibri"/>
          <w:szCs w:val="20"/>
        </w:rPr>
        <w:t>funkcjonalnie, możliwe jest osiągnięcie bardziej wyraźnych korzyści, aniżeli miałoby to miejsce</w:t>
      </w:r>
      <w:r w:rsidR="00E66B89">
        <w:rPr>
          <w:rFonts w:cs="Calibri"/>
          <w:szCs w:val="20"/>
        </w:rPr>
        <w:t xml:space="preserve"> w </w:t>
      </w:r>
      <w:r w:rsidRPr="0069250A">
        <w:rPr>
          <w:rFonts w:cs="Calibri"/>
          <w:szCs w:val="20"/>
        </w:rPr>
        <w:t>przypadku inwestycji rozproszonych obszarowo. Projekty</w:t>
      </w:r>
      <w:r w:rsidR="00E66B89">
        <w:rPr>
          <w:rFonts w:cs="Calibri"/>
          <w:szCs w:val="20"/>
        </w:rPr>
        <w:t xml:space="preserve"> w </w:t>
      </w:r>
      <w:r w:rsidRPr="0069250A">
        <w:rPr>
          <w:rFonts w:cs="Calibri"/>
          <w:szCs w:val="20"/>
        </w:rPr>
        <w:t>zakresie mechanizmów terytorialnych są</w:t>
      </w:r>
      <w:r w:rsidR="00E66B89">
        <w:rPr>
          <w:rFonts w:cs="Calibri"/>
          <w:szCs w:val="20"/>
        </w:rPr>
        <w:t xml:space="preserve"> w </w:t>
      </w:r>
      <w:r w:rsidRPr="0069250A">
        <w:rPr>
          <w:rFonts w:cs="Calibri"/>
          <w:szCs w:val="20"/>
        </w:rPr>
        <w:t>stanie oddziaływać ponadlokalnie, poprawiając bilans energetyczny województwa.</w:t>
      </w:r>
      <w:r>
        <w:rPr>
          <w:rFonts w:cs="Calibri"/>
          <w:szCs w:val="20"/>
        </w:rPr>
        <w:t xml:space="preserve"> </w:t>
      </w:r>
    </w:p>
    <w:p w14:paraId="72A4F23E" w14:textId="77777777" w:rsidR="003E5F72" w:rsidRPr="00366C8B" w:rsidRDefault="003E5F72" w:rsidP="008B706B">
      <w:pPr>
        <w:rPr>
          <w:rFonts w:cs="Calibri"/>
        </w:rPr>
      </w:pPr>
      <w:r>
        <w:rPr>
          <w:rFonts w:cs="Calibri"/>
          <w:szCs w:val="20"/>
        </w:rPr>
        <w:t>Efektywność kosztowa</w:t>
      </w:r>
      <w:r w:rsidR="00E66B89">
        <w:rPr>
          <w:rFonts w:cs="Calibri"/>
          <w:szCs w:val="20"/>
        </w:rPr>
        <w:t xml:space="preserve"> w </w:t>
      </w:r>
      <w:r>
        <w:rPr>
          <w:rFonts w:cs="Calibri"/>
          <w:szCs w:val="20"/>
        </w:rPr>
        <w:t xml:space="preserve">ramach PI 4c jest wyższa niż szacowano na etapie programowania RPO WZ 2014-2020. Wskaźniki osiągane są za pomocą niższych kosztów niż wskazywałaby wsparta liczba obiektów m. in. dla wskaźnika </w:t>
      </w:r>
      <w:r w:rsidRPr="008B706B">
        <w:rPr>
          <w:rFonts w:cs="Calibri"/>
          <w:i/>
          <w:szCs w:val="20"/>
        </w:rPr>
        <w:t>Liczba zmodernizowanych energetycznie projektów</w:t>
      </w:r>
      <w:r>
        <w:rPr>
          <w:rFonts w:cs="Calibri"/>
          <w:szCs w:val="20"/>
        </w:rPr>
        <w:t xml:space="preserve">. </w:t>
      </w:r>
    </w:p>
    <w:p w14:paraId="3CEE3879" w14:textId="77777777" w:rsidR="003E5F72" w:rsidRPr="00907A1D" w:rsidRDefault="003E5F72" w:rsidP="003E5F72">
      <w:pPr>
        <w:rPr>
          <w:szCs w:val="20"/>
        </w:rPr>
      </w:pPr>
      <w:r w:rsidRPr="00E53F5D">
        <w:rPr>
          <w:szCs w:val="20"/>
        </w:rPr>
        <w:t>W związku</w:t>
      </w:r>
      <w:r w:rsidR="00E66B89">
        <w:rPr>
          <w:szCs w:val="20"/>
        </w:rPr>
        <w:t xml:space="preserve"> z </w:t>
      </w:r>
      <w:r w:rsidRPr="00E53F5D">
        <w:rPr>
          <w:szCs w:val="20"/>
        </w:rPr>
        <w:t>obserwowanym postępem rzeczowym, przyjętą logikę interwencji należy uznać za zasadną. Przedsięwzięcia</w:t>
      </w:r>
      <w:r w:rsidR="00E66B89">
        <w:rPr>
          <w:szCs w:val="20"/>
        </w:rPr>
        <w:t xml:space="preserve"> z </w:t>
      </w:r>
      <w:r w:rsidRPr="00E53F5D">
        <w:rPr>
          <w:szCs w:val="20"/>
        </w:rPr>
        <w:t>zakresu modernizacji energetycznej bud</w:t>
      </w:r>
      <w:r>
        <w:rPr>
          <w:szCs w:val="20"/>
        </w:rPr>
        <w:t>ynków są wdrażane</w:t>
      </w:r>
      <w:r w:rsidR="00E66B89">
        <w:rPr>
          <w:szCs w:val="20"/>
        </w:rPr>
        <w:t xml:space="preserve"> z </w:t>
      </w:r>
      <w:r>
        <w:rPr>
          <w:szCs w:val="20"/>
        </w:rPr>
        <w:t>powodzeniem, odpowiadając na potrzeby zdiagnozowane na etapie programowania RPO WZ 2014-2020.</w:t>
      </w:r>
    </w:p>
    <w:p w14:paraId="19F94EDA"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t xml:space="preserve">Wskaźniki rezultatu strategicznego </w:t>
      </w:r>
    </w:p>
    <w:p w14:paraId="0C52D352" w14:textId="77777777" w:rsidR="003E5F72" w:rsidRPr="00833B31" w:rsidRDefault="003E5F72" w:rsidP="003E5F72">
      <w:pPr>
        <w:rPr>
          <w:rFonts w:cs="Calibri"/>
          <w:szCs w:val="20"/>
        </w:rPr>
      </w:pPr>
      <w:r>
        <w:rPr>
          <w:rFonts w:cs="Calibri"/>
          <w:szCs w:val="20"/>
        </w:rPr>
        <w:t>Wobec interwencji założonej</w:t>
      </w:r>
      <w:r w:rsidR="00E66B89">
        <w:rPr>
          <w:rFonts w:cs="Calibri"/>
          <w:szCs w:val="20"/>
        </w:rPr>
        <w:t xml:space="preserve"> w </w:t>
      </w:r>
      <w:r>
        <w:rPr>
          <w:rFonts w:cs="Calibri"/>
          <w:szCs w:val="20"/>
        </w:rPr>
        <w:t>RPO WZ 2014-2020 na cele związane</w:t>
      </w:r>
      <w:r w:rsidR="00E66B89">
        <w:rPr>
          <w:rFonts w:cs="Calibri"/>
          <w:szCs w:val="20"/>
        </w:rPr>
        <w:t xml:space="preserve"> z </w:t>
      </w:r>
      <w:r>
        <w:rPr>
          <w:rFonts w:cs="Calibri"/>
          <w:szCs w:val="20"/>
        </w:rPr>
        <w:t>modernizacją energetyczną</w:t>
      </w:r>
      <w:r w:rsidR="00E66B89">
        <w:rPr>
          <w:rFonts w:cs="Calibri"/>
          <w:szCs w:val="20"/>
        </w:rPr>
        <w:t xml:space="preserve"> w </w:t>
      </w:r>
      <w:r>
        <w:rPr>
          <w:rFonts w:cs="Calibri"/>
          <w:szCs w:val="20"/>
        </w:rPr>
        <w:t>sektorze publicznym</w:t>
      </w:r>
      <w:r w:rsidR="00E66B89">
        <w:rPr>
          <w:rFonts w:cs="Calibri"/>
          <w:szCs w:val="20"/>
        </w:rPr>
        <w:t xml:space="preserve"> i </w:t>
      </w:r>
      <w:r>
        <w:rPr>
          <w:rFonts w:cs="Calibri"/>
          <w:szCs w:val="20"/>
        </w:rPr>
        <w:t>mieszkaniowym, do pomiaru rezultatów Programu wybrano dwa wskaźniki. Pierwszy</w:t>
      </w:r>
      <w:r w:rsidR="00E66B89">
        <w:rPr>
          <w:rFonts w:cs="Calibri"/>
          <w:szCs w:val="20"/>
        </w:rPr>
        <w:t xml:space="preserve"> z </w:t>
      </w:r>
      <w:r>
        <w:rPr>
          <w:rFonts w:cs="Calibri"/>
          <w:szCs w:val="20"/>
        </w:rPr>
        <w:t>nich</w:t>
      </w:r>
      <w:r w:rsidR="00B7661A">
        <w:rPr>
          <w:rFonts w:cs="Calibri"/>
          <w:szCs w:val="20"/>
        </w:rPr>
        <w:t>:</w:t>
      </w:r>
      <w:r>
        <w:rPr>
          <w:rFonts w:cs="Calibri"/>
          <w:szCs w:val="20"/>
        </w:rPr>
        <w:t xml:space="preserve"> </w:t>
      </w:r>
      <w:r w:rsidRPr="00F34D2D">
        <w:rPr>
          <w:rFonts w:cs="Calibri"/>
          <w:i/>
          <w:szCs w:val="20"/>
        </w:rPr>
        <w:t>Sprzedaż energii cieplnej na cele komunalno-bytowe dla budynków mieszkalnych</w:t>
      </w:r>
      <w:r w:rsidR="00E66B89">
        <w:rPr>
          <w:rFonts w:cs="Calibri"/>
          <w:i/>
          <w:szCs w:val="20"/>
        </w:rPr>
        <w:t xml:space="preserve"> w </w:t>
      </w:r>
      <w:r w:rsidRPr="00F34D2D">
        <w:rPr>
          <w:rFonts w:cs="Calibri"/>
          <w:i/>
          <w:szCs w:val="20"/>
        </w:rPr>
        <w:t>przeliczeniu na kubaturę budynków mieszkalnych, ogrzewanych centralnie</w:t>
      </w:r>
      <w:r>
        <w:rPr>
          <w:rFonts w:cs="Calibri"/>
          <w:szCs w:val="20"/>
        </w:rPr>
        <w:t>, został oszacowany na rok 2023 do wartości 148,88 GJ/dam3. Wykonana na etapie programowania prognoza zakładała, że już</w:t>
      </w:r>
      <w:r w:rsidR="00E66B89">
        <w:rPr>
          <w:rFonts w:cs="Calibri"/>
          <w:szCs w:val="20"/>
        </w:rPr>
        <w:t xml:space="preserve"> w </w:t>
      </w:r>
      <w:r>
        <w:rPr>
          <w:rFonts w:cs="Calibri"/>
          <w:szCs w:val="20"/>
        </w:rPr>
        <w:t>roku 2014 nastąpi skokowy spadek wartości wskaźnika. Faktycznie tak się nie stało –</w:t>
      </w:r>
      <w:r w:rsidR="00E66B89">
        <w:rPr>
          <w:rFonts w:cs="Calibri"/>
          <w:szCs w:val="20"/>
        </w:rPr>
        <w:t xml:space="preserve"> w </w:t>
      </w:r>
      <w:r>
        <w:rPr>
          <w:rFonts w:cs="Calibri"/>
          <w:szCs w:val="20"/>
        </w:rPr>
        <w:t>latach 2014</w:t>
      </w:r>
      <w:r w:rsidR="00E66B89">
        <w:rPr>
          <w:rFonts w:cs="Calibri"/>
          <w:szCs w:val="20"/>
        </w:rPr>
        <w:t xml:space="preserve"> i </w:t>
      </w:r>
      <w:r>
        <w:rPr>
          <w:rFonts w:cs="Calibri"/>
          <w:szCs w:val="20"/>
        </w:rPr>
        <w:t>2015 wskaźnik znajdował się na podobnym poziomie jak</w:t>
      </w:r>
      <w:r w:rsidR="00E66B89">
        <w:rPr>
          <w:rFonts w:cs="Calibri"/>
          <w:szCs w:val="20"/>
        </w:rPr>
        <w:t xml:space="preserve"> w </w:t>
      </w:r>
      <w:r>
        <w:rPr>
          <w:rFonts w:cs="Calibri"/>
          <w:szCs w:val="20"/>
        </w:rPr>
        <w:t>roku bazowym. Znaczna zmiana nastąpiła natomiast</w:t>
      </w:r>
      <w:r w:rsidR="00E66B89">
        <w:rPr>
          <w:rFonts w:cs="Calibri"/>
          <w:szCs w:val="20"/>
        </w:rPr>
        <w:t xml:space="preserve"> w </w:t>
      </w:r>
      <w:r>
        <w:rPr>
          <w:rFonts w:cs="Calibri"/>
          <w:szCs w:val="20"/>
        </w:rPr>
        <w:t>roku 2016, kiedy to sprzedaż energii cieplnej do mieszkań diametralnie spadła,</w:t>
      </w:r>
      <w:r w:rsidR="00E66B89">
        <w:rPr>
          <w:rFonts w:cs="Calibri"/>
          <w:szCs w:val="20"/>
        </w:rPr>
        <w:t xml:space="preserve"> a w </w:t>
      </w:r>
      <w:r>
        <w:rPr>
          <w:rFonts w:cs="Calibri"/>
          <w:szCs w:val="20"/>
        </w:rPr>
        <w:t>związku</w:t>
      </w:r>
      <w:r w:rsidR="00E66B89">
        <w:rPr>
          <w:rFonts w:cs="Calibri"/>
          <w:szCs w:val="20"/>
        </w:rPr>
        <w:t xml:space="preserve"> z </w:t>
      </w:r>
      <w:r>
        <w:rPr>
          <w:rFonts w:cs="Calibri"/>
          <w:szCs w:val="20"/>
        </w:rPr>
        <w:t>tym wskaźnik rezultatu strategicznego już</w:t>
      </w:r>
      <w:r w:rsidR="00E66B89">
        <w:rPr>
          <w:rFonts w:cs="Calibri"/>
          <w:szCs w:val="20"/>
        </w:rPr>
        <w:t xml:space="preserve"> w </w:t>
      </w:r>
      <w:r>
        <w:rPr>
          <w:rFonts w:cs="Calibri"/>
          <w:szCs w:val="20"/>
        </w:rPr>
        <w:t>tym roku można było uznać za wykonany. Brak jest danych na temat kubatury budynków mieszkalnych</w:t>
      </w:r>
      <w:r w:rsidR="00E66B89">
        <w:rPr>
          <w:rFonts w:cs="Calibri"/>
          <w:szCs w:val="20"/>
        </w:rPr>
        <w:t xml:space="preserve"> w </w:t>
      </w:r>
      <w:r>
        <w:rPr>
          <w:rFonts w:cs="Calibri"/>
          <w:szCs w:val="20"/>
        </w:rPr>
        <w:t>roku 2017, lecz dane</w:t>
      </w:r>
      <w:r w:rsidR="00E66B89">
        <w:rPr>
          <w:rFonts w:cs="Calibri"/>
          <w:szCs w:val="20"/>
        </w:rPr>
        <w:t xml:space="preserve"> o </w:t>
      </w:r>
      <w:r>
        <w:rPr>
          <w:rFonts w:cs="Calibri"/>
          <w:szCs w:val="20"/>
        </w:rPr>
        <w:t>sprzedaży energii cieplnej</w:t>
      </w:r>
      <w:r w:rsidR="00E66B89">
        <w:rPr>
          <w:rFonts w:cs="Calibri"/>
          <w:szCs w:val="20"/>
        </w:rPr>
        <w:t xml:space="preserve"> w </w:t>
      </w:r>
      <w:r>
        <w:rPr>
          <w:rFonts w:cs="Calibri"/>
          <w:szCs w:val="20"/>
        </w:rPr>
        <w:t>tym roku mogą sugerować, że wartość</w:t>
      </w:r>
      <w:r w:rsidR="00E66B89">
        <w:rPr>
          <w:rFonts w:cs="Calibri"/>
          <w:szCs w:val="20"/>
        </w:rPr>
        <w:t xml:space="preserve"> z </w:t>
      </w:r>
      <w:r>
        <w:rPr>
          <w:rFonts w:cs="Calibri"/>
          <w:szCs w:val="20"/>
        </w:rPr>
        <w:t>roku 2016, również</w:t>
      </w:r>
      <w:r w:rsidR="00E66B89">
        <w:rPr>
          <w:rFonts w:cs="Calibri"/>
          <w:szCs w:val="20"/>
        </w:rPr>
        <w:t xml:space="preserve"> w </w:t>
      </w:r>
      <w:r>
        <w:rPr>
          <w:rFonts w:cs="Calibri"/>
          <w:szCs w:val="20"/>
        </w:rPr>
        <w:t>kolejnym roku utrzymała się na podobnym poziomie. Warto zauważyć, że od roku 2014 zakładano także regularny spadek sprzedaży energii cieplnej do budynków mieszkalnych.</w:t>
      </w:r>
      <w:r w:rsidR="00E66B89">
        <w:rPr>
          <w:rFonts w:cs="Calibri"/>
          <w:szCs w:val="20"/>
        </w:rPr>
        <w:t xml:space="preserve"> W </w:t>
      </w:r>
      <w:r>
        <w:rPr>
          <w:rFonts w:cs="Calibri"/>
          <w:szCs w:val="20"/>
        </w:rPr>
        <w:t>tym przypadku także spadek taki nie nastąpił. Odnotowano dość znaczny wzrost do poziomu niemal 10 mln GJ. Według przewidywanego trendu, wskaźnik rezultatu strategicznego powinien zostać</w:t>
      </w:r>
      <w:r w:rsidR="00E66B89">
        <w:rPr>
          <w:rFonts w:cs="Calibri"/>
          <w:szCs w:val="20"/>
        </w:rPr>
        <w:t xml:space="preserve"> w </w:t>
      </w:r>
      <w:r>
        <w:rPr>
          <w:rFonts w:cs="Calibri"/>
          <w:szCs w:val="20"/>
        </w:rPr>
        <w:t>2023 roku</w:t>
      </w:r>
      <w:r w:rsidR="00E66B89">
        <w:rPr>
          <w:rFonts w:cs="Calibri"/>
          <w:szCs w:val="20"/>
        </w:rPr>
        <w:t xml:space="preserve"> z </w:t>
      </w:r>
      <w:r>
        <w:rPr>
          <w:rFonts w:cs="Calibri"/>
          <w:szCs w:val="20"/>
        </w:rPr>
        <w:t>powodzeniem osiągnięty.</w:t>
      </w:r>
    </w:p>
    <w:p w14:paraId="6081A743" w14:textId="77777777" w:rsidR="003E5F72" w:rsidRPr="00495DB6" w:rsidRDefault="003E5F72" w:rsidP="006E34DC">
      <w:pPr>
        <w:pStyle w:val="Legenda"/>
        <w:spacing w:after="0"/>
      </w:pPr>
      <w:bookmarkStart w:id="80" w:name="_Toc5311880"/>
      <w:r w:rsidRPr="00495DB6">
        <w:lastRenderedPageBreak/>
        <w:t xml:space="preserve">Wykres </w:t>
      </w:r>
      <w:r w:rsidR="00B72A80">
        <w:fldChar w:fldCharType="begin"/>
      </w:r>
      <w:r w:rsidR="00B72A80">
        <w:instrText xml:space="preserve"> SEQ Wykres \* ARABIC </w:instrText>
      </w:r>
      <w:r w:rsidR="00B72A80">
        <w:fldChar w:fldCharType="separate"/>
      </w:r>
      <w:r w:rsidR="00763345">
        <w:rPr>
          <w:noProof/>
        </w:rPr>
        <w:t>14</w:t>
      </w:r>
      <w:r w:rsidR="00B72A80">
        <w:fldChar w:fldCharType="end"/>
      </w:r>
      <w:r w:rsidRPr="00495DB6">
        <w:t>. Sprzedaż energii cieplnej do budynków mieszkalnych</w:t>
      </w:r>
      <w:r w:rsidR="00E66B89">
        <w:t xml:space="preserve"> w </w:t>
      </w:r>
      <w:r w:rsidRPr="00495DB6">
        <w:t>przeliczeniu na kubaturę budynków mieszkalnych</w:t>
      </w:r>
      <w:r w:rsidR="00E66B89">
        <w:t xml:space="preserve"> w </w:t>
      </w:r>
      <w:r w:rsidRPr="00495DB6">
        <w:t>latach 2007-2016</w:t>
      </w:r>
      <w:r w:rsidR="00E66B89">
        <w:t xml:space="preserve"> w </w:t>
      </w:r>
      <w:r w:rsidRPr="00495DB6">
        <w:t>województwie zachodniopomorskim wraz</w:t>
      </w:r>
      <w:r w:rsidR="00E66B89">
        <w:t xml:space="preserve"> z </w:t>
      </w:r>
      <w:r w:rsidRPr="00495DB6">
        <w:t>przewidywanym trendem do roku 2023 [GJ/dam3]</w:t>
      </w:r>
      <w:bookmarkEnd w:id="80"/>
    </w:p>
    <w:p w14:paraId="68FA9133" w14:textId="3D0584C6" w:rsidR="003E5F72" w:rsidRDefault="00C35619" w:rsidP="00CF71F2">
      <w:pPr>
        <w:spacing w:before="0" w:after="0"/>
        <w:rPr>
          <w:rFonts w:cs="Calibri"/>
          <w:sz w:val="16"/>
          <w:szCs w:val="16"/>
        </w:rPr>
      </w:pPr>
      <w:r w:rsidRPr="00D508B6">
        <w:rPr>
          <w:noProof/>
        </w:rPr>
        <w:drawing>
          <wp:inline distT="0" distB="0" distL="0" distR="0" wp14:anchorId="3F1DE7C0" wp14:editId="3AAB5E0B">
            <wp:extent cx="5800725" cy="2667000"/>
            <wp:effectExtent l="0" t="0" r="0" b="0"/>
            <wp:docPr id="32" name="Wykres 17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A145E3" w14:textId="781E692B" w:rsidR="003E5F72" w:rsidRPr="002A5FDF" w:rsidRDefault="003E5F72" w:rsidP="005076BF">
      <w:pPr>
        <w:spacing w:before="0"/>
        <w:rPr>
          <w:i/>
          <w:sz w:val="18"/>
          <w:szCs w:val="20"/>
        </w:rPr>
      </w:pPr>
      <w:r w:rsidRPr="002A5FDF">
        <w:rPr>
          <w:i/>
          <w:sz w:val="18"/>
          <w:szCs w:val="20"/>
        </w:rPr>
        <w:t>Źródło: opracowanie własne na podstawie Banku Danych Lokalnych GUS</w:t>
      </w:r>
      <w:r w:rsidR="00C56787" w:rsidRPr="002A5FDF">
        <w:rPr>
          <w:i/>
          <w:sz w:val="18"/>
          <w:szCs w:val="20"/>
        </w:rPr>
        <w:t>.</w:t>
      </w:r>
    </w:p>
    <w:p w14:paraId="1903190B" w14:textId="77777777" w:rsidR="003E5F72" w:rsidRPr="00B0501D" w:rsidRDefault="003E5F72" w:rsidP="003E5F72">
      <w:pPr>
        <w:rPr>
          <w:rFonts w:cs="Calibri"/>
          <w:szCs w:val="20"/>
        </w:rPr>
      </w:pPr>
      <w:r>
        <w:rPr>
          <w:rFonts w:cs="Calibri"/>
          <w:szCs w:val="20"/>
        </w:rPr>
        <w:t xml:space="preserve">Kolejnym wskaźnikiem mającym obrazować rezultaty strategiczne Programu, jest </w:t>
      </w:r>
      <w:r w:rsidRPr="0062623C">
        <w:rPr>
          <w:rFonts w:cs="Calibri"/>
          <w:i/>
          <w:szCs w:val="20"/>
        </w:rPr>
        <w:t>Sprzedaż energii cieplnej</w:t>
      </w:r>
      <w:r w:rsidR="00E66B89">
        <w:rPr>
          <w:rFonts w:cs="Calibri"/>
          <w:i/>
          <w:szCs w:val="20"/>
        </w:rPr>
        <w:t xml:space="preserve"> w </w:t>
      </w:r>
      <w:r w:rsidRPr="0062623C">
        <w:rPr>
          <w:rFonts w:cs="Calibri"/>
          <w:i/>
          <w:szCs w:val="20"/>
        </w:rPr>
        <w:t>ciągu roku</w:t>
      </w:r>
      <w:r w:rsidR="00E66B89">
        <w:rPr>
          <w:rFonts w:cs="Calibri"/>
          <w:i/>
          <w:szCs w:val="20"/>
        </w:rPr>
        <w:t xml:space="preserve"> w </w:t>
      </w:r>
      <w:r w:rsidRPr="0062623C">
        <w:rPr>
          <w:rFonts w:cs="Calibri"/>
          <w:i/>
          <w:szCs w:val="20"/>
        </w:rPr>
        <w:t>urzędach</w:t>
      </w:r>
      <w:r w:rsidR="00E66B89">
        <w:rPr>
          <w:rFonts w:cs="Calibri"/>
          <w:i/>
          <w:szCs w:val="20"/>
        </w:rPr>
        <w:t xml:space="preserve"> i </w:t>
      </w:r>
      <w:r w:rsidRPr="0062623C">
        <w:rPr>
          <w:rFonts w:cs="Calibri"/>
          <w:i/>
          <w:szCs w:val="20"/>
        </w:rPr>
        <w:t>instytucjach</w:t>
      </w:r>
      <w:r>
        <w:rPr>
          <w:rFonts w:cs="Calibri"/>
          <w:szCs w:val="20"/>
        </w:rPr>
        <w:t xml:space="preserve"> [GJ]. Wartość bazowa, jaka została przyjęta do prognoz, wynosiła 1 244 697 (rok 2013). Założono, że następować będzie spadek</w:t>
      </w:r>
      <w:r w:rsidR="00E66B89">
        <w:rPr>
          <w:rFonts w:cs="Calibri"/>
          <w:szCs w:val="20"/>
        </w:rPr>
        <w:t xml:space="preserve"> i </w:t>
      </w:r>
      <w:r>
        <w:rPr>
          <w:rFonts w:cs="Calibri"/>
          <w:szCs w:val="20"/>
        </w:rPr>
        <w:t>docelowo wskaźnik</w:t>
      </w:r>
      <w:r w:rsidR="00E66B89">
        <w:rPr>
          <w:rFonts w:cs="Calibri"/>
          <w:szCs w:val="20"/>
        </w:rPr>
        <w:t xml:space="preserve"> w </w:t>
      </w:r>
      <w:r>
        <w:rPr>
          <w:rFonts w:cs="Calibri"/>
          <w:szCs w:val="20"/>
        </w:rPr>
        <w:t>roku 2023 osiągnie 900 000 GJ. Od roku 2014 następował jednakże znaczny, systematyczny przyrost energii sprzedawanej do urzędów</w:t>
      </w:r>
      <w:r w:rsidR="00E66B89">
        <w:rPr>
          <w:rFonts w:cs="Calibri"/>
          <w:szCs w:val="20"/>
        </w:rPr>
        <w:t xml:space="preserve"> i </w:t>
      </w:r>
      <w:r>
        <w:rPr>
          <w:rFonts w:cs="Calibri"/>
          <w:szCs w:val="20"/>
        </w:rPr>
        <w:t>instytucji</w:t>
      </w:r>
      <w:r w:rsidR="00E66B89">
        <w:rPr>
          <w:rFonts w:cs="Calibri"/>
          <w:szCs w:val="20"/>
        </w:rPr>
        <w:t xml:space="preserve"> w </w:t>
      </w:r>
      <w:r>
        <w:rPr>
          <w:rFonts w:cs="Calibri"/>
          <w:szCs w:val="20"/>
        </w:rPr>
        <w:t>województwie. Trend jest bardzo niepokojący</w:t>
      </w:r>
      <w:r w:rsidR="00E66B89">
        <w:rPr>
          <w:rFonts w:cs="Calibri"/>
          <w:szCs w:val="20"/>
        </w:rPr>
        <w:t xml:space="preserve"> i </w:t>
      </w:r>
      <w:r>
        <w:rPr>
          <w:rFonts w:cs="Calibri"/>
          <w:szCs w:val="20"/>
        </w:rPr>
        <w:t xml:space="preserve">trudna może stać się redukcja wskaźnika do oczekiwanej wielkości. </w:t>
      </w:r>
    </w:p>
    <w:p w14:paraId="26E46CFA" w14:textId="77777777" w:rsidR="003E5F72" w:rsidRPr="00495DB6" w:rsidRDefault="003E5F72" w:rsidP="006E34DC">
      <w:pPr>
        <w:pStyle w:val="Legenda"/>
        <w:spacing w:after="0"/>
      </w:pPr>
      <w:bookmarkStart w:id="81" w:name="_Toc5311881"/>
      <w:r w:rsidRPr="00495DB6">
        <w:t xml:space="preserve">Wykres </w:t>
      </w:r>
      <w:r w:rsidR="00B72A80">
        <w:fldChar w:fldCharType="begin"/>
      </w:r>
      <w:r w:rsidR="00B72A80">
        <w:instrText xml:space="preserve"> SEQ Wykres \* ARABIC </w:instrText>
      </w:r>
      <w:r w:rsidR="00B72A80">
        <w:fldChar w:fldCharType="separate"/>
      </w:r>
      <w:r w:rsidR="00763345">
        <w:rPr>
          <w:noProof/>
        </w:rPr>
        <w:t>15</w:t>
      </w:r>
      <w:r w:rsidR="00B72A80">
        <w:fldChar w:fldCharType="end"/>
      </w:r>
      <w:r w:rsidRPr="00495DB6">
        <w:t>. Sprzedaż energii cieplnej do urzędów</w:t>
      </w:r>
      <w:r w:rsidR="00E66B89">
        <w:t xml:space="preserve"> i </w:t>
      </w:r>
      <w:r w:rsidRPr="00495DB6">
        <w:t>instytucji</w:t>
      </w:r>
      <w:r w:rsidR="00E66B89">
        <w:t xml:space="preserve"> w </w:t>
      </w:r>
      <w:r w:rsidRPr="00495DB6">
        <w:t>latach 2007-2017</w:t>
      </w:r>
      <w:r w:rsidR="00E66B89">
        <w:t xml:space="preserve"> w </w:t>
      </w:r>
      <w:r w:rsidRPr="00495DB6">
        <w:t>województwie zachodniopomorskim wraz</w:t>
      </w:r>
      <w:r w:rsidR="00E66B89">
        <w:t xml:space="preserve"> z </w:t>
      </w:r>
      <w:r w:rsidRPr="00495DB6">
        <w:t>przewidywanym trendem do roku 2023 [GJ]</w:t>
      </w:r>
      <w:bookmarkEnd w:id="81"/>
    </w:p>
    <w:p w14:paraId="24356C38" w14:textId="3030F539" w:rsidR="003E5F72" w:rsidRDefault="00C35619" w:rsidP="00CF71F2">
      <w:pPr>
        <w:spacing w:before="0" w:after="0"/>
        <w:rPr>
          <w:rFonts w:cs="Calibri"/>
          <w:sz w:val="16"/>
          <w:szCs w:val="16"/>
        </w:rPr>
      </w:pPr>
      <w:r w:rsidRPr="00D508B6">
        <w:rPr>
          <w:noProof/>
        </w:rPr>
        <w:drawing>
          <wp:inline distT="0" distB="0" distL="0" distR="0" wp14:anchorId="79507E26" wp14:editId="0EB0D03A">
            <wp:extent cx="5800725" cy="2343150"/>
            <wp:effectExtent l="0" t="0" r="0" b="0"/>
            <wp:docPr id="33" name="Wykres 18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855911" w14:textId="41B5819E" w:rsidR="003E5F72" w:rsidRPr="002A5FDF" w:rsidRDefault="003E5F72" w:rsidP="005076BF">
      <w:pPr>
        <w:spacing w:before="0"/>
        <w:rPr>
          <w:i/>
          <w:sz w:val="18"/>
          <w:szCs w:val="20"/>
        </w:rPr>
      </w:pPr>
      <w:r w:rsidRPr="002A5FDF">
        <w:rPr>
          <w:i/>
          <w:sz w:val="18"/>
          <w:szCs w:val="20"/>
        </w:rPr>
        <w:t>Źródło: opracowanie własne na podstawie Banku Danych Lokalnych GUS</w:t>
      </w:r>
      <w:r w:rsidR="00C56787" w:rsidRPr="002A5FDF">
        <w:rPr>
          <w:i/>
          <w:sz w:val="18"/>
          <w:szCs w:val="20"/>
        </w:rPr>
        <w:t>.</w:t>
      </w:r>
    </w:p>
    <w:p w14:paraId="06B6A7E9" w14:textId="77777777" w:rsidR="003E5F72" w:rsidRDefault="003E5F72" w:rsidP="003E5F72">
      <w:pPr>
        <w:rPr>
          <w:rFonts w:cs="Calibri"/>
          <w:szCs w:val="20"/>
        </w:rPr>
      </w:pPr>
      <w:r w:rsidRPr="00B0501D">
        <w:rPr>
          <w:rFonts w:cs="Calibri"/>
          <w:szCs w:val="20"/>
        </w:rPr>
        <w:t xml:space="preserve">Należy mieć na uwadze, że tego typu </w:t>
      </w:r>
      <w:r>
        <w:rPr>
          <w:rFonts w:cs="Calibri"/>
          <w:szCs w:val="20"/>
        </w:rPr>
        <w:t xml:space="preserve">wskaźniki </w:t>
      </w:r>
      <w:r w:rsidRPr="00B0501D">
        <w:rPr>
          <w:rFonts w:cs="Calibri"/>
          <w:szCs w:val="20"/>
        </w:rPr>
        <w:t>rezultat</w:t>
      </w:r>
      <w:r>
        <w:rPr>
          <w:rFonts w:cs="Calibri"/>
          <w:szCs w:val="20"/>
        </w:rPr>
        <w:t>u</w:t>
      </w:r>
      <w:r w:rsidRPr="00B0501D">
        <w:rPr>
          <w:rFonts w:cs="Calibri"/>
          <w:szCs w:val="20"/>
        </w:rPr>
        <w:t xml:space="preserve"> </w:t>
      </w:r>
      <w:r>
        <w:rPr>
          <w:rFonts w:cs="Calibri"/>
          <w:szCs w:val="20"/>
        </w:rPr>
        <w:t>są</w:t>
      </w:r>
      <w:r w:rsidR="00E66B89">
        <w:rPr>
          <w:rFonts w:cs="Calibri"/>
          <w:szCs w:val="20"/>
        </w:rPr>
        <w:t xml:space="preserve"> w </w:t>
      </w:r>
      <w:r w:rsidRPr="00B0501D">
        <w:rPr>
          <w:rFonts w:cs="Calibri"/>
          <w:szCs w:val="20"/>
        </w:rPr>
        <w:t>znacznym stopniu uzależnion</w:t>
      </w:r>
      <w:r>
        <w:rPr>
          <w:rFonts w:cs="Calibri"/>
          <w:szCs w:val="20"/>
        </w:rPr>
        <w:t>e</w:t>
      </w:r>
      <w:r w:rsidRPr="00B0501D">
        <w:rPr>
          <w:rFonts w:cs="Calibri"/>
          <w:szCs w:val="20"/>
        </w:rPr>
        <w:t xml:space="preserve"> od takich czynników jak długość sezonu grzewczego oraz zmian</w:t>
      </w:r>
      <w:r>
        <w:rPr>
          <w:rFonts w:cs="Calibri"/>
          <w:szCs w:val="20"/>
        </w:rPr>
        <w:t>y</w:t>
      </w:r>
      <w:r w:rsidRPr="00B0501D">
        <w:rPr>
          <w:rFonts w:cs="Calibri"/>
          <w:szCs w:val="20"/>
        </w:rPr>
        <w:t xml:space="preserve"> związan</w:t>
      </w:r>
      <w:r>
        <w:rPr>
          <w:rFonts w:cs="Calibri"/>
          <w:szCs w:val="20"/>
        </w:rPr>
        <w:t>e</w:t>
      </w:r>
      <w:r w:rsidR="00E66B89">
        <w:rPr>
          <w:rFonts w:cs="Calibri"/>
          <w:szCs w:val="20"/>
        </w:rPr>
        <w:t xml:space="preserve"> z </w:t>
      </w:r>
      <w:r w:rsidRPr="00B0501D">
        <w:rPr>
          <w:rFonts w:cs="Calibri"/>
          <w:szCs w:val="20"/>
        </w:rPr>
        <w:t xml:space="preserve">ocieplaniem klimatu. Mogą więc następować skokowe wahania między kolejnymi latami. </w:t>
      </w:r>
      <w:r w:rsidRPr="007757B8">
        <w:rPr>
          <w:rFonts w:cs="Calibri"/>
          <w:szCs w:val="20"/>
        </w:rPr>
        <w:t>Jednocześnie, na jego poziom będzie wpływać liczba budynków</w:t>
      </w:r>
      <w:r>
        <w:rPr>
          <w:rFonts w:cs="Calibri"/>
          <w:szCs w:val="20"/>
        </w:rPr>
        <w:t>, m. in. użyteczności publicznej,</w:t>
      </w:r>
      <w:r w:rsidRPr="007757B8">
        <w:rPr>
          <w:rFonts w:cs="Calibri"/>
          <w:szCs w:val="20"/>
        </w:rPr>
        <w:t xml:space="preserve"> przyłączonych do sieci ciepłowniczych (w tym budynków nowo wybudowanych),</w:t>
      </w:r>
      <w:r w:rsidR="00E66B89">
        <w:rPr>
          <w:rFonts w:cs="Calibri"/>
          <w:szCs w:val="20"/>
        </w:rPr>
        <w:t xml:space="preserve"> a </w:t>
      </w:r>
      <w:r w:rsidRPr="007757B8">
        <w:rPr>
          <w:rFonts w:cs="Calibri"/>
          <w:szCs w:val="20"/>
        </w:rPr>
        <w:t>także liczba budynków, które zostaną odłączone. Równowagę mogą stanowić wszelkie inwestycje</w:t>
      </w:r>
      <w:r w:rsidR="00E66B89">
        <w:rPr>
          <w:rFonts w:cs="Calibri"/>
          <w:szCs w:val="20"/>
        </w:rPr>
        <w:t xml:space="preserve"> w </w:t>
      </w:r>
      <w:r w:rsidRPr="007757B8">
        <w:rPr>
          <w:rFonts w:cs="Calibri"/>
          <w:szCs w:val="20"/>
        </w:rPr>
        <w:t>modernizację energetyczną istniejących</w:t>
      </w:r>
      <w:r w:rsidR="00E66B89">
        <w:rPr>
          <w:rFonts w:cs="Calibri"/>
          <w:szCs w:val="20"/>
        </w:rPr>
        <w:t xml:space="preserve"> w </w:t>
      </w:r>
      <w:r w:rsidRPr="007757B8">
        <w:rPr>
          <w:rFonts w:cs="Calibri"/>
          <w:szCs w:val="20"/>
        </w:rPr>
        <w:t xml:space="preserve">regionie obiektów, przez co wielkość sprzedaży energii może ulegać racjonalizacji. Warto podkreślić, że wzrostu sprzedaży energii </w:t>
      </w:r>
      <w:r w:rsidRPr="007757B8">
        <w:rPr>
          <w:rFonts w:cs="Calibri"/>
          <w:szCs w:val="20"/>
        </w:rPr>
        <w:lastRenderedPageBreak/>
        <w:t>cieplnej nie należy traktować jako tendencji negatywnej – wynikać on może także</w:t>
      </w:r>
      <w:r w:rsidR="00E66B89">
        <w:rPr>
          <w:rFonts w:cs="Calibri"/>
          <w:szCs w:val="20"/>
        </w:rPr>
        <w:t xml:space="preserve"> z </w:t>
      </w:r>
      <w:r w:rsidRPr="007757B8">
        <w:rPr>
          <w:rFonts w:cs="Calibri"/>
          <w:szCs w:val="20"/>
        </w:rPr>
        <w:t>prowadzonych inwestycji związanych</w:t>
      </w:r>
      <w:r w:rsidR="00E66B89">
        <w:rPr>
          <w:rFonts w:cs="Calibri"/>
          <w:szCs w:val="20"/>
        </w:rPr>
        <w:t xml:space="preserve"> z </w:t>
      </w:r>
      <w:r w:rsidRPr="007757B8">
        <w:rPr>
          <w:rFonts w:cs="Calibri"/>
          <w:szCs w:val="20"/>
        </w:rPr>
        <w:t>likwidacją nieefektywnych ekologicznie indywidualnych źródeł ogrzewania</w:t>
      </w:r>
      <w:r w:rsidR="00E66B89">
        <w:rPr>
          <w:rFonts w:cs="Calibri"/>
          <w:szCs w:val="20"/>
        </w:rPr>
        <w:t xml:space="preserve"> w </w:t>
      </w:r>
      <w:r w:rsidRPr="007757B8">
        <w:rPr>
          <w:rFonts w:cs="Calibri"/>
          <w:szCs w:val="20"/>
        </w:rPr>
        <w:t xml:space="preserve">celu podłączenia obiektu do sieci ciepłowniczej. </w:t>
      </w:r>
    </w:p>
    <w:p w14:paraId="28545B1B" w14:textId="77777777" w:rsidR="003E5F72" w:rsidRPr="00B0501D" w:rsidRDefault="003E5F72" w:rsidP="003E5F72">
      <w:pPr>
        <w:rPr>
          <w:rFonts w:cs="Calibri"/>
          <w:szCs w:val="20"/>
        </w:rPr>
      </w:pPr>
      <w:r w:rsidRPr="00B0501D">
        <w:rPr>
          <w:rFonts w:cs="Calibri"/>
          <w:szCs w:val="20"/>
        </w:rPr>
        <w:t>Generalnie jednak można spodziewać się tendencji spadkowych</w:t>
      </w:r>
      <w:r w:rsidR="00E66B89">
        <w:rPr>
          <w:rFonts w:cs="Calibri"/>
          <w:szCs w:val="20"/>
        </w:rPr>
        <w:t xml:space="preserve"> w </w:t>
      </w:r>
      <w:r>
        <w:rPr>
          <w:rFonts w:cs="Calibri"/>
          <w:szCs w:val="20"/>
        </w:rPr>
        <w:t>nadchodzących latach (szczególnie</w:t>
      </w:r>
      <w:r w:rsidR="00E66B89">
        <w:rPr>
          <w:rFonts w:cs="Calibri"/>
          <w:szCs w:val="20"/>
        </w:rPr>
        <w:t xml:space="preserve"> w </w:t>
      </w:r>
      <w:r>
        <w:rPr>
          <w:rFonts w:cs="Calibri"/>
          <w:szCs w:val="20"/>
        </w:rPr>
        <w:t>sektorze budynków mieszkalnych)</w:t>
      </w:r>
      <w:r w:rsidRPr="00B0501D">
        <w:rPr>
          <w:rFonts w:cs="Calibri"/>
          <w:szCs w:val="20"/>
        </w:rPr>
        <w:t>, na które wpływ będą miały:</w:t>
      </w:r>
    </w:p>
    <w:p w14:paraId="4737DCE5" w14:textId="77777777" w:rsidR="003E5F72" w:rsidRPr="00B0501D" w:rsidRDefault="00BD4C2D" w:rsidP="00093E14">
      <w:pPr>
        <w:pStyle w:val="Akapitzlist"/>
        <w:numPr>
          <w:ilvl w:val="0"/>
          <w:numId w:val="21"/>
        </w:numPr>
        <w:spacing w:after="0" w:line="288" w:lineRule="auto"/>
        <w:rPr>
          <w:rFonts w:ascii="Lato" w:eastAsia="Times New Roman" w:hAnsi="Lato" w:cs="Calibri"/>
          <w:sz w:val="20"/>
          <w:szCs w:val="20"/>
          <w:lang w:eastAsia="pl-PL"/>
        </w:rPr>
      </w:pPr>
      <w:r>
        <w:rPr>
          <w:rFonts w:ascii="Lato" w:eastAsia="Times New Roman" w:hAnsi="Lato" w:cs="Calibri"/>
          <w:sz w:val="20"/>
          <w:szCs w:val="20"/>
          <w:lang w:eastAsia="pl-PL"/>
        </w:rPr>
        <w:t>w</w:t>
      </w:r>
      <w:r w:rsidR="003E5F72" w:rsidRPr="00B0501D">
        <w:rPr>
          <w:rFonts w:ascii="Lato" w:eastAsia="Times New Roman" w:hAnsi="Lato" w:cs="Calibri"/>
          <w:sz w:val="20"/>
          <w:szCs w:val="20"/>
          <w:lang w:eastAsia="pl-PL"/>
        </w:rPr>
        <w:t>zrost świadomości społecznej związanej</w:t>
      </w:r>
      <w:r w:rsidR="00E66B89">
        <w:rPr>
          <w:rFonts w:ascii="Lato" w:eastAsia="Times New Roman" w:hAnsi="Lato" w:cs="Calibri"/>
          <w:sz w:val="20"/>
          <w:szCs w:val="20"/>
          <w:lang w:eastAsia="pl-PL"/>
        </w:rPr>
        <w:t xml:space="preserve"> z </w:t>
      </w:r>
      <w:r w:rsidR="003E5F72" w:rsidRPr="00B0501D">
        <w:rPr>
          <w:rFonts w:ascii="Lato" w:eastAsia="Times New Roman" w:hAnsi="Lato" w:cs="Calibri"/>
          <w:sz w:val="20"/>
          <w:szCs w:val="20"/>
          <w:lang w:eastAsia="pl-PL"/>
        </w:rPr>
        <w:t>korzyściami wynikającymi</w:t>
      </w:r>
      <w:r w:rsidR="00E66B89">
        <w:rPr>
          <w:rFonts w:ascii="Lato" w:eastAsia="Times New Roman" w:hAnsi="Lato" w:cs="Calibri"/>
          <w:sz w:val="20"/>
          <w:szCs w:val="20"/>
          <w:lang w:eastAsia="pl-PL"/>
        </w:rPr>
        <w:t xml:space="preserve"> z </w:t>
      </w:r>
      <w:r w:rsidR="003E5F72" w:rsidRPr="00B0501D">
        <w:rPr>
          <w:rFonts w:ascii="Lato" w:eastAsia="Times New Roman" w:hAnsi="Lato" w:cs="Calibri"/>
          <w:sz w:val="20"/>
          <w:szCs w:val="20"/>
          <w:lang w:eastAsia="pl-PL"/>
        </w:rPr>
        <w:t>oszczędnego gospodarowania energią (silny oddźwięk medialny</w:t>
      </w:r>
      <w:r w:rsidR="00E66B89">
        <w:rPr>
          <w:rFonts w:ascii="Lato" w:eastAsia="Times New Roman" w:hAnsi="Lato" w:cs="Calibri"/>
          <w:sz w:val="20"/>
          <w:szCs w:val="20"/>
          <w:lang w:eastAsia="pl-PL"/>
        </w:rPr>
        <w:t xml:space="preserve"> i </w:t>
      </w:r>
      <w:r w:rsidR="003E5F72" w:rsidRPr="00B0501D">
        <w:rPr>
          <w:rFonts w:ascii="Lato" w:eastAsia="Times New Roman" w:hAnsi="Lato" w:cs="Calibri"/>
          <w:sz w:val="20"/>
          <w:szCs w:val="20"/>
          <w:lang w:eastAsia="pl-PL"/>
        </w:rPr>
        <w:t>społeczny</w:t>
      </w:r>
      <w:r w:rsidR="00E66B89">
        <w:rPr>
          <w:rFonts w:ascii="Lato" w:eastAsia="Times New Roman" w:hAnsi="Lato" w:cs="Calibri"/>
          <w:sz w:val="20"/>
          <w:szCs w:val="20"/>
          <w:lang w:eastAsia="pl-PL"/>
        </w:rPr>
        <w:t xml:space="preserve"> w </w:t>
      </w:r>
      <w:r w:rsidR="003E5F72" w:rsidRPr="00B0501D">
        <w:rPr>
          <w:rFonts w:ascii="Lato" w:eastAsia="Times New Roman" w:hAnsi="Lato" w:cs="Calibri"/>
          <w:sz w:val="20"/>
          <w:szCs w:val="20"/>
          <w:lang w:eastAsia="pl-PL"/>
        </w:rPr>
        <w:t>związku</w:t>
      </w:r>
      <w:r w:rsidR="00E66B89">
        <w:rPr>
          <w:rFonts w:ascii="Lato" w:eastAsia="Times New Roman" w:hAnsi="Lato" w:cs="Calibri"/>
          <w:sz w:val="20"/>
          <w:szCs w:val="20"/>
          <w:lang w:eastAsia="pl-PL"/>
        </w:rPr>
        <w:t xml:space="preserve"> z </w:t>
      </w:r>
      <w:r w:rsidR="003E5F72" w:rsidRPr="00B0501D">
        <w:rPr>
          <w:rFonts w:ascii="Lato" w:eastAsia="Times New Roman" w:hAnsi="Lato" w:cs="Calibri"/>
          <w:sz w:val="20"/>
          <w:szCs w:val="20"/>
          <w:lang w:eastAsia="pl-PL"/>
        </w:rPr>
        <w:t>jakością powietrza</w:t>
      </w:r>
      <w:r w:rsidR="00E66B89">
        <w:rPr>
          <w:rFonts w:ascii="Lato" w:eastAsia="Times New Roman" w:hAnsi="Lato" w:cs="Calibri"/>
          <w:sz w:val="20"/>
          <w:szCs w:val="20"/>
          <w:lang w:eastAsia="pl-PL"/>
        </w:rPr>
        <w:t xml:space="preserve"> w </w:t>
      </w:r>
      <w:r w:rsidR="003E5F72" w:rsidRPr="00B0501D">
        <w:rPr>
          <w:rFonts w:ascii="Lato" w:eastAsia="Times New Roman" w:hAnsi="Lato" w:cs="Calibri"/>
          <w:sz w:val="20"/>
          <w:szCs w:val="20"/>
          <w:lang w:eastAsia="pl-PL"/>
        </w:rPr>
        <w:t>kraju oraz kampanie społeczne związane</w:t>
      </w:r>
      <w:r w:rsidR="00E66B89">
        <w:rPr>
          <w:rFonts w:ascii="Lato" w:eastAsia="Times New Roman" w:hAnsi="Lato" w:cs="Calibri"/>
          <w:sz w:val="20"/>
          <w:szCs w:val="20"/>
          <w:lang w:eastAsia="pl-PL"/>
        </w:rPr>
        <w:t xml:space="preserve"> z </w:t>
      </w:r>
      <w:r w:rsidR="003E5F72" w:rsidRPr="00B0501D">
        <w:rPr>
          <w:rFonts w:ascii="Lato" w:eastAsia="Times New Roman" w:hAnsi="Lato" w:cs="Calibri"/>
          <w:sz w:val="20"/>
          <w:szCs w:val="20"/>
          <w:lang w:eastAsia="pl-PL"/>
        </w:rPr>
        <w:t xml:space="preserve">potrzebą oszczędnego gospodarowania zasobami nieodnawialnych źródeł energii), </w:t>
      </w:r>
    </w:p>
    <w:p w14:paraId="45221EF9" w14:textId="77777777" w:rsidR="003E5F72" w:rsidRPr="00B0501D" w:rsidRDefault="00BD4C2D" w:rsidP="00093E14">
      <w:pPr>
        <w:pStyle w:val="Akapitzlist"/>
        <w:numPr>
          <w:ilvl w:val="0"/>
          <w:numId w:val="21"/>
        </w:numPr>
        <w:spacing w:after="0" w:line="288" w:lineRule="auto"/>
        <w:rPr>
          <w:rFonts w:ascii="Lato" w:eastAsia="Times New Roman" w:hAnsi="Lato" w:cs="Calibri"/>
          <w:sz w:val="20"/>
          <w:szCs w:val="20"/>
          <w:lang w:eastAsia="pl-PL"/>
        </w:rPr>
      </w:pPr>
      <w:r>
        <w:rPr>
          <w:rFonts w:ascii="Lato" w:eastAsia="Times New Roman" w:hAnsi="Lato" w:cs="Calibri"/>
          <w:sz w:val="20"/>
          <w:szCs w:val="20"/>
          <w:lang w:eastAsia="pl-PL"/>
        </w:rPr>
        <w:t>w</w:t>
      </w:r>
      <w:r w:rsidR="003E5F72" w:rsidRPr="00B0501D">
        <w:rPr>
          <w:rFonts w:ascii="Lato" w:eastAsia="Times New Roman" w:hAnsi="Lato" w:cs="Calibri"/>
          <w:sz w:val="20"/>
          <w:szCs w:val="20"/>
          <w:lang w:eastAsia="pl-PL"/>
        </w:rPr>
        <w:t>zrost znaczenia podejścia prosumenckiego do zarządzania energią,</w:t>
      </w:r>
    </w:p>
    <w:p w14:paraId="490B11DF" w14:textId="77777777" w:rsidR="003E5F72" w:rsidRPr="00B0501D" w:rsidRDefault="00A13E5F" w:rsidP="00093E14">
      <w:pPr>
        <w:pStyle w:val="Akapitzlist"/>
        <w:numPr>
          <w:ilvl w:val="0"/>
          <w:numId w:val="21"/>
        </w:numPr>
        <w:spacing w:after="0" w:line="288" w:lineRule="auto"/>
        <w:rPr>
          <w:rFonts w:ascii="Lato" w:eastAsia="Times New Roman" w:hAnsi="Lato" w:cs="Calibri"/>
          <w:sz w:val="20"/>
          <w:szCs w:val="20"/>
          <w:lang w:eastAsia="pl-PL"/>
        </w:rPr>
      </w:pPr>
      <w:r>
        <w:rPr>
          <w:rFonts w:ascii="Lato" w:eastAsia="Times New Roman" w:hAnsi="Lato" w:cs="Calibri"/>
          <w:sz w:val="20"/>
          <w:szCs w:val="20"/>
          <w:lang w:eastAsia="pl-PL"/>
        </w:rPr>
        <w:t>p</w:t>
      </w:r>
      <w:r w:rsidR="003E5F72" w:rsidRPr="00B0501D">
        <w:rPr>
          <w:rFonts w:ascii="Lato" w:eastAsia="Times New Roman" w:hAnsi="Lato" w:cs="Calibri"/>
          <w:sz w:val="20"/>
          <w:szCs w:val="20"/>
          <w:lang w:eastAsia="pl-PL"/>
        </w:rPr>
        <w:t>rogramy krajowe dotyczące modernizacji energetycznej budynków (przede wszystkim mieszkalnych),</w:t>
      </w:r>
    </w:p>
    <w:p w14:paraId="48B96291" w14:textId="77777777" w:rsidR="003E5F72" w:rsidRPr="00B0501D" w:rsidRDefault="00BD4C2D" w:rsidP="00093E14">
      <w:pPr>
        <w:pStyle w:val="Akapitzlist"/>
        <w:numPr>
          <w:ilvl w:val="0"/>
          <w:numId w:val="21"/>
        </w:numPr>
        <w:spacing w:after="0" w:line="288" w:lineRule="auto"/>
        <w:rPr>
          <w:rFonts w:ascii="Lato" w:eastAsia="Times New Roman" w:hAnsi="Lato" w:cs="Calibri"/>
          <w:sz w:val="20"/>
          <w:szCs w:val="20"/>
          <w:lang w:eastAsia="pl-PL"/>
        </w:rPr>
      </w:pPr>
      <w:r>
        <w:rPr>
          <w:rFonts w:ascii="Lato" w:eastAsia="Times New Roman" w:hAnsi="Lato" w:cs="Calibri"/>
          <w:sz w:val="20"/>
          <w:szCs w:val="20"/>
          <w:lang w:eastAsia="pl-PL"/>
        </w:rPr>
        <w:t>n</w:t>
      </w:r>
      <w:r w:rsidR="003E5F72" w:rsidRPr="00B0501D">
        <w:rPr>
          <w:rFonts w:ascii="Lato" w:eastAsia="Times New Roman" w:hAnsi="Lato" w:cs="Calibri"/>
          <w:sz w:val="20"/>
          <w:szCs w:val="20"/>
          <w:lang w:eastAsia="pl-PL"/>
        </w:rPr>
        <w:t>iepewność związana</w:t>
      </w:r>
      <w:r w:rsidR="00E66B89">
        <w:rPr>
          <w:rFonts w:ascii="Lato" w:eastAsia="Times New Roman" w:hAnsi="Lato" w:cs="Calibri"/>
          <w:sz w:val="20"/>
          <w:szCs w:val="20"/>
          <w:lang w:eastAsia="pl-PL"/>
        </w:rPr>
        <w:t xml:space="preserve"> z </w:t>
      </w:r>
      <w:r w:rsidR="003E5F72" w:rsidRPr="00B0501D">
        <w:rPr>
          <w:rFonts w:ascii="Lato" w:eastAsia="Times New Roman" w:hAnsi="Lato" w:cs="Calibri"/>
          <w:sz w:val="20"/>
          <w:szCs w:val="20"/>
          <w:lang w:eastAsia="pl-PL"/>
        </w:rPr>
        <w:t>cenami energii na rynku,</w:t>
      </w:r>
    </w:p>
    <w:p w14:paraId="0B072441" w14:textId="77777777" w:rsidR="003E5F72" w:rsidRPr="00B0501D" w:rsidRDefault="00BD4C2D" w:rsidP="00093E14">
      <w:pPr>
        <w:pStyle w:val="Akapitzlist"/>
        <w:numPr>
          <w:ilvl w:val="0"/>
          <w:numId w:val="21"/>
        </w:numPr>
        <w:spacing w:after="0" w:line="288" w:lineRule="auto"/>
        <w:rPr>
          <w:rFonts w:ascii="Lato" w:eastAsia="Times New Roman" w:hAnsi="Lato" w:cs="Calibri"/>
          <w:sz w:val="20"/>
          <w:szCs w:val="20"/>
          <w:lang w:eastAsia="pl-PL"/>
        </w:rPr>
      </w:pPr>
      <w:r>
        <w:rPr>
          <w:rFonts w:ascii="Lato" w:eastAsia="Times New Roman" w:hAnsi="Lato" w:cs="Calibri"/>
          <w:sz w:val="20"/>
          <w:szCs w:val="20"/>
          <w:lang w:eastAsia="pl-PL"/>
        </w:rPr>
        <w:t>u</w:t>
      </w:r>
      <w:r w:rsidR="003E5F72" w:rsidRPr="00B0501D">
        <w:rPr>
          <w:rFonts w:ascii="Lato" w:eastAsia="Times New Roman" w:hAnsi="Lato" w:cs="Calibri"/>
          <w:sz w:val="20"/>
          <w:szCs w:val="20"/>
          <w:lang w:eastAsia="pl-PL"/>
        </w:rPr>
        <w:t>lgi podatkowe możliwe do uzyskania dzięki indywidualnym inwestycjom</w:t>
      </w:r>
      <w:r w:rsidR="00E66B89">
        <w:rPr>
          <w:rFonts w:ascii="Lato" w:eastAsia="Times New Roman" w:hAnsi="Lato" w:cs="Calibri"/>
          <w:sz w:val="20"/>
          <w:szCs w:val="20"/>
          <w:lang w:eastAsia="pl-PL"/>
        </w:rPr>
        <w:t xml:space="preserve"> w </w:t>
      </w:r>
      <w:r w:rsidR="003E5F72" w:rsidRPr="00B0501D">
        <w:rPr>
          <w:rFonts w:ascii="Lato" w:eastAsia="Times New Roman" w:hAnsi="Lato" w:cs="Calibri"/>
          <w:sz w:val="20"/>
          <w:szCs w:val="20"/>
          <w:lang w:eastAsia="pl-PL"/>
        </w:rPr>
        <w:t>poprawę efektywności energetycznej budynków jednorodzinnych,</w:t>
      </w:r>
    </w:p>
    <w:p w14:paraId="2C068158" w14:textId="77777777" w:rsidR="003E5F72" w:rsidRPr="005F0B77" w:rsidRDefault="00BD4C2D" w:rsidP="00093E14">
      <w:pPr>
        <w:pStyle w:val="Akapitzlist"/>
        <w:numPr>
          <w:ilvl w:val="0"/>
          <w:numId w:val="21"/>
        </w:numPr>
        <w:spacing w:after="0" w:line="288" w:lineRule="auto"/>
      </w:pPr>
      <w:r>
        <w:rPr>
          <w:rFonts w:ascii="Lato" w:eastAsia="Times New Roman" w:hAnsi="Lato" w:cs="Calibri"/>
          <w:sz w:val="20"/>
          <w:szCs w:val="20"/>
          <w:lang w:eastAsia="pl-PL"/>
        </w:rPr>
        <w:t>d</w:t>
      </w:r>
      <w:r w:rsidR="003E5F72" w:rsidRPr="00B0501D">
        <w:rPr>
          <w:rFonts w:ascii="Lato" w:eastAsia="Times New Roman" w:hAnsi="Lato" w:cs="Calibri"/>
          <w:sz w:val="20"/>
          <w:szCs w:val="20"/>
          <w:lang w:eastAsia="pl-PL"/>
        </w:rPr>
        <w:t>ążenie przez władze krajowe do wypełnienia celów stawianych przez Unię Europejską</w:t>
      </w:r>
      <w:r w:rsidR="00E66B89">
        <w:rPr>
          <w:rFonts w:ascii="Lato" w:eastAsia="Times New Roman" w:hAnsi="Lato" w:cs="Calibri"/>
          <w:sz w:val="20"/>
          <w:szCs w:val="20"/>
          <w:lang w:eastAsia="pl-PL"/>
        </w:rPr>
        <w:t xml:space="preserve"> w </w:t>
      </w:r>
      <w:r w:rsidR="003E5F72" w:rsidRPr="00B0501D">
        <w:rPr>
          <w:rFonts w:ascii="Lato" w:eastAsia="Times New Roman" w:hAnsi="Lato" w:cs="Calibri"/>
          <w:sz w:val="20"/>
          <w:szCs w:val="20"/>
          <w:lang w:eastAsia="pl-PL"/>
        </w:rPr>
        <w:t xml:space="preserve">zakresie efektywności energetycznej po 2020 roku – strategia „Czysta planeta dla wszystkich”. </w:t>
      </w:r>
    </w:p>
    <w:p w14:paraId="109CDB7F" w14:textId="77777777" w:rsidR="003E5F72" w:rsidRPr="005978BA" w:rsidRDefault="003E5F72" w:rsidP="003E5F72">
      <w:pPr>
        <w:pStyle w:val="Nagwek4"/>
        <w:numPr>
          <w:ilvl w:val="0"/>
          <w:numId w:val="0"/>
        </w:numPr>
        <w:rPr>
          <w:rFonts w:ascii="Lato" w:eastAsia="Calibri" w:hAnsi="Lato"/>
        </w:rPr>
      </w:pPr>
      <w:r w:rsidRPr="00FE43CD">
        <w:rPr>
          <w:rFonts w:ascii="Lato" w:eastAsia="Calibri" w:hAnsi="Lato"/>
        </w:rPr>
        <w:t xml:space="preserve">Ocena potencjału absorpcyjnego </w:t>
      </w:r>
    </w:p>
    <w:p w14:paraId="6C9D5866" w14:textId="77777777" w:rsidR="003E5F72" w:rsidRDefault="003E5F72" w:rsidP="003E5F72">
      <w:pPr>
        <w:rPr>
          <w:rFonts w:cs="Calibri"/>
          <w:szCs w:val="20"/>
        </w:rPr>
      </w:pPr>
      <w:r>
        <w:rPr>
          <w:rFonts w:cs="Calibri"/>
          <w:szCs w:val="20"/>
        </w:rPr>
        <w:t>Analizując możliwości wykorzystania dodatkowych środków przez działania</w:t>
      </w:r>
      <w:r w:rsidR="00E66B89">
        <w:rPr>
          <w:rFonts w:cs="Calibri"/>
          <w:szCs w:val="20"/>
        </w:rPr>
        <w:t xml:space="preserve"> z </w:t>
      </w:r>
      <w:r>
        <w:rPr>
          <w:rFonts w:cs="Calibri"/>
          <w:szCs w:val="20"/>
        </w:rPr>
        <w:t xml:space="preserve">zakresu PI 4c, należy zwrócić szczególną uwagę na dotychczasowe zainteresowanie interwencją. Alokacja przewidziana na ten priorytet wynosi 217 556 800,09 zł. </w:t>
      </w:r>
    </w:p>
    <w:p w14:paraId="6B5522E9" w14:textId="77777777" w:rsidR="003E5F72" w:rsidRDefault="003E5F72" w:rsidP="003E5F72">
      <w:pPr>
        <w:rPr>
          <w:rFonts w:cs="Calibri"/>
          <w:szCs w:val="20"/>
        </w:rPr>
      </w:pPr>
      <w:r>
        <w:rPr>
          <w:rFonts w:cs="Calibri"/>
          <w:szCs w:val="20"/>
        </w:rPr>
        <w:t>Nabór</w:t>
      </w:r>
      <w:r w:rsidR="00E66B89">
        <w:rPr>
          <w:rFonts w:cs="Calibri"/>
          <w:szCs w:val="20"/>
        </w:rPr>
        <w:t xml:space="preserve"> w </w:t>
      </w:r>
      <w:r>
        <w:rPr>
          <w:rFonts w:cs="Calibri"/>
          <w:szCs w:val="20"/>
        </w:rPr>
        <w:t>ramach Działania 2.5 (obiekty użyteczności publicznej) zakończył się 39 złożonymi wnioskami</w:t>
      </w:r>
      <w:r w:rsidR="00E66B89">
        <w:rPr>
          <w:rFonts w:cs="Calibri"/>
          <w:szCs w:val="20"/>
        </w:rPr>
        <w:t xml:space="preserve"> o </w:t>
      </w:r>
      <w:r>
        <w:rPr>
          <w:rFonts w:cs="Calibri"/>
          <w:szCs w:val="20"/>
        </w:rPr>
        <w:t>dofinansowanie, które niemal 4-krotnie przekroczyły budżet przewidziany na nabór. Zdecydowano</w:t>
      </w:r>
      <w:r w:rsidR="00E66B89">
        <w:rPr>
          <w:rFonts w:cs="Calibri"/>
          <w:szCs w:val="20"/>
        </w:rPr>
        <w:t xml:space="preserve"> o </w:t>
      </w:r>
      <w:r>
        <w:rPr>
          <w:rFonts w:cs="Calibri"/>
          <w:szCs w:val="20"/>
        </w:rPr>
        <w:t>powiększeniu puli środków, dzięki czemu niemal wszystkie złożone projekty otrzymały możliwość dofinansowania (na liście rankingowej projektów wybranych do dofinansowania znajduje się 36 projektów</w:t>
      </w:r>
      <w:r>
        <w:rPr>
          <w:rStyle w:val="Odwoanieprzypisudolnego"/>
          <w:rFonts w:cs="Calibri"/>
          <w:szCs w:val="20"/>
        </w:rPr>
        <w:footnoteReference w:id="27"/>
      </w:r>
      <w:r>
        <w:rPr>
          <w:rFonts w:cs="Calibri"/>
          <w:szCs w:val="20"/>
        </w:rPr>
        <w:t>). Warto zwrócić uwagę, że c</w:t>
      </w:r>
      <w:r w:rsidRPr="00F65FFD">
        <w:rPr>
          <w:rFonts w:cs="Calibri"/>
          <w:szCs w:val="20"/>
        </w:rPr>
        <w:t>zęść wnioskodawców odstąpiła od podpisania umowy</w:t>
      </w:r>
      <w:r w:rsidR="00E66B89">
        <w:rPr>
          <w:rFonts w:cs="Calibri"/>
          <w:szCs w:val="20"/>
        </w:rPr>
        <w:t xml:space="preserve"> o </w:t>
      </w:r>
      <w:r w:rsidRPr="00F65FFD">
        <w:rPr>
          <w:rFonts w:cs="Calibri"/>
          <w:szCs w:val="20"/>
        </w:rPr>
        <w:t>dofinansowanie bądź złożyła wniosek</w:t>
      </w:r>
      <w:r w:rsidR="00E66B89">
        <w:rPr>
          <w:rFonts w:cs="Calibri"/>
          <w:szCs w:val="20"/>
        </w:rPr>
        <w:t xml:space="preserve"> o </w:t>
      </w:r>
      <w:r w:rsidRPr="00F65FFD">
        <w:rPr>
          <w:rFonts w:cs="Calibri"/>
          <w:szCs w:val="20"/>
        </w:rPr>
        <w:t>rozwiązanie umowy. Przyczyn takiej sytuacji należy upatrywać</w:t>
      </w:r>
      <w:r w:rsidR="00E66B89">
        <w:rPr>
          <w:rFonts w:cs="Calibri"/>
          <w:szCs w:val="20"/>
        </w:rPr>
        <w:t xml:space="preserve"> w </w:t>
      </w:r>
      <w:r w:rsidRPr="00F65FFD">
        <w:rPr>
          <w:rFonts w:cs="Calibri"/>
          <w:szCs w:val="20"/>
        </w:rPr>
        <w:t>panujących obecnie uwarunkowaniach na rynku budowlanym.</w:t>
      </w:r>
      <w:r>
        <w:rPr>
          <w:rFonts w:cs="Calibri"/>
          <w:szCs w:val="20"/>
        </w:rPr>
        <w:t xml:space="preserve"> </w:t>
      </w:r>
      <w:r w:rsidRPr="00566D49">
        <w:rPr>
          <w:rFonts w:cs="Calibri"/>
          <w:szCs w:val="20"/>
        </w:rPr>
        <w:t>Na dzień 7.01.2019 r., Działanie 2.5 jest realizowane przez 28 projektów</w:t>
      </w:r>
      <w:r w:rsidR="00E66B89">
        <w:rPr>
          <w:rFonts w:cs="Calibri"/>
          <w:szCs w:val="20"/>
        </w:rPr>
        <w:t xml:space="preserve"> o </w:t>
      </w:r>
      <w:r w:rsidRPr="00566D49">
        <w:rPr>
          <w:rFonts w:cs="Calibri"/>
          <w:szCs w:val="20"/>
        </w:rPr>
        <w:t>łącznej wartości 106 989 660,29 zł (z czego dofinansowanie UE wynosi 78 438 238,99 zł). Poziom kontraktacji kształtuje się na poziomie 89,4%.</w:t>
      </w:r>
      <w:r>
        <w:rPr>
          <w:rFonts w:cs="Calibri"/>
          <w:szCs w:val="20"/>
        </w:rPr>
        <w:t xml:space="preserve"> Alokacja przypisana dostępna dla tego Działania (</w:t>
      </w:r>
      <w:r w:rsidRPr="00566D49">
        <w:rPr>
          <w:rFonts w:cs="Calibri"/>
          <w:szCs w:val="20"/>
        </w:rPr>
        <w:t xml:space="preserve">9 327 422,65 </w:t>
      </w:r>
      <w:r>
        <w:rPr>
          <w:rFonts w:cs="Calibri"/>
          <w:szCs w:val="20"/>
        </w:rPr>
        <w:t>zł) powinna pozwolić na wybór pozostałych wniosków.</w:t>
      </w:r>
    </w:p>
    <w:p w14:paraId="3C29272D" w14:textId="77777777" w:rsidR="003E5F72" w:rsidRDefault="003E5F72" w:rsidP="003E5F72">
      <w:pPr>
        <w:rPr>
          <w:rFonts w:cs="Calibri"/>
          <w:szCs w:val="20"/>
        </w:rPr>
      </w:pPr>
      <w:r>
        <w:rPr>
          <w:rFonts w:cs="Calibri"/>
          <w:szCs w:val="20"/>
        </w:rPr>
        <w:t>Z kolei</w:t>
      </w:r>
      <w:r w:rsidR="00E66B89">
        <w:rPr>
          <w:rFonts w:cs="Calibri"/>
          <w:szCs w:val="20"/>
        </w:rPr>
        <w:t xml:space="preserve"> w </w:t>
      </w:r>
      <w:r>
        <w:rPr>
          <w:rFonts w:cs="Calibri"/>
          <w:szCs w:val="20"/>
        </w:rPr>
        <w:t>przypadku Działania 2.6 (obiekty użyteczności publicznej ZIT SOM), przeprowadzono 2 nabory,</w:t>
      </w:r>
      <w:r w:rsidR="00E66B89">
        <w:rPr>
          <w:rFonts w:cs="Calibri"/>
          <w:szCs w:val="20"/>
        </w:rPr>
        <w:t xml:space="preserve"> z </w:t>
      </w:r>
      <w:r>
        <w:rPr>
          <w:rFonts w:cs="Calibri"/>
          <w:szCs w:val="20"/>
        </w:rPr>
        <w:t>czego jeden</w:t>
      </w:r>
      <w:r w:rsidR="00E66B89">
        <w:rPr>
          <w:rFonts w:cs="Calibri"/>
          <w:szCs w:val="20"/>
        </w:rPr>
        <w:t xml:space="preserve"> z </w:t>
      </w:r>
      <w:r>
        <w:rPr>
          <w:rFonts w:cs="Calibri"/>
          <w:szCs w:val="20"/>
        </w:rPr>
        <w:t>nich nie został jeszcze rozstrzygnięty.</w:t>
      </w:r>
      <w:r w:rsidR="00E66B89">
        <w:rPr>
          <w:rFonts w:cs="Calibri"/>
          <w:szCs w:val="20"/>
        </w:rPr>
        <w:t xml:space="preserve"> W </w:t>
      </w:r>
      <w:r>
        <w:rPr>
          <w:rFonts w:cs="Calibri"/>
          <w:szCs w:val="20"/>
        </w:rPr>
        <w:t>tym działaniu również – podobnie jak</w:t>
      </w:r>
      <w:r w:rsidR="00E66B89">
        <w:rPr>
          <w:rFonts w:cs="Calibri"/>
          <w:szCs w:val="20"/>
        </w:rPr>
        <w:t xml:space="preserve"> w </w:t>
      </w:r>
      <w:r>
        <w:rPr>
          <w:rFonts w:cs="Calibri"/>
          <w:szCs w:val="20"/>
        </w:rPr>
        <w:t>2.5, pierwszy nabór zakończył się wnioskami</w:t>
      </w:r>
      <w:r w:rsidR="00E66B89">
        <w:rPr>
          <w:rFonts w:cs="Calibri"/>
          <w:szCs w:val="20"/>
        </w:rPr>
        <w:t xml:space="preserve"> o </w:t>
      </w:r>
      <w:r>
        <w:rPr>
          <w:rFonts w:cs="Calibri"/>
          <w:szCs w:val="20"/>
        </w:rPr>
        <w:t>łącznej kwocie przekraczającej dostępny budżet</w:t>
      </w:r>
      <w:r w:rsidR="00E66B89">
        <w:rPr>
          <w:rFonts w:cs="Calibri"/>
          <w:szCs w:val="20"/>
        </w:rPr>
        <w:t xml:space="preserve"> o </w:t>
      </w:r>
      <w:r>
        <w:rPr>
          <w:rFonts w:cs="Calibri"/>
          <w:szCs w:val="20"/>
        </w:rPr>
        <w:t>85%. Tutaj również dokonano zwiększenia środków finansowych możliwych do dofinansowania. Nabór będący</w:t>
      </w:r>
      <w:r w:rsidR="00E66B89">
        <w:rPr>
          <w:rFonts w:cs="Calibri"/>
          <w:szCs w:val="20"/>
        </w:rPr>
        <w:t xml:space="preserve"> w </w:t>
      </w:r>
      <w:r>
        <w:rPr>
          <w:rFonts w:cs="Calibri"/>
          <w:szCs w:val="20"/>
        </w:rPr>
        <w:t>toku powinien wyczerpać przewidzianą alokację.</w:t>
      </w:r>
      <w:r w:rsidR="00E66B89">
        <w:rPr>
          <w:rFonts w:cs="Calibri"/>
          <w:szCs w:val="20"/>
        </w:rPr>
        <w:t xml:space="preserve"> W </w:t>
      </w:r>
      <w:r>
        <w:rPr>
          <w:rFonts w:cs="Calibri"/>
          <w:szCs w:val="20"/>
        </w:rPr>
        <w:t xml:space="preserve">przypadku omawianego działania możliwe jest, że dostępny budżet naboru nie będzie wystarczający dla zaspokojenia potrzeb zgłaszanych przez wnioskodawców. </w:t>
      </w:r>
      <w:r w:rsidRPr="000570F2">
        <w:rPr>
          <w:rFonts w:cs="Calibri"/>
          <w:szCs w:val="20"/>
        </w:rPr>
        <w:t>Na dzień 7.01.2019 r.,</w:t>
      </w:r>
      <w:r w:rsidR="00E66B89">
        <w:rPr>
          <w:rFonts w:cs="Calibri"/>
          <w:szCs w:val="20"/>
        </w:rPr>
        <w:t xml:space="preserve"> w </w:t>
      </w:r>
      <w:r w:rsidRPr="000570F2">
        <w:rPr>
          <w:rFonts w:cs="Calibri"/>
          <w:szCs w:val="20"/>
        </w:rPr>
        <w:t>ramach Działania 2.6 jest realizowanych 10 projektów</w:t>
      </w:r>
      <w:r w:rsidR="00E66B89">
        <w:rPr>
          <w:rFonts w:cs="Calibri"/>
          <w:szCs w:val="20"/>
        </w:rPr>
        <w:t xml:space="preserve"> o </w:t>
      </w:r>
      <w:r w:rsidRPr="000570F2">
        <w:rPr>
          <w:rFonts w:cs="Calibri"/>
          <w:szCs w:val="20"/>
        </w:rPr>
        <w:t>łącznej wartości 61 906 021,51 zł,</w:t>
      </w:r>
      <w:r w:rsidR="00E66B89">
        <w:rPr>
          <w:rFonts w:cs="Calibri"/>
          <w:szCs w:val="20"/>
        </w:rPr>
        <w:t xml:space="preserve"> z </w:t>
      </w:r>
      <w:r w:rsidRPr="000570F2">
        <w:rPr>
          <w:rFonts w:cs="Calibri"/>
          <w:szCs w:val="20"/>
        </w:rPr>
        <w:t>czego dofinansowanie UE wynosi 31 638 725,96 zł. Poziom kontraktacji kształtuje się na poziomie 73,5%. Po uwzględnieniu zmian</w:t>
      </w:r>
      <w:r w:rsidR="00E66B89">
        <w:rPr>
          <w:rFonts w:cs="Calibri"/>
          <w:szCs w:val="20"/>
        </w:rPr>
        <w:t xml:space="preserve"> w </w:t>
      </w:r>
      <w:r w:rsidRPr="000570F2">
        <w:rPr>
          <w:rFonts w:cs="Calibri"/>
          <w:szCs w:val="20"/>
        </w:rPr>
        <w:t>Programie, dostępna alokacja to 11 389 274,04 zł.</w:t>
      </w:r>
    </w:p>
    <w:p w14:paraId="11D0BDCC" w14:textId="77777777" w:rsidR="003E5F72" w:rsidRDefault="003E5F72" w:rsidP="003E5F72">
      <w:pPr>
        <w:rPr>
          <w:rFonts w:cs="Calibri"/>
          <w:szCs w:val="20"/>
        </w:rPr>
      </w:pPr>
      <w:r>
        <w:rPr>
          <w:rFonts w:cs="Calibri"/>
          <w:szCs w:val="20"/>
        </w:rPr>
        <w:lastRenderedPageBreak/>
        <w:t>Nieco odmiennie kształtuje się sytuacja</w:t>
      </w:r>
      <w:r w:rsidR="00E66B89">
        <w:rPr>
          <w:rFonts w:cs="Calibri"/>
          <w:szCs w:val="20"/>
        </w:rPr>
        <w:t xml:space="preserve"> w </w:t>
      </w:r>
      <w:r>
        <w:rPr>
          <w:rFonts w:cs="Calibri"/>
          <w:szCs w:val="20"/>
        </w:rPr>
        <w:t xml:space="preserve">ramach Działania 2.7 (wielorodzinne budynki mieszkalne). Dwa przeprowadzone nabory nie wyczerpały dostępnych środków. </w:t>
      </w:r>
      <w:r w:rsidRPr="000570F2">
        <w:rPr>
          <w:rFonts w:cs="Calibri"/>
          <w:szCs w:val="20"/>
        </w:rPr>
        <w:t>Działanie 2.7 ma obecnie (tj. na dzień 07.01.2019 r.) najniższy poziom kontraktacji spośród Działań dotyczących poprawy efektywności energetycznej budynków - 23,6%</w:t>
      </w:r>
      <w:r w:rsidR="00E66B89">
        <w:rPr>
          <w:rFonts w:cs="Calibri"/>
          <w:szCs w:val="20"/>
        </w:rPr>
        <w:t xml:space="preserve"> z </w:t>
      </w:r>
      <w:r w:rsidRPr="000570F2">
        <w:rPr>
          <w:rFonts w:cs="Calibri"/>
          <w:szCs w:val="20"/>
        </w:rPr>
        <w:t>uwzględnieniem środków rezerwy wykonania. Ogólna wartość realizowanych projektów wynosi 24 506 947,97 zł,</w:t>
      </w:r>
      <w:r w:rsidR="00E66B89">
        <w:rPr>
          <w:rFonts w:cs="Calibri"/>
          <w:szCs w:val="20"/>
        </w:rPr>
        <w:t xml:space="preserve"> z </w:t>
      </w:r>
      <w:r w:rsidRPr="000570F2">
        <w:rPr>
          <w:rFonts w:cs="Calibri"/>
          <w:szCs w:val="20"/>
        </w:rPr>
        <w:t>czego dofinansowanie UE to 12 898 817,38 zł.</w:t>
      </w:r>
      <w:r>
        <w:rPr>
          <w:szCs w:val="20"/>
        </w:rPr>
        <w:t xml:space="preserve"> </w:t>
      </w:r>
      <w:r>
        <w:rPr>
          <w:rFonts w:cs="Calibri"/>
          <w:szCs w:val="20"/>
        </w:rPr>
        <w:t>Działanie to dysponuje najwyższą dostępną na dzień 7.01.2019 r. alokacją spośród wszystkich działań realizujących zadania</w:t>
      </w:r>
      <w:r w:rsidR="00E66B89">
        <w:rPr>
          <w:rFonts w:cs="Calibri"/>
          <w:szCs w:val="20"/>
        </w:rPr>
        <w:t xml:space="preserve"> z </w:t>
      </w:r>
      <w:r>
        <w:rPr>
          <w:rFonts w:cs="Calibri"/>
          <w:szCs w:val="20"/>
        </w:rPr>
        <w:t>zakresu PI 4c (niemal 40 mln zł).</w:t>
      </w:r>
    </w:p>
    <w:p w14:paraId="100DE36D" w14:textId="77777777" w:rsidR="003E5F72" w:rsidRDefault="003E5F72" w:rsidP="003E5F72">
      <w:pPr>
        <w:rPr>
          <w:rFonts w:cs="Calibri"/>
          <w:szCs w:val="20"/>
        </w:rPr>
      </w:pPr>
      <w:r>
        <w:rPr>
          <w:rFonts w:cs="Calibri"/>
          <w:szCs w:val="20"/>
        </w:rPr>
        <w:t>Pierwszy nabór na Działanie 2.8 (wielorodzinne budynki mieszkalne ZIT SOM) zakończył się wnioskami złożonymi na kwotę znacznie niższą niż umożliwiał przewidziany budżet.</w:t>
      </w:r>
      <w:r w:rsidR="00E66B89">
        <w:rPr>
          <w:rFonts w:cs="Calibri"/>
          <w:szCs w:val="20"/>
        </w:rPr>
        <w:t xml:space="preserve"> Z </w:t>
      </w:r>
      <w:r>
        <w:rPr>
          <w:rFonts w:cs="Calibri"/>
          <w:szCs w:val="20"/>
        </w:rPr>
        <w:t>kolei drugi nabór – zgłoszeniami niemal dwukrotnie go przekraczającymi. N</w:t>
      </w:r>
      <w:r w:rsidRPr="000570F2">
        <w:rPr>
          <w:rFonts w:cs="Calibri"/>
          <w:szCs w:val="20"/>
        </w:rPr>
        <w:t>a dzień 7.01.2019 r. zawarto 16 umów</w:t>
      </w:r>
      <w:r w:rsidR="00E66B89">
        <w:rPr>
          <w:rFonts w:cs="Calibri"/>
          <w:szCs w:val="20"/>
        </w:rPr>
        <w:t xml:space="preserve"> o </w:t>
      </w:r>
      <w:r w:rsidRPr="000570F2">
        <w:rPr>
          <w:rFonts w:cs="Calibri"/>
          <w:szCs w:val="20"/>
        </w:rPr>
        <w:t>dofinansowanie. Wartość projektów ogółem to 25 411 136,28 zł, uwzględniając dofinansowanie UE</w:t>
      </w:r>
      <w:r w:rsidR="00E66B89">
        <w:rPr>
          <w:rFonts w:cs="Calibri"/>
          <w:szCs w:val="20"/>
        </w:rPr>
        <w:t xml:space="preserve"> w </w:t>
      </w:r>
      <w:r w:rsidRPr="000570F2">
        <w:rPr>
          <w:rFonts w:cs="Calibri"/>
          <w:szCs w:val="20"/>
        </w:rPr>
        <w:t>wysokości 20 686 624,08 zł. Alokacja na Działanie 2.8, na podstawie podpisanych umów</w:t>
      </w:r>
      <w:r w:rsidR="00E66B89">
        <w:rPr>
          <w:rFonts w:cs="Calibri"/>
          <w:szCs w:val="20"/>
        </w:rPr>
        <w:t xml:space="preserve"> o </w:t>
      </w:r>
      <w:r w:rsidRPr="000570F2">
        <w:rPr>
          <w:rFonts w:cs="Calibri"/>
          <w:szCs w:val="20"/>
        </w:rPr>
        <w:t>dofinansowanie, jest wykorzystana</w:t>
      </w:r>
      <w:r w:rsidR="00E66B89">
        <w:rPr>
          <w:rFonts w:cs="Calibri"/>
          <w:szCs w:val="20"/>
        </w:rPr>
        <w:t xml:space="preserve"> w </w:t>
      </w:r>
      <w:r w:rsidRPr="000570F2">
        <w:rPr>
          <w:rFonts w:cs="Calibri"/>
          <w:szCs w:val="20"/>
        </w:rPr>
        <w:t>96,2%. Dostępna alokacja kształtuje się na poziomie 827 375,92 zł.</w:t>
      </w:r>
      <w:r w:rsidR="00E66B89">
        <w:rPr>
          <w:rFonts w:cs="Calibri"/>
          <w:szCs w:val="20"/>
        </w:rPr>
        <w:t xml:space="preserve"> W </w:t>
      </w:r>
      <w:r>
        <w:rPr>
          <w:rFonts w:cs="Calibri"/>
          <w:szCs w:val="20"/>
        </w:rPr>
        <w:t>efekcie, po podpisaniu umów</w:t>
      </w:r>
      <w:r w:rsidR="00E66B89">
        <w:rPr>
          <w:rFonts w:cs="Calibri"/>
          <w:szCs w:val="20"/>
        </w:rPr>
        <w:t xml:space="preserve"> o </w:t>
      </w:r>
      <w:r>
        <w:rPr>
          <w:rFonts w:cs="Calibri"/>
          <w:szCs w:val="20"/>
        </w:rPr>
        <w:t>dofinansowanie, wyczerpana jest prawie cała alokacja na to działanie.</w:t>
      </w:r>
    </w:p>
    <w:p w14:paraId="7FDA756E" w14:textId="77777777" w:rsidR="003E5F72" w:rsidRDefault="003E5F72" w:rsidP="003E5F72">
      <w:pPr>
        <w:rPr>
          <w:rFonts w:cs="Calibri"/>
          <w:szCs w:val="20"/>
        </w:rPr>
      </w:pPr>
      <w:r>
        <w:rPr>
          <w:rFonts w:cs="Calibri"/>
          <w:szCs w:val="20"/>
        </w:rPr>
        <w:t>Nabór na projekty</w:t>
      </w:r>
      <w:r w:rsidR="00E66B89">
        <w:rPr>
          <w:rFonts w:cs="Calibri"/>
          <w:szCs w:val="20"/>
        </w:rPr>
        <w:t xml:space="preserve"> w </w:t>
      </w:r>
      <w:r>
        <w:rPr>
          <w:rFonts w:cs="Calibri"/>
          <w:szCs w:val="20"/>
        </w:rPr>
        <w:t>Działaniu 2.13 (obiekty użyteczności publicznej samorządu województwa) rozstrzygnięty zostanie</w:t>
      </w:r>
      <w:r w:rsidR="00E66B89">
        <w:rPr>
          <w:rFonts w:cs="Calibri"/>
          <w:szCs w:val="20"/>
        </w:rPr>
        <w:t xml:space="preserve"> w </w:t>
      </w:r>
      <w:r>
        <w:rPr>
          <w:rFonts w:cs="Calibri"/>
          <w:szCs w:val="20"/>
        </w:rPr>
        <w:t xml:space="preserve">październiku 2019. </w:t>
      </w:r>
    </w:p>
    <w:p w14:paraId="7AD7FCEF" w14:textId="77777777" w:rsidR="003E5F72" w:rsidRDefault="003E5F72" w:rsidP="003E5F72">
      <w:pPr>
        <w:rPr>
          <w:rFonts w:cs="Calibri"/>
          <w:szCs w:val="20"/>
        </w:rPr>
      </w:pPr>
      <w:r>
        <w:rPr>
          <w:rFonts w:cs="Calibri"/>
          <w:szCs w:val="20"/>
        </w:rPr>
        <w:t>Na dzień 7.01.2019 r. wykorzystano 66% alokacji na PI 4c. Dostępna alokacja pozwoliła na uruchomienie dodatkowego działania (2.15), związanego</w:t>
      </w:r>
      <w:r w:rsidR="00E66B89">
        <w:rPr>
          <w:rFonts w:cs="Calibri"/>
          <w:szCs w:val="20"/>
        </w:rPr>
        <w:t xml:space="preserve"> z </w:t>
      </w:r>
      <w:r>
        <w:rPr>
          <w:rFonts w:cs="Calibri"/>
          <w:szCs w:val="20"/>
        </w:rPr>
        <w:t>funkcjonowaniem Zachodniopomorskiego Programu Antysmogowego, które rozpocznie swoje funkcjonowanie</w:t>
      </w:r>
      <w:r w:rsidR="00E66B89">
        <w:rPr>
          <w:rFonts w:cs="Calibri"/>
          <w:szCs w:val="20"/>
        </w:rPr>
        <w:t xml:space="preserve"> w </w:t>
      </w:r>
      <w:r>
        <w:rPr>
          <w:rFonts w:cs="Calibri"/>
          <w:szCs w:val="20"/>
        </w:rPr>
        <w:t xml:space="preserve">roku 2019. </w:t>
      </w:r>
      <w:r w:rsidRPr="00943D7C">
        <w:rPr>
          <w:rFonts w:cs="Calibri"/>
          <w:szCs w:val="20"/>
        </w:rPr>
        <w:t>Będzie on skierowany do gmin</w:t>
      </w:r>
      <w:r w:rsidR="00E66B89">
        <w:rPr>
          <w:rFonts w:cs="Calibri"/>
          <w:szCs w:val="20"/>
        </w:rPr>
        <w:t xml:space="preserve"> w </w:t>
      </w:r>
      <w:r w:rsidRPr="00943D7C">
        <w:rPr>
          <w:rFonts w:cs="Calibri"/>
          <w:szCs w:val="20"/>
        </w:rPr>
        <w:t>ramach Zachodniopomorskiego Programu Antysmogowego. Kwota dofinansowania przeznaczona na ten nabór wynosi około 5 000 000 euro. Projekty będą związane</w:t>
      </w:r>
      <w:r w:rsidR="00E66B89">
        <w:rPr>
          <w:rFonts w:cs="Calibri"/>
          <w:szCs w:val="20"/>
        </w:rPr>
        <w:t xml:space="preserve"> z </w:t>
      </w:r>
      <w:r w:rsidRPr="00943D7C">
        <w:rPr>
          <w:rFonts w:cs="Calibri"/>
          <w:szCs w:val="20"/>
        </w:rPr>
        <w:t>modernizacją energetyczną budynk</w:t>
      </w:r>
      <w:r w:rsidRPr="00943D7C">
        <w:rPr>
          <w:rFonts w:cs="Calibri" w:hint="eastAsia"/>
          <w:szCs w:val="20"/>
        </w:rPr>
        <w:t>ó</w:t>
      </w:r>
      <w:r w:rsidRPr="00943D7C">
        <w:rPr>
          <w:rFonts w:cs="Calibri"/>
          <w:szCs w:val="20"/>
        </w:rPr>
        <w:t>w jednorodzinnych wraz</w:t>
      </w:r>
      <w:r w:rsidR="00E66B89">
        <w:rPr>
          <w:rFonts w:cs="Calibri"/>
          <w:szCs w:val="20"/>
        </w:rPr>
        <w:t xml:space="preserve"> z </w:t>
      </w:r>
      <w:r w:rsidRPr="00943D7C">
        <w:rPr>
          <w:rFonts w:cs="Calibri"/>
          <w:szCs w:val="20"/>
        </w:rPr>
        <w:t>wymian</w:t>
      </w:r>
      <w:r w:rsidRPr="00943D7C">
        <w:rPr>
          <w:rFonts w:cs="Calibri" w:hint="eastAsia"/>
          <w:szCs w:val="20"/>
        </w:rPr>
        <w:t>ą</w:t>
      </w:r>
      <w:r w:rsidRPr="00943D7C">
        <w:rPr>
          <w:rFonts w:cs="Calibri"/>
          <w:szCs w:val="20"/>
        </w:rPr>
        <w:t xml:space="preserve"> </w:t>
      </w:r>
      <w:r w:rsidRPr="00943D7C">
        <w:rPr>
          <w:rFonts w:cs="Calibri" w:hint="eastAsia"/>
          <w:szCs w:val="20"/>
        </w:rPr>
        <w:t>ź</w:t>
      </w:r>
      <w:r w:rsidRPr="00943D7C">
        <w:rPr>
          <w:rFonts w:cs="Calibri"/>
          <w:szCs w:val="20"/>
        </w:rPr>
        <w:t>r</w:t>
      </w:r>
      <w:r w:rsidRPr="00943D7C">
        <w:rPr>
          <w:rFonts w:cs="Calibri" w:hint="eastAsia"/>
          <w:szCs w:val="20"/>
        </w:rPr>
        <w:t>ó</w:t>
      </w:r>
      <w:r w:rsidRPr="00943D7C">
        <w:rPr>
          <w:rFonts w:cs="Calibri"/>
          <w:szCs w:val="20"/>
        </w:rPr>
        <w:t>de</w:t>
      </w:r>
      <w:r w:rsidRPr="00943D7C">
        <w:rPr>
          <w:rFonts w:cs="Calibri" w:hint="eastAsia"/>
          <w:szCs w:val="20"/>
        </w:rPr>
        <w:t>ł</w:t>
      </w:r>
      <w:r w:rsidRPr="00943D7C">
        <w:rPr>
          <w:rFonts w:cs="Calibri"/>
          <w:szCs w:val="20"/>
        </w:rPr>
        <w:t xml:space="preserve"> ciep</w:t>
      </w:r>
      <w:r w:rsidRPr="00943D7C">
        <w:rPr>
          <w:rFonts w:cs="Calibri" w:hint="eastAsia"/>
          <w:szCs w:val="20"/>
        </w:rPr>
        <w:t>ł</w:t>
      </w:r>
      <w:r w:rsidRPr="00943D7C">
        <w:rPr>
          <w:rFonts w:cs="Calibri"/>
          <w:szCs w:val="20"/>
        </w:rPr>
        <w:t>a na mniej emisyjne.</w:t>
      </w:r>
      <w:r>
        <w:rPr>
          <w:rFonts w:cs="Calibri"/>
          <w:szCs w:val="20"/>
        </w:rPr>
        <w:t xml:space="preserve"> Na pozostałe działania</w:t>
      </w:r>
      <w:r w:rsidR="00E66B89">
        <w:rPr>
          <w:rFonts w:cs="Calibri"/>
          <w:szCs w:val="20"/>
        </w:rPr>
        <w:t xml:space="preserve"> w </w:t>
      </w:r>
      <w:r>
        <w:rPr>
          <w:rFonts w:cs="Calibri"/>
          <w:szCs w:val="20"/>
        </w:rPr>
        <w:t>ramach PI 4c nie przewiduje się naborów</w:t>
      </w:r>
      <w:r w:rsidR="00E66B89">
        <w:rPr>
          <w:rFonts w:cs="Calibri"/>
          <w:szCs w:val="20"/>
        </w:rPr>
        <w:t xml:space="preserve"> w </w:t>
      </w:r>
      <w:r>
        <w:rPr>
          <w:rFonts w:cs="Calibri"/>
          <w:szCs w:val="20"/>
        </w:rPr>
        <w:t>roku 2019.</w:t>
      </w:r>
    </w:p>
    <w:p w14:paraId="4B0F6651" w14:textId="77777777" w:rsidR="003E5F72" w:rsidRPr="0033210A" w:rsidRDefault="003E5F72" w:rsidP="003E5F72">
      <w:pPr>
        <w:rPr>
          <w:rFonts w:cs="Calibri"/>
          <w:szCs w:val="20"/>
        </w:rPr>
      </w:pPr>
      <w:r>
        <w:rPr>
          <w:rFonts w:cs="Calibri"/>
          <w:szCs w:val="20"/>
        </w:rPr>
        <w:t>W ramach przeprowadzonego badania ilościowego 31% (104) ankietowanych zadeklarowało chęć złożenia wniosku</w:t>
      </w:r>
      <w:r w:rsidR="00E66B89">
        <w:rPr>
          <w:rFonts w:cs="Calibri"/>
          <w:szCs w:val="20"/>
        </w:rPr>
        <w:t xml:space="preserve"> o </w:t>
      </w:r>
      <w:r>
        <w:rPr>
          <w:rFonts w:cs="Calibri"/>
          <w:szCs w:val="20"/>
        </w:rPr>
        <w:t>dofinansowanie</w:t>
      </w:r>
      <w:r w:rsidR="00E66B89">
        <w:rPr>
          <w:rFonts w:cs="Calibri"/>
          <w:szCs w:val="20"/>
        </w:rPr>
        <w:t xml:space="preserve"> w </w:t>
      </w:r>
      <w:r>
        <w:rPr>
          <w:rFonts w:cs="Calibri"/>
          <w:szCs w:val="20"/>
        </w:rPr>
        <w:t>ramach Osi priorytetowej II. Spośród nich, aż 45% (47 respondentów) wyraża zainteresowanie Działaniem 2.5,</w:t>
      </w:r>
      <w:r w:rsidR="00E66B89">
        <w:rPr>
          <w:rFonts w:cs="Calibri"/>
          <w:szCs w:val="20"/>
        </w:rPr>
        <w:t xml:space="preserve"> a </w:t>
      </w:r>
      <w:r>
        <w:rPr>
          <w:rFonts w:cs="Calibri"/>
          <w:szCs w:val="20"/>
        </w:rPr>
        <w:t>22% - Działaniem 2.7. Niewielki odsetek potencjalnie widzi możliwość startu</w:t>
      </w:r>
      <w:r w:rsidR="00E66B89">
        <w:rPr>
          <w:rFonts w:cs="Calibri"/>
          <w:szCs w:val="20"/>
        </w:rPr>
        <w:t xml:space="preserve"> w </w:t>
      </w:r>
      <w:r>
        <w:rPr>
          <w:rFonts w:cs="Calibri"/>
          <w:szCs w:val="20"/>
        </w:rPr>
        <w:t>konkursach</w:t>
      </w:r>
      <w:r w:rsidR="00E66B89">
        <w:rPr>
          <w:rFonts w:cs="Calibri"/>
          <w:szCs w:val="20"/>
        </w:rPr>
        <w:t xml:space="preserve"> w </w:t>
      </w:r>
      <w:r>
        <w:rPr>
          <w:rFonts w:cs="Calibri"/>
          <w:szCs w:val="20"/>
        </w:rPr>
        <w:t>ramach Działania 2.6 (4%)</w:t>
      </w:r>
      <w:r w:rsidR="00E66B89">
        <w:rPr>
          <w:rFonts w:cs="Calibri"/>
          <w:szCs w:val="20"/>
        </w:rPr>
        <w:t xml:space="preserve"> i </w:t>
      </w:r>
      <w:r>
        <w:rPr>
          <w:rFonts w:cs="Calibri"/>
          <w:szCs w:val="20"/>
        </w:rPr>
        <w:t>2.8 (5%). Rozkład ten wynika</w:t>
      </w:r>
      <w:r w:rsidR="00E66B89">
        <w:rPr>
          <w:rFonts w:cs="Calibri"/>
          <w:szCs w:val="20"/>
        </w:rPr>
        <w:t xml:space="preserve"> z </w:t>
      </w:r>
      <w:r>
        <w:rPr>
          <w:rFonts w:cs="Calibri"/>
          <w:szCs w:val="20"/>
        </w:rPr>
        <w:t>charakteru poszczególnych działań. Te dedykowane obszarowi realizacji ZIT SOM będą odznaczać się niższym względnym zainteresowaniem. Poziom przygotowania projektów jest najbardziej zaawansowany</w:t>
      </w:r>
      <w:r w:rsidR="00E66B89">
        <w:rPr>
          <w:rFonts w:cs="Calibri"/>
          <w:szCs w:val="20"/>
        </w:rPr>
        <w:t xml:space="preserve"> w </w:t>
      </w:r>
      <w:r>
        <w:rPr>
          <w:rFonts w:cs="Calibri"/>
          <w:szCs w:val="20"/>
        </w:rPr>
        <w:t>przypadku Działania 2.5 – 41% respondentów stwierdziło, że posiada przygotowane dokumenty formalne do złożenia wniosku.</w:t>
      </w:r>
    </w:p>
    <w:p w14:paraId="28D51741" w14:textId="77777777" w:rsidR="003E5F72" w:rsidRPr="00EE23EC" w:rsidRDefault="003E5F72" w:rsidP="003E5F72">
      <w:pPr>
        <w:rPr>
          <w:rFonts w:cs="Calibri"/>
          <w:szCs w:val="20"/>
        </w:rPr>
      </w:pPr>
      <w:r>
        <w:rPr>
          <w:rFonts w:cs="Calibri"/>
          <w:szCs w:val="20"/>
        </w:rPr>
        <w:t>W ramach PI 4c (Działanie 2.5, 2.6, 2.7, 2.8, 2.13</w:t>
      </w:r>
      <w:r w:rsidR="00E66B89">
        <w:rPr>
          <w:rFonts w:cs="Calibri"/>
          <w:szCs w:val="20"/>
        </w:rPr>
        <w:t xml:space="preserve"> i </w:t>
      </w:r>
      <w:r>
        <w:rPr>
          <w:rFonts w:cs="Calibri"/>
          <w:szCs w:val="20"/>
        </w:rPr>
        <w:t>2.15) nie identyfikuje się potencjału absorpcyjnego do przyjęcia dodatkowych środków. Pozostałe dostępne środki powinny zostać wykorzystane, jednakże dodatkowe środki</w:t>
      </w:r>
      <w:r w:rsidR="00E66B89">
        <w:rPr>
          <w:rFonts w:cs="Calibri"/>
          <w:szCs w:val="20"/>
        </w:rPr>
        <w:t xml:space="preserve"> z </w:t>
      </w:r>
      <w:r>
        <w:rPr>
          <w:rFonts w:cs="Calibri"/>
          <w:szCs w:val="20"/>
        </w:rPr>
        <w:t>dużym prawdopodobieństwem nie byłyby wydatkowane. Wyłącznie jeden nabór</w:t>
      </w:r>
      <w:r w:rsidR="00E66B89">
        <w:rPr>
          <w:rFonts w:cs="Calibri"/>
          <w:szCs w:val="20"/>
        </w:rPr>
        <w:t xml:space="preserve"> w </w:t>
      </w:r>
      <w:r>
        <w:rPr>
          <w:rFonts w:cs="Calibri"/>
          <w:szCs w:val="20"/>
        </w:rPr>
        <w:t>ramach powyżej wymienionych działań nie pozwolił na umieszczenie na liście rankingowej wszystkich złożonych wniosków</w:t>
      </w:r>
      <w:r w:rsidR="00E66B89">
        <w:rPr>
          <w:rFonts w:cs="Calibri"/>
          <w:szCs w:val="20"/>
        </w:rPr>
        <w:t xml:space="preserve"> o </w:t>
      </w:r>
      <w:r>
        <w:rPr>
          <w:rFonts w:cs="Calibri"/>
          <w:szCs w:val="20"/>
        </w:rPr>
        <w:t>dofinansowanie. Budżety naborów były</w:t>
      </w:r>
      <w:r w:rsidR="00E66B89">
        <w:rPr>
          <w:rFonts w:cs="Calibri"/>
          <w:szCs w:val="20"/>
        </w:rPr>
        <w:t xml:space="preserve"> w </w:t>
      </w:r>
      <w:r>
        <w:rPr>
          <w:rFonts w:cs="Calibri"/>
          <w:szCs w:val="20"/>
        </w:rPr>
        <w:t>części przypadków zbyt niskie</w:t>
      </w:r>
      <w:r w:rsidR="00E66B89">
        <w:rPr>
          <w:rFonts w:cs="Calibri"/>
          <w:szCs w:val="20"/>
        </w:rPr>
        <w:t xml:space="preserve"> w </w:t>
      </w:r>
      <w:r>
        <w:rPr>
          <w:rFonts w:cs="Calibri"/>
          <w:szCs w:val="20"/>
        </w:rPr>
        <w:t>stosunku do zgłaszanych potrzeb, jednakże ostatecznie łączne kwoty podpisanych umów często nie wyczerpywały wówczas dostępnych budżetów. Obecne uwarunkowania panujące na rynku budowlanym zakłócają postęp projektów, przez co możliwe są utrudnienia</w:t>
      </w:r>
      <w:r w:rsidR="00E66B89">
        <w:rPr>
          <w:rFonts w:cs="Calibri"/>
          <w:szCs w:val="20"/>
        </w:rPr>
        <w:t xml:space="preserve"> w </w:t>
      </w:r>
      <w:r>
        <w:rPr>
          <w:rFonts w:cs="Calibri"/>
          <w:szCs w:val="20"/>
        </w:rPr>
        <w:t>realizacji harmonogramów. Mimo zainteresowania projektami</w:t>
      </w:r>
      <w:r w:rsidR="00E66B89">
        <w:rPr>
          <w:rFonts w:cs="Calibri"/>
          <w:szCs w:val="20"/>
        </w:rPr>
        <w:t xml:space="preserve"> z </w:t>
      </w:r>
      <w:r>
        <w:rPr>
          <w:rFonts w:cs="Calibri"/>
          <w:szCs w:val="20"/>
        </w:rPr>
        <w:t>zakresu modernizacji energetycznej budynków, obserwowane są rezygnacje</w:t>
      </w:r>
      <w:r w:rsidR="00E66B89">
        <w:rPr>
          <w:rFonts w:cs="Calibri"/>
          <w:szCs w:val="20"/>
        </w:rPr>
        <w:t xml:space="preserve"> z </w:t>
      </w:r>
      <w:r>
        <w:rPr>
          <w:rFonts w:cs="Calibri"/>
          <w:szCs w:val="20"/>
        </w:rPr>
        <w:t>zawarcia umowy</w:t>
      </w:r>
      <w:r w:rsidR="00E66B89">
        <w:rPr>
          <w:rFonts w:cs="Calibri"/>
          <w:szCs w:val="20"/>
        </w:rPr>
        <w:t xml:space="preserve"> o </w:t>
      </w:r>
      <w:r>
        <w:rPr>
          <w:rFonts w:cs="Calibri"/>
          <w:szCs w:val="20"/>
        </w:rPr>
        <w:t>dofinansowanie, rozwiązywanie umów bądź wycofywanie się wnioskodawców przed rozstrzygnięciem naboru.</w:t>
      </w:r>
    </w:p>
    <w:p w14:paraId="11E9ECB0"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lastRenderedPageBreak/>
        <w:t>Prognozy osiągnięcia celów zakładanych na 2023 rok</w:t>
      </w:r>
    </w:p>
    <w:p w14:paraId="5629C7C5" w14:textId="77777777" w:rsidR="003E5F72" w:rsidRPr="00404DA5" w:rsidRDefault="003E5F72" w:rsidP="003E5F72">
      <w:pPr>
        <w:rPr>
          <w:rFonts w:cs="Calibri"/>
          <w:szCs w:val="20"/>
        </w:rPr>
      </w:pPr>
      <w:r w:rsidRPr="00404DA5">
        <w:rPr>
          <w:rFonts w:cs="Calibri"/>
          <w:szCs w:val="20"/>
        </w:rPr>
        <w:t xml:space="preserve">Według stanu na 7.01.2019 r., na realizację wskaźnika </w:t>
      </w:r>
      <w:r w:rsidRPr="00404DA5">
        <w:rPr>
          <w:rFonts w:cs="Calibri"/>
          <w:i/>
          <w:szCs w:val="20"/>
        </w:rPr>
        <w:t xml:space="preserve">Liczba zmodernizowanych energetycznie budynków </w:t>
      </w:r>
      <w:r w:rsidRPr="00404DA5">
        <w:rPr>
          <w:rFonts w:cs="Calibri"/>
          <w:szCs w:val="20"/>
        </w:rPr>
        <w:t>pozostało 71 530 040,63 zł. Wykonanie jednej jednostki wskaźnika wiąże się</w:t>
      </w:r>
      <w:r w:rsidR="00E66B89">
        <w:rPr>
          <w:rFonts w:cs="Calibri"/>
          <w:szCs w:val="20"/>
        </w:rPr>
        <w:t xml:space="preserve"> z </w:t>
      </w:r>
      <w:r w:rsidRPr="00404DA5">
        <w:rPr>
          <w:rFonts w:cs="Calibri"/>
          <w:szCs w:val="20"/>
        </w:rPr>
        <w:t xml:space="preserve">kosztem 718 550,75 zł (przy uwzględnieniu inflacji będzie wynosić 742 765,91 zł). Przeznaczenie pozostałych środków na ten wskaźnik pozwoli na przekroczenie jego wartości docelowej 3,3-krotnie. </w:t>
      </w:r>
    </w:p>
    <w:p w14:paraId="1BE1B460" w14:textId="77777777" w:rsidR="003E5F72" w:rsidRPr="00404DA5" w:rsidRDefault="003E5F72" w:rsidP="003E5F72">
      <w:pPr>
        <w:rPr>
          <w:rFonts w:cs="Calibri"/>
          <w:szCs w:val="20"/>
        </w:rPr>
      </w:pPr>
      <w:r w:rsidRPr="00404DA5">
        <w:rPr>
          <w:rFonts w:cs="Calibri"/>
          <w:szCs w:val="20"/>
        </w:rPr>
        <w:t xml:space="preserve">Realizacja wskaźnika </w:t>
      </w:r>
      <w:r w:rsidRPr="00404DA5">
        <w:rPr>
          <w:rFonts w:cs="Calibri"/>
          <w:i/>
          <w:szCs w:val="20"/>
        </w:rPr>
        <w:t>Szacowany roczny spadek emisji gazów cieplarnianych</w:t>
      </w:r>
      <w:r w:rsidRPr="00404DA5">
        <w:rPr>
          <w:rFonts w:cs="Calibri"/>
          <w:szCs w:val="20"/>
        </w:rPr>
        <w:t xml:space="preserve"> będzie mogła zostać uzupełniona za pomocą dostępnej alokacji</w:t>
      </w:r>
      <w:r w:rsidR="00E66B89">
        <w:rPr>
          <w:rFonts w:cs="Calibri"/>
          <w:szCs w:val="20"/>
        </w:rPr>
        <w:t xml:space="preserve"> w </w:t>
      </w:r>
      <w:r w:rsidRPr="00404DA5">
        <w:rPr>
          <w:rFonts w:cs="Calibri"/>
          <w:szCs w:val="20"/>
        </w:rPr>
        <w:t>wysokości 71 530 040,63 zł. Koszt jednostkowy wskaźnika wynosi 7 374,98 zł (przy uwzględnieniu inflacji wzrośnie do 7 623,52 zł). Przeznaczenie pozostałych środków na ten wskaźnik pozwoli na wykonanie jego wartości docelowej</w:t>
      </w:r>
      <w:r w:rsidR="00E66B89">
        <w:rPr>
          <w:rFonts w:cs="Calibri"/>
          <w:szCs w:val="20"/>
        </w:rPr>
        <w:t xml:space="preserve"> z </w:t>
      </w:r>
      <w:r w:rsidRPr="00404DA5">
        <w:rPr>
          <w:rFonts w:cs="Calibri"/>
          <w:szCs w:val="20"/>
        </w:rPr>
        <w:t>ponad 20%-ową nadwyżką.</w:t>
      </w:r>
    </w:p>
    <w:p w14:paraId="3CD17841" w14:textId="77777777" w:rsidR="003E5F72" w:rsidRPr="00404DA5" w:rsidRDefault="003E5F72" w:rsidP="003E5F72">
      <w:pPr>
        <w:rPr>
          <w:rFonts w:cs="Calibri"/>
          <w:szCs w:val="20"/>
        </w:rPr>
      </w:pPr>
      <w:r w:rsidRPr="00404DA5">
        <w:rPr>
          <w:rFonts w:cs="Calibri"/>
          <w:szCs w:val="20"/>
        </w:rPr>
        <w:t xml:space="preserve">Wskaźnik </w:t>
      </w:r>
      <w:r w:rsidRPr="00404DA5">
        <w:rPr>
          <w:rFonts w:cs="Calibri"/>
          <w:i/>
          <w:szCs w:val="20"/>
        </w:rPr>
        <w:t>Liczba gospodarstw domowych</w:t>
      </w:r>
      <w:r w:rsidR="00E66B89">
        <w:rPr>
          <w:rFonts w:cs="Calibri"/>
          <w:i/>
          <w:szCs w:val="20"/>
        </w:rPr>
        <w:t xml:space="preserve"> z </w:t>
      </w:r>
      <w:r w:rsidRPr="00404DA5">
        <w:rPr>
          <w:rFonts w:cs="Calibri"/>
          <w:i/>
          <w:szCs w:val="20"/>
        </w:rPr>
        <w:t>ulepszoną klasą energetyczną</w:t>
      </w:r>
      <w:r w:rsidRPr="00404DA5">
        <w:rPr>
          <w:rFonts w:cs="Calibri"/>
          <w:szCs w:val="20"/>
        </w:rPr>
        <w:t xml:space="preserve"> do 2023 roku będzie realizowany za pomocą środków</w:t>
      </w:r>
      <w:r w:rsidR="00E66B89">
        <w:rPr>
          <w:rFonts w:cs="Calibri"/>
          <w:szCs w:val="20"/>
        </w:rPr>
        <w:t xml:space="preserve"> w </w:t>
      </w:r>
      <w:r w:rsidRPr="00404DA5">
        <w:rPr>
          <w:rFonts w:cs="Calibri"/>
          <w:szCs w:val="20"/>
        </w:rPr>
        <w:t>wysokości 39 993 216,28 zł. Podpisane umowy</w:t>
      </w:r>
      <w:r w:rsidR="00E66B89">
        <w:rPr>
          <w:rFonts w:cs="Calibri"/>
          <w:szCs w:val="20"/>
        </w:rPr>
        <w:t xml:space="preserve"> o </w:t>
      </w:r>
      <w:r w:rsidRPr="00404DA5">
        <w:rPr>
          <w:rFonts w:cs="Calibri"/>
          <w:szCs w:val="20"/>
        </w:rPr>
        <w:t>dofinansowanie wskazują na koszt jednostkowy wskaźnika</w:t>
      </w:r>
      <w:r w:rsidR="00E66B89">
        <w:rPr>
          <w:rFonts w:cs="Calibri"/>
          <w:szCs w:val="20"/>
        </w:rPr>
        <w:t xml:space="preserve"> w </w:t>
      </w:r>
      <w:r w:rsidRPr="00404DA5">
        <w:rPr>
          <w:rFonts w:cs="Calibri"/>
          <w:szCs w:val="20"/>
        </w:rPr>
        <w:t>wysokości 21 785,18 zł (przy uwzględnieniu inflacji będzie wynosić 22 519,34 zł). Przeznaczenie dostępnych środków na ten wskaźnik pozwoli na wykonanie jego wartości docelowej</w:t>
      </w:r>
      <w:r w:rsidR="00E66B89">
        <w:rPr>
          <w:rFonts w:cs="Calibri"/>
          <w:szCs w:val="20"/>
        </w:rPr>
        <w:t xml:space="preserve"> z </w:t>
      </w:r>
      <w:r w:rsidRPr="00404DA5">
        <w:rPr>
          <w:rFonts w:cs="Calibri"/>
          <w:szCs w:val="20"/>
        </w:rPr>
        <w:t>około 7,4-krotną nadwyżką.</w:t>
      </w:r>
    </w:p>
    <w:p w14:paraId="4AFF23FD" w14:textId="77777777" w:rsidR="003E5F72" w:rsidRPr="00404DA5" w:rsidRDefault="003E5F72" w:rsidP="003E5F72">
      <w:pPr>
        <w:rPr>
          <w:rFonts w:cs="Calibri"/>
          <w:szCs w:val="20"/>
        </w:rPr>
      </w:pPr>
      <w:r w:rsidRPr="00404DA5">
        <w:rPr>
          <w:rFonts w:cs="Calibri"/>
          <w:szCs w:val="20"/>
        </w:rPr>
        <w:t xml:space="preserve">Na realizację wskaźnika </w:t>
      </w:r>
      <w:r w:rsidRPr="00404DA5">
        <w:rPr>
          <w:rFonts w:cs="Calibri"/>
          <w:i/>
          <w:szCs w:val="20"/>
        </w:rPr>
        <w:t>Zmniejszenie rocznego zużycia energii pierwotnej</w:t>
      </w:r>
      <w:r w:rsidR="00E66B89">
        <w:rPr>
          <w:rFonts w:cs="Calibri"/>
          <w:i/>
          <w:szCs w:val="20"/>
        </w:rPr>
        <w:t xml:space="preserve"> w </w:t>
      </w:r>
      <w:r w:rsidRPr="00404DA5">
        <w:rPr>
          <w:rFonts w:cs="Calibri"/>
          <w:i/>
          <w:szCs w:val="20"/>
        </w:rPr>
        <w:t>budynkach publicznych</w:t>
      </w:r>
      <w:r w:rsidRPr="00404DA5">
        <w:rPr>
          <w:rFonts w:cs="Calibri"/>
          <w:szCs w:val="20"/>
        </w:rPr>
        <w:t xml:space="preserve"> pozostało 31 761 184,64 zł. Według podpisanych umów</w:t>
      </w:r>
      <w:r w:rsidR="00E66B89">
        <w:rPr>
          <w:rFonts w:cs="Calibri"/>
          <w:szCs w:val="20"/>
        </w:rPr>
        <w:t xml:space="preserve"> o </w:t>
      </w:r>
      <w:r w:rsidRPr="00404DA5">
        <w:rPr>
          <w:rFonts w:cs="Calibri"/>
          <w:szCs w:val="20"/>
        </w:rPr>
        <w:t>dofinansowanie, koszt jednostkowy wskaźnika to 2,33 zł (przy uwzględnieniu inflacji będzie wynosić 2,41 zł). Przeznaczenie dostępnych środków na ten wskaźnik pozwoli na wykonanie jego wartości docelowej</w:t>
      </w:r>
      <w:r w:rsidR="00E66B89">
        <w:rPr>
          <w:rFonts w:cs="Calibri"/>
          <w:szCs w:val="20"/>
        </w:rPr>
        <w:t xml:space="preserve"> z </w:t>
      </w:r>
      <w:r w:rsidRPr="00404DA5">
        <w:rPr>
          <w:rFonts w:cs="Calibri"/>
          <w:szCs w:val="20"/>
        </w:rPr>
        <w:t>ponad 35%-ową nadwyżką.</w:t>
      </w:r>
    </w:p>
    <w:p w14:paraId="39147A9A" w14:textId="77777777" w:rsidR="003E5F72" w:rsidRPr="00404DA5" w:rsidRDefault="003E5F72" w:rsidP="003E5F72">
      <w:pPr>
        <w:rPr>
          <w:rFonts w:cs="Calibri"/>
          <w:szCs w:val="20"/>
        </w:rPr>
      </w:pPr>
      <w:r w:rsidRPr="00404DA5">
        <w:rPr>
          <w:rFonts w:cs="Calibri"/>
          <w:szCs w:val="20"/>
        </w:rPr>
        <w:t>Na dzień 11.02.2019 r.,</w:t>
      </w:r>
      <w:r w:rsidR="00E66B89">
        <w:rPr>
          <w:rFonts w:cs="Calibri"/>
          <w:szCs w:val="20"/>
        </w:rPr>
        <w:t xml:space="preserve"> w </w:t>
      </w:r>
      <w:r w:rsidRPr="00404DA5">
        <w:rPr>
          <w:rFonts w:cs="Calibri"/>
          <w:szCs w:val="20"/>
        </w:rPr>
        <w:t>ocenie znajdowało się 6 wniosków</w:t>
      </w:r>
      <w:r w:rsidR="00E66B89">
        <w:rPr>
          <w:rFonts w:cs="Calibri"/>
          <w:szCs w:val="20"/>
        </w:rPr>
        <w:t xml:space="preserve"> o </w:t>
      </w:r>
      <w:r w:rsidRPr="00404DA5">
        <w:rPr>
          <w:rFonts w:cs="Calibri"/>
          <w:szCs w:val="20"/>
        </w:rPr>
        <w:t>dofinansowanie</w:t>
      </w:r>
      <w:r w:rsidR="00E66B89">
        <w:rPr>
          <w:rFonts w:cs="Calibri"/>
          <w:szCs w:val="20"/>
        </w:rPr>
        <w:t xml:space="preserve"> w </w:t>
      </w:r>
      <w:r w:rsidRPr="00404DA5">
        <w:rPr>
          <w:rFonts w:cs="Calibri"/>
          <w:szCs w:val="20"/>
        </w:rPr>
        <w:t xml:space="preserve">ramach Działania 2.6 na kwotę dofinansowania UE 11 833 069,03 zł. Projekty, które zostaną wybrane do dofinansowania, będą przyczyniać się do realizacji wszystkich wskaźników poza </w:t>
      </w:r>
      <w:r w:rsidRPr="00404DA5">
        <w:rPr>
          <w:rFonts w:cs="Calibri"/>
          <w:i/>
          <w:szCs w:val="20"/>
        </w:rPr>
        <w:t>Liczba gospodarstw domowych</w:t>
      </w:r>
      <w:r w:rsidR="00E66B89">
        <w:rPr>
          <w:rFonts w:cs="Calibri"/>
          <w:i/>
          <w:szCs w:val="20"/>
        </w:rPr>
        <w:t xml:space="preserve"> z </w:t>
      </w:r>
      <w:r w:rsidRPr="00404DA5">
        <w:rPr>
          <w:rFonts w:cs="Calibri"/>
          <w:i/>
          <w:szCs w:val="20"/>
        </w:rPr>
        <w:t>ulepszoną klasą energetyczną</w:t>
      </w:r>
      <w:r w:rsidRPr="00404DA5">
        <w:rPr>
          <w:rFonts w:cs="Calibri"/>
          <w:szCs w:val="20"/>
        </w:rPr>
        <w:t>.</w:t>
      </w:r>
    </w:p>
    <w:p w14:paraId="61B029AE" w14:textId="77777777" w:rsidR="003E5F72" w:rsidRPr="00404DA5" w:rsidRDefault="003E5F72" w:rsidP="003E5F72">
      <w:pPr>
        <w:rPr>
          <w:rFonts w:cs="Calibri"/>
          <w:szCs w:val="20"/>
        </w:rPr>
      </w:pPr>
      <w:r w:rsidRPr="00404DA5">
        <w:rPr>
          <w:rFonts w:cs="Calibri"/>
          <w:szCs w:val="20"/>
        </w:rPr>
        <w:t>Szczególną uwagę należy zwrócić na Działanie 2.13 oraz 2.15, które również będą realizować cele Programu, lecz dotychczas nie podpisano jeszcze umów</w:t>
      </w:r>
      <w:r w:rsidR="00E66B89">
        <w:rPr>
          <w:rFonts w:cs="Calibri"/>
          <w:szCs w:val="20"/>
        </w:rPr>
        <w:t xml:space="preserve"> o </w:t>
      </w:r>
      <w:r w:rsidRPr="00404DA5">
        <w:rPr>
          <w:rFonts w:cs="Calibri"/>
          <w:szCs w:val="20"/>
        </w:rPr>
        <w:t>dofinansowanie.</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planowanym wsparciem budynków użyteczności publicznej samorządu województwa (Działanie 2.13), spodziewać się można projektów dobrze przygotowanych,</w:t>
      </w:r>
      <w:r w:rsidR="00E66B89">
        <w:rPr>
          <w:rFonts w:cs="Calibri"/>
          <w:szCs w:val="20"/>
        </w:rPr>
        <w:t xml:space="preserve"> a </w:t>
      </w:r>
      <w:r w:rsidRPr="00404DA5">
        <w:rPr>
          <w:rFonts w:cs="Calibri"/>
          <w:szCs w:val="20"/>
        </w:rPr>
        <w:t>także prawdopodobne jest wyczerpanie puli środków dostępnych na nabór. Jeśli chodzi zaś</w:t>
      </w:r>
      <w:r w:rsidR="00E66B89">
        <w:rPr>
          <w:rFonts w:cs="Calibri"/>
          <w:szCs w:val="20"/>
        </w:rPr>
        <w:t xml:space="preserve"> o </w:t>
      </w:r>
      <w:r w:rsidRPr="00404DA5">
        <w:rPr>
          <w:rFonts w:cs="Calibri"/>
          <w:szCs w:val="20"/>
        </w:rPr>
        <w:t>Działanie 2.15,</w:t>
      </w:r>
      <w:r w:rsidR="00E66B89">
        <w:rPr>
          <w:rFonts w:cs="Calibri"/>
          <w:szCs w:val="20"/>
        </w:rPr>
        <w:t xml:space="preserve"> w </w:t>
      </w:r>
      <w:r w:rsidRPr="00404DA5">
        <w:rPr>
          <w:rFonts w:cs="Calibri"/>
          <w:szCs w:val="20"/>
        </w:rPr>
        <w:t>grudniu 2018 r.</w:t>
      </w:r>
      <w:r w:rsidR="00E66B89">
        <w:rPr>
          <w:rFonts w:cs="Calibri"/>
          <w:szCs w:val="20"/>
        </w:rPr>
        <w:t xml:space="preserve"> w </w:t>
      </w:r>
      <w:r w:rsidRPr="00404DA5">
        <w:rPr>
          <w:rFonts w:cs="Calibri"/>
          <w:szCs w:val="20"/>
        </w:rPr>
        <w:t>województwie zachodniopomorskim została przyjęta uchwała antysmogowa. Urząd Marszałkowski Województwa Zachodniopomorskiego uruchomił</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powyższym</w:t>
      </w:r>
      <w:r w:rsidR="00E66B89">
        <w:rPr>
          <w:rFonts w:cs="Calibri"/>
          <w:szCs w:val="20"/>
        </w:rPr>
        <w:t xml:space="preserve"> w </w:t>
      </w:r>
      <w:r w:rsidRPr="00404DA5">
        <w:rPr>
          <w:rFonts w:cs="Calibri"/>
          <w:szCs w:val="20"/>
        </w:rPr>
        <w:t>ramach RPO WZ 2014-2020 Zachodniopomorski Program Antysmogowy, przesuwając</w:t>
      </w:r>
      <w:r w:rsidR="00E66B89">
        <w:rPr>
          <w:rFonts w:cs="Calibri"/>
          <w:szCs w:val="20"/>
        </w:rPr>
        <w:t xml:space="preserve"> z </w:t>
      </w:r>
      <w:r w:rsidRPr="00404DA5">
        <w:rPr>
          <w:rFonts w:cs="Calibri"/>
          <w:szCs w:val="20"/>
        </w:rPr>
        <w:t>Działania 2.7 do Działania 2.15 środki</w:t>
      </w:r>
      <w:r w:rsidR="00E66B89">
        <w:rPr>
          <w:rFonts w:cs="Calibri"/>
          <w:szCs w:val="20"/>
        </w:rPr>
        <w:t xml:space="preserve"> w </w:t>
      </w:r>
      <w:r w:rsidRPr="00404DA5">
        <w:rPr>
          <w:rFonts w:cs="Calibri"/>
          <w:szCs w:val="20"/>
        </w:rPr>
        <w:t xml:space="preserve">wysokości 5 000 000 euro. Przesunięte środki nie zakłócą realizacji wskaźnika </w:t>
      </w:r>
      <w:r w:rsidRPr="00404DA5">
        <w:rPr>
          <w:rFonts w:cs="Calibri"/>
          <w:i/>
          <w:szCs w:val="20"/>
        </w:rPr>
        <w:t>Liczba gospodarstw domowych</w:t>
      </w:r>
      <w:r w:rsidR="00E66B89">
        <w:rPr>
          <w:rFonts w:cs="Calibri"/>
          <w:i/>
          <w:szCs w:val="20"/>
        </w:rPr>
        <w:t xml:space="preserve"> z </w:t>
      </w:r>
      <w:r w:rsidRPr="00404DA5">
        <w:rPr>
          <w:rFonts w:cs="Calibri"/>
          <w:i/>
          <w:szCs w:val="20"/>
        </w:rPr>
        <w:t>ulepszoną klasą energetyczną</w:t>
      </w:r>
      <w:r w:rsidRPr="00404DA5">
        <w:rPr>
          <w:rFonts w:cs="Calibri"/>
          <w:szCs w:val="20"/>
        </w:rPr>
        <w:t xml:space="preserve"> ze względu na ten sam typ odbiorcy ostatecznego wsparcia.</w:t>
      </w:r>
      <w:r w:rsidR="00E66B89">
        <w:rPr>
          <w:rFonts w:cs="Calibri"/>
          <w:szCs w:val="20"/>
        </w:rPr>
        <w:t xml:space="preserve"> W </w:t>
      </w:r>
      <w:r w:rsidRPr="00404DA5">
        <w:rPr>
          <w:rFonts w:cs="Calibri"/>
          <w:szCs w:val="20"/>
        </w:rPr>
        <w:t>marcu 2019 r. przeprowadzony zostanie nabór na projekty parasolowe, których odbiorcami ostatecznymi mają stać się mieszkańcy domów jednorodzinnych.</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przejęciem przez gminy głównych zobowiązań za należytą realizację tego typu projektu, można spodziewać się zainteresowania wykonywaniem częściowej lub całkowitej termomodernizacji.</w:t>
      </w:r>
      <w:r w:rsidR="00483EEF">
        <w:rPr>
          <w:rFonts w:cs="Calibri"/>
          <w:szCs w:val="20"/>
        </w:rPr>
        <w:t xml:space="preserve"> </w:t>
      </w:r>
      <w:r w:rsidRPr="00404DA5">
        <w:rPr>
          <w:rFonts w:cs="Calibri"/>
          <w:szCs w:val="20"/>
        </w:rPr>
        <w:t>Działanie 2.15 jest wsparciem konkurencyjnym dla programu „Czyste Powietrze”, jednak na korzyść wsparcia RPO WZ można ocenić możliwość przejęcia znacznej części zobowiązań przez gminę startującą</w:t>
      </w:r>
      <w:r w:rsidR="00E66B89">
        <w:rPr>
          <w:rFonts w:cs="Calibri"/>
          <w:szCs w:val="20"/>
        </w:rPr>
        <w:t xml:space="preserve"> w </w:t>
      </w:r>
      <w:r w:rsidRPr="00404DA5">
        <w:rPr>
          <w:rFonts w:cs="Calibri"/>
          <w:szCs w:val="20"/>
        </w:rPr>
        <w:t>konkursie</w:t>
      </w:r>
      <w:r w:rsidR="00E66B89">
        <w:rPr>
          <w:rFonts w:cs="Calibri"/>
          <w:szCs w:val="20"/>
        </w:rPr>
        <w:t xml:space="preserve"> i </w:t>
      </w:r>
      <w:r w:rsidRPr="00404DA5">
        <w:rPr>
          <w:rFonts w:cs="Calibri"/>
          <w:szCs w:val="20"/>
        </w:rPr>
        <w:t>realizującą projekt.</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poprawą świadomości społecznej związaną</w:t>
      </w:r>
      <w:r w:rsidR="00E66B89">
        <w:rPr>
          <w:rFonts w:cs="Calibri"/>
          <w:szCs w:val="20"/>
        </w:rPr>
        <w:t xml:space="preserve"> z </w:t>
      </w:r>
      <w:r w:rsidRPr="00404DA5">
        <w:rPr>
          <w:rFonts w:cs="Calibri"/>
          <w:szCs w:val="20"/>
        </w:rPr>
        <w:t>potrzebą dbałości</w:t>
      </w:r>
      <w:r w:rsidR="00E66B89">
        <w:rPr>
          <w:rFonts w:cs="Calibri"/>
          <w:szCs w:val="20"/>
        </w:rPr>
        <w:t xml:space="preserve"> o </w:t>
      </w:r>
      <w:r w:rsidRPr="00404DA5">
        <w:rPr>
          <w:rFonts w:cs="Calibri"/>
          <w:szCs w:val="20"/>
        </w:rPr>
        <w:t>jakość powietrza</w:t>
      </w:r>
      <w:r w:rsidR="00E66B89">
        <w:rPr>
          <w:rFonts w:cs="Calibri"/>
          <w:szCs w:val="20"/>
        </w:rPr>
        <w:t xml:space="preserve"> i </w:t>
      </w:r>
      <w:r w:rsidRPr="00404DA5">
        <w:rPr>
          <w:rFonts w:cs="Calibri"/>
          <w:szCs w:val="20"/>
        </w:rPr>
        <w:t>zapobiegania zmianom klimatu, przewiduje się możliwość przekroczenia budżetu założonego na nabór</w:t>
      </w:r>
      <w:r w:rsidR="00E66B89">
        <w:rPr>
          <w:rFonts w:cs="Calibri"/>
          <w:szCs w:val="20"/>
        </w:rPr>
        <w:t xml:space="preserve"> w </w:t>
      </w:r>
      <w:r w:rsidRPr="00404DA5">
        <w:rPr>
          <w:rFonts w:cs="Calibri"/>
          <w:szCs w:val="20"/>
        </w:rPr>
        <w:t>Działaniu 2.15</w:t>
      </w:r>
      <w:r w:rsidR="00E66B89">
        <w:rPr>
          <w:rFonts w:cs="Calibri"/>
          <w:szCs w:val="20"/>
        </w:rPr>
        <w:t xml:space="preserve"> w </w:t>
      </w:r>
      <w:r w:rsidRPr="00404DA5">
        <w:rPr>
          <w:rFonts w:cs="Calibri"/>
          <w:szCs w:val="20"/>
        </w:rPr>
        <w:t>złożonych wnioskach</w:t>
      </w:r>
      <w:r w:rsidR="00E66B89">
        <w:rPr>
          <w:rFonts w:cs="Calibri"/>
          <w:szCs w:val="20"/>
        </w:rPr>
        <w:t xml:space="preserve"> o </w:t>
      </w:r>
      <w:r w:rsidRPr="00404DA5">
        <w:rPr>
          <w:rFonts w:cs="Calibri"/>
          <w:szCs w:val="20"/>
        </w:rPr>
        <w:t xml:space="preserve">dofinansowanie. </w:t>
      </w:r>
    </w:p>
    <w:p w14:paraId="3E3BD9D8" w14:textId="77777777" w:rsidR="003E5F72" w:rsidRPr="006E34DC" w:rsidRDefault="003E5F72" w:rsidP="006E34DC">
      <w:pPr>
        <w:pStyle w:val="Legenda"/>
        <w:spacing w:after="0"/>
      </w:pPr>
      <w:bookmarkStart w:id="82" w:name="_Toc8824135"/>
      <w:r w:rsidRPr="00404DA5">
        <w:lastRenderedPageBreak/>
        <w:t xml:space="preserve">Tabela </w:t>
      </w:r>
      <w:r w:rsidR="00B72A80">
        <w:fldChar w:fldCharType="begin"/>
      </w:r>
      <w:r w:rsidR="00B72A80">
        <w:instrText xml:space="preserve"> SEQ Tabela \* ARABIC </w:instrText>
      </w:r>
      <w:r w:rsidR="00B72A80">
        <w:fldChar w:fldCharType="separate"/>
      </w:r>
      <w:r w:rsidR="00763345">
        <w:rPr>
          <w:noProof/>
        </w:rPr>
        <w:t>24</w:t>
      </w:r>
      <w:r w:rsidR="00B72A80">
        <w:fldChar w:fldCharType="end"/>
      </w:r>
      <w:r w:rsidRPr="00404DA5">
        <w:t xml:space="preserve"> Prognozowany poziom realizacji wskaźników produktu na rok 2023 – PI 4c</w:t>
      </w:r>
      <w:bookmarkEnd w:id="82"/>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702"/>
        <w:gridCol w:w="1385"/>
        <w:gridCol w:w="1961"/>
        <w:gridCol w:w="1965"/>
      </w:tblGrid>
      <w:tr w:rsidR="003E5F72" w:rsidRPr="00FE43CD" w14:paraId="57842B94" w14:textId="77777777" w:rsidTr="00C22C26">
        <w:trPr>
          <w:trHeight w:val="959"/>
          <w:tblHeader/>
        </w:trPr>
        <w:tc>
          <w:tcPr>
            <w:tcW w:w="446" w:type="pct"/>
            <w:shd w:val="clear" w:color="auto" w:fill="DBE5F1"/>
            <w:vAlign w:val="center"/>
          </w:tcPr>
          <w:p w14:paraId="192100F3" w14:textId="77777777" w:rsidR="003E5F72" w:rsidRPr="00404DA5" w:rsidRDefault="003E5F72" w:rsidP="00337858">
            <w:pPr>
              <w:jc w:val="center"/>
              <w:rPr>
                <w:rFonts w:cs="Calibri"/>
                <w:sz w:val="16"/>
                <w:szCs w:val="18"/>
              </w:rPr>
            </w:pPr>
            <w:r w:rsidRPr="00404DA5">
              <w:rPr>
                <w:rFonts w:cs="Calibri"/>
                <w:sz w:val="16"/>
                <w:szCs w:val="18"/>
              </w:rPr>
              <w:t>Typ wskaźnika</w:t>
            </w:r>
          </w:p>
        </w:tc>
        <w:tc>
          <w:tcPr>
            <w:tcW w:w="1529" w:type="pct"/>
            <w:shd w:val="clear" w:color="auto" w:fill="DBE5F1"/>
            <w:vAlign w:val="center"/>
          </w:tcPr>
          <w:p w14:paraId="222E16B6" w14:textId="77777777" w:rsidR="003E5F72" w:rsidRPr="00404DA5" w:rsidRDefault="003E5F72" w:rsidP="00337858">
            <w:pPr>
              <w:jc w:val="center"/>
              <w:rPr>
                <w:rFonts w:cs="Calibri"/>
                <w:sz w:val="16"/>
                <w:szCs w:val="18"/>
              </w:rPr>
            </w:pPr>
            <w:r w:rsidRPr="00404DA5">
              <w:rPr>
                <w:rFonts w:cs="Calibri"/>
                <w:sz w:val="16"/>
                <w:szCs w:val="18"/>
              </w:rPr>
              <w:t>Wskaźnik</w:t>
            </w:r>
          </w:p>
        </w:tc>
        <w:tc>
          <w:tcPr>
            <w:tcW w:w="793" w:type="pct"/>
            <w:shd w:val="clear" w:color="auto" w:fill="DBE5F1"/>
            <w:vAlign w:val="center"/>
          </w:tcPr>
          <w:p w14:paraId="5D2A12F1" w14:textId="77777777" w:rsidR="003E5F72" w:rsidRPr="00404DA5" w:rsidRDefault="003E5F72" w:rsidP="00337858">
            <w:pPr>
              <w:jc w:val="center"/>
              <w:rPr>
                <w:rFonts w:cs="Calibri"/>
                <w:sz w:val="16"/>
                <w:szCs w:val="18"/>
              </w:rPr>
            </w:pPr>
            <w:r w:rsidRPr="00404DA5">
              <w:rPr>
                <w:rFonts w:cs="Calibri"/>
                <w:sz w:val="16"/>
                <w:szCs w:val="18"/>
              </w:rPr>
              <w:t>Wartość docelowa określona na 2023 rok</w:t>
            </w:r>
          </w:p>
        </w:tc>
        <w:tc>
          <w:tcPr>
            <w:tcW w:w="1115" w:type="pct"/>
            <w:shd w:val="clear" w:color="auto" w:fill="DBE5F1"/>
            <w:vAlign w:val="center"/>
          </w:tcPr>
          <w:p w14:paraId="322584B0" w14:textId="77777777" w:rsidR="003E5F72" w:rsidRPr="00404DA5" w:rsidRDefault="003E5F72" w:rsidP="00337858">
            <w:pPr>
              <w:jc w:val="center"/>
              <w:rPr>
                <w:rFonts w:cs="Calibri"/>
                <w:sz w:val="16"/>
                <w:szCs w:val="18"/>
              </w:rPr>
            </w:pPr>
            <w:r w:rsidRPr="00404DA5">
              <w:rPr>
                <w:rFonts w:cs="Calibri"/>
                <w:sz w:val="16"/>
                <w:szCs w:val="18"/>
              </w:rPr>
              <w:t>Prognozowana całkowita wartość wskaźnika</w:t>
            </w:r>
          </w:p>
        </w:tc>
        <w:tc>
          <w:tcPr>
            <w:tcW w:w="1118" w:type="pct"/>
            <w:shd w:val="clear" w:color="auto" w:fill="DBE5F1"/>
            <w:vAlign w:val="center"/>
          </w:tcPr>
          <w:p w14:paraId="6460254F" w14:textId="77777777" w:rsidR="003E5F72" w:rsidRPr="00404DA5" w:rsidRDefault="003E5F72" w:rsidP="00337858">
            <w:pPr>
              <w:jc w:val="center"/>
              <w:rPr>
                <w:rFonts w:cs="Calibri"/>
                <w:sz w:val="16"/>
                <w:szCs w:val="18"/>
              </w:rPr>
            </w:pPr>
            <w:r w:rsidRPr="00404DA5">
              <w:rPr>
                <w:rFonts w:cs="Calibri"/>
                <w:sz w:val="16"/>
                <w:szCs w:val="18"/>
              </w:rPr>
              <w:t>Prognozowany % realizacji wartości docelowej</w:t>
            </w:r>
          </w:p>
        </w:tc>
      </w:tr>
      <w:tr w:rsidR="003E5F72" w:rsidRPr="00FE43CD" w14:paraId="6489036B" w14:textId="77777777" w:rsidTr="00CD0FE5">
        <w:trPr>
          <w:trHeight w:val="657"/>
        </w:trPr>
        <w:tc>
          <w:tcPr>
            <w:tcW w:w="446" w:type="pct"/>
            <w:shd w:val="clear" w:color="auto" w:fill="auto"/>
            <w:vAlign w:val="center"/>
          </w:tcPr>
          <w:p w14:paraId="0488AB7B" w14:textId="77777777" w:rsidR="003E5F72" w:rsidRPr="00404DA5" w:rsidRDefault="003E5F72" w:rsidP="00CD0FE5">
            <w:pPr>
              <w:jc w:val="center"/>
              <w:rPr>
                <w:rFonts w:cs="Calibri"/>
                <w:sz w:val="18"/>
                <w:szCs w:val="18"/>
              </w:rPr>
            </w:pPr>
            <w:r w:rsidRPr="00404DA5">
              <w:rPr>
                <w:rFonts w:cs="Calibri"/>
                <w:sz w:val="18"/>
                <w:szCs w:val="18"/>
              </w:rPr>
              <w:t>WP</w:t>
            </w:r>
          </w:p>
        </w:tc>
        <w:tc>
          <w:tcPr>
            <w:tcW w:w="1529" w:type="pct"/>
            <w:shd w:val="clear" w:color="auto" w:fill="auto"/>
          </w:tcPr>
          <w:p w14:paraId="0A273194" w14:textId="77777777" w:rsidR="003E5F72" w:rsidRPr="00404DA5" w:rsidRDefault="003E5F72" w:rsidP="00FF60A0">
            <w:pPr>
              <w:rPr>
                <w:rFonts w:cs="Calibri"/>
                <w:sz w:val="18"/>
                <w:szCs w:val="18"/>
              </w:rPr>
            </w:pPr>
            <w:r w:rsidRPr="00404DA5">
              <w:rPr>
                <w:rFonts w:cs="Calibri"/>
                <w:sz w:val="18"/>
                <w:szCs w:val="18"/>
              </w:rPr>
              <w:t>Liczba zmodernizowanych energetycznie budynków</w:t>
            </w:r>
          </w:p>
        </w:tc>
        <w:tc>
          <w:tcPr>
            <w:tcW w:w="793" w:type="pct"/>
            <w:shd w:val="clear" w:color="auto" w:fill="auto"/>
            <w:vAlign w:val="center"/>
          </w:tcPr>
          <w:p w14:paraId="1CA5AE78" w14:textId="77777777" w:rsidR="003E5F72" w:rsidRPr="00404DA5" w:rsidRDefault="003E5F72" w:rsidP="00CD0FE5">
            <w:pPr>
              <w:jc w:val="center"/>
              <w:rPr>
                <w:rFonts w:cs="Calibri"/>
                <w:sz w:val="18"/>
                <w:szCs w:val="18"/>
              </w:rPr>
            </w:pPr>
            <w:r w:rsidRPr="00404DA5">
              <w:rPr>
                <w:rFonts w:cs="Calibri"/>
                <w:sz w:val="18"/>
                <w:szCs w:val="18"/>
              </w:rPr>
              <w:t>119</w:t>
            </w:r>
          </w:p>
        </w:tc>
        <w:tc>
          <w:tcPr>
            <w:tcW w:w="1115" w:type="pct"/>
            <w:shd w:val="clear" w:color="auto" w:fill="auto"/>
            <w:vAlign w:val="center"/>
          </w:tcPr>
          <w:p w14:paraId="1B22F1CF" w14:textId="77777777" w:rsidR="003E5F72" w:rsidRPr="00404DA5" w:rsidRDefault="003E5F72" w:rsidP="00CD0FE5">
            <w:pPr>
              <w:jc w:val="center"/>
              <w:rPr>
                <w:rFonts w:cs="Calibri"/>
                <w:sz w:val="18"/>
                <w:szCs w:val="18"/>
              </w:rPr>
            </w:pPr>
            <w:r w:rsidRPr="00404DA5">
              <w:rPr>
                <w:rFonts w:cs="Calibri"/>
                <w:sz w:val="18"/>
                <w:szCs w:val="18"/>
              </w:rPr>
              <w:t>396</w:t>
            </w:r>
          </w:p>
        </w:tc>
        <w:tc>
          <w:tcPr>
            <w:tcW w:w="1118" w:type="pct"/>
            <w:shd w:val="clear" w:color="auto" w:fill="auto"/>
            <w:vAlign w:val="center"/>
          </w:tcPr>
          <w:p w14:paraId="26A35F3A" w14:textId="77777777" w:rsidR="003E5F72" w:rsidRPr="00404DA5" w:rsidRDefault="003E5F72" w:rsidP="00CD0FE5">
            <w:pPr>
              <w:jc w:val="center"/>
              <w:rPr>
                <w:rFonts w:cs="Calibri"/>
                <w:sz w:val="18"/>
                <w:szCs w:val="18"/>
              </w:rPr>
            </w:pPr>
            <w:r w:rsidRPr="00404DA5">
              <w:rPr>
                <w:rFonts w:cs="Calibri"/>
                <w:sz w:val="18"/>
                <w:szCs w:val="18"/>
              </w:rPr>
              <w:t>333%</w:t>
            </w:r>
          </w:p>
        </w:tc>
      </w:tr>
      <w:tr w:rsidR="003E5F72" w:rsidRPr="00FE43CD" w14:paraId="7282EE93" w14:textId="77777777" w:rsidTr="00CD0FE5">
        <w:trPr>
          <w:trHeight w:val="672"/>
        </w:trPr>
        <w:tc>
          <w:tcPr>
            <w:tcW w:w="446" w:type="pct"/>
            <w:shd w:val="clear" w:color="auto" w:fill="auto"/>
            <w:vAlign w:val="center"/>
          </w:tcPr>
          <w:p w14:paraId="7755076B" w14:textId="77777777" w:rsidR="003E5F72" w:rsidRPr="00404DA5" w:rsidRDefault="003E5F72" w:rsidP="00CD0FE5">
            <w:pPr>
              <w:jc w:val="center"/>
              <w:rPr>
                <w:rFonts w:cs="Calibri"/>
                <w:sz w:val="18"/>
                <w:szCs w:val="18"/>
              </w:rPr>
            </w:pPr>
            <w:r w:rsidRPr="00404DA5">
              <w:rPr>
                <w:rFonts w:cs="Calibri"/>
                <w:sz w:val="18"/>
                <w:szCs w:val="18"/>
              </w:rPr>
              <w:t>WP</w:t>
            </w:r>
          </w:p>
        </w:tc>
        <w:tc>
          <w:tcPr>
            <w:tcW w:w="1529" w:type="pct"/>
            <w:shd w:val="clear" w:color="auto" w:fill="auto"/>
          </w:tcPr>
          <w:p w14:paraId="140A9520" w14:textId="77777777" w:rsidR="003E5F72" w:rsidRPr="00404DA5" w:rsidRDefault="003E5F72" w:rsidP="00FF60A0">
            <w:pPr>
              <w:rPr>
                <w:rFonts w:cs="Calibri"/>
                <w:sz w:val="18"/>
                <w:szCs w:val="18"/>
              </w:rPr>
            </w:pPr>
            <w:r w:rsidRPr="00404DA5">
              <w:rPr>
                <w:rFonts w:cs="Calibri"/>
                <w:sz w:val="18"/>
                <w:szCs w:val="18"/>
              </w:rPr>
              <w:t>Szacowany roczny spadek emisji gazów cieplarnianych</w:t>
            </w:r>
          </w:p>
        </w:tc>
        <w:tc>
          <w:tcPr>
            <w:tcW w:w="793" w:type="pct"/>
            <w:shd w:val="clear" w:color="auto" w:fill="auto"/>
            <w:vAlign w:val="center"/>
          </w:tcPr>
          <w:p w14:paraId="7507ACD6" w14:textId="77777777" w:rsidR="003E5F72" w:rsidRPr="00404DA5" w:rsidRDefault="003E5F72" w:rsidP="00CD0FE5">
            <w:pPr>
              <w:jc w:val="center"/>
              <w:rPr>
                <w:rFonts w:cs="Calibri"/>
                <w:sz w:val="18"/>
                <w:szCs w:val="18"/>
              </w:rPr>
            </w:pPr>
            <w:r w:rsidRPr="00404DA5">
              <w:rPr>
                <w:rFonts w:cs="Calibri"/>
                <w:sz w:val="18"/>
                <w:szCs w:val="18"/>
              </w:rPr>
              <w:t>23 615</w:t>
            </w:r>
          </w:p>
        </w:tc>
        <w:tc>
          <w:tcPr>
            <w:tcW w:w="1115" w:type="pct"/>
            <w:shd w:val="clear" w:color="auto" w:fill="auto"/>
            <w:vAlign w:val="center"/>
          </w:tcPr>
          <w:p w14:paraId="427E8122" w14:textId="77777777" w:rsidR="003E5F72" w:rsidRPr="00404DA5" w:rsidRDefault="003E5F72" w:rsidP="00CD0FE5">
            <w:pPr>
              <w:jc w:val="center"/>
              <w:rPr>
                <w:rFonts w:cs="Calibri"/>
                <w:sz w:val="18"/>
                <w:szCs w:val="18"/>
              </w:rPr>
            </w:pPr>
            <w:r w:rsidRPr="00404DA5">
              <w:rPr>
                <w:rFonts w:cs="Calibri"/>
                <w:sz w:val="18"/>
                <w:szCs w:val="18"/>
              </w:rPr>
              <w:t>29 092</w:t>
            </w:r>
          </w:p>
        </w:tc>
        <w:tc>
          <w:tcPr>
            <w:tcW w:w="1118" w:type="pct"/>
            <w:shd w:val="clear" w:color="auto" w:fill="auto"/>
            <w:vAlign w:val="center"/>
          </w:tcPr>
          <w:p w14:paraId="0A2CC4B4" w14:textId="77777777" w:rsidR="003E5F72" w:rsidRPr="00404DA5" w:rsidRDefault="003E5F72" w:rsidP="00CD0FE5">
            <w:pPr>
              <w:jc w:val="center"/>
              <w:rPr>
                <w:rFonts w:cs="Calibri"/>
                <w:sz w:val="18"/>
                <w:szCs w:val="18"/>
              </w:rPr>
            </w:pPr>
            <w:r w:rsidRPr="00404DA5">
              <w:rPr>
                <w:rFonts w:cs="Calibri"/>
                <w:sz w:val="18"/>
                <w:szCs w:val="18"/>
              </w:rPr>
              <w:t>123%</w:t>
            </w:r>
          </w:p>
        </w:tc>
      </w:tr>
      <w:tr w:rsidR="003E5F72" w:rsidRPr="00FE43CD" w14:paraId="6F1E716E" w14:textId="77777777" w:rsidTr="00CD0FE5">
        <w:trPr>
          <w:trHeight w:val="672"/>
        </w:trPr>
        <w:tc>
          <w:tcPr>
            <w:tcW w:w="446" w:type="pct"/>
            <w:shd w:val="clear" w:color="auto" w:fill="auto"/>
            <w:vAlign w:val="center"/>
          </w:tcPr>
          <w:p w14:paraId="24077EA8" w14:textId="77777777" w:rsidR="003E5F72" w:rsidRPr="00404DA5" w:rsidRDefault="003E5F72" w:rsidP="00CD0FE5">
            <w:pPr>
              <w:jc w:val="center"/>
              <w:rPr>
                <w:rFonts w:cs="Calibri"/>
                <w:sz w:val="18"/>
                <w:szCs w:val="18"/>
              </w:rPr>
            </w:pPr>
            <w:r w:rsidRPr="00404DA5">
              <w:rPr>
                <w:rFonts w:cs="Calibri"/>
                <w:sz w:val="18"/>
                <w:szCs w:val="18"/>
              </w:rPr>
              <w:t>WP</w:t>
            </w:r>
          </w:p>
        </w:tc>
        <w:tc>
          <w:tcPr>
            <w:tcW w:w="1529" w:type="pct"/>
            <w:shd w:val="clear" w:color="auto" w:fill="auto"/>
          </w:tcPr>
          <w:p w14:paraId="4E92B33F" w14:textId="77777777" w:rsidR="003E5F72" w:rsidRPr="00404DA5" w:rsidRDefault="003E5F72" w:rsidP="00FF60A0">
            <w:pPr>
              <w:rPr>
                <w:rFonts w:cs="Calibri"/>
                <w:sz w:val="18"/>
                <w:szCs w:val="18"/>
              </w:rPr>
            </w:pPr>
            <w:r w:rsidRPr="00404DA5">
              <w:rPr>
                <w:rFonts w:cs="Calibri"/>
                <w:sz w:val="18"/>
                <w:szCs w:val="18"/>
              </w:rPr>
              <w:t>Liczba gospodarstw domowych</w:t>
            </w:r>
            <w:r w:rsidR="00E66B89">
              <w:rPr>
                <w:rFonts w:cs="Calibri"/>
                <w:sz w:val="18"/>
                <w:szCs w:val="18"/>
              </w:rPr>
              <w:t xml:space="preserve"> z </w:t>
            </w:r>
            <w:r w:rsidRPr="00404DA5">
              <w:rPr>
                <w:rFonts w:cs="Calibri"/>
                <w:sz w:val="18"/>
                <w:szCs w:val="18"/>
              </w:rPr>
              <w:t>ulepszoną klasą energetyczną</w:t>
            </w:r>
          </w:p>
        </w:tc>
        <w:tc>
          <w:tcPr>
            <w:tcW w:w="793" w:type="pct"/>
            <w:shd w:val="clear" w:color="auto" w:fill="auto"/>
            <w:vAlign w:val="center"/>
          </w:tcPr>
          <w:p w14:paraId="6CF344E9" w14:textId="77777777" w:rsidR="003E5F72" w:rsidRPr="00404DA5" w:rsidRDefault="003E5F72" w:rsidP="00CD0FE5">
            <w:pPr>
              <w:jc w:val="center"/>
              <w:rPr>
                <w:rFonts w:cs="Calibri"/>
                <w:sz w:val="18"/>
                <w:szCs w:val="18"/>
              </w:rPr>
            </w:pPr>
            <w:r w:rsidRPr="00404DA5">
              <w:rPr>
                <w:rFonts w:cs="Calibri"/>
                <w:sz w:val="18"/>
                <w:szCs w:val="18"/>
              </w:rPr>
              <w:t>568</w:t>
            </w:r>
          </w:p>
        </w:tc>
        <w:tc>
          <w:tcPr>
            <w:tcW w:w="1115" w:type="pct"/>
            <w:shd w:val="clear" w:color="auto" w:fill="auto"/>
            <w:vAlign w:val="center"/>
          </w:tcPr>
          <w:p w14:paraId="4BA7945B" w14:textId="77777777" w:rsidR="003E5F72" w:rsidRPr="00404DA5" w:rsidRDefault="003E5F72" w:rsidP="00CD0FE5">
            <w:pPr>
              <w:jc w:val="center"/>
              <w:rPr>
                <w:rFonts w:cs="Calibri"/>
                <w:sz w:val="18"/>
                <w:szCs w:val="18"/>
              </w:rPr>
            </w:pPr>
            <w:r w:rsidRPr="00404DA5">
              <w:rPr>
                <w:rFonts w:cs="Calibri"/>
                <w:sz w:val="18"/>
                <w:szCs w:val="18"/>
              </w:rPr>
              <w:t>4 211</w:t>
            </w:r>
          </w:p>
        </w:tc>
        <w:tc>
          <w:tcPr>
            <w:tcW w:w="1118" w:type="pct"/>
            <w:shd w:val="clear" w:color="auto" w:fill="auto"/>
            <w:vAlign w:val="center"/>
          </w:tcPr>
          <w:p w14:paraId="76F34EAE" w14:textId="77777777" w:rsidR="003E5F72" w:rsidRPr="00404DA5" w:rsidRDefault="003E5F72" w:rsidP="00CD0FE5">
            <w:pPr>
              <w:jc w:val="center"/>
              <w:rPr>
                <w:rFonts w:cs="Calibri"/>
                <w:sz w:val="18"/>
                <w:szCs w:val="18"/>
              </w:rPr>
            </w:pPr>
            <w:r w:rsidRPr="00404DA5">
              <w:rPr>
                <w:rFonts w:cs="Calibri"/>
                <w:sz w:val="18"/>
                <w:szCs w:val="18"/>
              </w:rPr>
              <w:t>741%</w:t>
            </w:r>
          </w:p>
        </w:tc>
      </w:tr>
      <w:tr w:rsidR="003E5F72" w:rsidRPr="00FE43CD" w14:paraId="03E97183" w14:textId="77777777" w:rsidTr="00CD0FE5">
        <w:trPr>
          <w:trHeight w:val="672"/>
        </w:trPr>
        <w:tc>
          <w:tcPr>
            <w:tcW w:w="446" w:type="pct"/>
            <w:shd w:val="clear" w:color="auto" w:fill="auto"/>
            <w:vAlign w:val="center"/>
          </w:tcPr>
          <w:p w14:paraId="7DF26B7D" w14:textId="77777777" w:rsidR="003E5F72" w:rsidRPr="00404DA5" w:rsidRDefault="003E5F72" w:rsidP="00CD0FE5">
            <w:pPr>
              <w:jc w:val="center"/>
              <w:rPr>
                <w:rFonts w:cs="Calibri"/>
                <w:sz w:val="18"/>
                <w:szCs w:val="18"/>
              </w:rPr>
            </w:pPr>
            <w:r w:rsidRPr="00404DA5">
              <w:rPr>
                <w:rFonts w:cs="Calibri"/>
                <w:sz w:val="18"/>
                <w:szCs w:val="18"/>
              </w:rPr>
              <w:t>WP</w:t>
            </w:r>
          </w:p>
        </w:tc>
        <w:tc>
          <w:tcPr>
            <w:tcW w:w="1529" w:type="pct"/>
            <w:shd w:val="clear" w:color="auto" w:fill="auto"/>
          </w:tcPr>
          <w:p w14:paraId="58129537" w14:textId="77777777" w:rsidR="003E5F72" w:rsidRPr="00404DA5" w:rsidRDefault="003E5F72" w:rsidP="00FF60A0">
            <w:pPr>
              <w:rPr>
                <w:rFonts w:cs="Calibri"/>
                <w:sz w:val="18"/>
                <w:szCs w:val="18"/>
              </w:rPr>
            </w:pPr>
            <w:r w:rsidRPr="00404DA5">
              <w:rPr>
                <w:rFonts w:cs="Calibri"/>
                <w:sz w:val="18"/>
                <w:szCs w:val="18"/>
              </w:rPr>
              <w:t>Zmniejszenie rocznego zużycia energii pierwotnej</w:t>
            </w:r>
            <w:r w:rsidR="00E66B89">
              <w:rPr>
                <w:rFonts w:cs="Calibri"/>
                <w:sz w:val="18"/>
                <w:szCs w:val="18"/>
              </w:rPr>
              <w:t xml:space="preserve"> w </w:t>
            </w:r>
            <w:r w:rsidRPr="00404DA5">
              <w:rPr>
                <w:rFonts w:cs="Calibri"/>
                <w:sz w:val="18"/>
                <w:szCs w:val="18"/>
              </w:rPr>
              <w:t>budynkach publicznych</w:t>
            </w:r>
          </w:p>
        </w:tc>
        <w:tc>
          <w:tcPr>
            <w:tcW w:w="793" w:type="pct"/>
            <w:shd w:val="clear" w:color="auto" w:fill="auto"/>
            <w:vAlign w:val="center"/>
          </w:tcPr>
          <w:p w14:paraId="5BF35418" w14:textId="77777777" w:rsidR="003E5F72" w:rsidRPr="00404DA5" w:rsidRDefault="003E5F72" w:rsidP="00CD0FE5">
            <w:pPr>
              <w:jc w:val="center"/>
              <w:rPr>
                <w:rFonts w:cs="Calibri"/>
                <w:sz w:val="18"/>
                <w:szCs w:val="18"/>
              </w:rPr>
            </w:pPr>
            <w:r w:rsidRPr="00404DA5">
              <w:rPr>
                <w:rFonts w:cs="Calibri"/>
                <w:sz w:val="18"/>
                <w:szCs w:val="18"/>
              </w:rPr>
              <w:t>40 382 230</w:t>
            </w:r>
          </w:p>
        </w:tc>
        <w:tc>
          <w:tcPr>
            <w:tcW w:w="1115" w:type="pct"/>
            <w:shd w:val="clear" w:color="auto" w:fill="auto"/>
            <w:vAlign w:val="center"/>
          </w:tcPr>
          <w:p w14:paraId="20EDF2E3" w14:textId="77777777" w:rsidR="003E5F72" w:rsidRPr="00404DA5" w:rsidRDefault="003E5F72" w:rsidP="00CD0FE5">
            <w:pPr>
              <w:jc w:val="center"/>
              <w:rPr>
                <w:rFonts w:cs="Calibri"/>
                <w:sz w:val="18"/>
                <w:szCs w:val="18"/>
              </w:rPr>
            </w:pPr>
            <w:r w:rsidRPr="00404DA5">
              <w:rPr>
                <w:rFonts w:cs="Calibri"/>
                <w:sz w:val="18"/>
                <w:szCs w:val="18"/>
              </w:rPr>
              <w:t>55 398 811</w:t>
            </w:r>
          </w:p>
        </w:tc>
        <w:tc>
          <w:tcPr>
            <w:tcW w:w="1118" w:type="pct"/>
            <w:shd w:val="clear" w:color="auto" w:fill="auto"/>
            <w:vAlign w:val="center"/>
          </w:tcPr>
          <w:p w14:paraId="638BC3F5" w14:textId="77777777" w:rsidR="003E5F72" w:rsidRPr="00404DA5" w:rsidRDefault="003E5F72" w:rsidP="00CD0FE5">
            <w:pPr>
              <w:jc w:val="center"/>
              <w:rPr>
                <w:rFonts w:cs="Calibri"/>
                <w:sz w:val="18"/>
                <w:szCs w:val="18"/>
              </w:rPr>
            </w:pPr>
            <w:r w:rsidRPr="00404DA5">
              <w:rPr>
                <w:rFonts w:cs="Calibri"/>
                <w:sz w:val="18"/>
                <w:szCs w:val="18"/>
              </w:rPr>
              <w:t>137%</w:t>
            </w:r>
          </w:p>
        </w:tc>
      </w:tr>
    </w:tbl>
    <w:p w14:paraId="2DB46A76" w14:textId="77777777" w:rsidR="003E5F72" w:rsidRPr="002A5FDF" w:rsidRDefault="003E5F72"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 xml:space="preserve">analizy własne. </w:t>
      </w:r>
    </w:p>
    <w:p w14:paraId="7D64E95C" w14:textId="77777777" w:rsidR="003E5F72" w:rsidRPr="00404DA5" w:rsidRDefault="003E5F72" w:rsidP="003E5F72">
      <w:pPr>
        <w:rPr>
          <w:rFonts w:cs="Calibri"/>
          <w:szCs w:val="20"/>
        </w:rPr>
      </w:pPr>
      <w:r w:rsidRPr="00404DA5">
        <w:rPr>
          <w:rFonts w:cs="Calibri"/>
          <w:szCs w:val="20"/>
        </w:rPr>
        <w:t>Podsumowując, aktualny stan wdrażania RPO WZ 2014-2020 zapewnia realizację wartości docelowych wskaźników określonych na rok 2023,</w:t>
      </w:r>
      <w:r w:rsidR="00E66B89">
        <w:rPr>
          <w:rFonts w:cs="Calibri"/>
          <w:szCs w:val="20"/>
        </w:rPr>
        <w:t xml:space="preserve"> a </w:t>
      </w:r>
      <w:r w:rsidRPr="00404DA5">
        <w:rPr>
          <w:rFonts w:cs="Calibri"/>
          <w:szCs w:val="20"/>
        </w:rPr>
        <w:t>dostępne środki finansowe pozwolą na realizację zobowiązań finansowych</w:t>
      </w:r>
      <w:r w:rsidR="00E66B89">
        <w:rPr>
          <w:rFonts w:cs="Calibri"/>
          <w:szCs w:val="20"/>
        </w:rPr>
        <w:t xml:space="preserve"> i </w:t>
      </w:r>
      <w:r w:rsidRPr="00404DA5">
        <w:rPr>
          <w:rFonts w:cs="Calibri"/>
          <w:szCs w:val="20"/>
        </w:rPr>
        <w:t>pokryją zapotrzebowanie zgłaszane przez wnioskodawców. Zwiększenie alokacji na PI 4c nie wpłynie znacząco na poziom osiągniętych efektów ze względu na pozytywny postęp rzeczowy</w:t>
      </w:r>
      <w:r w:rsidR="00E66B89">
        <w:rPr>
          <w:rFonts w:cs="Calibri"/>
          <w:szCs w:val="20"/>
        </w:rPr>
        <w:t xml:space="preserve"> i </w:t>
      </w:r>
      <w:r w:rsidRPr="00404DA5">
        <w:rPr>
          <w:rFonts w:cs="Calibri"/>
          <w:szCs w:val="20"/>
        </w:rPr>
        <w:t>wypełnienie wartości docelowych prawie wszystkich wskaźników na etapie śródokresowym. Na uwagę zasługuje fakt uwarunkowań panujących na rynku budowlanym, zakłócających terminowy postęp projektów</w:t>
      </w:r>
      <w:r w:rsidR="00E66B89">
        <w:rPr>
          <w:rFonts w:cs="Calibri"/>
          <w:szCs w:val="20"/>
        </w:rPr>
        <w:t xml:space="preserve"> w </w:t>
      </w:r>
      <w:r w:rsidRPr="00404DA5">
        <w:rPr>
          <w:rFonts w:cs="Calibri"/>
          <w:szCs w:val="20"/>
        </w:rPr>
        <w:t xml:space="preserve">zakresie PI 4c. </w:t>
      </w:r>
    </w:p>
    <w:p w14:paraId="23596CFA" w14:textId="77777777" w:rsidR="003E5F72" w:rsidRPr="00FE43CD" w:rsidRDefault="003E5F72" w:rsidP="003E5F72">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38B684B8" w14:textId="77777777" w:rsidR="003E5F72" w:rsidRPr="00404DA5" w:rsidRDefault="003E5F72" w:rsidP="003E5F72">
      <w:pPr>
        <w:rPr>
          <w:rFonts w:cs="Calibri"/>
          <w:szCs w:val="20"/>
        </w:rPr>
      </w:pPr>
      <w:r w:rsidRPr="00404DA5">
        <w:rPr>
          <w:rFonts w:cs="Calibri"/>
          <w:szCs w:val="20"/>
        </w:rPr>
        <w:t>W ramach PI 4c zaleca się wykorzystanie założonych środków Rezerwy Wykonania. Dostępne środki pochodzące</w:t>
      </w:r>
      <w:r w:rsidR="00E66B89">
        <w:rPr>
          <w:rFonts w:cs="Calibri"/>
          <w:szCs w:val="20"/>
        </w:rPr>
        <w:t xml:space="preserve"> z </w:t>
      </w:r>
      <w:r w:rsidRPr="00404DA5">
        <w:rPr>
          <w:rFonts w:cs="Calibri"/>
          <w:szCs w:val="20"/>
        </w:rPr>
        <w:t>Działania 2.7 mogą zostać wykorzystane na cele Działania 2.15 ze względu na niewystarczający potencjał aplikacyjny Działania 2.7</w:t>
      </w:r>
      <w:r w:rsidR="00E66B89">
        <w:rPr>
          <w:rFonts w:cs="Calibri"/>
          <w:szCs w:val="20"/>
        </w:rPr>
        <w:t xml:space="preserve"> i </w:t>
      </w:r>
      <w:r w:rsidRPr="00404DA5">
        <w:rPr>
          <w:rFonts w:cs="Calibri"/>
          <w:szCs w:val="20"/>
        </w:rPr>
        <w:t>przewidywane duże zainteresowanie projektami parasolowymi.</w:t>
      </w:r>
      <w:r w:rsidR="00E66B89">
        <w:rPr>
          <w:rFonts w:cs="Calibri"/>
          <w:szCs w:val="20"/>
        </w:rPr>
        <w:t xml:space="preserve"> W </w:t>
      </w:r>
      <w:r w:rsidRPr="00404DA5">
        <w:rPr>
          <w:rFonts w:cs="Calibri"/>
          <w:szCs w:val="20"/>
        </w:rPr>
        <w:t>sytuacji złożenia przez gminy wniosków</w:t>
      </w:r>
      <w:r w:rsidR="00E66B89">
        <w:rPr>
          <w:rFonts w:cs="Calibri"/>
          <w:szCs w:val="20"/>
        </w:rPr>
        <w:t xml:space="preserve"> o </w:t>
      </w:r>
      <w:r w:rsidRPr="00404DA5">
        <w:rPr>
          <w:rFonts w:cs="Calibri"/>
          <w:szCs w:val="20"/>
        </w:rPr>
        <w:t>dofinansowanie na łączną wartość dofinansowania znacznie niższą niż założony budżet naboru, zaleca się przeprowadzenie naboru</w:t>
      </w:r>
      <w:r w:rsidR="00E66B89">
        <w:rPr>
          <w:rFonts w:cs="Calibri"/>
          <w:szCs w:val="20"/>
        </w:rPr>
        <w:t xml:space="preserve"> w </w:t>
      </w:r>
      <w:r w:rsidRPr="00404DA5">
        <w:rPr>
          <w:rFonts w:cs="Calibri"/>
          <w:szCs w:val="20"/>
        </w:rPr>
        <w:t>ramach Działania 2.5 wraz</w:t>
      </w:r>
      <w:r w:rsidR="00E66B89">
        <w:rPr>
          <w:rFonts w:cs="Calibri"/>
          <w:szCs w:val="20"/>
        </w:rPr>
        <w:t xml:space="preserve"> z </w:t>
      </w:r>
      <w:r w:rsidRPr="00404DA5">
        <w:rPr>
          <w:rFonts w:cs="Calibri"/>
          <w:szCs w:val="20"/>
        </w:rPr>
        <w:t>przyznaniem dodatkowej alokacji na to Działanie. Powyższe działanie charakteryzuje się najwyższym potencjałem przyjęcia pozostałych dostępnych środków spośród działań realizujących cele PI 4c (wyłączając Działanie 2.13</w:t>
      </w:r>
      <w:r w:rsidR="00E66B89">
        <w:rPr>
          <w:rFonts w:cs="Calibri"/>
          <w:szCs w:val="20"/>
        </w:rPr>
        <w:t xml:space="preserve"> i </w:t>
      </w:r>
      <w:r w:rsidRPr="00404DA5">
        <w:rPr>
          <w:rFonts w:cs="Calibri"/>
          <w:szCs w:val="20"/>
        </w:rPr>
        <w:t xml:space="preserve">2.15). Zaleca się także pozostawienie środków Rezerwy Wykonania na Działanie 2.13. </w:t>
      </w:r>
    </w:p>
    <w:p w14:paraId="4D0E4EC6" w14:textId="77777777" w:rsidR="003E5F72" w:rsidRPr="008B706B" w:rsidRDefault="003E5F72" w:rsidP="003E5F72">
      <w:pPr>
        <w:rPr>
          <w:rFonts w:cs="Calibri"/>
          <w:b/>
          <w:szCs w:val="20"/>
        </w:rPr>
      </w:pPr>
      <w:r w:rsidRPr="008B706B">
        <w:rPr>
          <w:rFonts w:cs="Calibri"/>
          <w:b/>
          <w:szCs w:val="20"/>
        </w:rPr>
        <w:t>REKOMENDACJA:</w:t>
      </w:r>
      <w:r w:rsidR="00E66B89">
        <w:rPr>
          <w:rFonts w:cs="Calibri"/>
          <w:b/>
          <w:szCs w:val="20"/>
        </w:rPr>
        <w:t xml:space="preserve"> W </w:t>
      </w:r>
      <w:r w:rsidRPr="008B706B">
        <w:rPr>
          <w:rFonts w:cs="Calibri"/>
          <w:b/>
          <w:szCs w:val="20"/>
        </w:rPr>
        <w:t>związku</w:t>
      </w:r>
      <w:r w:rsidR="00E66B89">
        <w:rPr>
          <w:rFonts w:cs="Calibri"/>
          <w:b/>
          <w:szCs w:val="20"/>
        </w:rPr>
        <w:t xml:space="preserve"> z </w:t>
      </w:r>
      <w:r w:rsidRPr="008B706B">
        <w:rPr>
          <w:rFonts w:cs="Calibri"/>
          <w:b/>
          <w:szCs w:val="20"/>
        </w:rPr>
        <w:t>uwarunkowaniami obserwowanymi na rynku budowlanym,</w:t>
      </w:r>
      <w:r w:rsidR="00E66B89">
        <w:rPr>
          <w:rFonts w:cs="Calibri"/>
          <w:b/>
          <w:szCs w:val="20"/>
        </w:rPr>
        <w:t xml:space="preserve"> w </w:t>
      </w:r>
      <w:r w:rsidRPr="008B706B">
        <w:rPr>
          <w:rFonts w:cs="Calibri"/>
          <w:b/>
          <w:szCs w:val="20"/>
        </w:rPr>
        <w:t>celu zapewnienia osiągnięcia wartości docelowych wskaźników, proponuje się maksymalne zwiększanie poziomu dofinansowania projektów,</w:t>
      </w:r>
      <w:r w:rsidR="00E66B89">
        <w:rPr>
          <w:rFonts w:cs="Calibri"/>
          <w:b/>
          <w:szCs w:val="20"/>
        </w:rPr>
        <w:t xml:space="preserve"> w </w:t>
      </w:r>
      <w:r w:rsidRPr="008B706B">
        <w:rPr>
          <w:rFonts w:cs="Calibri"/>
          <w:b/>
          <w:szCs w:val="20"/>
        </w:rPr>
        <w:t>ramach których ogłoszone zostaną kolejne nabory,</w:t>
      </w:r>
      <w:r w:rsidR="00E66B89">
        <w:rPr>
          <w:rFonts w:cs="Calibri"/>
          <w:b/>
          <w:szCs w:val="20"/>
        </w:rPr>
        <w:t xml:space="preserve"> a </w:t>
      </w:r>
      <w:r w:rsidRPr="008B706B">
        <w:rPr>
          <w:rFonts w:cs="Calibri"/>
          <w:b/>
          <w:szCs w:val="20"/>
        </w:rPr>
        <w:t>także preferowanie projektów</w:t>
      </w:r>
      <w:r w:rsidR="00E66B89">
        <w:rPr>
          <w:rFonts w:cs="Calibri"/>
          <w:b/>
          <w:szCs w:val="20"/>
        </w:rPr>
        <w:t xml:space="preserve"> w </w:t>
      </w:r>
      <w:r w:rsidRPr="008B706B">
        <w:rPr>
          <w:rFonts w:cs="Calibri"/>
          <w:b/>
          <w:szCs w:val="20"/>
        </w:rPr>
        <w:t xml:space="preserve">największym stopniu oddziałujących na wartość docelową wskaźnika </w:t>
      </w:r>
      <w:r w:rsidRPr="008B706B">
        <w:rPr>
          <w:rFonts w:cs="Calibri"/>
          <w:b/>
          <w:i/>
          <w:szCs w:val="20"/>
        </w:rPr>
        <w:t>Szacowany roczny spadek emisji gazów cieplarnianych</w:t>
      </w:r>
      <w:r w:rsidRPr="008B706B">
        <w:rPr>
          <w:rFonts w:cs="Calibri"/>
          <w:b/>
          <w:szCs w:val="20"/>
        </w:rPr>
        <w:t>, jako wskaźnika</w:t>
      </w:r>
      <w:r w:rsidR="00E66B89">
        <w:rPr>
          <w:rFonts w:cs="Calibri"/>
          <w:b/>
          <w:szCs w:val="20"/>
        </w:rPr>
        <w:t xml:space="preserve"> w </w:t>
      </w:r>
      <w:r w:rsidRPr="008B706B">
        <w:rPr>
          <w:rFonts w:cs="Calibri"/>
          <w:b/>
          <w:szCs w:val="20"/>
        </w:rPr>
        <w:t xml:space="preserve">największym stopniu objętego ryzykiem nieosiągnięcia wartości założonej na rok 2023. </w:t>
      </w:r>
    </w:p>
    <w:p w14:paraId="38F0EA28" w14:textId="77777777" w:rsidR="00D7542C" w:rsidRPr="00C140E5" w:rsidRDefault="00D7542C" w:rsidP="00410B29">
      <w:pPr>
        <w:pStyle w:val="Nagwek3"/>
      </w:pPr>
      <w:r w:rsidRPr="00C140E5">
        <w:lastRenderedPageBreak/>
        <w:t xml:space="preserve">Priorytet inwestycyjny nr 4e (Działania </w:t>
      </w:r>
      <w:r w:rsidR="00C140E5" w:rsidRPr="00C140E5">
        <w:t>2.1, 2.2, 2.3, 2.4</w:t>
      </w:r>
      <w:r w:rsidRPr="00C140E5">
        <w:t>)</w:t>
      </w:r>
    </w:p>
    <w:p w14:paraId="0D53CD69" w14:textId="77777777" w:rsidR="00087E50" w:rsidRPr="00FE43CD" w:rsidRDefault="00087E50" w:rsidP="00087E50">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62FBF68E" w14:textId="77777777" w:rsidR="00087E50" w:rsidRPr="00FE43CD" w:rsidRDefault="00087E50" w:rsidP="006E34DC">
      <w:pPr>
        <w:pStyle w:val="Legenda"/>
        <w:spacing w:after="0"/>
      </w:pPr>
      <w:bookmarkStart w:id="83" w:name="_Toc8824136"/>
      <w:bookmarkStart w:id="84" w:name="_Hlk6405956"/>
      <w:r w:rsidRPr="00FE43CD">
        <w:t xml:space="preserve">Tabela </w:t>
      </w:r>
      <w:r>
        <w:fldChar w:fldCharType="begin"/>
      </w:r>
      <w:r>
        <w:instrText xml:space="preserve"> SEQ Tabela \* ARABIC </w:instrText>
      </w:r>
      <w:r>
        <w:fldChar w:fldCharType="separate"/>
      </w:r>
      <w:r w:rsidR="00763345">
        <w:rPr>
          <w:noProof/>
        </w:rPr>
        <w:t>25</w:t>
      </w:r>
      <w:r>
        <w:fldChar w:fldCharType="end"/>
      </w:r>
      <w:r w:rsidRPr="00FE43CD">
        <w:t xml:space="preserve"> Wskaźniki produktu (PI </w:t>
      </w:r>
      <w:r>
        <w:t>4e</w:t>
      </w:r>
      <w:r w:rsidRPr="00FE43CD">
        <w:t>) – postęp rzeczowy</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1945"/>
        <w:gridCol w:w="830"/>
        <w:gridCol w:w="916"/>
        <w:gridCol w:w="949"/>
        <w:gridCol w:w="959"/>
        <w:gridCol w:w="949"/>
        <w:gridCol w:w="959"/>
      </w:tblGrid>
      <w:tr w:rsidR="00087E50" w:rsidRPr="00E5277F" w14:paraId="5917BCE7" w14:textId="77777777" w:rsidTr="00C22C26">
        <w:trPr>
          <w:tblHeader/>
        </w:trPr>
        <w:tc>
          <w:tcPr>
            <w:tcW w:w="704" w:type="dxa"/>
            <w:shd w:val="clear" w:color="auto" w:fill="DBE5F1"/>
            <w:vAlign w:val="center"/>
          </w:tcPr>
          <w:p w14:paraId="772E9560" w14:textId="77777777" w:rsidR="00087E50" w:rsidRPr="00404DA5" w:rsidRDefault="00087E50" w:rsidP="00BA3B1C">
            <w:pPr>
              <w:jc w:val="center"/>
              <w:rPr>
                <w:rFonts w:cs="Calibri"/>
                <w:sz w:val="18"/>
                <w:szCs w:val="18"/>
              </w:rPr>
            </w:pPr>
            <w:r w:rsidRPr="00404DA5">
              <w:rPr>
                <w:rFonts w:cs="Calibri"/>
                <w:sz w:val="18"/>
                <w:szCs w:val="18"/>
              </w:rPr>
              <w:t>Typ wskaźnika</w:t>
            </w:r>
          </w:p>
        </w:tc>
        <w:tc>
          <w:tcPr>
            <w:tcW w:w="851" w:type="dxa"/>
            <w:shd w:val="clear" w:color="auto" w:fill="DBE5F1"/>
            <w:vAlign w:val="center"/>
          </w:tcPr>
          <w:p w14:paraId="51258460" w14:textId="77777777" w:rsidR="00087E50" w:rsidRPr="00404DA5" w:rsidRDefault="00087E50" w:rsidP="00BA3B1C">
            <w:pPr>
              <w:jc w:val="center"/>
              <w:rPr>
                <w:rFonts w:cs="Calibri"/>
                <w:sz w:val="18"/>
                <w:szCs w:val="18"/>
              </w:rPr>
            </w:pPr>
            <w:r w:rsidRPr="00404DA5">
              <w:rPr>
                <w:rFonts w:cs="Calibri"/>
                <w:sz w:val="18"/>
                <w:szCs w:val="18"/>
              </w:rPr>
              <w:t>Działania</w:t>
            </w:r>
          </w:p>
        </w:tc>
        <w:tc>
          <w:tcPr>
            <w:tcW w:w="1945" w:type="dxa"/>
            <w:shd w:val="clear" w:color="auto" w:fill="DBE5F1"/>
            <w:vAlign w:val="center"/>
          </w:tcPr>
          <w:p w14:paraId="2754447F" w14:textId="77777777" w:rsidR="00087E50" w:rsidRPr="00404DA5" w:rsidRDefault="00087E50" w:rsidP="00BA3B1C">
            <w:pPr>
              <w:jc w:val="center"/>
              <w:rPr>
                <w:rFonts w:cs="Calibri"/>
                <w:sz w:val="18"/>
                <w:szCs w:val="18"/>
              </w:rPr>
            </w:pPr>
            <w:r w:rsidRPr="00404DA5">
              <w:rPr>
                <w:rFonts w:cs="Calibri"/>
                <w:sz w:val="18"/>
                <w:szCs w:val="18"/>
              </w:rPr>
              <w:t>Wskaźnik</w:t>
            </w:r>
          </w:p>
        </w:tc>
        <w:tc>
          <w:tcPr>
            <w:tcW w:w="830" w:type="dxa"/>
            <w:shd w:val="clear" w:color="auto" w:fill="DBE5F1"/>
            <w:vAlign w:val="center"/>
          </w:tcPr>
          <w:p w14:paraId="66D48C02" w14:textId="77777777" w:rsidR="00087E50" w:rsidRPr="00404DA5" w:rsidRDefault="00087E50" w:rsidP="00BA3B1C">
            <w:pPr>
              <w:jc w:val="center"/>
              <w:rPr>
                <w:rFonts w:cs="Calibri"/>
                <w:sz w:val="18"/>
                <w:szCs w:val="18"/>
              </w:rPr>
            </w:pPr>
            <w:r w:rsidRPr="00404DA5">
              <w:rPr>
                <w:rFonts w:cs="Calibri"/>
                <w:sz w:val="18"/>
                <w:szCs w:val="18"/>
              </w:rPr>
              <w:t>Jedn. pomiaru</w:t>
            </w:r>
          </w:p>
        </w:tc>
        <w:tc>
          <w:tcPr>
            <w:tcW w:w="916" w:type="dxa"/>
            <w:shd w:val="clear" w:color="auto" w:fill="DBE5F1"/>
            <w:vAlign w:val="center"/>
          </w:tcPr>
          <w:p w14:paraId="030C1AB2" w14:textId="77777777" w:rsidR="00087E50" w:rsidRPr="00404DA5" w:rsidRDefault="00087E50" w:rsidP="00BA3B1C">
            <w:pPr>
              <w:jc w:val="center"/>
              <w:rPr>
                <w:rFonts w:cs="Calibri"/>
                <w:sz w:val="18"/>
                <w:szCs w:val="18"/>
              </w:rPr>
            </w:pPr>
            <w:r w:rsidRPr="00404DA5">
              <w:rPr>
                <w:rFonts w:cs="Calibri"/>
                <w:sz w:val="18"/>
                <w:szCs w:val="18"/>
              </w:rPr>
              <w:t>Wartość docelowa (2023)</w:t>
            </w:r>
          </w:p>
        </w:tc>
        <w:tc>
          <w:tcPr>
            <w:tcW w:w="949" w:type="dxa"/>
            <w:shd w:val="clear" w:color="auto" w:fill="DBE5F1"/>
            <w:vAlign w:val="center"/>
          </w:tcPr>
          <w:p w14:paraId="0268DCB5" w14:textId="77777777" w:rsidR="00087E50" w:rsidRPr="00404DA5" w:rsidRDefault="00087E50" w:rsidP="00BA3B1C">
            <w:pPr>
              <w:jc w:val="center"/>
              <w:rPr>
                <w:rFonts w:cs="Calibri"/>
                <w:sz w:val="18"/>
                <w:szCs w:val="18"/>
              </w:rPr>
            </w:pPr>
            <w:r w:rsidRPr="00404DA5">
              <w:rPr>
                <w:rFonts w:cs="Calibri"/>
                <w:sz w:val="18"/>
                <w:szCs w:val="18"/>
              </w:rPr>
              <w:t>Realizacja wskaźnika (wg UoD)</w:t>
            </w:r>
          </w:p>
        </w:tc>
        <w:tc>
          <w:tcPr>
            <w:tcW w:w="959" w:type="dxa"/>
            <w:shd w:val="clear" w:color="auto" w:fill="DBE5F1"/>
            <w:vAlign w:val="center"/>
          </w:tcPr>
          <w:p w14:paraId="0BE7CE85" w14:textId="77777777" w:rsidR="00087E50" w:rsidRPr="00404DA5" w:rsidRDefault="00087E50" w:rsidP="00BA3B1C">
            <w:pPr>
              <w:jc w:val="center"/>
              <w:rPr>
                <w:rFonts w:cs="Calibri"/>
                <w:sz w:val="18"/>
                <w:szCs w:val="18"/>
              </w:rPr>
            </w:pPr>
            <w:r w:rsidRPr="00404DA5">
              <w:rPr>
                <w:rFonts w:cs="Calibri"/>
                <w:sz w:val="18"/>
                <w:szCs w:val="18"/>
              </w:rPr>
              <w:t>% realizacji wartości docelowej (wg UoD)</w:t>
            </w:r>
          </w:p>
        </w:tc>
        <w:tc>
          <w:tcPr>
            <w:tcW w:w="949" w:type="dxa"/>
            <w:shd w:val="clear" w:color="auto" w:fill="DBE5F1"/>
            <w:vAlign w:val="center"/>
          </w:tcPr>
          <w:p w14:paraId="56EA88B8" w14:textId="77777777" w:rsidR="00087E50" w:rsidRPr="00404DA5" w:rsidRDefault="00087E50" w:rsidP="00BA3B1C">
            <w:pPr>
              <w:jc w:val="center"/>
              <w:rPr>
                <w:rFonts w:cs="Calibri"/>
                <w:sz w:val="18"/>
                <w:szCs w:val="18"/>
              </w:rPr>
            </w:pPr>
            <w:r w:rsidRPr="00404DA5">
              <w:rPr>
                <w:rFonts w:cs="Calibri"/>
                <w:sz w:val="18"/>
                <w:szCs w:val="18"/>
              </w:rPr>
              <w:t>Realizacja wskaźnika (wg WoP)</w:t>
            </w:r>
          </w:p>
        </w:tc>
        <w:tc>
          <w:tcPr>
            <w:tcW w:w="959" w:type="dxa"/>
            <w:shd w:val="clear" w:color="auto" w:fill="DBE5F1"/>
            <w:vAlign w:val="center"/>
          </w:tcPr>
          <w:p w14:paraId="7E8BED33" w14:textId="77777777" w:rsidR="00087E50" w:rsidRPr="00404DA5" w:rsidRDefault="00087E50" w:rsidP="00BA3B1C">
            <w:pPr>
              <w:jc w:val="center"/>
              <w:rPr>
                <w:rFonts w:cs="Calibri"/>
                <w:sz w:val="18"/>
                <w:szCs w:val="18"/>
              </w:rPr>
            </w:pPr>
            <w:r w:rsidRPr="00404DA5">
              <w:rPr>
                <w:rFonts w:cs="Calibri"/>
                <w:sz w:val="18"/>
                <w:szCs w:val="18"/>
              </w:rPr>
              <w:t>% realizacji wartości docelowej (wg WoP)</w:t>
            </w:r>
          </w:p>
        </w:tc>
      </w:tr>
      <w:tr w:rsidR="00087E50" w:rsidRPr="00E5277F" w14:paraId="19B18E35" w14:textId="77777777" w:rsidTr="00BA3B1C">
        <w:tc>
          <w:tcPr>
            <w:tcW w:w="704" w:type="dxa"/>
            <w:shd w:val="clear" w:color="auto" w:fill="auto"/>
            <w:vAlign w:val="center"/>
          </w:tcPr>
          <w:p w14:paraId="7EB6E206" w14:textId="77777777" w:rsidR="00087E50" w:rsidRPr="00404DA5" w:rsidRDefault="00087E50" w:rsidP="00BA3B1C">
            <w:pPr>
              <w:jc w:val="center"/>
              <w:rPr>
                <w:rFonts w:cs="Calibri"/>
                <w:sz w:val="18"/>
                <w:szCs w:val="18"/>
              </w:rPr>
            </w:pPr>
            <w:r w:rsidRPr="00404DA5">
              <w:rPr>
                <w:rFonts w:cs="Calibri"/>
                <w:sz w:val="18"/>
                <w:szCs w:val="18"/>
              </w:rPr>
              <w:t>WP</w:t>
            </w:r>
          </w:p>
        </w:tc>
        <w:tc>
          <w:tcPr>
            <w:tcW w:w="851" w:type="dxa"/>
            <w:shd w:val="clear" w:color="auto" w:fill="auto"/>
            <w:vAlign w:val="center"/>
          </w:tcPr>
          <w:p w14:paraId="490A06E7" w14:textId="77777777" w:rsidR="00087E50" w:rsidRPr="00404DA5" w:rsidRDefault="00087E50" w:rsidP="00BA3B1C">
            <w:pPr>
              <w:rPr>
                <w:rFonts w:ascii="Calibri" w:hAnsi="Calibri"/>
                <w:bCs/>
                <w:szCs w:val="20"/>
              </w:rPr>
            </w:pPr>
            <w:r w:rsidRPr="00404DA5">
              <w:rPr>
                <w:rFonts w:ascii="Calibri" w:hAnsi="Calibri"/>
                <w:bCs/>
                <w:szCs w:val="20"/>
              </w:rPr>
              <w:t>2.1, 2.2, 2.3, 2.4</w:t>
            </w:r>
          </w:p>
        </w:tc>
        <w:tc>
          <w:tcPr>
            <w:tcW w:w="1945" w:type="dxa"/>
            <w:shd w:val="clear" w:color="auto" w:fill="auto"/>
            <w:vAlign w:val="center"/>
          </w:tcPr>
          <w:p w14:paraId="20B7962D" w14:textId="77777777" w:rsidR="00087E50" w:rsidRPr="00404DA5" w:rsidRDefault="00087E50" w:rsidP="00BA3B1C">
            <w:pPr>
              <w:rPr>
                <w:rFonts w:ascii="Calibri" w:hAnsi="Calibri"/>
                <w:bCs/>
                <w:szCs w:val="20"/>
              </w:rPr>
            </w:pPr>
            <w:r w:rsidRPr="00404DA5">
              <w:rPr>
                <w:rFonts w:ascii="Calibri" w:hAnsi="Calibri"/>
                <w:bCs/>
                <w:szCs w:val="20"/>
              </w:rPr>
              <w:t xml:space="preserve">Długość ścieżek rowerowych </w:t>
            </w:r>
          </w:p>
        </w:tc>
        <w:tc>
          <w:tcPr>
            <w:tcW w:w="830" w:type="dxa"/>
            <w:shd w:val="clear" w:color="auto" w:fill="auto"/>
            <w:vAlign w:val="center"/>
          </w:tcPr>
          <w:p w14:paraId="3E08F00C" w14:textId="77777777" w:rsidR="00087E50" w:rsidRPr="00404DA5" w:rsidRDefault="00087E50" w:rsidP="00BA3B1C">
            <w:pPr>
              <w:jc w:val="center"/>
              <w:rPr>
                <w:rFonts w:ascii="Calibri" w:hAnsi="Calibri"/>
                <w:bCs/>
                <w:szCs w:val="20"/>
              </w:rPr>
            </w:pPr>
            <w:r w:rsidRPr="00404DA5">
              <w:rPr>
                <w:rFonts w:ascii="Calibri" w:hAnsi="Calibri"/>
                <w:bCs/>
                <w:szCs w:val="20"/>
              </w:rPr>
              <w:t>km</w:t>
            </w:r>
          </w:p>
        </w:tc>
        <w:tc>
          <w:tcPr>
            <w:tcW w:w="916" w:type="dxa"/>
            <w:shd w:val="clear" w:color="auto" w:fill="auto"/>
            <w:vAlign w:val="center"/>
          </w:tcPr>
          <w:p w14:paraId="77EDE2EF" w14:textId="77777777" w:rsidR="00087E50" w:rsidRPr="00404DA5" w:rsidRDefault="00087E50" w:rsidP="00BA3B1C">
            <w:pPr>
              <w:jc w:val="center"/>
              <w:rPr>
                <w:rFonts w:ascii="Calibri" w:hAnsi="Calibri"/>
                <w:bCs/>
                <w:szCs w:val="20"/>
              </w:rPr>
            </w:pPr>
            <w:r w:rsidRPr="00404DA5">
              <w:rPr>
                <w:rFonts w:ascii="Calibri" w:hAnsi="Calibri"/>
                <w:bCs/>
                <w:szCs w:val="20"/>
              </w:rPr>
              <w:t>88</w:t>
            </w:r>
          </w:p>
        </w:tc>
        <w:tc>
          <w:tcPr>
            <w:tcW w:w="949" w:type="dxa"/>
            <w:shd w:val="clear" w:color="auto" w:fill="auto"/>
            <w:vAlign w:val="center"/>
          </w:tcPr>
          <w:p w14:paraId="7C27DE36" w14:textId="77777777" w:rsidR="00087E50" w:rsidRPr="00404DA5" w:rsidRDefault="00087E50" w:rsidP="00BA3B1C">
            <w:pPr>
              <w:jc w:val="center"/>
              <w:rPr>
                <w:rFonts w:ascii="Calibri" w:hAnsi="Calibri"/>
                <w:bCs/>
                <w:szCs w:val="20"/>
              </w:rPr>
            </w:pPr>
            <w:r w:rsidRPr="00404DA5">
              <w:rPr>
                <w:rFonts w:ascii="Calibri" w:hAnsi="Calibri"/>
                <w:bCs/>
                <w:szCs w:val="20"/>
              </w:rPr>
              <w:t>150,75</w:t>
            </w:r>
          </w:p>
        </w:tc>
        <w:tc>
          <w:tcPr>
            <w:tcW w:w="959" w:type="dxa"/>
            <w:shd w:val="clear" w:color="auto" w:fill="auto"/>
            <w:vAlign w:val="center"/>
          </w:tcPr>
          <w:p w14:paraId="2084B355" w14:textId="77777777" w:rsidR="00087E50" w:rsidRPr="00404DA5" w:rsidRDefault="00087E50" w:rsidP="00BA3B1C">
            <w:pPr>
              <w:jc w:val="center"/>
              <w:rPr>
                <w:rFonts w:ascii="Calibri" w:hAnsi="Calibri"/>
                <w:bCs/>
                <w:szCs w:val="20"/>
              </w:rPr>
            </w:pPr>
            <w:r w:rsidRPr="00404DA5">
              <w:rPr>
                <w:rFonts w:ascii="Calibri" w:hAnsi="Calibri"/>
                <w:bCs/>
                <w:szCs w:val="20"/>
              </w:rPr>
              <w:t>171,3%</w:t>
            </w:r>
          </w:p>
        </w:tc>
        <w:tc>
          <w:tcPr>
            <w:tcW w:w="949" w:type="dxa"/>
            <w:shd w:val="clear" w:color="auto" w:fill="auto"/>
            <w:vAlign w:val="center"/>
          </w:tcPr>
          <w:p w14:paraId="1DE08525" w14:textId="77777777" w:rsidR="00087E50" w:rsidRPr="00404DA5" w:rsidRDefault="00087E50" w:rsidP="00BA3B1C">
            <w:pPr>
              <w:jc w:val="center"/>
              <w:rPr>
                <w:rFonts w:ascii="Calibri" w:hAnsi="Calibri"/>
                <w:bCs/>
                <w:szCs w:val="20"/>
              </w:rPr>
            </w:pPr>
            <w:r w:rsidRPr="00404DA5">
              <w:rPr>
                <w:rFonts w:ascii="Calibri" w:hAnsi="Calibri"/>
                <w:bCs/>
                <w:szCs w:val="20"/>
              </w:rPr>
              <w:t>23,74</w:t>
            </w:r>
          </w:p>
        </w:tc>
        <w:tc>
          <w:tcPr>
            <w:tcW w:w="959" w:type="dxa"/>
            <w:shd w:val="clear" w:color="auto" w:fill="auto"/>
            <w:vAlign w:val="center"/>
          </w:tcPr>
          <w:p w14:paraId="496097EF" w14:textId="77777777" w:rsidR="00087E50" w:rsidRPr="00404DA5" w:rsidRDefault="00087E50" w:rsidP="00BA3B1C">
            <w:pPr>
              <w:jc w:val="center"/>
              <w:rPr>
                <w:rFonts w:ascii="Calibri" w:hAnsi="Calibri"/>
                <w:bCs/>
                <w:szCs w:val="20"/>
              </w:rPr>
            </w:pPr>
            <w:r w:rsidRPr="00404DA5">
              <w:rPr>
                <w:rFonts w:ascii="Calibri" w:hAnsi="Calibri"/>
                <w:bCs/>
                <w:szCs w:val="20"/>
              </w:rPr>
              <w:t>27,0%</w:t>
            </w:r>
          </w:p>
        </w:tc>
      </w:tr>
      <w:tr w:rsidR="00087E50" w:rsidRPr="00E5277F" w14:paraId="40211E43" w14:textId="77777777" w:rsidTr="00BA3B1C">
        <w:tc>
          <w:tcPr>
            <w:tcW w:w="704" w:type="dxa"/>
            <w:shd w:val="clear" w:color="auto" w:fill="auto"/>
            <w:vAlign w:val="center"/>
          </w:tcPr>
          <w:p w14:paraId="4BA94DB0" w14:textId="77777777" w:rsidR="00087E50" w:rsidRPr="00404DA5" w:rsidRDefault="00087E50" w:rsidP="00BA3B1C">
            <w:pPr>
              <w:jc w:val="center"/>
              <w:rPr>
                <w:rFonts w:cs="Calibri"/>
                <w:sz w:val="18"/>
                <w:szCs w:val="18"/>
              </w:rPr>
            </w:pPr>
            <w:r w:rsidRPr="00404DA5">
              <w:rPr>
                <w:rFonts w:cs="Calibri"/>
                <w:sz w:val="18"/>
                <w:szCs w:val="18"/>
              </w:rPr>
              <w:t>WP</w:t>
            </w:r>
          </w:p>
        </w:tc>
        <w:tc>
          <w:tcPr>
            <w:tcW w:w="851" w:type="dxa"/>
            <w:shd w:val="clear" w:color="auto" w:fill="auto"/>
            <w:vAlign w:val="center"/>
          </w:tcPr>
          <w:p w14:paraId="391628E3" w14:textId="77777777" w:rsidR="00087E50" w:rsidRPr="00404DA5" w:rsidRDefault="00087E50" w:rsidP="00BA3B1C">
            <w:pPr>
              <w:rPr>
                <w:rFonts w:ascii="Calibri" w:hAnsi="Calibri"/>
                <w:bCs/>
                <w:szCs w:val="20"/>
              </w:rPr>
            </w:pPr>
            <w:r w:rsidRPr="00404DA5">
              <w:rPr>
                <w:rFonts w:ascii="Calibri" w:hAnsi="Calibri"/>
                <w:bCs/>
                <w:szCs w:val="20"/>
              </w:rPr>
              <w:t>2.1, 2.2, 2.3, 2.4</w:t>
            </w:r>
          </w:p>
        </w:tc>
        <w:tc>
          <w:tcPr>
            <w:tcW w:w="1945" w:type="dxa"/>
            <w:shd w:val="clear" w:color="auto" w:fill="auto"/>
            <w:vAlign w:val="center"/>
          </w:tcPr>
          <w:p w14:paraId="222B5F0A" w14:textId="77777777" w:rsidR="00087E50" w:rsidRPr="00404DA5" w:rsidRDefault="00087E50" w:rsidP="00BA3B1C">
            <w:pPr>
              <w:rPr>
                <w:rFonts w:ascii="Calibri" w:hAnsi="Calibri"/>
                <w:bCs/>
                <w:szCs w:val="20"/>
              </w:rPr>
            </w:pPr>
            <w:r w:rsidRPr="00404DA5">
              <w:rPr>
                <w:rFonts w:ascii="Calibri" w:hAnsi="Calibri"/>
                <w:bCs/>
                <w:szCs w:val="20"/>
              </w:rPr>
              <w:t>Liczba zakupionych lub zmodernizowanych jednostek taboru pasażerskiego</w:t>
            </w:r>
            <w:r w:rsidR="00E66B89">
              <w:rPr>
                <w:rFonts w:ascii="Calibri" w:hAnsi="Calibri"/>
                <w:bCs/>
                <w:szCs w:val="20"/>
              </w:rPr>
              <w:t xml:space="preserve"> w </w:t>
            </w:r>
            <w:r w:rsidRPr="00404DA5">
              <w:rPr>
                <w:rFonts w:ascii="Calibri" w:hAnsi="Calibri"/>
                <w:bCs/>
                <w:szCs w:val="20"/>
              </w:rPr>
              <w:t>publicznym transporcie zbiorowym komunikacji miejskiej</w:t>
            </w:r>
          </w:p>
        </w:tc>
        <w:tc>
          <w:tcPr>
            <w:tcW w:w="830" w:type="dxa"/>
            <w:shd w:val="clear" w:color="auto" w:fill="auto"/>
            <w:vAlign w:val="center"/>
          </w:tcPr>
          <w:p w14:paraId="74E9BC8D" w14:textId="77777777" w:rsidR="00087E50" w:rsidRPr="00404DA5" w:rsidRDefault="00087E50" w:rsidP="00BA3B1C">
            <w:pPr>
              <w:jc w:val="center"/>
              <w:rPr>
                <w:rFonts w:ascii="Calibri" w:hAnsi="Calibri"/>
                <w:bCs/>
                <w:szCs w:val="20"/>
              </w:rPr>
            </w:pPr>
            <w:r w:rsidRPr="00404DA5">
              <w:rPr>
                <w:rFonts w:ascii="Calibri" w:hAnsi="Calibri"/>
                <w:bCs/>
                <w:szCs w:val="20"/>
              </w:rPr>
              <w:t>szt.</w:t>
            </w:r>
          </w:p>
        </w:tc>
        <w:tc>
          <w:tcPr>
            <w:tcW w:w="916" w:type="dxa"/>
            <w:shd w:val="clear" w:color="auto" w:fill="auto"/>
            <w:vAlign w:val="center"/>
          </w:tcPr>
          <w:p w14:paraId="45F356B9" w14:textId="77777777" w:rsidR="00087E50" w:rsidRPr="00404DA5" w:rsidRDefault="00087E50" w:rsidP="00BA3B1C">
            <w:pPr>
              <w:jc w:val="center"/>
              <w:rPr>
                <w:rFonts w:ascii="Calibri" w:hAnsi="Calibri"/>
                <w:bCs/>
                <w:szCs w:val="20"/>
              </w:rPr>
            </w:pPr>
            <w:r w:rsidRPr="00404DA5">
              <w:rPr>
                <w:rFonts w:ascii="Calibri" w:hAnsi="Calibri"/>
                <w:bCs/>
                <w:szCs w:val="20"/>
              </w:rPr>
              <w:t>84</w:t>
            </w:r>
          </w:p>
        </w:tc>
        <w:tc>
          <w:tcPr>
            <w:tcW w:w="949" w:type="dxa"/>
            <w:shd w:val="clear" w:color="auto" w:fill="auto"/>
            <w:vAlign w:val="center"/>
          </w:tcPr>
          <w:p w14:paraId="2352C775" w14:textId="77777777" w:rsidR="00087E50" w:rsidRPr="00404DA5" w:rsidRDefault="00087E50" w:rsidP="00BA3B1C">
            <w:pPr>
              <w:jc w:val="center"/>
              <w:rPr>
                <w:rFonts w:ascii="Calibri" w:hAnsi="Calibri"/>
                <w:bCs/>
                <w:szCs w:val="20"/>
              </w:rPr>
            </w:pPr>
            <w:r w:rsidRPr="00404DA5">
              <w:rPr>
                <w:rFonts w:ascii="Calibri" w:hAnsi="Calibri"/>
                <w:bCs/>
                <w:szCs w:val="20"/>
              </w:rPr>
              <w:t>127</w:t>
            </w:r>
          </w:p>
        </w:tc>
        <w:tc>
          <w:tcPr>
            <w:tcW w:w="959" w:type="dxa"/>
            <w:shd w:val="clear" w:color="auto" w:fill="auto"/>
            <w:vAlign w:val="center"/>
          </w:tcPr>
          <w:p w14:paraId="39BA9B96" w14:textId="77777777" w:rsidR="00087E50" w:rsidRPr="00404DA5" w:rsidRDefault="00087E50" w:rsidP="00BA3B1C">
            <w:pPr>
              <w:jc w:val="center"/>
              <w:rPr>
                <w:rFonts w:ascii="Calibri" w:hAnsi="Calibri"/>
                <w:bCs/>
                <w:szCs w:val="20"/>
              </w:rPr>
            </w:pPr>
            <w:r w:rsidRPr="00404DA5">
              <w:rPr>
                <w:rFonts w:ascii="Calibri" w:hAnsi="Calibri"/>
                <w:bCs/>
                <w:szCs w:val="20"/>
              </w:rPr>
              <w:t>151,2%</w:t>
            </w:r>
          </w:p>
        </w:tc>
        <w:tc>
          <w:tcPr>
            <w:tcW w:w="949" w:type="dxa"/>
            <w:shd w:val="clear" w:color="auto" w:fill="auto"/>
            <w:vAlign w:val="center"/>
          </w:tcPr>
          <w:p w14:paraId="46EF994A" w14:textId="77777777" w:rsidR="00087E50" w:rsidRPr="00404DA5" w:rsidRDefault="00087E50" w:rsidP="00BA3B1C">
            <w:pPr>
              <w:jc w:val="center"/>
              <w:rPr>
                <w:rFonts w:ascii="Calibri" w:hAnsi="Calibri"/>
                <w:bCs/>
                <w:szCs w:val="20"/>
              </w:rPr>
            </w:pPr>
            <w:r w:rsidRPr="00404DA5">
              <w:rPr>
                <w:rFonts w:ascii="Calibri" w:hAnsi="Calibri"/>
                <w:bCs/>
                <w:szCs w:val="20"/>
              </w:rPr>
              <w:t>56</w:t>
            </w:r>
          </w:p>
        </w:tc>
        <w:tc>
          <w:tcPr>
            <w:tcW w:w="959" w:type="dxa"/>
            <w:shd w:val="clear" w:color="auto" w:fill="auto"/>
            <w:vAlign w:val="center"/>
          </w:tcPr>
          <w:p w14:paraId="70D896E1" w14:textId="77777777" w:rsidR="00087E50" w:rsidRPr="00404DA5" w:rsidRDefault="00087E50" w:rsidP="00BA3B1C">
            <w:pPr>
              <w:jc w:val="center"/>
              <w:rPr>
                <w:rFonts w:ascii="Calibri" w:hAnsi="Calibri"/>
                <w:bCs/>
                <w:szCs w:val="20"/>
              </w:rPr>
            </w:pPr>
            <w:r w:rsidRPr="00404DA5">
              <w:rPr>
                <w:rFonts w:ascii="Calibri" w:hAnsi="Calibri"/>
                <w:bCs/>
                <w:szCs w:val="20"/>
              </w:rPr>
              <w:t>66,7%</w:t>
            </w:r>
          </w:p>
        </w:tc>
      </w:tr>
      <w:tr w:rsidR="00087E50" w:rsidRPr="00E5277F" w14:paraId="45A8F396" w14:textId="77777777" w:rsidTr="00BA3B1C">
        <w:tc>
          <w:tcPr>
            <w:tcW w:w="704" w:type="dxa"/>
            <w:shd w:val="clear" w:color="auto" w:fill="auto"/>
            <w:vAlign w:val="center"/>
          </w:tcPr>
          <w:p w14:paraId="5192D92A" w14:textId="77777777" w:rsidR="00087E50" w:rsidRPr="00404DA5" w:rsidRDefault="00087E50" w:rsidP="00BA3B1C">
            <w:pPr>
              <w:jc w:val="center"/>
              <w:rPr>
                <w:rFonts w:cs="Calibri"/>
                <w:sz w:val="18"/>
                <w:szCs w:val="18"/>
              </w:rPr>
            </w:pPr>
            <w:r w:rsidRPr="00404DA5">
              <w:rPr>
                <w:rFonts w:cs="Calibri"/>
                <w:sz w:val="18"/>
                <w:szCs w:val="18"/>
              </w:rPr>
              <w:t>WP</w:t>
            </w:r>
          </w:p>
        </w:tc>
        <w:tc>
          <w:tcPr>
            <w:tcW w:w="851" w:type="dxa"/>
            <w:shd w:val="clear" w:color="auto" w:fill="auto"/>
            <w:vAlign w:val="center"/>
          </w:tcPr>
          <w:p w14:paraId="09A1FE85" w14:textId="77777777" w:rsidR="00087E50" w:rsidRPr="00404DA5" w:rsidRDefault="00087E50" w:rsidP="00BA3B1C">
            <w:pPr>
              <w:rPr>
                <w:rFonts w:ascii="Calibri" w:hAnsi="Calibri"/>
                <w:bCs/>
                <w:szCs w:val="20"/>
              </w:rPr>
            </w:pPr>
            <w:r w:rsidRPr="00404DA5">
              <w:rPr>
                <w:rFonts w:ascii="Calibri" w:hAnsi="Calibri"/>
                <w:bCs/>
                <w:szCs w:val="20"/>
              </w:rPr>
              <w:t>2.1, 2.2, 2.3, 2.4</w:t>
            </w:r>
          </w:p>
        </w:tc>
        <w:tc>
          <w:tcPr>
            <w:tcW w:w="1945" w:type="dxa"/>
            <w:shd w:val="clear" w:color="auto" w:fill="auto"/>
            <w:vAlign w:val="center"/>
          </w:tcPr>
          <w:p w14:paraId="26ADFB20" w14:textId="77777777" w:rsidR="00087E50" w:rsidRPr="00404DA5" w:rsidRDefault="00087E50" w:rsidP="00BA3B1C">
            <w:pPr>
              <w:rPr>
                <w:rFonts w:ascii="Calibri" w:hAnsi="Calibri"/>
                <w:bCs/>
                <w:szCs w:val="20"/>
              </w:rPr>
            </w:pPr>
            <w:r w:rsidRPr="00404DA5">
              <w:rPr>
                <w:rFonts w:ascii="Calibri" w:hAnsi="Calibri"/>
                <w:bCs/>
                <w:szCs w:val="20"/>
              </w:rPr>
              <w:t>Liczba wybudowanych zintegrowanych węzłów przesiadkowych</w:t>
            </w:r>
          </w:p>
        </w:tc>
        <w:tc>
          <w:tcPr>
            <w:tcW w:w="830" w:type="dxa"/>
            <w:shd w:val="clear" w:color="auto" w:fill="auto"/>
            <w:vAlign w:val="center"/>
          </w:tcPr>
          <w:p w14:paraId="7B87C70C" w14:textId="77777777" w:rsidR="00087E50" w:rsidRPr="00404DA5" w:rsidRDefault="00087E50" w:rsidP="00BA3B1C">
            <w:pPr>
              <w:jc w:val="center"/>
              <w:rPr>
                <w:rFonts w:ascii="Calibri" w:hAnsi="Calibri"/>
                <w:bCs/>
                <w:szCs w:val="20"/>
              </w:rPr>
            </w:pPr>
            <w:r w:rsidRPr="00404DA5">
              <w:rPr>
                <w:rFonts w:ascii="Calibri" w:hAnsi="Calibri"/>
                <w:bCs/>
                <w:szCs w:val="20"/>
              </w:rPr>
              <w:t>szt.</w:t>
            </w:r>
          </w:p>
        </w:tc>
        <w:tc>
          <w:tcPr>
            <w:tcW w:w="916" w:type="dxa"/>
            <w:shd w:val="clear" w:color="auto" w:fill="auto"/>
            <w:vAlign w:val="center"/>
          </w:tcPr>
          <w:p w14:paraId="22EC220E" w14:textId="77777777" w:rsidR="00087E50" w:rsidRPr="00404DA5" w:rsidRDefault="00087E50" w:rsidP="00BA3B1C">
            <w:pPr>
              <w:jc w:val="center"/>
              <w:rPr>
                <w:rFonts w:ascii="Calibri" w:hAnsi="Calibri"/>
                <w:bCs/>
                <w:szCs w:val="20"/>
              </w:rPr>
            </w:pPr>
            <w:r w:rsidRPr="00404DA5">
              <w:rPr>
                <w:rFonts w:ascii="Calibri" w:hAnsi="Calibri"/>
                <w:bCs/>
                <w:szCs w:val="20"/>
              </w:rPr>
              <w:t>6</w:t>
            </w:r>
          </w:p>
        </w:tc>
        <w:tc>
          <w:tcPr>
            <w:tcW w:w="949" w:type="dxa"/>
            <w:shd w:val="clear" w:color="auto" w:fill="auto"/>
            <w:vAlign w:val="center"/>
          </w:tcPr>
          <w:p w14:paraId="57E32EF4" w14:textId="77777777" w:rsidR="00087E50" w:rsidRPr="00404DA5" w:rsidRDefault="00087E50" w:rsidP="00BA3B1C">
            <w:pPr>
              <w:jc w:val="center"/>
              <w:rPr>
                <w:rFonts w:ascii="Calibri" w:hAnsi="Calibri"/>
                <w:bCs/>
                <w:szCs w:val="20"/>
              </w:rPr>
            </w:pPr>
            <w:r w:rsidRPr="00404DA5">
              <w:rPr>
                <w:rFonts w:ascii="Calibri" w:hAnsi="Calibri"/>
                <w:bCs/>
                <w:szCs w:val="20"/>
              </w:rPr>
              <w:t>10</w:t>
            </w:r>
          </w:p>
        </w:tc>
        <w:tc>
          <w:tcPr>
            <w:tcW w:w="959" w:type="dxa"/>
            <w:shd w:val="clear" w:color="auto" w:fill="auto"/>
            <w:vAlign w:val="center"/>
          </w:tcPr>
          <w:p w14:paraId="418D2580" w14:textId="77777777" w:rsidR="00087E50" w:rsidRPr="00404DA5" w:rsidRDefault="00087E50" w:rsidP="00BA3B1C">
            <w:pPr>
              <w:jc w:val="center"/>
              <w:rPr>
                <w:rFonts w:ascii="Calibri" w:hAnsi="Calibri"/>
                <w:bCs/>
                <w:szCs w:val="20"/>
              </w:rPr>
            </w:pPr>
            <w:r w:rsidRPr="00404DA5">
              <w:rPr>
                <w:rFonts w:ascii="Calibri" w:hAnsi="Calibri"/>
                <w:bCs/>
                <w:szCs w:val="20"/>
              </w:rPr>
              <w:t>166,7%</w:t>
            </w:r>
          </w:p>
        </w:tc>
        <w:tc>
          <w:tcPr>
            <w:tcW w:w="949" w:type="dxa"/>
            <w:shd w:val="clear" w:color="auto" w:fill="auto"/>
            <w:vAlign w:val="center"/>
          </w:tcPr>
          <w:p w14:paraId="5EE477B0" w14:textId="77777777" w:rsidR="00087E50" w:rsidRPr="00404DA5" w:rsidRDefault="00087E50" w:rsidP="00BA3B1C">
            <w:pPr>
              <w:jc w:val="center"/>
              <w:rPr>
                <w:rFonts w:ascii="Calibri" w:hAnsi="Calibri"/>
                <w:bCs/>
                <w:szCs w:val="20"/>
              </w:rPr>
            </w:pPr>
            <w:r w:rsidRPr="00404DA5">
              <w:rPr>
                <w:rFonts w:ascii="Calibri" w:hAnsi="Calibri"/>
                <w:bCs/>
                <w:szCs w:val="20"/>
              </w:rPr>
              <w:t>1</w:t>
            </w:r>
          </w:p>
        </w:tc>
        <w:tc>
          <w:tcPr>
            <w:tcW w:w="959" w:type="dxa"/>
            <w:shd w:val="clear" w:color="auto" w:fill="auto"/>
            <w:vAlign w:val="center"/>
          </w:tcPr>
          <w:p w14:paraId="7DD0931E" w14:textId="77777777" w:rsidR="00087E50" w:rsidRPr="00404DA5" w:rsidRDefault="00087E50" w:rsidP="00BA3B1C">
            <w:pPr>
              <w:jc w:val="center"/>
              <w:rPr>
                <w:rFonts w:ascii="Calibri" w:hAnsi="Calibri"/>
                <w:bCs/>
                <w:szCs w:val="20"/>
              </w:rPr>
            </w:pPr>
            <w:r w:rsidRPr="00404DA5">
              <w:rPr>
                <w:rFonts w:ascii="Calibri" w:hAnsi="Calibri"/>
                <w:bCs/>
                <w:szCs w:val="20"/>
              </w:rPr>
              <w:t>16,7%</w:t>
            </w:r>
          </w:p>
        </w:tc>
      </w:tr>
      <w:tr w:rsidR="00087E50" w:rsidRPr="00E5277F" w14:paraId="3BEED515" w14:textId="77777777" w:rsidTr="00BA3B1C">
        <w:tc>
          <w:tcPr>
            <w:tcW w:w="704" w:type="dxa"/>
            <w:shd w:val="clear" w:color="auto" w:fill="auto"/>
            <w:vAlign w:val="center"/>
          </w:tcPr>
          <w:p w14:paraId="7D95ADE9" w14:textId="77777777" w:rsidR="00087E50" w:rsidRPr="00404DA5" w:rsidRDefault="00087E50" w:rsidP="00BA3B1C">
            <w:pPr>
              <w:jc w:val="center"/>
              <w:rPr>
                <w:rFonts w:cs="Calibri"/>
                <w:sz w:val="18"/>
                <w:szCs w:val="18"/>
              </w:rPr>
            </w:pPr>
            <w:r w:rsidRPr="00404DA5">
              <w:rPr>
                <w:rFonts w:cs="Calibri"/>
                <w:sz w:val="18"/>
                <w:szCs w:val="18"/>
              </w:rPr>
              <w:t>WP</w:t>
            </w:r>
          </w:p>
        </w:tc>
        <w:tc>
          <w:tcPr>
            <w:tcW w:w="851" w:type="dxa"/>
            <w:shd w:val="clear" w:color="auto" w:fill="auto"/>
            <w:vAlign w:val="center"/>
          </w:tcPr>
          <w:p w14:paraId="723DBD7A" w14:textId="77777777" w:rsidR="00087E50" w:rsidRPr="00404DA5" w:rsidRDefault="00087E50" w:rsidP="00BA3B1C">
            <w:pPr>
              <w:rPr>
                <w:rFonts w:ascii="Calibri" w:hAnsi="Calibri"/>
                <w:bCs/>
                <w:szCs w:val="20"/>
              </w:rPr>
            </w:pPr>
            <w:r w:rsidRPr="00404DA5">
              <w:rPr>
                <w:rFonts w:ascii="Calibri" w:hAnsi="Calibri"/>
                <w:bCs/>
                <w:szCs w:val="20"/>
              </w:rPr>
              <w:t>2.1, 2.2, 2.3, 2.4</w:t>
            </w:r>
          </w:p>
        </w:tc>
        <w:tc>
          <w:tcPr>
            <w:tcW w:w="1945" w:type="dxa"/>
            <w:shd w:val="clear" w:color="auto" w:fill="auto"/>
            <w:vAlign w:val="center"/>
          </w:tcPr>
          <w:p w14:paraId="459AD8A5" w14:textId="77777777" w:rsidR="00087E50" w:rsidRPr="00404DA5" w:rsidRDefault="00087E50" w:rsidP="00BA3B1C">
            <w:pPr>
              <w:rPr>
                <w:rFonts w:ascii="Calibri" w:hAnsi="Calibri"/>
                <w:bCs/>
                <w:szCs w:val="20"/>
              </w:rPr>
            </w:pPr>
            <w:r w:rsidRPr="00404DA5">
              <w:rPr>
                <w:rFonts w:ascii="Calibri" w:hAnsi="Calibri"/>
                <w:bCs/>
                <w:szCs w:val="20"/>
              </w:rPr>
              <w:t>Liczba zainstalowanych inteligentnych systemów transportowych</w:t>
            </w:r>
          </w:p>
        </w:tc>
        <w:tc>
          <w:tcPr>
            <w:tcW w:w="830" w:type="dxa"/>
            <w:shd w:val="clear" w:color="auto" w:fill="auto"/>
            <w:vAlign w:val="center"/>
          </w:tcPr>
          <w:p w14:paraId="60761E5C" w14:textId="77777777" w:rsidR="00087E50" w:rsidRPr="00404DA5" w:rsidRDefault="00087E50" w:rsidP="00BA3B1C">
            <w:pPr>
              <w:jc w:val="center"/>
              <w:rPr>
                <w:rFonts w:ascii="Calibri" w:hAnsi="Calibri"/>
                <w:bCs/>
                <w:szCs w:val="20"/>
              </w:rPr>
            </w:pPr>
            <w:r w:rsidRPr="00404DA5">
              <w:rPr>
                <w:rFonts w:ascii="Calibri" w:hAnsi="Calibri"/>
                <w:bCs/>
                <w:szCs w:val="20"/>
              </w:rPr>
              <w:t>szt.</w:t>
            </w:r>
          </w:p>
        </w:tc>
        <w:tc>
          <w:tcPr>
            <w:tcW w:w="916" w:type="dxa"/>
            <w:shd w:val="clear" w:color="auto" w:fill="auto"/>
            <w:vAlign w:val="center"/>
          </w:tcPr>
          <w:p w14:paraId="2E77A942" w14:textId="77777777" w:rsidR="00087E50" w:rsidRPr="00404DA5" w:rsidRDefault="00087E50" w:rsidP="00BA3B1C">
            <w:pPr>
              <w:jc w:val="center"/>
              <w:rPr>
                <w:rFonts w:ascii="Calibri" w:hAnsi="Calibri"/>
                <w:bCs/>
                <w:szCs w:val="20"/>
              </w:rPr>
            </w:pPr>
            <w:r w:rsidRPr="00404DA5">
              <w:rPr>
                <w:rFonts w:ascii="Calibri" w:hAnsi="Calibri"/>
                <w:bCs/>
                <w:szCs w:val="20"/>
              </w:rPr>
              <w:t>3</w:t>
            </w:r>
          </w:p>
        </w:tc>
        <w:tc>
          <w:tcPr>
            <w:tcW w:w="949" w:type="dxa"/>
            <w:shd w:val="clear" w:color="auto" w:fill="auto"/>
            <w:vAlign w:val="center"/>
          </w:tcPr>
          <w:p w14:paraId="3FA509CA" w14:textId="77777777" w:rsidR="00087E50" w:rsidRPr="00404DA5" w:rsidRDefault="00087E50" w:rsidP="00BA3B1C">
            <w:pPr>
              <w:jc w:val="center"/>
              <w:rPr>
                <w:rFonts w:ascii="Calibri" w:hAnsi="Calibri"/>
                <w:bCs/>
                <w:szCs w:val="20"/>
              </w:rPr>
            </w:pPr>
            <w:r w:rsidRPr="00404DA5">
              <w:rPr>
                <w:rFonts w:ascii="Calibri" w:hAnsi="Calibri"/>
                <w:bCs/>
                <w:szCs w:val="20"/>
              </w:rPr>
              <w:t>0</w:t>
            </w:r>
          </w:p>
        </w:tc>
        <w:tc>
          <w:tcPr>
            <w:tcW w:w="959" w:type="dxa"/>
            <w:shd w:val="clear" w:color="auto" w:fill="auto"/>
            <w:vAlign w:val="center"/>
          </w:tcPr>
          <w:p w14:paraId="397568CB" w14:textId="77777777" w:rsidR="00087E50" w:rsidRPr="00404DA5" w:rsidRDefault="00087E50" w:rsidP="00BA3B1C">
            <w:pPr>
              <w:jc w:val="center"/>
              <w:rPr>
                <w:rFonts w:ascii="Calibri" w:hAnsi="Calibri"/>
                <w:bCs/>
                <w:szCs w:val="20"/>
              </w:rPr>
            </w:pPr>
            <w:r w:rsidRPr="00404DA5">
              <w:rPr>
                <w:rFonts w:ascii="Calibri" w:hAnsi="Calibri"/>
                <w:bCs/>
                <w:szCs w:val="20"/>
              </w:rPr>
              <w:t>0,0%</w:t>
            </w:r>
          </w:p>
        </w:tc>
        <w:tc>
          <w:tcPr>
            <w:tcW w:w="949" w:type="dxa"/>
            <w:shd w:val="clear" w:color="auto" w:fill="auto"/>
            <w:vAlign w:val="center"/>
          </w:tcPr>
          <w:p w14:paraId="6842087D" w14:textId="77777777" w:rsidR="00087E50" w:rsidRPr="00404DA5" w:rsidRDefault="00087E50" w:rsidP="00BA3B1C">
            <w:pPr>
              <w:jc w:val="center"/>
              <w:rPr>
                <w:rFonts w:ascii="Calibri" w:hAnsi="Calibri"/>
                <w:bCs/>
                <w:szCs w:val="20"/>
              </w:rPr>
            </w:pPr>
            <w:r w:rsidRPr="00404DA5">
              <w:rPr>
                <w:rFonts w:ascii="Calibri" w:hAnsi="Calibri"/>
                <w:bCs/>
                <w:szCs w:val="20"/>
              </w:rPr>
              <w:t>0</w:t>
            </w:r>
          </w:p>
        </w:tc>
        <w:tc>
          <w:tcPr>
            <w:tcW w:w="959" w:type="dxa"/>
            <w:shd w:val="clear" w:color="auto" w:fill="auto"/>
            <w:vAlign w:val="center"/>
          </w:tcPr>
          <w:p w14:paraId="484C8DF5" w14:textId="77777777" w:rsidR="00087E50" w:rsidRPr="00404DA5" w:rsidRDefault="00087E50" w:rsidP="00BA3B1C">
            <w:pPr>
              <w:jc w:val="center"/>
              <w:rPr>
                <w:rFonts w:ascii="Calibri" w:hAnsi="Calibri"/>
                <w:bCs/>
                <w:szCs w:val="20"/>
              </w:rPr>
            </w:pPr>
            <w:r w:rsidRPr="00404DA5">
              <w:rPr>
                <w:rFonts w:ascii="Calibri" w:hAnsi="Calibri"/>
                <w:bCs/>
                <w:szCs w:val="20"/>
              </w:rPr>
              <w:t>0,0%</w:t>
            </w:r>
          </w:p>
        </w:tc>
      </w:tr>
    </w:tbl>
    <w:p w14:paraId="547161BE" w14:textId="77777777" w:rsidR="00087E50" w:rsidRPr="002A5FDF" w:rsidRDefault="00087E50"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1CBF8B12" w14:textId="77777777" w:rsidR="00087E50" w:rsidRDefault="00087E50" w:rsidP="00087E50">
      <w:pPr>
        <w:pStyle w:val="Bezodstpw"/>
        <w:spacing w:before="120" w:after="120" w:line="288" w:lineRule="auto"/>
        <w:jc w:val="both"/>
        <w:rPr>
          <w:rFonts w:ascii="Lato" w:hAnsi="Lato"/>
        </w:rPr>
      </w:pPr>
      <w:r>
        <w:rPr>
          <w:rFonts w:ascii="Lato" w:hAnsi="Lato"/>
        </w:rPr>
        <w:t>Postęp rzeczowy dla PI 4e na dzień 7.01.2019 r. ocenia się pozytywnie. Zakontraktowane umowy pozwalają wnioskować</w:t>
      </w:r>
      <w:r w:rsidR="00E66B89">
        <w:rPr>
          <w:rFonts w:ascii="Lato" w:hAnsi="Lato"/>
        </w:rPr>
        <w:t xml:space="preserve"> o </w:t>
      </w:r>
      <w:r>
        <w:rPr>
          <w:rFonts w:ascii="Lato" w:hAnsi="Lato"/>
        </w:rPr>
        <w:t xml:space="preserve">braku zagrożenia dla osiągnięcia celów na rok 2023. Wyjątkiem jest wskaźnik </w:t>
      </w:r>
      <w:r w:rsidRPr="004329CA">
        <w:rPr>
          <w:rFonts w:ascii="Lato" w:hAnsi="Lato"/>
          <w:i/>
        </w:rPr>
        <w:t>Liczba zainstalowanych inteligentnych systemów transportowych</w:t>
      </w:r>
      <w:r>
        <w:rPr>
          <w:rFonts w:ascii="Lato" w:hAnsi="Lato"/>
        </w:rPr>
        <w:t>, dla którego nie odnotowano kontraktacji.</w:t>
      </w:r>
    </w:p>
    <w:p w14:paraId="7B46EB3B" w14:textId="77777777" w:rsidR="00087E50" w:rsidRDefault="00087E50" w:rsidP="00087E50">
      <w:pPr>
        <w:pStyle w:val="Bezodstpw"/>
        <w:spacing w:before="120" w:after="120" w:line="288" w:lineRule="auto"/>
        <w:jc w:val="both"/>
        <w:rPr>
          <w:rFonts w:ascii="Lato" w:hAnsi="Lato"/>
        </w:rPr>
      </w:pPr>
      <w:r>
        <w:rPr>
          <w:rFonts w:ascii="Lato" w:hAnsi="Lato"/>
        </w:rPr>
        <w:t>W obliczu lawinowo wzrastających cen oraz ograniczonej podaży siły roboczej postęp osiągania wskaźnika dotyczącego d</w:t>
      </w:r>
      <w:r w:rsidRPr="006E1084">
        <w:rPr>
          <w:rFonts w:ascii="Lato" w:hAnsi="Lato"/>
        </w:rPr>
        <w:t>ługości wspartej infrastruktury rowerowej należy uznać za wynik bardzo dobry. Podczas gdy wartość docelową do osiągnięcia na koniec 2023 roku ustalon</w:t>
      </w:r>
      <w:r>
        <w:rPr>
          <w:rFonts w:ascii="Lato" w:hAnsi="Lato"/>
        </w:rPr>
        <w:t>o na 88</w:t>
      </w:r>
      <w:r w:rsidRPr="006E1084">
        <w:rPr>
          <w:rFonts w:ascii="Lato" w:hAnsi="Lato"/>
        </w:rPr>
        <w:t xml:space="preserve"> km, podpisane umowy</w:t>
      </w:r>
      <w:r w:rsidR="00E66B89">
        <w:rPr>
          <w:rFonts w:ascii="Lato" w:hAnsi="Lato"/>
        </w:rPr>
        <w:t xml:space="preserve"> o </w:t>
      </w:r>
      <w:r w:rsidRPr="006E1084">
        <w:rPr>
          <w:rFonts w:ascii="Lato" w:hAnsi="Lato"/>
        </w:rPr>
        <w:t>dofinans</w:t>
      </w:r>
      <w:r>
        <w:rPr>
          <w:rFonts w:ascii="Lato" w:hAnsi="Lato"/>
        </w:rPr>
        <w:t>owanie zakładają wsparcie aż 150,75 km co stanowi 171,3</w:t>
      </w:r>
      <w:r w:rsidRPr="006E1084">
        <w:rPr>
          <w:rFonts w:ascii="Lato" w:hAnsi="Lato"/>
        </w:rPr>
        <w:t>% celu. Przedłożone przez beneficjentów wnioski</w:t>
      </w:r>
      <w:r w:rsidR="00E66B89">
        <w:rPr>
          <w:rFonts w:ascii="Lato" w:hAnsi="Lato"/>
        </w:rPr>
        <w:t xml:space="preserve"> o </w:t>
      </w:r>
      <w:r>
        <w:rPr>
          <w:rFonts w:ascii="Lato" w:hAnsi="Lato"/>
        </w:rPr>
        <w:t>płatność dokumentują wsparcie 23,74</w:t>
      </w:r>
      <w:r w:rsidRPr="006E1084">
        <w:rPr>
          <w:rFonts w:ascii="Lato" w:hAnsi="Lato"/>
        </w:rPr>
        <w:t xml:space="preserve"> km co już na tym etapie wdrażania RPO WZ 2014-2020 </w:t>
      </w:r>
      <w:r>
        <w:rPr>
          <w:rFonts w:ascii="Lato" w:hAnsi="Lato"/>
        </w:rPr>
        <w:t>oznacza realizację na poziomie 27,0</w:t>
      </w:r>
      <w:r w:rsidRPr="006E1084">
        <w:rPr>
          <w:rFonts w:ascii="Lato" w:hAnsi="Lato"/>
        </w:rPr>
        <w:t>%.</w:t>
      </w:r>
    </w:p>
    <w:p w14:paraId="6ABB3163" w14:textId="77777777" w:rsidR="00087E50" w:rsidRPr="005F384E" w:rsidRDefault="00087E50" w:rsidP="00087E50">
      <w:pPr>
        <w:pStyle w:val="Bezodstpw"/>
        <w:spacing w:before="120" w:after="120" w:line="288" w:lineRule="auto"/>
        <w:jc w:val="both"/>
        <w:rPr>
          <w:rFonts w:ascii="Lato" w:hAnsi="Lato"/>
        </w:rPr>
      </w:pPr>
      <w:r>
        <w:rPr>
          <w:rFonts w:ascii="Lato" w:hAnsi="Lato"/>
        </w:rPr>
        <w:lastRenderedPageBreak/>
        <w:t>Podobnie kształtuje się sytuacja, jeżeli chodzi</w:t>
      </w:r>
      <w:r w:rsidR="00E66B89">
        <w:rPr>
          <w:rFonts w:ascii="Lato" w:hAnsi="Lato"/>
        </w:rPr>
        <w:t xml:space="preserve"> o </w:t>
      </w:r>
      <w:r>
        <w:rPr>
          <w:rFonts w:ascii="Lato" w:hAnsi="Lato"/>
        </w:rPr>
        <w:t xml:space="preserve">wskaźnik produktu pn. </w:t>
      </w:r>
      <w:r w:rsidRPr="004329CA">
        <w:rPr>
          <w:rFonts w:ascii="Lato" w:hAnsi="Lato"/>
          <w:i/>
        </w:rPr>
        <w:t>Liczba zakupionych lub zmodernizowanych jednostek taboru pasażerskiego</w:t>
      </w:r>
      <w:r w:rsidR="00E66B89">
        <w:rPr>
          <w:rFonts w:ascii="Lato" w:hAnsi="Lato"/>
          <w:i/>
        </w:rPr>
        <w:t xml:space="preserve"> w </w:t>
      </w:r>
      <w:r w:rsidRPr="004329CA">
        <w:rPr>
          <w:rFonts w:ascii="Lato" w:hAnsi="Lato"/>
          <w:i/>
        </w:rPr>
        <w:t>publicznym transporcie zbiorowym komunikacji miejskiej</w:t>
      </w:r>
      <w:r w:rsidRPr="005F384E">
        <w:rPr>
          <w:rFonts w:ascii="Lato" w:hAnsi="Lato"/>
        </w:rPr>
        <w:t>. Do dnia 7 stycznia 2019 roku zawarte umowy dofinansowania zabezpieczają zakup lub modernizację 127 sztuk taboru pasażerskiego.</w:t>
      </w:r>
      <w:r w:rsidR="00E66B89">
        <w:rPr>
          <w:rFonts w:ascii="Lato" w:hAnsi="Lato"/>
        </w:rPr>
        <w:t xml:space="preserve"> W </w:t>
      </w:r>
      <w:r w:rsidRPr="005F384E">
        <w:rPr>
          <w:rFonts w:ascii="Lato" w:hAnsi="Lato"/>
        </w:rPr>
        <w:t>związku</w:t>
      </w:r>
      <w:r w:rsidR="00E66B89">
        <w:rPr>
          <w:rFonts w:ascii="Lato" w:hAnsi="Lato"/>
        </w:rPr>
        <w:t xml:space="preserve"> z </w:t>
      </w:r>
      <w:r w:rsidRPr="005F384E">
        <w:rPr>
          <w:rFonts w:ascii="Lato" w:hAnsi="Lato"/>
        </w:rPr>
        <w:t>ustaleniem wartości docelowej wskaźnika na 84 sztuki taboru, dotychczasowa kontraktacja realizuje go</w:t>
      </w:r>
      <w:r w:rsidR="00E66B89">
        <w:rPr>
          <w:rFonts w:ascii="Lato" w:hAnsi="Lato"/>
        </w:rPr>
        <w:t xml:space="preserve"> w </w:t>
      </w:r>
      <w:r w:rsidRPr="005F384E">
        <w:rPr>
          <w:rFonts w:ascii="Lato" w:hAnsi="Lato"/>
        </w:rPr>
        <w:t>151,2%. Złożone wnioski</w:t>
      </w:r>
      <w:r w:rsidR="00E66B89">
        <w:rPr>
          <w:rFonts w:ascii="Lato" w:hAnsi="Lato"/>
        </w:rPr>
        <w:t xml:space="preserve"> o </w:t>
      </w:r>
      <w:r w:rsidRPr="005F384E">
        <w:rPr>
          <w:rFonts w:ascii="Lato" w:hAnsi="Lato"/>
        </w:rPr>
        <w:t>płatność dokumentują zakup lub modernizację 56 sztuk taboru co wypełnia cel</w:t>
      </w:r>
      <w:r w:rsidR="00E66B89">
        <w:rPr>
          <w:rFonts w:ascii="Lato" w:hAnsi="Lato"/>
        </w:rPr>
        <w:t xml:space="preserve"> w </w:t>
      </w:r>
      <w:r w:rsidRPr="005F384E">
        <w:rPr>
          <w:rFonts w:ascii="Lato" w:hAnsi="Lato"/>
        </w:rPr>
        <w:t>66,7%.</w:t>
      </w:r>
    </w:p>
    <w:p w14:paraId="2A62A604" w14:textId="77777777" w:rsidR="00087E50" w:rsidRDefault="00087E50" w:rsidP="00087E50">
      <w:pPr>
        <w:rPr>
          <w:szCs w:val="20"/>
        </w:rPr>
      </w:pPr>
      <w:r w:rsidRPr="005F384E">
        <w:rPr>
          <w:szCs w:val="20"/>
        </w:rPr>
        <w:t xml:space="preserve">Zakontraktowaną wartość wskaźnika rozpatrywać należy jako optymistyczną. Zachowanie dotychczasowego wzrostu może okazać się jednak trudne ze względu na przewidywany wzrost kosztu jednostkowego jednostki taboru. </w:t>
      </w:r>
      <w:r w:rsidRPr="004329CA">
        <w:rPr>
          <w:szCs w:val="20"/>
        </w:rPr>
        <w:t>Znaczący wpływ na</w:t>
      </w:r>
      <w:r>
        <w:rPr>
          <w:szCs w:val="20"/>
        </w:rPr>
        <w:t xml:space="preserve"> obecną</w:t>
      </w:r>
      <w:r w:rsidRPr="004329CA">
        <w:rPr>
          <w:szCs w:val="20"/>
        </w:rPr>
        <w:t xml:space="preserve"> wysoką wartość wskaźnika miała</w:t>
      </w:r>
      <w:r w:rsidR="00E66B89">
        <w:rPr>
          <w:szCs w:val="20"/>
        </w:rPr>
        <w:t xml:space="preserve"> w </w:t>
      </w:r>
      <w:r w:rsidRPr="004329CA">
        <w:rPr>
          <w:szCs w:val="20"/>
        </w:rPr>
        <w:t>tym przypadku zmiana wymogów Komisji Europejskiej dotyczących parametrów technicznych taboru autobusowego, który może zostać dofinansowany</w:t>
      </w:r>
      <w:r w:rsidR="00E66B89">
        <w:rPr>
          <w:szCs w:val="20"/>
        </w:rPr>
        <w:t xml:space="preserve"> w </w:t>
      </w:r>
      <w:r w:rsidRPr="004329CA">
        <w:rPr>
          <w:szCs w:val="20"/>
        </w:rPr>
        <w:t>ramach wsparcia.</w:t>
      </w:r>
      <w:r w:rsidR="00E66B89">
        <w:rPr>
          <w:szCs w:val="20"/>
        </w:rPr>
        <w:t xml:space="preserve"> W </w:t>
      </w:r>
      <w:r w:rsidRPr="004329CA">
        <w:rPr>
          <w:szCs w:val="20"/>
        </w:rPr>
        <w:t>trakcie przygotowywania programu zakładano bowiem, iż autobusy kupowane</w:t>
      </w:r>
      <w:r w:rsidR="00E66B89">
        <w:rPr>
          <w:szCs w:val="20"/>
        </w:rPr>
        <w:t xml:space="preserve"> i </w:t>
      </w:r>
      <w:r w:rsidRPr="004329CA">
        <w:rPr>
          <w:szCs w:val="20"/>
        </w:rPr>
        <w:t>modernizowane</w:t>
      </w:r>
      <w:r w:rsidR="00E66B89">
        <w:rPr>
          <w:szCs w:val="20"/>
        </w:rPr>
        <w:t xml:space="preserve"> w </w:t>
      </w:r>
      <w:r w:rsidRPr="004329CA">
        <w:rPr>
          <w:szCs w:val="20"/>
        </w:rPr>
        <w:t>ramach projektów muszą być zasilane paliwem alternatywnym. Jednak</w:t>
      </w:r>
      <w:r w:rsidR="00E66B89">
        <w:rPr>
          <w:szCs w:val="20"/>
        </w:rPr>
        <w:t xml:space="preserve"> w </w:t>
      </w:r>
      <w:r w:rsidRPr="004329CA">
        <w:rPr>
          <w:szCs w:val="20"/>
        </w:rPr>
        <w:t>wyniku negocjacji Komisji Europejskiej</w:t>
      </w:r>
      <w:r w:rsidR="00E66B89">
        <w:rPr>
          <w:szCs w:val="20"/>
        </w:rPr>
        <w:t xml:space="preserve"> i </w:t>
      </w:r>
      <w:r w:rsidRPr="004329CA">
        <w:rPr>
          <w:szCs w:val="20"/>
        </w:rPr>
        <w:t>polskiego rządu dopuszczono,</w:t>
      </w:r>
      <w:r w:rsidR="00E66B89">
        <w:rPr>
          <w:szCs w:val="20"/>
        </w:rPr>
        <w:t xml:space="preserve"> w </w:t>
      </w:r>
      <w:r w:rsidRPr="004329CA">
        <w:rPr>
          <w:szCs w:val="20"/>
        </w:rPr>
        <w:t>drodze wyjątku, możliwość finansowania autobusów</w:t>
      </w:r>
      <w:r w:rsidR="00E66B89">
        <w:rPr>
          <w:szCs w:val="20"/>
        </w:rPr>
        <w:t xml:space="preserve"> z </w:t>
      </w:r>
      <w:r w:rsidRPr="004329CA">
        <w:rPr>
          <w:szCs w:val="20"/>
        </w:rPr>
        <w:t>silnikami diesel (Euro - 6), które są tańsze, niż ich bardziej ekologiczne warianty. Decyzja ta wpłynęła na znaczne obniżenie kosztów realizowanych projektów. Dodatkowo, ceny autobusów, jakie beneficjenci uzyskiwali</w:t>
      </w:r>
      <w:r w:rsidR="00E66B89">
        <w:rPr>
          <w:szCs w:val="20"/>
        </w:rPr>
        <w:t xml:space="preserve"> w </w:t>
      </w:r>
      <w:r w:rsidRPr="004329CA">
        <w:rPr>
          <w:szCs w:val="20"/>
        </w:rPr>
        <w:t>negocjacjach</w:t>
      </w:r>
      <w:r w:rsidR="00E66B89">
        <w:rPr>
          <w:szCs w:val="20"/>
        </w:rPr>
        <w:t xml:space="preserve"> z </w:t>
      </w:r>
      <w:r w:rsidRPr="004329CA">
        <w:rPr>
          <w:szCs w:val="20"/>
        </w:rPr>
        <w:t>producentami taboru były często niższe niż szacunki tworzone podczas opracowywania Programu, dzięki czemu</w:t>
      </w:r>
      <w:r w:rsidR="00E66B89">
        <w:rPr>
          <w:szCs w:val="20"/>
        </w:rPr>
        <w:t xml:space="preserve"> w </w:t>
      </w:r>
      <w:r w:rsidRPr="004329CA">
        <w:rPr>
          <w:szCs w:val="20"/>
        </w:rPr>
        <w:t>ramach jednego projektu można było zakupić większą liczbę pojazdów. Obecna wersja Umowy Partnerstwa (23.10.2017 r.), po zmianie dokonanej</w:t>
      </w:r>
      <w:r w:rsidR="00E66B89">
        <w:rPr>
          <w:szCs w:val="20"/>
        </w:rPr>
        <w:t xml:space="preserve"> w </w:t>
      </w:r>
      <w:r w:rsidRPr="004329CA">
        <w:rPr>
          <w:szCs w:val="20"/>
        </w:rPr>
        <w:t>2017 r. zakłada, iż nie jest już możliwe ogłaszanie nowych naborów wniosków dopuszczających pojazdy zasilane dieslem Euro-6,</w:t>
      </w:r>
      <w:r w:rsidR="00E66B89">
        <w:rPr>
          <w:szCs w:val="20"/>
        </w:rPr>
        <w:t xml:space="preserve"> a </w:t>
      </w:r>
      <w:r w:rsidRPr="004329CA">
        <w:rPr>
          <w:szCs w:val="20"/>
        </w:rPr>
        <w:t>kryteria zawarte</w:t>
      </w:r>
      <w:r w:rsidR="00E66B89">
        <w:rPr>
          <w:szCs w:val="20"/>
        </w:rPr>
        <w:t xml:space="preserve"> w </w:t>
      </w:r>
      <w:r w:rsidRPr="004329CA">
        <w:rPr>
          <w:szCs w:val="20"/>
        </w:rPr>
        <w:t>SOOP informują, że</w:t>
      </w:r>
      <w:r w:rsidR="00E66B89">
        <w:rPr>
          <w:szCs w:val="20"/>
        </w:rPr>
        <w:t xml:space="preserve"> w </w:t>
      </w:r>
      <w:r w:rsidRPr="004329CA">
        <w:rPr>
          <w:szCs w:val="20"/>
        </w:rPr>
        <w:t>uzasadnionych przypadkach, tzn. tam</w:t>
      </w:r>
      <w:r>
        <w:rPr>
          <w:szCs w:val="20"/>
        </w:rPr>
        <w:t>,</w:t>
      </w:r>
      <w:r w:rsidRPr="004329CA">
        <w:rPr>
          <w:szCs w:val="20"/>
        </w:rPr>
        <w:t xml:space="preserve"> gdzie inwestycje</w:t>
      </w:r>
      <w:r w:rsidR="00E66B89">
        <w:rPr>
          <w:szCs w:val="20"/>
        </w:rPr>
        <w:t xml:space="preserve"> w </w:t>
      </w:r>
      <w:r w:rsidRPr="004329CA">
        <w:rPr>
          <w:szCs w:val="20"/>
        </w:rPr>
        <w:t>tabor bezemisyjny byłyby całkowicie nieuzasadnione, możliwe jest wsparcie projektów dotyczących pojazdów</w:t>
      </w:r>
      <w:r w:rsidR="00E66B89">
        <w:rPr>
          <w:szCs w:val="20"/>
        </w:rPr>
        <w:t xml:space="preserve"> z </w:t>
      </w:r>
      <w:r w:rsidRPr="004329CA">
        <w:rPr>
          <w:szCs w:val="20"/>
        </w:rPr>
        <w:t>silnikami hybrydowymi łączącymi paliwo diesel (Euro - 6) oraz napęd elektryczny.</w:t>
      </w:r>
      <w:r>
        <w:rPr>
          <w:szCs w:val="20"/>
        </w:rPr>
        <w:t xml:space="preserve"> </w:t>
      </w:r>
    </w:p>
    <w:p w14:paraId="2587B561" w14:textId="77777777" w:rsidR="00087E50" w:rsidRPr="006E6E2E" w:rsidRDefault="00087E50" w:rsidP="00087E50">
      <w:pPr>
        <w:rPr>
          <w:szCs w:val="20"/>
        </w:rPr>
      </w:pPr>
      <w:r w:rsidRPr="006E6E2E">
        <w:rPr>
          <w:szCs w:val="20"/>
        </w:rPr>
        <w:t>Również wskaźnik dotyczący liczby wybudowanych zintegrowanych węzłów przesiadkowych wykazuje pozytywne tempo realizacji. Spośród założonych do wybudowania 6 zintegrowanych węzłów przesiadkowych, podpisane umowy przewidują budowę 10</w:t>
      </w:r>
      <w:r>
        <w:rPr>
          <w:szCs w:val="20"/>
        </w:rPr>
        <w:t>,</w:t>
      </w:r>
      <w:r w:rsidRPr="006E6E2E">
        <w:rPr>
          <w:szCs w:val="20"/>
        </w:rPr>
        <w:t xml:space="preserve"> co stanowi 166,7% celu. Złożone przez beneficjentów wnioski</w:t>
      </w:r>
      <w:r w:rsidR="00E66B89">
        <w:rPr>
          <w:szCs w:val="20"/>
        </w:rPr>
        <w:t xml:space="preserve"> o </w:t>
      </w:r>
      <w:r w:rsidRPr="006E6E2E">
        <w:rPr>
          <w:szCs w:val="20"/>
        </w:rPr>
        <w:t>płatność dokumentują powstanie jednego węzła przesiadkowego co czyni wartość docelową wypełnioną</w:t>
      </w:r>
      <w:r w:rsidR="00E66B89">
        <w:rPr>
          <w:szCs w:val="20"/>
        </w:rPr>
        <w:t xml:space="preserve"> w </w:t>
      </w:r>
      <w:r w:rsidRPr="006E6E2E">
        <w:rPr>
          <w:szCs w:val="20"/>
        </w:rPr>
        <w:t>16,7%.</w:t>
      </w:r>
      <w:r>
        <w:rPr>
          <w:szCs w:val="20"/>
        </w:rPr>
        <w:t xml:space="preserve"> Postęp wskaźnika jest</w:t>
      </w:r>
      <w:r w:rsidR="00E66B89">
        <w:rPr>
          <w:szCs w:val="20"/>
        </w:rPr>
        <w:t xml:space="preserve"> w </w:t>
      </w:r>
      <w:r>
        <w:rPr>
          <w:szCs w:val="20"/>
        </w:rPr>
        <w:t xml:space="preserve">dużej mierze uwarunkowany </w:t>
      </w:r>
      <w:r w:rsidRPr="00A45530">
        <w:rPr>
          <w:szCs w:val="20"/>
        </w:rPr>
        <w:t>potrzebą ograniczania ruchu samochodowego</w:t>
      </w:r>
      <w:r w:rsidR="00E66B89">
        <w:rPr>
          <w:szCs w:val="20"/>
        </w:rPr>
        <w:t xml:space="preserve"> w </w:t>
      </w:r>
      <w:r w:rsidRPr="00A45530">
        <w:rPr>
          <w:szCs w:val="20"/>
        </w:rPr>
        <w:t>centrach miast. Jak omówiono wcześniej, według statystyk, systematycznie rośnie liczba aut</w:t>
      </w:r>
      <w:r>
        <w:rPr>
          <w:szCs w:val="20"/>
        </w:rPr>
        <w:t>,</w:t>
      </w:r>
      <w:r w:rsidRPr="00A45530">
        <w:rPr>
          <w:szCs w:val="20"/>
        </w:rPr>
        <w:t xml:space="preserve"> powodujących nie tylko kongestię, lecz także generujących nadmierne zanieczyszczenie powietrza. Obiekty tego typu mogą stanowić atrakcyjną formę węzłów przesiadkowych do tańszej niż indywidualne środki transportu komunikacji miejskiej. Ponieważ</w:t>
      </w:r>
      <w:r w:rsidR="00E66B89">
        <w:rPr>
          <w:szCs w:val="20"/>
        </w:rPr>
        <w:t xml:space="preserve"> w </w:t>
      </w:r>
      <w:r w:rsidRPr="00A45530">
        <w:rPr>
          <w:szCs w:val="20"/>
        </w:rPr>
        <w:t>ostatnich latach wzrasta jednocześnie świadomość społeczna związana</w:t>
      </w:r>
      <w:r w:rsidR="00E66B89">
        <w:rPr>
          <w:szCs w:val="20"/>
        </w:rPr>
        <w:t xml:space="preserve"> z </w:t>
      </w:r>
      <w:r w:rsidRPr="00A45530">
        <w:rPr>
          <w:szCs w:val="20"/>
        </w:rPr>
        <w:t xml:space="preserve">potrzebą zmniejszenia presji na środowisko przyrodnicze, inwestycje </w:t>
      </w:r>
      <w:r>
        <w:rPr>
          <w:szCs w:val="20"/>
        </w:rPr>
        <w:t>zintegrowane węzły przesiadkowe</w:t>
      </w:r>
      <w:r w:rsidRPr="00A45530">
        <w:rPr>
          <w:szCs w:val="20"/>
        </w:rPr>
        <w:t xml:space="preserve"> stają się także jedną</w:t>
      </w:r>
      <w:r w:rsidR="00E66B89">
        <w:rPr>
          <w:szCs w:val="20"/>
        </w:rPr>
        <w:t xml:space="preserve"> z </w:t>
      </w:r>
      <w:r w:rsidRPr="00A45530">
        <w:rPr>
          <w:szCs w:val="20"/>
        </w:rPr>
        <w:t>odpowiedzi na problem niskiej emisji</w:t>
      </w:r>
      <w:r w:rsidR="00E66B89">
        <w:rPr>
          <w:szCs w:val="20"/>
        </w:rPr>
        <w:t xml:space="preserve"> w </w:t>
      </w:r>
      <w:r w:rsidRPr="00A45530">
        <w:rPr>
          <w:szCs w:val="20"/>
        </w:rPr>
        <w:t>miastach.</w:t>
      </w:r>
    </w:p>
    <w:p w14:paraId="6246207B" w14:textId="77777777" w:rsidR="00087E50" w:rsidRDefault="00087E50" w:rsidP="00087E50">
      <w:pPr>
        <w:pStyle w:val="Bezodstpw"/>
        <w:spacing w:before="120" w:after="120" w:line="288" w:lineRule="auto"/>
        <w:jc w:val="both"/>
        <w:rPr>
          <w:rFonts w:ascii="Lato" w:hAnsi="Lato"/>
        </w:rPr>
      </w:pPr>
      <w:r w:rsidRPr="006E6E2E">
        <w:rPr>
          <w:rFonts w:ascii="Lato" w:hAnsi="Lato"/>
        </w:rPr>
        <w:t>Wynik dotyczący powyższego wskaźnika podobnie jak</w:t>
      </w:r>
      <w:r w:rsidR="00E66B89">
        <w:rPr>
          <w:rFonts w:ascii="Lato" w:hAnsi="Lato"/>
        </w:rPr>
        <w:t xml:space="preserve"> w </w:t>
      </w:r>
      <w:r w:rsidRPr="006E6E2E">
        <w:rPr>
          <w:rFonts w:ascii="Lato" w:hAnsi="Lato"/>
        </w:rPr>
        <w:t xml:space="preserve">przypadku </w:t>
      </w:r>
      <w:r>
        <w:rPr>
          <w:rFonts w:ascii="Lato" w:hAnsi="Lato"/>
        </w:rPr>
        <w:t>d</w:t>
      </w:r>
      <w:r w:rsidRPr="006E1084">
        <w:rPr>
          <w:rFonts w:ascii="Lato" w:hAnsi="Lato"/>
        </w:rPr>
        <w:t xml:space="preserve">ługości </w:t>
      </w:r>
      <w:r>
        <w:rPr>
          <w:rFonts w:ascii="Lato" w:hAnsi="Lato"/>
        </w:rPr>
        <w:t xml:space="preserve">ścieżek rowerowych należy uznać za zaskakująco dobry ze względu na </w:t>
      </w:r>
      <w:r w:rsidRPr="006E6E2E">
        <w:rPr>
          <w:rFonts w:ascii="Lato" w:hAnsi="Lato"/>
        </w:rPr>
        <w:t>znaczny wzrost cen</w:t>
      </w:r>
      <w:r w:rsidR="00E66B89">
        <w:rPr>
          <w:rFonts w:ascii="Lato" w:hAnsi="Lato"/>
        </w:rPr>
        <w:t xml:space="preserve"> i </w:t>
      </w:r>
      <w:r w:rsidRPr="006E6E2E">
        <w:rPr>
          <w:rFonts w:ascii="Lato" w:hAnsi="Lato"/>
        </w:rPr>
        <w:t>zmniejszający się kapitał ludzki zdolny wykonywać zakres projektowy.</w:t>
      </w:r>
      <w:r>
        <w:rPr>
          <w:rFonts w:ascii="Lato" w:hAnsi="Lato"/>
        </w:rPr>
        <w:t xml:space="preserve"> Na wartość wskaźnika </w:t>
      </w:r>
      <w:r w:rsidRPr="0059416A">
        <w:rPr>
          <w:rFonts w:ascii="Lato" w:hAnsi="Lato"/>
        </w:rPr>
        <w:t>oddziałują</w:t>
      </w:r>
      <w:r>
        <w:rPr>
          <w:rFonts w:ascii="Lato" w:hAnsi="Lato"/>
        </w:rPr>
        <w:t xml:space="preserve"> jednocześnie</w:t>
      </w:r>
      <w:r w:rsidRPr="0059416A">
        <w:rPr>
          <w:rFonts w:ascii="Lato" w:hAnsi="Lato"/>
        </w:rPr>
        <w:t xml:space="preserve"> projekty realizowane za pomocą instrumentu ZIT</w:t>
      </w:r>
      <w:r>
        <w:rPr>
          <w:rFonts w:ascii="Lato" w:hAnsi="Lato"/>
        </w:rPr>
        <w:t>,</w:t>
      </w:r>
      <w:r w:rsidR="00E66B89">
        <w:rPr>
          <w:rFonts w:ascii="Lato" w:hAnsi="Lato"/>
        </w:rPr>
        <w:t xml:space="preserve"> a </w:t>
      </w:r>
      <w:r>
        <w:rPr>
          <w:rFonts w:ascii="Lato" w:hAnsi="Lato"/>
        </w:rPr>
        <w:t>także KS</w:t>
      </w:r>
      <w:r w:rsidRPr="0059416A">
        <w:rPr>
          <w:rFonts w:ascii="Lato" w:hAnsi="Lato"/>
        </w:rPr>
        <w:t>. Dzięki preferencjom zawartym</w:t>
      </w:r>
      <w:r w:rsidR="00E66B89">
        <w:rPr>
          <w:rFonts w:ascii="Lato" w:hAnsi="Lato"/>
        </w:rPr>
        <w:t xml:space="preserve"> w </w:t>
      </w:r>
      <w:r w:rsidRPr="0059416A">
        <w:rPr>
          <w:rFonts w:ascii="Lato" w:hAnsi="Lato"/>
        </w:rPr>
        <w:t>Programie, związanym</w:t>
      </w:r>
      <w:r w:rsidR="00E66B89">
        <w:rPr>
          <w:rFonts w:ascii="Lato" w:hAnsi="Lato"/>
        </w:rPr>
        <w:t xml:space="preserve"> z </w:t>
      </w:r>
      <w:r w:rsidRPr="0059416A">
        <w:rPr>
          <w:rFonts w:ascii="Lato" w:hAnsi="Lato"/>
        </w:rPr>
        <w:t>partnerską formułą projektów wynikających ze Strategii ZIT, możliwe stało się osiąganie większych efektów przy niższych nakładach</w:t>
      </w:r>
      <w:r>
        <w:rPr>
          <w:rFonts w:ascii="Lato" w:hAnsi="Lato"/>
        </w:rPr>
        <w:t>, czego przykładem są zakupy niskoemisyjnego taboru autobusowego dla miasta Szczecin, obsługującego mieszkańców Szczecina oraz jednocześnie gmin przyległych do miasta Szczecin.</w:t>
      </w:r>
      <w:r w:rsidRPr="0059416A">
        <w:rPr>
          <w:rFonts w:ascii="Lato" w:hAnsi="Lato"/>
        </w:rPr>
        <w:t xml:space="preserve"> Jednocześnie warto pamiętać</w:t>
      </w:r>
      <w:r w:rsidR="00E66B89">
        <w:rPr>
          <w:rFonts w:ascii="Lato" w:hAnsi="Lato"/>
        </w:rPr>
        <w:t xml:space="preserve"> o </w:t>
      </w:r>
      <w:r w:rsidRPr="0059416A">
        <w:rPr>
          <w:rFonts w:ascii="Lato" w:hAnsi="Lato"/>
        </w:rPr>
        <w:t>wzroście świadomości społecznej</w:t>
      </w:r>
      <w:r w:rsidR="00E66B89">
        <w:rPr>
          <w:rFonts w:ascii="Lato" w:hAnsi="Lato"/>
        </w:rPr>
        <w:t xml:space="preserve"> i </w:t>
      </w:r>
      <w:r w:rsidRPr="0059416A">
        <w:rPr>
          <w:rFonts w:ascii="Lato" w:hAnsi="Lato"/>
        </w:rPr>
        <w:t>upowszechnianiu podróży rowerowych</w:t>
      </w:r>
      <w:r w:rsidR="00E66B89">
        <w:rPr>
          <w:rFonts w:ascii="Lato" w:hAnsi="Lato"/>
        </w:rPr>
        <w:t xml:space="preserve"> w </w:t>
      </w:r>
      <w:r w:rsidRPr="0059416A">
        <w:rPr>
          <w:rFonts w:ascii="Lato" w:hAnsi="Lato"/>
        </w:rPr>
        <w:t>ramach codziennych dojazdów do miejsca pracy/szkoły.</w:t>
      </w:r>
      <w:r>
        <w:rPr>
          <w:rFonts w:ascii="Lato" w:hAnsi="Lato"/>
        </w:rPr>
        <w:t xml:space="preserve"> Skuteczność interwencji można ocenić</w:t>
      </w:r>
      <w:r w:rsidR="00E66B89">
        <w:rPr>
          <w:rFonts w:ascii="Lato" w:hAnsi="Lato"/>
        </w:rPr>
        <w:t xml:space="preserve"> w </w:t>
      </w:r>
      <w:r>
        <w:rPr>
          <w:rFonts w:ascii="Lato" w:hAnsi="Lato"/>
        </w:rPr>
        <w:t>związku</w:t>
      </w:r>
      <w:r w:rsidR="00E66B89">
        <w:rPr>
          <w:rFonts w:ascii="Lato" w:hAnsi="Lato"/>
        </w:rPr>
        <w:t xml:space="preserve"> z </w:t>
      </w:r>
      <w:r>
        <w:rPr>
          <w:rFonts w:ascii="Lato" w:hAnsi="Lato"/>
        </w:rPr>
        <w:t xml:space="preserve">tym pozytywnie. </w:t>
      </w:r>
    </w:p>
    <w:p w14:paraId="3758EB25" w14:textId="3F4476D2" w:rsidR="00087E50" w:rsidRDefault="00087E50" w:rsidP="00087E50">
      <w:pPr>
        <w:pStyle w:val="Bezodstpw"/>
        <w:spacing w:before="120" w:after="120" w:line="288" w:lineRule="auto"/>
        <w:jc w:val="both"/>
        <w:rPr>
          <w:rFonts w:ascii="Lato" w:hAnsi="Lato"/>
        </w:rPr>
      </w:pPr>
      <w:r>
        <w:rPr>
          <w:rFonts w:ascii="Lato" w:hAnsi="Lato"/>
        </w:rPr>
        <w:t>Efektywność kosztowa projektów</w:t>
      </w:r>
      <w:r w:rsidR="00E66B89">
        <w:rPr>
          <w:rFonts w:ascii="Lato" w:hAnsi="Lato"/>
        </w:rPr>
        <w:t xml:space="preserve"> w </w:t>
      </w:r>
      <w:r>
        <w:rPr>
          <w:rFonts w:ascii="Lato" w:hAnsi="Lato"/>
        </w:rPr>
        <w:t xml:space="preserve">ramach PI 4e odbiega od założeń poczynionych na etapie programowania RPO WZ 2014-2020. Koszt jednostkowy dla wskaźnika </w:t>
      </w:r>
      <w:r w:rsidRPr="008B706B">
        <w:rPr>
          <w:rFonts w:ascii="Lato" w:hAnsi="Lato"/>
          <w:i/>
        </w:rPr>
        <w:t xml:space="preserve">Długość wspartej infrastruktury </w:t>
      </w:r>
      <w:r w:rsidRPr="008B706B">
        <w:rPr>
          <w:rFonts w:ascii="Lato" w:hAnsi="Lato"/>
          <w:i/>
        </w:rPr>
        <w:lastRenderedPageBreak/>
        <w:t>rowerowej</w:t>
      </w:r>
      <w:r>
        <w:rPr>
          <w:rFonts w:ascii="Lato" w:hAnsi="Lato"/>
        </w:rPr>
        <w:t xml:space="preserve"> jest obecnie wyższy (1 174 770,15 zł) niż zakładano (848 182 zł). Jest to</w:t>
      </w:r>
      <w:r w:rsidR="00E66B89">
        <w:rPr>
          <w:rFonts w:ascii="Lato" w:hAnsi="Lato"/>
        </w:rPr>
        <w:t xml:space="preserve"> w </w:t>
      </w:r>
      <w:r>
        <w:rPr>
          <w:rFonts w:ascii="Lato" w:hAnsi="Lato"/>
        </w:rPr>
        <w:t>dużej mierze wynikiem odczuwalnego wzrostu kosztów usług budowlanych</w:t>
      </w:r>
      <w:r w:rsidR="00E66B89">
        <w:rPr>
          <w:rFonts w:ascii="Lato" w:hAnsi="Lato"/>
        </w:rPr>
        <w:t xml:space="preserve"> w </w:t>
      </w:r>
      <w:r>
        <w:rPr>
          <w:rFonts w:ascii="Lato" w:hAnsi="Lato"/>
        </w:rPr>
        <w:t>ostatnim czasie. Efektywność jest zaś wyższa</w:t>
      </w:r>
      <w:r w:rsidR="00E66B89">
        <w:rPr>
          <w:rFonts w:ascii="Lato" w:hAnsi="Lato"/>
        </w:rPr>
        <w:t xml:space="preserve"> w </w:t>
      </w:r>
      <w:r>
        <w:rPr>
          <w:rFonts w:ascii="Lato" w:hAnsi="Lato"/>
        </w:rPr>
        <w:t>przypadku projektów</w:t>
      </w:r>
      <w:r w:rsidR="00E66B89">
        <w:rPr>
          <w:rFonts w:ascii="Lato" w:hAnsi="Lato"/>
        </w:rPr>
        <w:t xml:space="preserve"> z </w:t>
      </w:r>
      <w:r>
        <w:rPr>
          <w:rFonts w:ascii="Lato" w:hAnsi="Lato"/>
        </w:rPr>
        <w:t>zakresu zakupu/modernizacji taboru zbiorowej komunikacji publicznej,</w:t>
      </w:r>
      <w:r w:rsidR="00E66B89">
        <w:rPr>
          <w:rFonts w:ascii="Lato" w:hAnsi="Lato"/>
        </w:rPr>
        <w:t xml:space="preserve"> a </w:t>
      </w:r>
      <w:r>
        <w:rPr>
          <w:rFonts w:ascii="Lato" w:hAnsi="Lato"/>
        </w:rPr>
        <w:t>także budowy zintegrowanych węzłów przesiadkowych.</w:t>
      </w:r>
      <w:r w:rsidR="004E29DD">
        <w:rPr>
          <w:rFonts w:ascii="Lato" w:hAnsi="Lato"/>
        </w:rPr>
        <w:t xml:space="preserve"> </w:t>
      </w:r>
      <w:r w:rsidR="00E66B89">
        <w:rPr>
          <w:rFonts w:ascii="Lato" w:hAnsi="Lato"/>
        </w:rPr>
        <w:t>W </w:t>
      </w:r>
      <w:r w:rsidRPr="002307EA">
        <w:rPr>
          <w:rFonts w:ascii="Lato" w:hAnsi="Lato"/>
        </w:rPr>
        <w:t>trakcie przygotowywania programu zakładano bowiem, iż autobusy kupowane</w:t>
      </w:r>
      <w:r w:rsidR="00E66B89">
        <w:rPr>
          <w:rFonts w:ascii="Lato" w:hAnsi="Lato"/>
        </w:rPr>
        <w:t xml:space="preserve"> i </w:t>
      </w:r>
      <w:r w:rsidRPr="002307EA">
        <w:rPr>
          <w:rFonts w:ascii="Lato" w:hAnsi="Lato"/>
        </w:rPr>
        <w:t>modernizowane</w:t>
      </w:r>
      <w:r w:rsidR="00E66B89">
        <w:rPr>
          <w:rFonts w:ascii="Lato" w:hAnsi="Lato"/>
        </w:rPr>
        <w:t xml:space="preserve"> w </w:t>
      </w:r>
      <w:r w:rsidRPr="002307EA">
        <w:rPr>
          <w:rFonts w:ascii="Lato" w:hAnsi="Lato"/>
        </w:rPr>
        <w:t>ramach projektów muszą być zasilane paliwem alternatywnym. Jednak</w:t>
      </w:r>
      <w:r w:rsidR="00E66B89">
        <w:rPr>
          <w:rFonts w:ascii="Lato" w:hAnsi="Lato"/>
        </w:rPr>
        <w:t xml:space="preserve"> w </w:t>
      </w:r>
      <w:r w:rsidRPr="002307EA">
        <w:rPr>
          <w:rFonts w:ascii="Lato" w:hAnsi="Lato"/>
        </w:rPr>
        <w:t>wyniku negocjacji Komisji Europejskiej</w:t>
      </w:r>
      <w:r w:rsidR="00E66B89">
        <w:rPr>
          <w:rFonts w:ascii="Lato" w:hAnsi="Lato"/>
        </w:rPr>
        <w:t xml:space="preserve"> i </w:t>
      </w:r>
      <w:r w:rsidRPr="002307EA">
        <w:rPr>
          <w:rFonts w:ascii="Lato" w:hAnsi="Lato"/>
        </w:rPr>
        <w:t>polskiego rządu dopuszczono,</w:t>
      </w:r>
      <w:r w:rsidR="00E66B89">
        <w:rPr>
          <w:rFonts w:ascii="Lato" w:hAnsi="Lato"/>
        </w:rPr>
        <w:t xml:space="preserve"> w </w:t>
      </w:r>
      <w:r w:rsidRPr="002307EA">
        <w:rPr>
          <w:rFonts w:ascii="Lato" w:hAnsi="Lato"/>
        </w:rPr>
        <w:t>drodze wyjątku, możliwość finansowania autobusów</w:t>
      </w:r>
      <w:r w:rsidR="00E66B89">
        <w:rPr>
          <w:rFonts w:ascii="Lato" w:hAnsi="Lato"/>
        </w:rPr>
        <w:t xml:space="preserve"> z </w:t>
      </w:r>
      <w:r w:rsidRPr="002307EA">
        <w:rPr>
          <w:rFonts w:ascii="Lato" w:hAnsi="Lato"/>
        </w:rPr>
        <w:t>silnikami diesel (Euro - 6), które są tańsze, niż ich bardziej ekologiczne warianty. Decyzja ta wpłynęła na znaczne obniżenie kosztów realizowanych projektów.</w:t>
      </w:r>
      <w:r>
        <w:rPr>
          <w:rFonts w:ascii="Lato" w:hAnsi="Lato"/>
        </w:rPr>
        <w:t xml:space="preserve"> Biorąc zaś pod uwagę niższe koszty zintegrowanych węzłów przesiadkowych, można zwrócić uwagę, że metodologia szacowania wartości docelowej wskaźnika związanego</w:t>
      </w:r>
      <w:r w:rsidR="00E66B89">
        <w:rPr>
          <w:rFonts w:ascii="Lato" w:hAnsi="Lato"/>
        </w:rPr>
        <w:t xml:space="preserve"> z </w:t>
      </w:r>
      <w:r>
        <w:rPr>
          <w:rFonts w:ascii="Lato" w:hAnsi="Lato"/>
        </w:rPr>
        <w:t>budową zintegrowanych węzłów przesiadkowych zakładała, że realizowane projekty będą charakteryzować się takim zakresem finansowym, jak wskazano na liście projektów strategicznych Strategii ZIT.</w:t>
      </w:r>
      <w:r w:rsidR="00E66B89">
        <w:rPr>
          <w:rFonts w:ascii="Lato" w:hAnsi="Lato"/>
        </w:rPr>
        <w:t xml:space="preserve"> W </w:t>
      </w:r>
      <w:r>
        <w:rPr>
          <w:rFonts w:ascii="Lato" w:hAnsi="Lato"/>
        </w:rPr>
        <w:t>praktyce projekty zawarte na Wstępnej liście projektów strategicznych do realizacji</w:t>
      </w:r>
      <w:r w:rsidR="00E66B89">
        <w:rPr>
          <w:rFonts w:ascii="Lato" w:hAnsi="Lato"/>
        </w:rPr>
        <w:t xml:space="preserve"> w </w:t>
      </w:r>
      <w:r>
        <w:rPr>
          <w:rFonts w:ascii="Lato" w:hAnsi="Lato"/>
        </w:rPr>
        <w:t>ramach ZIT RPO WZ 2014-2020 opiewają na niższe kwoty dofinansowania niż wedle pierwotnych założeń. Wynika to ze zmiany założeń bądź poziomów dofinansowania projektów na etapie ostatecznego zatwierdzenia Strategii ZIT.</w:t>
      </w:r>
    </w:p>
    <w:p w14:paraId="6941C9D3" w14:textId="77777777" w:rsidR="00087E50" w:rsidRDefault="00087E50" w:rsidP="00087E50">
      <w:pPr>
        <w:pStyle w:val="Bezodstpw"/>
        <w:spacing w:before="120" w:after="120" w:line="288" w:lineRule="auto"/>
        <w:jc w:val="both"/>
        <w:rPr>
          <w:rFonts w:ascii="Lato" w:hAnsi="Lato"/>
        </w:rPr>
      </w:pPr>
      <w:r>
        <w:rPr>
          <w:rFonts w:ascii="Lato" w:hAnsi="Lato"/>
        </w:rPr>
        <w:t>Na przeciwnym biegunie poziomu wdrażania znajduje się poziom realizacji</w:t>
      </w:r>
      <w:r w:rsidR="00E66B89">
        <w:rPr>
          <w:rFonts w:ascii="Lato" w:hAnsi="Lato"/>
        </w:rPr>
        <w:t xml:space="preserve"> w </w:t>
      </w:r>
      <w:r>
        <w:rPr>
          <w:rFonts w:ascii="Lato" w:hAnsi="Lato"/>
        </w:rPr>
        <w:t xml:space="preserve">odniesieniu do wskaźnika </w:t>
      </w:r>
      <w:r w:rsidRPr="004329CA">
        <w:rPr>
          <w:rFonts w:ascii="Lato" w:hAnsi="Lato"/>
          <w:i/>
        </w:rPr>
        <w:t>Liczba zainstalowanych inteligentnych systemów transportowych</w:t>
      </w:r>
      <w:r w:rsidRPr="006E6E2E">
        <w:rPr>
          <w:rFonts w:ascii="Lato" w:hAnsi="Lato"/>
        </w:rPr>
        <w:t>.</w:t>
      </w:r>
      <w:r w:rsidR="00E66B89">
        <w:rPr>
          <w:rFonts w:ascii="Lato" w:hAnsi="Lato"/>
        </w:rPr>
        <w:t xml:space="preserve"> W </w:t>
      </w:r>
      <w:r w:rsidRPr="006E6E2E">
        <w:rPr>
          <w:rFonts w:ascii="Lato" w:hAnsi="Lato"/>
        </w:rPr>
        <w:t>zakresie projektów</w:t>
      </w:r>
      <w:r>
        <w:rPr>
          <w:rFonts w:ascii="Lato" w:hAnsi="Lato"/>
        </w:rPr>
        <w:t>,</w:t>
      </w:r>
      <w:r w:rsidRPr="006E6E2E">
        <w:rPr>
          <w:rFonts w:ascii="Lato" w:hAnsi="Lato"/>
        </w:rPr>
        <w:t xml:space="preserve"> dla których podpisano umowy</w:t>
      </w:r>
      <w:r w:rsidR="00E66B89">
        <w:rPr>
          <w:rFonts w:ascii="Lato" w:hAnsi="Lato"/>
        </w:rPr>
        <w:t xml:space="preserve"> o </w:t>
      </w:r>
      <w:r w:rsidRPr="006E6E2E">
        <w:rPr>
          <w:rFonts w:ascii="Lato" w:hAnsi="Lato"/>
        </w:rPr>
        <w:t>dofinansowanie</w:t>
      </w:r>
      <w:r w:rsidR="00E66B89">
        <w:rPr>
          <w:rFonts w:ascii="Lato" w:hAnsi="Lato"/>
        </w:rPr>
        <w:t xml:space="preserve"> w </w:t>
      </w:r>
      <w:r w:rsidRPr="006E6E2E">
        <w:rPr>
          <w:rFonts w:ascii="Lato" w:hAnsi="Lato"/>
        </w:rPr>
        <w:t>ramach wszystkich czterech działań generujących wskaźnik, nie przewidziano instalacji inteligentnych systemów transportowych. Taki stan rzeczy wymusza uznanie osiągnięcia wartości docelowej za obarczone ryzykiem.</w:t>
      </w:r>
    </w:p>
    <w:p w14:paraId="1BE88643" w14:textId="77777777" w:rsidR="00087E50" w:rsidRPr="00FE43CD" w:rsidRDefault="00087E50" w:rsidP="00087E50">
      <w:pPr>
        <w:pStyle w:val="Nagwek4"/>
        <w:numPr>
          <w:ilvl w:val="0"/>
          <w:numId w:val="0"/>
        </w:numPr>
        <w:spacing w:before="120"/>
        <w:rPr>
          <w:rFonts w:ascii="Lato" w:eastAsia="Calibri" w:hAnsi="Lato"/>
        </w:rPr>
      </w:pPr>
      <w:r w:rsidRPr="00FE43CD">
        <w:rPr>
          <w:rFonts w:ascii="Lato" w:eastAsia="Calibri" w:hAnsi="Lato"/>
        </w:rPr>
        <w:t xml:space="preserve">Wskaźniki rezultatu strategicznego </w:t>
      </w:r>
    </w:p>
    <w:p w14:paraId="42736D50" w14:textId="77777777" w:rsidR="00087E50" w:rsidRPr="00FF5D6C" w:rsidRDefault="00087E50" w:rsidP="00087E50">
      <w:pPr>
        <w:rPr>
          <w:szCs w:val="20"/>
        </w:rPr>
      </w:pPr>
      <w:r w:rsidRPr="00FF5D6C">
        <w:rPr>
          <w:szCs w:val="20"/>
        </w:rPr>
        <w:t xml:space="preserve">Specyficzny dla programu wskaźnik rezultatu strategicznego to </w:t>
      </w:r>
      <w:r w:rsidRPr="008B706B">
        <w:rPr>
          <w:i/>
          <w:szCs w:val="20"/>
        </w:rPr>
        <w:t>Liczba przewozów pasażerskich komunikacją miejską</w:t>
      </w:r>
      <w:r w:rsidR="00E66B89">
        <w:rPr>
          <w:i/>
          <w:szCs w:val="20"/>
        </w:rPr>
        <w:t xml:space="preserve"> w </w:t>
      </w:r>
      <w:r w:rsidRPr="00FF5D6C">
        <w:rPr>
          <w:szCs w:val="20"/>
        </w:rPr>
        <w:t>mln osób.</w:t>
      </w:r>
      <w:r w:rsidR="00E66B89">
        <w:rPr>
          <w:szCs w:val="20"/>
        </w:rPr>
        <w:t xml:space="preserve"> W </w:t>
      </w:r>
      <w:r w:rsidRPr="00FF5D6C">
        <w:rPr>
          <w:szCs w:val="20"/>
        </w:rPr>
        <w:t>RPO WZ 2014-2020 założono, że poprawa komfortu poruszania się komunikacją miejską spowoduje wzrost liczby osób korzystających</w:t>
      </w:r>
      <w:r w:rsidR="00E66B89">
        <w:rPr>
          <w:szCs w:val="20"/>
        </w:rPr>
        <w:t xml:space="preserve"> z </w:t>
      </w:r>
      <w:r w:rsidRPr="00FF5D6C">
        <w:rPr>
          <w:szCs w:val="20"/>
        </w:rPr>
        <w:t>transportu publicznego,</w:t>
      </w:r>
      <w:r w:rsidR="00E66B89">
        <w:rPr>
          <w:szCs w:val="20"/>
        </w:rPr>
        <w:t xml:space="preserve"> a </w:t>
      </w:r>
      <w:r w:rsidRPr="00FF5D6C">
        <w:rPr>
          <w:szCs w:val="20"/>
        </w:rPr>
        <w:t>odchodzenie od transportu samochodowego na rzecz transportu środkami komunikacji zbiorowej przyczyni się do zmniejszenia emisji</w:t>
      </w:r>
      <w:r w:rsidR="00E66B89">
        <w:rPr>
          <w:szCs w:val="20"/>
        </w:rPr>
        <w:t xml:space="preserve"> w </w:t>
      </w:r>
      <w:r w:rsidRPr="00FF5D6C">
        <w:rPr>
          <w:szCs w:val="20"/>
        </w:rPr>
        <w:t xml:space="preserve">aglomeracjach miejskich. </w:t>
      </w:r>
    </w:p>
    <w:p w14:paraId="61358002" w14:textId="77777777" w:rsidR="00087E50" w:rsidRPr="00FF5D6C" w:rsidRDefault="00087E50" w:rsidP="00087E50">
      <w:pPr>
        <w:rPr>
          <w:szCs w:val="20"/>
        </w:rPr>
      </w:pPr>
      <w:r w:rsidRPr="00FF5D6C">
        <w:rPr>
          <w:szCs w:val="20"/>
        </w:rPr>
        <w:t>Na wartość wskaźnika potencjalnie może wpływać wiele czynników. Należą do nich zarówno kwestie zależne od interwencji</w:t>
      </w:r>
      <w:r w:rsidR="00E66B89">
        <w:rPr>
          <w:szCs w:val="20"/>
        </w:rPr>
        <w:t xml:space="preserve"> w </w:t>
      </w:r>
      <w:r w:rsidRPr="00FF5D6C">
        <w:rPr>
          <w:szCs w:val="20"/>
        </w:rPr>
        <w:t>ramach RPO WZ 2014-2020, takie jak poprawa jakości przewozów dzięki udostępnieniu nowego taboru, większa liczba środków transportu zbiorow</w:t>
      </w:r>
      <w:r w:rsidR="005D32BD">
        <w:rPr>
          <w:szCs w:val="20"/>
        </w:rPr>
        <w:t>eg</w:t>
      </w:r>
      <w:r w:rsidRPr="00FF5D6C">
        <w:rPr>
          <w:szCs w:val="20"/>
        </w:rPr>
        <w:t>o, jak</w:t>
      </w:r>
      <w:r w:rsidR="00E66B89">
        <w:rPr>
          <w:szCs w:val="20"/>
        </w:rPr>
        <w:t xml:space="preserve"> i </w:t>
      </w:r>
      <w:r w:rsidRPr="00FF5D6C">
        <w:rPr>
          <w:szCs w:val="20"/>
        </w:rPr>
        <w:t xml:space="preserve">czynniki niezależne: zmiany liczby mieszkańców, zmiany liczby samochodów osobowych. </w:t>
      </w:r>
    </w:p>
    <w:p w14:paraId="5C7CC6C9" w14:textId="77777777" w:rsidR="00087E50" w:rsidRPr="00961D89" w:rsidRDefault="00087E50" w:rsidP="00087E50">
      <w:pPr>
        <w:rPr>
          <w:szCs w:val="20"/>
        </w:rPr>
      </w:pPr>
      <w:r w:rsidRPr="00FF5D6C">
        <w:rPr>
          <w:szCs w:val="20"/>
        </w:rPr>
        <w:t>Wartość docelowa wskaźnika</w:t>
      </w:r>
      <w:r w:rsidR="00E66B89">
        <w:rPr>
          <w:szCs w:val="20"/>
        </w:rPr>
        <w:t xml:space="preserve"> w </w:t>
      </w:r>
      <w:r w:rsidRPr="00FF5D6C">
        <w:rPr>
          <w:szCs w:val="20"/>
        </w:rPr>
        <w:t>roku 2023 została określona na 173,7 mln osób. Biorąc pod uwagę, że</w:t>
      </w:r>
      <w:r w:rsidR="00E66B89">
        <w:rPr>
          <w:szCs w:val="20"/>
        </w:rPr>
        <w:t xml:space="preserve"> w </w:t>
      </w:r>
      <w:r w:rsidRPr="00FF5D6C">
        <w:rPr>
          <w:szCs w:val="20"/>
        </w:rPr>
        <w:t>ostatnich latach wskaźnik wykazuje niewielką tendencję wzrostową,</w:t>
      </w:r>
      <w:r w:rsidR="00E66B89">
        <w:rPr>
          <w:szCs w:val="20"/>
        </w:rPr>
        <w:t xml:space="preserve"> a </w:t>
      </w:r>
      <w:r w:rsidRPr="00FF5D6C">
        <w:rPr>
          <w:szCs w:val="20"/>
        </w:rPr>
        <w:t>wartość docelowa została już przekroczona, należy zakładać, że</w:t>
      </w:r>
      <w:r w:rsidR="00E66B89">
        <w:rPr>
          <w:szCs w:val="20"/>
        </w:rPr>
        <w:t xml:space="preserve"> w </w:t>
      </w:r>
      <w:r w:rsidRPr="00FF5D6C">
        <w:rPr>
          <w:szCs w:val="20"/>
        </w:rPr>
        <w:t>2023 roku wartość wskaźnika nie powinna znacząco odbiegać od wyznaczonej wartości docelowej (jak wskazuje linia trendu), szczególnie że rośnie świadomość społeczna związana</w:t>
      </w:r>
      <w:r w:rsidR="00E66B89">
        <w:rPr>
          <w:szCs w:val="20"/>
        </w:rPr>
        <w:t xml:space="preserve"> z </w:t>
      </w:r>
      <w:r w:rsidRPr="00FF5D6C">
        <w:rPr>
          <w:szCs w:val="20"/>
        </w:rPr>
        <w:t>potrzebą ograniczania zanieczyszczeń powietrza.</w:t>
      </w:r>
    </w:p>
    <w:p w14:paraId="39E2E2BD" w14:textId="77777777" w:rsidR="00087E50" w:rsidRDefault="00087E50" w:rsidP="006E34DC">
      <w:pPr>
        <w:pStyle w:val="Legenda"/>
        <w:spacing w:after="0"/>
      </w:pPr>
      <w:bookmarkStart w:id="85" w:name="_Toc5311882"/>
      <w:r w:rsidRPr="00A41251">
        <w:lastRenderedPageBreak/>
        <w:t xml:space="preserve">Wykres </w:t>
      </w:r>
      <w:r>
        <w:fldChar w:fldCharType="begin"/>
      </w:r>
      <w:r>
        <w:instrText xml:space="preserve"> SEQ Wykres \* ARABIC </w:instrText>
      </w:r>
      <w:r>
        <w:fldChar w:fldCharType="separate"/>
      </w:r>
      <w:r w:rsidR="00763345">
        <w:rPr>
          <w:noProof/>
        </w:rPr>
        <w:t>16</w:t>
      </w:r>
      <w:r>
        <w:fldChar w:fldCharType="end"/>
      </w:r>
      <w:r w:rsidRPr="00A41251">
        <w:t xml:space="preserve"> Przewozy pasażerów środkami komunikacji miejskiej</w:t>
      </w:r>
      <w:r w:rsidR="00E66B89">
        <w:t xml:space="preserve"> w </w:t>
      </w:r>
      <w:r>
        <w:t>województwie zachodniopomorskim</w:t>
      </w:r>
      <w:r w:rsidR="00E66B89">
        <w:t xml:space="preserve"> w </w:t>
      </w:r>
      <w:r>
        <w:t>latach 2009-2017 wraz</w:t>
      </w:r>
      <w:r w:rsidR="00E66B89">
        <w:t xml:space="preserve"> z </w:t>
      </w:r>
      <w:r>
        <w:t>przewidywaną linią trendu do roku 2023</w:t>
      </w:r>
      <w:r w:rsidR="00E66B89">
        <w:t xml:space="preserve"> i </w:t>
      </w:r>
      <w:r>
        <w:t>wartością docelową wskaźnika założoną na rok 2023</w:t>
      </w:r>
      <w:r w:rsidRPr="00A41251">
        <w:t xml:space="preserve"> [mln osób]</w:t>
      </w:r>
      <w:bookmarkEnd w:id="85"/>
    </w:p>
    <w:p w14:paraId="50213EB5" w14:textId="28A4726A" w:rsidR="00087E50" w:rsidRPr="00A41251" w:rsidRDefault="00C35619" w:rsidP="00CF71F2">
      <w:pPr>
        <w:pStyle w:val="TytuTAB"/>
        <w:spacing w:before="0" w:after="0"/>
      </w:pPr>
      <w:r w:rsidRPr="00D508B6">
        <w:rPr>
          <w:noProof/>
          <w:lang w:val="pl-PL" w:eastAsia="pl-PL"/>
        </w:rPr>
        <w:drawing>
          <wp:inline distT="0" distB="0" distL="0" distR="0" wp14:anchorId="200469FF" wp14:editId="249FFC72">
            <wp:extent cx="5772150" cy="216217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6F7BA0" w14:textId="6B3A72EC" w:rsidR="00087E50" w:rsidRPr="002A5FDF" w:rsidRDefault="00087E50" w:rsidP="005076BF">
      <w:pPr>
        <w:spacing w:before="0"/>
        <w:rPr>
          <w:i/>
          <w:sz w:val="18"/>
          <w:szCs w:val="20"/>
        </w:rPr>
      </w:pPr>
      <w:r w:rsidRPr="002A5FDF">
        <w:rPr>
          <w:i/>
          <w:sz w:val="18"/>
          <w:szCs w:val="20"/>
        </w:rPr>
        <w:t>Źródło: opracowanie własne na podstawie BDL GUS</w:t>
      </w:r>
      <w:r w:rsidR="00C56787" w:rsidRPr="002A5FDF">
        <w:rPr>
          <w:i/>
          <w:sz w:val="18"/>
          <w:szCs w:val="20"/>
        </w:rPr>
        <w:t>.</w:t>
      </w:r>
    </w:p>
    <w:p w14:paraId="1DE662BF" w14:textId="77777777" w:rsidR="00087E50" w:rsidRPr="00FE43CD" w:rsidRDefault="00087E50" w:rsidP="00087E50">
      <w:pPr>
        <w:pStyle w:val="Nagwek4"/>
        <w:numPr>
          <w:ilvl w:val="0"/>
          <w:numId w:val="0"/>
        </w:numPr>
        <w:spacing w:before="120"/>
        <w:rPr>
          <w:rFonts w:ascii="Lato" w:eastAsia="Calibri" w:hAnsi="Lato"/>
        </w:rPr>
      </w:pPr>
      <w:r w:rsidRPr="00FE43CD">
        <w:rPr>
          <w:rFonts w:ascii="Lato" w:eastAsia="Calibri" w:hAnsi="Lato"/>
        </w:rPr>
        <w:t xml:space="preserve">Ocena potencjału absorpcyjnego </w:t>
      </w:r>
    </w:p>
    <w:p w14:paraId="2A670704" w14:textId="77777777" w:rsidR="00087E50" w:rsidRPr="002858B5" w:rsidRDefault="00087E50" w:rsidP="00087E50">
      <w:pPr>
        <w:rPr>
          <w:szCs w:val="20"/>
        </w:rPr>
      </w:pPr>
      <w:r w:rsidRPr="00FF5D6C">
        <w:rPr>
          <w:szCs w:val="20"/>
        </w:rPr>
        <w:t>W PI 4e rozpoznaje się relatywnie wysoki potencjał absorpcyjny, który wynika</w:t>
      </w:r>
      <w:r>
        <w:rPr>
          <w:szCs w:val="20"/>
        </w:rPr>
        <w:t xml:space="preserve"> </w:t>
      </w:r>
      <w:r w:rsidRPr="00FF5D6C">
        <w:rPr>
          <w:szCs w:val="20"/>
        </w:rPr>
        <w:t>zarówno</w:t>
      </w:r>
      <w:r w:rsidR="00E66B89">
        <w:rPr>
          <w:szCs w:val="20"/>
        </w:rPr>
        <w:t xml:space="preserve"> z </w:t>
      </w:r>
      <w:r w:rsidRPr="00FF5D6C">
        <w:rPr>
          <w:szCs w:val="20"/>
        </w:rPr>
        <w:t>zapotrzebowania na kontynuację działań</w:t>
      </w:r>
      <w:r w:rsidR="00E66B89">
        <w:rPr>
          <w:szCs w:val="20"/>
        </w:rPr>
        <w:t xml:space="preserve"> w </w:t>
      </w:r>
      <w:r w:rsidRPr="00FF5D6C">
        <w:rPr>
          <w:szCs w:val="20"/>
        </w:rPr>
        <w:t>obszarze zrównoważonej mobilności miejskiej, jak</w:t>
      </w:r>
      <w:r w:rsidR="00E66B89">
        <w:rPr>
          <w:szCs w:val="20"/>
        </w:rPr>
        <w:t xml:space="preserve"> i z </w:t>
      </w:r>
      <w:r w:rsidRPr="00FF5D6C">
        <w:rPr>
          <w:szCs w:val="20"/>
        </w:rPr>
        <w:t>deklaracji potencjalnych beneficjentów na temat planów dotyczących ubiegania się</w:t>
      </w:r>
      <w:r w:rsidR="00E66B89">
        <w:rPr>
          <w:szCs w:val="20"/>
        </w:rPr>
        <w:t xml:space="preserve"> o </w:t>
      </w:r>
      <w:r w:rsidRPr="00FF5D6C">
        <w:rPr>
          <w:szCs w:val="20"/>
        </w:rPr>
        <w:t>wsparcie. We wszystkich działaniach realizujących PI 4e realizacja</w:t>
      </w:r>
      <w:r w:rsidR="00E66B89">
        <w:rPr>
          <w:szCs w:val="20"/>
        </w:rPr>
        <w:t xml:space="preserve"> w </w:t>
      </w:r>
      <w:r w:rsidRPr="00FF5D6C">
        <w:rPr>
          <w:szCs w:val="20"/>
        </w:rPr>
        <w:t xml:space="preserve">odniesieniu do alokacji przekroczyła 60%. Według informacji na </w:t>
      </w:r>
      <w:r>
        <w:rPr>
          <w:szCs w:val="20"/>
        </w:rPr>
        <w:t xml:space="preserve">temat </w:t>
      </w:r>
      <w:r w:rsidRPr="00FF5D6C">
        <w:rPr>
          <w:szCs w:val="20"/>
        </w:rPr>
        <w:t>postępu finansowego na koniec 2018 r.</w:t>
      </w:r>
      <w:r>
        <w:rPr>
          <w:szCs w:val="20"/>
        </w:rPr>
        <w:t>,</w:t>
      </w:r>
      <w:r w:rsidRPr="00FF5D6C">
        <w:rPr>
          <w:szCs w:val="20"/>
        </w:rPr>
        <w:t xml:space="preserve"> procent realizacji zobowiązań UE wyniósł 66%. Do końca 2018 r</w:t>
      </w:r>
      <w:r>
        <w:rPr>
          <w:szCs w:val="20"/>
        </w:rPr>
        <w:t>.</w:t>
      </w:r>
      <w:r w:rsidRPr="00FF5D6C">
        <w:rPr>
          <w:szCs w:val="20"/>
        </w:rPr>
        <w:t xml:space="preserve"> złożono 73 wnioski</w:t>
      </w:r>
      <w:r w:rsidR="00E66B89">
        <w:rPr>
          <w:szCs w:val="20"/>
        </w:rPr>
        <w:t xml:space="preserve"> o </w:t>
      </w:r>
      <w:r w:rsidRPr="00FF5D6C">
        <w:rPr>
          <w:szCs w:val="20"/>
        </w:rPr>
        <w:t>dofinansowanie</w:t>
      </w:r>
      <w:r w:rsidR="00E66B89">
        <w:rPr>
          <w:szCs w:val="20"/>
        </w:rPr>
        <w:t xml:space="preserve"> i </w:t>
      </w:r>
      <w:r w:rsidRPr="00FF5D6C">
        <w:rPr>
          <w:szCs w:val="20"/>
        </w:rPr>
        <w:t>zawarto 60 umów.</w:t>
      </w:r>
      <w:r>
        <w:rPr>
          <w:szCs w:val="20"/>
        </w:rPr>
        <w:t xml:space="preserve"> </w:t>
      </w:r>
      <w:r w:rsidRPr="00FF5D6C">
        <w:rPr>
          <w:szCs w:val="20"/>
        </w:rPr>
        <w:t>Beneficjenci, którzy uczestniczyli</w:t>
      </w:r>
      <w:r w:rsidR="00E66B89">
        <w:rPr>
          <w:szCs w:val="20"/>
        </w:rPr>
        <w:t xml:space="preserve"> w </w:t>
      </w:r>
      <w:r w:rsidRPr="00FF5D6C">
        <w:rPr>
          <w:szCs w:val="20"/>
        </w:rPr>
        <w:t>badaniu ankietowym potwierdzają gotowość do złożenia kolejnych wniosków</w:t>
      </w:r>
      <w:r w:rsidR="00E66B89">
        <w:rPr>
          <w:szCs w:val="20"/>
        </w:rPr>
        <w:t xml:space="preserve"> o </w:t>
      </w:r>
      <w:r w:rsidRPr="00FF5D6C">
        <w:rPr>
          <w:szCs w:val="20"/>
        </w:rPr>
        <w:t>dofinansowanie.</w:t>
      </w:r>
      <w:r w:rsidR="00E66B89">
        <w:rPr>
          <w:szCs w:val="20"/>
        </w:rPr>
        <w:t xml:space="preserve"> W </w:t>
      </w:r>
      <w:r w:rsidRPr="00FF5D6C">
        <w:rPr>
          <w:szCs w:val="20"/>
        </w:rPr>
        <w:t>Osi Priorytetowej 2 – Gospodarka niskoemisyjna chęć złożenia wniosków</w:t>
      </w:r>
      <w:r w:rsidR="00E66B89">
        <w:rPr>
          <w:szCs w:val="20"/>
        </w:rPr>
        <w:t xml:space="preserve"> o </w:t>
      </w:r>
      <w:r w:rsidRPr="00FF5D6C">
        <w:rPr>
          <w:szCs w:val="20"/>
        </w:rPr>
        <w:t>dofinansowanie zadeklarowało 39 przedsiębiorców oraz 8 jednostek samorządu terytorialnego (co stanowi ponad połowę badanych przedstawicieli jednostek samorządu terytorialnego, które wzięły udział</w:t>
      </w:r>
      <w:r w:rsidR="00E66B89">
        <w:rPr>
          <w:szCs w:val="20"/>
        </w:rPr>
        <w:t xml:space="preserve"> w </w:t>
      </w:r>
      <w:r w:rsidRPr="00FF5D6C">
        <w:rPr>
          <w:szCs w:val="20"/>
        </w:rPr>
        <w:t>badaniu ankietowym),</w:t>
      </w:r>
      <w:r w:rsidR="00E66B89">
        <w:rPr>
          <w:szCs w:val="20"/>
        </w:rPr>
        <w:t xml:space="preserve"> w </w:t>
      </w:r>
      <w:r w:rsidRPr="00FF5D6C">
        <w:rPr>
          <w:szCs w:val="20"/>
        </w:rPr>
        <w:t>tym 12 potencjalnych wnioskodawców zadeklarowało chęć złożenia wniosku</w:t>
      </w:r>
      <w:r w:rsidR="00E66B89">
        <w:rPr>
          <w:szCs w:val="20"/>
        </w:rPr>
        <w:t xml:space="preserve"> o </w:t>
      </w:r>
      <w:r w:rsidRPr="00FF5D6C">
        <w:rPr>
          <w:szCs w:val="20"/>
        </w:rPr>
        <w:t>dofinansowanie projektów</w:t>
      </w:r>
      <w:r w:rsidR="00E66B89">
        <w:rPr>
          <w:szCs w:val="20"/>
        </w:rPr>
        <w:t xml:space="preserve"> w </w:t>
      </w:r>
      <w:r w:rsidRPr="00FF5D6C">
        <w:rPr>
          <w:szCs w:val="20"/>
        </w:rPr>
        <w:t>obszarze zrównoważonej multimodalnej mobilności miejskiej</w:t>
      </w:r>
      <w:r w:rsidR="00E66B89">
        <w:rPr>
          <w:szCs w:val="20"/>
        </w:rPr>
        <w:t xml:space="preserve"> i </w:t>
      </w:r>
      <w:r w:rsidRPr="00FF5D6C">
        <w:rPr>
          <w:szCs w:val="20"/>
        </w:rPr>
        <w:t xml:space="preserve">działań adaptacyjnych łagodzących zmiany klimatu. </w:t>
      </w:r>
    </w:p>
    <w:p w14:paraId="4D84DED2" w14:textId="77777777" w:rsidR="00087E50" w:rsidRPr="00FE43CD" w:rsidRDefault="00087E50" w:rsidP="00087E50">
      <w:pPr>
        <w:pStyle w:val="Nagwek4"/>
        <w:numPr>
          <w:ilvl w:val="0"/>
          <w:numId w:val="0"/>
        </w:numPr>
        <w:spacing w:before="120"/>
        <w:rPr>
          <w:rFonts w:ascii="Lato" w:eastAsia="Calibri" w:hAnsi="Lato"/>
        </w:rPr>
      </w:pPr>
      <w:r w:rsidRPr="00FE43CD">
        <w:rPr>
          <w:rFonts w:ascii="Lato" w:eastAsia="Calibri" w:hAnsi="Lato"/>
        </w:rPr>
        <w:t>Prognozy osiągnięcia celów zakładanych na 2023 rok</w:t>
      </w:r>
    </w:p>
    <w:p w14:paraId="7D650B3B" w14:textId="77777777" w:rsidR="00087E50" w:rsidRDefault="00087E50" w:rsidP="00087E50">
      <w:pPr>
        <w:rPr>
          <w:szCs w:val="20"/>
        </w:rPr>
      </w:pPr>
      <w:r>
        <w:rPr>
          <w:szCs w:val="20"/>
        </w:rPr>
        <w:t>W ramach przeprowadzonych prognoz, k</w:t>
      </w:r>
      <w:r w:rsidRPr="002609EB">
        <w:rPr>
          <w:szCs w:val="20"/>
        </w:rPr>
        <w:t>oszt jednostkowy został obliczony poprzez iloraz łącznej kwoty dofinansowania UE projektów realizujących</w:t>
      </w:r>
      <w:r>
        <w:rPr>
          <w:szCs w:val="20"/>
        </w:rPr>
        <w:t xml:space="preserve"> dany</w:t>
      </w:r>
      <w:r w:rsidRPr="002609EB">
        <w:rPr>
          <w:szCs w:val="20"/>
        </w:rPr>
        <w:t xml:space="preserve"> wskaźnik oraz łącznej </w:t>
      </w:r>
      <w:r>
        <w:rPr>
          <w:szCs w:val="20"/>
        </w:rPr>
        <w:t>wartości danego wskaźnika</w:t>
      </w:r>
      <w:r w:rsidRPr="002609EB">
        <w:rPr>
          <w:szCs w:val="20"/>
        </w:rPr>
        <w:t xml:space="preserve"> </w:t>
      </w:r>
      <w:r>
        <w:rPr>
          <w:szCs w:val="20"/>
        </w:rPr>
        <w:t>deklarowanej</w:t>
      </w:r>
      <w:r w:rsidR="00E66B89">
        <w:rPr>
          <w:szCs w:val="20"/>
        </w:rPr>
        <w:t xml:space="preserve"> w </w:t>
      </w:r>
      <w:r w:rsidRPr="002609EB">
        <w:rPr>
          <w:szCs w:val="20"/>
        </w:rPr>
        <w:t>ramach projektów realizujących wskaźnik. Następnie zaktualizowano tak wyliczony koszt jednostkowy</w:t>
      </w:r>
      <w:r w:rsidR="00E66B89">
        <w:rPr>
          <w:szCs w:val="20"/>
        </w:rPr>
        <w:t xml:space="preserve"> w </w:t>
      </w:r>
      <w:r w:rsidRPr="002609EB">
        <w:rPr>
          <w:szCs w:val="20"/>
        </w:rPr>
        <w:t>oparciu</w:t>
      </w:r>
      <w:r w:rsidR="00E66B89">
        <w:rPr>
          <w:szCs w:val="20"/>
        </w:rPr>
        <w:t xml:space="preserve"> o </w:t>
      </w:r>
      <w:r w:rsidRPr="002609EB">
        <w:rPr>
          <w:szCs w:val="20"/>
        </w:rPr>
        <w:t>indeks cen</w:t>
      </w:r>
      <w:r w:rsidR="00A13E5F">
        <w:rPr>
          <w:szCs w:val="20"/>
        </w:rPr>
        <w:t xml:space="preserve"> (zgodnie</w:t>
      </w:r>
      <w:r w:rsidR="00E66B89">
        <w:rPr>
          <w:szCs w:val="20"/>
        </w:rPr>
        <w:t xml:space="preserve"> z </w:t>
      </w:r>
      <w:r w:rsidR="00A13E5F">
        <w:rPr>
          <w:szCs w:val="20"/>
        </w:rPr>
        <w:t>informacjami zawartymi we wprowadzeniu do raportu)</w:t>
      </w:r>
      <w:r w:rsidRPr="002609EB">
        <w:rPr>
          <w:szCs w:val="20"/>
        </w:rPr>
        <w:t>.</w:t>
      </w:r>
    </w:p>
    <w:p w14:paraId="286CDAAF" w14:textId="77777777" w:rsidR="00087E50" w:rsidRDefault="00087E50" w:rsidP="00087E50">
      <w:pPr>
        <w:rPr>
          <w:szCs w:val="20"/>
        </w:rPr>
      </w:pPr>
      <w:r>
        <w:rPr>
          <w:szCs w:val="20"/>
        </w:rPr>
        <w:t>Mając na uwadze, że umowy</w:t>
      </w:r>
      <w:r w:rsidR="00E66B89">
        <w:rPr>
          <w:szCs w:val="20"/>
        </w:rPr>
        <w:t xml:space="preserve"> o </w:t>
      </w:r>
      <w:r>
        <w:rPr>
          <w:szCs w:val="20"/>
        </w:rPr>
        <w:t>dofinansowanie podpisane do dnia 7.01.2019 r. zabezpieczają wartości docelowe 3</w:t>
      </w:r>
      <w:r w:rsidR="00E66B89">
        <w:rPr>
          <w:szCs w:val="20"/>
        </w:rPr>
        <w:t xml:space="preserve"> z </w:t>
      </w:r>
      <w:r>
        <w:rPr>
          <w:szCs w:val="20"/>
        </w:rPr>
        <w:t>4 wskaźników produktu, kolejne projekty będą przyczyniać się do osiągania jeszcze większych efektów.</w:t>
      </w:r>
    </w:p>
    <w:p w14:paraId="730E35FA" w14:textId="77777777" w:rsidR="00087E50" w:rsidRDefault="00087E50" w:rsidP="00087E50">
      <w:pPr>
        <w:rPr>
          <w:szCs w:val="20"/>
        </w:rPr>
      </w:pPr>
      <w:r>
        <w:rPr>
          <w:szCs w:val="20"/>
        </w:rPr>
        <w:t>Pozostała dostępna alokacja na PI 4e wynosi 176 563 511,68 zł. Koszt jednostkowy osiągnięcia jednej jednostki w</w:t>
      </w:r>
      <w:r w:rsidRPr="00BE185E">
        <w:rPr>
          <w:szCs w:val="20"/>
        </w:rPr>
        <w:t>skaźnik</w:t>
      </w:r>
      <w:r>
        <w:rPr>
          <w:szCs w:val="20"/>
        </w:rPr>
        <w:t>a</w:t>
      </w:r>
      <w:r w:rsidRPr="00BE185E">
        <w:rPr>
          <w:szCs w:val="20"/>
        </w:rPr>
        <w:t xml:space="preserve"> </w:t>
      </w:r>
      <w:r w:rsidRPr="008B706B">
        <w:rPr>
          <w:i/>
          <w:szCs w:val="20"/>
        </w:rPr>
        <w:t>Długość wspartej infrastruktury rowerowej</w:t>
      </w:r>
      <w:r>
        <w:rPr>
          <w:szCs w:val="20"/>
        </w:rPr>
        <w:t xml:space="preserve"> kształtuje się zaś na poziomie </w:t>
      </w:r>
      <w:r w:rsidRPr="000B58BE">
        <w:rPr>
          <w:szCs w:val="20"/>
        </w:rPr>
        <w:t>1 174 770,15</w:t>
      </w:r>
      <w:r w:rsidR="00C22C26">
        <w:rPr>
          <w:szCs w:val="20"/>
        </w:rPr>
        <w:t xml:space="preserve"> </w:t>
      </w:r>
      <w:r>
        <w:rPr>
          <w:szCs w:val="20"/>
        </w:rPr>
        <w:t>zł. Na wartość docelową wskaźnika wpływ będą miały Działanie 2.2 oraz 2.3,</w:t>
      </w:r>
      <w:r w:rsidR="00E66B89">
        <w:rPr>
          <w:szCs w:val="20"/>
        </w:rPr>
        <w:t xml:space="preserve"> w </w:t>
      </w:r>
      <w:r>
        <w:rPr>
          <w:szCs w:val="20"/>
        </w:rPr>
        <w:t>przypadku których wyboru projektów dokonuje się</w:t>
      </w:r>
      <w:r w:rsidR="00E66B89">
        <w:rPr>
          <w:szCs w:val="20"/>
        </w:rPr>
        <w:t xml:space="preserve"> w </w:t>
      </w:r>
      <w:r>
        <w:rPr>
          <w:szCs w:val="20"/>
        </w:rPr>
        <w:t>trybie pozakonkursowym. Załącznik nr 5 do SOOP RPO WZ 2014-2020 (na dzień 19.02.2019 r.) wskazuje, że umów</w:t>
      </w:r>
      <w:r w:rsidR="00E66B89">
        <w:rPr>
          <w:szCs w:val="20"/>
        </w:rPr>
        <w:t xml:space="preserve"> o </w:t>
      </w:r>
      <w:r>
        <w:rPr>
          <w:szCs w:val="20"/>
        </w:rPr>
        <w:t>dofinansowanie nie podpisano jeszcze</w:t>
      </w:r>
      <w:r w:rsidR="00E66B89">
        <w:rPr>
          <w:szCs w:val="20"/>
        </w:rPr>
        <w:t xml:space="preserve"> w </w:t>
      </w:r>
      <w:r>
        <w:rPr>
          <w:szCs w:val="20"/>
        </w:rPr>
        <w:t>przypadku 29 zidentyfikowanych projektów. Analiza tych projektów wskazuje, że większość</w:t>
      </w:r>
      <w:r w:rsidR="00E66B89">
        <w:rPr>
          <w:szCs w:val="20"/>
        </w:rPr>
        <w:t xml:space="preserve"> z </w:t>
      </w:r>
      <w:r>
        <w:rPr>
          <w:szCs w:val="20"/>
        </w:rPr>
        <w:t xml:space="preserve">nich będzie realizować wskaźnik </w:t>
      </w:r>
      <w:r w:rsidRPr="00F434CB">
        <w:rPr>
          <w:i/>
          <w:szCs w:val="20"/>
        </w:rPr>
        <w:t>Długość wspartej infrastruktury rowerowej</w:t>
      </w:r>
      <w:r>
        <w:rPr>
          <w:szCs w:val="20"/>
        </w:rPr>
        <w:t xml:space="preserve"> (około 80 km).</w:t>
      </w:r>
      <w:r w:rsidR="00E66B89">
        <w:rPr>
          <w:szCs w:val="20"/>
        </w:rPr>
        <w:t xml:space="preserve"> W </w:t>
      </w:r>
      <w:r>
        <w:rPr>
          <w:szCs w:val="20"/>
        </w:rPr>
        <w:t>związku</w:t>
      </w:r>
      <w:r w:rsidR="00E66B89">
        <w:rPr>
          <w:szCs w:val="20"/>
        </w:rPr>
        <w:t xml:space="preserve"> z </w:t>
      </w:r>
      <w:r>
        <w:rPr>
          <w:szCs w:val="20"/>
        </w:rPr>
        <w:t xml:space="preserve">tym, </w:t>
      </w:r>
      <w:r>
        <w:rPr>
          <w:szCs w:val="20"/>
        </w:rPr>
        <w:lastRenderedPageBreak/>
        <w:t>inwestycje przyczynią się do wsparcia łącznie około 230 km infrastruktury rowerowej (około 260% wartości docelowej wskaźnika), konsumując 68 mln zł alokacji.</w:t>
      </w:r>
      <w:r w:rsidR="00E66B89">
        <w:rPr>
          <w:szCs w:val="20"/>
        </w:rPr>
        <w:t xml:space="preserve"> W </w:t>
      </w:r>
      <w:r>
        <w:rPr>
          <w:szCs w:val="20"/>
        </w:rPr>
        <w:t>związku</w:t>
      </w:r>
      <w:r w:rsidR="00E66B89">
        <w:rPr>
          <w:szCs w:val="20"/>
        </w:rPr>
        <w:t xml:space="preserve"> z </w:t>
      </w:r>
      <w:r>
        <w:rPr>
          <w:szCs w:val="20"/>
        </w:rPr>
        <w:t xml:space="preserve">naborem nr </w:t>
      </w:r>
      <w:r w:rsidRPr="000804BC">
        <w:rPr>
          <w:szCs w:val="20"/>
        </w:rPr>
        <w:t>RPZP.02.04.00-IZ.00-32-001/19</w:t>
      </w:r>
      <w:r>
        <w:rPr>
          <w:szCs w:val="20"/>
        </w:rPr>
        <w:t>, prognozuje się, że</w:t>
      </w:r>
      <w:r w:rsidR="00E66B89">
        <w:rPr>
          <w:szCs w:val="20"/>
        </w:rPr>
        <w:t xml:space="preserve"> w </w:t>
      </w:r>
      <w:r>
        <w:rPr>
          <w:szCs w:val="20"/>
        </w:rPr>
        <w:t>ramach projektów wybranych do dofinansowania wskaźnik ukształtuje się na poziomie 263,6%.</w:t>
      </w:r>
    </w:p>
    <w:p w14:paraId="03399FD3" w14:textId="77777777" w:rsidR="00087E50" w:rsidRDefault="00087E50" w:rsidP="00087E50">
      <w:pPr>
        <w:rPr>
          <w:szCs w:val="20"/>
        </w:rPr>
      </w:pPr>
      <w:r>
        <w:rPr>
          <w:szCs w:val="20"/>
        </w:rPr>
        <w:t>Podobnie sytuacja kształtuje się</w:t>
      </w:r>
      <w:r w:rsidR="00E66B89">
        <w:rPr>
          <w:szCs w:val="20"/>
        </w:rPr>
        <w:t xml:space="preserve"> w </w:t>
      </w:r>
      <w:r>
        <w:rPr>
          <w:szCs w:val="20"/>
        </w:rPr>
        <w:t xml:space="preserve">przypadku wskaźnika produktu pn. </w:t>
      </w:r>
      <w:r w:rsidRPr="008B706B">
        <w:rPr>
          <w:i/>
          <w:szCs w:val="20"/>
        </w:rPr>
        <w:t>Liczba zakupionych lub zmodernizowanych jednostek taboru pasażerskiego</w:t>
      </w:r>
      <w:r w:rsidR="00E66B89">
        <w:rPr>
          <w:i/>
          <w:szCs w:val="20"/>
        </w:rPr>
        <w:t xml:space="preserve"> w </w:t>
      </w:r>
      <w:r w:rsidRPr="008B706B">
        <w:rPr>
          <w:i/>
          <w:szCs w:val="20"/>
        </w:rPr>
        <w:t>publicznym transporcie zbiorowym komunikacji miejskiej</w:t>
      </w:r>
      <w:r w:rsidRPr="00BE185E">
        <w:rPr>
          <w:szCs w:val="20"/>
        </w:rPr>
        <w:t xml:space="preserve">. </w:t>
      </w:r>
      <w:r>
        <w:rPr>
          <w:szCs w:val="20"/>
        </w:rPr>
        <w:t>J</w:t>
      </w:r>
      <w:r w:rsidRPr="00BE185E">
        <w:rPr>
          <w:szCs w:val="20"/>
        </w:rPr>
        <w:t>ednostkowy kosz</w:t>
      </w:r>
      <w:r>
        <w:rPr>
          <w:szCs w:val="20"/>
        </w:rPr>
        <w:t>t</w:t>
      </w:r>
      <w:r w:rsidRPr="00BE185E">
        <w:rPr>
          <w:szCs w:val="20"/>
        </w:rPr>
        <w:t xml:space="preserve"> zakupu lub modernizacji taboru pasażerskiego wynosi 893 933,08 zł.</w:t>
      </w:r>
    </w:p>
    <w:p w14:paraId="54B5199F" w14:textId="77777777" w:rsidR="00087E50" w:rsidRPr="00BE185E" w:rsidRDefault="00087E50" w:rsidP="00087E50">
      <w:pPr>
        <w:rPr>
          <w:szCs w:val="20"/>
        </w:rPr>
      </w:pPr>
      <w:r>
        <w:rPr>
          <w:szCs w:val="20"/>
        </w:rPr>
        <w:t>Zidentyfikowane projekty pozakonkursowe, dla których nie podpisano jeszcze umów</w:t>
      </w:r>
      <w:r w:rsidR="00E66B89">
        <w:rPr>
          <w:szCs w:val="20"/>
        </w:rPr>
        <w:t xml:space="preserve"> o </w:t>
      </w:r>
      <w:r>
        <w:rPr>
          <w:szCs w:val="20"/>
        </w:rPr>
        <w:t xml:space="preserve">dofinansowanie (Działanie 2.2 oraz 2.3), według założeń powinny przyczyniać się do osiągnięcia 8 jednostek wskaźnika. Wartość dofinansowania tych projektów powinna wynieść 9,8 mln zł. Inwestycje przyczynią się więc do osiągnięcia wskaźnika na </w:t>
      </w:r>
      <w:r w:rsidRPr="009D6BBE">
        <w:rPr>
          <w:szCs w:val="20"/>
        </w:rPr>
        <w:t>poziomie 160</w:t>
      </w:r>
      <w:r>
        <w:rPr>
          <w:szCs w:val="20"/>
        </w:rPr>
        <w:t xml:space="preserve">%. </w:t>
      </w:r>
    </w:p>
    <w:p w14:paraId="42A4DCE7" w14:textId="77777777" w:rsidR="00087E50" w:rsidRPr="00BE6077" w:rsidRDefault="00087E50" w:rsidP="00087E50">
      <w:pPr>
        <w:rPr>
          <w:szCs w:val="20"/>
        </w:rPr>
      </w:pPr>
      <w:r>
        <w:rPr>
          <w:szCs w:val="20"/>
        </w:rPr>
        <w:t xml:space="preserve">Wskaźnik </w:t>
      </w:r>
      <w:r w:rsidRPr="008B706B">
        <w:rPr>
          <w:i/>
          <w:szCs w:val="20"/>
        </w:rPr>
        <w:t>Liczba wybudowanych zintegrowanych węzłów przesiadkowych</w:t>
      </w:r>
      <w:r>
        <w:rPr>
          <w:szCs w:val="20"/>
        </w:rPr>
        <w:t xml:space="preserve"> będzie realizowany przez część zidentyfikowanych projektów pozakonkursowych, dla których nie podpisano jeszcze umów</w:t>
      </w:r>
      <w:r w:rsidR="00E66B89">
        <w:rPr>
          <w:szCs w:val="20"/>
        </w:rPr>
        <w:t xml:space="preserve"> o </w:t>
      </w:r>
      <w:r>
        <w:rPr>
          <w:szCs w:val="20"/>
        </w:rPr>
        <w:t xml:space="preserve">dofinansowanie. Łącznie powinny przyczynić się do osiągnięcia 7 jednostek wskaźnika. Wnioskowana wartość dofinansowania projektów mających odpowiadać za ten wskaźnik wynosi ok. 17 mln zł. Za pomocą omawianych przedsięwzięć powinien być on osiągnięty na poziomie 283%. </w:t>
      </w:r>
      <w:r w:rsidRPr="00BE6077">
        <w:rPr>
          <w:szCs w:val="20"/>
        </w:rPr>
        <w:t>Dostępna alokacja</w:t>
      </w:r>
      <w:r>
        <w:rPr>
          <w:szCs w:val="20"/>
        </w:rPr>
        <w:t xml:space="preserve"> na PI 4e to 176 563 511,68 zł</w:t>
      </w:r>
      <w:r w:rsidRPr="00BE6077">
        <w:rPr>
          <w:szCs w:val="20"/>
        </w:rPr>
        <w:t>,</w:t>
      </w:r>
      <w:r>
        <w:rPr>
          <w:szCs w:val="20"/>
        </w:rPr>
        <w:t xml:space="preserve"> natomiast koszt jednostkowy wynosi </w:t>
      </w:r>
      <w:r w:rsidRPr="00937F41">
        <w:rPr>
          <w:szCs w:val="20"/>
        </w:rPr>
        <w:t>14 004 396,14</w:t>
      </w:r>
      <w:r>
        <w:rPr>
          <w:szCs w:val="20"/>
        </w:rPr>
        <w:t xml:space="preserve"> zł. Ogłoszony nabór nr </w:t>
      </w:r>
      <w:r w:rsidRPr="000804BC">
        <w:rPr>
          <w:szCs w:val="20"/>
        </w:rPr>
        <w:t>RPZP.02.04.00-IZ.00-32-001/19</w:t>
      </w:r>
      <w:r>
        <w:rPr>
          <w:szCs w:val="20"/>
        </w:rPr>
        <w:t xml:space="preserve"> za pomocą przewidywanej</w:t>
      </w:r>
      <w:r w:rsidR="00E66B89">
        <w:rPr>
          <w:szCs w:val="20"/>
        </w:rPr>
        <w:t xml:space="preserve"> w </w:t>
      </w:r>
      <w:r>
        <w:rPr>
          <w:szCs w:val="20"/>
        </w:rPr>
        <w:t>budżecie kwoty nie pozwoli jednak na dodatkowe podwyższenie wartości docelowej wskaźnika.</w:t>
      </w:r>
    </w:p>
    <w:p w14:paraId="49BB693A" w14:textId="77777777" w:rsidR="00087E50" w:rsidRDefault="00087E50" w:rsidP="00087E50">
      <w:pPr>
        <w:rPr>
          <w:szCs w:val="20"/>
        </w:rPr>
      </w:pPr>
      <w:r w:rsidRPr="00BE6077">
        <w:rPr>
          <w:szCs w:val="20"/>
        </w:rPr>
        <w:t>Z uwagi na fakt, iż do dnia 7 stycznia 2019 roku,</w:t>
      </w:r>
      <w:r w:rsidR="00E66B89">
        <w:rPr>
          <w:szCs w:val="20"/>
        </w:rPr>
        <w:t xml:space="preserve"> w </w:t>
      </w:r>
      <w:r w:rsidRPr="00BE6077">
        <w:rPr>
          <w:szCs w:val="20"/>
        </w:rPr>
        <w:t>ramach żadnego projektu</w:t>
      </w:r>
      <w:r w:rsidR="00E66B89">
        <w:rPr>
          <w:szCs w:val="20"/>
        </w:rPr>
        <w:t xml:space="preserve"> z </w:t>
      </w:r>
      <w:r w:rsidRPr="00BE6077">
        <w:rPr>
          <w:szCs w:val="20"/>
        </w:rPr>
        <w:t>podpisaną umową dofinansowania, nie przewiduje się instalacji inteligentnych systemów transportowych</w:t>
      </w:r>
      <w:r>
        <w:rPr>
          <w:szCs w:val="20"/>
        </w:rPr>
        <w:t>,</w:t>
      </w:r>
      <w:r w:rsidRPr="00BE6077">
        <w:rPr>
          <w:szCs w:val="20"/>
        </w:rPr>
        <w:t xml:space="preserve"> </w:t>
      </w:r>
      <w:r>
        <w:rPr>
          <w:szCs w:val="20"/>
        </w:rPr>
        <w:t xml:space="preserve">prognozę wskaźnika </w:t>
      </w:r>
      <w:r w:rsidRPr="00C22C26">
        <w:rPr>
          <w:i/>
          <w:szCs w:val="20"/>
        </w:rPr>
        <w:t>Liczba zainstalowanych inteligentnych systemów transportowych</w:t>
      </w:r>
      <w:r>
        <w:rPr>
          <w:szCs w:val="20"/>
        </w:rPr>
        <w:t xml:space="preserve"> oparto na metodologii szacowania wartości wskaźnika zastosowanej na etapie programowania RPO WZ 2014-2020. Metodologia ta zakładała wyliczenie kosztu jednostkowego na podstawie zbioru projektów realizujących wskaźnik </w:t>
      </w:r>
      <w:r w:rsidRPr="00C22C26">
        <w:rPr>
          <w:i/>
          <w:szCs w:val="20"/>
        </w:rPr>
        <w:t>Liczba zainstalowanych systemów</w:t>
      </w:r>
      <w:r>
        <w:rPr>
          <w:szCs w:val="20"/>
        </w:rPr>
        <w:t xml:space="preserve"> (kategoria interwencji 28,25), pochodzących</w:t>
      </w:r>
      <w:r w:rsidR="00E66B89">
        <w:rPr>
          <w:szCs w:val="20"/>
        </w:rPr>
        <w:t xml:space="preserve"> z </w:t>
      </w:r>
      <w:r>
        <w:rPr>
          <w:szCs w:val="20"/>
        </w:rPr>
        <w:t xml:space="preserve">perspektywy unijnej 2007-2013. Tak wyliczony koszt jednostkowy wyniósł 4 460 709,85 zł. </w:t>
      </w:r>
    </w:p>
    <w:p w14:paraId="35C0B1B5" w14:textId="77777777" w:rsidR="00087E50" w:rsidRDefault="00087E50" w:rsidP="00087E50">
      <w:pPr>
        <w:rPr>
          <w:szCs w:val="20"/>
        </w:rPr>
      </w:pPr>
      <w:r>
        <w:rPr>
          <w:szCs w:val="20"/>
        </w:rPr>
        <w:t>Prognozując wartość docelową wskaźnika, zaktualizowano koszt jednostkowy</w:t>
      </w:r>
      <w:r w:rsidR="00E66B89">
        <w:rPr>
          <w:szCs w:val="20"/>
        </w:rPr>
        <w:t xml:space="preserve"> o </w:t>
      </w:r>
      <w:r>
        <w:rPr>
          <w:szCs w:val="20"/>
        </w:rPr>
        <w:t xml:space="preserve">odpowiednie wartości indeksów, co podniosło go do wartości </w:t>
      </w:r>
      <w:r w:rsidRPr="00586ECB">
        <w:rPr>
          <w:szCs w:val="20"/>
        </w:rPr>
        <w:t>4 611 035,77</w:t>
      </w:r>
      <w:r>
        <w:rPr>
          <w:szCs w:val="20"/>
        </w:rPr>
        <w:t xml:space="preserve"> zł.</w:t>
      </w:r>
      <w:r w:rsidR="00E66B89">
        <w:rPr>
          <w:szCs w:val="20"/>
        </w:rPr>
        <w:t xml:space="preserve"> W </w:t>
      </w:r>
      <w:r>
        <w:rPr>
          <w:szCs w:val="20"/>
        </w:rPr>
        <w:t>ramach zidentyfikowanych projektów pozakonkursowych, dla których nie podpisano jeszcze umów</w:t>
      </w:r>
      <w:r w:rsidR="00E66B89">
        <w:rPr>
          <w:szCs w:val="20"/>
        </w:rPr>
        <w:t xml:space="preserve"> o </w:t>
      </w:r>
      <w:r>
        <w:rPr>
          <w:szCs w:val="20"/>
        </w:rPr>
        <w:t>dofinansowanie, nie planuje się inwestycji, które realizowałyby ten wskaźnik.</w:t>
      </w:r>
    </w:p>
    <w:p w14:paraId="3C6E4C37" w14:textId="77777777" w:rsidR="00087E50" w:rsidRDefault="00087E50" w:rsidP="00087E50">
      <w:pPr>
        <w:rPr>
          <w:szCs w:val="20"/>
        </w:rPr>
      </w:pPr>
      <w:r>
        <w:rPr>
          <w:szCs w:val="20"/>
        </w:rPr>
        <w:t xml:space="preserve">W ramach konkursu nr </w:t>
      </w:r>
      <w:r w:rsidRPr="004C0B9A">
        <w:rPr>
          <w:szCs w:val="20"/>
        </w:rPr>
        <w:t>RPZP.02.04.00-IZ.00-32-001/19</w:t>
      </w:r>
      <w:r>
        <w:rPr>
          <w:szCs w:val="20"/>
        </w:rPr>
        <w:t>, dotyczącego Działania 2.4, przewidziano budżet</w:t>
      </w:r>
      <w:r w:rsidR="00E66B89">
        <w:rPr>
          <w:szCs w:val="20"/>
        </w:rPr>
        <w:t xml:space="preserve"> w </w:t>
      </w:r>
      <w:r>
        <w:rPr>
          <w:szCs w:val="20"/>
        </w:rPr>
        <w:t xml:space="preserve">wysokości </w:t>
      </w:r>
      <w:r w:rsidRPr="00E057A4">
        <w:rPr>
          <w:szCs w:val="20"/>
        </w:rPr>
        <w:t>1 930</w:t>
      </w:r>
      <w:r>
        <w:rPr>
          <w:szCs w:val="20"/>
        </w:rPr>
        <w:t> </w:t>
      </w:r>
      <w:r w:rsidRPr="00E057A4">
        <w:rPr>
          <w:szCs w:val="20"/>
        </w:rPr>
        <w:t>725</w:t>
      </w:r>
      <w:r>
        <w:rPr>
          <w:szCs w:val="20"/>
        </w:rPr>
        <w:t xml:space="preserve"> zł. Na podstawie kosztu jednostkowego zastosowanego do wyliczenia wartości wskaźnika </w:t>
      </w:r>
      <w:r w:rsidRPr="008B706B">
        <w:rPr>
          <w:i/>
          <w:szCs w:val="20"/>
        </w:rPr>
        <w:t>Liczba zainstalowanych inteligentnych systemów transportowych</w:t>
      </w:r>
      <w:r>
        <w:rPr>
          <w:szCs w:val="20"/>
        </w:rPr>
        <w:t>, można wnioskować</w:t>
      </w:r>
      <w:r w:rsidR="00E66B89">
        <w:rPr>
          <w:szCs w:val="20"/>
        </w:rPr>
        <w:t xml:space="preserve"> o </w:t>
      </w:r>
      <w:r>
        <w:rPr>
          <w:szCs w:val="20"/>
        </w:rPr>
        <w:t>braku możliwości realizacji tego typu przedsięwzięcia za pomocą środków dostępnych</w:t>
      </w:r>
      <w:r w:rsidR="00E66B89">
        <w:rPr>
          <w:szCs w:val="20"/>
        </w:rPr>
        <w:t xml:space="preserve"> w </w:t>
      </w:r>
      <w:r>
        <w:rPr>
          <w:szCs w:val="20"/>
        </w:rPr>
        <w:t>naborze.</w:t>
      </w:r>
      <w:r w:rsidR="00E66B89">
        <w:rPr>
          <w:szCs w:val="20"/>
        </w:rPr>
        <w:t xml:space="preserve"> W </w:t>
      </w:r>
      <w:r>
        <w:rPr>
          <w:szCs w:val="20"/>
        </w:rPr>
        <w:t>związku</w:t>
      </w:r>
      <w:r w:rsidR="00E66B89">
        <w:rPr>
          <w:szCs w:val="20"/>
        </w:rPr>
        <w:t xml:space="preserve"> z </w:t>
      </w:r>
      <w:r>
        <w:rPr>
          <w:szCs w:val="20"/>
        </w:rPr>
        <w:t>zapisami zawartymi</w:t>
      </w:r>
      <w:r w:rsidR="00E66B89">
        <w:rPr>
          <w:szCs w:val="20"/>
        </w:rPr>
        <w:t xml:space="preserve"> w </w:t>
      </w:r>
      <w:r>
        <w:rPr>
          <w:szCs w:val="20"/>
        </w:rPr>
        <w:t>Kontrakcie Terytorialnym dla województwa zachodniopomorskiego, mówiącymi</w:t>
      </w:r>
      <w:r w:rsidR="00E66B89">
        <w:rPr>
          <w:szCs w:val="20"/>
        </w:rPr>
        <w:t xml:space="preserve"> o </w:t>
      </w:r>
      <w:r>
        <w:rPr>
          <w:szCs w:val="20"/>
        </w:rPr>
        <w:t>realizacji projektu dotyczącego budowy demonstracyjnego budynku pasywnego</w:t>
      </w:r>
      <w:r w:rsidR="00E66B89">
        <w:rPr>
          <w:szCs w:val="20"/>
        </w:rPr>
        <w:t xml:space="preserve"> w </w:t>
      </w:r>
      <w:r>
        <w:rPr>
          <w:szCs w:val="20"/>
        </w:rPr>
        <w:t>ramach PI 4e, należy spodziewać się wydzielenia odpowiedniej kwoty pozostałej alokacji na wspomnianą inwestycję. Wybudowany budynek nie będzie jednak przyczyniać się do podniesienia wartości wskaźników programowych dla PI 4e.</w:t>
      </w:r>
    </w:p>
    <w:p w14:paraId="6E6E9D30" w14:textId="77777777" w:rsidR="00087E50" w:rsidRPr="008B706B" w:rsidRDefault="00087E50" w:rsidP="00087E50">
      <w:pPr>
        <w:rPr>
          <w:b/>
          <w:szCs w:val="20"/>
        </w:rPr>
      </w:pPr>
      <w:r w:rsidRPr="008B706B">
        <w:rPr>
          <w:b/>
          <w:szCs w:val="20"/>
        </w:rPr>
        <w:t>REKOMENDACJA:</w:t>
      </w:r>
      <w:r>
        <w:rPr>
          <w:b/>
          <w:szCs w:val="20"/>
        </w:rPr>
        <w:t xml:space="preserve"> </w:t>
      </w:r>
      <w:r w:rsidR="00A13E5F">
        <w:rPr>
          <w:b/>
          <w:szCs w:val="20"/>
        </w:rPr>
        <w:t>W </w:t>
      </w:r>
      <w:r w:rsidRPr="008B706B">
        <w:rPr>
          <w:b/>
          <w:szCs w:val="20"/>
        </w:rPr>
        <w:t>związku</w:t>
      </w:r>
      <w:r w:rsidR="00E66B89">
        <w:rPr>
          <w:b/>
          <w:szCs w:val="20"/>
        </w:rPr>
        <w:t xml:space="preserve"> z </w:t>
      </w:r>
      <w:r w:rsidRPr="008B706B">
        <w:rPr>
          <w:b/>
          <w:szCs w:val="20"/>
        </w:rPr>
        <w:t xml:space="preserve">ryzykiem nieosiągnięcia wartości docelowej wskaźnika </w:t>
      </w:r>
      <w:r w:rsidRPr="008B706B">
        <w:rPr>
          <w:b/>
          <w:i/>
          <w:szCs w:val="20"/>
        </w:rPr>
        <w:t>Liczba zainstalowanych inteligentnych systemów transportowych</w:t>
      </w:r>
      <w:r w:rsidRPr="008B706B">
        <w:rPr>
          <w:b/>
          <w:szCs w:val="20"/>
        </w:rPr>
        <w:t>, proponuje się przeprowadzenie</w:t>
      </w:r>
      <w:r w:rsidR="00E66B89">
        <w:rPr>
          <w:b/>
          <w:szCs w:val="20"/>
        </w:rPr>
        <w:t xml:space="preserve"> w </w:t>
      </w:r>
      <w:r w:rsidRPr="008B706B">
        <w:rPr>
          <w:b/>
          <w:szCs w:val="20"/>
        </w:rPr>
        <w:t>roku 2019 dodatkowego naboru</w:t>
      </w:r>
      <w:r w:rsidR="00E66B89">
        <w:rPr>
          <w:b/>
          <w:szCs w:val="20"/>
        </w:rPr>
        <w:t xml:space="preserve"> w </w:t>
      </w:r>
      <w:r w:rsidRPr="008B706B">
        <w:rPr>
          <w:b/>
          <w:szCs w:val="20"/>
        </w:rPr>
        <w:t>ramach Działania 2.1, dedykowanego wyłącznie inwestycjom</w:t>
      </w:r>
      <w:r w:rsidR="00E66B89">
        <w:rPr>
          <w:b/>
          <w:szCs w:val="20"/>
        </w:rPr>
        <w:t xml:space="preserve"> z </w:t>
      </w:r>
      <w:r w:rsidRPr="008B706B">
        <w:rPr>
          <w:b/>
          <w:szCs w:val="20"/>
        </w:rPr>
        <w:t xml:space="preserve">zakresu </w:t>
      </w:r>
      <w:r>
        <w:rPr>
          <w:b/>
          <w:szCs w:val="20"/>
        </w:rPr>
        <w:lastRenderedPageBreak/>
        <w:t>pierwszego</w:t>
      </w:r>
      <w:r w:rsidRPr="008B706B">
        <w:rPr>
          <w:b/>
          <w:szCs w:val="20"/>
        </w:rPr>
        <w:t xml:space="preserve"> typu projektu</w:t>
      </w:r>
      <w:r>
        <w:rPr>
          <w:b/>
          <w:szCs w:val="20"/>
        </w:rPr>
        <w:t xml:space="preserve"> wskazanego</w:t>
      </w:r>
      <w:r w:rsidR="00E66B89">
        <w:rPr>
          <w:b/>
          <w:szCs w:val="20"/>
        </w:rPr>
        <w:t xml:space="preserve"> w </w:t>
      </w:r>
      <w:r>
        <w:rPr>
          <w:b/>
          <w:szCs w:val="20"/>
        </w:rPr>
        <w:t>SOOP RPO WZ 2014-2020</w:t>
      </w:r>
      <w:r>
        <w:rPr>
          <w:rStyle w:val="Odwoanieprzypisudolnego"/>
          <w:b/>
          <w:szCs w:val="20"/>
        </w:rPr>
        <w:footnoteReference w:id="28"/>
      </w:r>
      <w:r w:rsidRPr="008B706B">
        <w:rPr>
          <w:b/>
          <w:szCs w:val="20"/>
        </w:rPr>
        <w:t>,</w:t>
      </w:r>
      <w:r w:rsidR="00E66B89">
        <w:rPr>
          <w:b/>
          <w:szCs w:val="20"/>
        </w:rPr>
        <w:t xml:space="preserve"> z </w:t>
      </w:r>
      <w:r w:rsidRPr="008B706B">
        <w:rPr>
          <w:b/>
          <w:szCs w:val="20"/>
        </w:rPr>
        <w:t xml:space="preserve">preferencją wyboru dla projektów przewidujących budowę inteligentnych systemów transportowych. </w:t>
      </w:r>
      <w:bookmarkStart w:id="86" w:name="_Hlk6346757"/>
      <w:r w:rsidRPr="008B706B">
        <w:rPr>
          <w:b/>
          <w:szCs w:val="20"/>
        </w:rPr>
        <w:t xml:space="preserve">Wyznaczony budżet naboru powinien umożliwiać realizację co najmniej trzech tego typu systemów </w:t>
      </w:r>
      <w:r w:rsidRPr="00C22C26">
        <w:rPr>
          <w:b/>
          <w:szCs w:val="20"/>
        </w:rPr>
        <w:t>(na podstawie kosztu jednostkowego przewidzianego</w:t>
      </w:r>
      <w:r w:rsidR="00E66B89">
        <w:rPr>
          <w:b/>
          <w:szCs w:val="20"/>
        </w:rPr>
        <w:t xml:space="preserve"> w </w:t>
      </w:r>
      <w:r w:rsidRPr="00C22C26">
        <w:rPr>
          <w:b/>
          <w:szCs w:val="20"/>
        </w:rPr>
        <w:t>metodologii szacowania wartości docelowej wskaźnika</w:t>
      </w:r>
      <w:r>
        <w:rPr>
          <w:b/>
          <w:szCs w:val="20"/>
        </w:rPr>
        <w:t>, zaktualizowanego</w:t>
      </w:r>
      <w:r w:rsidR="00E66B89">
        <w:rPr>
          <w:b/>
          <w:szCs w:val="20"/>
        </w:rPr>
        <w:t xml:space="preserve"> o </w:t>
      </w:r>
      <w:r>
        <w:rPr>
          <w:b/>
          <w:szCs w:val="20"/>
        </w:rPr>
        <w:t>odpowiednie wartości indeksów</w:t>
      </w:r>
      <w:r w:rsidRPr="00C22C26">
        <w:rPr>
          <w:b/>
          <w:szCs w:val="20"/>
        </w:rPr>
        <w:t>).</w:t>
      </w:r>
      <w:r w:rsidR="00C22C26">
        <w:rPr>
          <w:b/>
          <w:szCs w:val="20"/>
        </w:rPr>
        <w:t xml:space="preserve"> </w:t>
      </w:r>
    </w:p>
    <w:bookmarkEnd w:id="86"/>
    <w:p w14:paraId="24913805" w14:textId="77777777" w:rsidR="00087E50" w:rsidRPr="00484E66" w:rsidRDefault="00087E50" w:rsidP="00087E50">
      <w:pPr>
        <w:rPr>
          <w:szCs w:val="20"/>
        </w:rPr>
      </w:pPr>
      <w:r>
        <w:rPr>
          <w:szCs w:val="20"/>
        </w:rPr>
        <w:t>W związku</w:t>
      </w:r>
      <w:r w:rsidR="00E66B89">
        <w:rPr>
          <w:szCs w:val="20"/>
        </w:rPr>
        <w:t xml:space="preserve"> z </w:t>
      </w:r>
      <w:r>
        <w:rPr>
          <w:szCs w:val="20"/>
        </w:rPr>
        <w:t xml:space="preserve">proponowaną rekomendacją, prognozowana wartość wskaźnika </w:t>
      </w:r>
      <w:r w:rsidRPr="00605A34">
        <w:rPr>
          <w:i/>
          <w:szCs w:val="20"/>
        </w:rPr>
        <w:t>Liczba zainstalowanych inteligentnych systemów transportowych</w:t>
      </w:r>
      <w:r>
        <w:rPr>
          <w:szCs w:val="20"/>
        </w:rPr>
        <w:t xml:space="preserve"> wynosi 100% (na osiągnięcie wskaźnika pozwoli pozostała alokacja</w:t>
      </w:r>
      <w:r w:rsidR="00E66B89">
        <w:rPr>
          <w:szCs w:val="20"/>
        </w:rPr>
        <w:t xml:space="preserve"> w </w:t>
      </w:r>
      <w:r>
        <w:rPr>
          <w:szCs w:val="20"/>
        </w:rPr>
        <w:t xml:space="preserve">wysokości około 34 mln przy koszcie jednostkowym </w:t>
      </w:r>
      <w:r w:rsidRPr="00AE4A24">
        <w:rPr>
          <w:szCs w:val="20"/>
        </w:rPr>
        <w:t>4 611 035,77 zł</w:t>
      </w:r>
      <w:r>
        <w:rPr>
          <w:szCs w:val="20"/>
        </w:rPr>
        <w:t>).</w:t>
      </w:r>
    </w:p>
    <w:p w14:paraId="721EDBC6" w14:textId="77777777" w:rsidR="00087E50" w:rsidRPr="006E34DC" w:rsidRDefault="00087E50" w:rsidP="006E34DC">
      <w:pPr>
        <w:pStyle w:val="Legenda"/>
        <w:spacing w:after="0"/>
      </w:pPr>
      <w:bookmarkStart w:id="87" w:name="_Toc8824137"/>
      <w:r w:rsidRPr="00404DA5">
        <w:t xml:space="preserve">Tabela </w:t>
      </w:r>
      <w:r>
        <w:fldChar w:fldCharType="begin"/>
      </w:r>
      <w:r>
        <w:instrText xml:space="preserve"> SEQ Tabela \* ARABIC </w:instrText>
      </w:r>
      <w:r>
        <w:fldChar w:fldCharType="separate"/>
      </w:r>
      <w:r w:rsidR="00763345">
        <w:rPr>
          <w:noProof/>
        </w:rPr>
        <w:t>26</w:t>
      </w:r>
      <w:r>
        <w:fldChar w:fldCharType="end"/>
      </w:r>
      <w:r w:rsidRPr="00404DA5">
        <w:t xml:space="preserve"> Prognozowany poziom realizacji wskaźników produktu na rok 2023 – PI 4e</w:t>
      </w:r>
      <w:bookmarkEnd w:id="87"/>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679"/>
        <w:gridCol w:w="1362"/>
        <w:gridCol w:w="1940"/>
        <w:gridCol w:w="1942"/>
      </w:tblGrid>
      <w:tr w:rsidR="00087E50" w:rsidRPr="00CF6D64" w14:paraId="0B0FA34B" w14:textId="77777777" w:rsidTr="00BA3B1C">
        <w:trPr>
          <w:trHeight w:val="1093"/>
          <w:tblHeader/>
        </w:trPr>
        <w:tc>
          <w:tcPr>
            <w:tcW w:w="521" w:type="pct"/>
            <w:shd w:val="clear" w:color="auto" w:fill="DBE5F1"/>
            <w:vAlign w:val="center"/>
          </w:tcPr>
          <w:p w14:paraId="24E23178" w14:textId="77777777" w:rsidR="00087E50" w:rsidRPr="00404DA5" w:rsidRDefault="00087E50" w:rsidP="00BA3B1C">
            <w:pPr>
              <w:jc w:val="center"/>
              <w:rPr>
                <w:rFonts w:cs="Calibri"/>
                <w:sz w:val="18"/>
                <w:szCs w:val="18"/>
              </w:rPr>
            </w:pPr>
            <w:r w:rsidRPr="00404DA5">
              <w:rPr>
                <w:rFonts w:cs="Calibri"/>
                <w:sz w:val="18"/>
                <w:szCs w:val="18"/>
              </w:rPr>
              <w:t>Typ wskaźnika</w:t>
            </w:r>
          </w:p>
        </w:tc>
        <w:tc>
          <w:tcPr>
            <w:tcW w:w="1510" w:type="pct"/>
            <w:shd w:val="clear" w:color="auto" w:fill="DBE5F1"/>
            <w:vAlign w:val="center"/>
          </w:tcPr>
          <w:p w14:paraId="149089DC" w14:textId="77777777" w:rsidR="00087E50" w:rsidRPr="00404DA5" w:rsidRDefault="00087E50" w:rsidP="00BA3B1C">
            <w:pPr>
              <w:jc w:val="center"/>
              <w:rPr>
                <w:rFonts w:cs="Calibri"/>
                <w:sz w:val="18"/>
                <w:szCs w:val="18"/>
              </w:rPr>
            </w:pPr>
            <w:r w:rsidRPr="00404DA5">
              <w:rPr>
                <w:rFonts w:cs="Calibri"/>
                <w:sz w:val="18"/>
                <w:szCs w:val="18"/>
              </w:rPr>
              <w:t>Wskaźnik</w:t>
            </w:r>
          </w:p>
        </w:tc>
        <w:tc>
          <w:tcPr>
            <w:tcW w:w="774" w:type="pct"/>
            <w:shd w:val="clear" w:color="auto" w:fill="DBE5F1"/>
          </w:tcPr>
          <w:p w14:paraId="0805786B" w14:textId="77777777" w:rsidR="00087E50" w:rsidRPr="00404DA5" w:rsidRDefault="00087E50" w:rsidP="00BA3B1C">
            <w:pPr>
              <w:jc w:val="center"/>
              <w:rPr>
                <w:rFonts w:cs="Calibri"/>
                <w:sz w:val="18"/>
                <w:szCs w:val="18"/>
              </w:rPr>
            </w:pPr>
            <w:r w:rsidRPr="00404DA5">
              <w:rPr>
                <w:rFonts w:cs="Calibri"/>
                <w:sz w:val="18"/>
                <w:szCs w:val="18"/>
              </w:rPr>
              <w:t>Wartość docelowa określona na 2023 rok</w:t>
            </w:r>
          </w:p>
        </w:tc>
        <w:tc>
          <w:tcPr>
            <w:tcW w:w="1097" w:type="pct"/>
            <w:shd w:val="clear" w:color="auto" w:fill="DBE5F1"/>
            <w:vAlign w:val="center"/>
          </w:tcPr>
          <w:p w14:paraId="54E95CE3" w14:textId="77777777" w:rsidR="00087E50" w:rsidRPr="00404DA5" w:rsidRDefault="00087E50" w:rsidP="00BA3B1C">
            <w:pPr>
              <w:jc w:val="center"/>
              <w:rPr>
                <w:rFonts w:cs="Calibri"/>
                <w:sz w:val="18"/>
                <w:szCs w:val="18"/>
              </w:rPr>
            </w:pPr>
            <w:r w:rsidRPr="00404DA5">
              <w:rPr>
                <w:rFonts w:cs="Calibri"/>
                <w:sz w:val="18"/>
                <w:szCs w:val="18"/>
              </w:rPr>
              <w:t xml:space="preserve">Prognozowana całkowita wartość wskaźnika </w:t>
            </w:r>
          </w:p>
        </w:tc>
        <w:tc>
          <w:tcPr>
            <w:tcW w:w="1098" w:type="pct"/>
            <w:shd w:val="clear" w:color="auto" w:fill="DBE5F1"/>
            <w:vAlign w:val="center"/>
          </w:tcPr>
          <w:p w14:paraId="179D5D43" w14:textId="77777777" w:rsidR="00087E50" w:rsidRPr="00404DA5" w:rsidRDefault="00087E50" w:rsidP="00BA3B1C">
            <w:pPr>
              <w:jc w:val="center"/>
              <w:rPr>
                <w:rFonts w:cs="Calibri"/>
                <w:sz w:val="18"/>
                <w:szCs w:val="18"/>
              </w:rPr>
            </w:pPr>
            <w:r w:rsidRPr="00404DA5">
              <w:rPr>
                <w:rFonts w:cs="Calibri"/>
                <w:sz w:val="18"/>
                <w:szCs w:val="18"/>
              </w:rPr>
              <w:t>Prognozowany % realizacji wartości docelowej</w:t>
            </w:r>
          </w:p>
        </w:tc>
      </w:tr>
      <w:tr w:rsidR="00087E50" w:rsidRPr="00CF6D64" w14:paraId="2A8F8D8E" w14:textId="77777777" w:rsidTr="00BA3B1C">
        <w:trPr>
          <w:trHeight w:val="657"/>
        </w:trPr>
        <w:tc>
          <w:tcPr>
            <w:tcW w:w="521" w:type="pct"/>
            <w:shd w:val="clear" w:color="auto" w:fill="auto"/>
            <w:vAlign w:val="center"/>
          </w:tcPr>
          <w:p w14:paraId="71F82073" w14:textId="77777777" w:rsidR="00087E50" w:rsidRPr="00404DA5" w:rsidRDefault="00087E50" w:rsidP="005D32BD">
            <w:pPr>
              <w:jc w:val="center"/>
              <w:rPr>
                <w:rFonts w:cs="Calibri"/>
                <w:sz w:val="18"/>
                <w:szCs w:val="18"/>
              </w:rPr>
            </w:pPr>
            <w:r w:rsidRPr="00404DA5">
              <w:rPr>
                <w:rFonts w:cs="Calibri"/>
                <w:sz w:val="18"/>
                <w:szCs w:val="18"/>
              </w:rPr>
              <w:t>WP</w:t>
            </w:r>
          </w:p>
        </w:tc>
        <w:tc>
          <w:tcPr>
            <w:tcW w:w="1510" w:type="pct"/>
            <w:shd w:val="clear" w:color="auto" w:fill="auto"/>
            <w:vAlign w:val="center"/>
          </w:tcPr>
          <w:p w14:paraId="5701E26C" w14:textId="77777777" w:rsidR="00087E50" w:rsidRPr="00404DA5" w:rsidRDefault="00087E50" w:rsidP="00BA3B1C">
            <w:pPr>
              <w:rPr>
                <w:bCs/>
                <w:sz w:val="18"/>
                <w:szCs w:val="18"/>
              </w:rPr>
            </w:pPr>
            <w:r w:rsidRPr="00404DA5">
              <w:rPr>
                <w:bCs/>
                <w:sz w:val="18"/>
                <w:szCs w:val="18"/>
              </w:rPr>
              <w:t xml:space="preserve">Długość wspartej infrastruktury rowerowej </w:t>
            </w:r>
          </w:p>
        </w:tc>
        <w:tc>
          <w:tcPr>
            <w:tcW w:w="774" w:type="pct"/>
            <w:shd w:val="clear" w:color="auto" w:fill="auto"/>
            <w:vAlign w:val="center"/>
          </w:tcPr>
          <w:p w14:paraId="7E5832CE" w14:textId="77777777" w:rsidR="00087E50" w:rsidRPr="00404DA5" w:rsidRDefault="00087E50" w:rsidP="00BA3B1C">
            <w:pPr>
              <w:jc w:val="center"/>
              <w:rPr>
                <w:bCs/>
                <w:sz w:val="18"/>
                <w:szCs w:val="18"/>
              </w:rPr>
            </w:pPr>
            <w:r w:rsidRPr="00404DA5">
              <w:rPr>
                <w:bCs/>
                <w:sz w:val="18"/>
                <w:szCs w:val="18"/>
              </w:rPr>
              <w:t>88</w:t>
            </w:r>
          </w:p>
        </w:tc>
        <w:tc>
          <w:tcPr>
            <w:tcW w:w="1097" w:type="pct"/>
            <w:shd w:val="clear" w:color="auto" w:fill="auto"/>
            <w:vAlign w:val="center"/>
          </w:tcPr>
          <w:p w14:paraId="18A2066B" w14:textId="77777777" w:rsidR="00087E50" w:rsidRPr="00404DA5" w:rsidRDefault="00087E50" w:rsidP="00BA3B1C">
            <w:pPr>
              <w:jc w:val="center"/>
              <w:rPr>
                <w:bCs/>
                <w:sz w:val="18"/>
                <w:szCs w:val="18"/>
              </w:rPr>
            </w:pPr>
            <w:r w:rsidRPr="00404DA5">
              <w:rPr>
                <w:bCs/>
                <w:sz w:val="18"/>
                <w:szCs w:val="18"/>
              </w:rPr>
              <w:t>23</w:t>
            </w:r>
            <w:r>
              <w:rPr>
                <w:bCs/>
                <w:sz w:val="18"/>
                <w:szCs w:val="18"/>
              </w:rPr>
              <w:t>2</w:t>
            </w:r>
          </w:p>
        </w:tc>
        <w:tc>
          <w:tcPr>
            <w:tcW w:w="1098" w:type="pct"/>
            <w:shd w:val="clear" w:color="auto" w:fill="auto"/>
            <w:vAlign w:val="center"/>
          </w:tcPr>
          <w:p w14:paraId="1ADCFAD5" w14:textId="77777777" w:rsidR="00087E50" w:rsidRPr="00404DA5" w:rsidRDefault="00087E50" w:rsidP="00BA3B1C">
            <w:pPr>
              <w:jc w:val="center"/>
              <w:rPr>
                <w:bCs/>
                <w:sz w:val="18"/>
                <w:szCs w:val="18"/>
              </w:rPr>
            </w:pPr>
            <w:r w:rsidRPr="00404DA5">
              <w:rPr>
                <w:bCs/>
                <w:sz w:val="18"/>
                <w:szCs w:val="18"/>
              </w:rPr>
              <w:t>26</w:t>
            </w:r>
            <w:r>
              <w:rPr>
                <w:bCs/>
                <w:sz w:val="18"/>
                <w:szCs w:val="18"/>
              </w:rPr>
              <w:t>3,6</w:t>
            </w:r>
            <w:r w:rsidRPr="00404DA5">
              <w:rPr>
                <w:bCs/>
                <w:sz w:val="18"/>
                <w:szCs w:val="18"/>
              </w:rPr>
              <w:t>%</w:t>
            </w:r>
          </w:p>
        </w:tc>
      </w:tr>
      <w:tr w:rsidR="00087E50" w:rsidRPr="00CF6D64" w14:paraId="295F3888" w14:textId="77777777" w:rsidTr="00BA3B1C">
        <w:trPr>
          <w:trHeight w:val="657"/>
        </w:trPr>
        <w:tc>
          <w:tcPr>
            <w:tcW w:w="521" w:type="pct"/>
            <w:shd w:val="clear" w:color="auto" w:fill="auto"/>
            <w:vAlign w:val="center"/>
          </w:tcPr>
          <w:p w14:paraId="603641B2" w14:textId="77777777" w:rsidR="00087E50" w:rsidRPr="00404DA5" w:rsidRDefault="00087E50" w:rsidP="005D32BD">
            <w:pPr>
              <w:jc w:val="center"/>
              <w:rPr>
                <w:rFonts w:cs="Calibri"/>
                <w:sz w:val="18"/>
                <w:szCs w:val="18"/>
              </w:rPr>
            </w:pPr>
            <w:r w:rsidRPr="00404DA5">
              <w:rPr>
                <w:rFonts w:cs="Calibri"/>
                <w:sz w:val="18"/>
                <w:szCs w:val="18"/>
              </w:rPr>
              <w:t>WP</w:t>
            </w:r>
          </w:p>
        </w:tc>
        <w:tc>
          <w:tcPr>
            <w:tcW w:w="1510" w:type="pct"/>
            <w:shd w:val="clear" w:color="auto" w:fill="auto"/>
            <w:vAlign w:val="center"/>
          </w:tcPr>
          <w:p w14:paraId="1C8343F3" w14:textId="77777777" w:rsidR="00087E50" w:rsidRPr="00404DA5" w:rsidRDefault="00087E50" w:rsidP="00BA3B1C">
            <w:pPr>
              <w:rPr>
                <w:bCs/>
                <w:sz w:val="18"/>
                <w:szCs w:val="18"/>
              </w:rPr>
            </w:pPr>
            <w:r w:rsidRPr="00404DA5">
              <w:rPr>
                <w:bCs/>
                <w:sz w:val="18"/>
                <w:szCs w:val="18"/>
              </w:rPr>
              <w:t>Liczba zakupionych lub zmodernizowanych jednostek taboru pasażerskiego</w:t>
            </w:r>
            <w:r w:rsidR="00E66B89">
              <w:rPr>
                <w:bCs/>
                <w:sz w:val="18"/>
                <w:szCs w:val="18"/>
              </w:rPr>
              <w:t xml:space="preserve"> w </w:t>
            </w:r>
            <w:r w:rsidRPr="00404DA5">
              <w:rPr>
                <w:bCs/>
                <w:sz w:val="18"/>
                <w:szCs w:val="18"/>
              </w:rPr>
              <w:t>publicznym transporcie zbiorowym komunikacji miejskiej</w:t>
            </w:r>
          </w:p>
        </w:tc>
        <w:tc>
          <w:tcPr>
            <w:tcW w:w="774" w:type="pct"/>
            <w:shd w:val="clear" w:color="auto" w:fill="auto"/>
            <w:vAlign w:val="center"/>
          </w:tcPr>
          <w:p w14:paraId="72D28589" w14:textId="77777777" w:rsidR="00087E50" w:rsidRPr="00404DA5" w:rsidRDefault="00087E50" w:rsidP="00BA3B1C">
            <w:pPr>
              <w:jc w:val="center"/>
              <w:rPr>
                <w:bCs/>
                <w:sz w:val="18"/>
                <w:szCs w:val="18"/>
              </w:rPr>
            </w:pPr>
            <w:r w:rsidRPr="00404DA5">
              <w:rPr>
                <w:bCs/>
                <w:sz w:val="18"/>
                <w:szCs w:val="18"/>
              </w:rPr>
              <w:t>84</w:t>
            </w:r>
          </w:p>
        </w:tc>
        <w:tc>
          <w:tcPr>
            <w:tcW w:w="1097" w:type="pct"/>
            <w:shd w:val="clear" w:color="auto" w:fill="auto"/>
            <w:vAlign w:val="center"/>
          </w:tcPr>
          <w:p w14:paraId="1159C4D2" w14:textId="77777777" w:rsidR="00087E50" w:rsidRPr="00404DA5" w:rsidRDefault="00087E50" w:rsidP="00BA3B1C">
            <w:pPr>
              <w:jc w:val="center"/>
              <w:rPr>
                <w:bCs/>
                <w:sz w:val="18"/>
                <w:szCs w:val="18"/>
              </w:rPr>
            </w:pPr>
            <w:r>
              <w:rPr>
                <w:bCs/>
                <w:sz w:val="18"/>
                <w:szCs w:val="18"/>
              </w:rPr>
              <w:t>136</w:t>
            </w:r>
          </w:p>
        </w:tc>
        <w:tc>
          <w:tcPr>
            <w:tcW w:w="1098" w:type="pct"/>
            <w:shd w:val="clear" w:color="auto" w:fill="auto"/>
            <w:vAlign w:val="center"/>
          </w:tcPr>
          <w:p w14:paraId="3BE05D11" w14:textId="77777777" w:rsidR="00087E50" w:rsidRPr="00404DA5" w:rsidRDefault="00087E50" w:rsidP="00BA3B1C">
            <w:pPr>
              <w:jc w:val="center"/>
              <w:rPr>
                <w:bCs/>
                <w:sz w:val="18"/>
                <w:szCs w:val="18"/>
              </w:rPr>
            </w:pPr>
            <w:r>
              <w:rPr>
                <w:bCs/>
                <w:sz w:val="18"/>
                <w:szCs w:val="18"/>
              </w:rPr>
              <w:t>160</w:t>
            </w:r>
            <w:r w:rsidRPr="00404DA5">
              <w:rPr>
                <w:bCs/>
                <w:sz w:val="18"/>
                <w:szCs w:val="18"/>
              </w:rPr>
              <w:t>%</w:t>
            </w:r>
          </w:p>
        </w:tc>
      </w:tr>
      <w:tr w:rsidR="00087E50" w:rsidRPr="00CF6D64" w14:paraId="26F79D25" w14:textId="77777777" w:rsidTr="00BA3B1C">
        <w:trPr>
          <w:trHeight w:val="657"/>
        </w:trPr>
        <w:tc>
          <w:tcPr>
            <w:tcW w:w="521" w:type="pct"/>
            <w:shd w:val="clear" w:color="auto" w:fill="auto"/>
            <w:vAlign w:val="center"/>
          </w:tcPr>
          <w:p w14:paraId="45088DB3" w14:textId="77777777" w:rsidR="00087E50" w:rsidRPr="00404DA5" w:rsidRDefault="00087E50" w:rsidP="005D32BD">
            <w:pPr>
              <w:jc w:val="center"/>
              <w:rPr>
                <w:rFonts w:cs="Calibri"/>
                <w:sz w:val="18"/>
                <w:szCs w:val="18"/>
              </w:rPr>
            </w:pPr>
            <w:r w:rsidRPr="00404DA5">
              <w:rPr>
                <w:rFonts w:cs="Calibri"/>
                <w:sz w:val="18"/>
                <w:szCs w:val="18"/>
              </w:rPr>
              <w:t>WP</w:t>
            </w:r>
          </w:p>
        </w:tc>
        <w:tc>
          <w:tcPr>
            <w:tcW w:w="1510" w:type="pct"/>
            <w:shd w:val="clear" w:color="auto" w:fill="auto"/>
            <w:vAlign w:val="center"/>
          </w:tcPr>
          <w:p w14:paraId="7430F320" w14:textId="77777777" w:rsidR="00087E50" w:rsidRPr="00404DA5" w:rsidRDefault="00087E50" w:rsidP="00BA3B1C">
            <w:pPr>
              <w:rPr>
                <w:bCs/>
                <w:sz w:val="18"/>
                <w:szCs w:val="18"/>
              </w:rPr>
            </w:pPr>
            <w:r w:rsidRPr="00404DA5">
              <w:rPr>
                <w:bCs/>
                <w:sz w:val="18"/>
                <w:szCs w:val="18"/>
              </w:rPr>
              <w:t>Liczba wybudowanych zintegrowanych węzłów przesiadkowych</w:t>
            </w:r>
          </w:p>
        </w:tc>
        <w:tc>
          <w:tcPr>
            <w:tcW w:w="774" w:type="pct"/>
            <w:shd w:val="clear" w:color="auto" w:fill="auto"/>
            <w:vAlign w:val="center"/>
          </w:tcPr>
          <w:p w14:paraId="14EC106F" w14:textId="77777777" w:rsidR="00087E50" w:rsidRPr="00404DA5" w:rsidRDefault="00087E50" w:rsidP="00BA3B1C">
            <w:pPr>
              <w:jc w:val="center"/>
              <w:rPr>
                <w:bCs/>
                <w:sz w:val="18"/>
                <w:szCs w:val="18"/>
              </w:rPr>
            </w:pPr>
            <w:r w:rsidRPr="00404DA5">
              <w:rPr>
                <w:bCs/>
                <w:sz w:val="18"/>
                <w:szCs w:val="18"/>
              </w:rPr>
              <w:t>6</w:t>
            </w:r>
          </w:p>
        </w:tc>
        <w:tc>
          <w:tcPr>
            <w:tcW w:w="1097" w:type="pct"/>
            <w:shd w:val="clear" w:color="auto" w:fill="auto"/>
            <w:vAlign w:val="center"/>
          </w:tcPr>
          <w:p w14:paraId="3F3F24E7" w14:textId="77777777" w:rsidR="00087E50" w:rsidRPr="00404DA5" w:rsidRDefault="00087E50" w:rsidP="00BA3B1C">
            <w:pPr>
              <w:jc w:val="center"/>
              <w:rPr>
                <w:bCs/>
                <w:sz w:val="18"/>
                <w:szCs w:val="18"/>
              </w:rPr>
            </w:pPr>
            <w:r w:rsidRPr="00404DA5">
              <w:rPr>
                <w:bCs/>
                <w:sz w:val="18"/>
                <w:szCs w:val="18"/>
              </w:rPr>
              <w:t>1</w:t>
            </w:r>
            <w:r>
              <w:rPr>
                <w:bCs/>
                <w:sz w:val="18"/>
                <w:szCs w:val="18"/>
              </w:rPr>
              <w:t>7</w:t>
            </w:r>
          </w:p>
        </w:tc>
        <w:tc>
          <w:tcPr>
            <w:tcW w:w="1098" w:type="pct"/>
            <w:shd w:val="clear" w:color="auto" w:fill="auto"/>
            <w:vAlign w:val="center"/>
          </w:tcPr>
          <w:p w14:paraId="74777CB2" w14:textId="77777777" w:rsidR="00087E50" w:rsidRPr="00404DA5" w:rsidRDefault="00087E50" w:rsidP="00BA3B1C">
            <w:pPr>
              <w:jc w:val="center"/>
              <w:rPr>
                <w:bCs/>
                <w:sz w:val="18"/>
                <w:szCs w:val="18"/>
              </w:rPr>
            </w:pPr>
            <w:r>
              <w:rPr>
                <w:bCs/>
                <w:sz w:val="18"/>
                <w:szCs w:val="18"/>
              </w:rPr>
              <w:t>283</w:t>
            </w:r>
            <w:r w:rsidRPr="00404DA5">
              <w:rPr>
                <w:bCs/>
                <w:sz w:val="18"/>
                <w:szCs w:val="18"/>
              </w:rPr>
              <w:t>%</w:t>
            </w:r>
          </w:p>
        </w:tc>
      </w:tr>
      <w:tr w:rsidR="00087E50" w:rsidRPr="00CF6D64" w14:paraId="17F6FFAF" w14:textId="77777777" w:rsidTr="00BA3B1C">
        <w:trPr>
          <w:trHeight w:val="657"/>
        </w:trPr>
        <w:tc>
          <w:tcPr>
            <w:tcW w:w="521" w:type="pct"/>
            <w:shd w:val="clear" w:color="auto" w:fill="auto"/>
            <w:vAlign w:val="center"/>
          </w:tcPr>
          <w:p w14:paraId="04545E40" w14:textId="77777777" w:rsidR="00087E50" w:rsidRPr="00404DA5" w:rsidRDefault="00087E50" w:rsidP="005D32BD">
            <w:pPr>
              <w:jc w:val="center"/>
              <w:rPr>
                <w:rFonts w:cs="Calibri"/>
                <w:sz w:val="18"/>
                <w:szCs w:val="18"/>
              </w:rPr>
            </w:pPr>
            <w:r w:rsidRPr="00404DA5">
              <w:rPr>
                <w:rFonts w:cs="Calibri"/>
                <w:sz w:val="18"/>
                <w:szCs w:val="18"/>
              </w:rPr>
              <w:t>WP</w:t>
            </w:r>
          </w:p>
        </w:tc>
        <w:tc>
          <w:tcPr>
            <w:tcW w:w="1510" w:type="pct"/>
            <w:shd w:val="clear" w:color="auto" w:fill="auto"/>
            <w:vAlign w:val="center"/>
          </w:tcPr>
          <w:p w14:paraId="33B06D81" w14:textId="77777777" w:rsidR="00087E50" w:rsidRPr="00404DA5" w:rsidRDefault="00087E50" w:rsidP="00BA3B1C">
            <w:pPr>
              <w:rPr>
                <w:bCs/>
                <w:sz w:val="18"/>
                <w:szCs w:val="18"/>
              </w:rPr>
            </w:pPr>
            <w:r w:rsidRPr="00404DA5">
              <w:rPr>
                <w:bCs/>
                <w:sz w:val="18"/>
                <w:szCs w:val="18"/>
              </w:rPr>
              <w:t>Liczba zainstalowanych inteligentnych systemów transportowych</w:t>
            </w:r>
          </w:p>
        </w:tc>
        <w:tc>
          <w:tcPr>
            <w:tcW w:w="774" w:type="pct"/>
            <w:shd w:val="clear" w:color="auto" w:fill="auto"/>
            <w:vAlign w:val="center"/>
          </w:tcPr>
          <w:p w14:paraId="1265C6CE" w14:textId="77777777" w:rsidR="00087E50" w:rsidRPr="00404DA5" w:rsidRDefault="00087E50" w:rsidP="00BA3B1C">
            <w:pPr>
              <w:jc w:val="center"/>
              <w:rPr>
                <w:bCs/>
                <w:sz w:val="18"/>
                <w:szCs w:val="18"/>
              </w:rPr>
            </w:pPr>
            <w:r w:rsidRPr="00404DA5">
              <w:rPr>
                <w:bCs/>
                <w:sz w:val="18"/>
                <w:szCs w:val="18"/>
              </w:rPr>
              <w:t>3</w:t>
            </w:r>
          </w:p>
        </w:tc>
        <w:tc>
          <w:tcPr>
            <w:tcW w:w="1097" w:type="pct"/>
            <w:shd w:val="clear" w:color="auto" w:fill="auto"/>
            <w:vAlign w:val="center"/>
          </w:tcPr>
          <w:p w14:paraId="6588979D" w14:textId="77777777" w:rsidR="00087E50" w:rsidRPr="00404DA5" w:rsidRDefault="00087E50" w:rsidP="00BA3B1C">
            <w:pPr>
              <w:jc w:val="center"/>
              <w:rPr>
                <w:bCs/>
                <w:sz w:val="18"/>
                <w:szCs w:val="18"/>
              </w:rPr>
            </w:pPr>
            <w:r>
              <w:rPr>
                <w:bCs/>
                <w:sz w:val="18"/>
                <w:szCs w:val="18"/>
              </w:rPr>
              <w:t>3</w:t>
            </w:r>
          </w:p>
        </w:tc>
        <w:tc>
          <w:tcPr>
            <w:tcW w:w="1098" w:type="pct"/>
            <w:shd w:val="clear" w:color="auto" w:fill="auto"/>
            <w:vAlign w:val="center"/>
          </w:tcPr>
          <w:p w14:paraId="442D4684" w14:textId="77777777" w:rsidR="00087E50" w:rsidRPr="00404DA5" w:rsidRDefault="00087E50" w:rsidP="00BA3B1C">
            <w:pPr>
              <w:jc w:val="center"/>
              <w:rPr>
                <w:bCs/>
                <w:sz w:val="18"/>
                <w:szCs w:val="18"/>
              </w:rPr>
            </w:pPr>
            <w:r>
              <w:rPr>
                <w:bCs/>
                <w:sz w:val="18"/>
                <w:szCs w:val="18"/>
              </w:rPr>
              <w:t>100</w:t>
            </w:r>
            <w:r w:rsidRPr="00404DA5">
              <w:rPr>
                <w:bCs/>
                <w:sz w:val="18"/>
                <w:szCs w:val="18"/>
              </w:rPr>
              <w:t>%</w:t>
            </w:r>
          </w:p>
        </w:tc>
      </w:tr>
    </w:tbl>
    <w:p w14:paraId="79BBAC38" w14:textId="77777777" w:rsidR="00087E50" w:rsidRPr="002A5FDF" w:rsidRDefault="00087E50"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 xml:space="preserve">analizy własne. </w:t>
      </w:r>
    </w:p>
    <w:p w14:paraId="2FCAE3C5" w14:textId="77777777" w:rsidR="00087E50" w:rsidRPr="00E766C5" w:rsidRDefault="00087E50" w:rsidP="00087E50">
      <w:pPr>
        <w:rPr>
          <w:rFonts w:cs="Calibri"/>
          <w:szCs w:val="20"/>
        </w:rPr>
      </w:pPr>
      <w:r>
        <w:rPr>
          <w:rFonts w:cs="Calibri"/>
          <w:szCs w:val="20"/>
        </w:rPr>
        <w:t>Przeprowadzone prognozy wskazują na możliwość wykonania celu</w:t>
      </w:r>
      <w:r w:rsidR="00E66B89">
        <w:rPr>
          <w:rFonts w:cs="Calibri"/>
          <w:szCs w:val="20"/>
        </w:rPr>
        <w:t xml:space="preserve"> w </w:t>
      </w:r>
      <w:r>
        <w:rPr>
          <w:rFonts w:cs="Calibri"/>
          <w:szCs w:val="20"/>
        </w:rPr>
        <w:t xml:space="preserve">ramach wszystkich wskaźników produktu dla PI 4e. Środki finansowe nie zostały dotychczas przeznaczone na inwestycje, które przyczyniałyby się do osiągnięcia wskaźnika </w:t>
      </w:r>
      <w:r w:rsidRPr="00605A34">
        <w:rPr>
          <w:i/>
          <w:szCs w:val="20"/>
        </w:rPr>
        <w:t>Liczba zainstalowanych inteligentnych systemów transportowych</w:t>
      </w:r>
      <w:r>
        <w:rPr>
          <w:szCs w:val="20"/>
        </w:rPr>
        <w:t>.</w:t>
      </w:r>
      <w:r w:rsidR="00E66B89">
        <w:rPr>
          <w:szCs w:val="20"/>
        </w:rPr>
        <w:t xml:space="preserve"> W </w:t>
      </w:r>
      <w:r>
        <w:rPr>
          <w:szCs w:val="20"/>
        </w:rPr>
        <w:t>związku</w:t>
      </w:r>
      <w:r w:rsidR="00E66B89">
        <w:rPr>
          <w:szCs w:val="20"/>
        </w:rPr>
        <w:t xml:space="preserve"> z </w:t>
      </w:r>
      <w:r>
        <w:rPr>
          <w:szCs w:val="20"/>
        </w:rPr>
        <w:t>ryzykiem nieosiągnięcia wartości docelowej tego wskaźnika, niezbędne jest podjęcie środków zaradczych, które zwiększą szanse na realizację zobowiązań wskaźnikowych na rok 2023.</w:t>
      </w:r>
      <w:r w:rsidR="00E66B89">
        <w:rPr>
          <w:szCs w:val="20"/>
        </w:rPr>
        <w:t xml:space="preserve"> W </w:t>
      </w:r>
      <w:r>
        <w:rPr>
          <w:szCs w:val="20"/>
        </w:rPr>
        <w:t>związku</w:t>
      </w:r>
      <w:r w:rsidR="00E66B89">
        <w:rPr>
          <w:szCs w:val="20"/>
        </w:rPr>
        <w:t xml:space="preserve"> z </w:t>
      </w:r>
      <w:r>
        <w:rPr>
          <w:szCs w:val="20"/>
        </w:rPr>
        <w:t>tym, proponuje się przeprowadzenie dodatkowego naboru, dla projektów</w:t>
      </w:r>
      <w:r w:rsidR="00E66B89">
        <w:rPr>
          <w:szCs w:val="20"/>
        </w:rPr>
        <w:t xml:space="preserve"> z </w:t>
      </w:r>
      <w:r>
        <w:rPr>
          <w:szCs w:val="20"/>
        </w:rPr>
        <w:t>zakresu pierwszego typu projektów wskazanego</w:t>
      </w:r>
      <w:r w:rsidR="00E66B89">
        <w:rPr>
          <w:szCs w:val="20"/>
        </w:rPr>
        <w:t xml:space="preserve"> w </w:t>
      </w:r>
      <w:r>
        <w:rPr>
          <w:szCs w:val="20"/>
        </w:rPr>
        <w:t>SOOP RPO WZ 2014-2020,</w:t>
      </w:r>
      <w:r w:rsidR="00E66B89">
        <w:rPr>
          <w:szCs w:val="20"/>
        </w:rPr>
        <w:t xml:space="preserve"> z </w:t>
      </w:r>
      <w:r>
        <w:rPr>
          <w:szCs w:val="20"/>
        </w:rPr>
        <w:t>preferencją wyboru dla projektów związanych</w:t>
      </w:r>
      <w:r w:rsidR="00E66B89">
        <w:rPr>
          <w:szCs w:val="20"/>
        </w:rPr>
        <w:t xml:space="preserve"> z </w:t>
      </w:r>
      <w:r>
        <w:rPr>
          <w:szCs w:val="20"/>
        </w:rPr>
        <w:t>budową inteligentnych systemów transportowych. Dla pozostałych wskaźników produktu</w:t>
      </w:r>
      <w:r w:rsidR="00E66B89">
        <w:rPr>
          <w:szCs w:val="20"/>
        </w:rPr>
        <w:t xml:space="preserve"> w </w:t>
      </w:r>
      <w:r>
        <w:rPr>
          <w:szCs w:val="20"/>
        </w:rPr>
        <w:t>zakresie 4e nie prognozuje się ryzyka nieosiągnięcia.</w:t>
      </w:r>
    </w:p>
    <w:p w14:paraId="1590C71F" w14:textId="77777777" w:rsidR="00087E50" w:rsidRDefault="00087E50" w:rsidP="00087E50">
      <w:pPr>
        <w:pStyle w:val="Nagwek4"/>
        <w:numPr>
          <w:ilvl w:val="0"/>
          <w:numId w:val="0"/>
        </w:numPr>
        <w:spacing w:before="120"/>
        <w:rPr>
          <w:rFonts w:ascii="Lato" w:eastAsia="Calibri" w:hAnsi="Lato"/>
        </w:rPr>
      </w:pPr>
      <w:r w:rsidRPr="00FE43CD">
        <w:rPr>
          <w:rFonts w:ascii="Lato" w:eastAsia="Calibri" w:hAnsi="Lato"/>
        </w:rPr>
        <w:lastRenderedPageBreak/>
        <w:t>Możliwości zarządzania środkami rezerwy wykonania</w:t>
      </w:r>
      <w:r w:rsidR="00E66B89">
        <w:rPr>
          <w:rFonts w:ascii="Lato" w:eastAsia="Calibri" w:hAnsi="Lato"/>
        </w:rPr>
        <w:t xml:space="preserve"> i </w:t>
      </w:r>
      <w:r w:rsidRPr="00FE43CD">
        <w:rPr>
          <w:rFonts w:ascii="Lato" w:eastAsia="Calibri" w:hAnsi="Lato"/>
        </w:rPr>
        <w:t xml:space="preserve">identyfikacja obszarów wymagających interwencji </w:t>
      </w:r>
      <w:r>
        <w:rPr>
          <w:rFonts w:ascii="Lato" w:eastAsia="Calibri" w:hAnsi="Lato"/>
        </w:rPr>
        <w:t>–</w:t>
      </w:r>
      <w:r w:rsidRPr="00FE43CD">
        <w:rPr>
          <w:rFonts w:ascii="Lato" w:eastAsia="Calibri" w:hAnsi="Lato"/>
        </w:rPr>
        <w:t xml:space="preserve"> podsumowanie</w:t>
      </w:r>
    </w:p>
    <w:p w14:paraId="6E33BFD5" w14:textId="77777777" w:rsidR="00087E50" w:rsidRPr="00404DA5" w:rsidRDefault="00087E50" w:rsidP="00087E50">
      <w:pPr>
        <w:rPr>
          <w:rFonts w:cs="Calibri"/>
          <w:szCs w:val="20"/>
        </w:rPr>
      </w:pPr>
      <w:r w:rsidRPr="00404DA5">
        <w:rPr>
          <w:rFonts w:cs="Calibri"/>
          <w:szCs w:val="20"/>
        </w:rPr>
        <w:t>W przypadku PI 4e przewiduje się, że pozostała alokacja</w:t>
      </w:r>
      <w:r w:rsidR="00E66B89">
        <w:rPr>
          <w:rFonts w:cs="Calibri"/>
          <w:szCs w:val="20"/>
        </w:rPr>
        <w:t xml:space="preserve"> w </w:t>
      </w:r>
      <w:r w:rsidRPr="00404DA5">
        <w:rPr>
          <w:rFonts w:cs="Calibri"/>
          <w:szCs w:val="20"/>
        </w:rPr>
        <w:t>PI zostanie skutecznie zakontraktowana. Pomimo istniejącego potencjału absorpcyjnego oraz pomimo wzrostu cen towarów</w:t>
      </w:r>
      <w:r w:rsidR="00E66B89">
        <w:rPr>
          <w:rFonts w:cs="Calibri"/>
          <w:szCs w:val="20"/>
        </w:rPr>
        <w:t xml:space="preserve"> i </w:t>
      </w:r>
      <w:r w:rsidRPr="00404DA5">
        <w:rPr>
          <w:rFonts w:cs="Calibri"/>
          <w:szCs w:val="20"/>
        </w:rPr>
        <w:t>usług</w:t>
      </w:r>
      <w:r w:rsidR="00E66B89">
        <w:rPr>
          <w:rFonts w:cs="Calibri"/>
          <w:szCs w:val="20"/>
        </w:rPr>
        <w:t xml:space="preserve"> w </w:t>
      </w:r>
      <w:r w:rsidRPr="00404DA5">
        <w:rPr>
          <w:rFonts w:cs="Calibri"/>
          <w:szCs w:val="20"/>
        </w:rPr>
        <w:t>omawianym obszarze, nie rekomenduje się przesuwania dodatkowych środków na PI 4e, ponieważ prognozy wskazują, że wartości docelowe wskaźników zostaną przekroczone przy obecnej alokacji. Nie rekomenduje się też przesuwania środków do innych priorytetów inwestycyjnych ze względu na duże oczekiwania społeczne</w:t>
      </w:r>
      <w:r w:rsidR="00E66B89">
        <w:rPr>
          <w:rFonts w:cs="Calibri"/>
          <w:szCs w:val="20"/>
        </w:rPr>
        <w:t xml:space="preserve"> w </w:t>
      </w:r>
      <w:r w:rsidRPr="00404DA5">
        <w:rPr>
          <w:rFonts w:cs="Calibri"/>
          <w:szCs w:val="20"/>
        </w:rPr>
        <w:t xml:space="preserve">odniesieniu do poprawy jakości powietrza oraz istniejący potencjał absorpcyjny. </w:t>
      </w:r>
      <w:r>
        <w:rPr>
          <w:rFonts w:cs="Calibri"/>
          <w:szCs w:val="20"/>
        </w:rPr>
        <w:t xml:space="preserve">Jak wspomniano wcześniej, obszarem wymagającym interwencji jest wskaźnik </w:t>
      </w:r>
      <w:r w:rsidRPr="00D72842">
        <w:rPr>
          <w:rFonts w:cs="Calibri"/>
          <w:i/>
          <w:szCs w:val="20"/>
        </w:rPr>
        <w:t>Liczba zainstalowanych inteligentnych systemów transportowych</w:t>
      </w:r>
      <w:r>
        <w:rPr>
          <w:rFonts w:cs="Calibri"/>
          <w:szCs w:val="20"/>
        </w:rPr>
        <w:t>. Przeprowadzenie dodatkowego naboru na projekty, które przyczynią się do jego osiągnięcia, powinno zaspokoić istniejące potrzeby.</w:t>
      </w:r>
      <w:bookmarkEnd w:id="84"/>
    </w:p>
    <w:p w14:paraId="52534AD6" w14:textId="77777777" w:rsidR="00D7542C" w:rsidRPr="00FE43CD" w:rsidRDefault="00D7542C" w:rsidP="00410B29">
      <w:pPr>
        <w:pStyle w:val="Nagwek3"/>
      </w:pPr>
      <w:r w:rsidRPr="00FE43CD">
        <w:t xml:space="preserve">Priorytet inwestycyjny nr </w:t>
      </w:r>
      <w:r>
        <w:t>4g</w:t>
      </w:r>
      <w:r w:rsidRPr="00FE43CD">
        <w:t xml:space="preserve"> (Działani</w:t>
      </w:r>
      <w:r>
        <w:t>e</w:t>
      </w:r>
      <w:r w:rsidRPr="00FE43CD">
        <w:t xml:space="preserve"> </w:t>
      </w:r>
      <w:r>
        <w:t>2.12</w:t>
      </w:r>
      <w:r w:rsidRPr="00FE43CD">
        <w:t>)</w:t>
      </w:r>
    </w:p>
    <w:p w14:paraId="606AC257" w14:textId="77777777" w:rsidR="00E0060C" w:rsidRPr="00FE43CD" w:rsidRDefault="00E0060C" w:rsidP="00E0060C">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r>
        <w:rPr>
          <w:rFonts w:ascii="Lato" w:eastAsia="Calibri" w:hAnsi="Lato"/>
        </w:rPr>
        <w:t>4g</w:t>
      </w:r>
    </w:p>
    <w:p w14:paraId="7AAE7232" w14:textId="77777777" w:rsidR="00E0060C" w:rsidRPr="00404DA5" w:rsidRDefault="00E0060C" w:rsidP="00E0060C">
      <w:pPr>
        <w:spacing w:after="200" w:line="276" w:lineRule="auto"/>
        <w:rPr>
          <w:rFonts w:cs="Calibri"/>
          <w:szCs w:val="20"/>
        </w:rPr>
      </w:pPr>
      <w:r w:rsidRPr="00404DA5">
        <w:rPr>
          <w:rFonts w:cs="Calibri"/>
          <w:szCs w:val="20"/>
        </w:rPr>
        <w:t>Według stanu na 07.01.2019 r.</w:t>
      </w:r>
      <w:r w:rsidR="00E66B89">
        <w:rPr>
          <w:rFonts w:cs="Calibri"/>
          <w:szCs w:val="20"/>
        </w:rPr>
        <w:t xml:space="preserve"> w </w:t>
      </w:r>
      <w:r w:rsidRPr="00404DA5">
        <w:rPr>
          <w:rFonts w:cs="Calibri"/>
          <w:szCs w:val="20"/>
        </w:rPr>
        <w:t>ramach PI 4g podpisano 1 umowę, której wartość dofinansowania UE to 2 520 900,00 zł, co oznacza, iż poziom kontraktacji osiągnął jedynie 5,9% (16,8% bez rezerwy wykonania). Brak zatwierdzonych wniosków</w:t>
      </w:r>
      <w:r w:rsidR="00E66B89">
        <w:rPr>
          <w:rFonts w:cs="Calibri"/>
          <w:szCs w:val="20"/>
        </w:rPr>
        <w:t xml:space="preserve"> o </w:t>
      </w:r>
      <w:r w:rsidRPr="00404DA5">
        <w:rPr>
          <w:rFonts w:cs="Calibri"/>
          <w:szCs w:val="20"/>
        </w:rPr>
        <w:t xml:space="preserve">płatność oznacza zerowy poziom certyfikacji. </w:t>
      </w:r>
    </w:p>
    <w:p w14:paraId="115FEC44" w14:textId="77777777" w:rsidR="00E0060C" w:rsidRDefault="00E0060C" w:rsidP="00E0060C">
      <w:pPr>
        <w:spacing w:after="200" w:line="276" w:lineRule="auto"/>
        <w:rPr>
          <w:rFonts w:cs="Calibri"/>
          <w:szCs w:val="20"/>
        </w:rPr>
      </w:pPr>
      <w:r w:rsidRPr="00404DA5">
        <w:rPr>
          <w:rFonts w:cs="Calibri"/>
          <w:szCs w:val="20"/>
        </w:rPr>
        <w:t>Interwencja wdrażana</w:t>
      </w:r>
      <w:r w:rsidR="00E66B89">
        <w:rPr>
          <w:rFonts w:cs="Calibri"/>
          <w:szCs w:val="20"/>
        </w:rPr>
        <w:t xml:space="preserve"> w </w:t>
      </w:r>
      <w:r w:rsidRPr="00404DA5">
        <w:rPr>
          <w:rFonts w:cs="Calibri"/>
          <w:szCs w:val="20"/>
        </w:rPr>
        <w:t>ramach PI 4g mierzona jest poprzez cztery wskaźniki programowe, realizowane</w:t>
      </w:r>
      <w:r w:rsidR="00E66B89">
        <w:rPr>
          <w:rFonts w:cs="Calibri"/>
          <w:szCs w:val="20"/>
        </w:rPr>
        <w:t xml:space="preserve"> w </w:t>
      </w:r>
      <w:r w:rsidRPr="00404DA5">
        <w:rPr>
          <w:rFonts w:cs="Calibri"/>
          <w:szCs w:val="20"/>
        </w:rPr>
        <w:t xml:space="preserve">Działaniu 2.12 </w:t>
      </w:r>
      <w:r w:rsidRPr="00404DA5">
        <w:rPr>
          <w:rFonts w:cs="Calibri"/>
          <w:i/>
          <w:szCs w:val="20"/>
        </w:rPr>
        <w:t>Rozwój kogeneracyjnych źródeł energii</w:t>
      </w:r>
      <w:r w:rsidRPr="00404DA5">
        <w:rPr>
          <w:rFonts w:cs="Calibri"/>
          <w:szCs w:val="20"/>
        </w:rPr>
        <w:t>.</w:t>
      </w:r>
      <w:r w:rsidR="00E66B89">
        <w:rPr>
          <w:rFonts w:cs="Calibri"/>
          <w:szCs w:val="20"/>
        </w:rPr>
        <w:t xml:space="preserve"> W </w:t>
      </w:r>
      <w:r w:rsidRPr="00404DA5">
        <w:rPr>
          <w:rFonts w:cs="Calibri"/>
          <w:szCs w:val="20"/>
        </w:rPr>
        <w:t xml:space="preserve">przypadku wskaźników </w:t>
      </w:r>
      <w:r w:rsidRPr="00404DA5">
        <w:rPr>
          <w:rFonts w:cs="Calibri"/>
          <w:i/>
          <w:szCs w:val="20"/>
        </w:rPr>
        <w:t>Liczba jednostek wytwarzania energii elektrycznej</w:t>
      </w:r>
      <w:r w:rsidR="00E66B89">
        <w:rPr>
          <w:rFonts w:cs="Calibri"/>
          <w:i/>
          <w:szCs w:val="20"/>
        </w:rPr>
        <w:t xml:space="preserve"> i </w:t>
      </w:r>
      <w:r w:rsidRPr="00404DA5">
        <w:rPr>
          <w:rFonts w:cs="Calibri"/>
          <w:i/>
          <w:szCs w:val="20"/>
        </w:rPr>
        <w:t>cieplnej</w:t>
      </w:r>
      <w:r w:rsidR="00E66B89">
        <w:rPr>
          <w:rFonts w:cs="Calibri"/>
          <w:i/>
          <w:szCs w:val="20"/>
        </w:rPr>
        <w:t xml:space="preserve"> w </w:t>
      </w:r>
      <w:r w:rsidRPr="00404DA5">
        <w:rPr>
          <w:rFonts w:cs="Calibri"/>
          <w:i/>
          <w:szCs w:val="20"/>
        </w:rPr>
        <w:t>ramach kogeneracji</w:t>
      </w:r>
      <w:r w:rsidRPr="00404DA5">
        <w:rPr>
          <w:rFonts w:cs="Calibri"/>
          <w:szCs w:val="20"/>
        </w:rPr>
        <w:t xml:space="preserve"> oraz </w:t>
      </w:r>
      <w:r w:rsidRPr="00404DA5">
        <w:rPr>
          <w:rFonts w:cs="Calibri"/>
          <w:i/>
          <w:szCs w:val="20"/>
        </w:rPr>
        <w:t>Liczba przedsiębiorstw, które uzyskały wsparcie</w:t>
      </w:r>
      <w:r w:rsidRPr="00404DA5">
        <w:rPr>
          <w:rFonts w:cs="Calibri"/>
          <w:szCs w:val="20"/>
        </w:rPr>
        <w:t>, deklarowana wartość wynosi 1. Docelowa wartość wskaźników została określona na poziomie 13,</w:t>
      </w:r>
      <w:r w:rsidR="00E66B89">
        <w:rPr>
          <w:rFonts w:cs="Calibri"/>
          <w:szCs w:val="20"/>
        </w:rPr>
        <w:t xml:space="preserve"> a </w:t>
      </w:r>
      <w:r w:rsidRPr="00404DA5">
        <w:rPr>
          <w:rFonts w:cs="Calibri"/>
          <w:szCs w:val="20"/>
        </w:rPr>
        <w:t xml:space="preserve">zatem realizowany projekt zapewnia jedynie 7,7% wartości docelowych. Wskaźnik </w:t>
      </w:r>
      <w:r w:rsidRPr="00404DA5">
        <w:rPr>
          <w:rFonts w:cs="Calibri"/>
          <w:i/>
          <w:szCs w:val="20"/>
        </w:rPr>
        <w:t>Dodatkowa zdolność wytwarzania energii cieplnej</w:t>
      </w:r>
      <w:r w:rsidR="00E66B89">
        <w:rPr>
          <w:rFonts w:cs="Calibri"/>
          <w:i/>
          <w:szCs w:val="20"/>
        </w:rPr>
        <w:t xml:space="preserve"> i </w:t>
      </w:r>
      <w:r w:rsidRPr="00404DA5">
        <w:rPr>
          <w:rFonts w:cs="Calibri"/>
          <w:i/>
          <w:szCs w:val="20"/>
        </w:rPr>
        <w:t>elektrycznej</w:t>
      </w:r>
      <w:r w:rsidR="00E66B89">
        <w:rPr>
          <w:rFonts w:cs="Calibri"/>
          <w:i/>
          <w:szCs w:val="20"/>
        </w:rPr>
        <w:t xml:space="preserve"> w </w:t>
      </w:r>
      <w:r w:rsidRPr="00404DA5">
        <w:rPr>
          <w:rFonts w:cs="Calibri"/>
          <w:i/>
          <w:szCs w:val="20"/>
        </w:rPr>
        <w:t>warunkach kogeneracji</w:t>
      </w:r>
      <w:r w:rsidRPr="00404DA5">
        <w:rPr>
          <w:rFonts w:cs="Calibri"/>
          <w:szCs w:val="20"/>
        </w:rPr>
        <w:t xml:space="preserve">, według deklaracji beneficjenta, zostanie osiągnięty na poziomie 3,7% wartości docelowej. Podpisana umowa pozwoli również na osiągnięcie niespełna 16% wartości docelowej wskaźnika rezultatu bezpośredniego </w:t>
      </w:r>
      <w:r w:rsidRPr="00404DA5">
        <w:rPr>
          <w:rFonts w:cs="Calibri"/>
          <w:i/>
          <w:szCs w:val="20"/>
        </w:rPr>
        <w:t>Szacowany roczny spadek emisji gazów cieplarnianych</w:t>
      </w:r>
      <w:r w:rsidRPr="00404DA5">
        <w:rPr>
          <w:rFonts w:cs="Calibri"/>
          <w:szCs w:val="20"/>
        </w:rPr>
        <w:t xml:space="preserve">. </w:t>
      </w:r>
    </w:p>
    <w:p w14:paraId="27F7A92C" w14:textId="77777777" w:rsidR="00E0060C" w:rsidRPr="00404DA5" w:rsidRDefault="00E0060C" w:rsidP="00E0060C">
      <w:pPr>
        <w:spacing w:after="200" w:line="276" w:lineRule="auto"/>
        <w:rPr>
          <w:rFonts w:cs="Calibri"/>
          <w:szCs w:val="20"/>
        </w:rPr>
      </w:pPr>
      <w:r w:rsidRPr="00EC47DA">
        <w:rPr>
          <w:rFonts w:cs="Calibri"/>
          <w:szCs w:val="20"/>
        </w:rPr>
        <w:t>Z uwagi na wczesny etap wdrażania realizowanego projektu, ocena skuteczności interwencji jest utrudniona. Jednak biorąc pod uwagę deklarowane wartości wskaźników</w:t>
      </w:r>
      <w:r w:rsidR="00E66B89">
        <w:rPr>
          <w:rFonts w:cs="Calibri"/>
          <w:szCs w:val="20"/>
        </w:rPr>
        <w:t xml:space="preserve"> w </w:t>
      </w:r>
      <w:r w:rsidRPr="00EC47DA">
        <w:rPr>
          <w:rFonts w:cs="Calibri"/>
          <w:szCs w:val="20"/>
        </w:rPr>
        <w:t>podpisanej umowie należy zauważyć, iż</w:t>
      </w:r>
      <w:r w:rsidR="00E66B89">
        <w:rPr>
          <w:rFonts w:cs="Calibri"/>
          <w:szCs w:val="20"/>
        </w:rPr>
        <w:t xml:space="preserve"> w </w:t>
      </w:r>
      <w:r w:rsidRPr="00EC47DA">
        <w:rPr>
          <w:rFonts w:cs="Calibri"/>
          <w:szCs w:val="20"/>
        </w:rPr>
        <w:t xml:space="preserve">przypadku trzech wskaźników koszty jednostkowe ich osiągnięcia są wyższe niż przewidywano na etapie programowania (w przypadku wskaźnika </w:t>
      </w:r>
      <w:r w:rsidRPr="00EC47DA">
        <w:rPr>
          <w:rFonts w:cs="Calibri"/>
          <w:i/>
          <w:szCs w:val="20"/>
        </w:rPr>
        <w:t>Dodatkowa zdolność wytwarzania energii cieplnej</w:t>
      </w:r>
      <w:r w:rsidR="00E66B89">
        <w:rPr>
          <w:rFonts w:cs="Calibri"/>
          <w:i/>
          <w:szCs w:val="20"/>
        </w:rPr>
        <w:t xml:space="preserve"> i </w:t>
      </w:r>
      <w:r w:rsidRPr="00EC47DA">
        <w:rPr>
          <w:rFonts w:cs="Calibri"/>
          <w:i/>
          <w:szCs w:val="20"/>
        </w:rPr>
        <w:t>elektrycznej</w:t>
      </w:r>
      <w:r w:rsidR="00E66B89">
        <w:rPr>
          <w:rFonts w:cs="Calibri"/>
          <w:i/>
          <w:szCs w:val="20"/>
        </w:rPr>
        <w:t xml:space="preserve"> w </w:t>
      </w:r>
      <w:r w:rsidRPr="00EC47DA">
        <w:rPr>
          <w:rFonts w:cs="Calibri"/>
          <w:i/>
          <w:szCs w:val="20"/>
        </w:rPr>
        <w:t>warunkach kogeneracji</w:t>
      </w:r>
      <w:r w:rsidRPr="00EC47DA">
        <w:rPr>
          <w:rFonts w:cs="Calibri"/>
          <w:szCs w:val="20"/>
        </w:rPr>
        <w:t xml:space="preserve"> różnica jest ponad dwukrotna), co może świadczyć</w:t>
      </w:r>
      <w:r w:rsidR="00E66B89">
        <w:rPr>
          <w:rFonts w:cs="Calibri"/>
          <w:szCs w:val="20"/>
        </w:rPr>
        <w:t xml:space="preserve"> o </w:t>
      </w:r>
      <w:r w:rsidRPr="00EC47DA">
        <w:rPr>
          <w:rFonts w:cs="Calibri"/>
          <w:szCs w:val="20"/>
        </w:rPr>
        <w:t>tym, iż inwestycja nie będzie tak efektywna kosztowo, jak planowano.</w:t>
      </w:r>
    </w:p>
    <w:p w14:paraId="6321C6DD" w14:textId="77777777" w:rsidR="00E0060C" w:rsidRPr="00404DA5" w:rsidRDefault="00E0060C" w:rsidP="00E0060C">
      <w:pPr>
        <w:spacing w:after="200" w:line="276" w:lineRule="auto"/>
        <w:rPr>
          <w:rFonts w:cs="Calibri"/>
          <w:szCs w:val="20"/>
        </w:rPr>
      </w:pPr>
      <w:r w:rsidRPr="00404DA5">
        <w:rPr>
          <w:rFonts w:cs="Calibri"/>
          <w:szCs w:val="20"/>
        </w:rPr>
        <w:t>Niski poziom osiągnięcia wskaźników wynika przede wszystkim</w:t>
      </w:r>
      <w:r w:rsidR="00E66B89">
        <w:rPr>
          <w:rFonts w:cs="Calibri"/>
          <w:szCs w:val="20"/>
        </w:rPr>
        <w:t xml:space="preserve"> z </w:t>
      </w:r>
      <w:r w:rsidRPr="00404DA5">
        <w:rPr>
          <w:rFonts w:cs="Calibri"/>
          <w:szCs w:val="20"/>
        </w:rPr>
        <w:t>dość niskiego zainteresowania wnioskodawców.</w:t>
      </w:r>
      <w:r w:rsidR="00E66B89">
        <w:rPr>
          <w:rFonts w:cs="Calibri"/>
          <w:szCs w:val="20"/>
        </w:rPr>
        <w:t xml:space="preserve"> W </w:t>
      </w:r>
      <w:r w:rsidRPr="00404DA5">
        <w:rPr>
          <w:rFonts w:cs="Calibri"/>
          <w:szCs w:val="20"/>
        </w:rPr>
        <w:t>ramach pierwszego naboru wpłynęło 5 wniosków na łączną kwotę dofinansowania ponad 14 mln zł, jednak jedynie dwa</w:t>
      </w:r>
      <w:r w:rsidR="00E66B89">
        <w:rPr>
          <w:rFonts w:cs="Calibri"/>
          <w:szCs w:val="20"/>
        </w:rPr>
        <w:t xml:space="preserve"> z </w:t>
      </w:r>
      <w:r w:rsidRPr="00404DA5">
        <w:rPr>
          <w:rFonts w:cs="Calibri"/>
          <w:szCs w:val="20"/>
        </w:rPr>
        <w:t>nich przeszły pozytywnie ocenę formalną</w:t>
      </w:r>
      <w:r w:rsidR="00E66B89">
        <w:rPr>
          <w:rFonts w:cs="Calibri"/>
          <w:szCs w:val="20"/>
        </w:rPr>
        <w:t xml:space="preserve"> i </w:t>
      </w:r>
      <w:r w:rsidRPr="00404DA5">
        <w:rPr>
          <w:rFonts w:cs="Calibri"/>
          <w:szCs w:val="20"/>
        </w:rPr>
        <w:t>uzyskały dofinansowanie. Ostatecznie doszło do podpisania tylko jednej umowy</w:t>
      </w:r>
      <w:r w:rsidR="00E66B89">
        <w:rPr>
          <w:rFonts w:cs="Calibri"/>
          <w:szCs w:val="20"/>
        </w:rPr>
        <w:t xml:space="preserve"> z </w:t>
      </w:r>
      <w:r w:rsidRPr="00404DA5">
        <w:rPr>
          <w:rFonts w:cs="Calibri"/>
          <w:szCs w:val="20"/>
        </w:rPr>
        <w:t>uwagi na to, iż drugi</w:t>
      </w:r>
      <w:r w:rsidR="00E66B89">
        <w:rPr>
          <w:rFonts w:cs="Calibri"/>
          <w:szCs w:val="20"/>
        </w:rPr>
        <w:t xml:space="preserve"> z </w:t>
      </w:r>
      <w:r w:rsidRPr="00404DA5">
        <w:rPr>
          <w:rFonts w:cs="Calibri"/>
          <w:szCs w:val="20"/>
        </w:rPr>
        <w:t xml:space="preserve">wnioskodawców odstąpił od realizacji projektu. </w:t>
      </w:r>
    </w:p>
    <w:p w14:paraId="21D6E9DF" w14:textId="77777777" w:rsidR="00E0060C" w:rsidRPr="00404DA5" w:rsidRDefault="00E0060C" w:rsidP="00E0060C">
      <w:pPr>
        <w:spacing w:after="200" w:line="276" w:lineRule="auto"/>
        <w:rPr>
          <w:rFonts w:cs="Calibri"/>
          <w:szCs w:val="20"/>
        </w:rPr>
      </w:pPr>
      <w:r w:rsidRPr="00404DA5">
        <w:rPr>
          <w:rFonts w:cs="Calibri"/>
          <w:szCs w:val="20"/>
        </w:rPr>
        <w:t>Wśród czynników mających wpływ na zainteresowanie wnioskodawców realizacją projektów dotyczących produkcji energii</w:t>
      </w:r>
      <w:r w:rsidR="00E66B89">
        <w:rPr>
          <w:rFonts w:cs="Calibri"/>
          <w:szCs w:val="20"/>
        </w:rPr>
        <w:t xml:space="preserve"> w </w:t>
      </w:r>
      <w:r w:rsidRPr="00404DA5">
        <w:rPr>
          <w:rFonts w:cs="Calibri"/>
          <w:szCs w:val="20"/>
        </w:rPr>
        <w:t>skojarzeniu wymienić należy przede wszystkim limit mocy związany</w:t>
      </w:r>
      <w:r w:rsidR="00E66B89">
        <w:rPr>
          <w:rFonts w:cs="Calibri"/>
          <w:szCs w:val="20"/>
        </w:rPr>
        <w:t xml:space="preserve"> z </w:t>
      </w:r>
      <w:r w:rsidRPr="00404DA5">
        <w:rPr>
          <w:rFonts w:cs="Calibri"/>
          <w:szCs w:val="20"/>
        </w:rPr>
        <w:t>linią demarkacyjną między wsparciem ze środków regionalnych</w:t>
      </w:r>
      <w:r w:rsidR="00E66B89">
        <w:rPr>
          <w:rFonts w:cs="Calibri"/>
          <w:szCs w:val="20"/>
        </w:rPr>
        <w:t xml:space="preserve"> i </w:t>
      </w:r>
      <w:r w:rsidRPr="00404DA5">
        <w:rPr>
          <w:rFonts w:cs="Calibri"/>
          <w:szCs w:val="20"/>
        </w:rPr>
        <w:t>krajowych. Ustalony, dość niski pułap mocy (1 MW energii elektrycznej) powodował, iż inwestorzy zainteresowani tego typu inwestycjami aplikowali</w:t>
      </w:r>
      <w:r w:rsidR="00E66B89">
        <w:rPr>
          <w:rFonts w:cs="Calibri"/>
          <w:szCs w:val="20"/>
        </w:rPr>
        <w:t xml:space="preserve"> o </w:t>
      </w:r>
      <w:r w:rsidRPr="00404DA5">
        <w:rPr>
          <w:rFonts w:cs="Calibri"/>
          <w:szCs w:val="20"/>
        </w:rPr>
        <w:t>środki</w:t>
      </w:r>
      <w:r w:rsidR="00E66B89">
        <w:rPr>
          <w:rFonts w:cs="Calibri"/>
          <w:szCs w:val="20"/>
        </w:rPr>
        <w:t xml:space="preserve"> z </w:t>
      </w:r>
      <w:r w:rsidRPr="00404DA5">
        <w:rPr>
          <w:rFonts w:cs="Calibri"/>
          <w:szCs w:val="20"/>
        </w:rPr>
        <w:t>programu PO IiŚ,</w:t>
      </w:r>
      <w:r w:rsidR="00E66B89">
        <w:rPr>
          <w:rFonts w:cs="Calibri"/>
          <w:szCs w:val="20"/>
        </w:rPr>
        <w:t xml:space="preserve"> w </w:t>
      </w:r>
      <w:r w:rsidRPr="00404DA5">
        <w:rPr>
          <w:rFonts w:cs="Calibri"/>
          <w:szCs w:val="20"/>
        </w:rPr>
        <w:t>ramach którego mogli realizować bardziej opłacalne instalacje</w:t>
      </w:r>
      <w:r w:rsidR="00E66B89">
        <w:rPr>
          <w:rFonts w:cs="Calibri"/>
          <w:szCs w:val="20"/>
        </w:rPr>
        <w:t xml:space="preserve"> o </w:t>
      </w:r>
      <w:r w:rsidRPr="00404DA5">
        <w:rPr>
          <w:rFonts w:cs="Calibri"/>
          <w:szCs w:val="20"/>
        </w:rPr>
        <w:t>większej mocy. Ponadto, jednostki samorządu terytorialnego, do których skierowane jest to działanie</w:t>
      </w:r>
      <w:r w:rsidR="00E66B89">
        <w:rPr>
          <w:rFonts w:cs="Calibri"/>
          <w:szCs w:val="20"/>
        </w:rPr>
        <w:t xml:space="preserve"> z </w:t>
      </w:r>
      <w:r w:rsidRPr="00404DA5">
        <w:rPr>
          <w:rFonts w:cs="Calibri"/>
          <w:szCs w:val="20"/>
        </w:rPr>
        <w:t>uwagi na niskie limity mocy, nie są zainteresowane tego rodzaju inwestycjami, gdyż</w:t>
      </w:r>
      <w:r w:rsidR="00E66B89">
        <w:rPr>
          <w:rFonts w:cs="Calibri"/>
          <w:szCs w:val="20"/>
        </w:rPr>
        <w:t xml:space="preserve"> w </w:t>
      </w:r>
      <w:r w:rsidRPr="00404DA5">
        <w:rPr>
          <w:rFonts w:cs="Calibri"/>
          <w:szCs w:val="20"/>
        </w:rPr>
        <w:t>większym stopniu skłaniają się do aplikowania</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ramach Działań 2.10 oraz 2.5. Dodatkowo, konieczność pozyskania odpowiedniego zezwolenia oraz trudności</w:t>
      </w:r>
      <w:r w:rsidR="00E66B89">
        <w:rPr>
          <w:rFonts w:cs="Calibri"/>
          <w:szCs w:val="20"/>
        </w:rPr>
        <w:t xml:space="preserve"> z </w:t>
      </w:r>
      <w:r w:rsidRPr="00404DA5">
        <w:rPr>
          <w:rFonts w:cs="Calibri"/>
          <w:szCs w:val="20"/>
        </w:rPr>
        <w:t xml:space="preserve">zapewnieniem dostaw surowców zniechęcają </w:t>
      </w:r>
      <w:r w:rsidRPr="00404DA5">
        <w:rPr>
          <w:rFonts w:cs="Calibri"/>
          <w:szCs w:val="20"/>
        </w:rPr>
        <w:lastRenderedPageBreak/>
        <w:t>potencjalnych wnioskodawców. Warto zaznaczyć również, iż pierwszy nabór ograniczał możliwość wsparcia jedynie dla projektów dotyczących jednostek wytwarzania energii</w:t>
      </w:r>
      <w:r w:rsidR="00E66B89">
        <w:rPr>
          <w:rFonts w:cs="Calibri"/>
          <w:szCs w:val="20"/>
        </w:rPr>
        <w:t xml:space="preserve"> w </w:t>
      </w:r>
      <w:r w:rsidRPr="00404DA5">
        <w:rPr>
          <w:rFonts w:cs="Calibri"/>
          <w:szCs w:val="20"/>
        </w:rPr>
        <w:t xml:space="preserve">kogeneracji ze źródeł konwencjonalnych, co znacznie obniża efekt ekologiczny podejmowanych działań. </w:t>
      </w:r>
    </w:p>
    <w:p w14:paraId="4CD6E4D5" w14:textId="77777777" w:rsidR="00E0060C" w:rsidRPr="00404DA5" w:rsidRDefault="00E0060C" w:rsidP="00E0060C">
      <w:pPr>
        <w:spacing w:after="200" w:line="276" w:lineRule="auto"/>
        <w:rPr>
          <w:rFonts w:cs="Calibri"/>
          <w:szCs w:val="20"/>
        </w:rPr>
      </w:pPr>
      <w:r w:rsidRPr="00404DA5">
        <w:rPr>
          <w:rFonts w:cs="Calibri"/>
          <w:szCs w:val="20"/>
        </w:rPr>
        <w:t>W ramach podjętych działań zaradczych mających na celu przyspieszenie postępu rzeczowego</w:t>
      </w:r>
      <w:r w:rsidR="00E66B89">
        <w:rPr>
          <w:rFonts w:cs="Calibri"/>
          <w:szCs w:val="20"/>
        </w:rPr>
        <w:t xml:space="preserve"> w</w:t>
      </w:r>
      <w:r w:rsidR="00C22C26">
        <w:rPr>
          <w:rFonts w:cs="Calibri"/>
          <w:szCs w:val="20"/>
        </w:rPr>
        <w:t xml:space="preserve"> </w:t>
      </w:r>
      <w:r w:rsidRPr="00404DA5">
        <w:rPr>
          <w:rFonts w:cs="Calibri"/>
          <w:szCs w:val="20"/>
        </w:rPr>
        <w:t>Działani</w:t>
      </w:r>
      <w:r>
        <w:rPr>
          <w:rFonts w:cs="Calibri"/>
          <w:szCs w:val="20"/>
        </w:rPr>
        <w:t>u</w:t>
      </w:r>
      <w:r w:rsidRPr="00404DA5">
        <w:rPr>
          <w:rFonts w:cs="Calibri"/>
          <w:szCs w:val="20"/>
        </w:rPr>
        <w:t xml:space="preserve"> 2.12 zorganizowano kolejny nabór</w:t>
      </w:r>
      <w:r w:rsidR="00E66B89">
        <w:rPr>
          <w:rFonts w:cs="Calibri"/>
          <w:szCs w:val="20"/>
        </w:rPr>
        <w:t xml:space="preserve"> w I </w:t>
      </w:r>
      <w:r w:rsidRPr="00404DA5">
        <w:rPr>
          <w:rFonts w:cs="Calibri"/>
          <w:szCs w:val="20"/>
        </w:rPr>
        <w:t>kwartale 2019 r. Planowana data rozstrzygnięcia konkursu to lipiec 2019 r. Kwota środków przeznaczonych na dofinansowanie projektów</w:t>
      </w:r>
      <w:r w:rsidR="00E66B89">
        <w:rPr>
          <w:rFonts w:cs="Calibri"/>
          <w:szCs w:val="20"/>
        </w:rPr>
        <w:t xml:space="preserve"> w </w:t>
      </w:r>
      <w:r w:rsidRPr="00404DA5">
        <w:rPr>
          <w:rFonts w:cs="Calibri"/>
          <w:szCs w:val="20"/>
        </w:rPr>
        <w:t>ramach konkursu wynosi łącznie 3 872 520 zł,</w:t>
      </w:r>
      <w:r w:rsidR="00E66B89">
        <w:rPr>
          <w:rFonts w:cs="Calibri"/>
          <w:szCs w:val="20"/>
        </w:rPr>
        <w:t xml:space="preserve"> a </w:t>
      </w:r>
      <w:r w:rsidRPr="00404DA5">
        <w:rPr>
          <w:rFonts w:cs="Calibri"/>
          <w:szCs w:val="20"/>
        </w:rPr>
        <w:t>zatem pozostała kwota</w:t>
      </w:r>
      <w:r w:rsidR="00E66B89">
        <w:rPr>
          <w:rFonts w:cs="Calibri"/>
          <w:szCs w:val="20"/>
        </w:rPr>
        <w:t xml:space="preserve"> w </w:t>
      </w:r>
      <w:r w:rsidRPr="00404DA5">
        <w:rPr>
          <w:rFonts w:cs="Calibri"/>
          <w:szCs w:val="20"/>
        </w:rPr>
        <w:t>Działani</w:t>
      </w:r>
      <w:r>
        <w:rPr>
          <w:rFonts w:cs="Calibri"/>
          <w:szCs w:val="20"/>
        </w:rPr>
        <w:t>u</w:t>
      </w:r>
      <w:r w:rsidRPr="00404DA5">
        <w:rPr>
          <w:rFonts w:cs="Calibri"/>
          <w:szCs w:val="20"/>
        </w:rPr>
        <w:t xml:space="preserve"> to około 10 mln zł bez uwzględnienia rezerwy wykonania.</w:t>
      </w:r>
      <w:r w:rsidR="00E66B89">
        <w:rPr>
          <w:rFonts w:cs="Calibri"/>
          <w:szCs w:val="20"/>
        </w:rPr>
        <w:t xml:space="preserve"> W </w:t>
      </w:r>
      <w:r w:rsidRPr="00404DA5">
        <w:rPr>
          <w:rFonts w:cs="Calibri"/>
          <w:szCs w:val="20"/>
        </w:rPr>
        <w:t>ramach naboru dopuszczono możliwość realizacji projektów dotyczących jednostek wytwarzania energii</w:t>
      </w:r>
      <w:r w:rsidR="00E66B89">
        <w:rPr>
          <w:rFonts w:cs="Calibri"/>
          <w:szCs w:val="20"/>
        </w:rPr>
        <w:t xml:space="preserve"> w </w:t>
      </w:r>
      <w:r w:rsidRPr="00404DA5">
        <w:rPr>
          <w:rFonts w:cs="Calibri"/>
          <w:szCs w:val="20"/>
        </w:rPr>
        <w:t xml:space="preserve">skojarzeniu </w:t>
      </w:r>
      <w:r>
        <w:rPr>
          <w:rFonts w:cs="Calibri"/>
          <w:szCs w:val="20"/>
        </w:rPr>
        <w:t>z </w:t>
      </w:r>
      <w:r w:rsidRPr="00404DA5">
        <w:rPr>
          <w:rFonts w:cs="Calibri"/>
          <w:szCs w:val="20"/>
        </w:rPr>
        <w:t>odnawialnych źródeł energii, co miało zwiększyć grono zainteresowanych wnioskodawców,</w:t>
      </w:r>
      <w:r w:rsidR="00E66B89">
        <w:rPr>
          <w:rFonts w:cs="Calibri"/>
          <w:szCs w:val="20"/>
        </w:rPr>
        <w:t xml:space="preserve"> a </w:t>
      </w:r>
      <w:r w:rsidRPr="00404DA5">
        <w:rPr>
          <w:rFonts w:cs="Calibri"/>
          <w:szCs w:val="20"/>
        </w:rPr>
        <w:t xml:space="preserve">jednocześnie przyczynić się do zwiększenia osiągniętej wartości wskaźnika </w:t>
      </w:r>
      <w:r w:rsidRPr="00404DA5">
        <w:rPr>
          <w:rFonts w:cs="Calibri"/>
          <w:i/>
          <w:szCs w:val="20"/>
        </w:rPr>
        <w:t>Szacowany roczny spadek emisji gazów cieplarnianych</w:t>
      </w:r>
      <w:r w:rsidRPr="00404DA5">
        <w:rPr>
          <w:rFonts w:cs="Calibri"/>
          <w:szCs w:val="20"/>
        </w:rPr>
        <w:t xml:space="preserve">. </w:t>
      </w:r>
    </w:p>
    <w:p w14:paraId="6B158A88" w14:textId="77777777" w:rsidR="00E0060C" w:rsidRPr="00FE43CD" w:rsidRDefault="00E0060C" w:rsidP="006E34DC">
      <w:pPr>
        <w:pStyle w:val="Legenda"/>
        <w:spacing w:after="0"/>
      </w:pPr>
      <w:bookmarkStart w:id="88" w:name="_Toc8824138"/>
      <w:r w:rsidRPr="00FE43CD">
        <w:t xml:space="preserve">Tabela </w:t>
      </w:r>
      <w:r>
        <w:fldChar w:fldCharType="begin"/>
      </w:r>
      <w:r>
        <w:instrText xml:space="preserve"> SEQ Tabela \* ARABIC </w:instrText>
      </w:r>
      <w:r>
        <w:fldChar w:fldCharType="separate"/>
      </w:r>
      <w:r w:rsidR="00763345">
        <w:rPr>
          <w:noProof/>
        </w:rPr>
        <w:t>27</w:t>
      </w:r>
      <w:r>
        <w:fldChar w:fldCharType="end"/>
      </w:r>
      <w:r w:rsidRPr="00FE43CD">
        <w:t xml:space="preserve"> Wskaźniki produktu (PI </w:t>
      </w:r>
      <w:r>
        <w:t>4g</w:t>
      </w:r>
      <w:r w:rsidRPr="00FE43CD">
        <w:t>) – postęp rzeczowy</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67"/>
        <w:gridCol w:w="1374"/>
        <w:gridCol w:w="1242"/>
        <w:gridCol w:w="895"/>
        <w:gridCol w:w="937"/>
        <w:gridCol w:w="937"/>
        <w:gridCol w:w="937"/>
        <w:gridCol w:w="937"/>
      </w:tblGrid>
      <w:tr w:rsidR="00E0060C" w:rsidRPr="00A43AB4" w14:paraId="779BD111" w14:textId="77777777" w:rsidTr="00C22C26">
        <w:trPr>
          <w:tblHeader/>
        </w:trPr>
        <w:tc>
          <w:tcPr>
            <w:tcW w:w="0" w:type="auto"/>
            <w:shd w:val="clear" w:color="auto" w:fill="DBE5F1"/>
            <w:vAlign w:val="center"/>
          </w:tcPr>
          <w:p w14:paraId="3470645D" w14:textId="77777777" w:rsidR="00E0060C" w:rsidRPr="00404DA5" w:rsidRDefault="00E0060C" w:rsidP="00BA3B1C">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56C71F6C" w14:textId="77777777" w:rsidR="00E0060C" w:rsidRPr="00404DA5" w:rsidRDefault="00E0060C" w:rsidP="00BA3B1C">
            <w:pPr>
              <w:jc w:val="center"/>
              <w:rPr>
                <w:rFonts w:cs="Calibri"/>
                <w:sz w:val="18"/>
                <w:szCs w:val="18"/>
              </w:rPr>
            </w:pPr>
            <w:r w:rsidRPr="00404DA5">
              <w:rPr>
                <w:rFonts w:cs="Calibri"/>
                <w:sz w:val="18"/>
                <w:szCs w:val="18"/>
              </w:rPr>
              <w:t>Działania</w:t>
            </w:r>
          </w:p>
        </w:tc>
        <w:tc>
          <w:tcPr>
            <w:tcW w:w="1538" w:type="dxa"/>
            <w:shd w:val="clear" w:color="auto" w:fill="DBE5F1"/>
            <w:vAlign w:val="center"/>
          </w:tcPr>
          <w:p w14:paraId="300D51B2" w14:textId="77777777" w:rsidR="00E0060C" w:rsidRPr="00404DA5" w:rsidRDefault="00E0060C" w:rsidP="00BA3B1C">
            <w:pPr>
              <w:jc w:val="center"/>
              <w:rPr>
                <w:rFonts w:cs="Calibri"/>
                <w:sz w:val="18"/>
                <w:szCs w:val="18"/>
              </w:rPr>
            </w:pPr>
            <w:r w:rsidRPr="00404DA5">
              <w:rPr>
                <w:rFonts w:cs="Calibri"/>
                <w:sz w:val="18"/>
                <w:szCs w:val="18"/>
              </w:rPr>
              <w:t>Wskaźnik</w:t>
            </w:r>
          </w:p>
        </w:tc>
        <w:tc>
          <w:tcPr>
            <w:tcW w:w="1160" w:type="dxa"/>
            <w:shd w:val="clear" w:color="auto" w:fill="DBE5F1"/>
            <w:vAlign w:val="center"/>
          </w:tcPr>
          <w:p w14:paraId="0A03DCE1" w14:textId="77777777" w:rsidR="00E0060C" w:rsidRPr="00404DA5" w:rsidRDefault="00E0060C" w:rsidP="00BA3B1C">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513D5497" w14:textId="77777777" w:rsidR="00E0060C" w:rsidRPr="00404DA5" w:rsidRDefault="00E0060C" w:rsidP="00BA3B1C">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38E30F2E" w14:textId="77777777" w:rsidR="00E0060C" w:rsidRPr="00404DA5" w:rsidRDefault="00E0060C" w:rsidP="00BA3B1C">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79CA27E2" w14:textId="77777777" w:rsidR="00E0060C" w:rsidRPr="00404DA5" w:rsidRDefault="00E0060C" w:rsidP="00BA3B1C">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5B68F094" w14:textId="77777777" w:rsidR="00E0060C" w:rsidRPr="00404DA5" w:rsidRDefault="00E0060C" w:rsidP="00BA3B1C">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63E231C2" w14:textId="77777777" w:rsidR="00E0060C" w:rsidRPr="00404DA5" w:rsidRDefault="00E0060C" w:rsidP="00BA3B1C">
            <w:pPr>
              <w:jc w:val="center"/>
              <w:rPr>
                <w:rFonts w:cs="Calibri"/>
                <w:sz w:val="18"/>
                <w:szCs w:val="18"/>
              </w:rPr>
            </w:pPr>
            <w:r w:rsidRPr="00404DA5">
              <w:rPr>
                <w:rFonts w:cs="Calibri"/>
                <w:sz w:val="18"/>
                <w:szCs w:val="18"/>
              </w:rPr>
              <w:t>% realizacji wartości docelowej (wg WoP)</w:t>
            </w:r>
          </w:p>
        </w:tc>
      </w:tr>
      <w:tr w:rsidR="00E0060C" w:rsidRPr="00A43AB4" w14:paraId="1D7B7E16" w14:textId="77777777" w:rsidTr="00BA3B1C">
        <w:tc>
          <w:tcPr>
            <w:tcW w:w="0" w:type="auto"/>
            <w:shd w:val="clear" w:color="auto" w:fill="auto"/>
            <w:vAlign w:val="center"/>
          </w:tcPr>
          <w:p w14:paraId="2FB0611A" w14:textId="77777777" w:rsidR="00E0060C" w:rsidRPr="00404DA5" w:rsidRDefault="00E0060C" w:rsidP="00BA3B1C">
            <w:pPr>
              <w:jc w:val="center"/>
              <w:rPr>
                <w:rFonts w:cs="Calibri"/>
                <w:sz w:val="18"/>
                <w:szCs w:val="18"/>
              </w:rPr>
            </w:pPr>
            <w:r w:rsidRPr="00404DA5">
              <w:rPr>
                <w:rFonts w:cs="Calibri"/>
                <w:sz w:val="18"/>
                <w:szCs w:val="18"/>
              </w:rPr>
              <w:t>WP</w:t>
            </w:r>
          </w:p>
        </w:tc>
        <w:tc>
          <w:tcPr>
            <w:tcW w:w="0" w:type="auto"/>
            <w:shd w:val="clear" w:color="auto" w:fill="auto"/>
            <w:vAlign w:val="center"/>
          </w:tcPr>
          <w:p w14:paraId="1C89F9E4" w14:textId="77777777" w:rsidR="00E0060C" w:rsidRPr="00404DA5" w:rsidRDefault="00E0060C" w:rsidP="00BA3B1C">
            <w:pPr>
              <w:jc w:val="center"/>
              <w:rPr>
                <w:rFonts w:cs="Calibri"/>
                <w:sz w:val="18"/>
                <w:szCs w:val="18"/>
              </w:rPr>
            </w:pPr>
            <w:r w:rsidRPr="00404DA5">
              <w:rPr>
                <w:rFonts w:cs="Calibri"/>
                <w:sz w:val="18"/>
                <w:szCs w:val="18"/>
              </w:rPr>
              <w:t>02.12</w:t>
            </w:r>
          </w:p>
        </w:tc>
        <w:tc>
          <w:tcPr>
            <w:tcW w:w="1538" w:type="dxa"/>
            <w:shd w:val="clear" w:color="auto" w:fill="auto"/>
            <w:vAlign w:val="center"/>
          </w:tcPr>
          <w:p w14:paraId="74445254" w14:textId="77777777" w:rsidR="00E0060C" w:rsidRPr="00404DA5" w:rsidRDefault="00E0060C" w:rsidP="00BA3B1C">
            <w:pPr>
              <w:jc w:val="center"/>
              <w:rPr>
                <w:rFonts w:cs="Calibri"/>
                <w:sz w:val="18"/>
                <w:szCs w:val="18"/>
              </w:rPr>
            </w:pPr>
            <w:r w:rsidRPr="00404DA5">
              <w:rPr>
                <w:rFonts w:cs="Calibri"/>
                <w:sz w:val="18"/>
                <w:szCs w:val="18"/>
              </w:rPr>
              <w:t>Liczba jednostek wytwarzania energii elektrycznej</w:t>
            </w:r>
            <w:r w:rsidR="00E66B89">
              <w:rPr>
                <w:rFonts w:cs="Calibri"/>
                <w:sz w:val="18"/>
                <w:szCs w:val="18"/>
              </w:rPr>
              <w:t xml:space="preserve"> i </w:t>
            </w:r>
            <w:r w:rsidRPr="00404DA5">
              <w:rPr>
                <w:rFonts w:cs="Calibri"/>
                <w:sz w:val="18"/>
                <w:szCs w:val="18"/>
              </w:rPr>
              <w:t>cieplnej</w:t>
            </w:r>
            <w:r w:rsidR="00E66B89">
              <w:rPr>
                <w:rFonts w:cs="Calibri"/>
                <w:sz w:val="18"/>
                <w:szCs w:val="18"/>
              </w:rPr>
              <w:t xml:space="preserve"> w </w:t>
            </w:r>
            <w:r w:rsidRPr="00404DA5">
              <w:rPr>
                <w:rFonts w:cs="Calibri"/>
                <w:sz w:val="18"/>
                <w:szCs w:val="18"/>
              </w:rPr>
              <w:t>ramach kogeneracji</w:t>
            </w:r>
          </w:p>
        </w:tc>
        <w:tc>
          <w:tcPr>
            <w:tcW w:w="1160" w:type="dxa"/>
            <w:shd w:val="clear" w:color="auto" w:fill="auto"/>
            <w:vAlign w:val="center"/>
          </w:tcPr>
          <w:p w14:paraId="7C174AB0" w14:textId="77777777" w:rsidR="00E0060C" w:rsidRPr="00404DA5" w:rsidRDefault="00E0060C" w:rsidP="00BA3B1C">
            <w:pPr>
              <w:jc w:val="center"/>
              <w:rPr>
                <w:rFonts w:cs="Calibri"/>
                <w:sz w:val="18"/>
                <w:szCs w:val="18"/>
              </w:rPr>
            </w:pPr>
            <w:r w:rsidRPr="00404DA5">
              <w:rPr>
                <w:rFonts w:cs="Calibri"/>
                <w:sz w:val="18"/>
                <w:szCs w:val="18"/>
              </w:rPr>
              <w:t xml:space="preserve">szt. </w:t>
            </w:r>
          </w:p>
        </w:tc>
        <w:tc>
          <w:tcPr>
            <w:tcW w:w="0" w:type="auto"/>
            <w:shd w:val="clear" w:color="auto" w:fill="auto"/>
            <w:vAlign w:val="center"/>
          </w:tcPr>
          <w:p w14:paraId="24992A9D" w14:textId="77777777" w:rsidR="00E0060C" w:rsidRPr="00404DA5" w:rsidRDefault="00E0060C" w:rsidP="00BA3B1C">
            <w:pPr>
              <w:jc w:val="center"/>
              <w:rPr>
                <w:rFonts w:cs="Calibri"/>
                <w:sz w:val="18"/>
                <w:szCs w:val="18"/>
              </w:rPr>
            </w:pPr>
            <w:r w:rsidRPr="00404DA5">
              <w:rPr>
                <w:rFonts w:cs="Calibri"/>
                <w:sz w:val="18"/>
                <w:szCs w:val="18"/>
              </w:rPr>
              <w:t>13</w:t>
            </w:r>
          </w:p>
        </w:tc>
        <w:tc>
          <w:tcPr>
            <w:tcW w:w="0" w:type="auto"/>
            <w:shd w:val="clear" w:color="auto" w:fill="auto"/>
            <w:vAlign w:val="center"/>
          </w:tcPr>
          <w:p w14:paraId="2304996F" w14:textId="77777777" w:rsidR="00E0060C" w:rsidRPr="00404DA5" w:rsidRDefault="00E0060C" w:rsidP="00BA3B1C">
            <w:pPr>
              <w:jc w:val="center"/>
              <w:rPr>
                <w:rFonts w:cs="Calibri"/>
                <w:sz w:val="18"/>
                <w:szCs w:val="18"/>
              </w:rPr>
            </w:pPr>
            <w:r w:rsidRPr="00404DA5">
              <w:rPr>
                <w:rFonts w:cs="Calibri"/>
                <w:sz w:val="18"/>
                <w:szCs w:val="18"/>
              </w:rPr>
              <w:t>1</w:t>
            </w:r>
          </w:p>
        </w:tc>
        <w:tc>
          <w:tcPr>
            <w:tcW w:w="0" w:type="auto"/>
            <w:shd w:val="clear" w:color="auto" w:fill="auto"/>
            <w:vAlign w:val="center"/>
          </w:tcPr>
          <w:p w14:paraId="027F0D59" w14:textId="77777777" w:rsidR="00E0060C" w:rsidRPr="00404DA5" w:rsidRDefault="00E0060C" w:rsidP="00BA3B1C">
            <w:pPr>
              <w:jc w:val="center"/>
              <w:rPr>
                <w:rFonts w:cs="Calibri"/>
                <w:sz w:val="18"/>
                <w:szCs w:val="18"/>
              </w:rPr>
            </w:pPr>
            <w:r w:rsidRPr="00404DA5">
              <w:rPr>
                <w:rFonts w:cs="Calibri"/>
                <w:sz w:val="18"/>
                <w:szCs w:val="18"/>
              </w:rPr>
              <w:t>7,7%</w:t>
            </w:r>
          </w:p>
        </w:tc>
        <w:tc>
          <w:tcPr>
            <w:tcW w:w="0" w:type="auto"/>
            <w:shd w:val="clear" w:color="auto" w:fill="auto"/>
            <w:vAlign w:val="center"/>
          </w:tcPr>
          <w:p w14:paraId="5F2FB086" w14:textId="77777777" w:rsidR="00E0060C" w:rsidRPr="00404DA5" w:rsidRDefault="00E0060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4393F06E" w14:textId="77777777" w:rsidR="00E0060C" w:rsidRPr="00404DA5" w:rsidRDefault="00E0060C" w:rsidP="00BA3B1C">
            <w:pPr>
              <w:jc w:val="center"/>
              <w:rPr>
                <w:rFonts w:cs="Calibri"/>
                <w:sz w:val="18"/>
                <w:szCs w:val="18"/>
              </w:rPr>
            </w:pPr>
            <w:r w:rsidRPr="00404DA5">
              <w:rPr>
                <w:rFonts w:cs="Calibri"/>
                <w:sz w:val="18"/>
                <w:szCs w:val="18"/>
              </w:rPr>
              <w:t>0%</w:t>
            </w:r>
          </w:p>
        </w:tc>
      </w:tr>
      <w:tr w:rsidR="00E0060C" w:rsidRPr="00A43AB4" w14:paraId="6B5DF349" w14:textId="77777777" w:rsidTr="00BA3B1C">
        <w:tc>
          <w:tcPr>
            <w:tcW w:w="0" w:type="auto"/>
            <w:shd w:val="clear" w:color="auto" w:fill="auto"/>
            <w:vAlign w:val="center"/>
          </w:tcPr>
          <w:p w14:paraId="25A0C878" w14:textId="77777777" w:rsidR="00E0060C" w:rsidRPr="00404DA5" w:rsidRDefault="00E0060C" w:rsidP="00BA3B1C">
            <w:pPr>
              <w:jc w:val="center"/>
              <w:rPr>
                <w:sz w:val="18"/>
                <w:szCs w:val="18"/>
              </w:rPr>
            </w:pPr>
            <w:r w:rsidRPr="00404DA5">
              <w:rPr>
                <w:sz w:val="18"/>
                <w:szCs w:val="18"/>
              </w:rPr>
              <w:t>WP</w:t>
            </w:r>
          </w:p>
        </w:tc>
        <w:tc>
          <w:tcPr>
            <w:tcW w:w="0" w:type="auto"/>
            <w:shd w:val="clear" w:color="auto" w:fill="auto"/>
            <w:vAlign w:val="center"/>
          </w:tcPr>
          <w:p w14:paraId="24375918" w14:textId="77777777" w:rsidR="00E0060C" w:rsidRPr="00404DA5" w:rsidRDefault="00E0060C" w:rsidP="00BA3B1C">
            <w:pPr>
              <w:jc w:val="center"/>
              <w:rPr>
                <w:rFonts w:cs="Calibri"/>
                <w:sz w:val="18"/>
                <w:szCs w:val="18"/>
              </w:rPr>
            </w:pPr>
            <w:r w:rsidRPr="00404DA5">
              <w:rPr>
                <w:rFonts w:cs="Calibri"/>
                <w:sz w:val="18"/>
                <w:szCs w:val="18"/>
              </w:rPr>
              <w:t>02.12</w:t>
            </w:r>
          </w:p>
        </w:tc>
        <w:tc>
          <w:tcPr>
            <w:tcW w:w="1538" w:type="dxa"/>
            <w:shd w:val="clear" w:color="auto" w:fill="auto"/>
            <w:vAlign w:val="center"/>
          </w:tcPr>
          <w:p w14:paraId="7A61BBB7" w14:textId="77777777" w:rsidR="00E0060C" w:rsidRPr="00404DA5" w:rsidRDefault="00E0060C" w:rsidP="00BA3B1C">
            <w:pPr>
              <w:jc w:val="center"/>
              <w:rPr>
                <w:rFonts w:cs="Calibri"/>
                <w:sz w:val="18"/>
                <w:szCs w:val="18"/>
              </w:rPr>
            </w:pPr>
            <w:r w:rsidRPr="00404DA5">
              <w:rPr>
                <w:rFonts w:cs="Calibri"/>
                <w:sz w:val="18"/>
                <w:szCs w:val="18"/>
              </w:rPr>
              <w:t>Liczba przedsiębiorstw, które uzyskały wsparcie</w:t>
            </w:r>
          </w:p>
        </w:tc>
        <w:tc>
          <w:tcPr>
            <w:tcW w:w="1160" w:type="dxa"/>
            <w:shd w:val="clear" w:color="auto" w:fill="auto"/>
            <w:vAlign w:val="center"/>
          </w:tcPr>
          <w:p w14:paraId="126B5F0F" w14:textId="77777777" w:rsidR="00E0060C" w:rsidRPr="00404DA5" w:rsidRDefault="00E0060C" w:rsidP="00BA3B1C">
            <w:pPr>
              <w:jc w:val="center"/>
              <w:rPr>
                <w:rFonts w:cs="Calibri"/>
                <w:sz w:val="18"/>
                <w:szCs w:val="18"/>
              </w:rPr>
            </w:pPr>
            <w:r w:rsidRPr="00404DA5">
              <w:rPr>
                <w:rFonts w:cs="Calibri"/>
                <w:sz w:val="18"/>
                <w:szCs w:val="18"/>
              </w:rPr>
              <w:t xml:space="preserve">szt. </w:t>
            </w:r>
          </w:p>
        </w:tc>
        <w:tc>
          <w:tcPr>
            <w:tcW w:w="0" w:type="auto"/>
            <w:shd w:val="clear" w:color="auto" w:fill="auto"/>
            <w:vAlign w:val="center"/>
          </w:tcPr>
          <w:p w14:paraId="3C2A746D" w14:textId="77777777" w:rsidR="00E0060C" w:rsidRPr="00404DA5" w:rsidRDefault="00E0060C" w:rsidP="00BA3B1C">
            <w:pPr>
              <w:jc w:val="center"/>
              <w:rPr>
                <w:rFonts w:cs="Calibri"/>
                <w:sz w:val="18"/>
                <w:szCs w:val="18"/>
              </w:rPr>
            </w:pPr>
            <w:r w:rsidRPr="00404DA5">
              <w:rPr>
                <w:rFonts w:cs="Calibri"/>
                <w:sz w:val="18"/>
                <w:szCs w:val="18"/>
              </w:rPr>
              <w:t>13</w:t>
            </w:r>
          </w:p>
        </w:tc>
        <w:tc>
          <w:tcPr>
            <w:tcW w:w="0" w:type="auto"/>
            <w:shd w:val="clear" w:color="auto" w:fill="auto"/>
            <w:vAlign w:val="center"/>
          </w:tcPr>
          <w:p w14:paraId="43C1595B" w14:textId="77777777" w:rsidR="00E0060C" w:rsidRPr="00404DA5" w:rsidRDefault="00E0060C" w:rsidP="00BA3B1C">
            <w:pPr>
              <w:jc w:val="center"/>
              <w:rPr>
                <w:rFonts w:cs="Calibri"/>
                <w:sz w:val="18"/>
                <w:szCs w:val="18"/>
              </w:rPr>
            </w:pPr>
            <w:r w:rsidRPr="00404DA5">
              <w:rPr>
                <w:rFonts w:cs="Calibri"/>
                <w:sz w:val="18"/>
                <w:szCs w:val="18"/>
              </w:rPr>
              <w:t>1</w:t>
            </w:r>
          </w:p>
        </w:tc>
        <w:tc>
          <w:tcPr>
            <w:tcW w:w="0" w:type="auto"/>
            <w:shd w:val="clear" w:color="auto" w:fill="auto"/>
            <w:vAlign w:val="center"/>
          </w:tcPr>
          <w:p w14:paraId="6B8DD724" w14:textId="77777777" w:rsidR="00E0060C" w:rsidRPr="00404DA5" w:rsidRDefault="00E0060C" w:rsidP="00BA3B1C">
            <w:pPr>
              <w:jc w:val="center"/>
              <w:rPr>
                <w:rFonts w:cs="Calibri"/>
                <w:sz w:val="18"/>
                <w:szCs w:val="18"/>
              </w:rPr>
            </w:pPr>
            <w:r w:rsidRPr="00404DA5">
              <w:rPr>
                <w:rFonts w:cs="Calibri"/>
                <w:sz w:val="18"/>
                <w:szCs w:val="18"/>
              </w:rPr>
              <w:t>7,7%</w:t>
            </w:r>
          </w:p>
        </w:tc>
        <w:tc>
          <w:tcPr>
            <w:tcW w:w="0" w:type="auto"/>
            <w:shd w:val="clear" w:color="auto" w:fill="auto"/>
            <w:vAlign w:val="center"/>
          </w:tcPr>
          <w:p w14:paraId="3B836D2D" w14:textId="77777777" w:rsidR="00E0060C" w:rsidRPr="00404DA5" w:rsidRDefault="00E0060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3C001CCF" w14:textId="77777777" w:rsidR="00E0060C" w:rsidRPr="00404DA5" w:rsidRDefault="00E0060C" w:rsidP="00BA3B1C">
            <w:pPr>
              <w:jc w:val="center"/>
              <w:rPr>
                <w:rFonts w:cs="Calibri"/>
                <w:sz w:val="18"/>
                <w:szCs w:val="18"/>
              </w:rPr>
            </w:pPr>
            <w:r w:rsidRPr="00404DA5">
              <w:rPr>
                <w:rFonts w:cs="Calibri"/>
                <w:sz w:val="18"/>
                <w:szCs w:val="18"/>
              </w:rPr>
              <w:t>0%</w:t>
            </w:r>
          </w:p>
        </w:tc>
      </w:tr>
      <w:tr w:rsidR="00E0060C" w:rsidRPr="00A43AB4" w14:paraId="6C67FEC9" w14:textId="77777777" w:rsidTr="00BA3B1C">
        <w:tc>
          <w:tcPr>
            <w:tcW w:w="0" w:type="auto"/>
            <w:shd w:val="clear" w:color="auto" w:fill="auto"/>
            <w:vAlign w:val="center"/>
          </w:tcPr>
          <w:p w14:paraId="0E4B194E" w14:textId="77777777" w:rsidR="00E0060C" w:rsidRPr="00404DA5" w:rsidRDefault="00E0060C" w:rsidP="00BA3B1C">
            <w:pPr>
              <w:jc w:val="center"/>
              <w:rPr>
                <w:sz w:val="18"/>
                <w:szCs w:val="18"/>
              </w:rPr>
            </w:pPr>
            <w:r w:rsidRPr="00404DA5">
              <w:rPr>
                <w:sz w:val="18"/>
                <w:szCs w:val="18"/>
              </w:rPr>
              <w:t>WP</w:t>
            </w:r>
          </w:p>
        </w:tc>
        <w:tc>
          <w:tcPr>
            <w:tcW w:w="0" w:type="auto"/>
            <w:shd w:val="clear" w:color="auto" w:fill="auto"/>
            <w:vAlign w:val="center"/>
          </w:tcPr>
          <w:p w14:paraId="72167A75" w14:textId="77777777" w:rsidR="00E0060C" w:rsidRPr="00404DA5" w:rsidRDefault="00E0060C" w:rsidP="00BA3B1C">
            <w:pPr>
              <w:jc w:val="center"/>
              <w:rPr>
                <w:rFonts w:cs="Calibri"/>
                <w:sz w:val="18"/>
                <w:szCs w:val="18"/>
              </w:rPr>
            </w:pPr>
            <w:r w:rsidRPr="00404DA5">
              <w:rPr>
                <w:rFonts w:cs="Calibri"/>
                <w:sz w:val="18"/>
                <w:szCs w:val="18"/>
              </w:rPr>
              <w:t>02.12</w:t>
            </w:r>
          </w:p>
        </w:tc>
        <w:tc>
          <w:tcPr>
            <w:tcW w:w="1538" w:type="dxa"/>
            <w:shd w:val="clear" w:color="auto" w:fill="auto"/>
            <w:vAlign w:val="center"/>
          </w:tcPr>
          <w:p w14:paraId="6364D263" w14:textId="77777777" w:rsidR="00E0060C" w:rsidRPr="00404DA5" w:rsidRDefault="00E0060C" w:rsidP="00BA3B1C">
            <w:pPr>
              <w:jc w:val="center"/>
              <w:rPr>
                <w:rFonts w:cs="Calibri"/>
                <w:bCs/>
                <w:sz w:val="18"/>
                <w:szCs w:val="18"/>
              </w:rPr>
            </w:pPr>
            <w:r w:rsidRPr="00404DA5">
              <w:rPr>
                <w:rFonts w:cs="Calibri"/>
                <w:bCs/>
                <w:sz w:val="18"/>
                <w:szCs w:val="18"/>
              </w:rPr>
              <w:t>Dodatkowa zdolność wytwarzania energii cieplnej</w:t>
            </w:r>
            <w:r w:rsidR="00E66B89">
              <w:rPr>
                <w:rFonts w:cs="Calibri"/>
                <w:bCs/>
                <w:sz w:val="18"/>
                <w:szCs w:val="18"/>
              </w:rPr>
              <w:t xml:space="preserve"> i </w:t>
            </w:r>
            <w:r w:rsidRPr="00404DA5">
              <w:rPr>
                <w:rFonts w:cs="Calibri"/>
                <w:bCs/>
                <w:sz w:val="18"/>
                <w:szCs w:val="18"/>
              </w:rPr>
              <w:t>elektrycznej</w:t>
            </w:r>
            <w:r w:rsidR="00E66B89">
              <w:rPr>
                <w:rFonts w:cs="Calibri"/>
                <w:bCs/>
                <w:sz w:val="18"/>
                <w:szCs w:val="18"/>
              </w:rPr>
              <w:t xml:space="preserve"> w </w:t>
            </w:r>
            <w:r w:rsidRPr="00404DA5">
              <w:rPr>
                <w:rFonts w:cs="Calibri"/>
                <w:bCs/>
                <w:sz w:val="18"/>
                <w:szCs w:val="18"/>
              </w:rPr>
              <w:t>warunkach kogeneracji</w:t>
            </w:r>
          </w:p>
        </w:tc>
        <w:tc>
          <w:tcPr>
            <w:tcW w:w="1160" w:type="dxa"/>
            <w:shd w:val="clear" w:color="auto" w:fill="auto"/>
            <w:vAlign w:val="center"/>
          </w:tcPr>
          <w:p w14:paraId="2DE811C8" w14:textId="77777777" w:rsidR="00E0060C" w:rsidRPr="00404DA5" w:rsidRDefault="00E0060C" w:rsidP="00BA3B1C">
            <w:pPr>
              <w:jc w:val="center"/>
              <w:rPr>
                <w:rFonts w:cs="Calibri"/>
                <w:bCs/>
                <w:sz w:val="18"/>
                <w:szCs w:val="18"/>
              </w:rPr>
            </w:pPr>
            <w:r w:rsidRPr="00404DA5">
              <w:rPr>
                <w:rFonts w:cs="Calibri"/>
                <w:bCs/>
                <w:sz w:val="18"/>
                <w:szCs w:val="18"/>
              </w:rPr>
              <w:t>MW</w:t>
            </w:r>
          </w:p>
        </w:tc>
        <w:tc>
          <w:tcPr>
            <w:tcW w:w="0" w:type="auto"/>
            <w:shd w:val="clear" w:color="auto" w:fill="auto"/>
            <w:vAlign w:val="center"/>
          </w:tcPr>
          <w:p w14:paraId="3AFEFC20" w14:textId="77777777" w:rsidR="00E0060C" w:rsidRPr="00404DA5" w:rsidRDefault="00E0060C" w:rsidP="00BA3B1C">
            <w:pPr>
              <w:jc w:val="center"/>
              <w:rPr>
                <w:rFonts w:cs="Calibri"/>
                <w:sz w:val="18"/>
                <w:szCs w:val="18"/>
              </w:rPr>
            </w:pPr>
            <w:r w:rsidRPr="00404DA5">
              <w:rPr>
                <w:rFonts w:cs="Calibri"/>
                <w:sz w:val="18"/>
                <w:szCs w:val="18"/>
              </w:rPr>
              <w:t>12,52</w:t>
            </w:r>
          </w:p>
        </w:tc>
        <w:tc>
          <w:tcPr>
            <w:tcW w:w="0" w:type="auto"/>
            <w:shd w:val="clear" w:color="auto" w:fill="auto"/>
            <w:vAlign w:val="center"/>
          </w:tcPr>
          <w:p w14:paraId="631B22A0" w14:textId="77777777" w:rsidR="00E0060C" w:rsidRPr="00404DA5" w:rsidRDefault="00E0060C" w:rsidP="00BA3B1C">
            <w:pPr>
              <w:jc w:val="center"/>
              <w:rPr>
                <w:rFonts w:cs="Calibri"/>
                <w:sz w:val="18"/>
                <w:szCs w:val="18"/>
              </w:rPr>
            </w:pPr>
            <w:r w:rsidRPr="00404DA5">
              <w:rPr>
                <w:rFonts w:cs="Calibri"/>
                <w:sz w:val="18"/>
                <w:szCs w:val="18"/>
              </w:rPr>
              <w:t>0,46</w:t>
            </w:r>
          </w:p>
        </w:tc>
        <w:tc>
          <w:tcPr>
            <w:tcW w:w="0" w:type="auto"/>
            <w:shd w:val="clear" w:color="auto" w:fill="auto"/>
            <w:vAlign w:val="center"/>
          </w:tcPr>
          <w:p w14:paraId="230C4D83" w14:textId="77777777" w:rsidR="00E0060C" w:rsidRPr="00404DA5" w:rsidRDefault="00E0060C" w:rsidP="00BA3B1C">
            <w:pPr>
              <w:jc w:val="center"/>
              <w:rPr>
                <w:rFonts w:cs="Calibri"/>
                <w:sz w:val="18"/>
                <w:szCs w:val="18"/>
              </w:rPr>
            </w:pPr>
            <w:r w:rsidRPr="00404DA5">
              <w:rPr>
                <w:rFonts w:cs="Calibri"/>
                <w:sz w:val="18"/>
                <w:szCs w:val="18"/>
              </w:rPr>
              <w:t>3,7%</w:t>
            </w:r>
          </w:p>
        </w:tc>
        <w:tc>
          <w:tcPr>
            <w:tcW w:w="0" w:type="auto"/>
            <w:shd w:val="clear" w:color="auto" w:fill="auto"/>
            <w:vAlign w:val="center"/>
          </w:tcPr>
          <w:p w14:paraId="2A0657F5" w14:textId="77777777" w:rsidR="00E0060C" w:rsidRPr="00404DA5" w:rsidRDefault="00E0060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506922C7" w14:textId="77777777" w:rsidR="00E0060C" w:rsidRPr="00404DA5" w:rsidRDefault="00E0060C" w:rsidP="00BA3B1C">
            <w:pPr>
              <w:jc w:val="center"/>
              <w:rPr>
                <w:rFonts w:cs="Calibri"/>
                <w:sz w:val="18"/>
                <w:szCs w:val="18"/>
              </w:rPr>
            </w:pPr>
            <w:r w:rsidRPr="00404DA5">
              <w:rPr>
                <w:rFonts w:cs="Calibri"/>
                <w:sz w:val="18"/>
                <w:szCs w:val="18"/>
              </w:rPr>
              <w:t>0%</w:t>
            </w:r>
          </w:p>
        </w:tc>
      </w:tr>
      <w:tr w:rsidR="00E0060C" w:rsidRPr="00A43AB4" w14:paraId="53588679" w14:textId="77777777" w:rsidTr="00BA3B1C">
        <w:tc>
          <w:tcPr>
            <w:tcW w:w="0" w:type="auto"/>
            <w:shd w:val="clear" w:color="auto" w:fill="auto"/>
            <w:vAlign w:val="center"/>
          </w:tcPr>
          <w:p w14:paraId="6CA664B2" w14:textId="77777777" w:rsidR="00E0060C" w:rsidRPr="00404DA5" w:rsidRDefault="00E0060C" w:rsidP="00BA3B1C">
            <w:pPr>
              <w:jc w:val="center"/>
              <w:rPr>
                <w:sz w:val="18"/>
                <w:szCs w:val="18"/>
              </w:rPr>
            </w:pPr>
            <w:r w:rsidRPr="00404DA5">
              <w:rPr>
                <w:sz w:val="18"/>
                <w:szCs w:val="18"/>
              </w:rPr>
              <w:t>WR</w:t>
            </w:r>
          </w:p>
        </w:tc>
        <w:tc>
          <w:tcPr>
            <w:tcW w:w="0" w:type="auto"/>
            <w:shd w:val="clear" w:color="auto" w:fill="auto"/>
            <w:vAlign w:val="center"/>
          </w:tcPr>
          <w:p w14:paraId="4671EE49" w14:textId="77777777" w:rsidR="00E0060C" w:rsidRPr="00404DA5" w:rsidRDefault="00E0060C" w:rsidP="00BA3B1C">
            <w:pPr>
              <w:jc w:val="center"/>
              <w:rPr>
                <w:rFonts w:cs="Calibri"/>
                <w:sz w:val="18"/>
                <w:szCs w:val="18"/>
              </w:rPr>
            </w:pPr>
            <w:r w:rsidRPr="00404DA5">
              <w:rPr>
                <w:rFonts w:cs="Calibri"/>
                <w:sz w:val="18"/>
                <w:szCs w:val="18"/>
              </w:rPr>
              <w:t>02.12</w:t>
            </w:r>
          </w:p>
        </w:tc>
        <w:tc>
          <w:tcPr>
            <w:tcW w:w="1538" w:type="dxa"/>
            <w:shd w:val="clear" w:color="auto" w:fill="auto"/>
            <w:vAlign w:val="center"/>
          </w:tcPr>
          <w:p w14:paraId="1BCF3678" w14:textId="77777777" w:rsidR="00E0060C" w:rsidRPr="00404DA5" w:rsidRDefault="00E0060C" w:rsidP="00BA3B1C">
            <w:pPr>
              <w:jc w:val="center"/>
              <w:rPr>
                <w:rFonts w:cs="Calibri"/>
                <w:sz w:val="18"/>
                <w:szCs w:val="18"/>
              </w:rPr>
            </w:pPr>
            <w:r w:rsidRPr="00404DA5">
              <w:rPr>
                <w:rFonts w:cs="Calibri"/>
                <w:sz w:val="18"/>
                <w:szCs w:val="18"/>
              </w:rPr>
              <w:t>Szacowany roczny spadek emisji gazów cieplarnianych</w:t>
            </w:r>
          </w:p>
        </w:tc>
        <w:tc>
          <w:tcPr>
            <w:tcW w:w="1160" w:type="dxa"/>
            <w:shd w:val="clear" w:color="auto" w:fill="auto"/>
            <w:vAlign w:val="center"/>
          </w:tcPr>
          <w:p w14:paraId="77696C29" w14:textId="77777777" w:rsidR="00E0060C" w:rsidRPr="00404DA5" w:rsidRDefault="00E0060C" w:rsidP="00BA3B1C">
            <w:pPr>
              <w:jc w:val="center"/>
              <w:rPr>
                <w:rFonts w:cs="Calibri"/>
                <w:sz w:val="18"/>
                <w:szCs w:val="18"/>
              </w:rPr>
            </w:pPr>
            <w:r w:rsidRPr="00404DA5">
              <w:rPr>
                <w:rFonts w:cs="Calibri"/>
                <w:sz w:val="18"/>
                <w:szCs w:val="18"/>
              </w:rPr>
              <w:t>Tony równoważnika CO</w:t>
            </w:r>
            <w:r w:rsidRPr="00404DA5">
              <w:rPr>
                <w:rFonts w:cs="Calibri"/>
                <w:sz w:val="18"/>
                <w:szCs w:val="18"/>
                <w:vertAlign w:val="subscript"/>
              </w:rPr>
              <w:t>2</w:t>
            </w:r>
          </w:p>
        </w:tc>
        <w:tc>
          <w:tcPr>
            <w:tcW w:w="0" w:type="auto"/>
            <w:shd w:val="clear" w:color="auto" w:fill="auto"/>
            <w:vAlign w:val="center"/>
          </w:tcPr>
          <w:p w14:paraId="2267678B" w14:textId="77777777" w:rsidR="00E0060C" w:rsidRPr="00404DA5" w:rsidRDefault="00E0060C" w:rsidP="00BA3B1C">
            <w:pPr>
              <w:jc w:val="center"/>
              <w:rPr>
                <w:rFonts w:cs="Calibri"/>
                <w:sz w:val="18"/>
                <w:szCs w:val="18"/>
              </w:rPr>
            </w:pPr>
            <w:r w:rsidRPr="00404DA5">
              <w:rPr>
                <w:rFonts w:cs="Calibri"/>
                <w:sz w:val="18"/>
                <w:szCs w:val="18"/>
              </w:rPr>
              <w:t>5820</w:t>
            </w:r>
          </w:p>
        </w:tc>
        <w:tc>
          <w:tcPr>
            <w:tcW w:w="0" w:type="auto"/>
            <w:shd w:val="clear" w:color="auto" w:fill="auto"/>
            <w:vAlign w:val="center"/>
          </w:tcPr>
          <w:p w14:paraId="73FC02B4" w14:textId="77777777" w:rsidR="00E0060C" w:rsidRPr="00404DA5" w:rsidRDefault="00E0060C" w:rsidP="00BA3B1C">
            <w:pPr>
              <w:jc w:val="center"/>
              <w:rPr>
                <w:rFonts w:cs="Calibri"/>
                <w:sz w:val="18"/>
                <w:szCs w:val="18"/>
              </w:rPr>
            </w:pPr>
            <w:r w:rsidRPr="00404DA5">
              <w:rPr>
                <w:rFonts w:cs="Calibri"/>
                <w:sz w:val="18"/>
                <w:szCs w:val="18"/>
              </w:rPr>
              <w:t>926,62</w:t>
            </w:r>
          </w:p>
        </w:tc>
        <w:tc>
          <w:tcPr>
            <w:tcW w:w="0" w:type="auto"/>
            <w:shd w:val="clear" w:color="auto" w:fill="auto"/>
            <w:vAlign w:val="center"/>
          </w:tcPr>
          <w:p w14:paraId="2600B0F9" w14:textId="77777777" w:rsidR="00E0060C" w:rsidRPr="00404DA5" w:rsidRDefault="00E0060C" w:rsidP="00BA3B1C">
            <w:pPr>
              <w:jc w:val="center"/>
              <w:rPr>
                <w:rFonts w:cs="Calibri"/>
                <w:sz w:val="18"/>
                <w:szCs w:val="18"/>
              </w:rPr>
            </w:pPr>
            <w:r w:rsidRPr="00404DA5">
              <w:rPr>
                <w:rFonts w:cs="Calibri"/>
                <w:sz w:val="18"/>
                <w:szCs w:val="18"/>
              </w:rPr>
              <w:t>15,9%</w:t>
            </w:r>
          </w:p>
        </w:tc>
        <w:tc>
          <w:tcPr>
            <w:tcW w:w="0" w:type="auto"/>
            <w:shd w:val="clear" w:color="auto" w:fill="auto"/>
            <w:vAlign w:val="center"/>
          </w:tcPr>
          <w:p w14:paraId="0392046C" w14:textId="77777777" w:rsidR="00E0060C" w:rsidRPr="00404DA5" w:rsidRDefault="00E0060C" w:rsidP="00BA3B1C">
            <w:pPr>
              <w:jc w:val="center"/>
              <w:rPr>
                <w:rFonts w:cs="Calibri"/>
                <w:sz w:val="18"/>
                <w:szCs w:val="18"/>
              </w:rPr>
            </w:pPr>
            <w:r w:rsidRPr="00404DA5">
              <w:rPr>
                <w:rFonts w:cs="Calibri"/>
                <w:sz w:val="18"/>
                <w:szCs w:val="18"/>
              </w:rPr>
              <w:t>0</w:t>
            </w:r>
          </w:p>
        </w:tc>
        <w:tc>
          <w:tcPr>
            <w:tcW w:w="0" w:type="auto"/>
            <w:shd w:val="clear" w:color="auto" w:fill="auto"/>
            <w:vAlign w:val="center"/>
          </w:tcPr>
          <w:p w14:paraId="13C04D0C" w14:textId="77777777" w:rsidR="00E0060C" w:rsidRPr="00404DA5" w:rsidRDefault="00E0060C" w:rsidP="00BA3B1C">
            <w:pPr>
              <w:jc w:val="center"/>
              <w:rPr>
                <w:rFonts w:cs="Calibri"/>
                <w:sz w:val="18"/>
                <w:szCs w:val="18"/>
              </w:rPr>
            </w:pPr>
            <w:r w:rsidRPr="00404DA5">
              <w:rPr>
                <w:rFonts w:cs="Calibri"/>
                <w:sz w:val="18"/>
                <w:szCs w:val="18"/>
              </w:rPr>
              <w:t>0%</w:t>
            </w:r>
          </w:p>
        </w:tc>
      </w:tr>
    </w:tbl>
    <w:p w14:paraId="062BA3E1" w14:textId="77777777" w:rsidR="00E0060C" w:rsidRPr="002A5FDF" w:rsidRDefault="00E0060C"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533AB2FF" w14:textId="77777777" w:rsidR="00E0060C" w:rsidRPr="00FE43CD" w:rsidRDefault="00E0060C" w:rsidP="00E0060C">
      <w:pPr>
        <w:pStyle w:val="Nagwek4"/>
        <w:numPr>
          <w:ilvl w:val="0"/>
          <w:numId w:val="0"/>
        </w:numPr>
        <w:rPr>
          <w:rFonts w:ascii="Lato" w:eastAsia="Calibri" w:hAnsi="Lato"/>
        </w:rPr>
      </w:pPr>
      <w:r w:rsidRPr="00FE43CD">
        <w:rPr>
          <w:rFonts w:ascii="Lato" w:eastAsia="Calibri" w:hAnsi="Lato"/>
        </w:rPr>
        <w:lastRenderedPageBreak/>
        <w:t xml:space="preserve">Wskaźniki rezultatu strategicznego </w:t>
      </w:r>
    </w:p>
    <w:p w14:paraId="0DF1CCB0" w14:textId="77777777" w:rsidR="00E0060C" w:rsidRDefault="00E0060C" w:rsidP="00E0060C">
      <w:pPr>
        <w:rPr>
          <w:rFonts w:cs="Calibri"/>
          <w:szCs w:val="20"/>
        </w:rPr>
      </w:pPr>
      <w:r w:rsidRPr="00404DA5">
        <w:rPr>
          <w:rFonts w:cs="Calibri"/>
          <w:szCs w:val="20"/>
        </w:rPr>
        <w:t xml:space="preserve">Wskaźnikiem rezultatu strategicznego wyznaczonym dla PI 4g jest </w:t>
      </w:r>
      <w:r w:rsidRPr="00404DA5">
        <w:rPr>
          <w:rFonts w:cs="Calibri"/>
          <w:i/>
          <w:szCs w:val="20"/>
        </w:rPr>
        <w:t>Odsetek energii cieplnej produkowanej</w:t>
      </w:r>
      <w:r w:rsidR="00E66B89">
        <w:rPr>
          <w:rFonts w:cs="Calibri"/>
          <w:i/>
          <w:szCs w:val="20"/>
        </w:rPr>
        <w:t xml:space="preserve"> w </w:t>
      </w:r>
      <w:r w:rsidRPr="00404DA5">
        <w:rPr>
          <w:rFonts w:cs="Calibri"/>
          <w:i/>
          <w:szCs w:val="20"/>
        </w:rPr>
        <w:t>skojarzeniu</w:t>
      </w:r>
      <w:r w:rsidRPr="00404DA5">
        <w:rPr>
          <w:rFonts w:cs="Calibri"/>
          <w:szCs w:val="20"/>
        </w:rPr>
        <w:t>, monitorowany przez Urząd Regulacji Energetyki. Wartość bazowa wskaźnika osiągnięta</w:t>
      </w:r>
      <w:r w:rsidR="00E66B89">
        <w:rPr>
          <w:rFonts w:cs="Calibri"/>
          <w:szCs w:val="20"/>
        </w:rPr>
        <w:t xml:space="preserve"> w </w:t>
      </w:r>
      <w:r w:rsidRPr="00404DA5">
        <w:rPr>
          <w:rFonts w:cs="Calibri"/>
          <w:szCs w:val="20"/>
        </w:rPr>
        <w:t>2013 r. wyniosła 31,68%. Wartość docelowa wyznaczona dla roku 2023 wynosi 39,66%.</w:t>
      </w:r>
      <w:r w:rsidR="00E66B89">
        <w:rPr>
          <w:rFonts w:cs="Calibri"/>
          <w:szCs w:val="20"/>
        </w:rPr>
        <w:t xml:space="preserve"> W </w:t>
      </w:r>
      <w:r w:rsidRPr="00404DA5">
        <w:rPr>
          <w:rFonts w:cs="Calibri"/>
          <w:szCs w:val="20"/>
        </w:rPr>
        <w:t>roku 2014 wartość wskaźnika spadła do poziomu 30,7%,</w:t>
      </w:r>
      <w:r w:rsidR="00E66B89">
        <w:rPr>
          <w:rFonts w:cs="Calibri"/>
          <w:szCs w:val="20"/>
        </w:rPr>
        <w:t xml:space="preserve"> w </w:t>
      </w:r>
      <w:r w:rsidRPr="00404DA5">
        <w:rPr>
          <w:rFonts w:cs="Calibri"/>
          <w:szCs w:val="20"/>
        </w:rPr>
        <w:t>2015 natomiast zaobserwowano znaczący wzrost (38,9%).</w:t>
      </w:r>
      <w:r w:rsidR="00E66B89">
        <w:rPr>
          <w:rFonts w:cs="Calibri"/>
          <w:szCs w:val="20"/>
        </w:rPr>
        <w:t xml:space="preserve"> W </w:t>
      </w:r>
      <w:r w:rsidRPr="00404DA5">
        <w:rPr>
          <w:rFonts w:cs="Calibri"/>
          <w:szCs w:val="20"/>
        </w:rPr>
        <w:t>dwóch kolejnych latach wartość wskaźnika malała, osiągając</w:t>
      </w:r>
      <w:r w:rsidR="00E66B89">
        <w:rPr>
          <w:rFonts w:cs="Calibri"/>
          <w:szCs w:val="20"/>
        </w:rPr>
        <w:t xml:space="preserve"> w </w:t>
      </w:r>
      <w:r w:rsidRPr="00404DA5">
        <w:rPr>
          <w:rFonts w:cs="Calibri"/>
          <w:szCs w:val="20"/>
        </w:rPr>
        <w:t>2017 r. poziom 21,6%, co oznacza spadek</w:t>
      </w:r>
      <w:r w:rsidR="00E66B89">
        <w:rPr>
          <w:rFonts w:cs="Calibri"/>
          <w:szCs w:val="20"/>
        </w:rPr>
        <w:t xml:space="preserve"> w </w:t>
      </w:r>
      <w:r w:rsidRPr="00404DA5">
        <w:rPr>
          <w:rFonts w:cs="Calibri"/>
          <w:szCs w:val="20"/>
        </w:rPr>
        <w:t>stosunku do roku bazowego (około 10 p. p.)</w:t>
      </w:r>
      <w:r w:rsidRPr="00404DA5">
        <w:rPr>
          <w:rStyle w:val="Odwoanieprzypisudolnego"/>
          <w:rFonts w:cs="Calibri"/>
          <w:szCs w:val="20"/>
        </w:rPr>
        <w:footnoteReference w:id="29"/>
      </w:r>
      <w:r w:rsidRPr="00404DA5">
        <w:rPr>
          <w:rFonts w:cs="Calibri"/>
          <w:szCs w:val="20"/>
        </w:rPr>
        <w:t>. Poziom osiągnięty</w:t>
      </w:r>
      <w:r w:rsidR="00E66B89">
        <w:rPr>
          <w:rFonts w:cs="Calibri"/>
          <w:szCs w:val="20"/>
        </w:rPr>
        <w:t xml:space="preserve"> w </w:t>
      </w:r>
      <w:r w:rsidRPr="00404DA5">
        <w:rPr>
          <w:rFonts w:cs="Calibri"/>
          <w:szCs w:val="20"/>
        </w:rPr>
        <w:t xml:space="preserve">roku 2015 wskazuje, iż docelowa wartość wskaźnika jest realnie osiągalna. </w:t>
      </w:r>
    </w:p>
    <w:p w14:paraId="10462C92" w14:textId="77777777" w:rsidR="00E0060C" w:rsidRDefault="00E0060C" w:rsidP="006E34DC">
      <w:pPr>
        <w:pStyle w:val="Legenda"/>
        <w:spacing w:after="0"/>
      </w:pPr>
      <w:bookmarkStart w:id="89" w:name="_Toc8824139"/>
      <w:r>
        <w:t xml:space="preserve">Tabela </w:t>
      </w:r>
      <w:r>
        <w:fldChar w:fldCharType="begin"/>
      </w:r>
      <w:r>
        <w:instrText xml:space="preserve"> SEQ Tabela \* ARABIC </w:instrText>
      </w:r>
      <w:r>
        <w:fldChar w:fldCharType="separate"/>
      </w:r>
      <w:r w:rsidR="00763345">
        <w:rPr>
          <w:noProof/>
        </w:rPr>
        <w:t>28</w:t>
      </w:r>
      <w:r>
        <w:fldChar w:fldCharType="end"/>
      </w:r>
      <w:r>
        <w:t xml:space="preserve">. </w:t>
      </w:r>
      <w:r w:rsidRPr="004F12B2">
        <w:t>Wskaźnik rezultatu dla PI 4g</w:t>
      </w:r>
      <w:r w:rsidR="00E66B89">
        <w:t xml:space="preserve"> w </w:t>
      </w:r>
      <w:r w:rsidRPr="004F12B2">
        <w:t>latach 2012-2018</w:t>
      </w:r>
      <w:bookmarkEnd w:id="89"/>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769"/>
        <w:gridCol w:w="769"/>
        <w:gridCol w:w="770"/>
        <w:gridCol w:w="769"/>
        <w:gridCol w:w="770"/>
        <w:gridCol w:w="769"/>
        <w:gridCol w:w="770"/>
      </w:tblGrid>
      <w:tr w:rsidR="00EA33DF" w:rsidRPr="00F057B3" w14:paraId="63241CC3" w14:textId="77777777" w:rsidTr="00C22C26">
        <w:trPr>
          <w:trHeight w:val="540"/>
          <w:tblHeader/>
        </w:trPr>
        <w:tc>
          <w:tcPr>
            <w:tcW w:w="3902" w:type="dxa"/>
            <w:shd w:val="clear" w:color="auto" w:fill="D9E2F3"/>
          </w:tcPr>
          <w:p w14:paraId="6F288C17" w14:textId="77777777" w:rsidR="00E0060C" w:rsidRPr="00F057B3" w:rsidRDefault="00E0060C" w:rsidP="00BA3B1C">
            <w:pPr>
              <w:jc w:val="center"/>
              <w:rPr>
                <w:rFonts w:cs="Calibri"/>
                <w:sz w:val="18"/>
                <w:szCs w:val="18"/>
              </w:rPr>
            </w:pPr>
            <w:r w:rsidRPr="00F057B3">
              <w:rPr>
                <w:rFonts w:cs="Calibri"/>
                <w:sz w:val="18"/>
                <w:szCs w:val="18"/>
              </w:rPr>
              <w:t xml:space="preserve">Wskaźnik </w:t>
            </w:r>
          </w:p>
        </w:tc>
        <w:tc>
          <w:tcPr>
            <w:tcW w:w="769" w:type="dxa"/>
            <w:shd w:val="clear" w:color="auto" w:fill="D9E2F3"/>
          </w:tcPr>
          <w:p w14:paraId="01935142" w14:textId="77777777" w:rsidR="00E0060C" w:rsidRPr="00F057B3" w:rsidRDefault="00E0060C" w:rsidP="00BA3B1C">
            <w:pPr>
              <w:jc w:val="center"/>
              <w:rPr>
                <w:rFonts w:cs="Calibri"/>
                <w:sz w:val="18"/>
                <w:szCs w:val="18"/>
              </w:rPr>
            </w:pPr>
            <w:r w:rsidRPr="00F057B3">
              <w:rPr>
                <w:rFonts w:cs="Calibri"/>
                <w:sz w:val="18"/>
                <w:szCs w:val="18"/>
              </w:rPr>
              <w:t>2012</w:t>
            </w:r>
          </w:p>
        </w:tc>
        <w:tc>
          <w:tcPr>
            <w:tcW w:w="769" w:type="dxa"/>
            <w:shd w:val="clear" w:color="auto" w:fill="D9E2F3"/>
          </w:tcPr>
          <w:p w14:paraId="0BA1110B" w14:textId="77777777" w:rsidR="00E0060C" w:rsidRPr="00F057B3" w:rsidRDefault="00E0060C" w:rsidP="00BA3B1C">
            <w:pPr>
              <w:jc w:val="center"/>
              <w:rPr>
                <w:rFonts w:cs="Calibri"/>
                <w:sz w:val="18"/>
                <w:szCs w:val="18"/>
              </w:rPr>
            </w:pPr>
            <w:r w:rsidRPr="00F057B3">
              <w:rPr>
                <w:rFonts w:cs="Calibri"/>
                <w:sz w:val="18"/>
                <w:szCs w:val="18"/>
              </w:rPr>
              <w:t>2013</w:t>
            </w:r>
          </w:p>
        </w:tc>
        <w:tc>
          <w:tcPr>
            <w:tcW w:w="770" w:type="dxa"/>
            <w:shd w:val="clear" w:color="auto" w:fill="D9E2F3"/>
          </w:tcPr>
          <w:p w14:paraId="3D179216" w14:textId="77777777" w:rsidR="00E0060C" w:rsidRPr="00F057B3" w:rsidRDefault="00E0060C" w:rsidP="00BA3B1C">
            <w:pPr>
              <w:jc w:val="center"/>
              <w:rPr>
                <w:rFonts w:cs="Calibri"/>
                <w:sz w:val="18"/>
                <w:szCs w:val="18"/>
              </w:rPr>
            </w:pPr>
            <w:r w:rsidRPr="00F057B3">
              <w:rPr>
                <w:rFonts w:cs="Calibri"/>
                <w:sz w:val="18"/>
                <w:szCs w:val="18"/>
              </w:rPr>
              <w:t>2014</w:t>
            </w:r>
          </w:p>
        </w:tc>
        <w:tc>
          <w:tcPr>
            <w:tcW w:w="769" w:type="dxa"/>
            <w:shd w:val="clear" w:color="auto" w:fill="D9E2F3"/>
          </w:tcPr>
          <w:p w14:paraId="4C4C3916" w14:textId="77777777" w:rsidR="00E0060C" w:rsidRPr="00F057B3" w:rsidRDefault="00E0060C" w:rsidP="00BA3B1C">
            <w:pPr>
              <w:jc w:val="center"/>
              <w:rPr>
                <w:rFonts w:cs="Calibri"/>
                <w:sz w:val="18"/>
                <w:szCs w:val="18"/>
              </w:rPr>
            </w:pPr>
            <w:r w:rsidRPr="00F057B3">
              <w:rPr>
                <w:rFonts w:cs="Calibri"/>
                <w:sz w:val="18"/>
                <w:szCs w:val="18"/>
              </w:rPr>
              <w:t>2015</w:t>
            </w:r>
          </w:p>
        </w:tc>
        <w:tc>
          <w:tcPr>
            <w:tcW w:w="770" w:type="dxa"/>
            <w:shd w:val="clear" w:color="auto" w:fill="D9E2F3"/>
          </w:tcPr>
          <w:p w14:paraId="2336D01E" w14:textId="77777777" w:rsidR="00E0060C" w:rsidRPr="00F057B3" w:rsidRDefault="00E0060C" w:rsidP="00BA3B1C">
            <w:pPr>
              <w:jc w:val="center"/>
              <w:rPr>
                <w:rFonts w:cs="Calibri"/>
                <w:sz w:val="18"/>
                <w:szCs w:val="18"/>
              </w:rPr>
            </w:pPr>
            <w:r w:rsidRPr="00F057B3">
              <w:rPr>
                <w:rFonts w:cs="Calibri"/>
                <w:sz w:val="18"/>
                <w:szCs w:val="18"/>
              </w:rPr>
              <w:t>2016</w:t>
            </w:r>
          </w:p>
        </w:tc>
        <w:tc>
          <w:tcPr>
            <w:tcW w:w="769" w:type="dxa"/>
            <w:shd w:val="clear" w:color="auto" w:fill="D9E2F3"/>
          </w:tcPr>
          <w:p w14:paraId="08DAE18C" w14:textId="77777777" w:rsidR="00E0060C" w:rsidRPr="00F057B3" w:rsidRDefault="00E0060C" w:rsidP="00BA3B1C">
            <w:pPr>
              <w:jc w:val="center"/>
              <w:rPr>
                <w:rFonts w:cs="Calibri"/>
                <w:sz w:val="18"/>
                <w:szCs w:val="18"/>
              </w:rPr>
            </w:pPr>
            <w:r w:rsidRPr="00F057B3">
              <w:rPr>
                <w:rFonts w:cs="Calibri"/>
                <w:sz w:val="18"/>
                <w:szCs w:val="18"/>
              </w:rPr>
              <w:t>2017</w:t>
            </w:r>
          </w:p>
        </w:tc>
        <w:tc>
          <w:tcPr>
            <w:tcW w:w="770" w:type="dxa"/>
            <w:shd w:val="clear" w:color="auto" w:fill="D9E2F3"/>
          </w:tcPr>
          <w:p w14:paraId="500B78BF" w14:textId="77777777" w:rsidR="00E0060C" w:rsidRPr="00F057B3" w:rsidRDefault="00E0060C" w:rsidP="00BA3B1C">
            <w:pPr>
              <w:jc w:val="center"/>
              <w:rPr>
                <w:rFonts w:cs="Calibri"/>
                <w:sz w:val="18"/>
                <w:szCs w:val="18"/>
              </w:rPr>
            </w:pPr>
            <w:r w:rsidRPr="00F057B3">
              <w:rPr>
                <w:rFonts w:cs="Calibri"/>
                <w:sz w:val="18"/>
                <w:szCs w:val="18"/>
              </w:rPr>
              <w:t xml:space="preserve">2018 </w:t>
            </w:r>
          </w:p>
        </w:tc>
      </w:tr>
      <w:tr w:rsidR="00E0060C" w:rsidRPr="00F057B3" w14:paraId="2140EF5E" w14:textId="77777777" w:rsidTr="00BA3B1C">
        <w:trPr>
          <w:trHeight w:val="128"/>
        </w:trPr>
        <w:tc>
          <w:tcPr>
            <w:tcW w:w="3902" w:type="dxa"/>
          </w:tcPr>
          <w:p w14:paraId="7B705BD3" w14:textId="77777777" w:rsidR="00E0060C" w:rsidRPr="00F057B3" w:rsidRDefault="00E0060C" w:rsidP="00BA3B1C">
            <w:pPr>
              <w:jc w:val="center"/>
              <w:rPr>
                <w:rFonts w:ascii="Calibri" w:eastAsia="Calibri" w:hAnsi="Calibri" w:cs="Calibri"/>
                <w:color w:val="000000"/>
                <w:sz w:val="16"/>
                <w:szCs w:val="16"/>
                <w:lang w:eastAsia="en-US"/>
              </w:rPr>
            </w:pPr>
            <w:r w:rsidRPr="00B533B4">
              <w:rPr>
                <w:rFonts w:cs="Calibri"/>
                <w:sz w:val="18"/>
                <w:szCs w:val="18"/>
              </w:rPr>
              <w:t>Odsetek energii cieplnej produkowanej</w:t>
            </w:r>
            <w:r w:rsidR="00E66B89">
              <w:rPr>
                <w:rFonts w:cs="Calibri"/>
                <w:sz w:val="18"/>
                <w:szCs w:val="18"/>
              </w:rPr>
              <w:t xml:space="preserve"> w </w:t>
            </w:r>
            <w:r w:rsidRPr="00B533B4">
              <w:rPr>
                <w:rFonts w:cs="Calibri"/>
                <w:sz w:val="18"/>
                <w:szCs w:val="18"/>
              </w:rPr>
              <w:t>skojarzeni</w:t>
            </w:r>
            <w:r>
              <w:rPr>
                <w:rFonts w:cs="Calibri"/>
                <w:sz w:val="18"/>
                <w:szCs w:val="18"/>
              </w:rPr>
              <w:t>u (%)</w:t>
            </w:r>
          </w:p>
        </w:tc>
        <w:tc>
          <w:tcPr>
            <w:tcW w:w="769" w:type="dxa"/>
          </w:tcPr>
          <w:p w14:paraId="207F9894" w14:textId="77777777" w:rsidR="00E0060C" w:rsidRPr="00F057B3" w:rsidRDefault="00E0060C" w:rsidP="00BA3B1C">
            <w:pPr>
              <w:jc w:val="center"/>
              <w:rPr>
                <w:rFonts w:cs="Calibri"/>
                <w:sz w:val="18"/>
                <w:szCs w:val="18"/>
              </w:rPr>
            </w:pPr>
            <w:r>
              <w:rPr>
                <w:rFonts w:cs="Calibri"/>
                <w:sz w:val="18"/>
                <w:szCs w:val="18"/>
              </w:rPr>
              <w:t>38,1</w:t>
            </w:r>
          </w:p>
        </w:tc>
        <w:tc>
          <w:tcPr>
            <w:tcW w:w="769" w:type="dxa"/>
          </w:tcPr>
          <w:p w14:paraId="5A0D2108" w14:textId="77777777" w:rsidR="00E0060C" w:rsidRPr="00B533B4" w:rsidRDefault="00E0060C" w:rsidP="00BA3B1C">
            <w:pPr>
              <w:jc w:val="center"/>
              <w:rPr>
                <w:rFonts w:cs="Calibri"/>
                <w:sz w:val="18"/>
                <w:szCs w:val="18"/>
              </w:rPr>
            </w:pPr>
            <w:r>
              <w:rPr>
                <w:rFonts w:cs="Calibri"/>
                <w:sz w:val="18"/>
                <w:szCs w:val="18"/>
              </w:rPr>
              <w:t>31,7</w:t>
            </w:r>
          </w:p>
        </w:tc>
        <w:tc>
          <w:tcPr>
            <w:tcW w:w="770" w:type="dxa"/>
          </w:tcPr>
          <w:p w14:paraId="44B923BF" w14:textId="77777777" w:rsidR="00E0060C" w:rsidRPr="00B533B4" w:rsidRDefault="00E0060C" w:rsidP="00BA3B1C">
            <w:pPr>
              <w:jc w:val="center"/>
              <w:rPr>
                <w:rFonts w:cs="Calibri"/>
                <w:sz w:val="18"/>
                <w:szCs w:val="18"/>
              </w:rPr>
            </w:pPr>
            <w:r w:rsidRPr="00B533B4">
              <w:rPr>
                <w:sz w:val="18"/>
              </w:rPr>
              <w:t>30,7</w:t>
            </w:r>
          </w:p>
        </w:tc>
        <w:tc>
          <w:tcPr>
            <w:tcW w:w="769" w:type="dxa"/>
          </w:tcPr>
          <w:p w14:paraId="0D9D2930" w14:textId="77777777" w:rsidR="00E0060C" w:rsidRPr="00B533B4" w:rsidRDefault="00E0060C" w:rsidP="00BA3B1C">
            <w:pPr>
              <w:jc w:val="center"/>
              <w:rPr>
                <w:rFonts w:cs="Calibri"/>
                <w:sz w:val="18"/>
                <w:szCs w:val="18"/>
              </w:rPr>
            </w:pPr>
            <w:r w:rsidRPr="00B533B4">
              <w:rPr>
                <w:sz w:val="18"/>
              </w:rPr>
              <w:t>38,9</w:t>
            </w:r>
          </w:p>
        </w:tc>
        <w:tc>
          <w:tcPr>
            <w:tcW w:w="770" w:type="dxa"/>
          </w:tcPr>
          <w:p w14:paraId="6141BEE6" w14:textId="77777777" w:rsidR="00E0060C" w:rsidRPr="00B533B4" w:rsidRDefault="00E0060C" w:rsidP="00BA3B1C">
            <w:pPr>
              <w:jc w:val="center"/>
              <w:rPr>
                <w:rFonts w:cs="Calibri"/>
                <w:sz w:val="18"/>
                <w:szCs w:val="18"/>
              </w:rPr>
            </w:pPr>
            <w:r w:rsidRPr="00B533B4">
              <w:rPr>
                <w:sz w:val="18"/>
              </w:rPr>
              <w:t>31,4</w:t>
            </w:r>
          </w:p>
        </w:tc>
        <w:tc>
          <w:tcPr>
            <w:tcW w:w="769" w:type="dxa"/>
          </w:tcPr>
          <w:p w14:paraId="32455AB1" w14:textId="77777777" w:rsidR="00E0060C" w:rsidRPr="00B533B4" w:rsidRDefault="00E0060C" w:rsidP="00BA3B1C">
            <w:pPr>
              <w:jc w:val="center"/>
              <w:rPr>
                <w:rFonts w:cs="Calibri"/>
                <w:sz w:val="18"/>
                <w:szCs w:val="18"/>
              </w:rPr>
            </w:pPr>
            <w:r>
              <w:rPr>
                <w:sz w:val="18"/>
              </w:rPr>
              <w:t>21,6</w:t>
            </w:r>
          </w:p>
        </w:tc>
        <w:tc>
          <w:tcPr>
            <w:tcW w:w="770" w:type="dxa"/>
          </w:tcPr>
          <w:p w14:paraId="29B509AD" w14:textId="77777777" w:rsidR="00E0060C" w:rsidRPr="00B533B4" w:rsidRDefault="00E0060C" w:rsidP="00BA3B1C">
            <w:pPr>
              <w:jc w:val="center"/>
              <w:rPr>
                <w:rFonts w:cs="Calibri"/>
                <w:sz w:val="18"/>
                <w:szCs w:val="18"/>
              </w:rPr>
            </w:pPr>
            <w:r w:rsidRPr="00B533B4">
              <w:rPr>
                <w:rFonts w:cs="Calibri"/>
                <w:sz w:val="18"/>
                <w:szCs w:val="18"/>
              </w:rPr>
              <w:t>b.d.</w:t>
            </w:r>
          </w:p>
        </w:tc>
      </w:tr>
    </w:tbl>
    <w:p w14:paraId="532BA17E" w14:textId="77777777" w:rsidR="00E0060C" w:rsidRPr="002A5FDF" w:rsidRDefault="00E0060C" w:rsidP="005076BF">
      <w:pPr>
        <w:spacing w:before="0"/>
        <w:rPr>
          <w:i/>
          <w:sz w:val="18"/>
          <w:szCs w:val="20"/>
        </w:rPr>
      </w:pPr>
      <w:r w:rsidRPr="002A5FDF">
        <w:rPr>
          <w:i/>
          <w:sz w:val="18"/>
          <w:szCs w:val="20"/>
        </w:rPr>
        <w:t>Źródło: opracowanie własne na podstawie danych Urzędu Regulacji Energetyki</w:t>
      </w:r>
    </w:p>
    <w:p w14:paraId="4BDF4F64" w14:textId="77777777" w:rsidR="00E0060C" w:rsidRPr="00FE43CD" w:rsidRDefault="00E0060C" w:rsidP="00E0060C">
      <w:pPr>
        <w:pStyle w:val="Nagwek4"/>
        <w:numPr>
          <w:ilvl w:val="0"/>
          <w:numId w:val="0"/>
        </w:numPr>
        <w:rPr>
          <w:rFonts w:ascii="Lato" w:eastAsia="Calibri" w:hAnsi="Lato"/>
        </w:rPr>
      </w:pPr>
      <w:r w:rsidRPr="00FE43CD">
        <w:rPr>
          <w:rFonts w:ascii="Lato" w:eastAsia="Calibri" w:hAnsi="Lato"/>
        </w:rPr>
        <w:t xml:space="preserve">Ocena potencjału absorpcyjnego </w:t>
      </w:r>
    </w:p>
    <w:p w14:paraId="50F58964" w14:textId="77777777" w:rsidR="00E0060C" w:rsidRPr="00404DA5" w:rsidRDefault="00E0060C" w:rsidP="00E0060C">
      <w:pPr>
        <w:rPr>
          <w:rFonts w:cs="Calibri"/>
          <w:szCs w:val="20"/>
        </w:rPr>
      </w:pPr>
      <w:r w:rsidRPr="00404DA5">
        <w:rPr>
          <w:rFonts w:cs="Calibri"/>
          <w:szCs w:val="20"/>
        </w:rPr>
        <w:t>W ramach pierwszego</w:t>
      </w:r>
      <w:r w:rsidR="00E66B89">
        <w:rPr>
          <w:rFonts w:cs="Calibri"/>
          <w:szCs w:val="20"/>
        </w:rPr>
        <w:t xml:space="preserve"> z </w:t>
      </w:r>
      <w:r w:rsidRPr="00404DA5">
        <w:rPr>
          <w:rFonts w:cs="Calibri"/>
          <w:szCs w:val="20"/>
        </w:rPr>
        <w:t>dwóch zorganizowanych naborów</w:t>
      </w:r>
      <w:r w:rsidR="00E66B89">
        <w:rPr>
          <w:rFonts w:cs="Calibri"/>
          <w:szCs w:val="20"/>
        </w:rPr>
        <w:t xml:space="preserve"> w </w:t>
      </w:r>
      <w:r w:rsidRPr="00404DA5">
        <w:rPr>
          <w:rFonts w:cs="Calibri"/>
          <w:szCs w:val="20"/>
        </w:rPr>
        <w:t>ramach PI 4g złożono 5 wniosków,</w:t>
      </w:r>
      <w:r w:rsidR="00E66B89">
        <w:rPr>
          <w:rFonts w:cs="Calibri"/>
          <w:szCs w:val="20"/>
        </w:rPr>
        <w:t xml:space="preserve"> z </w:t>
      </w:r>
      <w:r w:rsidRPr="00404DA5">
        <w:rPr>
          <w:rFonts w:cs="Calibri"/>
          <w:szCs w:val="20"/>
        </w:rPr>
        <w:t>których jedynie 2 spełniły wyznaczone kryteria formalne. Ostatecznie doszło jednak do zawarcia tylko jednej umowy</w:t>
      </w:r>
      <w:r w:rsidR="00E66B89">
        <w:rPr>
          <w:rFonts w:cs="Calibri"/>
          <w:szCs w:val="20"/>
        </w:rPr>
        <w:t xml:space="preserve"> z </w:t>
      </w:r>
      <w:r w:rsidRPr="00404DA5">
        <w:rPr>
          <w:rFonts w:cs="Calibri"/>
          <w:szCs w:val="20"/>
        </w:rPr>
        <w:t>uwagi na rezygnację</w:t>
      </w:r>
      <w:r w:rsidR="00E66B89">
        <w:rPr>
          <w:rFonts w:cs="Calibri"/>
          <w:szCs w:val="20"/>
        </w:rPr>
        <w:t xml:space="preserve"> z </w:t>
      </w:r>
      <w:r w:rsidRPr="00404DA5">
        <w:rPr>
          <w:rFonts w:cs="Calibri"/>
          <w:szCs w:val="20"/>
        </w:rPr>
        <w:t>realizacji projektu jednego</w:t>
      </w:r>
      <w:r w:rsidR="00E66B89">
        <w:rPr>
          <w:rFonts w:cs="Calibri"/>
          <w:szCs w:val="20"/>
        </w:rPr>
        <w:t xml:space="preserve"> z </w:t>
      </w:r>
      <w:r w:rsidRPr="00404DA5">
        <w:rPr>
          <w:rFonts w:cs="Calibri"/>
          <w:szCs w:val="20"/>
        </w:rPr>
        <w:t>wnioskodawców. Drugi nabór zakończy się 19 kwietnia 2019 r.,</w:t>
      </w:r>
      <w:r w:rsidR="00E66B89">
        <w:rPr>
          <w:rFonts w:cs="Calibri"/>
          <w:szCs w:val="20"/>
        </w:rPr>
        <w:t xml:space="preserve"> a </w:t>
      </w:r>
      <w:r w:rsidRPr="00404DA5">
        <w:rPr>
          <w:rFonts w:cs="Calibri"/>
          <w:szCs w:val="20"/>
        </w:rPr>
        <w:t>jego rozstrzygnięci</w:t>
      </w:r>
      <w:r>
        <w:rPr>
          <w:rFonts w:cs="Calibri"/>
          <w:szCs w:val="20"/>
        </w:rPr>
        <w:t>e</w:t>
      </w:r>
      <w:r w:rsidRPr="00404DA5">
        <w:rPr>
          <w:rFonts w:cs="Calibri"/>
          <w:szCs w:val="20"/>
        </w:rPr>
        <w:t xml:space="preserve"> zaplanowano na początek III kwartału 2019 r. Biorąc pod uwagę, iż kwota unijnego dofinansowania,</w:t>
      </w:r>
      <w:r w:rsidR="00E66B89">
        <w:rPr>
          <w:rFonts w:cs="Calibri"/>
          <w:szCs w:val="20"/>
        </w:rPr>
        <w:t xml:space="preserve"> o </w:t>
      </w:r>
      <w:r w:rsidRPr="00404DA5">
        <w:rPr>
          <w:rFonts w:cs="Calibri"/>
          <w:szCs w:val="20"/>
        </w:rPr>
        <w:t>którą aplikowali wnioskodawcy</w:t>
      </w:r>
      <w:r w:rsidR="00E66B89">
        <w:rPr>
          <w:rFonts w:cs="Calibri"/>
          <w:szCs w:val="20"/>
        </w:rPr>
        <w:t xml:space="preserve"> w </w:t>
      </w:r>
      <w:r w:rsidRPr="00404DA5">
        <w:rPr>
          <w:rFonts w:cs="Calibri"/>
          <w:szCs w:val="20"/>
        </w:rPr>
        <w:t>poprzednim naborze wyniosła około 14 mln zł, istnieje szansa, iż</w:t>
      </w:r>
      <w:r w:rsidR="00E66B89">
        <w:rPr>
          <w:rFonts w:cs="Calibri"/>
          <w:szCs w:val="20"/>
        </w:rPr>
        <w:t xml:space="preserve"> w </w:t>
      </w:r>
      <w:r w:rsidRPr="00404DA5">
        <w:rPr>
          <w:rFonts w:cs="Calibri"/>
          <w:szCs w:val="20"/>
        </w:rPr>
        <w:t>kolejnym konkursie uda się wykorzystać przeznaczoną na niego pulę. Potwierdzają to wyniki badania CAWI</w:t>
      </w:r>
      <w:r w:rsidR="00E66B89">
        <w:rPr>
          <w:rFonts w:cs="Calibri"/>
          <w:szCs w:val="20"/>
        </w:rPr>
        <w:t xml:space="preserve"> z </w:t>
      </w:r>
      <w:r w:rsidRPr="00404DA5">
        <w:rPr>
          <w:rFonts w:cs="Calibri"/>
          <w:szCs w:val="20"/>
        </w:rPr>
        <w:t>beneficjentami</w:t>
      </w:r>
      <w:r w:rsidR="00E66B89">
        <w:rPr>
          <w:rFonts w:cs="Calibri"/>
          <w:szCs w:val="20"/>
        </w:rPr>
        <w:t xml:space="preserve"> i </w:t>
      </w:r>
      <w:r w:rsidRPr="00404DA5">
        <w:rPr>
          <w:rFonts w:cs="Calibri"/>
          <w:szCs w:val="20"/>
        </w:rPr>
        <w:t>nieskutecznymi wnioskodawcami,</w:t>
      </w:r>
      <w:r w:rsidR="00E66B89">
        <w:rPr>
          <w:rFonts w:cs="Calibri"/>
          <w:szCs w:val="20"/>
        </w:rPr>
        <w:t xml:space="preserve"> w </w:t>
      </w:r>
      <w:r w:rsidRPr="00404DA5">
        <w:rPr>
          <w:rFonts w:cs="Calibri"/>
          <w:szCs w:val="20"/>
        </w:rPr>
        <w:t>ramach których 10 respondentów wskazało, iż są zainteresowani złożeniem wniosku</w:t>
      </w:r>
      <w:r w:rsidR="00E66B89">
        <w:rPr>
          <w:rFonts w:cs="Calibri"/>
          <w:szCs w:val="20"/>
        </w:rPr>
        <w:t xml:space="preserve"> w </w:t>
      </w:r>
      <w:r w:rsidRPr="00404DA5">
        <w:rPr>
          <w:rFonts w:cs="Calibri"/>
          <w:szCs w:val="20"/>
        </w:rPr>
        <w:t>ramach Działania 2.12. 5</w:t>
      </w:r>
      <w:r w:rsidR="00E66B89">
        <w:rPr>
          <w:rFonts w:cs="Calibri"/>
          <w:szCs w:val="20"/>
        </w:rPr>
        <w:t xml:space="preserve"> z </w:t>
      </w:r>
      <w:r w:rsidRPr="00404DA5">
        <w:rPr>
          <w:rFonts w:cs="Calibri"/>
          <w:szCs w:val="20"/>
        </w:rPr>
        <w:t xml:space="preserve">nich zadeklarowało, iż posiada ogólną koncepcję projektu, kolejnych 5 – że zgromadziło potrzebną dokumentację. </w:t>
      </w:r>
    </w:p>
    <w:p w14:paraId="76A4A7E7" w14:textId="77777777" w:rsidR="00E0060C" w:rsidRPr="00404DA5" w:rsidRDefault="00E0060C" w:rsidP="00E0060C">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analizy kosztów jednostkowych wskaźników realizowanego projektu, pula środków przeznaczonych na trwający konkurs nie wystarczy, aby osiągnąć docelowe wartości wskaźników. Zatem aby wypełnić zobowiązania programowe, konieczne jest przeprowadzenie kolejnego naboru,</w:t>
      </w:r>
      <w:r w:rsidR="00E66B89">
        <w:rPr>
          <w:rFonts w:cs="Calibri"/>
          <w:szCs w:val="20"/>
        </w:rPr>
        <w:t xml:space="preserve"> w </w:t>
      </w:r>
      <w:r w:rsidRPr="00404DA5">
        <w:rPr>
          <w:rFonts w:cs="Calibri"/>
          <w:szCs w:val="20"/>
        </w:rPr>
        <w:t>którym dostępne byłyby środki</w:t>
      </w:r>
      <w:r w:rsidR="00E66B89">
        <w:rPr>
          <w:rFonts w:cs="Calibri"/>
          <w:szCs w:val="20"/>
        </w:rPr>
        <w:t xml:space="preserve"> w </w:t>
      </w:r>
      <w:r w:rsidRPr="00404DA5">
        <w:rPr>
          <w:rFonts w:cs="Calibri"/>
          <w:szCs w:val="20"/>
        </w:rPr>
        <w:t xml:space="preserve">ramach pozostałej alokacji (w tym także rezerwy wykonania). </w:t>
      </w:r>
    </w:p>
    <w:p w14:paraId="25CA3C4F" w14:textId="77777777" w:rsidR="00E0060C" w:rsidRPr="00404DA5" w:rsidRDefault="00E0060C" w:rsidP="00E0060C">
      <w:pPr>
        <w:rPr>
          <w:rFonts w:cs="Calibri"/>
          <w:szCs w:val="20"/>
        </w:rPr>
      </w:pPr>
      <w:r w:rsidRPr="00404DA5">
        <w:rPr>
          <w:rFonts w:cs="Calibri"/>
          <w:szCs w:val="20"/>
        </w:rPr>
        <w:t>W celu zwiększenia szans na pozytywne rozstrzygnięcie konkursu, zaleca się prowadzenie spotkań</w:t>
      </w:r>
      <w:r w:rsidR="00E66B89">
        <w:rPr>
          <w:rFonts w:cs="Calibri"/>
          <w:szCs w:val="20"/>
        </w:rPr>
        <w:t xml:space="preserve"> z </w:t>
      </w:r>
      <w:r w:rsidRPr="00404DA5">
        <w:rPr>
          <w:rFonts w:cs="Calibri"/>
          <w:szCs w:val="20"/>
        </w:rPr>
        <w:t>potencjalnymi wnioskodawcami, rozmów indywidualnych oraz organizowanie wydarzeń typu „Otwarty Urząd”,</w:t>
      </w:r>
      <w:r w:rsidR="00E66B89">
        <w:rPr>
          <w:rFonts w:cs="Calibri"/>
          <w:szCs w:val="20"/>
        </w:rPr>
        <w:t xml:space="preserve"> w </w:t>
      </w:r>
      <w:r w:rsidRPr="00404DA5">
        <w:rPr>
          <w:rFonts w:cs="Calibri"/>
          <w:szCs w:val="20"/>
        </w:rPr>
        <w:t>ramach których podmioty zainteresowane złożeniem wniosku mogłyby pozyskać praktyczne informacje na temat wymagań formalnych</w:t>
      </w:r>
      <w:r w:rsidR="00E66B89">
        <w:rPr>
          <w:rFonts w:cs="Calibri"/>
          <w:szCs w:val="20"/>
        </w:rPr>
        <w:t xml:space="preserve"> i </w:t>
      </w:r>
      <w:r w:rsidRPr="00404DA5">
        <w:rPr>
          <w:rFonts w:cs="Calibri"/>
          <w:szCs w:val="20"/>
        </w:rPr>
        <w:t>merytorycznych dotyczących konkursu,</w:t>
      </w:r>
      <w:r w:rsidR="00E66B89">
        <w:rPr>
          <w:rFonts w:cs="Calibri"/>
          <w:szCs w:val="20"/>
        </w:rPr>
        <w:t xml:space="preserve"> a </w:t>
      </w:r>
      <w:r w:rsidRPr="00404DA5">
        <w:rPr>
          <w:rFonts w:cs="Calibri"/>
          <w:szCs w:val="20"/>
        </w:rPr>
        <w:t>także korzyści ekonomicznych</w:t>
      </w:r>
      <w:r w:rsidR="00E66B89">
        <w:rPr>
          <w:rFonts w:cs="Calibri"/>
          <w:szCs w:val="20"/>
        </w:rPr>
        <w:t xml:space="preserve"> i </w:t>
      </w:r>
      <w:r w:rsidRPr="00404DA5">
        <w:rPr>
          <w:rFonts w:cs="Calibri"/>
          <w:szCs w:val="20"/>
        </w:rPr>
        <w:t>ekologicznych płynących</w:t>
      </w:r>
      <w:r w:rsidR="00E66B89">
        <w:rPr>
          <w:rFonts w:cs="Calibri"/>
          <w:szCs w:val="20"/>
        </w:rPr>
        <w:t xml:space="preserve"> z </w:t>
      </w:r>
      <w:r w:rsidRPr="00404DA5">
        <w:rPr>
          <w:rFonts w:cs="Calibri"/>
          <w:szCs w:val="20"/>
        </w:rPr>
        <w:t>wytwarzania energii elektrycznej</w:t>
      </w:r>
      <w:r w:rsidR="00E66B89">
        <w:rPr>
          <w:rFonts w:cs="Calibri"/>
          <w:szCs w:val="20"/>
        </w:rPr>
        <w:t xml:space="preserve"> i </w:t>
      </w:r>
      <w:r w:rsidRPr="00404DA5">
        <w:rPr>
          <w:rFonts w:cs="Calibri"/>
          <w:szCs w:val="20"/>
        </w:rPr>
        <w:t>cieplnej</w:t>
      </w:r>
      <w:r w:rsidR="00E66B89">
        <w:rPr>
          <w:rFonts w:cs="Calibri"/>
          <w:szCs w:val="20"/>
        </w:rPr>
        <w:t xml:space="preserve"> w </w:t>
      </w:r>
      <w:r w:rsidRPr="00404DA5">
        <w:rPr>
          <w:rFonts w:cs="Calibri"/>
          <w:szCs w:val="20"/>
        </w:rPr>
        <w:t>jednym procesie technologicznym. Tego typu spotkania</w:t>
      </w:r>
      <w:r w:rsidR="00E66B89">
        <w:rPr>
          <w:rFonts w:cs="Calibri"/>
          <w:szCs w:val="20"/>
        </w:rPr>
        <w:t xml:space="preserve"> i </w:t>
      </w:r>
      <w:r w:rsidRPr="00404DA5">
        <w:rPr>
          <w:rFonts w:cs="Calibri"/>
          <w:szCs w:val="20"/>
        </w:rPr>
        <w:t>wydarzenia organizowane były między innymi</w:t>
      </w:r>
      <w:r w:rsidR="00E66B89">
        <w:rPr>
          <w:rFonts w:cs="Calibri"/>
          <w:szCs w:val="20"/>
        </w:rPr>
        <w:t xml:space="preserve"> w </w:t>
      </w:r>
      <w:r w:rsidRPr="00404DA5">
        <w:rPr>
          <w:rFonts w:cs="Calibri"/>
          <w:szCs w:val="20"/>
        </w:rPr>
        <w:t>województwie warmińsko-mazurskim, które również boryka się</w:t>
      </w:r>
      <w:r w:rsidR="00E66B89">
        <w:rPr>
          <w:rFonts w:cs="Calibri"/>
          <w:szCs w:val="20"/>
        </w:rPr>
        <w:t xml:space="preserve"> z </w:t>
      </w:r>
      <w:r w:rsidRPr="00404DA5">
        <w:rPr>
          <w:rFonts w:cs="Calibri"/>
          <w:szCs w:val="20"/>
        </w:rPr>
        <w:t>problemem niedostatecznego postępu</w:t>
      </w:r>
      <w:r w:rsidR="00E66B89">
        <w:rPr>
          <w:rFonts w:cs="Calibri"/>
          <w:szCs w:val="20"/>
        </w:rPr>
        <w:t xml:space="preserve"> w </w:t>
      </w:r>
      <w:r w:rsidRPr="00404DA5">
        <w:rPr>
          <w:rFonts w:cs="Calibri"/>
          <w:szCs w:val="20"/>
        </w:rPr>
        <w:t>ramach wdrażania działań związanych</w:t>
      </w:r>
      <w:r w:rsidR="00E66B89">
        <w:rPr>
          <w:rFonts w:cs="Calibri"/>
          <w:szCs w:val="20"/>
        </w:rPr>
        <w:t xml:space="preserve"> z </w:t>
      </w:r>
      <w:r w:rsidRPr="00404DA5">
        <w:rPr>
          <w:rFonts w:cs="Calibri"/>
          <w:szCs w:val="20"/>
        </w:rPr>
        <w:t xml:space="preserve">wspieraniem kogeneracji. </w:t>
      </w:r>
    </w:p>
    <w:p w14:paraId="5A78720C" w14:textId="77777777" w:rsidR="00E0060C" w:rsidRPr="00FE43CD" w:rsidRDefault="00E0060C" w:rsidP="00E0060C">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59BC1DE9" w14:textId="77777777" w:rsidR="00E0060C" w:rsidRPr="00404DA5" w:rsidRDefault="00E0060C" w:rsidP="00E0060C">
      <w:pPr>
        <w:rPr>
          <w:rFonts w:cs="Calibri"/>
          <w:szCs w:val="20"/>
        </w:rPr>
      </w:pPr>
      <w:r w:rsidRPr="00404DA5">
        <w:rPr>
          <w:rFonts w:cs="Calibri"/>
          <w:szCs w:val="20"/>
        </w:rPr>
        <w:t>Zakładając, iż cała dostępna alokacja (wraz</w:t>
      </w:r>
      <w:r w:rsidR="00E66B89">
        <w:rPr>
          <w:rFonts w:cs="Calibri"/>
          <w:szCs w:val="20"/>
        </w:rPr>
        <w:t xml:space="preserve"> z </w:t>
      </w:r>
      <w:r w:rsidRPr="00404DA5">
        <w:rPr>
          <w:rFonts w:cs="Calibri"/>
          <w:szCs w:val="20"/>
        </w:rPr>
        <w:t>rezerwą wykonania – około 40 mln zł) przeznaczona na Działanie 2.12 zostanie wykorzystana</w:t>
      </w:r>
      <w:r w:rsidR="00E66B89">
        <w:rPr>
          <w:rFonts w:cs="Calibri"/>
          <w:szCs w:val="20"/>
        </w:rPr>
        <w:t xml:space="preserve"> w </w:t>
      </w:r>
      <w:r w:rsidRPr="00404DA5">
        <w:rPr>
          <w:rFonts w:cs="Calibri"/>
          <w:szCs w:val="20"/>
        </w:rPr>
        <w:t>dwóch kolejnych naborach (obecnym</w:t>
      </w:r>
      <w:r w:rsidR="00E66B89">
        <w:rPr>
          <w:rFonts w:cs="Calibri"/>
          <w:szCs w:val="20"/>
        </w:rPr>
        <w:t xml:space="preserve"> i </w:t>
      </w:r>
      <w:r w:rsidRPr="00404DA5">
        <w:rPr>
          <w:rFonts w:cs="Calibri"/>
          <w:szCs w:val="20"/>
        </w:rPr>
        <w:t>ewentualnym przyszłym), przy obecnym koszcie jednostkowym</w:t>
      </w:r>
      <w:r>
        <w:rPr>
          <w:rFonts w:cs="Calibri"/>
          <w:szCs w:val="20"/>
        </w:rPr>
        <w:t xml:space="preserve"> (</w:t>
      </w:r>
      <w:r w:rsidRPr="002A77F9">
        <w:rPr>
          <w:rFonts w:cs="Calibri"/>
          <w:i/>
          <w:szCs w:val="20"/>
        </w:rPr>
        <w:t>Liczba jednostek wytwarzania energii elektrycznej</w:t>
      </w:r>
      <w:r w:rsidR="00E66B89">
        <w:rPr>
          <w:rFonts w:cs="Calibri"/>
          <w:i/>
          <w:szCs w:val="20"/>
        </w:rPr>
        <w:t xml:space="preserve"> </w:t>
      </w:r>
      <w:r w:rsidR="00E66B89">
        <w:rPr>
          <w:rFonts w:cs="Calibri"/>
          <w:i/>
          <w:szCs w:val="20"/>
        </w:rPr>
        <w:lastRenderedPageBreak/>
        <w:t>i </w:t>
      </w:r>
      <w:r w:rsidRPr="002A77F9">
        <w:rPr>
          <w:rFonts w:cs="Calibri"/>
          <w:i/>
          <w:szCs w:val="20"/>
        </w:rPr>
        <w:t>cieplnej</w:t>
      </w:r>
      <w:r w:rsidR="00E66B89">
        <w:rPr>
          <w:rFonts w:cs="Calibri"/>
          <w:i/>
          <w:szCs w:val="20"/>
        </w:rPr>
        <w:t xml:space="preserve"> w </w:t>
      </w:r>
      <w:r w:rsidRPr="002A77F9">
        <w:rPr>
          <w:rFonts w:cs="Calibri"/>
          <w:i/>
          <w:szCs w:val="20"/>
        </w:rPr>
        <w:t>ramach kogeneracji</w:t>
      </w:r>
      <w:r>
        <w:rPr>
          <w:rFonts w:cs="Calibri"/>
          <w:szCs w:val="20"/>
        </w:rPr>
        <w:t xml:space="preserve"> - </w:t>
      </w:r>
      <w:r w:rsidRPr="002A77F9">
        <w:rPr>
          <w:rFonts w:cs="Calibri"/>
          <w:szCs w:val="20"/>
        </w:rPr>
        <w:t>2 605 854,33</w:t>
      </w:r>
      <w:r>
        <w:rPr>
          <w:rFonts w:cs="Calibri"/>
          <w:szCs w:val="20"/>
        </w:rPr>
        <w:t xml:space="preserve"> zł/szt., </w:t>
      </w:r>
      <w:r w:rsidRPr="002A77F9">
        <w:rPr>
          <w:rFonts w:cs="Calibri"/>
          <w:i/>
          <w:szCs w:val="20"/>
        </w:rPr>
        <w:t>Liczba przedsiębiorstw, które uzyskały wsparcie</w:t>
      </w:r>
      <w:r>
        <w:rPr>
          <w:rFonts w:cs="Calibri"/>
          <w:szCs w:val="20"/>
        </w:rPr>
        <w:t xml:space="preserve"> - </w:t>
      </w:r>
      <w:r w:rsidRPr="002A77F9">
        <w:rPr>
          <w:rFonts w:cs="Calibri"/>
          <w:szCs w:val="20"/>
        </w:rPr>
        <w:t>2 605 854,33</w:t>
      </w:r>
      <w:r>
        <w:rPr>
          <w:rFonts w:cs="Calibri"/>
          <w:szCs w:val="20"/>
        </w:rPr>
        <w:t xml:space="preserve"> zł/szt., </w:t>
      </w:r>
      <w:r w:rsidRPr="002A77F9">
        <w:rPr>
          <w:rFonts w:cs="Calibri"/>
          <w:i/>
          <w:szCs w:val="20"/>
        </w:rPr>
        <w:t>Dodatkowa zdolność wytwarzania energii cieplnej</w:t>
      </w:r>
      <w:r w:rsidR="00E66B89">
        <w:rPr>
          <w:rFonts w:cs="Calibri"/>
          <w:i/>
          <w:szCs w:val="20"/>
        </w:rPr>
        <w:t xml:space="preserve"> i </w:t>
      </w:r>
      <w:r w:rsidRPr="002A77F9">
        <w:rPr>
          <w:rFonts w:cs="Calibri"/>
          <w:i/>
          <w:szCs w:val="20"/>
        </w:rPr>
        <w:t>elektrycznej</w:t>
      </w:r>
      <w:r w:rsidR="00E66B89">
        <w:rPr>
          <w:rFonts w:cs="Calibri"/>
          <w:i/>
          <w:szCs w:val="20"/>
        </w:rPr>
        <w:t xml:space="preserve"> w </w:t>
      </w:r>
      <w:r w:rsidRPr="002A77F9">
        <w:rPr>
          <w:rFonts w:cs="Calibri"/>
          <w:i/>
          <w:szCs w:val="20"/>
        </w:rPr>
        <w:t>warunkach kogeneracji</w:t>
      </w:r>
      <w:r>
        <w:rPr>
          <w:rFonts w:cs="Calibri"/>
          <w:szCs w:val="20"/>
        </w:rPr>
        <w:t xml:space="preserve"> - </w:t>
      </w:r>
      <w:r w:rsidRPr="002A77F9">
        <w:rPr>
          <w:rFonts w:cs="Calibri"/>
          <w:szCs w:val="20"/>
        </w:rPr>
        <w:t>5 664 900,72</w:t>
      </w:r>
      <w:r>
        <w:rPr>
          <w:rFonts w:cs="Calibri"/>
          <w:szCs w:val="20"/>
        </w:rPr>
        <w:t xml:space="preserve"> zł/MW, </w:t>
      </w:r>
      <w:r w:rsidRPr="002A77F9">
        <w:rPr>
          <w:rFonts w:cs="Calibri"/>
          <w:i/>
          <w:szCs w:val="20"/>
        </w:rPr>
        <w:t>Szacowany roczny spadek emisji gazów cieplarnianych</w:t>
      </w:r>
      <w:r>
        <w:rPr>
          <w:rFonts w:cs="Calibri"/>
          <w:szCs w:val="20"/>
        </w:rPr>
        <w:t xml:space="preserve"> - </w:t>
      </w:r>
      <w:r w:rsidRPr="002A77F9">
        <w:rPr>
          <w:rFonts w:cs="Calibri"/>
          <w:szCs w:val="20"/>
        </w:rPr>
        <w:t>2 812,21</w:t>
      </w:r>
      <w:r>
        <w:rPr>
          <w:rFonts w:cs="Calibri"/>
          <w:szCs w:val="20"/>
        </w:rPr>
        <w:t xml:space="preserve"> zł/tonę równoważnika CO</w:t>
      </w:r>
      <w:r>
        <w:rPr>
          <w:rFonts w:cs="Calibri"/>
          <w:szCs w:val="20"/>
          <w:vertAlign w:val="subscript"/>
        </w:rPr>
        <w:t>2</w:t>
      </w:r>
      <w:r>
        <w:rPr>
          <w:rFonts w:cs="Calibri"/>
          <w:szCs w:val="20"/>
        </w:rPr>
        <w:t>),</w:t>
      </w:r>
      <w:r w:rsidRPr="00404DA5">
        <w:rPr>
          <w:rFonts w:cs="Calibri"/>
          <w:szCs w:val="20"/>
        </w:rPr>
        <w:t xml:space="preserve"> należy przypuszczać, iż wartości docelowe trzech</w:t>
      </w:r>
      <w:r w:rsidR="00E66B89">
        <w:rPr>
          <w:rFonts w:cs="Calibri"/>
          <w:szCs w:val="20"/>
        </w:rPr>
        <w:t xml:space="preserve"> z </w:t>
      </w:r>
      <w:r w:rsidRPr="00404DA5">
        <w:rPr>
          <w:rFonts w:cs="Calibri"/>
          <w:szCs w:val="20"/>
        </w:rPr>
        <w:t>czterech wskaźników programowych zostaną osiągnięte.</w:t>
      </w:r>
      <w:r w:rsidR="00E66B89">
        <w:rPr>
          <w:rFonts w:cs="Calibri"/>
          <w:szCs w:val="20"/>
        </w:rPr>
        <w:t xml:space="preserve"> W </w:t>
      </w:r>
      <w:r w:rsidRPr="00404DA5">
        <w:rPr>
          <w:rFonts w:cs="Calibri"/>
          <w:szCs w:val="20"/>
        </w:rPr>
        <w:t xml:space="preserve">przypadku wskaźników </w:t>
      </w:r>
      <w:r w:rsidRPr="00404DA5">
        <w:rPr>
          <w:rFonts w:cs="Calibri"/>
          <w:i/>
          <w:szCs w:val="20"/>
        </w:rPr>
        <w:t>Liczba jednostek wytwarzania energii elektrycznej</w:t>
      </w:r>
      <w:r w:rsidR="00E66B89">
        <w:rPr>
          <w:rFonts w:cs="Calibri"/>
          <w:i/>
          <w:szCs w:val="20"/>
        </w:rPr>
        <w:t xml:space="preserve"> i </w:t>
      </w:r>
      <w:r w:rsidRPr="00404DA5">
        <w:rPr>
          <w:rFonts w:cs="Calibri"/>
          <w:i/>
          <w:szCs w:val="20"/>
        </w:rPr>
        <w:t>cieplnej</w:t>
      </w:r>
      <w:r w:rsidR="00E66B89">
        <w:rPr>
          <w:rFonts w:cs="Calibri"/>
          <w:i/>
          <w:szCs w:val="20"/>
        </w:rPr>
        <w:t xml:space="preserve"> w </w:t>
      </w:r>
      <w:r w:rsidRPr="00404DA5">
        <w:rPr>
          <w:rFonts w:cs="Calibri"/>
          <w:i/>
          <w:szCs w:val="20"/>
        </w:rPr>
        <w:t>ramach kogeneracji</w:t>
      </w:r>
      <w:r w:rsidRPr="00404DA5">
        <w:rPr>
          <w:rFonts w:cs="Calibri"/>
          <w:szCs w:val="20"/>
        </w:rPr>
        <w:t xml:space="preserve"> oraz </w:t>
      </w:r>
      <w:r w:rsidRPr="00404DA5">
        <w:rPr>
          <w:rFonts w:cs="Calibri"/>
          <w:i/>
          <w:szCs w:val="20"/>
        </w:rPr>
        <w:t>Liczba przedsiębiorstw, które uzyskały wsparcie</w:t>
      </w:r>
      <w:r w:rsidRPr="00404DA5">
        <w:rPr>
          <w:rFonts w:cs="Calibri"/>
          <w:szCs w:val="20"/>
        </w:rPr>
        <w:t xml:space="preserve">, prognozowana wartość wskaźnika osiągnie 127% wartości docelowej. Wskaźnik </w:t>
      </w:r>
      <w:r w:rsidRPr="00404DA5">
        <w:rPr>
          <w:rFonts w:cs="Calibri"/>
          <w:i/>
          <w:szCs w:val="20"/>
        </w:rPr>
        <w:t>Dodatkowa zdolność wytwarzania energii cieplnej</w:t>
      </w:r>
      <w:r w:rsidR="00E66B89">
        <w:rPr>
          <w:rFonts w:cs="Calibri"/>
          <w:i/>
          <w:szCs w:val="20"/>
        </w:rPr>
        <w:t xml:space="preserve"> i </w:t>
      </w:r>
      <w:r w:rsidRPr="00404DA5">
        <w:rPr>
          <w:rFonts w:cs="Calibri"/>
          <w:i/>
          <w:szCs w:val="20"/>
        </w:rPr>
        <w:t>elektrycznej</w:t>
      </w:r>
      <w:r w:rsidR="00E66B89">
        <w:rPr>
          <w:rFonts w:cs="Calibri"/>
          <w:i/>
          <w:szCs w:val="20"/>
        </w:rPr>
        <w:t xml:space="preserve"> w </w:t>
      </w:r>
      <w:r w:rsidRPr="00404DA5">
        <w:rPr>
          <w:rFonts w:cs="Calibri"/>
          <w:i/>
          <w:szCs w:val="20"/>
        </w:rPr>
        <w:t xml:space="preserve">warunkach kogeneracji </w:t>
      </w:r>
      <w:r w:rsidRPr="00404DA5">
        <w:rPr>
          <w:rFonts w:cs="Calibri"/>
          <w:szCs w:val="20"/>
        </w:rPr>
        <w:t>jest zagrożony nieosiągnięciem – dzięki całej dostępnej alokacji przy obecnym koszcie jednostkowym będzie można osiągnąć jedynie 60% wartości docelowej. Natomiast</w:t>
      </w:r>
      <w:r w:rsidR="00E66B89">
        <w:rPr>
          <w:rFonts w:cs="Calibri"/>
          <w:szCs w:val="20"/>
        </w:rPr>
        <w:t xml:space="preserve"> w </w:t>
      </w:r>
      <w:r w:rsidRPr="00404DA5">
        <w:rPr>
          <w:rFonts w:cs="Calibri"/>
          <w:szCs w:val="20"/>
        </w:rPr>
        <w:t xml:space="preserve">przypadku wskaźnika rezultatu bezpośredniego </w:t>
      </w:r>
      <w:r w:rsidRPr="00404DA5">
        <w:rPr>
          <w:rFonts w:cs="Calibri"/>
          <w:i/>
          <w:szCs w:val="20"/>
        </w:rPr>
        <w:t>Szacowany roczny spadek emisji gazów cieplarnianych</w:t>
      </w:r>
      <w:r w:rsidRPr="00404DA5">
        <w:rPr>
          <w:rFonts w:cs="Calibri"/>
          <w:szCs w:val="20"/>
        </w:rPr>
        <w:t xml:space="preserve">, możliwe jest ponad dwukrotne przekroczenie wartości docelowej. </w:t>
      </w:r>
    </w:p>
    <w:p w14:paraId="20D44E89" w14:textId="77777777" w:rsidR="00E0060C" w:rsidRPr="006E34DC" w:rsidRDefault="00E0060C" w:rsidP="006E34DC">
      <w:pPr>
        <w:pStyle w:val="Legenda"/>
        <w:spacing w:after="0"/>
      </w:pPr>
      <w:bookmarkStart w:id="90" w:name="_Toc8824140"/>
      <w:r w:rsidRPr="00404DA5">
        <w:t xml:space="preserve">Tabela </w:t>
      </w:r>
      <w:r>
        <w:fldChar w:fldCharType="begin"/>
      </w:r>
      <w:r>
        <w:instrText xml:space="preserve"> SEQ Tabela \* ARABIC </w:instrText>
      </w:r>
      <w:r>
        <w:fldChar w:fldCharType="separate"/>
      </w:r>
      <w:r w:rsidR="00763345">
        <w:rPr>
          <w:noProof/>
        </w:rPr>
        <w:t>29</w:t>
      </w:r>
      <w:r>
        <w:fldChar w:fldCharType="end"/>
      </w:r>
      <w:r w:rsidRPr="00404DA5">
        <w:t xml:space="preserve"> Prognozowany poziom realizacji wskaźników produktu na rok 2023 – PI 4g</w:t>
      </w:r>
      <w:bookmarkEnd w:id="90"/>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54"/>
        <w:gridCol w:w="1419"/>
        <w:gridCol w:w="1995"/>
        <w:gridCol w:w="2000"/>
      </w:tblGrid>
      <w:tr w:rsidR="00E0060C" w:rsidRPr="00FE43CD" w14:paraId="2C11DB85" w14:textId="77777777" w:rsidTr="00C22C26">
        <w:trPr>
          <w:trHeight w:val="1012"/>
          <w:tblHeader/>
        </w:trPr>
        <w:tc>
          <w:tcPr>
            <w:tcW w:w="826" w:type="pct"/>
            <w:shd w:val="clear" w:color="auto" w:fill="DBE5F1"/>
            <w:vAlign w:val="center"/>
          </w:tcPr>
          <w:p w14:paraId="0BD59DE9" w14:textId="77777777" w:rsidR="00E0060C" w:rsidRPr="00404DA5" w:rsidRDefault="00E0060C" w:rsidP="00BA3B1C">
            <w:pPr>
              <w:jc w:val="center"/>
              <w:rPr>
                <w:rFonts w:cs="Calibri"/>
                <w:sz w:val="16"/>
                <w:szCs w:val="18"/>
              </w:rPr>
            </w:pPr>
            <w:r w:rsidRPr="00404DA5">
              <w:rPr>
                <w:rFonts w:cs="Calibri"/>
                <w:sz w:val="16"/>
                <w:szCs w:val="18"/>
              </w:rPr>
              <w:t>Typ wskaźnika</w:t>
            </w:r>
          </w:p>
        </w:tc>
        <w:tc>
          <w:tcPr>
            <w:tcW w:w="1148" w:type="pct"/>
            <w:shd w:val="clear" w:color="auto" w:fill="DBE5F1"/>
            <w:vAlign w:val="center"/>
          </w:tcPr>
          <w:p w14:paraId="1D17B9B4" w14:textId="77777777" w:rsidR="00E0060C" w:rsidRPr="00404DA5" w:rsidRDefault="00E0060C" w:rsidP="00BA3B1C">
            <w:pPr>
              <w:jc w:val="center"/>
              <w:rPr>
                <w:rFonts w:cs="Calibri"/>
                <w:sz w:val="16"/>
                <w:szCs w:val="18"/>
              </w:rPr>
            </w:pPr>
            <w:r w:rsidRPr="00404DA5">
              <w:rPr>
                <w:rFonts w:cs="Calibri"/>
                <w:sz w:val="16"/>
                <w:szCs w:val="18"/>
              </w:rPr>
              <w:t>Wskaźnik</w:t>
            </w:r>
          </w:p>
        </w:tc>
        <w:tc>
          <w:tcPr>
            <w:tcW w:w="793" w:type="pct"/>
            <w:shd w:val="clear" w:color="auto" w:fill="DBE5F1"/>
            <w:vAlign w:val="center"/>
          </w:tcPr>
          <w:p w14:paraId="323C01DD" w14:textId="77777777" w:rsidR="00E0060C" w:rsidRPr="00404DA5" w:rsidRDefault="00E0060C" w:rsidP="00BA3B1C">
            <w:pPr>
              <w:jc w:val="center"/>
              <w:rPr>
                <w:rFonts w:cs="Calibri"/>
                <w:sz w:val="16"/>
                <w:szCs w:val="18"/>
              </w:rPr>
            </w:pPr>
            <w:r w:rsidRPr="00404DA5">
              <w:rPr>
                <w:rFonts w:cs="Calibri"/>
                <w:sz w:val="16"/>
                <w:szCs w:val="18"/>
              </w:rPr>
              <w:t>Wartość docelowa określona na 2023 rok</w:t>
            </w:r>
          </w:p>
        </w:tc>
        <w:tc>
          <w:tcPr>
            <w:tcW w:w="1115" w:type="pct"/>
            <w:shd w:val="clear" w:color="auto" w:fill="DBE5F1"/>
            <w:vAlign w:val="center"/>
          </w:tcPr>
          <w:p w14:paraId="43203C19" w14:textId="77777777" w:rsidR="00E0060C" w:rsidRPr="00404DA5" w:rsidRDefault="00E0060C" w:rsidP="00BA3B1C">
            <w:pPr>
              <w:jc w:val="center"/>
              <w:rPr>
                <w:rFonts w:cs="Calibri"/>
                <w:sz w:val="16"/>
                <w:szCs w:val="18"/>
              </w:rPr>
            </w:pPr>
            <w:r w:rsidRPr="00404DA5">
              <w:rPr>
                <w:rFonts w:cs="Calibri"/>
                <w:sz w:val="16"/>
                <w:szCs w:val="18"/>
              </w:rPr>
              <w:t xml:space="preserve">Prognozowana całkowita wartość wskaźnika </w:t>
            </w:r>
          </w:p>
        </w:tc>
        <w:tc>
          <w:tcPr>
            <w:tcW w:w="1118" w:type="pct"/>
            <w:shd w:val="clear" w:color="auto" w:fill="DBE5F1"/>
            <w:vAlign w:val="center"/>
          </w:tcPr>
          <w:p w14:paraId="46AE697E" w14:textId="77777777" w:rsidR="00E0060C" w:rsidRPr="00404DA5" w:rsidRDefault="00E0060C" w:rsidP="00BA3B1C">
            <w:pPr>
              <w:jc w:val="center"/>
              <w:rPr>
                <w:rFonts w:cs="Calibri"/>
                <w:sz w:val="16"/>
                <w:szCs w:val="18"/>
              </w:rPr>
            </w:pPr>
            <w:r w:rsidRPr="00404DA5">
              <w:rPr>
                <w:rFonts w:cs="Calibri"/>
                <w:sz w:val="16"/>
                <w:szCs w:val="18"/>
              </w:rPr>
              <w:t>Prognozowany % realizacji wartości docelowej</w:t>
            </w:r>
          </w:p>
        </w:tc>
      </w:tr>
      <w:tr w:rsidR="00E0060C" w:rsidRPr="00FE43CD" w14:paraId="1C1F7D14" w14:textId="77777777" w:rsidTr="00BA3B1C">
        <w:trPr>
          <w:trHeight w:val="657"/>
        </w:trPr>
        <w:tc>
          <w:tcPr>
            <w:tcW w:w="826" w:type="pct"/>
            <w:shd w:val="clear" w:color="auto" w:fill="auto"/>
            <w:vAlign w:val="center"/>
          </w:tcPr>
          <w:p w14:paraId="441F4180" w14:textId="77777777" w:rsidR="00E0060C" w:rsidRPr="00404DA5" w:rsidRDefault="00E0060C" w:rsidP="005D32BD">
            <w:pPr>
              <w:jc w:val="center"/>
              <w:rPr>
                <w:rFonts w:cs="Calibri"/>
                <w:sz w:val="18"/>
                <w:szCs w:val="18"/>
              </w:rPr>
            </w:pPr>
            <w:r w:rsidRPr="00404DA5">
              <w:rPr>
                <w:rFonts w:cs="Calibri"/>
                <w:sz w:val="18"/>
                <w:szCs w:val="18"/>
              </w:rPr>
              <w:t>WP</w:t>
            </w:r>
          </w:p>
        </w:tc>
        <w:tc>
          <w:tcPr>
            <w:tcW w:w="1148" w:type="pct"/>
            <w:shd w:val="clear" w:color="auto" w:fill="auto"/>
            <w:vAlign w:val="center"/>
          </w:tcPr>
          <w:p w14:paraId="7E20B093" w14:textId="77777777" w:rsidR="00E0060C" w:rsidRPr="00404DA5" w:rsidRDefault="00E0060C" w:rsidP="00BA3B1C">
            <w:pPr>
              <w:rPr>
                <w:rFonts w:cs="Calibri"/>
                <w:sz w:val="18"/>
                <w:szCs w:val="18"/>
              </w:rPr>
            </w:pPr>
            <w:r w:rsidRPr="00404DA5">
              <w:rPr>
                <w:rFonts w:cs="Calibri"/>
                <w:sz w:val="18"/>
                <w:szCs w:val="18"/>
              </w:rPr>
              <w:t>Liczba jednostek wytwarzania energii elektrycznej</w:t>
            </w:r>
            <w:r w:rsidR="00E66B89">
              <w:rPr>
                <w:rFonts w:cs="Calibri"/>
                <w:sz w:val="18"/>
                <w:szCs w:val="18"/>
              </w:rPr>
              <w:t xml:space="preserve"> i </w:t>
            </w:r>
            <w:r w:rsidRPr="00404DA5">
              <w:rPr>
                <w:rFonts w:cs="Calibri"/>
                <w:sz w:val="18"/>
                <w:szCs w:val="18"/>
              </w:rPr>
              <w:t>cieplnej</w:t>
            </w:r>
            <w:r w:rsidR="00E66B89">
              <w:rPr>
                <w:rFonts w:cs="Calibri"/>
                <w:sz w:val="18"/>
                <w:szCs w:val="18"/>
              </w:rPr>
              <w:t xml:space="preserve"> w </w:t>
            </w:r>
            <w:r w:rsidRPr="00404DA5">
              <w:rPr>
                <w:rFonts w:cs="Calibri"/>
                <w:sz w:val="18"/>
                <w:szCs w:val="18"/>
              </w:rPr>
              <w:t>ramach kogeneracji</w:t>
            </w:r>
          </w:p>
        </w:tc>
        <w:tc>
          <w:tcPr>
            <w:tcW w:w="793" w:type="pct"/>
            <w:shd w:val="clear" w:color="auto" w:fill="auto"/>
            <w:vAlign w:val="center"/>
          </w:tcPr>
          <w:p w14:paraId="4722F8E1" w14:textId="77777777" w:rsidR="00E0060C" w:rsidRPr="00404DA5" w:rsidRDefault="00E0060C" w:rsidP="00BA3B1C">
            <w:pPr>
              <w:jc w:val="center"/>
              <w:rPr>
                <w:rFonts w:cs="Calibri"/>
                <w:sz w:val="18"/>
                <w:szCs w:val="18"/>
              </w:rPr>
            </w:pPr>
            <w:r w:rsidRPr="00404DA5">
              <w:rPr>
                <w:rFonts w:cs="Calibri"/>
                <w:sz w:val="18"/>
                <w:szCs w:val="18"/>
              </w:rPr>
              <w:t>13</w:t>
            </w:r>
          </w:p>
        </w:tc>
        <w:tc>
          <w:tcPr>
            <w:tcW w:w="1115" w:type="pct"/>
            <w:shd w:val="clear" w:color="auto" w:fill="auto"/>
            <w:vAlign w:val="center"/>
          </w:tcPr>
          <w:p w14:paraId="23B2A4C9" w14:textId="77777777" w:rsidR="00E0060C" w:rsidRPr="00404DA5" w:rsidRDefault="00E0060C" w:rsidP="00BA3B1C">
            <w:pPr>
              <w:jc w:val="center"/>
              <w:rPr>
                <w:rFonts w:cs="Calibri"/>
                <w:sz w:val="18"/>
                <w:szCs w:val="18"/>
              </w:rPr>
            </w:pPr>
            <w:r w:rsidRPr="00404DA5">
              <w:rPr>
                <w:rFonts w:cs="Calibri"/>
                <w:sz w:val="18"/>
                <w:szCs w:val="18"/>
              </w:rPr>
              <w:t>17</w:t>
            </w:r>
          </w:p>
        </w:tc>
        <w:tc>
          <w:tcPr>
            <w:tcW w:w="1118" w:type="pct"/>
            <w:shd w:val="clear" w:color="auto" w:fill="auto"/>
            <w:vAlign w:val="center"/>
          </w:tcPr>
          <w:p w14:paraId="17686CB8" w14:textId="77777777" w:rsidR="00E0060C" w:rsidRPr="00404DA5" w:rsidRDefault="00E0060C" w:rsidP="00BA3B1C">
            <w:pPr>
              <w:jc w:val="center"/>
              <w:rPr>
                <w:rFonts w:cs="Calibri"/>
                <w:sz w:val="18"/>
                <w:szCs w:val="18"/>
              </w:rPr>
            </w:pPr>
            <w:r w:rsidRPr="00404DA5">
              <w:rPr>
                <w:rFonts w:cs="Calibri"/>
                <w:sz w:val="18"/>
                <w:szCs w:val="18"/>
              </w:rPr>
              <w:t>127,3%</w:t>
            </w:r>
          </w:p>
        </w:tc>
      </w:tr>
      <w:tr w:rsidR="00E0060C" w:rsidRPr="00FE43CD" w14:paraId="6D0327A4" w14:textId="77777777" w:rsidTr="00BA3B1C">
        <w:trPr>
          <w:trHeight w:val="672"/>
        </w:trPr>
        <w:tc>
          <w:tcPr>
            <w:tcW w:w="826" w:type="pct"/>
            <w:shd w:val="clear" w:color="auto" w:fill="auto"/>
            <w:vAlign w:val="center"/>
          </w:tcPr>
          <w:p w14:paraId="7F0E1E83" w14:textId="77777777" w:rsidR="00E0060C" w:rsidRPr="00404DA5" w:rsidRDefault="00E0060C" w:rsidP="005D32BD">
            <w:pPr>
              <w:jc w:val="center"/>
              <w:rPr>
                <w:rFonts w:cs="Calibri"/>
                <w:sz w:val="18"/>
                <w:szCs w:val="18"/>
              </w:rPr>
            </w:pPr>
            <w:r w:rsidRPr="00404DA5">
              <w:rPr>
                <w:rFonts w:cs="Calibri"/>
                <w:sz w:val="18"/>
                <w:szCs w:val="18"/>
              </w:rPr>
              <w:t>WP</w:t>
            </w:r>
          </w:p>
        </w:tc>
        <w:tc>
          <w:tcPr>
            <w:tcW w:w="1148" w:type="pct"/>
            <w:shd w:val="clear" w:color="auto" w:fill="auto"/>
            <w:vAlign w:val="center"/>
          </w:tcPr>
          <w:p w14:paraId="5BB574E9" w14:textId="77777777" w:rsidR="00E0060C" w:rsidRPr="00404DA5" w:rsidRDefault="00E0060C" w:rsidP="00BA3B1C">
            <w:pPr>
              <w:rPr>
                <w:rFonts w:cs="Calibri"/>
                <w:sz w:val="18"/>
                <w:szCs w:val="18"/>
              </w:rPr>
            </w:pPr>
            <w:r w:rsidRPr="00404DA5">
              <w:rPr>
                <w:rFonts w:cs="Calibri"/>
                <w:sz w:val="18"/>
                <w:szCs w:val="18"/>
              </w:rPr>
              <w:t>Liczba przedsiębiorstw, które uzyskały wsparcie</w:t>
            </w:r>
          </w:p>
        </w:tc>
        <w:tc>
          <w:tcPr>
            <w:tcW w:w="793" w:type="pct"/>
            <w:shd w:val="clear" w:color="auto" w:fill="auto"/>
            <w:vAlign w:val="center"/>
          </w:tcPr>
          <w:p w14:paraId="5B52E915" w14:textId="77777777" w:rsidR="00E0060C" w:rsidRPr="00404DA5" w:rsidRDefault="00E0060C" w:rsidP="00BA3B1C">
            <w:pPr>
              <w:jc w:val="center"/>
              <w:rPr>
                <w:rFonts w:cs="Calibri"/>
                <w:sz w:val="18"/>
                <w:szCs w:val="18"/>
              </w:rPr>
            </w:pPr>
            <w:r w:rsidRPr="00404DA5">
              <w:rPr>
                <w:rFonts w:cs="Calibri"/>
                <w:sz w:val="18"/>
                <w:szCs w:val="18"/>
              </w:rPr>
              <w:t>13</w:t>
            </w:r>
          </w:p>
        </w:tc>
        <w:tc>
          <w:tcPr>
            <w:tcW w:w="1115" w:type="pct"/>
            <w:shd w:val="clear" w:color="auto" w:fill="auto"/>
            <w:vAlign w:val="center"/>
          </w:tcPr>
          <w:p w14:paraId="16C4ADB0" w14:textId="77777777" w:rsidR="00E0060C" w:rsidRPr="00404DA5" w:rsidRDefault="00E0060C" w:rsidP="00BA3B1C">
            <w:pPr>
              <w:jc w:val="center"/>
              <w:rPr>
                <w:rFonts w:cs="Calibri"/>
                <w:sz w:val="18"/>
                <w:szCs w:val="18"/>
              </w:rPr>
            </w:pPr>
            <w:r w:rsidRPr="00404DA5">
              <w:rPr>
                <w:rFonts w:cs="Calibri"/>
                <w:sz w:val="18"/>
                <w:szCs w:val="18"/>
              </w:rPr>
              <w:t>17</w:t>
            </w:r>
          </w:p>
        </w:tc>
        <w:tc>
          <w:tcPr>
            <w:tcW w:w="1118" w:type="pct"/>
            <w:shd w:val="clear" w:color="auto" w:fill="auto"/>
            <w:vAlign w:val="center"/>
          </w:tcPr>
          <w:p w14:paraId="1247F15D" w14:textId="77777777" w:rsidR="00E0060C" w:rsidRPr="00404DA5" w:rsidRDefault="00E0060C" w:rsidP="00BA3B1C">
            <w:pPr>
              <w:jc w:val="center"/>
              <w:rPr>
                <w:rFonts w:cs="Calibri"/>
                <w:sz w:val="18"/>
                <w:szCs w:val="18"/>
              </w:rPr>
            </w:pPr>
            <w:r w:rsidRPr="00404DA5">
              <w:rPr>
                <w:rFonts w:cs="Calibri"/>
                <w:sz w:val="18"/>
                <w:szCs w:val="18"/>
              </w:rPr>
              <w:t>127,3%</w:t>
            </w:r>
          </w:p>
        </w:tc>
      </w:tr>
      <w:tr w:rsidR="00E0060C" w:rsidRPr="00FE43CD" w14:paraId="1B76B466" w14:textId="77777777" w:rsidTr="00BA3B1C">
        <w:trPr>
          <w:trHeight w:val="672"/>
        </w:trPr>
        <w:tc>
          <w:tcPr>
            <w:tcW w:w="826" w:type="pct"/>
            <w:shd w:val="clear" w:color="auto" w:fill="auto"/>
            <w:vAlign w:val="center"/>
          </w:tcPr>
          <w:p w14:paraId="2D14BAE3" w14:textId="77777777" w:rsidR="00E0060C" w:rsidRPr="00404DA5" w:rsidRDefault="00E0060C" w:rsidP="005D32BD">
            <w:pPr>
              <w:jc w:val="center"/>
              <w:rPr>
                <w:rFonts w:cs="Calibri"/>
                <w:sz w:val="18"/>
                <w:szCs w:val="18"/>
              </w:rPr>
            </w:pPr>
            <w:r w:rsidRPr="00404DA5">
              <w:rPr>
                <w:rFonts w:cs="Calibri"/>
                <w:sz w:val="18"/>
                <w:szCs w:val="18"/>
              </w:rPr>
              <w:t>WP</w:t>
            </w:r>
          </w:p>
        </w:tc>
        <w:tc>
          <w:tcPr>
            <w:tcW w:w="1148" w:type="pct"/>
            <w:shd w:val="clear" w:color="auto" w:fill="auto"/>
            <w:vAlign w:val="center"/>
          </w:tcPr>
          <w:p w14:paraId="0F525722" w14:textId="77777777" w:rsidR="00E0060C" w:rsidRPr="00404DA5" w:rsidRDefault="00E0060C" w:rsidP="00BA3B1C">
            <w:pPr>
              <w:rPr>
                <w:rFonts w:cs="Calibri"/>
                <w:sz w:val="18"/>
                <w:szCs w:val="18"/>
              </w:rPr>
            </w:pPr>
            <w:r w:rsidRPr="00404DA5">
              <w:rPr>
                <w:rFonts w:cs="Calibri"/>
                <w:bCs/>
                <w:sz w:val="18"/>
                <w:szCs w:val="18"/>
              </w:rPr>
              <w:t>Dodatkowa zdolność wytwarzania energii cieplnej</w:t>
            </w:r>
            <w:r w:rsidR="00E66B89">
              <w:rPr>
                <w:rFonts w:cs="Calibri"/>
                <w:bCs/>
                <w:sz w:val="18"/>
                <w:szCs w:val="18"/>
              </w:rPr>
              <w:t xml:space="preserve"> i </w:t>
            </w:r>
            <w:r w:rsidRPr="00404DA5">
              <w:rPr>
                <w:rFonts w:cs="Calibri"/>
                <w:bCs/>
                <w:sz w:val="18"/>
                <w:szCs w:val="18"/>
              </w:rPr>
              <w:t>elektrycznej</w:t>
            </w:r>
            <w:r w:rsidR="00E66B89">
              <w:rPr>
                <w:rFonts w:cs="Calibri"/>
                <w:bCs/>
                <w:sz w:val="18"/>
                <w:szCs w:val="18"/>
              </w:rPr>
              <w:t xml:space="preserve"> w </w:t>
            </w:r>
            <w:r w:rsidRPr="00404DA5">
              <w:rPr>
                <w:rFonts w:cs="Calibri"/>
                <w:bCs/>
                <w:sz w:val="18"/>
                <w:szCs w:val="18"/>
              </w:rPr>
              <w:t>warunkach kogeneracji</w:t>
            </w:r>
          </w:p>
        </w:tc>
        <w:tc>
          <w:tcPr>
            <w:tcW w:w="793" w:type="pct"/>
            <w:shd w:val="clear" w:color="auto" w:fill="auto"/>
            <w:vAlign w:val="center"/>
          </w:tcPr>
          <w:p w14:paraId="64E55D76" w14:textId="77777777" w:rsidR="00E0060C" w:rsidRPr="00404DA5" w:rsidRDefault="00E0060C" w:rsidP="00BA3B1C">
            <w:pPr>
              <w:jc w:val="center"/>
              <w:rPr>
                <w:rFonts w:cs="Calibri"/>
                <w:sz w:val="18"/>
                <w:szCs w:val="18"/>
              </w:rPr>
            </w:pPr>
            <w:r w:rsidRPr="00404DA5">
              <w:rPr>
                <w:rFonts w:cs="Calibri"/>
                <w:sz w:val="18"/>
                <w:szCs w:val="18"/>
              </w:rPr>
              <w:t>12,52</w:t>
            </w:r>
          </w:p>
        </w:tc>
        <w:tc>
          <w:tcPr>
            <w:tcW w:w="1115" w:type="pct"/>
            <w:shd w:val="clear" w:color="auto" w:fill="auto"/>
            <w:vAlign w:val="center"/>
          </w:tcPr>
          <w:p w14:paraId="4E3F54DA" w14:textId="77777777" w:rsidR="00E0060C" w:rsidRPr="00404DA5" w:rsidRDefault="00E0060C" w:rsidP="00BA3B1C">
            <w:pPr>
              <w:jc w:val="center"/>
              <w:rPr>
                <w:rFonts w:cs="Calibri"/>
                <w:sz w:val="18"/>
                <w:szCs w:val="18"/>
              </w:rPr>
            </w:pPr>
            <w:r w:rsidRPr="00404DA5">
              <w:rPr>
                <w:rFonts w:cs="Calibri"/>
                <w:sz w:val="18"/>
                <w:szCs w:val="18"/>
              </w:rPr>
              <w:t>8</w:t>
            </w:r>
          </w:p>
        </w:tc>
        <w:tc>
          <w:tcPr>
            <w:tcW w:w="1118" w:type="pct"/>
            <w:shd w:val="clear" w:color="auto" w:fill="auto"/>
            <w:vAlign w:val="center"/>
          </w:tcPr>
          <w:p w14:paraId="6EA718FE" w14:textId="77777777" w:rsidR="00E0060C" w:rsidRPr="00404DA5" w:rsidRDefault="00E0060C" w:rsidP="00BA3B1C">
            <w:pPr>
              <w:jc w:val="center"/>
              <w:rPr>
                <w:rFonts w:cs="Calibri"/>
                <w:sz w:val="18"/>
                <w:szCs w:val="18"/>
              </w:rPr>
            </w:pPr>
            <w:r w:rsidRPr="00404DA5">
              <w:rPr>
                <w:rFonts w:cs="Calibri"/>
                <w:sz w:val="18"/>
                <w:szCs w:val="18"/>
              </w:rPr>
              <w:t>60,8%</w:t>
            </w:r>
          </w:p>
        </w:tc>
      </w:tr>
      <w:tr w:rsidR="00E0060C" w:rsidRPr="00FE43CD" w14:paraId="2B5ED5AC" w14:textId="77777777" w:rsidTr="00BA3B1C">
        <w:trPr>
          <w:trHeight w:val="672"/>
        </w:trPr>
        <w:tc>
          <w:tcPr>
            <w:tcW w:w="826" w:type="pct"/>
            <w:shd w:val="clear" w:color="auto" w:fill="auto"/>
            <w:vAlign w:val="center"/>
          </w:tcPr>
          <w:p w14:paraId="33F364BA" w14:textId="77777777" w:rsidR="00E0060C" w:rsidRPr="00404DA5" w:rsidRDefault="00E0060C" w:rsidP="005D32BD">
            <w:pPr>
              <w:jc w:val="center"/>
              <w:rPr>
                <w:rFonts w:cs="Calibri"/>
                <w:sz w:val="18"/>
                <w:szCs w:val="18"/>
              </w:rPr>
            </w:pPr>
            <w:r w:rsidRPr="00404DA5">
              <w:rPr>
                <w:rFonts w:cs="Calibri"/>
                <w:sz w:val="18"/>
                <w:szCs w:val="18"/>
              </w:rPr>
              <w:t>WR</w:t>
            </w:r>
          </w:p>
        </w:tc>
        <w:tc>
          <w:tcPr>
            <w:tcW w:w="1148" w:type="pct"/>
            <w:shd w:val="clear" w:color="auto" w:fill="auto"/>
            <w:vAlign w:val="center"/>
          </w:tcPr>
          <w:p w14:paraId="1B6C0BD7" w14:textId="77777777" w:rsidR="00E0060C" w:rsidRPr="00404DA5" w:rsidRDefault="00E0060C" w:rsidP="00BA3B1C">
            <w:pPr>
              <w:rPr>
                <w:rFonts w:cs="Calibri"/>
                <w:sz w:val="18"/>
                <w:szCs w:val="18"/>
              </w:rPr>
            </w:pPr>
            <w:r w:rsidRPr="00404DA5">
              <w:rPr>
                <w:rFonts w:cs="Calibri"/>
                <w:sz w:val="18"/>
                <w:szCs w:val="18"/>
              </w:rPr>
              <w:t>Szacowany roczny spadek emisji gazów cieplarnianych</w:t>
            </w:r>
          </w:p>
        </w:tc>
        <w:tc>
          <w:tcPr>
            <w:tcW w:w="793" w:type="pct"/>
            <w:shd w:val="clear" w:color="auto" w:fill="auto"/>
            <w:vAlign w:val="center"/>
          </w:tcPr>
          <w:p w14:paraId="1B0EE989" w14:textId="77777777" w:rsidR="00E0060C" w:rsidRPr="00404DA5" w:rsidRDefault="00E0060C" w:rsidP="00BA3B1C">
            <w:pPr>
              <w:jc w:val="center"/>
              <w:rPr>
                <w:rFonts w:cs="Calibri"/>
                <w:sz w:val="18"/>
                <w:szCs w:val="18"/>
              </w:rPr>
            </w:pPr>
            <w:r w:rsidRPr="00404DA5">
              <w:rPr>
                <w:rFonts w:cs="Calibri"/>
                <w:sz w:val="18"/>
                <w:szCs w:val="18"/>
              </w:rPr>
              <w:t>5820</w:t>
            </w:r>
          </w:p>
        </w:tc>
        <w:tc>
          <w:tcPr>
            <w:tcW w:w="1115" w:type="pct"/>
            <w:shd w:val="clear" w:color="auto" w:fill="auto"/>
            <w:vAlign w:val="center"/>
          </w:tcPr>
          <w:p w14:paraId="2621E99D" w14:textId="77777777" w:rsidR="00E0060C" w:rsidRPr="00404DA5" w:rsidRDefault="00E0060C" w:rsidP="00BA3B1C">
            <w:pPr>
              <w:jc w:val="center"/>
              <w:rPr>
                <w:rFonts w:cs="Calibri"/>
                <w:sz w:val="18"/>
                <w:szCs w:val="18"/>
              </w:rPr>
            </w:pPr>
            <w:r w:rsidRPr="00404DA5">
              <w:rPr>
                <w:rFonts w:cs="Calibri"/>
                <w:sz w:val="18"/>
                <w:szCs w:val="18"/>
              </w:rPr>
              <w:t>15 331</w:t>
            </w:r>
          </w:p>
        </w:tc>
        <w:tc>
          <w:tcPr>
            <w:tcW w:w="1118" w:type="pct"/>
            <w:shd w:val="clear" w:color="auto" w:fill="auto"/>
            <w:vAlign w:val="center"/>
          </w:tcPr>
          <w:p w14:paraId="7E0BF264" w14:textId="77777777" w:rsidR="00E0060C" w:rsidRPr="00404DA5" w:rsidRDefault="00E0060C" w:rsidP="00BA3B1C">
            <w:pPr>
              <w:jc w:val="center"/>
              <w:rPr>
                <w:rFonts w:cs="Calibri"/>
                <w:sz w:val="18"/>
                <w:szCs w:val="18"/>
              </w:rPr>
            </w:pPr>
            <w:r w:rsidRPr="00404DA5">
              <w:rPr>
                <w:rFonts w:cs="Calibri"/>
                <w:sz w:val="18"/>
                <w:szCs w:val="18"/>
              </w:rPr>
              <w:t>263,4%</w:t>
            </w:r>
          </w:p>
        </w:tc>
      </w:tr>
    </w:tbl>
    <w:p w14:paraId="7037FE53" w14:textId="77777777" w:rsidR="00E0060C" w:rsidRPr="002A5FDF" w:rsidRDefault="00E0060C"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 xml:space="preserve">analizy własne. </w:t>
      </w:r>
    </w:p>
    <w:p w14:paraId="2F24A400" w14:textId="77777777" w:rsidR="00E0060C" w:rsidRPr="00404DA5" w:rsidRDefault="00E0060C" w:rsidP="00E0060C">
      <w:pPr>
        <w:rPr>
          <w:rFonts w:cs="Calibri"/>
          <w:szCs w:val="20"/>
        </w:rPr>
      </w:pPr>
      <w:r w:rsidRPr="00404DA5">
        <w:rPr>
          <w:rFonts w:cs="Calibri"/>
          <w:szCs w:val="20"/>
        </w:rPr>
        <w:t>Mimo, iż według przeprowadzonych prognoz opartych</w:t>
      </w:r>
      <w:r w:rsidR="00E66B89">
        <w:rPr>
          <w:rFonts w:cs="Calibri"/>
          <w:szCs w:val="20"/>
        </w:rPr>
        <w:t xml:space="preserve"> o </w:t>
      </w:r>
      <w:r w:rsidRPr="00404DA5">
        <w:rPr>
          <w:rFonts w:cs="Calibri"/>
          <w:szCs w:val="20"/>
        </w:rPr>
        <w:t>koszt jednostkowy trzy wskaźniki zostaną osiągnięte, nadal istnieje ryzyko, iż przeprowadzane konkursy nie pozwolą na wyłonienie projektów, które zostaną następnie zrealizowane. Na obecnym etapie wdrażania nie można jednoznacznie stwierdzić, czy docelowe wartości wymagają zmiany. Kluczowym czynnikiem warunkującym osiągnięcie wyznaczonych</w:t>
      </w:r>
      <w:r w:rsidR="00E66B89">
        <w:rPr>
          <w:rFonts w:cs="Calibri"/>
          <w:szCs w:val="20"/>
        </w:rPr>
        <w:t xml:space="preserve"> w </w:t>
      </w:r>
      <w:r w:rsidRPr="00404DA5">
        <w:rPr>
          <w:rFonts w:cs="Calibri"/>
          <w:szCs w:val="20"/>
        </w:rPr>
        <w:t xml:space="preserve">Programie celów, będą wyniki trwającego obecnie konkursu, które wskażą, czy deklaracje potencjalnych beneficjentów dotyczące chęci złożenia wniosku mają przełożenie na faktycznie złożone wnioski. Dlatego też na obecnym etapie wdrażania nie ma uzasadnienia dla zmiany wartości docelowych wskaźników. </w:t>
      </w:r>
    </w:p>
    <w:p w14:paraId="2BB45291" w14:textId="77777777" w:rsidR="00E0060C" w:rsidRPr="00FE43CD" w:rsidRDefault="00E0060C" w:rsidP="00E0060C">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3FD051DA" w14:textId="77777777" w:rsidR="00E0060C" w:rsidRPr="00801DB4" w:rsidRDefault="00E0060C" w:rsidP="00E0060C">
      <w:pPr>
        <w:rPr>
          <w:szCs w:val="20"/>
        </w:rPr>
      </w:pPr>
      <w:r w:rsidRPr="00404DA5">
        <w:rPr>
          <w:rFonts w:cs="Calibri"/>
          <w:szCs w:val="20"/>
        </w:rPr>
        <w:t>Z uwagi na niski poziom kontraktacji oraz niezadowalający poziom realizacji wskaźników, należy podjąć starania, aby osiągnąć cele sformułowane</w:t>
      </w:r>
      <w:r w:rsidR="00E66B89">
        <w:rPr>
          <w:rFonts w:cs="Calibri"/>
          <w:szCs w:val="20"/>
        </w:rPr>
        <w:t xml:space="preserve"> w </w:t>
      </w:r>
      <w:r w:rsidRPr="00404DA5">
        <w:rPr>
          <w:rFonts w:cs="Calibri"/>
          <w:szCs w:val="20"/>
        </w:rPr>
        <w:t>Programie, dotyczące wsparcia projektów związanych</w:t>
      </w:r>
      <w:r w:rsidR="00E66B89">
        <w:rPr>
          <w:rFonts w:cs="Calibri"/>
          <w:szCs w:val="20"/>
        </w:rPr>
        <w:t xml:space="preserve"> </w:t>
      </w:r>
      <w:r w:rsidR="00E66B89">
        <w:rPr>
          <w:rFonts w:cs="Calibri"/>
          <w:szCs w:val="20"/>
        </w:rPr>
        <w:lastRenderedPageBreak/>
        <w:t>z </w:t>
      </w:r>
      <w:r w:rsidRPr="00404DA5">
        <w:rPr>
          <w:rFonts w:cs="Calibri"/>
          <w:szCs w:val="20"/>
        </w:rPr>
        <w:t>wytwarzaniem energii</w:t>
      </w:r>
      <w:r w:rsidR="00E66B89">
        <w:rPr>
          <w:rFonts w:cs="Calibri"/>
          <w:szCs w:val="20"/>
        </w:rPr>
        <w:t xml:space="preserve"> w </w:t>
      </w:r>
      <w:r w:rsidRPr="00404DA5">
        <w:rPr>
          <w:rFonts w:cs="Calibri"/>
          <w:szCs w:val="20"/>
        </w:rPr>
        <w:t>kogeneracji. Pozytywnie należy ocenić podjęte środki zaradcze</w:t>
      </w:r>
      <w:r w:rsidR="00E66B89">
        <w:rPr>
          <w:rFonts w:cs="Calibri"/>
          <w:szCs w:val="20"/>
        </w:rPr>
        <w:t xml:space="preserve"> w </w:t>
      </w:r>
      <w:r w:rsidRPr="00404DA5">
        <w:rPr>
          <w:rFonts w:cs="Calibri"/>
          <w:szCs w:val="20"/>
        </w:rPr>
        <w:t>postaci przeprowadzenia kolejnego naboru</w:t>
      </w:r>
      <w:r w:rsidR="00E66B89">
        <w:rPr>
          <w:rFonts w:cs="Calibri"/>
          <w:szCs w:val="20"/>
        </w:rPr>
        <w:t xml:space="preserve"> w </w:t>
      </w:r>
      <w:r w:rsidRPr="00404DA5">
        <w:rPr>
          <w:rFonts w:cs="Calibri"/>
          <w:szCs w:val="20"/>
        </w:rPr>
        <w:t>2019 r. oraz dopuszczenie możliwości wsparcia inwestycji zakładającej produkcję energii</w:t>
      </w:r>
      <w:r w:rsidR="00E66B89">
        <w:rPr>
          <w:rFonts w:cs="Calibri"/>
          <w:szCs w:val="20"/>
        </w:rPr>
        <w:t xml:space="preserve"> w </w:t>
      </w:r>
      <w:r w:rsidRPr="00404DA5">
        <w:rPr>
          <w:rFonts w:cs="Calibri"/>
          <w:szCs w:val="20"/>
        </w:rPr>
        <w:t>skojarzeniu</w:t>
      </w:r>
      <w:r w:rsidR="00E66B89">
        <w:rPr>
          <w:rFonts w:cs="Calibri"/>
          <w:szCs w:val="20"/>
        </w:rPr>
        <w:t xml:space="preserve"> z </w:t>
      </w:r>
      <w:r w:rsidRPr="00404DA5">
        <w:rPr>
          <w:rFonts w:cs="Calibri"/>
          <w:szCs w:val="20"/>
        </w:rPr>
        <w:t xml:space="preserve">wykorzystaniem odnawialnych źródeł energii. </w:t>
      </w:r>
      <w:r w:rsidRPr="00404DA5">
        <w:rPr>
          <w:rFonts w:cs="Calibri"/>
          <w:b/>
          <w:szCs w:val="20"/>
        </w:rPr>
        <w:t>REKOMENDACJA:</w:t>
      </w:r>
      <w:r w:rsidR="00E66B89">
        <w:rPr>
          <w:rFonts w:cs="Calibri"/>
          <w:b/>
          <w:szCs w:val="20"/>
        </w:rPr>
        <w:t xml:space="preserve"> z </w:t>
      </w:r>
      <w:r w:rsidRPr="00404DA5">
        <w:rPr>
          <w:rFonts w:cs="Calibri"/>
          <w:b/>
          <w:szCs w:val="20"/>
        </w:rPr>
        <w:t>uwagi na to, iż kwota przeznaczona na konkurs nie pozwoli na osiągnięcie docelowych wartości wskaźników, rekomenduje się przeprowadzenie kolejnego naboru</w:t>
      </w:r>
      <w:r w:rsidR="00E66B89">
        <w:rPr>
          <w:rFonts w:cs="Calibri"/>
          <w:b/>
          <w:szCs w:val="20"/>
        </w:rPr>
        <w:t xml:space="preserve"> w </w:t>
      </w:r>
      <w:r w:rsidRPr="00404DA5">
        <w:rPr>
          <w:rFonts w:cs="Calibri"/>
          <w:b/>
          <w:szCs w:val="20"/>
        </w:rPr>
        <w:t>2019 lub na początku 2020 r., wykorzystującego pozostałą dostępną alokację na Działanie wraz</w:t>
      </w:r>
      <w:r w:rsidR="00E66B89">
        <w:rPr>
          <w:rFonts w:cs="Calibri"/>
          <w:b/>
          <w:szCs w:val="20"/>
        </w:rPr>
        <w:t xml:space="preserve"> z </w:t>
      </w:r>
      <w:r w:rsidRPr="00404DA5">
        <w:rPr>
          <w:rFonts w:cs="Calibri"/>
          <w:b/>
          <w:szCs w:val="20"/>
        </w:rPr>
        <w:t>rezerwą wykonania (36,6 mln zł).</w:t>
      </w:r>
      <w:r w:rsidRPr="00404DA5">
        <w:rPr>
          <w:rFonts w:cs="Calibri"/>
          <w:szCs w:val="20"/>
        </w:rPr>
        <w:t xml:space="preserve"> Jak wynika</w:t>
      </w:r>
      <w:r w:rsidR="00E66B89">
        <w:rPr>
          <w:rFonts w:cs="Calibri"/>
          <w:szCs w:val="20"/>
        </w:rPr>
        <w:t xml:space="preserve"> z </w:t>
      </w:r>
      <w:r w:rsidRPr="00404DA5">
        <w:rPr>
          <w:rFonts w:cs="Calibri"/>
          <w:szCs w:val="20"/>
        </w:rPr>
        <w:t>przeprowadzonych prognoz, kwota ta wystarczy, aby zrealizować trzy</w:t>
      </w:r>
      <w:r w:rsidR="00E66B89">
        <w:rPr>
          <w:rFonts w:cs="Calibri"/>
          <w:szCs w:val="20"/>
        </w:rPr>
        <w:t xml:space="preserve"> z </w:t>
      </w:r>
      <w:r w:rsidRPr="00404DA5">
        <w:rPr>
          <w:rFonts w:cs="Calibri"/>
          <w:szCs w:val="20"/>
        </w:rPr>
        <w:t>czterech wskaźników. Decyzja dotycząca ewentualnych zmian wartości docelowych powinna zostać podjęta po rozstrzygnięciu trwającego konkursu, tj. na początku III kwartału 2019 r.</w:t>
      </w:r>
      <w:r w:rsidR="00E66B89">
        <w:rPr>
          <w:rFonts w:cs="Calibri"/>
          <w:szCs w:val="20"/>
        </w:rPr>
        <w:t xml:space="preserve"> W </w:t>
      </w:r>
      <w:r w:rsidRPr="00404DA5">
        <w:rPr>
          <w:rFonts w:cs="Calibri"/>
          <w:szCs w:val="20"/>
        </w:rPr>
        <w:t>celu zwiększenia szansy na pozytywne rozstrzygnięcie przeprowadzanych konkursów, zaleca się przeprowadzenie spotkań</w:t>
      </w:r>
      <w:r w:rsidR="00E66B89">
        <w:rPr>
          <w:rFonts w:cs="Calibri"/>
          <w:szCs w:val="20"/>
        </w:rPr>
        <w:t xml:space="preserve"> i </w:t>
      </w:r>
      <w:r w:rsidRPr="00404DA5">
        <w:rPr>
          <w:rFonts w:cs="Calibri"/>
          <w:szCs w:val="20"/>
        </w:rPr>
        <w:t>wydarzeń informacyjnych, mających na celu wskazanie korzyści płynących</w:t>
      </w:r>
      <w:r w:rsidR="00E66B89">
        <w:rPr>
          <w:rFonts w:cs="Calibri"/>
          <w:szCs w:val="20"/>
        </w:rPr>
        <w:t xml:space="preserve"> z </w:t>
      </w:r>
      <w:r w:rsidRPr="00404DA5">
        <w:rPr>
          <w:rFonts w:cs="Calibri"/>
          <w:szCs w:val="20"/>
        </w:rPr>
        <w:t>produkcji energii</w:t>
      </w:r>
      <w:r w:rsidR="00E66B89">
        <w:rPr>
          <w:rFonts w:cs="Calibri"/>
          <w:szCs w:val="20"/>
        </w:rPr>
        <w:t xml:space="preserve"> w </w:t>
      </w:r>
      <w:r w:rsidRPr="00404DA5">
        <w:rPr>
          <w:rFonts w:cs="Calibri"/>
          <w:szCs w:val="20"/>
        </w:rPr>
        <w:t>kogeneracji oraz wyjaśnienie ewentualnych niejasności związanych</w:t>
      </w:r>
      <w:r w:rsidR="00E66B89">
        <w:rPr>
          <w:rFonts w:cs="Calibri"/>
          <w:szCs w:val="20"/>
        </w:rPr>
        <w:t xml:space="preserve"> z </w:t>
      </w:r>
      <w:r w:rsidRPr="00404DA5">
        <w:rPr>
          <w:rFonts w:cs="Calibri"/>
          <w:szCs w:val="20"/>
        </w:rPr>
        <w:t>aplikowaniem</w:t>
      </w:r>
      <w:r w:rsidR="00E66B89">
        <w:rPr>
          <w:rFonts w:cs="Calibri"/>
          <w:szCs w:val="20"/>
        </w:rPr>
        <w:t xml:space="preserve"> o </w:t>
      </w:r>
      <w:r w:rsidRPr="00404DA5">
        <w:rPr>
          <w:rFonts w:cs="Calibri"/>
          <w:szCs w:val="20"/>
        </w:rPr>
        <w:t>wsparcie (wymagania formalne, potrzebna dokumentacja, kryteria oceny merytorycznej).</w:t>
      </w:r>
      <w:r w:rsidRPr="00404DA5" w:rsidDel="00D445DA">
        <w:rPr>
          <w:rFonts w:cs="Calibri"/>
          <w:szCs w:val="20"/>
        </w:rPr>
        <w:t xml:space="preserve"> </w:t>
      </w:r>
    </w:p>
    <w:p w14:paraId="35E0F57B" w14:textId="77777777" w:rsidR="00724F83" w:rsidRPr="00436D27" w:rsidRDefault="00724F83" w:rsidP="00410B29">
      <w:pPr>
        <w:pStyle w:val="Nagwek3"/>
      </w:pPr>
      <w:r w:rsidRPr="00436D27">
        <w:t>Priorytet inwestycyjny nr 6e (Działanie 2.14)</w:t>
      </w:r>
    </w:p>
    <w:p w14:paraId="12364EFF" w14:textId="77777777" w:rsidR="00370D80" w:rsidRPr="00436D27" w:rsidRDefault="00370D80" w:rsidP="00370D80">
      <w:pPr>
        <w:pStyle w:val="Nagwek4"/>
        <w:numPr>
          <w:ilvl w:val="0"/>
          <w:numId w:val="0"/>
        </w:numPr>
        <w:rPr>
          <w:rFonts w:ascii="Lato" w:eastAsia="Calibri" w:hAnsi="Lato"/>
        </w:rPr>
      </w:pPr>
      <w:r w:rsidRPr="00436D27">
        <w:rPr>
          <w:rFonts w:ascii="Lato" w:eastAsia="Calibri" w:hAnsi="Lato"/>
        </w:rPr>
        <w:t>Ocena postępów</w:t>
      </w:r>
      <w:r w:rsidR="00E66B89">
        <w:rPr>
          <w:rFonts w:ascii="Lato" w:eastAsia="Calibri" w:hAnsi="Lato"/>
        </w:rPr>
        <w:t xml:space="preserve"> w </w:t>
      </w:r>
      <w:r w:rsidRPr="00436D27">
        <w:rPr>
          <w:rFonts w:ascii="Lato" w:eastAsia="Calibri" w:hAnsi="Lato"/>
        </w:rPr>
        <w:t xml:space="preserve">realizacji PI </w:t>
      </w:r>
    </w:p>
    <w:p w14:paraId="488141E9" w14:textId="77777777" w:rsidR="00370D80" w:rsidRPr="00436D27" w:rsidRDefault="00370D80" w:rsidP="006E34DC">
      <w:pPr>
        <w:pStyle w:val="Legenda"/>
        <w:spacing w:after="0"/>
      </w:pPr>
      <w:bookmarkStart w:id="91" w:name="_Toc8824141"/>
      <w:r w:rsidRPr="00436D27">
        <w:t xml:space="preserve">Tabela </w:t>
      </w:r>
      <w:r>
        <w:fldChar w:fldCharType="begin"/>
      </w:r>
      <w:r>
        <w:instrText xml:space="preserve"> SEQ Tabela \* ARABIC </w:instrText>
      </w:r>
      <w:r>
        <w:fldChar w:fldCharType="separate"/>
      </w:r>
      <w:r w:rsidR="00763345">
        <w:rPr>
          <w:noProof/>
        </w:rPr>
        <w:t>30</w:t>
      </w:r>
      <w:r>
        <w:fldChar w:fldCharType="end"/>
      </w:r>
      <w:r w:rsidRPr="00436D27">
        <w:t xml:space="preserve"> Wskaźniki produktu (PI 6e) – postęp rzeczowy</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848"/>
        <w:gridCol w:w="1544"/>
        <w:gridCol w:w="1213"/>
        <w:gridCol w:w="875"/>
        <w:gridCol w:w="916"/>
        <w:gridCol w:w="917"/>
        <w:gridCol w:w="916"/>
        <w:gridCol w:w="917"/>
      </w:tblGrid>
      <w:tr w:rsidR="00370D80" w:rsidRPr="00436D27" w14:paraId="428D55C0" w14:textId="77777777" w:rsidTr="00370D80">
        <w:trPr>
          <w:tblHeader/>
        </w:trPr>
        <w:tc>
          <w:tcPr>
            <w:tcW w:w="0" w:type="auto"/>
            <w:shd w:val="clear" w:color="auto" w:fill="DBE5F1"/>
            <w:vAlign w:val="center"/>
          </w:tcPr>
          <w:p w14:paraId="21CA671B" w14:textId="77777777" w:rsidR="00370D80" w:rsidRPr="00404DA5" w:rsidRDefault="00370D80" w:rsidP="00370D80">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6CE23A04" w14:textId="77777777" w:rsidR="00370D80" w:rsidRPr="00404DA5" w:rsidRDefault="00370D80" w:rsidP="00370D80">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3DD8A909" w14:textId="77777777" w:rsidR="00370D80" w:rsidRPr="00404DA5" w:rsidRDefault="00370D80" w:rsidP="00370D80">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3BD9823B" w14:textId="77777777" w:rsidR="00370D80" w:rsidRPr="00404DA5" w:rsidRDefault="00370D80" w:rsidP="00370D80">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2265E19C" w14:textId="77777777" w:rsidR="00370D80" w:rsidRPr="00404DA5" w:rsidRDefault="00370D80" w:rsidP="00370D80">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398CDEC9" w14:textId="77777777" w:rsidR="00370D80" w:rsidRPr="00404DA5" w:rsidRDefault="00370D80" w:rsidP="00370D80">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6C4B98F0" w14:textId="77777777" w:rsidR="00370D80" w:rsidRPr="00404DA5" w:rsidRDefault="00370D80" w:rsidP="00370D80">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2B3719D0" w14:textId="77777777" w:rsidR="00370D80" w:rsidRPr="00404DA5" w:rsidRDefault="00370D80" w:rsidP="00370D80">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7BE60651" w14:textId="77777777" w:rsidR="00370D80" w:rsidRPr="00404DA5" w:rsidRDefault="00370D80" w:rsidP="00370D80">
            <w:pPr>
              <w:jc w:val="center"/>
              <w:rPr>
                <w:rFonts w:cs="Calibri"/>
                <w:sz w:val="18"/>
                <w:szCs w:val="18"/>
              </w:rPr>
            </w:pPr>
            <w:r w:rsidRPr="00404DA5">
              <w:rPr>
                <w:rFonts w:cs="Calibri"/>
                <w:sz w:val="18"/>
                <w:szCs w:val="18"/>
              </w:rPr>
              <w:t>% realizacji wartości docelowej (wg WoP)</w:t>
            </w:r>
          </w:p>
        </w:tc>
      </w:tr>
      <w:tr w:rsidR="00370D80" w:rsidRPr="00436D27" w14:paraId="0F6D512A" w14:textId="77777777" w:rsidTr="00370D80">
        <w:tc>
          <w:tcPr>
            <w:tcW w:w="0" w:type="auto"/>
            <w:shd w:val="clear" w:color="auto" w:fill="auto"/>
            <w:vAlign w:val="center"/>
          </w:tcPr>
          <w:p w14:paraId="431F7832" w14:textId="77777777" w:rsidR="00370D80" w:rsidRPr="00404DA5" w:rsidRDefault="00370D80" w:rsidP="00370D80">
            <w:pPr>
              <w:jc w:val="center"/>
              <w:rPr>
                <w:rFonts w:cs="Calibri"/>
                <w:b/>
                <w:sz w:val="18"/>
                <w:szCs w:val="18"/>
              </w:rPr>
            </w:pPr>
            <w:r w:rsidRPr="00404DA5">
              <w:rPr>
                <w:rFonts w:cs="Calibri"/>
                <w:sz w:val="18"/>
                <w:szCs w:val="18"/>
                <w:lang w:eastAsia="en-US"/>
              </w:rPr>
              <w:t>WP</w:t>
            </w:r>
          </w:p>
        </w:tc>
        <w:tc>
          <w:tcPr>
            <w:tcW w:w="0" w:type="auto"/>
            <w:shd w:val="clear" w:color="auto" w:fill="auto"/>
            <w:vAlign w:val="center"/>
          </w:tcPr>
          <w:p w14:paraId="29530103"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2.14</w:t>
            </w:r>
          </w:p>
        </w:tc>
        <w:tc>
          <w:tcPr>
            <w:tcW w:w="0" w:type="auto"/>
            <w:shd w:val="clear" w:color="auto" w:fill="auto"/>
            <w:vAlign w:val="center"/>
          </w:tcPr>
          <w:p w14:paraId="705AAAAD" w14:textId="77777777" w:rsidR="00370D80" w:rsidRPr="003B45D4" w:rsidRDefault="00370D80" w:rsidP="00370D80">
            <w:pPr>
              <w:jc w:val="left"/>
              <w:rPr>
                <w:rFonts w:cs="Calibri"/>
                <w:b/>
                <w:sz w:val="18"/>
                <w:szCs w:val="18"/>
              </w:rPr>
            </w:pPr>
            <w:r w:rsidRPr="003B45D4">
              <w:rPr>
                <w:rFonts w:cs="Calibri"/>
                <w:color w:val="000000"/>
                <w:sz w:val="18"/>
                <w:szCs w:val="18"/>
                <w:lang w:eastAsia="en-US"/>
              </w:rPr>
              <w:t>Liczba zmodernizowanych źródeł ciepła</w:t>
            </w:r>
          </w:p>
        </w:tc>
        <w:tc>
          <w:tcPr>
            <w:tcW w:w="0" w:type="auto"/>
            <w:shd w:val="clear" w:color="auto" w:fill="auto"/>
            <w:vAlign w:val="center"/>
          </w:tcPr>
          <w:p w14:paraId="61529FD6"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szt.</w:t>
            </w:r>
          </w:p>
        </w:tc>
        <w:tc>
          <w:tcPr>
            <w:tcW w:w="0" w:type="auto"/>
            <w:shd w:val="clear" w:color="auto" w:fill="auto"/>
            <w:vAlign w:val="center"/>
          </w:tcPr>
          <w:p w14:paraId="39CAD1A6"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592</w:t>
            </w:r>
          </w:p>
        </w:tc>
        <w:tc>
          <w:tcPr>
            <w:tcW w:w="0" w:type="auto"/>
            <w:shd w:val="clear" w:color="auto" w:fill="auto"/>
            <w:vAlign w:val="center"/>
          </w:tcPr>
          <w:p w14:paraId="34D99F47"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1BC035B2" w14:textId="77777777" w:rsidR="00370D80" w:rsidRPr="00404DA5" w:rsidRDefault="00370D80" w:rsidP="00370D80">
            <w:pPr>
              <w:jc w:val="center"/>
              <w:rPr>
                <w:rFonts w:cs="Calibri"/>
                <w:b/>
                <w:sz w:val="18"/>
                <w:szCs w:val="18"/>
              </w:rPr>
            </w:pPr>
            <w:r w:rsidRPr="00404DA5">
              <w:rPr>
                <w:rFonts w:cs="Calibri"/>
                <w:sz w:val="18"/>
                <w:szCs w:val="18"/>
                <w:lang w:eastAsia="en-US"/>
              </w:rPr>
              <w:t>0,0%</w:t>
            </w:r>
          </w:p>
        </w:tc>
        <w:tc>
          <w:tcPr>
            <w:tcW w:w="0" w:type="auto"/>
            <w:shd w:val="clear" w:color="auto" w:fill="auto"/>
            <w:vAlign w:val="center"/>
          </w:tcPr>
          <w:p w14:paraId="37D8AB68"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0E348209"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0,0%</w:t>
            </w:r>
          </w:p>
        </w:tc>
      </w:tr>
      <w:tr w:rsidR="00370D80" w:rsidRPr="00436D27" w14:paraId="3DE5F008" w14:textId="77777777" w:rsidTr="00370D80">
        <w:tc>
          <w:tcPr>
            <w:tcW w:w="0" w:type="auto"/>
            <w:shd w:val="clear" w:color="auto" w:fill="auto"/>
            <w:vAlign w:val="center"/>
          </w:tcPr>
          <w:p w14:paraId="6FCF6D14" w14:textId="77777777" w:rsidR="00370D80" w:rsidRPr="00404DA5" w:rsidRDefault="00370D80" w:rsidP="00370D80">
            <w:pPr>
              <w:jc w:val="center"/>
              <w:rPr>
                <w:b/>
                <w:sz w:val="18"/>
                <w:szCs w:val="18"/>
              </w:rPr>
            </w:pPr>
            <w:r w:rsidRPr="00404DA5">
              <w:rPr>
                <w:sz w:val="18"/>
                <w:szCs w:val="18"/>
                <w:lang w:eastAsia="en-US"/>
              </w:rPr>
              <w:t>WR</w:t>
            </w:r>
          </w:p>
        </w:tc>
        <w:tc>
          <w:tcPr>
            <w:tcW w:w="0" w:type="auto"/>
            <w:shd w:val="clear" w:color="auto" w:fill="auto"/>
            <w:vAlign w:val="center"/>
          </w:tcPr>
          <w:p w14:paraId="03989AA5"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2.14</w:t>
            </w:r>
          </w:p>
        </w:tc>
        <w:tc>
          <w:tcPr>
            <w:tcW w:w="0" w:type="auto"/>
            <w:shd w:val="clear" w:color="auto" w:fill="auto"/>
            <w:vAlign w:val="center"/>
          </w:tcPr>
          <w:p w14:paraId="10716185" w14:textId="77777777" w:rsidR="00370D80" w:rsidRPr="00404DA5" w:rsidRDefault="00370D80" w:rsidP="00370D80">
            <w:pPr>
              <w:jc w:val="left"/>
              <w:rPr>
                <w:rFonts w:cs="Calibri"/>
                <w:b/>
                <w:sz w:val="18"/>
                <w:szCs w:val="18"/>
              </w:rPr>
            </w:pPr>
            <w:r w:rsidRPr="00404DA5">
              <w:rPr>
                <w:rFonts w:cs="Calibri"/>
                <w:color w:val="000000"/>
                <w:sz w:val="18"/>
                <w:szCs w:val="18"/>
                <w:lang w:eastAsia="en-US"/>
              </w:rPr>
              <w:t>Spadek emisji pyłów</w:t>
            </w:r>
          </w:p>
        </w:tc>
        <w:tc>
          <w:tcPr>
            <w:tcW w:w="0" w:type="auto"/>
            <w:shd w:val="clear" w:color="auto" w:fill="auto"/>
            <w:vAlign w:val="center"/>
          </w:tcPr>
          <w:p w14:paraId="68B6D9EB"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Mg/rok</w:t>
            </w:r>
          </w:p>
        </w:tc>
        <w:tc>
          <w:tcPr>
            <w:tcW w:w="0" w:type="auto"/>
            <w:shd w:val="clear" w:color="auto" w:fill="auto"/>
            <w:vAlign w:val="center"/>
          </w:tcPr>
          <w:p w14:paraId="49D30BD3"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0,43</w:t>
            </w:r>
          </w:p>
        </w:tc>
        <w:tc>
          <w:tcPr>
            <w:tcW w:w="0" w:type="auto"/>
            <w:shd w:val="clear" w:color="auto" w:fill="auto"/>
            <w:vAlign w:val="center"/>
          </w:tcPr>
          <w:p w14:paraId="4079765E"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0EBED063" w14:textId="77777777" w:rsidR="00370D80" w:rsidRPr="00404DA5" w:rsidRDefault="00370D80" w:rsidP="00370D80">
            <w:pPr>
              <w:jc w:val="center"/>
              <w:rPr>
                <w:rFonts w:cs="Calibri"/>
                <w:b/>
                <w:sz w:val="18"/>
                <w:szCs w:val="18"/>
              </w:rPr>
            </w:pPr>
            <w:r w:rsidRPr="00404DA5">
              <w:rPr>
                <w:rFonts w:cs="Calibri"/>
                <w:sz w:val="18"/>
                <w:szCs w:val="18"/>
                <w:lang w:eastAsia="en-US"/>
              </w:rPr>
              <w:t>0,0%</w:t>
            </w:r>
          </w:p>
        </w:tc>
        <w:tc>
          <w:tcPr>
            <w:tcW w:w="0" w:type="auto"/>
            <w:shd w:val="clear" w:color="auto" w:fill="auto"/>
            <w:vAlign w:val="center"/>
          </w:tcPr>
          <w:p w14:paraId="494D3071"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31484E05"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0,0%</w:t>
            </w:r>
          </w:p>
        </w:tc>
      </w:tr>
      <w:tr w:rsidR="00370D80" w:rsidRPr="00436D27" w14:paraId="2890DC22" w14:textId="77777777" w:rsidTr="00370D80">
        <w:tc>
          <w:tcPr>
            <w:tcW w:w="0" w:type="auto"/>
            <w:shd w:val="clear" w:color="auto" w:fill="auto"/>
            <w:vAlign w:val="center"/>
          </w:tcPr>
          <w:p w14:paraId="3936310F" w14:textId="77777777" w:rsidR="00370D80" w:rsidRPr="00404DA5" w:rsidRDefault="00370D80" w:rsidP="00370D80">
            <w:pPr>
              <w:jc w:val="center"/>
              <w:rPr>
                <w:b/>
                <w:sz w:val="18"/>
                <w:szCs w:val="18"/>
              </w:rPr>
            </w:pPr>
            <w:r w:rsidRPr="00404DA5">
              <w:rPr>
                <w:sz w:val="18"/>
                <w:szCs w:val="18"/>
                <w:lang w:eastAsia="en-US"/>
              </w:rPr>
              <w:t>WR</w:t>
            </w:r>
          </w:p>
        </w:tc>
        <w:tc>
          <w:tcPr>
            <w:tcW w:w="0" w:type="auto"/>
            <w:shd w:val="clear" w:color="auto" w:fill="auto"/>
            <w:vAlign w:val="center"/>
          </w:tcPr>
          <w:p w14:paraId="6F04D13B" w14:textId="77777777" w:rsidR="00370D80" w:rsidRPr="00404DA5" w:rsidRDefault="00370D80" w:rsidP="00370D80">
            <w:pPr>
              <w:jc w:val="center"/>
              <w:rPr>
                <w:rFonts w:cs="Calibri"/>
                <w:b/>
                <w:bCs/>
                <w:sz w:val="18"/>
                <w:szCs w:val="18"/>
              </w:rPr>
            </w:pPr>
            <w:r w:rsidRPr="00404DA5">
              <w:rPr>
                <w:rFonts w:cs="Calibri"/>
                <w:color w:val="000000"/>
                <w:sz w:val="18"/>
                <w:szCs w:val="18"/>
                <w:lang w:eastAsia="en-US"/>
              </w:rPr>
              <w:t>2.14</w:t>
            </w:r>
          </w:p>
        </w:tc>
        <w:tc>
          <w:tcPr>
            <w:tcW w:w="0" w:type="auto"/>
            <w:shd w:val="clear" w:color="auto" w:fill="auto"/>
            <w:vAlign w:val="center"/>
          </w:tcPr>
          <w:p w14:paraId="26DBBAE6" w14:textId="77777777" w:rsidR="00370D80" w:rsidRPr="00404DA5" w:rsidRDefault="00370D80" w:rsidP="00370D80">
            <w:pPr>
              <w:jc w:val="left"/>
              <w:rPr>
                <w:rFonts w:cs="Calibri"/>
                <w:b/>
                <w:bCs/>
                <w:sz w:val="18"/>
                <w:szCs w:val="18"/>
              </w:rPr>
            </w:pPr>
            <w:r w:rsidRPr="00404DA5">
              <w:rPr>
                <w:rFonts w:cs="Calibri"/>
                <w:color w:val="000000"/>
                <w:sz w:val="18"/>
                <w:szCs w:val="18"/>
                <w:lang w:eastAsia="en-US"/>
              </w:rPr>
              <w:t>Szacowany roczny spadek emisji gazów cieplarnianych</w:t>
            </w:r>
          </w:p>
        </w:tc>
        <w:tc>
          <w:tcPr>
            <w:tcW w:w="0" w:type="auto"/>
            <w:shd w:val="clear" w:color="auto" w:fill="auto"/>
            <w:vAlign w:val="center"/>
          </w:tcPr>
          <w:p w14:paraId="569DC3C6" w14:textId="77777777" w:rsidR="00370D80" w:rsidRPr="00404DA5" w:rsidRDefault="00370D80" w:rsidP="00370D80">
            <w:pPr>
              <w:jc w:val="center"/>
              <w:rPr>
                <w:rFonts w:cs="Calibri"/>
                <w:b/>
                <w:bCs/>
                <w:sz w:val="18"/>
                <w:szCs w:val="18"/>
              </w:rPr>
            </w:pPr>
            <w:r w:rsidRPr="00404DA5">
              <w:rPr>
                <w:rFonts w:cs="Calibri"/>
                <w:color w:val="000000"/>
                <w:sz w:val="18"/>
                <w:szCs w:val="18"/>
                <w:lang w:eastAsia="en-US"/>
              </w:rPr>
              <w:t>tony równoważnika CO2</w:t>
            </w:r>
          </w:p>
        </w:tc>
        <w:tc>
          <w:tcPr>
            <w:tcW w:w="0" w:type="auto"/>
            <w:shd w:val="clear" w:color="auto" w:fill="auto"/>
            <w:vAlign w:val="center"/>
          </w:tcPr>
          <w:p w14:paraId="7D6C61EF"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966</w:t>
            </w:r>
          </w:p>
        </w:tc>
        <w:tc>
          <w:tcPr>
            <w:tcW w:w="0" w:type="auto"/>
            <w:shd w:val="clear" w:color="auto" w:fill="auto"/>
            <w:vAlign w:val="center"/>
          </w:tcPr>
          <w:p w14:paraId="41F61A51"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195C5F15" w14:textId="77777777" w:rsidR="00370D80" w:rsidRPr="00404DA5" w:rsidRDefault="00370D80" w:rsidP="00370D80">
            <w:pPr>
              <w:jc w:val="center"/>
              <w:rPr>
                <w:rFonts w:cs="Calibri"/>
                <w:b/>
                <w:sz w:val="18"/>
                <w:szCs w:val="18"/>
              </w:rPr>
            </w:pPr>
            <w:r w:rsidRPr="00404DA5">
              <w:rPr>
                <w:rFonts w:cs="Calibri"/>
                <w:sz w:val="18"/>
                <w:szCs w:val="18"/>
                <w:lang w:eastAsia="en-US"/>
              </w:rPr>
              <w:t>0,0%</w:t>
            </w:r>
          </w:p>
        </w:tc>
        <w:tc>
          <w:tcPr>
            <w:tcW w:w="0" w:type="auto"/>
            <w:shd w:val="clear" w:color="auto" w:fill="auto"/>
            <w:vAlign w:val="center"/>
          </w:tcPr>
          <w:p w14:paraId="07B87150"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w:t>
            </w:r>
          </w:p>
        </w:tc>
        <w:tc>
          <w:tcPr>
            <w:tcW w:w="0" w:type="auto"/>
            <w:shd w:val="clear" w:color="auto" w:fill="auto"/>
            <w:vAlign w:val="center"/>
          </w:tcPr>
          <w:p w14:paraId="49DFC4E2" w14:textId="77777777" w:rsidR="00370D80" w:rsidRPr="00404DA5" w:rsidRDefault="00370D80" w:rsidP="00370D80">
            <w:pPr>
              <w:jc w:val="center"/>
              <w:rPr>
                <w:rFonts w:cs="Calibri"/>
                <w:b/>
                <w:sz w:val="18"/>
                <w:szCs w:val="18"/>
              </w:rPr>
            </w:pPr>
            <w:r w:rsidRPr="00404DA5">
              <w:rPr>
                <w:rFonts w:cs="Calibri"/>
                <w:color w:val="000000"/>
                <w:sz w:val="18"/>
                <w:szCs w:val="18"/>
                <w:lang w:eastAsia="en-US"/>
              </w:rPr>
              <w:t>0,0%</w:t>
            </w:r>
          </w:p>
        </w:tc>
      </w:tr>
    </w:tbl>
    <w:p w14:paraId="5859C982" w14:textId="77777777" w:rsidR="00370D80" w:rsidRPr="002A5FDF" w:rsidRDefault="00370D80"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0794732C" w14:textId="77777777" w:rsidR="00370D80" w:rsidRPr="00404DA5" w:rsidRDefault="00370D80" w:rsidP="00370D80">
      <w:pPr>
        <w:rPr>
          <w:rFonts w:cs="Calibri"/>
          <w:szCs w:val="20"/>
        </w:rPr>
      </w:pPr>
      <w:r w:rsidRPr="00404DA5">
        <w:rPr>
          <w:rFonts w:cs="Calibri"/>
          <w:szCs w:val="20"/>
        </w:rPr>
        <w:t>Do dnia 31.12.2018 r.</w:t>
      </w:r>
      <w:r w:rsidR="00E66B89">
        <w:rPr>
          <w:rFonts w:cs="Calibri"/>
          <w:szCs w:val="20"/>
        </w:rPr>
        <w:t xml:space="preserve"> w </w:t>
      </w:r>
      <w:r w:rsidRPr="00404DA5">
        <w:rPr>
          <w:rFonts w:cs="Calibri"/>
          <w:szCs w:val="20"/>
        </w:rPr>
        <w:t>ramach Działania 2.14 nie przeprowadzono naborów. Pierwszy nabór zaplanowano na 28.05.2019r. Projekty, które będą mogły uzyskać dofinansowanie, będą związane</w:t>
      </w:r>
      <w:r w:rsidR="00E66B89">
        <w:rPr>
          <w:rFonts w:cs="Calibri"/>
          <w:szCs w:val="20"/>
        </w:rPr>
        <w:t xml:space="preserve"> z </w:t>
      </w:r>
      <w:r w:rsidRPr="00404DA5">
        <w:rPr>
          <w:rFonts w:cs="Calibri"/>
          <w:szCs w:val="20"/>
        </w:rPr>
        <w:t>realizacją Zachodniopomorskiego Programu Antysmogowego. Przewidziana orientacyjna kwota przeznaczona na dofinansowanie</w:t>
      </w:r>
      <w:r w:rsidR="00E66B89">
        <w:rPr>
          <w:rFonts w:cs="Calibri"/>
          <w:szCs w:val="20"/>
        </w:rPr>
        <w:t xml:space="preserve"> w </w:t>
      </w:r>
      <w:r w:rsidRPr="00404DA5">
        <w:rPr>
          <w:rFonts w:cs="Calibri"/>
          <w:szCs w:val="20"/>
        </w:rPr>
        <w:t>tym naborze wynosi 4 000 000 euro. Projekty, które będą realizowane</w:t>
      </w:r>
      <w:r w:rsidR="00E66B89">
        <w:rPr>
          <w:rFonts w:cs="Calibri"/>
          <w:szCs w:val="20"/>
        </w:rPr>
        <w:t xml:space="preserve"> w </w:t>
      </w:r>
      <w:r w:rsidRPr="00404DA5">
        <w:rPr>
          <w:rFonts w:cs="Calibri"/>
          <w:szCs w:val="20"/>
        </w:rPr>
        <w:t xml:space="preserve">ramach Działania 2.14, </w:t>
      </w:r>
      <w:r>
        <w:rPr>
          <w:rFonts w:cs="Calibri"/>
          <w:szCs w:val="20"/>
        </w:rPr>
        <w:t>będą dotyczyć</w:t>
      </w:r>
      <w:r w:rsidRPr="00404DA5">
        <w:rPr>
          <w:rFonts w:cs="Calibri"/>
          <w:szCs w:val="20"/>
        </w:rPr>
        <w:t xml:space="preserve"> wymian</w:t>
      </w:r>
      <w:r>
        <w:rPr>
          <w:rFonts w:cs="Calibri"/>
          <w:szCs w:val="20"/>
        </w:rPr>
        <w:t>y</w:t>
      </w:r>
      <w:r w:rsidRPr="00404DA5">
        <w:rPr>
          <w:rFonts w:cs="Calibri"/>
          <w:szCs w:val="20"/>
        </w:rPr>
        <w:t xml:space="preserve"> źródeł ciepła</w:t>
      </w:r>
      <w:r w:rsidR="00E66B89">
        <w:rPr>
          <w:rFonts w:cs="Calibri"/>
          <w:szCs w:val="20"/>
        </w:rPr>
        <w:t xml:space="preserve"> w </w:t>
      </w:r>
      <w:r w:rsidRPr="00404DA5">
        <w:rPr>
          <w:rFonts w:cs="Calibri"/>
          <w:szCs w:val="20"/>
        </w:rPr>
        <w:t>indywidualnych gospodarstwach domowych na mniej emisyjne.</w:t>
      </w:r>
    </w:p>
    <w:p w14:paraId="65130486" w14:textId="77777777" w:rsidR="00370D80" w:rsidRPr="00404DA5" w:rsidRDefault="00370D80" w:rsidP="00370D80">
      <w:pPr>
        <w:rPr>
          <w:rFonts w:cs="Calibri"/>
          <w:szCs w:val="20"/>
        </w:rPr>
      </w:pPr>
      <w:r w:rsidRPr="00404DA5">
        <w:rPr>
          <w:rFonts w:cs="Calibri"/>
          <w:szCs w:val="20"/>
        </w:rPr>
        <w:t>Z uwagi na dopiero zaplanowany nabór</w:t>
      </w:r>
      <w:r w:rsidR="00E66B89">
        <w:rPr>
          <w:rFonts w:cs="Calibri"/>
          <w:szCs w:val="20"/>
        </w:rPr>
        <w:t xml:space="preserve"> w </w:t>
      </w:r>
      <w:r w:rsidRPr="00404DA5">
        <w:rPr>
          <w:rFonts w:cs="Calibri"/>
          <w:szCs w:val="20"/>
        </w:rPr>
        <w:t>ramach Działania 2.14</w:t>
      </w:r>
      <w:r>
        <w:rPr>
          <w:rFonts w:cs="Calibri"/>
          <w:szCs w:val="20"/>
        </w:rPr>
        <w:t>,</w:t>
      </w:r>
      <w:r w:rsidR="00E66B89">
        <w:rPr>
          <w:rFonts w:cs="Calibri"/>
          <w:szCs w:val="20"/>
        </w:rPr>
        <w:t xml:space="preserve"> w </w:t>
      </w:r>
      <w:r w:rsidRPr="00404DA5">
        <w:rPr>
          <w:rFonts w:cs="Calibri"/>
          <w:szCs w:val="20"/>
        </w:rPr>
        <w:t>momencie opracowywania niniejszego raportu nie można</w:t>
      </w:r>
      <w:r w:rsidR="00E66B89">
        <w:rPr>
          <w:rFonts w:cs="Calibri"/>
          <w:szCs w:val="20"/>
        </w:rPr>
        <w:t xml:space="preserve"> w </w:t>
      </w:r>
      <w:r w:rsidRPr="00404DA5">
        <w:rPr>
          <w:rFonts w:cs="Calibri"/>
          <w:szCs w:val="20"/>
        </w:rPr>
        <w:t xml:space="preserve">pełni zidentyfikować czynników wpływających na skuteczność wdrażanej interwencji. </w:t>
      </w:r>
      <w:r>
        <w:rPr>
          <w:rFonts w:cs="Calibri"/>
          <w:szCs w:val="20"/>
        </w:rPr>
        <w:t>Również</w:t>
      </w:r>
      <w:r w:rsidR="00E66B89">
        <w:rPr>
          <w:rFonts w:cs="Calibri"/>
          <w:szCs w:val="20"/>
        </w:rPr>
        <w:t xml:space="preserve"> w </w:t>
      </w:r>
      <w:r>
        <w:rPr>
          <w:rFonts w:cs="Calibri"/>
          <w:szCs w:val="20"/>
        </w:rPr>
        <w:t>związku</w:t>
      </w:r>
      <w:r w:rsidR="00E66B89">
        <w:rPr>
          <w:rFonts w:cs="Calibri"/>
          <w:szCs w:val="20"/>
        </w:rPr>
        <w:t xml:space="preserve"> z </w:t>
      </w:r>
      <w:r>
        <w:rPr>
          <w:rFonts w:cs="Calibri"/>
          <w:szCs w:val="20"/>
        </w:rPr>
        <w:t>powyższym utrudniona jest ocena skuteczności</w:t>
      </w:r>
      <w:r w:rsidR="00E66B89">
        <w:rPr>
          <w:rFonts w:cs="Calibri"/>
          <w:szCs w:val="20"/>
        </w:rPr>
        <w:t xml:space="preserve"> i </w:t>
      </w:r>
      <w:r>
        <w:rPr>
          <w:rFonts w:cs="Calibri"/>
          <w:szCs w:val="20"/>
        </w:rPr>
        <w:t xml:space="preserve">efektywności interwencji RPO WZ 2014-2020. Brak jest możliwości przeanalizowania postępu </w:t>
      </w:r>
      <w:r>
        <w:rPr>
          <w:rFonts w:cs="Calibri"/>
          <w:szCs w:val="20"/>
        </w:rPr>
        <w:lastRenderedPageBreak/>
        <w:t>rzeczowego oraz finansowego.</w:t>
      </w:r>
      <w:r w:rsidR="00E66B89">
        <w:rPr>
          <w:rFonts w:cs="Calibri"/>
          <w:szCs w:val="20"/>
        </w:rPr>
        <w:t xml:space="preserve"> W </w:t>
      </w:r>
      <w:r w:rsidRPr="00404DA5">
        <w:rPr>
          <w:rFonts w:cs="Calibri"/>
          <w:szCs w:val="20"/>
        </w:rPr>
        <w:t>związku</w:t>
      </w:r>
      <w:r w:rsidR="00E66B89">
        <w:rPr>
          <w:rFonts w:cs="Calibri"/>
          <w:szCs w:val="20"/>
        </w:rPr>
        <w:t xml:space="preserve"> z </w:t>
      </w:r>
      <w:r>
        <w:rPr>
          <w:rFonts w:cs="Calibri"/>
          <w:szCs w:val="20"/>
        </w:rPr>
        <w:t>tym</w:t>
      </w:r>
      <w:r w:rsidRPr="00404DA5">
        <w:rPr>
          <w:rFonts w:cs="Calibri"/>
          <w:szCs w:val="20"/>
        </w:rPr>
        <w:t xml:space="preserve"> </w:t>
      </w:r>
      <w:r>
        <w:rPr>
          <w:rFonts w:cs="Calibri"/>
          <w:szCs w:val="20"/>
        </w:rPr>
        <w:t xml:space="preserve">poniżej odniesiono się </w:t>
      </w:r>
      <w:r w:rsidRPr="00404DA5">
        <w:rPr>
          <w:rFonts w:cs="Calibri"/>
          <w:szCs w:val="20"/>
        </w:rPr>
        <w:t xml:space="preserve">do kwestii, które potencjalnie </w:t>
      </w:r>
      <w:r>
        <w:rPr>
          <w:rFonts w:cs="Calibri"/>
          <w:szCs w:val="20"/>
        </w:rPr>
        <w:t>mogą</w:t>
      </w:r>
      <w:r w:rsidRPr="00404DA5">
        <w:rPr>
          <w:rFonts w:cs="Calibri"/>
          <w:szCs w:val="20"/>
        </w:rPr>
        <w:t xml:space="preserve"> mieć wpływ na zainteresowanie aplikowaniem</w:t>
      </w:r>
      <w:r w:rsidR="00E66B89">
        <w:rPr>
          <w:rFonts w:cs="Calibri"/>
          <w:szCs w:val="20"/>
        </w:rPr>
        <w:t xml:space="preserve"> o </w:t>
      </w:r>
      <w:r>
        <w:rPr>
          <w:rFonts w:cs="Calibri"/>
          <w:szCs w:val="20"/>
        </w:rPr>
        <w:t>wsparcie</w:t>
      </w:r>
      <w:r w:rsidR="00E66B89">
        <w:rPr>
          <w:rFonts w:cs="Calibri"/>
          <w:szCs w:val="20"/>
        </w:rPr>
        <w:t xml:space="preserve"> w </w:t>
      </w:r>
      <w:r>
        <w:rPr>
          <w:rFonts w:cs="Calibri"/>
          <w:szCs w:val="20"/>
        </w:rPr>
        <w:t>ramach PI 6e</w:t>
      </w:r>
      <w:r w:rsidRPr="00404DA5">
        <w:rPr>
          <w:rFonts w:cs="Calibri"/>
          <w:szCs w:val="20"/>
        </w:rPr>
        <w:t xml:space="preserve">. </w:t>
      </w:r>
    </w:p>
    <w:p w14:paraId="25A16298" w14:textId="77777777" w:rsidR="00370D80" w:rsidRPr="00404DA5" w:rsidRDefault="00370D80" w:rsidP="00370D80">
      <w:pPr>
        <w:rPr>
          <w:rFonts w:cs="Calibri"/>
          <w:szCs w:val="20"/>
        </w:rPr>
      </w:pPr>
      <w:r w:rsidRPr="00404DA5">
        <w:rPr>
          <w:rFonts w:cs="Calibri"/>
          <w:szCs w:val="20"/>
        </w:rPr>
        <w:t>Ogłoszony konkurs dotyczył będzie wyłącznie projektów realizowanych</w:t>
      </w:r>
      <w:r>
        <w:rPr>
          <w:rFonts w:cs="Calibri"/>
          <w:szCs w:val="20"/>
        </w:rPr>
        <w:t xml:space="preserve"> przez JST</w:t>
      </w:r>
      <w:r w:rsidRPr="00404DA5">
        <w:rPr>
          <w:rFonts w:cs="Calibri"/>
          <w:szCs w:val="20"/>
        </w:rPr>
        <w:t xml:space="preserve"> na rzecz mieszkańców województwa zachodniopomorskiego.</w:t>
      </w:r>
      <w:r w:rsidR="00E66B89">
        <w:rPr>
          <w:rFonts w:cs="Calibri"/>
          <w:szCs w:val="20"/>
        </w:rPr>
        <w:t xml:space="preserve"> W </w:t>
      </w:r>
      <w:r w:rsidRPr="00404DA5">
        <w:rPr>
          <w:rFonts w:cs="Calibri"/>
          <w:szCs w:val="20"/>
        </w:rPr>
        <w:t>tym kontekście trafna jest identyfikacja uprawnionych do wnioskowania podmiotów (JST). Bowiem są to podmioty, które posiadają odpowiednie rozeznanie lokalnych potrzeb oraz potencjał do nadzoru</w:t>
      </w:r>
      <w:r w:rsidR="00E66B89">
        <w:rPr>
          <w:rFonts w:cs="Calibri"/>
          <w:szCs w:val="20"/>
        </w:rPr>
        <w:t xml:space="preserve"> i </w:t>
      </w:r>
      <w:r w:rsidRPr="00404DA5">
        <w:rPr>
          <w:rFonts w:cs="Calibri"/>
          <w:szCs w:val="20"/>
        </w:rPr>
        <w:t>koordynacji wdrażania tego typu interwencji.</w:t>
      </w:r>
      <w:r w:rsidR="00E66B89">
        <w:rPr>
          <w:rFonts w:cs="Calibri"/>
          <w:szCs w:val="20"/>
        </w:rPr>
        <w:t xml:space="preserve"> Z </w:t>
      </w:r>
      <w:r w:rsidRPr="00404DA5">
        <w:rPr>
          <w:rFonts w:cs="Calibri"/>
          <w:szCs w:val="20"/>
        </w:rPr>
        <w:t>powyższym rozwiązaniem wiążą się pewne wymogi, które skutkują tym, iż realizacja projektu</w:t>
      </w:r>
      <w:r w:rsidR="00E66B89">
        <w:rPr>
          <w:rFonts w:cs="Calibri"/>
          <w:szCs w:val="20"/>
        </w:rPr>
        <w:t xml:space="preserve"> w </w:t>
      </w:r>
      <w:r w:rsidRPr="00404DA5">
        <w:rPr>
          <w:rFonts w:cs="Calibri"/>
          <w:szCs w:val="20"/>
        </w:rPr>
        <w:t xml:space="preserve">ramach Działania 2.14 wymaga odpowiedniego przygotowania oraz mobilizacji po stronie wnioskodawców. </w:t>
      </w:r>
    </w:p>
    <w:p w14:paraId="3B5039DC" w14:textId="77777777" w:rsidR="00370D80" w:rsidRPr="00404DA5" w:rsidRDefault="00370D80" w:rsidP="00370D80">
      <w:pPr>
        <w:rPr>
          <w:rFonts w:cs="Calibri"/>
          <w:szCs w:val="20"/>
        </w:rPr>
      </w:pPr>
      <w:r w:rsidRPr="00404DA5">
        <w:rPr>
          <w:rFonts w:cs="Calibri"/>
          <w:szCs w:val="20"/>
        </w:rPr>
        <w:t>Czynnikiem który może powodować mniejsze zainteresowanie aplikowaniem</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ramach Działania 2.14 jest pewien stopień konkurencji ze strony Rządowego programu pn. „Czyste powietrze”.</w:t>
      </w:r>
      <w:r w:rsidR="00E66B89">
        <w:rPr>
          <w:rFonts w:cs="Calibri"/>
          <w:szCs w:val="20"/>
        </w:rPr>
        <w:t xml:space="preserve"> W </w:t>
      </w:r>
      <w:r w:rsidRPr="00404DA5">
        <w:rPr>
          <w:rFonts w:cs="Calibri"/>
          <w:szCs w:val="20"/>
        </w:rPr>
        <w:t>ramach tego programu wsparcie jest kierowane na szerszy typ projektów (nie tylko wymiana źródeł ciepła, ale także termomodernizacja, instalacja OZE czy montaż wentylacji</w:t>
      </w:r>
      <w:r w:rsidR="00E66B89">
        <w:rPr>
          <w:rFonts w:cs="Calibri"/>
          <w:szCs w:val="20"/>
        </w:rPr>
        <w:t xml:space="preserve"> z </w:t>
      </w:r>
      <w:r w:rsidRPr="00404DA5">
        <w:rPr>
          <w:rFonts w:cs="Calibri"/>
          <w:szCs w:val="20"/>
        </w:rPr>
        <w:t>odzyskiem ciepła). Program skierowany jest co prawda do osób fizycznych będących właścicielami lub współwłaścicielami domów jednorodzinnych lub osób posiadających zgodę na rozpoczęcie budowy. Maksymalny możliwy koszt, od którego liczona jest dotacja, to 53 tysiące złotych (minimalny koszt dofinansowania projektu wynosi 7 tys. zł). Warto także podkreślić, iż nabór</w:t>
      </w:r>
      <w:r w:rsidR="00E66B89">
        <w:rPr>
          <w:rFonts w:cs="Calibri"/>
          <w:szCs w:val="20"/>
        </w:rPr>
        <w:t xml:space="preserve"> w </w:t>
      </w:r>
      <w:r w:rsidRPr="00404DA5">
        <w:rPr>
          <w:rFonts w:cs="Calibri"/>
          <w:szCs w:val="20"/>
        </w:rPr>
        <w:t>ramach tego programu prowadzony jest</w:t>
      </w:r>
      <w:r w:rsidR="00E66B89">
        <w:rPr>
          <w:rFonts w:cs="Calibri"/>
          <w:szCs w:val="20"/>
        </w:rPr>
        <w:t xml:space="preserve"> w </w:t>
      </w:r>
      <w:r w:rsidRPr="00404DA5">
        <w:rPr>
          <w:rFonts w:cs="Calibri"/>
          <w:szCs w:val="20"/>
        </w:rPr>
        <w:t>trybie ciągłym, zatem podmioty zainteresowane wsparciem mają większą elastyczność aplikowania</w:t>
      </w:r>
      <w:r w:rsidR="00E66B89">
        <w:rPr>
          <w:rFonts w:cs="Calibri"/>
          <w:szCs w:val="20"/>
        </w:rPr>
        <w:t xml:space="preserve"> o </w:t>
      </w:r>
      <w:r w:rsidRPr="00404DA5">
        <w:rPr>
          <w:rFonts w:cs="Calibri"/>
          <w:szCs w:val="20"/>
        </w:rPr>
        <w:t>wsparcie. Ponadto wsparcie może zostać skierowane dla budynków nowo budowanych (z uwagi na długi okres wdrażania programu).</w:t>
      </w:r>
    </w:p>
    <w:p w14:paraId="0FC88232" w14:textId="77777777" w:rsidR="00370D80" w:rsidRPr="00766888" w:rsidRDefault="00370D80" w:rsidP="00370D80">
      <w:pPr>
        <w:rPr>
          <w:rFonts w:cs="Calibri"/>
          <w:szCs w:val="20"/>
        </w:rPr>
      </w:pPr>
      <w:r w:rsidRPr="00404DA5">
        <w:rPr>
          <w:rFonts w:cs="Calibri"/>
          <w:szCs w:val="20"/>
        </w:rPr>
        <w:t>W pewnym stopniu mniejsza motywacja do aplikowania</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ramach planowanego naboru może wynikać</w:t>
      </w:r>
      <w:r w:rsidR="00E66B89">
        <w:rPr>
          <w:rFonts w:cs="Calibri"/>
          <w:szCs w:val="20"/>
        </w:rPr>
        <w:t xml:space="preserve"> z </w:t>
      </w:r>
      <w:r w:rsidRPr="00404DA5">
        <w:rPr>
          <w:rFonts w:cs="Calibri"/>
          <w:szCs w:val="20"/>
        </w:rPr>
        <w:t>braku egzekwowania istniejących przepisów dotyczących norm emisyjnych kotłów oraz norm jakości węgla. Wsparcie</w:t>
      </w:r>
      <w:r w:rsidR="00E66B89">
        <w:rPr>
          <w:rFonts w:cs="Calibri"/>
          <w:szCs w:val="20"/>
        </w:rPr>
        <w:t xml:space="preserve"> w </w:t>
      </w:r>
      <w:r w:rsidRPr="00404DA5">
        <w:rPr>
          <w:rFonts w:cs="Calibri"/>
          <w:szCs w:val="20"/>
        </w:rPr>
        <w:t>ramach Działania 2.14 musi zostać przeznaczone na zamknięcie dotychczas używanej jednostki wytwarzania energii cieplnej opartej na konwencjonalnych źródłach energii. Może to zostać osiągnięte</w:t>
      </w:r>
      <w:r>
        <w:rPr>
          <w:rFonts w:cs="Calibri"/>
          <w:szCs w:val="20"/>
        </w:rPr>
        <w:t xml:space="preserve"> albo</w:t>
      </w:r>
      <w:r w:rsidRPr="00404DA5">
        <w:rPr>
          <w:rFonts w:cs="Calibri"/>
          <w:szCs w:val="20"/>
        </w:rPr>
        <w:t xml:space="preserve"> poprzez całkowitą likwidację istniejącego źródła ciepła (zdemontowanie istniejącego pieca/kotła)</w:t>
      </w:r>
      <w:r w:rsidR="00E66B89">
        <w:rPr>
          <w:rFonts w:cs="Calibri"/>
          <w:szCs w:val="20"/>
        </w:rPr>
        <w:t xml:space="preserve"> i </w:t>
      </w:r>
      <w:r w:rsidRPr="00404DA5">
        <w:rPr>
          <w:rFonts w:cs="Calibri"/>
          <w:szCs w:val="20"/>
        </w:rPr>
        <w:t>zastąpienie go nową jednostką wytwarzania energii cieplnej</w:t>
      </w:r>
      <w:r>
        <w:rPr>
          <w:rFonts w:cs="Calibri"/>
          <w:szCs w:val="20"/>
        </w:rPr>
        <w:t>,</w:t>
      </w:r>
      <w:r w:rsidRPr="00404DA5">
        <w:rPr>
          <w:rFonts w:cs="Calibri"/>
          <w:szCs w:val="20"/>
        </w:rPr>
        <w:t xml:space="preserve"> </w:t>
      </w:r>
      <w:r>
        <w:rPr>
          <w:rFonts w:cs="Calibri"/>
          <w:szCs w:val="20"/>
        </w:rPr>
        <w:t>albo</w:t>
      </w:r>
      <w:r w:rsidRPr="00404DA5">
        <w:rPr>
          <w:rFonts w:cs="Calibri"/>
          <w:szCs w:val="20"/>
        </w:rPr>
        <w:t xml:space="preserve"> podłączenie do istniejącej sieci ciepłowniczej. </w:t>
      </w:r>
      <w:r>
        <w:rPr>
          <w:rFonts w:cs="Calibri"/>
          <w:szCs w:val="20"/>
        </w:rPr>
        <w:t>Zgodnie</w:t>
      </w:r>
      <w:r w:rsidR="00E66B89">
        <w:rPr>
          <w:rFonts w:cs="Calibri"/>
          <w:szCs w:val="20"/>
        </w:rPr>
        <w:t xml:space="preserve"> z </w:t>
      </w:r>
      <w:r>
        <w:t xml:space="preserve">35.0 wersją SOOP obowiązującą od 19.02.2019 r. </w:t>
      </w:r>
      <w:r>
        <w:rPr>
          <w:rFonts w:cs="Calibri"/>
          <w:szCs w:val="20"/>
        </w:rPr>
        <w:t>w</w:t>
      </w:r>
      <w:r w:rsidRPr="00404DA5">
        <w:rPr>
          <w:rFonts w:cs="Calibri"/>
          <w:szCs w:val="20"/>
        </w:rPr>
        <w:t>ymianie podlegać będą tylko te nieefektywne</w:t>
      </w:r>
      <w:r w:rsidR="00E66B89">
        <w:rPr>
          <w:rFonts w:cs="Calibri"/>
          <w:szCs w:val="20"/>
        </w:rPr>
        <w:t xml:space="preserve"> i </w:t>
      </w:r>
      <w:r w:rsidRPr="00404DA5">
        <w:rPr>
          <w:rFonts w:cs="Calibri"/>
          <w:szCs w:val="20"/>
        </w:rPr>
        <w:t xml:space="preserve">nielegalne (niespełniające norm) instalacje. </w:t>
      </w:r>
    </w:p>
    <w:p w14:paraId="1A376067" w14:textId="77777777" w:rsidR="00370D80" w:rsidRPr="002F6EC3" w:rsidRDefault="00370D80" w:rsidP="00370D80">
      <w:pPr>
        <w:spacing w:line="240" w:lineRule="auto"/>
        <w:rPr>
          <w:szCs w:val="20"/>
          <w:lang w:val="fr-BE"/>
        </w:rPr>
      </w:pPr>
      <w:r w:rsidRPr="005B0EC8">
        <w:rPr>
          <w:szCs w:val="20"/>
          <w:lang w:val="fr-BE"/>
        </w:rPr>
        <w:t>W przypadku zastępowania istniejącego źródła ciepła nową jednostką wytwarzania energii cieplnej</w:t>
      </w:r>
      <w:r>
        <w:rPr>
          <w:szCs w:val="20"/>
          <w:lang w:val="fr-BE"/>
        </w:rPr>
        <w:t>,</w:t>
      </w:r>
      <w:r w:rsidRPr="005B0EC8">
        <w:rPr>
          <w:szCs w:val="20"/>
          <w:lang w:val="fr-BE"/>
        </w:rPr>
        <w:t xml:space="preserve"> piec/kocioł</w:t>
      </w:r>
      <w:r w:rsidRPr="002F6EC3">
        <w:rPr>
          <w:szCs w:val="20"/>
          <w:lang w:val="fr-BE"/>
        </w:rPr>
        <w:t xml:space="preserve">: </w:t>
      </w:r>
    </w:p>
    <w:p w14:paraId="597A17A6" w14:textId="77777777" w:rsidR="00370D80" w:rsidRPr="000F73C7" w:rsidRDefault="00370D80" w:rsidP="00093E14">
      <w:pPr>
        <w:pStyle w:val="Akapitzlist"/>
        <w:numPr>
          <w:ilvl w:val="0"/>
          <w:numId w:val="56"/>
        </w:numPr>
        <w:rPr>
          <w:szCs w:val="20"/>
          <w:lang w:val="fr-BE"/>
        </w:rPr>
      </w:pPr>
      <w:r w:rsidRPr="008B706B">
        <w:rPr>
          <w:rFonts w:ascii="Lato" w:hAnsi="Lato"/>
          <w:sz w:val="20"/>
          <w:szCs w:val="20"/>
          <w:lang w:val="fr-BE"/>
        </w:rPr>
        <w:t>może wytwarzać energię wyłącznie</w:t>
      </w:r>
      <w:r w:rsidR="00E66B89">
        <w:rPr>
          <w:rFonts w:ascii="Lato" w:hAnsi="Lato"/>
          <w:sz w:val="20"/>
          <w:szCs w:val="20"/>
          <w:lang w:val="fr-BE"/>
        </w:rPr>
        <w:t xml:space="preserve"> w </w:t>
      </w:r>
      <w:r w:rsidRPr="008B706B">
        <w:rPr>
          <w:rFonts w:ascii="Lato" w:hAnsi="Lato"/>
          <w:sz w:val="20"/>
          <w:szCs w:val="20"/>
          <w:lang w:val="fr-BE"/>
        </w:rPr>
        <w:t>oparciu</w:t>
      </w:r>
      <w:r w:rsidR="00E66B89">
        <w:rPr>
          <w:rFonts w:ascii="Lato" w:hAnsi="Lato"/>
          <w:sz w:val="20"/>
          <w:szCs w:val="20"/>
          <w:lang w:val="fr-BE"/>
        </w:rPr>
        <w:t xml:space="preserve"> o </w:t>
      </w:r>
      <w:r w:rsidRPr="008B706B">
        <w:rPr>
          <w:rFonts w:ascii="Lato" w:hAnsi="Lato"/>
          <w:sz w:val="20"/>
          <w:szCs w:val="20"/>
          <w:lang w:val="fr-BE"/>
        </w:rPr>
        <w:t>spalanie gazu (dotyczy to obszarów zgazyfikowanych, tam gdzie korzystanie</w:t>
      </w:r>
      <w:r w:rsidR="00E66B89">
        <w:rPr>
          <w:rFonts w:ascii="Lato" w:hAnsi="Lato"/>
          <w:sz w:val="20"/>
          <w:szCs w:val="20"/>
          <w:lang w:val="fr-BE"/>
        </w:rPr>
        <w:t xml:space="preserve"> z </w:t>
      </w:r>
      <w:r w:rsidRPr="008B706B">
        <w:rPr>
          <w:rFonts w:ascii="Lato" w:hAnsi="Lato"/>
          <w:sz w:val="20"/>
          <w:szCs w:val="20"/>
          <w:lang w:val="fr-BE"/>
        </w:rPr>
        <w:t>energii gazowej jest uzasadnione ekonomicznie</w:t>
      </w:r>
      <w:r>
        <w:rPr>
          <w:rFonts w:ascii="Lato" w:hAnsi="Lato"/>
          <w:sz w:val="20"/>
          <w:szCs w:val="20"/>
          <w:lang w:val="fr-BE"/>
        </w:rPr>
        <w:t>),</w:t>
      </w:r>
      <w:r w:rsidRPr="008B706B">
        <w:rPr>
          <w:rFonts w:ascii="Lato" w:hAnsi="Lato"/>
          <w:sz w:val="20"/>
          <w:szCs w:val="20"/>
          <w:lang w:val="fr-BE"/>
        </w:rPr>
        <w:t xml:space="preserve"> </w:t>
      </w:r>
    </w:p>
    <w:p w14:paraId="3BEA190A" w14:textId="77777777" w:rsidR="00370D80" w:rsidRPr="002F6EC3" w:rsidRDefault="00370D80" w:rsidP="00093E14">
      <w:pPr>
        <w:pStyle w:val="Akapitzlist"/>
        <w:numPr>
          <w:ilvl w:val="0"/>
          <w:numId w:val="56"/>
        </w:numPr>
        <w:rPr>
          <w:szCs w:val="20"/>
          <w:lang w:val="fr-BE"/>
        </w:rPr>
      </w:pPr>
      <w:r w:rsidRPr="008B706B">
        <w:rPr>
          <w:rFonts w:ascii="Lato" w:hAnsi="Lato"/>
          <w:sz w:val="20"/>
          <w:szCs w:val="20"/>
          <w:lang w:val="fr-BE"/>
        </w:rPr>
        <w:t>lub</w:t>
      </w:r>
      <w:r w:rsidR="00E66B89">
        <w:rPr>
          <w:rFonts w:ascii="Lato" w:hAnsi="Lato"/>
          <w:sz w:val="20"/>
          <w:szCs w:val="20"/>
          <w:lang w:val="fr-BE"/>
        </w:rPr>
        <w:t xml:space="preserve"> w </w:t>
      </w:r>
      <w:r w:rsidRPr="008B706B">
        <w:rPr>
          <w:rFonts w:ascii="Lato" w:hAnsi="Lato"/>
          <w:sz w:val="20"/>
          <w:szCs w:val="20"/>
          <w:lang w:val="fr-BE"/>
        </w:rPr>
        <w:t>przypadku obszarów niezgazyfikowanych bądź takich na których korzystanie</w:t>
      </w:r>
      <w:r w:rsidR="00E66B89">
        <w:rPr>
          <w:rFonts w:ascii="Lato" w:hAnsi="Lato"/>
          <w:sz w:val="20"/>
          <w:szCs w:val="20"/>
          <w:lang w:val="fr-BE"/>
        </w:rPr>
        <w:t xml:space="preserve"> z </w:t>
      </w:r>
      <w:r w:rsidRPr="008B706B">
        <w:rPr>
          <w:rFonts w:ascii="Lato" w:hAnsi="Lato"/>
          <w:sz w:val="20"/>
          <w:szCs w:val="20"/>
          <w:lang w:val="fr-BE"/>
        </w:rPr>
        <w:t>energii gazowej jest niuzasadnione ekonomicznie –</w:t>
      </w:r>
      <w:r w:rsidR="00E66B89">
        <w:rPr>
          <w:rFonts w:ascii="Lato" w:hAnsi="Lato"/>
          <w:sz w:val="20"/>
          <w:szCs w:val="20"/>
          <w:lang w:val="fr-BE"/>
        </w:rPr>
        <w:t xml:space="preserve"> w </w:t>
      </w:r>
      <w:r w:rsidRPr="008B706B">
        <w:rPr>
          <w:rFonts w:ascii="Lato" w:hAnsi="Lato"/>
          <w:sz w:val="20"/>
          <w:szCs w:val="20"/>
          <w:lang w:val="fr-BE"/>
        </w:rPr>
        <w:t>oparciu</w:t>
      </w:r>
      <w:r w:rsidR="00E66B89">
        <w:rPr>
          <w:rFonts w:ascii="Lato" w:hAnsi="Lato"/>
          <w:sz w:val="20"/>
          <w:szCs w:val="20"/>
          <w:lang w:val="fr-BE"/>
        </w:rPr>
        <w:t xml:space="preserve"> o </w:t>
      </w:r>
      <w:r w:rsidRPr="008B706B">
        <w:rPr>
          <w:rFonts w:ascii="Lato" w:hAnsi="Lato"/>
          <w:sz w:val="20"/>
          <w:szCs w:val="20"/>
          <w:lang w:val="fr-BE"/>
        </w:rPr>
        <w:t xml:space="preserve">inne źródło </w:t>
      </w:r>
      <w:r w:rsidRPr="008B706B">
        <w:rPr>
          <w:rFonts w:ascii="Lato" w:hAnsi="Lato" w:cs="Calibri"/>
          <w:sz w:val="20"/>
          <w:szCs w:val="20"/>
        </w:rPr>
        <w:t>energii</w:t>
      </w:r>
      <w:r w:rsidRPr="008B706B">
        <w:rPr>
          <w:rFonts w:ascii="Lato" w:hAnsi="Lato"/>
          <w:sz w:val="20"/>
          <w:szCs w:val="20"/>
          <w:lang w:val="fr-BE"/>
        </w:rPr>
        <w:t xml:space="preserve"> (w tym odnawialne źródło energii).</w:t>
      </w:r>
    </w:p>
    <w:p w14:paraId="1ECF7764" w14:textId="77777777" w:rsidR="00370D80" w:rsidRPr="00404DA5" w:rsidRDefault="00370D80" w:rsidP="00370D80">
      <w:pPr>
        <w:rPr>
          <w:rFonts w:cs="Calibri"/>
          <w:szCs w:val="20"/>
        </w:rPr>
      </w:pPr>
      <w:r w:rsidRPr="00766888">
        <w:rPr>
          <w:szCs w:val="20"/>
          <w:lang w:val="fr-BE"/>
        </w:rPr>
        <w:t>Nowa jednostka wytwarzania energii cieplnej musi spełaniać normy spalin przewidziane do osiągnięcia po 2020 roku</w:t>
      </w:r>
      <w:r>
        <w:rPr>
          <w:szCs w:val="20"/>
          <w:lang w:val="fr-BE"/>
        </w:rPr>
        <w:t>.</w:t>
      </w:r>
      <w:r w:rsidR="00E66B89">
        <w:rPr>
          <w:szCs w:val="20"/>
          <w:lang w:val="fr-BE"/>
        </w:rPr>
        <w:t xml:space="preserve"> W </w:t>
      </w:r>
      <w:r w:rsidRPr="00404DA5">
        <w:rPr>
          <w:rFonts w:cs="Calibri"/>
          <w:szCs w:val="20"/>
        </w:rPr>
        <w:t>2017 r. zostało wydane rozporządzenie Ministra Rozwoju</w:t>
      </w:r>
      <w:r w:rsidR="00E66B89">
        <w:rPr>
          <w:rFonts w:cs="Calibri"/>
          <w:szCs w:val="20"/>
        </w:rPr>
        <w:t xml:space="preserve"> i </w:t>
      </w:r>
      <w:r w:rsidRPr="00404DA5">
        <w:rPr>
          <w:rFonts w:cs="Calibri"/>
          <w:szCs w:val="20"/>
        </w:rPr>
        <w:t>Finansów</w:t>
      </w:r>
      <w:r w:rsidR="00E66B89">
        <w:rPr>
          <w:rFonts w:cs="Calibri"/>
          <w:szCs w:val="20"/>
        </w:rPr>
        <w:t xml:space="preserve"> w </w:t>
      </w:r>
      <w:r w:rsidRPr="00404DA5">
        <w:rPr>
          <w:rFonts w:cs="Calibri"/>
          <w:szCs w:val="20"/>
        </w:rPr>
        <w:t>sprawie wymagań dla kotłów na paliwo stałe. Rozporządzenie wprowadziło do polskiego prawa restrykcyjne wymagania dla kotłów na paliwo stałe. Dotyczą one urządzeń do 500 kW (tj. używanych</w:t>
      </w:r>
      <w:r w:rsidR="00E66B89">
        <w:rPr>
          <w:rFonts w:cs="Calibri"/>
          <w:szCs w:val="20"/>
        </w:rPr>
        <w:t xml:space="preserve"> w </w:t>
      </w:r>
      <w:r w:rsidRPr="00404DA5">
        <w:rPr>
          <w:rFonts w:cs="Calibri"/>
          <w:szCs w:val="20"/>
        </w:rPr>
        <w:t>gospodarstwach domowych oraz</w:t>
      </w:r>
      <w:r w:rsidR="00E66B89">
        <w:rPr>
          <w:rFonts w:cs="Calibri"/>
          <w:szCs w:val="20"/>
        </w:rPr>
        <w:t xml:space="preserve"> w </w:t>
      </w:r>
      <w:r w:rsidRPr="00404DA5">
        <w:rPr>
          <w:rFonts w:cs="Calibri"/>
          <w:szCs w:val="20"/>
        </w:rPr>
        <w:t>MŚP). Pomimo wprowadzenia przez Ustawodawcę zakazu sprzedaży pozaklasowych kotłów popularnie zwanych „kopciuchami”, dotychczasowe luki</w:t>
      </w:r>
      <w:r w:rsidR="00E66B89">
        <w:rPr>
          <w:rFonts w:cs="Calibri"/>
          <w:szCs w:val="20"/>
        </w:rPr>
        <w:t xml:space="preserve"> w </w:t>
      </w:r>
      <w:r w:rsidRPr="00404DA5">
        <w:rPr>
          <w:rFonts w:cs="Calibri"/>
          <w:szCs w:val="20"/>
        </w:rPr>
        <w:t>obowiązującym prawie</w:t>
      </w:r>
      <w:r w:rsidR="00E66B89">
        <w:rPr>
          <w:rFonts w:cs="Calibri"/>
          <w:szCs w:val="20"/>
        </w:rPr>
        <w:t xml:space="preserve"> i </w:t>
      </w:r>
      <w:r w:rsidRPr="00404DA5">
        <w:rPr>
          <w:rFonts w:cs="Calibri"/>
          <w:szCs w:val="20"/>
        </w:rPr>
        <w:t>brak realnych mechanizmów kontroli (np. przez Inspekcję Handlową) skutkują tym, iż te kotły wciąż są dostępne</w:t>
      </w:r>
      <w:r w:rsidR="00E66B89">
        <w:rPr>
          <w:rFonts w:cs="Calibri"/>
          <w:szCs w:val="20"/>
        </w:rPr>
        <w:t xml:space="preserve"> w </w:t>
      </w:r>
      <w:r w:rsidRPr="00404DA5">
        <w:rPr>
          <w:rFonts w:cs="Calibri"/>
          <w:szCs w:val="20"/>
        </w:rPr>
        <w:t>obrocie handlowym (powyższe skutkuje tym, iż zapotrzebowanie na efektywne</w:t>
      </w:r>
      <w:r w:rsidR="00E66B89">
        <w:rPr>
          <w:rFonts w:cs="Calibri"/>
          <w:szCs w:val="20"/>
        </w:rPr>
        <w:t xml:space="preserve"> i </w:t>
      </w:r>
      <w:r w:rsidRPr="00404DA5">
        <w:rPr>
          <w:rFonts w:cs="Calibri"/>
          <w:szCs w:val="20"/>
        </w:rPr>
        <w:t>ekologiczne jednostki wytwarzania energii jest obniżone). Analogiczną sytuację stwierdza się dla norm jakości węgla. Pomimo prawnego obowiązku wystawiania tzw. „świadectw jakości węgla”, przepisy te są wciąż ignorowane przez znaczną rzeszę sprzedawców.</w:t>
      </w:r>
      <w:r w:rsidR="00E66B89">
        <w:rPr>
          <w:rFonts w:cs="Calibri"/>
          <w:szCs w:val="20"/>
        </w:rPr>
        <w:t xml:space="preserve"> W </w:t>
      </w:r>
      <w:r w:rsidRPr="00404DA5">
        <w:rPr>
          <w:rFonts w:cs="Calibri"/>
          <w:szCs w:val="20"/>
        </w:rPr>
        <w:t>praktyce skutkuje</w:t>
      </w:r>
      <w:r>
        <w:rPr>
          <w:rFonts w:cs="Calibri"/>
          <w:szCs w:val="20"/>
        </w:rPr>
        <w:t xml:space="preserve"> to</w:t>
      </w:r>
      <w:r w:rsidRPr="00404DA5">
        <w:rPr>
          <w:rFonts w:cs="Calibri"/>
          <w:szCs w:val="20"/>
        </w:rPr>
        <w:t xml:space="preserve"> tym, iż obowiązujące ramy prawne mają niewystarczające przełożenie na potencjalnych wnioskodawców</w:t>
      </w:r>
      <w:r w:rsidR="00E66B89">
        <w:rPr>
          <w:rFonts w:cs="Calibri"/>
          <w:szCs w:val="20"/>
        </w:rPr>
        <w:t xml:space="preserve"> </w:t>
      </w:r>
      <w:r w:rsidR="00E66B89">
        <w:rPr>
          <w:rFonts w:cs="Calibri"/>
          <w:szCs w:val="20"/>
        </w:rPr>
        <w:lastRenderedPageBreak/>
        <w:t>w </w:t>
      </w:r>
      <w:r w:rsidRPr="00404DA5">
        <w:rPr>
          <w:rFonts w:cs="Calibri"/>
          <w:szCs w:val="20"/>
        </w:rPr>
        <w:t>zakresie motywowania ich do realizacji projektów zmierzających do ograniczenia niskiej emisji. Minister Przedsiębiorczości</w:t>
      </w:r>
      <w:r w:rsidR="00E66B89">
        <w:rPr>
          <w:rFonts w:cs="Calibri"/>
          <w:szCs w:val="20"/>
        </w:rPr>
        <w:t xml:space="preserve"> i </w:t>
      </w:r>
      <w:r w:rsidRPr="00404DA5">
        <w:rPr>
          <w:rFonts w:cs="Calibri"/>
          <w:szCs w:val="20"/>
        </w:rPr>
        <w:t>Technologii</w:t>
      </w:r>
      <w:r w:rsidR="00E66B89">
        <w:rPr>
          <w:rFonts w:cs="Calibri"/>
          <w:szCs w:val="20"/>
        </w:rPr>
        <w:t xml:space="preserve"> w </w:t>
      </w:r>
      <w:r w:rsidRPr="00404DA5">
        <w:rPr>
          <w:rFonts w:cs="Calibri"/>
          <w:szCs w:val="20"/>
        </w:rPr>
        <w:t>porozumieniu</w:t>
      </w:r>
      <w:r w:rsidR="00E66B89">
        <w:rPr>
          <w:rFonts w:cs="Calibri"/>
          <w:szCs w:val="20"/>
        </w:rPr>
        <w:t xml:space="preserve"> z </w:t>
      </w:r>
      <w:r w:rsidRPr="00404DA5">
        <w:rPr>
          <w:rFonts w:cs="Calibri"/>
          <w:szCs w:val="20"/>
        </w:rPr>
        <w:t>Ministrem Środowiska podpisał nowelizację rozporządzenia dot. wymagań dla kotłów na paliwo stałe. Jego celem jest uszczelnienie obecnych przepisów</w:t>
      </w:r>
      <w:r w:rsidR="00E66B89">
        <w:rPr>
          <w:rFonts w:cs="Calibri"/>
          <w:szCs w:val="20"/>
        </w:rPr>
        <w:t xml:space="preserve"> i </w:t>
      </w:r>
      <w:r w:rsidRPr="00404DA5">
        <w:rPr>
          <w:rFonts w:cs="Calibri"/>
          <w:szCs w:val="20"/>
        </w:rPr>
        <w:t>uniemożliwienie wprowadzania do sprzedaży</w:t>
      </w:r>
      <w:r w:rsidR="00E66B89">
        <w:rPr>
          <w:rFonts w:cs="Calibri"/>
          <w:szCs w:val="20"/>
        </w:rPr>
        <w:t xml:space="preserve"> i </w:t>
      </w:r>
      <w:r w:rsidRPr="00404DA5">
        <w:rPr>
          <w:rFonts w:cs="Calibri"/>
          <w:szCs w:val="20"/>
        </w:rPr>
        <w:t>obrotu kotłów wysokoemisyjnych</w:t>
      </w:r>
      <w:r>
        <w:rPr>
          <w:rFonts w:cs="Calibri"/>
          <w:szCs w:val="20"/>
        </w:rPr>
        <w:t>,</w:t>
      </w:r>
      <w:r w:rsidRPr="00404DA5">
        <w:rPr>
          <w:rFonts w:cs="Calibri"/>
          <w:szCs w:val="20"/>
        </w:rPr>
        <w:t xml:space="preserve"> co ma pozytywnie wpłynąć na poprawę jakości powietrza. Powyższe bezpośrednio powinno przekładać się na zwiększenie zainteresowania wsparciem na modernizację źródeł ciepła.</w:t>
      </w:r>
    </w:p>
    <w:p w14:paraId="1823FA3E" w14:textId="77777777" w:rsidR="00370D80" w:rsidRPr="00404DA5" w:rsidRDefault="00370D80" w:rsidP="00370D80">
      <w:pPr>
        <w:rPr>
          <w:rFonts w:cs="Calibri"/>
          <w:szCs w:val="20"/>
        </w:rPr>
      </w:pPr>
      <w:r w:rsidRPr="00404DA5">
        <w:rPr>
          <w:rFonts w:cs="Calibri"/>
          <w:szCs w:val="20"/>
        </w:rPr>
        <w:t>W</w:t>
      </w:r>
      <w:r>
        <w:rPr>
          <w:rFonts w:cs="Calibri"/>
          <w:szCs w:val="20"/>
        </w:rPr>
        <w:t>śród</w:t>
      </w:r>
      <w:r w:rsidRPr="00404DA5">
        <w:rPr>
          <w:rFonts w:cs="Calibri"/>
          <w:szCs w:val="20"/>
        </w:rPr>
        <w:t xml:space="preserve"> czynników zewnętrznych, niezwiązanych</w:t>
      </w:r>
      <w:r w:rsidR="00E66B89">
        <w:rPr>
          <w:rFonts w:cs="Calibri"/>
          <w:szCs w:val="20"/>
        </w:rPr>
        <w:t xml:space="preserve"> z </w:t>
      </w:r>
      <w:r w:rsidRPr="00404DA5">
        <w:rPr>
          <w:rFonts w:cs="Calibri"/>
          <w:szCs w:val="20"/>
        </w:rPr>
        <w:t>systemem wdrażania RPO WZ 2014-2020</w:t>
      </w:r>
      <w:r>
        <w:rPr>
          <w:rFonts w:cs="Calibri"/>
          <w:szCs w:val="20"/>
        </w:rPr>
        <w:t>,</w:t>
      </w:r>
      <w:r w:rsidRPr="00404DA5">
        <w:rPr>
          <w:rFonts w:cs="Calibri"/>
          <w:szCs w:val="20"/>
        </w:rPr>
        <w:t xml:space="preserve"> można wskazać takie, które mogą wpływać na poziom zainteresowania potencjalnych wnioskodawców. </w:t>
      </w:r>
      <w:r>
        <w:rPr>
          <w:rFonts w:cs="Calibri"/>
          <w:szCs w:val="20"/>
        </w:rPr>
        <w:t>Takimi k</w:t>
      </w:r>
      <w:r w:rsidRPr="00404DA5">
        <w:rPr>
          <w:rFonts w:cs="Calibri"/>
          <w:szCs w:val="20"/>
        </w:rPr>
        <w:t>luczowymi czynnikami są te, które dotyczą sytuacji ekonomicznej zarówno beneficjentów, jak</w:t>
      </w:r>
      <w:r w:rsidR="00E66B89">
        <w:rPr>
          <w:rFonts w:cs="Calibri"/>
          <w:szCs w:val="20"/>
        </w:rPr>
        <w:t xml:space="preserve"> i </w:t>
      </w:r>
      <w:r w:rsidRPr="00404DA5">
        <w:rPr>
          <w:rFonts w:cs="Calibri"/>
          <w:szCs w:val="20"/>
        </w:rPr>
        <w:t>beneficjentów ostatecznych Działania 2.14. To</w:t>
      </w:r>
      <w:r w:rsidR="00E66B89">
        <w:rPr>
          <w:rFonts w:cs="Calibri"/>
          <w:szCs w:val="20"/>
        </w:rPr>
        <w:t xml:space="preserve"> w </w:t>
      </w:r>
      <w:r w:rsidRPr="00404DA5">
        <w:rPr>
          <w:rFonts w:cs="Calibri"/>
          <w:szCs w:val="20"/>
        </w:rPr>
        <w:t>głównej mierze często ten czynnik decyduje</w:t>
      </w:r>
      <w:r w:rsidR="00E66B89">
        <w:rPr>
          <w:rFonts w:cs="Calibri"/>
          <w:szCs w:val="20"/>
        </w:rPr>
        <w:t xml:space="preserve"> o </w:t>
      </w:r>
      <w:r w:rsidRPr="00404DA5">
        <w:rPr>
          <w:rFonts w:cs="Calibri"/>
          <w:szCs w:val="20"/>
        </w:rPr>
        <w:t>podejmowaniu bądź zaniechaniu działań związanych</w:t>
      </w:r>
      <w:r w:rsidR="00E66B89">
        <w:rPr>
          <w:rFonts w:cs="Calibri"/>
          <w:szCs w:val="20"/>
        </w:rPr>
        <w:t xml:space="preserve"> z </w:t>
      </w:r>
      <w:r w:rsidRPr="00404DA5">
        <w:rPr>
          <w:rFonts w:cs="Calibri"/>
          <w:szCs w:val="20"/>
        </w:rPr>
        <w:t>ochroną środowiska,</w:t>
      </w:r>
      <w:r w:rsidR="00E66B89">
        <w:rPr>
          <w:rFonts w:cs="Calibri"/>
          <w:szCs w:val="20"/>
        </w:rPr>
        <w:t xml:space="preserve"> w </w:t>
      </w:r>
      <w:r w:rsidRPr="00404DA5">
        <w:rPr>
          <w:rFonts w:cs="Calibri"/>
          <w:szCs w:val="20"/>
        </w:rPr>
        <w:t>tym także</w:t>
      </w:r>
      <w:r w:rsidR="00E66B89">
        <w:rPr>
          <w:rFonts w:cs="Calibri"/>
          <w:szCs w:val="20"/>
        </w:rPr>
        <w:t xml:space="preserve"> z </w:t>
      </w:r>
      <w:r w:rsidRPr="00404DA5">
        <w:rPr>
          <w:rFonts w:cs="Calibri"/>
          <w:szCs w:val="20"/>
        </w:rPr>
        <w:t xml:space="preserve">ochroną powietrza. </w:t>
      </w:r>
    </w:p>
    <w:p w14:paraId="3743D7DE" w14:textId="77777777" w:rsidR="00370D80" w:rsidRPr="00404DA5" w:rsidRDefault="00370D80" w:rsidP="00370D80">
      <w:pPr>
        <w:rPr>
          <w:rFonts w:cs="Calibri"/>
          <w:szCs w:val="20"/>
        </w:rPr>
      </w:pPr>
      <w:r w:rsidRPr="00404DA5">
        <w:rPr>
          <w:rFonts w:cs="Calibri"/>
          <w:szCs w:val="20"/>
        </w:rPr>
        <w:t>Kolejny czynnik związany jest</w:t>
      </w:r>
      <w:r w:rsidR="00E66B89">
        <w:rPr>
          <w:rFonts w:cs="Calibri"/>
          <w:szCs w:val="20"/>
        </w:rPr>
        <w:t xml:space="preserve"> z </w:t>
      </w:r>
      <w:r w:rsidRPr="00404DA5">
        <w:rPr>
          <w:rFonts w:cs="Calibri"/>
          <w:szCs w:val="20"/>
        </w:rPr>
        <w:t>poziomem świadomości ekologicznej mieszkańców. Często ostateczny odbiorca wsparcia przewidzianego</w:t>
      </w:r>
      <w:r w:rsidR="00E66B89">
        <w:rPr>
          <w:rFonts w:cs="Calibri"/>
          <w:szCs w:val="20"/>
        </w:rPr>
        <w:t xml:space="preserve"> w </w:t>
      </w:r>
      <w:r w:rsidRPr="00404DA5">
        <w:rPr>
          <w:rFonts w:cs="Calibri"/>
          <w:szCs w:val="20"/>
        </w:rPr>
        <w:t>ramach Działania 2.14 może nie odczuwać potrzeby podejmowania jakichkolwiek działań</w:t>
      </w:r>
      <w:r w:rsidR="00E66B89">
        <w:rPr>
          <w:rFonts w:cs="Calibri"/>
          <w:szCs w:val="20"/>
        </w:rPr>
        <w:t xml:space="preserve"> w </w:t>
      </w:r>
      <w:r w:rsidRPr="00404DA5">
        <w:rPr>
          <w:rFonts w:cs="Calibri"/>
          <w:szCs w:val="20"/>
        </w:rPr>
        <w:t>zakresie (a</w:t>
      </w:r>
      <w:r w:rsidR="00E66B89">
        <w:rPr>
          <w:rFonts w:cs="Calibri"/>
          <w:szCs w:val="20"/>
        </w:rPr>
        <w:t xml:space="preserve"> w </w:t>
      </w:r>
      <w:r w:rsidRPr="00404DA5">
        <w:rPr>
          <w:rFonts w:cs="Calibri"/>
          <w:szCs w:val="20"/>
        </w:rPr>
        <w:t xml:space="preserve">ślad za tym ponoszenia kosztów) czy to modernizacji źródeł ciepła, czy przyłączania się do </w:t>
      </w:r>
      <w:r>
        <w:rPr>
          <w:rFonts w:cs="Calibri"/>
          <w:szCs w:val="20"/>
        </w:rPr>
        <w:t>s</w:t>
      </w:r>
      <w:r w:rsidRPr="00404DA5">
        <w:rPr>
          <w:rFonts w:cs="Calibri"/>
          <w:szCs w:val="20"/>
        </w:rPr>
        <w:t>ieci CO lub</w:t>
      </w:r>
      <w:r>
        <w:rPr>
          <w:rFonts w:cs="Calibri"/>
          <w:szCs w:val="20"/>
        </w:rPr>
        <w:t xml:space="preserve"> sieci</w:t>
      </w:r>
      <w:r w:rsidRPr="00404DA5">
        <w:rPr>
          <w:rFonts w:cs="Calibri"/>
          <w:szCs w:val="20"/>
        </w:rPr>
        <w:t xml:space="preserve"> gazowych.</w:t>
      </w:r>
      <w:r w:rsidR="00E66B89">
        <w:rPr>
          <w:rFonts w:cs="Calibri"/>
          <w:szCs w:val="20"/>
        </w:rPr>
        <w:t xml:space="preserve"> W </w:t>
      </w:r>
      <w:r w:rsidRPr="00404DA5">
        <w:rPr>
          <w:rFonts w:cs="Calibri"/>
          <w:szCs w:val="20"/>
        </w:rPr>
        <w:t>województwie zachodniopomorskim aktualny pozostaje problem spalania odpadów</w:t>
      </w:r>
      <w:r w:rsidR="00E66B89">
        <w:rPr>
          <w:rFonts w:cs="Calibri"/>
          <w:szCs w:val="20"/>
        </w:rPr>
        <w:t xml:space="preserve"> w </w:t>
      </w:r>
      <w:r w:rsidRPr="00404DA5">
        <w:rPr>
          <w:rFonts w:cs="Calibri"/>
          <w:szCs w:val="20"/>
        </w:rPr>
        <w:t>paleniskach domowych. Problemem</w:t>
      </w:r>
      <w:r w:rsidR="00E66B89">
        <w:rPr>
          <w:rFonts w:cs="Calibri"/>
          <w:szCs w:val="20"/>
        </w:rPr>
        <w:t xml:space="preserve"> w </w:t>
      </w:r>
      <w:r>
        <w:rPr>
          <w:rFonts w:cs="Calibri"/>
          <w:szCs w:val="20"/>
        </w:rPr>
        <w:t>tym</w:t>
      </w:r>
      <w:r w:rsidRPr="00404DA5">
        <w:rPr>
          <w:rFonts w:cs="Calibri"/>
          <w:szCs w:val="20"/>
        </w:rPr>
        <w:t xml:space="preserve"> zakresie są bardzo ograniczone możliwości prowadzenia kontroli (czy to przez WIOŚ, czy</w:t>
      </w:r>
      <w:r>
        <w:rPr>
          <w:rFonts w:cs="Calibri"/>
          <w:szCs w:val="20"/>
        </w:rPr>
        <w:t xml:space="preserve"> przez</w:t>
      </w:r>
      <w:r w:rsidRPr="00404DA5">
        <w:rPr>
          <w:rFonts w:cs="Calibri"/>
          <w:szCs w:val="20"/>
        </w:rPr>
        <w:t xml:space="preserve"> służby gminne). </w:t>
      </w:r>
    </w:p>
    <w:p w14:paraId="40BD3418" w14:textId="77777777" w:rsidR="00370D80" w:rsidRPr="00404DA5" w:rsidRDefault="00370D80" w:rsidP="00370D80">
      <w:pPr>
        <w:rPr>
          <w:rFonts w:cs="Calibri"/>
          <w:b/>
          <w:szCs w:val="20"/>
        </w:rPr>
      </w:pPr>
      <w:r w:rsidRPr="00404DA5">
        <w:rPr>
          <w:rFonts w:cs="Calibri"/>
          <w:b/>
          <w:szCs w:val="20"/>
        </w:rPr>
        <w:t>REKOMENDACJA: przeprowadzenie działań informacyjnych</w:t>
      </w:r>
      <w:r w:rsidR="00E66B89">
        <w:rPr>
          <w:rFonts w:cs="Calibri"/>
          <w:b/>
          <w:szCs w:val="20"/>
        </w:rPr>
        <w:t xml:space="preserve"> i </w:t>
      </w:r>
      <w:r w:rsidRPr="00404DA5">
        <w:rPr>
          <w:rFonts w:cs="Calibri"/>
          <w:b/>
          <w:szCs w:val="20"/>
        </w:rPr>
        <w:t>promujących zaplanowany nabór wniosków</w:t>
      </w:r>
      <w:r w:rsidR="00E66B89">
        <w:rPr>
          <w:rFonts w:cs="Calibri"/>
          <w:b/>
          <w:szCs w:val="20"/>
        </w:rPr>
        <w:t xml:space="preserve"> o </w:t>
      </w:r>
      <w:r w:rsidRPr="00404DA5">
        <w:rPr>
          <w:rFonts w:cs="Calibri"/>
          <w:b/>
          <w:szCs w:val="20"/>
        </w:rPr>
        <w:t>dofinansowanie (przedstawienie możliwości oraz warunków wsparcia, zachęcenie do mobilizacji</w:t>
      </w:r>
      <w:r w:rsidR="00E66B89">
        <w:rPr>
          <w:rFonts w:cs="Calibri"/>
          <w:b/>
          <w:szCs w:val="20"/>
        </w:rPr>
        <w:t xml:space="preserve"> i </w:t>
      </w:r>
      <w:r w:rsidRPr="00404DA5">
        <w:rPr>
          <w:rFonts w:cs="Calibri"/>
          <w:b/>
          <w:szCs w:val="20"/>
        </w:rPr>
        <w:t>aplikowania</w:t>
      </w:r>
      <w:r w:rsidR="00E66B89">
        <w:rPr>
          <w:rFonts w:cs="Calibri"/>
          <w:b/>
          <w:szCs w:val="20"/>
        </w:rPr>
        <w:t xml:space="preserve"> o </w:t>
      </w:r>
      <w:r w:rsidRPr="00404DA5">
        <w:rPr>
          <w:rFonts w:cs="Calibri"/>
          <w:b/>
          <w:szCs w:val="20"/>
        </w:rPr>
        <w:t>wsparcie).</w:t>
      </w:r>
    </w:p>
    <w:p w14:paraId="35844B65" w14:textId="77777777" w:rsidR="00370D80" w:rsidRPr="00B64629" w:rsidRDefault="00370D80" w:rsidP="00370D80">
      <w:pPr>
        <w:rPr>
          <w:rFonts w:cs="Calibri"/>
          <w:szCs w:val="20"/>
        </w:rPr>
      </w:pPr>
      <w:r w:rsidRPr="00B64629">
        <w:rPr>
          <w:rFonts w:cs="Calibri"/>
          <w:szCs w:val="20"/>
        </w:rPr>
        <w:t xml:space="preserve">W celu oceny logiki interwencji przypomnijmy, iż </w:t>
      </w:r>
      <w:r w:rsidRPr="008B706B">
        <w:rPr>
          <w:rFonts w:cs="Calibri"/>
          <w:szCs w:val="20"/>
        </w:rPr>
        <w:t>celem wdrażania PI 6e jest obniżenie poziomu zanieczyszczeń powietrza</w:t>
      </w:r>
      <w:r w:rsidR="00E66B89">
        <w:rPr>
          <w:rFonts w:cs="Calibri"/>
          <w:szCs w:val="20"/>
        </w:rPr>
        <w:t xml:space="preserve"> w </w:t>
      </w:r>
      <w:r w:rsidRPr="008B706B">
        <w:rPr>
          <w:rFonts w:cs="Calibri"/>
          <w:szCs w:val="20"/>
        </w:rPr>
        <w:t>województwie</w:t>
      </w:r>
      <w:r w:rsidRPr="00B64629">
        <w:rPr>
          <w:rFonts w:cs="Calibri"/>
          <w:szCs w:val="20"/>
        </w:rPr>
        <w:t xml:space="preserve">. </w:t>
      </w:r>
    </w:p>
    <w:p w14:paraId="2F4D30E4" w14:textId="77777777" w:rsidR="00370D80" w:rsidRPr="00404DA5" w:rsidRDefault="00370D80" w:rsidP="00370D80">
      <w:pPr>
        <w:rPr>
          <w:rFonts w:cs="Calibri"/>
          <w:szCs w:val="20"/>
        </w:rPr>
      </w:pPr>
      <w:r w:rsidRPr="00404DA5">
        <w:rPr>
          <w:rFonts w:cs="Calibri"/>
          <w:szCs w:val="20"/>
        </w:rPr>
        <w:t>Przyjęty zestaw wskaźników monitorowania należy ocenić jako trafny. Pozwala on na pomiar kluczowych efektów będących wynikiem wspieranych projektów.</w:t>
      </w:r>
      <w:r w:rsidR="00E66B89">
        <w:rPr>
          <w:rFonts w:cs="Calibri"/>
          <w:szCs w:val="20"/>
        </w:rPr>
        <w:t xml:space="preserve"> Z </w:t>
      </w:r>
      <w:r w:rsidRPr="00404DA5">
        <w:rPr>
          <w:rFonts w:cs="Calibri"/>
          <w:szCs w:val="20"/>
        </w:rPr>
        <w:t>uwagi na wąski katalog wspieranych projektów</w:t>
      </w:r>
      <w:r w:rsidR="00E66B89">
        <w:rPr>
          <w:rFonts w:cs="Calibri"/>
          <w:szCs w:val="20"/>
        </w:rPr>
        <w:t xml:space="preserve"> i </w:t>
      </w:r>
      <w:r w:rsidRPr="00404DA5">
        <w:rPr>
          <w:rFonts w:cs="Calibri"/>
          <w:szCs w:val="20"/>
        </w:rPr>
        <w:t xml:space="preserve">ich precyzyjne ukierunkowanie tematyczne brak jest zagrożenia, iż wybrane do realizacji zostaną projekty, które nie będą przyczyniały się do </w:t>
      </w:r>
      <w:r>
        <w:rPr>
          <w:rFonts w:cs="Calibri"/>
          <w:szCs w:val="20"/>
        </w:rPr>
        <w:t>osiągnięcia</w:t>
      </w:r>
      <w:r w:rsidRPr="00404DA5">
        <w:rPr>
          <w:rFonts w:cs="Calibri"/>
          <w:szCs w:val="20"/>
        </w:rPr>
        <w:t xml:space="preserve"> założonych wskaźników. Zakres udzielanego wsparcia</w:t>
      </w:r>
      <w:r w:rsidR="00E66B89">
        <w:rPr>
          <w:rFonts w:cs="Calibri"/>
          <w:szCs w:val="20"/>
        </w:rPr>
        <w:t xml:space="preserve"> w </w:t>
      </w:r>
      <w:r w:rsidRPr="00404DA5">
        <w:rPr>
          <w:rFonts w:cs="Calibri"/>
          <w:szCs w:val="20"/>
        </w:rPr>
        <w:t>ramach Działania 2.14</w:t>
      </w:r>
      <w:r w:rsidR="00E66B89">
        <w:rPr>
          <w:rFonts w:cs="Calibri"/>
          <w:szCs w:val="20"/>
        </w:rPr>
        <w:t xml:space="preserve"> w </w:t>
      </w:r>
      <w:r w:rsidRPr="00404DA5">
        <w:rPr>
          <w:rFonts w:cs="Calibri"/>
          <w:szCs w:val="20"/>
        </w:rPr>
        <w:t>bardzo silny</w:t>
      </w:r>
      <w:r w:rsidR="00E66B89">
        <w:rPr>
          <w:rFonts w:cs="Calibri"/>
          <w:szCs w:val="20"/>
        </w:rPr>
        <w:t xml:space="preserve"> i </w:t>
      </w:r>
      <w:r w:rsidRPr="00404DA5">
        <w:rPr>
          <w:rFonts w:cs="Calibri"/>
          <w:szCs w:val="20"/>
        </w:rPr>
        <w:t>bezpośredni sposób łączy się ze zdiagnozowanymi potrzebami. Wymiana źródeł ciepła przyczyniać się będzie do stosowania nowszych, bardziej sprawnych technicznie instalacji. Ponadto stosowane będą do nich paliwa lepszej jakości. Powyższe czynniki będą przekładały się na znaczący wpływ poprawy emisyjności zanieczyszczeń ze wspartych źródeł ciepła.</w:t>
      </w:r>
    </w:p>
    <w:p w14:paraId="3F597471" w14:textId="77777777" w:rsidR="00370D80" w:rsidRPr="00404DA5" w:rsidRDefault="00370D80" w:rsidP="00370D80">
      <w:pPr>
        <w:rPr>
          <w:rFonts w:cs="Calibri"/>
          <w:szCs w:val="20"/>
        </w:rPr>
      </w:pPr>
      <w:r w:rsidRPr="00404DA5">
        <w:rPr>
          <w:rFonts w:cs="Calibri"/>
          <w:szCs w:val="20"/>
        </w:rPr>
        <w:t>W ramach PI 6e przewidziano następujące preferencje, które dodatkowo wzmacniają logikę interwencji</w:t>
      </w:r>
      <w:r>
        <w:rPr>
          <w:rFonts w:cs="Calibri"/>
          <w:szCs w:val="20"/>
        </w:rPr>
        <w:t>:</w:t>
      </w:r>
    </w:p>
    <w:p w14:paraId="65D4F62E" w14:textId="77777777" w:rsidR="00370D80" w:rsidRPr="00404DA5" w:rsidRDefault="00370D80" w:rsidP="00093E14">
      <w:pPr>
        <w:pStyle w:val="Akapitzlist"/>
        <w:numPr>
          <w:ilvl w:val="0"/>
          <w:numId w:val="4"/>
        </w:numPr>
        <w:spacing w:after="120" w:line="288" w:lineRule="auto"/>
        <w:rPr>
          <w:rFonts w:ascii="Lato" w:hAnsi="Lato" w:cs="Calibri"/>
          <w:sz w:val="20"/>
          <w:szCs w:val="20"/>
        </w:rPr>
      </w:pPr>
      <w:r w:rsidRPr="00404DA5">
        <w:rPr>
          <w:rFonts w:ascii="Lato" w:hAnsi="Lato" w:cs="Calibri"/>
          <w:sz w:val="20"/>
          <w:szCs w:val="20"/>
        </w:rPr>
        <w:t>dla obszarów, na których odnotowuje się znaczące przekroczenia wartości emisji zanieczyszczeń,</w:t>
      </w:r>
    </w:p>
    <w:p w14:paraId="35F52877" w14:textId="77777777" w:rsidR="00370D80" w:rsidRPr="00404DA5" w:rsidRDefault="00370D80" w:rsidP="00093E14">
      <w:pPr>
        <w:pStyle w:val="Akapitzlist"/>
        <w:numPr>
          <w:ilvl w:val="0"/>
          <w:numId w:val="4"/>
        </w:numPr>
        <w:spacing w:after="120" w:line="288" w:lineRule="auto"/>
        <w:rPr>
          <w:rFonts w:ascii="Lato" w:hAnsi="Lato" w:cs="Calibri"/>
          <w:sz w:val="20"/>
          <w:szCs w:val="20"/>
        </w:rPr>
      </w:pPr>
      <w:r w:rsidRPr="00404DA5">
        <w:rPr>
          <w:rFonts w:ascii="Lato" w:hAnsi="Lato" w:cs="Calibri"/>
          <w:sz w:val="20"/>
          <w:szCs w:val="20"/>
        </w:rPr>
        <w:t>dla projektów realizowanych przez gminy, które zadeklarują, że część wsparcia (minimum 30% wartości dofinansowania) ukierunkują na</w:t>
      </w:r>
      <w:r>
        <w:rPr>
          <w:rFonts w:ascii="Lato" w:hAnsi="Lato" w:cs="Calibri"/>
          <w:sz w:val="20"/>
          <w:szCs w:val="20"/>
        </w:rPr>
        <w:t xml:space="preserve"> </w:t>
      </w:r>
      <w:r w:rsidRPr="00404DA5">
        <w:rPr>
          <w:rFonts w:ascii="Lato" w:hAnsi="Lato" w:cs="Calibri"/>
          <w:sz w:val="20"/>
          <w:szCs w:val="20"/>
        </w:rPr>
        <w:t>mieszkania komunalne lub socjalne lub</w:t>
      </w:r>
      <w:r w:rsidR="00E66B89">
        <w:rPr>
          <w:rFonts w:ascii="Lato" w:hAnsi="Lato" w:cs="Calibri"/>
          <w:sz w:val="20"/>
          <w:szCs w:val="20"/>
        </w:rPr>
        <w:t xml:space="preserve"> w </w:t>
      </w:r>
      <w:r w:rsidRPr="00404DA5">
        <w:rPr>
          <w:rFonts w:ascii="Lato" w:hAnsi="Lato" w:cs="Calibri"/>
          <w:sz w:val="20"/>
          <w:szCs w:val="20"/>
        </w:rPr>
        <w:t>sektorze budownictwa socjalnego</w:t>
      </w:r>
      <w:r>
        <w:rPr>
          <w:rFonts w:ascii="Lato" w:hAnsi="Lato" w:cs="Calibri"/>
          <w:sz w:val="20"/>
          <w:szCs w:val="20"/>
        </w:rPr>
        <w:t>;</w:t>
      </w:r>
      <w:r w:rsidRPr="00404DA5">
        <w:rPr>
          <w:rFonts w:ascii="Lato" w:hAnsi="Lato" w:cs="Calibri"/>
          <w:sz w:val="20"/>
          <w:szCs w:val="20"/>
        </w:rPr>
        <w:t xml:space="preserve"> lub na obszarach</w:t>
      </w:r>
      <w:r w:rsidR="00E66B89">
        <w:rPr>
          <w:rFonts w:ascii="Lato" w:hAnsi="Lato" w:cs="Calibri"/>
          <w:sz w:val="20"/>
          <w:szCs w:val="20"/>
        </w:rPr>
        <w:t xml:space="preserve"> i w </w:t>
      </w:r>
      <w:r w:rsidRPr="00404DA5">
        <w:rPr>
          <w:rFonts w:ascii="Lato" w:hAnsi="Lato" w:cs="Calibri"/>
          <w:sz w:val="20"/>
          <w:szCs w:val="20"/>
        </w:rPr>
        <w:t>budynkach,</w:t>
      </w:r>
      <w:r w:rsidR="00E66B89">
        <w:rPr>
          <w:rFonts w:ascii="Lato" w:hAnsi="Lato" w:cs="Calibri"/>
          <w:sz w:val="20"/>
          <w:szCs w:val="20"/>
        </w:rPr>
        <w:t xml:space="preserve"> w </w:t>
      </w:r>
      <w:r w:rsidRPr="00404DA5">
        <w:rPr>
          <w:rFonts w:ascii="Lato" w:hAnsi="Lato" w:cs="Calibri"/>
          <w:sz w:val="20"/>
          <w:szCs w:val="20"/>
        </w:rPr>
        <w:t>których znaczna część mieszkańców pobiera zasiłki socjalne,</w:t>
      </w:r>
      <w:r w:rsidR="00E66B89">
        <w:rPr>
          <w:rFonts w:ascii="Lato" w:hAnsi="Lato" w:cs="Calibri"/>
          <w:sz w:val="20"/>
          <w:szCs w:val="20"/>
        </w:rPr>
        <w:t xml:space="preserve"> w </w:t>
      </w:r>
      <w:r w:rsidRPr="00404DA5">
        <w:rPr>
          <w:rFonts w:ascii="Lato" w:hAnsi="Lato" w:cs="Calibri"/>
          <w:sz w:val="20"/>
          <w:szCs w:val="20"/>
        </w:rPr>
        <w:t>tym zasiłek energetyczny,</w:t>
      </w:r>
    </w:p>
    <w:p w14:paraId="191E2A56" w14:textId="77777777" w:rsidR="00370D80" w:rsidRPr="00404DA5" w:rsidRDefault="00370D80" w:rsidP="00093E14">
      <w:pPr>
        <w:pStyle w:val="Akapitzlist"/>
        <w:numPr>
          <w:ilvl w:val="0"/>
          <w:numId w:val="4"/>
        </w:numPr>
        <w:spacing w:after="120" w:line="288" w:lineRule="auto"/>
        <w:rPr>
          <w:rFonts w:ascii="Lato" w:hAnsi="Lato" w:cs="Calibri"/>
          <w:sz w:val="20"/>
          <w:szCs w:val="20"/>
        </w:rPr>
      </w:pPr>
      <w:r w:rsidRPr="00404DA5">
        <w:rPr>
          <w:rFonts w:ascii="Lato" w:hAnsi="Lato" w:cs="Calibri"/>
          <w:sz w:val="20"/>
          <w:szCs w:val="20"/>
        </w:rPr>
        <w:t>dla projektów skorelowanych</w:t>
      </w:r>
      <w:r w:rsidR="00E66B89">
        <w:rPr>
          <w:rFonts w:ascii="Lato" w:hAnsi="Lato" w:cs="Calibri"/>
          <w:sz w:val="20"/>
          <w:szCs w:val="20"/>
        </w:rPr>
        <w:t xml:space="preserve"> z </w:t>
      </w:r>
      <w:r w:rsidRPr="00404DA5">
        <w:rPr>
          <w:rFonts w:ascii="Lato" w:hAnsi="Lato" w:cs="Calibri"/>
          <w:sz w:val="20"/>
          <w:szCs w:val="20"/>
        </w:rPr>
        <w:t>działaniami modernizacji energetycznej.</w:t>
      </w:r>
    </w:p>
    <w:p w14:paraId="44E547FF" w14:textId="6F981F4D" w:rsidR="00FA14F6" w:rsidRPr="00C637DB" w:rsidRDefault="00370D80" w:rsidP="00C637DB">
      <w:pPr>
        <w:rPr>
          <w:rFonts w:cs="Calibri"/>
          <w:szCs w:val="20"/>
        </w:rPr>
      </w:pPr>
      <w:r w:rsidRPr="00404DA5">
        <w:rPr>
          <w:rFonts w:cs="Calibri"/>
          <w:szCs w:val="20"/>
        </w:rPr>
        <w:t>Nadmierna obecność zanieczyszczeń</w:t>
      </w:r>
      <w:r w:rsidR="00E66B89">
        <w:rPr>
          <w:rFonts w:cs="Calibri"/>
          <w:szCs w:val="20"/>
        </w:rPr>
        <w:t xml:space="preserve"> w </w:t>
      </w:r>
      <w:r w:rsidRPr="00404DA5">
        <w:rPr>
          <w:rFonts w:cs="Calibri"/>
          <w:szCs w:val="20"/>
        </w:rPr>
        <w:t xml:space="preserve">powietrzu przyczynia się do </w:t>
      </w:r>
      <w:r w:rsidRPr="00B64629">
        <w:rPr>
          <w:rFonts w:cs="Calibri"/>
          <w:szCs w:val="20"/>
        </w:rPr>
        <w:t>pogorszenia</w:t>
      </w:r>
      <w:r w:rsidRPr="004A1EC8">
        <w:rPr>
          <w:rFonts w:cs="Calibri"/>
          <w:szCs w:val="20"/>
        </w:rPr>
        <w:t xml:space="preserve">, przede wszystkim jakości zdrowia (narażenia na zachorowania), ale także komfortu życia mieszkańców. </w:t>
      </w:r>
      <w:r w:rsidRPr="008B706B">
        <w:rPr>
          <w:rFonts w:cs="Calibri"/>
          <w:szCs w:val="20"/>
        </w:rPr>
        <w:t>Ocena logiki interwencji wsparcia</w:t>
      </w:r>
      <w:r w:rsidR="00E66B89">
        <w:rPr>
          <w:rFonts w:cs="Calibri"/>
          <w:szCs w:val="20"/>
        </w:rPr>
        <w:t xml:space="preserve"> w </w:t>
      </w:r>
      <w:r w:rsidRPr="008B706B">
        <w:rPr>
          <w:rFonts w:cs="Calibri"/>
          <w:szCs w:val="20"/>
        </w:rPr>
        <w:t>ramach PI6e jest bardzo wysoka</w:t>
      </w:r>
      <w:r w:rsidRPr="00B64629">
        <w:rPr>
          <w:rFonts w:cs="Calibri"/>
          <w:szCs w:val="20"/>
        </w:rPr>
        <w:t>. Wsparcie</w:t>
      </w:r>
      <w:r w:rsidR="00E66B89">
        <w:rPr>
          <w:rFonts w:cs="Calibri"/>
          <w:szCs w:val="20"/>
        </w:rPr>
        <w:t xml:space="preserve"> w </w:t>
      </w:r>
      <w:r w:rsidRPr="00B64629">
        <w:rPr>
          <w:rFonts w:cs="Calibri"/>
          <w:szCs w:val="20"/>
        </w:rPr>
        <w:t>ramach RPO WZ 2014-2020 wykazuje silne powiązanie ze zdiagnozowanymi problemami takimi jak narażenie mieszkańców województwa na pogorszenie jakości zdrowia</w:t>
      </w:r>
      <w:r w:rsidR="00E66B89">
        <w:rPr>
          <w:rFonts w:cs="Calibri"/>
          <w:szCs w:val="20"/>
        </w:rPr>
        <w:t xml:space="preserve"> i </w:t>
      </w:r>
      <w:r w:rsidRPr="00B64629">
        <w:rPr>
          <w:rFonts w:cs="Calibri"/>
          <w:szCs w:val="20"/>
        </w:rPr>
        <w:t>komfortu życia wskutek występowania wysokich stężeń zaniecz</w:t>
      </w:r>
      <w:r w:rsidRPr="004A1EC8">
        <w:rPr>
          <w:rFonts w:cs="Calibri"/>
          <w:szCs w:val="20"/>
        </w:rPr>
        <w:t>yszczeń</w:t>
      </w:r>
      <w:r w:rsidR="00E66B89">
        <w:rPr>
          <w:rFonts w:cs="Calibri"/>
          <w:szCs w:val="20"/>
        </w:rPr>
        <w:t xml:space="preserve"> w </w:t>
      </w:r>
      <w:r w:rsidRPr="004A1EC8">
        <w:rPr>
          <w:rFonts w:cs="Calibri"/>
          <w:szCs w:val="20"/>
        </w:rPr>
        <w:t>powietrzu, czy produkcja ciepła</w:t>
      </w:r>
      <w:r w:rsidR="00E66B89">
        <w:rPr>
          <w:rFonts w:cs="Calibri"/>
          <w:szCs w:val="20"/>
        </w:rPr>
        <w:t xml:space="preserve"> w </w:t>
      </w:r>
      <w:r w:rsidRPr="004A1EC8">
        <w:rPr>
          <w:rFonts w:cs="Calibri"/>
          <w:szCs w:val="20"/>
        </w:rPr>
        <w:t>nieefektywnych domowych instalacjach grzewczych</w:t>
      </w:r>
      <w:r w:rsidR="00E66B89">
        <w:rPr>
          <w:rFonts w:cs="Calibri"/>
          <w:szCs w:val="20"/>
        </w:rPr>
        <w:t xml:space="preserve"> i </w:t>
      </w:r>
      <w:r w:rsidRPr="004A1EC8">
        <w:rPr>
          <w:rFonts w:cs="Calibri"/>
          <w:szCs w:val="20"/>
        </w:rPr>
        <w:t xml:space="preserve">lokalnych kotłowniach węglowych (spalanie paliw niskiej jakości). Trafnie zidentyfikowano podmioty </w:t>
      </w:r>
      <w:r w:rsidRPr="004A1EC8">
        <w:rPr>
          <w:rFonts w:cs="Calibri"/>
          <w:szCs w:val="20"/>
        </w:rPr>
        <w:lastRenderedPageBreak/>
        <w:t xml:space="preserve">uprawnione do wnioskowania oraz typ projektu podlegający wsparciu. </w:t>
      </w:r>
      <w:r w:rsidRPr="008B706B">
        <w:rPr>
          <w:rFonts w:cs="Calibri"/>
          <w:szCs w:val="20"/>
        </w:rPr>
        <w:t xml:space="preserve">Redukcja emisji (CO2, pyłów, tlenków siarki) </w:t>
      </w:r>
      <w:r w:rsidRPr="00B64629">
        <w:rPr>
          <w:rFonts w:cs="Calibri"/>
          <w:szCs w:val="20"/>
        </w:rPr>
        <w:t>będzie wynikała</w:t>
      </w:r>
      <w:r w:rsidR="00E66B89">
        <w:rPr>
          <w:rFonts w:cs="Calibri"/>
          <w:szCs w:val="20"/>
        </w:rPr>
        <w:t xml:space="preserve"> z </w:t>
      </w:r>
      <w:r w:rsidRPr="00B64629">
        <w:rPr>
          <w:rFonts w:cs="Calibri"/>
          <w:szCs w:val="20"/>
        </w:rPr>
        <w:t>wymian</w:t>
      </w:r>
      <w:r>
        <w:rPr>
          <w:rFonts w:cs="Calibri"/>
          <w:szCs w:val="20"/>
        </w:rPr>
        <w:t>y</w:t>
      </w:r>
      <w:r w:rsidRPr="00B64629">
        <w:rPr>
          <w:rFonts w:cs="Calibri"/>
          <w:szCs w:val="20"/>
        </w:rPr>
        <w:t xml:space="preserve"> dotychczasowych źródeł ciepła tj. pieców, kotłów na paliwa stałe (na piece bardziej efektywne,</w:t>
      </w:r>
      <w:r w:rsidR="00E66B89">
        <w:rPr>
          <w:rFonts w:cs="Calibri"/>
          <w:szCs w:val="20"/>
        </w:rPr>
        <w:t xml:space="preserve"> o </w:t>
      </w:r>
      <w:r w:rsidRPr="00B64629">
        <w:rPr>
          <w:rFonts w:cs="Calibri"/>
          <w:szCs w:val="20"/>
        </w:rPr>
        <w:t xml:space="preserve">niższej emisyjności). </w:t>
      </w:r>
      <w:r w:rsidRPr="008B706B">
        <w:rPr>
          <w:rFonts w:cs="Calibri"/>
          <w:i/>
          <w:szCs w:val="20"/>
        </w:rPr>
        <w:t>Liczba zmodernizowanych źródeł ciepła</w:t>
      </w:r>
      <w:r w:rsidRPr="00B64629">
        <w:rPr>
          <w:rFonts w:cs="Calibri"/>
          <w:szCs w:val="20"/>
        </w:rPr>
        <w:t xml:space="preserve"> będzie przyczyniała się d</w:t>
      </w:r>
      <w:r w:rsidRPr="004A1EC8">
        <w:rPr>
          <w:rFonts w:cs="Calibri"/>
          <w:szCs w:val="20"/>
        </w:rPr>
        <w:t>o wzrostu powierzchni lokali objętych wsparciem.</w:t>
      </w:r>
      <w:r w:rsidR="00E66B89">
        <w:rPr>
          <w:rFonts w:cs="Calibri"/>
          <w:szCs w:val="20"/>
        </w:rPr>
        <w:t xml:space="preserve"> W </w:t>
      </w:r>
      <w:r w:rsidRPr="004A1EC8">
        <w:rPr>
          <w:rFonts w:cs="Calibri"/>
          <w:szCs w:val="20"/>
        </w:rPr>
        <w:t xml:space="preserve">wyniku poprawy efektywności wytwarzania energii </w:t>
      </w:r>
      <w:r w:rsidRPr="008B706B">
        <w:rPr>
          <w:rFonts w:cs="Calibri"/>
          <w:szCs w:val="20"/>
        </w:rPr>
        <w:t>zmniejszy się zużycie energii końcowej</w:t>
      </w:r>
      <w:r w:rsidR="00C637DB">
        <w:rPr>
          <w:rFonts w:cs="Calibri"/>
          <w:szCs w:val="20"/>
        </w:rPr>
        <w:t xml:space="preserve">. </w:t>
      </w:r>
    </w:p>
    <w:p w14:paraId="12E1C299" w14:textId="12F7BB9E" w:rsidR="00370D80" w:rsidRPr="00404DA5" w:rsidRDefault="00370D80" w:rsidP="00370D80">
      <w:pPr>
        <w:pStyle w:val="Nagwek4"/>
        <w:numPr>
          <w:ilvl w:val="0"/>
          <w:numId w:val="0"/>
        </w:numPr>
        <w:rPr>
          <w:rFonts w:ascii="Lato" w:hAnsi="Lato" w:cs="Calibri"/>
          <w:color w:val="FF0000"/>
          <w:szCs w:val="20"/>
        </w:rPr>
      </w:pPr>
      <w:r w:rsidRPr="00436D27">
        <w:rPr>
          <w:rFonts w:ascii="Lato" w:eastAsia="Calibri" w:hAnsi="Lato"/>
        </w:rPr>
        <w:t xml:space="preserve">Wskaźniki rezultatu strategicznego </w:t>
      </w:r>
    </w:p>
    <w:p w14:paraId="79F31C7A" w14:textId="77777777" w:rsidR="00370D80" w:rsidRPr="00404DA5" w:rsidRDefault="00370D80" w:rsidP="00370D80">
      <w:pPr>
        <w:rPr>
          <w:rFonts w:cs="Calibri"/>
          <w:szCs w:val="20"/>
        </w:rPr>
      </w:pPr>
      <w:r w:rsidRPr="00404DA5">
        <w:rPr>
          <w:rFonts w:cs="Calibri"/>
          <w:szCs w:val="20"/>
        </w:rPr>
        <w:t>W poniższej tabeli zaprezentowano wskaźniki rezultatu strategicznego dla PI 6e.</w:t>
      </w:r>
    </w:p>
    <w:p w14:paraId="7E987DA9" w14:textId="77777777" w:rsidR="00370D80" w:rsidRPr="00436D27" w:rsidRDefault="00370D80" w:rsidP="006E34DC">
      <w:pPr>
        <w:pStyle w:val="Legenda"/>
        <w:spacing w:after="0"/>
      </w:pPr>
      <w:bookmarkStart w:id="92" w:name="_Toc8824142"/>
      <w:r w:rsidRPr="00436D27">
        <w:t xml:space="preserve">Tabela </w:t>
      </w:r>
      <w:r>
        <w:fldChar w:fldCharType="begin"/>
      </w:r>
      <w:r>
        <w:instrText xml:space="preserve"> SEQ Tabela \* ARABIC </w:instrText>
      </w:r>
      <w:r>
        <w:fldChar w:fldCharType="separate"/>
      </w:r>
      <w:r w:rsidR="00763345">
        <w:rPr>
          <w:noProof/>
        </w:rPr>
        <w:t>31</w:t>
      </w:r>
      <w:r>
        <w:fldChar w:fldCharType="end"/>
      </w:r>
      <w:r w:rsidRPr="00436D27">
        <w:t xml:space="preserve"> Specyficzne dla programu wskaźniki rezultatu</w:t>
      </w:r>
      <w:r w:rsidR="00E66B89">
        <w:t xml:space="preserve"> w </w:t>
      </w:r>
      <w:r w:rsidRPr="00436D27">
        <w:t>podziale na poszczególne cele (w odniesieniu do EFRR</w:t>
      </w:r>
      <w:r w:rsidR="00E66B89">
        <w:t xml:space="preserve"> i </w:t>
      </w:r>
      <w:r w:rsidRPr="00436D27">
        <w:t>Funduszu Spójności)</w:t>
      </w:r>
      <w:bookmarkEnd w:id="9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0"/>
        <w:gridCol w:w="1815"/>
        <w:gridCol w:w="810"/>
        <w:gridCol w:w="990"/>
        <w:gridCol w:w="750"/>
        <w:gridCol w:w="690"/>
        <w:gridCol w:w="1155"/>
        <w:gridCol w:w="1365"/>
        <w:gridCol w:w="1020"/>
      </w:tblGrid>
      <w:tr w:rsidR="00370D80" w:rsidRPr="00436D27" w14:paraId="640764D1" w14:textId="77777777" w:rsidTr="00370D80">
        <w:trPr>
          <w:tblHeader/>
        </w:trPr>
        <w:tc>
          <w:tcPr>
            <w:tcW w:w="6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19BAA6" w14:textId="77777777" w:rsidR="00370D80" w:rsidRPr="00404DA5" w:rsidRDefault="00370D80" w:rsidP="00370D80">
            <w:pPr>
              <w:rPr>
                <w:rFonts w:cs="Calibri"/>
                <w:sz w:val="16"/>
                <w:szCs w:val="20"/>
              </w:rPr>
            </w:pPr>
            <w:r w:rsidRPr="00404DA5">
              <w:rPr>
                <w:rFonts w:cs="Calibri"/>
                <w:sz w:val="16"/>
                <w:szCs w:val="20"/>
              </w:rPr>
              <w:t>Lp.</w:t>
            </w:r>
          </w:p>
        </w:tc>
        <w:tc>
          <w:tcPr>
            <w:tcW w:w="18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1A4EB0" w14:textId="77777777" w:rsidR="00370D80" w:rsidRPr="00404DA5" w:rsidRDefault="00370D80" w:rsidP="00370D80">
            <w:pPr>
              <w:rPr>
                <w:rFonts w:cs="Calibri"/>
                <w:sz w:val="16"/>
                <w:szCs w:val="20"/>
              </w:rPr>
            </w:pPr>
            <w:r w:rsidRPr="00404DA5">
              <w:rPr>
                <w:rFonts w:cs="Calibri"/>
                <w:sz w:val="16"/>
                <w:szCs w:val="20"/>
              </w:rPr>
              <w:t>Wskaźnik</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49B4B7" w14:textId="77777777" w:rsidR="00370D80" w:rsidRPr="00404DA5" w:rsidRDefault="00370D80" w:rsidP="00370D80">
            <w:pPr>
              <w:rPr>
                <w:rFonts w:cs="Calibri"/>
                <w:sz w:val="16"/>
                <w:szCs w:val="20"/>
              </w:rPr>
            </w:pPr>
            <w:r w:rsidRPr="00404DA5">
              <w:rPr>
                <w:rFonts w:cs="Calibri"/>
                <w:sz w:val="16"/>
                <w:szCs w:val="20"/>
              </w:rPr>
              <w:t>Jednostka</w:t>
            </w:r>
            <w:r w:rsidRPr="00404DA5">
              <w:rPr>
                <w:rFonts w:cs="Calibri"/>
                <w:sz w:val="16"/>
                <w:szCs w:val="20"/>
              </w:rPr>
              <w:br/>
              <w:t>pomiaru</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A6B735" w14:textId="77777777" w:rsidR="00370D80" w:rsidRPr="00404DA5" w:rsidRDefault="00370D80" w:rsidP="00370D80">
            <w:pPr>
              <w:rPr>
                <w:rFonts w:cs="Calibri"/>
                <w:sz w:val="16"/>
                <w:szCs w:val="20"/>
              </w:rPr>
            </w:pPr>
            <w:r w:rsidRPr="00404DA5">
              <w:rPr>
                <w:rFonts w:cs="Calibri"/>
                <w:sz w:val="16"/>
                <w:szCs w:val="20"/>
              </w:rPr>
              <w:t>Kategoria</w:t>
            </w:r>
            <w:r w:rsidRPr="00404DA5">
              <w:rPr>
                <w:rFonts w:cs="Calibri"/>
                <w:sz w:val="16"/>
                <w:szCs w:val="20"/>
              </w:rPr>
              <w:br/>
              <w:t>regionu</w:t>
            </w:r>
          </w:p>
        </w:tc>
        <w:tc>
          <w:tcPr>
            <w:tcW w:w="75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CF4737" w14:textId="77777777" w:rsidR="00370D80" w:rsidRPr="00404DA5" w:rsidRDefault="00370D80" w:rsidP="00370D80">
            <w:pPr>
              <w:rPr>
                <w:rFonts w:cs="Calibri"/>
                <w:sz w:val="16"/>
                <w:szCs w:val="20"/>
              </w:rPr>
            </w:pPr>
            <w:r w:rsidRPr="00404DA5">
              <w:rPr>
                <w:rFonts w:cs="Calibri"/>
                <w:sz w:val="16"/>
                <w:szCs w:val="20"/>
              </w:rPr>
              <w:t>Wartość</w:t>
            </w:r>
            <w:r w:rsidRPr="00404DA5">
              <w:rPr>
                <w:rFonts w:cs="Calibri"/>
                <w:sz w:val="16"/>
                <w:szCs w:val="20"/>
              </w:rPr>
              <w:br/>
              <w:t>bazowa</w:t>
            </w:r>
          </w:p>
        </w:tc>
        <w:tc>
          <w:tcPr>
            <w:tcW w:w="6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EBF674" w14:textId="77777777" w:rsidR="00370D80" w:rsidRPr="00404DA5" w:rsidRDefault="00370D80" w:rsidP="00370D80">
            <w:pPr>
              <w:rPr>
                <w:rFonts w:cs="Calibri"/>
                <w:sz w:val="16"/>
                <w:szCs w:val="20"/>
              </w:rPr>
            </w:pPr>
            <w:r w:rsidRPr="00404DA5">
              <w:rPr>
                <w:rFonts w:cs="Calibri"/>
                <w:sz w:val="16"/>
                <w:szCs w:val="20"/>
              </w:rPr>
              <w:t>Rok bazowy</w:t>
            </w:r>
          </w:p>
        </w:tc>
        <w:tc>
          <w:tcPr>
            <w:tcW w:w="11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5A8215" w14:textId="77777777" w:rsidR="00370D80" w:rsidRPr="00404DA5" w:rsidRDefault="00370D80" w:rsidP="00370D80">
            <w:pPr>
              <w:rPr>
                <w:rFonts w:cs="Calibri"/>
                <w:sz w:val="16"/>
                <w:szCs w:val="20"/>
              </w:rPr>
            </w:pPr>
            <w:r w:rsidRPr="00404DA5">
              <w:rPr>
                <w:rFonts w:cs="Calibri"/>
                <w:sz w:val="16"/>
                <w:szCs w:val="20"/>
              </w:rPr>
              <w:t>Wartość</w:t>
            </w:r>
            <w:r w:rsidRPr="00404DA5">
              <w:rPr>
                <w:rFonts w:cs="Calibri"/>
                <w:sz w:val="16"/>
                <w:szCs w:val="20"/>
              </w:rPr>
              <w:br/>
              <w:t>docelowa</w:t>
            </w:r>
            <w:r w:rsidRPr="00404DA5">
              <w:rPr>
                <w:rFonts w:cs="Calibri"/>
                <w:sz w:val="16"/>
                <w:szCs w:val="20"/>
              </w:rPr>
              <w:br/>
              <w:t>(2023)</w:t>
            </w:r>
          </w:p>
        </w:tc>
        <w:tc>
          <w:tcPr>
            <w:tcW w:w="13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3D0D1C" w14:textId="77777777" w:rsidR="00370D80" w:rsidRPr="00404DA5" w:rsidRDefault="00370D80" w:rsidP="00370D80">
            <w:pPr>
              <w:rPr>
                <w:rFonts w:cs="Calibri"/>
                <w:sz w:val="16"/>
                <w:szCs w:val="20"/>
              </w:rPr>
            </w:pPr>
            <w:r w:rsidRPr="00404DA5">
              <w:rPr>
                <w:rFonts w:cs="Calibri"/>
                <w:sz w:val="16"/>
                <w:szCs w:val="20"/>
              </w:rPr>
              <w:t>Źródło</w:t>
            </w:r>
            <w:r w:rsidRPr="00404DA5">
              <w:rPr>
                <w:rFonts w:cs="Calibri"/>
                <w:sz w:val="16"/>
                <w:szCs w:val="20"/>
              </w:rPr>
              <w:br/>
              <w:t>danych</w:t>
            </w:r>
          </w:p>
        </w:tc>
        <w:tc>
          <w:tcPr>
            <w:tcW w:w="10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2CCED4" w14:textId="77777777" w:rsidR="00370D80" w:rsidRPr="00404DA5" w:rsidRDefault="00370D80" w:rsidP="00370D80">
            <w:pPr>
              <w:rPr>
                <w:rFonts w:cs="Calibri"/>
                <w:sz w:val="16"/>
                <w:szCs w:val="20"/>
              </w:rPr>
            </w:pPr>
            <w:r w:rsidRPr="00404DA5">
              <w:rPr>
                <w:rFonts w:cs="Calibri"/>
                <w:sz w:val="16"/>
                <w:szCs w:val="20"/>
              </w:rPr>
              <w:t>Częstotliwość</w:t>
            </w:r>
            <w:r w:rsidRPr="00404DA5">
              <w:rPr>
                <w:rFonts w:cs="Calibri"/>
                <w:sz w:val="16"/>
                <w:szCs w:val="20"/>
              </w:rPr>
              <w:br/>
              <w:t>pomiaru</w:t>
            </w:r>
          </w:p>
        </w:tc>
      </w:tr>
      <w:tr w:rsidR="00370D80" w:rsidRPr="00436D27" w14:paraId="6A1FF553" w14:textId="77777777" w:rsidTr="00370D80">
        <w:tc>
          <w:tcPr>
            <w:tcW w:w="600" w:type="dxa"/>
            <w:tcBorders>
              <w:top w:val="single" w:sz="4" w:space="0" w:color="auto"/>
              <w:left w:val="single" w:sz="4" w:space="0" w:color="auto"/>
              <w:bottom w:val="single" w:sz="4" w:space="0" w:color="auto"/>
              <w:right w:val="single" w:sz="4" w:space="0" w:color="auto"/>
            </w:tcBorders>
            <w:vAlign w:val="center"/>
            <w:hideMark/>
          </w:tcPr>
          <w:p w14:paraId="0AB3A2E9" w14:textId="77777777" w:rsidR="00370D80" w:rsidRPr="00404DA5" w:rsidRDefault="00370D80" w:rsidP="00370D80">
            <w:pPr>
              <w:rPr>
                <w:rFonts w:cs="Calibri"/>
                <w:sz w:val="16"/>
                <w:szCs w:val="20"/>
              </w:rPr>
            </w:pPr>
            <w:r w:rsidRPr="00404DA5">
              <w:rPr>
                <w:rFonts w:cs="Calibri"/>
                <w:sz w:val="16"/>
                <w:szCs w:val="20"/>
              </w:rPr>
              <w:t xml:space="preserve">R.66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87D7739" w14:textId="77777777" w:rsidR="00370D80" w:rsidRPr="00404DA5" w:rsidRDefault="00370D80" w:rsidP="00370D80">
            <w:pPr>
              <w:rPr>
                <w:rFonts w:cs="Calibri"/>
                <w:sz w:val="16"/>
                <w:szCs w:val="20"/>
              </w:rPr>
            </w:pPr>
            <w:r w:rsidRPr="00404DA5">
              <w:rPr>
                <w:rFonts w:cs="Calibri"/>
                <w:sz w:val="16"/>
                <w:szCs w:val="20"/>
              </w:rPr>
              <w:t>Poziom stężenia</w:t>
            </w:r>
            <w:r w:rsidRPr="00404DA5">
              <w:rPr>
                <w:rFonts w:cs="Calibri"/>
                <w:sz w:val="16"/>
                <w:szCs w:val="20"/>
              </w:rPr>
              <w:br/>
              <w:t>pyłu zawieszonego</w:t>
            </w:r>
            <w:r w:rsidRPr="00404DA5">
              <w:rPr>
                <w:rFonts w:cs="Calibri"/>
                <w:sz w:val="16"/>
                <w:szCs w:val="20"/>
              </w:rPr>
              <w:br/>
              <w:t>PM10 (lokalnie)</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53907C" w14:textId="77777777" w:rsidR="00370D80" w:rsidRPr="00404DA5" w:rsidRDefault="00370D80" w:rsidP="00370D80">
            <w:pPr>
              <w:rPr>
                <w:rFonts w:cs="Calibri"/>
                <w:sz w:val="16"/>
                <w:szCs w:val="20"/>
              </w:rPr>
            </w:pPr>
            <w:r w:rsidRPr="00404DA5">
              <w:rPr>
                <w:rFonts w:cs="Calibri"/>
                <w:sz w:val="16"/>
                <w:szCs w:val="20"/>
              </w:rPr>
              <w:t xml:space="preserve">µg/m3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DAC986" w14:textId="77777777" w:rsidR="00370D80" w:rsidRPr="00404DA5" w:rsidRDefault="00370D80" w:rsidP="00370D80">
            <w:pPr>
              <w:rPr>
                <w:rFonts w:cs="Calibri"/>
                <w:sz w:val="16"/>
                <w:szCs w:val="20"/>
              </w:rPr>
            </w:pPr>
            <w:r w:rsidRPr="00404DA5">
              <w:rPr>
                <w:rFonts w:cs="Calibri"/>
                <w:sz w:val="16"/>
                <w:szCs w:val="20"/>
              </w:rPr>
              <w:t>słabiej</w:t>
            </w:r>
            <w:r w:rsidRPr="00404DA5">
              <w:rPr>
                <w:rFonts w:cs="Calibri"/>
                <w:sz w:val="16"/>
                <w:szCs w:val="20"/>
              </w:rPr>
              <w:br/>
              <w:t>rozwinięty</w:t>
            </w:r>
          </w:p>
        </w:tc>
        <w:tc>
          <w:tcPr>
            <w:tcW w:w="750" w:type="dxa"/>
            <w:tcBorders>
              <w:top w:val="single" w:sz="4" w:space="0" w:color="auto"/>
              <w:left w:val="single" w:sz="4" w:space="0" w:color="auto"/>
              <w:bottom w:val="single" w:sz="4" w:space="0" w:color="auto"/>
              <w:right w:val="single" w:sz="4" w:space="0" w:color="auto"/>
            </w:tcBorders>
            <w:vAlign w:val="center"/>
            <w:hideMark/>
          </w:tcPr>
          <w:p w14:paraId="747209D8" w14:textId="77777777" w:rsidR="00370D80" w:rsidRPr="00404DA5" w:rsidRDefault="00370D80" w:rsidP="00370D80">
            <w:pPr>
              <w:rPr>
                <w:rFonts w:cs="Calibri"/>
                <w:sz w:val="16"/>
                <w:szCs w:val="20"/>
              </w:rPr>
            </w:pPr>
            <w:r w:rsidRPr="00404DA5">
              <w:rPr>
                <w:rFonts w:cs="Calibri"/>
                <w:sz w:val="16"/>
                <w:szCs w:val="20"/>
              </w:rPr>
              <w:t xml:space="preserve">21 </w:t>
            </w:r>
          </w:p>
        </w:tc>
        <w:tc>
          <w:tcPr>
            <w:tcW w:w="690" w:type="dxa"/>
            <w:tcBorders>
              <w:top w:val="single" w:sz="4" w:space="0" w:color="auto"/>
              <w:left w:val="single" w:sz="4" w:space="0" w:color="auto"/>
              <w:bottom w:val="single" w:sz="4" w:space="0" w:color="auto"/>
              <w:right w:val="single" w:sz="4" w:space="0" w:color="auto"/>
            </w:tcBorders>
            <w:vAlign w:val="center"/>
            <w:hideMark/>
          </w:tcPr>
          <w:p w14:paraId="55F0A073" w14:textId="77777777" w:rsidR="00370D80" w:rsidRPr="00404DA5" w:rsidRDefault="00370D80" w:rsidP="00370D80">
            <w:pPr>
              <w:rPr>
                <w:rFonts w:cs="Calibri"/>
                <w:sz w:val="16"/>
                <w:szCs w:val="20"/>
              </w:rPr>
            </w:pPr>
            <w:r w:rsidRPr="00404DA5">
              <w:rPr>
                <w:rFonts w:cs="Calibri"/>
                <w:sz w:val="16"/>
                <w:szCs w:val="20"/>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B4834B9" w14:textId="77777777" w:rsidR="00370D80" w:rsidRPr="00404DA5" w:rsidRDefault="00370D80" w:rsidP="00370D80">
            <w:pPr>
              <w:rPr>
                <w:rFonts w:cs="Calibri"/>
                <w:sz w:val="16"/>
                <w:szCs w:val="20"/>
              </w:rPr>
            </w:pPr>
            <w:r w:rsidRPr="00404DA5">
              <w:rPr>
                <w:rFonts w:cs="Calibri"/>
                <w:sz w:val="16"/>
                <w:szCs w:val="20"/>
              </w:rPr>
              <w:t xml:space="preserve">20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C1B419F" w14:textId="77777777" w:rsidR="00370D80" w:rsidRPr="00404DA5" w:rsidRDefault="00370D80" w:rsidP="00370D80">
            <w:pPr>
              <w:rPr>
                <w:rFonts w:cs="Calibri"/>
                <w:sz w:val="16"/>
                <w:szCs w:val="20"/>
              </w:rPr>
            </w:pPr>
            <w:r w:rsidRPr="00404DA5">
              <w:rPr>
                <w:rFonts w:cs="Calibri"/>
                <w:sz w:val="16"/>
                <w:szCs w:val="20"/>
              </w:rPr>
              <w:t xml:space="preserve">Dane WIOŚ </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CB1553D" w14:textId="77777777" w:rsidR="00370D80" w:rsidRPr="00404DA5" w:rsidRDefault="00370D80" w:rsidP="00370D80">
            <w:pPr>
              <w:rPr>
                <w:rFonts w:cs="Calibri"/>
                <w:sz w:val="16"/>
                <w:szCs w:val="20"/>
              </w:rPr>
            </w:pPr>
            <w:r w:rsidRPr="00404DA5">
              <w:rPr>
                <w:rFonts w:cs="Calibri"/>
                <w:sz w:val="16"/>
                <w:szCs w:val="20"/>
              </w:rPr>
              <w:t>raz</w:t>
            </w:r>
            <w:r w:rsidR="00E66B89">
              <w:rPr>
                <w:rFonts w:cs="Calibri"/>
                <w:sz w:val="16"/>
                <w:szCs w:val="20"/>
              </w:rPr>
              <w:t xml:space="preserve"> w </w:t>
            </w:r>
            <w:r w:rsidRPr="00404DA5">
              <w:rPr>
                <w:rFonts w:cs="Calibri"/>
                <w:sz w:val="16"/>
                <w:szCs w:val="20"/>
              </w:rPr>
              <w:t>roku</w:t>
            </w:r>
          </w:p>
        </w:tc>
      </w:tr>
      <w:tr w:rsidR="00370D80" w:rsidRPr="00436D27" w14:paraId="4D18EA4C" w14:textId="77777777" w:rsidTr="00370D80">
        <w:tc>
          <w:tcPr>
            <w:tcW w:w="600" w:type="dxa"/>
            <w:tcBorders>
              <w:top w:val="single" w:sz="4" w:space="0" w:color="auto"/>
              <w:left w:val="single" w:sz="4" w:space="0" w:color="auto"/>
              <w:bottom w:val="single" w:sz="4" w:space="0" w:color="auto"/>
              <w:right w:val="single" w:sz="4" w:space="0" w:color="auto"/>
            </w:tcBorders>
            <w:vAlign w:val="center"/>
            <w:hideMark/>
          </w:tcPr>
          <w:p w14:paraId="67136E35" w14:textId="77777777" w:rsidR="00370D80" w:rsidRPr="00404DA5" w:rsidRDefault="00370D80" w:rsidP="00370D80">
            <w:pPr>
              <w:rPr>
                <w:rFonts w:cs="Calibri"/>
                <w:sz w:val="16"/>
                <w:szCs w:val="20"/>
              </w:rPr>
            </w:pPr>
            <w:r w:rsidRPr="00404DA5">
              <w:rPr>
                <w:rFonts w:cs="Calibri"/>
                <w:sz w:val="16"/>
                <w:szCs w:val="20"/>
              </w:rPr>
              <w:t xml:space="preserve">R.67 </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F77C729" w14:textId="77777777" w:rsidR="00370D80" w:rsidRPr="00404DA5" w:rsidRDefault="00370D80" w:rsidP="00370D80">
            <w:pPr>
              <w:rPr>
                <w:rFonts w:cs="Calibri"/>
                <w:sz w:val="16"/>
                <w:szCs w:val="20"/>
              </w:rPr>
            </w:pPr>
            <w:r w:rsidRPr="00404DA5">
              <w:rPr>
                <w:rFonts w:cs="Calibri"/>
                <w:sz w:val="16"/>
                <w:szCs w:val="20"/>
              </w:rPr>
              <w:t>Liczba dni</w:t>
            </w:r>
            <w:r w:rsidR="00E66B89">
              <w:rPr>
                <w:rFonts w:cs="Calibri"/>
                <w:sz w:val="16"/>
                <w:szCs w:val="20"/>
              </w:rPr>
              <w:t xml:space="preserve"> w </w:t>
            </w:r>
            <w:r w:rsidRPr="00404DA5">
              <w:rPr>
                <w:rFonts w:cs="Calibri"/>
                <w:sz w:val="16"/>
                <w:szCs w:val="20"/>
              </w:rPr>
              <w:t>roku z</w:t>
            </w:r>
            <w:r w:rsidRPr="00404DA5">
              <w:rPr>
                <w:rFonts w:cs="Calibri"/>
                <w:sz w:val="16"/>
                <w:szCs w:val="20"/>
              </w:rPr>
              <w:br/>
              <w:t>przekroczeniem</w:t>
            </w:r>
            <w:r w:rsidRPr="00404DA5">
              <w:rPr>
                <w:rFonts w:cs="Calibri"/>
                <w:sz w:val="16"/>
                <w:szCs w:val="20"/>
              </w:rPr>
              <w:br/>
              <w:t>dziennej</w:t>
            </w:r>
            <w:r w:rsidRPr="00404DA5">
              <w:rPr>
                <w:rFonts w:cs="Calibri"/>
                <w:sz w:val="16"/>
                <w:szCs w:val="20"/>
              </w:rPr>
              <w:br/>
              <w:t>dopuszczalnej</w:t>
            </w:r>
            <w:r w:rsidRPr="00404DA5">
              <w:rPr>
                <w:rFonts w:cs="Calibri"/>
                <w:sz w:val="16"/>
                <w:szCs w:val="20"/>
              </w:rPr>
              <w:br/>
              <w:t>normy stężenia</w:t>
            </w:r>
            <w:r w:rsidRPr="00404DA5">
              <w:rPr>
                <w:rFonts w:cs="Calibri"/>
                <w:sz w:val="16"/>
                <w:szCs w:val="20"/>
              </w:rPr>
              <w:br/>
              <w:t>pyłu PM10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1205CEA" w14:textId="77777777" w:rsidR="00370D80" w:rsidRPr="00404DA5" w:rsidRDefault="00370D80" w:rsidP="00370D80">
            <w:pPr>
              <w:rPr>
                <w:rFonts w:cs="Calibri"/>
                <w:sz w:val="16"/>
                <w:szCs w:val="20"/>
              </w:rPr>
            </w:pPr>
            <w:r w:rsidRPr="00404DA5">
              <w:rPr>
                <w:rFonts w:cs="Calibri"/>
                <w:sz w:val="16"/>
                <w:szCs w:val="20"/>
              </w:rPr>
              <w:t xml:space="preserve">dni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9961F0" w14:textId="77777777" w:rsidR="00370D80" w:rsidRPr="00404DA5" w:rsidRDefault="00370D80" w:rsidP="00370D80">
            <w:pPr>
              <w:rPr>
                <w:rFonts w:cs="Calibri"/>
                <w:sz w:val="16"/>
                <w:szCs w:val="20"/>
              </w:rPr>
            </w:pPr>
            <w:r w:rsidRPr="00404DA5">
              <w:rPr>
                <w:rFonts w:cs="Calibri"/>
                <w:sz w:val="16"/>
                <w:szCs w:val="20"/>
              </w:rPr>
              <w:t>słabiej</w:t>
            </w:r>
            <w:r w:rsidRPr="00404DA5">
              <w:rPr>
                <w:rFonts w:cs="Calibri"/>
                <w:sz w:val="16"/>
                <w:szCs w:val="20"/>
              </w:rPr>
              <w:br/>
              <w:t>rozwinięty</w:t>
            </w:r>
          </w:p>
        </w:tc>
        <w:tc>
          <w:tcPr>
            <w:tcW w:w="750" w:type="dxa"/>
            <w:tcBorders>
              <w:top w:val="single" w:sz="4" w:space="0" w:color="auto"/>
              <w:left w:val="single" w:sz="4" w:space="0" w:color="auto"/>
              <w:bottom w:val="single" w:sz="4" w:space="0" w:color="auto"/>
              <w:right w:val="single" w:sz="4" w:space="0" w:color="auto"/>
            </w:tcBorders>
            <w:vAlign w:val="center"/>
            <w:hideMark/>
          </w:tcPr>
          <w:p w14:paraId="644F015D" w14:textId="77777777" w:rsidR="00370D80" w:rsidRPr="00404DA5" w:rsidRDefault="00370D80" w:rsidP="00370D80">
            <w:pPr>
              <w:rPr>
                <w:rFonts w:cs="Calibri"/>
                <w:sz w:val="16"/>
                <w:szCs w:val="20"/>
              </w:rPr>
            </w:pPr>
            <w:r w:rsidRPr="00404DA5">
              <w:rPr>
                <w:rFonts w:cs="Calibri"/>
                <w:sz w:val="16"/>
                <w:szCs w:val="20"/>
              </w:rPr>
              <w:t xml:space="preserve">15 </w:t>
            </w:r>
          </w:p>
        </w:tc>
        <w:tc>
          <w:tcPr>
            <w:tcW w:w="690" w:type="dxa"/>
            <w:tcBorders>
              <w:top w:val="single" w:sz="4" w:space="0" w:color="auto"/>
              <w:left w:val="single" w:sz="4" w:space="0" w:color="auto"/>
              <w:bottom w:val="single" w:sz="4" w:space="0" w:color="auto"/>
              <w:right w:val="single" w:sz="4" w:space="0" w:color="auto"/>
            </w:tcBorders>
            <w:vAlign w:val="center"/>
            <w:hideMark/>
          </w:tcPr>
          <w:p w14:paraId="45F42A12" w14:textId="77777777" w:rsidR="00370D80" w:rsidRPr="00404DA5" w:rsidRDefault="00370D80" w:rsidP="00370D80">
            <w:pPr>
              <w:rPr>
                <w:rFonts w:cs="Calibri"/>
                <w:sz w:val="16"/>
                <w:szCs w:val="20"/>
              </w:rPr>
            </w:pPr>
            <w:r w:rsidRPr="00404DA5">
              <w:rPr>
                <w:rFonts w:cs="Calibri"/>
                <w:sz w:val="16"/>
                <w:szCs w:val="20"/>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2FED3D9" w14:textId="77777777" w:rsidR="00370D80" w:rsidRPr="00404DA5" w:rsidRDefault="00370D80" w:rsidP="00370D80">
            <w:pPr>
              <w:rPr>
                <w:rFonts w:cs="Calibri"/>
                <w:sz w:val="16"/>
                <w:szCs w:val="20"/>
              </w:rPr>
            </w:pPr>
            <w:r w:rsidRPr="00404DA5">
              <w:rPr>
                <w:rFonts w:cs="Calibri"/>
                <w:sz w:val="16"/>
                <w:szCs w:val="20"/>
              </w:rPr>
              <w:t xml:space="preserve">7 </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5120778" w14:textId="77777777" w:rsidR="00370D80" w:rsidRPr="00404DA5" w:rsidRDefault="00370D80" w:rsidP="00370D80">
            <w:pPr>
              <w:rPr>
                <w:rFonts w:cs="Calibri"/>
                <w:sz w:val="16"/>
                <w:szCs w:val="20"/>
              </w:rPr>
            </w:pPr>
            <w:r w:rsidRPr="00404DA5">
              <w:rPr>
                <w:rFonts w:cs="Calibri"/>
                <w:sz w:val="16"/>
                <w:szCs w:val="20"/>
              </w:rPr>
              <w:t xml:space="preserve">Dane WIOŚ </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FB5660D" w14:textId="77777777" w:rsidR="00370D80" w:rsidRPr="00404DA5" w:rsidRDefault="00370D80" w:rsidP="00370D80">
            <w:pPr>
              <w:rPr>
                <w:rFonts w:cs="Calibri"/>
                <w:sz w:val="16"/>
                <w:szCs w:val="20"/>
              </w:rPr>
            </w:pPr>
            <w:r w:rsidRPr="00404DA5">
              <w:rPr>
                <w:rFonts w:cs="Calibri"/>
                <w:sz w:val="16"/>
                <w:szCs w:val="20"/>
              </w:rPr>
              <w:t>raz</w:t>
            </w:r>
            <w:r w:rsidR="00E66B89">
              <w:rPr>
                <w:rFonts w:cs="Calibri"/>
                <w:sz w:val="16"/>
                <w:szCs w:val="20"/>
              </w:rPr>
              <w:t xml:space="preserve"> w </w:t>
            </w:r>
            <w:r w:rsidRPr="00404DA5">
              <w:rPr>
                <w:rFonts w:cs="Calibri"/>
                <w:sz w:val="16"/>
                <w:szCs w:val="20"/>
              </w:rPr>
              <w:t>roku</w:t>
            </w:r>
          </w:p>
        </w:tc>
      </w:tr>
    </w:tbl>
    <w:p w14:paraId="4FE13CD3" w14:textId="77777777" w:rsidR="00370D80" w:rsidRPr="002A5FDF" w:rsidRDefault="00370D80"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w:t>
      </w:r>
    </w:p>
    <w:p w14:paraId="0EE754FB" w14:textId="77777777" w:rsidR="00370D80" w:rsidRPr="00404DA5" w:rsidRDefault="00370D80" w:rsidP="00370D80">
      <w:pPr>
        <w:rPr>
          <w:rFonts w:cs="Calibri"/>
          <w:szCs w:val="20"/>
        </w:rPr>
      </w:pPr>
      <w:r w:rsidRPr="00404DA5">
        <w:rPr>
          <w:rFonts w:cs="Calibri"/>
          <w:szCs w:val="20"/>
        </w:rPr>
        <w:t>Z uwagi na braki danych (brak zawartych umów</w:t>
      </w:r>
      <w:r w:rsidR="00E66B89">
        <w:rPr>
          <w:rFonts w:cs="Calibri"/>
          <w:szCs w:val="20"/>
        </w:rPr>
        <w:t xml:space="preserve"> o </w:t>
      </w:r>
      <w:r w:rsidRPr="00404DA5">
        <w:rPr>
          <w:rFonts w:cs="Calibri"/>
          <w:szCs w:val="20"/>
        </w:rPr>
        <w:t xml:space="preserve">dofinansowanie) trudno jest dokonać aktualnie jednoznacznej oceny trafności przyjętych założeń dotyczących prognozowanego osiągnięcia wartości wskaźników rezultatu strategicznego. </w:t>
      </w:r>
    </w:p>
    <w:p w14:paraId="5BB3CAFE" w14:textId="77777777" w:rsidR="00370D80" w:rsidRDefault="00370D80" w:rsidP="00370D80">
      <w:r>
        <w:rPr>
          <w:rFonts w:cs="Calibri"/>
          <w:szCs w:val="20"/>
        </w:rPr>
        <w:t>P</w:t>
      </w:r>
      <w:r w:rsidRPr="00404DA5">
        <w:rPr>
          <w:rFonts w:cs="Calibri"/>
          <w:szCs w:val="20"/>
        </w:rPr>
        <w:t xml:space="preserve">rzyjęte wskaźniki są bardzo podatne na </w:t>
      </w:r>
      <w:r>
        <w:rPr>
          <w:rFonts w:cs="Calibri"/>
          <w:szCs w:val="20"/>
        </w:rPr>
        <w:t xml:space="preserve">praktycznie </w:t>
      </w:r>
      <w:r w:rsidRPr="00404DA5">
        <w:rPr>
          <w:rFonts w:cs="Calibri"/>
          <w:szCs w:val="20"/>
        </w:rPr>
        <w:t>nieprzewidywalny</w:t>
      </w:r>
      <w:r>
        <w:rPr>
          <w:rFonts w:cs="Calibri"/>
          <w:szCs w:val="20"/>
        </w:rPr>
        <w:t>,</w:t>
      </w:r>
      <w:r w:rsidR="00E66B89">
        <w:rPr>
          <w:rFonts w:cs="Calibri"/>
          <w:szCs w:val="20"/>
        </w:rPr>
        <w:t xml:space="preserve"> w </w:t>
      </w:r>
      <w:r>
        <w:rPr>
          <w:rFonts w:cs="Calibri"/>
          <w:szCs w:val="20"/>
        </w:rPr>
        <w:t xml:space="preserve">długim horyzoncie czasu, </w:t>
      </w:r>
      <w:r w:rsidRPr="00404DA5">
        <w:rPr>
          <w:rFonts w:cs="Calibri"/>
          <w:szCs w:val="20"/>
        </w:rPr>
        <w:t>czynnik jakim jest pogoda. To</w:t>
      </w:r>
      <w:r w:rsidR="00E66B89">
        <w:rPr>
          <w:rFonts w:cs="Calibri"/>
          <w:szCs w:val="20"/>
        </w:rPr>
        <w:t xml:space="preserve"> w </w:t>
      </w:r>
      <w:r w:rsidRPr="00404DA5">
        <w:rPr>
          <w:rFonts w:cs="Calibri"/>
          <w:szCs w:val="20"/>
        </w:rPr>
        <w:t>głównej mierze od tego jak mroźny będzie okres grzewczy</w:t>
      </w:r>
      <w:r>
        <w:rPr>
          <w:rFonts w:cs="Calibri"/>
          <w:szCs w:val="20"/>
        </w:rPr>
        <w:t>,</w:t>
      </w:r>
      <w:r w:rsidRPr="00404DA5">
        <w:rPr>
          <w:rFonts w:cs="Calibri"/>
          <w:szCs w:val="20"/>
        </w:rPr>
        <w:t xml:space="preserve"> będzie zależało to, jakie wartości emisji zanieczyszczeń będą obserwowane. </w:t>
      </w:r>
      <w:r>
        <w:rPr>
          <w:rFonts w:cs="Calibri"/>
          <w:szCs w:val="20"/>
        </w:rPr>
        <w:t xml:space="preserve">Należy także nadmienić, iż </w:t>
      </w:r>
      <w:r w:rsidRPr="007339FF">
        <w:t>punkt pomiarowy</w:t>
      </w:r>
      <w:r>
        <w:t>,</w:t>
      </w:r>
      <w:r w:rsidRPr="007339FF">
        <w:t xml:space="preserve"> na podstawie którego oszacowano wartości wskaźników</w:t>
      </w:r>
      <w:r>
        <w:t>,</w:t>
      </w:r>
      <w:r w:rsidRPr="007339FF">
        <w:t xml:space="preserve"> został zlikwidowany</w:t>
      </w:r>
      <w:r>
        <w:t>.</w:t>
      </w:r>
      <w:r w:rsidR="00E66B89">
        <w:t xml:space="preserve"> W </w:t>
      </w:r>
      <w:r>
        <w:t>związku</w:t>
      </w:r>
      <w:r w:rsidR="00E66B89">
        <w:t xml:space="preserve"> z </w:t>
      </w:r>
      <w:r>
        <w:t>powyższym niezbędne jest przeprowadzenie weryfikacji przyjętych założeń dotyczących docelowych wartości wskaźników dla nowo wybranego punktu pomiarowego (wskutek czego być może niezbędna będzie korekta przyjętych wartości bazowych oraz docelowych).</w:t>
      </w:r>
    </w:p>
    <w:p w14:paraId="1B7F59C1" w14:textId="77777777" w:rsidR="00370D80" w:rsidRPr="00436D27" w:rsidRDefault="00370D80" w:rsidP="00370D80">
      <w:pPr>
        <w:pStyle w:val="Nagwek4"/>
        <w:numPr>
          <w:ilvl w:val="0"/>
          <w:numId w:val="0"/>
        </w:numPr>
        <w:rPr>
          <w:rFonts w:ascii="Lato" w:eastAsia="Calibri" w:hAnsi="Lato"/>
        </w:rPr>
      </w:pPr>
      <w:r w:rsidRPr="00436D27">
        <w:rPr>
          <w:rFonts w:ascii="Lato" w:eastAsia="Calibri" w:hAnsi="Lato"/>
        </w:rPr>
        <w:t xml:space="preserve">Ocena potencjału absorpcyjnego </w:t>
      </w:r>
    </w:p>
    <w:p w14:paraId="7FA2EEAB" w14:textId="77777777" w:rsidR="00370D80" w:rsidRPr="00404DA5" w:rsidRDefault="00370D80" w:rsidP="00370D80">
      <w:pPr>
        <w:rPr>
          <w:rFonts w:cs="Calibri"/>
          <w:szCs w:val="20"/>
        </w:rPr>
      </w:pPr>
      <w:r w:rsidRPr="00404DA5">
        <w:rPr>
          <w:rFonts w:cs="Calibri"/>
          <w:szCs w:val="20"/>
        </w:rPr>
        <w:t>Z uwagi na dopiero planowany nabór wniosków</w:t>
      </w:r>
      <w:r>
        <w:rPr>
          <w:rFonts w:cs="Calibri"/>
          <w:szCs w:val="20"/>
        </w:rPr>
        <w:t>,</w:t>
      </w:r>
      <w:r w:rsidRPr="00404DA5">
        <w:rPr>
          <w:rFonts w:cs="Calibri"/>
          <w:szCs w:val="20"/>
        </w:rPr>
        <w:t xml:space="preserve"> nie można ocenić dotychczasowego poziomu zainteresowania aplikowaniem</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ramach Działania 2.14.</w:t>
      </w:r>
    </w:p>
    <w:p w14:paraId="28AB00BF" w14:textId="77777777" w:rsidR="00370D80" w:rsidRPr="00404DA5" w:rsidRDefault="00370D80" w:rsidP="00370D80">
      <w:pPr>
        <w:rPr>
          <w:rFonts w:cs="Calibri"/>
          <w:szCs w:val="20"/>
        </w:rPr>
      </w:pPr>
      <w:r w:rsidRPr="00404DA5">
        <w:rPr>
          <w:rFonts w:cs="Calibri"/>
          <w:szCs w:val="20"/>
        </w:rPr>
        <w:t>Jednoznaczna ocena potencjału aplikacyjnego</w:t>
      </w:r>
      <w:r w:rsidR="00E66B89">
        <w:rPr>
          <w:rFonts w:cs="Calibri"/>
          <w:szCs w:val="20"/>
        </w:rPr>
        <w:t xml:space="preserve"> z </w:t>
      </w:r>
      <w:r w:rsidRPr="00404DA5">
        <w:rPr>
          <w:rFonts w:cs="Calibri"/>
          <w:szCs w:val="20"/>
        </w:rPr>
        <w:t>uwagi na dotychczasowy brak doświadczeń</w:t>
      </w:r>
      <w:r w:rsidR="00E66B89">
        <w:rPr>
          <w:rFonts w:cs="Calibri"/>
          <w:szCs w:val="20"/>
        </w:rPr>
        <w:t xml:space="preserve"> z </w:t>
      </w:r>
      <w:r w:rsidRPr="00404DA5">
        <w:rPr>
          <w:rFonts w:cs="Calibri"/>
          <w:szCs w:val="20"/>
        </w:rPr>
        <w:t>wdrażania Działania jest utrudniona.</w:t>
      </w:r>
      <w:r w:rsidR="00E66B89">
        <w:rPr>
          <w:rFonts w:cs="Calibri"/>
          <w:szCs w:val="20"/>
        </w:rPr>
        <w:t xml:space="preserve"> Z </w:t>
      </w:r>
      <w:r w:rsidRPr="00404DA5">
        <w:rPr>
          <w:rFonts w:cs="Calibri"/>
          <w:szCs w:val="20"/>
        </w:rPr>
        <w:t>całą pewnością stwierdzić należy, iż dokonana diagnoza</w:t>
      </w:r>
      <w:r w:rsidR="00E66B89">
        <w:rPr>
          <w:rFonts w:cs="Calibri"/>
          <w:szCs w:val="20"/>
        </w:rPr>
        <w:t xml:space="preserve"> w </w:t>
      </w:r>
      <w:r w:rsidRPr="00404DA5">
        <w:rPr>
          <w:rFonts w:cs="Calibri"/>
          <w:szCs w:val="20"/>
        </w:rPr>
        <w:t>zakresie sytuacji społeczno-gospodarczej wskazuje na wysoką zasadność realizacji projektów</w:t>
      </w:r>
      <w:r>
        <w:rPr>
          <w:rFonts w:cs="Calibri"/>
          <w:szCs w:val="20"/>
        </w:rPr>
        <w:t>,</w:t>
      </w:r>
      <w:r w:rsidRPr="00404DA5">
        <w:rPr>
          <w:rFonts w:cs="Calibri"/>
          <w:szCs w:val="20"/>
        </w:rPr>
        <w:t xml:space="preserve"> </w:t>
      </w:r>
      <w:r>
        <w:rPr>
          <w:rFonts w:cs="Calibri"/>
          <w:szCs w:val="20"/>
        </w:rPr>
        <w:t>które</w:t>
      </w:r>
      <w:r w:rsidRPr="00404DA5">
        <w:rPr>
          <w:rFonts w:cs="Calibri"/>
          <w:szCs w:val="20"/>
        </w:rPr>
        <w:t xml:space="preserve"> podlegają wsparciu</w:t>
      </w:r>
      <w:r w:rsidR="00E66B89">
        <w:rPr>
          <w:rFonts w:cs="Calibri"/>
          <w:szCs w:val="20"/>
        </w:rPr>
        <w:t xml:space="preserve"> w </w:t>
      </w:r>
      <w:r w:rsidRPr="00404DA5">
        <w:rPr>
          <w:rFonts w:cs="Calibri"/>
          <w:szCs w:val="20"/>
        </w:rPr>
        <w:t>ramach PI 6e. Jak wynika</w:t>
      </w:r>
      <w:r w:rsidR="00E66B89">
        <w:rPr>
          <w:rFonts w:cs="Calibri"/>
          <w:szCs w:val="20"/>
        </w:rPr>
        <w:t xml:space="preserve"> z </w:t>
      </w:r>
      <w:r w:rsidRPr="00404DA5">
        <w:rPr>
          <w:rFonts w:cs="Calibri"/>
          <w:szCs w:val="20"/>
        </w:rPr>
        <w:t>badania ilościowego dotyczącego potencjału aplikacyjnego</w:t>
      </w:r>
      <w:r w:rsidR="00E66B89">
        <w:rPr>
          <w:rFonts w:cs="Calibri"/>
          <w:szCs w:val="20"/>
        </w:rPr>
        <w:t xml:space="preserve"> w </w:t>
      </w:r>
      <w:r w:rsidRPr="00404DA5">
        <w:rPr>
          <w:rFonts w:cs="Calibri"/>
          <w:szCs w:val="20"/>
        </w:rPr>
        <w:t>ramach Działania 2.14</w:t>
      </w:r>
      <w:r>
        <w:rPr>
          <w:rFonts w:cs="Calibri"/>
          <w:szCs w:val="20"/>
        </w:rPr>
        <w:t>,</w:t>
      </w:r>
      <w:r w:rsidRPr="00404DA5">
        <w:rPr>
          <w:rFonts w:cs="Calibri"/>
          <w:szCs w:val="20"/>
        </w:rPr>
        <w:t xml:space="preserve"> respondenci zadeklarowali plan realizacji 3</w:t>
      </w:r>
      <w:r>
        <w:rPr>
          <w:rFonts w:cs="Calibri"/>
          <w:szCs w:val="20"/>
        </w:rPr>
        <w:t>3</w:t>
      </w:r>
      <w:r w:rsidRPr="00404DA5">
        <w:rPr>
          <w:rFonts w:cs="Calibri"/>
          <w:szCs w:val="20"/>
        </w:rPr>
        <w:t xml:space="preserve"> projektów. Przeprowadzona analiza wskazała, iż nie wszystkie podmioty deklar</w:t>
      </w:r>
      <w:r>
        <w:rPr>
          <w:rFonts w:cs="Calibri"/>
          <w:szCs w:val="20"/>
        </w:rPr>
        <w:t>ujące</w:t>
      </w:r>
      <w:r w:rsidRPr="00404DA5">
        <w:rPr>
          <w:rFonts w:cs="Calibri"/>
          <w:szCs w:val="20"/>
        </w:rPr>
        <w:t xml:space="preserve"> chęć realizacji projektu</w:t>
      </w:r>
      <w:r>
        <w:rPr>
          <w:rFonts w:cs="Calibri"/>
          <w:szCs w:val="20"/>
        </w:rPr>
        <w:t>,</w:t>
      </w:r>
      <w:r w:rsidRPr="00404DA5">
        <w:rPr>
          <w:rFonts w:cs="Calibri"/>
          <w:szCs w:val="20"/>
        </w:rPr>
        <w:t xml:space="preserve"> spełniają kryteria dostępu (typ beneficjenta). Ustalono, iż </w:t>
      </w:r>
      <w:r>
        <w:rPr>
          <w:rFonts w:cs="Calibri"/>
          <w:szCs w:val="20"/>
        </w:rPr>
        <w:t>27</w:t>
      </w:r>
      <w:r w:rsidRPr="00404DA5">
        <w:rPr>
          <w:rFonts w:cs="Calibri"/>
          <w:szCs w:val="20"/>
        </w:rPr>
        <w:t xml:space="preserve"> deklaracji planu realizacji projektów ma niski stopień </w:t>
      </w:r>
      <w:r>
        <w:rPr>
          <w:rFonts w:cs="Calibri"/>
          <w:szCs w:val="20"/>
        </w:rPr>
        <w:t>zaawansowania</w:t>
      </w:r>
      <w:r w:rsidRPr="00404DA5">
        <w:rPr>
          <w:rFonts w:cs="Calibri"/>
          <w:szCs w:val="20"/>
        </w:rPr>
        <w:t xml:space="preserve"> (są</w:t>
      </w:r>
      <w:r w:rsidR="00E66B89">
        <w:rPr>
          <w:rFonts w:cs="Calibri"/>
          <w:szCs w:val="20"/>
        </w:rPr>
        <w:t xml:space="preserve"> w </w:t>
      </w:r>
      <w:r w:rsidRPr="00404DA5">
        <w:rPr>
          <w:rFonts w:cs="Calibri"/>
          <w:szCs w:val="20"/>
        </w:rPr>
        <w:t xml:space="preserve">stadium ogólnego pomysłu, koncepcji). Zaledwie </w:t>
      </w:r>
      <w:r>
        <w:rPr>
          <w:rFonts w:cs="Calibri"/>
          <w:szCs w:val="20"/>
        </w:rPr>
        <w:t>6</w:t>
      </w:r>
      <w:r w:rsidRPr="00404DA5">
        <w:rPr>
          <w:rFonts w:cs="Calibri"/>
          <w:szCs w:val="20"/>
        </w:rPr>
        <w:t xml:space="preserve"> ankietowanych zadeklarowało, iż projekt jest zaawansowany</w:t>
      </w:r>
      <w:r w:rsidR="00E66B89">
        <w:rPr>
          <w:rFonts w:cs="Calibri"/>
          <w:szCs w:val="20"/>
        </w:rPr>
        <w:t xml:space="preserve"> w </w:t>
      </w:r>
      <w:r w:rsidRPr="00404DA5">
        <w:rPr>
          <w:rFonts w:cs="Calibri"/>
          <w:szCs w:val="20"/>
        </w:rPr>
        <w:t xml:space="preserve">przygotowaniu (posiada formalnie przygotowane dokumenty, zarezerwowano </w:t>
      </w:r>
      <w:r>
        <w:rPr>
          <w:rFonts w:cs="Calibri"/>
          <w:szCs w:val="20"/>
        </w:rPr>
        <w:t xml:space="preserve">na jego </w:t>
      </w:r>
      <w:r>
        <w:rPr>
          <w:rFonts w:cs="Calibri"/>
          <w:szCs w:val="20"/>
        </w:rPr>
        <w:lastRenderedPageBreak/>
        <w:t xml:space="preserve">realizację </w:t>
      </w:r>
      <w:r w:rsidRPr="00404DA5">
        <w:rPr>
          <w:rFonts w:cs="Calibri"/>
          <w:szCs w:val="20"/>
        </w:rPr>
        <w:t xml:space="preserve">środki </w:t>
      </w:r>
      <w:r>
        <w:rPr>
          <w:rFonts w:cs="Calibri"/>
          <w:szCs w:val="20"/>
        </w:rPr>
        <w:t>finansowe</w:t>
      </w:r>
      <w:r w:rsidRPr="00404DA5">
        <w:rPr>
          <w:rFonts w:cs="Calibri"/>
          <w:szCs w:val="20"/>
        </w:rPr>
        <w:t xml:space="preserve">). Prognozuje się, iż kluczowe czynniki wpływające na pogarszanie </w:t>
      </w:r>
      <w:r>
        <w:rPr>
          <w:rFonts w:cs="Calibri"/>
          <w:szCs w:val="20"/>
        </w:rPr>
        <w:t xml:space="preserve">się </w:t>
      </w:r>
      <w:r w:rsidRPr="00404DA5">
        <w:rPr>
          <w:rFonts w:cs="Calibri"/>
          <w:szCs w:val="20"/>
        </w:rPr>
        <w:t>stanu środowiska</w:t>
      </w:r>
      <w:r w:rsidR="00E66B89">
        <w:rPr>
          <w:rFonts w:cs="Calibri"/>
          <w:szCs w:val="20"/>
        </w:rPr>
        <w:t xml:space="preserve"> w </w:t>
      </w:r>
      <w:r w:rsidRPr="00404DA5">
        <w:rPr>
          <w:rFonts w:cs="Calibri"/>
          <w:szCs w:val="20"/>
        </w:rPr>
        <w:t>miastach (w tym szczególnie</w:t>
      </w:r>
      <w:r w:rsidR="00E66B89">
        <w:rPr>
          <w:rFonts w:cs="Calibri"/>
          <w:szCs w:val="20"/>
        </w:rPr>
        <w:t xml:space="preserve"> w </w:t>
      </w:r>
      <w:r w:rsidRPr="00404DA5">
        <w:rPr>
          <w:rFonts w:cs="Calibri"/>
          <w:szCs w:val="20"/>
        </w:rPr>
        <w:t>zakresie zanieczyszczeń powietrza) wciąż pozostaną aktualne</w:t>
      </w:r>
      <w:r w:rsidR="00E66B89">
        <w:rPr>
          <w:rFonts w:cs="Calibri"/>
          <w:szCs w:val="20"/>
        </w:rPr>
        <w:t xml:space="preserve"> w </w:t>
      </w:r>
      <w:r w:rsidRPr="00404DA5">
        <w:rPr>
          <w:rFonts w:cs="Calibri"/>
          <w:szCs w:val="20"/>
        </w:rPr>
        <w:t>najbliższych lat</w:t>
      </w:r>
      <w:r>
        <w:rPr>
          <w:rFonts w:cs="Calibri"/>
          <w:szCs w:val="20"/>
        </w:rPr>
        <w:t>ach</w:t>
      </w:r>
      <w:r w:rsidRPr="00404DA5">
        <w:rPr>
          <w:rFonts w:cs="Calibri"/>
          <w:szCs w:val="20"/>
        </w:rPr>
        <w:t>. Wpływ interwencji</w:t>
      </w:r>
      <w:r w:rsidR="00E66B89">
        <w:rPr>
          <w:rFonts w:cs="Calibri"/>
          <w:szCs w:val="20"/>
        </w:rPr>
        <w:t xml:space="preserve"> w </w:t>
      </w:r>
      <w:r w:rsidRPr="00404DA5">
        <w:rPr>
          <w:rFonts w:cs="Calibri"/>
          <w:szCs w:val="20"/>
        </w:rPr>
        <w:t>ramach RPO WZ 2014-2020 (i innych źródeł) na zmianę sytuacji</w:t>
      </w:r>
      <w:r w:rsidR="00E66B89">
        <w:rPr>
          <w:rFonts w:cs="Calibri"/>
          <w:szCs w:val="20"/>
        </w:rPr>
        <w:t xml:space="preserve"> w </w:t>
      </w:r>
      <w:r w:rsidRPr="00404DA5">
        <w:rPr>
          <w:rFonts w:cs="Calibri"/>
          <w:szCs w:val="20"/>
        </w:rPr>
        <w:t>opisywanym zakresie wymagać będzie czasu. Na przedłużenie występowania niekorzystnych oddziaływań</w:t>
      </w:r>
      <w:r w:rsidR="00E66B89">
        <w:rPr>
          <w:rFonts w:cs="Calibri"/>
          <w:szCs w:val="20"/>
        </w:rPr>
        <w:t xml:space="preserve"> w </w:t>
      </w:r>
      <w:r w:rsidRPr="00404DA5">
        <w:rPr>
          <w:rFonts w:cs="Calibri"/>
          <w:szCs w:val="20"/>
        </w:rPr>
        <w:t>zakresie niskiej emisji wpływ będzie miała także sytuacja finansowa mieszkańców, poziom świadomości ekologicznej (wymiana źródeł ciepła, termomodernizacja, zmiana paliwa na bardziej ekologiczne wymaga odpowiednich środków finansowych) oraz procesy migracji ludności</w:t>
      </w:r>
      <w:r w:rsidR="00E66B89">
        <w:rPr>
          <w:rFonts w:cs="Calibri"/>
          <w:szCs w:val="20"/>
        </w:rPr>
        <w:t xml:space="preserve"> w </w:t>
      </w:r>
      <w:r w:rsidRPr="00404DA5">
        <w:rPr>
          <w:rFonts w:cs="Calibri"/>
          <w:szCs w:val="20"/>
        </w:rPr>
        <w:t>celach zarobkowych do miast (wzrost natężenia ruchu). Prognozowanie zmian</w:t>
      </w:r>
      <w:r w:rsidR="00E66B89">
        <w:rPr>
          <w:rFonts w:cs="Calibri"/>
          <w:szCs w:val="20"/>
        </w:rPr>
        <w:t xml:space="preserve"> w </w:t>
      </w:r>
      <w:r w:rsidRPr="00404DA5">
        <w:rPr>
          <w:rFonts w:cs="Calibri"/>
          <w:szCs w:val="20"/>
        </w:rPr>
        <w:t>dłuższej perspektywie czasu jest obarczone dużym błędem</w:t>
      </w:r>
      <w:r w:rsidR="00E66B89">
        <w:rPr>
          <w:rFonts w:cs="Calibri"/>
          <w:szCs w:val="20"/>
        </w:rPr>
        <w:t xml:space="preserve"> z </w:t>
      </w:r>
      <w:r w:rsidRPr="00404DA5">
        <w:rPr>
          <w:rFonts w:cs="Calibri"/>
          <w:szCs w:val="20"/>
        </w:rPr>
        <w:t>uwagi na możliwości występowania trudnych do przewidzenia zjawisk (jak np. zmiany klimatu).</w:t>
      </w:r>
    </w:p>
    <w:p w14:paraId="43486525" w14:textId="77777777" w:rsidR="00370D80" w:rsidRPr="00404DA5" w:rsidRDefault="00370D80" w:rsidP="00370D80">
      <w:pPr>
        <w:rPr>
          <w:rFonts w:cs="Calibri"/>
          <w:szCs w:val="20"/>
        </w:rPr>
      </w:pPr>
      <w:r w:rsidRPr="00404DA5">
        <w:rPr>
          <w:rFonts w:cs="Calibri"/>
          <w:szCs w:val="20"/>
        </w:rPr>
        <w:t>Nadmierna emisja zanieczyszczeń antropogenicznych do atmosfery niekorzystnie wpływa na stan cennych siedlisk przyrodniczych oraz gatunków zwierząt, roślin</w:t>
      </w:r>
      <w:r w:rsidR="00E66B89">
        <w:rPr>
          <w:rFonts w:cs="Calibri"/>
          <w:szCs w:val="20"/>
        </w:rPr>
        <w:t xml:space="preserve"> i </w:t>
      </w:r>
      <w:r w:rsidRPr="00404DA5">
        <w:rPr>
          <w:rFonts w:cs="Calibri"/>
          <w:szCs w:val="20"/>
        </w:rPr>
        <w:t>grzybów. Problemem powiązanym</w:t>
      </w:r>
      <w:r w:rsidR="00E66B89">
        <w:rPr>
          <w:rFonts w:cs="Calibri"/>
          <w:szCs w:val="20"/>
        </w:rPr>
        <w:t xml:space="preserve"> z </w:t>
      </w:r>
      <w:r w:rsidRPr="00404DA5">
        <w:rPr>
          <w:rFonts w:cs="Calibri"/>
          <w:szCs w:val="20"/>
        </w:rPr>
        <w:t>udzielanym wsparciem jest niedostateczna efektywność energetyczna budownictwa mieszkaniowego</w:t>
      </w:r>
      <w:r w:rsidR="00E66B89">
        <w:rPr>
          <w:rFonts w:cs="Calibri"/>
          <w:szCs w:val="20"/>
        </w:rPr>
        <w:t xml:space="preserve"> i </w:t>
      </w:r>
      <w:r w:rsidRPr="00404DA5">
        <w:rPr>
          <w:rFonts w:cs="Calibri"/>
          <w:szCs w:val="20"/>
        </w:rPr>
        <w:t>budynków użyteczności publicznej (któr</w:t>
      </w:r>
      <w:r>
        <w:rPr>
          <w:rFonts w:cs="Calibri"/>
          <w:szCs w:val="20"/>
        </w:rPr>
        <w:t>a</w:t>
      </w:r>
      <w:r w:rsidRPr="00404DA5">
        <w:rPr>
          <w:rFonts w:cs="Calibri"/>
          <w:szCs w:val="20"/>
        </w:rPr>
        <w:t xml:space="preserve"> skutkuje nadmierną ilością zużywanych paliw kopalnych). Analiza danych obrazujących sytuację na terenie województwa</w:t>
      </w:r>
      <w:r w:rsidR="00E66B89">
        <w:rPr>
          <w:rFonts w:cs="Calibri"/>
          <w:szCs w:val="20"/>
        </w:rPr>
        <w:t xml:space="preserve"> w </w:t>
      </w:r>
      <w:r w:rsidRPr="00404DA5">
        <w:rPr>
          <w:rFonts w:cs="Calibri"/>
          <w:szCs w:val="20"/>
        </w:rPr>
        <w:t>odniesieniu do jakości powietrza potwierdza, iż</w:t>
      </w:r>
      <w:r w:rsidR="00E66B89">
        <w:rPr>
          <w:rFonts w:cs="Calibri"/>
          <w:szCs w:val="20"/>
        </w:rPr>
        <w:t xml:space="preserve"> w </w:t>
      </w:r>
      <w:r w:rsidRPr="00404DA5">
        <w:rPr>
          <w:rFonts w:cs="Calibri"/>
          <w:szCs w:val="20"/>
        </w:rPr>
        <w:t>dalszym ciągu aktualne pozostają wyzwania</w:t>
      </w:r>
      <w:r w:rsidR="00E66B89">
        <w:rPr>
          <w:rFonts w:cs="Calibri"/>
          <w:szCs w:val="20"/>
        </w:rPr>
        <w:t xml:space="preserve"> w </w:t>
      </w:r>
      <w:r w:rsidRPr="00404DA5">
        <w:rPr>
          <w:rFonts w:cs="Calibri"/>
          <w:szCs w:val="20"/>
        </w:rPr>
        <w:t>zakresie poprawy jakości powietrza.</w:t>
      </w:r>
      <w:r w:rsidR="00E66B89">
        <w:rPr>
          <w:rFonts w:cs="Calibri"/>
          <w:szCs w:val="20"/>
        </w:rPr>
        <w:t xml:space="preserve"> W </w:t>
      </w:r>
      <w:r w:rsidRPr="00404DA5">
        <w:rPr>
          <w:rFonts w:cs="Calibri"/>
          <w:szCs w:val="20"/>
        </w:rPr>
        <w:t>województwie zachodniopomorskim występuj</w:t>
      </w:r>
      <w:r>
        <w:rPr>
          <w:rFonts w:cs="Calibri"/>
          <w:szCs w:val="20"/>
        </w:rPr>
        <w:t>e</w:t>
      </w:r>
      <w:r w:rsidRPr="00404DA5">
        <w:rPr>
          <w:rFonts w:cs="Calibri"/>
          <w:szCs w:val="20"/>
        </w:rPr>
        <w:t xml:space="preserve"> sezonowe utrzymywanie się przekroczeń dobowego poziomu dopuszczalnego pyłu PM10, wysokich stężeń pyłu PM 2.5</w:t>
      </w:r>
      <w:r w:rsidR="00E66B89">
        <w:rPr>
          <w:rFonts w:cs="Calibri"/>
          <w:szCs w:val="20"/>
        </w:rPr>
        <w:t xml:space="preserve"> i </w:t>
      </w:r>
      <w:r w:rsidRPr="00404DA5">
        <w:rPr>
          <w:rFonts w:cs="Calibri"/>
          <w:szCs w:val="20"/>
        </w:rPr>
        <w:t xml:space="preserve">benzo(a)pirenu na terenach intensywnej urbanizacji. </w:t>
      </w:r>
      <w:r>
        <w:rPr>
          <w:rFonts w:cs="Calibri"/>
          <w:szCs w:val="20"/>
        </w:rPr>
        <w:t>N</w:t>
      </w:r>
      <w:r w:rsidRPr="00404DA5">
        <w:rPr>
          <w:rFonts w:cs="Calibri"/>
          <w:szCs w:val="20"/>
        </w:rPr>
        <w:t>a występowanie wysokich stężeń zanieczyszczeń</w:t>
      </w:r>
      <w:r w:rsidR="00E66B89">
        <w:rPr>
          <w:rFonts w:cs="Calibri"/>
          <w:szCs w:val="20"/>
        </w:rPr>
        <w:t xml:space="preserve"> w </w:t>
      </w:r>
      <w:r w:rsidRPr="00404DA5">
        <w:rPr>
          <w:rFonts w:cs="Calibri"/>
          <w:szCs w:val="20"/>
        </w:rPr>
        <w:t xml:space="preserve">powietrzu </w:t>
      </w:r>
      <w:r>
        <w:rPr>
          <w:rFonts w:cs="Calibri"/>
          <w:szCs w:val="20"/>
        </w:rPr>
        <w:t xml:space="preserve">wpływa m.in. </w:t>
      </w:r>
      <w:r w:rsidRPr="00404DA5">
        <w:rPr>
          <w:rFonts w:cs="Calibri"/>
          <w:szCs w:val="20"/>
        </w:rPr>
        <w:t>wykorzystywanie indywidualnych źródeł ciepła</w:t>
      </w:r>
      <w:r w:rsidR="00E66B89">
        <w:rPr>
          <w:rFonts w:cs="Calibri"/>
          <w:szCs w:val="20"/>
        </w:rPr>
        <w:t xml:space="preserve"> o </w:t>
      </w:r>
      <w:r w:rsidRPr="00404DA5">
        <w:rPr>
          <w:rFonts w:cs="Calibri"/>
          <w:szCs w:val="20"/>
        </w:rPr>
        <w:t>niskiej sprawności oraz stosowanie paliw niskiej jakości.</w:t>
      </w:r>
      <w:r w:rsidR="00E66B89">
        <w:rPr>
          <w:rFonts w:cs="Calibri"/>
          <w:szCs w:val="20"/>
        </w:rPr>
        <w:t xml:space="preserve"> W </w:t>
      </w:r>
      <w:r w:rsidRPr="00404DA5">
        <w:rPr>
          <w:rFonts w:cs="Calibri"/>
          <w:szCs w:val="20"/>
        </w:rPr>
        <w:t>tym zakresie</w:t>
      </w:r>
      <w:r>
        <w:rPr>
          <w:rFonts w:cs="Calibri"/>
          <w:szCs w:val="20"/>
        </w:rPr>
        <w:t>,</w:t>
      </w:r>
      <w:r w:rsidRPr="00404DA5">
        <w:rPr>
          <w:rFonts w:cs="Calibri"/>
          <w:szCs w:val="20"/>
        </w:rPr>
        <w:t xml:space="preserve"> </w:t>
      </w:r>
      <w:r>
        <w:rPr>
          <w:rFonts w:cs="Calibri"/>
          <w:szCs w:val="20"/>
        </w:rPr>
        <w:t xml:space="preserve">oprócz czynników ekonomicznych, </w:t>
      </w:r>
      <w:r w:rsidRPr="00404DA5">
        <w:rPr>
          <w:rFonts w:cs="Calibri"/>
          <w:szCs w:val="20"/>
        </w:rPr>
        <w:t>dużą rolę odgrywa niska świadomość ekologiczna społeczeństwa</w:t>
      </w:r>
      <w:r w:rsidR="00E66B89">
        <w:rPr>
          <w:rFonts w:cs="Calibri"/>
          <w:szCs w:val="20"/>
        </w:rPr>
        <w:t xml:space="preserve"> w </w:t>
      </w:r>
      <w:r w:rsidRPr="00404DA5">
        <w:rPr>
          <w:rFonts w:cs="Calibri"/>
          <w:szCs w:val="20"/>
        </w:rPr>
        <w:t>zakresie ochrony powietrza</w:t>
      </w:r>
      <w:r w:rsidR="00E66B89">
        <w:rPr>
          <w:rFonts w:cs="Calibri"/>
          <w:szCs w:val="20"/>
        </w:rPr>
        <w:t xml:space="preserve"> i </w:t>
      </w:r>
      <w:r w:rsidRPr="00404DA5">
        <w:rPr>
          <w:rFonts w:cs="Calibri"/>
          <w:szCs w:val="20"/>
        </w:rPr>
        <w:t>klimatu. Realizacja projektów</w:t>
      </w:r>
      <w:r w:rsidR="00E66B89">
        <w:rPr>
          <w:rFonts w:cs="Calibri"/>
          <w:szCs w:val="20"/>
        </w:rPr>
        <w:t xml:space="preserve"> w </w:t>
      </w:r>
      <w:r w:rsidRPr="00404DA5">
        <w:rPr>
          <w:rFonts w:cs="Calibri"/>
          <w:szCs w:val="20"/>
        </w:rPr>
        <w:t>ramach Działania 2.14 będzie miała też wymiar edukacyjny (propagowanie informacji</w:t>
      </w:r>
      <w:r w:rsidR="00E66B89">
        <w:rPr>
          <w:rFonts w:cs="Calibri"/>
          <w:szCs w:val="20"/>
        </w:rPr>
        <w:t xml:space="preserve"> o </w:t>
      </w:r>
      <w:r w:rsidRPr="00404DA5">
        <w:rPr>
          <w:rFonts w:cs="Calibri"/>
          <w:szCs w:val="20"/>
        </w:rPr>
        <w:t>udzielonym wsparciu). Konieczne jest wspieranie realizacji projektów polegających na likwidacji indywidualnych źródeł ciepła</w:t>
      </w:r>
      <w:r w:rsidR="00E66B89">
        <w:rPr>
          <w:rFonts w:cs="Calibri"/>
          <w:szCs w:val="20"/>
        </w:rPr>
        <w:t xml:space="preserve"> w </w:t>
      </w:r>
      <w:r w:rsidRPr="00404DA5">
        <w:rPr>
          <w:rFonts w:cs="Calibri"/>
          <w:szCs w:val="20"/>
        </w:rPr>
        <w:t>celu podłączenia do sieci ciepłowniczej lub sieci gazowej. Istotny wpływ</w:t>
      </w:r>
      <w:r w:rsidR="00E66B89">
        <w:rPr>
          <w:rFonts w:cs="Calibri"/>
          <w:szCs w:val="20"/>
        </w:rPr>
        <w:t xml:space="preserve"> w </w:t>
      </w:r>
      <w:r w:rsidRPr="00404DA5">
        <w:rPr>
          <w:rFonts w:cs="Calibri"/>
          <w:szCs w:val="20"/>
        </w:rPr>
        <w:t>przedmiotowej kwestii będzie związany</w:t>
      </w:r>
      <w:r w:rsidR="00E66B89">
        <w:rPr>
          <w:rFonts w:cs="Calibri"/>
          <w:szCs w:val="20"/>
        </w:rPr>
        <w:t xml:space="preserve"> z </w:t>
      </w:r>
      <w:r w:rsidRPr="00404DA5">
        <w:rPr>
          <w:rFonts w:cs="Calibri"/>
          <w:szCs w:val="20"/>
        </w:rPr>
        <w:t>intensyfikacją wykorzystania</w:t>
      </w:r>
      <w:r w:rsidR="00E66B89">
        <w:rPr>
          <w:rFonts w:cs="Calibri"/>
          <w:szCs w:val="20"/>
        </w:rPr>
        <w:t xml:space="preserve"> i </w:t>
      </w:r>
      <w:r w:rsidRPr="00404DA5">
        <w:rPr>
          <w:rFonts w:cs="Calibri"/>
          <w:szCs w:val="20"/>
        </w:rPr>
        <w:t>rozwojem sieci ciepłowniczych (w miastach), jak również gazu ziemnego (głównie</w:t>
      </w:r>
      <w:r w:rsidR="00E66B89">
        <w:rPr>
          <w:rFonts w:cs="Calibri"/>
          <w:szCs w:val="20"/>
        </w:rPr>
        <w:t xml:space="preserve"> w </w:t>
      </w:r>
      <w:r w:rsidRPr="00404DA5">
        <w:rPr>
          <w:rFonts w:cs="Calibri"/>
          <w:szCs w:val="20"/>
        </w:rPr>
        <w:t>gminach wiejskich). Wzrost wykorzystania sieci ciepłowniczych oraz gazu ziemnego powinien wiązać się</w:t>
      </w:r>
      <w:r w:rsidR="00E66B89">
        <w:rPr>
          <w:rFonts w:cs="Calibri"/>
          <w:szCs w:val="20"/>
        </w:rPr>
        <w:t xml:space="preserve"> z </w:t>
      </w:r>
      <w:r w:rsidRPr="00404DA5">
        <w:rPr>
          <w:rFonts w:cs="Calibri"/>
          <w:szCs w:val="20"/>
        </w:rPr>
        <w:t>ograniczonym wykorzystywaniem paliw stałych.</w:t>
      </w:r>
    </w:p>
    <w:p w14:paraId="4B5D1A67" w14:textId="77777777" w:rsidR="00370D80" w:rsidRPr="00404DA5" w:rsidRDefault="00370D80" w:rsidP="00370D80">
      <w:pPr>
        <w:rPr>
          <w:rFonts w:cs="Calibri"/>
          <w:szCs w:val="20"/>
        </w:rPr>
      </w:pPr>
      <w:r w:rsidRPr="00404DA5">
        <w:rPr>
          <w:rFonts w:cs="Calibri"/>
          <w:szCs w:val="20"/>
        </w:rPr>
        <w:t>Projekty realizowane</w:t>
      </w:r>
      <w:r w:rsidR="00E66B89">
        <w:rPr>
          <w:rFonts w:cs="Calibri"/>
          <w:szCs w:val="20"/>
        </w:rPr>
        <w:t xml:space="preserve"> w </w:t>
      </w:r>
      <w:r w:rsidRPr="00404DA5">
        <w:rPr>
          <w:rFonts w:cs="Calibri"/>
          <w:szCs w:val="20"/>
        </w:rPr>
        <w:t>ramach Działania 2.14 będą generowały pozytywne</w:t>
      </w:r>
      <w:r>
        <w:rPr>
          <w:rFonts w:cs="Calibri"/>
          <w:szCs w:val="20"/>
        </w:rPr>
        <w:t>,</w:t>
      </w:r>
      <w:r w:rsidRPr="00404DA5">
        <w:rPr>
          <w:rFonts w:cs="Calibri"/>
          <w:szCs w:val="20"/>
        </w:rPr>
        <w:t xml:space="preserve"> skumulowane efekty</w:t>
      </w:r>
      <w:r w:rsidR="00E66B89">
        <w:rPr>
          <w:rFonts w:cs="Calibri"/>
          <w:szCs w:val="20"/>
        </w:rPr>
        <w:t xml:space="preserve"> z </w:t>
      </w:r>
      <w:r w:rsidRPr="00404DA5">
        <w:rPr>
          <w:rFonts w:cs="Calibri"/>
          <w:szCs w:val="20"/>
        </w:rPr>
        <w:t>szeregiem innych inwestycji (dotyczących np. efektywnego wytwarzania, przesyłu</w:t>
      </w:r>
      <w:r w:rsidR="00E66B89">
        <w:rPr>
          <w:rFonts w:cs="Calibri"/>
          <w:szCs w:val="20"/>
        </w:rPr>
        <w:t xml:space="preserve"> i </w:t>
      </w:r>
      <w:r w:rsidRPr="00404DA5">
        <w:rPr>
          <w:rFonts w:cs="Calibri"/>
          <w:szCs w:val="20"/>
        </w:rPr>
        <w:t>wykorzystania energii, inwestycji</w:t>
      </w:r>
      <w:r w:rsidR="00E66B89">
        <w:rPr>
          <w:rFonts w:cs="Calibri"/>
          <w:szCs w:val="20"/>
        </w:rPr>
        <w:t xml:space="preserve"> w </w:t>
      </w:r>
      <w:r w:rsidRPr="00404DA5">
        <w:rPr>
          <w:rFonts w:cs="Calibri"/>
          <w:szCs w:val="20"/>
        </w:rPr>
        <w:t>termomodernizacj</w:t>
      </w:r>
      <w:r>
        <w:rPr>
          <w:rFonts w:cs="Calibri"/>
          <w:szCs w:val="20"/>
        </w:rPr>
        <w:t>ę</w:t>
      </w:r>
      <w:r w:rsidRPr="00404DA5">
        <w:rPr>
          <w:rFonts w:cs="Calibri"/>
          <w:szCs w:val="20"/>
        </w:rPr>
        <w:t>, wsparcia sektora transportu, wzrostu świadomości ekologicznej mieszkańców). Przykładowo istotnym czynnikiem antropogenicznym, wpływającym na pogorszenie jakości powietrza, jest wciąż rozwijający się transport</w:t>
      </w:r>
      <w:r w:rsidR="00E66B89">
        <w:rPr>
          <w:rFonts w:cs="Calibri"/>
          <w:szCs w:val="20"/>
        </w:rPr>
        <w:t xml:space="preserve"> i </w:t>
      </w:r>
      <w:r w:rsidRPr="00404DA5">
        <w:rPr>
          <w:rFonts w:cs="Calibri"/>
          <w:szCs w:val="20"/>
        </w:rPr>
        <w:t>związana</w:t>
      </w:r>
      <w:r w:rsidR="00E66B89">
        <w:rPr>
          <w:rFonts w:cs="Calibri"/>
          <w:szCs w:val="20"/>
        </w:rPr>
        <w:t xml:space="preserve"> z </w:t>
      </w:r>
      <w:r w:rsidRPr="00404DA5">
        <w:rPr>
          <w:rFonts w:cs="Calibri"/>
          <w:szCs w:val="20"/>
        </w:rPr>
        <w:t xml:space="preserve">tym rosnąca liczba pojazdów oraz zły stan nawierzchni dróg. Zatem </w:t>
      </w:r>
      <w:r>
        <w:rPr>
          <w:rFonts w:cs="Calibri"/>
          <w:szCs w:val="20"/>
        </w:rPr>
        <w:t xml:space="preserve">udzielane </w:t>
      </w:r>
      <w:r w:rsidRPr="00404DA5">
        <w:rPr>
          <w:rFonts w:cs="Calibri"/>
          <w:szCs w:val="20"/>
        </w:rPr>
        <w:t>wsparcie przyczyniając się do redukcji emisji zanieczyszczeń</w:t>
      </w:r>
      <w:r>
        <w:rPr>
          <w:rFonts w:cs="Calibri"/>
          <w:szCs w:val="20"/>
        </w:rPr>
        <w:t>,</w:t>
      </w:r>
      <w:r w:rsidRPr="00404DA5">
        <w:rPr>
          <w:rFonts w:cs="Calibri"/>
          <w:szCs w:val="20"/>
        </w:rPr>
        <w:t xml:space="preserve"> wpływać będzie na ograniczenie niekorzystnych oddziaływań wynikających np.</w:t>
      </w:r>
      <w:r w:rsidR="00E66B89">
        <w:rPr>
          <w:rFonts w:cs="Calibri"/>
          <w:szCs w:val="20"/>
        </w:rPr>
        <w:t xml:space="preserve"> z </w:t>
      </w:r>
      <w:r w:rsidRPr="00404DA5">
        <w:rPr>
          <w:rFonts w:cs="Calibri"/>
          <w:szCs w:val="20"/>
        </w:rPr>
        <w:t>wtórnego wznosu pyłu</w:t>
      </w:r>
      <w:r>
        <w:rPr>
          <w:rFonts w:cs="Calibri"/>
          <w:szCs w:val="20"/>
        </w:rPr>
        <w:t>, np.</w:t>
      </w:r>
      <w:r w:rsidRPr="00404DA5">
        <w:rPr>
          <w:rFonts w:cs="Calibri"/>
          <w:szCs w:val="20"/>
        </w:rPr>
        <w:t xml:space="preserve"> przez przejeżdżające pojazdy.</w:t>
      </w:r>
    </w:p>
    <w:p w14:paraId="4DCAB2B7" w14:textId="77777777" w:rsidR="00370D80" w:rsidRPr="00404DA5" w:rsidRDefault="00370D80" w:rsidP="00370D80">
      <w:pPr>
        <w:rPr>
          <w:rFonts w:cs="Calibri"/>
          <w:szCs w:val="20"/>
        </w:rPr>
      </w:pPr>
      <w:r w:rsidRPr="00404DA5">
        <w:rPr>
          <w:rFonts w:cs="Calibri"/>
          <w:szCs w:val="20"/>
        </w:rPr>
        <w:t>Wsparcie zaplanowane</w:t>
      </w:r>
      <w:r w:rsidR="00E66B89">
        <w:rPr>
          <w:rFonts w:cs="Calibri"/>
          <w:szCs w:val="20"/>
        </w:rPr>
        <w:t xml:space="preserve"> w </w:t>
      </w:r>
      <w:r w:rsidRPr="00404DA5">
        <w:rPr>
          <w:rFonts w:cs="Calibri"/>
          <w:szCs w:val="20"/>
        </w:rPr>
        <w:t xml:space="preserve">ramach Działania 2.14 ma niejako pilotażowy charakter. </w:t>
      </w:r>
      <w:r>
        <w:rPr>
          <w:rFonts w:cs="Calibri"/>
          <w:szCs w:val="20"/>
        </w:rPr>
        <w:t>KE</w:t>
      </w:r>
      <w:r w:rsidRPr="00404DA5">
        <w:rPr>
          <w:rFonts w:cs="Calibri"/>
          <w:szCs w:val="20"/>
        </w:rPr>
        <w:t xml:space="preserve"> pozytywnie odnosi się do planów wspierania</w:t>
      </w:r>
      <w:r w:rsidR="00E66B89">
        <w:rPr>
          <w:rFonts w:cs="Calibri"/>
          <w:szCs w:val="20"/>
        </w:rPr>
        <w:t xml:space="preserve"> w </w:t>
      </w:r>
      <w:r w:rsidRPr="00404DA5">
        <w:rPr>
          <w:rFonts w:cs="Calibri"/>
          <w:szCs w:val="20"/>
        </w:rPr>
        <w:t>ramach funduszy UE PI 6e. Dopiero</w:t>
      </w:r>
      <w:r w:rsidR="00E66B89">
        <w:rPr>
          <w:rFonts w:cs="Calibri"/>
          <w:szCs w:val="20"/>
        </w:rPr>
        <w:t xml:space="preserve"> w </w:t>
      </w:r>
      <w:r w:rsidRPr="00404DA5">
        <w:rPr>
          <w:rFonts w:cs="Calibri"/>
          <w:szCs w:val="20"/>
        </w:rPr>
        <w:t>momencie zdobycia przez IZ RPO WZ 2014-2020 doświadczeń praktycznych</w:t>
      </w:r>
      <w:r w:rsidR="00E66B89">
        <w:rPr>
          <w:rFonts w:cs="Calibri"/>
          <w:szCs w:val="20"/>
        </w:rPr>
        <w:t xml:space="preserve"> z </w:t>
      </w:r>
      <w:r w:rsidRPr="00404DA5">
        <w:rPr>
          <w:rFonts w:cs="Calibri"/>
          <w:szCs w:val="20"/>
        </w:rPr>
        <w:t>wdrażania zaplanowanego naboru będzie można formułować konkretne rekomendacje</w:t>
      </w:r>
      <w:r w:rsidR="00E66B89">
        <w:rPr>
          <w:rFonts w:cs="Calibri"/>
          <w:szCs w:val="20"/>
        </w:rPr>
        <w:t xml:space="preserve"> w </w:t>
      </w:r>
      <w:r w:rsidRPr="00404DA5">
        <w:rPr>
          <w:rFonts w:cs="Calibri"/>
          <w:szCs w:val="20"/>
        </w:rPr>
        <w:t xml:space="preserve">przedmiotowym zakresie (np. </w:t>
      </w:r>
      <w:r>
        <w:rPr>
          <w:rFonts w:cs="Calibri"/>
          <w:szCs w:val="20"/>
        </w:rPr>
        <w:t xml:space="preserve">czy </w:t>
      </w:r>
      <w:r w:rsidRPr="00404DA5">
        <w:rPr>
          <w:rFonts w:cs="Calibri"/>
          <w:szCs w:val="20"/>
        </w:rPr>
        <w:t>organizować kolejny nabór, czy zainteresowanie wsparciem</w:t>
      </w:r>
      <w:r>
        <w:rPr>
          <w:rFonts w:cs="Calibri"/>
          <w:szCs w:val="20"/>
        </w:rPr>
        <w:t xml:space="preserve"> oraz </w:t>
      </w:r>
      <w:r w:rsidRPr="00404DA5">
        <w:rPr>
          <w:rFonts w:cs="Calibri"/>
          <w:szCs w:val="20"/>
        </w:rPr>
        <w:t>liczba projektów na listach rankingowych będ</w:t>
      </w:r>
      <w:r>
        <w:rPr>
          <w:rFonts w:cs="Calibri"/>
          <w:szCs w:val="20"/>
        </w:rPr>
        <w:t>ą</w:t>
      </w:r>
      <w:r w:rsidRPr="00404DA5">
        <w:rPr>
          <w:rFonts w:cs="Calibri"/>
          <w:szCs w:val="20"/>
        </w:rPr>
        <w:t xml:space="preserve"> tak duże</w:t>
      </w:r>
      <w:r>
        <w:rPr>
          <w:rFonts w:cs="Calibri"/>
          <w:szCs w:val="20"/>
        </w:rPr>
        <w:t>,</w:t>
      </w:r>
      <w:r w:rsidRPr="00404DA5">
        <w:rPr>
          <w:rFonts w:cs="Calibri"/>
          <w:szCs w:val="20"/>
        </w:rPr>
        <w:t xml:space="preserve"> by zwiększyć alokacj</w:t>
      </w:r>
      <w:r>
        <w:rPr>
          <w:rFonts w:cs="Calibri"/>
          <w:szCs w:val="20"/>
        </w:rPr>
        <w:t>ę</w:t>
      </w:r>
      <w:r w:rsidRPr="00404DA5">
        <w:rPr>
          <w:rFonts w:cs="Calibri"/>
          <w:szCs w:val="20"/>
        </w:rPr>
        <w:t xml:space="preserve"> itp.).</w:t>
      </w:r>
    </w:p>
    <w:p w14:paraId="7436F364" w14:textId="77777777" w:rsidR="00370D80" w:rsidRPr="00404DA5" w:rsidRDefault="00370D80" w:rsidP="00370D80">
      <w:pPr>
        <w:rPr>
          <w:rFonts w:cs="Calibri"/>
          <w:szCs w:val="20"/>
        </w:rPr>
      </w:pPr>
      <w:r w:rsidRPr="00404DA5">
        <w:rPr>
          <w:rFonts w:cs="Calibri"/>
          <w:szCs w:val="20"/>
        </w:rPr>
        <w:t>Na dzień 31.12.2018 r. brak jest możliwości dokonania oceny poziomu zaspokojenia potrzeb</w:t>
      </w:r>
      <w:r w:rsidR="00E66B89">
        <w:rPr>
          <w:rFonts w:cs="Calibri"/>
          <w:szCs w:val="20"/>
        </w:rPr>
        <w:t xml:space="preserve"> w </w:t>
      </w:r>
      <w:r w:rsidRPr="00404DA5">
        <w:rPr>
          <w:rFonts w:cs="Calibri"/>
          <w:szCs w:val="20"/>
        </w:rPr>
        <w:t>regionie wskutek wdrażania PI 6e. Kwestią problematyczną</w:t>
      </w:r>
      <w:r w:rsidR="00E66B89">
        <w:rPr>
          <w:rFonts w:cs="Calibri"/>
          <w:szCs w:val="20"/>
        </w:rPr>
        <w:t xml:space="preserve"> w </w:t>
      </w:r>
      <w:r w:rsidRPr="00404DA5">
        <w:rPr>
          <w:rFonts w:cs="Calibri"/>
          <w:szCs w:val="20"/>
        </w:rPr>
        <w:t>tym zakresie pozostanie specyfika wdrażanego Działania. Stacje pomiarowe WIOŚ zlokalizowane są</w:t>
      </w:r>
      <w:r w:rsidR="00E66B89">
        <w:rPr>
          <w:rFonts w:cs="Calibri"/>
          <w:szCs w:val="20"/>
        </w:rPr>
        <w:t xml:space="preserve"> w </w:t>
      </w:r>
      <w:r w:rsidRPr="00404DA5">
        <w:rPr>
          <w:rFonts w:cs="Calibri"/>
          <w:szCs w:val="20"/>
        </w:rPr>
        <w:t>ograniczonej liczbie miejscowości na terenie województwa zachodniopomorskiego (np. do monitorowania stężeń PM10</w:t>
      </w:r>
      <w:r>
        <w:rPr>
          <w:rFonts w:cs="Calibri"/>
          <w:szCs w:val="20"/>
        </w:rPr>
        <w:t>:</w:t>
      </w:r>
      <w:r w:rsidRPr="00404DA5">
        <w:rPr>
          <w:rFonts w:cs="Calibri"/>
          <w:szCs w:val="20"/>
        </w:rPr>
        <w:t xml:space="preserve"> Szczecin, Koszalin, Szczecinek, Myślibórz, Widuchowa).</w:t>
      </w:r>
      <w:r w:rsidR="00E66B89">
        <w:rPr>
          <w:rFonts w:cs="Calibri"/>
          <w:szCs w:val="20"/>
        </w:rPr>
        <w:t xml:space="preserve"> Z </w:t>
      </w:r>
      <w:r w:rsidRPr="00404DA5">
        <w:rPr>
          <w:rFonts w:cs="Calibri"/>
          <w:szCs w:val="20"/>
        </w:rPr>
        <w:t>tego względu trudno dokonać realnych ocen</w:t>
      </w:r>
      <w:r w:rsidR="00E66B89">
        <w:rPr>
          <w:rFonts w:cs="Calibri"/>
          <w:szCs w:val="20"/>
        </w:rPr>
        <w:t xml:space="preserve"> w </w:t>
      </w:r>
      <w:r w:rsidRPr="00404DA5">
        <w:rPr>
          <w:rFonts w:cs="Calibri"/>
          <w:szCs w:val="20"/>
        </w:rPr>
        <w:t xml:space="preserve">zakresie </w:t>
      </w:r>
      <w:r w:rsidRPr="00404DA5">
        <w:rPr>
          <w:rFonts w:cs="Calibri"/>
          <w:szCs w:val="20"/>
        </w:rPr>
        <w:lastRenderedPageBreak/>
        <w:t xml:space="preserve">zaspokojenia potrzeb dotyczących ograniczenia niskiej emisji. </w:t>
      </w:r>
      <w:r>
        <w:rPr>
          <w:rFonts w:cs="Calibri"/>
          <w:szCs w:val="20"/>
        </w:rPr>
        <w:t>M</w:t>
      </w:r>
      <w:r w:rsidRPr="00404DA5">
        <w:rPr>
          <w:rFonts w:cs="Calibri"/>
          <w:szCs w:val="20"/>
        </w:rPr>
        <w:t>ożliwe jest występowanie lokalnych przekroczeń poziomów stężeń zanieczyszczeń, które nie będą podlegały monitorowaniu (np. na określonych obszarach,</w:t>
      </w:r>
      <w:r w:rsidR="00E66B89">
        <w:rPr>
          <w:rFonts w:cs="Calibri"/>
          <w:szCs w:val="20"/>
        </w:rPr>
        <w:t xml:space="preserve"> w </w:t>
      </w:r>
      <w:r w:rsidRPr="00404DA5">
        <w:rPr>
          <w:rFonts w:cs="Calibri"/>
          <w:szCs w:val="20"/>
        </w:rPr>
        <w:t>sezonie grzewczym przy bezwietrznej pogodzie</w:t>
      </w:r>
      <w:r w:rsidR="00E66B89">
        <w:rPr>
          <w:rFonts w:cs="Calibri"/>
          <w:szCs w:val="20"/>
        </w:rPr>
        <w:t xml:space="preserve"> i </w:t>
      </w:r>
      <w:r w:rsidRPr="00404DA5">
        <w:rPr>
          <w:rFonts w:cs="Calibri"/>
          <w:szCs w:val="20"/>
        </w:rPr>
        <w:t>dużej wilgotności powietrza).</w:t>
      </w:r>
    </w:p>
    <w:p w14:paraId="7B242628" w14:textId="77777777" w:rsidR="00370D80" w:rsidRPr="00404DA5" w:rsidRDefault="00370D80" w:rsidP="00370D80">
      <w:pPr>
        <w:rPr>
          <w:rFonts w:cs="Calibri"/>
          <w:szCs w:val="20"/>
        </w:rPr>
      </w:pPr>
      <w:r w:rsidRPr="00404DA5">
        <w:rPr>
          <w:rFonts w:cs="Calibri"/>
          <w:szCs w:val="20"/>
        </w:rPr>
        <w:t>Z uwagi na specyfikę wspieranych projektów</w:t>
      </w:r>
      <w:r>
        <w:rPr>
          <w:rFonts w:cs="Calibri"/>
          <w:szCs w:val="20"/>
        </w:rPr>
        <w:t>,</w:t>
      </w:r>
      <w:r w:rsidRPr="00404DA5">
        <w:rPr>
          <w:rFonts w:cs="Calibri"/>
          <w:szCs w:val="20"/>
        </w:rPr>
        <w:t xml:space="preserve"> brak jest możliwości sformułowania rekomendacji odnośnie tego, jakie elementy wsparcia</w:t>
      </w:r>
      <w:r w:rsidR="00E66B89">
        <w:rPr>
          <w:rFonts w:cs="Calibri"/>
          <w:szCs w:val="20"/>
        </w:rPr>
        <w:t xml:space="preserve"> w </w:t>
      </w:r>
      <w:r w:rsidRPr="00404DA5">
        <w:rPr>
          <w:rFonts w:cs="Calibri"/>
          <w:szCs w:val="20"/>
        </w:rPr>
        <w:t>ramach PI 6e można uznać za cechujące się wysoką,</w:t>
      </w:r>
      <w:r w:rsidR="00E66B89">
        <w:rPr>
          <w:rFonts w:cs="Calibri"/>
          <w:szCs w:val="20"/>
        </w:rPr>
        <w:t xml:space="preserve"> a </w:t>
      </w:r>
      <w:r w:rsidRPr="00404DA5">
        <w:rPr>
          <w:rFonts w:cs="Calibri"/>
          <w:szCs w:val="20"/>
        </w:rPr>
        <w:t>jakie niską skutecznością. Wsparcie</w:t>
      </w:r>
      <w:r w:rsidR="00E66B89">
        <w:rPr>
          <w:rFonts w:cs="Calibri"/>
          <w:szCs w:val="20"/>
        </w:rPr>
        <w:t xml:space="preserve"> w </w:t>
      </w:r>
      <w:r w:rsidRPr="00404DA5">
        <w:rPr>
          <w:rFonts w:cs="Calibri"/>
          <w:szCs w:val="20"/>
        </w:rPr>
        <w:t>ramach PI 6e jest bardzo precyzyjne, zakres możliwych do wsparcia projektów ściśle określony</w:t>
      </w:r>
      <w:r>
        <w:rPr>
          <w:rFonts w:cs="Calibri"/>
          <w:szCs w:val="20"/>
        </w:rPr>
        <w:t>,</w:t>
      </w:r>
      <w:r w:rsidR="00E66B89">
        <w:rPr>
          <w:rFonts w:cs="Calibri"/>
          <w:szCs w:val="20"/>
        </w:rPr>
        <w:t xml:space="preserve"> a </w:t>
      </w:r>
      <w:r w:rsidRPr="00404DA5">
        <w:rPr>
          <w:rFonts w:cs="Calibri"/>
          <w:szCs w:val="20"/>
        </w:rPr>
        <w:t>zamierzone efekty generalnie charakteryzują się wysoką skutecznością.</w:t>
      </w:r>
    </w:p>
    <w:p w14:paraId="34D8BCDA" w14:textId="77777777" w:rsidR="00370D80" w:rsidRPr="00404DA5" w:rsidRDefault="00370D80" w:rsidP="00370D80">
      <w:pPr>
        <w:rPr>
          <w:rFonts w:cs="Calibri"/>
          <w:szCs w:val="20"/>
        </w:rPr>
      </w:pPr>
      <w:r w:rsidRPr="00404DA5">
        <w:rPr>
          <w:rFonts w:cs="Calibri"/>
          <w:szCs w:val="20"/>
        </w:rPr>
        <w:t>Jak już oceniono</w:t>
      </w:r>
      <w:r w:rsidR="00E66B89">
        <w:rPr>
          <w:rFonts w:cs="Calibri"/>
          <w:szCs w:val="20"/>
        </w:rPr>
        <w:t xml:space="preserve"> w </w:t>
      </w:r>
      <w:r w:rsidRPr="00404DA5">
        <w:rPr>
          <w:rFonts w:cs="Calibri"/>
          <w:szCs w:val="20"/>
        </w:rPr>
        <w:t xml:space="preserve">podrozdziale dotyczącym postępów wdrażania, </w:t>
      </w:r>
      <w:r>
        <w:rPr>
          <w:rFonts w:cs="Calibri"/>
          <w:szCs w:val="20"/>
        </w:rPr>
        <w:t>p</w:t>
      </w:r>
      <w:r w:rsidRPr="00404DA5">
        <w:rPr>
          <w:rFonts w:cs="Calibri"/>
          <w:szCs w:val="20"/>
        </w:rPr>
        <w:t>lanowany do wsparcia rodzaj interwencji jest trafny</w:t>
      </w:r>
      <w:r w:rsidR="00E66B89">
        <w:rPr>
          <w:rFonts w:cs="Calibri"/>
          <w:szCs w:val="20"/>
        </w:rPr>
        <w:t xml:space="preserve"> i </w:t>
      </w:r>
      <w:r w:rsidRPr="00404DA5">
        <w:rPr>
          <w:rFonts w:cs="Calibri"/>
          <w:szCs w:val="20"/>
        </w:rPr>
        <w:t xml:space="preserve">będzie </w:t>
      </w:r>
      <w:r>
        <w:rPr>
          <w:rFonts w:cs="Calibri"/>
          <w:szCs w:val="20"/>
        </w:rPr>
        <w:t>przekładał się na rozwiązywanie</w:t>
      </w:r>
      <w:r w:rsidRPr="00404DA5">
        <w:rPr>
          <w:rFonts w:cs="Calibri"/>
          <w:szCs w:val="20"/>
        </w:rPr>
        <w:t xml:space="preserve"> </w:t>
      </w:r>
      <w:r>
        <w:rPr>
          <w:rFonts w:cs="Calibri"/>
          <w:szCs w:val="20"/>
        </w:rPr>
        <w:t>zidentyfikowanych</w:t>
      </w:r>
      <w:r w:rsidR="00E66B89">
        <w:rPr>
          <w:rFonts w:cs="Calibri"/>
          <w:szCs w:val="20"/>
        </w:rPr>
        <w:t xml:space="preserve"> w </w:t>
      </w:r>
      <w:r>
        <w:rPr>
          <w:rFonts w:cs="Calibri"/>
          <w:szCs w:val="20"/>
        </w:rPr>
        <w:t>diagnozie RPO WZ 2014-2020 problemów</w:t>
      </w:r>
      <w:r w:rsidRPr="00404DA5">
        <w:rPr>
          <w:rFonts w:cs="Calibri"/>
          <w:szCs w:val="20"/>
        </w:rPr>
        <w:t>.</w:t>
      </w:r>
      <w:r>
        <w:rPr>
          <w:rFonts w:cs="Calibri"/>
          <w:szCs w:val="20"/>
        </w:rPr>
        <w:t xml:space="preserve"> Prognozuje się, iż wskutek realizacji projektów</w:t>
      </w:r>
      <w:r w:rsidR="00E66B89">
        <w:rPr>
          <w:rFonts w:cs="Calibri"/>
          <w:szCs w:val="20"/>
        </w:rPr>
        <w:t xml:space="preserve"> w </w:t>
      </w:r>
      <w:r>
        <w:rPr>
          <w:rFonts w:cs="Calibri"/>
          <w:szCs w:val="20"/>
        </w:rPr>
        <w:t>ramach PI 6e poprawie ulegnie jakość powietrza</w:t>
      </w:r>
      <w:r w:rsidR="00E66B89">
        <w:rPr>
          <w:rFonts w:cs="Calibri"/>
          <w:szCs w:val="20"/>
        </w:rPr>
        <w:t xml:space="preserve"> w </w:t>
      </w:r>
      <w:r>
        <w:rPr>
          <w:rFonts w:cs="Calibri"/>
          <w:szCs w:val="20"/>
        </w:rPr>
        <w:t xml:space="preserve">województwie zachodniopomorskim (głównie poprzez obniżenie </w:t>
      </w:r>
      <w:r w:rsidRPr="00FE442B">
        <w:t>stężeń pyłu zawieszonego PM10, PM2,5, benzeno(a)pir</w:t>
      </w:r>
      <w:r>
        <w:t>enu oraz</w:t>
      </w:r>
      <w:r w:rsidRPr="00FE442B">
        <w:t xml:space="preserve"> tlenków siarki</w:t>
      </w:r>
      <w:r>
        <w:t>).</w:t>
      </w:r>
    </w:p>
    <w:p w14:paraId="79D1B575" w14:textId="77777777" w:rsidR="00370D80" w:rsidRPr="00436D27" w:rsidRDefault="00370D80" w:rsidP="00370D80">
      <w:pPr>
        <w:pStyle w:val="Nagwek4"/>
        <w:numPr>
          <w:ilvl w:val="0"/>
          <w:numId w:val="0"/>
        </w:numPr>
        <w:rPr>
          <w:rFonts w:ascii="Lato" w:eastAsia="Calibri" w:hAnsi="Lato"/>
        </w:rPr>
      </w:pPr>
      <w:r w:rsidRPr="00436D27">
        <w:rPr>
          <w:rFonts w:ascii="Lato" w:eastAsia="Calibri" w:hAnsi="Lato"/>
        </w:rPr>
        <w:t>Prognozy osiągnięcia celów zakładanych na 2023 rok</w:t>
      </w:r>
    </w:p>
    <w:p w14:paraId="7D2B4788" w14:textId="77777777" w:rsidR="00370D80" w:rsidRPr="00404DA5" w:rsidRDefault="00370D80" w:rsidP="00370D80">
      <w:pPr>
        <w:rPr>
          <w:rFonts w:cs="Calibri"/>
          <w:szCs w:val="20"/>
        </w:rPr>
      </w:pPr>
      <w:r w:rsidRPr="00404DA5">
        <w:rPr>
          <w:rFonts w:cs="Calibri"/>
          <w:szCs w:val="20"/>
        </w:rPr>
        <w:t>W PI 6e dostępna</w:t>
      </w:r>
      <w:r>
        <w:rPr>
          <w:rFonts w:cs="Calibri"/>
          <w:szCs w:val="20"/>
        </w:rPr>
        <w:t xml:space="preserve"> jest</w:t>
      </w:r>
      <w:r w:rsidRPr="00404DA5">
        <w:rPr>
          <w:rFonts w:cs="Calibri"/>
          <w:szCs w:val="20"/>
        </w:rPr>
        <w:t xml:space="preserve"> alokacja</w:t>
      </w:r>
      <w:r w:rsidR="00E66B89">
        <w:rPr>
          <w:rFonts w:cs="Calibri"/>
          <w:szCs w:val="20"/>
        </w:rPr>
        <w:t xml:space="preserve"> w </w:t>
      </w:r>
      <w:r w:rsidRPr="00404DA5">
        <w:rPr>
          <w:rFonts w:cs="Calibri"/>
          <w:szCs w:val="20"/>
        </w:rPr>
        <w:t xml:space="preserve">wysokości </w:t>
      </w:r>
      <w:r>
        <w:rPr>
          <w:rFonts w:cs="Calibri"/>
          <w:szCs w:val="20"/>
        </w:rPr>
        <w:t xml:space="preserve">około </w:t>
      </w:r>
      <w:r w:rsidRPr="00404DA5">
        <w:rPr>
          <w:rFonts w:cs="Calibri"/>
          <w:szCs w:val="20"/>
        </w:rPr>
        <w:t>17 211 200 zł (kwota</w:t>
      </w:r>
      <w:r w:rsidR="00E66B89">
        <w:rPr>
          <w:rFonts w:cs="Calibri"/>
          <w:szCs w:val="20"/>
        </w:rPr>
        <w:t xml:space="preserve"> z </w:t>
      </w:r>
      <w:r w:rsidRPr="00404DA5">
        <w:rPr>
          <w:rFonts w:cs="Calibri"/>
          <w:szCs w:val="20"/>
        </w:rPr>
        <w:t>rezerwą wykonania).</w:t>
      </w:r>
      <w:r w:rsidR="00E66B89">
        <w:rPr>
          <w:rFonts w:cs="Calibri"/>
          <w:szCs w:val="20"/>
        </w:rPr>
        <w:t xml:space="preserve"> W </w:t>
      </w:r>
      <w:r w:rsidRPr="00404DA5">
        <w:rPr>
          <w:rFonts w:cs="Calibri"/>
          <w:szCs w:val="20"/>
        </w:rPr>
        <w:t>ocenie ewaluatora przyjęte założenia dotyczące wartości docelowej uznać należy za trafne (powinny one zostać osiągnięte</w:t>
      </w:r>
      <w:r w:rsidR="00E66B89">
        <w:rPr>
          <w:rFonts w:cs="Calibri"/>
          <w:szCs w:val="20"/>
        </w:rPr>
        <w:t xml:space="preserve"> w </w:t>
      </w:r>
      <w:r w:rsidRPr="00404DA5">
        <w:rPr>
          <w:rFonts w:cs="Calibri"/>
          <w:szCs w:val="20"/>
        </w:rPr>
        <w:t>sytuacji, gdy</w:t>
      </w:r>
      <w:r w:rsidR="00E66B89">
        <w:rPr>
          <w:rFonts w:cs="Calibri"/>
          <w:szCs w:val="20"/>
        </w:rPr>
        <w:t xml:space="preserve"> w </w:t>
      </w:r>
      <w:r w:rsidRPr="00404DA5">
        <w:rPr>
          <w:rFonts w:cs="Calibri"/>
          <w:szCs w:val="20"/>
        </w:rPr>
        <w:t>ramach zaplanowanego naboru będzie odpowiednie zainteresowanie aplikowaniem</w:t>
      </w:r>
      <w:r w:rsidR="00E66B89">
        <w:rPr>
          <w:rFonts w:cs="Calibri"/>
          <w:szCs w:val="20"/>
        </w:rPr>
        <w:t xml:space="preserve"> o </w:t>
      </w:r>
      <w:r w:rsidRPr="00404DA5">
        <w:rPr>
          <w:rFonts w:cs="Calibri"/>
          <w:szCs w:val="20"/>
        </w:rPr>
        <w:t>wsparcie).</w:t>
      </w:r>
      <w:r w:rsidR="00E66B89">
        <w:rPr>
          <w:rFonts w:cs="Calibri"/>
          <w:szCs w:val="20"/>
        </w:rPr>
        <w:t xml:space="preserve"> W </w:t>
      </w:r>
      <w:r>
        <w:rPr>
          <w:rFonts w:cs="Calibri"/>
          <w:szCs w:val="20"/>
        </w:rPr>
        <w:t>przypadku</w:t>
      </w:r>
      <w:r w:rsidRPr="00404DA5">
        <w:rPr>
          <w:rFonts w:cs="Calibri"/>
          <w:szCs w:val="20"/>
        </w:rPr>
        <w:t xml:space="preserve"> wskaźnika </w:t>
      </w:r>
      <w:r w:rsidRPr="008B706B">
        <w:rPr>
          <w:rFonts w:cs="Calibri"/>
          <w:i/>
          <w:szCs w:val="20"/>
        </w:rPr>
        <w:t>Liczba zmodernizowanych źródeł ciepła</w:t>
      </w:r>
      <w:r w:rsidRPr="00404DA5">
        <w:rPr>
          <w:rFonts w:cs="Calibri"/>
          <w:szCs w:val="20"/>
        </w:rPr>
        <w:t xml:space="preserve"> prognozuje się jego osiągnięcie</w:t>
      </w:r>
      <w:r w:rsidR="00E66B89">
        <w:rPr>
          <w:rFonts w:cs="Calibri"/>
          <w:szCs w:val="20"/>
        </w:rPr>
        <w:t xml:space="preserve"> w </w:t>
      </w:r>
      <w:r w:rsidRPr="00404DA5">
        <w:rPr>
          <w:rFonts w:cs="Calibri"/>
          <w:szCs w:val="20"/>
        </w:rPr>
        <w:t xml:space="preserve">wysokości 592 szt. Dla wskaźnika </w:t>
      </w:r>
      <w:r w:rsidRPr="008B706B">
        <w:rPr>
          <w:rFonts w:cs="Calibri"/>
          <w:i/>
          <w:szCs w:val="20"/>
        </w:rPr>
        <w:t>Spadek emisji pyłów</w:t>
      </w:r>
      <w:r w:rsidRPr="00404DA5">
        <w:rPr>
          <w:rFonts w:cs="Calibri"/>
          <w:szCs w:val="20"/>
        </w:rPr>
        <w:t xml:space="preserve"> prognozuje się jego osiągnięcie</w:t>
      </w:r>
      <w:r w:rsidR="00E66B89">
        <w:rPr>
          <w:rFonts w:cs="Calibri"/>
          <w:szCs w:val="20"/>
        </w:rPr>
        <w:t xml:space="preserve"> w </w:t>
      </w:r>
      <w:r w:rsidRPr="00404DA5">
        <w:rPr>
          <w:rFonts w:cs="Calibri"/>
          <w:szCs w:val="20"/>
        </w:rPr>
        <w:t>wysokości 0,43 Mg/rok,</w:t>
      </w:r>
      <w:r w:rsidR="00E66B89">
        <w:rPr>
          <w:rFonts w:cs="Calibri"/>
          <w:szCs w:val="20"/>
        </w:rPr>
        <w:t xml:space="preserve"> a </w:t>
      </w:r>
      <w:r>
        <w:rPr>
          <w:rFonts w:cs="Calibri"/>
          <w:szCs w:val="20"/>
        </w:rPr>
        <w:t>dla</w:t>
      </w:r>
      <w:r w:rsidRPr="00404DA5">
        <w:rPr>
          <w:rFonts w:cs="Calibri"/>
          <w:szCs w:val="20"/>
        </w:rPr>
        <w:t xml:space="preserve"> wskaźnika </w:t>
      </w:r>
      <w:r w:rsidRPr="008B706B">
        <w:rPr>
          <w:rFonts w:cs="Calibri"/>
          <w:i/>
          <w:szCs w:val="20"/>
        </w:rPr>
        <w:t>Szacowany roczny spadek emisji gazów cieplarnianych</w:t>
      </w:r>
      <w:r w:rsidRPr="00404DA5">
        <w:rPr>
          <w:rFonts w:cs="Calibri"/>
          <w:szCs w:val="20"/>
        </w:rPr>
        <w:t xml:space="preserve"> prognozuje się osiągnięcie</w:t>
      </w:r>
      <w:r w:rsidR="00E66B89">
        <w:rPr>
          <w:rFonts w:cs="Calibri"/>
          <w:szCs w:val="20"/>
        </w:rPr>
        <w:t xml:space="preserve"> w </w:t>
      </w:r>
      <w:r w:rsidRPr="00404DA5">
        <w:rPr>
          <w:rFonts w:cs="Calibri"/>
          <w:szCs w:val="20"/>
        </w:rPr>
        <w:t>wysokości 966 tony równoważnika CO2.</w:t>
      </w:r>
    </w:p>
    <w:p w14:paraId="00641A55" w14:textId="77777777" w:rsidR="00370D80" w:rsidRPr="00404DA5" w:rsidRDefault="00370D80" w:rsidP="00370D80">
      <w:pPr>
        <w:rPr>
          <w:rFonts w:cs="Calibri"/>
          <w:szCs w:val="20"/>
        </w:rPr>
      </w:pPr>
      <w:r w:rsidRPr="00404DA5">
        <w:rPr>
          <w:rFonts w:cs="Calibri"/>
          <w:szCs w:val="20"/>
        </w:rPr>
        <w:t>Z uwagi na braki danych (brak zawartych umów</w:t>
      </w:r>
      <w:r w:rsidR="00E66B89">
        <w:rPr>
          <w:rFonts w:cs="Calibri"/>
          <w:szCs w:val="20"/>
        </w:rPr>
        <w:t xml:space="preserve"> o </w:t>
      </w:r>
      <w:r w:rsidRPr="00404DA5">
        <w:rPr>
          <w:rFonts w:cs="Calibri"/>
          <w:szCs w:val="20"/>
        </w:rPr>
        <w:t xml:space="preserve">dofinansowanie) trudno jest dokonać aktualnie jednoznacznej oceny trafności przyjętych założeń dotyczących prognozowanego osiągnięcia wartości docelowych. </w:t>
      </w:r>
    </w:p>
    <w:p w14:paraId="1B52CDFA" w14:textId="77777777" w:rsidR="00370D80" w:rsidRPr="00404DA5" w:rsidRDefault="00370D80" w:rsidP="00370D80">
      <w:pPr>
        <w:rPr>
          <w:rFonts w:cs="Calibri"/>
          <w:szCs w:val="20"/>
        </w:rPr>
      </w:pPr>
      <w:r w:rsidRPr="00404DA5">
        <w:rPr>
          <w:rFonts w:cs="Calibri"/>
          <w:szCs w:val="20"/>
        </w:rPr>
        <w:t>Brak jest podstaw do negowania przyjętych założeń wartości docelowych wskaźników produktu</w:t>
      </w:r>
      <w:r w:rsidR="00E66B89">
        <w:rPr>
          <w:rFonts w:cs="Calibri"/>
          <w:szCs w:val="20"/>
        </w:rPr>
        <w:t xml:space="preserve"> i </w:t>
      </w:r>
      <w:r w:rsidRPr="00404DA5">
        <w:rPr>
          <w:rFonts w:cs="Calibri"/>
          <w:szCs w:val="20"/>
        </w:rPr>
        <w:t xml:space="preserve">rezultatu dla PI 6e. </w:t>
      </w:r>
    </w:p>
    <w:p w14:paraId="52B4B1E8" w14:textId="77777777" w:rsidR="00370D80" w:rsidRPr="00404DA5" w:rsidRDefault="00370D80" w:rsidP="00370D80">
      <w:pPr>
        <w:rPr>
          <w:rFonts w:cs="Calibri"/>
          <w:szCs w:val="20"/>
        </w:rPr>
      </w:pPr>
      <w:r w:rsidRPr="00404DA5">
        <w:rPr>
          <w:rFonts w:cs="Calibri"/>
          <w:szCs w:val="20"/>
        </w:rPr>
        <w:t>W zakresie wskaźników rezultatu strategicznego największy wpływ na obserwowane wartości stężeń pyłu zawieszonego ma sezon grzewczy. To najczęściej</w:t>
      </w:r>
      <w:r w:rsidR="00E66B89">
        <w:rPr>
          <w:rFonts w:cs="Calibri"/>
          <w:szCs w:val="20"/>
        </w:rPr>
        <w:t xml:space="preserve"> w </w:t>
      </w:r>
      <w:r w:rsidRPr="00404DA5">
        <w:rPr>
          <w:rFonts w:cs="Calibri"/>
          <w:szCs w:val="20"/>
        </w:rPr>
        <w:t>miesiącach zimowych dochodzi do przekroczeń dopuszczalnych stężeń. Informacje dotyczące przyjętych wartości powinny zostać uszczegółowione</w:t>
      </w:r>
      <w:r w:rsidR="00E66B89">
        <w:rPr>
          <w:rFonts w:cs="Calibri"/>
          <w:szCs w:val="20"/>
        </w:rPr>
        <w:t xml:space="preserve"> w </w:t>
      </w:r>
      <w:r w:rsidRPr="00404DA5">
        <w:rPr>
          <w:rFonts w:cs="Calibri"/>
          <w:szCs w:val="20"/>
        </w:rPr>
        <w:t>zakresie</w:t>
      </w:r>
      <w:r>
        <w:rPr>
          <w:rFonts w:cs="Calibri"/>
          <w:szCs w:val="20"/>
        </w:rPr>
        <w:t xml:space="preserve"> tego,</w:t>
      </w:r>
      <w:r w:rsidRPr="00404DA5">
        <w:rPr>
          <w:rFonts w:cs="Calibri"/>
          <w:szCs w:val="20"/>
        </w:rPr>
        <w:t xml:space="preserve"> jakich stacji pomiarowych dotyczą.</w:t>
      </w:r>
    </w:p>
    <w:p w14:paraId="791A0172" w14:textId="77777777" w:rsidR="00370D80" w:rsidRPr="00404DA5" w:rsidRDefault="00370D80" w:rsidP="006E34DC">
      <w:pPr>
        <w:pStyle w:val="Legenda"/>
        <w:spacing w:after="0"/>
      </w:pPr>
      <w:bookmarkStart w:id="93" w:name="_Toc8824143"/>
      <w:r w:rsidRPr="00404DA5">
        <w:t xml:space="preserve">Tabela </w:t>
      </w:r>
      <w:r>
        <w:fldChar w:fldCharType="begin"/>
      </w:r>
      <w:r>
        <w:instrText xml:space="preserve"> SEQ Tabela \* ARABIC </w:instrText>
      </w:r>
      <w:r>
        <w:fldChar w:fldCharType="separate"/>
      </w:r>
      <w:r w:rsidR="00763345">
        <w:rPr>
          <w:noProof/>
        </w:rPr>
        <w:t>32</w:t>
      </w:r>
      <w:r>
        <w:fldChar w:fldCharType="end"/>
      </w:r>
      <w:r w:rsidRPr="00404DA5">
        <w:t xml:space="preserve"> Prognozowany poziom realizacji wskaźników produktu</w:t>
      </w:r>
      <w:r w:rsidR="00E66B89">
        <w:t xml:space="preserve"> i </w:t>
      </w:r>
      <w:r w:rsidRPr="00404DA5">
        <w:t>rezultatu bezpośredniego na rok 2023 przy pozostałej alokacji – PI 6e</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185"/>
        <w:gridCol w:w="1706"/>
        <w:gridCol w:w="1763"/>
        <w:gridCol w:w="1791"/>
      </w:tblGrid>
      <w:tr w:rsidR="00370D80" w:rsidRPr="00803CAF" w14:paraId="2139968C" w14:textId="77777777" w:rsidTr="00C22C26">
        <w:trPr>
          <w:tblHeader/>
        </w:trPr>
        <w:tc>
          <w:tcPr>
            <w:tcW w:w="0" w:type="auto"/>
            <w:shd w:val="clear" w:color="auto" w:fill="DBE5F1"/>
            <w:vAlign w:val="center"/>
          </w:tcPr>
          <w:p w14:paraId="75B66F64" w14:textId="77777777" w:rsidR="00370D80" w:rsidRPr="00404DA5" w:rsidRDefault="00370D80" w:rsidP="00875733">
            <w:pPr>
              <w:jc w:val="center"/>
              <w:rPr>
                <w:rFonts w:cs="Calibri"/>
                <w:i/>
                <w:sz w:val="18"/>
                <w:szCs w:val="20"/>
              </w:rPr>
            </w:pPr>
            <w:r w:rsidRPr="00404DA5">
              <w:rPr>
                <w:sz w:val="18"/>
              </w:rPr>
              <w:t>Typ wskaźnika</w:t>
            </w:r>
          </w:p>
        </w:tc>
        <w:tc>
          <w:tcPr>
            <w:tcW w:w="0" w:type="auto"/>
            <w:shd w:val="clear" w:color="auto" w:fill="DBE5F1"/>
            <w:vAlign w:val="center"/>
          </w:tcPr>
          <w:p w14:paraId="72DC4EA1" w14:textId="77777777" w:rsidR="00370D80" w:rsidRPr="00404DA5" w:rsidRDefault="00370D80" w:rsidP="00875733">
            <w:pPr>
              <w:jc w:val="center"/>
              <w:rPr>
                <w:rFonts w:cs="Calibri"/>
                <w:i/>
                <w:sz w:val="18"/>
                <w:szCs w:val="20"/>
              </w:rPr>
            </w:pPr>
            <w:r w:rsidRPr="00404DA5">
              <w:rPr>
                <w:sz w:val="18"/>
              </w:rPr>
              <w:t>Wskaźnik</w:t>
            </w:r>
          </w:p>
        </w:tc>
        <w:tc>
          <w:tcPr>
            <w:tcW w:w="0" w:type="auto"/>
            <w:shd w:val="clear" w:color="auto" w:fill="DBE5F1"/>
          </w:tcPr>
          <w:p w14:paraId="08C167B5" w14:textId="77777777" w:rsidR="00370D80" w:rsidRPr="00404DA5" w:rsidRDefault="00370D80" w:rsidP="00370D80">
            <w:pPr>
              <w:rPr>
                <w:rFonts w:cs="Calibri"/>
                <w:i/>
                <w:sz w:val="18"/>
                <w:szCs w:val="20"/>
              </w:rPr>
            </w:pPr>
            <w:r w:rsidRPr="00404DA5">
              <w:rPr>
                <w:sz w:val="18"/>
              </w:rPr>
              <w:t>Wartość docelowa określona na 2023 rok</w:t>
            </w:r>
          </w:p>
        </w:tc>
        <w:tc>
          <w:tcPr>
            <w:tcW w:w="0" w:type="auto"/>
            <w:shd w:val="clear" w:color="auto" w:fill="DBE5F1"/>
            <w:vAlign w:val="center"/>
          </w:tcPr>
          <w:p w14:paraId="7EB44FE9" w14:textId="77777777" w:rsidR="00370D80" w:rsidRPr="00404DA5" w:rsidRDefault="00370D80" w:rsidP="00370D80">
            <w:pPr>
              <w:rPr>
                <w:rFonts w:cs="Calibri"/>
                <w:i/>
                <w:sz w:val="18"/>
                <w:szCs w:val="20"/>
              </w:rPr>
            </w:pPr>
            <w:r w:rsidRPr="00404DA5">
              <w:rPr>
                <w:sz w:val="18"/>
              </w:rPr>
              <w:t xml:space="preserve">Prognozowana całkowita wartość wskaźnika </w:t>
            </w:r>
          </w:p>
        </w:tc>
        <w:tc>
          <w:tcPr>
            <w:tcW w:w="0" w:type="auto"/>
            <w:shd w:val="clear" w:color="auto" w:fill="DBE5F1"/>
            <w:vAlign w:val="center"/>
          </w:tcPr>
          <w:p w14:paraId="666A9095" w14:textId="77777777" w:rsidR="00370D80" w:rsidRPr="00404DA5" w:rsidRDefault="00370D80" w:rsidP="00370D80">
            <w:pPr>
              <w:rPr>
                <w:rFonts w:cs="Calibri"/>
                <w:i/>
                <w:sz w:val="18"/>
                <w:szCs w:val="20"/>
              </w:rPr>
            </w:pPr>
            <w:r w:rsidRPr="00404DA5">
              <w:rPr>
                <w:sz w:val="18"/>
              </w:rPr>
              <w:t>Prognozowany % realizacji wartości docelowej</w:t>
            </w:r>
          </w:p>
        </w:tc>
      </w:tr>
      <w:tr w:rsidR="00370D80" w:rsidRPr="00803CAF" w14:paraId="65380820" w14:textId="77777777" w:rsidTr="00370D80">
        <w:tc>
          <w:tcPr>
            <w:tcW w:w="0" w:type="auto"/>
            <w:shd w:val="clear" w:color="auto" w:fill="auto"/>
            <w:vAlign w:val="center"/>
          </w:tcPr>
          <w:p w14:paraId="39513A59" w14:textId="77777777" w:rsidR="00370D80" w:rsidRPr="00404DA5" w:rsidRDefault="00370D80" w:rsidP="00875733">
            <w:pPr>
              <w:jc w:val="center"/>
              <w:rPr>
                <w:rFonts w:cs="Calibri"/>
                <w:i/>
                <w:sz w:val="18"/>
                <w:szCs w:val="20"/>
              </w:rPr>
            </w:pPr>
            <w:r w:rsidRPr="00404DA5">
              <w:rPr>
                <w:sz w:val="18"/>
              </w:rPr>
              <w:t>WP</w:t>
            </w:r>
          </w:p>
        </w:tc>
        <w:tc>
          <w:tcPr>
            <w:tcW w:w="0" w:type="auto"/>
            <w:shd w:val="clear" w:color="auto" w:fill="auto"/>
            <w:vAlign w:val="center"/>
          </w:tcPr>
          <w:p w14:paraId="7C3838BA" w14:textId="77777777" w:rsidR="00370D80" w:rsidRPr="00404DA5" w:rsidRDefault="00370D80" w:rsidP="00370D80">
            <w:pPr>
              <w:rPr>
                <w:rFonts w:cs="Calibri"/>
                <w:i/>
                <w:sz w:val="18"/>
                <w:szCs w:val="20"/>
              </w:rPr>
            </w:pPr>
            <w:r w:rsidRPr="00404DA5">
              <w:rPr>
                <w:sz w:val="18"/>
              </w:rPr>
              <w:t>Liczba zmodernizowanych źródeł ciepła</w:t>
            </w:r>
          </w:p>
        </w:tc>
        <w:tc>
          <w:tcPr>
            <w:tcW w:w="0" w:type="auto"/>
            <w:shd w:val="clear" w:color="auto" w:fill="auto"/>
            <w:vAlign w:val="center"/>
          </w:tcPr>
          <w:p w14:paraId="13E533F4" w14:textId="77777777" w:rsidR="00370D80" w:rsidRPr="00404DA5" w:rsidRDefault="00370D80" w:rsidP="00875733">
            <w:pPr>
              <w:jc w:val="center"/>
              <w:rPr>
                <w:rFonts w:cs="Calibri"/>
                <w:i/>
                <w:sz w:val="18"/>
                <w:szCs w:val="20"/>
              </w:rPr>
            </w:pPr>
            <w:r w:rsidRPr="00404DA5">
              <w:rPr>
                <w:sz w:val="18"/>
              </w:rPr>
              <w:t>592 szt.</w:t>
            </w:r>
          </w:p>
        </w:tc>
        <w:tc>
          <w:tcPr>
            <w:tcW w:w="0" w:type="auto"/>
            <w:shd w:val="clear" w:color="auto" w:fill="auto"/>
            <w:vAlign w:val="center"/>
          </w:tcPr>
          <w:p w14:paraId="5B06DF32" w14:textId="77777777" w:rsidR="00370D80" w:rsidRPr="00404DA5" w:rsidRDefault="00370D80" w:rsidP="00875733">
            <w:pPr>
              <w:jc w:val="center"/>
              <w:rPr>
                <w:rFonts w:cs="Calibri"/>
                <w:i/>
                <w:sz w:val="18"/>
                <w:szCs w:val="20"/>
              </w:rPr>
            </w:pPr>
            <w:r w:rsidRPr="00404DA5">
              <w:rPr>
                <w:sz w:val="18"/>
              </w:rPr>
              <w:t>592</w:t>
            </w:r>
          </w:p>
        </w:tc>
        <w:tc>
          <w:tcPr>
            <w:tcW w:w="0" w:type="auto"/>
            <w:shd w:val="clear" w:color="auto" w:fill="auto"/>
            <w:vAlign w:val="center"/>
          </w:tcPr>
          <w:p w14:paraId="31AD6CEA" w14:textId="77777777" w:rsidR="00370D80" w:rsidRPr="00404DA5" w:rsidRDefault="00370D80" w:rsidP="00875733">
            <w:pPr>
              <w:jc w:val="center"/>
              <w:rPr>
                <w:rFonts w:cs="Calibri"/>
                <w:i/>
                <w:sz w:val="18"/>
                <w:szCs w:val="20"/>
              </w:rPr>
            </w:pPr>
            <w:r w:rsidRPr="00404DA5">
              <w:rPr>
                <w:sz w:val="18"/>
              </w:rPr>
              <w:t>100%</w:t>
            </w:r>
          </w:p>
        </w:tc>
      </w:tr>
      <w:tr w:rsidR="00370D80" w:rsidRPr="00803CAF" w14:paraId="2960641C" w14:textId="77777777" w:rsidTr="00370D80">
        <w:tc>
          <w:tcPr>
            <w:tcW w:w="0" w:type="auto"/>
            <w:shd w:val="clear" w:color="auto" w:fill="auto"/>
            <w:vAlign w:val="center"/>
          </w:tcPr>
          <w:p w14:paraId="319C9987" w14:textId="77777777" w:rsidR="00370D80" w:rsidRPr="00404DA5" w:rsidRDefault="00370D80" w:rsidP="00875733">
            <w:pPr>
              <w:jc w:val="center"/>
              <w:rPr>
                <w:rFonts w:cs="Calibri"/>
                <w:i/>
                <w:sz w:val="18"/>
                <w:szCs w:val="20"/>
              </w:rPr>
            </w:pPr>
            <w:r w:rsidRPr="00404DA5">
              <w:rPr>
                <w:sz w:val="18"/>
              </w:rPr>
              <w:t>WR</w:t>
            </w:r>
          </w:p>
        </w:tc>
        <w:tc>
          <w:tcPr>
            <w:tcW w:w="0" w:type="auto"/>
            <w:shd w:val="clear" w:color="auto" w:fill="auto"/>
            <w:vAlign w:val="center"/>
          </w:tcPr>
          <w:p w14:paraId="5FBAAB14" w14:textId="77777777" w:rsidR="00370D80" w:rsidRPr="00404DA5" w:rsidRDefault="00370D80" w:rsidP="00370D80">
            <w:pPr>
              <w:rPr>
                <w:rFonts w:cs="Calibri"/>
                <w:i/>
                <w:sz w:val="18"/>
                <w:szCs w:val="20"/>
              </w:rPr>
            </w:pPr>
            <w:r w:rsidRPr="00404DA5">
              <w:rPr>
                <w:sz w:val="18"/>
              </w:rPr>
              <w:t>Spadek emisji pyłów</w:t>
            </w:r>
          </w:p>
        </w:tc>
        <w:tc>
          <w:tcPr>
            <w:tcW w:w="0" w:type="auto"/>
            <w:shd w:val="clear" w:color="auto" w:fill="auto"/>
            <w:vAlign w:val="center"/>
          </w:tcPr>
          <w:p w14:paraId="174212B5" w14:textId="77777777" w:rsidR="00370D80" w:rsidRPr="00404DA5" w:rsidRDefault="00370D80" w:rsidP="00875733">
            <w:pPr>
              <w:jc w:val="center"/>
              <w:rPr>
                <w:rFonts w:cs="Calibri"/>
                <w:i/>
                <w:sz w:val="18"/>
                <w:szCs w:val="20"/>
              </w:rPr>
            </w:pPr>
            <w:r w:rsidRPr="00404DA5">
              <w:rPr>
                <w:sz w:val="18"/>
              </w:rPr>
              <w:t>0,43 Mg/rok</w:t>
            </w:r>
          </w:p>
        </w:tc>
        <w:tc>
          <w:tcPr>
            <w:tcW w:w="0" w:type="auto"/>
            <w:shd w:val="clear" w:color="auto" w:fill="auto"/>
            <w:vAlign w:val="center"/>
          </w:tcPr>
          <w:p w14:paraId="5CD46791" w14:textId="77777777" w:rsidR="00370D80" w:rsidRPr="00404DA5" w:rsidRDefault="00370D80" w:rsidP="00875733">
            <w:pPr>
              <w:jc w:val="center"/>
              <w:rPr>
                <w:rFonts w:cs="Calibri"/>
                <w:i/>
                <w:sz w:val="18"/>
                <w:szCs w:val="20"/>
              </w:rPr>
            </w:pPr>
            <w:r w:rsidRPr="00404DA5">
              <w:rPr>
                <w:sz w:val="18"/>
              </w:rPr>
              <w:t>0,43</w:t>
            </w:r>
          </w:p>
        </w:tc>
        <w:tc>
          <w:tcPr>
            <w:tcW w:w="0" w:type="auto"/>
            <w:shd w:val="clear" w:color="auto" w:fill="auto"/>
            <w:vAlign w:val="center"/>
          </w:tcPr>
          <w:p w14:paraId="5B962042" w14:textId="77777777" w:rsidR="00370D80" w:rsidRPr="00404DA5" w:rsidRDefault="00370D80" w:rsidP="00875733">
            <w:pPr>
              <w:jc w:val="center"/>
              <w:rPr>
                <w:rFonts w:cs="Calibri"/>
                <w:i/>
                <w:sz w:val="18"/>
                <w:szCs w:val="20"/>
              </w:rPr>
            </w:pPr>
            <w:r w:rsidRPr="00404DA5">
              <w:rPr>
                <w:sz w:val="18"/>
              </w:rPr>
              <w:t>100%</w:t>
            </w:r>
          </w:p>
        </w:tc>
      </w:tr>
      <w:tr w:rsidR="00370D80" w:rsidRPr="00803CAF" w14:paraId="32265ED6" w14:textId="77777777" w:rsidTr="00370D80">
        <w:tc>
          <w:tcPr>
            <w:tcW w:w="0" w:type="auto"/>
            <w:shd w:val="clear" w:color="auto" w:fill="auto"/>
            <w:vAlign w:val="center"/>
          </w:tcPr>
          <w:p w14:paraId="71ED61BB" w14:textId="77777777" w:rsidR="00370D80" w:rsidRPr="00404DA5" w:rsidRDefault="00370D80" w:rsidP="00875733">
            <w:pPr>
              <w:jc w:val="center"/>
              <w:rPr>
                <w:rFonts w:cs="Calibri"/>
                <w:i/>
                <w:sz w:val="18"/>
                <w:szCs w:val="20"/>
              </w:rPr>
            </w:pPr>
            <w:r w:rsidRPr="00404DA5">
              <w:rPr>
                <w:sz w:val="18"/>
              </w:rPr>
              <w:t>WR</w:t>
            </w:r>
          </w:p>
        </w:tc>
        <w:tc>
          <w:tcPr>
            <w:tcW w:w="0" w:type="auto"/>
            <w:shd w:val="clear" w:color="auto" w:fill="auto"/>
            <w:vAlign w:val="center"/>
          </w:tcPr>
          <w:p w14:paraId="3ACB41CA" w14:textId="77777777" w:rsidR="00370D80" w:rsidRPr="00404DA5" w:rsidRDefault="00370D80" w:rsidP="00370D80">
            <w:pPr>
              <w:rPr>
                <w:rFonts w:cs="Calibri"/>
                <w:i/>
                <w:sz w:val="18"/>
                <w:szCs w:val="20"/>
              </w:rPr>
            </w:pPr>
            <w:r w:rsidRPr="00404DA5">
              <w:rPr>
                <w:sz w:val="18"/>
              </w:rPr>
              <w:t>Szacowany roczny spadek emisji gazów cieplarnianych</w:t>
            </w:r>
          </w:p>
        </w:tc>
        <w:tc>
          <w:tcPr>
            <w:tcW w:w="0" w:type="auto"/>
            <w:shd w:val="clear" w:color="auto" w:fill="auto"/>
            <w:vAlign w:val="center"/>
          </w:tcPr>
          <w:p w14:paraId="22A7A9CB" w14:textId="77777777" w:rsidR="00370D80" w:rsidRPr="00404DA5" w:rsidRDefault="00370D80" w:rsidP="00875733">
            <w:pPr>
              <w:jc w:val="center"/>
              <w:rPr>
                <w:rFonts w:cs="Calibri"/>
                <w:i/>
                <w:sz w:val="18"/>
                <w:szCs w:val="20"/>
              </w:rPr>
            </w:pPr>
            <w:r w:rsidRPr="00404DA5">
              <w:rPr>
                <w:sz w:val="18"/>
              </w:rPr>
              <w:t>966 tony równoważnika CO2</w:t>
            </w:r>
          </w:p>
        </w:tc>
        <w:tc>
          <w:tcPr>
            <w:tcW w:w="0" w:type="auto"/>
            <w:shd w:val="clear" w:color="auto" w:fill="auto"/>
            <w:vAlign w:val="center"/>
          </w:tcPr>
          <w:p w14:paraId="15298832" w14:textId="77777777" w:rsidR="00370D80" w:rsidRPr="00404DA5" w:rsidRDefault="00370D80" w:rsidP="00875733">
            <w:pPr>
              <w:jc w:val="center"/>
              <w:rPr>
                <w:rFonts w:cs="Calibri"/>
                <w:i/>
                <w:sz w:val="18"/>
                <w:szCs w:val="20"/>
              </w:rPr>
            </w:pPr>
            <w:r w:rsidRPr="00404DA5">
              <w:rPr>
                <w:sz w:val="18"/>
              </w:rPr>
              <w:t>966</w:t>
            </w:r>
          </w:p>
        </w:tc>
        <w:tc>
          <w:tcPr>
            <w:tcW w:w="0" w:type="auto"/>
            <w:shd w:val="clear" w:color="auto" w:fill="auto"/>
            <w:vAlign w:val="center"/>
          </w:tcPr>
          <w:p w14:paraId="755AA986" w14:textId="77777777" w:rsidR="00370D80" w:rsidRPr="00404DA5" w:rsidRDefault="00370D80" w:rsidP="00875733">
            <w:pPr>
              <w:jc w:val="center"/>
              <w:rPr>
                <w:rFonts w:cs="Calibri"/>
                <w:i/>
                <w:sz w:val="18"/>
                <w:szCs w:val="20"/>
              </w:rPr>
            </w:pPr>
            <w:r w:rsidRPr="00404DA5">
              <w:rPr>
                <w:sz w:val="18"/>
              </w:rPr>
              <w:t>100%</w:t>
            </w:r>
          </w:p>
        </w:tc>
      </w:tr>
      <w:tr w:rsidR="00370D80" w:rsidRPr="00803CAF" w14:paraId="2DD68743" w14:textId="77777777" w:rsidTr="00370D80">
        <w:tc>
          <w:tcPr>
            <w:tcW w:w="0" w:type="auto"/>
            <w:shd w:val="clear" w:color="auto" w:fill="auto"/>
            <w:vAlign w:val="center"/>
          </w:tcPr>
          <w:p w14:paraId="0510F39D" w14:textId="77777777" w:rsidR="00370D80" w:rsidRPr="00404DA5" w:rsidRDefault="00370D80" w:rsidP="00875733">
            <w:pPr>
              <w:jc w:val="center"/>
              <w:rPr>
                <w:rFonts w:cs="Calibri"/>
                <w:i/>
                <w:sz w:val="18"/>
                <w:szCs w:val="20"/>
              </w:rPr>
            </w:pPr>
            <w:r w:rsidRPr="00404DA5">
              <w:rPr>
                <w:sz w:val="18"/>
              </w:rPr>
              <w:lastRenderedPageBreak/>
              <w:t>Wskaźnik rezultatu strategicznego</w:t>
            </w:r>
          </w:p>
        </w:tc>
        <w:tc>
          <w:tcPr>
            <w:tcW w:w="0" w:type="auto"/>
            <w:shd w:val="clear" w:color="auto" w:fill="auto"/>
            <w:vAlign w:val="center"/>
          </w:tcPr>
          <w:p w14:paraId="765E8687" w14:textId="77777777" w:rsidR="00370D80" w:rsidRPr="00404DA5" w:rsidRDefault="00370D80" w:rsidP="00370D80">
            <w:pPr>
              <w:rPr>
                <w:rFonts w:cs="Calibri"/>
                <w:i/>
                <w:sz w:val="18"/>
                <w:szCs w:val="20"/>
              </w:rPr>
            </w:pPr>
            <w:r w:rsidRPr="00404DA5">
              <w:rPr>
                <w:sz w:val="18"/>
              </w:rPr>
              <w:t>Poziom stężenia</w:t>
            </w:r>
            <w:r w:rsidRPr="00404DA5">
              <w:rPr>
                <w:sz w:val="18"/>
              </w:rPr>
              <w:br/>
              <w:t>pyłu zawieszonego</w:t>
            </w:r>
            <w:r w:rsidRPr="00404DA5">
              <w:rPr>
                <w:sz w:val="18"/>
              </w:rPr>
              <w:br/>
              <w:t>PM10 (lokalnie)</w:t>
            </w:r>
          </w:p>
        </w:tc>
        <w:tc>
          <w:tcPr>
            <w:tcW w:w="0" w:type="auto"/>
            <w:shd w:val="clear" w:color="auto" w:fill="auto"/>
            <w:vAlign w:val="center"/>
          </w:tcPr>
          <w:p w14:paraId="235BE799" w14:textId="77777777" w:rsidR="00370D80" w:rsidRPr="00404DA5" w:rsidRDefault="00370D80" w:rsidP="00875733">
            <w:pPr>
              <w:jc w:val="center"/>
              <w:rPr>
                <w:rFonts w:cs="Calibri"/>
                <w:i/>
                <w:sz w:val="18"/>
                <w:szCs w:val="20"/>
              </w:rPr>
            </w:pPr>
            <w:r w:rsidRPr="00404DA5">
              <w:rPr>
                <w:sz w:val="18"/>
              </w:rPr>
              <w:t>20 µg/m3</w:t>
            </w:r>
          </w:p>
        </w:tc>
        <w:tc>
          <w:tcPr>
            <w:tcW w:w="0" w:type="auto"/>
            <w:shd w:val="clear" w:color="auto" w:fill="auto"/>
            <w:vAlign w:val="center"/>
          </w:tcPr>
          <w:p w14:paraId="17D0AA7B" w14:textId="77777777" w:rsidR="00370D80" w:rsidRPr="00404DA5" w:rsidRDefault="00370D80" w:rsidP="00875733">
            <w:pPr>
              <w:jc w:val="center"/>
              <w:rPr>
                <w:rFonts w:cs="Calibri"/>
                <w:i/>
                <w:sz w:val="18"/>
                <w:szCs w:val="20"/>
              </w:rPr>
            </w:pPr>
            <w:r w:rsidRPr="00404DA5">
              <w:rPr>
                <w:sz w:val="18"/>
              </w:rPr>
              <w:t>20 µg/m3</w:t>
            </w:r>
          </w:p>
        </w:tc>
        <w:tc>
          <w:tcPr>
            <w:tcW w:w="0" w:type="auto"/>
            <w:shd w:val="clear" w:color="auto" w:fill="auto"/>
            <w:vAlign w:val="center"/>
          </w:tcPr>
          <w:p w14:paraId="3B28F89E" w14:textId="77777777" w:rsidR="00370D80" w:rsidRPr="00404DA5" w:rsidRDefault="00370D80" w:rsidP="00875733">
            <w:pPr>
              <w:jc w:val="center"/>
              <w:rPr>
                <w:rFonts w:cs="Calibri"/>
                <w:i/>
                <w:sz w:val="18"/>
                <w:szCs w:val="20"/>
              </w:rPr>
            </w:pPr>
            <w:r w:rsidRPr="00404DA5">
              <w:rPr>
                <w:sz w:val="18"/>
              </w:rPr>
              <w:t>100%</w:t>
            </w:r>
          </w:p>
        </w:tc>
      </w:tr>
      <w:tr w:rsidR="00370D80" w:rsidRPr="00803CAF" w14:paraId="03EAF3C8" w14:textId="77777777" w:rsidTr="00370D80">
        <w:tc>
          <w:tcPr>
            <w:tcW w:w="0" w:type="auto"/>
            <w:shd w:val="clear" w:color="auto" w:fill="auto"/>
            <w:vAlign w:val="center"/>
          </w:tcPr>
          <w:p w14:paraId="1A0FE238" w14:textId="77777777" w:rsidR="00370D80" w:rsidRPr="00404DA5" w:rsidRDefault="00370D80" w:rsidP="00875733">
            <w:pPr>
              <w:jc w:val="center"/>
              <w:rPr>
                <w:rFonts w:cs="Calibri"/>
                <w:i/>
                <w:sz w:val="18"/>
                <w:szCs w:val="20"/>
              </w:rPr>
            </w:pPr>
            <w:r w:rsidRPr="00404DA5">
              <w:rPr>
                <w:sz w:val="18"/>
              </w:rPr>
              <w:t>Wskaźnik rezultatu strategicznego</w:t>
            </w:r>
          </w:p>
        </w:tc>
        <w:tc>
          <w:tcPr>
            <w:tcW w:w="0" w:type="auto"/>
            <w:shd w:val="clear" w:color="auto" w:fill="auto"/>
            <w:vAlign w:val="center"/>
          </w:tcPr>
          <w:p w14:paraId="6E663FC1" w14:textId="77777777" w:rsidR="00370D80" w:rsidRPr="00404DA5" w:rsidRDefault="00370D80" w:rsidP="00370D80">
            <w:pPr>
              <w:rPr>
                <w:rFonts w:cs="Calibri"/>
                <w:i/>
                <w:sz w:val="18"/>
                <w:szCs w:val="20"/>
              </w:rPr>
            </w:pPr>
            <w:r w:rsidRPr="00404DA5">
              <w:rPr>
                <w:sz w:val="18"/>
              </w:rPr>
              <w:t>Liczba dni</w:t>
            </w:r>
            <w:r w:rsidR="00E66B89">
              <w:rPr>
                <w:sz w:val="18"/>
              </w:rPr>
              <w:t xml:space="preserve"> w </w:t>
            </w:r>
            <w:r w:rsidRPr="00404DA5">
              <w:rPr>
                <w:sz w:val="18"/>
              </w:rPr>
              <w:t>roku z</w:t>
            </w:r>
            <w:r w:rsidRPr="00404DA5">
              <w:rPr>
                <w:sz w:val="18"/>
              </w:rPr>
              <w:br/>
              <w:t>przekroczeniem</w:t>
            </w:r>
            <w:r w:rsidRPr="00404DA5">
              <w:rPr>
                <w:sz w:val="18"/>
              </w:rPr>
              <w:br/>
              <w:t>dziennej</w:t>
            </w:r>
            <w:r w:rsidRPr="00404DA5">
              <w:rPr>
                <w:sz w:val="18"/>
              </w:rPr>
              <w:br/>
              <w:t>dopuszczalnej</w:t>
            </w:r>
            <w:r w:rsidRPr="00404DA5">
              <w:rPr>
                <w:sz w:val="18"/>
              </w:rPr>
              <w:br/>
              <w:t>normy stężenia</w:t>
            </w:r>
            <w:r w:rsidRPr="00404DA5">
              <w:rPr>
                <w:sz w:val="18"/>
              </w:rPr>
              <w:br/>
              <w:t>pyłu PM10</w:t>
            </w:r>
          </w:p>
        </w:tc>
        <w:tc>
          <w:tcPr>
            <w:tcW w:w="0" w:type="auto"/>
            <w:shd w:val="clear" w:color="auto" w:fill="auto"/>
            <w:vAlign w:val="center"/>
          </w:tcPr>
          <w:p w14:paraId="63A8BEE8" w14:textId="77777777" w:rsidR="00370D80" w:rsidRPr="00404DA5" w:rsidRDefault="00370D80" w:rsidP="00875733">
            <w:pPr>
              <w:jc w:val="center"/>
              <w:rPr>
                <w:rFonts w:cs="Calibri"/>
                <w:i/>
                <w:sz w:val="18"/>
                <w:szCs w:val="20"/>
              </w:rPr>
            </w:pPr>
            <w:r w:rsidRPr="00404DA5">
              <w:rPr>
                <w:sz w:val="18"/>
              </w:rPr>
              <w:t>7 dni</w:t>
            </w:r>
          </w:p>
        </w:tc>
        <w:tc>
          <w:tcPr>
            <w:tcW w:w="0" w:type="auto"/>
            <w:shd w:val="clear" w:color="auto" w:fill="auto"/>
            <w:vAlign w:val="center"/>
          </w:tcPr>
          <w:p w14:paraId="5BB0A46B" w14:textId="77777777" w:rsidR="00370D80" w:rsidRPr="00404DA5" w:rsidRDefault="00370D80" w:rsidP="00875733">
            <w:pPr>
              <w:jc w:val="center"/>
              <w:rPr>
                <w:rFonts w:cs="Calibri"/>
                <w:i/>
                <w:sz w:val="18"/>
                <w:szCs w:val="20"/>
              </w:rPr>
            </w:pPr>
            <w:r w:rsidRPr="00404DA5">
              <w:rPr>
                <w:sz w:val="18"/>
              </w:rPr>
              <w:t>7 dni</w:t>
            </w:r>
          </w:p>
        </w:tc>
        <w:tc>
          <w:tcPr>
            <w:tcW w:w="0" w:type="auto"/>
            <w:shd w:val="clear" w:color="auto" w:fill="auto"/>
            <w:vAlign w:val="center"/>
          </w:tcPr>
          <w:p w14:paraId="22A08A6B" w14:textId="77777777" w:rsidR="00370D80" w:rsidRPr="00404DA5" w:rsidRDefault="00370D80" w:rsidP="00875733">
            <w:pPr>
              <w:jc w:val="center"/>
              <w:rPr>
                <w:rFonts w:cs="Calibri"/>
                <w:i/>
                <w:sz w:val="18"/>
                <w:szCs w:val="20"/>
              </w:rPr>
            </w:pPr>
            <w:r w:rsidRPr="00404DA5">
              <w:rPr>
                <w:sz w:val="18"/>
              </w:rPr>
              <w:t>100%</w:t>
            </w:r>
          </w:p>
        </w:tc>
      </w:tr>
    </w:tbl>
    <w:p w14:paraId="6796E904" w14:textId="77777777" w:rsidR="00370D80" w:rsidRPr="002A5FDF" w:rsidRDefault="00370D80"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analizy własne.</w:t>
      </w:r>
    </w:p>
    <w:p w14:paraId="2376227C" w14:textId="77777777" w:rsidR="00370D80" w:rsidRPr="00404DA5" w:rsidRDefault="00370D80" w:rsidP="00370D80">
      <w:pPr>
        <w:rPr>
          <w:rFonts w:cs="Calibri"/>
          <w:szCs w:val="20"/>
        </w:rPr>
      </w:pPr>
      <w:r w:rsidRPr="00404DA5">
        <w:rPr>
          <w:rFonts w:cs="Calibri"/>
          <w:szCs w:val="20"/>
        </w:rPr>
        <w:t>Uwzględniając dostępną alokację oraz przyjmując założenie, iż projekty składane</w:t>
      </w:r>
      <w:r w:rsidR="00E66B89">
        <w:rPr>
          <w:rFonts w:cs="Calibri"/>
          <w:szCs w:val="20"/>
        </w:rPr>
        <w:t xml:space="preserve"> w </w:t>
      </w:r>
      <w:r w:rsidRPr="00404DA5">
        <w:rPr>
          <w:rFonts w:cs="Calibri"/>
          <w:szCs w:val="20"/>
        </w:rPr>
        <w:t>ramach naborów będą</w:t>
      </w:r>
      <w:r w:rsidR="00E66B89">
        <w:rPr>
          <w:rFonts w:cs="Calibri"/>
          <w:szCs w:val="20"/>
        </w:rPr>
        <w:t xml:space="preserve"> w </w:t>
      </w:r>
      <w:r w:rsidRPr="00404DA5">
        <w:rPr>
          <w:rFonts w:cs="Calibri"/>
          <w:szCs w:val="20"/>
        </w:rPr>
        <w:t>sposób symetryczny realizowały przyjęte wartości wskaźników</w:t>
      </w:r>
      <w:r>
        <w:rPr>
          <w:rFonts w:cs="Calibri"/>
          <w:szCs w:val="20"/>
        </w:rPr>
        <w:t>,</w:t>
      </w:r>
      <w:r w:rsidRPr="00404DA5">
        <w:rPr>
          <w:rFonts w:cs="Calibri"/>
          <w:szCs w:val="20"/>
        </w:rPr>
        <w:t xml:space="preserve"> średni koszt jednostkowy wskaźnika </w:t>
      </w:r>
      <w:r w:rsidRPr="008B706B">
        <w:rPr>
          <w:rFonts w:cs="Calibri"/>
          <w:i/>
          <w:szCs w:val="20"/>
        </w:rPr>
        <w:t>Spadek emisji pyłów</w:t>
      </w:r>
      <w:r w:rsidRPr="00404DA5">
        <w:rPr>
          <w:rFonts w:cs="Calibri"/>
          <w:szCs w:val="20"/>
        </w:rPr>
        <w:t xml:space="preserve"> </w:t>
      </w:r>
      <w:r>
        <w:rPr>
          <w:rFonts w:cs="Calibri"/>
          <w:szCs w:val="20"/>
        </w:rPr>
        <w:t xml:space="preserve">to </w:t>
      </w:r>
      <w:r w:rsidRPr="00404DA5">
        <w:rPr>
          <w:rFonts w:cs="Calibri"/>
          <w:szCs w:val="20"/>
        </w:rPr>
        <w:t xml:space="preserve">40 026 046,51 zł (za 1 Mg/rok), wskaźnika </w:t>
      </w:r>
      <w:r w:rsidRPr="008B706B">
        <w:rPr>
          <w:rFonts w:cs="Calibri"/>
          <w:i/>
          <w:szCs w:val="20"/>
        </w:rPr>
        <w:t>Szacowany roczny spadek emisji gazów cieplarnianych</w:t>
      </w:r>
      <w:r w:rsidRPr="00404DA5">
        <w:rPr>
          <w:rFonts w:cs="Calibri"/>
          <w:szCs w:val="20"/>
        </w:rPr>
        <w:t xml:space="preserve"> </w:t>
      </w:r>
      <w:r>
        <w:rPr>
          <w:rFonts w:cs="Calibri"/>
          <w:szCs w:val="20"/>
        </w:rPr>
        <w:t xml:space="preserve">- </w:t>
      </w:r>
      <w:r w:rsidRPr="00404DA5">
        <w:rPr>
          <w:rFonts w:cs="Calibri"/>
          <w:szCs w:val="20"/>
        </w:rPr>
        <w:t>17 816,98 zł (za 1 tonę równoważnika CO2).</w:t>
      </w:r>
      <w:r w:rsidR="00E66B89">
        <w:rPr>
          <w:rFonts w:cs="Calibri"/>
          <w:szCs w:val="20"/>
        </w:rPr>
        <w:t xml:space="preserve"> W </w:t>
      </w:r>
      <w:r>
        <w:rPr>
          <w:rFonts w:cs="Calibri"/>
          <w:szCs w:val="20"/>
        </w:rPr>
        <w:t xml:space="preserve">przypadku wskaźnika </w:t>
      </w:r>
      <w:r w:rsidRPr="008B706B">
        <w:rPr>
          <w:rFonts w:cs="Calibri"/>
          <w:i/>
          <w:szCs w:val="20"/>
        </w:rPr>
        <w:t>Liczba zmodernizowanych źródeł ciepła</w:t>
      </w:r>
      <w:r w:rsidRPr="00404DA5">
        <w:rPr>
          <w:rFonts w:cs="Calibri"/>
          <w:szCs w:val="20"/>
        </w:rPr>
        <w:t xml:space="preserve"> </w:t>
      </w:r>
      <w:r>
        <w:rPr>
          <w:rFonts w:cs="Calibri"/>
          <w:szCs w:val="20"/>
        </w:rPr>
        <w:t>koszt jednostkowy, zgodnie</w:t>
      </w:r>
      <w:r w:rsidR="00E66B89">
        <w:rPr>
          <w:rFonts w:cs="Calibri"/>
          <w:szCs w:val="20"/>
        </w:rPr>
        <w:t xml:space="preserve"> z </w:t>
      </w:r>
      <w:r>
        <w:rPr>
          <w:rFonts w:cs="Calibri"/>
          <w:szCs w:val="20"/>
        </w:rPr>
        <w:t xml:space="preserve">przyjętą przez IZ RPO metodologią, </w:t>
      </w:r>
      <w:r w:rsidRPr="00404DA5">
        <w:rPr>
          <w:rFonts w:cs="Calibri"/>
          <w:szCs w:val="20"/>
        </w:rPr>
        <w:t>wynosi</w:t>
      </w:r>
      <w:r>
        <w:rPr>
          <w:rFonts w:cs="Calibri"/>
          <w:szCs w:val="20"/>
        </w:rPr>
        <w:t xml:space="preserve"> 21 661,16 </w:t>
      </w:r>
      <w:r w:rsidRPr="00404DA5">
        <w:rPr>
          <w:rFonts w:cs="Calibri"/>
          <w:szCs w:val="20"/>
        </w:rPr>
        <w:t>zł (za 1 szt.)</w:t>
      </w:r>
      <w:r>
        <w:rPr>
          <w:rFonts w:cs="Calibri"/>
          <w:szCs w:val="20"/>
        </w:rPr>
        <w:t>.</w:t>
      </w:r>
    </w:p>
    <w:p w14:paraId="0615B555" w14:textId="77777777" w:rsidR="00370D80" w:rsidRPr="00404DA5" w:rsidRDefault="00370D80" w:rsidP="00370D80">
      <w:pPr>
        <w:rPr>
          <w:rFonts w:cs="Calibri"/>
          <w:b/>
          <w:szCs w:val="20"/>
        </w:rPr>
      </w:pPr>
      <w:r w:rsidRPr="00404DA5">
        <w:rPr>
          <w:rFonts w:cs="Calibri"/>
          <w:b/>
          <w:szCs w:val="20"/>
        </w:rPr>
        <w:t>REKOMENDACJA: Wprowadzenie dodatkowych wskaźników na poziomie monitorowania projektów, które różnicował</w:t>
      </w:r>
      <w:r>
        <w:rPr>
          <w:rFonts w:cs="Calibri"/>
          <w:b/>
          <w:szCs w:val="20"/>
        </w:rPr>
        <w:t>y</w:t>
      </w:r>
      <w:r w:rsidRPr="00404DA5">
        <w:rPr>
          <w:rFonts w:cs="Calibri"/>
          <w:b/>
          <w:szCs w:val="20"/>
        </w:rPr>
        <w:t>by nie tylko liczbę zmodernizowanych źródeł ciepła.</w:t>
      </w:r>
    </w:p>
    <w:p w14:paraId="09DA3FE5" w14:textId="77777777" w:rsidR="00370D80" w:rsidRPr="00404DA5" w:rsidRDefault="00370D80" w:rsidP="00370D80">
      <w:pPr>
        <w:spacing w:line="264" w:lineRule="auto"/>
        <w:rPr>
          <w:rFonts w:cs="Calibri"/>
          <w:b/>
          <w:szCs w:val="20"/>
        </w:rPr>
      </w:pPr>
      <w:r>
        <w:rPr>
          <w:rFonts w:cs="Calibri"/>
          <w:b/>
          <w:szCs w:val="20"/>
        </w:rPr>
        <w:t>Można w</w:t>
      </w:r>
      <w:r w:rsidRPr="00404DA5">
        <w:rPr>
          <w:rFonts w:cs="Calibri"/>
          <w:b/>
          <w:szCs w:val="20"/>
        </w:rPr>
        <w:t>prowadzić wskaźnik, który będzie odnosił się do mocy nominalnej źródeł ciepła (w podziale na źródła nowo zainstalowane oraz ew</w:t>
      </w:r>
      <w:r>
        <w:rPr>
          <w:rFonts w:cs="Calibri"/>
          <w:b/>
          <w:szCs w:val="20"/>
        </w:rPr>
        <w:t>entualnie</w:t>
      </w:r>
      <w:r w:rsidRPr="00404DA5">
        <w:rPr>
          <w:rFonts w:cs="Calibri"/>
          <w:b/>
          <w:szCs w:val="20"/>
        </w:rPr>
        <w:t xml:space="preserve"> stare źródła zlikwidowane, celem podłączenia do sieci CO</w:t>
      </w:r>
      <w:r w:rsidR="00E66B89">
        <w:rPr>
          <w:rFonts w:cs="Calibri"/>
          <w:b/>
          <w:szCs w:val="20"/>
        </w:rPr>
        <w:t xml:space="preserve"> i </w:t>
      </w:r>
      <w:r w:rsidRPr="00404DA5">
        <w:rPr>
          <w:rFonts w:cs="Calibri"/>
          <w:b/>
          <w:szCs w:val="20"/>
        </w:rPr>
        <w:t xml:space="preserve">gazowej). Wskaźnik taki mógłby mieć następujące brzmienie: </w:t>
      </w:r>
      <w:r>
        <w:rPr>
          <w:rFonts w:cs="Calibri"/>
          <w:b/>
          <w:szCs w:val="20"/>
        </w:rPr>
        <w:t>M</w:t>
      </w:r>
      <w:r w:rsidRPr="00404DA5">
        <w:rPr>
          <w:rFonts w:cs="Calibri"/>
          <w:b/>
          <w:szCs w:val="20"/>
        </w:rPr>
        <w:t>oc zmodernizowanych źródeł ciepła.</w:t>
      </w:r>
    </w:p>
    <w:p w14:paraId="14D1E8A5" w14:textId="77777777" w:rsidR="00370D80" w:rsidRPr="00404DA5" w:rsidRDefault="00370D80" w:rsidP="00370D80">
      <w:pPr>
        <w:rPr>
          <w:rFonts w:cs="Calibri"/>
          <w:b/>
          <w:szCs w:val="20"/>
        </w:rPr>
      </w:pPr>
      <w:r w:rsidRPr="00404DA5">
        <w:rPr>
          <w:rFonts w:cs="Calibri"/>
          <w:b/>
          <w:szCs w:val="20"/>
        </w:rPr>
        <w:t>Wprowadzić wskaźnik odnoszący się do metrażu wspartych projektów (np. Powierzchnia lokali objętych wymianą źródeł ciepła</w:t>
      </w:r>
      <w:r w:rsidR="00E66B89">
        <w:rPr>
          <w:rFonts w:cs="Calibri"/>
          <w:b/>
          <w:szCs w:val="20"/>
        </w:rPr>
        <w:t xml:space="preserve"> w </w:t>
      </w:r>
      <w:r w:rsidRPr="00404DA5">
        <w:rPr>
          <w:rFonts w:cs="Calibri"/>
          <w:b/>
          <w:szCs w:val="20"/>
        </w:rPr>
        <w:t>m</w:t>
      </w:r>
      <w:r w:rsidRPr="00404DA5">
        <w:rPr>
          <w:rFonts w:cs="Calibri"/>
          <w:b/>
          <w:szCs w:val="20"/>
          <w:vertAlign w:val="superscript"/>
        </w:rPr>
        <w:t>2</w:t>
      </w:r>
      <w:r w:rsidRPr="00404DA5">
        <w:rPr>
          <w:rFonts w:cs="Calibri"/>
          <w:b/>
          <w:szCs w:val="20"/>
        </w:rPr>
        <w:t>) bądź kubatury (Kubatura lokali objętych wymianą źródeł ciepła</w:t>
      </w:r>
      <w:r w:rsidR="00E66B89">
        <w:rPr>
          <w:rFonts w:cs="Calibri"/>
          <w:b/>
          <w:szCs w:val="20"/>
        </w:rPr>
        <w:t xml:space="preserve"> w </w:t>
      </w:r>
      <w:r w:rsidRPr="00404DA5">
        <w:rPr>
          <w:rFonts w:cs="Calibri"/>
          <w:b/>
          <w:szCs w:val="20"/>
        </w:rPr>
        <w:t>m</w:t>
      </w:r>
      <w:r w:rsidRPr="00404DA5">
        <w:rPr>
          <w:rFonts w:cs="Calibri"/>
          <w:b/>
          <w:szCs w:val="20"/>
          <w:vertAlign w:val="superscript"/>
        </w:rPr>
        <w:t>3</w:t>
      </w:r>
      <w:r w:rsidRPr="00404DA5">
        <w:rPr>
          <w:rFonts w:cs="Calibri"/>
          <w:b/>
          <w:szCs w:val="20"/>
        </w:rPr>
        <w:t>).</w:t>
      </w:r>
    </w:p>
    <w:p w14:paraId="53D6BB1C" w14:textId="77777777" w:rsidR="00370D80" w:rsidRPr="00404DA5" w:rsidRDefault="00370D80" w:rsidP="00370D80">
      <w:pPr>
        <w:rPr>
          <w:rFonts w:cs="Calibri"/>
          <w:szCs w:val="20"/>
        </w:rPr>
      </w:pPr>
      <w:r w:rsidRPr="00404DA5">
        <w:rPr>
          <w:rFonts w:cs="Calibri"/>
          <w:szCs w:val="20"/>
        </w:rPr>
        <w:t xml:space="preserve">Aktualny stan wdrażania RPO WZ nie zapewnia </w:t>
      </w:r>
      <w:r>
        <w:rPr>
          <w:rFonts w:cs="Calibri"/>
          <w:szCs w:val="20"/>
        </w:rPr>
        <w:t>osiągnięcia</w:t>
      </w:r>
      <w:r w:rsidRPr="00404DA5">
        <w:rPr>
          <w:rFonts w:cs="Calibri"/>
          <w:szCs w:val="20"/>
        </w:rPr>
        <w:t xml:space="preserve"> wartości docelowych wskaźników przyjętych dla PI 6e</w:t>
      </w:r>
      <w:r>
        <w:rPr>
          <w:rFonts w:cs="Calibri"/>
          <w:szCs w:val="20"/>
        </w:rPr>
        <w:t>.</w:t>
      </w:r>
      <w:r w:rsidRPr="00404DA5">
        <w:rPr>
          <w:rFonts w:cs="Calibri"/>
          <w:szCs w:val="20"/>
        </w:rPr>
        <w:t xml:space="preserve"> </w:t>
      </w:r>
      <w:r>
        <w:rPr>
          <w:rFonts w:cs="Calibri"/>
          <w:szCs w:val="20"/>
        </w:rPr>
        <w:t>P</w:t>
      </w:r>
      <w:r w:rsidRPr="00404DA5">
        <w:rPr>
          <w:rFonts w:cs="Calibri"/>
          <w:szCs w:val="20"/>
        </w:rPr>
        <w:t>rognozuje się</w:t>
      </w:r>
      <w:r>
        <w:rPr>
          <w:rFonts w:cs="Calibri"/>
          <w:szCs w:val="20"/>
        </w:rPr>
        <w:t xml:space="preserve"> jednak</w:t>
      </w:r>
      <w:r w:rsidRPr="00404DA5">
        <w:rPr>
          <w:rFonts w:cs="Calibri"/>
          <w:szCs w:val="20"/>
        </w:rPr>
        <w:t>, iż sytuacja ta ulegnie zmianie po zakończeniu pierwszego zaplanowanego naboru wniosków</w:t>
      </w:r>
      <w:r>
        <w:rPr>
          <w:rFonts w:cs="Calibri"/>
          <w:szCs w:val="20"/>
        </w:rPr>
        <w:t xml:space="preserve">, wskutek czego </w:t>
      </w:r>
      <w:r w:rsidRPr="00404DA5">
        <w:rPr>
          <w:rFonts w:cs="Calibri"/>
          <w:szCs w:val="20"/>
        </w:rPr>
        <w:t xml:space="preserve">wartości docelowe wskaźników określone na rok 2023 zostaną osiągnięte. Można zatem </w:t>
      </w:r>
      <w:r>
        <w:rPr>
          <w:rFonts w:cs="Calibri"/>
          <w:szCs w:val="20"/>
        </w:rPr>
        <w:t>wnioskować</w:t>
      </w:r>
      <w:r w:rsidRPr="00404DA5">
        <w:rPr>
          <w:rFonts w:cs="Calibri"/>
          <w:szCs w:val="20"/>
        </w:rPr>
        <w:t>, iż wartość środków finansowych przeznaczon</w:t>
      </w:r>
      <w:r>
        <w:rPr>
          <w:rFonts w:cs="Calibri"/>
          <w:szCs w:val="20"/>
        </w:rPr>
        <w:t>ych</w:t>
      </w:r>
      <w:r w:rsidRPr="00404DA5">
        <w:rPr>
          <w:rFonts w:cs="Calibri"/>
          <w:szCs w:val="20"/>
        </w:rPr>
        <w:t xml:space="preserve"> na realizację zobowiązań jest wystarczająca. Ostateczna weryfikacja tej kwestii będzie możliwa po rozstrzygnięciu zaplanowanego </w:t>
      </w:r>
      <w:r>
        <w:rPr>
          <w:rFonts w:cs="Calibri"/>
          <w:szCs w:val="20"/>
        </w:rPr>
        <w:t>konkursu</w:t>
      </w:r>
      <w:r w:rsidRPr="00404DA5">
        <w:rPr>
          <w:rFonts w:cs="Calibri"/>
          <w:szCs w:val="20"/>
        </w:rPr>
        <w:t>.</w:t>
      </w:r>
    </w:p>
    <w:p w14:paraId="6FD511B6" w14:textId="77777777" w:rsidR="00370D80" w:rsidRPr="00404DA5" w:rsidRDefault="00370D80" w:rsidP="00370D80">
      <w:pPr>
        <w:rPr>
          <w:rFonts w:cs="Calibri"/>
          <w:szCs w:val="20"/>
        </w:rPr>
      </w:pPr>
      <w:r w:rsidRPr="00404DA5">
        <w:rPr>
          <w:rFonts w:cs="Calibri"/>
          <w:szCs w:val="20"/>
        </w:rPr>
        <w:t>Projekty planowane do realizacji</w:t>
      </w:r>
      <w:r w:rsidR="00E66B89">
        <w:rPr>
          <w:rFonts w:cs="Calibri"/>
          <w:szCs w:val="20"/>
        </w:rPr>
        <w:t xml:space="preserve"> w </w:t>
      </w:r>
      <w:r w:rsidRPr="00404DA5">
        <w:rPr>
          <w:rFonts w:cs="Calibri"/>
          <w:szCs w:val="20"/>
        </w:rPr>
        <w:t>ramach PI 6e nie są szczególnie trudne do przygotowania</w:t>
      </w:r>
      <w:r w:rsidR="00E66B89">
        <w:rPr>
          <w:rFonts w:cs="Calibri"/>
          <w:szCs w:val="20"/>
        </w:rPr>
        <w:t xml:space="preserve"> i </w:t>
      </w:r>
      <w:r w:rsidRPr="00404DA5">
        <w:rPr>
          <w:rFonts w:cs="Calibri"/>
          <w:szCs w:val="20"/>
        </w:rPr>
        <w:t>realizacji. Można prognozować, iż</w:t>
      </w:r>
      <w:r w:rsidR="00E66B89">
        <w:rPr>
          <w:rFonts w:cs="Calibri"/>
          <w:szCs w:val="20"/>
        </w:rPr>
        <w:t xml:space="preserve"> w </w:t>
      </w:r>
      <w:r w:rsidRPr="00404DA5">
        <w:rPr>
          <w:rFonts w:cs="Calibri"/>
          <w:szCs w:val="20"/>
        </w:rPr>
        <w:t>sytuacji rozpoczęcia realizacji projektu</w:t>
      </w:r>
      <w:r w:rsidR="00E66B89">
        <w:rPr>
          <w:rFonts w:cs="Calibri"/>
          <w:szCs w:val="20"/>
        </w:rPr>
        <w:t xml:space="preserve"> w </w:t>
      </w:r>
      <w:r w:rsidRPr="00404DA5">
        <w:rPr>
          <w:rFonts w:cs="Calibri"/>
          <w:szCs w:val="20"/>
        </w:rPr>
        <w:t>ciągu 2 lat inwestycje</w:t>
      </w:r>
      <w:r w:rsidR="00E66B89">
        <w:rPr>
          <w:rFonts w:cs="Calibri"/>
          <w:szCs w:val="20"/>
        </w:rPr>
        <w:t xml:space="preserve"> w </w:t>
      </w:r>
      <w:r w:rsidRPr="00404DA5">
        <w:rPr>
          <w:rFonts w:cs="Calibri"/>
          <w:szCs w:val="20"/>
        </w:rPr>
        <w:t>tym zakresie zostaną zakończone</w:t>
      </w:r>
      <w:r w:rsidR="00E66B89">
        <w:rPr>
          <w:rFonts w:cs="Calibri"/>
          <w:szCs w:val="20"/>
        </w:rPr>
        <w:t xml:space="preserve"> i </w:t>
      </w:r>
      <w:r w:rsidRPr="00404DA5">
        <w:rPr>
          <w:rFonts w:cs="Calibri"/>
          <w:szCs w:val="20"/>
        </w:rPr>
        <w:t>rozliczone. Aktualnie nie stwierdza się ryzyka utraty środków</w:t>
      </w:r>
      <w:r w:rsidR="00E66B89">
        <w:rPr>
          <w:rFonts w:cs="Calibri"/>
          <w:szCs w:val="20"/>
        </w:rPr>
        <w:t xml:space="preserve"> w </w:t>
      </w:r>
      <w:r w:rsidRPr="00404DA5">
        <w:rPr>
          <w:rFonts w:cs="Calibri"/>
          <w:szCs w:val="20"/>
        </w:rPr>
        <w:t>ramach zasady n+3.</w:t>
      </w:r>
    </w:p>
    <w:p w14:paraId="5C156C93" w14:textId="77777777" w:rsidR="00370D80" w:rsidRPr="00436D27" w:rsidRDefault="00370D80" w:rsidP="00370D80">
      <w:pPr>
        <w:pStyle w:val="Nagwek4"/>
        <w:numPr>
          <w:ilvl w:val="0"/>
          <w:numId w:val="0"/>
        </w:numPr>
        <w:rPr>
          <w:rFonts w:ascii="Lato" w:eastAsia="Calibri" w:hAnsi="Lato"/>
        </w:rPr>
      </w:pPr>
      <w:r w:rsidRPr="00436D27">
        <w:rPr>
          <w:rFonts w:ascii="Lato" w:eastAsia="Calibri" w:hAnsi="Lato"/>
        </w:rPr>
        <w:t>Możliwości zarządzania środkami rezerwy wykonania</w:t>
      </w:r>
      <w:r w:rsidR="00E66B89">
        <w:rPr>
          <w:rFonts w:ascii="Lato" w:eastAsia="Calibri" w:hAnsi="Lato"/>
        </w:rPr>
        <w:t xml:space="preserve"> i </w:t>
      </w:r>
      <w:r w:rsidRPr="00436D27">
        <w:rPr>
          <w:rFonts w:ascii="Lato" w:eastAsia="Calibri" w:hAnsi="Lato"/>
        </w:rPr>
        <w:t>identyfikacja obszarów wymagających interwencji - podsumowanie</w:t>
      </w:r>
    </w:p>
    <w:p w14:paraId="3CF32E2D" w14:textId="77777777" w:rsidR="00370D80" w:rsidRPr="00404DA5" w:rsidRDefault="00370D80" w:rsidP="00370D80">
      <w:pPr>
        <w:rPr>
          <w:rFonts w:cs="Calibri"/>
          <w:szCs w:val="20"/>
        </w:rPr>
      </w:pPr>
      <w:r w:rsidRPr="00404DA5">
        <w:rPr>
          <w:rFonts w:cs="Calibri"/>
          <w:szCs w:val="20"/>
        </w:rPr>
        <w:t xml:space="preserve">Mając na uwadze aktualny stan zaawansowania wdrażania </w:t>
      </w:r>
      <w:r>
        <w:rPr>
          <w:rFonts w:cs="Calibri"/>
          <w:szCs w:val="20"/>
        </w:rPr>
        <w:t>PI 6e</w:t>
      </w:r>
      <w:r w:rsidRPr="00404DA5">
        <w:rPr>
          <w:rFonts w:cs="Calibri"/>
          <w:szCs w:val="20"/>
        </w:rPr>
        <w:t xml:space="preserve"> nie rekomenduje się podejmowania żadnych działań</w:t>
      </w:r>
      <w:r w:rsidR="00E66B89">
        <w:rPr>
          <w:rFonts w:cs="Calibri"/>
          <w:szCs w:val="20"/>
        </w:rPr>
        <w:t xml:space="preserve"> w </w:t>
      </w:r>
      <w:r w:rsidRPr="00404DA5">
        <w:rPr>
          <w:rFonts w:cs="Calibri"/>
          <w:szCs w:val="20"/>
        </w:rPr>
        <w:t>zakresie zmian alokacji.</w:t>
      </w:r>
      <w:r>
        <w:rPr>
          <w:rFonts w:cs="Calibri"/>
          <w:szCs w:val="20"/>
        </w:rPr>
        <w:t xml:space="preserve"> </w:t>
      </w:r>
      <w:r w:rsidRPr="00404DA5">
        <w:rPr>
          <w:rFonts w:cs="Calibri"/>
          <w:szCs w:val="20"/>
        </w:rPr>
        <w:t>Nie stwierdzono także obszarów wymagających interwencji (jak np. zmiana przyjętych wartości docelowych wskaźników produktu</w:t>
      </w:r>
      <w:r w:rsidR="00E66B89">
        <w:rPr>
          <w:rFonts w:cs="Calibri"/>
          <w:szCs w:val="20"/>
        </w:rPr>
        <w:t xml:space="preserve"> i </w:t>
      </w:r>
      <w:r w:rsidRPr="00404DA5">
        <w:rPr>
          <w:rFonts w:cs="Calibri"/>
          <w:szCs w:val="20"/>
        </w:rPr>
        <w:t xml:space="preserve">rezultatu). </w:t>
      </w:r>
    </w:p>
    <w:p w14:paraId="583F47F7" w14:textId="77777777" w:rsidR="00370D80" w:rsidRPr="00404DA5" w:rsidRDefault="00370D80" w:rsidP="00370D80">
      <w:pPr>
        <w:rPr>
          <w:rFonts w:cs="Calibri"/>
          <w:szCs w:val="20"/>
        </w:rPr>
      </w:pPr>
      <w:r w:rsidRPr="00404DA5">
        <w:rPr>
          <w:rFonts w:cs="Calibri"/>
          <w:szCs w:val="20"/>
        </w:rPr>
        <w:lastRenderedPageBreak/>
        <w:t>W podrozdziale dotyczącym prognoz osiągania celów zakładanych na 2023 r. sformułowano rekomendację dotyczącą monitorowania dodatkowych wskaźników</w:t>
      </w:r>
      <w:r w:rsidR="00E66B89">
        <w:rPr>
          <w:rFonts w:cs="Calibri"/>
          <w:szCs w:val="20"/>
        </w:rPr>
        <w:t xml:space="preserve"> w </w:t>
      </w:r>
      <w:r w:rsidRPr="00404DA5">
        <w:rPr>
          <w:rFonts w:cs="Calibri"/>
          <w:szCs w:val="20"/>
        </w:rPr>
        <w:t>projektach. Rekomendacja ta przyczyni się do podniesienia jakości monitorowania osiąganych efektów wdrażania projektów</w:t>
      </w:r>
      <w:r w:rsidR="00E66B89">
        <w:rPr>
          <w:rFonts w:cs="Calibri"/>
          <w:szCs w:val="20"/>
        </w:rPr>
        <w:t xml:space="preserve"> w </w:t>
      </w:r>
      <w:r w:rsidRPr="00404DA5">
        <w:rPr>
          <w:rFonts w:cs="Calibri"/>
          <w:szCs w:val="20"/>
        </w:rPr>
        <w:t>ramach PI 6e</w:t>
      </w:r>
      <w:r w:rsidR="00E66B89">
        <w:rPr>
          <w:rFonts w:cs="Calibri"/>
          <w:szCs w:val="20"/>
        </w:rPr>
        <w:t xml:space="preserve"> w </w:t>
      </w:r>
      <w:r w:rsidRPr="00404DA5">
        <w:rPr>
          <w:rFonts w:cs="Calibri"/>
          <w:szCs w:val="20"/>
        </w:rPr>
        <w:t>RPO WZ 2014-2020.</w:t>
      </w:r>
    </w:p>
    <w:p w14:paraId="0EB8C3D9" w14:textId="77777777" w:rsidR="009F2535" w:rsidRPr="00801DB4" w:rsidRDefault="009F2535" w:rsidP="00D45914">
      <w:pPr>
        <w:pStyle w:val="Nagwek2"/>
      </w:pPr>
      <w:bookmarkStart w:id="94" w:name="_Toc6523747"/>
      <w:r w:rsidRPr="00801DB4">
        <w:t>Oś priorytetowa III Ochrona środowiska</w:t>
      </w:r>
      <w:r w:rsidR="00E66B89">
        <w:t xml:space="preserve"> i </w:t>
      </w:r>
      <w:r w:rsidRPr="00801DB4">
        <w:t>adaptacja do zmian klimatu</w:t>
      </w:r>
      <w:bookmarkEnd w:id="94"/>
      <w:r w:rsidRPr="00801DB4">
        <w:t xml:space="preserve"> </w:t>
      </w:r>
    </w:p>
    <w:p w14:paraId="613E0BA2" w14:textId="77777777" w:rsidR="000A20D0" w:rsidRPr="00436D27" w:rsidRDefault="000A20D0" w:rsidP="002865C0">
      <w:pPr>
        <w:pStyle w:val="Nagwek3"/>
      </w:pPr>
      <w:r w:rsidRPr="00436D27">
        <w:t>Ocena zmian sytuacji społeczno-gospodarczej</w:t>
      </w:r>
      <w:r w:rsidR="00E66B89">
        <w:t xml:space="preserve"> w </w:t>
      </w:r>
      <w:r w:rsidRPr="00436D27">
        <w:t>obszarze OP II</w:t>
      </w:r>
      <w:r w:rsidR="001B687B">
        <w:t>I</w:t>
      </w:r>
    </w:p>
    <w:p w14:paraId="245141B6" w14:textId="77777777" w:rsidR="00F5769E" w:rsidRPr="00404DA5" w:rsidRDefault="004D674A" w:rsidP="000A20D0">
      <w:pPr>
        <w:pStyle w:val="evaluTresc"/>
        <w:rPr>
          <w:b/>
          <w:i/>
          <w:color w:val="4F81BD"/>
        </w:rPr>
      </w:pPr>
      <w:r>
        <w:rPr>
          <w:b/>
          <w:i/>
          <w:color w:val="4F81BD"/>
        </w:rPr>
        <w:t>PI</w:t>
      </w:r>
      <w:r w:rsidR="00F5769E" w:rsidRPr="00404DA5">
        <w:rPr>
          <w:b/>
          <w:i/>
          <w:color w:val="4F81BD"/>
        </w:rPr>
        <w:t xml:space="preserve"> 5b </w:t>
      </w:r>
    </w:p>
    <w:p w14:paraId="5C52A042" w14:textId="77777777" w:rsidR="00E32260" w:rsidRPr="00404DA5" w:rsidRDefault="00E32260" w:rsidP="00E32260">
      <w:pPr>
        <w:rPr>
          <w:rFonts w:cs="Calibri"/>
          <w:szCs w:val="20"/>
        </w:rPr>
      </w:pPr>
      <w:r w:rsidRPr="00404DA5">
        <w:rPr>
          <w:rFonts w:cs="Calibri"/>
          <w:szCs w:val="20"/>
        </w:rPr>
        <w:t>Interwencja realizowana</w:t>
      </w:r>
      <w:r w:rsidR="00E66B89">
        <w:rPr>
          <w:rFonts w:cs="Calibri"/>
          <w:szCs w:val="20"/>
        </w:rPr>
        <w:t xml:space="preserve"> w </w:t>
      </w:r>
      <w:r w:rsidRPr="00404DA5">
        <w:rPr>
          <w:rFonts w:cs="Calibri"/>
          <w:szCs w:val="20"/>
        </w:rPr>
        <w:t>ramach OP III</w:t>
      </w:r>
      <w:r w:rsidR="00E66B89">
        <w:rPr>
          <w:rFonts w:cs="Calibri"/>
          <w:szCs w:val="20"/>
        </w:rPr>
        <w:t xml:space="preserve"> w </w:t>
      </w:r>
      <w:r w:rsidRPr="00404DA5">
        <w:rPr>
          <w:rFonts w:cs="Calibri"/>
          <w:szCs w:val="20"/>
        </w:rPr>
        <w:t>zakresie PI 5b ma za zadanie przeciwdziałanie zagrożeniom naturalnym</w:t>
      </w:r>
      <w:r w:rsidR="00E66B89">
        <w:rPr>
          <w:rFonts w:cs="Calibri"/>
          <w:szCs w:val="20"/>
        </w:rPr>
        <w:t xml:space="preserve"> w </w:t>
      </w:r>
      <w:r w:rsidRPr="00404DA5">
        <w:rPr>
          <w:rFonts w:cs="Calibri"/>
          <w:szCs w:val="20"/>
        </w:rPr>
        <w:t>szczególności związany</w:t>
      </w:r>
      <w:r>
        <w:rPr>
          <w:rFonts w:cs="Calibri"/>
          <w:szCs w:val="20"/>
        </w:rPr>
        <w:t>m</w:t>
      </w:r>
      <w:r w:rsidR="00E66B89">
        <w:rPr>
          <w:rFonts w:cs="Calibri"/>
          <w:szCs w:val="20"/>
        </w:rPr>
        <w:t xml:space="preserve"> z </w:t>
      </w:r>
      <w:r w:rsidRPr="00404DA5">
        <w:rPr>
          <w:rFonts w:cs="Calibri"/>
          <w:szCs w:val="20"/>
        </w:rPr>
        <w:t>następującymi zmianami klimatu.</w:t>
      </w:r>
      <w:r w:rsidR="00E66B89">
        <w:rPr>
          <w:rFonts w:cs="Calibri"/>
          <w:szCs w:val="20"/>
        </w:rPr>
        <w:t xml:space="preserve"> W </w:t>
      </w:r>
      <w:r w:rsidRPr="00404DA5">
        <w:rPr>
          <w:rFonts w:cs="Calibri"/>
          <w:szCs w:val="20"/>
        </w:rPr>
        <w:t>RPO WZ zapisano, że problemy regionu zachodniopomorskiego</w:t>
      </w:r>
      <w:r w:rsidR="00E66B89">
        <w:rPr>
          <w:rFonts w:cs="Calibri"/>
          <w:szCs w:val="20"/>
        </w:rPr>
        <w:t xml:space="preserve"> w </w:t>
      </w:r>
      <w:r w:rsidRPr="00404DA5">
        <w:rPr>
          <w:rFonts w:cs="Calibri"/>
          <w:szCs w:val="20"/>
        </w:rPr>
        <w:t>t</w:t>
      </w:r>
      <w:r>
        <w:rPr>
          <w:rFonts w:cs="Calibri"/>
          <w:szCs w:val="20"/>
        </w:rPr>
        <w:t>ej dziedzinie wynikają</w:t>
      </w:r>
      <w:r w:rsidRPr="00404DA5">
        <w:rPr>
          <w:rFonts w:cs="Calibri"/>
          <w:szCs w:val="20"/>
        </w:rPr>
        <w:t xml:space="preserve"> przede wszystkim</w:t>
      </w:r>
      <w:r w:rsidR="00E66B89">
        <w:rPr>
          <w:rFonts w:cs="Calibri"/>
          <w:szCs w:val="20"/>
        </w:rPr>
        <w:t xml:space="preserve"> z </w:t>
      </w:r>
      <w:r w:rsidRPr="00404DA5">
        <w:rPr>
          <w:rFonts w:cs="Calibri"/>
          <w:szCs w:val="20"/>
        </w:rPr>
        <w:t>oddziaływani</w:t>
      </w:r>
      <w:r>
        <w:rPr>
          <w:rFonts w:cs="Calibri"/>
          <w:szCs w:val="20"/>
        </w:rPr>
        <w:t>a</w:t>
      </w:r>
      <w:r w:rsidRPr="00404DA5">
        <w:rPr>
          <w:rFonts w:cs="Calibri"/>
          <w:szCs w:val="20"/>
        </w:rPr>
        <w:t xml:space="preserve"> strefy wybrzeża, zwiększeni</w:t>
      </w:r>
      <w:r>
        <w:rPr>
          <w:rFonts w:cs="Calibri"/>
          <w:szCs w:val="20"/>
        </w:rPr>
        <w:t>a</w:t>
      </w:r>
      <w:r w:rsidRPr="00404DA5">
        <w:rPr>
          <w:rFonts w:cs="Calibri"/>
          <w:szCs w:val="20"/>
        </w:rPr>
        <w:t xml:space="preserve"> częstotliwości</w:t>
      </w:r>
      <w:r w:rsidR="00E66B89">
        <w:rPr>
          <w:rFonts w:cs="Calibri"/>
          <w:szCs w:val="20"/>
        </w:rPr>
        <w:t xml:space="preserve"> i </w:t>
      </w:r>
      <w:r w:rsidRPr="00404DA5">
        <w:rPr>
          <w:rFonts w:cs="Calibri"/>
          <w:szCs w:val="20"/>
        </w:rPr>
        <w:t>nasileni</w:t>
      </w:r>
      <w:r>
        <w:rPr>
          <w:rFonts w:cs="Calibri"/>
          <w:szCs w:val="20"/>
        </w:rPr>
        <w:t>a</w:t>
      </w:r>
      <w:r w:rsidRPr="00404DA5">
        <w:rPr>
          <w:rFonts w:cs="Calibri"/>
          <w:szCs w:val="20"/>
        </w:rPr>
        <w:t xml:space="preserve"> ekstremalnych zjawisk meteorologicznych oraz</w:t>
      </w:r>
      <w:r w:rsidR="00E66B89">
        <w:rPr>
          <w:rFonts w:cs="Calibri"/>
          <w:szCs w:val="20"/>
        </w:rPr>
        <w:t xml:space="preserve"> z </w:t>
      </w:r>
      <w:r w:rsidRPr="00404DA5">
        <w:rPr>
          <w:rFonts w:cs="Calibri"/>
          <w:szCs w:val="20"/>
        </w:rPr>
        <w:t>zagroże</w:t>
      </w:r>
      <w:r>
        <w:rPr>
          <w:rFonts w:cs="Calibri"/>
          <w:szCs w:val="20"/>
        </w:rPr>
        <w:t>ń</w:t>
      </w:r>
      <w:r w:rsidRPr="00404DA5">
        <w:rPr>
          <w:rFonts w:cs="Calibri"/>
          <w:szCs w:val="20"/>
        </w:rPr>
        <w:t xml:space="preserve"> wywołany</w:t>
      </w:r>
      <w:r>
        <w:rPr>
          <w:rFonts w:cs="Calibri"/>
          <w:szCs w:val="20"/>
        </w:rPr>
        <w:t>ch</w:t>
      </w:r>
      <w:r w:rsidRPr="00404DA5">
        <w:rPr>
          <w:rFonts w:cs="Calibri"/>
          <w:szCs w:val="20"/>
        </w:rPr>
        <w:t xml:space="preserve"> zmianami klimatu. Specyfika tego typu zjawisk powoduje, że nie należy oczekiwać diametralnej zmiany</w:t>
      </w:r>
      <w:r w:rsidR="00E66B89">
        <w:rPr>
          <w:rFonts w:cs="Calibri"/>
          <w:szCs w:val="20"/>
        </w:rPr>
        <w:t xml:space="preserve"> w </w:t>
      </w:r>
      <w:r w:rsidRPr="00404DA5">
        <w:rPr>
          <w:rFonts w:cs="Calibri"/>
          <w:szCs w:val="20"/>
        </w:rPr>
        <w:t>perspektywie kilku lat, tym niemniej należy zauważyć, że pod tym względem sytuacja regionu nie zmieniła się, zaś potrzeby związane</w:t>
      </w:r>
      <w:r w:rsidR="00E66B89">
        <w:rPr>
          <w:rFonts w:cs="Calibri"/>
          <w:szCs w:val="20"/>
        </w:rPr>
        <w:t xml:space="preserve"> z </w:t>
      </w:r>
      <w:r w:rsidRPr="00404DA5">
        <w:rPr>
          <w:rFonts w:cs="Calibri"/>
          <w:szCs w:val="20"/>
        </w:rPr>
        <w:t xml:space="preserve">przeciwdziałaniem zagrożeniom naturalnym wciąż są duże. </w:t>
      </w:r>
    </w:p>
    <w:p w14:paraId="68DAE635" w14:textId="77777777" w:rsidR="00E32260" w:rsidRPr="00404DA5" w:rsidRDefault="00E32260" w:rsidP="00E32260">
      <w:pPr>
        <w:rPr>
          <w:rFonts w:cs="Calibri"/>
          <w:szCs w:val="20"/>
        </w:rPr>
      </w:pPr>
      <w:r w:rsidRPr="00404DA5">
        <w:rPr>
          <w:rFonts w:cs="Calibri"/>
          <w:szCs w:val="20"/>
        </w:rPr>
        <w:t>Województw</w:t>
      </w:r>
      <w:r>
        <w:rPr>
          <w:rFonts w:cs="Calibri"/>
          <w:szCs w:val="20"/>
        </w:rPr>
        <w:t>o</w:t>
      </w:r>
      <w:r w:rsidRPr="00404DA5">
        <w:rPr>
          <w:rFonts w:cs="Calibri"/>
          <w:szCs w:val="20"/>
        </w:rPr>
        <w:t xml:space="preserve"> zachodniopomorskie należy do tych regionów kraju, które są najbardziej zagrożone występowaniem powodzi</w:t>
      </w:r>
      <w:r w:rsidR="00E66B89">
        <w:rPr>
          <w:rFonts w:cs="Calibri"/>
          <w:szCs w:val="20"/>
        </w:rPr>
        <w:t xml:space="preserve"> i </w:t>
      </w:r>
      <w:r w:rsidRPr="00404DA5">
        <w:rPr>
          <w:rFonts w:cs="Calibri"/>
          <w:szCs w:val="20"/>
        </w:rPr>
        <w:t>podtopień</w:t>
      </w:r>
      <w:r w:rsidRPr="008B706B">
        <w:rPr>
          <w:vertAlign w:val="superscript"/>
        </w:rPr>
        <w:footnoteReference w:id="30"/>
      </w:r>
      <w:r w:rsidRPr="00404DA5">
        <w:rPr>
          <w:rFonts w:cs="Calibri"/>
          <w:szCs w:val="20"/>
        </w:rPr>
        <w:t xml:space="preserve">. Specyfiką regionu odróżniającą </w:t>
      </w:r>
      <w:r>
        <w:rPr>
          <w:rFonts w:cs="Calibri"/>
          <w:szCs w:val="20"/>
        </w:rPr>
        <w:t xml:space="preserve">go </w:t>
      </w:r>
      <w:r w:rsidRPr="00404DA5">
        <w:rPr>
          <w:rFonts w:cs="Calibri"/>
          <w:szCs w:val="20"/>
        </w:rPr>
        <w:t>od np. równie zagrożonego województwa dolnośląskiego, małopolskiego czy podkarpackiego jest ryzyko wystąpień powodzi od morza. Wskazuje na to aktualny „Raport</w:t>
      </w:r>
      <w:r w:rsidR="00E66B89">
        <w:rPr>
          <w:rFonts w:cs="Calibri"/>
          <w:szCs w:val="20"/>
        </w:rPr>
        <w:t xml:space="preserve"> z </w:t>
      </w:r>
      <w:r w:rsidRPr="00404DA5">
        <w:rPr>
          <w:rFonts w:cs="Calibri"/>
          <w:szCs w:val="20"/>
        </w:rPr>
        <w:t>przeglądu</w:t>
      </w:r>
      <w:r w:rsidR="00E66B89">
        <w:rPr>
          <w:rFonts w:cs="Calibri"/>
          <w:szCs w:val="20"/>
        </w:rPr>
        <w:t xml:space="preserve"> i </w:t>
      </w:r>
      <w:r w:rsidRPr="00404DA5">
        <w:rPr>
          <w:rFonts w:cs="Calibri"/>
          <w:szCs w:val="20"/>
        </w:rPr>
        <w:t>aktualizacji wstępnej oceny ryzyka powodziowego</w:t>
      </w:r>
      <w:r w:rsidRPr="008B706B">
        <w:rPr>
          <w:vertAlign w:val="superscript"/>
        </w:rPr>
        <w:footnoteReference w:id="31"/>
      </w:r>
      <w:r w:rsidRPr="00404DA5">
        <w:rPr>
          <w:rFonts w:cs="Calibri"/>
          <w:szCs w:val="20"/>
        </w:rPr>
        <w:t>”.</w:t>
      </w:r>
    </w:p>
    <w:p w14:paraId="30BE5E1D" w14:textId="77777777" w:rsidR="00E32260" w:rsidRPr="00404DA5" w:rsidRDefault="00E32260" w:rsidP="00E32260">
      <w:pPr>
        <w:rPr>
          <w:rFonts w:cs="Calibri"/>
          <w:szCs w:val="20"/>
        </w:rPr>
      </w:pPr>
      <w:r w:rsidRPr="00404DA5">
        <w:rPr>
          <w:rFonts w:cs="Calibri"/>
          <w:szCs w:val="20"/>
        </w:rPr>
        <w:t>Według danych za rok 2016</w:t>
      </w:r>
      <w:r w:rsidR="00E66B89">
        <w:rPr>
          <w:rFonts w:cs="Calibri"/>
          <w:szCs w:val="20"/>
        </w:rPr>
        <w:t xml:space="preserve"> w </w:t>
      </w:r>
      <w:r w:rsidRPr="00404DA5">
        <w:rPr>
          <w:rFonts w:cs="Calibri"/>
          <w:szCs w:val="20"/>
        </w:rPr>
        <w:t>woj</w:t>
      </w:r>
      <w:r>
        <w:rPr>
          <w:rFonts w:cs="Calibri"/>
          <w:szCs w:val="20"/>
        </w:rPr>
        <w:t>ewództwie</w:t>
      </w:r>
      <w:r w:rsidRPr="00404DA5">
        <w:rPr>
          <w:rFonts w:cs="Calibri"/>
          <w:szCs w:val="20"/>
        </w:rPr>
        <w:t xml:space="preserve"> zachodniopomorskim znajduje się 559 km wałów przeciwpowodziowych (8. </w:t>
      </w:r>
      <w:r>
        <w:rPr>
          <w:rFonts w:cs="Calibri"/>
          <w:szCs w:val="20"/>
        </w:rPr>
        <w:t>m</w:t>
      </w:r>
      <w:r w:rsidRPr="00404DA5">
        <w:rPr>
          <w:rFonts w:cs="Calibri"/>
          <w:szCs w:val="20"/>
        </w:rPr>
        <w:t>iejsce</w:t>
      </w:r>
      <w:r w:rsidR="00E66B89">
        <w:rPr>
          <w:rFonts w:cs="Calibri"/>
          <w:szCs w:val="20"/>
        </w:rPr>
        <w:t xml:space="preserve"> w </w:t>
      </w:r>
      <w:r w:rsidRPr="00404DA5">
        <w:rPr>
          <w:rFonts w:cs="Calibri"/>
          <w:szCs w:val="20"/>
        </w:rPr>
        <w:t>kraju), spośród których 90 km wymaga odbudowy.</w:t>
      </w:r>
      <w:r w:rsidR="00E66B89">
        <w:rPr>
          <w:rFonts w:cs="Calibri"/>
          <w:szCs w:val="20"/>
        </w:rPr>
        <w:t xml:space="preserve"> W </w:t>
      </w:r>
      <w:r w:rsidRPr="00404DA5">
        <w:rPr>
          <w:rFonts w:cs="Calibri"/>
          <w:szCs w:val="20"/>
        </w:rPr>
        <w:t>tym ujęciu jest to najlepszy wynik</w:t>
      </w:r>
      <w:r w:rsidR="00E66B89">
        <w:rPr>
          <w:rFonts w:cs="Calibri"/>
          <w:szCs w:val="20"/>
        </w:rPr>
        <w:t xml:space="preserve"> w </w:t>
      </w:r>
      <w:r w:rsidRPr="00404DA5">
        <w:rPr>
          <w:rFonts w:cs="Calibri"/>
          <w:szCs w:val="20"/>
        </w:rPr>
        <w:t>kraju, dla porównania</w:t>
      </w:r>
      <w:r w:rsidR="00E66B89">
        <w:rPr>
          <w:rFonts w:cs="Calibri"/>
          <w:szCs w:val="20"/>
        </w:rPr>
        <w:t xml:space="preserve"> w </w:t>
      </w:r>
      <w:r w:rsidRPr="00404DA5">
        <w:rPr>
          <w:rFonts w:cs="Calibri"/>
          <w:szCs w:val="20"/>
        </w:rPr>
        <w:t>regionie lubuskim odsetek wałów wymagających odbudowy wynosi 66%, pomorskim – 52%.</w:t>
      </w:r>
    </w:p>
    <w:p w14:paraId="122D56BB" w14:textId="77777777" w:rsidR="00E32260" w:rsidRPr="00404DA5" w:rsidRDefault="00E32260" w:rsidP="00E32260">
      <w:pPr>
        <w:rPr>
          <w:rFonts w:cs="Calibri"/>
          <w:szCs w:val="20"/>
        </w:rPr>
      </w:pPr>
      <w:r w:rsidRPr="00404DA5">
        <w:rPr>
          <w:rFonts w:cs="Calibri"/>
          <w:szCs w:val="20"/>
        </w:rPr>
        <w:t>Wobec wysokiego zagrożenia powodziami konieczny jest efektywny</w:t>
      </w:r>
      <w:r w:rsidR="00E66B89">
        <w:rPr>
          <w:rFonts w:cs="Calibri"/>
          <w:szCs w:val="20"/>
        </w:rPr>
        <w:t xml:space="preserve"> i </w:t>
      </w:r>
      <w:r w:rsidRPr="00404DA5">
        <w:rPr>
          <w:rFonts w:cs="Calibri"/>
          <w:szCs w:val="20"/>
        </w:rPr>
        <w:t>skuteczny system obiektów małej retencji. Pojemność tego typu zbiorników to 65773 dam3, co stanowi 8% pojemności zbiorników</w:t>
      </w:r>
      <w:r w:rsidR="00E66B89">
        <w:rPr>
          <w:rFonts w:cs="Calibri"/>
          <w:szCs w:val="20"/>
        </w:rPr>
        <w:t xml:space="preserve"> w </w:t>
      </w:r>
      <w:r w:rsidRPr="00404DA5">
        <w:rPr>
          <w:rFonts w:cs="Calibri"/>
          <w:szCs w:val="20"/>
        </w:rPr>
        <w:t>Polsce (5. miejsce</w:t>
      </w:r>
      <w:r w:rsidR="00E66B89">
        <w:rPr>
          <w:rFonts w:cs="Calibri"/>
          <w:szCs w:val="20"/>
        </w:rPr>
        <w:t xml:space="preserve"> w </w:t>
      </w:r>
      <w:r w:rsidRPr="00404DA5">
        <w:rPr>
          <w:rFonts w:cs="Calibri"/>
          <w:szCs w:val="20"/>
        </w:rPr>
        <w:t>kraju).</w:t>
      </w:r>
      <w:r w:rsidR="00E66B89">
        <w:rPr>
          <w:rFonts w:cs="Calibri"/>
          <w:szCs w:val="20"/>
        </w:rPr>
        <w:t xml:space="preserve"> W </w:t>
      </w:r>
      <w:r w:rsidRPr="00404DA5">
        <w:rPr>
          <w:rFonts w:cs="Calibri"/>
          <w:szCs w:val="20"/>
        </w:rPr>
        <w:t>regionie działa najwięcej</w:t>
      </w:r>
      <w:r w:rsidR="00E66B89">
        <w:rPr>
          <w:rFonts w:cs="Calibri"/>
          <w:szCs w:val="20"/>
        </w:rPr>
        <w:t xml:space="preserve"> w </w:t>
      </w:r>
      <w:r w:rsidRPr="00404DA5">
        <w:rPr>
          <w:rFonts w:cs="Calibri"/>
          <w:szCs w:val="20"/>
        </w:rPr>
        <w:t>Polsce pomp odwadniających (134, co stanowi ponad 23% pomp</w:t>
      </w:r>
      <w:r w:rsidR="00E66B89">
        <w:rPr>
          <w:rFonts w:cs="Calibri"/>
          <w:szCs w:val="20"/>
        </w:rPr>
        <w:t xml:space="preserve"> w </w:t>
      </w:r>
      <w:r w:rsidRPr="00404DA5">
        <w:rPr>
          <w:rFonts w:cs="Calibri"/>
          <w:szCs w:val="20"/>
        </w:rPr>
        <w:t>Polsce), których powierzchnia oddziaływania wynosi 88 tys</w:t>
      </w:r>
      <w:r>
        <w:rPr>
          <w:rFonts w:cs="Calibri"/>
          <w:szCs w:val="20"/>
        </w:rPr>
        <w:t>.</w:t>
      </w:r>
      <w:r w:rsidRPr="00404DA5">
        <w:rPr>
          <w:rFonts w:cs="Calibri"/>
          <w:szCs w:val="20"/>
        </w:rPr>
        <w:t xml:space="preserve"> hektarów.</w:t>
      </w:r>
    </w:p>
    <w:p w14:paraId="7064EF64" w14:textId="77777777" w:rsidR="00E32260" w:rsidRPr="00404DA5" w:rsidRDefault="00E32260" w:rsidP="00E32260">
      <w:pPr>
        <w:rPr>
          <w:rFonts w:cs="Calibri"/>
          <w:szCs w:val="20"/>
        </w:rPr>
      </w:pPr>
      <w:r w:rsidRPr="00404DA5">
        <w:rPr>
          <w:rFonts w:cs="Calibri"/>
          <w:szCs w:val="20"/>
        </w:rPr>
        <w:t>W kontekście coraz częstszego występowania zjawisk katastrofalnych, warto wskazać, że od roku 2014 systematycznie rośnie liczba silnych wiatrów (2014 – 1550, 2017 – 2665). Kluczowym wskaźnikiem dla systemu ratownictwa jest odsetek interwencji służb ratunkowych poniżej 1 godziny</w:t>
      </w:r>
      <w:r w:rsidR="00E66B89">
        <w:rPr>
          <w:rFonts w:cs="Calibri"/>
          <w:szCs w:val="20"/>
        </w:rPr>
        <w:t xml:space="preserve"> w </w:t>
      </w:r>
      <w:r w:rsidRPr="00404DA5">
        <w:rPr>
          <w:rFonts w:cs="Calibri"/>
          <w:szCs w:val="20"/>
        </w:rPr>
        <w:t>stosunku do czasu wszystkich interwencji</w:t>
      </w:r>
      <w:r>
        <w:rPr>
          <w:rFonts w:cs="Calibri"/>
          <w:szCs w:val="20"/>
        </w:rPr>
        <w:t xml:space="preserve"> podejmowanych przez system ratownictwa</w:t>
      </w:r>
      <w:r w:rsidRPr="00404DA5">
        <w:rPr>
          <w:rFonts w:cs="Calibri"/>
          <w:szCs w:val="20"/>
        </w:rPr>
        <w:t>.</w:t>
      </w:r>
      <w:r w:rsidR="00E66B89">
        <w:rPr>
          <w:rFonts w:cs="Calibri"/>
          <w:szCs w:val="20"/>
        </w:rPr>
        <w:t xml:space="preserve"> O </w:t>
      </w:r>
      <w:r w:rsidRPr="00404DA5">
        <w:rPr>
          <w:rFonts w:cs="Calibri"/>
          <w:szCs w:val="20"/>
        </w:rPr>
        <w:t>ile</w:t>
      </w:r>
      <w:r w:rsidR="00E66B89">
        <w:rPr>
          <w:rFonts w:cs="Calibri"/>
          <w:szCs w:val="20"/>
        </w:rPr>
        <w:t xml:space="preserve"> w </w:t>
      </w:r>
      <w:r w:rsidRPr="00404DA5">
        <w:rPr>
          <w:rFonts w:cs="Calibri"/>
          <w:szCs w:val="20"/>
        </w:rPr>
        <w:t>roku 2014 odsetek ten</w:t>
      </w:r>
      <w:r w:rsidR="00E66B89">
        <w:rPr>
          <w:rFonts w:cs="Calibri"/>
          <w:szCs w:val="20"/>
        </w:rPr>
        <w:t xml:space="preserve"> w </w:t>
      </w:r>
      <w:r w:rsidRPr="00404DA5">
        <w:rPr>
          <w:rFonts w:cs="Calibri"/>
          <w:szCs w:val="20"/>
        </w:rPr>
        <w:t>regionie zachodniopomorskim wynosił 67,25%,</w:t>
      </w:r>
      <w:r w:rsidR="00E66B89">
        <w:rPr>
          <w:rFonts w:cs="Calibri"/>
          <w:szCs w:val="20"/>
        </w:rPr>
        <w:t xml:space="preserve"> a w </w:t>
      </w:r>
      <w:r>
        <w:rPr>
          <w:rFonts w:cs="Calibri"/>
          <w:szCs w:val="20"/>
        </w:rPr>
        <w:t>2015 lekko wzrósł (67,4%),</w:t>
      </w:r>
      <w:r w:rsidR="00E66B89">
        <w:rPr>
          <w:rFonts w:cs="Calibri"/>
          <w:szCs w:val="20"/>
        </w:rPr>
        <w:t xml:space="preserve"> o </w:t>
      </w:r>
      <w:r w:rsidRPr="00404DA5">
        <w:rPr>
          <w:rFonts w:cs="Calibri"/>
          <w:szCs w:val="20"/>
        </w:rPr>
        <w:t>tyle</w:t>
      </w:r>
      <w:r w:rsidR="00E66B89">
        <w:rPr>
          <w:rFonts w:cs="Calibri"/>
          <w:szCs w:val="20"/>
        </w:rPr>
        <w:t xml:space="preserve"> w </w:t>
      </w:r>
      <w:r w:rsidRPr="00404DA5">
        <w:rPr>
          <w:rFonts w:cs="Calibri"/>
          <w:szCs w:val="20"/>
        </w:rPr>
        <w:t>następnych latach spadł (</w:t>
      </w:r>
      <w:r>
        <w:rPr>
          <w:rFonts w:cs="Calibri"/>
          <w:szCs w:val="20"/>
        </w:rPr>
        <w:t xml:space="preserve">w </w:t>
      </w:r>
      <w:r w:rsidRPr="00404DA5">
        <w:rPr>
          <w:rFonts w:cs="Calibri"/>
          <w:szCs w:val="20"/>
        </w:rPr>
        <w:t>2016</w:t>
      </w:r>
      <w:r>
        <w:rPr>
          <w:rFonts w:cs="Calibri"/>
          <w:szCs w:val="20"/>
        </w:rPr>
        <w:t xml:space="preserve"> </w:t>
      </w:r>
      <w:r w:rsidRPr="00404DA5">
        <w:rPr>
          <w:rFonts w:cs="Calibri"/>
          <w:szCs w:val="20"/>
        </w:rPr>
        <w:t>-</w:t>
      </w:r>
      <w:r>
        <w:rPr>
          <w:rFonts w:cs="Calibri"/>
          <w:szCs w:val="20"/>
        </w:rPr>
        <w:t xml:space="preserve"> </w:t>
      </w:r>
      <w:r w:rsidRPr="00404DA5">
        <w:rPr>
          <w:rFonts w:cs="Calibri"/>
          <w:szCs w:val="20"/>
        </w:rPr>
        <w:t>66,5%,</w:t>
      </w:r>
      <w:r w:rsidR="00E66B89">
        <w:rPr>
          <w:rFonts w:cs="Calibri"/>
          <w:szCs w:val="20"/>
        </w:rPr>
        <w:t xml:space="preserve"> w </w:t>
      </w:r>
      <w:r w:rsidRPr="00404DA5">
        <w:rPr>
          <w:rFonts w:cs="Calibri"/>
          <w:szCs w:val="20"/>
        </w:rPr>
        <w:t>latach 2017</w:t>
      </w:r>
      <w:r w:rsidR="00E66B89">
        <w:rPr>
          <w:rFonts w:cs="Calibri"/>
          <w:szCs w:val="20"/>
        </w:rPr>
        <w:t xml:space="preserve"> i </w:t>
      </w:r>
      <w:r w:rsidRPr="00404DA5">
        <w:rPr>
          <w:rFonts w:cs="Calibri"/>
          <w:szCs w:val="20"/>
        </w:rPr>
        <w:t>2018 – 62,98%). Sytuacja nie tylko nie ulega poprawie, lecz także systematycznie się pogarsza, choć odsetek ten wciąż pozostaje powyżej średniej krajowej (w 2018 – 60,06%).</w:t>
      </w:r>
    </w:p>
    <w:p w14:paraId="7726679A" w14:textId="12C9A108" w:rsidR="00C56787" w:rsidRDefault="00E32260" w:rsidP="00807CA9">
      <w:pPr>
        <w:pStyle w:val="evaluTresc"/>
        <w:rPr>
          <w:b/>
          <w:i/>
          <w:color w:val="4F81BD"/>
        </w:rPr>
      </w:pPr>
      <w:r w:rsidRPr="00404DA5">
        <w:rPr>
          <w:rFonts w:cs="Calibri"/>
        </w:rPr>
        <w:t>Wobec stale istniejącego zagrożenia powodziowego</w:t>
      </w:r>
      <w:r w:rsidR="00E66B89">
        <w:rPr>
          <w:rFonts w:cs="Calibri"/>
        </w:rPr>
        <w:t xml:space="preserve"> i </w:t>
      </w:r>
      <w:r w:rsidRPr="00404DA5">
        <w:rPr>
          <w:rFonts w:cs="Calibri"/>
        </w:rPr>
        <w:t xml:space="preserve">nasilających się niekorzystnych zjawisk naturalnych, należy stwierdzić, że </w:t>
      </w:r>
      <w:r w:rsidRPr="00404DA5">
        <w:rPr>
          <w:rFonts w:cs="Calibri"/>
          <w:b/>
        </w:rPr>
        <w:t>diagnoza potrzeb leżąca</w:t>
      </w:r>
      <w:r w:rsidR="00E66B89">
        <w:rPr>
          <w:rFonts w:cs="Calibri"/>
          <w:b/>
        </w:rPr>
        <w:t xml:space="preserve"> u </w:t>
      </w:r>
      <w:r w:rsidRPr="00404DA5">
        <w:rPr>
          <w:rFonts w:cs="Calibri"/>
          <w:b/>
        </w:rPr>
        <w:t>podstaw programowania PI 5b</w:t>
      </w:r>
      <w:r w:rsidR="00E66B89">
        <w:rPr>
          <w:rFonts w:cs="Calibri"/>
          <w:b/>
        </w:rPr>
        <w:t xml:space="preserve"> w </w:t>
      </w:r>
      <w:r w:rsidRPr="00404DA5">
        <w:rPr>
          <w:rFonts w:cs="Calibri"/>
          <w:b/>
        </w:rPr>
        <w:t>ramach OP III jest wciąż aktualna</w:t>
      </w:r>
      <w:r w:rsidRPr="00404DA5">
        <w:rPr>
          <w:rFonts w:cs="Calibri"/>
        </w:rPr>
        <w:t xml:space="preserve">. Co więcej, </w:t>
      </w:r>
      <w:r>
        <w:rPr>
          <w:rFonts w:cs="Calibri"/>
        </w:rPr>
        <w:t>zauważa się</w:t>
      </w:r>
      <w:r w:rsidRPr="00404DA5">
        <w:rPr>
          <w:rFonts w:cs="Calibri"/>
        </w:rPr>
        <w:t xml:space="preserve">, że potrzeby związane ze wspieraniem systemu </w:t>
      </w:r>
      <w:r w:rsidRPr="00404DA5">
        <w:rPr>
          <w:rFonts w:cs="Calibri"/>
        </w:rPr>
        <w:lastRenderedPageBreak/>
        <w:t>ratownictwa stale rosną.</w:t>
      </w:r>
      <w:r w:rsidR="00E66B89">
        <w:rPr>
          <w:rFonts w:cs="Calibri"/>
        </w:rPr>
        <w:t xml:space="preserve"> Z </w:t>
      </w:r>
      <w:r w:rsidRPr="00404DA5">
        <w:rPr>
          <w:rFonts w:cs="Calibri"/>
        </w:rPr>
        <w:t>tego powodu należy uznać, że Działania 3.1 – 3.4</w:t>
      </w:r>
      <w:r w:rsidR="00E66B89">
        <w:rPr>
          <w:rFonts w:cs="Calibri"/>
        </w:rPr>
        <w:t xml:space="preserve"> w </w:t>
      </w:r>
      <w:r w:rsidRPr="00404DA5">
        <w:rPr>
          <w:rFonts w:cs="Calibri"/>
        </w:rPr>
        <w:t>swym założeniu odpowiadają na potrzeby regionu,</w:t>
      </w:r>
      <w:r w:rsidR="00E66B89">
        <w:rPr>
          <w:rFonts w:cs="Calibri"/>
        </w:rPr>
        <w:t xml:space="preserve"> a </w:t>
      </w:r>
      <w:r w:rsidRPr="00404DA5">
        <w:rPr>
          <w:rFonts w:cs="Calibri"/>
        </w:rPr>
        <w:t>od 2014 roku nie nastąpiły</w:t>
      </w:r>
      <w:r w:rsidR="00E66B89">
        <w:rPr>
          <w:rFonts w:cs="Calibri"/>
        </w:rPr>
        <w:t xml:space="preserve"> w </w:t>
      </w:r>
      <w:r w:rsidRPr="00404DA5">
        <w:rPr>
          <w:rFonts w:cs="Calibri"/>
        </w:rPr>
        <w:t>tej kwestii istotne zmiany.</w:t>
      </w:r>
    </w:p>
    <w:p w14:paraId="2CAC1117" w14:textId="1BA36EC5" w:rsidR="000A20D0" w:rsidRPr="00404DA5" w:rsidRDefault="004D674A" w:rsidP="000A20D0">
      <w:pPr>
        <w:pStyle w:val="evaluTresc"/>
        <w:rPr>
          <w:b/>
          <w:i/>
          <w:color w:val="4F81BD"/>
        </w:rPr>
      </w:pPr>
      <w:r>
        <w:rPr>
          <w:b/>
          <w:i/>
          <w:color w:val="4F81BD"/>
        </w:rPr>
        <w:t>PI</w:t>
      </w:r>
      <w:r w:rsidR="000A20D0" w:rsidRPr="00404DA5">
        <w:rPr>
          <w:b/>
          <w:i/>
          <w:color w:val="4F81BD"/>
        </w:rPr>
        <w:t xml:space="preserve"> 6b </w:t>
      </w:r>
    </w:p>
    <w:p w14:paraId="601872E6" w14:textId="77777777" w:rsidR="009D215A" w:rsidRPr="00404DA5" w:rsidRDefault="009D215A" w:rsidP="009D215A">
      <w:pPr>
        <w:rPr>
          <w:rFonts w:cs="Calibri"/>
          <w:szCs w:val="20"/>
        </w:rPr>
      </w:pPr>
      <w:r w:rsidRPr="00404DA5">
        <w:rPr>
          <w:rFonts w:cs="Calibri"/>
          <w:szCs w:val="20"/>
        </w:rPr>
        <w:t>Jednym</w:t>
      </w:r>
      <w:r w:rsidR="00E66B89">
        <w:rPr>
          <w:rFonts w:cs="Calibri"/>
          <w:szCs w:val="20"/>
        </w:rPr>
        <w:t xml:space="preserve"> z </w:t>
      </w:r>
      <w:r w:rsidRPr="00404DA5">
        <w:rPr>
          <w:rFonts w:cs="Calibri"/>
          <w:szCs w:val="20"/>
        </w:rPr>
        <w:t>zagrożeń dla należytej ochrony stanu środowiska naturalnego (w tym szczególnie powierzchniowych</w:t>
      </w:r>
      <w:r w:rsidR="00E66B89">
        <w:rPr>
          <w:rFonts w:cs="Calibri"/>
          <w:szCs w:val="20"/>
        </w:rPr>
        <w:t xml:space="preserve"> i </w:t>
      </w:r>
      <w:r w:rsidRPr="00404DA5">
        <w:rPr>
          <w:rFonts w:cs="Calibri"/>
          <w:szCs w:val="20"/>
        </w:rPr>
        <w:t>podziemnych zbiorników wodnych) jest nieodpowiednio rozwinięta infrastruktura wodociągowo</w:t>
      </w:r>
      <w:r>
        <w:rPr>
          <w:rFonts w:cs="Calibri"/>
          <w:szCs w:val="20"/>
        </w:rPr>
        <w:t>-</w:t>
      </w:r>
      <w:r w:rsidRPr="00404DA5">
        <w:rPr>
          <w:rFonts w:cs="Calibri"/>
          <w:szCs w:val="20"/>
        </w:rPr>
        <w:t>kanalizacyjna. Braki</w:t>
      </w:r>
      <w:r w:rsidR="00E66B89">
        <w:rPr>
          <w:rFonts w:cs="Calibri"/>
          <w:szCs w:val="20"/>
        </w:rPr>
        <w:t xml:space="preserve"> w </w:t>
      </w:r>
      <w:r w:rsidRPr="00404DA5">
        <w:rPr>
          <w:rFonts w:cs="Calibri"/>
          <w:szCs w:val="20"/>
        </w:rPr>
        <w:t>tym zakresie (tj. niewystarczająca jakość oraz dostępność) przekładają się także na obniżenie standardów jakości życia mieszkańców województwa zachodniopomorskiego.</w:t>
      </w:r>
    </w:p>
    <w:p w14:paraId="24FCCFB4" w14:textId="77777777" w:rsidR="009D215A" w:rsidRPr="00436D27" w:rsidRDefault="009D215A" w:rsidP="009D215A">
      <w:pPr>
        <w:pStyle w:val="evaluTresc"/>
      </w:pPr>
      <w:r w:rsidRPr="00404DA5">
        <w:rPr>
          <w:rFonts w:cs="Calibri"/>
        </w:rPr>
        <w:t>Sytuacja</w:t>
      </w:r>
      <w:r w:rsidR="00E66B89">
        <w:rPr>
          <w:rFonts w:cs="Calibri"/>
        </w:rPr>
        <w:t xml:space="preserve"> w </w:t>
      </w:r>
      <w:r w:rsidRPr="00404DA5">
        <w:rPr>
          <w:rFonts w:cs="Calibri"/>
        </w:rPr>
        <w:t>gospodarce wodno</w:t>
      </w:r>
      <w:r>
        <w:rPr>
          <w:rFonts w:cs="Calibri"/>
        </w:rPr>
        <w:t>-</w:t>
      </w:r>
      <w:r w:rsidRPr="00404DA5">
        <w:rPr>
          <w:rFonts w:cs="Calibri"/>
        </w:rPr>
        <w:t>ściekowej</w:t>
      </w:r>
      <w:r w:rsidR="00E66B89">
        <w:rPr>
          <w:rFonts w:cs="Calibri"/>
        </w:rPr>
        <w:t xml:space="preserve"> w </w:t>
      </w:r>
      <w:r w:rsidRPr="00404DA5">
        <w:rPr>
          <w:rFonts w:cs="Calibri"/>
        </w:rPr>
        <w:t>regionie uległa</w:t>
      </w:r>
      <w:r>
        <w:rPr>
          <w:rFonts w:cs="Calibri"/>
        </w:rPr>
        <w:t>,</w:t>
      </w:r>
      <w:r w:rsidRPr="00404DA5">
        <w:rPr>
          <w:rFonts w:cs="Calibri"/>
        </w:rPr>
        <w:t xml:space="preserve"> od momentu programowania interwencji</w:t>
      </w:r>
      <w:r w:rsidR="00E66B89">
        <w:rPr>
          <w:rFonts w:cs="Calibri"/>
        </w:rPr>
        <w:t xml:space="preserve"> w </w:t>
      </w:r>
      <w:r w:rsidRPr="00404DA5">
        <w:rPr>
          <w:rFonts w:cs="Calibri"/>
        </w:rPr>
        <w:t>ramach RPO WZ 2014-2020</w:t>
      </w:r>
      <w:r>
        <w:rPr>
          <w:rFonts w:cs="Calibri"/>
        </w:rPr>
        <w:t>,</w:t>
      </w:r>
      <w:r w:rsidRPr="00404DA5">
        <w:rPr>
          <w:rFonts w:cs="Calibri"/>
        </w:rPr>
        <w:t xml:space="preserve"> poprawie. Należy nadmienić, iż efekty realizacji wspartych</w:t>
      </w:r>
      <w:r>
        <w:rPr>
          <w:rFonts w:cs="Calibri"/>
        </w:rPr>
        <w:t xml:space="preserve"> -</w:t>
      </w:r>
      <w:r w:rsidR="00E66B89">
        <w:rPr>
          <w:rFonts w:cs="Calibri"/>
        </w:rPr>
        <w:t xml:space="preserve"> w </w:t>
      </w:r>
      <w:r w:rsidRPr="00404DA5">
        <w:rPr>
          <w:rFonts w:cs="Calibri"/>
        </w:rPr>
        <w:t>ramach PI 6b</w:t>
      </w:r>
      <w:r>
        <w:rPr>
          <w:rFonts w:cs="Calibri"/>
        </w:rPr>
        <w:t xml:space="preserve"> -</w:t>
      </w:r>
      <w:r w:rsidRPr="00404DA5">
        <w:rPr>
          <w:rFonts w:cs="Calibri"/>
        </w:rPr>
        <w:t xml:space="preserve"> projektów będą</w:t>
      </w:r>
      <w:r w:rsidR="00E66B89">
        <w:rPr>
          <w:rFonts w:cs="Calibri"/>
        </w:rPr>
        <w:t xml:space="preserve"> w </w:t>
      </w:r>
      <w:r w:rsidRPr="00404DA5">
        <w:rPr>
          <w:rFonts w:cs="Calibri"/>
        </w:rPr>
        <w:t>sporej części widoczne</w:t>
      </w:r>
      <w:r w:rsidR="00E66B89">
        <w:rPr>
          <w:rFonts w:cs="Calibri"/>
        </w:rPr>
        <w:t xml:space="preserve"> w </w:t>
      </w:r>
      <w:r w:rsidRPr="00404DA5">
        <w:rPr>
          <w:rFonts w:cs="Calibri"/>
        </w:rPr>
        <w:t>statystyce publicznej</w:t>
      </w:r>
      <w:r w:rsidR="00E66B89">
        <w:rPr>
          <w:rFonts w:cs="Calibri"/>
        </w:rPr>
        <w:t xml:space="preserve"> w </w:t>
      </w:r>
      <w:r w:rsidRPr="00404DA5">
        <w:rPr>
          <w:rFonts w:cs="Calibri"/>
        </w:rPr>
        <w:t>latach 2020-2021 (szczególnie wynika to</w:t>
      </w:r>
      <w:r w:rsidR="00E66B89">
        <w:rPr>
          <w:rFonts w:cs="Calibri"/>
        </w:rPr>
        <w:t xml:space="preserve"> z </w:t>
      </w:r>
      <w:r w:rsidRPr="00404DA5">
        <w:rPr>
          <w:rFonts w:cs="Calibri"/>
        </w:rPr>
        <w:t>naborów, które były prowadzone</w:t>
      </w:r>
      <w:r w:rsidR="00E66B89">
        <w:rPr>
          <w:rFonts w:cs="Calibri"/>
        </w:rPr>
        <w:t xml:space="preserve"> w </w:t>
      </w:r>
      <w:r w:rsidRPr="00404DA5">
        <w:rPr>
          <w:rFonts w:cs="Calibri"/>
        </w:rPr>
        <w:t>2018 r.). Aktualnie żaden</w:t>
      </w:r>
      <w:r w:rsidR="00E66B89">
        <w:rPr>
          <w:rFonts w:cs="Calibri"/>
        </w:rPr>
        <w:t xml:space="preserve"> z </w:t>
      </w:r>
      <w:r w:rsidRPr="00404DA5">
        <w:rPr>
          <w:rFonts w:cs="Calibri"/>
        </w:rPr>
        <w:t>projektów realizowanych</w:t>
      </w:r>
      <w:r w:rsidR="00E66B89">
        <w:rPr>
          <w:rFonts w:cs="Calibri"/>
        </w:rPr>
        <w:t xml:space="preserve"> w </w:t>
      </w:r>
      <w:r w:rsidRPr="00404DA5">
        <w:rPr>
          <w:rFonts w:cs="Calibri"/>
        </w:rPr>
        <w:t>ramach Działania 3.5 nie został jeszcze zakończony</w:t>
      </w:r>
      <w:r w:rsidR="00E66B89">
        <w:rPr>
          <w:rFonts w:cs="Calibri"/>
        </w:rPr>
        <w:t xml:space="preserve"> i </w:t>
      </w:r>
      <w:r w:rsidRPr="00404DA5">
        <w:rPr>
          <w:rFonts w:cs="Calibri"/>
        </w:rPr>
        <w:t>rozliczony, niewielka jest także liczba projektów zrealizowanych</w:t>
      </w:r>
      <w:r w:rsidR="00E66B89">
        <w:rPr>
          <w:rFonts w:cs="Calibri"/>
        </w:rPr>
        <w:t xml:space="preserve"> w </w:t>
      </w:r>
      <w:r w:rsidRPr="00404DA5">
        <w:rPr>
          <w:rFonts w:cs="Calibri"/>
        </w:rPr>
        <w:t>ramach Działania 3.6.</w:t>
      </w:r>
    </w:p>
    <w:p w14:paraId="11B8E052" w14:textId="77777777" w:rsidR="009D215A" w:rsidRPr="00404DA5" w:rsidRDefault="009D215A" w:rsidP="009D215A">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poniższego wykresu</w:t>
      </w:r>
      <w:r>
        <w:rPr>
          <w:rFonts w:cs="Calibri"/>
          <w:szCs w:val="20"/>
        </w:rPr>
        <w:t>,</w:t>
      </w:r>
      <w:r w:rsidRPr="00404DA5">
        <w:rPr>
          <w:rFonts w:cs="Calibri"/>
          <w:szCs w:val="20"/>
        </w:rPr>
        <w:t xml:space="preserve"> diagnoza RPO została trafnie postawiona (dysproporcja pomiędzy objęciem mieszkańców województwa zachodniopomorskiego siecią kanalizacji sanitarnej na obszarach miejskich</w:t>
      </w:r>
      <w:r w:rsidR="00E66B89">
        <w:rPr>
          <w:rFonts w:cs="Calibri"/>
          <w:szCs w:val="20"/>
        </w:rPr>
        <w:t xml:space="preserve"> i </w:t>
      </w:r>
      <w:r w:rsidRPr="00404DA5">
        <w:rPr>
          <w:rFonts w:cs="Calibri"/>
          <w:szCs w:val="20"/>
        </w:rPr>
        <w:t>wiejskich). Wsparcie</w:t>
      </w:r>
      <w:r w:rsidR="00E66B89">
        <w:rPr>
          <w:rFonts w:cs="Calibri"/>
          <w:szCs w:val="20"/>
        </w:rPr>
        <w:t xml:space="preserve"> w </w:t>
      </w:r>
      <w:r w:rsidRPr="00404DA5">
        <w:rPr>
          <w:rFonts w:cs="Calibri"/>
          <w:szCs w:val="20"/>
        </w:rPr>
        <w:t>ramach RPO WZ 2014-2020</w:t>
      </w:r>
      <w:r>
        <w:rPr>
          <w:rFonts w:cs="Calibri"/>
          <w:szCs w:val="20"/>
        </w:rPr>
        <w:t>,</w:t>
      </w:r>
      <w:r w:rsidRPr="00404DA5">
        <w:rPr>
          <w:rFonts w:cs="Calibri"/>
          <w:szCs w:val="20"/>
        </w:rPr>
        <w:t xml:space="preserve"> zgodnie</w:t>
      </w:r>
      <w:r w:rsidR="00E66B89">
        <w:rPr>
          <w:rFonts w:cs="Calibri"/>
          <w:szCs w:val="20"/>
        </w:rPr>
        <w:t xml:space="preserve"> z </w:t>
      </w:r>
      <w:r w:rsidRPr="00404DA5">
        <w:rPr>
          <w:rFonts w:cs="Calibri"/>
          <w:szCs w:val="20"/>
        </w:rPr>
        <w:t>przyjętą linią demarkacji</w:t>
      </w:r>
      <w:r>
        <w:rPr>
          <w:rFonts w:cs="Calibri"/>
          <w:szCs w:val="20"/>
        </w:rPr>
        <w:t>,</w:t>
      </w:r>
      <w:r w:rsidRPr="00404DA5">
        <w:rPr>
          <w:rFonts w:cs="Calibri"/>
          <w:szCs w:val="20"/>
        </w:rPr>
        <w:t xml:space="preserve"> kierowane jest na obszary od 2 do 10 tys. RLM.</w:t>
      </w:r>
    </w:p>
    <w:p w14:paraId="7C82588A" w14:textId="77777777" w:rsidR="009D215A" w:rsidRPr="00404DA5" w:rsidRDefault="009D215A" w:rsidP="006E34DC">
      <w:pPr>
        <w:pStyle w:val="Legenda"/>
        <w:spacing w:after="0"/>
      </w:pPr>
      <w:bookmarkStart w:id="95" w:name="_Toc8824144"/>
      <w:r w:rsidRPr="00404DA5">
        <w:t xml:space="preserve">Wykres </w:t>
      </w:r>
      <w:r>
        <w:fldChar w:fldCharType="begin"/>
      </w:r>
      <w:r>
        <w:instrText xml:space="preserve"> SEQ Tabela \* ARABIC </w:instrText>
      </w:r>
      <w:r>
        <w:fldChar w:fldCharType="separate"/>
      </w:r>
      <w:r w:rsidR="00763345">
        <w:rPr>
          <w:noProof/>
        </w:rPr>
        <w:t>33</w:t>
      </w:r>
      <w:r>
        <w:fldChar w:fldCharType="end"/>
      </w:r>
      <w:r w:rsidRPr="00404DA5">
        <w:t xml:space="preserve"> Odsetek ludności korzystających</w:t>
      </w:r>
      <w:r w:rsidR="00E66B89">
        <w:t xml:space="preserve"> z </w:t>
      </w:r>
      <w:r w:rsidRPr="00404DA5">
        <w:t>kanalizacji</w:t>
      </w:r>
      <w:r w:rsidR="00E66B89">
        <w:t xml:space="preserve"> w </w:t>
      </w:r>
      <w:r w:rsidRPr="00404DA5">
        <w:t>województwie zachodniopomorskim (lata 2002-2017)</w:t>
      </w:r>
      <w:bookmarkEnd w:id="95"/>
    </w:p>
    <w:p w14:paraId="2F8BB386" w14:textId="418D84C2" w:rsidR="009D215A" w:rsidRPr="005076BF" w:rsidRDefault="00C35619" w:rsidP="00CF71F2">
      <w:pPr>
        <w:spacing w:before="0" w:after="0"/>
        <w:rPr>
          <w:i/>
          <w:sz w:val="16"/>
          <w:szCs w:val="20"/>
        </w:rPr>
      </w:pPr>
      <w:r w:rsidRPr="005076BF">
        <w:rPr>
          <w:i/>
          <w:noProof/>
          <w:sz w:val="16"/>
          <w:szCs w:val="20"/>
        </w:rPr>
        <w:drawing>
          <wp:inline distT="0" distB="0" distL="0" distR="0" wp14:anchorId="64632E95" wp14:editId="77C45212">
            <wp:extent cx="5762625" cy="3228975"/>
            <wp:effectExtent l="0" t="0" r="9525" b="9525"/>
            <wp:docPr id="35"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72EC3B"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5CDD5106" w14:textId="77777777" w:rsidR="009D215A" w:rsidRPr="00404DA5" w:rsidRDefault="009D215A" w:rsidP="009D215A">
      <w:pPr>
        <w:rPr>
          <w:rFonts w:cs="Calibri"/>
          <w:szCs w:val="20"/>
        </w:rPr>
      </w:pPr>
      <w:r w:rsidRPr="00404DA5">
        <w:rPr>
          <w:rFonts w:cs="Calibri"/>
          <w:szCs w:val="20"/>
        </w:rPr>
        <w:t>Województwo zachodniopomorskie należy do liderów jeśli chodzi</w:t>
      </w:r>
      <w:r w:rsidR="00E66B89">
        <w:rPr>
          <w:rFonts w:cs="Calibri"/>
          <w:szCs w:val="20"/>
        </w:rPr>
        <w:t xml:space="preserve"> o </w:t>
      </w:r>
      <w:r w:rsidRPr="00404DA5">
        <w:rPr>
          <w:rFonts w:cs="Calibri"/>
          <w:szCs w:val="20"/>
        </w:rPr>
        <w:t>stopień skanalizowania regionu.</w:t>
      </w:r>
      <w:r w:rsidR="00E66B89">
        <w:rPr>
          <w:rFonts w:cs="Calibri"/>
          <w:szCs w:val="20"/>
        </w:rPr>
        <w:t xml:space="preserve"> O </w:t>
      </w:r>
      <w:r w:rsidRPr="00404DA5">
        <w:rPr>
          <w:rFonts w:cs="Calibri"/>
          <w:szCs w:val="20"/>
        </w:rPr>
        <w:t>ile stopień skanalizowania województwa</w:t>
      </w:r>
      <w:r w:rsidR="00E66B89">
        <w:rPr>
          <w:rFonts w:cs="Calibri"/>
          <w:szCs w:val="20"/>
        </w:rPr>
        <w:t xml:space="preserve"> w </w:t>
      </w:r>
      <w:r w:rsidRPr="00404DA5">
        <w:rPr>
          <w:rFonts w:cs="Calibri"/>
          <w:szCs w:val="20"/>
        </w:rPr>
        <w:t>miastach jest zasadniczo zbliżony na terenie całego kraju,</w:t>
      </w:r>
      <w:r w:rsidR="00E66B89">
        <w:rPr>
          <w:rFonts w:cs="Calibri"/>
          <w:szCs w:val="20"/>
        </w:rPr>
        <w:t xml:space="preserve"> o </w:t>
      </w:r>
      <w:r w:rsidRPr="00404DA5">
        <w:rPr>
          <w:rFonts w:cs="Calibri"/>
          <w:szCs w:val="20"/>
        </w:rPr>
        <w:t>tyle sytuacja</w:t>
      </w:r>
      <w:r w:rsidR="00E66B89">
        <w:rPr>
          <w:rFonts w:cs="Calibri"/>
          <w:szCs w:val="20"/>
        </w:rPr>
        <w:t xml:space="preserve"> w </w:t>
      </w:r>
      <w:r w:rsidRPr="00404DA5">
        <w:rPr>
          <w:rFonts w:cs="Calibri"/>
          <w:szCs w:val="20"/>
        </w:rPr>
        <w:t>regionach jest diametralnie zróżnicowana</w:t>
      </w:r>
      <w:r w:rsidR="00E66B89">
        <w:rPr>
          <w:rFonts w:cs="Calibri"/>
          <w:szCs w:val="20"/>
        </w:rPr>
        <w:t xml:space="preserve"> w </w:t>
      </w:r>
      <w:r w:rsidRPr="00404DA5">
        <w:rPr>
          <w:rFonts w:cs="Calibri"/>
          <w:szCs w:val="20"/>
        </w:rPr>
        <w:t>zakresie obszarów wiejskich.</w:t>
      </w:r>
      <w:r w:rsidR="00E66B89">
        <w:rPr>
          <w:rFonts w:cs="Calibri"/>
          <w:szCs w:val="20"/>
        </w:rPr>
        <w:t xml:space="preserve"> W </w:t>
      </w:r>
      <w:r w:rsidRPr="00404DA5">
        <w:rPr>
          <w:rFonts w:cs="Calibri"/>
          <w:szCs w:val="20"/>
        </w:rPr>
        <w:t>2017 r. odsetek ludności korzystających</w:t>
      </w:r>
      <w:r w:rsidR="00E66B89">
        <w:rPr>
          <w:rFonts w:cs="Calibri"/>
          <w:szCs w:val="20"/>
        </w:rPr>
        <w:t xml:space="preserve"> z </w:t>
      </w:r>
      <w:r w:rsidRPr="00404DA5">
        <w:rPr>
          <w:rFonts w:cs="Calibri"/>
          <w:szCs w:val="20"/>
        </w:rPr>
        <w:t>kanalizacji</w:t>
      </w:r>
      <w:r w:rsidR="00E66B89">
        <w:rPr>
          <w:rFonts w:cs="Calibri"/>
          <w:szCs w:val="20"/>
        </w:rPr>
        <w:t xml:space="preserve"> w </w:t>
      </w:r>
      <w:r w:rsidRPr="00404DA5">
        <w:rPr>
          <w:rFonts w:cs="Calibri"/>
          <w:szCs w:val="20"/>
        </w:rPr>
        <w:t xml:space="preserve">Polsce wyniósł ok. 40,8% (w tym zakresie województwo zachodniopomorskie ze wskaźnikiem 57,5% ustępuje miejsca wyłącznie regionowi pomorskiemu, który może pochwalić się 62,1% poziomem realizacji tego wskaźnika). </w:t>
      </w:r>
      <w:r>
        <w:rPr>
          <w:rFonts w:cs="Calibri"/>
          <w:szCs w:val="20"/>
        </w:rPr>
        <w:t>S</w:t>
      </w:r>
      <w:r w:rsidRPr="00404DA5">
        <w:rPr>
          <w:rFonts w:cs="Calibri"/>
          <w:szCs w:val="20"/>
        </w:rPr>
        <w:t>ytuacja</w:t>
      </w:r>
      <w:r>
        <w:rPr>
          <w:rFonts w:cs="Calibri"/>
          <w:szCs w:val="20"/>
        </w:rPr>
        <w:t xml:space="preserve"> ta</w:t>
      </w:r>
      <w:r w:rsidRPr="00404DA5">
        <w:rPr>
          <w:rFonts w:cs="Calibri"/>
          <w:szCs w:val="20"/>
        </w:rPr>
        <w:t xml:space="preserve"> przekłada się na ogólny </w:t>
      </w:r>
      <w:r w:rsidRPr="00404DA5">
        <w:rPr>
          <w:rFonts w:cs="Calibri"/>
          <w:szCs w:val="20"/>
        </w:rPr>
        <w:lastRenderedPageBreak/>
        <w:t>poziom skanalizowania mieszkańców (średnia dla kraju wynosi 70,5%, województwo zachodniopomorskie</w:t>
      </w:r>
      <w:r>
        <w:rPr>
          <w:rFonts w:cs="Calibri"/>
          <w:szCs w:val="20"/>
        </w:rPr>
        <w:t xml:space="preserve"> -</w:t>
      </w:r>
      <w:r w:rsidRPr="00404DA5">
        <w:rPr>
          <w:rFonts w:cs="Calibri"/>
          <w:szCs w:val="20"/>
        </w:rPr>
        <w:t xml:space="preserve"> 81%, województwo pomorskie</w:t>
      </w:r>
      <w:r>
        <w:rPr>
          <w:rFonts w:cs="Calibri"/>
          <w:szCs w:val="20"/>
        </w:rPr>
        <w:t xml:space="preserve"> -</w:t>
      </w:r>
      <w:r w:rsidRPr="00404DA5">
        <w:rPr>
          <w:rFonts w:cs="Calibri"/>
          <w:szCs w:val="20"/>
        </w:rPr>
        <w:t xml:space="preserve"> 83,1%).</w:t>
      </w:r>
    </w:p>
    <w:p w14:paraId="317A38DC" w14:textId="77777777" w:rsidR="009D215A" w:rsidRPr="00404DA5" w:rsidRDefault="009D215A" w:rsidP="009D215A">
      <w:pPr>
        <w:rPr>
          <w:rFonts w:cs="Calibri"/>
          <w:szCs w:val="20"/>
        </w:rPr>
      </w:pPr>
      <w:r w:rsidRPr="00404DA5">
        <w:rPr>
          <w:rFonts w:cs="Calibri"/>
          <w:szCs w:val="20"/>
        </w:rPr>
        <w:t>W opisywanym zakresie ważna jest też dysproporcja pomiędzy objęciem mieszkańców województwa siecią wodociągową</w:t>
      </w:r>
      <w:r>
        <w:rPr>
          <w:rFonts w:cs="Calibri"/>
          <w:szCs w:val="20"/>
        </w:rPr>
        <w:t xml:space="preserve"> oraz</w:t>
      </w:r>
      <w:r w:rsidRPr="00404DA5">
        <w:rPr>
          <w:rFonts w:cs="Calibri"/>
          <w:szCs w:val="20"/>
        </w:rPr>
        <w:t xml:space="preserve"> kanalizacyjną (średnia dla kraju za 2017 r. wyniosła 21,5%, zaś dla województwa zachodniopomorskiego zaledwie 15,3% - co należy podkreślić, przy wysokim stopniu zwodociągowania). Przykładowo </w:t>
      </w:r>
      <w:r>
        <w:rPr>
          <w:rFonts w:cs="Calibri"/>
          <w:szCs w:val="20"/>
        </w:rPr>
        <w:t>województwo</w:t>
      </w:r>
      <w:r w:rsidRPr="00404DA5">
        <w:rPr>
          <w:rFonts w:cs="Calibri"/>
          <w:szCs w:val="20"/>
        </w:rPr>
        <w:t xml:space="preserve"> podkarpacki</w:t>
      </w:r>
      <w:r>
        <w:rPr>
          <w:rFonts w:cs="Calibri"/>
          <w:szCs w:val="20"/>
        </w:rPr>
        <w:t>e</w:t>
      </w:r>
      <w:r w:rsidRPr="00404DA5">
        <w:rPr>
          <w:rFonts w:cs="Calibri"/>
          <w:szCs w:val="20"/>
        </w:rPr>
        <w:t xml:space="preserve"> również może pochwalić się niską dysproporcją pomiędzy </w:t>
      </w:r>
      <w:r>
        <w:rPr>
          <w:rFonts w:cs="Calibri"/>
          <w:szCs w:val="20"/>
        </w:rPr>
        <w:t xml:space="preserve">objęciem mieszkańców </w:t>
      </w:r>
      <w:r w:rsidRPr="00404DA5">
        <w:rPr>
          <w:rFonts w:cs="Calibri"/>
          <w:szCs w:val="20"/>
        </w:rPr>
        <w:t>siecią kanalizacyjną</w:t>
      </w:r>
      <w:r w:rsidR="00E66B89">
        <w:rPr>
          <w:rFonts w:cs="Calibri"/>
          <w:szCs w:val="20"/>
        </w:rPr>
        <w:t xml:space="preserve"> a </w:t>
      </w:r>
      <w:r w:rsidRPr="00404DA5">
        <w:rPr>
          <w:rFonts w:cs="Calibri"/>
          <w:szCs w:val="20"/>
        </w:rPr>
        <w:t xml:space="preserve">wodociągową </w:t>
      </w:r>
      <w:r>
        <w:rPr>
          <w:rFonts w:cs="Calibri"/>
          <w:szCs w:val="20"/>
        </w:rPr>
        <w:t>(różnica wynosi ok.</w:t>
      </w:r>
      <w:r w:rsidRPr="00404DA5">
        <w:rPr>
          <w:rFonts w:cs="Calibri"/>
          <w:szCs w:val="20"/>
        </w:rPr>
        <w:t xml:space="preserve"> 11,2%</w:t>
      </w:r>
      <w:r>
        <w:rPr>
          <w:rFonts w:cs="Calibri"/>
          <w:szCs w:val="20"/>
        </w:rPr>
        <w:t>)</w:t>
      </w:r>
      <w:r w:rsidRPr="00404DA5">
        <w:rPr>
          <w:rFonts w:cs="Calibri"/>
          <w:szCs w:val="20"/>
        </w:rPr>
        <w:t>, ale tam poziom zwodociągowania jest</w:t>
      </w:r>
      <w:r>
        <w:rPr>
          <w:rFonts w:cs="Calibri"/>
          <w:szCs w:val="20"/>
        </w:rPr>
        <w:t xml:space="preserve"> relatywnie</w:t>
      </w:r>
      <w:r w:rsidRPr="00404DA5">
        <w:rPr>
          <w:rFonts w:cs="Calibri"/>
          <w:szCs w:val="20"/>
        </w:rPr>
        <w:t xml:space="preserve"> niski</w:t>
      </w:r>
      <w:r w:rsidR="00E66B89">
        <w:rPr>
          <w:rFonts w:cs="Calibri"/>
          <w:szCs w:val="20"/>
        </w:rPr>
        <w:t xml:space="preserve"> i w </w:t>
      </w:r>
      <w:r w:rsidRPr="00404DA5">
        <w:rPr>
          <w:rFonts w:cs="Calibri"/>
          <w:szCs w:val="20"/>
        </w:rPr>
        <w:t>2017 r. wyniósł 81%</w:t>
      </w:r>
      <w:r>
        <w:rPr>
          <w:rFonts w:cs="Calibri"/>
          <w:szCs w:val="20"/>
        </w:rPr>
        <w:t xml:space="preserve"> (średnia dla kraju: 92%</w:t>
      </w:r>
      <w:r w:rsidRPr="00404DA5">
        <w:rPr>
          <w:rFonts w:cs="Calibri"/>
          <w:szCs w:val="20"/>
        </w:rPr>
        <w:t>).</w:t>
      </w:r>
      <w:r w:rsidR="00E66B89">
        <w:rPr>
          <w:rFonts w:cs="Calibri"/>
          <w:szCs w:val="20"/>
        </w:rPr>
        <w:t xml:space="preserve"> W </w:t>
      </w:r>
      <w:r w:rsidRPr="00404DA5">
        <w:rPr>
          <w:rFonts w:cs="Calibri"/>
          <w:szCs w:val="20"/>
        </w:rPr>
        <w:t>województwie zachodniopomorskim</w:t>
      </w:r>
      <w:r w:rsidR="00E66B89">
        <w:rPr>
          <w:rFonts w:cs="Calibri"/>
          <w:szCs w:val="20"/>
        </w:rPr>
        <w:t xml:space="preserve"> w </w:t>
      </w:r>
      <w:r w:rsidRPr="00404DA5">
        <w:rPr>
          <w:rFonts w:cs="Calibri"/>
          <w:szCs w:val="20"/>
        </w:rPr>
        <w:t>dalszym ciągu aktualnym wyzwaniem pozostaje zmniejszenie różnic</w:t>
      </w:r>
      <w:r w:rsidR="00E66B89">
        <w:rPr>
          <w:rFonts w:cs="Calibri"/>
          <w:szCs w:val="20"/>
        </w:rPr>
        <w:t xml:space="preserve"> w </w:t>
      </w:r>
      <w:r w:rsidRPr="00404DA5">
        <w:rPr>
          <w:rFonts w:cs="Calibri"/>
          <w:szCs w:val="20"/>
        </w:rPr>
        <w:t>stopniu zwodociągowania</w:t>
      </w:r>
      <w:r w:rsidR="00E66B89">
        <w:rPr>
          <w:rFonts w:cs="Calibri"/>
          <w:szCs w:val="20"/>
        </w:rPr>
        <w:t xml:space="preserve"> i </w:t>
      </w:r>
      <w:r w:rsidRPr="00404DA5">
        <w:rPr>
          <w:rFonts w:cs="Calibri"/>
          <w:szCs w:val="20"/>
        </w:rPr>
        <w:t>skanalizowania gmin.</w:t>
      </w:r>
    </w:p>
    <w:p w14:paraId="38E4160E" w14:textId="77777777" w:rsidR="009D215A" w:rsidRPr="00404DA5" w:rsidRDefault="009D215A" w:rsidP="006E34DC">
      <w:pPr>
        <w:pStyle w:val="Legenda"/>
        <w:spacing w:after="0"/>
      </w:pPr>
      <w:bookmarkStart w:id="96" w:name="_Toc8824145"/>
      <w:r w:rsidRPr="00404DA5">
        <w:t xml:space="preserve">Wykres </w:t>
      </w:r>
      <w:r>
        <w:fldChar w:fldCharType="begin"/>
      </w:r>
      <w:r>
        <w:instrText xml:space="preserve"> SEQ Tabela \* ARABIC </w:instrText>
      </w:r>
      <w:r>
        <w:fldChar w:fldCharType="separate"/>
      </w:r>
      <w:r w:rsidR="00763345">
        <w:rPr>
          <w:noProof/>
        </w:rPr>
        <w:t>34</w:t>
      </w:r>
      <w:r>
        <w:fldChar w:fldCharType="end"/>
      </w:r>
      <w:r w:rsidRPr="00404DA5">
        <w:t xml:space="preserve"> Odsetek ludności korzystających</w:t>
      </w:r>
      <w:r w:rsidR="00E66B89">
        <w:t xml:space="preserve"> z </w:t>
      </w:r>
      <w:r w:rsidRPr="00404DA5">
        <w:t>wodociągów</w:t>
      </w:r>
      <w:r w:rsidR="00E66B89">
        <w:t xml:space="preserve"> w </w:t>
      </w:r>
      <w:r w:rsidRPr="00404DA5">
        <w:t>województwie zachodniopomorskim (lata 2002-2017)</w:t>
      </w:r>
      <w:bookmarkEnd w:id="96"/>
    </w:p>
    <w:p w14:paraId="212EF187" w14:textId="5A35E9AD" w:rsidR="009D215A" w:rsidRPr="00404DA5" w:rsidRDefault="00C35619" w:rsidP="00CF71F2">
      <w:pPr>
        <w:spacing w:before="0" w:after="0"/>
        <w:rPr>
          <w:rFonts w:cs="Calibri"/>
          <w:szCs w:val="20"/>
        </w:rPr>
      </w:pPr>
      <w:r w:rsidRPr="00D508B6">
        <w:rPr>
          <w:noProof/>
        </w:rPr>
        <w:drawing>
          <wp:inline distT="0" distB="0" distL="0" distR="0" wp14:anchorId="4BFEE6E4" wp14:editId="54A610BB">
            <wp:extent cx="5753100" cy="2638425"/>
            <wp:effectExtent l="0" t="0" r="0" b="9525"/>
            <wp:docPr id="36" name="Wykre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F484BD"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5F94FF14" w14:textId="77777777" w:rsidR="009D215A" w:rsidRPr="00404DA5" w:rsidRDefault="009D215A" w:rsidP="009D215A">
      <w:pPr>
        <w:rPr>
          <w:rFonts w:cs="Calibri"/>
          <w:szCs w:val="20"/>
        </w:rPr>
      </w:pPr>
      <w:r>
        <w:rPr>
          <w:rFonts w:cs="Calibri"/>
          <w:szCs w:val="20"/>
        </w:rPr>
        <w:t>W odniesieniu do</w:t>
      </w:r>
      <w:r w:rsidRPr="00404DA5">
        <w:rPr>
          <w:rFonts w:cs="Calibri"/>
          <w:szCs w:val="20"/>
        </w:rPr>
        <w:t xml:space="preserve"> poziom</w:t>
      </w:r>
      <w:r>
        <w:rPr>
          <w:rFonts w:cs="Calibri"/>
          <w:szCs w:val="20"/>
        </w:rPr>
        <w:t>u</w:t>
      </w:r>
      <w:r w:rsidRPr="00404DA5">
        <w:rPr>
          <w:rFonts w:cs="Calibri"/>
          <w:szCs w:val="20"/>
        </w:rPr>
        <w:t xml:space="preserve"> zwodociągowania gmin</w:t>
      </w:r>
      <w:r>
        <w:rPr>
          <w:rFonts w:cs="Calibri"/>
          <w:szCs w:val="20"/>
        </w:rPr>
        <w:t>,</w:t>
      </w:r>
      <w:r w:rsidRPr="00404DA5">
        <w:rPr>
          <w:rFonts w:cs="Calibri"/>
          <w:szCs w:val="20"/>
        </w:rPr>
        <w:t xml:space="preserve"> województwo zachodniopomorskie</w:t>
      </w:r>
      <w:r>
        <w:rPr>
          <w:rFonts w:cs="Calibri"/>
          <w:szCs w:val="20"/>
        </w:rPr>
        <w:t xml:space="preserve"> także</w:t>
      </w:r>
      <w:r w:rsidRPr="00404DA5">
        <w:rPr>
          <w:rFonts w:cs="Calibri"/>
          <w:szCs w:val="20"/>
        </w:rPr>
        <w:t xml:space="preserve"> należy do krajowej czołówki (średnia dla kraju wyniosła za 2017 r. 92%, zaś</w:t>
      </w:r>
      <w:r w:rsidR="00E66B89">
        <w:rPr>
          <w:rFonts w:cs="Calibri"/>
          <w:szCs w:val="20"/>
        </w:rPr>
        <w:t xml:space="preserve"> w </w:t>
      </w:r>
      <w:r w:rsidRPr="00404DA5">
        <w:rPr>
          <w:rFonts w:cs="Calibri"/>
          <w:szCs w:val="20"/>
        </w:rPr>
        <w:t>zachodniopomorskim 96,3</w:t>
      </w:r>
      <w:r>
        <w:rPr>
          <w:rFonts w:cs="Calibri"/>
          <w:szCs w:val="20"/>
        </w:rPr>
        <w:t>%</w:t>
      </w:r>
      <w:r w:rsidRPr="00404DA5">
        <w:rPr>
          <w:rFonts w:cs="Calibri"/>
          <w:szCs w:val="20"/>
        </w:rPr>
        <w:t>). Województwo zachodniopomorskie nieznacznie ustępuje</w:t>
      </w:r>
      <w:r w:rsidR="00E66B89">
        <w:rPr>
          <w:rFonts w:cs="Calibri"/>
          <w:szCs w:val="20"/>
        </w:rPr>
        <w:t xml:space="preserve"> w </w:t>
      </w:r>
      <w:r w:rsidRPr="00404DA5">
        <w:rPr>
          <w:rFonts w:cs="Calibri"/>
          <w:szCs w:val="20"/>
        </w:rPr>
        <w:t>zakresie tego wskaźnika dwóm regionom: opolskiemu (96,9%)</w:t>
      </w:r>
      <w:r w:rsidR="00E66B89">
        <w:rPr>
          <w:rFonts w:cs="Calibri"/>
          <w:szCs w:val="20"/>
        </w:rPr>
        <w:t xml:space="preserve"> i </w:t>
      </w:r>
      <w:r w:rsidRPr="00404DA5">
        <w:rPr>
          <w:rFonts w:cs="Calibri"/>
          <w:szCs w:val="20"/>
        </w:rPr>
        <w:t>wielkopolskiemu (96,5%) będąc na równi</w:t>
      </w:r>
      <w:r w:rsidR="00E66B89">
        <w:rPr>
          <w:rFonts w:cs="Calibri"/>
          <w:szCs w:val="20"/>
        </w:rPr>
        <w:t xml:space="preserve"> z </w:t>
      </w:r>
      <w:r w:rsidRPr="00404DA5">
        <w:rPr>
          <w:rFonts w:cs="Calibri"/>
          <w:szCs w:val="20"/>
        </w:rPr>
        <w:t>województwem pomorskim (96,3%).</w:t>
      </w:r>
    </w:p>
    <w:p w14:paraId="720A99D9" w14:textId="77777777" w:rsidR="009D215A" w:rsidRPr="00404DA5" w:rsidRDefault="009D215A" w:rsidP="006E34DC">
      <w:pPr>
        <w:pStyle w:val="Legenda"/>
        <w:spacing w:after="0"/>
      </w:pPr>
      <w:bookmarkStart w:id="97" w:name="_Toc8824146"/>
      <w:r w:rsidRPr="00404DA5">
        <w:t xml:space="preserve">Wykres </w:t>
      </w:r>
      <w:r>
        <w:fldChar w:fldCharType="begin"/>
      </w:r>
      <w:r>
        <w:instrText xml:space="preserve"> SEQ Tabela \* ARABIC </w:instrText>
      </w:r>
      <w:r>
        <w:fldChar w:fldCharType="separate"/>
      </w:r>
      <w:r w:rsidR="00763345">
        <w:rPr>
          <w:noProof/>
        </w:rPr>
        <w:t>35</w:t>
      </w:r>
      <w:r>
        <w:fldChar w:fldCharType="end"/>
      </w:r>
      <w:r w:rsidRPr="00404DA5">
        <w:t xml:space="preserve"> Ludność korzystająca</w:t>
      </w:r>
      <w:r w:rsidR="00E66B89">
        <w:t xml:space="preserve"> z </w:t>
      </w:r>
      <w:r w:rsidRPr="00404DA5">
        <w:t xml:space="preserve">oczyszczalni </w:t>
      </w:r>
      <w:r>
        <w:t>ścieków województwie zachodniopomorskim</w:t>
      </w:r>
      <w:r w:rsidR="00E66B89">
        <w:t xml:space="preserve"> w </w:t>
      </w:r>
      <w:r w:rsidRPr="00404DA5">
        <w:t>% ogólnej liczby ludności (lata 2002-2017).</w:t>
      </w:r>
      <w:bookmarkEnd w:id="97"/>
    </w:p>
    <w:p w14:paraId="1BBD1624" w14:textId="4BBC84D9" w:rsidR="009D215A" w:rsidRPr="00404DA5" w:rsidRDefault="00C35619" w:rsidP="00CF71F2">
      <w:pPr>
        <w:spacing w:before="0" w:after="0"/>
        <w:rPr>
          <w:rFonts w:cs="Calibri"/>
          <w:szCs w:val="20"/>
        </w:rPr>
      </w:pPr>
      <w:r w:rsidRPr="00D508B6">
        <w:rPr>
          <w:noProof/>
        </w:rPr>
        <w:drawing>
          <wp:inline distT="0" distB="0" distL="0" distR="0" wp14:anchorId="0CEC8DBA" wp14:editId="74671141">
            <wp:extent cx="5762625" cy="2305878"/>
            <wp:effectExtent l="0" t="0" r="0" b="0"/>
            <wp:docPr id="37" name="Wykres 17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0723BE"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6CF3007E" w14:textId="77777777" w:rsidR="009D215A" w:rsidRPr="00404DA5" w:rsidRDefault="009D215A" w:rsidP="009D215A">
      <w:pPr>
        <w:rPr>
          <w:rFonts w:cs="Calibri"/>
          <w:szCs w:val="20"/>
        </w:rPr>
      </w:pPr>
      <w:r w:rsidRPr="00404DA5">
        <w:rPr>
          <w:rFonts w:cs="Calibri"/>
          <w:szCs w:val="20"/>
        </w:rPr>
        <w:lastRenderedPageBreak/>
        <w:t>Pomimo, iż sytuacja</w:t>
      </w:r>
      <w:r w:rsidR="00E66B89">
        <w:rPr>
          <w:rFonts w:cs="Calibri"/>
          <w:szCs w:val="20"/>
        </w:rPr>
        <w:t xml:space="preserve"> w </w:t>
      </w:r>
      <w:r w:rsidRPr="00404DA5">
        <w:rPr>
          <w:rFonts w:cs="Calibri"/>
          <w:szCs w:val="20"/>
        </w:rPr>
        <w:t>województwie zachodniopomorskim</w:t>
      </w:r>
      <w:r>
        <w:rPr>
          <w:rFonts w:cs="Calibri"/>
          <w:szCs w:val="20"/>
        </w:rPr>
        <w:t xml:space="preserve"> -</w:t>
      </w:r>
      <w:r w:rsidR="00E66B89">
        <w:rPr>
          <w:rFonts w:cs="Calibri"/>
          <w:szCs w:val="20"/>
        </w:rPr>
        <w:t xml:space="preserve"> w </w:t>
      </w:r>
      <w:r w:rsidRPr="00404DA5">
        <w:rPr>
          <w:rFonts w:cs="Calibri"/>
          <w:szCs w:val="20"/>
        </w:rPr>
        <w:t>porównaniu do innych województw</w:t>
      </w:r>
      <w:r>
        <w:rPr>
          <w:rFonts w:cs="Calibri"/>
          <w:szCs w:val="20"/>
        </w:rPr>
        <w:t xml:space="preserve"> -</w:t>
      </w:r>
      <w:r w:rsidR="00E66B89">
        <w:rPr>
          <w:rFonts w:cs="Calibri"/>
          <w:szCs w:val="20"/>
        </w:rPr>
        <w:t xml:space="preserve"> w </w:t>
      </w:r>
      <w:r w:rsidRPr="00404DA5">
        <w:rPr>
          <w:rFonts w:cs="Calibri"/>
          <w:szCs w:val="20"/>
        </w:rPr>
        <w:t>zakresie odsetka ludności korzystającej</w:t>
      </w:r>
      <w:r w:rsidR="00E66B89">
        <w:rPr>
          <w:rFonts w:cs="Calibri"/>
          <w:szCs w:val="20"/>
        </w:rPr>
        <w:t xml:space="preserve"> z </w:t>
      </w:r>
      <w:r w:rsidRPr="00404DA5">
        <w:rPr>
          <w:rFonts w:cs="Calibri"/>
          <w:szCs w:val="20"/>
        </w:rPr>
        <w:t>oczyszczalni ścieków jest bardzo korzystna, to</w:t>
      </w:r>
      <w:r w:rsidR="00E66B89">
        <w:rPr>
          <w:rFonts w:cs="Calibri"/>
          <w:szCs w:val="20"/>
        </w:rPr>
        <w:t xml:space="preserve"> w </w:t>
      </w:r>
      <w:r w:rsidRPr="00404DA5">
        <w:rPr>
          <w:rFonts w:cs="Calibri"/>
          <w:szCs w:val="20"/>
        </w:rPr>
        <w:t>dalszym ciągu wymagane jest dążenie do zwiększenia tego współczynnika (szczególnie na obszarach wiejskich).</w:t>
      </w:r>
      <w:r w:rsidR="00E66B89">
        <w:rPr>
          <w:rFonts w:cs="Calibri"/>
          <w:szCs w:val="20"/>
        </w:rPr>
        <w:t xml:space="preserve"> W </w:t>
      </w:r>
      <w:r w:rsidRPr="00404DA5">
        <w:rPr>
          <w:rFonts w:cs="Calibri"/>
          <w:szCs w:val="20"/>
        </w:rPr>
        <w:t>dalszym ciągu</w:t>
      </w:r>
      <w:r w:rsidR="00E66B89">
        <w:rPr>
          <w:rFonts w:cs="Calibri"/>
          <w:szCs w:val="20"/>
        </w:rPr>
        <w:t xml:space="preserve"> w </w:t>
      </w:r>
      <w:r w:rsidRPr="00404DA5">
        <w:rPr>
          <w:rFonts w:cs="Calibri"/>
          <w:szCs w:val="20"/>
        </w:rPr>
        <w:t>ramach PI 6b aktualne pozostają następujące cele</w:t>
      </w:r>
      <w:r w:rsidR="00E66B89">
        <w:rPr>
          <w:rFonts w:cs="Calibri"/>
          <w:szCs w:val="20"/>
        </w:rPr>
        <w:t xml:space="preserve"> i </w:t>
      </w:r>
      <w:r w:rsidRPr="00404DA5">
        <w:rPr>
          <w:rFonts w:cs="Calibri"/>
          <w:szCs w:val="20"/>
        </w:rPr>
        <w:t>wyzwania</w:t>
      </w:r>
      <w:r w:rsidR="00E66B89">
        <w:rPr>
          <w:rFonts w:cs="Calibri"/>
          <w:szCs w:val="20"/>
        </w:rPr>
        <w:t xml:space="preserve"> z </w:t>
      </w:r>
      <w:r w:rsidRPr="00404DA5">
        <w:rPr>
          <w:rFonts w:cs="Calibri"/>
          <w:szCs w:val="20"/>
        </w:rPr>
        <w:t xml:space="preserve">zakresu: </w:t>
      </w:r>
    </w:p>
    <w:p w14:paraId="4166E51F" w14:textId="77777777" w:rsidR="009D215A" w:rsidRPr="00404DA5" w:rsidRDefault="009D215A" w:rsidP="00093E14">
      <w:pPr>
        <w:pStyle w:val="Akapitzlist"/>
        <w:numPr>
          <w:ilvl w:val="0"/>
          <w:numId w:val="57"/>
        </w:numPr>
        <w:spacing w:after="120" w:line="288" w:lineRule="auto"/>
        <w:rPr>
          <w:rFonts w:ascii="Lato" w:hAnsi="Lato" w:cs="Calibri"/>
          <w:sz w:val="20"/>
          <w:szCs w:val="20"/>
        </w:rPr>
      </w:pPr>
      <w:r w:rsidRPr="00404DA5">
        <w:rPr>
          <w:rFonts w:ascii="Lato" w:hAnsi="Lato" w:cs="Calibri"/>
          <w:sz w:val="20"/>
          <w:szCs w:val="20"/>
        </w:rPr>
        <w:t>zwiększenia odsetka ludności korzystającej</w:t>
      </w:r>
      <w:r w:rsidR="00E66B89">
        <w:rPr>
          <w:rFonts w:ascii="Lato" w:hAnsi="Lato" w:cs="Calibri"/>
          <w:sz w:val="20"/>
          <w:szCs w:val="20"/>
        </w:rPr>
        <w:t xml:space="preserve"> z </w:t>
      </w:r>
      <w:r w:rsidRPr="00404DA5">
        <w:rPr>
          <w:rFonts w:ascii="Lato" w:hAnsi="Lato" w:cs="Calibri"/>
          <w:sz w:val="20"/>
          <w:szCs w:val="20"/>
        </w:rPr>
        <w:t>systemu oczyszczania ścieków zgodnego</w:t>
      </w:r>
      <w:r w:rsidR="00E66B89">
        <w:rPr>
          <w:rFonts w:ascii="Lato" w:hAnsi="Lato" w:cs="Calibri"/>
          <w:sz w:val="20"/>
          <w:szCs w:val="20"/>
        </w:rPr>
        <w:t xml:space="preserve"> z </w:t>
      </w:r>
      <w:r w:rsidRPr="00404DA5">
        <w:rPr>
          <w:rFonts w:ascii="Lato" w:hAnsi="Lato" w:cs="Calibri"/>
          <w:sz w:val="20"/>
          <w:szCs w:val="20"/>
        </w:rPr>
        <w:t>dyrektywą dotyczącą ścieków komunalnych;</w:t>
      </w:r>
    </w:p>
    <w:p w14:paraId="2370C023" w14:textId="77777777" w:rsidR="009D215A" w:rsidRPr="00404DA5" w:rsidRDefault="009D215A" w:rsidP="00093E14">
      <w:pPr>
        <w:pStyle w:val="Akapitzlist"/>
        <w:numPr>
          <w:ilvl w:val="0"/>
          <w:numId w:val="57"/>
        </w:numPr>
        <w:spacing w:after="120" w:line="288" w:lineRule="auto"/>
        <w:rPr>
          <w:rFonts w:ascii="Lato" w:hAnsi="Lato" w:cs="Calibri"/>
          <w:sz w:val="20"/>
          <w:szCs w:val="20"/>
        </w:rPr>
      </w:pPr>
      <w:r w:rsidRPr="00404DA5">
        <w:rPr>
          <w:rFonts w:ascii="Lato" w:hAnsi="Lato" w:cs="Calibri"/>
          <w:sz w:val="20"/>
          <w:szCs w:val="20"/>
        </w:rPr>
        <w:t>budowy, modernizacji</w:t>
      </w:r>
      <w:r w:rsidR="00E66B89">
        <w:rPr>
          <w:rFonts w:ascii="Lato" w:hAnsi="Lato" w:cs="Calibri"/>
          <w:sz w:val="20"/>
          <w:szCs w:val="20"/>
        </w:rPr>
        <w:t xml:space="preserve"> i </w:t>
      </w:r>
      <w:r w:rsidRPr="00404DA5">
        <w:rPr>
          <w:rFonts w:ascii="Lato" w:hAnsi="Lato" w:cs="Calibri"/>
          <w:sz w:val="20"/>
          <w:szCs w:val="20"/>
        </w:rPr>
        <w:t>renowacji sieci kanalizacyjnych, bądź podniesienie parametrów funkcjonującej infrastruktury;</w:t>
      </w:r>
    </w:p>
    <w:p w14:paraId="3787CB71" w14:textId="77777777" w:rsidR="009D215A" w:rsidRPr="00404DA5" w:rsidRDefault="009D215A" w:rsidP="00093E14">
      <w:pPr>
        <w:pStyle w:val="Akapitzlist"/>
        <w:numPr>
          <w:ilvl w:val="0"/>
          <w:numId w:val="57"/>
        </w:numPr>
        <w:spacing w:after="120" w:line="288" w:lineRule="auto"/>
        <w:rPr>
          <w:rFonts w:ascii="Lato" w:hAnsi="Lato" w:cs="Calibri"/>
          <w:sz w:val="20"/>
          <w:szCs w:val="20"/>
        </w:rPr>
      </w:pPr>
      <w:r w:rsidRPr="00404DA5">
        <w:rPr>
          <w:rFonts w:ascii="Lato" w:hAnsi="Lato" w:cs="Calibri"/>
          <w:sz w:val="20"/>
          <w:szCs w:val="20"/>
        </w:rPr>
        <w:t>poprawy jakości</w:t>
      </w:r>
      <w:r w:rsidR="00E66B89">
        <w:rPr>
          <w:rFonts w:ascii="Lato" w:hAnsi="Lato" w:cs="Calibri"/>
          <w:sz w:val="20"/>
          <w:szCs w:val="20"/>
        </w:rPr>
        <w:t xml:space="preserve"> i </w:t>
      </w:r>
      <w:r w:rsidRPr="00404DA5">
        <w:rPr>
          <w:rFonts w:ascii="Lato" w:hAnsi="Lato" w:cs="Calibri"/>
          <w:sz w:val="20"/>
          <w:szCs w:val="20"/>
        </w:rPr>
        <w:t>dostępności do zaopatrzenia</w:t>
      </w:r>
      <w:r w:rsidR="00E66B89">
        <w:rPr>
          <w:rFonts w:ascii="Lato" w:hAnsi="Lato" w:cs="Calibri"/>
          <w:sz w:val="20"/>
          <w:szCs w:val="20"/>
        </w:rPr>
        <w:t xml:space="preserve"> w </w:t>
      </w:r>
      <w:r w:rsidRPr="00404DA5">
        <w:rPr>
          <w:rFonts w:ascii="Lato" w:hAnsi="Lato" w:cs="Calibri"/>
          <w:sz w:val="20"/>
          <w:szCs w:val="20"/>
        </w:rPr>
        <w:t>wodę</w:t>
      </w:r>
      <w:r w:rsidR="00E66B89">
        <w:rPr>
          <w:rFonts w:ascii="Lato" w:hAnsi="Lato" w:cs="Calibri"/>
          <w:sz w:val="20"/>
          <w:szCs w:val="20"/>
        </w:rPr>
        <w:t xml:space="preserve"> w </w:t>
      </w:r>
      <w:r w:rsidRPr="00404DA5">
        <w:rPr>
          <w:rFonts w:ascii="Lato" w:hAnsi="Lato" w:cs="Calibri"/>
          <w:sz w:val="20"/>
          <w:szCs w:val="20"/>
        </w:rPr>
        <w:t>województwie zachodniopomorskim.</w:t>
      </w:r>
    </w:p>
    <w:p w14:paraId="6F9487E3" w14:textId="77777777" w:rsidR="009D215A" w:rsidRPr="00404DA5" w:rsidRDefault="009D215A" w:rsidP="009D215A">
      <w:pPr>
        <w:rPr>
          <w:rFonts w:cs="Calibri"/>
          <w:szCs w:val="20"/>
        </w:rPr>
      </w:pPr>
      <w:r w:rsidRPr="00404DA5">
        <w:rPr>
          <w:rFonts w:cs="Calibri"/>
          <w:szCs w:val="20"/>
        </w:rPr>
        <w:t>Wsparcie</w:t>
      </w:r>
      <w:r w:rsidR="00E66B89">
        <w:rPr>
          <w:rFonts w:cs="Calibri"/>
          <w:szCs w:val="20"/>
        </w:rPr>
        <w:t xml:space="preserve"> w </w:t>
      </w:r>
      <w:r w:rsidRPr="00404DA5">
        <w:rPr>
          <w:rFonts w:cs="Calibri"/>
          <w:szCs w:val="20"/>
        </w:rPr>
        <w:t>powyższym zakresie przyczyniać się będzie do podniesienia jakości życia mieszkańców, jak również ochrony stanu środowiska naturalnego,</w:t>
      </w:r>
      <w:r w:rsidR="00E66B89">
        <w:rPr>
          <w:rFonts w:cs="Calibri"/>
          <w:szCs w:val="20"/>
        </w:rPr>
        <w:t xml:space="preserve"> w </w:t>
      </w:r>
      <w:r w:rsidRPr="00404DA5">
        <w:rPr>
          <w:rFonts w:cs="Calibri"/>
          <w:szCs w:val="20"/>
        </w:rPr>
        <w:t xml:space="preserve">tym podziemnych zbiorników wodnych oraz akwenów powierzchniowych. </w:t>
      </w:r>
    </w:p>
    <w:p w14:paraId="302E0780" w14:textId="77777777" w:rsidR="000A20D0" w:rsidRPr="00404DA5" w:rsidRDefault="004D674A" w:rsidP="000A20D0">
      <w:pPr>
        <w:pStyle w:val="evaluTresc"/>
        <w:rPr>
          <w:b/>
          <w:i/>
          <w:color w:val="4F81BD"/>
        </w:rPr>
      </w:pPr>
      <w:r>
        <w:rPr>
          <w:b/>
          <w:i/>
          <w:color w:val="4F81BD"/>
        </w:rPr>
        <w:t>PI</w:t>
      </w:r>
      <w:r w:rsidR="000A20D0" w:rsidRPr="00404DA5">
        <w:rPr>
          <w:b/>
          <w:i/>
          <w:color w:val="4F81BD"/>
        </w:rPr>
        <w:t xml:space="preserve"> 6a </w:t>
      </w:r>
    </w:p>
    <w:p w14:paraId="70E29309" w14:textId="77777777" w:rsidR="009D215A" w:rsidRPr="00404DA5" w:rsidRDefault="009D215A" w:rsidP="009D215A">
      <w:pPr>
        <w:pStyle w:val="evaluTresc"/>
        <w:rPr>
          <w:rFonts w:cs="Calibri"/>
        </w:rPr>
      </w:pPr>
      <w:r w:rsidRPr="00404DA5">
        <w:rPr>
          <w:rFonts w:cs="Calibri"/>
        </w:rPr>
        <w:t>W ramach PI</w:t>
      </w:r>
      <w:r>
        <w:rPr>
          <w:rFonts w:cs="Calibri"/>
        </w:rPr>
        <w:t xml:space="preserve"> </w:t>
      </w:r>
      <w:r w:rsidRPr="00404DA5">
        <w:rPr>
          <w:rFonts w:cs="Calibri"/>
        </w:rPr>
        <w:t>6a</w:t>
      </w:r>
      <w:r w:rsidR="00E66B89">
        <w:rPr>
          <w:rFonts w:cs="Calibri"/>
        </w:rPr>
        <w:t xml:space="preserve"> w </w:t>
      </w:r>
      <w:r w:rsidRPr="00404DA5">
        <w:rPr>
          <w:rFonts w:cs="Calibri"/>
        </w:rPr>
        <w:t>ramach RPO WZ 2014-2020 wspierane są projekty prowadzące do poprawy sytuacji</w:t>
      </w:r>
      <w:r w:rsidR="00E66B89">
        <w:rPr>
          <w:rFonts w:cs="Calibri"/>
        </w:rPr>
        <w:t xml:space="preserve"> w </w:t>
      </w:r>
      <w:r w:rsidRPr="00404DA5">
        <w:rPr>
          <w:rFonts w:cs="Calibri"/>
        </w:rPr>
        <w:t>zakresie gospodarki odpadami (wzrost</w:t>
      </w:r>
      <w:r>
        <w:rPr>
          <w:rFonts w:cs="Calibri"/>
        </w:rPr>
        <w:t>u</w:t>
      </w:r>
      <w:r w:rsidRPr="00404DA5">
        <w:rPr>
          <w:rFonts w:cs="Calibri"/>
        </w:rPr>
        <w:t xml:space="preserve"> udziału odpadów zbieranych jako selektywne, zwiększenia odsetka odpadów podlegających odzyskowi,</w:t>
      </w:r>
      <w:r w:rsidR="00E66B89">
        <w:rPr>
          <w:rFonts w:cs="Calibri"/>
        </w:rPr>
        <w:t xml:space="preserve"> w </w:t>
      </w:r>
      <w:r w:rsidRPr="00404DA5">
        <w:rPr>
          <w:rFonts w:cs="Calibri"/>
        </w:rPr>
        <w:t>tym recyklingowi oraz ograniczeni</w:t>
      </w:r>
      <w:r>
        <w:rPr>
          <w:rFonts w:cs="Calibri"/>
        </w:rPr>
        <w:t>a</w:t>
      </w:r>
      <w:r w:rsidRPr="00404DA5">
        <w:rPr>
          <w:rFonts w:cs="Calibri"/>
        </w:rPr>
        <w:t xml:space="preserve"> masy odpadów kierowanych na składowiska – szczególnie</w:t>
      </w:r>
      <w:r w:rsidR="00E66B89">
        <w:rPr>
          <w:rFonts w:cs="Calibri"/>
        </w:rPr>
        <w:t xml:space="preserve"> w </w:t>
      </w:r>
      <w:r w:rsidRPr="00404DA5">
        <w:rPr>
          <w:rFonts w:cs="Calibri"/>
        </w:rPr>
        <w:t>zakresie odpadów ulegających biodegradacji). Ponadto wsparcie jest kierowane na budowę (przebudowę) zakładów oraz instalacji</w:t>
      </w:r>
      <w:r w:rsidR="00E66B89">
        <w:rPr>
          <w:rFonts w:cs="Calibri"/>
        </w:rPr>
        <w:t xml:space="preserve"> i </w:t>
      </w:r>
      <w:r w:rsidRPr="00404DA5">
        <w:rPr>
          <w:rFonts w:cs="Calibri"/>
        </w:rPr>
        <w:t>urządzeń odzysku, unieszkodliwiania odpadów innych niż komunalne oraz niebezpieczne, jak również kompleksowe oczyszczanie terenu</w:t>
      </w:r>
      <w:r w:rsidR="00E66B89">
        <w:rPr>
          <w:rFonts w:cs="Calibri"/>
        </w:rPr>
        <w:t xml:space="preserve"> z </w:t>
      </w:r>
      <w:r w:rsidRPr="00404DA5">
        <w:rPr>
          <w:rFonts w:cs="Calibri"/>
        </w:rPr>
        <w:t>odpadów zawierających azbest wraz</w:t>
      </w:r>
      <w:r w:rsidR="00E66B89">
        <w:rPr>
          <w:rFonts w:cs="Calibri"/>
        </w:rPr>
        <w:t xml:space="preserve"> z </w:t>
      </w:r>
      <w:r w:rsidRPr="00404DA5">
        <w:rPr>
          <w:rFonts w:cs="Calibri"/>
        </w:rPr>
        <w:t xml:space="preserve">zapewnieniem ich bezpiecznego unieszkodliwienia (budowa kwater na składowisku odpadów). </w:t>
      </w:r>
    </w:p>
    <w:p w14:paraId="3F2FC2CC" w14:textId="77777777" w:rsidR="009D215A" w:rsidRPr="00404DA5" w:rsidRDefault="009D215A" w:rsidP="009D215A">
      <w:pPr>
        <w:rPr>
          <w:rFonts w:cs="Calibri"/>
          <w:szCs w:val="20"/>
        </w:rPr>
      </w:pPr>
      <w:r w:rsidRPr="00404DA5">
        <w:rPr>
          <w:rFonts w:cs="Calibri"/>
          <w:szCs w:val="20"/>
        </w:rPr>
        <w:t>Pomimo, iż obserwowana sytuacja</w:t>
      </w:r>
      <w:r w:rsidR="00E66B89">
        <w:rPr>
          <w:rFonts w:cs="Calibri"/>
          <w:szCs w:val="20"/>
        </w:rPr>
        <w:t xml:space="preserve"> w </w:t>
      </w:r>
      <w:r w:rsidRPr="00404DA5">
        <w:rPr>
          <w:rFonts w:cs="Calibri"/>
          <w:szCs w:val="20"/>
        </w:rPr>
        <w:t>zakresie gospodarki odpadami komunalnymi</w:t>
      </w:r>
      <w:r w:rsidR="00E66B89">
        <w:rPr>
          <w:rFonts w:cs="Calibri"/>
          <w:szCs w:val="20"/>
        </w:rPr>
        <w:t xml:space="preserve"> z </w:t>
      </w:r>
      <w:r w:rsidRPr="00404DA5">
        <w:rPr>
          <w:rFonts w:cs="Calibri"/>
          <w:szCs w:val="20"/>
        </w:rPr>
        <w:t>roku na rok ulega poprawie</w:t>
      </w:r>
      <w:r>
        <w:rPr>
          <w:rFonts w:cs="Calibri"/>
          <w:szCs w:val="20"/>
        </w:rPr>
        <w:t>, to -</w:t>
      </w:r>
      <w:r w:rsidR="00E66B89">
        <w:rPr>
          <w:rFonts w:cs="Calibri"/>
          <w:szCs w:val="20"/>
        </w:rPr>
        <w:t xml:space="preserve"> z </w:t>
      </w:r>
      <w:r w:rsidRPr="00404DA5">
        <w:rPr>
          <w:rFonts w:cs="Calibri"/>
          <w:szCs w:val="20"/>
        </w:rPr>
        <w:t>uwagi na rosnące wymagania</w:t>
      </w:r>
      <w:r w:rsidR="00E66B89">
        <w:rPr>
          <w:rFonts w:cs="Calibri"/>
          <w:szCs w:val="20"/>
        </w:rPr>
        <w:t xml:space="preserve"> w </w:t>
      </w:r>
      <w:r w:rsidRPr="00404DA5">
        <w:rPr>
          <w:rFonts w:cs="Calibri"/>
          <w:szCs w:val="20"/>
        </w:rPr>
        <w:t>przedmiotowym zakresie</w:t>
      </w:r>
      <w:r>
        <w:rPr>
          <w:rFonts w:cs="Calibri"/>
          <w:szCs w:val="20"/>
        </w:rPr>
        <w:t xml:space="preserve"> -</w:t>
      </w:r>
      <w:r w:rsidRPr="00404DA5">
        <w:rPr>
          <w:rFonts w:cs="Calibri"/>
          <w:szCs w:val="20"/>
        </w:rPr>
        <w:t xml:space="preserve"> wszystkie potrzeby zidentyfikowane na etapie programowania RPO WZ 2014-2020 pozostają aktualne.</w:t>
      </w:r>
    </w:p>
    <w:p w14:paraId="2650CFC6" w14:textId="77777777" w:rsidR="009D215A" w:rsidRPr="00404DA5" w:rsidRDefault="009D215A" w:rsidP="009D215A">
      <w:pPr>
        <w:rPr>
          <w:rFonts w:cs="Calibri"/>
          <w:szCs w:val="20"/>
        </w:rPr>
      </w:pPr>
      <w:r w:rsidRPr="00404DA5">
        <w:rPr>
          <w:rFonts w:cs="Calibri"/>
          <w:szCs w:val="20"/>
        </w:rPr>
        <w:t>Poniżej przedstawiono jakie zmiany istotne dla gospodarowania odpadami komunalnymi zachodziły</w:t>
      </w:r>
      <w:r w:rsidR="00E66B89">
        <w:rPr>
          <w:rFonts w:cs="Calibri"/>
          <w:szCs w:val="20"/>
        </w:rPr>
        <w:t xml:space="preserve"> w </w:t>
      </w:r>
      <w:r w:rsidRPr="00404DA5">
        <w:rPr>
          <w:rFonts w:cs="Calibri"/>
          <w:szCs w:val="20"/>
        </w:rPr>
        <w:t>województwie zachodniopomorskim na przestrzeni ostatnich lat</w:t>
      </w:r>
      <w:r>
        <w:rPr>
          <w:rFonts w:cs="Calibri"/>
          <w:szCs w:val="20"/>
        </w:rPr>
        <w:t xml:space="preserve"> (uwagę należy zwrócić na duży wzrost liczby ludności pomiędzy rokiem 2009</w:t>
      </w:r>
      <w:r w:rsidR="00E66B89">
        <w:rPr>
          <w:rFonts w:cs="Calibri"/>
          <w:szCs w:val="20"/>
        </w:rPr>
        <w:t xml:space="preserve"> a </w:t>
      </w:r>
      <w:r>
        <w:rPr>
          <w:rFonts w:cs="Calibri"/>
          <w:szCs w:val="20"/>
        </w:rPr>
        <w:t>2010)</w:t>
      </w:r>
      <w:r w:rsidRPr="00404DA5">
        <w:rPr>
          <w:rFonts w:cs="Calibri"/>
          <w:szCs w:val="20"/>
        </w:rPr>
        <w:t>.</w:t>
      </w:r>
      <w:r w:rsidR="00E66B89">
        <w:rPr>
          <w:rFonts w:cs="Calibri"/>
          <w:szCs w:val="20"/>
        </w:rPr>
        <w:t xml:space="preserve"> Z </w:t>
      </w:r>
      <w:r w:rsidRPr="00404DA5">
        <w:rPr>
          <w:rFonts w:cs="Calibri"/>
          <w:szCs w:val="20"/>
        </w:rPr>
        <w:t xml:space="preserve">perspektywy wyzwań </w:t>
      </w:r>
      <w:r>
        <w:rPr>
          <w:rFonts w:cs="Calibri"/>
          <w:szCs w:val="20"/>
        </w:rPr>
        <w:t>dotyczących</w:t>
      </w:r>
      <w:r w:rsidRPr="00404DA5">
        <w:rPr>
          <w:rFonts w:cs="Calibri"/>
          <w:szCs w:val="20"/>
        </w:rPr>
        <w:t xml:space="preserve"> gospodarowania odpadami komunalnymi </w:t>
      </w:r>
      <w:r>
        <w:rPr>
          <w:rFonts w:cs="Calibri"/>
          <w:szCs w:val="20"/>
        </w:rPr>
        <w:t xml:space="preserve">ważna jest </w:t>
      </w:r>
      <w:r w:rsidRPr="00404DA5">
        <w:rPr>
          <w:rFonts w:cs="Calibri"/>
          <w:szCs w:val="20"/>
        </w:rPr>
        <w:t>liczba ludności</w:t>
      </w:r>
      <w:r>
        <w:rPr>
          <w:rFonts w:cs="Calibri"/>
          <w:szCs w:val="20"/>
        </w:rPr>
        <w:t xml:space="preserve"> oraz poziom jakości życia</w:t>
      </w:r>
      <w:r w:rsidR="00E66B89">
        <w:rPr>
          <w:rFonts w:cs="Calibri"/>
          <w:szCs w:val="20"/>
        </w:rPr>
        <w:t xml:space="preserve"> i </w:t>
      </w:r>
      <w:r>
        <w:rPr>
          <w:rFonts w:cs="Calibri"/>
          <w:szCs w:val="20"/>
        </w:rPr>
        <w:t xml:space="preserve">rozwoju społeczno-gospodarczego. Miernikiem jakości życia może być </w:t>
      </w:r>
      <w:r w:rsidRPr="00404DA5">
        <w:rPr>
          <w:rFonts w:cs="Calibri"/>
          <w:szCs w:val="20"/>
        </w:rPr>
        <w:t>wzrastając</w:t>
      </w:r>
      <w:r>
        <w:rPr>
          <w:rFonts w:cs="Calibri"/>
          <w:szCs w:val="20"/>
        </w:rPr>
        <w:t xml:space="preserve">a </w:t>
      </w:r>
      <w:r w:rsidRPr="00404DA5">
        <w:rPr>
          <w:rFonts w:cs="Calibri"/>
          <w:szCs w:val="20"/>
        </w:rPr>
        <w:t>wartość przeciętnego dochodu rozporządzalnego na 1 osobę. Te dwa wybrane wskaźniki pokazują, iż masa odpadów komunalnych</w:t>
      </w:r>
      <w:r w:rsidR="00E66B89">
        <w:rPr>
          <w:rFonts w:cs="Calibri"/>
          <w:szCs w:val="20"/>
        </w:rPr>
        <w:t xml:space="preserve"> w </w:t>
      </w:r>
      <w:r w:rsidRPr="00404DA5">
        <w:rPr>
          <w:rFonts w:cs="Calibri"/>
          <w:szCs w:val="20"/>
        </w:rPr>
        <w:t>województwie zachodniopomorskim może</w:t>
      </w:r>
      <w:r w:rsidR="00E66B89">
        <w:rPr>
          <w:rFonts w:cs="Calibri"/>
          <w:szCs w:val="20"/>
        </w:rPr>
        <w:t xml:space="preserve"> w </w:t>
      </w:r>
      <w:r w:rsidRPr="00404DA5">
        <w:rPr>
          <w:rFonts w:cs="Calibri"/>
          <w:szCs w:val="20"/>
        </w:rPr>
        <w:t>dalszym ciągu wzrastać (konsumpcjonizm, rozwój społeczno</w:t>
      </w:r>
      <w:r>
        <w:rPr>
          <w:rFonts w:cs="Calibri"/>
          <w:szCs w:val="20"/>
        </w:rPr>
        <w:t>-</w:t>
      </w:r>
      <w:r w:rsidRPr="00404DA5">
        <w:rPr>
          <w:rFonts w:cs="Calibri"/>
          <w:szCs w:val="20"/>
        </w:rPr>
        <w:t xml:space="preserve">gospodarczy, zmiana stylu życia). </w:t>
      </w:r>
      <w:r>
        <w:rPr>
          <w:rFonts w:cs="Calibri"/>
          <w:szCs w:val="20"/>
        </w:rPr>
        <w:t>S</w:t>
      </w:r>
      <w:r w:rsidRPr="00404DA5">
        <w:rPr>
          <w:rFonts w:cs="Calibri"/>
          <w:szCs w:val="20"/>
        </w:rPr>
        <w:t xml:space="preserve">ystem gospodarki odpadami komunalnymi </w:t>
      </w:r>
      <w:r>
        <w:rPr>
          <w:rFonts w:cs="Calibri"/>
          <w:szCs w:val="20"/>
        </w:rPr>
        <w:t>musi być gotowy na wyzwania, jakie</w:t>
      </w:r>
      <w:r w:rsidRPr="00404DA5">
        <w:rPr>
          <w:rFonts w:cs="Calibri"/>
          <w:szCs w:val="20"/>
        </w:rPr>
        <w:t xml:space="preserve"> </w:t>
      </w:r>
      <w:r>
        <w:rPr>
          <w:rFonts w:cs="Calibri"/>
          <w:szCs w:val="20"/>
        </w:rPr>
        <w:t>są konsekwencją coraz to bardziej restrykcyjnych celów środowiskowych oraz zmian</w:t>
      </w:r>
      <w:r w:rsidR="00E66B89">
        <w:rPr>
          <w:rFonts w:cs="Calibri"/>
          <w:szCs w:val="20"/>
        </w:rPr>
        <w:t xml:space="preserve"> w </w:t>
      </w:r>
      <w:r>
        <w:rPr>
          <w:rFonts w:cs="Calibri"/>
          <w:szCs w:val="20"/>
        </w:rPr>
        <w:t>ilości oraz składzie morfologicznym odpadów komunalnych</w:t>
      </w:r>
      <w:r w:rsidRPr="00404DA5">
        <w:rPr>
          <w:rFonts w:cs="Calibri"/>
          <w:szCs w:val="20"/>
        </w:rPr>
        <w:t>. Wsparcie udzielone</w:t>
      </w:r>
      <w:r w:rsidR="00E66B89">
        <w:rPr>
          <w:rFonts w:cs="Calibri"/>
          <w:szCs w:val="20"/>
        </w:rPr>
        <w:t xml:space="preserve"> w </w:t>
      </w:r>
      <w:r w:rsidRPr="00404DA5">
        <w:rPr>
          <w:rFonts w:cs="Calibri"/>
          <w:szCs w:val="20"/>
        </w:rPr>
        <w:t>ramach PI6a</w:t>
      </w:r>
      <w:r w:rsidR="00E66B89">
        <w:rPr>
          <w:rFonts w:cs="Calibri"/>
          <w:szCs w:val="20"/>
        </w:rPr>
        <w:t xml:space="preserve"> w </w:t>
      </w:r>
      <w:r w:rsidRPr="00404DA5">
        <w:rPr>
          <w:rFonts w:cs="Calibri"/>
          <w:szCs w:val="20"/>
        </w:rPr>
        <w:t>istotny sposób będzie przyczyniało</w:t>
      </w:r>
      <w:r>
        <w:rPr>
          <w:rFonts w:cs="Calibri"/>
          <w:szCs w:val="20"/>
        </w:rPr>
        <w:t xml:space="preserve"> się do podniesienia jakości organizacji</w:t>
      </w:r>
      <w:r w:rsidR="00E66B89">
        <w:rPr>
          <w:rFonts w:cs="Calibri"/>
          <w:szCs w:val="20"/>
        </w:rPr>
        <w:t xml:space="preserve"> i </w:t>
      </w:r>
      <w:r>
        <w:rPr>
          <w:rFonts w:cs="Calibri"/>
          <w:szCs w:val="20"/>
        </w:rPr>
        <w:t>funkcjonowania tego systemu na terenie województwa zachodniopomorskiego</w:t>
      </w:r>
      <w:r w:rsidRPr="00404DA5">
        <w:rPr>
          <w:rFonts w:cs="Calibri"/>
          <w:szCs w:val="20"/>
        </w:rPr>
        <w:t>.</w:t>
      </w:r>
    </w:p>
    <w:p w14:paraId="053F933C" w14:textId="77777777" w:rsidR="009D215A" w:rsidRPr="00404DA5" w:rsidRDefault="009D215A" w:rsidP="006E34DC">
      <w:pPr>
        <w:pStyle w:val="Legenda"/>
        <w:spacing w:after="0"/>
      </w:pPr>
      <w:bookmarkStart w:id="98" w:name="_Toc8824147"/>
      <w:r w:rsidRPr="00404DA5">
        <w:lastRenderedPageBreak/>
        <w:t xml:space="preserve">Wykres </w:t>
      </w:r>
      <w:r>
        <w:fldChar w:fldCharType="begin"/>
      </w:r>
      <w:r>
        <w:instrText xml:space="preserve"> SEQ Tabela \* ARABIC </w:instrText>
      </w:r>
      <w:r>
        <w:fldChar w:fldCharType="separate"/>
      </w:r>
      <w:r w:rsidR="00763345">
        <w:rPr>
          <w:noProof/>
        </w:rPr>
        <w:t>36</w:t>
      </w:r>
      <w:r>
        <w:fldChar w:fldCharType="end"/>
      </w:r>
      <w:r w:rsidRPr="00404DA5">
        <w:t xml:space="preserve"> Wybrane mierniki do diagnozy sytuacji</w:t>
      </w:r>
      <w:r w:rsidR="00E66B89">
        <w:t xml:space="preserve"> w </w:t>
      </w:r>
      <w:r w:rsidRPr="00404DA5">
        <w:t>PI 6a</w:t>
      </w:r>
      <w:r w:rsidR="00E66B89">
        <w:t xml:space="preserve"> w </w:t>
      </w:r>
      <w:r w:rsidRPr="00404DA5">
        <w:t>latach 2005-2017 (liczba ludności</w:t>
      </w:r>
      <w:r w:rsidR="00E66B89">
        <w:t xml:space="preserve"> w </w:t>
      </w:r>
      <w:r w:rsidRPr="00404DA5">
        <w:t xml:space="preserve">województwie </w:t>
      </w:r>
      <w:r>
        <w:t xml:space="preserve">zachodniopomorskim </w:t>
      </w:r>
      <w:r w:rsidRPr="00404DA5">
        <w:t>oraz dochód rozporządzalny)</w:t>
      </w:r>
      <w:bookmarkEnd w:id="98"/>
    </w:p>
    <w:p w14:paraId="73001007" w14:textId="455ABEF9" w:rsidR="009D215A" w:rsidRPr="00404DA5" w:rsidRDefault="00C35619" w:rsidP="00CF71F2">
      <w:pPr>
        <w:spacing w:before="0" w:after="0"/>
        <w:rPr>
          <w:rFonts w:cs="Calibri"/>
        </w:rPr>
      </w:pPr>
      <w:r w:rsidRPr="00D508B6">
        <w:rPr>
          <w:noProof/>
        </w:rPr>
        <w:drawing>
          <wp:inline distT="0" distB="0" distL="0" distR="0" wp14:anchorId="6A05C454" wp14:editId="56F30D86">
            <wp:extent cx="5760085" cy="2713990"/>
            <wp:effectExtent l="0" t="0" r="12065" b="10160"/>
            <wp:docPr id="38" name="Wykres 17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73D553"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4ACBC9DD" w14:textId="77777777" w:rsidR="009D215A" w:rsidRPr="00404DA5" w:rsidRDefault="009D215A" w:rsidP="009D215A">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poniższego wykresu</w:t>
      </w:r>
      <w:r>
        <w:rPr>
          <w:rFonts w:cs="Calibri"/>
          <w:szCs w:val="20"/>
        </w:rPr>
        <w:t>,</w:t>
      </w:r>
      <w:r w:rsidRPr="00404DA5">
        <w:rPr>
          <w:rFonts w:cs="Calibri"/>
          <w:szCs w:val="20"/>
        </w:rPr>
        <w:t xml:space="preserve"> sytuacja</w:t>
      </w:r>
      <w:r w:rsidR="00E66B89">
        <w:rPr>
          <w:rFonts w:cs="Calibri"/>
          <w:szCs w:val="20"/>
        </w:rPr>
        <w:t xml:space="preserve"> w </w:t>
      </w:r>
      <w:r w:rsidRPr="00404DA5">
        <w:rPr>
          <w:rFonts w:cs="Calibri"/>
          <w:szCs w:val="20"/>
        </w:rPr>
        <w:t>zakresie gospodarowania odpadami komunalnymi</w:t>
      </w:r>
      <w:r w:rsidR="00E66B89">
        <w:rPr>
          <w:rFonts w:cs="Calibri"/>
          <w:szCs w:val="20"/>
        </w:rPr>
        <w:t xml:space="preserve"> w </w:t>
      </w:r>
      <w:r w:rsidRPr="00404DA5">
        <w:rPr>
          <w:rFonts w:cs="Calibri"/>
          <w:szCs w:val="20"/>
        </w:rPr>
        <w:t>województwie zachodniopomorskim ulega stopniowej poprawie (coraz bardziej widoczny jest rozdział masy odpadów zbieranych jako zmieszane</w:t>
      </w:r>
      <w:r w:rsidR="00E66B89">
        <w:rPr>
          <w:rFonts w:cs="Calibri"/>
          <w:szCs w:val="20"/>
        </w:rPr>
        <w:t xml:space="preserve"> w </w:t>
      </w:r>
      <w:r w:rsidRPr="00404DA5">
        <w:rPr>
          <w:rFonts w:cs="Calibri"/>
          <w:szCs w:val="20"/>
        </w:rPr>
        <w:t>ilości odpadów odebranych ogółem). Poniższy wykres potwierdza jednak to, iż</w:t>
      </w:r>
      <w:r w:rsidR="00E66B89">
        <w:rPr>
          <w:rFonts w:cs="Calibri"/>
          <w:szCs w:val="20"/>
        </w:rPr>
        <w:t xml:space="preserve"> w </w:t>
      </w:r>
      <w:r w:rsidRPr="00404DA5">
        <w:rPr>
          <w:rFonts w:cs="Calibri"/>
          <w:szCs w:val="20"/>
        </w:rPr>
        <w:t>ślad za rozwojem społeczno</w:t>
      </w:r>
      <w:r>
        <w:rPr>
          <w:rFonts w:cs="Calibri"/>
          <w:szCs w:val="20"/>
        </w:rPr>
        <w:t>-</w:t>
      </w:r>
      <w:r w:rsidRPr="00404DA5">
        <w:rPr>
          <w:rFonts w:cs="Calibri"/>
          <w:szCs w:val="20"/>
        </w:rPr>
        <w:t>gospodarczym regionu zwiększa się wolumen odpadów niezbędnych do zagospodarowania.</w:t>
      </w:r>
      <w:r w:rsidR="00E66B89">
        <w:rPr>
          <w:rFonts w:cs="Calibri"/>
          <w:szCs w:val="20"/>
        </w:rPr>
        <w:t xml:space="preserve"> W </w:t>
      </w:r>
      <w:r w:rsidRPr="00404DA5">
        <w:rPr>
          <w:rFonts w:cs="Calibri"/>
          <w:szCs w:val="20"/>
        </w:rPr>
        <w:t xml:space="preserve">tym zakresie pewien wpływ też ma niewątpliwe uszczelnianie systemu gospodarowania odpadami. </w:t>
      </w:r>
    </w:p>
    <w:p w14:paraId="070BEEAB" w14:textId="77777777" w:rsidR="009D215A" w:rsidRPr="00404DA5" w:rsidRDefault="009D215A" w:rsidP="009D215A">
      <w:pPr>
        <w:rPr>
          <w:rFonts w:cs="Calibri"/>
          <w:szCs w:val="20"/>
        </w:rPr>
      </w:pPr>
      <w:r w:rsidRPr="00404DA5">
        <w:rPr>
          <w:rFonts w:cs="Calibri"/>
          <w:szCs w:val="20"/>
        </w:rPr>
        <w:t>Na przestrzeni ostatnich kilku lat</w:t>
      </w:r>
      <w:r w:rsidR="00E66B89">
        <w:rPr>
          <w:rFonts w:cs="Calibri"/>
          <w:szCs w:val="20"/>
        </w:rPr>
        <w:t xml:space="preserve"> w </w:t>
      </w:r>
      <w:r w:rsidRPr="00404DA5">
        <w:rPr>
          <w:rFonts w:cs="Calibri"/>
          <w:szCs w:val="20"/>
        </w:rPr>
        <w:t>województwie zachodniopomorskim widoczn</w:t>
      </w:r>
      <w:r>
        <w:rPr>
          <w:rFonts w:cs="Calibri"/>
          <w:szCs w:val="20"/>
        </w:rPr>
        <w:t>y</w:t>
      </w:r>
      <w:r w:rsidRPr="00404DA5">
        <w:rPr>
          <w:rFonts w:cs="Calibri"/>
          <w:szCs w:val="20"/>
        </w:rPr>
        <w:t xml:space="preserve"> jest wzrost masy odpadów zebranych selektywnie.</w:t>
      </w:r>
    </w:p>
    <w:p w14:paraId="6FCFBF41" w14:textId="77777777" w:rsidR="009D215A" w:rsidRPr="00404DA5" w:rsidRDefault="009D215A" w:rsidP="006E34DC">
      <w:pPr>
        <w:pStyle w:val="Legenda"/>
        <w:spacing w:after="0"/>
      </w:pPr>
      <w:bookmarkStart w:id="99" w:name="_Toc8824148"/>
      <w:r w:rsidRPr="00404DA5">
        <w:t xml:space="preserve">Wykres </w:t>
      </w:r>
      <w:r>
        <w:fldChar w:fldCharType="begin"/>
      </w:r>
      <w:r>
        <w:instrText xml:space="preserve"> SEQ Tabela \* ARABIC </w:instrText>
      </w:r>
      <w:r>
        <w:fldChar w:fldCharType="separate"/>
      </w:r>
      <w:r w:rsidR="00763345">
        <w:rPr>
          <w:noProof/>
        </w:rPr>
        <w:t>37</w:t>
      </w:r>
      <w:r>
        <w:fldChar w:fldCharType="end"/>
      </w:r>
      <w:r w:rsidRPr="00404DA5">
        <w:t xml:space="preserve"> Masa zbieranych odpadów komunalnych ogółem</w:t>
      </w:r>
      <w:r w:rsidR="00E66B89">
        <w:t xml:space="preserve"> i </w:t>
      </w:r>
      <w:r w:rsidRPr="00404DA5">
        <w:t>zmieszanych</w:t>
      </w:r>
      <w:r w:rsidR="00E66B89">
        <w:t xml:space="preserve"> w </w:t>
      </w:r>
      <w:r w:rsidRPr="00404DA5">
        <w:t>latach 2005-2017</w:t>
      </w:r>
      <w:r w:rsidR="00E66B89">
        <w:t xml:space="preserve"> w </w:t>
      </w:r>
      <w:r>
        <w:t>województwie zachodniopomorskim</w:t>
      </w:r>
      <w:bookmarkEnd w:id="99"/>
    </w:p>
    <w:p w14:paraId="0FE9161B" w14:textId="2CDC557F" w:rsidR="009D215A" w:rsidRPr="00404DA5" w:rsidRDefault="00C35619" w:rsidP="00CF71F2">
      <w:pPr>
        <w:spacing w:before="0" w:after="0"/>
        <w:rPr>
          <w:rFonts w:cs="Calibri"/>
          <w:szCs w:val="20"/>
        </w:rPr>
      </w:pPr>
      <w:r w:rsidRPr="00D508B6">
        <w:rPr>
          <w:noProof/>
        </w:rPr>
        <w:drawing>
          <wp:inline distT="0" distB="0" distL="0" distR="0" wp14:anchorId="7A49A759" wp14:editId="584A1389">
            <wp:extent cx="5762625" cy="2362200"/>
            <wp:effectExtent l="0" t="0" r="9525" b="0"/>
            <wp:docPr id="39" name="Wykres 17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01B616"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68B3779B" w14:textId="77777777" w:rsidR="009D215A" w:rsidRPr="00404DA5" w:rsidRDefault="009D215A" w:rsidP="009D215A">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Wojewódzkim Planem Gospodarki Odpadami dla Województwa Zachodniopomorskiego na lata 2016-2022</w:t>
      </w:r>
      <w:r w:rsidR="00E66B89">
        <w:rPr>
          <w:rFonts w:cs="Calibri"/>
          <w:szCs w:val="20"/>
        </w:rPr>
        <w:t xml:space="preserve"> z </w:t>
      </w:r>
      <w:r w:rsidRPr="00404DA5">
        <w:rPr>
          <w:rFonts w:cs="Calibri"/>
          <w:szCs w:val="20"/>
        </w:rPr>
        <w:t>uwzględnieniem perspektywy na lata 2023-2028</w:t>
      </w:r>
      <w:r>
        <w:rPr>
          <w:rFonts w:cs="Calibri"/>
          <w:szCs w:val="20"/>
        </w:rPr>
        <w:t>,</w:t>
      </w:r>
      <w:r w:rsidRPr="00404DA5">
        <w:rPr>
          <w:rFonts w:cs="Calibri"/>
          <w:szCs w:val="20"/>
        </w:rPr>
        <w:t xml:space="preserve"> prognozowany jest wzrost masy wytwarzanych odpadów.</w:t>
      </w:r>
      <w:r w:rsidR="00E66B89">
        <w:rPr>
          <w:rFonts w:cs="Calibri"/>
          <w:szCs w:val="20"/>
        </w:rPr>
        <w:t xml:space="preserve"> W </w:t>
      </w:r>
      <w:r>
        <w:rPr>
          <w:rFonts w:cs="Calibri"/>
          <w:szCs w:val="20"/>
        </w:rPr>
        <w:t>W</w:t>
      </w:r>
      <w:r w:rsidRPr="00404DA5">
        <w:rPr>
          <w:rFonts w:cs="Calibri"/>
          <w:szCs w:val="20"/>
        </w:rPr>
        <w:t>PGO założono dwa scenariusze wzrostu masy wytwarzanych odpadów (wysoki</w:t>
      </w:r>
      <w:r>
        <w:rPr>
          <w:rFonts w:cs="Calibri"/>
          <w:szCs w:val="20"/>
        </w:rPr>
        <w:t xml:space="preserve"> -</w:t>
      </w:r>
      <w:r w:rsidRPr="00404DA5">
        <w:rPr>
          <w:rFonts w:cs="Calibri"/>
          <w:szCs w:val="20"/>
        </w:rPr>
        <w:t xml:space="preserve"> przewidujący wzrost 1%</w:t>
      </w:r>
      <w:r w:rsidR="00E66B89">
        <w:rPr>
          <w:rFonts w:cs="Calibri"/>
          <w:szCs w:val="20"/>
        </w:rPr>
        <w:t xml:space="preserve"> w </w:t>
      </w:r>
      <w:r w:rsidRPr="00404DA5">
        <w:rPr>
          <w:rFonts w:cs="Calibri"/>
          <w:szCs w:val="20"/>
        </w:rPr>
        <w:t>skali roku oraz niski</w:t>
      </w:r>
      <w:r>
        <w:rPr>
          <w:rFonts w:cs="Calibri"/>
          <w:szCs w:val="20"/>
        </w:rPr>
        <w:t xml:space="preserve"> -</w:t>
      </w:r>
      <w:r w:rsidRPr="00404DA5">
        <w:rPr>
          <w:rFonts w:cs="Calibri"/>
          <w:szCs w:val="20"/>
        </w:rPr>
        <w:t xml:space="preserve"> zakładający wzrost ok. 0,6% rocznie). Jak pokazuje praktyka rzeczywisty wzrost masy wytwarzanych odpadów cechuje dużo większa dynamika </w:t>
      </w:r>
      <w:r w:rsidRPr="00404DA5">
        <w:rPr>
          <w:rFonts w:cs="Calibri"/>
          <w:szCs w:val="20"/>
        </w:rPr>
        <w:lastRenderedPageBreak/>
        <w:t>(nawet ok. 5%). Prognozuje się, iż</w:t>
      </w:r>
      <w:r w:rsidR="00E66B89">
        <w:rPr>
          <w:rFonts w:cs="Calibri"/>
          <w:szCs w:val="20"/>
        </w:rPr>
        <w:t xml:space="preserve"> w </w:t>
      </w:r>
      <w:r w:rsidRPr="00404DA5">
        <w:rPr>
          <w:rFonts w:cs="Calibri"/>
          <w:szCs w:val="20"/>
        </w:rPr>
        <w:t>kolejnych latach masa odpadów zbieranych ogółem będzie jeszcze wzrastała (choć może już nie tak dynamicznie jak</w:t>
      </w:r>
      <w:r w:rsidR="00E66B89">
        <w:rPr>
          <w:rFonts w:cs="Calibri"/>
          <w:szCs w:val="20"/>
        </w:rPr>
        <w:t xml:space="preserve"> w </w:t>
      </w:r>
      <w:r w:rsidRPr="00404DA5">
        <w:rPr>
          <w:rFonts w:cs="Calibri"/>
          <w:szCs w:val="20"/>
        </w:rPr>
        <w:t>latach 2013-2017). Prognozuje się stopniową stabilizację masy odpadów odbieranych jako zmieszane,</w:t>
      </w:r>
      <w:r w:rsidR="00E66B89">
        <w:rPr>
          <w:rFonts w:cs="Calibri"/>
          <w:szCs w:val="20"/>
        </w:rPr>
        <w:t xml:space="preserve"> a w </w:t>
      </w:r>
      <w:r>
        <w:rPr>
          <w:rFonts w:cs="Calibri"/>
          <w:szCs w:val="20"/>
        </w:rPr>
        <w:t>dalszej</w:t>
      </w:r>
      <w:r w:rsidRPr="00404DA5">
        <w:rPr>
          <w:rFonts w:cs="Calibri"/>
          <w:szCs w:val="20"/>
        </w:rPr>
        <w:t xml:space="preserve"> perspektywie spadek (kosztem wzrostu masy odpadów zbieranych selektywnie).</w:t>
      </w:r>
    </w:p>
    <w:p w14:paraId="48005AD6" w14:textId="77777777" w:rsidR="009D215A" w:rsidRPr="00404DA5" w:rsidRDefault="009D215A" w:rsidP="009D215A">
      <w:pPr>
        <w:rPr>
          <w:rFonts w:cs="Calibri"/>
          <w:szCs w:val="20"/>
        </w:rPr>
      </w:pPr>
      <w:r w:rsidRPr="00404DA5">
        <w:rPr>
          <w:rFonts w:cs="Calibri"/>
          <w:szCs w:val="20"/>
        </w:rPr>
        <w:t>Z powyższymi wskaźnikami wiąże się także masa odpadów</w:t>
      </w:r>
      <w:r>
        <w:rPr>
          <w:rFonts w:cs="Calibri"/>
          <w:szCs w:val="20"/>
        </w:rPr>
        <w:t>,</w:t>
      </w:r>
      <w:r w:rsidRPr="00404DA5">
        <w:rPr>
          <w:rFonts w:cs="Calibri"/>
          <w:szCs w:val="20"/>
        </w:rPr>
        <w:t xml:space="preserve"> jaka jest kierowana do składowania. Im więcej odpadów komunalnych jest zbieranych</w:t>
      </w:r>
      <w:r w:rsidR="00E66B89">
        <w:rPr>
          <w:rFonts w:cs="Calibri"/>
          <w:szCs w:val="20"/>
        </w:rPr>
        <w:t xml:space="preserve"> w </w:t>
      </w:r>
      <w:r w:rsidRPr="00404DA5">
        <w:rPr>
          <w:rFonts w:cs="Calibri"/>
          <w:szCs w:val="20"/>
        </w:rPr>
        <w:t xml:space="preserve">sposób selektywny, im lepszym procesom przetwarzania są </w:t>
      </w:r>
      <w:r>
        <w:rPr>
          <w:rFonts w:cs="Calibri"/>
          <w:szCs w:val="20"/>
        </w:rPr>
        <w:t xml:space="preserve">one </w:t>
      </w:r>
      <w:r w:rsidRPr="00404DA5">
        <w:rPr>
          <w:rFonts w:cs="Calibri"/>
          <w:szCs w:val="20"/>
        </w:rPr>
        <w:t>poddawane, tym większa jest możliwość skierowania ich do odzysku</w:t>
      </w:r>
      <w:r w:rsidR="00E66B89">
        <w:rPr>
          <w:rFonts w:cs="Calibri"/>
          <w:szCs w:val="20"/>
        </w:rPr>
        <w:t xml:space="preserve"> i </w:t>
      </w:r>
      <w:r w:rsidRPr="00404DA5">
        <w:rPr>
          <w:rFonts w:cs="Calibri"/>
          <w:szCs w:val="20"/>
        </w:rPr>
        <w:t>recyklingu,</w:t>
      </w:r>
      <w:r w:rsidR="00E66B89">
        <w:rPr>
          <w:rFonts w:cs="Calibri"/>
          <w:szCs w:val="20"/>
        </w:rPr>
        <w:t xml:space="preserve"> a </w:t>
      </w:r>
      <w:r w:rsidRPr="00404DA5">
        <w:rPr>
          <w:rFonts w:cs="Calibri"/>
          <w:szCs w:val="20"/>
        </w:rPr>
        <w:t>tym samym ograniczenia masy odpadów podlegających składowaniu. Również</w:t>
      </w:r>
      <w:r w:rsidR="00E66B89">
        <w:rPr>
          <w:rFonts w:cs="Calibri"/>
          <w:szCs w:val="20"/>
        </w:rPr>
        <w:t xml:space="preserve"> w </w:t>
      </w:r>
      <w:r w:rsidRPr="00404DA5">
        <w:rPr>
          <w:rFonts w:cs="Calibri"/>
          <w:szCs w:val="20"/>
        </w:rPr>
        <w:t>zakresie tego wskaźnika prognozuje się dalszy stopniowy spadek udziału masy składowanych odpadów</w:t>
      </w:r>
      <w:r w:rsidR="00E66B89">
        <w:rPr>
          <w:rFonts w:cs="Calibri"/>
          <w:szCs w:val="20"/>
        </w:rPr>
        <w:t xml:space="preserve"> w </w:t>
      </w:r>
      <w:r w:rsidRPr="00404DA5">
        <w:rPr>
          <w:rFonts w:cs="Calibri"/>
          <w:szCs w:val="20"/>
        </w:rPr>
        <w:t>masie odpadów zebranych (szczególnie, iż na terenie województwa zachodniopomorskiego funkcjonuje instalacja do termicznego przetwarzania odpadów komunalnych).</w:t>
      </w:r>
    </w:p>
    <w:p w14:paraId="50A9A24D" w14:textId="77777777" w:rsidR="009D215A" w:rsidRPr="00404DA5" w:rsidRDefault="009D215A" w:rsidP="009D215A">
      <w:pPr>
        <w:rPr>
          <w:rFonts w:cs="Calibri"/>
          <w:szCs w:val="20"/>
        </w:rPr>
      </w:pPr>
      <w:r w:rsidRPr="00404DA5">
        <w:rPr>
          <w:rFonts w:cs="Calibri"/>
          <w:szCs w:val="20"/>
        </w:rPr>
        <w:t>Warto także podkreślić dynamiczny rozwój punktów PSZOK na terenie województwa zachodniopomorskiego (w roku 2014 funkcjonowało 75 punktów,</w:t>
      </w:r>
      <w:r w:rsidR="00E66B89">
        <w:rPr>
          <w:rFonts w:cs="Calibri"/>
          <w:szCs w:val="20"/>
        </w:rPr>
        <w:t xml:space="preserve"> a w </w:t>
      </w:r>
      <w:r w:rsidRPr="00404DA5">
        <w:rPr>
          <w:rFonts w:cs="Calibri"/>
          <w:szCs w:val="20"/>
        </w:rPr>
        <w:t>roku 2017 liczba ta wzrosła do 96). Obserwowany jest też postęp</w:t>
      </w:r>
      <w:r w:rsidR="00E66B89">
        <w:rPr>
          <w:rFonts w:cs="Calibri"/>
          <w:szCs w:val="20"/>
        </w:rPr>
        <w:t xml:space="preserve"> w </w:t>
      </w:r>
      <w:r w:rsidRPr="00404DA5">
        <w:rPr>
          <w:rFonts w:cs="Calibri"/>
          <w:szCs w:val="20"/>
        </w:rPr>
        <w:t>procesie rekultywacji nieeksploatowanych składowisk odpadów (spośród 99 składowisk nieeksploatowanych, 81 zakończyło prace rekultywacyjne).</w:t>
      </w:r>
      <w:r w:rsidR="00E66B89">
        <w:rPr>
          <w:rFonts w:cs="Calibri"/>
          <w:szCs w:val="20"/>
        </w:rPr>
        <w:t xml:space="preserve"> W </w:t>
      </w:r>
      <w:r w:rsidRPr="00404DA5">
        <w:rPr>
          <w:rFonts w:cs="Calibri"/>
          <w:szCs w:val="20"/>
        </w:rPr>
        <w:t>latach 2014-2015 zrekultywowano 35 składowisk,</w:t>
      </w:r>
      <w:r w:rsidR="00E66B89">
        <w:rPr>
          <w:rFonts w:cs="Calibri"/>
          <w:szCs w:val="20"/>
        </w:rPr>
        <w:t xml:space="preserve"> w </w:t>
      </w:r>
      <w:r w:rsidRPr="00404DA5">
        <w:rPr>
          <w:rFonts w:cs="Calibri"/>
          <w:szCs w:val="20"/>
        </w:rPr>
        <w:t>2016 r. zrekultywowano 1 składowisko,</w:t>
      </w:r>
      <w:r w:rsidR="00E66B89">
        <w:rPr>
          <w:rFonts w:cs="Calibri"/>
          <w:szCs w:val="20"/>
        </w:rPr>
        <w:t xml:space="preserve"> w </w:t>
      </w:r>
      <w:r w:rsidRPr="00404DA5">
        <w:rPr>
          <w:rFonts w:cs="Calibri"/>
          <w:szCs w:val="20"/>
        </w:rPr>
        <w:t>2017 r. zrekultywowano jedną kwaterę na składowisku</w:t>
      </w:r>
      <w:r w:rsidR="00E66B89">
        <w:rPr>
          <w:rFonts w:cs="Calibri"/>
          <w:szCs w:val="20"/>
        </w:rPr>
        <w:t xml:space="preserve"> w </w:t>
      </w:r>
      <w:r w:rsidRPr="00404DA5">
        <w:rPr>
          <w:rFonts w:cs="Calibri"/>
          <w:szCs w:val="20"/>
        </w:rPr>
        <w:t>Gwiazdowie.</w:t>
      </w:r>
    </w:p>
    <w:p w14:paraId="16C446A8" w14:textId="77777777" w:rsidR="009D215A" w:rsidRPr="00404DA5" w:rsidRDefault="009D215A" w:rsidP="009D215A">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danych WIOŚ</w:t>
      </w:r>
      <w:r w:rsidR="00E66B89">
        <w:rPr>
          <w:rFonts w:cs="Calibri"/>
          <w:szCs w:val="20"/>
        </w:rPr>
        <w:t xml:space="preserve"> w </w:t>
      </w:r>
      <w:r w:rsidRPr="00404DA5">
        <w:rPr>
          <w:rFonts w:cs="Calibri"/>
          <w:szCs w:val="20"/>
        </w:rPr>
        <w:t>Szczecinie</w:t>
      </w:r>
      <w:r>
        <w:rPr>
          <w:rFonts w:cs="Calibri"/>
          <w:szCs w:val="20"/>
        </w:rPr>
        <w:t>,</w:t>
      </w:r>
      <w:r w:rsidR="00E66B89">
        <w:rPr>
          <w:rFonts w:cs="Calibri"/>
          <w:szCs w:val="20"/>
        </w:rPr>
        <w:t xml:space="preserve"> w </w:t>
      </w:r>
      <w:r w:rsidRPr="00404DA5">
        <w:rPr>
          <w:rFonts w:cs="Calibri"/>
          <w:szCs w:val="20"/>
        </w:rPr>
        <w:t>województwie</w:t>
      </w:r>
      <w:r w:rsidR="00E66B89">
        <w:rPr>
          <w:rFonts w:cs="Calibri"/>
          <w:szCs w:val="20"/>
        </w:rPr>
        <w:t xml:space="preserve"> w </w:t>
      </w:r>
      <w:r w:rsidRPr="00404DA5">
        <w:rPr>
          <w:rFonts w:cs="Calibri"/>
          <w:szCs w:val="20"/>
        </w:rPr>
        <w:t>roku 2017 zlikwidowano 580 nielegalnych miejsc porzucenia odpadów (tzw. „dzikich wysypisk”),</w:t>
      </w:r>
      <w:r w:rsidR="00E66B89">
        <w:rPr>
          <w:rFonts w:cs="Calibri"/>
          <w:szCs w:val="20"/>
        </w:rPr>
        <w:t xml:space="preserve"> z </w:t>
      </w:r>
      <w:r w:rsidRPr="00404DA5">
        <w:rPr>
          <w:rFonts w:cs="Calibri"/>
          <w:szCs w:val="20"/>
        </w:rPr>
        <w:t>czego 89% tych miejsc znajdowało się na terenach miejskich. Podczas likwidacji usunięto 1 021 Mg odpadów komunalnych. Na dzień 31 grudnia 2017 r. do likwidacji pozostały 133 takie miejsca.</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rokiem 2013, liczba nielegalnych miejsc porzucenia odpadów zmalała niestety nieznacznie. Większość utworzonych dzikich wysypisk na obszarze gmin województwa pochodzi sprzed lipca 2013 r., tj.</w:t>
      </w:r>
      <w:r w:rsidR="00E66B89">
        <w:rPr>
          <w:rFonts w:cs="Calibri"/>
          <w:szCs w:val="20"/>
        </w:rPr>
        <w:t xml:space="preserve"> z </w:t>
      </w:r>
      <w:r w:rsidRPr="00404DA5">
        <w:rPr>
          <w:rFonts w:cs="Calibri"/>
          <w:szCs w:val="20"/>
        </w:rPr>
        <w:t>okresu, przed wdrożeniem</w:t>
      </w:r>
      <w:r w:rsidR="00E66B89">
        <w:rPr>
          <w:rFonts w:cs="Calibri"/>
          <w:szCs w:val="20"/>
        </w:rPr>
        <w:t xml:space="preserve"> w </w:t>
      </w:r>
      <w:r w:rsidRPr="00404DA5">
        <w:rPr>
          <w:rFonts w:cs="Calibri"/>
          <w:szCs w:val="20"/>
        </w:rPr>
        <w:t>gminach nowego systemu funkcjonowania gospodarki odpadami</w:t>
      </w:r>
      <w:r>
        <w:rPr>
          <w:rFonts w:cs="Calibri"/>
          <w:szCs w:val="20"/>
        </w:rPr>
        <w:t xml:space="preserve"> -</w:t>
      </w:r>
      <w:r w:rsidRPr="00404DA5">
        <w:rPr>
          <w:rFonts w:cs="Calibri"/>
          <w:szCs w:val="20"/>
        </w:rPr>
        <w:t xml:space="preserve"> co nie zmienia faktu, że odnotowywane są ciągłe przypadki nielegalnego porzucania odpadów przy drogach,</w:t>
      </w:r>
      <w:r w:rsidR="00E66B89">
        <w:rPr>
          <w:rFonts w:cs="Calibri"/>
          <w:szCs w:val="20"/>
        </w:rPr>
        <w:t xml:space="preserve"> w </w:t>
      </w:r>
      <w:r w:rsidRPr="00404DA5">
        <w:rPr>
          <w:rFonts w:cs="Calibri"/>
          <w:szCs w:val="20"/>
        </w:rPr>
        <w:t>rowach, lasach oraz na nieużytkach rolnych.</w:t>
      </w:r>
      <w:r w:rsidR="00E66B89">
        <w:rPr>
          <w:rFonts w:cs="Calibri"/>
          <w:szCs w:val="20"/>
        </w:rPr>
        <w:t xml:space="preserve"> W </w:t>
      </w:r>
      <w:r w:rsidRPr="00404DA5">
        <w:rPr>
          <w:rFonts w:cs="Calibri"/>
          <w:szCs w:val="20"/>
        </w:rPr>
        <w:t>dalszym ciągu aktualnym problemem jest spalanie odpadów komunalnych</w:t>
      </w:r>
      <w:r w:rsidR="00E66B89">
        <w:rPr>
          <w:rFonts w:cs="Calibri"/>
          <w:szCs w:val="20"/>
        </w:rPr>
        <w:t xml:space="preserve"> w </w:t>
      </w:r>
      <w:r w:rsidRPr="00404DA5">
        <w:rPr>
          <w:rFonts w:cs="Calibri"/>
          <w:szCs w:val="20"/>
        </w:rPr>
        <w:t>paleniskach domowych (co też jest często przyczyną nasilenia uciążliwości</w:t>
      </w:r>
      <w:r w:rsidR="00E66B89">
        <w:rPr>
          <w:rFonts w:cs="Calibri"/>
          <w:szCs w:val="20"/>
        </w:rPr>
        <w:t xml:space="preserve"> z </w:t>
      </w:r>
      <w:r w:rsidRPr="00404DA5">
        <w:rPr>
          <w:rFonts w:cs="Calibri"/>
          <w:szCs w:val="20"/>
        </w:rPr>
        <w:t>tytułu niskiej emisji). Głównym problemem związanym</w:t>
      </w:r>
      <w:r w:rsidR="00E66B89">
        <w:rPr>
          <w:rFonts w:cs="Calibri"/>
          <w:szCs w:val="20"/>
        </w:rPr>
        <w:t xml:space="preserve"> z </w:t>
      </w:r>
      <w:r w:rsidRPr="00404DA5">
        <w:rPr>
          <w:rFonts w:cs="Calibri"/>
          <w:szCs w:val="20"/>
        </w:rPr>
        <w:t>likwidacją dzikich wysypisk</w:t>
      </w:r>
      <w:r w:rsidR="00E66B89">
        <w:rPr>
          <w:rFonts w:cs="Calibri"/>
          <w:szCs w:val="20"/>
        </w:rPr>
        <w:t xml:space="preserve"> i </w:t>
      </w:r>
      <w:r w:rsidRPr="00404DA5">
        <w:rPr>
          <w:rFonts w:cs="Calibri"/>
          <w:szCs w:val="20"/>
        </w:rPr>
        <w:t xml:space="preserve">przeprowadzeniem rekultywacji </w:t>
      </w:r>
      <w:r>
        <w:rPr>
          <w:rFonts w:cs="Calibri"/>
          <w:szCs w:val="20"/>
        </w:rPr>
        <w:t>jest</w:t>
      </w:r>
      <w:r w:rsidRPr="00404DA5">
        <w:rPr>
          <w:rFonts w:cs="Calibri"/>
          <w:szCs w:val="20"/>
        </w:rPr>
        <w:t xml:space="preserve"> niewystarczająca ilość środków finansowych przeznaczonych na te działania</w:t>
      </w:r>
      <w:r w:rsidR="00E66B89">
        <w:rPr>
          <w:rFonts w:cs="Calibri"/>
          <w:szCs w:val="20"/>
        </w:rPr>
        <w:t xml:space="preserve"> w </w:t>
      </w:r>
      <w:r w:rsidRPr="00404DA5">
        <w:rPr>
          <w:rFonts w:cs="Calibri"/>
          <w:szCs w:val="20"/>
        </w:rPr>
        <w:t>budżetach gmin.</w:t>
      </w:r>
    </w:p>
    <w:p w14:paraId="02D756FA" w14:textId="77777777" w:rsidR="009D215A" w:rsidRPr="008B706B" w:rsidRDefault="009D215A" w:rsidP="009D215A">
      <w:pPr>
        <w:rPr>
          <w:rFonts w:cs="Calibri"/>
        </w:rPr>
      </w:pPr>
      <w:r w:rsidRPr="00404DA5">
        <w:rPr>
          <w:rFonts w:cs="Calibri"/>
          <w:szCs w:val="20"/>
        </w:rPr>
        <w:t>Na przestrzeni ostatnich kilku lat</w:t>
      </w:r>
      <w:r w:rsidR="00E66B89">
        <w:rPr>
          <w:rFonts w:cs="Calibri"/>
          <w:szCs w:val="20"/>
        </w:rPr>
        <w:t xml:space="preserve"> w </w:t>
      </w:r>
      <w:r w:rsidRPr="00404DA5">
        <w:rPr>
          <w:rFonts w:cs="Calibri"/>
          <w:szCs w:val="20"/>
        </w:rPr>
        <w:t>województwie zachodniopomorskim widoczne jest ograniczenie składowania odpadów komunalnych</w:t>
      </w:r>
      <w:r>
        <w:rPr>
          <w:rFonts w:cs="Calibri"/>
          <w:szCs w:val="20"/>
        </w:rPr>
        <w:t xml:space="preserve"> (tabela poniżej)</w:t>
      </w:r>
      <w:r w:rsidRPr="00404DA5">
        <w:rPr>
          <w:rFonts w:cs="Calibri"/>
          <w:szCs w:val="20"/>
        </w:rPr>
        <w:t xml:space="preserve">. </w:t>
      </w:r>
      <w:r>
        <w:rPr>
          <w:rFonts w:cs="Calibri"/>
          <w:szCs w:val="20"/>
        </w:rPr>
        <w:t>Warto zwrócić uwagę na dużą zmianę udziału masy składowanych odpadów pomiędzy rokiem 2012 oraz 2013.</w:t>
      </w:r>
      <w:r w:rsidR="00E66B89">
        <w:rPr>
          <w:rFonts w:cs="Calibri"/>
          <w:szCs w:val="20"/>
        </w:rPr>
        <w:t xml:space="preserve"> W </w:t>
      </w:r>
      <w:r>
        <w:rPr>
          <w:rFonts w:cs="Calibri"/>
          <w:szCs w:val="20"/>
        </w:rPr>
        <w:t xml:space="preserve">głównej mierze jest to </w:t>
      </w:r>
      <w:r w:rsidRPr="00B64629">
        <w:rPr>
          <w:rFonts w:cs="Calibri"/>
          <w:szCs w:val="20"/>
        </w:rPr>
        <w:t>efekt</w:t>
      </w:r>
      <w:r w:rsidRPr="00BA3813">
        <w:rPr>
          <w:rFonts w:cs="Calibri"/>
          <w:szCs w:val="20"/>
        </w:rPr>
        <w:t xml:space="preserve"> </w:t>
      </w:r>
      <w:r w:rsidRPr="00632425">
        <w:rPr>
          <w:rFonts w:cs="Calibri"/>
          <w:szCs w:val="20"/>
        </w:rPr>
        <w:t xml:space="preserve">krajowej </w:t>
      </w:r>
      <w:r w:rsidRPr="008755C3">
        <w:rPr>
          <w:rFonts w:cs="Calibri"/>
          <w:szCs w:val="20"/>
        </w:rPr>
        <w:t>reform</w:t>
      </w:r>
      <w:r w:rsidRPr="004964BE">
        <w:rPr>
          <w:rFonts w:cs="Calibri"/>
          <w:szCs w:val="20"/>
        </w:rPr>
        <w:t>y</w:t>
      </w:r>
      <w:r w:rsidRPr="00BF6D9D">
        <w:rPr>
          <w:rFonts w:cs="Calibri"/>
          <w:szCs w:val="20"/>
        </w:rPr>
        <w:t xml:space="preserve"> system</w:t>
      </w:r>
      <w:r w:rsidRPr="007F116A">
        <w:rPr>
          <w:rFonts w:cs="Calibri"/>
          <w:szCs w:val="20"/>
        </w:rPr>
        <w:t>u</w:t>
      </w:r>
      <w:r w:rsidRPr="006558FF">
        <w:rPr>
          <w:rFonts w:cs="Calibri"/>
          <w:szCs w:val="20"/>
        </w:rPr>
        <w:t xml:space="preserve"> gospodarki odpadami</w:t>
      </w:r>
      <w:r w:rsidR="00E66B89">
        <w:rPr>
          <w:rFonts w:cs="Calibri"/>
          <w:szCs w:val="20"/>
        </w:rPr>
        <w:t xml:space="preserve"> z </w:t>
      </w:r>
      <w:r w:rsidRPr="006558FF">
        <w:rPr>
          <w:rFonts w:cs="Calibri"/>
          <w:szCs w:val="20"/>
        </w:rPr>
        <w:t>2013 r.</w:t>
      </w:r>
      <w:r w:rsidR="00E66B89">
        <w:rPr>
          <w:rFonts w:cs="Calibri"/>
          <w:szCs w:val="20"/>
        </w:rPr>
        <w:t xml:space="preserve"> W </w:t>
      </w:r>
      <w:r w:rsidRPr="00606862">
        <w:rPr>
          <w:rFonts w:cs="Calibri"/>
          <w:szCs w:val="20"/>
        </w:rPr>
        <w:t>wyniku jej wprowadzenia zaobserwowano spadek masy wytwarzanych odpadów zmieszanych oraz spadek</w:t>
      </w:r>
      <w:r w:rsidRPr="008B706B">
        <w:rPr>
          <w:rFonts w:cs="Calibri"/>
          <w:szCs w:val="20"/>
        </w:rPr>
        <w:t xml:space="preserve"> odsetka masy odpadów składowanych. Wprowadzone regulacje uszczelniły system gospodarowania odpadami komunalnymi</w:t>
      </w:r>
      <w:r>
        <w:rPr>
          <w:rFonts w:cs="Calibri"/>
          <w:szCs w:val="20"/>
        </w:rPr>
        <w:t>.</w:t>
      </w:r>
      <w:r w:rsidRPr="00B64629">
        <w:rPr>
          <w:rFonts w:cs="Calibri"/>
          <w:szCs w:val="20"/>
        </w:rPr>
        <w:t xml:space="preserve"> </w:t>
      </w:r>
      <w:r>
        <w:rPr>
          <w:rFonts w:cs="Calibri"/>
          <w:szCs w:val="20"/>
        </w:rPr>
        <w:t>P</w:t>
      </w:r>
      <w:r w:rsidRPr="00B64629">
        <w:rPr>
          <w:rFonts w:cs="Calibri"/>
          <w:szCs w:val="20"/>
        </w:rPr>
        <w:t>rzyczyniły s</w:t>
      </w:r>
      <w:r w:rsidRPr="00BA3813">
        <w:rPr>
          <w:rFonts w:cs="Calibri"/>
          <w:szCs w:val="20"/>
        </w:rPr>
        <w:t xml:space="preserve">ię </w:t>
      </w:r>
      <w:r>
        <w:rPr>
          <w:rFonts w:cs="Calibri"/>
          <w:szCs w:val="20"/>
        </w:rPr>
        <w:t xml:space="preserve">także </w:t>
      </w:r>
      <w:r w:rsidRPr="00B64629">
        <w:rPr>
          <w:rFonts w:cs="Calibri"/>
          <w:szCs w:val="20"/>
        </w:rPr>
        <w:t>do wzrostu efektywności przetwarzania odpadów (</w:t>
      </w:r>
      <w:r w:rsidRPr="00BA3813">
        <w:rPr>
          <w:rFonts w:cs="Calibri"/>
          <w:szCs w:val="20"/>
        </w:rPr>
        <w:t>szczeg</w:t>
      </w:r>
      <w:r w:rsidRPr="00632425">
        <w:rPr>
          <w:rFonts w:cs="Calibri"/>
          <w:szCs w:val="20"/>
        </w:rPr>
        <w:t>ólnie</w:t>
      </w:r>
      <w:r w:rsidR="00E66B89">
        <w:rPr>
          <w:rFonts w:cs="Calibri"/>
          <w:szCs w:val="20"/>
        </w:rPr>
        <w:t xml:space="preserve"> w </w:t>
      </w:r>
      <w:r w:rsidRPr="00632425">
        <w:rPr>
          <w:rFonts w:cs="Calibri"/>
          <w:szCs w:val="20"/>
        </w:rPr>
        <w:t xml:space="preserve">zakresie </w:t>
      </w:r>
      <w:r w:rsidRPr="008755C3">
        <w:rPr>
          <w:rFonts w:cs="Calibri"/>
          <w:szCs w:val="20"/>
        </w:rPr>
        <w:t>zwiększeni</w:t>
      </w:r>
      <w:r w:rsidRPr="004964BE">
        <w:rPr>
          <w:rFonts w:cs="Calibri"/>
          <w:szCs w:val="20"/>
        </w:rPr>
        <w:t>a</w:t>
      </w:r>
      <w:r w:rsidRPr="00BF6D9D">
        <w:rPr>
          <w:rFonts w:cs="Calibri"/>
          <w:szCs w:val="20"/>
        </w:rPr>
        <w:t xml:space="preserve"> masy odpadów komunaln</w:t>
      </w:r>
      <w:r w:rsidRPr="007F116A">
        <w:rPr>
          <w:rFonts w:cs="Calibri"/>
          <w:szCs w:val="20"/>
        </w:rPr>
        <w:t>ych zmieszanych poddanych obróbce biologi</w:t>
      </w:r>
      <w:r w:rsidRPr="006558FF">
        <w:rPr>
          <w:rFonts w:cs="Calibri"/>
          <w:szCs w:val="20"/>
        </w:rPr>
        <w:t>c</w:t>
      </w:r>
      <w:r w:rsidRPr="00606862">
        <w:rPr>
          <w:rFonts w:cs="Calibri"/>
          <w:szCs w:val="20"/>
        </w:rPr>
        <w:t>znej).</w:t>
      </w:r>
    </w:p>
    <w:p w14:paraId="1A30744A" w14:textId="77777777" w:rsidR="009D215A" w:rsidRPr="00404DA5" w:rsidRDefault="009D215A" w:rsidP="006E34DC">
      <w:pPr>
        <w:pStyle w:val="Legenda"/>
        <w:spacing w:after="0"/>
      </w:pPr>
      <w:bookmarkStart w:id="100" w:name="_Toc8824149"/>
      <w:r w:rsidRPr="00404DA5">
        <w:t xml:space="preserve">Tabela </w:t>
      </w:r>
      <w:r>
        <w:fldChar w:fldCharType="begin"/>
      </w:r>
      <w:r>
        <w:instrText xml:space="preserve"> SEQ Tabela \* ARABIC </w:instrText>
      </w:r>
      <w:r>
        <w:fldChar w:fldCharType="separate"/>
      </w:r>
      <w:r w:rsidR="00763345">
        <w:rPr>
          <w:noProof/>
        </w:rPr>
        <w:t>38</w:t>
      </w:r>
      <w:r>
        <w:fldChar w:fldCharType="end"/>
      </w:r>
      <w:r w:rsidRPr="00404DA5">
        <w:t xml:space="preserve"> Udział masy składowanych odpadów komunalnych</w:t>
      </w:r>
      <w:r w:rsidR="00E66B89">
        <w:t xml:space="preserve"> w </w:t>
      </w:r>
      <w:r w:rsidRPr="00404DA5">
        <w:t>latach 2005-2017</w:t>
      </w:r>
      <w:r w:rsidR="00E66B89">
        <w:t xml:space="preserve"> w </w:t>
      </w:r>
      <w:r w:rsidRPr="00404DA5">
        <w:t>masie zebranych odpadów komunalnych</w:t>
      </w:r>
      <w:r w:rsidR="00E66B89">
        <w:t xml:space="preserve"> w </w:t>
      </w:r>
      <w:r>
        <w:t>województwie zachodniopomorskim</w:t>
      </w:r>
      <w:r w:rsidRPr="00404DA5">
        <w:t xml:space="preserve"> [%]</w:t>
      </w:r>
      <w:bookmarkEnd w:id="1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16"/>
        <w:gridCol w:w="616"/>
        <w:gridCol w:w="616"/>
        <w:gridCol w:w="671"/>
        <w:gridCol w:w="671"/>
        <w:gridCol w:w="671"/>
        <w:gridCol w:w="671"/>
        <w:gridCol w:w="616"/>
        <w:gridCol w:w="616"/>
        <w:gridCol w:w="616"/>
        <w:gridCol w:w="671"/>
        <w:gridCol w:w="671"/>
        <w:gridCol w:w="671"/>
        <w:gridCol w:w="669"/>
      </w:tblGrid>
      <w:tr w:rsidR="00C22C26" w:rsidRPr="00436D27" w14:paraId="4FC87E7A" w14:textId="77777777" w:rsidTr="00C22C26">
        <w:trPr>
          <w:trHeight w:val="255"/>
          <w:tblHeader/>
        </w:trPr>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FE9E897"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rok</w:t>
            </w:r>
          </w:p>
        </w:tc>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B8CD20E"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2005</w:t>
            </w:r>
          </w:p>
        </w:tc>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4633DD3"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2006</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E47A038"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2007</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CDA52A6"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2008</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EA156AA"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2009</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E867F9C"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2010</w:t>
            </w:r>
          </w:p>
        </w:tc>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8DA8B4C"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2011</w:t>
            </w:r>
          </w:p>
        </w:tc>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31E8D65"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2012</w:t>
            </w:r>
          </w:p>
        </w:tc>
        <w:tc>
          <w:tcPr>
            <w:tcW w:w="34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6232AAB"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2013</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E28A6D5"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2014</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8950282"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2015</w:t>
            </w:r>
          </w:p>
        </w:tc>
        <w:tc>
          <w:tcPr>
            <w:tcW w:w="370"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78E19DC"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2016</w:t>
            </w:r>
          </w:p>
        </w:tc>
        <w:tc>
          <w:tcPr>
            <w:tcW w:w="369" w:type="pct"/>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182BE3A" w14:textId="77777777" w:rsidR="009D215A" w:rsidRPr="00404DA5" w:rsidRDefault="009D215A" w:rsidP="00EE58A9">
            <w:pPr>
              <w:jc w:val="center"/>
              <w:rPr>
                <w:rFonts w:cs="Calibri"/>
                <w:bCs/>
                <w:color w:val="000000"/>
                <w:sz w:val="16"/>
                <w:szCs w:val="16"/>
              </w:rPr>
            </w:pPr>
            <w:r w:rsidRPr="00404DA5">
              <w:rPr>
                <w:rFonts w:cs="Calibri"/>
                <w:bCs/>
                <w:color w:val="000000"/>
                <w:sz w:val="16"/>
                <w:szCs w:val="16"/>
              </w:rPr>
              <w:t>2017</w:t>
            </w:r>
          </w:p>
        </w:tc>
      </w:tr>
      <w:tr w:rsidR="009D215A" w:rsidRPr="00436D27" w14:paraId="0CD19DFC" w14:textId="77777777" w:rsidTr="00EE58A9">
        <w:trPr>
          <w:trHeight w:val="225"/>
        </w:trPr>
        <w:tc>
          <w:tcPr>
            <w:tcW w:w="340" w:type="pct"/>
            <w:tcBorders>
              <w:top w:val="single" w:sz="4" w:space="0" w:color="000000"/>
              <w:left w:val="single" w:sz="4" w:space="0" w:color="000000"/>
              <w:bottom w:val="single" w:sz="4" w:space="0" w:color="000000"/>
              <w:right w:val="single" w:sz="4" w:space="0" w:color="000000"/>
            </w:tcBorders>
            <w:vAlign w:val="center"/>
            <w:hideMark/>
          </w:tcPr>
          <w:p w14:paraId="59A8EC21" w14:textId="77777777" w:rsidR="009D215A" w:rsidRPr="00404DA5" w:rsidRDefault="009D215A" w:rsidP="00EE58A9">
            <w:pPr>
              <w:jc w:val="center"/>
              <w:rPr>
                <w:rFonts w:cs="Calibri"/>
                <w:color w:val="000000"/>
                <w:sz w:val="16"/>
                <w:szCs w:val="16"/>
              </w:rPr>
            </w:pPr>
            <w:r w:rsidRPr="00404DA5">
              <w:rPr>
                <w:rFonts w:cs="Calibri"/>
                <w:color w:val="000000"/>
                <w:sz w:val="16"/>
                <w:szCs w:val="16"/>
              </w:rPr>
              <w:t>[%]</w:t>
            </w:r>
          </w:p>
        </w:tc>
        <w:tc>
          <w:tcPr>
            <w:tcW w:w="340" w:type="pct"/>
            <w:tcBorders>
              <w:top w:val="single" w:sz="4" w:space="0" w:color="000000"/>
              <w:left w:val="single" w:sz="4" w:space="0" w:color="000000"/>
              <w:bottom w:val="single" w:sz="4" w:space="0" w:color="000000"/>
              <w:right w:val="single" w:sz="4" w:space="0" w:color="000000"/>
            </w:tcBorders>
            <w:noWrap/>
            <w:vAlign w:val="bottom"/>
            <w:hideMark/>
          </w:tcPr>
          <w:p w14:paraId="407797B6" w14:textId="77777777" w:rsidR="009D215A" w:rsidRPr="00404DA5" w:rsidRDefault="009D215A" w:rsidP="00EE58A9">
            <w:pPr>
              <w:jc w:val="center"/>
              <w:rPr>
                <w:rFonts w:cs="Calibri"/>
                <w:color w:val="000000"/>
                <w:sz w:val="16"/>
                <w:szCs w:val="16"/>
              </w:rPr>
            </w:pPr>
            <w:r w:rsidRPr="00404DA5">
              <w:rPr>
                <w:rFonts w:cs="Calibri"/>
                <w:color w:val="000000"/>
                <w:sz w:val="16"/>
                <w:szCs w:val="16"/>
              </w:rPr>
              <w:t>94,8</w:t>
            </w:r>
          </w:p>
        </w:tc>
        <w:tc>
          <w:tcPr>
            <w:tcW w:w="340" w:type="pct"/>
            <w:tcBorders>
              <w:top w:val="single" w:sz="4" w:space="0" w:color="000000"/>
              <w:left w:val="single" w:sz="4" w:space="0" w:color="000000"/>
              <w:bottom w:val="single" w:sz="4" w:space="0" w:color="000000"/>
              <w:right w:val="single" w:sz="4" w:space="0" w:color="000000"/>
            </w:tcBorders>
            <w:noWrap/>
            <w:vAlign w:val="bottom"/>
            <w:hideMark/>
          </w:tcPr>
          <w:p w14:paraId="47040645" w14:textId="77777777" w:rsidR="009D215A" w:rsidRPr="00404DA5" w:rsidRDefault="009D215A" w:rsidP="00EE58A9">
            <w:pPr>
              <w:jc w:val="center"/>
              <w:rPr>
                <w:rFonts w:cs="Calibri"/>
                <w:color w:val="000000"/>
                <w:sz w:val="16"/>
                <w:szCs w:val="16"/>
              </w:rPr>
            </w:pPr>
            <w:r w:rsidRPr="00404DA5">
              <w:rPr>
                <w:rFonts w:cs="Calibri"/>
                <w:color w:val="000000"/>
                <w:sz w:val="16"/>
                <w:szCs w:val="16"/>
              </w:rPr>
              <w:t>94,8</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00716727" w14:textId="77777777" w:rsidR="009D215A" w:rsidRPr="00404DA5" w:rsidRDefault="009D215A" w:rsidP="00EE58A9">
            <w:pPr>
              <w:jc w:val="center"/>
              <w:rPr>
                <w:rFonts w:cs="Calibri"/>
                <w:color w:val="000000"/>
                <w:sz w:val="16"/>
                <w:szCs w:val="16"/>
              </w:rPr>
            </w:pPr>
            <w:r w:rsidRPr="00404DA5">
              <w:rPr>
                <w:rFonts w:cs="Calibri"/>
                <w:color w:val="000000"/>
                <w:sz w:val="16"/>
                <w:szCs w:val="16"/>
              </w:rPr>
              <w:t>95,5</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198EEDBB" w14:textId="77777777" w:rsidR="009D215A" w:rsidRPr="00404DA5" w:rsidRDefault="009D215A" w:rsidP="00EE58A9">
            <w:pPr>
              <w:jc w:val="center"/>
              <w:rPr>
                <w:rFonts w:cs="Calibri"/>
                <w:color w:val="000000"/>
                <w:sz w:val="16"/>
                <w:szCs w:val="16"/>
              </w:rPr>
            </w:pPr>
            <w:r w:rsidRPr="00404DA5">
              <w:rPr>
                <w:rFonts w:cs="Calibri"/>
                <w:color w:val="000000"/>
                <w:sz w:val="16"/>
                <w:szCs w:val="16"/>
              </w:rPr>
              <w:t>96,5</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1B42D902" w14:textId="77777777" w:rsidR="009D215A" w:rsidRPr="00404DA5" w:rsidRDefault="009D215A" w:rsidP="00EE58A9">
            <w:pPr>
              <w:jc w:val="center"/>
              <w:rPr>
                <w:rFonts w:cs="Calibri"/>
                <w:color w:val="000000"/>
                <w:sz w:val="16"/>
                <w:szCs w:val="16"/>
              </w:rPr>
            </w:pPr>
            <w:r w:rsidRPr="00404DA5">
              <w:rPr>
                <w:rFonts w:cs="Calibri"/>
                <w:color w:val="000000"/>
                <w:sz w:val="16"/>
                <w:szCs w:val="16"/>
              </w:rPr>
              <w:t>91,7</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6E8BD7EF" w14:textId="77777777" w:rsidR="009D215A" w:rsidRPr="00404DA5" w:rsidRDefault="009D215A" w:rsidP="00EE58A9">
            <w:pPr>
              <w:jc w:val="center"/>
              <w:rPr>
                <w:rFonts w:cs="Calibri"/>
                <w:color w:val="000000"/>
                <w:sz w:val="16"/>
                <w:szCs w:val="16"/>
              </w:rPr>
            </w:pPr>
            <w:r w:rsidRPr="00404DA5">
              <w:rPr>
                <w:rFonts w:cs="Calibri"/>
                <w:color w:val="000000"/>
                <w:sz w:val="16"/>
                <w:szCs w:val="16"/>
              </w:rPr>
              <w:t>88,1</w:t>
            </w:r>
          </w:p>
        </w:tc>
        <w:tc>
          <w:tcPr>
            <w:tcW w:w="340" w:type="pct"/>
            <w:tcBorders>
              <w:top w:val="single" w:sz="4" w:space="0" w:color="000000"/>
              <w:left w:val="single" w:sz="4" w:space="0" w:color="000000"/>
              <w:bottom w:val="single" w:sz="4" w:space="0" w:color="000000"/>
              <w:right w:val="single" w:sz="4" w:space="0" w:color="000000"/>
            </w:tcBorders>
            <w:noWrap/>
            <w:vAlign w:val="bottom"/>
            <w:hideMark/>
          </w:tcPr>
          <w:p w14:paraId="05E7E8D9" w14:textId="77777777" w:rsidR="009D215A" w:rsidRPr="00404DA5" w:rsidRDefault="009D215A" w:rsidP="00EE58A9">
            <w:pPr>
              <w:jc w:val="center"/>
              <w:rPr>
                <w:rFonts w:cs="Calibri"/>
                <w:color w:val="000000"/>
                <w:sz w:val="16"/>
                <w:szCs w:val="16"/>
              </w:rPr>
            </w:pPr>
            <w:r w:rsidRPr="00404DA5">
              <w:rPr>
                <w:rFonts w:cs="Calibri"/>
                <w:color w:val="000000"/>
                <w:sz w:val="16"/>
                <w:szCs w:val="16"/>
              </w:rPr>
              <w:t>89,8</w:t>
            </w:r>
          </w:p>
        </w:tc>
        <w:tc>
          <w:tcPr>
            <w:tcW w:w="340" w:type="pct"/>
            <w:tcBorders>
              <w:top w:val="single" w:sz="4" w:space="0" w:color="000000"/>
              <w:left w:val="single" w:sz="4" w:space="0" w:color="000000"/>
              <w:bottom w:val="single" w:sz="4" w:space="0" w:color="000000"/>
              <w:right w:val="single" w:sz="4" w:space="0" w:color="000000"/>
            </w:tcBorders>
            <w:noWrap/>
            <w:vAlign w:val="bottom"/>
            <w:hideMark/>
          </w:tcPr>
          <w:p w14:paraId="2CDC6FD3" w14:textId="77777777" w:rsidR="009D215A" w:rsidRPr="00404DA5" w:rsidRDefault="009D215A" w:rsidP="00EE58A9">
            <w:pPr>
              <w:jc w:val="center"/>
              <w:rPr>
                <w:rFonts w:cs="Calibri"/>
                <w:color w:val="000000"/>
                <w:sz w:val="16"/>
                <w:szCs w:val="16"/>
              </w:rPr>
            </w:pPr>
            <w:r w:rsidRPr="00404DA5">
              <w:rPr>
                <w:rFonts w:cs="Calibri"/>
                <w:color w:val="000000"/>
                <w:sz w:val="16"/>
                <w:szCs w:val="16"/>
              </w:rPr>
              <w:t>85,8</w:t>
            </w:r>
          </w:p>
        </w:tc>
        <w:tc>
          <w:tcPr>
            <w:tcW w:w="340" w:type="pct"/>
            <w:tcBorders>
              <w:top w:val="single" w:sz="4" w:space="0" w:color="000000"/>
              <w:left w:val="single" w:sz="4" w:space="0" w:color="000000"/>
              <w:bottom w:val="single" w:sz="4" w:space="0" w:color="000000"/>
              <w:right w:val="single" w:sz="4" w:space="0" w:color="000000"/>
            </w:tcBorders>
            <w:noWrap/>
            <w:vAlign w:val="bottom"/>
            <w:hideMark/>
          </w:tcPr>
          <w:p w14:paraId="1FBAC4D3" w14:textId="77777777" w:rsidR="009D215A" w:rsidRPr="00404DA5" w:rsidRDefault="009D215A" w:rsidP="00EE58A9">
            <w:pPr>
              <w:jc w:val="center"/>
              <w:rPr>
                <w:rFonts w:cs="Calibri"/>
                <w:color w:val="000000"/>
                <w:sz w:val="16"/>
                <w:szCs w:val="16"/>
              </w:rPr>
            </w:pPr>
            <w:r w:rsidRPr="00404DA5">
              <w:rPr>
                <w:rFonts w:cs="Calibri"/>
                <w:color w:val="000000"/>
                <w:sz w:val="16"/>
                <w:szCs w:val="16"/>
              </w:rPr>
              <w:t>48,0</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5B1D9DF4" w14:textId="77777777" w:rsidR="009D215A" w:rsidRPr="00404DA5" w:rsidRDefault="009D215A" w:rsidP="00EE58A9">
            <w:pPr>
              <w:jc w:val="center"/>
              <w:rPr>
                <w:rFonts w:cs="Calibri"/>
                <w:color w:val="000000"/>
                <w:sz w:val="16"/>
                <w:szCs w:val="16"/>
              </w:rPr>
            </w:pPr>
            <w:r w:rsidRPr="00404DA5">
              <w:rPr>
                <w:rFonts w:cs="Calibri"/>
                <w:color w:val="000000"/>
                <w:sz w:val="16"/>
                <w:szCs w:val="16"/>
              </w:rPr>
              <w:t>51,1</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1A41888A" w14:textId="77777777" w:rsidR="009D215A" w:rsidRPr="00404DA5" w:rsidRDefault="009D215A" w:rsidP="00EE58A9">
            <w:pPr>
              <w:jc w:val="center"/>
              <w:rPr>
                <w:rFonts w:cs="Calibri"/>
                <w:color w:val="000000"/>
                <w:sz w:val="16"/>
                <w:szCs w:val="16"/>
              </w:rPr>
            </w:pPr>
            <w:r w:rsidRPr="00404DA5">
              <w:rPr>
                <w:rFonts w:cs="Calibri"/>
                <w:color w:val="000000"/>
                <w:sz w:val="16"/>
                <w:szCs w:val="16"/>
              </w:rPr>
              <w:t>64,2</w:t>
            </w:r>
          </w:p>
        </w:tc>
        <w:tc>
          <w:tcPr>
            <w:tcW w:w="370" w:type="pct"/>
            <w:tcBorders>
              <w:top w:val="single" w:sz="4" w:space="0" w:color="000000"/>
              <w:left w:val="single" w:sz="4" w:space="0" w:color="000000"/>
              <w:bottom w:val="single" w:sz="4" w:space="0" w:color="000000"/>
              <w:right w:val="single" w:sz="4" w:space="0" w:color="000000"/>
            </w:tcBorders>
            <w:noWrap/>
            <w:vAlign w:val="bottom"/>
            <w:hideMark/>
          </w:tcPr>
          <w:p w14:paraId="5F1FC303" w14:textId="77777777" w:rsidR="009D215A" w:rsidRPr="00404DA5" w:rsidRDefault="009D215A" w:rsidP="00EE58A9">
            <w:pPr>
              <w:jc w:val="center"/>
              <w:rPr>
                <w:rFonts w:cs="Calibri"/>
                <w:color w:val="000000"/>
                <w:sz w:val="16"/>
                <w:szCs w:val="16"/>
              </w:rPr>
            </w:pPr>
            <w:r w:rsidRPr="00404DA5">
              <w:rPr>
                <w:rFonts w:cs="Calibri"/>
                <w:color w:val="000000"/>
                <w:sz w:val="16"/>
                <w:szCs w:val="16"/>
              </w:rPr>
              <w:t>62,6</w:t>
            </w:r>
          </w:p>
        </w:tc>
        <w:tc>
          <w:tcPr>
            <w:tcW w:w="369" w:type="pct"/>
            <w:tcBorders>
              <w:top w:val="single" w:sz="4" w:space="0" w:color="000000"/>
              <w:left w:val="single" w:sz="4" w:space="0" w:color="000000"/>
              <w:bottom w:val="single" w:sz="4" w:space="0" w:color="000000"/>
              <w:right w:val="single" w:sz="4" w:space="0" w:color="000000"/>
            </w:tcBorders>
            <w:noWrap/>
            <w:vAlign w:val="bottom"/>
            <w:hideMark/>
          </w:tcPr>
          <w:p w14:paraId="608942B9" w14:textId="77777777" w:rsidR="009D215A" w:rsidRPr="00404DA5" w:rsidRDefault="009D215A" w:rsidP="00EE58A9">
            <w:pPr>
              <w:jc w:val="center"/>
              <w:rPr>
                <w:rFonts w:cs="Calibri"/>
                <w:color w:val="000000"/>
                <w:sz w:val="16"/>
                <w:szCs w:val="16"/>
              </w:rPr>
            </w:pPr>
            <w:r w:rsidRPr="00404DA5">
              <w:rPr>
                <w:rFonts w:cs="Calibri"/>
                <w:color w:val="000000"/>
                <w:sz w:val="16"/>
                <w:szCs w:val="16"/>
              </w:rPr>
              <w:t>47,0</w:t>
            </w:r>
          </w:p>
        </w:tc>
      </w:tr>
    </w:tbl>
    <w:p w14:paraId="60A679CD"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6D9BA295" w14:textId="77777777" w:rsidR="009D215A" w:rsidRPr="00404DA5" w:rsidRDefault="009D215A" w:rsidP="009D215A">
      <w:pPr>
        <w:rPr>
          <w:rFonts w:cs="Calibri"/>
          <w:szCs w:val="20"/>
        </w:rPr>
      </w:pPr>
      <w:r w:rsidRPr="00404DA5">
        <w:rPr>
          <w:rFonts w:cs="Calibri"/>
          <w:szCs w:val="20"/>
        </w:rPr>
        <w:t>Ważnym elementem gospodarowania odpadami komunalnymi</w:t>
      </w:r>
      <w:r w:rsidR="00E66B89">
        <w:rPr>
          <w:rFonts w:cs="Calibri"/>
          <w:szCs w:val="20"/>
        </w:rPr>
        <w:t xml:space="preserve"> w </w:t>
      </w:r>
      <w:r w:rsidRPr="00404DA5">
        <w:rPr>
          <w:rFonts w:cs="Calibri"/>
          <w:szCs w:val="20"/>
        </w:rPr>
        <w:t>województwie zachodniopomorskim było uruchomienie ponadregionalnej instalacji termicznego unieszkodliwiania odpadów komunalnych</w:t>
      </w:r>
      <w:r w:rsidR="00E66B89">
        <w:rPr>
          <w:rFonts w:cs="Calibri"/>
          <w:szCs w:val="20"/>
        </w:rPr>
        <w:t xml:space="preserve"> w </w:t>
      </w:r>
      <w:r w:rsidRPr="00404DA5">
        <w:rPr>
          <w:rFonts w:cs="Calibri"/>
          <w:szCs w:val="20"/>
        </w:rPr>
        <w:t>Szczecinie (Zakładu Unieszkodliwiania Odpadów Sp.</w:t>
      </w:r>
      <w:r w:rsidR="00E66B89">
        <w:rPr>
          <w:rFonts w:cs="Calibri"/>
          <w:szCs w:val="20"/>
        </w:rPr>
        <w:t xml:space="preserve"> z </w:t>
      </w:r>
      <w:r w:rsidRPr="00404DA5">
        <w:rPr>
          <w:rFonts w:cs="Calibri"/>
          <w:szCs w:val="20"/>
        </w:rPr>
        <w:t>o.o. – ZUO). Zakład ten jest jedynym zakładem</w:t>
      </w:r>
      <w:r w:rsidR="00E66B89">
        <w:rPr>
          <w:rFonts w:cs="Calibri"/>
          <w:szCs w:val="20"/>
        </w:rPr>
        <w:t xml:space="preserve"> </w:t>
      </w:r>
      <w:r w:rsidR="00E66B89">
        <w:rPr>
          <w:rFonts w:cs="Calibri"/>
          <w:szCs w:val="20"/>
        </w:rPr>
        <w:lastRenderedPageBreak/>
        <w:t>w </w:t>
      </w:r>
      <w:r w:rsidRPr="00404DA5">
        <w:rPr>
          <w:rFonts w:cs="Calibri"/>
          <w:szCs w:val="20"/>
        </w:rPr>
        <w:t>Polsce</w:t>
      </w:r>
      <w:r w:rsidR="00E66B89">
        <w:rPr>
          <w:rFonts w:cs="Calibri"/>
          <w:szCs w:val="20"/>
        </w:rPr>
        <w:t xml:space="preserve"> z </w:t>
      </w:r>
      <w:r w:rsidRPr="00404DA5">
        <w:rPr>
          <w:rFonts w:cs="Calibri"/>
          <w:szCs w:val="20"/>
        </w:rPr>
        <w:t>mokrym systemem oczyszczania spalin. ZUO</w:t>
      </w:r>
      <w:r w:rsidR="00E66B89">
        <w:rPr>
          <w:rFonts w:cs="Calibri"/>
          <w:szCs w:val="20"/>
        </w:rPr>
        <w:t xml:space="preserve"> w </w:t>
      </w:r>
      <w:r w:rsidRPr="00404DA5">
        <w:rPr>
          <w:rFonts w:cs="Calibri"/>
          <w:szCs w:val="20"/>
        </w:rPr>
        <w:t>Szczecinie zapewnia odzysk ciepła wytwarzanego</w:t>
      </w:r>
      <w:r w:rsidR="00E66B89">
        <w:rPr>
          <w:rFonts w:cs="Calibri"/>
          <w:szCs w:val="20"/>
        </w:rPr>
        <w:t xml:space="preserve"> w </w:t>
      </w:r>
      <w:r w:rsidRPr="00404DA5">
        <w:rPr>
          <w:rFonts w:cs="Calibri"/>
          <w:szCs w:val="20"/>
        </w:rPr>
        <w:t>procesie spalania. Ponadto przyczynia się do zmniejszenia ilości odpadów deponowanych na składowiskach oraz usprawnia zagospodarowanie odpadów</w:t>
      </w:r>
      <w:r w:rsidR="00E66B89">
        <w:rPr>
          <w:rFonts w:cs="Calibri"/>
          <w:szCs w:val="20"/>
        </w:rPr>
        <w:t xml:space="preserve"> w </w:t>
      </w:r>
      <w:r w:rsidRPr="00404DA5">
        <w:rPr>
          <w:rFonts w:cs="Calibri"/>
          <w:szCs w:val="20"/>
        </w:rPr>
        <w:t>województwie (w szczególności</w:t>
      </w:r>
      <w:r>
        <w:rPr>
          <w:rFonts w:cs="Calibri"/>
          <w:szCs w:val="20"/>
        </w:rPr>
        <w:t>,</w:t>
      </w:r>
      <w:r w:rsidR="00E66B89">
        <w:rPr>
          <w:rFonts w:cs="Calibri"/>
          <w:szCs w:val="20"/>
        </w:rPr>
        <w:t xml:space="preserve"> w </w:t>
      </w:r>
      <w:r w:rsidRPr="00404DA5">
        <w:rPr>
          <w:rFonts w:cs="Calibri"/>
          <w:szCs w:val="20"/>
        </w:rPr>
        <w:t>zakresie frakcji odpadów kalorycznych</w:t>
      </w:r>
      <w:r w:rsidR="00E66B89">
        <w:rPr>
          <w:rFonts w:cs="Calibri"/>
          <w:szCs w:val="20"/>
        </w:rPr>
        <w:t xml:space="preserve"> o </w:t>
      </w:r>
      <w:r w:rsidRPr="00404DA5">
        <w:rPr>
          <w:rFonts w:cs="Calibri"/>
          <w:szCs w:val="20"/>
        </w:rPr>
        <w:t>niskim potencjale do recyklingu).</w:t>
      </w:r>
    </w:p>
    <w:p w14:paraId="06B92AAA" w14:textId="77777777" w:rsidR="009D215A" w:rsidRPr="00404DA5" w:rsidRDefault="009D215A" w:rsidP="009D215A">
      <w:pPr>
        <w:rPr>
          <w:rFonts w:cs="Calibri"/>
          <w:szCs w:val="20"/>
        </w:rPr>
      </w:pPr>
      <w:r w:rsidRPr="00404DA5">
        <w:rPr>
          <w:rFonts w:cs="Calibri"/>
          <w:szCs w:val="20"/>
        </w:rPr>
        <w:t>W województwie zachodniopomorskim odpady</w:t>
      </w:r>
      <w:r w:rsidR="00E66B89">
        <w:rPr>
          <w:rFonts w:cs="Calibri"/>
          <w:szCs w:val="20"/>
        </w:rPr>
        <w:t xml:space="preserve"> w </w:t>
      </w:r>
      <w:r w:rsidRPr="00404DA5">
        <w:rPr>
          <w:rFonts w:cs="Calibri"/>
          <w:szCs w:val="20"/>
        </w:rPr>
        <w:t>2017 r. wytwarzane były głównie przez przemysł chemiczny, energetyczny</w:t>
      </w:r>
      <w:r w:rsidR="00E66B89">
        <w:rPr>
          <w:rFonts w:cs="Calibri"/>
          <w:szCs w:val="20"/>
        </w:rPr>
        <w:t xml:space="preserve"> i </w:t>
      </w:r>
      <w:r w:rsidRPr="00404DA5">
        <w:rPr>
          <w:rFonts w:cs="Calibri"/>
          <w:szCs w:val="20"/>
        </w:rPr>
        <w:t>sektor komunalny (na początku okresu programowania</w:t>
      </w:r>
      <w:r>
        <w:rPr>
          <w:rFonts w:cs="Calibri"/>
          <w:szCs w:val="20"/>
        </w:rPr>
        <w:t>,</w:t>
      </w:r>
      <w:r w:rsidR="00E66B89">
        <w:rPr>
          <w:rFonts w:cs="Calibri"/>
          <w:szCs w:val="20"/>
        </w:rPr>
        <w:t xml:space="preserve"> w </w:t>
      </w:r>
      <w:r w:rsidRPr="00404DA5">
        <w:rPr>
          <w:rFonts w:cs="Calibri"/>
          <w:szCs w:val="20"/>
        </w:rPr>
        <w:t>roku 2014</w:t>
      </w:r>
      <w:r>
        <w:rPr>
          <w:rFonts w:cs="Calibri"/>
          <w:szCs w:val="20"/>
        </w:rPr>
        <w:t>,</w:t>
      </w:r>
      <w:r w:rsidRPr="00404DA5">
        <w:rPr>
          <w:rFonts w:cs="Calibri"/>
          <w:szCs w:val="20"/>
        </w:rPr>
        <w:t xml:space="preserve"> istotny był też udział sektora przetwórstwa drewna). Według danych zgromadzonych</w:t>
      </w:r>
      <w:r w:rsidR="00E66B89">
        <w:rPr>
          <w:rFonts w:cs="Calibri"/>
          <w:szCs w:val="20"/>
        </w:rPr>
        <w:t xml:space="preserve"> w </w:t>
      </w:r>
      <w:r w:rsidRPr="00404DA5">
        <w:rPr>
          <w:rFonts w:cs="Calibri"/>
          <w:szCs w:val="20"/>
        </w:rPr>
        <w:t>Wojewódzkim Systemie Odpadowym (WSO),</w:t>
      </w:r>
      <w:r w:rsidR="00E66B89">
        <w:rPr>
          <w:rFonts w:cs="Calibri"/>
          <w:szCs w:val="20"/>
        </w:rPr>
        <w:t xml:space="preserve"> w </w:t>
      </w:r>
      <w:r w:rsidRPr="00404DA5">
        <w:rPr>
          <w:rFonts w:cs="Calibri"/>
          <w:szCs w:val="20"/>
        </w:rPr>
        <w:t>2014 roku wytworzono odpowiednio 5,9 mln Mg odpadów</w:t>
      </w:r>
      <w:r w:rsidR="00E66B89">
        <w:rPr>
          <w:rFonts w:cs="Calibri"/>
          <w:szCs w:val="20"/>
        </w:rPr>
        <w:t xml:space="preserve"> z </w:t>
      </w:r>
      <w:r w:rsidRPr="00404DA5">
        <w:rPr>
          <w:rFonts w:cs="Calibri"/>
          <w:szCs w:val="20"/>
        </w:rPr>
        <w:t>sektora gospodarczego (w roku 2017 wytworzono już ok. 7,8 mln Mg odpadów</w:t>
      </w:r>
      <w:r w:rsidR="00E66B89">
        <w:rPr>
          <w:rFonts w:cs="Calibri"/>
          <w:szCs w:val="20"/>
        </w:rPr>
        <w:t xml:space="preserve"> z </w:t>
      </w:r>
      <w:r>
        <w:rPr>
          <w:rFonts w:cs="Calibri"/>
          <w:szCs w:val="20"/>
        </w:rPr>
        <w:t>tej grupy</w:t>
      </w:r>
      <w:r w:rsidRPr="00404DA5">
        <w:rPr>
          <w:rFonts w:cs="Calibri"/>
          <w:szCs w:val="20"/>
        </w:rPr>
        <w:t>). Nie zmienia się struktura udział</w:t>
      </w:r>
      <w:r>
        <w:rPr>
          <w:rFonts w:cs="Calibri"/>
          <w:szCs w:val="20"/>
        </w:rPr>
        <w:t>u</w:t>
      </w:r>
      <w:r w:rsidRPr="00404DA5">
        <w:rPr>
          <w:rFonts w:cs="Calibri"/>
          <w:szCs w:val="20"/>
        </w:rPr>
        <w:t xml:space="preserve"> tych odpadów, ponad 50% stanowią odpady wytworzone przez Grupę Azoty Zakłady Chemiczne POLICE S.A. Obserwowane</w:t>
      </w:r>
      <w:r w:rsidR="00E66B89">
        <w:rPr>
          <w:rFonts w:cs="Calibri"/>
          <w:szCs w:val="20"/>
        </w:rPr>
        <w:t xml:space="preserve"> w </w:t>
      </w:r>
      <w:r w:rsidRPr="00404DA5">
        <w:rPr>
          <w:rFonts w:cs="Calibri"/>
          <w:szCs w:val="20"/>
        </w:rPr>
        <w:t>województwie różnice</w:t>
      </w:r>
      <w:r w:rsidR="00E66B89">
        <w:rPr>
          <w:rFonts w:cs="Calibri"/>
          <w:szCs w:val="20"/>
        </w:rPr>
        <w:t xml:space="preserve"> w </w:t>
      </w:r>
      <w:r w:rsidRPr="00404DA5">
        <w:rPr>
          <w:rFonts w:cs="Calibri"/>
          <w:szCs w:val="20"/>
        </w:rPr>
        <w:t>ilości wytworzonych odpadów wiążą się</w:t>
      </w:r>
      <w:r w:rsidR="00E66B89">
        <w:rPr>
          <w:rFonts w:cs="Calibri"/>
          <w:szCs w:val="20"/>
        </w:rPr>
        <w:t xml:space="preserve"> z </w:t>
      </w:r>
      <w:r w:rsidRPr="00404DA5">
        <w:rPr>
          <w:rFonts w:cs="Calibri"/>
          <w:szCs w:val="20"/>
        </w:rPr>
        <w:t>wahaniami wielkości produkcji tego Zakładu. Charakterystyczne dla Zakładów fosfogipsy oraz roztwory</w:t>
      </w:r>
      <w:r w:rsidR="00E66B89">
        <w:rPr>
          <w:rFonts w:cs="Calibri"/>
          <w:szCs w:val="20"/>
        </w:rPr>
        <w:t xml:space="preserve"> i </w:t>
      </w:r>
      <w:r w:rsidRPr="00404DA5">
        <w:rPr>
          <w:rFonts w:cs="Calibri"/>
          <w:szCs w:val="20"/>
        </w:rPr>
        <w:t>szlamy</w:t>
      </w:r>
      <w:r w:rsidR="00E66B89">
        <w:rPr>
          <w:rFonts w:cs="Calibri"/>
          <w:szCs w:val="20"/>
        </w:rPr>
        <w:t xml:space="preserve"> z </w:t>
      </w:r>
      <w:r w:rsidRPr="00404DA5">
        <w:rPr>
          <w:rFonts w:cs="Calibri"/>
          <w:szCs w:val="20"/>
        </w:rPr>
        <w:t>regeneracji wymienników jonitowych stanowiły odpowiednio 46% całego strumienia odpadów wytworzonych</w:t>
      </w:r>
      <w:r w:rsidR="00E66B89">
        <w:rPr>
          <w:rFonts w:cs="Calibri"/>
          <w:szCs w:val="20"/>
        </w:rPr>
        <w:t xml:space="preserve"> w </w:t>
      </w:r>
      <w:r w:rsidRPr="00404DA5">
        <w:rPr>
          <w:rFonts w:cs="Calibri"/>
          <w:szCs w:val="20"/>
        </w:rPr>
        <w:t>województwie. Według danych zgromadzonych</w:t>
      </w:r>
      <w:r w:rsidR="00E66B89">
        <w:rPr>
          <w:rFonts w:cs="Calibri"/>
          <w:szCs w:val="20"/>
        </w:rPr>
        <w:t xml:space="preserve"> w </w:t>
      </w:r>
      <w:r w:rsidRPr="00404DA5">
        <w:rPr>
          <w:rFonts w:cs="Calibri"/>
          <w:szCs w:val="20"/>
        </w:rPr>
        <w:t>Wojewódzkim Systemie Odpadowym,</w:t>
      </w:r>
      <w:r w:rsidR="00E66B89">
        <w:rPr>
          <w:rFonts w:cs="Calibri"/>
          <w:szCs w:val="20"/>
        </w:rPr>
        <w:t xml:space="preserve"> w </w:t>
      </w:r>
      <w:r w:rsidRPr="00404DA5">
        <w:rPr>
          <w:rFonts w:cs="Calibri"/>
          <w:szCs w:val="20"/>
        </w:rPr>
        <w:t>roku 2014 odzyskowi poddano 44,5% odpadów</w:t>
      </w:r>
      <w:r w:rsidR="00E66B89">
        <w:rPr>
          <w:rFonts w:cs="Calibri"/>
          <w:szCs w:val="20"/>
        </w:rPr>
        <w:t xml:space="preserve"> z </w:t>
      </w:r>
      <w:r w:rsidRPr="00404DA5">
        <w:rPr>
          <w:rFonts w:cs="Calibri"/>
          <w:szCs w:val="20"/>
        </w:rPr>
        <w:t>sektora gospodarczego, unieszkodliwieniu (poza składowaniem) – 20,8%, unieszkodliwieniu przez składowanie – 34,7%. Według danych zgromadzonych</w:t>
      </w:r>
      <w:r w:rsidR="00E66B89">
        <w:rPr>
          <w:rFonts w:cs="Calibri"/>
          <w:szCs w:val="20"/>
        </w:rPr>
        <w:t xml:space="preserve"> w </w:t>
      </w:r>
      <w:r w:rsidRPr="00404DA5">
        <w:rPr>
          <w:rFonts w:cs="Calibri"/>
          <w:szCs w:val="20"/>
        </w:rPr>
        <w:t>Wojewódzkim Systemie Odpadowym (WSO)</w:t>
      </w:r>
      <w:r w:rsidR="00E66B89">
        <w:rPr>
          <w:rFonts w:cs="Calibri"/>
          <w:szCs w:val="20"/>
        </w:rPr>
        <w:t xml:space="preserve"> w </w:t>
      </w:r>
      <w:r w:rsidRPr="00404DA5">
        <w:rPr>
          <w:rFonts w:cs="Calibri"/>
          <w:szCs w:val="20"/>
        </w:rPr>
        <w:t>roku 2017 odzyskowi poddano 48,2% odpadów</w:t>
      </w:r>
      <w:r w:rsidR="00E66B89">
        <w:rPr>
          <w:rFonts w:cs="Calibri"/>
          <w:szCs w:val="20"/>
        </w:rPr>
        <w:t xml:space="preserve"> z </w:t>
      </w:r>
      <w:r w:rsidRPr="00404DA5">
        <w:rPr>
          <w:rFonts w:cs="Calibri"/>
          <w:szCs w:val="20"/>
        </w:rPr>
        <w:t>sektora gospodarczego, unieszkodliwieniu (poza składowaniem) 19,9%,</w:t>
      </w:r>
      <w:r w:rsidR="00E66B89">
        <w:rPr>
          <w:rFonts w:cs="Calibri"/>
          <w:szCs w:val="20"/>
        </w:rPr>
        <w:t xml:space="preserve"> a </w:t>
      </w:r>
      <w:r w:rsidRPr="00404DA5">
        <w:rPr>
          <w:rFonts w:cs="Calibri"/>
          <w:szCs w:val="20"/>
        </w:rPr>
        <w:t>unieszkodliwieniu przez składowanie 31,9% (w 2014 r. było to odpowiednio 44,5%, 20,8% oraz 34,7%). Można zatem ocenić, iż sytuacja na przestrzeni kilku ostatnich lat nie uległa istotnym zmianom</w:t>
      </w:r>
      <w:r w:rsidR="00E66B89">
        <w:rPr>
          <w:rFonts w:cs="Calibri"/>
          <w:szCs w:val="20"/>
        </w:rPr>
        <w:t xml:space="preserve"> w </w:t>
      </w:r>
      <w:r w:rsidRPr="00404DA5">
        <w:rPr>
          <w:rFonts w:cs="Calibri"/>
          <w:szCs w:val="20"/>
        </w:rPr>
        <w:t>tym zakresie. Odpady niebezpieczne</w:t>
      </w:r>
      <w:r w:rsidR="00E66B89">
        <w:rPr>
          <w:rFonts w:cs="Calibri"/>
          <w:szCs w:val="20"/>
        </w:rPr>
        <w:t xml:space="preserve"> z </w:t>
      </w:r>
      <w:r w:rsidRPr="00404DA5">
        <w:rPr>
          <w:rFonts w:cs="Calibri"/>
          <w:szCs w:val="20"/>
        </w:rPr>
        <w:t>sektora gospodarczego</w:t>
      </w:r>
      <w:r w:rsidR="00E66B89">
        <w:rPr>
          <w:rFonts w:cs="Calibri"/>
          <w:szCs w:val="20"/>
        </w:rPr>
        <w:t xml:space="preserve"> w </w:t>
      </w:r>
      <w:r w:rsidRPr="00404DA5">
        <w:rPr>
          <w:rFonts w:cs="Calibri"/>
          <w:szCs w:val="20"/>
        </w:rPr>
        <w:t>roku 2014 stanowiły około 0,7% całego strumienia odpadów wytworzonych</w:t>
      </w:r>
      <w:r w:rsidR="00E66B89">
        <w:rPr>
          <w:rFonts w:cs="Calibri"/>
          <w:szCs w:val="20"/>
        </w:rPr>
        <w:t xml:space="preserve"> w </w:t>
      </w:r>
      <w:r w:rsidRPr="00404DA5">
        <w:rPr>
          <w:rFonts w:cs="Calibri"/>
          <w:szCs w:val="20"/>
        </w:rPr>
        <w:t>województwie. Dwa składowiska (Dalsze oraz Sianów) posiadają wydzielone kwatery, na których można deponować odpady zawierające azbest.</w:t>
      </w:r>
      <w:r w:rsidR="00E66B89">
        <w:rPr>
          <w:rFonts w:cs="Calibri"/>
          <w:szCs w:val="20"/>
        </w:rPr>
        <w:t xml:space="preserve"> W </w:t>
      </w:r>
      <w:r w:rsidRPr="00404DA5">
        <w:rPr>
          <w:rFonts w:cs="Calibri"/>
          <w:szCs w:val="20"/>
        </w:rPr>
        <w:t>roku 2017 na oba składowiska przyjęto 771 Mg odpadów zawierających azbest. Zgodnie</w:t>
      </w:r>
      <w:r w:rsidR="00E66B89">
        <w:rPr>
          <w:rFonts w:cs="Calibri"/>
          <w:szCs w:val="20"/>
        </w:rPr>
        <w:t xml:space="preserve"> z </w:t>
      </w:r>
      <w:r w:rsidRPr="00404DA5">
        <w:rPr>
          <w:rFonts w:cs="Calibri"/>
          <w:szCs w:val="20"/>
        </w:rPr>
        <w:t>obowiązującymi przepisami prawa, odpady zawierające azbest mogą być wyłącznie unieszkodliwiane na składowiskach odpadów niebezpiecznych lub na wydzielonych częściach składowisk odpadów innych niż niebezpieczne</w:t>
      </w:r>
      <w:r w:rsidR="00E66B89">
        <w:rPr>
          <w:rFonts w:cs="Calibri"/>
          <w:szCs w:val="20"/>
        </w:rPr>
        <w:t xml:space="preserve"> i </w:t>
      </w:r>
      <w:r w:rsidRPr="00404DA5">
        <w:rPr>
          <w:rFonts w:cs="Calibri"/>
          <w:szCs w:val="20"/>
        </w:rPr>
        <w:t>obojętne.</w:t>
      </w:r>
      <w:r w:rsidR="00E66B89">
        <w:rPr>
          <w:rFonts w:cs="Calibri"/>
          <w:szCs w:val="20"/>
        </w:rPr>
        <w:t xml:space="preserve"> W </w:t>
      </w:r>
      <w:r w:rsidRPr="00404DA5">
        <w:rPr>
          <w:rFonts w:cs="Calibri"/>
          <w:szCs w:val="20"/>
        </w:rPr>
        <w:t>stosunku do prognoz dotyczących wytwarzania odpadów zawierających azbest</w:t>
      </w:r>
      <w:r>
        <w:rPr>
          <w:rFonts w:cs="Calibri"/>
          <w:szCs w:val="20"/>
        </w:rPr>
        <w:t>,</w:t>
      </w:r>
      <w:r w:rsidRPr="00404DA5">
        <w:rPr>
          <w:rFonts w:cs="Calibri"/>
          <w:szCs w:val="20"/>
        </w:rPr>
        <w:t xml:space="preserve"> pojemność składowisk</w:t>
      </w:r>
      <w:r w:rsidR="00E66B89">
        <w:rPr>
          <w:rFonts w:cs="Calibri"/>
          <w:szCs w:val="20"/>
        </w:rPr>
        <w:t xml:space="preserve"> w </w:t>
      </w:r>
      <w:r w:rsidRPr="00404DA5">
        <w:rPr>
          <w:rFonts w:cs="Calibri"/>
          <w:szCs w:val="20"/>
        </w:rPr>
        <w:t>województwie nie jest wystarczająca. Na terenie województwa zachodniopomorskiego na terenie 98% gmin przeprowadzona została inwentaryzacja wyrobów zawierających azbest.</w:t>
      </w:r>
    </w:p>
    <w:p w14:paraId="08A66B0B" w14:textId="77777777" w:rsidR="009D215A" w:rsidRPr="00404DA5" w:rsidRDefault="009D215A" w:rsidP="006E34DC">
      <w:pPr>
        <w:pStyle w:val="Legenda"/>
        <w:spacing w:after="0"/>
      </w:pPr>
      <w:bookmarkStart w:id="101" w:name="_Toc8824150"/>
      <w:r w:rsidRPr="00404DA5">
        <w:t xml:space="preserve">Tabela </w:t>
      </w:r>
      <w:r>
        <w:fldChar w:fldCharType="begin"/>
      </w:r>
      <w:r>
        <w:instrText xml:space="preserve"> SEQ Tabela \* ARABIC </w:instrText>
      </w:r>
      <w:r>
        <w:fldChar w:fldCharType="separate"/>
      </w:r>
      <w:r w:rsidR="00763345">
        <w:rPr>
          <w:noProof/>
        </w:rPr>
        <w:t>39</w:t>
      </w:r>
      <w:r>
        <w:fldChar w:fldCharType="end"/>
      </w:r>
      <w:r w:rsidRPr="00404DA5">
        <w:t xml:space="preserve"> Masa wyrobów zawierających azbest</w:t>
      </w:r>
      <w:r w:rsidR="00E66B89">
        <w:t xml:space="preserve"> w </w:t>
      </w:r>
      <w:r w:rsidRPr="00404DA5">
        <w:t>województwie zachodniopomorskim</w:t>
      </w:r>
      <w:bookmarkEnd w:id="101"/>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1134"/>
        <w:gridCol w:w="992"/>
        <w:gridCol w:w="992"/>
        <w:gridCol w:w="992"/>
        <w:gridCol w:w="993"/>
        <w:gridCol w:w="1134"/>
        <w:gridCol w:w="992"/>
        <w:gridCol w:w="992"/>
      </w:tblGrid>
      <w:tr w:rsidR="009D215A" w:rsidRPr="00440816" w14:paraId="594A05E3" w14:textId="77777777" w:rsidTr="007F5283">
        <w:trPr>
          <w:trHeight w:val="255"/>
          <w:tblHeader/>
        </w:trPr>
        <w:tc>
          <w:tcPr>
            <w:tcW w:w="3189" w:type="dxa"/>
            <w:gridSpan w:val="3"/>
            <w:shd w:val="clear" w:color="auto" w:fill="DBE5F1"/>
            <w:noWrap/>
            <w:vAlign w:val="bottom"/>
          </w:tcPr>
          <w:p w14:paraId="736529B5" w14:textId="77777777" w:rsidR="009D215A" w:rsidRPr="008B706B" w:rsidRDefault="009D215A" w:rsidP="00EE58A9">
            <w:pPr>
              <w:jc w:val="center"/>
              <w:rPr>
                <w:rFonts w:cs="Calibri"/>
                <w:color w:val="000000"/>
                <w:sz w:val="18"/>
                <w:szCs w:val="20"/>
              </w:rPr>
            </w:pPr>
            <w:r w:rsidRPr="008B706B">
              <w:rPr>
                <w:rFonts w:cs="Calibri"/>
                <w:color w:val="000000"/>
                <w:sz w:val="18"/>
                <w:szCs w:val="20"/>
              </w:rPr>
              <w:t>Zinwentaryzowane</w:t>
            </w:r>
          </w:p>
        </w:tc>
        <w:tc>
          <w:tcPr>
            <w:tcW w:w="2977" w:type="dxa"/>
            <w:gridSpan w:val="3"/>
            <w:shd w:val="clear" w:color="auto" w:fill="DBE5F1"/>
            <w:noWrap/>
            <w:vAlign w:val="bottom"/>
          </w:tcPr>
          <w:p w14:paraId="0AFE051C" w14:textId="77777777" w:rsidR="009D215A" w:rsidRPr="008B706B" w:rsidRDefault="009D215A" w:rsidP="00EE58A9">
            <w:pPr>
              <w:jc w:val="center"/>
              <w:rPr>
                <w:rFonts w:cs="Calibri"/>
                <w:color w:val="000000"/>
                <w:sz w:val="18"/>
                <w:szCs w:val="20"/>
              </w:rPr>
            </w:pPr>
            <w:r w:rsidRPr="008B706B">
              <w:rPr>
                <w:rFonts w:cs="Calibri"/>
                <w:color w:val="000000"/>
                <w:sz w:val="18"/>
                <w:szCs w:val="20"/>
              </w:rPr>
              <w:t>Unieszkodliwione</w:t>
            </w:r>
          </w:p>
        </w:tc>
        <w:tc>
          <w:tcPr>
            <w:tcW w:w="3118" w:type="dxa"/>
            <w:gridSpan w:val="3"/>
            <w:shd w:val="clear" w:color="auto" w:fill="DBE5F1"/>
            <w:noWrap/>
            <w:vAlign w:val="bottom"/>
          </w:tcPr>
          <w:p w14:paraId="4E16BC7E" w14:textId="77777777" w:rsidR="009D215A" w:rsidRPr="008B706B" w:rsidRDefault="009D215A" w:rsidP="00EE58A9">
            <w:pPr>
              <w:jc w:val="center"/>
              <w:rPr>
                <w:rFonts w:cs="Calibri"/>
                <w:color w:val="000000"/>
                <w:sz w:val="18"/>
                <w:szCs w:val="20"/>
              </w:rPr>
            </w:pPr>
            <w:r w:rsidRPr="008B706B">
              <w:rPr>
                <w:rFonts w:cs="Calibri"/>
                <w:color w:val="000000"/>
                <w:sz w:val="18"/>
                <w:szCs w:val="20"/>
              </w:rPr>
              <w:t>Pozostałe do usunięcia</w:t>
            </w:r>
          </w:p>
        </w:tc>
      </w:tr>
      <w:tr w:rsidR="007F5283" w:rsidRPr="00440816" w14:paraId="687CEC56" w14:textId="77777777" w:rsidTr="007F5283">
        <w:trPr>
          <w:trHeight w:val="255"/>
          <w:tblHeader/>
        </w:trPr>
        <w:tc>
          <w:tcPr>
            <w:tcW w:w="1063" w:type="dxa"/>
            <w:shd w:val="clear" w:color="auto" w:fill="DBE5F1"/>
            <w:noWrap/>
            <w:vAlign w:val="bottom"/>
          </w:tcPr>
          <w:p w14:paraId="07D0C6AF" w14:textId="77777777" w:rsidR="009D215A" w:rsidRPr="008B706B" w:rsidRDefault="009D215A" w:rsidP="00EE58A9">
            <w:pPr>
              <w:jc w:val="center"/>
              <w:rPr>
                <w:rFonts w:cs="Calibri"/>
                <w:color w:val="000000"/>
                <w:sz w:val="18"/>
                <w:szCs w:val="20"/>
              </w:rPr>
            </w:pPr>
            <w:r w:rsidRPr="008B706B">
              <w:rPr>
                <w:rFonts w:cs="Calibri"/>
                <w:color w:val="000000"/>
                <w:sz w:val="18"/>
                <w:szCs w:val="20"/>
              </w:rPr>
              <w:t>Razem</w:t>
            </w:r>
          </w:p>
        </w:tc>
        <w:tc>
          <w:tcPr>
            <w:tcW w:w="1134" w:type="dxa"/>
            <w:shd w:val="clear" w:color="auto" w:fill="DBE5F1"/>
            <w:noWrap/>
            <w:vAlign w:val="bottom"/>
          </w:tcPr>
          <w:p w14:paraId="6F62ECA8"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fizyczne</w:t>
            </w:r>
          </w:p>
        </w:tc>
        <w:tc>
          <w:tcPr>
            <w:tcW w:w="992" w:type="dxa"/>
            <w:shd w:val="clear" w:color="auto" w:fill="DBE5F1"/>
            <w:noWrap/>
            <w:vAlign w:val="bottom"/>
          </w:tcPr>
          <w:p w14:paraId="411DD501"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prawne</w:t>
            </w:r>
          </w:p>
        </w:tc>
        <w:tc>
          <w:tcPr>
            <w:tcW w:w="992" w:type="dxa"/>
            <w:shd w:val="clear" w:color="auto" w:fill="DBE5F1"/>
            <w:noWrap/>
            <w:vAlign w:val="bottom"/>
          </w:tcPr>
          <w:p w14:paraId="30815777" w14:textId="77777777" w:rsidR="009D215A" w:rsidRPr="008B706B" w:rsidRDefault="009D215A" w:rsidP="00EE58A9">
            <w:pPr>
              <w:jc w:val="center"/>
              <w:rPr>
                <w:rFonts w:cs="Calibri"/>
                <w:color w:val="000000"/>
                <w:sz w:val="18"/>
                <w:szCs w:val="20"/>
              </w:rPr>
            </w:pPr>
            <w:r w:rsidRPr="008B706B">
              <w:rPr>
                <w:rFonts w:cs="Calibri"/>
                <w:color w:val="000000"/>
                <w:sz w:val="18"/>
                <w:szCs w:val="20"/>
              </w:rPr>
              <w:t>Razem</w:t>
            </w:r>
          </w:p>
        </w:tc>
        <w:tc>
          <w:tcPr>
            <w:tcW w:w="992" w:type="dxa"/>
            <w:shd w:val="clear" w:color="auto" w:fill="DBE5F1"/>
            <w:noWrap/>
            <w:vAlign w:val="bottom"/>
          </w:tcPr>
          <w:p w14:paraId="6D052A5F"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fizyczne</w:t>
            </w:r>
          </w:p>
        </w:tc>
        <w:tc>
          <w:tcPr>
            <w:tcW w:w="993" w:type="dxa"/>
            <w:shd w:val="clear" w:color="auto" w:fill="DBE5F1"/>
            <w:noWrap/>
            <w:vAlign w:val="bottom"/>
          </w:tcPr>
          <w:p w14:paraId="7A377CEA"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prawne</w:t>
            </w:r>
          </w:p>
        </w:tc>
        <w:tc>
          <w:tcPr>
            <w:tcW w:w="1134" w:type="dxa"/>
            <w:shd w:val="clear" w:color="auto" w:fill="DBE5F1"/>
            <w:noWrap/>
            <w:vAlign w:val="bottom"/>
          </w:tcPr>
          <w:p w14:paraId="3DC00755" w14:textId="77777777" w:rsidR="009D215A" w:rsidRPr="008B706B" w:rsidRDefault="009D215A" w:rsidP="00EE58A9">
            <w:pPr>
              <w:jc w:val="center"/>
              <w:rPr>
                <w:rFonts w:cs="Calibri"/>
                <w:color w:val="000000"/>
                <w:sz w:val="18"/>
                <w:szCs w:val="20"/>
              </w:rPr>
            </w:pPr>
            <w:r w:rsidRPr="008B706B">
              <w:rPr>
                <w:rFonts w:cs="Calibri"/>
                <w:color w:val="000000"/>
                <w:sz w:val="18"/>
                <w:szCs w:val="20"/>
              </w:rPr>
              <w:t>Razem</w:t>
            </w:r>
          </w:p>
        </w:tc>
        <w:tc>
          <w:tcPr>
            <w:tcW w:w="992" w:type="dxa"/>
            <w:shd w:val="clear" w:color="auto" w:fill="DBE5F1"/>
            <w:noWrap/>
            <w:vAlign w:val="bottom"/>
          </w:tcPr>
          <w:p w14:paraId="0AE61821"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fizyczne</w:t>
            </w:r>
          </w:p>
        </w:tc>
        <w:tc>
          <w:tcPr>
            <w:tcW w:w="992" w:type="dxa"/>
            <w:shd w:val="clear" w:color="auto" w:fill="DBE5F1"/>
            <w:noWrap/>
            <w:vAlign w:val="bottom"/>
          </w:tcPr>
          <w:p w14:paraId="38387212" w14:textId="77777777" w:rsidR="009D215A" w:rsidRPr="008B706B" w:rsidRDefault="009D215A" w:rsidP="00EE58A9">
            <w:pPr>
              <w:jc w:val="center"/>
              <w:rPr>
                <w:rFonts w:cs="Calibri"/>
                <w:color w:val="000000"/>
                <w:sz w:val="18"/>
                <w:szCs w:val="20"/>
              </w:rPr>
            </w:pPr>
            <w:r w:rsidRPr="008B706B">
              <w:rPr>
                <w:rFonts w:cs="Calibri"/>
                <w:color w:val="000000"/>
                <w:sz w:val="18"/>
                <w:szCs w:val="20"/>
              </w:rPr>
              <w:t>Osoby prawne</w:t>
            </w:r>
          </w:p>
        </w:tc>
      </w:tr>
      <w:tr w:rsidR="007F5283" w:rsidRPr="00440816" w14:paraId="717CB4AB" w14:textId="77777777" w:rsidTr="007F5283">
        <w:trPr>
          <w:trHeight w:val="255"/>
        </w:trPr>
        <w:tc>
          <w:tcPr>
            <w:tcW w:w="1063" w:type="dxa"/>
            <w:shd w:val="clear" w:color="auto" w:fill="auto"/>
            <w:noWrap/>
            <w:vAlign w:val="center"/>
            <w:hideMark/>
          </w:tcPr>
          <w:p w14:paraId="1B838A3E" w14:textId="77777777" w:rsidR="009D215A" w:rsidRPr="008B706B" w:rsidRDefault="009D215A" w:rsidP="007F5283">
            <w:pPr>
              <w:jc w:val="center"/>
              <w:rPr>
                <w:rFonts w:cs="Calibri"/>
                <w:color w:val="000000"/>
                <w:sz w:val="18"/>
                <w:szCs w:val="20"/>
              </w:rPr>
            </w:pPr>
            <w:r w:rsidRPr="008B706B">
              <w:rPr>
                <w:rFonts w:cs="Calibri"/>
                <w:color w:val="000000"/>
                <w:sz w:val="18"/>
                <w:szCs w:val="20"/>
              </w:rPr>
              <w:t>161 381 074</w:t>
            </w:r>
          </w:p>
        </w:tc>
        <w:tc>
          <w:tcPr>
            <w:tcW w:w="1134" w:type="dxa"/>
            <w:shd w:val="clear" w:color="auto" w:fill="auto"/>
            <w:noWrap/>
            <w:vAlign w:val="center"/>
            <w:hideMark/>
          </w:tcPr>
          <w:p w14:paraId="205B2EB0" w14:textId="77777777" w:rsidR="009D215A" w:rsidRPr="008B706B" w:rsidRDefault="009D215A" w:rsidP="007F5283">
            <w:pPr>
              <w:jc w:val="center"/>
              <w:rPr>
                <w:rFonts w:cs="Calibri"/>
                <w:color w:val="000000"/>
                <w:sz w:val="18"/>
                <w:szCs w:val="20"/>
              </w:rPr>
            </w:pPr>
            <w:r w:rsidRPr="008B706B">
              <w:rPr>
                <w:rFonts w:cs="Calibri"/>
                <w:color w:val="000000"/>
                <w:sz w:val="18"/>
                <w:szCs w:val="20"/>
              </w:rPr>
              <w:t>127 606 358</w:t>
            </w:r>
          </w:p>
        </w:tc>
        <w:tc>
          <w:tcPr>
            <w:tcW w:w="992" w:type="dxa"/>
            <w:shd w:val="clear" w:color="auto" w:fill="auto"/>
            <w:noWrap/>
            <w:vAlign w:val="center"/>
            <w:hideMark/>
          </w:tcPr>
          <w:p w14:paraId="651AD852" w14:textId="77777777" w:rsidR="009D215A" w:rsidRPr="008B706B" w:rsidRDefault="009D215A" w:rsidP="007F5283">
            <w:pPr>
              <w:jc w:val="center"/>
              <w:rPr>
                <w:rFonts w:cs="Calibri"/>
                <w:color w:val="000000"/>
                <w:sz w:val="18"/>
                <w:szCs w:val="20"/>
              </w:rPr>
            </w:pPr>
            <w:r w:rsidRPr="008B706B">
              <w:rPr>
                <w:rFonts w:cs="Calibri"/>
                <w:color w:val="000000"/>
                <w:sz w:val="18"/>
                <w:szCs w:val="20"/>
              </w:rPr>
              <w:t>33 774 716</w:t>
            </w:r>
          </w:p>
        </w:tc>
        <w:tc>
          <w:tcPr>
            <w:tcW w:w="992" w:type="dxa"/>
            <w:shd w:val="clear" w:color="auto" w:fill="auto"/>
            <w:noWrap/>
            <w:vAlign w:val="center"/>
            <w:hideMark/>
          </w:tcPr>
          <w:p w14:paraId="51E9BF71" w14:textId="77777777" w:rsidR="009D215A" w:rsidRPr="008B706B" w:rsidRDefault="009D215A" w:rsidP="007F5283">
            <w:pPr>
              <w:jc w:val="center"/>
              <w:rPr>
                <w:rFonts w:cs="Calibri"/>
                <w:color w:val="000000"/>
                <w:sz w:val="18"/>
                <w:szCs w:val="20"/>
              </w:rPr>
            </w:pPr>
            <w:r w:rsidRPr="008B706B">
              <w:rPr>
                <w:rFonts w:cs="Calibri"/>
                <w:color w:val="000000"/>
                <w:sz w:val="18"/>
                <w:szCs w:val="20"/>
              </w:rPr>
              <w:t>51 111 514</w:t>
            </w:r>
          </w:p>
        </w:tc>
        <w:tc>
          <w:tcPr>
            <w:tcW w:w="992" w:type="dxa"/>
            <w:shd w:val="clear" w:color="auto" w:fill="auto"/>
            <w:noWrap/>
            <w:vAlign w:val="center"/>
            <w:hideMark/>
          </w:tcPr>
          <w:p w14:paraId="0F624358" w14:textId="77777777" w:rsidR="009D215A" w:rsidRPr="008B706B" w:rsidRDefault="009D215A" w:rsidP="007F5283">
            <w:pPr>
              <w:jc w:val="center"/>
              <w:rPr>
                <w:rFonts w:cs="Calibri"/>
                <w:color w:val="000000"/>
                <w:sz w:val="18"/>
                <w:szCs w:val="20"/>
              </w:rPr>
            </w:pPr>
            <w:r w:rsidRPr="008B706B">
              <w:rPr>
                <w:rFonts w:cs="Calibri"/>
                <w:color w:val="000000"/>
                <w:sz w:val="18"/>
                <w:szCs w:val="20"/>
              </w:rPr>
              <w:t>48 078 811</w:t>
            </w:r>
          </w:p>
        </w:tc>
        <w:tc>
          <w:tcPr>
            <w:tcW w:w="993" w:type="dxa"/>
            <w:shd w:val="clear" w:color="auto" w:fill="auto"/>
            <w:noWrap/>
            <w:vAlign w:val="center"/>
            <w:hideMark/>
          </w:tcPr>
          <w:p w14:paraId="47BE5305" w14:textId="77777777" w:rsidR="009D215A" w:rsidRPr="008B706B" w:rsidRDefault="009D215A" w:rsidP="007F5283">
            <w:pPr>
              <w:jc w:val="center"/>
              <w:rPr>
                <w:rFonts w:cs="Calibri"/>
                <w:color w:val="000000"/>
                <w:sz w:val="18"/>
                <w:szCs w:val="20"/>
              </w:rPr>
            </w:pPr>
            <w:r w:rsidRPr="008B706B">
              <w:rPr>
                <w:rFonts w:cs="Calibri"/>
                <w:color w:val="000000"/>
                <w:sz w:val="18"/>
                <w:szCs w:val="20"/>
              </w:rPr>
              <w:t>3 032 702</w:t>
            </w:r>
          </w:p>
        </w:tc>
        <w:tc>
          <w:tcPr>
            <w:tcW w:w="1134" w:type="dxa"/>
            <w:shd w:val="clear" w:color="auto" w:fill="auto"/>
            <w:noWrap/>
            <w:vAlign w:val="center"/>
            <w:hideMark/>
          </w:tcPr>
          <w:p w14:paraId="6B83CEAA" w14:textId="77777777" w:rsidR="009D215A" w:rsidRPr="008B706B" w:rsidRDefault="009D215A" w:rsidP="007F5283">
            <w:pPr>
              <w:jc w:val="center"/>
              <w:rPr>
                <w:rFonts w:cs="Calibri"/>
                <w:color w:val="000000"/>
                <w:sz w:val="18"/>
                <w:szCs w:val="20"/>
              </w:rPr>
            </w:pPr>
            <w:r w:rsidRPr="008B706B">
              <w:rPr>
                <w:rFonts w:cs="Calibri"/>
                <w:color w:val="000000"/>
                <w:sz w:val="18"/>
                <w:szCs w:val="20"/>
              </w:rPr>
              <w:t>110 269 560</w:t>
            </w:r>
          </w:p>
        </w:tc>
        <w:tc>
          <w:tcPr>
            <w:tcW w:w="992" w:type="dxa"/>
            <w:shd w:val="clear" w:color="auto" w:fill="auto"/>
            <w:noWrap/>
            <w:vAlign w:val="center"/>
            <w:hideMark/>
          </w:tcPr>
          <w:p w14:paraId="3A9C4685" w14:textId="77777777" w:rsidR="009D215A" w:rsidRPr="008B706B" w:rsidRDefault="009D215A" w:rsidP="007F5283">
            <w:pPr>
              <w:jc w:val="center"/>
              <w:rPr>
                <w:rFonts w:cs="Calibri"/>
                <w:color w:val="000000"/>
                <w:sz w:val="18"/>
                <w:szCs w:val="20"/>
              </w:rPr>
            </w:pPr>
            <w:r w:rsidRPr="008B706B">
              <w:rPr>
                <w:rFonts w:cs="Calibri"/>
                <w:color w:val="000000"/>
                <w:sz w:val="18"/>
                <w:szCs w:val="20"/>
              </w:rPr>
              <w:t>79 527 546</w:t>
            </w:r>
          </w:p>
        </w:tc>
        <w:tc>
          <w:tcPr>
            <w:tcW w:w="992" w:type="dxa"/>
            <w:shd w:val="clear" w:color="auto" w:fill="auto"/>
            <w:noWrap/>
            <w:vAlign w:val="center"/>
            <w:hideMark/>
          </w:tcPr>
          <w:p w14:paraId="184A3269" w14:textId="77777777" w:rsidR="009D215A" w:rsidRPr="008B706B" w:rsidRDefault="009D215A" w:rsidP="007F5283">
            <w:pPr>
              <w:jc w:val="center"/>
              <w:rPr>
                <w:rFonts w:cs="Calibri"/>
                <w:color w:val="000000"/>
                <w:sz w:val="18"/>
                <w:szCs w:val="20"/>
              </w:rPr>
            </w:pPr>
            <w:r w:rsidRPr="008B706B">
              <w:rPr>
                <w:rFonts w:cs="Calibri"/>
                <w:color w:val="000000"/>
                <w:sz w:val="18"/>
                <w:szCs w:val="20"/>
              </w:rPr>
              <w:t>30 742 014</w:t>
            </w:r>
          </w:p>
        </w:tc>
      </w:tr>
    </w:tbl>
    <w:p w14:paraId="582BEBBF" w14:textId="77777777" w:rsidR="009D215A" w:rsidRPr="002A5FDF" w:rsidRDefault="009D215A" w:rsidP="005076BF">
      <w:pPr>
        <w:spacing w:before="0"/>
        <w:rPr>
          <w:i/>
          <w:sz w:val="18"/>
          <w:szCs w:val="20"/>
        </w:rPr>
      </w:pPr>
      <w:r w:rsidRPr="002A5FDF">
        <w:rPr>
          <w:i/>
          <w:sz w:val="18"/>
          <w:szCs w:val="20"/>
        </w:rPr>
        <w:t>Źródło: Ministerstwo Przedsiębiorczości</w:t>
      </w:r>
      <w:r w:rsidR="00E66B89" w:rsidRPr="002A5FDF">
        <w:rPr>
          <w:i/>
          <w:sz w:val="18"/>
          <w:szCs w:val="20"/>
        </w:rPr>
        <w:t xml:space="preserve"> i </w:t>
      </w:r>
      <w:r w:rsidRPr="002A5FDF">
        <w:rPr>
          <w:i/>
          <w:sz w:val="18"/>
          <w:szCs w:val="20"/>
        </w:rPr>
        <w:t>Technologii (dane</w:t>
      </w:r>
      <w:r w:rsidR="00E66B89" w:rsidRPr="002A5FDF">
        <w:rPr>
          <w:i/>
          <w:sz w:val="18"/>
          <w:szCs w:val="20"/>
        </w:rPr>
        <w:t xml:space="preserve"> z </w:t>
      </w:r>
      <w:r w:rsidRPr="002A5FDF">
        <w:rPr>
          <w:i/>
          <w:sz w:val="18"/>
          <w:szCs w:val="20"/>
        </w:rPr>
        <w:t>26 marca 2019 r.)</w:t>
      </w:r>
    </w:p>
    <w:p w14:paraId="27FFE052" w14:textId="77777777" w:rsidR="009D215A" w:rsidRPr="00404DA5" w:rsidRDefault="009D215A" w:rsidP="009D215A">
      <w:pPr>
        <w:rPr>
          <w:rFonts w:cs="Calibri"/>
          <w:szCs w:val="20"/>
        </w:rPr>
      </w:pPr>
      <w:r w:rsidRPr="00404DA5">
        <w:rPr>
          <w:rFonts w:cs="Calibri"/>
          <w:szCs w:val="20"/>
        </w:rPr>
        <w:t>Cele</w:t>
      </w:r>
      <w:r w:rsidR="00E66B89">
        <w:rPr>
          <w:rFonts w:cs="Calibri"/>
          <w:szCs w:val="20"/>
        </w:rPr>
        <w:t xml:space="preserve"> i </w:t>
      </w:r>
      <w:r w:rsidRPr="00404DA5">
        <w:rPr>
          <w:rFonts w:cs="Calibri"/>
          <w:szCs w:val="20"/>
        </w:rPr>
        <w:t>wyzwania istotne</w:t>
      </w:r>
      <w:r w:rsidR="00E66B89">
        <w:rPr>
          <w:rFonts w:cs="Calibri"/>
          <w:szCs w:val="20"/>
        </w:rPr>
        <w:t xml:space="preserve"> z </w:t>
      </w:r>
      <w:r w:rsidRPr="00404DA5">
        <w:rPr>
          <w:rFonts w:cs="Calibri"/>
          <w:szCs w:val="20"/>
        </w:rPr>
        <w:t>punktu widzenia wdrażania PI 6a to:</w:t>
      </w:r>
    </w:p>
    <w:p w14:paraId="1E4D6CC7"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zwiększanie udziału odpadów komunalnych zebranych selektywnie;</w:t>
      </w:r>
    </w:p>
    <w:p w14:paraId="1B52D09B"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zwiększenie udziału odzysku (w szczególności recyklingu</w:t>
      </w:r>
      <w:r w:rsidR="00E66B89">
        <w:rPr>
          <w:rFonts w:ascii="Lato" w:hAnsi="Lato" w:cs="Calibri"/>
          <w:sz w:val="20"/>
          <w:szCs w:val="20"/>
        </w:rPr>
        <w:t xml:space="preserve"> w </w:t>
      </w:r>
      <w:r w:rsidRPr="00404DA5">
        <w:rPr>
          <w:rFonts w:ascii="Lato" w:hAnsi="Lato" w:cs="Calibri"/>
          <w:sz w:val="20"/>
          <w:szCs w:val="20"/>
        </w:rPr>
        <w:t>odniesieniu do szkła, metali, tworzyw sztucznych oraz papieru</w:t>
      </w:r>
      <w:r w:rsidR="00E66B89">
        <w:rPr>
          <w:rFonts w:ascii="Lato" w:hAnsi="Lato" w:cs="Calibri"/>
          <w:sz w:val="20"/>
          <w:szCs w:val="20"/>
        </w:rPr>
        <w:t xml:space="preserve"> i </w:t>
      </w:r>
      <w:r w:rsidRPr="00404DA5">
        <w:rPr>
          <w:rFonts w:ascii="Lato" w:hAnsi="Lato" w:cs="Calibri"/>
          <w:sz w:val="20"/>
          <w:szCs w:val="20"/>
        </w:rPr>
        <w:t>tektury);</w:t>
      </w:r>
    </w:p>
    <w:p w14:paraId="53199AA2"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ograniczenie składowania odpadów ulegających biodegradacji przeznaczonych do składowani</w:t>
      </w:r>
      <w:r>
        <w:rPr>
          <w:rFonts w:ascii="Lato" w:hAnsi="Lato" w:cs="Calibri"/>
          <w:sz w:val="20"/>
          <w:szCs w:val="20"/>
        </w:rPr>
        <w:t>a</w:t>
      </w:r>
      <w:r w:rsidRPr="00404DA5">
        <w:rPr>
          <w:rFonts w:ascii="Lato" w:hAnsi="Lato" w:cs="Calibri"/>
          <w:sz w:val="20"/>
          <w:szCs w:val="20"/>
        </w:rPr>
        <w:t>;</w:t>
      </w:r>
    </w:p>
    <w:p w14:paraId="184E07E7"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podnoszenie świadomości</w:t>
      </w:r>
      <w:r w:rsidR="00E66B89">
        <w:rPr>
          <w:rFonts w:ascii="Lato" w:hAnsi="Lato" w:cs="Calibri"/>
          <w:sz w:val="20"/>
          <w:szCs w:val="20"/>
        </w:rPr>
        <w:t xml:space="preserve"> i </w:t>
      </w:r>
      <w:r w:rsidRPr="00404DA5">
        <w:rPr>
          <w:rFonts w:ascii="Lato" w:hAnsi="Lato" w:cs="Calibri"/>
          <w:sz w:val="20"/>
          <w:szCs w:val="20"/>
        </w:rPr>
        <w:t>wymiany informacji dotyczących m.in.: znaczenia selektywnej zbiórki odpadów;</w:t>
      </w:r>
    </w:p>
    <w:p w14:paraId="0491F499"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lastRenderedPageBreak/>
        <w:t>zapobiegani</w:t>
      </w:r>
      <w:r>
        <w:rPr>
          <w:rFonts w:ascii="Lato" w:hAnsi="Lato" w:cs="Calibri"/>
          <w:sz w:val="20"/>
          <w:szCs w:val="20"/>
        </w:rPr>
        <w:t>e</w:t>
      </w:r>
      <w:r w:rsidRPr="00404DA5">
        <w:rPr>
          <w:rFonts w:ascii="Lato" w:hAnsi="Lato" w:cs="Calibri"/>
          <w:sz w:val="20"/>
          <w:szCs w:val="20"/>
        </w:rPr>
        <w:t xml:space="preserve"> powstawaniu odpadów, negatywne</w:t>
      </w:r>
      <w:r>
        <w:rPr>
          <w:rFonts w:ascii="Lato" w:hAnsi="Lato" w:cs="Calibri"/>
          <w:sz w:val="20"/>
          <w:szCs w:val="20"/>
        </w:rPr>
        <w:t>mu</w:t>
      </w:r>
      <w:r w:rsidRPr="00404DA5">
        <w:rPr>
          <w:rFonts w:ascii="Lato" w:hAnsi="Lato" w:cs="Calibri"/>
          <w:sz w:val="20"/>
          <w:szCs w:val="20"/>
        </w:rPr>
        <w:t xml:space="preserve"> wpływu na środowisko naturalne</w:t>
      </w:r>
      <w:r w:rsidR="00E66B89">
        <w:rPr>
          <w:rFonts w:ascii="Lato" w:hAnsi="Lato" w:cs="Calibri"/>
          <w:sz w:val="20"/>
          <w:szCs w:val="20"/>
        </w:rPr>
        <w:t xml:space="preserve"> i </w:t>
      </w:r>
      <w:r w:rsidRPr="00404DA5">
        <w:rPr>
          <w:rFonts w:ascii="Lato" w:hAnsi="Lato" w:cs="Calibri"/>
          <w:sz w:val="20"/>
          <w:szCs w:val="20"/>
        </w:rPr>
        <w:t>zdrowie ludzi nielegalnych składowisk odpadów czy ich spalania;</w:t>
      </w:r>
    </w:p>
    <w:p w14:paraId="6E615697"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intensyfikowanie działań wynikających</w:t>
      </w:r>
      <w:r w:rsidR="00E66B89">
        <w:rPr>
          <w:rFonts w:ascii="Lato" w:hAnsi="Lato" w:cs="Calibri"/>
          <w:sz w:val="20"/>
          <w:szCs w:val="20"/>
        </w:rPr>
        <w:t xml:space="preserve"> z </w:t>
      </w:r>
      <w:r w:rsidRPr="00404DA5">
        <w:rPr>
          <w:rFonts w:ascii="Lato" w:hAnsi="Lato" w:cs="Calibri"/>
          <w:sz w:val="20"/>
          <w:szCs w:val="20"/>
        </w:rPr>
        <w:t>Programu Oczyszczania Kraju</w:t>
      </w:r>
      <w:r w:rsidR="00E66B89">
        <w:rPr>
          <w:rFonts w:ascii="Lato" w:hAnsi="Lato" w:cs="Calibri"/>
          <w:sz w:val="20"/>
          <w:szCs w:val="20"/>
        </w:rPr>
        <w:t xml:space="preserve"> z </w:t>
      </w:r>
      <w:r w:rsidRPr="00404DA5">
        <w:rPr>
          <w:rFonts w:ascii="Lato" w:hAnsi="Lato" w:cs="Calibri"/>
          <w:sz w:val="20"/>
          <w:szCs w:val="20"/>
        </w:rPr>
        <w:t>Azbestu na lata 2009-2032;</w:t>
      </w:r>
    </w:p>
    <w:p w14:paraId="2743C3DC" w14:textId="77777777" w:rsidR="009D215A" w:rsidRPr="00404DA5" w:rsidRDefault="009D215A" w:rsidP="00093E14">
      <w:pPr>
        <w:pStyle w:val="Akapitzlist"/>
        <w:numPr>
          <w:ilvl w:val="0"/>
          <w:numId w:val="58"/>
        </w:numPr>
        <w:spacing w:after="120" w:line="288" w:lineRule="auto"/>
        <w:rPr>
          <w:rFonts w:ascii="Lato" w:hAnsi="Lato" w:cs="Calibri"/>
          <w:sz w:val="20"/>
          <w:szCs w:val="20"/>
        </w:rPr>
      </w:pPr>
      <w:r w:rsidRPr="00404DA5">
        <w:rPr>
          <w:rFonts w:ascii="Lato" w:hAnsi="Lato" w:cs="Calibri"/>
          <w:sz w:val="20"/>
          <w:szCs w:val="20"/>
        </w:rPr>
        <w:t>wsparcie infrastruktury niezbędn</w:t>
      </w:r>
      <w:r>
        <w:rPr>
          <w:rFonts w:ascii="Lato" w:hAnsi="Lato" w:cs="Calibri"/>
          <w:sz w:val="20"/>
          <w:szCs w:val="20"/>
        </w:rPr>
        <w:t>ej</w:t>
      </w:r>
      <w:r w:rsidRPr="00404DA5">
        <w:rPr>
          <w:rFonts w:ascii="Lato" w:hAnsi="Lato" w:cs="Calibri"/>
          <w:sz w:val="20"/>
          <w:szCs w:val="20"/>
        </w:rPr>
        <w:t xml:space="preserve"> do zapewnienia kompleksowej gospodarki odpadami</w:t>
      </w:r>
      <w:r w:rsidR="00E66B89">
        <w:rPr>
          <w:rFonts w:ascii="Lato" w:hAnsi="Lato" w:cs="Calibri"/>
          <w:sz w:val="20"/>
          <w:szCs w:val="20"/>
        </w:rPr>
        <w:t xml:space="preserve"> w </w:t>
      </w:r>
      <w:r w:rsidRPr="00404DA5">
        <w:rPr>
          <w:rFonts w:ascii="Lato" w:hAnsi="Lato" w:cs="Calibri"/>
          <w:sz w:val="20"/>
          <w:szCs w:val="20"/>
        </w:rPr>
        <w:t>regionie, zaplanowanej zgodnie</w:t>
      </w:r>
      <w:r w:rsidR="00E66B89">
        <w:rPr>
          <w:rFonts w:ascii="Lato" w:hAnsi="Lato" w:cs="Calibri"/>
          <w:sz w:val="20"/>
          <w:szCs w:val="20"/>
        </w:rPr>
        <w:t xml:space="preserve"> z </w:t>
      </w:r>
      <w:r w:rsidRPr="00404DA5">
        <w:rPr>
          <w:rFonts w:ascii="Lato" w:hAnsi="Lato" w:cs="Calibri"/>
          <w:sz w:val="20"/>
          <w:szCs w:val="20"/>
        </w:rPr>
        <w:t>hierarchią postępowania</w:t>
      </w:r>
      <w:r w:rsidR="00E66B89">
        <w:rPr>
          <w:rFonts w:ascii="Lato" w:hAnsi="Lato" w:cs="Calibri"/>
          <w:sz w:val="20"/>
          <w:szCs w:val="20"/>
        </w:rPr>
        <w:t xml:space="preserve"> z </w:t>
      </w:r>
      <w:r w:rsidRPr="00404DA5">
        <w:rPr>
          <w:rFonts w:ascii="Lato" w:hAnsi="Lato" w:cs="Calibri"/>
          <w:sz w:val="20"/>
          <w:szCs w:val="20"/>
        </w:rPr>
        <w:t>odpadami.</w:t>
      </w:r>
    </w:p>
    <w:p w14:paraId="6DBDA310" w14:textId="77777777" w:rsidR="006E0098" w:rsidRPr="00F5769E" w:rsidRDefault="006E0098" w:rsidP="002865C0">
      <w:pPr>
        <w:pStyle w:val="Nagwek3"/>
      </w:pPr>
      <w:r w:rsidRPr="00436D27">
        <w:t>Realizacja Ram Wykonania</w:t>
      </w:r>
      <w:r w:rsidR="00E66B89">
        <w:t xml:space="preserve"> w </w:t>
      </w:r>
      <w:r w:rsidRPr="00436D27">
        <w:t>OP II</w:t>
      </w:r>
      <w:r>
        <w:t>I</w:t>
      </w:r>
    </w:p>
    <w:p w14:paraId="1F259C58" w14:textId="77777777" w:rsidR="006E0098" w:rsidRDefault="006E0098" w:rsidP="006E34DC">
      <w:pPr>
        <w:pStyle w:val="Legenda"/>
        <w:spacing w:after="0"/>
      </w:pPr>
      <w:bookmarkStart w:id="102" w:name="_Toc8824151"/>
      <w:r w:rsidRPr="00436D27">
        <w:t xml:space="preserve">Tabela </w:t>
      </w:r>
      <w:r>
        <w:fldChar w:fldCharType="begin"/>
      </w:r>
      <w:r>
        <w:instrText xml:space="preserve"> SEQ Tabela \* ARABIC </w:instrText>
      </w:r>
      <w:r>
        <w:fldChar w:fldCharType="separate"/>
      </w:r>
      <w:r w:rsidR="00763345">
        <w:rPr>
          <w:noProof/>
        </w:rPr>
        <w:t>40</w:t>
      </w:r>
      <w:r>
        <w:fldChar w:fldCharType="end"/>
      </w:r>
      <w:r w:rsidRPr="00436D27">
        <w:t xml:space="preserve"> Wskaźniki wybrane do Ram Wykonania – stopień osiągnięcia wartości pośrednich</w:t>
      </w:r>
      <w:r w:rsidR="00E66B89">
        <w:t xml:space="preserve"> i </w:t>
      </w:r>
      <w:r w:rsidRPr="00436D27">
        <w:t>docelowych – OP III Ochrona środowiska</w:t>
      </w:r>
      <w:r w:rsidR="00E66B89">
        <w:t xml:space="preserve"> i </w:t>
      </w:r>
      <w:r w:rsidRPr="00436D27">
        <w:t>adaptacja do zmian klimatu</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991"/>
        <w:gridCol w:w="1496"/>
        <w:gridCol w:w="829"/>
        <w:gridCol w:w="1031"/>
        <w:gridCol w:w="743"/>
        <w:gridCol w:w="966"/>
        <w:gridCol w:w="929"/>
        <w:gridCol w:w="836"/>
        <w:gridCol w:w="836"/>
      </w:tblGrid>
      <w:tr w:rsidR="00C22C26" w:rsidRPr="00923D29" w14:paraId="0ACAEA37" w14:textId="77777777" w:rsidTr="005F04FC">
        <w:trPr>
          <w:tblHead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00EB9571" w14:textId="77777777" w:rsidR="000B22EE" w:rsidRPr="000B22EE" w:rsidRDefault="000B22EE" w:rsidP="00D163AB">
            <w:pPr>
              <w:rPr>
                <w:rFonts w:cs="Calibri"/>
                <w:sz w:val="18"/>
                <w:szCs w:val="18"/>
              </w:rPr>
            </w:pPr>
            <w:r w:rsidRPr="000B22EE">
              <w:rPr>
                <w:rFonts w:cs="Calibri"/>
                <w:sz w:val="18"/>
                <w:szCs w:val="18"/>
              </w:rPr>
              <w:t>PI</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68D0CFBD" w14:textId="77777777" w:rsidR="000B22EE" w:rsidRPr="000B22EE" w:rsidRDefault="000B22EE" w:rsidP="00D163AB">
            <w:pPr>
              <w:rPr>
                <w:rFonts w:cs="Calibri"/>
                <w:sz w:val="18"/>
                <w:szCs w:val="18"/>
              </w:rPr>
            </w:pPr>
            <w:r w:rsidRPr="000B22EE">
              <w:rPr>
                <w:rFonts w:cs="Calibri"/>
                <w:sz w:val="18"/>
                <w:szCs w:val="18"/>
              </w:rPr>
              <w:t>Typ wskaźnika</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2DBE6EA3" w14:textId="77777777" w:rsidR="000B22EE" w:rsidRPr="000B22EE" w:rsidRDefault="000B22EE" w:rsidP="00D163AB">
            <w:pPr>
              <w:rPr>
                <w:rFonts w:cs="Calibri"/>
                <w:sz w:val="18"/>
                <w:szCs w:val="18"/>
              </w:rPr>
            </w:pPr>
            <w:r w:rsidRPr="000B22EE">
              <w:rPr>
                <w:rFonts w:cs="Calibri"/>
                <w:sz w:val="18"/>
                <w:szCs w:val="18"/>
              </w:rPr>
              <w:t>Wskaźnik lub KEW</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7DA73482" w14:textId="77777777" w:rsidR="000B22EE" w:rsidRPr="000B22EE" w:rsidRDefault="000B22EE" w:rsidP="00D163AB">
            <w:pPr>
              <w:rPr>
                <w:rFonts w:cs="Calibri"/>
                <w:sz w:val="18"/>
                <w:szCs w:val="18"/>
              </w:rPr>
            </w:pPr>
            <w:r w:rsidRPr="000B22EE">
              <w:rPr>
                <w:rFonts w:cs="Calibri"/>
                <w:sz w:val="18"/>
                <w:szCs w:val="18"/>
              </w:rPr>
              <w:t>Jednostka pomiaru</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12966281" w14:textId="77777777" w:rsidR="000B22EE" w:rsidRPr="000B22EE" w:rsidRDefault="000B22EE" w:rsidP="00D163AB">
            <w:pPr>
              <w:rPr>
                <w:rFonts w:cs="Calibri"/>
                <w:sz w:val="18"/>
                <w:szCs w:val="18"/>
              </w:rPr>
            </w:pPr>
            <w:r w:rsidRPr="000B22EE">
              <w:rPr>
                <w:rFonts w:cs="Calibri"/>
                <w:sz w:val="18"/>
                <w:szCs w:val="18"/>
              </w:rPr>
              <w:t>Wartość kumulatywna</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2E4DAB55" w14:textId="77777777" w:rsidR="000B22EE" w:rsidRPr="000B22EE" w:rsidRDefault="000B22EE" w:rsidP="00D163AB">
            <w:pPr>
              <w:rPr>
                <w:rFonts w:cs="Calibri"/>
                <w:sz w:val="18"/>
                <w:szCs w:val="18"/>
              </w:rPr>
            </w:pPr>
            <w:r w:rsidRPr="000B22EE">
              <w:rPr>
                <w:rFonts w:cs="Calibri"/>
                <w:sz w:val="18"/>
                <w:szCs w:val="18"/>
              </w:rPr>
              <w:t>Cel pośredni na 2018 r.</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74B2A5C1" w14:textId="77777777" w:rsidR="000B22EE" w:rsidRPr="000B22EE" w:rsidRDefault="000B22EE" w:rsidP="00D163AB">
            <w:pPr>
              <w:rPr>
                <w:rFonts w:cs="Calibri"/>
                <w:sz w:val="18"/>
                <w:szCs w:val="18"/>
              </w:rPr>
            </w:pPr>
            <w:r w:rsidRPr="000B22EE">
              <w:rPr>
                <w:rFonts w:cs="Calibri"/>
                <w:sz w:val="18"/>
                <w:szCs w:val="18"/>
              </w:rPr>
              <w:t>% realizacji celu pośredniego</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048DE111" w14:textId="77777777" w:rsidR="000B22EE" w:rsidRPr="000B22EE" w:rsidRDefault="000B22EE" w:rsidP="00D163AB">
            <w:pPr>
              <w:rPr>
                <w:rFonts w:cs="Calibri"/>
                <w:sz w:val="18"/>
                <w:szCs w:val="18"/>
              </w:rPr>
            </w:pPr>
            <w:r w:rsidRPr="000B22EE">
              <w:rPr>
                <w:rFonts w:cs="Calibri"/>
                <w:sz w:val="18"/>
                <w:szCs w:val="18"/>
              </w:rPr>
              <w:t>Wartość docelowa na koniec 2023 r.</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51FFF7B5" w14:textId="77777777" w:rsidR="000B22EE" w:rsidRPr="000B22EE" w:rsidRDefault="000B22EE" w:rsidP="00D163AB">
            <w:pPr>
              <w:rPr>
                <w:rFonts w:cs="Calibri"/>
                <w:sz w:val="18"/>
                <w:szCs w:val="18"/>
              </w:rPr>
            </w:pPr>
            <w:r w:rsidRPr="000B22EE">
              <w:rPr>
                <w:rFonts w:cs="Calibri"/>
                <w:sz w:val="18"/>
                <w:szCs w:val="18"/>
              </w:rPr>
              <w:t>% realizacji wartości docelowej wg WoP</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63CEACE0" w14:textId="77777777" w:rsidR="000B22EE" w:rsidRPr="000B22EE" w:rsidRDefault="000B22EE" w:rsidP="00D163AB">
            <w:pPr>
              <w:rPr>
                <w:rFonts w:cs="Calibri"/>
                <w:sz w:val="18"/>
                <w:szCs w:val="18"/>
              </w:rPr>
            </w:pPr>
            <w:r w:rsidRPr="000B22EE">
              <w:rPr>
                <w:rFonts w:cs="Calibri"/>
                <w:sz w:val="18"/>
                <w:szCs w:val="18"/>
              </w:rPr>
              <w:t>% realizacji wartości docelowej wg UoD</w:t>
            </w:r>
          </w:p>
        </w:tc>
      </w:tr>
      <w:tr w:rsidR="000B22EE" w:rsidRPr="00923D29" w14:paraId="0EA701E2"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87F57B" w14:textId="77777777" w:rsidR="000B22EE" w:rsidRPr="000B22EE" w:rsidRDefault="000B22EE" w:rsidP="00D163AB">
            <w:pPr>
              <w:rPr>
                <w:rFonts w:cs="Calibri"/>
                <w:sz w:val="18"/>
                <w:szCs w:val="18"/>
              </w:rPr>
            </w:pPr>
            <w:r w:rsidRPr="000B22EE">
              <w:rPr>
                <w:rFonts w:cs="Calibri"/>
                <w:sz w:val="18"/>
                <w:szCs w:val="18"/>
              </w:rPr>
              <w:t>5b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E13DAE" w14:textId="77777777" w:rsidR="000B22EE" w:rsidRPr="000B22EE" w:rsidRDefault="000B22EE" w:rsidP="00D163AB">
            <w:pPr>
              <w:rPr>
                <w:rFonts w:cs="Calibri"/>
                <w:sz w:val="18"/>
                <w:szCs w:val="18"/>
              </w:rPr>
            </w:pPr>
            <w:r w:rsidRPr="000B22EE">
              <w:rPr>
                <w:rFonts w:cs="Calibri"/>
                <w:sz w:val="18"/>
                <w:szCs w:val="18"/>
              </w:rPr>
              <w:t>wskaźnik produktu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83FC9" w14:textId="77777777" w:rsidR="000B22EE" w:rsidRPr="000B22EE" w:rsidRDefault="000B22EE" w:rsidP="00D163AB">
            <w:pPr>
              <w:rPr>
                <w:rFonts w:cs="Calibri"/>
                <w:sz w:val="18"/>
                <w:szCs w:val="18"/>
              </w:rPr>
            </w:pPr>
            <w:r w:rsidRPr="000B22EE">
              <w:rPr>
                <w:rFonts w:cs="Calibri"/>
                <w:sz w:val="18"/>
                <w:szCs w:val="18"/>
              </w:rPr>
              <w:t>Liczba urządzeń dla celów ochrony przeciwpowodziowej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3DA5C"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CDB2E"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152CC"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222D7"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5F7DED" w14:textId="77777777" w:rsidR="000B22EE" w:rsidRPr="000B22EE" w:rsidRDefault="000B22EE" w:rsidP="00D163AB">
            <w:pPr>
              <w:rPr>
                <w:rFonts w:cs="Calibri"/>
                <w:sz w:val="18"/>
                <w:szCs w:val="18"/>
              </w:rPr>
            </w:pPr>
            <w:r w:rsidRPr="000B22EE">
              <w:rPr>
                <w:rFonts w:cs="Calibri"/>
                <w:sz w:val="18"/>
                <w:szCs w:val="18"/>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6ED5A0"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061D84" w14:textId="77777777" w:rsidR="000B22EE" w:rsidRPr="000B22EE" w:rsidRDefault="000B22EE" w:rsidP="00D163AB">
            <w:pPr>
              <w:rPr>
                <w:rFonts w:cs="Calibri"/>
                <w:sz w:val="18"/>
                <w:szCs w:val="18"/>
              </w:rPr>
            </w:pPr>
            <w:r w:rsidRPr="000B22EE">
              <w:rPr>
                <w:rFonts w:cs="Calibri"/>
                <w:sz w:val="18"/>
                <w:szCs w:val="18"/>
              </w:rPr>
              <w:t>457%</w:t>
            </w:r>
          </w:p>
        </w:tc>
      </w:tr>
      <w:tr w:rsidR="000B22EE" w:rsidRPr="00923D29" w14:paraId="7F54D15E"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00608" w14:textId="77777777" w:rsidR="000B22EE" w:rsidRPr="000B22EE" w:rsidRDefault="000B22EE" w:rsidP="00D163AB">
            <w:pPr>
              <w:rPr>
                <w:rFonts w:cs="Calibri"/>
                <w:sz w:val="18"/>
                <w:szCs w:val="18"/>
              </w:rPr>
            </w:pPr>
            <w:r w:rsidRPr="000B22EE">
              <w:rPr>
                <w:rFonts w:cs="Calibri"/>
                <w:sz w:val="18"/>
                <w:szCs w:val="18"/>
              </w:rPr>
              <w:t>5b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42CF5" w14:textId="77777777" w:rsidR="000B22EE" w:rsidRPr="000B22EE" w:rsidRDefault="000B22EE" w:rsidP="00D163AB">
            <w:pPr>
              <w:rPr>
                <w:rFonts w:cs="Calibri"/>
                <w:sz w:val="18"/>
                <w:szCs w:val="18"/>
              </w:rPr>
            </w:pPr>
            <w:r w:rsidRPr="000B22EE">
              <w:rPr>
                <w:rFonts w:cs="Calibri"/>
                <w:sz w:val="18"/>
                <w:szCs w:val="18"/>
              </w:rPr>
              <w:t>KEW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D9ADA" w14:textId="77777777" w:rsidR="000B22EE" w:rsidRPr="000B22EE" w:rsidRDefault="000B22EE" w:rsidP="00D163AB">
            <w:pPr>
              <w:rPr>
                <w:rFonts w:cs="Calibri"/>
                <w:sz w:val="18"/>
                <w:szCs w:val="18"/>
              </w:rPr>
            </w:pPr>
            <w:r w:rsidRPr="000B22EE">
              <w:rPr>
                <w:rFonts w:cs="Calibri"/>
                <w:sz w:val="18"/>
                <w:szCs w:val="18"/>
              </w:rPr>
              <w:t>Liczba urządzeń dla celów ochrony przeciwpowodziowej</w:t>
            </w:r>
            <w:r w:rsidR="00E66B89">
              <w:rPr>
                <w:rFonts w:cs="Calibri"/>
                <w:sz w:val="18"/>
                <w:szCs w:val="18"/>
              </w:rPr>
              <w:t xml:space="preserve"> w </w:t>
            </w:r>
            <w:r w:rsidRPr="000B22EE">
              <w:rPr>
                <w:rFonts w:cs="Calibri"/>
                <w:sz w:val="18"/>
                <w:szCs w:val="18"/>
              </w:rPr>
              <w:t>podpisanych umowach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A941A"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B3D6" w14:textId="77777777" w:rsidR="000B22EE" w:rsidRPr="000B22EE" w:rsidRDefault="000B22EE" w:rsidP="00D163AB">
            <w:pPr>
              <w:rPr>
                <w:rFonts w:cs="Calibri"/>
                <w:sz w:val="18"/>
                <w:szCs w:val="18"/>
              </w:rPr>
            </w:pPr>
            <w:r w:rsidRPr="000B22EE">
              <w:rPr>
                <w:rFonts w:cs="Calibri"/>
                <w:sz w:val="18"/>
                <w:szCs w:val="18"/>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00577" w14:textId="77777777" w:rsidR="000B22EE" w:rsidRPr="000B22EE" w:rsidRDefault="000B22EE" w:rsidP="00D163AB">
            <w:pPr>
              <w:rPr>
                <w:rFonts w:cs="Calibri"/>
                <w:sz w:val="18"/>
                <w:szCs w:val="18"/>
              </w:rPr>
            </w:pPr>
            <w:r w:rsidRPr="000B22EE">
              <w:rPr>
                <w:rFonts w:cs="Calibr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E6F35" w14:textId="77777777" w:rsidR="000B22EE" w:rsidRPr="000B22EE" w:rsidRDefault="000B22EE" w:rsidP="00D163AB">
            <w:pPr>
              <w:rPr>
                <w:rFonts w:cs="Calibri"/>
                <w:sz w:val="18"/>
                <w:szCs w:val="18"/>
              </w:rPr>
            </w:pPr>
            <w:r w:rsidRPr="000B22EE">
              <w:rPr>
                <w:rFonts w:cs="Calibri"/>
                <w:sz w:val="18"/>
                <w:szCs w:val="18"/>
              </w:rPr>
              <w:t>3200%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8D4150"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F539B"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74E54" w14:textId="77777777" w:rsidR="000B22EE" w:rsidRPr="000B22EE" w:rsidRDefault="000B22EE" w:rsidP="00D163AB">
            <w:pPr>
              <w:rPr>
                <w:rFonts w:cs="Calibri"/>
                <w:sz w:val="18"/>
                <w:szCs w:val="18"/>
              </w:rPr>
            </w:pPr>
            <w:r w:rsidRPr="000B22EE">
              <w:rPr>
                <w:rFonts w:cs="Calibri"/>
                <w:sz w:val="18"/>
                <w:szCs w:val="18"/>
              </w:rPr>
              <w:t>---</w:t>
            </w:r>
          </w:p>
        </w:tc>
      </w:tr>
      <w:tr w:rsidR="000B22EE" w:rsidRPr="00923D29" w14:paraId="737837B4"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0EFB7" w14:textId="77777777" w:rsidR="000B22EE" w:rsidRPr="000B22EE" w:rsidRDefault="000B22EE" w:rsidP="00D163AB">
            <w:pPr>
              <w:rPr>
                <w:rFonts w:cs="Calibri"/>
                <w:sz w:val="18"/>
                <w:szCs w:val="18"/>
              </w:rPr>
            </w:pPr>
            <w:r w:rsidRPr="000B22EE">
              <w:rPr>
                <w:rFonts w:cs="Calibri"/>
                <w:sz w:val="18"/>
                <w:szCs w:val="18"/>
              </w:rPr>
              <w:t>5b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294752" w14:textId="77777777" w:rsidR="000B22EE" w:rsidRPr="000B22EE" w:rsidRDefault="000B22EE" w:rsidP="00D163AB">
            <w:pPr>
              <w:rPr>
                <w:rFonts w:cs="Calibri"/>
                <w:sz w:val="18"/>
                <w:szCs w:val="18"/>
              </w:rPr>
            </w:pPr>
            <w:r w:rsidRPr="000B22EE">
              <w:rPr>
                <w:rFonts w:cs="Calibri"/>
                <w:sz w:val="18"/>
                <w:szCs w:val="18"/>
              </w:rPr>
              <w:t>wskaźnik produktu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A22121" w14:textId="77777777" w:rsidR="000B22EE" w:rsidRPr="000B22EE" w:rsidRDefault="000B22EE" w:rsidP="00D163AB">
            <w:pPr>
              <w:rPr>
                <w:rFonts w:cs="Calibri"/>
                <w:sz w:val="18"/>
                <w:szCs w:val="18"/>
              </w:rPr>
            </w:pPr>
            <w:r w:rsidRPr="000B22EE">
              <w:rPr>
                <w:rFonts w:cs="Calibri"/>
                <w:sz w:val="18"/>
                <w:szCs w:val="18"/>
              </w:rPr>
              <w:t>Liczba zakupionych wozów pożarniczych wyposażonych</w:t>
            </w:r>
            <w:r w:rsidR="00E66B89">
              <w:rPr>
                <w:rFonts w:cs="Calibri"/>
                <w:sz w:val="18"/>
                <w:szCs w:val="18"/>
              </w:rPr>
              <w:t xml:space="preserve"> w </w:t>
            </w:r>
            <w:r w:rsidRPr="000B22EE">
              <w:rPr>
                <w:rFonts w:cs="Calibri"/>
                <w:sz w:val="18"/>
                <w:szCs w:val="18"/>
              </w:rPr>
              <w:t>sprzęt do prowadzenia akcji ratowniczych</w:t>
            </w:r>
            <w:r w:rsidR="00E66B89">
              <w:rPr>
                <w:rFonts w:cs="Calibri"/>
                <w:sz w:val="18"/>
                <w:szCs w:val="18"/>
              </w:rPr>
              <w:t xml:space="preserve"> i </w:t>
            </w:r>
            <w:r w:rsidRPr="000B22EE">
              <w:rPr>
                <w:rFonts w:cs="Calibri"/>
                <w:sz w:val="18"/>
                <w:szCs w:val="18"/>
              </w:rPr>
              <w:t>usuwania skutków katastrof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DDD111"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A7075"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A93F4D" w14:textId="77777777" w:rsidR="000B22EE" w:rsidRPr="000B22EE" w:rsidRDefault="000B22EE" w:rsidP="00D163AB">
            <w:pPr>
              <w:rPr>
                <w:rFonts w:cs="Calibri"/>
                <w:sz w:val="18"/>
                <w:szCs w:val="18"/>
              </w:rPr>
            </w:pPr>
            <w:r w:rsidRPr="000B22EE">
              <w:rPr>
                <w:rFonts w:cs="Calibri"/>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E3E1F" w14:textId="77777777" w:rsidR="000B22EE" w:rsidRPr="000B22EE" w:rsidRDefault="000B22EE" w:rsidP="00D163AB">
            <w:pPr>
              <w:rPr>
                <w:rFonts w:cs="Calibri"/>
                <w:sz w:val="18"/>
                <w:szCs w:val="18"/>
              </w:rPr>
            </w:pPr>
            <w:r w:rsidRPr="000B22EE">
              <w:rPr>
                <w:rFonts w:cs="Calibri"/>
                <w:sz w:val="18"/>
                <w:szCs w:val="18"/>
              </w:rPr>
              <w:t>733,33%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1FA3C" w14:textId="77777777" w:rsidR="000B22EE" w:rsidRPr="000B22EE" w:rsidRDefault="000B22EE" w:rsidP="00D163AB">
            <w:pPr>
              <w:rPr>
                <w:rFonts w:cs="Calibri"/>
                <w:sz w:val="18"/>
                <w:szCs w:val="18"/>
              </w:rPr>
            </w:pPr>
            <w:r w:rsidRPr="000B22EE">
              <w:rPr>
                <w:rFonts w:cs="Calibri"/>
                <w:sz w:val="18"/>
                <w:szCs w:val="18"/>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79BADE" w14:textId="77777777" w:rsidR="000B22EE" w:rsidRPr="000B22EE" w:rsidRDefault="000B22EE" w:rsidP="00D163AB">
            <w:pPr>
              <w:rPr>
                <w:rFonts w:cs="Calibri"/>
                <w:sz w:val="18"/>
                <w:szCs w:val="18"/>
              </w:rPr>
            </w:pPr>
            <w:r w:rsidRPr="000B22EE">
              <w:rPr>
                <w:rFonts w:cs="Calibri"/>
                <w:sz w:val="18"/>
                <w:szCs w:val="18"/>
              </w:rPr>
              <w:t>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2C624" w14:textId="77777777" w:rsidR="000B22EE" w:rsidRPr="000B22EE" w:rsidRDefault="000B22EE" w:rsidP="00D163AB">
            <w:pPr>
              <w:rPr>
                <w:rFonts w:cs="Calibri"/>
                <w:sz w:val="18"/>
                <w:szCs w:val="18"/>
              </w:rPr>
            </w:pPr>
            <w:r w:rsidRPr="000B22EE">
              <w:rPr>
                <w:rFonts w:cs="Calibri"/>
                <w:sz w:val="18"/>
                <w:szCs w:val="18"/>
              </w:rPr>
              <w:t>171%</w:t>
            </w:r>
          </w:p>
        </w:tc>
      </w:tr>
      <w:tr w:rsidR="000B22EE" w:rsidRPr="00923D29" w14:paraId="040C9087"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DF26B" w14:textId="77777777" w:rsidR="000B22EE" w:rsidRPr="000B22EE" w:rsidRDefault="000B22EE" w:rsidP="00D163AB">
            <w:pPr>
              <w:rPr>
                <w:rFonts w:cs="Calibri"/>
                <w:sz w:val="18"/>
                <w:szCs w:val="18"/>
              </w:rPr>
            </w:pPr>
            <w:r w:rsidRPr="000B22EE">
              <w:rPr>
                <w:rFonts w:cs="Calibri"/>
                <w:sz w:val="18"/>
                <w:szCs w:val="18"/>
              </w:rPr>
              <w:t>6b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49E0CA" w14:textId="77777777" w:rsidR="000B22EE" w:rsidRPr="000B22EE" w:rsidRDefault="000B22EE" w:rsidP="00D163AB">
            <w:pPr>
              <w:rPr>
                <w:rFonts w:cs="Calibri"/>
                <w:sz w:val="18"/>
                <w:szCs w:val="18"/>
              </w:rPr>
            </w:pPr>
            <w:r w:rsidRPr="000B22EE">
              <w:rPr>
                <w:rFonts w:cs="Calibri"/>
                <w:sz w:val="18"/>
                <w:szCs w:val="18"/>
              </w:rPr>
              <w:t>wskaźnik produktu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19121" w14:textId="77777777" w:rsidR="000B22EE" w:rsidRPr="000B22EE" w:rsidRDefault="000B22EE" w:rsidP="00D163AB">
            <w:pPr>
              <w:rPr>
                <w:rFonts w:cs="Calibri"/>
                <w:sz w:val="18"/>
                <w:szCs w:val="18"/>
              </w:rPr>
            </w:pPr>
            <w:r w:rsidRPr="000B22EE">
              <w:rPr>
                <w:rFonts w:cs="Calibri"/>
                <w:sz w:val="18"/>
                <w:szCs w:val="18"/>
              </w:rPr>
              <w:t>Liczba wspartych oczyszczalni ścieków komunalnych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698078"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72617E" w14:textId="77777777" w:rsidR="000B22EE" w:rsidRPr="000B22EE" w:rsidRDefault="000B22EE" w:rsidP="00D163AB">
            <w:pPr>
              <w:rPr>
                <w:rFonts w:cs="Calibri"/>
                <w:sz w:val="18"/>
                <w:szCs w:val="18"/>
              </w:rPr>
            </w:pPr>
            <w:r w:rsidRPr="000B22EE">
              <w:rPr>
                <w:rFonts w:cs="Calibri"/>
                <w:sz w:val="18"/>
                <w:szCs w:val="18"/>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13202C"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C62C7F"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A5EF5C" w14:textId="77777777" w:rsidR="000B22EE" w:rsidRPr="000B22EE" w:rsidRDefault="000B22EE" w:rsidP="00D163AB">
            <w:pPr>
              <w:rPr>
                <w:rFonts w:cs="Calibri"/>
                <w:sz w:val="18"/>
                <w:szCs w:val="18"/>
              </w:rPr>
            </w:pPr>
            <w:r w:rsidRPr="000B22EE">
              <w:rPr>
                <w:rFonts w:cs="Calibr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C737E"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75ECC" w14:textId="77777777" w:rsidR="000B22EE" w:rsidRPr="000B22EE" w:rsidRDefault="000B22EE" w:rsidP="00D163AB">
            <w:pPr>
              <w:rPr>
                <w:rFonts w:cs="Calibri"/>
                <w:sz w:val="18"/>
                <w:szCs w:val="18"/>
              </w:rPr>
            </w:pPr>
            <w:r w:rsidRPr="000B22EE">
              <w:rPr>
                <w:rFonts w:cs="Calibri"/>
                <w:sz w:val="18"/>
                <w:szCs w:val="18"/>
              </w:rPr>
              <w:t>250,0%</w:t>
            </w:r>
          </w:p>
        </w:tc>
      </w:tr>
      <w:tr w:rsidR="000B22EE" w:rsidRPr="00923D29" w14:paraId="0AEF53B6"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114B67" w14:textId="77777777" w:rsidR="000B22EE" w:rsidRPr="000B22EE" w:rsidRDefault="000B22EE" w:rsidP="00D163AB">
            <w:pPr>
              <w:rPr>
                <w:rFonts w:cs="Calibri"/>
                <w:sz w:val="18"/>
                <w:szCs w:val="18"/>
              </w:rPr>
            </w:pPr>
            <w:r w:rsidRPr="000B22EE">
              <w:rPr>
                <w:rFonts w:cs="Calibri"/>
                <w:sz w:val="18"/>
                <w:szCs w:val="18"/>
              </w:rPr>
              <w:lastRenderedPageBreak/>
              <w:t>6b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6AFBF" w14:textId="77777777" w:rsidR="000B22EE" w:rsidRPr="000B22EE" w:rsidRDefault="000B22EE" w:rsidP="00D163AB">
            <w:pPr>
              <w:rPr>
                <w:rFonts w:cs="Calibri"/>
                <w:sz w:val="18"/>
                <w:szCs w:val="18"/>
              </w:rPr>
            </w:pPr>
            <w:r w:rsidRPr="000B22EE">
              <w:rPr>
                <w:rFonts w:cs="Calibri"/>
                <w:sz w:val="18"/>
                <w:szCs w:val="18"/>
              </w:rPr>
              <w:t>KEW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10F9A5" w14:textId="77777777" w:rsidR="000B22EE" w:rsidRPr="000B22EE" w:rsidRDefault="000B22EE" w:rsidP="00D163AB">
            <w:pPr>
              <w:rPr>
                <w:rFonts w:cs="Calibri"/>
                <w:sz w:val="18"/>
                <w:szCs w:val="18"/>
              </w:rPr>
            </w:pPr>
            <w:r w:rsidRPr="000B22EE">
              <w:rPr>
                <w:rFonts w:cs="Calibri"/>
                <w:sz w:val="18"/>
                <w:szCs w:val="18"/>
              </w:rPr>
              <w:t>Liczba wspartych oczyszczalni ścieków komunalnych</w:t>
            </w:r>
            <w:r w:rsidR="00E66B89">
              <w:rPr>
                <w:rFonts w:cs="Calibri"/>
                <w:sz w:val="18"/>
                <w:szCs w:val="18"/>
              </w:rPr>
              <w:t xml:space="preserve"> w </w:t>
            </w:r>
            <w:r w:rsidRPr="000B22EE">
              <w:rPr>
                <w:rFonts w:cs="Calibri"/>
                <w:sz w:val="18"/>
                <w:szCs w:val="18"/>
              </w:rPr>
              <w:t>podpisanych umowach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5FED0"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4D6387"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01686" w14:textId="77777777" w:rsidR="000B22EE" w:rsidRPr="000B22EE" w:rsidRDefault="000B22EE" w:rsidP="00D163AB">
            <w:pPr>
              <w:rPr>
                <w:rFonts w:cs="Calibri"/>
                <w:sz w:val="18"/>
                <w:szCs w:val="18"/>
              </w:rPr>
            </w:pPr>
            <w:r w:rsidRPr="000B22EE">
              <w:rPr>
                <w:rFonts w:cs="Calibr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DC68" w14:textId="77777777" w:rsidR="000B22EE" w:rsidRPr="000B22EE" w:rsidRDefault="000B22EE" w:rsidP="00D163AB">
            <w:pPr>
              <w:rPr>
                <w:rFonts w:cs="Calibri"/>
                <w:sz w:val="18"/>
                <w:szCs w:val="18"/>
              </w:rPr>
            </w:pPr>
            <w:r w:rsidRPr="000B22EE">
              <w:rPr>
                <w:rFonts w:cs="Calibri"/>
                <w:sz w:val="18"/>
                <w:szCs w:val="18"/>
              </w:rPr>
              <w:t>250,0%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077CA"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C083E2"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0468D" w14:textId="77777777" w:rsidR="000B22EE" w:rsidRPr="000B22EE" w:rsidRDefault="000B22EE" w:rsidP="00D163AB">
            <w:pPr>
              <w:rPr>
                <w:rFonts w:cs="Calibri"/>
                <w:sz w:val="18"/>
                <w:szCs w:val="18"/>
              </w:rPr>
            </w:pPr>
            <w:r w:rsidRPr="000B22EE">
              <w:rPr>
                <w:rFonts w:cs="Calibri"/>
                <w:sz w:val="18"/>
                <w:szCs w:val="18"/>
              </w:rPr>
              <w:t>-</w:t>
            </w:r>
          </w:p>
        </w:tc>
      </w:tr>
      <w:tr w:rsidR="000B22EE" w:rsidRPr="00923D29" w14:paraId="6CC56B3D"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B2158" w14:textId="77777777" w:rsidR="000B22EE" w:rsidRPr="000B22EE" w:rsidRDefault="000B22EE" w:rsidP="00D163AB">
            <w:pPr>
              <w:rPr>
                <w:rFonts w:cs="Calibri"/>
                <w:sz w:val="18"/>
                <w:szCs w:val="18"/>
              </w:rPr>
            </w:pPr>
            <w:r w:rsidRPr="000B22EE">
              <w:rPr>
                <w:rFonts w:cs="Calibri"/>
                <w:sz w:val="18"/>
                <w:szCs w:val="18"/>
              </w:rPr>
              <w:t>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AF79A" w14:textId="77777777" w:rsidR="000B22EE" w:rsidRPr="000B22EE" w:rsidRDefault="000B22EE" w:rsidP="00D163AB">
            <w:pPr>
              <w:rPr>
                <w:rFonts w:cs="Calibri"/>
                <w:sz w:val="18"/>
                <w:szCs w:val="18"/>
              </w:rPr>
            </w:pPr>
            <w:r w:rsidRPr="000B22EE">
              <w:rPr>
                <w:rFonts w:cs="Calibri"/>
                <w:sz w:val="18"/>
                <w:szCs w:val="18"/>
              </w:rPr>
              <w:t>wskaźnik produktu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97F20" w14:textId="77777777" w:rsidR="000B22EE" w:rsidRPr="000B22EE" w:rsidRDefault="000B22EE" w:rsidP="00D163AB">
            <w:pPr>
              <w:rPr>
                <w:rFonts w:cs="Calibri"/>
                <w:sz w:val="18"/>
                <w:szCs w:val="18"/>
              </w:rPr>
            </w:pPr>
            <w:r w:rsidRPr="000B22EE">
              <w:rPr>
                <w:rFonts w:cs="Calibri"/>
                <w:sz w:val="18"/>
                <w:szCs w:val="18"/>
              </w:rPr>
              <w:t>Liczba wspartych zakładów zagospodarowania odpadów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FEC099"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F7C7C" w14:textId="77777777" w:rsidR="000B22EE" w:rsidRPr="000B22EE" w:rsidRDefault="000B22EE" w:rsidP="00D163AB">
            <w:pPr>
              <w:rPr>
                <w:rFonts w:cs="Calibri"/>
                <w:sz w:val="18"/>
                <w:szCs w:val="18"/>
              </w:rPr>
            </w:pPr>
            <w:r w:rsidRPr="000B22EE">
              <w:rPr>
                <w:rFonts w:cs="Calibri"/>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75ECA"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C38A3"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5831C" w14:textId="77777777" w:rsidR="000B22EE" w:rsidRPr="000B22EE" w:rsidRDefault="000B22EE" w:rsidP="00D163AB">
            <w:pPr>
              <w:rPr>
                <w:rFonts w:cs="Calibri"/>
                <w:sz w:val="18"/>
                <w:szCs w:val="18"/>
              </w:rPr>
            </w:pPr>
            <w:r w:rsidRPr="000B22EE">
              <w:rPr>
                <w:rFonts w:cs="Calibr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37E00" w14:textId="77777777" w:rsidR="000B22EE" w:rsidRPr="000B22EE" w:rsidRDefault="000B22EE" w:rsidP="00D163AB">
            <w:pPr>
              <w:rPr>
                <w:rFonts w:cs="Calibri"/>
                <w:sz w:val="18"/>
                <w:szCs w:val="18"/>
              </w:rPr>
            </w:pPr>
            <w:r w:rsidRPr="000B22EE">
              <w:rPr>
                <w:rFonts w:cs="Calibri"/>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E57BA6" w14:textId="77777777" w:rsidR="000B22EE" w:rsidRPr="000B22EE" w:rsidRDefault="000B22EE" w:rsidP="00D163AB">
            <w:pPr>
              <w:rPr>
                <w:rFonts w:cs="Calibri"/>
                <w:sz w:val="18"/>
                <w:szCs w:val="18"/>
              </w:rPr>
            </w:pPr>
            <w:r w:rsidRPr="000B22EE">
              <w:rPr>
                <w:rFonts w:cs="Calibri"/>
                <w:sz w:val="18"/>
                <w:szCs w:val="18"/>
              </w:rPr>
              <w:t>200,0%</w:t>
            </w:r>
          </w:p>
        </w:tc>
      </w:tr>
      <w:tr w:rsidR="000B22EE" w:rsidRPr="00923D29" w14:paraId="607258A3"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AFFE7D" w14:textId="77777777" w:rsidR="000B22EE" w:rsidRPr="000B22EE" w:rsidRDefault="000B22EE" w:rsidP="00D163AB">
            <w:pPr>
              <w:rPr>
                <w:rFonts w:cs="Calibri"/>
                <w:sz w:val="18"/>
                <w:szCs w:val="18"/>
              </w:rPr>
            </w:pPr>
            <w:r w:rsidRPr="000B22EE">
              <w:rPr>
                <w:rFonts w:cs="Calibri"/>
                <w:sz w:val="18"/>
                <w:szCs w:val="18"/>
              </w:rPr>
              <w:t>6a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C30104" w14:textId="77777777" w:rsidR="000B22EE" w:rsidRPr="000B22EE" w:rsidRDefault="000B22EE" w:rsidP="00D163AB">
            <w:pPr>
              <w:rPr>
                <w:rFonts w:cs="Calibri"/>
                <w:sz w:val="18"/>
                <w:szCs w:val="18"/>
              </w:rPr>
            </w:pPr>
            <w:r w:rsidRPr="000B22EE">
              <w:rPr>
                <w:rFonts w:cs="Calibri"/>
                <w:sz w:val="18"/>
                <w:szCs w:val="18"/>
              </w:rPr>
              <w:t>KEW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AB6D0" w14:textId="77777777" w:rsidR="000B22EE" w:rsidRPr="000B22EE" w:rsidRDefault="000B22EE" w:rsidP="00D163AB">
            <w:pPr>
              <w:rPr>
                <w:rFonts w:cs="Calibri"/>
                <w:sz w:val="18"/>
                <w:szCs w:val="18"/>
              </w:rPr>
            </w:pPr>
            <w:r w:rsidRPr="000B22EE">
              <w:rPr>
                <w:rFonts w:cs="Calibri"/>
                <w:sz w:val="18"/>
                <w:szCs w:val="18"/>
              </w:rPr>
              <w:t>Liczba wspartych zakładów zagospodarowania odpadów</w:t>
            </w:r>
            <w:r w:rsidR="00E66B89">
              <w:rPr>
                <w:rFonts w:cs="Calibri"/>
                <w:sz w:val="18"/>
                <w:szCs w:val="18"/>
              </w:rPr>
              <w:t xml:space="preserve"> w </w:t>
            </w:r>
            <w:r w:rsidRPr="000B22EE">
              <w:rPr>
                <w:rFonts w:cs="Calibri"/>
                <w:sz w:val="18"/>
                <w:szCs w:val="18"/>
              </w:rPr>
              <w:t>podpisanych umowach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144AE4" w14:textId="77777777" w:rsidR="000B22EE" w:rsidRPr="000B22EE" w:rsidRDefault="000B22EE" w:rsidP="00D163AB">
            <w:pPr>
              <w:rPr>
                <w:rFonts w:cs="Calibri"/>
                <w:sz w:val="18"/>
                <w:szCs w:val="18"/>
              </w:rPr>
            </w:pPr>
            <w:r w:rsidRPr="000B22EE">
              <w:rPr>
                <w:rFonts w:cs="Calibri"/>
                <w:sz w:val="18"/>
                <w:szCs w:val="18"/>
              </w:rPr>
              <w:t>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9D416" w14:textId="77777777" w:rsidR="000B22EE" w:rsidRPr="000B22EE" w:rsidRDefault="000B22EE" w:rsidP="00D163AB">
            <w:pPr>
              <w:rPr>
                <w:rFonts w:cs="Calibri"/>
                <w:sz w:val="18"/>
                <w:szCs w:val="18"/>
              </w:rPr>
            </w:pPr>
            <w:r w:rsidRPr="000B22EE">
              <w:rPr>
                <w:rFonts w:cs="Calibri"/>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9A1FDD" w14:textId="77777777" w:rsidR="000B22EE" w:rsidRPr="000B22EE" w:rsidRDefault="000B22EE" w:rsidP="00D163AB">
            <w:pPr>
              <w:rPr>
                <w:rFonts w:cs="Calibri"/>
                <w:sz w:val="18"/>
                <w:szCs w:val="18"/>
              </w:rPr>
            </w:pPr>
            <w:r w:rsidRPr="000B22EE">
              <w:rPr>
                <w:rFonts w:cs="Calibri"/>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C55340" w14:textId="77777777" w:rsidR="000B22EE" w:rsidRPr="000B22EE" w:rsidRDefault="000B22EE" w:rsidP="00D163AB">
            <w:pPr>
              <w:rPr>
                <w:rFonts w:cs="Calibri"/>
                <w:sz w:val="18"/>
                <w:szCs w:val="18"/>
              </w:rPr>
            </w:pPr>
            <w:r w:rsidRPr="000B22EE">
              <w:rPr>
                <w:rFonts w:cs="Calibri"/>
                <w:sz w:val="18"/>
                <w:szCs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17A2A7"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7C9CB" w14:textId="77777777" w:rsidR="000B22EE" w:rsidRPr="000B22EE" w:rsidRDefault="000B22EE" w:rsidP="00D163AB">
            <w:pPr>
              <w:rPr>
                <w:rFonts w:cs="Calibri"/>
                <w:sz w:val="18"/>
                <w:szCs w:val="18"/>
              </w:rPr>
            </w:pPr>
            <w:r w:rsidRPr="000B22EE">
              <w:rPr>
                <w:rFonts w:cs="Calibri"/>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54485" w14:textId="77777777" w:rsidR="000B22EE" w:rsidRPr="000B22EE" w:rsidRDefault="000B22EE" w:rsidP="00D163AB">
            <w:pPr>
              <w:rPr>
                <w:rFonts w:cs="Calibri"/>
                <w:sz w:val="18"/>
                <w:szCs w:val="18"/>
              </w:rPr>
            </w:pPr>
            <w:r w:rsidRPr="000B22EE">
              <w:rPr>
                <w:rFonts w:cs="Calibri"/>
                <w:sz w:val="18"/>
                <w:szCs w:val="18"/>
              </w:rPr>
              <w:t>-</w:t>
            </w:r>
          </w:p>
        </w:tc>
      </w:tr>
      <w:tr w:rsidR="000B22EE" w:rsidRPr="00923D29" w14:paraId="0F2CE435" w14:textId="77777777" w:rsidTr="00C22C2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BF5982" w14:textId="77777777" w:rsidR="000B22EE" w:rsidRPr="000B22EE" w:rsidRDefault="00483EEF" w:rsidP="00D163AB">
            <w:pPr>
              <w:rPr>
                <w:rFonts w:cs="Calibri"/>
                <w:sz w:val="18"/>
                <w:szCs w:val="18"/>
              </w:rPr>
            </w:pPr>
            <w:r>
              <w:rPr>
                <w:rFonts w:cs="Calibri"/>
                <w:sz w:val="18"/>
                <w:szCs w:val="18"/>
              </w:rPr>
              <w:t xml:space="preserve">5b, 6a, </w:t>
            </w:r>
            <w:r w:rsidR="000B22EE" w:rsidRPr="000B22EE">
              <w:rPr>
                <w:rFonts w:cs="Calibri"/>
                <w:sz w:val="18"/>
                <w:szCs w:val="18"/>
              </w:rPr>
              <w:t>6b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9801B" w14:textId="77777777" w:rsidR="000B22EE" w:rsidRPr="000B22EE" w:rsidRDefault="000B22EE" w:rsidP="00D163AB">
            <w:pPr>
              <w:rPr>
                <w:rFonts w:cs="Calibri"/>
                <w:sz w:val="18"/>
                <w:szCs w:val="18"/>
              </w:rPr>
            </w:pPr>
            <w:r w:rsidRPr="000B22EE">
              <w:rPr>
                <w:rFonts w:cs="Calibri"/>
                <w:sz w:val="18"/>
                <w:szCs w:val="18"/>
              </w:rPr>
              <w:t>wskaźnik postępu finansowego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146845" w14:textId="77777777" w:rsidR="000B22EE" w:rsidRPr="000B22EE" w:rsidRDefault="000B22EE" w:rsidP="00D163AB">
            <w:pPr>
              <w:rPr>
                <w:rFonts w:cs="Calibri"/>
                <w:sz w:val="18"/>
                <w:szCs w:val="18"/>
              </w:rPr>
            </w:pPr>
            <w:r w:rsidRPr="000B22EE">
              <w:rPr>
                <w:rFonts w:cs="Calibri"/>
                <w:sz w:val="18"/>
                <w:szCs w:val="18"/>
              </w:rPr>
              <w:t>Całkowita kwota certyfikowanych wydatków kwalifikowanych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F0FE74" w14:textId="77777777" w:rsidR="000B22EE" w:rsidRPr="000B22EE" w:rsidRDefault="000B22EE" w:rsidP="00D163AB">
            <w:pPr>
              <w:rPr>
                <w:rFonts w:cs="Calibri"/>
                <w:sz w:val="18"/>
                <w:szCs w:val="18"/>
              </w:rPr>
            </w:pPr>
            <w:r w:rsidRPr="000B22EE">
              <w:rPr>
                <w:rFonts w:cs="Calibri"/>
                <w:sz w:val="18"/>
                <w:szCs w:val="18"/>
              </w:rPr>
              <w:t>EUR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5E6462" w14:textId="77777777" w:rsidR="000B22EE" w:rsidRPr="000B22EE" w:rsidRDefault="000B22EE" w:rsidP="00D163AB">
            <w:pPr>
              <w:rPr>
                <w:rFonts w:cs="Calibri"/>
                <w:sz w:val="18"/>
                <w:szCs w:val="18"/>
              </w:rPr>
            </w:pPr>
            <w:r w:rsidRPr="000B22EE">
              <w:rPr>
                <w:rFonts w:cs="Calibri"/>
                <w:sz w:val="18"/>
                <w:szCs w:val="18"/>
              </w:rPr>
              <w:t>8 454 284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3DDEF1" w14:textId="77777777" w:rsidR="000B22EE" w:rsidRPr="000B22EE" w:rsidRDefault="000B22EE" w:rsidP="00D163AB">
            <w:pPr>
              <w:rPr>
                <w:rFonts w:cs="Calibri"/>
                <w:sz w:val="18"/>
                <w:szCs w:val="18"/>
              </w:rPr>
            </w:pPr>
            <w:r w:rsidRPr="000B22EE">
              <w:rPr>
                <w:rFonts w:cs="Calibri"/>
                <w:sz w:val="18"/>
                <w:szCs w:val="18"/>
              </w:rPr>
              <w:t>8 170 858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E929A" w14:textId="77777777" w:rsidR="000B22EE" w:rsidRPr="000B22EE" w:rsidRDefault="000B22EE" w:rsidP="00D163AB">
            <w:pPr>
              <w:rPr>
                <w:rFonts w:cs="Calibri"/>
                <w:sz w:val="18"/>
                <w:szCs w:val="18"/>
              </w:rPr>
            </w:pPr>
            <w:r w:rsidRPr="000B22EE">
              <w:rPr>
                <w:rFonts w:cs="Calibri"/>
                <w:sz w:val="18"/>
                <w:szCs w:val="18"/>
              </w:rPr>
              <w:t>103,47%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AE9A0" w14:textId="77777777" w:rsidR="000B22EE" w:rsidRPr="000B22EE" w:rsidRDefault="000B22EE" w:rsidP="00D163AB">
            <w:pPr>
              <w:rPr>
                <w:rFonts w:cs="Calibri"/>
                <w:sz w:val="18"/>
                <w:szCs w:val="18"/>
              </w:rPr>
            </w:pPr>
            <w:r w:rsidRPr="000B22EE">
              <w:rPr>
                <w:rFonts w:cs="Calibri"/>
                <w:sz w:val="18"/>
                <w:szCs w:val="18"/>
              </w:rPr>
              <w:t>63 000 000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16423" w14:textId="77777777" w:rsidR="000B22EE" w:rsidRPr="000B22EE" w:rsidRDefault="000B22EE" w:rsidP="00D163AB">
            <w:pPr>
              <w:rPr>
                <w:rFonts w:cs="Calibri"/>
                <w:sz w:val="18"/>
                <w:szCs w:val="18"/>
              </w:rPr>
            </w:pPr>
            <w:r w:rsidRPr="000B22EE">
              <w:rPr>
                <w:rFonts w:cs="Calibri"/>
                <w:sz w:val="18"/>
                <w:szCs w:val="18"/>
              </w:rPr>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BB515B" w14:textId="77777777" w:rsidR="000B22EE" w:rsidRPr="000B22EE" w:rsidRDefault="000B22EE" w:rsidP="00D163AB">
            <w:pPr>
              <w:rPr>
                <w:rFonts w:cs="Calibri"/>
                <w:sz w:val="18"/>
                <w:szCs w:val="18"/>
              </w:rPr>
            </w:pPr>
            <w:r w:rsidRPr="000B22EE">
              <w:rPr>
                <w:rFonts w:cs="Calibri"/>
                <w:sz w:val="18"/>
                <w:szCs w:val="18"/>
              </w:rPr>
              <w:t>41,8%</w:t>
            </w:r>
          </w:p>
        </w:tc>
      </w:tr>
    </w:tbl>
    <w:p w14:paraId="483B780E" w14:textId="77777777" w:rsidR="006E0098" w:rsidRPr="002A5FDF" w:rsidRDefault="006E0098"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informacja kwartalna za IV kw. 2018 r., obliczenia % realizacji wartości docelowej RW na podstawie danych SL2014</w:t>
      </w:r>
      <w:r w:rsidR="00E66B89" w:rsidRPr="002A5FDF">
        <w:rPr>
          <w:i/>
          <w:sz w:val="18"/>
          <w:szCs w:val="20"/>
        </w:rPr>
        <w:t xml:space="preserve"> z </w:t>
      </w:r>
      <w:r w:rsidRPr="002A5FDF">
        <w:rPr>
          <w:i/>
          <w:sz w:val="18"/>
          <w:szCs w:val="20"/>
        </w:rPr>
        <w:t>dnia 07.01.2019 r.</w:t>
      </w:r>
    </w:p>
    <w:p w14:paraId="2C7990C5" w14:textId="77777777" w:rsidR="006E0098" w:rsidRDefault="006E0098" w:rsidP="006E0098">
      <w:pPr>
        <w:pStyle w:val="evaluTresc"/>
      </w:pPr>
      <w:bookmarkStart w:id="103" w:name="_Hlk536431955"/>
      <w:r w:rsidRPr="00436D27">
        <w:t>W ramach OP III osiągnięto zakładaną wartość pośrednią wskaźnika finansowego (103%). Wpływ na to miała przede wszystkim sprawna realizacja projektów</w:t>
      </w:r>
      <w:r w:rsidR="00E66B89">
        <w:t xml:space="preserve"> w </w:t>
      </w:r>
      <w:r w:rsidRPr="00436D27">
        <w:t>ramach Działania 3.3 oraz Działania 3.4, co przełożyło się na stosunkowo wysoki poziom certyfikacji</w:t>
      </w:r>
      <w:r w:rsidR="00E66B89">
        <w:t xml:space="preserve"> w </w:t>
      </w:r>
      <w:r w:rsidRPr="00436D27">
        <w:t>tych Działaniach (w obydwu na poziomie ok 50% alokacji).</w:t>
      </w:r>
      <w:r w:rsidR="00E66B89">
        <w:t xml:space="preserve"> W </w:t>
      </w:r>
      <w:r w:rsidRPr="00436D27">
        <w:t>przypadku pozostałych Działań poziom certyfikacji wynosi bądź poniżej 10% (3.5 oraz 3.6) bądź wynosi 0</w:t>
      </w:r>
      <w:r>
        <w:t>%</w:t>
      </w:r>
      <w:r w:rsidRPr="00436D27">
        <w:t xml:space="preserve"> (3.1, 3.2, 3.7 oraz 3.8). Poziom </w:t>
      </w:r>
      <w:r>
        <w:t>wydatkowania alokacji</w:t>
      </w:r>
      <w:r w:rsidR="00E66B89">
        <w:t xml:space="preserve"> w </w:t>
      </w:r>
      <w:r w:rsidRPr="00436D27">
        <w:t>ramach Działania 3.6</w:t>
      </w:r>
      <w:r w:rsidR="00E66B89">
        <w:t xml:space="preserve"> i </w:t>
      </w:r>
      <w:r w:rsidRPr="00436D27">
        <w:t>3.7 powinien</w:t>
      </w:r>
      <w:r w:rsidR="00E66B89">
        <w:t xml:space="preserve"> w </w:t>
      </w:r>
      <w:r w:rsidRPr="00436D27">
        <w:t>niedługim czasie stopniowo wzrastać. Projekty wdrażane</w:t>
      </w:r>
      <w:r w:rsidR="00E66B89">
        <w:t xml:space="preserve"> w </w:t>
      </w:r>
      <w:r w:rsidRPr="00436D27">
        <w:t>ramach tych Działań to inwestycje infrastrukturalne</w:t>
      </w:r>
      <w:r w:rsidR="00E66B89">
        <w:t xml:space="preserve"> o </w:t>
      </w:r>
      <w:r w:rsidRPr="00436D27">
        <w:t xml:space="preserve">dłuższym czasie realizacji (czasem nawet dwóch sezonów budowlanych). </w:t>
      </w:r>
      <w:r>
        <w:t>Nadmieńmy także, iż przesunięcie</w:t>
      </w:r>
      <w:r w:rsidR="00E66B89">
        <w:t xml:space="preserve"> w </w:t>
      </w:r>
      <w:r>
        <w:t>czasie pomiędzy zawieraniem UoD oraz wydatkowaniem środków</w:t>
      </w:r>
      <w:r w:rsidR="00E66B89">
        <w:t xml:space="preserve"> z </w:t>
      </w:r>
      <w:r>
        <w:t>RPO WZ 2014-2020 wynika m.in.</w:t>
      </w:r>
      <w:r w:rsidR="00E66B89">
        <w:t xml:space="preserve"> z </w:t>
      </w:r>
      <w:r>
        <w:t xml:space="preserve">konieczności spełnienia wymogów dotyczących tzw. „efektu zachęty” oraz tego, iż </w:t>
      </w:r>
      <w:r w:rsidRPr="00436D27">
        <w:t>beneficjenci często</w:t>
      </w:r>
      <w:r w:rsidR="00E66B89">
        <w:t xml:space="preserve"> z </w:t>
      </w:r>
      <w:r w:rsidRPr="00436D27">
        <w:t>ponoszeniem wydatków</w:t>
      </w:r>
      <w:r w:rsidR="00E66B89">
        <w:t xml:space="preserve"> w </w:t>
      </w:r>
      <w:r>
        <w:t>ramach projektów</w:t>
      </w:r>
      <w:r w:rsidRPr="00436D27">
        <w:t xml:space="preserve"> wstrzymują się do momentu podpisania UoD.</w:t>
      </w:r>
      <w:r w:rsidR="00E66B89">
        <w:t xml:space="preserve"> W </w:t>
      </w:r>
      <w:r w:rsidRPr="00436D27">
        <w:t>ramach Działa</w:t>
      </w:r>
      <w:r>
        <w:t>nia 3.6 oraz 3.7</w:t>
      </w:r>
      <w:r w:rsidRPr="00436D27">
        <w:t xml:space="preserve"> ocena</w:t>
      </w:r>
      <w:r w:rsidR="00E66B89">
        <w:t xml:space="preserve"> i </w:t>
      </w:r>
      <w:r w:rsidRPr="00436D27">
        <w:t xml:space="preserve">wybór projektów do dofinansowania </w:t>
      </w:r>
      <w:r>
        <w:t>została przeprowadzona</w:t>
      </w:r>
      <w:r w:rsidR="00E66B89">
        <w:t xml:space="preserve"> w </w:t>
      </w:r>
      <w:r w:rsidRPr="00436D27">
        <w:t xml:space="preserve">IV kwartale 2018 r. Ponadto na 2019 r. zaplanowano kolejne </w:t>
      </w:r>
      <w:r w:rsidRPr="00436D27">
        <w:lastRenderedPageBreak/>
        <w:t>konkursy.</w:t>
      </w:r>
      <w:r w:rsidR="00E66B89">
        <w:t xml:space="preserve"> Z </w:t>
      </w:r>
      <w:r w:rsidRPr="00436D27">
        <w:t xml:space="preserve">tego względu </w:t>
      </w:r>
      <w:r>
        <w:t xml:space="preserve">można prognozować, iż </w:t>
      </w:r>
      <w:r w:rsidRPr="00436D27">
        <w:t>postęp</w:t>
      </w:r>
      <w:r w:rsidR="00E66B89">
        <w:t xml:space="preserve"> w </w:t>
      </w:r>
      <w:r w:rsidRPr="00436D27">
        <w:t>certyfikacji wydatków powinien</w:t>
      </w:r>
      <w:r w:rsidR="00E66B89">
        <w:t xml:space="preserve"> w </w:t>
      </w:r>
      <w:r>
        <w:t>niedługim czasie ulec zwiększeniu</w:t>
      </w:r>
      <w:r w:rsidRPr="00436D27">
        <w:t xml:space="preserve">. </w:t>
      </w:r>
    </w:p>
    <w:p w14:paraId="4EB3ADAE" w14:textId="77777777" w:rsidR="006E0098" w:rsidRDefault="006E0098" w:rsidP="006E0098">
      <w:pPr>
        <w:pStyle w:val="evaluTresc"/>
      </w:pPr>
      <w:r>
        <w:t>W trakcie wdrażania opisywanych Działań napotkano na - specyficzne dla projektów, które</w:t>
      </w:r>
      <w:r w:rsidR="00E66B89">
        <w:t xml:space="preserve"> w </w:t>
      </w:r>
      <w:r>
        <w:t>swym zakresie zawierają roboty budowlane - utrudnienia (m.in. zmiany cen na rynku zamówień publicznych, trudności</w:t>
      </w:r>
      <w:r w:rsidR="00E66B89">
        <w:t xml:space="preserve"> w </w:t>
      </w:r>
      <w:r>
        <w:t>wyłonieniu wykonawców robót itp.). Skutkowały one powstawaniem opóźnień</w:t>
      </w:r>
      <w:r w:rsidR="00E66B89">
        <w:t xml:space="preserve"> w </w:t>
      </w:r>
      <w:r>
        <w:t>projektach wybranych do finansowania</w:t>
      </w:r>
      <w:r w:rsidR="00E66B89">
        <w:t xml:space="preserve"> w </w:t>
      </w:r>
      <w:r>
        <w:t xml:space="preserve">ramach RPO WZ 2014-2020. Ponadto na tempo wdrażania RPO WZ 2014-2020 niekorzystny wpływ miała </w:t>
      </w:r>
      <w:r w:rsidRPr="00436D27">
        <w:t>zmian</w:t>
      </w:r>
      <w:r>
        <w:t>a</w:t>
      </w:r>
      <w:r w:rsidRPr="00436D27">
        <w:t xml:space="preserve"> organizacyjn</w:t>
      </w:r>
      <w:r>
        <w:t>a</w:t>
      </w:r>
      <w:r w:rsidRPr="00436D27">
        <w:t xml:space="preserve"> dotycząc</w:t>
      </w:r>
      <w:r>
        <w:t>a</w:t>
      </w:r>
      <w:r w:rsidRPr="00436D27">
        <w:t xml:space="preserve"> nadzoru nad Wojewódzkimi Funduszami Ochrony Środowiska</w:t>
      </w:r>
      <w:r w:rsidR="00E66B89">
        <w:t xml:space="preserve"> i </w:t>
      </w:r>
      <w:r w:rsidRPr="00436D27">
        <w:t>Gospodarki Wodnej</w:t>
      </w:r>
      <w:r w:rsidRPr="00436D27">
        <w:rPr>
          <w:rStyle w:val="Zakotwiczenieprzypisudolnego"/>
        </w:rPr>
        <w:footnoteReference w:id="32"/>
      </w:r>
      <w:r w:rsidRPr="00436D27">
        <w:t>.</w:t>
      </w:r>
    </w:p>
    <w:p w14:paraId="5E1ADD6D" w14:textId="77777777" w:rsidR="006E0098" w:rsidRPr="00436D27" w:rsidRDefault="006E0098" w:rsidP="006E0098">
      <w:pPr>
        <w:pStyle w:val="evaluTresc"/>
      </w:pPr>
      <w:r w:rsidRPr="00436D27">
        <w:t>W wyniku zmian dokonano obniżenia całej wartości wskaźnika finansowego przypisanej do PI 6a tj. 4 377 176,47 euro oraz części wartości wskaźnika przypisanej do PI 6b</w:t>
      </w:r>
      <w:r w:rsidR="00E66B89">
        <w:t xml:space="preserve"> o </w:t>
      </w:r>
      <w:r w:rsidRPr="00436D27">
        <w:t>7 455 612,29 euro. Zmiany te wynikały</w:t>
      </w:r>
      <w:r w:rsidR="00E66B89">
        <w:t xml:space="preserve"> z </w:t>
      </w:r>
      <w:r>
        <w:t>konieczności dostosowania struktury podziału alokacji</w:t>
      </w:r>
      <w:r w:rsidR="00E66B89">
        <w:t xml:space="preserve"> w </w:t>
      </w:r>
      <w:r>
        <w:t>ramach RPO WZ 2014-2020 do realnych potrzeb</w:t>
      </w:r>
      <w:r w:rsidR="00E66B89">
        <w:t xml:space="preserve"> i </w:t>
      </w:r>
      <w:r>
        <w:t>możliwości realizacji projektów</w:t>
      </w:r>
      <w:r w:rsidR="00E66B89">
        <w:t xml:space="preserve"> w </w:t>
      </w:r>
      <w:r>
        <w:t xml:space="preserve">tych PI. </w:t>
      </w:r>
    </w:p>
    <w:bookmarkEnd w:id="103"/>
    <w:p w14:paraId="47AD8A0B" w14:textId="77777777" w:rsidR="006E0098" w:rsidRPr="00023635" w:rsidRDefault="006E0098" w:rsidP="006E0098">
      <w:pPr>
        <w:rPr>
          <w:szCs w:val="20"/>
        </w:rPr>
      </w:pPr>
      <w:r w:rsidRPr="00023635">
        <w:rPr>
          <w:szCs w:val="20"/>
        </w:rPr>
        <w:t>W odniesieniu do PI 5b założono dwa wskaźniki produktu Ram Wykonania, przy czym dla jednego</w:t>
      </w:r>
      <w:r w:rsidR="00E66B89">
        <w:rPr>
          <w:szCs w:val="20"/>
        </w:rPr>
        <w:t xml:space="preserve"> z </w:t>
      </w:r>
      <w:r w:rsidRPr="00023635">
        <w:rPr>
          <w:szCs w:val="20"/>
        </w:rPr>
        <w:t>nich wartość na 2018 została określona na 0 (Liczba urządzeń dla celów ochrony przeciwpowodziowej). Wobec tego wprowadzono KEW, którego wartość określono na 1.</w:t>
      </w:r>
      <w:r w:rsidR="00E66B89">
        <w:rPr>
          <w:szCs w:val="20"/>
        </w:rPr>
        <w:t xml:space="preserve"> W </w:t>
      </w:r>
      <w:r w:rsidRPr="00023635">
        <w:rPr>
          <w:szCs w:val="20"/>
        </w:rPr>
        <w:t xml:space="preserve">podpisanych </w:t>
      </w:r>
      <w:r>
        <w:rPr>
          <w:szCs w:val="20"/>
        </w:rPr>
        <w:t xml:space="preserve">do 31.12.2018 r. </w:t>
      </w:r>
      <w:r w:rsidRPr="00023635">
        <w:rPr>
          <w:szCs w:val="20"/>
        </w:rPr>
        <w:t>umowach zakładana wartość wskaźnika wynosi 32, wobec tego wskaźnik KEW został osiągnięty</w:t>
      </w:r>
      <w:r w:rsidR="00E66B89">
        <w:rPr>
          <w:szCs w:val="20"/>
        </w:rPr>
        <w:t xml:space="preserve"> w </w:t>
      </w:r>
      <w:r w:rsidRPr="00023635">
        <w:rPr>
          <w:szCs w:val="20"/>
        </w:rPr>
        <w:t>3200%.</w:t>
      </w:r>
    </w:p>
    <w:p w14:paraId="6795B3F7" w14:textId="77777777" w:rsidR="006E0098" w:rsidRPr="00023635" w:rsidRDefault="006E0098" w:rsidP="006E0098">
      <w:pPr>
        <w:rPr>
          <w:szCs w:val="20"/>
        </w:rPr>
      </w:pPr>
      <w:r w:rsidRPr="00023635">
        <w:rPr>
          <w:szCs w:val="20"/>
        </w:rPr>
        <w:t>Zdaniem ewaluatorów to zdecydowane przekroczenie wartości KEW oraz przekroczenie już teraz wartości docelowej wskaźnika produktu wynika przede wszystkim ze zbyt ostrożnego jej oszacowania. Metodologia liczenia ww. wskaźnika zakładała koszt jednostkowy</w:t>
      </w:r>
      <w:r w:rsidR="00E66B89">
        <w:rPr>
          <w:szCs w:val="20"/>
        </w:rPr>
        <w:t xml:space="preserve"> w </w:t>
      </w:r>
      <w:r w:rsidRPr="00023635">
        <w:rPr>
          <w:szCs w:val="20"/>
        </w:rPr>
        <w:t>wysokości 7,5 mln zł, co zostało oparte na doświadczeniach</w:t>
      </w:r>
      <w:r w:rsidR="00E66B89">
        <w:rPr>
          <w:szCs w:val="20"/>
        </w:rPr>
        <w:t xml:space="preserve"> z </w:t>
      </w:r>
      <w:r w:rsidRPr="00023635">
        <w:rPr>
          <w:szCs w:val="20"/>
        </w:rPr>
        <w:t>perspektywy 2007-2013.</w:t>
      </w:r>
      <w:r w:rsidR="00E66B89">
        <w:rPr>
          <w:szCs w:val="20"/>
        </w:rPr>
        <w:t xml:space="preserve"> W </w:t>
      </w:r>
      <w:r w:rsidRPr="00023635">
        <w:rPr>
          <w:szCs w:val="20"/>
        </w:rPr>
        <w:t>dwóch podpisanych dotychczas umowach zakładany koszt jednostkowy wynosi niespełna 415 tys. zł, co sprawia, że wskaźnik zostanie przekroczony</w:t>
      </w:r>
      <w:r w:rsidR="00E66B89">
        <w:rPr>
          <w:szCs w:val="20"/>
        </w:rPr>
        <w:t xml:space="preserve"> w </w:t>
      </w:r>
      <w:r w:rsidRPr="00023635">
        <w:rPr>
          <w:szCs w:val="20"/>
        </w:rPr>
        <w:t>tak znacznym stopniu. Wynika to ze stosunkowo szerokiego definiowania produktu, jakim są urządzenia dla celów ochrony przeciwpowodziowej</w:t>
      </w:r>
      <w:r w:rsidR="00E66B89">
        <w:rPr>
          <w:szCs w:val="20"/>
        </w:rPr>
        <w:t xml:space="preserve"> i </w:t>
      </w:r>
      <w:r w:rsidRPr="00023635">
        <w:rPr>
          <w:szCs w:val="20"/>
        </w:rPr>
        <w:t>związanej</w:t>
      </w:r>
      <w:r w:rsidR="00E66B89">
        <w:rPr>
          <w:szCs w:val="20"/>
        </w:rPr>
        <w:t xml:space="preserve"> z </w:t>
      </w:r>
      <w:r w:rsidRPr="00023635">
        <w:rPr>
          <w:szCs w:val="20"/>
        </w:rPr>
        <w:t>tym dużej rozpiętości kosztów ich stworzenia.</w:t>
      </w:r>
      <w:r w:rsidR="00E66B89">
        <w:rPr>
          <w:szCs w:val="20"/>
        </w:rPr>
        <w:t xml:space="preserve"> W </w:t>
      </w:r>
      <w:r w:rsidRPr="00023635">
        <w:rPr>
          <w:szCs w:val="20"/>
        </w:rPr>
        <w:t>związku</w:t>
      </w:r>
      <w:r w:rsidR="00E66B89">
        <w:rPr>
          <w:szCs w:val="20"/>
        </w:rPr>
        <w:t xml:space="preserve"> z </w:t>
      </w:r>
      <w:r w:rsidRPr="00023635">
        <w:rPr>
          <w:szCs w:val="20"/>
        </w:rPr>
        <w:t>tym wyliczenia kosztu jednostkowego na podstawie danych historycznych</w:t>
      </w:r>
      <w:r w:rsidR="00E66B89">
        <w:rPr>
          <w:szCs w:val="20"/>
        </w:rPr>
        <w:t xml:space="preserve"> z </w:t>
      </w:r>
      <w:r w:rsidRPr="00023635">
        <w:rPr>
          <w:szCs w:val="20"/>
        </w:rPr>
        <w:t>lat 2007-2013 mogły zostać opracowane przy dużym ryzyku błędu oszacowania.</w:t>
      </w:r>
    </w:p>
    <w:p w14:paraId="7526011D" w14:textId="77777777" w:rsidR="006E0098" w:rsidRDefault="006E0098" w:rsidP="006E0098">
      <w:pPr>
        <w:pStyle w:val="evaluTresc"/>
      </w:pPr>
      <w:r>
        <w:t>Kolejny</w:t>
      </w:r>
      <w:r w:rsidRPr="00023635">
        <w:t xml:space="preserve"> ze wskaźników produktu Ram Wykonania (</w:t>
      </w:r>
      <w:r w:rsidRPr="00887C33">
        <w:t>Liczba zakupionych woz</w:t>
      </w:r>
      <w:r w:rsidRPr="00887C33">
        <w:rPr>
          <w:rFonts w:hint="eastAsia"/>
        </w:rPr>
        <w:t>ó</w:t>
      </w:r>
      <w:r w:rsidRPr="00887C33">
        <w:t>w po</w:t>
      </w:r>
      <w:r w:rsidRPr="00887C33">
        <w:rPr>
          <w:rFonts w:hint="eastAsia"/>
        </w:rPr>
        <w:t>ż</w:t>
      </w:r>
      <w:r w:rsidRPr="00887C33">
        <w:t>arniczych wyposa</w:t>
      </w:r>
      <w:r w:rsidRPr="00887C33">
        <w:rPr>
          <w:rFonts w:hint="eastAsia"/>
        </w:rPr>
        <w:t>ż</w:t>
      </w:r>
      <w:r w:rsidRPr="00887C33">
        <w:t>onych</w:t>
      </w:r>
      <w:r w:rsidR="00E66B89">
        <w:rPr>
          <w:i/>
        </w:rPr>
        <w:t xml:space="preserve"> w </w:t>
      </w:r>
      <w:r w:rsidRPr="00887C33">
        <w:t>sprz</w:t>
      </w:r>
      <w:r w:rsidRPr="00887C33">
        <w:rPr>
          <w:rFonts w:hint="eastAsia"/>
        </w:rPr>
        <w:t>ę</w:t>
      </w:r>
      <w:r w:rsidRPr="00887C33">
        <w:t>t do prowadzenia akcji ratowniczych</w:t>
      </w:r>
      <w:r w:rsidR="00E66B89">
        <w:rPr>
          <w:i/>
        </w:rPr>
        <w:t xml:space="preserve"> i </w:t>
      </w:r>
      <w:r w:rsidRPr="00887C33">
        <w:t>usuwania skutk</w:t>
      </w:r>
      <w:r w:rsidRPr="00887C33">
        <w:rPr>
          <w:rFonts w:hint="eastAsia"/>
        </w:rPr>
        <w:t>ó</w:t>
      </w:r>
      <w:r w:rsidRPr="00887C33">
        <w:t>w katastrof</w:t>
      </w:r>
      <w:r w:rsidRPr="00023635">
        <w:t>) również został przekroczony (733%). Obecnie</w:t>
      </w:r>
      <w:r>
        <w:t xml:space="preserve"> (na podstawie zawartych UoD do 07.01.2019 r.)</w:t>
      </w:r>
      <w:r w:rsidRPr="00023635">
        <w:t xml:space="preserve"> </w:t>
      </w:r>
      <w:r>
        <w:t>można mówić także</w:t>
      </w:r>
      <w:r w:rsidR="00E66B89">
        <w:t xml:space="preserve"> o </w:t>
      </w:r>
      <w:r w:rsidRPr="00023635">
        <w:t>przekrocz</w:t>
      </w:r>
      <w:r>
        <w:t>eniu</w:t>
      </w:r>
      <w:r w:rsidRPr="00023635">
        <w:t xml:space="preserve"> wartoś</w:t>
      </w:r>
      <w:r>
        <w:t>ci docelowej</w:t>
      </w:r>
      <w:r w:rsidRPr="00023635">
        <w:t xml:space="preserve"> tego wskaźnika na 2023 rok.</w:t>
      </w:r>
    </w:p>
    <w:p w14:paraId="4E05B570" w14:textId="77777777" w:rsidR="006E0098" w:rsidRPr="00436D27" w:rsidRDefault="006E0098" w:rsidP="006E0098">
      <w:pPr>
        <w:pStyle w:val="evaluTresc"/>
      </w:pPr>
      <w:r w:rsidRPr="00436D27">
        <w:t xml:space="preserve">Cel pośredni ustanowiony dla wskaźnika </w:t>
      </w:r>
      <w:r w:rsidRPr="00436D27">
        <w:rPr>
          <w:i/>
        </w:rPr>
        <w:t>Liczba wspartych oczyszczalni ścieków komunalnych</w:t>
      </w:r>
      <w:r w:rsidR="00E66B89">
        <w:rPr>
          <w:i/>
        </w:rPr>
        <w:t xml:space="preserve"> w </w:t>
      </w:r>
      <w:r w:rsidRPr="00436D27">
        <w:rPr>
          <w:i/>
        </w:rPr>
        <w:t>podpisanych umowach</w:t>
      </w:r>
      <w:r w:rsidRPr="00436D27">
        <w:t xml:space="preserve"> na koniec 2018 roku został zrealizowany na poziomie 250% (KEW). Cel pośredni dla opisywanego wskaźnika został określony na poziomie 2 szt. Na dzień 7.01.2019 roku zawartych zostało 5 UoD, które będą przyczyniały się do realizacji przedmiotowego wskaźnika. Żaden</w:t>
      </w:r>
      <w:r w:rsidR="00E66B89">
        <w:t xml:space="preserve"> z </w:t>
      </w:r>
      <w:r w:rsidRPr="00436D27">
        <w:t>tych projektów nie został jeszcze zakończony</w:t>
      </w:r>
      <w:r w:rsidR="00E66B89">
        <w:t xml:space="preserve"> i </w:t>
      </w:r>
      <w:r w:rsidRPr="00436D27">
        <w:t>rozliczony. Wartość wskaźnika dla celu pośredniego odpowiada wartości docelowej na rok 2023. Przekroczenie celu pośredniego</w:t>
      </w:r>
      <w:r w:rsidR="00E66B89">
        <w:t xml:space="preserve"> o </w:t>
      </w:r>
      <w:r w:rsidRPr="00436D27">
        <w:t xml:space="preserve">250% dla wskaźnika pn.: </w:t>
      </w:r>
      <w:r w:rsidRPr="00436D27">
        <w:rPr>
          <w:i/>
        </w:rPr>
        <w:t>Liczba wspartych oczyszczalni ścieków komunalnych</w:t>
      </w:r>
      <w:r w:rsidR="00E66B89">
        <w:rPr>
          <w:i/>
        </w:rPr>
        <w:t xml:space="preserve"> w </w:t>
      </w:r>
      <w:r w:rsidRPr="00436D27">
        <w:rPr>
          <w:i/>
        </w:rPr>
        <w:t>podpisanych umowach</w:t>
      </w:r>
      <w:r w:rsidRPr="00436D27">
        <w:t xml:space="preserve"> wynika</w:t>
      </w:r>
      <w:r w:rsidR="00E66B89">
        <w:t xml:space="preserve"> z </w:t>
      </w:r>
      <w:r w:rsidRPr="00436D27">
        <w:t>większej</w:t>
      </w:r>
      <w:r>
        <w:t xml:space="preserve"> -</w:t>
      </w:r>
      <w:r w:rsidRPr="00436D27">
        <w:t xml:space="preserve"> niż zakładano na etapie programowania</w:t>
      </w:r>
      <w:r>
        <w:t xml:space="preserve"> -</w:t>
      </w:r>
      <w:r w:rsidRPr="00436D27">
        <w:t xml:space="preserve"> liczby tego typu projektów składanych przez wnioskodawców na </w:t>
      </w:r>
      <w:r w:rsidRPr="00436D27">
        <w:lastRenderedPageBreak/>
        <w:t>tym etapie wdrażania.</w:t>
      </w:r>
      <w:r w:rsidR="00E66B89">
        <w:t xml:space="preserve"> W </w:t>
      </w:r>
      <w:r w:rsidRPr="00436D27">
        <w:t>ocenie ewaluatora wartość obserwowanego aktualnie przekroczenia może jeszcze wzrosnąć (z uwagi na zaplanowany na 2019 r. nabór wniosków</w:t>
      </w:r>
      <w:r w:rsidR="00E66B89">
        <w:t xml:space="preserve"> i </w:t>
      </w:r>
      <w:r w:rsidRPr="00436D27">
        <w:t>możliwość realizacji kolejnego projektu/projektów</w:t>
      </w:r>
      <w:r w:rsidR="00E66B89">
        <w:t xml:space="preserve"> z </w:t>
      </w:r>
      <w:r w:rsidRPr="00436D27">
        <w:t>zakresu oczyszczalni ścieków). Na obserwowane przekroczenie wpływu nie miała zastosowana metodyka szacowania kosztu jednostkowego (IZ RPO WZ 2014-2020 przyjęła</w:t>
      </w:r>
      <w:r w:rsidR="00E66B89">
        <w:t xml:space="preserve"> w </w:t>
      </w:r>
      <w:r w:rsidRPr="00436D27">
        <w:t>tym zakresie bardzo trafne założenia, koszt jednostkowy prognozowanej wartości wskaźnika</w:t>
      </w:r>
      <w:r w:rsidR="00E66B89">
        <w:t xml:space="preserve"> w </w:t>
      </w:r>
      <w:r w:rsidRPr="00436D27">
        <w:t>niewielkim stopniu odbiegał od wartości rzeczywiście obserwowanych</w:t>
      </w:r>
      <w:r w:rsidR="00E66B89">
        <w:t xml:space="preserve"> w </w:t>
      </w:r>
      <w:r w:rsidRPr="00436D27">
        <w:t>kontraktowanych projektach). Szczegółowe informacje</w:t>
      </w:r>
      <w:r w:rsidR="00E66B89">
        <w:t xml:space="preserve"> w </w:t>
      </w:r>
      <w:r w:rsidRPr="00436D27">
        <w:t>zakresie metodyki szacowania kosztów zostały przedstawione</w:t>
      </w:r>
      <w:r w:rsidR="00E66B89">
        <w:t xml:space="preserve"> w </w:t>
      </w:r>
      <w:r w:rsidRPr="00436D27">
        <w:t>rozdziale poniżej dotyczącym PI 6b.</w:t>
      </w:r>
      <w:r w:rsidR="00E66B89">
        <w:t xml:space="preserve"> W </w:t>
      </w:r>
      <w:r w:rsidRPr="00436D27">
        <w:t xml:space="preserve">ocenie ewaluatora przyjęty wskaźnik pn. </w:t>
      </w:r>
      <w:r w:rsidRPr="00436D27">
        <w:rPr>
          <w:i/>
        </w:rPr>
        <w:t>Liczba wspartych oczyszczalni ścieków komunalnych</w:t>
      </w:r>
      <w:r w:rsidR="00E66B89">
        <w:t xml:space="preserve"> w </w:t>
      </w:r>
      <w:r w:rsidRPr="00436D27">
        <w:t>ramach RW uznać należy za bardzo trafny (wskaźnik cechuje wysoka logika interwencji, wysoki stopień wpisywania się</w:t>
      </w:r>
      <w:r w:rsidR="00E66B89">
        <w:t xml:space="preserve"> w </w:t>
      </w:r>
      <w:r w:rsidRPr="00436D27">
        <w:t>założone cele</w:t>
      </w:r>
      <w:r w:rsidR="00E66B89">
        <w:t xml:space="preserve"> w </w:t>
      </w:r>
      <w:r w:rsidRPr="00436D27">
        <w:t>zakresie rezultatu bezpośredniego oraz strategicznego</w:t>
      </w:r>
      <w:r w:rsidR="00E66B89">
        <w:t xml:space="preserve"> w </w:t>
      </w:r>
      <w:r w:rsidRPr="00436D27">
        <w:t>Działaniu 3.6). Niektóre województwa przyjmowały</w:t>
      </w:r>
      <w:r w:rsidR="00E66B89">
        <w:t xml:space="preserve"> w </w:t>
      </w:r>
      <w:r w:rsidRPr="00436D27">
        <w:t>ramach RW inne wskaźniki</w:t>
      </w:r>
      <w:r w:rsidR="00E66B89">
        <w:t xml:space="preserve"> z </w:t>
      </w:r>
      <w:r w:rsidRPr="00436D27">
        <w:t>których realizacją wiązały się większe problemy (np. długość kanalizacji sanitarnej). Wskaźnik ten był bardziej podatny na błędy szacowania</w:t>
      </w:r>
      <w:r w:rsidR="00E66B89">
        <w:t xml:space="preserve"> z </w:t>
      </w:r>
      <w:r w:rsidRPr="00436D27">
        <w:t>uwagi na konieczne do osiągnięcia odpowiednie wskaźniki efektywnościowe</w:t>
      </w:r>
      <w:r w:rsidR="00E66B89">
        <w:t xml:space="preserve"> w </w:t>
      </w:r>
      <w:r w:rsidRPr="00436D27">
        <w:t xml:space="preserve">postaci minimalnej liczby RLM przyłączanych do sieci kanalizacyjnej na kilometr. </w:t>
      </w:r>
    </w:p>
    <w:p w14:paraId="4C0E65EC" w14:textId="77777777" w:rsidR="006E0098" w:rsidRPr="00436D27" w:rsidRDefault="006E0098" w:rsidP="006E0098">
      <w:pPr>
        <w:pStyle w:val="evaluTresc"/>
      </w:pPr>
      <w:r w:rsidRPr="00436D27">
        <w:t xml:space="preserve">Cel pośredni (ustanowiony na koniec 2018 roku) dla wskaźnika </w:t>
      </w:r>
      <w:r w:rsidRPr="00436D27">
        <w:rPr>
          <w:i/>
        </w:rPr>
        <w:t xml:space="preserve">Liczba wspartych zakładów zagospodarowania odpadów </w:t>
      </w:r>
      <w:r w:rsidRPr="00436D27">
        <w:t>został zrealizowany na poziomie 200% (KEW). Cel pośredni dla opisywanego wskaźnika został określony na poziomie 1 zakładu zagospodarowania odpadów (dalej: ZZO). Na dzień 7.01.2019 roku zawarte zostały 2 UoD, które będą przyczyniały się do realizacji przedmiotowego wskaźnika. Żaden</w:t>
      </w:r>
      <w:r w:rsidR="00E66B89">
        <w:t xml:space="preserve"> z </w:t>
      </w:r>
      <w:r w:rsidRPr="00436D27">
        <w:t>tych projektów nie został jeszcze zakończony</w:t>
      </w:r>
      <w:r w:rsidR="00E66B89">
        <w:t xml:space="preserve"> i </w:t>
      </w:r>
      <w:r w:rsidRPr="00436D27">
        <w:t>rozliczony. Wartość wskaźnika dla celu pośredniego odpowiada wartości docelowej na rok 2023. Przekroczenie celu pośredniego</w:t>
      </w:r>
      <w:r w:rsidR="00E66B89">
        <w:t xml:space="preserve"> o </w:t>
      </w:r>
      <w:r w:rsidRPr="00436D27">
        <w:t>200% wynika</w:t>
      </w:r>
      <w:r w:rsidR="00E66B89">
        <w:t xml:space="preserve"> z </w:t>
      </w:r>
      <w:r w:rsidRPr="00436D27">
        <w:t>większej liczby projektów składanych przez wnioskodawców. Wartość wskaźnika pierwotnie na etapie programowania została określona na 2 szt. ZZO.</w:t>
      </w:r>
      <w:r w:rsidR="00E66B89">
        <w:t xml:space="preserve"> Z </w:t>
      </w:r>
      <w:r w:rsidRPr="00436D27">
        <w:t>uwagi na zmniejszenie alokacji</w:t>
      </w:r>
      <w:r w:rsidR="00E66B89">
        <w:t xml:space="preserve"> w </w:t>
      </w:r>
      <w:r w:rsidRPr="00436D27">
        <w:t>okresie wdrażania RPO WZ 2014-2020, zmniejszono również wartość wskaźnika do poziomu 1 szt. Praktyka pokazała, iż</w:t>
      </w:r>
      <w:r w:rsidR="00E66B89">
        <w:t xml:space="preserve"> z </w:t>
      </w:r>
      <w:r w:rsidRPr="00436D27">
        <w:t>uwagi na niższy średni koszt jednostkowy</w:t>
      </w:r>
      <w:r>
        <w:t>,</w:t>
      </w:r>
      <w:r w:rsidRPr="00436D27">
        <w:t xml:space="preserve"> pomimo zmniejszonej alokacji</w:t>
      </w:r>
      <w:r>
        <w:t>,</w:t>
      </w:r>
      <w:r w:rsidRPr="00436D27">
        <w:t xml:space="preserve"> możliwe będzie osiągnięcie wartości wskaźnika na poziomie 2 szt. wspartych ZZO. Szacunki dotyczące wartości docelowych wskaźników opracowane zostały na podstawie danych nt. projektów realizowanych</w:t>
      </w:r>
      <w:r w:rsidR="00E66B89">
        <w:t xml:space="preserve"> w </w:t>
      </w:r>
      <w:r w:rsidRPr="00436D27">
        <w:t>perspektywie 2007-2013.</w:t>
      </w:r>
      <w:r w:rsidR="00E66B89">
        <w:t xml:space="preserve"> W </w:t>
      </w:r>
      <w:r w:rsidRPr="00436D27">
        <w:t>ramach</w:t>
      </w:r>
      <w:r w:rsidR="00E66B89">
        <w:t xml:space="preserve"> I </w:t>
      </w:r>
      <w:r w:rsidRPr="00436D27">
        <w:t>naboru</w:t>
      </w:r>
      <w:r w:rsidR="00E66B89">
        <w:t xml:space="preserve"> w </w:t>
      </w:r>
      <w:r w:rsidRPr="00436D27">
        <w:t>Działaniu 3.7 średnia wartość jednostkowa osiągnięcia jednej jednostki wskaźnika wyniosła ok. 4,5 mln zł.</w:t>
      </w:r>
      <w:r w:rsidR="00E66B89">
        <w:t xml:space="preserve"> W </w:t>
      </w:r>
      <w:r w:rsidRPr="00436D27">
        <w:t>ramach szacunków związanych</w:t>
      </w:r>
      <w:r w:rsidR="00E66B89">
        <w:t xml:space="preserve"> z </w:t>
      </w:r>
      <w:r w:rsidRPr="00436D27">
        <w:t>projektowaniem wsparcia koszt ten wyliczono na kwotę ok. 9.2 mln zł. Założenia te uwzględniono</w:t>
      </w:r>
      <w:r w:rsidR="00E66B89">
        <w:t xml:space="preserve"> w </w:t>
      </w:r>
      <w:r w:rsidRPr="00436D27">
        <w:t>szacowaniu wartości pośredniej</w:t>
      </w:r>
      <w:r w:rsidR="00E66B89">
        <w:t xml:space="preserve"> i </w:t>
      </w:r>
      <w:r w:rsidRPr="00436D27">
        <w:t>docelowej wskaźnika. Wartość docelowa została określona na koniec 2023 r. na 2 szt. Zawarte dotąd umowy pozwalają zakładać, że założona wartość wskaźnika zostanie zrealizowana przynajmniej na poziomie 200%.</w:t>
      </w:r>
      <w:r w:rsidR="00E66B89">
        <w:t xml:space="preserve"> W </w:t>
      </w:r>
      <w:r w:rsidRPr="00436D27">
        <w:t>ocenie ewaluatora wartość ta jednak powinna zostać przekroczona</w:t>
      </w:r>
      <w:r w:rsidR="00E66B89">
        <w:t xml:space="preserve"> w </w:t>
      </w:r>
      <w:r w:rsidRPr="00436D27">
        <w:t>jeszcze większym stopniu (z uwagi na zaplanowany na 2019 r. nabór wniosków).</w:t>
      </w:r>
      <w:r w:rsidR="00E66B89">
        <w:t xml:space="preserve"> W </w:t>
      </w:r>
      <w:r w:rsidRPr="00436D27">
        <w:t xml:space="preserve">ocenie ewaluatora przyjęty wskaźnik pn. </w:t>
      </w:r>
      <w:r w:rsidRPr="00436D27">
        <w:rPr>
          <w:i/>
        </w:rPr>
        <w:t>Liczba wspartych zakładów zagospodarowania odpadów</w:t>
      </w:r>
      <w:r w:rsidRPr="00436D27">
        <w:t xml:space="preserve"> uznać należy za bardzo trafny (wskaźnik cechuje wysoka logika interwencji, wysoki stopień wpisywania się</w:t>
      </w:r>
      <w:r w:rsidR="00E66B89">
        <w:t xml:space="preserve"> w </w:t>
      </w:r>
      <w:r w:rsidRPr="00436D27">
        <w:t>założone cele</w:t>
      </w:r>
      <w:r w:rsidR="00E66B89">
        <w:t xml:space="preserve"> w </w:t>
      </w:r>
      <w:r w:rsidRPr="00436D27">
        <w:t>zakresie rezultatu bezpośredniego oraz strategicznego</w:t>
      </w:r>
      <w:r w:rsidR="00E66B89">
        <w:t xml:space="preserve"> w </w:t>
      </w:r>
      <w:r w:rsidRPr="00436D27">
        <w:t>PI 6b).</w:t>
      </w:r>
    </w:p>
    <w:p w14:paraId="5F68FF93" w14:textId="77777777" w:rsidR="00F5769E" w:rsidRDefault="00F5769E" w:rsidP="00410B29">
      <w:pPr>
        <w:pStyle w:val="Nagwek3"/>
      </w:pPr>
      <w:r w:rsidRPr="00E113F1">
        <w:lastRenderedPageBreak/>
        <w:t xml:space="preserve">Priorytet inwestycyjny nr </w:t>
      </w:r>
      <w:r>
        <w:t>5b</w:t>
      </w:r>
      <w:r w:rsidRPr="00E113F1">
        <w:t xml:space="preserve"> (Działani</w:t>
      </w:r>
      <w:r>
        <w:t>a 3.1, 3.2, 3,3 oraz 3.4</w:t>
      </w:r>
      <w:r w:rsidRPr="00E113F1">
        <w:t>)</w:t>
      </w:r>
    </w:p>
    <w:p w14:paraId="5A21995F" w14:textId="77777777" w:rsidR="006E0098" w:rsidRPr="008E2B89" w:rsidRDefault="006E0098" w:rsidP="006E0098">
      <w:pPr>
        <w:pStyle w:val="Nagwek4"/>
        <w:numPr>
          <w:ilvl w:val="0"/>
          <w:numId w:val="0"/>
        </w:numPr>
        <w:ind w:left="864" w:hanging="864"/>
        <w:rPr>
          <w:rFonts w:ascii="Lato" w:eastAsia="Calibri" w:hAnsi="Lato"/>
        </w:rPr>
      </w:pPr>
      <w:r w:rsidRPr="008E2B89">
        <w:rPr>
          <w:rFonts w:ascii="Lato" w:eastAsia="Calibri" w:hAnsi="Lato"/>
        </w:rPr>
        <w:t>Ocena postępów</w:t>
      </w:r>
      <w:r w:rsidR="00E66B89">
        <w:rPr>
          <w:rFonts w:ascii="Lato" w:eastAsia="Calibri" w:hAnsi="Lato"/>
        </w:rPr>
        <w:t xml:space="preserve"> w </w:t>
      </w:r>
      <w:r w:rsidRPr="008E2B89">
        <w:rPr>
          <w:rFonts w:ascii="Lato" w:eastAsia="Calibri" w:hAnsi="Lato"/>
        </w:rPr>
        <w:t xml:space="preserve">realizacji PI </w:t>
      </w:r>
    </w:p>
    <w:p w14:paraId="5605ABB9" w14:textId="77777777" w:rsidR="006E0098" w:rsidRPr="00F5769E" w:rsidRDefault="006E0098" w:rsidP="006E34DC">
      <w:pPr>
        <w:pStyle w:val="Legenda"/>
        <w:spacing w:after="0"/>
      </w:pPr>
      <w:bookmarkStart w:id="104" w:name="_Toc8824152"/>
      <w:r w:rsidRPr="00F5769E">
        <w:t xml:space="preserve">Tabela </w:t>
      </w:r>
      <w:r>
        <w:fldChar w:fldCharType="begin"/>
      </w:r>
      <w:r>
        <w:instrText xml:space="preserve"> SEQ Tabela \* ARABIC </w:instrText>
      </w:r>
      <w:r>
        <w:fldChar w:fldCharType="separate"/>
      </w:r>
      <w:r w:rsidR="00763345">
        <w:rPr>
          <w:noProof/>
        </w:rPr>
        <w:t>41</w:t>
      </w:r>
      <w:r>
        <w:fldChar w:fldCharType="end"/>
      </w:r>
      <w:r w:rsidRPr="00F5769E">
        <w:t xml:space="preserve"> Wskaźniki produktu</w:t>
      </w:r>
      <w:r w:rsidR="00E66B89">
        <w:t xml:space="preserve"> i </w:t>
      </w:r>
      <w:r w:rsidRPr="00F5769E">
        <w:t xml:space="preserve">rezultatu (PI </w:t>
      </w:r>
      <w:r>
        <w:t>5b</w:t>
      </w:r>
      <w:r w:rsidRPr="00F5769E">
        <w:t>) – postęp rzeczowy</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878"/>
        <w:gridCol w:w="1729"/>
        <w:gridCol w:w="806"/>
        <w:gridCol w:w="906"/>
        <w:gridCol w:w="948"/>
        <w:gridCol w:w="949"/>
        <w:gridCol w:w="948"/>
        <w:gridCol w:w="949"/>
      </w:tblGrid>
      <w:tr w:rsidR="006E0098" w:rsidRPr="00FE43CD" w14:paraId="5E0DBDC8" w14:textId="77777777" w:rsidTr="00217CFE">
        <w:trPr>
          <w:tblHeader/>
        </w:trPr>
        <w:tc>
          <w:tcPr>
            <w:tcW w:w="0" w:type="auto"/>
            <w:shd w:val="clear" w:color="auto" w:fill="DBE5F1"/>
            <w:vAlign w:val="center"/>
          </w:tcPr>
          <w:p w14:paraId="3299CCB9" w14:textId="77777777" w:rsidR="006E0098" w:rsidRPr="00404DA5" w:rsidRDefault="006E0098" w:rsidP="00217CFE">
            <w:pPr>
              <w:jc w:val="center"/>
              <w:rPr>
                <w:rFonts w:cs="Calibri"/>
                <w:sz w:val="18"/>
                <w:szCs w:val="18"/>
              </w:rPr>
            </w:pPr>
            <w:bookmarkStart w:id="105" w:name="_Hlk5303531"/>
            <w:r w:rsidRPr="00404DA5">
              <w:rPr>
                <w:rFonts w:cs="Calibri"/>
                <w:sz w:val="18"/>
                <w:szCs w:val="18"/>
              </w:rPr>
              <w:t>Typ wskaźnika</w:t>
            </w:r>
          </w:p>
        </w:tc>
        <w:tc>
          <w:tcPr>
            <w:tcW w:w="0" w:type="auto"/>
            <w:shd w:val="clear" w:color="auto" w:fill="DBE5F1"/>
            <w:vAlign w:val="center"/>
          </w:tcPr>
          <w:p w14:paraId="514F99FE" w14:textId="77777777" w:rsidR="006E0098" w:rsidRPr="00404DA5" w:rsidRDefault="006E0098" w:rsidP="00217CFE">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75D3755E" w14:textId="77777777" w:rsidR="006E0098" w:rsidRPr="00404DA5" w:rsidRDefault="006E0098" w:rsidP="00217CFE">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4C4A9E05" w14:textId="77777777" w:rsidR="006E0098" w:rsidRPr="00404DA5" w:rsidRDefault="006E0098" w:rsidP="00217CFE">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659CFDDB" w14:textId="77777777" w:rsidR="006E0098" w:rsidRPr="00404DA5" w:rsidRDefault="006E0098" w:rsidP="00217CFE">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52C3A4CE" w14:textId="77777777" w:rsidR="006E0098" w:rsidRPr="00404DA5" w:rsidRDefault="006E0098" w:rsidP="00217CFE">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36966268" w14:textId="77777777" w:rsidR="006E0098" w:rsidRPr="00404DA5" w:rsidRDefault="006E0098" w:rsidP="00217CFE">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4249F504" w14:textId="77777777" w:rsidR="006E0098" w:rsidRPr="00404DA5" w:rsidRDefault="006E0098" w:rsidP="00217CFE">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2A496E00" w14:textId="77777777" w:rsidR="006E0098" w:rsidRPr="00404DA5" w:rsidRDefault="006E0098" w:rsidP="00217CFE">
            <w:pPr>
              <w:jc w:val="center"/>
              <w:rPr>
                <w:rFonts w:cs="Calibri"/>
                <w:sz w:val="18"/>
                <w:szCs w:val="18"/>
              </w:rPr>
            </w:pPr>
            <w:r w:rsidRPr="00404DA5">
              <w:rPr>
                <w:rFonts w:cs="Calibri"/>
                <w:sz w:val="18"/>
                <w:szCs w:val="18"/>
              </w:rPr>
              <w:t>% realizacji wartości docelowej (wg WoP)</w:t>
            </w:r>
          </w:p>
        </w:tc>
      </w:tr>
      <w:tr w:rsidR="006E0098" w:rsidRPr="00FE43CD" w14:paraId="53E5AE3C" w14:textId="77777777" w:rsidTr="00C22C26">
        <w:tc>
          <w:tcPr>
            <w:tcW w:w="0" w:type="auto"/>
            <w:shd w:val="clear" w:color="auto" w:fill="auto"/>
            <w:vAlign w:val="center"/>
          </w:tcPr>
          <w:p w14:paraId="50367BF2" w14:textId="77777777" w:rsidR="006E0098" w:rsidRPr="00404DA5" w:rsidRDefault="006E0098" w:rsidP="00217CFE">
            <w:pPr>
              <w:jc w:val="center"/>
              <w:rPr>
                <w:rFonts w:cs="Calibri"/>
                <w:sz w:val="18"/>
                <w:szCs w:val="18"/>
              </w:rPr>
            </w:pPr>
            <w:r w:rsidRPr="00404DA5">
              <w:rPr>
                <w:rFonts w:cs="Calibri"/>
                <w:sz w:val="18"/>
                <w:szCs w:val="18"/>
              </w:rPr>
              <w:t>WP</w:t>
            </w:r>
          </w:p>
        </w:tc>
        <w:tc>
          <w:tcPr>
            <w:tcW w:w="0" w:type="auto"/>
            <w:shd w:val="clear" w:color="auto" w:fill="auto"/>
            <w:vAlign w:val="center"/>
          </w:tcPr>
          <w:p w14:paraId="553DC808" w14:textId="77777777" w:rsidR="006E0098" w:rsidRPr="00404DA5" w:rsidRDefault="006E0098" w:rsidP="003850AB">
            <w:pPr>
              <w:jc w:val="center"/>
              <w:rPr>
                <w:rFonts w:cs="Calibri"/>
                <w:sz w:val="18"/>
                <w:szCs w:val="18"/>
              </w:rPr>
            </w:pPr>
          </w:p>
          <w:p w14:paraId="3E2FC1EF" w14:textId="77777777" w:rsidR="006E0098" w:rsidRPr="00404DA5" w:rsidRDefault="006E0098">
            <w:pPr>
              <w:jc w:val="center"/>
              <w:rPr>
                <w:rFonts w:cs="Calibri"/>
                <w:sz w:val="18"/>
                <w:szCs w:val="18"/>
              </w:rPr>
            </w:pPr>
          </w:p>
          <w:p w14:paraId="492FBE4C" w14:textId="77777777" w:rsidR="006E0098" w:rsidRPr="00404DA5" w:rsidRDefault="006E0098">
            <w:pPr>
              <w:jc w:val="center"/>
              <w:rPr>
                <w:rFonts w:cs="Calibri"/>
                <w:sz w:val="18"/>
                <w:szCs w:val="18"/>
              </w:rPr>
            </w:pPr>
            <w:r w:rsidRPr="00404DA5">
              <w:rPr>
                <w:rFonts w:cs="Calibri"/>
                <w:sz w:val="18"/>
                <w:szCs w:val="18"/>
              </w:rPr>
              <w:t>3.4</w:t>
            </w:r>
          </w:p>
        </w:tc>
        <w:tc>
          <w:tcPr>
            <w:tcW w:w="0" w:type="auto"/>
            <w:shd w:val="clear" w:color="auto" w:fill="auto"/>
            <w:vAlign w:val="center"/>
          </w:tcPr>
          <w:p w14:paraId="47A44698"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Liczba zakupionych</w:t>
            </w:r>
          </w:p>
          <w:p w14:paraId="04351F05"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wozów pożarniczych</w:t>
            </w:r>
          </w:p>
          <w:p w14:paraId="04F3C894"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wyposażonych</w:t>
            </w:r>
            <w:r w:rsidR="00E66B89">
              <w:rPr>
                <w:rFonts w:cs="Calibri"/>
                <w:sz w:val="18"/>
                <w:szCs w:val="18"/>
              </w:rPr>
              <w:t xml:space="preserve"> w </w:t>
            </w:r>
            <w:r w:rsidRPr="00404DA5">
              <w:rPr>
                <w:rFonts w:cs="Calibri"/>
                <w:sz w:val="18"/>
                <w:szCs w:val="18"/>
              </w:rPr>
              <w:t>sprzęt</w:t>
            </w:r>
          </w:p>
          <w:p w14:paraId="17628D5D"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do prowadzenia akcji</w:t>
            </w:r>
          </w:p>
          <w:p w14:paraId="3AD5FA15"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ratowniczych</w:t>
            </w:r>
          </w:p>
          <w:p w14:paraId="3DE7D48A" w14:textId="77777777" w:rsidR="006E0098" w:rsidRPr="00404DA5" w:rsidRDefault="006E0098" w:rsidP="00C22C26">
            <w:pPr>
              <w:autoSpaceDE w:val="0"/>
              <w:autoSpaceDN w:val="0"/>
              <w:adjustRightInd w:val="0"/>
              <w:spacing w:before="0" w:after="0" w:line="240" w:lineRule="auto"/>
              <w:jc w:val="center"/>
              <w:rPr>
                <w:rFonts w:cs="Calibri"/>
                <w:sz w:val="18"/>
                <w:szCs w:val="18"/>
              </w:rPr>
            </w:pPr>
            <w:r w:rsidRPr="00404DA5">
              <w:rPr>
                <w:rFonts w:cs="Calibri"/>
                <w:sz w:val="18"/>
                <w:szCs w:val="18"/>
              </w:rPr>
              <w:t>i usuwania skutków</w:t>
            </w:r>
            <w:r w:rsidR="003850AB">
              <w:rPr>
                <w:rFonts w:cs="Calibri"/>
                <w:sz w:val="18"/>
                <w:szCs w:val="18"/>
              </w:rPr>
              <w:t xml:space="preserve"> </w:t>
            </w:r>
            <w:r w:rsidRPr="00404DA5">
              <w:rPr>
                <w:rFonts w:cs="Calibri"/>
                <w:sz w:val="18"/>
                <w:szCs w:val="18"/>
              </w:rPr>
              <w:t>katastrof</w:t>
            </w:r>
          </w:p>
        </w:tc>
        <w:tc>
          <w:tcPr>
            <w:tcW w:w="0" w:type="auto"/>
            <w:shd w:val="clear" w:color="auto" w:fill="auto"/>
            <w:vAlign w:val="center"/>
          </w:tcPr>
          <w:p w14:paraId="01D194F8" w14:textId="77777777" w:rsidR="006E0098" w:rsidRPr="00404DA5" w:rsidRDefault="006E0098" w:rsidP="00217CFE">
            <w:pPr>
              <w:jc w:val="center"/>
              <w:rPr>
                <w:rFonts w:cs="Calibri"/>
                <w:sz w:val="18"/>
                <w:szCs w:val="18"/>
              </w:rPr>
            </w:pPr>
            <w:r w:rsidRPr="00404DA5">
              <w:rPr>
                <w:rFonts w:cs="Calibri"/>
                <w:sz w:val="18"/>
                <w:szCs w:val="18"/>
              </w:rPr>
              <w:t>Szt.</w:t>
            </w:r>
          </w:p>
        </w:tc>
        <w:tc>
          <w:tcPr>
            <w:tcW w:w="0" w:type="auto"/>
            <w:shd w:val="clear" w:color="auto" w:fill="auto"/>
            <w:vAlign w:val="center"/>
          </w:tcPr>
          <w:p w14:paraId="604C919C" w14:textId="77777777" w:rsidR="006E0098" w:rsidRPr="00404DA5" w:rsidRDefault="006E0098" w:rsidP="00217CFE">
            <w:pPr>
              <w:jc w:val="center"/>
              <w:rPr>
                <w:rFonts w:cs="Calibri"/>
                <w:sz w:val="18"/>
                <w:szCs w:val="18"/>
              </w:rPr>
            </w:pPr>
            <w:r w:rsidRPr="00404DA5">
              <w:rPr>
                <w:rFonts w:cs="Calibri"/>
                <w:sz w:val="18"/>
                <w:szCs w:val="18"/>
              </w:rPr>
              <w:t>14</w:t>
            </w:r>
          </w:p>
        </w:tc>
        <w:tc>
          <w:tcPr>
            <w:tcW w:w="0" w:type="auto"/>
            <w:shd w:val="clear" w:color="auto" w:fill="auto"/>
            <w:vAlign w:val="center"/>
          </w:tcPr>
          <w:p w14:paraId="747AEB42" w14:textId="77777777" w:rsidR="006E0098" w:rsidRPr="00404DA5" w:rsidRDefault="006E0098" w:rsidP="00217CFE">
            <w:pPr>
              <w:jc w:val="center"/>
              <w:rPr>
                <w:rFonts w:cs="Calibri"/>
                <w:sz w:val="18"/>
                <w:szCs w:val="18"/>
              </w:rPr>
            </w:pPr>
            <w:r w:rsidRPr="00404DA5">
              <w:rPr>
                <w:rFonts w:cs="Calibri"/>
                <w:sz w:val="18"/>
                <w:szCs w:val="18"/>
              </w:rPr>
              <w:t>24</w:t>
            </w:r>
          </w:p>
        </w:tc>
        <w:tc>
          <w:tcPr>
            <w:tcW w:w="0" w:type="auto"/>
            <w:shd w:val="clear" w:color="auto" w:fill="auto"/>
            <w:vAlign w:val="center"/>
          </w:tcPr>
          <w:p w14:paraId="2AA02ECD" w14:textId="77777777" w:rsidR="006E0098" w:rsidRPr="00404DA5" w:rsidRDefault="006E0098" w:rsidP="00217CFE">
            <w:pPr>
              <w:jc w:val="center"/>
              <w:rPr>
                <w:rFonts w:cs="Calibri"/>
                <w:sz w:val="18"/>
                <w:szCs w:val="18"/>
              </w:rPr>
            </w:pPr>
            <w:r w:rsidRPr="00404DA5">
              <w:rPr>
                <w:rFonts w:cs="Calibri"/>
                <w:sz w:val="18"/>
                <w:szCs w:val="18"/>
              </w:rPr>
              <w:t>171%</w:t>
            </w:r>
          </w:p>
        </w:tc>
        <w:tc>
          <w:tcPr>
            <w:tcW w:w="0" w:type="auto"/>
            <w:shd w:val="clear" w:color="auto" w:fill="auto"/>
            <w:vAlign w:val="center"/>
          </w:tcPr>
          <w:p w14:paraId="5E3030A2" w14:textId="77777777" w:rsidR="006E0098" w:rsidRPr="00404DA5" w:rsidRDefault="006E0098" w:rsidP="00217CFE">
            <w:pPr>
              <w:jc w:val="center"/>
              <w:rPr>
                <w:rFonts w:cs="Calibri"/>
                <w:sz w:val="18"/>
                <w:szCs w:val="18"/>
              </w:rPr>
            </w:pPr>
            <w:r w:rsidRPr="00404DA5">
              <w:rPr>
                <w:rFonts w:cs="Calibri"/>
                <w:sz w:val="18"/>
                <w:szCs w:val="18"/>
              </w:rPr>
              <w:t>22</w:t>
            </w:r>
          </w:p>
        </w:tc>
        <w:tc>
          <w:tcPr>
            <w:tcW w:w="0" w:type="auto"/>
            <w:shd w:val="clear" w:color="auto" w:fill="auto"/>
            <w:vAlign w:val="center"/>
          </w:tcPr>
          <w:p w14:paraId="79C69F99" w14:textId="77777777" w:rsidR="006E0098" w:rsidRPr="00404DA5" w:rsidRDefault="006E0098" w:rsidP="00217CFE">
            <w:pPr>
              <w:jc w:val="center"/>
              <w:rPr>
                <w:rFonts w:cs="Calibri"/>
                <w:sz w:val="18"/>
                <w:szCs w:val="18"/>
              </w:rPr>
            </w:pPr>
            <w:r w:rsidRPr="00404DA5">
              <w:rPr>
                <w:rFonts w:cs="Calibri"/>
                <w:sz w:val="18"/>
                <w:szCs w:val="18"/>
              </w:rPr>
              <w:t>157%</w:t>
            </w:r>
          </w:p>
        </w:tc>
      </w:tr>
      <w:tr w:rsidR="006E0098" w:rsidRPr="00FE43CD" w14:paraId="55BA41B9" w14:textId="77777777" w:rsidTr="00C22C26">
        <w:tc>
          <w:tcPr>
            <w:tcW w:w="0" w:type="auto"/>
            <w:shd w:val="clear" w:color="auto" w:fill="auto"/>
            <w:vAlign w:val="center"/>
          </w:tcPr>
          <w:p w14:paraId="2D5A252A" w14:textId="77777777" w:rsidR="006E0098" w:rsidRPr="00404DA5" w:rsidRDefault="006E0098" w:rsidP="00217CFE">
            <w:pPr>
              <w:jc w:val="center"/>
              <w:rPr>
                <w:rFonts w:cs="Calibri"/>
                <w:sz w:val="18"/>
                <w:szCs w:val="18"/>
              </w:rPr>
            </w:pPr>
            <w:r w:rsidRPr="00404DA5">
              <w:rPr>
                <w:rFonts w:cs="Calibri"/>
                <w:sz w:val="18"/>
                <w:szCs w:val="18"/>
              </w:rPr>
              <w:t>WP</w:t>
            </w:r>
          </w:p>
        </w:tc>
        <w:tc>
          <w:tcPr>
            <w:tcW w:w="0" w:type="auto"/>
            <w:shd w:val="clear" w:color="auto" w:fill="auto"/>
            <w:vAlign w:val="center"/>
          </w:tcPr>
          <w:p w14:paraId="76508F46" w14:textId="77777777" w:rsidR="006E0098" w:rsidRPr="00404DA5" w:rsidRDefault="006E0098" w:rsidP="00C22C26">
            <w:pPr>
              <w:jc w:val="center"/>
              <w:rPr>
                <w:rFonts w:cs="Calibri"/>
                <w:sz w:val="18"/>
                <w:szCs w:val="18"/>
              </w:rPr>
            </w:pPr>
            <w:r w:rsidRPr="00404DA5">
              <w:rPr>
                <w:rFonts w:cs="Calibri"/>
                <w:sz w:val="18"/>
                <w:szCs w:val="18"/>
              </w:rPr>
              <w:t>3.1, 3.2</w:t>
            </w:r>
          </w:p>
        </w:tc>
        <w:tc>
          <w:tcPr>
            <w:tcW w:w="0" w:type="auto"/>
            <w:shd w:val="clear" w:color="auto" w:fill="auto"/>
            <w:vAlign w:val="center"/>
          </w:tcPr>
          <w:p w14:paraId="0B957A87" w14:textId="77777777" w:rsidR="006E0098" w:rsidRPr="00404DA5" w:rsidRDefault="006E0098" w:rsidP="00C22C26">
            <w:pPr>
              <w:autoSpaceDE w:val="0"/>
              <w:autoSpaceDN w:val="0"/>
              <w:adjustRightInd w:val="0"/>
              <w:spacing w:before="0" w:after="0" w:line="240" w:lineRule="auto"/>
              <w:jc w:val="center"/>
              <w:rPr>
                <w:rFonts w:cs="Calibri"/>
                <w:sz w:val="18"/>
                <w:szCs w:val="18"/>
              </w:rPr>
            </w:pPr>
            <w:r w:rsidRPr="00404DA5">
              <w:rPr>
                <w:rFonts w:cs="Calibri"/>
                <w:sz w:val="18"/>
                <w:szCs w:val="18"/>
              </w:rPr>
              <w:t>Liczba urządzeń dla</w:t>
            </w:r>
            <w:r w:rsidR="003850AB">
              <w:rPr>
                <w:rFonts w:cs="Calibri"/>
                <w:sz w:val="18"/>
                <w:szCs w:val="18"/>
              </w:rPr>
              <w:t xml:space="preserve"> </w:t>
            </w:r>
            <w:r w:rsidRPr="00404DA5">
              <w:rPr>
                <w:rFonts w:cs="Calibri"/>
                <w:sz w:val="18"/>
                <w:szCs w:val="18"/>
              </w:rPr>
              <w:t>celów ochrony</w:t>
            </w:r>
            <w:r w:rsidR="003850AB">
              <w:rPr>
                <w:rFonts w:cs="Calibri"/>
                <w:sz w:val="18"/>
                <w:szCs w:val="18"/>
              </w:rPr>
              <w:t xml:space="preserve"> </w:t>
            </w:r>
            <w:r w:rsidRPr="00404DA5">
              <w:rPr>
                <w:rFonts w:cs="Calibri"/>
                <w:sz w:val="18"/>
                <w:szCs w:val="18"/>
              </w:rPr>
              <w:t>przeciwpowodziowej</w:t>
            </w:r>
          </w:p>
        </w:tc>
        <w:tc>
          <w:tcPr>
            <w:tcW w:w="0" w:type="auto"/>
            <w:shd w:val="clear" w:color="auto" w:fill="auto"/>
            <w:vAlign w:val="center"/>
          </w:tcPr>
          <w:p w14:paraId="008A3788" w14:textId="77777777" w:rsidR="006E0098" w:rsidRPr="00404DA5" w:rsidRDefault="006E0098" w:rsidP="00217CFE">
            <w:pPr>
              <w:jc w:val="center"/>
              <w:rPr>
                <w:rFonts w:cs="Calibri"/>
                <w:sz w:val="18"/>
                <w:szCs w:val="18"/>
              </w:rPr>
            </w:pPr>
            <w:r w:rsidRPr="00404DA5">
              <w:rPr>
                <w:rFonts w:cs="Calibri"/>
                <w:sz w:val="18"/>
                <w:szCs w:val="18"/>
              </w:rPr>
              <w:t>Szt.</w:t>
            </w:r>
          </w:p>
        </w:tc>
        <w:tc>
          <w:tcPr>
            <w:tcW w:w="0" w:type="auto"/>
            <w:shd w:val="clear" w:color="auto" w:fill="auto"/>
            <w:vAlign w:val="center"/>
          </w:tcPr>
          <w:p w14:paraId="51810F82" w14:textId="77777777" w:rsidR="006E0098" w:rsidRPr="00404DA5" w:rsidRDefault="006E0098" w:rsidP="00217CFE">
            <w:pPr>
              <w:jc w:val="center"/>
              <w:rPr>
                <w:rFonts w:cs="Calibri"/>
                <w:sz w:val="18"/>
                <w:szCs w:val="18"/>
              </w:rPr>
            </w:pPr>
            <w:r w:rsidRPr="00404DA5">
              <w:rPr>
                <w:rFonts w:cs="Calibri"/>
                <w:sz w:val="18"/>
                <w:szCs w:val="18"/>
              </w:rPr>
              <w:t>7</w:t>
            </w:r>
          </w:p>
        </w:tc>
        <w:tc>
          <w:tcPr>
            <w:tcW w:w="0" w:type="auto"/>
            <w:shd w:val="clear" w:color="auto" w:fill="auto"/>
            <w:vAlign w:val="center"/>
          </w:tcPr>
          <w:p w14:paraId="5F3CC36B" w14:textId="77777777" w:rsidR="006E0098" w:rsidRPr="00404DA5" w:rsidRDefault="006E0098" w:rsidP="00217CFE">
            <w:pPr>
              <w:jc w:val="center"/>
              <w:rPr>
                <w:rFonts w:cs="Calibri"/>
                <w:sz w:val="18"/>
                <w:szCs w:val="18"/>
              </w:rPr>
            </w:pPr>
            <w:r w:rsidRPr="00404DA5">
              <w:rPr>
                <w:rFonts w:cs="Calibri"/>
                <w:sz w:val="18"/>
                <w:szCs w:val="18"/>
              </w:rPr>
              <w:t>32</w:t>
            </w:r>
          </w:p>
        </w:tc>
        <w:tc>
          <w:tcPr>
            <w:tcW w:w="0" w:type="auto"/>
            <w:shd w:val="clear" w:color="auto" w:fill="auto"/>
            <w:vAlign w:val="center"/>
          </w:tcPr>
          <w:p w14:paraId="3921D955" w14:textId="77777777" w:rsidR="006E0098" w:rsidRPr="00404DA5" w:rsidRDefault="006E0098" w:rsidP="00217CFE">
            <w:pPr>
              <w:jc w:val="center"/>
              <w:rPr>
                <w:rFonts w:cs="Calibri"/>
                <w:sz w:val="18"/>
                <w:szCs w:val="18"/>
              </w:rPr>
            </w:pPr>
            <w:r w:rsidRPr="00404DA5">
              <w:rPr>
                <w:rFonts w:cs="Calibri"/>
                <w:sz w:val="18"/>
                <w:szCs w:val="18"/>
              </w:rPr>
              <w:t>457%</w:t>
            </w:r>
          </w:p>
        </w:tc>
        <w:tc>
          <w:tcPr>
            <w:tcW w:w="0" w:type="auto"/>
            <w:shd w:val="clear" w:color="auto" w:fill="auto"/>
            <w:vAlign w:val="center"/>
          </w:tcPr>
          <w:p w14:paraId="629B5636" w14:textId="77777777" w:rsidR="006E0098" w:rsidRPr="00404DA5" w:rsidRDefault="006E0098" w:rsidP="00217CFE">
            <w:pPr>
              <w:jc w:val="center"/>
              <w:rPr>
                <w:rFonts w:cs="Calibri"/>
                <w:sz w:val="18"/>
                <w:szCs w:val="18"/>
              </w:rPr>
            </w:pPr>
            <w:r w:rsidRPr="00404DA5">
              <w:rPr>
                <w:rFonts w:cs="Calibri"/>
                <w:sz w:val="18"/>
                <w:szCs w:val="18"/>
              </w:rPr>
              <w:t>0</w:t>
            </w:r>
          </w:p>
        </w:tc>
        <w:tc>
          <w:tcPr>
            <w:tcW w:w="0" w:type="auto"/>
            <w:shd w:val="clear" w:color="auto" w:fill="auto"/>
            <w:vAlign w:val="center"/>
          </w:tcPr>
          <w:p w14:paraId="7C4748A1" w14:textId="77777777" w:rsidR="006E0098" w:rsidRPr="00404DA5" w:rsidRDefault="006E0098" w:rsidP="00217CFE">
            <w:pPr>
              <w:jc w:val="center"/>
              <w:rPr>
                <w:rFonts w:cs="Calibri"/>
                <w:sz w:val="18"/>
                <w:szCs w:val="18"/>
              </w:rPr>
            </w:pPr>
            <w:r w:rsidRPr="00404DA5">
              <w:rPr>
                <w:rFonts w:cs="Calibri"/>
                <w:sz w:val="18"/>
                <w:szCs w:val="18"/>
              </w:rPr>
              <w:t>0%</w:t>
            </w:r>
          </w:p>
        </w:tc>
      </w:tr>
      <w:tr w:rsidR="006E0098" w:rsidRPr="00FE43CD" w14:paraId="133361E4" w14:textId="77777777" w:rsidTr="00C22C26">
        <w:tc>
          <w:tcPr>
            <w:tcW w:w="0" w:type="auto"/>
            <w:shd w:val="clear" w:color="auto" w:fill="auto"/>
            <w:vAlign w:val="center"/>
          </w:tcPr>
          <w:p w14:paraId="65782C26" w14:textId="77777777" w:rsidR="006E0098" w:rsidRPr="00404DA5" w:rsidRDefault="006E0098" w:rsidP="00217CFE">
            <w:pPr>
              <w:jc w:val="center"/>
              <w:rPr>
                <w:rFonts w:cs="Calibri"/>
                <w:sz w:val="18"/>
                <w:szCs w:val="18"/>
              </w:rPr>
            </w:pPr>
            <w:r w:rsidRPr="00404DA5">
              <w:rPr>
                <w:rFonts w:cs="Calibri"/>
                <w:sz w:val="18"/>
                <w:szCs w:val="18"/>
              </w:rPr>
              <w:t>WR</w:t>
            </w:r>
          </w:p>
        </w:tc>
        <w:tc>
          <w:tcPr>
            <w:tcW w:w="0" w:type="auto"/>
            <w:shd w:val="clear" w:color="auto" w:fill="auto"/>
            <w:vAlign w:val="center"/>
          </w:tcPr>
          <w:p w14:paraId="4E4294C1" w14:textId="77777777" w:rsidR="006E0098" w:rsidRPr="00404DA5" w:rsidRDefault="006E0098" w:rsidP="003850AB">
            <w:pPr>
              <w:jc w:val="center"/>
              <w:rPr>
                <w:rFonts w:cs="Calibri"/>
                <w:sz w:val="18"/>
                <w:szCs w:val="18"/>
              </w:rPr>
            </w:pPr>
            <w:r w:rsidRPr="00404DA5">
              <w:rPr>
                <w:rFonts w:cs="Calibri"/>
                <w:sz w:val="18"/>
                <w:szCs w:val="18"/>
              </w:rPr>
              <w:t>3.1</w:t>
            </w:r>
          </w:p>
        </w:tc>
        <w:tc>
          <w:tcPr>
            <w:tcW w:w="0" w:type="auto"/>
            <w:shd w:val="clear" w:color="auto" w:fill="auto"/>
            <w:vAlign w:val="center"/>
          </w:tcPr>
          <w:p w14:paraId="6B519FFB" w14:textId="77777777" w:rsidR="006E0098" w:rsidRPr="00404DA5" w:rsidRDefault="006E0098" w:rsidP="00C22C26">
            <w:pPr>
              <w:autoSpaceDE w:val="0"/>
              <w:autoSpaceDN w:val="0"/>
              <w:adjustRightInd w:val="0"/>
              <w:spacing w:before="0" w:after="0" w:line="240" w:lineRule="auto"/>
              <w:jc w:val="center"/>
              <w:rPr>
                <w:rFonts w:cs="Calibri"/>
                <w:sz w:val="18"/>
                <w:szCs w:val="18"/>
              </w:rPr>
            </w:pPr>
            <w:r w:rsidRPr="00404DA5">
              <w:rPr>
                <w:rFonts w:cs="Calibri"/>
                <w:sz w:val="18"/>
                <w:szCs w:val="18"/>
              </w:rPr>
              <w:t>Pojemność obiektów</w:t>
            </w:r>
            <w:r w:rsidR="003850AB">
              <w:rPr>
                <w:rFonts w:cs="Calibri"/>
                <w:sz w:val="18"/>
                <w:szCs w:val="18"/>
              </w:rPr>
              <w:t xml:space="preserve"> </w:t>
            </w:r>
            <w:r w:rsidRPr="00404DA5">
              <w:rPr>
                <w:rFonts w:cs="Calibri"/>
                <w:sz w:val="18"/>
                <w:szCs w:val="18"/>
              </w:rPr>
              <w:t>małej retencji</w:t>
            </w:r>
          </w:p>
        </w:tc>
        <w:tc>
          <w:tcPr>
            <w:tcW w:w="0" w:type="auto"/>
            <w:shd w:val="clear" w:color="auto" w:fill="auto"/>
            <w:vAlign w:val="center"/>
          </w:tcPr>
          <w:p w14:paraId="3573414B" w14:textId="77777777" w:rsidR="006E0098" w:rsidRPr="00404DA5" w:rsidRDefault="006E0098" w:rsidP="00217CFE">
            <w:pPr>
              <w:jc w:val="center"/>
              <w:rPr>
                <w:rFonts w:cs="Calibri"/>
                <w:sz w:val="18"/>
                <w:szCs w:val="18"/>
              </w:rPr>
            </w:pPr>
            <w:r w:rsidRPr="00404DA5">
              <w:rPr>
                <w:rFonts w:cs="Calibri"/>
                <w:sz w:val="18"/>
                <w:szCs w:val="18"/>
              </w:rPr>
              <w:t>m3</w:t>
            </w:r>
          </w:p>
        </w:tc>
        <w:tc>
          <w:tcPr>
            <w:tcW w:w="0" w:type="auto"/>
            <w:shd w:val="clear" w:color="auto" w:fill="auto"/>
            <w:vAlign w:val="center"/>
          </w:tcPr>
          <w:p w14:paraId="219C9D4F" w14:textId="77777777" w:rsidR="006E0098" w:rsidRPr="00404DA5" w:rsidRDefault="006E0098" w:rsidP="00217CFE">
            <w:pPr>
              <w:jc w:val="center"/>
              <w:rPr>
                <w:rFonts w:cs="Calibri"/>
                <w:sz w:val="18"/>
                <w:szCs w:val="18"/>
              </w:rPr>
            </w:pPr>
            <w:r w:rsidRPr="00404DA5">
              <w:rPr>
                <w:rFonts w:cs="Calibri"/>
                <w:sz w:val="18"/>
                <w:szCs w:val="18"/>
              </w:rPr>
              <w:t>6 769 269</w:t>
            </w:r>
          </w:p>
        </w:tc>
        <w:tc>
          <w:tcPr>
            <w:tcW w:w="0" w:type="auto"/>
            <w:shd w:val="clear" w:color="auto" w:fill="auto"/>
            <w:vAlign w:val="center"/>
          </w:tcPr>
          <w:p w14:paraId="104BA8FB" w14:textId="77777777" w:rsidR="006E0098" w:rsidRPr="00404DA5" w:rsidRDefault="006E0098" w:rsidP="00217CFE">
            <w:pPr>
              <w:jc w:val="center"/>
              <w:rPr>
                <w:rFonts w:cs="Calibri"/>
                <w:sz w:val="18"/>
                <w:szCs w:val="18"/>
              </w:rPr>
            </w:pPr>
            <w:r w:rsidRPr="00404DA5">
              <w:rPr>
                <w:rFonts w:cs="Calibri"/>
                <w:sz w:val="18"/>
                <w:szCs w:val="18"/>
              </w:rPr>
              <w:t>6342489</w:t>
            </w:r>
          </w:p>
        </w:tc>
        <w:tc>
          <w:tcPr>
            <w:tcW w:w="0" w:type="auto"/>
            <w:shd w:val="clear" w:color="auto" w:fill="auto"/>
            <w:vAlign w:val="center"/>
          </w:tcPr>
          <w:p w14:paraId="419E7163" w14:textId="77777777" w:rsidR="006E0098" w:rsidRPr="00404DA5" w:rsidRDefault="006E0098" w:rsidP="00217CFE">
            <w:pPr>
              <w:jc w:val="center"/>
              <w:rPr>
                <w:rFonts w:cs="Calibri"/>
                <w:sz w:val="18"/>
                <w:szCs w:val="18"/>
              </w:rPr>
            </w:pPr>
            <w:r w:rsidRPr="00404DA5">
              <w:rPr>
                <w:rFonts w:cs="Calibri"/>
                <w:sz w:val="18"/>
                <w:szCs w:val="18"/>
              </w:rPr>
              <w:t>93,7%</w:t>
            </w:r>
          </w:p>
        </w:tc>
        <w:tc>
          <w:tcPr>
            <w:tcW w:w="0" w:type="auto"/>
            <w:shd w:val="clear" w:color="auto" w:fill="auto"/>
            <w:vAlign w:val="center"/>
          </w:tcPr>
          <w:p w14:paraId="7670B263" w14:textId="77777777" w:rsidR="006E0098" w:rsidRPr="00404DA5" w:rsidRDefault="006E0098" w:rsidP="00217CFE">
            <w:pPr>
              <w:jc w:val="center"/>
              <w:rPr>
                <w:rFonts w:cs="Calibri"/>
                <w:sz w:val="18"/>
                <w:szCs w:val="18"/>
              </w:rPr>
            </w:pPr>
            <w:r w:rsidRPr="00404DA5">
              <w:rPr>
                <w:rFonts w:cs="Calibri"/>
                <w:sz w:val="18"/>
                <w:szCs w:val="18"/>
              </w:rPr>
              <w:t>0</w:t>
            </w:r>
          </w:p>
        </w:tc>
        <w:tc>
          <w:tcPr>
            <w:tcW w:w="0" w:type="auto"/>
            <w:shd w:val="clear" w:color="auto" w:fill="auto"/>
            <w:vAlign w:val="center"/>
          </w:tcPr>
          <w:p w14:paraId="5C786E7C" w14:textId="77777777" w:rsidR="006E0098" w:rsidRPr="00404DA5" w:rsidRDefault="006E0098" w:rsidP="00217CFE">
            <w:pPr>
              <w:jc w:val="center"/>
              <w:rPr>
                <w:rFonts w:cs="Calibri"/>
                <w:sz w:val="18"/>
                <w:szCs w:val="18"/>
              </w:rPr>
            </w:pPr>
            <w:r w:rsidRPr="00404DA5">
              <w:rPr>
                <w:rFonts w:cs="Calibri"/>
                <w:sz w:val="18"/>
                <w:szCs w:val="18"/>
              </w:rPr>
              <w:t>0%</w:t>
            </w:r>
          </w:p>
        </w:tc>
      </w:tr>
    </w:tbl>
    <w:bookmarkEnd w:id="105"/>
    <w:p w14:paraId="353F2F50" w14:textId="77777777" w:rsidR="006E0098" w:rsidRPr="002A5FDF" w:rsidRDefault="006E0098"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5406CE7A" w14:textId="77777777" w:rsidR="006E0098" w:rsidRDefault="006E0098" w:rsidP="006E0098">
      <w:r>
        <w:t>W odniesieniu do wskaźników programowych związanych</w:t>
      </w:r>
      <w:r w:rsidR="00E66B89">
        <w:t xml:space="preserve"> z </w:t>
      </w:r>
      <w:r>
        <w:t xml:space="preserve">PI 5b obecny stopień realizacji wartości docelowych należy ocenić jako pozytywny. </w:t>
      </w:r>
    </w:p>
    <w:p w14:paraId="242C03ED" w14:textId="77777777" w:rsidR="006E0098" w:rsidRPr="007060C2" w:rsidRDefault="006E0098" w:rsidP="006E0098">
      <w:r w:rsidRPr="007060C2">
        <w:t>W przypadku wskaźnika</w:t>
      </w:r>
      <w:r>
        <w:t xml:space="preserve"> L</w:t>
      </w:r>
      <w:r w:rsidRPr="007060C2">
        <w:t>iczba zakupionych wozów pożarniczych wyposażonych</w:t>
      </w:r>
      <w:r w:rsidR="00E66B89">
        <w:t xml:space="preserve"> w </w:t>
      </w:r>
      <w:r w:rsidRPr="007060C2">
        <w:t>sprzęt do prowadzenia akcji ratowniczych</w:t>
      </w:r>
      <w:r w:rsidR="00E66B89">
        <w:t xml:space="preserve"> i </w:t>
      </w:r>
      <w:r w:rsidRPr="007060C2">
        <w:t>usuwania skutków katastrof podpisano dotychczas umowy, które zobowiązują beneficjentów do zakupu 24 wozów, podczas gdy wartość docelowa została określona jako 14.</w:t>
      </w:r>
      <w:r w:rsidR="00E66B89">
        <w:t xml:space="preserve"> W </w:t>
      </w:r>
      <w:r w:rsidRPr="007060C2">
        <w:t>związku</w:t>
      </w:r>
      <w:r w:rsidR="00E66B89">
        <w:t xml:space="preserve"> z </w:t>
      </w:r>
      <w:r w:rsidRPr="007060C2">
        <w:t>tym, że wykazana</w:t>
      </w:r>
      <w:r w:rsidR="00E66B89">
        <w:t xml:space="preserve"> w </w:t>
      </w:r>
      <w:r w:rsidRPr="007060C2">
        <w:t>dotychczasowych wnioskach</w:t>
      </w:r>
      <w:r w:rsidR="00E66B89">
        <w:t xml:space="preserve"> o </w:t>
      </w:r>
      <w:r w:rsidRPr="007060C2">
        <w:t>płatność liczba wozów wynosi 22, oznacza to osiągnięcie już na obecnym etapie</w:t>
      </w:r>
      <w:r>
        <w:t xml:space="preserve"> </w:t>
      </w:r>
      <w:r w:rsidRPr="007060C2">
        <w:t>157% wartości docelowej.</w:t>
      </w:r>
      <w:r w:rsidR="00E66B89">
        <w:t xml:space="preserve"> W </w:t>
      </w:r>
      <w:r w:rsidRPr="007060C2">
        <w:t>tym przypadku metodologia szacowania wartości wskaźnika zakłada koszt jednostkowy</w:t>
      </w:r>
      <w:r w:rsidR="00E66B89">
        <w:t xml:space="preserve"> w </w:t>
      </w:r>
      <w:r w:rsidRPr="007060C2">
        <w:t>wysokości 620 tys. zł. Koszt jednostkowy</w:t>
      </w:r>
      <w:r w:rsidR="00E66B89">
        <w:t xml:space="preserve"> w </w:t>
      </w:r>
      <w:r w:rsidRPr="007060C2">
        <w:t>projektach realizowanych</w:t>
      </w:r>
      <w:r w:rsidR="00E66B89">
        <w:t xml:space="preserve"> w </w:t>
      </w:r>
      <w:r w:rsidRPr="007060C2">
        <w:t>obecnej perspektywie wyniósł 547 tys. zł</w:t>
      </w:r>
      <w:r w:rsidR="00E66B89">
        <w:t xml:space="preserve"> w </w:t>
      </w:r>
      <w:r w:rsidRPr="007060C2">
        <w:t>projektach zakończonych</w:t>
      </w:r>
      <w:r w:rsidR="00E66B89">
        <w:t xml:space="preserve"> i </w:t>
      </w:r>
      <w:r w:rsidRPr="007060C2">
        <w:t>535 tys.</w:t>
      </w:r>
      <w:r w:rsidR="00E66B89">
        <w:t xml:space="preserve"> w </w:t>
      </w:r>
      <w:r w:rsidRPr="007060C2">
        <w:t>podpisanych umowach</w:t>
      </w:r>
      <w:r w:rsidR="00E66B89">
        <w:t xml:space="preserve"> o </w:t>
      </w:r>
      <w:r w:rsidRPr="007060C2">
        <w:t>dofinansowanie. Należy więc ocenić, że koszt jednostkowy został oszacowany prawidłowo</w:t>
      </w:r>
      <w:r w:rsidR="00E66B89">
        <w:t xml:space="preserve"> i </w:t>
      </w:r>
      <w:r w:rsidRPr="007060C2">
        <w:t>stosunkowo trafnie. Na zwiększenie realizacji wskaźnika wpływ miał</w:t>
      </w:r>
      <w:r>
        <w:t>a</w:t>
      </w:r>
      <w:r w:rsidRPr="007060C2">
        <w:t xml:space="preserve"> przede wszystkim </w:t>
      </w:r>
      <w:r>
        <w:t>zmiana kursu euro.</w:t>
      </w:r>
      <w:r w:rsidRPr="007060C2">
        <w:t xml:space="preserve"> Zakładano bowiem, że wskaźnik ten będzie realizowany</w:t>
      </w:r>
      <w:r w:rsidR="00E66B89">
        <w:t xml:space="preserve"> w </w:t>
      </w:r>
      <w:r w:rsidRPr="007060C2">
        <w:t>projektach</w:t>
      </w:r>
      <w:r w:rsidR="00E66B89">
        <w:t xml:space="preserve"> o </w:t>
      </w:r>
      <w:r w:rsidRPr="007060C2">
        <w:t>wartości 3 mln euro (przeliczane przy kursie 1 euro=3,55 zł, czyli 9,3 mln zł), podczas gdy</w:t>
      </w:r>
      <w:r>
        <w:t xml:space="preserve"> po wzroście kursu euro,</w:t>
      </w:r>
      <w:r w:rsidRPr="007060C2">
        <w:t xml:space="preserve"> </w:t>
      </w:r>
      <w:r>
        <w:t>na koniec</w:t>
      </w:r>
      <w:r w:rsidRPr="007060C2">
        <w:t xml:space="preserve"> 2018 wartość projektów zakończonych przekroczyła 12 mln zł.</w:t>
      </w:r>
      <w:r>
        <w:t xml:space="preserve"> Istotny jest także</w:t>
      </w:r>
      <w:r w:rsidRPr="007060C2">
        <w:t xml:space="preserve"> fakt, że jeden</w:t>
      </w:r>
      <w:r w:rsidR="00E66B89">
        <w:t xml:space="preserve"> z </w:t>
      </w:r>
      <w:r w:rsidRPr="007060C2">
        <w:t>projektów obejmuje zrzeszenie OSP</w:t>
      </w:r>
      <w:r w:rsidR="00E66B89">
        <w:t xml:space="preserve"> i </w:t>
      </w:r>
      <w:r w:rsidRPr="007060C2">
        <w:t>zakup aż 17 wozów</w:t>
      </w:r>
      <w:r>
        <w:t>, co podnosi efektywność kosztową projektu.</w:t>
      </w:r>
      <w:r w:rsidRPr="007060C2">
        <w:t xml:space="preserve"> </w:t>
      </w:r>
    </w:p>
    <w:p w14:paraId="479F5A43" w14:textId="77777777" w:rsidR="006E0098" w:rsidRPr="007060C2" w:rsidRDefault="006E0098" w:rsidP="006E0098">
      <w:r w:rsidRPr="007060C2">
        <w:t>Drugi ze wskaźników produktu,</w:t>
      </w:r>
      <w:r>
        <w:t xml:space="preserve"> </w:t>
      </w:r>
      <w:r w:rsidRPr="007060C2">
        <w:t>Liczba urządzeń dla celów ochrony przeciwpowodziowej</w:t>
      </w:r>
      <w:r>
        <w:t>,</w:t>
      </w:r>
      <w:r w:rsidRPr="007060C2">
        <w:t xml:space="preserve"> nie został dotychczas</w:t>
      </w:r>
      <w:r>
        <w:t xml:space="preserve"> </w:t>
      </w:r>
      <w:r w:rsidRPr="007060C2">
        <w:t>wykazany</w:t>
      </w:r>
      <w:r w:rsidR="00E66B89">
        <w:t xml:space="preserve"> w </w:t>
      </w:r>
      <w:r w:rsidRPr="007060C2">
        <w:t>złożonych wnioskach</w:t>
      </w:r>
      <w:r w:rsidR="00E66B89">
        <w:t xml:space="preserve"> o </w:t>
      </w:r>
      <w:r w:rsidRPr="007060C2">
        <w:t>płatność. Jednak deklaracje beneficjentów określają, że realizowane projekty pozwolą na osiągnięcie</w:t>
      </w:r>
      <w:r>
        <w:t xml:space="preserve"> </w:t>
      </w:r>
      <w:r w:rsidRPr="007060C2">
        <w:t>457% wartości docelowej na rok 2023.</w:t>
      </w:r>
      <w:r>
        <w:t xml:space="preserve"> </w:t>
      </w:r>
      <w:r w:rsidRPr="007060C2">
        <w:t>Jak zostało wskazane we wcześniejszym podrozdziale, tak znaczne przekroczenie wartości docelowej wynika przede wszystkim</w:t>
      </w:r>
      <w:r w:rsidR="00E66B89">
        <w:t xml:space="preserve"> z </w:t>
      </w:r>
      <w:r w:rsidRPr="007060C2">
        <w:t xml:space="preserve">braku doprecyzowania, jakie parametry musi spełniać urządzenie, by mogło zostać liczone </w:t>
      </w:r>
      <w:r w:rsidRPr="007060C2">
        <w:lastRenderedPageBreak/>
        <w:t>jako produkt</w:t>
      </w:r>
      <w:r w:rsidR="00E66B89">
        <w:t xml:space="preserve"> w </w:t>
      </w:r>
      <w:r w:rsidRPr="007060C2">
        <w:t>projektach.</w:t>
      </w:r>
      <w:r w:rsidR="00E66B89">
        <w:t xml:space="preserve"> Z </w:t>
      </w:r>
      <w:r w:rsidRPr="007060C2">
        <w:t>związku</w:t>
      </w:r>
      <w:r w:rsidR="00E66B89">
        <w:t xml:space="preserve"> z </w:t>
      </w:r>
      <w:r w:rsidRPr="007060C2">
        <w:t xml:space="preserve">tym, że realizowane projekty zakładają instalacje większej ilości urządzeń mniejszych niż zakładano, wskaźnik zostanie znacznie przekroczony. </w:t>
      </w:r>
    </w:p>
    <w:p w14:paraId="47569AE6" w14:textId="77777777" w:rsidR="006E0098" w:rsidRPr="007060C2" w:rsidRDefault="006E0098" w:rsidP="006E0098">
      <w:r w:rsidRPr="007060C2">
        <w:t>Trzeci ze wskaźników,</w:t>
      </w:r>
      <w:r>
        <w:t xml:space="preserve"> </w:t>
      </w:r>
      <w:r w:rsidRPr="007060C2">
        <w:t>Pojemność obiektów małej retencji, również nie został dotychczas wykazany</w:t>
      </w:r>
      <w:r w:rsidR="00E66B89">
        <w:t xml:space="preserve"> w </w:t>
      </w:r>
      <w:r w:rsidRPr="007060C2">
        <w:t>złożonych wnioskach</w:t>
      </w:r>
      <w:r w:rsidR="00E66B89">
        <w:t xml:space="preserve"> o </w:t>
      </w:r>
      <w:r w:rsidRPr="007060C2">
        <w:t>płatność. Realizowane projekty zakładają osiągnięcie pojemności obiektów małej retencji równej 6342489 dam3, co stanowi 93,7% wartości docelowej.</w:t>
      </w:r>
      <w:r w:rsidR="00E66B89">
        <w:t xml:space="preserve"> W </w:t>
      </w:r>
      <w:r w:rsidRPr="007060C2">
        <w:t>związku</w:t>
      </w:r>
      <w:r w:rsidR="00E66B89">
        <w:t xml:space="preserve"> z </w:t>
      </w:r>
      <w:r w:rsidRPr="007060C2">
        <w:t>tym, że wskaźnik jest realizowany</w:t>
      </w:r>
      <w:r w:rsidR="00E66B89">
        <w:t xml:space="preserve"> w </w:t>
      </w:r>
      <w:r w:rsidRPr="007060C2">
        <w:t>ramach projektów Działania 3.1,</w:t>
      </w:r>
      <w:r w:rsidR="00E66B89">
        <w:t xml:space="preserve"> a </w:t>
      </w:r>
      <w:r w:rsidRPr="007060C2">
        <w:t>alokacja na to Działanie została wyczerpana, należy założyć, że nie zwiększając alokacji wartość wskaźnika na rok 2023 będzie nie większa niż ta, które została określona</w:t>
      </w:r>
      <w:r w:rsidR="00E66B89">
        <w:t xml:space="preserve"> w </w:t>
      </w:r>
      <w:r w:rsidRPr="007060C2">
        <w:t>zawartych umowach</w:t>
      </w:r>
      <w:r w:rsidR="00E66B89">
        <w:t xml:space="preserve"> o </w:t>
      </w:r>
      <w:r w:rsidRPr="007060C2">
        <w:t>dofinansowanie. Tym samym wartość wskaźnika nie zostanie osiągnięta</w:t>
      </w:r>
      <w:r>
        <w:t>, jednak</w:t>
      </w:r>
      <w:r w:rsidR="00E66B89">
        <w:t xml:space="preserve"> w </w:t>
      </w:r>
      <w:r>
        <w:t>związku</w:t>
      </w:r>
      <w:r w:rsidR="00E66B89">
        <w:t xml:space="preserve"> z </w:t>
      </w:r>
      <w:r>
        <w:t xml:space="preserve">tym, że będzie ona wyższa niż 85% założonej wartości docelowej, nie sugeruje się jej modyfikacji na etapie przeglądu śródokresowego. </w:t>
      </w:r>
    </w:p>
    <w:p w14:paraId="60814C3C" w14:textId="77777777" w:rsidR="006E0098" w:rsidRPr="008E2B89" w:rsidRDefault="006E0098" w:rsidP="006E0098">
      <w:pPr>
        <w:pStyle w:val="Nagwek4"/>
        <w:numPr>
          <w:ilvl w:val="0"/>
          <w:numId w:val="0"/>
        </w:numPr>
        <w:ind w:left="864" w:hanging="864"/>
        <w:rPr>
          <w:rFonts w:ascii="Lato" w:eastAsia="Calibri" w:hAnsi="Lato"/>
        </w:rPr>
      </w:pPr>
      <w:r w:rsidRPr="008E2B89">
        <w:rPr>
          <w:rFonts w:ascii="Lato" w:eastAsia="Calibri" w:hAnsi="Lato"/>
        </w:rPr>
        <w:t xml:space="preserve">Wskaźniki rezultatu strategicznego </w:t>
      </w:r>
    </w:p>
    <w:p w14:paraId="5B567C1A" w14:textId="77777777" w:rsidR="006E0098" w:rsidRPr="00F5769E" w:rsidRDefault="006E0098" w:rsidP="006E0098">
      <w:r w:rsidRPr="007060C2">
        <w:t>Wskaźnikiem rezultatu strategicznego związanego</w:t>
      </w:r>
      <w:r w:rsidR="00E66B89">
        <w:t xml:space="preserve"> z </w:t>
      </w:r>
      <w:r w:rsidRPr="007060C2">
        <w:t xml:space="preserve">PI 5b jest </w:t>
      </w:r>
      <w:r w:rsidRPr="008B706B">
        <w:rPr>
          <w:i/>
        </w:rPr>
        <w:t>Pojemność obiektów małej retencji wodnej (dam3)</w:t>
      </w:r>
      <w:r w:rsidRPr="007060C2">
        <w:t>, którego wartość docelową na rok 2023 określono na 77 201. Oznacza to przyrost</w:t>
      </w:r>
      <w:r w:rsidR="00E66B89">
        <w:t xml:space="preserve"> w </w:t>
      </w:r>
      <w:r w:rsidRPr="007060C2">
        <w:t>stosunku do wartości bazowej</w:t>
      </w:r>
      <w:r w:rsidR="00E66B89">
        <w:t xml:space="preserve"> z </w:t>
      </w:r>
      <w:r w:rsidRPr="007060C2">
        <w:t>roku 2013</w:t>
      </w:r>
      <w:r w:rsidR="00E66B89">
        <w:t xml:space="preserve"> o </w:t>
      </w:r>
      <w:r w:rsidRPr="007060C2">
        <w:t xml:space="preserve">11 942. </w:t>
      </w:r>
    </w:p>
    <w:p w14:paraId="1FE3D746" w14:textId="77777777" w:rsidR="006E0098" w:rsidRPr="00F5769E" w:rsidRDefault="006E0098" w:rsidP="006E34DC">
      <w:pPr>
        <w:pStyle w:val="Legenda"/>
        <w:spacing w:after="0"/>
      </w:pPr>
      <w:bookmarkStart w:id="106" w:name="_Toc8824153"/>
      <w:r w:rsidRPr="00F5769E">
        <w:t xml:space="preserve">Tabela </w:t>
      </w:r>
      <w:r>
        <w:fldChar w:fldCharType="begin"/>
      </w:r>
      <w:r>
        <w:instrText xml:space="preserve"> SEQ Tabela \* ARABIC </w:instrText>
      </w:r>
      <w:r>
        <w:fldChar w:fldCharType="separate"/>
      </w:r>
      <w:r w:rsidR="00763345">
        <w:rPr>
          <w:noProof/>
        </w:rPr>
        <w:t>42</w:t>
      </w:r>
      <w:r>
        <w:fldChar w:fldCharType="end"/>
      </w:r>
      <w:r w:rsidRPr="00F5769E">
        <w:t>. Wskaźnik rezultatu strategicznego</w:t>
      </w:r>
      <w:r w:rsidR="00E66B89">
        <w:t xml:space="preserve"> w </w:t>
      </w:r>
      <w:r w:rsidRPr="00F5769E">
        <w:t>PI 5b</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751"/>
        <w:gridCol w:w="751"/>
        <w:gridCol w:w="751"/>
        <w:gridCol w:w="750"/>
        <w:gridCol w:w="750"/>
        <w:gridCol w:w="750"/>
        <w:gridCol w:w="750"/>
        <w:gridCol w:w="750"/>
        <w:gridCol w:w="750"/>
        <w:gridCol w:w="750"/>
        <w:gridCol w:w="808"/>
      </w:tblGrid>
      <w:tr w:rsidR="006E0098" w:rsidRPr="00391D8D" w14:paraId="113D3CB3" w14:textId="77777777" w:rsidTr="00C22C26">
        <w:trPr>
          <w:trHeight w:val="604"/>
          <w:tblHeader/>
        </w:trPr>
        <w:tc>
          <w:tcPr>
            <w:tcW w:w="5000" w:type="pct"/>
            <w:gridSpan w:val="12"/>
            <w:tcBorders>
              <w:top w:val="single" w:sz="4" w:space="0" w:color="auto"/>
              <w:left w:val="single" w:sz="4" w:space="0" w:color="auto"/>
              <w:bottom w:val="single" w:sz="4" w:space="0" w:color="auto"/>
              <w:right w:val="single" w:sz="4" w:space="0" w:color="auto"/>
            </w:tcBorders>
            <w:shd w:val="clear" w:color="auto" w:fill="DBE5F1"/>
          </w:tcPr>
          <w:p w14:paraId="02C66C81" w14:textId="77777777" w:rsidR="006E0098" w:rsidRPr="00391D8D" w:rsidRDefault="006E0098" w:rsidP="00217CFE">
            <w:pPr>
              <w:rPr>
                <w:sz w:val="18"/>
              </w:rPr>
            </w:pPr>
            <w:r w:rsidRPr="00391D8D">
              <w:rPr>
                <w:sz w:val="18"/>
              </w:rPr>
              <w:t>Pojemność obiektów małej retencji [dam3]</w:t>
            </w:r>
          </w:p>
        </w:tc>
      </w:tr>
      <w:tr w:rsidR="00C22C26" w:rsidRPr="00391D8D" w14:paraId="024CA6EE" w14:textId="77777777" w:rsidTr="00C22C26">
        <w:trPr>
          <w:trHeight w:val="604"/>
          <w:tblHeader/>
        </w:trPr>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754E5C78" w14:textId="77777777" w:rsidR="006E0098" w:rsidRPr="00391D8D" w:rsidRDefault="006E0098" w:rsidP="00217CFE">
            <w:pPr>
              <w:rPr>
                <w:sz w:val="18"/>
              </w:rPr>
            </w:pPr>
            <w:r w:rsidRPr="00391D8D">
              <w:rPr>
                <w:sz w:val="18"/>
              </w:rPr>
              <w:t>2005</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5A3E5656" w14:textId="77777777" w:rsidR="006E0098" w:rsidRPr="00391D8D" w:rsidRDefault="006E0098" w:rsidP="00217CFE">
            <w:pPr>
              <w:rPr>
                <w:sz w:val="18"/>
              </w:rPr>
            </w:pPr>
            <w:r w:rsidRPr="00391D8D">
              <w:rPr>
                <w:sz w:val="18"/>
              </w:rPr>
              <w:t>2006</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24830D11" w14:textId="77777777" w:rsidR="006E0098" w:rsidRPr="00391D8D" w:rsidRDefault="006E0098" w:rsidP="00217CFE">
            <w:pPr>
              <w:rPr>
                <w:sz w:val="18"/>
              </w:rPr>
            </w:pPr>
            <w:r w:rsidRPr="00391D8D">
              <w:rPr>
                <w:sz w:val="18"/>
              </w:rPr>
              <w:t>2007</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52990743" w14:textId="77777777" w:rsidR="006E0098" w:rsidRPr="00391D8D" w:rsidRDefault="006E0098" w:rsidP="00217CFE">
            <w:pPr>
              <w:rPr>
                <w:sz w:val="18"/>
              </w:rPr>
            </w:pPr>
            <w:r w:rsidRPr="00391D8D">
              <w:rPr>
                <w:sz w:val="18"/>
              </w:rPr>
              <w:t>2008</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53B8771F" w14:textId="77777777" w:rsidR="006E0098" w:rsidRPr="00391D8D" w:rsidRDefault="006E0098" w:rsidP="00217CFE">
            <w:pPr>
              <w:rPr>
                <w:sz w:val="18"/>
              </w:rPr>
            </w:pPr>
            <w:r w:rsidRPr="00391D8D">
              <w:rPr>
                <w:sz w:val="18"/>
              </w:rPr>
              <w:t>2009</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66BEBBAC" w14:textId="77777777" w:rsidR="006E0098" w:rsidRPr="00391D8D" w:rsidRDefault="006E0098" w:rsidP="00217CFE">
            <w:pPr>
              <w:rPr>
                <w:sz w:val="18"/>
              </w:rPr>
            </w:pPr>
            <w:r w:rsidRPr="00391D8D">
              <w:rPr>
                <w:sz w:val="18"/>
              </w:rPr>
              <w:t>2010</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3E32A667" w14:textId="77777777" w:rsidR="006E0098" w:rsidRPr="00391D8D" w:rsidRDefault="006E0098" w:rsidP="00217CFE">
            <w:pPr>
              <w:rPr>
                <w:sz w:val="18"/>
              </w:rPr>
            </w:pPr>
            <w:r w:rsidRPr="00391D8D">
              <w:rPr>
                <w:sz w:val="18"/>
              </w:rPr>
              <w:t>2011</w:t>
            </w:r>
          </w:p>
        </w:tc>
        <w:tc>
          <w:tcPr>
            <w:tcW w:w="414" w:type="pct"/>
            <w:tcBorders>
              <w:top w:val="single" w:sz="4" w:space="0" w:color="auto"/>
              <w:left w:val="single" w:sz="4" w:space="0" w:color="auto"/>
              <w:bottom w:val="single" w:sz="4" w:space="0" w:color="auto"/>
              <w:right w:val="single" w:sz="4" w:space="0" w:color="auto"/>
            </w:tcBorders>
            <w:shd w:val="clear" w:color="auto" w:fill="DBE5F1"/>
            <w:hideMark/>
          </w:tcPr>
          <w:p w14:paraId="38268CFE" w14:textId="77777777" w:rsidR="006E0098" w:rsidRPr="00391D8D" w:rsidRDefault="006E0098" w:rsidP="00217CFE">
            <w:pPr>
              <w:rPr>
                <w:sz w:val="18"/>
              </w:rPr>
            </w:pPr>
            <w:r w:rsidRPr="00391D8D">
              <w:rPr>
                <w:sz w:val="18"/>
              </w:rPr>
              <w:t>2012</w:t>
            </w:r>
          </w:p>
        </w:tc>
        <w:tc>
          <w:tcPr>
            <w:tcW w:w="414" w:type="pct"/>
            <w:tcBorders>
              <w:top w:val="single" w:sz="4" w:space="0" w:color="auto"/>
              <w:left w:val="single" w:sz="4" w:space="0" w:color="auto"/>
              <w:bottom w:val="single" w:sz="4" w:space="0" w:color="auto"/>
              <w:right w:val="single" w:sz="4" w:space="0" w:color="auto"/>
            </w:tcBorders>
            <w:shd w:val="clear" w:color="auto" w:fill="DBE5F1"/>
          </w:tcPr>
          <w:p w14:paraId="39FBC25E" w14:textId="77777777" w:rsidR="006E0098" w:rsidRPr="00391D8D" w:rsidRDefault="006E0098" w:rsidP="00217CFE">
            <w:pPr>
              <w:rPr>
                <w:sz w:val="18"/>
              </w:rPr>
            </w:pPr>
            <w:r w:rsidRPr="00391D8D">
              <w:rPr>
                <w:sz w:val="18"/>
              </w:rPr>
              <w:t>2013</w:t>
            </w:r>
          </w:p>
        </w:tc>
        <w:tc>
          <w:tcPr>
            <w:tcW w:w="414" w:type="pct"/>
            <w:tcBorders>
              <w:top w:val="single" w:sz="4" w:space="0" w:color="auto"/>
              <w:left w:val="single" w:sz="4" w:space="0" w:color="auto"/>
              <w:bottom w:val="single" w:sz="4" w:space="0" w:color="auto"/>
              <w:right w:val="single" w:sz="4" w:space="0" w:color="auto"/>
            </w:tcBorders>
            <w:shd w:val="clear" w:color="auto" w:fill="DBE5F1"/>
          </w:tcPr>
          <w:p w14:paraId="0A5C5EAD" w14:textId="77777777" w:rsidR="006E0098" w:rsidRPr="00391D8D" w:rsidRDefault="006E0098" w:rsidP="00217CFE">
            <w:pPr>
              <w:rPr>
                <w:sz w:val="18"/>
              </w:rPr>
            </w:pPr>
            <w:r w:rsidRPr="00391D8D">
              <w:rPr>
                <w:sz w:val="18"/>
              </w:rPr>
              <w:t>2014</w:t>
            </w:r>
          </w:p>
        </w:tc>
        <w:tc>
          <w:tcPr>
            <w:tcW w:w="414" w:type="pct"/>
            <w:tcBorders>
              <w:top w:val="single" w:sz="4" w:space="0" w:color="auto"/>
              <w:left w:val="single" w:sz="4" w:space="0" w:color="auto"/>
              <w:bottom w:val="single" w:sz="4" w:space="0" w:color="auto"/>
              <w:right w:val="single" w:sz="4" w:space="0" w:color="auto"/>
            </w:tcBorders>
            <w:shd w:val="clear" w:color="auto" w:fill="DBE5F1"/>
          </w:tcPr>
          <w:p w14:paraId="14A8D41D" w14:textId="77777777" w:rsidR="006E0098" w:rsidRPr="00391D8D" w:rsidRDefault="006E0098" w:rsidP="00217CFE">
            <w:pPr>
              <w:rPr>
                <w:sz w:val="18"/>
              </w:rPr>
            </w:pPr>
            <w:r w:rsidRPr="00391D8D">
              <w:rPr>
                <w:sz w:val="18"/>
              </w:rPr>
              <w:t>2015</w:t>
            </w:r>
          </w:p>
        </w:tc>
        <w:tc>
          <w:tcPr>
            <w:tcW w:w="441" w:type="pct"/>
            <w:tcBorders>
              <w:top w:val="single" w:sz="4" w:space="0" w:color="auto"/>
              <w:left w:val="single" w:sz="4" w:space="0" w:color="auto"/>
              <w:bottom w:val="single" w:sz="4" w:space="0" w:color="auto"/>
              <w:right w:val="single" w:sz="4" w:space="0" w:color="auto"/>
            </w:tcBorders>
            <w:shd w:val="clear" w:color="auto" w:fill="DBE5F1"/>
          </w:tcPr>
          <w:p w14:paraId="2BDE1808" w14:textId="77777777" w:rsidR="006E0098" w:rsidRPr="00391D8D" w:rsidRDefault="006E0098" w:rsidP="00217CFE">
            <w:pPr>
              <w:rPr>
                <w:sz w:val="18"/>
              </w:rPr>
            </w:pPr>
            <w:r w:rsidRPr="00391D8D">
              <w:rPr>
                <w:sz w:val="18"/>
              </w:rPr>
              <w:t>2016</w:t>
            </w:r>
          </w:p>
        </w:tc>
      </w:tr>
      <w:tr w:rsidR="006E0098" w:rsidRPr="00391D8D" w14:paraId="022C8BC2" w14:textId="77777777" w:rsidTr="00217CFE">
        <w:trPr>
          <w:cantSplit/>
          <w:trHeight w:val="806"/>
        </w:trPr>
        <w:tc>
          <w:tcPr>
            <w:tcW w:w="414" w:type="pct"/>
            <w:tcBorders>
              <w:top w:val="single" w:sz="4" w:space="0" w:color="auto"/>
              <w:left w:val="single" w:sz="4" w:space="0" w:color="auto"/>
              <w:bottom w:val="single" w:sz="4" w:space="0" w:color="auto"/>
              <w:right w:val="single" w:sz="4" w:space="0" w:color="auto"/>
            </w:tcBorders>
            <w:vAlign w:val="center"/>
            <w:hideMark/>
          </w:tcPr>
          <w:p w14:paraId="51AC9888" w14:textId="77777777" w:rsidR="006E0098" w:rsidRPr="00391D8D" w:rsidRDefault="006E0098" w:rsidP="00217CFE">
            <w:pPr>
              <w:rPr>
                <w:sz w:val="18"/>
              </w:rPr>
            </w:pPr>
            <w:r w:rsidRPr="00391D8D">
              <w:rPr>
                <w:sz w:val="18"/>
              </w:rPr>
              <w:t>21276</w:t>
            </w:r>
          </w:p>
        </w:tc>
        <w:tc>
          <w:tcPr>
            <w:tcW w:w="414" w:type="pct"/>
            <w:tcBorders>
              <w:top w:val="single" w:sz="4" w:space="0" w:color="auto"/>
              <w:left w:val="single" w:sz="4" w:space="0" w:color="auto"/>
              <w:bottom w:val="single" w:sz="4" w:space="0" w:color="auto"/>
              <w:right w:val="single" w:sz="4" w:space="0" w:color="auto"/>
            </w:tcBorders>
            <w:vAlign w:val="center"/>
            <w:hideMark/>
          </w:tcPr>
          <w:p w14:paraId="6564695B" w14:textId="77777777" w:rsidR="006E0098" w:rsidRPr="00391D8D" w:rsidRDefault="006E0098" w:rsidP="00217CFE">
            <w:pPr>
              <w:rPr>
                <w:sz w:val="18"/>
              </w:rPr>
            </w:pPr>
            <w:r w:rsidRPr="00391D8D">
              <w:rPr>
                <w:sz w:val="18"/>
              </w:rPr>
              <w:t>52870</w:t>
            </w:r>
          </w:p>
        </w:tc>
        <w:tc>
          <w:tcPr>
            <w:tcW w:w="414" w:type="pct"/>
            <w:tcBorders>
              <w:top w:val="single" w:sz="4" w:space="0" w:color="auto"/>
              <w:left w:val="single" w:sz="4" w:space="0" w:color="auto"/>
              <w:bottom w:val="single" w:sz="4" w:space="0" w:color="auto"/>
              <w:right w:val="single" w:sz="4" w:space="0" w:color="auto"/>
            </w:tcBorders>
            <w:vAlign w:val="center"/>
            <w:hideMark/>
          </w:tcPr>
          <w:p w14:paraId="582AB1A2" w14:textId="77777777" w:rsidR="006E0098" w:rsidRPr="00391D8D" w:rsidRDefault="006E0098" w:rsidP="00217CFE">
            <w:pPr>
              <w:rPr>
                <w:sz w:val="18"/>
              </w:rPr>
            </w:pPr>
            <w:r w:rsidRPr="00391D8D">
              <w:rPr>
                <w:sz w:val="18"/>
              </w:rPr>
              <w:t>57830</w:t>
            </w:r>
          </w:p>
        </w:tc>
        <w:tc>
          <w:tcPr>
            <w:tcW w:w="414" w:type="pct"/>
            <w:tcBorders>
              <w:top w:val="single" w:sz="4" w:space="0" w:color="auto"/>
              <w:left w:val="single" w:sz="4" w:space="0" w:color="auto"/>
              <w:bottom w:val="single" w:sz="4" w:space="0" w:color="auto"/>
              <w:right w:val="single" w:sz="4" w:space="0" w:color="auto"/>
            </w:tcBorders>
            <w:vAlign w:val="center"/>
            <w:hideMark/>
          </w:tcPr>
          <w:p w14:paraId="78ED6B11" w14:textId="77777777" w:rsidR="006E0098" w:rsidRPr="00391D8D" w:rsidRDefault="006E0098" w:rsidP="00217CFE">
            <w:pPr>
              <w:rPr>
                <w:sz w:val="18"/>
              </w:rPr>
            </w:pPr>
            <w:r w:rsidRPr="00391D8D">
              <w:rPr>
                <w:sz w:val="18"/>
              </w:rPr>
              <w:t>52002</w:t>
            </w:r>
          </w:p>
        </w:tc>
        <w:tc>
          <w:tcPr>
            <w:tcW w:w="414" w:type="pct"/>
            <w:tcBorders>
              <w:top w:val="single" w:sz="4" w:space="0" w:color="auto"/>
              <w:left w:val="single" w:sz="4" w:space="0" w:color="auto"/>
              <w:bottom w:val="single" w:sz="4" w:space="0" w:color="auto"/>
              <w:right w:val="single" w:sz="4" w:space="0" w:color="auto"/>
            </w:tcBorders>
            <w:vAlign w:val="center"/>
            <w:hideMark/>
          </w:tcPr>
          <w:p w14:paraId="47315580" w14:textId="77777777" w:rsidR="006E0098" w:rsidRPr="00391D8D" w:rsidRDefault="006E0098" w:rsidP="00217CFE">
            <w:pPr>
              <w:rPr>
                <w:sz w:val="18"/>
              </w:rPr>
            </w:pPr>
            <w:r w:rsidRPr="00391D8D">
              <w:rPr>
                <w:sz w:val="18"/>
              </w:rPr>
              <w:t>56113</w:t>
            </w:r>
          </w:p>
        </w:tc>
        <w:tc>
          <w:tcPr>
            <w:tcW w:w="414" w:type="pct"/>
            <w:tcBorders>
              <w:top w:val="single" w:sz="4" w:space="0" w:color="auto"/>
              <w:left w:val="single" w:sz="4" w:space="0" w:color="auto"/>
              <w:bottom w:val="single" w:sz="4" w:space="0" w:color="auto"/>
              <w:right w:val="single" w:sz="4" w:space="0" w:color="auto"/>
            </w:tcBorders>
            <w:vAlign w:val="center"/>
            <w:hideMark/>
          </w:tcPr>
          <w:p w14:paraId="4AA9DFBF" w14:textId="77777777" w:rsidR="006E0098" w:rsidRPr="00391D8D" w:rsidRDefault="006E0098" w:rsidP="00217CFE">
            <w:pPr>
              <w:rPr>
                <w:sz w:val="18"/>
              </w:rPr>
            </w:pPr>
            <w:r w:rsidRPr="00391D8D">
              <w:rPr>
                <w:sz w:val="18"/>
              </w:rPr>
              <w:t>58465</w:t>
            </w:r>
          </w:p>
        </w:tc>
        <w:tc>
          <w:tcPr>
            <w:tcW w:w="414" w:type="pct"/>
            <w:tcBorders>
              <w:top w:val="single" w:sz="4" w:space="0" w:color="auto"/>
              <w:left w:val="single" w:sz="4" w:space="0" w:color="auto"/>
              <w:bottom w:val="single" w:sz="4" w:space="0" w:color="auto"/>
              <w:right w:val="single" w:sz="4" w:space="0" w:color="auto"/>
            </w:tcBorders>
            <w:vAlign w:val="center"/>
            <w:hideMark/>
          </w:tcPr>
          <w:p w14:paraId="71F990D4" w14:textId="77777777" w:rsidR="006E0098" w:rsidRPr="00391D8D" w:rsidRDefault="006E0098" w:rsidP="00217CFE">
            <w:pPr>
              <w:rPr>
                <w:sz w:val="18"/>
              </w:rPr>
            </w:pPr>
            <w:r w:rsidRPr="00391D8D">
              <w:rPr>
                <w:sz w:val="18"/>
              </w:rPr>
              <w:t>60842</w:t>
            </w:r>
          </w:p>
        </w:tc>
        <w:tc>
          <w:tcPr>
            <w:tcW w:w="414" w:type="pct"/>
            <w:tcBorders>
              <w:top w:val="single" w:sz="4" w:space="0" w:color="auto"/>
              <w:left w:val="single" w:sz="4" w:space="0" w:color="auto"/>
              <w:bottom w:val="single" w:sz="4" w:space="0" w:color="auto"/>
              <w:right w:val="single" w:sz="4" w:space="0" w:color="auto"/>
            </w:tcBorders>
            <w:vAlign w:val="center"/>
            <w:hideMark/>
          </w:tcPr>
          <w:p w14:paraId="0E360B2E" w14:textId="77777777" w:rsidR="006E0098" w:rsidRPr="00391D8D" w:rsidRDefault="006E0098" w:rsidP="00217CFE">
            <w:pPr>
              <w:rPr>
                <w:sz w:val="18"/>
              </w:rPr>
            </w:pPr>
            <w:r w:rsidRPr="00391D8D">
              <w:rPr>
                <w:sz w:val="18"/>
              </w:rPr>
              <w:t>65259</w:t>
            </w:r>
          </w:p>
        </w:tc>
        <w:tc>
          <w:tcPr>
            <w:tcW w:w="414" w:type="pct"/>
            <w:tcBorders>
              <w:top w:val="single" w:sz="4" w:space="0" w:color="auto"/>
              <w:left w:val="single" w:sz="4" w:space="0" w:color="auto"/>
              <w:bottom w:val="single" w:sz="4" w:space="0" w:color="auto"/>
              <w:right w:val="single" w:sz="4" w:space="0" w:color="auto"/>
            </w:tcBorders>
            <w:vAlign w:val="center"/>
          </w:tcPr>
          <w:p w14:paraId="4A57A86B" w14:textId="77777777" w:rsidR="006E0098" w:rsidRPr="00391D8D" w:rsidRDefault="006E0098" w:rsidP="00217CFE">
            <w:pPr>
              <w:rPr>
                <w:sz w:val="18"/>
              </w:rPr>
            </w:pPr>
            <w:r w:rsidRPr="00391D8D">
              <w:rPr>
                <w:sz w:val="18"/>
              </w:rPr>
              <w:t>65292</w:t>
            </w:r>
          </w:p>
        </w:tc>
        <w:tc>
          <w:tcPr>
            <w:tcW w:w="414" w:type="pct"/>
            <w:tcBorders>
              <w:top w:val="single" w:sz="4" w:space="0" w:color="auto"/>
              <w:left w:val="single" w:sz="4" w:space="0" w:color="auto"/>
              <w:bottom w:val="single" w:sz="4" w:space="0" w:color="auto"/>
              <w:right w:val="single" w:sz="4" w:space="0" w:color="auto"/>
            </w:tcBorders>
            <w:vAlign w:val="center"/>
          </w:tcPr>
          <w:p w14:paraId="1FE5005E" w14:textId="77777777" w:rsidR="006E0098" w:rsidRPr="00391D8D" w:rsidRDefault="006E0098" w:rsidP="00217CFE">
            <w:pPr>
              <w:rPr>
                <w:sz w:val="18"/>
              </w:rPr>
            </w:pPr>
            <w:r w:rsidRPr="00391D8D">
              <w:rPr>
                <w:sz w:val="18"/>
              </w:rPr>
              <w:t>65379</w:t>
            </w:r>
          </w:p>
        </w:tc>
        <w:tc>
          <w:tcPr>
            <w:tcW w:w="414" w:type="pct"/>
            <w:tcBorders>
              <w:top w:val="single" w:sz="4" w:space="0" w:color="auto"/>
              <w:left w:val="single" w:sz="4" w:space="0" w:color="auto"/>
              <w:bottom w:val="single" w:sz="4" w:space="0" w:color="auto"/>
              <w:right w:val="single" w:sz="4" w:space="0" w:color="auto"/>
            </w:tcBorders>
            <w:vAlign w:val="center"/>
          </w:tcPr>
          <w:p w14:paraId="2F4BD46A" w14:textId="77777777" w:rsidR="006E0098" w:rsidRPr="00391D8D" w:rsidRDefault="006E0098" w:rsidP="00217CFE">
            <w:pPr>
              <w:rPr>
                <w:sz w:val="18"/>
              </w:rPr>
            </w:pPr>
            <w:r w:rsidRPr="00391D8D">
              <w:rPr>
                <w:sz w:val="18"/>
              </w:rPr>
              <w:t>65764</w:t>
            </w:r>
          </w:p>
        </w:tc>
        <w:tc>
          <w:tcPr>
            <w:tcW w:w="441" w:type="pct"/>
            <w:tcBorders>
              <w:top w:val="single" w:sz="4" w:space="0" w:color="auto"/>
              <w:left w:val="single" w:sz="4" w:space="0" w:color="auto"/>
              <w:bottom w:val="single" w:sz="4" w:space="0" w:color="auto"/>
              <w:right w:val="single" w:sz="4" w:space="0" w:color="auto"/>
            </w:tcBorders>
            <w:vAlign w:val="center"/>
          </w:tcPr>
          <w:p w14:paraId="0B20BE2D" w14:textId="77777777" w:rsidR="006E0098" w:rsidRPr="00391D8D" w:rsidRDefault="006E0098" w:rsidP="00217CFE">
            <w:pPr>
              <w:rPr>
                <w:sz w:val="18"/>
              </w:rPr>
            </w:pPr>
            <w:r w:rsidRPr="00391D8D">
              <w:rPr>
                <w:sz w:val="18"/>
              </w:rPr>
              <w:t>65 773</w:t>
            </w:r>
          </w:p>
        </w:tc>
      </w:tr>
    </w:tbl>
    <w:p w14:paraId="01FA48ED" w14:textId="77777777" w:rsidR="006E0098" w:rsidRPr="002A5FDF" w:rsidRDefault="006E0098" w:rsidP="005076BF">
      <w:pPr>
        <w:spacing w:before="0"/>
        <w:rPr>
          <w:i/>
          <w:sz w:val="18"/>
          <w:szCs w:val="20"/>
        </w:rPr>
      </w:pPr>
      <w:r w:rsidRPr="002A5FDF">
        <w:rPr>
          <w:i/>
          <w:sz w:val="18"/>
          <w:szCs w:val="20"/>
        </w:rPr>
        <w:t>Źródło: opracowanie własne na podstawie danych BDL GUS</w:t>
      </w:r>
    </w:p>
    <w:p w14:paraId="79CC6F75" w14:textId="77777777" w:rsidR="006E0098" w:rsidRPr="007060C2" w:rsidRDefault="006E0098" w:rsidP="006E0098">
      <w:r w:rsidRPr="007060C2">
        <w:t>Metodologia szacowania wskaźnika, która została opracowana na etapie programowania, została oparta</w:t>
      </w:r>
      <w:r w:rsidR="00E66B89">
        <w:t xml:space="preserve"> o </w:t>
      </w:r>
      <w:r w:rsidRPr="007060C2">
        <w:t>linię trendu wynikającą</w:t>
      </w:r>
      <w:r w:rsidR="00E66B89">
        <w:t xml:space="preserve"> z </w:t>
      </w:r>
      <w:r w:rsidRPr="007060C2">
        <w:t>wartości wskaźnika GUS</w:t>
      </w:r>
      <w:r w:rsidR="00E66B89">
        <w:t xml:space="preserve"> w </w:t>
      </w:r>
      <w:r w:rsidRPr="007060C2">
        <w:t>latach 2005-2012, przy zastosowaniu funkcji logarytmicznej.</w:t>
      </w:r>
      <w:r w:rsidR="00E66B89">
        <w:t xml:space="preserve"> W </w:t>
      </w:r>
      <w:r w:rsidRPr="007060C2">
        <w:t>ocenie ewaluatorów nie jest to do końca właściwe rozwiązanie.</w:t>
      </w:r>
      <w:r w:rsidR="00E66B89">
        <w:t xml:space="preserve"> W </w:t>
      </w:r>
      <w:r w:rsidRPr="007060C2">
        <w:t>przypadku tego wskaźnika trudno mówić</w:t>
      </w:r>
      <w:r w:rsidR="00E66B89">
        <w:t xml:space="preserve"> o </w:t>
      </w:r>
      <w:r w:rsidRPr="007060C2">
        <w:t>wyznaczaniu trendu</w:t>
      </w:r>
      <w:r w:rsidR="00E66B89">
        <w:t xml:space="preserve"> w </w:t>
      </w:r>
      <w:r w:rsidRPr="007060C2">
        <w:t>kolejnych latach, gdyż jego wartość zależy od pojedynczych inwestycji, których realizacj</w:t>
      </w:r>
      <w:r>
        <w:t>a</w:t>
      </w:r>
      <w:r w:rsidRPr="007060C2">
        <w:t xml:space="preserve"> może diametralnie zmienić sytuację. Przyrost tego wskaźnika ma więc charakter skokowy,</w:t>
      </w:r>
      <w:r w:rsidR="00E66B89">
        <w:t xml:space="preserve"> a w </w:t>
      </w:r>
      <w:r w:rsidRPr="007060C2">
        <w:t>przypadku braku istotnych inwestycji zachowuje constans (jak</w:t>
      </w:r>
      <w:r w:rsidR="00E66B89">
        <w:t xml:space="preserve"> w </w:t>
      </w:r>
      <w:r w:rsidRPr="007060C2">
        <w:t>latach 2012-2016).</w:t>
      </w:r>
      <w:r w:rsidR="00E66B89">
        <w:t xml:space="preserve"> W </w:t>
      </w:r>
      <w:r w:rsidRPr="007060C2">
        <w:t>celu oszacowania wartości docelowej należy więc do wartości</w:t>
      </w:r>
      <w:r w:rsidR="00E66B89">
        <w:t xml:space="preserve"> z </w:t>
      </w:r>
      <w:r w:rsidRPr="007060C2">
        <w:t>roku 2016 dodać planowane inwestycje, których realizacja zakończy się do roku 2023.</w:t>
      </w:r>
      <w:r w:rsidR="00E66B89">
        <w:t xml:space="preserve"> W </w:t>
      </w:r>
      <w:r w:rsidRPr="007060C2">
        <w:t>związku</w:t>
      </w:r>
      <w:r w:rsidR="00E66B89">
        <w:t xml:space="preserve"> z </w:t>
      </w:r>
      <w:r w:rsidRPr="007060C2">
        <w:t>tym uwzględnić należy inw</w:t>
      </w:r>
      <w:r>
        <w:t>estycje realizowane</w:t>
      </w:r>
      <w:r w:rsidR="00E66B89">
        <w:t xml:space="preserve"> w </w:t>
      </w:r>
      <w:r>
        <w:t>ramach OP III</w:t>
      </w:r>
      <w:r w:rsidRPr="007060C2">
        <w:t xml:space="preserve"> RPO WZ.</w:t>
      </w:r>
      <w:r w:rsidR="00E66B89">
        <w:t xml:space="preserve"> W </w:t>
      </w:r>
      <w:r w:rsidRPr="007060C2">
        <w:t>ich przypadku planowana wartość wskaźnika pojemności wynosi 6342489</w:t>
      </w:r>
      <w:r>
        <w:t xml:space="preserve"> m</w:t>
      </w:r>
      <w:r w:rsidRPr="00DE35E2">
        <w:rPr>
          <w:vertAlign w:val="superscript"/>
        </w:rPr>
        <w:t>3</w:t>
      </w:r>
      <w:r w:rsidRPr="007060C2">
        <w:t>.</w:t>
      </w:r>
      <w:r w:rsidR="00E66B89">
        <w:t xml:space="preserve"> W </w:t>
      </w:r>
      <w:r w:rsidRPr="007060C2">
        <w:t>związku</w:t>
      </w:r>
      <w:r w:rsidR="00E66B89">
        <w:t xml:space="preserve"> z </w:t>
      </w:r>
      <w:r w:rsidRPr="007060C2">
        <w:t>tym, że według dostępnych informacji na terenie województwa nie są realizowane inne inwestycje związane</w:t>
      </w:r>
      <w:r w:rsidR="00E66B89">
        <w:t xml:space="preserve"> z </w:t>
      </w:r>
      <w:r w:rsidRPr="007060C2">
        <w:t>obiektami małej retencji, należy założyć, że wartość wskaźnika</w:t>
      </w:r>
      <w:r w:rsidR="00E66B89">
        <w:t xml:space="preserve"> w </w:t>
      </w:r>
      <w:r w:rsidRPr="007060C2">
        <w:t>roku 2023 wyniesie 7</w:t>
      </w:r>
      <w:r>
        <w:t>1 601</w:t>
      </w:r>
      <w:r w:rsidRPr="007060C2">
        <w:t xml:space="preserve"> dam3</w:t>
      </w:r>
      <w:r>
        <w:t xml:space="preserve">. Wniosek więc wskazuje, że </w:t>
      </w:r>
      <w:r w:rsidRPr="007060C2">
        <w:t>obecnie szacowana wartość wskaźnika będzie niższa niż założono</w:t>
      </w:r>
      <w:r w:rsidR="00E66B89">
        <w:t xml:space="preserve"> w </w:t>
      </w:r>
      <w:r w:rsidRPr="007060C2">
        <w:t>RPO WZ.</w:t>
      </w:r>
    </w:p>
    <w:p w14:paraId="32DCD7A8" w14:textId="77777777" w:rsidR="006E0098" w:rsidRPr="008E2B89" w:rsidRDefault="006E0098" w:rsidP="006E0098">
      <w:pPr>
        <w:pStyle w:val="Nagwek4"/>
        <w:numPr>
          <w:ilvl w:val="0"/>
          <w:numId w:val="0"/>
        </w:numPr>
        <w:ind w:left="864" w:hanging="864"/>
        <w:rPr>
          <w:rFonts w:ascii="Lato" w:eastAsia="Calibri" w:hAnsi="Lato"/>
        </w:rPr>
      </w:pPr>
      <w:r w:rsidRPr="008E2B89">
        <w:rPr>
          <w:rFonts w:ascii="Lato" w:eastAsia="Calibri" w:hAnsi="Lato"/>
        </w:rPr>
        <w:t xml:space="preserve">Ocena potencjału absorpcyjnego </w:t>
      </w:r>
    </w:p>
    <w:p w14:paraId="5D4A197A" w14:textId="77777777" w:rsidR="006E0098" w:rsidRDefault="006E0098" w:rsidP="006E0098">
      <w:pPr>
        <w:rPr>
          <w:szCs w:val="20"/>
        </w:rPr>
      </w:pPr>
      <w:r>
        <w:rPr>
          <w:szCs w:val="20"/>
        </w:rPr>
        <w:t>W ramach Działania 3.1 podpisano dwie umowy</w:t>
      </w:r>
      <w:r w:rsidR="00E66B89">
        <w:rPr>
          <w:szCs w:val="20"/>
        </w:rPr>
        <w:t xml:space="preserve"> o </w:t>
      </w:r>
      <w:r>
        <w:rPr>
          <w:szCs w:val="20"/>
        </w:rPr>
        <w:t>dofinansowanie projektów wybranych</w:t>
      </w:r>
      <w:r w:rsidR="00E66B89">
        <w:rPr>
          <w:szCs w:val="20"/>
        </w:rPr>
        <w:t xml:space="preserve"> w </w:t>
      </w:r>
      <w:r>
        <w:rPr>
          <w:szCs w:val="20"/>
        </w:rPr>
        <w:t>trybie konkursowym</w:t>
      </w:r>
      <w:r w:rsidR="00E66B89">
        <w:rPr>
          <w:szCs w:val="20"/>
        </w:rPr>
        <w:t xml:space="preserve"> o </w:t>
      </w:r>
      <w:r>
        <w:rPr>
          <w:szCs w:val="20"/>
        </w:rPr>
        <w:t>łącznej wartości wkładu UE 13,27 mln zł. Ich beneficjentem jest PGW Wody Polskie. Taki poziom kontraktacji oznacza wykorzystanie całej dostępnej</w:t>
      </w:r>
      <w:r w:rsidR="00E66B89">
        <w:rPr>
          <w:szCs w:val="20"/>
        </w:rPr>
        <w:t xml:space="preserve"> w </w:t>
      </w:r>
      <w:r>
        <w:rPr>
          <w:szCs w:val="20"/>
        </w:rPr>
        <w:t>tym Działaniu alokacji (przekroczenie</w:t>
      </w:r>
      <w:r w:rsidR="00E66B89">
        <w:rPr>
          <w:szCs w:val="20"/>
        </w:rPr>
        <w:t xml:space="preserve"> o </w:t>
      </w:r>
      <w:r>
        <w:rPr>
          <w:szCs w:val="20"/>
        </w:rPr>
        <w:t>81,7 tys. zł).</w:t>
      </w:r>
      <w:r w:rsidDel="00DD6F03">
        <w:rPr>
          <w:szCs w:val="20"/>
        </w:rPr>
        <w:t xml:space="preserve"> </w:t>
      </w:r>
    </w:p>
    <w:p w14:paraId="7EC0482A" w14:textId="77777777" w:rsidR="006E0098" w:rsidRDefault="006E0098" w:rsidP="006E0098">
      <w:pPr>
        <w:rPr>
          <w:szCs w:val="20"/>
        </w:rPr>
      </w:pPr>
      <w:r>
        <w:rPr>
          <w:szCs w:val="20"/>
        </w:rPr>
        <w:t>W Działaniu 3.2 nie podpisano dotychczas żadnej umowy</w:t>
      </w:r>
      <w:r w:rsidR="00E66B89">
        <w:rPr>
          <w:szCs w:val="20"/>
        </w:rPr>
        <w:t xml:space="preserve"> o </w:t>
      </w:r>
      <w:r>
        <w:rPr>
          <w:szCs w:val="20"/>
        </w:rPr>
        <w:t>dofinansowanie, jednak zgodnie</w:t>
      </w:r>
      <w:r w:rsidR="00E66B89">
        <w:rPr>
          <w:szCs w:val="20"/>
        </w:rPr>
        <w:t xml:space="preserve"> z </w:t>
      </w:r>
      <w:r>
        <w:rPr>
          <w:szCs w:val="20"/>
        </w:rPr>
        <w:t>otrzymanymi danymi zatwierdzone do dofinansowania zostały dwa projekty</w:t>
      </w:r>
      <w:r w:rsidR="00E66B89">
        <w:rPr>
          <w:szCs w:val="20"/>
        </w:rPr>
        <w:t xml:space="preserve"> o </w:t>
      </w:r>
      <w:r>
        <w:rPr>
          <w:szCs w:val="20"/>
        </w:rPr>
        <w:t>wartości dofinansowania 21,1 mln zł, zaś</w:t>
      </w:r>
      <w:r w:rsidR="00E66B89">
        <w:rPr>
          <w:szCs w:val="20"/>
        </w:rPr>
        <w:t xml:space="preserve"> w </w:t>
      </w:r>
      <w:r>
        <w:rPr>
          <w:szCs w:val="20"/>
        </w:rPr>
        <w:t>ocenie pozostaje jeszcze jeden projekt</w:t>
      </w:r>
      <w:r w:rsidR="00E66B89">
        <w:rPr>
          <w:szCs w:val="20"/>
        </w:rPr>
        <w:t xml:space="preserve"> o </w:t>
      </w:r>
      <w:r>
        <w:rPr>
          <w:szCs w:val="20"/>
        </w:rPr>
        <w:t xml:space="preserve">wartości dofinansowania równej 20 mln zł. </w:t>
      </w:r>
      <w:r>
        <w:rPr>
          <w:szCs w:val="20"/>
        </w:rPr>
        <w:lastRenderedPageBreak/>
        <w:t>Jeśli projekty te otrzymają dofinansowanie we wnioskowanej kwocie, do wydatkowania pozostanie jeszcze 19,82 mln zł (wobec alokacji podstawowej). Potencjał absorpcyjny zależy od oceny możliwości realizacji inwestycji</w:t>
      </w:r>
      <w:r w:rsidR="00E66B89">
        <w:rPr>
          <w:szCs w:val="20"/>
        </w:rPr>
        <w:t xml:space="preserve"> w </w:t>
      </w:r>
      <w:r>
        <w:rPr>
          <w:szCs w:val="20"/>
        </w:rPr>
        <w:t>zakresie zwiększania małej retencji przez PGW Wody Polskie. Obydwa projekty</w:t>
      </w:r>
      <w:r w:rsidR="00E66B89">
        <w:rPr>
          <w:szCs w:val="20"/>
        </w:rPr>
        <w:t xml:space="preserve"> z </w:t>
      </w:r>
      <w:r>
        <w:rPr>
          <w:szCs w:val="20"/>
        </w:rPr>
        <w:t>podpisanymi umowami oraz jeden projekt, który został zatwierdzony, to projekty, które wcześniej miały byś realizowane przez ZZMiUW</w:t>
      </w:r>
      <w:r w:rsidR="00E66B89">
        <w:rPr>
          <w:szCs w:val="20"/>
        </w:rPr>
        <w:t xml:space="preserve"> w </w:t>
      </w:r>
      <w:r>
        <w:rPr>
          <w:szCs w:val="20"/>
        </w:rPr>
        <w:t>Szczecinie, lecz</w:t>
      </w:r>
      <w:r w:rsidR="00E66B89">
        <w:rPr>
          <w:szCs w:val="20"/>
        </w:rPr>
        <w:t xml:space="preserve"> w </w:t>
      </w:r>
      <w:r>
        <w:rPr>
          <w:szCs w:val="20"/>
        </w:rPr>
        <w:t>związku</w:t>
      </w:r>
      <w:r w:rsidR="00E66B89">
        <w:rPr>
          <w:szCs w:val="20"/>
        </w:rPr>
        <w:t xml:space="preserve"> z </w:t>
      </w:r>
      <w:r>
        <w:rPr>
          <w:szCs w:val="20"/>
        </w:rPr>
        <w:t>wejściem</w:t>
      </w:r>
      <w:r w:rsidR="00E66B89">
        <w:rPr>
          <w:szCs w:val="20"/>
        </w:rPr>
        <w:t xml:space="preserve"> w </w:t>
      </w:r>
      <w:r>
        <w:rPr>
          <w:szCs w:val="20"/>
        </w:rPr>
        <w:t>życie Ustawy Prawo Wodne, kompetencje do realizacji tego typu projektów przejęło PGW Wody Polskie. Ocenia się, że nie jest możliwe obecnie rozpoczęcie realizacji projektu, który polegałby na budowanie zabezpieczeń przeciwpowodziowych</w:t>
      </w:r>
      <w:r w:rsidR="00E66B89">
        <w:rPr>
          <w:szCs w:val="20"/>
        </w:rPr>
        <w:t xml:space="preserve"> i </w:t>
      </w:r>
      <w:r>
        <w:rPr>
          <w:szCs w:val="20"/>
        </w:rPr>
        <w:t>który zakończyłby się do roku 2023.</w:t>
      </w:r>
      <w:r w:rsidR="00E66B89">
        <w:rPr>
          <w:szCs w:val="20"/>
        </w:rPr>
        <w:t xml:space="preserve"> W </w:t>
      </w:r>
      <w:r>
        <w:rPr>
          <w:szCs w:val="20"/>
        </w:rPr>
        <w:t>związku</w:t>
      </w:r>
      <w:r w:rsidR="00E66B89">
        <w:rPr>
          <w:szCs w:val="20"/>
        </w:rPr>
        <w:t xml:space="preserve"> z </w:t>
      </w:r>
      <w:r>
        <w:rPr>
          <w:szCs w:val="20"/>
        </w:rPr>
        <w:t>tym potencjał absorpcyjny, który sprowadza się de facto do potencjału PGW Wody Polskie, ocenić należy jako niski. Środki te powinny zostać przesunięte do Działania 3.4 bądź ewentualnie do innego Priorytetu Inwestycyjnego.</w:t>
      </w:r>
    </w:p>
    <w:p w14:paraId="319D7436" w14:textId="77777777" w:rsidR="006E0098" w:rsidRDefault="006E0098" w:rsidP="006E0098">
      <w:pPr>
        <w:rPr>
          <w:szCs w:val="20"/>
        </w:rPr>
      </w:pPr>
      <w:r>
        <w:rPr>
          <w:szCs w:val="20"/>
        </w:rPr>
        <w:t>W przypadku Działania 3.3 zawarto dotychczas 12 umów</w:t>
      </w:r>
      <w:r w:rsidR="00E66B89">
        <w:rPr>
          <w:szCs w:val="20"/>
        </w:rPr>
        <w:t xml:space="preserve"> o </w:t>
      </w:r>
      <w:r>
        <w:rPr>
          <w:szCs w:val="20"/>
        </w:rPr>
        <w:t>dofinansowanie</w:t>
      </w:r>
      <w:r w:rsidR="00E66B89">
        <w:rPr>
          <w:szCs w:val="20"/>
        </w:rPr>
        <w:t xml:space="preserve"> o </w:t>
      </w:r>
      <w:r>
        <w:rPr>
          <w:szCs w:val="20"/>
        </w:rPr>
        <w:t>łącznej wartości wkładu</w:t>
      </w:r>
      <w:r w:rsidR="00E66B89">
        <w:rPr>
          <w:szCs w:val="20"/>
        </w:rPr>
        <w:t xml:space="preserve"> w </w:t>
      </w:r>
      <w:r>
        <w:rPr>
          <w:szCs w:val="20"/>
        </w:rPr>
        <w:t>wysokości blisko 16 mln zł. Po podpisaniu tych umów pozostało 6,4 mln zł alokacji (co stanowi 28,6%). Jednak wśród WoD złożonych</w:t>
      </w:r>
      <w:r w:rsidR="00E66B89">
        <w:rPr>
          <w:szCs w:val="20"/>
        </w:rPr>
        <w:t xml:space="preserve"> w </w:t>
      </w:r>
      <w:r>
        <w:rPr>
          <w:szCs w:val="20"/>
        </w:rPr>
        <w:t>drugim konkursie (listopad-grudzień 2018) wśród zatwierdzonych wniosków</w:t>
      </w:r>
      <w:r w:rsidR="00E66B89">
        <w:rPr>
          <w:szCs w:val="20"/>
        </w:rPr>
        <w:t xml:space="preserve"> o </w:t>
      </w:r>
      <w:r>
        <w:rPr>
          <w:szCs w:val="20"/>
        </w:rPr>
        <w:t>dofinansowanie pozostają dwa projekty, których łączna wartość dofinansowania wynosi 1,45 mln zł, zaś</w:t>
      </w:r>
      <w:r w:rsidR="00E66B89">
        <w:rPr>
          <w:szCs w:val="20"/>
        </w:rPr>
        <w:t xml:space="preserve"> w </w:t>
      </w:r>
      <w:r>
        <w:rPr>
          <w:szCs w:val="20"/>
        </w:rPr>
        <w:t>ocenie kolejnych 6 projektów</w:t>
      </w:r>
      <w:r w:rsidR="00E66B89">
        <w:rPr>
          <w:szCs w:val="20"/>
        </w:rPr>
        <w:t xml:space="preserve"> o </w:t>
      </w:r>
      <w:r>
        <w:rPr>
          <w:szCs w:val="20"/>
        </w:rPr>
        <w:t xml:space="preserve">wartości dofinansowania 8,5 mln zł. Potencjał absorpcyjny oceniany jest jako wystarczający do pełnego wykorzystania dostępnej alokacji. </w:t>
      </w:r>
    </w:p>
    <w:p w14:paraId="00800653" w14:textId="77777777" w:rsidR="006E0098" w:rsidRPr="00404DA5" w:rsidRDefault="006E0098" w:rsidP="006E0098">
      <w:pPr>
        <w:rPr>
          <w:rFonts w:cs="Calibri"/>
          <w:color w:val="FF0000"/>
          <w:szCs w:val="20"/>
        </w:rPr>
      </w:pPr>
      <w:r>
        <w:rPr>
          <w:szCs w:val="20"/>
        </w:rPr>
        <w:t>W Działaniu 3.4 podpisano 9 umów na łączną kwotę dofinansowania 14,4 mln zł, co stanowi 52,5% dostępnej alokacji. Zatwierdzono ponadto jeszcze jeden nieduży projekt (wartość dofinansowania UE to 170 tys. zł), zaś</w:t>
      </w:r>
      <w:r w:rsidR="00E66B89">
        <w:rPr>
          <w:szCs w:val="20"/>
        </w:rPr>
        <w:t xml:space="preserve"> w </w:t>
      </w:r>
      <w:r>
        <w:rPr>
          <w:szCs w:val="20"/>
        </w:rPr>
        <w:t>ocenie pozostaje 47 projektów</w:t>
      </w:r>
      <w:r w:rsidR="00E66B89">
        <w:rPr>
          <w:szCs w:val="20"/>
        </w:rPr>
        <w:t xml:space="preserve"> z </w:t>
      </w:r>
      <w:r>
        <w:rPr>
          <w:szCs w:val="20"/>
        </w:rPr>
        <w:t>ostatniego konkursu</w:t>
      </w:r>
      <w:r w:rsidR="00E66B89">
        <w:rPr>
          <w:szCs w:val="20"/>
        </w:rPr>
        <w:t xml:space="preserve"> o </w:t>
      </w:r>
      <w:r>
        <w:rPr>
          <w:szCs w:val="20"/>
        </w:rPr>
        <w:t>wartości dofinansowania UE ponad 36,5 mln zł. Spodziewać się należy, że cała alokacja zostanie wykorzystana,</w:t>
      </w:r>
      <w:r w:rsidR="00E66B89">
        <w:rPr>
          <w:szCs w:val="20"/>
        </w:rPr>
        <w:t xml:space="preserve"> a </w:t>
      </w:r>
      <w:r>
        <w:rPr>
          <w:szCs w:val="20"/>
        </w:rPr>
        <w:t>potencjał do realizacji kolejnych projektów jest wciąż duży. Jeśli nastąpi realokacja rezerwy wykonania (blisko 5 mln zł,</w:t>
      </w:r>
      <w:r w:rsidR="00E66B89">
        <w:rPr>
          <w:szCs w:val="20"/>
        </w:rPr>
        <w:t xml:space="preserve"> z </w:t>
      </w:r>
      <w:r>
        <w:rPr>
          <w:szCs w:val="20"/>
        </w:rPr>
        <w:t>uwzględnieniem przesunięcia na Działanie 3.1 kwoty 81,7 tys. zł wynikającej</w:t>
      </w:r>
      <w:r w:rsidR="00E66B89">
        <w:rPr>
          <w:szCs w:val="20"/>
        </w:rPr>
        <w:t xml:space="preserve"> z </w:t>
      </w:r>
      <w:r>
        <w:rPr>
          <w:szCs w:val="20"/>
        </w:rPr>
        <w:t>nadkontraktacji)</w:t>
      </w:r>
      <w:r w:rsidR="00E66B89">
        <w:rPr>
          <w:szCs w:val="20"/>
        </w:rPr>
        <w:t xml:space="preserve"> z </w:t>
      </w:r>
      <w:r>
        <w:rPr>
          <w:szCs w:val="20"/>
        </w:rPr>
        <w:t>Działania 3.2 do Działania 3.4 to pewne jest jej wykorzystanie. Bardzo prawdopodobne jest również, że wykorzystane zostaną pozostałe środki</w:t>
      </w:r>
      <w:r w:rsidR="00E66B89">
        <w:rPr>
          <w:szCs w:val="20"/>
        </w:rPr>
        <w:t xml:space="preserve"> z </w:t>
      </w:r>
      <w:r>
        <w:rPr>
          <w:szCs w:val="20"/>
        </w:rPr>
        <w:t>Działania 3.2 (19,82 mln zł).</w:t>
      </w:r>
    </w:p>
    <w:p w14:paraId="4A7F554D" w14:textId="77777777" w:rsidR="006E0098" w:rsidRPr="008E2B89" w:rsidRDefault="006E0098" w:rsidP="006E0098">
      <w:pPr>
        <w:pStyle w:val="Nagwek4"/>
        <w:numPr>
          <w:ilvl w:val="0"/>
          <w:numId w:val="0"/>
        </w:numPr>
        <w:ind w:left="864" w:hanging="864"/>
        <w:rPr>
          <w:rFonts w:ascii="Lato" w:eastAsia="Calibri" w:hAnsi="Lato"/>
        </w:rPr>
      </w:pPr>
      <w:r w:rsidRPr="008E2B89">
        <w:rPr>
          <w:rFonts w:ascii="Lato" w:eastAsia="Calibri" w:hAnsi="Lato"/>
        </w:rPr>
        <w:t>Prognozy osiągnięcia celów zakładanych na 2023 rok</w:t>
      </w:r>
    </w:p>
    <w:p w14:paraId="11F838D4" w14:textId="77777777" w:rsidR="006E0098" w:rsidRPr="006E34DC" w:rsidRDefault="006E0098" w:rsidP="006E34DC">
      <w:pPr>
        <w:pStyle w:val="Legenda"/>
        <w:spacing w:after="0"/>
      </w:pPr>
      <w:bookmarkStart w:id="107" w:name="_Toc8824154"/>
      <w:r w:rsidRPr="00404DA5">
        <w:t xml:space="preserve">Tabela </w:t>
      </w:r>
      <w:r>
        <w:fldChar w:fldCharType="begin"/>
      </w:r>
      <w:r>
        <w:instrText xml:space="preserve"> SEQ Tabela \* ARABIC </w:instrText>
      </w:r>
      <w:r>
        <w:fldChar w:fldCharType="separate"/>
      </w:r>
      <w:r w:rsidR="00763345">
        <w:rPr>
          <w:noProof/>
        </w:rPr>
        <w:t>43</w:t>
      </w:r>
      <w:r>
        <w:fldChar w:fldCharType="end"/>
      </w:r>
      <w:r w:rsidRPr="00404DA5">
        <w:t xml:space="preserve"> Prognozowany poziom realizacji wskaźników produktu</w:t>
      </w:r>
      <w:r w:rsidR="00E66B89">
        <w:t xml:space="preserve"> i </w:t>
      </w:r>
      <w:r w:rsidRPr="00404DA5">
        <w:t>rezultatu bezpośredniego na rok 2023 – PI 5b</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789"/>
        <w:gridCol w:w="1469"/>
        <w:gridCol w:w="1841"/>
        <w:gridCol w:w="1874"/>
      </w:tblGrid>
      <w:tr w:rsidR="006E0098" w:rsidRPr="003850AB" w14:paraId="03CF04AE" w14:textId="77777777" w:rsidTr="00C22C26">
        <w:trPr>
          <w:trHeight w:val="1835"/>
          <w:tblHeader/>
        </w:trPr>
        <w:tc>
          <w:tcPr>
            <w:tcW w:w="0" w:type="auto"/>
            <w:shd w:val="clear" w:color="auto" w:fill="DBE5F1"/>
            <w:vAlign w:val="center"/>
          </w:tcPr>
          <w:p w14:paraId="7AA8D163" w14:textId="77777777" w:rsidR="006E0098" w:rsidRPr="00C22C26" w:rsidRDefault="006E0098" w:rsidP="003850AB">
            <w:pPr>
              <w:jc w:val="center"/>
              <w:rPr>
                <w:rFonts w:cs="Calibri"/>
                <w:sz w:val="18"/>
                <w:szCs w:val="18"/>
              </w:rPr>
            </w:pPr>
            <w:r w:rsidRPr="00C22C26">
              <w:rPr>
                <w:rFonts w:cs="Calibri"/>
                <w:sz w:val="18"/>
                <w:szCs w:val="18"/>
              </w:rPr>
              <w:t>Typ wskaźnika</w:t>
            </w:r>
          </w:p>
        </w:tc>
        <w:tc>
          <w:tcPr>
            <w:tcW w:w="0" w:type="auto"/>
            <w:shd w:val="clear" w:color="auto" w:fill="DBE5F1"/>
            <w:vAlign w:val="center"/>
          </w:tcPr>
          <w:p w14:paraId="3975C1E5" w14:textId="77777777" w:rsidR="006E0098" w:rsidRPr="00C22C26" w:rsidRDefault="006E0098">
            <w:pPr>
              <w:jc w:val="center"/>
              <w:rPr>
                <w:rFonts w:cs="Calibri"/>
                <w:sz w:val="18"/>
                <w:szCs w:val="18"/>
              </w:rPr>
            </w:pPr>
            <w:r w:rsidRPr="00C22C26">
              <w:rPr>
                <w:rFonts w:cs="Calibri"/>
                <w:sz w:val="18"/>
                <w:szCs w:val="18"/>
              </w:rPr>
              <w:t>Wskaźnik</w:t>
            </w:r>
          </w:p>
        </w:tc>
        <w:tc>
          <w:tcPr>
            <w:tcW w:w="0" w:type="auto"/>
            <w:shd w:val="clear" w:color="auto" w:fill="DBE5F1"/>
            <w:vAlign w:val="center"/>
          </w:tcPr>
          <w:p w14:paraId="759C3CA3" w14:textId="77777777" w:rsidR="006E0098" w:rsidRPr="00C22C26" w:rsidRDefault="006E0098">
            <w:pPr>
              <w:jc w:val="center"/>
              <w:rPr>
                <w:rFonts w:cs="Calibri"/>
                <w:sz w:val="18"/>
                <w:szCs w:val="18"/>
              </w:rPr>
            </w:pPr>
            <w:r w:rsidRPr="00C22C26">
              <w:rPr>
                <w:rFonts w:cs="Calibri"/>
                <w:sz w:val="18"/>
                <w:szCs w:val="18"/>
              </w:rPr>
              <w:t>Wartość docelowa określona na 2023 rok</w:t>
            </w:r>
          </w:p>
        </w:tc>
        <w:tc>
          <w:tcPr>
            <w:tcW w:w="0" w:type="auto"/>
            <w:shd w:val="clear" w:color="auto" w:fill="DBE5F1"/>
            <w:vAlign w:val="center"/>
          </w:tcPr>
          <w:p w14:paraId="05CF403D" w14:textId="77777777" w:rsidR="006E0098" w:rsidRPr="00C22C26" w:rsidRDefault="006E0098">
            <w:pPr>
              <w:jc w:val="center"/>
              <w:rPr>
                <w:rFonts w:cs="Calibri"/>
                <w:sz w:val="18"/>
                <w:szCs w:val="18"/>
              </w:rPr>
            </w:pPr>
            <w:r w:rsidRPr="00C22C26">
              <w:rPr>
                <w:rFonts w:cs="Calibri"/>
                <w:sz w:val="18"/>
                <w:szCs w:val="18"/>
              </w:rPr>
              <w:t>Prognozowana całkowita wartość wskaźnika</w:t>
            </w:r>
          </w:p>
        </w:tc>
        <w:tc>
          <w:tcPr>
            <w:tcW w:w="0" w:type="auto"/>
            <w:shd w:val="clear" w:color="auto" w:fill="DBE5F1"/>
            <w:vAlign w:val="center"/>
          </w:tcPr>
          <w:p w14:paraId="7AE023EC" w14:textId="77777777" w:rsidR="006E0098" w:rsidRPr="00C22C26" w:rsidRDefault="006E0098">
            <w:pPr>
              <w:jc w:val="center"/>
              <w:rPr>
                <w:rFonts w:cs="Calibri"/>
                <w:sz w:val="18"/>
                <w:szCs w:val="18"/>
              </w:rPr>
            </w:pPr>
            <w:r w:rsidRPr="00C22C26">
              <w:rPr>
                <w:rFonts w:cs="Calibri"/>
                <w:sz w:val="18"/>
                <w:szCs w:val="18"/>
              </w:rPr>
              <w:t>Prognozowany % realizacji wartości docelowej</w:t>
            </w:r>
          </w:p>
        </w:tc>
      </w:tr>
      <w:tr w:rsidR="006E0098" w:rsidRPr="00FE43CD" w14:paraId="53C1FF14" w14:textId="77777777" w:rsidTr="00C22C26">
        <w:trPr>
          <w:trHeight w:val="657"/>
        </w:trPr>
        <w:tc>
          <w:tcPr>
            <w:tcW w:w="0" w:type="auto"/>
            <w:shd w:val="clear" w:color="auto" w:fill="auto"/>
            <w:vAlign w:val="center"/>
          </w:tcPr>
          <w:p w14:paraId="37F34913" w14:textId="77777777" w:rsidR="006E0098" w:rsidRPr="00404DA5" w:rsidRDefault="006E0098" w:rsidP="00C22C26">
            <w:pPr>
              <w:jc w:val="center"/>
              <w:rPr>
                <w:rFonts w:cs="Calibri"/>
                <w:sz w:val="18"/>
                <w:szCs w:val="18"/>
              </w:rPr>
            </w:pPr>
            <w:r w:rsidRPr="00404DA5">
              <w:rPr>
                <w:rFonts w:cs="Calibri"/>
                <w:sz w:val="18"/>
                <w:szCs w:val="18"/>
              </w:rPr>
              <w:t>WP</w:t>
            </w:r>
          </w:p>
        </w:tc>
        <w:tc>
          <w:tcPr>
            <w:tcW w:w="0" w:type="auto"/>
            <w:shd w:val="clear" w:color="auto" w:fill="auto"/>
            <w:vAlign w:val="center"/>
          </w:tcPr>
          <w:p w14:paraId="0B472AC8"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Liczba zakupionych</w:t>
            </w:r>
          </w:p>
          <w:p w14:paraId="4440FC12" w14:textId="77777777" w:rsidR="006E0098" w:rsidRPr="00404DA5" w:rsidRDefault="006E0098" w:rsidP="003850AB">
            <w:pPr>
              <w:autoSpaceDE w:val="0"/>
              <w:autoSpaceDN w:val="0"/>
              <w:adjustRightInd w:val="0"/>
              <w:spacing w:before="0" w:after="0" w:line="240" w:lineRule="auto"/>
              <w:jc w:val="center"/>
              <w:rPr>
                <w:rFonts w:cs="Calibri"/>
                <w:sz w:val="18"/>
                <w:szCs w:val="18"/>
              </w:rPr>
            </w:pPr>
            <w:r w:rsidRPr="00404DA5">
              <w:rPr>
                <w:rFonts w:cs="Calibri"/>
                <w:sz w:val="18"/>
                <w:szCs w:val="18"/>
              </w:rPr>
              <w:t>wozów pożarniczych</w:t>
            </w:r>
            <w:r w:rsidR="003850AB">
              <w:rPr>
                <w:rFonts w:cs="Calibri"/>
                <w:sz w:val="18"/>
                <w:szCs w:val="18"/>
              </w:rPr>
              <w:t xml:space="preserve"> </w:t>
            </w:r>
            <w:r w:rsidRPr="00404DA5">
              <w:rPr>
                <w:rFonts w:cs="Calibri"/>
                <w:sz w:val="18"/>
                <w:szCs w:val="18"/>
              </w:rPr>
              <w:t>wyposażonych</w:t>
            </w:r>
            <w:r w:rsidR="00E66B89">
              <w:rPr>
                <w:rFonts w:cs="Calibri"/>
                <w:sz w:val="18"/>
                <w:szCs w:val="18"/>
              </w:rPr>
              <w:t xml:space="preserve"> w </w:t>
            </w:r>
            <w:r w:rsidRPr="00404DA5">
              <w:rPr>
                <w:rFonts w:cs="Calibri"/>
                <w:sz w:val="18"/>
                <w:szCs w:val="18"/>
              </w:rPr>
              <w:t>sprzęt do prowadzenia akcji ratowniczych</w:t>
            </w:r>
          </w:p>
          <w:p w14:paraId="0C1307F9"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i usuwania skutków katastrof</w:t>
            </w:r>
          </w:p>
        </w:tc>
        <w:tc>
          <w:tcPr>
            <w:tcW w:w="0" w:type="auto"/>
            <w:shd w:val="clear" w:color="auto" w:fill="auto"/>
            <w:vAlign w:val="center"/>
          </w:tcPr>
          <w:p w14:paraId="51258F3B" w14:textId="77777777" w:rsidR="006E0098" w:rsidRPr="00404DA5" w:rsidRDefault="006E0098" w:rsidP="00217CFE">
            <w:pPr>
              <w:jc w:val="center"/>
              <w:rPr>
                <w:rFonts w:cs="Calibri"/>
                <w:sz w:val="18"/>
                <w:szCs w:val="18"/>
              </w:rPr>
            </w:pPr>
            <w:r w:rsidRPr="00404DA5">
              <w:rPr>
                <w:rFonts w:cs="Calibri"/>
                <w:sz w:val="18"/>
                <w:szCs w:val="18"/>
              </w:rPr>
              <w:t>14</w:t>
            </w:r>
          </w:p>
        </w:tc>
        <w:tc>
          <w:tcPr>
            <w:tcW w:w="0" w:type="auto"/>
            <w:shd w:val="clear" w:color="auto" w:fill="auto"/>
            <w:vAlign w:val="center"/>
          </w:tcPr>
          <w:p w14:paraId="28F4B7FB" w14:textId="77777777" w:rsidR="006E0098" w:rsidRPr="00404DA5" w:rsidRDefault="006E0098" w:rsidP="00217CFE">
            <w:pPr>
              <w:jc w:val="center"/>
              <w:rPr>
                <w:rFonts w:cs="Calibri"/>
                <w:sz w:val="18"/>
                <w:szCs w:val="18"/>
              </w:rPr>
            </w:pPr>
            <w:r w:rsidRPr="00404DA5">
              <w:rPr>
                <w:rFonts w:cs="Calibri"/>
                <w:sz w:val="18"/>
                <w:szCs w:val="18"/>
              </w:rPr>
              <w:t>7</w:t>
            </w:r>
            <w:r>
              <w:rPr>
                <w:rFonts w:cs="Calibri"/>
                <w:sz w:val="18"/>
                <w:szCs w:val="18"/>
              </w:rPr>
              <w:t>5</w:t>
            </w:r>
          </w:p>
        </w:tc>
        <w:tc>
          <w:tcPr>
            <w:tcW w:w="0" w:type="auto"/>
            <w:shd w:val="clear" w:color="auto" w:fill="auto"/>
            <w:vAlign w:val="center"/>
          </w:tcPr>
          <w:p w14:paraId="4F42E117" w14:textId="77777777" w:rsidR="006E0098" w:rsidRPr="00404DA5" w:rsidRDefault="006E0098" w:rsidP="00217CFE">
            <w:pPr>
              <w:jc w:val="center"/>
              <w:rPr>
                <w:rFonts w:cs="Calibri"/>
                <w:sz w:val="18"/>
                <w:szCs w:val="18"/>
              </w:rPr>
            </w:pPr>
            <w:r w:rsidRPr="00404DA5">
              <w:rPr>
                <w:rFonts w:cs="Calibri"/>
                <w:sz w:val="18"/>
                <w:szCs w:val="18"/>
              </w:rPr>
              <w:t>5</w:t>
            </w:r>
            <w:r>
              <w:rPr>
                <w:rFonts w:cs="Calibri"/>
                <w:sz w:val="18"/>
                <w:szCs w:val="18"/>
              </w:rPr>
              <w:t>35,7</w:t>
            </w:r>
            <w:r w:rsidRPr="00404DA5">
              <w:rPr>
                <w:rFonts w:cs="Calibri"/>
                <w:sz w:val="18"/>
                <w:szCs w:val="18"/>
              </w:rPr>
              <w:t>%</w:t>
            </w:r>
          </w:p>
        </w:tc>
      </w:tr>
      <w:tr w:rsidR="006E0098" w:rsidRPr="00FE43CD" w14:paraId="1F6D2BE4" w14:textId="77777777" w:rsidTr="00C22C26">
        <w:trPr>
          <w:trHeight w:val="672"/>
        </w:trPr>
        <w:tc>
          <w:tcPr>
            <w:tcW w:w="0" w:type="auto"/>
            <w:shd w:val="clear" w:color="auto" w:fill="auto"/>
            <w:vAlign w:val="center"/>
          </w:tcPr>
          <w:p w14:paraId="5463864B" w14:textId="77777777" w:rsidR="006E0098" w:rsidRPr="00404DA5" w:rsidRDefault="006E0098" w:rsidP="00C22C26">
            <w:pPr>
              <w:jc w:val="center"/>
              <w:rPr>
                <w:rFonts w:cs="Calibri"/>
                <w:sz w:val="18"/>
                <w:szCs w:val="18"/>
              </w:rPr>
            </w:pPr>
            <w:r w:rsidRPr="00404DA5">
              <w:rPr>
                <w:rFonts w:cs="Calibri"/>
                <w:sz w:val="18"/>
                <w:szCs w:val="18"/>
              </w:rPr>
              <w:t>WP</w:t>
            </w:r>
          </w:p>
        </w:tc>
        <w:tc>
          <w:tcPr>
            <w:tcW w:w="0" w:type="auto"/>
            <w:shd w:val="clear" w:color="auto" w:fill="auto"/>
            <w:vAlign w:val="center"/>
          </w:tcPr>
          <w:p w14:paraId="0923D7E5"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Liczba urządzeń dla</w:t>
            </w:r>
          </w:p>
          <w:p w14:paraId="3F1E2E34"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celów ochrony przeciwpowodziowej</w:t>
            </w:r>
          </w:p>
        </w:tc>
        <w:tc>
          <w:tcPr>
            <w:tcW w:w="0" w:type="auto"/>
            <w:shd w:val="clear" w:color="auto" w:fill="auto"/>
            <w:vAlign w:val="center"/>
          </w:tcPr>
          <w:p w14:paraId="03DF5BB5" w14:textId="77777777" w:rsidR="006E0098" w:rsidRPr="00404DA5" w:rsidRDefault="006E0098" w:rsidP="00217CFE">
            <w:pPr>
              <w:jc w:val="center"/>
              <w:rPr>
                <w:rFonts w:cs="Calibri"/>
                <w:sz w:val="18"/>
                <w:szCs w:val="18"/>
              </w:rPr>
            </w:pPr>
            <w:r w:rsidRPr="00404DA5">
              <w:rPr>
                <w:rFonts w:cs="Calibri"/>
                <w:sz w:val="18"/>
                <w:szCs w:val="18"/>
              </w:rPr>
              <w:t>7</w:t>
            </w:r>
          </w:p>
        </w:tc>
        <w:tc>
          <w:tcPr>
            <w:tcW w:w="0" w:type="auto"/>
            <w:shd w:val="clear" w:color="auto" w:fill="auto"/>
            <w:vAlign w:val="center"/>
          </w:tcPr>
          <w:p w14:paraId="2ACDE7ED" w14:textId="77777777" w:rsidR="006E0098" w:rsidRPr="00404DA5" w:rsidRDefault="006E0098" w:rsidP="00217CFE">
            <w:pPr>
              <w:jc w:val="center"/>
              <w:rPr>
                <w:rFonts w:cs="Calibri"/>
                <w:sz w:val="18"/>
                <w:szCs w:val="18"/>
              </w:rPr>
            </w:pPr>
            <w:r w:rsidRPr="00404DA5">
              <w:rPr>
                <w:rFonts w:cs="Calibri"/>
                <w:sz w:val="18"/>
                <w:szCs w:val="18"/>
              </w:rPr>
              <w:t>32</w:t>
            </w:r>
          </w:p>
        </w:tc>
        <w:tc>
          <w:tcPr>
            <w:tcW w:w="0" w:type="auto"/>
            <w:shd w:val="clear" w:color="auto" w:fill="auto"/>
            <w:vAlign w:val="center"/>
          </w:tcPr>
          <w:p w14:paraId="38473947" w14:textId="77777777" w:rsidR="006E0098" w:rsidRPr="00404DA5" w:rsidRDefault="006E0098" w:rsidP="00217CFE">
            <w:pPr>
              <w:jc w:val="center"/>
              <w:rPr>
                <w:rFonts w:cs="Calibri"/>
                <w:sz w:val="18"/>
                <w:szCs w:val="18"/>
              </w:rPr>
            </w:pPr>
            <w:r w:rsidRPr="00404DA5">
              <w:rPr>
                <w:rFonts w:cs="Calibri"/>
                <w:sz w:val="18"/>
                <w:szCs w:val="18"/>
              </w:rPr>
              <w:t>457%</w:t>
            </w:r>
          </w:p>
        </w:tc>
      </w:tr>
      <w:tr w:rsidR="006E0098" w:rsidRPr="00FE43CD" w14:paraId="1781EC0A" w14:textId="77777777" w:rsidTr="00C22C26">
        <w:trPr>
          <w:trHeight w:val="672"/>
        </w:trPr>
        <w:tc>
          <w:tcPr>
            <w:tcW w:w="0" w:type="auto"/>
            <w:shd w:val="clear" w:color="auto" w:fill="auto"/>
            <w:vAlign w:val="center"/>
          </w:tcPr>
          <w:p w14:paraId="3A398E2A" w14:textId="77777777" w:rsidR="006E0098" w:rsidRPr="00404DA5" w:rsidRDefault="006E0098" w:rsidP="00C22C26">
            <w:pPr>
              <w:jc w:val="center"/>
              <w:rPr>
                <w:rFonts w:cs="Calibri"/>
                <w:sz w:val="18"/>
                <w:szCs w:val="18"/>
              </w:rPr>
            </w:pPr>
            <w:r w:rsidRPr="00404DA5">
              <w:rPr>
                <w:rFonts w:cs="Calibri"/>
                <w:sz w:val="18"/>
                <w:szCs w:val="18"/>
              </w:rPr>
              <w:t>WR</w:t>
            </w:r>
          </w:p>
        </w:tc>
        <w:tc>
          <w:tcPr>
            <w:tcW w:w="0" w:type="auto"/>
            <w:shd w:val="clear" w:color="auto" w:fill="auto"/>
            <w:vAlign w:val="center"/>
          </w:tcPr>
          <w:p w14:paraId="4D0FADE9"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Pojemność obiektów małej retencji</w:t>
            </w:r>
          </w:p>
        </w:tc>
        <w:tc>
          <w:tcPr>
            <w:tcW w:w="0" w:type="auto"/>
            <w:shd w:val="clear" w:color="auto" w:fill="auto"/>
            <w:vAlign w:val="center"/>
          </w:tcPr>
          <w:p w14:paraId="6D8F9683" w14:textId="77777777" w:rsidR="006E0098" w:rsidRPr="00404DA5" w:rsidRDefault="006E0098" w:rsidP="00217CFE">
            <w:pPr>
              <w:jc w:val="center"/>
              <w:rPr>
                <w:rFonts w:cs="Calibri"/>
                <w:sz w:val="18"/>
                <w:szCs w:val="18"/>
              </w:rPr>
            </w:pPr>
            <w:r w:rsidRPr="00404DA5">
              <w:rPr>
                <w:rFonts w:cs="Calibri"/>
                <w:sz w:val="18"/>
                <w:szCs w:val="18"/>
              </w:rPr>
              <w:t>6 769 269</w:t>
            </w:r>
          </w:p>
        </w:tc>
        <w:tc>
          <w:tcPr>
            <w:tcW w:w="0" w:type="auto"/>
            <w:shd w:val="clear" w:color="auto" w:fill="auto"/>
            <w:vAlign w:val="center"/>
          </w:tcPr>
          <w:p w14:paraId="388E1BBF" w14:textId="77777777" w:rsidR="006E0098" w:rsidRPr="00404DA5" w:rsidRDefault="006E0098" w:rsidP="00217CFE">
            <w:pPr>
              <w:jc w:val="center"/>
              <w:rPr>
                <w:rFonts w:cs="Calibri"/>
                <w:sz w:val="18"/>
                <w:szCs w:val="18"/>
              </w:rPr>
            </w:pPr>
            <w:r w:rsidRPr="00C22C26">
              <w:rPr>
                <w:rFonts w:cs="Calibri"/>
                <w:sz w:val="18"/>
                <w:szCs w:val="18"/>
              </w:rPr>
              <w:t>6</w:t>
            </w:r>
            <w:r>
              <w:rPr>
                <w:rFonts w:cs="Calibri"/>
                <w:sz w:val="18"/>
                <w:szCs w:val="18"/>
              </w:rPr>
              <w:t> </w:t>
            </w:r>
            <w:r w:rsidRPr="00C22C26">
              <w:rPr>
                <w:rFonts w:cs="Calibri"/>
                <w:sz w:val="18"/>
                <w:szCs w:val="18"/>
              </w:rPr>
              <w:t>342</w:t>
            </w:r>
            <w:r>
              <w:rPr>
                <w:rFonts w:cs="Calibri"/>
                <w:sz w:val="18"/>
                <w:szCs w:val="18"/>
              </w:rPr>
              <w:t xml:space="preserve"> </w:t>
            </w:r>
            <w:r w:rsidRPr="00C22C26">
              <w:rPr>
                <w:rFonts w:cs="Calibri"/>
                <w:sz w:val="18"/>
                <w:szCs w:val="18"/>
              </w:rPr>
              <w:t>489</w:t>
            </w:r>
          </w:p>
        </w:tc>
        <w:tc>
          <w:tcPr>
            <w:tcW w:w="0" w:type="auto"/>
            <w:shd w:val="clear" w:color="auto" w:fill="auto"/>
            <w:vAlign w:val="center"/>
          </w:tcPr>
          <w:p w14:paraId="3ECB477A" w14:textId="77777777" w:rsidR="006E0098" w:rsidRPr="00404DA5" w:rsidRDefault="006E0098" w:rsidP="00217CFE">
            <w:pPr>
              <w:jc w:val="center"/>
              <w:rPr>
                <w:rFonts w:cs="Calibri"/>
                <w:sz w:val="18"/>
                <w:szCs w:val="18"/>
              </w:rPr>
            </w:pPr>
            <w:r w:rsidRPr="00404DA5">
              <w:rPr>
                <w:rFonts w:cs="Calibri"/>
                <w:sz w:val="18"/>
                <w:szCs w:val="18"/>
              </w:rPr>
              <w:t>112%</w:t>
            </w:r>
          </w:p>
        </w:tc>
      </w:tr>
    </w:tbl>
    <w:p w14:paraId="6E48F181" w14:textId="77777777" w:rsidR="006E0098" w:rsidRPr="002A5FDF" w:rsidRDefault="006E0098"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zawartych UoD na dzień 07.01.2019 r., obliczenia</w:t>
      </w:r>
      <w:r w:rsidR="00E66B89" w:rsidRPr="002A5FDF">
        <w:rPr>
          <w:i/>
          <w:sz w:val="18"/>
          <w:szCs w:val="20"/>
        </w:rPr>
        <w:t xml:space="preserve"> i </w:t>
      </w:r>
      <w:r w:rsidRPr="002A5FDF">
        <w:rPr>
          <w:i/>
          <w:sz w:val="18"/>
          <w:szCs w:val="20"/>
        </w:rPr>
        <w:t xml:space="preserve">analizy własne. </w:t>
      </w:r>
    </w:p>
    <w:p w14:paraId="7F65D2B4" w14:textId="77777777" w:rsidR="006E0098" w:rsidRPr="00495DB6" w:rsidRDefault="006E0098" w:rsidP="006E0098">
      <w:pPr>
        <w:rPr>
          <w:szCs w:val="20"/>
        </w:rPr>
      </w:pPr>
      <w:r w:rsidRPr="007060C2">
        <w:rPr>
          <w:szCs w:val="20"/>
        </w:rPr>
        <w:t>W związku</w:t>
      </w:r>
      <w:r w:rsidR="00E66B89">
        <w:rPr>
          <w:szCs w:val="20"/>
        </w:rPr>
        <w:t xml:space="preserve"> z </w:t>
      </w:r>
      <w:r>
        <w:rPr>
          <w:szCs w:val="20"/>
        </w:rPr>
        <w:t>sugerowaną</w:t>
      </w:r>
      <w:r w:rsidRPr="007060C2">
        <w:rPr>
          <w:szCs w:val="20"/>
        </w:rPr>
        <w:t xml:space="preserve"> realokacją rezerwy wykonania oraz niewykorzystanych środków</w:t>
      </w:r>
      <w:r w:rsidR="00E66B89">
        <w:rPr>
          <w:szCs w:val="20"/>
        </w:rPr>
        <w:t xml:space="preserve"> z </w:t>
      </w:r>
      <w:r w:rsidRPr="007060C2">
        <w:rPr>
          <w:szCs w:val="20"/>
        </w:rPr>
        <w:t>Działania 3.2 przyjmuje się, że zwiększy się alokacja na projekty realizujące wskaźnik produktu</w:t>
      </w:r>
      <w:r w:rsidR="00E66B89">
        <w:rPr>
          <w:szCs w:val="20"/>
        </w:rPr>
        <w:t xml:space="preserve"> w </w:t>
      </w:r>
      <w:r w:rsidRPr="007060C2">
        <w:rPr>
          <w:szCs w:val="20"/>
        </w:rPr>
        <w:t xml:space="preserve">Działaniu 3.4 </w:t>
      </w:r>
      <w:r w:rsidRPr="007060C2">
        <w:rPr>
          <w:szCs w:val="20"/>
        </w:rPr>
        <w:lastRenderedPageBreak/>
        <w:t>(</w:t>
      </w:r>
      <w:r w:rsidRPr="008B706B">
        <w:rPr>
          <w:i/>
          <w:szCs w:val="20"/>
        </w:rPr>
        <w:t>Liczba zakupionych wozów pożarniczych wyposażonych</w:t>
      </w:r>
      <w:r w:rsidR="00E66B89">
        <w:rPr>
          <w:i/>
          <w:szCs w:val="20"/>
        </w:rPr>
        <w:t xml:space="preserve"> w </w:t>
      </w:r>
      <w:r w:rsidRPr="008B706B">
        <w:rPr>
          <w:i/>
          <w:szCs w:val="20"/>
        </w:rPr>
        <w:t>sprzęt do prowadzenia akcji ratowniczych</w:t>
      </w:r>
      <w:r w:rsidR="00E66B89">
        <w:rPr>
          <w:i/>
          <w:szCs w:val="20"/>
        </w:rPr>
        <w:t xml:space="preserve"> i </w:t>
      </w:r>
      <w:r w:rsidRPr="008B706B">
        <w:rPr>
          <w:i/>
          <w:szCs w:val="20"/>
        </w:rPr>
        <w:t>usuwania skutków katastrof</w:t>
      </w:r>
      <w:r w:rsidRPr="007060C2">
        <w:rPr>
          <w:szCs w:val="20"/>
        </w:rPr>
        <w:t>).</w:t>
      </w:r>
      <w:r w:rsidR="00E66B89">
        <w:rPr>
          <w:szCs w:val="20"/>
        </w:rPr>
        <w:t xml:space="preserve"> W </w:t>
      </w:r>
      <w:r>
        <w:rPr>
          <w:szCs w:val="20"/>
        </w:rPr>
        <w:t xml:space="preserve">jego </w:t>
      </w:r>
      <w:r w:rsidRPr="007060C2">
        <w:rPr>
          <w:szCs w:val="20"/>
        </w:rPr>
        <w:t>przypadku dotychczasowe UoD pozwolą na zakup 24 wozów. Pozostała kwota alokacji (13,1 mln zł) pozwoli na zakup ok. 24 wozów. Ponadto przesunięcie rezerwy wykonania</w:t>
      </w:r>
      <w:r w:rsidR="00E66B89">
        <w:rPr>
          <w:szCs w:val="20"/>
        </w:rPr>
        <w:t xml:space="preserve"> z </w:t>
      </w:r>
      <w:r w:rsidRPr="007060C2">
        <w:rPr>
          <w:szCs w:val="20"/>
        </w:rPr>
        <w:t>Działania 3.2 do Działania 3.4 (4,9 mln zł) pozwoli na zakup kolejnych 9 wozów. Zwiększenie alokacji</w:t>
      </w:r>
      <w:r w:rsidR="00E66B89">
        <w:rPr>
          <w:szCs w:val="20"/>
        </w:rPr>
        <w:t xml:space="preserve"> w </w:t>
      </w:r>
      <w:r w:rsidRPr="007060C2">
        <w:rPr>
          <w:szCs w:val="20"/>
        </w:rPr>
        <w:t>Działaniu 3.4</w:t>
      </w:r>
      <w:r w:rsidR="00E66B89">
        <w:rPr>
          <w:szCs w:val="20"/>
        </w:rPr>
        <w:t xml:space="preserve"> o </w:t>
      </w:r>
      <w:r w:rsidRPr="007060C2">
        <w:rPr>
          <w:szCs w:val="20"/>
        </w:rPr>
        <w:t>pozostałą kwotę</w:t>
      </w:r>
      <w:r w:rsidR="00E66B89">
        <w:rPr>
          <w:szCs w:val="20"/>
        </w:rPr>
        <w:t xml:space="preserve"> z </w:t>
      </w:r>
      <w:r w:rsidRPr="007060C2">
        <w:rPr>
          <w:szCs w:val="20"/>
        </w:rPr>
        <w:t>Działania 3.2 (1</w:t>
      </w:r>
      <w:r>
        <w:rPr>
          <w:szCs w:val="20"/>
        </w:rPr>
        <w:t>9,7</w:t>
      </w:r>
      <w:r w:rsidRPr="007060C2">
        <w:rPr>
          <w:szCs w:val="20"/>
        </w:rPr>
        <w:t xml:space="preserve"> mln zł) pozwoli na dalszy zakup ok</w:t>
      </w:r>
      <w:r>
        <w:rPr>
          <w:szCs w:val="20"/>
        </w:rPr>
        <w:t>.</w:t>
      </w:r>
      <w:r w:rsidRPr="007060C2">
        <w:rPr>
          <w:szCs w:val="20"/>
        </w:rPr>
        <w:t xml:space="preserve"> 3</w:t>
      </w:r>
      <w:r>
        <w:rPr>
          <w:szCs w:val="20"/>
        </w:rPr>
        <w:t>5</w:t>
      </w:r>
      <w:r w:rsidRPr="007060C2">
        <w:rPr>
          <w:szCs w:val="20"/>
        </w:rPr>
        <w:t xml:space="preserve"> kolejnych wozów. Wobec tego wartość docelow</w:t>
      </w:r>
      <w:r>
        <w:rPr>
          <w:szCs w:val="20"/>
        </w:rPr>
        <w:t>a</w:t>
      </w:r>
      <w:r w:rsidRPr="007060C2">
        <w:rPr>
          <w:szCs w:val="20"/>
        </w:rPr>
        <w:t xml:space="preserve"> wskaźnika produktu wyliczona według kosztu jednostkowego</w:t>
      </w:r>
      <w:r w:rsidR="00E66B89">
        <w:rPr>
          <w:szCs w:val="20"/>
        </w:rPr>
        <w:t xml:space="preserve"> i </w:t>
      </w:r>
      <w:r w:rsidRPr="007060C2">
        <w:rPr>
          <w:szCs w:val="20"/>
        </w:rPr>
        <w:t>pozostałej alokacji (w tym dodanej</w:t>
      </w:r>
      <w:r w:rsidR="00E66B89">
        <w:rPr>
          <w:szCs w:val="20"/>
        </w:rPr>
        <w:t xml:space="preserve"> z </w:t>
      </w:r>
      <w:r w:rsidRPr="007060C2">
        <w:rPr>
          <w:szCs w:val="20"/>
        </w:rPr>
        <w:t>rezerwy wykonania</w:t>
      </w:r>
      <w:r w:rsidR="00E66B89">
        <w:rPr>
          <w:szCs w:val="20"/>
        </w:rPr>
        <w:t xml:space="preserve"> i z </w:t>
      </w:r>
      <w:r w:rsidRPr="007060C2">
        <w:rPr>
          <w:szCs w:val="20"/>
        </w:rPr>
        <w:t xml:space="preserve">Działania 3.2) wynosi ok. </w:t>
      </w:r>
      <w:r>
        <w:rPr>
          <w:szCs w:val="20"/>
        </w:rPr>
        <w:t>92</w:t>
      </w:r>
      <w:r w:rsidRPr="007060C2">
        <w:rPr>
          <w:szCs w:val="20"/>
        </w:rPr>
        <w:t>.</w:t>
      </w:r>
      <w:r w:rsidR="00E66B89">
        <w:rPr>
          <w:szCs w:val="20"/>
        </w:rPr>
        <w:t xml:space="preserve"> W </w:t>
      </w:r>
      <w:r w:rsidRPr="007060C2">
        <w:rPr>
          <w:szCs w:val="20"/>
        </w:rPr>
        <w:t>związku</w:t>
      </w:r>
      <w:r w:rsidR="00E66B89">
        <w:rPr>
          <w:szCs w:val="20"/>
        </w:rPr>
        <w:t xml:space="preserve"> z </w:t>
      </w:r>
      <w:r w:rsidRPr="007060C2">
        <w:rPr>
          <w:szCs w:val="20"/>
        </w:rPr>
        <w:t>tym, że można przewidzieć wzrost kosztów sprzętu oraz sytuacje,</w:t>
      </w:r>
      <w:r w:rsidR="00E66B89">
        <w:rPr>
          <w:szCs w:val="20"/>
        </w:rPr>
        <w:t xml:space="preserve"> w </w:t>
      </w:r>
      <w:r w:rsidRPr="007060C2">
        <w:rPr>
          <w:szCs w:val="20"/>
        </w:rPr>
        <w:t>której nie wszystkie produkty są równie efektywne kosztowo jak dotychczasowe, proponuje się określenie wartości produktu na poziomie 7</w:t>
      </w:r>
      <w:r>
        <w:rPr>
          <w:szCs w:val="20"/>
        </w:rPr>
        <w:t>5</w:t>
      </w:r>
      <w:r w:rsidRPr="007060C2">
        <w:rPr>
          <w:szCs w:val="20"/>
        </w:rPr>
        <w:t xml:space="preserve"> sztuk. Oznaczałoby to realizację wskaźnika na poziomie 5</w:t>
      </w:r>
      <w:r>
        <w:rPr>
          <w:szCs w:val="20"/>
        </w:rPr>
        <w:t>35</w:t>
      </w:r>
      <w:r w:rsidRPr="007060C2">
        <w:rPr>
          <w:szCs w:val="20"/>
        </w:rPr>
        <w:t>%</w:t>
      </w:r>
      <w:r w:rsidR="00E66B89">
        <w:rPr>
          <w:szCs w:val="20"/>
        </w:rPr>
        <w:t xml:space="preserve"> w </w:t>
      </w:r>
      <w:r w:rsidRPr="007060C2">
        <w:rPr>
          <w:szCs w:val="20"/>
        </w:rPr>
        <w:t>stosunku do pierwotnej wartości docelowej zapisanej</w:t>
      </w:r>
      <w:r w:rsidR="00E66B89">
        <w:rPr>
          <w:szCs w:val="20"/>
        </w:rPr>
        <w:t xml:space="preserve"> w </w:t>
      </w:r>
      <w:r w:rsidRPr="007060C2">
        <w:rPr>
          <w:szCs w:val="20"/>
        </w:rPr>
        <w:t>RPO WZ. Ilość złożonych wniosków</w:t>
      </w:r>
      <w:r w:rsidR="00E66B89">
        <w:rPr>
          <w:szCs w:val="20"/>
        </w:rPr>
        <w:t xml:space="preserve"> o </w:t>
      </w:r>
      <w:r w:rsidRPr="007060C2">
        <w:rPr>
          <w:szCs w:val="20"/>
        </w:rPr>
        <w:t>dofinansowanie</w:t>
      </w:r>
      <w:r w:rsidR="00E66B89">
        <w:rPr>
          <w:szCs w:val="20"/>
        </w:rPr>
        <w:t xml:space="preserve"> w </w:t>
      </w:r>
      <w:r w:rsidRPr="007060C2">
        <w:rPr>
          <w:szCs w:val="20"/>
        </w:rPr>
        <w:t xml:space="preserve">ostatnim konkursie Działania 3.4 pozwala przypuszczać, że cała powiększona </w:t>
      </w:r>
      <w:r>
        <w:rPr>
          <w:szCs w:val="20"/>
        </w:rPr>
        <w:t>alokacja zostanie wykorzystana.</w:t>
      </w:r>
    </w:p>
    <w:p w14:paraId="00513283" w14:textId="77777777" w:rsidR="006E0098" w:rsidRPr="008E2B89" w:rsidRDefault="006E0098" w:rsidP="006E0098">
      <w:pPr>
        <w:pStyle w:val="Nagwek4"/>
        <w:numPr>
          <w:ilvl w:val="0"/>
          <w:numId w:val="0"/>
        </w:numPr>
        <w:rPr>
          <w:rFonts w:ascii="Lato" w:eastAsia="Calibri" w:hAnsi="Lato"/>
        </w:rPr>
      </w:pPr>
      <w:r w:rsidRPr="008E2B89">
        <w:rPr>
          <w:rFonts w:ascii="Lato" w:eastAsia="Calibri" w:hAnsi="Lato"/>
        </w:rPr>
        <w:t>Możliwości zarządzania środkami rezerwy wykonania</w:t>
      </w:r>
      <w:r w:rsidR="00E66B89">
        <w:rPr>
          <w:rFonts w:ascii="Lato" w:eastAsia="Calibri" w:hAnsi="Lato"/>
        </w:rPr>
        <w:t xml:space="preserve"> i </w:t>
      </w:r>
      <w:r w:rsidRPr="008E2B89">
        <w:rPr>
          <w:rFonts w:ascii="Lato" w:eastAsia="Calibri" w:hAnsi="Lato"/>
        </w:rPr>
        <w:t>identyfikacja obszarów wymagających interwencji - podsumowanie</w:t>
      </w:r>
    </w:p>
    <w:p w14:paraId="460B8D74" w14:textId="77777777" w:rsidR="006E0098" w:rsidRPr="00F5769E" w:rsidRDefault="006E0098" w:rsidP="006E34DC">
      <w:pPr>
        <w:pStyle w:val="Legenda"/>
        <w:spacing w:after="0"/>
      </w:pPr>
      <w:bookmarkStart w:id="108" w:name="_Toc8824155"/>
      <w:r w:rsidRPr="00F5769E">
        <w:t xml:space="preserve">Tabela </w:t>
      </w:r>
      <w:r>
        <w:fldChar w:fldCharType="begin"/>
      </w:r>
      <w:r>
        <w:instrText xml:space="preserve"> SEQ Tabela \* ARABIC </w:instrText>
      </w:r>
      <w:r>
        <w:fldChar w:fldCharType="separate"/>
      </w:r>
      <w:r w:rsidR="00763345">
        <w:rPr>
          <w:noProof/>
        </w:rPr>
        <w:t>44</w:t>
      </w:r>
      <w:r>
        <w:fldChar w:fldCharType="end"/>
      </w:r>
      <w:r w:rsidRPr="00F5769E">
        <w:t xml:space="preserve"> Wskaźniki wym</w:t>
      </w:r>
      <w:r>
        <w:t>agające zmiany wartości – PI 5b</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602"/>
        <w:gridCol w:w="1180"/>
        <w:gridCol w:w="2168"/>
        <w:gridCol w:w="2007"/>
      </w:tblGrid>
      <w:tr w:rsidR="006E0098" w:rsidRPr="003850AB" w14:paraId="3236E569" w14:textId="77777777" w:rsidTr="00C22C26">
        <w:trPr>
          <w:tblHeader/>
        </w:trPr>
        <w:tc>
          <w:tcPr>
            <w:tcW w:w="0" w:type="auto"/>
            <w:shd w:val="clear" w:color="auto" w:fill="DBE5F1"/>
            <w:vAlign w:val="center"/>
          </w:tcPr>
          <w:p w14:paraId="443E6805" w14:textId="77777777" w:rsidR="006E0098" w:rsidRPr="00C22C26" w:rsidRDefault="006E0098" w:rsidP="00217CFE">
            <w:pPr>
              <w:jc w:val="center"/>
              <w:rPr>
                <w:rFonts w:cs="Calibri"/>
                <w:sz w:val="18"/>
                <w:szCs w:val="16"/>
              </w:rPr>
            </w:pPr>
            <w:r w:rsidRPr="00C22C26">
              <w:rPr>
                <w:rFonts w:cs="Calibri"/>
                <w:sz w:val="18"/>
                <w:szCs w:val="16"/>
              </w:rPr>
              <w:t>Typ wskaźnika</w:t>
            </w:r>
          </w:p>
        </w:tc>
        <w:tc>
          <w:tcPr>
            <w:tcW w:w="0" w:type="auto"/>
            <w:shd w:val="clear" w:color="auto" w:fill="DBE5F1"/>
            <w:vAlign w:val="center"/>
          </w:tcPr>
          <w:p w14:paraId="2929579E" w14:textId="77777777" w:rsidR="006E0098" w:rsidRPr="00C22C26" w:rsidRDefault="006E0098" w:rsidP="00217CFE">
            <w:pPr>
              <w:jc w:val="center"/>
              <w:rPr>
                <w:rFonts w:cs="Calibri"/>
                <w:sz w:val="18"/>
                <w:szCs w:val="16"/>
              </w:rPr>
            </w:pPr>
            <w:r w:rsidRPr="00C22C26">
              <w:rPr>
                <w:rFonts w:cs="Calibri"/>
                <w:sz w:val="18"/>
                <w:szCs w:val="16"/>
              </w:rPr>
              <w:t>Wskaźnik</w:t>
            </w:r>
          </w:p>
        </w:tc>
        <w:tc>
          <w:tcPr>
            <w:tcW w:w="0" w:type="auto"/>
            <w:shd w:val="clear" w:color="auto" w:fill="DBE5F1"/>
            <w:vAlign w:val="center"/>
          </w:tcPr>
          <w:p w14:paraId="32130D09" w14:textId="77777777" w:rsidR="006E0098" w:rsidRPr="00C22C26" w:rsidRDefault="006E0098" w:rsidP="00217CFE">
            <w:pPr>
              <w:jc w:val="center"/>
              <w:rPr>
                <w:rFonts w:cs="Calibri"/>
                <w:sz w:val="18"/>
                <w:szCs w:val="16"/>
              </w:rPr>
            </w:pPr>
            <w:r w:rsidRPr="00C22C26">
              <w:rPr>
                <w:rFonts w:cs="Calibri"/>
                <w:sz w:val="18"/>
                <w:szCs w:val="16"/>
              </w:rPr>
              <w:t>Jednostka pomiaru</w:t>
            </w:r>
          </w:p>
        </w:tc>
        <w:tc>
          <w:tcPr>
            <w:tcW w:w="0" w:type="auto"/>
            <w:shd w:val="clear" w:color="auto" w:fill="DBE5F1"/>
          </w:tcPr>
          <w:p w14:paraId="1FE7D46F" w14:textId="77777777" w:rsidR="006E0098" w:rsidRPr="00C22C26" w:rsidRDefault="006E0098" w:rsidP="00217CFE">
            <w:pPr>
              <w:jc w:val="center"/>
              <w:rPr>
                <w:rFonts w:cs="Calibri"/>
                <w:sz w:val="18"/>
                <w:szCs w:val="16"/>
              </w:rPr>
            </w:pPr>
            <w:r w:rsidRPr="00C22C26">
              <w:rPr>
                <w:rFonts w:cs="Calibri"/>
                <w:sz w:val="18"/>
                <w:szCs w:val="16"/>
              </w:rPr>
              <w:t>Wartość docelowa na koniec 2023 r. (określona</w:t>
            </w:r>
            <w:r w:rsidR="00E66B89">
              <w:rPr>
                <w:rFonts w:cs="Calibri"/>
                <w:sz w:val="18"/>
                <w:szCs w:val="16"/>
              </w:rPr>
              <w:t xml:space="preserve"> w </w:t>
            </w:r>
            <w:r w:rsidRPr="00C22C26">
              <w:rPr>
                <w:rFonts w:cs="Calibri"/>
                <w:sz w:val="18"/>
                <w:szCs w:val="16"/>
              </w:rPr>
              <w:t>Programie)</w:t>
            </w:r>
          </w:p>
        </w:tc>
        <w:tc>
          <w:tcPr>
            <w:tcW w:w="0" w:type="auto"/>
            <w:shd w:val="clear" w:color="auto" w:fill="DBE5F1"/>
          </w:tcPr>
          <w:p w14:paraId="1BCD68B7" w14:textId="77777777" w:rsidR="006E0098" w:rsidRPr="00C22C26" w:rsidRDefault="006E0098" w:rsidP="00217CFE">
            <w:pPr>
              <w:jc w:val="center"/>
              <w:rPr>
                <w:rFonts w:cs="Calibri"/>
                <w:sz w:val="18"/>
                <w:szCs w:val="16"/>
              </w:rPr>
            </w:pPr>
            <w:r w:rsidRPr="00C22C26">
              <w:rPr>
                <w:rFonts w:cs="Calibri"/>
                <w:sz w:val="18"/>
                <w:szCs w:val="16"/>
              </w:rPr>
              <w:t>Proponowana wartość docelowa na koniec 2023 r.</w:t>
            </w:r>
          </w:p>
        </w:tc>
      </w:tr>
      <w:tr w:rsidR="006E0098" w:rsidRPr="00FE43CD" w14:paraId="4FD8C192" w14:textId="77777777" w:rsidTr="00217CFE">
        <w:tc>
          <w:tcPr>
            <w:tcW w:w="0" w:type="auto"/>
            <w:shd w:val="clear" w:color="auto" w:fill="auto"/>
            <w:vAlign w:val="center"/>
          </w:tcPr>
          <w:p w14:paraId="7F0BB812" w14:textId="77777777" w:rsidR="006E0098" w:rsidRPr="00404DA5" w:rsidRDefault="006E0098" w:rsidP="00C22C26">
            <w:pPr>
              <w:jc w:val="center"/>
              <w:rPr>
                <w:rFonts w:cs="Calibri"/>
                <w:sz w:val="18"/>
                <w:szCs w:val="18"/>
              </w:rPr>
            </w:pPr>
            <w:r w:rsidRPr="00404DA5">
              <w:rPr>
                <w:rFonts w:cs="Calibri"/>
                <w:sz w:val="18"/>
                <w:szCs w:val="18"/>
              </w:rPr>
              <w:t>WP</w:t>
            </w:r>
          </w:p>
        </w:tc>
        <w:tc>
          <w:tcPr>
            <w:tcW w:w="0" w:type="auto"/>
            <w:shd w:val="clear" w:color="auto" w:fill="auto"/>
            <w:vAlign w:val="center"/>
          </w:tcPr>
          <w:p w14:paraId="7FA17CF3"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Liczba zakupionych</w:t>
            </w:r>
          </w:p>
          <w:p w14:paraId="71438490"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wozów pożarniczych</w:t>
            </w:r>
          </w:p>
          <w:p w14:paraId="4641861E"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wyposażonych</w:t>
            </w:r>
            <w:r w:rsidR="00E66B89">
              <w:rPr>
                <w:rFonts w:cs="Calibri"/>
                <w:sz w:val="18"/>
                <w:szCs w:val="18"/>
              </w:rPr>
              <w:t xml:space="preserve"> w </w:t>
            </w:r>
            <w:r w:rsidRPr="00404DA5">
              <w:rPr>
                <w:rFonts w:cs="Calibri"/>
                <w:sz w:val="18"/>
                <w:szCs w:val="18"/>
              </w:rPr>
              <w:t>sprzęt do prowadzenia akcji ratowniczych</w:t>
            </w:r>
          </w:p>
          <w:p w14:paraId="5AC305D6"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i usuwania skutków katastrof</w:t>
            </w:r>
          </w:p>
        </w:tc>
        <w:tc>
          <w:tcPr>
            <w:tcW w:w="0" w:type="auto"/>
            <w:shd w:val="clear" w:color="auto" w:fill="auto"/>
            <w:vAlign w:val="center"/>
          </w:tcPr>
          <w:p w14:paraId="06C3D3E3" w14:textId="77777777" w:rsidR="006E0098" w:rsidRPr="00404DA5" w:rsidRDefault="006E0098" w:rsidP="00217CFE">
            <w:pPr>
              <w:jc w:val="center"/>
              <w:rPr>
                <w:rFonts w:eastAsia="Calibri" w:cs="Calibri"/>
                <w:sz w:val="16"/>
                <w:szCs w:val="16"/>
              </w:rPr>
            </w:pPr>
            <w:r w:rsidRPr="00404DA5">
              <w:rPr>
                <w:rFonts w:eastAsia="Calibri" w:cs="Calibri"/>
                <w:sz w:val="16"/>
                <w:szCs w:val="16"/>
              </w:rPr>
              <w:t>szt</w:t>
            </w:r>
            <w:r>
              <w:rPr>
                <w:rFonts w:eastAsia="Calibri" w:cs="Calibri"/>
                <w:sz w:val="16"/>
                <w:szCs w:val="16"/>
              </w:rPr>
              <w:t>.</w:t>
            </w:r>
          </w:p>
        </w:tc>
        <w:tc>
          <w:tcPr>
            <w:tcW w:w="0" w:type="auto"/>
            <w:shd w:val="clear" w:color="auto" w:fill="auto"/>
            <w:vAlign w:val="center"/>
          </w:tcPr>
          <w:p w14:paraId="21A46995" w14:textId="77777777" w:rsidR="006E0098" w:rsidRPr="00404DA5" w:rsidRDefault="006E0098" w:rsidP="00217CFE">
            <w:pPr>
              <w:jc w:val="center"/>
              <w:rPr>
                <w:rFonts w:cs="Calibri"/>
                <w:sz w:val="18"/>
                <w:szCs w:val="18"/>
              </w:rPr>
            </w:pPr>
            <w:r w:rsidRPr="00404DA5">
              <w:rPr>
                <w:rFonts w:cs="Calibri"/>
                <w:sz w:val="18"/>
                <w:szCs w:val="18"/>
              </w:rPr>
              <w:t>14</w:t>
            </w:r>
          </w:p>
        </w:tc>
        <w:tc>
          <w:tcPr>
            <w:tcW w:w="0" w:type="auto"/>
            <w:shd w:val="clear" w:color="auto" w:fill="auto"/>
            <w:vAlign w:val="center"/>
          </w:tcPr>
          <w:p w14:paraId="3B7342DC" w14:textId="77777777" w:rsidR="006E0098" w:rsidRPr="00404DA5" w:rsidRDefault="006E0098" w:rsidP="00217CFE">
            <w:pPr>
              <w:jc w:val="center"/>
              <w:rPr>
                <w:rFonts w:cs="Calibri"/>
                <w:sz w:val="18"/>
                <w:szCs w:val="18"/>
              </w:rPr>
            </w:pPr>
            <w:r w:rsidRPr="00404DA5">
              <w:rPr>
                <w:rFonts w:cs="Calibri"/>
                <w:sz w:val="18"/>
                <w:szCs w:val="18"/>
              </w:rPr>
              <w:t>7</w:t>
            </w:r>
            <w:r>
              <w:rPr>
                <w:rFonts w:cs="Calibri"/>
                <w:sz w:val="18"/>
                <w:szCs w:val="18"/>
              </w:rPr>
              <w:t>5</w:t>
            </w:r>
          </w:p>
        </w:tc>
      </w:tr>
      <w:tr w:rsidR="006E0098" w:rsidRPr="00FE43CD" w14:paraId="7AD64947" w14:textId="77777777" w:rsidTr="00217CFE">
        <w:tc>
          <w:tcPr>
            <w:tcW w:w="0" w:type="auto"/>
            <w:shd w:val="clear" w:color="auto" w:fill="auto"/>
            <w:vAlign w:val="center"/>
          </w:tcPr>
          <w:p w14:paraId="4986DB1A" w14:textId="77777777" w:rsidR="006E0098" w:rsidRPr="00404DA5" w:rsidRDefault="006E0098" w:rsidP="00C22C26">
            <w:pPr>
              <w:jc w:val="center"/>
              <w:rPr>
                <w:rFonts w:cs="Calibri"/>
                <w:sz w:val="18"/>
                <w:szCs w:val="18"/>
              </w:rPr>
            </w:pPr>
            <w:r w:rsidRPr="00404DA5">
              <w:rPr>
                <w:rFonts w:cs="Calibri"/>
                <w:sz w:val="18"/>
                <w:szCs w:val="18"/>
              </w:rPr>
              <w:t>WP</w:t>
            </w:r>
          </w:p>
        </w:tc>
        <w:tc>
          <w:tcPr>
            <w:tcW w:w="0" w:type="auto"/>
            <w:shd w:val="clear" w:color="auto" w:fill="auto"/>
            <w:vAlign w:val="center"/>
          </w:tcPr>
          <w:p w14:paraId="55903ED9"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Liczba urządzeń dla celów ochrony przeciwpowodziowej</w:t>
            </w:r>
          </w:p>
        </w:tc>
        <w:tc>
          <w:tcPr>
            <w:tcW w:w="0" w:type="auto"/>
            <w:shd w:val="clear" w:color="auto" w:fill="auto"/>
            <w:vAlign w:val="center"/>
          </w:tcPr>
          <w:p w14:paraId="19C7F2D6" w14:textId="77777777" w:rsidR="006E0098" w:rsidRPr="00404DA5" w:rsidRDefault="006E0098" w:rsidP="00217CFE">
            <w:pPr>
              <w:jc w:val="center"/>
              <w:rPr>
                <w:rFonts w:eastAsia="Calibri" w:cs="Calibri"/>
                <w:sz w:val="16"/>
                <w:szCs w:val="16"/>
              </w:rPr>
            </w:pPr>
            <w:r w:rsidRPr="00404DA5">
              <w:rPr>
                <w:rFonts w:eastAsia="Calibri" w:cs="Calibri"/>
                <w:sz w:val="16"/>
                <w:szCs w:val="16"/>
              </w:rPr>
              <w:t>szt</w:t>
            </w:r>
            <w:r>
              <w:rPr>
                <w:rFonts w:eastAsia="Calibri" w:cs="Calibri"/>
                <w:sz w:val="16"/>
                <w:szCs w:val="16"/>
              </w:rPr>
              <w:t>.</w:t>
            </w:r>
          </w:p>
        </w:tc>
        <w:tc>
          <w:tcPr>
            <w:tcW w:w="0" w:type="auto"/>
            <w:shd w:val="clear" w:color="auto" w:fill="auto"/>
            <w:vAlign w:val="center"/>
          </w:tcPr>
          <w:p w14:paraId="26BBB3B7" w14:textId="77777777" w:rsidR="006E0098" w:rsidRPr="00404DA5" w:rsidRDefault="006E0098" w:rsidP="00217CFE">
            <w:pPr>
              <w:jc w:val="center"/>
              <w:rPr>
                <w:rFonts w:cs="Calibri"/>
                <w:sz w:val="18"/>
                <w:szCs w:val="18"/>
              </w:rPr>
            </w:pPr>
            <w:r w:rsidRPr="00404DA5">
              <w:rPr>
                <w:rFonts w:cs="Calibri"/>
                <w:sz w:val="18"/>
                <w:szCs w:val="18"/>
              </w:rPr>
              <w:t>7</w:t>
            </w:r>
          </w:p>
        </w:tc>
        <w:tc>
          <w:tcPr>
            <w:tcW w:w="0" w:type="auto"/>
            <w:shd w:val="clear" w:color="auto" w:fill="auto"/>
            <w:vAlign w:val="center"/>
          </w:tcPr>
          <w:p w14:paraId="09EA4142" w14:textId="77777777" w:rsidR="006E0098" w:rsidRPr="00404DA5" w:rsidRDefault="006E0098" w:rsidP="00217CFE">
            <w:pPr>
              <w:jc w:val="center"/>
              <w:rPr>
                <w:rFonts w:cs="Calibri"/>
                <w:sz w:val="18"/>
                <w:szCs w:val="18"/>
              </w:rPr>
            </w:pPr>
            <w:r w:rsidRPr="00404DA5">
              <w:rPr>
                <w:rFonts w:cs="Calibri"/>
                <w:sz w:val="18"/>
                <w:szCs w:val="18"/>
              </w:rPr>
              <w:t>32</w:t>
            </w:r>
          </w:p>
        </w:tc>
      </w:tr>
      <w:tr w:rsidR="006E0098" w:rsidRPr="00FE43CD" w14:paraId="0E291284" w14:textId="77777777" w:rsidTr="00217CFE">
        <w:tc>
          <w:tcPr>
            <w:tcW w:w="0" w:type="auto"/>
            <w:shd w:val="clear" w:color="auto" w:fill="auto"/>
            <w:vAlign w:val="center"/>
          </w:tcPr>
          <w:p w14:paraId="09C633DD" w14:textId="77777777" w:rsidR="006E0098" w:rsidRPr="00404DA5" w:rsidRDefault="006E0098" w:rsidP="00C22C26">
            <w:pPr>
              <w:jc w:val="center"/>
              <w:rPr>
                <w:rFonts w:cs="Calibri"/>
                <w:sz w:val="18"/>
                <w:szCs w:val="18"/>
              </w:rPr>
            </w:pPr>
            <w:r w:rsidRPr="00404DA5">
              <w:rPr>
                <w:rFonts w:cs="Calibri"/>
                <w:sz w:val="18"/>
                <w:szCs w:val="18"/>
              </w:rPr>
              <w:t>WR</w:t>
            </w:r>
          </w:p>
        </w:tc>
        <w:tc>
          <w:tcPr>
            <w:tcW w:w="0" w:type="auto"/>
            <w:shd w:val="clear" w:color="auto" w:fill="auto"/>
            <w:vAlign w:val="center"/>
          </w:tcPr>
          <w:p w14:paraId="13C05D8F" w14:textId="77777777" w:rsidR="006E0098" w:rsidRPr="00404DA5" w:rsidRDefault="006E0098" w:rsidP="00217CFE">
            <w:pPr>
              <w:autoSpaceDE w:val="0"/>
              <w:autoSpaceDN w:val="0"/>
              <w:adjustRightInd w:val="0"/>
              <w:spacing w:before="0" w:after="0" w:line="240" w:lineRule="auto"/>
              <w:jc w:val="center"/>
              <w:rPr>
                <w:rFonts w:cs="Calibri"/>
                <w:sz w:val="18"/>
                <w:szCs w:val="18"/>
              </w:rPr>
            </w:pPr>
            <w:r w:rsidRPr="00404DA5">
              <w:rPr>
                <w:rFonts w:cs="Calibri"/>
                <w:sz w:val="18"/>
                <w:szCs w:val="18"/>
              </w:rPr>
              <w:t>Pojemność obiektów małej retencji</w:t>
            </w:r>
          </w:p>
        </w:tc>
        <w:tc>
          <w:tcPr>
            <w:tcW w:w="0" w:type="auto"/>
            <w:shd w:val="clear" w:color="auto" w:fill="auto"/>
            <w:vAlign w:val="center"/>
          </w:tcPr>
          <w:p w14:paraId="55D1FA3C" w14:textId="77777777" w:rsidR="006E0098" w:rsidRPr="00404DA5" w:rsidRDefault="006E0098" w:rsidP="00217CFE">
            <w:pPr>
              <w:jc w:val="center"/>
              <w:rPr>
                <w:rFonts w:eastAsia="Calibri" w:cs="Calibri"/>
                <w:sz w:val="16"/>
                <w:szCs w:val="16"/>
              </w:rPr>
            </w:pPr>
            <w:r w:rsidRPr="00404DA5">
              <w:rPr>
                <w:rFonts w:eastAsia="Calibri" w:cs="Calibri"/>
                <w:sz w:val="16"/>
                <w:szCs w:val="16"/>
              </w:rPr>
              <w:t>m3</w:t>
            </w:r>
          </w:p>
        </w:tc>
        <w:tc>
          <w:tcPr>
            <w:tcW w:w="0" w:type="auto"/>
            <w:shd w:val="clear" w:color="auto" w:fill="auto"/>
            <w:vAlign w:val="center"/>
          </w:tcPr>
          <w:p w14:paraId="7379ADFB" w14:textId="77777777" w:rsidR="006E0098" w:rsidRPr="00404DA5" w:rsidRDefault="006E0098" w:rsidP="00217CFE">
            <w:pPr>
              <w:jc w:val="center"/>
              <w:rPr>
                <w:rFonts w:cs="Calibri"/>
                <w:sz w:val="18"/>
                <w:szCs w:val="18"/>
              </w:rPr>
            </w:pPr>
            <w:r w:rsidRPr="00404DA5">
              <w:rPr>
                <w:rFonts w:cs="Calibri"/>
                <w:sz w:val="18"/>
                <w:szCs w:val="18"/>
              </w:rPr>
              <w:t>6 769 269</w:t>
            </w:r>
          </w:p>
        </w:tc>
        <w:tc>
          <w:tcPr>
            <w:tcW w:w="0" w:type="auto"/>
            <w:shd w:val="clear" w:color="auto" w:fill="auto"/>
            <w:vAlign w:val="center"/>
          </w:tcPr>
          <w:p w14:paraId="1E145C63" w14:textId="77777777" w:rsidR="006E0098" w:rsidRPr="00404DA5" w:rsidRDefault="006E0098" w:rsidP="00217CFE">
            <w:pPr>
              <w:jc w:val="center"/>
              <w:rPr>
                <w:rFonts w:cs="Calibri"/>
                <w:sz w:val="18"/>
                <w:szCs w:val="18"/>
              </w:rPr>
            </w:pPr>
            <w:r w:rsidRPr="00404DA5">
              <w:rPr>
                <w:rFonts w:cs="Calibri"/>
                <w:sz w:val="18"/>
                <w:szCs w:val="18"/>
              </w:rPr>
              <w:t>7 200 000</w:t>
            </w:r>
          </w:p>
        </w:tc>
      </w:tr>
    </w:tbl>
    <w:p w14:paraId="58B80F8B" w14:textId="77777777" w:rsidR="006E0098" w:rsidRPr="002A5FDF" w:rsidRDefault="006E0098"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analizy własne.</w:t>
      </w:r>
    </w:p>
    <w:p w14:paraId="28392D2D" w14:textId="77777777" w:rsidR="006E0098" w:rsidRPr="007B190B" w:rsidRDefault="006E0098" w:rsidP="006E0098">
      <w:pPr>
        <w:rPr>
          <w:szCs w:val="20"/>
        </w:rPr>
      </w:pPr>
      <w:r w:rsidRPr="007B190B">
        <w:rPr>
          <w:b/>
          <w:szCs w:val="20"/>
        </w:rPr>
        <w:t>REKOMENDACJA:</w:t>
      </w:r>
      <w:r w:rsidRPr="007B190B">
        <w:rPr>
          <w:szCs w:val="20"/>
        </w:rPr>
        <w:t xml:space="preserve"> Zmiany wartości docelowych wskaźników PI 5b zawarte</w:t>
      </w:r>
      <w:r w:rsidR="00E66B89">
        <w:rPr>
          <w:szCs w:val="20"/>
        </w:rPr>
        <w:t xml:space="preserve"> w </w:t>
      </w:r>
      <w:r w:rsidRPr="007B190B">
        <w:rPr>
          <w:szCs w:val="20"/>
        </w:rPr>
        <w:t>powyższej tabeli uwzględniają proponowaną realokację środków rezerwy wykonania oraz niewykorzystanych środków</w:t>
      </w:r>
      <w:r w:rsidR="00E66B89">
        <w:rPr>
          <w:szCs w:val="20"/>
        </w:rPr>
        <w:t xml:space="preserve"> w </w:t>
      </w:r>
      <w:r w:rsidRPr="007B190B">
        <w:rPr>
          <w:szCs w:val="20"/>
        </w:rPr>
        <w:t>Działaniu 3.2. Polega ona na:</w:t>
      </w:r>
    </w:p>
    <w:p w14:paraId="3486DD7B" w14:textId="77777777" w:rsidR="006E0098" w:rsidRPr="000B22EE" w:rsidRDefault="006E0098" w:rsidP="00093E14">
      <w:pPr>
        <w:pStyle w:val="Akapitzlist"/>
        <w:keepLines/>
        <w:numPr>
          <w:ilvl w:val="0"/>
          <w:numId w:val="40"/>
        </w:numPr>
        <w:suppressAutoHyphens/>
        <w:spacing w:after="120" w:line="288" w:lineRule="auto"/>
        <w:contextualSpacing w:val="0"/>
        <w:rPr>
          <w:rFonts w:ascii="Lato" w:hAnsi="Lato"/>
          <w:sz w:val="20"/>
          <w:szCs w:val="20"/>
        </w:rPr>
      </w:pPr>
      <w:r w:rsidRPr="003850AB">
        <w:rPr>
          <w:rFonts w:ascii="Lato" w:hAnsi="Lato"/>
          <w:sz w:val="20"/>
          <w:szCs w:val="20"/>
        </w:rPr>
        <w:t>Przesunięciu całości rezerwy wykonania</w:t>
      </w:r>
      <w:r w:rsidR="00E66B89">
        <w:rPr>
          <w:rFonts w:ascii="Lato" w:hAnsi="Lato"/>
          <w:sz w:val="20"/>
          <w:szCs w:val="20"/>
        </w:rPr>
        <w:t xml:space="preserve"> w </w:t>
      </w:r>
      <w:r w:rsidRPr="003850AB">
        <w:rPr>
          <w:rFonts w:ascii="Lato" w:hAnsi="Lato"/>
          <w:sz w:val="20"/>
          <w:szCs w:val="20"/>
        </w:rPr>
        <w:t>wysokości 1 155 822 euro</w:t>
      </w:r>
      <w:r w:rsidR="00E66B89">
        <w:rPr>
          <w:rFonts w:ascii="Lato" w:hAnsi="Lato"/>
          <w:sz w:val="20"/>
          <w:szCs w:val="20"/>
        </w:rPr>
        <w:t xml:space="preserve"> z </w:t>
      </w:r>
      <w:r w:rsidRPr="003850AB">
        <w:rPr>
          <w:rFonts w:ascii="Lato" w:hAnsi="Lato"/>
          <w:sz w:val="20"/>
          <w:szCs w:val="20"/>
        </w:rPr>
        <w:t>Działania 3.2 do Działania 3.4.</w:t>
      </w:r>
    </w:p>
    <w:p w14:paraId="34EB921F" w14:textId="77777777" w:rsidR="006E0098" w:rsidRPr="000B22EE" w:rsidRDefault="006E0098" w:rsidP="00093E14">
      <w:pPr>
        <w:pStyle w:val="Akapitzlist"/>
        <w:keepLines/>
        <w:numPr>
          <w:ilvl w:val="0"/>
          <w:numId w:val="40"/>
        </w:numPr>
        <w:suppressAutoHyphens/>
        <w:spacing w:after="120" w:line="288" w:lineRule="auto"/>
        <w:contextualSpacing w:val="0"/>
        <w:rPr>
          <w:rFonts w:ascii="Lato" w:hAnsi="Lato"/>
          <w:sz w:val="20"/>
          <w:szCs w:val="20"/>
        </w:rPr>
      </w:pPr>
      <w:r w:rsidRPr="000B22EE">
        <w:rPr>
          <w:rFonts w:ascii="Lato" w:hAnsi="Lato"/>
          <w:sz w:val="20"/>
          <w:szCs w:val="20"/>
        </w:rPr>
        <w:t>Przesunięciu niewykorzystanej alokacji</w:t>
      </w:r>
      <w:r w:rsidR="00E66B89">
        <w:rPr>
          <w:rFonts w:ascii="Lato" w:hAnsi="Lato"/>
          <w:sz w:val="20"/>
          <w:szCs w:val="20"/>
        </w:rPr>
        <w:t xml:space="preserve"> w </w:t>
      </w:r>
      <w:r w:rsidRPr="000B22EE">
        <w:rPr>
          <w:rFonts w:ascii="Lato" w:hAnsi="Lato"/>
          <w:sz w:val="20"/>
          <w:szCs w:val="20"/>
        </w:rPr>
        <w:t>Działaniu 3.2 (19,8 mln zł) na:</w:t>
      </w:r>
    </w:p>
    <w:p w14:paraId="4C519251" w14:textId="77777777" w:rsidR="006E0098" w:rsidRPr="00C22C26" w:rsidRDefault="006E0098" w:rsidP="00093E14">
      <w:pPr>
        <w:pStyle w:val="Akapitzlist"/>
        <w:numPr>
          <w:ilvl w:val="0"/>
          <w:numId w:val="46"/>
        </w:numPr>
        <w:rPr>
          <w:szCs w:val="20"/>
        </w:rPr>
      </w:pPr>
      <w:r w:rsidRPr="00C22C26">
        <w:rPr>
          <w:rFonts w:ascii="Lato" w:hAnsi="Lato"/>
          <w:sz w:val="20"/>
          <w:szCs w:val="20"/>
        </w:rPr>
        <w:t xml:space="preserve">Działanie 3.1 kwoty 81 780 zł na, co pozwoli na pokrycie dotychczasowej nadkontraktacji, </w:t>
      </w:r>
    </w:p>
    <w:p w14:paraId="70670C35" w14:textId="77777777" w:rsidR="006E0098" w:rsidRPr="00C22C26" w:rsidRDefault="006E0098" w:rsidP="00093E14">
      <w:pPr>
        <w:pStyle w:val="Akapitzlist"/>
        <w:numPr>
          <w:ilvl w:val="0"/>
          <w:numId w:val="46"/>
        </w:numPr>
        <w:rPr>
          <w:szCs w:val="20"/>
        </w:rPr>
      </w:pPr>
      <w:r w:rsidRPr="00C22C26">
        <w:rPr>
          <w:rFonts w:ascii="Lato" w:hAnsi="Lato"/>
          <w:sz w:val="20"/>
          <w:szCs w:val="20"/>
        </w:rPr>
        <w:t xml:space="preserve">Działanie 3.4 kwoty 19,7 mln zł. </w:t>
      </w:r>
    </w:p>
    <w:p w14:paraId="3C4C44D7" w14:textId="77777777" w:rsidR="006E0098" w:rsidRPr="00404DA5" w:rsidRDefault="006E0098" w:rsidP="006E0098">
      <w:pPr>
        <w:rPr>
          <w:rFonts w:cs="Calibri"/>
          <w:szCs w:val="20"/>
        </w:rPr>
      </w:pPr>
      <w:r w:rsidRPr="007B190B">
        <w:rPr>
          <w:szCs w:val="20"/>
        </w:rPr>
        <w:t>Ocenia się, że Działaniu 3.4 środki te mogą zostać wykorzystane</w:t>
      </w:r>
      <w:r w:rsidR="00E66B89">
        <w:rPr>
          <w:szCs w:val="20"/>
        </w:rPr>
        <w:t xml:space="preserve"> w </w:t>
      </w:r>
      <w:r w:rsidRPr="007B190B">
        <w:rPr>
          <w:szCs w:val="20"/>
        </w:rPr>
        <w:t>ramach ostatniego naboru. Łączna wartość dofinansowania UE</w:t>
      </w:r>
      <w:r w:rsidR="00E66B89">
        <w:rPr>
          <w:szCs w:val="20"/>
        </w:rPr>
        <w:t xml:space="preserve"> w </w:t>
      </w:r>
      <w:r w:rsidRPr="007B190B">
        <w:rPr>
          <w:szCs w:val="20"/>
        </w:rPr>
        <w:t>złożonych WoD wynosi 36,5 mln zł, zaś łączna kwota pozostałej dotychczas alokacji</w:t>
      </w:r>
      <w:r w:rsidR="00E66B89">
        <w:rPr>
          <w:szCs w:val="20"/>
        </w:rPr>
        <w:t xml:space="preserve"> w </w:t>
      </w:r>
      <w:r w:rsidRPr="007B190B">
        <w:rPr>
          <w:szCs w:val="20"/>
        </w:rPr>
        <w:t>Działaniu 3.4 powiększona</w:t>
      </w:r>
      <w:r w:rsidR="00E66B89">
        <w:rPr>
          <w:szCs w:val="20"/>
        </w:rPr>
        <w:t xml:space="preserve"> o </w:t>
      </w:r>
      <w:r w:rsidRPr="007B190B">
        <w:rPr>
          <w:szCs w:val="20"/>
        </w:rPr>
        <w:t>rezerwę wykonania oraz środki przesunięte</w:t>
      </w:r>
      <w:r w:rsidR="00E66B89">
        <w:rPr>
          <w:szCs w:val="20"/>
        </w:rPr>
        <w:t xml:space="preserve"> z </w:t>
      </w:r>
      <w:r w:rsidRPr="007B190B">
        <w:rPr>
          <w:szCs w:val="20"/>
        </w:rPr>
        <w:t>Działania 3.2 wynosi 37,2</w:t>
      </w:r>
      <w:r>
        <w:rPr>
          <w:szCs w:val="20"/>
        </w:rPr>
        <w:t xml:space="preserve"> mln zł</w:t>
      </w:r>
      <w:r w:rsidRPr="007B190B">
        <w:rPr>
          <w:szCs w:val="20"/>
        </w:rPr>
        <w:t>. Realne jest więc dofinansowanie niemal wszystkich złożonych WoD</w:t>
      </w:r>
      <w:r w:rsidR="00E66B89">
        <w:rPr>
          <w:szCs w:val="20"/>
        </w:rPr>
        <w:t xml:space="preserve"> i </w:t>
      </w:r>
      <w:r w:rsidRPr="007B190B">
        <w:rPr>
          <w:szCs w:val="20"/>
        </w:rPr>
        <w:t>tym samym sprawne</w:t>
      </w:r>
      <w:r w:rsidR="00E66B89">
        <w:rPr>
          <w:szCs w:val="20"/>
        </w:rPr>
        <w:t xml:space="preserve"> i </w:t>
      </w:r>
      <w:r w:rsidRPr="007B190B">
        <w:rPr>
          <w:szCs w:val="20"/>
        </w:rPr>
        <w:t>efektywne wykorzystanie całej alokacji na PI 5b.</w:t>
      </w:r>
    </w:p>
    <w:p w14:paraId="54F9C20C" w14:textId="77777777" w:rsidR="000A20D0" w:rsidRPr="00436D27" w:rsidRDefault="000A20D0" w:rsidP="00410B29">
      <w:pPr>
        <w:pStyle w:val="Nagwek3"/>
      </w:pPr>
      <w:r w:rsidRPr="00436D27">
        <w:lastRenderedPageBreak/>
        <w:t>Priorytet inwestycyjny nr 6b (Działanie 3.5</w:t>
      </w:r>
      <w:r w:rsidR="00E66B89">
        <w:t xml:space="preserve"> i </w:t>
      </w:r>
      <w:r w:rsidRPr="00436D27">
        <w:t>Działanie 3.6)</w:t>
      </w:r>
    </w:p>
    <w:p w14:paraId="0C962D50"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Ocena postępów</w:t>
      </w:r>
      <w:r w:rsidR="00E66B89">
        <w:rPr>
          <w:rFonts w:ascii="Lato" w:eastAsia="Calibri" w:hAnsi="Lato"/>
        </w:rPr>
        <w:t xml:space="preserve"> w </w:t>
      </w:r>
      <w:r w:rsidRPr="00436D27">
        <w:rPr>
          <w:rFonts w:ascii="Lato" w:eastAsia="Calibri" w:hAnsi="Lato"/>
        </w:rPr>
        <w:t xml:space="preserve">realizacji PI </w:t>
      </w:r>
    </w:p>
    <w:p w14:paraId="78551F90" w14:textId="77777777" w:rsidR="009D215A" w:rsidRPr="00436D27" w:rsidRDefault="009D215A" w:rsidP="006E34DC">
      <w:pPr>
        <w:pStyle w:val="Legenda"/>
        <w:spacing w:after="0"/>
      </w:pPr>
      <w:bookmarkStart w:id="109" w:name="_Toc8824156"/>
      <w:r w:rsidRPr="00436D27">
        <w:t xml:space="preserve">Tabela </w:t>
      </w:r>
      <w:r>
        <w:fldChar w:fldCharType="begin"/>
      </w:r>
      <w:r>
        <w:instrText xml:space="preserve"> SEQ Tabela \* ARABIC </w:instrText>
      </w:r>
      <w:r>
        <w:fldChar w:fldCharType="separate"/>
      </w:r>
      <w:r w:rsidR="00763345">
        <w:rPr>
          <w:noProof/>
        </w:rPr>
        <w:t>45</w:t>
      </w:r>
      <w:r>
        <w:fldChar w:fldCharType="end"/>
      </w:r>
      <w:r w:rsidRPr="00436D27">
        <w:t xml:space="preserve"> Wskaźniki produktu (PI 6b) – postęp rzeczowy</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23"/>
        <w:gridCol w:w="1344"/>
        <w:gridCol w:w="846"/>
        <w:gridCol w:w="953"/>
        <w:gridCol w:w="999"/>
        <w:gridCol w:w="1000"/>
        <w:gridCol w:w="999"/>
        <w:gridCol w:w="1000"/>
      </w:tblGrid>
      <w:tr w:rsidR="009D215A" w:rsidRPr="00436D27" w14:paraId="0F8A172C" w14:textId="77777777" w:rsidTr="00EE58A9">
        <w:trPr>
          <w:tblHeader/>
        </w:trPr>
        <w:tc>
          <w:tcPr>
            <w:tcW w:w="0" w:type="auto"/>
            <w:shd w:val="clear" w:color="auto" w:fill="DBE5F1"/>
            <w:vAlign w:val="center"/>
          </w:tcPr>
          <w:p w14:paraId="74A8DEC8" w14:textId="77777777" w:rsidR="009D215A" w:rsidRPr="00404DA5" w:rsidRDefault="009D215A" w:rsidP="00EE58A9">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0D778815" w14:textId="77777777" w:rsidR="009D215A" w:rsidRPr="00404DA5" w:rsidRDefault="009D215A" w:rsidP="00EE58A9">
            <w:pPr>
              <w:jc w:val="center"/>
              <w:rPr>
                <w:rFonts w:cs="Calibri"/>
                <w:sz w:val="18"/>
                <w:szCs w:val="18"/>
              </w:rPr>
            </w:pPr>
            <w:r w:rsidRPr="00404DA5">
              <w:rPr>
                <w:rFonts w:cs="Calibri"/>
                <w:sz w:val="18"/>
                <w:szCs w:val="18"/>
              </w:rPr>
              <w:t>Działania</w:t>
            </w:r>
          </w:p>
        </w:tc>
        <w:tc>
          <w:tcPr>
            <w:tcW w:w="0" w:type="auto"/>
            <w:shd w:val="clear" w:color="auto" w:fill="DBE5F1"/>
            <w:vAlign w:val="center"/>
          </w:tcPr>
          <w:p w14:paraId="3DAC56FC" w14:textId="77777777" w:rsidR="009D215A" w:rsidRPr="00404DA5" w:rsidRDefault="009D215A" w:rsidP="00EE58A9">
            <w:pPr>
              <w:jc w:val="center"/>
              <w:rPr>
                <w:rFonts w:cs="Calibri"/>
                <w:sz w:val="18"/>
                <w:szCs w:val="18"/>
              </w:rPr>
            </w:pPr>
            <w:r w:rsidRPr="00404DA5">
              <w:rPr>
                <w:rFonts w:cs="Calibri"/>
                <w:sz w:val="18"/>
                <w:szCs w:val="18"/>
              </w:rPr>
              <w:t>Wskaźnik</w:t>
            </w:r>
          </w:p>
        </w:tc>
        <w:tc>
          <w:tcPr>
            <w:tcW w:w="0" w:type="auto"/>
            <w:shd w:val="clear" w:color="auto" w:fill="DBE5F1"/>
            <w:vAlign w:val="center"/>
          </w:tcPr>
          <w:p w14:paraId="1791D4B8" w14:textId="77777777" w:rsidR="009D215A" w:rsidRPr="00404DA5" w:rsidRDefault="009D215A" w:rsidP="00EE58A9">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509A6225" w14:textId="77777777" w:rsidR="009D215A" w:rsidRPr="00404DA5" w:rsidRDefault="009D215A" w:rsidP="00EE58A9">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4DB41456" w14:textId="77777777" w:rsidR="009D215A" w:rsidRPr="00404DA5" w:rsidRDefault="009D215A" w:rsidP="00EE58A9">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107CFA7E" w14:textId="77777777" w:rsidR="009D215A" w:rsidRPr="00404DA5" w:rsidRDefault="009D215A" w:rsidP="00EE58A9">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25A25FAF" w14:textId="77777777" w:rsidR="009D215A" w:rsidRPr="00404DA5" w:rsidRDefault="009D215A" w:rsidP="00EE58A9">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613D80FB" w14:textId="77777777" w:rsidR="009D215A" w:rsidRPr="00404DA5" w:rsidRDefault="009D215A" w:rsidP="00EE58A9">
            <w:pPr>
              <w:jc w:val="center"/>
              <w:rPr>
                <w:rFonts w:cs="Calibri"/>
                <w:sz w:val="18"/>
                <w:szCs w:val="18"/>
              </w:rPr>
            </w:pPr>
            <w:r w:rsidRPr="00404DA5">
              <w:rPr>
                <w:rFonts w:cs="Calibri"/>
                <w:sz w:val="18"/>
                <w:szCs w:val="18"/>
              </w:rPr>
              <w:t>% realizacji wartości docelowej (wg WoP)</w:t>
            </w:r>
          </w:p>
        </w:tc>
      </w:tr>
      <w:tr w:rsidR="009D215A" w:rsidRPr="00436D27" w14:paraId="585075EE" w14:textId="77777777" w:rsidTr="00EE58A9">
        <w:tc>
          <w:tcPr>
            <w:tcW w:w="0" w:type="auto"/>
            <w:shd w:val="clear" w:color="auto" w:fill="auto"/>
            <w:vAlign w:val="center"/>
          </w:tcPr>
          <w:p w14:paraId="3FA79B5F"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1C0061AF" w14:textId="77777777" w:rsidR="009D215A" w:rsidRPr="00404DA5" w:rsidRDefault="009D215A" w:rsidP="00EE58A9">
            <w:pPr>
              <w:jc w:val="center"/>
              <w:rPr>
                <w:rFonts w:cs="Calibri"/>
                <w:sz w:val="18"/>
                <w:szCs w:val="18"/>
              </w:rPr>
            </w:pPr>
            <w:r w:rsidRPr="00404DA5">
              <w:rPr>
                <w:rFonts w:cs="Calibri"/>
                <w:sz w:val="18"/>
                <w:szCs w:val="18"/>
              </w:rPr>
              <w:t>3.5</w:t>
            </w:r>
          </w:p>
        </w:tc>
        <w:tc>
          <w:tcPr>
            <w:tcW w:w="0" w:type="auto"/>
            <w:shd w:val="clear" w:color="auto" w:fill="auto"/>
            <w:vAlign w:val="center"/>
          </w:tcPr>
          <w:p w14:paraId="55B025B4" w14:textId="77777777" w:rsidR="009D215A" w:rsidRPr="00404DA5" w:rsidRDefault="009D215A" w:rsidP="00EE58A9">
            <w:pPr>
              <w:jc w:val="center"/>
              <w:rPr>
                <w:rFonts w:cs="Calibri"/>
                <w:sz w:val="18"/>
                <w:szCs w:val="18"/>
              </w:rPr>
            </w:pPr>
            <w:r w:rsidRPr="00404DA5">
              <w:rPr>
                <w:rFonts w:cs="Calibri"/>
                <w:sz w:val="18"/>
                <w:szCs w:val="18"/>
              </w:rPr>
              <w:t>Długość sieci wodociągowej</w:t>
            </w:r>
          </w:p>
        </w:tc>
        <w:tc>
          <w:tcPr>
            <w:tcW w:w="0" w:type="auto"/>
            <w:shd w:val="clear" w:color="auto" w:fill="auto"/>
            <w:vAlign w:val="center"/>
          </w:tcPr>
          <w:p w14:paraId="61A34DE5" w14:textId="77777777" w:rsidR="009D215A" w:rsidRPr="00404DA5" w:rsidRDefault="009D215A" w:rsidP="00EE58A9">
            <w:pPr>
              <w:jc w:val="center"/>
              <w:rPr>
                <w:rFonts w:cs="Calibri"/>
                <w:sz w:val="18"/>
                <w:szCs w:val="18"/>
              </w:rPr>
            </w:pPr>
            <w:r w:rsidRPr="00404DA5">
              <w:rPr>
                <w:rFonts w:cs="Calibri"/>
                <w:sz w:val="18"/>
                <w:szCs w:val="18"/>
              </w:rPr>
              <w:t>km</w:t>
            </w:r>
          </w:p>
        </w:tc>
        <w:tc>
          <w:tcPr>
            <w:tcW w:w="0" w:type="auto"/>
            <w:shd w:val="clear" w:color="auto" w:fill="auto"/>
            <w:vAlign w:val="center"/>
          </w:tcPr>
          <w:p w14:paraId="50F02C6C" w14:textId="77777777" w:rsidR="009D215A" w:rsidRPr="00404DA5" w:rsidRDefault="009D215A" w:rsidP="00EE58A9">
            <w:pPr>
              <w:jc w:val="center"/>
              <w:rPr>
                <w:rFonts w:cs="Calibri"/>
                <w:sz w:val="18"/>
                <w:szCs w:val="18"/>
              </w:rPr>
            </w:pPr>
            <w:r w:rsidRPr="00404DA5">
              <w:rPr>
                <w:rFonts w:cs="Calibri"/>
                <w:sz w:val="18"/>
                <w:szCs w:val="18"/>
              </w:rPr>
              <w:t>30</w:t>
            </w:r>
          </w:p>
        </w:tc>
        <w:tc>
          <w:tcPr>
            <w:tcW w:w="0" w:type="auto"/>
            <w:shd w:val="clear" w:color="auto" w:fill="auto"/>
            <w:vAlign w:val="center"/>
          </w:tcPr>
          <w:p w14:paraId="28E50A18" w14:textId="77777777" w:rsidR="009D215A" w:rsidRPr="00404DA5" w:rsidRDefault="009D215A" w:rsidP="00EE58A9">
            <w:pPr>
              <w:jc w:val="center"/>
              <w:rPr>
                <w:rFonts w:cs="Calibri"/>
                <w:sz w:val="18"/>
                <w:szCs w:val="18"/>
              </w:rPr>
            </w:pPr>
            <w:r w:rsidRPr="00404DA5">
              <w:rPr>
                <w:rFonts w:cs="Calibri"/>
                <w:sz w:val="18"/>
                <w:szCs w:val="18"/>
              </w:rPr>
              <w:t>32,77</w:t>
            </w:r>
          </w:p>
        </w:tc>
        <w:tc>
          <w:tcPr>
            <w:tcW w:w="0" w:type="auto"/>
            <w:shd w:val="clear" w:color="auto" w:fill="auto"/>
            <w:vAlign w:val="center"/>
          </w:tcPr>
          <w:p w14:paraId="75C112E8" w14:textId="77777777" w:rsidR="009D215A" w:rsidRPr="00404DA5" w:rsidRDefault="009D215A" w:rsidP="00EE58A9">
            <w:pPr>
              <w:jc w:val="center"/>
              <w:rPr>
                <w:rFonts w:cs="Calibri"/>
                <w:sz w:val="18"/>
                <w:szCs w:val="18"/>
              </w:rPr>
            </w:pPr>
            <w:r w:rsidRPr="00404DA5">
              <w:rPr>
                <w:rFonts w:cs="Calibri"/>
                <w:sz w:val="18"/>
                <w:szCs w:val="18"/>
              </w:rPr>
              <w:t>109,2%</w:t>
            </w:r>
          </w:p>
        </w:tc>
        <w:tc>
          <w:tcPr>
            <w:tcW w:w="0" w:type="auto"/>
            <w:shd w:val="clear" w:color="auto" w:fill="auto"/>
            <w:vAlign w:val="center"/>
          </w:tcPr>
          <w:p w14:paraId="0AFF4678"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7E3F2A8E" w14:textId="77777777" w:rsidR="009D215A" w:rsidRPr="00404DA5" w:rsidRDefault="009D215A" w:rsidP="00EE58A9">
            <w:pPr>
              <w:jc w:val="center"/>
              <w:rPr>
                <w:rFonts w:cs="Calibri"/>
                <w:sz w:val="18"/>
                <w:szCs w:val="18"/>
              </w:rPr>
            </w:pPr>
            <w:r w:rsidRPr="00404DA5">
              <w:rPr>
                <w:rFonts w:cs="Calibri"/>
                <w:sz w:val="18"/>
                <w:szCs w:val="18"/>
              </w:rPr>
              <w:t>0,0%</w:t>
            </w:r>
          </w:p>
        </w:tc>
      </w:tr>
      <w:tr w:rsidR="009D215A" w:rsidRPr="00436D27" w14:paraId="60404CC5" w14:textId="77777777" w:rsidTr="00EE58A9">
        <w:tc>
          <w:tcPr>
            <w:tcW w:w="0" w:type="auto"/>
            <w:shd w:val="clear" w:color="auto" w:fill="auto"/>
            <w:vAlign w:val="center"/>
          </w:tcPr>
          <w:p w14:paraId="21C91E7A"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3BA30131" w14:textId="77777777" w:rsidR="009D215A" w:rsidRPr="00404DA5" w:rsidRDefault="009D215A" w:rsidP="00EE58A9">
            <w:pPr>
              <w:jc w:val="center"/>
              <w:rPr>
                <w:rFonts w:cs="Calibri"/>
                <w:sz w:val="18"/>
                <w:szCs w:val="18"/>
              </w:rPr>
            </w:pPr>
            <w:r w:rsidRPr="00404DA5">
              <w:rPr>
                <w:rFonts w:cs="Calibri"/>
                <w:sz w:val="18"/>
                <w:szCs w:val="18"/>
              </w:rPr>
              <w:t>3.5</w:t>
            </w:r>
          </w:p>
        </w:tc>
        <w:tc>
          <w:tcPr>
            <w:tcW w:w="0" w:type="auto"/>
            <w:shd w:val="clear" w:color="auto" w:fill="auto"/>
            <w:vAlign w:val="center"/>
          </w:tcPr>
          <w:p w14:paraId="77718A97" w14:textId="77777777" w:rsidR="009D215A" w:rsidRPr="00404DA5" w:rsidRDefault="009D215A" w:rsidP="00EE58A9">
            <w:pPr>
              <w:jc w:val="center"/>
              <w:rPr>
                <w:rFonts w:cs="Calibri"/>
                <w:sz w:val="18"/>
                <w:szCs w:val="18"/>
              </w:rPr>
            </w:pPr>
            <w:r w:rsidRPr="00404DA5">
              <w:rPr>
                <w:rFonts w:cs="Calibri"/>
                <w:sz w:val="18"/>
                <w:szCs w:val="18"/>
              </w:rPr>
              <w:t>Liczba dodatkowych osób korzystających</w:t>
            </w:r>
            <w:r w:rsidR="00E66B89">
              <w:rPr>
                <w:rFonts w:cs="Calibri"/>
                <w:sz w:val="18"/>
                <w:szCs w:val="18"/>
              </w:rPr>
              <w:t xml:space="preserve"> z </w:t>
            </w:r>
            <w:r w:rsidRPr="00404DA5">
              <w:rPr>
                <w:rFonts w:cs="Calibri"/>
                <w:sz w:val="18"/>
                <w:szCs w:val="18"/>
              </w:rPr>
              <w:t>ulepszonego zaopatrzenia</w:t>
            </w:r>
            <w:r w:rsidR="00E66B89">
              <w:rPr>
                <w:rFonts w:cs="Calibri"/>
                <w:sz w:val="18"/>
                <w:szCs w:val="18"/>
              </w:rPr>
              <w:t xml:space="preserve"> w </w:t>
            </w:r>
            <w:r w:rsidRPr="00404DA5">
              <w:rPr>
                <w:rFonts w:cs="Calibri"/>
                <w:sz w:val="18"/>
                <w:szCs w:val="18"/>
              </w:rPr>
              <w:t>wodę</w:t>
            </w:r>
          </w:p>
        </w:tc>
        <w:tc>
          <w:tcPr>
            <w:tcW w:w="0" w:type="auto"/>
            <w:shd w:val="clear" w:color="auto" w:fill="auto"/>
            <w:vAlign w:val="center"/>
          </w:tcPr>
          <w:p w14:paraId="59DEC23B" w14:textId="77777777" w:rsidR="009D215A" w:rsidRPr="00404DA5" w:rsidRDefault="009D215A" w:rsidP="00EE58A9">
            <w:pPr>
              <w:jc w:val="center"/>
              <w:rPr>
                <w:rFonts w:cs="Calibri"/>
                <w:sz w:val="18"/>
                <w:szCs w:val="18"/>
              </w:rPr>
            </w:pPr>
            <w:r w:rsidRPr="00404DA5">
              <w:rPr>
                <w:rFonts w:cs="Calibri"/>
                <w:sz w:val="18"/>
                <w:szCs w:val="18"/>
              </w:rPr>
              <w:t>osoby</w:t>
            </w:r>
          </w:p>
        </w:tc>
        <w:tc>
          <w:tcPr>
            <w:tcW w:w="0" w:type="auto"/>
            <w:shd w:val="clear" w:color="auto" w:fill="auto"/>
            <w:vAlign w:val="center"/>
          </w:tcPr>
          <w:p w14:paraId="51CE498B" w14:textId="77777777" w:rsidR="009D215A" w:rsidRPr="00404DA5" w:rsidRDefault="009D215A" w:rsidP="00EE58A9">
            <w:pPr>
              <w:jc w:val="center"/>
              <w:rPr>
                <w:rFonts w:cs="Calibri"/>
                <w:sz w:val="18"/>
                <w:szCs w:val="18"/>
              </w:rPr>
            </w:pPr>
            <w:r w:rsidRPr="00404DA5">
              <w:rPr>
                <w:rFonts w:cs="Calibri"/>
                <w:sz w:val="18"/>
                <w:szCs w:val="18"/>
              </w:rPr>
              <w:t>755</w:t>
            </w:r>
          </w:p>
        </w:tc>
        <w:tc>
          <w:tcPr>
            <w:tcW w:w="0" w:type="auto"/>
            <w:shd w:val="clear" w:color="auto" w:fill="auto"/>
            <w:vAlign w:val="center"/>
          </w:tcPr>
          <w:p w14:paraId="71E839DA" w14:textId="77777777" w:rsidR="009D215A" w:rsidRPr="00404DA5" w:rsidRDefault="009D215A" w:rsidP="00EE58A9">
            <w:pPr>
              <w:jc w:val="center"/>
              <w:rPr>
                <w:rFonts w:cs="Calibri"/>
                <w:sz w:val="18"/>
                <w:szCs w:val="18"/>
              </w:rPr>
            </w:pPr>
            <w:r w:rsidRPr="00404DA5">
              <w:rPr>
                <w:rFonts w:cs="Calibri"/>
                <w:sz w:val="18"/>
                <w:szCs w:val="18"/>
              </w:rPr>
              <w:t>22 246</w:t>
            </w:r>
          </w:p>
        </w:tc>
        <w:tc>
          <w:tcPr>
            <w:tcW w:w="0" w:type="auto"/>
            <w:shd w:val="clear" w:color="auto" w:fill="auto"/>
            <w:vAlign w:val="center"/>
          </w:tcPr>
          <w:p w14:paraId="750050A9" w14:textId="77777777" w:rsidR="009D215A" w:rsidRPr="00404DA5" w:rsidRDefault="009D215A" w:rsidP="00EE58A9">
            <w:pPr>
              <w:jc w:val="center"/>
              <w:rPr>
                <w:rFonts w:cs="Calibri"/>
                <w:sz w:val="18"/>
                <w:szCs w:val="18"/>
              </w:rPr>
            </w:pPr>
            <w:r w:rsidRPr="00404DA5">
              <w:rPr>
                <w:rFonts w:cs="Calibri"/>
                <w:sz w:val="18"/>
                <w:szCs w:val="18"/>
              </w:rPr>
              <w:t>2946,5%</w:t>
            </w:r>
          </w:p>
        </w:tc>
        <w:tc>
          <w:tcPr>
            <w:tcW w:w="0" w:type="auto"/>
            <w:shd w:val="clear" w:color="auto" w:fill="auto"/>
            <w:vAlign w:val="center"/>
          </w:tcPr>
          <w:p w14:paraId="282355F6"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6EA58DDD" w14:textId="77777777" w:rsidR="009D215A" w:rsidRPr="00404DA5" w:rsidRDefault="009D215A" w:rsidP="00EE58A9">
            <w:pPr>
              <w:jc w:val="center"/>
              <w:rPr>
                <w:rFonts w:cs="Calibri"/>
                <w:sz w:val="18"/>
                <w:szCs w:val="18"/>
              </w:rPr>
            </w:pPr>
            <w:r w:rsidRPr="00404DA5">
              <w:rPr>
                <w:rFonts w:cs="Calibri"/>
                <w:sz w:val="18"/>
                <w:szCs w:val="18"/>
              </w:rPr>
              <w:t>0,0%</w:t>
            </w:r>
          </w:p>
        </w:tc>
      </w:tr>
      <w:tr w:rsidR="009D215A" w:rsidRPr="00436D27" w14:paraId="583A7C60" w14:textId="77777777" w:rsidTr="00EE58A9">
        <w:tc>
          <w:tcPr>
            <w:tcW w:w="0" w:type="auto"/>
            <w:shd w:val="clear" w:color="auto" w:fill="auto"/>
            <w:vAlign w:val="center"/>
          </w:tcPr>
          <w:p w14:paraId="1DCE1A94"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06DE60A8" w14:textId="77777777" w:rsidR="009D215A" w:rsidRPr="00404DA5" w:rsidRDefault="009D215A" w:rsidP="00EE58A9">
            <w:pPr>
              <w:jc w:val="center"/>
              <w:rPr>
                <w:rFonts w:cs="Calibri"/>
                <w:sz w:val="18"/>
                <w:szCs w:val="18"/>
              </w:rPr>
            </w:pPr>
            <w:r w:rsidRPr="00404DA5">
              <w:rPr>
                <w:rFonts w:cs="Calibri"/>
                <w:sz w:val="18"/>
                <w:szCs w:val="18"/>
              </w:rPr>
              <w:t>3.6</w:t>
            </w:r>
          </w:p>
        </w:tc>
        <w:tc>
          <w:tcPr>
            <w:tcW w:w="0" w:type="auto"/>
            <w:shd w:val="clear" w:color="auto" w:fill="auto"/>
            <w:vAlign w:val="center"/>
          </w:tcPr>
          <w:p w14:paraId="1C2ECC0C" w14:textId="77777777" w:rsidR="009D215A" w:rsidRPr="00404DA5" w:rsidRDefault="009D215A" w:rsidP="00EE58A9">
            <w:pPr>
              <w:jc w:val="center"/>
              <w:rPr>
                <w:rFonts w:cs="Calibri"/>
                <w:sz w:val="18"/>
                <w:szCs w:val="18"/>
              </w:rPr>
            </w:pPr>
            <w:r w:rsidRPr="00404DA5">
              <w:rPr>
                <w:rFonts w:cs="Calibri"/>
                <w:sz w:val="18"/>
                <w:szCs w:val="18"/>
              </w:rPr>
              <w:t>Liczba wspartych oczyszczalni ścieków komunalnych</w:t>
            </w:r>
          </w:p>
        </w:tc>
        <w:tc>
          <w:tcPr>
            <w:tcW w:w="0" w:type="auto"/>
            <w:shd w:val="clear" w:color="auto" w:fill="auto"/>
            <w:vAlign w:val="center"/>
          </w:tcPr>
          <w:p w14:paraId="4A56B8FB" w14:textId="77777777" w:rsidR="009D215A" w:rsidRPr="00404DA5" w:rsidRDefault="009D215A" w:rsidP="00EE58A9">
            <w:pPr>
              <w:jc w:val="center"/>
              <w:rPr>
                <w:rFonts w:cs="Calibri"/>
                <w:sz w:val="18"/>
                <w:szCs w:val="18"/>
              </w:rPr>
            </w:pPr>
            <w:r w:rsidRPr="00404DA5">
              <w:rPr>
                <w:rFonts w:cs="Calibri"/>
                <w:sz w:val="18"/>
                <w:szCs w:val="18"/>
              </w:rPr>
              <w:t>szt.</w:t>
            </w:r>
          </w:p>
        </w:tc>
        <w:tc>
          <w:tcPr>
            <w:tcW w:w="0" w:type="auto"/>
            <w:shd w:val="clear" w:color="auto" w:fill="auto"/>
            <w:vAlign w:val="center"/>
          </w:tcPr>
          <w:p w14:paraId="7C03601A" w14:textId="77777777" w:rsidR="009D215A" w:rsidRPr="00404DA5" w:rsidRDefault="009D215A" w:rsidP="00EE58A9">
            <w:pPr>
              <w:jc w:val="center"/>
              <w:rPr>
                <w:rFonts w:cs="Calibri"/>
                <w:sz w:val="18"/>
                <w:szCs w:val="18"/>
              </w:rPr>
            </w:pPr>
            <w:r w:rsidRPr="00404DA5">
              <w:rPr>
                <w:rFonts w:cs="Calibri"/>
                <w:sz w:val="18"/>
                <w:szCs w:val="18"/>
              </w:rPr>
              <w:t>2</w:t>
            </w:r>
          </w:p>
        </w:tc>
        <w:tc>
          <w:tcPr>
            <w:tcW w:w="0" w:type="auto"/>
            <w:shd w:val="clear" w:color="auto" w:fill="auto"/>
            <w:vAlign w:val="center"/>
          </w:tcPr>
          <w:p w14:paraId="288ACD5E" w14:textId="77777777" w:rsidR="009D215A" w:rsidRPr="00404DA5" w:rsidRDefault="009D215A" w:rsidP="00EE58A9">
            <w:pPr>
              <w:jc w:val="center"/>
              <w:rPr>
                <w:rFonts w:cs="Calibri"/>
                <w:sz w:val="18"/>
                <w:szCs w:val="18"/>
              </w:rPr>
            </w:pPr>
            <w:r w:rsidRPr="00404DA5">
              <w:rPr>
                <w:rFonts w:cs="Calibri"/>
                <w:sz w:val="18"/>
                <w:szCs w:val="18"/>
              </w:rPr>
              <w:t>5</w:t>
            </w:r>
          </w:p>
        </w:tc>
        <w:tc>
          <w:tcPr>
            <w:tcW w:w="0" w:type="auto"/>
            <w:shd w:val="clear" w:color="auto" w:fill="auto"/>
            <w:vAlign w:val="center"/>
          </w:tcPr>
          <w:p w14:paraId="6FF555CE" w14:textId="77777777" w:rsidR="009D215A" w:rsidRPr="00404DA5" w:rsidRDefault="009D215A" w:rsidP="00EE58A9">
            <w:pPr>
              <w:jc w:val="center"/>
              <w:rPr>
                <w:rFonts w:cs="Calibri"/>
                <w:sz w:val="18"/>
                <w:szCs w:val="18"/>
              </w:rPr>
            </w:pPr>
            <w:r w:rsidRPr="00404DA5">
              <w:rPr>
                <w:rFonts w:cs="Calibri"/>
                <w:sz w:val="18"/>
                <w:szCs w:val="18"/>
              </w:rPr>
              <w:t>250,0%</w:t>
            </w:r>
          </w:p>
        </w:tc>
        <w:tc>
          <w:tcPr>
            <w:tcW w:w="0" w:type="auto"/>
            <w:shd w:val="clear" w:color="auto" w:fill="auto"/>
            <w:vAlign w:val="center"/>
          </w:tcPr>
          <w:p w14:paraId="31E9A4B1"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6B5FE0A8" w14:textId="77777777" w:rsidR="009D215A" w:rsidRPr="00404DA5" w:rsidRDefault="009D215A" w:rsidP="00EE58A9">
            <w:pPr>
              <w:jc w:val="center"/>
              <w:rPr>
                <w:rFonts w:cs="Calibri"/>
                <w:sz w:val="18"/>
                <w:szCs w:val="18"/>
              </w:rPr>
            </w:pPr>
            <w:r w:rsidRPr="00404DA5">
              <w:rPr>
                <w:rFonts w:cs="Calibri"/>
                <w:sz w:val="18"/>
                <w:szCs w:val="18"/>
              </w:rPr>
              <w:t>0,0%</w:t>
            </w:r>
          </w:p>
        </w:tc>
      </w:tr>
      <w:tr w:rsidR="009D215A" w:rsidRPr="00436D27" w14:paraId="77688E13" w14:textId="77777777" w:rsidTr="00EE58A9">
        <w:tc>
          <w:tcPr>
            <w:tcW w:w="0" w:type="auto"/>
            <w:shd w:val="clear" w:color="auto" w:fill="auto"/>
            <w:vAlign w:val="center"/>
          </w:tcPr>
          <w:p w14:paraId="56C245B7"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75F96B53" w14:textId="77777777" w:rsidR="009D215A" w:rsidRPr="00404DA5" w:rsidRDefault="009D215A" w:rsidP="00EE58A9">
            <w:pPr>
              <w:jc w:val="center"/>
              <w:rPr>
                <w:rFonts w:cs="Calibri"/>
                <w:sz w:val="18"/>
                <w:szCs w:val="18"/>
              </w:rPr>
            </w:pPr>
            <w:r w:rsidRPr="00404DA5">
              <w:rPr>
                <w:rFonts w:cs="Calibri"/>
                <w:sz w:val="18"/>
                <w:szCs w:val="18"/>
              </w:rPr>
              <w:t>3.6</w:t>
            </w:r>
          </w:p>
        </w:tc>
        <w:tc>
          <w:tcPr>
            <w:tcW w:w="0" w:type="auto"/>
            <w:shd w:val="clear" w:color="auto" w:fill="auto"/>
            <w:vAlign w:val="center"/>
          </w:tcPr>
          <w:p w14:paraId="7C9733ED" w14:textId="77777777" w:rsidR="009D215A" w:rsidRPr="00404DA5" w:rsidRDefault="009D215A" w:rsidP="00EE58A9">
            <w:pPr>
              <w:jc w:val="center"/>
              <w:rPr>
                <w:rFonts w:cs="Calibri"/>
                <w:sz w:val="18"/>
                <w:szCs w:val="18"/>
              </w:rPr>
            </w:pPr>
            <w:r w:rsidRPr="00404DA5">
              <w:rPr>
                <w:rFonts w:cs="Calibri"/>
                <w:sz w:val="18"/>
                <w:szCs w:val="18"/>
              </w:rPr>
              <w:t>Długość sieci kanalizacji sanitarnej</w:t>
            </w:r>
          </w:p>
        </w:tc>
        <w:tc>
          <w:tcPr>
            <w:tcW w:w="0" w:type="auto"/>
            <w:shd w:val="clear" w:color="auto" w:fill="auto"/>
            <w:vAlign w:val="center"/>
          </w:tcPr>
          <w:p w14:paraId="4FB01723" w14:textId="77777777" w:rsidR="009D215A" w:rsidRPr="00404DA5" w:rsidRDefault="009D215A" w:rsidP="00EE58A9">
            <w:pPr>
              <w:jc w:val="center"/>
              <w:rPr>
                <w:rFonts w:cs="Calibri"/>
                <w:sz w:val="18"/>
                <w:szCs w:val="18"/>
              </w:rPr>
            </w:pPr>
            <w:r w:rsidRPr="00404DA5">
              <w:rPr>
                <w:rFonts w:cs="Calibri"/>
                <w:sz w:val="18"/>
                <w:szCs w:val="18"/>
              </w:rPr>
              <w:t>km</w:t>
            </w:r>
          </w:p>
        </w:tc>
        <w:tc>
          <w:tcPr>
            <w:tcW w:w="0" w:type="auto"/>
            <w:shd w:val="clear" w:color="auto" w:fill="auto"/>
            <w:vAlign w:val="center"/>
          </w:tcPr>
          <w:p w14:paraId="3174864A" w14:textId="77777777" w:rsidR="009D215A" w:rsidRPr="00404DA5" w:rsidRDefault="009D215A" w:rsidP="00EE58A9">
            <w:pPr>
              <w:jc w:val="center"/>
              <w:rPr>
                <w:rFonts w:cs="Calibri"/>
                <w:sz w:val="18"/>
                <w:szCs w:val="18"/>
              </w:rPr>
            </w:pPr>
            <w:r w:rsidRPr="00404DA5">
              <w:rPr>
                <w:rFonts w:cs="Calibri"/>
                <w:sz w:val="18"/>
                <w:szCs w:val="18"/>
              </w:rPr>
              <w:t>82,9</w:t>
            </w:r>
          </w:p>
        </w:tc>
        <w:tc>
          <w:tcPr>
            <w:tcW w:w="0" w:type="auto"/>
            <w:shd w:val="clear" w:color="auto" w:fill="auto"/>
            <w:vAlign w:val="center"/>
          </w:tcPr>
          <w:p w14:paraId="5E507FED" w14:textId="77777777" w:rsidR="009D215A" w:rsidRPr="00404DA5" w:rsidRDefault="009D215A" w:rsidP="00EE58A9">
            <w:pPr>
              <w:jc w:val="center"/>
              <w:rPr>
                <w:rFonts w:cs="Calibri"/>
                <w:sz w:val="18"/>
                <w:szCs w:val="18"/>
              </w:rPr>
            </w:pPr>
            <w:r w:rsidRPr="00404DA5">
              <w:rPr>
                <w:rFonts w:cs="Calibri"/>
                <w:sz w:val="18"/>
                <w:szCs w:val="18"/>
              </w:rPr>
              <w:t>45,28</w:t>
            </w:r>
          </w:p>
        </w:tc>
        <w:tc>
          <w:tcPr>
            <w:tcW w:w="0" w:type="auto"/>
            <w:shd w:val="clear" w:color="auto" w:fill="auto"/>
            <w:vAlign w:val="center"/>
          </w:tcPr>
          <w:p w14:paraId="51488608" w14:textId="77777777" w:rsidR="009D215A" w:rsidRPr="00404DA5" w:rsidRDefault="009D215A" w:rsidP="00EE58A9">
            <w:pPr>
              <w:jc w:val="center"/>
              <w:rPr>
                <w:rFonts w:cs="Calibri"/>
                <w:sz w:val="18"/>
                <w:szCs w:val="18"/>
              </w:rPr>
            </w:pPr>
            <w:r w:rsidRPr="00404DA5">
              <w:rPr>
                <w:rFonts w:cs="Calibri"/>
                <w:sz w:val="18"/>
                <w:szCs w:val="18"/>
              </w:rPr>
              <w:t>54,6%</w:t>
            </w:r>
          </w:p>
        </w:tc>
        <w:tc>
          <w:tcPr>
            <w:tcW w:w="0" w:type="auto"/>
            <w:shd w:val="clear" w:color="auto" w:fill="auto"/>
            <w:vAlign w:val="center"/>
          </w:tcPr>
          <w:p w14:paraId="664AC010" w14:textId="77777777" w:rsidR="009D215A" w:rsidRPr="00404DA5" w:rsidRDefault="009D215A" w:rsidP="00EE58A9">
            <w:pPr>
              <w:jc w:val="center"/>
              <w:rPr>
                <w:rFonts w:cs="Calibri"/>
                <w:sz w:val="18"/>
                <w:szCs w:val="18"/>
              </w:rPr>
            </w:pPr>
            <w:r w:rsidRPr="00404DA5">
              <w:rPr>
                <w:rFonts w:cs="Calibri"/>
                <w:sz w:val="18"/>
                <w:szCs w:val="18"/>
              </w:rPr>
              <w:t>2,87</w:t>
            </w:r>
          </w:p>
        </w:tc>
        <w:tc>
          <w:tcPr>
            <w:tcW w:w="0" w:type="auto"/>
            <w:shd w:val="clear" w:color="auto" w:fill="auto"/>
            <w:vAlign w:val="center"/>
          </w:tcPr>
          <w:p w14:paraId="5CB719E0" w14:textId="77777777" w:rsidR="009D215A" w:rsidRPr="00404DA5" w:rsidRDefault="009D215A" w:rsidP="00EE58A9">
            <w:pPr>
              <w:jc w:val="center"/>
              <w:rPr>
                <w:rFonts w:cs="Calibri"/>
                <w:sz w:val="18"/>
                <w:szCs w:val="18"/>
              </w:rPr>
            </w:pPr>
            <w:r w:rsidRPr="00404DA5">
              <w:rPr>
                <w:rFonts w:cs="Calibri"/>
                <w:sz w:val="18"/>
                <w:szCs w:val="18"/>
              </w:rPr>
              <w:t>3,5%</w:t>
            </w:r>
          </w:p>
        </w:tc>
      </w:tr>
      <w:tr w:rsidR="009D215A" w:rsidRPr="00436D27" w14:paraId="1FDEEA66" w14:textId="77777777" w:rsidTr="00EE58A9">
        <w:tc>
          <w:tcPr>
            <w:tcW w:w="0" w:type="auto"/>
            <w:shd w:val="clear" w:color="auto" w:fill="auto"/>
            <w:vAlign w:val="center"/>
          </w:tcPr>
          <w:p w14:paraId="011F57BB"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2A7558E8" w14:textId="77777777" w:rsidR="009D215A" w:rsidRPr="00404DA5" w:rsidRDefault="009D215A" w:rsidP="00EE58A9">
            <w:pPr>
              <w:jc w:val="center"/>
              <w:rPr>
                <w:rFonts w:cs="Calibri"/>
                <w:sz w:val="18"/>
                <w:szCs w:val="18"/>
              </w:rPr>
            </w:pPr>
            <w:r w:rsidRPr="00404DA5">
              <w:rPr>
                <w:rFonts w:cs="Calibri"/>
                <w:sz w:val="18"/>
                <w:szCs w:val="18"/>
              </w:rPr>
              <w:t>3.6</w:t>
            </w:r>
          </w:p>
        </w:tc>
        <w:tc>
          <w:tcPr>
            <w:tcW w:w="0" w:type="auto"/>
            <w:shd w:val="clear" w:color="auto" w:fill="auto"/>
            <w:vAlign w:val="center"/>
          </w:tcPr>
          <w:p w14:paraId="72E08A0E" w14:textId="77777777" w:rsidR="009D215A" w:rsidRPr="00404DA5" w:rsidRDefault="009D215A" w:rsidP="00EE58A9">
            <w:pPr>
              <w:jc w:val="center"/>
              <w:rPr>
                <w:rFonts w:cs="Calibri"/>
                <w:sz w:val="18"/>
                <w:szCs w:val="18"/>
              </w:rPr>
            </w:pPr>
            <w:r w:rsidRPr="00404DA5">
              <w:rPr>
                <w:rFonts w:cs="Calibri"/>
                <w:sz w:val="18"/>
                <w:szCs w:val="18"/>
              </w:rPr>
              <w:t>Liczba dodatkowych osób korzystających</w:t>
            </w:r>
            <w:r w:rsidR="00E66B89">
              <w:rPr>
                <w:rFonts w:cs="Calibri"/>
                <w:sz w:val="18"/>
                <w:szCs w:val="18"/>
              </w:rPr>
              <w:t xml:space="preserve"> z </w:t>
            </w:r>
            <w:r w:rsidRPr="00404DA5">
              <w:rPr>
                <w:rFonts w:cs="Calibri"/>
                <w:sz w:val="18"/>
                <w:szCs w:val="18"/>
              </w:rPr>
              <w:t>ulepszonego oczyszczania ścieków</w:t>
            </w:r>
          </w:p>
        </w:tc>
        <w:tc>
          <w:tcPr>
            <w:tcW w:w="0" w:type="auto"/>
            <w:shd w:val="clear" w:color="auto" w:fill="auto"/>
            <w:vAlign w:val="center"/>
          </w:tcPr>
          <w:p w14:paraId="2B1D3542" w14:textId="77777777" w:rsidR="009D215A" w:rsidRPr="00404DA5" w:rsidRDefault="009D215A" w:rsidP="00EE58A9">
            <w:pPr>
              <w:jc w:val="center"/>
              <w:rPr>
                <w:rFonts w:cs="Calibri"/>
                <w:sz w:val="18"/>
                <w:szCs w:val="18"/>
              </w:rPr>
            </w:pPr>
            <w:r w:rsidRPr="00404DA5">
              <w:rPr>
                <w:rFonts w:cs="Calibri"/>
                <w:sz w:val="18"/>
                <w:szCs w:val="18"/>
              </w:rPr>
              <w:t>RLM</w:t>
            </w:r>
          </w:p>
        </w:tc>
        <w:tc>
          <w:tcPr>
            <w:tcW w:w="0" w:type="auto"/>
            <w:shd w:val="clear" w:color="auto" w:fill="auto"/>
            <w:vAlign w:val="center"/>
          </w:tcPr>
          <w:p w14:paraId="1A90F215" w14:textId="77777777" w:rsidR="009D215A" w:rsidRPr="00404DA5" w:rsidRDefault="009D215A" w:rsidP="00EE58A9">
            <w:pPr>
              <w:jc w:val="center"/>
              <w:rPr>
                <w:rFonts w:cs="Calibri"/>
                <w:sz w:val="18"/>
                <w:szCs w:val="18"/>
              </w:rPr>
            </w:pPr>
            <w:r w:rsidRPr="00404DA5">
              <w:rPr>
                <w:rFonts w:cs="Calibri"/>
                <w:sz w:val="18"/>
                <w:szCs w:val="18"/>
              </w:rPr>
              <w:t>5623</w:t>
            </w:r>
          </w:p>
        </w:tc>
        <w:tc>
          <w:tcPr>
            <w:tcW w:w="0" w:type="auto"/>
            <w:shd w:val="clear" w:color="auto" w:fill="auto"/>
            <w:vAlign w:val="center"/>
          </w:tcPr>
          <w:p w14:paraId="45A3BF95" w14:textId="77777777" w:rsidR="009D215A" w:rsidRPr="00404DA5" w:rsidRDefault="009D215A" w:rsidP="00EE58A9">
            <w:pPr>
              <w:jc w:val="center"/>
              <w:rPr>
                <w:rFonts w:cs="Calibri"/>
                <w:sz w:val="18"/>
                <w:szCs w:val="18"/>
              </w:rPr>
            </w:pPr>
            <w:r w:rsidRPr="00404DA5">
              <w:rPr>
                <w:rFonts w:cs="Calibri"/>
                <w:sz w:val="18"/>
                <w:szCs w:val="18"/>
              </w:rPr>
              <w:t>20 635,00</w:t>
            </w:r>
          </w:p>
        </w:tc>
        <w:tc>
          <w:tcPr>
            <w:tcW w:w="0" w:type="auto"/>
            <w:shd w:val="clear" w:color="auto" w:fill="auto"/>
            <w:vAlign w:val="center"/>
          </w:tcPr>
          <w:p w14:paraId="35F99A8F" w14:textId="77777777" w:rsidR="009D215A" w:rsidRPr="00404DA5" w:rsidRDefault="009D215A" w:rsidP="00EE58A9">
            <w:pPr>
              <w:jc w:val="center"/>
              <w:rPr>
                <w:rFonts w:cs="Calibri"/>
                <w:sz w:val="18"/>
                <w:szCs w:val="18"/>
              </w:rPr>
            </w:pPr>
            <w:r w:rsidRPr="00404DA5">
              <w:rPr>
                <w:rFonts w:cs="Calibri"/>
                <w:sz w:val="18"/>
                <w:szCs w:val="18"/>
              </w:rPr>
              <w:t>367,0%</w:t>
            </w:r>
          </w:p>
        </w:tc>
        <w:tc>
          <w:tcPr>
            <w:tcW w:w="0" w:type="auto"/>
            <w:shd w:val="clear" w:color="auto" w:fill="auto"/>
            <w:vAlign w:val="center"/>
          </w:tcPr>
          <w:p w14:paraId="43AB3B36" w14:textId="77777777" w:rsidR="009D215A" w:rsidRPr="00404DA5" w:rsidRDefault="009D215A" w:rsidP="00EE58A9">
            <w:pPr>
              <w:jc w:val="center"/>
              <w:rPr>
                <w:rFonts w:cs="Calibri"/>
                <w:sz w:val="18"/>
                <w:szCs w:val="18"/>
              </w:rPr>
            </w:pPr>
            <w:r w:rsidRPr="00404DA5">
              <w:rPr>
                <w:rFonts w:cs="Calibri"/>
                <w:sz w:val="18"/>
                <w:szCs w:val="18"/>
              </w:rPr>
              <w:t>236</w:t>
            </w:r>
          </w:p>
        </w:tc>
        <w:tc>
          <w:tcPr>
            <w:tcW w:w="0" w:type="auto"/>
            <w:shd w:val="clear" w:color="auto" w:fill="auto"/>
            <w:vAlign w:val="center"/>
          </w:tcPr>
          <w:p w14:paraId="1B0B699A" w14:textId="77777777" w:rsidR="009D215A" w:rsidRPr="00404DA5" w:rsidRDefault="009D215A" w:rsidP="00EE58A9">
            <w:pPr>
              <w:jc w:val="center"/>
              <w:rPr>
                <w:rFonts w:cs="Calibri"/>
                <w:sz w:val="18"/>
                <w:szCs w:val="18"/>
              </w:rPr>
            </w:pPr>
            <w:r w:rsidRPr="00404DA5">
              <w:rPr>
                <w:rFonts w:cs="Calibri"/>
                <w:sz w:val="18"/>
                <w:szCs w:val="18"/>
              </w:rPr>
              <w:t>4,2%</w:t>
            </w:r>
          </w:p>
        </w:tc>
      </w:tr>
    </w:tbl>
    <w:p w14:paraId="45D32066" w14:textId="77777777" w:rsidR="009D215A" w:rsidRPr="002A5FDF" w:rsidRDefault="009D215A"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4F8EBE9F" w14:textId="77777777" w:rsidR="009D215A" w:rsidRDefault="009D215A" w:rsidP="009D215A">
      <w:pPr>
        <w:pStyle w:val="evaluTresc"/>
      </w:pPr>
      <w:r w:rsidRPr="00436D27">
        <w:t>Nie stwierdzono możliwości wystąpienia ryzyka</w:t>
      </w:r>
      <w:r w:rsidR="00E66B89">
        <w:t xml:space="preserve"> w </w:t>
      </w:r>
      <w:r w:rsidRPr="00436D27">
        <w:t xml:space="preserve">zakresie </w:t>
      </w:r>
      <w:r>
        <w:t>osiągnięcia</w:t>
      </w:r>
      <w:r w:rsidRPr="00436D27">
        <w:t xml:space="preserve"> przyjętych docelowych wartości wskaźników dla Działania 3.5. Na dzień 7.01.2019 r. żaden</w:t>
      </w:r>
      <w:r w:rsidR="00E66B89">
        <w:t xml:space="preserve"> z </w:t>
      </w:r>
      <w:r w:rsidRPr="00436D27">
        <w:t>projektów realizowanych</w:t>
      </w:r>
      <w:r w:rsidR="00E66B89">
        <w:t xml:space="preserve"> w </w:t>
      </w:r>
      <w:r w:rsidRPr="00436D27">
        <w:t>ramach Działania 3.5 nie został jeszcze zakończony</w:t>
      </w:r>
      <w:r w:rsidR="00E66B89">
        <w:t xml:space="preserve"> i </w:t>
      </w:r>
      <w:r w:rsidRPr="00436D27">
        <w:t>rozliczony.</w:t>
      </w:r>
      <w:r w:rsidR="00E66B89">
        <w:t xml:space="preserve"> W </w:t>
      </w:r>
      <w:r>
        <w:t>Działaniu tym żaden beneficjent dotychczas nie rozliczył WoP, zatem nie ma możliwości odniesienia się do osiągniętego postępu finansowego względem postępu rzeczowego. Spora grupa beneficjentów podpisała UoD</w:t>
      </w:r>
      <w:r w:rsidR="00E66B89">
        <w:t xml:space="preserve"> w </w:t>
      </w:r>
      <w:r>
        <w:t>IV kwartale 2018 r., co powinno skutkować</w:t>
      </w:r>
      <w:r w:rsidR="00E66B89">
        <w:t xml:space="preserve"> w </w:t>
      </w:r>
      <w:r>
        <w:t>krótkiej perspektywie czasu obserwowaniem postępu rzeczowego</w:t>
      </w:r>
      <w:r w:rsidR="00E66B89">
        <w:t xml:space="preserve"> i </w:t>
      </w:r>
      <w:r>
        <w:t>finansowego.</w:t>
      </w:r>
    </w:p>
    <w:p w14:paraId="3233C43C" w14:textId="77777777" w:rsidR="009D215A" w:rsidRPr="00436D27" w:rsidRDefault="009D215A" w:rsidP="009D215A">
      <w:pPr>
        <w:pStyle w:val="evaluTresc"/>
        <w:rPr>
          <w:rFonts w:cs="Calibri"/>
          <w:color w:val="000000"/>
        </w:rPr>
      </w:pPr>
      <w:r w:rsidRPr="00436D27">
        <w:t xml:space="preserve">Dla wskaźnika pn. </w:t>
      </w:r>
      <w:r w:rsidRPr="00436D27">
        <w:rPr>
          <w:i/>
        </w:rPr>
        <w:t>Długość sieci wodociągowej</w:t>
      </w:r>
      <w:r w:rsidRPr="00436D27">
        <w:t xml:space="preserve"> wartość docelowa na 2023 r. została określona na 30 km. Wartość tego wskaźnika powinna zostać </w:t>
      </w:r>
      <w:r>
        <w:t>osiągnięta</w:t>
      </w:r>
      <w:r w:rsidRPr="00436D27">
        <w:t xml:space="preserve"> (nieznacznie przekroczona) na podstawie dotychczas </w:t>
      </w:r>
      <w:r w:rsidRPr="00436D27">
        <w:lastRenderedPageBreak/>
        <w:t>zakontraktowanych projektów. Wedle stanu</w:t>
      </w:r>
      <w:r w:rsidR="00E66B89">
        <w:t xml:space="preserve"> z </w:t>
      </w:r>
      <w:r w:rsidRPr="00436D27">
        <w:t>07.01.2019 roku wartość docelowa dla tego wskaźnika zakładana</w:t>
      </w:r>
      <w:r w:rsidR="00E66B89">
        <w:t xml:space="preserve"> w </w:t>
      </w:r>
      <w:r w:rsidRPr="00436D27">
        <w:t xml:space="preserve">projektach mających podpisaną UoD wynosi 32,77 km. </w:t>
      </w:r>
      <w:r w:rsidRPr="00404DA5">
        <w:rPr>
          <w:rFonts w:cs="Calibri"/>
        </w:rPr>
        <w:t>Koszty jednostkowe przyjęto na podstawie doświadczeń</w:t>
      </w:r>
      <w:r w:rsidR="00E66B89">
        <w:rPr>
          <w:rFonts w:cs="Calibri"/>
        </w:rPr>
        <w:t xml:space="preserve"> z </w:t>
      </w:r>
      <w:r w:rsidRPr="00404DA5">
        <w:rPr>
          <w:rFonts w:cs="Calibri"/>
        </w:rPr>
        <w:t xml:space="preserve">wdrażania </w:t>
      </w:r>
      <w:r w:rsidRPr="00436D27">
        <w:rPr>
          <w:rFonts w:cs="Calibri"/>
        </w:rPr>
        <w:t>referencyjnych projektów minionej perspektywy finansowej 2007-2013 (na podstawie danych</w:t>
      </w:r>
      <w:r w:rsidR="00E66B89">
        <w:rPr>
          <w:rFonts w:cs="Calibri"/>
        </w:rPr>
        <w:t xml:space="preserve"> z </w:t>
      </w:r>
      <w:r w:rsidRPr="00436D27">
        <w:rPr>
          <w:rFonts w:cs="Calibri"/>
        </w:rPr>
        <w:t>Krajowego Systemu Informatycznego). Koszt jednostkowy został obliczony jako średni koszt dofinansowania przypadający na daną jednostkę produktu</w:t>
      </w:r>
      <w:r w:rsidR="00E66B89">
        <w:rPr>
          <w:rFonts w:cs="Calibri"/>
        </w:rPr>
        <w:t xml:space="preserve"> i </w:t>
      </w:r>
      <w:r w:rsidRPr="00436D27">
        <w:rPr>
          <w:rFonts w:cs="Calibri"/>
        </w:rPr>
        <w:t>skorygowany zgodnie</w:t>
      </w:r>
      <w:r w:rsidR="00E66B89">
        <w:rPr>
          <w:rFonts w:cs="Calibri"/>
        </w:rPr>
        <w:t xml:space="preserve"> z </w:t>
      </w:r>
      <w:r w:rsidRPr="00436D27">
        <w:rPr>
          <w:rFonts w:cs="Calibri"/>
        </w:rPr>
        <w:t>indeksem WCPBM na ceny stałe</w:t>
      </w:r>
      <w:r w:rsidR="00E66B89">
        <w:rPr>
          <w:rFonts w:cs="Calibri"/>
        </w:rPr>
        <w:t xml:space="preserve"> z </w:t>
      </w:r>
      <w:r w:rsidRPr="00436D27">
        <w:rPr>
          <w:rFonts w:cs="Calibri"/>
        </w:rPr>
        <w:t>2014 r. Ustalono koszt jednostkowy</w:t>
      </w:r>
      <w:r w:rsidR="00E66B89">
        <w:rPr>
          <w:rFonts w:cs="Calibri"/>
        </w:rPr>
        <w:t xml:space="preserve"> w </w:t>
      </w:r>
      <w:r w:rsidRPr="00436D27">
        <w:rPr>
          <w:rFonts w:cs="Calibri"/>
        </w:rPr>
        <w:t>wartości 302 220,82 zł za 1 km. Rzeczywiste koszty dla projektów</w:t>
      </w:r>
      <w:r w:rsidR="00E66B89">
        <w:rPr>
          <w:rFonts w:cs="Calibri"/>
        </w:rPr>
        <w:t xml:space="preserve"> z </w:t>
      </w:r>
      <w:r w:rsidRPr="00436D27">
        <w:rPr>
          <w:rFonts w:cs="Calibri"/>
        </w:rPr>
        <w:t>aktualnie zawartą umową</w:t>
      </w:r>
      <w:r w:rsidR="00E66B89">
        <w:rPr>
          <w:rFonts w:cs="Calibri"/>
        </w:rPr>
        <w:t xml:space="preserve"> o </w:t>
      </w:r>
      <w:r w:rsidRPr="00436D27">
        <w:rPr>
          <w:rFonts w:cs="Calibri"/>
        </w:rPr>
        <w:t xml:space="preserve">dofinansowanie okazały się być jednak wyższe (wyniosły </w:t>
      </w:r>
      <w:r w:rsidRPr="00436D27">
        <w:rPr>
          <w:rFonts w:cs="Calibri"/>
          <w:color w:val="000000"/>
        </w:rPr>
        <w:t>430 682,19 zł za 1 km).</w:t>
      </w:r>
    </w:p>
    <w:p w14:paraId="06FC0FE9" w14:textId="77777777" w:rsidR="009D215A" w:rsidRDefault="009D215A" w:rsidP="009D215A">
      <w:pPr>
        <w:pStyle w:val="evaluTresc"/>
        <w:rPr>
          <w:rFonts w:cs="Calibri"/>
          <w:color w:val="000000"/>
        </w:rPr>
      </w:pPr>
      <w:r w:rsidRPr="00436D27">
        <w:t xml:space="preserve">Dla wskaźnika pn. </w:t>
      </w:r>
      <w:r w:rsidRPr="00436D27">
        <w:rPr>
          <w:i/>
        </w:rPr>
        <w:t>Liczba dodatkowych osób korzystających</w:t>
      </w:r>
      <w:r w:rsidR="00E66B89">
        <w:rPr>
          <w:i/>
        </w:rPr>
        <w:t xml:space="preserve"> z </w:t>
      </w:r>
      <w:r w:rsidRPr="00436D27">
        <w:rPr>
          <w:i/>
        </w:rPr>
        <w:t>ulepszonego zaopatrzenia</w:t>
      </w:r>
      <w:r w:rsidR="00E66B89">
        <w:rPr>
          <w:i/>
        </w:rPr>
        <w:t xml:space="preserve"> w </w:t>
      </w:r>
      <w:r w:rsidRPr="00436D27">
        <w:rPr>
          <w:i/>
        </w:rPr>
        <w:t>wodę</w:t>
      </w:r>
      <w:r w:rsidRPr="00436D27">
        <w:t xml:space="preserve"> wartość docelowa na 2023 r. została określona na 755 osób. Wartość wskaźnika powinna zostać </w:t>
      </w:r>
      <w:r>
        <w:t>osiągnięta</w:t>
      </w:r>
      <w:r w:rsidR="00E66B89">
        <w:t xml:space="preserve"> z </w:t>
      </w:r>
      <w:r w:rsidRPr="00436D27">
        <w:t>dotychczas zakontraktowanych projektów. Do dnia 7.01.2019 r. wartość docelowa zakładana</w:t>
      </w:r>
      <w:r w:rsidR="00E66B89">
        <w:t xml:space="preserve"> w </w:t>
      </w:r>
      <w:r w:rsidRPr="00436D27">
        <w:t xml:space="preserve">projektach mających podpisaną UoD wynosi 22 246 osób. </w:t>
      </w:r>
      <w:r w:rsidRPr="00404DA5">
        <w:rPr>
          <w:rFonts w:cs="Calibri"/>
        </w:rPr>
        <w:t>Koszty jednostkowe przyjęto na podstawie doświadczeń</w:t>
      </w:r>
      <w:r w:rsidR="00E66B89">
        <w:rPr>
          <w:rFonts w:cs="Calibri"/>
        </w:rPr>
        <w:t xml:space="preserve"> z </w:t>
      </w:r>
      <w:r w:rsidRPr="00404DA5">
        <w:rPr>
          <w:rFonts w:cs="Calibri"/>
        </w:rPr>
        <w:t xml:space="preserve">wdrażania </w:t>
      </w:r>
      <w:r w:rsidRPr="00436D27">
        <w:rPr>
          <w:rFonts w:cs="Calibri"/>
        </w:rPr>
        <w:t>referencyjnych projektów minionej perspektywy finansowej 2007-2013 (na podstawie danych</w:t>
      </w:r>
      <w:r w:rsidR="00E66B89">
        <w:rPr>
          <w:rFonts w:cs="Calibri"/>
        </w:rPr>
        <w:t xml:space="preserve"> z </w:t>
      </w:r>
      <w:r w:rsidRPr="00436D27">
        <w:rPr>
          <w:rFonts w:cs="Calibri"/>
        </w:rPr>
        <w:t>Krajowego Systemu Informatycznego). Koszt jednostkowy został obliczony jako średni koszt dofinansowania przypadający na daną jednostkę produktu</w:t>
      </w:r>
      <w:r w:rsidR="00E66B89">
        <w:rPr>
          <w:rFonts w:cs="Calibri"/>
        </w:rPr>
        <w:t xml:space="preserve"> i </w:t>
      </w:r>
      <w:r w:rsidRPr="00436D27">
        <w:rPr>
          <w:rFonts w:cs="Calibri"/>
        </w:rPr>
        <w:t>skorygowany zgodnie</w:t>
      </w:r>
      <w:r w:rsidR="00E66B89">
        <w:rPr>
          <w:rFonts w:cs="Calibri"/>
        </w:rPr>
        <w:t xml:space="preserve"> z </w:t>
      </w:r>
      <w:r w:rsidRPr="00436D27">
        <w:rPr>
          <w:rFonts w:cs="Calibri"/>
        </w:rPr>
        <w:t>indeksem WCPBM na ceny stałe</w:t>
      </w:r>
      <w:r w:rsidR="00E66B89">
        <w:rPr>
          <w:rFonts w:cs="Calibri"/>
        </w:rPr>
        <w:t xml:space="preserve"> z </w:t>
      </w:r>
      <w:r w:rsidRPr="00436D27">
        <w:rPr>
          <w:rFonts w:cs="Calibri"/>
        </w:rPr>
        <w:t>2014 r. Ustalono koszt jednostkowy</w:t>
      </w:r>
      <w:r w:rsidR="00E66B89">
        <w:rPr>
          <w:rFonts w:cs="Calibri"/>
        </w:rPr>
        <w:t xml:space="preserve"> w </w:t>
      </w:r>
      <w:r w:rsidRPr="00436D27">
        <w:rPr>
          <w:rFonts w:cs="Calibri"/>
        </w:rPr>
        <w:t>wartości 12 213,96 zł za 1 osobę. Rzeczywiste koszty dla projektów</w:t>
      </w:r>
      <w:r w:rsidR="00E66B89">
        <w:rPr>
          <w:rFonts w:cs="Calibri"/>
        </w:rPr>
        <w:t xml:space="preserve"> z </w:t>
      </w:r>
      <w:r w:rsidRPr="00436D27">
        <w:rPr>
          <w:rFonts w:cs="Calibri"/>
        </w:rPr>
        <w:t>aktualnie zawartą umową</w:t>
      </w:r>
      <w:r w:rsidR="00E66B89">
        <w:rPr>
          <w:rFonts w:cs="Calibri"/>
        </w:rPr>
        <w:t xml:space="preserve"> o </w:t>
      </w:r>
      <w:r w:rsidRPr="00436D27">
        <w:rPr>
          <w:rFonts w:cs="Calibri"/>
        </w:rPr>
        <w:t>dofinansowanie okazały się być jednak znacznie niższe (wyniosły 839,83 zł za 1 RLM</w:t>
      </w:r>
      <w:r w:rsidRPr="00436D27">
        <w:rPr>
          <w:rFonts w:cs="Calibri"/>
          <w:color w:val="000000"/>
        </w:rPr>
        <w:t>).</w:t>
      </w:r>
    </w:p>
    <w:p w14:paraId="0EFB1685" w14:textId="77777777" w:rsidR="009D215A" w:rsidRPr="008B706B" w:rsidRDefault="009D215A" w:rsidP="009D215A">
      <w:pPr>
        <w:pStyle w:val="evaluTresc"/>
        <w:rPr>
          <w:rFonts w:cs="Calibri"/>
          <w:color w:val="000000"/>
        </w:rPr>
      </w:pPr>
      <w:r w:rsidRPr="008B706B">
        <w:rPr>
          <w:rFonts w:eastAsia="Times New Roman"/>
          <w:szCs w:val="24"/>
          <w:lang w:eastAsia="pl-PL"/>
        </w:rPr>
        <w:t>Jednym</w:t>
      </w:r>
      <w:r w:rsidR="00E66B89">
        <w:rPr>
          <w:rFonts w:eastAsia="Times New Roman"/>
          <w:szCs w:val="24"/>
          <w:lang w:eastAsia="pl-PL"/>
        </w:rPr>
        <w:t xml:space="preserve"> z </w:t>
      </w:r>
      <w:r w:rsidRPr="008B706B">
        <w:rPr>
          <w:rFonts w:eastAsia="Times New Roman"/>
          <w:szCs w:val="24"/>
          <w:lang w:eastAsia="pl-PL"/>
        </w:rPr>
        <w:t>mierników oceny skutecznoś</w:t>
      </w:r>
      <w:r>
        <w:t>ci</w:t>
      </w:r>
      <w:r w:rsidR="00E66B89">
        <w:rPr>
          <w:rFonts w:eastAsia="Times New Roman"/>
          <w:szCs w:val="24"/>
          <w:lang w:eastAsia="pl-PL"/>
        </w:rPr>
        <w:t xml:space="preserve"> i </w:t>
      </w:r>
      <w:r w:rsidRPr="008B706B">
        <w:rPr>
          <w:rFonts w:eastAsia="Times New Roman"/>
          <w:szCs w:val="24"/>
          <w:lang w:eastAsia="pl-PL"/>
        </w:rPr>
        <w:t>efektywnoś</w:t>
      </w:r>
      <w:r>
        <w:t>ci</w:t>
      </w:r>
      <w:r w:rsidRPr="008B706B">
        <w:rPr>
          <w:rFonts w:eastAsia="Times New Roman"/>
          <w:szCs w:val="24"/>
          <w:lang w:eastAsia="pl-PL"/>
        </w:rPr>
        <w:t xml:space="preserve"> interwencji RPO WZ 2014-2020 może być odniesienie rzeczywistych kosztów jednostkowych wskaźników do kosztów przyjętych</w:t>
      </w:r>
      <w:r w:rsidR="00E66B89">
        <w:rPr>
          <w:rFonts w:eastAsia="Times New Roman"/>
          <w:szCs w:val="24"/>
          <w:lang w:eastAsia="pl-PL"/>
        </w:rPr>
        <w:t xml:space="preserve"> w </w:t>
      </w:r>
      <w:r w:rsidRPr="008B706B">
        <w:rPr>
          <w:rFonts w:eastAsia="Times New Roman"/>
          <w:szCs w:val="24"/>
          <w:lang w:eastAsia="pl-PL"/>
        </w:rPr>
        <w:t>ramach metodologii szacowania.</w:t>
      </w:r>
      <w:r w:rsidR="00E66B89">
        <w:rPr>
          <w:rFonts w:eastAsia="Times New Roman"/>
          <w:szCs w:val="24"/>
          <w:lang w:eastAsia="pl-PL"/>
        </w:rPr>
        <w:t xml:space="preserve"> W </w:t>
      </w:r>
      <w:r w:rsidRPr="008B706B">
        <w:rPr>
          <w:rFonts w:eastAsia="Times New Roman"/>
          <w:szCs w:val="24"/>
          <w:lang w:eastAsia="pl-PL"/>
        </w:rPr>
        <w:t>przypadku wskaźników</w:t>
      </w:r>
      <w:r w:rsidR="00E66B89">
        <w:rPr>
          <w:rFonts w:eastAsia="Times New Roman"/>
          <w:szCs w:val="24"/>
          <w:lang w:eastAsia="pl-PL"/>
        </w:rPr>
        <w:t xml:space="preserve"> z </w:t>
      </w:r>
      <w:r w:rsidRPr="008B706B">
        <w:rPr>
          <w:rFonts w:eastAsia="Times New Roman"/>
          <w:szCs w:val="24"/>
          <w:lang w:eastAsia="pl-PL"/>
        </w:rPr>
        <w:t>Działania 3.5 sytuacja nie jest jednoznaczna.</w:t>
      </w:r>
      <w:r w:rsidR="00E66B89">
        <w:rPr>
          <w:rFonts w:eastAsia="Times New Roman"/>
          <w:szCs w:val="24"/>
          <w:lang w:eastAsia="pl-PL"/>
        </w:rPr>
        <w:t xml:space="preserve"> W </w:t>
      </w:r>
      <w:r w:rsidRPr="008B706B">
        <w:rPr>
          <w:rFonts w:eastAsia="Times New Roman"/>
          <w:szCs w:val="24"/>
          <w:lang w:eastAsia="pl-PL"/>
        </w:rPr>
        <w:t xml:space="preserve">przypadku jednego wskaźnika pn. </w:t>
      </w:r>
      <w:r w:rsidRPr="005E7940">
        <w:rPr>
          <w:i/>
        </w:rPr>
        <w:t xml:space="preserve">Długość sieci wodociągowej </w:t>
      </w:r>
      <w:r w:rsidRPr="008B706B">
        <w:rPr>
          <w:rFonts w:eastAsia="Times New Roman"/>
          <w:szCs w:val="24"/>
          <w:lang w:eastAsia="pl-PL"/>
        </w:rPr>
        <w:t>rzeczywiste</w:t>
      </w:r>
      <w:r w:rsidRPr="005E7940">
        <w:rPr>
          <w:rFonts w:cs="Calibri"/>
        </w:rPr>
        <w:t xml:space="preserve"> koszty okazały się być wyższe</w:t>
      </w:r>
      <w:r w:rsidRPr="002B6328">
        <w:rPr>
          <w:rFonts w:cs="Calibri"/>
        </w:rPr>
        <w:t xml:space="preserve"> od tych zakładanych</w:t>
      </w:r>
      <w:r w:rsidR="00E66B89">
        <w:rPr>
          <w:rFonts w:cs="Calibri"/>
        </w:rPr>
        <w:t xml:space="preserve"> w </w:t>
      </w:r>
      <w:r w:rsidRPr="002B6328">
        <w:rPr>
          <w:rFonts w:cs="Calibri"/>
        </w:rPr>
        <w:t>metodologii. Natomiast</w:t>
      </w:r>
      <w:r w:rsidR="00E66B89">
        <w:rPr>
          <w:rFonts w:cs="Calibri"/>
        </w:rPr>
        <w:t xml:space="preserve"> w </w:t>
      </w:r>
      <w:r w:rsidRPr="002B6328">
        <w:rPr>
          <w:rFonts w:cs="Calibri"/>
        </w:rPr>
        <w:t xml:space="preserve">przypadku wskaźnika pn. </w:t>
      </w:r>
      <w:r w:rsidRPr="000E3A1B">
        <w:rPr>
          <w:i/>
        </w:rPr>
        <w:t>Liczba dodatkowych osób korzystających</w:t>
      </w:r>
      <w:r w:rsidR="00E66B89">
        <w:rPr>
          <w:i/>
        </w:rPr>
        <w:t xml:space="preserve"> z </w:t>
      </w:r>
      <w:r w:rsidRPr="000E3A1B">
        <w:rPr>
          <w:i/>
        </w:rPr>
        <w:t>ulepszonego zaopatrzenia</w:t>
      </w:r>
      <w:r w:rsidR="00E66B89">
        <w:rPr>
          <w:i/>
        </w:rPr>
        <w:t xml:space="preserve"> w </w:t>
      </w:r>
      <w:r w:rsidRPr="000E3A1B">
        <w:rPr>
          <w:i/>
        </w:rPr>
        <w:t>wo</w:t>
      </w:r>
      <w:r w:rsidRPr="00B70C2F">
        <w:rPr>
          <w:i/>
        </w:rPr>
        <w:t xml:space="preserve">dę </w:t>
      </w:r>
      <w:r w:rsidRPr="00835574">
        <w:t>rzeczywiste</w:t>
      </w:r>
      <w:r w:rsidRPr="00835574">
        <w:rPr>
          <w:rFonts w:cs="Calibri"/>
        </w:rPr>
        <w:t xml:space="preserve"> koszty okazały się być niższe od tych zakładanych</w:t>
      </w:r>
      <w:r w:rsidR="00E66B89">
        <w:rPr>
          <w:rFonts w:cs="Calibri"/>
        </w:rPr>
        <w:t xml:space="preserve"> w </w:t>
      </w:r>
      <w:r w:rsidRPr="00835574">
        <w:rPr>
          <w:rFonts w:cs="Calibri"/>
        </w:rPr>
        <w:t>metodologii.</w:t>
      </w:r>
      <w:r>
        <w:rPr>
          <w:rFonts w:cs="Calibri"/>
        </w:rPr>
        <w:t xml:space="preserve"> Reasumując, ocena efektywności </w:t>
      </w:r>
      <w:r w:rsidRPr="00CA0A32">
        <w:t>interwencji RPO WZ 2014-2020</w:t>
      </w:r>
      <w:r w:rsidR="00E66B89">
        <w:t xml:space="preserve"> w </w:t>
      </w:r>
      <w:r>
        <w:t>ramach Działania 3.5 jest pozytywna</w:t>
      </w:r>
      <w:r w:rsidR="00E66B89">
        <w:t xml:space="preserve"> i </w:t>
      </w:r>
      <w:r>
        <w:t>wysoka. Powyższe różnice wynikają</w:t>
      </w:r>
      <w:r w:rsidR="00E66B89">
        <w:t xml:space="preserve"> z </w:t>
      </w:r>
      <w:r>
        <w:t>obiektywnych okoliczności oraz specyfiki realizowanych projektów.</w:t>
      </w:r>
      <w:r w:rsidR="00E66B89">
        <w:t xml:space="preserve"> W </w:t>
      </w:r>
      <w:r>
        <w:t>ocenie ewaluatora pomimo większych rzeczywistych kosztów jednostkowych wspartej sieci wodociągowej możliwe jest osiągnięcie odpowiednio wysokich rezultatów</w:t>
      </w:r>
      <w:r w:rsidR="00E66B89">
        <w:t xml:space="preserve"> w </w:t>
      </w:r>
      <w:r>
        <w:t>postaci zwiększenia liczby dodatkowych osób korzystających</w:t>
      </w:r>
      <w:r w:rsidR="00E66B89">
        <w:t xml:space="preserve"> z </w:t>
      </w:r>
      <w:r>
        <w:t>ulepszonego zaopatrzenia</w:t>
      </w:r>
      <w:r w:rsidR="00E66B89">
        <w:t xml:space="preserve"> w </w:t>
      </w:r>
      <w:r>
        <w:t>wodę (to może świadczyć</w:t>
      </w:r>
      <w:r w:rsidR="00E66B89">
        <w:t xml:space="preserve"> o </w:t>
      </w:r>
      <w:r>
        <w:t>tym, iż projekty były realizowane na obszarach</w:t>
      </w:r>
      <w:r w:rsidR="00E66B89">
        <w:t xml:space="preserve"> o </w:t>
      </w:r>
      <w:r>
        <w:t>odpowiednio gęstym zaludnieniu).</w:t>
      </w:r>
      <w:r w:rsidR="00E66B89">
        <w:t xml:space="preserve"> W </w:t>
      </w:r>
      <w:r w:rsidRPr="00436D27">
        <w:t>przypadku wskaźników dotyczących gospodarki ściekowej procent zakontraktowania alokacji według stanu</w:t>
      </w:r>
      <w:r w:rsidR="00E66B89">
        <w:t xml:space="preserve"> z </w:t>
      </w:r>
      <w:r w:rsidRPr="00436D27">
        <w:t>07.01.2019r. wynosi 50,9%. Na dzień 7.01.2019 r. bardzo niewielka liczba projektów realizowanych</w:t>
      </w:r>
      <w:r w:rsidR="00E66B89">
        <w:t xml:space="preserve"> w </w:t>
      </w:r>
      <w:r w:rsidRPr="00436D27">
        <w:t>ramach Działania 3.6 została zakończona</w:t>
      </w:r>
      <w:r w:rsidR="00E66B89">
        <w:t xml:space="preserve"> i </w:t>
      </w:r>
      <w:r w:rsidRPr="00436D27">
        <w:t xml:space="preserve">rozliczona. </w:t>
      </w:r>
      <w:r>
        <w:t>Natomiast spora grupa beneficjentów podpisała UoD</w:t>
      </w:r>
      <w:r w:rsidR="00E66B89">
        <w:t xml:space="preserve"> w </w:t>
      </w:r>
      <w:r>
        <w:t>IV kwartale 2018 r. co powinno skutkować</w:t>
      </w:r>
      <w:r w:rsidR="00E66B89">
        <w:t xml:space="preserve"> w </w:t>
      </w:r>
      <w:r>
        <w:t>krótkiej perspektywie czasu obserwowaniem zwiększonego postępu rzeczowego</w:t>
      </w:r>
      <w:r w:rsidR="00E66B89">
        <w:t xml:space="preserve"> i </w:t>
      </w:r>
      <w:r>
        <w:t>finansowego</w:t>
      </w:r>
      <w:r w:rsidR="00E66B89">
        <w:t xml:space="preserve"> w </w:t>
      </w:r>
      <w:r>
        <w:t>Działaniu 3.6. Dotychczas brak jest osiągnięcia postępu rzeczowego</w:t>
      </w:r>
      <w:r w:rsidR="00E66B89">
        <w:t xml:space="preserve"> i </w:t>
      </w:r>
      <w:r w:rsidRPr="00B64629">
        <w:t>finansowego</w:t>
      </w:r>
      <w:r w:rsidR="00E66B89">
        <w:t xml:space="preserve"> w </w:t>
      </w:r>
      <w:r w:rsidRPr="00B64629">
        <w:t>zakresie wskaźników dotyczących wspartych oczyszczalni ścieków (żaden projekt tego typu nie został rozliczony). J</w:t>
      </w:r>
      <w:r w:rsidRPr="001E6CF1">
        <w:t>eśli chodzi</w:t>
      </w:r>
      <w:r w:rsidR="00E66B89">
        <w:t xml:space="preserve"> o </w:t>
      </w:r>
      <w:r w:rsidRPr="001E6CF1">
        <w:t xml:space="preserve">wskaźnik pn. </w:t>
      </w:r>
      <w:r w:rsidRPr="008B706B">
        <w:rPr>
          <w:rFonts w:cs="Calibri"/>
          <w:i/>
          <w:color w:val="000000"/>
        </w:rPr>
        <w:t>Długość sieci kanalizacji sanitarnej</w:t>
      </w:r>
      <w:r w:rsidRPr="008B706B">
        <w:rPr>
          <w:rFonts w:cs="Calibri"/>
          <w:color w:val="000000"/>
        </w:rPr>
        <w:t xml:space="preserve"> oraz </w:t>
      </w:r>
      <w:r w:rsidRPr="008B706B">
        <w:rPr>
          <w:rFonts w:cs="Calibri"/>
          <w:i/>
          <w:color w:val="000000"/>
        </w:rPr>
        <w:t>Liczba dodatkowych osób korzystających</w:t>
      </w:r>
      <w:r w:rsidR="00E66B89">
        <w:rPr>
          <w:rFonts w:cs="Calibri"/>
          <w:i/>
          <w:color w:val="000000"/>
        </w:rPr>
        <w:t xml:space="preserve"> z </w:t>
      </w:r>
      <w:r w:rsidRPr="008B706B">
        <w:rPr>
          <w:rFonts w:cs="Calibri"/>
          <w:i/>
          <w:color w:val="000000"/>
        </w:rPr>
        <w:t>ulepszonego oczyszczania ścieków</w:t>
      </w:r>
      <w:r w:rsidRPr="008B706B">
        <w:rPr>
          <w:rFonts w:cs="Calibri"/>
          <w:color w:val="000000"/>
        </w:rPr>
        <w:t xml:space="preserve"> postęp ich realizacji mierzony złożonymi WoP</w:t>
      </w:r>
      <w:r w:rsidR="00E66B89">
        <w:rPr>
          <w:rFonts w:cs="Calibri"/>
          <w:color w:val="000000"/>
        </w:rPr>
        <w:t xml:space="preserve"> w </w:t>
      </w:r>
      <w:r w:rsidRPr="008B706B">
        <w:rPr>
          <w:rFonts w:cs="Calibri"/>
          <w:color w:val="000000"/>
        </w:rPr>
        <w:t>stosunku do podpisanych UoD wynosi odpowiednio 6,3% oraz 1,1%.</w:t>
      </w:r>
    </w:p>
    <w:p w14:paraId="519B9A9F" w14:textId="77777777" w:rsidR="009D215A" w:rsidRPr="00436D27" w:rsidRDefault="009D215A" w:rsidP="009D215A">
      <w:pPr>
        <w:pStyle w:val="evaluTresc"/>
        <w:rPr>
          <w:rFonts w:cs="Calibri"/>
          <w:color w:val="000000"/>
        </w:rPr>
      </w:pPr>
      <w:r w:rsidRPr="00436D27">
        <w:t xml:space="preserve">Dla wskaźnika pn. </w:t>
      </w:r>
      <w:r w:rsidRPr="008B706B">
        <w:rPr>
          <w:i/>
        </w:rPr>
        <w:t xml:space="preserve">Liczba wspartych oczyszczalni ścieków komunalnych </w:t>
      </w:r>
      <w:r w:rsidRPr="00436D27">
        <w:t xml:space="preserve">wartość docelowa na 2023 r. została określona na 2 szt. Wartość tego wskaźnika powinna zostać </w:t>
      </w:r>
      <w:r>
        <w:t>osiągnięta</w:t>
      </w:r>
      <w:r w:rsidRPr="00436D27">
        <w:t xml:space="preserve"> (prognozuje się jej przekroczenie) na podstawie dotychczas zakontraktowanych projektów. Wedle stanu</w:t>
      </w:r>
      <w:r w:rsidR="00E66B89">
        <w:t xml:space="preserve"> z </w:t>
      </w:r>
      <w:r w:rsidRPr="00436D27">
        <w:t>07.01.2019 roku wartość docelowa dla tego wskaźnika zakładana</w:t>
      </w:r>
      <w:r w:rsidR="00E66B89">
        <w:t xml:space="preserve"> w </w:t>
      </w:r>
      <w:r w:rsidRPr="00436D27">
        <w:t xml:space="preserve">projektach mających podpisaną UoD wynosi 5 szt. Szacunki dotyczące wartości docelowych wskaźników opracowane zostały na podstawie IV aktualizacji KPOŚK (wskazano tam jedną </w:t>
      </w:r>
      <w:r w:rsidR="001A41AF" w:rsidRPr="00436D27">
        <w:t>oczyszczalni</w:t>
      </w:r>
      <w:r w:rsidR="001A41AF">
        <w:t>ę</w:t>
      </w:r>
      <w:r w:rsidRPr="00436D27">
        <w:t>, która będzie realizowana</w:t>
      </w:r>
      <w:r w:rsidR="00E66B89">
        <w:t xml:space="preserve"> w </w:t>
      </w:r>
      <w:r w:rsidRPr="00436D27">
        <w:t>perspektywie finansowej 2014-2020</w:t>
      </w:r>
      <w:r w:rsidR="001A41AF">
        <w:t>; jej</w:t>
      </w:r>
      <w:r w:rsidRPr="00436D27">
        <w:t xml:space="preserve"> przybliżony koszt: 15 mln zł). Założenia te uwzględniono</w:t>
      </w:r>
      <w:r w:rsidR="00E66B89">
        <w:t xml:space="preserve"> w </w:t>
      </w:r>
      <w:r w:rsidRPr="00436D27">
        <w:t>szacowaniu wartości pośredniej</w:t>
      </w:r>
      <w:r w:rsidR="00E66B89">
        <w:t xml:space="preserve"> </w:t>
      </w:r>
      <w:r w:rsidR="00E66B89">
        <w:lastRenderedPageBreak/>
        <w:t>i </w:t>
      </w:r>
      <w:r w:rsidRPr="00436D27">
        <w:t>docelowej wskaźnika.</w:t>
      </w:r>
      <w:r w:rsidR="00E66B89">
        <w:t xml:space="preserve"> W </w:t>
      </w:r>
      <w:r w:rsidRPr="00436D27">
        <w:t>trakcie wdrażania RPO WZ 2014-2020 program KPOŚK doczekał się V aktualizacji.</w:t>
      </w:r>
      <w:r w:rsidR="00E66B89">
        <w:t xml:space="preserve"> W </w:t>
      </w:r>
      <w:r w:rsidRPr="00436D27">
        <w:t>związku</w:t>
      </w:r>
      <w:r w:rsidR="00E66B89">
        <w:t xml:space="preserve"> z </w:t>
      </w:r>
      <w:r w:rsidRPr="00436D27">
        <w:t>powyższym liczba potencjalnych projektów, które mogły ubiegać się</w:t>
      </w:r>
      <w:r w:rsidR="00E66B89">
        <w:t xml:space="preserve"> o </w:t>
      </w:r>
      <w:r w:rsidRPr="00436D27">
        <w:t>wsparcie wzrosła. Teoretycznie,</w:t>
      </w:r>
      <w:r w:rsidR="00E66B89">
        <w:t xml:space="preserve"> w </w:t>
      </w:r>
      <w:r w:rsidRPr="00436D27">
        <w:t>tym zakresie, istotna mogłaby być także średnia wartość składanych projektów, która okazała się być jednak nieznacznie niższa od zakładanej</w:t>
      </w:r>
      <w:r w:rsidR="00E66B89">
        <w:t xml:space="preserve"> w </w:t>
      </w:r>
      <w:r w:rsidRPr="00436D27">
        <w:t>metodologii szacowania wskaźników (średni koszt osiągnięcia wartości wskaźnika zgodnie</w:t>
      </w:r>
      <w:r w:rsidR="00E66B89">
        <w:t xml:space="preserve"> z </w:t>
      </w:r>
      <w:r w:rsidRPr="00436D27">
        <w:t>podpisanymi UoD to ok. 4,5 mln zł,</w:t>
      </w:r>
      <w:r w:rsidR="00E66B89">
        <w:t xml:space="preserve"> a </w:t>
      </w:r>
      <w:r w:rsidRPr="00436D27">
        <w:t>do szacunków przyjęto wartość nieznacznie większą tj. 4,8 mln zł). Koszt jednostkowy przyjęto na podstawie doświadczeń</w:t>
      </w:r>
      <w:r w:rsidR="00E66B89">
        <w:t xml:space="preserve"> z </w:t>
      </w:r>
      <w:r w:rsidRPr="00436D27">
        <w:t>wdrażania referencyjnych projektów minionej perspektywy finansowej 2007-2013 (na podstawie danych</w:t>
      </w:r>
      <w:r w:rsidR="00E66B89">
        <w:t xml:space="preserve"> z </w:t>
      </w:r>
      <w:r w:rsidRPr="00436D27">
        <w:t>Krajowego Systemu Informatycznego). Koszt jednostkowy został obliczony jako średni koszt dofinansowania przypadający na daną jednostkę produktu</w:t>
      </w:r>
      <w:r w:rsidR="00E66B89">
        <w:t xml:space="preserve"> i </w:t>
      </w:r>
      <w:r w:rsidRPr="00436D27">
        <w:t>skorygowany zgodnie</w:t>
      </w:r>
      <w:r w:rsidR="00E66B89">
        <w:t xml:space="preserve"> z </w:t>
      </w:r>
      <w:r w:rsidRPr="00436D27">
        <w:t>indeksem WCPBM na ceny stałe</w:t>
      </w:r>
      <w:r w:rsidR="00E66B89">
        <w:t xml:space="preserve"> z </w:t>
      </w:r>
      <w:r w:rsidRPr="00436D27">
        <w:t>2014 r. oraz</w:t>
      </w:r>
      <w:r w:rsidR="00E66B89">
        <w:t xml:space="preserve"> w </w:t>
      </w:r>
      <w:r w:rsidRPr="00436D27">
        <w:t>oparciu</w:t>
      </w:r>
      <w:r w:rsidR="00E66B89">
        <w:t xml:space="preserve"> o </w:t>
      </w:r>
      <w:r w:rsidRPr="00436D27">
        <w:t>realny historyczny poziom dofinansowania (</w:t>
      </w:r>
      <w:r w:rsidRPr="00436D27">
        <w:rPr>
          <w:rFonts w:cs="Calibri"/>
        </w:rPr>
        <w:t>ze względu na możliwość występowania dochodu</w:t>
      </w:r>
      <w:r w:rsidR="00E66B89">
        <w:rPr>
          <w:rFonts w:cs="Calibri"/>
        </w:rPr>
        <w:t xml:space="preserve"> w </w:t>
      </w:r>
      <w:r w:rsidRPr="00436D27">
        <w:rPr>
          <w:rFonts w:cs="Calibri"/>
        </w:rPr>
        <w:t>projektach objętych wsparciem). Jak pokazała praktyka, różnica pomiędzy kosztem szacowania</w:t>
      </w:r>
      <w:r w:rsidR="00E66B89">
        <w:rPr>
          <w:rFonts w:cs="Calibri"/>
        </w:rPr>
        <w:t xml:space="preserve"> a </w:t>
      </w:r>
      <w:r w:rsidRPr="00436D27">
        <w:rPr>
          <w:rFonts w:cs="Calibri"/>
        </w:rPr>
        <w:t>realnym była bardzo niewielka (</w:t>
      </w:r>
      <w:r w:rsidRPr="00436D27">
        <w:t>zatem metodyka szacowania okazała się trafna). Aktualnie szacowany przez Ewaluatora k</w:t>
      </w:r>
      <w:r w:rsidRPr="00436D27">
        <w:rPr>
          <w:rFonts w:cs="Calibri"/>
          <w:color w:val="000000"/>
        </w:rPr>
        <w:t xml:space="preserve">oszt jednostkowy wskaźnika (po uwzględnieniu inflacji WCPBM = 3.37%) dla tego wskaźnika wynosi 4 665 986,31 zł za </w:t>
      </w:r>
      <w:r>
        <w:rPr>
          <w:rFonts w:cs="Calibri"/>
          <w:color w:val="000000"/>
        </w:rPr>
        <w:t xml:space="preserve">1 </w:t>
      </w:r>
      <w:r w:rsidRPr="00436D27">
        <w:rPr>
          <w:rFonts w:cs="Calibri"/>
          <w:color w:val="000000"/>
        </w:rPr>
        <w:t>wspartą oczyszczalnię ścieków.</w:t>
      </w:r>
    </w:p>
    <w:p w14:paraId="5987A957" w14:textId="77777777" w:rsidR="009D215A" w:rsidRPr="00436D27" w:rsidRDefault="009D215A" w:rsidP="009D215A">
      <w:pPr>
        <w:pStyle w:val="evaluTresc"/>
        <w:rPr>
          <w:rFonts w:cs="Calibri"/>
        </w:rPr>
      </w:pPr>
      <w:r w:rsidRPr="00436D27">
        <w:t xml:space="preserve">Dla wskaźnika pn. </w:t>
      </w:r>
      <w:r w:rsidRPr="00436D27">
        <w:rPr>
          <w:rFonts w:cs="Calibri"/>
          <w:i/>
          <w:color w:val="000000"/>
        </w:rPr>
        <w:t>Długość sieci kanalizacji sanitarnej</w:t>
      </w:r>
      <w:r w:rsidRPr="00436D27">
        <w:t xml:space="preserve"> wartość docelowa na 2023 r. została określona na 82,9 km. Wartość tego wskaźnika nie zostanie </w:t>
      </w:r>
      <w:r>
        <w:t>osiągnięta</w:t>
      </w:r>
      <w:r w:rsidR="00E66B89">
        <w:t xml:space="preserve"> z </w:t>
      </w:r>
      <w:r w:rsidRPr="00436D27">
        <w:t>dotychczas zakontraktowanych projektów. Wedle stanu</w:t>
      </w:r>
      <w:r w:rsidR="00E66B89">
        <w:t xml:space="preserve"> z </w:t>
      </w:r>
      <w:r w:rsidRPr="00436D27">
        <w:t>07.01.2019 r. wartość docelowa dla tego wskaźnika zakładana</w:t>
      </w:r>
      <w:r w:rsidR="00E66B89">
        <w:t xml:space="preserve"> w </w:t>
      </w:r>
      <w:r w:rsidRPr="00436D27">
        <w:t xml:space="preserve">projektach mających podpisaną UoD wynosi 45,28 km. </w:t>
      </w:r>
      <w:r w:rsidRPr="00404DA5">
        <w:rPr>
          <w:rFonts w:cs="Calibri"/>
        </w:rPr>
        <w:t>Koszty jednostkowe przyjęto na podstawie doświadczeń</w:t>
      </w:r>
      <w:r w:rsidR="00E66B89">
        <w:rPr>
          <w:rFonts w:cs="Calibri"/>
        </w:rPr>
        <w:t xml:space="preserve"> z </w:t>
      </w:r>
      <w:r w:rsidRPr="00404DA5">
        <w:rPr>
          <w:rFonts w:cs="Calibri"/>
        </w:rPr>
        <w:t xml:space="preserve">wdrażania referencyjnych projektów </w:t>
      </w:r>
      <w:r w:rsidRPr="00436D27">
        <w:rPr>
          <w:rFonts w:cs="Calibri"/>
        </w:rPr>
        <w:t>minionej perspektywy finansowej (na podstawie danych</w:t>
      </w:r>
      <w:r w:rsidR="00E66B89">
        <w:rPr>
          <w:rFonts w:cs="Calibri"/>
        </w:rPr>
        <w:t xml:space="preserve"> z </w:t>
      </w:r>
      <w:r>
        <w:rPr>
          <w:rFonts w:cs="Calibri"/>
        </w:rPr>
        <w:t>KSI</w:t>
      </w:r>
      <w:r w:rsidRPr="00436D27">
        <w:rPr>
          <w:rFonts w:cs="Calibri"/>
        </w:rPr>
        <w:t>)</w:t>
      </w:r>
      <w:r w:rsidRPr="00404DA5">
        <w:rPr>
          <w:rFonts w:cs="Calibri"/>
        </w:rPr>
        <w:t xml:space="preserve">. </w:t>
      </w:r>
      <w:r w:rsidRPr="00436D27">
        <w:rPr>
          <w:rFonts w:cs="Calibri"/>
        </w:rPr>
        <w:t>Koszt jednostkowy został obliczony jako średni koszt dofinansowania przypadający na daną jednostkę produktu</w:t>
      </w:r>
      <w:r w:rsidR="00E66B89">
        <w:rPr>
          <w:rFonts w:cs="Calibri"/>
        </w:rPr>
        <w:t xml:space="preserve"> i </w:t>
      </w:r>
      <w:r w:rsidRPr="00436D27">
        <w:rPr>
          <w:rFonts w:cs="Calibri"/>
        </w:rPr>
        <w:t>skorygowany zgodnie</w:t>
      </w:r>
      <w:r w:rsidR="00E66B89">
        <w:rPr>
          <w:rFonts w:cs="Calibri"/>
        </w:rPr>
        <w:t xml:space="preserve"> z </w:t>
      </w:r>
      <w:r w:rsidRPr="00436D27">
        <w:rPr>
          <w:rFonts w:cs="Calibri"/>
        </w:rPr>
        <w:t>indeksem WCPBM na ceny stałe</w:t>
      </w:r>
      <w:r w:rsidR="00E66B89">
        <w:rPr>
          <w:rFonts w:cs="Calibri"/>
        </w:rPr>
        <w:t xml:space="preserve"> z </w:t>
      </w:r>
      <w:r w:rsidRPr="00436D27">
        <w:rPr>
          <w:rFonts w:cs="Calibri"/>
        </w:rPr>
        <w:t>2014 r. Ustalono koszt jednostkowy</w:t>
      </w:r>
      <w:r w:rsidR="00E66B89">
        <w:rPr>
          <w:rFonts w:cs="Calibri"/>
        </w:rPr>
        <w:t xml:space="preserve"> w </w:t>
      </w:r>
      <w:r w:rsidRPr="00436D27">
        <w:rPr>
          <w:rFonts w:cs="Calibri"/>
        </w:rPr>
        <w:t>wartości 347 514,51</w:t>
      </w:r>
      <w:r>
        <w:rPr>
          <w:rFonts w:cs="Calibri"/>
        </w:rPr>
        <w:t xml:space="preserve"> </w:t>
      </w:r>
      <w:r w:rsidRPr="00436D27">
        <w:rPr>
          <w:rFonts w:cs="Calibri"/>
        </w:rPr>
        <w:t>zł za 1 km. Założenia te okazały się jednak zbyt optymistyczne,</w:t>
      </w:r>
      <w:r w:rsidR="00E66B89">
        <w:rPr>
          <w:rFonts w:cs="Calibri"/>
        </w:rPr>
        <w:t xml:space="preserve"> a </w:t>
      </w:r>
      <w:r>
        <w:rPr>
          <w:rFonts w:cs="Calibri"/>
        </w:rPr>
        <w:t xml:space="preserve">rzeczywiste </w:t>
      </w:r>
      <w:r w:rsidRPr="00436D27">
        <w:rPr>
          <w:rFonts w:cs="Calibri"/>
        </w:rPr>
        <w:t xml:space="preserve">koszty </w:t>
      </w:r>
      <w:r>
        <w:rPr>
          <w:rFonts w:cs="Calibri"/>
        </w:rPr>
        <w:t>jednostkowe</w:t>
      </w:r>
      <w:r w:rsidRPr="00436D27">
        <w:rPr>
          <w:rFonts w:cs="Calibri"/>
        </w:rPr>
        <w:t xml:space="preserve"> wskaźnika wyższe</w:t>
      </w:r>
      <w:r>
        <w:rPr>
          <w:rFonts w:cs="Calibri"/>
        </w:rPr>
        <w:t>,</w:t>
      </w:r>
      <w:r w:rsidRPr="00436D27">
        <w:rPr>
          <w:rFonts w:cs="Calibri"/>
        </w:rPr>
        <w:t xml:space="preserve"> niż przyjęto na etapie programowania wsparcia (632 790,55 zł za 1 km dla projektów</w:t>
      </w:r>
      <w:r w:rsidR="00E66B89">
        <w:rPr>
          <w:rFonts w:cs="Calibri"/>
        </w:rPr>
        <w:t xml:space="preserve"> z </w:t>
      </w:r>
      <w:r w:rsidRPr="00436D27">
        <w:rPr>
          <w:rFonts w:cs="Calibri"/>
        </w:rPr>
        <w:t>aktualnie zawartą umową</w:t>
      </w:r>
      <w:r w:rsidR="00E66B89">
        <w:rPr>
          <w:rFonts w:cs="Calibri"/>
        </w:rPr>
        <w:t xml:space="preserve"> o </w:t>
      </w:r>
      <w:r w:rsidRPr="00436D27">
        <w:rPr>
          <w:rFonts w:cs="Calibri"/>
        </w:rPr>
        <w:t xml:space="preserve">dofinansowanie). </w:t>
      </w:r>
    </w:p>
    <w:p w14:paraId="447857CE" w14:textId="77777777" w:rsidR="009D215A" w:rsidRDefault="009D215A" w:rsidP="009D215A">
      <w:pPr>
        <w:pStyle w:val="evaluTresc"/>
        <w:rPr>
          <w:rFonts w:cs="Calibri"/>
        </w:rPr>
      </w:pPr>
      <w:r w:rsidRPr="00436D27">
        <w:t xml:space="preserve">Dla wskaźnika pn. </w:t>
      </w:r>
      <w:r w:rsidRPr="00436D27">
        <w:rPr>
          <w:i/>
        </w:rPr>
        <w:t>Liczba dodatkowych osób korzystających</w:t>
      </w:r>
      <w:r w:rsidR="00E66B89">
        <w:rPr>
          <w:i/>
        </w:rPr>
        <w:t xml:space="preserve"> z </w:t>
      </w:r>
      <w:r w:rsidRPr="00436D27">
        <w:rPr>
          <w:i/>
        </w:rPr>
        <w:t>ulepszonego oczyszczania ścieków</w:t>
      </w:r>
      <w:r w:rsidRPr="00436D27">
        <w:t xml:space="preserve"> wartość docelowa na 2023 r. została określona na 5623 RLM. Wartość tego wskaźnika powinna zostać zrealizowana</w:t>
      </w:r>
      <w:r w:rsidR="00E66B89">
        <w:t xml:space="preserve"> z </w:t>
      </w:r>
      <w:r w:rsidRPr="00436D27">
        <w:t>dotychczas zakontraktowanych projektów. Wedle stanu</w:t>
      </w:r>
      <w:r w:rsidR="00E66B89">
        <w:t xml:space="preserve"> z </w:t>
      </w:r>
      <w:r w:rsidRPr="00436D27">
        <w:t>07.01.2019 r. wartość docelowa dla tego wskaźnika zakładana</w:t>
      </w:r>
      <w:r w:rsidR="00E66B89">
        <w:t xml:space="preserve"> w </w:t>
      </w:r>
      <w:r w:rsidRPr="00436D27">
        <w:t xml:space="preserve">projektach mających podpisaną UoD wynosi 20 635 RLM. </w:t>
      </w:r>
      <w:r w:rsidRPr="00404DA5">
        <w:rPr>
          <w:rFonts w:cs="Calibri"/>
        </w:rPr>
        <w:t>Koszty jednostkowe przyjęto na podstawie doświadczeń</w:t>
      </w:r>
      <w:r w:rsidR="00E66B89">
        <w:rPr>
          <w:rFonts w:cs="Calibri"/>
        </w:rPr>
        <w:t xml:space="preserve"> z </w:t>
      </w:r>
      <w:r w:rsidRPr="00404DA5">
        <w:rPr>
          <w:rFonts w:cs="Calibri"/>
        </w:rPr>
        <w:t xml:space="preserve">wdrażania </w:t>
      </w:r>
      <w:r w:rsidRPr="00436D27">
        <w:rPr>
          <w:rFonts w:cs="Calibri"/>
        </w:rPr>
        <w:t>referencyjnych projektów minionej perspektywy finansowej (na podstawie danych</w:t>
      </w:r>
      <w:r w:rsidR="00E66B89">
        <w:rPr>
          <w:rFonts w:cs="Calibri"/>
        </w:rPr>
        <w:t xml:space="preserve"> z </w:t>
      </w:r>
      <w:r>
        <w:rPr>
          <w:rFonts w:cs="Calibri"/>
        </w:rPr>
        <w:t>KSI</w:t>
      </w:r>
      <w:r w:rsidRPr="00436D27">
        <w:rPr>
          <w:rFonts w:cs="Calibri"/>
        </w:rPr>
        <w:t>). Koszt jednostkowy został obliczony jako średni koszt dofinansowania przypadający na daną jednostkę produktu</w:t>
      </w:r>
      <w:r w:rsidR="00E66B89">
        <w:rPr>
          <w:rFonts w:cs="Calibri"/>
        </w:rPr>
        <w:t xml:space="preserve"> i </w:t>
      </w:r>
      <w:r w:rsidRPr="00436D27">
        <w:rPr>
          <w:rFonts w:cs="Calibri"/>
        </w:rPr>
        <w:t>skorygowany zgodnie</w:t>
      </w:r>
      <w:r w:rsidR="00E66B89">
        <w:rPr>
          <w:rFonts w:cs="Calibri"/>
        </w:rPr>
        <w:t xml:space="preserve"> z </w:t>
      </w:r>
      <w:r w:rsidRPr="00436D27">
        <w:rPr>
          <w:rFonts w:cs="Calibri"/>
        </w:rPr>
        <w:t>indeksem WCPBM na ceny stałe</w:t>
      </w:r>
      <w:r w:rsidR="00E66B89">
        <w:rPr>
          <w:rFonts w:cs="Calibri"/>
        </w:rPr>
        <w:t xml:space="preserve"> z </w:t>
      </w:r>
      <w:r w:rsidRPr="00436D27">
        <w:rPr>
          <w:rFonts w:cs="Calibri"/>
        </w:rPr>
        <w:t>2014 r. Ustalono koszt jednostkowy</w:t>
      </w:r>
      <w:r w:rsidR="00E66B89">
        <w:rPr>
          <w:rFonts w:cs="Calibri"/>
        </w:rPr>
        <w:t xml:space="preserve"> w </w:t>
      </w:r>
      <w:r w:rsidRPr="00436D27">
        <w:rPr>
          <w:rFonts w:cs="Calibri"/>
        </w:rPr>
        <w:t>wartości 10 780,43 zł za 1 RLM. Rzeczywiste koszty dla projektów</w:t>
      </w:r>
      <w:r w:rsidR="00E66B89">
        <w:rPr>
          <w:rFonts w:cs="Calibri"/>
        </w:rPr>
        <w:t xml:space="preserve"> z </w:t>
      </w:r>
      <w:r w:rsidRPr="00436D27">
        <w:rPr>
          <w:rFonts w:cs="Calibri"/>
        </w:rPr>
        <w:t>aktualnie zawartą umową</w:t>
      </w:r>
      <w:r w:rsidR="00E66B89">
        <w:rPr>
          <w:rFonts w:cs="Calibri"/>
        </w:rPr>
        <w:t xml:space="preserve"> o </w:t>
      </w:r>
      <w:r w:rsidRPr="00436D27">
        <w:rPr>
          <w:rFonts w:cs="Calibri"/>
        </w:rPr>
        <w:t>dofinansowanie okazały się być jednak niższe (wyniosły 1 860,62 zł za 1 RLM).</w:t>
      </w:r>
    </w:p>
    <w:p w14:paraId="57CD5493" w14:textId="77777777" w:rsidR="009D215A" w:rsidRPr="00436D27" w:rsidRDefault="009D215A" w:rsidP="009D215A">
      <w:pPr>
        <w:pStyle w:val="evaluTresc"/>
      </w:pPr>
      <w:r>
        <w:t>O</w:t>
      </w:r>
      <w:r w:rsidRPr="00CA0A32">
        <w:t>cen</w:t>
      </w:r>
      <w:r>
        <w:t>a</w:t>
      </w:r>
      <w:r w:rsidRPr="00CA0A32">
        <w:t xml:space="preserve"> skutecznoś</w:t>
      </w:r>
      <w:r>
        <w:t>ci</w:t>
      </w:r>
      <w:r w:rsidR="00E66B89">
        <w:t xml:space="preserve"> i </w:t>
      </w:r>
      <w:r w:rsidRPr="00CA0A32">
        <w:t>efektywnoś</w:t>
      </w:r>
      <w:r>
        <w:t>ci</w:t>
      </w:r>
      <w:r w:rsidRPr="00CA0A32">
        <w:t xml:space="preserve"> interwencji RPO WZ 2014-2020</w:t>
      </w:r>
      <w:r w:rsidR="00E66B89">
        <w:t xml:space="preserve"> w </w:t>
      </w:r>
      <w:r w:rsidRPr="00CA0A32">
        <w:t xml:space="preserve">przypadku </w:t>
      </w:r>
      <w:r>
        <w:t>działania 3.6 jest pozytywna</w:t>
      </w:r>
      <w:r w:rsidR="00E66B89">
        <w:t xml:space="preserve"> i </w:t>
      </w:r>
      <w:r>
        <w:t>wysoka. Opisane powyżej różnice wynikają</w:t>
      </w:r>
      <w:r w:rsidR="00E66B89">
        <w:t xml:space="preserve"> z </w:t>
      </w:r>
      <w:r>
        <w:t>obiektywnych okoliczności oraz specyfiki realizowanych projektów.</w:t>
      </w:r>
      <w:r w:rsidR="00E66B89">
        <w:t xml:space="preserve"> W </w:t>
      </w:r>
      <w:r w:rsidRPr="002B6328">
        <w:rPr>
          <w:rFonts w:cs="Calibri"/>
        </w:rPr>
        <w:t xml:space="preserve">przypadku wskaźnika pn. </w:t>
      </w:r>
      <w:r w:rsidRPr="008B706B">
        <w:rPr>
          <w:i/>
        </w:rPr>
        <w:t>Liczba wspartych oczyszczalni ścieków komunalnych</w:t>
      </w:r>
      <w:r w:rsidRPr="00CA0A32">
        <w:rPr>
          <w:i/>
        </w:rPr>
        <w:t xml:space="preserve"> </w:t>
      </w:r>
      <w:r w:rsidRPr="00CA0A32">
        <w:t>rzeczywiste</w:t>
      </w:r>
      <w:r w:rsidRPr="00CA0A32">
        <w:rPr>
          <w:rFonts w:cs="Calibri"/>
        </w:rPr>
        <w:t xml:space="preserve"> koszty okazały się być </w:t>
      </w:r>
      <w:r>
        <w:rPr>
          <w:rFonts w:cs="Calibri"/>
        </w:rPr>
        <w:t>bardzo zbliżone do</w:t>
      </w:r>
      <w:r w:rsidRPr="00CA0A32">
        <w:rPr>
          <w:rFonts w:cs="Calibri"/>
        </w:rPr>
        <w:t xml:space="preserve"> tych zakładanych</w:t>
      </w:r>
      <w:r w:rsidR="00E66B89">
        <w:rPr>
          <w:rFonts w:cs="Calibri"/>
        </w:rPr>
        <w:t xml:space="preserve"> w </w:t>
      </w:r>
      <w:r w:rsidRPr="00CA0A32">
        <w:rPr>
          <w:rFonts w:cs="Calibri"/>
        </w:rPr>
        <w:t>metodologii</w:t>
      </w:r>
      <w:r>
        <w:rPr>
          <w:rFonts w:cs="Calibri"/>
        </w:rPr>
        <w:t>.</w:t>
      </w:r>
      <w:r w:rsidR="00E66B89">
        <w:rPr>
          <w:rFonts w:cs="Calibri"/>
        </w:rPr>
        <w:t xml:space="preserve"> W </w:t>
      </w:r>
      <w:r>
        <w:rPr>
          <w:rFonts w:cs="Calibri"/>
        </w:rPr>
        <w:t xml:space="preserve">odniesieniu do wskaźnika </w:t>
      </w:r>
      <w:r w:rsidRPr="00436D27">
        <w:rPr>
          <w:rFonts w:cs="Calibri"/>
          <w:i/>
          <w:color w:val="000000"/>
        </w:rPr>
        <w:t>Długość sieci kanalizacji sanitarnej</w:t>
      </w:r>
      <w:r>
        <w:rPr>
          <w:rFonts w:cs="Calibri"/>
          <w:i/>
          <w:color w:val="000000"/>
        </w:rPr>
        <w:t xml:space="preserve"> </w:t>
      </w:r>
      <w:r>
        <w:rPr>
          <w:rFonts w:cs="Calibri"/>
          <w:color w:val="000000"/>
        </w:rPr>
        <w:t>koszty rzeczywiste okazały się być wyższe niż te zakładane</w:t>
      </w:r>
      <w:r w:rsidR="00E66B89">
        <w:rPr>
          <w:rFonts w:cs="Calibri"/>
          <w:color w:val="000000"/>
        </w:rPr>
        <w:t xml:space="preserve"> w </w:t>
      </w:r>
      <w:r>
        <w:rPr>
          <w:rFonts w:cs="Calibri"/>
          <w:color w:val="000000"/>
        </w:rPr>
        <w:t>metodologii, zaś</w:t>
      </w:r>
      <w:r w:rsidR="00E66B89">
        <w:rPr>
          <w:rFonts w:cs="Calibri"/>
          <w:color w:val="000000"/>
        </w:rPr>
        <w:t xml:space="preserve"> w </w:t>
      </w:r>
      <w:r>
        <w:rPr>
          <w:rFonts w:cs="Calibri"/>
          <w:color w:val="000000"/>
        </w:rPr>
        <w:t xml:space="preserve">przypadku wskaźnika </w:t>
      </w:r>
      <w:r w:rsidRPr="00436D27">
        <w:rPr>
          <w:i/>
        </w:rPr>
        <w:t>Liczba dodatkowych osób korzystających</w:t>
      </w:r>
      <w:r w:rsidR="00E66B89">
        <w:rPr>
          <w:i/>
        </w:rPr>
        <w:t xml:space="preserve"> z </w:t>
      </w:r>
      <w:r w:rsidRPr="00436D27">
        <w:rPr>
          <w:i/>
        </w:rPr>
        <w:t>ulepszonego oczyszczania ścieków</w:t>
      </w:r>
      <w:r>
        <w:rPr>
          <w:i/>
        </w:rPr>
        <w:t xml:space="preserve"> </w:t>
      </w:r>
      <w:r>
        <w:rPr>
          <w:rFonts w:cs="Calibri"/>
          <w:color w:val="000000"/>
        </w:rPr>
        <w:t>koszty rzeczywiste okazały się być niższe niż te zakładane</w:t>
      </w:r>
      <w:r w:rsidR="00E66B89">
        <w:rPr>
          <w:rFonts w:cs="Calibri"/>
          <w:color w:val="000000"/>
        </w:rPr>
        <w:t xml:space="preserve"> w </w:t>
      </w:r>
      <w:r>
        <w:rPr>
          <w:rFonts w:cs="Calibri"/>
          <w:color w:val="000000"/>
        </w:rPr>
        <w:t>metodologii.</w:t>
      </w:r>
      <w:r w:rsidR="00E66B89">
        <w:rPr>
          <w:rFonts w:cs="Calibri"/>
          <w:color w:val="000000"/>
        </w:rPr>
        <w:t xml:space="preserve"> W </w:t>
      </w:r>
      <w:r>
        <w:t>ocenie ewaluatora pomimo większych rzeczywistych kosztów jednostkowych wspartej sieci kanalizacyjnej możliwe jest osiągnięcie odpowiednio wysokich rezultatów</w:t>
      </w:r>
      <w:r w:rsidR="00E66B89">
        <w:t xml:space="preserve"> w </w:t>
      </w:r>
      <w:r>
        <w:t>postaci zwiększenia liczby dodatkowych osób korzystających</w:t>
      </w:r>
      <w:r w:rsidR="00E66B89">
        <w:t xml:space="preserve"> z </w:t>
      </w:r>
      <w:r>
        <w:t>ulepszonego oczyszczania ścieków. Może to świadczyć</w:t>
      </w:r>
      <w:r w:rsidR="00E66B89">
        <w:t xml:space="preserve"> o </w:t>
      </w:r>
      <w:r>
        <w:t>tym, iż projekty były realizowane na obszarach</w:t>
      </w:r>
      <w:r w:rsidR="00E66B89">
        <w:t xml:space="preserve"> o </w:t>
      </w:r>
      <w:r>
        <w:t>odpowiednio gęstym zaludnieniu. Ponadto istotną rolę</w:t>
      </w:r>
      <w:r w:rsidR="00E66B89">
        <w:t xml:space="preserve"> w </w:t>
      </w:r>
      <w:r>
        <w:t xml:space="preserve">zakresie osiągnięcia tego wskaźnika mają projekty typu oczyszczalnie ścieków. </w:t>
      </w:r>
      <w:r w:rsidRPr="00436D27">
        <w:t xml:space="preserve">Różnice </w:t>
      </w:r>
      <w:r w:rsidRPr="00436D27">
        <w:lastRenderedPageBreak/>
        <w:t>pomiędzy wartościami prognozowanymi,</w:t>
      </w:r>
      <w:r w:rsidR="00E66B89">
        <w:t xml:space="preserve"> a </w:t>
      </w:r>
      <w:r w:rsidRPr="00436D27">
        <w:t>realnie obserwowanymi wynikają</w:t>
      </w:r>
      <w:r w:rsidR="00E66B89">
        <w:t xml:space="preserve"> z </w:t>
      </w:r>
      <w:r w:rsidRPr="00436D27">
        <w:t>okoliczności obiektywnych. Zainteresowanie aplikowaniem</w:t>
      </w:r>
      <w:r w:rsidR="00E66B89">
        <w:t xml:space="preserve"> o </w:t>
      </w:r>
      <w:r w:rsidRPr="00436D27">
        <w:t>wsparcie</w:t>
      </w:r>
      <w:r w:rsidR="00E66B89">
        <w:t xml:space="preserve"> w </w:t>
      </w:r>
      <w:r w:rsidRPr="00436D27">
        <w:t>ramach Działań 3.5</w:t>
      </w:r>
      <w:r w:rsidR="00E66B89">
        <w:t xml:space="preserve"> i </w:t>
      </w:r>
      <w:r w:rsidRPr="00436D27">
        <w:t>3.6 było odpowiednio wysokie. Generalnie różnica pomiędzy wartością prognozowaną,</w:t>
      </w:r>
      <w:r w:rsidR="00E66B89">
        <w:t xml:space="preserve"> a </w:t>
      </w:r>
      <w:r w:rsidRPr="00436D27">
        <w:t>wartością osiągniętą wynika</w:t>
      </w:r>
      <w:r w:rsidR="00E66B89">
        <w:t xml:space="preserve"> z </w:t>
      </w:r>
      <w:r w:rsidRPr="00436D27">
        <w:t>przyjętych założeń dotyczących wartości kosztów jednostkowych.</w:t>
      </w:r>
      <w:r w:rsidR="00E66B89">
        <w:t xml:space="preserve"> W </w:t>
      </w:r>
      <w:r w:rsidRPr="00436D27">
        <w:t>przypadku projektów oczyszczalni ścieków planowane przekroczenie celu pośredniego</w:t>
      </w:r>
      <w:r w:rsidR="00E66B89">
        <w:t xml:space="preserve"> o </w:t>
      </w:r>
      <w:r w:rsidRPr="00436D27">
        <w:t>250% wynika</w:t>
      </w:r>
      <w:r w:rsidR="00E66B89">
        <w:t xml:space="preserve"> z </w:t>
      </w:r>
      <w:r w:rsidRPr="00436D27">
        <w:t>większej niż zakładano na etapie programowania liczby tego typu projektów składanych przez wnioskodawców na tym etapie wdrażania. Problem</w:t>
      </w:r>
      <w:r w:rsidR="00E66B89">
        <w:t xml:space="preserve"> z </w:t>
      </w:r>
      <w:r w:rsidRPr="00436D27">
        <w:t xml:space="preserve">osiągnięciem założonej wartości wskaźnika </w:t>
      </w:r>
      <w:r w:rsidRPr="008B706B">
        <w:rPr>
          <w:i/>
        </w:rPr>
        <w:t>Długość sieci kanalizacji sanitarnej</w:t>
      </w:r>
      <w:r w:rsidRPr="00436D27">
        <w:t xml:space="preserve"> wynika</w:t>
      </w:r>
      <w:r w:rsidR="00E66B89">
        <w:t xml:space="preserve"> z </w:t>
      </w:r>
      <w:r w:rsidRPr="00436D27">
        <w:t>faktu prowadzenia prognoz na zaniżonej wartości kosztu jednostkowego wskaźnika.</w:t>
      </w:r>
    </w:p>
    <w:p w14:paraId="7B3263F7" w14:textId="77777777" w:rsidR="009D215A" w:rsidRPr="00436D27" w:rsidRDefault="009D215A" w:rsidP="009D215A">
      <w:pPr>
        <w:pStyle w:val="evaluTresc"/>
      </w:pPr>
      <w:r w:rsidRPr="00436D27">
        <w:t>W momencie szacowania wartości docelowych wskaźników PI 6b</w:t>
      </w:r>
      <w:r w:rsidR="00E66B89">
        <w:t xml:space="preserve"> w </w:t>
      </w:r>
      <w:r w:rsidRPr="00436D27">
        <w:t>RPO WZ 2014-2020 brak było pełnej</w:t>
      </w:r>
      <w:r w:rsidR="00E66B89">
        <w:t xml:space="preserve"> i </w:t>
      </w:r>
      <w:r w:rsidRPr="00436D27">
        <w:t>aktualnej identyfikacji potrzeb realizacji inwestycji podlegających wsparciu (te zostały dopiero zgromadzone</w:t>
      </w:r>
      <w:r w:rsidR="00E66B89">
        <w:t xml:space="preserve"> w </w:t>
      </w:r>
      <w:r w:rsidRPr="00436D27">
        <w:t>momencie V aktualizacji KPOŚK). Ponadto jednostka wskaźnika może być osiągnięta</w:t>
      </w:r>
      <w:r w:rsidR="00E66B89">
        <w:t xml:space="preserve"> w </w:t>
      </w:r>
      <w:r w:rsidRPr="00436D27">
        <w:t>momencie, gdy zwiększana jest liczba osób korzystających</w:t>
      </w:r>
      <w:r w:rsidR="00E66B89">
        <w:t xml:space="preserve"> z </w:t>
      </w:r>
      <w:r w:rsidRPr="00436D27">
        <w:t>ulepszonego zaopatrzenia</w:t>
      </w:r>
      <w:r w:rsidR="00E66B89">
        <w:t xml:space="preserve"> w </w:t>
      </w:r>
      <w:r w:rsidRPr="00436D27">
        <w:t>wodę/oczyszczania ścieków. Zatem projekty odtworzeniowe</w:t>
      </w:r>
      <w:r>
        <w:t xml:space="preserve"> -</w:t>
      </w:r>
      <w:r w:rsidR="00E66B89">
        <w:t xml:space="preserve"> w </w:t>
      </w:r>
      <w:r w:rsidRPr="00436D27">
        <w:t xml:space="preserve">momencie, gdy liczba obsługiwanych osób nie wzrasta </w:t>
      </w:r>
      <w:r>
        <w:t xml:space="preserve">- </w:t>
      </w:r>
      <w:r w:rsidRPr="00436D27">
        <w:t>nie są</w:t>
      </w:r>
      <w:r w:rsidR="00E66B89">
        <w:t xml:space="preserve"> w </w:t>
      </w:r>
      <w:r w:rsidRPr="00436D27">
        <w:t xml:space="preserve">stanie przyczynić się do </w:t>
      </w:r>
      <w:r>
        <w:t>osiągnięcia</w:t>
      </w:r>
      <w:r w:rsidRPr="00436D27">
        <w:t xml:space="preserve"> wskaźnika (co</w:t>
      </w:r>
      <w:r w:rsidR="00E66B89">
        <w:t xml:space="preserve"> w </w:t>
      </w:r>
      <w:r w:rsidRPr="00436D27">
        <w:t>żaden sposób nie świadczy</w:t>
      </w:r>
      <w:r w:rsidR="00E66B89">
        <w:t xml:space="preserve"> o </w:t>
      </w:r>
      <w:r w:rsidRPr="00436D27">
        <w:t>np. niższej jakości czy braku potrzeb realizacji takich projektów). Jak pokazano</w:t>
      </w:r>
      <w:r w:rsidR="00E66B89">
        <w:t xml:space="preserve"> w </w:t>
      </w:r>
      <w:r w:rsidRPr="00436D27">
        <w:t>podrozdziałach wcześniejszych</w:t>
      </w:r>
      <w:r>
        <w:t>,</w:t>
      </w:r>
      <w:r w:rsidRPr="00436D27">
        <w:t xml:space="preserve"> stopień zwodociągowania</w:t>
      </w:r>
      <w:r w:rsidR="00E66B89">
        <w:t xml:space="preserve"> i </w:t>
      </w:r>
      <w:r w:rsidRPr="00436D27">
        <w:t>skanalizowania województwa zachodniopomorskiego jest na bardzo wysokim poziomie (jednym</w:t>
      </w:r>
      <w:r w:rsidR="00E66B89">
        <w:t xml:space="preserve"> z </w:t>
      </w:r>
      <w:r w:rsidRPr="00436D27">
        <w:t>najwyższych</w:t>
      </w:r>
      <w:r w:rsidR="00E66B89">
        <w:t xml:space="preserve"> w </w:t>
      </w:r>
      <w:r w:rsidRPr="00436D27">
        <w:t>kraju). Województwo zachodniopomorskie ma jedną</w:t>
      </w:r>
      <w:r w:rsidR="00E66B89">
        <w:t xml:space="preserve"> z </w:t>
      </w:r>
      <w:r w:rsidRPr="00436D27">
        <w:t>najniższych gęstości zaludnienia (wynosi 75 osób na 1 km</w:t>
      </w:r>
      <w:r w:rsidRPr="00436D27">
        <w:rPr>
          <w:vertAlign w:val="superscript"/>
        </w:rPr>
        <w:t>2</w:t>
      </w:r>
      <w:r w:rsidRPr="00436D27">
        <w:t>, przy średniej dla kraju 123 – dane za 2017 r.).</w:t>
      </w:r>
      <w:r w:rsidR="00E66B89">
        <w:t xml:space="preserve"> W </w:t>
      </w:r>
      <w:r w:rsidRPr="00436D27">
        <w:t>regionie bardzo niska jest wartość wskaźnika gęstości zaludnienia powierzchni zabudowanej</w:t>
      </w:r>
      <w:r w:rsidR="00E66B89">
        <w:t xml:space="preserve"> i </w:t>
      </w:r>
      <w:r w:rsidRPr="00436D27">
        <w:t xml:space="preserve">zurbanizowanej (w 2017 r. wyniosła </w:t>
      </w:r>
      <w:r w:rsidRPr="00436D27">
        <w:rPr>
          <w:rFonts w:cs="Calibri"/>
        </w:rPr>
        <w:t>1 679</w:t>
      </w:r>
      <w:r w:rsidRPr="00436D27">
        <w:t xml:space="preserve"> osoby/km</w:t>
      </w:r>
      <w:r w:rsidRPr="00436D27">
        <w:rPr>
          <w:vertAlign w:val="superscript"/>
        </w:rPr>
        <w:t>2</w:t>
      </w:r>
      <w:r w:rsidRPr="00436D27">
        <w:t>, przy średniej dla kraju wynoszącej 2259). Powyższe utrudnia wykazanie podłączenia dodatkowych osób do sieci kanalizacji sanitarnej / wodociągów (realizowane</w:t>
      </w:r>
      <w:r w:rsidR="00E66B89">
        <w:t xml:space="preserve"> w </w:t>
      </w:r>
      <w:r w:rsidRPr="00436D27">
        <w:t>ramach Działania 3.5</w:t>
      </w:r>
      <w:r w:rsidR="00E66B89">
        <w:t xml:space="preserve"> i </w:t>
      </w:r>
      <w:r w:rsidRPr="00436D27">
        <w:t>3.6 projekty zakładały także prace odtworzeniowe</w:t>
      </w:r>
      <w:r w:rsidR="00E66B89">
        <w:t xml:space="preserve"> i </w:t>
      </w:r>
      <w:r w:rsidRPr="00436D27">
        <w:t>modernizacyjne). Warto także</w:t>
      </w:r>
      <w:r w:rsidR="00E66B89">
        <w:t xml:space="preserve"> w </w:t>
      </w:r>
      <w:r w:rsidRPr="00436D27">
        <w:t>tym miejscu raz jeszcze podkreślić silną specyfikę województwa zachodniopomorskiego utrudniającą realizację projektów wodociągowych</w:t>
      </w:r>
      <w:r w:rsidR="00E66B89">
        <w:t xml:space="preserve"> i </w:t>
      </w:r>
      <w:r w:rsidRPr="00436D27">
        <w:t xml:space="preserve">kanalizacyjnych. </w:t>
      </w:r>
    </w:p>
    <w:p w14:paraId="5731EF65" w14:textId="77777777" w:rsidR="009D215A" w:rsidRDefault="009D215A" w:rsidP="009D215A">
      <w:pPr>
        <w:pStyle w:val="evaluTresc"/>
      </w:pPr>
      <w:r>
        <w:t>P</w:t>
      </w:r>
      <w:r w:rsidRPr="00436D27">
        <w:t>rzyjęte</w:t>
      </w:r>
      <w:r w:rsidR="00E66B89">
        <w:t xml:space="preserve"> w </w:t>
      </w:r>
      <w:r w:rsidRPr="00436D27">
        <w:t xml:space="preserve">PI 6b </w:t>
      </w:r>
      <w:r>
        <w:t xml:space="preserve">szacowane </w:t>
      </w:r>
      <w:r w:rsidRPr="00436D27">
        <w:t>wartości kosztów jednostkowych nie odbiegają</w:t>
      </w:r>
      <w:r w:rsidR="00E66B89">
        <w:t xml:space="preserve"> w </w:t>
      </w:r>
      <w:r w:rsidRPr="00436D27">
        <w:t xml:space="preserve">sposób </w:t>
      </w:r>
      <w:r>
        <w:t>radykalny</w:t>
      </w:r>
      <w:r w:rsidRPr="00436D27">
        <w:t xml:space="preserve"> od tych jakie </w:t>
      </w:r>
      <w:r>
        <w:t>ostatecznie</w:t>
      </w:r>
      <w:r w:rsidRPr="00436D27">
        <w:t xml:space="preserve"> zaobserwowano we wspieranych</w:t>
      </w:r>
      <w:r>
        <w:t xml:space="preserve"> -</w:t>
      </w:r>
      <w:r w:rsidR="00E66B89">
        <w:t xml:space="preserve"> w </w:t>
      </w:r>
      <w:r w:rsidRPr="00436D27">
        <w:t>Działaniu 3.5</w:t>
      </w:r>
      <w:r w:rsidR="00E66B89">
        <w:t xml:space="preserve"> i </w:t>
      </w:r>
      <w:r w:rsidRPr="00436D27">
        <w:t>3.6</w:t>
      </w:r>
      <w:r>
        <w:t xml:space="preserve"> -</w:t>
      </w:r>
      <w:r w:rsidRPr="00436D27">
        <w:t xml:space="preserve"> projektach. </w:t>
      </w:r>
      <w:r>
        <w:t>Ewentualne</w:t>
      </w:r>
      <w:r w:rsidRPr="00436D27">
        <w:t xml:space="preserve"> różnice pomiędzy wartościami zakładanymi</w:t>
      </w:r>
      <w:r>
        <w:t>,</w:t>
      </w:r>
      <w:r w:rsidR="00E66B89">
        <w:t xml:space="preserve"> a </w:t>
      </w:r>
      <w:r w:rsidRPr="00436D27">
        <w:t>rzeczywistymi wynikają</w:t>
      </w:r>
      <w:r w:rsidR="00E66B89">
        <w:t xml:space="preserve"> z </w:t>
      </w:r>
      <w:r w:rsidRPr="00436D27">
        <w:t>okoliczności obiektywnych, na które IZ RPO WZ 2014-2020 nie miała wpływu.</w:t>
      </w:r>
      <w:r>
        <w:t xml:space="preserve"> Przyjęte założenia dotyczące kosztów jednostkowych</w:t>
      </w:r>
      <w:r w:rsidR="00E66B89">
        <w:t xml:space="preserve"> w </w:t>
      </w:r>
      <w:r>
        <w:t>głównej mierze bazowały na skorygowanych danych ze zrealizowanych projektów</w:t>
      </w:r>
      <w:r w:rsidR="00E66B89">
        <w:t xml:space="preserve"> z </w:t>
      </w:r>
      <w:r>
        <w:t>minionej perspektywy finansowej.</w:t>
      </w:r>
      <w:r w:rsidR="00E66B89">
        <w:t xml:space="preserve"> W </w:t>
      </w:r>
      <w:r>
        <w:t>jej ramach zrealizowano odpowiednio liczny zbiór projektów,</w:t>
      </w:r>
      <w:r w:rsidR="00E66B89">
        <w:t xml:space="preserve"> w </w:t>
      </w:r>
      <w:r>
        <w:t>oparciu</w:t>
      </w:r>
      <w:r w:rsidR="00E66B89">
        <w:t xml:space="preserve"> o </w:t>
      </w:r>
      <w:r>
        <w:t>który możliwe było przeprowadzenie trafnego szacowania wartości docelowej wskaźników. Projekty realizowane</w:t>
      </w:r>
      <w:r w:rsidR="00E66B89">
        <w:t xml:space="preserve"> w </w:t>
      </w:r>
      <w:r>
        <w:t>ramach Działania 3.5 oraz 3.6 są -</w:t>
      </w:r>
      <w:r w:rsidR="00E66B89">
        <w:t xml:space="preserve"> z </w:t>
      </w:r>
      <w:r>
        <w:t>uwagi na specyfikę niezbędnych do realizacji</w:t>
      </w:r>
      <w:r w:rsidR="00E66B89">
        <w:t xml:space="preserve"> w </w:t>
      </w:r>
      <w:r>
        <w:t>ich ramach zadań – do siebie zasadniczo zbliżone (to</w:t>
      </w:r>
      <w:r w:rsidR="00E66B89">
        <w:t xml:space="preserve"> w </w:t>
      </w:r>
      <w:r>
        <w:t>pewnym stopniu ułatwia prognozowanie kosztów jednostkowych). Natomiast utrudnieniem</w:t>
      </w:r>
      <w:r w:rsidR="00E66B89">
        <w:t xml:space="preserve"> w </w:t>
      </w:r>
      <w:r>
        <w:t>przyjęciu jeszcze bardziej trafnych założeń był brak</w:t>
      </w:r>
      <w:r w:rsidRPr="00436D27">
        <w:t xml:space="preserve"> precyzyjnie zdiagnozowanych potrzeb </w:t>
      </w:r>
      <w:r>
        <w:t>na etapie programowania wsparcia</w:t>
      </w:r>
      <w:r w:rsidR="00E66B89">
        <w:t xml:space="preserve"> z </w:t>
      </w:r>
      <w:r w:rsidRPr="00436D27">
        <w:t>RPO WZ 2014-2020</w:t>
      </w:r>
      <w:r>
        <w:t xml:space="preserve"> (jak już wspomniano wcześniej wynikało to</w:t>
      </w:r>
      <w:r w:rsidR="00E66B89">
        <w:t xml:space="preserve"> z </w:t>
      </w:r>
      <w:r w:rsidRPr="00436D27">
        <w:t>planowan</w:t>
      </w:r>
      <w:r>
        <w:t>ej wówczas piątej aktualizacji KPOŚK).</w:t>
      </w:r>
      <w:r w:rsidR="00E66B89">
        <w:t xml:space="preserve"> Z </w:t>
      </w:r>
      <w:r>
        <w:t xml:space="preserve">tego względu </w:t>
      </w:r>
      <w:r w:rsidRPr="00436D27">
        <w:t>prognozowanie wartości docelowych wskaźników było obarczone pewnym poziomem nieufności.</w:t>
      </w:r>
      <w:r>
        <w:t xml:space="preserve"> Ponadto koszt</w:t>
      </w:r>
      <w:r w:rsidRPr="00436D27">
        <w:t xml:space="preserve"> jednostkow</w:t>
      </w:r>
      <w:r>
        <w:t>y</w:t>
      </w:r>
      <w:r w:rsidRPr="00436D27">
        <w:t xml:space="preserve"> projektów infrastrukturalnych</w:t>
      </w:r>
      <w:r w:rsidR="00E66B89">
        <w:t xml:space="preserve"> w </w:t>
      </w:r>
      <w:r w:rsidRPr="00436D27">
        <w:t>gospodarce wodno-ściekowej</w:t>
      </w:r>
      <w:r w:rsidR="00E66B89">
        <w:t xml:space="preserve"> w </w:t>
      </w:r>
      <w:r>
        <w:t>pewnym stopniu</w:t>
      </w:r>
      <w:r w:rsidRPr="00436D27">
        <w:t xml:space="preserve"> zależ</w:t>
      </w:r>
      <w:r>
        <w:t>y także</w:t>
      </w:r>
      <w:r w:rsidRPr="00436D27">
        <w:t xml:space="preserve"> </w:t>
      </w:r>
      <w:r>
        <w:t xml:space="preserve">od </w:t>
      </w:r>
      <w:r w:rsidRPr="00436D27">
        <w:t>lokaln</w:t>
      </w:r>
      <w:r>
        <w:t xml:space="preserve">ych uwarunkowań (np. takich jak </w:t>
      </w:r>
      <w:r w:rsidRPr="00436D27">
        <w:t>rzeźba terenu, warunki hydrogeologiczne,</w:t>
      </w:r>
      <w:r>
        <w:t xml:space="preserve"> </w:t>
      </w:r>
      <w:r w:rsidRPr="00436D27">
        <w:t>technologia oczyszczania ścieków, stan techniczny modernizowanych obiektów, stan prawny gruntów, układ geodezyjny działek ewidencyjnych itp.).</w:t>
      </w:r>
    </w:p>
    <w:p w14:paraId="31B9C87D" w14:textId="77777777" w:rsidR="009D215A" w:rsidRPr="00436D27" w:rsidRDefault="009D215A" w:rsidP="009D215A">
      <w:pPr>
        <w:pStyle w:val="evaluTresc"/>
      </w:pPr>
      <w:r w:rsidRPr="00436D27">
        <w:t>Przyjęty zestaw wskaźników monitorowania oraz wartości docelowych</w:t>
      </w:r>
      <w:r w:rsidR="00E66B89">
        <w:t xml:space="preserve"> w </w:t>
      </w:r>
      <w:r w:rsidRPr="00436D27">
        <w:t xml:space="preserve">ocenie </w:t>
      </w:r>
      <w:r>
        <w:t>e</w:t>
      </w:r>
      <w:r w:rsidRPr="00436D27">
        <w:t>waluatora należy ocenić jako trafny. Pozwala on na pomiar kluczowych efektów będących wynikiem wspieranych projektów. Potwierdzeniem powyższej oceny jest opinia respondentów badania ilościowego. 88,2% ankietowanych wskazało, iż ich zdaniem wskaźniki programowe, obowiązkowe do monitorowania</w:t>
      </w:r>
      <w:r w:rsidR="00E66B89">
        <w:t xml:space="preserve"> w </w:t>
      </w:r>
      <w:r w:rsidRPr="00436D27">
        <w:t>projekcie</w:t>
      </w:r>
      <w:r>
        <w:t>,</w:t>
      </w:r>
      <w:r w:rsidRPr="00436D27">
        <w:t xml:space="preserve"> trafnie mierzą jego efekty</w:t>
      </w:r>
      <w:r w:rsidR="00E66B89">
        <w:t xml:space="preserve"> i </w:t>
      </w:r>
      <w:r w:rsidRPr="00436D27">
        <w:t xml:space="preserve">odnoszą się do rzeczywistych </w:t>
      </w:r>
      <w:r>
        <w:t>rezultatów</w:t>
      </w:r>
      <w:r w:rsidRPr="00436D27">
        <w:t xml:space="preserve"> projektu. Nie </w:t>
      </w:r>
      <w:r w:rsidRPr="00436D27">
        <w:lastRenderedPageBreak/>
        <w:t>odnotowano żadnej oceny negatywnej</w:t>
      </w:r>
      <w:r w:rsidR="00E66B89">
        <w:t xml:space="preserve"> w </w:t>
      </w:r>
      <w:r w:rsidRPr="00436D27">
        <w:t>tym zakresie.</w:t>
      </w:r>
      <w:r w:rsidR="00E66B89">
        <w:t xml:space="preserve"> Z </w:t>
      </w:r>
      <w:r w:rsidRPr="00436D27">
        <w:t xml:space="preserve">uwagi na precyzyjną definicję przyjętych wskaźników monitorowania oraz konkretny typ wspieranych projektów brak jest zagrożenia, iż wybrane do realizacji projekty nie będą przyczyniały się do </w:t>
      </w:r>
      <w:r>
        <w:t>osiągnięcia</w:t>
      </w:r>
      <w:r w:rsidRPr="00436D27">
        <w:t xml:space="preserve"> założonych </w:t>
      </w:r>
      <w:r>
        <w:t xml:space="preserve">wartości </w:t>
      </w:r>
      <w:r w:rsidRPr="00436D27">
        <w:t>wskaźników. Zakres udzielanego wsparcia</w:t>
      </w:r>
      <w:r w:rsidR="00E66B89">
        <w:t xml:space="preserve"> w </w:t>
      </w:r>
      <w:r w:rsidRPr="00436D27">
        <w:t>ramach PI 6b</w:t>
      </w:r>
      <w:r w:rsidR="00E66B89">
        <w:t xml:space="preserve"> w </w:t>
      </w:r>
      <w:r w:rsidRPr="00436D27">
        <w:t>silny</w:t>
      </w:r>
      <w:r w:rsidR="00E66B89">
        <w:t xml:space="preserve"> i </w:t>
      </w:r>
      <w:r w:rsidRPr="00436D27">
        <w:t>bezpośredni sposób łączy się ze zdiagnozowanymi potrzebami województwa zachodniopomorskiego. Wsparte projekty będą przyczyniały się do poprawy sytuacji</w:t>
      </w:r>
      <w:r w:rsidR="00E66B89">
        <w:t xml:space="preserve"> w </w:t>
      </w:r>
      <w:r w:rsidRPr="00436D27">
        <w:t>zakresie gospodarki wodno-ściekowej</w:t>
      </w:r>
      <w:r w:rsidR="00E66B89">
        <w:t xml:space="preserve"> w </w:t>
      </w:r>
      <w:r w:rsidRPr="00436D27">
        <w:t>aglomeracjach od 2 do 10 tys. RLM (szczególnie</w:t>
      </w:r>
      <w:r w:rsidR="00E66B89">
        <w:t xml:space="preserve"> w </w:t>
      </w:r>
      <w:r w:rsidRPr="00436D27">
        <w:t>zakresie odbioru</w:t>
      </w:r>
      <w:r w:rsidR="00E66B89">
        <w:t xml:space="preserve"> i </w:t>
      </w:r>
      <w:r w:rsidRPr="00436D27">
        <w:t xml:space="preserve">zagospodarowania ścieków komunalnych). </w:t>
      </w:r>
    </w:p>
    <w:p w14:paraId="3F4D323C" w14:textId="77777777" w:rsidR="009D215A" w:rsidRDefault="009D215A" w:rsidP="009D215A">
      <w:pPr>
        <w:pStyle w:val="evaluTresc"/>
      </w:pPr>
      <w:r>
        <w:t>Wsparcie kierowane</w:t>
      </w:r>
      <w:r w:rsidR="00E66B89">
        <w:t xml:space="preserve"> w </w:t>
      </w:r>
      <w:r>
        <w:t>ramach</w:t>
      </w:r>
      <w:r w:rsidRPr="00436D27">
        <w:t xml:space="preserve"> PI</w:t>
      </w:r>
      <w:r>
        <w:t xml:space="preserve"> 6b</w:t>
      </w:r>
      <w:r w:rsidRPr="00436D27">
        <w:t xml:space="preserve"> </w:t>
      </w:r>
      <w:r>
        <w:t>jest silnie skoncentrowane na wąskiej grupie typów projektów możliwych do realizacji.</w:t>
      </w:r>
      <w:r w:rsidR="00E66B89">
        <w:t xml:space="preserve"> Z </w:t>
      </w:r>
      <w:r>
        <w:t>tego względu, przyjęty zestaw wskaźników</w:t>
      </w:r>
      <w:r w:rsidR="00E66B89">
        <w:t xml:space="preserve"> w </w:t>
      </w:r>
      <w:r w:rsidRPr="00436D27">
        <w:t>ramach Działania 3.5</w:t>
      </w:r>
      <w:r w:rsidR="00E66B89">
        <w:t xml:space="preserve"> i </w:t>
      </w:r>
      <w:r w:rsidRPr="00436D27">
        <w:t xml:space="preserve">3.6 </w:t>
      </w:r>
      <w:r>
        <w:t>ocenić należy za bardzo trafny</w:t>
      </w:r>
      <w:r w:rsidR="00E66B89">
        <w:t xml:space="preserve"> i </w:t>
      </w:r>
      <w:r>
        <w:t xml:space="preserve">dobrze przystający do specyfiki wdrażanych inwestycji. Zestaw ten daje odpowiednie możliwości bieżącego monitorowania postępów wdrażania PI 6b oraz efektów osiąganych przez realizowane projekty. </w:t>
      </w:r>
    </w:p>
    <w:p w14:paraId="0F8D04F0" w14:textId="77777777" w:rsidR="009D215A" w:rsidRPr="00436D27" w:rsidRDefault="009D215A" w:rsidP="009D215A">
      <w:pPr>
        <w:pStyle w:val="evaluTresc"/>
      </w:pPr>
      <w:r w:rsidRPr="00436D27">
        <w:t xml:space="preserve">Istotną kwestią dla </w:t>
      </w:r>
      <w:r>
        <w:t>osiągnięcia</w:t>
      </w:r>
      <w:r w:rsidRPr="00436D27">
        <w:t xml:space="preserve"> założonych wartości wskaźników</w:t>
      </w:r>
      <w:r w:rsidR="00E66B89">
        <w:t xml:space="preserve"> w </w:t>
      </w:r>
      <w:r w:rsidRPr="00436D27">
        <w:t>PI 6b było sprawne przygotowanie</w:t>
      </w:r>
      <w:r w:rsidR="00E66B89">
        <w:t xml:space="preserve"> i </w:t>
      </w:r>
      <w:r w:rsidRPr="00436D27">
        <w:t>ogłoszenie przez IZ RPO WZ 2014-2020 naborów</w:t>
      </w:r>
      <w:r w:rsidR="00E66B89">
        <w:t xml:space="preserve"> w </w:t>
      </w:r>
      <w:r w:rsidRPr="00436D27">
        <w:t>Działaniu 3.5</w:t>
      </w:r>
      <w:r w:rsidR="00E66B89">
        <w:t xml:space="preserve"> i </w:t>
      </w:r>
      <w:r w:rsidRPr="00436D27">
        <w:t xml:space="preserve">3.6. </w:t>
      </w:r>
    </w:p>
    <w:p w14:paraId="30031633" w14:textId="77777777" w:rsidR="009D215A" w:rsidRPr="00436D27" w:rsidRDefault="009D215A" w:rsidP="009D215A">
      <w:pPr>
        <w:rPr>
          <w:szCs w:val="20"/>
        </w:rPr>
      </w:pPr>
      <w:r w:rsidRPr="00436D27">
        <w:rPr>
          <w:rFonts w:eastAsia="Calibri"/>
          <w:szCs w:val="20"/>
          <w:lang w:eastAsia="en-US"/>
        </w:rPr>
        <w:t>W trakcie trwania naborów oraz oceny wniosków nie występowały istotne problemy powodujące opóźnienia. Terminy rozstrzygnięcia konkursów podawane na etapie ogłoszenia naborów były dotrzymywane. Nie wprowadzano zmian</w:t>
      </w:r>
      <w:r w:rsidR="00E66B89">
        <w:rPr>
          <w:rFonts w:eastAsia="Calibri"/>
          <w:szCs w:val="20"/>
          <w:lang w:eastAsia="en-US"/>
        </w:rPr>
        <w:t xml:space="preserve"> w </w:t>
      </w:r>
      <w:r w:rsidRPr="00436D27">
        <w:rPr>
          <w:rFonts w:eastAsia="Calibri"/>
          <w:szCs w:val="20"/>
          <w:lang w:eastAsia="en-US"/>
        </w:rPr>
        <w:t>regulaminach konkursów. Podmioty</w:t>
      </w:r>
      <w:r>
        <w:rPr>
          <w:rFonts w:eastAsia="Calibri"/>
          <w:szCs w:val="20"/>
          <w:lang w:eastAsia="en-US"/>
        </w:rPr>
        <w:t>,</w:t>
      </w:r>
      <w:r w:rsidRPr="00436D27">
        <w:rPr>
          <w:rFonts w:eastAsia="Calibri"/>
          <w:szCs w:val="20"/>
          <w:lang w:eastAsia="en-US"/>
        </w:rPr>
        <w:t xml:space="preserve"> dla których kierowane było wsparcie (JST, ich związki</w:t>
      </w:r>
      <w:r w:rsidR="00E66B89">
        <w:rPr>
          <w:rFonts w:eastAsia="Calibri"/>
          <w:szCs w:val="20"/>
          <w:lang w:eastAsia="en-US"/>
        </w:rPr>
        <w:t xml:space="preserve"> i </w:t>
      </w:r>
      <w:r w:rsidRPr="00436D27">
        <w:rPr>
          <w:rFonts w:eastAsia="Calibri"/>
          <w:szCs w:val="20"/>
          <w:lang w:eastAsia="en-US"/>
        </w:rPr>
        <w:t>stowarzyszenia oraz</w:t>
      </w:r>
      <w:r>
        <w:rPr>
          <w:rFonts w:eastAsia="Calibri"/>
          <w:szCs w:val="20"/>
          <w:lang w:eastAsia="en-US"/>
        </w:rPr>
        <w:t xml:space="preserve"> </w:t>
      </w:r>
      <w:r w:rsidRPr="00436D27">
        <w:rPr>
          <w:rFonts w:eastAsia="Calibri"/>
          <w:szCs w:val="20"/>
          <w:lang w:eastAsia="en-US"/>
        </w:rPr>
        <w:t>podmioty,</w:t>
      </w:r>
      <w:r w:rsidR="00E66B89">
        <w:rPr>
          <w:rFonts w:eastAsia="Calibri"/>
          <w:szCs w:val="20"/>
          <w:lang w:eastAsia="en-US"/>
        </w:rPr>
        <w:t xml:space="preserve"> w </w:t>
      </w:r>
      <w:r w:rsidRPr="00436D27">
        <w:rPr>
          <w:rFonts w:eastAsia="Calibri"/>
          <w:szCs w:val="20"/>
          <w:lang w:eastAsia="en-US"/>
        </w:rPr>
        <w:t>których większość udziałów lub akcji posiadają JST lub ich związki</w:t>
      </w:r>
      <w:r w:rsidR="00E66B89">
        <w:rPr>
          <w:rFonts w:eastAsia="Calibri"/>
          <w:szCs w:val="20"/>
          <w:lang w:eastAsia="en-US"/>
        </w:rPr>
        <w:t xml:space="preserve"> i </w:t>
      </w:r>
      <w:r w:rsidRPr="00436D27">
        <w:rPr>
          <w:rFonts w:eastAsia="Calibri"/>
          <w:szCs w:val="20"/>
          <w:lang w:eastAsia="en-US"/>
        </w:rPr>
        <w:t>stowarzyszenia</w:t>
      </w:r>
      <w:r>
        <w:rPr>
          <w:rFonts w:eastAsia="Calibri"/>
          <w:szCs w:val="20"/>
          <w:lang w:eastAsia="en-US"/>
        </w:rPr>
        <w:t>),</w:t>
      </w:r>
      <w:r w:rsidRPr="00436D27">
        <w:rPr>
          <w:rFonts w:eastAsia="Calibri"/>
          <w:szCs w:val="20"/>
          <w:lang w:eastAsia="en-US"/>
        </w:rPr>
        <w:t xml:space="preserve"> posiadają już znaczne doświadczenie</w:t>
      </w:r>
      <w:r w:rsidR="00E66B89">
        <w:rPr>
          <w:rFonts w:eastAsia="Calibri"/>
          <w:szCs w:val="20"/>
          <w:lang w:eastAsia="en-US"/>
        </w:rPr>
        <w:t xml:space="preserve"> w </w:t>
      </w:r>
      <w:r w:rsidRPr="00436D27">
        <w:rPr>
          <w:rFonts w:eastAsia="Calibri"/>
          <w:szCs w:val="20"/>
          <w:lang w:eastAsia="en-US"/>
        </w:rPr>
        <w:t>przygotowaniu</w:t>
      </w:r>
      <w:r w:rsidR="00E66B89">
        <w:rPr>
          <w:rFonts w:eastAsia="Calibri"/>
          <w:szCs w:val="20"/>
          <w:lang w:eastAsia="en-US"/>
        </w:rPr>
        <w:t xml:space="preserve"> i </w:t>
      </w:r>
      <w:r w:rsidRPr="00436D27">
        <w:rPr>
          <w:rFonts w:eastAsia="Calibri"/>
          <w:szCs w:val="20"/>
          <w:lang w:eastAsia="en-US"/>
        </w:rPr>
        <w:t>realizacji projektów współfinansowanych ze środków UE (co dodatkowo pozytywnie wpływa na wzrost skuteczności wdrażania</w:t>
      </w:r>
      <w:r>
        <w:rPr>
          <w:rFonts w:eastAsia="Calibri"/>
          <w:szCs w:val="20"/>
          <w:lang w:eastAsia="en-US"/>
        </w:rPr>
        <w:t>)</w:t>
      </w:r>
      <w:r w:rsidRPr="00436D27">
        <w:rPr>
          <w:rFonts w:eastAsia="Calibri"/>
          <w:szCs w:val="20"/>
          <w:lang w:eastAsia="en-US"/>
        </w:rPr>
        <w:t xml:space="preserve">. </w:t>
      </w:r>
    </w:p>
    <w:p w14:paraId="0177600C" w14:textId="77777777" w:rsidR="009D215A" w:rsidRPr="00436D27" w:rsidRDefault="009D215A" w:rsidP="009D215A">
      <w:pPr>
        <w:pStyle w:val="evaluTresc"/>
      </w:pPr>
      <w:r w:rsidRPr="00436D27">
        <w:t>Warunkiem ubiegania się</w:t>
      </w:r>
      <w:r w:rsidR="00E66B89">
        <w:t xml:space="preserve"> o </w:t>
      </w:r>
      <w:r w:rsidRPr="00436D27">
        <w:t>wsparcie</w:t>
      </w:r>
      <w:r w:rsidR="00E66B89">
        <w:t xml:space="preserve"> w </w:t>
      </w:r>
      <w:r w:rsidRPr="00436D27">
        <w:t>ramach Działania było ujęcie planowanej inwestycji</w:t>
      </w:r>
      <w:r w:rsidR="00E66B89">
        <w:t xml:space="preserve"> w </w:t>
      </w:r>
      <w:r w:rsidRPr="00436D27">
        <w:t>KPOŚK (dla aglomeracji</w:t>
      </w:r>
      <w:r w:rsidR="00E66B89">
        <w:t xml:space="preserve"> z </w:t>
      </w:r>
      <w:r w:rsidRPr="00436D27">
        <w:t>przedziału od 2 do 10 tys. RLM).</w:t>
      </w:r>
      <w:r w:rsidR="00E66B89">
        <w:t xml:space="preserve"> W </w:t>
      </w:r>
      <w:r w:rsidRPr="00436D27">
        <w:t>przypadku pierwszych naborów</w:t>
      </w:r>
      <w:r w:rsidR="00E66B89">
        <w:t xml:space="preserve"> w </w:t>
      </w:r>
      <w:r w:rsidRPr="00436D27">
        <w:t>PI 6b do czasu przyjęcia V aktualizacji KPOŚK dokumentem tym oprócz IV KPOŚK był Master plan dla wdrażania dyrektywy 91/271/EWG.</w:t>
      </w:r>
      <w:r w:rsidR="00E66B89">
        <w:t xml:space="preserve"> W </w:t>
      </w:r>
      <w:r w:rsidRPr="00436D27">
        <w:t>przypadku pozostałych naborów obowiązującym dokumentem była V aktualizacja KPOŚK (przyjęta przez Radę Ministrów</w:t>
      </w:r>
      <w:r w:rsidR="00E66B89">
        <w:t xml:space="preserve"> w </w:t>
      </w:r>
      <w:r w:rsidRPr="00436D27">
        <w:t xml:space="preserve">dniu 31 lipca 2017 r.). </w:t>
      </w:r>
    </w:p>
    <w:p w14:paraId="5BAC64B4" w14:textId="77777777" w:rsidR="009D215A" w:rsidRPr="008A6DEB" w:rsidRDefault="009D215A" w:rsidP="009D215A">
      <w:pPr>
        <w:pStyle w:val="evaluTresc"/>
      </w:pPr>
      <w:r w:rsidRPr="00436D27">
        <w:t>W ramach organizowanych naborów przyjęto szereg rozwiązań, które miały na celu zwiększać efektywność wydatkowania środków oraz efektywność technologiczną wspartych projektów.</w:t>
      </w:r>
      <w:r w:rsidR="00E66B89">
        <w:t xml:space="preserve"> W </w:t>
      </w:r>
      <w:r w:rsidRPr="00436D27">
        <w:t xml:space="preserve">przypadku projektów dotyczących sieci kanalizacyjnych kryterium zapewniającym odpowiednią efektywność ekonomiczną budowanej sieci było </w:t>
      </w:r>
      <w:r>
        <w:t xml:space="preserve">kryterium </w:t>
      </w:r>
      <w:r w:rsidRPr="00436D27">
        <w:t>związane</w:t>
      </w:r>
      <w:r w:rsidR="00E66B89">
        <w:t xml:space="preserve"> z </w:t>
      </w:r>
      <w:r w:rsidRPr="00436D27">
        <w:t>wymogiem odpowiedniej koncentracji osób na kilometr bieżącej sieci (nie mniej niż 120 osób/km</w:t>
      </w:r>
      <w:r w:rsidR="00E66B89">
        <w:t xml:space="preserve"> i </w:t>
      </w:r>
      <w:r w:rsidRPr="00436D27">
        <w:t>wyjątkowo nie mniej niż 90 na obszarach chronionych). Powyższy wymóg to bezpośrednie przełożenie na warunki wsparcia zapisów zawartych</w:t>
      </w:r>
      <w:r w:rsidR="00E66B89">
        <w:t xml:space="preserve"> w </w:t>
      </w:r>
      <w:r w:rsidRPr="00436D27">
        <w:t>Wytycznych do tworzenia</w:t>
      </w:r>
      <w:r w:rsidR="00E66B89">
        <w:t xml:space="preserve"> i </w:t>
      </w:r>
      <w:r w:rsidRPr="00436D27">
        <w:t>zmiany aglomeracji</w:t>
      </w:r>
      <w:r w:rsidRPr="00436D27">
        <w:rPr>
          <w:vertAlign w:val="superscript"/>
        </w:rPr>
        <w:footnoteReference w:id="33"/>
      </w:r>
      <w:r w:rsidRPr="00436D27">
        <w:t>. Powyższy wskaźnik koncentracji to stosunek</w:t>
      </w:r>
      <w:r>
        <w:t>,</w:t>
      </w:r>
      <w:r w:rsidRPr="00436D27">
        <w:t xml:space="preserve"> przewidywanej do obsługi przez planowaną do budowy sieć kanalizacyjną</w:t>
      </w:r>
      <w:r>
        <w:t>,</w:t>
      </w:r>
      <w:r w:rsidRPr="00436D27">
        <w:t xml:space="preserve"> liczby mieszkańców aglomeracji do długości tej sieci, doprowadzającej ścieki do oczyszczalni ścieków albo do końcowego punktu zrzutu ścieków komunalnych. Wskaźnik ten odnosi się tylko do długości nowobudowanej sieci oraz mieszkańców</w:t>
      </w:r>
      <w:r w:rsidR="00E66B89">
        <w:t xml:space="preserve"> i </w:t>
      </w:r>
      <w:r w:rsidRPr="00436D27">
        <w:t>liczby osób czasowo przebywających na terenie aglomeracji (obliczanej na podstawie liczby zarejestrowanych miejsc noclegowych), którzy zostaną do niej podłączeni. Wskaźnik wyliczany jest sumarycznie dla wszystkich miast i/lub miejscowości (wchodzących</w:t>
      </w:r>
      <w:r w:rsidR="00E66B89">
        <w:t xml:space="preserve"> w </w:t>
      </w:r>
      <w:r w:rsidRPr="00436D27">
        <w:t>skład aglomeracji),</w:t>
      </w:r>
      <w:r w:rsidR="00E66B89">
        <w:t xml:space="preserve"> w </w:t>
      </w:r>
      <w:r w:rsidRPr="00436D27">
        <w:t>obrębie których planuje się budowę sieci kanalizacji sanitarnej.</w:t>
      </w:r>
      <w:r w:rsidR="00E66B89">
        <w:t xml:space="preserve"> W </w:t>
      </w:r>
      <w:r w:rsidRPr="00436D27">
        <w:t>praktyce, im niższa jest wartość tego wskaźnika, tym wyższe są koszty jednostkowe budowy sieci (to także wpływa na koszty eksploatacyjne, które</w:t>
      </w:r>
      <w:r w:rsidR="00E66B89">
        <w:t xml:space="preserve"> w </w:t>
      </w:r>
      <w:r w:rsidRPr="00436D27">
        <w:t>praktyce byłyby ponoszone przez mieszkańców</w:t>
      </w:r>
      <w:r w:rsidR="00E66B89">
        <w:t xml:space="preserve"> w </w:t>
      </w:r>
      <w:r w:rsidRPr="00436D27">
        <w:t xml:space="preserve">opłatach za gospodarowanie zużytymi </w:t>
      </w:r>
      <w:r w:rsidRPr="00436D27">
        <w:lastRenderedPageBreak/>
        <w:t>wodami). To zaś</w:t>
      </w:r>
      <w:r w:rsidR="00E66B89">
        <w:t xml:space="preserve"> z </w:t>
      </w:r>
      <w:r w:rsidRPr="00436D27">
        <w:t>kolei może wpływać na zagrożenie trwałości projektu.</w:t>
      </w:r>
      <w:r w:rsidR="00E66B89">
        <w:t xml:space="preserve"> W </w:t>
      </w:r>
      <w:r w:rsidRPr="00436D27">
        <w:t>przypadku części gmin osiągnięcie powyższego wskaźnika było niemożliwe</w:t>
      </w:r>
      <w:r w:rsidR="00E66B89">
        <w:t xml:space="preserve"> z </w:t>
      </w:r>
      <w:r w:rsidRPr="00436D27">
        <w:t>uwagi na zbyt duże rozproszenie zabudowy (szczególnie gminy wiejskie). Generalnie wnioskodawcy nie wskazywali na problemy związane</w:t>
      </w:r>
      <w:r w:rsidR="00E66B89">
        <w:t xml:space="preserve"> z </w:t>
      </w:r>
      <w:r w:rsidRPr="008A6DEB">
        <w:t>przyjętymi kryteriami oceny projektów (nie wskazano na problem</w:t>
      </w:r>
      <w:r w:rsidR="00E66B89">
        <w:t xml:space="preserve"> w </w:t>
      </w:r>
      <w:r w:rsidRPr="008A6DEB">
        <w:t>ich zrozumiałości, trafności, sprawiedliwości itp.). Większość respondentów (46,2%) nie było</w:t>
      </w:r>
      <w:r w:rsidR="00E66B89">
        <w:t xml:space="preserve"> w </w:t>
      </w:r>
      <w:r w:rsidRPr="008A6DEB">
        <w:t>stanie jednoznacznie</w:t>
      </w:r>
      <w:r>
        <w:t xml:space="preserve"> </w:t>
      </w:r>
      <w:r w:rsidRPr="008A6DEB">
        <w:t>ocenić, czy kryteria oceny projektów</w:t>
      </w:r>
      <w:r w:rsidR="00E66B89">
        <w:t xml:space="preserve"> w </w:t>
      </w:r>
      <w:r w:rsidRPr="008A6DEB">
        <w:t>odpowiednim stopniu punktują wartość merytoryczną projektu (23,1% ankietowanych stwierdziło, że</w:t>
      </w:r>
      <w:r w:rsidR="00E66B89">
        <w:t xml:space="preserve"> w </w:t>
      </w:r>
      <w:r w:rsidRPr="008A6DEB">
        <w:t>ich ocenie „nie”).</w:t>
      </w:r>
    </w:p>
    <w:p w14:paraId="7FA03E01" w14:textId="77777777" w:rsidR="009D215A" w:rsidRPr="00436D27" w:rsidRDefault="009D215A" w:rsidP="009D215A">
      <w:pPr>
        <w:pStyle w:val="evaluTresc"/>
      </w:pPr>
      <w:r w:rsidRPr="008A6DEB">
        <w:t>Poniżej zamieszczono komentarz odnoszący się do warunków wsparcia udzielanych</w:t>
      </w:r>
      <w:r w:rsidR="00E66B89">
        <w:t xml:space="preserve"> w </w:t>
      </w:r>
      <w:r w:rsidRPr="008A6DEB">
        <w:t>ramach PI 6b.</w:t>
      </w:r>
      <w:r w:rsidR="00E66B89">
        <w:t xml:space="preserve"> W </w:t>
      </w:r>
      <w:r w:rsidRPr="008A6DEB">
        <w:t>przypadku kryteriów merytorycznych punktowanych</w:t>
      </w:r>
      <w:r>
        <w:t>,</w:t>
      </w:r>
      <w:r w:rsidRPr="008A6DEB">
        <w:t xml:space="preserve"> do rankingowania projektów przyjęto kryteria efektywnościowe, które przyczyniały się do wzrostu efektywności planowania</w:t>
      </w:r>
      <w:r w:rsidR="00E66B89">
        <w:t xml:space="preserve"> i </w:t>
      </w:r>
      <w:r w:rsidRPr="008A6DEB">
        <w:t>realizacji inwestycji przez beneficjentów. Takim kryterium był</w:t>
      </w:r>
      <w:r>
        <w:t>o</w:t>
      </w:r>
      <w:r w:rsidRPr="008A6DEB">
        <w:t xml:space="preserve"> </w:t>
      </w:r>
      <w:r>
        <w:t>np.</w:t>
      </w:r>
      <w:r w:rsidRPr="008A6DEB">
        <w:t xml:space="preserve"> </w:t>
      </w:r>
      <w:r w:rsidRPr="008B706B">
        <w:rPr>
          <w:i/>
        </w:rPr>
        <w:t>Efektywność kosztowa projektu</w:t>
      </w:r>
      <w:r w:rsidRPr="008A6DEB">
        <w:t xml:space="preserve"> premi</w:t>
      </w:r>
      <w:r>
        <w:t>ujące</w:t>
      </w:r>
      <w:r w:rsidRPr="008A6DEB">
        <w:t xml:space="preserve"> projekty, które najniższym kosztem środków finansowych uzyskują największy efekt </w:t>
      </w:r>
      <w:r w:rsidRPr="00436D27">
        <w:t xml:space="preserve">rzeczowy (w zakresie przyrostu RLM, efektywnego wpływu na </w:t>
      </w:r>
      <w:r>
        <w:t>osiągnięcie wartości</w:t>
      </w:r>
      <w:r w:rsidRPr="00436D27">
        <w:t xml:space="preserve"> wskaźników produktu). Ponadto</w:t>
      </w:r>
      <w:r w:rsidR="00E66B89">
        <w:t xml:space="preserve"> w </w:t>
      </w:r>
      <w:r w:rsidRPr="00436D27">
        <w:t>ramach kryteriów merytorycznych premiowano projekty realizowane na obszarach</w:t>
      </w:r>
      <w:r w:rsidR="00E66B89">
        <w:t xml:space="preserve"> o </w:t>
      </w:r>
      <w:r w:rsidRPr="00436D27">
        <w:t>szczególnych potrzebach (np. obszary wiejskie czy koncentracji na systemie oczyszczania ścieków). Warto podkreślić, iż IZ RPO WZ 2014-2020 słusznie</w:t>
      </w:r>
      <w:r>
        <w:t xml:space="preserve"> </w:t>
      </w:r>
      <w:r w:rsidRPr="00436D27">
        <w:t>premiowała gotowość projektów do realizacji (preferowan</w:t>
      </w:r>
      <w:r>
        <w:t>e</w:t>
      </w:r>
      <w:r w:rsidRPr="00436D27">
        <w:t xml:space="preserve"> były projekty dojrzałe, posiadające odpowiednie decyzje administracyjne). Dzięki temu wydatkowanie środków jest przyśpieszone.</w:t>
      </w:r>
      <w:r w:rsidR="00E66B89">
        <w:t xml:space="preserve"> W </w:t>
      </w:r>
      <w:r w:rsidRPr="00436D27">
        <w:t>ocenie ewaluatora IZ RPO WZ 2014-2020 powinna zastosować także preferencje odnośnie stosowania</w:t>
      </w:r>
      <w:r w:rsidR="00E66B89">
        <w:t xml:space="preserve"> w </w:t>
      </w:r>
      <w:r w:rsidRPr="00436D27">
        <w:t>projektach technologii umożliwiających wykorzystanie odnawialnych źródeł energii.</w:t>
      </w:r>
      <w:r>
        <w:t xml:space="preserve"> </w:t>
      </w:r>
      <w:r w:rsidRPr="00436D27">
        <w:t>Wartym podkreślenia jest premiowanie</w:t>
      </w:r>
      <w:r w:rsidR="00E66B89">
        <w:t xml:space="preserve"> w </w:t>
      </w:r>
      <w:r w:rsidRPr="00436D27">
        <w:t>ramach oceny projektów, które decydowały się zastosować rozwiązania dotyczące gospodarowania</w:t>
      </w:r>
      <w:r>
        <w:t xml:space="preserve"> komunalnymi</w:t>
      </w:r>
      <w:r w:rsidRPr="00436D27">
        <w:t xml:space="preserve"> osadami ściekowymi</w:t>
      </w:r>
      <w:r>
        <w:t xml:space="preserve"> (KOŚ)</w:t>
      </w:r>
      <w:r w:rsidRPr="00436D27">
        <w:t xml:space="preserve">. IZ RPO WZ 2014-2020 mogłaby </w:t>
      </w:r>
      <w:r>
        <w:t>u</w:t>
      </w:r>
      <w:r w:rsidRPr="00436D27">
        <w:t>szczegółowić to kryterium</w:t>
      </w:r>
      <w:r w:rsidR="00E66B89">
        <w:t xml:space="preserve"> w </w:t>
      </w:r>
      <w:r w:rsidRPr="00436D27">
        <w:t xml:space="preserve">zakresie dotyczącym premiowania rozwiązań zagospodarowywania </w:t>
      </w:r>
      <w:r>
        <w:t>KOŚ</w:t>
      </w:r>
      <w:r w:rsidR="00E66B89">
        <w:t xml:space="preserve"> z </w:t>
      </w:r>
      <w:r w:rsidRPr="00436D27">
        <w:t>uwzględnieniem hierarchii postępowania wynikającej</w:t>
      </w:r>
      <w:r w:rsidR="00E66B89">
        <w:t xml:space="preserve"> z </w:t>
      </w:r>
      <w:r w:rsidRPr="00436D27">
        <w:t>KPGO</w:t>
      </w:r>
      <w:r w:rsidR="00E66B89">
        <w:t xml:space="preserve"> i </w:t>
      </w:r>
      <w:r w:rsidRPr="00436D27">
        <w:t xml:space="preserve">KPOŚK. </w:t>
      </w:r>
      <w:r>
        <w:t>Rozwój</w:t>
      </w:r>
      <w:r w:rsidRPr="00436D27">
        <w:t xml:space="preserve"> sieci wodociągowych</w:t>
      </w:r>
      <w:r w:rsidR="00E66B89">
        <w:t xml:space="preserve"> i </w:t>
      </w:r>
      <w:r w:rsidRPr="00436D27">
        <w:t>kanalizacyjnych</w:t>
      </w:r>
      <w:r>
        <w:t>, połączony ze</w:t>
      </w:r>
      <w:r w:rsidRPr="00436D27">
        <w:t xml:space="preserve"> wzrost</w:t>
      </w:r>
      <w:r>
        <w:t>em</w:t>
      </w:r>
      <w:r w:rsidRPr="00436D27">
        <w:t xml:space="preserve"> przepustowości komunalnych oczyszczalni ścieków oraz stosowanie</w:t>
      </w:r>
      <w:r>
        <w:t>m</w:t>
      </w:r>
      <w:r w:rsidRPr="00436D27">
        <w:t xml:space="preserve"> na tych instalacjach pogłębionego usuwania biogenów</w:t>
      </w:r>
      <w:r>
        <w:t>, wpływać będzie na zwiększenie wolumenu</w:t>
      </w:r>
      <w:r w:rsidRPr="00436D27">
        <w:t xml:space="preserve"> ścieków komunalnych </w:t>
      </w:r>
      <w:r>
        <w:t>poddawanych oczyszczeniu.</w:t>
      </w:r>
      <w:r w:rsidR="00E66B89">
        <w:t xml:space="preserve"> W </w:t>
      </w:r>
      <w:r>
        <w:t xml:space="preserve">konsekwencji powyższego zwiększać się będzie </w:t>
      </w:r>
      <w:r w:rsidRPr="00436D27">
        <w:t>masa wytw</w:t>
      </w:r>
      <w:r>
        <w:t>a</w:t>
      </w:r>
      <w:r w:rsidRPr="00436D27">
        <w:t>rz</w:t>
      </w:r>
      <w:r>
        <w:t>a</w:t>
      </w:r>
      <w:r w:rsidRPr="00436D27">
        <w:t>nych KOŚ.</w:t>
      </w:r>
    </w:p>
    <w:p w14:paraId="4177B841" w14:textId="77777777" w:rsidR="009D215A" w:rsidRPr="00436D27" w:rsidRDefault="009D215A" w:rsidP="006E34DC">
      <w:pPr>
        <w:pStyle w:val="Legenda"/>
        <w:spacing w:after="0"/>
      </w:pPr>
      <w:bookmarkStart w:id="110" w:name="_Toc8824157"/>
      <w:r w:rsidRPr="00436D27">
        <w:t xml:space="preserve">Tabela </w:t>
      </w:r>
      <w:r>
        <w:fldChar w:fldCharType="begin"/>
      </w:r>
      <w:r>
        <w:instrText xml:space="preserve"> SEQ Tabela \* ARABIC </w:instrText>
      </w:r>
      <w:r>
        <w:fldChar w:fldCharType="separate"/>
      </w:r>
      <w:r w:rsidR="00763345">
        <w:rPr>
          <w:noProof/>
        </w:rPr>
        <w:t>46</w:t>
      </w:r>
      <w:r>
        <w:fldChar w:fldCharType="end"/>
      </w:r>
      <w:r w:rsidRPr="00436D27">
        <w:t xml:space="preserve"> Komunalne osady ściekowe wytworzone</w:t>
      </w:r>
      <w:r w:rsidR="00E66B89">
        <w:t xml:space="preserve"> w </w:t>
      </w:r>
      <w:r w:rsidRPr="00436D27">
        <w:t>ciągu roku na terenie województwa zachodniopomorskiego [Mg]</w:t>
      </w:r>
      <w:bookmarkEnd w:id="1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132"/>
        <w:gridCol w:w="1132"/>
        <w:gridCol w:w="1133"/>
        <w:gridCol w:w="1133"/>
        <w:gridCol w:w="1133"/>
        <w:gridCol w:w="1133"/>
        <w:gridCol w:w="1133"/>
        <w:gridCol w:w="1133"/>
      </w:tblGrid>
      <w:tr w:rsidR="009D215A" w:rsidRPr="00436D27" w14:paraId="464C2F70" w14:textId="77777777" w:rsidTr="00EE58A9">
        <w:trPr>
          <w:trHeight w:val="300"/>
          <w:tblHeader/>
        </w:trPr>
        <w:tc>
          <w:tcPr>
            <w:tcW w:w="625" w:type="pct"/>
            <w:shd w:val="clear" w:color="auto" w:fill="DBE5F1"/>
            <w:vAlign w:val="center"/>
          </w:tcPr>
          <w:p w14:paraId="28E47440" w14:textId="77777777" w:rsidR="009D215A" w:rsidRPr="00404DA5" w:rsidRDefault="009D215A" w:rsidP="00EE58A9">
            <w:pPr>
              <w:jc w:val="center"/>
              <w:rPr>
                <w:rFonts w:cs="Calibri"/>
                <w:bCs/>
                <w:sz w:val="16"/>
                <w:szCs w:val="16"/>
              </w:rPr>
            </w:pPr>
            <w:r w:rsidRPr="00404DA5">
              <w:rPr>
                <w:rFonts w:cs="Calibri"/>
                <w:bCs/>
                <w:sz w:val="16"/>
                <w:szCs w:val="16"/>
              </w:rPr>
              <w:t>rok</w:t>
            </w:r>
          </w:p>
        </w:tc>
        <w:tc>
          <w:tcPr>
            <w:tcW w:w="625" w:type="pct"/>
            <w:shd w:val="clear" w:color="auto" w:fill="DBE5F1"/>
            <w:noWrap/>
            <w:vAlign w:val="center"/>
          </w:tcPr>
          <w:p w14:paraId="5F4C7E89" w14:textId="77777777" w:rsidR="009D215A" w:rsidRPr="00404DA5" w:rsidRDefault="009D215A" w:rsidP="00EE58A9">
            <w:pPr>
              <w:jc w:val="center"/>
              <w:rPr>
                <w:rFonts w:cs="Calibri"/>
                <w:bCs/>
                <w:sz w:val="16"/>
                <w:szCs w:val="16"/>
              </w:rPr>
            </w:pPr>
            <w:r w:rsidRPr="00404DA5">
              <w:rPr>
                <w:rFonts w:cs="Calibri"/>
                <w:bCs/>
                <w:sz w:val="16"/>
                <w:szCs w:val="16"/>
              </w:rPr>
              <w:t>2011</w:t>
            </w:r>
          </w:p>
        </w:tc>
        <w:tc>
          <w:tcPr>
            <w:tcW w:w="625" w:type="pct"/>
            <w:shd w:val="clear" w:color="auto" w:fill="DBE5F1"/>
            <w:noWrap/>
            <w:vAlign w:val="center"/>
          </w:tcPr>
          <w:p w14:paraId="149F2BF5" w14:textId="77777777" w:rsidR="009D215A" w:rsidRPr="00404DA5" w:rsidRDefault="009D215A" w:rsidP="00EE58A9">
            <w:pPr>
              <w:jc w:val="center"/>
              <w:rPr>
                <w:rFonts w:cs="Calibri"/>
                <w:bCs/>
                <w:sz w:val="16"/>
                <w:szCs w:val="16"/>
              </w:rPr>
            </w:pPr>
            <w:r w:rsidRPr="00404DA5">
              <w:rPr>
                <w:rFonts w:cs="Calibri"/>
                <w:bCs/>
                <w:sz w:val="16"/>
                <w:szCs w:val="16"/>
              </w:rPr>
              <w:t>2012</w:t>
            </w:r>
          </w:p>
        </w:tc>
        <w:tc>
          <w:tcPr>
            <w:tcW w:w="625" w:type="pct"/>
            <w:shd w:val="clear" w:color="auto" w:fill="DBE5F1"/>
            <w:noWrap/>
            <w:vAlign w:val="center"/>
          </w:tcPr>
          <w:p w14:paraId="396615D8" w14:textId="77777777" w:rsidR="009D215A" w:rsidRPr="00404DA5" w:rsidRDefault="009D215A" w:rsidP="00EE58A9">
            <w:pPr>
              <w:jc w:val="center"/>
              <w:rPr>
                <w:rFonts w:cs="Calibri"/>
                <w:bCs/>
                <w:sz w:val="16"/>
                <w:szCs w:val="16"/>
              </w:rPr>
            </w:pPr>
            <w:r w:rsidRPr="00404DA5">
              <w:rPr>
                <w:rFonts w:cs="Calibri"/>
                <w:bCs/>
                <w:sz w:val="16"/>
                <w:szCs w:val="16"/>
              </w:rPr>
              <w:t>2013</w:t>
            </w:r>
          </w:p>
        </w:tc>
        <w:tc>
          <w:tcPr>
            <w:tcW w:w="625" w:type="pct"/>
            <w:shd w:val="clear" w:color="auto" w:fill="DBE5F1"/>
            <w:noWrap/>
            <w:vAlign w:val="center"/>
          </w:tcPr>
          <w:p w14:paraId="1C60D005" w14:textId="77777777" w:rsidR="009D215A" w:rsidRPr="00404DA5" w:rsidRDefault="009D215A" w:rsidP="00EE58A9">
            <w:pPr>
              <w:jc w:val="center"/>
              <w:rPr>
                <w:rFonts w:cs="Calibri"/>
                <w:bCs/>
                <w:sz w:val="16"/>
                <w:szCs w:val="16"/>
              </w:rPr>
            </w:pPr>
            <w:r w:rsidRPr="00404DA5">
              <w:rPr>
                <w:rFonts w:cs="Calibri"/>
                <w:bCs/>
                <w:sz w:val="16"/>
                <w:szCs w:val="16"/>
              </w:rPr>
              <w:t>2014</w:t>
            </w:r>
          </w:p>
        </w:tc>
        <w:tc>
          <w:tcPr>
            <w:tcW w:w="625" w:type="pct"/>
            <w:shd w:val="clear" w:color="auto" w:fill="DBE5F1"/>
            <w:noWrap/>
            <w:vAlign w:val="center"/>
          </w:tcPr>
          <w:p w14:paraId="49190D68" w14:textId="77777777" w:rsidR="009D215A" w:rsidRPr="00404DA5" w:rsidRDefault="009D215A" w:rsidP="00EE58A9">
            <w:pPr>
              <w:jc w:val="center"/>
              <w:rPr>
                <w:rFonts w:cs="Calibri"/>
                <w:bCs/>
                <w:sz w:val="16"/>
                <w:szCs w:val="16"/>
              </w:rPr>
            </w:pPr>
            <w:r w:rsidRPr="00404DA5">
              <w:rPr>
                <w:rFonts w:cs="Calibri"/>
                <w:bCs/>
                <w:sz w:val="16"/>
                <w:szCs w:val="16"/>
              </w:rPr>
              <w:t>2015</w:t>
            </w:r>
          </w:p>
        </w:tc>
        <w:tc>
          <w:tcPr>
            <w:tcW w:w="625" w:type="pct"/>
            <w:shd w:val="clear" w:color="auto" w:fill="DBE5F1"/>
            <w:noWrap/>
            <w:vAlign w:val="center"/>
          </w:tcPr>
          <w:p w14:paraId="61243475" w14:textId="77777777" w:rsidR="009D215A" w:rsidRPr="00404DA5" w:rsidRDefault="009D215A" w:rsidP="00EE58A9">
            <w:pPr>
              <w:jc w:val="center"/>
              <w:rPr>
                <w:rFonts w:cs="Calibri"/>
                <w:bCs/>
                <w:sz w:val="16"/>
                <w:szCs w:val="16"/>
              </w:rPr>
            </w:pPr>
            <w:r w:rsidRPr="00404DA5">
              <w:rPr>
                <w:rFonts w:cs="Calibri"/>
                <w:bCs/>
                <w:sz w:val="16"/>
                <w:szCs w:val="16"/>
              </w:rPr>
              <w:t>2016</w:t>
            </w:r>
          </w:p>
        </w:tc>
        <w:tc>
          <w:tcPr>
            <w:tcW w:w="625" w:type="pct"/>
            <w:shd w:val="clear" w:color="auto" w:fill="DBE5F1"/>
            <w:noWrap/>
            <w:vAlign w:val="center"/>
          </w:tcPr>
          <w:p w14:paraId="44FD5900" w14:textId="77777777" w:rsidR="009D215A" w:rsidRPr="00404DA5" w:rsidRDefault="009D215A" w:rsidP="00EE58A9">
            <w:pPr>
              <w:jc w:val="center"/>
              <w:rPr>
                <w:rFonts w:cs="Calibri"/>
                <w:bCs/>
                <w:sz w:val="16"/>
                <w:szCs w:val="16"/>
              </w:rPr>
            </w:pPr>
            <w:r w:rsidRPr="00404DA5">
              <w:rPr>
                <w:rFonts w:cs="Calibri"/>
                <w:bCs/>
                <w:sz w:val="16"/>
                <w:szCs w:val="16"/>
              </w:rPr>
              <w:t>2017</w:t>
            </w:r>
          </w:p>
        </w:tc>
      </w:tr>
      <w:tr w:rsidR="009D215A" w:rsidRPr="00436D27" w14:paraId="5E0377E9" w14:textId="77777777" w:rsidTr="00EE58A9">
        <w:trPr>
          <w:trHeight w:val="300"/>
        </w:trPr>
        <w:tc>
          <w:tcPr>
            <w:tcW w:w="625" w:type="pct"/>
          </w:tcPr>
          <w:p w14:paraId="73C4BEBD" w14:textId="77777777" w:rsidR="009D215A" w:rsidRPr="00404DA5" w:rsidRDefault="009D215A" w:rsidP="00EE58A9">
            <w:pPr>
              <w:jc w:val="center"/>
              <w:rPr>
                <w:rFonts w:cs="Calibri"/>
                <w:bCs/>
                <w:sz w:val="16"/>
                <w:szCs w:val="16"/>
              </w:rPr>
            </w:pPr>
            <w:r w:rsidRPr="00404DA5">
              <w:rPr>
                <w:rFonts w:cs="Calibri"/>
                <w:bCs/>
                <w:sz w:val="16"/>
                <w:szCs w:val="16"/>
              </w:rPr>
              <w:t>Mg</w:t>
            </w:r>
          </w:p>
        </w:tc>
        <w:tc>
          <w:tcPr>
            <w:tcW w:w="625" w:type="pct"/>
            <w:shd w:val="clear" w:color="auto" w:fill="auto"/>
            <w:noWrap/>
            <w:vAlign w:val="bottom"/>
            <w:hideMark/>
          </w:tcPr>
          <w:p w14:paraId="5DD65DCE" w14:textId="77777777" w:rsidR="009D215A" w:rsidRPr="00404DA5" w:rsidRDefault="009D215A" w:rsidP="00EE58A9">
            <w:pPr>
              <w:jc w:val="center"/>
              <w:rPr>
                <w:rFonts w:cs="Calibri"/>
                <w:bCs/>
                <w:sz w:val="16"/>
                <w:szCs w:val="16"/>
              </w:rPr>
            </w:pPr>
            <w:r w:rsidRPr="00404DA5">
              <w:rPr>
                <w:rFonts w:cs="Calibri"/>
                <w:bCs/>
                <w:sz w:val="16"/>
                <w:szCs w:val="16"/>
              </w:rPr>
              <w:t>26 236</w:t>
            </w:r>
          </w:p>
        </w:tc>
        <w:tc>
          <w:tcPr>
            <w:tcW w:w="625" w:type="pct"/>
            <w:shd w:val="clear" w:color="auto" w:fill="auto"/>
            <w:noWrap/>
            <w:vAlign w:val="bottom"/>
            <w:hideMark/>
          </w:tcPr>
          <w:p w14:paraId="03D99F80" w14:textId="77777777" w:rsidR="009D215A" w:rsidRPr="00404DA5" w:rsidRDefault="009D215A" w:rsidP="00EE58A9">
            <w:pPr>
              <w:jc w:val="center"/>
              <w:rPr>
                <w:rFonts w:cs="Calibri"/>
                <w:bCs/>
                <w:sz w:val="16"/>
                <w:szCs w:val="16"/>
              </w:rPr>
            </w:pPr>
            <w:r w:rsidRPr="00404DA5">
              <w:rPr>
                <w:rFonts w:cs="Calibri"/>
                <w:bCs/>
                <w:sz w:val="16"/>
                <w:szCs w:val="16"/>
              </w:rPr>
              <w:t>28 768</w:t>
            </w:r>
          </w:p>
        </w:tc>
        <w:tc>
          <w:tcPr>
            <w:tcW w:w="625" w:type="pct"/>
            <w:shd w:val="clear" w:color="auto" w:fill="auto"/>
            <w:noWrap/>
            <w:vAlign w:val="bottom"/>
            <w:hideMark/>
          </w:tcPr>
          <w:p w14:paraId="4EC8A80C" w14:textId="77777777" w:rsidR="009D215A" w:rsidRPr="00404DA5" w:rsidRDefault="009D215A" w:rsidP="00EE58A9">
            <w:pPr>
              <w:jc w:val="center"/>
              <w:rPr>
                <w:rFonts w:cs="Calibri"/>
                <w:bCs/>
                <w:sz w:val="16"/>
                <w:szCs w:val="16"/>
              </w:rPr>
            </w:pPr>
            <w:r w:rsidRPr="00404DA5">
              <w:rPr>
                <w:rFonts w:cs="Calibri"/>
                <w:bCs/>
                <w:sz w:val="16"/>
                <w:szCs w:val="16"/>
              </w:rPr>
              <w:t>27 638</w:t>
            </w:r>
          </w:p>
        </w:tc>
        <w:tc>
          <w:tcPr>
            <w:tcW w:w="625" w:type="pct"/>
            <w:shd w:val="clear" w:color="auto" w:fill="auto"/>
            <w:noWrap/>
            <w:vAlign w:val="bottom"/>
            <w:hideMark/>
          </w:tcPr>
          <w:p w14:paraId="02E3B732" w14:textId="77777777" w:rsidR="009D215A" w:rsidRPr="00404DA5" w:rsidRDefault="009D215A" w:rsidP="00EE58A9">
            <w:pPr>
              <w:jc w:val="center"/>
              <w:rPr>
                <w:rFonts w:cs="Calibri"/>
                <w:bCs/>
                <w:sz w:val="16"/>
                <w:szCs w:val="16"/>
              </w:rPr>
            </w:pPr>
            <w:r w:rsidRPr="00404DA5">
              <w:rPr>
                <w:rFonts w:cs="Calibri"/>
                <w:bCs/>
                <w:sz w:val="16"/>
                <w:szCs w:val="16"/>
              </w:rPr>
              <w:t>27 562</w:t>
            </w:r>
          </w:p>
        </w:tc>
        <w:tc>
          <w:tcPr>
            <w:tcW w:w="625" w:type="pct"/>
            <w:shd w:val="clear" w:color="auto" w:fill="auto"/>
            <w:noWrap/>
            <w:vAlign w:val="bottom"/>
            <w:hideMark/>
          </w:tcPr>
          <w:p w14:paraId="74F79CAD" w14:textId="77777777" w:rsidR="009D215A" w:rsidRPr="00404DA5" w:rsidRDefault="009D215A" w:rsidP="00EE58A9">
            <w:pPr>
              <w:jc w:val="center"/>
              <w:rPr>
                <w:rFonts w:cs="Calibri"/>
                <w:bCs/>
                <w:sz w:val="16"/>
                <w:szCs w:val="16"/>
              </w:rPr>
            </w:pPr>
            <w:r w:rsidRPr="00404DA5">
              <w:rPr>
                <w:rFonts w:cs="Calibri"/>
                <w:bCs/>
                <w:sz w:val="16"/>
                <w:szCs w:val="16"/>
              </w:rPr>
              <w:t>25 663</w:t>
            </w:r>
          </w:p>
        </w:tc>
        <w:tc>
          <w:tcPr>
            <w:tcW w:w="625" w:type="pct"/>
            <w:shd w:val="clear" w:color="auto" w:fill="auto"/>
            <w:noWrap/>
            <w:vAlign w:val="bottom"/>
            <w:hideMark/>
          </w:tcPr>
          <w:p w14:paraId="5A429CCC" w14:textId="77777777" w:rsidR="009D215A" w:rsidRPr="00404DA5" w:rsidRDefault="009D215A" w:rsidP="00EE58A9">
            <w:pPr>
              <w:jc w:val="center"/>
              <w:rPr>
                <w:rFonts w:cs="Calibri"/>
                <w:bCs/>
                <w:sz w:val="16"/>
                <w:szCs w:val="16"/>
              </w:rPr>
            </w:pPr>
            <w:r w:rsidRPr="00404DA5">
              <w:rPr>
                <w:rFonts w:cs="Calibri"/>
                <w:bCs/>
                <w:sz w:val="16"/>
                <w:szCs w:val="16"/>
              </w:rPr>
              <w:t>26 433</w:t>
            </w:r>
          </w:p>
        </w:tc>
        <w:tc>
          <w:tcPr>
            <w:tcW w:w="625" w:type="pct"/>
            <w:shd w:val="clear" w:color="auto" w:fill="auto"/>
            <w:noWrap/>
            <w:vAlign w:val="bottom"/>
            <w:hideMark/>
          </w:tcPr>
          <w:p w14:paraId="488629EE" w14:textId="77777777" w:rsidR="009D215A" w:rsidRPr="00404DA5" w:rsidRDefault="009D215A" w:rsidP="00EE58A9">
            <w:pPr>
              <w:jc w:val="center"/>
              <w:rPr>
                <w:rFonts w:cs="Calibri"/>
                <w:bCs/>
                <w:sz w:val="16"/>
                <w:szCs w:val="16"/>
              </w:rPr>
            </w:pPr>
            <w:r w:rsidRPr="00404DA5">
              <w:rPr>
                <w:rFonts w:cs="Calibri"/>
                <w:bCs/>
                <w:sz w:val="16"/>
                <w:szCs w:val="16"/>
              </w:rPr>
              <w:t>25 332</w:t>
            </w:r>
          </w:p>
        </w:tc>
      </w:tr>
    </w:tbl>
    <w:p w14:paraId="461C076D" w14:textId="77777777" w:rsidR="009D215A" w:rsidRPr="002A5FDF" w:rsidRDefault="009D215A" w:rsidP="005076BF">
      <w:pPr>
        <w:spacing w:before="0"/>
        <w:rPr>
          <w:i/>
          <w:sz w:val="18"/>
          <w:szCs w:val="20"/>
        </w:rPr>
      </w:pPr>
      <w:r w:rsidRPr="002A5FDF">
        <w:rPr>
          <w:i/>
          <w:sz w:val="18"/>
          <w:szCs w:val="20"/>
        </w:rPr>
        <w:t>Źródło: opracowanie własne na podstawie danych GUS.</w:t>
      </w:r>
    </w:p>
    <w:p w14:paraId="3C55BC03" w14:textId="77777777" w:rsidR="009D215A" w:rsidRPr="00436D27" w:rsidRDefault="009D215A" w:rsidP="009D215A">
      <w:pPr>
        <w:pStyle w:val="evaluTresc"/>
      </w:pPr>
      <w:r w:rsidRPr="00436D27">
        <w:t>Powyższe powodować będzie wzrost wyzwań</w:t>
      </w:r>
      <w:r w:rsidR="00E66B89">
        <w:t xml:space="preserve"> w </w:t>
      </w:r>
      <w:r w:rsidRPr="00436D27">
        <w:t>zakresie odpowiedniego zagospodarowania tych odpadów. Możliwości</w:t>
      </w:r>
      <w:r w:rsidR="00E66B89">
        <w:t xml:space="preserve"> i </w:t>
      </w:r>
      <w:r w:rsidRPr="00436D27">
        <w:t>warunki przetwarzania KOŚ</w:t>
      </w:r>
      <w:r w:rsidR="00E66B89">
        <w:t xml:space="preserve"> w </w:t>
      </w:r>
      <w:r w:rsidRPr="00436D27">
        <w:t>dużym stopniu zależą od stosowanych procesów przetwarzania ścieków</w:t>
      </w:r>
      <w:r w:rsidR="00E66B89">
        <w:t xml:space="preserve"> w </w:t>
      </w:r>
      <w:r w:rsidRPr="00436D27">
        <w:t>oczyszczalni. Stosowanie nowoczesnych (efektywnych) technologii może przyczynić się do ograniczenia powstawani</w:t>
      </w:r>
      <w:r>
        <w:t>a</w:t>
      </w:r>
      <w:r w:rsidRPr="00436D27">
        <w:t xml:space="preserve"> KOŚ</w:t>
      </w:r>
      <w:r w:rsidR="00E66B89">
        <w:t xml:space="preserve"> w </w:t>
      </w:r>
      <w:r w:rsidRPr="00436D27">
        <w:t>formie uwodnionej. Ponadto</w:t>
      </w:r>
      <w:r>
        <w:t>,</w:t>
      </w:r>
      <w:r w:rsidR="00E66B89">
        <w:t xml:space="preserve"> w </w:t>
      </w:r>
      <w:r w:rsidRPr="00436D27">
        <w:t>tym zakresie można także osiągać korzystne efekty</w:t>
      </w:r>
      <w:r w:rsidR="00E66B89">
        <w:t xml:space="preserve"> w </w:t>
      </w:r>
      <w:r w:rsidRPr="00436D27">
        <w:t>zakresie minimalizacji ilości suchej masy</w:t>
      </w:r>
      <w:r w:rsidR="00E66B89">
        <w:t xml:space="preserve"> z </w:t>
      </w:r>
      <w:r w:rsidRPr="00436D27">
        <w:t>wytwarzanych KOŚ (np. poprzez odpowiednie rozwiązania</w:t>
      </w:r>
      <w:r w:rsidR="00E66B89">
        <w:t xml:space="preserve"> w </w:t>
      </w:r>
      <w:r w:rsidRPr="00436D27">
        <w:t>układach przeróbki osadów oraz stosowanie technologii generujących mniejsze ilości osadu nadmiernego</w:t>
      </w:r>
      <w:r w:rsidR="00E66B89">
        <w:t xml:space="preserve"> w </w:t>
      </w:r>
      <w:r w:rsidRPr="00436D27">
        <w:t>głównych ciągach technologicznych oczyszczania ścieków). Zagadnienie minimalizacji ilości powstawania osadów ściekowych jest często traktowane przez zarządzających oczyszczalniami ścieków jako drugorzędne.</w:t>
      </w:r>
      <w:r w:rsidR="00E66B89">
        <w:t xml:space="preserve"> W </w:t>
      </w:r>
      <w:r w:rsidRPr="00436D27">
        <w:t>przedmiotowym zakresie istnieje duży potencjał do planowania efektywnego rozwoju systemu gospodarki osadami ściekowymi.</w:t>
      </w:r>
      <w:r w:rsidR="00E66B89">
        <w:t xml:space="preserve"> W </w:t>
      </w:r>
      <w:r w:rsidRPr="00436D27">
        <w:t>tym zakresie ważne będą inwestycje, które umożliwi</w:t>
      </w:r>
      <w:r>
        <w:t xml:space="preserve">ą </w:t>
      </w:r>
      <w:r w:rsidRPr="00436D27">
        <w:t>zapobieganie powstawaniu KOŚ (np. poprzez poddawanie osadów takim procesom przeróbki jak dezintegracja, głęboka stabilizacja, higienizacja</w:t>
      </w:r>
      <w:r w:rsidR="00E66B89">
        <w:t xml:space="preserve"> i </w:t>
      </w:r>
      <w:r w:rsidRPr="00436D27">
        <w:t>odwodnienie). Identyfikuje się, iż</w:t>
      </w:r>
      <w:r w:rsidR="00E66B89">
        <w:t xml:space="preserve"> w </w:t>
      </w:r>
      <w:r w:rsidRPr="00436D27">
        <w:t>najbliższych latach</w:t>
      </w:r>
      <w:r w:rsidR="00E66B89">
        <w:t xml:space="preserve"> w </w:t>
      </w:r>
      <w:r w:rsidRPr="00436D27">
        <w:t>województwie zachodniopomorskim zasadne będzie realizowanie takich projektów, które:</w:t>
      </w:r>
    </w:p>
    <w:p w14:paraId="401A89A5" w14:textId="77777777" w:rsidR="009D215A" w:rsidRPr="00404DA5" w:rsidRDefault="009D215A" w:rsidP="00093E14">
      <w:pPr>
        <w:pStyle w:val="Akapitzlist"/>
        <w:numPr>
          <w:ilvl w:val="0"/>
          <w:numId w:val="59"/>
        </w:numPr>
        <w:spacing w:after="120" w:line="288" w:lineRule="auto"/>
        <w:rPr>
          <w:rFonts w:ascii="Lato" w:hAnsi="Lato" w:cs="Calibri"/>
          <w:sz w:val="20"/>
          <w:szCs w:val="20"/>
        </w:rPr>
      </w:pPr>
      <w:r w:rsidRPr="00404DA5">
        <w:rPr>
          <w:rFonts w:ascii="Lato" w:hAnsi="Lato" w:cs="Calibri"/>
          <w:sz w:val="20"/>
          <w:szCs w:val="20"/>
        </w:rPr>
        <w:lastRenderedPageBreak/>
        <w:t>prowadziłyby do utraty statusu odpadu (w takim kierunku, aby KOŚ zostały przeznaczone np. na nawozy organiczne)</w:t>
      </w:r>
      <w:r>
        <w:rPr>
          <w:rFonts w:ascii="Lato" w:hAnsi="Lato" w:cs="Calibri"/>
          <w:sz w:val="20"/>
          <w:szCs w:val="20"/>
        </w:rPr>
        <w:t>;</w:t>
      </w:r>
    </w:p>
    <w:p w14:paraId="551F4E84" w14:textId="77777777" w:rsidR="009D215A" w:rsidRPr="00404DA5" w:rsidRDefault="009D215A" w:rsidP="00093E14">
      <w:pPr>
        <w:pStyle w:val="Akapitzlist"/>
        <w:numPr>
          <w:ilvl w:val="0"/>
          <w:numId w:val="59"/>
        </w:numPr>
        <w:spacing w:after="120" w:line="288" w:lineRule="auto"/>
        <w:rPr>
          <w:rFonts w:ascii="Lato" w:hAnsi="Lato" w:cs="Calibri"/>
          <w:sz w:val="20"/>
          <w:szCs w:val="20"/>
        </w:rPr>
      </w:pPr>
      <w:r w:rsidRPr="00404DA5">
        <w:rPr>
          <w:rFonts w:ascii="Lato" w:hAnsi="Lato" w:cs="Calibri"/>
          <w:sz w:val="20"/>
          <w:szCs w:val="20"/>
        </w:rPr>
        <w:t>prowadziłyby recykling KOŚ (np. recykling organiczny,</w:t>
      </w:r>
      <w:r w:rsidR="00E66B89">
        <w:rPr>
          <w:rFonts w:ascii="Lato" w:hAnsi="Lato" w:cs="Calibri"/>
          <w:sz w:val="20"/>
          <w:szCs w:val="20"/>
        </w:rPr>
        <w:t xml:space="preserve"> w </w:t>
      </w:r>
      <w:r w:rsidRPr="00404DA5">
        <w:rPr>
          <w:rFonts w:ascii="Lato" w:hAnsi="Lato" w:cs="Calibri"/>
          <w:sz w:val="20"/>
          <w:szCs w:val="20"/>
        </w:rPr>
        <w:t>tym kompostowanie KOŚ</w:t>
      </w:r>
      <w:r w:rsidR="00E66B89">
        <w:rPr>
          <w:rFonts w:ascii="Lato" w:hAnsi="Lato" w:cs="Calibri"/>
          <w:sz w:val="20"/>
          <w:szCs w:val="20"/>
        </w:rPr>
        <w:t xml:space="preserve"> z </w:t>
      </w:r>
      <w:r w:rsidRPr="00404DA5">
        <w:rPr>
          <w:rFonts w:ascii="Lato" w:hAnsi="Lato" w:cs="Calibri"/>
          <w:sz w:val="20"/>
          <w:szCs w:val="20"/>
        </w:rPr>
        <w:t>innymi odpadami</w:t>
      </w:r>
      <w:r w:rsidR="00E66B89">
        <w:rPr>
          <w:rFonts w:ascii="Lato" w:hAnsi="Lato" w:cs="Calibri"/>
          <w:sz w:val="20"/>
          <w:szCs w:val="20"/>
        </w:rPr>
        <w:t xml:space="preserve"> w </w:t>
      </w:r>
      <w:r w:rsidRPr="00404DA5">
        <w:rPr>
          <w:rFonts w:ascii="Lato" w:hAnsi="Lato" w:cs="Calibri"/>
          <w:sz w:val="20"/>
          <w:szCs w:val="20"/>
        </w:rPr>
        <w:t>celu uzyskania materiału po procesie kompostowania stosowanego</w:t>
      </w:r>
      <w:r w:rsidR="00E66B89">
        <w:rPr>
          <w:rFonts w:ascii="Lato" w:hAnsi="Lato" w:cs="Calibri"/>
          <w:sz w:val="20"/>
          <w:szCs w:val="20"/>
        </w:rPr>
        <w:t xml:space="preserve"> w </w:t>
      </w:r>
      <w:r w:rsidRPr="00404DA5">
        <w:rPr>
          <w:rFonts w:ascii="Lato" w:hAnsi="Lato" w:cs="Calibri"/>
          <w:sz w:val="20"/>
          <w:szCs w:val="20"/>
        </w:rPr>
        <w:t>celach nawozowych</w:t>
      </w:r>
      <w:r w:rsidRPr="00404DA5">
        <w:rPr>
          <w:rStyle w:val="Odwoanieprzypisudolnego"/>
          <w:rFonts w:eastAsia="Times New Roman" w:cs="Calibri"/>
        </w:rPr>
        <w:footnoteReference w:id="34"/>
      </w:r>
      <w:r w:rsidRPr="00404DA5">
        <w:rPr>
          <w:rFonts w:ascii="Lato" w:hAnsi="Lato" w:cs="Calibri"/>
          <w:sz w:val="20"/>
          <w:szCs w:val="20"/>
        </w:rPr>
        <w:t xml:space="preserve"> oraz recykling mineralny</w:t>
      </w:r>
      <w:r w:rsidR="00E66B89">
        <w:rPr>
          <w:rFonts w:ascii="Lato" w:hAnsi="Lato" w:cs="Calibri"/>
          <w:sz w:val="20"/>
          <w:szCs w:val="20"/>
        </w:rPr>
        <w:t xml:space="preserve"> z </w:t>
      </w:r>
      <w:r w:rsidRPr="00404DA5">
        <w:rPr>
          <w:rFonts w:ascii="Lato" w:hAnsi="Lato" w:cs="Calibri"/>
          <w:sz w:val="20"/>
          <w:szCs w:val="20"/>
        </w:rPr>
        <w:t>odzyskiem fosforu lub</w:t>
      </w:r>
      <w:r w:rsidR="00E66B89">
        <w:rPr>
          <w:rFonts w:ascii="Lato" w:hAnsi="Lato" w:cs="Calibri"/>
          <w:sz w:val="20"/>
          <w:szCs w:val="20"/>
        </w:rPr>
        <w:t xml:space="preserve"> w </w:t>
      </w:r>
      <w:r w:rsidRPr="00404DA5">
        <w:rPr>
          <w:rFonts w:ascii="Lato" w:hAnsi="Lato" w:cs="Calibri"/>
          <w:sz w:val="20"/>
          <w:szCs w:val="20"/>
        </w:rPr>
        <w:t>cementowniach</w:t>
      </w:r>
      <w:r>
        <w:rPr>
          <w:rFonts w:ascii="Lato" w:hAnsi="Lato" w:cs="Calibri"/>
          <w:sz w:val="20"/>
          <w:szCs w:val="20"/>
        </w:rPr>
        <w:t>)</w:t>
      </w:r>
      <w:r w:rsidRPr="00404DA5">
        <w:rPr>
          <w:rFonts w:ascii="Lato" w:hAnsi="Lato" w:cs="Calibri"/>
          <w:sz w:val="20"/>
          <w:szCs w:val="20"/>
        </w:rPr>
        <w:t>;</w:t>
      </w:r>
    </w:p>
    <w:p w14:paraId="2D13F40C" w14:textId="77777777" w:rsidR="009D215A" w:rsidRPr="00404DA5" w:rsidRDefault="009D215A" w:rsidP="00093E14">
      <w:pPr>
        <w:pStyle w:val="Akapitzlist"/>
        <w:numPr>
          <w:ilvl w:val="0"/>
          <w:numId w:val="59"/>
        </w:numPr>
        <w:spacing w:after="120" w:line="288" w:lineRule="auto"/>
        <w:rPr>
          <w:rFonts w:ascii="Lato" w:hAnsi="Lato" w:cs="Calibri"/>
          <w:sz w:val="20"/>
          <w:szCs w:val="20"/>
        </w:rPr>
      </w:pPr>
      <w:r w:rsidRPr="00404DA5">
        <w:rPr>
          <w:rFonts w:ascii="Lato" w:hAnsi="Lato" w:cs="Calibri"/>
          <w:sz w:val="20"/>
          <w:szCs w:val="20"/>
        </w:rPr>
        <w:t>stosowałyby metody odzysku KOŚ (bezpośrednio na powierzchni ziemi po spełnieniu określonych przepisami warunków</w:t>
      </w:r>
      <w:r w:rsidRPr="00404DA5">
        <w:rPr>
          <w:rStyle w:val="Odwoanieprzypisudolnego"/>
          <w:rFonts w:eastAsia="Times New Roman" w:cs="Calibri"/>
        </w:rPr>
        <w:footnoteReference w:id="35"/>
      </w:r>
      <w:r w:rsidRPr="00404DA5">
        <w:rPr>
          <w:rFonts w:ascii="Lato" w:hAnsi="Lato" w:cs="Calibri"/>
          <w:sz w:val="20"/>
          <w:szCs w:val="20"/>
        </w:rPr>
        <w:t>, odzysku,</w:t>
      </w:r>
      <w:r w:rsidR="00E66B89">
        <w:rPr>
          <w:rFonts w:ascii="Lato" w:hAnsi="Lato" w:cs="Calibri"/>
          <w:sz w:val="20"/>
          <w:szCs w:val="20"/>
        </w:rPr>
        <w:t xml:space="preserve"> w </w:t>
      </w:r>
      <w:r w:rsidRPr="00404DA5">
        <w:rPr>
          <w:rFonts w:ascii="Lato" w:hAnsi="Lato" w:cs="Calibri"/>
          <w:sz w:val="20"/>
          <w:szCs w:val="20"/>
        </w:rPr>
        <w:t>tym odzysku</w:t>
      </w:r>
      <w:r w:rsidR="00E66B89">
        <w:rPr>
          <w:rFonts w:ascii="Lato" w:hAnsi="Lato" w:cs="Calibri"/>
          <w:sz w:val="20"/>
          <w:szCs w:val="20"/>
        </w:rPr>
        <w:t xml:space="preserve"> w </w:t>
      </w:r>
      <w:r w:rsidRPr="00404DA5">
        <w:rPr>
          <w:rFonts w:ascii="Lato" w:hAnsi="Lato" w:cs="Calibri"/>
          <w:sz w:val="20"/>
          <w:szCs w:val="20"/>
        </w:rPr>
        <w:t>kompostowniach, biogazowniach lub cementowniach),</w:t>
      </w:r>
      <w:r w:rsidR="00E66B89">
        <w:rPr>
          <w:rFonts w:ascii="Lato" w:hAnsi="Lato" w:cs="Calibri"/>
          <w:sz w:val="20"/>
          <w:szCs w:val="20"/>
        </w:rPr>
        <w:t xml:space="preserve"> w </w:t>
      </w:r>
      <w:r w:rsidRPr="00404DA5">
        <w:rPr>
          <w:rFonts w:ascii="Lato" w:hAnsi="Lato" w:cs="Calibri"/>
          <w:sz w:val="20"/>
          <w:szCs w:val="20"/>
        </w:rPr>
        <w:t>tym odzysku energii – na przykład</w:t>
      </w:r>
      <w:r w:rsidR="00E66B89">
        <w:rPr>
          <w:rFonts w:ascii="Lato" w:hAnsi="Lato" w:cs="Calibri"/>
          <w:sz w:val="20"/>
          <w:szCs w:val="20"/>
        </w:rPr>
        <w:t xml:space="preserve"> w </w:t>
      </w:r>
      <w:r w:rsidRPr="00404DA5">
        <w:rPr>
          <w:rFonts w:ascii="Lato" w:hAnsi="Lato" w:cs="Calibri"/>
          <w:sz w:val="20"/>
          <w:szCs w:val="20"/>
        </w:rPr>
        <w:t>odniesieniu do osadów jako biomasy</w:t>
      </w:r>
      <w:r>
        <w:rPr>
          <w:rFonts w:ascii="Lato" w:hAnsi="Lato" w:cs="Calibri"/>
          <w:sz w:val="20"/>
          <w:szCs w:val="20"/>
        </w:rPr>
        <w:t>, co</w:t>
      </w:r>
      <w:r w:rsidRPr="00404DA5">
        <w:rPr>
          <w:rFonts w:ascii="Lato" w:hAnsi="Lato" w:cs="Calibri"/>
          <w:sz w:val="20"/>
          <w:szCs w:val="20"/>
        </w:rPr>
        <w:t xml:space="preserve"> oznacza spalanie lub odzysk poza instalacjami;</w:t>
      </w:r>
    </w:p>
    <w:p w14:paraId="71863EE2" w14:textId="77777777" w:rsidR="009D215A" w:rsidRPr="00404DA5" w:rsidRDefault="009D215A" w:rsidP="00093E14">
      <w:pPr>
        <w:pStyle w:val="Akapitzlist"/>
        <w:numPr>
          <w:ilvl w:val="0"/>
          <w:numId w:val="59"/>
        </w:numPr>
        <w:spacing w:after="120" w:line="288" w:lineRule="auto"/>
        <w:rPr>
          <w:rFonts w:ascii="Lato" w:hAnsi="Lato" w:cs="Calibri"/>
          <w:sz w:val="20"/>
          <w:szCs w:val="20"/>
        </w:rPr>
      </w:pPr>
      <w:r w:rsidRPr="00404DA5">
        <w:rPr>
          <w:rFonts w:ascii="Lato" w:hAnsi="Lato" w:cs="Calibri"/>
          <w:sz w:val="20"/>
          <w:szCs w:val="20"/>
        </w:rPr>
        <w:t>dopiero na końcu: unieszkodliwiałyby KOŚ (osady</w:t>
      </w:r>
      <w:r w:rsidR="00E66B89">
        <w:rPr>
          <w:rFonts w:ascii="Lato" w:hAnsi="Lato" w:cs="Calibri"/>
          <w:sz w:val="20"/>
          <w:szCs w:val="20"/>
        </w:rPr>
        <w:t xml:space="preserve"> w </w:t>
      </w:r>
      <w:r w:rsidRPr="00404DA5">
        <w:rPr>
          <w:rFonts w:ascii="Lato" w:hAnsi="Lato" w:cs="Calibri"/>
          <w:sz w:val="20"/>
          <w:szCs w:val="20"/>
        </w:rPr>
        <w:t>tym procesie mogą być termicznie przekształcane</w:t>
      </w:r>
      <w:r w:rsidR="00E66B89">
        <w:rPr>
          <w:rFonts w:ascii="Lato" w:hAnsi="Lato" w:cs="Calibri"/>
          <w:sz w:val="20"/>
          <w:szCs w:val="20"/>
        </w:rPr>
        <w:t xml:space="preserve"> w </w:t>
      </w:r>
      <w:r w:rsidRPr="00404DA5">
        <w:rPr>
          <w:rFonts w:ascii="Lato" w:hAnsi="Lato" w:cs="Calibri"/>
          <w:sz w:val="20"/>
          <w:szCs w:val="20"/>
        </w:rPr>
        <w:t>spalarniach lub współspalarniach odpadów, bez odzysku energetycznego</w:t>
      </w:r>
      <w:r w:rsidRPr="00404DA5">
        <w:rPr>
          <w:rStyle w:val="Odwoanieprzypisudolnego"/>
          <w:rFonts w:eastAsia="Times New Roman" w:cs="Calibri"/>
        </w:rPr>
        <w:footnoteReference w:id="36"/>
      </w:r>
      <w:r w:rsidRPr="00404DA5">
        <w:rPr>
          <w:rFonts w:ascii="Lato" w:hAnsi="Lato" w:cs="Calibri"/>
          <w:sz w:val="20"/>
          <w:szCs w:val="20"/>
        </w:rPr>
        <w:t xml:space="preserve"> lub też składowane, po przetworzeniu,</w:t>
      </w:r>
      <w:r w:rsidR="00E66B89">
        <w:rPr>
          <w:rFonts w:ascii="Lato" w:hAnsi="Lato" w:cs="Calibri"/>
          <w:sz w:val="20"/>
          <w:szCs w:val="20"/>
        </w:rPr>
        <w:t xml:space="preserve"> w </w:t>
      </w:r>
      <w:r w:rsidRPr="00404DA5">
        <w:rPr>
          <w:rFonts w:ascii="Lato" w:hAnsi="Lato" w:cs="Calibri"/>
          <w:sz w:val="20"/>
          <w:szCs w:val="20"/>
        </w:rPr>
        <w:t>sytuacji gdy spełniają wymogi określone przepisami prawa).</w:t>
      </w:r>
    </w:p>
    <w:p w14:paraId="46274BBA" w14:textId="77777777" w:rsidR="009D215A" w:rsidRPr="00436D27" w:rsidRDefault="009D215A" w:rsidP="009D215A">
      <w:pPr>
        <w:pStyle w:val="evaluTresc"/>
      </w:pPr>
      <w:r w:rsidRPr="00436D27">
        <w:t>Sporadycznie</w:t>
      </w:r>
      <w:r w:rsidR="00E66B89">
        <w:t xml:space="preserve"> w </w:t>
      </w:r>
      <w:r w:rsidRPr="00436D27">
        <w:t xml:space="preserve">przypadku </w:t>
      </w:r>
      <w:r>
        <w:t>wdrażania</w:t>
      </w:r>
      <w:r w:rsidRPr="00436D27">
        <w:t xml:space="preserve"> części projektów pojawiały się okresowe trudności</w:t>
      </w:r>
      <w:r w:rsidR="00E66B89">
        <w:t xml:space="preserve"> w </w:t>
      </w:r>
      <w:r>
        <w:t>ich</w:t>
      </w:r>
      <w:r w:rsidRPr="00436D27">
        <w:t xml:space="preserve"> realizacji (np. niesprzyjające warunki atmosferyczne, niezinwentaryzowana infrastruktura, trudności we współpracy</w:t>
      </w:r>
      <w:r w:rsidR="00E66B89">
        <w:t xml:space="preserve"> z </w:t>
      </w:r>
      <w:r w:rsidRPr="00436D27">
        <w:t>wykonawcą robót). Skutkowały one koniecznością aktualizacji harmonogramów rzeczowo-finansowych przez pracujących na rzecz beneficjentów wykonawców robót.</w:t>
      </w:r>
      <w:r w:rsidR="00E66B89">
        <w:t xml:space="preserve"> Z </w:t>
      </w:r>
      <w:r w:rsidRPr="00436D27">
        <w:t>reguły nie wpływały na konieczność zmian terminów zakończenia realizacji projektu. 23,1% ankietowanych wnioskodawców na etapie przygotowania projektu napotkało na problemy</w:t>
      </w:r>
      <w:r w:rsidR="00E66B89">
        <w:t xml:space="preserve"> z </w:t>
      </w:r>
      <w:r w:rsidRPr="00436D27">
        <w:t>uzyskaniem niezbędnych pozwoleń związanych</w:t>
      </w:r>
      <w:r w:rsidR="00E66B89">
        <w:t xml:space="preserve"> z </w:t>
      </w:r>
      <w:r w:rsidRPr="00436D27">
        <w:t>realizowaną inwestycją.</w:t>
      </w:r>
      <w:r w:rsidR="00E66B89">
        <w:t xml:space="preserve"> W </w:t>
      </w:r>
      <w:r w:rsidRPr="00436D27">
        <w:t>jednym</w:t>
      </w:r>
      <w:r w:rsidR="00E66B89">
        <w:t xml:space="preserve"> z </w:t>
      </w:r>
      <w:r w:rsidRPr="00436D27">
        <w:t>projektów</w:t>
      </w:r>
      <w:r w:rsidR="00E66B89">
        <w:t xml:space="preserve"> z </w:t>
      </w:r>
      <w:r w:rsidRPr="00436D27">
        <w:t>Działani</w:t>
      </w:r>
      <w:r>
        <w:t>a</w:t>
      </w:r>
      <w:r w:rsidRPr="00436D27">
        <w:t xml:space="preserve"> 3.5 (budowa ujęcia wody) istnieje ryzyko powstania poważniejszych opóźnień (wykonawca nie dotrzymuje umownych terminów </w:t>
      </w:r>
      <w:r>
        <w:t>zakończenia</w:t>
      </w:r>
      <w:r w:rsidRPr="00436D27">
        <w:t xml:space="preserve"> zadania, zamawiający planuje wyznaczyć ostateczny termin realizacji, </w:t>
      </w:r>
      <w:r>
        <w:t>zaś</w:t>
      </w:r>
      <w:r w:rsidR="00E66B89">
        <w:t xml:space="preserve"> w </w:t>
      </w:r>
      <w:r w:rsidRPr="00436D27">
        <w:t xml:space="preserve">przypadku jego niedotrzymania odstąpić od </w:t>
      </w:r>
      <w:r>
        <w:t>zawartej</w:t>
      </w:r>
      <w:r w:rsidRPr="00436D27">
        <w:t xml:space="preserve"> umowy</w:t>
      </w:r>
      <w:r w:rsidR="00E66B89">
        <w:t xml:space="preserve"> z </w:t>
      </w:r>
      <w:r w:rsidRPr="00436D27">
        <w:t>winy wykonawcy). Tylko 28,6% ankietowanych (n=7) nie odnotował</w:t>
      </w:r>
      <w:r>
        <w:t>o</w:t>
      </w:r>
      <w:r w:rsidR="00E66B89">
        <w:t xml:space="preserve"> w </w:t>
      </w:r>
      <w:r w:rsidRPr="00436D27">
        <w:t>trakcie realizacji projektu żadnych trudności. 57,1% beneficjentów napotkał</w:t>
      </w:r>
      <w:r>
        <w:t>o</w:t>
      </w:r>
      <w:r w:rsidRPr="00436D27">
        <w:t xml:space="preserve"> problemy ze znalezieniem wykonawców. Sporadycznie występowały problemy związane</w:t>
      </w:r>
      <w:r w:rsidR="00E66B89">
        <w:t xml:space="preserve"> z </w:t>
      </w:r>
      <w:r w:rsidRPr="00436D27">
        <w:t>koniecznością rozpisania nowego przetargu na wykonawcę robót budowlanych (oferty przekraczające budżet, brak ofert). Powyższe</w:t>
      </w:r>
      <w:r>
        <w:t xml:space="preserve"> trudności</w:t>
      </w:r>
      <w:r w:rsidRPr="00436D27">
        <w:t xml:space="preserve"> skutk</w:t>
      </w:r>
      <w:r>
        <w:t xml:space="preserve">owały </w:t>
      </w:r>
      <w:r w:rsidRPr="00436D27">
        <w:t xml:space="preserve">koniecznością </w:t>
      </w:r>
      <w:r>
        <w:t xml:space="preserve">wprowadzenia </w:t>
      </w:r>
      <w:r w:rsidRPr="00436D27">
        <w:t>zmian</w:t>
      </w:r>
      <w:r w:rsidR="00E66B89">
        <w:t xml:space="preserve"> w </w:t>
      </w:r>
      <w:r w:rsidRPr="00436D27">
        <w:t>harmonogram</w:t>
      </w:r>
      <w:r>
        <w:t>ach</w:t>
      </w:r>
      <w:r w:rsidRPr="00436D27">
        <w:t xml:space="preserve"> płatności</w:t>
      </w:r>
      <w:r>
        <w:t xml:space="preserve"> (j</w:t>
      </w:r>
      <w:r w:rsidRPr="00436D27">
        <w:t xml:space="preserve">ednakże nie będzie </w:t>
      </w:r>
      <w:r>
        <w:t xml:space="preserve">to </w:t>
      </w:r>
      <w:r w:rsidRPr="00436D27">
        <w:t xml:space="preserve">miało wpływu na końcowy termin realizacji </w:t>
      </w:r>
      <w:r>
        <w:t xml:space="preserve">tych </w:t>
      </w:r>
      <w:r w:rsidRPr="00436D27">
        <w:t>inwestycji</w:t>
      </w:r>
      <w:r>
        <w:t>)</w:t>
      </w:r>
      <w:r w:rsidRPr="00436D27">
        <w:t>. 28,6% ankietowanych wskazało na problemy związane</w:t>
      </w:r>
      <w:r w:rsidR="00E66B89">
        <w:t xml:space="preserve"> z </w:t>
      </w:r>
      <w:r w:rsidRPr="00436D27">
        <w:t>istotnym wzrostem kosztów realizacji projektu. 60% ankietowanych wskazało</w:t>
      </w:r>
      <w:r>
        <w:t xml:space="preserve">, iż te problemy wpłyną na </w:t>
      </w:r>
      <w:r w:rsidRPr="00436D27">
        <w:t>wydłużenie okresu realizacji projektu</w:t>
      </w:r>
      <w:r>
        <w:t>, zaś</w:t>
      </w:r>
      <w:r w:rsidRPr="00436D27">
        <w:t xml:space="preserve"> 40%</w:t>
      </w:r>
      <w:r>
        <w:t xml:space="preserve"> badanych wskazało</w:t>
      </w:r>
      <w:r w:rsidRPr="00436D27">
        <w:t xml:space="preserve"> </w:t>
      </w:r>
      <w:r>
        <w:t xml:space="preserve">na </w:t>
      </w:r>
      <w:r w:rsidRPr="00436D27">
        <w:t xml:space="preserve">ryzyko uznania </w:t>
      </w:r>
      <w:r>
        <w:t>części</w:t>
      </w:r>
      <w:r w:rsidRPr="00436D27">
        <w:t xml:space="preserve"> kosztów za niekwalifikowalne </w:t>
      </w:r>
      <w:r>
        <w:t>(co będzie skutkowało koniecznością</w:t>
      </w:r>
      <w:r w:rsidRPr="00436D27">
        <w:t xml:space="preserve"> zwrot</w:t>
      </w:r>
      <w:r>
        <w:t>u części</w:t>
      </w:r>
      <w:r w:rsidRPr="00436D27">
        <w:t xml:space="preserve"> </w:t>
      </w:r>
      <w:r>
        <w:t>przyznanego dofinansowania)</w:t>
      </w:r>
      <w:r w:rsidRPr="00436D27">
        <w:t>. 42,9% ankietowanych wskazało, iż</w:t>
      </w:r>
      <w:r w:rsidR="00E66B89">
        <w:t xml:space="preserve"> w </w:t>
      </w:r>
      <w:r w:rsidRPr="00436D27">
        <w:t>ich projekcie konieczne było zwiększenie budżetu na realizację inwestycji.</w:t>
      </w:r>
    </w:p>
    <w:p w14:paraId="6C910080" w14:textId="77777777" w:rsidR="009D215A" w:rsidRPr="00436D27" w:rsidRDefault="009D215A" w:rsidP="009D215A">
      <w:pPr>
        <w:pStyle w:val="evaluTresc"/>
      </w:pPr>
      <w:r>
        <w:t>Opisane powyżej trudności napotkane przez beneficjentów realizujących projekty</w:t>
      </w:r>
      <w:r w:rsidR="00E66B89">
        <w:t xml:space="preserve"> w </w:t>
      </w:r>
      <w:r>
        <w:t xml:space="preserve">ramach PI 6b </w:t>
      </w:r>
      <w:r w:rsidRPr="00436D27">
        <w:t xml:space="preserve">nie powinny mieć istotnego wpływu na proces skutecznej realizacji projektów. </w:t>
      </w:r>
      <w:r>
        <w:t>Opisane problemy</w:t>
      </w:r>
      <w:r w:rsidR="00E66B89">
        <w:t xml:space="preserve"> w </w:t>
      </w:r>
      <w:r w:rsidRPr="00436D27">
        <w:t xml:space="preserve">dużym stopniu związane </w:t>
      </w:r>
      <w:r>
        <w:t xml:space="preserve">są </w:t>
      </w:r>
      <w:r w:rsidRPr="00436D27">
        <w:t>ze specyfiką realizowanych projektów (projekty infrastrukturalne, liniowe).</w:t>
      </w:r>
      <w:r w:rsidR="00E66B89">
        <w:t xml:space="preserve"> W </w:t>
      </w:r>
      <w:r w:rsidRPr="00436D27">
        <w:t xml:space="preserve">przypadku większości projektów </w:t>
      </w:r>
      <w:r>
        <w:t>realizowanych</w:t>
      </w:r>
      <w:r w:rsidR="00E66B89">
        <w:t xml:space="preserve"> w </w:t>
      </w:r>
      <w:r>
        <w:t>ramach PI 6b</w:t>
      </w:r>
      <w:r w:rsidRPr="00436D27">
        <w:t xml:space="preserve"> </w:t>
      </w:r>
      <w:r>
        <w:t>beneficjentami</w:t>
      </w:r>
      <w:r w:rsidRPr="00436D27">
        <w:t xml:space="preserve"> są właściwe jednostki samorządu terytorialnego bądź spółki gminne</w:t>
      </w:r>
      <w:r>
        <w:t>,</w:t>
      </w:r>
      <w:r w:rsidRPr="00436D27">
        <w:t xml:space="preserve"> tj. podmioty funkcjonujące na rynku od wielu lat</w:t>
      </w:r>
      <w:r>
        <w:t>,</w:t>
      </w:r>
      <w:r w:rsidR="00E66B89">
        <w:t xml:space="preserve"> z </w:t>
      </w:r>
      <w:r>
        <w:t>odpowiednim doświadczeniem oraz potencjałem do podejmowania skutecznych działań naprawczych</w:t>
      </w:r>
      <w:r w:rsidRPr="00436D27">
        <w:t>.</w:t>
      </w:r>
      <w:r w:rsidR="00E66B89">
        <w:t xml:space="preserve"> </w:t>
      </w:r>
      <w:r w:rsidR="00E66B89">
        <w:lastRenderedPageBreak/>
        <w:t>W </w:t>
      </w:r>
      <w:r>
        <w:t>związku</w:t>
      </w:r>
      <w:r w:rsidR="00E66B89">
        <w:t xml:space="preserve"> z </w:t>
      </w:r>
      <w:r>
        <w:t>powyższym nie prognozuje się możliwości wystąpienia istotnych ryzyk, które negatywnie wpłynęłyby np. na trwałość realizowanych projektów (w tym na osiągane</w:t>
      </w:r>
      <w:r w:rsidR="00E66B89">
        <w:t xml:space="preserve"> w </w:t>
      </w:r>
      <w:r>
        <w:t>projektach wskaźniki produktu</w:t>
      </w:r>
      <w:r w:rsidR="00E66B89">
        <w:t xml:space="preserve"> i </w:t>
      </w:r>
      <w:r>
        <w:t>rezultatu).</w:t>
      </w:r>
    </w:p>
    <w:p w14:paraId="11CD17DA" w14:textId="77777777" w:rsidR="009D215A" w:rsidRPr="00436D27" w:rsidRDefault="009D215A" w:rsidP="009D215A">
      <w:pPr>
        <w:pStyle w:val="evaluTresc"/>
      </w:pPr>
      <w:r w:rsidRPr="00436D27">
        <w:t>Pozytywnie należy ocenić logikę interwencji wsparcia udzielanego</w:t>
      </w:r>
      <w:r w:rsidR="00E66B89">
        <w:t xml:space="preserve"> w </w:t>
      </w:r>
      <w:r w:rsidRPr="00436D27">
        <w:t>ramach PI</w:t>
      </w:r>
      <w:r>
        <w:t xml:space="preserve"> </w:t>
      </w:r>
      <w:r w:rsidRPr="00436D27">
        <w:t>6b. Dobór typów projektów uprawnionych do realizacji</w:t>
      </w:r>
      <w:r w:rsidR="00E66B89">
        <w:t xml:space="preserve"> w </w:t>
      </w:r>
      <w:r w:rsidRPr="00436D27">
        <w:t>ramach Działania 3.5</w:t>
      </w:r>
      <w:r w:rsidR="00E66B89">
        <w:t xml:space="preserve"> i </w:t>
      </w:r>
      <w:r w:rsidRPr="00436D27">
        <w:t>3.6 wykazuje silne powiązanie ze zdiagnozowanymi problemami takimi jak wymagający zwiększenia poziom skanalizowania</w:t>
      </w:r>
      <w:r w:rsidR="00E66B89">
        <w:t xml:space="preserve"> i </w:t>
      </w:r>
      <w:r w:rsidRPr="00436D27">
        <w:t xml:space="preserve">zabezpieczenia dostaw wody dla gmin od 2 do 10 tys. RLM, jak również wymagający poprawy system oczyszczania ścieków komunalnych. </w:t>
      </w:r>
      <w:r>
        <w:t>T</w:t>
      </w:r>
      <w:r w:rsidRPr="00436D27">
        <w:t>rafnie został</w:t>
      </w:r>
      <w:r>
        <w:t xml:space="preserve"> także</w:t>
      </w:r>
      <w:r w:rsidRPr="00436D27">
        <w:t xml:space="preserve"> dobrany typ uprawnionych do wnioskowania podmiotów.</w:t>
      </w:r>
    </w:p>
    <w:p w14:paraId="0418C8A9" w14:textId="77777777" w:rsidR="009D215A" w:rsidRPr="00436D27" w:rsidRDefault="009D215A" w:rsidP="009D215A">
      <w:pPr>
        <w:pStyle w:val="evaluTresc"/>
      </w:pPr>
      <w:r w:rsidRPr="00436D27">
        <w:t xml:space="preserve">Jak już wspomniano powyżej </w:t>
      </w:r>
      <w:r>
        <w:t>-</w:t>
      </w:r>
      <w:r w:rsidR="00E66B89">
        <w:t xml:space="preserve"> w </w:t>
      </w:r>
      <w:r w:rsidRPr="00436D27">
        <w:t>celu podwyższenia logiki interwencji</w:t>
      </w:r>
      <w:r>
        <w:t>,</w:t>
      </w:r>
      <w:r w:rsidRPr="00436D27">
        <w:t xml:space="preserve"> IZ RPO WZ 2014-2020 stosowała odpowiednie kryteria wyboru projektów (tak by premiować projekty najlepiej wpisujące się</w:t>
      </w:r>
      <w:r w:rsidR="00E66B89">
        <w:t xml:space="preserve"> w </w:t>
      </w:r>
      <w:r w:rsidRPr="00436D27">
        <w:t>cel wdrażania PI 6b).</w:t>
      </w:r>
    </w:p>
    <w:p w14:paraId="45D6B34A" w14:textId="77777777" w:rsidR="009D215A" w:rsidRPr="00404DA5" w:rsidRDefault="009D215A" w:rsidP="009D215A">
      <w:pPr>
        <w:pStyle w:val="Nagwek4"/>
        <w:numPr>
          <w:ilvl w:val="0"/>
          <w:numId w:val="0"/>
        </w:numPr>
        <w:rPr>
          <w:rFonts w:ascii="Lato" w:hAnsi="Lato" w:cs="Calibri"/>
          <w:color w:val="FF0000"/>
          <w:szCs w:val="20"/>
        </w:rPr>
      </w:pPr>
      <w:r w:rsidRPr="00436D27">
        <w:rPr>
          <w:rFonts w:ascii="Lato" w:eastAsia="Calibri" w:hAnsi="Lato"/>
        </w:rPr>
        <w:t xml:space="preserve">Wskaźniki rezultatu strategicznego </w:t>
      </w:r>
    </w:p>
    <w:p w14:paraId="58A90B0D" w14:textId="77777777" w:rsidR="009D215A" w:rsidRPr="00404DA5" w:rsidRDefault="009D215A" w:rsidP="009D215A">
      <w:pPr>
        <w:rPr>
          <w:rFonts w:cs="Calibri"/>
          <w:szCs w:val="20"/>
        </w:rPr>
      </w:pPr>
      <w:r w:rsidRPr="00404DA5">
        <w:rPr>
          <w:rFonts w:cs="Calibri"/>
          <w:szCs w:val="20"/>
        </w:rPr>
        <w:t>W poniższej tabeli zaprezentowano wskaźniki rezultatu strategicznego dla PI 6b.</w:t>
      </w:r>
    </w:p>
    <w:p w14:paraId="6819E483" w14:textId="77777777" w:rsidR="009D215A" w:rsidRPr="00436D27" w:rsidRDefault="009D215A" w:rsidP="006E34DC">
      <w:pPr>
        <w:pStyle w:val="Legenda"/>
        <w:spacing w:after="0"/>
      </w:pPr>
      <w:bookmarkStart w:id="111" w:name="_Toc8824158"/>
      <w:r w:rsidRPr="00436D27">
        <w:t xml:space="preserve">Tabela </w:t>
      </w:r>
      <w:r>
        <w:fldChar w:fldCharType="begin"/>
      </w:r>
      <w:r>
        <w:instrText xml:space="preserve"> SEQ Tabela \* ARABIC </w:instrText>
      </w:r>
      <w:r>
        <w:fldChar w:fldCharType="separate"/>
      </w:r>
      <w:r w:rsidR="00763345">
        <w:rPr>
          <w:noProof/>
        </w:rPr>
        <w:t>47</w:t>
      </w:r>
      <w:r>
        <w:fldChar w:fldCharType="end"/>
      </w:r>
      <w:r w:rsidRPr="00436D27">
        <w:t xml:space="preserve"> Specyficzne dla programu wskaźniki rezultatu</w:t>
      </w:r>
      <w:r w:rsidR="00E66B89">
        <w:t xml:space="preserve"> w </w:t>
      </w:r>
      <w:r w:rsidRPr="00436D27">
        <w:t>podziale na poszczególne cele (w odniesieniu do EFRR</w:t>
      </w:r>
      <w:r w:rsidR="00E66B89">
        <w:t xml:space="preserve"> i </w:t>
      </w:r>
      <w:r w:rsidRPr="00436D27">
        <w:t>Funduszu Spójności)</w:t>
      </w:r>
      <w:bookmarkEnd w:id="11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0"/>
        <w:gridCol w:w="1815"/>
        <w:gridCol w:w="810"/>
        <w:gridCol w:w="990"/>
        <w:gridCol w:w="750"/>
        <w:gridCol w:w="690"/>
        <w:gridCol w:w="1155"/>
        <w:gridCol w:w="1365"/>
        <w:gridCol w:w="1020"/>
      </w:tblGrid>
      <w:tr w:rsidR="009D215A" w:rsidRPr="00436D27" w14:paraId="56BC3FF1" w14:textId="77777777" w:rsidTr="00EE58A9">
        <w:trPr>
          <w:tblHeader/>
        </w:trPr>
        <w:tc>
          <w:tcPr>
            <w:tcW w:w="6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6059EB" w14:textId="77777777" w:rsidR="009D215A" w:rsidRPr="00404DA5" w:rsidRDefault="009D215A" w:rsidP="00EE58A9">
            <w:pPr>
              <w:rPr>
                <w:rFonts w:cs="Calibri"/>
                <w:sz w:val="16"/>
                <w:szCs w:val="20"/>
              </w:rPr>
            </w:pPr>
            <w:r w:rsidRPr="00404DA5">
              <w:rPr>
                <w:rFonts w:cs="Calibri"/>
                <w:sz w:val="16"/>
                <w:szCs w:val="20"/>
              </w:rPr>
              <w:t>Lp.</w:t>
            </w:r>
          </w:p>
        </w:tc>
        <w:tc>
          <w:tcPr>
            <w:tcW w:w="181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666E87" w14:textId="77777777" w:rsidR="009D215A" w:rsidRPr="00404DA5" w:rsidRDefault="009D215A" w:rsidP="00EE58A9">
            <w:pPr>
              <w:rPr>
                <w:rFonts w:cs="Calibri"/>
                <w:sz w:val="16"/>
                <w:szCs w:val="20"/>
              </w:rPr>
            </w:pPr>
            <w:r w:rsidRPr="00404DA5">
              <w:rPr>
                <w:rFonts w:cs="Calibri"/>
                <w:sz w:val="16"/>
                <w:szCs w:val="20"/>
              </w:rPr>
              <w:t>Wskaźnik</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B08EF" w14:textId="77777777" w:rsidR="009D215A" w:rsidRPr="00404DA5" w:rsidRDefault="009D215A" w:rsidP="00EE58A9">
            <w:pPr>
              <w:rPr>
                <w:rFonts w:cs="Calibri"/>
                <w:sz w:val="16"/>
                <w:szCs w:val="20"/>
              </w:rPr>
            </w:pPr>
            <w:r w:rsidRPr="00404DA5">
              <w:rPr>
                <w:rFonts w:cs="Calibri"/>
                <w:sz w:val="16"/>
                <w:szCs w:val="20"/>
              </w:rPr>
              <w:t>Jednostka</w:t>
            </w:r>
            <w:r w:rsidRPr="00404DA5">
              <w:rPr>
                <w:rFonts w:cs="Calibri"/>
                <w:sz w:val="16"/>
                <w:szCs w:val="20"/>
              </w:rPr>
              <w:br/>
              <w:t>pomiaru</w:t>
            </w:r>
          </w:p>
        </w:tc>
        <w:tc>
          <w:tcPr>
            <w:tcW w:w="9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829522" w14:textId="77777777" w:rsidR="009D215A" w:rsidRPr="00404DA5" w:rsidRDefault="009D215A" w:rsidP="00EE58A9">
            <w:pPr>
              <w:rPr>
                <w:rFonts w:cs="Calibri"/>
                <w:sz w:val="16"/>
                <w:szCs w:val="20"/>
              </w:rPr>
            </w:pPr>
            <w:r w:rsidRPr="00404DA5">
              <w:rPr>
                <w:rFonts w:cs="Calibri"/>
                <w:sz w:val="16"/>
                <w:szCs w:val="20"/>
              </w:rPr>
              <w:t>Kategoria</w:t>
            </w:r>
            <w:r w:rsidRPr="00404DA5">
              <w:rPr>
                <w:rFonts w:cs="Calibri"/>
                <w:sz w:val="16"/>
                <w:szCs w:val="20"/>
              </w:rPr>
              <w:br/>
              <w:t>regionu</w:t>
            </w:r>
          </w:p>
        </w:tc>
        <w:tc>
          <w:tcPr>
            <w:tcW w:w="75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A03129" w14:textId="77777777" w:rsidR="009D215A" w:rsidRPr="00404DA5" w:rsidRDefault="009D215A" w:rsidP="00EE58A9">
            <w:pPr>
              <w:rPr>
                <w:rFonts w:cs="Calibri"/>
                <w:sz w:val="16"/>
                <w:szCs w:val="20"/>
              </w:rPr>
            </w:pPr>
            <w:r w:rsidRPr="00404DA5">
              <w:rPr>
                <w:rFonts w:cs="Calibri"/>
                <w:sz w:val="16"/>
                <w:szCs w:val="20"/>
              </w:rPr>
              <w:t>Wartość</w:t>
            </w:r>
            <w:r w:rsidRPr="00404DA5">
              <w:rPr>
                <w:rFonts w:cs="Calibri"/>
                <w:sz w:val="16"/>
                <w:szCs w:val="20"/>
              </w:rPr>
              <w:br/>
              <w:t>bazowa</w:t>
            </w:r>
          </w:p>
        </w:tc>
        <w:tc>
          <w:tcPr>
            <w:tcW w:w="6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8ADCBD" w14:textId="77777777" w:rsidR="009D215A" w:rsidRPr="00404DA5" w:rsidRDefault="009D215A" w:rsidP="00EE58A9">
            <w:pPr>
              <w:rPr>
                <w:rFonts w:cs="Calibri"/>
                <w:sz w:val="16"/>
                <w:szCs w:val="20"/>
              </w:rPr>
            </w:pPr>
            <w:r w:rsidRPr="00404DA5">
              <w:rPr>
                <w:rFonts w:cs="Calibri"/>
                <w:sz w:val="16"/>
                <w:szCs w:val="20"/>
              </w:rPr>
              <w:t>Rok bazowy</w:t>
            </w:r>
          </w:p>
        </w:tc>
        <w:tc>
          <w:tcPr>
            <w:tcW w:w="11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433F9C" w14:textId="77777777" w:rsidR="009D215A" w:rsidRPr="00404DA5" w:rsidRDefault="009D215A" w:rsidP="00EE58A9">
            <w:pPr>
              <w:rPr>
                <w:rFonts w:cs="Calibri"/>
                <w:sz w:val="16"/>
                <w:szCs w:val="20"/>
              </w:rPr>
            </w:pPr>
            <w:r w:rsidRPr="00404DA5">
              <w:rPr>
                <w:rFonts w:cs="Calibri"/>
                <w:sz w:val="16"/>
                <w:szCs w:val="20"/>
              </w:rPr>
              <w:t>Wartość</w:t>
            </w:r>
            <w:r w:rsidRPr="00404DA5">
              <w:rPr>
                <w:rFonts w:cs="Calibri"/>
                <w:sz w:val="16"/>
                <w:szCs w:val="20"/>
              </w:rPr>
              <w:br/>
              <w:t>docelowa</w:t>
            </w:r>
            <w:r w:rsidRPr="00404DA5">
              <w:rPr>
                <w:rFonts w:cs="Calibri"/>
                <w:sz w:val="16"/>
                <w:szCs w:val="20"/>
              </w:rPr>
              <w:br/>
              <w:t>(2023)</w:t>
            </w:r>
          </w:p>
        </w:tc>
        <w:tc>
          <w:tcPr>
            <w:tcW w:w="136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EC34AB" w14:textId="77777777" w:rsidR="009D215A" w:rsidRPr="00404DA5" w:rsidRDefault="009D215A" w:rsidP="00EE58A9">
            <w:pPr>
              <w:rPr>
                <w:rFonts w:cs="Calibri"/>
                <w:sz w:val="16"/>
                <w:szCs w:val="20"/>
              </w:rPr>
            </w:pPr>
            <w:r w:rsidRPr="00404DA5">
              <w:rPr>
                <w:rFonts w:cs="Calibri"/>
                <w:sz w:val="16"/>
                <w:szCs w:val="20"/>
              </w:rPr>
              <w:t>Źródło</w:t>
            </w:r>
            <w:r w:rsidRPr="00404DA5">
              <w:rPr>
                <w:rFonts w:cs="Calibri"/>
                <w:sz w:val="16"/>
                <w:szCs w:val="20"/>
              </w:rPr>
              <w:br/>
              <w:t>danych</w:t>
            </w:r>
          </w:p>
        </w:tc>
        <w:tc>
          <w:tcPr>
            <w:tcW w:w="10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AD344C" w14:textId="77777777" w:rsidR="009D215A" w:rsidRPr="00404DA5" w:rsidRDefault="009D215A" w:rsidP="00EE58A9">
            <w:pPr>
              <w:rPr>
                <w:rFonts w:cs="Calibri"/>
                <w:sz w:val="16"/>
                <w:szCs w:val="20"/>
              </w:rPr>
            </w:pPr>
            <w:r w:rsidRPr="00404DA5">
              <w:rPr>
                <w:rFonts w:cs="Calibri"/>
                <w:sz w:val="16"/>
                <w:szCs w:val="20"/>
              </w:rPr>
              <w:t>Częstotliwość</w:t>
            </w:r>
            <w:r w:rsidRPr="00404DA5">
              <w:rPr>
                <w:rFonts w:cs="Calibri"/>
                <w:sz w:val="16"/>
                <w:szCs w:val="20"/>
              </w:rPr>
              <w:br/>
              <w:t>pomiaru</w:t>
            </w:r>
          </w:p>
        </w:tc>
      </w:tr>
      <w:tr w:rsidR="009D215A" w:rsidRPr="00436D27" w14:paraId="2F2F4675" w14:textId="77777777" w:rsidTr="00C22C26">
        <w:tc>
          <w:tcPr>
            <w:tcW w:w="600" w:type="dxa"/>
            <w:hideMark/>
          </w:tcPr>
          <w:p w14:paraId="0EEDF5F7" w14:textId="77777777" w:rsidR="009D215A" w:rsidRPr="00404DA5" w:rsidRDefault="009D215A" w:rsidP="00C22C26">
            <w:pPr>
              <w:jc w:val="center"/>
              <w:rPr>
                <w:rFonts w:cs="Calibri"/>
                <w:sz w:val="16"/>
                <w:szCs w:val="20"/>
              </w:rPr>
            </w:pPr>
            <w:r w:rsidRPr="00404DA5">
              <w:rPr>
                <w:rFonts w:cs="Calibri"/>
                <w:sz w:val="16"/>
                <w:szCs w:val="20"/>
              </w:rPr>
              <w:t>R.12</w:t>
            </w:r>
          </w:p>
        </w:tc>
        <w:tc>
          <w:tcPr>
            <w:tcW w:w="1815" w:type="dxa"/>
            <w:hideMark/>
          </w:tcPr>
          <w:p w14:paraId="5A01D068" w14:textId="77777777" w:rsidR="009D215A" w:rsidRPr="00404DA5" w:rsidRDefault="009D215A" w:rsidP="00C22C26">
            <w:pPr>
              <w:jc w:val="center"/>
              <w:rPr>
                <w:rFonts w:cs="Calibri"/>
                <w:sz w:val="16"/>
                <w:szCs w:val="20"/>
              </w:rPr>
            </w:pPr>
            <w:r w:rsidRPr="00404DA5">
              <w:rPr>
                <w:rFonts w:cs="Calibri"/>
                <w:sz w:val="16"/>
                <w:szCs w:val="20"/>
              </w:rPr>
              <w:t>Odsetek ludności korzystającej</w:t>
            </w:r>
            <w:r w:rsidR="00E66B89">
              <w:rPr>
                <w:rFonts w:cs="Calibri"/>
                <w:sz w:val="16"/>
                <w:szCs w:val="20"/>
              </w:rPr>
              <w:t xml:space="preserve"> z </w:t>
            </w:r>
            <w:r w:rsidRPr="00404DA5">
              <w:rPr>
                <w:rFonts w:cs="Calibri"/>
                <w:sz w:val="16"/>
                <w:szCs w:val="20"/>
              </w:rPr>
              <w:t>oczyszczalni ścieków</w:t>
            </w:r>
          </w:p>
        </w:tc>
        <w:tc>
          <w:tcPr>
            <w:tcW w:w="810" w:type="dxa"/>
            <w:hideMark/>
          </w:tcPr>
          <w:p w14:paraId="12A51128" w14:textId="77777777" w:rsidR="009D215A" w:rsidRPr="00404DA5" w:rsidRDefault="009D215A" w:rsidP="00C22C26">
            <w:pPr>
              <w:jc w:val="center"/>
              <w:rPr>
                <w:rFonts w:cs="Calibri"/>
                <w:sz w:val="16"/>
                <w:szCs w:val="20"/>
              </w:rPr>
            </w:pPr>
            <w:r w:rsidRPr="00404DA5">
              <w:rPr>
                <w:rFonts w:cs="Calibri"/>
                <w:sz w:val="16"/>
                <w:szCs w:val="20"/>
              </w:rPr>
              <w:t>%</w:t>
            </w:r>
          </w:p>
        </w:tc>
        <w:tc>
          <w:tcPr>
            <w:tcW w:w="990" w:type="dxa"/>
            <w:hideMark/>
          </w:tcPr>
          <w:p w14:paraId="618FEA2B" w14:textId="77777777" w:rsidR="009D215A" w:rsidRPr="00404DA5" w:rsidRDefault="009D215A" w:rsidP="00C22C26">
            <w:pPr>
              <w:jc w:val="center"/>
              <w:rPr>
                <w:rFonts w:cs="Calibri"/>
                <w:sz w:val="16"/>
                <w:szCs w:val="20"/>
              </w:rPr>
            </w:pPr>
            <w:r w:rsidRPr="00404DA5">
              <w:rPr>
                <w:rFonts w:cs="Calibri"/>
                <w:sz w:val="16"/>
                <w:szCs w:val="20"/>
              </w:rPr>
              <w:t>słabiej rozwinięty</w:t>
            </w:r>
          </w:p>
        </w:tc>
        <w:tc>
          <w:tcPr>
            <w:tcW w:w="750" w:type="dxa"/>
            <w:hideMark/>
          </w:tcPr>
          <w:p w14:paraId="69176E20" w14:textId="77777777" w:rsidR="009D215A" w:rsidRPr="00404DA5" w:rsidRDefault="009D215A" w:rsidP="00C22C26">
            <w:pPr>
              <w:jc w:val="center"/>
              <w:rPr>
                <w:rFonts w:cs="Calibri"/>
                <w:sz w:val="16"/>
                <w:szCs w:val="20"/>
              </w:rPr>
            </w:pPr>
            <w:r w:rsidRPr="00404DA5">
              <w:rPr>
                <w:rFonts w:cs="Calibri"/>
                <w:sz w:val="16"/>
                <w:szCs w:val="20"/>
              </w:rPr>
              <w:t>80,9</w:t>
            </w:r>
          </w:p>
        </w:tc>
        <w:tc>
          <w:tcPr>
            <w:tcW w:w="690" w:type="dxa"/>
            <w:hideMark/>
          </w:tcPr>
          <w:p w14:paraId="42E8C127" w14:textId="77777777" w:rsidR="009D215A" w:rsidRPr="00404DA5" w:rsidRDefault="009D215A" w:rsidP="00C22C26">
            <w:pPr>
              <w:jc w:val="center"/>
              <w:rPr>
                <w:rFonts w:cs="Calibri"/>
                <w:sz w:val="16"/>
                <w:szCs w:val="20"/>
              </w:rPr>
            </w:pPr>
            <w:r w:rsidRPr="00404DA5">
              <w:rPr>
                <w:rFonts w:cs="Calibri"/>
                <w:sz w:val="16"/>
                <w:szCs w:val="20"/>
              </w:rPr>
              <w:t>2012</w:t>
            </w:r>
          </w:p>
        </w:tc>
        <w:tc>
          <w:tcPr>
            <w:tcW w:w="1155" w:type="dxa"/>
            <w:vAlign w:val="center"/>
            <w:hideMark/>
          </w:tcPr>
          <w:p w14:paraId="7646D4D9" w14:textId="77777777" w:rsidR="009D215A" w:rsidRPr="00404DA5" w:rsidRDefault="009D215A" w:rsidP="00C22C26">
            <w:pPr>
              <w:jc w:val="center"/>
              <w:rPr>
                <w:rFonts w:cs="Calibri"/>
                <w:sz w:val="16"/>
                <w:szCs w:val="20"/>
              </w:rPr>
            </w:pPr>
            <w:r w:rsidRPr="00404DA5">
              <w:rPr>
                <w:rFonts w:cs="Calibri"/>
                <w:sz w:val="16"/>
                <w:szCs w:val="20"/>
              </w:rPr>
              <w:t>85</w:t>
            </w:r>
          </w:p>
        </w:tc>
        <w:tc>
          <w:tcPr>
            <w:tcW w:w="1365" w:type="dxa"/>
            <w:hideMark/>
          </w:tcPr>
          <w:p w14:paraId="16608750" w14:textId="77777777" w:rsidR="009D215A" w:rsidRPr="00404DA5" w:rsidRDefault="009D215A" w:rsidP="00C22C26">
            <w:pPr>
              <w:jc w:val="center"/>
              <w:rPr>
                <w:rFonts w:cs="Calibri"/>
                <w:sz w:val="16"/>
                <w:szCs w:val="20"/>
              </w:rPr>
            </w:pPr>
            <w:r w:rsidRPr="00404DA5">
              <w:rPr>
                <w:rFonts w:cs="Calibri"/>
                <w:sz w:val="16"/>
                <w:szCs w:val="20"/>
              </w:rPr>
              <w:t>GUS</w:t>
            </w:r>
          </w:p>
        </w:tc>
        <w:tc>
          <w:tcPr>
            <w:tcW w:w="1020" w:type="dxa"/>
            <w:hideMark/>
          </w:tcPr>
          <w:p w14:paraId="1033D2EB" w14:textId="77777777" w:rsidR="009D215A" w:rsidRPr="00404DA5" w:rsidRDefault="009D215A" w:rsidP="00C22C26">
            <w:pPr>
              <w:jc w:val="center"/>
              <w:rPr>
                <w:rFonts w:cs="Calibri"/>
                <w:sz w:val="16"/>
                <w:szCs w:val="20"/>
              </w:rPr>
            </w:pPr>
            <w:r w:rsidRPr="00404DA5">
              <w:rPr>
                <w:rFonts w:cs="Calibri"/>
                <w:sz w:val="16"/>
                <w:szCs w:val="20"/>
              </w:rPr>
              <w:t>Raz</w:t>
            </w:r>
            <w:r w:rsidR="00E66B89">
              <w:rPr>
                <w:rFonts w:cs="Calibri"/>
                <w:sz w:val="16"/>
                <w:szCs w:val="20"/>
              </w:rPr>
              <w:t xml:space="preserve"> w </w:t>
            </w:r>
            <w:r w:rsidRPr="00404DA5">
              <w:rPr>
                <w:rFonts w:cs="Calibri"/>
                <w:sz w:val="16"/>
                <w:szCs w:val="20"/>
              </w:rPr>
              <w:t>roku</w:t>
            </w:r>
          </w:p>
        </w:tc>
      </w:tr>
      <w:tr w:rsidR="009D215A" w:rsidRPr="00436D27" w14:paraId="706B1152" w14:textId="77777777" w:rsidTr="00C22C26">
        <w:tc>
          <w:tcPr>
            <w:tcW w:w="600" w:type="dxa"/>
            <w:hideMark/>
          </w:tcPr>
          <w:p w14:paraId="43AEBC1D" w14:textId="77777777" w:rsidR="009D215A" w:rsidRPr="00404DA5" w:rsidRDefault="009D215A" w:rsidP="00C22C26">
            <w:pPr>
              <w:jc w:val="center"/>
              <w:rPr>
                <w:rFonts w:cs="Calibri"/>
                <w:sz w:val="16"/>
                <w:szCs w:val="20"/>
              </w:rPr>
            </w:pPr>
            <w:r w:rsidRPr="00404DA5">
              <w:rPr>
                <w:rFonts w:cs="Calibri"/>
                <w:sz w:val="16"/>
                <w:szCs w:val="20"/>
              </w:rPr>
              <w:t>R.13</w:t>
            </w:r>
          </w:p>
        </w:tc>
        <w:tc>
          <w:tcPr>
            <w:tcW w:w="1815" w:type="dxa"/>
            <w:hideMark/>
          </w:tcPr>
          <w:p w14:paraId="21737490" w14:textId="77777777" w:rsidR="009D215A" w:rsidRPr="00404DA5" w:rsidRDefault="009D215A" w:rsidP="00C22C26">
            <w:pPr>
              <w:jc w:val="center"/>
              <w:rPr>
                <w:rFonts w:cs="Calibri"/>
                <w:sz w:val="16"/>
                <w:szCs w:val="20"/>
              </w:rPr>
            </w:pPr>
            <w:r w:rsidRPr="00404DA5">
              <w:rPr>
                <w:rFonts w:cs="Calibri"/>
                <w:sz w:val="16"/>
                <w:szCs w:val="20"/>
              </w:rPr>
              <w:t>Odsetek oczyszczalni spełniających warunek III dyrektywy 91/271/EWG</w:t>
            </w:r>
            <w:r w:rsidR="00E66B89">
              <w:rPr>
                <w:rFonts w:cs="Calibri"/>
                <w:sz w:val="16"/>
                <w:szCs w:val="20"/>
              </w:rPr>
              <w:t xml:space="preserve"> w </w:t>
            </w:r>
            <w:r w:rsidRPr="00404DA5">
              <w:rPr>
                <w:rFonts w:cs="Calibri"/>
                <w:sz w:val="16"/>
                <w:szCs w:val="20"/>
              </w:rPr>
              <w:t>ogólnej liczbie oczyszczalni</w:t>
            </w:r>
            <w:r w:rsidR="00E66B89">
              <w:rPr>
                <w:rFonts w:cs="Calibri"/>
                <w:sz w:val="16"/>
                <w:szCs w:val="20"/>
              </w:rPr>
              <w:t xml:space="preserve"> w </w:t>
            </w:r>
            <w:r w:rsidRPr="00404DA5">
              <w:rPr>
                <w:rFonts w:cs="Calibri"/>
                <w:sz w:val="16"/>
                <w:szCs w:val="20"/>
              </w:rPr>
              <w:t>KPOŚK</w:t>
            </w:r>
          </w:p>
        </w:tc>
        <w:tc>
          <w:tcPr>
            <w:tcW w:w="810" w:type="dxa"/>
            <w:hideMark/>
          </w:tcPr>
          <w:p w14:paraId="654B6B7D" w14:textId="77777777" w:rsidR="009D215A" w:rsidRPr="00404DA5" w:rsidRDefault="009D215A" w:rsidP="00C22C26">
            <w:pPr>
              <w:jc w:val="center"/>
              <w:rPr>
                <w:rFonts w:cs="Calibri"/>
                <w:sz w:val="16"/>
                <w:szCs w:val="20"/>
              </w:rPr>
            </w:pPr>
            <w:r w:rsidRPr="00404DA5">
              <w:rPr>
                <w:rFonts w:cs="Calibri"/>
                <w:sz w:val="16"/>
                <w:szCs w:val="20"/>
              </w:rPr>
              <w:t>%</w:t>
            </w:r>
          </w:p>
        </w:tc>
        <w:tc>
          <w:tcPr>
            <w:tcW w:w="990" w:type="dxa"/>
            <w:hideMark/>
          </w:tcPr>
          <w:p w14:paraId="19677693" w14:textId="77777777" w:rsidR="009D215A" w:rsidRPr="00404DA5" w:rsidRDefault="009D215A" w:rsidP="00C22C26">
            <w:pPr>
              <w:jc w:val="center"/>
              <w:rPr>
                <w:rFonts w:cs="Calibri"/>
                <w:sz w:val="16"/>
                <w:szCs w:val="20"/>
              </w:rPr>
            </w:pPr>
            <w:r w:rsidRPr="00404DA5">
              <w:rPr>
                <w:rFonts w:cs="Calibri"/>
                <w:sz w:val="16"/>
                <w:szCs w:val="20"/>
              </w:rPr>
              <w:t>słabiej rozwinięty</w:t>
            </w:r>
          </w:p>
        </w:tc>
        <w:tc>
          <w:tcPr>
            <w:tcW w:w="750" w:type="dxa"/>
            <w:hideMark/>
          </w:tcPr>
          <w:p w14:paraId="313CA8EA" w14:textId="77777777" w:rsidR="009D215A" w:rsidRPr="00404DA5" w:rsidRDefault="009D215A" w:rsidP="00C22C26">
            <w:pPr>
              <w:jc w:val="center"/>
              <w:rPr>
                <w:rFonts w:cs="Calibri"/>
                <w:sz w:val="16"/>
                <w:szCs w:val="20"/>
              </w:rPr>
            </w:pPr>
            <w:r w:rsidRPr="00404DA5">
              <w:rPr>
                <w:rFonts w:cs="Calibri"/>
                <w:sz w:val="16"/>
                <w:szCs w:val="20"/>
              </w:rPr>
              <w:t>66,3</w:t>
            </w:r>
          </w:p>
        </w:tc>
        <w:tc>
          <w:tcPr>
            <w:tcW w:w="690" w:type="dxa"/>
            <w:hideMark/>
          </w:tcPr>
          <w:p w14:paraId="7F28E5BB" w14:textId="77777777" w:rsidR="009D215A" w:rsidRPr="00404DA5" w:rsidRDefault="009D215A" w:rsidP="00C22C26">
            <w:pPr>
              <w:jc w:val="center"/>
              <w:rPr>
                <w:rFonts w:cs="Calibri"/>
                <w:sz w:val="16"/>
                <w:szCs w:val="20"/>
              </w:rPr>
            </w:pPr>
            <w:r w:rsidRPr="00404DA5">
              <w:rPr>
                <w:rFonts w:cs="Calibri"/>
                <w:sz w:val="16"/>
                <w:szCs w:val="20"/>
              </w:rPr>
              <w:t>2015</w:t>
            </w:r>
          </w:p>
        </w:tc>
        <w:tc>
          <w:tcPr>
            <w:tcW w:w="1155" w:type="dxa"/>
            <w:vAlign w:val="center"/>
            <w:hideMark/>
          </w:tcPr>
          <w:p w14:paraId="5F023722" w14:textId="77777777" w:rsidR="009D215A" w:rsidRPr="00404DA5" w:rsidRDefault="009D215A" w:rsidP="00C22C26">
            <w:pPr>
              <w:jc w:val="center"/>
              <w:rPr>
                <w:rFonts w:cs="Calibri"/>
                <w:sz w:val="16"/>
                <w:szCs w:val="20"/>
              </w:rPr>
            </w:pPr>
            <w:r w:rsidRPr="00404DA5">
              <w:rPr>
                <w:rFonts w:cs="Calibri"/>
                <w:sz w:val="16"/>
                <w:szCs w:val="20"/>
              </w:rPr>
              <w:t>100</w:t>
            </w:r>
          </w:p>
        </w:tc>
        <w:tc>
          <w:tcPr>
            <w:tcW w:w="1365" w:type="dxa"/>
            <w:hideMark/>
          </w:tcPr>
          <w:p w14:paraId="730A0B75" w14:textId="77777777" w:rsidR="009D215A" w:rsidRPr="00404DA5" w:rsidRDefault="009D215A" w:rsidP="00C22C26">
            <w:pPr>
              <w:jc w:val="center"/>
              <w:rPr>
                <w:rFonts w:cs="Calibri"/>
                <w:sz w:val="16"/>
                <w:szCs w:val="20"/>
              </w:rPr>
            </w:pPr>
            <w:r w:rsidRPr="00404DA5">
              <w:rPr>
                <w:rFonts w:cs="Calibri"/>
                <w:sz w:val="16"/>
                <w:szCs w:val="20"/>
              </w:rPr>
              <w:t>KPOŚK</w:t>
            </w:r>
          </w:p>
        </w:tc>
        <w:tc>
          <w:tcPr>
            <w:tcW w:w="1020" w:type="dxa"/>
            <w:hideMark/>
          </w:tcPr>
          <w:p w14:paraId="63668E39" w14:textId="77777777" w:rsidR="009D215A" w:rsidRPr="00404DA5" w:rsidRDefault="009D215A" w:rsidP="00C22C26">
            <w:pPr>
              <w:jc w:val="center"/>
              <w:rPr>
                <w:rFonts w:cs="Calibri"/>
                <w:sz w:val="16"/>
                <w:szCs w:val="20"/>
              </w:rPr>
            </w:pPr>
            <w:r w:rsidRPr="00404DA5">
              <w:rPr>
                <w:rFonts w:cs="Calibri"/>
                <w:sz w:val="16"/>
                <w:szCs w:val="20"/>
              </w:rPr>
              <w:t>Zgodnie</w:t>
            </w:r>
            <w:r w:rsidR="00E66B89">
              <w:rPr>
                <w:rFonts w:cs="Calibri"/>
                <w:sz w:val="16"/>
                <w:szCs w:val="20"/>
              </w:rPr>
              <w:t xml:space="preserve"> z </w:t>
            </w:r>
            <w:r w:rsidRPr="00404DA5">
              <w:rPr>
                <w:rFonts w:cs="Calibri"/>
                <w:sz w:val="16"/>
                <w:szCs w:val="20"/>
              </w:rPr>
              <w:t>aktualizacjami KPOŚK</w:t>
            </w:r>
          </w:p>
        </w:tc>
      </w:tr>
    </w:tbl>
    <w:p w14:paraId="56847737" w14:textId="77777777" w:rsidR="009D215A" w:rsidRPr="002A5FDF" w:rsidRDefault="009D215A"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w:t>
      </w:r>
    </w:p>
    <w:p w14:paraId="32DE5FB5" w14:textId="77777777" w:rsidR="009D215A" w:rsidRPr="00404DA5" w:rsidRDefault="009D215A" w:rsidP="009D215A">
      <w:pPr>
        <w:rPr>
          <w:rFonts w:cs="Calibri"/>
          <w:szCs w:val="20"/>
        </w:rPr>
      </w:pPr>
      <w:r w:rsidRPr="00404DA5">
        <w:rPr>
          <w:rFonts w:cs="Calibri"/>
          <w:szCs w:val="20"/>
        </w:rPr>
        <w:t xml:space="preserve">Wskaźnik </w:t>
      </w:r>
      <w:r w:rsidRPr="00404DA5">
        <w:rPr>
          <w:rFonts w:cs="Calibri"/>
          <w:i/>
          <w:szCs w:val="20"/>
        </w:rPr>
        <w:t>Odsetek ludności korzystającej</w:t>
      </w:r>
      <w:r w:rsidR="00E66B89">
        <w:rPr>
          <w:rFonts w:cs="Calibri"/>
          <w:i/>
          <w:szCs w:val="20"/>
        </w:rPr>
        <w:t xml:space="preserve"> z </w:t>
      </w:r>
      <w:r w:rsidRPr="00404DA5">
        <w:rPr>
          <w:rFonts w:cs="Calibri"/>
          <w:i/>
          <w:szCs w:val="20"/>
        </w:rPr>
        <w:t>oczyszczalni ścieków</w:t>
      </w:r>
      <w:r w:rsidRPr="00404DA5">
        <w:rPr>
          <w:rFonts w:cs="Calibri"/>
          <w:szCs w:val="20"/>
        </w:rPr>
        <w:t xml:space="preserve"> mierzy liczbę ludności faktycznie zameldowanej</w:t>
      </w:r>
      <w:r w:rsidR="00E66B89">
        <w:rPr>
          <w:rFonts w:cs="Calibri"/>
          <w:szCs w:val="20"/>
        </w:rPr>
        <w:t xml:space="preserve"> w </w:t>
      </w:r>
      <w:r w:rsidRPr="00404DA5">
        <w:rPr>
          <w:rFonts w:cs="Calibri"/>
          <w:szCs w:val="20"/>
        </w:rPr>
        <w:t>danej jednostce terytorialnej korzystającej</w:t>
      </w:r>
      <w:r w:rsidR="00E66B89">
        <w:rPr>
          <w:rFonts w:cs="Calibri"/>
          <w:szCs w:val="20"/>
        </w:rPr>
        <w:t xml:space="preserve"> z </w:t>
      </w:r>
      <w:r w:rsidRPr="00404DA5">
        <w:rPr>
          <w:rFonts w:cs="Calibri"/>
          <w:szCs w:val="20"/>
        </w:rPr>
        <w:t>sieci kanalizacyjnej,</w:t>
      </w:r>
      <w:r w:rsidR="00E66B89">
        <w:rPr>
          <w:rFonts w:cs="Calibri"/>
          <w:szCs w:val="20"/>
        </w:rPr>
        <w:t xml:space="preserve"> z </w:t>
      </w:r>
      <w:r w:rsidRPr="00404DA5">
        <w:rPr>
          <w:rFonts w:cs="Calibri"/>
          <w:szCs w:val="20"/>
        </w:rPr>
        <w:t>której ścieki poddane są procesom oczyszczania</w:t>
      </w:r>
      <w:r w:rsidR="00E66B89">
        <w:rPr>
          <w:rFonts w:cs="Calibri"/>
          <w:szCs w:val="20"/>
        </w:rPr>
        <w:t xml:space="preserve"> w </w:t>
      </w:r>
      <w:r w:rsidRPr="00404DA5">
        <w:rPr>
          <w:rFonts w:cs="Calibri"/>
          <w:szCs w:val="20"/>
        </w:rPr>
        <w:t>oczyszczalniach ścieków pracujących na tej sieci, wobec liczby ludności ogółem faktycznie zameldowanej</w:t>
      </w:r>
      <w:r w:rsidR="00E66B89">
        <w:rPr>
          <w:rFonts w:cs="Calibri"/>
          <w:szCs w:val="20"/>
        </w:rPr>
        <w:t xml:space="preserve"> w </w:t>
      </w:r>
      <w:r w:rsidRPr="00404DA5">
        <w:rPr>
          <w:rFonts w:cs="Calibri"/>
          <w:szCs w:val="20"/>
        </w:rPr>
        <w:t>danej jednost</w:t>
      </w:r>
      <w:r>
        <w:rPr>
          <w:rFonts w:cs="Calibri"/>
          <w:szCs w:val="20"/>
        </w:rPr>
        <w:t>ce</w:t>
      </w:r>
      <w:r w:rsidRPr="00404DA5">
        <w:rPr>
          <w:rFonts w:cs="Calibri"/>
          <w:szCs w:val="20"/>
        </w:rPr>
        <w:t xml:space="preserve"> terytorialnej. Informację nt. odsetka osób korzystających</w:t>
      </w:r>
      <w:r w:rsidR="00E66B89">
        <w:rPr>
          <w:rFonts w:cs="Calibri"/>
          <w:szCs w:val="20"/>
        </w:rPr>
        <w:t xml:space="preserve"> z </w:t>
      </w:r>
      <w:r w:rsidRPr="00404DA5">
        <w:rPr>
          <w:rFonts w:cs="Calibri"/>
          <w:szCs w:val="20"/>
        </w:rPr>
        <w:t>oczyszczalni ścieków zamieszczono</w:t>
      </w:r>
      <w:r w:rsidR="00E66B89">
        <w:rPr>
          <w:rFonts w:cs="Calibri"/>
          <w:szCs w:val="20"/>
        </w:rPr>
        <w:t xml:space="preserve"> w </w:t>
      </w:r>
      <w:r w:rsidRPr="00404DA5">
        <w:rPr>
          <w:rFonts w:cs="Calibri"/>
          <w:szCs w:val="20"/>
        </w:rPr>
        <w:t>rozdziale opisującym ocenę zmian sytuacji społeczno-gospodarczej. Prognozę wartości docelowej opracowano na podstawie danych archiwalnych stosując trend logarytmiczny (zaprognozowano osiągnięcie</w:t>
      </w:r>
      <w:r w:rsidR="00E66B89">
        <w:rPr>
          <w:rFonts w:cs="Calibri"/>
          <w:szCs w:val="20"/>
        </w:rPr>
        <w:t xml:space="preserve"> w </w:t>
      </w:r>
      <w:r w:rsidRPr="00404DA5">
        <w:rPr>
          <w:rFonts w:cs="Calibri"/>
          <w:szCs w:val="20"/>
        </w:rPr>
        <w:t>roku 2023 wartości wskaźnika</w:t>
      </w:r>
      <w:r w:rsidR="00E66B89">
        <w:rPr>
          <w:rFonts w:cs="Calibri"/>
          <w:szCs w:val="20"/>
        </w:rPr>
        <w:t xml:space="preserve"> w </w:t>
      </w:r>
      <w:r w:rsidRPr="00404DA5">
        <w:rPr>
          <w:rFonts w:cs="Calibri"/>
          <w:szCs w:val="20"/>
        </w:rPr>
        <w:t>wysokości 85%).</w:t>
      </w:r>
      <w:r w:rsidR="00E66B89">
        <w:rPr>
          <w:rFonts w:cs="Calibri"/>
          <w:szCs w:val="20"/>
        </w:rPr>
        <w:t xml:space="preserve"> Z </w:t>
      </w:r>
      <w:r w:rsidRPr="00404DA5">
        <w:rPr>
          <w:rFonts w:cs="Calibri"/>
          <w:szCs w:val="20"/>
        </w:rPr>
        <w:t>analizy tam zamieszczonej wynika, iż pomiędzy rokiem 2016</w:t>
      </w:r>
      <w:r w:rsidR="00E66B89">
        <w:rPr>
          <w:rFonts w:cs="Calibri"/>
          <w:szCs w:val="20"/>
        </w:rPr>
        <w:t xml:space="preserve"> a </w:t>
      </w:r>
      <w:r w:rsidRPr="00404DA5">
        <w:rPr>
          <w:rFonts w:cs="Calibri"/>
          <w:szCs w:val="20"/>
        </w:rPr>
        <w:t>2017 nastąpił spadek odsetka ludności korzystających</w:t>
      </w:r>
      <w:r w:rsidR="00E66B89">
        <w:rPr>
          <w:rFonts w:cs="Calibri"/>
          <w:szCs w:val="20"/>
        </w:rPr>
        <w:t xml:space="preserve"> z </w:t>
      </w:r>
      <w:r w:rsidRPr="00404DA5">
        <w:rPr>
          <w:rFonts w:cs="Calibri"/>
          <w:szCs w:val="20"/>
        </w:rPr>
        <w:t>oczyszczalni ścieków (z poziomu ogólnego 84% do 81,4%). Spadek ten widoczny jest szczególnie na terenach miejskich (spadek</w:t>
      </w:r>
      <w:r w:rsidR="00E66B89">
        <w:rPr>
          <w:rFonts w:cs="Calibri"/>
          <w:szCs w:val="20"/>
        </w:rPr>
        <w:t xml:space="preserve"> z </w:t>
      </w:r>
      <w:r w:rsidRPr="00404DA5">
        <w:rPr>
          <w:rFonts w:cs="Calibri"/>
          <w:szCs w:val="20"/>
        </w:rPr>
        <w:t>96,3% na 92,5%). Jednoznaczna ocena możliwoś</w:t>
      </w:r>
      <w:r>
        <w:rPr>
          <w:rFonts w:cs="Calibri"/>
          <w:szCs w:val="20"/>
        </w:rPr>
        <w:t>ci</w:t>
      </w:r>
      <w:r w:rsidRPr="00404DA5">
        <w:rPr>
          <w:rFonts w:cs="Calibri"/>
          <w:szCs w:val="20"/>
        </w:rPr>
        <w:t xml:space="preserve"> osiągnięcia założonej wartości docelowej wskaźnika rezultatu strategicznego</w:t>
      </w:r>
      <w:r w:rsidR="00E66B89">
        <w:rPr>
          <w:rFonts w:cs="Calibri"/>
          <w:szCs w:val="20"/>
        </w:rPr>
        <w:t xml:space="preserve"> w </w:t>
      </w:r>
      <w:r w:rsidRPr="00404DA5">
        <w:rPr>
          <w:rFonts w:cs="Calibri"/>
          <w:szCs w:val="20"/>
        </w:rPr>
        <w:t>ramach PI 6b jest</w:t>
      </w:r>
      <w:r>
        <w:rPr>
          <w:rFonts w:cs="Calibri"/>
          <w:szCs w:val="20"/>
        </w:rPr>
        <w:t>,</w:t>
      </w:r>
      <w:r w:rsidR="00E66B89">
        <w:rPr>
          <w:rFonts w:cs="Calibri"/>
          <w:szCs w:val="20"/>
        </w:rPr>
        <w:t xml:space="preserve"> z </w:t>
      </w:r>
      <w:r w:rsidRPr="00404DA5">
        <w:rPr>
          <w:rFonts w:cs="Calibri"/>
          <w:szCs w:val="20"/>
        </w:rPr>
        <w:t>uwagi na zaobserwowane zmiany wartości wskaźnika pomiędzy 2016</w:t>
      </w:r>
      <w:r w:rsidR="00E66B89">
        <w:rPr>
          <w:rFonts w:cs="Calibri"/>
          <w:szCs w:val="20"/>
        </w:rPr>
        <w:t xml:space="preserve"> a </w:t>
      </w:r>
      <w:r w:rsidRPr="00404DA5">
        <w:rPr>
          <w:rFonts w:cs="Calibri"/>
          <w:szCs w:val="20"/>
        </w:rPr>
        <w:t>2017 r.</w:t>
      </w:r>
      <w:r>
        <w:rPr>
          <w:rFonts w:cs="Calibri"/>
          <w:szCs w:val="20"/>
        </w:rPr>
        <w:t>,</w:t>
      </w:r>
      <w:r w:rsidRPr="00404DA5">
        <w:rPr>
          <w:rFonts w:cs="Calibri"/>
          <w:szCs w:val="20"/>
        </w:rPr>
        <w:t xml:space="preserve"> utrudniona. </w:t>
      </w:r>
      <w:r>
        <w:rPr>
          <w:rFonts w:cs="Calibri"/>
          <w:szCs w:val="20"/>
        </w:rPr>
        <w:t>Dlatego też</w:t>
      </w:r>
      <w:r w:rsidRPr="00404DA5">
        <w:rPr>
          <w:rFonts w:cs="Calibri"/>
          <w:szCs w:val="20"/>
        </w:rPr>
        <w:t xml:space="preserve"> zaleca się prześledzić dane ze statystyki publicznej, które będą dostępne pod koniec bieżącego roku kalendarzowego. </w:t>
      </w:r>
      <w:r>
        <w:rPr>
          <w:rFonts w:cs="Calibri"/>
          <w:szCs w:val="20"/>
        </w:rPr>
        <w:t>P</w:t>
      </w:r>
      <w:r w:rsidRPr="00404DA5">
        <w:rPr>
          <w:rFonts w:cs="Calibri"/>
          <w:szCs w:val="20"/>
        </w:rPr>
        <w:t>ośrednia ocena sytuacji</w:t>
      </w:r>
      <w:r w:rsidR="00E66B89">
        <w:rPr>
          <w:rFonts w:cs="Calibri"/>
          <w:szCs w:val="20"/>
        </w:rPr>
        <w:t xml:space="preserve"> i </w:t>
      </w:r>
      <w:r w:rsidRPr="00404DA5">
        <w:rPr>
          <w:rFonts w:cs="Calibri"/>
          <w:szCs w:val="20"/>
        </w:rPr>
        <w:t xml:space="preserve">prognoz możliwości </w:t>
      </w:r>
      <w:r>
        <w:rPr>
          <w:rFonts w:cs="Calibri"/>
          <w:szCs w:val="20"/>
        </w:rPr>
        <w:t>osiągnięcia</w:t>
      </w:r>
      <w:r w:rsidRPr="00404DA5">
        <w:rPr>
          <w:rFonts w:cs="Calibri"/>
          <w:szCs w:val="20"/>
        </w:rPr>
        <w:t xml:space="preserve"> założonej wartości docelowej powinna zostać przeprowadzona pod koniec 2019 r. </w:t>
      </w:r>
    </w:p>
    <w:p w14:paraId="180A7DB8" w14:textId="77777777" w:rsidR="009D215A" w:rsidRPr="00404DA5" w:rsidRDefault="009D215A" w:rsidP="009D215A">
      <w:pPr>
        <w:rPr>
          <w:rFonts w:cs="Calibri"/>
          <w:szCs w:val="20"/>
        </w:rPr>
      </w:pPr>
      <w:r w:rsidRPr="00404DA5">
        <w:rPr>
          <w:rFonts w:cs="Calibri"/>
          <w:szCs w:val="20"/>
        </w:rPr>
        <w:lastRenderedPageBreak/>
        <w:t xml:space="preserve">Wskaźnik </w:t>
      </w:r>
      <w:r w:rsidRPr="008B706B">
        <w:rPr>
          <w:rFonts w:cs="Calibri"/>
          <w:i/>
          <w:szCs w:val="20"/>
        </w:rPr>
        <w:t>Odsetek oczyszczalni spełniających warunek III dyrektywy 91/271/EWG</w:t>
      </w:r>
      <w:r w:rsidR="00E66B89">
        <w:rPr>
          <w:rFonts w:cs="Calibri"/>
          <w:i/>
          <w:szCs w:val="20"/>
        </w:rPr>
        <w:t xml:space="preserve"> w </w:t>
      </w:r>
      <w:r w:rsidRPr="008B706B">
        <w:rPr>
          <w:rFonts w:cs="Calibri"/>
          <w:i/>
          <w:szCs w:val="20"/>
        </w:rPr>
        <w:t>ogólnej liczbie oczyszczalni</w:t>
      </w:r>
      <w:r w:rsidR="00E66B89">
        <w:rPr>
          <w:rFonts w:cs="Calibri"/>
          <w:i/>
          <w:szCs w:val="20"/>
        </w:rPr>
        <w:t xml:space="preserve"> w </w:t>
      </w:r>
      <w:r w:rsidRPr="008B706B">
        <w:rPr>
          <w:rFonts w:cs="Calibri"/>
          <w:i/>
          <w:szCs w:val="20"/>
        </w:rPr>
        <w:t xml:space="preserve">KPOŚK </w:t>
      </w:r>
      <w:r w:rsidRPr="00404DA5">
        <w:rPr>
          <w:rFonts w:cs="Calibri"/>
          <w:szCs w:val="20"/>
        </w:rPr>
        <w:t>określa liczbę oczyszczalni</w:t>
      </w:r>
      <w:r w:rsidR="00E66B89">
        <w:rPr>
          <w:rFonts w:cs="Calibri"/>
          <w:szCs w:val="20"/>
        </w:rPr>
        <w:t xml:space="preserve"> w </w:t>
      </w:r>
      <w:r w:rsidRPr="00404DA5">
        <w:rPr>
          <w:rFonts w:cs="Calibri"/>
          <w:szCs w:val="20"/>
        </w:rPr>
        <w:t>województwie zachodniopomorskim deklarujących spełnienie warunku III</w:t>
      </w:r>
      <w:r w:rsidR="00E66B89">
        <w:rPr>
          <w:rFonts w:cs="Calibri"/>
          <w:szCs w:val="20"/>
        </w:rPr>
        <w:t xml:space="preserve"> z </w:t>
      </w:r>
      <w:r w:rsidRPr="00404DA5">
        <w:rPr>
          <w:rFonts w:cs="Calibri"/>
          <w:szCs w:val="20"/>
        </w:rPr>
        <w:t>Dyrektywy 91/271/EWG oznaczonych na 2015 rok</w:t>
      </w:r>
      <w:r w:rsidR="00E66B89">
        <w:rPr>
          <w:rFonts w:cs="Calibri"/>
          <w:szCs w:val="20"/>
        </w:rPr>
        <w:t xml:space="preserve"> w </w:t>
      </w:r>
      <w:r w:rsidRPr="00404DA5">
        <w:rPr>
          <w:rFonts w:cs="Calibri"/>
          <w:szCs w:val="20"/>
        </w:rPr>
        <w:t>Krajowym Programie Oczyszczania Ścieków Komunalnych</w:t>
      </w:r>
      <w:r w:rsidR="00E66B89">
        <w:rPr>
          <w:rFonts w:cs="Calibri"/>
          <w:szCs w:val="20"/>
        </w:rPr>
        <w:t xml:space="preserve"> w </w:t>
      </w:r>
      <w:r w:rsidRPr="00404DA5">
        <w:rPr>
          <w:rFonts w:cs="Calibri"/>
          <w:szCs w:val="20"/>
        </w:rPr>
        <w:t>ogólnej liczbie oczyszczalni wykazanych</w:t>
      </w:r>
      <w:r w:rsidR="00E66B89">
        <w:rPr>
          <w:rFonts w:cs="Calibri"/>
          <w:szCs w:val="20"/>
        </w:rPr>
        <w:t xml:space="preserve"> w </w:t>
      </w:r>
      <w:r w:rsidRPr="00404DA5">
        <w:rPr>
          <w:rFonts w:cs="Calibri"/>
          <w:szCs w:val="20"/>
        </w:rPr>
        <w:t>załączniku III do KPOŚK</w:t>
      </w:r>
      <w:r w:rsidR="00E66B89">
        <w:rPr>
          <w:rFonts w:cs="Calibri"/>
          <w:szCs w:val="20"/>
        </w:rPr>
        <w:t xml:space="preserve"> w </w:t>
      </w:r>
      <w:r w:rsidRPr="00404DA5">
        <w:rPr>
          <w:rFonts w:cs="Calibri"/>
          <w:szCs w:val="20"/>
        </w:rPr>
        <w:t>województwie zachodniopomorskim. Na podstawie przyjętych założeń</w:t>
      </w:r>
      <w:r w:rsidR="00E66B89">
        <w:rPr>
          <w:rFonts w:cs="Calibri"/>
          <w:szCs w:val="20"/>
        </w:rPr>
        <w:t xml:space="preserve"> i </w:t>
      </w:r>
      <w:r w:rsidRPr="00404DA5">
        <w:rPr>
          <w:rFonts w:cs="Calibri"/>
          <w:szCs w:val="20"/>
        </w:rPr>
        <w:t>obliczeń oszacowano wartość docelową na 100% (wartość docelowa zakłada, że wszystkie oczyszczalnie</w:t>
      </w:r>
      <w:r w:rsidR="00E66B89">
        <w:rPr>
          <w:rFonts w:cs="Calibri"/>
          <w:szCs w:val="20"/>
        </w:rPr>
        <w:t xml:space="preserve"> w </w:t>
      </w:r>
      <w:r w:rsidRPr="00404DA5">
        <w:rPr>
          <w:rFonts w:cs="Calibri"/>
          <w:szCs w:val="20"/>
        </w:rPr>
        <w:t>2023 roku będą spełniały warunek III</w:t>
      </w:r>
      <w:r w:rsidR="00E66B89">
        <w:rPr>
          <w:rFonts w:cs="Calibri"/>
          <w:szCs w:val="20"/>
        </w:rPr>
        <w:t xml:space="preserve"> z </w:t>
      </w:r>
      <w:r w:rsidRPr="00404DA5">
        <w:rPr>
          <w:rFonts w:cs="Calibri"/>
          <w:szCs w:val="20"/>
        </w:rPr>
        <w:t xml:space="preserve">Dyrektywy 91/271/EWG). </w:t>
      </w:r>
      <w:r>
        <w:rPr>
          <w:rFonts w:cs="Calibri"/>
          <w:szCs w:val="20"/>
        </w:rPr>
        <w:t>Do obliczeń przyjęto dane, zgodnie</w:t>
      </w:r>
      <w:r w:rsidR="00E66B89">
        <w:rPr>
          <w:rFonts w:cs="Calibri"/>
          <w:szCs w:val="20"/>
        </w:rPr>
        <w:t xml:space="preserve"> z </w:t>
      </w:r>
      <w:r>
        <w:rPr>
          <w:rFonts w:cs="Calibri"/>
          <w:szCs w:val="20"/>
        </w:rPr>
        <w:t>którymi</w:t>
      </w:r>
      <w:r w:rsidRPr="00404DA5">
        <w:rPr>
          <w:rFonts w:cs="Calibri"/>
          <w:szCs w:val="20"/>
        </w:rPr>
        <w:t xml:space="preserve"> na terenie województwa </w:t>
      </w:r>
      <w:r>
        <w:rPr>
          <w:rFonts w:cs="Calibri"/>
          <w:szCs w:val="20"/>
        </w:rPr>
        <w:t>znajdowało</w:t>
      </w:r>
      <w:r w:rsidRPr="00404DA5">
        <w:rPr>
          <w:rFonts w:cs="Calibri"/>
          <w:szCs w:val="20"/>
        </w:rPr>
        <w:t xml:space="preserve"> się 95 oczyszczalni,</w:t>
      </w:r>
      <w:r w:rsidR="00E66B89">
        <w:rPr>
          <w:rFonts w:cs="Calibri"/>
          <w:szCs w:val="20"/>
        </w:rPr>
        <w:t xml:space="preserve"> z </w:t>
      </w:r>
      <w:r w:rsidRPr="00404DA5">
        <w:rPr>
          <w:rFonts w:cs="Calibri"/>
          <w:szCs w:val="20"/>
        </w:rPr>
        <w:t>tego 63</w:t>
      </w:r>
      <w:r w:rsidR="00E66B89">
        <w:rPr>
          <w:rFonts w:cs="Calibri"/>
          <w:szCs w:val="20"/>
        </w:rPr>
        <w:t xml:space="preserve"> z </w:t>
      </w:r>
      <w:r w:rsidRPr="00404DA5">
        <w:rPr>
          <w:rFonts w:cs="Calibri"/>
          <w:szCs w:val="20"/>
        </w:rPr>
        <w:t>nich spełnia</w:t>
      </w:r>
      <w:r>
        <w:rPr>
          <w:rFonts w:cs="Calibri"/>
          <w:szCs w:val="20"/>
        </w:rPr>
        <w:t>ło</w:t>
      </w:r>
      <w:r w:rsidR="00E66B89">
        <w:rPr>
          <w:rFonts w:cs="Calibri"/>
          <w:szCs w:val="20"/>
        </w:rPr>
        <w:t xml:space="preserve"> w </w:t>
      </w:r>
      <w:r>
        <w:rPr>
          <w:rFonts w:cs="Calibri"/>
          <w:szCs w:val="20"/>
        </w:rPr>
        <w:t>roku bazowym</w:t>
      </w:r>
      <w:r w:rsidRPr="00404DA5">
        <w:rPr>
          <w:rFonts w:cs="Calibri"/>
          <w:szCs w:val="20"/>
        </w:rPr>
        <w:t xml:space="preserve"> warunki Dyrektywy (stąd wartość bazowa </w:t>
      </w:r>
      <w:r>
        <w:rPr>
          <w:rFonts w:cs="Calibri"/>
          <w:szCs w:val="20"/>
        </w:rPr>
        <w:t xml:space="preserve">wskaźnika wyliczona została na </w:t>
      </w:r>
      <w:r w:rsidRPr="00404DA5">
        <w:rPr>
          <w:rFonts w:cs="Calibri"/>
          <w:szCs w:val="20"/>
        </w:rPr>
        <w:t>66,3%). Przyjęte założenie uznać należy za bardzo ambitne</w:t>
      </w:r>
      <w:r>
        <w:rPr>
          <w:rFonts w:cs="Calibri"/>
          <w:szCs w:val="20"/>
        </w:rPr>
        <w:t>. N</w:t>
      </w:r>
      <w:r w:rsidRPr="00404DA5">
        <w:rPr>
          <w:rFonts w:cs="Calibri"/>
          <w:szCs w:val="20"/>
        </w:rPr>
        <w:t>a liście oczyszczalni, które nie spełniały warunku</w:t>
      </w:r>
      <w:r w:rsidR="00E66B89">
        <w:rPr>
          <w:rFonts w:cs="Calibri"/>
          <w:szCs w:val="20"/>
        </w:rPr>
        <w:t xml:space="preserve"> o </w:t>
      </w:r>
      <w:r w:rsidRPr="00404DA5">
        <w:rPr>
          <w:rFonts w:cs="Calibri"/>
          <w:szCs w:val="20"/>
        </w:rPr>
        <w:t>którym mowa powyżej</w:t>
      </w:r>
      <w:r>
        <w:rPr>
          <w:rFonts w:cs="Calibri"/>
          <w:szCs w:val="20"/>
        </w:rPr>
        <w:t>,</w:t>
      </w:r>
      <w:r w:rsidRPr="00404DA5">
        <w:rPr>
          <w:rFonts w:cs="Calibri"/>
          <w:szCs w:val="20"/>
        </w:rPr>
        <w:t xml:space="preserve"> znajdowały się</w:t>
      </w:r>
      <w:r>
        <w:rPr>
          <w:rFonts w:cs="Calibri"/>
          <w:szCs w:val="20"/>
        </w:rPr>
        <w:t xml:space="preserve"> bowiem</w:t>
      </w:r>
      <w:r w:rsidRPr="00404DA5">
        <w:rPr>
          <w:rFonts w:cs="Calibri"/>
          <w:szCs w:val="20"/>
        </w:rPr>
        <w:t xml:space="preserve"> liczne aglomeracje, które</w:t>
      </w:r>
      <w:r w:rsidR="00E66B89">
        <w:rPr>
          <w:rFonts w:cs="Calibri"/>
          <w:szCs w:val="20"/>
        </w:rPr>
        <w:t xml:space="preserve"> z </w:t>
      </w:r>
      <w:r w:rsidRPr="00404DA5">
        <w:rPr>
          <w:rFonts w:cs="Calibri"/>
          <w:szCs w:val="20"/>
        </w:rPr>
        <w:t>uwagi na warunki wsparcia nie miały szans uzyskać finansowania</w:t>
      </w:r>
      <w:r w:rsidR="00E66B89">
        <w:rPr>
          <w:rFonts w:cs="Calibri"/>
          <w:szCs w:val="20"/>
        </w:rPr>
        <w:t xml:space="preserve"> w </w:t>
      </w:r>
      <w:r w:rsidRPr="00404DA5">
        <w:rPr>
          <w:rFonts w:cs="Calibri"/>
          <w:szCs w:val="20"/>
        </w:rPr>
        <w:t>ramach RPO WZ 2014-2020 (ograniczenie od 2 do 10 tys. RLM). Takimi aglomeracjami są np. Koszalin, Kołobrzeg, Gryfino. Ponadto</w:t>
      </w:r>
      <w:r w:rsidR="00E66B89">
        <w:rPr>
          <w:rFonts w:cs="Calibri"/>
          <w:szCs w:val="20"/>
        </w:rPr>
        <w:t xml:space="preserve"> w </w:t>
      </w:r>
      <w:r w:rsidRPr="00404DA5">
        <w:rPr>
          <w:rFonts w:cs="Calibri"/>
          <w:szCs w:val="20"/>
        </w:rPr>
        <w:t>ramach Działania 3.6 wsparcie otrzymały tylko dwie oczyszczalnie ścieków (na terenie aglomeracji Chociwel</w:t>
      </w:r>
      <w:r w:rsidR="00E66B89">
        <w:rPr>
          <w:rFonts w:cs="Calibri"/>
          <w:szCs w:val="20"/>
        </w:rPr>
        <w:t xml:space="preserve"> i </w:t>
      </w:r>
      <w:r w:rsidRPr="00404DA5">
        <w:rPr>
          <w:rFonts w:cs="Calibri"/>
          <w:szCs w:val="20"/>
        </w:rPr>
        <w:t>Moryń</w:t>
      </w:r>
      <w:r>
        <w:rPr>
          <w:rFonts w:cs="Calibri"/>
          <w:szCs w:val="20"/>
        </w:rPr>
        <w:t>)</w:t>
      </w:r>
      <w:r w:rsidRPr="00404DA5">
        <w:rPr>
          <w:rFonts w:cs="Calibri"/>
          <w:szCs w:val="20"/>
        </w:rPr>
        <w:t>, które</w:t>
      </w:r>
      <w:r w:rsidR="00E66B89">
        <w:rPr>
          <w:rFonts w:cs="Calibri"/>
          <w:szCs w:val="20"/>
        </w:rPr>
        <w:t xml:space="preserve"> w </w:t>
      </w:r>
      <w:r w:rsidRPr="00404DA5">
        <w:rPr>
          <w:rFonts w:cs="Calibri"/>
          <w:szCs w:val="20"/>
        </w:rPr>
        <w:t>momencie szacowania wartości wskaźnika nie spełniały warunków Dyrektywy. Pozostałe oczyszczalnie wsparte</w:t>
      </w:r>
      <w:r w:rsidR="00E66B89">
        <w:rPr>
          <w:rFonts w:cs="Calibri"/>
          <w:szCs w:val="20"/>
        </w:rPr>
        <w:t xml:space="preserve"> w </w:t>
      </w:r>
      <w:r w:rsidRPr="00404DA5">
        <w:rPr>
          <w:rFonts w:cs="Calibri"/>
          <w:szCs w:val="20"/>
        </w:rPr>
        <w:t>ramach Działania 3.6</w:t>
      </w:r>
      <w:r w:rsidR="00E66B89">
        <w:rPr>
          <w:rFonts w:cs="Calibri"/>
          <w:szCs w:val="20"/>
        </w:rPr>
        <w:t xml:space="preserve"> z </w:t>
      </w:r>
      <w:r w:rsidRPr="00404DA5">
        <w:rPr>
          <w:rFonts w:cs="Calibri"/>
          <w:szCs w:val="20"/>
        </w:rPr>
        <w:t>aglomeracji Trzcińsko Zdrój, Pełczyce, Warnice, Świdwin spełniały warunek Dyrektywy</w:t>
      </w:r>
      <w:r>
        <w:rPr>
          <w:rFonts w:cs="Calibri"/>
          <w:szCs w:val="20"/>
        </w:rPr>
        <w:t xml:space="preserve"> -</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 xml:space="preserve">powyższym nie przyczynią się do </w:t>
      </w:r>
      <w:r>
        <w:rPr>
          <w:rFonts w:cs="Calibri"/>
          <w:szCs w:val="20"/>
        </w:rPr>
        <w:t>osiągnięcia</w:t>
      </w:r>
      <w:r w:rsidRPr="00404DA5">
        <w:rPr>
          <w:rFonts w:cs="Calibri"/>
          <w:szCs w:val="20"/>
        </w:rPr>
        <w:t xml:space="preserve"> założonej wartości wskaźnika. Ponadto</w:t>
      </w:r>
      <w:r>
        <w:rPr>
          <w:rFonts w:cs="Calibri"/>
          <w:szCs w:val="20"/>
        </w:rPr>
        <w:t>,</w:t>
      </w:r>
      <w:r w:rsidRPr="00404DA5">
        <w:rPr>
          <w:rFonts w:cs="Calibri"/>
          <w:szCs w:val="20"/>
        </w:rPr>
        <w:t xml:space="preserve"> według szacunków </w:t>
      </w:r>
      <w:r>
        <w:rPr>
          <w:rFonts w:cs="Calibri"/>
          <w:szCs w:val="20"/>
        </w:rPr>
        <w:t>e</w:t>
      </w:r>
      <w:r w:rsidRPr="00404DA5">
        <w:rPr>
          <w:rFonts w:cs="Calibri"/>
          <w:szCs w:val="20"/>
        </w:rPr>
        <w:t>waluatora</w:t>
      </w:r>
      <w:r w:rsidR="00E66B89">
        <w:rPr>
          <w:rFonts w:cs="Calibri"/>
          <w:szCs w:val="20"/>
        </w:rPr>
        <w:t xml:space="preserve"> w </w:t>
      </w:r>
      <w:r w:rsidRPr="00404DA5">
        <w:rPr>
          <w:rFonts w:cs="Calibri"/>
          <w:szCs w:val="20"/>
        </w:rPr>
        <w:t>ramach V aktualizacji KPOŚK wskazano 59 aglomeracji, które nie spełniały wszystkich 3 wymogów Dyrektywy. Po realizacji inwestycji wpisanych</w:t>
      </w:r>
      <w:r w:rsidR="00E66B89">
        <w:rPr>
          <w:rFonts w:cs="Calibri"/>
          <w:szCs w:val="20"/>
        </w:rPr>
        <w:t xml:space="preserve"> w </w:t>
      </w:r>
      <w:r w:rsidRPr="00404DA5">
        <w:rPr>
          <w:rFonts w:cs="Calibri"/>
          <w:szCs w:val="20"/>
        </w:rPr>
        <w:t>KPOŚK liczba ta ma się zmniejszyć na koniec roku 2021 do 34 aglomeracji. Co prawda</w:t>
      </w:r>
      <w:r>
        <w:rPr>
          <w:rFonts w:cs="Calibri"/>
          <w:szCs w:val="20"/>
        </w:rPr>
        <w:t>,</w:t>
      </w:r>
      <w:r w:rsidR="00E66B89">
        <w:rPr>
          <w:rFonts w:cs="Calibri"/>
          <w:szCs w:val="20"/>
        </w:rPr>
        <w:t xml:space="preserve"> w </w:t>
      </w:r>
      <w:r w:rsidRPr="00404DA5">
        <w:rPr>
          <w:rFonts w:cs="Calibri"/>
          <w:szCs w:val="20"/>
        </w:rPr>
        <w:t>województwie realizowane są projekty wspierające gospodarkę wodno-ściekową</w:t>
      </w:r>
      <w:r w:rsidR="00E66B89">
        <w:rPr>
          <w:rFonts w:cs="Calibri"/>
          <w:szCs w:val="20"/>
        </w:rPr>
        <w:t xml:space="preserve"> z </w:t>
      </w:r>
      <w:r w:rsidRPr="00404DA5">
        <w:rPr>
          <w:rFonts w:cs="Calibri"/>
          <w:szCs w:val="20"/>
        </w:rPr>
        <w:t>innych niż RPO WZ 2014-2020 źródeł</w:t>
      </w:r>
      <w:r w:rsidR="00E66B89">
        <w:rPr>
          <w:rFonts w:cs="Calibri"/>
          <w:szCs w:val="20"/>
        </w:rPr>
        <w:t xml:space="preserve"> i </w:t>
      </w:r>
      <w:r w:rsidRPr="00404DA5">
        <w:rPr>
          <w:rFonts w:cs="Calibri"/>
          <w:szCs w:val="20"/>
        </w:rPr>
        <w:t xml:space="preserve">one także będą się przyczyniały do </w:t>
      </w:r>
      <w:r>
        <w:rPr>
          <w:rFonts w:cs="Calibri"/>
          <w:szCs w:val="20"/>
        </w:rPr>
        <w:t>osiągnięcia</w:t>
      </w:r>
      <w:r w:rsidRPr="00404DA5">
        <w:rPr>
          <w:rFonts w:cs="Calibri"/>
          <w:szCs w:val="20"/>
        </w:rPr>
        <w:t xml:space="preserve"> wskaźnika rezultatu strategicznego</w:t>
      </w:r>
      <w:r>
        <w:rPr>
          <w:rFonts w:cs="Calibri"/>
          <w:szCs w:val="20"/>
        </w:rPr>
        <w:t>. N</w:t>
      </w:r>
      <w:r w:rsidRPr="00404DA5">
        <w:rPr>
          <w:rFonts w:cs="Calibri"/>
          <w:szCs w:val="20"/>
        </w:rPr>
        <w:t>iemniej jednak prognozuje się możliwość wystąpienia problemu</w:t>
      </w:r>
      <w:r w:rsidR="00E66B89">
        <w:rPr>
          <w:rFonts w:cs="Calibri"/>
          <w:szCs w:val="20"/>
        </w:rPr>
        <w:t xml:space="preserve"> z </w:t>
      </w:r>
      <w:r>
        <w:rPr>
          <w:rFonts w:cs="Calibri"/>
          <w:szCs w:val="20"/>
        </w:rPr>
        <w:t>osiągnięciem</w:t>
      </w:r>
      <w:r w:rsidRPr="00404DA5">
        <w:rPr>
          <w:rFonts w:cs="Calibri"/>
          <w:szCs w:val="20"/>
        </w:rPr>
        <w:t xml:space="preserve"> założonej wartości docelowej tego wskaźnika.</w:t>
      </w:r>
    </w:p>
    <w:p w14:paraId="6585C2F3"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 xml:space="preserve">Ocena potencjału absorpcyjnego </w:t>
      </w:r>
    </w:p>
    <w:p w14:paraId="5794CC94" w14:textId="77777777" w:rsidR="009D215A" w:rsidRPr="00404DA5" w:rsidRDefault="009D215A" w:rsidP="009D215A">
      <w:pPr>
        <w:rPr>
          <w:rFonts w:cs="Calibri"/>
          <w:szCs w:val="20"/>
        </w:rPr>
      </w:pPr>
      <w:r w:rsidRPr="00404DA5">
        <w:rPr>
          <w:rFonts w:cs="Calibri"/>
          <w:szCs w:val="20"/>
        </w:rPr>
        <w:t>W dotychczas przeprowadzonych naborach wdrażane były wszystkie typy projektów przewidziane do wsparcia</w:t>
      </w:r>
      <w:r w:rsidR="00E66B89">
        <w:rPr>
          <w:rFonts w:cs="Calibri"/>
          <w:szCs w:val="20"/>
        </w:rPr>
        <w:t xml:space="preserve"> w </w:t>
      </w:r>
      <w:r w:rsidRPr="00404DA5">
        <w:rPr>
          <w:rFonts w:cs="Calibri"/>
          <w:szCs w:val="20"/>
        </w:rPr>
        <w:t>PI 6b. Zainteresowanie aplikowaniem</w:t>
      </w:r>
      <w:r w:rsidR="00E66B89">
        <w:rPr>
          <w:rFonts w:cs="Calibri"/>
          <w:szCs w:val="20"/>
        </w:rPr>
        <w:t xml:space="preserve"> o </w:t>
      </w:r>
      <w:r w:rsidRPr="00404DA5">
        <w:rPr>
          <w:rFonts w:cs="Calibri"/>
          <w:szCs w:val="20"/>
        </w:rPr>
        <w:t>wsparcie przekraczało wartość dostępnej alokacji (złożono 60 WoD na kwotę dofinansowania UE: 159 460 053,39 zł), jednak spora liczba projektów nie przeszła pozytywnie oceny wniosków (zawarto 26 UoD na kwotę 60 001 846,09 zł wraz</w:t>
      </w:r>
      <w:r w:rsidR="00E66B89">
        <w:rPr>
          <w:rFonts w:cs="Calibri"/>
          <w:szCs w:val="20"/>
        </w:rPr>
        <w:t xml:space="preserve"> z </w:t>
      </w:r>
      <w:r>
        <w:rPr>
          <w:rFonts w:cs="Calibri"/>
          <w:szCs w:val="20"/>
        </w:rPr>
        <w:t>rezerwą wykonania</w:t>
      </w:r>
      <w:r w:rsidRPr="00404DA5">
        <w:rPr>
          <w:rFonts w:cs="Calibri"/>
          <w:szCs w:val="20"/>
        </w:rPr>
        <w:t>). Na dzień 7.01.2019 r. zakontraktowane jest ok. 58% dostępnej alokacji na PI 6b wraz</w:t>
      </w:r>
      <w:r w:rsidR="00E66B89">
        <w:rPr>
          <w:rFonts w:cs="Calibri"/>
          <w:szCs w:val="20"/>
        </w:rPr>
        <w:t xml:space="preserve"> z </w:t>
      </w:r>
      <w:r>
        <w:rPr>
          <w:rFonts w:cs="Calibri"/>
          <w:szCs w:val="20"/>
        </w:rPr>
        <w:t>rezerwą wykonania</w:t>
      </w:r>
      <w:r w:rsidRPr="00404DA5">
        <w:rPr>
          <w:rFonts w:cs="Calibri"/>
          <w:szCs w:val="20"/>
        </w:rPr>
        <w:t xml:space="preserve">. </w:t>
      </w:r>
    </w:p>
    <w:p w14:paraId="02791D9D" w14:textId="77777777" w:rsidR="009D215A" w:rsidRPr="00404DA5" w:rsidRDefault="009D215A" w:rsidP="009D215A">
      <w:pPr>
        <w:rPr>
          <w:rFonts w:cs="Calibri"/>
          <w:szCs w:val="20"/>
        </w:rPr>
      </w:pPr>
      <w:r w:rsidRPr="00404DA5">
        <w:rPr>
          <w:rFonts w:cs="Calibri"/>
          <w:szCs w:val="20"/>
        </w:rPr>
        <w:t>Diagnoza sytuacji społeczno-gospodarczej wskazuje na wysoką zasadność dalszej realizacji projektów</w:t>
      </w:r>
      <w:r>
        <w:rPr>
          <w:rFonts w:cs="Calibri"/>
          <w:szCs w:val="20"/>
        </w:rPr>
        <w:t>,</w:t>
      </w:r>
      <w:r w:rsidRPr="00404DA5">
        <w:rPr>
          <w:rFonts w:cs="Calibri"/>
          <w:szCs w:val="20"/>
        </w:rPr>
        <w:t xml:space="preserve"> jakie podlegają wsparciu</w:t>
      </w:r>
      <w:r w:rsidR="00E66B89">
        <w:rPr>
          <w:rFonts w:cs="Calibri"/>
          <w:szCs w:val="20"/>
        </w:rPr>
        <w:t xml:space="preserve"> w </w:t>
      </w:r>
      <w:r w:rsidRPr="00404DA5">
        <w:rPr>
          <w:rFonts w:cs="Calibri"/>
          <w:szCs w:val="20"/>
        </w:rPr>
        <w:t>ramach PI 6b. Potwierdzeniem powyższego są zapisy zawarte</w:t>
      </w:r>
      <w:r w:rsidR="00E66B89">
        <w:rPr>
          <w:rFonts w:cs="Calibri"/>
          <w:szCs w:val="20"/>
        </w:rPr>
        <w:t xml:space="preserve"> w </w:t>
      </w:r>
      <w:r w:rsidRPr="00404DA5">
        <w:rPr>
          <w:rFonts w:cs="Calibri"/>
          <w:szCs w:val="20"/>
        </w:rPr>
        <w:t>V aktualizacji KPOŚK (które jeszcze identyfikują pewien potencjał do realizacji projektów</w:t>
      </w:r>
      <w:r w:rsidR="00E66B89">
        <w:rPr>
          <w:rFonts w:cs="Calibri"/>
          <w:szCs w:val="20"/>
        </w:rPr>
        <w:t xml:space="preserve"> w </w:t>
      </w:r>
      <w:r w:rsidRPr="00404DA5">
        <w:rPr>
          <w:rFonts w:cs="Calibri"/>
          <w:szCs w:val="20"/>
        </w:rPr>
        <w:t xml:space="preserve">regionie). </w:t>
      </w:r>
    </w:p>
    <w:p w14:paraId="7B71CD53" w14:textId="77777777" w:rsidR="009D215A" w:rsidRPr="00436D27" w:rsidRDefault="009D215A" w:rsidP="009D215A">
      <w:pPr>
        <w:pStyle w:val="evaluTresc"/>
      </w:pPr>
      <w:r>
        <w:t>Od</w:t>
      </w:r>
      <w:r w:rsidRPr="00436D27">
        <w:t xml:space="preserve"> 28 marca 2019 r. </w:t>
      </w:r>
      <w:r>
        <w:t>rozpoczęto</w:t>
      </w:r>
      <w:r w:rsidRPr="00436D27">
        <w:t xml:space="preserve"> V nab</w:t>
      </w:r>
      <w:r>
        <w:t>ó</w:t>
      </w:r>
      <w:r w:rsidRPr="00436D27">
        <w:t xml:space="preserve">r WoD (termin </w:t>
      </w:r>
      <w:r>
        <w:t>zakończenia</w:t>
      </w:r>
      <w:r w:rsidRPr="00436D27">
        <w:t xml:space="preserve"> naboru 29 kwietnia 2019). Wspierany </w:t>
      </w:r>
      <w:r>
        <w:t>jest</w:t>
      </w:r>
      <w:r w:rsidRPr="00436D27">
        <w:t xml:space="preserve"> 1</w:t>
      </w:r>
      <w:r w:rsidR="00E66B89">
        <w:t xml:space="preserve"> i </w:t>
      </w:r>
      <w:r w:rsidRPr="00436D27">
        <w:t>3 typ projektów (alokacja EFRR 1 mln EUR).</w:t>
      </w:r>
    </w:p>
    <w:p w14:paraId="57DED952" w14:textId="77777777" w:rsidR="009D215A" w:rsidRPr="00404DA5" w:rsidRDefault="009D215A" w:rsidP="009D215A">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badania ilościowego dotyczącego potencjału aplikacyjnego</w:t>
      </w:r>
      <w:r w:rsidR="00E66B89">
        <w:rPr>
          <w:rFonts w:cs="Calibri"/>
          <w:szCs w:val="20"/>
        </w:rPr>
        <w:t xml:space="preserve"> w </w:t>
      </w:r>
      <w:r w:rsidRPr="00404DA5">
        <w:rPr>
          <w:rFonts w:cs="Calibri"/>
          <w:szCs w:val="20"/>
        </w:rPr>
        <w:t>ramach Działania 3.5 respondenci zadeklarowali plan realizacji 32 projektów. Przeprowadzona analiza wskazała, iż nie wszystkie podmioty, które zadeklarowały chęć realizacji projektu spełniają kryteria dostępu (typ beneficjenta). Ustalono, iż 5 dekla</w:t>
      </w:r>
      <w:r>
        <w:rPr>
          <w:rFonts w:cs="Calibri"/>
          <w:szCs w:val="20"/>
        </w:rPr>
        <w:t xml:space="preserve">rowanych </w:t>
      </w:r>
      <w:r w:rsidRPr="00404DA5">
        <w:rPr>
          <w:rFonts w:cs="Calibri"/>
          <w:szCs w:val="20"/>
        </w:rPr>
        <w:t>projektów ma niski stopień konkretności (są</w:t>
      </w:r>
      <w:r w:rsidR="00E66B89">
        <w:rPr>
          <w:rFonts w:cs="Calibri"/>
          <w:szCs w:val="20"/>
        </w:rPr>
        <w:t xml:space="preserve"> w </w:t>
      </w:r>
      <w:r w:rsidRPr="00404DA5">
        <w:rPr>
          <w:rFonts w:cs="Calibri"/>
          <w:szCs w:val="20"/>
        </w:rPr>
        <w:t>stadium ogólnego pomysłu, koncepcji). 4 ankietowanych zadeklarowało, iż ich projekty znajdują się</w:t>
      </w:r>
      <w:r w:rsidR="00E66B89">
        <w:rPr>
          <w:rFonts w:cs="Calibri"/>
          <w:szCs w:val="20"/>
        </w:rPr>
        <w:t xml:space="preserve"> w </w:t>
      </w:r>
      <w:r w:rsidRPr="00404DA5">
        <w:rPr>
          <w:rFonts w:cs="Calibri"/>
          <w:szCs w:val="20"/>
        </w:rPr>
        <w:t>bardziej zaawansowany</w:t>
      </w:r>
      <w:r>
        <w:rPr>
          <w:rFonts w:cs="Calibri"/>
          <w:szCs w:val="20"/>
        </w:rPr>
        <w:t>m</w:t>
      </w:r>
      <w:r w:rsidRPr="00404DA5">
        <w:rPr>
          <w:rFonts w:cs="Calibri"/>
          <w:szCs w:val="20"/>
        </w:rPr>
        <w:t xml:space="preserve"> stadium przygotowania do realizacji (posiada</w:t>
      </w:r>
      <w:r>
        <w:rPr>
          <w:rFonts w:cs="Calibri"/>
          <w:szCs w:val="20"/>
        </w:rPr>
        <w:t>ją</w:t>
      </w:r>
      <w:r w:rsidRPr="00404DA5">
        <w:rPr>
          <w:rFonts w:cs="Calibri"/>
          <w:szCs w:val="20"/>
        </w:rPr>
        <w:t xml:space="preserve"> formalnie przygotowane dokumenty, zarezerwowan</w:t>
      </w:r>
      <w:r>
        <w:rPr>
          <w:rFonts w:cs="Calibri"/>
          <w:szCs w:val="20"/>
        </w:rPr>
        <w:t>e</w:t>
      </w:r>
      <w:r w:rsidRPr="00404DA5">
        <w:rPr>
          <w:rFonts w:cs="Calibri"/>
          <w:szCs w:val="20"/>
        </w:rPr>
        <w:t xml:space="preserve"> środki na realizację). </w:t>
      </w:r>
    </w:p>
    <w:p w14:paraId="1B440C69" w14:textId="77777777" w:rsidR="009D215A" w:rsidRPr="00404DA5" w:rsidRDefault="009D215A" w:rsidP="009D215A">
      <w:pPr>
        <w:rPr>
          <w:rFonts w:cs="Calibri"/>
          <w:szCs w:val="20"/>
        </w:rPr>
      </w:pPr>
      <w:r w:rsidRPr="00404DA5">
        <w:rPr>
          <w:rFonts w:cs="Calibri"/>
          <w:szCs w:val="20"/>
        </w:rPr>
        <w:t xml:space="preserve">W przypadku Działania 3.6 respondenci zadeklarowali plan realizacji 34 projektów. Przeprowadzona analiza wskazała, iż nie wszystkie podmioty, które zadeklarowały chęć realizacji projektu spełniają kryteria dostępu (typ beneficjenta). </w:t>
      </w:r>
      <w:r>
        <w:rPr>
          <w:rFonts w:cs="Calibri"/>
          <w:szCs w:val="20"/>
        </w:rPr>
        <w:t>Spośród deklarowanych projektów,</w:t>
      </w:r>
      <w:r w:rsidRPr="00404DA5">
        <w:rPr>
          <w:rFonts w:cs="Calibri"/>
          <w:szCs w:val="20"/>
        </w:rPr>
        <w:t xml:space="preserve"> 4 ma</w:t>
      </w:r>
      <w:r>
        <w:rPr>
          <w:rFonts w:cs="Calibri"/>
          <w:szCs w:val="20"/>
        </w:rPr>
        <w:t xml:space="preserve">ją </w:t>
      </w:r>
      <w:r w:rsidRPr="00404DA5">
        <w:rPr>
          <w:rFonts w:cs="Calibri"/>
          <w:szCs w:val="20"/>
        </w:rPr>
        <w:t>niski stopień konkretności (są</w:t>
      </w:r>
      <w:r w:rsidR="00E66B89">
        <w:rPr>
          <w:rFonts w:cs="Calibri"/>
          <w:szCs w:val="20"/>
        </w:rPr>
        <w:t xml:space="preserve"> w </w:t>
      </w:r>
      <w:r w:rsidRPr="00404DA5">
        <w:rPr>
          <w:rFonts w:cs="Calibri"/>
          <w:szCs w:val="20"/>
        </w:rPr>
        <w:t>stadium ogólnego pomysłu, koncepcji)</w:t>
      </w:r>
      <w:r>
        <w:rPr>
          <w:rFonts w:cs="Calibri"/>
          <w:szCs w:val="20"/>
        </w:rPr>
        <w:t>,</w:t>
      </w:r>
      <w:r w:rsidR="00E66B89">
        <w:rPr>
          <w:rFonts w:cs="Calibri"/>
          <w:szCs w:val="20"/>
        </w:rPr>
        <w:t xml:space="preserve"> a </w:t>
      </w:r>
      <w:r w:rsidRPr="00404DA5">
        <w:rPr>
          <w:rFonts w:cs="Calibri"/>
          <w:szCs w:val="20"/>
        </w:rPr>
        <w:t xml:space="preserve">5 ankietowanych zadeklarowało, iż ich projekty znajdują </w:t>
      </w:r>
      <w:r w:rsidRPr="00404DA5">
        <w:rPr>
          <w:rFonts w:cs="Calibri"/>
          <w:szCs w:val="20"/>
        </w:rPr>
        <w:lastRenderedPageBreak/>
        <w:t>się</w:t>
      </w:r>
      <w:r w:rsidR="00E66B89">
        <w:rPr>
          <w:rFonts w:cs="Calibri"/>
          <w:szCs w:val="20"/>
        </w:rPr>
        <w:t xml:space="preserve"> w </w:t>
      </w:r>
      <w:r w:rsidRPr="00404DA5">
        <w:rPr>
          <w:rFonts w:cs="Calibri"/>
          <w:szCs w:val="20"/>
        </w:rPr>
        <w:t>bardziej zaawansowany</w:t>
      </w:r>
      <w:r>
        <w:rPr>
          <w:rFonts w:cs="Calibri"/>
          <w:szCs w:val="20"/>
        </w:rPr>
        <w:t>m</w:t>
      </w:r>
      <w:r w:rsidRPr="00404DA5">
        <w:rPr>
          <w:rFonts w:cs="Calibri"/>
          <w:szCs w:val="20"/>
        </w:rPr>
        <w:t xml:space="preserve"> stadium przygotowania do realizacji (posiada</w:t>
      </w:r>
      <w:r>
        <w:rPr>
          <w:rFonts w:cs="Calibri"/>
          <w:szCs w:val="20"/>
        </w:rPr>
        <w:t>ją</w:t>
      </w:r>
      <w:r w:rsidRPr="00404DA5">
        <w:rPr>
          <w:rFonts w:cs="Calibri"/>
          <w:szCs w:val="20"/>
        </w:rPr>
        <w:t xml:space="preserve"> formalnie przygotowane dokumenty,</w:t>
      </w:r>
      <w:r>
        <w:rPr>
          <w:rFonts w:cs="Calibri"/>
          <w:szCs w:val="20"/>
        </w:rPr>
        <w:t xml:space="preserve"> </w:t>
      </w:r>
      <w:r w:rsidRPr="00404DA5">
        <w:rPr>
          <w:rFonts w:cs="Calibri"/>
          <w:szCs w:val="20"/>
        </w:rPr>
        <w:t>zarezerwowan</w:t>
      </w:r>
      <w:r>
        <w:rPr>
          <w:rFonts w:cs="Calibri"/>
          <w:szCs w:val="20"/>
        </w:rPr>
        <w:t>e</w:t>
      </w:r>
      <w:r w:rsidRPr="00404DA5">
        <w:rPr>
          <w:rFonts w:cs="Calibri"/>
          <w:szCs w:val="20"/>
        </w:rPr>
        <w:t xml:space="preserve"> środki na realizację). </w:t>
      </w:r>
    </w:p>
    <w:p w14:paraId="1C9CE805" w14:textId="77777777" w:rsidR="009D215A" w:rsidRPr="00404DA5" w:rsidRDefault="009D215A" w:rsidP="009D215A">
      <w:pPr>
        <w:rPr>
          <w:rFonts w:cs="Calibri"/>
          <w:szCs w:val="20"/>
        </w:rPr>
      </w:pPr>
      <w:r w:rsidRPr="00404DA5">
        <w:rPr>
          <w:rFonts w:cs="Calibri"/>
          <w:szCs w:val="20"/>
        </w:rPr>
        <w:t>Decyzja odnośnie dalszych kroków związanych</w:t>
      </w:r>
      <w:r w:rsidR="00E66B89">
        <w:rPr>
          <w:rFonts w:cs="Calibri"/>
          <w:szCs w:val="20"/>
        </w:rPr>
        <w:t xml:space="preserve"> z </w:t>
      </w:r>
      <w:r w:rsidRPr="00404DA5">
        <w:rPr>
          <w:rFonts w:cs="Calibri"/>
          <w:szCs w:val="20"/>
        </w:rPr>
        <w:t>zagospodarowaniem alokacji</w:t>
      </w:r>
      <w:r w:rsidR="00E66B89">
        <w:rPr>
          <w:rFonts w:cs="Calibri"/>
          <w:szCs w:val="20"/>
        </w:rPr>
        <w:t xml:space="preserve"> w </w:t>
      </w:r>
      <w:r w:rsidRPr="00404DA5">
        <w:rPr>
          <w:rFonts w:cs="Calibri"/>
          <w:szCs w:val="20"/>
        </w:rPr>
        <w:t xml:space="preserve">PI 6b powinna zostać podjęta po rozstrzygnięciu </w:t>
      </w:r>
      <w:r>
        <w:rPr>
          <w:rFonts w:cs="Calibri"/>
          <w:szCs w:val="20"/>
        </w:rPr>
        <w:t>trwającego</w:t>
      </w:r>
      <w:r w:rsidRPr="00404DA5">
        <w:rPr>
          <w:rFonts w:cs="Calibri"/>
          <w:szCs w:val="20"/>
        </w:rPr>
        <w:t xml:space="preserve"> naboru. </w:t>
      </w:r>
    </w:p>
    <w:p w14:paraId="4A7DD36B" w14:textId="77777777" w:rsidR="009D215A" w:rsidRPr="00404DA5" w:rsidRDefault="009D215A" w:rsidP="009D215A">
      <w:pPr>
        <w:rPr>
          <w:rFonts w:cs="Calibri"/>
          <w:szCs w:val="20"/>
        </w:rPr>
      </w:pPr>
      <w:r w:rsidRPr="00404DA5">
        <w:rPr>
          <w:rFonts w:cs="Calibri"/>
          <w:szCs w:val="20"/>
        </w:rPr>
        <w:t>Interwencja skierowana na wsparcie projektów</w:t>
      </w:r>
      <w:r w:rsidR="00E66B89">
        <w:rPr>
          <w:rFonts w:cs="Calibri"/>
          <w:szCs w:val="20"/>
        </w:rPr>
        <w:t xml:space="preserve"> z </w:t>
      </w:r>
      <w:r w:rsidRPr="00404DA5">
        <w:rPr>
          <w:rFonts w:cs="Calibri"/>
          <w:szCs w:val="20"/>
        </w:rPr>
        <w:t>zakresu gospodarki wodno-ściekowej</w:t>
      </w:r>
      <w:r w:rsidR="00E66B89">
        <w:rPr>
          <w:rFonts w:cs="Calibri"/>
          <w:szCs w:val="20"/>
        </w:rPr>
        <w:t xml:space="preserve"> w </w:t>
      </w:r>
      <w:r w:rsidRPr="00404DA5">
        <w:rPr>
          <w:rFonts w:cs="Calibri"/>
          <w:szCs w:val="20"/>
        </w:rPr>
        <w:t>województwie zachodniopomorskim cechuje się wysoką logiką interwencji, przez co</w:t>
      </w:r>
      <w:r w:rsidR="00E66B89">
        <w:rPr>
          <w:rFonts w:cs="Calibri"/>
          <w:szCs w:val="20"/>
        </w:rPr>
        <w:t xml:space="preserve"> w </w:t>
      </w:r>
      <w:r w:rsidRPr="00404DA5">
        <w:rPr>
          <w:rFonts w:cs="Calibri"/>
          <w:szCs w:val="20"/>
        </w:rPr>
        <w:t xml:space="preserve">bardzo istotny sposób wpływa na poziom zaspokojenia regionalnych potrzeb. </w:t>
      </w:r>
    </w:p>
    <w:p w14:paraId="58249446" w14:textId="77777777" w:rsidR="009D215A" w:rsidRPr="00404DA5" w:rsidRDefault="009D215A" w:rsidP="009D215A">
      <w:pPr>
        <w:rPr>
          <w:rFonts w:cs="Calibri"/>
          <w:szCs w:val="20"/>
        </w:rPr>
      </w:pPr>
      <w:r w:rsidRPr="00404DA5">
        <w:rPr>
          <w:rFonts w:cs="Calibri"/>
          <w:szCs w:val="20"/>
        </w:rPr>
        <w:t>Oczywiście wymiar wsparcia</w:t>
      </w:r>
      <w:r w:rsidR="00E66B89">
        <w:rPr>
          <w:rFonts w:cs="Calibri"/>
          <w:szCs w:val="20"/>
        </w:rPr>
        <w:t xml:space="preserve"> w </w:t>
      </w:r>
      <w:r w:rsidRPr="00404DA5">
        <w:rPr>
          <w:rFonts w:cs="Calibri"/>
          <w:szCs w:val="20"/>
        </w:rPr>
        <w:t>ramach RPO WZ 2014-2020</w:t>
      </w:r>
      <w:r w:rsidR="00E66B89">
        <w:rPr>
          <w:rFonts w:cs="Calibri"/>
          <w:szCs w:val="20"/>
        </w:rPr>
        <w:t xml:space="preserve"> w </w:t>
      </w:r>
      <w:r w:rsidRPr="00404DA5">
        <w:rPr>
          <w:rFonts w:cs="Calibri"/>
          <w:szCs w:val="20"/>
        </w:rPr>
        <w:t>skali całego województwa jest silnie powiązany</w:t>
      </w:r>
      <w:r w:rsidR="00E66B89">
        <w:rPr>
          <w:rFonts w:cs="Calibri"/>
          <w:szCs w:val="20"/>
        </w:rPr>
        <w:t xml:space="preserve"> z </w:t>
      </w:r>
      <w:r>
        <w:rPr>
          <w:rFonts w:cs="Calibri"/>
          <w:szCs w:val="20"/>
        </w:rPr>
        <w:t>dostępną</w:t>
      </w:r>
      <w:r w:rsidRPr="00404DA5">
        <w:rPr>
          <w:rFonts w:cs="Calibri"/>
          <w:szCs w:val="20"/>
        </w:rPr>
        <w:t xml:space="preserve"> alokacją.</w:t>
      </w:r>
      <w:r w:rsidR="00E66B89">
        <w:rPr>
          <w:rFonts w:cs="Calibri"/>
          <w:szCs w:val="20"/>
        </w:rPr>
        <w:t xml:space="preserve"> W </w:t>
      </w:r>
      <w:r w:rsidRPr="00404DA5">
        <w:rPr>
          <w:rFonts w:cs="Calibri"/>
          <w:szCs w:val="20"/>
        </w:rPr>
        <w:t>zakresie osiąganych wartości wskaźników</w:t>
      </w:r>
      <w:r>
        <w:rPr>
          <w:rFonts w:cs="Calibri"/>
          <w:szCs w:val="20"/>
        </w:rPr>
        <w:t>,</w:t>
      </w:r>
      <w:r w:rsidRPr="00404DA5">
        <w:rPr>
          <w:rFonts w:cs="Calibri"/>
          <w:szCs w:val="20"/>
        </w:rPr>
        <w:t xml:space="preserve"> wsparcie</w:t>
      </w:r>
      <w:r w:rsidR="00E66B89">
        <w:rPr>
          <w:rFonts w:cs="Calibri"/>
          <w:szCs w:val="20"/>
        </w:rPr>
        <w:t xml:space="preserve"> w </w:t>
      </w:r>
      <w:r w:rsidRPr="00404DA5">
        <w:rPr>
          <w:rFonts w:cs="Calibri"/>
          <w:szCs w:val="20"/>
        </w:rPr>
        <w:t>ramach RPO WZ 2014-2020 odnoszone do infrastruktury wodno-ściekowej funkcjonującej na terenie całego województwa jest</w:t>
      </w:r>
      <w:r w:rsidR="00E66B89">
        <w:rPr>
          <w:rFonts w:cs="Calibri"/>
          <w:szCs w:val="20"/>
        </w:rPr>
        <w:t xml:space="preserve"> z </w:t>
      </w:r>
      <w:r w:rsidRPr="00404DA5">
        <w:rPr>
          <w:rFonts w:cs="Calibri"/>
          <w:szCs w:val="20"/>
        </w:rPr>
        <w:t>oczywistych względów odpowiednio proporcjonalne. Wsparcie</w:t>
      </w:r>
      <w:r w:rsidR="00E66B89">
        <w:rPr>
          <w:rFonts w:cs="Calibri"/>
          <w:szCs w:val="20"/>
        </w:rPr>
        <w:t xml:space="preserve"> z </w:t>
      </w:r>
      <w:r w:rsidRPr="00404DA5">
        <w:rPr>
          <w:rFonts w:cs="Calibri"/>
          <w:szCs w:val="20"/>
        </w:rPr>
        <w:t>RPO WZ umożliwia realizację kluczowych projektów, które bez wsparcia ze środków UE nie powstałyby</w:t>
      </w:r>
      <w:r w:rsidR="00E66B89">
        <w:rPr>
          <w:rFonts w:cs="Calibri"/>
          <w:szCs w:val="20"/>
        </w:rPr>
        <w:t xml:space="preserve"> w </w:t>
      </w:r>
      <w:r w:rsidRPr="00404DA5">
        <w:rPr>
          <w:rFonts w:cs="Calibri"/>
          <w:szCs w:val="20"/>
        </w:rPr>
        <w:t>ogóle, bądź</w:t>
      </w:r>
      <w:r w:rsidR="00E66B89">
        <w:rPr>
          <w:rFonts w:cs="Calibri"/>
          <w:szCs w:val="20"/>
        </w:rPr>
        <w:t xml:space="preserve"> w </w:t>
      </w:r>
      <w:r w:rsidRPr="00404DA5">
        <w:rPr>
          <w:rFonts w:cs="Calibri"/>
          <w:szCs w:val="20"/>
        </w:rPr>
        <w:t>mniejszym wymiarze, lub</w:t>
      </w:r>
      <w:r w:rsidR="00E66B89">
        <w:rPr>
          <w:rFonts w:cs="Calibri"/>
          <w:szCs w:val="20"/>
        </w:rPr>
        <w:t xml:space="preserve"> w </w:t>
      </w:r>
      <w:r w:rsidRPr="00404DA5">
        <w:rPr>
          <w:rFonts w:cs="Calibri"/>
          <w:szCs w:val="20"/>
        </w:rPr>
        <w:t>znacznie odleg</w:t>
      </w:r>
      <w:r>
        <w:rPr>
          <w:rFonts w:cs="Calibri"/>
          <w:szCs w:val="20"/>
        </w:rPr>
        <w:t>lejszej</w:t>
      </w:r>
      <w:r w:rsidRPr="00404DA5">
        <w:rPr>
          <w:rFonts w:cs="Calibri"/>
          <w:szCs w:val="20"/>
        </w:rPr>
        <w:t xml:space="preserve"> perspektywie czasowej. Wielkość oczyszczalni ścieków komunalnych</w:t>
      </w:r>
      <w:r w:rsidR="00E66B89">
        <w:rPr>
          <w:rFonts w:cs="Calibri"/>
          <w:szCs w:val="20"/>
        </w:rPr>
        <w:t xml:space="preserve"> w </w:t>
      </w:r>
      <w:r w:rsidRPr="00404DA5">
        <w:rPr>
          <w:rFonts w:cs="Calibri"/>
          <w:szCs w:val="20"/>
        </w:rPr>
        <w:t>województwie zachodniopomorskim na 2016 r. (ten rok można uznać za miarodajny uwzględniając rozpoczęcie wsparcia</w:t>
      </w:r>
      <w:r w:rsidR="00E66B89">
        <w:rPr>
          <w:rFonts w:cs="Calibri"/>
          <w:szCs w:val="20"/>
        </w:rPr>
        <w:t xml:space="preserve"> w </w:t>
      </w:r>
      <w:r w:rsidRPr="00404DA5">
        <w:rPr>
          <w:rFonts w:cs="Calibri"/>
          <w:szCs w:val="20"/>
        </w:rPr>
        <w:t xml:space="preserve">ramach RPO WZ) wyniosła 2 747 220 RLM. Prognozowana </w:t>
      </w:r>
      <w:r w:rsidRPr="008B706B">
        <w:rPr>
          <w:rFonts w:cs="Calibri"/>
          <w:i/>
          <w:szCs w:val="20"/>
        </w:rPr>
        <w:t>Liczba dodatkowych osób korzystających</w:t>
      </w:r>
      <w:r w:rsidR="00E66B89">
        <w:rPr>
          <w:rFonts w:cs="Calibri"/>
          <w:i/>
          <w:szCs w:val="20"/>
        </w:rPr>
        <w:t xml:space="preserve"> z </w:t>
      </w:r>
      <w:r w:rsidRPr="008B706B">
        <w:rPr>
          <w:rFonts w:cs="Calibri"/>
          <w:i/>
          <w:szCs w:val="20"/>
        </w:rPr>
        <w:t>ulepszonego oczyszczania ścieków</w:t>
      </w:r>
      <w:r w:rsidRPr="00404DA5">
        <w:rPr>
          <w:rFonts w:cs="Calibri"/>
          <w:szCs w:val="20"/>
        </w:rPr>
        <w:t xml:space="preserve"> wskutek wsparcia udzielonego</w:t>
      </w:r>
      <w:r w:rsidR="00E66B89">
        <w:rPr>
          <w:rFonts w:cs="Calibri"/>
          <w:szCs w:val="20"/>
        </w:rPr>
        <w:t xml:space="preserve"> w </w:t>
      </w:r>
      <w:r w:rsidRPr="00404DA5">
        <w:rPr>
          <w:rFonts w:cs="Calibri"/>
          <w:szCs w:val="20"/>
        </w:rPr>
        <w:t>ramach RPO WZ 2014-2020 wynosi 20 635 RLM. Długość czynnej sieci kanalizacyjnej</w:t>
      </w:r>
      <w:r w:rsidR="00E66B89">
        <w:rPr>
          <w:rFonts w:cs="Calibri"/>
          <w:szCs w:val="20"/>
        </w:rPr>
        <w:t xml:space="preserve"> w </w:t>
      </w:r>
      <w:r w:rsidRPr="00404DA5">
        <w:rPr>
          <w:rFonts w:cs="Calibri"/>
          <w:szCs w:val="20"/>
        </w:rPr>
        <w:t xml:space="preserve">2016 r. wyniosła 7 761,8 km. Prognozowana </w:t>
      </w:r>
      <w:r w:rsidRPr="008B706B">
        <w:rPr>
          <w:rFonts w:cs="Calibri"/>
          <w:i/>
          <w:szCs w:val="20"/>
        </w:rPr>
        <w:t>Długość sieci kanalizacji sanitarnej</w:t>
      </w:r>
      <w:r w:rsidRPr="00404DA5">
        <w:rPr>
          <w:rFonts w:cs="Calibri"/>
          <w:szCs w:val="20"/>
        </w:rPr>
        <w:t xml:space="preserve"> wsparta</w:t>
      </w:r>
      <w:r w:rsidR="00E66B89">
        <w:rPr>
          <w:rFonts w:cs="Calibri"/>
          <w:szCs w:val="20"/>
        </w:rPr>
        <w:t xml:space="preserve"> w </w:t>
      </w:r>
      <w:r w:rsidRPr="00404DA5">
        <w:rPr>
          <w:rFonts w:cs="Calibri"/>
          <w:szCs w:val="20"/>
        </w:rPr>
        <w:t>ramach RPO WZ 2014-2020 jest szacowana na ok. 45,28 km. Długość czynnej sieci rozdzielczej</w:t>
      </w:r>
      <w:r w:rsidR="00E66B89">
        <w:rPr>
          <w:rFonts w:cs="Calibri"/>
          <w:szCs w:val="20"/>
        </w:rPr>
        <w:t xml:space="preserve"> w </w:t>
      </w:r>
      <w:r w:rsidRPr="00404DA5">
        <w:rPr>
          <w:rFonts w:cs="Calibri"/>
          <w:szCs w:val="20"/>
        </w:rPr>
        <w:t xml:space="preserve">2016 r. wyniosła 11 096,2 km . Prognozowana </w:t>
      </w:r>
      <w:r w:rsidRPr="008B706B">
        <w:rPr>
          <w:rFonts w:cs="Calibri"/>
          <w:i/>
          <w:szCs w:val="20"/>
        </w:rPr>
        <w:t>Długość sieci wodociągowej</w:t>
      </w:r>
      <w:r w:rsidRPr="00404DA5">
        <w:rPr>
          <w:rFonts w:cs="Calibri"/>
          <w:szCs w:val="20"/>
        </w:rPr>
        <w:t xml:space="preserve"> wsparta</w:t>
      </w:r>
      <w:r w:rsidR="00E66B89">
        <w:rPr>
          <w:rFonts w:cs="Calibri"/>
          <w:szCs w:val="20"/>
        </w:rPr>
        <w:t xml:space="preserve"> w </w:t>
      </w:r>
      <w:r w:rsidRPr="00404DA5">
        <w:rPr>
          <w:rFonts w:cs="Calibri"/>
          <w:szCs w:val="20"/>
        </w:rPr>
        <w:t>ramach RPO WZ 2014-2020 jest szacowana na ok. 32,77 km.</w:t>
      </w:r>
    </w:p>
    <w:p w14:paraId="0E592A8F" w14:textId="77777777" w:rsidR="009D215A" w:rsidRPr="00404DA5" w:rsidRDefault="009D215A" w:rsidP="009D215A">
      <w:pPr>
        <w:rPr>
          <w:rFonts w:cs="Calibri"/>
          <w:szCs w:val="20"/>
        </w:rPr>
      </w:pPr>
      <w:r w:rsidRPr="00404DA5">
        <w:rPr>
          <w:rFonts w:cs="Calibri"/>
          <w:szCs w:val="20"/>
        </w:rPr>
        <w:t>Nie stwierdzono występowania sytuacji,</w:t>
      </w:r>
      <w:r w:rsidR="00E66B89">
        <w:rPr>
          <w:rFonts w:cs="Calibri"/>
          <w:szCs w:val="20"/>
        </w:rPr>
        <w:t xml:space="preserve"> w </w:t>
      </w:r>
      <w:r w:rsidRPr="00404DA5">
        <w:rPr>
          <w:rFonts w:cs="Calibri"/>
          <w:szCs w:val="20"/>
        </w:rPr>
        <w:t>której to zidentyfikowane plany</w:t>
      </w:r>
      <w:r w:rsidR="00E66B89">
        <w:rPr>
          <w:rFonts w:cs="Calibri"/>
          <w:szCs w:val="20"/>
        </w:rPr>
        <w:t xml:space="preserve"> i </w:t>
      </w:r>
      <w:r w:rsidRPr="00404DA5">
        <w:rPr>
          <w:rFonts w:cs="Calibri"/>
          <w:szCs w:val="20"/>
        </w:rPr>
        <w:t>potrzeby aplikacyjne były limitowane przez uwarunkowania zewnętrzne.</w:t>
      </w:r>
    </w:p>
    <w:p w14:paraId="0DC25D5C" w14:textId="77777777" w:rsidR="009D215A" w:rsidRPr="00404DA5" w:rsidRDefault="009D215A" w:rsidP="009D215A">
      <w:pPr>
        <w:rPr>
          <w:rFonts w:cs="Calibri"/>
          <w:szCs w:val="20"/>
        </w:rPr>
      </w:pPr>
      <w:r w:rsidRPr="00404DA5">
        <w:rPr>
          <w:rFonts w:cs="Calibri"/>
          <w:szCs w:val="20"/>
        </w:rPr>
        <w:t>Z uwagi na specyfikę wspieranych projektów brak jest możliwości sformułowania rekomendacji odnośnie tego, jakie elementy wsparcia</w:t>
      </w:r>
      <w:r w:rsidR="00E66B89">
        <w:rPr>
          <w:rFonts w:cs="Calibri"/>
          <w:szCs w:val="20"/>
        </w:rPr>
        <w:t xml:space="preserve"> w </w:t>
      </w:r>
      <w:r w:rsidRPr="00404DA5">
        <w:rPr>
          <w:rFonts w:cs="Calibri"/>
          <w:szCs w:val="20"/>
        </w:rPr>
        <w:t>ramach PI 6b można uznać za cechujące się wysoką,</w:t>
      </w:r>
      <w:r w:rsidR="00E66B89">
        <w:rPr>
          <w:rFonts w:cs="Calibri"/>
          <w:szCs w:val="20"/>
        </w:rPr>
        <w:t xml:space="preserve"> a </w:t>
      </w:r>
      <w:r w:rsidRPr="00404DA5">
        <w:rPr>
          <w:rFonts w:cs="Calibri"/>
          <w:szCs w:val="20"/>
        </w:rPr>
        <w:t>jakie niską skutecznością. Wsparcie</w:t>
      </w:r>
      <w:r w:rsidR="00E66B89">
        <w:rPr>
          <w:rFonts w:cs="Calibri"/>
          <w:szCs w:val="20"/>
        </w:rPr>
        <w:t xml:space="preserve"> w </w:t>
      </w:r>
      <w:r w:rsidRPr="00404DA5">
        <w:rPr>
          <w:rFonts w:cs="Calibri"/>
          <w:szCs w:val="20"/>
        </w:rPr>
        <w:t>ramach PI 6b jest bardzo precyzyjne, zakres możliwych do wsparcia projektów ściśle określony</w:t>
      </w:r>
      <w:r>
        <w:rPr>
          <w:rFonts w:cs="Calibri"/>
          <w:szCs w:val="20"/>
        </w:rPr>
        <w:t>,</w:t>
      </w:r>
      <w:r w:rsidR="00E66B89">
        <w:rPr>
          <w:rFonts w:cs="Calibri"/>
          <w:szCs w:val="20"/>
        </w:rPr>
        <w:t xml:space="preserve"> a </w:t>
      </w:r>
      <w:r w:rsidRPr="00404DA5">
        <w:rPr>
          <w:rFonts w:cs="Calibri"/>
          <w:szCs w:val="20"/>
        </w:rPr>
        <w:t xml:space="preserve">zamierzone efekty generalnie charakteryzują się wysoką </w:t>
      </w:r>
      <w:r>
        <w:rPr>
          <w:rFonts w:cs="Calibri"/>
          <w:szCs w:val="20"/>
        </w:rPr>
        <w:t>trafnością</w:t>
      </w:r>
      <w:r w:rsidR="00E66B89">
        <w:rPr>
          <w:rFonts w:cs="Calibri"/>
          <w:szCs w:val="20"/>
        </w:rPr>
        <w:t xml:space="preserve"> i </w:t>
      </w:r>
      <w:r w:rsidRPr="00404DA5">
        <w:rPr>
          <w:rFonts w:cs="Calibri"/>
          <w:szCs w:val="20"/>
        </w:rPr>
        <w:t>powinny skutecznie przyczyniać się do realizacji wyznaczonych celów.</w:t>
      </w:r>
    </w:p>
    <w:p w14:paraId="748448BE" w14:textId="77777777" w:rsidR="009D215A" w:rsidRPr="00404DA5" w:rsidRDefault="009D215A" w:rsidP="009D215A">
      <w:pPr>
        <w:rPr>
          <w:rFonts w:cs="Calibri"/>
          <w:szCs w:val="20"/>
        </w:rPr>
      </w:pPr>
      <w:r w:rsidRPr="00404DA5">
        <w:rPr>
          <w:rFonts w:cs="Calibri"/>
          <w:szCs w:val="20"/>
        </w:rPr>
        <w:t>Z uwagi na kompleksowość wsparcia skierowanego</w:t>
      </w:r>
      <w:r w:rsidR="00E66B89">
        <w:rPr>
          <w:rFonts w:cs="Calibri"/>
          <w:szCs w:val="20"/>
        </w:rPr>
        <w:t xml:space="preserve"> w </w:t>
      </w:r>
      <w:r w:rsidRPr="00404DA5">
        <w:rPr>
          <w:rFonts w:cs="Calibri"/>
          <w:szCs w:val="20"/>
        </w:rPr>
        <w:t>ramach PI 6b</w:t>
      </w:r>
      <w:r>
        <w:rPr>
          <w:rFonts w:cs="Calibri"/>
          <w:szCs w:val="20"/>
        </w:rPr>
        <w:t>,</w:t>
      </w:r>
      <w:r w:rsidRPr="00404DA5">
        <w:rPr>
          <w:rFonts w:cs="Calibri"/>
          <w:szCs w:val="20"/>
        </w:rPr>
        <w:t xml:space="preserve"> nie można mówić</w:t>
      </w:r>
      <w:r w:rsidR="00E66B89">
        <w:rPr>
          <w:rFonts w:cs="Calibri"/>
          <w:szCs w:val="20"/>
        </w:rPr>
        <w:t xml:space="preserve"> o </w:t>
      </w:r>
      <w:r w:rsidRPr="00404DA5">
        <w:rPr>
          <w:rFonts w:cs="Calibri"/>
          <w:szCs w:val="20"/>
        </w:rPr>
        <w:t>identyfikacji typów projektów, które charakteryzowałyby się wyższą bądź niższą skutecznością. Należy wskazać, iż wszystkie typy wspieranych projektów</w:t>
      </w:r>
      <w:r w:rsidR="00E66B89">
        <w:rPr>
          <w:rFonts w:cs="Calibri"/>
          <w:szCs w:val="20"/>
        </w:rPr>
        <w:t xml:space="preserve"> w </w:t>
      </w:r>
      <w:r w:rsidRPr="00404DA5">
        <w:rPr>
          <w:rFonts w:cs="Calibri"/>
          <w:szCs w:val="20"/>
        </w:rPr>
        <w:t>ramach Działania 3.5</w:t>
      </w:r>
      <w:r w:rsidR="00E66B89">
        <w:rPr>
          <w:rFonts w:cs="Calibri"/>
          <w:szCs w:val="20"/>
        </w:rPr>
        <w:t xml:space="preserve"> i </w:t>
      </w:r>
      <w:r w:rsidRPr="00404DA5">
        <w:rPr>
          <w:rFonts w:cs="Calibri"/>
          <w:szCs w:val="20"/>
        </w:rPr>
        <w:t>3.6 charakteryzują się wysoką skutecznością. Nie należy ograniczać wsparcia do określonej grupy projektów</w:t>
      </w:r>
      <w:r>
        <w:rPr>
          <w:rFonts w:cs="Calibri"/>
          <w:szCs w:val="20"/>
        </w:rPr>
        <w:t>,</w:t>
      </w:r>
      <w:r w:rsidRPr="00404DA5">
        <w:rPr>
          <w:rFonts w:cs="Calibri"/>
          <w:szCs w:val="20"/>
        </w:rPr>
        <w:t xml:space="preserve"> np. tylko na sieci kanalizacji, wodociągów, oczyszczalnie ścieków czy stacje uzdatniania wody. Realizacja projektów</w:t>
      </w:r>
      <w:r w:rsidR="00E66B89">
        <w:rPr>
          <w:rFonts w:cs="Calibri"/>
          <w:szCs w:val="20"/>
        </w:rPr>
        <w:t xml:space="preserve"> w </w:t>
      </w:r>
      <w:r w:rsidRPr="00404DA5">
        <w:rPr>
          <w:rFonts w:cs="Calibri"/>
          <w:szCs w:val="20"/>
        </w:rPr>
        <w:t>tej dziedzinie jest podejmowana racjonalnie</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bieżące potrzeby podmiotów zajmujących się zarządzaniem</w:t>
      </w:r>
      <w:r w:rsidR="00E66B89">
        <w:rPr>
          <w:rFonts w:cs="Calibri"/>
          <w:szCs w:val="20"/>
        </w:rPr>
        <w:t xml:space="preserve"> i </w:t>
      </w:r>
      <w:r w:rsidRPr="00404DA5">
        <w:rPr>
          <w:rFonts w:cs="Calibri"/>
          <w:szCs w:val="20"/>
        </w:rPr>
        <w:t>eksploatacją infrastruktury. Wsparcie na gospodarkę wodno</w:t>
      </w:r>
      <w:r>
        <w:rPr>
          <w:rFonts w:cs="Calibri"/>
          <w:szCs w:val="20"/>
        </w:rPr>
        <w:t>-</w:t>
      </w:r>
      <w:r w:rsidRPr="00404DA5">
        <w:rPr>
          <w:rFonts w:cs="Calibri"/>
          <w:szCs w:val="20"/>
        </w:rPr>
        <w:t>ściekową musi być kierowane proporcjonalnie według bieżących potrzeb, ale bez ograniczania do konkretnych typów projektów.</w:t>
      </w:r>
    </w:p>
    <w:p w14:paraId="11E79551" w14:textId="77777777" w:rsidR="009D215A" w:rsidRPr="00404DA5" w:rsidRDefault="009D215A" w:rsidP="009D215A">
      <w:pPr>
        <w:rPr>
          <w:rFonts w:cs="Calibri"/>
          <w:szCs w:val="20"/>
        </w:rPr>
      </w:pPr>
      <w:r w:rsidRPr="00404DA5">
        <w:rPr>
          <w:rFonts w:cs="Calibri"/>
          <w:szCs w:val="20"/>
        </w:rPr>
        <w:t>W dalszym ciągu szczególnie istotne jest kontynuowanie wsparcia projektów zwiększających stopień skanalizowania gmin wiejskich</w:t>
      </w:r>
      <w:r w:rsidR="00E66B89">
        <w:rPr>
          <w:rFonts w:cs="Calibri"/>
          <w:szCs w:val="20"/>
        </w:rPr>
        <w:t xml:space="preserve"> w </w:t>
      </w:r>
      <w:r w:rsidRPr="00404DA5">
        <w:rPr>
          <w:rFonts w:cs="Calibri"/>
          <w:szCs w:val="20"/>
        </w:rPr>
        <w:t>województwie zachodniopomorskim oraz wzrostu dostępu mieszkańców wsi do możliwości korzystania</w:t>
      </w:r>
      <w:r w:rsidR="00E66B89">
        <w:rPr>
          <w:rFonts w:cs="Calibri"/>
          <w:szCs w:val="20"/>
        </w:rPr>
        <w:t xml:space="preserve"> z </w:t>
      </w:r>
      <w:r w:rsidRPr="00404DA5">
        <w:rPr>
          <w:rFonts w:cs="Calibri"/>
          <w:szCs w:val="20"/>
        </w:rPr>
        <w:t>oczyszczalni ścieków komunalnych.</w:t>
      </w:r>
    </w:p>
    <w:p w14:paraId="7C57F44D" w14:textId="77777777" w:rsidR="009D215A" w:rsidRPr="00404DA5" w:rsidRDefault="009D215A" w:rsidP="009D215A">
      <w:pPr>
        <w:rPr>
          <w:rFonts w:cs="Calibri"/>
          <w:szCs w:val="20"/>
        </w:rPr>
      </w:pPr>
      <w:r w:rsidRPr="00404DA5">
        <w:rPr>
          <w:rFonts w:cs="Calibri"/>
          <w:szCs w:val="20"/>
        </w:rPr>
        <w:t>W ramach przeprowadzonych analiz nie zidentyfikowano takich typów projektów, których realizacja byłaby</w:t>
      </w:r>
      <w:r w:rsidR="00E66B89">
        <w:rPr>
          <w:rFonts w:cs="Calibri"/>
          <w:szCs w:val="20"/>
        </w:rPr>
        <w:t xml:space="preserve"> z </w:t>
      </w:r>
      <w:r w:rsidRPr="00404DA5">
        <w:rPr>
          <w:rFonts w:cs="Calibri"/>
          <w:szCs w:val="20"/>
        </w:rPr>
        <w:t>jakichś względów utrudniona. Wszystkie typy wspieranych projektów</w:t>
      </w:r>
      <w:r w:rsidR="00E66B89">
        <w:rPr>
          <w:rFonts w:cs="Calibri"/>
          <w:szCs w:val="20"/>
        </w:rPr>
        <w:t xml:space="preserve"> w </w:t>
      </w:r>
      <w:r w:rsidRPr="00404DA5">
        <w:rPr>
          <w:rFonts w:cs="Calibri"/>
          <w:szCs w:val="20"/>
        </w:rPr>
        <w:t xml:space="preserve">skuteczny sposób przyczyniają się do realizacji wyznaczonych celów. </w:t>
      </w:r>
    </w:p>
    <w:p w14:paraId="554430CC" w14:textId="77777777" w:rsidR="009D215A" w:rsidRPr="00404DA5" w:rsidRDefault="009D215A" w:rsidP="009D215A">
      <w:pPr>
        <w:rPr>
          <w:rFonts w:cs="Calibri"/>
          <w:szCs w:val="20"/>
        </w:rPr>
      </w:pPr>
      <w:r w:rsidRPr="00404DA5">
        <w:rPr>
          <w:rFonts w:cs="Calibri"/>
          <w:szCs w:val="20"/>
        </w:rPr>
        <w:t>Celem prowadzenia gospodarki wodno</w:t>
      </w:r>
      <w:r>
        <w:rPr>
          <w:rFonts w:cs="Calibri"/>
          <w:szCs w:val="20"/>
        </w:rPr>
        <w:t>-</w:t>
      </w:r>
      <w:r w:rsidRPr="00404DA5">
        <w:rPr>
          <w:rFonts w:cs="Calibri"/>
          <w:szCs w:val="20"/>
        </w:rPr>
        <w:t>ściekowej</w:t>
      </w:r>
      <w:r>
        <w:rPr>
          <w:rFonts w:cs="Calibri"/>
          <w:szCs w:val="20"/>
        </w:rPr>
        <w:t>,</w:t>
      </w:r>
      <w:r w:rsidRPr="00404DA5">
        <w:rPr>
          <w:rFonts w:cs="Calibri"/>
          <w:szCs w:val="20"/>
        </w:rPr>
        <w:t xml:space="preserve"> oprócz zapewnienia odpowiedniego dostępu do infrastruktury dla mieszkańców</w:t>
      </w:r>
      <w:r w:rsidR="00E66B89">
        <w:rPr>
          <w:rFonts w:cs="Calibri"/>
          <w:szCs w:val="20"/>
        </w:rPr>
        <w:t xml:space="preserve"> i </w:t>
      </w:r>
      <w:r w:rsidRPr="00404DA5">
        <w:rPr>
          <w:rFonts w:cs="Calibri"/>
          <w:szCs w:val="20"/>
        </w:rPr>
        <w:t>osób wizytujących region</w:t>
      </w:r>
      <w:r>
        <w:rPr>
          <w:rFonts w:cs="Calibri"/>
          <w:szCs w:val="20"/>
        </w:rPr>
        <w:t>,</w:t>
      </w:r>
      <w:r w:rsidRPr="00404DA5">
        <w:rPr>
          <w:rFonts w:cs="Calibri"/>
          <w:szCs w:val="20"/>
        </w:rPr>
        <w:t xml:space="preserve"> jest zapewnienie odpowiedniego </w:t>
      </w:r>
      <w:r w:rsidRPr="00404DA5">
        <w:rPr>
          <w:rFonts w:cs="Calibri"/>
          <w:szCs w:val="20"/>
        </w:rPr>
        <w:lastRenderedPageBreak/>
        <w:t>zabezpieczenia dla środowiska wodno-gruntowego.</w:t>
      </w:r>
      <w:r w:rsidR="00E66B89">
        <w:rPr>
          <w:rFonts w:cs="Calibri"/>
          <w:szCs w:val="20"/>
        </w:rPr>
        <w:t xml:space="preserve"> Z </w:t>
      </w:r>
      <w:r w:rsidRPr="00404DA5">
        <w:rPr>
          <w:rFonts w:cs="Calibri"/>
          <w:szCs w:val="20"/>
        </w:rPr>
        <w:t>tego względu istotny wymiar uzupełniający oddziaływanie</w:t>
      </w:r>
      <w:r>
        <w:rPr>
          <w:rFonts w:cs="Calibri"/>
          <w:szCs w:val="20"/>
        </w:rPr>
        <w:t>,</w:t>
      </w:r>
      <w:r w:rsidRPr="00404DA5">
        <w:rPr>
          <w:rFonts w:cs="Calibri"/>
          <w:szCs w:val="20"/>
        </w:rPr>
        <w:t xml:space="preserve"> wspieranych</w:t>
      </w:r>
      <w:r w:rsidR="00E66B89">
        <w:rPr>
          <w:rFonts w:cs="Calibri"/>
          <w:szCs w:val="20"/>
        </w:rPr>
        <w:t xml:space="preserve"> w </w:t>
      </w:r>
      <w:r w:rsidRPr="00404DA5">
        <w:rPr>
          <w:rFonts w:cs="Calibri"/>
          <w:szCs w:val="20"/>
        </w:rPr>
        <w:t>Działaniu 3.6</w:t>
      </w:r>
      <w:r>
        <w:rPr>
          <w:rFonts w:cs="Calibri"/>
          <w:szCs w:val="20"/>
        </w:rPr>
        <w:t>,</w:t>
      </w:r>
      <w:r w:rsidRPr="00404DA5">
        <w:rPr>
          <w:rFonts w:cs="Calibri"/>
          <w:szCs w:val="20"/>
        </w:rPr>
        <w:t xml:space="preserve"> projektów jest prowadzenie działań informacyjnych</w:t>
      </w:r>
      <w:r w:rsidR="00E66B89">
        <w:rPr>
          <w:rFonts w:cs="Calibri"/>
          <w:szCs w:val="20"/>
        </w:rPr>
        <w:t xml:space="preserve"> i </w:t>
      </w:r>
      <w:r w:rsidRPr="00404DA5">
        <w:rPr>
          <w:rFonts w:cs="Calibri"/>
          <w:szCs w:val="20"/>
        </w:rPr>
        <w:t>edukacyjnych nt. odpowiedniego (oszczędnego) gospodarowania wodami, prowadzenia działalności rolniczej (w celu ograniczenia zanieczyszczeń ze spływów powierzchniowych</w:t>
      </w:r>
      <w:r w:rsidR="00E66B89">
        <w:rPr>
          <w:rFonts w:cs="Calibri"/>
          <w:szCs w:val="20"/>
        </w:rPr>
        <w:t xml:space="preserve"> w </w:t>
      </w:r>
      <w:r w:rsidRPr="00404DA5">
        <w:rPr>
          <w:rFonts w:cs="Calibri"/>
          <w:szCs w:val="20"/>
        </w:rPr>
        <w:t>wyniku działalności rolniczej) oraz odpowiedniej eksploatacji bezodpływowych zbiorników na ścieki (modernizacja infrastruktury, likwidacja bezodpływowych zbiorników celem podłączenia do sieci kanalizacyjnej).</w:t>
      </w:r>
    </w:p>
    <w:p w14:paraId="3410E1A5" w14:textId="77777777" w:rsidR="009D215A" w:rsidRPr="00436D27" w:rsidRDefault="009D215A" w:rsidP="009D215A">
      <w:pPr>
        <w:pStyle w:val="evaluTresc"/>
      </w:pPr>
      <w:r w:rsidRPr="00436D27">
        <w:t>W sektorze gospodarki wodno-ściekowej</w:t>
      </w:r>
      <w:r>
        <w:t>,</w:t>
      </w:r>
      <w:r w:rsidRPr="00436D27">
        <w:t xml:space="preserve"> sytuacja</w:t>
      </w:r>
      <w:r w:rsidR="00E66B89">
        <w:t xml:space="preserve"> w </w:t>
      </w:r>
      <w:r w:rsidRPr="00436D27">
        <w:t>regionie</w:t>
      </w:r>
      <w:r>
        <w:t xml:space="preserve"> -</w:t>
      </w:r>
      <w:r w:rsidRPr="00436D27">
        <w:t xml:space="preserve"> już</w:t>
      </w:r>
      <w:r w:rsidR="00E66B89">
        <w:t xml:space="preserve"> w </w:t>
      </w:r>
      <w:r w:rsidRPr="00436D27">
        <w:t>momencie planowania interwencji</w:t>
      </w:r>
      <w:r>
        <w:t xml:space="preserve"> -</w:t>
      </w:r>
      <w:r w:rsidRPr="00436D27">
        <w:t xml:space="preserve"> była na lepszym, niż przeciętnie obserwowany</w:t>
      </w:r>
      <w:r w:rsidR="00E66B89">
        <w:t xml:space="preserve"> w </w:t>
      </w:r>
      <w:r w:rsidRPr="00436D27">
        <w:t>kraju, poziomie. Wsparte projekty przyczyniają się do realizacji przyjętych celów Działania (zmniejszenie występujących</w:t>
      </w:r>
      <w:r w:rsidR="00E66B89">
        <w:t xml:space="preserve"> w </w:t>
      </w:r>
      <w:r w:rsidRPr="00436D27">
        <w:t>województwie</w:t>
      </w:r>
      <w:r w:rsidR="00E66B89">
        <w:t xml:space="preserve"> w </w:t>
      </w:r>
      <w:r w:rsidRPr="00436D27">
        <w:t>momencie projektowania interwencji dysproporcji</w:t>
      </w:r>
      <w:r w:rsidR="00E66B89">
        <w:t xml:space="preserve"> w </w:t>
      </w:r>
      <w:r w:rsidRPr="00436D27">
        <w:t>dostępie do odpowiedniej jakości infrastruktury). Realizacja projektów umożliwi ograniczenie strat wody (modernizacja sieci oraz urządzeń</w:t>
      </w:r>
      <w:r w:rsidR="00E66B89">
        <w:t xml:space="preserve"> z </w:t>
      </w:r>
      <w:r w:rsidRPr="00436D27">
        <w:t>zakresu gospodarki wodnej),</w:t>
      </w:r>
      <w:r w:rsidR="00E66B89">
        <w:t xml:space="preserve"> a </w:t>
      </w:r>
      <w:r w:rsidRPr="00436D27">
        <w:t>przez to poprawę stanu jakości środowiska (efektywne gospodarowanie trudno odnawialnymi zasobami wody słodkiej).</w:t>
      </w:r>
      <w:r w:rsidR="00E66B89">
        <w:t xml:space="preserve"> W </w:t>
      </w:r>
      <w:r w:rsidRPr="00436D27">
        <w:t>wyniku realizacji projektu wzrośnie także efektywność gospodarowania siecią (stara infrastruktura to często pozarastane przekroje przepływu</w:t>
      </w:r>
      <w:r w:rsidR="00E66B89">
        <w:t xml:space="preserve"> i </w:t>
      </w:r>
      <w:r w:rsidRPr="00436D27">
        <w:t>niższa efektywność dystrybucji, większa zawodność). Przyjęte zasady wyboru projektów określały, iż możliwość realizacji projektów</w:t>
      </w:r>
      <w:r w:rsidR="00E66B89">
        <w:t xml:space="preserve"> z </w:t>
      </w:r>
      <w:r w:rsidRPr="00436D27">
        <w:t>zakresu wsparcia sieci wodociągowych była możliwa tylko</w:t>
      </w:r>
      <w:r w:rsidR="00E66B89">
        <w:t xml:space="preserve"> w </w:t>
      </w:r>
      <w:r w:rsidRPr="00436D27">
        <w:t xml:space="preserve">takich aglomeracjach, które uzyskają dostatecznie dobry stan gospodarki ściekowej. </w:t>
      </w:r>
    </w:p>
    <w:p w14:paraId="06AD4120" w14:textId="77777777" w:rsidR="009D215A" w:rsidRPr="00436D27" w:rsidRDefault="009D215A" w:rsidP="009D215A">
      <w:pPr>
        <w:pStyle w:val="evaluTresc"/>
      </w:pPr>
      <w:r w:rsidRPr="00436D27">
        <w:t>Wsparte projekty przyczyniają się do realizacji przyjętych celów Działania 3.6 (zwiększanie liczby ludności korzystającej</w:t>
      </w:r>
      <w:r w:rsidR="00E66B89">
        <w:t xml:space="preserve"> z </w:t>
      </w:r>
      <w:r w:rsidRPr="00436D27">
        <w:t>systemu oczyszczania ścieków zgodnego</w:t>
      </w:r>
      <w:r w:rsidR="00E66B89">
        <w:t xml:space="preserve"> z </w:t>
      </w:r>
      <w:r w:rsidRPr="00436D27">
        <w:t xml:space="preserve">wymogami unijnymi </w:t>
      </w:r>
      <w:r>
        <w:t xml:space="preserve">oraz </w:t>
      </w:r>
      <w:r w:rsidRPr="00436D27">
        <w:t>zmniejszeniu dysproporcji</w:t>
      </w:r>
      <w:r w:rsidR="00E66B89">
        <w:t xml:space="preserve"> w </w:t>
      </w:r>
      <w:r w:rsidRPr="00436D27">
        <w:t>dostępie do infrastruktury kanalizacyjnej). Realizacja projektów</w:t>
      </w:r>
      <w:r w:rsidR="00E66B89">
        <w:t xml:space="preserve"> w </w:t>
      </w:r>
      <w:r w:rsidRPr="00436D27">
        <w:t>ramach Działania 3.6 stopniowo przyczyniać się będzie do poprawy jakości wód powierzchniowych</w:t>
      </w:r>
      <w:r w:rsidR="00E66B89">
        <w:t xml:space="preserve"> i </w:t>
      </w:r>
      <w:r w:rsidRPr="00436D27">
        <w:t>podziemnych (poprzez zapobieganie odprowadzania zanieczyszczeń). Modernizacja infrastruktury zmniejsz</w:t>
      </w:r>
      <w:r>
        <w:t>y</w:t>
      </w:r>
      <w:r w:rsidRPr="00436D27">
        <w:t xml:space="preserve"> ryzyk</w:t>
      </w:r>
      <w:r>
        <w:t>o</w:t>
      </w:r>
      <w:r w:rsidRPr="00436D27">
        <w:t xml:space="preserve"> awarii, która mogłaby prowadzić do lokalnych zanieczyszczeń środowiska wodno-gruntowego.</w:t>
      </w:r>
    </w:p>
    <w:p w14:paraId="3FA8155C" w14:textId="77777777" w:rsidR="009D215A" w:rsidRPr="00404DA5" w:rsidRDefault="009D215A" w:rsidP="009D215A">
      <w:pPr>
        <w:rPr>
          <w:rFonts w:cs="Calibri"/>
          <w:szCs w:val="20"/>
        </w:rPr>
      </w:pPr>
      <w:r w:rsidRPr="00404DA5">
        <w:rPr>
          <w:rFonts w:cs="Calibri"/>
          <w:szCs w:val="20"/>
        </w:rPr>
        <w:t>Jak już oceniono</w:t>
      </w:r>
      <w:r w:rsidR="00E66B89">
        <w:rPr>
          <w:rFonts w:cs="Calibri"/>
          <w:szCs w:val="20"/>
        </w:rPr>
        <w:t xml:space="preserve"> w </w:t>
      </w:r>
      <w:r w:rsidRPr="00404DA5">
        <w:rPr>
          <w:rFonts w:cs="Calibri"/>
          <w:szCs w:val="20"/>
        </w:rPr>
        <w:t>podrozdziale dotyczącym postępów wdrażania, wsparcie</w:t>
      </w:r>
      <w:r w:rsidR="00E66B89">
        <w:rPr>
          <w:rFonts w:cs="Calibri"/>
          <w:szCs w:val="20"/>
        </w:rPr>
        <w:t xml:space="preserve"> w </w:t>
      </w:r>
      <w:r w:rsidRPr="00404DA5">
        <w:rPr>
          <w:rFonts w:cs="Calibri"/>
          <w:szCs w:val="20"/>
        </w:rPr>
        <w:t>ramach PI 6b cechuje wysoka logika interwencji</w:t>
      </w:r>
      <w:r w:rsidR="00E66B89">
        <w:rPr>
          <w:rFonts w:cs="Calibri"/>
          <w:szCs w:val="20"/>
        </w:rPr>
        <w:t xml:space="preserve"> i </w:t>
      </w:r>
      <w:r w:rsidRPr="00404DA5">
        <w:rPr>
          <w:rFonts w:cs="Calibri"/>
          <w:szCs w:val="20"/>
        </w:rPr>
        <w:t>nie można wskazać żadnych rekomendacji</w:t>
      </w:r>
      <w:r w:rsidR="00E66B89">
        <w:rPr>
          <w:rFonts w:cs="Calibri"/>
          <w:szCs w:val="20"/>
        </w:rPr>
        <w:t xml:space="preserve"> w </w:t>
      </w:r>
      <w:r w:rsidRPr="00404DA5">
        <w:rPr>
          <w:rFonts w:cs="Calibri"/>
          <w:szCs w:val="20"/>
        </w:rPr>
        <w:t>zakresie modyfikacji tego wsparcia. Planowany do wsparcia rodzaj interwencji jest trafny</w:t>
      </w:r>
      <w:r w:rsidR="00E66B89">
        <w:rPr>
          <w:rFonts w:cs="Calibri"/>
          <w:szCs w:val="20"/>
        </w:rPr>
        <w:t xml:space="preserve"> i </w:t>
      </w:r>
      <w:r w:rsidRPr="00404DA5">
        <w:rPr>
          <w:rFonts w:cs="Calibri"/>
          <w:szCs w:val="20"/>
        </w:rPr>
        <w:t>będzie</w:t>
      </w:r>
      <w:r w:rsidR="00E66B89">
        <w:rPr>
          <w:rFonts w:cs="Calibri"/>
          <w:szCs w:val="20"/>
        </w:rPr>
        <w:t xml:space="preserve"> w </w:t>
      </w:r>
      <w:r w:rsidRPr="00404DA5">
        <w:rPr>
          <w:rFonts w:cs="Calibri"/>
          <w:szCs w:val="20"/>
        </w:rPr>
        <w:t>sposób pozytywny oddziaływa</w:t>
      </w:r>
      <w:r>
        <w:rPr>
          <w:rFonts w:cs="Calibri"/>
          <w:szCs w:val="20"/>
        </w:rPr>
        <w:t>ł</w:t>
      </w:r>
      <w:r w:rsidRPr="00404DA5">
        <w:rPr>
          <w:rFonts w:cs="Calibri"/>
          <w:szCs w:val="20"/>
        </w:rPr>
        <w:t xml:space="preserve"> na zidentyfikowane wyzwania. </w:t>
      </w:r>
      <w:r>
        <w:rPr>
          <w:rFonts w:cs="Calibri"/>
          <w:szCs w:val="20"/>
        </w:rPr>
        <w:t>Zaleca</w:t>
      </w:r>
      <w:r w:rsidRPr="00404DA5">
        <w:rPr>
          <w:rFonts w:cs="Calibri"/>
          <w:szCs w:val="20"/>
        </w:rPr>
        <w:t xml:space="preserve"> się kontynuowanie wsparcia budowy</w:t>
      </w:r>
      <w:r w:rsidR="00E66B89">
        <w:rPr>
          <w:rFonts w:cs="Calibri"/>
          <w:szCs w:val="20"/>
        </w:rPr>
        <w:t xml:space="preserve"> i </w:t>
      </w:r>
      <w:r w:rsidRPr="00404DA5">
        <w:rPr>
          <w:rFonts w:cs="Calibri"/>
          <w:szCs w:val="20"/>
        </w:rPr>
        <w:t>modernizacji urządzeń</w:t>
      </w:r>
      <w:r>
        <w:rPr>
          <w:rFonts w:cs="Calibri"/>
          <w:szCs w:val="20"/>
        </w:rPr>
        <w:t xml:space="preserve"> </w:t>
      </w:r>
      <w:r w:rsidRPr="00404DA5">
        <w:rPr>
          <w:rFonts w:cs="Calibri"/>
          <w:szCs w:val="20"/>
        </w:rPr>
        <w:t>służących zaopatrzeniu</w:t>
      </w:r>
      <w:r w:rsidR="00E66B89">
        <w:rPr>
          <w:rFonts w:cs="Calibri"/>
          <w:szCs w:val="20"/>
        </w:rPr>
        <w:t xml:space="preserve"> w </w:t>
      </w:r>
      <w:r w:rsidRPr="00404DA5">
        <w:rPr>
          <w:rFonts w:cs="Calibri"/>
          <w:szCs w:val="20"/>
        </w:rPr>
        <w:t>wodę oraz przede wszystkim budowy</w:t>
      </w:r>
      <w:r w:rsidR="00E66B89">
        <w:rPr>
          <w:rFonts w:cs="Calibri"/>
          <w:szCs w:val="20"/>
        </w:rPr>
        <w:t xml:space="preserve"> i </w:t>
      </w:r>
      <w:r w:rsidRPr="00404DA5">
        <w:rPr>
          <w:rFonts w:cs="Calibri"/>
          <w:szCs w:val="20"/>
        </w:rPr>
        <w:t>modernizacj</w:t>
      </w:r>
      <w:r>
        <w:rPr>
          <w:rFonts w:cs="Calibri"/>
          <w:szCs w:val="20"/>
        </w:rPr>
        <w:t>i</w:t>
      </w:r>
      <w:r w:rsidRPr="00404DA5">
        <w:rPr>
          <w:rFonts w:cs="Calibri"/>
          <w:szCs w:val="20"/>
        </w:rPr>
        <w:t xml:space="preserve"> urządzeń służących oczyszczaniu ścieków (szczególnie dalszy rozwój infrastruktury sieciowej na obszarach wiejskich).</w:t>
      </w:r>
    </w:p>
    <w:p w14:paraId="2E482EC2"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Prognozy osiągnięcia celów zakładanych na 2023 rok</w:t>
      </w:r>
    </w:p>
    <w:p w14:paraId="22369521" w14:textId="77777777" w:rsidR="009D215A" w:rsidRPr="00404DA5" w:rsidRDefault="009D215A" w:rsidP="009D215A">
      <w:pPr>
        <w:rPr>
          <w:rFonts w:cs="Calibri"/>
          <w:szCs w:val="20"/>
        </w:rPr>
      </w:pPr>
      <w:r w:rsidRPr="00404DA5">
        <w:rPr>
          <w:rFonts w:cs="Calibri"/>
          <w:szCs w:val="20"/>
        </w:rPr>
        <w:t>W PI 6b jest dostępna alokacja</w:t>
      </w:r>
      <w:r w:rsidR="00E66B89">
        <w:rPr>
          <w:rFonts w:cs="Calibri"/>
          <w:szCs w:val="20"/>
        </w:rPr>
        <w:t xml:space="preserve"> w </w:t>
      </w:r>
      <w:r w:rsidRPr="00404DA5">
        <w:rPr>
          <w:rFonts w:cs="Calibri"/>
          <w:szCs w:val="20"/>
        </w:rPr>
        <w:t>wysokości 47 547 644,61 zł (kwota</w:t>
      </w:r>
      <w:r w:rsidR="00E66B89">
        <w:rPr>
          <w:rFonts w:cs="Calibri"/>
          <w:szCs w:val="20"/>
        </w:rPr>
        <w:t xml:space="preserve"> z </w:t>
      </w:r>
      <w:r w:rsidRPr="00404DA5">
        <w:rPr>
          <w:rFonts w:cs="Calibri"/>
          <w:szCs w:val="20"/>
        </w:rPr>
        <w:t>rezerwą wykonania).</w:t>
      </w:r>
      <w:r w:rsidR="00E66B89">
        <w:rPr>
          <w:rFonts w:cs="Calibri"/>
          <w:szCs w:val="20"/>
        </w:rPr>
        <w:t xml:space="preserve"> W </w:t>
      </w:r>
      <w:r w:rsidRPr="00404DA5">
        <w:rPr>
          <w:rFonts w:cs="Calibri"/>
          <w:szCs w:val="20"/>
        </w:rPr>
        <w:t>ocenie ewaluatora po zakontraktowaniu wszystkich uprawnionych projektów</w:t>
      </w:r>
      <w:r w:rsidR="00E66B89">
        <w:rPr>
          <w:rFonts w:cs="Calibri"/>
          <w:szCs w:val="20"/>
        </w:rPr>
        <w:t xml:space="preserve"> z </w:t>
      </w:r>
      <w:r w:rsidRPr="00404DA5">
        <w:rPr>
          <w:rFonts w:cs="Calibri"/>
          <w:szCs w:val="20"/>
        </w:rPr>
        <w:t>IV naboru</w:t>
      </w:r>
      <w:r w:rsidR="00E66B89">
        <w:rPr>
          <w:rFonts w:cs="Calibri"/>
          <w:szCs w:val="20"/>
        </w:rPr>
        <w:t xml:space="preserve"> w </w:t>
      </w:r>
      <w:r w:rsidRPr="00404DA5">
        <w:rPr>
          <w:rFonts w:cs="Calibri"/>
          <w:szCs w:val="20"/>
        </w:rPr>
        <w:t>ramach PI 6b (wnioskowana kwota wsparcia: 20 435 792,56 zł) pozostanie ok. 27,1 mln zł wraz</w:t>
      </w:r>
      <w:r w:rsidR="00E66B89">
        <w:rPr>
          <w:rFonts w:cs="Calibri"/>
          <w:szCs w:val="20"/>
        </w:rPr>
        <w:t xml:space="preserve"> z </w:t>
      </w:r>
      <w:r>
        <w:rPr>
          <w:rFonts w:cs="Calibri"/>
          <w:szCs w:val="20"/>
        </w:rPr>
        <w:t>rezerwą</w:t>
      </w:r>
      <w:r w:rsidRPr="00404DA5">
        <w:rPr>
          <w:rFonts w:cs="Calibri"/>
          <w:szCs w:val="20"/>
        </w:rPr>
        <w:t>. Zakładając, iż</w:t>
      </w:r>
      <w:r w:rsidR="00E66B89">
        <w:rPr>
          <w:rFonts w:cs="Calibri"/>
          <w:szCs w:val="20"/>
        </w:rPr>
        <w:t xml:space="preserve"> w </w:t>
      </w:r>
      <w:r w:rsidRPr="00404DA5">
        <w:rPr>
          <w:rFonts w:cs="Calibri"/>
          <w:szCs w:val="20"/>
        </w:rPr>
        <w:t>ramach V naboru wpłynie wystarczająca liczba projektów by móc zakontraktować całą alokację (1 mln euro) można szacować</w:t>
      </w:r>
      <w:r>
        <w:rPr>
          <w:rFonts w:cs="Calibri"/>
          <w:szCs w:val="20"/>
        </w:rPr>
        <w:t xml:space="preserve">, że </w:t>
      </w:r>
      <w:r w:rsidRPr="00404DA5">
        <w:rPr>
          <w:rFonts w:cs="Calibri"/>
          <w:szCs w:val="20"/>
        </w:rPr>
        <w:t>pozostał</w:t>
      </w:r>
      <w:r>
        <w:rPr>
          <w:rFonts w:cs="Calibri"/>
          <w:szCs w:val="20"/>
        </w:rPr>
        <w:t>a</w:t>
      </w:r>
      <w:r w:rsidRPr="00404DA5">
        <w:rPr>
          <w:rFonts w:cs="Calibri"/>
          <w:szCs w:val="20"/>
        </w:rPr>
        <w:t xml:space="preserve"> alokacja może wynieść ok. 22,8 mln zł.</w:t>
      </w:r>
    </w:p>
    <w:p w14:paraId="2303E5DC" w14:textId="77777777" w:rsidR="009D215A" w:rsidRPr="00404DA5" w:rsidRDefault="009D215A" w:rsidP="009D215A">
      <w:pPr>
        <w:rPr>
          <w:rFonts w:cs="Calibri"/>
          <w:szCs w:val="20"/>
        </w:rPr>
      </w:pPr>
      <w:r w:rsidRPr="00404DA5">
        <w:rPr>
          <w:rFonts w:cs="Calibri"/>
          <w:szCs w:val="20"/>
        </w:rPr>
        <w:t>Informacje nt. kosztów jednostkowych poszczególnych wskaźników zaprezentowano</w:t>
      </w:r>
      <w:r w:rsidR="00E66B89">
        <w:rPr>
          <w:rFonts w:cs="Calibri"/>
          <w:szCs w:val="20"/>
        </w:rPr>
        <w:t xml:space="preserve"> w </w:t>
      </w:r>
      <w:r w:rsidRPr="00404DA5">
        <w:rPr>
          <w:rFonts w:cs="Calibri"/>
          <w:szCs w:val="20"/>
        </w:rPr>
        <w:t>podrozdziale opisującym ocenę postępów realizacji PI.</w:t>
      </w:r>
      <w:r w:rsidR="00E66B89">
        <w:rPr>
          <w:rFonts w:cs="Calibri"/>
          <w:szCs w:val="20"/>
        </w:rPr>
        <w:t xml:space="preserve"> W </w:t>
      </w:r>
      <w:r w:rsidRPr="00404DA5">
        <w:rPr>
          <w:rFonts w:cs="Calibri"/>
          <w:szCs w:val="20"/>
        </w:rPr>
        <w:t xml:space="preserve">miejscu tym </w:t>
      </w:r>
      <w:r>
        <w:rPr>
          <w:rFonts w:cs="Calibri"/>
          <w:szCs w:val="20"/>
        </w:rPr>
        <w:t>e</w:t>
      </w:r>
      <w:r w:rsidRPr="00404DA5">
        <w:rPr>
          <w:rFonts w:cs="Calibri"/>
          <w:szCs w:val="20"/>
        </w:rPr>
        <w:t>waluator zamieścił stosowny komentarz do trafności przyjętych wartości kosztów jednostkowych.</w:t>
      </w:r>
    </w:p>
    <w:p w14:paraId="6795FEB6" w14:textId="77777777" w:rsidR="009D215A" w:rsidRPr="00404DA5" w:rsidRDefault="009D215A" w:rsidP="009D215A">
      <w:pPr>
        <w:rPr>
          <w:rFonts w:cs="Calibri"/>
          <w:szCs w:val="20"/>
        </w:rPr>
      </w:pPr>
      <w:r w:rsidRPr="00404DA5">
        <w:rPr>
          <w:rFonts w:cs="Calibri"/>
          <w:szCs w:val="20"/>
        </w:rPr>
        <w:t xml:space="preserve">Aktualny stan wdrażania RPO WZ nie zapewni </w:t>
      </w:r>
      <w:r>
        <w:rPr>
          <w:rFonts w:cs="Calibri"/>
          <w:szCs w:val="20"/>
        </w:rPr>
        <w:t>osiągnięcia</w:t>
      </w:r>
      <w:r w:rsidRPr="00404DA5">
        <w:rPr>
          <w:rFonts w:cs="Calibri"/>
          <w:szCs w:val="20"/>
        </w:rPr>
        <w:t xml:space="preserve"> wartości docelowej wskaźnika pn. </w:t>
      </w:r>
      <w:r w:rsidRPr="008B706B">
        <w:rPr>
          <w:rFonts w:cs="Calibri"/>
          <w:i/>
          <w:szCs w:val="20"/>
        </w:rPr>
        <w:t>Długość sieci kanalizacji sanitarnej</w:t>
      </w:r>
      <w:r w:rsidRPr="00404DA5">
        <w:rPr>
          <w:rFonts w:cs="Calibri"/>
          <w:szCs w:val="20"/>
        </w:rPr>
        <w:t xml:space="preserve">. Wszystkie pozostałe wskaźniki zostaną </w:t>
      </w:r>
      <w:r>
        <w:rPr>
          <w:rFonts w:cs="Calibri"/>
          <w:szCs w:val="20"/>
        </w:rPr>
        <w:t>osiągnięte</w:t>
      </w:r>
      <w:r w:rsidRPr="00404DA5">
        <w:rPr>
          <w:rFonts w:cs="Calibri"/>
          <w:szCs w:val="20"/>
        </w:rPr>
        <w:t xml:space="preserve"> (ponadto prognozuje się przekroczenie wartości docelowych).</w:t>
      </w:r>
      <w:r>
        <w:rPr>
          <w:rFonts w:cs="Calibri"/>
          <w:szCs w:val="20"/>
        </w:rPr>
        <w:t xml:space="preserve"> </w:t>
      </w:r>
    </w:p>
    <w:p w14:paraId="00598B80" w14:textId="77777777" w:rsidR="009D215A" w:rsidRPr="00404DA5" w:rsidRDefault="009D215A" w:rsidP="009D215A">
      <w:pPr>
        <w:rPr>
          <w:rFonts w:cs="Calibri"/>
          <w:szCs w:val="20"/>
        </w:rPr>
      </w:pPr>
      <w:r w:rsidRPr="00404DA5">
        <w:rPr>
          <w:rFonts w:cs="Calibri"/>
          <w:szCs w:val="20"/>
        </w:rPr>
        <w:t>Różnice pomiędzy wartościami prognozowanymi oraz osiągniętymi wynikają</w:t>
      </w:r>
      <w:r w:rsidR="00E66B89">
        <w:rPr>
          <w:rFonts w:cs="Calibri"/>
          <w:szCs w:val="20"/>
        </w:rPr>
        <w:t xml:space="preserve"> z </w:t>
      </w:r>
      <w:r w:rsidRPr="00404DA5">
        <w:rPr>
          <w:rFonts w:cs="Calibri"/>
          <w:szCs w:val="20"/>
        </w:rPr>
        <w:t>obiektywnych okoliczności (różnice</w:t>
      </w:r>
      <w:r w:rsidR="00E66B89">
        <w:rPr>
          <w:rFonts w:cs="Calibri"/>
          <w:szCs w:val="20"/>
        </w:rPr>
        <w:t xml:space="preserve"> w </w:t>
      </w:r>
      <w:r w:rsidRPr="00404DA5">
        <w:rPr>
          <w:rFonts w:cs="Calibri"/>
          <w:szCs w:val="20"/>
        </w:rPr>
        <w:t>przyjętych wartościach kosztów jednostkowych).</w:t>
      </w:r>
    </w:p>
    <w:p w14:paraId="064958E3" w14:textId="77777777" w:rsidR="009D215A" w:rsidRPr="00404DA5" w:rsidRDefault="009D215A" w:rsidP="009D215A">
      <w:pPr>
        <w:rPr>
          <w:rFonts w:cs="Calibri"/>
          <w:b/>
          <w:szCs w:val="20"/>
        </w:rPr>
      </w:pPr>
      <w:r w:rsidRPr="00404DA5">
        <w:rPr>
          <w:rFonts w:cs="Calibri"/>
          <w:b/>
          <w:szCs w:val="20"/>
        </w:rPr>
        <w:lastRenderedPageBreak/>
        <w:t xml:space="preserve">REKOMENDACJA: </w:t>
      </w:r>
      <w:r>
        <w:rPr>
          <w:rFonts w:cs="Calibri"/>
          <w:b/>
          <w:szCs w:val="20"/>
        </w:rPr>
        <w:t>O</w:t>
      </w:r>
      <w:r w:rsidRPr="00C22C26">
        <w:rPr>
          <w:rFonts w:cs="Calibri"/>
          <w:b/>
          <w:szCs w:val="20"/>
        </w:rPr>
        <w:t>cena zasadności zmiany docelowej wartości wskaźnika PI 6b po zakończonym naborze</w:t>
      </w:r>
      <w:r>
        <w:rPr>
          <w:rFonts w:cs="Calibri"/>
          <w:b/>
          <w:szCs w:val="20"/>
        </w:rPr>
        <w:t xml:space="preserve"> oraz</w:t>
      </w:r>
      <w:r w:rsidRPr="00C22C26">
        <w:rPr>
          <w:rFonts w:cs="Calibri"/>
          <w:b/>
          <w:szCs w:val="20"/>
        </w:rPr>
        <w:t xml:space="preserve"> </w:t>
      </w:r>
      <w:r w:rsidRPr="00404DA5">
        <w:rPr>
          <w:rFonts w:cs="Calibri"/>
          <w:b/>
          <w:szCs w:val="20"/>
        </w:rPr>
        <w:t>przygotowanie się do</w:t>
      </w:r>
      <w:r>
        <w:rPr>
          <w:rFonts w:cs="Calibri"/>
          <w:b/>
          <w:szCs w:val="20"/>
        </w:rPr>
        <w:t xml:space="preserve"> ewentualnej</w:t>
      </w:r>
      <w:r w:rsidRPr="00404DA5">
        <w:rPr>
          <w:rFonts w:cs="Calibri"/>
          <w:b/>
          <w:szCs w:val="20"/>
        </w:rPr>
        <w:t xml:space="preserve"> zmiany docelowej wartości wskaźnika PI 6b.</w:t>
      </w:r>
      <w:r w:rsidR="00E66B89">
        <w:rPr>
          <w:rFonts w:cs="Calibri"/>
          <w:b/>
          <w:szCs w:val="20"/>
        </w:rPr>
        <w:t xml:space="preserve"> W </w:t>
      </w:r>
      <w:r w:rsidRPr="00404DA5">
        <w:rPr>
          <w:rFonts w:cs="Calibri"/>
          <w:b/>
          <w:szCs w:val="20"/>
        </w:rPr>
        <w:t xml:space="preserve">przypadku, gdyby po </w:t>
      </w:r>
      <w:r>
        <w:rPr>
          <w:rFonts w:cs="Calibri"/>
          <w:b/>
          <w:szCs w:val="20"/>
        </w:rPr>
        <w:t>V</w:t>
      </w:r>
      <w:r w:rsidRPr="00404DA5">
        <w:rPr>
          <w:rFonts w:cs="Calibri"/>
          <w:b/>
          <w:szCs w:val="20"/>
        </w:rPr>
        <w:t xml:space="preserve"> naborze wniosków nie udało się osiągnąć założonej wartości docelowej, rekomenduje się podjęcie rozmów</w:t>
      </w:r>
      <w:r w:rsidR="00E66B89">
        <w:rPr>
          <w:rFonts w:cs="Calibri"/>
          <w:b/>
          <w:szCs w:val="20"/>
        </w:rPr>
        <w:t xml:space="preserve"> z </w:t>
      </w:r>
      <w:r w:rsidRPr="00404DA5">
        <w:rPr>
          <w:rFonts w:cs="Calibri"/>
          <w:b/>
          <w:szCs w:val="20"/>
        </w:rPr>
        <w:t xml:space="preserve">KE celem zmiany docelowej wartości wskaźnika: </w:t>
      </w:r>
      <w:r w:rsidRPr="008B706B">
        <w:rPr>
          <w:rFonts w:cs="Calibri"/>
          <w:b/>
          <w:i/>
          <w:szCs w:val="20"/>
        </w:rPr>
        <w:t>Długość kanalizacji sanitarnej</w:t>
      </w:r>
      <w:r w:rsidRPr="00404DA5">
        <w:rPr>
          <w:rFonts w:cs="Calibri"/>
          <w:b/>
          <w:szCs w:val="20"/>
        </w:rPr>
        <w:t xml:space="preserve"> do wartości </w:t>
      </w:r>
      <w:r>
        <w:rPr>
          <w:rFonts w:cs="Calibri"/>
          <w:b/>
          <w:szCs w:val="20"/>
        </w:rPr>
        <w:t>wynikającej</w:t>
      </w:r>
      <w:r w:rsidR="00E66B89">
        <w:rPr>
          <w:rFonts w:cs="Calibri"/>
          <w:b/>
          <w:szCs w:val="20"/>
        </w:rPr>
        <w:t xml:space="preserve"> z </w:t>
      </w:r>
      <w:r w:rsidRPr="00404DA5">
        <w:rPr>
          <w:rFonts w:cs="Calibri"/>
          <w:b/>
          <w:szCs w:val="20"/>
        </w:rPr>
        <w:t>rozstrzygnięć</w:t>
      </w:r>
      <w:r>
        <w:rPr>
          <w:rFonts w:cs="Calibri"/>
          <w:b/>
          <w:szCs w:val="20"/>
        </w:rPr>
        <w:t>,</w:t>
      </w:r>
      <w:r w:rsidRPr="00404DA5">
        <w:rPr>
          <w:rFonts w:cs="Calibri"/>
          <w:b/>
          <w:szCs w:val="20"/>
        </w:rPr>
        <w:t xml:space="preserve"> jakie zapadną po zakończeniu oceny złożonych </w:t>
      </w:r>
      <w:r>
        <w:rPr>
          <w:rFonts w:cs="Calibri"/>
          <w:b/>
          <w:szCs w:val="20"/>
        </w:rPr>
        <w:t>WoD</w:t>
      </w:r>
      <w:r w:rsidRPr="00404DA5">
        <w:rPr>
          <w:rFonts w:cs="Calibri"/>
          <w:b/>
          <w:szCs w:val="20"/>
        </w:rPr>
        <w:t>.</w:t>
      </w:r>
    </w:p>
    <w:p w14:paraId="46E3B676" w14:textId="77777777" w:rsidR="009D215A" w:rsidRPr="00436D27" w:rsidRDefault="009D215A" w:rsidP="009D215A">
      <w:pPr>
        <w:rPr>
          <w:szCs w:val="20"/>
        </w:rPr>
      </w:pPr>
      <w:r w:rsidRPr="00436D27">
        <w:rPr>
          <w:szCs w:val="20"/>
        </w:rPr>
        <w:t>Dobór wskaźników</w:t>
      </w:r>
      <w:r w:rsidR="00E66B89">
        <w:rPr>
          <w:szCs w:val="20"/>
        </w:rPr>
        <w:t xml:space="preserve"> w </w:t>
      </w:r>
      <w:r w:rsidRPr="00436D27">
        <w:rPr>
          <w:szCs w:val="20"/>
        </w:rPr>
        <w:t>ramach PI 6b uznać należy za trafny. Wprost wpisują się one</w:t>
      </w:r>
      <w:r w:rsidR="00E66B89">
        <w:rPr>
          <w:szCs w:val="20"/>
        </w:rPr>
        <w:t xml:space="preserve"> w </w:t>
      </w:r>
      <w:r w:rsidRPr="00436D27">
        <w:rPr>
          <w:szCs w:val="20"/>
        </w:rPr>
        <w:t>zamierzone do realizacji cele. Ponadto dobrze reprezentują efekty, jaki</w:t>
      </w:r>
      <w:r>
        <w:rPr>
          <w:szCs w:val="20"/>
        </w:rPr>
        <w:t>e</w:t>
      </w:r>
      <w:r w:rsidRPr="00436D27">
        <w:rPr>
          <w:szCs w:val="20"/>
        </w:rPr>
        <w:t xml:space="preserve"> są osiągane dzięki wspieraniu projektów. 80% beneficjentów Działania 3.5 stwierdziło, iż</w:t>
      </w:r>
      <w:r>
        <w:rPr>
          <w:szCs w:val="20"/>
        </w:rPr>
        <w:t xml:space="preserve"> </w:t>
      </w:r>
      <w:r w:rsidRPr="00436D27">
        <w:rPr>
          <w:szCs w:val="20"/>
        </w:rPr>
        <w:t>wskaźniki RPO trafnie mierzą efekty (tj. odnoszą się do rzeczywistych efektów projektu).</w:t>
      </w:r>
      <w:r w:rsidR="00E66B89">
        <w:rPr>
          <w:szCs w:val="20"/>
        </w:rPr>
        <w:t xml:space="preserve"> W </w:t>
      </w:r>
      <w:r w:rsidRPr="00436D27">
        <w:rPr>
          <w:szCs w:val="20"/>
        </w:rPr>
        <w:t>Działaniu 3.6</w:t>
      </w:r>
      <w:r w:rsidR="00E66B89">
        <w:rPr>
          <w:szCs w:val="20"/>
        </w:rPr>
        <w:t xml:space="preserve"> z </w:t>
      </w:r>
      <w:r w:rsidRPr="00436D27">
        <w:rPr>
          <w:szCs w:val="20"/>
        </w:rPr>
        <w:t>tym stwierdzeniem zgodzili się wszyscy ankietowani.</w:t>
      </w:r>
    </w:p>
    <w:p w14:paraId="28DBA558" w14:textId="77777777" w:rsidR="009D215A" w:rsidRPr="00436D27" w:rsidRDefault="009D215A" w:rsidP="009D215A">
      <w:pPr>
        <w:rPr>
          <w:szCs w:val="20"/>
        </w:rPr>
      </w:pPr>
      <w:r w:rsidRPr="00436D27">
        <w:rPr>
          <w:szCs w:val="20"/>
        </w:rPr>
        <w:t>Co istotne, żaden</w:t>
      </w:r>
      <w:r w:rsidR="00E66B89">
        <w:rPr>
          <w:szCs w:val="20"/>
        </w:rPr>
        <w:t xml:space="preserve"> z </w:t>
      </w:r>
      <w:r w:rsidRPr="00436D27">
        <w:rPr>
          <w:szCs w:val="20"/>
        </w:rPr>
        <w:t>beneficjentów nie wskazał</w:t>
      </w:r>
      <w:r w:rsidR="00E66B89">
        <w:rPr>
          <w:szCs w:val="20"/>
        </w:rPr>
        <w:t xml:space="preserve"> w </w:t>
      </w:r>
      <w:r w:rsidRPr="00436D27">
        <w:rPr>
          <w:szCs w:val="20"/>
        </w:rPr>
        <w:t>badaniu ilościowym, iż spodziewa się wystąpienia trudności</w:t>
      </w:r>
      <w:r w:rsidR="00E66B89">
        <w:rPr>
          <w:szCs w:val="20"/>
        </w:rPr>
        <w:t xml:space="preserve"> w </w:t>
      </w:r>
      <w:r w:rsidRPr="00436D27">
        <w:rPr>
          <w:szCs w:val="20"/>
        </w:rPr>
        <w:t>osiągnięciu założonych wartości wskaźników.</w:t>
      </w:r>
    </w:p>
    <w:p w14:paraId="0D62F7D0" w14:textId="77777777" w:rsidR="009D215A" w:rsidRPr="00436D27" w:rsidRDefault="009D215A" w:rsidP="009D215A">
      <w:pPr>
        <w:pStyle w:val="evaluTresc"/>
      </w:pPr>
      <w:r w:rsidRPr="00436D27">
        <w:t xml:space="preserve">Dla wskaźnika pn. </w:t>
      </w:r>
      <w:r w:rsidRPr="00436D27">
        <w:rPr>
          <w:i/>
        </w:rPr>
        <w:t>Długość sieci wodociągowej</w:t>
      </w:r>
      <w:r w:rsidRPr="00436D27">
        <w:t xml:space="preserve"> prognozuje się osiągnięcie docelowej wartości</w:t>
      </w:r>
      <w:r w:rsidR="00E66B89">
        <w:t xml:space="preserve"> w </w:t>
      </w:r>
      <w:r w:rsidRPr="00436D27">
        <w:t>wysokości 32,77 km (jest to wartość</w:t>
      </w:r>
      <w:r>
        <w:t>,</w:t>
      </w:r>
      <w:r w:rsidRPr="00436D27">
        <w:t xml:space="preserve"> jaka wynika</w:t>
      </w:r>
      <w:r w:rsidR="00E66B89">
        <w:t xml:space="preserve"> z </w:t>
      </w:r>
      <w:r w:rsidRPr="00436D27">
        <w:t>zawartych dotychczas UoD, nie planuje się kolejnych naborów</w:t>
      </w:r>
      <w:r w:rsidR="00E66B89">
        <w:t xml:space="preserve"> w </w:t>
      </w:r>
      <w:r w:rsidRPr="00436D27">
        <w:t>Działaniu 3.5).</w:t>
      </w:r>
    </w:p>
    <w:p w14:paraId="28C9AE0C" w14:textId="77777777" w:rsidR="009D215A" w:rsidRPr="00436D27" w:rsidRDefault="009D215A" w:rsidP="009D215A">
      <w:pPr>
        <w:pStyle w:val="evaluTresc"/>
      </w:pPr>
      <w:r w:rsidRPr="00436D27">
        <w:t xml:space="preserve">Dla wskaźnika pn. </w:t>
      </w:r>
      <w:r w:rsidRPr="00436D27">
        <w:rPr>
          <w:i/>
        </w:rPr>
        <w:t>Liczba dodatkowych osób korzystających</w:t>
      </w:r>
      <w:r w:rsidR="00E66B89">
        <w:rPr>
          <w:i/>
        </w:rPr>
        <w:t xml:space="preserve"> z </w:t>
      </w:r>
      <w:r w:rsidRPr="00436D27">
        <w:rPr>
          <w:i/>
        </w:rPr>
        <w:t>ulepszonego zaopatrzenia</w:t>
      </w:r>
      <w:r w:rsidR="00E66B89">
        <w:rPr>
          <w:i/>
        </w:rPr>
        <w:t xml:space="preserve"> w </w:t>
      </w:r>
      <w:r w:rsidRPr="00436D27">
        <w:rPr>
          <w:i/>
        </w:rPr>
        <w:t>wodę</w:t>
      </w:r>
      <w:r w:rsidRPr="00436D27">
        <w:t xml:space="preserve"> prognozuje się osiągnięcie docelowej wartości</w:t>
      </w:r>
      <w:r w:rsidR="00E66B89">
        <w:t xml:space="preserve"> w </w:t>
      </w:r>
      <w:r w:rsidRPr="00436D27">
        <w:t>wysokości 22 246 osób (jest to wartość</w:t>
      </w:r>
      <w:r>
        <w:t>,</w:t>
      </w:r>
      <w:r w:rsidRPr="00436D27">
        <w:t xml:space="preserve"> jaka wynika</w:t>
      </w:r>
      <w:r w:rsidR="00E66B89">
        <w:t xml:space="preserve"> z </w:t>
      </w:r>
      <w:r w:rsidRPr="00436D27">
        <w:t>zawartych dotychczas UoD, nie planuje się kolejnych naborów</w:t>
      </w:r>
      <w:r w:rsidR="00E66B89">
        <w:t xml:space="preserve"> w </w:t>
      </w:r>
      <w:r w:rsidRPr="00436D27">
        <w:t>Działaniu 3.5).</w:t>
      </w:r>
    </w:p>
    <w:p w14:paraId="5C26C0C6" w14:textId="77777777" w:rsidR="009D215A" w:rsidRPr="00436D27" w:rsidRDefault="009D215A" w:rsidP="009D215A">
      <w:pPr>
        <w:pStyle w:val="evaluTresc"/>
      </w:pPr>
      <w:r w:rsidRPr="00436D27">
        <w:t>Według stanu</w:t>
      </w:r>
      <w:r w:rsidR="00E66B89">
        <w:t xml:space="preserve"> z </w:t>
      </w:r>
      <w:r w:rsidRPr="00436D27">
        <w:t xml:space="preserve">07.01.2019 roku wartość docelowa wskaźnika </w:t>
      </w:r>
      <w:r w:rsidRPr="00436D27">
        <w:rPr>
          <w:rFonts w:cs="Calibri"/>
          <w:i/>
        </w:rPr>
        <w:t>Liczba wspartych oczyszczalni ścieków komunalnych</w:t>
      </w:r>
      <w:r w:rsidRPr="00436D27">
        <w:t xml:space="preserve"> zakładana</w:t>
      </w:r>
      <w:r w:rsidR="00E66B89">
        <w:t xml:space="preserve"> w </w:t>
      </w:r>
      <w:r w:rsidRPr="00436D27">
        <w:t>projektach mających podpisaną UoD wynosi 5 szt.</w:t>
      </w:r>
      <w:r w:rsidR="00E66B89">
        <w:t xml:space="preserve"> W </w:t>
      </w:r>
      <w:r w:rsidRPr="00436D27">
        <w:t>ocenie ewaluatora wartość ta zostanie jednak jeszcze bardziej przekroczona.</w:t>
      </w:r>
      <w:r w:rsidR="00E66B89">
        <w:t xml:space="preserve"> W </w:t>
      </w:r>
      <w:r w:rsidRPr="00436D27">
        <w:t>ramach IV naboru WoD</w:t>
      </w:r>
      <w:r w:rsidR="00E66B89">
        <w:t xml:space="preserve"> w </w:t>
      </w:r>
      <w:r w:rsidRPr="00436D27">
        <w:t>Działaniu 3.6 (który trwał od 02.07.2018 do 31.08.2018) lista projektów ocenionych</w:t>
      </w:r>
      <w:r w:rsidR="00E66B89">
        <w:t xml:space="preserve"> i </w:t>
      </w:r>
      <w:r w:rsidRPr="00436D27">
        <w:t>wybranych do dofinansowania została ogłoszona 27.12.2018 r.</w:t>
      </w:r>
      <w:r w:rsidR="00E66B89">
        <w:t xml:space="preserve"> Z </w:t>
      </w:r>
      <w:r w:rsidRPr="00436D27">
        <w:t>analizy tych materiałów wynika, iż wsparcie otrzyma 7 projektów / oczyszczalni ścieków (w zakresie budowy, przebudowy, modernizacji). Powyższe pozwala przypuszczać, iż docelowa wartość wskaźnika może wynieść 12 sztuk wspartych oczyszczalni</w:t>
      </w:r>
      <w:r w:rsidRPr="00436D27">
        <w:rPr>
          <w:rFonts w:cs="Calibri"/>
        </w:rPr>
        <w:t xml:space="preserve">. </w:t>
      </w:r>
      <w:r w:rsidRPr="00436D27">
        <w:t xml:space="preserve">Ponadto </w:t>
      </w:r>
      <w:r>
        <w:t>od</w:t>
      </w:r>
      <w:r w:rsidRPr="00436D27">
        <w:t xml:space="preserve"> 28 marca 2019 r.</w:t>
      </w:r>
      <w:r>
        <w:t xml:space="preserve"> </w:t>
      </w:r>
      <w:r w:rsidRPr="00436D27">
        <w:t>rozpoczę</w:t>
      </w:r>
      <w:r>
        <w:t>to</w:t>
      </w:r>
      <w:r w:rsidRPr="00436D27">
        <w:t xml:space="preserve"> V nab</w:t>
      </w:r>
      <w:r>
        <w:t>ó</w:t>
      </w:r>
      <w:r w:rsidRPr="00436D27">
        <w:t>r WoD (termin zamknięcia naboru 29 kwietnia 2019). Wspierany będzie 1</w:t>
      </w:r>
      <w:r w:rsidR="00E66B89">
        <w:t xml:space="preserve"> i </w:t>
      </w:r>
      <w:r w:rsidRPr="00436D27">
        <w:t>3 typ projektów (alokacja EFRR 1 mln EUR). Zatem</w:t>
      </w:r>
      <w:r w:rsidR="00E66B89">
        <w:t xml:space="preserve"> w </w:t>
      </w:r>
      <w:r w:rsidRPr="00436D27">
        <w:t>ramach tego naboru możliwa będzie realizacja jeszcze jednego (oprócz zaprognozowanych 12) dodatkowego projektu</w:t>
      </w:r>
      <w:r w:rsidR="00E66B89">
        <w:t xml:space="preserve"> z </w:t>
      </w:r>
      <w:r w:rsidRPr="00436D27">
        <w:t xml:space="preserve">zakresu oczyszczalni ścieków. </w:t>
      </w:r>
    </w:p>
    <w:p w14:paraId="55BE5188" w14:textId="77777777" w:rsidR="009D215A" w:rsidRDefault="009D215A" w:rsidP="009D215A">
      <w:pPr>
        <w:pStyle w:val="evaluTresc"/>
      </w:pPr>
      <w:r w:rsidRPr="00436D27">
        <w:t xml:space="preserve">Dla wskaźnika pn. </w:t>
      </w:r>
      <w:r w:rsidRPr="00436D27">
        <w:rPr>
          <w:i/>
        </w:rPr>
        <w:t>Długość sieci kanalizacji sanitarnej</w:t>
      </w:r>
      <w:r w:rsidRPr="00436D27">
        <w:t xml:space="preserve"> prognozuje się osiągnięcie docelowej wartości</w:t>
      </w:r>
      <w:r w:rsidR="00E66B89">
        <w:t xml:space="preserve"> w </w:t>
      </w:r>
      <w:r w:rsidRPr="00436D27">
        <w:t xml:space="preserve">wysokości 45,28 km, zaś dla wskaźnika pn. </w:t>
      </w:r>
      <w:r w:rsidRPr="00436D27">
        <w:rPr>
          <w:i/>
        </w:rPr>
        <w:t>Liczba dodatkowych osób korzystających</w:t>
      </w:r>
      <w:r w:rsidR="00E66B89">
        <w:rPr>
          <w:i/>
        </w:rPr>
        <w:t xml:space="preserve"> z </w:t>
      </w:r>
      <w:r w:rsidRPr="00436D27">
        <w:rPr>
          <w:i/>
        </w:rPr>
        <w:t>ulepszonego oczyszczania ścieków</w:t>
      </w:r>
      <w:r w:rsidR="00E66B89">
        <w:t xml:space="preserve"> w </w:t>
      </w:r>
      <w:r w:rsidRPr="00436D27">
        <w:t>wysokości 20 635 RLM (jest to wartość jaka wynika</w:t>
      </w:r>
      <w:r w:rsidR="00E66B89">
        <w:t xml:space="preserve"> z </w:t>
      </w:r>
      <w:r w:rsidRPr="00436D27">
        <w:t>zawartych dotychczas UoD</w:t>
      </w:r>
      <w:r>
        <w:t>).</w:t>
      </w:r>
      <w:r w:rsidR="00E66B89">
        <w:t xml:space="preserve"> Z </w:t>
      </w:r>
      <w:r>
        <w:t xml:space="preserve">uwagi na </w:t>
      </w:r>
      <w:r w:rsidRPr="00436D27">
        <w:t xml:space="preserve">brak informacji nt. </w:t>
      </w:r>
      <w:r>
        <w:t xml:space="preserve">efektów projektów </w:t>
      </w:r>
      <w:r w:rsidRPr="00436D27">
        <w:t>wnioskodawców</w:t>
      </w:r>
      <w:r w:rsidR="00E66B89">
        <w:t xml:space="preserve"> z </w:t>
      </w:r>
      <w:r w:rsidRPr="00436D27">
        <w:t>IV naboru</w:t>
      </w:r>
      <w:r w:rsidR="00E66B89">
        <w:t xml:space="preserve"> w </w:t>
      </w:r>
      <w:r w:rsidRPr="00436D27">
        <w:t>Działaniu 3.6</w:t>
      </w:r>
      <w:r>
        <w:t>,</w:t>
      </w:r>
      <w:r w:rsidRPr="00436D27">
        <w:t xml:space="preserve"> prognozowani</w:t>
      </w:r>
      <w:r>
        <w:t>e</w:t>
      </w:r>
      <w:r w:rsidRPr="00436D27">
        <w:t xml:space="preserve"> </w:t>
      </w:r>
      <w:r>
        <w:t>osiągnięcia</w:t>
      </w:r>
      <w:r w:rsidRPr="00436D27">
        <w:t xml:space="preserve"> wartości </w:t>
      </w:r>
      <w:r>
        <w:t>docelowej wskaźników jest utrudnione</w:t>
      </w:r>
      <w:r w:rsidRPr="00436D27">
        <w:t>. Jak pokazuje analiza zakresów oraz wartości projektów złożonych</w:t>
      </w:r>
      <w:r w:rsidR="00E66B89">
        <w:t xml:space="preserve"> w </w:t>
      </w:r>
      <w:r w:rsidRPr="00436D27">
        <w:t>ramach tego naboru</w:t>
      </w:r>
      <w:r>
        <w:t>,</w:t>
      </w:r>
      <w:r w:rsidRPr="00436D27">
        <w:t xml:space="preserve"> prognozowanie wartości docelowych na podstawie dotychczas ustalonych kosztów jednostkowych prowadziłoby do błędnych wniosków. </w:t>
      </w:r>
    </w:p>
    <w:p w14:paraId="014AB3F0" w14:textId="77777777" w:rsidR="009D215A" w:rsidRPr="00436D27" w:rsidRDefault="009D215A" w:rsidP="009D215A">
      <w:pPr>
        <w:pStyle w:val="evaluTresc"/>
      </w:pPr>
      <w:r w:rsidRPr="00436D27">
        <w:t xml:space="preserve">W ramach </w:t>
      </w:r>
      <w:r>
        <w:t xml:space="preserve">czwartego </w:t>
      </w:r>
      <w:r w:rsidRPr="00436D27">
        <w:t>naboru beneficjenci składali projekty dotyczące:</w:t>
      </w:r>
    </w:p>
    <w:p w14:paraId="29E5B663" w14:textId="77777777" w:rsidR="009D215A" w:rsidRPr="00436D27" w:rsidRDefault="009D215A" w:rsidP="00093E14">
      <w:pPr>
        <w:pStyle w:val="evaluTresc"/>
        <w:numPr>
          <w:ilvl w:val="0"/>
          <w:numId w:val="60"/>
        </w:numPr>
      </w:pPr>
      <w:r w:rsidRPr="00436D27">
        <w:t>rozbudowy</w:t>
      </w:r>
      <w:r w:rsidR="00E66B89">
        <w:t xml:space="preserve"> i </w:t>
      </w:r>
      <w:r w:rsidRPr="00436D27">
        <w:t>przebudowy oczyszczalni ścieków - wnioskowana kwota wsparcia ok. 3,6 mln zł,</w:t>
      </w:r>
    </w:p>
    <w:p w14:paraId="6C92B048" w14:textId="77777777" w:rsidR="009D215A" w:rsidRPr="00436D27" w:rsidRDefault="009D215A" w:rsidP="00093E14">
      <w:pPr>
        <w:pStyle w:val="evaluTresc"/>
        <w:numPr>
          <w:ilvl w:val="0"/>
          <w:numId w:val="60"/>
        </w:numPr>
      </w:pPr>
      <w:r w:rsidRPr="00436D27">
        <w:t>przebudowy oczyszczalni ścieków oraz budowy kanalizacji sanitarnej (z przepompownią ścieków) - wnioskowana kwota wsparcia ok. 3,6 mln zł,</w:t>
      </w:r>
    </w:p>
    <w:p w14:paraId="5281A7F6" w14:textId="77777777" w:rsidR="009D215A" w:rsidRPr="00436D27" w:rsidRDefault="009D215A" w:rsidP="00093E14">
      <w:pPr>
        <w:pStyle w:val="evaluTresc"/>
        <w:numPr>
          <w:ilvl w:val="0"/>
          <w:numId w:val="60"/>
        </w:numPr>
      </w:pPr>
      <w:r w:rsidRPr="00436D27">
        <w:t>budow</w:t>
      </w:r>
      <w:r>
        <w:t>y</w:t>
      </w:r>
      <w:r w:rsidRPr="00436D27">
        <w:t xml:space="preserve"> oczyszczalni ścieków - wnioskowana kwota wsparcia ok. 3,6 mln zł,</w:t>
      </w:r>
    </w:p>
    <w:p w14:paraId="53157CE1" w14:textId="77777777" w:rsidR="009D215A" w:rsidRPr="00436D27" w:rsidRDefault="009D215A" w:rsidP="00093E14">
      <w:pPr>
        <w:pStyle w:val="evaluTresc"/>
        <w:numPr>
          <w:ilvl w:val="0"/>
          <w:numId w:val="60"/>
        </w:numPr>
      </w:pPr>
      <w:r w:rsidRPr="00436D27">
        <w:t>rozbudow</w:t>
      </w:r>
      <w:r>
        <w:t>y</w:t>
      </w:r>
      <w:r w:rsidR="00E66B89">
        <w:t xml:space="preserve"> i </w:t>
      </w:r>
      <w:r w:rsidRPr="00436D27">
        <w:t>modernizacj</w:t>
      </w:r>
      <w:r>
        <w:t>i</w:t>
      </w:r>
      <w:r w:rsidRPr="00436D27">
        <w:t xml:space="preserve"> oczyszczalni ścieków - wnioskowana kwota wsparcia ok. 3,4 mln zł,</w:t>
      </w:r>
    </w:p>
    <w:p w14:paraId="7A64AEE2" w14:textId="77777777" w:rsidR="009D215A" w:rsidRPr="00436D27" w:rsidRDefault="009D215A" w:rsidP="00093E14">
      <w:pPr>
        <w:pStyle w:val="evaluTresc"/>
        <w:numPr>
          <w:ilvl w:val="0"/>
          <w:numId w:val="60"/>
        </w:numPr>
      </w:pPr>
      <w:r w:rsidRPr="00436D27">
        <w:lastRenderedPageBreak/>
        <w:t>przebudow</w:t>
      </w:r>
      <w:r>
        <w:t>y</w:t>
      </w:r>
      <w:r w:rsidRPr="00436D27">
        <w:t xml:space="preserve"> istniejącej oczyszczalni ścieków oraz sieci odprowadzającej - wnioskowana kwota wsparcia ok. 0,9 mln zł,</w:t>
      </w:r>
    </w:p>
    <w:p w14:paraId="03960A91" w14:textId="77777777" w:rsidR="009D215A" w:rsidRPr="00436D27" w:rsidRDefault="009D215A" w:rsidP="00093E14">
      <w:pPr>
        <w:pStyle w:val="evaluTresc"/>
        <w:numPr>
          <w:ilvl w:val="0"/>
          <w:numId w:val="60"/>
        </w:numPr>
      </w:pPr>
      <w:r w:rsidRPr="00436D27">
        <w:t>budow</w:t>
      </w:r>
      <w:r>
        <w:t>y</w:t>
      </w:r>
      <w:r w:rsidRPr="00436D27">
        <w:t xml:space="preserve"> kanalizacji sanitarnej - wnioskowana kwota wsparcia ok. 1,5 mln zł,</w:t>
      </w:r>
    </w:p>
    <w:p w14:paraId="2E2016E5" w14:textId="77777777" w:rsidR="009D215A" w:rsidRPr="00436D27" w:rsidRDefault="009D215A" w:rsidP="00093E14">
      <w:pPr>
        <w:pStyle w:val="evaluTresc"/>
        <w:numPr>
          <w:ilvl w:val="0"/>
          <w:numId w:val="60"/>
        </w:numPr>
      </w:pPr>
      <w:r>
        <w:t>b</w:t>
      </w:r>
      <w:r w:rsidRPr="00436D27">
        <w:t>udow</w:t>
      </w:r>
      <w:r>
        <w:t>y</w:t>
      </w:r>
      <w:r w:rsidRPr="00436D27">
        <w:t xml:space="preserve"> sieci kanalizacji sanitarnej oraz tłocznej wraz</w:t>
      </w:r>
      <w:r w:rsidR="00E66B89">
        <w:t xml:space="preserve"> z </w:t>
      </w:r>
      <w:r w:rsidRPr="00436D27">
        <w:t>tłocznią ścieków oraz oczyszczalnią ścieków</w:t>
      </w:r>
      <w:r>
        <w:t xml:space="preserve"> </w:t>
      </w:r>
      <w:r w:rsidRPr="00436D27">
        <w:t>- wnioskowana kwota wsparcia ok. 0,9 mln zł,</w:t>
      </w:r>
    </w:p>
    <w:p w14:paraId="201B2E34" w14:textId="77777777" w:rsidR="009D215A" w:rsidRPr="00436D27" w:rsidRDefault="009D215A" w:rsidP="00093E14">
      <w:pPr>
        <w:pStyle w:val="evaluTresc"/>
        <w:numPr>
          <w:ilvl w:val="0"/>
          <w:numId w:val="60"/>
        </w:numPr>
      </w:pPr>
      <w:r>
        <w:t>b</w:t>
      </w:r>
      <w:r w:rsidRPr="00436D27">
        <w:t>udow</w:t>
      </w:r>
      <w:r>
        <w:t>y</w:t>
      </w:r>
      <w:r w:rsidRPr="00436D27">
        <w:t xml:space="preserve"> kanalizacji wraz</w:t>
      </w:r>
      <w:r w:rsidR="00E66B89">
        <w:t xml:space="preserve"> z </w:t>
      </w:r>
      <w:r w:rsidRPr="00436D27">
        <w:t>oczyszczalnią ścieków</w:t>
      </w:r>
      <w:r w:rsidR="00E66B89">
        <w:t xml:space="preserve"> i </w:t>
      </w:r>
      <w:r w:rsidRPr="00436D27">
        <w:t>przepompowniami - wnioskowana kwota wsparcia ok. 0,7 mln zł,</w:t>
      </w:r>
    </w:p>
    <w:p w14:paraId="4DC840A7" w14:textId="77777777" w:rsidR="009D215A" w:rsidRPr="00436D27" w:rsidRDefault="009D215A" w:rsidP="00093E14">
      <w:pPr>
        <w:pStyle w:val="evaluTresc"/>
        <w:numPr>
          <w:ilvl w:val="0"/>
          <w:numId w:val="60"/>
        </w:numPr>
      </w:pPr>
      <w:r>
        <w:t>b</w:t>
      </w:r>
      <w:r w:rsidRPr="00436D27">
        <w:t>udow</w:t>
      </w:r>
      <w:r>
        <w:t>y</w:t>
      </w:r>
      <w:r w:rsidRPr="00436D27">
        <w:t xml:space="preserve"> kanalizacji sanitarnej - wnioskowana kwota wsparcia ok. 2,4 mln zł</w:t>
      </w:r>
      <w:r w:rsidR="001A41AF">
        <w:t>.</w:t>
      </w:r>
    </w:p>
    <w:p w14:paraId="1665369D" w14:textId="77777777" w:rsidR="009D215A" w:rsidRDefault="009D215A" w:rsidP="009D215A">
      <w:pPr>
        <w:pStyle w:val="evaluTresc"/>
        <w:rPr>
          <w:rFonts w:cs="Calibri"/>
        </w:rPr>
      </w:pPr>
      <w:r w:rsidRPr="00436D27">
        <w:t>Należy zakładać, że prognozowane docelowe wartości</w:t>
      </w:r>
      <w:r>
        <w:t xml:space="preserve"> -</w:t>
      </w:r>
      <w:r w:rsidR="00E66B89">
        <w:t xml:space="preserve"> w </w:t>
      </w:r>
      <w:r w:rsidRPr="00436D27">
        <w:t>wyniku kontraktacji w/w projektów dla dwóch omawianych wskaźników</w:t>
      </w:r>
      <w:r>
        <w:t xml:space="preserve"> –</w:t>
      </w:r>
      <w:r w:rsidRPr="00436D27">
        <w:t xml:space="preserve"> wzrosną</w:t>
      </w:r>
      <w:r>
        <w:t>. J</w:t>
      </w:r>
      <w:r w:rsidRPr="00436D27">
        <w:t>ednak</w:t>
      </w:r>
      <w:r>
        <w:t>że</w:t>
      </w:r>
      <w:r w:rsidRPr="00436D27">
        <w:t xml:space="preserve"> brak jest aktualnie podstaw do prognozowania konkretnych wartości wskaźników produktu, </w:t>
      </w:r>
      <w:r>
        <w:t>ponieważ</w:t>
      </w:r>
      <w:r w:rsidRPr="00436D27">
        <w:t xml:space="preserve"> wnioski takie byłby obarczone zbyt dużym błędem oszacowania.</w:t>
      </w:r>
      <w:r>
        <w:t xml:space="preserve"> Wstępna analiza </w:t>
      </w:r>
      <w:r w:rsidRPr="00436D27">
        <w:t xml:space="preserve">wartości wnioskowanego wsparcia oraz </w:t>
      </w:r>
      <w:r>
        <w:t>typów</w:t>
      </w:r>
      <w:r w:rsidRPr="00436D27">
        <w:t xml:space="preserve"> projektów</w:t>
      </w:r>
      <w:r>
        <w:t xml:space="preserve"> pozwala na sformułowanie wniosku, iż koszty jednostkowe wskaźników</w:t>
      </w:r>
      <w:r w:rsidR="00E66B89">
        <w:t xml:space="preserve"> w </w:t>
      </w:r>
      <w:r>
        <w:t>ramach IV naboru będą nieznacznie niższe od tych, jakie obserwowano</w:t>
      </w:r>
      <w:r w:rsidR="00E66B89">
        <w:t xml:space="preserve"> w </w:t>
      </w:r>
      <w:r>
        <w:t>dotychczasowych naborach. K</w:t>
      </w:r>
      <w:r w:rsidRPr="00436D27">
        <w:t>oszt</w:t>
      </w:r>
      <w:r>
        <w:t>y</w:t>
      </w:r>
      <w:r w:rsidRPr="00436D27">
        <w:t xml:space="preserve"> jednostkow</w:t>
      </w:r>
      <w:r>
        <w:t>e</w:t>
      </w:r>
      <w:r w:rsidRPr="00436D27">
        <w:t xml:space="preserve"> wsparcia oczyszczalni ścieków komunalnych na podstawie dotychczas zawartych UoD</w:t>
      </w:r>
      <w:r w:rsidR="00E66B89">
        <w:t xml:space="preserve"> w </w:t>
      </w:r>
      <w:r>
        <w:t>PI 6b wyniosły ok. 4,5 mln, zaś</w:t>
      </w:r>
      <w:r w:rsidRPr="00436D27">
        <w:t xml:space="preserve"> budowy 1 km kanalizacji</w:t>
      </w:r>
      <w:r>
        <w:t xml:space="preserve"> </w:t>
      </w:r>
      <w:r w:rsidRPr="00436D27">
        <w:rPr>
          <w:rFonts w:cs="Calibri"/>
        </w:rPr>
        <w:t>632 790,55 zł. Wszystkie planowane do budowy/ rozbudowy oczyszczalnie ścieków</w:t>
      </w:r>
      <w:r w:rsidR="00E66B89">
        <w:rPr>
          <w:rFonts w:cs="Calibri"/>
        </w:rPr>
        <w:t xml:space="preserve"> w </w:t>
      </w:r>
      <w:r>
        <w:rPr>
          <w:rFonts w:cs="Calibri"/>
        </w:rPr>
        <w:t xml:space="preserve">IV naborze wniosków </w:t>
      </w:r>
      <w:r w:rsidRPr="00436D27">
        <w:rPr>
          <w:rFonts w:cs="Calibri"/>
        </w:rPr>
        <w:t>mają niższą wnioskowaną kwotę wsparcia (a często</w:t>
      </w:r>
      <w:r w:rsidR="00E66B89">
        <w:rPr>
          <w:rFonts w:cs="Calibri"/>
        </w:rPr>
        <w:t xml:space="preserve"> w </w:t>
      </w:r>
      <w:r w:rsidRPr="00436D27">
        <w:rPr>
          <w:rFonts w:cs="Calibri"/>
        </w:rPr>
        <w:t>swoim zakresie zawierają dodatkowe elementy</w:t>
      </w:r>
      <w:r>
        <w:rPr>
          <w:rFonts w:cs="Calibri"/>
        </w:rPr>
        <w:t>,</w:t>
      </w:r>
      <w:r w:rsidRPr="00436D27">
        <w:rPr>
          <w:rFonts w:cs="Calibri"/>
        </w:rPr>
        <w:t xml:space="preserve"> jak </w:t>
      </w:r>
      <w:r>
        <w:rPr>
          <w:rFonts w:cs="Calibri"/>
        </w:rPr>
        <w:t xml:space="preserve">np. </w:t>
      </w:r>
      <w:r w:rsidRPr="00436D27">
        <w:rPr>
          <w:rFonts w:cs="Calibri"/>
        </w:rPr>
        <w:t xml:space="preserve">budowa kanalizacji). </w:t>
      </w:r>
      <w:r w:rsidRPr="00436D27">
        <w:t xml:space="preserve">Zatem spodziewać się </w:t>
      </w:r>
      <w:r>
        <w:t>można</w:t>
      </w:r>
      <w:r w:rsidRPr="00436D27">
        <w:t xml:space="preserve"> zmian kosztów jednostkowych, które zostały zaobserwowane</w:t>
      </w:r>
      <w:r w:rsidR="00E66B89">
        <w:t xml:space="preserve"> w </w:t>
      </w:r>
      <w:r w:rsidRPr="00436D27">
        <w:t>dotychczas realizowanych</w:t>
      </w:r>
      <w:r>
        <w:t>,</w:t>
      </w:r>
      <w:r w:rsidR="00E66B89">
        <w:t xml:space="preserve"> w </w:t>
      </w:r>
      <w:r w:rsidRPr="00436D27">
        <w:t>Działani</w:t>
      </w:r>
      <w:r>
        <w:t>u</w:t>
      </w:r>
      <w:r w:rsidRPr="00436D27">
        <w:t xml:space="preserve"> 3.6</w:t>
      </w:r>
      <w:r>
        <w:t>,</w:t>
      </w:r>
      <w:r w:rsidRPr="00436D27">
        <w:t xml:space="preserve"> projektach.</w:t>
      </w:r>
      <w:r>
        <w:t xml:space="preserve"> Powyższa sytuacja, jak już wspomniano, jest kwestią</w:t>
      </w:r>
      <w:r w:rsidR="00E66B89">
        <w:t xml:space="preserve"> w </w:t>
      </w:r>
      <w:r>
        <w:t>pełni zrozumiałą</w:t>
      </w:r>
      <w:r w:rsidR="00E66B89">
        <w:t xml:space="preserve"> i </w:t>
      </w:r>
      <w:r>
        <w:t>wynika ze specyfiki realizowanych projektów infrastrukturalnych.</w:t>
      </w:r>
      <w:r w:rsidRPr="00404DA5">
        <w:rPr>
          <w:rFonts w:cs="Calibri"/>
        </w:rPr>
        <w:t xml:space="preserve"> </w:t>
      </w:r>
    </w:p>
    <w:p w14:paraId="43ECE6BF" w14:textId="77777777" w:rsidR="009D215A" w:rsidRPr="00404DA5" w:rsidRDefault="009D215A" w:rsidP="009D215A">
      <w:pPr>
        <w:rPr>
          <w:rFonts w:cs="Calibri"/>
          <w:szCs w:val="20"/>
        </w:rPr>
      </w:pPr>
      <w:r w:rsidRPr="00404DA5">
        <w:rPr>
          <w:rFonts w:cs="Calibri"/>
          <w:szCs w:val="20"/>
        </w:rPr>
        <w:t xml:space="preserve">W zakresie wskaźnika </w:t>
      </w:r>
      <w:r w:rsidRPr="00404DA5">
        <w:rPr>
          <w:rFonts w:cs="Calibri"/>
          <w:i/>
          <w:szCs w:val="20"/>
        </w:rPr>
        <w:t>Odsetek ludności korzystającej</w:t>
      </w:r>
      <w:r w:rsidR="00E66B89">
        <w:rPr>
          <w:rFonts w:cs="Calibri"/>
          <w:i/>
          <w:szCs w:val="20"/>
        </w:rPr>
        <w:t xml:space="preserve"> z </w:t>
      </w:r>
      <w:r w:rsidRPr="00404DA5">
        <w:rPr>
          <w:rFonts w:cs="Calibri"/>
          <w:i/>
          <w:szCs w:val="20"/>
        </w:rPr>
        <w:t>oczyszczalni ścieków</w:t>
      </w:r>
      <w:r w:rsidRPr="00404DA5">
        <w:rPr>
          <w:rFonts w:cs="Calibri"/>
          <w:szCs w:val="20"/>
        </w:rPr>
        <w:t xml:space="preserve"> aktualnie prognozuje się, iż możliwe będzie osiągnięcie założonej wartości docelowej zgodnie</w:t>
      </w:r>
      <w:r w:rsidR="00E66B89">
        <w:rPr>
          <w:rFonts w:cs="Calibri"/>
          <w:szCs w:val="20"/>
        </w:rPr>
        <w:t xml:space="preserve"> z </w:t>
      </w:r>
      <w:r w:rsidRPr="00404DA5">
        <w:rPr>
          <w:rFonts w:cs="Calibri"/>
          <w:szCs w:val="20"/>
        </w:rPr>
        <w:t>przyjętą przez IZ RPO WZ 2014-2020 metodyką szacowania.</w:t>
      </w:r>
    </w:p>
    <w:p w14:paraId="725D12B0" w14:textId="77777777" w:rsidR="009D215A" w:rsidRDefault="009D215A" w:rsidP="009D215A">
      <w:pPr>
        <w:rPr>
          <w:rFonts w:cs="Calibri"/>
          <w:szCs w:val="20"/>
        </w:rPr>
      </w:pPr>
      <w:r w:rsidRPr="00404DA5">
        <w:rPr>
          <w:rFonts w:cs="Calibri"/>
          <w:szCs w:val="20"/>
        </w:rPr>
        <w:t xml:space="preserve">W odniesieniu do wskaźnika </w:t>
      </w:r>
      <w:r w:rsidRPr="00404DA5">
        <w:rPr>
          <w:rFonts w:cs="Calibri"/>
          <w:i/>
          <w:szCs w:val="20"/>
        </w:rPr>
        <w:t>Odsetek oczyszczalni spełniających warunek III dyrektywy 91/271/EWG</w:t>
      </w:r>
      <w:r w:rsidR="00E66B89">
        <w:rPr>
          <w:rFonts w:cs="Calibri"/>
          <w:i/>
          <w:szCs w:val="20"/>
        </w:rPr>
        <w:t xml:space="preserve"> w </w:t>
      </w:r>
      <w:r w:rsidRPr="00404DA5">
        <w:rPr>
          <w:rFonts w:cs="Calibri"/>
          <w:i/>
          <w:szCs w:val="20"/>
        </w:rPr>
        <w:t>ogólnej liczbie oczyszczalni</w:t>
      </w:r>
      <w:r w:rsidR="00E66B89">
        <w:rPr>
          <w:rFonts w:cs="Calibri"/>
          <w:i/>
          <w:szCs w:val="20"/>
        </w:rPr>
        <w:t xml:space="preserve"> w </w:t>
      </w:r>
      <w:r w:rsidRPr="00404DA5">
        <w:rPr>
          <w:rFonts w:cs="Calibri"/>
          <w:i/>
          <w:szCs w:val="20"/>
        </w:rPr>
        <w:t>KPOŚK</w:t>
      </w:r>
      <w:r w:rsidRPr="00404DA5">
        <w:rPr>
          <w:rFonts w:cs="Calibri"/>
          <w:szCs w:val="20"/>
        </w:rPr>
        <w:t xml:space="preserve"> prognozuje się, iż: na terenie województwa będzie funkcjonowała ta sama liczba oczyszczalni ścieków</w:t>
      </w:r>
      <w:r>
        <w:rPr>
          <w:rFonts w:cs="Calibri"/>
          <w:szCs w:val="20"/>
        </w:rPr>
        <w:t>,</w:t>
      </w:r>
      <w:r w:rsidRPr="00404DA5">
        <w:rPr>
          <w:rFonts w:cs="Calibri"/>
          <w:szCs w:val="20"/>
        </w:rPr>
        <w:t xml:space="preserve"> jaka funkcjonowała</w:t>
      </w:r>
      <w:r w:rsidR="00E66B89">
        <w:rPr>
          <w:rFonts w:cs="Calibri"/>
          <w:szCs w:val="20"/>
        </w:rPr>
        <w:t xml:space="preserve"> w </w:t>
      </w:r>
      <w:r w:rsidRPr="00404DA5">
        <w:rPr>
          <w:rFonts w:cs="Calibri"/>
          <w:szCs w:val="20"/>
        </w:rPr>
        <w:t xml:space="preserve">momencie prognozowania (tj. 95 oczyszczalni). </w:t>
      </w:r>
    </w:p>
    <w:p w14:paraId="77A2D9F4" w14:textId="77777777" w:rsidR="009D215A" w:rsidRPr="003D00FC" w:rsidRDefault="009D215A" w:rsidP="009D215A">
      <w:pPr>
        <w:rPr>
          <w:rFonts w:cs="Calibri"/>
          <w:szCs w:val="20"/>
        </w:rPr>
      </w:pPr>
      <w:r>
        <w:rPr>
          <w:rFonts w:cs="Calibri"/>
          <w:szCs w:val="20"/>
        </w:rPr>
        <w:t>W</w:t>
      </w:r>
      <w:r w:rsidRPr="003D00FC">
        <w:rPr>
          <w:rFonts w:cs="Calibri"/>
          <w:szCs w:val="20"/>
        </w:rPr>
        <w:t>sparcie</w:t>
      </w:r>
      <w:r w:rsidR="00E66B89">
        <w:rPr>
          <w:rFonts w:cs="Calibri"/>
          <w:szCs w:val="20"/>
        </w:rPr>
        <w:t xml:space="preserve"> w </w:t>
      </w:r>
      <w:r w:rsidRPr="003D00FC">
        <w:rPr>
          <w:rFonts w:cs="Calibri"/>
          <w:szCs w:val="20"/>
        </w:rPr>
        <w:t>ramach RPO WZ 2014-2020 otrzymają 2 aglomeracje, które</w:t>
      </w:r>
      <w:r w:rsidR="00E66B89">
        <w:rPr>
          <w:rFonts w:cs="Calibri"/>
          <w:szCs w:val="20"/>
        </w:rPr>
        <w:t xml:space="preserve"> w </w:t>
      </w:r>
      <w:r w:rsidRPr="003D00FC">
        <w:rPr>
          <w:rFonts w:cs="Calibri"/>
          <w:szCs w:val="20"/>
        </w:rPr>
        <w:t>KPOŚK były wskazane jako nie spełniające warunków Dyrektywy</w:t>
      </w:r>
      <w:r>
        <w:rPr>
          <w:rFonts w:cs="Calibri"/>
          <w:szCs w:val="20"/>
        </w:rPr>
        <w:t>.</w:t>
      </w:r>
      <w:r w:rsidR="00E66B89">
        <w:rPr>
          <w:rFonts w:cs="Calibri"/>
          <w:szCs w:val="20"/>
        </w:rPr>
        <w:t xml:space="preserve"> W </w:t>
      </w:r>
      <w:r>
        <w:rPr>
          <w:rFonts w:cs="Calibri"/>
          <w:szCs w:val="20"/>
        </w:rPr>
        <w:t>związku</w:t>
      </w:r>
      <w:r w:rsidR="00E66B89">
        <w:rPr>
          <w:rFonts w:cs="Calibri"/>
          <w:szCs w:val="20"/>
        </w:rPr>
        <w:t xml:space="preserve"> z </w:t>
      </w:r>
      <w:r>
        <w:rPr>
          <w:rFonts w:cs="Calibri"/>
          <w:szCs w:val="20"/>
        </w:rPr>
        <w:t xml:space="preserve">powyższym </w:t>
      </w:r>
      <w:r w:rsidRPr="003D00FC">
        <w:rPr>
          <w:rFonts w:cs="Calibri"/>
          <w:szCs w:val="20"/>
        </w:rPr>
        <w:t>prognozowana wartość docelowa liczby oczyszczalni ścieków, które</w:t>
      </w:r>
      <w:r>
        <w:rPr>
          <w:rFonts w:cs="Calibri"/>
          <w:szCs w:val="20"/>
        </w:rPr>
        <w:t xml:space="preserve"> </w:t>
      </w:r>
      <w:r w:rsidRPr="003D00FC">
        <w:rPr>
          <w:rFonts w:cs="Calibri"/>
          <w:szCs w:val="20"/>
        </w:rPr>
        <w:t>będą spełniały wymog</w:t>
      </w:r>
      <w:r>
        <w:rPr>
          <w:rFonts w:cs="Calibri"/>
          <w:szCs w:val="20"/>
        </w:rPr>
        <w:t>i</w:t>
      </w:r>
      <w:r w:rsidRPr="003D00FC">
        <w:rPr>
          <w:rFonts w:cs="Calibri"/>
          <w:szCs w:val="20"/>
        </w:rPr>
        <w:t xml:space="preserve"> </w:t>
      </w:r>
      <w:r>
        <w:rPr>
          <w:rFonts w:cs="Calibri"/>
          <w:szCs w:val="20"/>
        </w:rPr>
        <w:t>D</w:t>
      </w:r>
      <w:r w:rsidRPr="003D00FC">
        <w:rPr>
          <w:rFonts w:cs="Calibri"/>
          <w:szCs w:val="20"/>
        </w:rPr>
        <w:t>yrektywy wyniesie 6</w:t>
      </w:r>
      <w:r>
        <w:rPr>
          <w:rFonts w:cs="Calibri"/>
          <w:szCs w:val="20"/>
        </w:rPr>
        <w:t>5</w:t>
      </w:r>
      <w:r w:rsidRPr="003D00FC">
        <w:rPr>
          <w:rFonts w:cs="Calibri"/>
          <w:szCs w:val="20"/>
        </w:rPr>
        <w:t xml:space="preserve"> (prognozowana wartość wskaźnika: 6</w:t>
      </w:r>
      <w:r>
        <w:rPr>
          <w:rFonts w:cs="Calibri"/>
          <w:szCs w:val="20"/>
        </w:rPr>
        <w:t>8</w:t>
      </w:r>
      <w:r w:rsidRPr="003D00FC">
        <w:rPr>
          <w:rFonts w:cs="Calibri"/>
          <w:szCs w:val="20"/>
        </w:rPr>
        <w:t>,</w:t>
      </w:r>
      <w:r>
        <w:rPr>
          <w:rFonts w:cs="Calibri"/>
          <w:szCs w:val="20"/>
        </w:rPr>
        <w:t>4</w:t>
      </w:r>
      <w:r w:rsidRPr="003D00FC">
        <w:rPr>
          <w:rFonts w:cs="Calibri"/>
          <w:szCs w:val="20"/>
        </w:rPr>
        <w:t>%).</w:t>
      </w:r>
    </w:p>
    <w:p w14:paraId="3D9054C2" w14:textId="77777777" w:rsidR="009D215A" w:rsidRPr="006E34DC" w:rsidRDefault="009D215A" w:rsidP="006E34DC">
      <w:pPr>
        <w:pStyle w:val="Legenda"/>
        <w:spacing w:after="0"/>
      </w:pPr>
      <w:bookmarkStart w:id="112" w:name="_Toc8824159"/>
      <w:r w:rsidRPr="00404DA5">
        <w:t xml:space="preserve">Tabela </w:t>
      </w:r>
      <w:r>
        <w:fldChar w:fldCharType="begin"/>
      </w:r>
      <w:r>
        <w:instrText xml:space="preserve"> SEQ Tabela \* ARABIC </w:instrText>
      </w:r>
      <w:r>
        <w:fldChar w:fldCharType="separate"/>
      </w:r>
      <w:r w:rsidR="00763345">
        <w:rPr>
          <w:noProof/>
        </w:rPr>
        <w:t>48</w:t>
      </w:r>
      <w:r>
        <w:fldChar w:fldCharType="end"/>
      </w:r>
      <w:r w:rsidRPr="00404DA5">
        <w:t xml:space="preserve"> Prognozowany poziom realizacji wskaźników produktu</w:t>
      </w:r>
      <w:r w:rsidR="00E66B89">
        <w:t xml:space="preserve"> i </w:t>
      </w:r>
      <w:r w:rsidRPr="00404DA5">
        <w:t>rezultatu bezpośredniego na rok 2023– PI 6b</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7"/>
        <w:gridCol w:w="2314"/>
        <w:gridCol w:w="1408"/>
        <w:gridCol w:w="1950"/>
        <w:gridCol w:w="1943"/>
      </w:tblGrid>
      <w:tr w:rsidR="009D215A" w:rsidRPr="003850AB" w14:paraId="34CF9A1B" w14:textId="77777777" w:rsidTr="00C22C26">
        <w:trPr>
          <w:trHeight w:val="824"/>
          <w:tblHeader/>
        </w:trPr>
        <w:tc>
          <w:tcPr>
            <w:tcW w:w="798" w:type="pct"/>
            <w:shd w:val="clear" w:color="auto" w:fill="DEEAF6"/>
            <w:tcMar>
              <w:top w:w="0" w:type="dxa"/>
              <w:left w:w="108" w:type="dxa"/>
              <w:bottom w:w="0" w:type="dxa"/>
              <w:right w:w="108" w:type="dxa"/>
            </w:tcMar>
            <w:vAlign w:val="center"/>
            <w:hideMark/>
          </w:tcPr>
          <w:p w14:paraId="65107EB3" w14:textId="77777777" w:rsidR="009D215A" w:rsidRPr="00C22C26" w:rsidRDefault="009D215A" w:rsidP="00EE58A9">
            <w:pPr>
              <w:jc w:val="center"/>
              <w:rPr>
                <w:sz w:val="18"/>
                <w:szCs w:val="16"/>
                <w:lang w:eastAsia="en-US"/>
              </w:rPr>
            </w:pPr>
            <w:r w:rsidRPr="00C22C26">
              <w:rPr>
                <w:sz w:val="18"/>
                <w:szCs w:val="16"/>
              </w:rPr>
              <w:t>Typ wskaźnika</w:t>
            </w:r>
          </w:p>
        </w:tc>
        <w:tc>
          <w:tcPr>
            <w:tcW w:w="1277" w:type="pct"/>
            <w:shd w:val="clear" w:color="auto" w:fill="DEEAF6"/>
            <w:tcMar>
              <w:top w:w="0" w:type="dxa"/>
              <w:left w:w="108" w:type="dxa"/>
              <w:bottom w:w="0" w:type="dxa"/>
              <w:right w:w="108" w:type="dxa"/>
            </w:tcMar>
            <w:vAlign w:val="center"/>
            <w:hideMark/>
          </w:tcPr>
          <w:p w14:paraId="44D98C44" w14:textId="77777777" w:rsidR="009D215A" w:rsidRPr="00C22C26" w:rsidRDefault="009D215A" w:rsidP="00EE58A9">
            <w:pPr>
              <w:jc w:val="center"/>
              <w:rPr>
                <w:sz w:val="18"/>
                <w:szCs w:val="16"/>
                <w:lang w:eastAsia="en-US"/>
              </w:rPr>
            </w:pPr>
            <w:r w:rsidRPr="00C22C26">
              <w:rPr>
                <w:sz w:val="18"/>
                <w:szCs w:val="16"/>
              </w:rPr>
              <w:t>Wskaźnik</w:t>
            </w:r>
          </w:p>
        </w:tc>
        <w:tc>
          <w:tcPr>
            <w:tcW w:w="777" w:type="pct"/>
            <w:shd w:val="clear" w:color="auto" w:fill="DEEAF6"/>
            <w:tcMar>
              <w:top w:w="0" w:type="dxa"/>
              <w:left w:w="108" w:type="dxa"/>
              <w:bottom w:w="0" w:type="dxa"/>
              <w:right w:w="108" w:type="dxa"/>
            </w:tcMar>
            <w:hideMark/>
          </w:tcPr>
          <w:p w14:paraId="68E6F47A" w14:textId="77777777" w:rsidR="009D215A" w:rsidRPr="00C22C26" w:rsidRDefault="009D215A" w:rsidP="00EE58A9">
            <w:pPr>
              <w:jc w:val="center"/>
              <w:rPr>
                <w:sz w:val="18"/>
                <w:szCs w:val="16"/>
                <w:lang w:eastAsia="en-US"/>
              </w:rPr>
            </w:pPr>
            <w:r w:rsidRPr="00C22C26">
              <w:rPr>
                <w:sz w:val="18"/>
                <w:szCs w:val="16"/>
              </w:rPr>
              <w:t>Wartość docelowa określona na 2023 rok</w:t>
            </w:r>
          </w:p>
        </w:tc>
        <w:tc>
          <w:tcPr>
            <w:tcW w:w="1076" w:type="pct"/>
            <w:shd w:val="clear" w:color="auto" w:fill="DEEAF6"/>
            <w:tcMar>
              <w:top w:w="0" w:type="dxa"/>
              <w:left w:w="108" w:type="dxa"/>
              <w:bottom w:w="0" w:type="dxa"/>
              <w:right w:w="108" w:type="dxa"/>
            </w:tcMar>
            <w:vAlign w:val="center"/>
            <w:hideMark/>
          </w:tcPr>
          <w:p w14:paraId="7F3DDC1C" w14:textId="77777777" w:rsidR="009D215A" w:rsidRPr="00C22C26" w:rsidRDefault="009D215A" w:rsidP="00EE58A9">
            <w:pPr>
              <w:jc w:val="center"/>
              <w:rPr>
                <w:sz w:val="18"/>
                <w:szCs w:val="16"/>
                <w:lang w:eastAsia="en-US"/>
              </w:rPr>
            </w:pPr>
            <w:r w:rsidRPr="00C22C26">
              <w:rPr>
                <w:sz w:val="18"/>
                <w:szCs w:val="16"/>
              </w:rPr>
              <w:t xml:space="preserve">Prognozowana całkowita wartość wskaźnika </w:t>
            </w:r>
          </w:p>
        </w:tc>
        <w:tc>
          <w:tcPr>
            <w:tcW w:w="1072" w:type="pct"/>
            <w:shd w:val="clear" w:color="auto" w:fill="DEEAF6"/>
            <w:tcMar>
              <w:top w:w="0" w:type="dxa"/>
              <w:left w:w="108" w:type="dxa"/>
              <w:bottom w:w="0" w:type="dxa"/>
              <w:right w:w="108" w:type="dxa"/>
            </w:tcMar>
            <w:vAlign w:val="center"/>
            <w:hideMark/>
          </w:tcPr>
          <w:p w14:paraId="03321EAE" w14:textId="77777777" w:rsidR="009D215A" w:rsidRPr="00C22C26" w:rsidRDefault="009D215A" w:rsidP="00EE58A9">
            <w:pPr>
              <w:jc w:val="center"/>
              <w:rPr>
                <w:sz w:val="18"/>
                <w:szCs w:val="16"/>
                <w:lang w:eastAsia="en-US"/>
              </w:rPr>
            </w:pPr>
            <w:r w:rsidRPr="00C22C26">
              <w:rPr>
                <w:sz w:val="18"/>
                <w:szCs w:val="16"/>
              </w:rPr>
              <w:t>Prognozowany % realizacji wartości docelowej</w:t>
            </w:r>
          </w:p>
        </w:tc>
      </w:tr>
      <w:tr w:rsidR="009D215A" w:rsidRPr="00436D27" w14:paraId="3EA20569" w14:textId="77777777" w:rsidTr="00C22C26">
        <w:trPr>
          <w:trHeight w:val="555"/>
        </w:trPr>
        <w:tc>
          <w:tcPr>
            <w:tcW w:w="798" w:type="pct"/>
            <w:tcMar>
              <w:top w:w="0" w:type="dxa"/>
              <w:left w:w="108" w:type="dxa"/>
              <w:bottom w:w="0" w:type="dxa"/>
              <w:right w:w="108" w:type="dxa"/>
            </w:tcMar>
            <w:vAlign w:val="center"/>
          </w:tcPr>
          <w:p w14:paraId="1B57CDB0"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127A952F" w14:textId="77777777" w:rsidR="009D215A" w:rsidRPr="00436D27" w:rsidRDefault="009D215A" w:rsidP="00EE58A9">
            <w:pPr>
              <w:jc w:val="center"/>
              <w:rPr>
                <w:sz w:val="16"/>
                <w:szCs w:val="16"/>
                <w:lang w:eastAsia="en-US"/>
              </w:rPr>
            </w:pPr>
            <w:r w:rsidRPr="00436D27">
              <w:rPr>
                <w:sz w:val="16"/>
                <w:szCs w:val="16"/>
                <w:lang w:eastAsia="en-US"/>
              </w:rPr>
              <w:t>Długość sieci wodociągowej</w:t>
            </w:r>
          </w:p>
        </w:tc>
        <w:tc>
          <w:tcPr>
            <w:tcW w:w="777" w:type="pct"/>
            <w:tcMar>
              <w:top w:w="0" w:type="dxa"/>
              <w:left w:w="108" w:type="dxa"/>
              <w:bottom w:w="0" w:type="dxa"/>
              <w:right w:w="108" w:type="dxa"/>
            </w:tcMar>
            <w:vAlign w:val="center"/>
          </w:tcPr>
          <w:p w14:paraId="03B9E10D" w14:textId="77777777" w:rsidR="009D215A" w:rsidRPr="00436D27" w:rsidRDefault="009D215A" w:rsidP="00EE58A9">
            <w:pPr>
              <w:jc w:val="center"/>
              <w:rPr>
                <w:sz w:val="16"/>
                <w:szCs w:val="16"/>
                <w:lang w:eastAsia="en-US"/>
              </w:rPr>
            </w:pPr>
            <w:r w:rsidRPr="00436D27">
              <w:rPr>
                <w:sz w:val="16"/>
                <w:szCs w:val="16"/>
                <w:lang w:eastAsia="en-US"/>
              </w:rPr>
              <w:t>30 km</w:t>
            </w:r>
          </w:p>
        </w:tc>
        <w:tc>
          <w:tcPr>
            <w:tcW w:w="1076" w:type="pct"/>
            <w:tcMar>
              <w:top w:w="0" w:type="dxa"/>
              <w:left w:w="108" w:type="dxa"/>
              <w:bottom w:w="0" w:type="dxa"/>
              <w:right w:w="108" w:type="dxa"/>
            </w:tcMar>
            <w:vAlign w:val="center"/>
          </w:tcPr>
          <w:p w14:paraId="0CFB7350" w14:textId="77777777" w:rsidR="009D215A" w:rsidRPr="00436D27" w:rsidRDefault="009D215A" w:rsidP="00EE58A9">
            <w:pPr>
              <w:jc w:val="center"/>
              <w:rPr>
                <w:sz w:val="16"/>
                <w:szCs w:val="16"/>
                <w:lang w:eastAsia="en-US"/>
              </w:rPr>
            </w:pPr>
            <w:r w:rsidRPr="00436D27">
              <w:rPr>
                <w:sz w:val="16"/>
                <w:szCs w:val="16"/>
                <w:lang w:eastAsia="en-US"/>
              </w:rPr>
              <w:t>32,77</w:t>
            </w:r>
          </w:p>
        </w:tc>
        <w:tc>
          <w:tcPr>
            <w:tcW w:w="1072" w:type="pct"/>
            <w:tcMar>
              <w:top w:w="0" w:type="dxa"/>
              <w:left w:w="108" w:type="dxa"/>
              <w:bottom w:w="0" w:type="dxa"/>
              <w:right w:w="108" w:type="dxa"/>
            </w:tcMar>
            <w:vAlign w:val="center"/>
          </w:tcPr>
          <w:p w14:paraId="25837165" w14:textId="77777777" w:rsidR="009D215A" w:rsidRPr="00436D27" w:rsidRDefault="009D215A" w:rsidP="00EE58A9">
            <w:pPr>
              <w:jc w:val="center"/>
              <w:rPr>
                <w:sz w:val="16"/>
                <w:szCs w:val="16"/>
                <w:lang w:eastAsia="en-US"/>
              </w:rPr>
            </w:pPr>
            <w:r w:rsidRPr="00436D27">
              <w:rPr>
                <w:sz w:val="16"/>
                <w:szCs w:val="16"/>
                <w:lang w:eastAsia="en-US"/>
              </w:rPr>
              <w:t>109,2%</w:t>
            </w:r>
          </w:p>
        </w:tc>
      </w:tr>
      <w:tr w:rsidR="009D215A" w:rsidRPr="00436D27" w14:paraId="53972E08" w14:textId="77777777" w:rsidTr="00C22C26">
        <w:trPr>
          <w:trHeight w:val="568"/>
        </w:trPr>
        <w:tc>
          <w:tcPr>
            <w:tcW w:w="798" w:type="pct"/>
            <w:tcMar>
              <w:top w:w="0" w:type="dxa"/>
              <w:left w:w="108" w:type="dxa"/>
              <w:bottom w:w="0" w:type="dxa"/>
              <w:right w:w="108" w:type="dxa"/>
            </w:tcMar>
            <w:vAlign w:val="center"/>
          </w:tcPr>
          <w:p w14:paraId="68B65F30"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376EB0AB" w14:textId="77777777" w:rsidR="009D215A" w:rsidRPr="00436D27" w:rsidRDefault="009D215A" w:rsidP="00EE58A9">
            <w:pPr>
              <w:jc w:val="center"/>
              <w:rPr>
                <w:sz w:val="16"/>
                <w:szCs w:val="16"/>
                <w:lang w:eastAsia="en-US"/>
              </w:rPr>
            </w:pPr>
            <w:r w:rsidRPr="00436D27">
              <w:rPr>
                <w:sz w:val="16"/>
                <w:szCs w:val="16"/>
                <w:lang w:eastAsia="en-US"/>
              </w:rPr>
              <w:t>Liczba dodatkowych osób korzystających</w:t>
            </w:r>
            <w:r w:rsidR="00E66B89">
              <w:rPr>
                <w:sz w:val="16"/>
                <w:szCs w:val="16"/>
                <w:lang w:eastAsia="en-US"/>
              </w:rPr>
              <w:t xml:space="preserve"> z </w:t>
            </w:r>
            <w:r w:rsidRPr="00436D27">
              <w:rPr>
                <w:sz w:val="16"/>
                <w:szCs w:val="16"/>
                <w:lang w:eastAsia="en-US"/>
              </w:rPr>
              <w:t>ulepszonego zaopatrzenia</w:t>
            </w:r>
            <w:r w:rsidR="00E66B89">
              <w:rPr>
                <w:sz w:val="16"/>
                <w:szCs w:val="16"/>
                <w:lang w:eastAsia="en-US"/>
              </w:rPr>
              <w:t xml:space="preserve"> w </w:t>
            </w:r>
            <w:r w:rsidRPr="00436D27">
              <w:rPr>
                <w:sz w:val="16"/>
                <w:szCs w:val="16"/>
                <w:lang w:eastAsia="en-US"/>
              </w:rPr>
              <w:t>wodę</w:t>
            </w:r>
          </w:p>
        </w:tc>
        <w:tc>
          <w:tcPr>
            <w:tcW w:w="777" w:type="pct"/>
            <w:tcMar>
              <w:top w:w="0" w:type="dxa"/>
              <w:left w:w="108" w:type="dxa"/>
              <w:bottom w:w="0" w:type="dxa"/>
              <w:right w:w="108" w:type="dxa"/>
            </w:tcMar>
            <w:vAlign w:val="center"/>
          </w:tcPr>
          <w:p w14:paraId="2C7C701B" w14:textId="77777777" w:rsidR="009D215A" w:rsidRPr="00436D27" w:rsidRDefault="009D215A" w:rsidP="00EE58A9">
            <w:pPr>
              <w:jc w:val="center"/>
              <w:rPr>
                <w:sz w:val="16"/>
                <w:szCs w:val="16"/>
                <w:lang w:eastAsia="en-US"/>
              </w:rPr>
            </w:pPr>
            <w:r w:rsidRPr="00436D27">
              <w:rPr>
                <w:sz w:val="16"/>
                <w:szCs w:val="16"/>
                <w:lang w:eastAsia="en-US"/>
              </w:rPr>
              <w:t>755 osób</w:t>
            </w:r>
          </w:p>
        </w:tc>
        <w:tc>
          <w:tcPr>
            <w:tcW w:w="1076" w:type="pct"/>
            <w:tcMar>
              <w:top w:w="0" w:type="dxa"/>
              <w:left w:w="108" w:type="dxa"/>
              <w:bottom w:w="0" w:type="dxa"/>
              <w:right w:w="108" w:type="dxa"/>
            </w:tcMar>
            <w:vAlign w:val="center"/>
          </w:tcPr>
          <w:p w14:paraId="3CE5896F" w14:textId="77777777" w:rsidR="009D215A" w:rsidRPr="00436D27" w:rsidRDefault="009D215A" w:rsidP="00EE58A9">
            <w:pPr>
              <w:jc w:val="center"/>
              <w:rPr>
                <w:sz w:val="16"/>
                <w:szCs w:val="16"/>
                <w:lang w:eastAsia="en-US"/>
              </w:rPr>
            </w:pPr>
            <w:r w:rsidRPr="00436D27">
              <w:rPr>
                <w:sz w:val="16"/>
                <w:szCs w:val="16"/>
                <w:lang w:eastAsia="en-US"/>
              </w:rPr>
              <w:t>22 246</w:t>
            </w:r>
          </w:p>
        </w:tc>
        <w:tc>
          <w:tcPr>
            <w:tcW w:w="1072" w:type="pct"/>
            <w:tcMar>
              <w:top w:w="0" w:type="dxa"/>
              <w:left w:w="108" w:type="dxa"/>
              <w:bottom w:w="0" w:type="dxa"/>
              <w:right w:w="108" w:type="dxa"/>
            </w:tcMar>
            <w:vAlign w:val="center"/>
          </w:tcPr>
          <w:p w14:paraId="4CD6480E" w14:textId="77777777" w:rsidR="009D215A" w:rsidRPr="00436D27" w:rsidRDefault="009D215A" w:rsidP="00EE58A9">
            <w:pPr>
              <w:jc w:val="center"/>
              <w:rPr>
                <w:sz w:val="16"/>
                <w:szCs w:val="16"/>
                <w:lang w:eastAsia="en-US"/>
              </w:rPr>
            </w:pPr>
            <w:r w:rsidRPr="00436D27">
              <w:rPr>
                <w:sz w:val="16"/>
                <w:szCs w:val="16"/>
                <w:lang w:eastAsia="en-US"/>
              </w:rPr>
              <w:t>2946,5%</w:t>
            </w:r>
          </w:p>
        </w:tc>
      </w:tr>
      <w:tr w:rsidR="009D215A" w:rsidRPr="00436D27" w14:paraId="0E41A0C8" w14:textId="77777777" w:rsidTr="00C22C26">
        <w:trPr>
          <w:trHeight w:val="568"/>
        </w:trPr>
        <w:tc>
          <w:tcPr>
            <w:tcW w:w="798" w:type="pct"/>
            <w:tcMar>
              <w:top w:w="0" w:type="dxa"/>
              <w:left w:w="108" w:type="dxa"/>
              <w:bottom w:w="0" w:type="dxa"/>
              <w:right w:w="108" w:type="dxa"/>
            </w:tcMar>
            <w:vAlign w:val="center"/>
          </w:tcPr>
          <w:p w14:paraId="69CDC6CA" w14:textId="77777777" w:rsidR="009D215A" w:rsidRPr="00436D27" w:rsidRDefault="009D215A" w:rsidP="00EE58A9">
            <w:pPr>
              <w:jc w:val="center"/>
              <w:rPr>
                <w:sz w:val="16"/>
                <w:szCs w:val="16"/>
                <w:lang w:eastAsia="en-US"/>
              </w:rPr>
            </w:pPr>
            <w:r w:rsidRPr="00436D27">
              <w:rPr>
                <w:sz w:val="16"/>
                <w:szCs w:val="16"/>
                <w:lang w:eastAsia="en-US"/>
              </w:rPr>
              <w:lastRenderedPageBreak/>
              <w:t>WP</w:t>
            </w:r>
          </w:p>
        </w:tc>
        <w:tc>
          <w:tcPr>
            <w:tcW w:w="1277" w:type="pct"/>
            <w:tcMar>
              <w:top w:w="0" w:type="dxa"/>
              <w:left w:w="108" w:type="dxa"/>
              <w:bottom w:w="0" w:type="dxa"/>
              <w:right w:w="108" w:type="dxa"/>
            </w:tcMar>
            <w:vAlign w:val="center"/>
          </w:tcPr>
          <w:p w14:paraId="16502414" w14:textId="77777777" w:rsidR="009D215A" w:rsidRPr="00436D27" w:rsidRDefault="009D215A" w:rsidP="00EE58A9">
            <w:pPr>
              <w:jc w:val="center"/>
              <w:rPr>
                <w:sz w:val="16"/>
                <w:szCs w:val="16"/>
                <w:lang w:eastAsia="en-US"/>
              </w:rPr>
            </w:pPr>
            <w:r w:rsidRPr="00436D27">
              <w:rPr>
                <w:sz w:val="16"/>
                <w:szCs w:val="16"/>
                <w:lang w:eastAsia="en-US"/>
              </w:rPr>
              <w:t>Liczba wspartych oczyszczalni ścieków komunalnych</w:t>
            </w:r>
          </w:p>
        </w:tc>
        <w:tc>
          <w:tcPr>
            <w:tcW w:w="777" w:type="pct"/>
            <w:tcMar>
              <w:top w:w="0" w:type="dxa"/>
              <w:left w:w="108" w:type="dxa"/>
              <w:bottom w:w="0" w:type="dxa"/>
              <w:right w:w="108" w:type="dxa"/>
            </w:tcMar>
            <w:vAlign w:val="center"/>
          </w:tcPr>
          <w:p w14:paraId="1B84CDF0" w14:textId="77777777" w:rsidR="009D215A" w:rsidRPr="00436D27" w:rsidRDefault="009D215A" w:rsidP="00EE58A9">
            <w:pPr>
              <w:jc w:val="center"/>
              <w:rPr>
                <w:sz w:val="16"/>
                <w:szCs w:val="16"/>
                <w:lang w:eastAsia="en-US"/>
              </w:rPr>
            </w:pPr>
            <w:r w:rsidRPr="00436D27">
              <w:rPr>
                <w:sz w:val="16"/>
                <w:szCs w:val="16"/>
                <w:lang w:eastAsia="en-US"/>
              </w:rPr>
              <w:t>2 szt.</w:t>
            </w:r>
          </w:p>
        </w:tc>
        <w:tc>
          <w:tcPr>
            <w:tcW w:w="1076" w:type="pct"/>
            <w:tcMar>
              <w:top w:w="0" w:type="dxa"/>
              <w:left w:w="108" w:type="dxa"/>
              <w:bottom w:w="0" w:type="dxa"/>
              <w:right w:w="108" w:type="dxa"/>
            </w:tcMar>
            <w:vAlign w:val="center"/>
          </w:tcPr>
          <w:p w14:paraId="50DD2C47" w14:textId="77777777" w:rsidR="009D215A" w:rsidRPr="00436D27" w:rsidRDefault="009D215A" w:rsidP="00EE58A9">
            <w:pPr>
              <w:jc w:val="center"/>
              <w:rPr>
                <w:sz w:val="16"/>
                <w:szCs w:val="16"/>
                <w:lang w:eastAsia="en-US"/>
              </w:rPr>
            </w:pPr>
            <w:r w:rsidRPr="00436D27">
              <w:rPr>
                <w:sz w:val="16"/>
                <w:szCs w:val="16"/>
                <w:lang w:eastAsia="en-US"/>
              </w:rPr>
              <w:t>12</w:t>
            </w:r>
          </w:p>
        </w:tc>
        <w:tc>
          <w:tcPr>
            <w:tcW w:w="1072" w:type="pct"/>
            <w:tcMar>
              <w:top w:w="0" w:type="dxa"/>
              <w:left w:w="108" w:type="dxa"/>
              <w:bottom w:w="0" w:type="dxa"/>
              <w:right w:w="108" w:type="dxa"/>
            </w:tcMar>
            <w:vAlign w:val="center"/>
          </w:tcPr>
          <w:p w14:paraId="4FF8938E" w14:textId="77777777" w:rsidR="009D215A" w:rsidRPr="00436D27" w:rsidRDefault="009D215A" w:rsidP="00EE58A9">
            <w:pPr>
              <w:jc w:val="center"/>
              <w:rPr>
                <w:sz w:val="16"/>
                <w:szCs w:val="16"/>
                <w:lang w:eastAsia="en-US"/>
              </w:rPr>
            </w:pPr>
            <w:r w:rsidRPr="00436D27">
              <w:rPr>
                <w:sz w:val="16"/>
                <w:szCs w:val="16"/>
                <w:lang w:eastAsia="en-US"/>
              </w:rPr>
              <w:t>600,0%</w:t>
            </w:r>
          </w:p>
        </w:tc>
      </w:tr>
      <w:tr w:rsidR="009D215A" w:rsidRPr="00436D27" w14:paraId="4D0ADD17" w14:textId="77777777" w:rsidTr="00C22C26">
        <w:trPr>
          <w:trHeight w:val="568"/>
        </w:trPr>
        <w:tc>
          <w:tcPr>
            <w:tcW w:w="798" w:type="pct"/>
            <w:tcMar>
              <w:top w:w="0" w:type="dxa"/>
              <w:left w:w="108" w:type="dxa"/>
              <w:bottom w:w="0" w:type="dxa"/>
              <w:right w:w="108" w:type="dxa"/>
            </w:tcMar>
            <w:vAlign w:val="center"/>
          </w:tcPr>
          <w:p w14:paraId="06C1C53E"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52B891EC" w14:textId="77777777" w:rsidR="009D215A" w:rsidRPr="00436D27" w:rsidRDefault="009D215A" w:rsidP="00EE58A9">
            <w:pPr>
              <w:jc w:val="center"/>
              <w:rPr>
                <w:sz w:val="16"/>
                <w:szCs w:val="16"/>
                <w:lang w:eastAsia="en-US"/>
              </w:rPr>
            </w:pPr>
            <w:r w:rsidRPr="00436D27">
              <w:rPr>
                <w:sz w:val="16"/>
                <w:szCs w:val="16"/>
                <w:lang w:eastAsia="en-US"/>
              </w:rPr>
              <w:t>Długość sieci kanalizacji sanitarnej</w:t>
            </w:r>
          </w:p>
        </w:tc>
        <w:tc>
          <w:tcPr>
            <w:tcW w:w="777" w:type="pct"/>
            <w:tcMar>
              <w:top w:w="0" w:type="dxa"/>
              <w:left w:w="108" w:type="dxa"/>
              <w:bottom w:w="0" w:type="dxa"/>
              <w:right w:w="108" w:type="dxa"/>
            </w:tcMar>
            <w:vAlign w:val="center"/>
          </w:tcPr>
          <w:p w14:paraId="0DC2DFA2" w14:textId="77777777" w:rsidR="009D215A" w:rsidRPr="00436D27" w:rsidRDefault="009D215A" w:rsidP="00EE58A9">
            <w:pPr>
              <w:jc w:val="center"/>
              <w:rPr>
                <w:sz w:val="16"/>
                <w:szCs w:val="16"/>
                <w:lang w:eastAsia="en-US"/>
              </w:rPr>
            </w:pPr>
            <w:r w:rsidRPr="00436D27">
              <w:rPr>
                <w:sz w:val="16"/>
                <w:szCs w:val="16"/>
                <w:lang w:eastAsia="en-US"/>
              </w:rPr>
              <w:t>82,9 km</w:t>
            </w:r>
          </w:p>
        </w:tc>
        <w:tc>
          <w:tcPr>
            <w:tcW w:w="1076" w:type="pct"/>
            <w:tcMar>
              <w:top w:w="0" w:type="dxa"/>
              <w:left w:w="108" w:type="dxa"/>
              <w:bottom w:w="0" w:type="dxa"/>
              <w:right w:w="108" w:type="dxa"/>
            </w:tcMar>
            <w:vAlign w:val="center"/>
          </w:tcPr>
          <w:p w14:paraId="0809F59D" w14:textId="77777777" w:rsidR="009D215A" w:rsidRPr="00436D27" w:rsidRDefault="009D215A" w:rsidP="00EE58A9">
            <w:pPr>
              <w:jc w:val="center"/>
              <w:rPr>
                <w:sz w:val="16"/>
                <w:szCs w:val="16"/>
                <w:lang w:eastAsia="en-US"/>
              </w:rPr>
            </w:pPr>
            <w:r w:rsidRPr="00436D27">
              <w:rPr>
                <w:sz w:val="16"/>
                <w:szCs w:val="16"/>
                <w:lang w:eastAsia="en-US"/>
              </w:rPr>
              <w:t>45,28</w:t>
            </w:r>
          </w:p>
        </w:tc>
        <w:tc>
          <w:tcPr>
            <w:tcW w:w="1072" w:type="pct"/>
            <w:tcMar>
              <w:top w:w="0" w:type="dxa"/>
              <w:left w:w="108" w:type="dxa"/>
              <w:bottom w:w="0" w:type="dxa"/>
              <w:right w:w="108" w:type="dxa"/>
            </w:tcMar>
            <w:vAlign w:val="center"/>
          </w:tcPr>
          <w:p w14:paraId="01203E83" w14:textId="77777777" w:rsidR="009D215A" w:rsidRPr="00436D27" w:rsidRDefault="009D215A" w:rsidP="00EE58A9">
            <w:pPr>
              <w:jc w:val="center"/>
              <w:rPr>
                <w:sz w:val="16"/>
                <w:szCs w:val="16"/>
                <w:lang w:eastAsia="en-US"/>
              </w:rPr>
            </w:pPr>
            <w:r w:rsidRPr="00436D27">
              <w:rPr>
                <w:sz w:val="16"/>
                <w:szCs w:val="16"/>
                <w:lang w:eastAsia="en-US"/>
              </w:rPr>
              <w:t>54,6%</w:t>
            </w:r>
          </w:p>
        </w:tc>
      </w:tr>
      <w:tr w:rsidR="009D215A" w:rsidRPr="00436D27" w14:paraId="51063889" w14:textId="77777777" w:rsidTr="00C22C26">
        <w:trPr>
          <w:trHeight w:val="568"/>
        </w:trPr>
        <w:tc>
          <w:tcPr>
            <w:tcW w:w="798" w:type="pct"/>
            <w:tcMar>
              <w:top w:w="0" w:type="dxa"/>
              <w:left w:w="108" w:type="dxa"/>
              <w:bottom w:w="0" w:type="dxa"/>
              <w:right w:w="108" w:type="dxa"/>
            </w:tcMar>
            <w:vAlign w:val="center"/>
          </w:tcPr>
          <w:p w14:paraId="34D0895C"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3F3250BC" w14:textId="77777777" w:rsidR="009D215A" w:rsidRPr="00436D27" w:rsidRDefault="009D215A" w:rsidP="00EE58A9">
            <w:pPr>
              <w:jc w:val="center"/>
              <w:rPr>
                <w:sz w:val="16"/>
                <w:szCs w:val="16"/>
                <w:lang w:eastAsia="en-US"/>
              </w:rPr>
            </w:pPr>
            <w:r w:rsidRPr="00436D27">
              <w:rPr>
                <w:sz w:val="16"/>
                <w:szCs w:val="16"/>
                <w:lang w:eastAsia="en-US"/>
              </w:rPr>
              <w:t>Liczba dodatkowych osób korzystających</w:t>
            </w:r>
            <w:r w:rsidR="00E66B89">
              <w:rPr>
                <w:sz w:val="16"/>
                <w:szCs w:val="16"/>
                <w:lang w:eastAsia="en-US"/>
              </w:rPr>
              <w:t xml:space="preserve"> z </w:t>
            </w:r>
            <w:r w:rsidRPr="00436D27">
              <w:rPr>
                <w:sz w:val="16"/>
                <w:szCs w:val="16"/>
                <w:lang w:eastAsia="en-US"/>
              </w:rPr>
              <w:t>ulepszonego oczyszczania ścieków</w:t>
            </w:r>
          </w:p>
        </w:tc>
        <w:tc>
          <w:tcPr>
            <w:tcW w:w="777" w:type="pct"/>
            <w:tcMar>
              <w:top w:w="0" w:type="dxa"/>
              <w:left w:w="108" w:type="dxa"/>
              <w:bottom w:w="0" w:type="dxa"/>
              <w:right w:w="108" w:type="dxa"/>
            </w:tcMar>
            <w:vAlign w:val="center"/>
          </w:tcPr>
          <w:p w14:paraId="08500CA0" w14:textId="77777777" w:rsidR="009D215A" w:rsidRPr="00436D27" w:rsidRDefault="009D215A" w:rsidP="00EE58A9">
            <w:pPr>
              <w:jc w:val="center"/>
              <w:rPr>
                <w:sz w:val="16"/>
                <w:szCs w:val="16"/>
                <w:lang w:eastAsia="en-US"/>
              </w:rPr>
            </w:pPr>
            <w:r w:rsidRPr="00436D27">
              <w:rPr>
                <w:sz w:val="16"/>
                <w:szCs w:val="16"/>
                <w:lang w:eastAsia="en-US"/>
              </w:rPr>
              <w:t>5623 RLM</w:t>
            </w:r>
          </w:p>
        </w:tc>
        <w:tc>
          <w:tcPr>
            <w:tcW w:w="1076" w:type="pct"/>
            <w:tcMar>
              <w:top w:w="0" w:type="dxa"/>
              <w:left w:w="108" w:type="dxa"/>
              <w:bottom w:w="0" w:type="dxa"/>
              <w:right w:w="108" w:type="dxa"/>
            </w:tcMar>
            <w:vAlign w:val="center"/>
          </w:tcPr>
          <w:p w14:paraId="0200FED1" w14:textId="77777777" w:rsidR="009D215A" w:rsidRPr="00436D27" w:rsidRDefault="009D215A" w:rsidP="00EE58A9">
            <w:pPr>
              <w:jc w:val="center"/>
              <w:rPr>
                <w:sz w:val="16"/>
                <w:szCs w:val="16"/>
                <w:lang w:eastAsia="en-US"/>
              </w:rPr>
            </w:pPr>
            <w:r w:rsidRPr="00436D27">
              <w:rPr>
                <w:sz w:val="16"/>
                <w:szCs w:val="16"/>
                <w:lang w:eastAsia="en-US"/>
              </w:rPr>
              <w:t>20 635</w:t>
            </w:r>
          </w:p>
        </w:tc>
        <w:tc>
          <w:tcPr>
            <w:tcW w:w="1072" w:type="pct"/>
            <w:tcMar>
              <w:top w:w="0" w:type="dxa"/>
              <w:left w:w="108" w:type="dxa"/>
              <w:bottom w:w="0" w:type="dxa"/>
              <w:right w:w="108" w:type="dxa"/>
            </w:tcMar>
            <w:vAlign w:val="center"/>
          </w:tcPr>
          <w:p w14:paraId="7B3C3D3D" w14:textId="77777777" w:rsidR="009D215A" w:rsidRPr="00436D27" w:rsidRDefault="009D215A" w:rsidP="00EE58A9">
            <w:pPr>
              <w:jc w:val="center"/>
              <w:rPr>
                <w:sz w:val="16"/>
                <w:szCs w:val="16"/>
                <w:lang w:eastAsia="en-US"/>
              </w:rPr>
            </w:pPr>
            <w:r w:rsidRPr="00436D27">
              <w:rPr>
                <w:sz w:val="16"/>
                <w:szCs w:val="16"/>
                <w:lang w:eastAsia="en-US"/>
              </w:rPr>
              <w:t>367,0%</w:t>
            </w:r>
          </w:p>
        </w:tc>
      </w:tr>
      <w:tr w:rsidR="009D215A" w:rsidRPr="00436D27" w14:paraId="324F5813" w14:textId="77777777" w:rsidTr="00C22C26">
        <w:trPr>
          <w:trHeight w:val="568"/>
        </w:trPr>
        <w:tc>
          <w:tcPr>
            <w:tcW w:w="798" w:type="pct"/>
            <w:tcMar>
              <w:top w:w="0" w:type="dxa"/>
              <w:left w:w="108" w:type="dxa"/>
              <w:bottom w:w="0" w:type="dxa"/>
              <w:right w:w="108" w:type="dxa"/>
            </w:tcMar>
            <w:vAlign w:val="center"/>
          </w:tcPr>
          <w:p w14:paraId="76B3B569" w14:textId="77777777" w:rsidR="009D215A" w:rsidRPr="00436D27" w:rsidRDefault="009D215A" w:rsidP="00EE58A9">
            <w:pPr>
              <w:jc w:val="center"/>
              <w:rPr>
                <w:sz w:val="16"/>
                <w:szCs w:val="16"/>
                <w:lang w:eastAsia="en-US"/>
              </w:rPr>
            </w:pPr>
            <w:r w:rsidRPr="00436D27">
              <w:rPr>
                <w:sz w:val="16"/>
                <w:szCs w:val="16"/>
                <w:lang w:eastAsia="en-US"/>
              </w:rPr>
              <w:t>Wskaźnik rezultatu strategicznego</w:t>
            </w:r>
          </w:p>
        </w:tc>
        <w:tc>
          <w:tcPr>
            <w:tcW w:w="1277" w:type="pct"/>
            <w:tcMar>
              <w:top w:w="0" w:type="dxa"/>
              <w:left w:w="108" w:type="dxa"/>
              <w:bottom w:w="0" w:type="dxa"/>
              <w:right w:w="108" w:type="dxa"/>
            </w:tcMar>
            <w:vAlign w:val="center"/>
          </w:tcPr>
          <w:p w14:paraId="67436E95" w14:textId="77777777" w:rsidR="009D215A" w:rsidRPr="00436D27" w:rsidRDefault="009D215A" w:rsidP="00EE58A9">
            <w:pPr>
              <w:jc w:val="center"/>
              <w:rPr>
                <w:sz w:val="16"/>
                <w:szCs w:val="16"/>
                <w:lang w:eastAsia="en-US"/>
              </w:rPr>
            </w:pPr>
            <w:r w:rsidRPr="00404DA5">
              <w:rPr>
                <w:rFonts w:cs="Calibri"/>
                <w:sz w:val="16"/>
                <w:szCs w:val="20"/>
                <w:lang w:eastAsia="en-US"/>
              </w:rPr>
              <w:t>Odsetek ludności korzystającej</w:t>
            </w:r>
            <w:r w:rsidR="00E66B89">
              <w:rPr>
                <w:rFonts w:cs="Calibri"/>
                <w:sz w:val="16"/>
                <w:szCs w:val="20"/>
                <w:lang w:eastAsia="en-US"/>
              </w:rPr>
              <w:t xml:space="preserve"> z </w:t>
            </w:r>
            <w:r w:rsidRPr="00404DA5">
              <w:rPr>
                <w:rFonts w:cs="Calibri"/>
                <w:sz w:val="16"/>
                <w:szCs w:val="20"/>
                <w:lang w:eastAsia="en-US"/>
              </w:rPr>
              <w:t>oczyszczalni ścieków</w:t>
            </w:r>
          </w:p>
        </w:tc>
        <w:tc>
          <w:tcPr>
            <w:tcW w:w="777" w:type="pct"/>
            <w:tcMar>
              <w:top w:w="0" w:type="dxa"/>
              <w:left w:w="108" w:type="dxa"/>
              <w:bottom w:w="0" w:type="dxa"/>
              <w:right w:w="108" w:type="dxa"/>
            </w:tcMar>
          </w:tcPr>
          <w:p w14:paraId="20F64AA2" w14:textId="77777777" w:rsidR="009D215A" w:rsidRPr="00436D27" w:rsidRDefault="009D215A" w:rsidP="00EE58A9">
            <w:pPr>
              <w:jc w:val="center"/>
              <w:rPr>
                <w:sz w:val="16"/>
                <w:szCs w:val="16"/>
                <w:lang w:eastAsia="en-US"/>
              </w:rPr>
            </w:pPr>
            <w:r w:rsidRPr="00404DA5">
              <w:rPr>
                <w:rFonts w:cs="Calibri"/>
                <w:sz w:val="16"/>
                <w:szCs w:val="20"/>
                <w:lang w:eastAsia="en-US"/>
              </w:rPr>
              <w:t>85%</w:t>
            </w:r>
          </w:p>
        </w:tc>
        <w:tc>
          <w:tcPr>
            <w:tcW w:w="1076" w:type="pct"/>
            <w:tcMar>
              <w:top w:w="0" w:type="dxa"/>
              <w:left w:w="108" w:type="dxa"/>
              <w:bottom w:w="0" w:type="dxa"/>
              <w:right w:w="108" w:type="dxa"/>
            </w:tcMar>
          </w:tcPr>
          <w:p w14:paraId="2399F009" w14:textId="77777777" w:rsidR="009D215A" w:rsidRPr="00436D27" w:rsidRDefault="009D215A" w:rsidP="00EE58A9">
            <w:pPr>
              <w:jc w:val="center"/>
              <w:rPr>
                <w:sz w:val="16"/>
                <w:szCs w:val="16"/>
                <w:lang w:eastAsia="en-US"/>
              </w:rPr>
            </w:pPr>
            <w:r w:rsidRPr="00404DA5">
              <w:rPr>
                <w:rFonts w:cs="Calibri"/>
                <w:sz w:val="16"/>
                <w:szCs w:val="20"/>
                <w:lang w:eastAsia="en-US"/>
              </w:rPr>
              <w:t>85%</w:t>
            </w:r>
          </w:p>
        </w:tc>
        <w:tc>
          <w:tcPr>
            <w:tcW w:w="1072" w:type="pct"/>
            <w:tcMar>
              <w:top w:w="0" w:type="dxa"/>
              <w:left w:w="108" w:type="dxa"/>
              <w:bottom w:w="0" w:type="dxa"/>
              <w:right w:w="108" w:type="dxa"/>
            </w:tcMar>
            <w:vAlign w:val="center"/>
          </w:tcPr>
          <w:p w14:paraId="639A522C" w14:textId="77777777" w:rsidR="009D215A" w:rsidRPr="00436D27" w:rsidRDefault="009D215A" w:rsidP="00EE58A9">
            <w:pPr>
              <w:jc w:val="center"/>
              <w:rPr>
                <w:sz w:val="16"/>
                <w:szCs w:val="16"/>
                <w:lang w:eastAsia="en-US"/>
              </w:rPr>
            </w:pPr>
            <w:r w:rsidRPr="00436D27">
              <w:rPr>
                <w:sz w:val="16"/>
                <w:szCs w:val="16"/>
                <w:lang w:eastAsia="en-US"/>
              </w:rPr>
              <w:t>100,0%</w:t>
            </w:r>
          </w:p>
        </w:tc>
      </w:tr>
      <w:tr w:rsidR="009D215A" w:rsidRPr="00436D27" w14:paraId="2FC841EE" w14:textId="77777777" w:rsidTr="00C22C26">
        <w:trPr>
          <w:trHeight w:val="568"/>
        </w:trPr>
        <w:tc>
          <w:tcPr>
            <w:tcW w:w="798" w:type="pct"/>
            <w:tcMar>
              <w:top w:w="0" w:type="dxa"/>
              <w:left w:w="108" w:type="dxa"/>
              <w:bottom w:w="0" w:type="dxa"/>
              <w:right w:w="108" w:type="dxa"/>
            </w:tcMar>
            <w:vAlign w:val="center"/>
          </w:tcPr>
          <w:p w14:paraId="28F28E92" w14:textId="77777777" w:rsidR="009D215A" w:rsidRPr="00436D27" w:rsidRDefault="009D215A" w:rsidP="00EE58A9">
            <w:pPr>
              <w:jc w:val="center"/>
              <w:rPr>
                <w:sz w:val="16"/>
                <w:szCs w:val="16"/>
                <w:lang w:eastAsia="en-US"/>
              </w:rPr>
            </w:pPr>
            <w:r w:rsidRPr="00436D27">
              <w:rPr>
                <w:sz w:val="16"/>
                <w:szCs w:val="16"/>
                <w:lang w:eastAsia="en-US"/>
              </w:rPr>
              <w:t>Wskaźnik rezultatu strategicznego</w:t>
            </w:r>
          </w:p>
        </w:tc>
        <w:tc>
          <w:tcPr>
            <w:tcW w:w="1277" w:type="pct"/>
            <w:tcMar>
              <w:top w:w="0" w:type="dxa"/>
              <w:left w:w="108" w:type="dxa"/>
              <w:bottom w:w="0" w:type="dxa"/>
              <w:right w:w="108" w:type="dxa"/>
            </w:tcMar>
            <w:vAlign w:val="center"/>
          </w:tcPr>
          <w:p w14:paraId="7C543D52" w14:textId="77777777" w:rsidR="009D215A" w:rsidRPr="00436D27" w:rsidRDefault="009D215A" w:rsidP="00EE58A9">
            <w:pPr>
              <w:jc w:val="center"/>
              <w:rPr>
                <w:sz w:val="16"/>
                <w:szCs w:val="16"/>
                <w:lang w:eastAsia="en-US"/>
              </w:rPr>
            </w:pPr>
            <w:r w:rsidRPr="00404DA5">
              <w:rPr>
                <w:rFonts w:cs="Calibri"/>
                <w:sz w:val="16"/>
                <w:szCs w:val="20"/>
                <w:lang w:eastAsia="en-US"/>
              </w:rPr>
              <w:t>Odsetek oczyszczalni spełniających warunek III dyrektywy 91/271/EWG</w:t>
            </w:r>
            <w:r w:rsidR="00E66B89">
              <w:rPr>
                <w:rFonts w:cs="Calibri"/>
                <w:sz w:val="16"/>
                <w:szCs w:val="20"/>
                <w:lang w:eastAsia="en-US"/>
              </w:rPr>
              <w:t xml:space="preserve"> w </w:t>
            </w:r>
            <w:r w:rsidRPr="00404DA5">
              <w:rPr>
                <w:rFonts w:cs="Calibri"/>
                <w:sz w:val="16"/>
                <w:szCs w:val="20"/>
                <w:lang w:eastAsia="en-US"/>
              </w:rPr>
              <w:t>ogólnej liczbie oczyszczalni</w:t>
            </w:r>
            <w:r w:rsidR="00E66B89">
              <w:rPr>
                <w:rFonts w:cs="Calibri"/>
                <w:sz w:val="16"/>
                <w:szCs w:val="20"/>
                <w:lang w:eastAsia="en-US"/>
              </w:rPr>
              <w:t xml:space="preserve"> w </w:t>
            </w:r>
            <w:r w:rsidRPr="00404DA5">
              <w:rPr>
                <w:rFonts w:cs="Calibri"/>
                <w:sz w:val="16"/>
                <w:szCs w:val="20"/>
                <w:lang w:eastAsia="en-US"/>
              </w:rPr>
              <w:t>KPOŚK</w:t>
            </w:r>
          </w:p>
        </w:tc>
        <w:tc>
          <w:tcPr>
            <w:tcW w:w="777" w:type="pct"/>
            <w:tcMar>
              <w:top w:w="0" w:type="dxa"/>
              <w:left w:w="108" w:type="dxa"/>
              <w:bottom w:w="0" w:type="dxa"/>
              <w:right w:w="108" w:type="dxa"/>
            </w:tcMar>
          </w:tcPr>
          <w:p w14:paraId="46C15B2A" w14:textId="77777777" w:rsidR="009D215A" w:rsidRPr="00404DA5" w:rsidRDefault="009D215A" w:rsidP="00EE58A9">
            <w:pPr>
              <w:rPr>
                <w:rFonts w:cs="Calibri"/>
                <w:sz w:val="16"/>
                <w:szCs w:val="20"/>
                <w:lang w:eastAsia="en-US"/>
              </w:rPr>
            </w:pPr>
          </w:p>
          <w:p w14:paraId="02D33526" w14:textId="77777777" w:rsidR="009D215A" w:rsidRPr="00436D27" w:rsidRDefault="009D215A" w:rsidP="00EE58A9">
            <w:pPr>
              <w:jc w:val="center"/>
              <w:rPr>
                <w:sz w:val="16"/>
                <w:szCs w:val="16"/>
                <w:lang w:eastAsia="en-US"/>
              </w:rPr>
            </w:pPr>
            <w:r w:rsidRPr="00404DA5">
              <w:rPr>
                <w:rFonts w:cs="Calibri"/>
                <w:sz w:val="16"/>
                <w:szCs w:val="20"/>
                <w:lang w:eastAsia="en-US"/>
              </w:rPr>
              <w:t>100%</w:t>
            </w:r>
          </w:p>
        </w:tc>
        <w:tc>
          <w:tcPr>
            <w:tcW w:w="1076" w:type="pct"/>
            <w:tcMar>
              <w:top w:w="0" w:type="dxa"/>
              <w:left w:w="108" w:type="dxa"/>
              <w:bottom w:w="0" w:type="dxa"/>
              <w:right w:w="108" w:type="dxa"/>
            </w:tcMar>
            <w:vAlign w:val="center"/>
          </w:tcPr>
          <w:p w14:paraId="7BAAB2F1" w14:textId="77777777" w:rsidR="009D215A" w:rsidRPr="00436D27" w:rsidRDefault="009D215A" w:rsidP="00EE58A9">
            <w:pPr>
              <w:jc w:val="center"/>
              <w:rPr>
                <w:sz w:val="16"/>
                <w:szCs w:val="16"/>
                <w:lang w:eastAsia="en-US"/>
              </w:rPr>
            </w:pPr>
            <w:r>
              <w:rPr>
                <w:sz w:val="16"/>
                <w:szCs w:val="16"/>
                <w:lang w:eastAsia="en-US"/>
              </w:rPr>
              <w:t>68,4</w:t>
            </w:r>
            <w:r w:rsidRPr="00436D27">
              <w:rPr>
                <w:sz w:val="16"/>
                <w:szCs w:val="16"/>
                <w:lang w:eastAsia="en-US"/>
              </w:rPr>
              <w:t>%</w:t>
            </w:r>
          </w:p>
        </w:tc>
        <w:tc>
          <w:tcPr>
            <w:tcW w:w="1072" w:type="pct"/>
            <w:tcMar>
              <w:top w:w="0" w:type="dxa"/>
              <w:left w:w="108" w:type="dxa"/>
              <w:bottom w:w="0" w:type="dxa"/>
              <w:right w:w="108" w:type="dxa"/>
            </w:tcMar>
            <w:vAlign w:val="center"/>
          </w:tcPr>
          <w:p w14:paraId="5E9FB3F9" w14:textId="77777777" w:rsidR="009D215A" w:rsidRPr="00436D27" w:rsidRDefault="009D215A" w:rsidP="00EE58A9">
            <w:pPr>
              <w:jc w:val="center"/>
              <w:rPr>
                <w:sz w:val="16"/>
                <w:szCs w:val="16"/>
                <w:lang w:eastAsia="en-US"/>
              </w:rPr>
            </w:pPr>
            <w:r w:rsidRPr="00436D27">
              <w:rPr>
                <w:sz w:val="16"/>
                <w:szCs w:val="16"/>
                <w:lang w:eastAsia="en-US"/>
              </w:rPr>
              <w:t>6</w:t>
            </w:r>
            <w:r>
              <w:rPr>
                <w:sz w:val="16"/>
                <w:szCs w:val="16"/>
                <w:lang w:eastAsia="en-US"/>
              </w:rPr>
              <w:t>8</w:t>
            </w:r>
            <w:r w:rsidRPr="00436D27">
              <w:rPr>
                <w:sz w:val="16"/>
                <w:szCs w:val="16"/>
                <w:lang w:eastAsia="en-US"/>
              </w:rPr>
              <w:t>,</w:t>
            </w:r>
            <w:r>
              <w:rPr>
                <w:sz w:val="16"/>
                <w:szCs w:val="16"/>
                <w:lang w:eastAsia="en-US"/>
              </w:rPr>
              <w:t>4</w:t>
            </w:r>
            <w:r w:rsidRPr="00436D27">
              <w:rPr>
                <w:sz w:val="16"/>
                <w:szCs w:val="16"/>
                <w:lang w:eastAsia="en-US"/>
              </w:rPr>
              <w:t>%</w:t>
            </w:r>
          </w:p>
        </w:tc>
      </w:tr>
    </w:tbl>
    <w:p w14:paraId="30962592" w14:textId="77777777" w:rsidR="009D215A" w:rsidRPr="002A5FDF" w:rsidRDefault="009D215A" w:rsidP="005076BF">
      <w:pPr>
        <w:spacing w:before="0"/>
        <w:rPr>
          <w:i/>
          <w:sz w:val="18"/>
          <w:szCs w:val="20"/>
        </w:rPr>
      </w:pPr>
      <w:r w:rsidRPr="002A5FDF">
        <w:rPr>
          <w:i/>
          <w:sz w:val="18"/>
          <w:szCs w:val="20"/>
        </w:rPr>
        <w:t xml:space="preserve"> 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 xml:space="preserve">zawartych UoD na dzień 07.01.2019 r., obliczenia własne. </w:t>
      </w:r>
    </w:p>
    <w:p w14:paraId="0B2C3147" w14:textId="77777777" w:rsidR="009D215A" w:rsidRPr="00404DA5" w:rsidRDefault="009D215A" w:rsidP="009D215A">
      <w:pPr>
        <w:rPr>
          <w:rFonts w:cs="Calibri"/>
          <w:szCs w:val="20"/>
        </w:rPr>
      </w:pPr>
      <w:r w:rsidRPr="00404DA5">
        <w:rPr>
          <w:rFonts w:cs="Calibri"/>
          <w:szCs w:val="20"/>
        </w:rPr>
        <w:t>Pomimo dostępności środków finansowych przeznaczonych na PI 6b</w:t>
      </w:r>
      <w:r>
        <w:rPr>
          <w:rFonts w:cs="Calibri"/>
          <w:szCs w:val="20"/>
        </w:rPr>
        <w:t xml:space="preserve"> -</w:t>
      </w:r>
      <w:r w:rsidRPr="00404DA5">
        <w:rPr>
          <w:rFonts w:cs="Calibri"/>
          <w:szCs w:val="20"/>
        </w:rPr>
        <w:t xml:space="preserve"> uwzględniając aktualny stan wdrażania RPO WZ 2014-2020 oraz potencjał aplikacyjny do realizacji projektów</w:t>
      </w:r>
      <w:r>
        <w:rPr>
          <w:rFonts w:cs="Calibri"/>
          <w:szCs w:val="20"/>
        </w:rPr>
        <w:t xml:space="preserve"> -</w:t>
      </w:r>
      <w:r w:rsidRPr="00404DA5">
        <w:rPr>
          <w:rFonts w:cs="Calibri"/>
          <w:szCs w:val="20"/>
        </w:rPr>
        <w:t xml:space="preserve"> prognozuje się, iż osiągnięcie wartości docelowej wskaźnika pn. </w:t>
      </w:r>
      <w:r w:rsidRPr="008B706B">
        <w:rPr>
          <w:rFonts w:cs="Calibri"/>
          <w:i/>
          <w:szCs w:val="20"/>
        </w:rPr>
        <w:t>Długość sieci kanalizacji sanitarnej</w:t>
      </w:r>
      <w:r>
        <w:rPr>
          <w:rFonts w:cs="Calibri"/>
          <w:i/>
          <w:szCs w:val="20"/>
        </w:rPr>
        <w:t xml:space="preserve"> </w:t>
      </w:r>
      <w:r w:rsidRPr="008B706B">
        <w:rPr>
          <w:rFonts w:cs="Calibri"/>
          <w:szCs w:val="20"/>
        </w:rPr>
        <w:t>może nie być możliwe</w:t>
      </w:r>
      <w:r w:rsidRPr="00404DA5">
        <w:rPr>
          <w:rFonts w:cs="Calibri"/>
          <w:szCs w:val="20"/>
        </w:rPr>
        <w:t xml:space="preserve">. Wszystkie pozostałe wskaźniki zostaną </w:t>
      </w:r>
      <w:r>
        <w:rPr>
          <w:rFonts w:cs="Calibri"/>
          <w:szCs w:val="20"/>
        </w:rPr>
        <w:t>osiągnięte</w:t>
      </w:r>
      <w:r w:rsidRPr="00404DA5">
        <w:rPr>
          <w:rFonts w:cs="Calibri"/>
          <w:szCs w:val="20"/>
        </w:rPr>
        <w:t xml:space="preserve"> (ponadto prognozuje się przekroczenie wartości docelowych). Potencjał do realizacji projektów wspierających </w:t>
      </w:r>
      <w:r>
        <w:rPr>
          <w:rFonts w:cs="Calibri"/>
          <w:szCs w:val="20"/>
        </w:rPr>
        <w:t>osiągnięcie</w:t>
      </w:r>
      <w:r w:rsidRPr="00404DA5">
        <w:rPr>
          <w:rFonts w:cs="Calibri"/>
          <w:szCs w:val="20"/>
        </w:rPr>
        <w:t xml:space="preserve"> tej wartości wskaźnika mógłby się pojawić dopiero</w:t>
      </w:r>
      <w:r w:rsidR="00E66B89">
        <w:rPr>
          <w:rFonts w:cs="Calibri"/>
          <w:szCs w:val="20"/>
        </w:rPr>
        <w:t xml:space="preserve"> w </w:t>
      </w:r>
      <w:r w:rsidRPr="00404DA5">
        <w:rPr>
          <w:rFonts w:cs="Calibri"/>
          <w:szCs w:val="20"/>
        </w:rPr>
        <w:t>momencie kolejnej aktualizacji KPOŚK (co</w:t>
      </w:r>
      <w:r>
        <w:rPr>
          <w:rFonts w:cs="Calibri"/>
          <w:szCs w:val="20"/>
        </w:rPr>
        <w:t>,</w:t>
      </w:r>
      <w:r w:rsidRPr="00404DA5">
        <w:rPr>
          <w:rFonts w:cs="Calibri"/>
          <w:szCs w:val="20"/>
        </w:rPr>
        <w:t xml:space="preserve"> biorąc pod uwagę konieczność zapewnienia wydatkowania środków zgodnie</w:t>
      </w:r>
      <w:r w:rsidR="00E66B89">
        <w:rPr>
          <w:rFonts w:cs="Calibri"/>
          <w:szCs w:val="20"/>
        </w:rPr>
        <w:t xml:space="preserve"> z </w:t>
      </w:r>
      <w:r w:rsidRPr="00404DA5">
        <w:rPr>
          <w:rFonts w:cs="Calibri"/>
          <w:szCs w:val="20"/>
        </w:rPr>
        <w:t>zasadą n+3</w:t>
      </w:r>
      <w:r>
        <w:rPr>
          <w:rFonts w:cs="Calibri"/>
          <w:szCs w:val="20"/>
        </w:rPr>
        <w:t>,</w:t>
      </w:r>
      <w:r w:rsidRPr="00404DA5">
        <w:rPr>
          <w:rFonts w:cs="Calibri"/>
          <w:szCs w:val="20"/>
        </w:rPr>
        <w:t xml:space="preserve"> dodatkowo poddaje</w:t>
      </w:r>
      <w:r w:rsidR="00E66B89">
        <w:rPr>
          <w:rFonts w:cs="Calibri"/>
          <w:szCs w:val="20"/>
        </w:rPr>
        <w:t xml:space="preserve"> w </w:t>
      </w:r>
      <w:r w:rsidRPr="00404DA5">
        <w:rPr>
          <w:rFonts w:cs="Calibri"/>
          <w:szCs w:val="20"/>
        </w:rPr>
        <w:t>wątpliwość możliwość organizacji ew</w:t>
      </w:r>
      <w:r>
        <w:rPr>
          <w:rFonts w:cs="Calibri"/>
          <w:szCs w:val="20"/>
        </w:rPr>
        <w:t>entualnych</w:t>
      </w:r>
      <w:r w:rsidRPr="00404DA5">
        <w:rPr>
          <w:rFonts w:cs="Calibri"/>
          <w:szCs w:val="20"/>
        </w:rPr>
        <w:t xml:space="preserve"> naborów</w:t>
      </w:r>
      <w:r w:rsidR="00E66B89">
        <w:rPr>
          <w:rFonts w:cs="Calibri"/>
          <w:szCs w:val="20"/>
        </w:rPr>
        <w:t xml:space="preserve"> w </w:t>
      </w:r>
      <w:r w:rsidRPr="00404DA5">
        <w:rPr>
          <w:rFonts w:cs="Calibri"/>
          <w:szCs w:val="20"/>
        </w:rPr>
        <w:t xml:space="preserve">późniejszym okresie wdrażania RPO WZ 2014-2020). Mając na uwadze szacowaną kwotę jaka pozostanie po zakończeniu V naboru wniosków oraz średni koszt jednostkowy realizacji 1 km kanalizacji można hipotetycznie zakładać, iż przeznaczenie całej tej alokacji na realizację projektów dotyczących kanalizacji mogłoby umożliwić </w:t>
      </w:r>
      <w:r>
        <w:rPr>
          <w:rFonts w:cs="Calibri"/>
          <w:szCs w:val="20"/>
        </w:rPr>
        <w:t>osiągnięcie</w:t>
      </w:r>
      <w:r w:rsidRPr="00404DA5">
        <w:rPr>
          <w:rFonts w:cs="Calibri"/>
          <w:szCs w:val="20"/>
        </w:rPr>
        <w:t xml:space="preserve"> założonej wartości docelowej na 2023. Natomiast jak już </w:t>
      </w:r>
      <w:r>
        <w:rPr>
          <w:rFonts w:cs="Calibri"/>
          <w:szCs w:val="20"/>
        </w:rPr>
        <w:t>wskazano</w:t>
      </w:r>
      <w:r w:rsidRPr="00404DA5">
        <w:rPr>
          <w:rFonts w:cs="Calibri"/>
          <w:szCs w:val="20"/>
        </w:rPr>
        <w:t>, mając na uwadze aktualne zapisy KPOŚK oraz potencjał do realizacji projektów</w:t>
      </w:r>
      <w:r>
        <w:rPr>
          <w:rFonts w:cs="Calibri"/>
          <w:szCs w:val="20"/>
        </w:rPr>
        <w:t>,</w:t>
      </w:r>
      <w:r w:rsidRPr="00404DA5">
        <w:rPr>
          <w:rFonts w:cs="Calibri"/>
          <w:szCs w:val="20"/>
        </w:rPr>
        <w:t xml:space="preserve"> prognoza ta nie wydaje się być realna.</w:t>
      </w:r>
    </w:p>
    <w:p w14:paraId="396B1F19"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Możliwości zarządzania środkami rezerwy wykonania</w:t>
      </w:r>
      <w:r w:rsidR="00E66B89">
        <w:rPr>
          <w:rFonts w:ascii="Lato" w:eastAsia="Calibri" w:hAnsi="Lato"/>
        </w:rPr>
        <w:t xml:space="preserve"> i </w:t>
      </w:r>
      <w:r w:rsidRPr="00436D27">
        <w:rPr>
          <w:rFonts w:ascii="Lato" w:eastAsia="Calibri" w:hAnsi="Lato"/>
        </w:rPr>
        <w:t>identyfikacja obszarów wymagających interwencji - podsumowanie</w:t>
      </w:r>
    </w:p>
    <w:p w14:paraId="5D94E5A9" w14:textId="77777777" w:rsidR="009D215A" w:rsidRPr="00404DA5" w:rsidRDefault="009D215A" w:rsidP="009D215A">
      <w:pPr>
        <w:rPr>
          <w:rFonts w:cs="Calibri"/>
          <w:szCs w:val="20"/>
        </w:rPr>
      </w:pPr>
      <w:r>
        <w:rPr>
          <w:rFonts w:cs="Calibri"/>
          <w:szCs w:val="20"/>
        </w:rPr>
        <w:t>O</w:t>
      </w:r>
      <w:r w:rsidRPr="00404DA5">
        <w:rPr>
          <w:rFonts w:cs="Calibri"/>
          <w:szCs w:val="20"/>
        </w:rPr>
        <w:t>bszar</w:t>
      </w:r>
      <w:r>
        <w:rPr>
          <w:rFonts w:cs="Calibri"/>
          <w:szCs w:val="20"/>
        </w:rPr>
        <w:t>,</w:t>
      </w:r>
      <w:r w:rsidR="00E66B89">
        <w:rPr>
          <w:rFonts w:cs="Calibri"/>
          <w:szCs w:val="20"/>
        </w:rPr>
        <w:t xml:space="preserve"> w </w:t>
      </w:r>
      <w:r w:rsidRPr="00404DA5">
        <w:rPr>
          <w:rFonts w:cs="Calibri"/>
          <w:szCs w:val="20"/>
        </w:rPr>
        <w:t>którym uzyskane wartości wskaźnika są</w:t>
      </w:r>
      <w:r w:rsidR="00E66B89">
        <w:rPr>
          <w:rFonts w:cs="Calibri"/>
          <w:szCs w:val="20"/>
        </w:rPr>
        <w:t xml:space="preserve"> i </w:t>
      </w:r>
      <w:r w:rsidRPr="00404DA5">
        <w:rPr>
          <w:rFonts w:cs="Calibri"/>
          <w:szCs w:val="20"/>
        </w:rPr>
        <w:t>prawdopodobnie pozostaną niewystarczające</w:t>
      </w:r>
      <w:r w:rsidR="00E66B89">
        <w:rPr>
          <w:rFonts w:cs="Calibri"/>
          <w:szCs w:val="20"/>
        </w:rPr>
        <w:t xml:space="preserve"> w </w:t>
      </w:r>
      <w:r w:rsidRPr="00404DA5">
        <w:rPr>
          <w:rFonts w:cs="Calibri"/>
          <w:szCs w:val="20"/>
        </w:rPr>
        <w:t>kontekście założonych docelowych wartości wskaźników</w:t>
      </w:r>
      <w:r>
        <w:rPr>
          <w:rFonts w:cs="Calibri"/>
          <w:szCs w:val="20"/>
        </w:rPr>
        <w:t>,</w:t>
      </w:r>
      <w:r w:rsidRPr="00404DA5">
        <w:rPr>
          <w:rFonts w:cs="Calibri"/>
          <w:szCs w:val="20"/>
        </w:rPr>
        <w:t xml:space="preserve"> związany jest ze wsparciem skierowanym na rozwój sieci kanalizacji sanitarnej. Wsparcie</w:t>
      </w:r>
      <w:r w:rsidR="00E66B89">
        <w:rPr>
          <w:rFonts w:cs="Calibri"/>
          <w:szCs w:val="20"/>
        </w:rPr>
        <w:t xml:space="preserve"> w </w:t>
      </w:r>
      <w:r w:rsidRPr="00404DA5">
        <w:rPr>
          <w:rFonts w:cs="Calibri"/>
          <w:szCs w:val="20"/>
        </w:rPr>
        <w:t>ramach PI 6b może być skierowane wyłącznie dla aglomeracji wpisanych</w:t>
      </w:r>
      <w:r w:rsidR="00E66B89">
        <w:rPr>
          <w:rFonts w:cs="Calibri"/>
          <w:szCs w:val="20"/>
        </w:rPr>
        <w:t xml:space="preserve"> w </w:t>
      </w:r>
      <w:r w:rsidRPr="00404DA5">
        <w:rPr>
          <w:rFonts w:cs="Calibri"/>
          <w:szCs w:val="20"/>
        </w:rPr>
        <w:t>KPOŚK od 2 do 10 tys. RLM.</w:t>
      </w:r>
      <w:r w:rsidR="00E66B89">
        <w:rPr>
          <w:rFonts w:cs="Calibri"/>
          <w:szCs w:val="20"/>
        </w:rPr>
        <w:t xml:space="preserve"> Z </w:t>
      </w:r>
      <w:r w:rsidRPr="00404DA5">
        <w:rPr>
          <w:rFonts w:cs="Calibri"/>
          <w:szCs w:val="20"/>
        </w:rPr>
        <w:t xml:space="preserve">tego względu </w:t>
      </w:r>
      <w:r>
        <w:rPr>
          <w:rFonts w:cs="Calibri"/>
          <w:szCs w:val="20"/>
        </w:rPr>
        <w:t>jedynym</w:t>
      </w:r>
      <w:r w:rsidRPr="00404DA5">
        <w:rPr>
          <w:rFonts w:cs="Calibri"/>
          <w:szCs w:val="20"/>
        </w:rPr>
        <w:t xml:space="preserve"> działani</w:t>
      </w:r>
      <w:r>
        <w:rPr>
          <w:rFonts w:cs="Calibri"/>
          <w:szCs w:val="20"/>
        </w:rPr>
        <w:t>em</w:t>
      </w:r>
      <w:r w:rsidRPr="00404DA5">
        <w:rPr>
          <w:rFonts w:cs="Calibri"/>
          <w:szCs w:val="20"/>
        </w:rPr>
        <w:t xml:space="preserve">, jaki można </w:t>
      </w:r>
      <w:r>
        <w:rPr>
          <w:rFonts w:cs="Calibri"/>
          <w:szCs w:val="20"/>
        </w:rPr>
        <w:t>aktualnie przedsięwziąć</w:t>
      </w:r>
      <w:r w:rsidR="00E66B89">
        <w:rPr>
          <w:rFonts w:cs="Calibri"/>
          <w:szCs w:val="20"/>
        </w:rPr>
        <w:t xml:space="preserve"> w </w:t>
      </w:r>
      <w:r>
        <w:rPr>
          <w:rFonts w:cs="Calibri"/>
          <w:szCs w:val="20"/>
        </w:rPr>
        <w:t xml:space="preserve">celu </w:t>
      </w:r>
      <w:r w:rsidRPr="00404DA5">
        <w:rPr>
          <w:rFonts w:cs="Calibri"/>
          <w:szCs w:val="20"/>
        </w:rPr>
        <w:t>podjęcia próby osiągnięcia założonych</w:t>
      </w:r>
      <w:r w:rsidR="00E66B89">
        <w:rPr>
          <w:rFonts w:cs="Calibri"/>
          <w:szCs w:val="20"/>
        </w:rPr>
        <w:t xml:space="preserve"> w </w:t>
      </w:r>
      <w:r w:rsidRPr="00404DA5">
        <w:rPr>
          <w:rFonts w:cs="Calibri"/>
          <w:szCs w:val="20"/>
        </w:rPr>
        <w:t>PI 6b wskaźników jest podjęcie dialogu IZ RPO WZ</w:t>
      </w:r>
      <w:r w:rsidR="00E66B89">
        <w:rPr>
          <w:rFonts w:cs="Calibri"/>
          <w:szCs w:val="20"/>
        </w:rPr>
        <w:t xml:space="preserve"> z </w:t>
      </w:r>
      <w:r w:rsidRPr="00404DA5">
        <w:rPr>
          <w:rFonts w:cs="Calibri"/>
          <w:szCs w:val="20"/>
        </w:rPr>
        <w:t>podmiotami uprawnionymi do realizacji projektów</w:t>
      </w:r>
      <w:r w:rsidR="00E66B89">
        <w:rPr>
          <w:rFonts w:cs="Calibri"/>
          <w:szCs w:val="20"/>
        </w:rPr>
        <w:t xml:space="preserve"> w </w:t>
      </w:r>
      <w:r w:rsidRPr="00404DA5">
        <w:rPr>
          <w:rFonts w:cs="Calibri"/>
          <w:szCs w:val="20"/>
        </w:rPr>
        <w:t>Działaniu 3.6. Ewaluator ma tutaj na myśli próbę zidentyfikowania takich aglomeracji, które już realizują / zrealizowały projekty</w:t>
      </w:r>
      <w:r w:rsidR="00E66B89">
        <w:rPr>
          <w:rFonts w:cs="Calibri"/>
          <w:szCs w:val="20"/>
        </w:rPr>
        <w:t xml:space="preserve"> w </w:t>
      </w:r>
      <w:r w:rsidRPr="00404DA5">
        <w:rPr>
          <w:rFonts w:cs="Calibri"/>
          <w:szCs w:val="20"/>
        </w:rPr>
        <w:t>Działaniu 3.6 i/lub 3.5,</w:t>
      </w:r>
      <w:r w:rsidR="00E66B89">
        <w:rPr>
          <w:rFonts w:cs="Calibri"/>
          <w:szCs w:val="20"/>
        </w:rPr>
        <w:t xml:space="preserve"> i </w:t>
      </w:r>
      <w:r w:rsidRPr="00404DA5">
        <w:rPr>
          <w:rFonts w:cs="Calibri"/>
          <w:szCs w:val="20"/>
        </w:rPr>
        <w:t>które mogłyby zidentyfikować dodatkowe potrzeby inwestycyjne do realizacji kolejnych projektów.</w:t>
      </w:r>
      <w:r w:rsidR="00E66B89">
        <w:rPr>
          <w:rFonts w:cs="Calibri"/>
          <w:szCs w:val="20"/>
        </w:rPr>
        <w:t xml:space="preserve"> W </w:t>
      </w:r>
      <w:r w:rsidRPr="00404DA5">
        <w:rPr>
          <w:rFonts w:cs="Calibri"/>
          <w:szCs w:val="20"/>
        </w:rPr>
        <w:t xml:space="preserve">sytuacji, gdyby takie ustalenia nie skutkowały identyfikacją odpowiednio licznej </w:t>
      </w:r>
      <w:r w:rsidRPr="00404DA5">
        <w:rPr>
          <w:rFonts w:cs="Calibri"/>
          <w:szCs w:val="20"/>
        </w:rPr>
        <w:lastRenderedPageBreak/>
        <w:t>grupy projektów</w:t>
      </w:r>
      <w:r>
        <w:rPr>
          <w:rFonts w:cs="Calibri"/>
          <w:szCs w:val="20"/>
        </w:rPr>
        <w:t>,</w:t>
      </w:r>
      <w:r w:rsidRPr="00404DA5">
        <w:rPr>
          <w:rFonts w:cs="Calibri"/>
          <w:szCs w:val="20"/>
        </w:rPr>
        <w:t xml:space="preserve"> pozostałą niewykorzystaną alokację</w:t>
      </w:r>
      <w:r w:rsidR="00E66B89">
        <w:rPr>
          <w:rFonts w:cs="Calibri"/>
          <w:szCs w:val="20"/>
        </w:rPr>
        <w:t xml:space="preserve"> w </w:t>
      </w:r>
      <w:r w:rsidRPr="00404DA5">
        <w:rPr>
          <w:rFonts w:cs="Calibri"/>
          <w:szCs w:val="20"/>
        </w:rPr>
        <w:t>ramach PI 6b należy przekierować na realizację innych PI.</w:t>
      </w:r>
      <w:r w:rsidR="00E66B89">
        <w:rPr>
          <w:rFonts w:cs="Calibri"/>
          <w:szCs w:val="20"/>
        </w:rPr>
        <w:t xml:space="preserve"> Z </w:t>
      </w:r>
      <w:r w:rsidRPr="00404DA5">
        <w:rPr>
          <w:rFonts w:cs="Calibri"/>
          <w:szCs w:val="20"/>
        </w:rPr>
        <w:t xml:space="preserve">tego względu decyzja odnośnie ewentualnej konieczności obniżenia wartości docelowej dla wskaźnika </w:t>
      </w:r>
      <w:r w:rsidRPr="008B706B">
        <w:rPr>
          <w:rFonts w:cs="Calibri"/>
          <w:i/>
          <w:szCs w:val="20"/>
        </w:rPr>
        <w:t>Długość sieci kanalizacji sanitarnej</w:t>
      </w:r>
      <w:r w:rsidRPr="00404DA5">
        <w:rPr>
          <w:rFonts w:cs="Calibri"/>
          <w:szCs w:val="20"/>
        </w:rPr>
        <w:t xml:space="preserve"> powinna zostać podjęta po zakończeniu naboru oraz</w:t>
      </w:r>
      <w:r>
        <w:rPr>
          <w:rFonts w:cs="Calibri"/>
          <w:szCs w:val="20"/>
        </w:rPr>
        <w:t xml:space="preserve"> przeprowadzeniu</w:t>
      </w:r>
      <w:r w:rsidRPr="00404DA5">
        <w:rPr>
          <w:rFonts w:cs="Calibri"/>
          <w:szCs w:val="20"/>
        </w:rPr>
        <w:t xml:space="preserve"> dialogu</w:t>
      </w:r>
      <w:r>
        <w:rPr>
          <w:rFonts w:cs="Calibri"/>
          <w:szCs w:val="20"/>
        </w:rPr>
        <w:t>,</w:t>
      </w:r>
      <w:r w:rsidR="00E66B89">
        <w:rPr>
          <w:rFonts w:cs="Calibri"/>
          <w:szCs w:val="20"/>
        </w:rPr>
        <w:t xml:space="preserve"> o </w:t>
      </w:r>
      <w:r w:rsidRPr="00404DA5">
        <w:rPr>
          <w:rFonts w:cs="Calibri"/>
          <w:szCs w:val="20"/>
        </w:rPr>
        <w:t>którym mowa powyżej.</w:t>
      </w:r>
    </w:p>
    <w:p w14:paraId="343B6D98" w14:textId="77777777" w:rsidR="009D215A" w:rsidRPr="00A73FB8" w:rsidRDefault="009D215A" w:rsidP="009D215A">
      <w:pPr>
        <w:rPr>
          <w:rFonts w:cs="Calibri"/>
          <w:szCs w:val="20"/>
        </w:rPr>
      </w:pPr>
      <w:r w:rsidRPr="00404DA5">
        <w:rPr>
          <w:rFonts w:cs="Calibri"/>
          <w:szCs w:val="20"/>
        </w:rPr>
        <w:t xml:space="preserve">Brak </w:t>
      </w:r>
      <w:r w:rsidRPr="00A73FB8">
        <w:rPr>
          <w:rFonts w:cs="Calibri"/>
          <w:szCs w:val="20"/>
        </w:rPr>
        <w:t xml:space="preserve">jest możliwości skierowania wsparcia na inny typ projektów, który umożliwiłby </w:t>
      </w:r>
      <w:r>
        <w:rPr>
          <w:rFonts w:cs="Calibri"/>
          <w:szCs w:val="20"/>
        </w:rPr>
        <w:t>osiągnięcie</w:t>
      </w:r>
      <w:r w:rsidRPr="00A73FB8">
        <w:rPr>
          <w:rFonts w:cs="Calibri"/>
          <w:szCs w:val="20"/>
        </w:rPr>
        <w:t xml:space="preserve"> tego wskaźnika.</w:t>
      </w:r>
    </w:p>
    <w:p w14:paraId="66E83AF4" w14:textId="77777777" w:rsidR="009D215A" w:rsidRPr="00404DA5" w:rsidRDefault="009D215A" w:rsidP="009D215A">
      <w:pPr>
        <w:rPr>
          <w:rFonts w:cs="Calibri"/>
          <w:szCs w:val="20"/>
        </w:rPr>
      </w:pPr>
      <w:r w:rsidRPr="008B706B">
        <w:rPr>
          <w:rFonts w:cs="Calibri"/>
          <w:szCs w:val="20"/>
        </w:rPr>
        <w:t>Nabór wniosków</w:t>
      </w:r>
      <w:r w:rsidR="00E66B89">
        <w:rPr>
          <w:rFonts w:cs="Calibri"/>
          <w:szCs w:val="20"/>
        </w:rPr>
        <w:t xml:space="preserve"> w </w:t>
      </w:r>
      <w:r w:rsidRPr="008B706B">
        <w:rPr>
          <w:rFonts w:cs="Calibri"/>
          <w:szCs w:val="20"/>
        </w:rPr>
        <w:t>Działaniu 3.6 (trwający od 28.03.2019 do 29.04.2019)</w:t>
      </w:r>
      <w:r>
        <w:rPr>
          <w:rFonts w:cs="Calibri"/>
          <w:szCs w:val="20"/>
        </w:rPr>
        <w:t xml:space="preserve"> </w:t>
      </w:r>
      <w:r w:rsidRPr="00171654">
        <w:rPr>
          <w:rFonts w:cs="Calibri"/>
          <w:szCs w:val="20"/>
        </w:rPr>
        <w:t>powinien zmienić sytuację</w:t>
      </w:r>
      <w:r w:rsidR="00E66B89">
        <w:rPr>
          <w:rFonts w:cs="Calibri"/>
          <w:szCs w:val="20"/>
        </w:rPr>
        <w:t xml:space="preserve"> w </w:t>
      </w:r>
      <w:r w:rsidRPr="00171654">
        <w:rPr>
          <w:rFonts w:cs="Calibri"/>
          <w:szCs w:val="20"/>
        </w:rPr>
        <w:t xml:space="preserve">zakresie obserwowanych poziomów </w:t>
      </w:r>
      <w:r>
        <w:rPr>
          <w:rFonts w:cs="Calibri"/>
          <w:szCs w:val="20"/>
        </w:rPr>
        <w:t>osiągnięcia</w:t>
      </w:r>
      <w:r w:rsidRPr="00171654">
        <w:rPr>
          <w:rFonts w:cs="Calibri"/>
          <w:szCs w:val="20"/>
        </w:rPr>
        <w:t xml:space="preserve"> wskaźników oraz opisane wcześniej </w:t>
      </w:r>
      <w:r w:rsidRPr="00572FF6">
        <w:rPr>
          <w:rFonts w:cs="Calibri"/>
          <w:szCs w:val="20"/>
        </w:rPr>
        <w:t>okoliczności</w:t>
      </w:r>
      <w:r w:rsidRPr="00404DA5">
        <w:rPr>
          <w:rFonts w:cs="Calibri"/>
          <w:szCs w:val="20"/>
        </w:rPr>
        <w:t xml:space="preserve"> utrudniające prognozowanie wartości docelowych</w:t>
      </w:r>
      <w:r>
        <w:rPr>
          <w:rFonts w:cs="Calibri"/>
          <w:szCs w:val="20"/>
        </w:rPr>
        <w:t>.</w:t>
      </w:r>
      <w:r w:rsidRPr="00404DA5">
        <w:rPr>
          <w:rFonts w:cs="Calibri"/>
          <w:szCs w:val="20"/>
        </w:rPr>
        <w:t xml:space="preserve"> </w:t>
      </w:r>
      <w:r>
        <w:rPr>
          <w:rFonts w:cs="Calibri"/>
          <w:szCs w:val="20"/>
        </w:rPr>
        <w:t>N</w:t>
      </w:r>
      <w:r w:rsidRPr="00404DA5">
        <w:rPr>
          <w:rFonts w:cs="Calibri"/>
          <w:szCs w:val="20"/>
        </w:rPr>
        <w:t>ie rekomenduje się aktualnie zmian wartości wskaźników</w:t>
      </w:r>
      <w:r w:rsidR="00E66B89">
        <w:rPr>
          <w:rFonts w:cs="Calibri"/>
          <w:szCs w:val="20"/>
        </w:rPr>
        <w:t xml:space="preserve"> w </w:t>
      </w:r>
      <w:r w:rsidRPr="00404DA5">
        <w:rPr>
          <w:rFonts w:cs="Calibri"/>
          <w:szCs w:val="20"/>
        </w:rPr>
        <w:t>Programie</w:t>
      </w:r>
      <w:r>
        <w:rPr>
          <w:rFonts w:cs="Calibri"/>
          <w:szCs w:val="20"/>
        </w:rPr>
        <w:t>,</w:t>
      </w:r>
      <w:r w:rsidR="00E66B89">
        <w:rPr>
          <w:rFonts w:cs="Calibri"/>
          <w:szCs w:val="20"/>
        </w:rPr>
        <w:t xml:space="preserve"> a </w:t>
      </w:r>
      <w:r>
        <w:rPr>
          <w:rFonts w:cs="Calibri"/>
          <w:szCs w:val="20"/>
        </w:rPr>
        <w:t>d</w:t>
      </w:r>
      <w:r w:rsidRPr="00404DA5">
        <w:rPr>
          <w:rFonts w:cs="Calibri"/>
          <w:szCs w:val="20"/>
        </w:rPr>
        <w:t>ecyzja</w:t>
      </w:r>
      <w:r w:rsidR="00E66B89">
        <w:rPr>
          <w:rFonts w:cs="Calibri"/>
          <w:szCs w:val="20"/>
        </w:rPr>
        <w:t xml:space="preserve"> w </w:t>
      </w:r>
      <w:r w:rsidRPr="00404DA5">
        <w:rPr>
          <w:rFonts w:cs="Calibri"/>
          <w:szCs w:val="20"/>
        </w:rPr>
        <w:t>tym zakresie powinna zostać podjęta po zakończeniu naboru wniosków.</w:t>
      </w:r>
      <w:r w:rsidR="00E66B89">
        <w:rPr>
          <w:rFonts w:cs="Calibri"/>
          <w:szCs w:val="20"/>
        </w:rPr>
        <w:t xml:space="preserve"> W </w:t>
      </w:r>
      <w:r w:rsidRPr="00404DA5">
        <w:rPr>
          <w:rFonts w:cs="Calibri"/>
          <w:szCs w:val="20"/>
        </w:rPr>
        <w:t xml:space="preserve">ramach oceny prognozy osiągnięcia celów zakładanych na 2023 przygotowano wstępną diagnozę dotyczącą możliwości </w:t>
      </w:r>
      <w:r>
        <w:rPr>
          <w:rFonts w:cs="Calibri"/>
          <w:szCs w:val="20"/>
        </w:rPr>
        <w:t>osiągnięcia</w:t>
      </w:r>
      <w:r w:rsidRPr="00404DA5">
        <w:rPr>
          <w:rFonts w:cs="Calibri"/>
          <w:szCs w:val="20"/>
        </w:rPr>
        <w:t xml:space="preserve"> założonych wartości docelowych</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dostępne koszty jednostkowe. Podejmowanie decyzji na aktualnym etapie wdrażania, bez kompletu istotnych informacji służących do diagnozy</w:t>
      </w:r>
      <w:r w:rsidR="00E66B89">
        <w:rPr>
          <w:rFonts w:cs="Calibri"/>
          <w:szCs w:val="20"/>
        </w:rPr>
        <w:t xml:space="preserve"> i </w:t>
      </w:r>
      <w:r w:rsidRPr="00404DA5">
        <w:rPr>
          <w:rFonts w:cs="Calibri"/>
          <w:szCs w:val="20"/>
        </w:rPr>
        <w:t>oceny sytuacji mogłoby przyczynić się do podjęcia błędnych prognoz (wyznaczeni</w:t>
      </w:r>
      <w:r>
        <w:rPr>
          <w:rFonts w:cs="Calibri"/>
          <w:szCs w:val="20"/>
        </w:rPr>
        <w:t>a</w:t>
      </w:r>
      <w:r w:rsidRPr="00404DA5">
        <w:rPr>
          <w:rFonts w:cs="Calibri"/>
          <w:szCs w:val="20"/>
        </w:rPr>
        <w:t xml:space="preserve"> nietrafnych celów). Mogłoby się </w:t>
      </w:r>
      <w:r>
        <w:rPr>
          <w:rFonts w:cs="Calibri"/>
          <w:szCs w:val="20"/>
        </w:rPr>
        <w:t xml:space="preserve">bowiem </w:t>
      </w:r>
      <w:r w:rsidRPr="00404DA5">
        <w:rPr>
          <w:rFonts w:cs="Calibri"/>
          <w:szCs w:val="20"/>
        </w:rPr>
        <w:t xml:space="preserve">okazać, iż aktualnie prognozowane przez IZ RPO WZ wartości wskaźników będą jednak możliwe do osiągnięcia. </w:t>
      </w:r>
    </w:p>
    <w:p w14:paraId="762AA191" w14:textId="77777777" w:rsidR="009D215A" w:rsidRPr="00436D27" w:rsidRDefault="009D215A" w:rsidP="009D215A">
      <w:pPr>
        <w:pStyle w:val="Nagwek3"/>
      </w:pPr>
      <w:r w:rsidRPr="00436D27">
        <w:t>Priorytet inwestycyjny nr 6a (Działanie 3.7</w:t>
      </w:r>
      <w:r w:rsidR="00E66B89">
        <w:t xml:space="preserve"> i </w:t>
      </w:r>
      <w:r w:rsidRPr="00436D27">
        <w:t>Działanie 3.8)</w:t>
      </w:r>
    </w:p>
    <w:p w14:paraId="5C852C56"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Ocena postępów</w:t>
      </w:r>
      <w:r w:rsidR="00E66B89">
        <w:rPr>
          <w:rFonts w:ascii="Lato" w:eastAsia="Calibri" w:hAnsi="Lato"/>
        </w:rPr>
        <w:t xml:space="preserve"> w </w:t>
      </w:r>
      <w:r w:rsidRPr="00436D27">
        <w:rPr>
          <w:rFonts w:ascii="Lato" w:eastAsia="Calibri" w:hAnsi="Lato"/>
        </w:rPr>
        <w:t xml:space="preserve">realizacji PI </w:t>
      </w:r>
    </w:p>
    <w:p w14:paraId="7C02D866" w14:textId="77777777" w:rsidR="009D215A" w:rsidRPr="00436D27" w:rsidRDefault="009D215A" w:rsidP="006E34DC">
      <w:pPr>
        <w:pStyle w:val="Legenda"/>
        <w:spacing w:after="0"/>
      </w:pPr>
      <w:bookmarkStart w:id="113" w:name="_Toc8824160"/>
      <w:r w:rsidRPr="00436D27">
        <w:t xml:space="preserve">Tabela </w:t>
      </w:r>
      <w:r>
        <w:fldChar w:fldCharType="begin"/>
      </w:r>
      <w:r>
        <w:instrText xml:space="preserve"> SEQ Tabela \* ARABIC </w:instrText>
      </w:r>
      <w:r>
        <w:fldChar w:fldCharType="separate"/>
      </w:r>
      <w:r w:rsidR="00763345">
        <w:rPr>
          <w:noProof/>
        </w:rPr>
        <w:t>49</w:t>
      </w:r>
      <w:r>
        <w:fldChar w:fldCharType="end"/>
      </w:r>
      <w:r w:rsidRPr="00436D27">
        <w:t xml:space="preserve"> Wskaźniki produktu (PI 6a) – postęp rzeczowy</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895"/>
        <w:gridCol w:w="1584"/>
        <w:gridCol w:w="821"/>
        <w:gridCol w:w="924"/>
        <w:gridCol w:w="967"/>
        <w:gridCol w:w="968"/>
        <w:gridCol w:w="967"/>
        <w:gridCol w:w="968"/>
      </w:tblGrid>
      <w:tr w:rsidR="009D215A" w:rsidRPr="00436D27" w14:paraId="38BF7805" w14:textId="77777777" w:rsidTr="00C22C26">
        <w:trPr>
          <w:tblHeader/>
        </w:trPr>
        <w:tc>
          <w:tcPr>
            <w:tcW w:w="0" w:type="auto"/>
            <w:shd w:val="clear" w:color="auto" w:fill="DBE5F1"/>
            <w:vAlign w:val="center"/>
          </w:tcPr>
          <w:p w14:paraId="1434B63F" w14:textId="77777777" w:rsidR="009D215A" w:rsidRPr="00404DA5" w:rsidRDefault="009D215A" w:rsidP="00EE58A9">
            <w:pPr>
              <w:jc w:val="center"/>
              <w:rPr>
                <w:rFonts w:cs="Calibri"/>
                <w:sz w:val="18"/>
                <w:szCs w:val="18"/>
              </w:rPr>
            </w:pPr>
            <w:r w:rsidRPr="00404DA5">
              <w:rPr>
                <w:rFonts w:cs="Calibri"/>
                <w:sz w:val="18"/>
                <w:szCs w:val="18"/>
              </w:rPr>
              <w:t>Typ wskaźnika</w:t>
            </w:r>
          </w:p>
        </w:tc>
        <w:tc>
          <w:tcPr>
            <w:tcW w:w="0" w:type="auto"/>
            <w:shd w:val="clear" w:color="auto" w:fill="DBE5F1"/>
            <w:vAlign w:val="center"/>
          </w:tcPr>
          <w:p w14:paraId="454045A9" w14:textId="77777777" w:rsidR="009D215A" w:rsidRPr="00404DA5" w:rsidRDefault="009D215A" w:rsidP="00EE58A9">
            <w:pPr>
              <w:jc w:val="center"/>
              <w:rPr>
                <w:rFonts w:cs="Calibri"/>
                <w:sz w:val="18"/>
                <w:szCs w:val="18"/>
              </w:rPr>
            </w:pPr>
            <w:r w:rsidRPr="00404DA5">
              <w:rPr>
                <w:rFonts w:cs="Calibri"/>
                <w:sz w:val="18"/>
                <w:szCs w:val="18"/>
              </w:rPr>
              <w:t>Działania</w:t>
            </w:r>
          </w:p>
        </w:tc>
        <w:tc>
          <w:tcPr>
            <w:tcW w:w="3109" w:type="dxa"/>
            <w:shd w:val="clear" w:color="auto" w:fill="DBE5F1"/>
            <w:vAlign w:val="center"/>
          </w:tcPr>
          <w:p w14:paraId="4DBD35C4" w14:textId="77777777" w:rsidR="009D215A" w:rsidRPr="00404DA5" w:rsidRDefault="009D215A" w:rsidP="00EE58A9">
            <w:pPr>
              <w:jc w:val="center"/>
              <w:rPr>
                <w:rFonts w:cs="Calibri"/>
                <w:sz w:val="18"/>
                <w:szCs w:val="18"/>
              </w:rPr>
            </w:pPr>
            <w:r w:rsidRPr="00404DA5">
              <w:rPr>
                <w:rFonts w:cs="Calibri"/>
                <w:sz w:val="18"/>
                <w:szCs w:val="18"/>
              </w:rPr>
              <w:t>Wskaźnik</w:t>
            </w:r>
          </w:p>
        </w:tc>
        <w:tc>
          <w:tcPr>
            <w:tcW w:w="869" w:type="dxa"/>
            <w:shd w:val="clear" w:color="auto" w:fill="DBE5F1"/>
            <w:vAlign w:val="center"/>
          </w:tcPr>
          <w:p w14:paraId="6EC48414" w14:textId="77777777" w:rsidR="009D215A" w:rsidRPr="00404DA5" w:rsidRDefault="009D215A" w:rsidP="00EE58A9">
            <w:pPr>
              <w:jc w:val="center"/>
              <w:rPr>
                <w:rFonts w:cs="Calibri"/>
                <w:sz w:val="18"/>
                <w:szCs w:val="18"/>
              </w:rPr>
            </w:pPr>
            <w:r w:rsidRPr="00404DA5">
              <w:rPr>
                <w:rFonts w:cs="Calibri"/>
                <w:sz w:val="18"/>
                <w:szCs w:val="18"/>
              </w:rPr>
              <w:t>Jedn. pomiaru</w:t>
            </w:r>
          </w:p>
        </w:tc>
        <w:tc>
          <w:tcPr>
            <w:tcW w:w="0" w:type="auto"/>
            <w:shd w:val="clear" w:color="auto" w:fill="DBE5F1"/>
            <w:vAlign w:val="center"/>
          </w:tcPr>
          <w:p w14:paraId="040BF858" w14:textId="77777777" w:rsidR="009D215A" w:rsidRPr="00404DA5" w:rsidRDefault="009D215A" w:rsidP="00EE58A9">
            <w:pPr>
              <w:jc w:val="center"/>
              <w:rPr>
                <w:rFonts w:cs="Calibri"/>
                <w:sz w:val="18"/>
                <w:szCs w:val="18"/>
              </w:rPr>
            </w:pPr>
            <w:r w:rsidRPr="00404DA5">
              <w:rPr>
                <w:rFonts w:cs="Calibri"/>
                <w:sz w:val="18"/>
                <w:szCs w:val="18"/>
              </w:rPr>
              <w:t>Wartość docelowa (2023)</w:t>
            </w:r>
          </w:p>
        </w:tc>
        <w:tc>
          <w:tcPr>
            <w:tcW w:w="0" w:type="auto"/>
            <w:shd w:val="clear" w:color="auto" w:fill="DBE5F1"/>
            <w:vAlign w:val="center"/>
          </w:tcPr>
          <w:p w14:paraId="5A42EBDC" w14:textId="77777777" w:rsidR="009D215A" w:rsidRPr="00404DA5" w:rsidRDefault="009D215A" w:rsidP="00EE58A9">
            <w:pPr>
              <w:jc w:val="center"/>
              <w:rPr>
                <w:rFonts w:cs="Calibri"/>
                <w:sz w:val="18"/>
                <w:szCs w:val="18"/>
              </w:rPr>
            </w:pPr>
            <w:r w:rsidRPr="00404DA5">
              <w:rPr>
                <w:rFonts w:cs="Calibri"/>
                <w:sz w:val="18"/>
                <w:szCs w:val="18"/>
              </w:rPr>
              <w:t>Realizacja wskaźnika (wg UoD)</w:t>
            </w:r>
          </w:p>
        </w:tc>
        <w:tc>
          <w:tcPr>
            <w:tcW w:w="0" w:type="auto"/>
            <w:shd w:val="clear" w:color="auto" w:fill="DBE5F1"/>
            <w:vAlign w:val="center"/>
          </w:tcPr>
          <w:p w14:paraId="545F30FC" w14:textId="77777777" w:rsidR="009D215A" w:rsidRPr="00404DA5" w:rsidRDefault="009D215A" w:rsidP="00EE58A9">
            <w:pPr>
              <w:jc w:val="center"/>
              <w:rPr>
                <w:rFonts w:cs="Calibri"/>
                <w:sz w:val="18"/>
                <w:szCs w:val="18"/>
              </w:rPr>
            </w:pPr>
            <w:r w:rsidRPr="00404DA5">
              <w:rPr>
                <w:rFonts w:cs="Calibri"/>
                <w:sz w:val="18"/>
                <w:szCs w:val="18"/>
              </w:rPr>
              <w:t>% realizacji wartości docelowej (wg UoD)</w:t>
            </w:r>
          </w:p>
        </w:tc>
        <w:tc>
          <w:tcPr>
            <w:tcW w:w="0" w:type="auto"/>
            <w:shd w:val="clear" w:color="auto" w:fill="DBE5F1"/>
            <w:vAlign w:val="center"/>
          </w:tcPr>
          <w:p w14:paraId="62E71A1F" w14:textId="77777777" w:rsidR="009D215A" w:rsidRPr="00404DA5" w:rsidRDefault="009D215A" w:rsidP="00EE58A9">
            <w:pPr>
              <w:jc w:val="center"/>
              <w:rPr>
                <w:rFonts w:cs="Calibri"/>
                <w:sz w:val="18"/>
                <w:szCs w:val="18"/>
              </w:rPr>
            </w:pPr>
            <w:r w:rsidRPr="00404DA5">
              <w:rPr>
                <w:rFonts w:cs="Calibri"/>
                <w:sz w:val="18"/>
                <w:szCs w:val="18"/>
              </w:rPr>
              <w:t>Realizacja wskaźnika (wg WoP)</w:t>
            </w:r>
          </w:p>
        </w:tc>
        <w:tc>
          <w:tcPr>
            <w:tcW w:w="0" w:type="auto"/>
            <w:shd w:val="clear" w:color="auto" w:fill="DBE5F1"/>
            <w:vAlign w:val="center"/>
          </w:tcPr>
          <w:p w14:paraId="56E20AA6" w14:textId="77777777" w:rsidR="009D215A" w:rsidRPr="00404DA5" w:rsidRDefault="009D215A" w:rsidP="00EE58A9">
            <w:pPr>
              <w:jc w:val="center"/>
              <w:rPr>
                <w:rFonts w:cs="Calibri"/>
                <w:sz w:val="18"/>
                <w:szCs w:val="18"/>
              </w:rPr>
            </w:pPr>
            <w:r w:rsidRPr="00404DA5">
              <w:rPr>
                <w:rFonts w:cs="Calibri"/>
                <w:sz w:val="18"/>
                <w:szCs w:val="18"/>
              </w:rPr>
              <w:t>% realizacji wartości docelowej (wg WoP)</w:t>
            </w:r>
          </w:p>
        </w:tc>
      </w:tr>
      <w:tr w:rsidR="009D215A" w:rsidRPr="00436D27" w14:paraId="2F92CE35" w14:textId="77777777" w:rsidTr="00EE58A9">
        <w:tc>
          <w:tcPr>
            <w:tcW w:w="0" w:type="auto"/>
            <w:shd w:val="clear" w:color="auto" w:fill="auto"/>
            <w:vAlign w:val="center"/>
          </w:tcPr>
          <w:p w14:paraId="246C1902"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62081640" w14:textId="77777777" w:rsidR="009D215A" w:rsidRPr="00404DA5" w:rsidRDefault="009D215A" w:rsidP="00EE58A9">
            <w:pPr>
              <w:jc w:val="center"/>
              <w:rPr>
                <w:rFonts w:cs="Calibri"/>
                <w:sz w:val="18"/>
                <w:szCs w:val="18"/>
              </w:rPr>
            </w:pPr>
            <w:r w:rsidRPr="00404DA5">
              <w:rPr>
                <w:rFonts w:cs="Calibri"/>
                <w:sz w:val="18"/>
                <w:szCs w:val="18"/>
              </w:rPr>
              <w:t>3.7</w:t>
            </w:r>
          </w:p>
        </w:tc>
        <w:tc>
          <w:tcPr>
            <w:tcW w:w="3109" w:type="dxa"/>
            <w:shd w:val="clear" w:color="auto" w:fill="auto"/>
            <w:vAlign w:val="center"/>
          </w:tcPr>
          <w:p w14:paraId="6B4A7BC0" w14:textId="77777777" w:rsidR="009D215A" w:rsidRPr="00404DA5" w:rsidRDefault="009D215A" w:rsidP="00EE58A9">
            <w:pPr>
              <w:jc w:val="center"/>
              <w:rPr>
                <w:rFonts w:cs="Calibri"/>
                <w:sz w:val="18"/>
                <w:szCs w:val="18"/>
              </w:rPr>
            </w:pPr>
            <w:r w:rsidRPr="00404DA5">
              <w:rPr>
                <w:rFonts w:cs="Calibri"/>
                <w:sz w:val="18"/>
                <w:szCs w:val="18"/>
              </w:rPr>
              <w:t>Liczba wspartych zakładów zagospodarowania odpadów</w:t>
            </w:r>
          </w:p>
        </w:tc>
        <w:tc>
          <w:tcPr>
            <w:tcW w:w="869" w:type="dxa"/>
            <w:shd w:val="clear" w:color="auto" w:fill="auto"/>
            <w:vAlign w:val="center"/>
          </w:tcPr>
          <w:p w14:paraId="237A612C" w14:textId="77777777" w:rsidR="009D215A" w:rsidRPr="00404DA5" w:rsidRDefault="009D215A" w:rsidP="00EE58A9">
            <w:pPr>
              <w:jc w:val="center"/>
              <w:rPr>
                <w:rFonts w:cs="Calibri"/>
                <w:sz w:val="18"/>
                <w:szCs w:val="18"/>
              </w:rPr>
            </w:pPr>
            <w:r w:rsidRPr="00404DA5">
              <w:rPr>
                <w:rFonts w:cs="Calibri"/>
                <w:sz w:val="18"/>
                <w:szCs w:val="18"/>
              </w:rPr>
              <w:t>szt.</w:t>
            </w:r>
          </w:p>
        </w:tc>
        <w:tc>
          <w:tcPr>
            <w:tcW w:w="0" w:type="auto"/>
            <w:shd w:val="clear" w:color="auto" w:fill="auto"/>
            <w:vAlign w:val="center"/>
          </w:tcPr>
          <w:p w14:paraId="28EEA888" w14:textId="77777777" w:rsidR="009D215A" w:rsidRPr="00404DA5" w:rsidRDefault="009D215A" w:rsidP="00EE58A9">
            <w:pPr>
              <w:jc w:val="center"/>
              <w:rPr>
                <w:rFonts w:cs="Calibri"/>
                <w:sz w:val="18"/>
                <w:szCs w:val="18"/>
              </w:rPr>
            </w:pPr>
            <w:r w:rsidRPr="00404DA5">
              <w:rPr>
                <w:rFonts w:cs="Calibri"/>
                <w:sz w:val="18"/>
                <w:szCs w:val="18"/>
              </w:rPr>
              <w:t>1</w:t>
            </w:r>
          </w:p>
        </w:tc>
        <w:tc>
          <w:tcPr>
            <w:tcW w:w="0" w:type="auto"/>
            <w:shd w:val="clear" w:color="auto" w:fill="auto"/>
            <w:vAlign w:val="center"/>
          </w:tcPr>
          <w:p w14:paraId="66C4312F" w14:textId="77777777" w:rsidR="009D215A" w:rsidRPr="00404DA5" w:rsidRDefault="009D215A" w:rsidP="00EE58A9">
            <w:pPr>
              <w:jc w:val="center"/>
              <w:rPr>
                <w:rFonts w:cs="Calibri"/>
                <w:sz w:val="18"/>
                <w:szCs w:val="18"/>
              </w:rPr>
            </w:pPr>
            <w:r w:rsidRPr="00404DA5">
              <w:rPr>
                <w:rFonts w:cs="Calibri"/>
                <w:sz w:val="18"/>
                <w:szCs w:val="18"/>
              </w:rPr>
              <w:t>2</w:t>
            </w:r>
          </w:p>
        </w:tc>
        <w:tc>
          <w:tcPr>
            <w:tcW w:w="0" w:type="auto"/>
            <w:shd w:val="clear" w:color="auto" w:fill="auto"/>
            <w:vAlign w:val="center"/>
          </w:tcPr>
          <w:p w14:paraId="0F9FD8BB" w14:textId="77777777" w:rsidR="009D215A" w:rsidRPr="00404DA5" w:rsidRDefault="009D215A" w:rsidP="00EE58A9">
            <w:pPr>
              <w:jc w:val="center"/>
              <w:rPr>
                <w:rFonts w:cs="Calibri"/>
                <w:sz w:val="18"/>
                <w:szCs w:val="18"/>
              </w:rPr>
            </w:pPr>
            <w:r w:rsidRPr="00404DA5">
              <w:rPr>
                <w:rFonts w:cs="Calibri"/>
                <w:sz w:val="18"/>
                <w:szCs w:val="18"/>
              </w:rPr>
              <w:t>200,0%</w:t>
            </w:r>
          </w:p>
        </w:tc>
        <w:tc>
          <w:tcPr>
            <w:tcW w:w="0" w:type="auto"/>
            <w:shd w:val="clear" w:color="auto" w:fill="auto"/>
            <w:vAlign w:val="center"/>
          </w:tcPr>
          <w:p w14:paraId="024A2CB1"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72A142F6" w14:textId="77777777" w:rsidR="009D215A" w:rsidRPr="00404DA5" w:rsidRDefault="009D215A" w:rsidP="00EE58A9">
            <w:pPr>
              <w:jc w:val="center"/>
              <w:rPr>
                <w:rFonts w:cs="Calibri"/>
                <w:sz w:val="18"/>
                <w:szCs w:val="18"/>
              </w:rPr>
            </w:pPr>
            <w:r w:rsidRPr="00404DA5">
              <w:rPr>
                <w:rFonts w:cs="Calibri"/>
                <w:sz w:val="18"/>
                <w:szCs w:val="18"/>
              </w:rPr>
              <w:t>0,0%</w:t>
            </w:r>
          </w:p>
        </w:tc>
      </w:tr>
      <w:tr w:rsidR="009D215A" w:rsidRPr="00436D27" w14:paraId="1DEDE8BD" w14:textId="77777777" w:rsidTr="00EE58A9">
        <w:tc>
          <w:tcPr>
            <w:tcW w:w="0" w:type="auto"/>
            <w:shd w:val="clear" w:color="auto" w:fill="auto"/>
            <w:vAlign w:val="center"/>
          </w:tcPr>
          <w:p w14:paraId="2DFD94F5" w14:textId="77777777" w:rsidR="009D215A" w:rsidRPr="00404DA5" w:rsidRDefault="009D215A" w:rsidP="00EE58A9">
            <w:pPr>
              <w:jc w:val="center"/>
              <w:rPr>
                <w:rFonts w:cs="Calibri"/>
                <w:sz w:val="18"/>
                <w:szCs w:val="18"/>
              </w:rPr>
            </w:pPr>
            <w:r w:rsidRPr="00404DA5">
              <w:rPr>
                <w:rFonts w:cs="Calibri"/>
                <w:sz w:val="18"/>
                <w:szCs w:val="18"/>
              </w:rPr>
              <w:t>WP</w:t>
            </w:r>
          </w:p>
        </w:tc>
        <w:tc>
          <w:tcPr>
            <w:tcW w:w="0" w:type="auto"/>
            <w:shd w:val="clear" w:color="auto" w:fill="auto"/>
            <w:vAlign w:val="center"/>
          </w:tcPr>
          <w:p w14:paraId="74483C57" w14:textId="77777777" w:rsidR="009D215A" w:rsidRPr="00404DA5" w:rsidRDefault="009D215A" w:rsidP="00EE58A9">
            <w:pPr>
              <w:jc w:val="center"/>
              <w:rPr>
                <w:rFonts w:cs="Calibri"/>
                <w:sz w:val="18"/>
                <w:szCs w:val="18"/>
              </w:rPr>
            </w:pPr>
            <w:r w:rsidRPr="00404DA5">
              <w:rPr>
                <w:rFonts w:cs="Calibri"/>
                <w:sz w:val="18"/>
                <w:szCs w:val="18"/>
              </w:rPr>
              <w:t>3.7</w:t>
            </w:r>
          </w:p>
        </w:tc>
        <w:tc>
          <w:tcPr>
            <w:tcW w:w="3109" w:type="dxa"/>
            <w:shd w:val="clear" w:color="auto" w:fill="auto"/>
            <w:vAlign w:val="center"/>
          </w:tcPr>
          <w:p w14:paraId="123FBE6F" w14:textId="77777777" w:rsidR="009D215A" w:rsidRPr="00404DA5" w:rsidRDefault="009D215A" w:rsidP="00EE58A9">
            <w:pPr>
              <w:jc w:val="center"/>
              <w:rPr>
                <w:rFonts w:cs="Calibri"/>
                <w:sz w:val="18"/>
                <w:szCs w:val="18"/>
              </w:rPr>
            </w:pPr>
            <w:r w:rsidRPr="00404DA5">
              <w:rPr>
                <w:rFonts w:cs="Calibri"/>
                <w:sz w:val="18"/>
                <w:szCs w:val="18"/>
              </w:rPr>
              <w:t>Dodatkowa zdolność przerobowa zakładów recyklingu</w:t>
            </w:r>
          </w:p>
        </w:tc>
        <w:tc>
          <w:tcPr>
            <w:tcW w:w="869" w:type="dxa"/>
            <w:shd w:val="clear" w:color="auto" w:fill="auto"/>
            <w:vAlign w:val="center"/>
          </w:tcPr>
          <w:p w14:paraId="3279604C" w14:textId="77777777" w:rsidR="009D215A" w:rsidRPr="00404DA5" w:rsidRDefault="009D215A" w:rsidP="00EE58A9">
            <w:pPr>
              <w:jc w:val="center"/>
              <w:rPr>
                <w:rFonts w:cs="Calibri"/>
                <w:sz w:val="18"/>
                <w:szCs w:val="18"/>
              </w:rPr>
            </w:pPr>
            <w:r w:rsidRPr="00404DA5">
              <w:rPr>
                <w:rFonts w:cs="Calibri"/>
                <w:sz w:val="18"/>
                <w:szCs w:val="18"/>
              </w:rPr>
              <w:t>t/rok</w:t>
            </w:r>
          </w:p>
        </w:tc>
        <w:tc>
          <w:tcPr>
            <w:tcW w:w="0" w:type="auto"/>
            <w:shd w:val="clear" w:color="auto" w:fill="auto"/>
            <w:vAlign w:val="center"/>
          </w:tcPr>
          <w:p w14:paraId="75701162" w14:textId="77777777" w:rsidR="009D215A" w:rsidRPr="00404DA5" w:rsidRDefault="009D215A" w:rsidP="00EE58A9">
            <w:pPr>
              <w:jc w:val="center"/>
              <w:rPr>
                <w:rFonts w:cs="Calibri"/>
                <w:sz w:val="18"/>
                <w:szCs w:val="18"/>
              </w:rPr>
            </w:pPr>
            <w:r w:rsidRPr="00404DA5">
              <w:rPr>
                <w:rFonts w:cs="Calibri"/>
                <w:sz w:val="18"/>
                <w:szCs w:val="18"/>
              </w:rPr>
              <w:t>10 107</w:t>
            </w:r>
          </w:p>
        </w:tc>
        <w:tc>
          <w:tcPr>
            <w:tcW w:w="0" w:type="auto"/>
            <w:shd w:val="clear" w:color="auto" w:fill="auto"/>
            <w:vAlign w:val="center"/>
          </w:tcPr>
          <w:p w14:paraId="6757CB45"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2E1DFAD9" w14:textId="77777777" w:rsidR="009D215A" w:rsidRPr="00404DA5" w:rsidRDefault="009D215A" w:rsidP="00EE58A9">
            <w:pPr>
              <w:jc w:val="center"/>
              <w:rPr>
                <w:rFonts w:cs="Calibri"/>
                <w:sz w:val="18"/>
                <w:szCs w:val="18"/>
              </w:rPr>
            </w:pPr>
            <w:r w:rsidRPr="00404DA5">
              <w:rPr>
                <w:rFonts w:cs="Calibri"/>
                <w:sz w:val="18"/>
                <w:szCs w:val="18"/>
              </w:rPr>
              <w:t>0,0%</w:t>
            </w:r>
          </w:p>
        </w:tc>
        <w:tc>
          <w:tcPr>
            <w:tcW w:w="0" w:type="auto"/>
            <w:shd w:val="clear" w:color="auto" w:fill="auto"/>
            <w:vAlign w:val="center"/>
          </w:tcPr>
          <w:p w14:paraId="4F2D1612" w14:textId="77777777" w:rsidR="009D215A" w:rsidRPr="00404DA5" w:rsidRDefault="009D215A" w:rsidP="00EE58A9">
            <w:pPr>
              <w:jc w:val="center"/>
              <w:rPr>
                <w:rFonts w:cs="Calibri"/>
                <w:sz w:val="18"/>
                <w:szCs w:val="18"/>
              </w:rPr>
            </w:pPr>
            <w:r w:rsidRPr="00404DA5">
              <w:rPr>
                <w:rFonts w:cs="Calibri"/>
                <w:sz w:val="18"/>
                <w:szCs w:val="18"/>
              </w:rPr>
              <w:t>0</w:t>
            </w:r>
          </w:p>
        </w:tc>
        <w:tc>
          <w:tcPr>
            <w:tcW w:w="0" w:type="auto"/>
            <w:shd w:val="clear" w:color="auto" w:fill="auto"/>
            <w:vAlign w:val="center"/>
          </w:tcPr>
          <w:p w14:paraId="0FB49612" w14:textId="77777777" w:rsidR="009D215A" w:rsidRPr="00404DA5" w:rsidRDefault="009D215A" w:rsidP="00EE58A9">
            <w:pPr>
              <w:jc w:val="center"/>
              <w:rPr>
                <w:rFonts w:cs="Calibri"/>
                <w:sz w:val="18"/>
                <w:szCs w:val="18"/>
              </w:rPr>
            </w:pPr>
            <w:r w:rsidRPr="00404DA5">
              <w:rPr>
                <w:rFonts w:cs="Calibri"/>
                <w:sz w:val="18"/>
                <w:szCs w:val="18"/>
              </w:rPr>
              <w:t>0,0%</w:t>
            </w:r>
          </w:p>
        </w:tc>
      </w:tr>
    </w:tbl>
    <w:p w14:paraId="4B0656FA" w14:textId="77777777" w:rsidR="009D215A" w:rsidRPr="002A5FDF" w:rsidRDefault="009D215A"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4D439720" w14:textId="77777777" w:rsidR="009D215A" w:rsidRDefault="009D215A" w:rsidP="009D215A">
      <w:pPr>
        <w:pStyle w:val="evaluTresc"/>
        <w:rPr>
          <w:rFonts w:cs="Calibri"/>
          <w:color w:val="000000"/>
        </w:rPr>
      </w:pPr>
      <w:r w:rsidRPr="00436D27">
        <w:t>Przyjęty zestaw wskaźników produktu</w:t>
      </w:r>
      <w:r w:rsidR="00E66B89">
        <w:t xml:space="preserve"> i </w:t>
      </w:r>
      <w:r w:rsidRPr="00436D27">
        <w:t>rezultatu dotyczy wyłącznie projektów realizowanych</w:t>
      </w:r>
      <w:r w:rsidR="00E66B89">
        <w:t xml:space="preserve"> w </w:t>
      </w:r>
      <w:r w:rsidRPr="00436D27">
        <w:t>Działaniu 3.7. Stwierdzono możliwość wystąpienia ryzyka</w:t>
      </w:r>
      <w:r w:rsidR="00E66B89">
        <w:t xml:space="preserve"> w </w:t>
      </w:r>
      <w:r w:rsidRPr="00436D27">
        <w:t xml:space="preserve">zakresie </w:t>
      </w:r>
      <w:r>
        <w:t>osiągnięcia</w:t>
      </w:r>
      <w:r w:rsidRPr="00436D27">
        <w:t xml:space="preserve"> przyjęt</w:t>
      </w:r>
      <w:r>
        <w:t xml:space="preserve">ej </w:t>
      </w:r>
      <w:r w:rsidRPr="00436D27">
        <w:t>docelow</w:t>
      </w:r>
      <w:r>
        <w:t>ej</w:t>
      </w:r>
      <w:r w:rsidRPr="00436D27">
        <w:t xml:space="preserve"> wartości wskaźnika</w:t>
      </w:r>
      <w:r>
        <w:t xml:space="preserve"> </w:t>
      </w:r>
      <w:r w:rsidRPr="00436D27">
        <w:t xml:space="preserve">dla Działania 3.7 pn. </w:t>
      </w:r>
      <w:r w:rsidRPr="008B706B">
        <w:rPr>
          <w:rFonts w:cs="Calibri"/>
          <w:i/>
          <w:color w:val="000000"/>
        </w:rPr>
        <w:t>Dodatkowa zdolność przerobowa zakładów recyklingu</w:t>
      </w:r>
      <w:r w:rsidRPr="00436D27">
        <w:rPr>
          <w:rFonts w:cs="Calibri"/>
          <w:color w:val="000000"/>
        </w:rPr>
        <w:t>.</w:t>
      </w:r>
      <w:r w:rsidR="00E66B89">
        <w:rPr>
          <w:rFonts w:cs="Calibri"/>
          <w:color w:val="000000"/>
        </w:rPr>
        <w:t xml:space="preserve"> W </w:t>
      </w:r>
      <w:r w:rsidRPr="00436D27">
        <w:rPr>
          <w:rFonts w:cs="Calibri"/>
          <w:color w:val="000000"/>
        </w:rPr>
        <w:t>przypadku Działania 3.8 dotychczas nie został wybrany do dofinansowania żaden projekt, natomiast efekty wdrażania tego Działania są planowane do monitorowania wyłącznie</w:t>
      </w:r>
      <w:r w:rsidR="00E66B89">
        <w:rPr>
          <w:rFonts w:cs="Calibri"/>
          <w:color w:val="000000"/>
        </w:rPr>
        <w:t xml:space="preserve"> w </w:t>
      </w:r>
      <w:r w:rsidRPr="00436D27">
        <w:rPr>
          <w:rFonts w:cs="Calibri"/>
          <w:color w:val="000000"/>
        </w:rPr>
        <w:t>ramach projektów oraz SOOP.</w:t>
      </w:r>
    </w:p>
    <w:p w14:paraId="35098C74" w14:textId="77777777" w:rsidR="009D215A" w:rsidRPr="00436D27" w:rsidRDefault="009D215A" w:rsidP="009D215A">
      <w:pPr>
        <w:pStyle w:val="evaluTresc"/>
        <w:rPr>
          <w:rFonts w:cs="Calibri"/>
          <w:color w:val="000000"/>
        </w:rPr>
      </w:pPr>
      <w:r>
        <w:t>W Działaniach 3.7</w:t>
      </w:r>
      <w:r w:rsidR="00E66B89">
        <w:t xml:space="preserve"> i </w:t>
      </w:r>
      <w:r>
        <w:t>3.8 żaden beneficjent dotychczas nie rozliczył WoP, zatem nie ma możliwości odniesienia się do osiągniętego postępu finansowego względem postępu rzeczowego.</w:t>
      </w:r>
    </w:p>
    <w:p w14:paraId="4A5E1236" w14:textId="77777777" w:rsidR="009D215A" w:rsidRPr="00404DA5" w:rsidRDefault="009D215A" w:rsidP="009D215A">
      <w:pPr>
        <w:pStyle w:val="evaluTresc"/>
        <w:rPr>
          <w:rFonts w:cs="Calibri"/>
        </w:rPr>
      </w:pPr>
      <w:r w:rsidRPr="00436D27">
        <w:rPr>
          <w:rFonts w:cs="Calibri"/>
          <w:color w:val="000000"/>
        </w:rPr>
        <w:lastRenderedPageBreak/>
        <w:t>Z uwagi na fakt, iż do 7.01.2019 r.</w:t>
      </w:r>
      <w:r w:rsidR="00E66B89">
        <w:rPr>
          <w:rFonts w:cs="Calibri"/>
          <w:color w:val="000000"/>
        </w:rPr>
        <w:t xml:space="preserve"> w </w:t>
      </w:r>
      <w:r w:rsidRPr="00436D27">
        <w:rPr>
          <w:rFonts w:cs="Calibri"/>
          <w:color w:val="000000"/>
        </w:rPr>
        <w:t xml:space="preserve">ramach PI 6a </w:t>
      </w:r>
      <w:r>
        <w:rPr>
          <w:rFonts w:cs="Calibri"/>
          <w:color w:val="000000"/>
        </w:rPr>
        <w:t xml:space="preserve">(Działanie 3.7) </w:t>
      </w:r>
      <w:r w:rsidRPr="00436D27">
        <w:rPr>
          <w:rFonts w:cs="Calibri"/>
          <w:color w:val="000000"/>
        </w:rPr>
        <w:t>podpisano tylko 3 UoD trudno jest dokonać jednoznacznej oceny trafności założeń dotyczących przyjętych wartości wskaźników (które najczęściej wynikają</w:t>
      </w:r>
      <w:r w:rsidR="00E66B89">
        <w:rPr>
          <w:rFonts w:cs="Calibri"/>
          <w:color w:val="000000"/>
        </w:rPr>
        <w:t xml:space="preserve"> z </w:t>
      </w:r>
      <w:r w:rsidRPr="00436D27">
        <w:rPr>
          <w:rFonts w:cs="Calibri"/>
          <w:color w:val="000000"/>
        </w:rPr>
        <w:t xml:space="preserve">kosztów jednostkowych). </w:t>
      </w:r>
      <w:r>
        <w:rPr>
          <w:rFonts w:cs="Calibri"/>
          <w:color w:val="000000"/>
        </w:rPr>
        <w:t>Powyższe umowy zostały podpisane</w:t>
      </w:r>
      <w:r w:rsidR="00E66B89">
        <w:rPr>
          <w:rFonts w:cs="Calibri"/>
          <w:color w:val="000000"/>
        </w:rPr>
        <w:t xml:space="preserve"> w </w:t>
      </w:r>
      <w:r>
        <w:rPr>
          <w:rFonts w:cs="Calibri"/>
          <w:color w:val="000000"/>
        </w:rPr>
        <w:t xml:space="preserve">IV kwartale 2018 r., </w:t>
      </w:r>
      <w:r>
        <w:t>co powinno skutkować</w:t>
      </w:r>
      <w:r w:rsidR="00E66B89">
        <w:t xml:space="preserve"> w </w:t>
      </w:r>
      <w:r>
        <w:t>krótkiej perspektywie czasu obserwowaniem postępu rzeczowego</w:t>
      </w:r>
      <w:r w:rsidR="00E66B89">
        <w:t xml:space="preserve"> i </w:t>
      </w:r>
      <w:r>
        <w:t>finansowego</w:t>
      </w:r>
      <w:r w:rsidR="00E66B89">
        <w:t xml:space="preserve"> w </w:t>
      </w:r>
      <w:r>
        <w:t xml:space="preserve">Działaniu 3.7. </w:t>
      </w:r>
      <w:r>
        <w:rPr>
          <w:rFonts w:cs="Calibri"/>
          <w:color w:val="000000"/>
        </w:rPr>
        <w:t xml:space="preserve">Czwarta umowa została zawarta 14 stycznia b.r. natomiast piąta umowa oczekuje wciąż na podpisanie. </w:t>
      </w:r>
      <w:r w:rsidRPr="00404DA5">
        <w:rPr>
          <w:rFonts w:cs="Calibri"/>
        </w:rPr>
        <w:t>Obiektywną trudnością</w:t>
      </w:r>
      <w:r w:rsidR="00E66B89">
        <w:rPr>
          <w:rFonts w:cs="Calibri"/>
        </w:rPr>
        <w:t xml:space="preserve"> w </w:t>
      </w:r>
      <w:r w:rsidRPr="00404DA5">
        <w:rPr>
          <w:rFonts w:cs="Calibri"/>
        </w:rPr>
        <w:t>szacowaniu wartości docelowych wskaźników były trudności</w:t>
      </w:r>
      <w:r w:rsidR="00E66B89">
        <w:rPr>
          <w:rFonts w:cs="Calibri"/>
        </w:rPr>
        <w:t xml:space="preserve"> i </w:t>
      </w:r>
      <w:r w:rsidRPr="00404DA5">
        <w:rPr>
          <w:rFonts w:cs="Calibri"/>
        </w:rPr>
        <w:t>opóźnienia</w:t>
      </w:r>
      <w:r w:rsidR="00E66B89">
        <w:rPr>
          <w:rFonts w:cs="Calibri"/>
        </w:rPr>
        <w:t xml:space="preserve"> w </w:t>
      </w:r>
      <w:r w:rsidRPr="00404DA5">
        <w:rPr>
          <w:rFonts w:cs="Calibri"/>
        </w:rPr>
        <w:t>przygotowaniu KPGO (o czym będzie mowa poniżej). Ponadto czynnikiem, który mógł ograniczać zainteresowanie aplikowaniem</w:t>
      </w:r>
      <w:r w:rsidR="00E66B89">
        <w:rPr>
          <w:rFonts w:cs="Calibri"/>
        </w:rPr>
        <w:t xml:space="preserve"> o </w:t>
      </w:r>
      <w:r w:rsidRPr="00404DA5">
        <w:rPr>
          <w:rFonts w:cs="Calibri"/>
        </w:rPr>
        <w:t>wsparcie</w:t>
      </w:r>
      <w:r w:rsidR="00E66B89">
        <w:rPr>
          <w:rFonts w:cs="Calibri"/>
        </w:rPr>
        <w:t xml:space="preserve"> w </w:t>
      </w:r>
      <w:r w:rsidRPr="00404DA5">
        <w:rPr>
          <w:rFonts w:cs="Calibri"/>
        </w:rPr>
        <w:t>ramach PI 6a jest trudna sytuacja na rynku gospodarki odpadami komunalnymi.</w:t>
      </w:r>
    </w:p>
    <w:p w14:paraId="15ED73D1" w14:textId="77777777" w:rsidR="009D215A" w:rsidRPr="00436D27" w:rsidRDefault="009D215A" w:rsidP="009D215A">
      <w:pPr>
        <w:pStyle w:val="evaluTresc"/>
      </w:pPr>
      <w:r w:rsidRPr="00436D27">
        <w:t>Na dzień 7.01.2019 r. żaden</w:t>
      </w:r>
      <w:r w:rsidR="00E66B89">
        <w:t xml:space="preserve"> z </w:t>
      </w:r>
      <w:r w:rsidRPr="00436D27">
        <w:t>projektów realizowanych</w:t>
      </w:r>
      <w:r w:rsidR="00E66B89">
        <w:t xml:space="preserve"> w </w:t>
      </w:r>
      <w:r w:rsidRPr="00436D27">
        <w:t>Działani</w:t>
      </w:r>
      <w:r>
        <w:t>u</w:t>
      </w:r>
      <w:r w:rsidRPr="00436D27">
        <w:t xml:space="preserve"> 3.7 nie został jeszcze zakończony</w:t>
      </w:r>
      <w:r w:rsidR="00E66B89">
        <w:t xml:space="preserve"> i </w:t>
      </w:r>
      <w:r w:rsidRPr="00436D27">
        <w:t xml:space="preserve">rozliczony. Dla wskaźnika pn. </w:t>
      </w:r>
      <w:r w:rsidRPr="00436D27">
        <w:rPr>
          <w:rFonts w:cs="Calibri"/>
          <w:i/>
          <w:color w:val="000000"/>
        </w:rPr>
        <w:t>Liczba wspartych zakładów zagospodarowania odpadów</w:t>
      </w:r>
      <w:r w:rsidRPr="00436D27">
        <w:t xml:space="preserve"> wartość docelowa na 2023 r. została określona na 1 szt. Wartość tego wskaźnika powinna zostać </w:t>
      </w:r>
      <w:r>
        <w:t>osiągnięta</w:t>
      </w:r>
      <w:r w:rsidRPr="00436D27">
        <w:t xml:space="preserve"> na podstawie dotychczas zakontraktowanych projektów. Wedle stanu</w:t>
      </w:r>
      <w:r w:rsidR="00E66B89">
        <w:t xml:space="preserve"> z </w:t>
      </w:r>
      <w:r w:rsidRPr="00436D27">
        <w:t>07.01.2019 roku wartość docelowa tego wskaźnika zakładana</w:t>
      </w:r>
      <w:r w:rsidR="00E66B89">
        <w:t xml:space="preserve"> w </w:t>
      </w:r>
      <w:r w:rsidRPr="00436D27">
        <w:t>projektach mających podpisaną UoD wynosi 2 szt.</w:t>
      </w:r>
      <w:r>
        <w:t xml:space="preserve"> </w:t>
      </w:r>
      <w:r w:rsidRPr="00436D27">
        <w:t>Wartość wskaźnika dla celu pośredniego odpowiada wartości docelowej na rok 2023. Przekroczenie celu pośredniego</w:t>
      </w:r>
      <w:r w:rsidR="00E66B89">
        <w:t xml:space="preserve"> o </w:t>
      </w:r>
      <w:r w:rsidRPr="00436D27">
        <w:t>200% wynika</w:t>
      </w:r>
      <w:r w:rsidR="00E66B89">
        <w:t xml:space="preserve"> z </w:t>
      </w:r>
      <w:r w:rsidRPr="00436D27">
        <w:t>większej liczby projektów składanych przez wnioskodawców. Wartość wskaźnika pierwotnie na etapie programowania została określona na 2 szt. ZZO.</w:t>
      </w:r>
      <w:r w:rsidR="00E66B89">
        <w:t xml:space="preserve"> Z </w:t>
      </w:r>
      <w:r w:rsidRPr="00436D27">
        <w:t xml:space="preserve">uwagi na zmniejszenie alokacji, zmniejszono również wartość wskaźnika do poziomu 1 szt. Praktyka pokazała, iż </w:t>
      </w:r>
      <w:r>
        <w:t>-</w:t>
      </w:r>
      <w:r w:rsidR="00E66B89">
        <w:t xml:space="preserve"> z </w:t>
      </w:r>
      <w:r w:rsidRPr="00436D27">
        <w:t>uwagi na niższy średni koszt jednostkowy pomimo zmniejszonej alokacji</w:t>
      </w:r>
      <w:r>
        <w:t xml:space="preserve"> -</w:t>
      </w:r>
      <w:r w:rsidRPr="00436D27">
        <w:t xml:space="preserve"> możliwe będzie osiągnięcie wartości wskaźnika na poziomie 2 szt. wspartych ZZO. Szacunki dotyczące wartości docelowych wskaźników opracowane zostały na podstawie danych nt. projektów realizowanych</w:t>
      </w:r>
      <w:r w:rsidR="00E66B89">
        <w:t xml:space="preserve"> w </w:t>
      </w:r>
      <w:r w:rsidRPr="00436D27">
        <w:t>perspektywie 2007-2013.</w:t>
      </w:r>
      <w:r w:rsidR="00E66B89">
        <w:t xml:space="preserve"> W </w:t>
      </w:r>
      <w:r w:rsidRPr="00436D27">
        <w:t>ramach</w:t>
      </w:r>
      <w:r w:rsidR="00E66B89">
        <w:t xml:space="preserve"> I </w:t>
      </w:r>
      <w:r w:rsidRPr="00436D27">
        <w:t>naboru</w:t>
      </w:r>
      <w:r w:rsidR="00E66B89">
        <w:t xml:space="preserve"> w </w:t>
      </w:r>
      <w:r w:rsidRPr="00436D27">
        <w:t xml:space="preserve">Działaniu 3.7 średnia wartość jednostkowa osiągnięcia jednej jednostki wskaźnika wyniosła </w:t>
      </w:r>
      <w:r w:rsidRPr="00436D27">
        <w:rPr>
          <w:rFonts w:cs="Calibri"/>
          <w:color w:val="000000"/>
        </w:rPr>
        <w:t>4 507 752,43 zł.</w:t>
      </w:r>
      <w:r w:rsidRPr="00436D27">
        <w:t xml:space="preserve"> </w:t>
      </w:r>
      <w:r w:rsidRPr="00404DA5">
        <w:rPr>
          <w:rFonts w:cs="Calibri"/>
        </w:rPr>
        <w:t xml:space="preserve">Aktualnie szacowany przez </w:t>
      </w:r>
      <w:r>
        <w:rPr>
          <w:rFonts w:cs="Calibri"/>
        </w:rPr>
        <w:t>e</w:t>
      </w:r>
      <w:r w:rsidRPr="00404DA5">
        <w:rPr>
          <w:rFonts w:cs="Calibri"/>
        </w:rPr>
        <w:t>waluatora koszt jednostkowy wskaźnika (po uwzględnieniu inflacji WCPBM = 3.37%) dla tego wskaźnika wynosi 4 659 663,68 zł za wspart</w:t>
      </w:r>
      <w:r>
        <w:rPr>
          <w:rFonts w:cs="Calibri"/>
        </w:rPr>
        <w:t>y ZZO</w:t>
      </w:r>
      <w:r w:rsidRPr="00404DA5">
        <w:rPr>
          <w:rFonts w:cs="Calibri"/>
        </w:rPr>
        <w:t>.</w:t>
      </w:r>
      <w:r w:rsidR="00E66B89">
        <w:rPr>
          <w:rFonts w:cs="Calibri"/>
        </w:rPr>
        <w:t xml:space="preserve"> W </w:t>
      </w:r>
      <w:r w:rsidRPr="00436D27">
        <w:t>ramach szacunków związanych</w:t>
      </w:r>
      <w:r w:rsidR="00E66B89">
        <w:t xml:space="preserve"> z </w:t>
      </w:r>
      <w:r w:rsidRPr="00436D27">
        <w:t xml:space="preserve">projektowaniem wsparcia koszt ten wyliczono na kwotę ok. 9.2 mln zł. </w:t>
      </w:r>
    </w:p>
    <w:p w14:paraId="5180D65E" w14:textId="77777777" w:rsidR="009D215A" w:rsidRDefault="009D215A" w:rsidP="009D215A">
      <w:pPr>
        <w:pStyle w:val="evaluTresc"/>
      </w:pPr>
      <w:r w:rsidRPr="00436D27">
        <w:t xml:space="preserve">Odnośnie wskaźnika pn. </w:t>
      </w:r>
      <w:r w:rsidRPr="00436D27">
        <w:rPr>
          <w:i/>
        </w:rPr>
        <w:t>D</w:t>
      </w:r>
      <w:r w:rsidRPr="00436D27">
        <w:rPr>
          <w:rFonts w:eastAsia="Times New Roman" w:cs="Calibri"/>
          <w:i/>
          <w:lang w:eastAsia="pl-PL"/>
        </w:rPr>
        <w:t>odatkowa</w:t>
      </w:r>
      <w:r w:rsidRPr="00436D27">
        <w:rPr>
          <w:i/>
        </w:rPr>
        <w:t xml:space="preserve"> zdolność przerobowa zakładów recyklingu </w:t>
      </w:r>
      <w:r w:rsidRPr="00436D27">
        <w:rPr>
          <w:rFonts w:eastAsia="Times New Roman" w:cs="Calibri"/>
          <w:lang w:eastAsia="pl-PL"/>
        </w:rPr>
        <w:t>wartość docelowa na 2023 r. została określona na 10 107 Mg/rok. Trudno aktualnie oszacować, czy osiągnięcie tego wskaźnika będzie możliwe. Na potrzeby programowania interwencji IZ RPO oszacowała k</w:t>
      </w:r>
      <w:r w:rsidRPr="00436D27">
        <w:t>oszt jednostkowy</w:t>
      </w:r>
      <w:r>
        <w:t xml:space="preserve"> osiągnięcia</w:t>
      </w:r>
      <w:r w:rsidRPr="00436D27">
        <w:t xml:space="preserve"> jednostki </w:t>
      </w:r>
      <w:r w:rsidRPr="00436D27">
        <w:rPr>
          <w:rFonts w:eastAsia="Times New Roman" w:cs="Calibri"/>
          <w:lang w:eastAsia="pl-PL"/>
        </w:rPr>
        <w:t>wskaźnika, który wynosi: 914,27 zł za zdolność przerobową</w:t>
      </w:r>
      <w:r w:rsidR="00E66B89">
        <w:rPr>
          <w:rFonts w:eastAsia="Times New Roman" w:cs="Calibri"/>
          <w:lang w:eastAsia="pl-PL"/>
        </w:rPr>
        <w:t xml:space="preserve"> w </w:t>
      </w:r>
      <w:r w:rsidRPr="00436D27">
        <w:rPr>
          <w:rFonts w:eastAsia="Times New Roman" w:cs="Calibri"/>
          <w:lang w:eastAsia="pl-PL"/>
        </w:rPr>
        <w:t>wysokości 1 t/rok. Dotychczas</w:t>
      </w:r>
      <w:r w:rsidR="00E66B89">
        <w:rPr>
          <w:rFonts w:eastAsia="Times New Roman" w:cs="Calibri"/>
          <w:lang w:eastAsia="pl-PL"/>
        </w:rPr>
        <w:t xml:space="preserve"> w </w:t>
      </w:r>
      <w:r w:rsidRPr="00436D27">
        <w:rPr>
          <w:rFonts w:eastAsia="Times New Roman" w:cs="Calibri"/>
          <w:lang w:eastAsia="pl-PL"/>
        </w:rPr>
        <w:t>ramach</w:t>
      </w:r>
      <w:r w:rsidR="00E66B89">
        <w:rPr>
          <w:rFonts w:eastAsia="Times New Roman" w:cs="Calibri"/>
          <w:lang w:eastAsia="pl-PL"/>
        </w:rPr>
        <w:t xml:space="preserve"> I </w:t>
      </w:r>
      <w:r w:rsidRPr="00436D27">
        <w:rPr>
          <w:rFonts w:eastAsia="Times New Roman" w:cs="Calibri"/>
          <w:lang w:eastAsia="pl-PL"/>
        </w:rPr>
        <w:t>naboru złożony został tylko 1 projekt, który może wpisywać się</w:t>
      </w:r>
      <w:r w:rsidR="00E66B89">
        <w:rPr>
          <w:rFonts w:eastAsia="Times New Roman" w:cs="Calibri"/>
          <w:lang w:eastAsia="pl-PL"/>
        </w:rPr>
        <w:t xml:space="preserve"> w </w:t>
      </w:r>
      <w:r w:rsidRPr="00436D27">
        <w:rPr>
          <w:rFonts w:eastAsia="Times New Roman" w:cs="Calibri"/>
          <w:lang w:eastAsia="pl-PL"/>
        </w:rPr>
        <w:t xml:space="preserve">ten wskaźnik (projekt </w:t>
      </w:r>
      <w:r w:rsidRPr="008B706B">
        <w:rPr>
          <w:i/>
        </w:rPr>
        <w:t>Budowa kompostowni odpadów biodegradowalnych</w:t>
      </w:r>
      <w:r w:rsidR="00E66B89">
        <w:rPr>
          <w:i/>
        </w:rPr>
        <w:t xml:space="preserve"> i </w:t>
      </w:r>
      <w:r w:rsidRPr="008B706B">
        <w:rPr>
          <w:i/>
        </w:rPr>
        <w:t>zielonych zbieranych</w:t>
      </w:r>
      <w:r w:rsidR="00E66B89">
        <w:rPr>
          <w:i/>
        </w:rPr>
        <w:t xml:space="preserve"> w </w:t>
      </w:r>
      <w:r w:rsidRPr="008B706B">
        <w:rPr>
          <w:i/>
        </w:rPr>
        <w:t>sposób selektywny</w:t>
      </w:r>
      <w:r w:rsidR="00E66B89">
        <w:rPr>
          <w:i/>
        </w:rPr>
        <w:t xml:space="preserve"> o </w:t>
      </w:r>
      <w:r w:rsidRPr="008B706B">
        <w:rPr>
          <w:i/>
        </w:rPr>
        <w:t>wydajności 3500 Mg/rok na składowisku odpadów innych niż niebezpieczne</w:t>
      </w:r>
      <w:r w:rsidR="00E66B89">
        <w:rPr>
          <w:i/>
        </w:rPr>
        <w:t xml:space="preserve"> i </w:t>
      </w:r>
      <w:r w:rsidRPr="008B706B">
        <w:rPr>
          <w:i/>
        </w:rPr>
        <w:t>obojętne przy ulicy Łowieckiej</w:t>
      </w:r>
      <w:r w:rsidR="00E66B89">
        <w:rPr>
          <w:i/>
        </w:rPr>
        <w:t xml:space="preserve"> w </w:t>
      </w:r>
      <w:r w:rsidRPr="008B706B">
        <w:rPr>
          <w:i/>
        </w:rPr>
        <w:t>m. Szczecinek</w:t>
      </w:r>
      <w:r w:rsidRPr="00436D27">
        <w:t xml:space="preserve"> – wartość dofinansowania 6,8 mln zł). Zatem koszt </w:t>
      </w:r>
      <w:r>
        <w:t>osiągnięcia</w:t>
      </w:r>
      <w:r w:rsidRPr="00436D27">
        <w:t xml:space="preserve"> jednostki wskaźnika,</w:t>
      </w:r>
      <w:r w:rsidR="00E66B89">
        <w:t xml:space="preserve"> w </w:t>
      </w:r>
      <w:r w:rsidRPr="00436D27">
        <w:t>oparciu</w:t>
      </w:r>
      <w:r w:rsidR="00E66B89">
        <w:t xml:space="preserve"> o </w:t>
      </w:r>
      <w:r w:rsidRPr="00436D27">
        <w:t>dane</w:t>
      </w:r>
      <w:r w:rsidR="00E66B89">
        <w:t xml:space="preserve"> z </w:t>
      </w:r>
      <w:r w:rsidRPr="00436D27">
        <w:t>przeprowadzonych naborów, wyniósłby ok. 1 942,86 zł.</w:t>
      </w:r>
      <w:r w:rsidR="00E66B89">
        <w:t xml:space="preserve"> W </w:t>
      </w:r>
      <w:r w:rsidRPr="00436D27">
        <w:t>ocenie ewaluatora jest to zbyt mała próba</w:t>
      </w:r>
      <w:r w:rsidR="00E66B89">
        <w:t xml:space="preserve"> i </w:t>
      </w:r>
      <w:r w:rsidRPr="00436D27">
        <w:t>należy zaczekać na rozstrzygnięcie II naboru wniosków (</w:t>
      </w:r>
      <w:r>
        <w:t>zakończonego</w:t>
      </w:r>
      <w:r w:rsidRPr="00436D27">
        <w:t xml:space="preserve"> 28 marca). Ponadto projekt ten dotyczy recyklingu organicznego, który dotyczy frakcji kompostowalnych (nie zaś frakcji materiałowych</w:t>
      </w:r>
      <w:r>
        <w:t>,</w:t>
      </w:r>
      <w:r w:rsidRPr="00436D27">
        <w:t xml:space="preserve"> jak np. papier, metal, tworzywo sztuczne czy szkło).</w:t>
      </w:r>
    </w:p>
    <w:p w14:paraId="56ACABE3" w14:textId="77777777" w:rsidR="009D215A" w:rsidRPr="00404DA5" w:rsidRDefault="009D215A" w:rsidP="009D215A">
      <w:pPr>
        <w:pStyle w:val="evaluTresc"/>
        <w:rPr>
          <w:rFonts w:cs="Calibri"/>
          <w:b/>
        </w:rPr>
      </w:pPr>
      <w:r w:rsidRPr="00CA0A32">
        <w:t>Jednym</w:t>
      </w:r>
      <w:r w:rsidR="00E66B89">
        <w:t xml:space="preserve"> z </w:t>
      </w:r>
      <w:r w:rsidRPr="00CA0A32">
        <w:t>mierników oceny skutecznoś</w:t>
      </w:r>
      <w:r>
        <w:t>ci</w:t>
      </w:r>
      <w:r w:rsidR="00E66B89">
        <w:t xml:space="preserve"> i </w:t>
      </w:r>
      <w:r w:rsidRPr="00CA0A32">
        <w:t>efektywnoś</w:t>
      </w:r>
      <w:r>
        <w:t>ci</w:t>
      </w:r>
      <w:r w:rsidRPr="00CA0A32">
        <w:t xml:space="preserve"> interwencji RPO WZ 2014-2020 może być odniesienie rzeczywistych kosztów jednostkowych wskaźników do kosztów przyjętych</w:t>
      </w:r>
      <w:r w:rsidR="00E66B89">
        <w:t xml:space="preserve"> w </w:t>
      </w:r>
      <w:r w:rsidRPr="00CA0A32">
        <w:t>ramach metodologii szacowania.</w:t>
      </w:r>
      <w:r w:rsidR="00E66B89">
        <w:t xml:space="preserve"> W </w:t>
      </w:r>
      <w:r w:rsidRPr="00CA0A32">
        <w:t>przypadku wskaźników</w:t>
      </w:r>
      <w:r w:rsidR="00E66B89">
        <w:t xml:space="preserve"> z </w:t>
      </w:r>
      <w:r w:rsidRPr="00CA0A32">
        <w:t>Działania 3.</w:t>
      </w:r>
      <w:r>
        <w:t xml:space="preserve">6 </w:t>
      </w:r>
      <w:r w:rsidRPr="00CA0A32">
        <w:t>sytuacja nie jest jednoznaczna.</w:t>
      </w:r>
      <w:r w:rsidR="00E66B89">
        <w:t xml:space="preserve"> W </w:t>
      </w:r>
      <w:r w:rsidRPr="00CA0A32">
        <w:t xml:space="preserve">przypadku jednego wskaźnika pn. </w:t>
      </w:r>
      <w:r w:rsidRPr="00436D27">
        <w:rPr>
          <w:rFonts w:cs="Calibri"/>
          <w:i/>
          <w:color w:val="000000"/>
        </w:rPr>
        <w:t>Liczba wspartych zakładów zagospodarowania odpadów</w:t>
      </w:r>
      <w:r w:rsidRPr="00436D27">
        <w:t xml:space="preserve"> </w:t>
      </w:r>
      <w:r w:rsidRPr="005E7940">
        <w:rPr>
          <w:rFonts w:cs="Calibri"/>
        </w:rPr>
        <w:t xml:space="preserve">koszty okazały się być </w:t>
      </w:r>
      <w:r>
        <w:rPr>
          <w:rFonts w:cs="Calibri"/>
        </w:rPr>
        <w:t>niższe</w:t>
      </w:r>
      <w:r w:rsidRPr="002B6328">
        <w:rPr>
          <w:rFonts w:cs="Calibri"/>
        </w:rPr>
        <w:t xml:space="preserve"> od tych zakładanych</w:t>
      </w:r>
      <w:r w:rsidR="00E66B89">
        <w:rPr>
          <w:rFonts w:cs="Calibri"/>
        </w:rPr>
        <w:t xml:space="preserve"> w </w:t>
      </w:r>
      <w:r w:rsidRPr="002B6328">
        <w:rPr>
          <w:rFonts w:cs="Calibri"/>
        </w:rPr>
        <w:t>metodologii.</w:t>
      </w:r>
      <w:r>
        <w:rPr>
          <w:rFonts w:cs="Calibri"/>
        </w:rPr>
        <w:t xml:space="preserve"> </w:t>
      </w:r>
      <w:r w:rsidRPr="002B6328">
        <w:rPr>
          <w:rFonts w:cs="Calibri"/>
        </w:rPr>
        <w:t>Natomiast</w:t>
      </w:r>
      <w:r w:rsidR="00E66B89">
        <w:rPr>
          <w:rFonts w:cs="Calibri"/>
        </w:rPr>
        <w:t xml:space="preserve"> w </w:t>
      </w:r>
      <w:r w:rsidRPr="002B6328">
        <w:rPr>
          <w:rFonts w:cs="Calibri"/>
        </w:rPr>
        <w:t xml:space="preserve">przypadku wskaźnika pn. </w:t>
      </w:r>
      <w:r w:rsidRPr="00436D27">
        <w:rPr>
          <w:i/>
        </w:rPr>
        <w:t>D</w:t>
      </w:r>
      <w:r w:rsidRPr="00436D27">
        <w:rPr>
          <w:rFonts w:eastAsia="Times New Roman" w:cs="Calibri"/>
          <w:i/>
          <w:lang w:eastAsia="pl-PL"/>
        </w:rPr>
        <w:t>odatkowa</w:t>
      </w:r>
      <w:r w:rsidRPr="00436D27">
        <w:rPr>
          <w:i/>
        </w:rPr>
        <w:t xml:space="preserve"> zdolność przerobowa zakładów recyklingu</w:t>
      </w:r>
      <w:r>
        <w:rPr>
          <w:i/>
        </w:rPr>
        <w:t xml:space="preserve"> </w:t>
      </w:r>
      <w:r>
        <w:t>grupa wybranych do dofinansowania projektów jest zbyt mała, by móc na jej podstawie wnioskować</w:t>
      </w:r>
      <w:r w:rsidRPr="00CA0A32">
        <w:rPr>
          <w:rFonts w:cs="Calibri"/>
        </w:rPr>
        <w:t>.</w:t>
      </w:r>
      <w:r w:rsidR="00E66B89">
        <w:rPr>
          <w:rFonts w:cs="Calibri"/>
        </w:rPr>
        <w:t xml:space="preserve"> W </w:t>
      </w:r>
      <w:r>
        <w:rPr>
          <w:rFonts w:cs="Calibri"/>
        </w:rPr>
        <w:t>momencie sporządzania niniejszego raportu można dokonać jedynie jakościowej oceny efektywności interwencji udzielonej</w:t>
      </w:r>
      <w:r w:rsidR="00E66B89">
        <w:rPr>
          <w:rFonts w:cs="Calibri"/>
        </w:rPr>
        <w:t xml:space="preserve"> w </w:t>
      </w:r>
      <w:r>
        <w:rPr>
          <w:rFonts w:cs="Calibri"/>
        </w:rPr>
        <w:t>ramach RPO WZ</w:t>
      </w:r>
      <w:r w:rsidR="00E66B89">
        <w:rPr>
          <w:rFonts w:cs="Calibri"/>
        </w:rPr>
        <w:t xml:space="preserve"> i </w:t>
      </w:r>
      <w:r>
        <w:rPr>
          <w:rFonts w:cs="Calibri"/>
        </w:rPr>
        <w:t xml:space="preserve">jest ona pozytywna. Wsparte projekty ZZO dotyczą rozbudowy infrastruktury do biologicznego przetwarzania </w:t>
      </w:r>
      <w:r>
        <w:rPr>
          <w:rFonts w:cs="Calibri"/>
        </w:rPr>
        <w:lastRenderedPageBreak/>
        <w:t>odpadów oraz linii technologicznej do sortowania odpadów (automatyzacja</w:t>
      </w:r>
      <w:r w:rsidRPr="00AA6D8D">
        <w:rPr>
          <w:rFonts w:cs="Calibri"/>
        </w:rPr>
        <w:t xml:space="preserve"> procesów </w:t>
      </w:r>
      <w:r>
        <w:rPr>
          <w:rFonts w:cs="Calibri"/>
        </w:rPr>
        <w:t>sortowania, poprawa efektywności przetwarzania)</w:t>
      </w:r>
      <w:r w:rsidRPr="00AA6D8D">
        <w:rPr>
          <w:rFonts w:cs="Calibri"/>
        </w:rPr>
        <w:t xml:space="preserve">. </w:t>
      </w:r>
      <w:r>
        <w:rPr>
          <w:rFonts w:cs="Calibri"/>
        </w:rPr>
        <w:t>Tego typu instalacje</w:t>
      </w:r>
      <w:r w:rsidR="00E66B89">
        <w:rPr>
          <w:rFonts w:cs="Calibri"/>
        </w:rPr>
        <w:t xml:space="preserve"> z </w:t>
      </w:r>
      <w:r>
        <w:rPr>
          <w:rFonts w:cs="Calibri"/>
        </w:rPr>
        <w:t>uwagi na cele postawione</w:t>
      </w:r>
      <w:r w:rsidR="00E66B89">
        <w:rPr>
          <w:rFonts w:cs="Calibri"/>
        </w:rPr>
        <w:t xml:space="preserve"> w </w:t>
      </w:r>
      <w:r>
        <w:rPr>
          <w:rFonts w:cs="Calibri"/>
        </w:rPr>
        <w:t>zakresie gospodarowania odpadami komunalnymi są potrzebne</w:t>
      </w:r>
      <w:r w:rsidR="00E66B89">
        <w:rPr>
          <w:rFonts w:cs="Calibri"/>
        </w:rPr>
        <w:t xml:space="preserve"> w </w:t>
      </w:r>
      <w:r>
        <w:rPr>
          <w:rFonts w:cs="Calibri"/>
        </w:rPr>
        <w:t xml:space="preserve">regionie. </w:t>
      </w:r>
      <w:r w:rsidRPr="00AA6D8D">
        <w:rPr>
          <w:rFonts w:cs="Calibri"/>
        </w:rPr>
        <w:t xml:space="preserve">Realizacja inwestycji </w:t>
      </w:r>
      <w:r>
        <w:rPr>
          <w:rFonts w:cs="Calibri"/>
        </w:rPr>
        <w:t>wspartych</w:t>
      </w:r>
      <w:r w:rsidR="00E66B89">
        <w:rPr>
          <w:rFonts w:cs="Calibri"/>
        </w:rPr>
        <w:t xml:space="preserve"> w </w:t>
      </w:r>
      <w:r>
        <w:rPr>
          <w:rFonts w:cs="Calibri"/>
        </w:rPr>
        <w:t xml:space="preserve">ramach RPO WZ </w:t>
      </w:r>
      <w:r w:rsidRPr="00AA6D8D">
        <w:rPr>
          <w:rFonts w:cs="Calibri"/>
        </w:rPr>
        <w:t>zapewni zintegrowane, kompleksowe podejście do gospodarki odpad</w:t>
      </w:r>
      <w:r>
        <w:rPr>
          <w:rFonts w:cs="Calibri"/>
        </w:rPr>
        <w:t>ami komunalnymi</w:t>
      </w:r>
      <w:r w:rsidR="00E66B89">
        <w:rPr>
          <w:rFonts w:cs="Calibri"/>
        </w:rPr>
        <w:t xml:space="preserve"> w </w:t>
      </w:r>
      <w:r>
        <w:rPr>
          <w:rFonts w:cs="Calibri"/>
        </w:rPr>
        <w:t>regionach</w:t>
      </w:r>
      <w:r w:rsidRPr="00AA6D8D">
        <w:rPr>
          <w:rFonts w:cs="Calibri"/>
        </w:rPr>
        <w:t xml:space="preserve">. </w:t>
      </w:r>
      <w:r>
        <w:rPr>
          <w:rFonts w:cs="Calibri"/>
        </w:rPr>
        <w:t>Ponadto</w:t>
      </w:r>
      <w:r w:rsidR="00E66B89">
        <w:rPr>
          <w:rFonts w:cs="Calibri"/>
        </w:rPr>
        <w:t xml:space="preserve"> w </w:t>
      </w:r>
      <w:r>
        <w:rPr>
          <w:rFonts w:cs="Calibri"/>
        </w:rPr>
        <w:t>ramach PI 6a wsparte zostaną PSZOK, które przyczynią się do zwiększenia masy odpadów zbieranych</w:t>
      </w:r>
      <w:r w:rsidR="00E66B89">
        <w:rPr>
          <w:rFonts w:cs="Calibri"/>
        </w:rPr>
        <w:t xml:space="preserve"> w </w:t>
      </w:r>
      <w:r>
        <w:rPr>
          <w:rFonts w:cs="Calibri"/>
        </w:rPr>
        <w:t xml:space="preserve">sposób selektywny (tym samym do ograniczenia ryzyka powstawania tzw. „dzikich wysypisk”). Wskutek realizacji tych projektów </w:t>
      </w:r>
      <w:r w:rsidRPr="00AA6D8D">
        <w:rPr>
          <w:rFonts w:cs="Calibri"/>
        </w:rPr>
        <w:t>zmniejsz</w:t>
      </w:r>
      <w:r>
        <w:rPr>
          <w:rFonts w:cs="Calibri"/>
        </w:rPr>
        <w:t>y się masa</w:t>
      </w:r>
      <w:r w:rsidRPr="00AA6D8D">
        <w:rPr>
          <w:rFonts w:cs="Calibri"/>
        </w:rPr>
        <w:t xml:space="preserve"> odpadów </w:t>
      </w:r>
      <w:r>
        <w:rPr>
          <w:rFonts w:cs="Calibri"/>
        </w:rPr>
        <w:t>kierowanych na składowiska</w:t>
      </w:r>
      <w:r w:rsidRPr="00AA6D8D">
        <w:rPr>
          <w:rFonts w:cs="Calibri"/>
        </w:rPr>
        <w:t>.</w:t>
      </w:r>
      <w:r>
        <w:rPr>
          <w:rFonts w:cs="Calibri"/>
        </w:rPr>
        <w:t xml:space="preserve"> Ponadto zwiększy się regionalny potencjał do poddawania odpadów procesom odzysku</w:t>
      </w:r>
      <w:r w:rsidR="00E66B89">
        <w:rPr>
          <w:rFonts w:cs="Calibri"/>
        </w:rPr>
        <w:t xml:space="preserve"> i </w:t>
      </w:r>
      <w:r>
        <w:rPr>
          <w:rFonts w:cs="Calibri"/>
        </w:rPr>
        <w:t>recyklingu.</w:t>
      </w:r>
      <w:r w:rsidR="00E66B89">
        <w:rPr>
          <w:rFonts w:cs="Calibri"/>
        </w:rPr>
        <w:t xml:space="preserve"> W </w:t>
      </w:r>
      <w:r w:rsidRPr="00436D27">
        <w:t>ramach RPO WZ 2014-2020 wybrano do dofinansowania dwa projekty typu PSZOK. Wskaźniki dotyczące pomiaru efekt</w:t>
      </w:r>
      <w:r>
        <w:t>ów</w:t>
      </w:r>
      <w:r w:rsidRPr="00436D27">
        <w:t xml:space="preserve"> interwencji</w:t>
      </w:r>
      <w:r w:rsidR="00E66B89">
        <w:t xml:space="preserve"> w </w:t>
      </w:r>
      <w:r w:rsidRPr="00436D27">
        <w:t>tej grupie projektów przewidziano</w:t>
      </w:r>
      <w:r w:rsidR="00E66B89">
        <w:t xml:space="preserve"> w </w:t>
      </w:r>
      <w:r w:rsidRPr="00436D27">
        <w:t>SOOP.</w:t>
      </w:r>
    </w:p>
    <w:p w14:paraId="394B1834" w14:textId="77777777" w:rsidR="009D215A" w:rsidRPr="00436D27" w:rsidRDefault="009D215A" w:rsidP="009D215A">
      <w:pPr>
        <w:pStyle w:val="evaluTresc"/>
      </w:pPr>
      <w:r w:rsidRPr="00436D27">
        <w:t>Duża różnorodność typów projektów</w:t>
      </w:r>
      <w:r>
        <w:t>,</w:t>
      </w:r>
      <w:r w:rsidRPr="00436D27">
        <w:t xml:space="preserve"> jakie mogły ubiegać się</w:t>
      </w:r>
      <w:r w:rsidR="00E66B89">
        <w:t xml:space="preserve"> o </w:t>
      </w:r>
      <w:r w:rsidRPr="00436D27">
        <w:t>wsparcie</w:t>
      </w:r>
      <w:r w:rsidR="00E66B89">
        <w:t xml:space="preserve"> w </w:t>
      </w:r>
      <w:r w:rsidRPr="00436D27">
        <w:t>ramach RPO WZ 2014-2020 skutkowała tym, iż oszacowanie kosztów jednostkowych dla tak sformułowanych wskaźników było zadaniem bardzo trudnym (szczególnie</w:t>
      </w:r>
      <w:r w:rsidR="00E66B89">
        <w:t xml:space="preserve"> w </w:t>
      </w:r>
      <w:r w:rsidRPr="00436D27">
        <w:t>sytuacji, gdy</w:t>
      </w:r>
      <w:r w:rsidR="00E66B89">
        <w:t xml:space="preserve"> w </w:t>
      </w:r>
      <w:r w:rsidRPr="00436D27">
        <w:t>okresie programowania wsparcia brak było konkretnego punktu odniesienia</w:t>
      </w:r>
      <w:r>
        <w:t>,</w:t>
      </w:r>
      <w:r w:rsidRPr="00436D27">
        <w:t xml:space="preserve"> jakim aktualnie jest Plan Inwestycyjny stanowiący załącznik do wojewódzkiego planu gospodarki odpadami). Koszt jednostkowy wspartego zakładu czy jego zdolność przerobowa będzie zależała od tego jakie kody odpadów,</w:t>
      </w:r>
      <w:r w:rsidR="00E66B89">
        <w:t xml:space="preserve"> w </w:t>
      </w:r>
      <w:r w:rsidRPr="00436D27">
        <w:t>jakiej ilości oraz</w:t>
      </w:r>
      <w:r w:rsidR="00E66B89">
        <w:t xml:space="preserve"> z </w:t>
      </w:r>
      <w:r w:rsidRPr="00436D27">
        <w:t>wykorzystaniem jakiej technologii przewidziano do przetwarzania. Inne koszty jednostkowe należy przewidzieć dla instalacji np. służących oczyszczaniu zebranych selektywnie frakcji odpadów komunalnych, inne dla przetwarzania odpadów zielonych</w:t>
      </w:r>
      <w:r w:rsidR="00E66B89">
        <w:t xml:space="preserve"> i </w:t>
      </w:r>
      <w:r w:rsidRPr="00436D27">
        <w:t xml:space="preserve">bioodpadów, inne zaś recyklingu odpadów. Ponadto wskaźnik ten nie umożliwia różnicowania tego czy dany zakład powstał od nowa (np. nowa kompostownia), czy zwiększa moce przerobowe (np. zakup dodatkowych urządzeń) bądź technologie przetwarzania. </w:t>
      </w:r>
    </w:p>
    <w:p w14:paraId="10EC5C95" w14:textId="77777777" w:rsidR="009D215A" w:rsidRPr="00404DA5" w:rsidRDefault="009D215A" w:rsidP="009D215A">
      <w:pPr>
        <w:pStyle w:val="evaluTresc"/>
        <w:rPr>
          <w:rFonts w:cs="Calibri"/>
        </w:rPr>
      </w:pPr>
      <w:r w:rsidRPr="00404DA5">
        <w:rPr>
          <w:rFonts w:cs="Calibri"/>
        </w:rPr>
        <w:t>W zakresie wskaźnika odnoszącego się do dodatkowych zdolności przerobowych podobną trudność stanowi to, jaka grupa odpadów jest przewidziana do przetwarzania</w:t>
      </w:r>
      <w:r w:rsidR="00E66B89">
        <w:rPr>
          <w:rFonts w:cs="Calibri"/>
        </w:rPr>
        <w:t xml:space="preserve"> w </w:t>
      </w:r>
      <w:r w:rsidRPr="00404DA5">
        <w:rPr>
          <w:rFonts w:cs="Calibri"/>
        </w:rPr>
        <w:t>danej instalacji (czy będzie to instalacja dla tworzyw sztucznych, metali, odpadów budowlanych</w:t>
      </w:r>
      <w:r w:rsidR="00E66B89">
        <w:rPr>
          <w:rFonts w:cs="Calibri"/>
        </w:rPr>
        <w:t xml:space="preserve"> i </w:t>
      </w:r>
      <w:r w:rsidRPr="00404DA5">
        <w:rPr>
          <w:rFonts w:cs="Calibri"/>
        </w:rPr>
        <w:t>remontowych</w:t>
      </w:r>
      <w:r>
        <w:rPr>
          <w:rFonts w:cs="Calibri"/>
        </w:rPr>
        <w:t>,</w:t>
      </w:r>
      <w:r w:rsidRPr="00404DA5">
        <w:rPr>
          <w:rFonts w:cs="Calibri"/>
        </w:rPr>
        <w:t xml:space="preserve"> czy np. przetwarzania zużytych opon). Również istotną kwestią jest to czy dany projekt będzie stanowił nową instalację, czy też będzie dotyczył rozbudowy/modernizacji zwiększającej moce przerobowe zakładu. </w:t>
      </w:r>
    </w:p>
    <w:p w14:paraId="56A883DD" w14:textId="77777777" w:rsidR="009D215A" w:rsidRPr="00436D27" w:rsidRDefault="009D215A" w:rsidP="009D215A">
      <w:pPr>
        <w:pStyle w:val="evaluTresc"/>
      </w:pPr>
      <w:r w:rsidRPr="00436D27">
        <w:t>Nadmieńmy także, iż dodatkową trudnością</w:t>
      </w:r>
      <w:r w:rsidR="00E66B89">
        <w:t xml:space="preserve"> w </w:t>
      </w:r>
      <w:r w:rsidRPr="00436D27">
        <w:t>szacowaniu wartości docelowych wskaźników było to, iż sporą część podmiotów uprawnionych do wnioskowania</w:t>
      </w:r>
      <w:r w:rsidR="00E66B89">
        <w:t xml:space="preserve"> o </w:t>
      </w:r>
      <w:r w:rsidRPr="00436D27">
        <w:t>wsparcie</w:t>
      </w:r>
      <w:r>
        <w:t xml:space="preserve"> </w:t>
      </w:r>
      <w:r w:rsidRPr="00436D27">
        <w:t>stanowią przedsiębiorcy. Pozyskanie informacji nt. planów inwestycyjnych</w:t>
      </w:r>
      <w:r w:rsidR="00E66B89">
        <w:t xml:space="preserve"> w </w:t>
      </w:r>
      <w:r w:rsidRPr="00436D27">
        <w:t>momencie braku Planu Gospodarki Odpadami</w:t>
      </w:r>
      <w:r w:rsidR="00E66B89">
        <w:t xml:space="preserve"> z </w:t>
      </w:r>
      <w:r w:rsidRPr="00436D27">
        <w:t xml:space="preserve">tego względu było bardzo trudne. </w:t>
      </w:r>
    </w:p>
    <w:p w14:paraId="19D796EB" w14:textId="77777777" w:rsidR="009D215A" w:rsidRPr="00436D27" w:rsidRDefault="009D215A" w:rsidP="009D215A">
      <w:pPr>
        <w:pStyle w:val="evaluTresc"/>
      </w:pPr>
      <w:r w:rsidRPr="00436D27">
        <w:t>Przyjęt</w:t>
      </w:r>
      <w:r>
        <w:t>a</w:t>
      </w:r>
      <w:r w:rsidRPr="00436D27">
        <w:t xml:space="preserve"> docelow</w:t>
      </w:r>
      <w:r>
        <w:t>a</w:t>
      </w:r>
      <w:r w:rsidRPr="00436D27">
        <w:t xml:space="preserve"> wartość wskaźnik</w:t>
      </w:r>
      <w:r>
        <w:t>a</w:t>
      </w:r>
      <w:r w:rsidRPr="00436D27">
        <w:t xml:space="preserve"> </w:t>
      </w:r>
      <w:r w:rsidRPr="008B706B">
        <w:rPr>
          <w:i/>
        </w:rPr>
        <w:t>Liczba wspartych zakładów przetwarzania odpadów</w:t>
      </w:r>
      <w:r w:rsidRPr="00436D27">
        <w:t xml:space="preserve"> została oszacowana należycie. Różnice pomiędzy wartościami prognozowanymi,</w:t>
      </w:r>
      <w:r w:rsidR="00E66B89">
        <w:t xml:space="preserve"> a </w:t>
      </w:r>
      <w:r w:rsidRPr="00436D27">
        <w:t>realnie obserwowanymi wynikają</w:t>
      </w:r>
      <w:r w:rsidR="00E66B89">
        <w:t xml:space="preserve"> z </w:t>
      </w:r>
      <w:r w:rsidRPr="00436D27">
        <w:t>okoliczności obiektywnych opisanych powyżej.</w:t>
      </w:r>
      <w:r w:rsidR="00E66B89">
        <w:t xml:space="preserve"> W </w:t>
      </w:r>
      <w:r w:rsidRPr="00436D27">
        <w:t>tym zakresie szczególnie należy wymienić opóźnienia</w:t>
      </w:r>
      <w:r w:rsidR="00E66B89">
        <w:t xml:space="preserve"> w </w:t>
      </w:r>
      <w:r w:rsidRPr="00436D27">
        <w:t>opracowaniu KPGO oraz szeroki katalog możliwych do realizacji projektów (utrudniający przyjęcie określonych założeń dotyczących kosztów jednostkowych). Generalnie przyjęty zestaw wskaźników pozwala</w:t>
      </w:r>
      <w:r>
        <w:t xml:space="preserve"> </w:t>
      </w:r>
      <w:r w:rsidRPr="00436D27">
        <w:t>na pomiar kluczowych efektów będących wynikiem wspieranych projektów. Potwierdzeniem powyższej oceny jest pozytywna opinia respondentów badania ilościowego (brak istotnych zastrzeżeń do przyjętych wskaźników monitorowanych</w:t>
      </w:r>
      <w:r w:rsidR="00E66B89">
        <w:t xml:space="preserve"> w </w:t>
      </w:r>
      <w:r w:rsidRPr="00436D27">
        <w:t>projektach). Zakres udzielanego wsparcia</w:t>
      </w:r>
      <w:r w:rsidR="00E66B89">
        <w:t xml:space="preserve"> w </w:t>
      </w:r>
      <w:r w:rsidRPr="00436D27">
        <w:t>ramach PI 6a</w:t>
      </w:r>
      <w:r w:rsidR="00E66B89">
        <w:t xml:space="preserve"> w </w:t>
      </w:r>
      <w:r w:rsidRPr="00436D27">
        <w:t>silny</w:t>
      </w:r>
      <w:r w:rsidR="00E66B89">
        <w:t xml:space="preserve"> i </w:t>
      </w:r>
      <w:r w:rsidRPr="00436D27">
        <w:t>bezpośredni sposób łączy się ze zdiagnozowanymi potrzebami województwa zachodniopomorskiego. Wsparte projekty będą przyczyniały się do poprawy sytuacji</w:t>
      </w:r>
      <w:r w:rsidR="00E66B89">
        <w:t xml:space="preserve"> w </w:t>
      </w:r>
      <w:r w:rsidRPr="00436D27">
        <w:t xml:space="preserve">zakresie gospodarki odpadami komunalnymi. </w:t>
      </w:r>
    </w:p>
    <w:p w14:paraId="7EC582D8" w14:textId="77777777" w:rsidR="009D215A" w:rsidRPr="00436D27" w:rsidRDefault="009D215A" w:rsidP="009D215A">
      <w:pPr>
        <w:pStyle w:val="evaluTresc"/>
      </w:pPr>
      <w:r w:rsidRPr="00436D27">
        <w:t>Jak wskazano na początku podrozdziału</w:t>
      </w:r>
      <w:r>
        <w:t>,</w:t>
      </w:r>
      <w:r w:rsidRPr="00436D27">
        <w:t xml:space="preserve"> wyłącznie projekty wdrażane</w:t>
      </w:r>
      <w:r w:rsidR="00E66B89">
        <w:t xml:space="preserve"> w </w:t>
      </w:r>
      <w:r w:rsidRPr="00436D27">
        <w:t xml:space="preserve">ramach Działania 3.7 przyczyniają się do </w:t>
      </w:r>
      <w:r>
        <w:t>osiągnięcia</w:t>
      </w:r>
      <w:r w:rsidRPr="00436D27">
        <w:t xml:space="preserve"> przyjętych wskaźników na poziomie PI 6a.</w:t>
      </w:r>
    </w:p>
    <w:p w14:paraId="7A3991A0" w14:textId="77777777" w:rsidR="009D215A" w:rsidRPr="00436D27" w:rsidRDefault="009D215A" w:rsidP="009D215A">
      <w:pPr>
        <w:pStyle w:val="evaluTresc"/>
      </w:pPr>
      <w:r>
        <w:t>Specyfika</w:t>
      </w:r>
      <w:r w:rsidRPr="00436D27">
        <w:t xml:space="preserve"> wdrażanego PI oraz trafny dobór wskaźników produktu</w:t>
      </w:r>
      <w:r w:rsidR="00E66B89">
        <w:t xml:space="preserve"> i </w:t>
      </w:r>
      <w:r w:rsidRPr="00436D27">
        <w:t>rezultatu</w:t>
      </w:r>
      <w:r w:rsidR="00E66B89">
        <w:t xml:space="preserve"> w </w:t>
      </w:r>
      <w:r w:rsidRPr="00436D27">
        <w:t xml:space="preserve">zakresie gospodarki komunalnej </w:t>
      </w:r>
      <w:r>
        <w:t>pozwalają wskazać, że</w:t>
      </w:r>
      <w:r w:rsidRPr="00436D27">
        <w:t xml:space="preserve"> projekty wspierane</w:t>
      </w:r>
      <w:r w:rsidR="00E66B89">
        <w:t xml:space="preserve"> w </w:t>
      </w:r>
      <w:r w:rsidRPr="00436D27">
        <w:t xml:space="preserve">ramach Działania 3.7 przyczyniają się do </w:t>
      </w:r>
      <w:r>
        <w:lastRenderedPageBreak/>
        <w:t>osiągania</w:t>
      </w:r>
      <w:r w:rsidRPr="00436D27">
        <w:t xml:space="preserve"> przyjęt</w:t>
      </w:r>
      <w:r>
        <w:t xml:space="preserve">ych </w:t>
      </w:r>
      <w:r w:rsidRPr="00436D27">
        <w:t>wskaźników.</w:t>
      </w:r>
      <w:r w:rsidR="00E66B89">
        <w:t xml:space="preserve"> W </w:t>
      </w:r>
      <w:r w:rsidRPr="00436D27">
        <w:t>praktyce prawdopodobną jest sytuacja,</w:t>
      </w:r>
      <w:r w:rsidR="00E66B89">
        <w:t xml:space="preserve"> w </w:t>
      </w:r>
      <w:r w:rsidRPr="00436D27">
        <w:t xml:space="preserve">której wsparty zakład zagospodarowania odpadów będzie przyczyniał się do wzrostu dodatkowych zdolności przerobowych. </w:t>
      </w:r>
      <w:r>
        <w:t>Stopień</w:t>
      </w:r>
      <w:r w:rsidRPr="00436D27">
        <w:t xml:space="preserve"> wpływu na </w:t>
      </w:r>
      <w:r>
        <w:t>osiągnięcie</w:t>
      </w:r>
      <w:r w:rsidRPr="00436D27">
        <w:t xml:space="preserve"> założonej jednostki danego wskaźnika jest kwestią wysoce subiektywną</w:t>
      </w:r>
      <w:r w:rsidR="00E66B89">
        <w:t xml:space="preserve"> i </w:t>
      </w:r>
      <w:r w:rsidRPr="00436D27">
        <w:t>zależną od charakteru działalności</w:t>
      </w:r>
      <w:r w:rsidR="00E66B89">
        <w:t xml:space="preserve"> i </w:t>
      </w:r>
      <w:r w:rsidRPr="00436D27">
        <w:t>wielkości wspieranego zakładu. Pewnym ograniczeniem</w:t>
      </w:r>
      <w:r w:rsidR="00E66B89">
        <w:t xml:space="preserve"> w </w:t>
      </w:r>
      <w:r w:rsidRPr="00436D27">
        <w:t>tym zakresie jest to, iż</w:t>
      </w:r>
      <w:r w:rsidR="00E66B89">
        <w:t xml:space="preserve"> w </w:t>
      </w:r>
      <w:r w:rsidRPr="00436D27">
        <w:t>ramach wskaźnika przyjęto ambitne założenie monitorowania wzrostu zdolności przerobowych</w:t>
      </w:r>
      <w:r w:rsidR="00E66B89">
        <w:t xml:space="preserve"> w </w:t>
      </w:r>
      <w:r w:rsidRPr="00436D27">
        <w:t xml:space="preserve">zakresie wyłącznie recyklingu. Czyli </w:t>
      </w:r>
      <w:r>
        <w:t>np.</w:t>
      </w:r>
      <w:r w:rsidRPr="00436D27">
        <w:t xml:space="preserve"> instalacje do doczyszczania selektywnie zebranych frakcji odpadów nie będą przyczyniały się do </w:t>
      </w:r>
      <w:r>
        <w:t>osiągnięcia</w:t>
      </w:r>
      <w:r w:rsidRPr="00436D27">
        <w:t xml:space="preserve"> tej wartości wskaźnika.</w:t>
      </w:r>
    </w:p>
    <w:p w14:paraId="0D949C64" w14:textId="77777777" w:rsidR="009D215A" w:rsidRPr="00436D27" w:rsidRDefault="009D215A" w:rsidP="009D215A">
      <w:pPr>
        <w:pStyle w:val="evaluTresc"/>
      </w:pPr>
      <w:r w:rsidRPr="00436D27">
        <w:t>Wsparcie</w:t>
      </w:r>
      <w:r w:rsidR="00E66B89">
        <w:t xml:space="preserve"> w </w:t>
      </w:r>
      <w:r w:rsidRPr="00436D27">
        <w:t>ramach PI6a udzielane było</w:t>
      </w:r>
      <w:r w:rsidR="00E66B89">
        <w:t xml:space="preserve"> w </w:t>
      </w:r>
      <w:r w:rsidRPr="00436D27">
        <w:t>trybie konkursowym. Nie zidentyfikowano czynników</w:t>
      </w:r>
      <w:r w:rsidR="00E66B89">
        <w:t xml:space="preserve"> o </w:t>
      </w:r>
      <w:r w:rsidRPr="00436D27">
        <w:t>charakterze wewnętrznym, które powodowałyby istotne problemy</w:t>
      </w:r>
      <w:r w:rsidR="00E66B89">
        <w:t xml:space="preserve"> z </w:t>
      </w:r>
      <w:r w:rsidRPr="00436D27">
        <w:t>wdrażaniem Działania 3.7</w:t>
      </w:r>
      <w:r w:rsidR="00E66B89">
        <w:t xml:space="preserve"> i </w:t>
      </w:r>
      <w:r w:rsidRPr="00436D27">
        <w:t xml:space="preserve">3.8. </w:t>
      </w:r>
    </w:p>
    <w:p w14:paraId="19406626" w14:textId="77777777" w:rsidR="009D215A" w:rsidRPr="00436D27" w:rsidRDefault="009D215A" w:rsidP="009D215A">
      <w:pPr>
        <w:pStyle w:val="evaluTresc"/>
      </w:pPr>
      <w:r>
        <w:t>Beneficjenci nie wskazali</w:t>
      </w:r>
      <w:r w:rsidR="00E66B89">
        <w:t xml:space="preserve"> w </w:t>
      </w:r>
      <w:r>
        <w:t xml:space="preserve">badaniu ilościowym występowania </w:t>
      </w:r>
      <w:r w:rsidRPr="00436D27">
        <w:t>problem</w:t>
      </w:r>
      <w:r>
        <w:t>ów</w:t>
      </w:r>
      <w:r w:rsidRPr="00436D27">
        <w:t xml:space="preserve"> związan</w:t>
      </w:r>
      <w:r>
        <w:t>ych</w:t>
      </w:r>
      <w:r w:rsidR="00E66B89">
        <w:t xml:space="preserve"> z </w:t>
      </w:r>
      <w:r w:rsidRPr="00436D27">
        <w:t>warunkami wsparcia</w:t>
      </w:r>
      <w:r w:rsidR="00E66B89">
        <w:t xml:space="preserve"> w </w:t>
      </w:r>
      <w:r w:rsidRPr="00436D27">
        <w:t>ramach RPO WZ 2014-2020</w:t>
      </w:r>
      <w:r>
        <w:t>. Nie formułowali oni zastrzeżeń odnośnie przyjętych założeń</w:t>
      </w:r>
      <w:r w:rsidR="00E66B89">
        <w:t xml:space="preserve"> w </w:t>
      </w:r>
      <w:r w:rsidRPr="00436D27">
        <w:t>zakresie harmonogramów naboru, dostępu do informacji potrzebnych na etapie przygotowania wniosku</w:t>
      </w:r>
      <w:r w:rsidR="00E66B89">
        <w:t xml:space="preserve"> o </w:t>
      </w:r>
      <w:r w:rsidRPr="00436D27">
        <w:t>dofinansowanie, zrozumiałości zapisów</w:t>
      </w:r>
      <w:r w:rsidR="00E66B89">
        <w:t xml:space="preserve"> w </w:t>
      </w:r>
      <w:r w:rsidRPr="00436D27">
        <w:t>regulaminie konkursu lub dokumentach potrzebnych na etapie przygotowania wniosku.</w:t>
      </w:r>
    </w:p>
    <w:p w14:paraId="569B6DA9" w14:textId="77777777" w:rsidR="009D215A" w:rsidRPr="00436D27" w:rsidRDefault="009D215A" w:rsidP="009D215A">
      <w:pPr>
        <w:pStyle w:val="evaluTresc"/>
      </w:pPr>
      <w:r w:rsidRPr="00436D27">
        <w:t xml:space="preserve">Konstruując warunki wsparcia nie pominięto żadnej istotnej grupy docelowej. Przewidziano także wszystkie istotne typy projektów, przyczyniające się do </w:t>
      </w:r>
      <w:r>
        <w:t>osiągania</w:t>
      </w:r>
      <w:r w:rsidRPr="00436D27">
        <w:t xml:space="preserve"> celów Działania. Również przyjęta formuła wdrażania (tryb konkursowy) oraz szczegółowe warunki wsparcia zostały sformułowane</w:t>
      </w:r>
      <w:r w:rsidR="00E66B89">
        <w:t xml:space="preserve"> w </w:t>
      </w:r>
      <w:r w:rsidRPr="00436D27">
        <w:t>sposób przejrzysty (w tym m.in. regulaminy konkursów</w:t>
      </w:r>
      <w:r w:rsidR="00E66B89">
        <w:t xml:space="preserve"> i </w:t>
      </w:r>
      <w:r w:rsidRPr="00436D27">
        <w:t>załączniki do regulaminu, kryteria oceny itp.).</w:t>
      </w:r>
      <w:r w:rsidR="00E66B89">
        <w:t xml:space="preserve"> W </w:t>
      </w:r>
      <w:r w:rsidRPr="00436D27">
        <w:t>tym zakresie nie identyfikuje się żadnych istotnych czynników, które mogłyby powodować problemy we wdrażaniu.</w:t>
      </w:r>
    </w:p>
    <w:p w14:paraId="23CACC88" w14:textId="77777777" w:rsidR="009D215A" w:rsidRPr="00436D27" w:rsidRDefault="009D215A" w:rsidP="009D215A">
      <w:pPr>
        <w:pStyle w:val="evaluTresc"/>
      </w:pPr>
      <w:r w:rsidRPr="00436D27">
        <w:t>Formułując warunki wdrażania IZ RPO WZ 2014-2020 przyjęła szereg zapisów, które przyczyniają się do efektywnego</w:t>
      </w:r>
      <w:r w:rsidR="00E66B89">
        <w:t xml:space="preserve"> i </w:t>
      </w:r>
      <w:r w:rsidRPr="00436D27">
        <w:t>celowego wydatkowania alokacji (przyjęto kryteria merytoryczne odnoszące się do efektywności kosztowej projektów). Zawarto także takie kryteria, które preferowały wybór projektów</w:t>
      </w:r>
      <w:r w:rsidR="00E66B89">
        <w:t xml:space="preserve"> w </w:t>
      </w:r>
      <w:r w:rsidRPr="00436D27">
        <w:t xml:space="preserve">największym stopniu przyczyniającym się do </w:t>
      </w:r>
      <w:r>
        <w:t>osiągania</w:t>
      </w:r>
      <w:r w:rsidRPr="00436D27">
        <w:t xml:space="preserve"> założonych wartości wskaźników RPO WZ. Premiowano użyteczność projektów (wymiar oddziaływania projektu na mieszkańców regionu). Warto także podkreślić, iż</w:t>
      </w:r>
      <w:r w:rsidR="00E66B89">
        <w:t xml:space="preserve"> w </w:t>
      </w:r>
      <w:r w:rsidRPr="00436D27">
        <w:t>przyjętych zapis</w:t>
      </w:r>
      <w:r>
        <w:t>ach</w:t>
      </w:r>
      <w:r w:rsidRPr="00436D27">
        <w:t xml:space="preserve"> premiowano projekty dojrzałe (o wysokim stopniu gotowości do realizacji). Takie działanie przyczynia się do mobilizacji wnioskodawców oraz zabezpiecza możliwość rozliczenia alokacji</w:t>
      </w:r>
      <w:r w:rsidR="00E66B89">
        <w:t xml:space="preserve"> w </w:t>
      </w:r>
      <w:r w:rsidRPr="00436D27">
        <w:t>okresie kwalifikowalności wydatków.</w:t>
      </w:r>
    </w:p>
    <w:p w14:paraId="3615329B" w14:textId="77777777" w:rsidR="009D215A" w:rsidRPr="00436D27" w:rsidRDefault="009D215A" w:rsidP="009D215A">
      <w:pPr>
        <w:pStyle w:val="evaluTresc"/>
      </w:pPr>
      <w:r w:rsidRPr="00436D27">
        <w:t>Pewnym ograniczeniem do realizacji projektów typu PSZOK</w:t>
      </w:r>
      <w:r w:rsidR="00E66B89">
        <w:t xml:space="preserve"> w </w:t>
      </w:r>
      <w:r w:rsidRPr="00436D27">
        <w:t>ramach Działania 3.7 była demarkacja</w:t>
      </w:r>
      <w:r w:rsidR="00E66B89">
        <w:t xml:space="preserve"> z </w:t>
      </w:r>
      <w:r w:rsidRPr="00436D27">
        <w:t>poziomem krajowym. Ten typ projektów mógł uzyskać wsparcie</w:t>
      </w:r>
      <w:r w:rsidR="00E66B89">
        <w:t xml:space="preserve"> w </w:t>
      </w:r>
      <w:r w:rsidRPr="00436D27">
        <w:t>ramach RPO WZ wyłącznie</w:t>
      </w:r>
      <w:r w:rsidR="00E66B89">
        <w:t xml:space="preserve"> w </w:t>
      </w:r>
      <w:r w:rsidRPr="00436D27">
        <w:t>sytuacji, gdy wartość kosztów kwalifi</w:t>
      </w:r>
      <w:r>
        <w:t>kowalnych nie przekracza 2 mln zł</w:t>
      </w:r>
      <w:r w:rsidR="00E66B89">
        <w:t xml:space="preserve"> i </w:t>
      </w:r>
      <w:r w:rsidRPr="00436D27">
        <w:t xml:space="preserve">projekty będą dedykowane do obsługi do 20 tys. mieszkańców. </w:t>
      </w:r>
    </w:p>
    <w:p w14:paraId="66433CCC" w14:textId="77777777" w:rsidR="009D215A" w:rsidRPr="00436D27" w:rsidRDefault="009D215A" w:rsidP="009D215A">
      <w:pPr>
        <w:pStyle w:val="evaluTresc"/>
      </w:pPr>
      <w:r w:rsidRPr="00436D27">
        <w:t>Należy podkreślić duże kompetencje Urzędu oraz jego pracowników</w:t>
      </w:r>
      <w:r w:rsidR="00E66B89">
        <w:t xml:space="preserve"> w </w:t>
      </w:r>
      <w:r w:rsidRPr="00436D27">
        <w:t>zakresie tematyki związanej</w:t>
      </w:r>
      <w:r w:rsidR="00E66B89">
        <w:t xml:space="preserve"> z </w:t>
      </w:r>
      <w:r w:rsidRPr="00436D27">
        <w:t>gospodarką odpadami komunalnymi.</w:t>
      </w:r>
      <w:r w:rsidR="00E66B89">
        <w:t xml:space="preserve"> W </w:t>
      </w:r>
      <w:r w:rsidRPr="00436D27">
        <w:t xml:space="preserve">strukturach </w:t>
      </w:r>
      <w:r>
        <w:t>U</w:t>
      </w:r>
      <w:r w:rsidRPr="00436D27">
        <w:t>rzędu zatrudnione są osoby, które brały udział</w:t>
      </w:r>
      <w:r w:rsidR="00E66B89">
        <w:t xml:space="preserve"> w </w:t>
      </w:r>
      <w:r w:rsidRPr="00436D27">
        <w:t>tworzeniu planu gospodarki odpadami dla województwa zachodniopomorskiego.</w:t>
      </w:r>
      <w:r w:rsidR="00E66B89">
        <w:t xml:space="preserve"> W </w:t>
      </w:r>
      <w:r w:rsidRPr="00436D27">
        <w:t>skład KOP powoływani byli zarówno pracownicy Urzędu (ocena formalna, merytoryczna), jak również eksperci zewnętrzni (na potrzeby oceny</w:t>
      </w:r>
      <w:r w:rsidR="00E66B89">
        <w:t xml:space="preserve"> w </w:t>
      </w:r>
      <w:r w:rsidRPr="00436D27">
        <w:t>zakresie analizy ekonomiczno-finansowej). Fakt ten pozytywnie wpływa m.in. na konstrukcję warunków wsparcia (dobór odpowiedni</w:t>
      </w:r>
      <w:r>
        <w:t>ch</w:t>
      </w:r>
      <w:r w:rsidRPr="00436D27">
        <w:t xml:space="preserve"> kryteriów oceny</w:t>
      </w:r>
      <w:r>
        <w:t>,</w:t>
      </w:r>
      <w:r w:rsidRPr="00436D27">
        <w:t xml:space="preserve"> itp.) oraz późniejsze wdrażanie</w:t>
      </w:r>
      <w:r w:rsidR="00E66B89">
        <w:t xml:space="preserve"> i </w:t>
      </w:r>
      <w:r w:rsidRPr="00436D27">
        <w:t>rozliczanie projektów</w:t>
      </w:r>
      <w:r>
        <w:t>.</w:t>
      </w:r>
    </w:p>
    <w:p w14:paraId="3C804BCE" w14:textId="77777777" w:rsidR="009D215A" w:rsidRDefault="009D215A" w:rsidP="009D215A">
      <w:pPr>
        <w:pStyle w:val="evaluTresc"/>
      </w:pPr>
      <w:r w:rsidRPr="00436D27">
        <w:t>Trudności związane</w:t>
      </w:r>
      <w:r w:rsidR="00E66B89">
        <w:t xml:space="preserve"> z </w:t>
      </w:r>
      <w:r w:rsidRPr="00436D27">
        <w:t>wdrażanie</w:t>
      </w:r>
      <w:r>
        <w:t>m</w:t>
      </w:r>
      <w:r w:rsidRPr="00436D27">
        <w:t xml:space="preserve"> PI 6a wynikały</w:t>
      </w:r>
      <w:r w:rsidR="00E66B89">
        <w:t xml:space="preserve"> z </w:t>
      </w:r>
      <w:r w:rsidRPr="00436D27">
        <w:t>czynników</w:t>
      </w:r>
      <w:r w:rsidR="00E66B89">
        <w:t xml:space="preserve"> o </w:t>
      </w:r>
      <w:r w:rsidRPr="00436D27">
        <w:t xml:space="preserve">charakterze zewnętrznym. </w:t>
      </w:r>
      <w:r>
        <w:t>P</w:t>
      </w:r>
      <w:r w:rsidRPr="00436D27">
        <w:t>rzyczyn braku pełnego wykorzystania alokacji należy upatrywać głównie</w:t>
      </w:r>
      <w:r w:rsidR="00E66B89">
        <w:t xml:space="preserve"> w </w:t>
      </w:r>
      <w:r w:rsidRPr="00436D27">
        <w:t>tym, iż możliwość zakończenia prac nad wojewódzkim planem gospodarki odpadami była ograniczona przedłużającym się przygotowaniem planu Krajowego (z którym wszystkie plany wojewódzkie musiały być zgodne). Projekty wspierane</w:t>
      </w:r>
      <w:r w:rsidR="00E66B89">
        <w:t xml:space="preserve"> w </w:t>
      </w:r>
      <w:r w:rsidRPr="00436D27">
        <w:t xml:space="preserve">ramach PI 6a muszą być </w:t>
      </w:r>
      <w:r>
        <w:t xml:space="preserve">zaś </w:t>
      </w:r>
      <w:r w:rsidRPr="00436D27">
        <w:t>zgodne</w:t>
      </w:r>
      <w:r w:rsidR="00E66B89">
        <w:t xml:space="preserve"> z </w:t>
      </w:r>
      <w:r w:rsidRPr="00436D27">
        <w:t xml:space="preserve">zapisami wojewódzkiego planu gospodarki odpadami. Można wskazać, iż uchwalenie Krajowego Planu Gospodarowania Odpadami 2022 nastąpiło zbyt późno </w:t>
      </w:r>
      <w:r w:rsidRPr="00436D27">
        <w:lastRenderedPageBreak/>
        <w:t>względem rozpoczęcia perspektywy finansowej 2014-2020, co przełożyło się na utrudnienie wdrażania wsparcia</w:t>
      </w:r>
      <w:r w:rsidR="00E66B89">
        <w:t xml:space="preserve"> w </w:t>
      </w:r>
      <w:r w:rsidRPr="00436D27">
        <w:t xml:space="preserve">ramach Działania PI 6a. Obowiązujący aktualnie </w:t>
      </w:r>
      <w:r>
        <w:t>W</w:t>
      </w:r>
      <w:r w:rsidRPr="00436D27">
        <w:t>PGO został przyjęty Uchwałą Nr XVIII/321/16 Sejmiku Województwa Zachodniopomorskiego 27 grudnia 2016 r. (pierwsze nabory ogłoszono</w:t>
      </w:r>
      <w:r w:rsidR="00E66B89">
        <w:t xml:space="preserve"> I </w:t>
      </w:r>
      <w:r w:rsidRPr="00436D27">
        <w:t>kwartale 2018 r.).</w:t>
      </w:r>
      <w:r>
        <w:t xml:space="preserve"> </w:t>
      </w:r>
      <w:r w:rsidRPr="00436D27">
        <w:t>Wskutek przyjęcia tego dokumentu możliwa była bardziej trafna diagnoza</w:t>
      </w:r>
      <w:r w:rsidR="00E66B89">
        <w:t xml:space="preserve"> i </w:t>
      </w:r>
      <w:r w:rsidRPr="00436D27">
        <w:t>aktualizacja informacji nt. planów inwestycyjnych</w:t>
      </w:r>
      <w:r w:rsidR="00E66B89">
        <w:t xml:space="preserve"> w </w:t>
      </w:r>
      <w:r w:rsidRPr="00436D27">
        <w:t>zakresie gospodarki odpadami</w:t>
      </w:r>
      <w:r w:rsidR="00E66B89">
        <w:t xml:space="preserve"> w </w:t>
      </w:r>
      <w:r w:rsidRPr="00436D27">
        <w:t>województwie.</w:t>
      </w:r>
      <w:r w:rsidR="00E66B89">
        <w:t xml:space="preserve"> W </w:t>
      </w:r>
      <w:r w:rsidRPr="00436D27">
        <w:t>dokumencie tym województwo zostało podzielone na 2 regiony gospodarki odpadami (wschodni</w:t>
      </w:r>
      <w:r w:rsidR="00E66B89">
        <w:t xml:space="preserve"> i </w:t>
      </w:r>
      <w:r w:rsidRPr="00436D27">
        <w:t>zachodni). Instalacja do termicznego przetwarzania odpadów komunalnych (która ma status instalacji ponadregionalnej) zlokalizowana jest</w:t>
      </w:r>
      <w:r w:rsidR="00E66B89">
        <w:t xml:space="preserve"> w </w:t>
      </w:r>
      <w:r w:rsidRPr="00436D27">
        <w:t>regionie zachodnim (Szczecin, ul. Logistyczna 22,</w:t>
      </w:r>
      <w:r w:rsidR="00E66B89">
        <w:t xml:space="preserve"> o </w:t>
      </w:r>
      <w:r w:rsidRPr="00436D27">
        <w:t>mocy przerobowej 150 tys. Mg/rok). Kwestia ta była istotna, gdyż</w:t>
      </w:r>
      <w:r w:rsidR="00E66B89">
        <w:t xml:space="preserve"> z </w:t>
      </w:r>
      <w:r>
        <w:t>uwagi na przyjęte zasady demarkacji</w:t>
      </w:r>
      <w:r w:rsidR="00E66B89">
        <w:t xml:space="preserve"> w </w:t>
      </w:r>
      <w:r w:rsidRPr="00436D27">
        <w:t>RPO WZ 2014-2020 obowiązując</w:t>
      </w:r>
      <w:r>
        <w:t>ym</w:t>
      </w:r>
      <w:r w:rsidRPr="00436D27">
        <w:t xml:space="preserve"> do </w:t>
      </w:r>
      <w:r>
        <w:t xml:space="preserve">dnia </w:t>
      </w:r>
      <w:r w:rsidRPr="00436D27">
        <w:t>25 lipca 2018 r. (czyli</w:t>
      </w:r>
      <w:r w:rsidR="00E66B89">
        <w:t xml:space="preserve"> w </w:t>
      </w:r>
      <w:r w:rsidRPr="00436D27">
        <w:t>momencie prowadzenia pierwszego naboru</w:t>
      </w:r>
      <w:r w:rsidR="00E66B89">
        <w:t xml:space="preserve"> w </w:t>
      </w:r>
      <w:r w:rsidRPr="00436D27">
        <w:t xml:space="preserve">Działaniu 3.7) jako typ wspieranych projektów wskazano: </w:t>
      </w:r>
      <w:r w:rsidRPr="008B706B">
        <w:rPr>
          <w:i/>
        </w:rPr>
        <w:t>Kompleksowe inwestycje</w:t>
      </w:r>
      <w:r w:rsidR="00E66B89">
        <w:rPr>
          <w:i/>
        </w:rPr>
        <w:t xml:space="preserve"> w </w:t>
      </w:r>
      <w:r w:rsidRPr="008B706B">
        <w:rPr>
          <w:i/>
        </w:rPr>
        <w:t>zakresie rozwoju systemu gospodarki odpadami komunalnymi realizowane</w:t>
      </w:r>
      <w:r w:rsidR="00E66B89">
        <w:rPr>
          <w:i/>
        </w:rPr>
        <w:t xml:space="preserve"> w </w:t>
      </w:r>
      <w:r w:rsidRPr="008B706B">
        <w:rPr>
          <w:i/>
        </w:rPr>
        <w:t>regionach gospodarki odpadami komunalnymi,</w:t>
      </w:r>
      <w:r w:rsidR="00E66B89">
        <w:rPr>
          <w:i/>
        </w:rPr>
        <w:t xml:space="preserve"> w </w:t>
      </w:r>
      <w:r w:rsidRPr="008B706B">
        <w:rPr>
          <w:i/>
        </w:rPr>
        <w:t>których nie przewidziano komponentu dotyczącego termicznego przekształcenia odpadów (…)</w:t>
      </w:r>
      <w:r>
        <w:t>.</w:t>
      </w:r>
    </w:p>
    <w:p w14:paraId="20E8F4AE" w14:textId="77777777" w:rsidR="009D215A" w:rsidRPr="00436D27" w:rsidRDefault="009D215A" w:rsidP="009D215A">
      <w:pPr>
        <w:pStyle w:val="evaluTresc"/>
      </w:pPr>
      <w:r w:rsidRPr="00436D27">
        <w:t>Nawiązując do braku pełnej kontraktacji alokacji</w:t>
      </w:r>
      <w:r w:rsidR="00E66B89">
        <w:t xml:space="preserve"> w </w:t>
      </w:r>
      <w:r w:rsidRPr="00436D27">
        <w:t xml:space="preserve">PI 6a wskazać można, iż część uprawnionych podmiotów zgłaszając się do Planu Inwestycyjnego czyniła to na wyrost (tj. nie mając skonkretyzowanych zamierzeń, </w:t>
      </w:r>
      <w:r>
        <w:t>przewidując jedynie</w:t>
      </w:r>
      <w:r w:rsidRPr="00436D27">
        <w:t xml:space="preserve"> </w:t>
      </w:r>
      <w:r>
        <w:t>zasadność</w:t>
      </w:r>
      <w:r w:rsidRPr="00436D27">
        <w:t xml:space="preserve"> zamieszczenia choćby generalnych założeń dla swoich projektów).</w:t>
      </w:r>
      <w:r w:rsidR="00E66B89">
        <w:t xml:space="preserve"> W </w:t>
      </w:r>
      <w:r w:rsidRPr="00436D27">
        <w:t xml:space="preserve">praktyce, pomimo iż podmioty te uzyskały wpis do </w:t>
      </w:r>
      <w:r>
        <w:t>W</w:t>
      </w:r>
      <w:r w:rsidRPr="00436D27">
        <w:t>PGO dla województwa zachodniopomorskiego</w:t>
      </w:r>
      <w:r w:rsidR="00E66B89">
        <w:t xml:space="preserve"> i </w:t>
      </w:r>
      <w:r w:rsidRPr="00436D27">
        <w:t>były uprawnione do aplikowania</w:t>
      </w:r>
      <w:r w:rsidR="00E66B89">
        <w:t xml:space="preserve"> o </w:t>
      </w:r>
      <w:r w:rsidRPr="00436D27">
        <w:t>wsparcie, nie miały na tyle dojrzałych projektów by móc</w:t>
      </w:r>
      <w:r w:rsidR="00E66B89">
        <w:t xml:space="preserve"> z </w:t>
      </w:r>
      <w:r w:rsidRPr="00436D27">
        <w:t>nimi startować do ogłoszonych naborów. Ponadto wskazać należy, iż niestabilna sytuacja prawna</w:t>
      </w:r>
      <w:r w:rsidR="00E66B89">
        <w:t xml:space="preserve"> w </w:t>
      </w:r>
      <w:r w:rsidRPr="00436D27">
        <w:t>Polsce</w:t>
      </w:r>
      <w:r>
        <w:t xml:space="preserve"> -</w:t>
      </w:r>
      <w:r w:rsidR="00E66B89">
        <w:t xml:space="preserve"> w </w:t>
      </w:r>
      <w:r w:rsidRPr="00436D27">
        <w:t>zakresie regulacji związanych</w:t>
      </w:r>
      <w:r w:rsidR="00E66B89">
        <w:t xml:space="preserve"> z </w:t>
      </w:r>
      <w:r w:rsidRPr="00436D27">
        <w:t>gospodarką odpadami komunalnymi</w:t>
      </w:r>
      <w:r>
        <w:t xml:space="preserve"> - </w:t>
      </w:r>
      <w:r w:rsidRPr="00436D27">
        <w:t xml:space="preserve">skutkuje tym, iż wiele podmiotów działających na rynku decyduje </w:t>
      </w:r>
      <w:r>
        <w:t>o </w:t>
      </w:r>
      <w:r w:rsidRPr="00436D27">
        <w:t>opóźnieniu wdrażania swoich inwestycji. Plan realizacji części zamierzeń inwestycyjnych mógł też zostać odłożony</w:t>
      </w:r>
      <w:r w:rsidR="00E66B89">
        <w:t xml:space="preserve"> w </w:t>
      </w:r>
      <w:r w:rsidRPr="00436D27">
        <w:t>czasie przez potencjalnych wnioskodawców wskutek braku zbilansowania strony popytowej</w:t>
      </w:r>
      <w:r w:rsidR="00E66B89">
        <w:t xml:space="preserve"> i </w:t>
      </w:r>
      <w:r w:rsidRPr="00436D27">
        <w:t xml:space="preserve">podażowej na surowce wtórne (aktualnie branża odpadowa wyraźnie wskazuje na problemy ze znalezieniem podmiotów chętnych do zagospodarowania frakcji surowcowych). </w:t>
      </w:r>
    </w:p>
    <w:p w14:paraId="23FF7EB2" w14:textId="77777777" w:rsidR="009D215A" w:rsidRPr="00436D27" w:rsidRDefault="009D215A" w:rsidP="009D215A">
      <w:pPr>
        <w:pStyle w:val="evaluTresc"/>
      </w:pPr>
      <w:r w:rsidRPr="00436D27">
        <w:t>Z pewnością negatywny wpływ na zainteresowanie ubieganiem się</w:t>
      </w:r>
      <w:r w:rsidR="00E66B89">
        <w:t xml:space="preserve"> o </w:t>
      </w:r>
      <w:r w:rsidRPr="00436D27">
        <w:t>wsparcie</w:t>
      </w:r>
      <w:r w:rsidR="00E66B89">
        <w:t xml:space="preserve"> w </w:t>
      </w:r>
      <w:r w:rsidRPr="00436D27">
        <w:t>ramach PI 6a miała trudna sytuacj</w:t>
      </w:r>
      <w:r>
        <w:t>a</w:t>
      </w:r>
      <w:r w:rsidRPr="00436D27">
        <w:t xml:space="preserve"> na rynku gospodarki odpadami (kwestia ta zostanie szczegółowo omówiona poniżej). Podmioty uprawnione do wnioskowania często odkładały</w:t>
      </w:r>
      <w:r w:rsidR="00E66B89">
        <w:t xml:space="preserve"> w </w:t>
      </w:r>
      <w:r w:rsidRPr="00436D27">
        <w:t>czasie swoje plany realizacji inwestycji (bądź ograniczali ich zakres).</w:t>
      </w:r>
    </w:p>
    <w:p w14:paraId="1BAC3115" w14:textId="77777777" w:rsidR="009D215A" w:rsidRPr="00436D27" w:rsidRDefault="009D215A" w:rsidP="009D215A">
      <w:pPr>
        <w:pStyle w:val="evaluTresc"/>
      </w:pPr>
      <w:r w:rsidRPr="00436D27">
        <w:t>Podmioty funkcjonujące na rynku gospodarki odpadami komunalnymi</w:t>
      </w:r>
      <w:r w:rsidR="00E66B89">
        <w:t xml:space="preserve"> w </w:t>
      </w:r>
      <w:r w:rsidRPr="00436D27">
        <w:t>Polsce napotykają aktualnie na duże problemy</w:t>
      </w:r>
      <w:r w:rsidR="00E66B89">
        <w:t xml:space="preserve"> w </w:t>
      </w:r>
      <w:r w:rsidRPr="00436D27">
        <w:t>stabilnym funkcjonowaniu</w:t>
      </w:r>
      <w:r>
        <w:t xml:space="preserve">, </w:t>
      </w:r>
      <w:r w:rsidRPr="00436D27">
        <w:t>co przekłada się na niższe zainteresowanie inwestowania</w:t>
      </w:r>
      <w:r w:rsidR="00E66B89">
        <w:t xml:space="preserve"> i </w:t>
      </w:r>
      <w:r w:rsidRPr="00436D27">
        <w:t>zarazem aplikowaniem</w:t>
      </w:r>
      <w:r w:rsidR="00E66B89">
        <w:t xml:space="preserve"> o </w:t>
      </w:r>
      <w:r w:rsidRPr="00436D27">
        <w:t>wsparcie na te działania. Ceny większości frakcji odzyskiwanych surowców</w:t>
      </w:r>
      <w:r w:rsidR="00E66B89">
        <w:t xml:space="preserve"> z </w:t>
      </w:r>
      <w:r w:rsidRPr="00436D27">
        <w:t>odpadów na przestrzeni ostatnich kilku lat istotnie spadły (np.</w:t>
      </w:r>
      <w:r w:rsidR="00E66B89">
        <w:t xml:space="preserve"> w </w:t>
      </w:r>
      <w:r w:rsidRPr="00436D27">
        <w:t>przypadku odpadów</w:t>
      </w:r>
      <w:r w:rsidR="00E66B89">
        <w:t xml:space="preserve"> z </w:t>
      </w:r>
      <w:r w:rsidRPr="00436D27">
        <w:t>tworzyw sztucznych wpływ na to miało głównie zaprzestanie importu odpadów przez Chiny).</w:t>
      </w:r>
      <w:r w:rsidR="00E66B89">
        <w:t xml:space="preserve"> Z </w:t>
      </w:r>
      <w:r w:rsidRPr="00436D27">
        <w:t>drugiej strony</w:t>
      </w:r>
      <w:r>
        <w:t>,</w:t>
      </w:r>
      <w:r w:rsidRPr="00436D27">
        <w:t xml:space="preserve"> koszty organizacji systemów gospodarowania odpadami</w:t>
      </w:r>
      <w:r w:rsidR="00E66B89">
        <w:t xml:space="preserve"> w </w:t>
      </w:r>
      <w:r w:rsidRPr="00436D27">
        <w:t>gminach ciągle rosną.</w:t>
      </w:r>
      <w:r w:rsidR="00E66B89">
        <w:t xml:space="preserve"> W </w:t>
      </w:r>
      <w:r w:rsidRPr="00436D27">
        <w:t>tym zakresie wskazać należy na zmiany prawa (nakładające bardziej restrykcyjne wymogi), rosnące koszty paliw (wykorzystywanie sprzętu do odbioru</w:t>
      </w:r>
      <w:r w:rsidR="00E66B89">
        <w:t xml:space="preserve"> i </w:t>
      </w:r>
      <w:r w:rsidRPr="00436D27">
        <w:t>zagospodarowania odpadów), energii (funkcjonowanie zakładów)</w:t>
      </w:r>
      <w:r w:rsidR="00E66B89">
        <w:t xml:space="preserve"> i </w:t>
      </w:r>
      <w:r w:rsidRPr="00436D27">
        <w:t>pracy (koszty zatrudnienia, wzrost płacy minimalnej). Kolejnym istotnym czynnikiem wpływającym na wzrost kosztów są coraz to wyższe opłaty za korzystanie ze środowiska,</w:t>
      </w:r>
      <w:r w:rsidR="00E66B89">
        <w:t xml:space="preserve"> w </w:t>
      </w:r>
      <w:r w:rsidRPr="00436D27">
        <w:t>tym za składowanie</w:t>
      </w:r>
      <w:r w:rsidR="00E66B89">
        <w:t xml:space="preserve"> i </w:t>
      </w:r>
      <w:r w:rsidRPr="00436D27">
        <w:t>magazynowanie odpadów</w:t>
      </w:r>
      <w:r w:rsidR="00E66B89">
        <w:t xml:space="preserve"> w </w:t>
      </w:r>
      <w:r w:rsidRPr="00436D27">
        <w:t>postaci tzw. opłaty marszałkowskiej. Opłata ta jest ustalana</w:t>
      </w:r>
      <w:r w:rsidR="00E66B89">
        <w:t xml:space="preserve"> w </w:t>
      </w:r>
      <w:r w:rsidRPr="00436D27">
        <w:t>drodze rozporządzenia Rady Ministrów</w:t>
      </w:r>
      <w:r w:rsidR="00E66B89">
        <w:t xml:space="preserve"> i </w:t>
      </w:r>
      <w:r w:rsidRPr="00436D27">
        <w:t>waloryzowana</w:t>
      </w:r>
      <w:r w:rsidR="00E66B89">
        <w:t xml:space="preserve"> w </w:t>
      </w:r>
      <w:r w:rsidRPr="00436D27">
        <w:t>drodze obwieszczenia Ministra Środowiska.</w:t>
      </w:r>
      <w:r w:rsidR="00E66B89">
        <w:t xml:space="preserve"> W </w:t>
      </w:r>
      <w:r w:rsidRPr="00436D27">
        <w:t>2013 r. jej wysokość wynosiła za 1 tonę odpadów niesegregowanych 115,41 zł,</w:t>
      </w:r>
      <w:r w:rsidR="00E66B89">
        <w:t xml:space="preserve"> w </w:t>
      </w:r>
      <w:r w:rsidRPr="00436D27">
        <w:t>2014 r. - 119,68 zł,</w:t>
      </w:r>
      <w:r w:rsidR="00E66B89">
        <w:t xml:space="preserve"> w </w:t>
      </w:r>
      <w:r w:rsidRPr="00436D27">
        <w:t>2017 r. - 120,76 zł,</w:t>
      </w:r>
      <w:r w:rsidR="00E66B89">
        <w:t xml:space="preserve"> a w </w:t>
      </w:r>
      <w:r w:rsidRPr="00436D27">
        <w:t>już 2019 r. - 170 zł. Natomiast od 2020 r. ma ona wynieść 270 zł (powyższe wpływa na koszty zagospodarowania odpadów</w:t>
      </w:r>
      <w:r w:rsidR="00E66B89">
        <w:t xml:space="preserve"> w </w:t>
      </w:r>
      <w:r w:rsidRPr="00436D27">
        <w:t>RIPOK,</w:t>
      </w:r>
      <w:r w:rsidR="00E66B89">
        <w:t xml:space="preserve"> a w </w:t>
      </w:r>
      <w:r w:rsidRPr="00436D27">
        <w:t>konsekwencji na stawki opłat jakie ponoszą mieszkańcy).</w:t>
      </w:r>
    </w:p>
    <w:p w14:paraId="37E3B1DF" w14:textId="77777777" w:rsidR="009D215A" w:rsidRPr="00436D27" w:rsidRDefault="009D215A" w:rsidP="009D215A">
      <w:pPr>
        <w:pStyle w:val="evaluTresc"/>
      </w:pPr>
      <w:r w:rsidRPr="00436D27">
        <w:lastRenderedPageBreak/>
        <w:t>Najważniejszym czynnikiem powodującym utrudnienia we wdrażaniu PI 6a</w:t>
      </w:r>
      <w:r>
        <w:t xml:space="preserve"> -</w:t>
      </w:r>
      <w:r w:rsidRPr="00436D27">
        <w:t xml:space="preserve"> nie tylko</w:t>
      </w:r>
      <w:r w:rsidR="00E66B89">
        <w:t xml:space="preserve"> w </w:t>
      </w:r>
      <w:r w:rsidRPr="00436D27">
        <w:t>województwie zachodniopomorskim, ale</w:t>
      </w:r>
      <w:r w:rsidR="00E66B89">
        <w:t xml:space="preserve"> i </w:t>
      </w:r>
      <w:r w:rsidRPr="00436D27">
        <w:t>całej Polsce</w:t>
      </w:r>
      <w:r>
        <w:t xml:space="preserve"> -</w:t>
      </w:r>
      <w:r w:rsidRPr="00436D27">
        <w:t xml:space="preserve"> jest brak stabilnego prawodawstwa krajowego </w:t>
      </w:r>
      <w:r>
        <w:t>dotyczącego</w:t>
      </w:r>
      <w:r w:rsidRPr="00436D27">
        <w:t xml:space="preserve"> branży gospodarki odpadami komunalnymi. </w:t>
      </w:r>
      <w:r>
        <w:t>I</w:t>
      </w:r>
      <w:r w:rsidRPr="00436D27">
        <w:t>stotne zmiany</w:t>
      </w:r>
      <w:r w:rsidR="00E66B89">
        <w:t xml:space="preserve"> w </w:t>
      </w:r>
      <w:r w:rsidRPr="00436D27">
        <w:t>funkcjonowaniu podmiotów</w:t>
      </w:r>
      <w:r w:rsidR="00E66B89">
        <w:t xml:space="preserve"> z </w:t>
      </w:r>
      <w:r w:rsidRPr="00436D27">
        <w:t>branży odpadów komunalnych spowodowała nowelizacja (czerwiec 2016 r.)</w:t>
      </w:r>
      <w:r>
        <w:t xml:space="preserve"> </w:t>
      </w:r>
      <w:r w:rsidRPr="00436D27">
        <w:t>ustawy</w:t>
      </w:r>
      <w:r w:rsidR="00E66B89">
        <w:t xml:space="preserve"> z </w:t>
      </w:r>
      <w:r>
        <w:t>29 stycznia 2004 r. Prawo zamówień publicznych (Dz.U. 2004 nr 19 poz. 177</w:t>
      </w:r>
      <w:r w:rsidR="00E66B89">
        <w:t xml:space="preserve"> z </w:t>
      </w:r>
      <w:r>
        <w:t>późn. zm.)</w:t>
      </w:r>
      <w:r w:rsidRPr="00436D27">
        <w:t>.</w:t>
      </w:r>
      <w:r w:rsidR="00E66B89">
        <w:t xml:space="preserve"> W </w:t>
      </w:r>
      <w:r w:rsidRPr="00436D27">
        <w:t>wyniku jej wprowadzenia przewidziana została możliwość stosowania</w:t>
      </w:r>
      <w:r>
        <w:t xml:space="preserve"> -</w:t>
      </w:r>
      <w:r w:rsidRPr="00436D27">
        <w:t xml:space="preserve"> tak popularnego</w:t>
      </w:r>
      <w:r w:rsidR="00E66B89">
        <w:t xml:space="preserve"> w </w:t>
      </w:r>
      <w:r w:rsidRPr="00436D27">
        <w:t>innych krajach członkowskich</w:t>
      </w:r>
      <w:r w:rsidR="00E66B89">
        <w:t xml:space="preserve"> w </w:t>
      </w:r>
      <w:r w:rsidRPr="00436D27">
        <w:t xml:space="preserve">gospodarce odpadami </w:t>
      </w:r>
      <w:r>
        <w:t>- zlecenia</w:t>
      </w:r>
      <w:r w:rsidRPr="004142C9">
        <w:t xml:space="preserve"> </w:t>
      </w:r>
      <w:r>
        <w:t>zamówienia</w:t>
      </w:r>
      <w:r w:rsidR="00E66B89">
        <w:t xml:space="preserve"> z </w:t>
      </w:r>
      <w:r>
        <w:t>wolnej ręki zgodnie</w:t>
      </w:r>
      <w:r w:rsidR="00E66B89">
        <w:t xml:space="preserve"> z </w:t>
      </w:r>
      <w:r>
        <w:t>art. 67 ust 1 pkt 12), 13)</w:t>
      </w:r>
      <w:r w:rsidR="00E66B89">
        <w:t xml:space="preserve"> i </w:t>
      </w:r>
      <w:r>
        <w:t xml:space="preserve">14) tej ustawy (polegające na zleceniu </w:t>
      </w:r>
      <w:r w:rsidRPr="004142C9">
        <w:t>zadań na świadczenie usług</w:t>
      </w:r>
      <w:r w:rsidR="00E66B89">
        <w:t xml:space="preserve"> w </w:t>
      </w:r>
      <w:r w:rsidRPr="004142C9">
        <w:t>ogólnym interesie gospodarczym własnym jednostkom samorządu terytorialnego</w:t>
      </w:r>
      <w:r>
        <w:t xml:space="preserve">). </w:t>
      </w:r>
      <w:r w:rsidRPr="00436D27">
        <w:t>Była to istotna zmiana, która spowodowała brak pewności przedsiębiorstw odnośnie tego, jakie rozwiązania będą stosowane</w:t>
      </w:r>
      <w:r w:rsidR="00E66B89">
        <w:t xml:space="preserve"> w </w:t>
      </w:r>
      <w:r w:rsidRPr="00436D27">
        <w:t>określonych gminach (i jakie</w:t>
      </w:r>
      <w:r w:rsidR="00E66B89">
        <w:t xml:space="preserve"> w </w:t>
      </w:r>
      <w:r w:rsidRPr="00436D27">
        <w:t>związku</w:t>
      </w:r>
      <w:r w:rsidR="00E66B89">
        <w:t xml:space="preserve"> z </w:t>
      </w:r>
      <w:r w:rsidRPr="00436D27">
        <w:t>powyższym przyjmować strategie inwestycyjne).</w:t>
      </w:r>
    </w:p>
    <w:p w14:paraId="352B772D" w14:textId="77777777" w:rsidR="009D215A" w:rsidRPr="00436D27" w:rsidRDefault="009D215A" w:rsidP="009D215A">
      <w:pPr>
        <w:pStyle w:val="evaluTresc"/>
      </w:pPr>
      <w:r w:rsidRPr="00436D27">
        <w:t>Kolejnym aktem prawnym wymagającym omówienia jest Rozporządzenie Ministra Środowiska</w:t>
      </w:r>
      <w:r w:rsidR="00E66B89">
        <w:t xml:space="preserve"> z </w:t>
      </w:r>
      <w:r w:rsidRPr="00436D27">
        <w:t>dnia 29 grudnia 2016 r.</w:t>
      </w:r>
      <w:r w:rsidR="00E66B89">
        <w:t xml:space="preserve"> w </w:t>
      </w:r>
      <w:r w:rsidRPr="00436D27">
        <w:t>sprawie szczegółowego sposobu selektywnego zbierania wybranych frakcji odpadów. Rozporządzenie wprowadziło ujednolicony standard selektywnego zbierania odpadów na terenie całego kraju.</w:t>
      </w:r>
      <w:r w:rsidR="00E66B89">
        <w:t xml:space="preserve"> W </w:t>
      </w:r>
      <w:r w:rsidRPr="00436D27">
        <w:t>praktyce wiąże się</w:t>
      </w:r>
      <w:r>
        <w:t xml:space="preserve"> to</w:t>
      </w:r>
      <w:r w:rsidR="00E66B89">
        <w:t xml:space="preserve"> z </w:t>
      </w:r>
      <w:r w:rsidRPr="00436D27">
        <w:t>koniecznością zwiększenia kosztów ponoszonych na gospodarowanie odpadami (większa liczba pojemników, konieczność ich utrzymywania, zapewnienia miejsca itp., transportu większej liczby frakcji, zmiany częstotliwości odbioru oraz dostosowanie technologii przetwarzania na instalacjach). Rozporządzenie weszło</w:t>
      </w:r>
      <w:r w:rsidR="00E66B89">
        <w:t xml:space="preserve"> w </w:t>
      </w:r>
      <w:r w:rsidRPr="00436D27">
        <w:t>życie 1 lipca 2017 r. Resort środowiska wydłużył termin na dostosowanie się do wymagań do dnia 1 stycznia 2020 r. (nowelizacja rozporządzenia</w:t>
      </w:r>
      <w:r w:rsidR="00E66B89">
        <w:t xml:space="preserve"> z </w:t>
      </w:r>
      <w:r w:rsidRPr="00436D27">
        <w:t>dnia 29 grudnia 2018 r. - skierowana do uzgodnień</w:t>
      </w:r>
      <w:r w:rsidR="00E66B89">
        <w:t xml:space="preserve"> w </w:t>
      </w:r>
      <w:r w:rsidRPr="00436D27">
        <w:t>dniu 20 grudnia 2018 r.).</w:t>
      </w:r>
      <w:r w:rsidR="00E66B89">
        <w:t xml:space="preserve"> W </w:t>
      </w:r>
      <w:r w:rsidRPr="00436D27">
        <w:t xml:space="preserve">praktyce </w:t>
      </w:r>
      <w:r>
        <w:t>przywołana</w:t>
      </w:r>
      <w:r w:rsidRPr="00436D27">
        <w:t xml:space="preserve"> nowelizacja skutkuje tym, iż gminy będą mogły funkcjonować na dotychczasowych zasadach, gdy dotychczasowe umowy na odbieranie lub odbieranie</w:t>
      </w:r>
      <w:r w:rsidR="00E66B89">
        <w:t xml:space="preserve"> i </w:t>
      </w:r>
      <w:r w:rsidRPr="00436D27">
        <w:t xml:space="preserve">zagospodarowanie odpadów zostaną rozwiązane albo wygasną przed 30 czerwca 2019 r. Powyższe zmiany </w:t>
      </w:r>
      <w:r>
        <w:t>spowodowały</w:t>
      </w:r>
      <w:r w:rsidRPr="00436D27">
        <w:t>, iż zamierzenia inwestycyjne części podmiotów były odkładane</w:t>
      </w:r>
      <w:r w:rsidR="00E66B89">
        <w:t xml:space="preserve"> w </w:t>
      </w:r>
      <w:r w:rsidRPr="00436D27">
        <w:t>czasie do momentu ugruntowania się sytuacji prawnej (obniżone zainteresowanie aplikowaniem</w:t>
      </w:r>
      <w:r w:rsidR="00E66B89">
        <w:t xml:space="preserve"> o </w:t>
      </w:r>
      <w:r w:rsidRPr="00436D27">
        <w:t>wsparcie</w:t>
      </w:r>
      <w:r w:rsidR="00E66B89">
        <w:t xml:space="preserve"> w </w:t>
      </w:r>
      <w:r w:rsidRPr="00436D27">
        <w:t xml:space="preserve">ramach PI 6a). </w:t>
      </w:r>
    </w:p>
    <w:p w14:paraId="5F87D7E8" w14:textId="77777777" w:rsidR="009D215A" w:rsidRPr="00436D27" w:rsidRDefault="009D215A" w:rsidP="009D215A">
      <w:pPr>
        <w:pStyle w:val="evaluTresc"/>
      </w:pPr>
      <w:r w:rsidRPr="00436D27">
        <w:t>Kolejnym hamulcem do aplikowania</w:t>
      </w:r>
      <w:r w:rsidR="00E66B89">
        <w:t xml:space="preserve"> o </w:t>
      </w:r>
      <w:r w:rsidRPr="00436D27">
        <w:t>wsparcie</w:t>
      </w:r>
      <w:r w:rsidR="00E66B89">
        <w:t xml:space="preserve"> w </w:t>
      </w:r>
      <w:r w:rsidRPr="00436D27">
        <w:t>ramach PI 6a dla zakładów zagospodarowywania odpadów była</w:t>
      </w:r>
      <w:r>
        <w:t>,</w:t>
      </w:r>
      <w:r w:rsidRPr="00436D27">
        <w:t xml:space="preserve"> uchylona</w:t>
      </w:r>
      <w:r w:rsidR="00E66B89">
        <w:t xml:space="preserve"> w </w:t>
      </w:r>
      <w:r w:rsidRPr="00436D27">
        <w:t>styczniu 2016 r.</w:t>
      </w:r>
      <w:r>
        <w:t>,</w:t>
      </w:r>
      <w:r w:rsidRPr="00436D27">
        <w:t xml:space="preserve"> podstawa prawna funkcjonowania Rozporządzenia Ministra Środowiska</w:t>
      </w:r>
      <w:r w:rsidR="00E66B89">
        <w:t xml:space="preserve"> z </w:t>
      </w:r>
      <w:r w:rsidRPr="00436D27">
        <w:t>dnia 11 września 2012 r.</w:t>
      </w:r>
      <w:r w:rsidR="00E66B89">
        <w:t xml:space="preserve"> w </w:t>
      </w:r>
      <w:r w:rsidRPr="00436D27">
        <w:t>sprawie mechaniczno-biologicznego przetwarzania zmieszanych odpadów komunalnych (Dz.U. 2012 poz. 1052). Dokument ten określał płaszczyznę porównania technologii, dzięki czemu zagwarantowany był jednolity sposób konkurencji między poszczególnymi instalacjami (dobór optymalnej technologii</w:t>
      </w:r>
      <w:r w:rsidR="00E66B89">
        <w:t xml:space="preserve"> i </w:t>
      </w:r>
      <w:r w:rsidRPr="00436D27">
        <w:t>rozwiązań, które gwarantowałyby odpowiednią jakość wybieranego strumienia odpadów). Niestety</w:t>
      </w:r>
      <w:r>
        <w:t xml:space="preserve"> -</w:t>
      </w:r>
      <w:r w:rsidR="00E66B89">
        <w:t xml:space="preserve"> w </w:t>
      </w:r>
      <w:r w:rsidRPr="00436D27">
        <w:t>praktyce</w:t>
      </w:r>
      <w:r>
        <w:t xml:space="preserve"> -</w:t>
      </w:r>
      <w:r w:rsidRPr="00436D27">
        <w:t xml:space="preserve"> </w:t>
      </w:r>
      <w:r>
        <w:t>ta</w:t>
      </w:r>
      <w:r w:rsidRPr="00436D27">
        <w:t xml:space="preserve"> sytuacja</w:t>
      </w:r>
      <w:r w:rsidR="00E66B89">
        <w:t xml:space="preserve"> w </w:t>
      </w:r>
      <w:r w:rsidRPr="00436D27">
        <w:t>lepszym położeniu stawiała część zakładów zagospodarowania odpadów, które od lat nie podejmowały istotnych inwestycji</w:t>
      </w:r>
      <w:r>
        <w:t>,</w:t>
      </w:r>
      <w:r w:rsidRPr="00436D27">
        <w:t xml:space="preserve"> np.</w:t>
      </w:r>
      <w:r w:rsidR="00E66B89">
        <w:t xml:space="preserve"> w </w:t>
      </w:r>
      <w:r w:rsidRPr="00436D27">
        <w:t>usprawnienie technologii funkcjonowania zakładu (w efekcie czego mogą być bardziej konkurencyjne cenowo, gdyż nie poniosły nakładów, które muszą być teraz kompensowane zwiększonymi stawkami świadczonych usług).</w:t>
      </w:r>
      <w:r w:rsidR="00E66B89">
        <w:t xml:space="preserve"> Z </w:t>
      </w:r>
      <w:r>
        <w:t>tego mogło</w:t>
      </w:r>
      <w:r w:rsidRPr="00436D27">
        <w:t xml:space="preserve"> </w:t>
      </w:r>
      <w:r>
        <w:t>wynikać</w:t>
      </w:r>
      <w:r w:rsidRPr="00436D27">
        <w:t xml:space="preserve"> mniejsze zainteresowanie aplikowaniem</w:t>
      </w:r>
      <w:r w:rsidR="00E66B89">
        <w:t xml:space="preserve"> o </w:t>
      </w:r>
      <w:r w:rsidRPr="00436D27">
        <w:t>wsparcie</w:t>
      </w:r>
      <w:r w:rsidR="00E66B89">
        <w:t xml:space="preserve"> w </w:t>
      </w:r>
      <w:r w:rsidRPr="00436D27">
        <w:t>ramach PI 6a.</w:t>
      </w:r>
    </w:p>
    <w:p w14:paraId="7972C1F5" w14:textId="77777777" w:rsidR="009D215A" w:rsidRPr="00436D27" w:rsidRDefault="009D215A" w:rsidP="009D215A">
      <w:pPr>
        <w:pStyle w:val="evaluTresc"/>
      </w:pPr>
      <w:r w:rsidRPr="00436D27">
        <w:t>W przypadku projektów typu PSZOK, część gmin mogła</w:t>
      </w:r>
      <w:r w:rsidR="00E66B89">
        <w:t xml:space="preserve"> w </w:t>
      </w:r>
      <w:r w:rsidRPr="00436D27">
        <w:t>ogóle nie być zainteresowana ubieganiem się</w:t>
      </w:r>
      <w:r w:rsidR="00E66B89">
        <w:t xml:space="preserve"> o </w:t>
      </w:r>
      <w:r w:rsidRPr="00436D27">
        <w:t>wsparcie. Skala potrzeb inwestycyjnych oraz kosztów utrzymania wytworzonej infrastruktury nakazuje włodarzom gmin priorytetyzowanie działań związanych</w:t>
      </w:r>
      <w:r w:rsidR="00E66B89">
        <w:t xml:space="preserve"> z </w:t>
      </w:r>
      <w:r w:rsidRPr="00436D27">
        <w:t>wydatkowaniem środków budżetowych (szczególnie, iż gospodarka odpadami komunalnymi jest deficytową pozycją budżetu). Dlatego, pomimo ustawowego obowiązku tworzenia mieszkańcom gminy dostępu do PSZOK, część włodarzy gmin mogła liczyć na to, iż wykorzysta wsparcie, które</w:t>
      </w:r>
      <w:r w:rsidR="00E66B89">
        <w:t xml:space="preserve"> w </w:t>
      </w:r>
      <w:r w:rsidRPr="00436D27">
        <w:t>ramach RPO WZ 2014-2020 skierowane zostanie do sąsiednich JST (sprawa ta dotyczy szczególnie gmin wiejskich).</w:t>
      </w:r>
      <w:r w:rsidR="00E66B89">
        <w:t xml:space="preserve"> W </w:t>
      </w:r>
      <w:r w:rsidRPr="00436D27">
        <w:t>świetle obowiązujących przepisów</w:t>
      </w:r>
      <w:r>
        <w:t>,</w:t>
      </w:r>
      <w:r w:rsidRPr="00436D27">
        <w:t xml:space="preserve"> gmina jest zobowiązana utworzyć taką stacjonarną infrastrukturę samodzielnie lub wspólnie</w:t>
      </w:r>
      <w:r w:rsidR="00E66B89">
        <w:t xml:space="preserve"> z </w:t>
      </w:r>
      <w:r w:rsidRPr="00436D27">
        <w:t>inną gminą lub gminami. Brak jest też jakichkolwiek wytycznych co do standardu funkcjonowania PSZOK.</w:t>
      </w:r>
      <w:r w:rsidR="00E66B89">
        <w:t xml:space="preserve"> W </w:t>
      </w:r>
      <w:r w:rsidRPr="00436D27">
        <w:t>praktyce gminy</w:t>
      </w:r>
      <w:r w:rsidR="00E66B89">
        <w:t xml:space="preserve"> z </w:t>
      </w:r>
      <w:r w:rsidRPr="00436D27">
        <w:t xml:space="preserve">liczbą mieszkańców 20 tys. (szczególnie wiejskie) mogą nie być zainteresowane </w:t>
      </w:r>
      <w:r w:rsidRPr="00436D27">
        <w:lastRenderedPageBreak/>
        <w:t>realizacją tego typu projektów, gdyż są</w:t>
      </w:r>
      <w:r w:rsidR="00E66B89">
        <w:t xml:space="preserve"> w </w:t>
      </w:r>
      <w:r w:rsidRPr="00436D27">
        <w:t>stanie na swoim terenie zorganizować PSZOK</w:t>
      </w:r>
      <w:r w:rsidR="00E66B89">
        <w:t xml:space="preserve"> o </w:t>
      </w:r>
      <w:r w:rsidRPr="00436D27">
        <w:t>niskim standardzie funkcjonowania.</w:t>
      </w:r>
    </w:p>
    <w:p w14:paraId="4287DCAC" w14:textId="77777777" w:rsidR="009D215A" w:rsidRPr="00436D27" w:rsidRDefault="009D215A" w:rsidP="009D215A">
      <w:pPr>
        <w:pStyle w:val="evaluTresc"/>
      </w:pPr>
      <w:r w:rsidRPr="00436D27">
        <w:t>Czynnikiem zewnętrznym wpływającym na mniejsze zainteresowanie aplikowaniem</w:t>
      </w:r>
      <w:r w:rsidR="00E66B89">
        <w:t xml:space="preserve"> o </w:t>
      </w:r>
      <w:r w:rsidRPr="00436D27">
        <w:t>wsparcie</w:t>
      </w:r>
      <w:r w:rsidR="00E66B89">
        <w:t xml:space="preserve"> w </w:t>
      </w:r>
      <w:r w:rsidRPr="00436D27">
        <w:t>ramach Działania PI 6a oraz powstawanie opóźnień</w:t>
      </w:r>
      <w:r w:rsidR="00E66B89">
        <w:t xml:space="preserve"> w </w:t>
      </w:r>
      <w:r w:rsidRPr="00436D27">
        <w:t>jego wdrażaniu był obserwowany wzrost cen usług</w:t>
      </w:r>
      <w:r w:rsidR="00E66B89">
        <w:t xml:space="preserve"> i </w:t>
      </w:r>
      <w:r w:rsidRPr="00436D27">
        <w:t xml:space="preserve">materiałów na rynku budowlanym. </w:t>
      </w:r>
    </w:p>
    <w:p w14:paraId="7129984F" w14:textId="77777777" w:rsidR="009D215A" w:rsidRDefault="009D215A" w:rsidP="009D215A">
      <w:pPr>
        <w:pStyle w:val="evaluTresc"/>
      </w:pPr>
      <w:r w:rsidRPr="00436D27">
        <w:t>Ważnym czynnikiem wpływającym na trudności we wdrażaniu PI 6a jest</w:t>
      </w:r>
      <w:r>
        <w:t xml:space="preserve"> też</w:t>
      </w:r>
      <w:r w:rsidRPr="00436D27">
        <w:t xml:space="preserve"> specyfika projektów mogących ubiegać się</w:t>
      </w:r>
      <w:r w:rsidR="00E66B89">
        <w:t xml:space="preserve"> o </w:t>
      </w:r>
      <w:r w:rsidRPr="00436D27">
        <w:t>wsparcie. Inwestycje związane</w:t>
      </w:r>
      <w:r w:rsidR="00E66B89">
        <w:t xml:space="preserve"> z </w:t>
      </w:r>
      <w:r w:rsidRPr="00436D27">
        <w:t>gospodarką odpadami komunalnymi często napotykają na sprzeciw ze strony społeczności lokalnych (co szczególnie ogranicza możliwości budowy nowych zakładów gospodarowania odpadami). Podnoszone</w:t>
      </w:r>
      <w:r w:rsidR="00E66B89">
        <w:t xml:space="preserve"> w </w:t>
      </w:r>
      <w:r w:rsidRPr="00436D27">
        <w:t>tym zakresie są takie argumenty, jak zanieczyszczenie środowiska ze strony zakładu (możliwość przedostawania się zanieczyszczeń do powietrza, gruntu</w:t>
      </w:r>
      <w:r w:rsidR="00E66B89">
        <w:t xml:space="preserve"> i </w:t>
      </w:r>
      <w:r w:rsidRPr="00436D27">
        <w:t>dalej do wód). Wskazywane są uciążliwości odorowe funkcjonowania takich zakładów. Również zwiększeniu może ulec ruch pojazdów obsługujących zakład (konieczność transportu odpadów).</w:t>
      </w:r>
      <w:r w:rsidR="00E66B89">
        <w:t xml:space="preserve"> Z </w:t>
      </w:r>
      <w:r w:rsidRPr="00436D27">
        <w:t>tego względu przygotowanie do realizacji tego typu projektów może być szczególnie pracochłonne</w:t>
      </w:r>
      <w:r w:rsidR="00E66B89">
        <w:t xml:space="preserve"> i </w:t>
      </w:r>
      <w:r w:rsidRPr="00436D27">
        <w:t>kosztochłonne. Istotne</w:t>
      </w:r>
      <w:r w:rsidR="00E66B89">
        <w:t xml:space="preserve"> w </w:t>
      </w:r>
      <w:r w:rsidRPr="00436D27">
        <w:t xml:space="preserve">tym </w:t>
      </w:r>
      <w:r>
        <w:t>zakresie</w:t>
      </w:r>
      <w:r w:rsidRPr="00436D27">
        <w:t xml:space="preserve"> są prace projektowe</w:t>
      </w:r>
      <w:r w:rsidR="00E66B89">
        <w:t xml:space="preserve"> i </w:t>
      </w:r>
      <w:r w:rsidRPr="00436D27">
        <w:t>studialne (wymierzone na odpowiednie sparametryzowanie przepustowości zakładu, dostosowania technologii do strumienia odpadów itp.). Natomiast</w:t>
      </w:r>
      <w:r w:rsidR="00E66B89">
        <w:t xml:space="preserve"> w </w:t>
      </w:r>
      <w:r w:rsidRPr="00436D27">
        <w:t>momencie, gdy inwestor posiada już komplet zgód</w:t>
      </w:r>
      <w:r w:rsidR="00E66B89">
        <w:t xml:space="preserve"> i </w:t>
      </w:r>
      <w:r w:rsidRPr="00436D27">
        <w:t>decyzji administracyjnych umożliwiających prowadzenie prac</w:t>
      </w:r>
      <w:r>
        <w:t>,</w:t>
      </w:r>
      <w:r w:rsidRPr="00436D27">
        <w:t xml:space="preserve"> sama rzeczowa realizacja projektu nie jest szczególnie skomplikowana. Projekty typu PSZOK są prostymi inwestycjami, które mogą być sprawnie zaprojektowane, wybudowane</w:t>
      </w:r>
      <w:r w:rsidR="00E66B89">
        <w:t xml:space="preserve"> i </w:t>
      </w:r>
      <w:r w:rsidRPr="00436D27">
        <w:t>oddane do użytkowania (nawet</w:t>
      </w:r>
      <w:r w:rsidR="00E66B89">
        <w:t xml:space="preserve"> w </w:t>
      </w:r>
      <w:r w:rsidRPr="00436D27">
        <w:t>kilka miesięcy). Wszystkie powyższe czynniki</w:t>
      </w:r>
      <w:r w:rsidR="00E66B89">
        <w:t xml:space="preserve"> o </w:t>
      </w:r>
      <w:r w:rsidRPr="00436D27">
        <w:t>charakterze zewnętrznym</w:t>
      </w:r>
      <w:r w:rsidR="00E66B89">
        <w:t xml:space="preserve"> w </w:t>
      </w:r>
      <w:r w:rsidRPr="00436D27">
        <w:t>praktyce nie powinny mieć negatywnego wpływu na proces realizacji projektów już wybranych do dofinansowania, bądź tych które znajdują się</w:t>
      </w:r>
      <w:r w:rsidR="00E66B89">
        <w:t xml:space="preserve"> w </w:t>
      </w:r>
      <w:r w:rsidRPr="00436D27">
        <w:t xml:space="preserve">trakcie oceny. </w:t>
      </w:r>
    </w:p>
    <w:p w14:paraId="63C50921" w14:textId="77777777" w:rsidR="009D215A" w:rsidRPr="00436D27" w:rsidRDefault="009D215A" w:rsidP="009D215A">
      <w:pPr>
        <w:pStyle w:val="evaluTresc"/>
      </w:pPr>
      <w:r>
        <w:t>Warto także nadmienić, iż zgodnie</w:t>
      </w:r>
      <w:r w:rsidR="00E66B89">
        <w:t xml:space="preserve"> z </w:t>
      </w:r>
      <w:r>
        <w:t>wymogami KE,</w:t>
      </w:r>
      <w:r w:rsidR="00E66B89">
        <w:t xml:space="preserve"> w </w:t>
      </w:r>
      <w:r w:rsidRPr="002A61F3">
        <w:t>zakresie unieszko</w:t>
      </w:r>
      <w:r w:rsidRPr="00EF4DAB">
        <w:t xml:space="preserve">dliwiania odpadów </w:t>
      </w:r>
      <w:r>
        <w:t>warunki wsparcia</w:t>
      </w:r>
      <w:r w:rsidR="00E66B89">
        <w:t xml:space="preserve"> z </w:t>
      </w:r>
      <w:r>
        <w:t>RPO WZ 2014-2020 umożliwiały pozyskanie dofinansowania wyłącznie na takie projekty -</w:t>
      </w:r>
      <w:r w:rsidR="00E66B89">
        <w:t xml:space="preserve"> z </w:t>
      </w:r>
      <w:r>
        <w:t>zakresu</w:t>
      </w:r>
      <w:r w:rsidRPr="00EF4DAB">
        <w:t xml:space="preserve"> budowy, przebudowy lub remontu instalacji do mechaniczno-biologicznego przetwarzania odpadów (instalacje MBP)</w:t>
      </w:r>
      <w:r>
        <w:t xml:space="preserve"> -</w:t>
      </w:r>
      <w:r w:rsidRPr="00EF4DAB">
        <w:t xml:space="preserve"> które domykają system zagospodarowania odpadów komunalnych</w:t>
      </w:r>
      <w:r w:rsidR="00E66B89">
        <w:t xml:space="preserve"> w </w:t>
      </w:r>
      <w:r w:rsidRPr="002A61F3">
        <w:t>danym regionie gospodarki odpadami ko</w:t>
      </w:r>
      <w:r w:rsidRPr="00EF4DAB">
        <w:t xml:space="preserve">munalnymi. Wsparcie instalacji MBP nie </w:t>
      </w:r>
      <w:r>
        <w:t>jest możliwe na projekty</w:t>
      </w:r>
      <w:r w:rsidRPr="00EF4DAB">
        <w:t xml:space="preserve"> prowadz</w:t>
      </w:r>
      <w:r>
        <w:t>ące</w:t>
      </w:r>
      <w:r w:rsidRPr="00EF4DAB">
        <w:t xml:space="preserve"> do </w:t>
      </w:r>
      <w:r w:rsidRPr="002A61F3">
        <w:t>zwiększenia zdolności przetwórczych zakładu.</w:t>
      </w:r>
      <w:r>
        <w:t xml:space="preserve"> </w:t>
      </w:r>
      <w:r w:rsidRPr="00436D27">
        <w:t>Brak jest możliwości sformułowania działań zaradczych mogących wpływać na złagodzenie wpływu wylistowanych czynników na potencjał aplikacyjny. Są to czynniki</w:t>
      </w:r>
      <w:r w:rsidR="00E66B89">
        <w:t xml:space="preserve"> o </w:t>
      </w:r>
      <w:r w:rsidRPr="00436D27">
        <w:t>charakterze systemowym, na które IZ RPO WZ 2014-2020</w:t>
      </w:r>
      <w:r w:rsidR="00E66B89">
        <w:t xml:space="preserve"> w </w:t>
      </w:r>
      <w:r w:rsidRPr="00436D27">
        <w:t>praktyce nie ma wpływu. Wprowadzenie określonych zmian</w:t>
      </w:r>
      <w:r w:rsidR="00E66B89">
        <w:t xml:space="preserve"> w </w:t>
      </w:r>
      <w:r w:rsidRPr="00436D27">
        <w:t>prawodawstwie (które aktualnie wciąż nastręcza wiele problemów podmiotom zaangażowanym</w:t>
      </w:r>
      <w:r w:rsidR="00E66B89">
        <w:t xml:space="preserve"> w </w:t>
      </w:r>
      <w:r w:rsidRPr="00436D27">
        <w:t>działalność sektora gospodarki odpadami komunalnymi) było niezbędne</w:t>
      </w:r>
      <w:r>
        <w:t>,</w:t>
      </w:r>
      <w:r w:rsidRPr="00436D27">
        <w:t xml:space="preserve"> by móc</w:t>
      </w:r>
      <w:r w:rsidR="00E66B89">
        <w:t xml:space="preserve"> w </w:t>
      </w:r>
      <w:r w:rsidRPr="00436D27">
        <w:t>radykalny sposób podjąć działania zmierzające do gruntownej przebudowy logiki systemu gospodarowania odpa</w:t>
      </w:r>
      <w:r>
        <w:t>dami komunalnymi</w:t>
      </w:r>
      <w:r w:rsidR="00E66B89">
        <w:t xml:space="preserve"> w </w:t>
      </w:r>
      <w:r>
        <w:t>całym kraju.</w:t>
      </w:r>
    </w:p>
    <w:p w14:paraId="18FC2FB3" w14:textId="77777777" w:rsidR="009D215A" w:rsidRPr="00436D27" w:rsidRDefault="009D215A" w:rsidP="009D215A">
      <w:pPr>
        <w:pStyle w:val="evaluTresc"/>
      </w:pPr>
      <w:r w:rsidRPr="00436D27">
        <w:t xml:space="preserve">W ramach kryterium pn. </w:t>
      </w:r>
      <w:r w:rsidRPr="008B706B">
        <w:rPr>
          <w:i/>
        </w:rPr>
        <w:t>Odpowiedniość / adekwatność / trafność</w:t>
      </w:r>
      <w:r w:rsidRPr="00436D27">
        <w:t xml:space="preserve"> zastosowano następujące kryterium: </w:t>
      </w:r>
      <w:r w:rsidRPr="008B706B">
        <w:rPr>
          <w:i/>
        </w:rPr>
        <w:t>Liczba kodów odpadów objętych projektem</w:t>
      </w:r>
      <w:r w:rsidRPr="00436D27">
        <w:t>. Dla PSZOK przyjęto następujący system punktowania:</w:t>
      </w:r>
    </w:p>
    <w:p w14:paraId="1DBEB168" w14:textId="77777777" w:rsidR="009D215A" w:rsidRPr="00436D27" w:rsidRDefault="009D215A" w:rsidP="009D215A">
      <w:pPr>
        <w:pStyle w:val="evaluTresc"/>
      </w:pPr>
      <w:r w:rsidRPr="00436D27">
        <w:t>0 p. – poniżej 5 kodów odpadów.</w:t>
      </w:r>
    </w:p>
    <w:p w14:paraId="37A8B248" w14:textId="77777777" w:rsidR="009D215A" w:rsidRPr="00436D27" w:rsidRDefault="009D215A" w:rsidP="009D215A">
      <w:pPr>
        <w:pStyle w:val="evaluTresc"/>
      </w:pPr>
      <w:r w:rsidRPr="00436D27">
        <w:t>1 p. – 5 kodów odpadów;</w:t>
      </w:r>
    </w:p>
    <w:p w14:paraId="5DCC4347" w14:textId="77777777" w:rsidR="009D215A" w:rsidRPr="00436D27" w:rsidRDefault="009D215A" w:rsidP="009D215A">
      <w:pPr>
        <w:pStyle w:val="evaluTresc"/>
      </w:pPr>
      <w:r w:rsidRPr="00436D27">
        <w:t>2 p. – od 6 do 7 kodów odpadów;</w:t>
      </w:r>
    </w:p>
    <w:p w14:paraId="003DF3CE" w14:textId="77777777" w:rsidR="009D215A" w:rsidRPr="00436D27" w:rsidRDefault="009D215A" w:rsidP="009D215A">
      <w:pPr>
        <w:pStyle w:val="evaluTresc"/>
      </w:pPr>
      <w:r w:rsidRPr="00436D27">
        <w:t>3 p. – od 8 do 13 kodów odpadów;</w:t>
      </w:r>
    </w:p>
    <w:p w14:paraId="63BEE6B9" w14:textId="77777777" w:rsidR="009D215A" w:rsidRPr="00436D27" w:rsidRDefault="009D215A" w:rsidP="009D215A">
      <w:pPr>
        <w:pStyle w:val="evaluTresc"/>
      </w:pPr>
      <w:r w:rsidRPr="00436D27">
        <w:t>4 p. – powyżej 13 kodów odpadów;</w:t>
      </w:r>
    </w:p>
    <w:p w14:paraId="2DA62C97" w14:textId="77777777" w:rsidR="009D215A" w:rsidRPr="00404DA5" w:rsidRDefault="009D215A" w:rsidP="009D215A">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art. 3, ust.2 pkt 6</w:t>
      </w:r>
      <w:r w:rsidR="00E66B89">
        <w:rPr>
          <w:rFonts w:cs="Calibri"/>
          <w:szCs w:val="20"/>
        </w:rPr>
        <w:t xml:space="preserve"> z </w:t>
      </w:r>
      <w:r w:rsidRPr="00404DA5">
        <w:rPr>
          <w:rFonts w:cs="Calibri"/>
          <w:szCs w:val="20"/>
        </w:rPr>
        <w:t>Ustawą</w:t>
      </w:r>
      <w:r w:rsidR="00E66B89">
        <w:rPr>
          <w:rFonts w:cs="Calibri"/>
          <w:szCs w:val="20"/>
        </w:rPr>
        <w:t xml:space="preserve"> z </w:t>
      </w:r>
      <w:r w:rsidRPr="00404DA5">
        <w:rPr>
          <w:rFonts w:cs="Calibri"/>
          <w:szCs w:val="20"/>
        </w:rPr>
        <w:t>dnia 13 września 1996 r.</w:t>
      </w:r>
      <w:r w:rsidR="00E66B89">
        <w:rPr>
          <w:rFonts w:cs="Calibri"/>
          <w:szCs w:val="20"/>
        </w:rPr>
        <w:t xml:space="preserve"> o </w:t>
      </w:r>
      <w:r w:rsidRPr="00404DA5">
        <w:rPr>
          <w:rFonts w:cs="Calibri"/>
          <w:szCs w:val="20"/>
        </w:rPr>
        <w:t>utrzymaniu czystości</w:t>
      </w:r>
      <w:r w:rsidR="00E66B89">
        <w:rPr>
          <w:rFonts w:cs="Calibri"/>
          <w:szCs w:val="20"/>
        </w:rPr>
        <w:t xml:space="preserve"> i </w:t>
      </w:r>
      <w:r w:rsidRPr="00404DA5">
        <w:rPr>
          <w:rFonts w:cs="Calibri"/>
          <w:szCs w:val="20"/>
        </w:rPr>
        <w:t>porządku</w:t>
      </w:r>
      <w:r w:rsidR="00E66B89">
        <w:rPr>
          <w:rFonts w:cs="Calibri"/>
          <w:szCs w:val="20"/>
        </w:rPr>
        <w:t xml:space="preserve"> w </w:t>
      </w:r>
      <w:r w:rsidRPr="00404DA5">
        <w:rPr>
          <w:rFonts w:cs="Calibri"/>
          <w:szCs w:val="20"/>
        </w:rPr>
        <w:t>gminach (tj. Dz.U. 2018, poz. 1454)</w:t>
      </w:r>
      <w:r>
        <w:rPr>
          <w:rFonts w:cs="Calibri"/>
          <w:szCs w:val="20"/>
        </w:rPr>
        <w:t>,</w:t>
      </w:r>
      <w:r w:rsidRPr="00404DA5">
        <w:rPr>
          <w:rFonts w:cs="Calibri"/>
          <w:szCs w:val="20"/>
        </w:rPr>
        <w:t xml:space="preserve"> gminy „tworzą punkty selektywnego zbierania odpadów komunalnych</w:t>
      </w:r>
      <w:r w:rsidR="00E66B89">
        <w:rPr>
          <w:rFonts w:cs="Calibri"/>
          <w:szCs w:val="20"/>
        </w:rPr>
        <w:t xml:space="preserve"> w </w:t>
      </w:r>
      <w:r w:rsidRPr="00404DA5">
        <w:rPr>
          <w:rFonts w:cs="Calibri"/>
          <w:szCs w:val="20"/>
        </w:rPr>
        <w:t>sposób zapewniający łatwy dostęp dla wszystkich mieszkańców gminy, które zapewniają przyjmowanie co najmniej takich odpadów komunalnych jak: przeterminowane leki</w:t>
      </w:r>
      <w:r w:rsidR="00E66B89">
        <w:rPr>
          <w:rFonts w:cs="Calibri"/>
          <w:szCs w:val="20"/>
        </w:rPr>
        <w:t xml:space="preserve"> i </w:t>
      </w:r>
      <w:r w:rsidRPr="00404DA5">
        <w:rPr>
          <w:rFonts w:cs="Calibri"/>
          <w:szCs w:val="20"/>
        </w:rPr>
        <w:t xml:space="preserve">chemikalia, zużyte </w:t>
      </w:r>
      <w:r w:rsidRPr="00404DA5">
        <w:rPr>
          <w:rFonts w:cs="Calibri"/>
          <w:szCs w:val="20"/>
        </w:rPr>
        <w:lastRenderedPageBreak/>
        <w:t>baterie</w:t>
      </w:r>
      <w:r w:rsidR="00E66B89">
        <w:rPr>
          <w:rFonts w:cs="Calibri"/>
          <w:szCs w:val="20"/>
        </w:rPr>
        <w:t xml:space="preserve"> i </w:t>
      </w:r>
      <w:r w:rsidRPr="00404DA5">
        <w:rPr>
          <w:rFonts w:cs="Calibri"/>
          <w:szCs w:val="20"/>
        </w:rPr>
        <w:t>akumulatory, zużyty sprzęt elektryczny</w:t>
      </w:r>
      <w:r w:rsidR="00E66B89">
        <w:rPr>
          <w:rFonts w:cs="Calibri"/>
          <w:szCs w:val="20"/>
        </w:rPr>
        <w:t xml:space="preserve"> i </w:t>
      </w:r>
      <w:r w:rsidRPr="00404DA5">
        <w:rPr>
          <w:rFonts w:cs="Calibri"/>
          <w:szCs w:val="20"/>
        </w:rPr>
        <w:t>elektroniczny, meble</w:t>
      </w:r>
      <w:r w:rsidR="00E66B89">
        <w:rPr>
          <w:rFonts w:cs="Calibri"/>
          <w:szCs w:val="20"/>
        </w:rPr>
        <w:t xml:space="preserve"> i </w:t>
      </w:r>
      <w:r w:rsidRPr="00404DA5">
        <w:rPr>
          <w:rFonts w:cs="Calibri"/>
          <w:szCs w:val="20"/>
        </w:rPr>
        <w:t>inne odpady wielkogabarytowe, zużyte opony, odpady zielone oraz odpady budowlane</w:t>
      </w:r>
      <w:r w:rsidR="00E66B89">
        <w:rPr>
          <w:rFonts w:cs="Calibri"/>
          <w:szCs w:val="20"/>
        </w:rPr>
        <w:t xml:space="preserve"> i </w:t>
      </w:r>
      <w:r w:rsidRPr="00404DA5">
        <w:rPr>
          <w:rFonts w:cs="Calibri"/>
          <w:szCs w:val="20"/>
        </w:rPr>
        <w:t>rozbiórkowe stanowiące odpady komunalne,</w:t>
      </w:r>
      <w:r w:rsidR="00E66B89">
        <w:rPr>
          <w:rFonts w:cs="Calibri"/>
          <w:szCs w:val="20"/>
        </w:rPr>
        <w:t xml:space="preserve"> a </w:t>
      </w:r>
      <w:r w:rsidRPr="00404DA5">
        <w:rPr>
          <w:rFonts w:cs="Calibri"/>
          <w:szCs w:val="20"/>
        </w:rPr>
        <w:t>także odpadów komunalnych określonych</w:t>
      </w:r>
      <w:r w:rsidR="00E66B89">
        <w:rPr>
          <w:rFonts w:cs="Calibri"/>
          <w:szCs w:val="20"/>
        </w:rPr>
        <w:t xml:space="preserve"> w </w:t>
      </w:r>
      <w:r w:rsidRPr="00404DA5">
        <w:rPr>
          <w:rFonts w:cs="Calibri"/>
          <w:szCs w:val="20"/>
        </w:rPr>
        <w:t>przepisach wydanych na podstawie art. 4a”. Czyli już</w:t>
      </w:r>
      <w:r w:rsidR="00E66B89">
        <w:rPr>
          <w:rFonts w:cs="Calibri"/>
          <w:szCs w:val="20"/>
        </w:rPr>
        <w:t xml:space="preserve"> z </w:t>
      </w:r>
      <w:r w:rsidRPr="00404DA5">
        <w:rPr>
          <w:rFonts w:cs="Calibri"/>
          <w:szCs w:val="20"/>
        </w:rPr>
        <w:t>samej definicji minimalna liczba frakcji odpadów zbieranych</w:t>
      </w:r>
      <w:r w:rsidR="00E66B89">
        <w:rPr>
          <w:rFonts w:cs="Calibri"/>
          <w:szCs w:val="20"/>
        </w:rPr>
        <w:t xml:space="preserve"> w </w:t>
      </w:r>
      <w:r w:rsidRPr="00404DA5">
        <w:rPr>
          <w:rFonts w:cs="Calibri"/>
          <w:szCs w:val="20"/>
        </w:rPr>
        <w:t>PSZOK wynosi 13 frakcji. Zaleca się modyfikację kryterium</w:t>
      </w:r>
      <w:r w:rsidR="00E66B89">
        <w:rPr>
          <w:rFonts w:cs="Calibri"/>
          <w:szCs w:val="20"/>
        </w:rPr>
        <w:t xml:space="preserve"> w </w:t>
      </w:r>
      <w:r w:rsidRPr="00404DA5">
        <w:rPr>
          <w:rFonts w:cs="Calibri"/>
          <w:szCs w:val="20"/>
        </w:rPr>
        <w:t>takim kierunku, aby premiować projekty zgłaszające zwiększenie liczb</w:t>
      </w:r>
      <w:r>
        <w:rPr>
          <w:rFonts w:cs="Calibri"/>
          <w:szCs w:val="20"/>
        </w:rPr>
        <w:t>y</w:t>
      </w:r>
      <w:r w:rsidRPr="00404DA5">
        <w:rPr>
          <w:rFonts w:cs="Calibri"/>
          <w:szCs w:val="20"/>
        </w:rPr>
        <w:t xml:space="preserve"> zbieranych frakcji ponad te, które są narzucone ustawą tj.:</w:t>
      </w:r>
    </w:p>
    <w:p w14:paraId="5B095580" w14:textId="77777777" w:rsidR="009D215A" w:rsidRPr="00404DA5" w:rsidRDefault="009D215A" w:rsidP="00093E14">
      <w:pPr>
        <w:numPr>
          <w:ilvl w:val="0"/>
          <w:numId w:val="17"/>
        </w:numPr>
        <w:ind w:left="459"/>
        <w:rPr>
          <w:rFonts w:cs="Calibri"/>
          <w:szCs w:val="20"/>
        </w:rPr>
      </w:pPr>
      <w:r w:rsidRPr="00404DA5">
        <w:rPr>
          <w:rFonts w:cs="Calibri"/>
          <w:szCs w:val="20"/>
        </w:rPr>
        <w:t>papier,</w:t>
      </w:r>
    </w:p>
    <w:p w14:paraId="1021F5A1" w14:textId="77777777" w:rsidR="009D215A" w:rsidRPr="00404DA5" w:rsidRDefault="009D215A" w:rsidP="00093E14">
      <w:pPr>
        <w:numPr>
          <w:ilvl w:val="0"/>
          <w:numId w:val="17"/>
        </w:numPr>
        <w:ind w:left="459"/>
        <w:rPr>
          <w:rFonts w:cs="Calibri"/>
          <w:szCs w:val="20"/>
        </w:rPr>
      </w:pPr>
      <w:r w:rsidRPr="00404DA5">
        <w:rPr>
          <w:rFonts w:cs="Calibri"/>
          <w:szCs w:val="20"/>
        </w:rPr>
        <w:t>metal,</w:t>
      </w:r>
    </w:p>
    <w:p w14:paraId="01D8EB12" w14:textId="77777777" w:rsidR="009D215A" w:rsidRPr="00404DA5" w:rsidRDefault="009D215A" w:rsidP="00093E14">
      <w:pPr>
        <w:numPr>
          <w:ilvl w:val="0"/>
          <w:numId w:val="17"/>
        </w:numPr>
        <w:ind w:left="459"/>
        <w:rPr>
          <w:rFonts w:cs="Calibri"/>
          <w:szCs w:val="20"/>
        </w:rPr>
      </w:pPr>
      <w:r w:rsidRPr="00404DA5">
        <w:rPr>
          <w:rFonts w:cs="Calibri"/>
          <w:szCs w:val="20"/>
        </w:rPr>
        <w:t>tworzywa sztuczne,</w:t>
      </w:r>
    </w:p>
    <w:p w14:paraId="79BED33F" w14:textId="77777777" w:rsidR="009D215A" w:rsidRPr="00404DA5" w:rsidRDefault="009D215A" w:rsidP="00093E14">
      <w:pPr>
        <w:numPr>
          <w:ilvl w:val="0"/>
          <w:numId w:val="17"/>
        </w:numPr>
        <w:ind w:left="459"/>
        <w:rPr>
          <w:rFonts w:cs="Calibri"/>
          <w:szCs w:val="20"/>
        </w:rPr>
      </w:pPr>
      <w:r w:rsidRPr="00404DA5">
        <w:rPr>
          <w:rFonts w:cs="Calibri"/>
          <w:szCs w:val="20"/>
        </w:rPr>
        <w:t>szkło,</w:t>
      </w:r>
    </w:p>
    <w:p w14:paraId="28BB238F" w14:textId="77777777" w:rsidR="009D215A" w:rsidRPr="00404DA5" w:rsidRDefault="009D215A" w:rsidP="00093E14">
      <w:pPr>
        <w:numPr>
          <w:ilvl w:val="0"/>
          <w:numId w:val="17"/>
        </w:numPr>
        <w:ind w:left="459"/>
        <w:rPr>
          <w:rFonts w:cs="Calibri"/>
          <w:szCs w:val="20"/>
        </w:rPr>
      </w:pPr>
      <w:r w:rsidRPr="00404DA5">
        <w:rPr>
          <w:rFonts w:cs="Calibri"/>
          <w:szCs w:val="20"/>
        </w:rPr>
        <w:t>opakowania wielomateriałowe,</w:t>
      </w:r>
    </w:p>
    <w:p w14:paraId="2E4FDF52" w14:textId="77777777" w:rsidR="009D215A" w:rsidRPr="00404DA5" w:rsidRDefault="009D215A" w:rsidP="00093E14">
      <w:pPr>
        <w:numPr>
          <w:ilvl w:val="0"/>
          <w:numId w:val="17"/>
        </w:numPr>
        <w:ind w:left="459"/>
        <w:rPr>
          <w:rFonts w:cs="Calibri"/>
          <w:szCs w:val="20"/>
        </w:rPr>
      </w:pPr>
      <w:r w:rsidRPr="00404DA5">
        <w:rPr>
          <w:rFonts w:cs="Calibri"/>
          <w:szCs w:val="20"/>
        </w:rPr>
        <w:t>odpady komunalne ulegające biodegradacji (w tym odpady opakowaniowe ulegające biodegradacji),</w:t>
      </w:r>
    </w:p>
    <w:p w14:paraId="4937135F" w14:textId="77777777" w:rsidR="009D215A" w:rsidRPr="00404DA5" w:rsidRDefault="009D215A" w:rsidP="00093E14">
      <w:pPr>
        <w:numPr>
          <w:ilvl w:val="0"/>
          <w:numId w:val="17"/>
        </w:numPr>
        <w:ind w:left="459"/>
        <w:rPr>
          <w:rFonts w:cs="Calibri"/>
          <w:szCs w:val="20"/>
        </w:rPr>
      </w:pPr>
      <w:r w:rsidRPr="00404DA5">
        <w:rPr>
          <w:rFonts w:cs="Calibri"/>
          <w:szCs w:val="20"/>
        </w:rPr>
        <w:t>zużyty sprzęt elektryczny</w:t>
      </w:r>
      <w:r w:rsidR="00E66B89">
        <w:rPr>
          <w:rFonts w:cs="Calibri"/>
          <w:szCs w:val="20"/>
        </w:rPr>
        <w:t xml:space="preserve"> i </w:t>
      </w:r>
      <w:r w:rsidRPr="00404DA5">
        <w:rPr>
          <w:rFonts w:cs="Calibri"/>
          <w:szCs w:val="20"/>
        </w:rPr>
        <w:t>elektroniczny pochodzący</w:t>
      </w:r>
      <w:r w:rsidR="00E66B89">
        <w:rPr>
          <w:rFonts w:cs="Calibri"/>
          <w:szCs w:val="20"/>
        </w:rPr>
        <w:t xml:space="preserve"> z </w:t>
      </w:r>
      <w:r w:rsidRPr="00404DA5">
        <w:rPr>
          <w:rFonts w:cs="Calibri"/>
          <w:szCs w:val="20"/>
        </w:rPr>
        <w:t>gospodarstw domowych,</w:t>
      </w:r>
    </w:p>
    <w:p w14:paraId="60EF0165" w14:textId="77777777" w:rsidR="009D215A" w:rsidRPr="00404DA5" w:rsidRDefault="009D215A" w:rsidP="00093E14">
      <w:pPr>
        <w:numPr>
          <w:ilvl w:val="0"/>
          <w:numId w:val="17"/>
        </w:numPr>
        <w:ind w:left="459"/>
        <w:rPr>
          <w:rFonts w:cs="Calibri"/>
          <w:szCs w:val="20"/>
        </w:rPr>
      </w:pPr>
      <w:r w:rsidRPr="00404DA5">
        <w:rPr>
          <w:rFonts w:cs="Calibri"/>
          <w:szCs w:val="20"/>
        </w:rPr>
        <w:t>przeterminowane leki</w:t>
      </w:r>
      <w:r w:rsidR="00E66B89">
        <w:rPr>
          <w:rFonts w:cs="Calibri"/>
          <w:szCs w:val="20"/>
        </w:rPr>
        <w:t xml:space="preserve"> i </w:t>
      </w:r>
      <w:r w:rsidRPr="00404DA5">
        <w:rPr>
          <w:rFonts w:cs="Calibri"/>
          <w:szCs w:val="20"/>
        </w:rPr>
        <w:t>chemikalia powstające</w:t>
      </w:r>
      <w:r w:rsidR="00E66B89">
        <w:rPr>
          <w:rFonts w:cs="Calibri"/>
          <w:szCs w:val="20"/>
        </w:rPr>
        <w:t xml:space="preserve"> w </w:t>
      </w:r>
      <w:r w:rsidRPr="00404DA5">
        <w:rPr>
          <w:rFonts w:cs="Calibri"/>
          <w:szCs w:val="20"/>
        </w:rPr>
        <w:t>gospodarstwach domowych,</w:t>
      </w:r>
    </w:p>
    <w:p w14:paraId="4C157062" w14:textId="77777777" w:rsidR="009D215A" w:rsidRPr="00404DA5" w:rsidRDefault="009D215A" w:rsidP="00093E14">
      <w:pPr>
        <w:numPr>
          <w:ilvl w:val="0"/>
          <w:numId w:val="17"/>
        </w:numPr>
        <w:ind w:left="459"/>
        <w:rPr>
          <w:rFonts w:cs="Calibri"/>
          <w:szCs w:val="20"/>
        </w:rPr>
      </w:pPr>
      <w:r w:rsidRPr="00404DA5">
        <w:rPr>
          <w:rFonts w:cs="Calibri"/>
          <w:szCs w:val="20"/>
        </w:rPr>
        <w:t>zużyte baterie</w:t>
      </w:r>
      <w:r w:rsidR="00E66B89">
        <w:rPr>
          <w:rFonts w:cs="Calibri"/>
          <w:szCs w:val="20"/>
        </w:rPr>
        <w:t xml:space="preserve"> i </w:t>
      </w:r>
      <w:r w:rsidRPr="00404DA5">
        <w:rPr>
          <w:rFonts w:cs="Calibri"/>
          <w:szCs w:val="20"/>
        </w:rPr>
        <w:t>akumulatory,</w:t>
      </w:r>
    </w:p>
    <w:p w14:paraId="6D8540A2" w14:textId="77777777" w:rsidR="009D215A" w:rsidRPr="00404DA5" w:rsidRDefault="009D215A" w:rsidP="00093E14">
      <w:pPr>
        <w:numPr>
          <w:ilvl w:val="0"/>
          <w:numId w:val="17"/>
        </w:numPr>
        <w:ind w:left="459"/>
        <w:rPr>
          <w:rFonts w:cs="Calibri"/>
          <w:szCs w:val="20"/>
        </w:rPr>
      </w:pPr>
      <w:r w:rsidRPr="00404DA5">
        <w:rPr>
          <w:rFonts w:cs="Calibri"/>
          <w:szCs w:val="20"/>
        </w:rPr>
        <w:t>meble</w:t>
      </w:r>
      <w:r w:rsidR="00E66B89">
        <w:rPr>
          <w:rFonts w:cs="Calibri"/>
          <w:szCs w:val="20"/>
        </w:rPr>
        <w:t xml:space="preserve"> i </w:t>
      </w:r>
      <w:r w:rsidRPr="00404DA5">
        <w:rPr>
          <w:rFonts w:cs="Calibri"/>
          <w:szCs w:val="20"/>
        </w:rPr>
        <w:t>inne odpady wielkogabarytowe,</w:t>
      </w:r>
    </w:p>
    <w:p w14:paraId="2C0D694F" w14:textId="77777777" w:rsidR="009D215A" w:rsidRPr="00404DA5" w:rsidRDefault="009D215A" w:rsidP="00093E14">
      <w:pPr>
        <w:numPr>
          <w:ilvl w:val="0"/>
          <w:numId w:val="17"/>
        </w:numPr>
        <w:ind w:left="459"/>
        <w:rPr>
          <w:rFonts w:cs="Calibri"/>
          <w:szCs w:val="20"/>
        </w:rPr>
      </w:pPr>
      <w:r w:rsidRPr="00404DA5">
        <w:rPr>
          <w:rFonts w:cs="Calibri"/>
          <w:szCs w:val="20"/>
        </w:rPr>
        <w:t>odpady budowlane</w:t>
      </w:r>
      <w:r w:rsidR="00E66B89">
        <w:rPr>
          <w:rFonts w:cs="Calibri"/>
          <w:szCs w:val="20"/>
        </w:rPr>
        <w:t xml:space="preserve"> i </w:t>
      </w:r>
      <w:r w:rsidRPr="00404DA5">
        <w:rPr>
          <w:rFonts w:cs="Calibri"/>
          <w:szCs w:val="20"/>
        </w:rPr>
        <w:t>rozbiórkowe,</w:t>
      </w:r>
    </w:p>
    <w:p w14:paraId="198DC941" w14:textId="77777777" w:rsidR="009D215A" w:rsidRPr="00404DA5" w:rsidRDefault="009D215A" w:rsidP="00093E14">
      <w:pPr>
        <w:numPr>
          <w:ilvl w:val="0"/>
          <w:numId w:val="17"/>
        </w:numPr>
        <w:ind w:left="459"/>
        <w:rPr>
          <w:rFonts w:cs="Calibri"/>
          <w:szCs w:val="20"/>
        </w:rPr>
      </w:pPr>
      <w:r w:rsidRPr="00404DA5">
        <w:rPr>
          <w:rFonts w:cs="Calibri"/>
          <w:szCs w:val="20"/>
        </w:rPr>
        <w:t>zużyte opony,</w:t>
      </w:r>
    </w:p>
    <w:p w14:paraId="6F6E7603" w14:textId="77777777" w:rsidR="009D215A" w:rsidRPr="00404DA5" w:rsidRDefault="009D215A" w:rsidP="00093E14">
      <w:pPr>
        <w:numPr>
          <w:ilvl w:val="0"/>
          <w:numId w:val="17"/>
        </w:numPr>
        <w:ind w:left="459"/>
        <w:rPr>
          <w:rFonts w:cs="Calibri"/>
          <w:szCs w:val="20"/>
        </w:rPr>
      </w:pPr>
      <w:r w:rsidRPr="00404DA5">
        <w:rPr>
          <w:rFonts w:cs="Calibri"/>
          <w:szCs w:val="20"/>
        </w:rPr>
        <w:t>odpady zielone.</w:t>
      </w:r>
    </w:p>
    <w:p w14:paraId="7BB24227" w14:textId="77777777" w:rsidR="009D215A" w:rsidRDefault="009D215A" w:rsidP="009D215A">
      <w:pPr>
        <w:rPr>
          <w:rFonts w:cs="Calibri"/>
          <w:szCs w:val="20"/>
        </w:rPr>
      </w:pPr>
      <w:r w:rsidRPr="00404DA5">
        <w:rPr>
          <w:rFonts w:cs="Calibri"/>
          <w:szCs w:val="20"/>
        </w:rPr>
        <w:t>Przykładowo zastosować można kryterium „Liczba dodatkowo zbieranych odpadów</w:t>
      </w:r>
      <w:r w:rsidR="00E66B89">
        <w:rPr>
          <w:rFonts w:cs="Calibri"/>
          <w:szCs w:val="20"/>
        </w:rPr>
        <w:t xml:space="preserve"> w </w:t>
      </w:r>
      <w:r w:rsidRPr="00404DA5">
        <w:rPr>
          <w:rFonts w:cs="Calibri"/>
          <w:szCs w:val="20"/>
        </w:rPr>
        <w:t>PSZOK ponad określone minimum”: zwiększenie liczby frakcji o</w:t>
      </w:r>
      <w:r>
        <w:rPr>
          <w:rFonts w:cs="Calibri"/>
          <w:szCs w:val="20"/>
        </w:rPr>
        <w:t>:</w:t>
      </w:r>
      <w:r w:rsidRPr="00404DA5">
        <w:rPr>
          <w:rFonts w:cs="Calibri"/>
          <w:szCs w:val="20"/>
        </w:rPr>
        <w:t xml:space="preserve"> </w:t>
      </w:r>
    </w:p>
    <w:p w14:paraId="00A0D61F" w14:textId="77777777" w:rsidR="009D215A" w:rsidRPr="00DD1C64" w:rsidRDefault="009D215A" w:rsidP="00093E14">
      <w:pPr>
        <w:pStyle w:val="Akapitzlist"/>
        <w:numPr>
          <w:ilvl w:val="0"/>
          <w:numId w:val="18"/>
        </w:numPr>
        <w:spacing w:after="120" w:line="288" w:lineRule="auto"/>
        <w:contextualSpacing w:val="0"/>
        <w:rPr>
          <w:rFonts w:cs="Calibri"/>
          <w:szCs w:val="20"/>
        </w:rPr>
      </w:pPr>
      <w:r w:rsidRPr="008B706B">
        <w:rPr>
          <w:rFonts w:ascii="Lato" w:hAnsi="Lato" w:cs="Calibri"/>
          <w:sz w:val="20"/>
          <w:szCs w:val="20"/>
        </w:rPr>
        <w:t>1 - 2 frakcje – 1 punkt;</w:t>
      </w:r>
    </w:p>
    <w:p w14:paraId="354311CB" w14:textId="77777777" w:rsidR="009D215A" w:rsidRPr="00404DA5" w:rsidRDefault="009D215A" w:rsidP="00093E14">
      <w:pPr>
        <w:pStyle w:val="Akapitzlist"/>
        <w:numPr>
          <w:ilvl w:val="0"/>
          <w:numId w:val="18"/>
        </w:numPr>
        <w:spacing w:after="120" w:line="288" w:lineRule="auto"/>
        <w:contextualSpacing w:val="0"/>
        <w:rPr>
          <w:rFonts w:ascii="Lato" w:hAnsi="Lato" w:cs="Calibri"/>
          <w:sz w:val="20"/>
          <w:szCs w:val="20"/>
        </w:rPr>
      </w:pPr>
      <w:r w:rsidRPr="00404DA5">
        <w:rPr>
          <w:rFonts w:ascii="Lato" w:hAnsi="Lato" w:cs="Calibri"/>
          <w:sz w:val="20"/>
          <w:szCs w:val="20"/>
        </w:rPr>
        <w:t>3 - 4 frakcje – 2 punkty;</w:t>
      </w:r>
    </w:p>
    <w:p w14:paraId="690E6ADE" w14:textId="77777777" w:rsidR="009D215A" w:rsidRPr="00404DA5" w:rsidRDefault="009D215A" w:rsidP="00093E14">
      <w:pPr>
        <w:pStyle w:val="Akapitzlist"/>
        <w:numPr>
          <w:ilvl w:val="0"/>
          <w:numId w:val="18"/>
        </w:numPr>
        <w:spacing w:after="120" w:line="288" w:lineRule="auto"/>
        <w:contextualSpacing w:val="0"/>
        <w:rPr>
          <w:rFonts w:ascii="Lato" w:hAnsi="Lato" w:cs="Calibri"/>
          <w:sz w:val="20"/>
          <w:szCs w:val="20"/>
        </w:rPr>
      </w:pPr>
      <w:r w:rsidRPr="00404DA5">
        <w:rPr>
          <w:rFonts w:ascii="Lato" w:hAnsi="Lato" w:cs="Calibri"/>
          <w:sz w:val="20"/>
          <w:szCs w:val="20"/>
        </w:rPr>
        <w:t>powyżej 4 frakcji – 3 punkty.</w:t>
      </w:r>
    </w:p>
    <w:p w14:paraId="6926AEFC" w14:textId="77777777" w:rsidR="009D215A" w:rsidRPr="00404DA5" w:rsidRDefault="009D215A" w:rsidP="009D215A">
      <w:pPr>
        <w:rPr>
          <w:rFonts w:cs="Calibri"/>
          <w:szCs w:val="20"/>
        </w:rPr>
      </w:pPr>
      <w:r w:rsidRPr="00404DA5">
        <w:rPr>
          <w:rFonts w:cs="Calibri"/>
          <w:szCs w:val="20"/>
        </w:rPr>
        <w:t>Respondenci badania ilościowego nie wskazali na występowanie</w:t>
      </w:r>
      <w:r>
        <w:rPr>
          <w:rFonts w:cs="Calibri"/>
          <w:szCs w:val="20"/>
        </w:rPr>
        <w:t xml:space="preserve"> </w:t>
      </w:r>
      <w:r w:rsidRPr="00404DA5">
        <w:rPr>
          <w:rFonts w:cs="Calibri"/>
          <w:szCs w:val="20"/>
        </w:rPr>
        <w:t>istotnych problemów</w:t>
      </w:r>
      <w:r w:rsidR="00E66B89">
        <w:rPr>
          <w:rFonts w:cs="Calibri"/>
          <w:szCs w:val="20"/>
        </w:rPr>
        <w:t xml:space="preserve"> w </w:t>
      </w:r>
      <w:r w:rsidRPr="00404DA5">
        <w:rPr>
          <w:rFonts w:cs="Calibri"/>
          <w:szCs w:val="20"/>
        </w:rPr>
        <w:t>realizowanych przez nich</w:t>
      </w:r>
      <w:r>
        <w:rPr>
          <w:rFonts w:cs="Calibri"/>
          <w:szCs w:val="20"/>
        </w:rPr>
        <w:t xml:space="preserve"> projektach</w:t>
      </w:r>
      <w:r w:rsidR="00E66B89">
        <w:rPr>
          <w:rFonts w:cs="Calibri"/>
          <w:szCs w:val="20"/>
        </w:rPr>
        <w:t xml:space="preserve"> w </w:t>
      </w:r>
      <w:r w:rsidRPr="00404DA5">
        <w:rPr>
          <w:rFonts w:cs="Calibri"/>
          <w:szCs w:val="20"/>
        </w:rPr>
        <w:t>ramach Działania 3.7.</w:t>
      </w:r>
    </w:p>
    <w:p w14:paraId="0C13E419" w14:textId="77777777" w:rsidR="009D215A" w:rsidRPr="00436D27" w:rsidRDefault="009D215A" w:rsidP="009D215A">
      <w:pPr>
        <w:pStyle w:val="evaluTresc"/>
      </w:pPr>
      <w:r w:rsidRPr="00436D27">
        <w:t>Pozytywnie należy ocenić logikę interwencji wsparcia udzielanego</w:t>
      </w:r>
      <w:r w:rsidR="00E66B89">
        <w:t xml:space="preserve"> w </w:t>
      </w:r>
      <w:r w:rsidRPr="00436D27">
        <w:t>ramach PI</w:t>
      </w:r>
      <w:r>
        <w:t xml:space="preserve"> </w:t>
      </w:r>
      <w:r w:rsidRPr="00436D27">
        <w:t>6a. Wsparcie</w:t>
      </w:r>
      <w:r w:rsidR="00E66B89">
        <w:t xml:space="preserve"> w </w:t>
      </w:r>
      <w:r w:rsidRPr="00436D27">
        <w:t>ramach Działania 3.7 wykazuje silne powiązanie ze zdiagnozowanymi problemami opisanymi</w:t>
      </w:r>
      <w:r w:rsidR="00E66B89">
        <w:t xml:space="preserve"> w </w:t>
      </w:r>
      <w:r w:rsidRPr="00436D27">
        <w:t xml:space="preserve">rozdziale </w:t>
      </w:r>
      <w:r>
        <w:t>dotyczącym</w:t>
      </w:r>
      <w:r w:rsidRPr="00436D27">
        <w:t xml:space="preserve"> analiz</w:t>
      </w:r>
      <w:r>
        <w:t>y</w:t>
      </w:r>
      <w:r w:rsidRPr="00436D27">
        <w:t xml:space="preserve"> sytuacji społeczno-gospodarczej. Wśród kluczowych wyzwań dla regionu pozostaje</w:t>
      </w:r>
      <w:r>
        <w:t>:</w:t>
      </w:r>
      <w:r w:rsidRPr="00436D27">
        <w:t xml:space="preserve"> zbyt duży odsetek odpadów podlegających składowaniu, zbyt niski poziom selektywnego zbierania odpadów komunalnych, ryzyko nieosiągnięcia wymaganych poziomów odzysku</w:t>
      </w:r>
      <w:r w:rsidR="00E66B89">
        <w:t xml:space="preserve"> i </w:t>
      </w:r>
      <w:r w:rsidRPr="00436D27">
        <w:t xml:space="preserve">recyklingu frakcji PMTS oraz negatywne oddziaływanie na środowisko powstające wskutek braku rekultywacji składowisk odpadów. </w:t>
      </w:r>
    </w:p>
    <w:p w14:paraId="722251CB" w14:textId="77777777" w:rsidR="009D215A" w:rsidRPr="00436D27" w:rsidRDefault="009D215A" w:rsidP="009D215A">
      <w:pPr>
        <w:pStyle w:val="evaluTresc"/>
      </w:pPr>
      <w:r w:rsidRPr="00436D27">
        <w:t>Trafnie zidentyfikowano podmioty uprawnione do wnioskowania oraz typ projektu podlegający wsparciu. Wsparcie ZZO przyczyni się do bardziej efektywnego przetwarzania oraz wzrostu potencjału do recyklingu. Projekty typu PSZOK będą przyczyniały się do wzrostu masy zbieranych odpadów</w:t>
      </w:r>
      <w:r w:rsidR="00E66B89">
        <w:t xml:space="preserve"> w </w:t>
      </w:r>
      <w:r w:rsidRPr="00436D27">
        <w:t>sposób selektywny. Należy nadmienić, iż wspartym PSZOK towarzyszą także działania informacyjne</w:t>
      </w:r>
      <w:r w:rsidR="00E66B89">
        <w:t xml:space="preserve"> i </w:t>
      </w:r>
      <w:r w:rsidRPr="00436D27">
        <w:t>edukacyjne</w:t>
      </w:r>
      <w:r>
        <w:t xml:space="preserve">, </w:t>
      </w:r>
      <w:r w:rsidRPr="00436D27">
        <w:t>które wzmacniać będą prawidłowe postawy</w:t>
      </w:r>
      <w:r w:rsidR="00E66B89">
        <w:t xml:space="preserve"> u </w:t>
      </w:r>
      <w:r w:rsidRPr="00436D27">
        <w:t>mieszkańców</w:t>
      </w:r>
      <w:r w:rsidR="00E66B89">
        <w:t xml:space="preserve"> w </w:t>
      </w:r>
      <w:r w:rsidRPr="00436D27">
        <w:t>zakresie odpowiednich sposobów postępowania</w:t>
      </w:r>
      <w:r w:rsidR="00E66B89">
        <w:t xml:space="preserve"> z </w:t>
      </w:r>
      <w:r w:rsidRPr="00436D27">
        <w:t>odpadami. PSZOK powinny przyczyniać się do większej dostępności dla mieszkańców, stwarzając tym samym możliwość pozbycia się kłopotliwych odpadów</w:t>
      </w:r>
      <w:r w:rsidR="00E66B89">
        <w:t xml:space="preserve"> w </w:t>
      </w:r>
      <w:r w:rsidRPr="00436D27">
        <w:t>sposób zgodny</w:t>
      </w:r>
      <w:r w:rsidR="00E66B89">
        <w:t xml:space="preserve"> </w:t>
      </w:r>
      <w:r w:rsidR="00E66B89">
        <w:lastRenderedPageBreak/>
        <w:t>z </w:t>
      </w:r>
      <w:r w:rsidRPr="00436D27">
        <w:t>przepisami prawa (nie zaś ich podrzucanie</w:t>
      </w:r>
      <w:r w:rsidR="00E66B89">
        <w:t xml:space="preserve"> w </w:t>
      </w:r>
      <w:r w:rsidRPr="00436D27">
        <w:t>miejsca do tego nieprzeznaczone</w:t>
      </w:r>
      <w:r>
        <w:t xml:space="preserve">, </w:t>
      </w:r>
      <w:r w:rsidRPr="00436D27">
        <w:t>np. do lasu). PSZOK powinny także mieć pozytywny wpływ na ograniczanie spalania odpadów</w:t>
      </w:r>
      <w:r w:rsidR="00E66B89">
        <w:t xml:space="preserve"> w </w:t>
      </w:r>
      <w:r w:rsidRPr="00436D27">
        <w:t>paleniskach domowych. Przy PSZOK tworzone będą punkty napraw oraz wymiany rzeczy, które będą się przyczyniać do ograniczania powstawania odpadów. Wsparte instalacje do przetwarzania odpadów komunalnych (wraz</w:t>
      </w:r>
      <w:r w:rsidR="00E66B89">
        <w:t xml:space="preserve"> z </w:t>
      </w:r>
      <w:r w:rsidRPr="00436D27">
        <w:t>niezbędną infrastrukturą,</w:t>
      </w:r>
      <w:r w:rsidR="00E66B89">
        <w:t xml:space="preserve"> w </w:t>
      </w:r>
      <w:r w:rsidRPr="00436D27">
        <w:t xml:space="preserve">tym pojazdami specjalistycznymi) przyczyniać się będą do zwiększania możliwości przerobowych. To zaś powinno przekładać się </w:t>
      </w:r>
      <w:r>
        <w:t xml:space="preserve">- </w:t>
      </w:r>
      <w:r w:rsidRPr="00436D27">
        <w:t>wraz</w:t>
      </w:r>
      <w:r w:rsidR="00E66B89">
        <w:t xml:space="preserve"> z </w:t>
      </w:r>
      <w:r w:rsidRPr="00436D27">
        <w:t xml:space="preserve">odpowiednio rozwiniętym systemem selektywnej </w:t>
      </w:r>
      <w:r w:rsidR="001A41AF" w:rsidRPr="00436D27">
        <w:t>zbiórk</w:t>
      </w:r>
      <w:r w:rsidR="001A41AF">
        <w:t xml:space="preserve">i </w:t>
      </w:r>
      <w:r w:rsidR="00E66B89">
        <w:t>i u </w:t>
      </w:r>
      <w:r w:rsidRPr="00436D27">
        <w:t>źródła</w:t>
      </w:r>
      <w:r>
        <w:t xml:space="preserve"> -</w:t>
      </w:r>
      <w:r w:rsidRPr="00436D27">
        <w:t xml:space="preserve"> do efektywnego zagospodarowywania strumienia odpadów</w:t>
      </w:r>
      <w:r w:rsidR="00E66B89">
        <w:t xml:space="preserve"> w </w:t>
      </w:r>
      <w:r w:rsidRPr="00436D27">
        <w:t>taki sposób, aby osiągać odpowiednio wysokie wskaźniki</w:t>
      </w:r>
      <w:r w:rsidR="00E66B89">
        <w:t xml:space="preserve"> w </w:t>
      </w:r>
      <w:r w:rsidRPr="00436D27">
        <w:t>zakresie recyklingu</w:t>
      </w:r>
      <w:r w:rsidR="00E66B89">
        <w:t xml:space="preserve"> i </w:t>
      </w:r>
      <w:r w:rsidRPr="00436D27">
        <w:t>odzysku.</w:t>
      </w:r>
      <w:r w:rsidR="00E66B89">
        <w:t xml:space="preserve"> Z </w:t>
      </w:r>
      <w:r w:rsidRPr="00436D27">
        <w:t>kolei projekty</w:t>
      </w:r>
      <w:r w:rsidR="00E66B89">
        <w:t xml:space="preserve"> w </w:t>
      </w:r>
      <w:r w:rsidRPr="00436D27">
        <w:t>zakresie rekultywacji składowisk odpadów przyczynią się do ograniczenia możliwości negatywnego oddziaływania tego typu obiektów na środowisko (szczególnie wodno-gruntowe).</w:t>
      </w:r>
    </w:p>
    <w:p w14:paraId="29A8DA39" w14:textId="77777777" w:rsidR="009D215A" w:rsidRPr="00CF60B0" w:rsidRDefault="009D215A" w:rsidP="009D215A">
      <w:pPr>
        <w:pStyle w:val="evaluTresc"/>
      </w:pPr>
      <w:r w:rsidRPr="00436D27">
        <w:t>Jak już wspomniano</w:t>
      </w:r>
      <w:r>
        <w:t>,</w:t>
      </w:r>
      <w:r w:rsidR="00E66B89">
        <w:t xml:space="preserve"> w </w:t>
      </w:r>
      <w:r w:rsidRPr="00436D27">
        <w:t>celu podwyższenia logiki interwencji IZ RPO WZ 2014-2020 stosowała odpowiednie kryteria wyboru projektów (tak by premiować projekty najlepiej wpisujące się</w:t>
      </w:r>
      <w:r w:rsidR="00E66B89">
        <w:t xml:space="preserve"> w </w:t>
      </w:r>
      <w:r w:rsidRPr="00436D27">
        <w:t>cel wdrażania PI 6a –</w:t>
      </w:r>
      <w:r w:rsidR="00E66B89">
        <w:t xml:space="preserve"> w </w:t>
      </w:r>
      <w:r w:rsidRPr="00436D27">
        <w:t>tym m.in.</w:t>
      </w:r>
      <w:r w:rsidR="00E66B89">
        <w:t xml:space="preserve"> z </w:t>
      </w:r>
      <w:r w:rsidRPr="00436D27">
        <w:t>zakresu zapobiegania powstawania odpadów czy działań edukacyjnych, informacyjnych</w:t>
      </w:r>
      <w:r w:rsidR="00E66B89">
        <w:t xml:space="preserve"> i </w:t>
      </w:r>
      <w:r w:rsidRPr="00436D27">
        <w:t>angażuj</w:t>
      </w:r>
      <w:r>
        <w:t>ących mieszkańców województwa).</w:t>
      </w:r>
    </w:p>
    <w:p w14:paraId="4DC891C0" w14:textId="77777777" w:rsidR="009D215A" w:rsidRPr="00404DA5" w:rsidRDefault="009D215A" w:rsidP="009D215A">
      <w:pPr>
        <w:pStyle w:val="Nagwek4"/>
        <w:numPr>
          <w:ilvl w:val="0"/>
          <w:numId w:val="0"/>
        </w:numPr>
        <w:rPr>
          <w:rFonts w:ascii="Lato" w:hAnsi="Lato" w:cs="Calibri"/>
          <w:color w:val="FF0000"/>
          <w:szCs w:val="20"/>
        </w:rPr>
      </w:pPr>
      <w:r w:rsidRPr="00436D27">
        <w:rPr>
          <w:rFonts w:ascii="Lato" w:eastAsia="Calibri" w:hAnsi="Lato"/>
        </w:rPr>
        <w:t xml:space="preserve">Wskaźniki rezultatu strategicznego </w:t>
      </w:r>
    </w:p>
    <w:p w14:paraId="228C52CF" w14:textId="77777777" w:rsidR="009D215A" w:rsidRPr="00404DA5" w:rsidRDefault="009D215A" w:rsidP="009D215A">
      <w:pPr>
        <w:rPr>
          <w:rFonts w:cs="Calibri"/>
          <w:szCs w:val="20"/>
        </w:rPr>
      </w:pPr>
      <w:r w:rsidRPr="00404DA5">
        <w:rPr>
          <w:rFonts w:cs="Calibri"/>
          <w:szCs w:val="20"/>
        </w:rPr>
        <w:t>W poniższej tabeli zaprezentowano wskaźniki rezultatu strategicznego dla PI 6a.</w:t>
      </w:r>
    </w:p>
    <w:p w14:paraId="7C51A3CA" w14:textId="77777777" w:rsidR="009D215A" w:rsidRPr="00436D27" w:rsidRDefault="009D215A" w:rsidP="006E34DC">
      <w:pPr>
        <w:pStyle w:val="Legenda"/>
        <w:spacing w:after="0"/>
      </w:pPr>
      <w:bookmarkStart w:id="114" w:name="_Toc8824161"/>
      <w:r w:rsidRPr="00436D27">
        <w:t xml:space="preserve">Tabela </w:t>
      </w:r>
      <w:r>
        <w:fldChar w:fldCharType="begin"/>
      </w:r>
      <w:r>
        <w:instrText xml:space="preserve"> SEQ Tabela \* ARABIC </w:instrText>
      </w:r>
      <w:r>
        <w:fldChar w:fldCharType="separate"/>
      </w:r>
      <w:r w:rsidR="00763345">
        <w:rPr>
          <w:noProof/>
        </w:rPr>
        <w:t>50</w:t>
      </w:r>
      <w:r>
        <w:fldChar w:fldCharType="end"/>
      </w:r>
      <w:r w:rsidRPr="00436D27">
        <w:t xml:space="preserve"> Specyficzne dla programu wskaźniki rezultatu</w:t>
      </w:r>
      <w:r w:rsidR="00E66B89">
        <w:t xml:space="preserve"> w </w:t>
      </w:r>
      <w:r w:rsidRPr="00436D27">
        <w:t>podziale na poszczególne cele (w odniesieniu do EFRR</w:t>
      </w:r>
      <w:r w:rsidR="00E66B89">
        <w:t xml:space="preserve"> i </w:t>
      </w:r>
      <w:r w:rsidRPr="00436D27">
        <w:t>Funduszu Spójności)</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40"/>
        <w:gridCol w:w="1014"/>
        <w:gridCol w:w="1093"/>
        <w:gridCol w:w="888"/>
        <w:gridCol w:w="910"/>
        <w:gridCol w:w="976"/>
        <w:gridCol w:w="786"/>
        <w:gridCol w:w="1315"/>
      </w:tblGrid>
      <w:tr w:rsidR="009D215A" w:rsidRPr="003850AB" w14:paraId="71E20A69" w14:textId="77777777" w:rsidTr="005F04FC">
        <w:trPr>
          <w:tblHeader/>
        </w:trPr>
        <w:tc>
          <w:tcPr>
            <w:tcW w:w="540" w:type="dxa"/>
            <w:shd w:val="clear" w:color="auto" w:fill="DBE5F1"/>
            <w:vAlign w:val="center"/>
            <w:hideMark/>
          </w:tcPr>
          <w:p w14:paraId="63057F5B" w14:textId="77777777" w:rsidR="009D215A" w:rsidRPr="00C22C26" w:rsidRDefault="009D215A" w:rsidP="00C22C26">
            <w:pPr>
              <w:jc w:val="center"/>
              <w:rPr>
                <w:rFonts w:cs="Calibri"/>
                <w:sz w:val="18"/>
                <w:szCs w:val="20"/>
              </w:rPr>
            </w:pPr>
            <w:r w:rsidRPr="00C22C26">
              <w:rPr>
                <w:rFonts w:cs="Calibri"/>
                <w:sz w:val="18"/>
                <w:szCs w:val="20"/>
              </w:rPr>
              <w:t>Lp.</w:t>
            </w:r>
          </w:p>
        </w:tc>
        <w:tc>
          <w:tcPr>
            <w:tcW w:w="1540" w:type="dxa"/>
            <w:shd w:val="clear" w:color="auto" w:fill="DBE5F1"/>
            <w:vAlign w:val="center"/>
            <w:hideMark/>
          </w:tcPr>
          <w:p w14:paraId="64F3B361" w14:textId="77777777" w:rsidR="009D215A" w:rsidRPr="00C22C26" w:rsidRDefault="009D215A" w:rsidP="00C22C26">
            <w:pPr>
              <w:jc w:val="center"/>
              <w:rPr>
                <w:rFonts w:cs="Calibri"/>
                <w:sz w:val="18"/>
                <w:szCs w:val="20"/>
              </w:rPr>
            </w:pPr>
            <w:r w:rsidRPr="00C22C26">
              <w:rPr>
                <w:rFonts w:cs="Calibri"/>
                <w:sz w:val="18"/>
                <w:szCs w:val="20"/>
              </w:rPr>
              <w:t>Wskaźnik</w:t>
            </w:r>
          </w:p>
        </w:tc>
        <w:tc>
          <w:tcPr>
            <w:tcW w:w="1014" w:type="dxa"/>
            <w:shd w:val="clear" w:color="auto" w:fill="DBE5F1"/>
            <w:vAlign w:val="center"/>
            <w:hideMark/>
          </w:tcPr>
          <w:p w14:paraId="74356A99" w14:textId="77777777" w:rsidR="009D215A" w:rsidRPr="00C22C26" w:rsidRDefault="009D215A" w:rsidP="00C22C26">
            <w:pPr>
              <w:jc w:val="center"/>
              <w:rPr>
                <w:rFonts w:cs="Calibri"/>
                <w:sz w:val="18"/>
                <w:szCs w:val="20"/>
              </w:rPr>
            </w:pPr>
            <w:r w:rsidRPr="00C22C26">
              <w:rPr>
                <w:rFonts w:cs="Calibri"/>
                <w:sz w:val="18"/>
                <w:szCs w:val="20"/>
              </w:rPr>
              <w:t>Jednostka</w:t>
            </w:r>
            <w:r w:rsidRPr="00C22C26">
              <w:rPr>
                <w:rFonts w:cs="Calibri"/>
                <w:sz w:val="18"/>
                <w:szCs w:val="20"/>
              </w:rPr>
              <w:br/>
              <w:t>pomiaru</w:t>
            </w:r>
          </w:p>
        </w:tc>
        <w:tc>
          <w:tcPr>
            <w:tcW w:w="1093" w:type="dxa"/>
            <w:shd w:val="clear" w:color="auto" w:fill="DBE5F1"/>
            <w:vAlign w:val="center"/>
            <w:hideMark/>
          </w:tcPr>
          <w:p w14:paraId="40477208" w14:textId="77777777" w:rsidR="009D215A" w:rsidRPr="00C22C26" w:rsidRDefault="009D215A" w:rsidP="00C22C26">
            <w:pPr>
              <w:jc w:val="center"/>
              <w:rPr>
                <w:rFonts w:cs="Calibri"/>
                <w:sz w:val="18"/>
                <w:szCs w:val="20"/>
              </w:rPr>
            </w:pPr>
            <w:r w:rsidRPr="00C22C26">
              <w:rPr>
                <w:rFonts w:cs="Calibri"/>
                <w:sz w:val="18"/>
                <w:szCs w:val="20"/>
              </w:rPr>
              <w:t>Kategoria</w:t>
            </w:r>
            <w:r w:rsidRPr="00C22C26">
              <w:rPr>
                <w:rFonts w:cs="Calibri"/>
                <w:sz w:val="18"/>
                <w:szCs w:val="20"/>
              </w:rPr>
              <w:br/>
              <w:t>regionu</w:t>
            </w:r>
          </w:p>
        </w:tc>
        <w:tc>
          <w:tcPr>
            <w:tcW w:w="888" w:type="dxa"/>
            <w:shd w:val="clear" w:color="auto" w:fill="DBE5F1"/>
            <w:vAlign w:val="center"/>
            <w:hideMark/>
          </w:tcPr>
          <w:p w14:paraId="0FEE7FE4" w14:textId="77777777" w:rsidR="009D215A" w:rsidRPr="00C22C26" w:rsidRDefault="009D215A" w:rsidP="00C22C26">
            <w:pPr>
              <w:jc w:val="center"/>
              <w:rPr>
                <w:rFonts w:cs="Calibri"/>
                <w:sz w:val="18"/>
                <w:szCs w:val="20"/>
              </w:rPr>
            </w:pPr>
            <w:r w:rsidRPr="00C22C26">
              <w:rPr>
                <w:rFonts w:cs="Calibri"/>
                <w:sz w:val="18"/>
                <w:szCs w:val="20"/>
              </w:rPr>
              <w:t>Wartość</w:t>
            </w:r>
            <w:r w:rsidRPr="00C22C26">
              <w:rPr>
                <w:rFonts w:cs="Calibri"/>
                <w:sz w:val="18"/>
                <w:szCs w:val="20"/>
              </w:rPr>
              <w:br/>
              <w:t>bazowa</w:t>
            </w:r>
          </w:p>
        </w:tc>
        <w:tc>
          <w:tcPr>
            <w:tcW w:w="910" w:type="dxa"/>
            <w:shd w:val="clear" w:color="auto" w:fill="DBE5F1"/>
            <w:vAlign w:val="center"/>
            <w:hideMark/>
          </w:tcPr>
          <w:p w14:paraId="4BACFF48" w14:textId="77777777" w:rsidR="009D215A" w:rsidRPr="00C22C26" w:rsidRDefault="009D215A" w:rsidP="00C22C26">
            <w:pPr>
              <w:jc w:val="center"/>
              <w:rPr>
                <w:rFonts w:cs="Calibri"/>
                <w:sz w:val="18"/>
                <w:szCs w:val="20"/>
              </w:rPr>
            </w:pPr>
            <w:r w:rsidRPr="00C22C26">
              <w:rPr>
                <w:rFonts w:cs="Calibri"/>
                <w:sz w:val="18"/>
                <w:szCs w:val="20"/>
              </w:rPr>
              <w:t>Rok bazowy</w:t>
            </w:r>
          </w:p>
        </w:tc>
        <w:tc>
          <w:tcPr>
            <w:tcW w:w="976" w:type="dxa"/>
            <w:shd w:val="clear" w:color="auto" w:fill="DBE5F1"/>
            <w:vAlign w:val="center"/>
            <w:hideMark/>
          </w:tcPr>
          <w:p w14:paraId="46CA4280" w14:textId="77777777" w:rsidR="009D215A" w:rsidRPr="00C22C26" w:rsidRDefault="009D215A" w:rsidP="00C22C26">
            <w:pPr>
              <w:jc w:val="center"/>
              <w:rPr>
                <w:rFonts w:cs="Calibri"/>
                <w:sz w:val="18"/>
                <w:szCs w:val="20"/>
              </w:rPr>
            </w:pPr>
            <w:r w:rsidRPr="00C22C26">
              <w:rPr>
                <w:rFonts w:cs="Calibri"/>
                <w:sz w:val="18"/>
                <w:szCs w:val="20"/>
              </w:rPr>
              <w:t>Wartość</w:t>
            </w:r>
            <w:r w:rsidRPr="00C22C26">
              <w:rPr>
                <w:rFonts w:cs="Calibri"/>
                <w:sz w:val="18"/>
                <w:szCs w:val="20"/>
              </w:rPr>
              <w:br/>
              <w:t>docelowa</w:t>
            </w:r>
            <w:r w:rsidRPr="00C22C26">
              <w:rPr>
                <w:rFonts w:cs="Calibri"/>
                <w:sz w:val="18"/>
                <w:szCs w:val="20"/>
              </w:rPr>
              <w:br/>
              <w:t>(2023)</w:t>
            </w:r>
          </w:p>
        </w:tc>
        <w:tc>
          <w:tcPr>
            <w:tcW w:w="786" w:type="dxa"/>
            <w:shd w:val="clear" w:color="auto" w:fill="DBE5F1"/>
            <w:vAlign w:val="center"/>
            <w:hideMark/>
          </w:tcPr>
          <w:p w14:paraId="5865FE11" w14:textId="77777777" w:rsidR="009D215A" w:rsidRPr="00C22C26" w:rsidRDefault="009D215A" w:rsidP="00C22C26">
            <w:pPr>
              <w:jc w:val="center"/>
              <w:rPr>
                <w:rFonts w:cs="Calibri"/>
                <w:sz w:val="18"/>
                <w:szCs w:val="20"/>
              </w:rPr>
            </w:pPr>
            <w:r w:rsidRPr="00C22C26">
              <w:rPr>
                <w:rFonts w:cs="Calibri"/>
                <w:sz w:val="18"/>
                <w:szCs w:val="20"/>
              </w:rPr>
              <w:t>Źródło</w:t>
            </w:r>
            <w:r w:rsidRPr="00C22C26">
              <w:rPr>
                <w:rFonts w:cs="Calibri"/>
                <w:sz w:val="18"/>
                <w:szCs w:val="20"/>
              </w:rPr>
              <w:br/>
              <w:t>danych</w:t>
            </w:r>
          </w:p>
        </w:tc>
        <w:tc>
          <w:tcPr>
            <w:tcW w:w="1315" w:type="dxa"/>
            <w:shd w:val="clear" w:color="auto" w:fill="DBE5F1"/>
            <w:vAlign w:val="center"/>
            <w:hideMark/>
          </w:tcPr>
          <w:p w14:paraId="5BD0BCA6" w14:textId="77777777" w:rsidR="009D215A" w:rsidRPr="00C22C26" w:rsidRDefault="009D215A" w:rsidP="00C22C26">
            <w:pPr>
              <w:jc w:val="center"/>
              <w:rPr>
                <w:rFonts w:cs="Calibri"/>
                <w:sz w:val="18"/>
                <w:szCs w:val="20"/>
              </w:rPr>
            </w:pPr>
            <w:r w:rsidRPr="00C22C26">
              <w:rPr>
                <w:rFonts w:cs="Calibri"/>
                <w:sz w:val="18"/>
                <w:szCs w:val="20"/>
              </w:rPr>
              <w:t>Częstotliwość</w:t>
            </w:r>
            <w:r w:rsidRPr="00C22C26">
              <w:rPr>
                <w:rFonts w:cs="Calibri"/>
                <w:sz w:val="18"/>
                <w:szCs w:val="20"/>
              </w:rPr>
              <w:br/>
              <w:t>pomiaru</w:t>
            </w:r>
          </w:p>
        </w:tc>
      </w:tr>
      <w:tr w:rsidR="009D215A" w:rsidRPr="00436D27" w14:paraId="036676AD" w14:textId="77777777" w:rsidTr="00C22C26">
        <w:tc>
          <w:tcPr>
            <w:tcW w:w="540" w:type="dxa"/>
            <w:hideMark/>
          </w:tcPr>
          <w:p w14:paraId="07B663BF" w14:textId="77777777" w:rsidR="009D215A" w:rsidRPr="00404DA5" w:rsidRDefault="009D215A" w:rsidP="00EE58A9">
            <w:pPr>
              <w:rPr>
                <w:rFonts w:cs="Calibri"/>
                <w:sz w:val="16"/>
                <w:szCs w:val="20"/>
              </w:rPr>
            </w:pPr>
            <w:r w:rsidRPr="00404DA5">
              <w:rPr>
                <w:rFonts w:cs="Calibri"/>
                <w:sz w:val="16"/>
                <w:szCs w:val="20"/>
              </w:rPr>
              <w:t>R.14</w:t>
            </w:r>
          </w:p>
        </w:tc>
        <w:tc>
          <w:tcPr>
            <w:tcW w:w="1540" w:type="dxa"/>
            <w:hideMark/>
          </w:tcPr>
          <w:p w14:paraId="7B1D44C4" w14:textId="77777777" w:rsidR="009D215A" w:rsidRPr="00404DA5" w:rsidRDefault="009D215A" w:rsidP="00EE58A9">
            <w:pPr>
              <w:rPr>
                <w:rFonts w:cs="Calibri"/>
                <w:sz w:val="16"/>
                <w:szCs w:val="20"/>
              </w:rPr>
            </w:pPr>
            <w:r w:rsidRPr="00404DA5">
              <w:rPr>
                <w:rFonts w:cs="Calibri"/>
                <w:sz w:val="16"/>
                <w:szCs w:val="20"/>
              </w:rPr>
              <w:t>Udział odpadów</w:t>
            </w:r>
            <w:r w:rsidRPr="00404DA5">
              <w:rPr>
                <w:rFonts w:cs="Calibri"/>
                <w:sz w:val="16"/>
                <w:szCs w:val="20"/>
              </w:rPr>
              <w:br/>
              <w:t>komunalnych</w:t>
            </w:r>
            <w:r w:rsidRPr="00404DA5">
              <w:rPr>
                <w:rFonts w:cs="Calibri"/>
                <w:sz w:val="16"/>
                <w:szCs w:val="20"/>
              </w:rPr>
              <w:br/>
              <w:t>niepodlegających</w:t>
            </w:r>
            <w:r w:rsidRPr="00404DA5">
              <w:rPr>
                <w:rFonts w:cs="Calibri"/>
                <w:sz w:val="16"/>
                <w:szCs w:val="20"/>
              </w:rPr>
              <w:br/>
              <w:t>składowaniu</w:t>
            </w:r>
            <w:r w:rsidR="00E66B89">
              <w:rPr>
                <w:rFonts w:cs="Calibri"/>
                <w:sz w:val="16"/>
                <w:szCs w:val="20"/>
              </w:rPr>
              <w:t xml:space="preserve"> w </w:t>
            </w:r>
            <w:r w:rsidRPr="00404DA5">
              <w:rPr>
                <w:rFonts w:cs="Calibri"/>
                <w:sz w:val="16"/>
                <w:szCs w:val="20"/>
              </w:rPr>
              <w:t>ogólnej</w:t>
            </w:r>
            <w:r w:rsidRPr="00404DA5">
              <w:rPr>
                <w:rFonts w:cs="Calibri"/>
                <w:sz w:val="16"/>
                <w:szCs w:val="20"/>
              </w:rPr>
              <w:br/>
              <w:t>masie odpadów</w:t>
            </w:r>
            <w:r w:rsidRPr="00404DA5">
              <w:rPr>
                <w:rFonts w:cs="Calibri"/>
                <w:sz w:val="16"/>
                <w:szCs w:val="20"/>
              </w:rPr>
              <w:br/>
              <w:t>komunalnych</w:t>
            </w:r>
            <w:r w:rsidRPr="00404DA5">
              <w:rPr>
                <w:rFonts w:cs="Calibri"/>
                <w:sz w:val="16"/>
                <w:szCs w:val="20"/>
              </w:rPr>
              <w:br/>
              <w:t>wytworzonych</w:t>
            </w:r>
          </w:p>
        </w:tc>
        <w:tc>
          <w:tcPr>
            <w:tcW w:w="1014" w:type="dxa"/>
            <w:hideMark/>
          </w:tcPr>
          <w:p w14:paraId="2CE3FDC1" w14:textId="77777777" w:rsidR="009D215A" w:rsidRPr="00404DA5" w:rsidRDefault="009D215A" w:rsidP="00EE58A9">
            <w:pPr>
              <w:rPr>
                <w:rFonts w:cs="Calibri"/>
                <w:sz w:val="16"/>
                <w:szCs w:val="20"/>
              </w:rPr>
            </w:pPr>
            <w:r w:rsidRPr="00404DA5">
              <w:rPr>
                <w:rFonts w:cs="Calibri"/>
                <w:sz w:val="16"/>
                <w:szCs w:val="20"/>
              </w:rPr>
              <w:t>%</w:t>
            </w:r>
          </w:p>
        </w:tc>
        <w:tc>
          <w:tcPr>
            <w:tcW w:w="1093" w:type="dxa"/>
            <w:hideMark/>
          </w:tcPr>
          <w:p w14:paraId="418A93FA" w14:textId="77777777" w:rsidR="009D215A" w:rsidRPr="00404DA5" w:rsidRDefault="009D215A" w:rsidP="00EE58A9">
            <w:pPr>
              <w:rPr>
                <w:rFonts w:cs="Calibri"/>
                <w:sz w:val="16"/>
                <w:szCs w:val="20"/>
              </w:rPr>
            </w:pPr>
            <w:r w:rsidRPr="00404DA5">
              <w:rPr>
                <w:rFonts w:cs="Calibri"/>
                <w:sz w:val="16"/>
                <w:szCs w:val="20"/>
              </w:rPr>
              <w:t>słabiej rozwinięty</w:t>
            </w:r>
          </w:p>
        </w:tc>
        <w:tc>
          <w:tcPr>
            <w:tcW w:w="888" w:type="dxa"/>
          </w:tcPr>
          <w:p w14:paraId="7C5BC6DE" w14:textId="77777777" w:rsidR="009D215A" w:rsidRPr="00404DA5" w:rsidRDefault="009D215A" w:rsidP="00EE58A9">
            <w:pPr>
              <w:rPr>
                <w:rFonts w:cs="Calibri"/>
                <w:sz w:val="16"/>
                <w:szCs w:val="20"/>
              </w:rPr>
            </w:pPr>
            <w:r w:rsidRPr="00404DA5">
              <w:rPr>
                <w:rFonts w:cs="Calibri"/>
                <w:sz w:val="16"/>
                <w:szCs w:val="20"/>
              </w:rPr>
              <w:t>19,8</w:t>
            </w:r>
          </w:p>
        </w:tc>
        <w:tc>
          <w:tcPr>
            <w:tcW w:w="910" w:type="dxa"/>
          </w:tcPr>
          <w:p w14:paraId="67E925D0" w14:textId="77777777" w:rsidR="009D215A" w:rsidRPr="00404DA5" w:rsidRDefault="009D215A" w:rsidP="00EE58A9">
            <w:pPr>
              <w:rPr>
                <w:rFonts w:cs="Calibri"/>
                <w:sz w:val="16"/>
                <w:szCs w:val="20"/>
              </w:rPr>
            </w:pPr>
            <w:r w:rsidRPr="00404DA5">
              <w:rPr>
                <w:rFonts w:cs="Calibri"/>
                <w:sz w:val="16"/>
                <w:szCs w:val="20"/>
              </w:rPr>
              <w:t>2012</w:t>
            </w:r>
          </w:p>
        </w:tc>
        <w:tc>
          <w:tcPr>
            <w:tcW w:w="976" w:type="dxa"/>
          </w:tcPr>
          <w:p w14:paraId="765C7D71" w14:textId="77777777" w:rsidR="009D215A" w:rsidRPr="00404DA5" w:rsidRDefault="009D215A" w:rsidP="00EE58A9">
            <w:pPr>
              <w:jc w:val="center"/>
              <w:rPr>
                <w:rFonts w:cs="Calibri"/>
                <w:sz w:val="16"/>
                <w:szCs w:val="20"/>
              </w:rPr>
            </w:pPr>
            <w:r w:rsidRPr="00404DA5">
              <w:rPr>
                <w:rFonts w:cs="Calibri"/>
                <w:sz w:val="16"/>
                <w:szCs w:val="20"/>
              </w:rPr>
              <w:t>60</w:t>
            </w:r>
          </w:p>
        </w:tc>
        <w:tc>
          <w:tcPr>
            <w:tcW w:w="786" w:type="dxa"/>
          </w:tcPr>
          <w:p w14:paraId="554552EF" w14:textId="77777777" w:rsidR="009D215A" w:rsidRPr="00404DA5" w:rsidRDefault="009D215A" w:rsidP="00EE58A9">
            <w:pPr>
              <w:rPr>
                <w:rFonts w:cs="Calibri"/>
                <w:sz w:val="16"/>
                <w:szCs w:val="20"/>
              </w:rPr>
            </w:pPr>
            <w:r w:rsidRPr="00404DA5">
              <w:rPr>
                <w:rFonts w:cs="Calibri"/>
                <w:sz w:val="16"/>
                <w:szCs w:val="20"/>
              </w:rPr>
              <w:t>GUS</w:t>
            </w:r>
          </w:p>
        </w:tc>
        <w:tc>
          <w:tcPr>
            <w:tcW w:w="1315" w:type="dxa"/>
            <w:hideMark/>
          </w:tcPr>
          <w:p w14:paraId="5F8B7077" w14:textId="77777777" w:rsidR="009D215A" w:rsidRPr="00404DA5" w:rsidRDefault="009D215A" w:rsidP="00EE58A9">
            <w:pPr>
              <w:rPr>
                <w:rFonts w:cs="Calibri"/>
                <w:sz w:val="16"/>
                <w:szCs w:val="20"/>
              </w:rPr>
            </w:pPr>
            <w:r w:rsidRPr="00404DA5">
              <w:rPr>
                <w:rFonts w:cs="Calibri"/>
                <w:sz w:val="16"/>
                <w:szCs w:val="20"/>
              </w:rPr>
              <w:t>Raz</w:t>
            </w:r>
            <w:r w:rsidR="00E66B89">
              <w:rPr>
                <w:rFonts w:cs="Calibri"/>
                <w:sz w:val="16"/>
                <w:szCs w:val="20"/>
              </w:rPr>
              <w:t xml:space="preserve"> w </w:t>
            </w:r>
            <w:r w:rsidRPr="00404DA5">
              <w:rPr>
                <w:rFonts w:cs="Calibri"/>
                <w:sz w:val="16"/>
                <w:szCs w:val="20"/>
              </w:rPr>
              <w:t>roku</w:t>
            </w:r>
          </w:p>
        </w:tc>
      </w:tr>
      <w:tr w:rsidR="009D215A" w:rsidRPr="00436D27" w14:paraId="7AC2A3E4" w14:textId="77777777" w:rsidTr="00C22C26">
        <w:tc>
          <w:tcPr>
            <w:tcW w:w="540" w:type="dxa"/>
            <w:hideMark/>
          </w:tcPr>
          <w:p w14:paraId="0CE37E7A" w14:textId="77777777" w:rsidR="009D215A" w:rsidRPr="00404DA5" w:rsidRDefault="009D215A" w:rsidP="00EE58A9">
            <w:pPr>
              <w:rPr>
                <w:rFonts w:cs="Calibri"/>
                <w:sz w:val="16"/>
                <w:szCs w:val="20"/>
              </w:rPr>
            </w:pPr>
            <w:r w:rsidRPr="00404DA5">
              <w:rPr>
                <w:rFonts w:cs="Calibri"/>
                <w:sz w:val="16"/>
                <w:szCs w:val="20"/>
              </w:rPr>
              <w:t>R.15</w:t>
            </w:r>
          </w:p>
        </w:tc>
        <w:tc>
          <w:tcPr>
            <w:tcW w:w="1540" w:type="dxa"/>
            <w:hideMark/>
          </w:tcPr>
          <w:p w14:paraId="0E77C792" w14:textId="77777777" w:rsidR="009D215A" w:rsidRPr="00404DA5" w:rsidRDefault="009D215A" w:rsidP="00EE58A9">
            <w:pPr>
              <w:rPr>
                <w:rFonts w:cs="Calibri"/>
                <w:sz w:val="16"/>
                <w:szCs w:val="20"/>
              </w:rPr>
            </w:pPr>
            <w:r w:rsidRPr="00404DA5">
              <w:rPr>
                <w:rFonts w:cs="Calibri"/>
                <w:sz w:val="16"/>
                <w:szCs w:val="20"/>
              </w:rPr>
              <w:t>Odpady zebrane</w:t>
            </w:r>
            <w:r w:rsidRPr="00404DA5">
              <w:rPr>
                <w:rFonts w:cs="Calibri"/>
                <w:sz w:val="16"/>
                <w:szCs w:val="20"/>
              </w:rPr>
              <w:br/>
              <w:t>selektywnie</w:t>
            </w:r>
            <w:r w:rsidR="00E66B89">
              <w:rPr>
                <w:rFonts w:cs="Calibri"/>
                <w:sz w:val="16"/>
                <w:szCs w:val="20"/>
              </w:rPr>
              <w:t xml:space="preserve"> w </w:t>
            </w:r>
            <w:r w:rsidRPr="00404DA5">
              <w:rPr>
                <w:rFonts w:cs="Calibri"/>
                <w:sz w:val="16"/>
                <w:szCs w:val="20"/>
              </w:rPr>
              <w:t>relacji do</w:t>
            </w:r>
            <w:r w:rsidRPr="00404DA5">
              <w:rPr>
                <w:rFonts w:cs="Calibri"/>
                <w:sz w:val="16"/>
                <w:szCs w:val="20"/>
              </w:rPr>
              <w:br/>
              <w:t>ogółu odpadów</w:t>
            </w:r>
          </w:p>
        </w:tc>
        <w:tc>
          <w:tcPr>
            <w:tcW w:w="1014" w:type="dxa"/>
            <w:hideMark/>
          </w:tcPr>
          <w:p w14:paraId="242FD6D3" w14:textId="77777777" w:rsidR="009D215A" w:rsidRPr="00404DA5" w:rsidRDefault="009D215A" w:rsidP="00EE58A9">
            <w:pPr>
              <w:rPr>
                <w:rFonts w:cs="Calibri"/>
                <w:sz w:val="16"/>
                <w:szCs w:val="20"/>
              </w:rPr>
            </w:pPr>
            <w:r w:rsidRPr="00404DA5">
              <w:rPr>
                <w:rFonts w:cs="Calibri"/>
                <w:sz w:val="16"/>
                <w:szCs w:val="20"/>
              </w:rPr>
              <w:t>%</w:t>
            </w:r>
          </w:p>
        </w:tc>
        <w:tc>
          <w:tcPr>
            <w:tcW w:w="1093" w:type="dxa"/>
            <w:hideMark/>
          </w:tcPr>
          <w:p w14:paraId="5A512BA0" w14:textId="77777777" w:rsidR="009D215A" w:rsidRPr="00404DA5" w:rsidRDefault="009D215A" w:rsidP="00EE58A9">
            <w:pPr>
              <w:rPr>
                <w:rFonts w:cs="Calibri"/>
                <w:sz w:val="16"/>
                <w:szCs w:val="20"/>
              </w:rPr>
            </w:pPr>
            <w:r w:rsidRPr="00404DA5">
              <w:rPr>
                <w:rFonts w:cs="Calibri"/>
                <w:sz w:val="16"/>
                <w:szCs w:val="20"/>
              </w:rPr>
              <w:t>słabiej rozwinięty</w:t>
            </w:r>
          </w:p>
        </w:tc>
        <w:tc>
          <w:tcPr>
            <w:tcW w:w="888" w:type="dxa"/>
          </w:tcPr>
          <w:p w14:paraId="77038432" w14:textId="77777777" w:rsidR="009D215A" w:rsidRPr="00404DA5" w:rsidRDefault="009D215A" w:rsidP="00EE58A9">
            <w:pPr>
              <w:rPr>
                <w:rFonts w:cs="Calibri"/>
                <w:sz w:val="16"/>
                <w:szCs w:val="20"/>
              </w:rPr>
            </w:pPr>
            <w:r w:rsidRPr="00404DA5">
              <w:rPr>
                <w:rFonts w:cs="Calibri"/>
                <w:sz w:val="16"/>
                <w:szCs w:val="20"/>
              </w:rPr>
              <w:t>12,4</w:t>
            </w:r>
          </w:p>
        </w:tc>
        <w:tc>
          <w:tcPr>
            <w:tcW w:w="910" w:type="dxa"/>
          </w:tcPr>
          <w:p w14:paraId="5CF361A8" w14:textId="77777777" w:rsidR="009D215A" w:rsidRPr="00404DA5" w:rsidRDefault="009D215A" w:rsidP="00EE58A9">
            <w:pPr>
              <w:rPr>
                <w:rFonts w:cs="Calibri"/>
                <w:sz w:val="16"/>
                <w:szCs w:val="20"/>
              </w:rPr>
            </w:pPr>
            <w:r w:rsidRPr="00404DA5">
              <w:rPr>
                <w:rFonts w:cs="Calibri"/>
                <w:sz w:val="16"/>
                <w:szCs w:val="20"/>
              </w:rPr>
              <w:t>2013</w:t>
            </w:r>
          </w:p>
        </w:tc>
        <w:tc>
          <w:tcPr>
            <w:tcW w:w="976" w:type="dxa"/>
          </w:tcPr>
          <w:p w14:paraId="7FF64EA8" w14:textId="77777777" w:rsidR="009D215A" w:rsidRPr="00404DA5" w:rsidRDefault="009D215A" w:rsidP="00EE58A9">
            <w:pPr>
              <w:jc w:val="center"/>
              <w:rPr>
                <w:rFonts w:cs="Calibri"/>
                <w:sz w:val="16"/>
                <w:szCs w:val="20"/>
              </w:rPr>
            </w:pPr>
            <w:r w:rsidRPr="00404DA5">
              <w:rPr>
                <w:rFonts w:cs="Calibri"/>
                <w:sz w:val="16"/>
                <w:szCs w:val="20"/>
              </w:rPr>
              <w:t>21,8</w:t>
            </w:r>
          </w:p>
        </w:tc>
        <w:tc>
          <w:tcPr>
            <w:tcW w:w="786" w:type="dxa"/>
          </w:tcPr>
          <w:p w14:paraId="27348110" w14:textId="77777777" w:rsidR="009D215A" w:rsidRPr="00404DA5" w:rsidRDefault="009D215A" w:rsidP="00EE58A9">
            <w:pPr>
              <w:rPr>
                <w:rFonts w:cs="Calibri"/>
                <w:sz w:val="16"/>
                <w:szCs w:val="20"/>
              </w:rPr>
            </w:pPr>
            <w:r w:rsidRPr="00404DA5">
              <w:rPr>
                <w:rFonts w:cs="Calibri"/>
                <w:sz w:val="16"/>
                <w:szCs w:val="20"/>
              </w:rPr>
              <w:t>GUS</w:t>
            </w:r>
          </w:p>
        </w:tc>
        <w:tc>
          <w:tcPr>
            <w:tcW w:w="1315" w:type="dxa"/>
            <w:hideMark/>
          </w:tcPr>
          <w:p w14:paraId="24480A5F" w14:textId="77777777" w:rsidR="009D215A" w:rsidRPr="00404DA5" w:rsidRDefault="009D215A" w:rsidP="00EE58A9">
            <w:pPr>
              <w:rPr>
                <w:rFonts w:cs="Calibri"/>
                <w:sz w:val="16"/>
                <w:szCs w:val="20"/>
              </w:rPr>
            </w:pPr>
            <w:r w:rsidRPr="00404DA5">
              <w:rPr>
                <w:rFonts w:cs="Calibri"/>
                <w:sz w:val="16"/>
                <w:szCs w:val="20"/>
              </w:rPr>
              <w:t>Raz</w:t>
            </w:r>
            <w:r w:rsidR="00E66B89">
              <w:rPr>
                <w:rFonts w:cs="Calibri"/>
                <w:sz w:val="16"/>
                <w:szCs w:val="20"/>
              </w:rPr>
              <w:t xml:space="preserve"> w </w:t>
            </w:r>
            <w:r w:rsidRPr="00404DA5">
              <w:rPr>
                <w:rFonts w:cs="Calibri"/>
                <w:sz w:val="16"/>
                <w:szCs w:val="20"/>
              </w:rPr>
              <w:t>roku</w:t>
            </w:r>
          </w:p>
        </w:tc>
      </w:tr>
    </w:tbl>
    <w:p w14:paraId="181669AD" w14:textId="77777777" w:rsidR="009D215A" w:rsidRPr="002A5FDF" w:rsidRDefault="009D215A" w:rsidP="005076BF">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w:t>
      </w:r>
    </w:p>
    <w:p w14:paraId="2EE0D177" w14:textId="77777777" w:rsidR="009D215A" w:rsidRPr="00436D27" w:rsidRDefault="009D215A" w:rsidP="009D215A">
      <w:pPr>
        <w:pStyle w:val="evaluTresc"/>
      </w:pPr>
      <w:r w:rsidRPr="00436D27">
        <w:t xml:space="preserve">Dla wskaźnika pn. </w:t>
      </w:r>
      <w:r w:rsidRPr="00436D27">
        <w:rPr>
          <w:i/>
        </w:rPr>
        <w:t>Udział odpadów komunalnych niepodlegających składowaniu</w:t>
      </w:r>
      <w:r w:rsidR="00E66B89">
        <w:rPr>
          <w:i/>
        </w:rPr>
        <w:t xml:space="preserve"> w </w:t>
      </w:r>
      <w:r w:rsidRPr="00436D27">
        <w:rPr>
          <w:i/>
        </w:rPr>
        <w:t>ogólnej masie odpadów komunalnych wytworzonych</w:t>
      </w:r>
      <w:r w:rsidRPr="00436D27">
        <w:t xml:space="preserve"> wartość docelowa na 2023 r. została określona na 60% (w roku bazowym 2012 było to 19,8%). Wartość ta została wskazana zgodnie ze zobowiązaniami wynikającymi</w:t>
      </w:r>
      <w:r w:rsidR="00E66B89">
        <w:t xml:space="preserve"> z </w:t>
      </w:r>
      <w:r w:rsidRPr="00436D27">
        <w:t>zapisów Umowy Partnerstwa.</w:t>
      </w:r>
      <w:r w:rsidR="00E66B89">
        <w:t xml:space="preserve"> W </w:t>
      </w:r>
      <w:r w:rsidRPr="00436D27">
        <w:t>roku 2013 wartość wskaźnika osiągnęła 49,6%,</w:t>
      </w:r>
      <w:r w:rsidR="00E66B89">
        <w:t xml:space="preserve"> w </w:t>
      </w:r>
      <w:r w:rsidRPr="00436D27">
        <w:t>2014 – 57,1%,</w:t>
      </w:r>
      <w:r w:rsidR="00E66B89">
        <w:t xml:space="preserve"> w </w:t>
      </w:r>
      <w:r w:rsidRPr="00436D27">
        <w:t>2015 – 48%,</w:t>
      </w:r>
      <w:r w:rsidR="00E66B89">
        <w:t xml:space="preserve"> w </w:t>
      </w:r>
      <w:r w:rsidRPr="00436D27">
        <w:t>2016 – 49,8%,</w:t>
      </w:r>
      <w:r w:rsidR="00E66B89">
        <w:t xml:space="preserve"> a w </w:t>
      </w:r>
      <w:r w:rsidRPr="00436D27">
        <w:t xml:space="preserve">2017 – 54,4%. </w:t>
      </w:r>
    </w:p>
    <w:p w14:paraId="01D07DE1" w14:textId="77777777" w:rsidR="009D215A" w:rsidRPr="00436D27" w:rsidRDefault="009D215A" w:rsidP="009D215A">
      <w:pPr>
        <w:pStyle w:val="evaluTresc"/>
        <w:rPr>
          <w:lang w:val="fr-BE"/>
        </w:rPr>
      </w:pPr>
      <w:r w:rsidRPr="00436D27">
        <w:t xml:space="preserve">Dla wskaźnika pn. </w:t>
      </w:r>
      <w:r w:rsidRPr="00436D27">
        <w:rPr>
          <w:i/>
        </w:rPr>
        <w:t>Odpady zebrane selektywnie</w:t>
      </w:r>
      <w:r w:rsidR="00E66B89">
        <w:rPr>
          <w:i/>
        </w:rPr>
        <w:t xml:space="preserve"> w </w:t>
      </w:r>
      <w:r w:rsidRPr="00436D27">
        <w:rPr>
          <w:i/>
        </w:rPr>
        <w:t>relacji do ogółu odpadów</w:t>
      </w:r>
      <w:r w:rsidRPr="00436D27">
        <w:t xml:space="preserve"> wartość docelowa na 2023 r. została określona na 21,8% (w roku bazowym 2013 było to 12,4%). Wartość ta została oszacowana na podstawie trendu liniowego</w:t>
      </w:r>
      <w:r w:rsidR="00E66B89">
        <w:t xml:space="preserve"> w </w:t>
      </w:r>
      <w:r w:rsidRPr="00436D27">
        <w:t>oparciu</w:t>
      </w:r>
      <w:r w:rsidR="00E66B89">
        <w:t xml:space="preserve"> o </w:t>
      </w:r>
      <w:r w:rsidRPr="00436D27">
        <w:t>archiwalne dane ze statystyki publicznej. Poniżej przedstawiono założenia do prognozowania wartości wskaźnika</w:t>
      </w:r>
      <w:r w:rsidR="00E66B89">
        <w:t xml:space="preserve"> w </w:t>
      </w:r>
      <w:r w:rsidRPr="00436D27">
        <w:t>czasie oraz osiągnięte wartości zgodnie</w:t>
      </w:r>
      <w:r w:rsidR="00E66B89">
        <w:t xml:space="preserve"> z </w:t>
      </w:r>
      <w:r w:rsidRPr="00436D27">
        <w:t>aktualnymi danymi sprawozdawczymi.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637"/>
        <w:gridCol w:w="5075"/>
      </w:tblGrid>
      <w:tr w:rsidR="009D215A" w:rsidRPr="00436D27" w14:paraId="59EE65FC" w14:textId="77777777" w:rsidTr="00EE58A9">
        <w:trPr>
          <w:trHeight w:val="64"/>
          <w:tblHeader/>
          <w:jc w:val="center"/>
        </w:trPr>
        <w:tc>
          <w:tcPr>
            <w:tcW w:w="0" w:type="auto"/>
            <w:shd w:val="clear" w:color="auto" w:fill="DBE5F1"/>
            <w:hideMark/>
          </w:tcPr>
          <w:p w14:paraId="3679C455" w14:textId="77777777" w:rsidR="009D215A" w:rsidRPr="00404DA5" w:rsidRDefault="009D215A" w:rsidP="00EE58A9">
            <w:pPr>
              <w:rPr>
                <w:rFonts w:cs="Calibri"/>
                <w:sz w:val="16"/>
                <w:szCs w:val="20"/>
              </w:rPr>
            </w:pPr>
            <w:r w:rsidRPr="00404DA5">
              <w:rPr>
                <w:rFonts w:cs="Calibri"/>
                <w:sz w:val="16"/>
                <w:szCs w:val="20"/>
              </w:rPr>
              <w:lastRenderedPageBreak/>
              <w:t>Rok</w:t>
            </w:r>
          </w:p>
        </w:tc>
        <w:tc>
          <w:tcPr>
            <w:tcW w:w="0" w:type="auto"/>
            <w:shd w:val="clear" w:color="auto" w:fill="DBE5F1"/>
            <w:hideMark/>
          </w:tcPr>
          <w:p w14:paraId="786DAF12" w14:textId="77777777" w:rsidR="009D215A" w:rsidRPr="00404DA5" w:rsidRDefault="009D215A" w:rsidP="00EE58A9">
            <w:pPr>
              <w:rPr>
                <w:rFonts w:cs="Calibri"/>
                <w:sz w:val="16"/>
                <w:szCs w:val="20"/>
              </w:rPr>
            </w:pPr>
            <w:r w:rsidRPr="00404DA5">
              <w:rPr>
                <w:rFonts w:cs="Calibri"/>
                <w:sz w:val="16"/>
                <w:szCs w:val="20"/>
              </w:rPr>
              <w:t>Przewidywane wartości wskaźnika</w:t>
            </w:r>
          </w:p>
        </w:tc>
        <w:tc>
          <w:tcPr>
            <w:tcW w:w="0" w:type="auto"/>
            <w:shd w:val="clear" w:color="auto" w:fill="DBE5F1"/>
          </w:tcPr>
          <w:p w14:paraId="22E22D3E" w14:textId="77777777" w:rsidR="009D215A" w:rsidRPr="00404DA5" w:rsidRDefault="009D215A" w:rsidP="00EE58A9">
            <w:pPr>
              <w:rPr>
                <w:rFonts w:cs="Calibri"/>
                <w:sz w:val="16"/>
                <w:szCs w:val="20"/>
              </w:rPr>
            </w:pPr>
            <w:r w:rsidRPr="00404DA5">
              <w:rPr>
                <w:rFonts w:cs="Calibri"/>
                <w:sz w:val="16"/>
                <w:szCs w:val="20"/>
              </w:rPr>
              <w:t>Osiągnięte wartości (zgodnie</w:t>
            </w:r>
            <w:r w:rsidR="00E66B89">
              <w:rPr>
                <w:rFonts w:cs="Calibri"/>
                <w:sz w:val="16"/>
                <w:szCs w:val="20"/>
              </w:rPr>
              <w:t xml:space="preserve"> z </w:t>
            </w:r>
            <w:r w:rsidRPr="00404DA5">
              <w:rPr>
                <w:rFonts w:cs="Calibri"/>
                <w:sz w:val="16"/>
                <w:szCs w:val="20"/>
              </w:rPr>
              <w:t>aktualnymi danymi sprawozdawczymi)</w:t>
            </w:r>
          </w:p>
        </w:tc>
      </w:tr>
      <w:tr w:rsidR="009D215A" w:rsidRPr="00436D27" w14:paraId="7E92977E" w14:textId="77777777" w:rsidTr="00EE58A9">
        <w:trPr>
          <w:trHeight w:val="64"/>
          <w:jc w:val="center"/>
        </w:trPr>
        <w:tc>
          <w:tcPr>
            <w:tcW w:w="0" w:type="auto"/>
            <w:shd w:val="clear" w:color="auto" w:fill="auto"/>
            <w:hideMark/>
          </w:tcPr>
          <w:p w14:paraId="29CB52CF" w14:textId="77777777" w:rsidR="009D215A" w:rsidRPr="00404DA5" w:rsidRDefault="009D215A" w:rsidP="00EE58A9">
            <w:pPr>
              <w:rPr>
                <w:rFonts w:cs="Calibri"/>
                <w:sz w:val="16"/>
                <w:szCs w:val="20"/>
              </w:rPr>
            </w:pPr>
            <w:r w:rsidRPr="00404DA5">
              <w:rPr>
                <w:rFonts w:cs="Calibri"/>
                <w:sz w:val="16"/>
                <w:szCs w:val="20"/>
              </w:rPr>
              <w:t>2014</w:t>
            </w:r>
          </w:p>
        </w:tc>
        <w:tc>
          <w:tcPr>
            <w:tcW w:w="0" w:type="auto"/>
            <w:shd w:val="clear" w:color="auto" w:fill="auto"/>
            <w:hideMark/>
          </w:tcPr>
          <w:p w14:paraId="78349601" w14:textId="77777777" w:rsidR="009D215A" w:rsidRPr="00404DA5" w:rsidRDefault="009D215A" w:rsidP="00EE58A9">
            <w:pPr>
              <w:rPr>
                <w:rFonts w:cs="Calibri"/>
                <w:sz w:val="16"/>
                <w:szCs w:val="20"/>
              </w:rPr>
            </w:pPr>
            <w:r w:rsidRPr="00404DA5">
              <w:rPr>
                <w:rFonts w:cs="Calibri"/>
                <w:sz w:val="16"/>
                <w:szCs w:val="20"/>
              </w:rPr>
              <w:t>12,5</w:t>
            </w:r>
          </w:p>
        </w:tc>
        <w:tc>
          <w:tcPr>
            <w:tcW w:w="0" w:type="auto"/>
            <w:shd w:val="clear" w:color="auto" w:fill="auto"/>
          </w:tcPr>
          <w:p w14:paraId="146B9728" w14:textId="77777777" w:rsidR="009D215A" w:rsidRPr="00404DA5" w:rsidRDefault="009D215A" w:rsidP="00EE58A9">
            <w:pPr>
              <w:rPr>
                <w:rFonts w:cs="Calibri"/>
                <w:sz w:val="16"/>
                <w:szCs w:val="20"/>
              </w:rPr>
            </w:pPr>
            <w:r w:rsidRPr="00404DA5">
              <w:rPr>
                <w:rFonts w:cs="Calibri"/>
                <w:sz w:val="16"/>
                <w:szCs w:val="20"/>
              </w:rPr>
              <w:t>17,7</w:t>
            </w:r>
          </w:p>
        </w:tc>
      </w:tr>
      <w:tr w:rsidR="009D215A" w:rsidRPr="00436D27" w14:paraId="3A77D6EC" w14:textId="77777777" w:rsidTr="00EE58A9">
        <w:trPr>
          <w:trHeight w:val="64"/>
          <w:jc w:val="center"/>
        </w:trPr>
        <w:tc>
          <w:tcPr>
            <w:tcW w:w="0" w:type="auto"/>
            <w:shd w:val="clear" w:color="auto" w:fill="auto"/>
            <w:hideMark/>
          </w:tcPr>
          <w:p w14:paraId="58CAC54B" w14:textId="77777777" w:rsidR="009D215A" w:rsidRPr="00404DA5" w:rsidRDefault="009D215A" w:rsidP="00EE58A9">
            <w:pPr>
              <w:rPr>
                <w:rFonts w:cs="Calibri"/>
                <w:sz w:val="16"/>
                <w:szCs w:val="20"/>
              </w:rPr>
            </w:pPr>
            <w:r w:rsidRPr="00404DA5">
              <w:rPr>
                <w:rFonts w:cs="Calibri"/>
                <w:sz w:val="16"/>
                <w:szCs w:val="20"/>
              </w:rPr>
              <w:t>2015</w:t>
            </w:r>
          </w:p>
        </w:tc>
        <w:tc>
          <w:tcPr>
            <w:tcW w:w="0" w:type="auto"/>
            <w:shd w:val="clear" w:color="auto" w:fill="auto"/>
            <w:hideMark/>
          </w:tcPr>
          <w:p w14:paraId="75FFA649" w14:textId="77777777" w:rsidR="009D215A" w:rsidRPr="00404DA5" w:rsidRDefault="009D215A" w:rsidP="00EE58A9">
            <w:pPr>
              <w:rPr>
                <w:rFonts w:cs="Calibri"/>
                <w:sz w:val="16"/>
                <w:szCs w:val="20"/>
              </w:rPr>
            </w:pPr>
            <w:r w:rsidRPr="00404DA5">
              <w:rPr>
                <w:rFonts w:cs="Calibri"/>
                <w:sz w:val="16"/>
                <w:szCs w:val="20"/>
              </w:rPr>
              <w:t>13,5</w:t>
            </w:r>
          </w:p>
        </w:tc>
        <w:tc>
          <w:tcPr>
            <w:tcW w:w="0" w:type="auto"/>
            <w:shd w:val="clear" w:color="auto" w:fill="auto"/>
          </w:tcPr>
          <w:p w14:paraId="6B9B28C4" w14:textId="77777777" w:rsidR="009D215A" w:rsidRPr="00404DA5" w:rsidRDefault="009D215A" w:rsidP="00EE58A9">
            <w:pPr>
              <w:rPr>
                <w:rFonts w:cs="Calibri"/>
                <w:sz w:val="16"/>
                <w:szCs w:val="20"/>
              </w:rPr>
            </w:pPr>
            <w:r w:rsidRPr="00404DA5">
              <w:rPr>
                <w:rFonts w:cs="Calibri"/>
                <w:sz w:val="16"/>
                <w:szCs w:val="20"/>
              </w:rPr>
              <w:t>19,9</w:t>
            </w:r>
          </w:p>
        </w:tc>
      </w:tr>
      <w:tr w:rsidR="009D215A" w:rsidRPr="00436D27" w14:paraId="4C664DA1" w14:textId="77777777" w:rsidTr="00EE58A9">
        <w:trPr>
          <w:trHeight w:val="64"/>
          <w:jc w:val="center"/>
        </w:trPr>
        <w:tc>
          <w:tcPr>
            <w:tcW w:w="0" w:type="auto"/>
            <w:shd w:val="clear" w:color="auto" w:fill="auto"/>
            <w:hideMark/>
          </w:tcPr>
          <w:p w14:paraId="227CEEFB" w14:textId="77777777" w:rsidR="009D215A" w:rsidRPr="00404DA5" w:rsidRDefault="009D215A" w:rsidP="00EE58A9">
            <w:pPr>
              <w:rPr>
                <w:rFonts w:cs="Calibri"/>
                <w:sz w:val="16"/>
                <w:szCs w:val="20"/>
              </w:rPr>
            </w:pPr>
            <w:r w:rsidRPr="00404DA5">
              <w:rPr>
                <w:rFonts w:cs="Calibri"/>
                <w:sz w:val="16"/>
                <w:szCs w:val="20"/>
              </w:rPr>
              <w:t>2016</w:t>
            </w:r>
          </w:p>
        </w:tc>
        <w:tc>
          <w:tcPr>
            <w:tcW w:w="0" w:type="auto"/>
            <w:shd w:val="clear" w:color="auto" w:fill="auto"/>
            <w:hideMark/>
          </w:tcPr>
          <w:p w14:paraId="2DE8E575" w14:textId="77777777" w:rsidR="009D215A" w:rsidRPr="00404DA5" w:rsidRDefault="009D215A" w:rsidP="00EE58A9">
            <w:pPr>
              <w:rPr>
                <w:rFonts w:cs="Calibri"/>
                <w:sz w:val="16"/>
                <w:szCs w:val="20"/>
              </w:rPr>
            </w:pPr>
            <w:r w:rsidRPr="00404DA5">
              <w:rPr>
                <w:rFonts w:cs="Calibri"/>
                <w:sz w:val="16"/>
                <w:szCs w:val="20"/>
              </w:rPr>
              <w:t>14,5</w:t>
            </w:r>
          </w:p>
        </w:tc>
        <w:tc>
          <w:tcPr>
            <w:tcW w:w="0" w:type="auto"/>
            <w:shd w:val="clear" w:color="auto" w:fill="auto"/>
          </w:tcPr>
          <w:p w14:paraId="5AB77DEA" w14:textId="77777777" w:rsidR="009D215A" w:rsidRPr="00404DA5" w:rsidRDefault="009D215A" w:rsidP="00EE58A9">
            <w:pPr>
              <w:rPr>
                <w:rFonts w:cs="Calibri"/>
                <w:sz w:val="16"/>
                <w:szCs w:val="20"/>
              </w:rPr>
            </w:pPr>
            <w:r w:rsidRPr="00404DA5">
              <w:rPr>
                <w:rFonts w:cs="Calibri"/>
                <w:sz w:val="16"/>
                <w:szCs w:val="20"/>
              </w:rPr>
              <w:t>19,8</w:t>
            </w:r>
          </w:p>
        </w:tc>
      </w:tr>
      <w:tr w:rsidR="009D215A" w:rsidRPr="00436D27" w14:paraId="45153E3B" w14:textId="77777777" w:rsidTr="00EE58A9">
        <w:trPr>
          <w:trHeight w:val="64"/>
          <w:jc w:val="center"/>
        </w:trPr>
        <w:tc>
          <w:tcPr>
            <w:tcW w:w="0" w:type="auto"/>
            <w:shd w:val="clear" w:color="auto" w:fill="auto"/>
            <w:hideMark/>
          </w:tcPr>
          <w:p w14:paraId="0BBCE83E" w14:textId="77777777" w:rsidR="009D215A" w:rsidRPr="00404DA5" w:rsidRDefault="009D215A" w:rsidP="00EE58A9">
            <w:pPr>
              <w:rPr>
                <w:rFonts w:cs="Calibri"/>
                <w:sz w:val="16"/>
                <w:szCs w:val="20"/>
              </w:rPr>
            </w:pPr>
            <w:r w:rsidRPr="00404DA5">
              <w:rPr>
                <w:rFonts w:cs="Calibri"/>
                <w:sz w:val="16"/>
                <w:szCs w:val="20"/>
              </w:rPr>
              <w:t>2017</w:t>
            </w:r>
          </w:p>
        </w:tc>
        <w:tc>
          <w:tcPr>
            <w:tcW w:w="0" w:type="auto"/>
            <w:shd w:val="clear" w:color="auto" w:fill="auto"/>
            <w:hideMark/>
          </w:tcPr>
          <w:p w14:paraId="69264253" w14:textId="77777777" w:rsidR="009D215A" w:rsidRPr="00404DA5" w:rsidRDefault="009D215A" w:rsidP="00EE58A9">
            <w:pPr>
              <w:rPr>
                <w:rFonts w:cs="Calibri"/>
                <w:sz w:val="16"/>
                <w:szCs w:val="20"/>
              </w:rPr>
            </w:pPr>
            <w:r w:rsidRPr="00404DA5">
              <w:rPr>
                <w:rFonts w:cs="Calibri"/>
                <w:sz w:val="16"/>
                <w:szCs w:val="20"/>
              </w:rPr>
              <w:t>15,6</w:t>
            </w:r>
          </w:p>
        </w:tc>
        <w:tc>
          <w:tcPr>
            <w:tcW w:w="0" w:type="auto"/>
            <w:shd w:val="clear" w:color="auto" w:fill="auto"/>
          </w:tcPr>
          <w:p w14:paraId="7BCB6601" w14:textId="77777777" w:rsidR="009D215A" w:rsidRPr="00404DA5" w:rsidRDefault="009D215A" w:rsidP="00EE58A9">
            <w:pPr>
              <w:rPr>
                <w:rFonts w:cs="Calibri"/>
                <w:sz w:val="16"/>
                <w:szCs w:val="20"/>
              </w:rPr>
            </w:pPr>
            <w:r w:rsidRPr="00404DA5">
              <w:rPr>
                <w:rFonts w:cs="Calibri"/>
                <w:sz w:val="16"/>
                <w:szCs w:val="20"/>
              </w:rPr>
              <w:t>22,8</w:t>
            </w:r>
          </w:p>
        </w:tc>
      </w:tr>
      <w:tr w:rsidR="009D215A" w:rsidRPr="00436D27" w14:paraId="587716AD" w14:textId="77777777" w:rsidTr="00EE58A9">
        <w:trPr>
          <w:trHeight w:val="64"/>
          <w:jc w:val="center"/>
        </w:trPr>
        <w:tc>
          <w:tcPr>
            <w:tcW w:w="0" w:type="auto"/>
            <w:shd w:val="clear" w:color="auto" w:fill="auto"/>
            <w:hideMark/>
          </w:tcPr>
          <w:p w14:paraId="5B013FAA" w14:textId="77777777" w:rsidR="009D215A" w:rsidRPr="00404DA5" w:rsidRDefault="009D215A" w:rsidP="00EE58A9">
            <w:pPr>
              <w:rPr>
                <w:rFonts w:cs="Calibri"/>
                <w:sz w:val="16"/>
                <w:szCs w:val="20"/>
              </w:rPr>
            </w:pPr>
            <w:r w:rsidRPr="00404DA5">
              <w:rPr>
                <w:rFonts w:cs="Calibri"/>
                <w:sz w:val="16"/>
                <w:szCs w:val="20"/>
              </w:rPr>
              <w:t>2018</w:t>
            </w:r>
          </w:p>
        </w:tc>
        <w:tc>
          <w:tcPr>
            <w:tcW w:w="0" w:type="auto"/>
            <w:shd w:val="clear" w:color="auto" w:fill="auto"/>
            <w:hideMark/>
          </w:tcPr>
          <w:p w14:paraId="59F43B9E" w14:textId="77777777" w:rsidR="009D215A" w:rsidRPr="00404DA5" w:rsidRDefault="009D215A" w:rsidP="00EE58A9">
            <w:pPr>
              <w:rPr>
                <w:rFonts w:cs="Calibri"/>
                <w:sz w:val="16"/>
                <w:szCs w:val="20"/>
              </w:rPr>
            </w:pPr>
            <w:r w:rsidRPr="00404DA5">
              <w:rPr>
                <w:rFonts w:cs="Calibri"/>
                <w:sz w:val="16"/>
                <w:szCs w:val="20"/>
              </w:rPr>
              <w:t>16,6</w:t>
            </w:r>
          </w:p>
        </w:tc>
        <w:tc>
          <w:tcPr>
            <w:tcW w:w="0" w:type="auto"/>
            <w:shd w:val="clear" w:color="auto" w:fill="auto"/>
          </w:tcPr>
          <w:p w14:paraId="099FF498" w14:textId="77777777" w:rsidR="009D215A" w:rsidRPr="00404DA5" w:rsidRDefault="009D215A" w:rsidP="00EE58A9">
            <w:pPr>
              <w:rPr>
                <w:rFonts w:cs="Calibri"/>
                <w:sz w:val="16"/>
                <w:szCs w:val="20"/>
              </w:rPr>
            </w:pPr>
            <w:r w:rsidRPr="00404DA5">
              <w:rPr>
                <w:rFonts w:cs="Calibri"/>
                <w:sz w:val="16"/>
                <w:szCs w:val="20"/>
              </w:rPr>
              <w:t>-</w:t>
            </w:r>
          </w:p>
        </w:tc>
      </w:tr>
      <w:tr w:rsidR="009D215A" w:rsidRPr="00436D27" w14:paraId="60F9B746" w14:textId="77777777" w:rsidTr="00EE58A9">
        <w:trPr>
          <w:trHeight w:val="64"/>
          <w:jc w:val="center"/>
        </w:trPr>
        <w:tc>
          <w:tcPr>
            <w:tcW w:w="0" w:type="auto"/>
            <w:shd w:val="clear" w:color="auto" w:fill="auto"/>
            <w:hideMark/>
          </w:tcPr>
          <w:p w14:paraId="6BADD22C" w14:textId="77777777" w:rsidR="009D215A" w:rsidRPr="00404DA5" w:rsidRDefault="009D215A" w:rsidP="00EE58A9">
            <w:pPr>
              <w:rPr>
                <w:rFonts w:cs="Calibri"/>
                <w:sz w:val="16"/>
                <w:szCs w:val="20"/>
              </w:rPr>
            </w:pPr>
            <w:r w:rsidRPr="00404DA5">
              <w:rPr>
                <w:rFonts w:cs="Calibri"/>
                <w:sz w:val="16"/>
                <w:szCs w:val="20"/>
              </w:rPr>
              <w:t>2019</w:t>
            </w:r>
          </w:p>
        </w:tc>
        <w:tc>
          <w:tcPr>
            <w:tcW w:w="0" w:type="auto"/>
            <w:shd w:val="clear" w:color="auto" w:fill="auto"/>
            <w:hideMark/>
          </w:tcPr>
          <w:p w14:paraId="0664CE56" w14:textId="77777777" w:rsidR="009D215A" w:rsidRPr="00404DA5" w:rsidRDefault="009D215A" w:rsidP="00EE58A9">
            <w:pPr>
              <w:rPr>
                <w:rFonts w:cs="Calibri"/>
                <w:sz w:val="16"/>
                <w:szCs w:val="20"/>
              </w:rPr>
            </w:pPr>
            <w:r w:rsidRPr="00404DA5">
              <w:rPr>
                <w:rFonts w:cs="Calibri"/>
                <w:sz w:val="16"/>
                <w:szCs w:val="20"/>
              </w:rPr>
              <w:t>17,6</w:t>
            </w:r>
          </w:p>
        </w:tc>
        <w:tc>
          <w:tcPr>
            <w:tcW w:w="0" w:type="auto"/>
            <w:shd w:val="clear" w:color="auto" w:fill="auto"/>
          </w:tcPr>
          <w:p w14:paraId="644C5F87" w14:textId="77777777" w:rsidR="009D215A" w:rsidRPr="00404DA5" w:rsidRDefault="009D215A" w:rsidP="00EE58A9">
            <w:pPr>
              <w:rPr>
                <w:rFonts w:cs="Calibri"/>
                <w:sz w:val="16"/>
                <w:szCs w:val="20"/>
              </w:rPr>
            </w:pPr>
            <w:r w:rsidRPr="00404DA5">
              <w:rPr>
                <w:rFonts w:cs="Calibri"/>
                <w:sz w:val="16"/>
                <w:szCs w:val="20"/>
              </w:rPr>
              <w:t>-</w:t>
            </w:r>
          </w:p>
        </w:tc>
      </w:tr>
      <w:tr w:rsidR="009D215A" w:rsidRPr="00436D27" w14:paraId="2EB5BBE4" w14:textId="77777777" w:rsidTr="00EE58A9">
        <w:trPr>
          <w:trHeight w:val="64"/>
          <w:jc w:val="center"/>
        </w:trPr>
        <w:tc>
          <w:tcPr>
            <w:tcW w:w="0" w:type="auto"/>
            <w:shd w:val="clear" w:color="auto" w:fill="auto"/>
            <w:hideMark/>
          </w:tcPr>
          <w:p w14:paraId="66F8F495" w14:textId="77777777" w:rsidR="009D215A" w:rsidRPr="00404DA5" w:rsidRDefault="009D215A" w:rsidP="00EE58A9">
            <w:pPr>
              <w:rPr>
                <w:rFonts w:cs="Calibri"/>
                <w:sz w:val="16"/>
                <w:szCs w:val="20"/>
              </w:rPr>
            </w:pPr>
            <w:r w:rsidRPr="00404DA5">
              <w:rPr>
                <w:rFonts w:cs="Calibri"/>
                <w:sz w:val="16"/>
                <w:szCs w:val="20"/>
              </w:rPr>
              <w:t>2020</w:t>
            </w:r>
          </w:p>
        </w:tc>
        <w:tc>
          <w:tcPr>
            <w:tcW w:w="0" w:type="auto"/>
            <w:shd w:val="clear" w:color="auto" w:fill="auto"/>
            <w:hideMark/>
          </w:tcPr>
          <w:p w14:paraId="77CBF781" w14:textId="77777777" w:rsidR="009D215A" w:rsidRPr="00404DA5" w:rsidRDefault="009D215A" w:rsidP="00EE58A9">
            <w:pPr>
              <w:rPr>
                <w:rFonts w:cs="Calibri"/>
                <w:sz w:val="16"/>
                <w:szCs w:val="20"/>
              </w:rPr>
            </w:pPr>
            <w:r w:rsidRPr="00404DA5">
              <w:rPr>
                <w:rFonts w:cs="Calibri"/>
                <w:sz w:val="16"/>
                <w:szCs w:val="20"/>
              </w:rPr>
              <w:t>18,7</w:t>
            </w:r>
          </w:p>
        </w:tc>
        <w:tc>
          <w:tcPr>
            <w:tcW w:w="0" w:type="auto"/>
            <w:shd w:val="clear" w:color="auto" w:fill="auto"/>
          </w:tcPr>
          <w:p w14:paraId="66E307F9" w14:textId="77777777" w:rsidR="009D215A" w:rsidRPr="00404DA5" w:rsidRDefault="009D215A" w:rsidP="00EE58A9">
            <w:pPr>
              <w:rPr>
                <w:rFonts w:cs="Calibri"/>
                <w:sz w:val="16"/>
                <w:szCs w:val="20"/>
              </w:rPr>
            </w:pPr>
            <w:r w:rsidRPr="00404DA5">
              <w:rPr>
                <w:rFonts w:cs="Calibri"/>
                <w:sz w:val="16"/>
                <w:szCs w:val="20"/>
              </w:rPr>
              <w:t>-</w:t>
            </w:r>
          </w:p>
        </w:tc>
      </w:tr>
      <w:tr w:rsidR="009D215A" w:rsidRPr="00436D27" w14:paraId="1568EE38" w14:textId="77777777" w:rsidTr="00EE58A9">
        <w:trPr>
          <w:trHeight w:val="64"/>
          <w:jc w:val="center"/>
        </w:trPr>
        <w:tc>
          <w:tcPr>
            <w:tcW w:w="0" w:type="auto"/>
            <w:shd w:val="clear" w:color="auto" w:fill="auto"/>
            <w:hideMark/>
          </w:tcPr>
          <w:p w14:paraId="0CF5EAE7" w14:textId="77777777" w:rsidR="009D215A" w:rsidRPr="00404DA5" w:rsidRDefault="009D215A" w:rsidP="00EE58A9">
            <w:pPr>
              <w:rPr>
                <w:rFonts w:cs="Calibri"/>
                <w:sz w:val="16"/>
                <w:szCs w:val="20"/>
              </w:rPr>
            </w:pPr>
            <w:r w:rsidRPr="00404DA5">
              <w:rPr>
                <w:rFonts w:cs="Calibri"/>
                <w:sz w:val="16"/>
                <w:szCs w:val="20"/>
              </w:rPr>
              <w:t>2021</w:t>
            </w:r>
          </w:p>
        </w:tc>
        <w:tc>
          <w:tcPr>
            <w:tcW w:w="0" w:type="auto"/>
            <w:shd w:val="clear" w:color="auto" w:fill="auto"/>
            <w:hideMark/>
          </w:tcPr>
          <w:p w14:paraId="514167EC" w14:textId="77777777" w:rsidR="009D215A" w:rsidRPr="00404DA5" w:rsidRDefault="009D215A" w:rsidP="00EE58A9">
            <w:pPr>
              <w:rPr>
                <w:rFonts w:cs="Calibri"/>
                <w:sz w:val="16"/>
                <w:szCs w:val="20"/>
              </w:rPr>
            </w:pPr>
            <w:r w:rsidRPr="00404DA5">
              <w:rPr>
                <w:rFonts w:cs="Calibri"/>
                <w:sz w:val="16"/>
                <w:szCs w:val="20"/>
              </w:rPr>
              <w:t>19,7</w:t>
            </w:r>
          </w:p>
        </w:tc>
        <w:tc>
          <w:tcPr>
            <w:tcW w:w="0" w:type="auto"/>
            <w:shd w:val="clear" w:color="auto" w:fill="auto"/>
          </w:tcPr>
          <w:p w14:paraId="553CB7ED" w14:textId="77777777" w:rsidR="009D215A" w:rsidRPr="00404DA5" w:rsidRDefault="009D215A" w:rsidP="00EE58A9">
            <w:pPr>
              <w:rPr>
                <w:rFonts w:cs="Calibri"/>
                <w:sz w:val="16"/>
                <w:szCs w:val="20"/>
              </w:rPr>
            </w:pPr>
            <w:r w:rsidRPr="00404DA5">
              <w:rPr>
                <w:rFonts w:cs="Calibri"/>
                <w:sz w:val="16"/>
                <w:szCs w:val="20"/>
              </w:rPr>
              <w:t>-</w:t>
            </w:r>
          </w:p>
        </w:tc>
      </w:tr>
      <w:tr w:rsidR="009D215A" w:rsidRPr="00436D27" w14:paraId="3AA7C760" w14:textId="77777777" w:rsidTr="00EE58A9">
        <w:trPr>
          <w:trHeight w:val="64"/>
          <w:jc w:val="center"/>
        </w:trPr>
        <w:tc>
          <w:tcPr>
            <w:tcW w:w="0" w:type="auto"/>
            <w:shd w:val="clear" w:color="auto" w:fill="auto"/>
            <w:hideMark/>
          </w:tcPr>
          <w:p w14:paraId="75879C21" w14:textId="77777777" w:rsidR="009D215A" w:rsidRPr="00404DA5" w:rsidRDefault="009D215A" w:rsidP="00EE58A9">
            <w:pPr>
              <w:rPr>
                <w:rFonts w:cs="Calibri"/>
                <w:sz w:val="16"/>
                <w:szCs w:val="20"/>
              </w:rPr>
            </w:pPr>
            <w:r w:rsidRPr="00404DA5">
              <w:rPr>
                <w:rFonts w:cs="Calibri"/>
                <w:sz w:val="16"/>
                <w:szCs w:val="20"/>
              </w:rPr>
              <w:t>2022</w:t>
            </w:r>
          </w:p>
        </w:tc>
        <w:tc>
          <w:tcPr>
            <w:tcW w:w="0" w:type="auto"/>
            <w:shd w:val="clear" w:color="auto" w:fill="auto"/>
            <w:hideMark/>
          </w:tcPr>
          <w:p w14:paraId="6E7D8A42" w14:textId="77777777" w:rsidR="009D215A" w:rsidRPr="00404DA5" w:rsidRDefault="009D215A" w:rsidP="00EE58A9">
            <w:pPr>
              <w:rPr>
                <w:rFonts w:cs="Calibri"/>
                <w:sz w:val="16"/>
                <w:szCs w:val="20"/>
              </w:rPr>
            </w:pPr>
            <w:r w:rsidRPr="00404DA5">
              <w:rPr>
                <w:rFonts w:cs="Calibri"/>
                <w:sz w:val="16"/>
                <w:szCs w:val="20"/>
              </w:rPr>
              <w:t>20,8</w:t>
            </w:r>
          </w:p>
        </w:tc>
        <w:tc>
          <w:tcPr>
            <w:tcW w:w="0" w:type="auto"/>
            <w:shd w:val="clear" w:color="auto" w:fill="auto"/>
          </w:tcPr>
          <w:p w14:paraId="612DF1F2" w14:textId="77777777" w:rsidR="009D215A" w:rsidRPr="00404DA5" w:rsidRDefault="009D215A" w:rsidP="00EE58A9">
            <w:pPr>
              <w:rPr>
                <w:rFonts w:cs="Calibri"/>
                <w:sz w:val="16"/>
                <w:szCs w:val="20"/>
              </w:rPr>
            </w:pPr>
            <w:r w:rsidRPr="00404DA5">
              <w:rPr>
                <w:rFonts w:cs="Calibri"/>
                <w:sz w:val="16"/>
                <w:szCs w:val="20"/>
              </w:rPr>
              <w:t>-</w:t>
            </w:r>
          </w:p>
        </w:tc>
      </w:tr>
      <w:tr w:rsidR="009D215A" w:rsidRPr="00436D27" w14:paraId="2D8BBC39" w14:textId="77777777" w:rsidTr="00EE58A9">
        <w:trPr>
          <w:trHeight w:val="64"/>
          <w:jc w:val="center"/>
        </w:trPr>
        <w:tc>
          <w:tcPr>
            <w:tcW w:w="0" w:type="auto"/>
            <w:shd w:val="clear" w:color="auto" w:fill="auto"/>
            <w:hideMark/>
          </w:tcPr>
          <w:p w14:paraId="51988E62" w14:textId="77777777" w:rsidR="009D215A" w:rsidRPr="00404DA5" w:rsidRDefault="009D215A" w:rsidP="00EE58A9">
            <w:pPr>
              <w:rPr>
                <w:rFonts w:cs="Calibri"/>
                <w:sz w:val="16"/>
                <w:szCs w:val="20"/>
              </w:rPr>
            </w:pPr>
            <w:r w:rsidRPr="00404DA5">
              <w:rPr>
                <w:rFonts w:cs="Calibri"/>
                <w:sz w:val="16"/>
                <w:szCs w:val="20"/>
              </w:rPr>
              <w:t>2023</w:t>
            </w:r>
          </w:p>
        </w:tc>
        <w:tc>
          <w:tcPr>
            <w:tcW w:w="0" w:type="auto"/>
            <w:shd w:val="clear" w:color="auto" w:fill="auto"/>
            <w:hideMark/>
          </w:tcPr>
          <w:p w14:paraId="649B1DA4" w14:textId="77777777" w:rsidR="009D215A" w:rsidRPr="00404DA5" w:rsidRDefault="009D215A" w:rsidP="00EE58A9">
            <w:pPr>
              <w:rPr>
                <w:rFonts w:cs="Calibri"/>
                <w:sz w:val="16"/>
                <w:szCs w:val="20"/>
              </w:rPr>
            </w:pPr>
            <w:r w:rsidRPr="00404DA5">
              <w:rPr>
                <w:rFonts w:cs="Calibri"/>
                <w:sz w:val="16"/>
                <w:szCs w:val="20"/>
              </w:rPr>
              <w:t>21,8</w:t>
            </w:r>
          </w:p>
        </w:tc>
        <w:tc>
          <w:tcPr>
            <w:tcW w:w="0" w:type="auto"/>
            <w:shd w:val="clear" w:color="auto" w:fill="auto"/>
          </w:tcPr>
          <w:p w14:paraId="2DCD06D4" w14:textId="77777777" w:rsidR="009D215A" w:rsidRPr="00404DA5" w:rsidRDefault="009D215A" w:rsidP="00EE58A9">
            <w:pPr>
              <w:rPr>
                <w:rFonts w:cs="Calibri"/>
                <w:sz w:val="16"/>
                <w:szCs w:val="20"/>
              </w:rPr>
            </w:pPr>
            <w:r w:rsidRPr="00404DA5">
              <w:rPr>
                <w:rFonts w:cs="Calibri"/>
                <w:sz w:val="16"/>
                <w:szCs w:val="20"/>
              </w:rPr>
              <w:t>-</w:t>
            </w:r>
          </w:p>
        </w:tc>
      </w:tr>
    </w:tbl>
    <w:p w14:paraId="64C09BF0"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 xml:space="preserve">Ocena potencjału absorpcyjnego </w:t>
      </w:r>
    </w:p>
    <w:p w14:paraId="4C2B4018" w14:textId="77777777" w:rsidR="009D215A" w:rsidRPr="00436D27" w:rsidRDefault="009D215A" w:rsidP="009D215A">
      <w:pPr>
        <w:pStyle w:val="evaluTresc"/>
      </w:pPr>
      <w:r w:rsidRPr="00436D27">
        <w:t>Dostępna alokacja</w:t>
      </w:r>
      <w:r w:rsidR="00E66B89">
        <w:t xml:space="preserve"> w </w:t>
      </w:r>
      <w:r w:rsidRPr="00436D27">
        <w:t>PI 6a wraz</w:t>
      </w:r>
      <w:r w:rsidR="00E66B89">
        <w:t xml:space="preserve"> z </w:t>
      </w:r>
      <w:r>
        <w:t>rezerwą wykonania</w:t>
      </w:r>
      <w:r w:rsidRPr="00436D27">
        <w:t xml:space="preserve"> wynosi 34 422 400 zł (bez </w:t>
      </w:r>
      <w:r>
        <w:t>rezerwy -</w:t>
      </w:r>
      <w:r w:rsidRPr="00436D27">
        <w:t xml:space="preserve"> 25 841 850,90 zł). Zainteresowanie aplikowaniem</w:t>
      </w:r>
      <w:r w:rsidR="00E66B89">
        <w:t xml:space="preserve"> o </w:t>
      </w:r>
      <w:r w:rsidRPr="00436D27">
        <w:t>wsparcie nie było wysokie (złożono 6 WoD na kwotę dofinansowania UE: 24 249 743,32 zł). Zawarto 3 UoD na kwotę 9 552 224,17 zł. Stopień zakontraktowania alokacji</w:t>
      </w:r>
      <w:r w:rsidR="00E66B89">
        <w:t xml:space="preserve"> z </w:t>
      </w:r>
      <w:r w:rsidRPr="00436D27">
        <w:t>rezerwą wykonania wynosi 27,8% (wedle stanu</w:t>
      </w:r>
      <w:r w:rsidR="00E66B89">
        <w:t xml:space="preserve"> z </w:t>
      </w:r>
      <w:r w:rsidRPr="00436D27">
        <w:t>07.01.2019 r.). Aktualnie żaden</w:t>
      </w:r>
      <w:r w:rsidR="00E66B89">
        <w:t xml:space="preserve"> z </w:t>
      </w:r>
      <w:r w:rsidRPr="00436D27">
        <w:t>projektów realizowanych</w:t>
      </w:r>
      <w:r w:rsidR="00E66B89">
        <w:t xml:space="preserve"> w </w:t>
      </w:r>
      <w:r w:rsidRPr="00436D27">
        <w:t>ramach Działania 3.7 nie został jeszcze zakończony</w:t>
      </w:r>
      <w:r w:rsidR="00E66B89">
        <w:t xml:space="preserve"> i </w:t>
      </w:r>
      <w:r w:rsidRPr="00436D27">
        <w:t xml:space="preserve">rozliczony. </w:t>
      </w:r>
    </w:p>
    <w:p w14:paraId="3246C6DD" w14:textId="77777777" w:rsidR="009D215A" w:rsidRPr="00436D27" w:rsidRDefault="009D215A" w:rsidP="009D215A">
      <w:pPr>
        <w:pStyle w:val="evaluTresc"/>
      </w:pPr>
      <w:r w:rsidRPr="00436D27">
        <w:t>Lista rankingowa dla</w:t>
      </w:r>
      <w:r w:rsidR="00E66B89">
        <w:t xml:space="preserve"> I </w:t>
      </w:r>
      <w:r w:rsidRPr="00436D27">
        <w:t>naboru</w:t>
      </w:r>
      <w:r w:rsidR="00E66B89">
        <w:t xml:space="preserve"> w </w:t>
      </w:r>
      <w:r w:rsidRPr="00436D27">
        <w:t>Działaniu 3.7 została zaktualizowana</w:t>
      </w:r>
      <w:r w:rsidR="00E66B89">
        <w:t xml:space="preserve"> w </w:t>
      </w:r>
      <w:r w:rsidRPr="00436D27">
        <w:t>dniu 21.11.2018 (dla jednego projektu uwzględniono protest).</w:t>
      </w:r>
      <w:r w:rsidR="00E66B89">
        <w:t xml:space="preserve"> W </w:t>
      </w:r>
      <w:r w:rsidRPr="00436D27">
        <w:t xml:space="preserve">ramach pierwszego naboru </w:t>
      </w:r>
      <w:r>
        <w:t>wybrano</w:t>
      </w:r>
      <w:r w:rsidRPr="00436D27">
        <w:t xml:space="preserve"> 5 </w:t>
      </w:r>
      <w:r>
        <w:t>projektów na łączną wnioskowaną kwotę wsparcia ok. 18 mln zł</w:t>
      </w:r>
      <w:r w:rsidRPr="00436D27">
        <w:t xml:space="preserve"> (3 projekty dotyczą wsparcia zakładu zagospodarowywania odpadów, 2 projekty dotyczą PSZOK).</w:t>
      </w:r>
      <w:r w:rsidR="00E66B89">
        <w:t xml:space="preserve"> W </w:t>
      </w:r>
      <w:r>
        <w:t>dniu 28.03.2019 r.</w:t>
      </w:r>
      <w:r w:rsidR="00E66B89">
        <w:t xml:space="preserve"> w </w:t>
      </w:r>
      <w:r w:rsidRPr="00436D27">
        <w:t xml:space="preserve">ramach Działania </w:t>
      </w:r>
      <w:r>
        <w:t>zakończono</w:t>
      </w:r>
      <w:r w:rsidRPr="00436D27">
        <w:t xml:space="preserve"> </w:t>
      </w:r>
      <w:r>
        <w:t xml:space="preserve">drugi </w:t>
      </w:r>
      <w:r w:rsidRPr="00436D27">
        <w:t xml:space="preserve">nabór wniosków (o wsparcie </w:t>
      </w:r>
      <w:r>
        <w:t>mogły</w:t>
      </w:r>
      <w:r w:rsidRPr="00436D27">
        <w:t xml:space="preserve"> ubiegać się wszystkie typy projektów określone</w:t>
      </w:r>
      <w:r w:rsidR="00E66B89">
        <w:t xml:space="preserve"> w </w:t>
      </w:r>
      <w:r w:rsidRPr="00436D27">
        <w:t xml:space="preserve">regulaminie konkursu). Alokacja na ten nabór </w:t>
      </w:r>
      <w:r>
        <w:t>wyniosła</w:t>
      </w:r>
      <w:r w:rsidRPr="00436D27">
        <w:t xml:space="preserve"> 3,5 mln EUR.</w:t>
      </w:r>
    </w:p>
    <w:p w14:paraId="6047E692" w14:textId="77777777" w:rsidR="009D215A" w:rsidRPr="00436D27" w:rsidRDefault="009D215A" w:rsidP="009D215A">
      <w:pPr>
        <w:pStyle w:val="evaluTresc"/>
      </w:pPr>
      <w:r w:rsidRPr="00436D27">
        <w:t>Dotychczas</w:t>
      </w:r>
      <w:r w:rsidR="00E66B89">
        <w:t xml:space="preserve"> w </w:t>
      </w:r>
      <w:r w:rsidRPr="00436D27">
        <w:t>ramach Działania 3.8 przeprowadzono jeden nabór (trwał od 02.03.2018 do 30.04.2018). Na rok 2019 nie przewidziano prowadzenia naborów wniosków. Wsparcie</w:t>
      </w:r>
      <w:r w:rsidR="00E66B89">
        <w:t xml:space="preserve"> w </w:t>
      </w:r>
      <w:r w:rsidRPr="00436D27">
        <w:t>ramach Działania 3.8 przewidziane zostało</w:t>
      </w:r>
      <w:r w:rsidR="00E66B89">
        <w:t xml:space="preserve"> w </w:t>
      </w:r>
      <w:r w:rsidRPr="00436D27">
        <w:t>trybie konkursowym.</w:t>
      </w:r>
      <w:r w:rsidR="00E66B89">
        <w:t xml:space="preserve"> W </w:t>
      </w:r>
      <w:r w:rsidRPr="00436D27">
        <w:t>ramach przeprowadzonego naboru nie wpłynął żaden wniosek</w:t>
      </w:r>
      <w:r w:rsidR="00E66B89">
        <w:t xml:space="preserve"> o </w:t>
      </w:r>
      <w:r w:rsidRPr="00436D27">
        <w:t>dofinansowanie,</w:t>
      </w:r>
      <w:r w:rsidR="00E66B89">
        <w:t xml:space="preserve"> w </w:t>
      </w:r>
      <w:r w:rsidRPr="00436D27">
        <w:t>związku</w:t>
      </w:r>
      <w:r w:rsidR="00E66B89">
        <w:t xml:space="preserve"> z </w:t>
      </w:r>
      <w:r w:rsidRPr="00436D27">
        <w:t>czym stopień zakontraktowania alokacji</w:t>
      </w:r>
      <w:r w:rsidR="00E66B89">
        <w:t xml:space="preserve"> w </w:t>
      </w:r>
      <w:r w:rsidRPr="00436D27">
        <w:t>ramach Działania wynosi 0%. IZ RPO WZ 2014-2020 zdecydowała</w:t>
      </w:r>
      <w:r w:rsidR="00E66B89">
        <w:t xml:space="preserve"> o </w:t>
      </w:r>
      <w:r w:rsidRPr="00436D27">
        <w:t>przeniesieniu alokacji na inny cel.</w:t>
      </w:r>
      <w:r w:rsidR="00E66B89">
        <w:t xml:space="preserve"> W </w:t>
      </w:r>
      <w:r w:rsidRPr="00436D27">
        <w:t>ramach Działania nie przewidziano środków rezerwy wykonania. Przedsięwzięcia planowane do realizacji mają mieć na celu poprawę systemu gospodarowania odpadami na terenie województwa,</w:t>
      </w:r>
      <w:r w:rsidR="00E66B89">
        <w:t xml:space="preserve"> w </w:t>
      </w:r>
      <w:r w:rsidRPr="00436D27">
        <w:t>tym budowę (przebudowę) zakładów oraz instalacji</w:t>
      </w:r>
      <w:r w:rsidR="00E66B89">
        <w:t xml:space="preserve"> i </w:t>
      </w:r>
      <w:r w:rsidRPr="00436D27">
        <w:t>urządzeń odzysku, unieszkodliwiania odpadów innych niż komunalne oraz niebezpieczne, jak również kompleksowe oczyszczanie terenu</w:t>
      </w:r>
      <w:r w:rsidR="00E66B89">
        <w:t xml:space="preserve"> z </w:t>
      </w:r>
      <w:r w:rsidRPr="00436D27">
        <w:t>odpadów zawierających azbest wraz</w:t>
      </w:r>
      <w:r w:rsidR="00E66B89">
        <w:t xml:space="preserve"> z </w:t>
      </w:r>
      <w:r w:rsidRPr="00436D27">
        <w:t xml:space="preserve">zapewnieniem ich bezpiecznego unieszkodliwienia (budowa kwater na składowisku odpadów). </w:t>
      </w:r>
    </w:p>
    <w:p w14:paraId="41656A85" w14:textId="77777777" w:rsidR="009D215A" w:rsidRPr="00436D27" w:rsidRDefault="009D215A" w:rsidP="009D215A">
      <w:r w:rsidRPr="00404DA5">
        <w:rPr>
          <w:rFonts w:cs="Calibri"/>
          <w:szCs w:val="20"/>
        </w:rPr>
        <w:t>Diagnoza sytuacji społeczno-gospodarczej wskazuje na wysoką zasadność dalszej realizacji projektów jakie podlegają wsparciu</w:t>
      </w:r>
      <w:r w:rsidR="00E66B89">
        <w:rPr>
          <w:rFonts w:cs="Calibri"/>
          <w:szCs w:val="20"/>
        </w:rPr>
        <w:t xml:space="preserve"> w </w:t>
      </w:r>
      <w:r w:rsidRPr="00404DA5">
        <w:rPr>
          <w:rFonts w:cs="Calibri"/>
          <w:szCs w:val="20"/>
        </w:rPr>
        <w:t xml:space="preserve">ramach PI 6a. </w:t>
      </w:r>
    </w:p>
    <w:p w14:paraId="6AB45757" w14:textId="77777777" w:rsidR="009D215A" w:rsidRPr="00404DA5" w:rsidRDefault="009D215A" w:rsidP="009D215A">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 xml:space="preserve">zapisami </w:t>
      </w:r>
      <w:r>
        <w:rPr>
          <w:rFonts w:cs="Calibri"/>
          <w:szCs w:val="20"/>
        </w:rPr>
        <w:t>W</w:t>
      </w:r>
      <w:r w:rsidRPr="00404DA5">
        <w:rPr>
          <w:rFonts w:cs="Calibri"/>
          <w:szCs w:val="20"/>
        </w:rPr>
        <w:t>PGO potencjał do realizacji projektów</w:t>
      </w:r>
      <w:r w:rsidR="00E66B89">
        <w:rPr>
          <w:rFonts w:cs="Calibri"/>
          <w:szCs w:val="20"/>
        </w:rPr>
        <w:t xml:space="preserve"> w </w:t>
      </w:r>
      <w:r w:rsidRPr="00404DA5">
        <w:rPr>
          <w:rFonts w:cs="Calibri"/>
          <w:szCs w:val="20"/>
        </w:rPr>
        <w:t>województwie zachodniopomorskim ocenić należy jako wysoki.</w:t>
      </w:r>
      <w:r w:rsidR="00E66B89">
        <w:rPr>
          <w:rFonts w:cs="Calibri"/>
          <w:szCs w:val="20"/>
        </w:rPr>
        <w:t xml:space="preserve"> W </w:t>
      </w:r>
      <w:r>
        <w:rPr>
          <w:rFonts w:cs="Calibri"/>
          <w:szCs w:val="20"/>
        </w:rPr>
        <w:t>W</w:t>
      </w:r>
      <w:r w:rsidRPr="00404DA5">
        <w:rPr>
          <w:rFonts w:cs="Calibri"/>
          <w:szCs w:val="20"/>
        </w:rPr>
        <w:t>PGO zaplanowano realizację wielu inwestycji, które</w:t>
      </w:r>
      <w:r>
        <w:rPr>
          <w:rFonts w:cs="Calibri"/>
          <w:szCs w:val="20"/>
        </w:rPr>
        <w:t xml:space="preserve"> -</w:t>
      </w:r>
      <w:r w:rsidRPr="00404DA5">
        <w:rPr>
          <w:rFonts w:cs="Calibri"/>
          <w:szCs w:val="20"/>
        </w:rPr>
        <w:t xml:space="preserve"> zgodnie</w:t>
      </w:r>
      <w:r w:rsidR="00E66B89">
        <w:rPr>
          <w:rFonts w:cs="Calibri"/>
          <w:szCs w:val="20"/>
        </w:rPr>
        <w:t xml:space="preserve"> </w:t>
      </w:r>
      <w:r w:rsidR="00E66B89">
        <w:rPr>
          <w:rFonts w:cs="Calibri"/>
          <w:szCs w:val="20"/>
        </w:rPr>
        <w:lastRenderedPageBreak/>
        <w:t>z </w:t>
      </w:r>
      <w:r w:rsidRPr="00404DA5">
        <w:rPr>
          <w:rFonts w:cs="Calibri"/>
          <w:szCs w:val="20"/>
        </w:rPr>
        <w:t>przyjętymi warunkami wsparcia</w:t>
      </w:r>
      <w:r w:rsidR="00E66B89">
        <w:rPr>
          <w:rFonts w:cs="Calibri"/>
          <w:szCs w:val="20"/>
        </w:rPr>
        <w:t xml:space="preserve"> w </w:t>
      </w:r>
      <w:r w:rsidRPr="00404DA5">
        <w:rPr>
          <w:rFonts w:cs="Calibri"/>
          <w:szCs w:val="20"/>
        </w:rPr>
        <w:t>znacznie większej części niż znalazło to odzwierciedlenie</w:t>
      </w:r>
      <w:r w:rsidR="00E66B89">
        <w:rPr>
          <w:rFonts w:cs="Calibri"/>
          <w:szCs w:val="20"/>
        </w:rPr>
        <w:t xml:space="preserve"> w </w:t>
      </w:r>
      <w:r w:rsidRPr="00404DA5">
        <w:rPr>
          <w:rFonts w:cs="Calibri"/>
          <w:szCs w:val="20"/>
        </w:rPr>
        <w:t>dotychczasowych naborach</w:t>
      </w:r>
      <w:r>
        <w:rPr>
          <w:rFonts w:cs="Calibri"/>
          <w:szCs w:val="20"/>
        </w:rPr>
        <w:t xml:space="preserve"> -</w:t>
      </w:r>
      <w:r w:rsidRPr="00404DA5">
        <w:rPr>
          <w:rFonts w:cs="Calibri"/>
          <w:szCs w:val="20"/>
        </w:rPr>
        <w:t xml:space="preserve"> mogłyby ubiegać się</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ramach RPO WZ. Wśród kluczowych</w:t>
      </w:r>
      <w:r w:rsidR="00E66B89">
        <w:rPr>
          <w:rFonts w:cs="Calibri"/>
          <w:szCs w:val="20"/>
        </w:rPr>
        <w:t xml:space="preserve"> z </w:t>
      </w:r>
      <w:r w:rsidRPr="00404DA5">
        <w:rPr>
          <w:rFonts w:cs="Calibri"/>
          <w:szCs w:val="20"/>
        </w:rPr>
        <w:t>nich można wymienić:</w:t>
      </w:r>
    </w:p>
    <w:p w14:paraId="23879B72" w14:textId="77777777" w:rsidR="009D215A" w:rsidRPr="00404DA5" w:rsidRDefault="009D215A" w:rsidP="00093E14">
      <w:pPr>
        <w:pStyle w:val="Akapitzlist"/>
        <w:numPr>
          <w:ilvl w:val="0"/>
          <w:numId w:val="61"/>
        </w:numPr>
        <w:spacing w:after="120" w:line="288" w:lineRule="auto"/>
        <w:rPr>
          <w:rFonts w:ascii="Lato" w:hAnsi="Lato" w:cs="Calibri"/>
          <w:sz w:val="20"/>
          <w:szCs w:val="20"/>
        </w:rPr>
      </w:pPr>
      <w:r w:rsidRPr="00404DA5">
        <w:rPr>
          <w:rFonts w:ascii="Lato" w:hAnsi="Lato" w:cs="Calibri"/>
          <w:sz w:val="20"/>
          <w:szCs w:val="20"/>
        </w:rPr>
        <w:t>68 PSZOK (całkowita kwota przewidziana na inwestycje ok. 52 mln zł);</w:t>
      </w:r>
    </w:p>
    <w:p w14:paraId="24631B0A" w14:textId="77777777" w:rsidR="009D215A" w:rsidRPr="00404DA5" w:rsidRDefault="009D215A" w:rsidP="00093E14">
      <w:pPr>
        <w:pStyle w:val="Akapitzlist"/>
        <w:numPr>
          <w:ilvl w:val="0"/>
          <w:numId w:val="61"/>
        </w:numPr>
        <w:spacing w:after="120" w:line="288" w:lineRule="auto"/>
        <w:rPr>
          <w:rFonts w:ascii="Lato" w:hAnsi="Lato" w:cs="Calibri"/>
          <w:sz w:val="20"/>
          <w:szCs w:val="20"/>
        </w:rPr>
      </w:pPr>
      <w:r w:rsidRPr="00404DA5">
        <w:rPr>
          <w:rFonts w:ascii="Lato" w:hAnsi="Lato" w:cs="Calibri"/>
          <w:sz w:val="20"/>
          <w:szCs w:val="20"/>
        </w:rPr>
        <w:t>17 instalacji do doczyszczania selektywnie zebranych frakcji odpadów (całkowita kwota przewidziana na inwestycje ok. 75,8 mln zł);</w:t>
      </w:r>
    </w:p>
    <w:p w14:paraId="09111212" w14:textId="77777777" w:rsidR="009D215A" w:rsidRPr="00404DA5" w:rsidRDefault="009D215A" w:rsidP="00093E14">
      <w:pPr>
        <w:pStyle w:val="Akapitzlist"/>
        <w:numPr>
          <w:ilvl w:val="0"/>
          <w:numId w:val="61"/>
        </w:numPr>
        <w:spacing w:after="120" w:line="288" w:lineRule="auto"/>
        <w:rPr>
          <w:rFonts w:ascii="Lato" w:hAnsi="Lato" w:cs="Calibri"/>
          <w:sz w:val="20"/>
          <w:szCs w:val="20"/>
        </w:rPr>
      </w:pPr>
      <w:r w:rsidRPr="00404DA5">
        <w:rPr>
          <w:rFonts w:ascii="Lato" w:hAnsi="Lato" w:cs="Calibri"/>
          <w:sz w:val="20"/>
          <w:szCs w:val="20"/>
        </w:rPr>
        <w:t>14 instalacji do przetwarzania odpadów zielonych i/lub innych bioodpadów (całkowita kwota przewidziana na inwestycje ok. 166 mln zł);</w:t>
      </w:r>
    </w:p>
    <w:p w14:paraId="6EEF024B" w14:textId="77777777" w:rsidR="009D215A" w:rsidRPr="00404DA5" w:rsidRDefault="009D215A" w:rsidP="00093E14">
      <w:pPr>
        <w:pStyle w:val="Akapitzlist"/>
        <w:numPr>
          <w:ilvl w:val="0"/>
          <w:numId w:val="61"/>
        </w:numPr>
        <w:spacing w:after="120" w:line="288" w:lineRule="auto"/>
        <w:rPr>
          <w:rFonts w:ascii="Lato" w:hAnsi="Lato" w:cs="Calibri"/>
          <w:sz w:val="20"/>
          <w:szCs w:val="20"/>
        </w:rPr>
      </w:pPr>
      <w:r w:rsidRPr="00404DA5">
        <w:rPr>
          <w:rFonts w:ascii="Lato" w:hAnsi="Lato" w:cs="Calibri"/>
          <w:sz w:val="20"/>
          <w:szCs w:val="20"/>
        </w:rPr>
        <w:t>3 instalacje do recyklingu odpadów (całkowita kwota przewidziana na inwestycje ok. 41,5 mln zł)</w:t>
      </w:r>
      <w:r>
        <w:rPr>
          <w:rFonts w:ascii="Lato" w:hAnsi="Lato" w:cs="Calibri"/>
          <w:sz w:val="20"/>
          <w:szCs w:val="20"/>
        </w:rPr>
        <w:t>.</w:t>
      </w:r>
    </w:p>
    <w:p w14:paraId="6237FB91" w14:textId="77777777" w:rsidR="009D215A" w:rsidRPr="00436D27" w:rsidRDefault="009D215A" w:rsidP="009D215A">
      <w:pPr>
        <w:pStyle w:val="evaluTresc"/>
      </w:pPr>
      <w:r w:rsidRPr="00436D27">
        <w:t>Ponadto</w:t>
      </w:r>
      <w:r w:rsidR="00E66B89">
        <w:t xml:space="preserve"> z </w:t>
      </w:r>
      <w:r w:rsidRPr="00436D27">
        <w:t>danych zawartych</w:t>
      </w:r>
      <w:r w:rsidR="00E66B89">
        <w:t xml:space="preserve"> w </w:t>
      </w:r>
      <w:r w:rsidRPr="00436D27">
        <w:t xml:space="preserve">Bazie Azbestowej wynika, że na terenie województwa zachodniopomorskiego do usunięcia pozostało 110 </w:t>
      </w:r>
      <w:r>
        <w:t>269</w:t>
      </w:r>
      <w:r w:rsidRPr="00436D27">
        <w:t xml:space="preserve"> </w:t>
      </w:r>
      <w:r>
        <w:t>560</w:t>
      </w:r>
      <w:r w:rsidRPr="00436D27">
        <w:t xml:space="preserve"> Mg wyrobów zawierających azbest.</w:t>
      </w:r>
      <w:r>
        <w:t xml:space="preserve"> </w:t>
      </w:r>
      <w:r w:rsidRPr="00436D27">
        <w:t>Warto nadmienić, iż komplementarne ze wsparciem udzielanym</w:t>
      </w:r>
      <w:r w:rsidR="00E66B89">
        <w:t xml:space="preserve"> w </w:t>
      </w:r>
      <w:r w:rsidRPr="00436D27">
        <w:t>ramach PI 6a są inwestycje dofinansowane przez WFOŚiGW</w:t>
      </w:r>
      <w:r w:rsidR="00E66B89">
        <w:t xml:space="preserve"> w </w:t>
      </w:r>
      <w:r w:rsidRPr="00436D27">
        <w:t>Szczecinie. Przyniosły one</w:t>
      </w:r>
      <w:r w:rsidR="00E66B89">
        <w:t xml:space="preserve"> w </w:t>
      </w:r>
      <w:r w:rsidRPr="00436D27">
        <w:t>roku 2017 następujące efekty: usunięcie</w:t>
      </w:r>
      <w:r w:rsidR="00E66B89">
        <w:t xml:space="preserve"> i </w:t>
      </w:r>
      <w:r w:rsidRPr="00436D27">
        <w:t>utylizacja wyrobów</w:t>
      </w:r>
      <w:r w:rsidR="00E66B89">
        <w:t xml:space="preserve"> i </w:t>
      </w:r>
      <w:r w:rsidRPr="00436D27">
        <w:t>materiałów zawierających azbest – 2 518 Mg, zakup pojemników do selektywnej zbiórki odpadów – 70 szt.</w:t>
      </w:r>
    </w:p>
    <w:p w14:paraId="18BAE17D" w14:textId="77777777" w:rsidR="009D215A" w:rsidRPr="00404DA5" w:rsidRDefault="009D215A" w:rsidP="009D215A">
      <w:pPr>
        <w:pStyle w:val="evaluTresc"/>
      </w:pPr>
      <w:r w:rsidRPr="00404DA5">
        <w:rPr>
          <w:rFonts w:cs="Calibri"/>
        </w:rPr>
        <w:t>Jak wynika</w:t>
      </w:r>
      <w:r w:rsidR="00E66B89">
        <w:rPr>
          <w:rFonts w:cs="Calibri"/>
        </w:rPr>
        <w:t xml:space="preserve"> z </w:t>
      </w:r>
      <w:r w:rsidRPr="00404DA5">
        <w:rPr>
          <w:rFonts w:cs="Calibri"/>
        </w:rPr>
        <w:t>badania ilościowego dotyczącego potencjału aplikacyjnego</w:t>
      </w:r>
      <w:r>
        <w:rPr>
          <w:rFonts w:cs="Calibri"/>
        </w:rPr>
        <w:t>,</w:t>
      </w:r>
      <w:r w:rsidR="00E66B89">
        <w:rPr>
          <w:rFonts w:cs="Calibri"/>
        </w:rPr>
        <w:t xml:space="preserve"> w </w:t>
      </w:r>
      <w:r w:rsidRPr="00404DA5">
        <w:rPr>
          <w:rFonts w:cs="Calibri"/>
        </w:rPr>
        <w:t>ramach Działania 3.7 respondenci zadeklarowali plan realizacji 21 projektów.</w:t>
      </w:r>
      <w:r w:rsidR="00E66B89">
        <w:rPr>
          <w:rFonts w:cs="Calibri"/>
        </w:rPr>
        <w:t xml:space="preserve"> W </w:t>
      </w:r>
      <w:r>
        <w:rPr>
          <w:rFonts w:cs="Calibri"/>
        </w:rPr>
        <w:t>14 przypadkach deklarowane projekty mają</w:t>
      </w:r>
      <w:r w:rsidRPr="00404DA5">
        <w:rPr>
          <w:rFonts w:cs="Calibri"/>
        </w:rPr>
        <w:t xml:space="preserve"> niski stopień konkretności (są</w:t>
      </w:r>
      <w:r w:rsidR="00E66B89">
        <w:rPr>
          <w:rFonts w:cs="Calibri"/>
        </w:rPr>
        <w:t xml:space="preserve"> w </w:t>
      </w:r>
      <w:r w:rsidRPr="00404DA5">
        <w:rPr>
          <w:rFonts w:cs="Calibri"/>
        </w:rPr>
        <w:t>stadium ogólnego pomysłu, koncepcji). 7 ankietowanych zadeklarowało, iż ich projekty znajdują się</w:t>
      </w:r>
      <w:r w:rsidR="00E66B89">
        <w:rPr>
          <w:rFonts w:cs="Calibri"/>
        </w:rPr>
        <w:t xml:space="preserve"> w </w:t>
      </w:r>
      <w:r w:rsidRPr="00404DA5">
        <w:rPr>
          <w:rFonts w:cs="Calibri"/>
        </w:rPr>
        <w:t>bardziej zaawansowany</w:t>
      </w:r>
      <w:r>
        <w:rPr>
          <w:rFonts w:cs="Calibri"/>
        </w:rPr>
        <w:t>m</w:t>
      </w:r>
      <w:r w:rsidRPr="00404DA5">
        <w:rPr>
          <w:rFonts w:cs="Calibri"/>
        </w:rPr>
        <w:t xml:space="preserve"> stadium przygotowania do realizacji (posiada</w:t>
      </w:r>
      <w:r>
        <w:rPr>
          <w:rFonts w:cs="Calibri"/>
        </w:rPr>
        <w:t>ją</w:t>
      </w:r>
      <w:r w:rsidRPr="00404DA5">
        <w:rPr>
          <w:rFonts w:cs="Calibri"/>
        </w:rPr>
        <w:t xml:space="preserve"> formalnie przygotowane dokumenty, biznes plan, zarezerwowano środki na </w:t>
      </w:r>
      <w:r>
        <w:rPr>
          <w:rFonts w:cs="Calibri"/>
        </w:rPr>
        <w:t xml:space="preserve">ich </w:t>
      </w:r>
      <w:r w:rsidRPr="00404DA5">
        <w:rPr>
          <w:rFonts w:cs="Calibri"/>
        </w:rPr>
        <w:t>realizację).</w:t>
      </w:r>
      <w:r w:rsidR="00E66B89">
        <w:rPr>
          <w:rFonts w:cs="Calibri"/>
        </w:rPr>
        <w:t xml:space="preserve"> W </w:t>
      </w:r>
      <w:r w:rsidRPr="00404DA5">
        <w:t xml:space="preserve">przypadku Działania 3.8 respondenci zadeklarowali plan realizacji </w:t>
      </w:r>
      <w:r>
        <w:t>6</w:t>
      </w:r>
      <w:r w:rsidRPr="00404DA5">
        <w:t xml:space="preserve"> projektów.</w:t>
      </w:r>
      <w:r w:rsidR="00E66B89">
        <w:t xml:space="preserve"> W </w:t>
      </w:r>
      <w:r>
        <w:t>3 przypadkach można mówić</w:t>
      </w:r>
      <w:r w:rsidR="00E66B89">
        <w:t xml:space="preserve"> o </w:t>
      </w:r>
      <w:r w:rsidRPr="00404DA5">
        <w:t>niski</w:t>
      </w:r>
      <w:r>
        <w:t>m</w:t>
      </w:r>
      <w:r w:rsidRPr="00404DA5">
        <w:t xml:space="preserve"> stop</w:t>
      </w:r>
      <w:r>
        <w:t>niu</w:t>
      </w:r>
      <w:r w:rsidRPr="00404DA5">
        <w:t xml:space="preserve"> konkretności</w:t>
      </w:r>
      <w:r>
        <w:t xml:space="preserve"> planowanych projektów</w:t>
      </w:r>
      <w:r w:rsidRPr="00404DA5">
        <w:t xml:space="preserve"> (są</w:t>
      </w:r>
      <w:r w:rsidR="00E66B89">
        <w:t xml:space="preserve"> w </w:t>
      </w:r>
      <w:r w:rsidRPr="00404DA5">
        <w:t xml:space="preserve">stadium ogólnego pomysłu, koncepcji). </w:t>
      </w:r>
      <w:r>
        <w:t>Jedynie 3</w:t>
      </w:r>
      <w:r w:rsidRPr="00404DA5">
        <w:t xml:space="preserve"> ankietowanych zadeklarowało, iż ich projekty znajdują się</w:t>
      </w:r>
      <w:r w:rsidR="00E66B89">
        <w:t xml:space="preserve"> w </w:t>
      </w:r>
      <w:r w:rsidRPr="00404DA5">
        <w:t>bardziej zaawansowany</w:t>
      </w:r>
      <w:r>
        <w:t>m</w:t>
      </w:r>
      <w:r w:rsidRPr="00404DA5">
        <w:t xml:space="preserve"> stadium przygotowania do realizacji (posiada</w:t>
      </w:r>
      <w:r>
        <w:t>ją</w:t>
      </w:r>
      <w:r w:rsidRPr="00404DA5">
        <w:t xml:space="preserve"> formalnie przygotowane dokumenty, biznes plan, zarezerwowano środki na </w:t>
      </w:r>
      <w:r>
        <w:t xml:space="preserve">ich </w:t>
      </w:r>
      <w:r w:rsidRPr="00404DA5">
        <w:t xml:space="preserve">realizację). </w:t>
      </w:r>
    </w:p>
    <w:p w14:paraId="54693CE5" w14:textId="77777777" w:rsidR="009D215A" w:rsidRPr="00404DA5" w:rsidRDefault="009D215A" w:rsidP="009D215A">
      <w:pPr>
        <w:rPr>
          <w:rFonts w:cs="Calibri"/>
          <w:szCs w:val="20"/>
        </w:rPr>
      </w:pPr>
      <w:r w:rsidRPr="00404DA5">
        <w:rPr>
          <w:rFonts w:cs="Calibri"/>
          <w:szCs w:val="20"/>
        </w:rPr>
        <w:t>Decyzja odnośnie dalszych kroków związanych</w:t>
      </w:r>
      <w:r w:rsidR="00E66B89">
        <w:rPr>
          <w:rFonts w:cs="Calibri"/>
          <w:szCs w:val="20"/>
        </w:rPr>
        <w:t xml:space="preserve"> z </w:t>
      </w:r>
      <w:r w:rsidRPr="00404DA5">
        <w:rPr>
          <w:rFonts w:cs="Calibri"/>
          <w:szCs w:val="20"/>
        </w:rPr>
        <w:t>zagospodarowaniem alokacji</w:t>
      </w:r>
      <w:r w:rsidR="00E66B89">
        <w:rPr>
          <w:rFonts w:cs="Calibri"/>
          <w:szCs w:val="20"/>
        </w:rPr>
        <w:t xml:space="preserve"> w </w:t>
      </w:r>
      <w:r w:rsidRPr="00404DA5">
        <w:rPr>
          <w:rFonts w:cs="Calibri"/>
          <w:szCs w:val="20"/>
        </w:rPr>
        <w:t xml:space="preserve">PI 6a powinna zostać podjęta po rozstrzygnięciu </w:t>
      </w:r>
      <w:r>
        <w:rPr>
          <w:rFonts w:cs="Calibri"/>
          <w:szCs w:val="20"/>
        </w:rPr>
        <w:t>zakończonego 28.03.2019 r.</w:t>
      </w:r>
      <w:r w:rsidRPr="00404DA5">
        <w:rPr>
          <w:rFonts w:cs="Calibri"/>
          <w:szCs w:val="20"/>
        </w:rPr>
        <w:t xml:space="preserve"> naboru</w:t>
      </w:r>
      <w:r w:rsidR="00E66B89">
        <w:rPr>
          <w:rFonts w:cs="Calibri"/>
          <w:szCs w:val="20"/>
        </w:rPr>
        <w:t xml:space="preserve"> w </w:t>
      </w:r>
      <w:r w:rsidRPr="00404DA5">
        <w:rPr>
          <w:rFonts w:cs="Calibri"/>
          <w:szCs w:val="20"/>
        </w:rPr>
        <w:t xml:space="preserve">ramach Działania 3.7. </w:t>
      </w:r>
    </w:p>
    <w:p w14:paraId="6451F7C7" w14:textId="77777777" w:rsidR="009D215A" w:rsidRPr="00404DA5" w:rsidRDefault="009D215A" w:rsidP="009D215A">
      <w:pPr>
        <w:rPr>
          <w:rFonts w:cs="Calibri"/>
          <w:szCs w:val="20"/>
        </w:rPr>
      </w:pPr>
      <w:r w:rsidRPr="00404DA5">
        <w:rPr>
          <w:rFonts w:cs="Calibri"/>
          <w:szCs w:val="20"/>
        </w:rPr>
        <w:t xml:space="preserve">Reasumując można wskazać, iż priorytety </w:t>
      </w:r>
      <w:r>
        <w:rPr>
          <w:rFonts w:cs="Calibri"/>
          <w:szCs w:val="20"/>
        </w:rPr>
        <w:t>inwestycyjne</w:t>
      </w:r>
      <w:r w:rsidR="00E66B89">
        <w:rPr>
          <w:rFonts w:cs="Calibri"/>
          <w:szCs w:val="20"/>
        </w:rPr>
        <w:t xml:space="preserve"> w </w:t>
      </w:r>
      <w:r>
        <w:rPr>
          <w:rFonts w:cs="Calibri"/>
          <w:szCs w:val="20"/>
        </w:rPr>
        <w:t>obszarze</w:t>
      </w:r>
      <w:r w:rsidRPr="00404DA5">
        <w:rPr>
          <w:rFonts w:cs="Calibri"/>
          <w:szCs w:val="20"/>
        </w:rPr>
        <w:t xml:space="preserve"> PI</w:t>
      </w:r>
      <w:r>
        <w:rPr>
          <w:rFonts w:cs="Calibri"/>
          <w:szCs w:val="20"/>
        </w:rPr>
        <w:t xml:space="preserve"> </w:t>
      </w:r>
      <w:r w:rsidRPr="00404DA5">
        <w:rPr>
          <w:rFonts w:cs="Calibri"/>
          <w:szCs w:val="20"/>
        </w:rPr>
        <w:t>6a nie zmieniły się</w:t>
      </w:r>
      <w:r w:rsidR="00E66B89">
        <w:rPr>
          <w:rFonts w:cs="Calibri"/>
          <w:szCs w:val="20"/>
        </w:rPr>
        <w:t xml:space="preserve"> i </w:t>
      </w:r>
      <w:r w:rsidRPr="00404DA5">
        <w:rPr>
          <w:rFonts w:cs="Calibri"/>
          <w:szCs w:val="20"/>
        </w:rPr>
        <w:t>są wciąż aktualne. Jest to powodowane m.in. tym, iż</w:t>
      </w:r>
      <w:r w:rsidR="00E66B89">
        <w:rPr>
          <w:rFonts w:cs="Calibri"/>
          <w:szCs w:val="20"/>
        </w:rPr>
        <w:t xml:space="preserve"> z </w:t>
      </w:r>
      <w:r w:rsidRPr="00404DA5">
        <w:rPr>
          <w:rFonts w:cs="Calibri"/>
          <w:szCs w:val="20"/>
        </w:rPr>
        <w:t>roku na rok rosną wymagania</w:t>
      </w:r>
      <w:r w:rsidR="00E66B89">
        <w:rPr>
          <w:rFonts w:cs="Calibri"/>
          <w:szCs w:val="20"/>
        </w:rPr>
        <w:t xml:space="preserve"> w </w:t>
      </w:r>
      <w:r w:rsidRPr="00404DA5">
        <w:rPr>
          <w:rFonts w:cs="Calibri"/>
          <w:szCs w:val="20"/>
        </w:rPr>
        <w:t>zakresie osiąg</w:t>
      </w:r>
      <w:r>
        <w:rPr>
          <w:rFonts w:cs="Calibri"/>
          <w:szCs w:val="20"/>
        </w:rPr>
        <w:t>anych</w:t>
      </w:r>
      <w:r w:rsidRPr="00404DA5">
        <w:rPr>
          <w:rFonts w:cs="Calibri"/>
          <w:szCs w:val="20"/>
        </w:rPr>
        <w:t xml:space="preserve"> poziomów odzysku</w:t>
      </w:r>
      <w:r w:rsidR="00E66B89">
        <w:rPr>
          <w:rFonts w:cs="Calibri"/>
          <w:szCs w:val="20"/>
        </w:rPr>
        <w:t xml:space="preserve"> i </w:t>
      </w:r>
      <w:r w:rsidRPr="00404DA5">
        <w:rPr>
          <w:rFonts w:cs="Calibri"/>
          <w:szCs w:val="20"/>
        </w:rPr>
        <w:t>recyklingu odpadów.</w:t>
      </w:r>
    </w:p>
    <w:p w14:paraId="379B7E49" w14:textId="77777777" w:rsidR="009D215A" w:rsidRPr="00436D27" w:rsidRDefault="009D215A" w:rsidP="009D215A">
      <w:pPr>
        <w:pStyle w:val="evaluTresc"/>
      </w:pPr>
      <w:r w:rsidRPr="00436D27">
        <w:t>Sytuacja społeczno-gospodarcza</w:t>
      </w:r>
      <w:r w:rsidR="00E66B89">
        <w:t xml:space="preserve"> w </w:t>
      </w:r>
      <w:r w:rsidRPr="00436D27">
        <w:t>województwie zachodniopomorskim</w:t>
      </w:r>
      <w:r w:rsidR="00E66B89">
        <w:t xml:space="preserve"> w </w:t>
      </w:r>
      <w:r w:rsidRPr="00436D27">
        <w:t>kontekście coraz to bardziej zaostrzających się norm prawnych</w:t>
      </w:r>
      <w:r w:rsidR="00E66B89">
        <w:t xml:space="preserve"> w </w:t>
      </w:r>
      <w:r w:rsidRPr="00436D27">
        <w:t xml:space="preserve">odniesieniu do gospodarki odpadowej wymaga </w:t>
      </w:r>
      <w:r>
        <w:t>realizacji działań</w:t>
      </w:r>
      <w:r w:rsidRPr="00436D27">
        <w:t xml:space="preserve"> na wielu płaszczyznach. Do 2020 r. kraje UE powinny </w:t>
      </w:r>
      <w:r>
        <w:t>osiągnąć sytuację</w:t>
      </w:r>
      <w:r w:rsidRPr="00436D27">
        <w:t>,</w:t>
      </w:r>
      <w:r w:rsidR="00E66B89">
        <w:t xml:space="preserve"> w </w:t>
      </w:r>
      <w:r>
        <w:t>której</w:t>
      </w:r>
      <w:r w:rsidRPr="00436D27">
        <w:t>:</w:t>
      </w:r>
    </w:p>
    <w:p w14:paraId="63488D0F" w14:textId="77777777" w:rsidR="009D215A" w:rsidRPr="00404DA5" w:rsidRDefault="009D215A" w:rsidP="00093E14">
      <w:pPr>
        <w:pStyle w:val="Akapitzlist"/>
        <w:numPr>
          <w:ilvl w:val="0"/>
          <w:numId w:val="19"/>
        </w:numPr>
        <w:spacing w:after="120" w:line="288" w:lineRule="auto"/>
        <w:contextualSpacing w:val="0"/>
        <w:rPr>
          <w:rFonts w:ascii="Lato" w:hAnsi="Lato" w:cs="Calibri"/>
          <w:sz w:val="20"/>
          <w:szCs w:val="20"/>
        </w:rPr>
      </w:pPr>
      <w:r w:rsidRPr="00404DA5">
        <w:rPr>
          <w:rFonts w:ascii="Lato" w:hAnsi="Lato" w:cs="Calibri"/>
          <w:sz w:val="20"/>
          <w:szCs w:val="20"/>
        </w:rPr>
        <w:t>minimum 50% masy odpadów komunalnych przynajmniej takich jak papier, metal, plastik</w:t>
      </w:r>
      <w:r w:rsidR="00E66B89">
        <w:rPr>
          <w:rFonts w:ascii="Lato" w:hAnsi="Lato" w:cs="Calibri"/>
          <w:sz w:val="20"/>
          <w:szCs w:val="20"/>
        </w:rPr>
        <w:t xml:space="preserve"> i </w:t>
      </w:r>
      <w:r w:rsidRPr="00404DA5">
        <w:rPr>
          <w:rFonts w:ascii="Lato" w:hAnsi="Lato" w:cs="Calibri"/>
          <w:sz w:val="20"/>
          <w:szCs w:val="20"/>
        </w:rPr>
        <w:t xml:space="preserve">szkło </w:t>
      </w:r>
      <w:r>
        <w:rPr>
          <w:rFonts w:ascii="Lato" w:hAnsi="Lato" w:cs="Calibri"/>
          <w:sz w:val="20"/>
          <w:szCs w:val="20"/>
        </w:rPr>
        <w:t>będzie</w:t>
      </w:r>
      <w:r w:rsidRPr="00404DA5">
        <w:rPr>
          <w:rFonts w:ascii="Lato" w:hAnsi="Lato" w:cs="Calibri"/>
          <w:sz w:val="20"/>
          <w:szCs w:val="20"/>
        </w:rPr>
        <w:t xml:space="preserve"> poddawane przygotowaniu do ponownego wykorzystania</w:t>
      </w:r>
      <w:r w:rsidR="00E66B89">
        <w:rPr>
          <w:rFonts w:ascii="Lato" w:hAnsi="Lato" w:cs="Calibri"/>
          <w:sz w:val="20"/>
          <w:szCs w:val="20"/>
        </w:rPr>
        <w:t xml:space="preserve"> i </w:t>
      </w:r>
      <w:r w:rsidRPr="00404DA5">
        <w:rPr>
          <w:rFonts w:ascii="Lato" w:hAnsi="Lato" w:cs="Calibri"/>
          <w:sz w:val="20"/>
          <w:szCs w:val="20"/>
        </w:rPr>
        <w:t>recyklingowi</w:t>
      </w:r>
      <w:r w:rsidR="001A41AF">
        <w:rPr>
          <w:rFonts w:ascii="Lato" w:hAnsi="Lato" w:cs="Calibri"/>
          <w:sz w:val="20"/>
          <w:szCs w:val="20"/>
        </w:rPr>
        <w:t>;</w:t>
      </w:r>
    </w:p>
    <w:p w14:paraId="715870C8" w14:textId="77777777" w:rsidR="009D215A" w:rsidRPr="00404DA5" w:rsidRDefault="009D215A" w:rsidP="00093E14">
      <w:pPr>
        <w:pStyle w:val="Akapitzlist"/>
        <w:numPr>
          <w:ilvl w:val="0"/>
          <w:numId w:val="19"/>
        </w:numPr>
        <w:spacing w:after="120" w:line="288" w:lineRule="auto"/>
        <w:contextualSpacing w:val="0"/>
        <w:rPr>
          <w:rFonts w:ascii="Lato" w:hAnsi="Lato" w:cs="Calibri"/>
          <w:sz w:val="20"/>
          <w:szCs w:val="20"/>
        </w:rPr>
      </w:pPr>
      <w:r w:rsidRPr="00404DA5">
        <w:rPr>
          <w:rFonts w:ascii="Lato" w:hAnsi="Lato" w:cs="Calibri"/>
          <w:sz w:val="20"/>
          <w:szCs w:val="20"/>
        </w:rPr>
        <w:t xml:space="preserve">minimum 70% masy odpadów budowlanych innych niż niebezpieczne </w:t>
      </w:r>
      <w:r>
        <w:rPr>
          <w:rFonts w:ascii="Lato" w:hAnsi="Lato" w:cs="Calibri"/>
          <w:sz w:val="20"/>
          <w:szCs w:val="20"/>
        </w:rPr>
        <w:t>będzie</w:t>
      </w:r>
      <w:r w:rsidRPr="00404DA5">
        <w:rPr>
          <w:rFonts w:ascii="Lato" w:hAnsi="Lato" w:cs="Calibri"/>
          <w:sz w:val="20"/>
          <w:szCs w:val="20"/>
        </w:rPr>
        <w:t xml:space="preserve"> poddawane przygotowaniu do ponownego wykorzystania, recyklingowi</w:t>
      </w:r>
      <w:r w:rsidR="00E66B89">
        <w:rPr>
          <w:rFonts w:ascii="Lato" w:hAnsi="Lato" w:cs="Calibri"/>
          <w:sz w:val="20"/>
          <w:szCs w:val="20"/>
        </w:rPr>
        <w:t xml:space="preserve"> i </w:t>
      </w:r>
      <w:r w:rsidRPr="00404DA5">
        <w:rPr>
          <w:rFonts w:ascii="Lato" w:hAnsi="Lato" w:cs="Calibri"/>
          <w:sz w:val="20"/>
          <w:szCs w:val="20"/>
        </w:rPr>
        <w:t>innym metodom odzysku;</w:t>
      </w:r>
    </w:p>
    <w:p w14:paraId="68EB9DEB" w14:textId="77777777" w:rsidR="009D215A" w:rsidRPr="00404DA5" w:rsidRDefault="009D215A" w:rsidP="00093E14">
      <w:pPr>
        <w:pStyle w:val="Akapitzlist"/>
        <w:numPr>
          <w:ilvl w:val="0"/>
          <w:numId w:val="19"/>
        </w:numPr>
        <w:spacing w:after="120" w:line="288" w:lineRule="auto"/>
        <w:contextualSpacing w:val="0"/>
        <w:rPr>
          <w:rFonts w:ascii="Lato" w:hAnsi="Lato" w:cs="Calibri"/>
          <w:sz w:val="20"/>
          <w:szCs w:val="20"/>
        </w:rPr>
      </w:pPr>
      <w:r w:rsidRPr="00404DA5">
        <w:rPr>
          <w:rFonts w:ascii="Lato" w:hAnsi="Lato" w:cs="Calibri"/>
          <w:sz w:val="20"/>
          <w:szCs w:val="20"/>
        </w:rPr>
        <w:t>zgodnie</w:t>
      </w:r>
      <w:r w:rsidR="00E66B89">
        <w:rPr>
          <w:rFonts w:ascii="Lato" w:hAnsi="Lato" w:cs="Calibri"/>
          <w:sz w:val="20"/>
          <w:szCs w:val="20"/>
        </w:rPr>
        <w:t xml:space="preserve"> z </w:t>
      </w:r>
      <w:r w:rsidRPr="00404DA5">
        <w:rPr>
          <w:rFonts w:ascii="Lato" w:hAnsi="Lato" w:cs="Calibri"/>
          <w:sz w:val="20"/>
          <w:szCs w:val="20"/>
        </w:rPr>
        <w:t xml:space="preserve">dyrektywą do 16 lipca 2016 r. masa składowanych odpadów biodegradowalnych </w:t>
      </w:r>
      <w:r>
        <w:rPr>
          <w:rFonts w:ascii="Lato" w:hAnsi="Lato" w:cs="Calibri"/>
          <w:sz w:val="20"/>
          <w:szCs w:val="20"/>
        </w:rPr>
        <w:t>zostanie</w:t>
      </w:r>
      <w:r w:rsidRPr="00404DA5">
        <w:rPr>
          <w:rFonts w:ascii="Lato" w:hAnsi="Lato" w:cs="Calibri"/>
          <w:sz w:val="20"/>
          <w:szCs w:val="20"/>
        </w:rPr>
        <w:t xml:space="preserve"> ograniczona do 35%</w:t>
      </w:r>
      <w:r w:rsidR="00E66B89">
        <w:rPr>
          <w:rFonts w:ascii="Lato" w:hAnsi="Lato" w:cs="Calibri"/>
          <w:sz w:val="20"/>
          <w:szCs w:val="20"/>
        </w:rPr>
        <w:t xml:space="preserve"> w </w:t>
      </w:r>
      <w:r w:rsidRPr="00404DA5">
        <w:rPr>
          <w:rFonts w:ascii="Lato" w:hAnsi="Lato" w:cs="Calibri"/>
          <w:sz w:val="20"/>
          <w:szCs w:val="20"/>
        </w:rPr>
        <w:t>stosunku do masy odpadów komunalnych ulegających biodegradacji wytworzonych</w:t>
      </w:r>
      <w:r w:rsidR="00E66B89">
        <w:rPr>
          <w:rFonts w:ascii="Lato" w:hAnsi="Lato" w:cs="Calibri"/>
          <w:sz w:val="20"/>
          <w:szCs w:val="20"/>
        </w:rPr>
        <w:t xml:space="preserve"> w </w:t>
      </w:r>
      <w:r w:rsidRPr="00404DA5">
        <w:rPr>
          <w:rFonts w:ascii="Lato" w:hAnsi="Lato" w:cs="Calibri"/>
          <w:sz w:val="20"/>
          <w:szCs w:val="20"/>
        </w:rPr>
        <w:t>roku 1995.</w:t>
      </w:r>
      <w:r w:rsidR="00E66B89">
        <w:rPr>
          <w:rFonts w:ascii="Lato" w:hAnsi="Lato" w:cs="Calibri"/>
          <w:sz w:val="20"/>
          <w:szCs w:val="20"/>
        </w:rPr>
        <w:t xml:space="preserve"> W </w:t>
      </w:r>
      <w:r w:rsidRPr="00404DA5">
        <w:rPr>
          <w:rFonts w:ascii="Lato" w:hAnsi="Lato" w:cs="Calibri"/>
          <w:sz w:val="20"/>
          <w:szCs w:val="20"/>
        </w:rPr>
        <w:t>warunkach krajowych obowiązuje derogacja tego zapisu</w:t>
      </w:r>
      <w:r w:rsidR="00E66B89">
        <w:rPr>
          <w:rFonts w:ascii="Lato" w:hAnsi="Lato" w:cs="Calibri"/>
          <w:sz w:val="20"/>
          <w:szCs w:val="20"/>
        </w:rPr>
        <w:t xml:space="preserve"> z </w:t>
      </w:r>
      <w:r w:rsidRPr="00404DA5">
        <w:rPr>
          <w:rFonts w:ascii="Lato" w:hAnsi="Lato" w:cs="Calibri"/>
          <w:sz w:val="20"/>
          <w:szCs w:val="20"/>
        </w:rPr>
        <w:t xml:space="preserve">terminem wykonania 16 lipca 2020 r. </w:t>
      </w:r>
    </w:p>
    <w:p w14:paraId="3216248D" w14:textId="77777777" w:rsidR="009D215A" w:rsidRPr="00404DA5" w:rsidRDefault="009D215A" w:rsidP="009D215A">
      <w:pPr>
        <w:rPr>
          <w:rFonts w:cs="Calibri"/>
          <w:szCs w:val="20"/>
        </w:rPr>
      </w:pPr>
      <w:r w:rsidRPr="00404DA5">
        <w:rPr>
          <w:rFonts w:cs="Calibri"/>
          <w:szCs w:val="20"/>
        </w:rPr>
        <w:t>Dojście do tych poziomów określono</w:t>
      </w:r>
      <w:r w:rsidR="00E66B89">
        <w:rPr>
          <w:rFonts w:cs="Calibri"/>
          <w:szCs w:val="20"/>
        </w:rPr>
        <w:t xml:space="preserve"> w </w:t>
      </w:r>
      <w:r w:rsidRPr="00404DA5">
        <w:rPr>
          <w:rFonts w:cs="Calibri"/>
          <w:szCs w:val="20"/>
        </w:rPr>
        <w:t>ramach czasowych. Określono je</w:t>
      </w:r>
      <w:r w:rsidR="00E66B89">
        <w:rPr>
          <w:rFonts w:cs="Calibri"/>
          <w:szCs w:val="20"/>
        </w:rPr>
        <w:t xml:space="preserve"> w </w:t>
      </w:r>
      <w:r w:rsidRPr="00404DA5">
        <w:rPr>
          <w:rFonts w:cs="Calibri"/>
          <w:szCs w:val="20"/>
        </w:rPr>
        <w:t>rozporządzeniu Ministra Środowiska</w:t>
      </w:r>
      <w:r w:rsidR="00E66B89">
        <w:rPr>
          <w:rFonts w:cs="Calibri"/>
          <w:szCs w:val="20"/>
        </w:rPr>
        <w:t xml:space="preserve"> z </w:t>
      </w:r>
      <w:r w:rsidRPr="00404DA5">
        <w:rPr>
          <w:rFonts w:cs="Calibri"/>
          <w:szCs w:val="20"/>
        </w:rPr>
        <w:t>dnia 29 maja 2012 r.</w:t>
      </w:r>
      <w:r w:rsidR="00E66B89">
        <w:rPr>
          <w:rFonts w:cs="Calibri"/>
          <w:szCs w:val="20"/>
        </w:rPr>
        <w:t xml:space="preserve"> w </w:t>
      </w:r>
      <w:r w:rsidRPr="00404DA5">
        <w:rPr>
          <w:rFonts w:cs="Calibri"/>
          <w:szCs w:val="20"/>
        </w:rPr>
        <w:t xml:space="preserve">sprawie poziomów recyklingu, przygotowania do ponownego </w:t>
      </w:r>
      <w:r w:rsidRPr="00404DA5">
        <w:rPr>
          <w:rFonts w:cs="Calibri"/>
          <w:szCs w:val="20"/>
        </w:rPr>
        <w:lastRenderedPageBreak/>
        <w:t>użycia</w:t>
      </w:r>
      <w:r w:rsidR="00E66B89">
        <w:rPr>
          <w:rFonts w:cs="Calibri"/>
          <w:szCs w:val="20"/>
        </w:rPr>
        <w:t xml:space="preserve"> i </w:t>
      </w:r>
      <w:r w:rsidRPr="00404DA5">
        <w:rPr>
          <w:rFonts w:cs="Calibri"/>
          <w:szCs w:val="20"/>
        </w:rPr>
        <w:t>odzysku innymi metodami niektórych frakcji odpadów komunalnych (Dz.U.</w:t>
      </w:r>
      <w:r w:rsidR="00E66B89">
        <w:rPr>
          <w:rFonts w:cs="Calibri"/>
          <w:szCs w:val="20"/>
        </w:rPr>
        <w:t xml:space="preserve"> z </w:t>
      </w:r>
      <w:r w:rsidRPr="00404DA5">
        <w:rPr>
          <w:rFonts w:cs="Calibri"/>
          <w:szCs w:val="20"/>
        </w:rPr>
        <w:t>2012 r. poz. 645). Zgodnie</w:t>
      </w:r>
      <w:r w:rsidR="00E66B89">
        <w:rPr>
          <w:rFonts w:cs="Calibri"/>
          <w:szCs w:val="20"/>
        </w:rPr>
        <w:t xml:space="preserve"> z </w:t>
      </w:r>
      <w:r w:rsidRPr="00404DA5">
        <w:rPr>
          <w:rFonts w:cs="Calibri"/>
          <w:szCs w:val="20"/>
        </w:rPr>
        <w:t>nimi</w:t>
      </w:r>
      <w:r>
        <w:rPr>
          <w:rFonts w:cs="Calibri"/>
          <w:szCs w:val="20"/>
        </w:rPr>
        <w:t>,</w:t>
      </w:r>
      <w:r w:rsidRPr="00404DA5">
        <w:rPr>
          <w:rFonts w:cs="Calibri"/>
          <w:szCs w:val="20"/>
        </w:rPr>
        <w:t xml:space="preserve"> wyznaczone poziomy recyklingu</w:t>
      </w:r>
      <w:r w:rsidR="00E66B89">
        <w:rPr>
          <w:rFonts w:cs="Calibri"/>
          <w:szCs w:val="20"/>
        </w:rPr>
        <w:t xml:space="preserve"> w </w:t>
      </w:r>
      <w:r w:rsidRPr="00404DA5">
        <w:rPr>
          <w:rFonts w:cs="Calibri"/>
          <w:szCs w:val="20"/>
        </w:rPr>
        <w:t>poszczególnych latach przedstawiają się następująco.</w:t>
      </w:r>
    </w:p>
    <w:p w14:paraId="16850972" w14:textId="77777777" w:rsidR="009D215A" w:rsidRPr="00436D27" w:rsidRDefault="009D215A" w:rsidP="006E34DC">
      <w:pPr>
        <w:pStyle w:val="Legenda"/>
        <w:spacing w:after="0"/>
      </w:pPr>
      <w:bookmarkStart w:id="115" w:name="_Toc8824162"/>
      <w:r w:rsidRPr="00436D27">
        <w:t xml:space="preserve">Tabela </w:t>
      </w:r>
      <w:r>
        <w:fldChar w:fldCharType="begin"/>
      </w:r>
      <w:r>
        <w:instrText xml:space="preserve"> SEQ Tabela \* ARABIC </w:instrText>
      </w:r>
      <w:r>
        <w:fldChar w:fldCharType="separate"/>
      </w:r>
      <w:r w:rsidR="00763345">
        <w:rPr>
          <w:noProof/>
        </w:rPr>
        <w:t>51</w:t>
      </w:r>
      <w:r>
        <w:fldChar w:fldCharType="end"/>
      </w:r>
      <w:r w:rsidRPr="00436D27">
        <w:t xml:space="preserve"> Wymagane obowiązującymi przepisami prawa określone poziomy recyklingu</w:t>
      </w:r>
      <w:r w:rsidR="00E66B89">
        <w:t xml:space="preserve"> i </w:t>
      </w:r>
      <w:r w:rsidRPr="00436D27">
        <w:t>przygotowania do ponownego użycia niezbędne do wykazania przez gminy</w:t>
      </w:r>
      <w:r w:rsidR="00E66B89">
        <w:t xml:space="preserve"> w </w:t>
      </w:r>
      <w:r w:rsidRPr="00436D27">
        <w:t>danym roku rozliczeniowym</w:t>
      </w:r>
      <w:r w:rsidR="00E66B89">
        <w:t xml:space="preserve"> w </w:t>
      </w:r>
      <w:r w:rsidRPr="00436D27">
        <w:t>[%].</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836"/>
        <w:gridCol w:w="836"/>
        <w:gridCol w:w="836"/>
        <w:gridCol w:w="836"/>
        <w:gridCol w:w="836"/>
        <w:gridCol w:w="837"/>
        <w:gridCol w:w="837"/>
        <w:gridCol w:w="837"/>
        <w:gridCol w:w="834"/>
      </w:tblGrid>
      <w:tr w:rsidR="009D215A" w:rsidRPr="00436D27" w14:paraId="3D901AF7" w14:textId="77777777" w:rsidTr="00EE58A9">
        <w:trPr>
          <w:tblHeader/>
        </w:trPr>
        <w:tc>
          <w:tcPr>
            <w:tcW w:w="848" w:type="pct"/>
            <w:shd w:val="clear" w:color="auto" w:fill="DBE5F1"/>
          </w:tcPr>
          <w:p w14:paraId="08C81430" w14:textId="77777777" w:rsidR="009D215A" w:rsidRPr="00404DA5" w:rsidRDefault="009D215A" w:rsidP="00EE58A9">
            <w:pPr>
              <w:rPr>
                <w:rFonts w:cs="Calibri"/>
                <w:sz w:val="16"/>
                <w:szCs w:val="16"/>
              </w:rPr>
            </w:pPr>
          </w:p>
        </w:tc>
        <w:tc>
          <w:tcPr>
            <w:tcW w:w="461" w:type="pct"/>
            <w:shd w:val="clear" w:color="auto" w:fill="DBE5F1"/>
            <w:vAlign w:val="center"/>
          </w:tcPr>
          <w:p w14:paraId="7EBB2AA2" w14:textId="77777777" w:rsidR="009D215A" w:rsidRPr="00404DA5" w:rsidRDefault="009D215A" w:rsidP="00EE58A9">
            <w:pPr>
              <w:rPr>
                <w:rFonts w:cs="Calibri"/>
                <w:sz w:val="16"/>
                <w:szCs w:val="16"/>
              </w:rPr>
            </w:pPr>
            <w:r w:rsidRPr="00404DA5">
              <w:rPr>
                <w:rFonts w:cs="Calibri"/>
                <w:sz w:val="16"/>
                <w:szCs w:val="16"/>
              </w:rPr>
              <w:t>2012 r.</w:t>
            </w:r>
          </w:p>
        </w:tc>
        <w:tc>
          <w:tcPr>
            <w:tcW w:w="461" w:type="pct"/>
            <w:shd w:val="clear" w:color="auto" w:fill="DBE5F1"/>
            <w:vAlign w:val="center"/>
          </w:tcPr>
          <w:p w14:paraId="6D5F87B4" w14:textId="77777777" w:rsidR="009D215A" w:rsidRPr="00404DA5" w:rsidRDefault="009D215A" w:rsidP="00EE58A9">
            <w:pPr>
              <w:rPr>
                <w:rFonts w:cs="Calibri"/>
                <w:sz w:val="16"/>
                <w:szCs w:val="16"/>
              </w:rPr>
            </w:pPr>
            <w:r w:rsidRPr="00404DA5">
              <w:rPr>
                <w:rFonts w:cs="Calibri"/>
                <w:sz w:val="16"/>
                <w:szCs w:val="16"/>
              </w:rPr>
              <w:t>2013 r.</w:t>
            </w:r>
          </w:p>
        </w:tc>
        <w:tc>
          <w:tcPr>
            <w:tcW w:w="461" w:type="pct"/>
            <w:shd w:val="clear" w:color="auto" w:fill="DBE5F1"/>
            <w:vAlign w:val="center"/>
          </w:tcPr>
          <w:p w14:paraId="04E5F22A" w14:textId="77777777" w:rsidR="009D215A" w:rsidRPr="00404DA5" w:rsidRDefault="009D215A" w:rsidP="00EE58A9">
            <w:pPr>
              <w:rPr>
                <w:rFonts w:cs="Calibri"/>
                <w:sz w:val="16"/>
                <w:szCs w:val="16"/>
              </w:rPr>
            </w:pPr>
            <w:r w:rsidRPr="00404DA5">
              <w:rPr>
                <w:rFonts w:cs="Calibri"/>
                <w:sz w:val="16"/>
                <w:szCs w:val="16"/>
              </w:rPr>
              <w:t>2014 r.</w:t>
            </w:r>
          </w:p>
        </w:tc>
        <w:tc>
          <w:tcPr>
            <w:tcW w:w="461" w:type="pct"/>
            <w:shd w:val="clear" w:color="auto" w:fill="DBE5F1"/>
            <w:vAlign w:val="center"/>
          </w:tcPr>
          <w:p w14:paraId="0487ECC9" w14:textId="77777777" w:rsidR="009D215A" w:rsidRPr="00404DA5" w:rsidRDefault="009D215A" w:rsidP="00EE58A9">
            <w:pPr>
              <w:rPr>
                <w:rFonts w:cs="Calibri"/>
                <w:sz w:val="16"/>
                <w:szCs w:val="16"/>
              </w:rPr>
            </w:pPr>
            <w:r w:rsidRPr="00404DA5">
              <w:rPr>
                <w:rFonts w:cs="Calibri"/>
                <w:sz w:val="16"/>
                <w:szCs w:val="16"/>
              </w:rPr>
              <w:t>2015 r.</w:t>
            </w:r>
          </w:p>
        </w:tc>
        <w:tc>
          <w:tcPr>
            <w:tcW w:w="461" w:type="pct"/>
            <w:shd w:val="clear" w:color="auto" w:fill="DBE5F1"/>
            <w:vAlign w:val="center"/>
          </w:tcPr>
          <w:p w14:paraId="6D937EFC" w14:textId="77777777" w:rsidR="009D215A" w:rsidRPr="00404DA5" w:rsidRDefault="009D215A" w:rsidP="00EE58A9">
            <w:pPr>
              <w:rPr>
                <w:rFonts w:cs="Calibri"/>
                <w:sz w:val="16"/>
                <w:szCs w:val="16"/>
              </w:rPr>
            </w:pPr>
            <w:r w:rsidRPr="00404DA5">
              <w:rPr>
                <w:rFonts w:cs="Calibri"/>
                <w:sz w:val="16"/>
                <w:szCs w:val="16"/>
              </w:rPr>
              <w:t>2016 r.</w:t>
            </w:r>
          </w:p>
        </w:tc>
        <w:tc>
          <w:tcPr>
            <w:tcW w:w="462" w:type="pct"/>
            <w:shd w:val="clear" w:color="auto" w:fill="DBE5F1"/>
            <w:vAlign w:val="center"/>
          </w:tcPr>
          <w:p w14:paraId="4E7B6A94" w14:textId="77777777" w:rsidR="009D215A" w:rsidRPr="00404DA5" w:rsidRDefault="009D215A" w:rsidP="00EE58A9">
            <w:pPr>
              <w:rPr>
                <w:rFonts w:cs="Calibri"/>
                <w:sz w:val="16"/>
                <w:szCs w:val="16"/>
              </w:rPr>
            </w:pPr>
            <w:r w:rsidRPr="00404DA5">
              <w:rPr>
                <w:rFonts w:cs="Calibri"/>
                <w:sz w:val="16"/>
                <w:szCs w:val="16"/>
              </w:rPr>
              <w:t>2017 r.</w:t>
            </w:r>
          </w:p>
        </w:tc>
        <w:tc>
          <w:tcPr>
            <w:tcW w:w="462" w:type="pct"/>
            <w:shd w:val="clear" w:color="auto" w:fill="DBE5F1"/>
            <w:vAlign w:val="center"/>
          </w:tcPr>
          <w:p w14:paraId="6FB4924B" w14:textId="77777777" w:rsidR="009D215A" w:rsidRPr="00404DA5" w:rsidRDefault="009D215A" w:rsidP="00EE58A9">
            <w:pPr>
              <w:rPr>
                <w:rFonts w:cs="Calibri"/>
                <w:sz w:val="16"/>
                <w:szCs w:val="16"/>
              </w:rPr>
            </w:pPr>
            <w:r w:rsidRPr="00404DA5">
              <w:rPr>
                <w:rFonts w:cs="Calibri"/>
                <w:sz w:val="16"/>
                <w:szCs w:val="16"/>
              </w:rPr>
              <w:t>2018 r.</w:t>
            </w:r>
          </w:p>
        </w:tc>
        <w:tc>
          <w:tcPr>
            <w:tcW w:w="462" w:type="pct"/>
            <w:shd w:val="clear" w:color="auto" w:fill="DBE5F1"/>
            <w:vAlign w:val="center"/>
          </w:tcPr>
          <w:p w14:paraId="7D5D41FA" w14:textId="77777777" w:rsidR="009D215A" w:rsidRPr="00404DA5" w:rsidRDefault="009D215A" w:rsidP="00EE58A9">
            <w:pPr>
              <w:rPr>
                <w:rFonts w:cs="Calibri"/>
                <w:sz w:val="16"/>
                <w:szCs w:val="16"/>
              </w:rPr>
            </w:pPr>
            <w:r w:rsidRPr="00404DA5">
              <w:rPr>
                <w:rFonts w:cs="Calibri"/>
                <w:sz w:val="16"/>
                <w:szCs w:val="16"/>
              </w:rPr>
              <w:t>2019 r.</w:t>
            </w:r>
          </w:p>
        </w:tc>
        <w:tc>
          <w:tcPr>
            <w:tcW w:w="460" w:type="pct"/>
            <w:shd w:val="clear" w:color="auto" w:fill="DBE5F1"/>
            <w:vAlign w:val="center"/>
          </w:tcPr>
          <w:p w14:paraId="7DB90209" w14:textId="77777777" w:rsidR="009D215A" w:rsidRPr="00404DA5" w:rsidRDefault="009D215A" w:rsidP="00EE58A9">
            <w:pPr>
              <w:rPr>
                <w:rFonts w:cs="Calibri"/>
                <w:sz w:val="16"/>
                <w:szCs w:val="16"/>
              </w:rPr>
            </w:pPr>
            <w:r w:rsidRPr="00404DA5">
              <w:rPr>
                <w:rFonts w:cs="Calibri"/>
                <w:sz w:val="16"/>
                <w:szCs w:val="16"/>
              </w:rPr>
              <w:t>2020 r.</w:t>
            </w:r>
          </w:p>
        </w:tc>
      </w:tr>
      <w:tr w:rsidR="009D215A" w:rsidRPr="00436D27" w14:paraId="06BDDAD9" w14:textId="77777777" w:rsidTr="00EE58A9">
        <w:trPr>
          <w:trHeight w:val="730"/>
        </w:trPr>
        <w:tc>
          <w:tcPr>
            <w:tcW w:w="848" w:type="pct"/>
          </w:tcPr>
          <w:p w14:paraId="5C674DC5" w14:textId="77777777" w:rsidR="009D215A" w:rsidRPr="00404DA5" w:rsidRDefault="009D215A" w:rsidP="00EE58A9">
            <w:pPr>
              <w:rPr>
                <w:rFonts w:cs="Calibri"/>
                <w:sz w:val="16"/>
                <w:szCs w:val="16"/>
              </w:rPr>
            </w:pPr>
            <w:r w:rsidRPr="00404DA5">
              <w:rPr>
                <w:rFonts w:cs="Calibri"/>
                <w:sz w:val="16"/>
                <w:szCs w:val="16"/>
              </w:rPr>
              <w:t>Papier, metal, tworzywa sztuczne, szkło</w:t>
            </w:r>
          </w:p>
        </w:tc>
        <w:tc>
          <w:tcPr>
            <w:tcW w:w="461" w:type="pct"/>
            <w:vAlign w:val="center"/>
          </w:tcPr>
          <w:p w14:paraId="021F68D2" w14:textId="77777777" w:rsidR="009D215A" w:rsidRPr="00404DA5" w:rsidRDefault="009D215A" w:rsidP="00EE58A9">
            <w:pPr>
              <w:jc w:val="center"/>
              <w:rPr>
                <w:rFonts w:cs="Calibri"/>
                <w:sz w:val="16"/>
                <w:szCs w:val="16"/>
              </w:rPr>
            </w:pPr>
            <w:r w:rsidRPr="00404DA5">
              <w:rPr>
                <w:rFonts w:cs="Calibri"/>
                <w:sz w:val="16"/>
                <w:szCs w:val="16"/>
              </w:rPr>
              <w:t>10</w:t>
            </w:r>
          </w:p>
        </w:tc>
        <w:tc>
          <w:tcPr>
            <w:tcW w:w="461" w:type="pct"/>
            <w:vAlign w:val="center"/>
          </w:tcPr>
          <w:p w14:paraId="0A04E322" w14:textId="77777777" w:rsidR="009D215A" w:rsidRPr="00404DA5" w:rsidRDefault="009D215A" w:rsidP="00EE58A9">
            <w:pPr>
              <w:jc w:val="center"/>
              <w:rPr>
                <w:rFonts w:cs="Calibri"/>
                <w:sz w:val="16"/>
                <w:szCs w:val="16"/>
              </w:rPr>
            </w:pPr>
            <w:r w:rsidRPr="00404DA5">
              <w:rPr>
                <w:rFonts w:cs="Calibri"/>
                <w:sz w:val="16"/>
                <w:szCs w:val="16"/>
              </w:rPr>
              <w:t>12</w:t>
            </w:r>
          </w:p>
        </w:tc>
        <w:tc>
          <w:tcPr>
            <w:tcW w:w="461" w:type="pct"/>
            <w:vAlign w:val="center"/>
          </w:tcPr>
          <w:p w14:paraId="788A5496" w14:textId="77777777" w:rsidR="009D215A" w:rsidRPr="00404DA5" w:rsidRDefault="009D215A" w:rsidP="00EE58A9">
            <w:pPr>
              <w:jc w:val="center"/>
              <w:rPr>
                <w:rFonts w:cs="Calibri"/>
                <w:sz w:val="16"/>
                <w:szCs w:val="16"/>
              </w:rPr>
            </w:pPr>
            <w:r w:rsidRPr="00404DA5">
              <w:rPr>
                <w:rFonts w:cs="Calibri"/>
                <w:sz w:val="16"/>
                <w:szCs w:val="16"/>
              </w:rPr>
              <w:t>14</w:t>
            </w:r>
          </w:p>
        </w:tc>
        <w:tc>
          <w:tcPr>
            <w:tcW w:w="461" w:type="pct"/>
            <w:vAlign w:val="center"/>
          </w:tcPr>
          <w:p w14:paraId="6DDBE907" w14:textId="77777777" w:rsidR="009D215A" w:rsidRPr="00404DA5" w:rsidRDefault="009D215A" w:rsidP="00EE58A9">
            <w:pPr>
              <w:jc w:val="center"/>
              <w:rPr>
                <w:rFonts w:cs="Calibri"/>
                <w:sz w:val="16"/>
                <w:szCs w:val="16"/>
              </w:rPr>
            </w:pPr>
            <w:r w:rsidRPr="00404DA5">
              <w:rPr>
                <w:rFonts w:cs="Calibri"/>
                <w:sz w:val="16"/>
                <w:szCs w:val="16"/>
              </w:rPr>
              <w:t>16</w:t>
            </w:r>
          </w:p>
        </w:tc>
        <w:tc>
          <w:tcPr>
            <w:tcW w:w="461" w:type="pct"/>
            <w:vAlign w:val="center"/>
          </w:tcPr>
          <w:p w14:paraId="2887ADDA" w14:textId="77777777" w:rsidR="009D215A" w:rsidRPr="00404DA5" w:rsidRDefault="009D215A" w:rsidP="00EE58A9">
            <w:pPr>
              <w:jc w:val="center"/>
              <w:rPr>
                <w:rFonts w:cs="Calibri"/>
                <w:sz w:val="16"/>
                <w:szCs w:val="16"/>
              </w:rPr>
            </w:pPr>
            <w:r w:rsidRPr="00404DA5">
              <w:rPr>
                <w:rFonts w:cs="Calibri"/>
                <w:sz w:val="16"/>
                <w:szCs w:val="16"/>
              </w:rPr>
              <w:t>18</w:t>
            </w:r>
          </w:p>
        </w:tc>
        <w:tc>
          <w:tcPr>
            <w:tcW w:w="462" w:type="pct"/>
            <w:vAlign w:val="center"/>
          </w:tcPr>
          <w:p w14:paraId="782544DB" w14:textId="77777777" w:rsidR="009D215A" w:rsidRPr="00404DA5" w:rsidRDefault="009D215A" w:rsidP="00EE58A9">
            <w:pPr>
              <w:jc w:val="center"/>
              <w:rPr>
                <w:rFonts w:cs="Calibri"/>
                <w:sz w:val="16"/>
                <w:szCs w:val="16"/>
              </w:rPr>
            </w:pPr>
            <w:r w:rsidRPr="00404DA5">
              <w:rPr>
                <w:rFonts w:cs="Calibri"/>
                <w:sz w:val="16"/>
                <w:szCs w:val="16"/>
              </w:rPr>
              <w:t>20</w:t>
            </w:r>
          </w:p>
        </w:tc>
        <w:tc>
          <w:tcPr>
            <w:tcW w:w="462" w:type="pct"/>
            <w:vAlign w:val="center"/>
          </w:tcPr>
          <w:p w14:paraId="48CF7C65" w14:textId="77777777" w:rsidR="009D215A" w:rsidRPr="00404DA5" w:rsidRDefault="009D215A" w:rsidP="00EE58A9">
            <w:pPr>
              <w:jc w:val="center"/>
              <w:rPr>
                <w:rFonts w:cs="Calibri"/>
                <w:sz w:val="16"/>
                <w:szCs w:val="16"/>
              </w:rPr>
            </w:pPr>
            <w:r w:rsidRPr="00404DA5">
              <w:rPr>
                <w:rFonts w:cs="Calibri"/>
                <w:sz w:val="16"/>
                <w:szCs w:val="16"/>
              </w:rPr>
              <w:t>30</w:t>
            </w:r>
          </w:p>
        </w:tc>
        <w:tc>
          <w:tcPr>
            <w:tcW w:w="462" w:type="pct"/>
            <w:vAlign w:val="center"/>
          </w:tcPr>
          <w:p w14:paraId="5AE40BD3" w14:textId="77777777" w:rsidR="009D215A" w:rsidRPr="00404DA5" w:rsidRDefault="009D215A" w:rsidP="00EE58A9">
            <w:pPr>
              <w:jc w:val="center"/>
              <w:rPr>
                <w:rFonts w:cs="Calibri"/>
                <w:sz w:val="16"/>
                <w:szCs w:val="16"/>
              </w:rPr>
            </w:pPr>
            <w:r w:rsidRPr="00404DA5">
              <w:rPr>
                <w:rFonts w:cs="Calibri"/>
                <w:sz w:val="16"/>
                <w:szCs w:val="16"/>
              </w:rPr>
              <w:t>40</w:t>
            </w:r>
          </w:p>
        </w:tc>
        <w:tc>
          <w:tcPr>
            <w:tcW w:w="460" w:type="pct"/>
            <w:vAlign w:val="center"/>
          </w:tcPr>
          <w:p w14:paraId="79A69562" w14:textId="77777777" w:rsidR="009D215A" w:rsidRPr="00404DA5" w:rsidRDefault="009D215A" w:rsidP="00EE58A9">
            <w:pPr>
              <w:jc w:val="center"/>
              <w:rPr>
                <w:rFonts w:cs="Calibri"/>
                <w:sz w:val="16"/>
                <w:szCs w:val="16"/>
              </w:rPr>
            </w:pPr>
            <w:r w:rsidRPr="00404DA5">
              <w:rPr>
                <w:rFonts w:cs="Calibri"/>
                <w:sz w:val="16"/>
                <w:szCs w:val="16"/>
              </w:rPr>
              <w:t>50</w:t>
            </w:r>
          </w:p>
        </w:tc>
      </w:tr>
      <w:tr w:rsidR="009D215A" w:rsidRPr="00436D27" w14:paraId="38C5D4A5" w14:textId="77777777" w:rsidTr="00EE58A9">
        <w:trPr>
          <w:trHeight w:val="730"/>
        </w:trPr>
        <w:tc>
          <w:tcPr>
            <w:tcW w:w="848" w:type="pct"/>
          </w:tcPr>
          <w:p w14:paraId="3C816F41" w14:textId="77777777" w:rsidR="009D215A" w:rsidRPr="00404DA5" w:rsidRDefault="009D215A" w:rsidP="00EE58A9">
            <w:pPr>
              <w:rPr>
                <w:rFonts w:cs="Calibri"/>
                <w:sz w:val="16"/>
                <w:szCs w:val="16"/>
              </w:rPr>
            </w:pPr>
            <w:r w:rsidRPr="00404DA5">
              <w:rPr>
                <w:rFonts w:cs="Calibri"/>
                <w:sz w:val="16"/>
                <w:szCs w:val="16"/>
              </w:rPr>
              <w:t>Inne niż niebezpieczne odpady budowlane</w:t>
            </w:r>
            <w:r w:rsidR="00E66B89">
              <w:rPr>
                <w:rFonts w:cs="Calibri"/>
                <w:sz w:val="16"/>
                <w:szCs w:val="16"/>
              </w:rPr>
              <w:t xml:space="preserve"> i </w:t>
            </w:r>
            <w:r w:rsidRPr="00404DA5">
              <w:rPr>
                <w:rFonts w:cs="Calibri"/>
                <w:sz w:val="16"/>
                <w:szCs w:val="16"/>
              </w:rPr>
              <w:t>rozbiórkowe</w:t>
            </w:r>
          </w:p>
        </w:tc>
        <w:tc>
          <w:tcPr>
            <w:tcW w:w="461" w:type="pct"/>
            <w:vAlign w:val="center"/>
          </w:tcPr>
          <w:p w14:paraId="4C95E1D6" w14:textId="77777777" w:rsidR="009D215A" w:rsidRPr="00404DA5" w:rsidRDefault="009D215A" w:rsidP="00EE58A9">
            <w:pPr>
              <w:jc w:val="center"/>
              <w:rPr>
                <w:rFonts w:cs="Calibri"/>
                <w:sz w:val="16"/>
                <w:szCs w:val="16"/>
              </w:rPr>
            </w:pPr>
            <w:r w:rsidRPr="00404DA5">
              <w:rPr>
                <w:rFonts w:cs="Calibri"/>
                <w:sz w:val="16"/>
                <w:szCs w:val="16"/>
              </w:rPr>
              <w:t>30</w:t>
            </w:r>
          </w:p>
        </w:tc>
        <w:tc>
          <w:tcPr>
            <w:tcW w:w="461" w:type="pct"/>
            <w:vAlign w:val="center"/>
          </w:tcPr>
          <w:p w14:paraId="2D05A4B0" w14:textId="77777777" w:rsidR="009D215A" w:rsidRPr="00404DA5" w:rsidRDefault="009D215A" w:rsidP="00EE58A9">
            <w:pPr>
              <w:jc w:val="center"/>
              <w:rPr>
                <w:rFonts w:cs="Calibri"/>
                <w:sz w:val="16"/>
                <w:szCs w:val="16"/>
              </w:rPr>
            </w:pPr>
            <w:r w:rsidRPr="00404DA5">
              <w:rPr>
                <w:rFonts w:cs="Calibri"/>
                <w:sz w:val="16"/>
                <w:szCs w:val="16"/>
              </w:rPr>
              <w:t>36</w:t>
            </w:r>
          </w:p>
        </w:tc>
        <w:tc>
          <w:tcPr>
            <w:tcW w:w="461" w:type="pct"/>
            <w:vAlign w:val="center"/>
          </w:tcPr>
          <w:p w14:paraId="4C8BB486" w14:textId="77777777" w:rsidR="009D215A" w:rsidRPr="00404DA5" w:rsidRDefault="009D215A" w:rsidP="00EE58A9">
            <w:pPr>
              <w:jc w:val="center"/>
              <w:rPr>
                <w:rFonts w:cs="Calibri"/>
                <w:sz w:val="16"/>
                <w:szCs w:val="16"/>
              </w:rPr>
            </w:pPr>
            <w:r w:rsidRPr="00404DA5">
              <w:rPr>
                <w:rFonts w:cs="Calibri"/>
                <w:sz w:val="16"/>
                <w:szCs w:val="16"/>
              </w:rPr>
              <w:t>38</w:t>
            </w:r>
          </w:p>
        </w:tc>
        <w:tc>
          <w:tcPr>
            <w:tcW w:w="461" w:type="pct"/>
            <w:vAlign w:val="center"/>
          </w:tcPr>
          <w:p w14:paraId="2699688D" w14:textId="77777777" w:rsidR="009D215A" w:rsidRPr="00404DA5" w:rsidRDefault="009D215A" w:rsidP="00EE58A9">
            <w:pPr>
              <w:jc w:val="center"/>
              <w:rPr>
                <w:rFonts w:cs="Calibri"/>
                <w:sz w:val="16"/>
                <w:szCs w:val="16"/>
              </w:rPr>
            </w:pPr>
            <w:r w:rsidRPr="00404DA5">
              <w:rPr>
                <w:rFonts w:cs="Calibri"/>
                <w:sz w:val="16"/>
                <w:szCs w:val="16"/>
              </w:rPr>
              <w:t>40</w:t>
            </w:r>
          </w:p>
        </w:tc>
        <w:tc>
          <w:tcPr>
            <w:tcW w:w="461" w:type="pct"/>
            <w:vAlign w:val="center"/>
          </w:tcPr>
          <w:p w14:paraId="664CA3F7" w14:textId="77777777" w:rsidR="009D215A" w:rsidRPr="00404DA5" w:rsidRDefault="009D215A" w:rsidP="00EE58A9">
            <w:pPr>
              <w:jc w:val="center"/>
              <w:rPr>
                <w:rFonts w:cs="Calibri"/>
                <w:sz w:val="16"/>
                <w:szCs w:val="16"/>
              </w:rPr>
            </w:pPr>
            <w:r w:rsidRPr="00404DA5">
              <w:rPr>
                <w:rFonts w:cs="Calibri"/>
                <w:sz w:val="16"/>
                <w:szCs w:val="16"/>
              </w:rPr>
              <w:t>42</w:t>
            </w:r>
          </w:p>
        </w:tc>
        <w:tc>
          <w:tcPr>
            <w:tcW w:w="462" w:type="pct"/>
            <w:vAlign w:val="center"/>
          </w:tcPr>
          <w:p w14:paraId="253B2428" w14:textId="77777777" w:rsidR="009D215A" w:rsidRPr="00404DA5" w:rsidRDefault="009D215A" w:rsidP="00EE58A9">
            <w:pPr>
              <w:jc w:val="center"/>
              <w:rPr>
                <w:rFonts w:cs="Calibri"/>
                <w:sz w:val="16"/>
                <w:szCs w:val="16"/>
              </w:rPr>
            </w:pPr>
            <w:r w:rsidRPr="00404DA5">
              <w:rPr>
                <w:rFonts w:cs="Calibri"/>
                <w:sz w:val="16"/>
                <w:szCs w:val="16"/>
              </w:rPr>
              <w:t>45</w:t>
            </w:r>
          </w:p>
        </w:tc>
        <w:tc>
          <w:tcPr>
            <w:tcW w:w="462" w:type="pct"/>
            <w:vAlign w:val="center"/>
          </w:tcPr>
          <w:p w14:paraId="68E6DBCF" w14:textId="77777777" w:rsidR="009D215A" w:rsidRPr="00404DA5" w:rsidRDefault="009D215A" w:rsidP="00EE58A9">
            <w:pPr>
              <w:jc w:val="center"/>
              <w:rPr>
                <w:rFonts w:cs="Calibri"/>
                <w:sz w:val="16"/>
                <w:szCs w:val="16"/>
              </w:rPr>
            </w:pPr>
            <w:r w:rsidRPr="00404DA5">
              <w:rPr>
                <w:rFonts w:cs="Calibri"/>
                <w:sz w:val="16"/>
                <w:szCs w:val="16"/>
              </w:rPr>
              <w:t>50</w:t>
            </w:r>
          </w:p>
        </w:tc>
        <w:tc>
          <w:tcPr>
            <w:tcW w:w="462" w:type="pct"/>
            <w:vAlign w:val="center"/>
          </w:tcPr>
          <w:p w14:paraId="7B8B86C3" w14:textId="77777777" w:rsidR="009D215A" w:rsidRPr="00404DA5" w:rsidRDefault="009D215A" w:rsidP="00EE58A9">
            <w:pPr>
              <w:jc w:val="center"/>
              <w:rPr>
                <w:rFonts w:cs="Calibri"/>
                <w:sz w:val="16"/>
                <w:szCs w:val="16"/>
              </w:rPr>
            </w:pPr>
            <w:r w:rsidRPr="00404DA5">
              <w:rPr>
                <w:rFonts w:cs="Calibri"/>
                <w:sz w:val="16"/>
                <w:szCs w:val="16"/>
              </w:rPr>
              <w:t>60</w:t>
            </w:r>
          </w:p>
        </w:tc>
        <w:tc>
          <w:tcPr>
            <w:tcW w:w="460" w:type="pct"/>
            <w:vAlign w:val="center"/>
          </w:tcPr>
          <w:p w14:paraId="32BDDCA1" w14:textId="77777777" w:rsidR="009D215A" w:rsidRPr="00404DA5" w:rsidRDefault="009D215A" w:rsidP="00EE58A9">
            <w:pPr>
              <w:jc w:val="center"/>
              <w:rPr>
                <w:rFonts w:cs="Calibri"/>
                <w:sz w:val="16"/>
                <w:szCs w:val="16"/>
              </w:rPr>
            </w:pPr>
            <w:r w:rsidRPr="00404DA5">
              <w:rPr>
                <w:rFonts w:cs="Calibri"/>
                <w:sz w:val="16"/>
                <w:szCs w:val="16"/>
              </w:rPr>
              <w:t>70</w:t>
            </w:r>
          </w:p>
        </w:tc>
      </w:tr>
    </w:tbl>
    <w:p w14:paraId="187B94B6" w14:textId="77777777" w:rsidR="009D215A" w:rsidRPr="002A5FDF" w:rsidRDefault="009D215A" w:rsidP="005076BF">
      <w:pPr>
        <w:spacing w:before="0"/>
        <w:rPr>
          <w:i/>
          <w:sz w:val="18"/>
          <w:szCs w:val="20"/>
        </w:rPr>
      </w:pPr>
      <w:r w:rsidRPr="002A5FDF">
        <w:rPr>
          <w:i/>
          <w:sz w:val="18"/>
          <w:szCs w:val="20"/>
        </w:rPr>
        <w:t>Źródło: rozporządzenie Ministra Środowiska</w:t>
      </w:r>
      <w:r w:rsidR="00E66B89" w:rsidRPr="002A5FDF">
        <w:rPr>
          <w:i/>
          <w:sz w:val="18"/>
          <w:szCs w:val="20"/>
        </w:rPr>
        <w:t xml:space="preserve"> z </w:t>
      </w:r>
      <w:r w:rsidRPr="002A5FDF">
        <w:rPr>
          <w:i/>
          <w:sz w:val="18"/>
          <w:szCs w:val="20"/>
        </w:rPr>
        <w:t>dnia 29 maja 2012 r.</w:t>
      </w:r>
      <w:r w:rsidR="00E66B89" w:rsidRPr="002A5FDF">
        <w:rPr>
          <w:i/>
          <w:sz w:val="18"/>
          <w:szCs w:val="20"/>
        </w:rPr>
        <w:t xml:space="preserve"> w </w:t>
      </w:r>
      <w:r w:rsidRPr="002A5FDF">
        <w:rPr>
          <w:i/>
          <w:sz w:val="18"/>
          <w:szCs w:val="20"/>
        </w:rPr>
        <w:t>sprawie poziomów recyklingu, przygotowania do ponownego użycia</w:t>
      </w:r>
      <w:r w:rsidR="00E66B89" w:rsidRPr="002A5FDF">
        <w:rPr>
          <w:i/>
          <w:sz w:val="18"/>
          <w:szCs w:val="20"/>
        </w:rPr>
        <w:t xml:space="preserve"> i </w:t>
      </w:r>
      <w:r w:rsidRPr="002A5FDF">
        <w:rPr>
          <w:i/>
          <w:sz w:val="18"/>
          <w:szCs w:val="20"/>
        </w:rPr>
        <w:t>odzysku innymi metodami niektórych frakcji odpadów komunalnych (Dz.U.</w:t>
      </w:r>
      <w:r w:rsidR="00E66B89" w:rsidRPr="002A5FDF">
        <w:rPr>
          <w:i/>
          <w:sz w:val="18"/>
          <w:szCs w:val="20"/>
        </w:rPr>
        <w:t xml:space="preserve"> z </w:t>
      </w:r>
      <w:r w:rsidRPr="002A5FDF">
        <w:rPr>
          <w:i/>
          <w:sz w:val="18"/>
          <w:szCs w:val="20"/>
        </w:rPr>
        <w:t>2012 r. poz. 645).</w:t>
      </w:r>
    </w:p>
    <w:p w14:paraId="5804CAA1" w14:textId="77777777" w:rsidR="009D215A" w:rsidRPr="00404DA5" w:rsidRDefault="009D215A" w:rsidP="009D215A">
      <w:pPr>
        <w:rPr>
          <w:rFonts w:cs="Calibri"/>
          <w:szCs w:val="20"/>
        </w:rPr>
      </w:pPr>
      <w:r>
        <w:rPr>
          <w:rFonts w:cs="Calibri"/>
          <w:szCs w:val="20"/>
        </w:rPr>
        <w:t>W</w:t>
      </w:r>
      <w:r w:rsidRPr="00404DA5">
        <w:rPr>
          <w:rFonts w:cs="Calibri"/>
          <w:szCs w:val="20"/>
        </w:rPr>
        <w:t>edług danych</w:t>
      </w:r>
      <w:r w:rsidR="00E66B89">
        <w:rPr>
          <w:rFonts w:cs="Calibri"/>
          <w:szCs w:val="20"/>
        </w:rPr>
        <w:t xml:space="preserve"> z </w:t>
      </w:r>
      <w:r w:rsidRPr="00404DA5">
        <w:rPr>
          <w:rFonts w:cs="Calibri"/>
          <w:szCs w:val="20"/>
        </w:rPr>
        <w:t>roku 2017 przedstawionych przez gminy</w:t>
      </w:r>
      <w:r w:rsidR="00E66B89">
        <w:rPr>
          <w:rFonts w:cs="Calibri"/>
          <w:szCs w:val="20"/>
        </w:rPr>
        <w:t xml:space="preserve"> w </w:t>
      </w:r>
      <w:r w:rsidRPr="00404DA5">
        <w:rPr>
          <w:rFonts w:cs="Calibri"/>
          <w:szCs w:val="20"/>
        </w:rPr>
        <w:t>rocznych sprawozdaniach</w:t>
      </w:r>
      <w:r>
        <w:rPr>
          <w:rFonts w:cs="Calibri"/>
          <w:szCs w:val="20"/>
        </w:rPr>
        <w:t xml:space="preserve"> (źródło: dane</w:t>
      </w:r>
      <w:r w:rsidRPr="00404DA5">
        <w:rPr>
          <w:rFonts w:cs="Calibri"/>
          <w:szCs w:val="20"/>
        </w:rPr>
        <w:t xml:space="preserve"> WIOŚ</w:t>
      </w:r>
      <w:r w:rsidR="00E66B89">
        <w:rPr>
          <w:rFonts w:cs="Calibri"/>
          <w:szCs w:val="20"/>
        </w:rPr>
        <w:t xml:space="preserve"> w </w:t>
      </w:r>
      <w:r w:rsidRPr="00404DA5">
        <w:rPr>
          <w:rFonts w:cs="Calibri"/>
          <w:szCs w:val="20"/>
        </w:rPr>
        <w:t>Szczecinie</w:t>
      </w:r>
      <w:r>
        <w:rPr>
          <w:rFonts w:cs="Calibri"/>
          <w:szCs w:val="20"/>
        </w:rPr>
        <w:t>)</w:t>
      </w:r>
      <w:r w:rsidRPr="00404DA5">
        <w:rPr>
          <w:rFonts w:cs="Calibri"/>
          <w:szCs w:val="20"/>
        </w:rPr>
        <w:t xml:space="preserve"> wynika, że 97,4 % gmin osiągnęło</w:t>
      </w:r>
      <w:r>
        <w:rPr>
          <w:rFonts w:cs="Calibri"/>
          <w:szCs w:val="20"/>
        </w:rPr>
        <w:t xml:space="preserve"> -</w:t>
      </w:r>
      <w:r w:rsidRPr="00404DA5">
        <w:rPr>
          <w:rFonts w:cs="Calibri"/>
          <w:szCs w:val="20"/>
        </w:rPr>
        <w:t xml:space="preserve"> wymagany Planem Gospodarki Odpadami dla Województwa Zachodniopomorskiego za lata 2014-2016</w:t>
      </w:r>
      <w:r>
        <w:rPr>
          <w:rFonts w:cs="Calibri"/>
          <w:szCs w:val="20"/>
        </w:rPr>
        <w:t xml:space="preserve"> -</w:t>
      </w:r>
      <w:r w:rsidRPr="00404DA5">
        <w:rPr>
          <w:rFonts w:cs="Calibri"/>
          <w:szCs w:val="20"/>
        </w:rPr>
        <w:t xml:space="preserve"> poziom recyklingu odpadów budowlanych</w:t>
      </w:r>
      <w:r w:rsidR="00E66B89">
        <w:rPr>
          <w:rFonts w:cs="Calibri"/>
          <w:szCs w:val="20"/>
        </w:rPr>
        <w:t xml:space="preserve"> i </w:t>
      </w:r>
      <w:r w:rsidRPr="00404DA5">
        <w:rPr>
          <w:rFonts w:cs="Calibri"/>
          <w:szCs w:val="20"/>
        </w:rPr>
        <w:t>rozbiórkowych, 99,1% gmin osiągnęło wymagany poziom recyklingu</w:t>
      </w:r>
      <w:r w:rsidR="00E66B89">
        <w:rPr>
          <w:rFonts w:cs="Calibri"/>
          <w:szCs w:val="20"/>
        </w:rPr>
        <w:t xml:space="preserve"> i </w:t>
      </w:r>
      <w:r w:rsidRPr="00404DA5">
        <w:rPr>
          <w:rFonts w:cs="Calibri"/>
          <w:szCs w:val="20"/>
        </w:rPr>
        <w:t>przygotowania do ponownego użycia następujących frakcji odpadów komunalnych: papieru, metali, tworzyw sztucznych, szkła. Natomiast wszystkie gminy osiągnęły wymagany poziom ograniczenia składowania odpadów komunalnych ulegających biodegradacji przekazywanych do składowania.</w:t>
      </w:r>
      <w:r w:rsidR="00E66B89">
        <w:rPr>
          <w:rFonts w:cs="Calibri"/>
          <w:szCs w:val="20"/>
        </w:rPr>
        <w:t xml:space="preserve"> W </w:t>
      </w:r>
      <w:r>
        <w:rPr>
          <w:rFonts w:cs="Calibri"/>
          <w:szCs w:val="20"/>
        </w:rPr>
        <w:t>przedmiotowym raporcie ewaluator nie komentuje</w:t>
      </w:r>
      <w:r w:rsidRPr="00404DA5">
        <w:rPr>
          <w:rFonts w:cs="Calibri"/>
          <w:szCs w:val="20"/>
        </w:rPr>
        <w:t xml:space="preserve"> przyjętego sposobu obliczania tych poziomów, który daje gminom duże pole do elastycznego podchodzenia do obliczania wskaźników.</w:t>
      </w:r>
    </w:p>
    <w:p w14:paraId="4ADE6B63" w14:textId="77777777" w:rsidR="009D215A" w:rsidRPr="00404DA5" w:rsidRDefault="009D215A" w:rsidP="009D215A">
      <w:pPr>
        <w:rPr>
          <w:rFonts w:cs="Calibri"/>
          <w:szCs w:val="20"/>
        </w:rPr>
      </w:pPr>
      <w:r w:rsidRPr="00404DA5">
        <w:rPr>
          <w:rFonts w:cs="Calibri"/>
          <w:szCs w:val="20"/>
        </w:rPr>
        <w:t>Ponadto zgodnie</w:t>
      </w:r>
      <w:r w:rsidR="00E66B89">
        <w:rPr>
          <w:rFonts w:cs="Calibri"/>
          <w:szCs w:val="20"/>
        </w:rPr>
        <w:t xml:space="preserve"> z </w:t>
      </w:r>
      <w:r w:rsidRPr="00404DA5">
        <w:rPr>
          <w:rFonts w:cs="Calibri"/>
          <w:szCs w:val="20"/>
        </w:rPr>
        <w:t>KPGO do 2025 r. recyklingowi powinno być poddawane 60% odpadów komunalnych,</w:t>
      </w:r>
      <w:r w:rsidR="00E66B89">
        <w:rPr>
          <w:rFonts w:cs="Calibri"/>
          <w:szCs w:val="20"/>
        </w:rPr>
        <w:t xml:space="preserve"> a </w:t>
      </w:r>
      <w:r w:rsidRPr="00404DA5">
        <w:rPr>
          <w:rFonts w:cs="Calibri"/>
          <w:szCs w:val="20"/>
        </w:rPr>
        <w:t>do 2030 r. recyklingowi powinno być poddawane 65% odpadów komunalnych.</w:t>
      </w:r>
    </w:p>
    <w:p w14:paraId="51CA9A31" w14:textId="77777777" w:rsidR="009D215A" w:rsidRPr="00404DA5" w:rsidRDefault="009D215A" w:rsidP="009D215A">
      <w:pPr>
        <w:rPr>
          <w:rFonts w:cs="Calibri"/>
          <w:szCs w:val="20"/>
        </w:rPr>
      </w:pPr>
      <w:r w:rsidRPr="00404DA5">
        <w:rPr>
          <w:rFonts w:cs="Calibri"/>
          <w:szCs w:val="20"/>
        </w:rPr>
        <w:t>W 2018 roku został opublikowany pakiet dyrektyw dotyczących tzw. circular economy</w:t>
      </w:r>
      <w:r>
        <w:rPr>
          <w:rFonts w:cs="Calibri"/>
          <w:szCs w:val="20"/>
        </w:rPr>
        <w:t>,</w:t>
      </w:r>
      <w:r w:rsidRPr="00404DA5">
        <w:rPr>
          <w:rFonts w:cs="Calibri"/>
          <w:szCs w:val="20"/>
        </w:rPr>
        <w:t xml:space="preserve"> tj. Gospodarki</w:t>
      </w:r>
      <w:r w:rsidR="00E66B89">
        <w:rPr>
          <w:rFonts w:cs="Calibri"/>
          <w:szCs w:val="20"/>
        </w:rPr>
        <w:t xml:space="preserve"> w </w:t>
      </w:r>
      <w:r w:rsidRPr="00404DA5">
        <w:rPr>
          <w:rFonts w:cs="Calibri"/>
          <w:szCs w:val="20"/>
        </w:rPr>
        <w:t>Obiegu Zamkniętym, który będzie stanowił dla Polski duże wyzwanie. Część</w:t>
      </w:r>
      <w:r w:rsidR="00E66B89">
        <w:rPr>
          <w:rFonts w:cs="Calibri"/>
          <w:szCs w:val="20"/>
        </w:rPr>
        <w:t xml:space="preserve"> z </w:t>
      </w:r>
      <w:r w:rsidRPr="00404DA5">
        <w:rPr>
          <w:rFonts w:cs="Calibri"/>
          <w:szCs w:val="20"/>
        </w:rPr>
        <w:t>tych dyrektyw będzie miał</w:t>
      </w:r>
      <w:r>
        <w:rPr>
          <w:rFonts w:cs="Calibri"/>
          <w:szCs w:val="20"/>
        </w:rPr>
        <w:t>a</w:t>
      </w:r>
      <w:r w:rsidRPr="00404DA5">
        <w:rPr>
          <w:rFonts w:cs="Calibri"/>
          <w:szCs w:val="20"/>
        </w:rPr>
        <w:t xml:space="preserve"> duży wpływ na kształt systemów gospodarki odpadami</w:t>
      </w:r>
      <w:r>
        <w:rPr>
          <w:rFonts w:cs="Calibri"/>
          <w:szCs w:val="20"/>
        </w:rPr>
        <w:t>,</w:t>
      </w:r>
      <w:r w:rsidR="00E66B89">
        <w:rPr>
          <w:rFonts w:cs="Calibri"/>
          <w:szCs w:val="20"/>
        </w:rPr>
        <w:t xml:space="preserve"> w </w:t>
      </w:r>
      <w:r w:rsidRPr="00404DA5">
        <w:rPr>
          <w:rFonts w:cs="Calibri"/>
          <w:szCs w:val="20"/>
        </w:rPr>
        <w:t>tym gospodarki odpadami opakowaniowymi</w:t>
      </w:r>
      <w:r w:rsidR="00E66B89">
        <w:rPr>
          <w:rFonts w:cs="Calibri"/>
          <w:szCs w:val="20"/>
        </w:rPr>
        <w:t xml:space="preserve"> w </w:t>
      </w:r>
      <w:r w:rsidRPr="00404DA5">
        <w:rPr>
          <w:rFonts w:cs="Calibri"/>
          <w:szCs w:val="20"/>
        </w:rPr>
        <w:t>Polsce. Prz</w:t>
      </w:r>
      <w:r>
        <w:rPr>
          <w:rFonts w:cs="Calibri"/>
          <w:szCs w:val="20"/>
        </w:rPr>
        <w:t>y</w:t>
      </w:r>
      <w:r w:rsidRPr="00404DA5">
        <w:rPr>
          <w:rFonts w:cs="Calibri"/>
          <w:szCs w:val="20"/>
        </w:rPr>
        <w:t>kładowo</w:t>
      </w:r>
      <w:r w:rsidR="00E66B89">
        <w:rPr>
          <w:rFonts w:cs="Calibri"/>
          <w:szCs w:val="20"/>
        </w:rPr>
        <w:t xml:space="preserve"> w </w:t>
      </w:r>
      <w:r w:rsidRPr="00404DA5">
        <w:rPr>
          <w:rFonts w:cs="Calibri"/>
          <w:szCs w:val="20"/>
        </w:rPr>
        <w:t>art. 8a Dyrektywy Ramowej</w:t>
      </w:r>
      <w:r w:rsidR="00E66B89">
        <w:rPr>
          <w:rFonts w:cs="Calibri"/>
          <w:szCs w:val="20"/>
        </w:rPr>
        <w:t xml:space="preserve"> o </w:t>
      </w:r>
      <w:r w:rsidRPr="00404DA5">
        <w:rPr>
          <w:rFonts w:cs="Calibri"/>
          <w:szCs w:val="20"/>
        </w:rPr>
        <w:t>Odpadach szczegółowo określono, iż wprowadzający opakowania na rynek będą mieli obowiązek m.in. pokrywania nie mniej niż 80% kosztów selektywnej zbiórki, przygotowania do recyklingu, edukacji</w:t>
      </w:r>
      <w:r w:rsidR="00E66B89">
        <w:rPr>
          <w:rFonts w:cs="Calibri"/>
          <w:szCs w:val="20"/>
        </w:rPr>
        <w:t xml:space="preserve"> i </w:t>
      </w:r>
      <w:r w:rsidRPr="00404DA5">
        <w:rPr>
          <w:rFonts w:cs="Calibri"/>
          <w:szCs w:val="20"/>
        </w:rPr>
        <w:t>innych kosztów obniżonych</w:t>
      </w:r>
      <w:r w:rsidR="00E66B89">
        <w:rPr>
          <w:rFonts w:cs="Calibri"/>
          <w:szCs w:val="20"/>
        </w:rPr>
        <w:t xml:space="preserve"> o </w:t>
      </w:r>
      <w:r w:rsidRPr="00404DA5">
        <w:rPr>
          <w:rFonts w:cs="Calibri"/>
          <w:szCs w:val="20"/>
        </w:rPr>
        <w:t>przychody ze sprzedaży surowców. Implementacja powyższych założeń do krajowego prawodawstwa będzie wymuszała odpowiednią organizację oraz zarządzanie</w:t>
      </w:r>
      <w:r w:rsidR="00E66B89">
        <w:rPr>
          <w:rFonts w:cs="Calibri"/>
          <w:szCs w:val="20"/>
        </w:rPr>
        <w:t xml:space="preserve"> i </w:t>
      </w:r>
      <w:r w:rsidRPr="00404DA5">
        <w:rPr>
          <w:rFonts w:cs="Calibri"/>
          <w:szCs w:val="20"/>
        </w:rPr>
        <w:t>nadzór nad działalnością gospodarki odpadami komunalnymi także</w:t>
      </w:r>
      <w:r w:rsidR="00E66B89">
        <w:rPr>
          <w:rFonts w:cs="Calibri"/>
          <w:szCs w:val="20"/>
        </w:rPr>
        <w:t xml:space="preserve"> w </w:t>
      </w:r>
      <w:r w:rsidRPr="00404DA5">
        <w:rPr>
          <w:rFonts w:cs="Calibri"/>
          <w:szCs w:val="20"/>
        </w:rPr>
        <w:t>województwie zachodniopomorskim.</w:t>
      </w:r>
      <w:r w:rsidR="00E66B89">
        <w:rPr>
          <w:rFonts w:cs="Calibri"/>
          <w:szCs w:val="20"/>
        </w:rPr>
        <w:t xml:space="preserve"> W </w:t>
      </w:r>
      <w:r w:rsidRPr="00404DA5">
        <w:rPr>
          <w:rFonts w:cs="Calibri"/>
          <w:szCs w:val="20"/>
        </w:rPr>
        <w:t>praktyce</w:t>
      </w:r>
      <w:r>
        <w:rPr>
          <w:rFonts w:cs="Calibri"/>
          <w:szCs w:val="20"/>
        </w:rPr>
        <w:t>,</w:t>
      </w:r>
      <w:r w:rsidR="00E66B89">
        <w:rPr>
          <w:rFonts w:cs="Calibri"/>
          <w:szCs w:val="20"/>
        </w:rPr>
        <w:t xml:space="preserve"> w </w:t>
      </w:r>
      <w:r w:rsidRPr="00404DA5">
        <w:rPr>
          <w:rFonts w:cs="Calibri"/>
          <w:szCs w:val="20"/>
        </w:rPr>
        <w:t>nieodległym horyzoncie czasu</w:t>
      </w:r>
      <w:r>
        <w:rPr>
          <w:rFonts w:cs="Calibri"/>
          <w:szCs w:val="20"/>
        </w:rPr>
        <w:t>,</w:t>
      </w:r>
      <w:r w:rsidRPr="00404DA5">
        <w:rPr>
          <w:rFonts w:cs="Calibri"/>
          <w:szCs w:val="20"/>
        </w:rPr>
        <w:t xml:space="preserve"> konieczne będzie ustanowienie jeszcze bardziej ambitnych celów (niż te wyznaczone</w:t>
      </w:r>
      <w:r w:rsidR="00E66B89">
        <w:rPr>
          <w:rFonts w:cs="Calibri"/>
          <w:szCs w:val="20"/>
        </w:rPr>
        <w:t xml:space="preserve"> w </w:t>
      </w:r>
      <w:r w:rsidRPr="00404DA5">
        <w:rPr>
          <w:rFonts w:cs="Calibri"/>
          <w:szCs w:val="20"/>
        </w:rPr>
        <w:t xml:space="preserve">PI 6a). </w:t>
      </w:r>
    </w:p>
    <w:p w14:paraId="648A32D9" w14:textId="77777777" w:rsidR="009D215A" w:rsidRPr="00404DA5" w:rsidRDefault="009D215A" w:rsidP="009D215A">
      <w:pPr>
        <w:rPr>
          <w:rFonts w:cs="Calibri"/>
          <w:szCs w:val="20"/>
        </w:rPr>
      </w:pPr>
      <w:r w:rsidRPr="00404DA5">
        <w:rPr>
          <w:rFonts w:cs="Calibri"/>
          <w:szCs w:val="20"/>
        </w:rPr>
        <w:t>W województwie zachodniopomorskim aktualnym pozostają problemy niezgodnego</w:t>
      </w:r>
      <w:r w:rsidR="00E66B89">
        <w:rPr>
          <w:rFonts w:cs="Calibri"/>
          <w:szCs w:val="20"/>
        </w:rPr>
        <w:t xml:space="preserve"> z </w:t>
      </w:r>
      <w:r w:rsidRPr="00404DA5">
        <w:rPr>
          <w:rFonts w:cs="Calibri"/>
          <w:szCs w:val="20"/>
        </w:rPr>
        <w:t xml:space="preserve">prawem gospodarowania odpadami </w:t>
      </w:r>
      <w:r>
        <w:rPr>
          <w:rFonts w:cs="Calibri"/>
          <w:szCs w:val="20"/>
        </w:rPr>
        <w:t xml:space="preserve">- </w:t>
      </w:r>
      <w:r w:rsidRPr="00404DA5">
        <w:rPr>
          <w:rFonts w:cs="Calibri"/>
          <w:szCs w:val="20"/>
        </w:rPr>
        <w:t>powstawanie „dzikich wysypisk”, spalanie odpadów</w:t>
      </w:r>
      <w:r w:rsidR="00E66B89">
        <w:rPr>
          <w:rFonts w:cs="Calibri"/>
          <w:szCs w:val="20"/>
        </w:rPr>
        <w:t xml:space="preserve"> w </w:t>
      </w:r>
      <w:r w:rsidRPr="00404DA5">
        <w:rPr>
          <w:rFonts w:cs="Calibri"/>
          <w:szCs w:val="20"/>
        </w:rPr>
        <w:t>gospodarstwach domowych. Kluczową kwestią</w:t>
      </w:r>
      <w:r w:rsidR="00E66B89">
        <w:rPr>
          <w:rFonts w:cs="Calibri"/>
          <w:szCs w:val="20"/>
        </w:rPr>
        <w:t xml:space="preserve"> w </w:t>
      </w:r>
      <w:r w:rsidRPr="00404DA5">
        <w:rPr>
          <w:rFonts w:cs="Calibri"/>
          <w:szCs w:val="20"/>
        </w:rPr>
        <w:t>dalszym ciągu jest zbyt duży udział odpadów zbieranych jako zmieszane.</w:t>
      </w:r>
      <w:r w:rsidR="00E66B89">
        <w:rPr>
          <w:rFonts w:cs="Calibri"/>
          <w:szCs w:val="20"/>
        </w:rPr>
        <w:t xml:space="preserve"> W </w:t>
      </w:r>
      <w:r w:rsidRPr="00404DA5">
        <w:rPr>
          <w:rFonts w:cs="Calibri"/>
          <w:szCs w:val="20"/>
        </w:rPr>
        <w:t xml:space="preserve">województwie wsparcia </w:t>
      </w:r>
      <w:r>
        <w:rPr>
          <w:rFonts w:cs="Calibri"/>
          <w:szCs w:val="20"/>
        </w:rPr>
        <w:t xml:space="preserve">nadal </w:t>
      </w:r>
      <w:r w:rsidRPr="00404DA5">
        <w:rPr>
          <w:rFonts w:cs="Calibri"/>
          <w:szCs w:val="20"/>
        </w:rPr>
        <w:t>wymagają kompleksowe rozwiązania zapewniające zagospodarowanie odpadów wysortowanych</w:t>
      </w:r>
      <w:r w:rsidR="00E66B89">
        <w:rPr>
          <w:rFonts w:cs="Calibri"/>
          <w:szCs w:val="20"/>
        </w:rPr>
        <w:t xml:space="preserve"> w </w:t>
      </w:r>
      <w:r w:rsidRPr="00404DA5">
        <w:rPr>
          <w:rFonts w:cs="Calibri"/>
          <w:szCs w:val="20"/>
        </w:rPr>
        <w:t>RIPOK (chodzi szczególnie</w:t>
      </w:r>
      <w:r w:rsidR="00E66B89">
        <w:rPr>
          <w:rFonts w:cs="Calibri"/>
          <w:szCs w:val="20"/>
        </w:rPr>
        <w:t xml:space="preserve"> o </w:t>
      </w:r>
      <w:r w:rsidRPr="00404DA5">
        <w:rPr>
          <w:rFonts w:cs="Calibri"/>
          <w:szCs w:val="20"/>
        </w:rPr>
        <w:t>frakcję odpadów nienadających się do recyklingu,</w:t>
      </w:r>
      <w:r w:rsidR="00E66B89">
        <w:rPr>
          <w:rFonts w:cs="Calibri"/>
          <w:szCs w:val="20"/>
        </w:rPr>
        <w:t xml:space="preserve"> a </w:t>
      </w:r>
      <w:r w:rsidRPr="00404DA5">
        <w:rPr>
          <w:rFonts w:cs="Calibri"/>
          <w:szCs w:val="20"/>
        </w:rPr>
        <w:t>posiadającym ciepło spalania większe od 6 MJ/kg tj. wyższej, od tej dopuszczonej do składowania).</w:t>
      </w:r>
    </w:p>
    <w:p w14:paraId="24CDA200" w14:textId="77777777" w:rsidR="009D215A" w:rsidRPr="00404DA5" w:rsidRDefault="009D215A" w:rsidP="009D215A">
      <w:pPr>
        <w:rPr>
          <w:rFonts w:cs="Calibri"/>
          <w:szCs w:val="20"/>
        </w:rPr>
      </w:pPr>
      <w:r w:rsidRPr="00404DA5">
        <w:rPr>
          <w:rFonts w:cs="Calibri"/>
          <w:szCs w:val="20"/>
        </w:rPr>
        <w:lastRenderedPageBreak/>
        <w:t>Reasumując</w:t>
      </w:r>
      <w:r>
        <w:rPr>
          <w:rFonts w:cs="Calibri"/>
          <w:szCs w:val="20"/>
        </w:rPr>
        <w:t>,</w:t>
      </w:r>
      <w:r w:rsidRPr="00404DA5">
        <w:rPr>
          <w:rFonts w:cs="Calibri"/>
          <w:szCs w:val="20"/>
        </w:rPr>
        <w:t xml:space="preserve"> dotychczasowy kształt wsparcia został trafnie zaplanowany. Aktualnie nie można wskazać konkretnego typu projektów</w:t>
      </w:r>
      <w:r>
        <w:rPr>
          <w:rFonts w:cs="Calibri"/>
          <w:szCs w:val="20"/>
        </w:rPr>
        <w:t>,</w:t>
      </w:r>
      <w:r w:rsidRPr="00404DA5">
        <w:rPr>
          <w:rFonts w:cs="Calibri"/>
          <w:szCs w:val="20"/>
        </w:rPr>
        <w:t xml:space="preserve"> na których realizacji należałoby się skoncentrować. Skala potrzeb jest wciąż bardzo duża</w:t>
      </w:r>
      <w:r w:rsidR="00E66B89">
        <w:rPr>
          <w:rFonts w:cs="Calibri"/>
          <w:szCs w:val="20"/>
        </w:rPr>
        <w:t xml:space="preserve"> i </w:t>
      </w:r>
      <w:r w:rsidRPr="00404DA5">
        <w:rPr>
          <w:rFonts w:cs="Calibri"/>
          <w:szCs w:val="20"/>
        </w:rPr>
        <w:t>zróżnicowania. Powyższe wynika</w:t>
      </w:r>
      <w:r w:rsidR="00E66B89">
        <w:rPr>
          <w:rFonts w:cs="Calibri"/>
          <w:szCs w:val="20"/>
        </w:rPr>
        <w:t xml:space="preserve"> z </w:t>
      </w:r>
      <w:r w:rsidRPr="00404DA5">
        <w:rPr>
          <w:rFonts w:cs="Calibri"/>
          <w:szCs w:val="20"/>
        </w:rPr>
        <w:t>dużych potrzeb</w:t>
      </w:r>
      <w:r w:rsidR="00E66B89">
        <w:rPr>
          <w:rFonts w:cs="Calibri"/>
          <w:szCs w:val="20"/>
        </w:rPr>
        <w:t xml:space="preserve"> w </w:t>
      </w:r>
      <w:r w:rsidRPr="00404DA5">
        <w:rPr>
          <w:rFonts w:cs="Calibri"/>
          <w:szCs w:val="20"/>
        </w:rPr>
        <w:t>zakresie zarówno zbierania jak</w:t>
      </w:r>
      <w:r w:rsidR="00E66B89">
        <w:rPr>
          <w:rFonts w:cs="Calibri"/>
          <w:szCs w:val="20"/>
        </w:rPr>
        <w:t xml:space="preserve"> i </w:t>
      </w:r>
      <w:r w:rsidRPr="00404DA5">
        <w:rPr>
          <w:rFonts w:cs="Calibri"/>
          <w:szCs w:val="20"/>
        </w:rPr>
        <w:t>przetwarzania odpadów. Prognozuje się, iż</w:t>
      </w:r>
      <w:r w:rsidR="00E66B89">
        <w:rPr>
          <w:rFonts w:cs="Calibri"/>
          <w:szCs w:val="20"/>
        </w:rPr>
        <w:t xml:space="preserve"> w </w:t>
      </w:r>
      <w:r w:rsidRPr="00404DA5">
        <w:rPr>
          <w:rFonts w:cs="Calibri"/>
          <w:szCs w:val="20"/>
        </w:rPr>
        <w:t>perspektywie najbliższych kilku lat nie będzie potrzeby zmiany kierunków wsparcia branży gospodarki odpadami komunalnymi</w:t>
      </w:r>
      <w:r w:rsidR="00E66B89">
        <w:rPr>
          <w:rFonts w:cs="Calibri"/>
          <w:szCs w:val="20"/>
        </w:rPr>
        <w:t xml:space="preserve"> w </w:t>
      </w:r>
      <w:r w:rsidRPr="00404DA5">
        <w:rPr>
          <w:rFonts w:cs="Calibri"/>
          <w:szCs w:val="20"/>
        </w:rPr>
        <w:t>województwie zachodniopomorskim. Interwencja</w:t>
      </w:r>
      <w:r w:rsidR="00E66B89">
        <w:rPr>
          <w:rFonts w:cs="Calibri"/>
          <w:szCs w:val="20"/>
        </w:rPr>
        <w:t xml:space="preserve"> w </w:t>
      </w:r>
      <w:r w:rsidRPr="00404DA5">
        <w:rPr>
          <w:rFonts w:cs="Calibri"/>
          <w:szCs w:val="20"/>
        </w:rPr>
        <w:t>ramach RPO WZ 2014-2020 jest kompletna</w:t>
      </w:r>
      <w:r w:rsidR="00E66B89">
        <w:rPr>
          <w:rFonts w:cs="Calibri"/>
          <w:szCs w:val="20"/>
        </w:rPr>
        <w:t xml:space="preserve"> i </w:t>
      </w:r>
      <w:r w:rsidRPr="00404DA5">
        <w:rPr>
          <w:rFonts w:cs="Calibri"/>
          <w:szCs w:val="20"/>
        </w:rPr>
        <w:t>jej kształt wsparcia pozostanie aktualny</w:t>
      </w:r>
      <w:r w:rsidR="00E66B89">
        <w:rPr>
          <w:rFonts w:cs="Calibri"/>
          <w:szCs w:val="20"/>
        </w:rPr>
        <w:t xml:space="preserve"> w </w:t>
      </w:r>
      <w:r w:rsidRPr="00404DA5">
        <w:rPr>
          <w:rFonts w:cs="Calibri"/>
          <w:szCs w:val="20"/>
        </w:rPr>
        <w:t xml:space="preserve">najbliższej przyszłości. Należałoby </w:t>
      </w:r>
      <w:r>
        <w:rPr>
          <w:rFonts w:cs="Calibri"/>
          <w:szCs w:val="20"/>
        </w:rPr>
        <w:t>rozważyć</w:t>
      </w:r>
      <w:r w:rsidRPr="00404DA5">
        <w:rPr>
          <w:rFonts w:cs="Calibri"/>
          <w:szCs w:val="20"/>
        </w:rPr>
        <w:t xml:space="preserve"> zwiększenie skali wsparcia. Potwierdzeniem tej tezy są obserwowane zmiany społeczno</w:t>
      </w:r>
      <w:r>
        <w:rPr>
          <w:rFonts w:cs="Calibri"/>
          <w:szCs w:val="20"/>
        </w:rPr>
        <w:t>-</w:t>
      </w:r>
      <w:r w:rsidRPr="00404DA5">
        <w:rPr>
          <w:rFonts w:cs="Calibri"/>
          <w:szCs w:val="20"/>
        </w:rPr>
        <w:t>gospodarcze oraz sytuacja na rynku gospodarki odpadami komunalnymi.</w:t>
      </w:r>
      <w:r w:rsidR="00E66B89">
        <w:rPr>
          <w:rFonts w:cs="Calibri"/>
          <w:szCs w:val="20"/>
        </w:rPr>
        <w:t xml:space="preserve"> W </w:t>
      </w:r>
      <w:r w:rsidRPr="00404DA5">
        <w:rPr>
          <w:rFonts w:cs="Calibri"/>
          <w:szCs w:val="20"/>
        </w:rPr>
        <w:t>powyższym (diagnoza sytuacji oraz rewizja aktualności kierunków wsparcia branży) bardzo ważne będą ustalenia Sprawozdania</w:t>
      </w:r>
      <w:r w:rsidR="00E66B89">
        <w:rPr>
          <w:rFonts w:cs="Calibri"/>
          <w:szCs w:val="20"/>
        </w:rPr>
        <w:t xml:space="preserve"> z </w:t>
      </w:r>
      <w:r w:rsidRPr="00404DA5">
        <w:rPr>
          <w:rFonts w:cs="Calibri"/>
          <w:szCs w:val="20"/>
        </w:rPr>
        <w:t xml:space="preserve">realizacji </w:t>
      </w:r>
      <w:r>
        <w:rPr>
          <w:rFonts w:cs="Calibri"/>
          <w:szCs w:val="20"/>
        </w:rPr>
        <w:t>W</w:t>
      </w:r>
      <w:r w:rsidRPr="00404DA5">
        <w:rPr>
          <w:rFonts w:cs="Calibri"/>
          <w:szCs w:val="20"/>
        </w:rPr>
        <w:t xml:space="preserve">PGO za lata 2017-2019. </w:t>
      </w:r>
    </w:p>
    <w:p w14:paraId="7FCC9471" w14:textId="77777777" w:rsidR="009D215A" w:rsidRPr="00404DA5" w:rsidRDefault="009D215A" w:rsidP="009D215A">
      <w:pPr>
        <w:rPr>
          <w:rFonts w:cs="Calibri"/>
          <w:szCs w:val="20"/>
        </w:rPr>
      </w:pPr>
      <w:r w:rsidRPr="00404DA5">
        <w:rPr>
          <w:rFonts w:cs="Calibri"/>
          <w:szCs w:val="20"/>
        </w:rPr>
        <w:t>Aktualnie</w:t>
      </w:r>
      <w:r>
        <w:rPr>
          <w:rFonts w:cs="Calibri"/>
          <w:szCs w:val="20"/>
        </w:rPr>
        <w:t>, jak</w:t>
      </w:r>
      <w:r w:rsidR="00E66B89">
        <w:rPr>
          <w:rFonts w:cs="Calibri"/>
          <w:szCs w:val="20"/>
        </w:rPr>
        <w:t xml:space="preserve"> i w </w:t>
      </w:r>
      <w:r w:rsidRPr="00404DA5">
        <w:rPr>
          <w:rFonts w:cs="Calibri"/>
          <w:szCs w:val="20"/>
        </w:rPr>
        <w:t>najbliższej przyszłości</w:t>
      </w:r>
      <w:r>
        <w:rPr>
          <w:rFonts w:cs="Calibri"/>
          <w:szCs w:val="20"/>
        </w:rPr>
        <w:t>,</w:t>
      </w:r>
      <w:r w:rsidRPr="00404DA5">
        <w:rPr>
          <w:rFonts w:cs="Calibri"/>
          <w:szCs w:val="20"/>
        </w:rPr>
        <w:t xml:space="preserve"> największy potencjał do realizacji projektów będzie dotyczył dalszej modernizacji RIPOK, budowy rozbudowy PSZOK oraz inwestycji ukierunkowanych na kompleksowe wsparcie zwiększające zasięg gminnych systemów selektywnego zbierania odpadów komunalnych np.:</w:t>
      </w:r>
    </w:p>
    <w:p w14:paraId="6667A6F6"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36D27">
        <w:rPr>
          <w:rFonts w:ascii="Lato" w:hAnsi="Lato"/>
          <w:sz w:val="20"/>
          <w:szCs w:val="20"/>
        </w:rPr>
        <w:t>zakup pojemników do selektywnego zbierania "u źródła";</w:t>
      </w:r>
    </w:p>
    <w:p w14:paraId="317D2B92"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36D27">
        <w:rPr>
          <w:rFonts w:ascii="Lato" w:hAnsi="Lato"/>
          <w:sz w:val="20"/>
          <w:szCs w:val="20"/>
        </w:rPr>
        <w:t>stworzenie planu wsparcia</w:t>
      </w:r>
      <w:r w:rsidR="00E66B89">
        <w:rPr>
          <w:rFonts w:ascii="Lato" w:hAnsi="Lato"/>
          <w:sz w:val="20"/>
          <w:szCs w:val="20"/>
        </w:rPr>
        <w:t xml:space="preserve"> i </w:t>
      </w:r>
      <w:r w:rsidRPr="00436D27">
        <w:rPr>
          <w:rFonts w:ascii="Lato" w:hAnsi="Lato"/>
          <w:sz w:val="20"/>
          <w:szCs w:val="20"/>
        </w:rPr>
        <w:t>wyposażenie nieruchomości</w:t>
      </w:r>
      <w:r w:rsidR="00E66B89">
        <w:rPr>
          <w:rFonts w:ascii="Lato" w:hAnsi="Lato"/>
          <w:sz w:val="20"/>
          <w:szCs w:val="20"/>
        </w:rPr>
        <w:t xml:space="preserve"> w </w:t>
      </w:r>
      <w:r w:rsidRPr="00436D27">
        <w:rPr>
          <w:rFonts w:ascii="Lato" w:hAnsi="Lato"/>
          <w:sz w:val="20"/>
          <w:szCs w:val="20"/>
        </w:rPr>
        <w:t>przydomowe kompostowniki do recyklingu organicznego odpadów biodegradowalnych</w:t>
      </w:r>
      <w:r w:rsidR="00E66B89">
        <w:rPr>
          <w:rFonts w:ascii="Lato" w:hAnsi="Lato"/>
          <w:sz w:val="20"/>
          <w:szCs w:val="20"/>
        </w:rPr>
        <w:t xml:space="preserve"> w </w:t>
      </w:r>
      <w:r w:rsidRPr="00436D27">
        <w:rPr>
          <w:rFonts w:ascii="Lato" w:hAnsi="Lato"/>
          <w:sz w:val="20"/>
          <w:szCs w:val="20"/>
        </w:rPr>
        <w:t xml:space="preserve">miejscu ich powstawania; </w:t>
      </w:r>
    </w:p>
    <w:p w14:paraId="29FD51B6"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36D27">
        <w:rPr>
          <w:rFonts w:ascii="Lato" w:hAnsi="Lato"/>
          <w:sz w:val="20"/>
          <w:szCs w:val="20"/>
        </w:rPr>
        <w:t>utworzenie gniazd do selektywnej zbiórki wybranych frakcji odpadów</w:t>
      </w:r>
      <w:r w:rsidRPr="00C22C26">
        <w:rPr>
          <w:rFonts w:ascii="Lato" w:hAnsi="Lato"/>
          <w:sz w:val="20"/>
        </w:rPr>
        <w:t>;</w:t>
      </w:r>
    </w:p>
    <w:p w14:paraId="76348C81"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36D27">
        <w:rPr>
          <w:rFonts w:ascii="Lato" w:hAnsi="Lato"/>
          <w:sz w:val="20"/>
          <w:szCs w:val="20"/>
        </w:rPr>
        <w:t>uruchomienie gminnych punktów zbierania np. elektroodpadów, baterii, akumulatorów</w:t>
      </w:r>
      <w:r w:rsidR="00E66B89">
        <w:rPr>
          <w:rFonts w:ascii="Lato" w:hAnsi="Lato"/>
          <w:sz w:val="20"/>
          <w:szCs w:val="20"/>
        </w:rPr>
        <w:t xml:space="preserve"> w </w:t>
      </w:r>
      <w:r w:rsidRPr="00436D27">
        <w:rPr>
          <w:rFonts w:ascii="Lato" w:hAnsi="Lato"/>
          <w:sz w:val="20"/>
          <w:szCs w:val="20"/>
        </w:rPr>
        <w:t>formie małej architektury, odpadów odzieży</w:t>
      </w:r>
      <w:r w:rsidR="00E66B89">
        <w:rPr>
          <w:rFonts w:ascii="Lato" w:hAnsi="Lato"/>
          <w:sz w:val="20"/>
          <w:szCs w:val="20"/>
        </w:rPr>
        <w:t xml:space="preserve"> i </w:t>
      </w:r>
      <w:r w:rsidRPr="00436D27">
        <w:rPr>
          <w:rFonts w:ascii="Lato" w:hAnsi="Lato"/>
          <w:sz w:val="20"/>
          <w:szCs w:val="20"/>
        </w:rPr>
        <w:t>tekstyliów;</w:t>
      </w:r>
    </w:p>
    <w:p w14:paraId="58FF2573"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36D27">
        <w:rPr>
          <w:rFonts w:ascii="Lato" w:hAnsi="Lato"/>
          <w:sz w:val="20"/>
          <w:szCs w:val="20"/>
        </w:rPr>
        <w:t>uruchomieniu punktów ponownego użycia (wymiana rzeczy);</w:t>
      </w:r>
    </w:p>
    <w:p w14:paraId="4F4C9EE4" w14:textId="77777777" w:rsidR="009D215A" w:rsidRPr="00404DA5" w:rsidRDefault="009D215A" w:rsidP="00093E14">
      <w:pPr>
        <w:pStyle w:val="Akapitzlist"/>
        <w:numPr>
          <w:ilvl w:val="0"/>
          <w:numId w:val="20"/>
        </w:numPr>
        <w:spacing w:after="120" w:line="288" w:lineRule="auto"/>
        <w:contextualSpacing w:val="0"/>
        <w:rPr>
          <w:rFonts w:ascii="Lato" w:hAnsi="Lato" w:cs="Calibri"/>
          <w:sz w:val="20"/>
          <w:szCs w:val="20"/>
        </w:rPr>
      </w:pPr>
      <w:r w:rsidRPr="00404DA5">
        <w:rPr>
          <w:rFonts w:ascii="Lato" w:hAnsi="Lato" w:cs="Calibri"/>
          <w:sz w:val="20"/>
          <w:szCs w:val="20"/>
        </w:rPr>
        <w:t>uwzględnieniu</w:t>
      </w:r>
      <w:r w:rsidR="00E66B89">
        <w:rPr>
          <w:rFonts w:ascii="Lato" w:hAnsi="Lato" w:cs="Calibri"/>
          <w:sz w:val="20"/>
          <w:szCs w:val="20"/>
        </w:rPr>
        <w:t xml:space="preserve"> w </w:t>
      </w:r>
      <w:r w:rsidRPr="00404DA5">
        <w:rPr>
          <w:rFonts w:ascii="Lato" w:hAnsi="Lato" w:cs="Calibri"/>
          <w:sz w:val="20"/>
          <w:szCs w:val="20"/>
        </w:rPr>
        <w:t>projektach komponentu działań</w:t>
      </w:r>
      <w:r w:rsidR="00E66B89">
        <w:rPr>
          <w:rFonts w:ascii="Lato" w:hAnsi="Lato" w:cs="Calibri"/>
          <w:sz w:val="20"/>
          <w:szCs w:val="20"/>
        </w:rPr>
        <w:t xml:space="preserve"> o </w:t>
      </w:r>
      <w:r w:rsidRPr="00404DA5">
        <w:rPr>
          <w:rFonts w:ascii="Lato" w:hAnsi="Lato" w:cs="Calibri"/>
          <w:sz w:val="20"/>
          <w:szCs w:val="20"/>
        </w:rPr>
        <w:t>charakterze informacyjnym</w:t>
      </w:r>
      <w:r w:rsidR="00E66B89">
        <w:rPr>
          <w:rFonts w:ascii="Lato" w:hAnsi="Lato" w:cs="Calibri"/>
          <w:sz w:val="20"/>
          <w:szCs w:val="20"/>
        </w:rPr>
        <w:t xml:space="preserve"> i </w:t>
      </w:r>
      <w:r w:rsidRPr="00404DA5">
        <w:rPr>
          <w:rFonts w:ascii="Lato" w:hAnsi="Lato" w:cs="Calibri"/>
          <w:sz w:val="20"/>
          <w:szCs w:val="20"/>
        </w:rPr>
        <w:t>edukacyjnym.</w:t>
      </w:r>
    </w:p>
    <w:p w14:paraId="4978832B" w14:textId="77777777" w:rsidR="009D215A" w:rsidRPr="00404DA5" w:rsidRDefault="009D215A" w:rsidP="009D215A">
      <w:pPr>
        <w:rPr>
          <w:rFonts w:cs="Calibri"/>
          <w:szCs w:val="20"/>
        </w:rPr>
      </w:pPr>
      <w:r w:rsidRPr="00404DA5">
        <w:rPr>
          <w:rFonts w:cs="Calibri"/>
          <w:szCs w:val="20"/>
        </w:rPr>
        <w:t>Zaleca się poszukiwanie możliwości organizacji globalnych rozwiązań</w:t>
      </w:r>
      <w:r w:rsidR="00E66B89">
        <w:rPr>
          <w:rFonts w:cs="Calibri"/>
          <w:szCs w:val="20"/>
        </w:rPr>
        <w:t xml:space="preserve"> w </w:t>
      </w:r>
      <w:r w:rsidRPr="00404DA5">
        <w:rPr>
          <w:rFonts w:cs="Calibri"/>
          <w:szCs w:val="20"/>
        </w:rPr>
        <w:t>zakresie systemów selektywnej zbiórki odpadów komunalnych oraz ich zagospodarowywania. Bardzo często możliwość realizacji określonych typów projektów jest uzależniona od skali (gdyż tylko przy odpowiedniej organizacji oraz wolumenie odpadów stosowanie określonych rozwiązań jest opłacalne). Dlatego</w:t>
      </w:r>
      <w:r w:rsidR="00E66B89">
        <w:rPr>
          <w:rFonts w:cs="Calibri"/>
          <w:szCs w:val="20"/>
        </w:rPr>
        <w:t xml:space="preserve"> w </w:t>
      </w:r>
      <w:r w:rsidRPr="00404DA5">
        <w:rPr>
          <w:rFonts w:cs="Calibri"/>
          <w:szCs w:val="20"/>
        </w:rPr>
        <w:t>tym względzie patronatem</w:t>
      </w:r>
      <w:r w:rsidR="00E66B89">
        <w:rPr>
          <w:rFonts w:cs="Calibri"/>
          <w:szCs w:val="20"/>
        </w:rPr>
        <w:t xml:space="preserve"> i </w:t>
      </w:r>
      <w:r w:rsidRPr="00404DA5">
        <w:rPr>
          <w:rFonts w:cs="Calibri"/>
          <w:szCs w:val="20"/>
        </w:rPr>
        <w:t>ew</w:t>
      </w:r>
      <w:r>
        <w:rPr>
          <w:rFonts w:cs="Calibri"/>
          <w:szCs w:val="20"/>
        </w:rPr>
        <w:t>entualnym</w:t>
      </w:r>
      <w:r w:rsidRPr="00404DA5">
        <w:rPr>
          <w:rFonts w:cs="Calibri"/>
          <w:szCs w:val="20"/>
        </w:rPr>
        <w:t xml:space="preserve"> liderowaniem inicjatyw m</w:t>
      </w:r>
      <w:r>
        <w:rPr>
          <w:rFonts w:cs="Calibri"/>
          <w:szCs w:val="20"/>
        </w:rPr>
        <w:t>ógł</w:t>
      </w:r>
      <w:r w:rsidRPr="00404DA5">
        <w:rPr>
          <w:rFonts w:cs="Calibri"/>
          <w:szCs w:val="20"/>
        </w:rPr>
        <w:t>by zająć się Urząd Marszałkowski Województwa Zachodniopomorskiego. Przykładem</w:t>
      </w:r>
      <w:r w:rsidR="00E66B89">
        <w:rPr>
          <w:rFonts w:cs="Calibri"/>
          <w:szCs w:val="20"/>
        </w:rPr>
        <w:t xml:space="preserve"> w </w:t>
      </w:r>
      <w:r w:rsidRPr="00404DA5">
        <w:rPr>
          <w:rFonts w:cs="Calibri"/>
          <w:szCs w:val="20"/>
        </w:rPr>
        <w:t>tym zakresie mogą być rozwiązania stosowane</w:t>
      </w:r>
      <w:r w:rsidR="00E66B89">
        <w:rPr>
          <w:rFonts w:cs="Calibri"/>
          <w:szCs w:val="20"/>
        </w:rPr>
        <w:t xml:space="preserve"> w </w:t>
      </w:r>
      <w:r w:rsidRPr="00404DA5">
        <w:rPr>
          <w:rFonts w:cs="Calibri"/>
          <w:szCs w:val="20"/>
        </w:rPr>
        <w:t>innych krajach członkowskich UE.</w:t>
      </w:r>
      <w:r w:rsidR="00E66B89">
        <w:rPr>
          <w:rFonts w:cs="Calibri"/>
          <w:szCs w:val="20"/>
        </w:rPr>
        <w:t xml:space="preserve"> W </w:t>
      </w:r>
      <w:r w:rsidRPr="00404DA5">
        <w:rPr>
          <w:rFonts w:cs="Calibri"/>
          <w:szCs w:val="20"/>
        </w:rPr>
        <w:t>Wiedniu prowadzona jest selektywna zbiórka</w:t>
      </w:r>
      <w:r w:rsidR="00E66B89">
        <w:rPr>
          <w:rFonts w:cs="Calibri"/>
          <w:szCs w:val="20"/>
        </w:rPr>
        <w:t xml:space="preserve"> w </w:t>
      </w:r>
      <w:r w:rsidRPr="00404DA5">
        <w:rPr>
          <w:rFonts w:cs="Calibri"/>
          <w:szCs w:val="20"/>
        </w:rPr>
        <w:t>mobilnych punktach zużytego oleju jadalnego, który dalej jest zagospodarowywany na biopaliwo. Zaś mieszkańcy</w:t>
      </w:r>
      <w:r>
        <w:rPr>
          <w:rFonts w:cs="Calibri"/>
          <w:szCs w:val="20"/>
        </w:rPr>
        <w:t>,</w:t>
      </w:r>
      <w:r w:rsidRPr="00404DA5">
        <w:rPr>
          <w:rFonts w:cs="Calibri"/>
          <w:szCs w:val="20"/>
        </w:rPr>
        <w:t xml:space="preserve"> którzy dostarczają odpowiedniej jakości bioodpady mogą na preferencyjnych warunkach kupić nawóz wyprodukowany</w:t>
      </w:r>
      <w:r w:rsidR="00E66B89">
        <w:rPr>
          <w:rFonts w:cs="Calibri"/>
          <w:szCs w:val="20"/>
        </w:rPr>
        <w:t xml:space="preserve"> z </w:t>
      </w:r>
      <w:r w:rsidRPr="00404DA5">
        <w:rPr>
          <w:rFonts w:cs="Calibri"/>
          <w:szCs w:val="20"/>
        </w:rPr>
        <w:t>dostarczonych przez nich substratów. Bardzo ważna</w:t>
      </w:r>
      <w:r w:rsidR="00E66B89">
        <w:rPr>
          <w:rFonts w:cs="Calibri"/>
          <w:szCs w:val="20"/>
        </w:rPr>
        <w:t xml:space="preserve"> w </w:t>
      </w:r>
      <w:r w:rsidRPr="00404DA5">
        <w:rPr>
          <w:rFonts w:cs="Calibri"/>
          <w:szCs w:val="20"/>
        </w:rPr>
        <w:t>tego typu rozwiązaniach jest ekonomia, która pozawala zaangażować szerszą rzeszę interesariuszy.</w:t>
      </w:r>
    </w:p>
    <w:p w14:paraId="2F4CE981" w14:textId="77777777" w:rsidR="009D215A" w:rsidRPr="00404DA5" w:rsidRDefault="009D215A" w:rsidP="009D215A">
      <w:pPr>
        <w:rPr>
          <w:rFonts w:cs="Calibri"/>
          <w:szCs w:val="20"/>
        </w:rPr>
      </w:pPr>
      <w:r w:rsidRPr="00404DA5">
        <w:rPr>
          <w:rFonts w:cs="Calibri"/>
          <w:szCs w:val="20"/>
        </w:rPr>
        <w:t>Wszelkie zmiany związane</w:t>
      </w:r>
      <w:r w:rsidR="00E66B89">
        <w:rPr>
          <w:rFonts w:cs="Calibri"/>
          <w:szCs w:val="20"/>
        </w:rPr>
        <w:t xml:space="preserve"> z </w:t>
      </w:r>
      <w:r w:rsidRPr="00404DA5">
        <w:rPr>
          <w:rFonts w:cs="Calibri"/>
          <w:szCs w:val="20"/>
        </w:rPr>
        <w:t>wprowadzaniem selektywnego zbierania</w:t>
      </w:r>
      <w:r w:rsidR="00E66B89">
        <w:rPr>
          <w:rFonts w:cs="Calibri"/>
          <w:szCs w:val="20"/>
        </w:rPr>
        <w:t xml:space="preserve"> u </w:t>
      </w:r>
      <w:r w:rsidRPr="00404DA5">
        <w:rPr>
          <w:rFonts w:cs="Calibri"/>
          <w:szCs w:val="20"/>
        </w:rPr>
        <w:t>źródła będą wymagały czasu</w:t>
      </w:r>
      <w:r>
        <w:rPr>
          <w:rFonts w:cs="Calibri"/>
          <w:szCs w:val="20"/>
        </w:rPr>
        <w:t xml:space="preserve"> do zmiany zachowań</w:t>
      </w:r>
      <w:r w:rsidRPr="00404DA5">
        <w:rPr>
          <w:rFonts w:cs="Calibri"/>
          <w:szCs w:val="20"/>
        </w:rPr>
        <w:t xml:space="preserve"> ze strony mieszkańców</w:t>
      </w:r>
      <w:r w:rsidR="00E66B89">
        <w:rPr>
          <w:rFonts w:cs="Calibri"/>
          <w:szCs w:val="20"/>
        </w:rPr>
        <w:t xml:space="preserve"> i </w:t>
      </w:r>
      <w:r w:rsidRPr="00404DA5">
        <w:rPr>
          <w:rFonts w:cs="Calibri"/>
          <w:szCs w:val="20"/>
        </w:rPr>
        <w:t>użytkowników systemu. Przykłady zachodnie pokazują, iż często osiągnięcie odpowiedniej dyscypliny</w:t>
      </w:r>
      <w:r w:rsidR="00E66B89">
        <w:rPr>
          <w:rFonts w:cs="Calibri"/>
          <w:szCs w:val="20"/>
        </w:rPr>
        <w:t xml:space="preserve"> w </w:t>
      </w:r>
      <w:r w:rsidRPr="00404DA5">
        <w:rPr>
          <w:rFonts w:cs="Calibri"/>
          <w:szCs w:val="20"/>
        </w:rPr>
        <w:t>zakresie selektywnej zbiórki po stronie mieszkańców wymagało nawet kilkunastu lat. Dlatego też efekty wsparcia</w:t>
      </w:r>
      <w:r w:rsidR="00E66B89">
        <w:rPr>
          <w:rFonts w:cs="Calibri"/>
          <w:szCs w:val="20"/>
        </w:rPr>
        <w:t xml:space="preserve"> w </w:t>
      </w:r>
      <w:r w:rsidRPr="00404DA5">
        <w:rPr>
          <w:rFonts w:cs="Calibri"/>
          <w:szCs w:val="20"/>
        </w:rPr>
        <w:t>ramach RPO WZ będą rozciągnięte</w:t>
      </w:r>
      <w:r w:rsidR="00E66B89">
        <w:rPr>
          <w:rFonts w:cs="Calibri"/>
          <w:szCs w:val="20"/>
        </w:rPr>
        <w:t xml:space="preserve"> w </w:t>
      </w:r>
      <w:r w:rsidRPr="00404DA5">
        <w:rPr>
          <w:rFonts w:cs="Calibri"/>
          <w:szCs w:val="20"/>
        </w:rPr>
        <w:t>czasie. Powyższa ocena wynika m.in.</w:t>
      </w:r>
      <w:r w:rsidR="00E66B89">
        <w:rPr>
          <w:rFonts w:cs="Calibri"/>
          <w:szCs w:val="20"/>
        </w:rPr>
        <w:t xml:space="preserve"> z </w:t>
      </w:r>
      <w:r w:rsidRPr="00404DA5">
        <w:rPr>
          <w:rFonts w:cs="Calibri"/>
          <w:szCs w:val="20"/>
        </w:rPr>
        <w:t>ugruntowywania się rozporządzenia dotyczącego selektywnego zbierania odpadów komunalnych (będzie ono wymuszało na gminach stosowanie odpowiednich systemów selektywnego</w:t>
      </w:r>
      <w:r w:rsidRPr="00B93AB8">
        <w:rPr>
          <w:rFonts w:cs="Calibri"/>
          <w:szCs w:val="20"/>
        </w:rPr>
        <w:t xml:space="preserve"> </w:t>
      </w:r>
      <w:r w:rsidRPr="00404DA5">
        <w:rPr>
          <w:rFonts w:cs="Calibri"/>
          <w:szCs w:val="20"/>
        </w:rPr>
        <w:t xml:space="preserve">zbierania odpadów). Przytoczone we wcześniejszych rozdziałach przykłady potwierdzają, iż aktualnie największym wyzwaniem dla województwa będzie zwiększenie masy odpadów zbieranych selektywnie. </w:t>
      </w:r>
      <w:r>
        <w:rPr>
          <w:rFonts w:cs="Calibri"/>
          <w:szCs w:val="20"/>
        </w:rPr>
        <w:t>Dzięki temu</w:t>
      </w:r>
      <w:r w:rsidRPr="00404DA5">
        <w:rPr>
          <w:rFonts w:cs="Calibri"/>
          <w:szCs w:val="20"/>
        </w:rPr>
        <w:t xml:space="preserve"> zwiększać się będą potrzeby instalacji do oczyszczania tak zebranych frakcji, celem ich przygotowania do odzysku/recyklingu. Ponadto ograniczana będzie masa odpadów składowanych.</w:t>
      </w:r>
    </w:p>
    <w:p w14:paraId="34A6CE62" w14:textId="77777777" w:rsidR="009D215A" w:rsidRPr="00436D27" w:rsidRDefault="009D215A" w:rsidP="009D215A">
      <w:r w:rsidRPr="00436D27">
        <w:lastRenderedPageBreak/>
        <w:t>Ważnym aspektem</w:t>
      </w:r>
      <w:r w:rsidR="00E66B89">
        <w:t xml:space="preserve"> w </w:t>
      </w:r>
      <w:r w:rsidRPr="00436D27">
        <w:t>zakresie skuteczności udzielonego wsparcia na PSZOK będą szczegółowe zasady ich organizacji (regulaminy funkcjonowania, godziny otwarcia, kadra pracująca</w:t>
      </w:r>
      <w:r w:rsidR="00E66B89">
        <w:t xml:space="preserve"> w </w:t>
      </w:r>
      <w:r w:rsidRPr="00436D27">
        <w:t>punktach</w:t>
      </w:r>
      <w:r w:rsidR="00E66B89">
        <w:t xml:space="preserve"> i </w:t>
      </w:r>
      <w:r w:rsidRPr="00436D27">
        <w:t>jej odpowiednie podejście do mieszkańców, estetyka miejsca</w:t>
      </w:r>
      <w:r w:rsidR="00E66B89">
        <w:t xml:space="preserve"> i </w:t>
      </w:r>
      <w:r w:rsidRPr="00436D27">
        <w:t>ubioru pracowników, lokalizacja</w:t>
      </w:r>
      <w:r w:rsidR="00E66B89">
        <w:t xml:space="preserve"> i </w:t>
      </w:r>
      <w:r w:rsidRPr="00436D27">
        <w:t xml:space="preserve">wysoka dostępność dla mieszkańców). </w:t>
      </w:r>
      <w:r w:rsidRPr="00404DA5">
        <w:rPr>
          <w:rFonts w:cs="Calibri"/>
          <w:szCs w:val="20"/>
        </w:rPr>
        <w:t>Dlatego sugeruje się</w:t>
      </w:r>
      <w:r>
        <w:rPr>
          <w:rFonts w:cs="Calibri"/>
          <w:szCs w:val="20"/>
        </w:rPr>
        <w:t>,</w:t>
      </w:r>
      <w:r w:rsidRPr="00404DA5">
        <w:rPr>
          <w:rFonts w:cs="Calibri"/>
          <w:szCs w:val="20"/>
        </w:rPr>
        <w:t xml:space="preserve"> by IZ RPO WZ 2014-2020 przygotowała krótkie zalecenia dla beneficjentów odnośnie uwzględnienia</w:t>
      </w:r>
      <w:r w:rsidR="00E66B89">
        <w:rPr>
          <w:rFonts w:cs="Calibri"/>
          <w:szCs w:val="20"/>
        </w:rPr>
        <w:t xml:space="preserve"> w </w:t>
      </w:r>
      <w:r w:rsidRPr="00404DA5">
        <w:rPr>
          <w:rFonts w:cs="Calibri"/>
          <w:szCs w:val="20"/>
        </w:rPr>
        <w:t>projektach zasad odpowiedniej organizacji PSZOK, które zwiększą efektywność wspieranych projektów. Gminy, które dotychczas nie miały doświadczenia</w:t>
      </w:r>
      <w:r w:rsidR="00E66B89">
        <w:rPr>
          <w:rFonts w:cs="Calibri"/>
          <w:szCs w:val="20"/>
        </w:rPr>
        <w:t xml:space="preserve"> w </w:t>
      </w:r>
      <w:r w:rsidRPr="00404DA5">
        <w:rPr>
          <w:rFonts w:cs="Calibri"/>
          <w:szCs w:val="20"/>
        </w:rPr>
        <w:t>prowadzeniu takiego punktu mogą napotkać na istotne problemy</w:t>
      </w:r>
      <w:r w:rsidR="00E66B89">
        <w:rPr>
          <w:rFonts w:cs="Calibri"/>
          <w:szCs w:val="20"/>
        </w:rPr>
        <w:t xml:space="preserve"> w </w:t>
      </w:r>
      <w:r w:rsidRPr="00404DA5">
        <w:rPr>
          <w:rFonts w:cs="Calibri"/>
          <w:szCs w:val="20"/>
        </w:rPr>
        <w:t>tracie jego funkcjonowania.</w:t>
      </w:r>
      <w:r w:rsidR="00E66B89">
        <w:rPr>
          <w:rFonts w:cs="Calibri"/>
          <w:szCs w:val="20"/>
        </w:rPr>
        <w:t xml:space="preserve"> W </w:t>
      </w:r>
      <w:r w:rsidRPr="00404DA5">
        <w:rPr>
          <w:rFonts w:cs="Calibri"/>
          <w:szCs w:val="20"/>
        </w:rPr>
        <w:t>zaleceniach powinny się znaleźć sugestie zawarcia odpowiednich zapisów</w:t>
      </w:r>
      <w:r w:rsidR="00E66B89">
        <w:rPr>
          <w:rFonts w:cs="Calibri"/>
          <w:szCs w:val="20"/>
        </w:rPr>
        <w:t xml:space="preserve"> w </w:t>
      </w:r>
      <w:r w:rsidRPr="00404DA5">
        <w:rPr>
          <w:rFonts w:cs="Calibri"/>
          <w:szCs w:val="20"/>
        </w:rPr>
        <w:t>regulaminach funkcjonowania wspartych PSZOK oraz zasad ich funkcjonowania np. odnośnie:</w:t>
      </w:r>
    </w:p>
    <w:p w14:paraId="7E485B3E"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sposobu</w:t>
      </w:r>
      <w:r w:rsidR="00E66B89">
        <w:rPr>
          <w:rFonts w:ascii="Lato" w:hAnsi="Lato" w:cs="Calibri"/>
          <w:sz w:val="20"/>
          <w:szCs w:val="20"/>
        </w:rPr>
        <w:t xml:space="preserve"> i </w:t>
      </w:r>
      <w:r w:rsidRPr="00404DA5">
        <w:rPr>
          <w:rFonts w:ascii="Lato" w:hAnsi="Lato" w:cs="Calibri"/>
          <w:sz w:val="20"/>
          <w:szCs w:val="20"/>
        </w:rPr>
        <w:t>możliwości weryfikacji źródeł pochodzenia odpadów, tak by zabezpieczyć PSZOK przed próbą dostarczania do niego odpadów ze źródeł innych niż od mieszkańców</w:t>
      </w:r>
      <w:r>
        <w:rPr>
          <w:rFonts w:ascii="Lato" w:hAnsi="Lato" w:cs="Calibri"/>
          <w:sz w:val="20"/>
          <w:szCs w:val="20"/>
        </w:rPr>
        <w:t>,</w:t>
      </w:r>
    </w:p>
    <w:p w14:paraId="38E14AF7"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liczby godzin funkcjonowania takiego obiektu</w:t>
      </w:r>
      <w:r w:rsidR="00E66B89">
        <w:rPr>
          <w:rFonts w:ascii="Lato" w:hAnsi="Lato" w:cs="Calibri"/>
          <w:sz w:val="20"/>
          <w:szCs w:val="20"/>
        </w:rPr>
        <w:t xml:space="preserve"> w </w:t>
      </w:r>
      <w:r w:rsidRPr="00404DA5">
        <w:rPr>
          <w:rFonts w:ascii="Lato" w:hAnsi="Lato" w:cs="Calibri"/>
          <w:sz w:val="20"/>
          <w:szCs w:val="20"/>
        </w:rPr>
        <w:t>tygodniu</w:t>
      </w:r>
      <w:r w:rsidR="00E66B89">
        <w:rPr>
          <w:rFonts w:ascii="Lato" w:hAnsi="Lato" w:cs="Calibri"/>
          <w:sz w:val="20"/>
          <w:szCs w:val="20"/>
        </w:rPr>
        <w:t xml:space="preserve"> i </w:t>
      </w:r>
      <w:r w:rsidRPr="00404DA5">
        <w:rPr>
          <w:rFonts w:ascii="Lato" w:hAnsi="Lato" w:cs="Calibri"/>
          <w:sz w:val="20"/>
          <w:szCs w:val="20"/>
        </w:rPr>
        <w:t>dostosowania do lokalnych potrzeb</w:t>
      </w:r>
      <w:r>
        <w:rPr>
          <w:rFonts w:ascii="Lato" w:hAnsi="Lato" w:cs="Calibri"/>
          <w:sz w:val="20"/>
          <w:szCs w:val="20"/>
        </w:rPr>
        <w:t>,</w:t>
      </w:r>
    </w:p>
    <w:p w14:paraId="3605BFDF"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wydłużonych godziny funkcjonowania – by zapewnić dostęp do PSZOK</w:t>
      </w:r>
      <w:r w:rsidR="00E66B89">
        <w:rPr>
          <w:rFonts w:ascii="Lato" w:hAnsi="Lato" w:cs="Calibri"/>
          <w:sz w:val="20"/>
          <w:szCs w:val="20"/>
        </w:rPr>
        <w:t xml:space="preserve"> w </w:t>
      </w:r>
      <w:r w:rsidRPr="00404DA5">
        <w:rPr>
          <w:rFonts w:ascii="Lato" w:hAnsi="Lato" w:cs="Calibri"/>
          <w:sz w:val="20"/>
          <w:szCs w:val="20"/>
        </w:rPr>
        <w:t>godzinach np. późno popołudniowych / wieczornych,</w:t>
      </w:r>
    </w:p>
    <w:p w14:paraId="159E9532"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możliwości</w:t>
      </w:r>
      <w:r w:rsidR="00E66B89">
        <w:rPr>
          <w:rFonts w:ascii="Lato" w:hAnsi="Lato" w:cs="Calibri"/>
          <w:sz w:val="20"/>
          <w:szCs w:val="20"/>
        </w:rPr>
        <w:t xml:space="preserve"> i </w:t>
      </w:r>
      <w:r w:rsidRPr="00404DA5">
        <w:rPr>
          <w:rFonts w:ascii="Lato" w:hAnsi="Lato" w:cs="Calibri"/>
          <w:sz w:val="20"/>
          <w:szCs w:val="20"/>
        </w:rPr>
        <w:t>charakteru prowadzenia działań informacyjno-edukacyjnych</w:t>
      </w:r>
      <w:r w:rsidR="00E66B89">
        <w:rPr>
          <w:rFonts w:ascii="Lato" w:hAnsi="Lato" w:cs="Calibri"/>
          <w:sz w:val="20"/>
          <w:szCs w:val="20"/>
        </w:rPr>
        <w:t xml:space="preserve"> w </w:t>
      </w:r>
      <w:r w:rsidRPr="00404DA5">
        <w:rPr>
          <w:rFonts w:ascii="Lato" w:hAnsi="Lato" w:cs="Calibri"/>
          <w:sz w:val="20"/>
          <w:szCs w:val="20"/>
        </w:rPr>
        <w:t xml:space="preserve">ramach PSZOK (np. budowa ścieżek edukacyjnych itp.), </w:t>
      </w:r>
    </w:p>
    <w:p w14:paraId="7FCE6811"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współpracy</w:t>
      </w:r>
      <w:r w:rsidR="00E66B89">
        <w:rPr>
          <w:rFonts w:ascii="Lato" w:hAnsi="Lato" w:cs="Calibri"/>
          <w:sz w:val="20"/>
          <w:szCs w:val="20"/>
        </w:rPr>
        <w:t xml:space="preserve"> z </w:t>
      </w:r>
      <w:r w:rsidRPr="00404DA5">
        <w:rPr>
          <w:rFonts w:ascii="Lato" w:hAnsi="Lato" w:cs="Calibri"/>
          <w:sz w:val="20"/>
          <w:szCs w:val="20"/>
        </w:rPr>
        <w:t>gminnymi placówkami oświatowymi (organizacja konkursów dla dzieci</w:t>
      </w:r>
      <w:r w:rsidR="00E66B89">
        <w:rPr>
          <w:rFonts w:ascii="Lato" w:hAnsi="Lato" w:cs="Calibri"/>
          <w:sz w:val="20"/>
          <w:szCs w:val="20"/>
        </w:rPr>
        <w:t xml:space="preserve"> i </w:t>
      </w:r>
      <w:r w:rsidRPr="00404DA5">
        <w:rPr>
          <w:rFonts w:ascii="Lato" w:hAnsi="Lato" w:cs="Calibri"/>
          <w:sz w:val="20"/>
          <w:szCs w:val="20"/>
        </w:rPr>
        <w:t>młodzieży</w:t>
      </w:r>
      <w:r w:rsidR="00E66B89">
        <w:rPr>
          <w:rFonts w:ascii="Lato" w:hAnsi="Lato" w:cs="Calibri"/>
          <w:sz w:val="20"/>
          <w:szCs w:val="20"/>
        </w:rPr>
        <w:t xml:space="preserve"> o </w:t>
      </w:r>
      <w:r w:rsidRPr="00404DA5">
        <w:rPr>
          <w:rFonts w:ascii="Lato" w:hAnsi="Lato" w:cs="Calibri"/>
          <w:sz w:val="20"/>
          <w:szCs w:val="20"/>
        </w:rPr>
        <w:t>tematyce odpadowej),</w:t>
      </w:r>
    </w:p>
    <w:p w14:paraId="2C7B4A44" w14:textId="77777777" w:rsidR="009D215A" w:rsidRPr="00404DA5" w:rsidRDefault="009D215A" w:rsidP="00093E14">
      <w:pPr>
        <w:pStyle w:val="Akapitzlist"/>
        <w:numPr>
          <w:ilvl w:val="0"/>
          <w:numId w:val="62"/>
        </w:numPr>
        <w:spacing w:after="120" w:line="288" w:lineRule="auto"/>
        <w:contextualSpacing w:val="0"/>
        <w:rPr>
          <w:rFonts w:ascii="Lato" w:hAnsi="Lato" w:cs="Calibri"/>
          <w:sz w:val="20"/>
          <w:szCs w:val="20"/>
        </w:rPr>
      </w:pPr>
      <w:r w:rsidRPr="00404DA5">
        <w:rPr>
          <w:rFonts w:ascii="Lato" w:hAnsi="Lato" w:cs="Calibri"/>
          <w:sz w:val="20"/>
          <w:szCs w:val="20"/>
        </w:rPr>
        <w:t>otwarcia PSZOK</w:t>
      </w:r>
      <w:r w:rsidR="00E66B89">
        <w:rPr>
          <w:rFonts w:ascii="Lato" w:hAnsi="Lato" w:cs="Calibri"/>
          <w:sz w:val="20"/>
          <w:szCs w:val="20"/>
        </w:rPr>
        <w:t xml:space="preserve"> w </w:t>
      </w:r>
      <w:r w:rsidRPr="00404DA5">
        <w:rPr>
          <w:rFonts w:ascii="Lato" w:hAnsi="Lato" w:cs="Calibri"/>
          <w:sz w:val="20"/>
          <w:szCs w:val="20"/>
        </w:rPr>
        <w:t>weekendy (np.</w:t>
      </w:r>
      <w:r w:rsidR="00E66B89">
        <w:rPr>
          <w:rFonts w:ascii="Lato" w:hAnsi="Lato" w:cs="Calibri"/>
          <w:sz w:val="20"/>
          <w:szCs w:val="20"/>
        </w:rPr>
        <w:t xml:space="preserve"> w </w:t>
      </w:r>
      <w:r w:rsidRPr="00404DA5">
        <w:rPr>
          <w:rFonts w:ascii="Lato" w:hAnsi="Lato" w:cs="Calibri"/>
          <w:sz w:val="20"/>
          <w:szCs w:val="20"/>
        </w:rPr>
        <w:t>sezonie</w:t>
      </w:r>
      <w:r w:rsidR="00E66B89">
        <w:rPr>
          <w:rFonts w:ascii="Lato" w:hAnsi="Lato" w:cs="Calibri"/>
          <w:sz w:val="20"/>
          <w:szCs w:val="20"/>
        </w:rPr>
        <w:t xml:space="preserve"> w </w:t>
      </w:r>
      <w:r w:rsidRPr="00404DA5">
        <w:rPr>
          <w:rFonts w:ascii="Lato" w:hAnsi="Lato" w:cs="Calibri"/>
          <w:sz w:val="20"/>
          <w:szCs w:val="20"/>
        </w:rPr>
        <w:t xml:space="preserve">którym mieszkańcy wytwarzają odpady zielone). </w:t>
      </w:r>
    </w:p>
    <w:p w14:paraId="10DCD05F" w14:textId="77777777" w:rsidR="009D215A" w:rsidRPr="00404DA5" w:rsidRDefault="009D215A" w:rsidP="009D215A">
      <w:pPr>
        <w:rPr>
          <w:rFonts w:cs="Calibri"/>
          <w:szCs w:val="20"/>
        </w:rPr>
      </w:pPr>
      <w:r w:rsidRPr="00404DA5">
        <w:rPr>
          <w:rFonts w:cs="Calibri"/>
          <w:szCs w:val="20"/>
        </w:rPr>
        <w:t>Tego typu zalecenia mogłyby też zostać rozesłane do podmiotów, które już otrzymały wsparcie</w:t>
      </w:r>
      <w:r w:rsidR="00E66B89">
        <w:rPr>
          <w:rFonts w:cs="Calibri"/>
          <w:szCs w:val="20"/>
        </w:rPr>
        <w:t xml:space="preserve"> w </w:t>
      </w:r>
      <w:r w:rsidRPr="00404DA5">
        <w:rPr>
          <w:rFonts w:cs="Calibri"/>
          <w:szCs w:val="20"/>
        </w:rPr>
        <w:t>ramach Programu, ale także dla wszystkich innych gmin</w:t>
      </w:r>
      <w:r w:rsidR="00E66B89">
        <w:rPr>
          <w:rFonts w:cs="Calibri"/>
          <w:szCs w:val="20"/>
        </w:rPr>
        <w:t xml:space="preserve"> w </w:t>
      </w:r>
      <w:r w:rsidRPr="00404DA5">
        <w:rPr>
          <w:rFonts w:cs="Calibri"/>
          <w:szCs w:val="20"/>
        </w:rPr>
        <w:t xml:space="preserve">województwie </w:t>
      </w:r>
      <w:r>
        <w:rPr>
          <w:rFonts w:cs="Calibri"/>
          <w:szCs w:val="20"/>
        </w:rPr>
        <w:t>zachodnio</w:t>
      </w:r>
      <w:r w:rsidRPr="00404DA5">
        <w:rPr>
          <w:rFonts w:cs="Calibri"/>
          <w:szCs w:val="20"/>
        </w:rPr>
        <w:t>pomorskim</w:t>
      </w:r>
      <w:r>
        <w:rPr>
          <w:rFonts w:cs="Calibri"/>
          <w:szCs w:val="20"/>
        </w:rPr>
        <w:t xml:space="preserve"> (co jest szczególnie istotne,</w:t>
      </w:r>
      <w:r w:rsidR="00E66B89">
        <w:rPr>
          <w:rFonts w:cs="Calibri"/>
          <w:szCs w:val="20"/>
        </w:rPr>
        <w:t xml:space="preserve"> z </w:t>
      </w:r>
      <w:r>
        <w:rPr>
          <w:rFonts w:cs="Calibri"/>
          <w:szCs w:val="20"/>
        </w:rPr>
        <w:t>uwagi na fakt, iż</w:t>
      </w:r>
      <w:r w:rsidR="00E66B89">
        <w:rPr>
          <w:rFonts w:cs="Calibri"/>
          <w:szCs w:val="20"/>
        </w:rPr>
        <w:t xml:space="preserve"> w </w:t>
      </w:r>
      <w:r>
        <w:rPr>
          <w:rFonts w:cs="Calibri"/>
          <w:szCs w:val="20"/>
        </w:rPr>
        <w:t>przeprowadzonych do 7.01.2019 r. naborach złożono wnioski na realizację zaledwie dwóch PSZOK)</w:t>
      </w:r>
      <w:r w:rsidRPr="00404DA5">
        <w:rPr>
          <w:rFonts w:cs="Calibri"/>
          <w:szCs w:val="20"/>
        </w:rPr>
        <w:t>.</w:t>
      </w:r>
    </w:p>
    <w:p w14:paraId="023292CC" w14:textId="77777777" w:rsidR="009D215A" w:rsidRPr="00404DA5" w:rsidRDefault="009D215A" w:rsidP="009D215A">
      <w:pPr>
        <w:rPr>
          <w:rFonts w:cs="Calibri"/>
          <w:szCs w:val="20"/>
        </w:rPr>
      </w:pPr>
      <w:r w:rsidRPr="00404DA5">
        <w:rPr>
          <w:rFonts w:cs="Calibri"/>
          <w:szCs w:val="20"/>
        </w:rPr>
        <w:t>Nie stwierdzono występowania sytuacji,</w:t>
      </w:r>
      <w:r w:rsidR="00E66B89">
        <w:rPr>
          <w:rFonts w:cs="Calibri"/>
          <w:szCs w:val="20"/>
        </w:rPr>
        <w:t xml:space="preserve"> w </w:t>
      </w:r>
      <w:r w:rsidRPr="00404DA5">
        <w:rPr>
          <w:rFonts w:cs="Calibri"/>
          <w:szCs w:val="20"/>
        </w:rPr>
        <w:t>której to zidentyfikowane plany</w:t>
      </w:r>
      <w:r w:rsidR="00E66B89">
        <w:rPr>
          <w:rFonts w:cs="Calibri"/>
          <w:szCs w:val="20"/>
        </w:rPr>
        <w:t xml:space="preserve"> i </w:t>
      </w:r>
      <w:r w:rsidRPr="00404DA5">
        <w:rPr>
          <w:rFonts w:cs="Calibri"/>
          <w:szCs w:val="20"/>
        </w:rPr>
        <w:t>potrzeby aplikacyjne były limitowane przez uwarunkowania zewnętrzne takie jak: zapisy Umowy Partnerstwa, wytyczne, dotychczasowy zakres wsparcia RPO WZ 2014-2020. Uwarunkowaniami zewnętrznymi, które mogą wpływać na obniżanie potencjału do realizacji projektów PI 6a są opisane powyżej problemy związane</w:t>
      </w:r>
      <w:r w:rsidR="00E66B89">
        <w:rPr>
          <w:rFonts w:cs="Calibri"/>
          <w:szCs w:val="20"/>
        </w:rPr>
        <w:t xml:space="preserve"> z </w:t>
      </w:r>
      <w:r w:rsidRPr="00404DA5">
        <w:rPr>
          <w:rFonts w:cs="Calibri"/>
          <w:szCs w:val="20"/>
        </w:rPr>
        <w:t>brakiem stabilności przepisów prawa</w:t>
      </w:r>
      <w:r w:rsidR="00E66B89">
        <w:rPr>
          <w:rFonts w:cs="Calibri"/>
          <w:szCs w:val="20"/>
        </w:rPr>
        <w:t xml:space="preserve"> w </w:t>
      </w:r>
      <w:r w:rsidRPr="00404DA5">
        <w:rPr>
          <w:rFonts w:cs="Calibri"/>
          <w:szCs w:val="20"/>
        </w:rPr>
        <w:t>zakresie regulacji dotyczących gospodarki odpadami komunalnymi.</w:t>
      </w:r>
    </w:p>
    <w:p w14:paraId="69365E1E" w14:textId="77777777" w:rsidR="009D215A" w:rsidRPr="00404DA5" w:rsidRDefault="009D215A" w:rsidP="009D215A">
      <w:pPr>
        <w:rPr>
          <w:rFonts w:cs="Calibri"/>
          <w:szCs w:val="20"/>
        </w:rPr>
      </w:pPr>
      <w:r w:rsidRPr="00404DA5">
        <w:rPr>
          <w:rFonts w:cs="Calibri"/>
          <w:szCs w:val="20"/>
        </w:rPr>
        <w:t>Z uwagi na specyfikę wspieranych projektów</w:t>
      </w:r>
      <w:r>
        <w:rPr>
          <w:rFonts w:cs="Calibri"/>
          <w:szCs w:val="20"/>
        </w:rPr>
        <w:t>,</w:t>
      </w:r>
      <w:r w:rsidRPr="00404DA5">
        <w:rPr>
          <w:rFonts w:cs="Calibri"/>
          <w:szCs w:val="20"/>
        </w:rPr>
        <w:t xml:space="preserve"> brak jest możliwości sformułowania rekomendacji odnośnie tego, jakie elementy wsparcia</w:t>
      </w:r>
      <w:r w:rsidR="00E66B89">
        <w:rPr>
          <w:rFonts w:cs="Calibri"/>
          <w:szCs w:val="20"/>
        </w:rPr>
        <w:t xml:space="preserve"> w </w:t>
      </w:r>
      <w:r w:rsidRPr="00404DA5">
        <w:rPr>
          <w:rFonts w:cs="Calibri"/>
          <w:szCs w:val="20"/>
        </w:rPr>
        <w:t>ramach PI 6a można uznać za cechujące się wysoką,</w:t>
      </w:r>
      <w:r w:rsidR="00E66B89">
        <w:rPr>
          <w:rFonts w:cs="Calibri"/>
          <w:szCs w:val="20"/>
        </w:rPr>
        <w:t xml:space="preserve"> a </w:t>
      </w:r>
      <w:r w:rsidRPr="00404DA5">
        <w:rPr>
          <w:rFonts w:cs="Calibri"/>
          <w:szCs w:val="20"/>
        </w:rPr>
        <w:t>jakie niską skutecznością. Wsparcie</w:t>
      </w:r>
      <w:r w:rsidR="00E66B89">
        <w:rPr>
          <w:rFonts w:cs="Calibri"/>
          <w:szCs w:val="20"/>
        </w:rPr>
        <w:t xml:space="preserve"> w </w:t>
      </w:r>
      <w:r w:rsidRPr="00404DA5">
        <w:rPr>
          <w:rFonts w:cs="Calibri"/>
          <w:szCs w:val="20"/>
        </w:rPr>
        <w:t>ramach PI 6a jest bardzo precyzyjne, zakres możliwych do wsparcia projektów ściśle określony</w:t>
      </w:r>
      <w:r>
        <w:rPr>
          <w:rFonts w:cs="Calibri"/>
          <w:szCs w:val="20"/>
        </w:rPr>
        <w:t>,</w:t>
      </w:r>
      <w:r w:rsidR="00E66B89">
        <w:rPr>
          <w:rFonts w:cs="Calibri"/>
          <w:szCs w:val="20"/>
        </w:rPr>
        <w:t xml:space="preserve"> a </w:t>
      </w:r>
      <w:r w:rsidRPr="00404DA5">
        <w:rPr>
          <w:rFonts w:cs="Calibri"/>
          <w:szCs w:val="20"/>
        </w:rPr>
        <w:t>zamierzone efekty generalnie charakteryzują się wysoką logiką</w:t>
      </w:r>
      <w:r w:rsidR="00E66B89">
        <w:rPr>
          <w:rFonts w:cs="Calibri"/>
          <w:szCs w:val="20"/>
        </w:rPr>
        <w:t xml:space="preserve"> i </w:t>
      </w:r>
      <w:r w:rsidRPr="00404DA5">
        <w:rPr>
          <w:rFonts w:cs="Calibri"/>
          <w:szCs w:val="20"/>
        </w:rPr>
        <w:t xml:space="preserve">powinny skutecznie przyczyniać się do </w:t>
      </w:r>
      <w:r>
        <w:rPr>
          <w:rFonts w:cs="Calibri"/>
          <w:szCs w:val="20"/>
        </w:rPr>
        <w:t>osiągnięcia</w:t>
      </w:r>
      <w:r w:rsidRPr="00404DA5">
        <w:rPr>
          <w:rFonts w:cs="Calibri"/>
          <w:szCs w:val="20"/>
        </w:rPr>
        <w:t xml:space="preserve"> wyznaczonych celów.</w:t>
      </w:r>
    </w:p>
    <w:p w14:paraId="65C5A613" w14:textId="77777777" w:rsidR="009D215A" w:rsidRPr="00404DA5" w:rsidRDefault="009D215A" w:rsidP="009D215A">
      <w:pPr>
        <w:rPr>
          <w:rFonts w:cs="Calibri"/>
          <w:szCs w:val="20"/>
        </w:rPr>
      </w:pPr>
      <w:r w:rsidRPr="00404DA5">
        <w:rPr>
          <w:rFonts w:cs="Calibri"/>
          <w:szCs w:val="20"/>
        </w:rPr>
        <w:t>Z uwagi na kompleksowość wsparcia skierowanego</w:t>
      </w:r>
      <w:r w:rsidR="00E66B89">
        <w:rPr>
          <w:rFonts w:cs="Calibri"/>
          <w:szCs w:val="20"/>
        </w:rPr>
        <w:t xml:space="preserve"> w </w:t>
      </w:r>
      <w:r w:rsidRPr="00404DA5">
        <w:rPr>
          <w:rFonts w:cs="Calibri"/>
          <w:szCs w:val="20"/>
        </w:rPr>
        <w:t>ramach PI 6a nie można mówić</w:t>
      </w:r>
      <w:r w:rsidR="00E66B89">
        <w:rPr>
          <w:rFonts w:cs="Calibri"/>
          <w:szCs w:val="20"/>
        </w:rPr>
        <w:t xml:space="preserve"> o </w:t>
      </w:r>
      <w:r w:rsidRPr="00404DA5">
        <w:rPr>
          <w:rFonts w:cs="Calibri"/>
          <w:szCs w:val="20"/>
        </w:rPr>
        <w:t>identyfikacji typów projektów, które charakteryzowałyby się wyższą bądź niższą skutecznością. Należy wskazać, iż wszystkie typy wspieranych projektów</w:t>
      </w:r>
      <w:r w:rsidR="00E66B89">
        <w:rPr>
          <w:rFonts w:cs="Calibri"/>
          <w:szCs w:val="20"/>
        </w:rPr>
        <w:t xml:space="preserve"> w </w:t>
      </w:r>
      <w:r w:rsidRPr="00404DA5">
        <w:rPr>
          <w:rFonts w:cs="Calibri"/>
          <w:szCs w:val="20"/>
        </w:rPr>
        <w:t>ramach Działania 3.7 charakteryzują się wysoką skutecznością. Nie należy ograniczać wsparcia do określonej grupy projektów np. tylko na PSZOK czy tylko na zakłady zagospodarowania określonych frakcji odpadów. Realizacja projektów</w:t>
      </w:r>
      <w:r w:rsidR="00E66B89">
        <w:rPr>
          <w:rFonts w:cs="Calibri"/>
          <w:szCs w:val="20"/>
        </w:rPr>
        <w:t xml:space="preserve"> w </w:t>
      </w:r>
      <w:r w:rsidRPr="00404DA5">
        <w:rPr>
          <w:rFonts w:cs="Calibri"/>
          <w:szCs w:val="20"/>
        </w:rPr>
        <w:t>tej dziedzinie jest podejmowana racjonalnie</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bieżące potrzeby podmiotów zajmujących się zarządzaniem</w:t>
      </w:r>
      <w:r w:rsidR="00E66B89">
        <w:rPr>
          <w:rFonts w:cs="Calibri"/>
          <w:szCs w:val="20"/>
        </w:rPr>
        <w:t xml:space="preserve"> i </w:t>
      </w:r>
      <w:r w:rsidRPr="00404DA5">
        <w:rPr>
          <w:rFonts w:cs="Calibri"/>
          <w:szCs w:val="20"/>
        </w:rPr>
        <w:t>eksploatacją infrastruktury. Wsparcie na gospodarkę odpadową musi być kierowane proporcjonalnie według bieżących potrzeb, ale bez ograniczania do konkretnych typów projektów.</w:t>
      </w:r>
    </w:p>
    <w:p w14:paraId="6A811D70" w14:textId="77777777" w:rsidR="009D215A" w:rsidRPr="00404DA5" w:rsidRDefault="009D215A" w:rsidP="009D215A">
      <w:pPr>
        <w:rPr>
          <w:rFonts w:cs="Calibri"/>
          <w:szCs w:val="20"/>
        </w:rPr>
      </w:pPr>
      <w:r w:rsidRPr="00404DA5">
        <w:rPr>
          <w:rFonts w:cs="Calibri"/>
          <w:szCs w:val="20"/>
        </w:rPr>
        <w:lastRenderedPageBreak/>
        <w:t>W dalszym ciągu szczególnie istotne jest kontynuowanie wsparcia projektów zwiększających stopień selektywnej zbiórki, efektywnego przetwarzania oraz ograniczania składowania odpadów (szczególnie komunalnych).</w:t>
      </w:r>
    </w:p>
    <w:p w14:paraId="76533929" w14:textId="77777777" w:rsidR="009D215A" w:rsidRPr="00404DA5" w:rsidRDefault="009D215A" w:rsidP="009D215A">
      <w:pPr>
        <w:rPr>
          <w:rFonts w:cs="Calibri"/>
          <w:szCs w:val="20"/>
        </w:rPr>
      </w:pPr>
      <w:r w:rsidRPr="00404DA5">
        <w:rPr>
          <w:rFonts w:cs="Calibri"/>
          <w:szCs w:val="20"/>
        </w:rPr>
        <w:t>W ramach przeprowadzonych analiz nie zidentyfikowano takich typów projektów, których realizacja byłaby</w:t>
      </w:r>
      <w:r w:rsidR="00E66B89">
        <w:rPr>
          <w:rFonts w:cs="Calibri"/>
          <w:szCs w:val="20"/>
        </w:rPr>
        <w:t xml:space="preserve"> z </w:t>
      </w:r>
      <w:r w:rsidRPr="00404DA5">
        <w:rPr>
          <w:rFonts w:cs="Calibri"/>
          <w:szCs w:val="20"/>
        </w:rPr>
        <w:t>jakichś względów utrudniona. Wszystkie typy wspieranych</w:t>
      </w:r>
      <w:r w:rsidR="00E66B89">
        <w:rPr>
          <w:rFonts w:cs="Calibri"/>
          <w:szCs w:val="20"/>
        </w:rPr>
        <w:t xml:space="preserve"> w </w:t>
      </w:r>
      <w:r w:rsidRPr="00404DA5">
        <w:rPr>
          <w:rFonts w:cs="Calibri"/>
          <w:szCs w:val="20"/>
        </w:rPr>
        <w:t>ramach PI 6a projektów</w:t>
      </w:r>
      <w:r w:rsidR="00E66B89">
        <w:rPr>
          <w:rFonts w:cs="Calibri"/>
          <w:szCs w:val="20"/>
        </w:rPr>
        <w:t xml:space="preserve"> w </w:t>
      </w:r>
      <w:r w:rsidRPr="00404DA5">
        <w:rPr>
          <w:rFonts w:cs="Calibri"/>
          <w:szCs w:val="20"/>
        </w:rPr>
        <w:t xml:space="preserve">skuteczny sposób przyczyniają się do </w:t>
      </w:r>
      <w:r>
        <w:rPr>
          <w:rFonts w:cs="Calibri"/>
          <w:szCs w:val="20"/>
        </w:rPr>
        <w:t>osiągnięcia</w:t>
      </w:r>
      <w:r w:rsidRPr="00404DA5">
        <w:rPr>
          <w:rFonts w:cs="Calibri"/>
          <w:szCs w:val="20"/>
        </w:rPr>
        <w:t xml:space="preserve"> wyznaczonych celów. </w:t>
      </w:r>
    </w:p>
    <w:p w14:paraId="71C4D42D" w14:textId="77777777" w:rsidR="009D215A" w:rsidRPr="00404DA5" w:rsidRDefault="009D215A" w:rsidP="009D215A">
      <w:pPr>
        <w:rPr>
          <w:rFonts w:cs="Calibri"/>
          <w:szCs w:val="20"/>
        </w:rPr>
      </w:pPr>
      <w:r w:rsidRPr="00404DA5">
        <w:rPr>
          <w:rFonts w:cs="Calibri"/>
          <w:szCs w:val="20"/>
        </w:rPr>
        <w:t>Jak już oceniono</w:t>
      </w:r>
      <w:r w:rsidR="00E66B89">
        <w:rPr>
          <w:rFonts w:cs="Calibri"/>
          <w:szCs w:val="20"/>
        </w:rPr>
        <w:t xml:space="preserve"> w </w:t>
      </w:r>
      <w:r w:rsidRPr="00404DA5">
        <w:rPr>
          <w:rFonts w:cs="Calibri"/>
          <w:szCs w:val="20"/>
        </w:rPr>
        <w:t>podrozdziale dotyczącym postępów wdrażania, wsparcie</w:t>
      </w:r>
      <w:r w:rsidR="00E66B89">
        <w:rPr>
          <w:rFonts w:cs="Calibri"/>
          <w:szCs w:val="20"/>
        </w:rPr>
        <w:t xml:space="preserve"> w </w:t>
      </w:r>
      <w:r w:rsidRPr="00404DA5">
        <w:rPr>
          <w:rFonts w:cs="Calibri"/>
          <w:szCs w:val="20"/>
        </w:rPr>
        <w:t>ramach PI 6a cechuje wysoka logika interwencji</w:t>
      </w:r>
      <w:r w:rsidR="00E66B89">
        <w:rPr>
          <w:rFonts w:cs="Calibri"/>
          <w:szCs w:val="20"/>
        </w:rPr>
        <w:t xml:space="preserve"> i </w:t>
      </w:r>
      <w:r w:rsidRPr="00404DA5">
        <w:rPr>
          <w:rFonts w:cs="Calibri"/>
          <w:szCs w:val="20"/>
        </w:rPr>
        <w:t xml:space="preserve">nie </w:t>
      </w:r>
      <w:r>
        <w:rPr>
          <w:rFonts w:cs="Calibri"/>
          <w:szCs w:val="20"/>
        </w:rPr>
        <w:t>ma potrzeby wskazywania</w:t>
      </w:r>
      <w:r w:rsidRPr="00404DA5">
        <w:rPr>
          <w:rFonts w:cs="Calibri"/>
          <w:szCs w:val="20"/>
        </w:rPr>
        <w:t xml:space="preserve"> żadnych rekomendacji</w:t>
      </w:r>
      <w:r w:rsidR="00E66B89">
        <w:rPr>
          <w:rFonts w:cs="Calibri"/>
          <w:szCs w:val="20"/>
        </w:rPr>
        <w:t xml:space="preserve"> w </w:t>
      </w:r>
      <w:r w:rsidRPr="00404DA5">
        <w:rPr>
          <w:rFonts w:cs="Calibri"/>
          <w:szCs w:val="20"/>
        </w:rPr>
        <w:t xml:space="preserve">zakresie </w:t>
      </w:r>
      <w:r>
        <w:rPr>
          <w:rFonts w:cs="Calibri"/>
          <w:szCs w:val="20"/>
        </w:rPr>
        <w:t xml:space="preserve">jego </w:t>
      </w:r>
      <w:r w:rsidRPr="00404DA5">
        <w:rPr>
          <w:rFonts w:cs="Calibri"/>
          <w:szCs w:val="20"/>
        </w:rPr>
        <w:t>modyfikacji. Planowany do wsparcia rodzaj interwencji jest trafny</w:t>
      </w:r>
      <w:r w:rsidR="00E66B89">
        <w:rPr>
          <w:rFonts w:cs="Calibri"/>
          <w:szCs w:val="20"/>
        </w:rPr>
        <w:t xml:space="preserve"> i </w:t>
      </w:r>
      <w:r w:rsidRPr="00404DA5">
        <w:rPr>
          <w:rFonts w:cs="Calibri"/>
          <w:szCs w:val="20"/>
        </w:rPr>
        <w:t>będzie</w:t>
      </w:r>
      <w:r w:rsidR="00E66B89">
        <w:rPr>
          <w:rFonts w:cs="Calibri"/>
          <w:szCs w:val="20"/>
        </w:rPr>
        <w:t xml:space="preserve"> w </w:t>
      </w:r>
      <w:r w:rsidRPr="00404DA5">
        <w:rPr>
          <w:rFonts w:cs="Calibri"/>
          <w:szCs w:val="20"/>
        </w:rPr>
        <w:t>sposób pozytywny oddziaływa</w:t>
      </w:r>
      <w:r>
        <w:rPr>
          <w:rFonts w:cs="Calibri"/>
          <w:szCs w:val="20"/>
        </w:rPr>
        <w:t>ć</w:t>
      </w:r>
      <w:r w:rsidRPr="00404DA5">
        <w:rPr>
          <w:rFonts w:cs="Calibri"/>
          <w:szCs w:val="20"/>
        </w:rPr>
        <w:t xml:space="preserve"> na zidentyfikowane wyzwania. </w:t>
      </w:r>
      <w:r>
        <w:rPr>
          <w:rFonts w:cs="Calibri"/>
          <w:szCs w:val="20"/>
        </w:rPr>
        <w:t>Zaleca</w:t>
      </w:r>
      <w:r w:rsidRPr="00404DA5">
        <w:rPr>
          <w:rFonts w:cs="Calibri"/>
          <w:szCs w:val="20"/>
        </w:rPr>
        <w:t xml:space="preserve"> się kontynuowanie wsparcia na pełen zakres projektów uprawnionych do aplikowania</w:t>
      </w:r>
      <w:r w:rsidR="00E66B89">
        <w:rPr>
          <w:rFonts w:cs="Calibri"/>
          <w:szCs w:val="20"/>
        </w:rPr>
        <w:t xml:space="preserve"> w </w:t>
      </w:r>
      <w:r w:rsidRPr="00404DA5">
        <w:rPr>
          <w:rFonts w:cs="Calibri"/>
          <w:szCs w:val="20"/>
        </w:rPr>
        <w:t>ramach Działania 3.7.</w:t>
      </w:r>
      <w:r w:rsidR="00E66B89">
        <w:rPr>
          <w:rFonts w:cs="Calibri"/>
          <w:szCs w:val="20"/>
        </w:rPr>
        <w:t xml:space="preserve"> Z </w:t>
      </w:r>
      <w:r w:rsidRPr="00404DA5">
        <w:rPr>
          <w:rFonts w:cs="Calibri"/>
          <w:szCs w:val="20"/>
        </w:rPr>
        <w:t>tej perspektywy pozytywnie należy ocenić możliwości kontynuowania ubiegania się</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 xml:space="preserve">ramach </w:t>
      </w:r>
      <w:r>
        <w:rPr>
          <w:rFonts w:cs="Calibri"/>
          <w:szCs w:val="20"/>
        </w:rPr>
        <w:t>zakończonego 28.03.2019 r.</w:t>
      </w:r>
      <w:r w:rsidRPr="00404DA5">
        <w:rPr>
          <w:rFonts w:cs="Calibri"/>
          <w:szCs w:val="20"/>
        </w:rPr>
        <w:t xml:space="preserve"> naboru wniosków.</w:t>
      </w:r>
    </w:p>
    <w:p w14:paraId="270CACF9"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Prognozy osiągnięcia celów zakładanych na 2023 rok</w:t>
      </w:r>
    </w:p>
    <w:p w14:paraId="2C549238" w14:textId="77777777" w:rsidR="009D215A" w:rsidRPr="00436D27" w:rsidRDefault="009D215A" w:rsidP="009D215A">
      <w:pPr>
        <w:pStyle w:val="evaluTresc"/>
      </w:pPr>
      <w:r w:rsidRPr="00436D27">
        <w:t>Można prognozować, iż po zakontraktowaniu wszystkich uprawnionych projektów</w:t>
      </w:r>
      <w:r w:rsidR="00E66B89">
        <w:t xml:space="preserve"> z I </w:t>
      </w:r>
      <w:r w:rsidRPr="00436D27">
        <w:t xml:space="preserve">naboru (całkowita wnioskowana kwota wsparcia: 18 052 223,32 zł, wnioskowana kwota wsparcia projektów, które do 7 stycznia 2019 r. nie podpisały UoD: </w:t>
      </w:r>
      <w:r w:rsidRPr="00404DA5">
        <w:t>8 499 999,15 zł</w:t>
      </w:r>
      <w:r w:rsidRPr="00436D27">
        <w:t>)</w:t>
      </w:r>
      <w:r w:rsidR="00E66B89">
        <w:t xml:space="preserve"> w </w:t>
      </w:r>
      <w:r w:rsidRPr="00436D27">
        <w:t xml:space="preserve">ramach Działania pozostanie 7 789 627,58 zł alokacji bez </w:t>
      </w:r>
      <w:r>
        <w:t>rezerwy wykonania</w:t>
      </w:r>
      <w:r w:rsidRPr="00436D27">
        <w:t xml:space="preserve"> (kontraktacja ok. 69,9%) oraz 16 370 176,68</w:t>
      </w:r>
      <w:r w:rsidR="00E66B89">
        <w:t xml:space="preserve"> z </w:t>
      </w:r>
      <w:r>
        <w:t>rezerwą</w:t>
      </w:r>
      <w:r w:rsidRPr="00436D27">
        <w:t xml:space="preserve"> (kontraktacja ok. 52,4%).</w:t>
      </w:r>
      <w:r w:rsidR="00E66B89">
        <w:t xml:space="preserve"> W </w:t>
      </w:r>
      <w:r w:rsidRPr="00436D27">
        <w:t>sytuacji, gdyby</w:t>
      </w:r>
      <w:r w:rsidR="00E66B89">
        <w:t xml:space="preserve"> w </w:t>
      </w:r>
      <w:r w:rsidRPr="00436D27">
        <w:t>ramach drugiego naboru możliwe było wydatkowanie całej dostępnej alokacji (3,5 mln Euro tj. ok. 15 mln zł)</w:t>
      </w:r>
      <w:r w:rsidR="00E66B89">
        <w:t xml:space="preserve"> w </w:t>
      </w:r>
      <w:r w:rsidRPr="00436D27">
        <w:t>Działaniu pozostałoby ok. 1,3 mln zł alokacji</w:t>
      </w:r>
      <w:r w:rsidR="00E66B89">
        <w:t xml:space="preserve"> z </w:t>
      </w:r>
      <w:r>
        <w:t>rezerwą wykonania</w:t>
      </w:r>
      <w:r w:rsidRPr="00436D27">
        <w:t>. Możliwe jest, iż zainteresowanie aplikowaniem</w:t>
      </w:r>
      <w:r w:rsidR="00E66B89">
        <w:t xml:space="preserve"> o </w:t>
      </w:r>
      <w:r w:rsidRPr="00436D27">
        <w:t>wsparcie</w:t>
      </w:r>
      <w:r w:rsidR="00E66B89">
        <w:t xml:space="preserve"> w </w:t>
      </w:r>
      <w:r w:rsidRPr="00436D27">
        <w:t>ramach II naboru będzie tak duże, iż IZ RPO podejmie decyzję</w:t>
      </w:r>
      <w:r w:rsidR="00E66B89">
        <w:t xml:space="preserve"> o </w:t>
      </w:r>
      <w:r w:rsidRPr="00436D27">
        <w:t>zwiększeniu alokacji (co umożliwi wydatkowanie całej alokacji na Działanie wraz</w:t>
      </w:r>
      <w:r w:rsidR="00E66B89">
        <w:t xml:space="preserve"> z </w:t>
      </w:r>
      <w:r>
        <w:t>rezerwą</w:t>
      </w:r>
      <w:r w:rsidRPr="00436D27">
        <w:t>).</w:t>
      </w:r>
    </w:p>
    <w:p w14:paraId="437A25F1" w14:textId="77777777" w:rsidR="009D215A" w:rsidRPr="00404DA5" w:rsidRDefault="009D215A" w:rsidP="009D215A">
      <w:pPr>
        <w:rPr>
          <w:rFonts w:cs="Calibri"/>
          <w:szCs w:val="20"/>
        </w:rPr>
      </w:pPr>
      <w:r w:rsidRPr="00404DA5">
        <w:rPr>
          <w:rFonts w:cs="Calibri"/>
          <w:szCs w:val="20"/>
        </w:rPr>
        <w:t>Informacje nt. kosztów jednostkowych poszczególnych wskaźników zaprezentowano</w:t>
      </w:r>
      <w:r w:rsidR="00E66B89">
        <w:rPr>
          <w:rFonts w:cs="Calibri"/>
          <w:szCs w:val="20"/>
        </w:rPr>
        <w:t xml:space="preserve"> w </w:t>
      </w:r>
      <w:r w:rsidRPr="00404DA5">
        <w:rPr>
          <w:rFonts w:cs="Calibri"/>
          <w:szCs w:val="20"/>
        </w:rPr>
        <w:t>podrozdziale opisującym ocenę postępów realizacji PI.</w:t>
      </w:r>
      <w:r w:rsidR="00E66B89">
        <w:rPr>
          <w:rFonts w:cs="Calibri"/>
          <w:szCs w:val="20"/>
        </w:rPr>
        <w:t xml:space="preserve"> W </w:t>
      </w:r>
      <w:r w:rsidRPr="00404DA5">
        <w:rPr>
          <w:rFonts w:cs="Calibri"/>
          <w:szCs w:val="20"/>
        </w:rPr>
        <w:t xml:space="preserve">miejscu tym </w:t>
      </w:r>
      <w:r>
        <w:rPr>
          <w:rFonts w:cs="Calibri"/>
          <w:szCs w:val="20"/>
        </w:rPr>
        <w:t>e</w:t>
      </w:r>
      <w:r w:rsidRPr="00404DA5">
        <w:rPr>
          <w:rFonts w:cs="Calibri"/>
          <w:szCs w:val="20"/>
        </w:rPr>
        <w:t>waluator zamieścił stosowny komentarz do trafności przyjętych wartości kosztów jednostkowych.</w:t>
      </w:r>
    </w:p>
    <w:p w14:paraId="400E5FD9" w14:textId="77777777" w:rsidR="009D215A" w:rsidRPr="00436D27" w:rsidRDefault="009D215A" w:rsidP="009D215A">
      <w:pPr>
        <w:rPr>
          <w:rFonts w:cs="Calibri"/>
          <w:color w:val="000000"/>
          <w:szCs w:val="20"/>
        </w:rPr>
      </w:pPr>
      <w:r w:rsidRPr="00404DA5">
        <w:rPr>
          <w:rFonts w:cs="Calibri"/>
          <w:szCs w:val="20"/>
        </w:rPr>
        <w:t>Aktualnie brak jest podstaw do tego</w:t>
      </w:r>
      <w:r>
        <w:rPr>
          <w:rFonts w:cs="Calibri"/>
          <w:szCs w:val="20"/>
        </w:rPr>
        <w:t>,</w:t>
      </w:r>
      <w:r w:rsidRPr="00404DA5">
        <w:rPr>
          <w:rFonts w:cs="Calibri"/>
          <w:szCs w:val="20"/>
        </w:rPr>
        <w:t xml:space="preserve"> by móc jednoznacznie ocenić, czy</w:t>
      </w:r>
      <w:r w:rsidR="00E66B89">
        <w:rPr>
          <w:rFonts w:cs="Calibri"/>
          <w:szCs w:val="20"/>
        </w:rPr>
        <w:t xml:space="preserve"> w </w:t>
      </w:r>
      <w:r w:rsidRPr="00404DA5">
        <w:rPr>
          <w:rFonts w:cs="Calibri"/>
          <w:szCs w:val="20"/>
        </w:rPr>
        <w:t>ramach wdrażania II naboru</w:t>
      </w:r>
      <w:r w:rsidR="00E66B89">
        <w:rPr>
          <w:rFonts w:cs="Calibri"/>
          <w:szCs w:val="20"/>
        </w:rPr>
        <w:t xml:space="preserve"> w </w:t>
      </w:r>
      <w:r w:rsidRPr="00404DA5">
        <w:rPr>
          <w:rFonts w:cs="Calibri"/>
          <w:szCs w:val="20"/>
        </w:rPr>
        <w:t>Działani</w:t>
      </w:r>
      <w:r>
        <w:rPr>
          <w:rFonts w:cs="Calibri"/>
          <w:szCs w:val="20"/>
        </w:rPr>
        <w:t>u</w:t>
      </w:r>
      <w:r w:rsidRPr="00404DA5">
        <w:rPr>
          <w:rFonts w:cs="Calibri"/>
          <w:szCs w:val="20"/>
        </w:rPr>
        <w:t xml:space="preserve"> 3.7 wybrane zostaną takie projekty, które będą</w:t>
      </w:r>
      <w:r w:rsidR="00E66B89">
        <w:rPr>
          <w:rFonts w:cs="Calibri"/>
          <w:szCs w:val="20"/>
        </w:rPr>
        <w:t xml:space="preserve"> w </w:t>
      </w:r>
      <w:r w:rsidRPr="00404DA5">
        <w:rPr>
          <w:rFonts w:cs="Calibri"/>
          <w:szCs w:val="20"/>
        </w:rPr>
        <w:t xml:space="preserve">stanie wykazać </w:t>
      </w:r>
      <w:r>
        <w:rPr>
          <w:rFonts w:cs="Calibri"/>
          <w:szCs w:val="20"/>
        </w:rPr>
        <w:t>osiągnięcie</w:t>
      </w:r>
      <w:r w:rsidRPr="00404DA5">
        <w:rPr>
          <w:rFonts w:cs="Calibri"/>
          <w:szCs w:val="20"/>
        </w:rPr>
        <w:t xml:space="preserve"> wartości wskaźnika </w:t>
      </w:r>
      <w:r w:rsidRPr="008B706B">
        <w:rPr>
          <w:rFonts w:cs="Calibri"/>
          <w:i/>
          <w:color w:val="000000"/>
          <w:szCs w:val="20"/>
        </w:rPr>
        <w:t>Dodatkowa zdolność przerobowa zakładów recyklingu</w:t>
      </w:r>
      <w:r w:rsidRPr="00436D27">
        <w:rPr>
          <w:rFonts w:cs="Calibri"/>
          <w:color w:val="000000"/>
          <w:szCs w:val="20"/>
        </w:rPr>
        <w:t xml:space="preserve">. </w:t>
      </w:r>
    </w:p>
    <w:p w14:paraId="027FE4BF" w14:textId="77777777" w:rsidR="009D215A" w:rsidRPr="00436D27" w:rsidRDefault="009D215A" w:rsidP="009D215A">
      <w:pPr>
        <w:rPr>
          <w:rFonts w:cs="Calibri"/>
          <w:color w:val="000000"/>
          <w:szCs w:val="20"/>
        </w:rPr>
      </w:pPr>
      <w:r w:rsidRPr="00436D27">
        <w:rPr>
          <w:rFonts w:cs="Calibri"/>
          <w:color w:val="000000"/>
          <w:szCs w:val="20"/>
        </w:rPr>
        <w:t>Beneficjenci</w:t>
      </w:r>
      <w:r w:rsidR="00E66B89">
        <w:rPr>
          <w:rFonts w:cs="Calibri"/>
          <w:color w:val="000000"/>
          <w:szCs w:val="20"/>
        </w:rPr>
        <w:t xml:space="preserve"> w </w:t>
      </w:r>
      <w:r w:rsidRPr="00436D27">
        <w:rPr>
          <w:rFonts w:cs="Calibri"/>
          <w:color w:val="000000"/>
          <w:szCs w:val="20"/>
        </w:rPr>
        <w:t xml:space="preserve">ramach badania ankietowego nie wskazali na możliwość wystąpienia problemów, które utrudniłyby im </w:t>
      </w:r>
      <w:r>
        <w:rPr>
          <w:rFonts w:cs="Calibri"/>
          <w:color w:val="000000"/>
          <w:szCs w:val="20"/>
        </w:rPr>
        <w:t>osiągnięcie</w:t>
      </w:r>
      <w:r w:rsidRPr="00436D27">
        <w:rPr>
          <w:rFonts w:cs="Calibri"/>
          <w:color w:val="000000"/>
          <w:szCs w:val="20"/>
        </w:rPr>
        <w:t xml:space="preserve"> założonych wartości wskaźników</w:t>
      </w:r>
      <w:r w:rsidR="00E66B89">
        <w:rPr>
          <w:rFonts w:cs="Calibri"/>
          <w:color w:val="000000"/>
          <w:szCs w:val="20"/>
        </w:rPr>
        <w:t xml:space="preserve"> w </w:t>
      </w:r>
      <w:r w:rsidRPr="00436D27">
        <w:rPr>
          <w:rFonts w:cs="Calibri"/>
          <w:color w:val="000000"/>
          <w:szCs w:val="20"/>
        </w:rPr>
        <w:t xml:space="preserve">realizowanych projektach. Aktualny stan wdrażania RPO WZ nie zapewni </w:t>
      </w:r>
      <w:r>
        <w:rPr>
          <w:rFonts w:cs="Calibri"/>
          <w:color w:val="000000"/>
          <w:szCs w:val="20"/>
        </w:rPr>
        <w:t>osiągnięcia</w:t>
      </w:r>
      <w:r w:rsidRPr="00436D27">
        <w:rPr>
          <w:rFonts w:cs="Calibri"/>
          <w:color w:val="000000"/>
          <w:szCs w:val="20"/>
        </w:rPr>
        <w:t xml:space="preserve"> wartości docelowej wskaźnika pn. </w:t>
      </w:r>
      <w:r w:rsidRPr="008B706B">
        <w:rPr>
          <w:rFonts w:cs="Calibri"/>
          <w:i/>
          <w:color w:val="000000"/>
          <w:szCs w:val="20"/>
        </w:rPr>
        <w:t>Dodatkowa zdolność przerobowa zakładów recyklingu</w:t>
      </w:r>
      <w:r w:rsidRPr="00436D27">
        <w:rPr>
          <w:rFonts w:cs="Calibri"/>
          <w:color w:val="000000"/>
          <w:szCs w:val="20"/>
        </w:rPr>
        <w:t>. Różnice pomiędzy wartościami prognozowanymi oraz osiągniętymi wynikają</w:t>
      </w:r>
      <w:r w:rsidR="00E66B89">
        <w:rPr>
          <w:rFonts w:cs="Calibri"/>
          <w:color w:val="000000"/>
          <w:szCs w:val="20"/>
        </w:rPr>
        <w:t xml:space="preserve"> z </w:t>
      </w:r>
      <w:r w:rsidRPr="00436D27">
        <w:rPr>
          <w:rFonts w:cs="Calibri"/>
          <w:color w:val="000000"/>
          <w:szCs w:val="20"/>
        </w:rPr>
        <w:t>obiektywnych okoliczności (różnice</w:t>
      </w:r>
      <w:r w:rsidR="00E66B89">
        <w:rPr>
          <w:rFonts w:cs="Calibri"/>
          <w:color w:val="000000"/>
          <w:szCs w:val="20"/>
        </w:rPr>
        <w:t xml:space="preserve"> w </w:t>
      </w:r>
      <w:r w:rsidRPr="00436D27">
        <w:rPr>
          <w:rFonts w:cs="Calibri"/>
          <w:color w:val="000000"/>
          <w:szCs w:val="20"/>
        </w:rPr>
        <w:t>przyjętych wartościach kosztów jednostkowych).</w:t>
      </w:r>
    </w:p>
    <w:p w14:paraId="7F772FDA" w14:textId="77777777" w:rsidR="009D215A" w:rsidRPr="00436D27" w:rsidRDefault="009D215A" w:rsidP="009D215A">
      <w:pPr>
        <w:rPr>
          <w:rFonts w:cs="Calibri"/>
          <w:b/>
          <w:color w:val="000000"/>
          <w:szCs w:val="20"/>
        </w:rPr>
      </w:pPr>
      <w:r w:rsidRPr="00436D27">
        <w:rPr>
          <w:rFonts w:cs="Calibri"/>
          <w:b/>
          <w:color w:val="000000"/>
          <w:szCs w:val="20"/>
        </w:rPr>
        <w:t xml:space="preserve">REKOMENDACJA: Rekomenduje się ocenę zasadności zmiany docelowej wartości wskaźnika PI 6a po rozstrzygnięciu </w:t>
      </w:r>
      <w:r>
        <w:rPr>
          <w:rFonts w:cs="Calibri"/>
          <w:b/>
          <w:color w:val="000000"/>
          <w:szCs w:val="20"/>
        </w:rPr>
        <w:t>II</w:t>
      </w:r>
      <w:r w:rsidRPr="00436D27">
        <w:rPr>
          <w:rFonts w:cs="Calibri"/>
          <w:b/>
          <w:color w:val="000000"/>
          <w:szCs w:val="20"/>
        </w:rPr>
        <w:t xml:space="preserve"> naboru wniosków</w:t>
      </w:r>
      <w:r w:rsidR="00E66B89">
        <w:rPr>
          <w:rFonts w:cs="Calibri"/>
          <w:b/>
          <w:color w:val="000000"/>
          <w:szCs w:val="20"/>
        </w:rPr>
        <w:t xml:space="preserve"> w </w:t>
      </w:r>
      <w:r>
        <w:rPr>
          <w:rFonts w:cs="Calibri"/>
          <w:b/>
          <w:color w:val="000000"/>
          <w:szCs w:val="20"/>
        </w:rPr>
        <w:t>Działaniu 3.7</w:t>
      </w:r>
      <w:r w:rsidRPr="00436D27">
        <w:rPr>
          <w:rFonts w:cs="Calibri"/>
          <w:b/>
          <w:color w:val="000000"/>
          <w:szCs w:val="20"/>
        </w:rPr>
        <w:t>.</w:t>
      </w:r>
      <w:r w:rsidR="00E66B89">
        <w:rPr>
          <w:rFonts w:cs="Calibri"/>
          <w:b/>
          <w:color w:val="000000"/>
          <w:szCs w:val="20"/>
        </w:rPr>
        <w:t xml:space="preserve"> W </w:t>
      </w:r>
      <w:r w:rsidRPr="00436D27">
        <w:rPr>
          <w:rFonts w:cs="Calibri"/>
          <w:b/>
          <w:color w:val="000000"/>
          <w:szCs w:val="20"/>
        </w:rPr>
        <w:t xml:space="preserve">przypadku, gdyby po </w:t>
      </w:r>
      <w:r>
        <w:rPr>
          <w:rFonts w:cs="Calibri"/>
          <w:b/>
          <w:color w:val="000000"/>
          <w:szCs w:val="20"/>
        </w:rPr>
        <w:t>zakończonym</w:t>
      </w:r>
      <w:r w:rsidRPr="00436D27">
        <w:rPr>
          <w:rFonts w:cs="Calibri"/>
          <w:b/>
          <w:color w:val="000000"/>
          <w:szCs w:val="20"/>
        </w:rPr>
        <w:t xml:space="preserve"> naborze wniosków nie udało się osiągnąć założonej wartości docelowej, rekomenduje się podjęcie rozmów</w:t>
      </w:r>
      <w:r w:rsidR="00E66B89">
        <w:rPr>
          <w:rFonts w:cs="Calibri"/>
          <w:b/>
          <w:color w:val="000000"/>
          <w:szCs w:val="20"/>
        </w:rPr>
        <w:t xml:space="preserve"> z </w:t>
      </w:r>
      <w:r w:rsidRPr="00436D27">
        <w:rPr>
          <w:rFonts w:cs="Calibri"/>
          <w:b/>
          <w:color w:val="000000"/>
          <w:szCs w:val="20"/>
        </w:rPr>
        <w:t>KE celem zmiany docelowej wartości wskaźnika</w:t>
      </w:r>
      <w:r w:rsidR="00E66B89">
        <w:rPr>
          <w:rFonts w:cs="Calibri"/>
          <w:b/>
          <w:color w:val="000000"/>
          <w:szCs w:val="20"/>
        </w:rPr>
        <w:t xml:space="preserve"> i </w:t>
      </w:r>
      <w:r w:rsidRPr="00436D27">
        <w:rPr>
          <w:rFonts w:cs="Calibri"/>
          <w:b/>
          <w:color w:val="000000"/>
          <w:szCs w:val="20"/>
        </w:rPr>
        <w:t xml:space="preserve">dostosowanie do rozstrzygnięć jakie zapadną po zakończeniu oceny złożonych </w:t>
      </w:r>
      <w:r>
        <w:rPr>
          <w:rFonts w:cs="Calibri"/>
          <w:b/>
          <w:color w:val="000000"/>
          <w:szCs w:val="20"/>
        </w:rPr>
        <w:t>wniosków</w:t>
      </w:r>
      <w:r w:rsidR="00E66B89">
        <w:rPr>
          <w:rFonts w:cs="Calibri"/>
          <w:b/>
          <w:color w:val="000000"/>
          <w:szCs w:val="20"/>
        </w:rPr>
        <w:t xml:space="preserve"> o </w:t>
      </w:r>
      <w:r>
        <w:rPr>
          <w:rFonts w:cs="Calibri"/>
          <w:b/>
          <w:color w:val="000000"/>
          <w:szCs w:val="20"/>
        </w:rPr>
        <w:t>dofinansowanie</w:t>
      </w:r>
      <w:r w:rsidRPr="00436D27">
        <w:rPr>
          <w:rFonts w:cs="Calibri"/>
          <w:b/>
          <w:color w:val="000000"/>
          <w:szCs w:val="20"/>
        </w:rPr>
        <w:t xml:space="preserve">. </w:t>
      </w:r>
    </w:p>
    <w:p w14:paraId="1A73AE71" w14:textId="77777777" w:rsidR="009D215A" w:rsidRPr="00436D27" w:rsidRDefault="009D215A" w:rsidP="009D215A">
      <w:pPr>
        <w:rPr>
          <w:rFonts w:cs="Calibri"/>
          <w:color w:val="000000"/>
          <w:szCs w:val="20"/>
        </w:rPr>
      </w:pPr>
      <w:r w:rsidRPr="00436D27">
        <w:rPr>
          <w:rFonts w:cs="Calibri"/>
          <w:color w:val="000000"/>
          <w:szCs w:val="20"/>
        </w:rPr>
        <w:t xml:space="preserve">Analiza zapisów </w:t>
      </w:r>
      <w:r>
        <w:rPr>
          <w:rFonts w:cs="Calibri"/>
          <w:color w:val="000000"/>
          <w:szCs w:val="20"/>
        </w:rPr>
        <w:t>W</w:t>
      </w:r>
      <w:r w:rsidRPr="00436D27">
        <w:rPr>
          <w:rFonts w:cs="Calibri"/>
          <w:color w:val="000000"/>
          <w:szCs w:val="20"/>
        </w:rPr>
        <w:t>PGO wskazuje, iż</w:t>
      </w:r>
      <w:r w:rsidR="00E66B89">
        <w:rPr>
          <w:rFonts w:cs="Calibri"/>
          <w:color w:val="000000"/>
          <w:szCs w:val="20"/>
        </w:rPr>
        <w:t xml:space="preserve"> w </w:t>
      </w:r>
      <w:r w:rsidRPr="00436D27">
        <w:rPr>
          <w:rFonts w:cs="Calibri"/>
          <w:color w:val="000000"/>
          <w:szCs w:val="20"/>
        </w:rPr>
        <w:t xml:space="preserve">dokumencie tym przewidziano realizację kilku instalacji, które mogłyby przyczynić się do </w:t>
      </w:r>
      <w:r>
        <w:rPr>
          <w:rFonts w:cs="Calibri"/>
          <w:color w:val="000000"/>
          <w:szCs w:val="20"/>
        </w:rPr>
        <w:t xml:space="preserve">zwiększenia stopnia osiągnięcia tego </w:t>
      </w:r>
      <w:r w:rsidRPr="00436D27">
        <w:rPr>
          <w:rFonts w:cs="Calibri"/>
          <w:color w:val="000000"/>
          <w:szCs w:val="20"/>
        </w:rPr>
        <w:t>wskaźnika. Jak pokazuje jednak szczegółowa analiza</w:t>
      </w:r>
      <w:r>
        <w:rPr>
          <w:rFonts w:cs="Calibri"/>
          <w:color w:val="000000"/>
          <w:szCs w:val="20"/>
        </w:rPr>
        <w:t>,</w:t>
      </w:r>
      <w:r w:rsidRPr="00436D27">
        <w:rPr>
          <w:rFonts w:cs="Calibri"/>
          <w:color w:val="000000"/>
          <w:szCs w:val="20"/>
        </w:rPr>
        <w:t xml:space="preserve"> duże moce przerobowe części</w:t>
      </w:r>
      <w:r w:rsidR="00E66B89">
        <w:rPr>
          <w:rFonts w:cs="Calibri"/>
          <w:color w:val="000000"/>
          <w:szCs w:val="20"/>
        </w:rPr>
        <w:t xml:space="preserve"> z </w:t>
      </w:r>
      <w:r w:rsidRPr="00436D27">
        <w:rPr>
          <w:rFonts w:cs="Calibri"/>
          <w:color w:val="000000"/>
          <w:szCs w:val="20"/>
        </w:rPr>
        <w:t>tych instalacji prawdopodobnie skutkować będą tym, iż warunki wsparcia</w:t>
      </w:r>
      <w:r w:rsidR="00E66B89">
        <w:rPr>
          <w:rFonts w:cs="Calibri"/>
          <w:color w:val="000000"/>
          <w:szCs w:val="20"/>
        </w:rPr>
        <w:t xml:space="preserve"> w </w:t>
      </w:r>
      <w:r w:rsidRPr="00436D27">
        <w:rPr>
          <w:rFonts w:cs="Calibri"/>
          <w:color w:val="000000"/>
          <w:szCs w:val="20"/>
        </w:rPr>
        <w:t>ramach RPO WZ 2014-2020 (ograniczenie poziomu dofinansowania do 8 mln zł zgodnie</w:t>
      </w:r>
      <w:r w:rsidR="00E66B89">
        <w:rPr>
          <w:rFonts w:cs="Calibri"/>
          <w:color w:val="000000"/>
          <w:szCs w:val="20"/>
        </w:rPr>
        <w:t xml:space="preserve"> z </w:t>
      </w:r>
      <w:r w:rsidRPr="00436D27">
        <w:rPr>
          <w:rFonts w:cs="Calibri"/>
          <w:color w:val="000000"/>
          <w:szCs w:val="20"/>
        </w:rPr>
        <w:t xml:space="preserve">demarkacją) mogą nie być wystarczająco atrakcyjne. Możliwe jest jednak, iż wskazane </w:t>
      </w:r>
      <w:r w:rsidRPr="00436D27">
        <w:rPr>
          <w:rFonts w:cs="Calibri"/>
          <w:color w:val="000000"/>
          <w:szCs w:val="20"/>
        </w:rPr>
        <w:lastRenderedPageBreak/>
        <w:t>do realizacji</w:t>
      </w:r>
      <w:r w:rsidR="00E66B89">
        <w:rPr>
          <w:rFonts w:cs="Calibri"/>
          <w:color w:val="000000"/>
          <w:szCs w:val="20"/>
        </w:rPr>
        <w:t xml:space="preserve"> w </w:t>
      </w:r>
      <w:r>
        <w:rPr>
          <w:rFonts w:cs="Calibri"/>
          <w:color w:val="000000"/>
          <w:szCs w:val="20"/>
        </w:rPr>
        <w:t>W</w:t>
      </w:r>
      <w:r w:rsidRPr="00436D27">
        <w:rPr>
          <w:rFonts w:cs="Calibri"/>
          <w:color w:val="000000"/>
          <w:szCs w:val="20"/>
        </w:rPr>
        <w:t>PGO instalacje będą np. etapowane, co umożliwiłoby zwiększenie szans na ich realizację</w:t>
      </w:r>
      <w:r w:rsidR="00E66B89">
        <w:rPr>
          <w:rFonts w:cs="Calibri"/>
          <w:color w:val="000000"/>
          <w:szCs w:val="20"/>
        </w:rPr>
        <w:t xml:space="preserve"> w </w:t>
      </w:r>
      <w:r w:rsidRPr="00436D27">
        <w:rPr>
          <w:rFonts w:cs="Calibri"/>
          <w:color w:val="000000"/>
          <w:szCs w:val="20"/>
        </w:rPr>
        <w:t>ramach PI 6a.</w:t>
      </w:r>
    </w:p>
    <w:p w14:paraId="62F7F359" w14:textId="77777777" w:rsidR="009D215A" w:rsidRPr="00436D27" w:rsidRDefault="009D215A" w:rsidP="009D215A">
      <w:pPr>
        <w:rPr>
          <w:rFonts w:cs="Calibri"/>
          <w:color w:val="000000"/>
          <w:szCs w:val="20"/>
        </w:rPr>
      </w:pPr>
      <w:r w:rsidRPr="00436D27">
        <w:rPr>
          <w:rFonts w:cs="Calibri"/>
          <w:color w:val="000000"/>
          <w:szCs w:val="20"/>
        </w:rPr>
        <w:t>Uwzględniając pozostałą alokację</w:t>
      </w:r>
      <w:r w:rsidR="00E66B89">
        <w:rPr>
          <w:rFonts w:cs="Calibri"/>
          <w:color w:val="000000"/>
          <w:szCs w:val="20"/>
        </w:rPr>
        <w:t xml:space="preserve"> w </w:t>
      </w:r>
      <w:r w:rsidRPr="00436D27">
        <w:rPr>
          <w:rFonts w:cs="Calibri"/>
          <w:color w:val="000000"/>
          <w:szCs w:val="20"/>
        </w:rPr>
        <w:t xml:space="preserve">PI 6a oraz alokację na </w:t>
      </w:r>
      <w:r>
        <w:rPr>
          <w:rFonts w:cs="Calibri"/>
          <w:color w:val="000000"/>
          <w:szCs w:val="20"/>
        </w:rPr>
        <w:t>II</w:t>
      </w:r>
      <w:r w:rsidRPr="00436D27">
        <w:rPr>
          <w:rFonts w:cs="Calibri"/>
          <w:color w:val="000000"/>
          <w:szCs w:val="20"/>
        </w:rPr>
        <w:t xml:space="preserve"> nabór</w:t>
      </w:r>
      <w:r w:rsidR="00E66B89">
        <w:rPr>
          <w:rFonts w:cs="Calibri"/>
          <w:color w:val="000000"/>
          <w:szCs w:val="20"/>
        </w:rPr>
        <w:t xml:space="preserve"> i </w:t>
      </w:r>
      <w:r w:rsidRPr="00436D27">
        <w:rPr>
          <w:rFonts w:cs="Calibri"/>
          <w:color w:val="000000"/>
          <w:szCs w:val="20"/>
        </w:rPr>
        <w:t xml:space="preserve">jednostkowy koszt </w:t>
      </w:r>
      <w:r>
        <w:rPr>
          <w:rFonts w:cs="Calibri"/>
          <w:color w:val="000000"/>
          <w:szCs w:val="20"/>
        </w:rPr>
        <w:t>osiągnięcia</w:t>
      </w:r>
      <w:r w:rsidRPr="00436D27">
        <w:rPr>
          <w:rFonts w:cs="Calibri"/>
          <w:color w:val="000000"/>
          <w:szCs w:val="20"/>
        </w:rPr>
        <w:t xml:space="preserve"> w/w wskaźnik</w:t>
      </w:r>
      <w:r>
        <w:rPr>
          <w:rFonts w:cs="Calibri"/>
          <w:color w:val="000000"/>
          <w:szCs w:val="20"/>
        </w:rPr>
        <w:t>a</w:t>
      </w:r>
      <w:r w:rsidRPr="00436D27">
        <w:rPr>
          <w:rFonts w:cs="Calibri"/>
          <w:color w:val="000000"/>
          <w:szCs w:val="20"/>
        </w:rPr>
        <w:t xml:space="preserve"> (w wysokości: 914,27 zł za zdolności przerobowej 1 Mg/rok) hipotetycznie można założyć, iż możliwe byłoby wypracowanie dodatkowej wartości wskaźnika</w:t>
      </w:r>
      <w:r w:rsidR="00E66B89">
        <w:rPr>
          <w:rFonts w:cs="Calibri"/>
          <w:color w:val="000000"/>
          <w:szCs w:val="20"/>
        </w:rPr>
        <w:t xml:space="preserve"> w </w:t>
      </w:r>
      <w:r w:rsidRPr="00436D27">
        <w:rPr>
          <w:rFonts w:cs="Calibri"/>
          <w:color w:val="000000"/>
          <w:szCs w:val="20"/>
        </w:rPr>
        <w:t>wysokości ok. 17 900 Mg/rok. Szacunek ten jest jednak obarczony dużym błędem (jak wynika</w:t>
      </w:r>
      <w:r w:rsidR="00E66B89">
        <w:rPr>
          <w:rFonts w:cs="Calibri"/>
          <w:color w:val="000000"/>
          <w:szCs w:val="20"/>
        </w:rPr>
        <w:t xml:space="preserve"> z </w:t>
      </w:r>
      <w:r w:rsidRPr="00436D27">
        <w:rPr>
          <w:rFonts w:cs="Calibri"/>
          <w:color w:val="000000"/>
          <w:szCs w:val="20"/>
        </w:rPr>
        <w:t>przeprowadzonych analiz benchmarkingowych</w:t>
      </w:r>
      <w:r w:rsidR="00E66B89">
        <w:rPr>
          <w:rFonts w:cs="Calibri"/>
          <w:color w:val="000000"/>
          <w:szCs w:val="20"/>
        </w:rPr>
        <w:t xml:space="preserve"> w </w:t>
      </w:r>
      <w:r w:rsidRPr="00436D27">
        <w:rPr>
          <w:rFonts w:cs="Calibri"/>
          <w:color w:val="000000"/>
          <w:szCs w:val="20"/>
        </w:rPr>
        <w:t>innych regionach</w:t>
      </w:r>
      <w:r>
        <w:rPr>
          <w:rFonts w:cs="Calibri"/>
          <w:color w:val="000000"/>
          <w:szCs w:val="20"/>
        </w:rPr>
        <w:t>,</w:t>
      </w:r>
      <w:r w:rsidRPr="00436D27">
        <w:rPr>
          <w:rFonts w:cs="Calibri"/>
          <w:color w:val="000000"/>
          <w:szCs w:val="20"/>
        </w:rPr>
        <w:t xml:space="preserve"> koszt realizacji jednej jednostki wskaźnika wynosił nawet ok. 5 800 zł</w:t>
      </w:r>
      <w:r>
        <w:rPr>
          <w:rFonts w:cs="Calibri"/>
          <w:color w:val="000000"/>
          <w:szCs w:val="20"/>
        </w:rPr>
        <w:t>)</w:t>
      </w:r>
      <w:r w:rsidRPr="00436D27">
        <w:rPr>
          <w:rFonts w:cs="Calibri"/>
          <w:color w:val="000000"/>
          <w:szCs w:val="20"/>
        </w:rPr>
        <w:t>.</w:t>
      </w:r>
    </w:p>
    <w:p w14:paraId="5D3F966A" w14:textId="77777777" w:rsidR="009D215A" w:rsidRPr="00436D27" w:rsidRDefault="009D215A" w:rsidP="009D215A">
      <w:pPr>
        <w:rPr>
          <w:rFonts w:cs="Calibri"/>
          <w:color w:val="000000"/>
          <w:szCs w:val="20"/>
        </w:rPr>
      </w:pPr>
      <w:r w:rsidRPr="00436D27">
        <w:rPr>
          <w:rFonts w:cs="Calibri"/>
          <w:color w:val="000000"/>
          <w:szCs w:val="20"/>
        </w:rPr>
        <w:t>W PI 6a zdiagnozowano wysoki potencjał do realizacji innych typów projektów, które nie będą przyczyniały się do realizacji przyjętych wartości wskaźników</w:t>
      </w:r>
      <w:r w:rsidR="00E66B89">
        <w:rPr>
          <w:rFonts w:cs="Calibri"/>
          <w:color w:val="000000"/>
          <w:szCs w:val="20"/>
        </w:rPr>
        <w:t xml:space="preserve"> w </w:t>
      </w:r>
      <w:r w:rsidRPr="00436D27">
        <w:rPr>
          <w:rFonts w:cs="Calibri"/>
          <w:color w:val="000000"/>
          <w:szCs w:val="20"/>
        </w:rPr>
        <w:t>RPO WZ (np. wsparcie PSZOK, systemów selektywnej zbiórki</w:t>
      </w:r>
      <w:r w:rsidR="00E66B89">
        <w:rPr>
          <w:rFonts w:cs="Calibri"/>
          <w:color w:val="000000"/>
          <w:szCs w:val="20"/>
        </w:rPr>
        <w:t xml:space="preserve"> w </w:t>
      </w:r>
      <w:r w:rsidRPr="00436D27">
        <w:rPr>
          <w:rFonts w:cs="Calibri"/>
          <w:color w:val="000000"/>
          <w:szCs w:val="20"/>
        </w:rPr>
        <w:t>gminach).</w:t>
      </w:r>
    </w:p>
    <w:p w14:paraId="6B7A4EBA" w14:textId="77777777" w:rsidR="009D215A" w:rsidRPr="00436D27" w:rsidRDefault="009D215A" w:rsidP="009D215A">
      <w:pPr>
        <w:pStyle w:val="evaluTresc"/>
      </w:pPr>
      <w:r w:rsidRPr="00436D27">
        <w:t xml:space="preserve">Dla wskaźnika pn. </w:t>
      </w:r>
      <w:r w:rsidRPr="008B706B">
        <w:rPr>
          <w:rFonts w:cs="Calibri"/>
          <w:i/>
          <w:color w:val="000000"/>
        </w:rPr>
        <w:t>Liczba wspartych zakładów zagospodarowania odpadów</w:t>
      </w:r>
      <w:r w:rsidRPr="00436D27">
        <w:t xml:space="preserve"> prognozuje się osiągnięcie docelowej wartości</w:t>
      </w:r>
      <w:r w:rsidR="00E66B89">
        <w:t xml:space="preserve"> w </w:t>
      </w:r>
      <w:r w:rsidRPr="00436D27">
        <w:t>wysokości 2 sztuk (jest to wartość jaka wynika</w:t>
      </w:r>
      <w:r w:rsidR="00E66B89">
        <w:t xml:space="preserve"> z </w:t>
      </w:r>
      <w:r w:rsidRPr="00436D27">
        <w:t xml:space="preserve">zawartych dotychczas UoD). </w:t>
      </w:r>
    </w:p>
    <w:p w14:paraId="4E2B16D4" w14:textId="77777777" w:rsidR="009D215A" w:rsidRPr="00436D27" w:rsidRDefault="009D215A" w:rsidP="009D215A">
      <w:pPr>
        <w:pStyle w:val="evaluTresc"/>
      </w:pPr>
      <w:r w:rsidRPr="00436D27">
        <w:t xml:space="preserve">Dla wskaźnika pn. </w:t>
      </w:r>
      <w:r w:rsidRPr="008B706B">
        <w:rPr>
          <w:rFonts w:cs="Calibri"/>
          <w:i/>
          <w:color w:val="000000"/>
        </w:rPr>
        <w:t>Dodatkowa zdolność przerobowa zakładów recyklingu</w:t>
      </w:r>
      <w:r w:rsidRPr="00436D27">
        <w:t xml:space="preserve"> prognozuje się osiągnięcie docelowej wartości</w:t>
      </w:r>
      <w:r w:rsidR="00E66B89">
        <w:t xml:space="preserve"> w </w:t>
      </w:r>
      <w:r w:rsidRPr="00436D27">
        <w:t>wysokości 3 500 t/rok (jest to wartość jaka wynika ze złożonego dotychczas wniosku</w:t>
      </w:r>
      <w:r w:rsidR="00E66B89">
        <w:t xml:space="preserve"> o </w:t>
      </w:r>
      <w:r w:rsidRPr="00436D27">
        <w:t xml:space="preserve">dofinansowanie dla jednego ZZO). </w:t>
      </w:r>
    </w:p>
    <w:p w14:paraId="66179429" w14:textId="77777777" w:rsidR="009D215A" w:rsidRPr="00404DA5" w:rsidRDefault="009D215A" w:rsidP="009D215A">
      <w:pPr>
        <w:rPr>
          <w:rFonts w:cs="Calibri"/>
          <w:szCs w:val="20"/>
        </w:rPr>
      </w:pPr>
      <w:r w:rsidRPr="00404DA5">
        <w:rPr>
          <w:rFonts w:cs="Calibri"/>
          <w:szCs w:val="20"/>
        </w:rPr>
        <w:t xml:space="preserve">W odniesieniu do wskaźnika rezultatu strategicznego pn. </w:t>
      </w:r>
      <w:r w:rsidRPr="008B706B">
        <w:rPr>
          <w:rFonts w:cs="Calibri"/>
          <w:i/>
          <w:szCs w:val="20"/>
        </w:rPr>
        <w:t>Udział odpadów komunalnych niepodlegających składowaniu</w:t>
      </w:r>
      <w:r w:rsidR="00E66B89">
        <w:rPr>
          <w:rFonts w:cs="Calibri"/>
          <w:i/>
          <w:szCs w:val="20"/>
        </w:rPr>
        <w:t xml:space="preserve"> w </w:t>
      </w:r>
      <w:r w:rsidRPr="008B706B">
        <w:rPr>
          <w:rFonts w:cs="Calibri"/>
          <w:i/>
          <w:szCs w:val="20"/>
        </w:rPr>
        <w:t>ogólnej masie odpadów komunalnych wytworzonych</w:t>
      </w:r>
      <w:r w:rsidR="00E66B89">
        <w:rPr>
          <w:rFonts w:cs="Calibri"/>
          <w:szCs w:val="20"/>
        </w:rPr>
        <w:t xml:space="preserve"> w </w:t>
      </w:r>
      <w:r w:rsidRPr="00404DA5">
        <w:rPr>
          <w:rFonts w:cs="Calibri"/>
          <w:szCs w:val="20"/>
        </w:rPr>
        <w:t>ocenie ewaluatora metodyka jego szacowania jest prawidłowa,</w:t>
      </w:r>
      <w:r w:rsidR="00E66B89">
        <w:rPr>
          <w:rFonts w:cs="Calibri"/>
          <w:szCs w:val="20"/>
        </w:rPr>
        <w:t xml:space="preserve"> a </w:t>
      </w:r>
      <w:r w:rsidRPr="00404DA5">
        <w:rPr>
          <w:rFonts w:cs="Calibri"/>
          <w:szCs w:val="20"/>
        </w:rPr>
        <w:t>wartość docelowa wskaźnika zgodnie</w:t>
      </w:r>
      <w:r w:rsidR="00E66B89">
        <w:rPr>
          <w:rFonts w:cs="Calibri"/>
          <w:szCs w:val="20"/>
        </w:rPr>
        <w:t xml:space="preserve"> z </w:t>
      </w:r>
      <w:r w:rsidRPr="00404DA5">
        <w:rPr>
          <w:rFonts w:cs="Calibri"/>
          <w:szCs w:val="20"/>
        </w:rPr>
        <w:t>obserwowanym przyrostem powinna zostać osiągnięta (wartość docelowa określona na 60%,</w:t>
      </w:r>
      <w:r w:rsidR="00E66B89">
        <w:rPr>
          <w:rFonts w:cs="Calibri"/>
          <w:szCs w:val="20"/>
        </w:rPr>
        <w:t xml:space="preserve"> w </w:t>
      </w:r>
      <w:r w:rsidRPr="00404DA5">
        <w:rPr>
          <w:rFonts w:cs="Calibri"/>
          <w:szCs w:val="20"/>
        </w:rPr>
        <w:t>roku 2017 wartość wskaźnika osiągnęła wartość 54,4%). Poprawa jakości selektywnej zbiórki, rozwój instalacji do recyklingu</w:t>
      </w:r>
      <w:r>
        <w:rPr>
          <w:rFonts w:cs="Calibri"/>
          <w:szCs w:val="20"/>
        </w:rPr>
        <w:t xml:space="preserve"> oraz</w:t>
      </w:r>
      <w:r w:rsidRPr="00404DA5">
        <w:rPr>
          <w:rFonts w:cs="Calibri"/>
          <w:szCs w:val="20"/>
        </w:rPr>
        <w:t xml:space="preserve"> wdrażanie działań</w:t>
      </w:r>
      <w:r w:rsidR="00E66B89">
        <w:rPr>
          <w:rFonts w:cs="Calibri"/>
          <w:szCs w:val="20"/>
        </w:rPr>
        <w:t xml:space="preserve"> z </w:t>
      </w:r>
      <w:r w:rsidRPr="00404DA5">
        <w:rPr>
          <w:rFonts w:cs="Calibri"/>
          <w:szCs w:val="20"/>
        </w:rPr>
        <w:t>zakresu zapobiegania powstawaniu odpadów powinny przyczyniać się do wzmacniania stopnia osiąganych rezultatów. Nadmieńmy, iż</w:t>
      </w:r>
      <w:r w:rsidR="00E66B89">
        <w:rPr>
          <w:rFonts w:cs="Calibri"/>
          <w:szCs w:val="20"/>
        </w:rPr>
        <w:t xml:space="preserve"> w </w:t>
      </w:r>
      <w:r w:rsidRPr="00404DA5">
        <w:rPr>
          <w:rFonts w:cs="Calibri"/>
          <w:szCs w:val="20"/>
        </w:rPr>
        <w:t>regionie funkcjonuje instalacja do termicznego przekształcania odpadów, która będzie przyczyniała się do zagospodarowywania odpadów kalorycznych</w:t>
      </w:r>
      <w:r w:rsidR="00E66B89">
        <w:rPr>
          <w:rFonts w:cs="Calibri"/>
          <w:szCs w:val="20"/>
        </w:rPr>
        <w:t xml:space="preserve"> o </w:t>
      </w:r>
      <w:r w:rsidRPr="00404DA5">
        <w:rPr>
          <w:rFonts w:cs="Calibri"/>
          <w:szCs w:val="20"/>
        </w:rPr>
        <w:t>niskim potencjalne do recyklingu.</w:t>
      </w:r>
    </w:p>
    <w:p w14:paraId="319BDE3C" w14:textId="77777777" w:rsidR="009D215A" w:rsidRPr="00436D27" w:rsidRDefault="009D215A" w:rsidP="009D215A">
      <w:pPr>
        <w:pStyle w:val="evaluTresc"/>
      </w:pPr>
      <w:r w:rsidRPr="00436D27">
        <w:t xml:space="preserve">Dla wskaźnika pn. </w:t>
      </w:r>
      <w:r w:rsidRPr="00436D27">
        <w:rPr>
          <w:i/>
        </w:rPr>
        <w:t>Odpady zebrane selektywnie</w:t>
      </w:r>
      <w:r w:rsidR="00E66B89">
        <w:rPr>
          <w:i/>
        </w:rPr>
        <w:t xml:space="preserve"> w </w:t>
      </w:r>
      <w:r w:rsidRPr="00436D27">
        <w:rPr>
          <w:i/>
        </w:rPr>
        <w:t>relacji do ogółu odpadów</w:t>
      </w:r>
      <w:r w:rsidRPr="00436D27">
        <w:t xml:space="preserve"> wartość docelowa na 2023 r. została określona na 21,8% (w roku bazowym 2013 było to 12,4%).</w:t>
      </w:r>
      <w:r w:rsidR="00E66B89">
        <w:t xml:space="preserve"> Z </w:t>
      </w:r>
      <w:r w:rsidRPr="00436D27">
        <w:t xml:space="preserve">danych dotyczących </w:t>
      </w:r>
      <w:r>
        <w:t>osiągnięcia</w:t>
      </w:r>
      <w:r w:rsidRPr="00436D27">
        <w:t xml:space="preserve"> wskaźnika wynika, iż poziom docelowy został osiągnięty już</w:t>
      </w:r>
      <w:r w:rsidR="00E66B89">
        <w:t xml:space="preserve"> w </w:t>
      </w:r>
      <w:r w:rsidRPr="00436D27">
        <w:t>roku 2017 (osiągnięta wartość 22,8%).</w:t>
      </w:r>
      <w:r w:rsidR="00E66B89">
        <w:t xml:space="preserve"> W </w:t>
      </w:r>
      <w:r w:rsidRPr="00436D27">
        <w:t>ocenie ewalutora wartość docelowa określona na 2023 r. zostanie osiągnięta.</w:t>
      </w:r>
      <w:r w:rsidR="00E66B89">
        <w:t xml:space="preserve"> Z </w:t>
      </w:r>
      <w:r w:rsidRPr="00436D27">
        <w:t xml:space="preserve">danych </w:t>
      </w:r>
      <w:r>
        <w:t>za</w:t>
      </w:r>
      <w:r w:rsidRPr="00436D27">
        <w:t>prezentowanych</w:t>
      </w:r>
      <w:r w:rsidR="00E66B89">
        <w:t xml:space="preserve"> w </w:t>
      </w:r>
      <w:r w:rsidRPr="00436D27">
        <w:t>diagnozie sytuacji społeczno-gospodarczej widoczny jest coraz wyższy poziom selektywnego zbierania odpadów.</w:t>
      </w:r>
    </w:p>
    <w:p w14:paraId="43A96882" w14:textId="77777777" w:rsidR="009D215A" w:rsidRPr="006E34DC" w:rsidRDefault="009D215A" w:rsidP="006E34DC">
      <w:pPr>
        <w:pStyle w:val="Legenda"/>
        <w:spacing w:after="0"/>
      </w:pPr>
      <w:bookmarkStart w:id="116" w:name="_Toc8824163"/>
      <w:r w:rsidRPr="00404DA5">
        <w:t xml:space="preserve">Tabela </w:t>
      </w:r>
      <w:r>
        <w:fldChar w:fldCharType="begin"/>
      </w:r>
      <w:r>
        <w:instrText xml:space="preserve"> SEQ Tabela \* ARABIC </w:instrText>
      </w:r>
      <w:r>
        <w:fldChar w:fldCharType="separate"/>
      </w:r>
      <w:r w:rsidR="00763345">
        <w:rPr>
          <w:noProof/>
        </w:rPr>
        <w:t>52</w:t>
      </w:r>
      <w:r>
        <w:fldChar w:fldCharType="end"/>
      </w:r>
      <w:r w:rsidRPr="00404DA5">
        <w:t xml:space="preserve"> Prognozowany poziom realizacji wskaźników produktu</w:t>
      </w:r>
      <w:r w:rsidR="00E66B89">
        <w:t xml:space="preserve"> i </w:t>
      </w:r>
      <w:r w:rsidRPr="00404DA5">
        <w:t>rezultatu bezpośredniego na rok 2023– PI 6a.</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7"/>
        <w:gridCol w:w="2314"/>
        <w:gridCol w:w="1408"/>
        <w:gridCol w:w="1950"/>
        <w:gridCol w:w="1943"/>
      </w:tblGrid>
      <w:tr w:rsidR="009D215A" w:rsidRPr="00436D27" w14:paraId="1248119C" w14:textId="77777777" w:rsidTr="00C22C26">
        <w:trPr>
          <w:trHeight w:val="824"/>
          <w:tblHeader/>
        </w:trPr>
        <w:tc>
          <w:tcPr>
            <w:tcW w:w="798" w:type="pct"/>
            <w:shd w:val="clear" w:color="auto" w:fill="DEEAF6"/>
            <w:tcMar>
              <w:top w:w="0" w:type="dxa"/>
              <w:left w:w="108" w:type="dxa"/>
              <w:bottom w:w="0" w:type="dxa"/>
              <w:right w:w="108" w:type="dxa"/>
            </w:tcMar>
            <w:vAlign w:val="center"/>
            <w:hideMark/>
          </w:tcPr>
          <w:p w14:paraId="551B0C5B" w14:textId="77777777" w:rsidR="009D215A" w:rsidRPr="00436D27" w:rsidRDefault="009D215A" w:rsidP="00EE58A9">
            <w:pPr>
              <w:jc w:val="center"/>
              <w:rPr>
                <w:sz w:val="16"/>
                <w:szCs w:val="16"/>
                <w:lang w:eastAsia="en-US"/>
              </w:rPr>
            </w:pPr>
            <w:r w:rsidRPr="00436D27">
              <w:rPr>
                <w:sz w:val="16"/>
                <w:szCs w:val="16"/>
              </w:rPr>
              <w:t>Typ wskaźnika</w:t>
            </w:r>
          </w:p>
        </w:tc>
        <w:tc>
          <w:tcPr>
            <w:tcW w:w="1277" w:type="pct"/>
            <w:shd w:val="clear" w:color="auto" w:fill="DEEAF6"/>
            <w:tcMar>
              <w:top w:w="0" w:type="dxa"/>
              <w:left w:w="108" w:type="dxa"/>
              <w:bottom w:w="0" w:type="dxa"/>
              <w:right w:w="108" w:type="dxa"/>
            </w:tcMar>
            <w:vAlign w:val="center"/>
            <w:hideMark/>
          </w:tcPr>
          <w:p w14:paraId="09B5E3B1" w14:textId="77777777" w:rsidR="009D215A" w:rsidRPr="00436D27" w:rsidRDefault="009D215A" w:rsidP="00EE58A9">
            <w:pPr>
              <w:jc w:val="center"/>
              <w:rPr>
                <w:sz w:val="16"/>
                <w:szCs w:val="16"/>
                <w:lang w:eastAsia="en-US"/>
              </w:rPr>
            </w:pPr>
            <w:r w:rsidRPr="00436D27">
              <w:rPr>
                <w:sz w:val="16"/>
                <w:szCs w:val="16"/>
              </w:rPr>
              <w:t>Wskaźnik</w:t>
            </w:r>
          </w:p>
        </w:tc>
        <w:tc>
          <w:tcPr>
            <w:tcW w:w="777" w:type="pct"/>
            <w:shd w:val="clear" w:color="auto" w:fill="DEEAF6"/>
            <w:tcMar>
              <w:top w:w="0" w:type="dxa"/>
              <w:left w:w="108" w:type="dxa"/>
              <w:bottom w:w="0" w:type="dxa"/>
              <w:right w:w="108" w:type="dxa"/>
            </w:tcMar>
            <w:hideMark/>
          </w:tcPr>
          <w:p w14:paraId="21ECAE9B" w14:textId="77777777" w:rsidR="009D215A" w:rsidRPr="00436D27" w:rsidRDefault="009D215A" w:rsidP="00EE58A9">
            <w:pPr>
              <w:jc w:val="center"/>
              <w:rPr>
                <w:sz w:val="16"/>
                <w:szCs w:val="16"/>
                <w:lang w:eastAsia="en-US"/>
              </w:rPr>
            </w:pPr>
            <w:r w:rsidRPr="00436D27">
              <w:rPr>
                <w:sz w:val="16"/>
                <w:szCs w:val="16"/>
              </w:rPr>
              <w:t>Wartość docelowa określona na 2023 rok</w:t>
            </w:r>
          </w:p>
        </w:tc>
        <w:tc>
          <w:tcPr>
            <w:tcW w:w="1076" w:type="pct"/>
            <w:shd w:val="clear" w:color="auto" w:fill="DEEAF6"/>
            <w:tcMar>
              <w:top w:w="0" w:type="dxa"/>
              <w:left w:w="108" w:type="dxa"/>
              <w:bottom w:w="0" w:type="dxa"/>
              <w:right w:w="108" w:type="dxa"/>
            </w:tcMar>
            <w:vAlign w:val="center"/>
            <w:hideMark/>
          </w:tcPr>
          <w:p w14:paraId="0FF337B8" w14:textId="77777777" w:rsidR="009D215A" w:rsidRPr="00436D27" w:rsidRDefault="009D215A" w:rsidP="00EE58A9">
            <w:pPr>
              <w:jc w:val="center"/>
              <w:rPr>
                <w:sz w:val="16"/>
                <w:szCs w:val="16"/>
                <w:lang w:eastAsia="en-US"/>
              </w:rPr>
            </w:pPr>
            <w:r w:rsidRPr="00436D27">
              <w:rPr>
                <w:sz w:val="16"/>
                <w:szCs w:val="16"/>
              </w:rPr>
              <w:t xml:space="preserve">Prognozowana całkowita wartość wskaźnika </w:t>
            </w:r>
          </w:p>
        </w:tc>
        <w:tc>
          <w:tcPr>
            <w:tcW w:w="1072" w:type="pct"/>
            <w:shd w:val="clear" w:color="auto" w:fill="DEEAF6"/>
            <w:tcMar>
              <w:top w:w="0" w:type="dxa"/>
              <w:left w:w="108" w:type="dxa"/>
              <w:bottom w:w="0" w:type="dxa"/>
              <w:right w:w="108" w:type="dxa"/>
            </w:tcMar>
            <w:vAlign w:val="center"/>
            <w:hideMark/>
          </w:tcPr>
          <w:p w14:paraId="00AD454B" w14:textId="77777777" w:rsidR="009D215A" w:rsidRPr="00436D27" w:rsidRDefault="009D215A" w:rsidP="00EE58A9">
            <w:pPr>
              <w:jc w:val="center"/>
              <w:rPr>
                <w:sz w:val="16"/>
                <w:szCs w:val="16"/>
                <w:lang w:eastAsia="en-US"/>
              </w:rPr>
            </w:pPr>
            <w:r w:rsidRPr="00436D27">
              <w:rPr>
                <w:sz w:val="16"/>
                <w:szCs w:val="16"/>
              </w:rPr>
              <w:t>Prognozowany % realizacji wartości docelowej</w:t>
            </w:r>
          </w:p>
        </w:tc>
      </w:tr>
      <w:tr w:rsidR="009D215A" w:rsidRPr="00436D27" w14:paraId="72F13F80" w14:textId="77777777" w:rsidTr="00C22C26">
        <w:trPr>
          <w:trHeight w:val="555"/>
        </w:trPr>
        <w:tc>
          <w:tcPr>
            <w:tcW w:w="798" w:type="pct"/>
            <w:tcMar>
              <w:top w:w="0" w:type="dxa"/>
              <w:left w:w="108" w:type="dxa"/>
              <w:bottom w:w="0" w:type="dxa"/>
              <w:right w:w="108" w:type="dxa"/>
            </w:tcMar>
            <w:vAlign w:val="center"/>
          </w:tcPr>
          <w:p w14:paraId="71D84C76"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11FA3874" w14:textId="77777777" w:rsidR="009D215A" w:rsidRPr="00436D27" w:rsidRDefault="009D215A" w:rsidP="00EE58A9">
            <w:pPr>
              <w:jc w:val="center"/>
              <w:rPr>
                <w:sz w:val="16"/>
                <w:szCs w:val="16"/>
                <w:lang w:eastAsia="en-US"/>
              </w:rPr>
            </w:pPr>
            <w:r w:rsidRPr="00436D27">
              <w:rPr>
                <w:sz w:val="16"/>
                <w:szCs w:val="16"/>
                <w:lang w:eastAsia="en-US"/>
              </w:rPr>
              <w:t>Liczba wspartych zakładów zagospodarowania odpadów</w:t>
            </w:r>
          </w:p>
        </w:tc>
        <w:tc>
          <w:tcPr>
            <w:tcW w:w="777" w:type="pct"/>
            <w:tcMar>
              <w:top w:w="0" w:type="dxa"/>
              <w:left w:w="108" w:type="dxa"/>
              <w:bottom w:w="0" w:type="dxa"/>
              <w:right w:w="108" w:type="dxa"/>
            </w:tcMar>
            <w:vAlign w:val="center"/>
          </w:tcPr>
          <w:p w14:paraId="47547376" w14:textId="77777777" w:rsidR="009D215A" w:rsidRPr="00436D27" w:rsidRDefault="009D215A" w:rsidP="00EE58A9">
            <w:pPr>
              <w:jc w:val="center"/>
              <w:rPr>
                <w:sz w:val="16"/>
                <w:szCs w:val="16"/>
                <w:lang w:eastAsia="en-US"/>
              </w:rPr>
            </w:pPr>
            <w:r w:rsidRPr="00436D27">
              <w:rPr>
                <w:sz w:val="16"/>
                <w:szCs w:val="16"/>
                <w:lang w:eastAsia="en-US"/>
              </w:rPr>
              <w:t>1 szt.</w:t>
            </w:r>
          </w:p>
        </w:tc>
        <w:tc>
          <w:tcPr>
            <w:tcW w:w="1076" w:type="pct"/>
            <w:tcMar>
              <w:top w:w="0" w:type="dxa"/>
              <w:left w:w="108" w:type="dxa"/>
              <w:bottom w:w="0" w:type="dxa"/>
              <w:right w:w="108" w:type="dxa"/>
            </w:tcMar>
            <w:vAlign w:val="center"/>
          </w:tcPr>
          <w:p w14:paraId="0DDE4DFC" w14:textId="77777777" w:rsidR="009D215A" w:rsidRPr="00436D27" w:rsidRDefault="009D215A" w:rsidP="00EE58A9">
            <w:pPr>
              <w:jc w:val="center"/>
              <w:rPr>
                <w:sz w:val="16"/>
                <w:szCs w:val="16"/>
                <w:lang w:eastAsia="en-US"/>
              </w:rPr>
            </w:pPr>
            <w:r w:rsidRPr="00436D27">
              <w:rPr>
                <w:sz w:val="16"/>
                <w:szCs w:val="16"/>
                <w:lang w:eastAsia="en-US"/>
              </w:rPr>
              <w:t>2 szt.</w:t>
            </w:r>
          </w:p>
        </w:tc>
        <w:tc>
          <w:tcPr>
            <w:tcW w:w="1072" w:type="pct"/>
            <w:tcMar>
              <w:top w:w="0" w:type="dxa"/>
              <w:left w:w="108" w:type="dxa"/>
              <w:bottom w:w="0" w:type="dxa"/>
              <w:right w:w="108" w:type="dxa"/>
            </w:tcMar>
            <w:vAlign w:val="center"/>
          </w:tcPr>
          <w:p w14:paraId="24628767" w14:textId="77777777" w:rsidR="009D215A" w:rsidRPr="00436D27" w:rsidRDefault="009D215A" w:rsidP="00EE58A9">
            <w:pPr>
              <w:jc w:val="center"/>
              <w:rPr>
                <w:sz w:val="16"/>
                <w:szCs w:val="16"/>
                <w:lang w:eastAsia="en-US"/>
              </w:rPr>
            </w:pPr>
            <w:r w:rsidRPr="00436D27">
              <w:rPr>
                <w:sz w:val="16"/>
                <w:szCs w:val="16"/>
                <w:lang w:eastAsia="en-US"/>
              </w:rPr>
              <w:t>200%</w:t>
            </w:r>
          </w:p>
        </w:tc>
      </w:tr>
      <w:tr w:rsidR="009D215A" w:rsidRPr="00436D27" w14:paraId="3150CF47" w14:textId="77777777" w:rsidTr="00C22C26">
        <w:trPr>
          <w:trHeight w:val="568"/>
        </w:trPr>
        <w:tc>
          <w:tcPr>
            <w:tcW w:w="798" w:type="pct"/>
            <w:tcMar>
              <w:top w:w="0" w:type="dxa"/>
              <w:left w:w="108" w:type="dxa"/>
              <w:bottom w:w="0" w:type="dxa"/>
              <w:right w:w="108" w:type="dxa"/>
            </w:tcMar>
            <w:vAlign w:val="center"/>
          </w:tcPr>
          <w:p w14:paraId="2C1DFD79" w14:textId="77777777" w:rsidR="009D215A" w:rsidRPr="00436D27" w:rsidRDefault="009D215A" w:rsidP="00EE58A9">
            <w:pPr>
              <w:jc w:val="center"/>
              <w:rPr>
                <w:sz w:val="16"/>
                <w:szCs w:val="16"/>
                <w:lang w:eastAsia="en-US"/>
              </w:rPr>
            </w:pPr>
            <w:r w:rsidRPr="00436D27">
              <w:rPr>
                <w:sz w:val="16"/>
                <w:szCs w:val="16"/>
                <w:lang w:eastAsia="en-US"/>
              </w:rPr>
              <w:t>WP</w:t>
            </w:r>
          </w:p>
        </w:tc>
        <w:tc>
          <w:tcPr>
            <w:tcW w:w="1277" w:type="pct"/>
            <w:tcMar>
              <w:top w:w="0" w:type="dxa"/>
              <w:left w:w="108" w:type="dxa"/>
              <w:bottom w:w="0" w:type="dxa"/>
              <w:right w:w="108" w:type="dxa"/>
            </w:tcMar>
            <w:vAlign w:val="center"/>
          </w:tcPr>
          <w:p w14:paraId="1591DB0F" w14:textId="77777777" w:rsidR="009D215A" w:rsidRPr="00436D27" w:rsidRDefault="009D215A" w:rsidP="00EE58A9">
            <w:pPr>
              <w:jc w:val="center"/>
              <w:rPr>
                <w:sz w:val="16"/>
                <w:szCs w:val="16"/>
                <w:lang w:eastAsia="en-US"/>
              </w:rPr>
            </w:pPr>
            <w:r w:rsidRPr="00436D27">
              <w:rPr>
                <w:sz w:val="16"/>
                <w:szCs w:val="16"/>
                <w:lang w:eastAsia="en-US"/>
              </w:rPr>
              <w:t>Dodatkowa zdolność przerobowa zakładów recyklingu</w:t>
            </w:r>
          </w:p>
        </w:tc>
        <w:tc>
          <w:tcPr>
            <w:tcW w:w="777" w:type="pct"/>
            <w:tcMar>
              <w:top w:w="0" w:type="dxa"/>
              <w:left w:w="108" w:type="dxa"/>
              <w:bottom w:w="0" w:type="dxa"/>
              <w:right w:w="108" w:type="dxa"/>
            </w:tcMar>
            <w:vAlign w:val="center"/>
          </w:tcPr>
          <w:p w14:paraId="178D8899" w14:textId="77777777" w:rsidR="009D215A" w:rsidRPr="00436D27" w:rsidRDefault="009D215A" w:rsidP="00EE58A9">
            <w:pPr>
              <w:jc w:val="center"/>
              <w:rPr>
                <w:sz w:val="16"/>
                <w:szCs w:val="16"/>
                <w:lang w:eastAsia="en-US"/>
              </w:rPr>
            </w:pPr>
            <w:r w:rsidRPr="00436D27">
              <w:rPr>
                <w:sz w:val="16"/>
                <w:szCs w:val="16"/>
                <w:lang w:eastAsia="en-US"/>
              </w:rPr>
              <w:t>10 107 t/rok</w:t>
            </w:r>
          </w:p>
        </w:tc>
        <w:tc>
          <w:tcPr>
            <w:tcW w:w="1076" w:type="pct"/>
            <w:tcMar>
              <w:top w:w="0" w:type="dxa"/>
              <w:left w:w="108" w:type="dxa"/>
              <w:bottom w:w="0" w:type="dxa"/>
              <w:right w:w="108" w:type="dxa"/>
            </w:tcMar>
            <w:vAlign w:val="center"/>
          </w:tcPr>
          <w:p w14:paraId="2BBE0743" w14:textId="77777777" w:rsidR="009D215A" w:rsidRPr="00436D27" w:rsidRDefault="009D215A" w:rsidP="00EE58A9">
            <w:pPr>
              <w:jc w:val="center"/>
              <w:rPr>
                <w:sz w:val="16"/>
                <w:szCs w:val="16"/>
                <w:lang w:eastAsia="en-US"/>
              </w:rPr>
            </w:pPr>
            <w:r w:rsidRPr="00436D27">
              <w:rPr>
                <w:sz w:val="16"/>
                <w:szCs w:val="16"/>
                <w:lang w:eastAsia="en-US"/>
              </w:rPr>
              <w:t>3 500 t/rok</w:t>
            </w:r>
          </w:p>
        </w:tc>
        <w:tc>
          <w:tcPr>
            <w:tcW w:w="1072" w:type="pct"/>
            <w:tcMar>
              <w:top w:w="0" w:type="dxa"/>
              <w:left w:w="108" w:type="dxa"/>
              <w:bottom w:w="0" w:type="dxa"/>
              <w:right w:w="108" w:type="dxa"/>
            </w:tcMar>
            <w:vAlign w:val="center"/>
          </w:tcPr>
          <w:p w14:paraId="3429593A" w14:textId="77777777" w:rsidR="009D215A" w:rsidRPr="00436D27" w:rsidRDefault="009D215A" w:rsidP="00EE58A9">
            <w:pPr>
              <w:jc w:val="center"/>
              <w:rPr>
                <w:sz w:val="16"/>
                <w:szCs w:val="16"/>
                <w:lang w:eastAsia="en-US"/>
              </w:rPr>
            </w:pPr>
            <w:r w:rsidRPr="00436D27">
              <w:rPr>
                <w:sz w:val="16"/>
                <w:szCs w:val="16"/>
                <w:lang w:eastAsia="en-US"/>
              </w:rPr>
              <w:t>34,6%</w:t>
            </w:r>
          </w:p>
        </w:tc>
      </w:tr>
      <w:tr w:rsidR="009D215A" w:rsidRPr="00436D27" w14:paraId="76B493B5" w14:textId="77777777" w:rsidTr="00C22C26">
        <w:trPr>
          <w:trHeight w:val="568"/>
        </w:trPr>
        <w:tc>
          <w:tcPr>
            <w:tcW w:w="798" w:type="pct"/>
            <w:tcMar>
              <w:top w:w="0" w:type="dxa"/>
              <w:left w:w="108" w:type="dxa"/>
              <w:bottom w:w="0" w:type="dxa"/>
              <w:right w:w="108" w:type="dxa"/>
            </w:tcMar>
            <w:vAlign w:val="center"/>
          </w:tcPr>
          <w:p w14:paraId="042C9C08" w14:textId="77777777" w:rsidR="009D215A" w:rsidRPr="00436D27" w:rsidRDefault="009D215A" w:rsidP="00EE58A9">
            <w:pPr>
              <w:jc w:val="center"/>
              <w:rPr>
                <w:sz w:val="16"/>
                <w:szCs w:val="16"/>
                <w:lang w:eastAsia="en-US"/>
              </w:rPr>
            </w:pPr>
            <w:r w:rsidRPr="00436D27">
              <w:rPr>
                <w:sz w:val="16"/>
                <w:szCs w:val="16"/>
                <w:lang w:eastAsia="en-US"/>
              </w:rPr>
              <w:lastRenderedPageBreak/>
              <w:t>Wskaźnik rezultatu strategicznego</w:t>
            </w:r>
          </w:p>
        </w:tc>
        <w:tc>
          <w:tcPr>
            <w:tcW w:w="1277" w:type="pct"/>
            <w:tcMar>
              <w:top w:w="0" w:type="dxa"/>
              <w:left w:w="108" w:type="dxa"/>
              <w:bottom w:w="0" w:type="dxa"/>
              <w:right w:w="108" w:type="dxa"/>
            </w:tcMar>
            <w:vAlign w:val="center"/>
          </w:tcPr>
          <w:p w14:paraId="3E6A8C17" w14:textId="77777777" w:rsidR="009D215A" w:rsidRPr="00436D27" w:rsidRDefault="009D215A" w:rsidP="00EE58A9">
            <w:pPr>
              <w:jc w:val="center"/>
              <w:rPr>
                <w:sz w:val="16"/>
                <w:szCs w:val="16"/>
                <w:lang w:eastAsia="en-US"/>
              </w:rPr>
            </w:pPr>
            <w:r w:rsidRPr="00436D27">
              <w:rPr>
                <w:sz w:val="16"/>
                <w:szCs w:val="16"/>
                <w:lang w:eastAsia="en-US"/>
              </w:rPr>
              <w:t>Udział odpadów komunalnych niepodlegających składowaniu</w:t>
            </w:r>
            <w:r w:rsidR="00E66B89">
              <w:rPr>
                <w:sz w:val="16"/>
                <w:szCs w:val="16"/>
                <w:lang w:eastAsia="en-US"/>
              </w:rPr>
              <w:t xml:space="preserve"> w </w:t>
            </w:r>
            <w:r w:rsidRPr="00436D27">
              <w:rPr>
                <w:sz w:val="16"/>
                <w:szCs w:val="16"/>
                <w:lang w:eastAsia="en-US"/>
              </w:rPr>
              <w:t>ogólnej masie odpadów komunalnych wytworzonych</w:t>
            </w:r>
          </w:p>
        </w:tc>
        <w:tc>
          <w:tcPr>
            <w:tcW w:w="777" w:type="pct"/>
            <w:tcMar>
              <w:top w:w="0" w:type="dxa"/>
              <w:left w:w="108" w:type="dxa"/>
              <w:bottom w:w="0" w:type="dxa"/>
              <w:right w:w="108" w:type="dxa"/>
            </w:tcMar>
            <w:vAlign w:val="center"/>
          </w:tcPr>
          <w:p w14:paraId="188D1624" w14:textId="77777777" w:rsidR="009D215A" w:rsidRPr="00436D27" w:rsidRDefault="009D215A" w:rsidP="00EE58A9">
            <w:pPr>
              <w:jc w:val="center"/>
              <w:rPr>
                <w:sz w:val="16"/>
                <w:szCs w:val="16"/>
                <w:lang w:eastAsia="en-US"/>
              </w:rPr>
            </w:pPr>
            <w:r w:rsidRPr="00436D27">
              <w:rPr>
                <w:sz w:val="16"/>
                <w:szCs w:val="16"/>
                <w:lang w:eastAsia="en-US"/>
              </w:rPr>
              <w:t>60%</w:t>
            </w:r>
          </w:p>
        </w:tc>
        <w:tc>
          <w:tcPr>
            <w:tcW w:w="1076" w:type="pct"/>
            <w:tcMar>
              <w:top w:w="0" w:type="dxa"/>
              <w:left w:w="108" w:type="dxa"/>
              <w:bottom w:w="0" w:type="dxa"/>
              <w:right w:w="108" w:type="dxa"/>
            </w:tcMar>
            <w:vAlign w:val="center"/>
          </w:tcPr>
          <w:p w14:paraId="77971700" w14:textId="77777777" w:rsidR="009D215A" w:rsidRPr="00436D27" w:rsidRDefault="009D215A" w:rsidP="00EE58A9">
            <w:pPr>
              <w:jc w:val="center"/>
              <w:rPr>
                <w:sz w:val="16"/>
                <w:szCs w:val="16"/>
                <w:lang w:eastAsia="en-US"/>
              </w:rPr>
            </w:pPr>
            <w:r w:rsidRPr="00436D27">
              <w:rPr>
                <w:sz w:val="16"/>
                <w:szCs w:val="16"/>
                <w:lang w:eastAsia="en-US"/>
              </w:rPr>
              <w:t>60%</w:t>
            </w:r>
          </w:p>
        </w:tc>
        <w:tc>
          <w:tcPr>
            <w:tcW w:w="1072" w:type="pct"/>
            <w:tcMar>
              <w:top w:w="0" w:type="dxa"/>
              <w:left w:w="108" w:type="dxa"/>
              <w:bottom w:w="0" w:type="dxa"/>
              <w:right w:w="108" w:type="dxa"/>
            </w:tcMar>
            <w:vAlign w:val="center"/>
          </w:tcPr>
          <w:p w14:paraId="7A5A567B" w14:textId="77777777" w:rsidR="009D215A" w:rsidRPr="00436D27" w:rsidRDefault="009D215A" w:rsidP="00EE58A9">
            <w:pPr>
              <w:jc w:val="center"/>
              <w:rPr>
                <w:sz w:val="16"/>
                <w:szCs w:val="16"/>
                <w:lang w:eastAsia="en-US"/>
              </w:rPr>
            </w:pPr>
            <w:r w:rsidRPr="00436D27">
              <w:rPr>
                <w:sz w:val="16"/>
                <w:szCs w:val="16"/>
                <w:lang w:eastAsia="en-US"/>
              </w:rPr>
              <w:t>100,0%</w:t>
            </w:r>
          </w:p>
        </w:tc>
      </w:tr>
      <w:tr w:rsidR="009D215A" w:rsidRPr="00436D27" w14:paraId="09AA40CC" w14:textId="77777777" w:rsidTr="00C22C26">
        <w:trPr>
          <w:trHeight w:val="568"/>
        </w:trPr>
        <w:tc>
          <w:tcPr>
            <w:tcW w:w="798" w:type="pct"/>
            <w:tcMar>
              <w:top w:w="0" w:type="dxa"/>
              <w:left w:w="108" w:type="dxa"/>
              <w:bottom w:w="0" w:type="dxa"/>
              <w:right w:w="108" w:type="dxa"/>
            </w:tcMar>
            <w:vAlign w:val="center"/>
          </w:tcPr>
          <w:p w14:paraId="08937DAB" w14:textId="77777777" w:rsidR="009D215A" w:rsidRPr="00436D27" w:rsidRDefault="009D215A" w:rsidP="00EE58A9">
            <w:pPr>
              <w:jc w:val="center"/>
              <w:rPr>
                <w:sz w:val="16"/>
                <w:szCs w:val="16"/>
                <w:lang w:eastAsia="en-US"/>
              </w:rPr>
            </w:pPr>
            <w:r w:rsidRPr="00436D27">
              <w:rPr>
                <w:sz w:val="16"/>
                <w:szCs w:val="16"/>
                <w:lang w:eastAsia="en-US"/>
              </w:rPr>
              <w:t>Wskaźnik rezultatu strategicznego</w:t>
            </w:r>
          </w:p>
        </w:tc>
        <w:tc>
          <w:tcPr>
            <w:tcW w:w="1277" w:type="pct"/>
            <w:tcMar>
              <w:top w:w="0" w:type="dxa"/>
              <w:left w:w="108" w:type="dxa"/>
              <w:bottom w:w="0" w:type="dxa"/>
              <w:right w:w="108" w:type="dxa"/>
            </w:tcMar>
            <w:vAlign w:val="center"/>
          </w:tcPr>
          <w:p w14:paraId="1D48C6CA" w14:textId="77777777" w:rsidR="009D215A" w:rsidRPr="00436D27" w:rsidRDefault="009D215A" w:rsidP="00EE58A9">
            <w:pPr>
              <w:jc w:val="center"/>
              <w:rPr>
                <w:sz w:val="16"/>
                <w:szCs w:val="16"/>
                <w:lang w:eastAsia="en-US"/>
              </w:rPr>
            </w:pPr>
            <w:r w:rsidRPr="00436D27">
              <w:rPr>
                <w:sz w:val="16"/>
                <w:szCs w:val="16"/>
                <w:lang w:eastAsia="en-US"/>
              </w:rPr>
              <w:t>Odpady zebrane selektywnie</w:t>
            </w:r>
            <w:r w:rsidR="00E66B89">
              <w:rPr>
                <w:sz w:val="16"/>
                <w:szCs w:val="16"/>
                <w:lang w:eastAsia="en-US"/>
              </w:rPr>
              <w:t xml:space="preserve"> w </w:t>
            </w:r>
            <w:r w:rsidRPr="00436D27">
              <w:rPr>
                <w:sz w:val="16"/>
                <w:szCs w:val="16"/>
                <w:lang w:eastAsia="en-US"/>
              </w:rPr>
              <w:t>relacji do ogółu odpadów</w:t>
            </w:r>
          </w:p>
        </w:tc>
        <w:tc>
          <w:tcPr>
            <w:tcW w:w="777" w:type="pct"/>
            <w:tcMar>
              <w:top w:w="0" w:type="dxa"/>
              <w:left w:w="108" w:type="dxa"/>
              <w:bottom w:w="0" w:type="dxa"/>
              <w:right w:w="108" w:type="dxa"/>
            </w:tcMar>
          </w:tcPr>
          <w:p w14:paraId="0BFEF9AB" w14:textId="77777777" w:rsidR="009D215A" w:rsidRPr="00436D27" w:rsidRDefault="009D215A" w:rsidP="00EE58A9">
            <w:pPr>
              <w:jc w:val="center"/>
              <w:rPr>
                <w:sz w:val="16"/>
                <w:szCs w:val="16"/>
                <w:lang w:eastAsia="en-US"/>
              </w:rPr>
            </w:pPr>
            <w:r w:rsidRPr="00436D27">
              <w:rPr>
                <w:sz w:val="16"/>
                <w:szCs w:val="16"/>
                <w:lang w:eastAsia="en-US"/>
              </w:rPr>
              <w:t>21,8%</w:t>
            </w:r>
          </w:p>
        </w:tc>
        <w:tc>
          <w:tcPr>
            <w:tcW w:w="1076" w:type="pct"/>
            <w:tcMar>
              <w:top w:w="0" w:type="dxa"/>
              <w:left w:w="108" w:type="dxa"/>
              <w:bottom w:w="0" w:type="dxa"/>
              <w:right w:w="108" w:type="dxa"/>
            </w:tcMar>
            <w:vAlign w:val="center"/>
          </w:tcPr>
          <w:p w14:paraId="4FBCD722" w14:textId="77777777" w:rsidR="009D215A" w:rsidRPr="00436D27" w:rsidRDefault="009D215A" w:rsidP="00EE58A9">
            <w:pPr>
              <w:jc w:val="center"/>
              <w:rPr>
                <w:sz w:val="16"/>
                <w:szCs w:val="16"/>
                <w:lang w:eastAsia="en-US"/>
              </w:rPr>
            </w:pPr>
            <w:r w:rsidRPr="00436D27">
              <w:rPr>
                <w:sz w:val="16"/>
                <w:szCs w:val="16"/>
                <w:lang w:eastAsia="en-US"/>
              </w:rPr>
              <w:t>22,8%</w:t>
            </w:r>
          </w:p>
        </w:tc>
        <w:tc>
          <w:tcPr>
            <w:tcW w:w="1072" w:type="pct"/>
            <w:tcMar>
              <w:top w:w="0" w:type="dxa"/>
              <w:left w:w="108" w:type="dxa"/>
              <w:bottom w:w="0" w:type="dxa"/>
              <w:right w:w="108" w:type="dxa"/>
            </w:tcMar>
            <w:vAlign w:val="center"/>
          </w:tcPr>
          <w:p w14:paraId="1A960E2B" w14:textId="77777777" w:rsidR="009D215A" w:rsidRPr="00436D27" w:rsidRDefault="009D215A" w:rsidP="00EE58A9">
            <w:pPr>
              <w:jc w:val="center"/>
              <w:rPr>
                <w:sz w:val="16"/>
                <w:szCs w:val="16"/>
                <w:lang w:eastAsia="en-US"/>
              </w:rPr>
            </w:pPr>
            <w:r w:rsidRPr="00436D27">
              <w:rPr>
                <w:sz w:val="16"/>
                <w:szCs w:val="16"/>
                <w:lang w:eastAsia="en-US"/>
              </w:rPr>
              <w:t>100,0%</w:t>
            </w:r>
          </w:p>
        </w:tc>
      </w:tr>
    </w:tbl>
    <w:p w14:paraId="638475EC" w14:textId="77777777" w:rsidR="009D215A" w:rsidRPr="002A5FDF" w:rsidRDefault="009D215A" w:rsidP="005076BF">
      <w:pPr>
        <w:spacing w:before="0"/>
        <w:rPr>
          <w:i/>
          <w:sz w:val="18"/>
          <w:szCs w:val="20"/>
        </w:rPr>
      </w:pPr>
      <w:r w:rsidRPr="002A5FDF">
        <w:rPr>
          <w:i/>
          <w:sz w:val="18"/>
          <w:szCs w:val="20"/>
        </w:rPr>
        <w:t xml:space="preserve"> 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 xml:space="preserve">zawartych UoD na dzień 07.01.2019 r., obliczenia własne. </w:t>
      </w:r>
    </w:p>
    <w:p w14:paraId="6BACD831" w14:textId="77777777" w:rsidR="009D215A" w:rsidRPr="00404DA5" w:rsidRDefault="009D215A" w:rsidP="009D215A">
      <w:pPr>
        <w:rPr>
          <w:rFonts w:cs="Calibri"/>
          <w:szCs w:val="20"/>
        </w:rPr>
      </w:pPr>
      <w:r w:rsidRPr="00404DA5">
        <w:rPr>
          <w:rFonts w:cs="Calibri"/>
          <w:szCs w:val="20"/>
        </w:rPr>
        <w:t>Pomimo dostępności środków finansowych przeznaczonych na PI 6a</w:t>
      </w:r>
      <w:r>
        <w:rPr>
          <w:rFonts w:cs="Calibri"/>
          <w:szCs w:val="20"/>
        </w:rPr>
        <w:t xml:space="preserve"> -</w:t>
      </w:r>
      <w:r w:rsidRPr="00404DA5">
        <w:rPr>
          <w:rFonts w:cs="Calibri"/>
          <w:szCs w:val="20"/>
        </w:rPr>
        <w:t xml:space="preserve"> uwzględniając aktualny stan wdrażania RPO WZ 2014-2020 oraz potencjał aplikacyjny do realizacji projektów</w:t>
      </w:r>
      <w:r>
        <w:rPr>
          <w:rFonts w:cs="Calibri"/>
          <w:szCs w:val="20"/>
        </w:rPr>
        <w:t xml:space="preserve"> -</w:t>
      </w:r>
      <w:r w:rsidRPr="00404DA5">
        <w:rPr>
          <w:rFonts w:cs="Calibri"/>
          <w:szCs w:val="20"/>
        </w:rPr>
        <w:t xml:space="preserve"> prognozuje się, iż osiągnięcie wartości docelowej wskaźnika pn. </w:t>
      </w:r>
      <w:r w:rsidRPr="008B706B">
        <w:rPr>
          <w:rFonts w:cs="Calibri"/>
          <w:i/>
          <w:szCs w:val="20"/>
        </w:rPr>
        <w:t>Dodatkowa zdolność przerobowa zakładów recyklingu</w:t>
      </w:r>
      <w:r>
        <w:rPr>
          <w:rFonts w:cs="Calibri"/>
          <w:szCs w:val="20"/>
        </w:rPr>
        <w:t xml:space="preserve"> może być trudne</w:t>
      </w:r>
      <w:r w:rsidRPr="00404DA5">
        <w:rPr>
          <w:rFonts w:cs="Calibri"/>
          <w:szCs w:val="20"/>
        </w:rPr>
        <w:t xml:space="preserve">. Wszystkie pozostałe wskaźniki powinny zostać </w:t>
      </w:r>
      <w:r>
        <w:rPr>
          <w:rFonts w:cs="Calibri"/>
          <w:szCs w:val="20"/>
        </w:rPr>
        <w:t>osiągnięte</w:t>
      </w:r>
      <w:r w:rsidRPr="00404DA5">
        <w:rPr>
          <w:rFonts w:cs="Calibri"/>
          <w:szCs w:val="20"/>
        </w:rPr>
        <w:t xml:space="preserve"> (prognozuje się przekroczenie </w:t>
      </w:r>
      <w:r>
        <w:rPr>
          <w:rFonts w:cs="Calibri"/>
          <w:szCs w:val="20"/>
        </w:rPr>
        <w:t xml:space="preserve">ich </w:t>
      </w:r>
      <w:r w:rsidRPr="00404DA5">
        <w:rPr>
          <w:rFonts w:cs="Calibri"/>
          <w:szCs w:val="20"/>
        </w:rPr>
        <w:t xml:space="preserve">wartości docelowych). Potencjał do realizacji projektów wspierających </w:t>
      </w:r>
      <w:r>
        <w:rPr>
          <w:rFonts w:cs="Calibri"/>
          <w:szCs w:val="20"/>
        </w:rPr>
        <w:t>osiągnięcie</w:t>
      </w:r>
      <w:r w:rsidRPr="00404DA5">
        <w:rPr>
          <w:rFonts w:cs="Calibri"/>
          <w:szCs w:val="20"/>
        </w:rPr>
        <w:t xml:space="preserve"> tej wartości wskaźnika jest ograniczony zapisami </w:t>
      </w:r>
      <w:r>
        <w:rPr>
          <w:rFonts w:cs="Calibri"/>
          <w:szCs w:val="20"/>
        </w:rPr>
        <w:t>W</w:t>
      </w:r>
      <w:r w:rsidRPr="00404DA5">
        <w:rPr>
          <w:rFonts w:cs="Calibri"/>
          <w:szCs w:val="20"/>
        </w:rPr>
        <w:t>PGO. Potencjał ten mógłby ulec zwiększeniu</w:t>
      </w:r>
      <w:r w:rsidR="00E66B89">
        <w:rPr>
          <w:rFonts w:cs="Calibri"/>
          <w:szCs w:val="20"/>
        </w:rPr>
        <w:t xml:space="preserve"> w </w:t>
      </w:r>
      <w:r w:rsidRPr="00404DA5">
        <w:rPr>
          <w:rFonts w:cs="Calibri"/>
          <w:szCs w:val="20"/>
        </w:rPr>
        <w:t>sytuacji, gdyby możliwa był</w:t>
      </w:r>
      <w:r>
        <w:rPr>
          <w:rFonts w:cs="Calibri"/>
          <w:szCs w:val="20"/>
        </w:rPr>
        <w:t>a</w:t>
      </w:r>
      <w:r w:rsidRPr="00404DA5">
        <w:rPr>
          <w:rFonts w:cs="Calibri"/>
          <w:szCs w:val="20"/>
        </w:rPr>
        <w:t xml:space="preserve"> aktualizacja </w:t>
      </w:r>
      <w:r>
        <w:rPr>
          <w:rFonts w:cs="Calibri"/>
          <w:szCs w:val="20"/>
        </w:rPr>
        <w:t>W</w:t>
      </w:r>
      <w:r w:rsidRPr="00404DA5">
        <w:rPr>
          <w:rFonts w:cs="Calibri"/>
          <w:szCs w:val="20"/>
        </w:rPr>
        <w:t>PGO</w:t>
      </w:r>
      <w:r w:rsidR="00E66B89">
        <w:rPr>
          <w:rFonts w:cs="Calibri"/>
          <w:szCs w:val="20"/>
        </w:rPr>
        <w:t xml:space="preserve"> i </w:t>
      </w:r>
      <w:r w:rsidRPr="00404DA5">
        <w:rPr>
          <w:rFonts w:cs="Calibri"/>
          <w:szCs w:val="20"/>
        </w:rPr>
        <w:t xml:space="preserve">załącznika do </w:t>
      </w:r>
      <w:r>
        <w:rPr>
          <w:rFonts w:cs="Calibri"/>
          <w:szCs w:val="20"/>
        </w:rPr>
        <w:t>W</w:t>
      </w:r>
      <w:r w:rsidRPr="00404DA5">
        <w:rPr>
          <w:rFonts w:cs="Calibri"/>
          <w:szCs w:val="20"/>
        </w:rPr>
        <w:t>PGO jakim jest Plan Inwestycyjny. Natomiast takie prace</w:t>
      </w:r>
      <w:r w:rsidR="00E66B89">
        <w:rPr>
          <w:rFonts w:cs="Calibri"/>
          <w:szCs w:val="20"/>
        </w:rPr>
        <w:t xml:space="preserve"> w </w:t>
      </w:r>
      <w:r w:rsidRPr="00404DA5">
        <w:rPr>
          <w:rFonts w:cs="Calibri"/>
          <w:szCs w:val="20"/>
        </w:rPr>
        <w:t>najbliższej perspektywie czasu nie są planowane przez Urząd Marszałkowski. Biorąc powyższe pod uwagę oraz konieczność zapewnienia wydatkowania środków zgodnie</w:t>
      </w:r>
      <w:r w:rsidR="00E66B89">
        <w:rPr>
          <w:rFonts w:cs="Calibri"/>
          <w:szCs w:val="20"/>
        </w:rPr>
        <w:t xml:space="preserve"> z </w:t>
      </w:r>
      <w:r w:rsidRPr="00404DA5">
        <w:rPr>
          <w:rFonts w:cs="Calibri"/>
          <w:szCs w:val="20"/>
        </w:rPr>
        <w:t>zasadą n+3</w:t>
      </w:r>
      <w:r>
        <w:rPr>
          <w:rFonts w:cs="Calibri"/>
          <w:szCs w:val="20"/>
        </w:rPr>
        <w:t>,</w:t>
      </w:r>
      <w:r w:rsidRPr="00404DA5">
        <w:rPr>
          <w:rFonts w:cs="Calibri"/>
          <w:szCs w:val="20"/>
        </w:rPr>
        <w:t xml:space="preserve"> poddaje się</w:t>
      </w:r>
      <w:r w:rsidR="00E66B89">
        <w:rPr>
          <w:rFonts w:cs="Calibri"/>
          <w:szCs w:val="20"/>
        </w:rPr>
        <w:t xml:space="preserve"> w </w:t>
      </w:r>
      <w:r w:rsidRPr="00404DA5">
        <w:rPr>
          <w:rFonts w:cs="Calibri"/>
          <w:szCs w:val="20"/>
        </w:rPr>
        <w:t>wątpliwość możliwość organizacji ew</w:t>
      </w:r>
      <w:r>
        <w:rPr>
          <w:rFonts w:cs="Calibri"/>
          <w:szCs w:val="20"/>
        </w:rPr>
        <w:t>entualnych</w:t>
      </w:r>
      <w:r w:rsidRPr="00404DA5">
        <w:rPr>
          <w:rFonts w:cs="Calibri"/>
          <w:szCs w:val="20"/>
        </w:rPr>
        <w:t xml:space="preserve"> naborów</w:t>
      </w:r>
      <w:r w:rsidR="00E66B89">
        <w:rPr>
          <w:rFonts w:cs="Calibri"/>
          <w:szCs w:val="20"/>
        </w:rPr>
        <w:t xml:space="preserve"> w </w:t>
      </w:r>
      <w:r w:rsidRPr="00404DA5">
        <w:rPr>
          <w:rFonts w:cs="Calibri"/>
          <w:szCs w:val="20"/>
        </w:rPr>
        <w:t xml:space="preserve">późniejszym okresie wdrażania RPO WZ 2014-2020 (np. pod koniec 2020 czy 2021 r.). </w:t>
      </w:r>
    </w:p>
    <w:p w14:paraId="60EEBA7F" w14:textId="77777777" w:rsidR="009D215A" w:rsidRPr="00404DA5" w:rsidRDefault="009D215A" w:rsidP="009D215A">
      <w:pPr>
        <w:rPr>
          <w:rFonts w:cs="Calibri"/>
          <w:szCs w:val="20"/>
        </w:rPr>
      </w:pPr>
      <w:r w:rsidRPr="00404DA5">
        <w:rPr>
          <w:rFonts w:cs="Calibri"/>
          <w:szCs w:val="20"/>
        </w:rPr>
        <w:t>Mając na uwadze szacowaną kwotę</w:t>
      </w:r>
      <w:r>
        <w:rPr>
          <w:rFonts w:cs="Calibri"/>
          <w:szCs w:val="20"/>
        </w:rPr>
        <w:t xml:space="preserve"> alokacji</w:t>
      </w:r>
      <w:r w:rsidRPr="00404DA5">
        <w:rPr>
          <w:rFonts w:cs="Calibri"/>
          <w:szCs w:val="20"/>
        </w:rPr>
        <w:t xml:space="preserve"> jaka </w:t>
      </w:r>
      <w:r>
        <w:rPr>
          <w:rFonts w:cs="Calibri"/>
          <w:szCs w:val="20"/>
        </w:rPr>
        <w:t>pozostała po dotychczas zakończonych naborach</w:t>
      </w:r>
      <w:r w:rsidRPr="00404DA5">
        <w:rPr>
          <w:rFonts w:cs="Calibri"/>
          <w:szCs w:val="20"/>
        </w:rPr>
        <w:t xml:space="preserve"> wniosków oraz średni koszt jednostkowy </w:t>
      </w:r>
      <w:r>
        <w:rPr>
          <w:rFonts w:cs="Calibri"/>
          <w:szCs w:val="20"/>
        </w:rPr>
        <w:t>osiągnięcia</w:t>
      </w:r>
      <w:r w:rsidRPr="00404DA5">
        <w:rPr>
          <w:rFonts w:cs="Calibri"/>
          <w:szCs w:val="20"/>
        </w:rPr>
        <w:t xml:space="preserve"> wskaźnika </w:t>
      </w:r>
      <w:r w:rsidRPr="008B706B">
        <w:rPr>
          <w:rFonts w:cs="Calibri"/>
          <w:i/>
          <w:szCs w:val="20"/>
        </w:rPr>
        <w:t>Dodatkowa zdolność przerobowa zakładów recyklingu</w:t>
      </w:r>
      <w:r w:rsidRPr="00404DA5">
        <w:rPr>
          <w:rFonts w:cs="Calibri"/>
          <w:szCs w:val="20"/>
        </w:rPr>
        <w:t xml:space="preserve"> można hipotetycznie zakładać, iż przeznaczenie całej tej alokacji na realizację projektów wspierających ten wskaźnik mogłoby umożliwić </w:t>
      </w:r>
      <w:r>
        <w:rPr>
          <w:rFonts w:cs="Calibri"/>
          <w:szCs w:val="20"/>
        </w:rPr>
        <w:t>osiągnięcie</w:t>
      </w:r>
      <w:r w:rsidRPr="00404DA5">
        <w:rPr>
          <w:rFonts w:cs="Calibri"/>
          <w:szCs w:val="20"/>
        </w:rPr>
        <w:t xml:space="preserve"> założonej wartości docelowej na 2023. </w:t>
      </w:r>
      <w:r>
        <w:rPr>
          <w:rFonts w:cs="Calibri"/>
          <w:szCs w:val="20"/>
        </w:rPr>
        <w:t>M</w:t>
      </w:r>
      <w:r w:rsidRPr="00404DA5">
        <w:rPr>
          <w:rFonts w:cs="Calibri"/>
          <w:szCs w:val="20"/>
        </w:rPr>
        <w:t>ając</w:t>
      </w:r>
      <w:r>
        <w:rPr>
          <w:rFonts w:cs="Calibri"/>
          <w:szCs w:val="20"/>
        </w:rPr>
        <w:t xml:space="preserve"> jednak</w:t>
      </w:r>
      <w:r w:rsidRPr="00404DA5">
        <w:rPr>
          <w:rFonts w:cs="Calibri"/>
          <w:szCs w:val="20"/>
        </w:rPr>
        <w:t xml:space="preserve"> na uwadze </w:t>
      </w:r>
      <w:r>
        <w:rPr>
          <w:rFonts w:cs="Calibri"/>
          <w:szCs w:val="20"/>
        </w:rPr>
        <w:t>II nabór</w:t>
      </w:r>
      <w:r w:rsidR="00E66B89">
        <w:rPr>
          <w:rFonts w:cs="Calibri"/>
          <w:szCs w:val="20"/>
        </w:rPr>
        <w:t xml:space="preserve"> w </w:t>
      </w:r>
      <w:r>
        <w:rPr>
          <w:rFonts w:cs="Calibri"/>
          <w:szCs w:val="20"/>
        </w:rPr>
        <w:t xml:space="preserve">Działaniu 3.7 (zakończony 28 marca 2019 r.), </w:t>
      </w:r>
      <w:r w:rsidRPr="00404DA5">
        <w:rPr>
          <w:rFonts w:cs="Calibri"/>
          <w:szCs w:val="20"/>
        </w:rPr>
        <w:t xml:space="preserve">aktualne zapisy </w:t>
      </w:r>
      <w:r>
        <w:rPr>
          <w:rFonts w:cs="Calibri"/>
          <w:szCs w:val="20"/>
        </w:rPr>
        <w:t>W</w:t>
      </w:r>
      <w:r w:rsidRPr="00404DA5">
        <w:rPr>
          <w:rFonts w:cs="Calibri"/>
          <w:szCs w:val="20"/>
        </w:rPr>
        <w:t>PGO oraz potencjał do realizacji projektów</w:t>
      </w:r>
      <w:r>
        <w:rPr>
          <w:rFonts w:cs="Calibri"/>
          <w:szCs w:val="20"/>
        </w:rPr>
        <w:t>,</w:t>
      </w:r>
      <w:r w:rsidRPr="00404DA5">
        <w:rPr>
          <w:rFonts w:cs="Calibri"/>
          <w:szCs w:val="20"/>
        </w:rPr>
        <w:t xml:space="preserve"> prognoza </w:t>
      </w:r>
      <w:r>
        <w:rPr>
          <w:rFonts w:cs="Calibri"/>
          <w:szCs w:val="20"/>
        </w:rPr>
        <w:t>dotycząca możliwości osiągnięcia tego wskaźnika</w:t>
      </w:r>
      <w:r w:rsidRPr="00404DA5">
        <w:rPr>
          <w:rFonts w:cs="Calibri"/>
          <w:szCs w:val="20"/>
        </w:rPr>
        <w:t xml:space="preserve"> nie wydaje się być realna.</w:t>
      </w:r>
    </w:p>
    <w:p w14:paraId="41758D27" w14:textId="77777777" w:rsidR="009D215A" w:rsidRPr="00436D27" w:rsidRDefault="009D215A" w:rsidP="009D215A">
      <w:pPr>
        <w:pStyle w:val="Nagwek4"/>
        <w:numPr>
          <w:ilvl w:val="0"/>
          <w:numId w:val="0"/>
        </w:numPr>
        <w:rPr>
          <w:rFonts w:ascii="Lato" w:eastAsia="Calibri" w:hAnsi="Lato"/>
        </w:rPr>
      </w:pPr>
      <w:r w:rsidRPr="00436D27">
        <w:rPr>
          <w:rFonts w:ascii="Lato" w:eastAsia="Calibri" w:hAnsi="Lato"/>
        </w:rPr>
        <w:t>Możliwości zarządzania środkami rezerwy wykonania</w:t>
      </w:r>
      <w:r w:rsidR="00E66B89">
        <w:rPr>
          <w:rFonts w:ascii="Lato" w:eastAsia="Calibri" w:hAnsi="Lato"/>
        </w:rPr>
        <w:t xml:space="preserve"> i </w:t>
      </w:r>
      <w:r w:rsidRPr="00436D27">
        <w:rPr>
          <w:rFonts w:ascii="Lato" w:eastAsia="Calibri" w:hAnsi="Lato"/>
        </w:rPr>
        <w:t>identyfikacja obszarów wymagających interwencji - podsumowanie</w:t>
      </w:r>
    </w:p>
    <w:p w14:paraId="55B4E40A" w14:textId="77777777" w:rsidR="009D215A" w:rsidRPr="00404DA5" w:rsidRDefault="009D215A" w:rsidP="009D215A">
      <w:pPr>
        <w:rPr>
          <w:rFonts w:cs="Calibri"/>
          <w:szCs w:val="20"/>
        </w:rPr>
      </w:pPr>
      <w:r w:rsidRPr="00404DA5">
        <w:rPr>
          <w:rFonts w:cs="Calibri"/>
          <w:szCs w:val="20"/>
        </w:rPr>
        <w:t>Jedyny obszar</w:t>
      </w:r>
      <w:r>
        <w:rPr>
          <w:rFonts w:cs="Calibri"/>
          <w:szCs w:val="20"/>
        </w:rPr>
        <w:t>,</w:t>
      </w:r>
      <w:r w:rsidR="00E66B89">
        <w:rPr>
          <w:rFonts w:cs="Calibri"/>
          <w:szCs w:val="20"/>
        </w:rPr>
        <w:t xml:space="preserve"> w </w:t>
      </w:r>
      <w:r w:rsidRPr="00404DA5">
        <w:rPr>
          <w:rFonts w:cs="Calibri"/>
          <w:szCs w:val="20"/>
        </w:rPr>
        <w:t>którym uzyskane wartości wskaźnika są</w:t>
      </w:r>
      <w:r w:rsidR="00E66B89">
        <w:rPr>
          <w:rFonts w:cs="Calibri"/>
          <w:szCs w:val="20"/>
        </w:rPr>
        <w:t xml:space="preserve"> i </w:t>
      </w:r>
      <w:r w:rsidRPr="00404DA5">
        <w:rPr>
          <w:rFonts w:cs="Calibri"/>
          <w:szCs w:val="20"/>
        </w:rPr>
        <w:t>prawdopodobnie pozostaną niewystarczające</w:t>
      </w:r>
      <w:r w:rsidR="00E66B89">
        <w:rPr>
          <w:rFonts w:cs="Calibri"/>
          <w:szCs w:val="20"/>
        </w:rPr>
        <w:t xml:space="preserve"> w </w:t>
      </w:r>
      <w:r w:rsidRPr="00404DA5">
        <w:rPr>
          <w:rFonts w:cs="Calibri"/>
          <w:szCs w:val="20"/>
        </w:rPr>
        <w:t>kontekście założonych docelowych wartości wskaźników związany jest ze wsparciem skierowanym na rozwój dodatkowej zdolności do recyklingu odpadów. Wsparcie</w:t>
      </w:r>
      <w:r w:rsidR="00E66B89">
        <w:rPr>
          <w:rFonts w:cs="Calibri"/>
          <w:szCs w:val="20"/>
        </w:rPr>
        <w:t xml:space="preserve"> w </w:t>
      </w:r>
      <w:r w:rsidRPr="00404DA5">
        <w:rPr>
          <w:rFonts w:cs="Calibri"/>
          <w:szCs w:val="20"/>
        </w:rPr>
        <w:t>ramach PI 6a może być skierowane wyłącznie dla instalacji wpisanych</w:t>
      </w:r>
      <w:r w:rsidR="00E66B89">
        <w:rPr>
          <w:rFonts w:cs="Calibri"/>
          <w:szCs w:val="20"/>
        </w:rPr>
        <w:t xml:space="preserve"> w </w:t>
      </w:r>
      <w:r>
        <w:rPr>
          <w:rFonts w:cs="Calibri"/>
          <w:szCs w:val="20"/>
        </w:rPr>
        <w:t>W</w:t>
      </w:r>
      <w:r w:rsidRPr="00404DA5">
        <w:rPr>
          <w:rFonts w:cs="Calibri"/>
          <w:szCs w:val="20"/>
        </w:rPr>
        <w:t>PGO.</w:t>
      </w:r>
      <w:r w:rsidR="00E66B89">
        <w:rPr>
          <w:rFonts w:cs="Calibri"/>
          <w:szCs w:val="20"/>
        </w:rPr>
        <w:t xml:space="preserve"> Z </w:t>
      </w:r>
      <w:r w:rsidRPr="00404DA5">
        <w:rPr>
          <w:rFonts w:cs="Calibri"/>
          <w:szCs w:val="20"/>
        </w:rPr>
        <w:t xml:space="preserve">tego względu </w:t>
      </w:r>
      <w:r>
        <w:rPr>
          <w:rFonts w:cs="Calibri"/>
          <w:szCs w:val="20"/>
        </w:rPr>
        <w:t>czynnikiem mogącym wpłynąć</w:t>
      </w:r>
      <w:r w:rsidRPr="00404DA5">
        <w:rPr>
          <w:rFonts w:cs="Calibri"/>
          <w:szCs w:val="20"/>
        </w:rPr>
        <w:t xml:space="preserve"> na istotne zwiększenie potencjału do realizacji projektów, które mogłyby przyczynić się do </w:t>
      </w:r>
      <w:r>
        <w:rPr>
          <w:rFonts w:cs="Calibri"/>
          <w:szCs w:val="20"/>
        </w:rPr>
        <w:t>osiągnięcia</w:t>
      </w:r>
      <w:r w:rsidRPr="00404DA5">
        <w:rPr>
          <w:rFonts w:cs="Calibri"/>
          <w:szCs w:val="20"/>
        </w:rPr>
        <w:t xml:space="preserve"> założonej wartości wskaźnika</w:t>
      </w:r>
      <w:r>
        <w:rPr>
          <w:rFonts w:cs="Calibri"/>
          <w:szCs w:val="20"/>
        </w:rPr>
        <w:t>,</w:t>
      </w:r>
      <w:r w:rsidRPr="00404DA5">
        <w:rPr>
          <w:rFonts w:cs="Calibri"/>
          <w:szCs w:val="20"/>
        </w:rPr>
        <w:t xml:space="preserve"> byłaby aktualizacja </w:t>
      </w:r>
      <w:r>
        <w:rPr>
          <w:rFonts w:cs="Calibri"/>
          <w:szCs w:val="20"/>
        </w:rPr>
        <w:t>W</w:t>
      </w:r>
      <w:r w:rsidRPr="00404DA5">
        <w:rPr>
          <w:rFonts w:cs="Calibri"/>
          <w:szCs w:val="20"/>
        </w:rPr>
        <w:t>PGO wraz</w:t>
      </w:r>
      <w:r w:rsidR="00E66B89">
        <w:rPr>
          <w:rFonts w:cs="Calibri"/>
          <w:szCs w:val="20"/>
        </w:rPr>
        <w:t xml:space="preserve"> z </w:t>
      </w:r>
      <w:r w:rsidRPr="00404DA5">
        <w:rPr>
          <w:rFonts w:cs="Calibri"/>
          <w:szCs w:val="20"/>
        </w:rPr>
        <w:t>Planem Inwestycyjnym</w:t>
      </w:r>
      <w:r>
        <w:rPr>
          <w:rFonts w:cs="Calibri"/>
          <w:szCs w:val="20"/>
        </w:rPr>
        <w:t xml:space="preserve">. Jest to jednak </w:t>
      </w:r>
      <w:r w:rsidRPr="00404DA5">
        <w:rPr>
          <w:rFonts w:cs="Calibri"/>
          <w:szCs w:val="20"/>
        </w:rPr>
        <w:t>proces trudny</w:t>
      </w:r>
      <w:r w:rsidR="00E66B89">
        <w:rPr>
          <w:rFonts w:cs="Calibri"/>
          <w:szCs w:val="20"/>
        </w:rPr>
        <w:t xml:space="preserve"> i </w:t>
      </w:r>
      <w:r w:rsidRPr="00404DA5">
        <w:rPr>
          <w:rFonts w:cs="Calibri"/>
          <w:szCs w:val="20"/>
        </w:rPr>
        <w:t>długotrwały, wymagający zgodnie</w:t>
      </w:r>
      <w:r w:rsidR="00E66B89">
        <w:rPr>
          <w:rFonts w:cs="Calibri"/>
          <w:szCs w:val="20"/>
        </w:rPr>
        <w:t xml:space="preserve"> z </w:t>
      </w:r>
      <w:r w:rsidRPr="00404DA5">
        <w:rPr>
          <w:rFonts w:cs="Calibri"/>
          <w:szCs w:val="20"/>
        </w:rPr>
        <w:t>obowiązującymi przepisami prawa szerokich konsultacji</w:t>
      </w:r>
      <w:r w:rsidR="00E66B89">
        <w:rPr>
          <w:rFonts w:cs="Calibri"/>
          <w:szCs w:val="20"/>
        </w:rPr>
        <w:t xml:space="preserve"> i </w:t>
      </w:r>
      <w:r w:rsidRPr="00404DA5">
        <w:rPr>
          <w:rFonts w:cs="Calibri"/>
          <w:szCs w:val="20"/>
        </w:rPr>
        <w:t>opiniowania –</w:t>
      </w:r>
      <w:r w:rsidR="00E66B89">
        <w:rPr>
          <w:rFonts w:cs="Calibri"/>
          <w:szCs w:val="20"/>
        </w:rPr>
        <w:t xml:space="preserve"> w </w:t>
      </w:r>
      <w:r w:rsidRPr="00404DA5">
        <w:rPr>
          <w:rFonts w:cs="Calibri"/>
          <w:szCs w:val="20"/>
        </w:rPr>
        <w:t>tym</w:t>
      </w:r>
      <w:r w:rsidR="00E66B89">
        <w:rPr>
          <w:rFonts w:cs="Calibri"/>
          <w:szCs w:val="20"/>
        </w:rPr>
        <w:t xml:space="preserve"> z </w:t>
      </w:r>
      <w:r w:rsidRPr="00404DA5">
        <w:rPr>
          <w:rFonts w:cs="Calibri"/>
          <w:szCs w:val="20"/>
        </w:rPr>
        <w:t>resortem środowiska.</w:t>
      </w:r>
    </w:p>
    <w:p w14:paraId="179D296E" w14:textId="77777777" w:rsidR="009D215A" w:rsidRPr="00404DA5" w:rsidRDefault="009D215A" w:rsidP="009D215A">
      <w:pPr>
        <w:rPr>
          <w:rFonts w:cs="Calibri"/>
          <w:szCs w:val="20"/>
        </w:rPr>
      </w:pPr>
      <w:r w:rsidRPr="00404DA5">
        <w:rPr>
          <w:rFonts w:cs="Calibri"/>
          <w:szCs w:val="20"/>
        </w:rPr>
        <w:t xml:space="preserve">Brak jest możliwości skierowania wsparcia na inny typ projektów, który umożliwiłby </w:t>
      </w:r>
      <w:r>
        <w:rPr>
          <w:rFonts w:cs="Calibri"/>
          <w:szCs w:val="20"/>
        </w:rPr>
        <w:t>osiągnięcie</w:t>
      </w:r>
      <w:r w:rsidRPr="00404DA5">
        <w:rPr>
          <w:rFonts w:cs="Calibri"/>
          <w:szCs w:val="20"/>
        </w:rPr>
        <w:t xml:space="preserve"> tego wskaźnika. Wyłącznie projekty dotyczące sposobu zagospodarowania odpadów jakim jest recykling</w:t>
      </w:r>
      <w:r>
        <w:rPr>
          <w:rFonts w:cs="Calibri"/>
          <w:szCs w:val="20"/>
        </w:rPr>
        <w:t>,</w:t>
      </w:r>
      <w:r w:rsidRPr="00404DA5">
        <w:rPr>
          <w:rFonts w:cs="Calibri"/>
          <w:szCs w:val="20"/>
        </w:rPr>
        <w:t xml:space="preserve"> mogą przyczynić się do </w:t>
      </w:r>
      <w:r>
        <w:rPr>
          <w:rFonts w:cs="Calibri"/>
          <w:szCs w:val="20"/>
        </w:rPr>
        <w:t>osiągnięcia</w:t>
      </w:r>
      <w:r w:rsidRPr="00404DA5">
        <w:rPr>
          <w:rFonts w:cs="Calibri"/>
          <w:szCs w:val="20"/>
        </w:rPr>
        <w:t xml:space="preserve"> założonej wartości (nadmieńmy, iż chodzi</w:t>
      </w:r>
      <w:r w:rsidR="00E66B89">
        <w:rPr>
          <w:rFonts w:cs="Calibri"/>
          <w:szCs w:val="20"/>
        </w:rPr>
        <w:t xml:space="preserve"> o </w:t>
      </w:r>
      <w:r w:rsidRPr="00404DA5">
        <w:rPr>
          <w:rFonts w:cs="Calibri"/>
          <w:szCs w:val="20"/>
        </w:rPr>
        <w:t>dodatkowe moce przerobowe).</w:t>
      </w:r>
    </w:p>
    <w:p w14:paraId="034B139E" w14:textId="77777777" w:rsidR="009D215A" w:rsidRPr="00404DA5" w:rsidRDefault="009D215A" w:rsidP="009D215A">
      <w:pPr>
        <w:rPr>
          <w:rFonts w:cs="Calibri"/>
          <w:szCs w:val="20"/>
        </w:rPr>
      </w:pPr>
      <w:r w:rsidRPr="00404DA5">
        <w:rPr>
          <w:rFonts w:cs="Calibri"/>
          <w:szCs w:val="20"/>
        </w:rPr>
        <w:lastRenderedPageBreak/>
        <w:t>Mając na uwadze aktualny stan zaawansowania wdrażania PI 6a</w:t>
      </w:r>
      <w:r>
        <w:rPr>
          <w:rFonts w:cs="Calibri"/>
          <w:szCs w:val="20"/>
        </w:rPr>
        <w:t>,</w:t>
      </w:r>
      <w:r w:rsidR="00E66B89">
        <w:rPr>
          <w:rFonts w:cs="Calibri"/>
          <w:szCs w:val="20"/>
        </w:rPr>
        <w:t xml:space="preserve"> w </w:t>
      </w:r>
      <w:r w:rsidRPr="00404DA5">
        <w:rPr>
          <w:rFonts w:cs="Calibri"/>
          <w:szCs w:val="20"/>
        </w:rPr>
        <w:t>pozostałych obszarach nie rekomenduje się podejmowania innych działań niż opisane powyżej.</w:t>
      </w:r>
    </w:p>
    <w:p w14:paraId="723C3FC7" w14:textId="77777777" w:rsidR="009D215A" w:rsidRPr="00404DA5" w:rsidRDefault="009D215A" w:rsidP="009D215A">
      <w:pPr>
        <w:rPr>
          <w:rFonts w:cs="Calibri"/>
          <w:szCs w:val="20"/>
        </w:rPr>
      </w:pPr>
      <w:r>
        <w:rPr>
          <w:rFonts w:cs="Calibri"/>
          <w:szCs w:val="20"/>
        </w:rPr>
        <w:t>Zakończony</w:t>
      </w:r>
      <w:r w:rsidR="00E66B89">
        <w:rPr>
          <w:rFonts w:cs="Calibri"/>
          <w:szCs w:val="20"/>
        </w:rPr>
        <w:t xml:space="preserve"> w </w:t>
      </w:r>
      <w:r>
        <w:rPr>
          <w:rFonts w:cs="Calibri"/>
          <w:szCs w:val="20"/>
        </w:rPr>
        <w:t xml:space="preserve">dniu 28.03.2019 r. </w:t>
      </w:r>
      <w:r w:rsidRPr="00404DA5">
        <w:rPr>
          <w:rFonts w:cs="Calibri"/>
          <w:szCs w:val="20"/>
        </w:rPr>
        <w:t>nabór wniosków</w:t>
      </w:r>
      <w:r w:rsidR="00E66B89">
        <w:rPr>
          <w:rFonts w:cs="Calibri"/>
          <w:szCs w:val="20"/>
        </w:rPr>
        <w:t xml:space="preserve"> w </w:t>
      </w:r>
      <w:r w:rsidRPr="00404DA5">
        <w:rPr>
          <w:rFonts w:cs="Calibri"/>
          <w:szCs w:val="20"/>
        </w:rPr>
        <w:t>Działaniu 3.7</w:t>
      </w:r>
      <w:r>
        <w:rPr>
          <w:rFonts w:cs="Calibri"/>
          <w:szCs w:val="20"/>
        </w:rPr>
        <w:t xml:space="preserve"> </w:t>
      </w:r>
      <w:r w:rsidRPr="00404DA5">
        <w:rPr>
          <w:rFonts w:cs="Calibri"/>
          <w:szCs w:val="20"/>
        </w:rPr>
        <w:t>powinien zmienić sytuację</w:t>
      </w:r>
      <w:r w:rsidR="00E66B89">
        <w:rPr>
          <w:rFonts w:cs="Calibri"/>
          <w:szCs w:val="20"/>
        </w:rPr>
        <w:t xml:space="preserve"> w </w:t>
      </w:r>
      <w:r w:rsidRPr="00404DA5">
        <w:rPr>
          <w:rFonts w:cs="Calibri"/>
          <w:szCs w:val="20"/>
        </w:rPr>
        <w:t xml:space="preserve">zakresie obserwowanych poziomów </w:t>
      </w:r>
      <w:r>
        <w:rPr>
          <w:rFonts w:cs="Calibri"/>
          <w:szCs w:val="20"/>
        </w:rPr>
        <w:t>osiągnięcia</w:t>
      </w:r>
      <w:r w:rsidRPr="00404DA5">
        <w:rPr>
          <w:rFonts w:cs="Calibri"/>
          <w:szCs w:val="20"/>
        </w:rPr>
        <w:t xml:space="preserve"> wskaźników oraz opisane</w:t>
      </w:r>
      <w:r w:rsidR="00E66B89">
        <w:rPr>
          <w:rFonts w:cs="Calibri"/>
          <w:szCs w:val="20"/>
        </w:rPr>
        <w:t xml:space="preserve"> w </w:t>
      </w:r>
      <w:r w:rsidRPr="00404DA5">
        <w:rPr>
          <w:rFonts w:cs="Calibri"/>
          <w:szCs w:val="20"/>
        </w:rPr>
        <w:t>rozdziale okoliczności utrudniające prognozowanie wartości docelowych</w:t>
      </w:r>
      <w:r>
        <w:rPr>
          <w:rFonts w:cs="Calibri"/>
          <w:szCs w:val="20"/>
        </w:rPr>
        <w:t>. N</w:t>
      </w:r>
      <w:r w:rsidRPr="00404DA5">
        <w:rPr>
          <w:rFonts w:cs="Calibri"/>
          <w:szCs w:val="20"/>
        </w:rPr>
        <w:t>ie rekomenduje się aktualnie zmian wartości wskaźników</w:t>
      </w:r>
      <w:r w:rsidR="00E66B89">
        <w:rPr>
          <w:rFonts w:cs="Calibri"/>
          <w:szCs w:val="20"/>
        </w:rPr>
        <w:t xml:space="preserve"> w </w:t>
      </w:r>
      <w:r w:rsidRPr="00404DA5">
        <w:rPr>
          <w:rFonts w:cs="Calibri"/>
          <w:szCs w:val="20"/>
        </w:rPr>
        <w:t>Programie. Decyzja</w:t>
      </w:r>
      <w:r w:rsidR="00E66B89">
        <w:rPr>
          <w:rFonts w:cs="Calibri"/>
          <w:szCs w:val="20"/>
        </w:rPr>
        <w:t xml:space="preserve"> w </w:t>
      </w:r>
      <w:r w:rsidRPr="00404DA5">
        <w:rPr>
          <w:rFonts w:cs="Calibri"/>
          <w:szCs w:val="20"/>
        </w:rPr>
        <w:t xml:space="preserve">tym zakresie powinna zostać podjęta po </w:t>
      </w:r>
      <w:r>
        <w:rPr>
          <w:rFonts w:cs="Calibri"/>
          <w:szCs w:val="20"/>
        </w:rPr>
        <w:t>rozstrzygnięciu II</w:t>
      </w:r>
      <w:r w:rsidRPr="00404DA5">
        <w:rPr>
          <w:rFonts w:cs="Calibri"/>
          <w:szCs w:val="20"/>
        </w:rPr>
        <w:t xml:space="preserve"> naboru (prognozowany termin rozstrzygnięcia</w:t>
      </w:r>
      <w:r>
        <w:rPr>
          <w:rFonts w:cs="Calibri"/>
          <w:szCs w:val="20"/>
        </w:rPr>
        <w:t xml:space="preserve">: </w:t>
      </w:r>
      <w:r w:rsidRPr="00404DA5">
        <w:rPr>
          <w:rFonts w:cs="Calibri"/>
          <w:szCs w:val="20"/>
        </w:rPr>
        <w:t>lipiec 2019 r.).</w:t>
      </w:r>
      <w:r w:rsidR="00E66B89">
        <w:rPr>
          <w:rFonts w:cs="Calibri"/>
          <w:szCs w:val="20"/>
        </w:rPr>
        <w:t xml:space="preserve"> W </w:t>
      </w:r>
      <w:r w:rsidRPr="00404DA5">
        <w:rPr>
          <w:rFonts w:cs="Calibri"/>
          <w:szCs w:val="20"/>
        </w:rPr>
        <w:t xml:space="preserve">ramach oceny prognozy osiągnięcia celów zakładanych na 2023 przygotowano wstępną diagnozę dotyczącą możliwości </w:t>
      </w:r>
      <w:r>
        <w:rPr>
          <w:rFonts w:cs="Calibri"/>
          <w:szCs w:val="20"/>
        </w:rPr>
        <w:t>osiągnięcia</w:t>
      </w:r>
      <w:r w:rsidRPr="00404DA5">
        <w:rPr>
          <w:rFonts w:cs="Calibri"/>
          <w:szCs w:val="20"/>
        </w:rPr>
        <w:t xml:space="preserve"> wartości docelowych wskaźników</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dostępne założenia (koszty jednostkowe). Podejmowanie decyzji na aktualnym etapie wdrażania, bez kompletu istotnych informacji służących do diagnozy</w:t>
      </w:r>
      <w:r w:rsidR="00E66B89">
        <w:rPr>
          <w:rFonts w:cs="Calibri"/>
          <w:szCs w:val="20"/>
        </w:rPr>
        <w:t xml:space="preserve"> i </w:t>
      </w:r>
      <w:r w:rsidRPr="00404DA5">
        <w:rPr>
          <w:rFonts w:cs="Calibri"/>
          <w:szCs w:val="20"/>
        </w:rPr>
        <w:t>oceny sytuacji</w:t>
      </w:r>
      <w:r>
        <w:rPr>
          <w:rFonts w:cs="Calibri"/>
          <w:szCs w:val="20"/>
        </w:rPr>
        <w:t>,</w:t>
      </w:r>
      <w:r w:rsidRPr="00404DA5">
        <w:rPr>
          <w:rFonts w:cs="Calibri"/>
          <w:szCs w:val="20"/>
        </w:rPr>
        <w:t xml:space="preserve"> mogłoby przyczynić się do </w:t>
      </w:r>
      <w:r>
        <w:rPr>
          <w:rFonts w:cs="Calibri"/>
          <w:szCs w:val="20"/>
        </w:rPr>
        <w:t>przyjęcia</w:t>
      </w:r>
      <w:r w:rsidRPr="00404DA5">
        <w:rPr>
          <w:rFonts w:cs="Calibri"/>
          <w:szCs w:val="20"/>
        </w:rPr>
        <w:t xml:space="preserve"> błędnych prognoz (wyznaczeni</w:t>
      </w:r>
      <w:r>
        <w:rPr>
          <w:rFonts w:cs="Calibri"/>
          <w:szCs w:val="20"/>
        </w:rPr>
        <w:t>a</w:t>
      </w:r>
      <w:r w:rsidRPr="00404DA5">
        <w:rPr>
          <w:rFonts w:cs="Calibri"/>
          <w:szCs w:val="20"/>
        </w:rPr>
        <w:t xml:space="preserve"> nietrafnych celów). Mogłoby się okazać, iż</w:t>
      </w:r>
      <w:r>
        <w:rPr>
          <w:rFonts w:cs="Calibri"/>
          <w:szCs w:val="20"/>
        </w:rPr>
        <w:t xml:space="preserve"> -</w:t>
      </w:r>
      <w:r w:rsidRPr="00404DA5">
        <w:rPr>
          <w:rFonts w:cs="Calibri"/>
          <w:szCs w:val="20"/>
        </w:rPr>
        <w:t xml:space="preserve"> aktualnie prognozowane przez IZ RPO WZ</w:t>
      </w:r>
      <w:r>
        <w:rPr>
          <w:rFonts w:cs="Calibri"/>
          <w:szCs w:val="20"/>
        </w:rPr>
        <w:t xml:space="preserve"> -</w:t>
      </w:r>
      <w:r w:rsidRPr="00404DA5">
        <w:rPr>
          <w:rFonts w:cs="Calibri"/>
          <w:szCs w:val="20"/>
        </w:rPr>
        <w:t xml:space="preserve"> wartości wskaźników będą jednak możliwe do osiągnięcia. </w:t>
      </w:r>
    </w:p>
    <w:p w14:paraId="0C67BC05" w14:textId="77777777" w:rsidR="009F2535" w:rsidRPr="00801DB4" w:rsidRDefault="009F2535" w:rsidP="00D45914">
      <w:pPr>
        <w:pStyle w:val="Nagwek2"/>
      </w:pPr>
      <w:bookmarkStart w:id="117" w:name="_Toc6523748"/>
      <w:r w:rsidRPr="00801DB4">
        <w:t>Oś priorytetowa IV Naturalne otoczenie człowieka</w:t>
      </w:r>
      <w:bookmarkEnd w:id="117"/>
      <w:r w:rsidRPr="00801DB4">
        <w:t xml:space="preserve"> </w:t>
      </w:r>
    </w:p>
    <w:p w14:paraId="02A4C6A4" w14:textId="77777777" w:rsidR="00F468C0" w:rsidRDefault="00374994" w:rsidP="00093E14">
      <w:pPr>
        <w:pStyle w:val="Nagwek3"/>
        <w:numPr>
          <w:ilvl w:val="2"/>
          <w:numId w:val="5"/>
        </w:numPr>
      </w:pPr>
      <w:r>
        <w:t>Ocena zmian sytuacji społeczno-gospodarczej</w:t>
      </w:r>
      <w:r w:rsidR="00E66B89">
        <w:t xml:space="preserve"> w </w:t>
      </w:r>
      <w:r>
        <w:t>obszarze OP IV</w:t>
      </w:r>
    </w:p>
    <w:p w14:paraId="0665253F" w14:textId="77777777" w:rsidR="006F4D8F" w:rsidRPr="008B706B" w:rsidRDefault="006F4D8F" w:rsidP="006F4D8F">
      <w:pPr>
        <w:rPr>
          <w:rFonts w:cs="Calibri"/>
          <w:b/>
          <w:color w:val="365F91"/>
          <w:szCs w:val="20"/>
        </w:rPr>
      </w:pPr>
      <w:r w:rsidRPr="008B706B">
        <w:rPr>
          <w:rFonts w:cs="Calibri"/>
          <w:b/>
          <w:color w:val="365F91"/>
          <w:szCs w:val="20"/>
        </w:rPr>
        <w:t>PI 6c</w:t>
      </w:r>
    </w:p>
    <w:p w14:paraId="7152A70C" w14:textId="77777777" w:rsidR="006F4D8F" w:rsidRPr="00CE549A" w:rsidRDefault="006F4D8F" w:rsidP="006F4D8F">
      <w:pPr>
        <w:rPr>
          <w:b/>
          <w:bCs/>
          <w:szCs w:val="20"/>
        </w:rPr>
      </w:pPr>
      <w:r>
        <w:rPr>
          <w:szCs w:val="20"/>
        </w:rPr>
        <w:t>W przypadku</w:t>
      </w:r>
      <w:r w:rsidRPr="00CE549A">
        <w:rPr>
          <w:szCs w:val="20"/>
        </w:rPr>
        <w:t xml:space="preserve"> </w:t>
      </w:r>
      <w:r>
        <w:rPr>
          <w:szCs w:val="20"/>
        </w:rPr>
        <w:t>interwencji</w:t>
      </w:r>
      <w:r w:rsidRPr="00CE549A">
        <w:rPr>
          <w:szCs w:val="20"/>
        </w:rPr>
        <w:t xml:space="preserve"> odnoszących się do zakresu wsparcia</w:t>
      </w:r>
      <w:r w:rsidR="00E66B89">
        <w:rPr>
          <w:szCs w:val="20"/>
        </w:rPr>
        <w:t xml:space="preserve"> w </w:t>
      </w:r>
      <w:r w:rsidRPr="00CE549A">
        <w:rPr>
          <w:szCs w:val="20"/>
        </w:rPr>
        <w:t xml:space="preserve">ramach PI </w:t>
      </w:r>
      <w:r w:rsidRPr="008B706B">
        <w:rPr>
          <w:bCs/>
          <w:szCs w:val="20"/>
        </w:rPr>
        <w:t>6c</w:t>
      </w:r>
      <w:r w:rsidRPr="00CF48AD">
        <w:rPr>
          <w:szCs w:val="20"/>
        </w:rPr>
        <w:t xml:space="preserve"> </w:t>
      </w:r>
      <w:r w:rsidRPr="008B706B">
        <w:rPr>
          <w:bCs/>
          <w:i/>
          <w:szCs w:val="20"/>
        </w:rPr>
        <w:t>Zachowanie, ochrona, promowanie</w:t>
      </w:r>
      <w:r w:rsidR="00E66B89">
        <w:rPr>
          <w:bCs/>
          <w:i/>
          <w:szCs w:val="20"/>
        </w:rPr>
        <w:t xml:space="preserve"> i </w:t>
      </w:r>
      <w:r w:rsidRPr="008B706B">
        <w:rPr>
          <w:bCs/>
          <w:i/>
          <w:szCs w:val="20"/>
        </w:rPr>
        <w:t>rozwój dziedzictwa naturalnego</w:t>
      </w:r>
      <w:r w:rsidR="00E66B89">
        <w:rPr>
          <w:bCs/>
          <w:i/>
          <w:szCs w:val="20"/>
        </w:rPr>
        <w:t xml:space="preserve"> i </w:t>
      </w:r>
      <w:r w:rsidRPr="008B706B">
        <w:rPr>
          <w:bCs/>
          <w:i/>
          <w:szCs w:val="20"/>
        </w:rPr>
        <w:t>kulturowego</w:t>
      </w:r>
      <w:r w:rsidRPr="00CE549A">
        <w:rPr>
          <w:b/>
          <w:bCs/>
          <w:szCs w:val="20"/>
        </w:rPr>
        <w:t xml:space="preserve"> </w:t>
      </w:r>
      <w:r w:rsidRPr="00CE549A">
        <w:rPr>
          <w:bCs/>
          <w:szCs w:val="20"/>
        </w:rPr>
        <w:t>należy wskazać, że</w:t>
      </w:r>
      <w:r w:rsidRPr="00CE549A">
        <w:rPr>
          <w:b/>
          <w:bCs/>
          <w:szCs w:val="20"/>
        </w:rPr>
        <w:t xml:space="preserve"> </w:t>
      </w:r>
      <w:r w:rsidRPr="00CE549A">
        <w:rPr>
          <w:szCs w:val="20"/>
        </w:rPr>
        <w:t>wskaźnikiem obrazującym potencjał</w:t>
      </w:r>
      <w:r w:rsidR="00E66B89">
        <w:rPr>
          <w:szCs w:val="20"/>
        </w:rPr>
        <w:t xml:space="preserve"> w </w:t>
      </w:r>
      <w:r w:rsidRPr="00CE549A">
        <w:rPr>
          <w:szCs w:val="20"/>
        </w:rPr>
        <w:t>obszarze ochrony kultury</w:t>
      </w:r>
      <w:r w:rsidR="00E66B89">
        <w:rPr>
          <w:szCs w:val="20"/>
        </w:rPr>
        <w:t xml:space="preserve"> i </w:t>
      </w:r>
      <w:r w:rsidRPr="00CE549A">
        <w:rPr>
          <w:szCs w:val="20"/>
        </w:rPr>
        <w:t>dziedzictwa narodowego jest wysokość wydatków samorządów</w:t>
      </w:r>
      <w:r w:rsidR="00E66B89">
        <w:rPr>
          <w:szCs w:val="20"/>
        </w:rPr>
        <w:t xml:space="preserve"> w </w:t>
      </w:r>
      <w:r w:rsidRPr="00CE549A">
        <w:rPr>
          <w:szCs w:val="20"/>
        </w:rPr>
        <w:t>tej sferze. Według gromadzonych danych GUS pomiędzy 20</w:t>
      </w:r>
      <w:r>
        <w:rPr>
          <w:szCs w:val="20"/>
        </w:rPr>
        <w:t>14</w:t>
      </w:r>
      <w:r w:rsidR="00E66B89">
        <w:rPr>
          <w:szCs w:val="20"/>
        </w:rPr>
        <w:t xml:space="preserve"> a </w:t>
      </w:r>
      <w:r w:rsidRPr="00CE549A">
        <w:rPr>
          <w:szCs w:val="20"/>
        </w:rPr>
        <w:t>2017 r. na Pomorzu Zachodnim wydatki na kulturę</w:t>
      </w:r>
      <w:r w:rsidR="00E66B89">
        <w:rPr>
          <w:szCs w:val="20"/>
        </w:rPr>
        <w:t xml:space="preserve"> i </w:t>
      </w:r>
      <w:r w:rsidRPr="00CE549A">
        <w:rPr>
          <w:szCs w:val="20"/>
        </w:rPr>
        <w:t xml:space="preserve">ochronę dziedzictwa narodowego </w:t>
      </w:r>
      <w:r>
        <w:rPr>
          <w:szCs w:val="20"/>
        </w:rPr>
        <w:t>spadły</w:t>
      </w:r>
      <w:r w:rsidR="00E66B89">
        <w:rPr>
          <w:szCs w:val="20"/>
        </w:rPr>
        <w:t xml:space="preserve"> o </w:t>
      </w:r>
      <w:r>
        <w:rPr>
          <w:szCs w:val="20"/>
        </w:rPr>
        <w:t>ponad</w:t>
      </w:r>
      <w:r w:rsidRPr="00CE549A">
        <w:rPr>
          <w:szCs w:val="20"/>
        </w:rPr>
        <w:t xml:space="preserve"> </w:t>
      </w:r>
      <w:r>
        <w:rPr>
          <w:szCs w:val="20"/>
        </w:rPr>
        <w:t>10</w:t>
      </w:r>
      <w:r w:rsidRPr="00CE549A">
        <w:rPr>
          <w:szCs w:val="20"/>
        </w:rPr>
        <w:t xml:space="preserve"> mln zł, czyli</w:t>
      </w:r>
      <w:r w:rsidR="00E66B89">
        <w:rPr>
          <w:szCs w:val="20"/>
        </w:rPr>
        <w:t xml:space="preserve"> o </w:t>
      </w:r>
      <w:r>
        <w:rPr>
          <w:szCs w:val="20"/>
        </w:rPr>
        <w:t>15</w:t>
      </w:r>
      <w:r w:rsidRPr="00CE549A">
        <w:rPr>
          <w:szCs w:val="20"/>
        </w:rPr>
        <w:t>%.</w:t>
      </w:r>
      <w:r w:rsidR="00E66B89">
        <w:rPr>
          <w:szCs w:val="20"/>
        </w:rPr>
        <w:t xml:space="preserve"> W </w:t>
      </w:r>
      <w:r w:rsidRPr="00CE549A">
        <w:rPr>
          <w:szCs w:val="20"/>
        </w:rPr>
        <w:t>2017 r. działalność prowadziły 342 centra kultury, domy</w:t>
      </w:r>
      <w:r w:rsidR="00E66B89">
        <w:rPr>
          <w:szCs w:val="20"/>
        </w:rPr>
        <w:t xml:space="preserve"> i </w:t>
      </w:r>
      <w:r w:rsidRPr="00CE549A">
        <w:rPr>
          <w:szCs w:val="20"/>
        </w:rPr>
        <w:t>ośrodki kultury, kluby</w:t>
      </w:r>
      <w:r w:rsidR="00E66B89">
        <w:rPr>
          <w:szCs w:val="20"/>
        </w:rPr>
        <w:t xml:space="preserve"> i </w:t>
      </w:r>
      <w:r w:rsidRPr="00CE549A">
        <w:rPr>
          <w:szCs w:val="20"/>
        </w:rPr>
        <w:t>świetlice (w 20</w:t>
      </w:r>
      <w:r>
        <w:rPr>
          <w:szCs w:val="20"/>
        </w:rPr>
        <w:t>14</w:t>
      </w:r>
      <w:r w:rsidRPr="00CE549A">
        <w:rPr>
          <w:szCs w:val="20"/>
        </w:rPr>
        <w:t xml:space="preserve"> r. – </w:t>
      </w:r>
      <w:r>
        <w:rPr>
          <w:szCs w:val="20"/>
        </w:rPr>
        <w:t>349</w:t>
      </w:r>
      <w:r w:rsidRPr="00CE549A">
        <w:rPr>
          <w:szCs w:val="20"/>
        </w:rPr>
        <w:t xml:space="preserve">, czyli </w:t>
      </w:r>
      <w:r>
        <w:rPr>
          <w:szCs w:val="20"/>
        </w:rPr>
        <w:t xml:space="preserve">ich liczba </w:t>
      </w:r>
      <w:r w:rsidRPr="00CE549A">
        <w:rPr>
          <w:szCs w:val="20"/>
        </w:rPr>
        <w:t>zmalała</w:t>
      </w:r>
      <w:r>
        <w:rPr>
          <w:szCs w:val="20"/>
        </w:rPr>
        <w:t xml:space="preserve"> o</w:t>
      </w:r>
      <w:r w:rsidRPr="00C22C26">
        <w:rPr>
          <w:szCs w:val="20"/>
        </w:rPr>
        <w:t xml:space="preserve"> </w:t>
      </w:r>
      <w:r>
        <w:rPr>
          <w:szCs w:val="20"/>
        </w:rPr>
        <w:t>7 obiektów</w:t>
      </w:r>
      <w:r w:rsidRPr="00CE549A">
        <w:rPr>
          <w:szCs w:val="20"/>
        </w:rPr>
        <w:t xml:space="preserve">). Łącznie instytucje zorganizowały 16 375 imprez, które zgromadziły ponad 1,984 mln uczestników. Liczba zorganizowanych imprez </w:t>
      </w:r>
      <w:r>
        <w:rPr>
          <w:szCs w:val="20"/>
        </w:rPr>
        <w:t>wz</w:t>
      </w:r>
      <w:r w:rsidRPr="00CE549A">
        <w:rPr>
          <w:szCs w:val="20"/>
        </w:rPr>
        <w:t xml:space="preserve">rosła </w:t>
      </w:r>
      <w:r>
        <w:rPr>
          <w:szCs w:val="20"/>
        </w:rPr>
        <w:t xml:space="preserve">od </w:t>
      </w:r>
      <w:r w:rsidRPr="00CE549A">
        <w:rPr>
          <w:szCs w:val="20"/>
        </w:rPr>
        <w:t>20</w:t>
      </w:r>
      <w:r>
        <w:rPr>
          <w:szCs w:val="20"/>
        </w:rPr>
        <w:t>14</w:t>
      </w:r>
      <w:r w:rsidRPr="00CE549A">
        <w:rPr>
          <w:szCs w:val="20"/>
        </w:rPr>
        <w:t xml:space="preserve"> r.</w:t>
      </w:r>
      <w:r w:rsidR="00E66B89">
        <w:rPr>
          <w:szCs w:val="20"/>
        </w:rPr>
        <w:t xml:space="preserve"> o </w:t>
      </w:r>
      <w:r>
        <w:rPr>
          <w:szCs w:val="20"/>
        </w:rPr>
        <w:t>ponad</w:t>
      </w:r>
      <w:r w:rsidRPr="00CE549A">
        <w:rPr>
          <w:szCs w:val="20"/>
        </w:rPr>
        <w:t xml:space="preserve"> 2</w:t>
      </w:r>
      <w:r>
        <w:rPr>
          <w:szCs w:val="20"/>
        </w:rPr>
        <w:t>0</w:t>
      </w:r>
      <w:r w:rsidRPr="00CE549A">
        <w:rPr>
          <w:szCs w:val="20"/>
        </w:rPr>
        <w:t>%.</w:t>
      </w:r>
      <w:r w:rsidR="00E66B89">
        <w:rPr>
          <w:szCs w:val="20"/>
        </w:rPr>
        <w:t xml:space="preserve"> Z </w:t>
      </w:r>
      <w:r w:rsidRPr="00CE549A">
        <w:rPr>
          <w:szCs w:val="20"/>
        </w:rPr>
        <w:t>kolei liczba uczestników</w:t>
      </w:r>
      <w:r>
        <w:rPr>
          <w:szCs w:val="20"/>
        </w:rPr>
        <w:t xml:space="preserve"> tych imprez,</w:t>
      </w:r>
      <w:r w:rsidRPr="00CE549A">
        <w:rPr>
          <w:szCs w:val="20"/>
        </w:rPr>
        <w:t xml:space="preserve"> względem roku 20</w:t>
      </w:r>
      <w:r>
        <w:rPr>
          <w:szCs w:val="20"/>
        </w:rPr>
        <w:t>14,</w:t>
      </w:r>
      <w:r w:rsidRPr="00CE549A">
        <w:rPr>
          <w:szCs w:val="20"/>
        </w:rPr>
        <w:t xml:space="preserve"> zwiększyła się</w:t>
      </w:r>
      <w:r w:rsidR="00E66B89">
        <w:rPr>
          <w:szCs w:val="20"/>
        </w:rPr>
        <w:t xml:space="preserve"> o </w:t>
      </w:r>
      <w:r w:rsidRPr="00CE549A">
        <w:rPr>
          <w:szCs w:val="20"/>
        </w:rPr>
        <w:t>ok. 5%.</w:t>
      </w:r>
      <w:r w:rsidR="00E66B89">
        <w:rPr>
          <w:szCs w:val="20"/>
        </w:rPr>
        <w:t xml:space="preserve"> W </w:t>
      </w:r>
      <w:r w:rsidRPr="00CE549A">
        <w:rPr>
          <w:szCs w:val="20"/>
        </w:rPr>
        <w:t>okresie 20</w:t>
      </w:r>
      <w:r>
        <w:rPr>
          <w:szCs w:val="20"/>
        </w:rPr>
        <w:t>14</w:t>
      </w:r>
      <w:r w:rsidRPr="00CE549A">
        <w:rPr>
          <w:szCs w:val="20"/>
        </w:rPr>
        <w:t>-2017 r. odnotowano również</w:t>
      </w:r>
      <w:r>
        <w:rPr>
          <w:szCs w:val="20"/>
        </w:rPr>
        <w:t xml:space="preserve"> </w:t>
      </w:r>
      <w:r w:rsidRPr="00CE549A">
        <w:rPr>
          <w:szCs w:val="20"/>
        </w:rPr>
        <w:t>zwiększenie się liczby muzeów</w:t>
      </w:r>
      <w:r w:rsidR="00E66B89">
        <w:rPr>
          <w:szCs w:val="20"/>
        </w:rPr>
        <w:t xml:space="preserve"> i </w:t>
      </w:r>
      <w:r w:rsidRPr="00CE549A">
        <w:rPr>
          <w:szCs w:val="20"/>
        </w:rPr>
        <w:t>ich oddziałów</w:t>
      </w:r>
      <w:r w:rsidR="00E66B89">
        <w:rPr>
          <w:szCs w:val="20"/>
        </w:rPr>
        <w:t xml:space="preserve"> z </w:t>
      </w:r>
      <w:r w:rsidRPr="00CE549A">
        <w:rPr>
          <w:szCs w:val="20"/>
        </w:rPr>
        <w:t>2</w:t>
      </w:r>
      <w:r>
        <w:rPr>
          <w:szCs w:val="20"/>
        </w:rPr>
        <w:t>6</w:t>
      </w:r>
      <w:r w:rsidRPr="00CE549A">
        <w:rPr>
          <w:szCs w:val="20"/>
        </w:rPr>
        <w:t xml:space="preserve"> do 33 obiektów.</w:t>
      </w:r>
      <w:r w:rsidR="00E66B89">
        <w:rPr>
          <w:szCs w:val="20"/>
        </w:rPr>
        <w:t xml:space="preserve"> Z </w:t>
      </w:r>
      <w:r w:rsidRPr="00CE549A">
        <w:rPr>
          <w:szCs w:val="20"/>
        </w:rPr>
        <w:t>kolei liczba odwiedzających muzea wzrosła</w:t>
      </w:r>
      <w:r w:rsidR="00E66B89">
        <w:rPr>
          <w:szCs w:val="20"/>
        </w:rPr>
        <w:t xml:space="preserve"> w </w:t>
      </w:r>
      <w:r w:rsidRPr="00CE549A">
        <w:rPr>
          <w:szCs w:val="20"/>
        </w:rPr>
        <w:t>analizowanym okresie</w:t>
      </w:r>
      <w:r w:rsidR="00E66B89">
        <w:rPr>
          <w:szCs w:val="20"/>
        </w:rPr>
        <w:t xml:space="preserve"> o </w:t>
      </w:r>
      <w:r w:rsidRPr="00CE549A">
        <w:rPr>
          <w:szCs w:val="20"/>
        </w:rPr>
        <w:t>3</w:t>
      </w:r>
      <w:r>
        <w:rPr>
          <w:szCs w:val="20"/>
        </w:rPr>
        <w:t>0</w:t>
      </w:r>
      <w:r w:rsidRPr="00CE549A">
        <w:rPr>
          <w:szCs w:val="20"/>
        </w:rPr>
        <w:t xml:space="preserve">%. </w:t>
      </w:r>
    </w:p>
    <w:p w14:paraId="0ADF5AEF" w14:textId="77777777" w:rsidR="006F4D8F" w:rsidRPr="00095691" w:rsidRDefault="006F4D8F" w:rsidP="006F4D8F">
      <w:pPr>
        <w:pStyle w:val="UPSrodtytul"/>
        <w:spacing w:before="120" w:line="288" w:lineRule="auto"/>
        <w:rPr>
          <w:rFonts w:ascii="Lato" w:hAnsi="Lato" w:cs="Times New Roman"/>
          <w:b w:val="0"/>
          <w:bCs w:val="0"/>
          <w:i w:val="0"/>
          <w:iCs w:val="0"/>
          <w:color w:val="auto"/>
          <w:sz w:val="20"/>
          <w:szCs w:val="20"/>
        </w:rPr>
      </w:pPr>
      <w:r w:rsidRPr="00326A4E">
        <w:rPr>
          <w:rFonts w:ascii="Lato" w:hAnsi="Lato" w:cs="Times New Roman"/>
          <w:b w:val="0"/>
          <w:bCs w:val="0"/>
          <w:i w:val="0"/>
          <w:iCs w:val="0"/>
          <w:color w:val="auto"/>
          <w:sz w:val="20"/>
          <w:szCs w:val="20"/>
        </w:rPr>
        <w:t>Upowszechniła się również aktywność kulturalna przejawiająca się chodzeniem do kina oraz teatru – liczba widzów</w:t>
      </w:r>
      <w:r w:rsidR="00E66B89">
        <w:rPr>
          <w:rFonts w:ascii="Lato" w:hAnsi="Lato" w:cs="Times New Roman"/>
          <w:b w:val="0"/>
          <w:bCs w:val="0"/>
          <w:i w:val="0"/>
          <w:iCs w:val="0"/>
          <w:color w:val="auto"/>
          <w:sz w:val="20"/>
          <w:szCs w:val="20"/>
        </w:rPr>
        <w:t xml:space="preserve"> w </w:t>
      </w:r>
      <w:r w:rsidRPr="00326A4E">
        <w:rPr>
          <w:rFonts w:ascii="Lato" w:hAnsi="Lato" w:cs="Times New Roman"/>
          <w:b w:val="0"/>
          <w:bCs w:val="0"/>
          <w:i w:val="0"/>
          <w:iCs w:val="0"/>
          <w:color w:val="auto"/>
          <w:sz w:val="20"/>
          <w:szCs w:val="20"/>
        </w:rPr>
        <w:t>kinach</w:t>
      </w:r>
      <w:r w:rsidR="00E66B89">
        <w:rPr>
          <w:rFonts w:ascii="Lato" w:hAnsi="Lato" w:cs="Times New Roman"/>
          <w:b w:val="0"/>
          <w:bCs w:val="0"/>
          <w:i w:val="0"/>
          <w:iCs w:val="0"/>
          <w:color w:val="auto"/>
          <w:sz w:val="20"/>
          <w:szCs w:val="20"/>
        </w:rPr>
        <w:t xml:space="preserve"> w </w:t>
      </w:r>
      <w:r w:rsidRPr="00326A4E">
        <w:rPr>
          <w:rFonts w:ascii="Lato" w:hAnsi="Lato" w:cs="Times New Roman"/>
          <w:b w:val="0"/>
          <w:bCs w:val="0"/>
          <w:i w:val="0"/>
          <w:iCs w:val="0"/>
          <w:color w:val="auto"/>
          <w:sz w:val="20"/>
          <w:szCs w:val="20"/>
        </w:rPr>
        <w:t>latach 20</w:t>
      </w:r>
      <w:r w:rsidRPr="008B706B">
        <w:rPr>
          <w:rFonts w:ascii="Lato" w:hAnsi="Lato" w:cs="Times New Roman"/>
          <w:b w:val="0"/>
          <w:bCs w:val="0"/>
          <w:i w:val="0"/>
          <w:iCs w:val="0"/>
          <w:color w:val="auto"/>
          <w:sz w:val="20"/>
          <w:szCs w:val="20"/>
        </w:rPr>
        <w:t>14</w:t>
      </w:r>
      <w:r w:rsidRPr="00326A4E">
        <w:rPr>
          <w:rFonts w:ascii="Lato" w:hAnsi="Lato" w:cs="Times New Roman"/>
          <w:b w:val="0"/>
          <w:bCs w:val="0"/>
          <w:i w:val="0"/>
          <w:iCs w:val="0"/>
          <w:color w:val="auto"/>
          <w:sz w:val="20"/>
          <w:szCs w:val="20"/>
        </w:rPr>
        <w:t>-2017 wzrosła</w:t>
      </w:r>
      <w:r w:rsidR="00E66B89">
        <w:rPr>
          <w:rFonts w:ascii="Lato" w:hAnsi="Lato" w:cs="Times New Roman"/>
          <w:b w:val="0"/>
          <w:bCs w:val="0"/>
          <w:i w:val="0"/>
          <w:iCs w:val="0"/>
          <w:color w:val="auto"/>
          <w:sz w:val="20"/>
          <w:szCs w:val="20"/>
        </w:rPr>
        <w:t xml:space="preserve"> o </w:t>
      </w:r>
      <w:r w:rsidRPr="008B706B">
        <w:rPr>
          <w:rFonts w:ascii="Lato" w:hAnsi="Lato" w:cs="Times New Roman"/>
          <w:b w:val="0"/>
          <w:bCs w:val="0"/>
          <w:i w:val="0"/>
          <w:iCs w:val="0"/>
          <w:color w:val="auto"/>
          <w:sz w:val="20"/>
          <w:szCs w:val="20"/>
        </w:rPr>
        <w:t>4</w:t>
      </w:r>
      <w:r w:rsidRPr="00326A4E">
        <w:rPr>
          <w:rFonts w:ascii="Lato" w:hAnsi="Lato" w:cs="Times New Roman"/>
          <w:b w:val="0"/>
          <w:bCs w:val="0"/>
          <w:i w:val="0"/>
          <w:iCs w:val="0"/>
          <w:color w:val="auto"/>
          <w:sz w:val="20"/>
          <w:szCs w:val="20"/>
        </w:rPr>
        <w:t>2% (z 965 do 1347 osób na 1000 ludności</w:t>
      </w:r>
      <w:r>
        <w:rPr>
          <w:rFonts w:ascii="Lato" w:hAnsi="Lato" w:cs="Times New Roman"/>
          <w:b w:val="0"/>
          <w:bCs w:val="0"/>
          <w:i w:val="0"/>
          <w:iCs w:val="0"/>
          <w:color w:val="auto"/>
          <w:sz w:val="20"/>
          <w:szCs w:val="20"/>
        </w:rPr>
        <w:t xml:space="preserve">; </w:t>
      </w:r>
      <w:r w:rsidRPr="00326A4E">
        <w:rPr>
          <w:rFonts w:ascii="Lato" w:hAnsi="Lato" w:cs="Times New Roman"/>
          <w:b w:val="0"/>
          <w:bCs w:val="0"/>
          <w:i w:val="0"/>
          <w:iCs w:val="0"/>
          <w:color w:val="auto"/>
          <w:sz w:val="20"/>
          <w:szCs w:val="20"/>
        </w:rPr>
        <w:t xml:space="preserve">średnia krajowa </w:t>
      </w:r>
      <w:r w:rsidRPr="008B706B">
        <w:rPr>
          <w:rFonts w:ascii="Lato" w:hAnsi="Lato" w:cs="Times New Roman"/>
          <w:b w:val="0"/>
          <w:bCs w:val="0"/>
          <w:i w:val="0"/>
          <w:iCs w:val="0"/>
          <w:color w:val="auto"/>
          <w:sz w:val="20"/>
          <w:szCs w:val="20"/>
        </w:rPr>
        <w:t>38</w:t>
      </w:r>
      <w:r w:rsidRPr="00326A4E">
        <w:rPr>
          <w:rFonts w:ascii="Lato" w:hAnsi="Lato" w:cs="Times New Roman"/>
          <w:b w:val="0"/>
          <w:bCs w:val="0"/>
          <w:i w:val="0"/>
          <w:iCs w:val="0"/>
          <w:color w:val="auto"/>
          <w:sz w:val="20"/>
          <w:szCs w:val="20"/>
        </w:rPr>
        <w:t>%</w:t>
      </w:r>
      <w:r>
        <w:rPr>
          <w:rFonts w:ascii="Lato" w:hAnsi="Lato" w:cs="Times New Roman"/>
          <w:b w:val="0"/>
          <w:bCs w:val="0"/>
          <w:i w:val="0"/>
          <w:iCs w:val="0"/>
          <w:color w:val="auto"/>
          <w:sz w:val="20"/>
          <w:szCs w:val="20"/>
        </w:rPr>
        <w:t>),</w:t>
      </w:r>
      <w:r w:rsidRPr="00326A4E">
        <w:rPr>
          <w:rFonts w:ascii="Lato" w:hAnsi="Lato" w:cs="Times New Roman"/>
          <w:b w:val="0"/>
          <w:bCs w:val="0"/>
          <w:i w:val="0"/>
          <w:iCs w:val="0"/>
          <w:color w:val="auto"/>
          <w:sz w:val="20"/>
          <w:szCs w:val="20"/>
        </w:rPr>
        <w:t xml:space="preserve"> natomiast osób uczestniczących</w:t>
      </w:r>
      <w:r w:rsidR="00E66B89">
        <w:rPr>
          <w:rFonts w:ascii="Lato" w:hAnsi="Lato" w:cs="Times New Roman"/>
          <w:b w:val="0"/>
          <w:bCs w:val="0"/>
          <w:i w:val="0"/>
          <w:iCs w:val="0"/>
          <w:color w:val="auto"/>
          <w:sz w:val="20"/>
          <w:szCs w:val="20"/>
        </w:rPr>
        <w:t xml:space="preserve"> w </w:t>
      </w:r>
      <w:r w:rsidRPr="00326A4E">
        <w:rPr>
          <w:rFonts w:ascii="Lato" w:hAnsi="Lato" w:cs="Times New Roman"/>
          <w:b w:val="0"/>
          <w:bCs w:val="0"/>
          <w:i w:val="0"/>
          <w:iCs w:val="0"/>
          <w:color w:val="auto"/>
          <w:sz w:val="20"/>
          <w:szCs w:val="20"/>
        </w:rPr>
        <w:t>spektaklach teatralnych</w:t>
      </w:r>
      <w:r w:rsidR="00E66B89">
        <w:rPr>
          <w:rFonts w:ascii="Lato" w:hAnsi="Lato" w:cs="Times New Roman"/>
          <w:b w:val="0"/>
          <w:bCs w:val="0"/>
          <w:i w:val="0"/>
          <w:iCs w:val="0"/>
          <w:color w:val="auto"/>
          <w:sz w:val="20"/>
          <w:szCs w:val="20"/>
        </w:rPr>
        <w:t xml:space="preserve"> i </w:t>
      </w:r>
      <w:r w:rsidRPr="00326A4E">
        <w:rPr>
          <w:rFonts w:ascii="Lato" w:hAnsi="Lato" w:cs="Times New Roman"/>
          <w:b w:val="0"/>
          <w:bCs w:val="0"/>
          <w:i w:val="0"/>
          <w:iCs w:val="0"/>
          <w:color w:val="auto"/>
          <w:sz w:val="20"/>
          <w:szCs w:val="20"/>
        </w:rPr>
        <w:t>wydarzeniach muzycznych</w:t>
      </w:r>
      <w:r>
        <w:rPr>
          <w:rFonts w:ascii="Lato" w:hAnsi="Lato" w:cs="Times New Roman"/>
          <w:b w:val="0"/>
          <w:bCs w:val="0"/>
          <w:i w:val="0"/>
          <w:iCs w:val="0"/>
          <w:color w:val="auto"/>
          <w:sz w:val="20"/>
          <w:szCs w:val="20"/>
        </w:rPr>
        <w:t xml:space="preserve"> wzrosła</w:t>
      </w:r>
      <w:r w:rsidR="00E66B89">
        <w:rPr>
          <w:rFonts w:ascii="Lato" w:hAnsi="Lato" w:cs="Times New Roman"/>
          <w:b w:val="0"/>
          <w:bCs w:val="0"/>
          <w:i w:val="0"/>
          <w:iCs w:val="0"/>
          <w:color w:val="auto"/>
          <w:sz w:val="20"/>
          <w:szCs w:val="20"/>
        </w:rPr>
        <w:t xml:space="preserve"> o </w:t>
      </w:r>
      <w:r w:rsidRPr="00326A4E">
        <w:rPr>
          <w:rFonts w:ascii="Lato" w:hAnsi="Lato" w:cs="Times New Roman"/>
          <w:b w:val="0"/>
          <w:bCs w:val="0"/>
          <w:i w:val="0"/>
          <w:iCs w:val="0"/>
          <w:color w:val="auto"/>
          <w:sz w:val="20"/>
          <w:szCs w:val="20"/>
        </w:rPr>
        <w:t xml:space="preserve">ok. </w:t>
      </w:r>
      <w:r>
        <w:rPr>
          <w:rFonts w:ascii="Lato" w:hAnsi="Lato" w:cs="Times New Roman"/>
          <w:b w:val="0"/>
          <w:bCs w:val="0"/>
          <w:i w:val="0"/>
          <w:iCs w:val="0"/>
          <w:color w:val="auto"/>
          <w:sz w:val="20"/>
          <w:szCs w:val="20"/>
        </w:rPr>
        <w:t>23</w:t>
      </w:r>
      <w:r w:rsidRPr="00326A4E">
        <w:rPr>
          <w:rFonts w:ascii="Lato" w:hAnsi="Lato" w:cs="Times New Roman"/>
          <w:b w:val="0"/>
          <w:bCs w:val="0"/>
          <w:i w:val="0"/>
          <w:iCs w:val="0"/>
          <w:color w:val="auto"/>
          <w:sz w:val="20"/>
          <w:szCs w:val="20"/>
        </w:rPr>
        <w:t>% (z 258,47 do 318 osób na 1000 ludności</w:t>
      </w:r>
      <w:r>
        <w:rPr>
          <w:rFonts w:ascii="Lato" w:hAnsi="Lato" w:cs="Times New Roman"/>
          <w:b w:val="0"/>
          <w:bCs w:val="0"/>
          <w:i w:val="0"/>
          <w:iCs w:val="0"/>
          <w:color w:val="auto"/>
          <w:sz w:val="20"/>
          <w:szCs w:val="20"/>
        </w:rPr>
        <w:t xml:space="preserve">; </w:t>
      </w:r>
      <w:r w:rsidRPr="00326A4E">
        <w:rPr>
          <w:rFonts w:ascii="Lato" w:hAnsi="Lato" w:cs="Times New Roman"/>
          <w:b w:val="0"/>
          <w:bCs w:val="0"/>
          <w:i w:val="0"/>
          <w:iCs w:val="0"/>
          <w:color w:val="auto"/>
          <w:sz w:val="20"/>
          <w:szCs w:val="20"/>
        </w:rPr>
        <w:t xml:space="preserve">średnia krajowa </w:t>
      </w:r>
      <w:r>
        <w:rPr>
          <w:rFonts w:ascii="Lato" w:hAnsi="Lato" w:cs="Times New Roman"/>
          <w:b w:val="0"/>
          <w:bCs w:val="0"/>
          <w:i w:val="0"/>
          <w:iCs w:val="0"/>
          <w:color w:val="auto"/>
          <w:sz w:val="20"/>
          <w:szCs w:val="20"/>
        </w:rPr>
        <w:t>8</w:t>
      </w:r>
      <w:r w:rsidRPr="00326A4E">
        <w:rPr>
          <w:rFonts w:ascii="Lato" w:hAnsi="Lato" w:cs="Times New Roman"/>
          <w:b w:val="0"/>
          <w:bCs w:val="0"/>
          <w:i w:val="0"/>
          <w:iCs w:val="0"/>
          <w:color w:val="auto"/>
          <w:sz w:val="20"/>
          <w:szCs w:val="20"/>
        </w:rPr>
        <w:t>%).</w:t>
      </w:r>
      <w:r w:rsidR="00E66B89">
        <w:rPr>
          <w:rFonts w:ascii="Lato" w:hAnsi="Lato" w:cs="Times New Roman"/>
          <w:b w:val="0"/>
          <w:bCs w:val="0"/>
          <w:i w:val="0"/>
          <w:iCs w:val="0"/>
          <w:color w:val="auto"/>
          <w:sz w:val="20"/>
          <w:szCs w:val="20"/>
        </w:rPr>
        <w:t xml:space="preserve"> O </w:t>
      </w:r>
      <w:r w:rsidRPr="00326A4E">
        <w:rPr>
          <w:rFonts w:ascii="Lato" w:hAnsi="Lato" w:cs="Times New Roman"/>
          <w:b w:val="0"/>
          <w:bCs w:val="0"/>
          <w:i w:val="0"/>
          <w:iCs w:val="0"/>
          <w:color w:val="auto"/>
          <w:sz w:val="20"/>
          <w:szCs w:val="20"/>
        </w:rPr>
        <w:t>poprawie stanu infrastruktury kinowej oraz teatralnej świadczy wskaźnik liczby ludności na 1 miejsce</w:t>
      </w:r>
      <w:r w:rsidR="00E66B89">
        <w:rPr>
          <w:rFonts w:ascii="Lato" w:hAnsi="Lato" w:cs="Times New Roman"/>
          <w:b w:val="0"/>
          <w:bCs w:val="0"/>
          <w:i w:val="0"/>
          <w:iCs w:val="0"/>
          <w:color w:val="auto"/>
          <w:sz w:val="20"/>
          <w:szCs w:val="20"/>
        </w:rPr>
        <w:t xml:space="preserve"> w </w:t>
      </w:r>
      <w:r w:rsidRPr="00326A4E">
        <w:rPr>
          <w:rFonts w:ascii="Lato" w:hAnsi="Lato" w:cs="Times New Roman"/>
          <w:b w:val="0"/>
          <w:bCs w:val="0"/>
          <w:i w:val="0"/>
          <w:iCs w:val="0"/>
          <w:color w:val="auto"/>
          <w:sz w:val="20"/>
          <w:szCs w:val="20"/>
        </w:rPr>
        <w:t>kinach stałych oraz</w:t>
      </w:r>
      <w:r w:rsidR="00E66B89">
        <w:rPr>
          <w:rFonts w:ascii="Lato" w:hAnsi="Lato" w:cs="Times New Roman"/>
          <w:b w:val="0"/>
          <w:bCs w:val="0"/>
          <w:i w:val="0"/>
          <w:iCs w:val="0"/>
          <w:color w:val="auto"/>
          <w:sz w:val="20"/>
          <w:szCs w:val="20"/>
        </w:rPr>
        <w:t xml:space="preserve"> w </w:t>
      </w:r>
      <w:r w:rsidRPr="00326A4E">
        <w:rPr>
          <w:rFonts w:ascii="Lato" w:hAnsi="Lato" w:cs="Times New Roman"/>
          <w:b w:val="0"/>
          <w:bCs w:val="0"/>
          <w:i w:val="0"/>
          <w:iCs w:val="0"/>
          <w:color w:val="auto"/>
          <w:sz w:val="20"/>
          <w:szCs w:val="20"/>
        </w:rPr>
        <w:t>teatrach</w:t>
      </w:r>
      <w:r w:rsidR="00E66B89">
        <w:rPr>
          <w:rFonts w:ascii="Lato" w:hAnsi="Lato" w:cs="Times New Roman"/>
          <w:b w:val="0"/>
          <w:bCs w:val="0"/>
          <w:i w:val="0"/>
          <w:iCs w:val="0"/>
          <w:color w:val="auto"/>
          <w:sz w:val="20"/>
          <w:szCs w:val="20"/>
        </w:rPr>
        <w:t xml:space="preserve"> i </w:t>
      </w:r>
      <w:r w:rsidRPr="00326A4E">
        <w:rPr>
          <w:rFonts w:ascii="Lato" w:hAnsi="Lato" w:cs="Times New Roman"/>
          <w:b w:val="0"/>
          <w:bCs w:val="0"/>
          <w:i w:val="0"/>
          <w:iCs w:val="0"/>
          <w:color w:val="auto"/>
          <w:sz w:val="20"/>
          <w:szCs w:val="20"/>
        </w:rPr>
        <w:t>instytucjach kultury.</w:t>
      </w:r>
    </w:p>
    <w:p w14:paraId="35B03673" w14:textId="77777777" w:rsidR="006F4D8F" w:rsidRDefault="006F4D8F" w:rsidP="006E34DC">
      <w:pPr>
        <w:pStyle w:val="Legenda"/>
        <w:spacing w:after="0"/>
      </w:pPr>
      <w:bookmarkStart w:id="118" w:name="_Toc5311883"/>
      <w:r>
        <w:lastRenderedPageBreak/>
        <w:t xml:space="preserve">Wykres </w:t>
      </w:r>
      <w:r>
        <w:fldChar w:fldCharType="begin"/>
      </w:r>
      <w:r>
        <w:instrText xml:space="preserve"> SEQ Wykres \* ARABIC </w:instrText>
      </w:r>
      <w:r>
        <w:fldChar w:fldCharType="separate"/>
      </w:r>
      <w:r w:rsidR="00763345">
        <w:rPr>
          <w:noProof/>
        </w:rPr>
        <w:t>17</w:t>
      </w:r>
      <w:r>
        <w:fldChar w:fldCharType="end"/>
      </w:r>
      <w:r>
        <w:t xml:space="preserve"> </w:t>
      </w:r>
      <w:r w:rsidRPr="009341F3">
        <w:t>Liczba ludności na 1 miejsce</w:t>
      </w:r>
      <w:r w:rsidR="00E66B89">
        <w:t xml:space="preserve"> w </w:t>
      </w:r>
      <w:r w:rsidRPr="009341F3">
        <w:t>kinach oraz teatrach</w:t>
      </w:r>
      <w:r w:rsidR="00E66B89">
        <w:t xml:space="preserve"> i </w:t>
      </w:r>
      <w:r w:rsidRPr="009341F3">
        <w:t>instytucjach muzycznych</w:t>
      </w:r>
      <w:r w:rsidR="00E66B89">
        <w:t xml:space="preserve"> w </w:t>
      </w:r>
      <w:r>
        <w:t>województwie zachodniopomorskim</w:t>
      </w:r>
      <w:r w:rsidR="00E66B89">
        <w:t xml:space="preserve"> i w </w:t>
      </w:r>
      <w:r>
        <w:t>Polsce.</w:t>
      </w:r>
      <w:bookmarkEnd w:id="118"/>
    </w:p>
    <w:p w14:paraId="4425B963" w14:textId="54A5A59C" w:rsidR="006F4D8F" w:rsidRPr="00CE549A" w:rsidRDefault="00C35619" w:rsidP="00F10E7C">
      <w:pPr>
        <w:pStyle w:val="Legenda"/>
        <w:spacing w:before="0" w:after="0"/>
        <w:rPr>
          <w:i w:val="0"/>
          <w:iCs/>
          <w:color w:val="0073B7"/>
        </w:rPr>
      </w:pPr>
      <w:r w:rsidRPr="00D508B6">
        <w:rPr>
          <w:noProof/>
          <w:lang w:val="pl-PL" w:eastAsia="pl-PL"/>
        </w:rPr>
        <w:drawing>
          <wp:inline distT="0" distB="0" distL="0" distR="0" wp14:anchorId="76A6038E" wp14:editId="6383DC41">
            <wp:extent cx="5770880" cy="2570480"/>
            <wp:effectExtent l="0" t="0" r="1270" b="1270"/>
            <wp:docPr id="40"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45DC1C" w14:textId="77777777" w:rsidR="006F4D8F" w:rsidRPr="002A5FDF" w:rsidRDefault="006F4D8F" w:rsidP="005076BF">
      <w:pPr>
        <w:spacing w:before="0"/>
        <w:rPr>
          <w:i/>
          <w:sz w:val="18"/>
          <w:szCs w:val="20"/>
        </w:rPr>
      </w:pPr>
      <w:r w:rsidRPr="002A5FDF">
        <w:rPr>
          <w:i/>
          <w:sz w:val="18"/>
          <w:szCs w:val="20"/>
        </w:rPr>
        <w:t>Źródło: Opracowanie własne na podstawie Banku Danych Lokalnych GUS.</w:t>
      </w:r>
    </w:p>
    <w:p w14:paraId="711A1382" w14:textId="77777777" w:rsidR="006F4D8F" w:rsidRDefault="006F4D8F" w:rsidP="006F4D8F">
      <w:pPr>
        <w:pStyle w:val="UPStopkawykresutabeli"/>
        <w:rPr>
          <w:rFonts w:ascii="Lato" w:hAnsi="Lato" w:cs="Times New Roman"/>
          <w:i w:val="0"/>
          <w:iCs w:val="0"/>
          <w:sz w:val="20"/>
          <w:szCs w:val="20"/>
        </w:rPr>
      </w:pPr>
      <w:r>
        <w:rPr>
          <w:rFonts w:ascii="Lato" w:hAnsi="Lato" w:cs="Times New Roman"/>
          <w:i w:val="0"/>
          <w:iCs w:val="0"/>
          <w:sz w:val="20"/>
          <w:szCs w:val="20"/>
        </w:rPr>
        <w:t>Wg statystyk</w:t>
      </w:r>
      <w:r w:rsidRPr="00CE549A">
        <w:rPr>
          <w:rFonts w:ascii="Lato" w:hAnsi="Lato" w:cs="Times New Roman"/>
          <w:i w:val="0"/>
          <w:iCs w:val="0"/>
          <w:sz w:val="20"/>
          <w:szCs w:val="20"/>
        </w:rPr>
        <w:t xml:space="preserve"> GUS, między rokiem 2007</w:t>
      </w:r>
      <w:r w:rsidR="00E66B89">
        <w:rPr>
          <w:rFonts w:ascii="Lato" w:hAnsi="Lato" w:cs="Times New Roman"/>
          <w:i w:val="0"/>
          <w:iCs w:val="0"/>
          <w:sz w:val="20"/>
          <w:szCs w:val="20"/>
        </w:rPr>
        <w:t xml:space="preserve"> a </w:t>
      </w:r>
      <w:r w:rsidRPr="00CE549A">
        <w:rPr>
          <w:rFonts w:ascii="Lato" w:hAnsi="Lato" w:cs="Times New Roman"/>
          <w:i w:val="0"/>
          <w:iCs w:val="0"/>
          <w:sz w:val="20"/>
          <w:szCs w:val="20"/>
        </w:rPr>
        <w:t>2017,</w:t>
      </w:r>
      <w:r w:rsidR="00E66B89">
        <w:rPr>
          <w:rFonts w:ascii="Lato" w:hAnsi="Lato" w:cs="Times New Roman"/>
          <w:i w:val="0"/>
          <w:iCs w:val="0"/>
          <w:sz w:val="20"/>
          <w:szCs w:val="20"/>
        </w:rPr>
        <w:t xml:space="preserve"> w </w:t>
      </w:r>
      <w:r w:rsidRPr="00CE549A">
        <w:rPr>
          <w:rFonts w:ascii="Lato" w:hAnsi="Lato" w:cs="Times New Roman"/>
          <w:i w:val="0"/>
          <w:iCs w:val="0"/>
          <w:sz w:val="20"/>
          <w:szCs w:val="20"/>
        </w:rPr>
        <w:t>województwie zachodniopomorskim zmalała liczba bibliotek</w:t>
      </w:r>
      <w:r w:rsidR="00E66B89">
        <w:rPr>
          <w:rFonts w:ascii="Lato" w:hAnsi="Lato" w:cs="Times New Roman"/>
          <w:i w:val="0"/>
          <w:iCs w:val="0"/>
          <w:sz w:val="20"/>
          <w:szCs w:val="20"/>
        </w:rPr>
        <w:t xml:space="preserve"> z </w:t>
      </w:r>
      <w:r w:rsidRPr="00326A4E">
        <w:rPr>
          <w:rFonts w:ascii="Lato" w:hAnsi="Lato" w:cs="Times New Roman"/>
          <w:i w:val="0"/>
          <w:iCs w:val="0"/>
          <w:sz w:val="20"/>
          <w:szCs w:val="20"/>
        </w:rPr>
        <w:t>374</w:t>
      </w:r>
      <w:r w:rsidRPr="00CE549A">
        <w:rPr>
          <w:rFonts w:ascii="Lato" w:hAnsi="Lato" w:cs="Times New Roman"/>
          <w:i w:val="0"/>
          <w:iCs w:val="0"/>
          <w:sz w:val="20"/>
          <w:szCs w:val="20"/>
        </w:rPr>
        <w:t xml:space="preserve"> do 361, czyli</w:t>
      </w:r>
      <w:r w:rsidR="00E66B89">
        <w:rPr>
          <w:rFonts w:ascii="Lato" w:hAnsi="Lato" w:cs="Times New Roman"/>
          <w:i w:val="0"/>
          <w:iCs w:val="0"/>
          <w:sz w:val="20"/>
          <w:szCs w:val="20"/>
        </w:rPr>
        <w:t xml:space="preserve"> o </w:t>
      </w:r>
      <w:r w:rsidRPr="00CE549A">
        <w:rPr>
          <w:rFonts w:ascii="Lato" w:hAnsi="Lato" w:cs="Times New Roman"/>
          <w:i w:val="0"/>
          <w:iCs w:val="0"/>
          <w:sz w:val="20"/>
          <w:szCs w:val="20"/>
        </w:rPr>
        <w:t xml:space="preserve">ok. </w:t>
      </w:r>
      <w:r>
        <w:rPr>
          <w:rFonts w:ascii="Lato" w:hAnsi="Lato" w:cs="Times New Roman"/>
          <w:i w:val="0"/>
          <w:iCs w:val="0"/>
          <w:sz w:val="20"/>
          <w:szCs w:val="20"/>
        </w:rPr>
        <w:t>3,</w:t>
      </w:r>
      <w:r w:rsidRPr="00CE549A">
        <w:rPr>
          <w:rFonts w:ascii="Lato" w:hAnsi="Lato" w:cs="Times New Roman"/>
          <w:i w:val="0"/>
          <w:iCs w:val="0"/>
          <w:sz w:val="20"/>
          <w:szCs w:val="20"/>
        </w:rPr>
        <w:t xml:space="preserve">5%. </w:t>
      </w:r>
    </w:p>
    <w:p w14:paraId="106B4D74" w14:textId="77777777" w:rsidR="006F4D8F" w:rsidRPr="00BC34E4" w:rsidRDefault="006F4D8F" w:rsidP="00C22C26">
      <w:pPr>
        <w:pStyle w:val="UPStopkawykresutabeli"/>
        <w:rPr>
          <w:szCs w:val="20"/>
        </w:rPr>
      </w:pPr>
      <w:r w:rsidRPr="00C22C26">
        <w:rPr>
          <w:rFonts w:ascii="Lato" w:hAnsi="Lato" w:cs="Times New Roman"/>
          <w:i w:val="0"/>
          <w:iCs w:val="0"/>
          <w:sz w:val="20"/>
          <w:szCs w:val="20"/>
        </w:rPr>
        <w:t>Ostatnim analizowanym wskaźnikiem</w:t>
      </w:r>
      <w:r w:rsidR="00E66B89">
        <w:rPr>
          <w:rFonts w:ascii="Lato" w:hAnsi="Lato" w:cs="Times New Roman"/>
          <w:i w:val="0"/>
          <w:iCs w:val="0"/>
          <w:sz w:val="20"/>
          <w:szCs w:val="20"/>
        </w:rPr>
        <w:t xml:space="preserve"> w </w:t>
      </w:r>
      <w:r w:rsidRPr="00C22C26">
        <w:rPr>
          <w:rFonts w:ascii="Lato" w:hAnsi="Lato" w:cs="Times New Roman"/>
          <w:i w:val="0"/>
          <w:iCs w:val="0"/>
          <w:sz w:val="20"/>
          <w:szCs w:val="20"/>
        </w:rPr>
        <w:t>tym obszarze może być miernik dotyczący przeciętnych miesięcznych wydatków na kulturę</w:t>
      </w:r>
      <w:r w:rsidR="00E66B89">
        <w:rPr>
          <w:rFonts w:ascii="Lato" w:hAnsi="Lato" w:cs="Times New Roman"/>
          <w:i w:val="0"/>
          <w:iCs w:val="0"/>
          <w:sz w:val="20"/>
          <w:szCs w:val="20"/>
        </w:rPr>
        <w:t xml:space="preserve"> i </w:t>
      </w:r>
      <w:r w:rsidRPr="00C22C26">
        <w:rPr>
          <w:rFonts w:ascii="Lato" w:hAnsi="Lato" w:cs="Times New Roman"/>
          <w:i w:val="0"/>
          <w:iCs w:val="0"/>
          <w:sz w:val="20"/>
          <w:szCs w:val="20"/>
        </w:rPr>
        <w:t>rekreację na 1 osobę</w:t>
      </w:r>
      <w:r w:rsidR="00E66B89">
        <w:rPr>
          <w:rFonts w:ascii="Lato" w:hAnsi="Lato" w:cs="Times New Roman"/>
          <w:i w:val="0"/>
          <w:iCs w:val="0"/>
          <w:sz w:val="20"/>
          <w:szCs w:val="20"/>
        </w:rPr>
        <w:t xml:space="preserve"> w </w:t>
      </w:r>
      <w:r w:rsidRPr="00C22C26">
        <w:rPr>
          <w:rFonts w:ascii="Lato" w:hAnsi="Lato" w:cs="Times New Roman"/>
          <w:i w:val="0"/>
          <w:iCs w:val="0"/>
          <w:sz w:val="20"/>
          <w:szCs w:val="20"/>
        </w:rPr>
        <w:t>gospodarstwie domowym. By lepiej pokazać zróżnicowania międzyregionalne, zdecydowano się</w:t>
      </w:r>
      <w:r w:rsidR="00E66B89">
        <w:rPr>
          <w:rFonts w:ascii="Lato" w:hAnsi="Lato" w:cs="Times New Roman"/>
          <w:i w:val="0"/>
          <w:iCs w:val="0"/>
          <w:sz w:val="20"/>
          <w:szCs w:val="20"/>
        </w:rPr>
        <w:t xml:space="preserve"> w </w:t>
      </w:r>
      <w:r w:rsidRPr="00C22C26">
        <w:rPr>
          <w:rFonts w:ascii="Lato" w:hAnsi="Lato" w:cs="Times New Roman"/>
          <w:i w:val="0"/>
          <w:iCs w:val="0"/>
          <w:sz w:val="20"/>
          <w:szCs w:val="20"/>
        </w:rPr>
        <w:t>tym przypadku przedstawić dane dla wszystkich województw. Zachodniopomorskie zajmowało</w:t>
      </w:r>
      <w:r w:rsidR="00E66B89">
        <w:rPr>
          <w:rFonts w:ascii="Lato" w:hAnsi="Lato" w:cs="Times New Roman"/>
          <w:i w:val="0"/>
          <w:iCs w:val="0"/>
          <w:sz w:val="20"/>
          <w:szCs w:val="20"/>
        </w:rPr>
        <w:t xml:space="preserve"> w </w:t>
      </w:r>
      <w:r w:rsidRPr="00C22C26">
        <w:rPr>
          <w:rFonts w:ascii="Lato" w:hAnsi="Lato" w:cs="Times New Roman"/>
          <w:i w:val="0"/>
          <w:iCs w:val="0"/>
          <w:sz w:val="20"/>
          <w:szCs w:val="20"/>
        </w:rPr>
        <w:t>2017 roku 6</w:t>
      </w:r>
      <w:r>
        <w:rPr>
          <w:rFonts w:ascii="Lato" w:hAnsi="Lato" w:cs="Times New Roman"/>
          <w:i w:val="0"/>
          <w:iCs w:val="0"/>
          <w:sz w:val="20"/>
          <w:szCs w:val="20"/>
        </w:rPr>
        <w:t>.</w:t>
      </w:r>
      <w:r w:rsidRPr="00C22C26">
        <w:rPr>
          <w:rFonts w:ascii="Lato" w:hAnsi="Lato" w:cs="Times New Roman"/>
          <w:i w:val="0"/>
          <w:iCs w:val="0"/>
          <w:sz w:val="20"/>
          <w:szCs w:val="20"/>
        </w:rPr>
        <w:t xml:space="preserve"> pozycję</w:t>
      </w:r>
      <w:r w:rsidR="00E66B89">
        <w:rPr>
          <w:rFonts w:ascii="Lato" w:hAnsi="Lato" w:cs="Times New Roman"/>
          <w:i w:val="0"/>
          <w:iCs w:val="0"/>
          <w:sz w:val="20"/>
          <w:szCs w:val="20"/>
        </w:rPr>
        <w:t xml:space="preserve"> w </w:t>
      </w:r>
      <w:r w:rsidRPr="00C22C26">
        <w:rPr>
          <w:rFonts w:ascii="Lato" w:hAnsi="Lato" w:cs="Times New Roman"/>
          <w:i w:val="0"/>
          <w:iCs w:val="0"/>
          <w:sz w:val="20"/>
          <w:szCs w:val="20"/>
        </w:rPr>
        <w:t>kraju (81,</w:t>
      </w:r>
      <w:r w:rsidR="00895601">
        <w:rPr>
          <w:rFonts w:ascii="Lato" w:hAnsi="Lato" w:cs="Times New Roman"/>
          <w:i w:val="0"/>
          <w:iCs w:val="0"/>
          <w:sz w:val="20"/>
          <w:szCs w:val="20"/>
        </w:rPr>
        <w:t xml:space="preserve">9 </w:t>
      </w:r>
      <w:r w:rsidRPr="00C22C26">
        <w:rPr>
          <w:rFonts w:ascii="Lato" w:hAnsi="Lato" w:cs="Times New Roman"/>
          <w:i w:val="0"/>
          <w:iCs w:val="0"/>
          <w:sz w:val="20"/>
          <w:szCs w:val="20"/>
        </w:rPr>
        <w:t xml:space="preserve">zł). </w:t>
      </w:r>
    </w:p>
    <w:p w14:paraId="7F870BEA" w14:textId="77777777" w:rsidR="006F4D8F" w:rsidRDefault="006F4D8F" w:rsidP="00F10E7C">
      <w:pPr>
        <w:pStyle w:val="Legenda"/>
        <w:spacing w:after="0"/>
      </w:pPr>
      <w:bookmarkStart w:id="119" w:name="_Toc8824164"/>
      <w:r>
        <w:t xml:space="preserve">Tabela </w:t>
      </w:r>
      <w:r>
        <w:fldChar w:fldCharType="begin"/>
      </w:r>
      <w:r>
        <w:instrText xml:space="preserve"> SEQ Tabela \* ARABIC </w:instrText>
      </w:r>
      <w:r>
        <w:fldChar w:fldCharType="separate"/>
      </w:r>
      <w:r w:rsidR="00763345">
        <w:rPr>
          <w:noProof/>
        </w:rPr>
        <w:t>53</w:t>
      </w:r>
      <w:r>
        <w:fldChar w:fldCharType="end"/>
      </w:r>
      <w:r>
        <w:t xml:space="preserve"> </w:t>
      </w:r>
      <w:r w:rsidRPr="00AF7664">
        <w:t>Przeciętne miesięczne wydatki na kulturę</w:t>
      </w:r>
      <w:r w:rsidR="00E66B89">
        <w:t xml:space="preserve"> i </w:t>
      </w:r>
      <w:r w:rsidRPr="00AF7664">
        <w:t>rekreację na 1 osobę</w:t>
      </w:r>
      <w:r w:rsidR="00E66B89">
        <w:t xml:space="preserve"> w </w:t>
      </w:r>
      <w:r w:rsidRPr="00AF7664">
        <w:t>gospodarstwie domowym [zł]</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567"/>
        <w:gridCol w:w="567"/>
        <w:gridCol w:w="629"/>
        <w:gridCol w:w="575"/>
        <w:gridCol w:w="575"/>
        <w:gridCol w:w="575"/>
        <w:gridCol w:w="575"/>
        <w:gridCol w:w="575"/>
        <w:gridCol w:w="575"/>
        <w:gridCol w:w="575"/>
        <w:gridCol w:w="575"/>
        <w:gridCol w:w="575"/>
        <w:gridCol w:w="569"/>
      </w:tblGrid>
      <w:tr w:rsidR="006F4D8F" w:rsidRPr="003850AB" w14:paraId="05F71D10" w14:textId="77777777" w:rsidTr="005F04FC">
        <w:trPr>
          <w:trHeight w:val="435"/>
          <w:tblHeader/>
        </w:trPr>
        <w:tc>
          <w:tcPr>
            <w:tcW w:w="858" w:type="pct"/>
            <w:shd w:val="clear" w:color="auto" w:fill="DBE5F1"/>
            <w:vAlign w:val="center"/>
            <w:hideMark/>
          </w:tcPr>
          <w:p w14:paraId="7AE119B9" w14:textId="77777777" w:rsidR="006F4D8F" w:rsidRPr="003850AB" w:rsidRDefault="006F4D8F" w:rsidP="006F4D8F">
            <w:pPr>
              <w:spacing w:before="0" w:after="0" w:line="240" w:lineRule="auto"/>
              <w:jc w:val="left"/>
              <w:rPr>
                <w:sz w:val="18"/>
                <w:szCs w:val="18"/>
              </w:rPr>
            </w:pPr>
          </w:p>
        </w:tc>
        <w:tc>
          <w:tcPr>
            <w:tcW w:w="313" w:type="pct"/>
            <w:shd w:val="clear" w:color="auto" w:fill="DBE5F1"/>
            <w:vAlign w:val="center"/>
            <w:hideMark/>
          </w:tcPr>
          <w:p w14:paraId="28A4C904"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2005</w:t>
            </w:r>
          </w:p>
        </w:tc>
        <w:tc>
          <w:tcPr>
            <w:tcW w:w="313" w:type="pct"/>
            <w:shd w:val="clear" w:color="auto" w:fill="DBE5F1"/>
            <w:vAlign w:val="center"/>
            <w:hideMark/>
          </w:tcPr>
          <w:p w14:paraId="54C06D34"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2006</w:t>
            </w:r>
          </w:p>
        </w:tc>
        <w:tc>
          <w:tcPr>
            <w:tcW w:w="347" w:type="pct"/>
            <w:shd w:val="clear" w:color="auto" w:fill="DBE5F1"/>
            <w:vAlign w:val="center"/>
            <w:hideMark/>
          </w:tcPr>
          <w:p w14:paraId="752A3A0E"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2007</w:t>
            </w:r>
          </w:p>
        </w:tc>
        <w:tc>
          <w:tcPr>
            <w:tcW w:w="317" w:type="pct"/>
            <w:shd w:val="clear" w:color="auto" w:fill="DBE5F1"/>
            <w:vAlign w:val="center"/>
            <w:hideMark/>
          </w:tcPr>
          <w:p w14:paraId="700226F1"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2008</w:t>
            </w:r>
          </w:p>
        </w:tc>
        <w:tc>
          <w:tcPr>
            <w:tcW w:w="317" w:type="pct"/>
            <w:shd w:val="clear" w:color="auto" w:fill="DBE5F1"/>
            <w:vAlign w:val="center"/>
            <w:hideMark/>
          </w:tcPr>
          <w:p w14:paraId="1D9CCF22"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2009</w:t>
            </w:r>
          </w:p>
        </w:tc>
        <w:tc>
          <w:tcPr>
            <w:tcW w:w="317" w:type="pct"/>
            <w:shd w:val="clear" w:color="auto" w:fill="DBE5F1"/>
            <w:vAlign w:val="center"/>
            <w:hideMark/>
          </w:tcPr>
          <w:p w14:paraId="23C30E44"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2010</w:t>
            </w:r>
          </w:p>
        </w:tc>
        <w:tc>
          <w:tcPr>
            <w:tcW w:w="317" w:type="pct"/>
            <w:shd w:val="clear" w:color="auto" w:fill="DBE5F1"/>
            <w:vAlign w:val="center"/>
            <w:hideMark/>
          </w:tcPr>
          <w:p w14:paraId="0D07020D"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2011</w:t>
            </w:r>
          </w:p>
        </w:tc>
        <w:tc>
          <w:tcPr>
            <w:tcW w:w="317" w:type="pct"/>
            <w:shd w:val="clear" w:color="auto" w:fill="DBE5F1"/>
            <w:vAlign w:val="center"/>
            <w:hideMark/>
          </w:tcPr>
          <w:p w14:paraId="60E65ACD"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2012</w:t>
            </w:r>
          </w:p>
        </w:tc>
        <w:tc>
          <w:tcPr>
            <w:tcW w:w="317" w:type="pct"/>
            <w:shd w:val="clear" w:color="auto" w:fill="DBE5F1"/>
            <w:vAlign w:val="center"/>
            <w:hideMark/>
          </w:tcPr>
          <w:p w14:paraId="00365F84"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2013</w:t>
            </w:r>
          </w:p>
        </w:tc>
        <w:tc>
          <w:tcPr>
            <w:tcW w:w="317" w:type="pct"/>
            <w:shd w:val="clear" w:color="auto" w:fill="DBE5F1"/>
            <w:vAlign w:val="center"/>
            <w:hideMark/>
          </w:tcPr>
          <w:p w14:paraId="40FAF3CA"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2014</w:t>
            </w:r>
          </w:p>
        </w:tc>
        <w:tc>
          <w:tcPr>
            <w:tcW w:w="317" w:type="pct"/>
            <w:shd w:val="clear" w:color="auto" w:fill="DBE5F1"/>
            <w:vAlign w:val="center"/>
            <w:hideMark/>
          </w:tcPr>
          <w:p w14:paraId="766765FF"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2015</w:t>
            </w:r>
          </w:p>
        </w:tc>
        <w:tc>
          <w:tcPr>
            <w:tcW w:w="317" w:type="pct"/>
            <w:shd w:val="clear" w:color="auto" w:fill="DBE5F1"/>
            <w:vAlign w:val="center"/>
            <w:hideMark/>
          </w:tcPr>
          <w:p w14:paraId="77C0D926"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2016</w:t>
            </w:r>
          </w:p>
        </w:tc>
        <w:tc>
          <w:tcPr>
            <w:tcW w:w="314" w:type="pct"/>
            <w:shd w:val="clear" w:color="auto" w:fill="DBE5F1"/>
            <w:vAlign w:val="center"/>
            <w:hideMark/>
          </w:tcPr>
          <w:p w14:paraId="3C578E33" w14:textId="77777777" w:rsidR="006F4D8F" w:rsidRPr="00C22C26" w:rsidRDefault="006F4D8F" w:rsidP="006F4D8F">
            <w:pPr>
              <w:spacing w:before="0" w:after="0" w:line="240" w:lineRule="auto"/>
              <w:jc w:val="center"/>
              <w:rPr>
                <w:rFonts w:cs="Calibri"/>
                <w:bCs/>
                <w:color w:val="000000"/>
                <w:sz w:val="18"/>
                <w:szCs w:val="18"/>
              </w:rPr>
            </w:pPr>
            <w:r w:rsidRPr="00C22C26">
              <w:rPr>
                <w:rFonts w:cs="Calibri"/>
                <w:bCs/>
                <w:color w:val="000000"/>
                <w:sz w:val="18"/>
                <w:szCs w:val="18"/>
              </w:rPr>
              <w:t>2017</w:t>
            </w:r>
          </w:p>
        </w:tc>
      </w:tr>
      <w:tr w:rsidR="006F4D8F" w:rsidRPr="006F4D8F" w14:paraId="48FE123E" w14:textId="77777777" w:rsidTr="00895601">
        <w:trPr>
          <w:trHeight w:val="300"/>
        </w:trPr>
        <w:tc>
          <w:tcPr>
            <w:tcW w:w="858" w:type="pct"/>
            <w:shd w:val="clear" w:color="auto" w:fill="auto"/>
            <w:vAlign w:val="center"/>
            <w:hideMark/>
          </w:tcPr>
          <w:p w14:paraId="74229CD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Polska</w:t>
            </w:r>
          </w:p>
        </w:tc>
        <w:tc>
          <w:tcPr>
            <w:tcW w:w="313" w:type="pct"/>
            <w:shd w:val="clear" w:color="000000" w:fill="FBA777"/>
            <w:vAlign w:val="center"/>
            <w:hideMark/>
          </w:tcPr>
          <w:p w14:paraId="6EE6EBF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47,3</w:t>
            </w:r>
          </w:p>
        </w:tc>
        <w:tc>
          <w:tcPr>
            <w:tcW w:w="313" w:type="pct"/>
            <w:shd w:val="clear" w:color="000000" w:fill="FCBD7B"/>
            <w:vAlign w:val="center"/>
            <w:hideMark/>
          </w:tcPr>
          <w:p w14:paraId="2BF8690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53,2</w:t>
            </w:r>
          </w:p>
        </w:tc>
        <w:tc>
          <w:tcPr>
            <w:tcW w:w="347" w:type="pct"/>
            <w:shd w:val="clear" w:color="000000" w:fill="FEDB81"/>
            <w:vAlign w:val="center"/>
            <w:hideMark/>
          </w:tcPr>
          <w:p w14:paraId="73E2383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61,5</w:t>
            </w:r>
          </w:p>
        </w:tc>
        <w:tc>
          <w:tcPr>
            <w:tcW w:w="317" w:type="pct"/>
            <w:shd w:val="clear" w:color="000000" w:fill="F0E784"/>
            <w:vAlign w:val="center"/>
            <w:hideMark/>
          </w:tcPr>
          <w:p w14:paraId="489272F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71,9</w:t>
            </w:r>
          </w:p>
        </w:tc>
        <w:tc>
          <w:tcPr>
            <w:tcW w:w="317" w:type="pct"/>
            <w:shd w:val="clear" w:color="000000" w:fill="E5E483"/>
            <w:vAlign w:val="center"/>
            <w:hideMark/>
          </w:tcPr>
          <w:p w14:paraId="3550317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76,4</w:t>
            </w:r>
          </w:p>
        </w:tc>
        <w:tc>
          <w:tcPr>
            <w:tcW w:w="317" w:type="pct"/>
            <w:shd w:val="clear" w:color="000000" w:fill="DCE182"/>
            <w:vAlign w:val="center"/>
            <w:hideMark/>
          </w:tcPr>
          <w:p w14:paraId="60855DC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79,8</w:t>
            </w:r>
          </w:p>
        </w:tc>
        <w:tc>
          <w:tcPr>
            <w:tcW w:w="317" w:type="pct"/>
            <w:shd w:val="clear" w:color="000000" w:fill="D7E082"/>
            <w:vAlign w:val="center"/>
            <w:hideMark/>
          </w:tcPr>
          <w:p w14:paraId="776B1E5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81,8</w:t>
            </w:r>
          </w:p>
        </w:tc>
        <w:tc>
          <w:tcPr>
            <w:tcW w:w="317" w:type="pct"/>
            <w:shd w:val="clear" w:color="000000" w:fill="CEDD82"/>
            <w:vAlign w:val="center"/>
            <w:hideMark/>
          </w:tcPr>
          <w:p w14:paraId="6378C0C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85,6</w:t>
            </w:r>
          </w:p>
        </w:tc>
        <w:tc>
          <w:tcPr>
            <w:tcW w:w="317" w:type="pct"/>
            <w:shd w:val="clear" w:color="000000" w:fill="F7E984"/>
            <w:vAlign w:val="center"/>
            <w:hideMark/>
          </w:tcPr>
          <w:p w14:paraId="2A88A12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69,2</w:t>
            </w:r>
          </w:p>
        </w:tc>
        <w:tc>
          <w:tcPr>
            <w:tcW w:w="317" w:type="pct"/>
            <w:shd w:val="clear" w:color="000000" w:fill="F5E884"/>
            <w:vAlign w:val="center"/>
            <w:hideMark/>
          </w:tcPr>
          <w:p w14:paraId="569C4A7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70,1</w:t>
            </w:r>
          </w:p>
        </w:tc>
        <w:tc>
          <w:tcPr>
            <w:tcW w:w="317" w:type="pct"/>
            <w:shd w:val="clear" w:color="000000" w:fill="ECE683"/>
            <w:vAlign w:val="center"/>
            <w:hideMark/>
          </w:tcPr>
          <w:p w14:paraId="44E1682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73,5</w:t>
            </w:r>
          </w:p>
        </w:tc>
        <w:tc>
          <w:tcPr>
            <w:tcW w:w="317" w:type="pct"/>
            <w:shd w:val="clear" w:color="000000" w:fill="E1E383"/>
            <w:vAlign w:val="center"/>
            <w:hideMark/>
          </w:tcPr>
          <w:p w14:paraId="1665B7D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78,1</w:t>
            </w:r>
          </w:p>
        </w:tc>
        <w:tc>
          <w:tcPr>
            <w:tcW w:w="314" w:type="pct"/>
            <w:shd w:val="clear" w:color="000000" w:fill="D8E082"/>
            <w:vAlign w:val="center"/>
            <w:hideMark/>
          </w:tcPr>
          <w:p w14:paraId="5749E5B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81,7</w:t>
            </w:r>
          </w:p>
        </w:tc>
      </w:tr>
      <w:tr w:rsidR="006F4D8F" w:rsidRPr="006F4D8F" w14:paraId="4557A2D0" w14:textId="77777777" w:rsidTr="00895601">
        <w:trPr>
          <w:trHeight w:val="300"/>
        </w:trPr>
        <w:tc>
          <w:tcPr>
            <w:tcW w:w="858" w:type="pct"/>
            <w:shd w:val="clear" w:color="auto" w:fill="auto"/>
            <w:vAlign w:val="center"/>
            <w:hideMark/>
          </w:tcPr>
          <w:p w14:paraId="560EA4E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Mazowieckie</w:t>
            </w:r>
          </w:p>
        </w:tc>
        <w:tc>
          <w:tcPr>
            <w:tcW w:w="313" w:type="pct"/>
            <w:shd w:val="clear" w:color="000000" w:fill="FCEB84"/>
            <w:vAlign w:val="center"/>
            <w:hideMark/>
          </w:tcPr>
          <w:p w14:paraId="0AD9C7C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67,0</w:t>
            </w:r>
          </w:p>
        </w:tc>
        <w:tc>
          <w:tcPr>
            <w:tcW w:w="313" w:type="pct"/>
            <w:shd w:val="clear" w:color="000000" w:fill="E1E383"/>
            <w:vAlign w:val="center"/>
            <w:hideMark/>
          </w:tcPr>
          <w:p w14:paraId="5FD0FEA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77,9</w:t>
            </w:r>
          </w:p>
        </w:tc>
        <w:tc>
          <w:tcPr>
            <w:tcW w:w="347" w:type="pct"/>
            <w:shd w:val="clear" w:color="000000" w:fill="C8DB81"/>
            <w:vAlign w:val="center"/>
            <w:hideMark/>
          </w:tcPr>
          <w:p w14:paraId="6FC6D1D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88,0</w:t>
            </w:r>
          </w:p>
        </w:tc>
        <w:tc>
          <w:tcPr>
            <w:tcW w:w="317" w:type="pct"/>
            <w:shd w:val="clear" w:color="000000" w:fill="95CD7E"/>
            <w:vAlign w:val="center"/>
            <w:hideMark/>
          </w:tcPr>
          <w:p w14:paraId="396E132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108,2</w:t>
            </w:r>
          </w:p>
        </w:tc>
        <w:tc>
          <w:tcPr>
            <w:tcW w:w="317" w:type="pct"/>
            <w:shd w:val="clear" w:color="000000" w:fill="8BCA7E"/>
            <w:vAlign w:val="center"/>
            <w:hideMark/>
          </w:tcPr>
          <w:p w14:paraId="4EE0BEF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112,5</w:t>
            </w:r>
          </w:p>
        </w:tc>
        <w:tc>
          <w:tcPr>
            <w:tcW w:w="317" w:type="pct"/>
            <w:shd w:val="clear" w:color="000000" w:fill="6EC27C"/>
            <w:vAlign w:val="center"/>
            <w:hideMark/>
          </w:tcPr>
          <w:p w14:paraId="1F0AEBB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123,8</w:t>
            </w:r>
          </w:p>
        </w:tc>
        <w:tc>
          <w:tcPr>
            <w:tcW w:w="317" w:type="pct"/>
            <w:shd w:val="clear" w:color="000000" w:fill="70C27C"/>
            <w:vAlign w:val="center"/>
            <w:hideMark/>
          </w:tcPr>
          <w:p w14:paraId="01027B9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123,2</w:t>
            </w:r>
          </w:p>
        </w:tc>
        <w:tc>
          <w:tcPr>
            <w:tcW w:w="317" w:type="pct"/>
            <w:shd w:val="clear" w:color="000000" w:fill="63BE7B"/>
            <w:vAlign w:val="center"/>
            <w:hideMark/>
          </w:tcPr>
          <w:p w14:paraId="574D1A9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128,2</w:t>
            </w:r>
          </w:p>
        </w:tc>
        <w:tc>
          <w:tcPr>
            <w:tcW w:w="317" w:type="pct"/>
            <w:shd w:val="clear" w:color="000000" w:fill="9CCF7F"/>
            <w:vAlign w:val="center"/>
            <w:hideMark/>
          </w:tcPr>
          <w:p w14:paraId="4401E38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105,7</w:t>
            </w:r>
          </w:p>
        </w:tc>
        <w:tc>
          <w:tcPr>
            <w:tcW w:w="317" w:type="pct"/>
            <w:shd w:val="clear" w:color="000000" w:fill="A2D07F"/>
            <w:vAlign w:val="center"/>
            <w:hideMark/>
          </w:tcPr>
          <w:p w14:paraId="1783959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103,3</w:t>
            </w:r>
          </w:p>
        </w:tc>
        <w:tc>
          <w:tcPr>
            <w:tcW w:w="317" w:type="pct"/>
            <w:shd w:val="clear" w:color="000000" w:fill="84C87D"/>
            <w:vAlign w:val="center"/>
            <w:hideMark/>
          </w:tcPr>
          <w:p w14:paraId="2E0E242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115,2</w:t>
            </w:r>
          </w:p>
        </w:tc>
        <w:tc>
          <w:tcPr>
            <w:tcW w:w="317" w:type="pct"/>
            <w:shd w:val="clear" w:color="000000" w:fill="89C97E"/>
            <w:vAlign w:val="center"/>
            <w:hideMark/>
          </w:tcPr>
          <w:p w14:paraId="6F8EFB9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113,2</w:t>
            </w:r>
          </w:p>
        </w:tc>
        <w:tc>
          <w:tcPr>
            <w:tcW w:w="314" w:type="pct"/>
            <w:shd w:val="clear" w:color="000000" w:fill="75C47D"/>
            <w:vAlign w:val="center"/>
            <w:hideMark/>
          </w:tcPr>
          <w:p w14:paraId="5B57760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121,2</w:t>
            </w:r>
          </w:p>
        </w:tc>
      </w:tr>
      <w:tr w:rsidR="006F4D8F" w:rsidRPr="006F4D8F" w14:paraId="0EAFFAC0" w14:textId="77777777" w:rsidTr="00895601">
        <w:trPr>
          <w:trHeight w:val="300"/>
        </w:trPr>
        <w:tc>
          <w:tcPr>
            <w:tcW w:w="858" w:type="pct"/>
            <w:shd w:val="clear" w:color="auto" w:fill="auto"/>
            <w:vAlign w:val="center"/>
            <w:hideMark/>
          </w:tcPr>
          <w:p w14:paraId="4E0DEF3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Śląskie</w:t>
            </w:r>
          </w:p>
        </w:tc>
        <w:tc>
          <w:tcPr>
            <w:tcW w:w="313" w:type="pct"/>
            <w:shd w:val="clear" w:color="000000" w:fill="FBA776"/>
            <w:vAlign w:val="center"/>
            <w:hideMark/>
          </w:tcPr>
          <w:p w14:paraId="079EC8C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47,2</w:t>
            </w:r>
          </w:p>
        </w:tc>
        <w:tc>
          <w:tcPr>
            <w:tcW w:w="313" w:type="pct"/>
            <w:shd w:val="clear" w:color="000000" w:fill="FCC47C"/>
            <w:vAlign w:val="center"/>
            <w:hideMark/>
          </w:tcPr>
          <w:p w14:paraId="718A46A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55,2</w:t>
            </w:r>
          </w:p>
        </w:tc>
        <w:tc>
          <w:tcPr>
            <w:tcW w:w="347" w:type="pct"/>
            <w:shd w:val="clear" w:color="000000" w:fill="FDD780"/>
            <w:vAlign w:val="center"/>
            <w:hideMark/>
          </w:tcPr>
          <w:p w14:paraId="60C62B6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60,4</w:t>
            </w:r>
          </w:p>
        </w:tc>
        <w:tc>
          <w:tcPr>
            <w:tcW w:w="317" w:type="pct"/>
            <w:shd w:val="clear" w:color="000000" w:fill="F2E884"/>
            <w:vAlign w:val="center"/>
            <w:hideMark/>
          </w:tcPr>
          <w:p w14:paraId="2D7BA5B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71,1</w:t>
            </w:r>
          </w:p>
        </w:tc>
        <w:tc>
          <w:tcPr>
            <w:tcW w:w="317" w:type="pct"/>
            <w:shd w:val="clear" w:color="000000" w:fill="DBE182"/>
            <w:vAlign w:val="center"/>
            <w:hideMark/>
          </w:tcPr>
          <w:p w14:paraId="7B91707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80,5</w:t>
            </w:r>
          </w:p>
        </w:tc>
        <w:tc>
          <w:tcPr>
            <w:tcW w:w="317" w:type="pct"/>
            <w:shd w:val="clear" w:color="000000" w:fill="D2DE82"/>
            <w:vAlign w:val="center"/>
            <w:hideMark/>
          </w:tcPr>
          <w:p w14:paraId="159553C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83,9</w:t>
            </w:r>
          </w:p>
        </w:tc>
        <w:tc>
          <w:tcPr>
            <w:tcW w:w="317" w:type="pct"/>
            <w:shd w:val="clear" w:color="000000" w:fill="CBDC81"/>
            <w:vAlign w:val="center"/>
            <w:hideMark/>
          </w:tcPr>
          <w:p w14:paraId="1CBC20E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86,8</w:t>
            </w:r>
          </w:p>
        </w:tc>
        <w:tc>
          <w:tcPr>
            <w:tcW w:w="317" w:type="pct"/>
            <w:shd w:val="clear" w:color="000000" w:fill="C1D981"/>
            <w:vAlign w:val="center"/>
            <w:hideMark/>
          </w:tcPr>
          <w:p w14:paraId="78474AC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91,0</w:t>
            </w:r>
          </w:p>
        </w:tc>
        <w:tc>
          <w:tcPr>
            <w:tcW w:w="317" w:type="pct"/>
            <w:shd w:val="clear" w:color="000000" w:fill="EFE784"/>
            <w:vAlign w:val="center"/>
            <w:hideMark/>
          </w:tcPr>
          <w:p w14:paraId="620CC71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72,4</w:t>
            </w:r>
          </w:p>
        </w:tc>
        <w:tc>
          <w:tcPr>
            <w:tcW w:w="317" w:type="pct"/>
            <w:shd w:val="clear" w:color="000000" w:fill="E2E383"/>
            <w:vAlign w:val="center"/>
            <w:hideMark/>
          </w:tcPr>
          <w:p w14:paraId="1F3E1DD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77,8</w:t>
            </w:r>
          </w:p>
        </w:tc>
        <w:tc>
          <w:tcPr>
            <w:tcW w:w="317" w:type="pct"/>
            <w:shd w:val="clear" w:color="000000" w:fill="DCE182"/>
            <w:vAlign w:val="center"/>
            <w:hideMark/>
          </w:tcPr>
          <w:p w14:paraId="2D0A7C5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80,2</w:t>
            </w:r>
          </w:p>
        </w:tc>
        <w:tc>
          <w:tcPr>
            <w:tcW w:w="317" w:type="pct"/>
            <w:shd w:val="clear" w:color="000000" w:fill="BAD881"/>
            <w:vAlign w:val="center"/>
            <w:hideMark/>
          </w:tcPr>
          <w:p w14:paraId="0651164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93,5</w:t>
            </w:r>
          </w:p>
        </w:tc>
        <w:tc>
          <w:tcPr>
            <w:tcW w:w="314" w:type="pct"/>
            <w:shd w:val="clear" w:color="000000" w:fill="A9D380"/>
            <w:vAlign w:val="center"/>
            <w:hideMark/>
          </w:tcPr>
          <w:p w14:paraId="6FCFB71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100,3</w:t>
            </w:r>
          </w:p>
        </w:tc>
      </w:tr>
      <w:tr w:rsidR="006F4D8F" w:rsidRPr="006F4D8F" w14:paraId="09A86DE6" w14:textId="77777777" w:rsidTr="00895601">
        <w:trPr>
          <w:trHeight w:val="300"/>
        </w:trPr>
        <w:tc>
          <w:tcPr>
            <w:tcW w:w="858" w:type="pct"/>
            <w:shd w:val="clear" w:color="auto" w:fill="auto"/>
            <w:vAlign w:val="center"/>
            <w:hideMark/>
          </w:tcPr>
          <w:p w14:paraId="103341F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Łódzkie</w:t>
            </w:r>
          </w:p>
        </w:tc>
        <w:tc>
          <w:tcPr>
            <w:tcW w:w="313" w:type="pct"/>
            <w:shd w:val="clear" w:color="000000" w:fill="FCB679"/>
            <w:vAlign w:val="center"/>
            <w:hideMark/>
          </w:tcPr>
          <w:p w14:paraId="197551C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51,3</w:t>
            </w:r>
          </w:p>
        </w:tc>
        <w:tc>
          <w:tcPr>
            <w:tcW w:w="313" w:type="pct"/>
            <w:shd w:val="clear" w:color="000000" w:fill="FDCB7D"/>
            <w:vAlign w:val="center"/>
            <w:hideMark/>
          </w:tcPr>
          <w:p w14:paraId="44CF24F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57,0</w:t>
            </w:r>
          </w:p>
        </w:tc>
        <w:tc>
          <w:tcPr>
            <w:tcW w:w="347" w:type="pct"/>
            <w:shd w:val="clear" w:color="000000" w:fill="FDEB84"/>
            <w:vAlign w:val="center"/>
            <w:hideMark/>
          </w:tcPr>
          <w:p w14:paraId="59CA2A9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66,6</w:t>
            </w:r>
          </w:p>
        </w:tc>
        <w:tc>
          <w:tcPr>
            <w:tcW w:w="317" w:type="pct"/>
            <w:shd w:val="clear" w:color="000000" w:fill="F2E884"/>
            <w:vAlign w:val="center"/>
            <w:hideMark/>
          </w:tcPr>
          <w:p w14:paraId="3BD0BD4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71,0</w:t>
            </w:r>
          </w:p>
        </w:tc>
        <w:tc>
          <w:tcPr>
            <w:tcW w:w="317" w:type="pct"/>
            <w:shd w:val="clear" w:color="000000" w:fill="D6E082"/>
            <w:vAlign w:val="center"/>
            <w:hideMark/>
          </w:tcPr>
          <w:p w14:paraId="51FAC94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82,2</w:t>
            </w:r>
          </w:p>
        </w:tc>
        <w:tc>
          <w:tcPr>
            <w:tcW w:w="317" w:type="pct"/>
            <w:shd w:val="clear" w:color="000000" w:fill="D5DF82"/>
            <w:vAlign w:val="center"/>
            <w:hideMark/>
          </w:tcPr>
          <w:p w14:paraId="1D096DC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82,6</w:t>
            </w:r>
          </w:p>
        </w:tc>
        <w:tc>
          <w:tcPr>
            <w:tcW w:w="317" w:type="pct"/>
            <w:shd w:val="clear" w:color="000000" w:fill="DEE283"/>
            <w:vAlign w:val="center"/>
            <w:hideMark/>
          </w:tcPr>
          <w:p w14:paraId="0DC47CB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79,2</w:t>
            </w:r>
          </w:p>
        </w:tc>
        <w:tc>
          <w:tcPr>
            <w:tcW w:w="317" w:type="pct"/>
            <w:shd w:val="clear" w:color="000000" w:fill="C3DA81"/>
            <w:vAlign w:val="center"/>
            <w:hideMark/>
          </w:tcPr>
          <w:p w14:paraId="45F0B4F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90,1</w:t>
            </w:r>
          </w:p>
        </w:tc>
        <w:tc>
          <w:tcPr>
            <w:tcW w:w="317" w:type="pct"/>
            <w:shd w:val="clear" w:color="000000" w:fill="E4E383"/>
            <w:vAlign w:val="center"/>
            <w:hideMark/>
          </w:tcPr>
          <w:p w14:paraId="3E5B750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76,9</w:t>
            </w:r>
          </w:p>
        </w:tc>
        <w:tc>
          <w:tcPr>
            <w:tcW w:w="317" w:type="pct"/>
            <w:shd w:val="clear" w:color="000000" w:fill="E9E583"/>
            <w:vAlign w:val="center"/>
            <w:hideMark/>
          </w:tcPr>
          <w:p w14:paraId="55A616D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74,9</w:t>
            </w:r>
          </w:p>
        </w:tc>
        <w:tc>
          <w:tcPr>
            <w:tcW w:w="317" w:type="pct"/>
            <w:shd w:val="clear" w:color="000000" w:fill="CCDD82"/>
            <w:vAlign w:val="center"/>
            <w:hideMark/>
          </w:tcPr>
          <w:p w14:paraId="5FC7FD6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86,4</w:t>
            </w:r>
          </w:p>
        </w:tc>
        <w:tc>
          <w:tcPr>
            <w:tcW w:w="317" w:type="pct"/>
            <w:shd w:val="clear" w:color="000000" w:fill="CBDC81"/>
            <w:vAlign w:val="center"/>
            <w:hideMark/>
          </w:tcPr>
          <w:p w14:paraId="1650CEC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86,7</w:t>
            </w:r>
          </w:p>
        </w:tc>
        <w:tc>
          <w:tcPr>
            <w:tcW w:w="314" w:type="pct"/>
            <w:shd w:val="clear" w:color="000000" w:fill="C3DA81"/>
            <w:vAlign w:val="center"/>
            <w:hideMark/>
          </w:tcPr>
          <w:p w14:paraId="35188B6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89,9</w:t>
            </w:r>
          </w:p>
        </w:tc>
      </w:tr>
      <w:tr w:rsidR="006F4D8F" w:rsidRPr="006F4D8F" w14:paraId="194DEE5D" w14:textId="77777777" w:rsidTr="00895601">
        <w:trPr>
          <w:trHeight w:val="300"/>
        </w:trPr>
        <w:tc>
          <w:tcPr>
            <w:tcW w:w="858" w:type="pct"/>
            <w:shd w:val="clear" w:color="auto" w:fill="auto"/>
            <w:vAlign w:val="center"/>
            <w:hideMark/>
          </w:tcPr>
          <w:p w14:paraId="1D8CB99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Opolskie</w:t>
            </w:r>
          </w:p>
        </w:tc>
        <w:tc>
          <w:tcPr>
            <w:tcW w:w="313" w:type="pct"/>
            <w:shd w:val="clear" w:color="000000" w:fill="FBB179"/>
            <w:vAlign w:val="center"/>
            <w:hideMark/>
          </w:tcPr>
          <w:p w14:paraId="3AB9AA8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50,1</w:t>
            </w:r>
          </w:p>
        </w:tc>
        <w:tc>
          <w:tcPr>
            <w:tcW w:w="313" w:type="pct"/>
            <w:shd w:val="clear" w:color="000000" w:fill="FCB97A"/>
            <w:vAlign w:val="center"/>
            <w:hideMark/>
          </w:tcPr>
          <w:p w14:paraId="7FD0E05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52,1</w:t>
            </w:r>
          </w:p>
        </w:tc>
        <w:tc>
          <w:tcPr>
            <w:tcW w:w="347" w:type="pct"/>
            <w:shd w:val="clear" w:color="000000" w:fill="FEE583"/>
            <w:vAlign w:val="center"/>
            <w:hideMark/>
          </w:tcPr>
          <w:p w14:paraId="0B3BC39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64,4</w:t>
            </w:r>
          </w:p>
        </w:tc>
        <w:tc>
          <w:tcPr>
            <w:tcW w:w="317" w:type="pct"/>
            <w:shd w:val="clear" w:color="000000" w:fill="D2DE82"/>
            <w:vAlign w:val="center"/>
            <w:hideMark/>
          </w:tcPr>
          <w:p w14:paraId="0ECAA10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84,1</w:t>
            </w:r>
          </w:p>
        </w:tc>
        <w:tc>
          <w:tcPr>
            <w:tcW w:w="317" w:type="pct"/>
            <w:shd w:val="clear" w:color="000000" w:fill="D4DF82"/>
            <w:vAlign w:val="center"/>
            <w:hideMark/>
          </w:tcPr>
          <w:p w14:paraId="0E8FDC4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83,4</w:t>
            </w:r>
          </w:p>
        </w:tc>
        <w:tc>
          <w:tcPr>
            <w:tcW w:w="317" w:type="pct"/>
            <w:shd w:val="clear" w:color="000000" w:fill="CDDD82"/>
            <w:vAlign w:val="center"/>
            <w:hideMark/>
          </w:tcPr>
          <w:p w14:paraId="4002C17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86,2</w:t>
            </w:r>
          </w:p>
        </w:tc>
        <w:tc>
          <w:tcPr>
            <w:tcW w:w="317" w:type="pct"/>
            <w:shd w:val="clear" w:color="000000" w:fill="CADC81"/>
            <w:vAlign w:val="center"/>
            <w:hideMark/>
          </w:tcPr>
          <w:p w14:paraId="44C425F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87,2</w:t>
            </w:r>
          </w:p>
        </w:tc>
        <w:tc>
          <w:tcPr>
            <w:tcW w:w="317" w:type="pct"/>
            <w:shd w:val="clear" w:color="000000" w:fill="BAD881"/>
            <w:vAlign w:val="center"/>
            <w:hideMark/>
          </w:tcPr>
          <w:p w14:paraId="33F0DEE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93,5</w:t>
            </w:r>
          </w:p>
        </w:tc>
        <w:tc>
          <w:tcPr>
            <w:tcW w:w="317" w:type="pct"/>
            <w:shd w:val="clear" w:color="000000" w:fill="E8E583"/>
            <w:vAlign w:val="center"/>
            <w:hideMark/>
          </w:tcPr>
          <w:p w14:paraId="3AA5096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75,2</w:t>
            </w:r>
          </w:p>
        </w:tc>
        <w:tc>
          <w:tcPr>
            <w:tcW w:w="317" w:type="pct"/>
            <w:shd w:val="clear" w:color="000000" w:fill="EAE583"/>
            <w:vAlign w:val="center"/>
            <w:hideMark/>
          </w:tcPr>
          <w:p w14:paraId="6866B66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74,2</w:t>
            </w:r>
          </w:p>
        </w:tc>
        <w:tc>
          <w:tcPr>
            <w:tcW w:w="317" w:type="pct"/>
            <w:shd w:val="clear" w:color="000000" w:fill="DBE182"/>
            <w:vAlign w:val="center"/>
            <w:hideMark/>
          </w:tcPr>
          <w:p w14:paraId="4771065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80,4</w:t>
            </w:r>
          </w:p>
        </w:tc>
        <w:tc>
          <w:tcPr>
            <w:tcW w:w="317" w:type="pct"/>
            <w:shd w:val="clear" w:color="000000" w:fill="D5DF82"/>
            <w:vAlign w:val="center"/>
            <w:hideMark/>
          </w:tcPr>
          <w:p w14:paraId="560CAE1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82,9</w:t>
            </w:r>
          </w:p>
        </w:tc>
        <w:tc>
          <w:tcPr>
            <w:tcW w:w="314" w:type="pct"/>
            <w:shd w:val="clear" w:color="000000" w:fill="CCDD82"/>
            <w:vAlign w:val="center"/>
            <w:hideMark/>
          </w:tcPr>
          <w:p w14:paraId="3F7F7F9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86,4</w:t>
            </w:r>
          </w:p>
        </w:tc>
      </w:tr>
      <w:tr w:rsidR="006F4D8F" w:rsidRPr="006F4D8F" w14:paraId="1A04817A" w14:textId="77777777" w:rsidTr="00895601">
        <w:trPr>
          <w:trHeight w:val="300"/>
        </w:trPr>
        <w:tc>
          <w:tcPr>
            <w:tcW w:w="858" w:type="pct"/>
            <w:shd w:val="clear" w:color="auto" w:fill="auto"/>
            <w:vAlign w:val="center"/>
            <w:hideMark/>
          </w:tcPr>
          <w:p w14:paraId="5DBE35F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Dolnośląskie</w:t>
            </w:r>
          </w:p>
        </w:tc>
        <w:tc>
          <w:tcPr>
            <w:tcW w:w="313" w:type="pct"/>
            <w:shd w:val="clear" w:color="000000" w:fill="FCBC7B"/>
            <w:vAlign w:val="center"/>
            <w:hideMark/>
          </w:tcPr>
          <w:p w14:paraId="6528DF7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53,1</w:t>
            </w:r>
          </w:p>
        </w:tc>
        <w:tc>
          <w:tcPr>
            <w:tcW w:w="313" w:type="pct"/>
            <w:shd w:val="clear" w:color="000000" w:fill="FDC87D"/>
            <w:vAlign w:val="center"/>
            <w:hideMark/>
          </w:tcPr>
          <w:p w14:paraId="6C12459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56,3</w:t>
            </w:r>
          </w:p>
        </w:tc>
        <w:tc>
          <w:tcPr>
            <w:tcW w:w="347" w:type="pct"/>
            <w:shd w:val="clear" w:color="000000" w:fill="FAEA84"/>
            <w:vAlign w:val="center"/>
            <w:hideMark/>
          </w:tcPr>
          <w:p w14:paraId="14050F9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67,9</w:t>
            </w:r>
          </w:p>
        </w:tc>
        <w:tc>
          <w:tcPr>
            <w:tcW w:w="317" w:type="pct"/>
            <w:shd w:val="clear" w:color="000000" w:fill="E0E383"/>
            <w:vAlign w:val="center"/>
            <w:hideMark/>
          </w:tcPr>
          <w:p w14:paraId="213319C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78,2</w:t>
            </w:r>
          </w:p>
        </w:tc>
        <w:tc>
          <w:tcPr>
            <w:tcW w:w="317" w:type="pct"/>
            <w:shd w:val="clear" w:color="000000" w:fill="CADC81"/>
            <w:vAlign w:val="center"/>
            <w:hideMark/>
          </w:tcPr>
          <w:p w14:paraId="4071851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87,0</w:t>
            </w:r>
          </w:p>
        </w:tc>
        <w:tc>
          <w:tcPr>
            <w:tcW w:w="317" w:type="pct"/>
            <w:shd w:val="clear" w:color="000000" w:fill="CEDD82"/>
            <w:vAlign w:val="center"/>
            <w:hideMark/>
          </w:tcPr>
          <w:p w14:paraId="5E0AD4D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85,6</w:t>
            </w:r>
          </w:p>
        </w:tc>
        <w:tc>
          <w:tcPr>
            <w:tcW w:w="317" w:type="pct"/>
            <w:shd w:val="clear" w:color="000000" w:fill="CFDD82"/>
            <w:vAlign w:val="center"/>
            <w:hideMark/>
          </w:tcPr>
          <w:p w14:paraId="6093F2A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85,4</w:t>
            </w:r>
          </w:p>
        </w:tc>
        <w:tc>
          <w:tcPr>
            <w:tcW w:w="317" w:type="pct"/>
            <w:shd w:val="clear" w:color="000000" w:fill="B9D780"/>
            <w:vAlign w:val="center"/>
            <w:hideMark/>
          </w:tcPr>
          <w:p w14:paraId="26D0D38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94,0</w:t>
            </w:r>
          </w:p>
        </w:tc>
        <w:tc>
          <w:tcPr>
            <w:tcW w:w="317" w:type="pct"/>
            <w:shd w:val="clear" w:color="000000" w:fill="EFE784"/>
            <w:vAlign w:val="center"/>
            <w:hideMark/>
          </w:tcPr>
          <w:p w14:paraId="344E9F6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72,5</w:t>
            </w:r>
          </w:p>
        </w:tc>
        <w:tc>
          <w:tcPr>
            <w:tcW w:w="317" w:type="pct"/>
            <w:shd w:val="clear" w:color="000000" w:fill="ECE683"/>
            <w:vAlign w:val="center"/>
            <w:hideMark/>
          </w:tcPr>
          <w:p w14:paraId="474529D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73,8</w:t>
            </w:r>
          </w:p>
        </w:tc>
        <w:tc>
          <w:tcPr>
            <w:tcW w:w="317" w:type="pct"/>
            <w:shd w:val="clear" w:color="000000" w:fill="D7E082"/>
            <w:vAlign w:val="center"/>
            <w:hideMark/>
          </w:tcPr>
          <w:p w14:paraId="4362587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82,0</w:t>
            </w:r>
          </w:p>
        </w:tc>
        <w:tc>
          <w:tcPr>
            <w:tcW w:w="317" w:type="pct"/>
            <w:shd w:val="clear" w:color="000000" w:fill="DCE182"/>
            <w:vAlign w:val="center"/>
            <w:hideMark/>
          </w:tcPr>
          <w:p w14:paraId="2EE8E51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80,0</w:t>
            </w:r>
          </w:p>
        </w:tc>
        <w:tc>
          <w:tcPr>
            <w:tcW w:w="314" w:type="pct"/>
            <w:shd w:val="clear" w:color="000000" w:fill="CCDD82"/>
            <w:vAlign w:val="center"/>
            <w:hideMark/>
          </w:tcPr>
          <w:p w14:paraId="37AA442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86,3</w:t>
            </w:r>
          </w:p>
        </w:tc>
      </w:tr>
      <w:tr w:rsidR="006F4D8F" w:rsidRPr="006F4D8F" w14:paraId="04E59692" w14:textId="77777777" w:rsidTr="00895601">
        <w:trPr>
          <w:trHeight w:val="300"/>
        </w:trPr>
        <w:tc>
          <w:tcPr>
            <w:tcW w:w="858" w:type="pct"/>
            <w:shd w:val="clear" w:color="auto" w:fill="auto"/>
            <w:vAlign w:val="center"/>
            <w:hideMark/>
          </w:tcPr>
          <w:p w14:paraId="39E7F6D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Zachodniopomorskie</w:t>
            </w:r>
          </w:p>
        </w:tc>
        <w:tc>
          <w:tcPr>
            <w:tcW w:w="313" w:type="pct"/>
            <w:shd w:val="clear" w:color="000000" w:fill="FBA175"/>
            <w:vAlign w:val="center"/>
            <w:hideMark/>
          </w:tcPr>
          <w:p w14:paraId="12F587E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45,7</w:t>
            </w:r>
          </w:p>
        </w:tc>
        <w:tc>
          <w:tcPr>
            <w:tcW w:w="313" w:type="pct"/>
            <w:shd w:val="clear" w:color="000000" w:fill="FCB97A"/>
            <w:vAlign w:val="center"/>
            <w:hideMark/>
          </w:tcPr>
          <w:p w14:paraId="706C3F3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52,3</w:t>
            </w:r>
          </w:p>
        </w:tc>
        <w:tc>
          <w:tcPr>
            <w:tcW w:w="347" w:type="pct"/>
            <w:shd w:val="clear" w:color="000000" w:fill="FDD07E"/>
            <w:vAlign w:val="center"/>
            <w:hideMark/>
          </w:tcPr>
          <w:p w14:paraId="03C178E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58,6</w:t>
            </w:r>
          </w:p>
        </w:tc>
        <w:tc>
          <w:tcPr>
            <w:tcW w:w="317" w:type="pct"/>
            <w:shd w:val="clear" w:color="000000" w:fill="F9EA84"/>
            <w:vAlign w:val="center"/>
            <w:hideMark/>
          </w:tcPr>
          <w:p w14:paraId="3047BC4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68,3</w:t>
            </w:r>
          </w:p>
        </w:tc>
        <w:tc>
          <w:tcPr>
            <w:tcW w:w="317" w:type="pct"/>
            <w:shd w:val="clear" w:color="000000" w:fill="EDE683"/>
            <w:vAlign w:val="center"/>
            <w:hideMark/>
          </w:tcPr>
          <w:p w14:paraId="4B0F273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73,0</w:t>
            </w:r>
          </w:p>
        </w:tc>
        <w:tc>
          <w:tcPr>
            <w:tcW w:w="317" w:type="pct"/>
            <w:shd w:val="clear" w:color="000000" w:fill="E7E483"/>
            <w:vAlign w:val="center"/>
            <w:hideMark/>
          </w:tcPr>
          <w:p w14:paraId="1F605BF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75,6</w:t>
            </w:r>
          </w:p>
        </w:tc>
        <w:tc>
          <w:tcPr>
            <w:tcW w:w="317" w:type="pct"/>
            <w:shd w:val="clear" w:color="000000" w:fill="ECE683"/>
            <w:vAlign w:val="center"/>
            <w:hideMark/>
          </w:tcPr>
          <w:p w14:paraId="4EB6188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73,6</w:t>
            </w:r>
          </w:p>
        </w:tc>
        <w:tc>
          <w:tcPr>
            <w:tcW w:w="317" w:type="pct"/>
            <w:shd w:val="clear" w:color="000000" w:fill="CCDD82"/>
            <w:vAlign w:val="center"/>
            <w:hideMark/>
          </w:tcPr>
          <w:p w14:paraId="3AD7090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86,2</w:t>
            </w:r>
          </w:p>
        </w:tc>
        <w:tc>
          <w:tcPr>
            <w:tcW w:w="317" w:type="pct"/>
            <w:shd w:val="clear" w:color="000000" w:fill="FDD27F"/>
            <w:vAlign w:val="center"/>
            <w:hideMark/>
          </w:tcPr>
          <w:p w14:paraId="6681DDD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59,0</w:t>
            </w:r>
          </w:p>
        </w:tc>
        <w:tc>
          <w:tcPr>
            <w:tcW w:w="317" w:type="pct"/>
            <w:shd w:val="clear" w:color="000000" w:fill="FEE282"/>
            <w:vAlign w:val="center"/>
            <w:hideMark/>
          </w:tcPr>
          <w:p w14:paraId="1F28062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63,3</w:t>
            </w:r>
          </w:p>
        </w:tc>
        <w:tc>
          <w:tcPr>
            <w:tcW w:w="317" w:type="pct"/>
            <w:shd w:val="clear" w:color="000000" w:fill="FDD17F"/>
            <w:vAlign w:val="center"/>
            <w:hideMark/>
          </w:tcPr>
          <w:p w14:paraId="5D7FD9F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58,9</w:t>
            </w:r>
          </w:p>
        </w:tc>
        <w:tc>
          <w:tcPr>
            <w:tcW w:w="317" w:type="pct"/>
            <w:shd w:val="clear" w:color="000000" w:fill="FDEB84"/>
            <w:vAlign w:val="center"/>
            <w:hideMark/>
          </w:tcPr>
          <w:p w14:paraId="0CDA62A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66,9</w:t>
            </w:r>
          </w:p>
        </w:tc>
        <w:tc>
          <w:tcPr>
            <w:tcW w:w="314" w:type="pct"/>
            <w:shd w:val="clear" w:color="000000" w:fill="D7E082"/>
            <w:vAlign w:val="center"/>
            <w:hideMark/>
          </w:tcPr>
          <w:p w14:paraId="31076CC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81,9</w:t>
            </w:r>
          </w:p>
        </w:tc>
      </w:tr>
      <w:tr w:rsidR="006F4D8F" w:rsidRPr="006F4D8F" w14:paraId="3689A854" w14:textId="77777777" w:rsidTr="00895601">
        <w:trPr>
          <w:trHeight w:val="300"/>
        </w:trPr>
        <w:tc>
          <w:tcPr>
            <w:tcW w:w="858" w:type="pct"/>
            <w:shd w:val="clear" w:color="auto" w:fill="auto"/>
            <w:vAlign w:val="center"/>
            <w:hideMark/>
          </w:tcPr>
          <w:p w14:paraId="76CE04F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Pomorskie</w:t>
            </w:r>
          </w:p>
        </w:tc>
        <w:tc>
          <w:tcPr>
            <w:tcW w:w="313" w:type="pct"/>
            <w:shd w:val="clear" w:color="000000" w:fill="FBB279"/>
            <w:vAlign w:val="center"/>
            <w:hideMark/>
          </w:tcPr>
          <w:p w14:paraId="58A0DB0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50,4</w:t>
            </w:r>
          </w:p>
        </w:tc>
        <w:tc>
          <w:tcPr>
            <w:tcW w:w="313" w:type="pct"/>
            <w:shd w:val="clear" w:color="000000" w:fill="FEDF81"/>
            <w:vAlign w:val="center"/>
            <w:hideMark/>
          </w:tcPr>
          <w:p w14:paraId="2DFFAC6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62,5</w:t>
            </w:r>
          </w:p>
        </w:tc>
        <w:tc>
          <w:tcPr>
            <w:tcW w:w="347" w:type="pct"/>
            <w:shd w:val="clear" w:color="000000" w:fill="E6E483"/>
            <w:vAlign w:val="center"/>
            <w:hideMark/>
          </w:tcPr>
          <w:p w14:paraId="4484E35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75,9</w:t>
            </w:r>
          </w:p>
        </w:tc>
        <w:tc>
          <w:tcPr>
            <w:tcW w:w="317" w:type="pct"/>
            <w:shd w:val="clear" w:color="000000" w:fill="E5E483"/>
            <w:vAlign w:val="center"/>
            <w:hideMark/>
          </w:tcPr>
          <w:p w14:paraId="3912AC9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76,6</w:t>
            </w:r>
          </w:p>
        </w:tc>
        <w:tc>
          <w:tcPr>
            <w:tcW w:w="317" w:type="pct"/>
            <w:shd w:val="clear" w:color="000000" w:fill="DEE283"/>
            <w:vAlign w:val="center"/>
            <w:hideMark/>
          </w:tcPr>
          <w:p w14:paraId="1C730B5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79,4</w:t>
            </w:r>
          </w:p>
        </w:tc>
        <w:tc>
          <w:tcPr>
            <w:tcW w:w="317" w:type="pct"/>
            <w:shd w:val="clear" w:color="000000" w:fill="BFD981"/>
            <w:vAlign w:val="center"/>
            <w:hideMark/>
          </w:tcPr>
          <w:p w14:paraId="0487128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91,6</w:t>
            </w:r>
          </w:p>
        </w:tc>
        <w:tc>
          <w:tcPr>
            <w:tcW w:w="317" w:type="pct"/>
            <w:shd w:val="clear" w:color="000000" w:fill="B5D680"/>
            <w:vAlign w:val="center"/>
            <w:hideMark/>
          </w:tcPr>
          <w:p w14:paraId="4CDF6E0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95,6</w:t>
            </w:r>
          </w:p>
        </w:tc>
        <w:tc>
          <w:tcPr>
            <w:tcW w:w="317" w:type="pct"/>
            <w:shd w:val="clear" w:color="000000" w:fill="C0D981"/>
            <w:vAlign w:val="center"/>
            <w:hideMark/>
          </w:tcPr>
          <w:p w14:paraId="328E103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91,0</w:t>
            </w:r>
          </w:p>
        </w:tc>
        <w:tc>
          <w:tcPr>
            <w:tcW w:w="317" w:type="pct"/>
            <w:shd w:val="clear" w:color="000000" w:fill="FDEB84"/>
            <w:vAlign w:val="center"/>
            <w:hideMark/>
          </w:tcPr>
          <w:p w14:paraId="0F0FDA0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66,9</w:t>
            </w:r>
          </w:p>
        </w:tc>
        <w:tc>
          <w:tcPr>
            <w:tcW w:w="317" w:type="pct"/>
            <w:shd w:val="clear" w:color="000000" w:fill="ECE683"/>
            <w:vAlign w:val="center"/>
            <w:hideMark/>
          </w:tcPr>
          <w:p w14:paraId="6E2B26A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73,6</w:t>
            </w:r>
          </w:p>
        </w:tc>
        <w:tc>
          <w:tcPr>
            <w:tcW w:w="317" w:type="pct"/>
            <w:shd w:val="clear" w:color="000000" w:fill="FFEB84"/>
            <w:vAlign w:val="center"/>
            <w:hideMark/>
          </w:tcPr>
          <w:p w14:paraId="08771A7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65,8</w:t>
            </w:r>
          </w:p>
        </w:tc>
        <w:tc>
          <w:tcPr>
            <w:tcW w:w="317" w:type="pct"/>
            <w:shd w:val="clear" w:color="000000" w:fill="DFE283"/>
            <w:vAlign w:val="center"/>
            <w:hideMark/>
          </w:tcPr>
          <w:p w14:paraId="5C3FA88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78,9</w:t>
            </w:r>
          </w:p>
        </w:tc>
        <w:tc>
          <w:tcPr>
            <w:tcW w:w="314" w:type="pct"/>
            <w:shd w:val="clear" w:color="000000" w:fill="E7E483"/>
            <w:vAlign w:val="center"/>
            <w:hideMark/>
          </w:tcPr>
          <w:p w14:paraId="1131976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75,6</w:t>
            </w:r>
          </w:p>
        </w:tc>
      </w:tr>
      <w:tr w:rsidR="006F4D8F" w:rsidRPr="006F4D8F" w14:paraId="11D7E589" w14:textId="77777777" w:rsidTr="00895601">
        <w:trPr>
          <w:trHeight w:val="300"/>
        </w:trPr>
        <w:tc>
          <w:tcPr>
            <w:tcW w:w="858" w:type="pct"/>
            <w:shd w:val="clear" w:color="auto" w:fill="auto"/>
            <w:vAlign w:val="center"/>
            <w:hideMark/>
          </w:tcPr>
          <w:p w14:paraId="5A0B5F8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Lubuskie</w:t>
            </w:r>
          </w:p>
        </w:tc>
        <w:tc>
          <w:tcPr>
            <w:tcW w:w="313" w:type="pct"/>
            <w:shd w:val="clear" w:color="000000" w:fill="FBA476"/>
            <w:vAlign w:val="center"/>
            <w:hideMark/>
          </w:tcPr>
          <w:p w14:paraId="015D978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46,5</w:t>
            </w:r>
          </w:p>
        </w:tc>
        <w:tc>
          <w:tcPr>
            <w:tcW w:w="313" w:type="pct"/>
            <w:shd w:val="clear" w:color="000000" w:fill="FCC27C"/>
            <w:vAlign w:val="center"/>
            <w:hideMark/>
          </w:tcPr>
          <w:p w14:paraId="7E8B518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54,8</w:t>
            </w:r>
          </w:p>
        </w:tc>
        <w:tc>
          <w:tcPr>
            <w:tcW w:w="347" w:type="pct"/>
            <w:shd w:val="clear" w:color="000000" w:fill="FED880"/>
            <w:vAlign w:val="center"/>
            <w:hideMark/>
          </w:tcPr>
          <w:p w14:paraId="41C2FA4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60,7</w:t>
            </w:r>
          </w:p>
        </w:tc>
        <w:tc>
          <w:tcPr>
            <w:tcW w:w="317" w:type="pct"/>
            <w:shd w:val="clear" w:color="000000" w:fill="F5E884"/>
            <w:vAlign w:val="center"/>
            <w:hideMark/>
          </w:tcPr>
          <w:p w14:paraId="7007C27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70,1</w:t>
            </w:r>
          </w:p>
        </w:tc>
        <w:tc>
          <w:tcPr>
            <w:tcW w:w="317" w:type="pct"/>
            <w:shd w:val="clear" w:color="000000" w:fill="F8E984"/>
            <w:vAlign w:val="center"/>
            <w:hideMark/>
          </w:tcPr>
          <w:p w14:paraId="74BC3F2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69,0</w:t>
            </w:r>
          </w:p>
        </w:tc>
        <w:tc>
          <w:tcPr>
            <w:tcW w:w="317" w:type="pct"/>
            <w:shd w:val="clear" w:color="000000" w:fill="D6DF82"/>
            <w:vAlign w:val="center"/>
            <w:hideMark/>
          </w:tcPr>
          <w:p w14:paraId="74D0633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82,5</w:t>
            </w:r>
          </w:p>
        </w:tc>
        <w:tc>
          <w:tcPr>
            <w:tcW w:w="317" w:type="pct"/>
            <w:shd w:val="clear" w:color="000000" w:fill="E1E383"/>
            <w:vAlign w:val="center"/>
            <w:hideMark/>
          </w:tcPr>
          <w:p w14:paraId="797ADB9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78,1</w:t>
            </w:r>
          </w:p>
        </w:tc>
        <w:tc>
          <w:tcPr>
            <w:tcW w:w="317" w:type="pct"/>
            <w:shd w:val="clear" w:color="000000" w:fill="D8E082"/>
            <w:vAlign w:val="center"/>
            <w:hideMark/>
          </w:tcPr>
          <w:p w14:paraId="7946387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81,4</w:t>
            </w:r>
          </w:p>
        </w:tc>
        <w:tc>
          <w:tcPr>
            <w:tcW w:w="317" w:type="pct"/>
            <w:shd w:val="clear" w:color="000000" w:fill="FDCD7E"/>
            <w:vAlign w:val="center"/>
            <w:hideMark/>
          </w:tcPr>
          <w:p w14:paraId="15F22C7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57,8</w:t>
            </w:r>
          </w:p>
        </w:tc>
        <w:tc>
          <w:tcPr>
            <w:tcW w:w="317" w:type="pct"/>
            <w:shd w:val="clear" w:color="000000" w:fill="F1E784"/>
            <w:vAlign w:val="center"/>
            <w:hideMark/>
          </w:tcPr>
          <w:p w14:paraId="06A194D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71,7</w:t>
            </w:r>
          </w:p>
        </w:tc>
        <w:tc>
          <w:tcPr>
            <w:tcW w:w="317" w:type="pct"/>
            <w:shd w:val="clear" w:color="000000" w:fill="E1E383"/>
            <w:vAlign w:val="center"/>
            <w:hideMark/>
          </w:tcPr>
          <w:p w14:paraId="7FD80FB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77,8</w:t>
            </w:r>
          </w:p>
        </w:tc>
        <w:tc>
          <w:tcPr>
            <w:tcW w:w="317" w:type="pct"/>
            <w:shd w:val="clear" w:color="000000" w:fill="ECE683"/>
            <w:vAlign w:val="center"/>
            <w:hideMark/>
          </w:tcPr>
          <w:p w14:paraId="1EDFB2E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73,4</w:t>
            </w:r>
          </w:p>
        </w:tc>
        <w:tc>
          <w:tcPr>
            <w:tcW w:w="314" w:type="pct"/>
            <w:shd w:val="clear" w:color="000000" w:fill="E7E583"/>
            <w:vAlign w:val="center"/>
            <w:hideMark/>
          </w:tcPr>
          <w:p w14:paraId="06DE1BA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75,4</w:t>
            </w:r>
          </w:p>
        </w:tc>
      </w:tr>
      <w:tr w:rsidR="006F4D8F" w:rsidRPr="006F4D8F" w14:paraId="5F84E60C" w14:textId="77777777" w:rsidTr="00895601">
        <w:trPr>
          <w:trHeight w:val="300"/>
        </w:trPr>
        <w:tc>
          <w:tcPr>
            <w:tcW w:w="858" w:type="pct"/>
            <w:shd w:val="clear" w:color="auto" w:fill="auto"/>
            <w:vAlign w:val="center"/>
            <w:hideMark/>
          </w:tcPr>
          <w:p w14:paraId="228D62A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Kujawsko-pomorskie</w:t>
            </w:r>
          </w:p>
        </w:tc>
        <w:tc>
          <w:tcPr>
            <w:tcW w:w="313" w:type="pct"/>
            <w:shd w:val="clear" w:color="000000" w:fill="FA8E72"/>
            <w:vAlign w:val="center"/>
            <w:hideMark/>
          </w:tcPr>
          <w:p w14:paraId="250E8F1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40,3</w:t>
            </w:r>
          </w:p>
        </w:tc>
        <w:tc>
          <w:tcPr>
            <w:tcW w:w="313" w:type="pct"/>
            <w:shd w:val="clear" w:color="000000" w:fill="FBA576"/>
            <w:vAlign w:val="center"/>
            <w:hideMark/>
          </w:tcPr>
          <w:p w14:paraId="3A951B5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46,8</w:t>
            </w:r>
          </w:p>
        </w:tc>
        <w:tc>
          <w:tcPr>
            <w:tcW w:w="347" w:type="pct"/>
            <w:shd w:val="clear" w:color="000000" w:fill="FDC97D"/>
            <w:vAlign w:val="center"/>
            <w:hideMark/>
          </w:tcPr>
          <w:p w14:paraId="054676E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56,7</w:t>
            </w:r>
          </w:p>
        </w:tc>
        <w:tc>
          <w:tcPr>
            <w:tcW w:w="317" w:type="pct"/>
            <w:shd w:val="clear" w:color="000000" w:fill="FEE082"/>
            <w:vAlign w:val="center"/>
            <w:hideMark/>
          </w:tcPr>
          <w:p w14:paraId="7B4B57E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63,0</w:t>
            </w:r>
          </w:p>
        </w:tc>
        <w:tc>
          <w:tcPr>
            <w:tcW w:w="317" w:type="pct"/>
            <w:shd w:val="clear" w:color="000000" w:fill="F9EA84"/>
            <w:vAlign w:val="center"/>
            <w:hideMark/>
          </w:tcPr>
          <w:p w14:paraId="1477FB4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68,5</w:t>
            </w:r>
          </w:p>
        </w:tc>
        <w:tc>
          <w:tcPr>
            <w:tcW w:w="317" w:type="pct"/>
            <w:shd w:val="clear" w:color="000000" w:fill="EFE784"/>
            <w:vAlign w:val="center"/>
            <w:hideMark/>
          </w:tcPr>
          <w:p w14:paraId="59F0B6C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72,4</w:t>
            </w:r>
          </w:p>
        </w:tc>
        <w:tc>
          <w:tcPr>
            <w:tcW w:w="317" w:type="pct"/>
            <w:shd w:val="clear" w:color="000000" w:fill="E6E483"/>
            <w:vAlign w:val="center"/>
            <w:hideMark/>
          </w:tcPr>
          <w:p w14:paraId="02A0C92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75,9</w:t>
            </w:r>
          </w:p>
        </w:tc>
        <w:tc>
          <w:tcPr>
            <w:tcW w:w="317" w:type="pct"/>
            <w:shd w:val="clear" w:color="000000" w:fill="EEE683"/>
            <w:vAlign w:val="center"/>
            <w:hideMark/>
          </w:tcPr>
          <w:p w14:paraId="6D51EDB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72,8</w:t>
            </w:r>
          </w:p>
        </w:tc>
        <w:tc>
          <w:tcPr>
            <w:tcW w:w="317" w:type="pct"/>
            <w:shd w:val="clear" w:color="000000" w:fill="FEE883"/>
            <w:vAlign w:val="center"/>
            <w:hideMark/>
          </w:tcPr>
          <w:p w14:paraId="7B18FAF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65,0</w:t>
            </w:r>
          </w:p>
        </w:tc>
        <w:tc>
          <w:tcPr>
            <w:tcW w:w="317" w:type="pct"/>
            <w:shd w:val="clear" w:color="000000" w:fill="FDCC7E"/>
            <w:vAlign w:val="center"/>
            <w:hideMark/>
          </w:tcPr>
          <w:p w14:paraId="0861C2B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57,5</w:t>
            </w:r>
          </w:p>
        </w:tc>
        <w:tc>
          <w:tcPr>
            <w:tcW w:w="317" w:type="pct"/>
            <w:shd w:val="clear" w:color="000000" w:fill="FDD47F"/>
            <w:vAlign w:val="center"/>
            <w:hideMark/>
          </w:tcPr>
          <w:p w14:paraId="29776AE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59,6</w:t>
            </w:r>
          </w:p>
        </w:tc>
        <w:tc>
          <w:tcPr>
            <w:tcW w:w="317" w:type="pct"/>
            <w:shd w:val="clear" w:color="000000" w:fill="FFEB84"/>
            <w:vAlign w:val="center"/>
            <w:hideMark/>
          </w:tcPr>
          <w:p w14:paraId="654CEEE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66,1</w:t>
            </w:r>
          </w:p>
        </w:tc>
        <w:tc>
          <w:tcPr>
            <w:tcW w:w="314" w:type="pct"/>
            <w:shd w:val="clear" w:color="000000" w:fill="F4E884"/>
            <w:vAlign w:val="center"/>
            <w:hideMark/>
          </w:tcPr>
          <w:p w14:paraId="53758BE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70,6</w:t>
            </w:r>
          </w:p>
        </w:tc>
      </w:tr>
      <w:tr w:rsidR="006F4D8F" w:rsidRPr="006F4D8F" w14:paraId="5BF2ACBD" w14:textId="77777777" w:rsidTr="00895601">
        <w:trPr>
          <w:trHeight w:val="300"/>
        </w:trPr>
        <w:tc>
          <w:tcPr>
            <w:tcW w:w="858" w:type="pct"/>
            <w:shd w:val="clear" w:color="auto" w:fill="auto"/>
            <w:vAlign w:val="center"/>
            <w:hideMark/>
          </w:tcPr>
          <w:p w14:paraId="087A3EF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Lubelskie</w:t>
            </w:r>
          </w:p>
        </w:tc>
        <w:tc>
          <w:tcPr>
            <w:tcW w:w="313" w:type="pct"/>
            <w:shd w:val="clear" w:color="000000" w:fill="F9826F"/>
            <w:vAlign w:val="center"/>
            <w:hideMark/>
          </w:tcPr>
          <w:p w14:paraId="54CF479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37,1</w:t>
            </w:r>
          </w:p>
        </w:tc>
        <w:tc>
          <w:tcPr>
            <w:tcW w:w="313" w:type="pct"/>
            <w:shd w:val="clear" w:color="000000" w:fill="FA8F72"/>
            <w:vAlign w:val="center"/>
            <w:hideMark/>
          </w:tcPr>
          <w:p w14:paraId="2EF9C02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40,7</w:t>
            </w:r>
          </w:p>
        </w:tc>
        <w:tc>
          <w:tcPr>
            <w:tcW w:w="347" w:type="pct"/>
            <w:shd w:val="clear" w:color="000000" w:fill="FBA877"/>
            <w:vAlign w:val="center"/>
            <w:hideMark/>
          </w:tcPr>
          <w:p w14:paraId="3E4E35C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47,6</w:t>
            </w:r>
          </w:p>
        </w:tc>
        <w:tc>
          <w:tcPr>
            <w:tcW w:w="317" w:type="pct"/>
            <w:shd w:val="clear" w:color="000000" w:fill="FCC57C"/>
            <w:vAlign w:val="center"/>
            <w:hideMark/>
          </w:tcPr>
          <w:p w14:paraId="5972967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55,5</w:t>
            </w:r>
          </w:p>
        </w:tc>
        <w:tc>
          <w:tcPr>
            <w:tcW w:w="317" w:type="pct"/>
            <w:shd w:val="clear" w:color="000000" w:fill="FDCB7D"/>
            <w:vAlign w:val="center"/>
            <w:hideMark/>
          </w:tcPr>
          <w:p w14:paraId="1C035EC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57,0</w:t>
            </w:r>
          </w:p>
        </w:tc>
        <w:tc>
          <w:tcPr>
            <w:tcW w:w="317" w:type="pct"/>
            <w:shd w:val="clear" w:color="000000" w:fill="FDCE7E"/>
            <w:vAlign w:val="center"/>
            <w:hideMark/>
          </w:tcPr>
          <w:p w14:paraId="4856A77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58,0</w:t>
            </w:r>
          </w:p>
        </w:tc>
        <w:tc>
          <w:tcPr>
            <w:tcW w:w="317" w:type="pct"/>
            <w:shd w:val="clear" w:color="000000" w:fill="FEE282"/>
            <w:vAlign w:val="center"/>
            <w:hideMark/>
          </w:tcPr>
          <w:p w14:paraId="3F63778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63,5</w:t>
            </w:r>
          </w:p>
        </w:tc>
        <w:tc>
          <w:tcPr>
            <w:tcW w:w="317" w:type="pct"/>
            <w:shd w:val="clear" w:color="000000" w:fill="F8E984"/>
            <w:vAlign w:val="center"/>
            <w:hideMark/>
          </w:tcPr>
          <w:p w14:paraId="65ECE36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68,7</w:t>
            </w:r>
          </w:p>
        </w:tc>
        <w:tc>
          <w:tcPr>
            <w:tcW w:w="317" w:type="pct"/>
            <w:shd w:val="clear" w:color="000000" w:fill="FEDB80"/>
            <w:vAlign w:val="center"/>
            <w:hideMark/>
          </w:tcPr>
          <w:p w14:paraId="4BDC1E0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61,5</w:t>
            </w:r>
          </w:p>
        </w:tc>
        <w:tc>
          <w:tcPr>
            <w:tcW w:w="317" w:type="pct"/>
            <w:shd w:val="clear" w:color="000000" w:fill="FEE082"/>
            <w:vAlign w:val="center"/>
            <w:hideMark/>
          </w:tcPr>
          <w:p w14:paraId="56792DA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63,0</w:t>
            </w:r>
          </w:p>
        </w:tc>
        <w:tc>
          <w:tcPr>
            <w:tcW w:w="317" w:type="pct"/>
            <w:shd w:val="clear" w:color="000000" w:fill="FDD680"/>
            <w:vAlign w:val="center"/>
            <w:hideMark/>
          </w:tcPr>
          <w:p w14:paraId="01D8B56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60,1</w:t>
            </w:r>
          </w:p>
        </w:tc>
        <w:tc>
          <w:tcPr>
            <w:tcW w:w="317" w:type="pct"/>
            <w:shd w:val="clear" w:color="000000" w:fill="FEEA83"/>
            <w:vAlign w:val="center"/>
            <w:hideMark/>
          </w:tcPr>
          <w:p w14:paraId="71B445E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65,8</w:t>
            </w:r>
          </w:p>
        </w:tc>
        <w:tc>
          <w:tcPr>
            <w:tcW w:w="314" w:type="pct"/>
            <w:shd w:val="clear" w:color="000000" w:fill="F7E984"/>
            <w:vAlign w:val="center"/>
            <w:hideMark/>
          </w:tcPr>
          <w:p w14:paraId="2BEA70B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69,3</w:t>
            </w:r>
          </w:p>
        </w:tc>
      </w:tr>
      <w:tr w:rsidR="006F4D8F" w:rsidRPr="006F4D8F" w14:paraId="117F2DC5" w14:textId="77777777" w:rsidTr="00895601">
        <w:trPr>
          <w:trHeight w:val="300"/>
        </w:trPr>
        <w:tc>
          <w:tcPr>
            <w:tcW w:w="858" w:type="pct"/>
            <w:shd w:val="clear" w:color="auto" w:fill="auto"/>
            <w:vAlign w:val="center"/>
            <w:hideMark/>
          </w:tcPr>
          <w:p w14:paraId="07D9B87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Małopolskie</w:t>
            </w:r>
          </w:p>
        </w:tc>
        <w:tc>
          <w:tcPr>
            <w:tcW w:w="313" w:type="pct"/>
            <w:shd w:val="clear" w:color="000000" w:fill="FA9874"/>
            <w:vAlign w:val="center"/>
            <w:hideMark/>
          </w:tcPr>
          <w:p w14:paraId="46864CA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43,1</w:t>
            </w:r>
          </w:p>
        </w:tc>
        <w:tc>
          <w:tcPr>
            <w:tcW w:w="313" w:type="pct"/>
            <w:shd w:val="clear" w:color="000000" w:fill="FBA175"/>
            <w:vAlign w:val="center"/>
            <w:hideMark/>
          </w:tcPr>
          <w:p w14:paraId="2936741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45,7</w:t>
            </w:r>
          </w:p>
        </w:tc>
        <w:tc>
          <w:tcPr>
            <w:tcW w:w="347" w:type="pct"/>
            <w:shd w:val="clear" w:color="000000" w:fill="FDD780"/>
            <w:vAlign w:val="center"/>
            <w:hideMark/>
          </w:tcPr>
          <w:p w14:paraId="2910414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60,4</w:t>
            </w:r>
          </w:p>
        </w:tc>
        <w:tc>
          <w:tcPr>
            <w:tcW w:w="317" w:type="pct"/>
            <w:shd w:val="clear" w:color="000000" w:fill="F6E984"/>
            <w:vAlign w:val="center"/>
            <w:hideMark/>
          </w:tcPr>
          <w:p w14:paraId="6FA590C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69,6</w:t>
            </w:r>
          </w:p>
        </w:tc>
        <w:tc>
          <w:tcPr>
            <w:tcW w:w="317" w:type="pct"/>
            <w:shd w:val="clear" w:color="000000" w:fill="F9EA84"/>
            <w:vAlign w:val="center"/>
            <w:hideMark/>
          </w:tcPr>
          <w:p w14:paraId="3DB09E9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68,6</w:t>
            </w:r>
          </w:p>
        </w:tc>
        <w:tc>
          <w:tcPr>
            <w:tcW w:w="317" w:type="pct"/>
            <w:shd w:val="clear" w:color="000000" w:fill="F8E984"/>
            <w:vAlign w:val="center"/>
            <w:hideMark/>
          </w:tcPr>
          <w:p w14:paraId="3BC05DB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68,9</w:t>
            </w:r>
          </w:p>
        </w:tc>
        <w:tc>
          <w:tcPr>
            <w:tcW w:w="317" w:type="pct"/>
            <w:shd w:val="clear" w:color="000000" w:fill="E8E583"/>
            <w:vAlign w:val="center"/>
            <w:hideMark/>
          </w:tcPr>
          <w:p w14:paraId="5DD8406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75,2</w:t>
            </w:r>
          </w:p>
        </w:tc>
        <w:tc>
          <w:tcPr>
            <w:tcW w:w="317" w:type="pct"/>
            <w:shd w:val="clear" w:color="000000" w:fill="EAE583"/>
            <w:vAlign w:val="center"/>
            <w:hideMark/>
          </w:tcPr>
          <w:p w14:paraId="4C2B59C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74,6</w:t>
            </w:r>
          </w:p>
        </w:tc>
        <w:tc>
          <w:tcPr>
            <w:tcW w:w="317" w:type="pct"/>
            <w:shd w:val="clear" w:color="000000" w:fill="FEE683"/>
            <w:vAlign w:val="center"/>
            <w:hideMark/>
          </w:tcPr>
          <w:p w14:paraId="361F0CA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64,5</w:t>
            </w:r>
          </w:p>
        </w:tc>
        <w:tc>
          <w:tcPr>
            <w:tcW w:w="317" w:type="pct"/>
            <w:shd w:val="clear" w:color="000000" w:fill="FEE582"/>
            <w:vAlign w:val="center"/>
            <w:hideMark/>
          </w:tcPr>
          <w:p w14:paraId="6034CD0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64,3</w:t>
            </w:r>
          </w:p>
        </w:tc>
        <w:tc>
          <w:tcPr>
            <w:tcW w:w="317" w:type="pct"/>
            <w:shd w:val="clear" w:color="000000" w:fill="FED980"/>
            <w:vAlign w:val="center"/>
            <w:hideMark/>
          </w:tcPr>
          <w:p w14:paraId="64A9D95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61,0</w:t>
            </w:r>
          </w:p>
        </w:tc>
        <w:tc>
          <w:tcPr>
            <w:tcW w:w="317" w:type="pct"/>
            <w:shd w:val="clear" w:color="000000" w:fill="F5E984"/>
            <w:vAlign w:val="center"/>
            <w:hideMark/>
          </w:tcPr>
          <w:p w14:paraId="63038BA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69,8</w:t>
            </w:r>
          </w:p>
        </w:tc>
        <w:tc>
          <w:tcPr>
            <w:tcW w:w="314" w:type="pct"/>
            <w:shd w:val="clear" w:color="000000" w:fill="FDEB84"/>
            <w:vAlign w:val="center"/>
            <w:hideMark/>
          </w:tcPr>
          <w:p w14:paraId="1A10CC6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67,0</w:t>
            </w:r>
          </w:p>
        </w:tc>
      </w:tr>
      <w:tr w:rsidR="006F4D8F" w:rsidRPr="006F4D8F" w14:paraId="1FC6274F" w14:textId="77777777" w:rsidTr="00895601">
        <w:trPr>
          <w:trHeight w:val="300"/>
        </w:trPr>
        <w:tc>
          <w:tcPr>
            <w:tcW w:w="858" w:type="pct"/>
            <w:shd w:val="clear" w:color="auto" w:fill="auto"/>
            <w:vAlign w:val="center"/>
            <w:hideMark/>
          </w:tcPr>
          <w:p w14:paraId="570B8C9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Wielkopolskie</w:t>
            </w:r>
          </w:p>
        </w:tc>
        <w:tc>
          <w:tcPr>
            <w:tcW w:w="313" w:type="pct"/>
            <w:shd w:val="clear" w:color="000000" w:fill="FA9874"/>
            <w:vAlign w:val="center"/>
            <w:hideMark/>
          </w:tcPr>
          <w:p w14:paraId="711CAB1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43,1</w:t>
            </w:r>
          </w:p>
        </w:tc>
        <w:tc>
          <w:tcPr>
            <w:tcW w:w="313" w:type="pct"/>
            <w:shd w:val="clear" w:color="000000" w:fill="FBAA77"/>
            <w:vAlign w:val="center"/>
            <w:hideMark/>
          </w:tcPr>
          <w:p w14:paraId="73DD247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48,2</w:t>
            </w:r>
          </w:p>
        </w:tc>
        <w:tc>
          <w:tcPr>
            <w:tcW w:w="347" w:type="pct"/>
            <w:shd w:val="clear" w:color="000000" w:fill="FCB579"/>
            <w:vAlign w:val="center"/>
            <w:hideMark/>
          </w:tcPr>
          <w:p w14:paraId="05CDCF0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51,1</w:t>
            </w:r>
          </w:p>
        </w:tc>
        <w:tc>
          <w:tcPr>
            <w:tcW w:w="317" w:type="pct"/>
            <w:shd w:val="clear" w:color="000000" w:fill="FEE282"/>
            <w:vAlign w:val="center"/>
            <w:hideMark/>
          </w:tcPr>
          <w:p w14:paraId="438B8CD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63,3</w:t>
            </w:r>
          </w:p>
        </w:tc>
        <w:tc>
          <w:tcPr>
            <w:tcW w:w="317" w:type="pct"/>
            <w:shd w:val="clear" w:color="000000" w:fill="FEE482"/>
            <w:vAlign w:val="center"/>
            <w:hideMark/>
          </w:tcPr>
          <w:p w14:paraId="5BA608E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64,0</w:t>
            </w:r>
          </w:p>
        </w:tc>
        <w:tc>
          <w:tcPr>
            <w:tcW w:w="317" w:type="pct"/>
            <w:shd w:val="clear" w:color="000000" w:fill="FEE783"/>
            <w:vAlign w:val="center"/>
            <w:hideMark/>
          </w:tcPr>
          <w:p w14:paraId="0BAFD9F0"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64,8</w:t>
            </w:r>
          </w:p>
        </w:tc>
        <w:tc>
          <w:tcPr>
            <w:tcW w:w="317" w:type="pct"/>
            <w:shd w:val="clear" w:color="000000" w:fill="FBEA84"/>
            <w:vAlign w:val="center"/>
            <w:hideMark/>
          </w:tcPr>
          <w:p w14:paraId="74488E1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67,5</w:t>
            </w:r>
          </w:p>
        </w:tc>
        <w:tc>
          <w:tcPr>
            <w:tcW w:w="317" w:type="pct"/>
            <w:shd w:val="clear" w:color="000000" w:fill="F7E984"/>
            <w:vAlign w:val="center"/>
            <w:hideMark/>
          </w:tcPr>
          <w:p w14:paraId="1E81357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69,0</w:t>
            </w:r>
          </w:p>
        </w:tc>
        <w:tc>
          <w:tcPr>
            <w:tcW w:w="317" w:type="pct"/>
            <w:shd w:val="clear" w:color="000000" w:fill="FDC67C"/>
            <w:vAlign w:val="center"/>
            <w:hideMark/>
          </w:tcPr>
          <w:p w14:paraId="5DED205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55,7</w:t>
            </w:r>
          </w:p>
        </w:tc>
        <w:tc>
          <w:tcPr>
            <w:tcW w:w="317" w:type="pct"/>
            <w:shd w:val="clear" w:color="000000" w:fill="FCB679"/>
            <w:vAlign w:val="center"/>
            <w:hideMark/>
          </w:tcPr>
          <w:p w14:paraId="6CFDE0E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51,4</w:t>
            </w:r>
          </w:p>
        </w:tc>
        <w:tc>
          <w:tcPr>
            <w:tcW w:w="317" w:type="pct"/>
            <w:shd w:val="clear" w:color="000000" w:fill="FDC77D"/>
            <w:vAlign w:val="center"/>
            <w:hideMark/>
          </w:tcPr>
          <w:p w14:paraId="62AAB69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56,1</w:t>
            </w:r>
          </w:p>
        </w:tc>
        <w:tc>
          <w:tcPr>
            <w:tcW w:w="317" w:type="pct"/>
            <w:shd w:val="clear" w:color="000000" w:fill="FDD680"/>
            <w:vAlign w:val="center"/>
            <w:hideMark/>
          </w:tcPr>
          <w:p w14:paraId="4A2BBE9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60,1</w:t>
            </w:r>
          </w:p>
        </w:tc>
        <w:tc>
          <w:tcPr>
            <w:tcW w:w="314" w:type="pct"/>
            <w:shd w:val="clear" w:color="000000" w:fill="FEDE81"/>
            <w:vAlign w:val="center"/>
            <w:hideMark/>
          </w:tcPr>
          <w:p w14:paraId="0B3C34E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62,4</w:t>
            </w:r>
          </w:p>
        </w:tc>
      </w:tr>
      <w:tr w:rsidR="006F4D8F" w:rsidRPr="006F4D8F" w14:paraId="44582DAD" w14:textId="77777777" w:rsidTr="00895601">
        <w:trPr>
          <w:trHeight w:val="300"/>
        </w:trPr>
        <w:tc>
          <w:tcPr>
            <w:tcW w:w="858" w:type="pct"/>
            <w:shd w:val="clear" w:color="auto" w:fill="auto"/>
            <w:vAlign w:val="center"/>
            <w:hideMark/>
          </w:tcPr>
          <w:p w14:paraId="0FDECDA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Podlaskie</w:t>
            </w:r>
          </w:p>
        </w:tc>
        <w:tc>
          <w:tcPr>
            <w:tcW w:w="313" w:type="pct"/>
            <w:shd w:val="clear" w:color="000000" w:fill="F98871"/>
            <w:vAlign w:val="center"/>
            <w:hideMark/>
          </w:tcPr>
          <w:p w14:paraId="718546B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38,8</w:t>
            </w:r>
          </w:p>
        </w:tc>
        <w:tc>
          <w:tcPr>
            <w:tcW w:w="313" w:type="pct"/>
            <w:shd w:val="clear" w:color="000000" w:fill="FA9673"/>
            <w:vAlign w:val="center"/>
            <w:hideMark/>
          </w:tcPr>
          <w:p w14:paraId="20F7487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42,6</w:t>
            </w:r>
          </w:p>
        </w:tc>
        <w:tc>
          <w:tcPr>
            <w:tcW w:w="347" w:type="pct"/>
            <w:shd w:val="clear" w:color="000000" w:fill="FBA676"/>
            <w:vAlign w:val="center"/>
            <w:hideMark/>
          </w:tcPr>
          <w:p w14:paraId="49A35FC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47,0</w:t>
            </w:r>
          </w:p>
        </w:tc>
        <w:tc>
          <w:tcPr>
            <w:tcW w:w="317" w:type="pct"/>
            <w:shd w:val="clear" w:color="000000" w:fill="FDC67C"/>
            <w:vAlign w:val="center"/>
            <w:hideMark/>
          </w:tcPr>
          <w:p w14:paraId="1B9E6D1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55,7</w:t>
            </w:r>
          </w:p>
        </w:tc>
        <w:tc>
          <w:tcPr>
            <w:tcW w:w="317" w:type="pct"/>
            <w:shd w:val="clear" w:color="000000" w:fill="FDD680"/>
            <w:vAlign w:val="center"/>
            <w:hideMark/>
          </w:tcPr>
          <w:p w14:paraId="27CC3213"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60,1</w:t>
            </w:r>
          </w:p>
        </w:tc>
        <w:tc>
          <w:tcPr>
            <w:tcW w:w="317" w:type="pct"/>
            <w:shd w:val="clear" w:color="000000" w:fill="FCC07B"/>
            <w:vAlign w:val="center"/>
            <w:hideMark/>
          </w:tcPr>
          <w:p w14:paraId="5FA9BC2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54,2</w:t>
            </w:r>
          </w:p>
        </w:tc>
        <w:tc>
          <w:tcPr>
            <w:tcW w:w="317" w:type="pct"/>
            <w:shd w:val="clear" w:color="000000" w:fill="FEE582"/>
            <w:vAlign w:val="center"/>
            <w:hideMark/>
          </w:tcPr>
          <w:p w14:paraId="0DA3CEF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64,2</w:t>
            </w:r>
          </w:p>
        </w:tc>
        <w:tc>
          <w:tcPr>
            <w:tcW w:w="317" w:type="pct"/>
            <w:shd w:val="clear" w:color="000000" w:fill="F9EA84"/>
            <w:vAlign w:val="center"/>
            <w:hideMark/>
          </w:tcPr>
          <w:p w14:paraId="6047359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68,5</w:t>
            </w:r>
          </w:p>
        </w:tc>
        <w:tc>
          <w:tcPr>
            <w:tcW w:w="317" w:type="pct"/>
            <w:shd w:val="clear" w:color="000000" w:fill="FBAC77"/>
            <w:vAlign w:val="center"/>
            <w:hideMark/>
          </w:tcPr>
          <w:p w14:paraId="26E0B31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48,5</w:t>
            </w:r>
          </w:p>
        </w:tc>
        <w:tc>
          <w:tcPr>
            <w:tcW w:w="317" w:type="pct"/>
            <w:shd w:val="clear" w:color="000000" w:fill="FBA776"/>
            <w:vAlign w:val="center"/>
            <w:hideMark/>
          </w:tcPr>
          <w:p w14:paraId="1544024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47,2</w:t>
            </w:r>
          </w:p>
        </w:tc>
        <w:tc>
          <w:tcPr>
            <w:tcW w:w="317" w:type="pct"/>
            <w:shd w:val="clear" w:color="000000" w:fill="FCC57C"/>
            <w:vAlign w:val="center"/>
            <w:hideMark/>
          </w:tcPr>
          <w:p w14:paraId="6D19289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55,6</w:t>
            </w:r>
          </w:p>
        </w:tc>
        <w:tc>
          <w:tcPr>
            <w:tcW w:w="317" w:type="pct"/>
            <w:shd w:val="clear" w:color="000000" w:fill="FDD880"/>
            <w:vAlign w:val="center"/>
            <w:hideMark/>
          </w:tcPr>
          <w:p w14:paraId="7937739C"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60,7</w:t>
            </w:r>
          </w:p>
        </w:tc>
        <w:tc>
          <w:tcPr>
            <w:tcW w:w="314" w:type="pct"/>
            <w:shd w:val="clear" w:color="000000" w:fill="FDD47F"/>
            <w:vAlign w:val="center"/>
            <w:hideMark/>
          </w:tcPr>
          <w:p w14:paraId="5F5B159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59,5</w:t>
            </w:r>
          </w:p>
        </w:tc>
      </w:tr>
      <w:tr w:rsidR="006F4D8F" w:rsidRPr="006F4D8F" w14:paraId="147F3D93" w14:textId="77777777" w:rsidTr="00895601">
        <w:trPr>
          <w:trHeight w:val="300"/>
        </w:trPr>
        <w:tc>
          <w:tcPr>
            <w:tcW w:w="858" w:type="pct"/>
            <w:shd w:val="clear" w:color="auto" w:fill="auto"/>
            <w:vAlign w:val="center"/>
            <w:hideMark/>
          </w:tcPr>
          <w:p w14:paraId="05DD2E4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Podkarpackie</w:t>
            </w:r>
          </w:p>
        </w:tc>
        <w:tc>
          <w:tcPr>
            <w:tcW w:w="313" w:type="pct"/>
            <w:shd w:val="clear" w:color="000000" w:fill="F8786E"/>
            <w:vAlign w:val="center"/>
            <w:hideMark/>
          </w:tcPr>
          <w:p w14:paraId="1145FB6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34,4</w:t>
            </w:r>
          </w:p>
        </w:tc>
        <w:tc>
          <w:tcPr>
            <w:tcW w:w="313" w:type="pct"/>
            <w:shd w:val="clear" w:color="000000" w:fill="F9816F"/>
            <w:vAlign w:val="center"/>
            <w:hideMark/>
          </w:tcPr>
          <w:p w14:paraId="44CA06B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36,8</w:t>
            </w:r>
          </w:p>
        </w:tc>
        <w:tc>
          <w:tcPr>
            <w:tcW w:w="347" w:type="pct"/>
            <w:shd w:val="clear" w:color="000000" w:fill="FA9172"/>
            <w:vAlign w:val="center"/>
            <w:hideMark/>
          </w:tcPr>
          <w:p w14:paraId="1571719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41,2</w:t>
            </w:r>
          </w:p>
        </w:tc>
        <w:tc>
          <w:tcPr>
            <w:tcW w:w="317" w:type="pct"/>
            <w:shd w:val="clear" w:color="000000" w:fill="FBAC77"/>
            <w:vAlign w:val="center"/>
            <w:hideMark/>
          </w:tcPr>
          <w:p w14:paraId="3C1F0A5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48,6</w:t>
            </w:r>
          </w:p>
        </w:tc>
        <w:tc>
          <w:tcPr>
            <w:tcW w:w="317" w:type="pct"/>
            <w:shd w:val="clear" w:color="000000" w:fill="FCB479"/>
            <w:vAlign w:val="center"/>
            <w:hideMark/>
          </w:tcPr>
          <w:p w14:paraId="0DDC81B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50,8</w:t>
            </w:r>
          </w:p>
        </w:tc>
        <w:tc>
          <w:tcPr>
            <w:tcW w:w="317" w:type="pct"/>
            <w:shd w:val="clear" w:color="000000" w:fill="FCC37C"/>
            <w:vAlign w:val="center"/>
            <w:hideMark/>
          </w:tcPr>
          <w:p w14:paraId="5F687E8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54,9</w:t>
            </w:r>
          </w:p>
        </w:tc>
        <w:tc>
          <w:tcPr>
            <w:tcW w:w="317" w:type="pct"/>
            <w:shd w:val="clear" w:color="000000" w:fill="FDC87D"/>
            <w:vAlign w:val="center"/>
            <w:hideMark/>
          </w:tcPr>
          <w:p w14:paraId="46CBCED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56,4</w:t>
            </w:r>
          </w:p>
        </w:tc>
        <w:tc>
          <w:tcPr>
            <w:tcW w:w="317" w:type="pct"/>
            <w:shd w:val="clear" w:color="000000" w:fill="FDD37F"/>
            <w:vAlign w:val="center"/>
            <w:hideMark/>
          </w:tcPr>
          <w:p w14:paraId="13CB3CB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59,3</w:t>
            </w:r>
          </w:p>
        </w:tc>
        <w:tc>
          <w:tcPr>
            <w:tcW w:w="317" w:type="pct"/>
            <w:shd w:val="clear" w:color="000000" w:fill="FBB078"/>
            <w:vAlign w:val="center"/>
            <w:hideMark/>
          </w:tcPr>
          <w:p w14:paraId="76E40E5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49,8</w:t>
            </w:r>
          </w:p>
        </w:tc>
        <w:tc>
          <w:tcPr>
            <w:tcW w:w="317" w:type="pct"/>
            <w:shd w:val="clear" w:color="000000" w:fill="FCBF7B"/>
            <w:vAlign w:val="center"/>
            <w:hideMark/>
          </w:tcPr>
          <w:p w14:paraId="2606263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53,7</w:t>
            </w:r>
          </w:p>
        </w:tc>
        <w:tc>
          <w:tcPr>
            <w:tcW w:w="317" w:type="pct"/>
            <w:shd w:val="clear" w:color="000000" w:fill="FBAC77"/>
            <w:vAlign w:val="center"/>
            <w:hideMark/>
          </w:tcPr>
          <w:p w14:paraId="54F528A8"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48,6</w:t>
            </w:r>
          </w:p>
        </w:tc>
        <w:tc>
          <w:tcPr>
            <w:tcW w:w="317" w:type="pct"/>
            <w:shd w:val="clear" w:color="000000" w:fill="FBA877"/>
            <w:vAlign w:val="center"/>
            <w:hideMark/>
          </w:tcPr>
          <w:p w14:paraId="5C25879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47,7</w:t>
            </w:r>
          </w:p>
        </w:tc>
        <w:tc>
          <w:tcPr>
            <w:tcW w:w="314" w:type="pct"/>
            <w:shd w:val="clear" w:color="000000" w:fill="FDC87D"/>
            <w:vAlign w:val="center"/>
            <w:hideMark/>
          </w:tcPr>
          <w:p w14:paraId="26CFFF3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56,3</w:t>
            </w:r>
          </w:p>
        </w:tc>
      </w:tr>
      <w:tr w:rsidR="006F4D8F" w:rsidRPr="006F4D8F" w14:paraId="1DF756F9" w14:textId="77777777" w:rsidTr="00895601">
        <w:trPr>
          <w:trHeight w:val="300"/>
        </w:trPr>
        <w:tc>
          <w:tcPr>
            <w:tcW w:w="858" w:type="pct"/>
            <w:shd w:val="clear" w:color="auto" w:fill="auto"/>
            <w:vAlign w:val="center"/>
            <w:hideMark/>
          </w:tcPr>
          <w:p w14:paraId="7069DA4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Świętokrzyskie</w:t>
            </w:r>
          </w:p>
        </w:tc>
        <w:tc>
          <w:tcPr>
            <w:tcW w:w="313" w:type="pct"/>
            <w:shd w:val="clear" w:color="000000" w:fill="F8696B"/>
            <w:vAlign w:val="center"/>
            <w:hideMark/>
          </w:tcPr>
          <w:p w14:paraId="27E810F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30,1</w:t>
            </w:r>
          </w:p>
        </w:tc>
        <w:tc>
          <w:tcPr>
            <w:tcW w:w="313" w:type="pct"/>
            <w:shd w:val="clear" w:color="000000" w:fill="F86A6B"/>
            <w:vAlign w:val="center"/>
            <w:hideMark/>
          </w:tcPr>
          <w:p w14:paraId="0CDFA3A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30,4</w:t>
            </w:r>
          </w:p>
        </w:tc>
        <w:tc>
          <w:tcPr>
            <w:tcW w:w="347" w:type="pct"/>
            <w:shd w:val="clear" w:color="000000" w:fill="F8766D"/>
            <w:vAlign w:val="center"/>
            <w:hideMark/>
          </w:tcPr>
          <w:p w14:paraId="7A971CC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33,8</w:t>
            </w:r>
          </w:p>
        </w:tc>
        <w:tc>
          <w:tcPr>
            <w:tcW w:w="317" w:type="pct"/>
            <w:shd w:val="clear" w:color="000000" w:fill="FBA175"/>
            <w:vAlign w:val="center"/>
            <w:hideMark/>
          </w:tcPr>
          <w:p w14:paraId="123804F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45,7</w:t>
            </w:r>
          </w:p>
        </w:tc>
        <w:tc>
          <w:tcPr>
            <w:tcW w:w="317" w:type="pct"/>
            <w:shd w:val="clear" w:color="000000" w:fill="FBAA77"/>
            <w:vAlign w:val="center"/>
            <w:hideMark/>
          </w:tcPr>
          <w:p w14:paraId="0A2254C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48,2</w:t>
            </w:r>
          </w:p>
        </w:tc>
        <w:tc>
          <w:tcPr>
            <w:tcW w:w="317" w:type="pct"/>
            <w:shd w:val="clear" w:color="000000" w:fill="FBA576"/>
            <w:vAlign w:val="center"/>
            <w:hideMark/>
          </w:tcPr>
          <w:p w14:paraId="621A940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46,7</w:t>
            </w:r>
          </w:p>
        </w:tc>
        <w:tc>
          <w:tcPr>
            <w:tcW w:w="317" w:type="pct"/>
            <w:shd w:val="clear" w:color="000000" w:fill="FBAA77"/>
            <w:vAlign w:val="center"/>
            <w:hideMark/>
          </w:tcPr>
          <w:p w14:paraId="30AEC76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48,1</w:t>
            </w:r>
          </w:p>
        </w:tc>
        <w:tc>
          <w:tcPr>
            <w:tcW w:w="317" w:type="pct"/>
            <w:shd w:val="clear" w:color="000000" w:fill="FBAD78"/>
            <w:vAlign w:val="center"/>
            <w:hideMark/>
          </w:tcPr>
          <w:p w14:paraId="3C24D752"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49,0</w:t>
            </w:r>
          </w:p>
        </w:tc>
        <w:tc>
          <w:tcPr>
            <w:tcW w:w="317" w:type="pct"/>
            <w:shd w:val="clear" w:color="000000" w:fill="FBA777"/>
            <w:vAlign w:val="center"/>
            <w:hideMark/>
          </w:tcPr>
          <w:p w14:paraId="6C6525E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47,3</w:t>
            </w:r>
          </w:p>
        </w:tc>
        <w:tc>
          <w:tcPr>
            <w:tcW w:w="317" w:type="pct"/>
            <w:shd w:val="clear" w:color="000000" w:fill="FBAF78"/>
            <w:vAlign w:val="center"/>
            <w:hideMark/>
          </w:tcPr>
          <w:p w14:paraId="7F6BE2D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49,4</w:t>
            </w:r>
          </w:p>
        </w:tc>
        <w:tc>
          <w:tcPr>
            <w:tcW w:w="317" w:type="pct"/>
            <w:shd w:val="clear" w:color="000000" w:fill="FBAC77"/>
            <w:vAlign w:val="center"/>
            <w:hideMark/>
          </w:tcPr>
          <w:p w14:paraId="68EA165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48,6</w:t>
            </w:r>
          </w:p>
        </w:tc>
        <w:tc>
          <w:tcPr>
            <w:tcW w:w="317" w:type="pct"/>
            <w:shd w:val="clear" w:color="000000" w:fill="FEDD81"/>
            <w:vAlign w:val="center"/>
            <w:hideMark/>
          </w:tcPr>
          <w:p w14:paraId="7768D9E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62,1</w:t>
            </w:r>
          </w:p>
        </w:tc>
        <w:tc>
          <w:tcPr>
            <w:tcW w:w="314" w:type="pct"/>
            <w:shd w:val="clear" w:color="000000" w:fill="FDC67D"/>
            <w:vAlign w:val="center"/>
            <w:hideMark/>
          </w:tcPr>
          <w:p w14:paraId="0C7C773F"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55,9</w:t>
            </w:r>
          </w:p>
        </w:tc>
      </w:tr>
      <w:tr w:rsidR="006F4D8F" w:rsidRPr="006F4D8F" w14:paraId="0AB59720" w14:textId="77777777" w:rsidTr="00895601">
        <w:trPr>
          <w:trHeight w:val="300"/>
        </w:trPr>
        <w:tc>
          <w:tcPr>
            <w:tcW w:w="858" w:type="pct"/>
            <w:shd w:val="clear" w:color="auto" w:fill="auto"/>
            <w:vAlign w:val="center"/>
            <w:hideMark/>
          </w:tcPr>
          <w:p w14:paraId="34D052F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Warmińsko-mazurskie</w:t>
            </w:r>
          </w:p>
        </w:tc>
        <w:tc>
          <w:tcPr>
            <w:tcW w:w="313" w:type="pct"/>
            <w:shd w:val="clear" w:color="000000" w:fill="F98570"/>
            <w:vAlign w:val="center"/>
            <w:hideMark/>
          </w:tcPr>
          <w:p w14:paraId="370AC224"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38,0</w:t>
            </w:r>
          </w:p>
        </w:tc>
        <w:tc>
          <w:tcPr>
            <w:tcW w:w="313" w:type="pct"/>
            <w:shd w:val="clear" w:color="000000" w:fill="F98971"/>
            <w:vAlign w:val="center"/>
            <w:hideMark/>
          </w:tcPr>
          <w:p w14:paraId="32C6A9B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39,0</w:t>
            </w:r>
          </w:p>
        </w:tc>
        <w:tc>
          <w:tcPr>
            <w:tcW w:w="347" w:type="pct"/>
            <w:shd w:val="clear" w:color="000000" w:fill="FBB178"/>
            <w:vAlign w:val="center"/>
            <w:hideMark/>
          </w:tcPr>
          <w:p w14:paraId="0A695B4D"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49,9</w:t>
            </w:r>
          </w:p>
        </w:tc>
        <w:tc>
          <w:tcPr>
            <w:tcW w:w="317" w:type="pct"/>
            <w:shd w:val="clear" w:color="000000" w:fill="FDCB7D"/>
            <w:vAlign w:val="center"/>
            <w:hideMark/>
          </w:tcPr>
          <w:p w14:paraId="06E04496"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57,2</w:t>
            </w:r>
          </w:p>
        </w:tc>
        <w:tc>
          <w:tcPr>
            <w:tcW w:w="317" w:type="pct"/>
            <w:shd w:val="clear" w:color="000000" w:fill="FFEB84"/>
            <w:vAlign w:val="center"/>
            <w:hideMark/>
          </w:tcPr>
          <w:p w14:paraId="64B3D70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66,0</w:t>
            </w:r>
          </w:p>
        </w:tc>
        <w:tc>
          <w:tcPr>
            <w:tcW w:w="317" w:type="pct"/>
            <w:shd w:val="clear" w:color="000000" w:fill="FEDD81"/>
            <w:vAlign w:val="center"/>
            <w:hideMark/>
          </w:tcPr>
          <w:p w14:paraId="624D0BA5"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62,1</w:t>
            </w:r>
          </w:p>
        </w:tc>
        <w:tc>
          <w:tcPr>
            <w:tcW w:w="317" w:type="pct"/>
            <w:shd w:val="clear" w:color="000000" w:fill="FEE081"/>
            <w:vAlign w:val="center"/>
            <w:hideMark/>
          </w:tcPr>
          <w:p w14:paraId="40C4AC8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62,8</w:t>
            </w:r>
          </w:p>
        </w:tc>
        <w:tc>
          <w:tcPr>
            <w:tcW w:w="317" w:type="pct"/>
            <w:shd w:val="clear" w:color="000000" w:fill="FEE683"/>
            <w:vAlign w:val="center"/>
            <w:hideMark/>
          </w:tcPr>
          <w:p w14:paraId="541CA7D7"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64,5</w:t>
            </w:r>
          </w:p>
        </w:tc>
        <w:tc>
          <w:tcPr>
            <w:tcW w:w="317" w:type="pct"/>
            <w:shd w:val="clear" w:color="000000" w:fill="FBAC77"/>
            <w:vAlign w:val="center"/>
            <w:hideMark/>
          </w:tcPr>
          <w:p w14:paraId="6A5FBE4A"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48,6</w:t>
            </w:r>
          </w:p>
        </w:tc>
        <w:tc>
          <w:tcPr>
            <w:tcW w:w="317" w:type="pct"/>
            <w:shd w:val="clear" w:color="000000" w:fill="FBB179"/>
            <w:vAlign w:val="center"/>
            <w:hideMark/>
          </w:tcPr>
          <w:p w14:paraId="76141F41"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50,1</w:t>
            </w:r>
          </w:p>
        </w:tc>
        <w:tc>
          <w:tcPr>
            <w:tcW w:w="317" w:type="pct"/>
            <w:shd w:val="clear" w:color="000000" w:fill="FCB87A"/>
            <w:vAlign w:val="center"/>
            <w:hideMark/>
          </w:tcPr>
          <w:p w14:paraId="7D0002E9"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51,9</w:t>
            </w:r>
          </w:p>
        </w:tc>
        <w:tc>
          <w:tcPr>
            <w:tcW w:w="317" w:type="pct"/>
            <w:shd w:val="clear" w:color="000000" w:fill="FDCB7D"/>
            <w:vAlign w:val="center"/>
            <w:hideMark/>
          </w:tcPr>
          <w:p w14:paraId="047CA00E"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57,1</w:t>
            </w:r>
          </w:p>
        </w:tc>
        <w:tc>
          <w:tcPr>
            <w:tcW w:w="314" w:type="pct"/>
            <w:shd w:val="clear" w:color="000000" w:fill="FCBC7B"/>
            <w:vAlign w:val="center"/>
            <w:hideMark/>
          </w:tcPr>
          <w:p w14:paraId="3C14F2DB" w14:textId="77777777" w:rsidR="006F4D8F" w:rsidRPr="006F4D8F" w:rsidRDefault="006F4D8F" w:rsidP="006F4D8F">
            <w:pPr>
              <w:spacing w:before="0" w:after="0" w:line="240" w:lineRule="auto"/>
              <w:jc w:val="center"/>
              <w:rPr>
                <w:rFonts w:cs="Calibri"/>
                <w:color w:val="000000"/>
                <w:sz w:val="18"/>
                <w:szCs w:val="18"/>
              </w:rPr>
            </w:pPr>
            <w:r w:rsidRPr="006F4D8F">
              <w:rPr>
                <w:rFonts w:cs="Calibri"/>
                <w:color w:val="000000"/>
                <w:sz w:val="18"/>
                <w:szCs w:val="18"/>
              </w:rPr>
              <w:t>53,1</w:t>
            </w:r>
          </w:p>
        </w:tc>
      </w:tr>
    </w:tbl>
    <w:p w14:paraId="737358C0" w14:textId="77777777" w:rsidR="006F4D8F" w:rsidRPr="002A5FDF" w:rsidRDefault="006F4D8F" w:rsidP="005076BF">
      <w:pPr>
        <w:spacing w:before="0"/>
        <w:rPr>
          <w:i/>
          <w:sz w:val="18"/>
          <w:szCs w:val="20"/>
        </w:rPr>
      </w:pPr>
      <w:r w:rsidRPr="002A5FDF">
        <w:rPr>
          <w:i/>
          <w:sz w:val="18"/>
          <w:szCs w:val="20"/>
        </w:rPr>
        <w:t>Źródło: opracowanie własne na podstawie danych GUS BDL.</w:t>
      </w:r>
    </w:p>
    <w:p w14:paraId="2B20AB72" w14:textId="77777777" w:rsidR="006F4D8F" w:rsidRDefault="006F4D8F" w:rsidP="006F4D8F">
      <w:pPr>
        <w:pStyle w:val="UPSrodtytul"/>
        <w:spacing w:before="120" w:line="288" w:lineRule="auto"/>
        <w:rPr>
          <w:rFonts w:ascii="Lato" w:hAnsi="Lato" w:cs="Times New Roman"/>
          <w:b w:val="0"/>
          <w:i w:val="0"/>
          <w:color w:val="auto"/>
          <w:sz w:val="20"/>
          <w:szCs w:val="20"/>
        </w:rPr>
      </w:pPr>
      <w:r w:rsidRPr="00CE549A">
        <w:rPr>
          <w:rFonts w:ascii="Lato" w:hAnsi="Lato" w:cs="Times New Roman"/>
          <w:b w:val="0"/>
          <w:i w:val="0"/>
          <w:iCs w:val="0"/>
          <w:color w:val="auto"/>
          <w:sz w:val="20"/>
          <w:szCs w:val="20"/>
        </w:rPr>
        <w:lastRenderedPageBreak/>
        <w:t>Podsumowując,</w:t>
      </w:r>
      <w:r w:rsidRPr="00CE549A">
        <w:rPr>
          <w:rFonts w:ascii="Lato" w:hAnsi="Lato" w:cs="Times New Roman"/>
          <w:b w:val="0"/>
          <w:bCs w:val="0"/>
          <w:i w:val="0"/>
          <w:iCs w:val="0"/>
          <w:color w:val="auto"/>
          <w:sz w:val="20"/>
          <w:szCs w:val="20"/>
        </w:rPr>
        <w:t xml:space="preserve"> potrzeby zidentyfikowane</w:t>
      </w:r>
      <w:r w:rsidR="00E66B89">
        <w:rPr>
          <w:rFonts w:ascii="Lato" w:hAnsi="Lato" w:cs="Times New Roman"/>
          <w:b w:val="0"/>
          <w:bCs w:val="0"/>
          <w:i w:val="0"/>
          <w:iCs w:val="0"/>
          <w:color w:val="auto"/>
          <w:sz w:val="20"/>
          <w:szCs w:val="20"/>
        </w:rPr>
        <w:t xml:space="preserve"> w </w:t>
      </w:r>
      <w:r w:rsidRPr="00CE549A">
        <w:rPr>
          <w:rFonts w:ascii="Lato" w:hAnsi="Lato" w:cs="Times New Roman"/>
          <w:b w:val="0"/>
          <w:bCs w:val="0"/>
          <w:i w:val="0"/>
          <w:iCs w:val="0"/>
          <w:color w:val="auto"/>
          <w:sz w:val="20"/>
          <w:szCs w:val="20"/>
        </w:rPr>
        <w:t>diagnozie</w:t>
      </w:r>
      <w:r>
        <w:rPr>
          <w:rFonts w:ascii="Lato" w:hAnsi="Lato" w:cs="Times New Roman"/>
          <w:b w:val="0"/>
          <w:bCs w:val="0"/>
          <w:i w:val="0"/>
          <w:iCs w:val="0"/>
          <w:color w:val="auto"/>
          <w:sz w:val="20"/>
          <w:szCs w:val="20"/>
        </w:rPr>
        <w:t>,</w:t>
      </w:r>
      <w:r w:rsidRPr="00CE549A">
        <w:rPr>
          <w:rFonts w:ascii="Lato" w:hAnsi="Lato" w:cs="Times New Roman"/>
          <w:b w:val="0"/>
          <w:bCs w:val="0"/>
          <w:i w:val="0"/>
          <w:iCs w:val="0"/>
          <w:color w:val="auto"/>
          <w:sz w:val="20"/>
          <w:szCs w:val="20"/>
        </w:rPr>
        <w:t xml:space="preserve"> takie jak niedostateczne uczestnictwo</w:t>
      </w:r>
      <w:r w:rsidR="00E66B89">
        <w:rPr>
          <w:rFonts w:ascii="Lato" w:hAnsi="Lato" w:cs="Times New Roman"/>
          <w:b w:val="0"/>
          <w:bCs w:val="0"/>
          <w:i w:val="0"/>
          <w:iCs w:val="0"/>
          <w:color w:val="auto"/>
          <w:sz w:val="20"/>
          <w:szCs w:val="20"/>
        </w:rPr>
        <w:t xml:space="preserve"> w </w:t>
      </w:r>
      <w:r w:rsidRPr="00CE549A">
        <w:rPr>
          <w:rFonts w:ascii="Lato" w:hAnsi="Lato" w:cs="Times New Roman"/>
          <w:b w:val="0"/>
          <w:bCs w:val="0"/>
          <w:i w:val="0"/>
          <w:iCs w:val="0"/>
          <w:color w:val="auto"/>
          <w:sz w:val="20"/>
          <w:szCs w:val="20"/>
        </w:rPr>
        <w:t>wydarzeniach kulturalnych, zwiększenie dostępności do kultury oraz zwiększenie potencjału turystycznego regionu</w:t>
      </w:r>
      <w:r>
        <w:rPr>
          <w:rFonts w:ascii="Lato" w:hAnsi="Lato" w:cs="Times New Roman"/>
          <w:b w:val="0"/>
          <w:bCs w:val="0"/>
          <w:i w:val="0"/>
          <w:iCs w:val="0"/>
          <w:color w:val="auto"/>
          <w:sz w:val="20"/>
          <w:szCs w:val="20"/>
        </w:rPr>
        <w:t>,</w:t>
      </w:r>
      <w:r w:rsidRPr="00CE549A">
        <w:rPr>
          <w:rFonts w:ascii="Lato" w:hAnsi="Lato" w:cs="Times New Roman"/>
          <w:b w:val="0"/>
          <w:bCs w:val="0"/>
          <w:i w:val="0"/>
          <w:iCs w:val="0"/>
          <w:color w:val="auto"/>
          <w:sz w:val="20"/>
          <w:szCs w:val="20"/>
        </w:rPr>
        <w:t xml:space="preserve"> są wciąż aktualne</w:t>
      </w:r>
      <w:r w:rsidR="00E66B89">
        <w:rPr>
          <w:rFonts w:ascii="Lato" w:hAnsi="Lato" w:cs="Times New Roman"/>
          <w:b w:val="0"/>
          <w:bCs w:val="0"/>
          <w:i w:val="0"/>
          <w:iCs w:val="0"/>
          <w:color w:val="auto"/>
          <w:sz w:val="20"/>
          <w:szCs w:val="20"/>
        </w:rPr>
        <w:t xml:space="preserve"> i </w:t>
      </w:r>
      <w:r w:rsidRPr="00CE549A">
        <w:rPr>
          <w:rFonts w:ascii="Lato" w:hAnsi="Lato" w:cs="Times New Roman"/>
          <w:b w:val="0"/>
          <w:bCs w:val="0"/>
          <w:i w:val="0"/>
          <w:iCs w:val="0"/>
          <w:color w:val="auto"/>
          <w:sz w:val="20"/>
          <w:szCs w:val="20"/>
        </w:rPr>
        <w:t>wymagają zmian. Mimo mniejszej liczby instytucji kultury takich jak centra kultury, domy</w:t>
      </w:r>
      <w:r w:rsidR="00E66B89">
        <w:rPr>
          <w:rFonts w:ascii="Lato" w:hAnsi="Lato" w:cs="Times New Roman"/>
          <w:b w:val="0"/>
          <w:bCs w:val="0"/>
          <w:i w:val="0"/>
          <w:iCs w:val="0"/>
          <w:color w:val="auto"/>
          <w:sz w:val="20"/>
          <w:szCs w:val="20"/>
        </w:rPr>
        <w:t xml:space="preserve"> i </w:t>
      </w:r>
      <w:r w:rsidRPr="00CE549A">
        <w:rPr>
          <w:rFonts w:ascii="Lato" w:hAnsi="Lato" w:cs="Times New Roman"/>
          <w:b w:val="0"/>
          <w:bCs w:val="0"/>
          <w:i w:val="0"/>
          <w:iCs w:val="0"/>
          <w:color w:val="auto"/>
          <w:sz w:val="20"/>
          <w:szCs w:val="20"/>
        </w:rPr>
        <w:t>ośrodki kultury, kluby</w:t>
      </w:r>
      <w:r w:rsidR="00E66B89">
        <w:rPr>
          <w:rFonts w:ascii="Lato" w:hAnsi="Lato" w:cs="Times New Roman"/>
          <w:b w:val="0"/>
          <w:bCs w:val="0"/>
          <w:i w:val="0"/>
          <w:iCs w:val="0"/>
          <w:color w:val="auto"/>
          <w:sz w:val="20"/>
          <w:szCs w:val="20"/>
        </w:rPr>
        <w:t xml:space="preserve"> i </w:t>
      </w:r>
      <w:r w:rsidRPr="00CE549A">
        <w:rPr>
          <w:rFonts w:ascii="Lato" w:hAnsi="Lato" w:cs="Times New Roman"/>
          <w:b w:val="0"/>
          <w:bCs w:val="0"/>
          <w:i w:val="0"/>
          <w:iCs w:val="0"/>
          <w:color w:val="auto"/>
          <w:sz w:val="20"/>
          <w:szCs w:val="20"/>
        </w:rPr>
        <w:t>świetlice, zauważalny jest wzrost ich aktywności</w:t>
      </w:r>
      <w:r w:rsidR="00E66B89">
        <w:rPr>
          <w:rFonts w:ascii="Lato" w:hAnsi="Lato" w:cs="Times New Roman"/>
          <w:b w:val="0"/>
          <w:bCs w:val="0"/>
          <w:i w:val="0"/>
          <w:iCs w:val="0"/>
          <w:color w:val="auto"/>
          <w:sz w:val="20"/>
          <w:szCs w:val="20"/>
        </w:rPr>
        <w:t xml:space="preserve"> w </w:t>
      </w:r>
      <w:r w:rsidRPr="00CE549A">
        <w:rPr>
          <w:rFonts w:ascii="Lato" w:hAnsi="Lato" w:cs="Times New Roman"/>
          <w:b w:val="0"/>
          <w:bCs w:val="0"/>
          <w:i w:val="0"/>
          <w:iCs w:val="0"/>
          <w:color w:val="auto"/>
          <w:sz w:val="20"/>
          <w:szCs w:val="20"/>
        </w:rPr>
        <w:t>postaci organiz</w:t>
      </w:r>
      <w:r>
        <w:rPr>
          <w:rFonts w:ascii="Lato" w:hAnsi="Lato" w:cs="Times New Roman"/>
          <w:b w:val="0"/>
          <w:bCs w:val="0"/>
          <w:i w:val="0"/>
          <w:iCs w:val="0"/>
          <w:color w:val="auto"/>
          <w:sz w:val="20"/>
          <w:szCs w:val="20"/>
        </w:rPr>
        <w:t>owania</w:t>
      </w:r>
      <w:r w:rsidRPr="00CE549A">
        <w:rPr>
          <w:rFonts w:ascii="Lato" w:hAnsi="Lato" w:cs="Times New Roman"/>
          <w:b w:val="0"/>
          <w:bCs w:val="0"/>
          <w:i w:val="0"/>
          <w:iCs w:val="0"/>
          <w:color w:val="auto"/>
          <w:sz w:val="20"/>
          <w:szCs w:val="20"/>
        </w:rPr>
        <w:t xml:space="preserve"> większej liczby imprez. Warto odnotować jakościową poprawę oferty kulturalnej, czego przejawem jest znaczny, przekraczający średnią krajową wzrost liczby widzów</w:t>
      </w:r>
      <w:r w:rsidR="00E66B89">
        <w:rPr>
          <w:rFonts w:ascii="Lato" w:hAnsi="Lato" w:cs="Times New Roman"/>
          <w:b w:val="0"/>
          <w:bCs w:val="0"/>
          <w:i w:val="0"/>
          <w:iCs w:val="0"/>
          <w:color w:val="auto"/>
          <w:sz w:val="20"/>
          <w:szCs w:val="20"/>
        </w:rPr>
        <w:t xml:space="preserve"> w </w:t>
      </w:r>
      <w:r w:rsidRPr="00CE549A">
        <w:rPr>
          <w:rFonts w:ascii="Lato" w:hAnsi="Lato" w:cs="Times New Roman"/>
          <w:b w:val="0"/>
          <w:bCs w:val="0"/>
          <w:i w:val="0"/>
          <w:iCs w:val="0"/>
          <w:color w:val="auto"/>
          <w:sz w:val="20"/>
          <w:szCs w:val="20"/>
        </w:rPr>
        <w:t>teatrach</w:t>
      </w:r>
      <w:r w:rsidR="00E66B89">
        <w:rPr>
          <w:rFonts w:ascii="Lato" w:hAnsi="Lato" w:cs="Times New Roman"/>
          <w:b w:val="0"/>
          <w:bCs w:val="0"/>
          <w:i w:val="0"/>
          <w:iCs w:val="0"/>
          <w:color w:val="auto"/>
          <w:sz w:val="20"/>
          <w:szCs w:val="20"/>
        </w:rPr>
        <w:t xml:space="preserve"> i </w:t>
      </w:r>
      <w:r w:rsidRPr="00CE549A">
        <w:rPr>
          <w:rFonts w:ascii="Lato" w:hAnsi="Lato" w:cs="Times New Roman"/>
          <w:b w:val="0"/>
          <w:bCs w:val="0"/>
          <w:i w:val="0"/>
          <w:iCs w:val="0"/>
          <w:color w:val="auto"/>
          <w:sz w:val="20"/>
          <w:szCs w:val="20"/>
        </w:rPr>
        <w:t>uczestników wydarzeń muzycznych. Na analizowanym obszarze aktywność odwiedzających muzea znacznie odbiega od średniej krajowej. Jednakże dostępność kin, teatrów, instytucji muzycznych wciąż plasuje się poniżej średnich wartości dla kraju</w:t>
      </w:r>
      <w:r w:rsidR="00E66B89">
        <w:rPr>
          <w:rFonts w:ascii="Lato" w:hAnsi="Lato" w:cs="Times New Roman"/>
          <w:b w:val="0"/>
          <w:bCs w:val="0"/>
          <w:i w:val="0"/>
          <w:iCs w:val="0"/>
          <w:color w:val="auto"/>
          <w:sz w:val="20"/>
          <w:szCs w:val="20"/>
        </w:rPr>
        <w:t xml:space="preserve"> i </w:t>
      </w:r>
      <w:r w:rsidRPr="00CE549A">
        <w:rPr>
          <w:rFonts w:ascii="Lato" w:hAnsi="Lato" w:cs="Times New Roman"/>
          <w:b w:val="0"/>
          <w:bCs w:val="0"/>
          <w:i w:val="0"/>
          <w:iCs w:val="0"/>
          <w:color w:val="auto"/>
          <w:sz w:val="20"/>
          <w:szCs w:val="20"/>
        </w:rPr>
        <w:t>wymaga</w:t>
      </w:r>
      <w:r>
        <w:rPr>
          <w:rFonts w:ascii="Lato" w:hAnsi="Lato" w:cs="Times New Roman"/>
          <w:b w:val="0"/>
          <w:bCs w:val="0"/>
          <w:i w:val="0"/>
          <w:iCs w:val="0"/>
          <w:color w:val="auto"/>
          <w:sz w:val="20"/>
          <w:szCs w:val="20"/>
        </w:rPr>
        <w:t xml:space="preserve"> dalszej</w:t>
      </w:r>
      <w:r w:rsidRPr="00CE549A">
        <w:rPr>
          <w:rFonts w:ascii="Lato" w:hAnsi="Lato" w:cs="Times New Roman"/>
          <w:b w:val="0"/>
          <w:bCs w:val="0"/>
          <w:i w:val="0"/>
          <w:iCs w:val="0"/>
          <w:color w:val="auto"/>
          <w:sz w:val="20"/>
          <w:szCs w:val="20"/>
        </w:rPr>
        <w:t xml:space="preserve"> interwencji. </w:t>
      </w:r>
      <w:r w:rsidRPr="00CE549A">
        <w:rPr>
          <w:rFonts w:ascii="Lato" w:hAnsi="Lato" w:cs="Times New Roman"/>
          <w:b w:val="0"/>
          <w:i w:val="0"/>
          <w:color w:val="auto"/>
          <w:sz w:val="20"/>
          <w:szCs w:val="20"/>
        </w:rPr>
        <w:t xml:space="preserve">Nie zidentyfikowano </w:t>
      </w:r>
      <w:r>
        <w:rPr>
          <w:rFonts w:ascii="Lato" w:hAnsi="Lato" w:cs="Times New Roman"/>
          <w:b w:val="0"/>
          <w:i w:val="0"/>
          <w:color w:val="auto"/>
          <w:sz w:val="20"/>
          <w:szCs w:val="20"/>
        </w:rPr>
        <w:t xml:space="preserve">zaś </w:t>
      </w:r>
      <w:r w:rsidRPr="00CE549A">
        <w:rPr>
          <w:rFonts w:ascii="Lato" w:hAnsi="Lato" w:cs="Times New Roman"/>
          <w:b w:val="0"/>
          <w:i w:val="0"/>
          <w:color w:val="auto"/>
          <w:sz w:val="20"/>
          <w:szCs w:val="20"/>
        </w:rPr>
        <w:t>czynników</w:t>
      </w:r>
      <w:r w:rsidR="00E66B89">
        <w:rPr>
          <w:rFonts w:ascii="Lato" w:hAnsi="Lato" w:cs="Times New Roman"/>
          <w:b w:val="0"/>
          <w:i w:val="0"/>
          <w:color w:val="auto"/>
          <w:sz w:val="20"/>
          <w:szCs w:val="20"/>
        </w:rPr>
        <w:t xml:space="preserve"> o </w:t>
      </w:r>
      <w:r w:rsidRPr="00CE549A">
        <w:rPr>
          <w:rFonts w:ascii="Lato" w:hAnsi="Lato" w:cs="Times New Roman"/>
          <w:b w:val="0"/>
          <w:i w:val="0"/>
          <w:color w:val="auto"/>
          <w:sz w:val="20"/>
          <w:szCs w:val="20"/>
        </w:rPr>
        <w:t>charakterze wewnętrznym, które powodowałyby istotne problemy</w:t>
      </w:r>
      <w:r w:rsidR="00E66B89">
        <w:rPr>
          <w:rFonts w:ascii="Lato" w:hAnsi="Lato" w:cs="Times New Roman"/>
          <w:b w:val="0"/>
          <w:i w:val="0"/>
          <w:color w:val="auto"/>
          <w:sz w:val="20"/>
          <w:szCs w:val="20"/>
        </w:rPr>
        <w:t xml:space="preserve"> w </w:t>
      </w:r>
      <w:r w:rsidRPr="00CE549A">
        <w:rPr>
          <w:rFonts w:ascii="Lato" w:hAnsi="Lato" w:cs="Times New Roman"/>
          <w:b w:val="0"/>
          <w:i w:val="0"/>
          <w:color w:val="auto"/>
          <w:sz w:val="20"/>
          <w:szCs w:val="20"/>
        </w:rPr>
        <w:t>trakcie prowadzonych naborów.</w:t>
      </w:r>
    </w:p>
    <w:p w14:paraId="1F5E0B42" w14:textId="77777777" w:rsidR="006F4D8F" w:rsidRPr="00C22C26" w:rsidRDefault="006F4D8F" w:rsidP="006F4D8F">
      <w:pPr>
        <w:autoSpaceDE w:val="0"/>
        <w:autoSpaceDN w:val="0"/>
        <w:adjustRightInd w:val="0"/>
        <w:rPr>
          <w:rFonts w:cs="Verdana"/>
          <w:szCs w:val="20"/>
          <w:lang w:eastAsia="fr-FR"/>
        </w:rPr>
      </w:pPr>
      <w:r w:rsidRPr="00C22C26">
        <w:rPr>
          <w:rFonts w:cs="Verdana"/>
          <w:szCs w:val="20"/>
          <w:lang w:eastAsia="fr-FR"/>
        </w:rPr>
        <w:t>Przedstawione powyżej dane wskazują na nadal wysoką potrzebę wyrównywania deficytów rozwojowych regionu</w:t>
      </w:r>
      <w:r w:rsidR="00E66B89">
        <w:rPr>
          <w:rFonts w:cs="Verdana"/>
          <w:szCs w:val="20"/>
          <w:lang w:eastAsia="fr-FR"/>
        </w:rPr>
        <w:t xml:space="preserve"> w </w:t>
      </w:r>
      <w:r w:rsidRPr="00C22C26">
        <w:rPr>
          <w:rFonts w:cs="Verdana"/>
          <w:szCs w:val="20"/>
          <w:lang w:eastAsia="fr-FR"/>
        </w:rPr>
        <w:t xml:space="preserve">zakresie kultury. </w:t>
      </w:r>
    </w:p>
    <w:p w14:paraId="75E2AA75" w14:textId="77777777" w:rsidR="006F4D8F" w:rsidRPr="008B706B" w:rsidRDefault="006F4D8F" w:rsidP="006F4D8F">
      <w:pPr>
        <w:rPr>
          <w:rFonts w:cs="Calibri"/>
          <w:b/>
          <w:color w:val="365F91"/>
          <w:szCs w:val="20"/>
        </w:rPr>
      </w:pPr>
      <w:r w:rsidRPr="008B706B">
        <w:rPr>
          <w:rFonts w:cs="Calibri"/>
          <w:b/>
          <w:color w:val="365F91"/>
          <w:szCs w:val="20"/>
        </w:rPr>
        <w:t>PI 6d</w:t>
      </w:r>
    </w:p>
    <w:p w14:paraId="13B22F49" w14:textId="77777777" w:rsidR="006F4D8F" w:rsidRPr="00CE549A" w:rsidRDefault="006F4D8F" w:rsidP="006F4D8F">
      <w:pPr>
        <w:pStyle w:val="UPSrodtytul"/>
        <w:spacing w:before="120" w:line="288" w:lineRule="auto"/>
        <w:rPr>
          <w:rFonts w:ascii="Lato" w:hAnsi="Lato" w:cs="Times New Roman"/>
          <w:b w:val="0"/>
          <w:i w:val="0"/>
          <w:color w:val="auto"/>
          <w:sz w:val="20"/>
          <w:szCs w:val="20"/>
        </w:rPr>
      </w:pPr>
      <w:r>
        <w:rPr>
          <w:rFonts w:ascii="Lato" w:hAnsi="Lato" w:cs="Times New Roman"/>
          <w:b w:val="0"/>
          <w:i w:val="0"/>
          <w:color w:val="auto"/>
          <w:sz w:val="20"/>
          <w:szCs w:val="20"/>
        </w:rPr>
        <w:t>W przypadku interwencji</w:t>
      </w:r>
      <w:r w:rsidRPr="00CE549A">
        <w:rPr>
          <w:rFonts w:ascii="Lato" w:hAnsi="Lato" w:cs="Times New Roman"/>
          <w:b w:val="0"/>
          <w:i w:val="0"/>
          <w:color w:val="auto"/>
          <w:sz w:val="20"/>
          <w:szCs w:val="20"/>
        </w:rPr>
        <w:t xml:space="preserve"> odnosząc</w:t>
      </w:r>
      <w:r>
        <w:rPr>
          <w:rFonts w:ascii="Lato" w:hAnsi="Lato" w:cs="Times New Roman"/>
          <w:b w:val="0"/>
          <w:i w:val="0"/>
          <w:color w:val="auto"/>
          <w:sz w:val="20"/>
          <w:szCs w:val="20"/>
        </w:rPr>
        <w:t>ej</w:t>
      </w:r>
      <w:r w:rsidRPr="00CE549A">
        <w:rPr>
          <w:rFonts w:ascii="Lato" w:hAnsi="Lato" w:cs="Times New Roman"/>
          <w:b w:val="0"/>
          <w:i w:val="0"/>
          <w:color w:val="auto"/>
          <w:sz w:val="20"/>
          <w:szCs w:val="20"/>
        </w:rPr>
        <w:t xml:space="preserve"> się do zakresu wsparcia</w:t>
      </w:r>
      <w:r w:rsidR="00E66B89">
        <w:rPr>
          <w:rFonts w:ascii="Lato" w:hAnsi="Lato" w:cs="Times New Roman"/>
          <w:b w:val="0"/>
          <w:i w:val="0"/>
          <w:color w:val="auto"/>
          <w:sz w:val="20"/>
          <w:szCs w:val="20"/>
        </w:rPr>
        <w:t xml:space="preserve"> w </w:t>
      </w:r>
      <w:r w:rsidRPr="00CF48AD">
        <w:rPr>
          <w:rFonts w:ascii="Lato" w:hAnsi="Lato" w:cs="Times New Roman"/>
          <w:b w:val="0"/>
          <w:i w:val="0"/>
          <w:color w:val="auto"/>
          <w:sz w:val="20"/>
          <w:szCs w:val="20"/>
        </w:rPr>
        <w:t xml:space="preserve">ramach </w:t>
      </w:r>
      <w:r w:rsidRPr="008B706B">
        <w:rPr>
          <w:rFonts w:ascii="Lato" w:hAnsi="Lato" w:cs="Times New Roman"/>
          <w:b w:val="0"/>
          <w:i w:val="0"/>
          <w:color w:val="auto"/>
          <w:sz w:val="20"/>
          <w:szCs w:val="20"/>
        </w:rPr>
        <w:t xml:space="preserve">PI 6d </w:t>
      </w:r>
      <w:r w:rsidRPr="008B706B">
        <w:rPr>
          <w:rFonts w:ascii="Lato" w:hAnsi="Lato" w:cs="Times New Roman"/>
          <w:b w:val="0"/>
          <w:color w:val="auto"/>
          <w:sz w:val="20"/>
          <w:szCs w:val="20"/>
        </w:rPr>
        <w:t>Ochrona</w:t>
      </w:r>
      <w:r w:rsidR="00E66B89">
        <w:rPr>
          <w:rFonts w:ascii="Lato" w:hAnsi="Lato" w:cs="Times New Roman"/>
          <w:b w:val="0"/>
          <w:color w:val="auto"/>
          <w:sz w:val="20"/>
          <w:szCs w:val="20"/>
        </w:rPr>
        <w:t xml:space="preserve"> i </w:t>
      </w:r>
      <w:r w:rsidRPr="008B706B">
        <w:rPr>
          <w:rFonts w:ascii="Lato" w:hAnsi="Lato" w:cs="Times New Roman"/>
          <w:b w:val="0"/>
          <w:color w:val="auto"/>
          <w:sz w:val="20"/>
          <w:szCs w:val="20"/>
        </w:rPr>
        <w:t>przywrócenie różnorodności biologicznej, ochrona</w:t>
      </w:r>
      <w:r w:rsidR="00E66B89">
        <w:rPr>
          <w:rFonts w:ascii="Lato" w:hAnsi="Lato" w:cs="Times New Roman"/>
          <w:b w:val="0"/>
          <w:color w:val="auto"/>
          <w:sz w:val="20"/>
          <w:szCs w:val="20"/>
        </w:rPr>
        <w:t xml:space="preserve"> i </w:t>
      </w:r>
      <w:r w:rsidRPr="008B706B">
        <w:rPr>
          <w:rFonts w:ascii="Lato" w:hAnsi="Lato" w:cs="Times New Roman"/>
          <w:b w:val="0"/>
          <w:color w:val="auto"/>
          <w:sz w:val="20"/>
          <w:szCs w:val="20"/>
        </w:rPr>
        <w:t>rekultywacja gleby oraz wspieranie usług ekosystemowych, także poprzez program Natura 2000 oraz zieloną infrastrukturę</w:t>
      </w:r>
      <w:r>
        <w:rPr>
          <w:rFonts w:ascii="Lato" w:hAnsi="Lato" w:cs="Times New Roman"/>
          <w:b w:val="0"/>
          <w:color w:val="auto"/>
          <w:sz w:val="20"/>
          <w:szCs w:val="20"/>
        </w:rPr>
        <w:t>,</w:t>
      </w:r>
      <w:r w:rsidRPr="00CE549A">
        <w:rPr>
          <w:rFonts w:ascii="Lato" w:hAnsi="Lato" w:cs="Times New Roman"/>
          <w:b w:val="0"/>
          <w:i w:val="0"/>
          <w:color w:val="auto"/>
          <w:sz w:val="20"/>
          <w:szCs w:val="20"/>
        </w:rPr>
        <w:t xml:space="preserve"> przedstawiona</w:t>
      </w:r>
      <w:r w:rsidR="00E66B89">
        <w:rPr>
          <w:rFonts w:ascii="Lato" w:hAnsi="Lato" w:cs="Times New Roman"/>
          <w:b w:val="0"/>
          <w:i w:val="0"/>
          <w:color w:val="auto"/>
          <w:sz w:val="20"/>
          <w:szCs w:val="20"/>
        </w:rPr>
        <w:t xml:space="preserve"> w </w:t>
      </w:r>
      <w:r>
        <w:rPr>
          <w:rFonts w:ascii="Lato" w:hAnsi="Lato" w:cs="Times New Roman"/>
          <w:b w:val="0"/>
          <w:i w:val="0"/>
          <w:color w:val="auto"/>
          <w:sz w:val="20"/>
          <w:szCs w:val="20"/>
        </w:rPr>
        <w:t xml:space="preserve">programie </w:t>
      </w:r>
      <w:r w:rsidRPr="00CE549A">
        <w:rPr>
          <w:rFonts w:ascii="Lato" w:hAnsi="Lato" w:cs="Times New Roman"/>
          <w:b w:val="0"/>
          <w:i w:val="0"/>
          <w:color w:val="auto"/>
          <w:sz w:val="20"/>
          <w:szCs w:val="20"/>
        </w:rPr>
        <w:t>diagnoza jest trafna</w:t>
      </w:r>
      <w:r w:rsidR="00E66B89">
        <w:rPr>
          <w:rFonts w:ascii="Lato" w:hAnsi="Lato" w:cs="Times New Roman"/>
          <w:b w:val="0"/>
          <w:i w:val="0"/>
          <w:color w:val="auto"/>
          <w:sz w:val="20"/>
          <w:szCs w:val="20"/>
        </w:rPr>
        <w:t xml:space="preserve"> i </w:t>
      </w:r>
      <w:r w:rsidRPr="00CE549A">
        <w:rPr>
          <w:rFonts w:ascii="Lato" w:hAnsi="Lato" w:cs="Times New Roman"/>
          <w:b w:val="0"/>
          <w:i w:val="0"/>
          <w:color w:val="auto"/>
          <w:sz w:val="20"/>
          <w:szCs w:val="20"/>
        </w:rPr>
        <w:t>kompletna. Powierzchnia obszarów chronionych</w:t>
      </w:r>
      <w:r w:rsidR="00E66B89">
        <w:rPr>
          <w:rFonts w:ascii="Lato" w:hAnsi="Lato" w:cs="Times New Roman"/>
          <w:b w:val="0"/>
          <w:i w:val="0"/>
          <w:color w:val="auto"/>
          <w:sz w:val="20"/>
          <w:szCs w:val="20"/>
        </w:rPr>
        <w:t xml:space="preserve"> w </w:t>
      </w:r>
      <w:r w:rsidRPr="00CE549A">
        <w:rPr>
          <w:rFonts w:ascii="Lato" w:hAnsi="Lato" w:cs="Times New Roman"/>
          <w:b w:val="0"/>
          <w:i w:val="0"/>
          <w:color w:val="auto"/>
          <w:sz w:val="20"/>
          <w:szCs w:val="20"/>
        </w:rPr>
        <w:t>oparciu</w:t>
      </w:r>
      <w:r w:rsidR="00E66B89">
        <w:rPr>
          <w:rFonts w:ascii="Lato" w:hAnsi="Lato" w:cs="Times New Roman"/>
          <w:b w:val="0"/>
          <w:i w:val="0"/>
          <w:color w:val="auto"/>
          <w:sz w:val="20"/>
          <w:szCs w:val="20"/>
        </w:rPr>
        <w:t xml:space="preserve"> o </w:t>
      </w:r>
      <w:r w:rsidRPr="00CE549A">
        <w:rPr>
          <w:rFonts w:ascii="Lato" w:hAnsi="Lato" w:cs="Times New Roman"/>
          <w:b w:val="0"/>
          <w:i w:val="0"/>
          <w:color w:val="auto"/>
          <w:sz w:val="20"/>
          <w:szCs w:val="20"/>
        </w:rPr>
        <w:t>ustawę</w:t>
      </w:r>
      <w:r w:rsidR="00E66B89">
        <w:rPr>
          <w:rFonts w:ascii="Lato" w:hAnsi="Lato" w:cs="Times New Roman"/>
          <w:b w:val="0"/>
          <w:i w:val="0"/>
          <w:color w:val="auto"/>
          <w:sz w:val="20"/>
          <w:szCs w:val="20"/>
        </w:rPr>
        <w:t xml:space="preserve"> o </w:t>
      </w:r>
      <w:r w:rsidRPr="00CE549A">
        <w:rPr>
          <w:rFonts w:ascii="Lato" w:hAnsi="Lato" w:cs="Times New Roman"/>
          <w:b w:val="0"/>
          <w:i w:val="0"/>
          <w:color w:val="auto"/>
          <w:sz w:val="20"/>
          <w:szCs w:val="20"/>
        </w:rPr>
        <w:t>ochronie przyrody nie uległa istotnym zmianom od 2012 r.</w:t>
      </w:r>
    </w:p>
    <w:p w14:paraId="35CCC2D6" w14:textId="77777777" w:rsidR="006F4D8F" w:rsidRPr="00CE549A" w:rsidRDefault="006F4D8F" w:rsidP="006E34DC">
      <w:pPr>
        <w:pStyle w:val="Legenda"/>
        <w:spacing w:after="0"/>
      </w:pPr>
      <w:bookmarkStart w:id="120" w:name="_Toc8824165"/>
      <w:r w:rsidRPr="00CE549A">
        <w:t xml:space="preserve">Tabela </w:t>
      </w:r>
      <w:r>
        <w:fldChar w:fldCharType="begin"/>
      </w:r>
      <w:r>
        <w:instrText xml:space="preserve"> SEQ Tabela \* ARABIC </w:instrText>
      </w:r>
      <w:r>
        <w:fldChar w:fldCharType="separate"/>
      </w:r>
      <w:r w:rsidR="00763345">
        <w:rPr>
          <w:noProof/>
        </w:rPr>
        <w:t>54</w:t>
      </w:r>
      <w:r>
        <w:fldChar w:fldCharType="end"/>
      </w:r>
      <w:r w:rsidRPr="00CE549A">
        <w:t xml:space="preserve"> Obszary prawnie chronione</w:t>
      </w:r>
      <w:r w:rsidR="00E66B89">
        <w:t xml:space="preserve"> w </w:t>
      </w:r>
      <w:r w:rsidRPr="00CE549A">
        <w:t>województwie zachodniopomorskim [ha]</w:t>
      </w:r>
      <w:bookmarkEnd w:id="120"/>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0"/>
        <w:gridCol w:w="820"/>
        <w:gridCol w:w="820"/>
        <w:gridCol w:w="820"/>
        <w:gridCol w:w="820"/>
        <w:gridCol w:w="820"/>
        <w:gridCol w:w="820"/>
        <w:gridCol w:w="820"/>
        <w:gridCol w:w="820"/>
        <w:gridCol w:w="820"/>
        <w:gridCol w:w="820"/>
      </w:tblGrid>
      <w:tr w:rsidR="006F4D8F" w:rsidRPr="003850AB" w14:paraId="5B1CA52E" w14:textId="77777777" w:rsidTr="005F04FC">
        <w:trPr>
          <w:trHeight w:val="795"/>
          <w:tblHeader/>
        </w:trPr>
        <w:tc>
          <w:tcPr>
            <w:tcW w:w="820" w:type="dxa"/>
            <w:shd w:val="clear" w:color="auto" w:fill="DBE5F1"/>
            <w:vAlign w:val="center"/>
            <w:hideMark/>
          </w:tcPr>
          <w:p w14:paraId="0B5B51E1" w14:textId="77777777" w:rsidR="006F4D8F" w:rsidRPr="00C22C26" w:rsidRDefault="006F4D8F" w:rsidP="001A41AF">
            <w:pPr>
              <w:jc w:val="center"/>
              <w:rPr>
                <w:bCs/>
                <w:sz w:val="18"/>
                <w:szCs w:val="20"/>
              </w:rPr>
            </w:pPr>
            <w:r w:rsidRPr="00C22C26">
              <w:rPr>
                <w:bCs/>
                <w:sz w:val="18"/>
                <w:szCs w:val="20"/>
              </w:rPr>
              <w:t>2007</w:t>
            </w:r>
          </w:p>
        </w:tc>
        <w:tc>
          <w:tcPr>
            <w:tcW w:w="820" w:type="dxa"/>
            <w:shd w:val="clear" w:color="auto" w:fill="DBE5F1"/>
            <w:vAlign w:val="center"/>
            <w:hideMark/>
          </w:tcPr>
          <w:p w14:paraId="4960D8D0" w14:textId="77777777" w:rsidR="006F4D8F" w:rsidRPr="00C22C26" w:rsidRDefault="006F4D8F" w:rsidP="001A41AF">
            <w:pPr>
              <w:jc w:val="center"/>
              <w:rPr>
                <w:bCs/>
                <w:sz w:val="18"/>
                <w:szCs w:val="20"/>
              </w:rPr>
            </w:pPr>
            <w:r w:rsidRPr="00C22C26">
              <w:rPr>
                <w:bCs/>
                <w:sz w:val="18"/>
                <w:szCs w:val="20"/>
              </w:rPr>
              <w:t>2008</w:t>
            </w:r>
          </w:p>
        </w:tc>
        <w:tc>
          <w:tcPr>
            <w:tcW w:w="820" w:type="dxa"/>
            <w:shd w:val="clear" w:color="auto" w:fill="DBE5F1"/>
            <w:vAlign w:val="center"/>
            <w:hideMark/>
          </w:tcPr>
          <w:p w14:paraId="236A869F" w14:textId="77777777" w:rsidR="006F4D8F" w:rsidRPr="00C22C26" w:rsidRDefault="006F4D8F" w:rsidP="001A41AF">
            <w:pPr>
              <w:jc w:val="center"/>
              <w:rPr>
                <w:bCs/>
                <w:sz w:val="18"/>
                <w:szCs w:val="20"/>
              </w:rPr>
            </w:pPr>
            <w:r w:rsidRPr="00C22C26">
              <w:rPr>
                <w:bCs/>
                <w:sz w:val="18"/>
                <w:szCs w:val="20"/>
              </w:rPr>
              <w:t>2009</w:t>
            </w:r>
          </w:p>
        </w:tc>
        <w:tc>
          <w:tcPr>
            <w:tcW w:w="820" w:type="dxa"/>
            <w:shd w:val="clear" w:color="auto" w:fill="DBE5F1"/>
            <w:vAlign w:val="center"/>
            <w:hideMark/>
          </w:tcPr>
          <w:p w14:paraId="48BB3A2F" w14:textId="77777777" w:rsidR="006F4D8F" w:rsidRPr="00C22C26" w:rsidRDefault="006F4D8F" w:rsidP="001A41AF">
            <w:pPr>
              <w:jc w:val="center"/>
              <w:rPr>
                <w:bCs/>
                <w:sz w:val="18"/>
                <w:szCs w:val="20"/>
              </w:rPr>
            </w:pPr>
            <w:r w:rsidRPr="00C22C26">
              <w:rPr>
                <w:bCs/>
                <w:sz w:val="18"/>
                <w:szCs w:val="20"/>
              </w:rPr>
              <w:t>2010</w:t>
            </w:r>
          </w:p>
        </w:tc>
        <w:tc>
          <w:tcPr>
            <w:tcW w:w="820" w:type="dxa"/>
            <w:shd w:val="clear" w:color="auto" w:fill="DBE5F1"/>
            <w:vAlign w:val="center"/>
            <w:hideMark/>
          </w:tcPr>
          <w:p w14:paraId="51B3EE4C" w14:textId="77777777" w:rsidR="006F4D8F" w:rsidRPr="00C22C26" w:rsidRDefault="006F4D8F" w:rsidP="001A41AF">
            <w:pPr>
              <w:jc w:val="center"/>
              <w:rPr>
                <w:bCs/>
                <w:sz w:val="18"/>
                <w:szCs w:val="20"/>
              </w:rPr>
            </w:pPr>
            <w:r w:rsidRPr="00C22C26">
              <w:rPr>
                <w:bCs/>
                <w:sz w:val="18"/>
                <w:szCs w:val="20"/>
              </w:rPr>
              <w:t>2011</w:t>
            </w:r>
          </w:p>
        </w:tc>
        <w:tc>
          <w:tcPr>
            <w:tcW w:w="820" w:type="dxa"/>
            <w:shd w:val="clear" w:color="auto" w:fill="DBE5F1"/>
            <w:vAlign w:val="center"/>
            <w:hideMark/>
          </w:tcPr>
          <w:p w14:paraId="7EC9AF8C" w14:textId="77777777" w:rsidR="006F4D8F" w:rsidRPr="00C22C26" w:rsidRDefault="006F4D8F" w:rsidP="001A41AF">
            <w:pPr>
              <w:jc w:val="center"/>
              <w:rPr>
                <w:bCs/>
                <w:sz w:val="18"/>
                <w:szCs w:val="20"/>
              </w:rPr>
            </w:pPr>
            <w:r w:rsidRPr="00C22C26">
              <w:rPr>
                <w:bCs/>
                <w:sz w:val="18"/>
                <w:szCs w:val="20"/>
              </w:rPr>
              <w:t>2012</w:t>
            </w:r>
          </w:p>
        </w:tc>
        <w:tc>
          <w:tcPr>
            <w:tcW w:w="820" w:type="dxa"/>
            <w:shd w:val="clear" w:color="auto" w:fill="DBE5F1"/>
            <w:vAlign w:val="center"/>
            <w:hideMark/>
          </w:tcPr>
          <w:p w14:paraId="1A609B2D" w14:textId="77777777" w:rsidR="006F4D8F" w:rsidRPr="00C22C26" w:rsidRDefault="006F4D8F" w:rsidP="001A41AF">
            <w:pPr>
              <w:jc w:val="center"/>
              <w:rPr>
                <w:bCs/>
                <w:sz w:val="18"/>
                <w:szCs w:val="20"/>
              </w:rPr>
            </w:pPr>
            <w:r w:rsidRPr="00C22C26">
              <w:rPr>
                <w:bCs/>
                <w:sz w:val="18"/>
                <w:szCs w:val="20"/>
              </w:rPr>
              <w:t>2013</w:t>
            </w:r>
          </w:p>
        </w:tc>
        <w:tc>
          <w:tcPr>
            <w:tcW w:w="820" w:type="dxa"/>
            <w:shd w:val="clear" w:color="auto" w:fill="DBE5F1"/>
            <w:vAlign w:val="center"/>
            <w:hideMark/>
          </w:tcPr>
          <w:p w14:paraId="072DD702" w14:textId="77777777" w:rsidR="006F4D8F" w:rsidRPr="00C22C26" w:rsidRDefault="006F4D8F" w:rsidP="001A41AF">
            <w:pPr>
              <w:jc w:val="center"/>
              <w:rPr>
                <w:bCs/>
                <w:sz w:val="18"/>
                <w:szCs w:val="20"/>
              </w:rPr>
            </w:pPr>
            <w:r w:rsidRPr="00C22C26">
              <w:rPr>
                <w:bCs/>
                <w:sz w:val="18"/>
                <w:szCs w:val="20"/>
              </w:rPr>
              <w:t>2014</w:t>
            </w:r>
          </w:p>
        </w:tc>
        <w:tc>
          <w:tcPr>
            <w:tcW w:w="820" w:type="dxa"/>
            <w:shd w:val="clear" w:color="auto" w:fill="DBE5F1"/>
            <w:vAlign w:val="center"/>
            <w:hideMark/>
          </w:tcPr>
          <w:p w14:paraId="049E0A0C" w14:textId="77777777" w:rsidR="006F4D8F" w:rsidRPr="00C22C26" w:rsidRDefault="006F4D8F" w:rsidP="001A41AF">
            <w:pPr>
              <w:jc w:val="center"/>
              <w:rPr>
                <w:bCs/>
                <w:sz w:val="18"/>
                <w:szCs w:val="20"/>
              </w:rPr>
            </w:pPr>
            <w:r w:rsidRPr="00C22C26">
              <w:rPr>
                <w:bCs/>
                <w:sz w:val="18"/>
                <w:szCs w:val="20"/>
              </w:rPr>
              <w:t>2015</w:t>
            </w:r>
          </w:p>
        </w:tc>
        <w:tc>
          <w:tcPr>
            <w:tcW w:w="820" w:type="dxa"/>
            <w:shd w:val="clear" w:color="auto" w:fill="DBE5F1"/>
            <w:vAlign w:val="center"/>
            <w:hideMark/>
          </w:tcPr>
          <w:p w14:paraId="3DF4292E" w14:textId="77777777" w:rsidR="006F4D8F" w:rsidRPr="00C22C26" w:rsidRDefault="006F4D8F" w:rsidP="001A41AF">
            <w:pPr>
              <w:jc w:val="center"/>
              <w:rPr>
                <w:bCs/>
                <w:sz w:val="18"/>
                <w:szCs w:val="20"/>
              </w:rPr>
            </w:pPr>
            <w:r w:rsidRPr="00C22C26">
              <w:rPr>
                <w:bCs/>
                <w:sz w:val="18"/>
                <w:szCs w:val="20"/>
              </w:rPr>
              <w:t>2016</w:t>
            </w:r>
          </w:p>
        </w:tc>
        <w:tc>
          <w:tcPr>
            <w:tcW w:w="820" w:type="dxa"/>
            <w:shd w:val="clear" w:color="auto" w:fill="DBE5F1"/>
            <w:vAlign w:val="center"/>
            <w:hideMark/>
          </w:tcPr>
          <w:p w14:paraId="5ADC93BD" w14:textId="77777777" w:rsidR="006F4D8F" w:rsidRPr="00C22C26" w:rsidRDefault="006F4D8F" w:rsidP="001A41AF">
            <w:pPr>
              <w:jc w:val="center"/>
              <w:rPr>
                <w:bCs/>
                <w:sz w:val="18"/>
                <w:szCs w:val="20"/>
              </w:rPr>
            </w:pPr>
            <w:r w:rsidRPr="00C22C26">
              <w:rPr>
                <w:bCs/>
                <w:sz w:val="18"/>
                <w:szCs w:val="20"/>
              </w:rPr>
              <w:t>2017</w:t>
            </w:r>
          </w:p>
        </w:tc>
      </w:tr>
      <w:tr w:rsidR="006F4D8F" w:rsidRPr="0007243A" w14:paraId="3C76CF7E" w14:textId="77777777" w:rsidTr="00C22C26">
        <w:trPr>
          <w:trHeight w:val="308"/>
        </w:trPr>
        <w:tc>
          <w:tcPr>
            <w:tcW w:w="820" w:type="dxa"/>
            <w:shd w:val="clear" w:color="auto" w:fill="auto"/>
            <w:noWrap/>
            <w:vAlign w:val="bottom"/>
            <w:hideMark/>
          </w:tcPr>
          <w:p w14:paraId="74F9C8A6" w14:textId="77777777" w:rsidR="006F4D8F" w:rsidRPr="0007243A" w:rsidRDefault="006F4D8F" w:rsidP="006F4D8F">
            <w:pPr>
              <w:rPr>
                <w:color w:val="000000"/>
                <w:sz w:val="18"/>
                <w:szCs w:val="20"/>
              </w:rPr>
            </w:pPr>
            <w:r w:rsidRPr="0007243A">
              <w:rPr>
                <w:color w:val="000000"/>
                <w:sz w:val="18"/>
                <w:szCs w:val="20"/>
              </w:rPr>
              <w:t>492 459,1</w:t>
            </w:r>
          </w:p>
        </w:tc>
        <w:tc>
          <w:tcPr>
            <w:tcW w:w="820" w:type="dxa"/>
            <w:shd w:val="clear" w:color="auto" w:fill="auto"/>
            <w:noWrap/>
            <w:vAlign w:val="bottom"/>
            <w:hideMark/>
          </w:tcPr>
          <w:p w14:paraId="2D937A92" w14:textId="77777777" w:rsidR="006F4D8F" w:rsidRPr="0007243A" w:rsidRDefault="006F4D8F" w:rsidP="006F4D8F">
            <w:pPr>
              <w:rPr>
                <w:color w:val="000000"/>
                <w:sz w:val="18"/>
                <w:szCs w:val="20"/>
              </w:rPr>
            </w:pPr>
            <w:r w:rsidRPr="0007243A">
              <w:rPr>
                <w:color w:val="000000"/>
                <w:sz w:val="18"/>
                <w:szCs w:val="20"/>
              </w:rPr>
              <w:t>491 647,6</w:t>
            </w:r>
          </w:p>
        </w:tc>
        <w:tc>
          <w:tcPr>
            <w:tcW w:w="820" w:type="dxa"/>
            <w:shd w:val="clear" w:color="auto" w:fill="auto"/>
            <w:noWrap/>
            <w:vAlign w:val="bottom"/>
            <w:hideMark/>
          </w:tcPr>
          <w:p w14:paraId="0DD20D08" w14:textId="77777777" w:rsidR="006F4D8F" w:rsidRPr="0007243A" w:rsidRDefault="006F4D8F" w:rsidP="006F4D8F">
            <w:pPr>
              <w:rPr>
                <w:color w:val="000000"/>
                <w:sz w:val="18"/>
                <w:szCs w:val="20"/>
              </w:rPr>
            </w:pPr>
            <w:r w:rsidRPr="0007243A">
              <w:rPr>
                <w:color w:val="000000"/>
                <w:sz w:val="18"/>
                <w:szCs w:val="20"/>
              </w:rPr>
              <w:t>482 095,2</w:t>
            </w:r>
          </w:p>
        </w:tc>
        <w:tc>
          <w:tcPr>
            <w:tcW w:w="820" w:type="dxa"/>
            <w:shd w:val="clear" w:color="auto" w:fill="auto"/>
            <w:noWrap/>
            <w:vAlign w:val="bottom"/>
            <w:hideMark/>
          </w:tcPr>
          <w:p w14:paraId="4E4AA527" w14:textId="77777777" w:rsidR="006F4D8F" w:rsidRPr="0007243A" w:rsidRDefault="006F4D8F" w:rsidP="006F4D8F">
            <w:pPr>
              <w:rPr>
                <w:color w:val="000000"/>
                <w:sz w:val="18"/>
                <w:szCs w:val="20"/>
              </w:rPr>
            </w:pPr>
            <w:r w:rsidRPr="0007243A">
              <w:rPr>
                <w:color w:val="000000"/>
                <w:sz w:val="18"/>
                <w:szCs w:val="20"/>
              </w:rPr>
              <w:t>482 419,0</w:t>
            </w:r>
          </w:p>
        </w:tc>
        <w:tc>
          <w:tcPr>
            <w:tcW w:w="820" w:type="dxa"/>
            <w:shd w:val="clear" w:color="auto" w:fill="auto"/>
            <w:noWrap/>
            <w:vAlign w:val="bottom"/>
            <w:hideMark/>
          </w:tcPr>
          <w:p w14:paraId="20AE9A51" w14:textId="77777777" w:rsidR="006F4D8F" w:rsidRPr="0007243A" w:rsidRDefault="006F4D8F" w:rsidP="006F4D8F">
            <w:pPr>
              <w:rPr>
                <w:color w:val="000000"/>
                <w:sz w:val="18"/>
                <w:szCs w:val="20"/>
              </w:rPr>
            </w:pPr>
            <w:r w:rsidRPr="0007243A">
              <w:rPr>
                <w:color w:val="000000"/>
                <w:sz w:val="18"/>
                <w:szCs w:val="20"/>
              </w:rPr>
              <w:t>482 445,9</w:t>
            </w:r>
          </w:p>
        </w:tc>
        <w:tc>
          <w:tcPr>
            <w:tcW w:w="820" w:type="dxa"/>
            <w:shd w:val="clear" w:color="auto" w:fill="auto"/>
            <w:noWrap/>
            <w:vAlign w:val="bottom"/>
            <w:hideMark/>
          </w:tcPr>
          <w:p w14:paraId="6562E466" w14:textId="77777777" w:rsidR="006F4D8F" w:rsidRPr="0007243A" w:rsidRDefault="006F4D8F" w:rsidP="006F4D8F">
            <w:pPr>
              <w:rPr>
                <w:color w:val="000000"/>
                <w:sz w:val="18"/>
                <w:szCs w:val="20"/>
              </w:rPr>
            </w:pPr>
            <w:r w:rsidRPr="0007243A">
              <w:rPr>
                <w:color w:val="000000"/>
                <w:sz w:val="18"/>
                <w:szCs w:val="20"/>
              </w:rPr>
              <w:t>482 578,0</w:t>
            </w:r>
          </w:p>
        </w:tc>
        <w:tc>
          <w:tcPr>
            <w:tcW w:w="820" w:type="dxa"/>
            <w:shd w:val="clear" w:color="auto" w:fill="auto"/>
            <w:noWrap/>
            <w:vAlign w:val="bottom"/>
            <w:hideMark/>
          </w:tcPr>
          <w:p w14:paraId="1DE10821" w14:textId="77777777" w:rsidR="006F4D8F" w:rsidRPr="0007243A" w:rsidRDefault="006F4D8F" w:rsidP="006F4D8F">
            <w:pPr>
              <w:rPr>
                <w:color w:val="000000"/>
                <w:sz w:val="18"/>
                <w:szCs w:val="20"/>
              </w:rPr>
            </w:pPr>
            <w:r w:rsidRPr="0007243A">
              <w:rPr>
                <w:color w:val="000000"/>
                <w:sz w:val="18"/>
                <w:szCs w:val="20"/>
              </w:rPr>
              <w:t>496 863,29</w:t>
            </w:r>
          </w:p>
        </w:tc>
        <w:tc>
          <w:tcPr>
            <w:tcW w:w="820" w:type="dxa"/>
            <w:shd w:val="clear" w:color="auto" w:fill="auto"/>
            <w:noWrap/>
            <w:vAlign w:val="bottom"/>
            <w:hideMark/>
          </w:tcPr>
          <w:p w14:paraId="5D01A31E" w14:textId="77777777" w:rsidR="006F4D8F" w:rsidRPr="0007243A" w:rsidRDefault="006F4D8F" w:rsidP="006F4D8F">
            <w:pPr>
              <w:rPr>
                <w:color w:val="000000"/>
                <w:sz w:val="18"/>
                <w:szCs w:val="20"/>
              </w:rPr>
            </w:pPr>
            <w:r w:rsidRPr="0007243A">
              <w:rPr>
                <w:color w:val="000000"/>
                <w:sz w:val="18"/>
                <w:szCs w:val="20"/>
              </w:rPr>
              <w:t>493 888,90</w:t>
            </w:r>
          </w:p>
        </w:tc>
        <w:tc>
          <w:tcPr>
            <w:tcW w:w="820" w:type="dxa"/>
            <w:shd w:val="clear" w:color="auto" w:fill="auto"/>
            <w:noWrap/>
            <w:vAlign w:val="bottom"/>
            <w:hideMark/>
          </w:tcPr>
          <w:p w14:paraId="22DB9A87" w14:textId="77777777" w:rsidR="006F4D8F" w:rsidRPr="0007243A" w:rsidRDefault="006F4D8F" w:rsidP="006F4D8F">
            <w:pPr>
              <w:rPr>
                <w:color w:val="000000"/>
                <w:sz w:val="18"/>
                <w:szCs w:val="20"/>
              </w:rPr>
            </w:pPr>
            <w:r w:rsidRPr="0007243A">
              <w:rPr>
                <w:color w:val="000000"/>
                <w:sz w:val="18"/>
                <w:szCs w:val="20"/>
              </w:rPr>
              <w:t>493 968,69</w:t>
            </w:r>
          </w:p>
        </w:tc>
        <w:tc>
          <w:tcPr>
            <w:tcW w:w="820" w:type="dxa"/>
            <w:shd w:val="clear" w:color="auto" w:fill="auto"/>
            <w:noWrap/>
            <w:vAlign w:val="bottom"/>
            <w:hideMark/>
          </w:tcPr>
          <w:p w14:paraId="5DC404B5" w14:textId="77777777" w:rsidR="006F4D8F" w:rsidRPr="0007243A" w:rsidRDefault="006F4D8F" w:rsidP="006F4D8F">
            <w:pPr>
              <w:rPr>
                <w:color w:val="000000"/>
                <w:sz w:val="18"/>
                <w:szCs w:val="20"/>
              </w:rPr>
            </w:pPr>
            <w:r w:rsidRPr="0007243A">
              <w:rPr>
                <w:color w:val="000000"/>
                <w:sz w:val="18"/>
                <w:szCs w:val="20"/>
              </w:rPr>
              <w:t>500 206,41</w:t>
            </w:r>
          </w:p>
        </w:tc>
        <w:tc>
          <w:tcPr>
            <w:tcW w:w="820" w:type="dxa"/>
            <w:shd w:val="clear" w:color="auto" w:fill="auto"/>
            <w:noWrap/>
            <w:vAlign w:val="bottom"/>
            <w:hideMark/>
          </w:tcPr>
          <w:p w14:paraId="43F58186" w14:textId="77777777" w:rsidR="006F4D8F" w:rsidRPr="0007243A" w:rsidRDefault="006F4D8F" w:rsidP="006F4D8F">
            <w:pPr>
              <w:rPr>
                <w:color w:val="000000"/>
                <w:sz w:val="18"/>
                <w:szCs w:val="20"/>
              </w:rPr>
            </w:pPr>
            <w:r w:rsidRPr="0007243A">
              <w:rPr>
                <w:color w:val="000000"/>
                <w:sz w:val="18"/>
                <w:szCs w:val="20"/>
              </w:rPr>
              <w:t>499 987,42</w:t>
            </w:r>
          </w:p>
        </w:tc>
      </w:tr>
    </w:tbl>
    <w:p w14:paraId="3502D823" w14:textId="77777777" w:rsidR="006F4D8F" w:rsidRPr="002A5FDF" w:rsidRDefault="006F4D8F" w:rsidP="00F10E7C">
      <w:pPr>
        <w:spacing w:before="0"/>
        <w:rPr>
          <w:i/>
          <w:sz w:val="18"/>
          <w:szCs w:val="20"/>
        </w:rPr>
      </w:pPr>
      <w:r w:rsidRPr="002A5FDF">
        <w:rPr>
          <w:i/>
          <w:sz w:val="18"/>
          <w:szCs w:val="20"/>
        </w:rPr>
        <w:t>Źródło: Opracowanie własne na podstawie Banku Danych Lokalnych GUS.</w:t>
      </w:r>
    </w:p>
    <w:p w14:paraId="492A7581" w14:textId="77777777" w:rsidR="006F4D8F" w:rsidRDefault="006F4D8F" w:rsidP="006F4D8F">
      <w:pPr>
        <w:pStyle w:val="UPtresc"/>
        <w:spacing w:line="288" w:lineRule="auto"/>
        <w:rPr>
          <w:rFonts w:ascii="Lato" w:hAnsi="Lato" w:cs="Times New Roman"/>
          <w:sz w:val="20"/>
          <w:szCs w:val="20"/>
        </w:rPr>
      </w:pPr>
      <w:r w:rsidRPr="00CE549A">
        <w:rPr>
          <w:rFonts w:ascii="Lato" w:hAnsi="Lato" w:cs="Times New Roman"/>
          <w:sz w:val="20"/>
          <w:szCs w:val="20"/>
        </w:rPr>
        <w:t>Zgodnie</w:t>
      </w:r>
      <w:r w:rsidR="00E66B89">
        <w:rPr>
          <w:rFonts w:ascii="Lato" w:hAnsi="Lato" w:cs="Times New Roman"/>
          <w:sz w:val="20"/>
          <w:szCs w:val="20"/>
        </w:rPr>
        <w:t xml:space="preserve"> z </w:t>
      </w:r>
      <w:r w:rsidRPr="00CE549A">
        <w:rPr>
          <w:rFonts w:ascii="Lato" w:hAnsi="Lato" w:cs="Times New Roman"/>
          <w:sz w:val="20"/>
          <w:szCs w:val="20"/>
        </w:rPr>
        <w:t>aktualnymi informacjami prezentowanymi przez GIOŚ</w:t>
      </w:r>
      <w:r w:rsidR="00E66B89">
        <w:rPr>
          <w:rFonts w:ascii="Lato" w:hAnsi="Lato" w:cs="Times New Roman"/>
          <w:sz w:val="20"/>
          <w:szCs w:val="20"/>
        </w:rPr>
        <w:t xml:space="preserve"> w </w:t>
      </w:r>
      <w:r w:rsidRPr="00CE549A">
        <w:rPr>
          <w:rFonts w:ascii="Lato" w:hAnsi="Lato" w:cs="Times New Roman"/>
          <w:sz w:val="20"/>
          <w:szCs w:val="20"/>
        </w:rPr>
        <w:t>sieci obszarów Natura 2000</w:t>
      </w:r>
      <w:r w:rsidR="00E66B89">
        <w:rPr>
          <w:rFonts w:ascii="Lato" w:hAnsi="Lato" w:cs="Times New Roman"/>
          <w:sz w:val="20"/>
          <w:szCs w:val="20"/>
        </w:rPr>
        <w:t xml:space="preserve"> w </w:t>
      </w:r>
      <w:r w:rsidRPr="00CE549A">
        <w:rPr>
          <w:rFonts w:ascii="Lato" w:hAnsi="Lato" w:cs="Times New Roman"/>
          <w:sz w:val="20"/>
          <w:szCs w:val="20"/>
        </w:rPr>
        <w:t xml:space="preserve">województwie zachodniopomorskim </w:t>
      </w:r>
      <w:r>
        <w:rPr>
          <w:rFonts w:ascii="Lato" w:hAnsi="Lato" w:cs="Times New Roman"/>
          <w:sz w:val="20"/>
          <w:szCs w:val="20"/>
        </w:rPr>
        <w:t>znajduje się</w:t>
      </w:r>
      <w:r w:rsidRPr="00CE549A">
        <w:rPr>
          <w:rFonts w:ascii="Lato" w:hAnsi="Lato" w:cs="Times New Roman"/>
          <w:sz w:val="20"/>
          <w:szCs w:val="20"/>
        </w:rPr>
        <w:t> 87 obszarów. Ich powierzchnia niemal nie zmienia się od roku 201</w:t>
      </w:r>
      <w:r>
        <w:rPr>
          <w:rFonts w:ascii="Lato" w:hAnsi="Lato" w:cs="Times New Roman"/>
          <w:sz w:val="20"/>
          <w:szCs w:val="20"/>
        </w:rPr>
        <w:t>4</w:t>
      </w:r>
      <w:r w:rsidRPr="00CE549A">
        <w:rPr>
          <w:rFonts w:ascii="Lato" w:hAnsi="Lato" w:cs="Times New Roman"/>
          <w:sz w:val="20"/>
          <w:szCs w:val="20"/>
        </w:rPr>
        <w:t>. Odsetek obszarów prawnie chronionych</w:t>
      </w:r>
      <w:r w:rsidR="00E66B89">
        <w:rPr>
          <w:rFonts w:ascii="Lato" w:hAnsi="Lato" w:cs="Times New Roman"/>
          <w:sz w:val="20"/>
          <w:szCs w:val="20"/>
        </w:rPr>
        <w:t xml:space="preserve"> w </w:t>
      </w:r>
      <w:r w:rsidRPr="00CE549A">
        <w:rPr>
          <w:rFonts w:ascii="Lato" w:hAnsi="Lato" w:cs="Times New Roman"/>
          <w:sz w:val="20"/>
          <w:szCs w:val="20"/>
        </w:rPr>
        <w:t>odniesieniu do powierzchni województwa wynosi ok. 22%, podczas gdy odsetek ten wynosi ok. 32%</w:t>
      </w:r>
      <w:r w:rsidR="00E66B89">
        <w:rPr>
          <w:rFonts w:ascii="Lato" w:hAnsi="Lato" w:cs="Times New Roman"/>
          <w:sz w:val="20"/>
          <w:szCs w:val="20"/>
        </w:rPr>
        <w:t xml:space="preserve"> w </w:t>
      </w:r>
      <w:r w:rsidRPr="00CE549A">
        <w:rPr>
          <w:rFonts w:ascii="Lato" w:hAnsi="Lato" w:cs="Times New Roman"/>
          <w:sz w:val="20"/>
          <w:szCs w:val="20"/>
        </w:rPr>
        <w:t>skali kraju.</w:t>
      </w:r>
      <w:r w:rsidR="00E66B89">
        <w:rPr>
          <w:rFonts w:ascii="Lato" w:hAnsi="Lato" w:cs="Times New Roman"/>
          <w:sz w:val="20"/>
          <w:szCs w:val="20"/>
        </w:rPr>
        <w:t xml:space="preserve"> W </w:t>
      </w:r>
      <w:r w:rsidRPr="00CE549A">
        <w:rPr>
          <w:rFonts w:ascii="Lato" w:hAnsi="Lato" w:cs="Times New Roman"/>
          <w:sz w:val="20"/>
          <w:szCs w:val="20"/>
        </w:rPr>
        <w:t>analizowanym okresie można zauważyć</w:t>
      </w:r>
      <w:r>
        <w:rPr>
          <w:rFonts w:ascii="Lato" w:hAnsi="Lato" w:cs="Times New Roman"/>
          <w:sz w:val="20"/>
          <w:szCs w:val="20"/>
        </w:rPr>
        <w:t xml:space="preserve"> </w:t>
      </w:r>
      <w:r w:rsidRPr="00CE549A">
        <w:rPr>
          <w:rFonts w:ascii="Lato" w:hAnsi="Lato" w:cs="Times New Roman"/>
          <w:sz w:val="20"/>
          <w:szCs w:val="20"/>
        </w:rPr>
        <w:t>zwiększenie się obszarów użytków ekologicznych –</w:t>
      </w:r>
      <w:r w:rsidR="00E66B89">
        <w:rPr>
          <w:rFonts w:ascii="Lato" w:hAnsi="Lato" w:cs="Times New Roman"/>
          <w:sz w:val="20"/>
          <w:szCs w:val="20"/>
        </w:rPr>
        <w:t xml:space="preserve"> o </w:t>
      </w:r>
      <w:r w:rsidRPr="00CE549A">
        <w:rPr>
          <w:rFonts w:ascii="Lato" w:hAnsi="Lato" w:cs="Times New Roman"/>
          <w:sz w:val="20"/>
          <w:szCs w:val="20"/>
        </w:rPr>
        <w:t>ok. 7,5%. Od roku 20</w:t>
      </w:r>
      <w:r>
        <w:rPr>
          <w:rFonts w:ascii="Lato" w:hAnsi="Lato" w:cs="Times New Roman"/>
          <w:sz w:val="20"/>
          <w:szCs w:val="20"/>
        </w:rPr>
        <w:t>14</w:t>
      </w:r>
      <w:r w:rsidRPr="00CE549A">
        <w:rPr>
          <w:rFonts w:ascii="Lato" w:hAnsi="Lato" w:cs="Times New Roman"/>
          <w:sz w:val="20"/>
          <w:szCs w:val="20"/>
        </w:rPr>
        <w:t xml:space="preserve"> powierzchnia parków narodowych jest niemal niezmienna, natomiast</w:t>
      </w:r>
      <w:r w:rsidR="00E66B89">
        <w:rPr>
          <w:rFonts w:ascii="Lato" w:hAnsi="Lato" w:cs="Times New Roman"/>
          <w:sz w:val="20"/>
          <w:szCs w:val="20"/>
        </w:rPr>
        <w:t xml:space="preserve"> o </w:t>
      </w:r>
      <w:r>
        <w:rPr>
          <w:rFonts w:ascii="Lato" w:hAnsi="Lato" w:cs="Times New Roman"/>
          <w:sz w:val="20"/>
          <w:szCs w:val="20"/>
        </w:rPr>
        <w:t>5</w:t>
      </w:r>
      <w:r w:rsidRPr="00CE549A">
        <w:rPr>
          <w:rFonts w:ascii="Lato" w:hAnsi="Lato" w:cs="Times New Roman"/>
          <w:sz w:val="20"/>
          <w:szCs w:val="20"/>
        </w:rPr>
        <w:t>% wzrosła powierzchnia obszarów uznanych za rezerwaty przyrody. Na obszarze Pomorza Zachodniego nie znajduje się żaden</w:t>
      </w:r>
      <w:r w:rsidR="00E66B89">
        <w:rPr>
          <w:rFonts w:ascii="Lato" w:hAnsi="Lato" w:cs="Times New Roman"/>
          <w:sz w:val="20"/>
          <w:szCs w:val="20"/>
        </w:rPr>
        <w:t xml:space="preserve"> z </w:t>
      </w:r>
      <w:r w:rsidRPr="00CE549A">
        <w:rPr>
          <w:rFonts w:ascii="Lato" w:hAnsi="Lato" w:cs="Times New Roman"/>
          <w:sz w:val="20"/>
          <w:szCs w:val="20"/>
        </w:rPr>
        <w:t>obiektów wpisanych na listę światowego dziedzictwa UNESCO.</w:t>
      </w:r>
      <w:r w:rsidR="00E66B89">
        <w:rPr>
          <w:rFonts w:ascii="Lato" w:hAnsi="Lato" w:cs="Times New Roman"/>
          <w:sz w:val="20"/>
          <w:szCs w:val="20"/>
        </w:rPr>
        <w:t xml:space="preserve"> W </w:t>
      </w:r>
      <w:r w:rsidRPr="00CE549A">
        <w:rPr>
          <w:rFonts w:ascii="Lato" w:hAnsi="Lato" w:cs="Times New Roman"/>
          <w:sz w:val="20"/>
          <w:szCs w:val="20"/>
        </w:rPr>
        <w:t>latach 20</w:t>
      </w:r>
      <w:r>
        <w:rPr>
          <w:rFonts w:ascii="Lato" w:hAnsi="Lato" w:cs="Times New Roman"/>
          <w:sz w:val="20"/>
          <w:szCs w:val="20"/>
        </w:rPr>
        <w:t>14</w:t>
      </w:r>
      <w:r w:rsidRPr="00CE549A">
        <w:rPr>
          <w:rFonts w:ascii="Lato" w:hAnsi="Lato" w:cs="Times New Roman"/>
          <w:sz w:val="20"/>
          <w:szCs w:val="20"/>
        </w:rPr>
        <w:t xml:space="preserve">-2017 </w:t>
      </w:r>
      <w:r>
        <w:rPr>
          <w:rFonts w:ascii="Lato" w:hAnsi="Lato" w:cs="Times New Roman"/>
          <w:sz w:val="20"/>
          <w:szCs w:val="20"/>
        </w:rPr>
        <w:t>kolejne</w:t>
      </w:r>
      <w:r w:rsidRPr="00CE549A">
        <w:rPr>
          <w:rFonts w:ascii="Lato" w:hAnsi="Lato" w:cs="Times New Roman"/>
          <w:sz w:val="20"/>
          <w:szCs w:val="20"/>
        </w:rPr>
        <w:t xml:space="preserve"> </w:t>
      </w:r>
      <w:r>
        <w:rPr>
          <w:rFonts w:ascii="Lato" w:hAnsi="Lato" w:cs="Times New Roman"/>
          <w:sz w:val="20"/>
          <w:szCs w:val="20"/>
        </w:rPr>
        <w:t>34</w:t>
      </w:r>
      <w:r w:rsidRPr="00CE549A">
        <w:rPr>
          <w:rFonts w:ascii="Lato" w:hAnsi="Lato" w:cs="Times New Roman"/>
          <w:sz w:val="20"/>
          <w:szCs w:val="20"/>
        </w:rPr>
        <w:t>8 nowych obiektów na terenie województwa zyskało mia</w:t>
      </w:r>
      <w:r>
        <w:rPr>
          <w:rFonts w:ascii="Lato" w:hAnsi="Lato" w:cs="Times New Roman"/>
          <w:sz w:val="20"/>
          <w:szCs w:val="20"/>
        </w:rPr>
        <w:t>n</w:t>
      </w:r>
      <w:r w:rsidRPr="00CE549A">
        <w:rPr>
          <w:rFonts w:ascii="Lato" w:hAnsi="Lato" w:cs="Times New Roman"/>
          <w:sz w:val="20"/>
          <w:szCs w:val="20"/>
        </w:rPr>
        <w:t>o pomników przyrody – ich liczba</w:t>
      </w:r>
      <w:r w:rsidR="00E66B89">
        <w:rPr>
          <w:rFonts w:ascii="Lato" w:hAnsi="Lato" w:cs="Times New Roman"/>
          <w:sz w:val="20"/>
          <w:szCs w:val="20"/>
        </w:rPr>
        <w:t xml:space="preserve"> w </w:t>
      </w:r>
      <w:r w:rsidRPr="00CE549A">
        <w:rPr>
          <w:rFonts w:ascii="Lato" w:hAnsi="Lato" w:cs="Times New Roman"/>
          <w:sz w:val="20"/>
          <w:szCs w:val="20"/>
        </w:rPr>
        <w:t>2017 r. wynosiła 2 901. Zmiany społeczno-gospodarcze nie miały zatem wpływu na aktualność diagnozy</w:t>
      </w:r>
      <w:r w:rsidR="00E66B89">
        <w:rPr>
          <w:rFonts w:ascii="Lato" w:hAnsi="Lato" w:cs="Times New Roman"/>
          <w:sz w:val="20"/>
          <w:szCs w:val="20"/>
        </w:rPr>
        <w:t xml:space="preserve"> i </w:t>
      </w:r>
      <w:r w:rsidRPr="00CE549A">
        <w:rPr>
          <w:rFonts w:ascii="Lato" w:hAnsi="Lato" w:cs="Times New Roman"/>
          <w:sz w:val="20"/>
          <w:szCs w:val="20"/>
        </w:rPr>
        <w:t>potrzeb</w:t>
      </w:r>
      <w:r>
        <w:rPr>
          <w:rFonts w:ascii="Lato" w:hAnsi="Lato" w:cs="Times New Roman"/>
          <w:sz w:val="20"/>
          <w:szCs w:val="20"/>
        </w:rPr>
        <w:t>ę</w:t>
      </w:r>
      <w:r w:rsidR="00E66B89">
        <w:rPr>
          <w:rFonts w:ascii="Lato" w:hAnsi="Lato" w:cs="Times New Roman"/>
          <w:sz w:val="20"/>
          <w:szCs w:val="20"/>
        </w:rPr>
        <w:t xml:space="preserve"> w </w:t>
      </w:r>
      <w:r w:rsidRPr="00CE549A">
        <w:rPr>
          <w:rFonts w:ascii="Lato" w:hAnsi="Lato" w:cs="Times New Roman"/>
          <w:sz w:val="20"/>
          <w:szCs w:val="20"/>
        </w:rPr>
        <w:t>zakresie wsparcia</w:t>
      </w:r>
      <w:r w:rsidR="00E66B89">
        <w:rPr>
          <w:rFonts w:ascii="Lato" w:hAnsi="Lato" w:cs="Times New Roman"/>
          <w:sz w:val="20"/>
          <w:szCs w:val="20"/>
        </w:rPr>
        <w:t xml:space="preserve"> w </w:t>
      </w:r>
      <w:r w:rsidRPr="00CE549A">
        <w:rPr>
          <w:rFonts w:ascii="Lato" w:hAnsi="Lato" w:cs="Times New Roman"/>
          <w:sz w:val="20"/>
          <w:szCs w:val="20"/>
        </w:rPr>
        <w:t>ramach PI 6d.</w:t>
      </w:r>
    </w:p>
    <w:p w14:paraId="7CEAB7F1" w14:textId="77777777" w:rsidR="006F4D8F" w:rsidRPr="008B706B" w:rsidRDefault="006F4D8F" w:rsidP="006F4D8F">
      <w:pPr>
        <w:pStyle w:val="UPtresc"/>
        <w:spacing w:line="288" w:lineRule="auto"/>
        <w:rPr>
          <w:rFonts w:ascii="Lato" w:hAnsi="Lato" w:cs="Times New Roman"/>
          <w:sz w:val="20"/>
          <w:szCs w:val="20"/>
        </w:rPr>
      </w:pPr>
      <w:r w:rsidRPr="008B706B">
        <w:rPr>
          <w:rFonts w:ascii="Lato" w:hAnsi="Lato" w:cs="Times New Roman"/>
          <w:sz w:val="20"/>
          <w:szCs w:val="20"/>
        </w:rPr>
        <w:t>Zmiany sytuacji społeczno-gospodarczej</w:t>
      </w:r>
      <w:r w:rsidR="00E66B89">
        <w:rPr>
          <w:rFonts w:ascii="Lato" w:hAnsi="Lato" w:cs="Times New Roman"/>
          <w:sz w:val="20"/>
          <w:szCs w:val="20"/>
        </w:rPr>
        <w:t xml:space="preserve"> w </w:t>
      </w:r>
      <w:r w:rsidRPr="008B706B">
        <w:rPr>
          <w:rFonts w:ascii="Lato" w:hAnsi="Lato" w:cs="Times New Roman"/>
          <w:sz w:val="20"/>
          <w:szCs w:val="20"/>
        </w:rPr>
        <w:t>zakresie</w:t>
      </w:r>
      <w:r>
        <w:rPr>
          <w:rFonts w:ascii="Lato" w:hAnsi="Lato" w:cs="Times New Roman"/>
          <w:sz w:val="20"/>
          <w:szCs w:val="20"/>
        </w:rPr>
        <w:t xml:space="preserve"> PI 6d</w:t>
      </w:r>
      <w:r w:rsidRPr="008B706B">
        <w:rPr>
          <w:rFonts w:ascii="Lato" w:hAnsi="Lato" w:cs="Times New Roman"/>
          <w:sz w:val="20"/>
          <w:szCs w:val="20"/>
        </w:rPr>
        <w:t xml:space="preserve"> wskazują na aktualność problemów wskazanych</w:t>
      </w:r>
      <w:r w:rsidR="00E66B89">
        <w:rPr>
          <w:rFonts w:ascii="Lato" w:hAnsi="Lato" w:cs="Times New Roman"/>
          <w:sz w:val="20"/>
          <w:szCs w:val="20"/>
        </w:rPr>
        <w:t xml:space="preserve"> w </w:t>
      </w:r>
      <w:r w:rsidRPr="008B706B">
        <w:rPr>
          <w:rFonts w:ascii="Lato" w:hAnsi="Lato" w:cs="Times New Roman"/>
          <w:sz w:val="20"/>
          <w:szCs w:val="20"/>
        </w:rPr>
        <w:t xml:space="preserve">diagnozie Programu. Województwo posiada liczne obszary wyróżniające się szczególnymi wartościami przyrodniczymi. Objęte są one różnymi formami ochrony przyrody. </w:t>
      </w:r>
    </w:p>
    <w:p w14:paraId="539F8FD6" w14:textId="77777777" w:rsidR="006F4D8F" w:rsidRDefault="006F4D8F" w:rsidP="006F4D8F">
      <w:pPr>
        <w:pStyle w:val="UPtresc"/>
        <w:spacing w:line="288" w:lineRule="auto"/>
        <w:rPr>
          <w:rFonts w:ascii="Lato" w:hAnsi="Lato" w:cs="Times New Roman"/>
          <w:sz w:val="20"/>
          <w:szCs w:val="20"/>
        </w:rPr>
      </w:pPr>
      <w:r w:rsidRPr="00C22C26">
        <w:rPr>
          <w:rFonts w:ascii="Lato" w:hAnsi="Lato" w:cs="Times New Roman"/>
          <w:sz w:val="20"/>
          <w:szCs w:val="20"/>
        </w:rPr>
        <w:t>Przedstawione powyżej dane wskazują na nadal wysoką potrzebę wspierania zadań regionu</w:t>
      </w:r>
      <w:r w:rsidR="00E66B89">
        <w:rPr>
          <w:rFonts w:ascii="Lato" w:hAnsi="Lato" w:cs="Times New Roman"/>
          <w:sz w:val="20"/>
          <w:szCs w:val="20"/>
        </w:rPr>
        <w:t xml:space="preserve"> w </w:t>
      </w:r>
      <w:r w:rsidRPr="00C22C26">
        <w:rPr>
          <w:rFonts w:ascii="Lato" w:hAnsi="Lato" w:cs="Times New Roman"/>
          <w:sz w:val="20"/>
          <w:szCs w:val="20"/>
        </w:rPr>
        <w:t>zakresie ochrony</w:t>
      </w:r>
      <w:r w:rsidR="00E66B89">
        <w:rPr>
          <w:rFonts w:ascii="Lato" w:hAnsi="Lato" w:cs="Times New Roman"/>
          <w:sz w:val="20"/>
          <w:szCs w:val="20"/>
        </w:rPr>
        <w:t xml:space="preserve"> i </w:t>
      </w:r>
      <w:r w:rsidRPr="00C22C26">
        <w:rPr>
          <w:rFonts w:ascii="Lato" w:hAnsi="Lato" w:cs="Times New Roman"/>
          <w:sz w:val="20"/>
          <w:szCs w:val="20"/>
        </w:rPr>
        <w:t xml:space="preserve">rozwoju dziedzictwa naturalnego. </w:t>
      </w:r>
    </w:p>
    <w:p w14:paraId="79A37789" w14:textId="77777777" w:rsidR="00807CA9" w:rsidRDefault="00807CA9">
      <w:pPr>
        <w:spacing w:before="0" w:after="0" w:line="240" w:lineRule="auto"/>
        <w:jc w:val="left"/>
        <w:rPr>
          <w:rFonts w:cs="Calibri"/>
          <w:b/>
          <w:color w:val="365F91"/>
          <w:szCs w:val="20"/>
        </w:rPr>
      </w:pPr>
      <w:r>
        <w:rPr>
          <w:rFonts w:cs="Calibri"/>
          <w:b/>
          <w:color w:val="365F91"/>
          <w:szCs w:val="20"/>
        </w:rPr>
        <w:br w:type="page"/>
      </w:r>
    </w:p>
    <w:p w14:paraId="2B5DE52D" w14:textId="310DCDF8" w:rsidR="009569D4" w:rsidRPr="008B706B" w:rsidRDefault="009569D4" w:rsidP="009569D4">
      <w:pPr>
        <w:rPr>
          <w:rFonts w:cs="Calibri"/>
          <w:b/>
          <w:color w:val="365F91"/>
          <w:szCs w:val="20"/>
        </w:rPr>
      </w:pPr>
      <w:r w:rsidRPr="008B706B">
        <w:rPr>
          <w:rFonts w:cs="Calibri"/>
          <w:b/>
          <w:color w:val="365F91"/>
          <w:szCs w:val="20"/>
        </w:rPr>
        <w:lastRenderedPageBreak/>
        <w:t xml:space="preserve">PI </w:t>
      </w:r>
      <w:r>
        <w:rPr>
          <w:rFonts w:cs="Calibri"/>
          <w:b/>
          <w:color w:val="365F91"/>
          <w:szCs w:val="20"/>
        </w:rPr>
        <w:t>8b</w:t>
      </w:r>
    </w:p>
    <w:p w14:paraId="4C2DC06B" w14:textId="77777777" w:rsidR="009569D4" w:rsidRPr="00C9018D" w:rsidRDefault="009569D4" w:rsidP="009569D4">
      <w:pPr>
        <w:spacing w:line="276" w:lineRule="auto"/>
        <w:rPr>
          <w:szCs w:val="20"/>
        </w:rPr>
      </w:pPr>
      <w:r w:rsidRPr="00C9018D">
        <w:rPr>
          <w:szCs w:val="20"/>
        </w:rPr>
        <w:t>Na obniżenie potencjału gospodarczego regionu istotny wpływ mają zmiany</w:t>
      </w:r>
      <w:r w:rsidR="00E66B89">
        <w:rPr>
          <w:szCs w:val="20"/>
        </w:rPr>
        <w:t xml:space="preserve"> w </w:t>
      </w:r>
      <w:r w:rsidRPr="00C9018D">
        <w:rPr>
          <w:szCs w:val="20"/>
        </w:rPr>
        <w:t>strukturze wiekowej populacji.</w:t>
      </w:r>
      <w:r w:rsidR="00E66B89">
        <w:rPr>
          <w:szCs w:val="20"/>
        </w:rPr>
        <w:t xml:space="preserve"> W </w:t>
      </w:r>
      <w:r w:rsidRPr="00C9018D">
        <w:rPr>
          <w:szCs w:val="20"/>
        </w:rPr>
        <w:t>województwie zachodniopomorskim dochodzi do niekorzystnych zmian</w:t>
      </w:r>
      <w:r w:rsidR="00E66B89">
        <w:rPr>
          <w:szCs w:val="20"/>
        </w:rPr>
        <w:t xml:space="preserve"> w </w:t>
      </w:r>
      <w:r w:rsidRPr="00C9018D">
        <w:rPr>
          <w:szCs w:val="20"/>
        </w:rPr>
        <w:t>tym zakresie. Obserwuje się spadek liczby ludności</w:t>
      </w:r>
      <w:r w:rsidR="00E66B89">
        <w:rPr>
          <w:szCs w:val="20"/>
        </w:rPr>
        <w:t xml:space="preserve"> w </w:t>
      </w:r>
      <w:r w:rsidRPr="00C9018D">
        <w:rPr>
          <w:szCs w:val="20"/>
        </w:rPr>
        <w:t>regionie</w:t>
      </w:r>
      <w:r>
        <w:rPr>
          <w:szCs w:val="20"/>
        </w:rPr>
        <w:t>;</w:t>
      </w:r>
      <w:r w:rsidRPr="00C9018D">
        <w:rPr>
          <w:szCs w:val="20"/>
        </w:rPr>
        <w:t xml:space="preserve"> jak również wzrost liczby osób</w:t>
      </w:r>
      <w:r w:rsidR="00E66B89">
        <w:rPr>
          <w:szCs w:val="20"/>
        </w:rPr>
        <w:t xml:space="preserve"> w </w:t>
      </w:r>
      <w:r w:rsidRPr="00C9018D">
        <w:rPr>
          <w:szCs w:val="20"/>
        </w:rPr>
        <w:t>wieku poprodukcyjnym oraz spadek liczby osób</w:t>
      </w:r>
      <w:r w:rsidR="00E66B89">
        <w:rPr>
          <w:szCs w:val="20"/>
        </w:rPr>
        <w:t xml:space="preserve"> w </w:t>
      </w:r>
      <w:r w:rsidRPr="00C9018D">
        <w:rPr>
          <w:szCs w:val="20"/>
        </w:rPr>
        <w:t>wieku produkcyjnym.</w:t>
      </w:r>
      <w:r w:rsidR="00E66B89">
        <w:rPr>
          <w:szCs w:val="20"/>
        </w:rPr>
        <w:t xml:space="preserve"> W </w:t>
      </w:r>
      <w:r w:rsidRPr="00C9018D">
        <w:rPr>
          <w:szCs w:val="20"/>
        </w:rPr>
        <w:t>2017 roku</w:t>
      </w:r>
      <w:r w:rsidR="00E66B89">
        <w:rPr>
          <w:szCs w:val="20"/>
        </w:rPr>
        <w:t xml:space="preserve"> w </w:t>
      </w:r>
      <w:r w:rsidRPr="00C9018D">
        <w:rPr>
          <w:szCs w:val="20"/>
        </w:rPr>
        <w:t>regionie zanotowano 1,7 mln osób (4,4% populacji kraju), co powoduje, że województwo pozostaje</w:t>
      </w:r>
      <w:r w:rsidR="00E66B89">
        <w:rPr>
          <w:szCs w:val="20"/>
        </w:rPr>
        <w:t xml:space="preserve"> w </w:t>
      </w:r>
      <w:r w:rsidRPr="00C9018D">
        <w:rPr>
          <w:szCs w:val="20"/>
        </w:rPr>
        <w:t>grupie regionów</w:t>
      </w:r>
      <w:r w:rsidR="00E66B89">
        <w:rPr>
          <w:szCs w:val="20"/>
        </w:rPr>
        <w:t xml:space="preserve"> o </w:t>
      </w:r>
      <w:r w:rsidRPr="00C9018D">
        <w:rPr>
          <w:szCs w:val="20"/>
        </w:rPr>
        <w:t>najsłabszych wynikach</w:t>
      </w:r>
      <w:r>
        <w:rPr>
          <w:szCs w:val="20"/>
        </w:rPr>
        <w:t>.</w:t>
      </w:r>
      <w:r w:rsidRPr="00C9018D">
        <w:rPr>
          <w:szCs w:val="20"/>
        </w:rPr>
        <w:t xml:space="preserve"> </w:t>
      </w:r>
      <w:r>
        <w:rPr>
          <w:szCs w:val="20"/>
        </w:rPr>
        <w:t>O</w:t>
      </w:r>
      <w:r w:rsidRPr="00C9018D">
        <w:rPr>
          <w:szCs w:val="20"/>
        </w:rPr>
        <w:t>dsetek ludności</w:t>
      </w:r>
      <w:r w:rsidR="00E66B89">
        <w:rPr>
          <w:szCs w:val="20"/>
        </w:rPr>
        <w:t xml:space="preserve"> w </w:t>
      </w:r>
      <w:r w:rsidRPr="00C9018D">
        <w:rPr>
          <w:szCs w:val="20"/>
        </w:rPr>
        <w:t>poszczególnych grupach ekonomicznych</w:t>
      </w:r>
      <w:r w:rsidR="00E66B89">
        <w:rPr>
          <w:szCs w:val="20"/>
        </w:rPr>
        <w:t xml:space="preserve"> w </w:t>
      </w:r>
      <w:r w:rsidRPr="00C9018D">
        <w:rPr>
          <w:szCs w:val="20"/>
        </w:rPr>
        <w:t>2017 roku</w:t>
      </w:r>
      <w:r w:rsidR="00E66B89">
        <w:rPr>
          <w:szCs w:val="20"/>
        </w:rPr>
        <w:t xml:space="preserve"> w </w:t>
      </w:r>
      <w:r w:rsidRPr="00C9018D">
        <w:rPr>
          <w:szCs w:val="20"/>
        </w:rPr>
        <w:t>stosunku do 2014 prezentował się następująco:</w:t>
      </w:r>
    </w:p>
    <w:p w14:paraId="123BB73E" w14:textId="77777777" w:rsidR="009569D4" w:rsidRPr="00C9018D" w:rsidRDefault="009569D4" w:rsidP="00093E14">
      <w:pPr>
        <w:pStyle w:val="Akapitzlist"/>
        <w:numPr>
          <w:ilvl w:val="0"/>
          <w:numId w:val="52"/>
        </w:numPr>
        <w:spacing w:after="120"/>
        <w:ind w:left="714" w:hanging="357"/>
        <w:contextualSpacing w:val="0"/>
        <w:rPr>
          <w:rFonts w:ascii="Lato" w:hAnsi="Lato"/>
          <w:sz w:val="20"/>
          <w:szCs w:val="20"/>
        </w:rPr>
      </w:pPr>
      <w:r w:rsidRPr="00C9018D">
        <w:rPr>
          <w:rFonts w:ascii="Lato" w:hAnsi="Lato"/>
          <w:sz w:val="20"/>
          <w:szCs w:val="20"/>
        </w:rPr>
        <w:t>ludność</w:t>
      </w:r>
      <w:r w:rsidR="00E66B89">
        <w:rPr>
          <w:rFonts w:ascii="Lato" w:hAnsi="Lato"/>
          <w:sz w:val="20"/>
          <w:szCs w:val="20"/>
        </w:rPr>
        <w:t xml:space="preserve"> w </w:t>
      </w:r>
      <w:r w:rsidRPr="00C9018D">
        <w:rPr>
          <w:rFonts w:ascii="Lato" w:hAnsi="Lato"/>
          <w:sz w:val="20"/>
          <w:szCs w:val="20"/>
        </w:rPr>
        <w:t>wieku przedprodukcyjnym</w:t>
      </w:r>
      <w:r>
        <w:rPr>
          <w:rFonts w:ascii="Lato" w:hAnsi="Lato"/>
          <w:sz w:val="20"/>
          <w:szCs w:val="20"/>
        </w:rPr>
        <w:t>,</w:t>
      </w:r>
      <w:r w:rsidR="00E66B89">
        <w:rPr>
          <w:rFonts w:ascii="Lato" w:hAnsi="Lato"/>
          <w:sz w:val="20"/>
          <w:szCs w:val="20"/>
        </w:rPr>
        <w:t xml:space="preserve"> w </w:t>
      </w:r>
      <w:r w:rsidRPr="00C9018D">
        <w:rPr>
          <w:rFonts w:ascii="Lato" w:hAnsi="Lato"/>
          <w:sz w:val="20"/>
          <w:szCs w:val="20"/>
        </w:rPr>
        <w:t xml:space="preserve">2017 r. </w:t>
      </w:r>
      <w:r w:rsidRPr="00C9018D">
        <w:rPr>
          <w:rFonts w:ascii="Lato" w:hAnsi="Lato"/>
          <w:sz w:val="20"/>
          <w:szCs w:val="20"/>
        </w:rPr>
        <w:noBreakHyphen/>
        <w:t xml:space="preserve"> 17,3%;</w:t>
      </w:r>
      <w:r w:rsidR="00E66B89">
        <w:rPr>
          <w:rFonts w:ascii="Lato" w:hAnsi="Lato"/>
          <w:sz w:val="20"/>
          <w:szCs w:val="20"/>
        </w:rPr>
        <w:t xml:space="preserve"> w </w:t>
      </w:r>
      <w:r w:rsidRPr="00C9018D">
        <w:rPr>
          <w:rFonts w:ascii="Lato" w:hAnsi="Lato"/>
          <w:sz w:val="20"/>
          <w:szCs w:val="20"/>
        </w:rPr>
        <w:t xml:space="preserve">2014 r. </w:t>
      </w:r>
      <w:r w:rsidRPr="00C9018D">
        <w:rPr>
          <w:rFonts w:ascii="Lato" w:hAnsi="Lato"/>
          <w:sz w:val="20"/>
          <w:szCs w:val="20"/>
        </w:rPr>
        <w:noBreakHyphen/>
        <w:t xml:space="preserve"> 17,5%;</w:t>
      </w:r>
    </w:p>
    <w:p w14:paraId="17F18E5B" w14:textId="77777777" w:rsidR="009569D4" w:rsidRPr="00C9018D" w:rsidRDefault="009569D4" w:rsidP="00093E14">
      <w:pPr>
        <w:pStyle w:val="Akapitzlist"/>
        <w:numPr>
          <w:ilvl w:val="0"/>
          <w:numId w:val="52"/>
        </w:numPr>
        <w:spacing w:after="120"/>
        <w:ind w:left="714" w:hanging="357"/>
        <w:contextualSpacing w:val="0"/>
        <w:rPr>
          <w:rFonts w:ascii="Lato" w:hAnsi="Lato"/>
          <w:sz w:val="20"/>
          <w:szCs w:val="20"/>
        </w:rPr>
      </w:pPr>
      <w:r w:rsidRPr="00C9018D">
        <w:rPr>
          <w:rFonts w:ascii="Lato" w:hAnsi="Lato"/>
          <w:sz w:val="20"/>
          <w:szCs w:val="20"/>
        </w:rPr>
        <w:t>w wieku produkcyjnym</w:t>
      </w:r>
      <w:r>
        <w:rPr>
          <w:rFonts w:ascii="Lato" w:hAnsi="Lato"/>
          <w:sz w:val="20"/>
          <w:szCs w:val="20"/>
        </w:rPr>
        <w:t>,</w:t>
      </w:r>
      <w:r w:rsidR="00E66B89">
        <w:rPr>
          <w:rFonts w:ascii="Lato" w:hAnsi="Lato"/>
          <w:sz w:val="20"/>
          <w:szCs w:val="20"/>
        </w:rPr>
        <w:t xml:space="preserve"> w </w:t>
      </w:r>
      <w:r w:rsidRPr="00C9018D">
        <w:rPr>
          <w:rFonts w:ascii="Lato" w:hAnsi="Lato"/>
          <w:sz w:val="20"/>
          <w:szCs w:val="20"/>
        </w:rPr>
        <w:t xml:space="preserve">2017 r. </w:t>
      </w:r>
      <w:r w:rsidRPr="00C9018D">
        <w:rPr>
          <w:rFonts w:ascii="Lato" w:hAnsi="Lato"/>
          <w:sz w:val="20"/>
          <w:szCs w:val="20"/>
        </w:rPr>
        <w:noBreakHyphen/>
        <w:t xml:space="preserve"> 61,5%;</w:t>
      </w:r>
      <w:r w:rsidR="00E66B89">
        <w:rPr>
          <w:rFonts w:ascii="Lato" w:hAnsi="Lato"/>
          <w:sz w:val="20"/>
          <w:szCs w:val="20"/>
        </w:rPr>
        <w:t xml:space="preserve"> w </w:t>
      </w:r>
      <w:r w:rsidRPr="00C9018D">
        <w:rPr>
          <w:rFonts w:ascii="Lato" w:hAnsi="Lato"/>
          <w:sz w:val="20"/>
          <w:szCs w:val="20"/>
        </w:rPr>
        <w:t>2014 r. – 63,8%</w:t>
      </w:r>
    </w:p>
    <w:p w14:paraId="28EF01D1" w14:textId="77777777" w:rsidR="009569D4" w:rsidRPr="00C9018D" w:rsidRDefault="009569D4" w:rsidP="00093E14">
      <w:pPr>
        <w:pStyle w:val="Akapitzlist"/>
        <w:numPr>
          <w:ilvl w:val="0"/>
          <w:numId w:val="52"/>
        </w:numPr>
        <w:spacing w:after="120"/>
        <w:ind w:left="714" w:hanging="357"/>
        <w:contextualSpacing w:val="0"/>
        <w:rPr>
          <w:rFonts w:ascii="Lato" w:hAnsi="Lato"/>
          <w:sz w:val="20"/>
          <w:szCs w:val="20"/>
        </w:rPr>
      </w:pPr>
      <w:r w:rsidRPr="00C9018D">
        <w:rPr>
          <w:rFonts w:ascii="Lato" w:hAnsi="Lato"/>
          <w:sz w:val="20"/>
          <w:szCs w:val="20"/>
        </w:rPr>
        <w:t>w wieku poprodukcyjnym</w:t>
      </w:r>
      <w:r>
        <w:rPr>
          <w:rFonts w:ascii="Lato" w:hAnsi="Lato"/>
          <w:sz w:val="20"/>
          <w:szCs w:val="20"/>
        </w:rPr>
        <w:t>,</w:t>
      </w:r>
      <w:r w:rsidR="00E66B89">
        <w:rPr>
          <w:rFonts w:ascii="Lato" w:hAnsi="Lato"/>
          <w:sz w:val="20"/>
          <w:szCs w:val="20"/>
        </w:rPr>
        <w:t xml:space="preserve"> w </w:t>
      </w:r>
      <w:r w:rsidRPr="00C9018D">
        <w:rPr>
          <w:rFonts w:ascii="Lato" w:hAnsi="Lato"/>
          <w:sz w:val="20"/>
          <w:szCs w:val="20"/>
        </w:rPr>
        <w:t xml:space="preserve">2017 r. </w:t>
      </w:r>
      <w:r w:rsidRPr="00C9018D">
        <w:rPr>
          <w:rFonts w:ascii="Lato" w:hAnsi="Lato"/>
          <w:sz w:val="20"/>
          <w:szCs w:val="20"/>
        </w:rPr>
        <w:noBreakHyphen/>
        <w:t xml:space="preserve"> 21, 2%;</w:t>
      </w:r>
      <w:r w:rsidR="00E66B89">
        <w:rPr>
          <w:rFonts w:ascii="Lato" w:hAnsi="Lato"/>
          <w:sz w:val="20"/>
          <w:szCs w:val="20"/>
        </w:rPr>
        <w:t xml:space="preserve"> w </w:t>
      </w:r>
      <w:r w:rsidRPr="00C9018D">
        <w:rPr>
          <w:rFonts w:ascii="Lato" w:hAnsi="Lato"/>
          <w:sz w:val="20"/>
          <w:szCs w:val="20"/>
        </w:rPr>
        <w:t xml:space="preserve">2014 r. </w:t>
      </w:r>
      <w:r>
        <w:rPr>
          <w:rFonts w:ascii="Lato" w:hAnsi="Lato"/>
          <w:sz w:val="20"/>
          <w:szCs w:val="20"/>
        </w:rPr>
        <w:t>– 18,7%</w:t>
      </w:r>
    </w:p>
    <w:p w14:paraId="742570B6" w14:textId="77777777" w:rsidR="009569D4" w:rsidRDefault="009569D4" w:rsidP="009569D4">
      <w:pPr>
        <w:spacing w:line="276" w:lineRule="auto"/>
        <w:rPr>
          <w:szCs w:val="20"/>
        </w:rPr>
      </w:pPr>
      <w:r>
        <w:rPr>
          <w:szCs w:val="20"/>
        </w:rPr>
        <w:t>Obserwowane niekorzystne zmiany</w:t>
      </w:r>
      <w:r w:rsidR="00E66B89">
        <w:rPr>
          <w:szCs w:val="20"/>
        </w:rPr>
        <w:t xml:space="preserve"> w </w:t>
      </w:r>
      <w:r>
        <w:rPr>
          <w:szCs w:val="20"/>
        </w:rPr>
        <w:t>strukturze wiekowej populacji wpływają na wzrost wskaźnika obciążenia demograficznego, ilustrującego proces starzenia się społeczeństwa. Wskaźnik ten</w:t>
      </w:r>
      <w:r w:rsidR="00E66B89">
        <w:rPr>
          <w:szCs w:val="20"/>
        </w:rPr>
        <w:t xml:space="preserve"> w </w:t>
      </w:r>
      <w:r>
        <w:rPr>
          <w:szCs w:val="20"/>
        </w:rPr>
        <w:t>2017 r. wynosił 34,4% (na jedną osobę</w:t>
      </w:r>
      <w:r w:rsidR="00E66B89">
        <w:rPr>
          <w:szCs w:val="20"/>
        </w:rPr>
        <w:t xml:space="preserve"> w </w:t>
      </w:r>
      <w:r>
        <w:rPr>
          <w:szCs w:val="20"/>
        </w:rPr>
        <w:t>wieku poprodukcyjnym przypadają 3 osoby</w:t>
      </w:r>
      <w:r w:rsidR="00E66B89">
        <w:rPr>
          <w:szCs w:val="20"/>
        </w:rPr>
        <w:t xml:space="preserve"> w </w:t>
      </w:r>
      <w:r>
        <w:rPr>
          <w:szCs w:val="20"/>
        </w:rPr>
        <w:t>wieku produkcyjnym).</w:t>
      </w:r>
    </w:p>
    <w:p w14:paraId="5B61E263" w14:textId="77777777" w:rsidR="009569D4" w:rsidRDefault="009569D4" w:rsidP="009569D4">
      <w:pPr>
        <w:spacing w:line="276" w:lineRule="auto"/>
        <w:rPr>
          <w:szCs w:val="20"/>
        </w:rPr>
      </w:pPr>
      <w:r>
        <w:rPr>
          <w:szCs w:val="20"/>
        </w:rPr>
        <w:t>W tym kontekście istotne jest p</w:t>
      </w:r>
      <w:r w:rsidRPr="009B0278">
        <w:rPr>
          <w:szCs w:val="20"/>
        </w:rPr>
        <w:t xml:space="preserve">odejmowanie działań </w:t>
      </w:r>
      <w:r>
        <w:rPr>
          <w:szCs w:val="20"/>
        </w:rPr>
        <w:t xml:space="preserve">pozwalających odwrócić niekorzystny trend; tj. służących </w:t>
      </w:r>
      <w:r w:rsidRPr="009B0278">
        <w:rPr>
          <w:szCs w:val="20"/>
        </w:rPr>
        <w:t>utrzymani</w:t>
      </w:r>
      <w:r>
        <w:rPr>
          <w:szCs w:val="20"/>
        </w:rPr>
        <w:t>u</w:t>
      </w:r>
      <w:r w:rsidRPr="009B0278">
        <w:rPr>
          <w:szCs w:val="20"/>
        </w:rPr>
        <w:t xml:space="preserve"> jak najdłuższej</w:t>
      </w:r>
      <w:r>
        <w:rPr>
          <w:szCs w:val="20"/>
        </w:rPr>
        <w:t xml:space="preserve"> </w:t>
      </w:r>
      <w:r w:rsidRPr="009B0278">
        <w:rPr>
          <w:szCs w:val="20"/>
        </w:rPr>
        <w:t>aktywności zawodowej</w:t>
      </w:r>
      <w:r w:rsidR="00E66B89">
        <w:rPr>
          <w:szCs w:val="20"/>
        </w:rPr>
        <w:t xml:space="preserve"> i </w:t>
      </w:r>
      <w:r w:rsidRPr="009B0278">
        <w:rPr>
          <w:szCs w:val="20"/>
        </w:rPr>
        <w:t>społecznej</w:t>
      </w:r>
      <w:r>
        <w:rPr>
          <w:szCs w:val="20"/>
        </w:rPr>
        <w:t xml:space="preserve"> </w:t>
      </w:r>
      <w:r w:rsidRPr="009B0278">
        <w:rPr>
          <w:szCs w:val="20"/>
        </w:rPr>
        <w:t>osób starszych</w:t>
      </w:r>
      <w:r>
        <w:rPr>
          <w:szCs w:val="20"/>
        </w:rPr>
        <w:t xml:space="preserve"> przy współwystępujących interwencjach służących </w:t>
      </w:r>
      <w:r w:rsidRPr="002029AF">
        <w:rPr>
          <w:szCs w:val="20"/>
        </w:rPr>
        <w:t>społeczno-gospodarcze</w:t>
      </w:r>
      <w:r>
        <w:rPr>
          <w:szCs w:val="20"/>
        </w:rPr>
        <w:t>mu</w:t>
      </w:r>
      <w:r w:rsidRPr="002029AF">
        <w:rPr>
          <w:szCs w:val="20"/>
        </w:rPr>
        <w:t xml:space="preserve"> ożywieni</w:t>
      </w:r>
      <w:r>
        <w:rPr>
          <w:szCs w:val="20"/>
        </w:rPr>
        <w:t>u</w:t>
      </w:r>
      <w:r w:rsidRPr="002029AF">
        <w:rPr>
          <w:szCs w:val="20"/>
        </w:rPr>
        <w:t xml:space="preserve"> regionu</w:t>
      </w:r>
      <w:r>
        <w:rPr>
          <w:szCs w:val="20"/>
        </w:rPr>
        <w:t>.</w:t>
      </w:r>
      <w:r w:rsidR="00E66B89">
        <w:rPr>
          <w:szCs w:val="20"/>
        </w:rPr>
        <w:t xml:space="preserve"> W </w:t>
      </w:r>
      <w:r>
        <w:rPr>
          <w:szCs w:val="20"/>
        </w:rPr>
        <w:t>rozpoznaną</w:t>
      </w:r>
      <w:r w:rsidR="00E66B89">
        <w:rPr>
          <w:szCs w:val="20"/>
        </w:rPr>
        <w:t xml:space="preserve"> w </w:t>
      </w:r>
      <w:r>
        <w:rPr>
          <w:szCs w:val="20"/>
        </w:rPr>
        <w:t>regionie potrzebę wpisują się cele PI 8b nakierowane na kreowanie sprzyjających</w:t>
      </w:r>
      <w:r w:rsidRPr="002029AF">
        <w:rPr>
          <w:szCs w:val="20"/>
        </w:rPr>
        <w:t xml:space="preserve"> warunków dla rozwoju</w:t>
      </w:r>
      <w:r>
        <w:rPr>
          <w:szCs w:val="20"/>
        </w:rPr>
        <w:t xml:space="preserve"> gospodarczego regionu (w oparciu</w:t>
      </w:r>
      <w:r w:rsidR="00E66B89">
        <w:rPr>
          <w:szCs w:val="20"/>
        </w:rPr>
        <w:t xml:space="preserve"> o </w:t>
      </w:r>
      <w:r>
        <w:rPr>
          <w:szCs w:val="20"/>
        </w:rPr>
        <w:t>jego endogeniczny potencjał)</w:t>
      </w:r>
      <w:r w:rsidR="00E66B89">
        <w:rPr>
          <w:szCs w:val="20"/>
        </w:rPr>
        <w:t xml:space="preserve"> a </w:t>
      </w:r>
      <w:r>
        <w:rPr>
          <w:szCs w:val="20"/>
        </w:rPr>
        <w:t>przez to:</w:t>
      </w:r>
    </w:p>
    <w:p w14:paraId="5536DBEF" w14:textId="77777777" w:rsidR="009569D4" w:rsidRPr="007D5EEC" w:rsidRDefault="009569D4" w:rsidP="00093E14">
      <w:pPr>
        <w:pStyle w:val="Akapitzlist"/>
        <w:numPr>
          <w:ilvl w:val="0"/>
          <w:numId w:val="54"/>
        </w:numPr>
        <w:spacing w:after="120"/>
        <w:rPr>
          <w:rFonts w:ascii="Lato" w:hAnsi="Lato"/>
          <w:sz w:val="20"/>
          <w:szCs w:val="20"/>
        </w:rPr>
      </w:pPr>
      <w:r w:rsidRPr="007D5EEC">
        <w:rPr>
          <w:rFonts w:ascii="Lato" w:hAnsi="Lato"/>
          <w:sz w:val="20"/>
          <w:szCs w:val="20"/>
        </w:rPr>
        <w:t xml:space="preserve">wzmocnienie rynku pracy (przede wszystkim na obszarach zagrożonych depopulacją) </w:t>
      </w:r>
      <w:r w:rsidRPr="007D5EEC">
        <w:rPr>
          <w:rFonts w:ascii="Lato" w:hAnsi="Lato"/>
          <w:sz w:val="20"/>
          <w:szCs w:val="20"/>
        </w:rPr>
        <w:noBreakHyphen/>
        <w:t xml:space="preserve"> rozwój regionalnego rynku pracy przeciwdziała migracjom zewnętrznym (odpływowi ludności</w:t>
      </w:r>
      <w:r w:rsidR="00E66B89">
        <w:rPr>
          <w:rFonts w:ascii="Lato" w:hAnsi="Lato"/>
          <w:sz w:val="20"/>
          <w:szCs w:val="20"/>
        </w:rPr>
        <w:t xml:space="preserve"> z </w:t>
      </w:r>
      <w:r w:rsidRPr="007D5EEC">
        <w:rPr>
          <w:rFonts w:ascii="Lato" w:hAnsi="Lato"/>
          <w:sz w:val="20"/>
          <w:szCs w:val="20"/>
        </w:rPr>
        <w:t>danego obszaru)</w:t>
      </w:r>
      <w:r w:rsidR="001A41AF">
        <w:rPr>
          <w:rFonts w:ascii="Lato" w:hAnsi="Lato"/>
          <w:sz w:val="20"/>
          <w:szCs w:val="20"/>
        </w:rPr>
        <w:t>,</w:t>
      </w:r>
    </w:p>
    <w:p w14:paraId="34A05636" w14:textId="77777777" w:rsidR="009569D4" w:rsidRDefault="009569D4" w:rsidP="00093E14">
      <w:pPr>
        <w:pStyle w:val="Akapitzlist"/>
        <w:numPr>
          <w:ilvl w:val="0"/>
          <w:numId w:val="53"/>
        </w:numPr>
        <w:spacing w:after="120"/>
        <w:ind w:left="714" w:hanging="357"/>
        <w:contextualSpacing w:val="0"/>
        <w:rPr>
          <w:rFonts w:ascii="Lato" w:hAnsi="Lato"/>
          <w:sz w:val="20"/>
          <w:szCs w:val="20"/>
        </w:rPr>
      </w:pPr>
      <w:r w:rsidRPr="007D5EEC">
        <w:rPr>
          <w:rFonts w:ascii="Lato" w:hAnsi="Lato"/>
          <w:sz w:val="20"/>
          <w:szCs w:val="20"/>
        </w:rPr>
        <w:t>powstawanie nowych miejsc pracy (przede wszystkim za sprawą rozwoju turystyki aktywnej</w:t>
      </w:r>
      <w:r w:rsidR="00E66B89">
        <w:rPr>
          <w:rFonts w:ascii="Lato" w:hAnsi="Lato"/>
          <w:sz w:val="20"/>
          <w:szCs w:val="20"/>
        </w:rPr>
        <w:t xml:space="preserve"> i </w:t>
      </w:r>
      <w:r w:rsidRPr="007D5EEC">
        <w:rPr>
          <w:rFonts w:ascii="Lato" w:hAnsi="Lato"/>
          <w:sz w:val="20"/>
          <w:szCs w:val="20"/>
        </w:rPr>
        <w:t xml:space="preserve">uzdrowiskowej postrzeganej </w:t>
      </w:r>
      <w:r w:rsidRPr="007D5EEC">
        <w:rPr>
          <w:rFonts w:ascii="Lato" w:hAnsi="Lato"/>
          <w:sz w:val="20"/>
          <w:szCs w:val="20"/>
        </w:rPr>
        <w:noBreakHyphen/>
        <w:t xml:space="preserve"> ze względu na położenie regionu</w:t>
      </w:r>
      <w:r w:rsidR="00E66B89">
        <w:rPr>
          <w:rFonts w:ascii="Lato" w:hAnsi="Lato"/>
          <w:sz w:val="20"/>
          <w:szCs w:val="20"/>
        </w:rPr>
        <w:t xml:space="preserve"> i </w:t>
      </w:r>
      <w:r>
        <w:rPr>
          <w:rFonts w:ascii="Lato" w:hAnsi="Lato"/>
          <w:sz w:val="20"/>
          <w:szCs w:val="20"/>
        </w:rPr>
        <w:t xml:space="preserve">jego potencjał endogeniczny - </w:t>
      </w:r>
      <w:r w:rsidRPr="007D5EEC">
        <w:rPr>
          <w:rFonts w:ascii="Lato" w:hAnsi="Lato"/>
          <w:sz w:val="20"/>
          <w:szCs w:val="20"/>
        </w:rPr>
        <w:t>jako kluczowej</w:t>
      </w:r>
      <w:r w:rsidR="00E66B89">
        <w:rPr>
          <w:rFonts w:ascii="Lato" w:hAnsi="Lato"/>
          <w:sz w:val="20"/>
          <w:szCs w:val="20"/>
        </w:rPr>
        <w:t xml:space="preserve"> w </w:t>
      </w:r>
      <w:r w:rsidRPr="007D5EEC">
        <w:rPr>
          <w:rFonts w:ascii="Lato" w:hAnsi="Lato"/>
          <w:sz w:val="20"/>
          <w:szCs w:val="20"/>
        </w:rPr>
        <w:t>regionie)</w:t>
      </w:r>
      <w:r>
        <w:rPr>
          <w:rFonts w:ascii="Lato" w:hAnsi="Lato"/>
          <w:sz w:val="20"/>
          <w:szCs w:val="20"/>
        </w:rPr>
        <w:t>,</w:t>
      </w:r>
    </w:p>
    <w:p w14:paraId="06182F29" w14:textId="77777777" w:rsidR="009569D4" w:rsidRPr="00C22C26" w:rsidRDefault="009569D4" w:rsidP="00093E14">
      <w:pPr>
        <w:pStyle w:val="Akapitzlist"/>
        <w:numPr>
          <w:ilvl w:val="0"/>
          <w:numId w:val="53"/>
        </w:numPr>
        <w:spacing w:after="120"/>
        <w:ind w:left="714" w:hanging="357"/>
        <w:contextualSpacing w:val="0"/>
        <w:rPr>
          <w:rFonts w:ascii="Lato" w:hAnsi="Lato"/>
          <w:sz w:val="20"/>
          <w:szCs w:val="20"/>
        </w:rPr>
      </w:pPr>
      <w:r w:rsidRPr="00C22C26">
        <w:rPr>
          <w:rFonts w:ascii="Lato" w:hAnsi="Lato"/>
          <w:sz w:val="20"/>
          <w:szCs w:val="20"/>
        </w:rPr>
        <w:t>wzrost jakości życia mieszkańców.</w:t>
      </w:r>
    </w:p>
    <w:p w14:paraId="68D5EDB1" w14:textId="77777777" w:rsidR="006F4D8F" w:rsidRDefault="006F4D8F" w:rsidP="00093E14">
      <w:pPr>
        <w:pStyle w:val="Nagwek3"/>
        <w:numPr>
          <w:ilvl w:val="2"/>
          <w:numId w:val="5"/>
        </w:numPr>
      </w:pPr>
      <w:r>
        <w:t>Realizacja Ram Wykonania</w:t>
      </w:r>
      <w:r w:rsidR="00E66B89">
        <w:t xml:space="preserve"> w </w:t>
      </w:r>
      <w:r>
        <w:t>OP IV</w:t>
      </w:r>
    </w:p>
    <w:p w14:paraId="720C892C" w14:textId="77777777" w:rsidR="006F4D8F" w:rsidRDefault="006F4D8F" w:rsidP="006F4D8F">
      <w:pPr>
        <w:rPr>
          <w:rFonts w:eastAsia="Lato"/>
        </w:rPr>
      </w:pPr>
      <w:r>
        <w:rPr>
          <w:rFonts w:eastAsia="Lato"/>
        </w:rPr>
        <w:t>W OP IV wybrano następujące wskaźniki Ram Wykonania:</w:t>
      </w:r>
    </w:p>
    <w:p w14:paraId="65F75012" w14:textId="77777777" w:rsidR="006F4D8F" w:rsidRPr="00C22C26" w:rsidRDefault="006F4D8F" w:rsidP="00093E14">
      <w:pPr>
        <w:pStyle w:val="Akapitzlist"/>
        <w:numPr>
          <w:ilvl w:val="0"/>
          <w:numId w:val="47"/>
        </w:numPr>
      </w:pPr>
      <w:r w:rsidRPr="00C22C26">
        <w:rPr>
          <w:rFonts w:ascii="Lato" w:hAnsi="Lato"/>
          <w:sz w:val="20"/>
        </w:rPr>
        <w:t>dla PI 6c – KEW</w:t>
      </w:r>
      <w:r w:rsidRPr="00C22C26">
        <w:rPr>
          <w:szCs w:val="20"/>
        </w:rPr>
        <w:footnoteReference w:id="37"/>
      </w:r>
      <w:r w:rsidRPr="00C22C26">
        <w:rPr>
          <w:rFonts w:ascii="Lato" w:hAnsi="Lato"/>
          <w:sz w:val="20"/>
        </w:rPr>
        <w:t xml:space="preserve">: </w:t>
      </w:r>
      <w:r w:rsidRPr="00C22C26">
        <w:rPr>
          <w:rFonts w:ascii="Lato" w:hAnsi="Lato"/>
          <w:i/>
          <w:sz w:val="20"/>
        </w:rPr>
        <w:t>Liczba zabytków nieruchomych objętych wsparciem</w:t>
      </w:r>
      <w:r w:rsidR="00E66B89">
        <w:rPr>
          <w:rFonts w:ascii="Lato" w:hAnsi="Lato"/>
          <w:i/>
          <w:sz w:val="20"/>
        </w:rPr>
        <w:t xml:space="preserve"> w </w:t>
      </w:r>
      <w:r w:rsidRPr="00C22C26">
        <w:rPr>
          <w:rFonts w:ascii="Lato" w:hAnsi="Lato"/>
          <w:i/>
          <w:sz w:val="20"/>
        </w:rPr>
        <w:t>podpisanych umowach</w:t>
      </w:r>
      <w:r w:rsidRPr="00C22C26">
        <w:rPr>
          <w:rFonts w:ascii="Lato" w:hAnsi="Lato"/>
          <w:sz w:val="20"/>
        </w:rPr>
        <w:t>,</w:t>
      </w:r>
    </w:p>
    <w:p w14:paraId="5BC7C2BD" w14:textId="77777777" w:rsidR="006F4D8F" w:rsidRPr="00C22C26" w:rsidRDefault="006F4D8F" w:rsidP="00093E14">
      <w:pPr>
        <w:pStyle w:val="Akapitzlist"/>
        <w:numPr>
          <w:ilvl w:val="0"/>
          <w:numId w:val="47"/>
        </w:numPr>
      </w:pPr>
      <w:r w:rsidRPr="00C22C26">
        <w:rPr>
          <w:rFonts w:ascii="Lato" w:hAnsi="Lato"/>
          <w:sz w:val="20"/>
        </w:rPr>
        <w:t xml:space="preserve">dla PI 6d - wskaźnik produktu: </w:t>
      </w:r>
      <w:r w:rsidRPr="00C22C26">
        <w:rPr>
          <w:rFonts w:ascii="Lato" w:hAnsi="Lato"/>
          <w:i/>
          <w:sz w:val="20"/>
        </w:rPr>
        <w:t>Powierzchnia siedlisk wspartych</w:t>
      </w:r>
      <w:r w:rsidR="00E66B89">
        <w:rPr>
          <w:rFonts w:ascii="Lato" w:hAnsi="Lato"/>
          <w:i/>
          <w:sz w:val="20"/>
        </w:rPr>
        <w:t xml:space="preserve"> w </w:t>
      </w:r>
      <w:r w:rsidRPr="00C22C26">
        <w:rPr>
          <w:rFonts w:ascii="Lato" w:hAnsi="Lato"/>
          <w:i/>
          <w:sz w:val="20"/>
        </w:rPr>
        <w:t>zakresie uzyskania lepszego statusu ochrony</w:t>
      </w:r>
      <w:r w:rsidRPr="00C22C26">
        <w:rPr>
          <w:rFonts w:ascii="Lato" w:hAnsi="Lato"/>
          <w:sz w:val="20"/>
        </w:rPr>
        <w:t xml:space="preserve">, </w:t>
      </w:r>
    </w:p>
    <w:p w14:paraId="1986C4B3" w14:textId="77777777" w:rsidR="006F4D8F" w:rsidRPr="00C22C26" w:rsidRDefault="006F4D8F" w:rsidP="00093E14">
      <w:pPr>
        <w:pStyle w:val="Akapitzlist"/>
        <w:numPr>
          <w:ilvl w:val="0"/>
          <w:numId w:val="47"/>
        </w:numPr>
      </w:pPr>
      <w:r w:rsidRPr="00C22C26">
        <w:rPr>
          <w:rFonts w:ascii="Lato" w:hAnsi="Lato"/>
          <w:sz w:val="20"/>
        </w:rPr>
        <w:t xml:space="preserve">dla PI 8b – wskaźnik produktu: </w:t>
      </w:r>
      <w:r w:rsidRPr="00C22C26">
        <w:rPr>
          <w:rFonts w:ascii="Lato" w:hAnsi="Lato"/>
          <w:i/>
          <w:sz w:val="20"/>
        </w:rPr>
        <w:t>Liczba wspartych obiektów turystycznych</w:t>
      </w:r>
      <w:r w:rsidR="00E66B89">
        <w:rPr>
          <w:rFonts w:ascii="Lato" w:hAnsi="Lato"/>
          <w:i/>
          <w:sz w:val="20"/>
        </w:rPr>
        <w:t xml:space="preserve"> i </w:t>
      </w:r>
      <w:r w:rsidRPr="00C22C26">
        <w:rPr>
          <w:rFonts w:ascii="Lato" w:hAnsi="Lato"/>
          <w:i/>
          <w:sz w:val="20"/>
        </w:rPr>
        <w:t>rekreacyjnych</w:t>
      </w:r>
    </w:p>
    <w:p w14:paraId="6234BA0D" w14:textId="77777777" w:rsidR="006F4D8F" w:rsidRPr="00C22C26" w:rsidRDefault="006F4D8F" w:rsidP="00093E14">
      <w:pPr>
        <w:pStyle w:val="Akapitzlist"/>
        <w:numPr>
          <w:ilvl w:val="0"/>
          <w:numId w:val="47"/>
        </w:numPr>
      </w:pPr>
      <w:r w:rsidRPr="00C22C26">
        <w:rPr>
          <w:rFonts w:ascii="Lato" w:hAnsi="Lato"/>
          <w:sz w:val="20"/>
        </w:rPr>
        <w:t>dla wszystkich PI</w:t>
      </w:r>
      <w:r w:rsidR="00E66B89">
        <w:rPr>
          <w:rFonts w:ascii="Lato" w:hAnsi="Lato"/>
          <w:sz w:val="20"/>
        </w:rPr>
        <w:t xml:space="preserve"> w </w:t>
      </w:r>
      <w:r w:rsidRPr="00C22C26">
        <w:rPr>
          <w:rFonts w:ascii="Lato" w:hAnsi="Lato"/>
          <w:sz w:val="20"/>
        </w:rPr>
        <w:t xml:space="preserve">ramach osi: wskaźnik postępu finansowego - </w:t>
      </w:r>
      <w:r w:rsidRPr="00C22C26">
        <w:rPr>
          <w:rFonts w:ascii="Lato" w:hAnsi="Lato"/>
          <w:i/>
          <w:sz w:val="20"/>
        </w:rPr>
        <w:t>Całkowita kwota certyfikowanych wydatków kwalifikowanych</w:t>
      </w:r>
      <w:r w:rsidRPr="00C22C26">
        <w:rPr>
          <w:rFonts w:ascii="Lato" w:hAnsi="Lato"/>
          <w:sz w:val="20"/>
        </w:rPr>
        <w:t xml:space="preserve">. </w:t>
      </w:r>
    </w:p>
    <w:p w14:paraId="1BD27950" w14:textId="77777777" w:rsidR="006F4D8F" w:rsidRDefault="006F4D8F" w:rsidP="006F4D8F">
      <w:pPr>
        <w:rPr>
          <w:rFonts w:eastAsia="Lato"/>
        </w:rPr>
      </w:pPr>
      <w:r>
        <w:rPr>
          <w:rFonts w:eastAsia="Lato"/>
        </w:rPr>
        <w:t>Z uwagi na duże zainteresowanie działaniami</w:t>
      </w:r>
      <w:r w:rsidR="00E66B89">
        <w:rPr>
          <w:rFonts w:eastAsia="Lato"/>
        </w:rPr>
        <w:t xml:space="preserve"> z </w:t>
      </w:r>
      <w:r>
        <w:rPr>
          <w:rFonts w:eastAsia="Lato"/>
        </w:rPr>
        <w:t>PI 6c, dokonano zwiększenia wartości wskaźnika finansowego Ram Wykonania IV OP. Zmiany wynikały ze zwiększenia alokacji</w:t>
      </w:r>
      <w:r w:rsidR="00E66B89">
        <w:rPr>
          <w:rFonts w:eastAsia="Lato"/>
        </w:rPr>
        <w:t xml:space="preserve"> w </w:t>
      </w:r>
      <w:r>
        <w:rPr>
          <w:rFonts w:eastAsia="Lato"/>
        </w:rPr>
        <w:t>PI 6c</w:t>
      </w:r>
      <w:r w:rsidR="00E66B89">
        <w:rPr>
          <w:rFonts w:eastAsia="Lato"/>
        </w:rPr>
        <w:t xml:space="preserve"> o </w:t>
      </w:r>
      <w:r>
        <w:rPr>
          <w:rFonts w:eastAsia="Lato"/>
        </w:rPr>
        <w:t xml:space="preserve">6 mln euro. Pomimo braku osiągnięcia wskaźnika produktu </w:t>
      </w:r>
      <w:r w:rsidRPr="00EC0288">
        <w:rPr>
          <w:rFonts w:eastAsia="Lato"/>
          <w:i/>
        </w:rPr>
        <w:t>Liczba zabytków nieruchomych</w:t>
      </w:r>
      <w:r>
        <w:rPr>
          <w:rFonts w:eastAsia="Lato"/>
        </w:rPr>
        <w:t xml:space="preserve"> na poziomie złożonych wniosków</w:t>
      </w:r>
      <w:r w:rsidR="00E66B89">
        <w:rPr>
          <w:rFonts w:eastAsia="Lato"/>
        </w:rPr>
        <w:t xml:space="preserve"> o </w:t>
      </w:r>
      <w:r>
        <w:rPr>
          <w:rFonts w:eastAsia="Lato"/>
        </w:rPr>
        <w:t>płatność,</w:t>
      </w:r>
      <w:r w:rsidR="00E66B89">
        <w:rPr>
          <w:rFonts w:eastAsia="Lato"/>
        </w:rPr>
        <w:t xml:space="preserve"> w </w:t>
      </w:r>
      <w:r>
        <w:rPr>
          <w:rFonts w:eastAsia="Lato"/>
        </w:rPr>
        <w:t>podpisanych umowach poziom realizacji tego wskaźnika jest zadawalający - osiągnięto 26 szt. przy założonych na 2018r. 8 szt. (osiągnięty poziom</w:t>
      </w:r>
      <w:r w:rsidR="00E66B89">
        <w:rPr>
          <w:rFonts w:eastAsia="Lato"/>
        </w:rPr>
        <w:t xml:space="preserve"> w </w:t>
      </w:r>
      <w:r>
        <w:rPr>
          <w:rFonts w:eastAsia="Lato"/>
        </w:rPr>
        <w:t xml:space="preserve">stosunku do wskaźnika docelowego - 325%). Wartość docelowa analogicznego wskaźnika produktu na 2023 rok wynosi 19 </w:t>
      </w:r>
      <w:r>
        <w:rPr>
          <w:rFonts w:eastAsia="Lato"/>
        </w:rPr>
        <w:lastRenderedPageBreak/>
        <w:t>sztuk. Dlatego też, jeśli dotychczasowe projekty zostaną zrealizowane</w:t>
      </w:r>
      <w:r w:rsidR="00E66B89">
        <w:rPr>
          <w:rFonts w:eastAsia="Lato"/>
        </w:rPr>
        <w:t xml:space="preserve"> w </w:t>
      </w:r>
      <w:r>
        <w:rPr>
          <w:rFonts w:eastAsia="Lato"/>
        </w:rPr>
        <w:t>pełnym zakresie, cel ten zostanie zrealizowany,</w:t>
      </w:r>
      <w:r w:rsidR="00E66B89">
        <w:rPr>
          <w:rFonts w:eastAsia="Lato"/>
        </w:rPr>
        <w:t xml:space="preserve"> a </w:t>
      </w:r>
      <w:r>
        <w:rPr>
          <w:rFonts w:eastAsia="Lato"/>
        </w:rPr>
        <w:t>nawet przekroczony.</w:t>
      </w:r>
    </w:p>
    <w:p w14:paraId="05456CF4" w14:textId="77777777" w:rsidR="006F4D8F" w:rsidRDefault="006F4D8F" w:rsidP="006E34DC">
      <w:pPr>
        <w:pStyle w:val="Legenda"/>
        <w:spacing w:after="0"/>
      </w:pPr>
      <w:bookmarkStart w:id="121" w:name="_Toc8824166"/>
      <w:r>
        <w:t xml:space="preserve">Tabela </w:t>
      </w:r>
      <w:r>
        <w:fldChar w:fldCharType="begin"/>
      </w:r>
      <w:r>
        <w:instrText xml:space="preserve"> SEQ Tabela \* ARABIC </w:instrText>
      </w:r>
      <w:r>
        <w:fldChar w:fldCharType="separate"/>
      </w:r>
      <w:r w:rsidR="00763345">
        <w:rPr>
          <w:noProof/>
        </w:rPr>
        <w:t>55</w:t>
      </w:r>
      <w:r>
        <w:fldChar w:fldCharType="end"/>
      </w:r>
      <w:r>
        <w:t xml:space="preserve"> Wskaźniki wybrane do Ram Wykonania – stopień osiągnięcia wartości pośrednich</w:t>
      </w:r>
      <w:r w:rsidR="00E66B89">
        <w:t xml:space="preserve"> i </w:t>
      </w:r>
      <w:r>
        <w:t>docelowych – OP IV Naturalne otoczenie człowieka</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914"/>
        <w:gridCol w:w="1391"/>
        <w:gridCol w:w="858"/>
        <w:gridCol w:w="1070"/>
        <w:gridCol w:w="768"/>
        <w:gridCol w:w="1002"/>
        <w:gridCol w:w="828"/>
        <w:gridCol w:w="866"/>
        <w:gridCol w:w="866"/>
      </w:tblGrid>
      <w:tr w:rsidR="006F4D8F" w:rsidRPr="00CF48AD" w14:paraId="72AE4CD8" w14:textId="77777777" w:rsidTr="001C357C">
        <w:trPr>
          <w:tblHeader/>
        </w:trPr>
        <w:tc>
          <w:tcPr>
            <w:tcW w:w="499" w:type="dxa"/>
            <w:shd w:val="clear" w:color="auto" w:fill="DBE5F1"/>
            <w:hideMark/>
          </w:tcPr>
          <w:p w14:paraId="537188BB"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PI</w:t>
            </w:r>
          </w:p>
        </w:tc>
        <w:tc>
          <w:tcPr>
            <w:tcW w:w="914" w:type="dxa"/>
            <w:shd w:val="clear" w:color="auto" w:fill="DBE5F1"/>
            <w:hideMark/>
          </w:tcPr>
          <w:p w14:paraId="459761B3"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Typ wskaźnika</w:t>
            </w:r>
          </w:p>
        </w:tc>
        <w:tc>
          <w:tcPr>
            <w:tcW w:w="1391" w:type="dxa"/>
            <w:shd w:val="clear" w:color="auto" w:fill="DBE5F1"/>
            <w:hideMark/>
          </w:tcPr>
          <w:p w14:paraId="5B8BDBDA"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Wskaźnik lub KEW</w:t>
            </w:r>
          </w:p>
        </w:tc>
        <w:tc>
          <w:tcPr>
            <w:tcW w:w="858" w:type="dxa"/>
            <w:shd w:val="clear" w:color="auto" w:fill="DBE5F1"/>
            <w:hideMark/>
          </w:tcPr>
          <w:p w14:paraId="1F7E3382"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Jednostka pomiaru</w:t>
            </w:r>
          </w:p>
        </w:tc>
        <w:tc>
          <w:tcPr>
            <w:tcW w:w="1070" w:type="dxa"/>
            <w:shd w:val="clear" w:color="auto" w:fill="DBE5F1"/>
            <w:hideMark/>
          </w:tcPr>
          <w:p w14:paraId="478AB8A0"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Wartość kumulatywna</w:t>
            </w:r>
          </w:p>
        </w:tc>
        <w:tc>
          <w:tcPr>
            <w:tcW w:w="768" w:type="dxa"/>
            <w:shd w:val="clear" w:color="auto" w:fill="DBE5F1"/>
            <w:hideMark/>
          </w:tcPr>
          <w:p w14:paraId="2FD9A705"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Cel pośredni na 2018 r.</w:t>
            </w:r>
          </w:p>
        </w:tc>
        <w:tc>
          <w:tcPr>
            <w:tcW w:w="1002" w:type="dxa"/>
            <w:shd w:val="clear" w:color="auto" w:fill="DBE5F1"/>
            <w:hideMark/>
          </w:tcPr>
          <w:p w14:paraId="4BE93CF0"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 realizacji celu pośredniego</w:t>
            </w:r>
          </w:p>
        </w:tc>
        <w:tc>
          <w:tcPr>
            <w:tcW w:w="828" w:type="dxa"/>
            <w:shd w:val="clear" w:color="auto" w:fill="DBE5F1"/>
            <w:hideMark/>
          </w:tcPr>
          <w:p w14:paraId="4DD3A006"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Wartość docelowa na koniec 2023 r.</w:t>
            </w:r>
          </w:p>
        </w:tc>
        <w:tc>
          <w:tcPr>
            <w:tcW w:w="866" w:type="dxa"/>
            <w:shd w:val="clear" w:color="auto" w:fill="DBE5F1"/>
            <w:hideMark/>
          </w:tcPr>
          <w:p w14:paraId="4AAEE20B"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 xml:space="preserve">% realizacji wartości docelowej </w:t>
            </w:r>
            <w:r w:rsidRPr="00C22C26">
              <w:rPr>
                <w:sz w:val="18"/>
              </w:rPr>
              <w:t>wg WoP</w:t>
            </w:r>
          </w:p>
        </w:tc>
        <w:tc>
          <w:tcPr>
            <w:tcW w:w="866" w:type="dxa"/>
            <w:shd w:val="clear" w:color="auto" w:fill="DBE5F1"/>
            <w:hideMark/>
          </w:tcPr>
          <w:p w14:paraId="32228DFF" w14:textId="77777777" w:rsidR="006F4D8F" w:rsidRPr="00CF48AD" w:rsidRDefault="006F4D8F" w:rsidP="006F4D8F">
            <w:pPr>
              <w:keepNext/>
              <w:spacing w:line="276" w:lineRule="auto"/>
              <w:jc w:val="center"/>
              <w:rPr>
                <w:rFonts w:cs="Calibri"/>
                <w:sz w:val="18"/>
                <w:szCs w:val="18"/>
                <w:lang w:eastAsia="en-US"/>
              </w:rPr>
            </w:pPr>
            <w:r w:rsidRPr="00CF48AD">
              <w:rPr>
                <w:rFonts w:cs="Calibri"/>
                <w:sz w:val="18"/>
                <w:szCs w:val="18"/>
                <w:lang w:eastAsia="en-US"/>
              </w:rPr>
              <w:t xml:space="preserve">% realizacji wartości docelowej </w:t>
            </w:r>
            <w:r w:rsidRPr="00C22C26">
              <w:rPr>
                <w:sz w:val="18"/>
              </w:rPr>
              <w:t>wg UoD</w:t>
            </w:r>
          </w:p>
        </w:tc>
      </w:tr>
      <w:tr w:rsidR="006F4D8F" w:rsidRPr="00CF48AD" w14:paraId="472A37BC" w14:textId="77777777" w:rsidTr="001C357C">
        <w:tc>
          <w:tcPr>
            <w:tcW w:w="499" w:type="dxa"/>
            <w:hideMark/>
          </w:tcPr>
          <w:p w14:paraId="23C6F92D" w14:textId="77777777" w:rsidR="006F4D8F" w:rsidRPr="00CF48AD" w:rsidRDefault="006F4D8F" w:rsidP="006F4D8F">
            <w:pPr>
              <w:jc w:val="center"/>
              <w:rPr>
                <w:sz w:val="18"/>
                <w:szCs w:val="18"/>
                <w:lang w:eastAsia="en-US"/>
              </w:rPr>
            </w:pPr>
            <w:r w:rsidRPr="00CF48AD">
              <w:rPr>
                <w:rFonts w:cs="Calibri"/>
                <w:color w:val="000000"/>
                <w:sz w:val="18"/>
                <w:szCs w:val="18"/>
                <w:lang w:eastAsia="en-US"/>
              </w:rPr>
              <w:t>06d</w:t>
            </w:r>
          </w:p>
        </w:tc>
        <w:tc>
          <w:tcPr>
            <w:tcW w:w="914" w:type="dxa"/>
            <w:hideMark/>
          </w:tcPr>
          <w:p w14:paraId="2351ECD2"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wskaźnik produktu</w:t>
            </w:r>
          </w:p>
        </w:tc>
        <w:tc>
          <w:tcPr>
            <w:tcW w:w="1391" w:type="dxa"/>
            <w:hideMark/>
          </w:tcPr>
          <w:p w14:paraId="18F6F3FB" w14:textId="77777777" w:rsidR="006F4D8F" w:rsidRPr="00B61BF3" w:rsidRDefault="006F4D8F" w:rsidP="006F4D8F">
            <w:pPr>
              <w:jc w:val="left"/>
              <w:rPr>
                <w:sz w:val="18"/>
                <w:szCs w:val="18"/>
                <w:lang w:eastAsia="en-US"/>
              </w:rPr>
            </w:pPr>
            <w:r w:rsidRPr="00CF48AD">
              <w:rPr>
                <w:rFonts w:cs="Calibri"/>
                <w:color w:val="000000"/>
                <w:sz w:val="18"/>
                <w:szCs w:val="18"/>
                <w:lang w:eastAsia="en-US"/>
              </w:rPr>
              <w:t>Powierzchnia siedlisk wspartych</w:t>
            </w:r>
            <w:r w:rsidR="00E66B89">
              <w:rPr>
                <w:rFonts w:cs="Calibri"/>
                <w:color w:val="000000"/>
                <w:sz w:val="18"/>
                <w:szCs w:val="18"/>
                <w:lang w:eastAsia="en-US"/>
              </w:rPr>
              <w:t xml:space="preserve"> w </w:t>
            </w:r>
            <w:r w:rsidRPr="00CF48AD">
              <w:rPr>
                <w:rFonts w:cs="Calibri"/>
                <w:color w:val="000000"/>
                <w:sz w:val="18"/>
                <w:szCs w:val="18"/>
                <w:lang w:eastAsia="en-US"/>
              </w:rPr>
              <w:t>zakresie uzyskania lepszego statusu ochrony</w:t>
            </w:r>
          </w:p>
        </w:tc>
        <w:tc>
          <w:tcPr>
            <w:tcW w:w="858" w:type="dxa"/>
            <w:hideMark/>
          </w:tcPr>
          <w:p w14:paraId="54FAA6CB"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ha</w:t>
            </w:r>
          </w:p>
        </w:tc>
        <w:tc>
          <w:tcPr>
            <w:tcW w:w="1070" w:type="dxa"/>
            <w:hideMark/>
          </w:tcPr>
          <w:p w14:paraId="2EDDA5F2"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36,57</w:t>
            </w:r>
          </w:p>
        </w:tc>
        <w:tc>
          <w:tcPr>
            <w:tcW w:w="768" w:type="dxa"/>
            <w:hideMark/>
          </w:tcPr>
          <w:p w14:paraId="0833F37C"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12,37</w:t>
            </w:r>
          </w:p>
        </w:tc>
        <w:tc>
          <w:tcPr>
            <w:tcW w:w="1002" w:type="dxa"/>
            <w:hideMark/>
          </w:tcPr>
          <w:p w14:paraId="4C1082DC"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295,63%</w:t>
            </w:r>
          </w:p>
        </w:tc>
        <w:tc>
          <w:tcPr>
            <w:tcW w:w="828" w:type="dxa"/>
            <w:hideMark/>
          </w:tcPr>
          <w:p w14:paraId="30790F35" w14:textId="77777777" w:rsidR="006F4D8F" w:rsidRPr="00B61BF3" w:rsidRDefault="006F4D8F" w:rsidP="006F4D8F">
            <w:pPr>
              <w:jc w:val="center"/>
              <w:rPr>
                <w:sz w:val="18"/>
                <w:szCs w:val="18"/>
                <w:lang w:eastAsia="en-US"/>
              </w:rPr>
            </w:pPr>
            <w:r w:rsidRPr="00CF48AD">
              <w:rPr>
                <w:rFonts w:cs="Calibri"/>
                <w:sz w:val="18"/>
                <w:szCs w:val="18"/>
                <w:lang w:eastAsia="en-US"/>
              </w:rPr>
              <w:t>91,29</w:t>
            </w:r>
          </w:p>
        </w:tc>
        <w:tc>
          <w:tcPr>
            <w:tcW w:w="866" w:type="dxa"/>
            <w:hideMark/>
          </w:tcPr>
          <w:p w14:paraId="2F494390" w14:textId="77777777" w:rsidR="006F4D8F" w:rsidRPr="00CF48AD" w:rsidRDefault="006F4D8F" w:rsidP="006F4D8F">
            <w:pPr>
              <w:spacing w:line="276" w:lineRule="auto"/>
              <w:jc w:val="center"/>
              <w:rPr>
                <w:rFonts w:eastAsia="Calibri" w:cs="Calibri"/>
                <w:sz w:val="18"/>
                <w:szCs w:val="18"/>
                <w:lang w:eastAsia="en-US"/>
              </w:rPr>
            </w:pPr>
            <w:r w:rsidRPr="008B706B">
              <w:rPr>
                <w:rFonts w:cs="Calibri"/>
                <w:color w:val="000000"/>
                <w:sz w:val="18"/>
                <w:szCs w:val="18"/>
                <w:lang w:eastAsia="en-US"/>
              </w:rPr>
              <w:t>40,1%</w:t>
            </w:r>
          </w:p>
        </w:tc>
        <w:tc>
          <w:tcPr>
            <w:tcW w:w="866" w:type="dxa"/>
            <w:hideMark/>
          </w:tcPr>
          <w:p w14:paraId="28B1C6F4" w14:textId="77777777" w:rsidR="006F4D8F" w:rsidRPr="00CF48AD" w:rsidRDefault="006F4D8F" w:rsidP="006F4D8F">
            <w:pPr>
              <w:spacing w:line="276" w:lineRule="auto"/>
              <w:jc w:val="center"/>
              <w:rPr>
                <w:rFonts w:eastAsia="Calibri" w:cs="Calibri"/>
                <w:sz w:val="18"/>
                <w:szCs w:val="18"/>
                <w:lang w:eastAsia="en-US"/>
              </w:rPr>
            </w:pPr>
            <w:r w:rsidRPr="008B706B">
              <w:rPr>
                <w:rFonts w:cs="Calibri"/>
                <w:color w:val="000000"/>
                <w:sz w:val="18"/>
                <w:szCs w:val="18"/>
                <w:lang w:eastAsia="en-US"/>
              </w:rPr>
              <w:t>155,9%</w:t>
            </w:r>
          </w:p>
        </w:tc>
      </w:tr>
      <w:tr w:rsidR="006F4D8F" w:rsidRPr="00CF48AD" w14:paraId="48F2DE5A" w14:textId="77777777" w:rsidTr="001C357C">
        <w:tc>
          <w:tcPr>
            <w:tcW w:w="499" w:type="dxa"/>
            <w:hideMark/>
          </w:tcPr>
          <w:p w14:paraId="39A910DF" w14:textId="77777777" w:rsidR="006F4D8F" w:rsidRPr="00CF48AD" w:rsidRDefault="006F4D8F" w:rsidP="006F4D8F">
            <w:pPr>
              <w:jc w:val="center"/>
              <w:rPr>
                <w:sz w:val="18"/>
                <w:szCs w:val="18"/>
                <w:lang w:eastAsia="en-US"/>
              </w:rPr>
            </w:pPr>
            <w:r w:rsidRPr="00CF48AD">
              <w:rPr>
                <w:rFonts w:cs="Calibri"/>
                <w:color w:val="000000"/>
                <w:sz w:val="18"/>
                <w:szCs w:val="18"/>
                <w:lang w:eastAsia="en-US"/>
              </w:rPr>
              <w:t>08b</w:t>
            </w:r>
          </w:p>
        </w:tc>
        <w:tc>
          <w:tcPr>
            <w:tcW w:w="914" w:type="dxa"/>
            <w:hideMark/>
          </w:tcPr>
          <w:p w14:paraId="25F9123B"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wskaźnik produktu</w:t>
            </w:r>
          </w:p>
        </w:tc>
        <w:tc>
          <w:tcPr>
            <w:tcW w:w="1391" w:type="dxa"/>
            <w:hideMark/>
          </w:tcPr>
          <w:p w14:paraId="5F3D2564" w14:textId="77777777" w:rsidR="006F4D8F" w:rsidRPr="00B61BF3" w:rsidRDefault="006F4D8F" w:rsidP="006F4D8F">
            <w:pPr>
              <w:jc w:val="left"/>
              <w:rPr>
                <w:sz w:val="18"/>
                <w:szCs w:val="18"/>
                <w:lang w:eastAsia="en-US"/>
              </w:rPr>
            </w:pPr>
            <w:r w:rsidRPr="00CF48AD">
              <w:rPr>
                <w:rFonts w:cs="Calibri"/>
                <w:color w:val="000000"/>
                <w:sz w:val="18"/>
                <w:szCs w:val="18"/>
                <w:lang w:eastAsia="en-US"/>
              </w:rPr>
              <w:t>Liczba wspartych obiektów turystycznych</w:t>
            </w:r>
            <w:r w:rsidR="00E66B89">
              <w:rPr>
                <w:rFonts w:cs="Calibri"/>
                <w:color w:val="000000"/>
                <w:sz w:val="18"/>
                <w:szCs w:val="18"/>
                <w:lang w:eastAsia="en-US"/>
              </w:rPr>
              <w:t xml:space="preserve"> i </w:t>
            </w:r>
            <w:r w:rsidRPr="00CF48AD">
              <w:rPr>
                <w:rFonts w:cs="Calibri"/>
                <w:color w:val="000000"/>
                <w:sz w:val="18"/>
                <w:szCs w:val="18"/>
                <w:lang w:eastAsia="en-US"/>
              </w:rPr>
              <w:t>rekreacyjnych</w:t>
            </w:r>
          </w:p>
        </w:tc>
        <w:tc>
          <w:tcPr>
            <w:tcW w:w="858" w:type="dxa"/>
            <w:hideMark/>
          </w:tcPr>
          <w:p w14:paraId="47D063DD"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szt.</w:t>
            </w:r>
          </w:p>
        </w:tc>
        <w:tc>
          <w:tcPr>
            <w:tcW w:w="1070" w:type="dxa"/>
            <w:hideMark/>
          </w:tcPr>
          <w:p w14:paraId="2093FCC3"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10</w:t>
            </w:r>
          </w:p>
        </w:tc>
        <w:tc>
          <w:tcPr>
            <w:tcW w:w="768" w:type="dxa"/>
            <w:hideMark/>
          </w:tcPr>
          <w:p w14:paraId="685498C2"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4</w:t>
            </w:r>
          </w:p>
        </w:tc>
        <w:tc>
          <w:tcPr>
            <w:tcW w:w="1002" w:type="dxa"/>
            <w:hideMark/>
          </w:tcPr>
          <w:p w14:paraId="1075351A"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250,00%</w:t>
            </w:r>
          </w:p>
        </w:tc>
        <w:tc>
          <w:tcPr>
            <w:tcW w:w="828" w:type="dxa"/>
            <w:hideMark/>
          </w:tcPr>
          <w:p w14:paraId="7B82EC20" w14:textId="77777777" w:rsidR="006F4D8F" w:rsidRPr="00B61BF3" w:rsidRDefault="006F4D8F" w:rsidP="006F4D8F">
            <w:pPr>
              <w:jc w:val="center"/>
              <w:rPr>
                <w:sz w:val="18"/>
                <w:szCs w:val="18"/>
                <w:lang w:eastAsia="en-US"/>
              </w:rPr>
            </w:pPr>
            <w:r w:rsidRPr="00CF48AD">
              <w:rPr>
                <w:rFonts w:cs="Calibri"/>
                <w:sz w:val="18"/>
                <w:szCs w:val="18"/>
                <w:lang w:eastAsia="en-US"/>
              </w:rPr>
              <w:t>17</w:t>
            </w:r>
          </w:p>
        </w:tc>
        <w:tc>
          <w:tcPr>
            <w:tcW w:w="866" w:type="dxa"/>
            <w:hideMark/>
          </w:tcPr>
          <w:p w14:paraId="68A984FA" w14:textId="77777777" w:rsidR="006F4D8F" w:rsidRPr="00CF48AD" w:rsidRDefault="006F4D8F" w:rsidP="006F4D8F">
            <w:pPr>
              <w:spacing w:line="276" w:lineRule="auto"/>
              <w:jc w:val="center"/>
              <w:rPr>
                <w:rFonts w:eastAsia="Calibri" w:cs="Calibri"/>
                <w:sz w:val="18"/>
                <w:szCs w:val="18"/>
                <w:lang w:eastAsia="en-US"/>
              </w:rPr>
            </w:pPr>
            <w:r w:rsidRPr="008B706B">
              <w:rPr>
                <w:rFonts w:cs="Calibri"/>
                <w:color w:val="000000"/>
                <w:sz w:val="18"/>
                <w:szCs w:val="18"/>
                <w:lang w:eastAsia="en-US"/>
              </w:rPr>
              <w:t>58,8%</w:t>
            </w:r>
          </w:p>
        </w:tc>
        <w:tc>
          <w:tcPr>
            <w:tcW w:w="866" w:type="dxa"/>
            <w:hideMark/>
          </w:tcPr>
          <w:p w14:paraId="4A5F66AD" w14:textId="77777777" w:rsidR="006F4D8F" w:rsidRPr="00CF48AD" w:rsidRDefault="006F4D8F" w:rsidP="006F4D8F">
            <w:pPr>
              <w:spacing w:line="276" w:lineRule="auto"/>
              <w:jc w:val="center"/>
              <w:rPr>
                <w:rFonts w:eastAsia="Calibri" w:cs="Calibri"/>
                <w:sz w:val="18"/>
                <w:szCs w:val="18"/>
                <w:lang w:eastAsia="en-US"/>
              </w:rPr>
            </w:pPr>
            <w:r w:rsidRPr="008B706B">
              <w:rPr>
                <w:rFonts w:cs="Calibri"/>
                <w:color w:val="000000"/>
                <w:sz w:val="18"/>
                <w:szCs w:val="18"/>
                <w:lang w:eastAsia="en-US"/>
              </w:rPr>
              <w:t>258,8%</w:t>
            </w:r>
          </w:p>
        </w:tc>
      </w:tr>
      <w:tr w:rsidR="006F4D8F" w:rsidRPr="00CF48AD" w14:paraId="3E598974" w14:textId="77777777" w:rsidTr="001C357C">
        <w:tc>
          <w:tcPr>
            <w:tcW w:w="499" w:type="dxa"/>
            <w:hideMark/>
          </w:tcPr>
          <w:p w14:paraId="284904EE" w14:textId="77777777" w:rsidR="006F4D8F" w:rsidRPr="00CF48AD" w:rsidRDefault="006F4D8F" w:rsidP="006F4D8F">
            <w:pPr>
              <w:jc w:val="center"/>
              <w:rPr>
                <w:sz w:val="18"/>
                <w:szCs w:val="18"/>
                <w:lang w:eastAsia="en-US"/>
              </w:rPr>
            </w:pPr>
            <w:r w:rsidRPr="00CF48AD">
              <w:rPr>
                <w:rFonts w:cs="Calibri"/>
                <w:color w:val="000000"/>
                <w:sz w:val="18"/>
                <w:szCs w:val="18"/>
                <w:lang w:eastAsia="en-US"/>
              </w:rPr>
              <w:t>06c</w:t>
            </w:r>
          </w:p>
        </w:tc>
        <w:tc>
          <w:tcPr>
            <w:tcW w:w="914" w:type="dxa"/>
            <w:hideMark/>
          </w:tcPr>
          <w:p w14:paraId="144ED6F6"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wskaźnik produktu</w:t>
            </w:r>
          </w:p>
        </w:tc>
        <w:tc>
          <w:tcPr>
            <w:tcW w:w="1391" w:type="dxa"/>
            <w:hideMark/>
          </w:tcPr>
          <w:p w14:paraId="2F994D32" w14:textId="77777777" w:rsidR="006F4D8F" w:rsidRPr="00B61BF3" w:rsidRDefault="006F4D8F" w:rsidP="006F4D8F">
            <w:pPr>
              <w:jc w:val="left"/>
              <w:rPr>
                <w:sz w:val="18"/>
                <w:szCs w:val="18"/>
                <w:lang w:eastAsia="en-US"/>
              </w:rPr>
            </w:pPr>
            <w:r w:rsidRPr="00CF48AD">
              <w:rPr>
                <w:rFonts w:cs="Calibri"/>
                <w:color w:val="000000"/>
                <w:sz w:val="18"/>
                <w:szCs w:val="18"/>
                <w:lang w:eastAsia="en-US"/>
              </w:rPr>
              <w:t>Liczba zabytków nieruchomych objętych wsparciem</w:t>
            </w:r>
          </w:p>
        </w:tc>
        <w:tc>
          <w:tcPr>
            <w:tcW w:w="858" w:type="dxa"/>
            <w:hideMark/>
          </w:tcPr>
          <w:p w14:paraId="273348FD"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szt.</w:t>
            </w:r>
          </w:p>
        </w:tc>
        <w:tc>
          <w:tcPr>
            <w:tcW w:w="1070" w:type="dxa"/>
            <w:hideMark/>
          </w:tcPr>
          <w:p w14:paraId="7583D2DF"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0</w:t>
            </w:r>
          </w:p>
        </w:tc>
        <w:tc>
          <w:tcPr>
            <w:tcW w:w="768" w:type="dxa"/>
            <w:hideMark/>
          </w:tcPr>
          <w:p w14:paraId="5D3DA15B"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0</w:t>
            </w:r>
          </w:p>
        </w:tc>
        <w:tc>
          <w:tcPr>
            <w:tcW w:w="1002" w:type="dxa"/>
            <w:hideMark/>
          </w:tcPr>
          <w:p w14:paraId="20641313"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w:t>
            </w:r>
          </w:p>
        </w:tc>
        <w:tc>
          <w:tcPr>
            <w:tcW w:w="828" w:type="dxa"/>
            <w:hideMark/>
          </w:tcPr>
          <w:p w14:paraId="3A3C92C6" w14:textId="77777777" w:rsidR="006F4D8F" w:rsidRPr="00B61BF3" w:rsidRDefault="006F4D8F" w:rsidP="006F4D8F">
            <w:pPr>
              <w:jc w:val="center"/>
              <w:rPr>
                <w:sz w:val="18"/>
                <w:szCs w:val="18"/>
                <w:lang w:eastAsia="en-US"/>
              </w:rPr>
            </w:pPr>
            <w:r w:rsidRPr="00CF48AD">
              <w:rPr>
                <w:rFonts w:cs="Calibri"/>
                <w:sz w:val="18"/>
                <w:szCs w:val="18"/>
                <w:lang w:eastAsia="en-US"/>
              </w:rPr>
              <w:t>19</w:t>
            </w:r>
          </w:p>
        </w:tc>
        <w:tc>
          <w:tcPr>
            <w:tcW w:w="866" w:type="dxa"/>
            <w:hideMark/>
          </w:tcPr>
          <w:p w14:paraId="40D78BB9" w14:textId="77777777" w:rsidR="006F4D8F" w:rsidRPr="00CF48AD" w:rsidRDefault="006F4D8F" w:rsidP="006F4D8F">
            <w:pPr>
              <w:spacing w:line="276" w:lineRule="auto"/>
              <w:jc w:val="center"/>
              <w:rPr>
                <w:rFonts w:cs="Calibri"/>
                <w:sz w:val="18"/>
                <w:szCs w:val="18"/>
                <w:lang w:eastAsia="en-US"/>
              </w:rPr>
            </w:pPr>
            <w:r w:rsidRPr="008B706B">
              <w:rPr>
                <w:rFonts w:cs="Calibri"/>
                <w:color w:val="000000"/>
                <w:sz w:val="18"/>
                <w:szCs w:val="18"/>
                <w:lang w:eastAsia="en-US"/>
              </w:rPr>
              <w:t>0,0%</w:t>
            </w:r>
          </w:p>
        </w:tc>
        <w:tc>
          <w:tcPr>
            <w:tcW w:w="866" w:type="dxa"/>
            <w:hideMark/>
          </w:tcPr>
          <w:p w14:paraId="28181139" w14:textId="77777777" w:rsidR="006F4D8F" w:rsidRPr="00CF48AD" w:rsidRDefault="006F4D8F" w:rsidP="006F4D8F">
            <w:pPr>
              <w:spacing w:line="276" w:lineRule="auto"/>
              <w:jc w:val="center"/>
              <w:rPr>
                <w:rFonts w:cs="Calibri"/>
                <w:sz w:val="18"/>
                <w:szCs w:val="18"/>
                <w:lang w:eastAsia="en-US"/>
              </w:rPr>
            </w:pPr>
            <w:r w:rsidRPr="008B706B">
              <w:rPr>
                <w:rFonts w:cs="Calibri"/>
                <w:color w:val="000000"/>
                <w:sz w:val="18"/>
                <w:szCs w:val="18"/>
                <w:lang w:eastAsia="en-US"/>
              </w:rPr>
              <w:t>136,8%</w:t>
            </w:r>
          </w:p>
        </w:tc>
      </w:tr>
      <w:tr w:rsidR="006F4D8F" w:rsidRPr="00CF48AD" w14:paraId="5D05F20F" w14:textId="77777777" w:rsidTr="001C357C">
        <w:tc>
          <w:tcPr>
            <w:tcW w:w="499" w:type="dxa"/>
            <w:hideMark/>
          </w:tcPr>
          <w:p w14:paraId="0BFB0780" w14:textId="77777777" w:rsidR="006F4D8F" w:rsidRPr="00CF48AD" w:rsidRDefault="006F4D8F" w:rsidP="006F4D8F">
            <w:pPr>
              <w:jc w:val="center"/>
              <w:rPr>
                <w:sz w:val="18"/>
                <w:szCs w:val="18"/>
                <w:lang w:eastAsia="en-US"/>
              </w:rPr>
            </w:pPr>
            <w:r w:rsidRPr="00CF48AD">
              <w:rPr>
                <w:rFonts w:cs="Calibri"/>
                <w:color w:val="000000"/>
                <w:sz w:val="18"/>
                <w:szCs w:val="18"/>
                <w:lang w:eastAsia="en-US"/>
              </w:rPr>
              <w:t>06c</w:t>
            </w:r>
          </w:p>
        </w:tc>
        <w:tc>
          <w:tcPr>
            <w:tcW w:w="914" w:type="dxa"/>
            <w:hideMark/>
          </w:tcPr>
          <w:p w14:paraId="385B839B"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KEW</w:t>
            </w:r>
          </w:p>
        </w:tc>
        <w:tc>
          <w:tcPr>
            <w:tcW w:w="1391" w:type="dxa"/>
            <w:hideMark/>
          </w:tcPr>
          <w:p w14:paraId="29D49D70" w14:textId="77777777" w:rsidR="006F4D8F" w:rsidRPr="00B61BF3" w:rsidRDefault="006F4D8F" w:rsidP="006F4D8F">
            <w:pPr>
              <w:jc w:val="left"/>
              <w:rPr>
                <w:sz w:val="18"/>
                <w:szCs w:val="18"/>
                <w:lang w:eastAsia="en-US"/>
              </w:rPr>
            </w:pPr>
            <w:r w:rsidRPr="00CF48AD">
              <w:rPr>
                <w:rFonts w:cs="Calibri"/>
                <w:color w:val="000000"/>
                <w:sz w:val="18"/>
                <w:szCs w:val="18"/>
                <w:lang w:eastAsia="en-US"/>
              </w:rPr>
              <w:t>Liczba zabytków nieruchomych objętych wsparciem</w:t>
            </w:r>
            <w:r w:rsidR="00E66B89">
              <w:rPr>
                <w:rFonts w:cs="Calibri"/>
                <w:color w:val="000000"/>
                <w:sz w:val="18"/>
                <w:szCs w:val="18"/>
                <w:lang w:eastAsia="en-US"/>
              </w:rPr>
              <w:t xml:space="preserve"> w </w:t>
            </w:r>
            <w:r w:rsidRPr="00CF48AD">
              <w:rPr>
                <w:rFonts w:cs="Calibri"/>
                <w:color w:val="000000"/>
                <w:sz w:val="18"/>
                <w:szCs w:val="18"/>
                <w:lang w:eastAsia="en-US"/>
              </w:rPr>
              <w:t>podpisanych umowach</w:t>
            </w:r>
          </w:p>
        </w:tc>
        <w:tc>
          <w:tcPr>
            <w:tcW w:w="858" w:type="dxa"/>
            <w:hideMark/>
          </w:tcPr>
          <w:p w14:paraId="5CA89A24"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szt.</w:t>
            </w:r>
          </w:p>
        </w:tc>
        <w:tc>
          <w:tcPr>
            <w:tcW w:w="1070" w:type="dxa"/>
            <w:hideMark/>
          </w:tcPr>
          <w:p w14:paraId="4B2E49B8"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26</w:t>
            </w:r>
          </w:p>
        </w:tc>
        <w:tc>
          <w:tcPr>
            <w:tcW w:w="768" w:type="dxa"/>
            <w:hideMark/>
          </w:tcPr>
          <w:p w14:paraId="49CEEE3C"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8</w:t>
            </w:r>
          </w:p>
        </w:tc>
        <w:tc>
          <w:tcPr>
            <w:tcW w:w="1002" w:type="dxa"/>
            <w:hideMark/>
          </w:tcPr>
          <w:p w14:paraId="22965E32" w14:textId="77777777" w:rsidR="006F4D8F" w:rsidRPr="00B61BF3" w:rsidRDefault="006F4D8F" w:rsidP="006F4D8F">
            <w:pPr>
              <w:jc w:val="center"/>
              <w:rPr>
                <w:sz w:val="18"/>
                <w:szCs w:val="18"/>
                <w:lang w:eastAsia="en-US"/>
              </w:rPr>
            </w:pPr>
            <w:r w:rsidRPr="00CF48AD">
              <w:rPr>
                <w:rFonts w:cs="Calibri"/>
                <w:color w:val="000000"/>
                <w:sz w:val="18"/>
                <w:szCs w:val="18"/>
                <w:lang w:eastAsia="en-US"/>
              </w:rPr>
              <w:t>325,00%</w:t>
            </w:r>
          </w:p>
        </w:tc>
        <w:tc>
          <w:tcPr>
            <w:tcW w:w="828" w:type="dxa"/>
            <w:hideMark/>
          </w:tcPr>
          <w:p w14:paraId="7DA87B4D" w14:textId="77777777" w:rsidR="006F4D8F" w:rsidRPr="00B61BF3" w:rsidRDefault="006F4D8F" w:rsidP="006F4D8F">
            <w:pPr>
              <w:jc w:val="center"/>
              <w:rPr>
                <w:sz w:val="18"/>
                <w:szCs w:val="18"/>
                <w:lang w:eastAsia="en-US"/>
              </w:rPr>
            </w:pPr>
            <w:r w:rsidRPr="00CF48AD">
              <w:rPr>
                <w:rFonts w:cs="Calibri"/>
                <w:sz w:val="18"/>
                <w:szCs w:val="18"/>
                <w:lang w:eastAsia="en-US"/>
              </w:rPr>
              <w:t>-</w:t>
            </w:r>
          </w:p>
        </w:tc>
        <w:tc>
          <w:tcPr>
            <w:tcW w:w="866" w:type="dxa"/>
            <w:hideMark/>
          </w:tcPr>
          <w:p w14:paraId="438F42B1" w14:textId="77777777" w:rsidR="006F4D8F" w:rsidRPr="00CF48AD" w:rsidRDefault="006F4D8F" w:rsidP="006F4D8F">
            <w:pPr>
              <w:spacing w:line="276" w:lineRule="auto"/>
              <w:jc w:val="center"/>
              <w:rPr>
                <w:rFonts w:cs="Calibri"/>
                <w:sz w:val="18"/>
                <w:szCs w:val="18"/>
                <w:lang w:eastAsia="en-US"/>
              </w:rPr>
            </w:pPr>
            <w:r w:rsidRPr="00CF48AD">
              <w:rPr>
                <w:rFonts w:cs="Calibri"/>
                <w:sz w:val="18"/>
                <w:szCs w:val="18"/>
                <w:lang w:eastAsia="en-US"/>
              </w:rPr>
              <w:t>-</w:t>
            </w:r>
          </w:p>
        </w:tc>
        <w:tc>
          <w:tcPr>
            <w:tcW w:w="866" w:type="dxa"/>
            <w:hideMark/>
          </w:tcPr>
          <w:p w14:paraId="69FE54BE" w14:textId="77777777" w:rsidR="006F4D8F" w:rsidRPr="00CF48AD" w:rsidRDefault="006F4D8F" w:rsidP="006F4D8F">
            <w:pPr>
              <w:spacing w:line="276" w:lineRule="auto"/>
              <w:jc w:val="center"/>
              <w:rPr>
                <w:rFonts w:cs="Calibri"/>
                <w:sz w:val="18"/>
                <w:szCs w:val="18"/>
                <w:lang w:eastAsia="en-US"/>
              </w:rPr>
            </w:pPr>
            <w:r w:rsidRPr="00CF48AD">
              <w:rPr>
                <w:rFonts w:cs="Calibri"/>
                <w:sz w:val="18"/>
                <w:szCs w:val="18"/>
                <w:lang w:eastAsia="en-US"/>
              </w:rPr>
              <w:t>-</w:t>
            </w:r>
          </w:p>
        </w:tc>
      </w:tr>
      <w:tr w:rsidR="006F4D8F" w:rsidRPr="00CF48AD" w14:paraId="24AE8677" w14:textId="77777777" w:rsidTr="001C357C">
        <w:tc>
          <w:tcPr>
            <w:tcW w:w="499" w:type="dxa"/>
            <w:hideMark/>
          </w:tcPr>
          <w:p w14:paraId="48241F03"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06c, 06d, 08b</w:t>
            </w:r>
          </w:p>
        </w:tc>
        <w:tc>
          <w:tcPr>
            <w:tcW w:w="914" w:type="dxa"/>
            <w:hideMark/>
          </w:tcPr>
          <w:p w14:paraId="2CC68FB5"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wskaźnik postępu finansowego</w:t>
            </w:r>
          </w:p>
        </w:tc>
        <w:tc>
          <w:tcPr>
            <w:tcW w:w="1391" w:type="dxa"/>
            <w:hideMark/>
          </w:tcPr>
          <w:p w14:paraId="5883CF85" w14:textId="77777777" w:rsidR="006F4D8F" w:rsidRPr="00CF48AD" w:rsidRDefault="006F4D8F" w:rsidP="006F4D8F">
            <w:pPr>
              <w:jc w:val="left"/>
              <w:rPr>
                <w:rFonts w:cs="Calibri"/>
                <w:color w:val="000000"/>
                <w:sz w:val="18"/>
                <w:szCs w:val="18"/>
                <w:lang w:eastAsia="en-US"/>
              </w:rPr>
            </w:pPr>
            <w:r w:rsidRPr="00CF48AD">
              <w:rPr>
                <w:rFonts w:cs="Calibri"/>
                <w:color w:val="000000"/>
                <w:sz w:val="18"/>
                <w:szCs w:val="18"/>
                <w:lang w:eastAsia="en-US"/>
              </w:rPr>
              <w:t>Całkowita kwota certyfikowanych wydatków kwalifikowanych</w:t>
            </w:r>
          </w:p>
        </w:tc>
        <w:tc>
          <w:tcPr>
            <w:tcW w:w="858" w:type="dxa"/>
            <w:hideMark/>
          </w:tcPr>
          <w:p w14:paraId="53BD0711"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EUR</w:t>
            </w:r>
          </w:p>
        </w:tc>
        <w:tc>
          <w:tcPr>
            <w:tcW w:w="1070" w:type="dxa"/>
            <w:hideMark/>
          </w:tcPr>
          <w:p w14:paraId="15C50AA5"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24 191 316</w:t>
            </w:r>
          </w:p>
        </w:tc>
        <w:tc>
          <w:tcPr>
            <w:tcW w:w="768" w:type="dxa"/>
            <w:hideMark/>
          </w:tcPr>
          <w:p w14:paraId="43360BE5"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15 998 569</w:t>
            </w:r>
          </w:p>
        </w:tc>
        <w:tc>
          <w:tcPr>
            <w:tcW w:w="1002" w:type="dxa"/>
            <w:hideMark/>
          </w:tcPr>
          <w:p w14:paraId="0B7333A0" w14:textId="77777777" w:rsidR="006F4D8F" w:rsidRPr="00CF48AD" w:rsidRDefault="006F4D8F" w:rsidP="006F4D8F">
            <w:pPr>
              <w:jc w:val="center"/>
              <w:rPr>
                <w:rFonts w:cs="Calibri"/>
                <w:color w:val="000000"/>
                <w:sz w:val="18"/>
                <w:szCs w:val="18"/>
                <w:lang w:eastAsia="en-US"/>
              </w:rPr>
            </w:pPr>
            <w:r w:rsidRPr="00CF48AD">
              <w:rPr>
                <w:rFonts w:cs="Calibri"/>
                <w:color w:val="000000"/>
                <w:sz w:val="18"/>
                <w:szCs w:val="18"/>
                <w:lang w:eastAsia="en-US"/>
              </w:rPr>
              <w:t>151,21%</w:t>
            </w:r>
          </w:p>
        </w:tc>
        <w:tc>
          <w:tcPr>
            <w:tcW w:w="828" w:type="dxa"/>
            <w:hideMark/>
          </w:tcPr>
          <w:p w14:paraId="5D903606" w14:textId="77777777" w:rsidR="006F4D8F" w:rsidRPr="00CF48AD" w:rsidRDefault="006F4D8F" w:rsidP="006F4D8F">
            <w:pPr>
              <w:jc w:val="center"/>
              <w:rPr>
                <w:rFonts w:cs="Calibri"/>
                <w:sz w:val="18"/>
                <w:szCs w:val="18"/>
                <w:lang w:eastAsia="en-US"/>
              </w:rPr>
            </w:pPr>
            <w:r w:rsidRPr="00CF48AD">
              <w:rPr>
                <w:rFonts w:cs="Calibri"/>
                <w:sz w:val="18"/>
                <w:szCs w:val="18"/>
                <w:lang w:eastAsia="en-US"/>
              </w:rPr>
              <w:t>113 413 700</w:t>
            </w:r>
          </w:p>
        </w:tc>
        <w:tc>
          <w:tcPr>
            <w:tcW w:w="866" w:type="dxa"/>
          </w:tcPr>
          <w:p w14:paraId="0075672A" w14:textId="77777777" w:rsidR="006F4D8F" w:rsidRPr="00CF48AD" w:rsidRDefault="006F4D8F" w:rsidP="006F4D8F">
            <w:pPr>
              <w:jc w:val="center"/>
              <w:rPr>
                <w:rFonts w:cs="Calibri"/>
                <w:sz w:val="18"/>
                <w:szCs w:val="18"/>
                <w:lang w:eastAsia="en-US"/>
              </w:rPr>
            </w:pPr>
            <w:r w:rsidRPr="008B706B">
              <w:rPr>
                <w:rFonts w:cs="Calibri"/>
                <w:sz w:val="18"/>
                <w:szCs w:val="18"/>
                <w:lang w:eastAsia="en-US"/>
              </w:rPr>
              <w:t>21,3%</w:t>
            </w:r>
          </w:p>
        </w:tc>
        <w:tc>
          <w:tcPr>
            <w:tcW w:w="866" w:type="dxa"/>
          </w:tcPr>
          <w:p w14:paraId="330367B6" w14:textId="77777777" w:rsidR="006F4D8F" w:rsidRPr="00CF48AD" w:rsidRDefault="006F4D8F" w:rsidP="006F4D8F">
            <w:pPr>
              <w:jc w:val="center"/>
              <w:rPr>
                <w:rFonts w:cs="Calibri"/>
                <w:sz w:val="18"/>
                <w:szCs w:val="18"/>
                <w:lang w:eastAsia="en-US"/>
              </w:rPr>
            </w:pPr>
            <w:r w:rsidRPr="008B706B">
              <w:rPr>
                <w:rFonts w:cs="Calibri"/>
                <w:sz w:val="18"/>
                <w:szCs w:val="18"/>
                <w:lang w:eastAsia="en-US"/>
              </w:rPr>
              <w:t>69,2%</w:t>
            </w:r>
          </w:p>
        </w:tc>
      </w:tr>
    </w:tbl>
    <w:p w14:paraId="1CCCD066" w14:textId="7863A122" w:rsidR="00415C67" w:rsidRPr="002A5FDF" w:rsidRDefault="006F4D8F" w:rsidP="00F10E7C">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informacja kwartalna za IV kw. 2018 r., obliczenia % realizacji wartości docelowej RW na podstawie danych SL2014</w:t>
      </w:r>
      <w:r w:rsidR="00E66B89" w:rsidRPr="002A5FDF">
        <w:rPr>
          <w:i/>
          <w:sz w:val="18"/>
          <w:szCs w:val="20"/>
        </w:rPr>
        <w:t xml:space="preserve"> z </w:t>
      </w:r>
      <w:r w:rsidRPr="002A5FDF">
        <w:rPr>
          <w:i/>
          <w:sz w:val="18"/>
          <w:szCs w:val="20"/>
        </w:rPr>
        <w:t>dnia 07.01.2019 r.</w:t>
      </w:r>
    </w:p>
    <w:p w14:paraId="1E79F2F3" w14:textId="77777777" w:rsidR="006F4D8F" w:rsidRPr="00436D27" w:rsidRDefault="006F4D8F" w:rsidP="006F4D8F">
      <w:pPr>
        <w:pStyle w:val="evaluTresc"/>
      </w:pPr>
      <w:r w:rsidRPr="00436D27">
        <w:lastRenderedPageBreak/>
        <w:t>W ramach OP I</w:t>
      </w:r>
      <w:r>
        <w:t>V</w:t>
      </w:r>
      <w:r w:rsidRPr="00436D27">
        <w:t xml:space="preserve"> osiągnięto</w:t>
      </w:r>
      <w:r w:rsidR="00E66B89">
        <w:t xml:space="preserve"> i </w:t>
      </w:r>
      <w:r>
        <w:t xml:space="preserve">przekroczono </w:t>
      </w:r>
      <w:r w:rsidRPr="00436D27">
        <w:t>zakładaną wartość pośrednią wskaźnika finansowego (1</w:t>
      </w:r>
      <w:r>
        <w:t>51,21</w:t>
      </w:r>
      <w:r w:rsidRPr="00436D27">
        <w:t>%).</w:t>
      </w:r>
      <w:r>
        <w:t xml:space="preserve"> R</w:t>
      </w:r>
      <w:r w:rsidRPr="00436D27">
        <w:t>ealizacja projektów</w:t>
      </w:r>
      <w:r w:rsidR="00E66B89">
        <w:t xml:space="preserve"> w </w:t>
      </w:r>
      <w:r w:rsidRPr="00436D27">
        <w:t xml:space="preserve">ramach </w:t>
      </w:r>
      <w:r>
        <w:t>PI 6c</w:t>
      </w:r>
      <w:r w:rsidR="00E66B89">
        <w:t xml:space="preserve"> i </w:t>
      </w:r>
      <w:r>
        <w:t>6d stanowi ok. 54% c</w:t>
      </w:r>
      <w:r w:rsidRPr="00A601F2">
        <w:t>ałkowit</w:t>
      </w:r>
      <w:r>
        <w:t>ej</w:t>
      </w:r>
      <w:r w:rsidRPr="00A601F2">
        <w:t xml:space="preserve"> kwot</w:t>
      </w:r>
      <w:r>
        <w:t>y</w:t>
      </w:r>
      <w:r w:rsidRPr="00A601F2">
        <w:t xml:space="preserve"> certyfikowanych wydatków kwalifikowanych</w:t>
      </w:r>
      <w:r w:rsidR="00E66B89">
        <w:t xml:space="preserve"> w </w:t>
      </w:r>
      <w:r>
        <w:t>OP IV,</w:t>
      </w:r>
      <w:r w:rsidR="00E66B89">
        <w:t xml:space="preserve"> w </w:t>
      </w:r>
      <w:r>
        <w:t>tym PI 6c - 20,4%,</w:t>
      </w:r>
      <w:r w:rsidR="00E66B89">
        <w:t xml:space="preserve"> a </w:t>
      </w:r>
      <w:r>
        <w:t>PI 6d - 34,0%</w:t>
      </w:r>
      <w:r w:rsidRPr="00436D27">
        <w:t xml:space="preserve">. </w:t>
      </w:r>
      <w:r>
        <w:t>R</w:t>
      </w:r>
      <w:r w:rsidRPr="00436D27">
        <w:t>ealizacja projektów</w:t>
      </w:r>
      <w:r w:rsidR="00E66B89">
        <w:t xml:space="preserve"> w </w:t>
      </w:r>
      <w:r w:rsidRPr="00436D27">
        <w:t xml:space="preserve">ramach </w:t>
      </w:r>
      <w:r>
        <w:t>PI 8b stanowi ok. 46% c</w:t>
      </w:r>
      <w:r w:rsidRPr="00A601F2">
        <w:t>ałkowit</w:t>
      </w:r>
      <w:r>
        <w:t>ej</w:t>
      </w:r>
      <w:r w:rsidRPr="00A601F2">
        <w:t xml:space="preserve"> kwot</w:t>
      </w:r>
      <w:r>
        <w:t>y</w:t>
      </w:r>
      <w:r w:rsidRPr="00A601F2">
        <w:t xml:space="preserve"> certyfikowanych wydatków kwalifikowanych</w:t>
      </w:r>
      <w:r w:rsidR="00E66B89">
        <w:t xml:space="preserve"> w </w:t>
      </w:r>
      <w:r>
        <w:t>tej osi. Jednocześnie osiągnięte zostało, zgodnie</w:t>
      </w:r>
      <w:r w:rsidR="00E66B89">
        <w:t xml:space="preserve"> z </w:t>
      </w:r>
      <w:r>
        <w:t xml:space="preserve">WoP, </w:t>
      </w:r>
      <w:r w:rsidRPr="00C22C26">
        <w:t xml:space="preserve">21,3% </w:t>
      </w:r>
      <w:r>
        <w:rPr>
          <w:rFonts w:cs="Calibri"/>
        </w:rPr>
        <w:t>wartości</w:t>
      </w:r>
      <w:r w:rsidRPr="00C22C26">
        <w:t xml:space="preserve"> wskaźnika docelowego na 2023 r.,</w:t>
      </w:r>
      <w:r w:rsidR="00E66B89">
        <w:t xml:space="preserve"> a </w:t>
      </w:r>
      <w:r w:rsidRPr="00C22C26">
        <w:t>zgodnie</w:t>
      </w:r>
      <w:r w:rsidR="00E66B89">
        <w:t xml:space="preserve"> z </w:t>
      </w:r>
      <w:r w:rsidRPr="00C22C26">
        <w:t xml:space="preserve">UoD </w:t>
      </w:r>
      <w:r>
        <w:t>-</w:t>
      </w:r>
      <w:r w:rsidRPr="00C22C26">
        <w:t xml:space="preserve"> blisko 70%.</w:t>
      </w:r>
      <w:r w:rsidR="00E66B89">
        <w:rPr>
          <w:rFonts w:cs="Calibri"/>
          <w:sz w:val="18"/>
          <w:szCs w:val="18"/>
        </w:rPr>
        <w:t xml:space="preserve"> W </w:t>
      </w:r>
      <w:r>
        <w:t>przypadku PI 6c</w:t>
      </w:r>
      <w:r w:rsidR="00E66B89">
        <w:t xml:space="preserve"> i </w:t>
      </w:r>
      <w:r>
        <w:t>PI 6d wskaźniki wynikające</w:t>
      </w:r>
      <w:r w:rsidR="00E66B89">
        <w:t xml:space="preserve"> z </w:t>
      </w:r>
      <w:r>
        <w:t>UoD są wyższe</w:t>
      </w:r>
      <w:r w:rsidR="00E66B89">
        <w:t xml:space="preserve"> i </w:t>
      </w:r>
      <w:r>
        <w:t>wynoszą odpowiednio 78,9%</w:t>
      </w:r>
      <w:r w:rsidR="00E66B89">
        <w:t xml:space="preserve"> i </w:t>
      </w:r>
      <w:r>
        <w:t>78,8%.</w:t>
      </w:r>
      <w:r w:rsidR="00E66B89">
        <w:t xml:space="preserve"> W </w:t>
      </w:r>
      <w:r>
        <w:t>przypadku PI 8b wskaźnik ten jest niższy</w:t>
      </w:r>
      <w:r w:rsidR="00E66B89">
        <w:t xml:space="preserve"> i </w:t>
      </w:r>
      <w:r>
        <w:t xml:space="preserve">wynosi </w:t>
      </w:r>
      <w:r w:rsidRPr="00CE4866">
        <w:t>46,3%</w:t>
      </w:r>
      <w:r>
        <w:t xml:space="preserve">. </w:t>
      </w:r>
    </w:p>
    <w:p w14:paraId="476A0C79" w14:textId="77777777" w:rsidR="006F4D8F" w:rsidRPr="00171DE4" w:rsidRDefault="006F4D8F" w:rsidP="006F4D8F">
      <w:pPr>
        <w:rPr>
          <w:szCs w:val="20"/>
        </w:rPr>
      </w:pPr>
      <w:r>
        <w:rPr>
          <w:szCs w:val="20"/>
        </w:rPr>
        <w:t>Dla</w:t>
      </w:r>
      <w:r w:rsidRPr="00023635">
        <w:rPr>
          <w:szCs w:val="20"/>
        </w:rPr>
        <w:t xml:space="preserve"> PI </w:t>
      </w:r>
      <w:r>
        <w:rPr>
          <w:szCs w:val="20"/>
        </w:rPr>
        <w:t>6c</w:t>
      </w:r>
      <w:r w:rsidRPr="00023635">
        <w:rPr>
          <w:szCs w:val="20"/>
        </w:rPr>
        <w:t xml:space="preserve"> założono </w:t>
      </w:r>
      <w:r>
        <w:rPr>
          <w:szCs w:val="20"/>
        </w:rPr>
        <w:t>jeden</w:t>
      </w:r>
      <w:r w:rsidRPr="00023635">
        <w:rPr>
          <w:szCs w:val="20"/>
        </w:rPr>
        <w:t xml:space="preserve"> wskaźnik produktu Ram Wykonania, </w:t>
      </w:r>
      <w:r>
        <w:rPr>
          <w:szCs w:val="20"/>
        </w:rPr>
        <w:t xml:space="preserve">dla którego nie określono celu pośredniego </w:t>
      </w:r>
      <w:r w:rsidRPr="00023635">
        <w:rPr>
          <w:szCs w:val="20"/>
        </w:rPr>
        <w:t xml:space="preserve">na 2018 </w:t>
      </w:r>
      <w:r>
        <w:rPr>
          <w:szCs w:val="20"/>
        </w:rPr>
        <w:t xml:space="preserve">rok </w:t>
      </w:r>
      <w:r w:rsidRPr="00023635">
        <w:rPr>
          <w:szCs w:val="20"/>
        </w:rPr>
        <w:t>(</w:t>
      </w:r>
      <w:r w:rsidRPr="008B706B">
        <w:rPr>
          <w:i/>
          <w:szCs w:val="20"/>
        </w:rPr>
        <w:t>Liczba zabytków nieruchomych objętych wsparciem</w:t>
      </w:r>
      <w:r w:rsidRPr="00023635">
        <w:rPr>
          <w:szCs w:val="20"/>
        </w:rPr>
        <w:t xml:space="preserve">). Wobec tego wprowadzono KEW, </w:t>
      </w:r>
      <w:r>
        <w:rPr>
          <w:szCs w:val="20"/>
        </w:rPr>
        <w:t xml:space="preserve">dla </w:t>
      </w:r>
      <w:r w:rsidRPr="00023635">
        <w:rPr>
          <w:szCs w:val="20"/>
        </w:rPr>
        <w:t>którego określono</w:t>
      </w:r>
      <w:r>
        <w:rPr>
          <w:szCs w:val="20"/>
        </w:rPr>
        <w:t xml:space="preserve"> cel pośredni</w:t>
      </w:r>
      <w:r w:rsidRPr="00023635">
        <w:rPr>
          <w:szCs w:val="20"/>
        </w:rPr>
        <w:t xml:space="preserve"> na</w:t>
      </w:r>
      <w:r>
        <w:rPr>
          <w:szCs w:val="20"/>
        </w:rPr>
        <w:t xml:space="preserve"> poziomie</w:t>
      </w:r>
      <w:r w:rsidRPr="00023635">
        <w:rPr>
          <w:szCs w:val="20"/>
        </w:rPr>
        <w:t xml:space="preserve"> </w:t>
      </w:r>
      <w:r>
        <w:rPr>
          <w:szCs w:val="20"/>
        </w:rPr>
        <w:t>8 sztuk</w:t>
      </w:r>
      <w:r w:rsidRPr="00023635">
        <w:rPr>
          <w:szCs w:val="20"/>
        </w:rPr>
        <w:t>.</w:t>
      </w:r>
      <w:r w:rsidR="00E66B89">
        <w:rPr>
          <w:szCs w:val="20"/>
        </w:rPr>
        <w:t xml:space="preserve"> W </w:t>
      </w:r>
      <w:r w:rsidRPr="00023635">
        <w:rPr>
          <w:szCs w:val="20"/>
        </w:rPr>
        <w:t xml:space="preserve">podpisanych </w:t>
      </w:r>
      <w:r>
        <w:rPr>
          <w:szCs w:val="20"/>
        </w:rPr>
        <w:t xml:space="preserve">do 31.12.2018 r. </w:t>
      </w:r>
      <w:r w:rsidRPr="00023635">
        <w:rPr>
          <w:szCs w:val="20"/>
        </w:rPr>
        <w:t>umowach</w:t>
      </w:r>
      <w:r>
        <w:rPr>
          <w:szCs w:val="20"/>
        </w:rPr>
        <w:t>,</w:t>
      </w:r>
      <w:r w:rsidRPr="00023635">
        <w:rPr>
          <w:szCs w:val="20"/>
        </w:rPr>
        <w:t xml:space="preserve"> zakładana wartość wskaźnika wynosi </w:t>
      </w:r>
      <w:r>
        <w:rPr>
          <w:szCs w:val="20"/>
        </w:rPr>
        <w:t>26 -</w:t>
      </w:r>
      <w:r w:rsidRPr="00023635">
        <w:rPr>
          <w:szCs w:val="20"/>
        </w:rPr>
        <w:t xml:space="preserve"> wobec </w:t>
      </w:r>
      <w:r>
        <w:rPr>
          <w:szCs w:val="20"/>
        </w:rPr>
        <w:t>czego</w:t>
      </w:r>
      <w:r w:rsidRPr="00023635">
        <w:rPr>
          <w:szCs w:val="20"/>
        </w:rPr>
        <w:t xml:space="preserve"> wskaźnik KEW został osiągnięty</w:t>
      </w:r>
      <w:r w:rsidR="00E66B89">
        <w:rPr>
          <w:szCs w:val="20"/>
        </w:rPr>
        <w:t xml:space="preserve"> w </w:t>
      </w:r>
      <w:r w:rsidRPr="00023635">
        <w:rPr>
          <w:szCs w:val="20"/>
        </w:rPr>
        <w:t>32</w:t>
      </w:r>
      <w:r>
        <w:rPr>
          <w:szCs w:val="20"/>
        </w:rPr>
        <w:t>5</w:t>
      </w:r>
      <w:r w:rsidRPr="00023635">
        <w:rPr>
          <w:szCs w:val="20"/>
        </w:rPr>
        <w:t>%.</w:t>
      </w:r>
      <w:r>
        <w:rPr>
          <w:szCs w:val="20"/>
        </w:rPr>
        <w:t xml:space="preserve"> Jednocześnie, zgodnie</w:t>
      </w:r>
      <w:r w:rsidR="00E66B89">
        <w:rPr>
          <w:szCs w:val="20"/>
        </w:rPr>
        <w:t xml:space="preserve"> z </w:t>
      </w:r>
      <w:r>
        <w:rPr>
          <w:szCs w:val="20"/>
        </w:rPr>
        <w:t xml:space="preserve">UoD, osiągnięte zostało </w:t>
      </w:r>
      <w:r w:rsidRPr="00C22C26">
        <w:rPr>
          <w:color w:val="000000"/>
        </w:rPr>
        <w:t>136,8% zakładane</w:t>
      </w:r>
      <w:r>
        <w:rPr>
          <w:color w:val="000000"/>
        </w:rPr>
        <w:t>j</w:t>
      </w:r>
      <w:r w:rsidRPr="00C22C26">
        <w:rPr>
          <w:color w:val="000000"/>
        </w:rPr>
        <w:t xml:space="preserve"> </w:t>
      </w:r>
      <w:r>
        <w:rPr>
          <w:color w:val="000000"/>
        </w:rPr>
        <w:t>wartości</w:t>
      </w:r>
      <w:r w:rsidRPr="00C22C26">
        <w:rPr>
          <w:color w:val="000000"/>
        </w:rPr>
        <w:t xml:space="preserve"> docelowe</w:t>
      </w:r>
      <w:r>
        <w:rPr>
          <w:color w:val="000000"/>
        </w:rPr>
        <w:t>j</w:t>
      </w:r>
      <w:r w:rsidRPr="00C22C26">
        <w:rPr>
          <w:color w:val="000000"/>
        </w:rPr>
        <w:t xml:space="preserve"> </w:t>
      </w:r>
      <w:r>
        <w:rPr>
          <w:color w:val="000000"/>
        </w:rPr>
        <w:t>określonej</w:t>
      </w:r>
      <w:r w:rsidRPr="00C22C26">
        <w:rPr>
          <w:color w:val="000000"/>
        </w:rPr>
        <w:t xml:space="preserve"> na 2023 r.</w:t>
      </w:r>
    </w:p>
    <w:p w14:paraId="4A6D60A3" w14:textId="77777777" w:rsidR="006F4D8F" w:rsidRDefault="006F4D8F" w:rsidP="006F4D8F">
      <w:pPr>
        <w:pStyle w:val="evaluTresc"/>
      </w:pPr>
      <w:r>
        <w:t>Kolejny</w:t>
      </w:r>
      <w:r w:rsidRPr="00023635">
        <w:t xml:space="preserve"> ze wskaźników produktu Ram Wykonania (</w:t>
      </w:r>
      <w:r w:rsidRPr="008B706B">
        <w:rPr>
          <w:i/>
        </w:rPr>
        <w:t>Powierzchnia siedlisk wspartych</w:t>
      </w:r>
      <w:r w:rsidR="00E66B89">
        <w:rPr>
          <w:i/>
        </w:rPr>
        <w:t xml:space="preserve"> w </w:t>
      </w:r>
      <w:r w:rsidRPr="008B706B">
        <w:rPr>
          <w:i/>
        </w:rPr>
        <w:t>zakresie uzyskania lepszego statusu ochrony</w:t>
      </w:r>
      <w:r w:rsidRPr="00023635">
        <w:t>)</w:t>
      </w:r>
      <w:r>
        <w:t xml:space="preserve"> przyjęty dla PI 6d </w:t>
      </w:r>
      <w:r w:rsidRPr="00023635">
        <w:t xml:space="preserve">również został przekroczony </w:t>
      </w:r>
      <w:r w:rsidRPr="00171DE4">
        <w:t>(</w:t>
      </w:r>
      <w:r w:rsidRPr="00C22C26">
        <w:rPr>
          <w:color w:val="000000"/>
        </w:rPr>
        <w:t>295,63%</w:t>
      </w:r>
      <w:r w:rsidRPr="00171DE4">
        <w:t>)</w:t>
      </w:r>
      <w:r w:rsidRPr="00023635">
        <w:t>. Obecnie</w:t>
      </w:r>
      <w:r>
        <w:t xml:space="preserve"> (na podstawie zawartych UoD do 07.01.2019 r.)</w:t>
      </w:r>
      <w:r w:rsidRPr="00023635">
        <w:t xml:space="preserve"> </w:t>
      </w:r>
      <w:r>
        <w:t>można mówić także</w:t>
      </w:r>
      <w:r w:rsidR="00E66B89">
        <w:t xml:space="preserve"> o </w:t>
      </w:r>
      <w:r w:rsidRPr="00023635">
        <w:t>przekrocz</w:t>
      </w:r>
      <w:r>
        <w:t>eniu</w:t>
      </w:r>
      <w:r w:rsidRPr="00023635">
        <w:t xml:space="preserve"> wartoś</w:t>
      </w:r>
      <w:r>
        <w:t>ci docelowej</w:t>
      </w:r>
      <w:r w:rsidRPr="00023635">
        <w:t xml:space="preserve"> tego wskaźnika</w:t>
      </w:r>
      <w:r>
        <w:t xml:space="preserve"> określonej</w:t>
      </w:r>
      <w:r w:rsidRPr="00023635">
        <w:t xml:space="preserve"> na 2023 rok</w:t>
      </w:r>
      <w:r>
        <w:t xml:space="preserve"> (</w:t>
      </w:r>
      <w:r w:rsidRPr="00C22C26">
        <w:rPr>
          <w:color w:val="000000"/>
        </w:rPr>
        <w:t>155,9%</w:t>
      </w:r>
      <w:r>
        <w:t>)</w:t>
      </w:r>
      <w:r w:rsidRPr="00023635">
        <w:t>.</w:t>
      </w:r>
    </w:p>
    <w:p w14:paraId="61212F85" w14:textId="77777777" w:rsidR="006F4D8F" w:rsidRDefault="006F4D8F" w:rsidP="006F4D8F">
      <w:pPr>
        <w:pStyle w:val="evaluTresc"/>
      </w:pPr>
      <w:r w:rsidRPr="00436D27">
        <w:t>Na obserwowane przekroczenie wpływu nie miała zastosowana metodyka szacowania kosztu jednostkowego (IZ RPO WZ 2014-2020 przyjęła</w:t>
      </w:r>
      <w:r w:rsidR="00E66B89">
        <w:t xml:space="preserve"> w </w:t>
      </w:r>
      <w:r w:rsidRPr="00436D27">
        <w:t>tym zakresie bardzo trafne założenia</w:t>
      </w:r>
      <w:r>
        <w:t xml:space="preserve"> – szacowany, przez IZ RPO,</w:t>
      </w:r>
      <w:r w:rsidRPr="00436D27">
        <w:t xml:space="preserve"> </w:t>
      </w:r>
      <w:r>
        <w:t xml:space="preserve">średni </w:t>
      </w:r>
      <w:r w:rsidRPr="00436D27">
        <w:t xml:space="preserve">koszt jednostkowy wskaźnika </w:t>
      </w:r>
      <w:r>
        <w:t xml:space="preserve">nie odbiega istotnie </w:t>
      </w:r>
      <w:r w:rsidRPr="00436D27">
        <w:t xml:space="preserve">od </w:t>
      </w:r>
      <w:r>
        <w:t>średniego kosztu</w:t>
      </w:r>
      <w:r w:rsidRPr="00436D27">
        <w:t xml:space="preserve"> rzeczywiście </w:t>
      </w:r>
      <w:r>
        <w:t>za</w:t>
      </w:r>
      <w:r w:rsidRPr="00436D27">
        <w:t>obserwowan</w:t>
      </w:r>
      <w:r>
        <w:t>ego</w:t>
      </w:r>
      <w:r w:rsidR="00E66B89">
        <w:t xml:space="preserve"> w </w:t>
      </w:r>
      <w:r>
        <w:t>za</w:t>
      </w:r>
      <w:r w:rsidRPr="00436D27">
        <w:t>kontraktowanych</w:t>
      </w:r>
      <w:r>
        <w:t xml:space="preserve"> do 07.01.2019 r.</w:t>
      </w:r>
      <w:r w:rsidRPr="00436D27">
        <w:t xml:space="preserve"> projektach</w:t>
      </w:r>
      <w:r>
        <w:t>, dlatego też nie jest wymagane podejmowanie działań korygujących</w:t>
      </w:r>
      <w:r w:rsidRPr="00436D27">
        <w:t>). Szczegółowe informacje</w:t>
      </w:r>
      <w:r w:rsidR="00E66B89">
        <w:t xml:space="preserve"> w </w:t>
      </w:r>
      <w:r w:rsidRPr="00436D27">
        <w:t>zakresie metodyki szacowania kosztów zostały przedstawione</w:t>
      </w:r>
      <w:r w:rsidR="00E66B89">
        <w:t xml:space="preserve"> w </w:t>
      </w:r>
      <w:r>
        <w:t>pod</w:t>
      </w:r>
      <w:r w:rsidRPr="00436D27">
        <w:t>rozdzia</w:t>
      </w:r>
      <w:r>
        <w:t>łach</w:t>
      </w:r>
      <w:r w:rsidRPr="00436D27">
        <w:t xml:space="preserve"> dotyczący</w:t>
      </w:r>
      <w:r>
        <w:t>ch</w:t>
      </w:r>
      <w:r w:rsidRPr="00436D27">
        <w:t xml:space="preserve"> PI 6</w:t>
      </w:r>
      <w:r>
        <w:t>c</w:t>
      </w:r>
      <w:r w:rsidR="00E66B89">
        <w:t xml:space="preserve"> i </w:t>
      </w:r>
      <w:r w:rsidRPr="00436D27">
        <w:t>PI 6</w:t>
      </w:r>
      <w:r>
        <w:t>d</w:t>
      </w:r>
      <w:r w:rsidRPr="00436D27">
        <w:t>.</w:t>
      </w:r>
      <w:r w:rsidR="00E66B89">
        <w:t xml:space="preserve"> W </w:t>
      </w:r>
      <w:r w:rsidRPr="00436D27">
        <w:t>ocenie ewaluatora przyjęt</w:t>
      </w:r>
      <w:r>
        <w:t>e</w:t>
      </w:r>
      <w:r w:rsidRPr="00436D27">
        <w:t xml:space="preserve"> wskaźnik</w:t>
      </w:r>
      <w:r>
        <w:t>i</w:t>
      </w:r>
      <w:r w:rsidRPr="00436D27">
        <w:t xml:space="preserve"> </w:t>
      </w:r>
      <w:r>
        <w:t xml:space="preserve">dla </w:t>
      </w:r>
      <w:r w:rsidRPr="00436D27">
        <w:t>PI 6</w:t>
      </w:r>
      <w:r>
        <w:t>c</w:t>
      </w:r>
      <w:r w:rsidR="00E66B89">
        <w:t xml:space="preserve"> i </w:t>
      </w:r>
      <w:r w:rsidRPr="00436D27">
        <w:t>PI 6</w:t>
      </w:r>
      <w:r>
        <w:t>d</w:t>
      </w:r>
      <w:r w:rsidR="00E66B89">
        <w:t xml:space="preserve"> w </w:t>
      </w:r>
      <w:r w:rsidRPr="00436D27">
        <w:t>ramach RW uznać należy za bardzo trafn</w:t>
      </w:r>
      <w:r>
        <w:t>e</w:t>
      </w:r>
      <w:r w:rsidRPr="00436D27">
        <w:t xml:space="preserve"> (wskaźnik</w:t>
      </w:r>
      <w:r>
        <w:t>i</w:t>
      </w:r>
      <w:r w:rsidRPr="00436D27">
        <w:t xml:space="preserve"> cechuje wysoka logika interwencji</w:t>
      </w:r>
      <w:r>
        <w:t xml:space="preserve"> oraz</w:t>
      </w:r>
      <w:r w:rsidRPr="00436D27">
        <w:t xml:space="preserve"> wysoki stopień wpisywania się</w:t>
      </w:r>
      <w:r w:rsidR="00E66B89">
        <w:t xml:space="preserve"> w </w:t>
      </w:r>
      <w:r w:rsidRPr="00436D27">
        <w:t>założone cele</w:t>
      </w:r>
      <w:r>
        <w:t xml:space="preserve"> osi priorytetowej oraz</w:t>
      </w:r>
      <w:r w:rsidR="00E66B89">
        <w:t xml:space="preserve"> w </w:t>
      </w:r>
      <w:r>
        <w:t>realizację</w:t>
      </w:r>
      <w:r w:rsidRPr="00436D27">
        <w:t xml:space="preserve"> rezultatu</w:t>
      </w:r>
      <w:r>
        <w:t xml:space="preserve"> bezpośredniego</w:t>
      </w:r>
      <w:r w:rsidR="00E66B89">
        <w:t xml:space="preserve"> i </w:t>
      </w:r>
      <w:r w:rsidRPr="00436D27">
        <w:t>strategicznego</w:t>
      </w:r>
      <w:r>
        <w:t> OP IV</w:t>
      </w:r>
      <w:r w:rsidRPr="00436D27">
        <w:t>).</w:t>
      </w:r>
      <w:r>
        <w:t xml:space="preserve"> </w:t>
      </w:r>
    </w:p>
    <w:p w14:paraId="5128E725" w14:textId="77777777" w:rsidR="006F4D8F" w:rsidRPr="00AD649B" w:rsidRDefault="006F4D8F" w:rsidP="006F4D8F">
      <w:pPr>
        <w:rPr>
          <w:rFonts w:eastAsia="Lato"/>
        </w:rPr>
      </w:pPr>
      <w:r w:rsidRPr="00BD0596">
        <w:rPr>
          <w:rFonts w:eastAsia="Lato"/>
        </w:rPr>
        <w:t xml:space="preserve">W przypadku wskaźnika produktu: </w:t>
      </w:r>
      <w:r w:rsidRPr="00C22C26">
        <w:rPr>
          <w:rFonts w:eastAsia="Lato"/>
          <w:i/>
        </w:rPr>
        <w:t>Liczba wspartych obiektów turystycznych</w:t>
      </w:r>
      <w:r w:rsidR="00E66B89">
        <w:rPr>
          <w:rFonts w:eastAsia="Lato"/>
          <w:i/>
        </w:rPr>
        <w:t xml:space="preserve"> i </w:t>
      </w:r>
      <w:r w:rsidRPr="00C22C26">
        <w:rPr>
          <w:rFonts w:eastAsia="Lato"/>
          <w:i/>
        </w:rPr>
        <w:t>rekreacyjnych</w:t>
      </w:r>
      <w:r w:rsidRPr="00BD0596">
        <w:rPr>
          <w:rFonts w:eastAsia="Lato"/>
        </w:rPr>
        <w:t xml:space="preserve"> obserwujemy wyraźnie wyższy </w:t>
      </w:r>
      <w:r>
        <w:rPr>
          <w:rFonts w:eastAsia="Lato"/>
        </w:rPr>
        <w:t xml:space="preserve">(zarówno wg. UoD jak również WoP) </w:t>
      </w:r>
      <w:r w:rsidRPr="00BD0596">
        <w:rPr>
          <w:rFonts w:eastAsia="Lato"/>
        </w:rPr>
        <w:t xml:space="preserve">– niż dla wskaźnika finansowego </w:t>
      </w:r>
      <w:r>
        <w:rPr>
          <w:rFonts w:eastAsia="Lato"/>
        </w:rPr>
        <w:t xml:space="preserve">oraz pozostałych wskaźników produktu </w:t>
      </w:r>
      <w:r>
        <w:rPr>
          <w:rFonts w:eastAsia="Lato"/>
        </w:rPr>
        <w:noBreakHyphen/>
      </w:r>
      <w:r w:rsidRPr="00BD0596">
        <w:rPr>
          <w:rFonts w:eastAsia="Lato"/>
        </w:rPr>
        <w:t xml:space="preserve"> poziom jego realizacji. Wartość wskaźnika (określona na rok 2018) została osiągnięta przy kosztach niższych niż pierwotnie zakładano, realizacja celu pośredniego przekracza założoną wartość wskaźnika ponad dwukrotnie, podczas gdy wskaźnik finansowy nie został przekroczony tak wyraźnie.</w:t>
      </w:r>
      <w:r>
        <w:rPr>
          <w:rFonts w:eastAsia="Lato"/>
        </w:rPr>
        <w:t xml:space="preserve"> </w:t>
      </w:r>
      <w:r w:rsidRPr="00265C10">
        <w:rPr>
          <w:rFonts w:eastAsia="Lato"/>
        </w:rPr>
        <w:t xml:space="preserve">Realizacja wskaźnika </w:t>
      </w:r>
      <w:r>
        <w:rPr>
          <w:rFonts w:eastAsia="Lato"/>
        </w:rPr>
        <w:t xml:space="preserve">znacznie </w:t>
      </w:r>
      <w:r w:rsidRPr="00265C10">
        <w:rPr>
          <w:rFonts w:eastAsia="Lato"/>
        </w:rPr>
        <w:t>odbiega od założeń, co sugeruje, że nie były one trafne</w:t>
      </w:r>
      <w:r w:rsidR="00E66B89">
        <w:rPr>
          <w:rFonts w:eastAsia="Lato"/>
        </w:rPr>
        <w:t xml:space="preserve"> w </w:t>
      </w:r>
      <w:r w:rsidRPr="00265C10">
        <w:rPr>
          <w:rFonts w:eastAsia="Lato"/>
        </w:rPr>
        <w:t xml:space="preserve">odniesieniu do 2018 roku, niemniej jednak wynik ma wyraźnie </w:t>
      </w:r>
      <w:r>
        <w:rPr>
          <w:rFonts w:eastAsia="Lato"/>
        </w:rPr>
        <w:t xml:space="preserve">bardzo </w:t>
      </w:r>
      <w:r w:rsidRPr="00265C10">
        <w:rPr>
          <w:rFonts w:eastAsia="Lato"/>
        </w:rPr>
        <w:t xml:space="preserve">pozytywny wpływ na realizację (ilościowych) celów końcowych Programu. Należy zauważyć, że osiągnięty cel pośredni (na 2018 rok) stanowi </w:t>
      </w:r>
      <w:r>
        <w:rPr>
          <w:rFonts w:eastAsia="Lato"/>
        </w:rPr>
        <w:t>aż 58,8</w:t>
      </w:r>
      <w:r w:rsidRPr="00265C10">
        <w:rPr>
          <w:rFonts w:eastAsia="Lato"/>
        </w:rPr>
        <w:t xml:space="preserve">% wartości docelowej </w:t>
      </w:r>
      <w:r>
        <w:rPr>
          <w:rFonts w:eastAsia="Lato"/>
        </w:rPr>
        <w:t xml:space="preserve">wskaźnika </w:t>
      </w:r>
      <w:r w:rsidRPr="00265C10">
        <w:rPr>
          <w:rFonts w:eastAsia="Lato"/>
        </w:rPr>
        <w:t>zakładanej na rok 2023</w:t>
      </w:r>
      <w:r>
        <w:rPr>
          <w:rFonts w:eastAsia="Lato"/>
        </w:rPr>
        <w:t xml:space="preserve"> (wg. WoP). Z</w:t>
      </w:r>
      <w:r w:rsidRPr="00265C10">
        <w:rPr>
          <w:rFonts w:eastAsia="Lato"/>
        </w:rPr>
        <w:t>adeklarowany przez Beneficjentów</w:t>
      </w:r>
      <w:r w:rsidR="00E66B89">
        <w:rPr>
          <w:rFonts w:eastAsia="Lato"/>
        </w:rPr>
        <w:t xml:space="preserve"> w </w:t>
      </w:r>
      <w:r w:rsidRPr="00265C10">
        <w:rPr>
          <w:rFonts w:eastAsia="Lato"/>
        </w:rPr>
        <w:t>UoD poziom osiągnięcia wartości końcowej wskaźnika</w:t>
      </w:r>
      <w:r w:rsidR="00E66B89">
        <w:rPr>
          <w:rFonts w:eastAsia="Lato"/>
        </w:rPr>
        <w:t xml:space="preserve"> w </w:t>
      </w:r>
      <w:r w:rsidRPr="00265C10">
        <w:rPr>
          <w:rFonts w:eastAsia="Lato"/>
        </w:rPr>
        <w:t>Programie</w:t>
      </w:r>
      <w:r>
        <w:rPr>
          <w:rFonts w:eastAsia="Lato"/>
        </w:rPr>
        <w:t xml:space="preserve"> ponownie pokazuje, że wartość ta zostanie przekroczona.</w:t>
      </w:r>
    </w:p>
    <w:p w14:paraId="29384A83" w14:textId="77777777" w:rsidR="006F4D8F" w:rsidRDefault="006F4D8F" w:rsidP="00093E14">
      <w:pPr>
        <w:pStyle w:val="Nagwek3"/>
        <w:numPr>
          <w:ilvl w:val="2"/>
          <w:numId w:val="5"/>
        </w:numPr>
      </w:pPr>
      <w:r>
        <w:t>Priorytet inwestycyjny nr 6c Działania (4.1.</w:t>
      </w:r>
      <w:r w:rsidR="00E66B89">
        <w:t xml:space="preserve"> i </w:t>
      </w:r>
      <w:r>
        <w:t xml:space="preserve">4.2) </w:t>
      </w:r>
    </w:p>
    <w:p w14:paraId="6F8F55C9" w14:textId="77777777" w:rsidR="006F4D8F" w:rsidRDefault="006F4D8F" w:rsidP="006F4D8F">
      <w:pPr>
        <w:pStyle w:val="Nagwek4"/>
        <w:numPr>
          <w:ilvl w:val="0"/>
          <w:numId w:val="0"/>
        </w:numPr>
        <w:rPr>
          <w:rFonts w:ascii="Lato" w:eastAsia="Calibri" w:hAnsi="Lato"/>
        </w:rPr>
      </w:pPr>
      <w:r>
        <w:rPr>
          <w:rFonts w:ascii="Lato" w:eastAsia="Calibri" w:hAnsi="Lato"/>
        </w:rPr>
        <w:t>Ocena postępów</w:t>
      </w:r>
      <w:r w:rsidR="00E66B89">
        <w:rPr>
          <w:rFonts w:ascii="Lato" w:eastAsia="Calibri" w:hAnsi="Lato"/>
        </w:rPr>
        <w:t xml:space="preserve"> w </w:t>
      </w:r>
      <w:r>
        <w:rPr>
          <w:rFonts w:ascii="Lato" w:eastAsia="Calibri" w:hAnsi="Lato"/>
        </w:rPr>
        <w:t>realizacji PI 6c</w:t>
      </w:r>
    </w:p>
    <w:p w14:paraId="68DAE3D2" w14:textId="77777777" w:rsidR="006F4D8F" w:rsidRPr="00CE549A" w:rsidRDefault="006F4D8F" w:rsidP="006F4D8F">
      <w:pPr>
        <w:tabs>
          <w:tab w:val="right" w:pos="9072"/>
        </w:tabs>
        <w:rPr>
          <w:rFonts w:eastAsia="Lato"/>
          <w:szCs w:val="20"/>
        </w:rPr>
      </w:pPr>
      <w:r w:rsidRPr="00CE549A">
        <w:rPr>
          <w:rFonts w:eastAsia="Lato"/>
          <w:szCs w:val="20"/>
        </w:rPr>
        <w:t xml:space="preserve">W PI 6c zaplanowano realizację dwóch </w:t>
      </w:r>
      <w:r>
        <w:rPr>
          <w:rFonts w:eastAsia="Lato"/>
          <w:szCs w:val="20"/>
        </w:rPr>
        <w:t>D</w:t>
      </w:r>
      <w:r w:rsidRPr="00CE549A">
        <w:rPr>
          <w:rFonts w:eastAsia="Lato"/>
          <w:szCs w:val="20"/>
        </w:rPr>
        <w:t>ziałań</w:t>
      </w:r>
      <w:r>
        <w:rPr>
          <w:rFonts w:eastAsia="Lato"/>
          <w:szCs w:val="20"/>
        </w:rPr>
        <w:t>:</w:t>
      </w:r>
      <w:r w:rsidRPr="00CE549A">
        <w:rPr>
          <w:rFonts w:eastAsia="Lato"/>
          <w:szCs w:val="20"/>
        </w:rPr>
        <w:t xml:space="preserve"> </w:t>
      </w:r>
      <w:r>
        <w:rPr>
          <w:rFonts w:eastAsia="Lato"/>
          <w:szCs w:val="20"/>
        </w:rPr>
        <w:t>D</w:t>
      </w:r>
      <w:r w:rsidRPr="00CE549A">
        <w:rPr>
          <w:rFonts w:eastAsia="Lato"/>
          <w:szCs w:val="20"/>
        </w:rPr>
        <w:t xml:space="preserve">ziałanie 4.1 </w:t>
      </w:r>
      <w:r w:rsidRPr="008B706B">
        <w:rPr>
          <w:rFonts w:eastAsia="Lato"/>
          <w:i/>
          <w:szCs w:val="20"/>
        </w:rPr>
        <w:t>Dziedzictwo kulturowe</w:t>
      </w:r>
      <w:r w:rsidR="00E66B89">
        <w:rPr>
          <w:rFonts w:eastAsia="Lato"/>
          <w:szCs w:val="20"/>
        </w:rPr>
        <w:t xml:space="preserve"> i </w:t>
      </w:r>
      <w:r w:rsidRPr="00CE549A">
        <w:rPr>
          <w:rFonts w:eastAsia="Lato"/>
          <w:szCs w:val="20"/>
        </w:rPr>
        <w:t>4.2</w:t>
      </w:r>
      <w:r w:rsidRPr="00CE549A">
        <w:rPr>
          <w:szCs w:val="20"/>
        </w:rPr>
        <w:t xml:space="preserve"> </w:t>
      </w:r>
      <w:r w:rsidRPr="008B706B">
        <w:rPr>
          <w:rFonts w:eastAsia="Lato"/>
          <w:i/>
          <w:szCs w:val="20"/>
        </w:rPr>
        <w:t>Wzmocnienie instytucji kultury</w:t>
      </w:r>
      <w:r w:rsidRPr="00CE549A">
        <w:rPr>
          <w:rFonts w:eastAsia="Lato"/>
          <w:szCs w:val="20"/>
        </w:rPr>
        <w:t>,</w:t>
      </w:r>
      <w:r w:rsidR="00E66B89">
        <w:rPr>
          <w:rFonts w:eastAsia="Lato"/>
          <w:szCs w:val="20"/>
        </w:rPr>
        <w:t xml:space="preserve"> z </w:t>
      </w:r>
      <w:r w:rsidRPr="00CE549A">
        <w:rPr>
          <w:rFonts w:eastAsia="Lato"/>
          <w:szCs w:val="20"/>
        </w:rPr>
        <w:t>łączną alokacją 26 mln euro. Stanowi to 26% całej alokacji na OP</w:t>
      </w:r>
      <w:r>
        <w:rPr>
          <w:rFonts w:eastAsia="Lato"/>
          <w:szCs w:val="20"/>
        </w:rPr>
        <w:t xml:space="preserve"> IV</w:t>
      </w:r>
      <w:r w:rsidRPr="00CE549A">
        <w:rPr>
          <w:rFonts w:eastAsia="Lato"/>
          <w:szCs w:val="20"/>
        </w:rPr>
        <w:t>. Działania zaplanowane</w:t>
      </w:r>
      <w:r w:rsidR="00E66B89">
        <w:rPr>
          <w:rFonts w:eastAsia="Lato"/>
          <w:szCs w:val="20"/>
        </w:rPr>
        <w:t xml:space="preserve"> w </w:t>
      </w:r>
      <w:r w:rsidRPr="00CE549A">
        <w:rPr>
          <w:rFonts w:eastAsia="Lato"/>
          <w:szCs w:val="20"/>
        </w:rPr>
        <w:t>ramach PI 6c odnoszą się do dziedzictwa kulturowego. Odnośnie zachowania</w:t>
      </w:r>
      <w:r w:rsidR="00E66B89">
        <w:rPr>
          <w:rFonts w:eastAsia="Lato"/>
          <w:szCs w:val="20"/>
        </w:rPr>
        <w:t xml:space="preserve"> i </w:t>
      </w:r>
      <w:r w:rsidRPr="00CE549A">
        <w:rPr>
          <w:rFonts w:eastAsia="Lato"/>
          <w:szCs w:val="20"/>
        </w:rPr>
        <w:t>ochrony oraz rozwoju dziedzictwa kulturowego można wskazać, że rezultatem interwencji</w:t>
      </w:r>
      <w:r w:rsidR="00E66B89">
        <w:rPr>
          <w:rFonts w:eastAsia="Lato"/>
          <w:szCs w:val="20"/>
        </w:rPr>
        <w:t xml:space="preserve"> w </w:t>
      </w:r>
      <w:r w:rsidRPr="00CE549A">
        <w:rPr>
          <w:rFonts w:eastAsia="Lato"/>
          <w:szCs w:val="20"/>
        </w:rPr>
        <w:t>tym obszarze ma być wzrost oczekiwanej liczby odwiedzin</w:t>
      </w:r>
      <w:r w:rsidR="00E66B89">
        <w:rPr>
          <w:rFonts w:eastAsia="Lato"/>
          <w:szCs w:val="20"/>
        </w:rPr>
        <w:t xml:space="preserve"> w </w:t>
      </w:r>
      <w:r>
        <w:rPr>
          <w:rFonts w:eastAsia="Lato"/>
          <w:szCs w:val="20"/>
        </w:rPr>
        <w:t>-</w:t>
      </w:r>
      <w:r w:rsidRPr="00CE549A">
        <w:rPr>
          <w:rFonts w:eastAsia="Lato"/>
          <w:szCs w:val="20"/>
        </w:rPr>
        <w:t xml:space="preserve"> objętych wsparciem</w:t>
      </w:r>
      <w:r>
        <w:rPr>
          <w:rFonts w:eastAsia="Lato"/>
          <w:szCs w:val="20"/>
        </w:rPr>
        <w:t xml:space="preserve"> -</w:t>
      </w:r>
      <w:r w:rsidRPr="00CE549A">
        <w:rPr>
          <w:rFonts w:eastAsia="Lato"/>
          <w:szCs w:val="20"/>
        </w:rPr>
        <w:t xml:space="preserve"> miejscach należących do dziedzictwa kulturalnego oraz stanowiących atrakcje turystyczne</w:t>
      </w:r>
      <w:r>
        <w:rPr>
          <w:rFonts w:eastAsia="Lato"/>
          <w:szCs w:val="20"/>
        </w:rPr>
        <w:t>;</w:t>
      </w:r>
      <w:r w:rsidRPr="00CE549A">
        <w:rPr>
          <w:rFonts w:eastAsia="Lato"/>
          <w:szCs w:val="20"/>
        </w:rPr>
        <w:t xml:space="preserve"> wzrost liczby osób korzystających</w:t>
      </w:r>
      <w:r w:rsidR="00E66B89">
        <w:rPr>
          <w:rFonts w:eastAsia="Lato"/>
          <w:szCs w:val="20"/>
        </w:rPr>
        <w:t xml:space="preserve"> z </w:t>
      </w:r>
      <w:r w:rsidRPr="00CE549A">
        <w:rPr>
          <w:rFonts w:eastAsia="Lato"/>
          <w:szCs w:val="20"/>
        </w:rPr>
        <w:t xml:space="preserve">obiektów </w:t>
      </w:r>
      <w:r w:rsidRPr="00CE549A">
        <w:rPr>
          <w:rFonts w:eastAsia="Lato"/>
          <w:szCs w:val="20"/>
        </w:rPr>
        <w:lastRenderedPageBreak/>
        <w:t>zasobów kultury objętych wsparciem</w:t>
      </w:r>
      <w:r>
        <w:rPr>
          <w:rFonts w:eastAsia="Lato"/>
          <w:szCs w:val="20"/>
        </w:rPr>
        <w:t>;</w:t>
      </w:r>
      <w:r w:rsidRPr="00CE549A">
        <w:rPr>
          <w:rFonts w:eastAsia="Lato"/>
          <w:szCs w:val="20"/>
        </w:rPr>
        <w:t xml:space="preserve"> wzrost liczby osób korzystających</w:t>
      </w:r>
      <w:r w:rsidR="00E66B89">
        <w:rPr>
          <w:rFonts w:eastAsia="Lato"/>
          <w:szCs w:val="20"/>
        </w:rPr>
        <w:t xml:space="preserve"> z </w:t>
      </w:r>
      <w:r w:rsidRPr="00CE549A">
        <w:rPr>
          <w:rFonts w:eastAsia="Lato"/>
          <w:szCs w:val="20"/>
        </w:rPr>
        <w:t>obiektów zasobów kultury objętych wsparcie</w:t>
      </w:r>
      <w:r>
        <w:rPr>
          <w:rFonts w:eastAsia="Lato"/>
          <w:szCs w:val="20"/>
        </w:rPr>
        <w:t>m</w:t>
      </w:r>
      <w:r w:rsidR="00E66B89">
        <w:rPr>
          <w:rFonts w:eastAsia="Lato"/>
          <w:szCs w:val="20"/>
        </w:rPr>
        <w:t xml:space="preserve"> i </w:t>
      </w:r>
      <w:r w:rsidRPr="00CE549A">
        <w:rPr>
          <w:rFonts w:eastAsia="Lato"/>
          <w:szCs w:val="20"/>
        </w:rPr>
        <w:t>wzrost osób korzystających ze wsparcia bezpośrednio</w:t>
      </w:r>
      <w:r w:rsidR="00E66B89">
        <w:rPr>
          <w:rFonts w:eastAsia="Lato"/>
          <w:szCs w:val="20"/>
        </w:rPr>
        <w:t xml:space="preserve"> w </w:t>
      </w:r>
      <w:r w:rsidRPr="00CE549A">
        <w:rPr>
          <w:rFonts w:eastAsia="Lato"/>
          <w:szCs w:val="20"/>
        </w:rPr>
        <w:t>obiektach,</w:t>
      </w:r>
      <w:r w:rsidR="00E66B89">
        <w:rPr>
          <w:rFonts w:eastAsia="Lato"/>
          <w:szCs w:val="20"/>
        </w:rPr>
        <w:t xml:space="preserve"> w </w:t>
      </w:r>
      <w:r w:rsidRPr="00CE549A">
        <w:rPr>
          <w:rFonts w:eastAsia="Lato"/>
          <w:szCs w:val="20"/>
        </w:rPr>
        <w:t>których realizowane są projekty. Należy jednak zauważyć, że wskaźniki te monitorowane są</w:t>
      </w:r>
      <w:r w:rsidR="00E66B89">
        <w:rPr>
          <w:rFonts w:eastAsia="Lato"/>
          <w:szCs w:val="20"/>
        </w:rPr>
        <w:t xml:space="preserve"> z </w:t>
      </w:r>
      <w:r w:rsidRPr="00CE549A">
        <w:rPr>
          <w:rFonts w:eastAsia="Lato"/>
          <w:szCs w:val="20"/>
        </w:rPr>
        <w:t>poziomu projektów</w:t>
      </w:r>
      <w:r>
        <w:rPr>
          <w:rFonts w:eastAsia="Lato"/>
          <w:szCs w:val="20"/>
        </w:rPr>
        <w:t xml:space="preserve"> -</w:t>
      </w:r>
      <w:r w:rsidRPr="00CE549A">
        <w:rPr>
          <w:rFonts w:eastAsia="Lato"/>
          <w:szCs w:val="20"/>
        </w:rPr>
        <w:t xml:space="preserve"> nie są zatem monitorowane</w:t>
      </w:r>
      <w:r w:rsidR="00E66B89">
        <w:rPr>
          <w:rFonts w:eastAsia="Lato"/>
          <w:szCs w:val="20"/>
        </w:rPr>
        <w:t xml:space="preserve"> w </w:t>
      </w:r>
      <w:r w:rsidRPr="00CE549A">
        <w:rPr>
          <w:rFonts w:eastAsia="Lato"/>
          <w:szCs w:val="20"/>
        </w:rPr>
        <w:t xml:space="preserve">ramach wskaźników ujętych na poziomie Programu. </w:t>
      </w:r>
    </w:p>
    <w:p w14:paraId="3062ED65" w14:textId="77777777" w:rsidR="006F4D8F" w:rsidRPr="008B706B" w:rsidRDefault="006F4D8F" w:rsidP="006F4D8F">
      <w:pPr>
        <w:rPr>
          <w:rFonts w:eastAsia="Lato"/>
          <w:strike/>
          <w:szCs w:val="20"/>
        </w:rPr>
      </w:pPr>
      <w:r w:rsidRPr="00CE549A">
        <w:rPr>
          <w:rFonts w:eastAsia="Lato"/>
          <w:szCs w:val="20"/>
        </w:rPr>
        <w:t>Celem szczegółowym jest tutaj zwiększenie dostępności zasobów kulturowych regionu. Prowadzić ma to do wzrostu atrakcyjności turystycznej województwa</w:t>
      </w:r>
      <w:r>
        <w:rPr>
          <w:rFonts w:eastAsia="Lato"/>
          <w:szCs w:val="20"/>
        </w:rPr>
        <w:t xml:space="preserve">, </w:t>
      </w:r>
      <w:r w:rsidRPr="00CE549A">
        <w:rPr>
          <w:rFonts w:eastAsia="Lato"/>
          <w:szCs w:val="20"/>
        </w:rPr>
        <w:t xml:space="preserve">wyrażającej się </w:t>
      </w:r>
      <w:r>
        <w:rPr>
          <w:rFonts w:eastAsia="Lato"/>
          <w:szCs w:val="20"/>
        </w:rPr>
        <w:t>wzrostem</w:t>
      </w:r>
      <w:r w:rsidRPr="00CE549A">
        <w:rPr>
          <w:rFonts w:eastAsia="Lato"/>
          <w:szCs w:val="20"/>
        </w:rPr>
        <w:t xml:space="preserve"> liczby noclegów,</w:t>
      </w:r>
      <w:r w:rsidR="00E66B89">
        <w:rPr>
          <w:rFonts w:eastAsia="Lato"/>
          <w:szCs w:val="20"/>
        </w:rPr>
        <w:t xml:space="preserve"> a </w:t>
      </w:r>
      <w:r w:rsidRPr="00CE549A">
        <w:rPr>
          <w:rFonts w:eastAsia="Lato"/>
          <w:szCs w:val="20"/>
        </w:rPr>
        <w:t>także zwiększeni</w:t>
      </w:r>
      <w:r>
        <w:rPr>
          <w:rFonts w:eastAsia="Lato"/>
          <w:szCs w:val="20"/>
        </w:rPr>
        <w:t>em</w:t>
      </w:r>
      <w:r w:rsidRPr="00CE549A">
        <w:rPr>
          <w:rFonts w:eastAsia="Lato"/>
          <w:szCs w:val="20"/>
        </w:rPr>
        <w:t xml:space="preserve"> atrakcyjności zasobów kulturowych</w:t>
      </w:r>
      <w:r w:rsidR="00E66B89">
        <w:rPr>
          <w:rFonts w:eastAsia="Lato"/>
          <w:szCs w:val="20"/>
        </w:rPr>
        <w:t xml:space="preserve"> i </w:t>
      </w:r>
      <w:r w:rsidRPr="00CE549A">
        <w:rPr>
          <w:rFonts w:eastAsia="Lato"/>
          <w:szCs w:val="20"/>
        </w:rPr>
        <w:t>naturalnych regionu</w:t>
      </w:r>
      <w:r>
        <w:rPr>
          <w:rFonts w:eastAsia="Lato"/>
          <w:szCs w:val="20"/>
        </w:rPr>
        <w:t xml:space="preserve"> -</w:t>
      </w:r>
      <w:r w:rsidRPr="00CE549A">
        <w:rPr>
          <w:rFonts w:eastAsia="Lato"/>
          <w:szCs w:val="20"/>
        </w:rPr>
        <w:t xml:space="preserve"> co może przekładać się na pozytywne skutki</w:t>
      </w:r>
      <w:r w:rsidR="00E66B89">
        <w:rPr>
          <w:rFonts w:eastAsia="Lato"/>
          <w:szCs w:val="20"/>
        </w:rPr>
        <w:t xml:space="preserve"> w </w:t>
      </w:r>
      <w:r w:rsidRPr="00CE549A">
        <w:rPr>
          <w:rFonts w:eastAsia="Lato"/>
          <w:szCs w:val="20"/>
        </w:rPr>
        <w:t xml:space="preserve">obszarze edukacji, </w:t>
      </w:r>
      <w:r>
        <w:rPr>
          <w:rFonts w:eastAsia="Lato"/>
          <w:szCs w:val="20"/>
        </w:rPr>
        <w:t>ale także</w:t>
      </w:r>
      <w:r w:rsidR="00E66B89">
        <w:rPr>
          <w:rFonts w:eastAsia="Lato"/>
          <w:szCs w:val="20"/>
        </w:rPr>
        <w:t xml:space="preserve"> w </w:t>
      </w:r>
      <w:r>
        <w:rPr>
          <w:rFonts w:eastAsia="Lato"/>
          <w:szCs w:val="20"/>
        </w:rPr>
        <w:t xml:space="preserve">postaci </w:t>
      </w:r>
      <w:r w:rsidRPr="00CE549A">
        <w:rPr>
          <w:rFonts w:eastAsia="Lato"/>
          <w:szCs w:val="20"/>
        </w:rPr>
        <w:t>wzrostu spójności społecznej</w:t>
      </w:r>
      <w:r>
        <w:rPr>
          <w:rFonts w:eastAsia="Lato"/>
          <w:szCs w:val="20"/>
        </w:rPr>
        <w:t> </w:t>
      </w:r>
      <w:r w:rsidRPr="00CE549A">
        <w:rPr>
          <w:rFonts w:eastAsia="Lato"/>
          <w:szCs w:val="20"/>
        </w:rPr>
        <w:t>regionu</w:t>
      </w:r>
      <w:r w:rsidR="00E66B89">
        <w:rPr>
          <w:rFonts w:eastAsia="Lato"/>
          <w:szCs w:val="20"/>
        </w:rPr>
        <w:t xml:space="preserve"> i </w:t>
      </w:r>
      <w:r w:rsidRPr="00CE549A">
        <w:rPr>
          <w:rFonts w:eastAsia="Lato"/>
          <w:szCs w:val="20"/>
        </w:rPr>
        <w:t>wzrostu kapitału kulturowego</w:t>
      </w:r>
      <w:r w:rsidR="00E66B89">
        <w:rPr>
          <w:rFonts w:eastAsia="Lato"/>
          <w:szCs w:val="20"/>
        </w:rPr>
        <w:t xml:space="preserve"> i </w:t>
      </w:r>
      <w:r w:rsidRPr="00CE549A">
        <w:rPr>
          <w:rFonts w:eastAsia="Lato"/>
          <w:szCs w:val="20"/>
        </w:rPr>
        <w:t>społecznego mieszkańców (wzmocnienie tożsamości lokalnych</w:t>
      </w:r>
      <w:r w:rsidR="00E66B89">
        <w:rPr>
          <w:rFonts w:eastAsia="Lato"/>
          <w:szCs w:val="20"/>
        </w:rPr>
        <w:t xml:space="preserve"> i </w:t>
      </w:r>
      <w:r w:rsidRPr="00CE549A">
        <w:rPr>
          <w:rFonts w:eastAsia="Lato"/>
          <w:szCs w:val="20"/>
        </w:rPr>
        <w:t>regionalnej),</w:t>
      </w:r>
      <w:r w:rsidR="00E66B89">
        <w:rPr>
          <w:rFonts w:eastAsia="Lato"/>
          <w:szCs w:val="20"/>
        </w:rPr>
        <w:t xml:space="preserve"> a </w:t>
      </w:r>
      <w:r w:rsidRPr="00CE549A">
        <w:rPr>
          <w:rFonts w:eastAsia="Lato"/>
          <w:szCs w:val="20"/>
        </w:rPr>
        <w:t xml:space="preserve">także </w:t>
      </w:r>
      <w:r>
        <w:rPr>
          <w:rFonts w:eastAsia="Lato"/>
          <w:szCs w:val="20"/>
        </w:rPr>
        <w:t>w postaci</w:t>
      </w:r>
      <w:r w:rsidRPr="00CE549A">
        <w:rPr>
          <w:rFonts w:eastAsia="Lato"/>
          <w:szCs w:val="20"/>
        </w:rPr>
        <w:t xml:space="preserve"> budowania pozytywnego wizerunku województwa na użytek zewnętrzny</w:t>
      </w:r>
      <w:r w:rsidRPr="00CF48AD">
        <w:rPr>
          <w:rFonts w:eastAsia="Lato"/>
          <w:szCs w:val="20"/>
        </w:rPr>
        <w:t>.</w:t>
      </w:r>
      <w:r>
        <w:rPr>
          <w:rFonts w:eastAsia="Lato"/>
          <w:strike/>
          <w:szCs w:val="20"/>
        </w:rPr>
        <w:t xml:space="preserve"> </w:t>
      </w:r>
    </w:p>
    <w:p w14:paraId="5E3A0A11" w14:textId="77777777" w:rsidR="006F4D8F" w:rsidRPr="00CD62FE" w:rsidRDefault="006F4D8F" w:rsidP="006F4D8F">
      <w:pPr>
        <w:rPr>
          <w:rFonts w:eastAsia="Lato"/>
          <w:szCs w:val="20"/>
        </w:rPr>
      </w:pPr>
      <w:r w:rsidRPr="00CE549A">
        <w:rPr>
          <w:rFonts w:eastAsia="Lato"/>
          <w:szCs w:val="20"/>
        </w:rPr>
        <w:t>O skuteczności interwencji decydować będzie również realizacj</w:t>
      </w:r>
      <w:r>
        <w:rPr>
          <w:rFonts w:eastAsia="Lato"/>
          <w:szCs w:val="20"/>
        </w:rPr>
        <w:t>a</w:t>
      </w:r>
      <w:r w:rsidRPr="00CE549A">
        <w:rPr>
          <w:rFonts w:eastAsia="Lato"/>
          <w:szCs w:val="20"/>
        </w:rPr>
        <w:t xml:space="preserve"> tematycznych naborów dedykowanych kościołom</w:t>
      </w:r>
      <w:r w:rsidR="00E66B89">
        <w:rPr>
          <w:rFonts w:eastAsia="Lato"/>
          <w:szCs w:val="20"/>
        </w:rPr>
        <w:t xml:space="preserve"> i </w:t>
      </w:r>
      <w:r w:rsidRPr="00CE549A">
        <w:rPr>
          <w:rFonts w:eastAsia="Lato"/>
          <w:szCs w:val="20"/>
        </w:rPr>
        <w:t xml:space="preserve">związkom wyznaniowym. </w:t>
      </w:r>
      <w:r w:rsidRPr="008B706B">
        <w:rPr>
          <w:rFonts w:eastAsia="Lato"/>
          <w:szCs w:val="20"/>
        </w:rPr>
        <w:t xml:space="preserve">Zidentyfikowano wysoki potencjał absorpcyjny dla </w:t>
      </w:r>
      <w:r>
        <w:rPr>
          <w:rFonts w:eastAsia="Lato"/>
          <w:szCs w:val="20"/>
        </w:rPr>
        <w:t>D</w:t>
      </w:r>
      <w:r w:rsidRPr="008B706B">
        <w:rPr>
          <w:rFonts w:eastAsia="Lato"/>
          <w:szCs w:val="20"/>
        </w:rPr>
        <w:t>ziałań</w:t>
      </w:r>
      <w:r w:rsidR="00E66B89">
        <w:rPr>
          <w:rFonts w:eastAsia="Lato"/>
          <w:szCs w:val="20"/>
        </w:rPr>
        <w:t xml:space="preserve"> w </w:t>
      </w:r>
      <w:r w:rsidRPr="008B706B">
        <w:rPr>
          <w:rFonts w:eastAsia="Lato"/>
          <w:szCs w:val="20"/>
        </w:rPr>
        <w:t>ramach PI 6c.</w:t>
      </w:r>
      <w:r w:rsidR="00E66B89">
        <w:rPr>
          <w:rFonts w:eastAsia="Lato"/>
          <w:szCs w:val="20"/>
        </w:rPr>
        <w:t xml:space="preserve"> O </w:t>
      </w:r>
      <w:r w:rsidRPr="00CD62FE">
        <w:rPr>
          <w:rFonts w:eastAsia="Lato"/>
          <w:szCs w:val="20"/>
        </w:rPr>
        <w:t>skuteczności realizacji operacji decydował również sposób wdrożenia za pomocą projektów pozakonkursowych</w:t>
      </w:r>
      <w:r>
        <w:rPr>
          <w:rFonts w:eastAsia="Lato"/>
          <w:szCs w:val="20"/>
        </w:rPr>
        <w:t xml:space="preserve"> w</w:t>
      </w:r>
      <w:r w:rsidRPr="00CD62FE">
        <w:rPr>
          <w:rFonts w:eastAsia="Lato"/>
          <w:szCs w:val="20"/>
        </w:rPr>
        <w:t xml:space="preserve"> </w:t>
      </w:r>
      <w:r>
        <w:rPr>
          <w:rFonts w:eastAsia="Lato"/>
          <w:szCs w:val="20"/>
        </w:rPr>
        <w:t>D</w:t>
      </w:r>
      <w:r w:rsidRPr="00CD62FE">
        <w:rPr>
          <w:rFonts w:eastAsia="Lato"/>
          <w:szCs w:val="20"/>
        </w:rPr>
        <w:t>ziałani</w:t>
      </w:r>
      <w:r>
        <w:rPr>
          <w:rFonts w:eastAsia="Lato"/>
          <w:szCs w:val="20"/>
        </w:rPr>
        <w:t>u</w:t>
      </w:r>
      <w:r w:rsidRPr="00CD62FE">
        <w:rPr>
          <w:rFonts w:eastAsia="Lato"/>
          <w:szCs w:val="20"/>
        </w:rPr>
        <w:t xml:space="preserve"> 4.2.</w:t>
      </w:r>
      <w:r>
        <w:rPr>
          <w:rFonts w:eastAsia="Lato"/>
          <w:szCs w:val="20"/>
        </w:rPr>
        <w:t>,</w:t>
      </w:r>
      <w:r w:rsidR="00E66B89">
        <w:rPr>
          <w:rFonts w:eastAsia="Lato"/>
          <w:szCs w:val="20"/>
        </w:rPr>
        <w:t xml:space="preserve"> w </w:t>
      </w:r>
      <w:r>
        <w:rPr>
          <w:rFonts w:eastAsia="Lato"/>
          <w:szCs w:val="20"/>
        </w:rPr>
        <w:t xml:space="preserve">którym to </w:t>
      </w:r>
      <w:r w:rsidRPr="00CD62FE">
        <w:rPr>
          <w:rFonts w:eastAsia="Lato"/>
          <w:szCs w:val="20"/>
        </w:rPr>
        <w:t>wybrano do realizacji projekt</w:t>
      </w:r>
      <w:r>
        <w:rPr>
          <w:rFonts w:eastAsia="Lato"/>
          <w:szCs w:val="20"/>
        </w:rPr>
        <w:t xml:space="preserve"> -</w:t>
      </w:r>
      <w:r w:rsidR="00E66B89">
        <w:rPr>
          <w:rFonts w:eastAsia="Lato"/>
          <w:szCs w:val="20"/>
        </w:rPr>
        <w:t xml:space="preserve"> o </w:t>
      </w:r>
      <w:r w:rsidRPr="00CD62FE">
        <w:rPr>
          <w:rFonts w:eastAsia="Lato"/>
          <w:szCs w:val="20"/>
        </w:rPr>
        <w:t>całkowitej wartości 105 mln zł</w:t>
      </w:r>
      <w:r>
        <w:rPr>
          <w:rFonts w:eastAsia="Lato"/>
          <w:szCs w:val="20"/>
        </w:rPr>
        <w:t xml:space="preserve"> -</w:t>
      </w:r>
      <w:r w:rsidRPr="00CD62FE">
        <w:rPr>
          <w:rFonts w:eastAsia="Lato"/>
          <w:szCs w:val="20"/>
        </w:rPr>
        <w:t xml:space="preserve"> Teatru Polskiego</w:t>
      </w:r>
      <w:r w:rsidR="00E66B89">
        <w:rPr>
          <w:rFonts w:eastAsia="Lato"/>
          <w:szCs w:val="20"/>
        </w:rPr>
        <w:t xml:space="preserve"> w </w:t>
      </w:r>
      <w:r w:rsidRPr="00CD62FE">
        <w:rPr>
          <w:rFonts w:eastAsia="Lato"/>
          <w:szCs w:val="20"/>
        </w:rPr>
        <w:t>Szczecinie</w:t>
      </w:r>
      <w:r w:rsidR="00E66B89">
        <w:rPr>
          <w:rFonts w:eastAsia="Lato"/>
          <w:szCs w:val="20"/>
        </w:rPr>
        <w:t xml:space="preserve"> z </w:t>
      </w:r>
      <w:r w:rsidRPr="00CD62FE">
        <w:rPr>
          <w:rFonts w:eastAsia="Lato"/>
          <w:szCs w:val="20"/>
        </w:rPr>
        <w:t>dofinansowaniem</w:t>
      </w:r>
      <w:r w:rsidR="00E66B89">
        <w:rPr>
          <w:rFonts w:eastAsia="Lato"/>
          <w:szCs w:val="20"/>
        </w:rPr>
        <w:t xml:space="preserve"> w </w:t>
      </w:r>
      <w:r w:rsidRPr="00CD62FE">
        <w:rPr>
          <w:rFonts w:eastAsia="Lato"/>
          <w:szCs w:val="20"/>
        </w:rPr>
        <w:t xml:space="preserve">kwocie 43 mln zł. </w:t>
      </w:r>
      <w:bookmarkStart w:id="122" w:name="_Hlk5144947"/>
      <w:r w:rsidRPr="008B706B">
        <w:rPr>
          <w:rFonts w:eastAsia="Lato"/>
          <w:szCs w:val="20"/>
        </w:rPr>
        <w:t>Nie zidentyfikowano ryzyka nieosiągnięcia zakładanych wartości wskaźników. Postęp rzeczowy</w:t>
      </w:r>
      <w:r w:rsidR="00E66B89">
        <w:rPr>
          <w:rFonts w:eastAsia="Lato"/>
          <w:szCs w:val="20"/>
        </w:rPr>
        <w:t xml:space="preserve"> i </w:t>
      </w:r>
      <w:r w:rsidRPr="008B706B">
        <w:rPr>
          <w:rFonts w:eastAsia="Lato"/>
          <w:szCs w:val="20"/>
        </w:rPr>
        <w:t>finansowy należy uznać za zadawalający</w:t>
      </w:r>
      <w:bookmarkEnd w:id="122"/>
      <w:r w:rsidRPr="00CD62FE">
        <w:rPr>
          <w:rFonts w:eastAsia="Lato"/>
          <w:szCs w:val="20"/>
        </w:rPr>
        <w:t xml:space="preserve">. </w:t>
      </w:r>
    </w:p>
    <w:p w14:paraId="73A107DD" w14:textId="77777777" w:rsidR="006F4D8F" w:rsidRPr="00CE549A" w:rsidRDefault="006F4D8F" w:rsidP="006E34DC">
      <w:pPr>
        <w:pStyle w:val="Legenda"/>
        <w:spacing w:after="0"/>
      </w:pPr>
      <w:bookmarkStart w:id="123" w:name="_Toc8824167"/>
      <w:r w:rsidRPr="00CE549A">
        <w:t xml:space="preserve">Tabela </w:t>
      </w:r>
      <w:r>
        <w:fldChar w:fldCharType="begin"/>
      </w:r>
      <w:r>
        <w:instrText xml:space="preserve"> SEQ Tabela \* ARABIC </w:instrText>
      </w:r>
      <w:r>
        <w:fldChar w:fldCharType="separate"/>
      </w:r>
      <w:r w:rsidR="00763345">
        <w:rPr>
          <w:noProof/>
        </w:rPr>
        <w:t>56</w:t>
      </w:r>
      <w:r>
        <w:fldChar w:fldCharType="end"/>
      </w:r>
      <w:r w:rsidRPr="00CE549A">
        <w:t xml:space="preserve"> Wskaźniki produktu (PI 6c) – postęp rzeczowy</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1686"/>
        <w:gridCol w:w="850"/>
        <w:gridCol w:w="957"/>
        <w:gridCol w:w="1003"/>
        <w:gridCol w:w="1004"/>
        <w:gridCol w:w="1003"/>
        <w:gridCol w:w="1004"/>
      </w:tblGrid>
      <w:tr w:rsidR="006F4D8F" w:rsidRPr="007D76FB" w14:paraId="7444AE76" w14:textId="77777777" w:rsidTr="00807CA9">
        <w:trPr>
          <w:tblHeader/>
        </w:trPr>
        <w:tc>
          <w:tcPr>
            <w:tcW w:w="704" w:type="dxa"/>
            <w:shd w:val="clear" w:color="auto" w:fill="DBE5F1"/>
            <w:vAlign w:val="center"/>
          </w:tcPr>
          <w:p w14:paraId="03B79363" w14:textId="77777777" w:rsidR="006F4D8F" w:rsidRPr="00404DA5" w:rsidRDefault="006F4D8F" w:rsidP="006F4D8F">
            <w:pPr>
              <w:jc w:val="center"/>
              <w:rPr>
                <w:rFonts w:cs="Calibri"/>
                <w:sz w:val="18"/>
                <w:szCs w:val="20"/>
              </w:rPr>
            </w:pPr>
            <w:r w:rsidRPr="00404DA5">
              <w:rPr>
                <w:rFonts w:cs="Calibri"/>
                <w:sz w:val="18"/>
                <w:szCs w:val="20"/>
              </w:rPr>
              <w:t>Typ wskaźnika</w:t>
            </w:r>
          </w:p>
        </w:tc>
        <w:tc>
          <w:tcPr>
            <w:tcW w:w="851" w:type="dxa"/>
            <w:shd w:val="clear" w:color="auto" w:fill="DBE5F1"/>
            <w:vAlign w:val="center"/>
          </w:tcPr>
          <w:p w14:paraId="349DF83C" w14:textId="77777777" w:rsidR="006F4D8F" w:rsidRPr="00404DA5" w:rsidRDefault="006F4D8F" w:rsidP="006F4D8F">
            <w:pPr>
              <w:jc w:val="center"/>
              <w:rPr>
                <w:rFonts w:cs="Calibri"/>
                <w:sz w:val="18"/>
                <w:szCs w:val="20"/>
              </w:rPr>
            </w:pPr>
            <w:r w:rsidRPr="00404DA5">
              <w:rPr>
                <w:rFonts w:cs="Calibri"/>
                <w:sz w:val="18"/>
                <w:szCs w:val="20"/>
              </w:rPr>
              <w:t>Działania</w:t>
            </w:r>
          </w:p>
        </w:tc>
        <w:tc>
          <w:tcPr>
            <w:tcW w:w="1686" w:type="dxa"/>
            <w:shd w:val="clear" w:color="auto" w:fill="DBE5F1"/>
            <w:vAlign w:val="center"/>
          </w:tcPr>
          <w:p w14:paraId="2B48E346" w14:textId="77777777" w:rsidR="006F4D8F" w:rsidRPr="00404DA5" w:rsidRDefault="006F4D8F" w:rsidP="006F4D8F">
            <w:pPr>
              <w:jc w:val="center"/>
              <w:rPr>
                <w:rFonts w:cs="Calibri"/>
                <w:sz w:val="18"/>
                <w:szCs w:val="20"/>
              </w:rPr>
            </w:pPr>
            <w:r w:rsidRPr="00404DA5">
              <w:rPr>
                <w:rFonts w:cs="Calibri"/>
                <w:sz w:val="18"/>
                <w:szCs w:val="20"/>
              </w:rPr>
              <w:t>Wskaźnik</w:t>
            </w:r>
          </w:p>
        </w:tc>
        <w:tc>
          <w:tcPr>
            <w:tcW w:w="850" w:type="dxa"/>
            <w:shd w:val="clear" w:color="auto" w:fill="DBE5F1"/>
            <w:vAlign w:val="center"/>
          </w:tcPr>
          <w:p w14:paraId="2643C73A" w14:textId="77777777" w:rsidR="006F4D8F" w:rsidRPr="00404DA5" w:rsidRDefault="006F4D8F" w:rsidP="006F4D8F">
            <w:pPr>
              <w:jc w:val="center"/>
              <w:rPr>
                <w:rFonts w:cs="Calibri"/>
                <w:sz w:val="18"/>
                <w:szCs w:val="20"/>
              </w:rPr>
            </w:pPr>
            <w:r w:rsidRPr="00404DA5">
              <w:rPr>
                <w:rFonts w:cs="Calibri"/>
                <w:sz w:val="18"/>
                <w:szCs w:val="20"/>
              </w:rPr>
              <w:t>Jedn. pomiaru</w:t>
            </w:r>
          </w:p>
        </w:tc>
        <w:tc>
          <w:tcPr>
            <w:tcW w:w="957" w:type="dxa"/>
            <w:shd w:val="clear" w:color="auto" w:fill="DBE5F1"/>
            <w:vAlign w:val="center"/>
          </w:tcPr>
          <w:p w14:paraId="113ECAE6" w14:textId="77777777" w:rsidR="006F4D8F" w:rsidRPr="00404DA5" w:rsidRDefault="006F4D8F" w:rsidP="006F4D8F">
            <w:pPr>
              <w:jc w:val="center"/>
              <w:rPr>
                <w:rFonts w:cs="Calibri"/>
                <w:sz w:val="18"/>
                <w:szCs w:val="20"/>
              </w:rPr>
            </w:pPr>
            <w:r w:rsidRPr="00404DA5">
              <w:rPr>
                <w:rFonts w:cs="Calibri"/>
                <w:sz w:val="18"/>
                <w:szCs w:val="20"/>
              </w:rPr>
              <w:t>Wartość docelowa (2023)</w:t>
            </w:r>
          </w:p>
        </w:tc>
        <w:tc>
          <w:tcPr>
            <w:tcW w:w="1003" w:type="dxa"/>
            <w:shd w:val="clear" w:color="auto" w:fill="DBE5F1"/>
            <w:vAlign w:val="center"/>
          </w:tcPr>
          <w:p w14:paraId="30FA9054" w14:textId="77777777" w:rsidR="006F4D8F" w:rsidRPr="00404DA5" w:rsidRDefault="006F4D8F" w:rsidP="006F4D8F">
            <w:pPr>
              <w:jc w:val="center"/>
              <w:rPr>
                <w:rFonts w:cs="Calibri"/>
                <w:sz w:val="18"/>
                <w:szCs w:val="20"/>
              </w:rPr>
            </w:pPr>
            <w:r w:rsidRPr="00404DA5">
              <w:rPr>
                <w:rFonts w:cs="Calibri"/>
                <w:sz w:val="18"/>
                <w:szCs w:val="20"/>
              </w:rPr>
              <w:t>Realizacja wskaźnika (wg UoD)</w:t>
            </w:r>
          </w:p>
        </w:tc>
        <w:tc>
          <w:tcPr>
            <w:tcW w:w="1004" w:type="dxa"/>
            <w:shd w:val="clear" w:color="auto" w:fill="DBE5F1"/>
            <w:vAlign w:val="center"/>
          </w:tcPr>
          <w:p w14:paraId="177FB7E4" w14:textId="77777777" w:rsidR="006F4D8F" w:rsidRPr="00404DA5" w:rsidRDefault="006F4D8F" w:rsidP="006F4D8F">
            <w:pPr>
              <w:jc w:val="center"/>
              <w:rPr>
                <w:rFonts w:cs="Calibri"/>
                <w:sz w:val="18"/>
                <w:szCs w:val="20"/>
              </w:rPr>
            </w:pPr>
            <w:r w:rsidRPr="00404DA5">
              <w:rPr>
                <w:rFonts w:cs="Calibri"/>
                <w:sz w:val="18"/>
                <w:szCs w:val="20"/>
              </w:rPr>
              <w:t>% realizacji wartości docelowej (wg UoD)</w:t>
            </w:r>
          </w:p>
        </w:tc>
        <w:tc>
          <w:tcPr>
            <w:tcW w:w="1003" w:type="dxa"/>
            <w:shd w:val="clear" w:color="auto" w:fill="DBE5F1"/>
            <w:vAlign w:val="center"/>
          </w:tcPr>
          <w:p w14:paraId="19BE6359" w14:textId="77777777" w:rsidR="006F4D8F" w:rsidRPr="00404DA5" w:rsidRDefault="006F4D8F" w:rsidP="006F4D8F">
            <w:pPr>
              <w:jc w:val="center"/>
              <w:rPr>
                <w:rFonts w:cs="Calibri"/>
                <w:sz w:val="18"/>
                <w:szCs w:val="20"/>
              </w:rPr>
            </w:pPr>
            <w:r w:rsidRPr="00404DA5">
              <w:rPr>
                <w:rFonts w:cs="Calibri"/>
                <w:sz w:val="18"/>
                <w:szCs w:val="20"/>
              </w:rPr>
              <w:t>Realizacja wskaźnika (wg WoP)</w:t>
            </w:r>
          </w:p>
        </w:tc>
        <w:tc>
          <w:tcPr>
            <w:tcW w:w="1004" w:type="dxa"/>
            <w:shd w:val="clear" w:color="auto" w:fill="DBE5F1"/>
            <w:vAlign w:val="center"/>
          </w:tcPr>
          <w:p w14:paraId="37F605AE" w14:textId="77777777" w:rsidR="006F4D8F" w:rsidRPr="00404DA5" w:rsidRDefault="006F4D8F" w:rsidP="006F4D8F">
            <w:pPr>
              <w:jc w:val="center"/>
              <w:rPr>
                <w:rFonts w:cs="Calibri"/>
                <w:sz w:val="18"/>
                <w:szCs w:val="20"/>
              </w:rPr>
            </w:pPr>
            <w:r w:rsidRPr="00404DA5">
              <w:rPr>
                <w:rFonts w:cs="Calibri"/>
                <w:sz w:val="18"/>
                <w:szCs w:val="20"/>
              </w:rPr>
              <w:t>% realizacji wartości docelowej (wg WoP)</w:t>
            </w:r>
          </w:p>
        </w:tc>
      </w:tr>
      <w:tr w:rsidR="006F4D8F" w:rsidRPr="007D76FB" w14:paraId="46F50F7D" w14:textId="77777777" w:rsidTr="00807CA9">
        <w:tc>
          <w:tcPr>
            <w:tcW w:w="704" w:type="dxa"/>
            <w:shd w:val="clear" w:color="auto" w:fill="auto"/>
            <w:vAlign w:val="center"/>
          </w:tcPr>
          <w:p w14:paraId="09E5E54C" w14:textId="77777777" w:rsidR="006F4D8F" w:rsidRPr="00404DA5" w:rsidRDefault="006F4D8F" w:rsidP="006F4D8F">
            <w:pPr>
              <w:jc w:val="center"/>
              <w:rPr>
                <w:rFonts w:cs="Calibri"/>
                <w:sz w:val="18"/>
                <w:szCs w:val="20"/>
              </w:rPr>
            </w:pPr>
            <w:r w:rsidRPr="00404DA5">
              <w:rPr>
                <w:rFonts w:cs="Calibri"/>
                <w:sz w:val="18"/>
                <w:szCs w:val="20"/>
              </w:rPr>
              <w:t>WP</w:t>
            </w:r>
          </w:p>
        </w:tc>
        <w:tc>
          <w:tcPr>
            <w:tcW w:w="851" w:type="dxa"/>
            <w:shd w:val="clear" w:color="auto" w:fill="auto"/>
            <w:vAlign w:val="center"/>
          </w:tcPr>
          <w:p w14:paraId="539A54F9" w14:textId="77777777" w:rsidR="006F4D8F" w:rsidRPr="00404DA5" w:rsidRDefault="006F4D8F" w:rsidP="006F4D8F">
            <w:pPr>
              <w:jc w:val="center"/>
              <w:rPr>
                <w:rFonts w:cs="Calibri"/>
                <w:sz w:val="18"/>
                <w:szCs w:val="20"/>
              </w:rPr>
            </w:pPr>
            <w:r w:rsidRPr="00404DA5">
              <w:rPr>
                <w:rFonts w:cs="Calibri"/>
                <w:color w:val="000000"/>
                <w:sz w:val="18"/>
                <w:szCs w:val="20"/>
              </w:rPr>
              <w:t>4.1</w:t>
            </w:r>
          </w:p>
        </w:tc>
        <w:tc>
          <w:tcPr>
            <w:tcW w:w="1686" w:type="dxa"/>
            <w:shd w:val="clear" w:color="auto" w:fill="auto"/>
            <w:vAlign w:val="center"/>
          </w:tcPr>
          <w:p w14:paraId="62BAAF6B" w14:textId="77777777" w:rsidR="006F4D8F" w:rsidRPr="00404DA5" w:rsidRDefault="006F4D8F" w:rsidP="006F4D8F">
            <w:pPr>
              <w:jc w:val="left"/>
              <w:rPr>
                <w:rFonts w:cs="Calibri"/>
                <w:sz w:val="18"/>
                <w:szCs w:val="20"/>
              </w:rPr>
            </w:pPr>
            <w:r w:rsidRPr="00404DA5">
              <w:rPr>
                <w:rFonts w:cs="Calibri"/>
                <w:color w:val="000000"/>
                <w:sz w:val="18"/>
                <w:szCs w:val="20"/>
              </w:rPr>
              <w:t>Liczba zabytków nieruchomych objętych wsparciem</w:t>
            </w:r>
          </w:p>
        </w:tc>
        <w:tc>
          <w:tcPr>
            <w:tcW w:w="850" w:type="dxa"/>
            <w:shd w:val="clear" w:color="auto" w:fill="auto"/>
            <w:vAlign w:val="center"/>
          </w:tcPr>
          <w:p w14:paraId="2EE88958" w14:textId="77777777" w:rsidR="006F4D8F" w:rsidRPr="00404DA5" w:rsidRDefault="006F4D8F" w:rsidP="006F4D8F">
            <w:pPr>
              <w:jc w:val="center"/>
              <w:rPr>
                <w:rFonts w:cs="Calibri"/>
                <w:sz w:val="18"/>
                <w:szCs w:val="20"/>
              </w:rPr>
            </w:pPr>
            <w:r w:rsidRPr="00404DA5">
              <w:rPr>
                <w:rFonts w:cs="Calibri"/>
                <w:color w:val="000000"/>
                <w:sz w:val="18"/>
                <w:szCs w:val="20"/>
              </w:rPr>
              <w:t>szt.</w:t>
            </w:r>
          </w:p>
        </w:tc>
        <w:tc>
          <w:tcPr>
            <w:tcW w:w="957" w:type="dxa"/>
            <w:shd w:val="clear" w:color="auto" w:fill="auto"/>
            <w:vAlign w:val="center"/>
          </w:tcPr>
          <w:p w14:paraId="29E9B6E8" w14:textId="77777777" w:rsidR="006F4D8F" w:rsidRPr="00404DA5" w:rsidRDefault="006F4D8F" w:rsidP="006F4D8F">
            <w:pPr>
              <w:jc w:val="center"/>
              <w:rPr>
                <w:rFonts w:cs="Calibri"/>
                <w:sz w:val="18"/>
                <w:szCs w:val="20"/>
              </w:rPr>
            </w:pPr>
            <w:r w:rsidRPr="00404DA5">
              <w:rPr>
                <w:rFonts w:cs="Calibri"/>
                <w:color w:val="000000"/>
                <w:sz w:val="18"/>
                <w:szCs w:val="20"/>
              </w:rPr>
              <w:t>19</w:t>
            </w:r>
          </w:p>
        </w:tc>
        <w:tc>
          <w:tcPr>
            <w:tcW w:w="1003" w:type="dxa"/>
            <w:shd w:val="clear" w:color="auto" w:fill="auto"/>
            <w:vAlign w:val="center"/>
          </w:tcPr>
          <w:p w14:paraId="061AB621" w14:textId="77777777" w:rsidR="006F4D8F" w:rsidRPr="00404DA5" w:rsidRDefault="006F4D8F" w:rsidP="006F4D8F">
            <w:pPr>
              <w:jc w:val="center"/>
              <w:rPr>
                <w:rFonts w:cs="Calibri"/>
                <w:sz w:val="18"/>
                <w:szCs w:val="20"/>
              </w:rPr>
            </w:pPr>
            <w:r w:rsidRPr="00404DA5">
              <w:rPr>
                <w:rFonts w:cs="Calibri"/>
                <w:color w:val="000000"/>
                <w:sz w:val="18"/>
                <w:szCs w:val="20"/>
              </w:rPr>
              <w:t>26</w:t>
            </w:r>
          </w:p>
        </w:tc>
        <w:tc>
          <w:tcPr>
            <w:tcW w:w="1004" w:type="dxa"/>
            <w:shd w:val="clear" w:color="auto" w:fill="auto"/>
            <w:vAlign w:val="center"/>
          </w:tcPr>
          <w:p w14:paraId="49C9CD48" w14:textId="77777777" w:rsidR="006F4D8F" w:rsidRPr="00404DA5" w:rsidRDefault="006F4D8F" w:rsidP="006F4D8F">
            <w:pPr>
              <w:jc w:val="center"/>
              <w:rPr>
                <w:rFonts w:cs="Calibri"/>
                <w:sz w:val="18"/>
                <w:szCs w:val="20"/>
              </w:rPr>
            </w:pPr>
            <w:r w:rsidRPr="00404DA5">
              <w:rPr>
                <w:rFonts w:cs="Calibri"/>
                <w:sz w:val="18"/>
                <w:szCs w:val="20"/>
              </w:rPr>
              <w:t>136,8%</w:t>
            </w:r>
          </w:p>
        </w:tc>
        <w:tc>
          <w:tcPr>
            <w:tcW w:w="1003" w:type="dxa"/>
            <w:shd w:val="clear" w:color="auto" w:fill="auto"/>
            <w:vAlign w:val="center"/>
          </w:tcPr>
          <w:p w14:paraId="5DD50CF6" w14:textId="77777777" w:rsidR="006F4D8F" w:rsidRPr="00404DA5" w:rsidRDefault="006F4D8F" w:rsidP="006F4D8F">
            <w:pPr>
              <w:jc w:val="center"/>
              <w:rPr>
                <w:rFonts w:cs="Calibri"/>
                <w:sz w:val="18"/>
                <w:szCs w:val="20"/>
              </w:rPr>
            </w:pPr>
            <w:r w:rsidRPr="00404DA5">
              <w:rPr>
                <w:rFonts w:cs="Calibri"/>
                <w:color w:val="000000"/>
                <w:sz w:val="18"/>
                <w:szCs w:val="20"/>
              </w:rPr>
              <w:t>0</w:t>
            </w:r>
          </w:p>
        </w:tc>
        <w:tc>
          <w:tcPr>
            <w:tcW w:w="1004" w:type="dxa"/>
            <w:shd w:val="clear" w:color="auto" w:fill="auto"/>
            <w:vAlign w:val="center"/>
          </w:tcPr>
          <w:p w14:paraId="515F0FFC" w14:textId="77777777" w:rsidR="006F4D8F" w:rsidRPr="00404DA5" w:rsidRDefault="006F4D8F" w:rsidP="006F4D8F">
            <w:pPr>
              <w:jc w:val="center"/>
              <w:rPr>
                <w:rFonts w:cs="Calibri"/>
                <w:sz w:val="18"/>
                <w:szCs w:val="20"/>
              </w:rPr>
            </w:pPr>
            <w:r w:rsidRPr="00404DA5">
              <w:rPr>
                <w:rFonts w:cs="Calibri"/>
                <w:color w:val="000000"/>
                <w:sz w:val="18"/>
                <w:szCs w:val="20"/>
              </w:rPr>
              <w:t>0,0%</w:t>
            </w:r>
          </w:p>
        </w:tc>
      </w:tr>
      <w:tr w:rsidR="006F4D8F" w:rsidRPr="007D76FB" w14:paraId="3F14D05E" w14:textId="77777777" w:rsidTr="00807CA9">
        <w:tc>
          <w:tcPr>
            <w:tcW w:w="704" w:type="dxa"/>
            <w:shd w:val="clear" w:color="auto" w:fill="auto"/>
            <w:vAlign w:val="center"/>
          </w:tcPr>
          <w:p w14:paraId="425FF930" w14:textId="77777777" w:rsidR="006F4D8F" w:rsidRPr="00404DA5" w:rsidRDefault="006F4D8F" w:rsidP="006F4D8F">
            <w:pPr>
              <w:jc w:val="center"/>
              <w:rPr>
                <w:sz w:val="18"/>
                <w:szCs w:val="20"/>
              </w:rPr>
            </w:pPr>
            <w:r w:rsidRPr="00404DA5">
              <w:rPr>
                <w:sz w:val="18"/>
                <w:szCs w:val="20"/>
              </w:rPr>
              <w:t>WP</w:t>
            </w:r>
          </w:p>
        </w:tc>
        <w:tc>
          <w:tcPr>
            <w:tcW w:w="851" w:type="dxa"/>
            <w:shd w:val="clear" w:color="auto" w:fill="auto"/>
            <w:vAlign w:val="center"/>
          </w:tcPr>
          <w:p w14:paraId="76E78AEA"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4.2</w:t>
            </w:r>
          </w:p>
        </w:tc>
        <w:tc>
          <w:tcPr>
            <w:tcW w:w="1686" w:type="dxa"/>
            <w:shd w:val="clear" w:color="auto" w:fill="auto"/>
            <w:vAlign w:val="center"/>
          </w:tcPr>
          <w:p w14:paraId="2BC9231A" w14:textId="77777777" w:rsidR="006F4D8F" w:rsidRPr="00404DA5" w:rsidRDefault="006F4D8F" w:rsidP="006F4D8F">
            <w:pPr>
              <w:jc w:val="left"/>
              <w:rPr>
                <w:rFonts w:cs="Calibri"/>
                <w:bCs/>
                <w:color w:val="000000"/>
                <w:sz w:val="18"/>
                <w:szCs w:val="20"/>
              </w:rPr>
            </w:pPr>
            <w:r w:rsidRPr="00404DA5">
              <w:rPr>
                <w:rFonts w:cs="Calibri"/>
                <w:color w:val="000000"/>
                <w:sz w:val="18"/>
                <w:szCs w:val="20"/>
              </w:rPr>
              <w:t>Liczba instytucji kultury objętych wsparciem</w:t>
            </w:r>
          </w:p>
        </w:tc>
        <w:tc>
          <w:tcPr>
            <w:tcW w:w="850" w:type="dxa"/>
            <w:shd w:val="clear" w:color="auto" w:fill="auto"/>
            <w:vAlign w:val="center"/>
          </w:tcPr>
          <w:p w14:paraId="5E546C18"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szt.</w:t>
            </w:r>
          </w:p>
        </w:tc>
        <w:tc>
          <w:tcPr>
            <w:tcW w:w="957" w:type="dxa"/>
            <w:shd w:val="clear" w:color="auto" w:fill="auto"/>
            <w:vAlign w:val="center"/>
          </w:tcPr>
          <w:p w14:paraId="67C3B1C7"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1</w:t>
            </w:r>
          </w:p>
        </w:tc>
        <w:tc>
          <w:tcPr>
            <w:tcW w:w="1003" w:type="dxa"/>
            <w:shd w:val="clear" w:color="auto" w:fill="auto"/>
            <w:vAlign w:val="center"/>
          </w:tcPr>
          <w:p w14:paraId="5988100F"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1</w:t>
            </w:r>
          </w:p>
        </w:tc>
        <w:tc>
          <w:tcPr>
            <w:tcW w:w="1004" w:type="dxa"/>
            <w:shd w:val="clear" w:color="auto" w:fill="auto"/>
            <w:vAlign w:val="center"/>
          </w:tcPr>
          <w:p w14:paraId="53DCF773" w14:textId="77777777" w:rsidR="006F4D8F" w:rsidRPr="00404DA5" w:rsidRDefault="006F4D8F" w:rsidP="006F4D8F">
            <w:pPr>
              <w:jc w:val="center"/>
              <w:rPr>
                <w:rFonts w:cs="Calibri"/>
                <w:bCs/>
                <w:sz w:val="18"/>
                <w:szCs w:val="20"/>
              </w:rPr>
            </w:pPr>
            <w:r w:rsidRPr="00404DA5">
              <w:rPr>
                <w:rFonts w:cs="Calibri"/>
                <w:sz w:val="18"/>
                <w:szCs w:val="20"/>
              </w:rPr>
              <w:t>100,0%</w:t>
            </w:r>
          </w:p>
        </w:tc>
        <w:tc>
          <w:tcPr>
            <w:tcW w:w="1003" w:type="dxa"/>
            <w:shd w:val="clear" w:color="auto" w:fill="auto"/>
            <w:vAlign w:val="center"/>
          </w:tcPr>
          <w:p w14:paraId="5F0DD51C"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0</w:t>
            </w:r>
          </w:p>
        </w:tc>
        <w:tc>
          <w:tcPr>
            <w:tcW w:w="1004" w:type="dxa"/>
            <w:shd w:val="clear" w:color="auto" w:fill="auto"/>
            <w:vAlign w:val="center"/>
          </w:tcPr>
          <w:p w14:paraId="30B58750"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0,0%</w:t>
            </w:r>
          </w:p>
        </w:tc>
      </w:tr>
      <w:tr w:rsidR="006F4D8F" w:rsidRPr="007D76FB" w14:paraId="7BDADC24" w14:textId="77777777" w:rsidTr="00807CA9">
        <w:tc>
          <w:tcPr>
            <w:tcW w:w="704" w:type="dxa"/>
            <w:shd w:val="clear" w:color="auto" w:fill="auto"/>
            <w:vAlign w:val="center"/>
          </w:tcPr>
          <w:p w14:paraId="1C8A8ADB" w14:textId="77777777" w:rsidR="006F4D8F" w:rsidRPr="00404DA5" w:rsidRDefault="006F4D8F" w:rsidP="006F4D8F">
            <w:pPr>
              <w:jc w:val="center"/>
              <w:rPr>
                <w:sz w:val="18"/>
                <w:szCs w:val="20"/>
              </w:rPr>
            </w:pPr>
            <w:r w:rsidRPr="00404DA5">
              <w:rPr>
                <w:sz w:val="18"/>
                <w:szCs w:val="20"/>
              </w:rPr>
              <w:t>WR</w:t>
            </w:r>
          </w:p>
        </w:tc>
        <w:tc>
          <w:tcPr>
            <w:tcW w:w="851" w:type="dxa"/>
            <w:shd w:val="clear" w:color="auto" w:fill="auto"/>
            <w:vAlign w:val="center"/>
          </w:tcPr>
          <w:p w14:paraId="09FDABD5"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4.1</w:t>
            </w:r>
            <w:r w:rsidRPr="00404DA5">
              <w:rPr>
                <w:rFonts w:cs="Calibri"/>
                <w:bCs/>
                <w:color w:val="000000"/>
                <w:sz w:val="18"/>
                <w:szCs w:val="20"/>
              </w:rPr>
              <w:br/>
              <w:t>4.2</w:t>
            </w:r>
          </w:p>
        </w:tc>
        <w:tc>
          <w:tcPr>
            <w:tcW w:w="1686" w:type="dxa"/>
            <w:shd w:val="clear" w:color="auto" w:fill="auto"/>
            <w:vAlign w:val="center"/>
          </w:tcPr>
          <w:p w14:paraId="63B5CDAA" w14:textId="77777777" w:rsidR="006F4D8F" w:rsidRPr="00404DA5" w:rsidRDefault="006F4D8F" w:rsidP="006F4D8F">
            <w:pPr>
              <w:jc w:val="left"/>
              <w:rPr>
                <w:rFonts w:cs="Calibri"/>
                <w:bCs/>
                <w:color w:val="000000"/>
                <w:sz w:val="18"/>
                <w:szCs w:val="20"/>
              </w:rPr>
            </w:pPr>
            <w:r w:rsidRPr="00404DA5">
              <w:rPr>
                <w:rFonts w:cs="Calibri"/>
                <w:bCs/>
                <w:color w:val="000000"/>
                <w:sz w:val="18"/>
                <w:szCs w:val="20"/>
              </w:rPr>
              <w:t>Wzrost oczekiwanej liczby odwiedzin</w:t>
            </w:r>
            <w:r w:rsidR="00E66B89">
              <w:rPr>
                <w:rFonts w:cs="Calibri"/>
                <w:bCs/>
                <w:color w:val="000000"/>
                <w:sz w:val="18"/>
                <w:szCs w:val="20"/>
              </w:rPr>
              <w:t xml:space="preserve"> w </w:t>
            </w:r>
            <w:r w:rsidRPr="00404DA5">
              <w:rPr>
                <w:rFonts w:cs="Calibri"/>
                <w:bCs/>
                <w:color w:val="000000"/>
                <w:sz w:val="18"/>
                <w:szCs w:val="20"/>
              </w:rPr>
              <w:t>objętych wsparciem miejscach należących do dziedzictwa kulturalnego</w:t>
            </w:r>
            <w:r w:rsidR="00E66B89">
              <w:rPr>
                <w:rFonts w:cs="Calibri"/>
                <w:bCs/>
                <w:color w:val="000000"/>
                <w:sz w:val="18"/>
                <w:szCs w:val="20"/>
              </w:rPr>
              <w:t xml:space="preserve"> i </w:t>
            </w:r>
            <w:r w:rsidRPr="00404DA5">
              <w:rPr>
                <w:rFonts w:cs="Calibri"/>
                <w:bCs/>
                <w:color w:val="000000"/>
                <w:sz w:val="18"/>
                <w:szCs w:val="20"/>
              </w:rPr>
              <w:t>naturalnego oraz stanowiących atrakcje turystyczne</w:t>
            </w:r>
          </w:p>
        </w:tc>
        <w:tc>
          <w:tcPr>
            <w:tcW w:w="850" w:type="dxa"/>
            <w:shd w:val="clear" w:color="auto" w:fill="auto"/>
            <w:vAlign w:val="center"/>
          </w:tcPr>
          <w:p w14:paraId="509FD0F1"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Osoba</w:t>
            </w:r>
          </w:p>
        </w:tc>
        <w:tc>
          <w:tcPr>
            <w:tcW w:w="957" w:type="dxa"/>
            <w:shd w:val="clear" w:color="auto" w:fill="auto"/>
            <w:vAlign w:val="center"/>
          </w:tcPr>
          <w:p w14:paraId="1E1F93C1"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53000</w:t>
            </w:r>
          </w:p>
        </w:tc>
        <w:tc>
          <w:tcPr>
            <w:tcW w:w="1003" w:type="dxa"/>
            <w:shd w:val="clear" w:color="auto" w:fill="auto"/>
            <w:vAlign w:val="center"/>
          </w:tcPr>
          <w:p w14:paraId="3C7423A9"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579 587</w:t>
            </w:r>
          </w:p>
        </w:tc>
        <w:tc>
          <w:tcPr>
            <w:tcW w:w="1004" w:type="dxa"/>
            <w:shd w:val="clear" w:color="auto" w:fill="auto"/>
            <w:vAlign w:val="center"/>
          </w:tcPr>
          <w:p w14:paraId="4E88EE59" w14:textId="77777777" w:rsidR="006F4D8F" w:rsidRPr="00404DA5" w:rsidRDefault="006F4D8F" w:rsidP="006F4D8F">
            <w:pPr>
              <w:jc w:val="center"/>
              <w:rPr>
                <w:rFonts w:cs="Calibri"/>
                <w:bCs/>
                <w:sz w:val="18"/>
                <w:szCs w:val="20"/>
              </w:rPr>
            </w:pPr>
            <w:r w:rsidRPr="00404DA5">
              <w:rPr>
                <w:rFonts w:cs="Calibri"/>
                <w:bCs/>
                <w:sz w:val="18"/>
                <w:szCs w:val="20"/>
              </w:rPr>
              <w:t>1093,6%</w:t>
            </w:r>
          </w:p>
        </w:tc>
        <w:tc>
          <w:tcPr>
            <w:tcW w:w="1003" w:type="dxa"/>
            <w:shd w:val="clear" w:color="auto" w:fill="auto"/>
            <w:vAlign w:val="center"/>
          </w:tcPr>
          <w:p w14:paraId="762CB202"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0</w:t>
            </w:r>
          </w:p>
        </w:tc>
        <w:tc>
          <w:tcPr>
            <w:tcW w:w="1004" w:type="dxa"/>
            <w:shd w:val="clear" w:color="auto" w:fill="auto"/>
            <w:vAlign w:val="center"/>
          </w:tcPr>
          <w:p w14:paraId="2BB5E339"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0,0%</w:t>
            </w:r>
          </w:p>
        </w:tc>
      </w:tr>
    </w:tbl>
    <w:p w14:paraId="163C5A80" w14:textId="77777777" w:rsidR="006F4D8F" w:rsidRPr="002A5FDF" w:rsidRDefault="006F4D8F" w:rsidP="00F10E7C">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24689913" w14:textId="77777777" w:rsidR="006F4D8F" w:rsidRDefault="006F4D8F" w:rsidP="006F4D8F">
      <w:pPr>
        <w:rPr>
          <w:szCs w:val="20"/>
        </w:rPr>
      </w:pPr>
      <w:r w:rsidRPr="00CE549A">
        <w:rPr>
          <w:szCs w:val="20"/>
        </w:rPr>
        <w:lastRenderedPageBreak/>
        <w:t>Analiza wywiad</w:t>
      </w:r>
      <w:r>
        <w:rPr>
          <w:szCs w:val="20"/>
        </w:rPr>
        <w:t>u</w:t>
      </w:r>
      <w:r w:rsidR="00E66B89">
        <w:rPr>
          <w:szCs w:val="20"/>
        </w:rPr>
        <w:t xml:space="preserve"> z </w:t>
      </w:r>
      <w:r w:rsidRPr="00CE549A">
        <w:rPr>
          <w:szCs w:val="20"/>
        </w:rPr>
        <w:t>przedstawicielem IZ wskazuje, że</w:t>
      </w:r>
      <w:r w:rsidR="00E66B89">
        <w:rPr>
          <w:szCs w:val="20"/>
        </w:rPr>
        <w:t xml:space="preserve"> w </w:t>
      </w:r>
      <w:r w:rsidRPr="00CE549A">
        <w:rPr>
          <w:szCs w:val="20"/>
        </w:rPr>
        <w:t>ramach Działania 4.1 notowano bardzo duże zainteresowanie wnioskodawców</w:t>
      </w:r>
      <w:r>
        <w:rPr>
          <w:szCs w:val="20"/>
        </w:rPr>
        <w:t>.</w:t>
      </w:r>
      <w:r w:rsidRPr="00CD62FE">
        <w:rPr>
          <w:szCs w:val="20"/>
        </w:rPr>
        <w:t xml:space="preserve"> </w:t>
      </w:r>
      <w:r w:rsidRPr="00CE549A">
        <w:rPr>
          <w:szCs w:val="20"/>
        </w:rPr>
        <w:t xml:space="preserve">Zwiększano zatem alokację na to Działanie. Analiza postępu rzeczowego </w:t>
      </w:r>
      <w:r>
        <w:rPr>
          <w:szCs w:val="20"/>
        </w:rPr>
        <w:t>D</w:t>
      </w:r>
      <w:r w:rsidRPr="00CE549A">
        <w:rPr>
          <w:szCs w:val="20"/>
        </w:rPr>
        <w:t>ziałań (wedle stanu</w:t>
      </w:r>
      <w:r w:rsidR="00E66B89">
        <w:rPr>
          <w:szCs w:val="20"/>
        </w:rPr>
        <w:t xml:space="preserve"> z </w:t>
      </w:r>
      <w:r w:rsidRPr="00CE549A">
        <w:rPr>
          <w:szCs w:val="20"/>
        </w:rPr>
        <w:t>07.01.2019 r.) wskazuje, że</w:t>
      </w:r>
      <w:r w:rsidR="00E66B89">
        <w:rPr>
          <w:szCs w:val="20"/>
        </w:rPr>
        <w:t xml:space="preserve"> w </w:t>
      </w:r>
      <w:r w:rsidRPr="00CE549A">
        <w:rPr>
          <w:szCs w:val="20"/>
        </w:rPr>
        <w:t>przypadku wskaźników produktu</w:t>
      </w:r>
      <w:r w:rsidR="00E66B89">
        <w:rPr>
          <w:szCs w:val="20"/>
        </w:rPr>
        <w:t xml:space="preserve"> i </w:t>
      </w:r>
      <w:r w:rsidRPr="00CE549A">
        <w:rPr>
          <w:szCs w:val="20"/>
        </w:rPr>
        <w:t>wskaźnika rezultatu bezpośredniego</w:t>
      </w:r>
      <w:r>
        <w:rPr>
          <w:szCs w:val="20"/>
        </w:rPr>
        <w:t>,</w:t>
      </w:r>
      <w:r w:rsidRPr="00CE549A">
        <w:rPr>
          <w:szCs w:val="20"/>
        </w:rPr>
        <w:t xml:space="preserve"> </w:t>
      </w:r>
      <w:r>
        <w:rPr>
          <w:szCs w:val="20"/>
        </w:rPr>
        <w:t>wartości</w:t>
      </w:r>
      <w:r w:rsidRPr="00CE549A">
        <w:rPr>
          <w:szCs w:val="20"/>
        </w:rPr>
        <w:t xml:space="preserve"> powinn</w:t>
      </w:r>
      <w:r>
        <w:rPr>
          <w:szCs w:val="20"/>
        </w:rPr>
        <w:t>y</w:t>
      </w:r>
      <w:r w:rsidRPr="00CE549A">
        <w:rPr>
          <w:szCs w:val="20"/>
        </w:rPr>
        <w:t xml:space="preserve"> zostać osiągnięt</w:t>
      </w:r>
      <w:r>
        <w:rPr>
          <w:szCs w:val="20"/>
        </w:rPr>
        <w:t>e</w:t>
      </w:r>
      <w:r w:rsidRPr="00CE549A">
        <w:rPr>
          <w:szCs w:val="20"/>
        </w:rPr>
        <w:t xml:space="preserve"> po zrealizowaniu zakontraktowanych projektów.</w:t>
      </w:r>
      <w:r w:rsidR="00E66B89">
        <w:rPr>
          <w:szCs w:val="20"/>
        </w:rPr>
        <w:t xml:space="preserve"> W </w:t>
      </w:r>
      <w:r w:rsidRPr="00CE549A">
        <w:rPr>
          <w:szCs w:val="20"/>
        </w:rPr>
        <w:t xml:space="preserve">przypadku wskaźnika </w:t>
      </w:r>
      <w:r w:rsidRPr="008B706B">
        <w:rPr>
          <w:i/>
          <w:szCs w:val="20"/>
        </w:rPr>
        <w:t>Liczba zabytków nieruchomych objętych wsparciem</w:t>
      </w:r>
      <w:r w:rsidRPr="00CE549A">
        <w:rPr>
          <w:szCs w:val="20"/>
        </w:rPr>
        <w:t xml:space="preserve"> szacowany poziom kontraktacji (na podstawie zawartych UoD do 07.01.2019 r.) wynosi 136,6%.</w:t>
      </w:r>
      <w:r w:rsidR="00E66B89">
        <w:rPr>
          <w:szCs w:val="20"/>
        </w:rPr>
        <w:t xml:space="preserve"> W </w:t>
      </w:r>
      <w:r w:rsidRPr="00CE549A">
        <w:rPr>
          <w:szCs w:val="20"/>
        </w:rPr>
        <w:t>przypadku wskaźnika rezultatu bezpośredniego (który wspólnie realizują projekty zarówno</w:t>
      </w:r>
      <w:r w:rsidR="00E66B89">
        <w:rPr>
          <w:szCs w:val="20"/>
        </w:rPr>
        <w:t xml:space="preserve"> z </w:t>
      </w:r>
      <w:r w:rsidRPr="00CE549A">
        <w:rPr>
          <w:szCs w:val="20"/>
        </w:rPr>
        <w:t>Działania 4.1, jak</w:t>
      </w:r>
      <w:r w:rsidR="00E66B89">
        <w:rPr>
          <w:szCs w:val="20"/>
        </w:rPr>
        <w:t xml:space="preserve"> i </w:t>
      </w:r>
      <w:r w:rsidRPr="00CE549A">
        <w:rPr>
          <w:szCs w:val="20"/>
        </w:rPr>
        <w:t xml:space="preserve">4.2) </w:t>
      </w:r>
      <w:r w:rsidRPr="008B706B">
        <w:rPr>
          <w:i/>
          <w:szCs w:val="20"/>
        </w:rPr>
        <w:t>Wzrost oczekiwanej liczby odwiedzin</w:t>
      </w:r>
      <w:r w:rsidR="00E66B89">
        <w:rPr>
          <w:i/>
          <w:szCs w:val="20"/>
        </w:rPr>
        <w:t xml:space="preserve"> w </w:t>
      </w:r>
      <w:r w:rsidRPr="008B706B">
        <w:rPr>
          <w:i/>
          <w:szCs w:val="20"/>
        </w:rPr>
        <w:t>objętych wsparciem miejscach należących do dziedzictwa kulturalnego</w:t>
      </w:r>
      <w:r w:rsidR="00E66B89">
        <w:rPr>
          <w:i/>
          <w:szCs w:val="20"/>
        </w:rPr>
        <w:t xml:space="preserve"> i </w:t>
      </w:r>
      <w:r w:rsidRPr="008B706B">
        <w:rPr>
          <w:i/>
          <w:szCs w:val="20"/>
        </w:rPr>
        <w:t>naturalnego oraz stanowiących atrakcje turystyczne</w:t>
      </w:r>
      <w:r w:rsidRPr="00CE549A">
        <w:rPr>
          <w:szCs w:val="20"/>
        </w:rPr>
        <w:t xml:space="preserve"> szacowany (na podstawie zawartych UoD do 07.01.2019 r.)</w:t>
      </w:r>
      <w:r>
        <w:rPr>
          <w:szCs w:val="20"/>
        </w:rPr>
        <w:t>,</w:t>
      </w:r>
      <w:r w:rsidRPr="00CE549A">
        <w:rPr>
          <w:szCs w:val="20"/>
        </w:rPr>
        <w:t xml:space="preserve"> poziom realizacji wynosi aktualnie 867,1%. Jak widać szacowany postęp rzeczowy przekracza prognozowane założenia przyjmowane</w:t>
      </w:r>
      <w:r w:rsidR="00E66B89">
        <w:rPr>
          <w:szCs w:val="20"/>
        </w:rPr>
        <w:t xml:space="preserve"> z </w:t>
      </w:r>
      <w:r w:rsidRPr="00CE549A">
        <w:rPr>
          <w:szCs w:val="20"/>
        </w:rPr>
        <w:t xml:space="preserve">okresu programowania. Nadmienić należy, że analiza dokumentów sprawozdawczych wskazuje, </w:t>
      </w:r>
      <w:r>
        <w:rPr>
          <w:szCs w:val="20"/>
        </w:rPr>
        <w:t>iż</w:t>
      </w:r>
      <w:r w:rsidRPr="00CE549A">
        <w:rPr>
          <w:szCs w:val="20"/>
        </w:rPr>
        <w:t xml:space="preserve"> wskaźnik rezultatu bezpośredniego jest błędnie interpretowany przez niektórych beneficjentów</w:t>
      </w:r>
      <w:r>
        <w:rPr>
          <w:szCs w:val="20"/>
        </w:rPr>
        <w:t>.</w:t>
      </w:r>
      <w:r w:rsidRPr="00CE549A">
        <w:rPr>
          <w:szCs w:val="20"/>
        </w:rPr>
        <w:t xml:space="preserve"> IZ planuje zatem odpowiednie korekty</w:t>
      </w:r>
      <w:r w:rsidR="00E66B89">
        <w:rPr>
          <w:szCs w:val="20"/>
        </w:rPr>
        <w:t xml:space="preserve"> w </w:t>
      </w:r>
      <w:r w:rsidRPr="00CE549A">
        <w:rPr>
          <w:szCs w:val="20"/>
        </w:rPr>
        <w:t>celu ograniczenia wpływu tego problemu na osiągniecie wartości docelowej wskaźnika. Analiza zakresu przedmiotowego realizowanych projektów wskazuje na wysoki stopień osiągania celów</w:t>
      </w:r>
      <w:r w:rsidR="00E66B89">
        <w:rPr>
          <w:szCs w:val="20"/>
        </w:rPr>
        <w:t xml:space="preserve"> w </w:t>
      </w:r>
      <w:r w:rsidRPr="00CE549A">
        <w:rPr>
          <w:szCs w:val="20"/>
        </w:rPr>
        <w:t>ujęciu jakościowym. Badanie jakościowe CAWI</w:t>
      </w:r>
      <w:r w:rsidR="00E66B89">
        <w:rPr>
          <w:szCs w:val="20"/>
        </w:rPr>
        <w:t xml:space="preserve"> z </w:t>
      </w:r>
      <w:r w:rsidRPr="00CE549A">
        <w:rPr>
          <w:szCs w:val="20"/>
        </w:rPr>
        <w:t>beneficjentami pokazuje, że blisko 1/3 obecnych beneficjentów planuje ponownie ubiegać się</w:t>
      </w:r>
      <w:r w:rsidR="00E66B89">
        <w:rPr>
          <w:szCs w:val="20"/>
        </w:rPr>
        <w:t xml:space="preserve"> o </w:t>
      </w:r>
      <w:r w:rsidRPr="00CE549A">
        <w:rPr>
          <w:szCs w:val="20"/>
        </w:rPr>
        <w:t xml:space="preserve">wsparcie na wzmocnienie instytucji kultury. </w:t>
      </w:r>
    </w:p>
    <w:p w14:paraId="5BC526B2" w14:textId="77777777" w:rsidR="006F4D8F" w:rsidRPr="005B6113" w:rsidRDefault="006F4D8F" w:rsidP="006F4D8F">
      <w:pPr>
        <w:rPr>
          <w:szCs w:val="20"/>
        </w:rPr>
      </w:pPr>
      <w:r w:rsidRPr="005B6113">
        <w:rPr>
          <w:szCs w:val="20"/>
        </w:rPr>
        <w:t>Koszty jednostkowe wskaźników</w:t>
      </w:r>
      <w:r w:rsidR="00E66B89">
        <w:rPr>
          <w:szCs w:val="20"/>
        </w:rPr>
        <w:t xml:space="preserve"> w </w:t>
      </w:r>
      <w:r w:rsidRPr="005B6113">
        <w:rPr>
          <w:szCs w:val="20"/>
        </w:rPr>
        <w:t xml:space="preserve">założeniach programowych </w:t>
      </w:r>
      <w:r>
        <w:rPr>
          <w:szCs w:val="20"/>
        </w:rPr>
        <w:t>oszacowano</w:t>
      </w:r>
      <w:r w:rsidRPr="005B6113">
        <w:rPr>
          <w:szCs w:val="20"/>
        </w:rPr>
        <w:t xml:space="preserve"> na podstawie doświadczeń</w:t>
      </w:r>
      <w:r w:rsidR="00E66B89">
        <w:rPr>
          <w:szCs w:val="20"/>
        </w:rPr>
        <w:t xml:space="preserve"> z </w:t>
      </w:r>
      <w:r w:rsidRPr="005B6113">
        <w:rPr>
          <w:szCs w:val="20"/>
        </w:rPr>
        <w:t>wdrażania referencyjnych projektów minionej perspektywy finansowej 2007-2013 (na podstawie danych</w:t>
      </w:r>
      <w:r w:rsidR="00E66B89">
        <w:rPr>
          <w:szCs w:val="20"/>
        </w:rPr>
        <w:t xml:space="preserve"> z </w:t>
      </w:r>
      <w:r w:rsidRPr="005B6113">
        <w:rPr>
          <w:szCs w:val="20"/>
        </w:rPr>
        <w:t>Krajowego Systemu Informatycznego). Koszt jednostkowy został obliczony jako średni koszt dofinansowania przypadający na daną jednostkę produktu</w:t>
      </w:r>
      <w:r w:rsidR="00E66B89">
        <w:rPr>
          <w:szCs w:val="20"/>
        </w:rPr>
        <w:t xml:space="preserve"> i </w:t>
      </w:r>
      <w:r w:rsidRPr="005B6113">
        <w:rPr>
          <w:szCs w:val="20"/>
        </w:rPr>
        <w:t>skorygowany zgodnie</w:t>
      </w:r>
      <w:r w:rsidR="00E66B89">
        <w:rPr>
          <w:szCs w:val="20"/>
        </w:rPr>
        <w:t xml:space="preserve"> z </w:t>
      </w:r>
      <w:r w:rsidRPr="005B6113">
        <w:rPr>
          <w:szCs w:val="20"/>
        </w:rPr>
        <w:t>indeksem WCPBM na ceny stałe</w:t>
      </w:r>
      <w:r w:rsidR="00E66B89">
        <w:rPr>
          <w:szCs w:val="20"/>
        </w:rPr>
        <w:t xml:space="preserve"> z </w:t>
      </w:r>
      <w:r w:rsidRPr="005B6113">
        <w:rPr>
          <w:szCs w:val="20"/>
        </w:rPr>
        <w:t xml:space="preserve">2014 r. </w:t>
      </w:r>
    </w:p>
    <w:p w14:paraId="356A6EBB" w14:textId="77777777" w:rsidR="006F4D8F" w:rsidRPr="005B6113" w:rsidRDefault="006F4D8F" w:rsidP="006F4D8F">
      <w:pPr>
        <w:rPr>
          <w:szCs w:val="20"/>
        </w:rPr>
      </w:pPr>
      <w:bookmarkStart w:id="124" w:name="_Hlk5144712"/>
      <w:r w:rsidRPr="005B6113">
        <w:rPr>
          <w:szCs w:val="20"/>
        </w:rPr>
        <w:t xml:space="preserve">Dla wskaźnika </w:t>
      </w:r>
      <w:r w:rsidRPr="008B706B">
        <w:rPr>
          <w:i/>
          <w:szCs w:val="20"/>
        </w:rPr>
        <w:t>Liczba zabytków nieruchomych objętych wsparciem</w:t>
      </w:r>
      <w:r>
        <w:rPr>
          <w:szCs w:val="20"/>
        </w:rPr>
        <w:t xml:space="preserve"> </w:t>
      </w:r>
      <w:r w:rsidRPr="005B6113">
        <w:rPr>
          <w:szCs w:val="20"/>
        </w:rPr>
        <w:t>ustalono koszt jednostkowy</w:t>
      </w:r>
      <w:r w:rsidR="00E66B89">
        <w:rPr>
          <w:szCs w:val="20"/>
        </w:rPr>
        <w:t xml:space="preserve"> w </w:t>
      </w:r>
      <w:r>
        <w:rPr>
          <w:szCs w:val="20"/>
        </w:rPr>
        <w:t>wysokości</w:t>
      </w:r>
      <w:r w:rsidRPr="005B6113">
        <w:rPr>
          <w:szCs w:val="20"/>
        </w:rPr>
        <w:t xml:space="preserve"> </w:t>
      </w:r>
      <w:r w:rsidRPr="008B706B">
        <w:rPr>
          <w:rFonts w:cs="Calibri"/>
        </w:rPr>
        <w:t>3</w:t>
      </w:r>
      <w:r>
        <w:rPr>
          <w:rFonts w:cs="Calibri"/>
        </w:rPr>
        <w:t> </w:t>
      </w:r>
      <w:r w:rsidRPr="008B706B">
        <w:rPr>
          <w:rFonts w:cs="Calibri"/>
        </w:rPr>
        <w:t>344</w:t>
      </w:r>
      <w:r>
        <w:rPr>
          <w:rFonts w:cs="Calibri"/>
        </w:rPr>
        <w:t> </w:t>
      </w:r>
      <w:r w:rsidRPr="008B706B">
        <w:rPr>
          <w:rFonts w:cs="Calibri"/>
        </w:rPr>
        <w:t>323,81 zł</w:t>
      </w:r>
      <w:r w:rsidRPr="005B6113">
        <w:rPr>
          <w:szCs w:val="20"/>
        </w:rPr>
        <w:t xml:space="preserve"> za 1 </w:t>
      </w:r>
      <w:r>
        <w:rPr>
          <w:szCs w:val="20"/>
        </w:rPr>
        <w:t>szt</w:t>
      </w:r>
      <w:r w:rsidRPr="005B6113">
        <w:rPr>
          <w:szCs w:val="20"/>
        </w:rPr>
        <w:t>.</w:t>
      </w:r>
      <w:r>
        <w:rPr>
          <w:szCs w:val="20"/>
        </w:rPr>
        <w:t xml:space="preserve"> wskaźnika.</w:t>
      </w:r>
      <w:r w:rsidRPr="005B6113">
        <w:rPr>
          <w:szCs w:val="20"/>
        </w:rPr>
        <w:t xml:space="preserve"> Rzeczywiste koszty</w:t>
      </w:r>
      <w:r>
        <w:rPr>
          <w:szCs w:val="20"/>
        </w:rPr>
        <w:t xml:space="preserve"> 1 szt. wskaźnika,</w:t>
      </w:r>
      <w:r w:rsidRPr="005B6113">
        <w:rPr>
          <w:szCs w:val="20"/>
        </w:rPr>
        <w:t xml:space="preserve"> </w:t>
      </w:r>
      <w:r>
        <w:rPr>
          <w:szCs w:val="20"/>
        </w:rPr>
        <w:t>na podstawie zawartych do 07.01.2019r. UoD,</w:t>
      </w:r>
      <w:r w:rsidRPr="005B6113">
        <w:rPr>
          <w:szCs w:val="20"/>
        </w:rPr>
        <w:t xml:space="preserve"> okazały się być jednak niższe (wyniosły 1 728 133,53 zł za 1 </w:t>
      </w:r>
      <w:r>
        <w:rPr>
          <w:szCs w:val="20"/>
        </w:rPr>
        <w:t>szt.</w:t>
      </w:r>
      <w:r w:rsidRPr="005B6113">
        <w:rPr>
          <w:szCs w:val="20"/>
        </w:rPr>
        <w:t>).</w:t>
      </w:r>
      <w:r w:rsidR="00E66B89">
        <w:rPr>
          <w:szCs w:val="20"/>
        </w:rPr>
        <w:t xml:space="preserve"> W </w:t>
      </w:r>
      <w:r w:rsidRPr="005B6113">
        <w:rPr>
          <w:szCs w:val="20"/>
        </w:rPr>
        <w:t>przypadku tego wskaźnika osiągnięta została</w:t>
      </w:r>
      <w:r>
        <w:rPr>
          <w:szCs w:val="20"/>
        </w:rPr>
        <w:t xml:space="preserve"> zatem</w:t>
      </w:r>
      <w:r w:rsidRPr="005B6113">
        <w:rPr>
          <w:szCs w:val="20"/>
        </w:rPr>
        <w:t xml:space="preserve"> wyższa efektywność niż zakładan</w:t>
      </w:r>
      <w:r>
        <w:rPr>
          <w:szCs w:val="20"/>
        </w:rPr>
        <w:t>o</w:t>
      </w:r>
      <w:r w:rsidRPr="005B6113">
        <w:rPr>
          <w:szCs w:val="20"/>
        </w:rPr>
        <w:t xml:space="preserve">. </w:t>
      </w:r>
    </w:p>
    <w:p w14:paraId="4F26BD45" w14:textId="77777777" w:rsidR="006F4D8F" w:rsidRDefault="006F4D8F" w:rsidP="006F4D8F">
      <w:pPr>
        <w:rPr>
          <w:szCs w:val="20"/>
        </w:rPr>
      </w:pPr>
      <w:r w:rsidRPr="005B6113">
        <w:rPr>
          <w:szCs w:val="20"/>
        </w:rPr>
        <w:t xml:space="preserve">Dla wskaźnika </w:t>
      </w:r>
      <w:r w:rsidRPr="008B706B">
        <w:rPr>
          <w:i/>
          <w:szCs w:val="20"/>
        </w:rPr>
        <w:t>Liczba instytucji kultury objętych wsparciem</w:t>
      </w:r>
      <w:r w:rsidR="00E66B89">
        <w:rPr>
          <w:szCs w:val="20"/>
        </w:rPr>
        <w:t xml:space="preserve"> z </w:t>
      </w:r>
      <w:r w:rsidRPr="005B6113">
        <w:rPr>
          <w:szCs w:val="20"/>
        </w:rPr>
        <w:t>uwagi na nałożony limit</w:t>
      </w:r>
      <w:r>
        <w:rPr>
          <w:rStyle w:val="Odwoanieprzypisudolnego"/>
          <w:szCs w:val="20"/>
        </w:rPr>
        <w:footnoteReference w:id="38"/>
      </w:r>
      <w:r>
        <w:rPr>
          <w:szCs w:val="20"/>
        </w:rPr>
        <w:t xml:space="preserve"> przyjęto, że </w:t>
      </w:r>
      <w:r w:rsidRPr="005B6113">
        <w:rPr>
          <w:szCs w:val="20"/>
        </w:rPr>
        <w:t>maksymalna wartość projektu wyniesie 5 mln euro</w:t>
      </w:r>
      <w:r w:rsidR="00E66B89">
        <w:rPr>
          <w:szCs w:val="20"/>
        </w:rPr>
        <w:t xml:space="preserve"> i </w:t>
      </w:r>
      <w:r w:rsidRPr="005B6113">
        <w:rPr>
          <w:szCs w:val="20"/>
        </w:rPr>
        <w:t xml:space="preserve">tylko tyle środków zostało </w:t>
      </w:r>
      <w:r>
        <w:rPr>
          <w:szCs w:val="20"/>
        </w:rPr>
        <w:t xml:space="preserve">pierwotnie </w:t>
      </w:r>
      <w:r w:rsidRPr="005B6113">
        <w:rPr>
          <w:szCs w:val="20"/>
        </w:rPr>
        <w:t>przeznaczonych na realizacj</w:t>
      </w:r>
      <w:r>
        <w:rPr>
          <w:szCs w:val="20"/>
        </w:rPr>
        <w:t>ę</w:t>
      </w:r>
      <w:r w:rsidRPr="005B6113">
        <w:rPr>
          <w:szCs w:val="20"/>
        </w:rPr>
        <w:t xml:space="preserve"> powyższego wskaźnika.</w:t>
      </w:r>
      <w:r>
        <w:rPr>
          <w:szCs w:val="20"/>
        </w:rPr>
        <w:t xml:space="preserve"> </w:t>
      </w:r>
      <w:r w:rsidRPr="005B6113">
        <w:rPr>
          <w:szCs w:val="20"/>
        </w:rPr>
        <w:t>Rzeczywist</w:t>
      </w:r>
      <w:r>
        <w:rPr>
          <w:szCs w:val="20"/>
        </w:rPr>
        <w:t>y</w:t>
      </w:r>
      <w:r w:rsidRPr="005B6113">
        <w:rPr>
          <w:szCs w:val="20"/>
        </w:rPr>
        <w:t xml:space="preserve"> koszt</w:t>
      </w:r>
      <w:r>
        <w:rPr>
          <w:szCs w:val="20"/>
        </w:rPr>
        <w:t xml:space="preserve"> jednostkowy,</w:t>
      </w:r>
      <w:r w:rsidRPr="005B6113">
        <w:rPr>
          <w:szCs w:val="20"/>
        </w:rPr>
        <w:t xml:space="preserve"> </w:t>
      </w:r>
      <w:r>
        <w:rPr>
          <w:szCs w:val="20"/>
        </w:rPr>
        <w:t>na podstawie zawartych do 07.01.2019r. UoD,</w:t>
      </w:r>
      <w:r w:rsidRPr="005B6113">
        <w:rPr>
          <w:szCs w:val="20"/>
        </w:rPr>
        <w:t xml:space="preserve"> okazał się być jednak wyższ</w:t>
      </w:r>
      <w:r>
        <w:rPr>
          <w:szCs w:val="20"/>
        </w:rPr>
        <w:t>y</w:t>
      </w:r>
      <w:r w:rsidRPr="005B6113">
        <w:rPr>
          <w:szCs w:val="20"/>
        </w:rPr>
        <w:t xml:space="preserve"> (wyni</w:t>
      </w:r>
      <w:r>
        <w:rPr>
          <w:szCs w:val="20"/>
        </w:rPr>
        <w:t>ósł</w:t>
      </w:r>
      <w:r w:rsidRPr="005B6113">
        <w:rPr>
          <w:szCs w:val="20"/>
        </w:rPr>
        <w:t xml:space="preserve"> 43 307 000,00 zł).</w:t>
      </w:r>
      <w:r w:rsidR="00E66B89">
        <w:rPr>
          <w:szCs w:val="20"/>
        </w:rPr>
        <w:t xml:space="preserve"> W </w:t>
      </w:r>
      <w:r w:rsidRPr="005B6113">
        <w:rPr>
          <w:szCs w:val="20"/>
        </w:rPr>
        <w:t>przypadku tego wskaźnika osiągnięta została</w:t>
      </w:r>
      <w:r>
        <w:rPr>
          <w:szCs w:val="20"/>
        </w:rPr>
        <w:t xml:space="preserve"> zatem</w:t>
      </w:r>
      <w:r w:rsidRPr="005B6113">
        <w:rPr>
          <w:szCs w:val="20"/>
        </w:rPr>
        <w:t xml:space="preserve"> niższa efektywność niż</w:t>
      </w:r>
      <w:r>
        <w:rPr>
          <w:szCs w:val="20"/>
        </w:rPr>
        <w:t xml:space="preserve"> pierwotnie</w:t>
      </w:r>
      <w:r w:rsidRPr="005B6113">
        <w:rPr>
          <w:szCs w:val="20"/>
        </w:rPr>
        <w:t xml:space="preserve"> zakładan</w:t>
      </w:r>
      <w:r>
        <w:rPr>
          <w:szCs w:val="20"/>
        </w:rPr>
        <w:t>o</w:t>
      </w:r>
      <w:r w:rsidRPr="005B6113">
        <w:rPr>
          <w:szCs w:val="20"/>
        </w:rPr>
        <w:t>.</w:t>
      </w:r>
    </w:p>
    <w:p w14:paraId="1C37E8E5" w14:textId="77777777" w:rsidR="006F4D8F" w:rsidRDefault="006F4D8F" w:rsidP="006F4D8F">
      <w:pPr>
        <w:rPr>
          <w:szCs w:val="20"/>
        </w:rPr>
      </w:pPr>
      <w:r>
        <w:rPr>
          <w:szCs w:val="20"/>
        </w:rPr>
        <w:t>Zgodnie</w:t>
      </w:r>
      <w:r w:rsidR="00E66B89">
        <w:rPr>
          <w:szCs w:val="20"/>
        </w:rPr>
        <w:t xml:space="preserve"> z </w:t>
      </w:r>
      <w:r>
        <w:rPr>
          <w:szCs w:val="20"/>
        </w:rPr>
        <w:t>danymi</w:t>
      </w:r>
      <w:r w:rsidR="00E66B89">
        <w:rPr>
          <w:szCs w:val="20"/>
        </w:rPr>
        <w:t xml:space="preserve"> z </w:t>
      </w:r>
      <w:r>
        <w:rPr>
          <w:szCs w:val="20"/>
        </w:rPr>
        <w:t>UoD w</w:t>
      </w:r>
      <w:r w:rsidRPr="00974F1E">
        <w:rPr>
          <w:szCs w:val="20"/>
        </w:rPr>
        <w:t>skaźnik</w:t>
      </w:r>
      <w:r>
        <w:rPr>
          <w:szCs w:val="20"/>
        </w:rPr>
        <w:t xml:space="preserve"> </w:t>
      </w:r>
      <w:r w:rsidRPr="008B706B">
        <w:rPr>
          <w:i/>
          <w:szCs w:val="20"/>
        </w:rPr>
        <w:t>Wzrost oczekiwanej liczby odwiedzin</w:t>
      </w:r>
      <w:r w:rsidR="00E66B89">
        <w:rPr>
          <w:i/>
          <w:szCs w:val="20"/>
        </w:rPr>
        <w:t xml:space="preserve"> w </w:t>
      </w:r>
      <w:r w:rsidRPr="008B706B">
        <w:rPr>
          <w:i/>
          <w:szCs w:val="20"/>
        </w:rPr>
        <w:t>objętych wsparciem miejscach należących do dziedzictwa kulturalnego</w:t>
      </w:r>
      <w:r w:rsidR="00E66B89">
        <w:rPr>
          <w:i/>
          <w:szCs w:val="20"/>
        </w:rPr>
        <w:t xml:space="preserve"> i </w:t>
      </w:r>
      <w:r w:rsidRPr="008B706B">
        <w:rPr>
          <w:i/>
          <w:szCs w:val="20"/>
        </w:rPr>
        <w:t>naturalnego oraz stanowiących atrakcje turystyczne</w:t>
      </w:r>
      <w:r w:rsidRPr="00404DA5">
        <w:rPr>
          <w:rFonts w:cs="Calibri"/>
          <w:bCs/>
          <w:sz w:val="18"/>
          <w:szCs w:val="20"/>
        </w:rPr>
        <w:t xml:space="preserve"> </w:t>
      </w:r>
      <w:r w:rsidRPr="001A41AF">
        <w:rPr>
          <w:rFonts w:cs="Calibri"/>
          <w:bCs/>
          <w:szCs w:val="20"/>
        </w:rPr>
        <w:t>osiągnie 1093,6% zakładanego poziomu docelowego.</w:t>
      </w:r>
      <w:r>
        <w:rPr>
          <w:rFonts w:cs="Calibri"/>
          <w:bCs/>
          <w:sz w:val="18"/>
          <w:szCs w:val="20"/>
        </w:rPr>
        <w:t xml:space="preserve"> </w:t>
      </w:r>
      <w:r>
        <w:rPr>
          <w:szCs w:val="20"/>
        </w:rPr>
        <w:t>Zgodnie</w:t>
      </w:r>
      <w:r w:rsidR="00E66B89">
        <w:rPr>
          <w:szCs w:val="20"/>
        </w:rPr>
        <w:t xml:space="preserve"> z </w:t>
      </w:r>
      <w:r>
        <w:rPr>
          <w:szCs w:val="20"/>
        </w:rPr>
        <w:t>komentarzem zawartym</w:t>
      </w:r>
      <w:r w:rsidR="00E66B89">
        <w:rPr>
          <w:szCs w:val="20"/>
        </w:rPr>
        <w:t xml:space="preserve"> w </w:t>
      </w:r>
      <w:r>
        <w:rPr>
          <w:szCs w:val="20"/>
        </w:rPr>
        <w:t>sprawozdaniu kwartalnym</w:t>
      </w:r>
      <w:r>
        <w:rPr>
          <w:rStyle w:val="Odwoanieprzypisudolnego"/>
          <w:szCs w:val="20"/>
        </w:rPr>
        <w:footnoteReference w:id="39"/>
      </w:r>
      <w:r>
        <w:rPr>
          <w:szCs w:val="20"/>
        </w:rPr>
        <w:t xml:space="preserve"> w</w:t>
      </w:r>
      <w:r w:rsidRPr="00974F1E">
        <w:rPr>
          <w:szCs w:val="20"/>
        </w:rPr>
        <w:t>skaźnik</w:t>
      </w:r>
      <w:r>
        <w:rPr>
          <w:szCs w:val="20"/>
        </w:rPr>
        <w:t xml:space="preserve"> </w:t>
      </w:r>
      <w:r w:rsidRPr="00C22C26">
        <w:rPr>
          <w:szCs w:val="20"/>
        </w:rPr>
        <w:t>ten</w:t>
      </w:r>
      <w:r w:rsidRPr="00974F1E">
        <w:rPr>
          <w:szCs w:val="20"/>
        </w:rPr>
        <w:t xml:space="preserve"> jest błędnie interpretowany przez niektórych beneficjentów,</w:t>
      </w:r>
      <w:r w:rsidR="00E66B89">
        <w:rPr>
          <w:szCs w:val="20"/>
        </w:rPr>
        <w:t xml:space="preserve"> w </w:t>
      </w:r>
      <w:r>
        <w:rPr>
          <w:szCs w:val="20"/>
        </w:rPr>
        <w:t>związku</w:t>
      </w:r>
      <w:r w:rsidR="00E66B89">
        <w:rPr>
          <w:szCs w:val="20"/>
        </w:rPr>
        <w:t xml:space="preserve"> z </w:t>
      </w:r>
      <w:r>
        <w:rPr>
          <w:szCs w:val="20"/>
        </w:rPr>
        <w:t>czym planowane są</w:t>
      </w:r>
      <w:r w:rsidRPr="00974F1E">
        <w:rPr>
          <w:szCs w:val="20"/>
        </w:rPr>
        <w:t xml:space="preserve"> odpowiednie korekty.</w:t>
      </w:r>
      <w:r>
        <w:rPr>
          <w:szCs w:val="20"/>
        </w:rPr>
        <w:t xml:space="preserve"> Aktualnie nie jest możliwe dokonanie oceny efektywności</w:t>
      </w:r>
      <w:r w:rsidR="00E66B89">
        <w:rPr>
          <w:szCs w:val="20"/>
        </w:rPr>
        <w:t xml:space="preserve"> w </w:t>
      </w:r>
      <w:r>
        <w:rPr>
          <w:szCs w:val="20"/>
        </w:rPr>
        <w:t>odniesieniu do tego akurat miernika (tj. porównanie jego rzeczywistego kosztu jednostkowego</w:t>
      </w:r>
      <w:r w:rsidR="00E66B89">
        <w:rPr>
          <w:szCs w:val="20"/>
        </w:rPr>
        <w:t xml:space="preserve"> w </w:t>
      </w:r>
      <w:r>
        <w:rPr>
          <w:szCs w:val="20"/>
        </w:rPr>
        <w:t xml:space="preserve">odniesieniu do kosztu założonego na etapie programowania). Byłoby to możliwe dopiero po weryfikacji podawanych przez beneficjentów wartości wskaźników. </w:t>
      </w:r>
    </w:p>
    <w:bookmarkEnd w:id="124"/>
    <w:p w14:paraId="0DBFB8F7" w14:textId="77777777" w:rsidR="00FA14F6" w:rsidRDefault="00FA14F6">
      <w:pPr>
        <w:spacing w:before="0" w:after="0" w:line="240" w:lineRule="auto"/>
        <w:jc w:val="left"/>
        <w:rPr>
          <w:rFonts w:eastAsia="Calibri"/>
          <w:b/>
          <w:bCs/>
          <w:i/>
          <w:iCs/>
          <w:color w:val="4F81BD"/>
          <w:szCs w:val="20"/>
          <w:lang w:val="x-none" w:eastAsia="x-none"/>
        </w:rPr>
      </w:pPr>
      <w:r>
        <w:rPr>
          <w:rFonts w:eastAsia="Calibri"/>
          <w:szCs w:val="20"/>
        </w:rPr>
        <w:br w:type="page"/>
      </w:r>
    </w:p>
    <w:p w14:paraId="27EE5117" w14:textId="694EC3F0"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lastRenderedPageBreak/>
        <w:t xml:space="preserve">Wskaźniki rezultatu strategicznego </w:t>
      </w:r>
    </w:p>
    <w:p w14:paraId="7CA9A629" w14:textId="77777777" w:rsidR="006F4D8F" w:rsidRPr="00CE549A" w:rsidRDefault="006F4D8F" w:rsidP="006F4D8F">
      <w:pPr>
        <w:rPr>
          <w:szCs w:val="20"/>
        </w:rPr>
      </w:pPr>
      <w:r w:rsidRPr="00CE549A">
        <w:rPr>
          <w:szCs w:val="20"/>
        </w:rPr>
        <w:t xml:space="preserve">W ramach RPO WZ dla PI 6c przyjęto wskaźnik strategiczny </w:t>
      </w:r>
      <w:r w:rsidRPr="008B706B">
        <w:rPr>
          <w:i/>
          <w:szCs w:val="20"/>
        </w:rPr>
        <w:t>Udzielone noclegi</w:t>
      </w:r>
      <w:r w:rsidR="00E66B89">
        <w:rPr>
          <w:i/>
          <w:szCs w:val="20"/>
        </w:rPr>
        <w:t xml:space="preserve"> w </w:t>
      </w:r>
      <w:r w:rsidRPr="008B706B">
        <w:rPr>
          <w:i/>
          <w:szCs w:val="20"/>
        </w:rPr>
        <w:t>turystycznych obiektach noclegowych</w:t>
      </w:r>
      <w:r w:rsidRPr="00CE549A">
        <w:rPr>
          <w:szCs w:val="20"/>
        </w:rPr>
        <w:t xml:space="preserve">. Zmiany wartości przedmiotowego wskaźnika są obliczane na podstawie uwzględnienia faktycznie zrealizowanych (w latach 2004-2013) lub planowanych do realizacji (w latach 2014-2020) inwestycji. </w:t>
      </w:r>
    </w:p>
    <w:p w14:paraId="135865B0" w14:textId="77777777" w:rsidR="006F4D8F" w:rsidRPr="00CE549A" w:rsidRDefault="006F4D8F" w:rsidP="006E34DC">
      <w:pPr>
        <w:pStyle w:val="Legenda"/>
        <w:spacing w:after="0"/>
      </w:pPr>
      <w:bookmarkStart w:id="125" w:name="_Toc8824168"/>
      <w:r w:rsidRPr="00CE549A">
        <w:t xml:space="preserve">Tabela </w:t>
      </w:r>
      <w:r w:rsidRPr="00CE549A">
        <w:fldChar w:fldCharType="begin"/>
      </w:r>
      <w:r w:rsidRPr="00CE549A">
        <w:instrText xml:space="preserve"> SEQ Tabela \* ARABIC </w:instrText>
      </w:r>
      <w:r w:rsidRPr="00CE549A">
        <w:fldChar w:fldCharType="separate"/>
      </w:r>
      <w:r w:rsidR="00763345">
        <w:rPr>
          <w:noProof/>
        </w:rPr>
        <w:t>57</w:t>
      </w:r>
      <w:r w:rsidRPr="00CE549A">
        <w:fldChar w:fldCharType="end"/>
      </w:r>
      <w:r w:rsidRPr="00CE549A">
        <w:t xml:space="preserve"> Prognozowany poziom realizacji wskaźnika rezultatu strategicznego na rok 2023 dla PI 6c</w:t>
      </w:r>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017"/>
        <w:gridCol w:w="1014"/>
        <w:gridCol w:w="1343"/>
        <w:gridCol w:w="903"/>
        <w:gridCol w:w="1712"/>
        <w:gridCol w:w="1729"/>
      </w:tblGrid>
      <w:tr w:rsidR="006F4D8F" w:rsidRPr="00FA5A5E" w14:paraId="67C866C8" w14:textId="77777777" w:rsidTr="006F4D8F">
        <w:trPr>
          <w:trHeight w:val="704"/>
          <w:tblHeader/>
        </w:trPr>
        <w:tc>
          <w:tcPr>
            <w:tcW w:w="0" w:type="auto"/>
            <w:shd w:val="clear" w:color="auto" w:fill="DBE5F1"/>
          </w:tcPr>
          <w:p w14:paraId="4141CEE7"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PI</w:t>
            </w:r>
          </w:p>
        </w:tc>
        <w:tc>
          <w:tcPr>
            <w:tcW w:w="0" w:type="auto"/>
            <w:shd w:val="clear" w:color="auto" w:fill="DBE5F1"/>
          </w:tcPr>
          <w:p w14:paraId="14AB5614"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 xml:space="preserve">Wskaźnik </w:t>
            </w:r>
          </w:p>
        </w:tc>
        <w:tc>
          <w:tcPr>
            <w:tcW w:w="997" w:type="dxa"/>
            <w:shd w:val="clear" w:color="auto" w:fill="DBE5F1"/>
          </w:tcPr>
          <w:p w14:paraId="0C11EECC"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 xml:space="preserve">Jednostka pomiaru </w:t>
            </w:r>
          </w:p>
        </w:tc>
        <w:tc>
          <w:tcPr>
            <w:tcW w:w="1343" w:type="dxa"/>
            <w:shd w:val="clear" w:color="auto" w:fill="DBE5F1"/>
          </w:tcPr>
          <w:p w14:paraId="2702BE0F"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 xml:space="preserve">Wartość bazowa </w:t>
            </w:r>
          </w:p>
        </w:tc>
        <w:tc>
          <w:tcPr>
            <w:tcW w:w="0" w:type="auto"/>
            <w:shd w:val="clear" w:color="auto" w:fill="DBE5F1"/>
          </w:tcPr>
          <w:p w14:paraId="2F4216E6"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 xml:space="preserve">Rok bazowy </w:t>
            </w:r>
          </w:p>
        </w:tc>
        <w:tc>
          <w:tcPr>
            <w:tcW w:w="0" w:type="auto"/>
            <w:shd w:val="clear" w:color="auto" w:fill="DBE5F1"/>
          </w:tcPr>
          <w:p w14:paraId="15753A0B"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Założona</w:t>
            </w:r>
            <w:r w:rsidR="00E66B89">
              <w:rPr>
                <w:rFonts w:cs="Calibri"/>
                <w:bCs/>
                <w:color w:val="000000"/>
                <w:sz w:val="18"/>
                <w:szCs w:val="20"/>
              </w:rPr>
              <w:t xml:space="preserve"> w </w:t>
            </w:r>
            <w:r w:rsidRPr="008B706B">
              <w:rPr>
                <w:rFonts w:cs="Calibri"/>
                <w:bCs/>
                <w:color w:val="000000"/>
                <w:sz w:val="18"/>
                <w:szCs w:val="20"/>
              </w:rPr>
              <w:t xml:space="preserve">programie wartość docelowa </w:t>
            </w:r>
          </w:p>
          <w:p w14:paraId="4D406C38" w14:textId="77777777" w:rsidR="006F4D8F" w:rsidRPr="006558FF" w:rsidRDefault="006F4D8F" w:rsidP="006F4D8F">
            <w:pPr>
              <w:autoSpaceDE w:val="0"/>
              <w:autoSpaceDN w:val="0"/>
              <w:adjustRightInd w:val="0"/>
              <w:rPr>
                <w:rFonts w:cs="Calibri"/>
                <w:color w:val="000000"/>
                <w:sz w:val="18"/>
                <w:szCs w:val="20"/>
              </w:rPr>
            </w:pPr>
            <w:r w:rsidRPr="008B706B">
              <w:rPr>
                <w:rFonts w:cs="Calibri"/>
                <w:bCs/>
                <w:color w:val="000000"/>
                <w:sz w:val="18"/>
                <w:szCs w:val="20"/>
              </w:rPr>
              <w:t xml:space="preserve">(2023) </w:t>
            </w:r>
          </w:p>
        </w:tc>
        <w:tc>
          <w:tcPr>
            <w:tcW w:w="0" w:type="auto"/>
            <w:shd w:val="clear" w:color="auto" w:fill="DBE5F1"/>
          </w:tcPr>
          <w:p w14:paraId="3B849156" w14:textId="77777777" w:rsidR="006F4D8F" w:rsidRPr="008B706B" w:rsidRDefault="006F4D8F" w:rsidP="006F4D8F">
            <w:pPr>
              <w:autoSpaceDE w:val="0"/>
              <w:autoSpaceDN w:val="0"/>
              <w:adjustRightInd w:val="0"/>
              <w:rPr>
                <w:rFonts w:cs="Calibri"/>
                <w:bCs/>
                <w:color w:val="000000"/>
                <w:sz w:val="18"/>
                <w:szCs w:val="20"/>
              </w:rPr>
            </w:pPr>
            <w:r w:rsidRPr="008B706B">
              <w:rPr>
                <w:rFonts w:cs="Calibri"/>
                <w:bCs/>
                <w:color w:val="000000"/>
                <w:sz w:val="18"/>
                <w:szCs w:val="20"/>
              </w:rPr>
              <w:t>Aktualna prognoza osiągnięcia wartości</w:t>
            </w:r>
            <w:r w:rsidR="00E66B89">
              <w:rPr>
                <w:rFonts w:cs="Calibri"/>
                <w:bCs/>
                <w:color w:val="000000"/>
                <w:sz w:val="18"/>
                <w:szCs w:val="20"/>
              </w:rPr>
              <w:t xml:space="preserve"> w </w:t>
            </w:r>
            <w:r w:rsidRPr="008B706B">
              <w:rPr>
                <w:rFonts w:cs="Calibri"/>
                <w:bCs/>
                <w:color w:val="000000"/>
                <w:sz w:val="18"/>
                <w:szCs w:val="20"/>
              </w:rPr>
              <w:t>2023</w:t>
            </w:r>
          </w:p>
        </w:tc>
      </w:tr>
      <w:tr w:rsidR="006F4D8F" w:rsidRPr="00FA5A5E" w14:paraId="7BD67402" w14:textId="77777777" w:rsidTr="001A41AF">
        <w:trPr>
          <w:trHeight w:val="167"/>
        </w:trPr>
        <w:tc>
          <w:tcPr>
            <w:tcW w:w="0" w:type="auto"/>
          </w:tcPr>
          <w:p w14:paraId="0E1BFEFF" w14:textId="77777777" w:rsidR="006F4D8F" w:rsidRPr="00404DA5" w:rsidRDefault="006F4D8F" w:rsidP="006F4D8F">
            <w:pPr>
              <w:autoSpaceDE w:val="0"/>
              <w:autoSpaceDN w:val="0"/>
              <w:adjustRightInd w:val="0"/>
              <w:rPr>
                <w:rFonts w:cs="Calibri"/>
                <w:color w:val="000000"/>
                <w:sz w:val="18"/>
                <w:szCs w:val="20"/>
              </w:rPr>
            </w:pPr>
            <w:r w:rsidRPr="00404DA5">
              <w:rPr>
                <w:rFonts w:cs="Calibri"/>
                <w:color w:val="000000"/>
                <w:sz w:val="18"/>
                <w:szCs w:val="20"/>
              </w:rPr>
              <w:t>PI 6c</w:t>
            </w:r>
          </w:p>
        </w:tc>
        <w:tc>
          <w:tcPr>
            <w:tcW w:w="0" w:type="auto"/>
          </w:tcPr>
          <w:p w14:paraId="6312252C" w14:textId="77777777" w:rsidR="006F4D8F" w:rsidRPr="00404DA5" w:rsidRDefault="006F4D8F" w:rsidP="00C22C26">
            <w:pPr>
              <w:autoSpaceDE w:val="0"/>
              <w:autoSpaceDN w:val="0"/>
              <w:adjustRightInd w:val="0"/>
              <w:jc w:val="left"/>
              <w:rPr>
                <w:rFonts w:cs="Calibri"/>
                <w:color w:val="000000"/>
                <w:sz w:val="18"/>
                <w:szCs w:val="20"/>
              </w:rPr>
            </w:pPr>
            <w:r w:rsidRPr="00404DA5">
              <w:rPr>
                <w:rFonts w:cs="Calibri"/>
                <w:color w:val="000000"/>
                <w:sz w:val="18"/>
                <w:szCs w:val="20"/>
              </w:rPr>
              <w:t>Udzielone noclegi</w:t>
            </w:r>
            <w:r w:rsidR="00E66B89">
              <w:rPr>
                <w:rFonts w:cs="Calibri"/>
                <w:color w:val="000000"/>
                <w:sz w:val="18"/>
                <w:szCs w:val="20"/>
              </w:rPr>
              <w:t xml:space="preserve"> w </w:t>
            </w:r>
            <w:r w:rsidRPr="00404DA5">
              <w:rPr>
                <w:rFonts w:cs="Calibri"/>
                <w:color w:val="000000"/>
                <w:sz w:val="18"/>
                <w:szCs w:val="20"/>
              </w:rPr>
              <w:t>turystycznych</w:t>
            </w:r>
            <w:r>
              <w:rPr>
                <w:rFonts w:cs="Calibri"/>
                <w:color w:val="000000"/>
                <w:sz w:val="18"/>
                <w:szCs w:val="20"/>
              </w:rPr>
              <w:t xml:space="preserve"> </w:t>
            </w:r>
            <w:r w:rsidRPr="00404DA5">
              <w:rPr>
                <w:rFonts w:cs="Calibri"/>
                <w:color w:val="000000"/>
                <w:sz w:val="18"/>
                <w:szCs w:val="20"/>
              </w:rPr>
              <w:t>obiektach</w:t>
            </w:r>
          </w:p>
          <w:p w14:paraId="4A28ED17" w14:textId="77777777" w:rsidR="006F4D8F" w:rsidRPr="00404DA5" w:rsidRDefault="006F4D8F" w:rsidP="006F4D8F">
            <w:pPr>
              <w:autoSpaceDE w:val="0"/>
              <w:autoSpaceDN w:val="0"/>
              <w:adjustRightInd w:val="0"/>
              <w:rPr>
                <w:rFonts w:cs="Calibri"/>
                <w:color w:val="000000"/>
                <w:sz w:val="18"/>
                <w:szCs w:val="20"/>
              </w:rPr>
            </w:pPr>
            <w:r w:rsidRPr="00404DA5">
              <w:rPr>
                <w:rFonts w:cs="Calibri"/>
                <w:color w:val="000000"/>
                <w:sz w:val="18"/>
                <w:szCs w:val="20"/>
              </w:rPr>
              <w:t>noclegowych</w:t>
            </w:r>
          </w:p>
        </w:tc>
        <w:tc>
          <w:tcPr>
            <w:tcW w:w="997" w:type="dxa"/>
            <w:vAlign w:val="center"/>
          </w:tcPr>
          <w:p w14:paraId="1F1C589C" w14:textId="77777777" w:rsidR="006F4D8F" w:rsidRPr="00404DA5" w:rsidRDefault="006F4D8F" w:rsidP="00C22C26">
            <w:pPr>
              <w:autoSpaceDE w:val="0"/>
              <w:autoSpaceDN w:val="0"/>
              <w:adjustRightInd w:val="0"/>
              <w:jc w:val="center"/>
              <w:rPr>
                <w:rFonts w:cs="Calibri"/>
                <w:color w:val="000000"/>
                <w:sz w:val="18"/>
                <w:szCs w:val="20"/>
              </w:rPr>
            </w:pPr>
            <w:r w:rsidRPr="00404DA5">
              <w:rPr>
                <w:rFonts w:cs="Calibri"/>
                <w:color w:val="000000"/>
                <w:sz w:val="18"/>
                <w:szCs w:val="20"/>
              </w:rPr>
              <w:t>Osoba</w:t>
            </w:r>
          </w:p>
        </w:tc>
        <w:tc>
          <w:tcPr>
            <w:tcW w:w="1343" w:type="dxa"/>
            <w:vAlign w:val="center"/>
          </w:tcPr>
          <w:p w14:paraId="1D801691" w14:textId="77777777" w:rsidR="006F4D8F" w:rsidRPr="00404DA5" w:rsidRDefault="006F4D8F" w:rsidP="001A41AF">
            <w:pPr>
              <w:contextualSpacing/>
              <w:jc w:val="center"/>
              <w:rPr>
                <w:rFonts w:cs="Calibri"/>
                <w:color w:val="000000"/>
                <w:sz w:val="18"/>
                <w:szCs w:val="20"/>
              </w:rPr>
            </w:pPr>
            <w:r w:rsidRPr="00404DA5">
              <w:rPr>
                <w:rFonts w:cs="Calibri"/>
                <w:color w:val="000000"/>
                <w:sz w:val="18"/>
                <w:szCs w:val="20"/>
              </w:rPr>
              <w:t>11 221 437,00</w:t>
            </w:r>
          </w:p>
        </w:tc>
        <w:tc>
          <w:tcPr>
            <w:tcW w:w="0" w:type="auto"/>
            <w:vAlign w:val="center"/>
          </w:tcPr>
          <w:p w14:paraId="55EE6D80" w14:textId="77777777" w:rsidR="006F4D8F" w:rsidRPr="00404DA5" w:rsidRDefault="006F4D8F" w:rsidP="001A41AF">
            <w:pPr>
              <w:autoSpaceDE w:val="0"/>
              <w:autoSpaceDN w:val="0"/>
              <w:adjustRightInd w:val="0"/>
              <w:jc w:val="center"/>
              <w:rPr>
                <w:rFonts w:cs="Calibri"/>
                <w:color w:val="000000"/>
                <w:sz w:val="18"/>
                <w:szCs w:val="20"/>
              </w:rPr>
            </w:pPr>
            <w:r w:rsidRPr="00404DA5">
              <w:rPr>
                <w:rFonts w:cs="Calibri"/>
                <w:color w:val="000000"/>
                <w:sz w:val="18"/>
                <w:szCs w:val="20"/>
              </w:rPr>
              <w:t>2013</w:t>
            </w:r>
          </w:p>
        </w:tc>
        <w:tc>
          <w:tcPr>
            <w:tcW w:w="0" w:type="auto"/>
            <w:vAlign w:val="center"/>
          </w:tcPr>
          <w:p w14:paraId="36EBA383" w14:textId="77777777" w:rsidR="006F4D8F" w:rsidRPr="00404DA5" w:rsidRDefault="006F4D8F" w:rsidP="001A41AF">
            <w:pPr>
              <w:autoSpaceDE w:val="0"/>
              <w:autoSpaceDN w:val="0"/>
              <w:adjustRightInd w:val="0"/>
              <w:jc w:val="center"/>
              <w:rPr>
                <w:rFonts w:cs="Calibri"/>
                <w:color w:val="000000"/>
                <w:sz w:val="18"/>
                <w:szCs w:val="20"/>
              </w:rPr>
            </w:pPr>
            <w:r w:rsidRPr="00404DA5">
              <w:rPr>
                <w:rFonts w:cs="Calibri"/>
                <w:color w:val="000000"/>
                <w:sz w:val="18"/>
                <w:szCs w:val="20"/>
              </w:rPr>
              <w:t>13 087 398</w:t>
            </w:r>
          </w:p>
        </w:tc>
        <w:tc>
          <w:tcPr>
            <w:tcW w:w="0" w:type="auto"/>
            <w:vAlign w:val="center"/>
          </w:tcPr>
          <w:p w14:paraId="08ECB488" w14:textId="77777777" w:rsidR="006F4D8F" w:rsidRPr="00404DA5" w:rsidRDefault="006F4D8F" w:rsidP="001A41AF">
            <w:pPr>
              <w:autoSpaceDE w:val="0"/>
              <w:autoSpaceDN w:val="0"/>
              <w:adjustRightInd w:val="0"/>
              <w:jc w:val="center"/>
              <w:rPr>
                <w:rFonts w:cs="Calibri"/>
                <w:color w:val="000000"/>
                <w:sz w:val="18"/>
                <w:szCs w:val="20"/>
              </w:rPr>
            </w:pPr>
            <w:r w:rsidRPr="00760DC1">
              <w:rPr>
                <w:rFonts w:cs="Calibri"/>
                <w:color w:val="000000"/>
                <w:sz w:val="18"/>
                <w:szCs w:val="20"/>
              </w:rPr>
              <w:t>18</w:t>
            </w:r>
            <w:r>
              <w:rPr>
                <w:rFonts w:cs="Calibri"/>
                <w:color w:val="000000"/>
                <w:sz w:val="18"/>
                <w:szCs w:val="20"/>
              </w:rPr>
              <w:t xml:space="preserve"> </w:t>
            </w:r>
            <w:r w:rsidRPr="00760DC1">
              <w:rPr>
                <w:rFonts w:cs="Calibri"/>
                <w:color w:val="000000"/>
                <w:sz w:val="18"/>
                <w:szCs w:val="20"/>
              </w:rPr>
              <w:t>823</w:t>
            </w:r>
            <w:r>
              <w:rPr>
                <w:rFonts w:cs="Calibri"/>
                <w:color w:val="000000"/>
                <w:sz w:val="18"/>
                <w:szCs w:val="20"/>
              </w:rPr>
              <w:t xml:space="preserve"> </w:t>
            </w:r>
            <w:r w:rsidRPr="00760DC1">
              <w:rPr>
                <w:rFonts w:cs="Calibri"/>
                <w:color w:val="000000"/>
                <w:sz w:val="18"/>
                <w:szCs w:val="20"/>
              </w:rPr>
              <w:t>91</w:t>
            </w:r>
            <w:r>
              <w:rPr>
                <w:rFonts w:cs="Calibri"/>
                <w:color w:val="000000"/>
                <w:sz w:val="18"/>
                <w:szCs w:val="20"/>
              </w:rPr>
              <w:t>9</w:t>
            </w:r>
          </w:p>
        </w:tc>
      </w:tr>
    </w:tbl>
    <w:p w14:paraId="6D2D702D" w14:textId="77777777" w:rsidR="006F4D8F" w:rsidRPr="002A5FDF" w:rsidRDefault="006F4D8F" w:rsidP="00F10E7C">
      <w:pPr>
        <w:spacing w:before="0"/>
        <w:rPr>
          <w:i/>
          <w:sz w:val="18"/>
          <w:szCs w:val="20"/>
        </w:rPr>
      </w:pPr>
      <w:r w:rsidRPr="002A5FDF">
        <w:rPr>
          <w:i/>
          <w:sz w:val="18"/>
          <w:szCs w:val="20"/>
        </w:rPr>
        <w:t>Źródło: RPO WZ 2014-2020 oraz Oszacowanie oczekiwanych rezultatów interwencji za pomocą miar</w:t>
      </w:r>
    </w:p>
    <w:p w14:paraId="03356D81" w14:textId="77777777" w:rsidR="006F4D8F" w:rsidRPr="008B706B" w:rsidRDefault="006F4D8F" w:rsidP="006F4D8F">
      <w:pPr>
        <w:rPr>
          <w:szCs w:val="20"/>
        </w:rPr>
      </w:pPr>
      <w:r w:rsidRPr="008B706B">
        <w:rPr>
          <w:szCs w:val="20"/>
        </w:rPr>
        <w:t>Zgodnie</w:t>
      </w:r>
      <w:r w:rsidR="00E66B89">
        <w:rPr>
          <w:szCs w:val="20"/>
        </w:rPr>
        <w:t xml:space="preserve"> z </w:t>
      </w:r>
      <w:r w:rsidRPr="008B706B">
        <w:rPr>
          <w:szCs w:val="20"/>
        </w:rPr>
        <w:t>danymi GUS,</w:t>
      </w:r>
      <w:r w:rsidR="00E66B89">
        <w:rPr>
          <w:szCs w:val="20"/>
        </w:rPr>
        <w:t xml:space="preserve"> w </w:t>
      </w:r>
      <w:r w:rsidRPr="008B706B">
        <w:rPr>
          <w:szCs w:val="20"/>
        </w:rPr>
        <w:t>2018</w:t>
      </w:r>
      <w:r w:rsidR="001A41AF">
        <w:rPr>
          <w:szCs w:val="20"/>
        </w:rPr>
        <w:t xml:space="preserve"> </w:t>
      </w:r>
      <w:r w:rsidRPr="008B706B">
        <w:rPr>
          <w:szCs w:val="20"/>
        </w:rPr>
        <w:t>r. turystom udzielono 15 153 463 noclegów.</w:t>
      </w:r>
      <w:r w:rsidR="00E66B89">
        <w:rPr>
          <w:szCs w:val="20"/>
        </w:rPr>
        <w:t xml:space="preserve"> W </w:t>
      </w:r>
      <w:r w:rsidRPr="008B706B">
        <w:rPr>
          <w:szCs w:val="20"/>
        </w:rPr>
        <w:t>latach 2013-2018 występował stały trend wzrostowy. Prognozę wartości wskaźnika</w:t>
      </w:r>
      <w:r w:rsidR="00E66B89">
        <w:rPr>
          <w:szCs w:val="20"/>
        </w:rPr>
        <w:t xml:space="preserve"> w </w:t>
      </w:r>
      <w:r w:rsidRPr="008B706B">
        <w:rPr>
          <w:szCs w:val="20"/>
        </w:rPr>
        <w:t>2023 r. sporządzono przy założeniu, że trend ten będzie kontynuowany również</w:t>
      </w:r>
      <w:r w:rsidR="00E66B89">
        <w:rPr>
          <w:szCs w:val="20"/>
        </w:rPr>
        <w:t xml:space="preserve"> w </w:t>
      </w:r>
      <w:r w:rsidRPr="008B706B">
        <w:rPr>
          <w:szCs w:val="20"/>
        </w:rPr>
        <w:t>latach 2019-2023. Przy takim założeniu osiągnięcie wartości docelowej wskaźnika</w:t>
      </w:r>
      <w:r>
        <w:rPr>
          <w:szCs w:val="20"/>
        </w:rPr>
        <w:t xml:space="preserve"> nie</w:t>
      </w:r>
      <w:r w:rsidRPr="008B706B">
        <w:rPr>
          <w:szCs w:val="20"/>
        </w:rPr>
        <w:t xml:space="preserve"> jest zagrożone. </w:t>
      </w:r>
    </w:p>
    <w:p w14:paraId="33B6AAC8"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 xml:space="preserve">Ocena potencjału absorpcyjnego </w:t>
      </w:r>
    </w:p>
    <w:p w14:paraId="01C287FD" w14:textId="77777777" w:rsidR="006F4D8F" w:rsidRPr="00CE549A" w:rsidRDefault="006F4D8F" w:rsidP="006E34DC">
      <w:pPr>
        <w:pStyle w:val="Legenda"/>
        <w:spacing w:after="0"/>
      </w:pPr>
      <w:bookmarkStart w:id="126" w:name="_Toc8824169"/>
      <w:r w:rsidRPr="00CE549A">
        <w:t xml:space="preserve">Tabela </w:t>
      </w:r>
      <w:r w:rsidRPr="00CE549A">
        <w:fldChar w:fldCharType="begin"/>
      </w:r>
      <w:r w:rsidRPr="00CE549A">
        <w:instrText xml:space="preserve"> SEQ Tabela \* ARABIC </w:instrText>
      </w:r>
      <w:r w:rsidRPr="00CE549A">
        <w:fldChar w:fldCharType="separate"/>
      </w:r>
      <w:r w:rsidR="00763345">
        <w:rPr>
          <w:noProof/>
        </w:rPr>
        <w:t>58</w:t>
      </w:r>
      <w:r w:rsidRPr="00CE549A">
        <w:fldChar w:fldCharType="end"/>
      </w:r>
      <w:r w:rsidRPr="00CE549A">
        <w:t xml:space="preserve"> Wysokość alokacji ogółem, alokacji głównej, rezerwy wykonania oraz poziom kontraktacji –</w:t>
      </w:r>
      <w:r w:rsidR="00E66B89">
        <w:t xml:space="preserve"> w </w:t>
      </w:r>
      <w:r w:rsidRPr="00CE549A">
        <w:t>ramach PI 6c</w:t>
      </w:r>
      <w:bookmarkEnd w:id="126"/>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447"/>
        <w:gridCol w:w="423"/>
        <w:gridCol w:w="1712"/>
        <w:gridCol w:w="1673"/>
        <w:gridCol w:w="1248"/>
        <w:gridCol w:w="1358"/>
        <w:gridCol w:w="1245"/>
      </w:tblGrid>
      <w:tr w:rsidR="006F4D8F" w:rsidRPr="0043138F" w14:paraId="06E8DEA6" w14:textId="77777777" w:rsidTr="006F4D8F">
        <w:trPr>
          <w:tblHeader/>
        </w:trPr>
        <w:tc>
          <w:tcPr>
            <w:tcW w:w="956" w:type="dxa"/>
            <w:shd w:val="clear" w:color="auto" w:fill="DBE5F1"/>
            <w:tcMar>
              <w:left w:w="108" w:type="dxa"/>
            </w:tcMar>
            <w:vAlign w:val="center"/>
          </w:tcPr>
          <w:p w14:paraId="1EE7AA69" w14:textId="77777777" w:rsidR="006F4D8F" w:rsidRPr="00404DA5" w:rsidRDefault="006F4D8F" w:rsidP="006F4D8F">
            <w:pPr>
              <w:jc w:val="center"/>
              <w:rPr>
                <w:sz w:val="18"/>
                <w:szCs w:val="18"/>
              </w:rPr>
            </w:pPr>
            <w:r w:rsidRPr="00404DA5">
              <w:rPr>
                <w:sz w:val="18"/>
                <w:szCs w:val="18"/>
              </w:rPr>
              <w:t>Działanie</w:t>
            </w:r>
          </w:p>
        </w:tc>
        <w:tc>
          <w:tcPr>
            <w:tcW w:w="447" w:type="dxa"/>
            <w:shd w:val="clear" w:color="auto" w:fill="DBE5F1"/>
            <w:tcMar>
              <w:left w:w="108" w:type="dxa"/>
            </w:tcMar>
            <w:vAlign w:val="center"/>
          </w:tcPr>
          <w:p w14:paraId="38814C26" w14:textId="77777777" w:rsidR="006F4D8F" w:rsidRPr="00404DA5" w:rsidRDefault="006F4D8F" w:rsidP="006F4D8F">
            <w:pPr>
              <w:jc w:val="center"/>
              <w:rPr>
                <w:sz w:val="18"/>
                <w:szCs w:val="18"/>
              </w:rPr>
            </w:pPr>
            <w:r w:rsidRPr="00404DA5">
              <w:rPr>
                <w:sz w:val="18"/>
                <w:szCs w:val="18"/>
              </w:rPr>
              <w:t>CT</w:t>
            </w:r>
          </w:p>
        </w:tc>
        <w:tc>
          <w:tcPr>
            <w:tcW w:w="423" w:type="dxa"/>
            <w:shd w:val="clear" w:color="auto" w:fill="DBE5F1"/>
            <w:tcMar>
              <w:left w:w="108" w:type="dxa"/>
            </w:tcMar>
            <w:vAlign w:val="center"/>
          </w:tcPr>
          <w:p w14:paraId="53531BA8" w14:textId="77777777" w:rsidR="006F4D8F" w:rsidRPr="00404DA5" w:rsidRDefault="006F4D8F" w:rsidP="006F4D8F">
            <w:pPr>
              <w:jc w:val="center"/>
              <w:rPr>
                <w:sz w:val="18"/>
                <w:szCs w:val="18"/>
              </w:rPr>
            </w:pPr>
            <w:r w:rsidRPr="00404DA5">
              <w:rPr>
                <w:sz w:val="18"/>
                <w:szCs w:val="18"/>
              </w:rPr>
              <w:t>PI</w:t>
            </w:r>
          </w:p>
        </w:tc>
        <w:tc>
          <w:tcPr>
            <w:tcW w:w="1712" w:type="dxa"/>
            <w:shd w:val="clear" w:color="auto" w:fill="DBE5F1"/>
            <w:tcMar>
              <w:left w:w="108" w:type="dxa"/>
            </w:tcMar>
            <w:vAlign w:val="center"/>
          </w:tcPr>
          <w:p w14:paraId="3658CB4E" w14:textId="77777777" w:rsidR="006F4D8F" w:rsidRPr="00404DA5" w:rsidRDefault="006F4D8F" w:rsidP="006F4D8F">
            <w:pPr>
              <w:jc w:val="center"/>
              <w:rPr>
                <w:sz w:val="18"/>
                <w:szCs w:val="18"/>
              </w:rPr>
            </w:pPr>
            <w:r w:rsidRPr="00404DA5">
              <w:rPr>
                <w:bCs/>
                <w:color w:val="000000"/>
                <w:sz w:val="18"/>
                <w:szCs w:val="18"/>
              </w:rPr>
              <w:t>Alokacja UE ogółem</w:t>
            </w:r>
            <w:r w:rsidRPr="00404DA5">
              <w:rPr>
                <w:bCs/>
                <w:color w:val="000000"/>
                <w:sz w:val="18"/>
                <w:szCs w:val="18"/>
              </w:rPr>
              <w:br/>
              <w:t>[EUR]</w:t>
            </w:r>
            <w:r w:rsidRPr="00404DA5">
              <w:rPr>
                <w:bCs/>
                <w:color w:val="000000"/>
                <w:sz w:val="18"/>
                <w:szCs w:val="18"/>
              </w:rPr>
              <w:br/>
              <w:t>(alokacja główna +rezerwa wykonania)</w:t>
            </w:r>
          </w:p>
        </w:tc>
        <w:tc>
          <w:tcPr>
            <w:tcW w:w="1673" w:type="dxa"/>
            <w:shd w:val="clear" w:color="auto" w:fill="DBE5F1"/>
            <w:tcMar>
              <w:left w:w="108" w:type="dxa"/>
            </w:tcMar>
            <w:vAlign w:val="center"/>
          </w:tcPr>
          <w:p w14:paraId="077C4FEC" w14:textId="77777777" w:rsidR="006F4D8F" w:rsidRPr="00404DA5" w:rsidRDefault="006F4D8F" w:rsidP="006F4D8F">
            <w:pPr>
              <w:jc w:val="center"/>
              <w:rPr>
                <w:sz w:val="18"/>
                <w:szCs w:val="18"/>
              </w:rPr>
            </w:pPr>
            <w:r w:rsidRPr="00404DA5">
              <w:rPr>
                <w:bCs/>
                <w:color w:val="000000"/>
                <w:sz w:val="18"/>
                <w:szCs w:val="18"/>
              </w:rPr>
              <w:t>Alokacja główna</w:t>
            </w:r>
            <w:r w:rsidRPr="00404DA5">
              <w:rPr>
                <w:bCs/>
                <w:color w:val="000000"/>
                <w:sz w:val="18"/>
                <w:szCs w:val="18"/>
              </w:rPr>
              <w:br/>
              <w:t>[EUR]</w:t>
            </w:r>
          </w:p>
        </w:tc>
        <w:tc>
          <w:tcPr>
            <w:tcW w:w="1248" w:type="dxa"/>
            <w:shd w:val="clear" w:color="auto" w:fill="DBE5F1"/>
            <w:tcMar>
              <w:left w:w="108" w:type="dxa"/>
            </w:tcMar>
            <w:vAlign w:val="center"/>
          </w:tcPr>
          <w:p w14:paraId="4712C961" w14:textId="77777777" w:rsidR="006F4D8F" w:rsidRPr="00404DA5" w:rsidRDefault="006F4D8F" w:rsidP="006F4D8F">
            <w:pPr>
              <w:jc w:val="center"/>
              <w:rPr>
                <w:sz w:val="18"/>
                <w:szCs w:val="18"/>
              </w:rPr>
            </w:pPr>
            <w:r w:rsidRPr="00404DA5">
              <w:rPr>
                <w:bCs/>
                <w:color w:val="000000"/>
                <w:sz w:val="18"/>
                <w:szCs w:val="18"/>
              </w:rPr>
              <w:t>dostępna wciąż alokacja</w:t>
            </w:r>
            <w:r w:rsidR="00E66B89">
              <w:rPr>
                <w:bCs/>
                <w:color w:val="000000"/>
                <w:sz w:val="18"/>
                <w:szCs w:val="18"/>
              </w:rPr>
              <w:t xml:space="preserve"> z </w:t>
            </w:r>
            <w:r w:rsidRPr="00404DA5">
              <w:rPr>
                <w:bCs/>
                <w:color w:val="000000"/>
                <w:sz w:val="18"/>
                <w:szCs w:val="18"/>
              </w:rPr>
              <w:t>RW</w:t>
            </w:r>
          </w:p>
        </w:tc>
        <w:tc>
          <w:tcPr>
            <w:tcW w:w="1358" w:type="dxa"/>
            <w:shd w:val="clear" w:color="auto" w:fill="DBE5F1"/>
            <w:tcMar>
              <w:left w:w="108" w:type="dxa"/>
            </w:tcMar>
            <w:vAlign w:val="center"/>
          </w:tcPr>
          <w:p w14:paraId="36C4745E" w14:textId="77777777" w:rsidR="006F4D8F" w:rsidRPr="00404DA5" w:rsidRDefault="006F4D8F" w:rsidP="006F4D8F">
            <w:pPr>
              <w:jc w:val="center"/>
              <w:rPr>
                <w:color w:val="FF0000"/>
                <w:sz w:val="18"/>
                <w:szCs w:val="18"/>
              </w:rPr>
            </w:pPr>
            <w:r w:rsidRPr="00404DA5">
              <w:rPr>
                <w:sz w:val="18"/>
                <w:szCs w:val="18"/>
              </w:rPr>
              <w:t>Kontraktacja</w:t>
            </w:r>
            <w:r w:rsidR="00E66B89">
              <w:rPr>
                <w:sz w:val="18"/>
                <w:szCs w:val="18"/>
              </w:rPr>
              <w:t xml:space="preserve"> z </w:t>
            </w:r>
            <w:r w:rsidRPr="00C22C26">
              <w:rPr>
                <w:sz w:val="18"/>
              </w:rPr>
              <w:t>środkami rezerwy wykonania</w:t>
            </w:r>
            <w:r w:rsidRPr="00404DA5">
              <w:rPr>
                <w:sz w:val="18"/>
                <w:szCs w:val="18"/>
              </w:rPr>
              <w:t xml:space="preserve"> [%]</w:t>
            </w:r>
          </w:p>
        </w:tc>
        <w:tc>
          <w:tcPr>
            <w:tcW w:w="1245" w:type="dxa"/>
            <w:shd w:val="clear" w:color="auto" w:fill="DBE5F1"/>
            <w:vAlign w:val="center"/>
          </w:tcPr>
          <w:p w14:paraId="29B103BB" w14:textId="77777777" w:rsidR="006F4D8F" w:rsidRPr="00404DA5" w:rsidRDefault="006F4D8F" w:rsidP="006F4D8F">
            <w:pPr>
              <w:jc w:val="center"/>
              <w:rPr>
                <w:sz w:val="18"/>
                <w:szCs w:val="18"/>
              </w:rPr>
            </w:pPr>
            <w:r w:rsidRPr="00404DA5">
              <w:rPr>
                <w:sz w:val="18"/>
                <w:szCs w:val="18"/>
              </w:rPr>
              <w:t xml:space="preserve">Kontraktacja </w:t>
            </w:r>
            <w:r w:rsidRPr="00C22C26">
              <w:rPr>
                <w:sz w:val="18"/>
              </w:rPr>
              <w:t>bez środków rezerwy wykonania</w:t>
            </w:r>
            <w:r w:rsidRPr="00404DA5">
              <w:rPr>
                <w:sz w:val="18"/>
                <w:szCs w:val="18"/>
              </w:rPr>
              <w:t xml:space="preserve"> [%]</w:t>
            </w:r>
          </w:p>
        </w:tc>
      </w:tr>
      <w:tr w:rsidR="006F4D8F" w:rsidRPr="0043138F" w14:paraId="06D77181" w14:textId="77777777" w:rsidTr="006F4D8F">
        <w:tc>
          <w:tcPr>
            <w:tcW w:w="956" w:type="dxa"/>
            <w:shd w:val="clear" w:color="auto" w:fill="auto"/>
            <w:tcMar>
              <w:left w:w="108" w:type="dxa"/>
            </w:tcMar>
            <w:vAlign w:val="center"/>
          </w:tcPr>
          <w:p w14:paraId="2EB2453F" w14:textId="77777777" w:rsidR="006F4D8F" w:rsidRPr="00404DA5" w:rsidRDefault="006F4D8F" w:rsidP="006F4D8F">
            <w:pPr>
              <w:jc w:val="center"/>
              <w:rPr>
                <w:sz w:val="18"/>
                <w:szCs w:val="18"/>
              </w:rPr>
            </w:pPr>
            <w:r w:rsidRPr="00404DA5">
              <w:rPr>
                <w:color w:val="000000"/>
                <w:sz w:val="18"/>
                <w:szCs w:val="18"/>
              </w:rPr>
              <w:t>4.1</w:t>
            </w:r>
          </w:p>
        </w:tc>
        <w:tc>
          <w:tcPr>
            <w:tcW w:w="447" w:type="dxa"/>
            <w:shd w:val="clear" w:color="auto" w:fill="auto"/>
            <w:tcMar>
              <w:left w:w="108" w:type="dxa"/>
            </w:tcMar>
            <w:vAlign w:val="center"/>
          </w:tcPr>
          <w:p w14:paraId="08174B8C" w14:textId="77777777" w:rsidR="006F4D8F" w:rsidRPr="00404DA5" w:rsidRDefault="006F4D8F" w:rsidP="006F4D8F">
            <w:pPr>
              <w:jc w:val="center"/>
              <w:rPr>
                <w:sz w:val="18"/>
                <w:szCs w:val="18"/>
              </w:rPr>
            </w:pPr>
            <w:r w:rsidRPr="00404DA5">
              <w:rPr>
                <w:color w:val="000000"/>
                <w:sz w:val="18"/>
                <w:szCs w:val="18"/>
              </w:rPr>
              <w:t>6</w:t>
            </w:r>
          </w:p>
        </w:tc>
        <w:tc>
          <w:tcPr>
            <w:tcW w:w="423" w:type="dxa"/>
            <w:shd w:val="clear" w:color="auto" w:fill="auto"/>
            <w:tcMar>
              <w:left w:w="108" w:type="dxa"/>
            </w:tcMar>
            <w:vAlign w:val="center"/>
          </w:tcPr>
          <w:p w14:paraId="00B9DC2E" w14:textId="77777777" w:rsidR="006F4D8F" w:rsidRPr="00404DA5" w:rsidRDefault="006F4D8F" w:rsidP="006F4D8F">
            <w:pPr>
              <w:jc w:val="center"/>
              <w:rPr>
                <w:sz w:val="18"/>
                <w:szCs w:val="18"/>
              </w:rPr>
            </w:pPr>
            <w:r w:rsidRPr="00404DA5">
              <w:rPr>
                <w:color w:val="000000"/>
                <w:sz w:val="18"/>
                <w:szCs w:val="18"/>
              </w:rPr>
              <w:t>6c</w:t>
            </w:r>
          </w:p>
        </w:tc>
        <w:tc>
          <w:tcPr>
            <w:tcW w:w="1712" w:type="dxa"/>
            <w:shd w:val="clear" w:color="auto" w:fill="auto"/>
            <w:tcMar>
              <w:left w:w="108" w:type="dxa"/>
            </w:tcMar>
          </w:tcPr>
          <w:p w14:paraId="75408B87" w14:textId="77777777" w:rsidR="006F4D8F" w:rsidRPr="00404DA5" w:rsidRDefault="006F4D8F" w:rsidP="006F4D8F">
            <w:pPr>
              <w:jc w:val="center"/>
              <w:rPr>
                <w:sz w:val="18"/>
                <w:szCs w:val="18"/>
              </w:rPr>
            </w:pPr>
            <w:r w:rsidRPr="00404DA5">
              <w:rPr>
                <w:sz w:val="18"/>
                <w:szCs w:val="18"/>
              </w:rPr>
              <w:t xml:space="preserve"> 16 000 000,00 </w:t>
            </w:r>
          </w:p>
        </w:tc>
        <w:tc>
          <w:tcPr>
            <w:tcW w:w="1673" w:type="dxa"/>
            <w:shd w:val="clear" w:color="auto" w:fill="auto"/>
            <w:tcMar>
              <w:left w:w="108" w:type="dxa"/>
            </w:tcMar>
          </w:tcPr>
          <w:p w14:paraId="4835AA70" w14:textId="77777777" w:rsidR="006F4D8F" w:rsidRPr="00404DA5" w:rsidRDefault="006F4D8F" w:rsidP="006F4D8F">
            <w:pPr>
              <w:rPr>
                <w:sz w:val="18"/>
                <w:szCs w:val="18"/>
              </w:rPr>
            </w:pPr>
            <w:r w:rsidRPr="00404DA5">
              <w:rPr>
                <w:sz w:val="18"/>
                <w:szCs w:val="18"/>
              </w:rPr>
              <w:t xml:space="preserve"> 14 813 274,03 </w:t>
            </w:r>
          </w:p>
        </w:tc>
        <w:tc>
          <w:tcPr>
            <w:tcW w:w="1248" w:type="dxa"/>
            <w:shd w:val="clear" w:color="auto" w:fill="auto"/>
            <w:tcMar>
              <w:left w:w="108" w:type="dxa"/>
            </w:tcMar>
          </w:tcPr>
          <w:p w14:paraId="4DD85B62" w14:textId="77777777" w:rsidR="006F4D8F" w:rsidRPr="00404DA5" w:rsidRDefault="006F4D8F" w:rsidP="006F4D8F">
            <w:pPr>
              <w:jc w:val="center"/>
              <w:rPr>
                <w:sz w:val="18"/>
                <w:szCs w:val="18"/>
              </w:rPr>
            </w:pPr>
            <w:r w:rsidRPr="00404DA5">
              <w:rPr>
                <w:sz w:val="18"/>
                <w:szCs w:val="18"/>
              </w:rPr>
              <w:t>23 913 328,25</w:t>
            </w:r>
          </w:p>
        </w:tc>
        <w:tc>
          <w:tcPr>
            <w:tcW w:w="1358" w:type="dxa"/>
            <w:shd w:val="clear" w:color="auto" w:fill="auto"/>
            <w:tcMar>
              <w:left w:w="108" w:type="dxa"/>
            </w:tcMar>
          </w:tcPr>
          <w:p w14:paraId="0036B07F" w14:textId="77777777" w:rsidR="006F4D8F" w:rsidRPr="00404DA5" w:rsidRDefault="006F4D8F" w:rsidP="006F4D8F">
            <w:pPr>
              <w:jc w:val="center"/>
              <w:rPr>
                <w:color w:val="000000"/>
                <w:sz w:val="18"/>
                <w:szCs w:val="18"/>
              </w:rPr>
            </w:pPr>
            <w:r w:rsidRPr="00404DA5">
              <w:rPr>
                <w:sz w:val="18"/>
                <w:szCs w:val="18"/>
              </w:rPr>
              <w:t>65,3%</w:t>
            </w:r>
          </w:p>
        </w:tc>
        <w:tc>
          <w:tcPr>
            <w:tcW w:w="1245" w:type="dxa"/>
            <w:shd w:val="clear" w:color="auto" w:fill="auto"/>
          </w:tcPr>
          <w:p w14:paraId="4D1DAF35" w14:textId="77777777" w:rsidR="006F4D8F" w:rsidRPr="00404DA5" w:rsidRDefault="006F4D8F" w:rsidP="006F4D8F">
            <w:pPr>
              <w:jc w:val="center"/>
              <w:rPr>
                <w:color w:val="000000"/>
                <w:sz w:val="18"/>
                <w:szCs w:val="18"/>
              </w:rPr>
            </w:pPr>
            <w:r w:rsidRPr="00404DA5">
              <w:rPr>
                <w:sz w:val="18"/>
                <w:szCs w:val="18"/>
              </w:rPr>
              <w:t>70,5%</w:t>
            </w:r>
          </w:p>
        </w:tc>
      </w:tr>
      <w:tr w:rsidR="006F4D8F" w:rsidRPr="0043138F" w14:paraId="3640D8FC" w14:textId="77777777" w:rsidTr="006F4D8F">
        <w:tc>
          <w:tcPr>
            <w:tcW w:w="956" w:type="dxa"/>
            <w:shd w:val="clear" w:color="auto" w:fill="auto"/>
            <w:tcMar>
              <w:left w:w="108" w:type="dxa"/>
            </w:tcMar>
            <w:vAlign w:val="center"/>
          </w:tcPr>
          <w:p w14:paraId="122A1D49" w14:textId="77777777" w:rsidR="006F4D8F" w:rsidRPr="00404DA5" w:rsidRDefault="006F4D8F" w:rsidP="006F4D8F">
            <w:pPr>
              <w:jc w:val="center"/>
              <w:rPr>
                <w:sz w:val="18"/>
                <w:szCs w:val="18"/>
              </w:rPr>
            </w:pPr>
            <w:r w:rsidRPr="00404DA5">
              <w:rPr>
                <w:color w:val="000000"/>
                <w:sz w:val="18"/>
                <w:szCs w:val="18"/>
              </w:rPr>
              <w:t>4.2</w:t>
            </w:r>
          </w:p>
        </w:tc>
        <w:tc>
          <w:tcPr>
            <w:tcW w:w="447" w:type="dxa"/>
            <w:shd w:val="clear" w:color="auto" w:fill="auto"/>
            <w:tcMar>
              <w:left w:w="108" w:type="dxa"/>
            </w:tcMar>
            <w:vAlign w:val="center"/>
          </w:tcPr>
          <w:p w14:paraId="74B22E91" w14:textId="77777777" w:rsidR="006F4D8F" w:rsidRPr="00404DA5" w:rsidRDefault="006F4D8F" w:rsidP="006F4D8F">
            <w:pPr>
              <w:jc w:val="center"/>
              <w:rPr>
                <w:sz w:val="18"/>
                <w:szCs w:val="18"/>
              </w:rPr>
            </w:pPr>
            <w:r w:rsidRPr="00404DA5">
              <w:rPr>
                <w:color w:val="000000"/>
                <w:sz w:val="18"/>
                <w:szCs w:val="18"/>
              </w:rPr>
              <w:t>6</w:t>
            </w:r>
          </w:p>
        </w:tc>
        <w:tc>
          <w:tcPr>
            <w:tcW w:w="423" w:type="dxa"/>
            <w:shd w:val="clear" w:color="auto" w:fill="auto"/>
            <w:tcMar>
              <w:left w:w="108" w:type="dxa"/>
            </w:tcMar>
            <w:vAlign w:val="center"/>
          </w:tcPr>
          <w:p w14:paraId="72B16197" w14:textId="77777777" w:rsidR="006F4D8F" w:rsidRPr="00404DA5" w:rsidRDefault="006F4D8F" w:rsidP="006F4D8F">
            <w:pPr>
              <w:jc w:val="center"/>
              <w:rPr>
                <w:sz w:val="18"/>
                <w:szCs w:val="18"/>
              </w:rPr>
            </w:pPr>
            <w:r w:rsidRPr="00404DA5">
              <w:rPr>
                <w:color w:val="000000"/>
                <w:sz w:val="18"/>
                <w:szCs w:val="18"/>
              </w:rPr>
              <w:t>6c</w:t>
            </w:r>
          </w:p>
        </w:tc>
        <w:tc>
          <w:tcPr>
            <w:tcW w:w="1712" w:type="dxa"/>
            <w:shd w:val="clear" w:color="auto" w:fill="auto"/>
            <w:tcMar>
              <w:left w:w="108" w:type="dxa"/>
            </w:tcMar>
          </w:tcPr>
          <w:p w14:paraId="19F9D3DF" w14:textId="77777777" w:rsidR="006F4D8F" w:rsidRPr="00404DA5" w:rsidRDefault="006F4D8F" w:rsidP="006F4D8F">
            <w:pPr>
              <w:jc w:val="center"/>
              <w:rPr>
                <w:sz w:val="18"/>
                <w:szCs w:val="18"/>
              </w:rPr>
            </w:pPr>
            <w:r w:rsidRPr="00404DA5">
              <w:rPr>
                <w:sz w:val="18"/>
                <w:szCs w:val="18"/>
              </w:rPr>
              <w:t xml:space="preserve"> 10 000 000,00 </w:t>
            </w:r>
          </w:p>
        </w:tc>
        <w:tc>
          <w:tcPr>
            <w:tcW w:w="1673" w:type="dxa"/>
            <w:shd w:val="clear" w:color="auto" w:fill="auto"/>
            <w:tcMar>
              <w:left w:w="108" w:type="dxa"/>
            </w:tcMar>
          </w:tcPr>
          <w:p w14:paraId="2041C8C9" w14:textId="77777777" w:rsidR="006F4D8F" w:rsidRPr="00404DA5" w:rsidRDefault="006F4D8F" w:rsidP="006F4D8F">
            <w:pPr>
              <w:jc w:val="center"/>
              <w:rPr>
                <w:sz w:val="18"/>
                <w:szCs w:val="18"/>
              </w:rPr>
            </w:pPr>
            <w:r w:rsidRPr="00404DA5">
              <w:rPr>
                <w:sz w:val="18"/>
                <w:szCs w:val="18"/>
              </w:rPr>
              <w:t xml:space="preserve"> 10 000 000,00 </w:t>
            </w:r>
          </w:p>
        </w:tc>
        <w:tc>
          <w:tcPr>
            <w:tcW w:w="1248" w:type="dxa"/>
            <w:shd w:val="clear" w:color="auto" w:fill="auto"/>
            <w:tcMar>
              <w:left w:w="108" w:type="dxa"/>
            </w:tcMar>
          </w:tcPr>
          <w:p w14:paraId="16C09865" w14:textId="77777777" w:rsidR="006F4D8F" w:rsidRPr="00404DA5" w:rsidRDefault="006F4D8F" w:rsidP="006F4D8F">
            <w:pPr>
              <w:jc w:val="center"/>
              <w:rPr>
                <w:sz w:val="18"/>
                <w:szCs w:val="18"/>
              </w:rPr>
            </w:pPr>
            <w:r w:rsidRPr="00404DA5">
              <w:rPr>
                <w:sz w:val="18"/>
                <w:szCs w:val="18"/>
              </w:rPr>
              <w:t>-279 000,00</w:t>
            </w:r>
          </w:p>
        </w:tc>
        <w:tc>
          <w:tcPr>
            <w:tcW w:w="1358" w:type="dxa"/>
            <w:shd w:val="clear" w:color="auto" w:fill="auto"/>
            <w:tcMar>
              <w:left w:w="108" w:type="dxa"/>
            </w:tcMar>
          </w:tcPr>
          <w:p w14:paraId="75A31834" w14:textId="77777777" w:rsidR="006F4D8F" w:rsidRPr="00404DA5" w:rsidRDefault="006F4D8F" w:rsidP="006F4D8F">
            <w:pPr>
              <w:jc w:val="center"/>
              <w:rPr>
                <w:color w:val="000000"/>
                <w:sz w:val="18"/>
                <w:szCs w:val="18"/>
              </w:rPr>
            </w:pPr>
            <w:r w:rsidRPr="00404DA5">
              <w:rPr>
                <w:sz w:val="18"/>
                <w:szCs w:val="18"/>
              </w:rPr>
              <w:t>100,6%</w:t>
            </w:r>
          </w:p>
        </w:tc>
        <w:tc>
          <w:tcPr>
            <w:tcW w:w="1245" w:type="dxa"/>
            <w:shd w:val="clear" w:color="auto" w:fill="auto"/>
          </w:tcPr>
          <w:p w14:paraId="0CE487F7" w14:textId="77777777" w:rsidR="006F4D8F" w:rsidRPr="00404DA5" w:rsidRDefault="006F4D8F" w:rsidP="006F4D8F">
            <w:pPr>
              <w:jc w:val="center"/>
              <w:rPr>
                <w:color w:val="000000"/>
                <w:sz w:val="18"/>
                <w:szCs w:val="18"/>
              </w:rPr>
            </w:pPr>
            <w:r w:rsidRPr="00404DA5">
              <w:rPr>
                <w:sz w:val="18"/>
                <w:szCs w:val="18"/>
              </w:rPr>
              <w:t>100,6%</w:t>
            </w:r>
          </w:p>
        </w:tc>
      </w:tr>
    </w:tbl>
    <w:p w14:paraId="70D1159C" w14:textId="77777777" w:rsidR="006F4D8F" w:rsidRPr="002A5FDF" w:rsidRDefault="006F4D8F" w:rsidP="00F10E7C">
      <w:pPr>
        <w:spacing w:before="0"/>
        <w:rPr>
          <w:i/>
          <w:sz w:val="18"/>
          <w:szCs w:val="20"/>
        </w:rPr>
      </w:pPr>
      <w:r w:rsidRPr="002A5FDF">
        <w:rPr>
          <w:i/>
          <w:sz w:val="18"/>
          <w:szCs w:val="20"/>
        </w:rPr>
        <w:t>Źródło: RPO WZ 2014-2020, Wysokość alokacji na podstawie danych przekazanych przez Zamawiającego (stan</w:t>
      </w:r>
      <w:r w:rsidR="00E66B89" w:rsidRPr="002A5FDF">
        <w:rPr>
          <w:i/>
          <w:sz w:val="18"/>
          <w:szCs w:val="20"/>
        </w:rPr>
        <w:t xml:space="preserve"> z </w:t>
      </w:r>
      <w:r w:rsidRPr="002A5FDF">
        <w:rPr>
          <w:i/>
          <w:sz w:val="18"/>
          <w:szCs w:val="20"/>
        </w:rPr>
        <w:t>dnia 7.01.2019 roku)</w:t>
      </w:r>
    </w:p>
    <w:p w14:paraId="2036E840" w14:textId="77777777" w:rsidR="006F4D8F" w:rsidRPr="00CE549A" w:rsidRDefault="006F4D8F" w:rsidP="006F4D8F">
      <w:pPr>
        <w:rPr>
          <w:szCs w:val="20"/>
        </w:rPr>
      </w:pPr>
      <w:r w:rsidRPr="00CE549A">
        <w:rPr>
          <w:szCs w:val="20"/>
        </w:rPr>
        <w:t>W dotychczas przeprowadzonych naborach wdrażane były wszystkie typy projektów przewidziane do wsparcia</w:t>
      </w:r>
      <w:r w:rsidR="00E66B89">
        <w:rPr>
          <w:szCs w:val="20"/>
        </w:rPr>
        <w:t xml:space="preserve"> w </w:t>
      </w:r>
      <w:r w:rsidRPr="00CE549A">
        <w:rPr>
          <w:szCs w:val="20"/>
        </w:rPr>
        <w:t>PI 6c. Zainteresowanie aplikowaniem przekraczało wartość dostępnej alokacji. Zgodnie</w:t>
      </w:r>
      <w:r w:rsidR="00E66B89">
        <w:rPr>
          <w:szCs w:val="20"/>
        </w:rPr>
        <w:t xml:space="preserve"> z </w:t>
      </w:r>
      <w:r w:rsidRPr="00CE549A">
        <w:rPr>
          <w:szCs w:val="20"/>
        </w:rPr>
        <w:t>informacjami</w:t>
      </w:r>
      <w:r w:rsidR="00E66B89">
        <w:rPr>
          <w:szCs w:val="20"/>
        </w:rPr>
        <w:t xml:space="preserve"> z </w:t>
      </w:r>
      <w:r w:rsidRPr="00CE549A">
        <w:rPr>
          <w:szCs w:val="20"/>
        </w:rPr>
        <w:t>IDI</w:t>
      </w:r>
      <w:r>
        <w:rPr>
          <w:szCs w:val="20"/>
        </w:rPr>
        <w:t>,</w:t>
      </w:r>
      <w:r w:rsidRPr="00CE549A">
        <w:rPr>
          <w:szCs w:val="20"/>
        </w:rPr>
        <w:t xml:space="preserve"> planuje się ogłaszać kolejne nabory</w:t>
      </w:r>
      <w:r w:rsidR="00E66B89">
        <w:rPr>
          <w:szCs w:val="20"/>
        </w:rPr>
        <w:t xml:space="preserve"> w </w:t>
      </w:r>
      <w:r w:rsidRPr="00CE549A">
        <w:rPr>
          <w:szCs w:val="20"/>
        </w:rPr>
        <w:t>celu realizacji celów OP</w:t>
      </w:r>
      <w:r>
        <w:rPr>
          <w:szCs w:val="20"/>
        </w:rPr>
        <w:t xml:space="preserve"> </w:t>
      </w:r>
      <w:r w:rsidRPr="00CE549A">
        <w:rPr>
          <w:szCs w:val="20"/>
        </w:rPr>
        <w:t>IV. Na podstawie badania CAWI</w:t>
      </w:r>
      <w:r w:rsidR="00E66B89">
        <w:rPr>
          <w:szCs w:val="20"/>
        </w:rPr>
        <w:t xml:space="preserve"> z </w:t>
      </w:r>
      <w:r w:rsidRPr="00CE549A">
        <w:rPr>
          <w:szCs w:val="20"/>
        </w:rPr>
        <w:t>wnioskodawcami widać bardzo duże zainteresowanie kolejnymi naborami</w:t>
      </w:r>
      <w:r>
        <w:rPr>
          <w:szCs w:val="20"/>
        </w:rPr>
        <w:t>,</w:t>
      </w:r>
      <w:r w:rsidRPr="00CE549A">
        <w:rPr>
          <w:szCs w:val="20"/>
        </w:rPr>
        <w:t xml:space="preserve"> szczególnie</w:t>
      </w:r>
      <w:r w:rsidR="00E66B89">
        <w:rPr>
          <w:szCs w:val="20"/>
        </w:rPr>
        <w:t xml:space="preserve"> w </w:t>
      </w:r>
      <w:r w:rsidRPr="00CE549A">
        <w:rPr>
          <w:szCs w:val="20"/>
        </w:rPr>
        <w:t>zakresie typu</w:t>
      </w:r>
      <w:r>
        <w:rPr>
          <w:szCs w:val="20"/>
        </w:rPr>
        <w:t xml:space="preserve"> projektu:</w:t>
      </w:r>
      <w:r w:rsidRPr="00CE549A">
        <w:rPr>
          <w:szCs w:val="20"/>
        </w:rPr>
        <w:t xml:space="preserve"> </w:t>
      </w:r>
      <w:r w:rsidRPr="008B706B">
        <w:rPr>
          <w:i/>
          <w:szCs w:val="20"/>
        </w:rPr>
        <w:t>Ochrona dziedzictwa kulturowego</w:t>
      </w:r>
      <w:r>
        <w:rPr>
          <w:szCs w:val="20"/>
        </w:rPr>
        <w:t>,</w:t>
      </w:r>
      <w:r w:rsidR="00E66B89">
        <w:rPr>
          <w:szCs w:val="20"/>
        </w:rPr>
        <w:t xml:space="preserve"> w </w:t>
      </w:r>
      <w:r>
        <w:rPr>
          <w:szCs w:val="20"/>
        </w:rPr>
        <w:t>przypadku którego</w:t>
      </w:r>
      <w:r w:rsidRPr="00CE549A">
        <w:rPr>
          <w:szCs w:val="20"/>
        </w:rPr>
        <w:t xml:space="preserve"> 52% badanych</w:t>
      </w:r>
      <w:r>
        <w:rPr>
          <w:szCs w:val="20"/>
        </w:rPr>
        <w:t xml:space="preserve"> (n=23)</w:t>
      </w:r>
      <w:r w:rsidRPr="00CE549A">
        <w:rPr>
          <w:szCs w:val="20"/>
        </w:rPr>
        <w:t xml:space="preserve"> jest zainteresowan</w:t>
      </w:r>
      <w:r>
        <w:rPr>
          <w:szCs w:val="20"/>
        </w:rPr>
        <w:t>e</w:t>
      </w:r>
      <w:r w:rsidRPr="00CE549A">
        <w:rPr>
          <w:szCs w:val="20"/>
        </w:rPr>
        <w:t xml:space="preserve"> </w:t>
      </w:r>
      <w:r>
        <w:rPr>
          <w:szCs w:val="20"/>
        </w:rPr>
        <w:t>ubieganiem się</w:t>
      </w:r>
      <w:r w:rsidR="00E66B89">
        <w:rPr>
          <w:szCs w:val="20"/>
        </w:rPr>
        <w:t xml:space="preserve"> o </w:t>
      </w:r>
      <w:r w:rsidRPr="00CE549A">
        <w:rPr>
          <w:szCs w:val="20"/>
        </w:rPr>
        <w:t>wsparci</w:t>
      </w:r>
      <w:r>
        <w:rPr>
          <w:szCs w:val="20"/>
        </w:rPr>
        <w:t>e</w:t>
      </w:r>
      <w:r w:rsidRPr="00CE549A">
        <w:rPr>
          <w:szCs w:val="20"/>
        </w:rPr>
        <w:t>.</w:t>
      </w:r>
      <w:r w:rsidR="00E66B89">
        <w:rPr>
          <w:szCs w:val="20"/>
        </w:rPr>
        <w:t xml:space="preserve"> W </w:t>
      </w:r>
      <w:r>
        <w:rPr>
          <w:szCs w:val="20"/>
        </w:rPr>
        <w:t>przypadku typu wsparcia odnoszącego się do</w:t>
      </w:r>
      <w:r w:rsidRPr="00CE549A">
        <w:rPr>
          <w:szCs w:val="20"/>
        </w:rPr>
        <w:t xml:space="preserve"> wzmocnieni</w:t>
      </w:r>
      <w:r>
        <w:rPr>
          <w:szCs w:val="20"/>
        </w:rPr>
        <w:t>a</w:t>
      </w:r>
      <w:r w:rsidRPr="00CE549A">
        <w:rPr>
          <w:szCs w:val="20"/>
        </w:rPr>
        <w:t xml:space="preserve"> instytucji kultury</w:t>
      </w:r>
      <w:r>
        <w:rPr>
          <w:szCs w:val="20"/>
        </w:rPr>
        <w:t>,</w:t>
      </w:r>
      <w:r w:rsidRPr="00CE549A">
        <w:rPr>
          <w:szCs w:val="20"/>
        </w:rPr>
        <w:t xml:space="preserve"> 29% badanych beneficjentów</w:t>
      </w:r>
      <w:r>
        <w:rPr>
          <w:szCs w:val="20"/>
        </w:rPr>
        <w:t xml:space="preserve"> (n=23)</w:t>
      </w:r>
      <w:r w:rsidRPr="00CE549A">
        <w:rPr>
          <w:szCs w:val="20"/>
        </w:rPr>
        <w:t xml:space="preserve"> planuje złożenie kolejnych wniosków. Świadczy to</w:t>
      </w:r>
      <w:r w:rsidR="00E66B89">
        <w:rPr>
          <w:szCs w:val="20"/>
        </w:rPr>
        <w:t xml:space="preserve"> o </w:t>
      </w:r>
      <w:r w:rsidRPr="00CE549A">
        <w:rPr>
          <w:szCs w:val="20"/>
        </w:rPr>
        <w:t>wysokim potencjale absorpcyjnym dla operacji</w:t>
      </w:r>
      <w:r w:rsidR="00E66B89">
        <w:rPr>
          <w:szCs w:val="20"/>
        </w:rPr>
        <w:t xml:space="preserve"> w </w:t>
      </w:r>
      <w:r w:rsidRPr="00CE549A">
        <w:rPr>
          <w:szCs w:val="20"/>
        </w:rPr>
        <w:t>ramach PI 6c.</w:t>
      </w:r>
      <w:r>
        <w:rPr>
          <w:szCs w:val="20"/>
        </w:rPr>
        <w:t xml:space="preserve"> Na podstawie analizy</w:t>
      </w:r>
      <w:r w:rsidRPr="00CE549A">
        <w:rPr>
          <w:szCs w:val="20"/>
        </w:rPr>
        <w:t xml:space="preserve"> </w:t>
      </w:r>
      <w:r>
        <w:rPr>
          <w:szCs w:val="20"/>
        </w:rPr>
        <w:t xml:space="preserve">procedur </w:t>
      </w:r>
      <w:r w:rsidRPr="00CE549A">
        <w:rPr>
          <w:szCs w:val="20"/>
        </w:rPr>
        <w:t>oceny wniosków składanych</w:t>
      </w:r>
      <w:r w:rsidR="00E66B89">
        <w:rPr>
          <w:szCs w:val="20"/>
        </w:rPr>
        <w:t xml:space="preserve"> w </w:t>
      </w:r>
      <w:r w:rsidRPr="00CE549A">
        <w:rPr>
          <w:szCs w:val="20"/>
        </w:rPr>
        <w:t xml:space="preserve">dotychczasowych naborach nie </w:t>
      </w:r>
      <w:r>
        <w:rPr>
          <w:szCs w:val="20"/>
        </w:rPr>
        <w:t>zidentyfikowano</w:t>
      </w:r>
      <w:r w:rsidRPr="00CE549A">
        <w:rPr>
          <w:szCs w:val="20"/>
        </w:rPr>
        <w:t xml:space="preserve"> znaczących problemów</w:t>
      </w:r>
      <w:r w:rsidR="00E66B89">
        <w:rPr>
          <w:szCs w:val="20"/>
        </w:rPr>
        <w:t xml:space="preserve"> w </w:t>
      </w:r>
      <w:r>
        <w:rPr>
          <w:szCs w:val="20"/>
        </w:rPr>
        <w:t>tym zakresie</w:t>
      </w:r>
      <w:r w:rsidRPr="00CE549A">
        <w:rPr>
          <w:szCs w:val="20"/>
        </w:rPr>
        <w:t xml:space="preserve">. Czynnikami potęgującymi zainteresowanie tymi środkami jest to, </w:t>
      </w:r>
      <w:r w:rsidRPr="00CE549A">
        <w:rPr>
          <w:szCs w:val="20"/>
        </w:rPr>
        <w:lastRenderedPageBreak/>
        <w:t>że środki RPO WZ stanowią praktycznie jedyne źródło wsparcia</w:t>
      </w:r>
      <w:r>
        <w:rPr>
          <w:szCs w:val="20"/>
        </w:rPr>
        <w:t xml:space="preserve"> -</w:t>
      </w:r>
      <w:r w:rsidR="00E66B89">
        <w:rPr>
          <w:szCs w:val="20"/>
        </w:rPr>
        <w:t xml:space="preserve"> w </w:t>
      </w:r>
      <w:r w:rsidRPr="00CE549A">
        <w:rPr>
          <w:szCs w:val="20"/>
        </w:rPr>
        <w:t>obecnej perspektywie finansowej</w:t>
      </w:r>
      <w:r>
        <w:rPr>
          <w:szCs w:val="20"/>
        </w:rPr>
        <w:t xml:space="preserve"> -</w:t>
      </w:r>
      <w:r w:rsidRPr="00CE549A">
        <w:rPr>
          <w:szCs w:val="20"/>
        </w:rPr>
        <w:t xml:space="preserve"> działa</w:t>
      </w:r>
      <w:r>
        <w:rPr>
          <w:szCs w:val="20"/>
        </w:rPr>
        <w:t>ń</w:t>
      </w:r>
      <w:r w:rsidRPr="00CE549A">
        <w:rPr>
          <w:szCs w:val="20"/>
        </w:rPr>
        <w:t xml:space="preserve"> skierowan</w:t>
      </w:r>
      <w:r>
        <w:rPr>
          <w:szCs w:val="20"/>
        </w:rPr>
        <w:t>ych</w:t>
      </w:r>
      <w:r w:rsidRPr="00CE549A">
        <w:rPr>
          <w:szCs w:val="20"/>
        </w:rPr>
        <w:t xml:space="preserve"> na kulturę</w:t>
      </w:r>
      <w:r>
        <w:rPr>
          <w:szCs w:val="20"/>
        </w:rPr>
        <w:t>, poza środkami POIiŚ, które adresowane są jednak do projektów</w:t>
      </w:r>
      <w:r w:rsidR="00E66B89">
        <w:rPr>
          <w:szCs w:val="20"/>
        </w:rPr>
        <w:t xml:space="preserve"> o </w:t>
      </w:r>
      <w:r>
        <w:rPr>
          <w:szCs w:val="20"/>
        </w:rPr>
        <w:t>większej wartości</w:t>
      </w:r>
      <w:r w:rsidRPr="00CE549A">
        <w:rPr>
          <w:szCs w:val="20"/>
        </w:rPr>
        <w:t>.</w:t>
      </w:r>
      <w:r>
        <w:rPr>
          <w:szCs w:val="20"/>
        </w:rPr>
        <w:t xml:space="preserve"> </w:t>
      </w:r>
    </w:p>
    <w:p w14:paraId="7578AC59" w14:textId="77777777" w:rsidR="006F4D8F"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Prognozy osiągnięcia celów zakładanych na 2023 rok</w:t>
      </w:r>
    </w:p>
    <w:p w14:paraId="3178CF04" w14:textId="77777777" w:rsidR="006F4D8F" w:rsidRPr="00404DA5" w:rsidRDefault="006F4D8F" w:rsidP="006F4D8F">
      <w:pPr>
        <w:rPr>
          <w:rFonts w:cs="Calibri"/>
          <w:szCs w:val="20"/>
        </w:rPr>
      </w:pPr>
      <w:r w:rsidRPr="00404DA5">
        <w:rPr>
          <w:rFonts w:cs="Calibri"/>
          <w:szCs w:val="20"/>
        </w:rPr>
        <w:t>W PI 6</w:t>
      </w:r>
      <w:r>
        <w:rPr>
          <w:rFonts w:cs="Calibri"/>
          <w:szCs w:val="20"/>
        </w:rPr>
        <w:t>c</w:t>
      </w:r>
      <w:r w:rsidRPr="00404DA5">
        <w:rPr>
          <w:rFonts w:cs="Calibri"/>
          <w:szCs w:val="20"/>
        </w:rPr>
        <w:t xml:space="preserve"> dostępna</w:t>
      </w:r>
      <w:r>
        <w:rPr>
          <w:rFonts w:cs="Calibri"/>
          <w:szCs w:val="20"/>
        </w:rPr>
        <w:t xml:space="preserve"> jest</w:t>
      </w:r>
      <w:r w:rsidRPr="00404DA5">
        <w:rPr>
          <w:rFonts w:cs="Calibri"/>
          <w:szCs w:val="20"/>
        </w:rPr>
        <w:t xml:space="preserve"> alokacja</w:t>
      </w:r>
      <w:r w:rsidR="00E66B89">
        <w:rPr>
          <w:rFonts w:cs="Calibri"/>
          <w:szCs w:val="20"/>
        </w:rPr>
        <w:t xml:space="preserve"> w </w:t>
      </w:r>
      <w:r w:rsidRPr="00404DA5">
        <w:rPr>
          <w:rFonts w:cs="Calibri"/>
          <w:szCs w:val="20"/>
        </w:rPr>
        <w:t xml:space="preserve">wysokości </w:t>
      </w:r>
      <w:r w:rsidRPr="00F718B0">
        <w:rPr>
          <w:rFonts w:cs="Calibri"/>
          <w:szCs w:val="20"/>
        </w:rPr>
        <w:t>23</w:t>
      </w:r>
      <w:r>
        <w:rPr>
          <w:rFonts w:cs="Calibri"/>
          <w:szCs w:val="20"/>
        </w:rPr>
        <w:t xml:space="preserve"> </w:t>
      </w:r>
      <w:r w:rsidRPr="00F718B0">
        <w:rPr>
          <w:rFonts w:cs="Calibri"/>
          <w:szCs w:val="20"/>
        </w:rPr>
        <w:t>634</w:t>
      </w:r>
      <w:r>
        <w:rPr>
          <w:rFonts w:cs="Calibri"/>
          <w:szCs w:val="20"/>
        </w:rPr>
        <w:t xml:space="preserve"> </w:t>
      </w:r>
      <w:r w:rsidRPr="00F718B0">
        <w:rPr>
          <w:rFonts w:cs="Calibri"/>
          <w:szCs w:val="20"/>
        </w:rPr>
        <w:t>328,25</w:t>
      </w:r>
      <w:r w:rsidRPr="00404DA5">
        <w:rPr>
          <w:rFonts w:cs="Calibri"/>
          <w:szCs w:val="20"/>
        </w:rPr>
        <w:t xml:space="preserve"> zł (kwota</w:t>
      </w:r>
      <w:r w:rsidR="00E66B89">
        <w:rPr>
          <w:rFonts w:cs="Calibri"/>
          <w:szCs w:val="20"/>
        </w:rPr>
        <w:t xml:space="preserve"> z </w:t>
      </w:r>
      <w:r w:rsidRPr="00404DA5">
        <w:rPr>
          <w:rFonts w:cs="Calibri"/>
          <w:szCs w:val="20"/>
        </w:rPr>
        <w:t xml:space="preserve">rezerwą wykonania). </w:t>
      </w:r>
      <w:r>
        <w:rPr>
          <w:rFonts w:cs="Calibri"/>
          <w:szCs w:val="20"/>
        </w:rPr>
        <w:t>Z</w:t>
      </w:r>
      <w:r w:rsidRPr="00404DA5">
        <w:rPr>
          <w:rFonts w:cs="Calibri"/>
          <w:szCs w:val="20"/>
        </w:rPr>
        <w:t>akłada</w:t>
      </w:r>
      <w:r>
        <w:rPr>
          <w:rFonts w:cs="Calibri"/>
          <w:szCs w:val="20"/>
        </w:rPr>
        <w:t xml:space="preserve"> się</w:t>
      </w:r>
      <w:r w:rsidRPr="00404DA5">
        <w:rPr>
          <w:rFonts w:cs="Calibri"/>
          <w:szCs w:val="20"/>
        </w:rPr>
        <w:t>, iż</w:t>
      </w:r>
      <w:r w:rsidR="00E66B89">
        <w:rPr>
          <w:rFonts w:cs="Calibri"/>
          <w:szCs w:val="20"/>
        </w:rPr>
        <w:t xml:space="preserve"> w </w:t>
      </w:r>
      <w:r w:rsidRPr="00404DA5">
        <w:rPr>
          <w:rFonts w:cs="Calibri"/>
          <w:szCs w:val="20"/>
        </w:rPr>
        <w:t xml:space="preserve">ramach </w:t>
      </w:r>
      <w:r>
        <w:rPr>
          <w:rFonts w:cs="Calibri"/>
          <w:szCs w:val="20"/>
        </w:rPr>
        <w:t>nowych</w:t>
      </w:r>
      <w:r w:rsidRPr="00404DA5">
        <w:rPr>
          <w:rFonts w:cs="Calibri"/>
          <w:szCs w:val="20"/>
        </w:rPr>
        <w:t xml:space="preserve"> nabor</w:t>
      </w:r>
      <w:r>
        <w:rPr>
          <w:rFonts w:cs="Calibri"/>
          <w:szCs w:val="20"/>
        </w:rPr>
        <w:t>ów</w:t>
      </w:r>
      <w:r w:rsidRPr="00404DA5">
        <w:rPr>
          <w:rFonts w:cs="Calibri"/>
          <w:szCs w:val="20"/>
        </w:rPr>
        <w:t xml:space="preserve"> wpłynie wystarczająca liczba projektów</w:t>
      </w:r>
      <w:r>
        <w:rPr>
          <w:rFonts w:cs="Calibri"/>
          <w:szCs w:val="20"/>
        </w:rPr>
        <w:t>,</w:t>
      </w:r>
      <w:r w:rsidRPr="00404DA5">
        <w:rPr>
          <w:rFonts w:cs="Calibri"/>
          <w:szCs w:val="20"/>
        </w:rPr>
        <w:t xml:space="preserve"> by móc zakontraktować całą </w:t>
      </w:r>
      <w:r>
        <w:rPr>
          <w:rFonts w:cs="Calibri"/>
          <w:szCs w:val="20"/>
        </w:rPr>
        <w:t>tą kwotę</w:t>
      </w:r>
      <w:r w:rsidRPr="00404DA5">
        <w:rPr>
          <w:rFonts w:cs="Calibri"/>
          <w:szCs w:val="20"/>
        </w:rPr>
        <w:t>.</w:t>
      </w:r>
    </w:p>
    <w:p w14:paraId="02AA8986" w14:textId="77777777" w:rsidR="006F4D8F" w:rsidRPr="00404DA5" w:rsidRDefault="006F4D8F" w:rsidP="006F4D8F">
      <w:pPr>
        <w:rPr>
          <w:rFonts w:cs="Calibri"/>
          <w:szCs w:val="20"/>
        </w:rPr>
      </w:pPr>
      <w:r w:rsidRPr="00404DA5">
        <w:rPr>
          <w:rFonts w:cs="Calibri"/>
          <w:szCs w:val="20"/>
        </w:rPr>
        <w:t>Informacje nt. kosztów jednostkowych poszczególnych wskaźników zaprezentowano</w:t>
      </w:r>
      <w:r w:rsidR="00E66B89">
        <w:rPr>
          <w:rFonts w:cs="Calibri"/>
          <w:szCs w:val="20"/>
        </w:rPr>
        <w:t xml:space="preserve"> w </w:t>
      </w:r>
      <w:r w:rsidRPr="00404DA5">
        <w:rPr>
          <w:rFonts w:cs="Calibri"/>
          <w:szCs w:val="20"/>
        </w:rPr>
        <w:t>podrozdziale opisującym ocenę postępów realizacji PI.</w:t>
      </w:r>
      <w:r w:rsidR="00E66B89">
        <w:rPr>
          <w:rFonts w:cs="Calibri"/>
          <w:szCs w:val="20"/>
        </w:rPr>
        <w:t xml:space="preserve"> W </w:t>
      </w:r>
      <w:r w:rsidRPr="00404DA5">
        <w:rPr>
          <w:rFonts w:cs="Calibri"/>
          <w:szCs w:val="20"/>
        </w:rPr>
        <w:t xml:space="preserve">miejscu tym </w:t>
      </w:r>
      <w:r>
        <w:rPr>
          <w:rFonts w:cs="Calibri"/>
          <w:szCs w:val="20"/>
        </w:rPr>
        <w:t>e</w:t>
      </w:r>
      <w:r w:rsidRPr="00404DA5">
        <w:rPr>
          <w:rFonts w:cs="Calibri"/>
          <w:szCs w:val="20"/>
        </w:rPr>
        <w:t>waluator zamieścił stosowny komentarz do trafności przyjętych wartości kosztów jednostkowych.</w:t>
      </w:r>
      <w:r>
        <w:rPr>
          <w:rFonts w:cs="Calibri"/>
          <w:szCs w:val="20"/>
        </w:rPr>
        <w:t xml:space="preserve"> Do wyliczenia kosztów jednostkowych na lata 2019-2023 wykorzystano informację</w:t>
      </w:r>
      <w:r w:rsidR="00E66B89">
        <w:rPr>
          <w:rFonts w:cs="Calibri"/>
          <w:szCs w:val="20"/>
        </w:rPr>
        <w:t xml:space="preserve"> o </w:t>
      </w:r>
      <w:r>
        <w:rPr>
          <w:rFonts w:cs="Calibri"/>
          <w:szCs w:val="20"/>
        </w:rPr>
        <w:t>dotychczasowych kosztach liczonych na podstawie zawartych do 07.01.2019 r. UoD zaktualizowanych</w:t>
      </w:r>
      <w:r w:rsidR="00E66B89">
        <w:rPr>
          <w:rFonts w:cs="Calibri"/>
          <w:szCs w:val="20"/>
        </w:rPr>
        <w:t xml:space="preserve"> o </w:t>
      </w:r>
      <w:r>
        <w:rPr>
          <w:rFonts w:cs="Calibri"/>
          <w:szCs w:val="20"/>
        </w:rPr>
        <w:t>odpowiednie wartości indeksów (zgodnie</w:t>
      </w:r>
      <w:r w:rsidR="00E66B89">
        <w:rPr>
          <w:rFonts w:cs="Calibri"/>
          <w:szCs w:val="20"/>
        </w:rPr>
        <w:t xml:space="preserve"> z </w:t>
      </w:r>
      <w:r>
        <w:rPr>
          <w:rFonts w:cs="Calibri"/>
          <w:szCs w:val="20"/>
        </w:rPr>
        <w:t>informacjami zawartymi we wprowadzeniu do raportu).</w:t>
      </w:r>
    </w:p>
    <w:p w14:paraId="636A8E94" w14:textId="77777777" w:rsidR="006F4D8F" w:rsidRPr="00CE549A" w:rsidRDefault="006F4D8F" w:rsidP="006F4D8F">
      <w:pPr>
        <w:rPr>
          <w:szCs w:val="20"/>
        </w:rPr>
      </w:pPr>
      <w:r w:rsidRPr="00CE549A">
        <w:rPr>
          <w:szCs w:val="20"/>
        </w:rPr>
        <w:t xml:space="preserve">Aktualny stan wdrażania RPO WZ zapewni </w:t>
      </w:r>
      <w:r>
        <w:rPr>
          <w:szCs w:val="20"/>
        </w:rPr>
        <w:t>osiągnięcie</w:t>
      </w:r>
      <w:r w:rsidRPr="00CE549A">
        <w:rPr>
          <w:szCs w:val="20"/>
        </w:rPr>
        <w:t xml:space="preserve"> wartości docelow</w:t>
      </w:r>
      <w:r>
        <w:rPr>
          <w:szCs w:val="20"/>
        </w:rPr>
        <w:t>ych</w:t>
      </w:r>
      <w:r w:rsidRPr="00CE549A">
        <w:rPr>
          <w:szCs w:val="20"/>
        </w:rPr>
        <w:t xml:space="preserve"> wskaźników. Wszystkie wskaźniki zostaną </w:t>
      </w:r>
      <w:r>
        <w:rPr>
          <w:szCs w:val="20"/>
        </w:rPr>
        <w:t>osiągnięte</w:t>
      </w:r>
      <w:r w:rsidRPr="00CE549A">
        <w:rPr>
          <w:szCs w:val="20"/>
        </w:rPr>
        <w:t xml:space="preserve"> (ponadto prognozuje się przekroczenie</w:t>
      </w:r>
      <w:r>
        <w:rPr>
          <w:szCs w:val="20"/>
        </w:rPr>
        <w:t xml:space="preserve"> ich</w:t>
      </w:r>
      <w:r w:rsidRPr="00CE549A">
        <w:rPr>
          <w:szCs w:val="20"/>
        </w:rPr>
        <w:t xml:space="preserve"> wartości docelowych).</w:t>
      </w:r>
      <w:r w:rsidR="00E66B89">
        <w:rPr>
          <w:szCs w:val="20"/>
        </w:rPr>
        <w:t xml:space="preserve"> Z </w:t>
      </w:r>
      <w:r w:rsidRPr="00CE549A">
        <w:rPr>
          <w:szCs w:val="20"/>
        </w:rPr>
        <w:t>uwagi na duże zainteresowanie wnioskodawców można wskazać, że dostępna alokacja nie wystarczy na sfinansowanie wszystkich złożonych wniosków dotyczących ochrony dziedzictwa kulturowego. Dobór wskaźników</w:t>
      </w:r>
      <w:r w:rsidR="00E66B89">
        <w:rPr>
          <w:szCs w:val="20"/>
        </w:rPr>
        <w:t xml:space="preserve"> w </w:t>
      </w:r>
      <w:r w:rsidRPr="00CE549A">
        <w:rPr>
          <w:szCs w:val="20"/>
        </w:rPr>
        <w:t>ramach PI 6c uznać należy za trafny. Wprost wpisują się one</w:t>
      </w:r>
      <w:r w:rsidR="00E66B89">
        <w:rPr>
          <w:szCs w:val="20"/>
        </w:rPr>
        <w:t xml:space="preserve"> w </w:t>
      </w:r>
      <w:r w:rsidRPr="00CE549A">
        <w:rPr>
          <w:szCs w:val="20"/>
        </w:rPr>
        <w:t>zamierzone do realizacji cele. Ponadto dobrze reprezentują efekty, jaki</w:t>
      </w:r>
      <w:r>
        <w:rPr>
          <w:szCs w:val="20"/>
        </w:rPr>
        <w:t>e</w:t>
      </w:r>
      <w:r w:rsidRPr="00CE549A">
        <w:rPr>
          <w:szCs w:val="20"/>
        </w:rPr>
        <w:t xml:space="preserve"> są osiągane dzięki wspieraniu projektów</w:t>
      </w:r>
      <w:r>
        <w:rPr>
          <w:szCs w:val="20"/>
        </w:rPr>
        <w:t xml:space="preserve"> – co potwierdzają wyniki badania CAWI</w:t>
      </w:r>
      <w:r w:rsidR="00E66B89">
        <w:rPr>
          <w:szCs w:val="20"/>
        </w:rPr>
        <w:t xml:space="preserve"> z </w:t>
      </w:r>
      <w:r>
        <w:rPr>
          <w:szCs w:val="20"/>
        </w:rPr>
        <w:t>beneficjentami (w </w:t>
      </w:r>
      <w:r w:rsidRPr="00CE549A">
        <w:rPr>
          <w:szCs w:val="20"/>
        </w:rPr>
        <w:t xml:space="preserve">ocenie przeważającej większości </w:t>
      </w:r>
      <w:r>
        <w:rPr>
          <w:szCs w:val="20"/>
        </w:rPr>
        <w:t>badanych,</w:t>
      </w:r>
      <w:r w:rsidRPr="00CE549A">
        <w:rPr>
          <w:szCs w:val="20"/>
        </w:rPr>
        <w:t xml:space="preserve"> wskaźniki RPO trafnie mierzą efekty</w:t>
      </w:r>
      <w:r>
        <w:rPr>
          <w:szCs w:val="20"/>
        </w:rPr>
        <w:t>,</w:t>
      </w:r>
      <w:r w:rsidRPr="00CE549A">
        <w:rPr>
          <w:szCs w:val="20"/>
        </w:rPr>
        <w:t xml:space="preserve"> tj. odnoszą się do rzeczywistych efektów projekt</w:t>
      </w:r>
      <w:r>
        <w:rPr>
          <w:szCs w:val="20"/>
        </w:rPr>
        <w:t>ów</w:t>
      </w:r>
      <w:r w:rsidRPr="00CE549A">
        <w:rPr>
          <w:szCs w:val="20"/>
        </w:rPr>
        <w:t>). Co istotne, żaden</w:t>
      </w:r>
      <w:r w:rsidR="00E66B89">
        <w:rPr>
          <w:szCs w:val="20"/>
        </w:rPr>
        <w:t xml:space="preserve"> z </w:t>
      </w:r>
      <w:r w:rsidRPr="00CE549A">
        <w:rPr>
          <w:szCs w:val="20"/>
        </w:rPr>
        <w:t>beneficjentów nie wskazał</w:t>
      </w:r>
      <w:r w:rsidR="00E66B89">
        <w:rPr>
          <w:szCs w:val="20"/>
        </w:rPr>
        <w:t xml:space="preserve"> w </w:t>
      </w:r>
      <w:r w:rsidRPr="00CE549A">
        <w:rPr>
          <w:szCs w:val="20"/>
        </w:rPr>
        <w:t>badaniu ilościowym, iż spodziewa się wystąpienia trudności</w:t>
      </w:r>
      <w:r w:rsidR="00E66B89">
        <w:rPr>
          <w:szCs w:val="20"/>
        </w:rPr>
        <w:t xml:space="preserve"> w </w:t>
      </w:r>
      <w:r w:rsidRPr="00CE549A">
        <w:rPr>
          <w:szCs w:val="20"/>
        </w:rPr>
        <w:t xml:space="preserve">osiągnięciu założonych wartości wskaźników. </w:t>
      </w:r>
    </w:p>
    <w:p w14:paraId="09ECA6C0" w14:textId="77777777" w:rsidR="006F4D8F" w:rsidRPr="006E34DC" w:rsidRDefault="006F4D8F" w:rsidP="006E34DC">
      <w:pPr>
        <w:pStyle w:val="Legenda"/>
        <w:spacing w:after="0"/>
      </w:pPr>
      <w:bookmarkStart w:id="127" w:name="_Toc8824170"/>
      <w:r w:rsidRPr="00404DA5">
        <w:t xml:space="preserve">Tabela </w:t>
      </w:r>
      <w:r>
        <w:fldChar w:fldCharType="begin"/>
      </w:r>
      <w:r>
        <w:instrText xml:space="preserve"> SEQ Tabela \* ARABIC </w:instrText>
      </w:r>
      <w:r>
        <w:fldChar w:fldCharType="separate"/>
      </w:r>
      <w:r w:rsidR="00763345">
        <w:rPr>
          <w:noProof/>
        </w:rPr>
        <w:t>59</w:t>
      </w:r>
      <w:r>
        <w:fldChar w:fldCharType="end"/>
      </w:r>
      <w:r w:rsidRPr="00404DA5">
        <w:t xml:space="preserve"> Prognozowany poziom realizacji wskaźników produktu</w:t>
      </w:r>
      <w:r w:rsidR="00E66B89">
        <w:t xml:space="preserve"> i </w:t>
      </w:r>
      <w:r w:rsidRPr="00404DA5">
        <w:t>rezultatu bezpośredniego na rok 2023 – PI 6c</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113"/>
        <w:gridCol w:w="1362"/>
        <w:gridCol w:w="1743"/>
        <w:gridCol w:w="1769"/>
      </w:tblGrid>
      <w:tr w:rsidR="006F4D8F" w:rsidRPr="00FA5A5E" w14:paraId="324F9565" w14:textId="77777777" w:rsidTr="006F4D8F">
        <w:trPr>
          <w:tblHeader/>
        </w:trPr>
        <w:tc>
          <w:tcPr>
            <w:tcW w:w="0" w:type="auto"/>
            <w:shd w:val="clear" w:color="auto" w:fill="DBE5F1"/>
            <w:vAlign w:val="center"/>
          </w:tcPr>
          <w:p w14:paraId="56C5DC34" w14:textId="77777777" w:rsidR="006F4D8F" w:rsidRPr="00404DA5" w:rsidRDefault="006F4D8F" w:rsidP="006F4D8F">
            <w:pPr>
              <w:jc w:val="center"/>
              <w:rPr>
                <w:rFonts w:cs="Calibri"/>
                <w:sz w:val="18"/>
                <w:szCs w:val="20"/>
              </w:rPr>
            </w:pPr>
            <w:r w:rsidRPr="00404DA5">
              <w:rPr>
                <w:rFonts w:cs="Calibri"/>
                <w:sz w:val="18"/>
                <w:szCs w:val="20"/>
              </w:rPr>
              <w:t>Typ wskaźnika</w:t>
            </w:r>
          </w:p>
        </w:tc>
        <w:tc>
          <w:tcPr>
            <w:tcW w:w="0" w:type="auto"/>
            <w:shd w:val="clear" w:color="auto" w:fill="DBE5F1"/>
            <w:vAlign w:val="center"/>
          </w:tcPr>
          <w:p w14:paraId="7F9DA987" w14:textId="77777777" w:rsidR="006F4D8F" w:rsidRPr="00404DA5" w:rsidRDefault="006F4D8F" w:rsidP="006F4D8F">
            <w:pPr>
              <w:jc w:val="center"/>
              <w:rPr>
                <w:rFonts w:cs="Calibri"/>
                <w:sz w:val="18"/>
                <w:szCs w:val="20"/>
              </w:rPr>
            </w:pPr>
            <w:r w:rsidRPr="00404DA5">
              <w:rPr>
                <w:rFonts w:cs="Calibri"/>
                <w:sz w:val="18"/>
                <w:szCs w:val="20"/>
              </w:rPr>
              <w:t>Wskaźnik</w:t>
            </w:r>
          </w:p>
        </w:tc>
        <w:tc>
          <w:tcPr>
            <w:tcW w:w="0" w:type="auto"/>
            <w:shd w:val="clear" w:color="auto" w:fill="DBE5F1"/>
            <w:vAlign w:val="center"/>
          </w:tcPr>
          <w:p w14:paraId="5E7D9CCC" w14:textId="77777777" w:rsidR="006F4D8F" w:rsidRPr="00404DA5" w:rsidRDefault="006F4D8F" w:rsidP="006F4D8F">
            <w:pPr>
              <w:jc w:val="center"/>
              <w:rPr>
                <w:rFonts w:cs="Calibri"/>
                <w:sz w:val="18"/>
                <w:szCs w:val="20"/>
              </w:rPr>
            </w:pPr>
            <w:r w:rsidRPr="00404DA5">
              <w:rPr>
                <w:rFonts w:cs="Calibri"/>
                <w:sz w:val="18"/>
                <w:szCs w:val="20"/>
              </w:rPr>
              <w:t>Wartość docelowa określona na 2023 rok</w:t>
            </w:r>
          </w:p>
        </w:tc>
        <w:tc>
          <w:tcPr>
            <w:tcW w:w="0" w:type="auto"/>
            <w:shd w:val="clear" w:color="auto" w:fill="DBE5F1"/>
            <w:vAlign w:val="center"/>
          </w:tcPr>
          <w:p w14:paraId="13F52896" w14:textId="77777777" w:rsidR="006F4D8F" w:rsidRPr="00404DA5" w:rsidRDefault="006F4D8F" w:rsidP="006F4D8F">
            <w:pPr>
              <w:jc w:val="center"/>
              <w:rPr>
                <w:rFonts w:cs="Calibri"/>
                <w:sz w:val="18"/>
                <w:szCs w:val="20"/>
              </w:rPr>
            </w:pPr>
            <w:r w:rsidRPr="00404DA5">
              <w:rPr>
                <w:rFonts w:cs="Calibri"/>
                <w:sz w:val="18"/>
                <w:szCs w:val="20"/>
              </w:rPr>
              <w:t>Prognozowana całkowita wartość wskaźnika</w:t>
            </w:r>
          </w:p>
        </w:tc>
        <w:tc>
          <w:tcPr>
            <w:tcW w:w="0" w:type="auto"/>
            <w:shd w:val="clear" w:color="auto" w:fill="DBE5F1"/>
            <w:vAlign w:val="center"/>
          </w:tcPr>
          <w:p w14:paraId="3F22BA3D" w14:textId="77777777" w:rsidR="006F4D8F" w:rsidRPr="00404DA5" w:rsidRDefault="006F4D8F" w:rsidP="006F4D8F">
            <w:pPr>
              <w:jc w:val="center"/>
              <w:rPr>
                <w:rFonts w:cs="Calibri"/>
                <w:sz w:val="18"/>
                <w:szCs w:val="20"/>
              </w:rPr>
            </w:pPr>
            <w:r w:rsidRPr="00404DA5">
              <w:rPr>
                <w:rFonts w:cs="Calibri"/>
                <w:sz w:val="18"/>
                <w:szCs w:val="20"/>
              </w:rPr>
              <w:t>Prognozowany % realizacji wartości docelowej</w:t>
            </w:r>
          </w:p>
        </w:tc>
      </w:tr>
      <w:tr w:rsidR="006F4D8F" w:rsidRPr="00FA5A5E" w14:paraId="286E235E" w14:textId="77777777" w:rsidTr="006F4D8F">
        <w:trPr>
          <w:tblHeader/>
        </w:trPr>
        <w:tc>
          <w:tcPr>
            <w:tcW w:w="0" w:type="auto"/>
            <w:shd w:val="clear" w:color="auto" w:fill="auto"/>
            <w:vAlign w:val="center"/>
          </w:tcPr>
          <w:p w14:paraId="3223185D" w14:textId="77777777" w:rsidR="006F4D8F" w:rsidRPr="00404DA5" w:rsidRDefault="006F4D8F" w:rsidP="006F4D8F">
            <w:pPr>
              <w:jc w:val="center"/>
              <w:rPr>
                <w:rFonts w:cs="Calibri"/>
                <w:sz w:val="18"/>
                <w:szCs w:val="20"/>
              </w:rPr>
            </w:pPr>
            <w:r w:rsidRPr="00404DA5">
              <w:rPr>
                <w:rFonts w:cs="Calibri"/>
                <w:sz w:val="18"/>
                <w:szCs w:val="20"/>
              </w:rPr>
              <w:t>WP</w:t>
            </w:r>
          </w:p>
        </w:tc>
        <w:tc>
          <w:tcPr>
            <w:tcW w:w="0" w:type="auto"/>
            <w:shd w:val="clear" w:color="auto" w:fill="auto"/>
            <w:vAlign w:val="center"/>
          </w:tcPr>
          <w:p w14:paraId="076A6501" w14:textId="77777777" w:rsidR="006F4D8F" w:rsidRPr="00404DA5" w:rsidRDefault="006F4D8F" w:rsidP="006F4D8F">
            <w:pPr>
              <w:jc w:val="left"/>
              <w:rPr>
                <w:rFonts w:cs="Calibri"/>
                <w:sz w:val="18"/>
                <w:szCs w:val="20"/>
              </w:rPr>
            </w:pPr>
            <w:r w:rsidRPr="00404DA5">
              <w:rPr>
                <w:sz w:val="18"/>
                <w:szCs w:val="20"/>
              </w:rPr>
              <w:t>Liczba zabytków nieruchomych objętych wsparciem</w:t>
            </w:r>
          </w:p>
        </w:tc>
        <w:tc>
          <w:tcPr>
            <w:tcW w:w="0" w:type="auto"/>
            <w:shd w:val="clear" w:color="auto" w:fill="auto"/>
            <w:vAlign w:val="center"/>
          </w:tcPr>
          <w:p w14:paraId="17B19A34" w14:textId="77777777" w:rsidR="006F4D8F" w:rsidRPr="00404DA5" w:rsidRDefault="006F4D8F" w:rsidP="006F4D8F">
            <w:pPr>
              <w:jc w:val="center"/>
              <w:rPr>
                <w:rFonts w:cs="Calibri"/>
                <w:sz w:val="18"/>
                <w:szCs w:val="20"/>
              </w:rPr>
            </w:pPr>
            <w:r w:rsidRPr="00404DA5">
              <w:rPr>
                <w:rFonts w:cs="Calibri"/>
                <w:sz w:val="18"/>
                <w:szCs w:val="20"/>
              </w:rPr>
              <w:t>19</w:t>
            </w:r>
          </w:p>
        </w:tc>
        <w:tc>
          <w:tcPr>
            <w:tcW w:w="0" w:type="auto"/>
            <w:shd w:val="clear" w:color="auto" w:fill="auto"/>
            <w:vAlign w:val="center"/>
          </w:tcPr>
          <w:p w14:paraId="13757145" w14:textId="77777777" w:rsidR="006F4D8F" w:rsidRPr="00404DA5" w:rsidRDefault="006F4D8F" w:rsidP="006F4D8F">
            <w:pPr>
              <w:jc w:val="center"/>
              <w:rPr>
                <w:rFonts w:cs="Calibri"/>
                <w:sz w:val="18"/>
                <w:szCs w:val="20"/>
              </w:rPr>
            </w:pPr>
            <w:r>
              <w:rPr>
                <w:rFonts w:cs="Calibri"/>
                <w:sz w:val="18"/>
                <w:szCs w:val="20"/>
              </w:rPr>
              <w:t>39</w:t>
            </w:r>
          </w:p>
        </w:tc>
        <w:tc>
          <w:tcPr>
            <w:tcW w:w="0" w:type="auto"/>
            <w:shd w:val="clear" w:color="auto" w:fill="auto"/>
            <w:vAlign w:val="center"/>
          </w:tcPr>
          <w:p w14:paraId="1B871645" w14:textId="77777777" w:rsidR="006F4D8F" w:rsidRPr="00404DA5" w:rsidRDefault="006F4D8F" w:rsidP="006F4D8F">
            <w:pPr>
              <w:jc w:val="center"/>
              <w:rPr>
                <w:rFonts w:cs="Calibri"/>
                <w:sz w:val="18"/>
                <w:szCs w:val="20"/>
              </w:rPr>
            </w:pPr>
            <w:r w:rsidRPr="00404DA5">
              <w:rPr>
                <w:rFonts w:cs="Calibri"/>
                <w:sz w:val="18"/>
                <w:szCs w:val="20"/>
              </w:rPr>
              <w:t>20</w:t>
            </w:r>
            <w:r>
              <w:rPr>
                <w:rFonts w:cs="Calibri"/>
                <w:sz w:val="18"/>
                <w:szCs w:val="20"/>
              </w:rPr>
              <w:t>7</w:t>
            </w:r>
            <w:r w:rsidRPr="00404DA5">
              <w:rPr>
                <w:rFonts w:cs="Calibri"/>
                <w:sz w:val="18"/>
                <w:szCs w:val="20"/>
              </w:rPr>
              <w:t>,</w:t>
            </w:r>
            <w:r>
              <w:rPr>
                <w:rFonts w:cs="Calibri"/>
                <w:sz w:val="18"/>
                <w:szCs w:val="20"/>
              </w:rPr>
              <w:t>3</w:t>
            </w:r>
            <w:r w:rsidRPr="00404DA5">
              <w:rPr>
                <w:rFonts w:cs="Calibri"/>
                <w:sz w:val="18"/>
                <w:szCs w:val="20"/>
              </w:rPr>
              <w:t>%</w:t>
            </w:r>
          </w:p>
        </w:tc>
      </w:tr>
      <w:tr w:rsidR="006F4D8F" w:rsidRPr="00FA5A5E" w14:paraId="58BE851D" w14:textId="77777777" w:rsidTr="006F4D8F">
        <w:trPr>
          <w:tblHeader/>
        </w:trPr>
        <w:tc>
          <w:tcPr>
            <w:tcW w:w="0" w:type="auto"/>
            <w:shd w:val="clear" w:color="auto" w:fill="auto"/>
            <w:vAlign w:val="center"/>
          </w:tcPr>
          <w:p w14:paraId="244F9FDF" w14:textId="77777777" w:rsidR="006F4D8F" w:rsidRPr="00404DA5" w:rsidRDefault="006F4D8F" w:rsidP="006F4D8F">
            <w:pPr>
              <w:jc w:val="center"/>
              <w:rPr>
                <w:rFonts w:cs="Calibri"/>
                <w:sz w:val="18"/>
                <w:szCs w:val="20"/>
              </w:rPr>
            </w:pPr>
            <w:r w:rsidRPr="00404DA5">
              <w:rPr>
                <w:rFonts w:cs="Calibri"/>
                <w:sz w:val="18"/>
                <w:szCs w:val="20"/>
              </w:rPr>
              <w:t>WP</w:t>
            </w:r>
          </w:p>
        </w:tc>
        <w:tc>
          <w:tcPr>
            <w:tcW w:w="0" w:type="auto"/>
            <w:shd w:val="clear" w:color="auto" w:fill="auto"/>
            <w:vAlign w:val="center"/>
          </w:tcPr>
          <w:p w14:paraId="1DB4F5DF" w14:textId="77777777" w:rsidR="006F4D8F" w:rsidRPr="00404DA5" w:rsidRDefault="006F4D8F" w:rsidP="006F4D8F">
            <w:pPr>
              <w:jc w:val="left"/>
              <w:rPr>
                <w:rFonts w:cs="Calibri"/>
                <w:sz w:val="18"/>
                <w:szCs w:val="20"/>
              </w:rPr>
            </w:pPr>
            <w:r w:rsidRPr="00404DA5">
              <w:rPr>
                <w:sz w:val="18"/>
                <w:szCs w:val="20"/>
              </w:rPr>
              <w:t>Liczba instytucji kultury objętych wsparciem</w:t>
            </w:r>
          </w:p>
        </w:tc>
        <w:tc>
          <w:tcPr>
            <w:tcW w:w="0" w:type="auto"/>
            <w:shd w:val="clear" w:color="auto" w:fill="auto"/>
            <w:vAlign w:val="center"/>
          </w:tcPr>
          <w:p w14:paraId="424926E8" w14:textId="77777777" w:rsidR="006F4D8F" w:rsidRPr="00404DA5" w:rsidRDefault="006F4D8F" w:rsidP="006F4D8F">
            <w:pPr>
              <w:jc w:val="center"/>
              <w:rPr>
                <w:rFonts w:cs="Calibri"/>
                <w:sz w:val="18"/>
                <w:szCs w:val="20"/>
              </w:rPr>
            </w:pPr>
            <w:r w:rsidRPr="00404DA5">
              <w:rPr>
                <w:rFonts w:cs="Calibri"/>
                <w:sz w:val="18"/>
                <w:szCs w:val="20"/>
              </w:rPr>
              <w:t>1</w:t>
            </w:r>
          </w:p>
        </w:tc>
        <w:tc>
          <w:tcPr>
            <w:tcW w:w="0" w:type="auto"/>
            <w:shd w:val="clear" w:color="auto" w:fill="auto"/>
            <w:vAlign w:val="center"/>
          </w:tcPr>
          <w:p w14:paraId="0B666348" w14:textId="77777777" w:rsidR="006F4D8F" w:rsidRPr="00404DA5" w:rsidRDefault="006F4D8F" w:rsidP="006F4D8F">
            <w:pPr>
              <w:jc w:val="center"/>
              <w:rPr>
                <w:rFonts w:cs="Calibri"/>
                <w:sz w:val="18"/>
                <w:szCs w:val="20"/>
              </w:rPr>
            </w:pPr>
            <w:r w:rsidRPr="00404DA5">
              <w:rPr>
                <w:rFonts w:cs="Calibri"/>
                <w:sz w:val="18"/>
                <w:szCs w:val="20"/>
              </w:rPr>
              <w:t>1</w:t>
            </w:r>
          </w:p>
        </w:tc>
        <w:tc>
          <w:tcPr>
            <w:tcW w:w="0" w:type="auto"/>
            <w:shd w:val="clear" w:color="auto" w:fill="auto"/>
            <w:vAlign w:val="center"/>
          </w:tcPr>
          <w:p w14:paraId="71FB8231" w14:textId="77777777" w:rsidR="006F4D8F" w:rsidRPr="00404DA5" w:rsidRDefault="006F4D8F" w:rsidP="006F4D8F">
            <w:pPr>
              <w:jc w:val="center"/>
              <w:rPr>
                <w:rFonts w:cs="Calibri"/>
                <w:sz w:val="18"/>
                <w:szCs w:val="20"/>
              </w:rPr>
            </w:pPr>
            <w:r w:rsidRPr="00404DA5">
              <w:rPr>
                <w:rFonts w:cs="Calibri"/>
                <w:sz w:val="18"/>
                <w:szCs w:val="20"/>
              </w:rPr>
              <w:t>100,0%</w:t>
            </w:r>
          </w:p>
        </w:tc>
      </w:tr>
      <w:tr w:rsidR="006F4D8F" w:rsidRPr="00FA5A5E" w14:paraId="6A0A42AE" w14:textId="77777777" w:rsidTr="006F4D8F">
        <w:trPr>
          <w:tblHeader/>
        </w:trPr>
        <w:tc>
          <w:tcPr>
            <w:tcW w:w="0" w:type="auto"/>
            <w:shd w:val="clear" w:color="auto" w:fill="auto"/>
            <w:vAlign w:val="center"/>
          </w:tcPr>
          <w:p w14:paraId="2005985B" w14:textId="77777777" w:rsidR="006F4D8F" w:rsidRPr="00404DA5" w:rsidRDefault="006F4D8F" w:rsidP="006F4D8F">
            <w:pPr>
              <w:jc w:val="center"/>
              <w:rPr>
                <w:rFonts w:cs="Calibri"/>
                <w:sz w:val="18"/>
                <w:szCs w:val="20"/>
              </w:rPr>
            </w:pPr>
            <w:r w:rsidRPr="00404DA5">
              <w:rPr>
                <w:rFonts w:cs="Calibri"/>
                <w:sz w:val="18"/>
                <w:szCs w:val="20"/>
              </w:rPr>
              <w:t>WR</w:t>
            </w:r>
          </w:p>
        </w:tc>
        <w:tc>
          <w:tcPr>
            <w:tcW w:w="0" w:type="auto"/>
            <w:shd w:val="clear" w:color="auto" w:fill="auto"/>
            <w:vAlign w:val="center"/>
          </w:tcPr>
          <w:p w14:paraId="11B2A757" w14:textId="77777777" w:rsidR="006F4D8F" w:rsidRPr="00404DA5" w:rsidRDefault="006F4D8F" w:rsidP="006F4D8F">
            <w:pPr>
              <w:jc w:val="left"/>
              <w:rPr>
                <w:rFonts w:cs="Calibri"/>
                <w:sz w:val="18"/>
                <w:szCs w:val="20"/>
              </w:rPr>
            </w:pPr>
            <w:r w:rsidRPr="00404DA5">
              <w:rPr>
                <w:sz w:val="18"/>
                <w:szCs w:val="20"/>
              </w:rPr>
              <w:t>Wzrost oczekiwanej liczby odwiedzin</w:t>
            </w:r>
            <w:r w:rsidR="00E66B89">
              <w:rPr>
                <w:sz w:val="18"/>
                <w:szCs w:val="20"/>
              </w:rPr>
              <w:t xml:space="preserve"> w </w:t>
            </w:r>
            <w:r w:rsidRPr="00404DA5">
              <w:rPr>
                <w:sz w:val="18"/>
                <w:szCs w:val="20"/>
              </w:rPr>
              <w:t>objętych wsparciem miejscach należących do dziedzictwa kulturalnego</w:t>
            </w:r>
            <w:r w:rsidR="00E66B89">
              <w:rPr>
                <w:sz w:val="18"/>
                <w:szCs w:val="20"/>
              </w:rPr>
              <w:t xml:space="preserve"> i </w:t>
            </w:r>
            <w:r w:rsidRPr="00404DA5">
              <w:rPr>
                <w:sz w:val="18"/>
                <w:szCs w:val="20"/>
              </w:rPr>
              <w:t>naturalnego oraz stanowiących atrakcje turystyczne</w:t>
            </w:r>
          </w:p>
        </w:tc>
        <w:tc>
          <w:tcPr>
            <w:tcW w:w="0" w:type="auto"/>
            <w:shd w:val="clear" w:color="auto" w:fill="auto"/>
            <w:vAlign w:val="center"/>
          </w:tcPr>
          <w:p w14:paraId="0DCA64A3" w14:textId="77777777" w:rsidR="006F4D8F" w:rsidRPr="00404DA5" w:rsidRDefault="006F4D8F" w:rsidP="006F4D8F">
            <w:pPr>
              <w:jc w:val="center"/>
              <w:rPr>
                <w:rFonts w:cs="Calibri"/>
                <w:sz w:val="18"/>
                <w:szCs w:val="20"/>
              </w:rPr>
            </w:pPr>
            <w:r w:rsidRPr="00404DA5">
              <w:rPr>
                <w:rFonts w:cs="Calibri"/>
                <w:sz w:val="18"/>
                <w:szCs w:val="20"/>
              </w:rPr>
              <w:t>53 000</w:t>
            </w:r>
          </w:p>
        </w:tc>
        <w:tc>
          <w:tcPr>
            <w:tcW w:w="0" w:type="auto"/>
            <w:shd w:val="clear" w:color="auto" w:fill="auto"/>
            <w:vAlign w:val="center"/>
          </w:tcPr>
          <w:p w14:paraId="28838540" w14:textId="77777777" w:rsidR="006F4D8F" w:rsidRPr="00B1334D" w:rsidRDefault="006F4D8F" w:rsidP="006F4D8F">
            <w:pPr>
              <w:jc w:val="center"/>
              <w:rPr>
                <w:rFonts w:cs="Calibri"/>
                <w:sz w:val="18"/>
                <w:szCs w:val="20"/>
              </w:rPr>
            </w:pPr>
            <w:r w:rsidRPr="008B706B">
              <w:rPr>
                <w:rFonts w:ascii="Calibri" w:hAnsi="Calibri" w:cs="Calibri"/>
                <w:bCs/>
                <w:szCs w:val="20"/>
              </w:rPr>
              <w:t>729</w:t>
            </w:r>
            <w:r>
              <w:rPr>
                <w:rFonts w:ascii="Calibri" w:hAnsi="Calibri" w:cs="Calibri"/>
                <w:bCs/>
                <w:szCs w:val="20"/>
              </w:rPr>
              <w:t xml:space="preserve"> </w:t>
            </w:r>
            <w:r w:rsidRPr="008B706B">
              <w:rPr>
                <w:rFonts w:ascii="Calibri" w:hAnsi="Calibri" w:cs="Calibri"/>
                <w:bCs/>
                <w:szCs w:val="20"/>
              </w:rPr>
              <w:t>766</w:t>
            </w:r>
          </w:p>
        </w:tc>
        <w:tc>
          <w:tcPr>
            <w:tcW w:w="0" w:type="auto"/>
            <w:shd w:val="clear" w:color="auto" w:fill="auto"/>
            <w:vAlign w:val="center"/>
          </w:tcPr>
          <w:p w14:paraId="589BBF64" w14:textId="77777777" w:rsidR="006F4D8F" w:rsidRPr="00B1334D" w:rsidRDefault="006F4D8F" w:rsidP="006F4D8F">
            <w:pPr>
              <w:jc w:val="center"/>
              <w:rPr>
                <w:rFonts w:cs="Calibri"/>
                <w:sz w:val="18"/>
                <w:szCs w:val="20"/>
              </w:rPr>
            </w:pPr>
            <w:r w:rsidRPr="008B706B">
              <w:rPr>
                <w:rFonts w:ascii="Calibri" w:hAnsi="Calibri" w:cs="Calibri"/>
                <w:bCs/>
                <w:szCs w:val="20"/>
              </w:rPr>
              <w:t>1</w:t>
            </w:r>
            <w:r>
              <w:rPr>
                <w:rFonts w:ascii="Calibri" w:hAnsi="Calibri" w:cs="Calibri"/>
                <w:bCs/>
                <w:szCs w:val="20"/>
              </w:rPr>
              <w:t xml:space="preserve"> </w:t>
            </w:r>
            <w:r w:rsidRPr="008B706B">
              <w:rPr>
                <w:rFonts w:ascii="Calibri" w:hAnsi="Calibri" w:cs="Calibri"/>
                <w:bCs/>
                <w:szCs w:val="20"/>
              </w:rPr>
              <w:t>376,9%</w:t>
            </w:r>
          </w:p>
        </w:tc>
      </w:tr>
    </w:tbl>
    <w:p w14:paraId="26AD07DF" w14:textId="77777777" w:rsidR="006F4D8F" w:rsidRPr="002A5FDF" w:rsidRDefault="006F4D8F" w:rsidP="00F10E7C">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 xml:space="preserve">zawartych UoD na dzień 07.01.2019 r., obliczenia własne. </w:t>
      </w:r>
    </w:p>
    <w:p w14:paraId="5713B6C0" w14:textId="77777777" w:rsidR="006F4D8F" w:rsidRPr="00476313" w:rsidRDefault="006F4D8F" w:rsidP="006F4D8F">
      <w:pPr>
        <w:rPr>
          <w:szCs w:val="20"/>
        </w:rPr>
      </w:pPr>
      <w:r w:rsidRPr="00CE549A">
        <w:rPr>
          <w:szCs w:val="20"/>
        </w:rPr>
        <w:t>Jak pokazuje powyższa tabel</w:t>
      </w:r>
      <w:r>
        <w:rPr>
          <w:szCs w:val="20"/>
        </w:rPr>
        <w:t>a,</w:t>
      </w:r>
      <w:r w:rsidRPr="00CE549A">
        <w:rPr>
          <w:szCs w:val="20"/>
        </w:rPr>
        <w:t xml:space="preserve"> wskaźniki powinny zostać osiągnięte po zrealizowaniu zakontraktowanych projektów.</w:t>
      </w:r>
      <w:r w:rsidR="00E66B89">
        <w:rPr>
          <w:szCs w:val="20"/>
        </w:rPr>
        <w:t xml:space="preserve"> W </w:t>
      </w:r>
      <w:r>
        <w:rPr>
          <w:szCs w:val="20"/>
        </w:rPr>
        <w:t xml:space="preserve">przypadku </w:t>
      </w:r>
      <w:r w:rsidRPr="00476313">
        <w:rPr>
          <w:szCs w:val="20"/>
        </w:rPr>
        <w:t xml:space="preserve">wskaźnika </w:t>
      </w:r>
      <w:r w:rsidRPr="008B706B">
        <w:rPr>
          <w:i/>
          <w:szCs w:val="20"/>
        </w:rPr>
        <w:t>Wzrost oczekiwanej liczby odwiedzin</w:t>
      </w:r>
      <w:r w:rsidR="00E66B89">
        <w:rPr>
          <w:i/>
          <w:szCs w:val="20"/>
        </w:rPr>
        <w:t xml:space="preserve"> w </w:t>
      </w:r>
      <w:r w:rsidRPr="008B706B">
        <w:rPr>
          <w:i/>
          <w:szCs w:val="20"/>
        </w:rPr>
        <w:t>objętych wsparciem miejscach należących do dziedzictwa kulturalnego</w:t>
      </w:r>
      <w:r w:rsidR="00E66B89">
        <w:rPr>
          <w:i/>
          <w:szCs w:val="20"/>
        </w:rPr>
        <w:t xml:space="preserve"> i </w:t>
      </w:r>
      <w:r w:rsidRPr="008B706B">
        <w:rPr>
          <w:i/>
          <w:szCs w:val="20"/>
        </w:rPr>
        <w:t>naturalnego oraz stanowiących atrakcje turystyczne</w:t>
      </w:r>
      <w:r w:rsidRPr="008B706B">
        <w:rPr>
          <w:szCs w:val="20"/>
        </w:rPr>
        <w:t xml:space="preserve"> należy pozytywnie ocenić</w:t>
      </w:r>
      <w:r>
        <w:rPr>
          <w:szCs w:val="20"/>
        </w:rPr>
        <w:t xml:space="preserve"> -</w:t>
      </w:r>
      <w:r w:rsidRPr="008B706B">
        <w:rPr>
          <w:szCs w:val="20"/>
        </w:rPr>
        <w:t xml:space="preserve"> wspominane wcześniej</w:t>
      </w:r>
      <w:r>
        <w:rPr>
          <w:szCs w:val="20"/>
        </w:rPr>
        <w:t xml:space="preserve"> -</w:t>
      </w:r>
      <w:r w:rsidRPr="008B706B">
        <w:rPr>
          <w:szCs w:val="20"/>
        </w:rPr>
        <w:t xml:space="preserve"> planowan</w:t>
      </w:r>
      <w:r>
        <w:rPr>
          <w:szCs w:val="20"/>
        </w:rPr>
        <w:t>ą</w:t>
      </w:r>
      <w:r w:rsidRPr="008B706B">
        <w:rPr>
          <w:szCs w:val="20"/>
        </w:rPr>
        <w:t xml:space="preserve"> przez IZ korekt</w:t>
      </w:r>
      <w:r>
        <w:rPr>
          <w:szCs w:val="20"/>
        </w:rPr>
        <w:t>ę</w:t>
      </w:r>
      <w:r w:rsidRPr="008B706B">
        <w:rPr>
          <w:szCs w:val="20"/>
        </w:rPr>
        <w:t xml:space="preserve"> </w:t>
      </w:r>
      <w:r>
        <w:rPr>
          <w:szCs w:val="20"/>
        </w:rPr>
        <w:t xml:space="preserve">błędnej </w:t>
      </w:r>
      <w:r>
        <w:rPr>
          <w:szCs w:val="20"/>
        </w:rPr>
        <w:lastRenderedPageBreak/>
        <w:t>interpretacji wskaźnika,</w:t>
      </w:r>
      <w:r w:rsidR="00E66B89">
        <w:rPr>
          <w:szCs w:val="20"/>
        </w:rPr>
        <w:t xml:space="preserve"> w </w:t>
      </w:r>
      <w:r w:rsidRPr="008B706B">
        <w:rPr>
          <w:szCs w:val="20"/>
        </w:rPr>
        <w:t xml:space="preserve">celu ograniczenia wpływu </w:t>
      </w:r>
      <w:r>
        <w:rPr>
          <w:szCs w:val="20"/>
        </w:rPr>
        <w:t>tej niewłaściwej</w:t>
      </w:r>
      <w:r w:rsidRPr="008B706B">
        <w:rPr>
          <w:szCs w:val="20"/>
        </w:rPr>
        <w:t xml:space="preserve"> interpretacji na osiągany poziom wskaźnika.</w:t>
      </w:r>
    </w:p>
    <w:p w14:paraId="2A56BB31"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Możliwości zarządzania środkami rezerwy wykonania</w:t>
      </w:r>
      <w:r w:rsidR="00E66B89">
        <w:rPr>
          <w:rFonts w:ascii="Lato" w:eastAsia="Calibri" w:hAnsi="Lato"/>
          <w:szCs w:val="20"/>
        </w:rPr>
        <w:t xml:space="preserve"> i </w:t>
      </w:r>
      <w:r w:rsidRPr="00CE549A">
        <w:rPr>
          <w:rFonts w:ascii="Lato" w:eastAsia="Calibri" w:hAnsi="Lato"/>
          <w:szCs w:val="20"/>
        </w:rPr>
        <w:t>identyfikacja obszarów wymagających interwencji - podsumowanie</w:t>
      </w:r>
    </w:p>
    <w:p w14:paraId="5C581FAA" w14:textId="77777777" w:rsidR="006F4D8F" w:rsidRPr="00CE549A" w:rsidRDefault="006F4D8F" w:rsidP="006F4D8F">
      <w:pPr>
        <w:rPr>
          <w:szCs w:val="20"/>
        </w:rPr>
      </w:pPr>
      <w:r w:rsidRPr="00CE549A">
        <w:rPr>
          <w:szCs w:val="20"/>
        </w:rPr>
        <w:t>Nie zidentyfikowano konieczności dokonywania zmian</w:t>
      </w:r>
      <w:r w:rsidR="00E66B89">
        <w:rPr>
          <w:szCs w:val="20"/>
        </w:rPr>
        <w:t xml:space="preserve"> w </w:t>
      </w:r>
      <w:r w:rsidRPr="00CE549A">
        <w:rPr>
          <w:szCs w:val="20"/>
        </w:rPr>
        <w:t>zakresie zarz</w:t>
      </w:r>
      <w:r>
        <w:rPr>
          <w:szCs w:val="20"/>
        </w:rPr>
        <w:t>ą</w:t>
      </w:r>
      <w:r w:rsidRPr="00CE549A">
        <w:rPr>
          <w:szCs w:val="20"/>
        </w:rPr>
        <w:t>dzania środkami</w:t>
      </w:r>
      <w:r>
        <w:rPr>
          <w:szCs w:val="20"/>
        </w:rPr>
        <w:t xml:space="preserve"> alokacji (w tym </w:t>
      </w:r>
      <w:r w:rsidRPr="00CE549A">
        <w:rPr>
          <w:szCs w:val="20"/>
        </w:rPr>
        <w:t>rezerwą wykonania</w:t>
      </w:r>
      <w:r>
        <w:rPr>
          <w:szCs w:val="20"/>
        </w:rPr>
        <w:t>)</w:t>
      </w:r>
      <w:r w:rsidRPr="00CE549A">
        <w:rPr>
          <w:szCs w:val="20"/>
        </w:rPr>
        <w:t xml:space="preserve"> dla </w:t>
      </w:r>
      <w:r>
        <w:rPr>
          <w:szCs w:val="20"/>
        </w:rPr>
        <w:t>D</w:t>
      </w:r>
      <w:r w:rsidRPr="00CE549A">
        <w:rPr>
          <w:szCs w:val="20"/>
        </w:rPr>
        <w:t>ziałań</w:t>
      </w:r>
      <w:r w:rsidR="00E66B89">
        <w:rPr>
          <w:szCs w:val="20"/>
        </w:rPr>
        <w:t xml:space="preserve"> w </w:t>
      </w:r>
      <w:r w:rsidRPr="00CE549A">
        <w:rPr>
          <w:szCs w:val="20"/>
        </w:rPr>
        <w:t>ramach PI 6c. Nie rekomenduje się aktualnie zmian wartości wskaźników</w:t>
      </w:r>
      <w:r w:rsidR="00E66B89">
        <w:rPr>
          <w:szCs w:val="20"/>
        </w:rPr>
        <w:t xml:space="preserve"> w </w:t>
      </w:r>
      <w:r w:rsidRPr="00CE549A">
        <w:rPr>
          <w:szCs w:val="20"/>
        </w:rPr>
        <w:t xml:space="preserve">Programie. </w:t>
      </w:r>
    </w:p>
    <w:p w14:paraId="3BC3A6EF" w14:textId="77777777" w:rsidR="006F4D8F" w:rsidRPr="00CE549A" w:rsidRDefault="006F4D8F" w:rsidP="006F4D8F">
      <w:pPr>
        <w:pStyle w:val="Nagwek3"/>
      </w:pPr>
      <w:r w:rsidRPr="00CE549A">
        <w:t>Priorytet inwestycyjny nr 6d Działania (4.3.</w:t>
      </w:r>
      <w:r>
        <w:t>, 4.4, 4.5, 4.6, 4.7</w:t>
      </w:r>
      <w:r w:rsidR="00E66B89">
        <w:t xml:space="preserve"> i </w:t>
      </w:r>
      <w:r w:rsidRPr="00CE549A">
        <w:t xml:space="preserve">4.8) </w:t>
      </w:r>
    </w:p>
    <w:p w14:paraId="5BE7E10F"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Ocena postępów</w:t>
      </w:r>
      <w:r w:rsidR="00E66B89">
        <w:rPr>
          <w:rFonts w:ascii="Lato" w:eastAsia="Calibri" w:hAnsi="Lato"/>
          <w:szCs w:val="20"/>
        </w:rPr>
        <w:t xml:space="preserve"> w </w:t>
      </w:r>
      <w:r w:rsidRPr="00CE549A">
        <w:rPr>
          <w:rFonts w:ascii="Lato" w:eastAsia="Calibri" w:hAnsi="Lato"/>
          <w:szCs w:val="20"/>
        </w:rPr>
        <w:t>realizacji PI 6d</w:t>
      </w:r>
    </w:p>
    <w:p w14:paraId="69B1EC2A" w14:textId="77777777" w:rsidR="006F4D8F" w:rsidRPr="00CE549A" w:rsidRDefault="006F4D8F" w:rsidP="006F4D8F">
      <w:pPr>
        <w:rPr>
          <w:rFonts w:eastAsia="Lato"/>
          <w:szCs w:val="20"/>
        </w:rPr>
      </w:pPr>
      <w:r w:rsidRPr="00CE549A">
        <w:rPr>
          <w:rFonts w:eastAsia="Lato"/>
          <w:szCs w:val="20"/>
        </w:rPr>
        <w:t xml:space="preserve">W ramach PI 6d zaplanowano realizację </w:t>
      </w:r>
      <w:r>
        <w:rPr>
          <w:rFonts w:eastAsia="Lato"/>
          <w:szCs w:val="20"/>
        </w:rPr>
        <w:t>sześciu</w:t>
      </w:r>
      <w:r w:rsidRPr="00CE549A">
        <w:rPr>
          <w:rFonts w:eastAsia="Lato"/>
          <w:szCs w:val="20"/>
        </w:rPr>
        <w:t xml:space="preserve"> </w:t>
      </w:r>
      <w:r>
        <w:rPr>
          <w:rFonts w:eastAsia="Lato"/>
          <w:szCs w:val="20"/>
        </w:rPr>
        <w:t>D</w:t>
      </w:r>
      <w:r w:rsidRPr="00CE549A">
        <w:rPr>
          <w:rFonts w:eastAsia="Lato"/>
          <w:szCs w:val="20"/>
        </w:rPr>
        <w:t>ziałań</w:t>
      </w:r>
      <w:r>
        <w:rPr>
          <w:rFonts w:eastAsia="Lato"/>
          <w:szCs w:val="20"/>
        </w:rPr>
        <w:t>, na co przeznaczono alokację</w:t>
      </w:r>
      <w:r w:rsidR="00E66B89">
        <w:rPr>
          <w:rFonts w:eastAsia="Lato"/>
          <w:szCs w:val="20"/>
        </w:rPr>
        <w:t xml:space="preserve"> w </w:t>
      </w:r>
      <w:r>
        <w:rPr>
          <w:rFonts w:eastAsia="Lato"/>
          <w:szCs w:val="20"/>
        </w:rPr>
        <w:t>wysokości</w:t>
      </w:r>
      <w:r w:rsidRPr="00CE549A">
        <w:rPr>
          <w:rFonts w:eastAsia="Lato"/>
          <w:szCs w:val="20"/>
        </w:rPr>
        <w:t xml:space="preserve"> 25 mln euro, co daje 25% </w:t>
      </w:r>
      <w:r>
        <w:rPr>
          <w:rFonts w:eastAsia="Lato"/>
          <w:szCs w:val="20"/>
        </w:rPr>
        <w:t xml:space="preserve">całkowitej </w:t>
      </w:r>
      <w:r w:rsidRPr="00CE549A">
        <w:rPr>
          <w:rFonts w:eastAsia="Lato"/>
          <w:szCs w:val="20"/>
        </w:rPr>
        <w:t>alokacji</w:t>
      </w:r>
      <w:r>
        <w:rPr>
          <w:rFonts w:eastAsia="Lato"/>
          <w:szCs w:val="20"/>
        </w:rPr>
        <w:t xml:space="preserve"> IV</w:t>
      </w:r>
      <w:r w:rsidRPr="00CE549A">
        <w:rPr>
          <w:rFonts w:eastAsia="Lato"/>
          <w:szCs w:val="20"/>
        </w:rPr>
        <w:t xml:space="preserve"> osi priorytetowej.</w:t>
      </w:r>
    </w:p>
    <w:p w14:paraId="69BE00CA" w14:textId="77777777" w:rsidR="006F4D8F" w:rsidRPr="00CE549A" w:rsidRDefault="006F4D8F" w:rsidP="006E34DC">
      <w:pPr>
        <w:pStyle w:val="Legenda"/>
        <w:spacing w:after="0"/>
      </w:pPr>
      <w:bookmarkStart w:id="128" w:name="_Toc8824171"/>
      <w:r w:rsidRPr="00CE549A">
        <w:t xml:space="preserve">Tabela </w:t>
      </w:r>
      <w:r>
        <w:fldChar w:fldCharType="begin"/>
      </w:r>
      <w:r>
        <w:instrText xml:space="preserve"> SEQ Tabela \* ARABIC </w:instrText>
      </w:r>
      <w:r>
        <w:fldChar w:fldCharType="separate"/>
      </w:r>
      <w:r w:rsidR="00763345">
        <w:rPr>
          <w:noProof/>
        </w:rPr>
        <w:t>60</w:t>
      </w:r>
      <w:r>
        <w:fldChar w:fldCharType="end"/>
      </w:r>
      <w:r w:rsidRPr="00CE549A">
        <w:t xml:space="preserve"> Wskaźniki produktu (PI 6d) – postęp rzeczowy</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12"/>
        <w:gridCol w:w="1440"/>
        <w:gridCol w:w="836"/>
        <w:gridCol w:w="941"/>
        <w:gridCol w:w="986"/>
        <w:gridCol w:w="987"/>
        <w:gridCol w:w="986"/>
        <w:gridCol w:w="987"/>
      </w:tblGrid>
      <w:tr w:rsidR="006F4D8F" w:rsidRPr="0043138F" w14:paraId="43DF6AB0" w14:textId="77777777" w:rsidTr="006F4D8F">
        <w:trPr>
          <w:tblHeader/>
        </w:trPr>
        <w:tc>
          <w:tcPr>
            <w:tcW w:w="1101" w:type="dxa"/>
            <w:shd w:val="clear" w:color="auto" w:fill="DBE5F1"/>
            <w:vAlign w:val="center"/>
          </w:tcPr>
          <w:p w14:paraId="3931370D" w14:textId="77777777" w:rsidR="006F4D8F" w:rsidRPr="00404DA5" w:rsidRDefault="006F4D8F" w:rsidP="006F4D8F">
            <w:pPr>
              <w:jc w:val="center"/>
              <w:rPr>
                <w:rFonts w:cs="Calibri"/>
                <w:sz w:val="18"/>
                <w:szCs w:val="20"/>
              </w:rPr>
            </w:pPr>
            <w:r w:rsidRPr="00404DA5">
              <w:rPr>
                <w:rFonts w:cs="Calibri"/>
                <w:sz w:val="18"/>
                <w:szCs w:val="20"/>
              </w:rPr>
              <w:t>Typ wskaźnika</w:t>
            </w:r>
          </w:p>
        </w:tc>
        <w:tc>
          <w:tcPr>
            <w:tcW w:w="879" w:type="dxa"/>
            <w:shd w:val="clear" w:color="auto" w:fill="DBE5F1"/>
            <w:vAlign w:val="center"/>
          </w:tcPr>
          <w:p w14:paraId="3019B641" w14:textId="77777777" w:rsidR="006F4D8F" w:rsidRPr="00404DA5" w:rsidRDefault="006F4D8F" w:rsidP="006F4D8F">
            <w:pPr>
              <w:jc w:val="center"/>
              <w:rPr>
                <w:rFonts w:cs="Calibri"/>
                <w:sz w:val="18"/>
                <w:szCs w:val="20"/>
              </w:rPr>
            </w:pPr>
            <w:r w:rsidRPr="00404DA5">
              <w:rPr>
                <w:rFonts w:cs="Calibri"/>
                <w:sz w:val="18"/>
                <w:szCs w:val="20"/>
              </w:rPr>
              <w:t>Działania</w:t>
            </w:r>
          </w:p>
        </w:tc>
        <w:tc>
          <w:tcPr>
            <w:tcW w:w="4194" w:type="dxa"/>
            <w:shd w:val="clear" w:color="auto" w:fill="DBE5F1"/>
            <w:vAlign w:val="center"/>
          </w:tcPr>
          <w:p w14:paraId="6571AEDB" w14:textId="77777777" w:rsidR="006F4D8F" w:rsidRPr="00404DA5" w:rsidRDefault="006F4D8F" w:rsidP="006F4D8F">
            <w:pPr>
              <w:jc w:val="center"/>
              <w:rPr>
                <w:rFonts w:cs="Calibri"/>
                <w:sz w:val="18"/>
                <w:szCs w:val="20"/>
              </w:rPr>
            </w:pPr>
            <w:r w:rsidRPr="00404DA5">
              <w:rPr>
                <w:rFonts w:cs="Calibri"/>
                <w:sz w:val="18"/>
                <w:szCs w:val="20"/>
              </w:rPr>
              <w:t>Wskaźnik</w:t>
            </w:r>
          </w:p>
        </w:tc>
        <w:tc>
          <w:tcPr>
            <w:tcW w:w="0" w:type="auto"/>
            <w:shd w:val="clear" w:color="auto" w:fill="DBE5F1"/>
            <w:vAlign w:val="center"/>
          </w:tcPr>
          <w:p w14:paraId="554E0031" w14:textId="77777777" w:rsidR="006F4D8F" w:rsidRPr="00404DA5" w:rsidRDefault="006F4D8F" w:rsidP="006F4D8F">
            <w:pPr>
              <w:jc w:val="center"/>
              <w:rPr>
                <w:rFonts w:cs="Calibri"/>
                <w:sz w:val="18"/>
                <w:szCs w:val="20"/>
              </w:rPr>
            </w:pPr>
            <w:r w:rsidRPr="00404DA5">
              <w:rPr>
                <w:rFonts w:cs="Calibri"/>
                <w:sz w:val="18"/>
                <w:szCs w:val="20"/>
              </w:rPr>
              <w:t>Jedn. pomiaru</w:t>
            </w:r>
          </w:p>
        </w:tc>
        <w:tc>
          <w:tcPr>
            <w:tcW w:w="0" w:type="auto"/>
            <w:shd w:val="clear" w:color="auto" w:fill="DBE5F1"/>
            <w:vAlign w:val="center"/>
          </w:tcPr>
          <w:p w14:paraId="2C6A4293" w14:textId="77777777" w:rsidR="006F4D8F" w:rsidRPr="00404DA5" w:rsidRDefault="006F4D8F" w:rsidP="006F4D8F">
            <w:pPr>
              <w:jc w:val="center"/>
              <w:rPr>
                <w:rFonts w:cs="Calibri"/>
                <w:sz w:val="18"/>
                <w:szCs w:val="20"/>
              </w:rPr>
            </w:pPr>
            <w:r w:rsidRPr="00404DA5">
              <w:rPr>
                <w:rFonts w:cs="Calibri"/>
                <w:sz w:val="18"/>
                <w:szCs w:val="20"/>
              </w:rPr>
              <w:t>Wartość docelowa (2023)</w:t>
            </w:r>
          </w:p>
        </w:tc>
        <w:tc>
          <w:tcPr>
            <w:tcW w:w="0" w:type="auto"/>
            <w:shd w:val="clear" w:color="auto" w:fill="DBE5F1"/>
            <w:vAlign w:val="center"/>
          </w:tcPr>
          <w:p w14:paraId="0388D507" w14:textId="77777777" w:rsidR="006F4D8F" w:rsidRPr="00404DA5" w:rsidRDefault="006F4D8F" w:rsidP="006F4D8F">
            <w:pPr>
              <w:jc w:val="center"/>
              <w:rPr>
                <w:rFonts w:cs="Calibri"/>
                <w:sz w:val="18"/>
                <w:szCs w:val="20"/>
              </w:rPr>
            </w:pPr>
            <w:r w:rsidRPr="00404DA5">
              <w:rPr>
                <w:rFonts w:cs="Calibri"/>
                <w:sz w:val="18"/>
                <w:szCs w:val="20"/>
              </w:rPr>
              <w:t>Realizacja wskaźnika (wg UoD)</w:t>
            </w:r>
          </w:p>
        </w:tc>
        <w:tc>
          <w:tcPr>
            <w:tcW w:w="0" w:type="auto"/>
            <w:shd w:val="clear" w:color="auto" w:fill="DBE5F1"/>
            <w:vAlign w:val="center"/>
          </w:tcPr>
          <w:p w14:paraId="336115EE" w14:textId="77777777" w:rsidR="006F4D8F" w:rsidRPr="00404DA5" w:rsidRDefault="006F4D8F" w:rsidP="006F4D8F">
            <w:pPr>
              <w:jc w:val="center"/>
              <w:rPr>
                <w:rFonts w:cs="Calibri"/>
                <w:sz w:val="18"/>
                <w:szCs w:val="20"/>
              </w:rPr>
            </w:pPr>
            <w:r w:rsidRPr="00404DA5">
              <w:rPr>
                <w:rFonts w:cs="Calibri"/>
                <w:sz w:val="18"/>
                <w:szCs w:val="20"/>
              </w:rPr>
              <w:t>% realizacji wartości docelowej (wg UoD)</w:t>
            </w:r>
          </w:p>
        </w:tc>
        <w:tc>
          <w:tcPr>
            <w:tcW w:w="0" w:type="auto"/>
            <w:shd w:val="clear" w:color="auto" w:fill="DBE5F1"/>
            <w:vAlign w:val="center"/>
          </w:tcPr>
          <w:p w14:paraId="2E9321A1" w14:textId="77777777" w:rsidR="006F4D8F" w:rsidRPr="00404DA5" w:rsidRDefault="006F4D8F" w:rsidP="006F4D8F">
            <w:pPr>
              <w:jc w:val="center"/>
              <w:rPr>
                <w:rFonts w:cs="Calibri"/>
                <w:sz w:val="18"/>
                <w:szCs w:val="20"/>
              </w:rPr>
            </w:pPr>
            <w:r w:rsidRPr="00404DA5">
              <w:rPr>
                <w:rFonts w:cs="Calibri"/>
                <w:sz w:val="18"/>
                <w:szCs w:val="20"/>
              </w:rPr>
              <w:t>Realizacja wskaźnika (wg WoP)</w:t>
            </w:r>
          </w:p>
        </w:tc>
        <w:tc>
          <w:tcPr>
            <w:tcW w:w="0" w:type="auto"/>
            <w:shd w:val="clear" w:color="auto" w:fill="DBE5F1"/>
            <w:vAlign w:val="center"/>
          </w:tcPr>
          <w:p w14:paraId="5D7DF2FB" w14:textId="77777777" w:rsidR="006F4D8F" w:rsidRPr="00404DA5" w:rsidRDefault="006F4D8F" w:rsidP="006F4D8F">
            <w:pPr>
              <w:jc w:val="center"/>
              <w:rPr>
                <w:rFonts w:cs="Calibri"/>
                <w:sz w:val="18"/>
                <w:szCs w:val="20"/>
              </w:rPr>
            </w:pPr>
            <w:r w:rsidRPr="00404DA5">
              <w:rPr>
                <w:rFonts w:cs="Calibri"/>
                <w:sz w:val="18"/>
                <w:szCs w:val="20"/>
              </w:rPr>
              <w:t>% realizacji wartości docelowej (wg WoP)</w:t>
            </w:r>
          </w:p>
        </w:tc>
      </w:tr>
      <w:tr w:rsidR="006F4D8F" w:rsidRPr="0043138F" w14:paraId="7F8AD34D" w14:textId="77777777" w:rsidTr="006F4D8F">
        <w:tc>
          <w:tcPr>
            <w:tcW w:w="1101" w:type="dxa"/>
            <w:shd w:val="clear" w:color="auto" w:fill="auto"/>
            <w:vAlign w:val="center"/>
          </w:tcPr>
          <w:p w14:paraId="6D0CC42B" w14:textId="77777777" w:rsidR="006F4D8F" w:rsidRPr="00404DA5" w:rsidRDefault="006F4D8F" w:rsidP="006F4D8F">
            <w:pPr>
              <w:jc w:val="center"/>
              <w:rPr>
                <w:rFonts w:cs="Calibri"/>
                <w:sz w:val="18"/>
                <w:szCs w:val="20"/>
              </w:rPr>
            </w:pPr>
            <w:r w:rsidRPr="00404DA5">
              <w:rPr>
                <w:rFonts w:cs="Calibri"/>
                <w:sz w:val="18"/>
                <w:szCs w:val="20"/>
              </w:rPr>
              <w:t>WP</w:t>
            </w:r>
          </w:p>
        </w:tc>
        <w:tc>
          <w:tcPr>
            <w:tcW w:w="879" w:type="dxa"/>
            <w:shd w:val="clear" w:color="auto" w:fill="auto"/>
            <w:vAlign w:val="center"/>
          </w:tcPr>
          <w:p w14:paraId="1DCE847C" w14:textId="77777777" w:rsidR="006F4D8F" w:rsidRPr="00404DA5" w:rsidRDefault="006F4D8F" w:rsidP="006F4D8F">
            <w:pPr>
              <w:jc w:val="center"/>
              <w:rPr>
                <w:rFonts w:cs="Calibri"/>
                <w:sz w:val="18"/>
                <w:szCs w:val="20"/>
              </w:rPr>
            </w:pPr>
            <w:r w:rsidRPr="00404DA5">
              <w:rPr>
                <w:rFonts w:cs="Calibri"/>
                <w:bCs/>
                <w:color w:val="000000"/>
                <w:sz w:val="18"/>
                <w:szCs w:val="20"/>
              </w:rPr>
              <w:t>4.3, 4.6</w:t>
            </w:r>
          </w:p>
        </w:tc>
        <w:tc>
          <w:tcPr>
            <w:tcW w:w="4194" w:type="dxa"/>
            <w:shd w:val="clear" w:color="auto" w:fill="auto"/>
            <w:vAlign w:val="center"/>
          </w:tcPr>
          <w:p w14:paraId="16BD3B07" w14:textId="77777777" w:rsidR="006F4D8F" w:rsidRPr="00404DA5" w:rsidRDefault="006F4D8F" w:rsidP="006F4D8F">
            <w:pPr>
              <w:jc w:val="left"/>
              <w:rPr>
                <w:rFonts w:cs="Calibri"/>
                <w:sz w:val="18"/>
                <w:szCs w:val="20"/>
              </w:rPr>
            </w:pPr>
            <w:r w:rsidRPr="00404DA5">
              <w:rPr>
                <w:rFonts w:cs="Calibri"/>
                <w:bCs/>
                <w:color w:val="000000"/>
                <w:sz w:val="18"/>
                <w:szCs w:val="20"/>
              </w:rPr>
              <w:t>Długość szlaków turystycznych</w:t>
            </w:r>
          </w:p>
        </w:tc>
        <w:tc>
          <w:tcPr>
            <w:tcW w:w="0" w:type="auto"/>
            <w:shd w:val="clear" w:color="auto" w:fill="auto"/>
            <w:vAlign w:val="center"/>
          </w:tcPr>
          <w:p w14:paraId="748E34EF" w14:textId="77777777" w:rsidR="006F4D8F" w:rsidRPr="00404DA5" w:rsidRDefault="006F4D8F" w:rsidP="006F4D8F">
            <w:pPr>
              <w:jc w:val="center"/>
              <w:rPr>
                <w:rFonts w:cs="Calibri"/>
                <w:sz w:val="18"/>
                <w:szCs w:val="20"/>
              </w:rPr>
            </w:pPr>
            <w:r w:rsidRPr="00404DA5">
              <w:rPr>
                <w:rFonts w:cs="Calibri"/>
                <w:bCs/>
                <w:color w:val="000000"/>
                <w:sz w:val="18"/>
                <w:szCs w:val="20"/>
              </w:rPr>
              <w:t>Km</w:t>
            </w:r>
          </w:p>
        </w:tc>
        <w:tc>
          <w:tcPr>
            <w:tcW w:w="0" w:type="auto"/>
            <w:shd w:val="clear" w:color="auto" w:fill="auto"/>
            <w:vAlign w:val="center"/>
          </w:tcPr>
          <w:p w14:paraId="0E91BA46" w14:textId="77777777" w:rsidR="006F4D8F" w:rsidRPr="00404DA5" w:rsidRDefault="006F4D8F" w:rsidP="006F4D8F">
            <w:pPr>
              <w:jc w:val="center"/>
              <w:rPr>
                <w:rFonts w:cs="Calibri"/>
                <w:sz w:val="18"/>
                <w:szCs w:val="20"/>
              </w:rPr>
            </w:pPr>
            <w:r w:rsidRPr="00404DA5">
              <w:rPr>
                <w:rFonts w:cs="Calibri"/>
                <w:bCs/>
                <w:color w:val="000000"/>
                <w:sz w:val="18"/>
                <w:szCs w:val="20"/>
              </w:rPr>
              <w:t>38,66</w:t>
            </w:r>
          </w:p>
        </w:tc>
        <w:tc>
          <w:tcPr>
            <w:tcW w:w="0" w:type="auto"/>
            <w:shd w:val="clear" w:color="auto" w:fill="auto"/>
            <w:vAlign w:val="center"/>
          </w:tcPr>
          <w:p w14:paraId="07A3D63E" w14:textId="77777777" w:rsidR="006F4D8F" w:rsidRPr="00404DA5" w:rsidRDefault="006F4D8F" w:rsidP="006F4D8F">
            <w:pPr>
              <w:jc w:val="center"/>
              <w:rPr>
                <w:rFonts w:cs="Calibri"/>
                <w:sz w:val="18"/>
                <w:szCs w:val="20"/>
              </w:rPr>
            </w:pPr>
            <w:r w:rsidRPr="00404DA5">
              <w:rPr>
                <w:rFonts w:cs="Calibri"/>
                <w:bCs/>
                <w:color w:val="000000"/>
                <w:sz w:val="18"/>
                <w:szCs w:val="20"/>
              </w:rPr>
              <w:t>71,83</w:t>
            </w:r>
          </w:p>
        </w:tc>
        <w:tc>
          <w:tcPr>
            <w:tcW w:w="0" w:type="auto"/>
            <w:shd w:val="clear" w:color="auto" w:fill="auto"/>
            <w:vAlign w:val="center"/>
          </w:tcPr>
          <w:p w14:paraId="335EAE97" w14:textId="77777777" w:rsidR="006F4D8F" w:rsidRPr="00404DA5" w:rsidRDefault="006F4D8F" w:rsidP="006F4D8F">
            <w:pPr>
              <w:jc w:val="center"/>
              <w:rPr>
                <w:rFonts w:cs="Calibri"/>
                <w:sz w:val="18"/>
                <w:szCs w:val="20"/>
              </w:rPr>
            </w:pPr>
            <w:r w:rsidRPr="00404DA5">
              <w:rPr>
                <w:rFonts w:cs="Calibri"/>
                <w:bCs/>
                <w:sz w:val="18"/>
                <w:szCs w:val="20"/>
              </w:rPr>
              <w:t>185,8%</w:t>
            </w:r>
          </w:p>
        </w:tc>
        <w:tc>
          <w:tcPr>
            <w:tcW w:w="0" w:type="auto"/>
            <w:shd w:val="clear" w:color="auto" w:fill="auto"/>
            <w:vAlign w:val="center"/>
          </w:tcPr>
          <w:p w14:paraId="525C94D2" w14:textId="77777777" w:rsidR="006F4D8F" w:rsidRPr="00404DA5" w:rsidRDefault="006F4D8F" w:rsidP="006F4D8F">
            <w:pPr>
              <w:jc w:val="center"/>
              <w:rPr>
                <w:rFonts w:cs="Calibri"/>
                <w:sz w:val="18"/>
                <w:szCs w:val="20"/>
              </w:rPr>
            </w:pPr>
            <w:r w:rsidRPr="00404DA5">
              <w:rPr>
                <w:rFonts w:cs="Calibri"/>
                <w:bCs/>
                <w:color w:val="000000"/>
                <w:sz w:val="18"/>
                <w:szCs w:val="20"/>
              </w:rPr>
              <w:t>62,08</w:t>
            </w:r>
          </w:p>
        </w:tc>
        <w:tc>
          <w:tcPr>
            <w:tcW w:w="0" w:type="auto"/>
            <w:shd w:val="clear" w:color="auto" w:fill="auto"/>
            <w:vAlign w:val="center"/>
          </w:tcPr>
          <w:p w14:paraId="44C61E72" w14:textId="77777777" w:rsidR="006F4D8F" w:rsidRPr="00404DA5" w:rsidRDefault="006F4D8F" w:rsidP="006F4D8F">
            <w:pPr>
              <w:jc w:val="center"/>
              <w:rPr>
                <w:rFonts w:cs="Calibri"/>
                <w:sz w:val="18"/>
                <w:szCs w:val="20"/>
              </w:rPr>
            </w:pPr>
            <w:r w:rsidRPr="00404DA5">
              <w:rPr>
                <w:rFonts w:cs="Calibri"/>
                <w:bCs/>
                <w:color w:val="000000"/>
                <w:sz w:val="18"/>
                <w:szCs w:val="20"/>
              </w:rPr>
              <w:t>160,6%</w:t>
            </w:r>
          </w:p>
        </w:tc>
      </w:tr>
      <w:tr w:rsidR="006F4D8F" w:rsidRPr="0043138F" w14:paraId="12AEBB8B" w14:textId="77777777" w:rsidTr="006F4D8F">
        <w:tc>
          <w:tcPr>
            <w:tcW w:w="1101" w:type="dxa"/>
            <w:shd w:val="clear" w:color="auto" w:fill="auto"/>
            <w:vAlign w:val="center"/>
          </w:tcPr>
          <w:p w14:paraId="0BD933A7" w14:textId="77777777" w:rsidR="006F4D8F" w:rsidRPr="00404DA5" w:rsidRDefault="006F4D8F" w:rsidP="006F4D8F">
            <w:pPr>
              <w:jc w:val="center"/>
              <w:rPr>
                <w:sz w:val="18"/>
                <w:szCs w:val="20"/>
              </w:rPr>
            </w:pPr>
            <w:r w:rsidRPr="00404DA5">
              <w:rPr>
                <w:sz w:val="18"/>
                <w:szCs w:val="20"/>
              </w:rPr>
              <w:t>WP</w:t>
            </w:r>
          </w:p>
        </w:tc>
        <w:tc>
          <w:tcPr>
            <w:tcW w:w="879" w:type="dxa"/>
            <w:shd w:val="clear" w:color="auto" w:fill="auto"/>
            <w:vAlign w:val="center"/>
          </w:tcPr>
          <w:p w14:paraId="269F38C1"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4.3, 4.4, 4.6</w:t>
            </w:r>
          </w:p>
        </w:tc>
        <w:tc>
          <w:tcPr>
            <w:tcW w:w="4194" w:type="dxa"/>
            <w:shd w:val="clear" w:color="auto" w:fill="auto"/>
            <w:vAlign w:val="center"/>
          </w:tcPr>
          <w:p w14:paraId="45510899" w14:textId="77777777" w:rsidR="006F4D8F" w:rsidRPr="00404DA5" w:rsidRDefault="006F4D8F" w:rsidP="006F4D8F">
            <w:pPr>
              <w:jc w:val="left"/>
              <w:rPr>
                <w:rFonts w:cs="Calibri"/>
                <w:bCs/>
                <w:color w:val="000000"/>
                <w:sz w:val="18"/>
                <w:szCs w:val="20"/>
              </w:rPr>
            </w:pPr>
            <w:r w:rsidRPr="00404DA5">
              <w:rPr>
                <w:rFonts w:cs="Calibri"/>
                <w:bCs/>
                <w:color w:val="000000"/>
                <w:sz w:val="18"/>
                <w:szCs w:val="20"/>
              </w:rPr>
              <w:t>Powierzchnia siedlisk wspartych</w:t>
            </w:r>
            <w:r w:rsidR="00E66B89">
              <w:rPr>
                <w:rFonts w:cs="Calibri"/>
                <w:bCs/>
                <w:color w:val="000000"/>
                <w:sz w:val="18"/>
                <w:szCs w:val="20"/>
              </w:rPr>
              <w:t xml:space="preserve"> w </w:t>
            </w:r>
            <w:r w:rsidRPr="00404DA5">
              <w:rPr>
                <w:rFonts w:cs="Calibri"/>
                <w:bCs/>
                <w:color w:val="000000"/>
                <w:sz w:val="18"/>
                <w:szCs w:val="20"/>
              </w:rPr>
              <w:t>zakresie uzyskania lepszego statusu ochrony</w:t>
            </w:r>
          </w:p>
        </w:tc>
        <w:tc>
          <w:tcPr>
            <w:tcW w:w="0" w:type="auto"/>
            <w:shd w:val="clear" w:color="auto" w:fill="auto"/>
            <w:vAlign w:val="center"/>
          </w:tcPr>
          <w:p w14:paraId="50C3B02B"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Ha</w:t>
            </w:r>
          </w:p>
        </w:tc>
        <w:tc>
          <w:tcPr>
            <w:tcW w:w="0" w:type="auto"/>
            <w:shd w:val="clear" w:color="auto" w:fill="auto"/>
            <w:vAlign w:val="center"/>
          </w:tcPr>
          <w:p w14:paraId="7E4A529C"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91,29</w:t>
            </w:r>
          </w:p>
        </w:tc>
        <w:tc>
          <w:tcPr>
            <w:tcW w:w="0" w:type="auto"/>
            <w:shd w:val="clear" w:color="auto" w:fill="auto"/>
            <w:vAlign w:val="center"/>
          </w:tcPr>
          <w:p w14:paraId="04502795"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142,28</w:t>
            </w:r>
          </w:p>
        </w:tc>
        <w:tc>
          <w:tcPr>
            <w:tcW w:w="0" w:type="auto"/>
            <w:shd w:val="clear" w:color="auto" w:fill="auto"/>
            <w:vAlign w:val="center"/>
          </w:tcPr>
          <w:p w14:paraId="120B2AD1" w14:textId="77777777" w:rsidR="006F4D8F" w:rsidRPr="00404DA5" w:rsidRDefault="006F4D8F" w:rsidP="006F4D8F">
            <w:pPr>
              <w:jc w:val="center"/>
              <w:rPr>
                <w:rFonts w:cs="Calibri"/>
                <w:bCs/>
                <w:sz w:val="18"/>
                <w:szCs w:val="20"/>
              </w:rPr>
            </w:pPr>
            <w:r w:rsidRPr="00404DA5">
              <w:rPr>
                <w:rFonts w:cs="Calibri"/>
                <w:bCs/>
                <w:sz w:val="18"/>
                <w:szCs w:val="20"/>
              </w:rPr>
              <w:t>155,9%</w:t>
            </w:r>
          </w:p>
        </w:tc>
        <w:tc>
          <w:tcPr>
            <w:tcW w:w="0" w:type="auto"/>
            <w:shd w:val="clear" w:color="auto" w:fill="auto"/>
            <w:vAlign w:val="center"/>
          </w:tcPr>
          <w:p w14:paraId="5176436E"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36,57</w:t>
            </w:r>
          </w:p>
        </w:tc>
        <w:tc>
          <w:tcPr>
            <w:tcW w:w="0" w:type="auto"/>
            <w:shd w:val="clear" w:color="auto" w:fill="auto"/>
            <w:vAlign w:val="center"/>
          </w:tcPr>
          <w:p w14:paraId="4105B2F2" w14:textId="77777777" w:rsidR="006F4D8F" w:rsidRPr="00404DA5" w:rsidRDefault="006F4D8F" w:rsidP="006F4D8F">
            <w:pPr>
              <w:jc w:val="center"/>
              <w:rPr>
                <w:rFonts w:cs="Calibri"/>
                <w:bCs/>
                <w:color w:val="000000"/>
                <w:sz w:val="18"/>
                <w:szCs w:val="20"/>
              </w:rPr>
            </w:pPr>
            <w:r w:rsidRPr="00404DA5">
              <w:rPr>
                <w:rFonts w:cs="Calibri"/>
                <w:bCs/>
                <w:color w:val="000000"/>
                <w:sz w:val="18"/>
                <w:szCs w:val="20"/>
              </w:rPr>
              <w:t>40,1%</w:t>
            </w:r>
          </w:p>
        </w:tc>
      </w:tr>
      <w:tr w:rsidR="006F4D8F" w:rsidRPr="0043138F" w14:paraId="1076975E" w14:textId="77777777" w:rsidTr="006F4D8F">
        <w:tc>
          <w:tcPr>
            <w:tcW w:w="1101" w:type="dxa"/>
            <w:shd w:val="clear" w:color="auto" w:fill="auto"/>
            <w:vAlign w:val="center"/>
          </w:tcPr>
          <w:p w14:paraId="545D7DDD" w14:textId="77777777" w:rsidR="006F4D8F" w:rsidRPr="00404DA5" w:rsidRDefault="006F4D8F" w:rsidP="00F10E7C">
            <w:pPr>
              <w:rPr>
                <w:sz w:val="18"/>
                <w:szCs w:val="20"/>
              </w:rPr>
            </w:pPr>
            <w:r w:rsidRPr="00404DA5">
              <w:rPr>
                <w:sz w:val="18"/>
                <w:szCs w:val="20"/>
              </w:rPr>
              <w:t>WP</w:t>
            </w:r>
          </w:p>
        </w:tc>
        <w:tc>
          <w:tcPr>
            <w:tcW w:w="879" w:type="dxa"/>
            <w:shd w:val="clear" w:color="auto" w:fill="auto"/>
            <w:vAlign w:val="center"/>
          </w:tcPr>
          <w:p w14:paraId="21B2743C" w14:textId="144DE064" w:rsidR="006F4D8F" w:rsidRPr="00404DA5" w:rsidRDefault="0093717A" w:rsidP="006F4D8F">
            <w:pPr>
              <w:jc w:val="center"/>
              <w:rPr>
                <w:rFonts w:cs="Calibri"/>
                <w:bCs/>
                <w:color w:val="000000"/>
                <w:sz w:val="18"/>
                <w:szCs w:val="20"/>
              </w:rPr>
            </w:pPr>
            <w:r>
              <w:rPr>
                <w:rFonts w:cs="Calibri"/>
                <w:bCs/>
                <w:color w:val="000000"/>
                <w:sz w:val="18"/>
                <w:szCs w:val="20"/>
              </w:rPr>
              <w:t>-</w:t>
            </w:r>
          </w:p>
        </w:tc>
        <w:tc>
          <w:tcPr>
            <w:tcW w:w="4194" w:type="dxa"/>
            <w:shd w:val="clear" w:color="auto" w:fill="auto"/>
            <w:vAlign w:val="center"/>
          </w:tcPr>
          <w:p w14:paraId="5621D951" w14:textId="77777777" w:rsidR="006F4D8F" w:rsidRPr="00404DA5" w:rsidRDefault="006F4D8F" w:rsidP="006F4D8F">
            <w:pPr>
              <w:jc w:val="left"/>
              <w:rPr>
                <w:rFonts w:cs="Calibri"/>
                <w:bCs/>
                <w:color w:val="000000"/>
                <w:sz w:val="18"/>
                <w:szCs w:val="20"/>
              </w:rPr>
            </w:pPr>
            <w:r w:rsidRPr="00404DA5">
              <w:rPr>
                <w:rFonts w:cs="Calibri"/>
                <w:color w:val="000000"/>
                <w:sz w:val="18"/>
                <w:szCs w:val="20"/>
              </w:rPr>
              <w:t>Liczba wspartych instytucji paramuzealnych</w:t>
            </w:r>
          </w:p>
        </w:tc>
        <w:tc>
          <w:tcPr>
            <w:tcW w:w="0" w:type="auto"/>
            <w:shd w:val="clear" w:color="auto" w:fill="auto"/>
            <w:vAlign w:val="center"/>
          </w:tcPr>
          <w:p w14:paraId="6B9AE91E"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szt.</w:t>
            </w:r>
          </w:p>
        </w:tc>
        <w:tc>
          <w:tcPr>
            <w:tcW w:w="0" w:type="auto"/>
            <w:shd w:val="clear" w:color="auto" w:fill="auto"/>
            <w:vAlign w:val="center"/>
          </w:tcPr>
          <w:p w14:paraId="30EE04EF"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1</w:t>
            </w:r>
          </w:p>
        </w:tc>
        <w:tc>
          <w:tcPr>
            <w:tcW w:w="0" w:type="auto"/>
            <w:shd w:val="clear" w:color="auto" w:fill="auto"/>
            <w:vAlign w:val="center"/>
          </w:tcPr>
          <w:p w14:paraId="364000FE"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0</w:t>
            </w:r>
          </w:p>
        </w:tc>
        <w:tc>
          <w:tcPr>
            <w:tcW w:w="0" w:type="auto"/>
            <w:shd w:val="clear" w:color="auto" w:fill="auto"/>
            <w:vAlign w:val="center"/>
          </w:tcPr>
          <w:p w14:paraId="5072E4A4" w14:textId="77777777" w:rsidR="006F4D8F" w:rsidRPr="00404DA5" w:rsidRDefault="006F4D8F" w:rsidP="006F4D8F">
            <w:pPr>
              <w:jc w:val="center"/>
              <w:rPr>
                <w:rFonts w:cs="Calibri"/>
                <w:bCs/>
                <w:sz w:val="18"/>
                <w:szCs w:val="20"/>
              </w:rPr>
            </w:pPr>
            <w:r w:rsidRPr="00404DA5">
              <w:rPr>
                <w:rFonts w:cs="Calibri"/>
                <w:sz w:val="18"/>
                <w:szCs w:val="20"/>
              </w:rPr>
              <w:t>0,0%</w:t>
            </w:r>
          </w:p>
        </w:tc>
        <w:tc>
          <w:tcPr>
            <w:tcW w:w="0" w:type="auto"/>
            <w:shd w:val="clear" w:color="auto" w:fill="auto"/>
            <w:vAlign w:val="center"/>
          </w:tcPr>
          <w:p w14:paraId="62BA55A5"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0</w:t>
            </w:r>
          </w:p>
        </w:tc>
        <w:tc>
          <w:tcPr>
            <w:tcW w:w="0" w:type="auto"/>
            <w:shd w:val="clear" w:color="auto" w:fill="auto"/>
            <w:vAlign w:val="center"/>
          </w:tcPr>
          <w:p w14:paraId="217494A1" w14:textId="77777777" w:rsidR="006F4D8F" w:rsidRPr="00404DA5" w:rsidRDefault="006F4D8F" w:rsidP="006F4D8F">
            <w:pPr>
              <w:jc w:val="center"/>
              <w:rPr>
                <w:rFonts w:cs="Calibri"/>
                <w:bCs/>
                <w:color w:val="000000"/>
                <w:sz w:val="18"/>
                <w:szCs w:val="20"/>
              </w:rPr>
            </w:pPr>
            <w:r w:rsidRPr="00404DA5">
              <w:rPr>
                <w:rFonts w:cs="Calibri"/>
                <w:color w:val="000000"/>
                <w:sz w:val="18"/>
                <w:szCs w:val="20"/>
              </w:rPr>
              <w:t>0,0%</w:t>
            </w:r>
          </w:p>
        </w:tc>
      </w:tr>
    </w:tbl>
    <w:p w14:paraId="3099B170" w14:textId="77777777" w:rsidR="006F4D8F" w:rsidRPr="002A5FDF" w:rsidRDefault="006F4D8F" w:rsidP="00F10E7C">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1338E9AF" w14:textId="77777777" w:rsidR="006F4D8F" w:rsidRPr="00CE549A" w:rsidRDefault="006F4D8F" w:rsidP="006F4D8F">
      <w:pPr>
        <w:rPr>
          <w:szCs w:val="20"/>
        </w:rPr>
      </w:pPr>
      <w:r w:rsidRPr="00CE549A">
        <w:rPr>
          <w:szCs w:val="20"/>
        </w:rPr>
        <w:t>Celem zaplanowanej interwencji jest wzmocni</w:t>
      </w:r>
      <w:r>
        <w:rPr>
          <w:szCs w:val="20"/>
        </w:rPr>
        <w:t>eni</w:t>
      </w:r>
      <w:r w:rsidRPr="00CE549A">
        <w:rPr>
          <w:szCs w:val="20"/>
        </w:rPr>
        <w:t>e mechanizm</w:t>
      </w:r>
      <w:r>
        <w:rPr>
          <w:szCs w:val="20"/>
        </w:rPr>
        <w:t>ów</w:t>
      </w:r>
      <w:r w:rsidRPr="00CE549A">
        <w:rPr>
          <w:szCs w:val="20"/>
        </w:rPr>
        <w:t xml:space="preserve"> ochrony przyrody oraz zwiększ</w:t>
      </w:r>
      <w:r>
        <w:rPr>
          <w:szCs w:val="20"/>
        </w:rPr>
        <w:t>enie</w:t>
      </w:r>
      <w:r w:rsidRPr="00CE549A">
        <w:rPr>
          <w:szCs w:val="20"/>
        </w:rPr>
        <w:t xml:space="preserve"> zas</w:t>
      </w:r>
      <w:r>
        <w:rPr>
          <w:szCs w:val="20"/>
        </w:rPr>
        <w:t>obów</w:t>
      </w:r>
      <w:r w:rsidRPr="00CE549A">
        <w:rPr>
          <w:szCs w:val="20"/>
        </w:rPr>
        <w:t xml:space="preserve"> informacji</w:t>
      </w:r>
      <w:r w:rsidR="00E66B89">
        <w:rPr>
          <w:szCs w:val="20"/>
        </w:rPr>
        <w:t xml:space="preserve"> o </w:t>
      </w:r>
      <w:r w:rsidRPr="00CE549A">
        <w:rPr>
          <w:szCs w:val="20"/>
        </w:rPr>
        <w:t xml:space="preserve">stanie środowiska przyrodniczego. </w:t>
      </w:r>
      <w:r>
        <w:rPr>
          <w:szCs w:val="20"/>
        </w:rPr>
        <w:t>Pozytywnie n</w:t>
      </w:r>
      <w:r w:rsidRPr="008B706B">
        <w:rPr>
          <w:szCs w:val="20"/>
        </w:rPr>
        <w:t>ależy ocenić logikę interwencji przyjętą</w:t>
      </w:r>
      <w:r w:rsidR="00E66B89">
        <w:rPr>
          <w:szCs w:val="20"/>
        </w:rPr>
        <w:t xml:space="preserve"> w </w:t>
      </w:r>
      <w:r w:rsidRPr="008B706B">
        <w:rPr>
          <w:szCs w:val="20"/>
        </w:rPr>
        <w:t>ramach PI 6d.</w:t>
      </w:r>
      <w:r w:rsidRPr="00C67F32">
        <w:rPr>
          <w:szCs w:val="20"/>
        </w:rPr>
        <w:t xml:space="preserve"> Jeżeli chcemy oddziaływać</w:t>
      </w:r>
      <w:r w:rsidRPr="00CE549A">
        <w:rPr>
          <w:szCs w:val="20"/>
        </w:rPr>
        <w:t xml:space="preserve"> na niewykorzystany potencjał generowania dochodu</w:t>
      </w:r>
      <w:r w:rsidR="00E66B89">
        <w:rPr>
          <w:szCs w:val="20"/>
        </w:rPr>
        <w:t xml:space="preserve"> i </w:t>
      </w:r>
      <w:r w:rsidRPr="00CE549A">
        <w:rPr>
          <w:szCs w:val="20"/>
        </w:rPr>
        <w:t>tworzenia miejsc pracy</w:t>
      </w:r>
      <w:r>
        <w:rPr>
          <w:szCs w:val="20"/>
        </w:rPr>
        <w:t xml:space="preserve"> -</w:t>
      </w:r>
      <w:r w:rsidRPr="00CE549A">
        <w:rPr>
          <w:szCs w:val="20"/>
        </w:rPr>
        <w:t xml:space="preserve"> dzięki promowaniu tradycji</w:t>
      </w:r>
      <w:r w:rsidR="00E66B89">
        <w:rPr>
          <w:szCs w:val="20"/>
        </w:rPr>
        <w:t xml:space="preserve"> i </w:t>
      </w:r>
      <w:r w:rsidRPr="00CE549A">
        <w:rPr>
          <w:szCs w:val="20"/>
        </w:rPr>
        <w:t xml:space="preserve">środowiska naturalnego oraz </w:t>
      </w:r>
      <w:r>
        <w:rPr>
          <w:szCs w:val="20"/>
        </w:rPr>
        <w:t>wzmacniając</w:t>
      </w:r>
      <w:r w:rsidRPr="00CE549A">
        <w:rPr>
          <w:szCs w:val="20"/>
        </w:rPr>
        <w:t xml:space="preserve"> mechanizmy ochrony przyrody</w:t>
      </w:r>
      <w:r>
        <w:rPr>
          <w:szCs w:val="20"/>
        </w:rPr>
        <w:t xml:space="preserve"> -</w:t>
      </w:r>
      <w:r w:rsidRPr="00CE549A">
        <w:rPr>
          <w:szCs w:val="20"/>
        </w:rPr>
        <w:t xml:space="preserve"> to koniecznie jest realizowanie działań na rzecz ochrony różnorodności przyrodniczej. Jeżeli będziemy wspierać obiekty związane</w:t>
      </w:r>
      <w:r w:rsidR="00E66B89">
        <w:rPr>
          <w:szCs w:val="20"/>
        </w:rPr>
        <w:t xml:space="preserve"> z </w:t>
      </w:r>
      <w:r w:rsidRPr="00CE549A">
        <w:rPr>
          <w:szCs w:val="20"/>
        </w:rPr>
        <w:t>ochroną przyrody</w:t>
      </w:r>
      <w:r>
        <w:rPr>
          <w:szCs w:val="20"/>
        </w:rPr>
        <w:t xml:space="preserve"> oraz</w:t>
      </w:r>
      <w:r w:rsidRPr="00CE549A">
        <w:rPr>
          <w:szCs w:val="20"/>
        </w:rPr>
        <w:t xml:space="preserve"> prowadzić działalność edukacji ekologicznej</w:t>
      </w:r>
      <w:r>
        <w:rPr>
          <w:szCs w:val="20"/>
        </w:rPr>
        <w:t>, to</w:t>
      </w:r>
      <w:r w:rsidRPr="00CE549A">
        <w:rPr>
          <w:szCs w:val="20"/>
        </w:rPr>
        <w:t xml:space="preserve"> zapewnimy zwiększenie siedlisk wspartych</w:t>
      </w:r>
      <w:r w:rsidR="00E66B89">
        <w:rPr>
          <w:szCs w:val="20"/>
        </w:rPr>
        <w:t xml:space="preserve"> w </w:t>
      </w:r>
      <w:r w:rsidRPr="00CE549A">
        <w:rPr>
          <w:szCs w:val="20"/>
        </w:rPr>
        <w:t>celu uzyskania lepszego statusu ochrony</w:t>
      </w:r>
      <w:r>
        <w:rPr>
          <w:szCs w:val="20"/>
        </w:rPr>
        <w:t xml:space="preserve"> oraz</w:t>
      </w:r>
      <w:r w:rsidRPr="00CE549A">
        <w:rPr>
          <w:szCs w:val="20"/>
        </w:rPr>
        <w:t xml:space="preserve"> zwiększ</w:t>
      </w:r>
      <w:r>
        <w:rPr>
          <w:szCs w:val="20"/>
        </w:rPr>
        <w:t>enie</w:t>
      </w:r>
      <w:r w:rsidRPr="00CE549A">
        <w:rPr>
          <w:szCs w:val="20"/>
        </w:rPr>
        <w:t xml:space="preserve"> liczb</w:t>
      </w:r>
      <w:r>
        <w:rPr>
          <w:szCs w:val="20"/>
        </w:rPr>
        <w:t>y</w:t>
      </w:r>
      <w:r w:rsidRPr="00CE549A">
        <w:rPr>
          <w:szCs w:val="20"/>
        </w:rPr>
        <w:t xml:space="preserve"> odwiedzających obiekty należące do </w:t>
      </w:r>
      <w:r w:rsidRPr="00CE549A">
        <w:rPr>
          <w:szCs w:val="20"/>
        </w:rPr>
        <w:lastRenderedPageBreak/>
        <w:t>dziedzictwa kulturowego</w:t>
      </w:r>
      <w:r w:rsidR="00E66B89">
        <w:rPr>
          <w:szCs w:val="20"/>
        </w:rPr>
        <w:t xml:space="preserve"> i </w:t>
      </w:r>
      <w:r w:rsidRPr="00CE549A">
        <w:rPr>
          <w:szCs w:val="20"/>
        </w:rPr>
        <w:t>naturalnego</w:t>
      </w:r>
      <w:r>
        <w:rPr>
          <w:szCs w:val="20"/>
        </w:rPr>
        <w:t>.</w:t>
      </w:r>
      <w:r w:rsidRPr="00CE549A">
        <w:rPr>
          <w:szCs w:val="20"/>
        </w:rPr>
        <w:t xml:space="preserve"> </w:t>
      </w:r>
      <w:r>
        <w:rPr>
          <w:szCs w:val="20"/>
        </w:rPr>
        <w:t>F</w:t>
      </w:r>
      <w:r w:rsidRPr="00CE549A">
        <w:rPr>
          <w:szCs w:val="20"/>
        </w:rPr>
        <w:t>inalnie, zwiększeniu ulegnie udział obszarów</w:t>
      </w:r>
      <w:r w:rsidR="00E66B89">
        <w:rPr>
          <w:szCs w:val="20"/>
        </w:rPr>
        <w:t xml:space="preserve"> o </w:t>
      </w:r>
      <w:r w:rsidRPr="00CE549A">
        <w:rPr>
          <w:szCs w:val="20"/>
        </w:rPr>
        <w:t>szczególnych walorach przyrodniczych prawnie chronionych</w:t>
      </w:r>
      <w:r w:rsidR="00E66B89">
        <w:rPr>
          <w:szCs w:val="20"/>
        </w:rPr>
        <w:t xml:space="preserve"> w </w:t>
      </w:r>
      <w:r>
        <w:rPr>
          <w:szCs w:val="20"/>
        </w:rPr>
        <w:t>całkowitej</w:t>
      </w:r>
      <w:r w:rsidRPr="00CE549A">
        <w:rPr>
          <w:szCs w:val="20"/>
        </w:rPr>
        <w:t xml:space="preserve"> powierzchni województwa.</w:t>
      </w:r>
    </w:p>
    <w:p w14:paraId="0969A9CE" w14:textId="352956BD" w:rsidR="006F4D8F" w:rsidRPr="00CE549A" w:rsidRDefault="006F4D8F" w:rsidP="006F4D8F">
      <w:pPr>
        <w:rPr>
          <w:szCs w:val="20"/>
        </w:rPr>
      </w:pPr>
      <w:r w:rsidRPr="00CE549A">
        <w:rPr>
          <w:szCs w:val="20"/>
        </w:rPr>
        <w:t>Analiza postępu rzeczowego Działania 4.3 (wedle stanu</w:t>
      </w:r>
      <w:r w:rsidR="00E66B89">
        <w:rPr>
          <w:szCs w:val="20"/>
        </w:rPr>
        <w:t xml:space="preserve"> z </w:t>
      </w:r>
      <w:r w:rsidRPr="00CE549A">
        <w:rPr>
          <w:szCs w:val="20"/>
        </w:rPr>
        <w:t xml:space="preserve">07.01.2019 r.) wskazuje, </w:t>
      </w:r>
      <w:r>
        <w:rPr>
          <w:szCs w:val="20"/>
        </w:rPr>
        <w:t xml:space="preserve">że </w:t>
      </w:r>
      <w:r w:rsidRPr="00CE549A">
        <w:rPr>
          <w:szCs w:val="20"/>
        </w:rPr>
        <w:t>wskaźnik</w:t>
      </w:r>
      <w:r>
        <w:rPr>
          <w:szCs w:val="20"/>
        </w:rPr>
        <w:t>i</w:t>
      </w:r>
      <w:r w:rsidRPr="00CE549A">
        <w:rPr>
          <w:szCs w:val="20"/>
        </w:rPr>
        <w:t xml:space="preserve"> produktu powinny zostać osiągnięte po zrealizowaniu zakontraktowanych projektów.</w:t>
      </w:r>
      <w:r w:rsidR="00E66B89">
        <w:rPr>
          <w:szCs w:val="20"/>
        </w:rPr>
        <w:t xml:space="preserve"> W </w:t>
      </w:r>
      <w:r w:rsidRPr="00CE549A">
        <w:rPr>
          <w:szCs w:val="20"/>
        </w:rPr>
        <w:t xml:space="preserve">przypadku wskaźnika </w:t>
      </w:r>
      <w:r w:rsidRPr="008B706B">
        <w:rPr>
          <w:i/>
          <w:szCs w:val="20"/>
        </w:rPr>
        <w:t xml:space="preserve">Długość szlaków </w:t>
      </w:r>
      <w:r w:rsidRPr="004E29DD">
        <w:rPr>
          <w:i/>
          <w:szCs w:val="20"/>
        </w:rPr>
        <w:t>turystycznych</w:t>
      </w:r>
      <w:r w:rsidRPr="004E29DD">
        <w:rPr>
          <w:szCs w:val="20"/>
        </w:rPr>
        <w:t xml:space="preserve"> szacowany (na podstawie zawartych UoD do 07.01.2019 r.) poziom realizacji wynosi aktualnie 25,4%. Jednak jest to wskaźnik osiągany także</w:t>
      </w:r>
      <w:r w:rsidR="00E66B89" w:rsidRPr="004E29DD">
        <w:rPr>
          <w:szCs w:val="20"/>
        </w:rPr>
        <w:t xml:space="preserve"> w </w:t>
      </w:r>
      <w:r w:rsidRPr="004E29DD">
        <w:rPr>
          <w:szCs w:val="20"/>
        </w:rPr>
        <w:t>Działaniu 4.6, co powoduje, że całkowity osiągnięty poziom może wynieść 185,8% wartości docelowej.</w:t>
      </w:r>
      <w:r w:rsidR="004E29DD" w:rsidRPr="004E29DD">
        <w:rPr>
          <w:szCs w:val="20"/>
        </w:rPr>
        <w:t xml:space="preserve"> W przypadku wskaźnika </w:t>
      </w:r>
      <w:r w:rsidR="004E29DD" w:rsidRPr="00892444">
        <w:rPr>
          <w:rFonts w:cs="Calibri"/>
          <w:color w:val="000000"/>
          <w:szCs w:val="20"/>
        </w:rPr>
        <w:t>Liczba wspartych instytucji paramuzealnych</w:t>
      </w:r>
      <w:r w:rsidR="004E29DD" w:rsidRPr="004E29DD">
        <w:rPr>
          <w:szCs w:val="20"/>
        </w:rPr>
        <w:t xml:space="preserve"> szacowany poziom realizacji wynosi aktualnie 0%. </w:t>
      </w:r>
      <w:r w:rsidR="00E66B89" w:rsidRPr="004E29DD">
        <w:rPr>
          <w:szCs w:val="20"/>
        </w:rPr>
        <w:t>W </w:t>
      </w:r>
      <w:r w:rsidRPr="004E29DD">
        <w:rPr>
          <w:szCs w:val="20"/>
        </w:rPr>
        <w:t xml:space="preserve">przypadku </w:t>
      </w:r>
      <w:r w:rsidR="004E29DD" w:rsidRPr="004E29DD">
        <w:rPr>
          <w:szCs w:val="20"/>
        </w:rPr>
        <w:t xml:space="preserve">zaś </w:t>
      </w:r>
      <w:r w:rsidRPr="004E29DD">
        <w:rPr>
          <w:szCs w:val="20"/>
        </w:rPr>
        <w:t xml:space="preserve">wskaźnika </w:t>
      </w:r>
      <w:r w:rsidRPr="004E29DD">
        <w:rPr>
          <w:i/>
          <w:szCs w:val="20"/>
        </w:rPr>
        <w:t>Powierzchnia siedlisk wspartych</w:t>
      </w:r>
      <w:r w:rsidR="00E66B89" w:rsidRPr="004E29DD">
        <w:rPr>
          <w:i/>
          <w:szCs w:val="20"/>
        </w:rPr>
        <w:t xml:space="preserve"> w </w:t>
      </w:r>
      <w:r w:rsidRPr="004E29DD">
        <w:rPr>
          <w:i/>
          <w:szCs w:val="20"/>
        </w:rPr>
        <w:t>zakresie uzyskania lepszego statusu ochrony</w:t>
      </w:r>
      <w:r w:rsidRPr="004E29DD">
        <w:rPr>
          <w:szCs w:val="20"/>
        </w:rPr>
        <w:t xml:space="preserve"> szacowany poziom realizacji wynosi aktualnie </w:t>
      </w:r>
      <w:r w:rsidR="004E29DD" w:rsidRPr="004E29DD">
        <w:rPr>
          <w:szCs w:val="20"/>
        </w:rPr>
        <w:t>155,9</w:t>
      </w:r>
      <w:r w:rsidRPr="004E29DD">
        <w:rPr>
          <w:szCs w:val="20"/>
        </w:rPr>
        <w:t>%.</w:t>
      </w:r>
      <w:r w:rsidR="00E66B89" w:rsidRPr="004E29DD">
        <w:rPr>
          <w:szCs w:val="20"/>
        </w:rPr>
        <w:t xml:space="preserve"> W </w:t>
      </w:r>
      <w:r w:rsidRPr="004E29DD">
        <w:rPr>
          <w:szCs w:val="20"/>
        </w:rPr>
        <w:t>Działaniu 4.3 -</w:t>
      </w:r>
      <w:r w:rsidR="00E66B89" w:rsidRPr="004E29DD">
        <w:rPr>
          <w:szCs w:val="20"/>
        </w:rPr>
        <w:t xml:space="preserve"> w </w:t>
      </w:r>
      <w:r w:rsidRPr="004E29DD">
        <w:rPr>
          <w:szCs w:val="20"/>
        </w:rPr>
        <w:t>przeprowadzonym naborze - nie zastosowano tego wskaźnika</w:t>
      </w:r>
      <w:r w:rsidR="00E66B89" w:rsidRPr="004E29DD">
        <w:rPr>
          <w:szCs w:val="20"/>
        </w:rPr>
        <w:t xml:space="preserve"> z </w:t>
      </w:r>
      <w:r w:rsidRPr="004E29DD">
        <w:rPr>
          <w:szCs w:val="20"/>
        </w:rPr>
        <w:t>uwagi na to, że rokuje on już znaczne</w:t>
      </w:r>
      <w:r w:rsidRPr="00CE549A">
        <w:rPr>
          <w:szCs w:val="20"/>
        </w:rPr>
        <w:t xml:space="preserve"> przekroczenie głównie</w:t>
      </w:r>
      <w:r w:rsidR="00E66B89">
        <w:rPr>
          <w:szCs w:val="20"/>
        </w:rPr>
        <w:t xml:space="preserve"> w </w:t>
      </w:r>
      <w:r w:rsidRPr="00CE549A">
        <w:rPr>
          <w:szCs w:val="20"/>
        </w:rPr>
        <w:t xml:space="preserve">ramach </w:t>
      </w:r>
      <w:r>
        <w:rPr>
          <w:szCs w:val="20"/>
        </w:rPr>
        <w:t xml:space="preserve">Działania </w:t>
      </w:r>
      <w:r w:rsidRPr="00CE549A">
        <w:rPr>
          <w:szCs w:val="20"/>
        </w:rPr>
        <w:t>4.6. Dodatkowo</w:t>
      </w:r>
      <w:r>
        <w:rPr>
          <w:szCs w:val="20"/>
        </w:rPr>
        <w:t xml:space="preserve"> należy wskazać</w:t>
      </w:r>
      <w:r w:rsidRPr="00CE549A">
        <w:rPr>
          <w:szCs w:val="20"/>
        </w:rPr>
        <w:t>,</w:t>
      </w:r>
      <w:r w:rsidR="004E29DD">
        <w:rPr>
          <w:szCs w:val="20"/>
        </w:rPr>
        <w:t xml:space="preserve"> że</w:t>
      </w:r>
      <w:r w:rsidRPr="00CE549A">
        <w:rPr>
          <w:szCs w:val="20"/>
        </w:rPr>
        <w:t xml:space="preserve"> wskaźnik </w:t>
      </w:r>
      <w:r w:rsidRPr="008B706B">
        <w:rPr>
          <w:i/>
          <w:szCs w:val="20"/>
        </w:rPr>
        <w:t>Powierzchnia siedlisk…</w:t>
      </w:r>
      <w:r w:rsidRPr="00CE549A">
        <w:rPr>
          <w:szCs w:val="20"/>
        </w:rPr>
        <w:t xml:space="preserve"> </w:t>
      </w:r>
      <w:r>
        <w:rPr>
          <w:szCs w:val="20"/>
        </w:rPr>
        <w:t>osiągany</w:t>
      </w:r>
      <w:r w:rsidRPr="00CE549A">
        <w:rPr>
          <w:szCs w:val="20"/>
        </w:rPr>
        <w:t xml:space="preserve"> jest przez projekty</w:t>
      </w:r>
      <w:r w:rsidR="00E66B89">
        <w:rPr>
          <w:szCs w:val="20"/>
        </w:rPr>
        <w:t xml:space="preserve"> w </w:t>
      </w:r>
      <w:r w:rsidRPr="00CE549A">
        <w:rPr>
          <w:szCs w:val="20"/>
        </w:rPr>
        <w:t>ramach trzech Działań PI</w:t>
      </w:r>
      <w:r>
        <w:rPr>
          <w:szCs w:val="20"/>
        </w:rPr>
        <w:t xml:space="preserve"> </w:t>
      </w:r>
      <w:r w:rsidRPr="00CE549A">
        <w:rPr>
          <w:szCs w:val="20"/>
        </w:rPr>
        <w:t>6d (4.3, 4.4</w:t>
      </w:r>
      <w:r w:rsidR="00E66B89">
        <w:rPr>
          <w:szCs w:val="20"/>
        </w:rPr>
        <w:t xml:space="preserve"> i </w:t>
      </w:r>
      <w:r w:rsidRPr="00CE549A">
        <w:rPr>
          <w:szCs w:val="20"/>
        </w:rPr>
        <w:t xml:space="preserve">4.6). </w:t>
      </w:r>
      <w:r w:rsidR="004E29DD">
        <w:rPr>
          <w:szCs w:val="20"/>
        </w:rPr>
        <w:t>Jak już wspomniano, ł</w:t>
      </w:r>
      <w:r w:rsidRPr="00CE549A">
        <w:rPr>
          <w:szCs w:val="20"/>
        </w:rPr>
        <w:t xml:space="preserve">ączny szacowany (na podstawie UoD zawartych do 07.01.2019 r.) poziom realizacji </w:t>
      </w:r>
      <w:r>
        <w:rPr>
          <w:szCs w:val="20"/>
        </w:rPr>
        <w:t>wyniesie</w:t>
      </w:r>
      <w:r w:rsidR="004E29DD">
        <w:rPr>
          <w:szCs w:val="20"/>
        </w:rPr>
        <w:t xml:space="preserve"> najpewniej</w:t>
      </w:r>
      <w:r>
        <w:rPr>
          <w:szCs w:val="20"/>
        </w:rPr>
        <w:t xml:space="preserve"> </w:t>
      </w:r>
      <w:r w:rsidRPr="00CE549A">
        <w:rPr>
          <w:szCs w:val="20"/>
        </w:rPr>
        <w:t>155,9%</w:t>
      </w:r>
      <w:r>
        <w:rPr>
          <w:szCs w:val="20"/>
        </w:rPr>
        <w:t xml:space="preserve"> wartości docelowej</w:t>
      </w:r>
      <w:r w:rsidRPr="00CE549A">
        <w:rPr>
          <w:szCs w:val="20"/>
        </w:rPr>
        <w:t>.</w:t>
      </w:r>
    </w:p>
    <w:p w14:paraId="35A40566" w14:textId="77777777" w:rsidR="006F4D8F" w:rsidRPr="00CE549A" w:rsidRDefault="006F4D8F" w:rsidP="006F4D8F">
      <w:pPr>
        <w:rPr>
          <w:szCs w:val="20"/>
        </w:rPr>
      </w:pPr>
      <w:r w:rsidRPr="00CE549A">
        <w:rPr>
          <w:szCs w:val="20"/>
        </w:rPr>
        <w:t xml:space="preserve">W ramach PI 6d na uwagę zasługuje </w:t>
      </w:r>
      <w:r>
        <w:rPr>
          <w:szCs w:val="20"/>
        </w:rPr>
        <w:t>D</w:t>
      </w:r>
      <w:r w:rsidRPr="00CE549A">
        <w:rPr>
          <w:szCs w:val="20"/>
        </w:rPr>
        <w:t>ziałanie 4.5</w:t>
      </w:r>
      <w:r>
        <w:rPr>
          <w:szCs w:val="20"/>
        </w:rPr>
        <w:t>.</w:t>
      </w:r>
      <w:r w:rsidR="00E66B89">
        <w:rPr>
          <w:szCs w:val="20"/>
        </w:rPr>
        <w:t xml:space="preserve"> W </w:t>
      </w:r>
      <w:r w:rsidRPr="00CE549A">
        <w:rPr>
          <w:szCs w:val="20"/>
        </w:rPr>
        <w:t>ramach Działania założono alokację na poziomie 505 tys. euro,</w:t>
      </w:r>
      <w:r w:rsidR="00E66B89">
        <w:rPr>
          <w:szCs w:val="20"/>
        </w:rPr>
        <w:t xml:space="preserve"> w </w:t>
      </w:r>
      <w:r w:rsidRPr="00CE549A">
        <w:rPr>
          <w:szCs w:val="20"/>
        </w:rPr>
        <w:t>tym 22 tys. euro stanowią środki rezerwy wykonania. Na dzień 7.01.2019 r. zawarto 8 umów</w:t>
      </w:r>
      <w:r w:rsidR="00E66B89">
        <w:rPr>
          <w:szCs w:val="20"/>
        </w:rPr>
        <w:t xml:space="preserve"> o </w:t>
      </w:r>
      <w:r w:rsidRPr="00CE549A">
        <w:rPr>
          <w:szCs w:val="20"/>
        </w:rPr>
        <w:t>dofinansowanie, co spowodowało zakontraktowanie 77,0% alokacji ogółem (uwzględniającej środki rezerwy wykonania).</w:t>
      </w:r>
      <w:r w:rsidR="00E66B89">
        <w:rPr>
          <w:szCs w:val="20"/>
        </w:rPr>
        <w:t xml:space="preserve"> W </w:t>
      </w:r>
      <w:r w:rsidRPr="00CE549A">
        <w:rPr>
          <w:szCs w:val="20"/>
        </w:rPr>
        <w:t>ramach Działania pozostało zatem około 0,5 mln zł alokacji (uwzględniając</w:t>
      </w:r>
      <w:r>
        <w:rPr>
          <w:szCs w:val="20"/>
        </w:rPr>
        <w:t>ej</w:t>
      </w:r>
      <w:r w:rsidRPr="00CE549A">
        <w:rPr>
          <w:szCs w:val="20"/>
        </w:rPr>
        <w:t xml:space="preserve"> środki rezerwy). Poziom kontraktacji bez uwzględniania środków rezerwy wyniósł</w:t>
      </w:r>
      <w:r w:rsidR="00E66B89">
        <w:rPr>
          <w:szCs w:val="20"/>
        </w:rPr>
        <w:t xml:space="preserve"> z </w:t>
      </w:r>
      <w:r w:rsidRPr="00CE549A">
        <w:rPr>
          <w:szCs w:val="20"/>
        </w:rPr>
        <w:t xml:space="preserve">kolei 80,7%. </w:t>
      </w:r>
    </w:p>
    <w:p w14:paraId="706FF16B" w14:textId="77777777" w:rsidR="006F4D8F" w:rsidRDefault="006F4D8F" w:rsidP="006F4D8F">
      <w:pPr>
        <w:rPr>
          <w:szCs w:val="20"/>
        </w:rPr>
      </w:pPr>
      <w:r w:rsidRPr="00CE549A">
        <w:rPr>
          <w:szCs w:val="20"/>
        </w:rPr>
        <w:t>Działanie 4.5 cieszyło się umiarkowanym zainteresowaniem na tle innych Działań</w:t>
      </w:r>
      <w:r>
        <w:rPr>
          <w:szCs w:val="20"/>
        </w:rPr>
        <w:t xml:space="preserve"> PI</w:t>
      </w:r>
      <w:r w:rsidRPr="00CE549A">
        <w:rPr>
          <w:szCs w:val="20"/>
        </w:rPr>
        <w:t>. Pomimo dotychczasowego zainteresowania projektami „miękkimi”, niezasadne będzie jednak realizowan</w:t>
      </w:r>
      <w:r>
        <w:rPr>
          <w:szCs w:val="20"/>
        </w:rPr>
        <w:t>i</w:t>
      </w:r>
      <w:r w:rsidRPr="00CE549A">
        <w:rPr>
          <w:szCs w:val="20"/>
        </w:rPr>
        <w:t xml:space="preserve">e kolejnych projektów ze środków rezerwy wykonania, gdyż projekty te nie </w:t>
      </w:r>
      <w:r>
        <w:rPr>
          <w:szCs w:val="20"/>
        </w:rPr>
        <w:t>będą</w:t>
      </w:r>
      <w:r w:rsidRPr="00CE549A">
        <w:rPr>
          <w:szCs w:val="20"/>
        </w:rPr>
        <w:t xml:space="preserve"> stanowić kluczowych projektów</w:t>
      </w:r>
      <w:r w:rsidR="00E66B89">
        <w:rPr>
          <w:szCs w:val="20"/>
        </w:rPr>
        <w:t xml:space="preserve"> z </w:t>
      </w:r>
      <w:r w:rsidRPr="00CE549A">
        <w:rPr>
          <w:szCs w:val="20"/>
        </w:rPr>
        <w:t xml:space="preserve">punktu widzenia kierunków rozwoju województwa. Odnośnie wskaźnika </w:t>
      </w:r>
      <w:r w:rsidRPr="008B706B">
        <w:rPr>
          <w:i/>
          <w:szCs w:val="20"/>
        </w:rPr>
        <w:t>Długość szlaków</w:t>
      </w:r>
      <w:r w:rsidRPr="00CE549A">
        <w:rPr>
          <w:szCs w:val="20"/>
        </w:rPr>
        <w:t xml:space="preserve"> szacowany (na podstawie UoD zawartych do 07.01.2019 r.) poziom</w:t>
      </w:r>
      <w:r>
        <w:rPr>
          <w:szCs w:val="20"/>
        </w:rPr>
        <w:t xml:space="preserve"> jego</w:t>
      </w:r>
      <w:r w:rsidRPr="00CE549A">
        <w:rPr>
          <w:szCs w:val="20"/>
        </w:rPr>
        <w:t xml:space="preserve"> realizacji wynosi aktualnie 160,4%. </w:t>
      </w:r>
      <w:r w:rsidRPr="008B706B">
        <w:rPr>
          <w:szCs w:val="20"/>
        </w:rPr>
        <w:t>Analiza postępu rzeczowego</w:t>
      </w:r>
      <w:r w:rsidR="00E66B89">
        <w:rPr>
          <w:szCs w:val="20"/>
        </w:rPr>
        <w:t xml:space="preserve"> w </w:t>
      </w:r>
      <w:r w:rsidRPr="008B706B">
        <w:rPr>
          <w:szCs w:val="20"/>
        </w:rPr>
        <w:t xml:space="preserve">większości </w:t>
      </w:r>
      <w:r>
        <w:rPr>
          <w:szCs w:val="20"/>
        </w:rPr>
        <w:t>D</w:t>
      </w:r>
      <w:r w:rsidRPr="008B706B">
        <w:rPr>
          <w:szCs w:val="20"/>
        </w:rPr>
        <w:t>ziałań (wedle stanu</w:t>
      </w:r>
      <w:r w:rsidR="00E66B89">
        <w:rPr>
          <w:szCs w:val="20"/>
        </w:rPr>
        <w:t xml:space="preserve"> z </w:t>
      </w:r>
      <w:r w:rsidRPr="008B706B">
        <w:rPr>
          <w:szCs w:val="20"/>
        </w:rPr>
        <w:t>07.01.2019 r.) wskazuje, że docelowe wartości wskaźników produktu powinny zostać osiągnięte po zrealizowaniu zakontraktowanych projektów.</w:t>
      </w:r>
      <w:r w:rsidRPr="00CE549A">
        <w:rPr>
          <w:b/>
          <w:szCs w:val="20"/>
        </w:rPr>
        <w:t xml:space="preserve"> </w:t>
      </w:r>
      <w:r w:rsidRPr="00CE549A">
        <w:rPr>
          <w:szCs w:val="20"/>
        </w:rPr>
        <w:t xml:space="preserve">Wyjątkiem jest realizacja </w:t>
      </w:r>
      <w:r>
        <w:rPr>
          <w:szCs w:val="20"/>
        </w:rPr>
        <w:t>D</w:t>
      </w:r>
      <w:r w:rsidRPr="00CE549A">
        <w:rPr>
          <w:szCs w:val="20"/>
        </w:rPr>
        <w:t>ziałania 4.7. Na dzień 7.01.2019 r. nie zawarto żadnej umowy</w:t>
      </w:r>
      <w:r w:rsidR="00E66B89">
        <w:rPr>
          <w:szCs w:val="20"/>
        </w:rPr>
        <w:t xml:space="preserve"> o </w:t>
      </w:r>
      <w:r w:rsidRPr="00CE549A">
        <w:rPr>
          <w:szCs w:val="20"/>
        </w:rPr>
        <w:t>dofinansowanie, nie zakontraktowano żadnych środków.</w:t>
      </w:r>
      <w:r w:rsidR="00E66B89">
        <w:rPr>
          <w:szCs w:val="20"/>
        </w:rPr>
        <w:t xml:space="preserve"> W </w:t>
      </w:r>
      <w:r w:rsidRPr="00CE549A">
        <w:rPr>
          <w:szCs w:val="20"/>
        </w:rPr>
        <w:t>ramach Działania do wykorzystania</w:t>
      </w:r>
      <w:r>
        <w:rPr>
          <w:szCs w:val="20"/>
        </w:rPr>
        <w:t xml:space="preserve"> </w:t>
      </w:r>
      <w:r w:rsidRPr="00CE549A">
        <w:rPr>
          <w:szCs w:val="20"/>
        </w:rPr>
        <w:t>jest 282 500 euro (co stanowi około 1,2 mln zł) alokacji (uwzględniając środki rezerwy wykonania). Pierwszy nabór</w:t>
      </w:r>
      <w:r w:rsidR="00E66B89">
        <w:rPr>
          <w:szCs w:val="20"/>
        </w:rPr>
        <w:t xml:space="preserve"> w </w:t>
      </w:r>
      <w:r w:rsidRPr="00CE549A">
        <w:rPr>
          <w:szCs w:val="20"/>
        </w:rPr>
        <w:t>ramach tego Działania zaplanowano</w:t>
      </w:r>
      <w:r w:rsidR="00E66B89">
        <w:rPr>
          <w:szCs w:val="20"/>
        </w:rPr>
        <w:t xml:space="preserve"> w </w:t>
      </w:r>
      <w:r w:rsidRPr="00CE549A">
        <w:rPr>
          <w:szCs w:val="20"/>
        </w:rPr>
        <w:t>2019 roku.</w:t>
      </w:r>
      <w:r w:rsidR="00E66B89">
        <w:rPr>
          <w:szCs w:val="20"/>
        </w:rPr>
        <w:t xml:space="preserve"> W </w:t>
      </w:r>
      <w:r w:rsidRPr="00CE549A">
        <w:rPr>
          <w:szCs w:val="20"/>
        </w:rPr>
        <w:t xml:space="preserve">ramach Działania przyjęto wskaźnik rezultatu bezpośredniego </w:t>
      </w:r>
      <w:r w:rsidRPr="008B706B">
        <w:rPr>
          <w:i/>
          <w:szCs w:val="20"/>
        </w:rPr>
        <w:t>Liczba gatunków objętych działaniami ochronnymi</w:t>
      </w:r>
      <w:r w:rsidRPr="00CE549A">
        <w:rPr>
          <w:szCs w:val="20"/>
        </w:rPr>
        <w:t xml:space="preserve"> oraz wskaźnik produktu </w:t>
      </w:r>
      <w:r w:rsidRPr="008B706B">
        <w:rPr>
          <w:i/>
          <w:szCs w:val="20"/>
        </w:rPr>
        <w:t>Liczba powstałych, przebudowanych, doposażonych ośrodków rehabilitacji zwierząt</w:t>
      </w:r>
      <w:r w:rsidRPr="00CE549A">
        <w:rPr>
          <w:szCs w:val="20"/>
        </w:rPr>
        <w:t>, które nie zostały osiągnięte</w:t>
      </w:r>
      <w:r>
        <w:rPr>
          <w:szCs w:val="20"/>
        </w:rPr>
        <w:t xml:space="preserve"> -</w:t>
      </w:r>
      <w:r w:rsidRPr="00CE549A">
        <w:rPr>
          <w:szCs w:val="20"/>
        </w:rPr>
        <w:t xml:space="preserve"> dlatego ocena</w:t>
      </w:r>
      <w:r>
        <w:rPr>
          <w:szCs w:val="20"/>
        </w:rPr>
        <w:t xml:space="preserve"> tych</w:t>
      </w:r>
      <w:r w:rsidRPr="00CE549A">
        <w:rPr>
          <w:szCs w:val="20"/>
        </w:rPr>
        <w:t xml:space="preserve"> wskaźników będzie możliwa po 2020 r. Pewne trudności identyfikuje się</w:t>
      </w:r>
      <w:r w:rsidR="00E66B89">
        <w:rPr>
          <w:szCs w:val="20"/>
        </w:rPr>
        <w:t xml:space="preserve"> w </w:t>
      </w:r>
      <w:r w:rsidRPr="00CE549A">
        <w:rPr>
          <w:szCs w:val="20"/>
        </w:rPr>
        <w:t>ramach Działania 4.4, gdzie poziom kontraktacji</w:t>
      </w:r>
      <w:r>
        <w:rPr>
          <w:szCs w:val="20"/>
        </w:rPr>
        <w:t xml:space="preserve"> -</w:t>
      </w:r>
      <w:r w:rsidRPr="00CE549A">
        <w:rPr>
          <w:szCs w:val="20"/>
        </w:rPr>
        <w:t xml:space="preserve"> bez uwzględniania środków rezerwy</w:t>
      </w:r>
      <w:r>
        <w:rPr>
          <w:szCs w:val="20"/>
        </w:rPr>
        <w:t xml:space="preserve"> -</w:t>
      </w:r>
      <w:r w:rsidRPr="00CE549A">
        <w:rPr>
          <w:szCs w:val="20"/>
        </w:rPr>
        <w:t xml:space="preserve"> wyniósł 41%. Działanie to nie cieszy się takim zainteresowaniem jak planowano. Wstępnie można stwierdzić, że zasadne będzie ogłaszanie kolejnych naborów, szczególnie na Działania</w:t>
      </w:r>
      <w:r w:rsidR="00E66B89">
        <w:rPr>
          <w:szCs w:val="20"/>
        </w:rPr>
        <w:t xml:space="preserve"> z </w:t>
      </w:r>
      <w:r w:rsidRPr="00CE549A">
        <w:rPr>
          <w:szCs w:val="20"/>
        </w:rPr>
        <w:t>niskim poziomem kontraktacji, tj. Działanie 4.3. oraz 4.4.</w:t>
      </w:r>
      <w:r>
        <w:rPr>
          <w:szCs w:val="20"/>
        </w:rPr>
        <w:t xml:space="preserve"> </w:t>
      </w:r>
    </w:p>
    <w:p w14:paraId="118D8E22" w14:textId="77777777" w:rsidR="006F4D8F" w:rsidRDefault="006F4D8F" w:rsidP="006F4D8F">
      <w:pPr>
        <w:rPr>
          <w:szCs w:val="20"/>
        </w:rPr>
      </w:pPr>
      <w:r w:rsidRPr="000C4A78">
        <w:rPr>
          <w:szCs w:val="20"/>
        </w:rPr>
        <w:t xml:space="preserve">Koszty jednostkowe </w:t>
      </w:r>
      <w:r>
        <w:rPr>
          <w:szCs w:val="20"/>
        </w:rPr>
        <w:t>wskaźników</w:t>
      </w:r>
      <w:r w:rsidR="00E66B89">
        <w:rPr>
          <w:szCs w:val="20"/>
        </w:rPr>
        <w:t xml:space="preserve"> w </w:t>
      </w:r>
      <w:r>
        <w:rPr>
          <w:szCs w:val="20"/>
        </w:rPr>
        <w:t xml:space="preserve">założeniach programowych </w:t>
      </w:r>
      <w:r w:rsidRPr="000C4A78">
        <w:rPr>
          <w:szCs w:val="20"/>
        </w:rPr>
        <w:t>przyjęto na podstawie doświadczeń</w:t>
      </w:r>
      <w:r w:rsidR="00E66B89">
        <w:rPr>
          <w:szCs w:val="20"/>
        </w:rPr>
        <w:t xml:space="preserve"> z </w:t>
      </w:r>
      <w:r w:rsidRPr="000C4A78">
        <w:rPr>
          <w:szCs w:val="20"/>
        </w:rPr>
        <w:t>wdrażania referencyjnych projektów minionej perspektywy finansowej 2007-2013 (na podstawie danych</w:t>
      </w:r>
      <w:r w:rsidR="00E66B89">
        <w:rPr>
          <w:szCs w:val="20"/>
        </w:rPr>
        <w:t xml:space="preserve"> z </w:t>
      </w:r>
      <w:r>
        <w:rPr>
          <w:szCs w:val="20"/>
        </w:rPr>
        <w:t>KSI</w:t>
      </w:r>
      <w:r w:rsidRPr="000C4A78">
        <w:rPr>
          <w:szCs w:val="20"/>
        </w:rPr>
        <w:t>). Koszt jednostkowy został obliczony jako średni koszt dofinansowania przypadający na daną jednostkę produktu</w:t>
      </w:r>
      <w:r w:rsidR="00E66B89">
        <w:rPr>
          <w:szCs w:val="20"/>
        </w:rPr>
        <w:t xml:space="preserve"> i </w:t>
      </w:r>
      <w:r w:rsidRPr="000C4A78">
        <w:rPr>
          <w:szCs w:val="20"/>
        </w:rPr>
        <w:t>skorygowany zgodnie</w:t>
      </w:r>
      <w:r w:rsidR="00E66B89">
        <w:rPr>
          <w:szCs w:val="20"/>
        </w:rPr>
        <w:t xml:space="preserve"> z </w:t>
      </w:r>
      <w:r w:rsidRPr="000C4A78">
        <w:rPr>
          <w:szCs w:val="20"/>
        </w:rPr>
        <w:t>indeksem WCPBM na ceny stałe</w:t>
      </w:r>
      <w:r w:rsidR="00E66B89">
        <w:rPr>
          <w:szCs w:val="20"/>
        </w:rPr>
        <w:t xml:space="preserve"> z </w:t>
      </w:r>
      <w:r w:rsidRPr="000C4A78">
        <w:rPr>
          <w:szCs w:val="20"/>
        </w:rPr>
        <w:t xml:space="preserve">2014 r. </w:t>
      </w:r>
    </w:p>
    <w:p w14:paraId="7E92765B" w14:textId="77777777" w:rsidR="006F4D8F" w:rsidRPr="009E1302" w:rsidRDefault="006F4D8F" w:rsidP="006F4D8F">
      <w:pPr>
        <w:rPr>
          <w:szCs w:val="20"/>
        </w:rPr>
      </w:pPr>
      <w:bookmarkStart w:id="129" w:name="_Hlk5143702"/>
      <w:r>
        <w:rPr>
          <w:szCs w:val="20"/>
        </w:rPr>
        <w:t xml:space="preserve">Dla wskaźnika </w:t>
      </w:r>
      <w:r w:rsidRPr="008B706B">
        <w:rPr>
          <w:i/>
          <w:szCs w:val="20"/>
        </w:rPr>
        <w:t>Długość szlaków turystycznych</w:t>
      </w:r>
      <w:r w:rsidRPr="000C4A78">
        <w:rPr>
          <w:szCs w:val="20"/>
        </w:rPr>
        <w:t xml:space="preserve"> </w:t>
      </w:r>
      <w:r>
        <w:rPr>
          <w:szCs w:val="20"/>
        </w:rPr>
        <w:t>oszacowano</w:t>
      </w:r>
      <w:r w:rsidRPr="000C4A78">
        <w:rPr>
          <w:szCs w:val="20"/>
        </w:rPr>
        <w:t xml:space="preserve"> koszt jednostkowy</w:t>
      </w:r>
      <w:r w:rsidR="00E66B89">
        <w:rPr>
          <w:szCs w:val="20"/>
        </w:rPr>
        <w:t xml:space="preserve"> w </w:t>
      </w:r>
      <w:r>
        <w:rPr>
          <w:szCs w:val="20"/>
        </w:rPr>
        <w:t>wysokości</w:t>
      </w:r>
      <w:r w:rsidRPr="000C4A78">
        <w:rPr>
          <w:szCs w:val="20"/>
        </w:rPr>
        <w:t xml:space="preserve"> </w:t>
      </w:r>
      <w:r w:rsidRPr="00513F5B">
        <w:rPr>
          <w:szCs w:val="20"/>
        </w:rPr>
        <w:t>1 094 327,45</w:t>
      </w:r>
      <w:r w:rsidRPr="000C4A78">
        <w:rPr>
          <w:szCs w:val="20"/>
        </w:rPr>
        <w:t xml:space="preserve"> zł za 1 </w:t>
      </w:r>
      <w:r>
        <w:rPr>
          <w:szCs w:val="20"/>
        </w:rPr>
        <w:t>km</w:t>
      </w:r>
      <w:r w:rsidRPr="000C4A78">
        <w:rPr>
          <w:szCs w:val="20"/>
        </w:rPr>
        <w:t>. Rzeczywiste koszty</w:t>
      </w:r>
      <w:r>
        <w:rPr>
          <w:szCs w:val="20"/>
        </w:rPr>
        <w:t xml:space="preserve">, obliczone na podstawie </w:t>
      </w:r>
      <w:r w:rsidRPr="000C4A78">
        <w:rPr>
          <w:szCs w:val="20"/>
        </w:rPr>
        <w:t>projektów</w:t>
      </w:r>
      <w:r>
        <w:rPr>
          <w:szCs w:val="20"/>
        </w:rPr>
        <w:t xml:space="preserve"> z</w:t>
      </w:r>
      <w:r w:rsidRPr="000C4A78">
        <w:rPr>
          <w:szCs w:val="20"/>
        </w:rPr>
        <w:t xml:space="preserve"> zawartą</w:t>
      </w:r>
      <w:r>
        <w:rPr>
          <w:szCs w:val="20"/>
        </w:rPr>
        <w:t xml:space="preserve"> do 07.01.2019r.</w:t>
      </w:r>
      <w:r w:rsidRPr="000C4A78">
        <w:rPr>
          <w:szCs w:val="20"/>
        </w:rPr>
        <w:t xml:space="preserve"> </w:t>
      </w:r>
      <w:r>
        <w:rPr>
          <w:szCs w:val="20"/>
        </w:rPr>
        <w:t>UoD,</w:t>
      </w:r>
      <w:r w:rsidRPr="000C4A78">
        <w:rPr>
          <w:szCs w:val="20"/>
        </w:rPr>
        <w:t xml:space="preserve"> </w:t>
      </w:r>
      <w:r w:rsidRPr="000C4A78">
        <w:rPr>
          <w:szCs w:val="20"/>
        </w:rPr>
        <w:lastRenderedPageBreak/>
        <w:t>okazały się być jednak niższe</w:t>
      </w:r>
      <w:r>
        <w:rPr>
          <w:szCs w:val="20"/>
        </w:rPr>
        <w:t xml:space="preserve"> - </w:t>
      </w:r>
      <w:r w:rsidRPr="000C4A78">
        <w:rPr>
          <w:szCs w:val="20"/>
        </w:rPr>
        <w:t xml:space="preserve">wyniosły </w:t>
      </w:r>
      <w:r w:rsidRPr="00E146CF">
        <w:rPr>
          <w:szCs w:val="20"/>
        </w:rPr>
        <w:t>880 907,11</w:t>
      </w:r>
      <w:r w:rsidRPr="000C4A78">
        <w:rPr>
          <w:szCs w:val="20"/>
        </w:rPr>
        <w:t xml:space="preserve"> zł za 1 </w:t>
      </w:r>
      <w:r>
        <w:rPr>
          <w:szCs w:val="20"/>
        </w:rPr>
        <w:t>km</w:t>
      </w:r>
      <w:r w:rsidRPr="000C4A78">
        <w:rPr>
          <w:szCs w:val="20"/>
        </w:rPr>
        <w:t>.</w:t>
      </w:r>
      <w:r w:rsidR="00E66B89">
        <w:rPr>
          <w:szCs w:val="20"/>
        </w:rPr>
        <w:t xml:space="preserve"> W </w:t>
      </w:r>
      <w:r>
        <w:rPr>
          <w:szCs w:val="20"/>
        </w:rPr>
        <w:t xml:space="preserve">przypadku tego wskaźnika osiągnięta została zatem wyższa efektywność niż zakładano. </w:t>
      </w:r>
    </w:p>
    <w:p w14:paraId="53D37040" w14:textId="77777777" w:rsidR="006F4D8F" w:rsidRPr="000C4A78" w:rsidRDefault="006F4D8F" w:rsidP="006F4D8F">
      <w:pPr>
        <w:rPr>
          <w:szCs w:val="20"/>
        </w:rPr>
      </w:pPr>
      <w:r>
        <w:rPr>
          <w:szCs w:val="20"/>
        </w:rPr>
        <w:t xml:space="preserve">Dla wskaźnika </w:t>
      </w:r>
      <w:r w:rsidRPr="008B706B">
        <w:rPr>
          <w:i/>
          <w:szCs w:val="20"/>
        </w:rPr>
        <w:t>Powierzchnia siedlisk wspartych</w:t>
      </w:r>
      <w:r w:rsidR="00E66B89">
        <w:rPr>
          <w:i/>
          <w:szCs w:val="20"/>
        </w:rPr>
        <w:t xml:space="preserve"> w </w:t>
      </w:r>
      <w:r w:rsidRPr="008B706B">
        <w:rPr>
          <w:i/>
          <w:szCs w:val="20"/>
        </w:rPr>
        <w:t>zakresie uzyskania lepszego statusu ochrony</w:t>
      </w:r>
      <w:r w:rsidRPr="000C4A78">
        <w:rPr>
          <w:szCs w:val="20"/>
        </w:rPr>
        <w:t xml:space="preserve"> </w:t>
      </w:r>
      <w:r>
        <w:rPr>
          <w:szCs w:val="20"/>
        </w:rPr>
        <w:t>oszacowano</w:t>
      </w:r>
      <w:r w:rsidRPr="000C4A78">
        <w:rPr>
          <w:szCs w:val="20"/>
        </w:rPr>
        <w:t xml:space="preserve"> koszt jednostkowy</w:t>
      </w:r>
      <w:r w:rsidR="00E66B89">
        <w:rPr>
          <w:szCs w:val="20"/>
        </w:rPr>
        <w:t xml:space="preserve"> w </w:t>
      </w:r>
      <w:r>
        <w:rPr>
          <w:szCs w:val="20"/>
        </w:rPr>
        <w:t>wysokości</w:t>
      </w:r>
      <w:r w:rsidRPr="000C4A78">
        <w:rPr>
          <w:szCs w:val="20"/>
        </w:rPr>
        <w:t xml:space="preserve"> </w:t>
      </w:r>
      <w:r w:rsidRPr="00513F5B">
        <w:rPr>
          <w:szCs w:val="20"/>
        </w:rPr>
        <w:t>153 911,02 zł</w:t>
      </w:r>
      <w:r w:rsidRPr="000C4A78">
        <w:rPr>
          <w:szCs w:val="20"/>
        </w:rPr>
        <w:t xml:space="preserve"> za 1 </w:t>
      </w:r>
      <w:r>
        <w:rPr>
          <w:szCs w:val="20"/>
        </w:rPr>
        <w:t>ha</w:t>
      </w:r>
      <w:r w:rsidRPr="000C4A78">
        <w:rPr>
          <w:szCs w:val="20"/>
        </w:rPr>
        <w:t>. Rzeczywiste koszty</w:t>
      </w:r>
      <w:r>
        <w:rPr>
          <w:szCs w:val="20"/>
        </w:rPr>
        <w:t xml:space="preserve">, obliczone na podstawie </w:t>
      </w:r>
      <w:r w:rsidRPr="000C4A78">
        <w:rPr>
          <w:szCs w:val="20"/>
        </w:rPr>
        <w:t>projektów</w:t>
      </w:r>
      <w:r w:rsidR="00E66B89">
        <w:rPr>
          <w:szCs w:val="20"/>
        </w:rPr>
        <w:t xml:space="preserve"> z </w:t>
      </w:r>
      <w:r w:rsidRPr="000C4A78">
        <w:rPr>
          <w:szCs w:val="20"/>
        </w:rPr>
        <w:t>zawartą</w:t>
      </w:r>
      <w:r>
        <w:rPr>
          <w:szCs w:val="20"/>
        </w:rPr>
        <w:t xml:space="preserve"> do 07.01.2019r.</w:t>
      </w:r>
      <w:r w:rsidRPr="000C4A78">
        <w:rPr>
          <w:szCs w:val="20"/>
        </w:rPr>
        <w:t xml:space="preserve"> </w:t>
      </w:r>
      <w:r>
        <w:rPr>
          <w:szCs w:val="20"/>
        </w:rPr>
        <w:t>UoD,</w:t>
      </w:r>
      <w:r w:rsidRPr="000C4A78">
        <w:rPr>
          <w:szCs w:val="20"/>
        </w:rPr>
        <w:t xml:space="preserve"> okazały się być jednak </w:t>
      </w:r>
      <w:r>
        <w:rPr>
          <w:szCs w:val="20"/>
        </w:rPr>
        <w:t>wyższe</w:t>
      </w:r>
      <w:r w:rsidRPr="000C4A78">
        <w:rPr>
          <w:szCs w:val="20"/>
        </w:rPr>
        <w:t xml:space="preserve"> </w:t>
      </w:r>
      <w:r>
        <w:rPr>
          <w:szCs w:val="20"/>
        </w:rPr>
        <w:t xml:space="preserve">- </w:t>
      </w:r>
      <w:r w:rsidRPr="000C4A78">
        <w:rPr>
          <w:szCs w:val="20"/>
        </w:rPr>
        <w:t xml:space="preserve">wyniosły 444 120,51 zł za 1 </w:t>
      </w:r>
      <w:r>
        <w:rPr>
          <w:szCs w:val="20"/>
        </w:rPr>
        <w:t>ha</w:t>
      </w:r>
      <w:r w:rsidRPr="000C4A78">
        <w:rPr>
          <w:szCs w:val="20"/>
        </w:rPr>
        <w:t>.</w:t>
      </w:r>
      <w:r w:rsidR="00E66B89">
        <w:rPr>
          <w:szCs w:val="20"/>
        </w:rPr>
        <w:t xml:space="preserve"> W </w:t>
      </w:r>
      <w:r>
        <w:rPr>
          <w:szCs w:val="20"/>
        </w:rPr>
        <w:t>przypadku tego wskaźnika osiągnięta została zatem niższa efektywność niż zakładano.</w:t>
      </w:r>
      <w:bookmarkEnd w:id="129"/>
    </w:p>
    <w:p w14:paraId="7186365E"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 xml:space="preserve">Wskaźniki rezultatu strategicznego </w:t>
      </w:r>
    </w:p>
    <w:p w14:paraId="44E09C4C" w14:textId="77777777" w:rsidR="006F4D8F" w:rsidRPr="00CE549A" w:rsidRDefault="006F4D8F" w:rsidP="006F4D8F">
      <w:pPr>
        <w:rPr>
          <w:szCs w:val="20"/>
        </w:rPr>
      </w:pPr>
      <w:r w:rsidRPr="00CE549A">
        <w:rPr>
          <w:szCs w:val="20"/>
        </w:rPr>
        <w:t xml:space="preserve">W ramach RPO WZ dla PI 6d przyjęto dwa wskaźniki </w:t>
      </w:r>
      <w:r>
        <w:rPr>
          <w:szCs w:val="20"/>
        </w:rPr>
        <w:t>rezultatu strategicznego, co przedstawia poniższa tabela.</w:t>
      </w:r>
    </w:p>
    <w:p w14:paraId="77D8FC07" w14:textId="77777777" w:rsidR="006F4D8F" w:rsidRPr="00CE549A" w:rsidRDefault="006F4D8F" w:rsidP="0093717A">
      <w:pPr>
        <w:pStyle w:val="Legenda"/>
        <w:spacing w:after="0"/>
      </w:pPr>
      <w:bookmarkStart w:id="130" w:name="_Toc8824172"/>
      <w:r w:rsidRPr="00CE549A">
        <w:t xml:space="preserve">Tabela </w:t>
      </w:r>
      <w:r w:rsidRPr="00CE549A">
        <w:fldChar w:fldCharType="begin"/>
      </w:r>
      <w:r w:rsidRPr="00CE549A">
        <w:instrText xml:space="preserve"> SEQ Tabela \* ARABIC </w:instrText>
      </w:r>
      <w:r w:rsidRPr="00CE549A">
        <w:fldChar w:fldCharType="separate"/>
      </w:r>
      <w:r w:rsidR="00763345">
        <w:rPr>
          <w:noProof/>
        </w:rPr>
        <w:t>61</w:t>
      </w:r>
      <w:r w:rsidRPr="00CE549A">
        <w:fldChar w:fldCharType="end"/>
      </w:r>
      <w:r w:rsidRPr="00CE549A">
        <w:t>. Prognozowany poziom realizacji wskaźnika rezultatu strategicznego na rok 2023 dla PI 6d</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
        <w:gridCol w:w="2749"/>
        <w:gridCol w:w="1101"/>
        <w:gridCol w:w="969"/>
        <w:gridCol w:w="868"/>
        <w:gridCol w:w="1488"/>
        <w:gridCol w:w="1441"/>
      </w:tblGrid>
      <w:tr w:rsidR="006F4D8F" w:rsidRPr="0043138F" w14:paraId="09E30994" w14:textId="77777777" w:rsidTr="005F04FC">
        <w:trPr>
          <w:trHeight w:val="704"/>
          <w:tblHeader/>
        </w:trPr>
        <w:tc>
          <w:tcPr>
            <w:tcW w:w="0" w:type="auto"/>
            <w:shd w:val="clear" w:color="auto" w:fill="DBE5F1"/>
          </w:tcPr>
          <w:p w14:paraId="5A499260"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PI</w:t>
            </w:r>
          </w:p>
        </w:tc>
        <w:tc>
          <w:tcPr>
            <w:tcW w:w="0" w:type="auto"/>
            <w:shd w:val="clear" w:color="auto" w:fill="DBE5F1"/>
          </w:tcPr>
          <w:p w14:paraId="53815433"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 xml:space="preserve">Wskaźnik </w:t>
            </w:r>
          </w:p>
        </w:tc>
        <w:tc>
          <w:tcPr>
            <w:tcW w:w="0" w:type="auto"/>
            <w:shd w:val="clear" w:color="auto" w:fill="DBE5F1"/>
          </w:tcPr>
          <w:p w14:paraId="238814E0"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 xml:space="preserve">Jednostka pomiaru </w:t>
            </w:r>
          </w:p>
        </w:tc>
        <w:tc>
          <w:tcPr>
            <w:tcW w:w="0" w:type="auto"/>
            <w:shd w:val="clear" w:color="auto" w:fill="DBE5F1"/>
          </w:tcPr>
          <w:p w14:paraId="3695A1E1"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 xml:space="preserve">Wartość bazowa </w:t>
            </w:r>
          </w:p>
        </w:tc>
        <w:tc>
          <w:tcPr>
            <w:tcW w:w="0" w:type="auto"/>
            <w:shd w:val="clear" w:color="auto" w:fill="DBE5F1"/>
          </w:tcPr>
          <w:p w14:paraId="256FF9AD"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 xml:space="preserve">Rok bazowy </w:t>
            </w:r>
          </w:p>
        </w:tc>
        <w:tc>
          <w:tcPr>
            <w:tcW w:w="0" w:type="auto"/>
            <w:shd w:val="clear" w:color="auto" w:fill="DBE5F1"/>
          </w:tcPr>
          <w:p w14:paraId="53CA1985"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Założona</w:t>
            </w:r>
            <w:r w:rsidR="00E66B89">
              <w:rPr>
                <w:color w:val="000000"/>
                <w:sz w:val="18"/>
              </w:rPr>
              <w:t xml:space="preserve"> w </w:t>
            </w:r>
            <w:r w:rsidRPr="00C22C26">
              <w:rPr>
                <w:color w:val="000000"/>
                <w:sz w:val="18"/>
              </w:rPr>
              <w:t xml:space="preserve">programie wartość docelowa </w:t>
            </w:r>
          </w:p>
          <w:p w14:paraId="0B41DB96" w14:textId="77777777" w:rsidR="006F4D8F" w:rsidRPr="003A6028" w:rsidRDefault="006F4D8F" w:rsidP="006F4D8F">
            <w:pPr>
              <w:autoSpaceDE w:val="0"/>
              <w:autoSpaceDN w:val="0"/>
              <w:adjustRightInd w:val="0"/>
              <w:rPr>
                <w:rFonts w:cs="Calibri"/>
                <w:color w:val="000000"/>
                <w:sz w:val="18"/>
                <w:szCs w:val="20"/>
              </w:rPr>
            </w:pPr>
            <w:r w:rsidRPr="00C22C26">
              <w:rPr>
                <w:color w:val="000000"/>
                <w:sz w:val="18"/>
              </w:rPr>
              <w:t xml:space="preserve">(2023) </w:t>
            </w:r>
          </w:p>
        </w:tc>
        <w:tc>
          <w:tcPr>
            <w:tcW w:w="0" w:type="auto"/>
            <w:shd w:val="clear" w:color="auto" w:fill="DBE5F1"/>
          </w:tcPr>
          <w:p w14:paraId="7891BBEA" w14:textId="77777777" w:rsidR="006F4D8F" w:rsidRPr="00C22C26" w:rsidRDefault="006F4D8F" w:rsidP="006F4D8F">
            <w:pPr>
              <w:autoSpaceDE w:val="0"/>
              <w:autoSpaceDN w:val="0"/>
              <w:adjustRightInd w:val="0"/>
              <w:rPr>
                <w:color w:val="000000"/>
                <w:sz w:val="18"/>
              </w:rPr>
            </w:pPr>
            <w:r w:rsidRPr="00C22C26">
              <w:rPr>
                <w:color w:val="000000"/>
                <w:sz w:val="18"/>
              </w:rPr>
              <w:t>Aktualna prognoza osiągnięcia wartości</w:t>
            </w:r>
            <w:r w:rsidR="00E66B89">
              <w:rPr>
                <w:color w:val="000000"/>
                <w:sz w:val="18"/>
              </w:rPr>
              <w:t xml:space="preserve"> w </w:t>
            </w:r>
            <w:r w:rsidRPr="00C22C26">
              <w:rPr>
                <w:color w:val="000000"/>
                <w:sz w:val="18"/>
              </w:rPr>
              <w:t>2023</w:t>
            </w:r>
          </w:p>
        </w:tc>
      </w:tr>
      <w:tr w:rsidR="006F4D8F" w:rsidRPr="0043138F" w14:paraId="1E66F4E1" w14:textId="77777777" w:rsidTr="00C22C26">
        <w:trPr>
          <w:trHeight w:val="167"/>
        </w:trPr>
        <w:tc>
          <w:tcPr>
            <w:tcW w:w="0" w:type="auto"/>
          </w:tcPr>
          <w:p w14:paraId="65F3391F" w14:textId="77777777" w:rsidR="006F4D8F" w:rsidRPr="00404DA5" w:rsidRDefault="006F4D8F" w:rsidP="006F4D8F">
            <w:pPr>
              <w:autoSpaceDE w:val="0"/>
              <w:autoSpaceDN w:val="0"/>
              <w:adjustRightInd w:val="0"/>
              <w:rPr>
                <w:rFonts w:cs="Calibri"/>
                <w:color w:val="000000"/>
                <w:sz w:val="18"/>
                <w:szCs w:val="20"/>
              </w:rPr>
            </w:pPr>
            <w:r w:rsidRPr="00404DA5">
              <w:rPr>
                <w:rFonts w:cs="Calibri"/>
                <w:color w:val="000000"/>
                <w:sz w:val="18"/>
                <w:szCs w:val="20"/>
              </w:rPr>
              <w:t>PI 6d</w:t>
            </w:r>
          </w:p>
        </w:tc>
        <w:tc>
          <w:tcPr>
            <w:tcW w:w="0" w:type="auto"/>
          </w:tcPr>
          <w:p w14:paraId="3EE3499B"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Udział powierzchni obszarów chronionych</w:t>
            </w:r>
            <w:r w:rsidR="00E66B89">
              <w:rPr>
                <w:rFonts w:cs="Calibri"/>
                <w:color w:val="000000"/>
                <w:sz w:val="18"/>
                <w:szCs w:val="20"/>
              </w:rPr>
              <w:t xml:space="preserve"> w </w:t>
            </w:r>
            <w:r w:rsidRPr="00AB230D">
              <w:rPr>
                <w:rFonts w:cs="Calibri"/>
                <w:color w:val="000000"/>
                <w:sz w:val="18"/>
                <w:szCs w:val="20"/>
              </w:rPr>
              <w:t>powierzchni ogółem</w:t>
            </w:r>
          </w:p>
        </w:tc>
        <w:tc>
          <w:tcPr>
            <w:tcW w:w="0" w:type="auto"/>
          </w:tcPr>
          <w:p w14:paraId="308B9600"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w:t>
            </w:r>
          </w:p>
        </w:tc>
        <w:tc>
          <w:tcPr>
            <w:tcW w:w="0" w:type="auto"/>
          </w:tcPr>
          <w:p w14:paraId="76065DE8" w14:textId="77777777" w:rsidR="006F4D8F" w:rsidRPr="00AB230D" w:rsidRDefault="006F4D8F" w:rsidP="006F4D8F">
            <w:pPr>
              <w:autoSpaceDE w:val="0"/>
              <w:autoSpaceDN w:val="0"/>
              <w:adjustRightInd w:val="0"/>
              <w:rPr>
                <w:rFonts w:cs="Calibri"/>
                <w:color w:val="000000"/>
                <w:sz w:val="18"/>
                <w:szCs w:val="20"/>
              </w:rPr>
            </w:pPr>
            <w:r w:rsidRPr="008B706B">
              <w:rPr>
                <w:rFonts w:eastAsia="Calibri" w:cs="MyriadPro-Regular"/>
                <w:sz w:val="18"/>
                <w:szCs w:val="18"/>
              </w:rPr>
              <w:t>21,7</w:t>
            </w:r>
          </w:p>
        </w:tc>
        <w:tc>
          <w:tcPr>
            <w:tcW w:w="0" w:type="auto"/>
          </w:tcPr>
          <w:p w14:paraId="6D4D7A4D"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2013</w:t>
            </w:r>
          </w:p>
        </w:tc>
        <w:tc>
          <w:tcPr>
            <w:tcW w:w="0" w:type="auto"/>
          </w:tcPr>
          <w:p w14:paraId="5059C0E7" w14:textId="77777777" w:rsidR="006F4D8F" w:rsidRPr="00AB230D" w:rsidRDefault="006F4D8F" w:rsidP="006F4D8F">
            <w:pPr>
              <w:autoSpaceDE w:val="0"/>
              <w:autoSpaceDN w:val="0"/>
              <w:adjustRightInd w:val="0"/>
              <w:rPr>
                <w:rFonts w:cs="Calibri"/>
                <w:color w:val="000000"/>
                <w:sz w:val="18"/>
                <w:szCs w:val="20"/>
              </w:rPr>
            </w:pPr>
            <w:r w:rsidRPr="008B706B">
              <w:rPr>
                <w:rFonts w:eastAsia="Calibri" w:cs="MyriadPro-Regular"/>
                <w:sz w:val="18"/>
                <w:szCs w:val="18"/>
              </w:rPr>
              <w:t>22,04</w:t>
            </w:r>
          </w:p>
        </w:tc>
        <w:tc>
          <w:tcPr>
            <w:tcW w:w="0" w:type="auto"/>
          </w:tcPr>
          <w:p w14:paraId="1E4A2B2C"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22,12</w:t>
            </w:r>
          </w:p>
        </w:tc>
      </w:tr>
      <w:tr w:rsidR="006F4D8F" w:rsidRPr="0043138F" w14:paraId="4B81C652" w14:textId="77777777" w:rsidTr="00C22C26">
        <w:trPr>
          <w:trHeight w:val="167"/>
        </w:trPr>
        <w:tc>
          <w:tcPr>
            <w:tcW w:w="0" w:type="auto"/>
          </w:tcPr>
          <w:p w14:paraId="6ECD108F" w14:textId="77777777" w:rsidR="006F4D8F" w:rsidRPr="00404DA5" w:rsidRDefault="006F4D8F" w:rsidP="006F4D8F">
            <w:pPr>
              <w:autoSpaceDE w:val="0"/>
              <w:autoSpaceDN w:val="0"/>
              <w:adjustRightInd w:val="0"/>
              <w:rPr>
                <w:rFonts w:cs="Calibri"/>
                <w:color w:val="000000"/>
                <w:sz w:val="18"/>
                <w:szCs w:val="20"/>
              </w:rPr>
            </w:pPr>
            <w:r w:rsidRPr="00404DA5">
              <w:rPr>
                <w:rFonts w:cs="Calibri"/>
                <w:color w:val="000000"/>
                <w:sz w:val="18"/>
                <w:szCs w:val="20"/>
              </w:rPr>
              <w:t>PI 6d</w:t>
            </w:r>
          </w:p>
        </w:tc>
        <w:tc>
          <w:tcPr>
            <w:tcW w:w="0" w:type="auto"/>
          </w:tcPr>
          <w:p w14:paraId="4C014053" w14:textId="77777777" w:rsidR="006F4D8F" w:rsidRPr="008B706B" w:rsidRDefault="006F4D8F" w:rsidP="006F4D8F">
            <w:pPr>
              <w:autoSpaceDE w:val="0"/>
              <w:autoSpaceDN w:val="0"/>
              <w:adjustRightInd w:val="0"/>
              <w:spacing w:before="0" w:after="0" w:line="240" w:lineRule="auto"/>
              <w:jc w:val="left"/>
              <w:rPr>
                <w:rFonts w:eastAsia="Calibri" w:cs="MyriadPro-Regular"/>
                <w:sz w:val="18"/>
                <w:szCs w:val="18"/>
              </w:rPr>
            </w:pPr>
            <w:r w:rsidRPr="008B706B">
              <w:rPr>
                <w:rFonts w:eastAsia="Calibri" w:cs="MyriadPro-Regular"/>
                <w:sz w:val="18"/>
                <w:szCs w:val="18"/>
              </w:rPr>
              <w:t>Odsetek obszarów posiadających</w:t>
            </w:r>
          </w:p>
          <w:p w14:paraId="670D8C16" w14:textId="77777777" w:rsidR="006F4D8F" w:rsidRPr="008B706B" w:rsidRDefault="006F4D8F" w:rsidP="006F4D8F">
            <w:pPr>
              <w:autoSpaceDE w:val="0"/>
              <w:autoSpaceDN w:val="0"/>
              <w:adjustRightInd w:val="0"/>
              <w:spacing w:before="0" w:after="0" w:line="240" w:lineRule="auto"/>
              <w:jc w:val="left"/>
              <w:rPr>
                <w:rFonts w:eastAsia="Calibri" w:cs="MyriadPro-Regular"/>
                <w:sz w:val="18"/>
                <w:szCs w:val="18"/>
              </w:rPr>
            </w:pPr>
            <w:r w:rsidRPr="008B706B">
              <w:rPr>
                <w:rFonts w:eastAsia="Calibri" w:cs="MyriadPro-Regular"/>
                <w:sz w:val="18"/>
                <w:szCs w:val="18"/>
              </w:rPr>
              <w:t>zatwierdzone plany ochrony lub plany zadań ochronnych</w:t>
            </w:r>
            <w:r w:rsidR="00E66B89">
              <w:rPr>
                <w:rFonts w:eastAsia="Calibri" w:cs="MyriadPro-Regular"/>
                <w:sz w:val="18"/>
                <w:szCs w:val="18"/>
              </w:rPr>
              <w:t xml:space="preserve"> w </w:t>
            </w:r>
            <w:r w:rsidRPr="008B706B">
              <w:rPr>
                <w:rFonts w:eastAsia="Calibri" w:cs="MyriadPro-Regular"/>
                <w:sz w:val="18"/>
                <w:szCs w:val="18"/>
              </w:rPr>
              <w:t>stosunku do liczby obszarów, dla których plany ochrony</w:t>
            </w:r>
            <w:r w:rsidR="00E66B89">
              <w:rPr>
                <w:rFonts w:eastAsia="Calibri" w:cs="MyriadPro-Regular"/>
                <w:sz w:val="18"/>
                <w:szCs w:val="18"/>
              </w:rPr>
              <w:t xml:space="preserve"> i </w:t>
            </w:r>
            <w:r w:rsidRPr="008B706B">
              <w:rPr>
                <w:rFonts w:eastAsia="Calibri" w:cs="MyriadPro-Regular"/>
                <w:sz w:val="18"/>
                <w:szCs w:val="18"/>
              </w:rPr>
              <w:t>plany zadań ochronnych są wymagane</w:t>
            </w:r>
          </w:p>
        </w:tc>
        <w:tc>
          <w:tcPr>
            <w:tcW w:w="0" w:type="auto"/>
          </w:tcPr>
          <w:p w14:paraId="0DC42354"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w:t>
            </w:r>
          </w:p>
        </w:tc>
        <w:tc>
          <w:tcPr>
            <w:tcW w:w="0" w:type="auto"/>
          </w:tcPr>
          <w:p w14:paraId="388C003E"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59</w:t>
            </w:r>
          </w:p>
        </w:tc>
        <w:tc>
          <w:tcPr>
            <w:tcW w:w="0" w:type="auto"/>
          </w:tcPr>
          <w:p w14:paraId="6DF2233C"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2013</w:t>
            </w:r>
          </w:p>
        </w:tc>
        <w:tc>
          <w:tcPr>
            <w:tcW w:w="0" w:type="auto"/>
          </w:tcPr>
          <w:p w14:paraId="7D3EB765"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100</w:t>
            </w:r>
          </w:p>
        </w:tc>
        <w:tc>
          <w:tcPr>
            <w:tcW w:w="0" w:type="auto"/>
          </w:tcPr>
          <w:p w14:paraId="6A0E8E9B" w14:textId="77777777" w:rsidR="006F4D8F" w:rsidRPr="00AB230D" w:rsidRDefault="006F4D8F" w:rsidP="006F4D8F">
            <w:pPr>
              <w:autoSpaceDE w:val="0"/>
              <w:autoSpaceDN w:val="0"/>
              <w:adjustRightInd w:val="0"/>
              <w:rPr>
                <w:rFonts w:cs="Calibri"/>
                <w:color w:val="000000"/>
                <w:sz w:val="18"/>
                <w:szCs w:val="20"/>
              </w:rPr>
            </w:pPr>
            <w:r w:rsidRPr="00AB230D">
              <w:rPr>
                <w:rFonts w:cs="Calibri"/>
                <w:color w:val="000000"/>
                <w:sz w:val="18"/>
                <w:szCs w:val="20"/>
              </w:rPr>
              <w:t>100</w:t>
            </w:r>
          </w:p>
        </w:tc>
      </w:tr>
    </w:tbl>
    <w:p w14:paraId="4CA214D9" w14:textId="77777777" w:rsidR="006F4D8F" w:rsidRPr="002A5FDF" w:rsidRDefault="006F4D8F" w:rsidP="005A06CB">
      <w:pPr>
        <w:spacing w:before="0"/>
        <w:rPr>
          <w:i/>
          <w:sz w:val="18"/>
          <w:szCs w:val="20"/>
        </w:rPr>
      </w:pPr>
      <w:r w:rsidRPr="002A5FDF">
        <w:rPr>
          <w:i/>
          <w:sz w:val="18"/>
          <w:szCs w:val="20"/>
        </w:rPr>
        <w:t>Źródło: RPO WZ 2014-2020 oraz analizy własne (oszacowanie oczekiwanych rezultatów interwencji za pomocą miar)</w:t>
      </w:r>
    </w:p>
    <w:p w14:paraId="0106B99A" w14:textId="77777777" w:rsidR="006F4D8F" w:rsidRPr="008B706B" w:rsidRDefault="006F4D8F" w:rsidP="006F4D8F">
      <w:pPr>
        <w:rPr>
          <w:rFonts w:cs="Calibri"/>
          <w:color w:val="000000"/>
          <w:szCs w:val="20"/>
        </w:rPr>
      </w:pPr>
      <w:r w:rsidRPr="008B706B">
        <w:rPr>
          <w:szCs w:val="20"/>
        </w:rPr>
        <w:t>W przypadku</w:t>
      </w:r>
      <w:r w:rsidRPr="00AB230D">
        <w:rPr>
          <w:szCs w:val="20"/>
        </w:rPr>
        <w:t xml:space="preserve"> wskaźnika </w:t>
      </w:r>
      <w:r w:rsidRPr="008B706B">
        <w:rPr>
          <w:rFonts w:cs="Calibri"/>
          <w:i/>
          <w:color w:val="000000"/>
          <w:szCs w:val="20"/>
        </w:rPr>
        <w:t>Udział powierzchni obszarów chronionych</w:t>
      </w:r>
      <w:r w:rsidR="00E66B89">
        <w:rPr>
          <w:rFonts w:cs="Calibri"/>
          <w:i/>
          <w:color w:val="000000"/>
          <w:szCs w:val="20"/>
        </w:rPr>
        <w:t xml:space="preserve"> w </w:t>
      </w:r>
      <w:r w:rsidRPr="008B706B">
        <w:rPr>
          <w:rFonts w:cs="Calibri"/>
          <w:i/>
          <w:color w:val="000000"/>
          <w:szCs w:val="20"/>
        </w:rPr>
        <w:t xml:space="preserve">powierzchni ogółem </w:t>
      </w:r>
      <w:r w:rsidRPr="008B706B">
        <w:rPr>
          <w:rFonts w:cs="Calibri"/>
          <w:color w:val="000000"/>
          <w:szCs w:val="20"/>
        </w:rPr>
        <w:t>przewidywaną wartość</w:t>
      </w:r>
      <w:r w:rsidR="00E66B89">
        <w:rPr>
          <w:rFonts w:cs="Calibri"/>
          <w:color w:val="000000"/>
          <w:szCs w:val="20"/>
        </w:rPr>
        <w:t xml:space="preserve"> w </w:t>
      </w:r>
      <w:r w:rsidRPr="008B706B">
        <w:rPr>
          <w:rFonts w:cs="Calibri"/>
          <w:color w:val="000000"/>
          <w:szCs w:val="20"/>
        </w:rPr>
        <w:t xml:space="preserve">2023 r. oszacowano na podstawie analizy trendu zmian </w:t>
      </w:r>
      <w:r>
        <w:rPr>
          <w:rFonts w:cs="Calibri"/>
          <w:color w:val="000000"/>
          <w:szCs w:val="20"/>
        </w:rPr>
        <w:t xml:space="preserve">wartości </w:t>
      </w:r>
      <w:r w:rsidRPr="008B706B">
        <w:rPr>
          <w:rFonts w:cs="Calibri"/>
          <w:color w:val="000000"/>
          <w:szCs w:val="20"/>
        </w:rPr>
        <w:t>wskaźnika</w:t>
      </w:r>
      <w:r w:rsidR="00E66B89">
        <w:rPr>
          <w:rFonts w:cs="Calibri"/>
          <w:color w:val="000000"/>
          <w:szCs w:val="20"/>
        </w:rPr>
        <w:t xml:space="preserve"> w </w:t>
      </w:r>
      <w:r w:rsidRPr="008B706B">
        <w:rPr>
          <w:rFonts w:cs="Calibri"/>
          <w:color w:val="000000"/>
          <w:szCs w:val="20"/>
        </w:rPr>
        <w:t>latach 2013-2017</w:t>
      </w:r>
      <w:r w:rsidR="00E66B89">
        <w:rPr>
          <w:rFonts w:cs="Calibri"/>
          <w:color w:val="000000"/>
          <w:szCs w:val="20"/>
        </w:rPr>
        <w:t xml:space="preserve"> i </w:t>
      </w:r>
      <w:r w:rsidRPr="008B706B">
        <w:rPr>
          <w:rFonts w:cs="Calibri"/>
          <w:color w:val="000000"/>
          <w:szCs w:val="20"/>
        </w:rPr>
        <w:t>wyznaczeniu trendu liniowego na lata 2018-2023. Zgodnie</w:t>
      </w:r>
      <w:r w:rsidR="00E66B89">
        <w:rPr>
          <w:rFonts w:cs="Calibri"/>
          <w:color w:val="000000"/>
          <w:szCs w:val="20"/>
        </w:rPr>
        <w:t xml:space="preserve"> z </w:t>
      </w:r>
      <w:r w:rsidRPr="008B706B">
        <w:rPr>
          <w:rFonts w:cs="Calibri"/>
          <w:color w:val="000000"/>
          <w:szCs w:val="20"/>
        </w:rPr>
        <w:t>t</w:t>
      </w:r>
      <w:r>
        <w:rPr>
          <w:rFonts w:cs="Calibri"/>
          <w:color w:val="000000"/>
          <w:szCs w:val="20"/>
        </w:rPr>
        <w:t>ak przeprowadzoną</w:t>
      </w:r>
      <w:r w:rsidRPr="008B706B">
        <w:rPr>
          <w:rFonts w:cs="Calibri"/>
          <w:color w:val="000000"/>
          <w:szCs w:val="20"/>
        </w:rPr>
        <w:t xml:space="preserve"> prognozą</w:t>
      </w:r>
      <w:r>
        <w:rPr>
          <w:rFonts w:cs="Calibri"/>
          <w:color w:val="000000"/>
          <w:szCs w:val="20"/>
        </w:rPr>
        <w:t>,</w:t>
      </w:r>
      <w:r w:rsidRPr="008B706B">
        <w:rPr>
          <w:rFonts w:cs="Calibri"/>
          <w:color w:val="000000"/>
          <w:szCs w:val="20"/>
        </w:rPr>
        <w:t xml:space="preserve"> zakładany poziom wskaźnika zostanie osiągnięty. </w:t>
      </w:r>
    </w:p>
    <w:p w14:paraId="7A0B0A94" w14:textId="77777777" w:rsidR="006F4D8F" w:rsidRPr="00AB230D" w:rsidRDefault="006F4D8F" w:rsidP="006F4D8F">
      <w:pPr>
        <w:rPr>
          <w:szCs w:val="20"/>
        </w:rPr>
      </w:pPr>
      <w:r w:rsidRPr="008B706B">
        <w:rPr>
          <w:rFonts w:cs="Calibri"/>
          <w:color w:val="000000"/>
          <w:szCs w:val="20"/>
        </w:rPr>
        <w:t>W przypadku drugiego wskaźnika zakłada się</w:t>
      </w:r>
      <w:r>
        <w:rPr>
          <w:rFonts w:cs="Calibri"/>
          <w:color w:val="000000"/>
          <w:szCs w:val="20"/>
        </w:rPr>
        <w:t xml:space="preserve"> -</w:t>
      </w:r>
      <w:r w:rsidRPr="008B706B">
        <w:rPr>
          <w:rFonts w:cs="Calibri"/>
          <w:color w:val="000000"/>
          <w:szCs w:val="20"/>
        </w:rPr>
        <w:t xml:space="preserve"> podobnie jak</w:t>
      </w:r>
      <w:r w:rsidR="00E66B89">
        <w:rPr>
          <w:rFonts w:cs="Calibri"/>
          <w:color w:val="000000"/>
          <w:szCs w:val="20"/>
        </w:rPr>
        <w:t xml:space="preserve"> w </w:t>
      </w:r>
      <w:r w:rsidRPr="008B706B">
        <w:rPr>
          <w:rFonts w:cs="Calibri"/>
          <w:color w:val="000000"/>
          <w:szCs w:val="20"/>
        </w:rPr>
        <w:t>założeniach programowych</w:t>
      </w:r>
      <w:r>
        <w:rPr>
          <w:rFonts w:cs="Calibri"/>
          <w:color w:val="000000"/>
          <w:szCs w:val="20"/>
        </w:rPr>
        <w:t xml:space="preserve"> -</w:t>
      </w:r>
      <w:r w:rsidRPr="008B706B">
        <w:rPr>
          <w:rFonts w:cs="Calibri"/>
          <w:color w:val="000000"/>
          <w:szCs w:val="20"/>
        </w:rPr>
        <w:t xml:space="preserve"> że do 2023 roku wszystkie obszary</w:t>
      </w:r>
      <w:r>
        <w:rPr>
          <w:rFonts w:cs="Calibri"/>
          <w:color w:val="000000"/>
          <w:szCs w:val="20"/>
        </w:rPr>
        <w:t>,</w:t>
      </w:r>
      <w:r w:rsidRPr="008B706B">
        <w:rPr>
          <w:rFonts w:cs="Calibri"/>
          <w:color w:val="000000"/>
          <w:szCs w:val="20"/>
        </w:rPr>
        <w:t xml:space="preserve"> wobec których ustanowiono obowiązek sporządzenia</w:t>
      </w:r>
      <w:r w:rsidR="00E66B89">
        <w:rPr>
          <w:rFonts w:cs="Calibri"/>
          <w:color w:val="000000"/>
          <w:szCs w:val="20"/>
        </w:rPr>
        <w:t xml:space="preserve"> i </w:t>
      </w:r>
      <w:r w:rsidRPr="008B706B">
        <w:rPr>
          <w:rFonts w:cs="Calibri"/>
          <w:color w:val="000000"/>
          <w:szCs w:val="20"/>
        </w:rPr>
        <w:t>zatwierdzenie Planów Ochrony lub zadań ochronnych</w:t>
      </w:r>
      <w:r>
        <w:rPr>
          <w:rFonts w:cs="Calibri"/>
          <w:color w:val="000000"/>
          <w:szCs w:val="20"/>
        </w:rPr>
        <w:t>,</w:t>
      </w:r>
      <w:r w:rsidRPr="008B706B">
        <w:rPr>
          <w:rFonts w:cs="Calibri"/>
          <w:color w:val="000000"/>
          <w:szCs w:val="20"/>
        </w:rPr>
        <w:t xml:space="preserve"> będą te plany posiadały (wskaźnik uzyska wartość 100%). Zgodnie</w:t>
      </w:r>
      <w:r w:rsidR="00E66B89">
        <w:rPr>
          <w:rFonts w:cs="Calibri"/>
          <w:color w:val="000000"/>
          <w:szCs w:val="20"/>
        </w:rPr>
        <w:t xml:space="preserve"> z </w:t>
      </w:r>
      <w:r w:rsidRPr="008B706B">
        <w:rPr>
          <w:rFonts w:cs="Calibri"/>
          <w:color w:val="000000"/>
          <w:szCs w:val="20"/>
        </w:rPr>
        <w:t>tą prognozą</w:t>
      </w:r>
      <w:r>
        <w:rPr>
          <w:rFonts w:cs="Calibri"/>
          <w:color w:val="000000"/>
          <w:szCs w:val="20"/>
        </w:rPr>
        <w:t>,</w:t>
      </w:r>
      <w:r w:rsidRPr="008B706B">
        <w:rPr>
          <w:rFonts w:cs="Calibri"/>
          <w:color w:val="000000"/>
          <w:szCs w:val="20"/>
        </w:rPr>
        <w:t xml:space="preserve"> zakładany poziom wskaźnika zostanie osiągnięty</w:t>
      </w:r>
      <w:r w:rsidRPr="00AB230D">
        <w:rPr>
          <w:szCs w:val="20"/>
        </w:rPr>
        <w:t>.</w:t>
      </w:r>
      <w:r w:rsidRPr="00C22C26">
        <w:rPr>
          <w:color w:val="FFFFFF"/>
        </w:rPr>
        <w:t>.</w:t>
      </w:r>
    </w:p>
    <w:p w14:paraId="14A1D478"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lastRenderedPageBreak/>
        <w:t xml:space="preserve">Ocena potencjału absorpcyjnego </w:t>
      </w:r>
    </w:p>
    <w:p w14:paraId="1F60B29F" w14:textId="77777777" w:rsidR="006F4D8F" w:rsidRPr="00CE549A" w:rsidRDefault="006F4D8F" w:rsidP="0093717A">
      <w:pPr>
        <w:pStyle w:val="Legenda"/>
        <w:spacing w:after="0"/>
      </w:pPr>
      <w:bookmarkStart w:id="131" w:name="_Toc8824173"/>
      <w:r w:rsidRPr="00CE549A">
        <w:t xml:space="preserve">Tabela </w:t>
      </w:r>
      <w:r w:rsidRPr="00CE549A">
        <w:fldChar w:fldCharType="begin"/>
      </w:r>
      <w:r w:rsidRPr="00CE549A">
        <w:instrText xml:space="preserve"> SEQ Tabela \* ARABIC </w:instrText>
      </w:r>
      <w:r w:rsidRPr="00CE549A">
        <w:fldChar w:fldCharType="separate"/>
      </w:r>
      <w:r w:rsidR="00763345">
        <w:rPr>
          <w:noProof/>
        </w:rPr>
        <w:t>62</w:t>
      </w:r>
      <w:r w:rsidRPr="00CE549A">
        <w:fldChar w:fldCharType="end"/>
      </w:r>
      <w:r w:rsidRPr="00CE549A">
        <w:t xml:space="preserve"> Wysokość alokacji ogółem, alokacji głównej, rezerwy wykonania oraz poziom kontraktacji –</w:t>
      </w:r>
      <w:r w:rsidR="00E66B89">
        <w:t xml:space="preserve"> w </w:t>
      </w:r>
      <w:r w:rsidRPr="00CE549A">
        <w:t>ramach PI 6d</w:t>
      </w:r>
      <w:bookmarkEnd w:id="13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472"/>
        <w:gridCol w:w="423"/>
        <w:gridCol w:w="1694"/>
        <w:gridCol w:w="1781"/>
        <w:gridCol w:w="1106"/>
        <w:gridCol w:w="1354"/>
        <w:gridCol w:w="1249"/>
      </w:tblGrid>
      <w:tr w:rsidR="006F4D8F" w:rsidRPr="0043138F" w14:paraId="183A21EA" w14:textId="77777777" w:rsidTr="006F4D8F">
        <w:trPr>
          <w:tblHeader/>
        </w:trPr>
        <w:tc>
          <w:tcPr>
            <w:tcW w:w="983" w:type="dxa"/>
            <w:shd w:val="clear" w:color="auto" w:fill="DBE5F1"/>
            <w:tcMar>
              <w:left w:w="108" w:type="dxa"/>
            </w:tcMar>
            <w:vAlign w:val="center"/>
          </w:tcPr>
          <w:p w14:paraId="5BB14BFC" w14:textId="77777777" w:rsidR="006F4D8F" w:rsidRPr="00404DA5" w:rsidRDefault="006F4D8F" w:rsidP="006F4D8F">
            <w:pPr>
              <w:jc w:val="center"/>
              <w:rPr>
                <w:sz w:val="18"/>
                <w:szCs w:val="18"/>
              </w:rPr>
            </w:pPr>
            <w:r w:rsidRPr="00404DA5">
              <w:rPr>
                <w:sz w:val="18"/>
                <w:szCs w:val="18"/>
              </w:rPr>
              <w:t>Działanie</w:t>
            </w:r>
          </w:p>
        </w:tc>
        <w:tc>
          <w:tcPr>
            <w:tcW w:w="472" w:type="dxa"/>
            <w:shd w:val="clear" w:color="auto" w:fill="DBE5F1"/>
            <w:tcMar>
              <w:left w:w="108" w:type="dxa"/>
            </w:tcMar>
            <w:vAlign w:val="center"/>
          </w:tcPr>
          <w:p w14:paraId="3BBCF4AA" w14:textId="77777777" w:rsidR="006F4D8F" w:rsidRPr="00404DA5" w:rsidRDefault="006F4D8F" w:rsidP="006F4D8F">
            <w:pPr>
              <w:jc w:val="center"/>
              <w:rPr>
                <w:sz w:val="18"/>
                <w:szCs w:val="18"/>
              </w:rPr>
            </w:pPr>
            <w:r w:rsidRPr="00404DA5">
              <w:rPr>
                <w:sz w:val="18"/>
                <w:szCs w:val="18"/>
              </w:rPr>
              <w:t>CT</w:t>
            </w:r>
          </w:p>
        </w:tc>
        <w:tc>
          <w:tcPr>
            <w:tcW w:w="423" w:type="dxa"/>
            <w:shd w:val="clear" w:color="auto" w:fill="DBE5F1"/>
            <w:tcMar>
              <w:left w:w="108" w:type="dxa"/>
            </w:tcMar>
            <w:vAlign w:val="center"/>
          </w:tcPr>
          <w:p w14:paraId="5B02E9BC" w14:textId="77777777" w:rsidR="006F4D8F" w:rsidRPr="00404DA5" w:rsidRDefault="006F4D8F" w:rsidP="006F4D8F">
            <w:pPr>
              <w:jc w:val="center"/>
              <w:rPr>
                <w:sz w:val="18"/>
                <w:szCs w:val="18"/>
              </w:rPr>
            </w:pPr>
            <w:r w:rsidRPr="00404DA5">
              <w:rPr>
                <w:sz w:val="18"/>
                <w:szCs w:val="18"/>
              </w:rPr>
              <w:t>PI</w:t>
            </w:r>
          </w:p>
        </w:tc>
        <w:tc>
          <w:tcPr>
            <w:tcW w:w="1694" w:type="dxa"/>
            <w:shd w:val="clear" w:color="auto" w:fill="DBE5F1"/>
            <w:tcMar>
              <w:left w:w="108" w:type="dxa"/>
            </w:tcMar>
            <w:vAlign w:val="center"/>
          </w:tcPr>
          <w:p w14:paraId="19CDB22F" w14:textId="77777777" w:rsidR="006F4D8F" w:rsidRPr="00404DA5" w:rsidRDefault="006F4D8F" w:rsidP="006F4D8F">
            <w:pPr>
              <w:jc w:val="center"/>
              <w:rPr>
                <w:sz w:val="18"/>
                <w:szCs w:val="18"/>
              </w:rPr>
            </w:pPr>
            <w:r w:rsidRPr="00404DA5">
              <w:rPr>
                <w:bCs/>
                <w:color w:val="000000"/>
                <w:sz w:val="18"/>
                <w:szCs w:val="18"/>
              </w:rPr>
              <w:t>Alokacja UE ogółem</w:t>
            </w:r>
            <w:r w:rsidRPr="00404DA5">
              <w:rPr>
                <w:bCs/>
                <w:color w:val="000000"/>
                <w:sz w:val="18"/>
                <w:szCs w:val="18"/>
              </w:rPr>
              <w:br/>
              <w:t>[EUR]</w:t>
            </w:r>
            <w:r w:rsidRPr="00404DA5">
              <w:rPr>
                <w:bCs/>
                <w:color w:val="000000"/>
                <w:sz w:val="18"/>
                <w:szCs w:val="18"/>
              </w:rPr>
              <w:br/>
              <w:t>(alokacja główna +rezerwa wykonania)</w:t>
            </w:r>
          </w:p>
        </w:tc>
        <w:tc>
          <w:tcPr>
            <w:tcW w:w="1781" w:type="dxa"/>
            <w:shd w:val="clear" w:color="auto" w:fill="DBE5F1"/>
            <w:tcMar>
              <w:left w:w="108" w:type="dxa"/>
            </w:tcMar>
            <w:vAlign w:val="center"/>
          </w:tcPr>
          <w:p w14:paraId="0339633C" w14:textId="77777777" w:rsidR="006F4D8F" w:rsidRPr="00404DA5" w:rsidRDefault="006F4D8F" w:rsidP="006F4D8F">
            <w:pPr>
              <w:jc w:val="center"/>
              <w:rPr>
                <w:sz w:val="18"/>
                <w:szCs w:val="18"/>
              </w:rPr>
            </w:pPr>
            <w:r w:rsidRPr="00404DA5">
              <w:rPr>
                <w:bCs/>
                <w:color w:val="000000"/>
                <w:sz w:val="18"/>
                <w:szCs w:val="18"/>
              </w:rPr>
              <w:t>Alokacja główna</w:t>
            </w:r>
            <w:r w:rsidRPr="00404DA5">
              <w:rPr>
                <w:bCs/>
                <w:color w:val="000000"/>
                <w:sz w:val="18"/>
                <w:szCs w:val="18"/>
              </w:rPr>
              <w:br/>
              <w:t>[EUR]</w:t>
            </w:r>
          </w:p>
        </w:tc>
        <w:tc>
          <w:tcPr>
            <w:tcW w:w="1106" w:type="dxa"/>
            <w:shd w:val="clear" w:color="auto" w:fill="DBE5F1"/>
            <w:tcMar>
              <w:left w:w="108" w:type="dxa"/>
            </w:tcMar>
            <w:vAlign w:val="center"/>
          </w:tcPr>
          <w:p w14:paraId="4BA0A414" w14:textId="77777777" w:rsidR="006F4D8F" w:rsidRPr="00404DA5" w:rsidRDefault="006F4D8F" w:rsidP="006F4D8F">
            <w:pPr>
              <w:jc w:val="center"/>
              <w:rPr>
                <w:sz w:val="18"/>
                <w:szCs w:val="18"/>
              </w:rPr>
            </w:pPr>
            <w:r w:rsidRPr="00404DA5">
              <w:rPr>
                <w:bCs/>
                <w:color w:val="000000"/>
                <w:sz w:val="18"/>
                <w:szCs w:val="18"/>
              </w:rPr>
              <w:t>dostępna wciąż alokacja</w:t>
            </w:r>
            <w:r w:rsidR="00E66B89">
              <w:rPr>
                <w:bCs/>
                <w:color w:val="000000"/>
                <w:sz w:val="18"/>
                <w:szCs w:val="18"/>
              </w:rPr>
              <w:t xml:space="preserve"> z </w:t>
            </w:r>
            <w:r w:rsidRPr="00404DA5">
              <w:rPr>
                <w:bCs/>
                <w:color w:val="000000"/>
                <w:sz w:val="18"/>
                <w:szCs w:val="18"/>
              </w:rPr>
              <w:t>RW</w:t>
            </w:r>
          </w:p>
        </w:tc>
        <w:tc>
          <w:tcPr>
            <w:tcW w:w="1354" w:type="dxa"/>
            <w:shd w:val="clear" w:color="auto" w:fill="DBE5F1"/>
            <w:tcMar>
              <w:left w:w="108" w:type="dxa"/>
            </w:tcMar>
            <w:vAlign w:val="center"/>
          </w:tcPr>
          <w:p w14:paraId="6CC35E58" w14:textId="77777777" w:rsidR="006F4D8F" w:rsidRPr="00404DA5" w:rsidRDefault="006F4D8F" w:rsidP="006F4D8F">
            <w:pPr>
              <w:jc w:val="center"/>
              <w:rPr>
                <w:color w:val="FF0000"/>
                <w:sz w:val="18"/>
                <w:szCs w:val="18"/>
              </w:rPr>
            </w:pPr>
            <w:r w:rsidRPr="00404DA5">
              <w:rPr>
                <w:sz w:val="18"/>
                <w:szCs w:val="18"/>
              </w:rPr>
              <w:t>Kontraktacja</w:t>
            </w:r>
            <w:r w:rsidR="00E66B89">
              <w:rPr>
                <w:sz w:val="18"/>
                <w:szCs w:val="18"/>
              </w:rPr>
              <w:t xml:space="preserve"> z </w:t>
            </w:r>
            <w:r w:rsidRPr="00C22C26">
              <w:rPr>
                <w:sz w:val="18"/>
              </w:rPr>
              <w:t>środkami rezerwy wykonania</w:t>
            </w:r>
            <w:r w:rsidRPr="00404DA5">
              <w:rPr>
                <w:sz w:val="18"/>
                <w:szCs w:val="18"/>
              </w:rPr>
              <w:t xml:space="preserve"> [%]</w:t>
            </w:r>
          </w:p>
        </w:tc>
        <w:tc>
          <w:tcPr>
            <w:tcW w:w="1249" w:type="dxa"/>
            <w:shd w:val="clear" w:color="auto" w:fill="DBE5F1"/>
            <w:vAlign w:val="center"/>
          </w:tcPr>
          <w:p w14:paraId="1E0746F7" w14:textId="77777777" w:rsidR="006F4D8F" w:rsidRPr="00404DA5" w:rsidRDefault="006F4D8F" w:rsidP="006F4D8F">
            <w:pPr>
              <w:jc w:val="center"/>
              <w:rPr>
                <w:sz w:val="18"/>
                <w:szCs w:val="18"/>
              </w:rPr>
            </w:pPr>
            <w:r w:rsidRPr="00404DA5">
              <w:rPr>
                <w:sz w:val="18"/>
                <w:szCs w:val="18"/>
              </w:rPr>
              <w:t xml:space="preserve">Kontraktacja </w:t>
            </w:r>
            <w:r w:rsidRPr="00C22C26">
              <w:rPr>
                <w:sz w:val="18"/>
              </w:rPr>
              <w:t>bez środków rezerwy wykonania</w:t>
            </w:r>
            <w:r w:rsidRPr="00404DA5">
              <w:rPr>
                <w:sz w:val="18"/>
                <w:szCs w:val="18"/>
              </w:rPr>
              <w:t xml:space="preserve"> [%]</w:t>
            </w:r>
          </w:p>
        </w:tc>
      </w:tr>
      <w:tr w:rsidR="006F4D8F" w:rsidRPr="0043138F" w14:paraId="2CD9D2B7" w14:textId="77777777" w:rsidTr="006F4D8F">
        <w:tc>
          <w:tcPr>
            <w:tcW w:w="983" w:type="dxa"/>
            <w:shd w:val="clear" w:color="auto" w:fill="auto"/>
            <w:tcMar>
              <w:left w:w="108" w:type="dxa"/>
            </w:tcMar>
            <w:vAlign w:val="center"/>
          </w:tcPr>
          <w:p w14:paraId="0933B99F" w14:textId="77777777" w:rsidR="006F4D8F" w:rsidRPr="00404DA5" w:rsidRDefault="006F4D8F" w:rsidP="006F4D8F">
            <w:pPr>
              <w:jc w:val="center"/>
              <w:rPr>
                <w:sz w:val="18"/>
                <w:szCs w:val="18"/>
              </w:rPr>
            </w:pPr>
            <w:r w:rsidRPr="00404DA5">
              <w:rPr>
                <w:color w:val="000000"/>
                <w:sz w:val="18"/>
                <w:szCs w:val="18"/>
              </w:rPr>
              <w:t>4.3</w:t>
            </w:r>
          </w:p>
        </w:tc>
        <w:tc>
          <w:tcPr>
            <w:tcW w:w="472" w:type="dxa"/>
            <w:shd w:val="clear" w:color="auto" w:fill="auto"/>
            <w:tcMar>
              <w:left w:w="108" w:type="dxa"/>
            </w:tcMar>
            <w:vAlign w:val="center"/>
          </w:tcPr>
          <w:p w14:paraId="2064B14D" w14:textId="77777777" w:rsidR="006F4D8F" w:rsidRPr="00404DA5" w:rsidRDefault="006F4D8F" w:rsidP="006F4D8F">
            <w:pPr>
              <w:jc w:val="center"/>
              <w:rPr>
                <w:sz w:val="18"/>
                <w:szCs w:val="18"/>
              </w:rPr>
            </w:pPr>
            <w:r w:rsidRPr="00404DA5">
              <w:rPr>
                <w:color w:val="000000"/>
                <w:sz w:val="18"/>
                <w:szCs w:val="18"/>
              </w:rPr>
              <w:t>6</w:t>
            </w:r>
          </w:p>
        </w:tc>
        <w:tc>
          <w:tcPr>
            <w:tcW w:w="423" w:type="dxa"/>
            <w:shd w:val="clear" w:color="auto" w:fill="auto"/>
            <w:tcMar>
              <w:left w:w="108" w:type="dxa"/>
            </w:tcMar>
            <w:vAlign w:val="center"/>
          </w:tcPr>
          <w:p w14:paraId="51F294B6" w14:textId="77777777" w:rsidR="006F4D8F" w:rsidRPr="00404DA5" w:rsidRDefault="006F4D8F" w:rsidP="006F4D8F">
            <w:pPr>
              <w:jc w:val="center"/>
              <w:rPr>
                <w:sz w:val="18"/>
                <w:szCs w:val="18"/>
              </w:rPr>
            </w:pPr>
            <w:r w:rsidRPr="00404DA5">
              <w:rPr>
                <w:color w:val="000000"/>
                <w:sz w:val="18"/>
                <w:szCs w:val="18"/>
              </w:rPr>
              <w:t>6d</w:t>
            </w:r>
          </w:p>
        </w:tc>
        <w:tc>
          <w:tcPr>
            <w:tcW w:w="1694" w:type="dxa"/>
            <w:shd w:val="clear" w:color="auto" w:fill="auto"/>
            <w:tcMar>
              <w:left w:w="108" w:type="dxa"/>
            </w:tcMar>
            <w:vAlign w:val="center"/>
          </w:tcPr>
          <w:p w14:paraId="623FFDBB" w14:textId="77777777" w:rsidR="006F4D8F" w:rsidRPr="00404DA5" w:rsidRDefault="006F4D8F" w:rsidP="006F4D8F">
            <w:pPr>
              <w:jc w:val="center"/>
              <w:rPr>
                <w:sz w:val="18"/>
                <w:szCs w:val="18"/>
              </w:rPr>
            </w:pPr>
            <w:r w:rsidRPr="00404DA5">
              <w:rPr>
                <w:sz w:val="18"/>
                <w:szCs w:val="18"/>
              </w:rPr>
              <w:t>7 150 000,00</w:t>
            </w:r>
          </w:p>
        </w:tc>
        <w:tc>
          <w:tcPr>
            <w:tcW w:w="1781" w:type="dxa"/>
            <w:shd w:val="clear" w:color="auto" w:fill="auto"/>
            <w:tcMar>
              <w:left w:w="108" w:type="dxa"/>
            </w:tcMar>
            <w:vAlign w:val="center"/>
          </w:tcPr>
          <w:p w14:paraId="4BF5D330" w14:textId="77777777" w:rsidR="006F4D8F" w:rsidRPr="00404DA5" w:rsidRDefault="006F4D8F" w:rsidP="006F4D8F">
            <w:pPr>
              <w:jc w:val="center"/>
              <w:rPr>
                <w:sz w:val="18"/>
                <w:szCs w:val="18"/>
              </w:rPr>
            </w:pPr>
            <w:r w:rsidRPr="00404DA5">
              <w:rPr>
                <w:sz w:val="18"/>
                <w:szCs w:val="18"/>
              </w:rPr>
              <w:t>5 986 711,87</w:t>
            </w:r>
          </w:p>
        </w:tc>
        <w:tc>
          <w:tcPr>
            <w:tcW w:w="1106" w:type="dxa"/>
            <w:shd w:val="clear" w:color="auto" w:fill="auto"/>
            <w:tcMar>
              <w:left w:w="108" w:type="dxa"/>
            </w:tcMar>
            <w:vAlign w:val="center"/>
          </w:tcPr>
          <w:p w14:paraId="30B3B3A0" w14:textId="77777777" w:rsidR="006F4D8F" w:rsidRPr="00404DA5" w:rsidRDefault="006F4D8F" w:rsidP="006F4D8F">
            <w:pPr>
              <w:jc w:val="center"/>
              <w:rPr>
                <w:sz w:val="18"/>
                <w:szCs w:val="18"/>
              </w:rPr>
            </w:pPr>
            <w:r w:rsidRPr="00404DA5">
              <w:rPr>
                <w:sz w:val="18"/>
                <w:szCs w:val="18"/>
              </w:rPr>
              <w:t>16 065 380,14</w:t>
            </w:r>
          </w:p>
        </w:tc>
        <w:tc>
          <w:tcPr>
            <w:tcW w:w="1354" w:type="dxa"/>
            <w:shd w:val="clear" w:color="auto" w:fill="auto"/>
            <w:tcMar>
              <w:left w:w="108" w:type="dxa"/>
            </w:tcMar>
            <w:vAlign w:val="center"/>
          </w:tcPr>
          <w:p w14:paraId="78FEDD22" w14:textId="77777777" w:rsidR="006F4D8F" w:rsidRPr="00404DA5" w:rsidRDefault="006F4D8F" w:rsidP="006F4D8F">
            <w:pPr>
              <w:jc w:val="center"/>
              <w:rPr>
                <w:color w:val="000000"/>
                <w:sz w:val="18"/>
                <w:szCs w:val="18"/>
              </w:rPr>
            </w:pPr>
            <w:r w:rsidRPr="00404DA5">
              <w:rPr>
                <w:sz w:val="18"/>
                <w:szCs w:val="18"/>
              </w:rPr>
              <w:t>47,8%</w:t>
            </w:r>
          </w:p>
        </w:tc>
        <w:tc>
          <w:tcPr>
            <w:tcW w:w="1249" w:type="dxa"/>
            <w:shd w:val="clear" w:color="auto" w:fill="auto"/>
            <w:vAlign w:val="center"/>
          </w:tcPr>
          <w:p w14:paraId="647663A6" w14:textId="77777777" w:rsidR="006F4D8F" w:rsidRPr="00404DA5" w:rsidRDefault="006F4D8F" w:rsidP="006F4D8F">
            <w:pPr>
              <w:jc w:val="center"/>
              <w:rPr>
                <w:color w:val="000000"/>
                <w:sz w:val="18"/>
                <w:szCs w:val="18"/>
              </w:rPr>
            </w:pPr>
            <w:r w:rsidRPr="00404DA5">
              <w:rPr>
                <w:sz w:val="18"/>
                <w:szCs w:val="18"/>
              </w:rPr>
              <w:t>57,1%</w:t>
            </w:r>
          </w:p>
        </w:tc>
      </w:tr>
      <w:tr w:rsidR="006F4D8F" w:rsidRPr="0043138F" w14:paraId="4B94A0BA" w14:textId="77777777" w:rsidTr="006F4D8F">
        <w:tc>
          <w:tcPr>
            <w:tcW w:w="983" w:type="dxa"/>
            <w:shd w:val="clear" w:color="auto" w:fill="auto"/>
            <w:tcMar>
              <w:left w:w="108" w:type="dxa"/>
            </w:tcMar>
            <w:vAlign w:val="center"/>
          </w:tcPr>
          <w:p w14:paraId="3B75702D" w14:textId="77777777" w:rsidR="006F4D8F" w:rsidRPr="00404DA5" w:rsidRDefault="006F4D8F" w:rsidP="006F4D8F">
            <w:pPr>
              <w:jc w:val="center"/>
              <w:rPr>
                <w:sz w:val="18"/>
                <w:szCs w:val="18"/>
              </w:rPr>
            </w:pPr>
            <w:r w:rsidRPr="00404DA5">
              <w:rPr>
                <w:color w:val="000000"/>
                <w:sz w:val="18"/>
                <w:szCs w:val="18"/>
              </w:rPr>
              <w:t>4.4</w:t>
            </w:r>
          </w:p>
        </w:tc>
        <w:tc>
          <w:tcPr>
            <w:tcW w:w="472" w:type="dxa"/>
            <w:shd w:val="clear" w:color="auto" w:fill="auto"/>
            <w:tcMar>
              <w:left w:w="108" w:type="dxa"/>
            </w:tcMar>
            <w:vAlign w:val="center"/>
          </w:tcPr>
          <w:p w14:paraId="235D42F2" w14:textId="77777777" w:rsidR="006F4D8F" w:rsidRPr="00404DA5" w:rsidRDefault="006F4D8F" w:rsidP="006F4D8F">
            <w:pPr>
              <w:jc w:val="center"/>
              <w:rPr>
                <w:sz w:val="18"/>
                <w:szCs w:val="18"/>
              </w:rPr>
            </w:pPr>
            <w:r w:rsidRPr="00404DA5">
              <w:rPr>
                <w:color w:val="000000"/>
                <w:sz w:val="18"/>
                <w:szCs w:val="18"/>
              </w:rPr>
              <w:t>6</w:t>
            </w:r>
          </w:p>
        </w:tc>
        <w:tc>
          <w:tcPr>
            <w:tcW w:w="423" w:type="dxa"/>
            <w:shd w:val="clear" w:color="auto" w:fill="auto"/>
            <w:tcMar>
              <w:left w:w="108" w:type="dxa"/>
            </w:tcMar>
            <w:vAlign w:val="center"/>
          </w:tcPr>
          <w:p w14:paraId="4BDDF429" w14:textId="77777777" w:rsidR="006F4D8F" w:rsidRPr="00404DA5" w:rsidRDefault="006F4D8F" w:rsidP="006F4D8F">
            <w:pPr>
              <w:jc w:val="center"/>
              <w:rPr>
                <w:sz w:val="18"/>
                <w:szCs w:val="18"/>
              </w:rPr>
            </w:pPr>
            <w:r w:rsidRPr="00404DA5">
              <w:rPr>
                <w:color w:val="000000"/>
                <w:sz w:val="18"/>
                <w:szCs w:val="18"/>
              </w:rPr>
              <w:t>6d</w:t>
            </w:r>
          </w:p>
        </w:tc>
        <w:tc>
          <w:tcPr>
            <w:tcW w:w="1694" w:type="dxa"/>
            <w:shd w:val="clear" w:color="auto" w:fill="auto"/>
            <w:tcMar>
              <w:left w:w="108" w:type="dxa"/>
            </w:tcMar>
            <w:vAlign w:val="center"/>
          </w:tcPr>
          <w:p w14:paraId="1CECB638" w14:textId="77777777" w:rsidR="006F4D8F" w:rsidRPr="00404DA5" w:rsidRDefault="006F4D8F" w:rsidP="006F4D8F">
            <w:pPr>
              <w:jc w:val="center"/>
              <w:rPr>
                <w:sz w:val="18"/>
                <w:szCs w:val="18"/>
              </w:rPr>
            </w:pPr>
            <w:r w:rsidRPr="00404DA5">
              <w:rPr>
                <w:sz w:val="18"/>
                <w:szCs w:val="18"/>
              </w:rPr>
              <w:t>565 000,00</w:t>
            </w:r>
          </w:p>
        </w:tc>
        <w:tc>
          <w:tcPr>
            <w:tcW w:w="1781" w:type="dxa"/>
            <w:shd w:val="clear" w:color="auto" w:fill="auto"/>
            <w:tcMar>
              <w:left w:w="108" w:type="dxa"/>
            </w:tcMar>
            <w:vAlign w:val="center"/>
          </w:tcPr>
          <w:p w14:paraId="40173658" w14:textId="77777777" w:rsidR="006F4D8F" w:rsidRPr="00404DA5" w:rsidRDefault="006F4D8F" w:rsidP="006F4D8F">
            <w:pPr>
              <w:jc w:val="center"/>
              <w:rPr>
                <w:sz w:val="18"/>
                <w:szCs w:val="18"/>
              </w:rPr>
            </w:pPr>
            <w:r w:rsidRPr="00404DA5">
              <w:rPr>
                <w:sz w:val="18"/>
                <w:szCs w:val="18"/>
              </w:rPr>
              <w:t>393 814,78</w:t>
            </w:r>
          </w:p>
        </w:tc>
        <w:tc>
          <w:tcPr>
            <w:tcW w:w="1106" w:type="dxa"/>
            <w:shd w:val="clear" w:color="auto" w:fill="auto"/>
            <w:tcMar>
              <w:left w:w="108" w:type="dxa"/>
            </w:tcMar>
            <w:vAlign w:val="center"/>
          </w:tcPr>
          <w:p w14:paraId="558CAA0E" w14:textId="77777777" w:rsidR="006F4D8F" w:rsidRPr="00404DA5" w:rsidRDefault="006F4D8F" w:rsidP="006F4D8F">
            <w:pPr>
              <w:jc w:val="center"/>
              <w:rPr>
                <w:sz w:val="18"/>
                <w:szCs w:val="18"/>
              </w:rPr>
            </w:pPr>
            <w:r w:rsidRPr="00404DA5">
              <w:rPr>
                <w:sz w:val="18"/>
                <w:szCs w:val="18"/>
              </w:rPr>
              <w:t>1 581 082,00</w:t>
            </w:r>
          </w:p>
        </w:tc>
        <w:tc>
          <w:tcPr>
            <w:tcW w:w="1354" w:type="dxa"/>
            <w:shd w:val="clear" w:color="auto" w:fill="auto"/>
            <w:tcMar>
              <w:left w:w="108" w:type="dxa"/>
            </w:tcMar>
            <w:vAlign w:val="center"/>
          </w:tcPr>
          <w:p w14:paraId="1064BDFF" w14:textId="77777777" w:rsidR="006F4D8F" w:rsidRPr="00404DA5" w:rsidRDefault="006F4D8F" w:rsidP="006F4D8F">
            <w:pPr>
              <w:jc w:val="center"/>
              <w:rPr>
                <w:color w:val="000000"/>
                <w:sz w:val="18"/>
                <w:szCs w:val="18"/>
              </w:rPr>
            </w:pPr>
            <w:r w:rsidRPr="00404DA5">
              <w:rPr>
                <w:sz w:val="18"/>
                <w:szCs w:val="18"/>
              </w:rPr>
              <w:t>35,0%</w:t>
            </w:r>
          </w:p>
        </w:tc>
        <w:tc>
          <w:tcPr>
            <w:tcW w:w="1249" w:type="dxa"/>
            <w:shd w:val="clear" w:color="auto" w:fill="auto"/>
            <w:vAlign w:val="center"/>
          </w:tcPr>
          <w:p w14:paraId="03D98A20" w14:textId="77777777" w:rsidR="006F4D8F" w:rsidRPr="00404DA5" w:rsidRDefault="006F4D8F" w:rsidP="006F4D8F">
            <w:pPr>
              <w:jc w:val="center"/>
              <w:rPr>
                <w:color w:val="000000"/>
                <w:sz w:val="18"/>
                <w:szCs w:val="18"/>
              </w:rPr>
            </w:pPr>
            <w:r w:rsidRPr="00404DA5">
              <w:rPr>
                <w:sz w:val="18"/>
                <w:szCs w:val="18"/>
              </w:rPr>
              <w:t>50,2%</w:t>
            </w:r>
          </w:p>
        </w:tc>
      </w:tr>
      <w:tr w:rsidR="006F4D8F" w:rsidRPr="0043138F" w14:paraId="7411B2E6" w14:textId="77777777" w:rsidTr="006F4D8F">
        <w:tc>
          <w:tcPr>
            <w:tcW w:w="983" w:type="dxa"/>
            <w:shd w:val="clear" w:color="auto" w:fill="auto"/>
            <w:tcMar>
              <w:left w:w="108" w:type="dxa"/>
            </w:tcMar>
            <w:vAlign w:val="center"/>
          </w:tcPr>
          <w:p w14:paraId="1FE6D4C4" w14:textId="77777777" w:rsidR="006F4D8F" w:rsidRPr="00404DA5" w:rsidRDefault="006F4D8F" w:rsidP="006F4D8F">
            <w:pPr>
              <w:jc w:val="center"/>
              <w:rPr>
                <w:color w:val="000000"/>
                <w:sz w:val="18"/>
                <w:szCs w:val="18"/>
              </w:rPr>
            </w:pPr>
            <w:r w:rsidRPr="00404DA5">
              <w:rPr>
                <w:color w:val="000000"/>
                <w:sz w:val="18"/>
                <w:szCs w:val="18"/>
              </w:rPr>
              <w:t>4.5</w:t>
            </w:r>
          </w:p>
        </w:tc>
        <w:tc>
          <w:tcPr>
            <w:tcW w:w="472" w:type="dxa"/>
            <w:shd w:val="clear" w:color="auto" w:fill="auto"/>
            <w:tcMar>
              <w:left w:w="108" w:type="dxa"/>
            </w:tcMar>
            <w:vAlign w:val="center"/>
          </w:tcPr>
          <w:p w14:paraId="757D2AD5" w14:textId="77777777" w:rsidR="006F4D8F" w:rsidRPr="00404DA5" w:rsidRDefault="006F4D8F" w:rsidP="006F4D8F">
            <w:pPr>
              <w:jc w:val="center"/>
              <w:rPr>
                <w:color w:val="000000"/>
                <w:sz w:val="18"/>
                <w:szCs w:val="18"/>
              </w:rPr>
            </w:pPr>
            <w:r w:rsidRPr="00404DA5">
              <w:rPr>
                <w:color w:val="000000"/>
                <w:sz w:val="18"/>
                <w:szCs w:val="18"/>
              </w:rPr>
              <w:t>6</w:t>
            </w:r>
          </w:p>
        </w:tc>
        <w:tc>
          <w:tcPr>
            <w:tcW w:w="423" w:type="dxa"/>
            <w:shd w:val="clear" w:color="auto" w:fill="auto"/>
            <w:tcMar>
              <w:left w:w="108" w:type="dxa"/>
            </w:tcMar>
            <w:vAlign w:val="center"/>
          </w:tcPr>
          <w:p w14:paraId="5DE12018" w14:textId="77777777" w:rsidR="006F4D8F" w:rsidRPr="00404DA5" w:rsidRDefault="006F4D8F" w:rsidP="006F4D8F">
            <w:pPr>
              <w:jc w:val="center"/>
              <w:rPr>
                <w:color w:val="000000"/>
                <w:sz w:val="18"/>
                <w:szCs w:val="18"/>
              </w:rPr>
            </w:pPr>
            <w:r w:rsidRPr="00404DA5">
              <w:rPr>
                <w:color w:val="000000"/>
                <w:sz w:val="18"/>
                <w:szCs w:val="18"/>
              </w:rPr>
              <w:t>6d</w:t>
            </w:r>
          </w:p>
        </w:tc>
        <w:tc>
          <w:tcPr>
            <w:tcW w:w="1694" w:type="dxa"/>
            <w:shd w:val="clear" w:color="auto" w:fill="auto"/>
            <w:tcMar>
              <w:left w:w="108" w:type="dxa"/>
            </w:tcMar>
            <w:vAlign w:val="center"/>
          </w:tcPr>
          <w:p w14:paraId="20991628" w14:textId="77777777" w:rsidR="006F4D8F" w:rsidRPr="00404DA5" w:rsidRDefault="006F4D8F" w:rsidP="006F4D8F">
            <w:pPr>
              <w:jc w:val="center"/>
              <w:rPr>
                <w:sz w:val="18"/>
                <w:szCs w:val="18"/>
              </w:rPr>
            </w:pPr>
            <w:r w:rsidRPr="00404DA5">
              <w:rPr>
                <w:sz w:val="18"/>
                <w:szCs w:val="18"/>
              </w:rPr>
              <w:t>505 000,00</w:t>
            </w:r>
          </w:p>
        </w:tc>
        <w:tc>
          <w:tcPr>
            <w:tcW w:w="1781" w:type="dxa"/>
            <w:shd w:val="clear" w:color="auto" w:fill="auto"/>
            <w:tcMar>
              <w:left w:w="108" w:type="dxa"/>
            </w:tcMar>
            <w:vAlign w:val="center"/>
          </w:tcPr>
          <w:p w14:paraId="2BF3C36A" w14:textId="77777777" w:rsidR="006F4D8F" w:rsidRPr="00404DA5" w:rsidRDefault="006F4D8F" w:rsidP="006F4D8F">
            <w:pPr>
              <w:jc w:val="center"/>
              <w:rPr>
                <w:sz w:val="18"/>
                <w:szCs w:val="18"/>
              </w:rPr>
            </w:pPr>
            <w:r w:rsidRPr="00404DA5">
              <w:rPr>
                <w:sz w:val="18"/>
                <w:szCs w:val="18"/>
              </w:rPr>
              <w:t>482 155,53</w:t>
            </w:r>
          </w:p>
        </w:tc>
        <w:tc>
          <w:tcPr>
            <w:tcW w:w="1106" w:type="dxa"/>
            <w:shd w:val="clear" w:color="auto" w:fill="auto"/>
            <w:tcMar>
              <w:left w:w="108" w:type="dxa"/>
            </w:tcMar>
            <w:vAlign w:val="center"/>
          </w:tcPr>
          <w:p w14:paraId="419C8CE7" w14:textId="77777777" w:rsidR="006F4D8F" w:rsidRPr="00404DA5" w:rsidRDefault="006F4D8F" w:rsidP="006F4D8F">
            <w:pPr>
              <w:jc w:val="center"/>
              <w:rPr>
                <w:sz w:val="18"/>
                <w:szCs w:val="18"/>
              </w:rPr>
            </w:pPr>
            <w:r w:rsidRPr="00404DA5">
              <w:rPr>
                <w:sz w:val="18"/>
                <w:szCs w:val="18"/>
              </w:rPr>
              <w:t>499 551,95</w:t>
            </w:r>
          </w:p>
        </w:tc>
        <w:tc>
          <w:tcPr>
            <w:tcW w:w="1354" w:type="dxa"/>
            <w:shd w:val="clear" w:color="auto" w:fill="auto"/>
            <w:tcMar>
              <w:left w:w="108" w:type="dxa"/>
            </w:tcMar>
            <w:vAlign w:val="center"/>
          </w:tcPr>
          <w:p w14:paraId="2DD65A21" w14:textId="77777777" w:rsidR="006F4D8F" w:rsidRPr="00404DA5" w:rsidRDefault="006F4D8F" w:rsidP="006F4D8F">
            <w:pPr>
              <w:jc w:val="center"/>
              <w:rPr>
                <w:color w:val="000000"/>
                <w:sz w:val="18"/>
                <w:szCs w:val="18"/>
              </w:rPr>
            </w:pPr>
            <w:r w:rsidRPr="00404DA5">
              <w:rPr>
                <w:sz w:val="18"/>
                <w:szCs w:val="18"/>
              </w:rPr>
              <w:t>77,0%</w:t>
            </w:r>
          </w:p>
        </w:tc>
        <w:tc>
          <w:tcPr>
            <w:tcW w:w="1249" w:type="dxa"/>
            <w:shd w:val="clear" w:color="auto" w:fill="auto"/>
            <w:vAlign w:val="center"/>
          </w:tcPr>
          <w:p w14:paraId="134C6029" w14:textId="77777777" w:rsidR="006F4D8F" w:rsidRPr="00404DA5" w:rsidRDefault="006F4D8F" w:rsidP="006F4D8F">
            <w:pPr>
              <w:jc w:val="center"/>
              <w:rPr>
                <w:color w:val="000000"/>
                <w:sz w:val="18"/>
                <w:szCs w:val="18"/>
              </w:rPr>
            </w:pPr>
            <w:r w:rsidRPr="00404DA5">
              <w:rPr>
                <w:sz w:val="18"/>
                <w:szCs w:val="18"/>
              </w:rPr>
              <w:t>80,7%</w:t>
            </w:r>
          </w:p>
        </w:tc>
      </w:tr>
      <w:tr w:rsidR="006F4D8F" w:rsidRPr="0043138F" w14:paraId="5295F8A6" w14:textId="77777777" w:rsidTr="006F4D8F">
        <w:tc>
          <w:tcPr>
            <w:tcW w:w="983" w:type="dxa"/>
            <w:shd w:val="clear" w:color="auto" w:fill="auto"/>
            <w:tcMar>
              <w:left w:w="108" w:type="dxa"/>
            </w:tcMar>
            <w:vAlign w:val="center"/>
          </w:tcPr>
          <w:p w14:paraId="66090F9F" w14:textId="77777777" w:rsidR="006F4D8F" w:rsidRPr="00404DA5" w:rsidRDefault="006F4D8F" w:rsidP="006F4D8F">
            <w:pPr>
              <w:jc w:val="center"/>
              <w:rPr>
                <w:color w:val="000000"/>
                <w:sz w:val="18"/>
                <w:szCs w:val="18"/>
              </w:rPr>
            </w:pPr>
            <w:r w:rsidRPr="00404DA5">
              <w:rPr>
                <w:color w:val="000000"/>
                <w:sz w:val="18"/>
                <w:szCs w:val="18"/>
              </w:rPr>
              <w:t>4.6</w:t>
            </w:r>
          </w:p>
        </w:tc>
        <w:tc>
          <w:tcPr>
            <w:tcW w:w="472" w:type="dxa"/>
            <w:shd w:val="clear" w:color="auto" w:fill="auto"/>
            <w:tcMar>
              <w:left w:w="108" w:type="dxa"/>
            </w:tcMar>
            <w:vAlign w:val="center"/>
          </w:tcPr>
          <w:p w14:paraId="04A94086" w14:textId="77777777" w:rsidR="006F4D8F" w:rsidRPr="00404DA5" w:rsidRDefault="006F4D8F" w:rsidP="006F4D8F">
            <w:pPr>
              <w:jc w:val="center"/>
              <w:rPr>
                <w:color w:val="000000"/>
                <w:sz w:val="18"/>
                <w:szCs w:val="18"/>
              </w:rPr>
            </w:pPr>
            <w:r w:rsidRPr="00404DA5">
              <w:rPr>
                <w:color w:val="000000"/>
                <w:sz w:val="18"/>
                <w:szCs w:val="18"/>
              </w:rPr>
              <w:t>6</w:t>
            </w:r>
          </w:p>
        </w:tc>
        <w:tc>
          <w:tcPr>
            <w:tcW w:w="423" w:type="dxa"/>
            <w:shd w:val="clear" w:color="auto" w:fill="auto"/>
            <w:tcMar>
              <w:left w:w="108" w:type="dxa"/>
            </w:tcMar>
            <w:vAlign w:val="center"/>
          </w:tcPr>
          <w:p w14:paraId="6C1D0E86" w14:textId="77777777" w:rsidR="006F4D8F" w:rsidRPr="00404DA5" w:rsidRDefault="006F4D8F" w:rsidP="006F4D8F">
            <w:pPr>
              <w:jc w:val="center"/>
              <w:rPr>
                <w:color w:val="000000"/>
                <w:sz w:val="18"/>
                <w:szCs w:val="18"/>
              </w:rPr>
            </w:pPr>
            <w:r w:rsidRPr="00404DA5">
              <w:rPr>
                <w:color w:val="000000"/>
                <w:sz w:val="18"/>
                <w:szCs w:val="18"/>
              </w:rPr>
              <w:t>6d</w:t>
            </w:r>
          </w:p>
        </w:tc>
        <w:tc>
          <w:tcPr>
            <w:tcW w:w="1694" w:type="dxa"/>
            <w:shd w:val="clear" w:color="auto" w:fill="auto"/>
            <w:tcMar>
              <w:left w:w="108" w:type="dxa"/>
            </w:tcMar>
            <w:vAlign w:val="center"/>
          </w:tcPr>
          <w:p w14:paraId="31C30D36" w14:textId="77777777" w:rsidR="006F4D8F" w:rsidRPr="00404DA5" w:rsidRDefault="006F4D8F" w:rsidP="006F4D8F">
            <w:pPr>
              <w:jc w:val="center"/>
              <w:rPr>
                <w:sz w:val="18"/>
                <w:szCs w:val="18"/>
              </w:rPr>
            </w:pPr>
            <w:r w:rsidRPr="00404DA5">
              <w:rPr>
                <w:sz w:val="18"/>
                <w:szCs w:val="18"/>
              </w:rPr>
              <w:t>14 655 000,00</w:t>
            </w:r>
          </w:p>
        </w:tc>
        <w:tc>
          <w:tcPr>
            <w:tcW w:w="1781" w:type="dxa"/>
            <w:shd w:val="clear" w:color="auto" w:fill="auto"/>
            <w:tcMar>
              <w:left w:w="108" w:type="dxa"/>
            </w:tcMar>
            <w:vAlign w:val="center"/>
          </w:tcPr>
          <w:p w14:paraId="22DEA510" w14:textId="77777777" w:rsidR="006F4D8F" w:rsidRPr="00404DA5" w:rsidRDefault="006F4D8F" w:rsidP="006F4D8F">
            <w:pPr>
              <w:jc w:val="center"/>
              <w:rPr>
                <w:sz w:val="18"/>
                <w:szCs w:val="18"/>
              </w:rPr>
            </w:pPr>
            <w:r w:rsidRPr="00404DA5">
              <w:rPr>
                <w:sz w:val="18"/>
                <w:szCs w:val="18"/>
              </w:rPr>
              <w:t>14 655 000,00</w:t>
            </w:r>
          </w:p>
        </w:tc>
        <w:tc>
          <w:tcPr>
            <w:tcW w:w="1106" w:type="dxa"/>
            <w:shd w:val="clear" w:color="auto" w:fill="auto"/>
            <w:tcMar>
              <w:left w:w="108" w:type="dxa"/>
            </w:tcMar>
            <w:vAlign w:val="center"/>
          </w:tcPr>
          <w:p w14:paraId="526F257D" w14:textId="77777777" w:rsidR="006F4D8F" w:rsidRPr="00404DA5" w:rsidRDefault="006F4D8F" w:rsidP="006F4D8F">
            <w:pPr>
              <w:jc w:val="center"/>
              <w:rPr>
                <w:sz w:val="18"/>
                <w:szCs w:val="18"/>
              </w:rPr>
            </w:pPr>
            <w:r w:rsidRPr="00404DA5">
              <w:rPr>
                <w:sz w:val="18"/>
                <w:szCs w:val="18"/>
              </w:rPr>
              <w:t>718 067,32</w:t>
            </w:r>
          </w:p>
        </w:tc>
        <w:tc>
          <w:tcPr>
            <w:tcW w:w="1354" w:type="dxa"/>
            <w:shd w:val="clear" w:color="auto" w:fill="auto"/>
            <w:tcMar>
              <w:left w:w="108" w:type="dxa"/>
            </w:tcMar>
            <w:vAlign w:val="center"/>
          </w:tcPr>
          <w:p w14:paraId="0CFDFB9D" w14:textId="77777777" w:rsidR="006F4D8F" w:rsidRPr="00404DA5" w:rsidRDefault="006F4D8F" w:rsidP="006F4D8F">
            <w:pPr>
              <w:jc w:val="center"/>
              <w:rPr>
                <w:color w:val="000000"/>
                <w:sz w:val="18"/>
                <w:szCs w:val="18"/>
              </w:rPr>
            </w:pPr>
            <w:r w:rsidRPr="00404DA5">
              <w:rPr>
                <w:sz w:val="18"/>
                <w:szCs w:val="18"/>
              </w:rPr>
              <w:t>98,9%</w:t>
            </w:r>
          </w:p>
        </w:tc>
        <w:tc>
          <w:tcPr>
            <w:tcW w:w="1249" w:type="dxa"/>
            <w:shd w:val="clear" w:color="auto" w:fill="auto"/>
            <w:vAlign w:val="center"/>
          </w:tcPr>
          <w:p w14:paraId="06AA694A" w14:textId="77777777" w:rsidR="006F4D8F" w:rsidRPr="00404DA5" w:rsidRDefault="006F4D8F" w:rsidP="006F4D8F">
            <w:pPr>
              <w:jc w:val="center"/>
              <w:rPr>
                <w:color w:val="000000"/>
                <w:sz w:val="18"/>
                <w:szCs w:val="18"/>
              </w:rPr>
            </w:pPr>
            <w:r w:rsidRPr="00404DA5">
              <w:rPr>
                <w:sz w:val="18"/>
                <w:szCs w:val="18"/>
              </w:rPr>
              <w:t>98,9%</w:t>
            </w:r>
          </w:p>
        </w:tc>
      </w:tr>
      <w:tr w:rsidR="006F4D8F" w:rsidRPr="0043138F" w14:paraId="2FDDDF8D" w14:textId="77777777" w:rsidTr="006F4D8F">
        <w:tc>
          <w:tcPr>
            <w:tcW w:w="983" w:type="dxa"/>
            <w:shd w:val="clear" w:color="auto" w:fill="auto"/>
            <w:tcMar>
              <w:left w:w="108" w:type="dxa"/>
            </w:tcMar>
            <w:vAlign w:val="center"/>
          </w:tcPr>
          <w:p w14:paraId="5E70DE0E" w14:textId="77777777" w:rsidR="006F4D8F" w:rsidRPr="00404DA5" w:rsidRDefault="006F4D8F" w:rsidP="006F4D8F">
            <w:pPr>
              <w:jc w:val="center"/>
              <w:rPr>
                <w:color w:val="000000"/>
                <w:sz w:val="18"/>
                <w:szCs w:val="18"/>
              </w:rPr>
            </w:pPr>
            <w:r w:rsidRPr="00404DA5">
              <w:rPr>
                <w:color w:val="000000"/>
                <w:sz w:val="18"/>
                <w:szCs w:val="18"/>
              </w:rPr>
              <w:t>4.7</w:t>
            </w:r>
          </w:p>
        </w:tc>
        <w:tc>
          <w:tcPr>
            <w:tcW w:w="472" w:type="dxa"/>
            <w:shd w:val="clear" w:color="auto" w:fill="auto"/>
            <w:tcMar>
              <w:left w:w="108" w:type="dxa"/>
            </w:tcMar>
            <w:vAlign w:val="center"/>
          </w:tcPr>
          <w:p w14:paraId="2B03B28D" w14:textId="77777777" w:rsidR="006F4D8F" w:rsidRPr="00404DA5" w:rsidRDefault="006F4D8F" w:rsidP="006F4D8F">
            <w:pPr>
              <w:jc w:val="center"/>
              <w:rPr>
                <w:color w:val="000000"/>
                <w:sz w:val="18"/>
                <w:szCs w:val="18"/>
              </w:rPr>
            </w:pPr>
            <w:r w:rsidRPr="00404DA5">
              <w:rPr>
                <w:color w:val="000000"/>
                <w:sz w:val="18"/>
                <w:szCs w:val="18"/>
              </w:rPr>
              <w:t>6</w:t>
            </w:r>
          </w:p>
        </w:tc>
        <w:tc>
          <w:tcPr>
            <w:tcW w:w="423" w:type="dxa"/>
            <w:shd w:val="clear" w:color="auto" w:fill="auto"/>
            <w:tcMar>
              <w:left w:w="108" w:type="dxa"/>
            </w:tcMar>
            <w:vAlign w:val="center"/>
          </w:tcPr>
          <w:p w14:paraId="47E5A18A" w14:textId="77777777" w:rsidR="006F4D8F" w:rsidRPr="00404DA5" w:rsidRDefault="006F4D8F" w:rsidP="006F4D8F">
            <w:pPr>
              <w:jc w:val="center"/>
              <w:rPr>
                <w:color w:val="000000"/>
                <w:sz w:val="18"/>
                <w:szCs w:val="18"/>
              </w:rPr>
            </w:pPr>
            <w:r w:rsidRPr="00404DA5">
              <w:rPr>
                <w:color w:val="000000"/>
                <w:sz w:val="18"/>
                <w:szCs w:val="18"/>
              </w:rPr>
              <w:t>6d</w:t>
            </w:r>
          </w:p>
        </w:tc>
        <w:tc>
          <w:tcPr>
            <w:tcW w:w="1694" w:type="dxa"/>
            <w:shd w:val="clear" w:color="auto" w:fill="auto"/>
            <w:tcMar>
              <w:left w:w="108" w:type="dxa"/>
            </w:tcMar>
            <w:vAlign w:val="center"/>
          </w:tcPr>
          <w:p w14:paraId="4F730E90" w14:textId="77777777" w:rsidR="006F4D8F" w:rsidRPr="00404DA5" w:rsidRDefault="006F4D8F" w:rsidP="006F4D8F">
            <w:pPr>
              <w:jc w:val="center"/>
              <w:rPr>
                <w:sz w:val="18"/>
                <w:szCs w:val="18"/>
              </w:rPr>
            </w:pPr>
            <w:r w:rsidRPr="00404DA5">
              <w:rPr>
                <w:sz w:val="18"/>
                <w:szCs w:val="18"/>
              </w:rPr>
              <w:t>282 500,00</w:t>
            </w:r>
          </w:p>
        </w:tc>
        <w:tc>
          <w:tcPr>
            <w:tcW w:w="1781" w:type="dxa"/>
            <w:shd w:val="clear" w:color="auto" w:fill="auto"/>
            <w:tcMar>
              <w:left w:w="108" w:type="dxa"/>
            </w:tcMar>
            <w:vAlign w:val="center"/>
          </w:tcPr>
          <w:p w14:paraId="0C028594" w14:textId="77777777" w:rsidR="006F4D8F" w:rsidRPr="00404DA5" w:rsidRDefault="006F4D8F" w:rsidP="006F4D8F">
            <w:pPr>
              <w:jc w:val="center"/>
              <w:rPr>
                <w:sz w:val="18"/>
                <w:szCs w:val="18"/>
              </w:rPr>
            </w:pPr>
            <w:r w:rsidRPr="00404DA5">
              <w:rPr>
                <w:sz w:val="18"/>
                <w:szCs w:val="18"/>
              </w:rPr>
              <w:t>265 737,50</w:t>
            </w:r>
          </w:p>
        </w:tc>
        <w:tc>
          <w:tcPr>
            <w:tcW w:w="1106" w:type="dxa"/>
            <w:shd w:val="clear" w:color="auto" w:fill="auto"/>
            <w:tcMar>
              <w:left w:w="108" w:type="dxa"/>
            </w:tcMar>
            <w:vAlign w:val="center"/>
          </w:tcPr>
          <w:p w14:paraId="57CB3B62" w14:textId="77777777" w:rsidR="006F4D8F" w:rsidRPr="00404DA5" w:rsidRDefault="006F4D8F" w:rsidP="006F4D8F">
            <w:pPr>
              <w:jc w:val="center"/>
              <w:rPr>
                <w:sz w:val="18"/>
                <w:szCs w:val="18"/>
              </w:rPr>
            </w:pPr>
            <w:r w:rsidRPr="00404DA5">
              <w:rPr>
                <w:sz w:val="18"/>
                <w:szCs w:val="18"/>
              </w:rPr>
              <w:t>1 215 541,00</w:t>
            </w:r>
          </w:p>
        </w:tc>
        <w:tc>
          <w:tcPr>
            <w:tcW w:w="1354" w:type="dxa"/>
            <w:shd w:val="clear" w:color="auto" w:fill="auto"/>
            <w:tcMar>
              <w:left w:w="108" w:type="dxa"/>
            </w:tcMar>
            <w:vAlign w:val="center"/>
          </w:tcPr>
          <w:p w14:paraId="2AB1F66B" w14:textId="77777777" w:rsidR="006F4D8F" w:rsidRPr="00404DA5" w:rsidRDefault="006F4D8F" w:rsidP="006F4D8F">
            <w:pPr>
              <w:jc w:val="center"/>
              <w:rPr>
                <w:color w:val="000000"/>
                <w:sz w:val="18"/>
                <w:szCs w:val="18"/>
              </w:rPr>
            </w:pPr>
            <w:r w:rsidRPr="00404DA5">
              <w:rPr>
                <w:sz w:val="18"/>
                <w:szCs w:val="18"/>
              </w:rPr>
              <w:t>0,0%</w:t>
            </w:r>
          </w:p>
        </w:tc>
        <w:tc>
          <w:tcPr>
            <w:tcW w:w="1249" w:type="dxa"/>
            <w:shd w:val="clear" w:color="auto" w:fill="auto"/>
            <w:vAlign w:val="center"/>
          </w:tcPr>
          <w:p w14:paraId="08473C38" w14:textId="77777777" w:rsidR="006F4D8F" w:rsidRPr="00404DA5" w:rsidRDefault="006F4D8F" w:rsidP="006F4D8F">
            <w:pPr>
              <w:jc w:val="center"/>
              <w:rPr>
                <w:color w:val="000000"/>
                <w:sz w:val="18"/>
                <w:szCs w:val="18"/>
              </w:rPr>
            </w:pPr>
            <w:r w:rsidRPr="00404DA5">
              <w:rPr>
                <w:sz w:val="18"/>
                <w:szCs w:val="18"/>
              </w:rPr>
              <w:t>0,0%</w:t>
            </w:r>
          </w:p>
        </w:tc>
      </w:tr>
      <w:tr w:rsidR="006F4D8F" w:rsidRPr="0043138F" w14:paraId="7497220B" w14:textId="77777777" w:rsidTr="006F4D8F">
        <w:tc>
          <w:tcPr>
            <w:tcW w:w="983" w:type="dxa"/>
            <w:shd w:val="clear" w:color="auto" w:fill="auto"/>
            <w:tcMar>
              <w:left w:w="108" w:type="dxa"/>
            </w:tcMar>
            <w:vAlign w:val="center"/>
          </w:tcPr>
          <w:p w14:paraId="6DD5E854" w14:textId="77777777" w:rsidR="006F4D8F" w:rsidRPr="00404DA5" w:rsidRDefault="006F4D8F" w:rsidP="006F4D8F">
            <w:pPr>
              <w:jc w:val="center"/>
              <w:rPr>
                <w:color w:val="000000"/>
                <w:sz w:val="18"/>
                <w:szCs w:val="18"/>
              </w:rPr>
            </w:pPr>
            <w:r w:rsidRPr="00404DA5">
              <w:rPr>
                <w:color w:val="000000"/>
                <w:sz w:val="18"/>
                <w:szCs w:val="18"/>
              </w:rPr>
              <w:t>4.8</w:t>
            </w:r>
          </w:p>
        </w:tc>
        <w:tc>
          <w:tcPr>
            <w:tcW w:w="472" w:type="dxa"/>
            <w:shd w:val="clear" w:color="auto" w:fill="auto"/>
            <w:tcMar>
              <w:left w:w="108" w:type="dxa"/>
            </w:tcMar>
            <w:vAlign w:val="center"/>
          </w:tcPr>
          <w:p w14:paraId="423EE2FD" w14:textId="77777777" w:rsidR="006F4D8F" w:rsidRPr="00404DA5" w:rsidRDefault="006F4D8F" w:rsidP="006F4D8F">
            <w:pPr>
              <w:jc w:val="center"/>
              <w:rPr>
                <w:color w:val="000000"/>
                <w:sz w:val="18"/>
                <w:szCs w:val="18"/>
              </w:rPr>
            </w:pPr>
            <w:r w:rsidRPr="00404DA5">
              <w:rPr>
                <w:color w:val="000000"/>
                <w:sz w:val="18"/>
                <w:szCs w:val="18"/>
              </w:rPr>
              <w:t>6</w:t>
            </w:r>
          </w:p>
        </w:tc>
        <w:tc>
          <w:tcPr>
            <w:tcW w:w="423" w:type="dxa"/>
            <w:shd w:val="clear" w:color="auto" w:fill="auto"/>
            <w:tcMar>
              <w:left w:w="108" w:type="dxa"/>
            </w:tcMar>
            <w:vAlign w:val="center"/>
          </w:tcPr>
          <w:p w14:paraId="0196E326" w14:textId="77777777" w:rsidR="006F4D8F" w:rsidRPr="00404DA5" w:rsidRDefault="006F4D8F" w:rsidP="006F4D8F">
            <w:pPr>
              <w:jc w:val="center"/>
              <w:rPr>
                <w:color w:val="000000"/>
                <w:sz w:val="18"/>
                <w:szCs w:val="18"/>
              </w:rPr>
            </w:pPr>
            <w:r w:rsidRPr="00404DA5">
              <w:rPr>
                <w:color w:val="000000"/>
                <w:sz w:val="18"/>
                <w:szCs w:val="18"/>
              </w:rPr>
              <w:t>6d</w:t>
            </w:r>
          </w:p>
        </w:tc>
        <w:tc>
          <w:tcPr>
            <w:tcW w:w="1694" w:type="dxa"/>
            <w:shd w:val="clear" w:color="auto" w:fill="auto"/>
            <w:tcMar>
              <w:left w:w="108" w:type="dxa"/>
            </w:tcMar>
            <w:vAlign w:val="center"/>
          </w:tcPr>
          <w:p w14:paraId="1494D71D" w14:textId="77777777" w:rsidR="006F4D8F" w:rsidRPr="00404DA5" w:rsidRDefault="006F4D8F" w:rsidP="006F4D8F">
            <w:pPr>
              <w:jc w:val="center"/>
              <w:rPr>
                <w:sz w:val="18"/>
                <w:szCs w:val="18"/>
              </w:rPr>
            </w:pPr>
            <w:r w:rsidRPr="00404DA5">
              <w:rPr>
                <w:sz w:val="18"/>
                <w:szCs w:val="18"/>
              </w:rPr>
              <w:t>1 842 500,00</w:t>
            </w:r>
          </w:p>
        </w:tc>
        <w:tc>
          <w:tcPr>
            <w:tcW w:w="1781" w:type="dxa"/>
            <w:shd w:val="clear" w:color="auto" w:fill="auto"/>
            <w:tcMar>
              <w:left w:w="108" w:type="dxa"/>
            </w:tcMar>
            <w:vAlign w:val="center"/>
          </w:tcPr>
          <w:p w14:paraId="2D0D30C1" w14:textId="77777777" w:rsidR="006F4D8F" w:rsidRPr="00404DA5" w:rsidRDefault="006F4D8F" w:rsidP="006F4D8F">
            <w:pPr>
              <w:jc w:val="center"/>
              <w:rPr>
                <w:sz w:val="18"/>
                <w:szCs w:val="18"/>
              </w:rPr>
            </w:pPr>
            <w:r w:rsidRPr="00404DA5">
              <w:rPr>
                <w:sz w:val="18"/>
                <w:szCs w:val="18"/>
              </w:rPr>
              <w:t>1 733 172,87</w:t>
            </w:r>
          </w:p>
        </w:tc>
        <w:tc>
          <w:tcPr>
            <w:tcW w:w="1106" w:type="dxa"/>
            <w:shd w:val="clear" w:color="auto" w:fill="auto"/>
            <w:tcMar>
              <w:left w:w="108" w:type="dxa"/>
            </w:tcMar>
            <w:vAlign w:val="center"/>
          </w:tcPr>
          <w:p w14:paraId="6E142A73" w14:textId="77777777" w:rsidR="006F4D8F" w:rsidRPr="00404DA5" w:rsidRDefault="006F4D8F" w:rsidP="006F4D8F">
            <w:pPr>
              <w:jc w:val="center"/>
              <w:rPr>
                <w:sz w:val="18"/>
                <w:szCs w:val="18"/>
              </w:rPr>
            </w:pPr>
            <w:r w:rsidRPr="00404DA5">
              <w:rPr>
                <w:sz w:val="18"/>
                <w:szCs w:val="18"/>
              </w:rPr>
              <w:t>2 731 866,25</w:t>
            </w:r>
          </w:p>
        </w:tc>
        <w:tc>
          <w:tcPr>
            <w:tcW w:w="1354" w:type="dxa"/>
            <w:shd w:val="clear" w:color="auto" w:fill="auto"/>
            <w:tcMar>
              <w:left w:w="108" w:type="dxa"/>
            </w:tcMar>
            <w:vAlign w:val="center"/>
          </w:tcPr>
          <w:p w14:paraId="16AD672B" w14:textId="77777777" w:rsidR="006F4D8F" w:rsidRPr="00404DA5" w:rsidRDefault="006F4D8F" w:rsidP="006F4D8F">
            <w:pPr>
              <w:jc w:val="center"/>
              <w:rPr>
                <w:color w:val="000000"/>
                <w:sz w:val="18"/>
                <w:szCs w:val="18"/>
              </w:rPr>
            </w:pPr>
            <w:r w:rsidRPr="00404DA5">
              <w:rPr>
                <w:sz w:val="18"/>
                <w:szCs w:val="18"/>
              </w:rPr>
              <w:t>65,5%</w:t>
            </w:r>
          </w:p>
        </w:tc>
        <w:tc>
          <w:tcPr>
            <w:tcW w:w="1249" w:type="dxa"/>
            <w:shd w:val="clear" w:color="auto" w:fill="auto"/>
            <w:vAlign w:val="center"/>
          </w:tcPr>
          <w:p w14:paraId="155B8F5A" w14:textId="77777777" w:rsidR="006F4D8F" w:rsidRPr="00404DA5" w:rsidRDefault="006F4D8F" w:rsidP="006F4D8F">
            <w:pPr>
              <w:jc w:val="center"/>
              <w:rPr>
                <w:color w:val="000000"/>
                <w:sz w:val="18"/>
                <w:szCs w:val="18"/>
              </w:rPr>
            </w:pPr>
            <w:r w:rsidRPr="00404DA5">
              <w:rPr>
                <w:sz w:val="18"/>
                <w:szCs w:val="18"/>
              </w:rPr>
              <w:t>69,7%</w:t>
            </w:r>
          </w:p>
        </w:tc>
      </w:tr>
    </w:tbl>
    <w:p w14:paraId="65020298" w14:textId="77777777" w:rsidR="006F4D8F" w:rsidRPr="002A5FDF" w:rsidRDefault="006F4D8F" w:rsidP="005A06CB">
      <w:pPr>
        <w:spacing w:before="0"/>
        <w:rPr>
          <w:i/>
          <w:sz w:val="18"/>
          <w:szCs w:val="20"/>
        </w:rPr>
      </w:pPr>
      <w:r w:rsidRPr="002A5FDF">
        <w:rPr>
          <w:i/>
          <w:sz w:val="18"/>
          <w:szCs w:val="20"/>
        </w:rPr>
        <w:t>Źródło: RPO WZ 2014-2020, Wysokość alokacji na podstawie danych przekazanych przez Zamawiającego (stan</w:t>
      </w:r>
      <w:r w:rsidR="00E66B89" w:rsidRPr="002A5FDF">
        <w:rPr>
          <w:i/>
          <w:sz w:val="18"/>
          <w:szCs w:val="20"/>
        </w:rPr>
        <w:t xml:space="preserve"> z </w:t>
      </w:r>
      <w:r w:rsidRPr="002A5FDF">
        <w:rPr>
          <w:i/>
          <w:sz w:val="18"/>
          <w:szCs w:val="20"/>
        </w:rPr>
        <w:t>dnia 7.01.2019 roku)</w:t>
      </w:r>
    </w:p>
    <w:p w14:paraId="192A7223" w14:textId="77777777" w:rsidR="006F4D8F" w:rsidRPr="00CE549A" w:rsidRDefault="006F4D8F" w:rsidP="006F4D8F">
      <w:pPr>
        <w:rPr>
          <w:szCs w:val="20"/>
        </w:rPr>
      </w:pPr>
      <w:r w:rsidRPr="00CE549A">
        <w:rPr>
          <w:szCs w:val="20"/>
        </w:rPr>
        <w:t>W dotychczas przeprowadzonych naborach wdrażane były wszystkie typy projektów przewidziane do wsparcia</w:t>
      </w:r>
      <w:r w:rsidR="00E66B89">
        <w:rPr>
          <w:szCs w:val="20"/>
        </w:rPr>
        <w:t xml:space="preserve"> w </w:t>
      </w:r>
      <w:r w:rsidRPr="00CE549A">
        <w:rPr>
          <w:szCs w:val="20"/>
        </w:rPr>
        <w:t>PI 6d,</w:t>
      </w:r>
      <w:r w:rsidR="00E66B89">
        <w:rPr>
          <w:szCs w:val="20"/>
        </w:rPr>
        <w:t xml:space="preserve"> z </w:t>
      </w:r>
      <w:r w:rsidRPr="00CE549A">
        <w:rPr>
          <w:szCs w:val="20"/>
        </w:rPr>
        <w:t xml:space="preserve">zastrzeżeniem </w:t>
      </w:r>
      <w:r>
        <w:rPr>
          <w:szCs w:val="20"/>
        </w:rPr>
        <w:t>D</w:t>
      </w:r>
      <w:r w:rsidRPr="00CE549A">
        <w:rPr>
          <w:szCs w:val="20"/>
        </w:rPr>
        <w:t>ziałania 4.8</w:t>
      </w:r>
      <w:r>
        <w:rPr>
          <w:szCs w:val="20"/>
        </w:rPr>
        <w:t>,</w:t>
      </w:r>
      <w:r w:rsidRPr="00CE549A">
        <w:rPr>
          <w:szCs w:val="20"/>
        </w:rPr>
        <w:t xml:space="preserve"> gdzie nie ogłoszono dotychczas naborów. Nie odnotowano dużego zainteresowania aplikowaniem pomimo wspierających czynników zewnętrznych</w:t>
      </w:r>
      <w:r>
        <w:rPr>
          <w:szCs w:val="20"/>
        </w:rPr>
        <w:t>,</w:t>
      </w:r>
      <w:r w:rsidRPr="00CE549A">
        <w:rPr>
          <w:szCs w:val="20"/>
        </w:rPr>
        <w:t xml:space="preserve"> jakimi </w:t>
      </w:r>
      <w:r>
        <w:rPr>
          <w:szCs w:val="20"/>
        </w:rPr>
        <w:t>są</w:t>
      </w:r>
      <w:r w:rsidRPr="00CE549A">
        <w:rPr>
          <w:szCs w:val="20"/>
        </w:rPr>
        <w:t xml:space="preserve"> wysoki poziom zasobów naturalnych województwa zachodniopomorskiego</w:t>
      </w:r>
      <w:r w:rsidR="00E66B89">
        <w:rPr>
          <w:szCs w:val="20"/>
        </w:rPr>
        <w:t xml:space="preserve"> i </w:t>
      </w:r>
      <w:r w:rsidRPr="00CE549A">
        <w:rPr>
          <w:szCs w:val="20"/>
        </w:rPr>
        <w:t xml:space="preserve">duża liczba obszarów objętych </w:t>
      </w:r>
      <w:r>
        <w:rPr>
          <w:szCs w:val="20"/>
        </w:rPr>
        <w:t xml:space="preserve">Programem </w:t>
      </w:r>
      <w:r w:rsidRPr="00CE549A">
        <w:rPr>
          <w:szCs w:val="20"/>
        </w:rPr>
        <w:t>NATURA 2000. Zachodniopomorskie jest jednym</w:t>
      </w:r>
      <w:r w:rsidR="00E66B89">
        <w:rPr>
          <w:szCs w:val="20"/>
        </w:rPr>
        <w:t xml:space="preserve"> z </w:t>
      </w:r>
      <w:r w:rsidRPr="00CE549A">
        <w:rPr>
          <w:szCs w:val="20"/>
        </w:rPr>
        <w:t>trzech województw</w:t>
      </w:r>
      <w:r w:rsidR="00E66B89">
        <w:rPr>
          <w:szCs w:val="20"/>
        </w:rPr>
        <w:t xml:space="preserve"> o </w:t>
      </w:r>
      <w:r w:rsidRPr="00CE549A">
        <w:rPr>
          <w:szCs w:val="20"/>
        </w:rPr>
        <w:t>najniższym procentowym udziale obszarów chronionych, co stanowi jeden</w:t>
      </w:r>
      <w:r w:rsidR="00E66B89">
        <w:rPr>
          <w:szCs w:val="20"/>
        </w:rPr>
        <w:t xml:space="preserve"> z </w:t>
      </w:r>
      <w:r w:rsidRPr="00CE549A">
        <w:rPr>
          <w:szCs w:val="20"/>
        </w:rPr>
        <w:t>jego atutów</w:t>
      </w:r>
      <w:r w:rsidR="00E66B89">
        <w:rPr>
          <w:szCs w:val="20"/>
        </w:rPr>
        <w:t xml:space="preserve"> w </w:t>
      </w:r>
      <w:r w:rsidRPr="00CE549A">
        <w:rPr>
          <w:szCs w:val="20"/>
        </w:rPr>
        <w:t>rankingu atrakcyjności inwestycyjnej. Diagnoza sytuacji społeczno-gospodarczej wskazuje na wysoką zasadność dalszej realizacji projektów podlegają</w:t>
      </w:r>
      <w:r>
        <w:rPr>
          <w:szCs w:val="20"/>
        </w:rPr>
        <w:t>cych</w:t>
      </w:r>
      <w:r w:rsidRPr="00CE549A">
        <w:rPr>
          <w:szCs w:val="20"/>
        </w:rPr>
        <w:t xml:space="preserve"> wsparciu</w:t>
      </w:r>
      <w:r w:rsidR="00E66B89">
        <w:rPr>
          <w:szCs w:val="20"/>
        </w:rPr>
        <w:t xml:space="preserve"> w </w:t>
      </w:r>
      <w:r w:rsidRPr="00CE549A">
        <w:rPr>
          <w:szCs w:val="20"/>
        </w:rPr>
        <w:t>ramach PI 6d. Zgodnie</w:t>
      </w:r>
      <w:r w:rsidR="00E66B89">
        <w:rPr>
          <w:szCs w:val="20"/>
        </w:rPr>
        <w:t xml:space="preserve"> z </w:t>
      </w:r>
      <w:r w:rsidRPr="00CE549A">
        <w:rPr>
          <w:szCs w:val="20"/>
        </w:rPr>
        <w:t>informacjami</w:t>
      </w:r>
      <w:r>
        <w:rPr>
          <w:szCs w:val="20"/>
        </w:rPr>
        <w:t xml:space="preserve"> przekazanymi przez przedstawicieli IZ,</w:t>
      </w:r>
      <w:r w:rsidRPr="00CE549A">
        <w:rPr>
          <w:szCs w:val="20"/>
        </w:rPr>
        <w:t xml:space="preserve"> planuje się ogłaszać kolejne nabory</w:t>
      </w:r>
      <w:r w:rsidR="00E66B89">
        <w:rPr>
          <w:szCs w:val="20"/>
        </w:rPr>
        <w:t xml:space="preserve"> w </w:t>
      </w:r>
      <w:r w:rsidRPr="00CE549A">
        <w:rPr>
          <w:szCs w:val="20"/>
        </w:rPr>
        <w:t>celu realizacji celów OP</w:t>
      </w:r>
      <w:r>
        <w:rPr>
          <w:szCs w:val="20"/>
        </w:rPr>
        <w:t xml:space="preserve"> </w:t>
      </w:r>
      <w:r w:rsidRPr="00CE549A">
        <w:rPr>
          <w:szCs w:val="20"/>
        </w:rPr>
        <w:t>IV</w:t>
      </w:r>
      <w:r>
        <w:rPr>
          <w:szCs w:val="20"/>
        </w:rPr>
        <w:t>,</w:t>
      </w:r>
      <w:r w:rsidR="00E66B89">
        <w:rPr>
          <w:szCs w:val="20"/>
        </w:rPr>
        <w:t xml:space="preserve"> w </w:t>
      </w:r>
      <w:r w:rsidRPr="00CE549A">
        <w:rPr>
          <w:szCs w:val="20"/>
        </w:rPr>
        <w:t>tym</w:t>
      </w:r>
      <w:r>
        <w:rPr>
          <w:szCs w:val="20"/>
        </w:rPr>
        <w:t xml:space="preserve"> -</w:t>
      </w:r>
      <w:r w:rsidR="00E66B89">
        <w:rPr>
          <w:szCs w:val="20"/>
        </w:rPr>
        <w:t xml:space="preserve"> w I </w:t>
      </w:r>
      <w:r w:rsidRPr="00CE549A">
        <w:rPr>
          <w:szCs w:val="20"/>
        </w:rPr>
        <w:t>kwartale</w:t>
      </w:r>
      <w:r>
        <w:rPr>
          <w:szCs w:val="20"/>
        </w:rPr>
        <w:t xml:space="preserve"> 2019 r. -</w:t>
      </w:r>
      <w:r w:rsidRPr="00CE549A">
        <w:rPr>
          <w:szCs w:val="20"/>
        </w:rPr>
        <w:t xml:space="preserve"> na działanie 4.8. Na podstawie badania CAWI</w:t>
      </w:r>
      <w:r w:rsidR="00E66B89">
        <w:rPr>
          <w:szCs w:val="20"/>
        </w:rPr>
        <w:t xml:space="preserve"> z </w:t>
      </w:r>
      <w:r w:rsidRPr="00CE549A">
        <w:rPr>
          <w:szCs w:val="20"/>
        </w:rPr>
        <w:t>wnioskodawcami widać jednak ograniczone zainteresowanie kolejnymi naborami</w:t>
      </w:r>
      <w:r>
        <w:rPr>
          <w:szCs w:val="20"/>
        </w:rPr>
        <w:t>,</w:t>
      </w:r>
      <w:r w:rsidRPr="00CE549A">
        <w:rPr>
          <w:szCs w:val="20"/>
        </w:rPr>
        <w:t xml:space="preserve"> szczególnie</w:t>
      </w:r>
      <w:r w:rsidR="00E66B89">
        <w:rPr>
          <w:szCs w:val="20"/>
        </w:rPr>
        <w:t xml:space="preserve"> w </w:t>
      </w:r>
      <w:r w:rsidRPr="00CE549A">
        <w:rPr>
          <w:szCs w:val="20"/>
        </w:rPr>
        <w:t xml:space="preserve">zakresie </w:t>
      </w:r>
      <w:r>
        <w:rPr>
          <w:szCs w:val="20"/>
        </w:rPr>
        <w:t>takich typów interwencji jak:</w:t>
      </w:r>
      <w:r w:rsidRPr="00CE549A">
        <w:rPr>
          <w:szCs w:val="20"/>
        </w:rPr>
        <w:t xml:space="preserve"> </w:t>
      </w:r>
      <w:r w:rsidRPr="008B706B">
        <w:rPr>
          <w:i/>
          <w:szCs w:val="20"/>
        </w:rPr>
        <w:t>Ochrona różnorodności biologicznej</w:t>
      </w:r>
      <w:r w:rsidRPr="00CE549A">
        <w:rPr>
          <w:szCs w:val="20"/>
        </w:rPr>
        <w:t xml:space="preserve"> (2</w:t>
      </w:r>
      <w:r>
        <w:rPr>
          <w:szCs w:val="20"/>
        </w:rPr>
        <w:t>2,7</w:t>
      </w:r>
      <w:r w:rsidRPr="00CE549A">
        <w:rPr>
          <w:szCs w:val="20"/>
        </w:rPr>
        <w:t>%</w:t>
      </w:r>
      <w:r>
        <w:rPr>
          <w:szCs w:val="20"/>
        </w:rPr>
        <w:t xml:space="preserve"> wskazań</w:t>
      </w:r>
      <w:r>
        <w:rPr>
          <w:rStyle w:val="Odwoanieprzypisudolnego"/>
          <w:szCs w:val="20"/>
        </w:rPr>
        <w:footnoteReference w:id="40"/>
      </w:r>
      <w:r w:rsidRPr="00CE549A">
        <w:rPr>
          <w:szCs w:val="20"/>
        </w:rPr>
        <w:t xml:space="preserve">), </w:t>
      </w:r>
      <w:r w:rsidRPr="008B706B">
        <w:rPr>
          <w:i/>
          <w:szCs w:val="20"/>
        </w:rPr>
        <w:t>Kształtowanie właściwych postaw człowieka wobec przyrody przez edukację</w:t>
      </w:r>
      <w:r w:rsidRPr="00CE549A">
        <w:rPr>
          <w:szCs w:val="20"/>
        </w:rPr>
        <w:t xml:space="preserve"> (18,2%</w:t>
      </w:r>
      <w:r>
        <w:rPr>
          <w:rStyle w:val="Odwoanieprzypisudolnego"/>
          <w:szCs w:val="20"/>
        </w:rPr>
        <w:footnoteReference w:id="41"/>
      </w:r>
      <w:r w:rsidRPr="00CE549A">
        <w:rPr>
          <w:szCs w:val="20"/>
        </w:rPr>
        <w:t xml:space="preserve">), </w:t>
      </w:r>
      <w:r w:rsidRPr="008B706B">
        <w:rPr>
          <w:i/>
          <w:szCs w:val="20"/>
        </w:rPr>
        <w:t>Wsparcie infrastrukturalnych form ochrony przyrody</w:t>
      </w:r>
      <w:r w:rsidR="00E66B89">
        <w:rPr>
          <w:i/>
          <w:szCs w:val="20"/>
        </w:rPr>
        <w:t xml:space="preserve"> i </w:t>
      </w:r>
      <w:r w:rsidRPr="008B706B">
        <w:rPr>
          <w:i/>
          <w:szCs w:val="20"/>
        </w:rPr>
        <w:t>krajobrazu</w:t>
      </w:r>
      <w:r w:rsidRPr="00CE549A">
        <w:rPr>
          <w:szCs w:val="20"/>
        </w:rPr>
        <w:t xml:space="preserve"> (22,7%</w:t>
      </w:r>
      <w:r>
        <w:rPr>
          <w:rStyle w:val="Odwoanieprzypisudolnego"/>
          <w:szCs w:val="20"/>
        </w:rPr>
        <w:footnoteReference w:id="42"/>
      </w:r>
      <w:r w:rsidRPr="00CE549A">
        <w:rPr>
          <w:szCs w:val="20"/>
        </w:rPr>
        <w:t xml:space="preserve">). </w:t>
      </w:r>
      <w:r w:rsidRPr="008B706B">
        <w:rPr>
          <w:i/>
          <w:szCs w:val="20"/>
        </w:rPr>
        <w:t>Podnoszenie jakości ładu przestrzennego</w:t>
      </w:r>
      <w:r w:rsidRPr="00CE549A">
        <w:rPr>
          <w:szCs w:val="20"/>
        </w:rPr>
        <w:t xml:space="preserve"> (38,6%</w:t>
      </w:r>
      <w:r>
        <w:rPr>
          <w:rStyle w:val="Odwoanieprzypisudolnego"/>
          <w:szCs w:val="20"/>
        </w:rPr>
        <w:footnoteReference w:id="43"/>
      </w:r>
      <w:r w:rsidRPr="00CE549A">
        <w:rPr>
          <w:szCs w:val="20"/>
        </w:rPr>
        <w:t xml:space="preserve">). </w:t>
      </w:r>
      <w:r>
        <w:rPr>
          <w:szCs w:val="20"/>
        </w:rPr>
        <w:t>Nabór</w:t>
      </w:r>
      <w:r w:rsidR="00E66B89">
        <w:rPr>
          <w:szCs w:val="20"/>
        </w:rPr>
        <w:t xml:space="preserve"> w </w:t>
      </w:r>
      <w:r>
        <w:rPr>
          <w:szCs w:val="20"/>
        </w:rPr>
        <w:t>zakresie</w:t>
      </w:r>
      <w:r w:rsidRPr="00CE549A">
        <w:rPr>
          <w:szCs w:val="20"/>
        </w:rPr>
        <w:t xml:space="preserve"> wsparci</w:t>
      </w:r>
      <w:r>
        <w:rPr>
          <w:szCs w:val="20"/>
        </w:rPr>
        <w:t>a</w:t>
      </w:r>
      <w:r w:rsidRPr="00CE549A">
        <w:rPr>
          <w:szCs w:val="20"/>
        </w:rPr>
        <w:t xml:space="preserve"> ośrodków rehabilitacji dziko żyjących zwierząt</w:t>
      </w:r>
      <w:r>
        <w:rPr>
          <w:szCs w:val="20"/>
        </w:rPr>
        <w:t xml:space="preserve"> </w:t>
      </w:r>
      <w:r>
        <w:t>odbędzie się</w:t>
      </w:r>
      <w:r w:rsidR="00E66B89">
        <w:t xml:space="preserve"> w </w:t>
      </w:r>
      <w:r>
        <w:t>pierwszym kwartale 2019 roku</w:t>
      </w:r>
      <w:r w:rsidRPr="00CE549A">
        <w:rPr>
          <w:szCs w:val="20"/>
        </w:rPr>
        <w:t>. Jak już oceniono</w:t>
      </w:r>
      <w:r w:rsidR="00E66B89">
        <w:rPr>
          <w:szCs w:val="20"/>
        </w:rPr>
        <w:t xml:space="preserve"> w </w:t>
      </w:r>
      <w:r w:rsidRPr="00CE549A">
        <w:rPr>
          <w:szCs w:val="20"/>
        </w:rPr>
        <w:t>podrozdziale dotyczącym postępów wdrażania, wsparcie</w:t>
      </w:r>
      <w:r w:rsidR="00E66B89">
        <w:rPr>
          <w:szCs w:val="20"/>
        </w:rPr>
        <w:t xml:space="preserve"> w </w:t>
      </w:r>
      <w:r w:rsidRPr="00CE549A">
        <w:rPr>
          <w:szCs w:val="20"/>
        </w:rPr>
        <w:t xml:space="preserve">ramach PI 6d cechuje wysoka </w:t>
      </w:r>
      <w:r w:rsidRPr="00CE549A">
        <w:rPr>
          <w:szCs w:val="20"/>
        </w:rPr>
        <w:lastRenderedPageBreak/>
        <w:t>logika interwencji</w:t>
      </w:r>
      <w:r w:rsidR="00E66B89">
        <w:rPr>
          <w:szCs w:val="20"/>
        </w:rPr>
        <w:t xml:space="preserve"> i </w:t>
      </w:r>
      <w:r w:rsidRPr="00CE549A">
        <w:rPr>
          <w:szCs w:val="20"/>
        </w:rPr>
        <w:t xml:space="preserve">nie </w:t>
      </w:r>
      <w:r>
        <w:rPr>
          <w:szCs w:val="20"/>
        </w:rPr>
        <w:t>ma potrzeby wskazywania</w:t>
      </w:r>
      <w:r w:rsidRPr="00CE549A">
        <w:rPr>
          <w:szCs w:val="20"/>
        </w:rPr>
        <w:t xml:space="preserve"> rekomendacji</w:t>
      </w:r>
      <w:r w:rsidR="00E66B89">
        <w:rPr>
          <w:szCs w:val="20"/>
        </w:rPr>
        <w:t xml:space="preserve"> w </w:t>
      </w:r>
      <w:r w:rsidRPr="00CE549A">
        <w:rPr>
          <w:szCs w:val="20"/>
        </w:rPr>
        <w:t>zakresie modyfikacji tego wsparcia. Planowany do wsparcia rodzaj interwencji jest trafny</w:t>
      </w:r>
      <w:r w:rsidR="00E66B89">
        <w:rPr>
          <w:szCs w:val="20"/>
        </w:rPr>
        <w:t xml:space="preserve"> i </w:t>
      </w:r>
      <w:r w:rsidRPr="00CE549A">
        <w:rPr>
          <w:szCs w:val="20"/>
        </w:rPr>
        <w:t>będzie</w:t>
      </w:r>
      <w:r w:rsidR="00E66B89">
        <w:rPr>
          <w:szCs w:val="20"/>
        </w:rPr>
        <w:t xml:space="preserve"> w </w:t>
      </w:r>
      <w:r w:rsidRPr="00CE549A">
        <w:rPr>
          <w:szCs w:val="20"/>
        </w:rPr>
        <w:t>sposób pozytywny oddziaływa</w:t>
      </w:r>
      <w:r>
        <w:rPr>
          <w:szCs w:val="20"/>
        </w:rPr>
        <w:t>ł</w:t>
      </w:r>
      <w:r w:rsidRPr="00CE549A">
        <w:rPr>
          <w:szCs w:val="20"/>
        </w:rPr>
        <w:t xml:space="preserve"> na zidentyfikowane wyzwania.</w:t>
      </w:r>
    </w:p>
    <w:p w14:paraId="0C69784B" w14:textId="77777777" w:rsidR="006F4D8F" w:rsidRPr="00CE549A" w:rsidRDefault="006F4D8F" w:rsidP="006F4D8F">
      <w:pPr>
        <w:pStyle w:val="Nagwek4"/>
        <w:numPr>
          <w:ilvl w:val="0"/>
          <w:numId w:val="0"/>
        </w:numPr>
        <w:spacing w:before="120"/>
        <w:rPr>
          <w:rFonts w:ascii="Lato" w:eastAsia="Calibri" w:hAnsi="Lato"/>
          <w:szCs w:val="20"/>
        </w:rPr>
      </w:pPr>
      <w:r w:rsidRPr="00CE549A">
        <w:rPr>
          <w:rFonts w:ascii="Lato" w:eastAsia="Calibri" w:hAnsi="Lato"/>
          <w:szCs w:val="20"/>
        </w:rPr>
        <w:t>Prognozy osiągnięcia celów zakładanych na 2023 rok</w:t>
      </w:r>
    </w:p>
    <w:p w14:paraId="453884FA" w14:textId="77777777" w:rsidR="006F4D8F" w:rsidRPr="00066194" w:rsidRDefault="006F4D8F" w:rsidP="006F4D8F">
      <w:pPr>
        <w:rPr>
          <w:szCs w:val="20"/>
        </w:rPr>
      </w:pPr>
      <w:r w:rsidRPr="00066194">
        <w:rPr>
          <w:szCs w:val="20"/>
        </w:rPr>
        <w:t>W PI 6</w:t>
      </w:r>
      <w:r>
        <w:rPr>
          <w:szCs w:val="20"/>
        </w:rPr>
        <w:t>d</w:t>
      </w:r>
      <w:r w:rsidRPr="00066194">
        <w:rPr>
          <w:szCs w:val="20"/>
        </w:rPr>
        <w:t xml:space="preserve"> dostępna </w:t>
      </w:r>
      <w:r>
        <w:rPr>
          <w:szCs w:val="20"/>
        </w:rPr>
        <w:t xml:space="preserve">jest </w:t>
      </w:r>
      <w:r w:rsidRPr="00066194">
        <w:rPr>
          <w:szCs w:val="20"/>
        </w:rPr>
        <w:t>alokacja</w:t>
      </w:r>
      <w:r w:rsidR="00E66B89">
        <w:rPr>
          <w:szCs w:val="20"/>
        </w:rPr>
        <w:t xml:space="preserve"> w </w:t>
      </w:r>
      <w:r w:rsidRPr="00066194">
        <w:rPr>
          <w:szCs w:val="20"/>
        </w:rPr>
        <w:t xml:space="preserve">wysokości </w:t>
      </w:r>
      <w:r w:rsidRPr="00A10402">
        <w:rPr>
          <w:szCs w:val="20"/>
        </w:rPr>
        <w:t>22</w:t>
      </w:r>
      <w:r>
        <w:rPr>
          <w:szCs w:val="20"/>
        </w:rPr>
        <w:t xml:space="preserve"> </w:t>
      </w:r>
      <w:r w:rsidRPr="00A10402">
        <w:rPr>
          <w:szCs w:val="20"/>
        </w:rPr>
        <w:t>811</w:t>
      </w:r>
      <w:r>
        <w:rPr>
          <w:szCs w:val="20"/>
        </w:rPr>
        <w:t xml:space="preserve"> </w:t>
      </w:r>
      <w:r w:rsidRPr="00A10402">
        <w:rPr>
          <w:szCs w:val="20"/>
        </w:rPr>
        <w:t>488,66</w:t>
      </w:r>
      <w:r w:rsidRPr="00066194">
        <w:rPr>
          <w:szCs w:val="20"/>
        </w:rPr>
        <w:t xml:space="preserve"> zł (kwota</w:t>
      </w:r>
      <w:r w:rsidR="00E66B89">
        <w:rPr>
          <w:szCs w:val="20"/>
        </w:rPr>
        <w:t xml:space="preserve"> z </w:t>
      </w:r>
      <w:r w:rsidRPr="00066194">
        <w:rPr>
          <w:szCs w:val="20"/>
        </w:rPr>
        <w:t>rezerwą wykonania). Zakłada</w:t>
      </w:r>
      <w:r>
        <w:rPr>
          <w:szCs w:val="20"/>
        </w:rPr>
        <w:t xml:space="preserve"> się</w:t>
      </w:r>
      <w:r w:rsidRPr="00066194">
        <w:rPr>
          <w:szCs w:val="20"/>
        </w:rPr>
        <w:t>, iż</w:t>
      </w:r>
      <w:r w:rsidR="00E66B89">
        <w:rPr>
          <w:szCs w:val="20"/>
        </w:rPr>
        <w:t xml:space="preserve"> w </w:t>
      </w:r>
      <w:r w:rsidRPr="00066194">
        <w:rPr>
          <w:szCs w:val="20"/>
        </w:rPr>
        <w:t>ramach planowan</w:t>
      </w:r>
      <w:r>
        <w:rPr>
          <w:szCs w:val="20"/>
        </w:rPr>
        <w:t>ych</w:t>
      </w:r>
      <w:r w:rsidR="00E66B89">
        <w:rPr>
          <w:szCs w:val="20"/>
        </w:rPr>
        <w:t xml:space="preserve"> w </w:t>
      </w:r>
      <w:r>
        <w:rPr>
          <w:szCs w:val="20"/>
        </w:rPr>
        <w:t>2019 r.</w:t>
      </w:r>
      <w:r w:rsidRPr="00066194">
        <w:rPr>
          <w:szCs w:val="20"/>
        </w:rPr>
        <w:t xml:space="preserve"> nabor</w:t>
      </w:r>
      <w:r>
        <w:rPr>
          <w:szCs w:val="20"/>
        </w:rPr>
        <w:t>ów</w:t>
      </w:r>
      <w:r w:rsidRPr="00066194">
        <w:rPr>
          <w:szCs w:val="20"/>
        </w:rPr>
        <w:t xml:space="preserve"> wpłynie wystarczająca liczba projektów</w:t>
      </w:r>
      <w:r>
        <w:rPr>
          <w:szCs w:val="20"/>
        </w:rPr>
        <w:t>,</w:t>
      </w:r>
      <w:r w:rsidRPr="00066194">
        <w:rPr>
          <w:szCs w:val="20"/>
        </w:rPr>
        <w:t xml:space="preserve"> </w:t>
      </w:r>
      <w:r>
        <w:rPr>
          <w:szCs w:val="20"/>
        </w:rPr>
        <w:t>które</w:t>
      </w:r>
      <w:r w:rsidR="00E66B89">
        <w:rPr>
          <w:szCs w:val="20"/>
        </w:rPr>
        <w:t xml:space="preserve"> w </w:t>
      </w:r>
      <w:r>
        <w:rPr>
          <w:szCs w:val="20"/>
        </w:rPr>
        <w:t>efekcie</w:t>
      </w:r>
      <w:r w:rsidRPr="00066194">
        <w:rPr>
          <w:szCs w:val="20"/>
        </w:rPr>
        <w:t xml:space="preserve"> zakontrakt</w:t>
      </w:r>
      <w:r>
        <w:rPr>
          <w:szCs w:val="20"/>
        </w:rPr>
        <w:t>ują</w:t>
      </w:r>
      <w:r w:rsidRPr="00066194">
        <w:rPr>
          <w:szCs w:val="20"/>
        </w:rPr>
        <w:t xml:space="preserve"> całą alokację.</w:t>
      </w:r>
    </w:p>
    <w:p w14:paraId="24523959" w14:textId="77777777" w:rsidR="006F4D8F" w:rsidRDefault="006F4D8F" w:rsidP="006F4D8F">
      <w:pPr>
        <w:rPr>
          <w:szCs w:val="20"/>
        </w:rPr>
      </w:pPr>
      <w:r w:rsidRPr="00066194">
        <w:rPr>
          <w:szCs w:val="20"/>
        </w:rPr>
        <w:t>Informacje nt. kosztów jednostkowych poszczególnych wskaźników zaprezentowano</w:t>
      </w:r>
      <w:r w:rsidR="00E66B89">
        <w:rPr>
          <w:szCs w:val="20"/>
        </w:rPr>
        <w:t xml:space="preserve"> w </w:t>
      </w:r>
      <w:r w:rsidRPr="00066194">
        <w:rPr>
          <w:szCs w:val="20"/>
        </w:rPr>
        <w:t>podrozdziale opisującym ocenę postępów realizacji PI.</w:t>
      </w:r>
      <w:r>
        <w:rPr>
          <w:szCs w:val="20"/>
        </w:rPr>
        <w:t xml:space="preserve"> E</w:t>
      </w:r>
      <w:r w:rsidRPr="00066194">
        <w:rPr>
          <w:szCs w:val="20"/>
        </w:rPr>
        <w:t>waluator zamieścił</w:t>
      </w:r>
      <w:r>
        <w:rPr>
          <w:szCs w:val="20"/>
        </w:rPr>
        <w:t xml:space="preserve"> tam także</w:t>
      </w:r>
      <w:r w:rsidRPr="00066194">
        <w:rPr>
          <w:szCs w:val="20"/>
        </w:rPr>
        <w:t xml:space="preserve"> stosowny komentarz do trafności przyjętych wartości kosztów jednostkowych.</w:t>
      </w:r>
      <w:r>
        <w:rPr>
          <w:szCs w:val="20"/>
        </w:rPr>
        <w:t xml:space="preserve"> </w:t>
      </w:r>
    </w:p>
    <w:p w14:paraId="016ECC99" w14:textId="77777777" w:rsidR="006F4D8F" w:rsidRDefault="006F4D8F" w:rsidP="006F4D8F">
      <w:pPr>
        <w:rPr>
          <w:szCs w:val="20"/>
        </w:rPr>
      </w:pPr>
      <w:r w:rsidRPr="00CE549A">
        <w:rPr>
          <w:szCs w:val="20"/>
        </w:rPr>
        <w:t>Aktualny stan wdrażania RPO WZ zapewni</w:t>
      </w:r>
      <w:r>
        <w:rPr>
          <w:szCs w:val="20"/>
        </w:rPr>
        <w:t>a</w:t>
      </w:r>
      <w:r w:rsidRPr="00CE549A">
        <w:rPr>
          <w:szCs w:val="20"/>
        </w:rPr>
        <w:t xml:space="preserve"> </w:t>
      </w:r>
      <w:r>
        <w:rPr>
          <w:szCs w:val="20"/>
        </w:rPr>
        <w:t>osiągnięcie</w:t>
      </w:r>
      <w:r w:rsidRPr="00CE549A">
        <w:rPr>
          <w:szCs w:val="20"/>
        </w:rPr>
        <w:t xml:space="preserve"> wartości docelow</w:t>
      </w:r>
      <w:r>
        <w:rPr>
          <w:szCs w:val="20"/>
        </w:rPr>
        <w:t>ych</w:t>
      </w:r>
      <w:r w:rsidRPr="00CE549A">
        <w:rPr>
          <w:szCs w:val="20"/>
        </w:rPr>
        <w:t xml:space="preserve"> wskaźnik</w:t>
      </w:r>
      <w:r>
        <w:rPr>
          <w:szCs w:val="20"/>
        </w:rPr>
        <w:t>ów.</w:t>
      </w:r>
      <w:r w:rsidRPr="00CE549A">
        <w:rPr>
          <w:szCs w:val="20"/>
        </w:rPr>
        <w:t xml:space="preserve"> Wszystkie wskaźniki zostaną </w:t>
      </w:r>
      <w:r>
        <w:rPr>
          <w:szCs w:val="20"/>
        </w:rPr>
        <w:t>osiągnięte</w:t>
      </w:r>
      <w:r w:rsidRPr="00CE549A">
        <w:rPr>
          <w:szCs w:val="20"/>
        </w:rPr>
        <w:t xml:space="preserve"> (ponadto prognozuje się przekroczenie </w:t>
      </w:r>
      <w:r>
        <w:rPr>
          <w:szCs w:val="20"/>
        </w:rPr>
        <w:t xml:space="preserve">ich </w:t>
      </w:r>
      <w:r w:rsidRPr="00CE549A">
        <w:rPr>
          <w:szCs w:val="20"/>
        </w:rPr>
        <w:t>wartości docelowych). Dobór wskaźników</w:t>
      </w:r>
      <w:r w:rsidR="00E66B89">
        <w:rPr>
          <w:szCs w:val="20"/>
        </w:rPr>
        <w:t xml:space="preserve"> w </w:t>
      </w:r>
      <w:r w:rsidRPr="00CE549A">
        <w:rPr>
          <w:szCs w:val="20"/>
        </w:rPr>
        <w:t>ramach PI 6d uznać należy za trafny. Wprost wpisują się one</w:t>
      </w:r>
      <w:r w:rsidR="00E66B89">
        <w:rPr>
          <w:szCs w:val="20"/>
        </w:rPr>
        <w:t xml:space="preserve"> w </w:t>
      </w:r>
      <w:r w:rsidRPr="00CE549A">
        <w:rPr>
          <w:szCs w:val="20"/>
        </w:rPr>
        <w:t xml:space="preserve">zamierzone do realizacji cele. Ponadto dobrze </w:t>
      </w:r>
      <w:r>
        <w:rPr>
          <w:szCs w:val="20"/>
        </w:rPr>
        <w:t>odzwierciedlają</w:t>
      </w:r>
      <w:r w:rsidRPr="00CE549A">
        <w:rPr>
          <w:szCs w:val="20"/>
        </w:rPr>
        <w:t xml:space="preserve"> efekty, jaki</w:t>
      </w:r>
      <w:r>
        <w:rPr>
          <w:szCs w:val="20"/>
        </w:rPr>
        <w:t>e</w:t>
      </w:r>
      <w:r w:rsidRPr="00CE549A">
        <w:rPr>
          <w:szCs w:val="20"/>
        </w:rPr>
        <w:t xml:space="preserve"> są osiągane dzięki </w:t>
      </w:r>
      <w:r>
        <w:rPr>
          <w:szCs w:val="20"/>
        </w:rPr>
        <w:t>realizowaniu</w:t>
      </w:r>
      <w:r w:rsidRPr="00CE549A">
        <w:rPr>
          <w:szCs w:val="20"/>
        </w:rPr>
        <w:t xml:space="preserve"> projektów.</w:t>
      </w:r>
      <w:r>
        <w:rPr>
          <w:szCs w:val="20"/>
        </w:rPr>
        <w:t xml:space="preserve"> Warto dodać także, że</w:t>
      </w:r>
      <w:r w:rsidR="00E66B89">
        <w:rPr>
          <w:szCs w:val="20"/>
        </w:rPr>
        <w:t xml:space="preserve"> w </w:t>
      </w:r>
      <w:r w:rsidRPr="00CE549A">
        <w:rPr>
          <w:szCs w:val="20"/>
        </w:rPr>
        <w:t>ocenie przeważającej większości beneficjentów</w:t>
      </w:r>
      <w:r>
        <w:rPr>
          <w:szCs w:val="20"/>
        </w:rPr>
        <w:t>,</w:t>
      </w:r>
      <w:r w:rsidRPr="00CE549A">
        <w:rPr>
          <w:szCs w:val="20"/>
        </w:rPr>
        <w:t xml:space="preserve"> wskaźniki RPO trafnie mierzą efekty (tj. odnoszą się do rzeczywistych efektów projektu). Co istotne, żaden</w:t>
      </w:r>
      <w:r w:rsidR="00E66B89">
        <w:rPr>
          <w:szCs w:val="20"/>
        </w:rPr>
        <w:t xml:space="preserve"> z </w:t>
      </w:r>
      <w:r w:rsidRPr="00CE549A">
        <w:rPr>
          <w:szCs w:val="20"/>
        </w:rPr>
        <w:t>beneficjentów nie wskazał</w:t>
      </w:r>
      <w:r w:rsidR="00E66B89">
        <w:rPr>
          <w:szCs w:val="20"/>
        </w:rPr>
        <w:t xml:space="preserve"> w </w:t>
      </w:r>
      <w:r w:rsidRPr="00CE549A">
        <w:rPr>
          <w:szCs w:val="20"/>
        </w:rPr>
        <w:t>badaniu ilościowym, iż spodziewa się wystąpienia trudności</w:t>
      </w:r>
      <w:r w:rsidR="00E66B89">
        <w:rPr>
          <w:szCs w:val="20"/>
        </w:rPr>
        <w:t xml:space="preserve"> w </w:t>
      </w:r>
      <w:r w:rsidRPr="00CE549A">
        <w:rPr>
          <w:szCs w:val="20"/>
        </w:rPr>
        <w:t xml:space="preserve">osiągnięciu założonych wartości wskaźników. </w:t>
      </w:r>
    </w:p>
    <w:p w14:paraId="12ABC514" w14:textId="77777777" w:rsidR="006F4D8F" w:rsidRPr="00C22C26" w:rsidRDefault="006F4D8F" w:rsidP="006F4D8F">
      <w:r w:rsidRPr="00B265EC">
        <w:rPr>
          <w:rFonts w:cs="Calibri"/>
          <w:szCs w:val="20"/>
        </w:rPr>
        <w:t>Do wyliczenia kosztów jednostkowych na lata 2019-2023 wykorzystano informację</w:t>
      </w:r>
      <w:r w:rsidR="00E66B89">
        <w:rPr>
          <w:rFonts w:cs="Calibri"/>
          <w:szCs w:val="20"/>
        </w:rPr>
        <w:t xml:space="preserve"> o </w:t>
      </w:r>
      <w:r w:rsidRPr="00B265EC">
        <w:rPr>
          <w:rFonts w:cs="Calibri"/>
          <w:szCs w:val="20"/>
        </w:rPr>
        <w:t>dotychczasowych kosztach liczonych na podstawie zawartych</w:t>
      </w:r>
      <w:r>
        <w:rPr>
          <w:rFonts w:cs="Calibri"/>
          <w:szCs w:val="20"/>
        </w:rPr>
        <w:t>,</w:t>
      </w:r>
      <w:r w:rsidRPr="00B265EC">
        <w:rPr>
          <w:rFonts w:cs="Calibri"/>
          <w:szCs w:val="20"/>
        </w:rPr>
        <w:t xml:space="preserve"> do 07.01.2019 r.</w:t>
      </w:r>
      <w:r>
        <w:rPr>
          <w:rFonts w:cs="Calibri"/>
          <w:szCs w:val="20"/>
        </w:rPr>
        <w:t>,</w:t>
      </w:r>
      <w:r w:rsidRPr="00B265EC">
        <w:rPr>
          <w:rFonts w:cs="Calibri"/>
          <w:szCs w:val="20"/>
        </w:rPr>
        <w:t> UoD zaktualizowanych</w:t>
      </w:r>
      <w:r w:rsidR="00E66B89">
        <w:rPr>
          <w:rFonts w:cs="Calibri"/>
          <w:szCs w:val="20"/>
        </w:rPr>
        <w:t xml:space="preserve"> o </w:t>
      </w:r>
      <w:r w:rsidRPr="00B265EC">
        <w:rPr>
          <w:rFonts w:cs="Calibri"/>
          <w:szCs w:val="20"/>
        </w:rPr>
        <w:t>odpowiedni</w:t>
      </w:r>
      <w:r>
        <w:rPr>
          <w:rFonts w:cs="Calibri"/>
          <w:szCs w:val="20"/>
        </w:rPr>
        <w:t>e</w:t>
      </w:r>
      <w:r w:rsidRPr="00B265EC">
        <w:rPr>
          <w:rFonts w:cs="Calibri"/>
          <w:szCs w:val="20"/>
        </w:rPr>
        <w:t xml:space="preserve"> wartości indeksów.</w:t>
      </w:r>
    </w:p>
    <w:p w14:paraId="62B44C48" w14:textId="77777777" w:rsidR="006F4D8F" w:rsidRPr="0093717A" w:rsidRDefault="006F4D8F" w:rsidP="0093717A">
      <w:pPr>
        <w:pStyle w:val="Legenda"/>
        <w:spacing w:after="0"/>
      </w:pPr>
      <w:bookmarkStart w:id="132" w:name="_Toc8824174"/>
      <w:r w:rsidRPr="00404DA5">
        <w:t xml:space="preserve">Tabela </w:t>
      </w:r>
      <w:r>
        <w:fldChar w:fldCharType="begin"/>
      </w:r>
      <w:r>
        <w:instrText xml:space="preserve"> SEQ Tabela \* ARABIC </w:instrText>
      </w:r>
      <w:r>
        <w:fldChar w:fldCharType="separate"/>
      </w:r>
      <w:r w:rsidR="00763345">
        <w:rPr>
          <w:noProof/>
        </w:rPr>
        <w:t>63</w:t>
      </w:r>
      <w:r>
        <w:fldChar w:fldCharType="end"/>
      </w:r>
      <w:r w:rsidRPr="00404DA5">
        <w:t xml:space="preserve"> Prognozowany poziom realizacji wskaźników produktu</w:t>
      </w:r>
      <w:r w:rsidR="00E66B89">
        <w:t xml:space="preserve"> i </w:t>
      </w:r>
      <w:r w:rsidRPr="00404DA5">
        <w:t>rezultatu bezpośredniego na rok 2023 – PI 6d</w:t>
      </w:r>
      <w:bookmarkEnd w:id="132"/>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2649"/>
        <w:gridCol w:w="1383"/>
        <w:gridCol w:w="1661"/>
        <w:gridCol w:w="2211"/>
      </w:tblGrid>
      <w:tr w:rsidR="006F4D8F" w:rsidRPr="0043138F" w14:paraId="156C49DE" w14:textId="77777777" w:rsidTr="006F4D8F">
        <w:trPr>
          <w:tblHeader/>
        </w:trPr>
        <w:tc>
          <w:tcPr>
            <w:tcW w:w="588" w:type="pct"/>
            <w:shd w:val="clear" w:color="auto" w:fill="DBE5F1"/>
            <w:vAlign w:val="center"/>
          </w:tcPr>
          <w:p w14:paraId="39DF5E74" w14:textId="77777777" w:rsidR="006F4D8F" w:rsidRPr="00404DA5" w:rsidRDefault="006F4D8F" w:rsidP="006F4D8F">
            <w:pPr>
              <w:jc w:val="center"/>
              <w:rPr>
                <w:rFonts w:cs="Calibri"/>
                <w:sz w:val="18"/>
                <w:szCs w:val="20"/>
              </w:rPr>
            </w:pPr>
            <w:r w:rsidRPr="00404DA5">
              <w:rPr>
                <w:rFonts w:cs="Calibri"/>
                <w:sz w:val="18"/>
                <w:szCs w:val="20"/>
              </w:rPr>
              <w:t>Typ wskaźnika</w:t>
            </w:r>
          </w:p>
        </w:tc>
        <w:tc>
          <w:tcPr>
            <w:tcW w:w="1479" w:type="pct"/>
            <w:shd w:val="clear" w:color="auto" w:fill="DBE5F1"/>
            <w:vAlign w:val="center"/>
          </w:tcPr>
          <w:p w14:paraId="493766B3" w14:textId="77777777" w:rsidR="006F4D8F" w:rsidRPr="00404DA5" w:rsidRDefault="006F4D8F" w:rsidP="006F4D8F">
            <w:pPr>
              <w:jc w:val="center"/>
              <w:rPr>
                <w:rFonts w:cs="Calibri"/>
                <w:sz w:val="18"/>
                <w:szCs w:val="20"/>
              </w:rPr>
            </w:pPr>
            <w:r w:rsidRPr="00404DA5">
              <w:rPr>
                <w:rFonts w:cs="Calibri"/>
                <w:sz w:val="18"/>
                <w:szCs w:val="20"/>
              </w:rPr>
              <w:t>Wskaźnik</w:t>
            </w:r>
          </w:p>
        </w:tc>
        <w:tc>
          <w:tcPr>
            <w:tcW w:w="772" w:type="pct"/>
            <w:shd w:val="clear" w:color="auto" w:fill="DBE5F1"/>
          </w:tcPr>
          <w:p w14:paraId="6D6BC3B5" w14:textId="77777777" w:rsidR="006F4D8F" w:rsidRPr="00404DA5" w:rsidRDefault="006F4D8F" w:rsidP="006F4D8F">
            <w:pPr>
              <w:jc w:val="center"/>
              <w:rPr>
                <w:rFonts w:cs="Calibri"/>
                <w:sz w:val="18"/>
                <w:szCs w:val="20"/>
              </w:rPr>
            </w:pPr>
            <w:r w:rsidRPr="00404DA5">
              <w:rPr>
                <w:rFonts w:cs="Calibri"/>
                <w:sz w:val="18"/>
                <w:szCs w:val="20"/>
              </w:rPr>
              <w:t>Wartość docelowa określona na 2023 rok</w:t>
            </w:r>
          </w:p>
        </w:tc>
        <w:tc>
          <w:tcPr>
            <w:tcW w:w="927" w:type="pct"/>
            <w:shd w:val="clear" w:color="auto" w:fill="DBE5F1"/>
            <w:vAlign w:val="center"/>
          </w:tcPr>
          <w:p w14:paraId="5A3FD90F" w14:textId="77777777" w:rsidR="006F4D8F" w:rsidRPr="00404DA5" w:rsidRDefault="006F4D8F" w:rsidP="006F4D8F">
            <w:pPr>
              <w:jc w:val="center"/>
              <w:rPr>
                <w:rFonts w:cs="Calibri"/>
                <w:sz w:val="18"/>
                <w:szCs w:val="20"/>
              </w:rPr>
            </w:pPr>
            <w:r w:rsidRPr="00404DA5">
              <w:rPr>
                <w:rFonts w:cs="Calibri"/>
                <w:sz w:val="18"/>
                <w:szCs w:val="20"/>
              </w:rPr>
              <w:t xml:space="preserve">Prognozowana całkowita wartość wskaźnika </w:t>
            </w:r>
          </w:p>
        </w:tc>
        <w:tc>
          <w:tcPr>
            <w:tcW w:w="1234" w:type="pct"/>
            <w:shd w:val="clear" w:color="auto" w:fill="DBE5F1"/>
            <w:vAlign w:val="center"/>
          </w:tcPr>
          <w:p w14:paraId="5E76FA46" w14:textId="77777777" w:rsidR="006F4D8F" w:rsidRPr="00404DA5" w:rsidRDefault="006F4D8F" w:rsidP="006F4D8F">
            <w:pPr>
              <w:jc w:val="center"/>
              <w:rPr>
                <w:rFonts w:cs="Calibri"/>
                <w:sz w:val="18"/>
                <w:szCs w:val="20"/>
              </w:rPr>
            </w:pPr>
            <w:r w:rsidRPr="00404DA5">
              <w:rPr>
                <w:rFonts w:cs="Calibri"/>
                <w:sz w:val="18"/>
                <w:szCs w:val="20"/>
              </w:rPr>
              <w:t>Prognozowany % realizacji wartości docelowej</w:t>
            </w:r>
          </w:p>
        </w:tc>
      </w:tr>
      <w:tr w:rsidR="006F4D8F" w:rsidRPr="0043138F" w14:paraId="3606A32C" w14:textId="77777777" w:rsidTr="006F4D8F">
        <w:tc>
          <w:tcPr>
            <w:tcW w:w="588" w:type="pct"/>
            <w:shd w:val="clear" w:color="auto" w:fill="auto"/>
            <w:vAlign w:val="center"/>
          </w:tcPr>
          <w:p w14:paraId="765A757A" w14:textId="77777777" w:rsidR="006F4D8F" w:rsidRPr="00404DA5" w:rsidRDefault="006F4D8F" w:rsidP="006F4D8F">
            <w:pPr>
              <w:rPr>
                <w:rFonts w:cs="Calibri"/>
                <w:sz w:val="18"/>
                <w:szCs w:val="20"/>
              </w:rPr>
            </w:pPr>
            <w:r w:rsidRPr="00404DA5">
              <w:rPr>
                <w:rFonts w:cs="Calibri"/>
                <w:sz w:val="18"/>
                <w:szCs w:val="20"/>
              </w:rPr>
              <w:t>WP</w:t>
            </w:r>
          </w:p>
        </w:tc>
        <w:tc>
          <w:tcPr>
            <w:tcW w:w="1479" w:type="pct"/>
            <w:shd w:val="clear" w:color="auto" w:fill="auto"/>
          </w:tcPr>
          <w:p w14:paraId="0759D37E" w14:textId="77777777" w:rsidR="006F4D8F" w:rsidRPr="00404DA5" w:rsidRDefault="006F4D8F" w:rsidP="006F4D8F">
            <w:pPr>
              <w:rPr>
                <w:rFonts w:cs="Calibri"/>
                <w:sz w:val="18"/>
                <w:szCs w:val="20"/>
              </w:rPr>
            </w:pPr>
            <w:r w:rsidRPr="00404DA5">
              <w:rPr>
                <w:sz w:val="18"/>
                <w:szCs w:val="20"/>
              </w:rPr>
              <w:t>Długość szlaków turystycznych</w:t>
            </w:r>
          </w:p>
        </w:tc>
        <w:tc>
          <w:tcPr>
            <w:tcW w:w="772" w:type="pct"/>
            <w:shd w:val="clear" w:color="auto" w:fill="auto"/>
          </w:tcPr>
          <w:p w14:paraId="1C133A27" w14:textId="77777777" w:rsidR="006F4D8F" w:rsidRPr="00404DA5" w:rsidRDefault="006F4D8F" w:rsidP="006F4D8F">
            <w:pPr>
              <w:jc w:val="center"/>
              <w:rPr>
                <w:rFonts w:cs="Calibri"/>
                <w:sz w:val="18"/>
                <w:szCs w:val="20"/>
              </w:rPr>
            </w:pPr>
            <w:r w:rsidRPr="00404DA5">
              <w:rPr>
                <w:rFonts w:cs="Calibri"/>
                <w:sz w:val="18"/>
                <w:szCs w:val="20"/>
              </w:rPr>
              <w:t>38,66</w:t>
            </w:r>
          </w:p>
        </w:tc>
        <w:tc>
          <w:tcPr>
            <w:tcW w:w="927" w:type="pct"/>
            <w:shd w:val="clear" w:color="auto" w:fill="auto"/>
            <w:vAlign w:val="center"/>
          </w:tcPr>
          <w:p w14:paraId="28AAB88B" w14:textId="77777777" w:rsidR="006F4D8F" w:rsidRPr="00404DA5" w:rsidRDefault="006F4D8F" w:rsidP="006F4D8F">
            <w:pPr>
              <w:jc w:val="center"/>
              <w:rPr>
                <w:rFonts w:cs="Calibri"/>
                <w:sz w:val="18"/>
                <w:szCs w:val="20"/>
              </w:rPr>
            </w:pPr>
            <w:r w:rsidRPr="008B706B">
              <w:rPr>
                <w:rFonts w:cs="Calibri"/>
                <w:sz w:val="18"/>
                <w:szCs w:val="20"/>
              </w:rPr>
              <w:t>87</w:t>
            </w:r>
          </w:p>
        </w:tc>
        <w:tc>
          <w:tcPr>
            <w:tcW w:w="1234" w:type="pct"/>
            <w:shd w:val="clear" w:color="auto" w:fill="auto"/>
            <w:vAlign w:val="center"/>
          </w:tcPr>
          <w:p w14:paraId="38768630" w14:textId="77777777" w:rsidR="006F4D8F" w:rsidRPr="00404DA5" w:rsidRDefault="006F4D8F" w:rsidP="006F4D8F">
            <w:pPr>
              <w:jc w:val="center"/>
              <w:rPr>
                <w:rFonts w:cs="Calibri"/>
                <w:sz w:val="18"/>
                <w:szCs w:val="20"/>
              </w:rPr>
            </w:pPr>
            <w:r w:rsidRPr="008B706B">
              <w:rPr>
                <w:rFonts w:cs="Calibri"/>
                <w:sz w:val="18"/>
                <w:szCs w:val="20"/>
              </w:rPr>
              <w:t>225,0%</w:t>
            </w:r>
          </w:p>
        </w:tc>
      </w:tr>
      <w:tr w:rsidR="006F4D8F" w:rsidRPr="0043138F" w14:paraId="69FE629D" w14:textId="77777777" w:rsidTr="006F4D8F">
        <w:tc>
          <w:tcPr>
            <w:tcW w:w="588" w:type="pct"/>
            <w:shd w:val="clear" w:color="auto" w:fill="auto"/>
            <w:vAlign w:val="center"/>
          </w:tcPr>
          <w:p w14:paraId="37AEB09E" w14:textId="77777777" w:rsidR="006F4D8F" w:rsidRPr="00404DA5" w:rsidRDefault="006F4D8F" w:rsidP="006F4D8F">
            <w:pPr>
              <w:rPr>
                <w:rFonts w:cs="Calibri"/>
                <w:sz w:val="18"/>
                <w:szCs w:val="20"/>
              </w:rPr>
            </w:pPr>
            <w:r w:rsidRPr="00404DA5">
              <w:rPr>
                <w:rFonts w:cs="Calibri"/>
                <w:sz w:val="18"/>
                <w:szCs w:val="20"/>
              </w:rPr>
              <w:t>WP</w:t>
            </w:r>
          </w:p>
        </w:tc>
        <w:tc>
          <w:tcPr>
            <w:tcW w:w="1479" w:type="pct"/>
            <w:shd w:val="clear" w:color="auto" w:fill="auto"/>
          </w:tcPr>
          <w:p w14:paraId="43BA6AE0" w14:textId="77777777" w:rsidR="006F4D8F" w:rsidRPr="00404DA5" w:rsidRDefault="006F4D8F" w:rsidP="006F4D8F">
            <w:pPr>
              <w:rPr>
                <w:rFonts w:cs="Calibri"/>
                <w:sz w:val="18"/>
                <w:szCs w:val="20"/>
              </w:rPr>
            </w:pPr>
            <w:r w:rsidRPr="00404DA5">
              <w:rPr>
                <w:sz w:val="18"/>
                <w:szCs w:val="20"/>
              </w:rPr>
              <w:t>Powierzchnia siedlisk wspartych</w:t>
            </w:r>
            <w:r w:rsidR="00E66B89">
              <w:rPr>
                <w:sz w:val="18"/>
                <w:szCs w:val="20"/>
              </w:rPr>
              <w:t xml:space="preserve"> w </w:t>
            </w:r>
            <w:r w:rsidRPr="00404DA5">
              <w:rPr>
                <w:sz w:val="18"/>
                <w:szCs w:val="20"/>
              </w:rPr>
              <w:t>zakresie uzyskania lepszego statusu ochrony</w:t>
            </w:r>
          </w:p>
        </w:tc>
        <w:tc>
          <w:tcPr>
            <w:tcW w:w="772" w:type="pct"/>
            <w:shd w:val="clear" w:color="auto" w:fill="auto"/>
            <w:vAlign w:val="center"/>
          </w:tcPr>
          <w:p w14:paraId="61A2E62B" w14:textId="77777777" w:rsidR="006F4D8F" w:rsidRPr="00404DA5" w:rsidRDefault="006F4D8F" w:rsidP="006F4D8F">
            <w:pPr>
              <w:jc w:val="center"/>
              <w:rPr>
                <w:rFonts w:cs="Calibri"/>
                <w:sz w:val="18"/>
                <w:szCs w:val="20"/>
              </w:rPr>
            </w:pPr>
            <w:r w:rsidRPr="00404DA5">
              <w:rPr>
                <w:rFonts w:cs="Calibri"/>
                <w:sz w:val="18"/>
                <w:szCs w:val="20"/>
              </w:rPr>
              <w:t>91,29</w:t>
            </w:r>
          </w:p>
        </w:tc>
        <w:tc>
          <w:tcPr>
            <w:tcW w:w="927" w:type="pct"/>
            <w:shd w:val="clear" w:color="auto" w:fill="auto"/>
            <w:vAlign w:val="center"/>
          </w:tcPr>
          <w:p w14:paraId="4164F4CF" w14:textId="77777777" w:rsidR="006F4D8F" w:rsidRPr="00404DA5" w:rsidRDefault="006F4D8F" w:rsidP="006F4D8F">
            <w:pPr>
              <w:jc w:val="center"/>
              <w:rPr>
                <w:rFonts w:cs="Calibri"/>
                <w:sz w:val="18"/>
                <w:szCs w:val="20"/>
              </w:rPr>
            </w:pPr>
            <w:r w:rsidRPr="008B706B">
              <w:rPr>
                <w:rFonts w:cs="Calibri"/>
                <w:sz w:val="18"/>
                <w:szCs w:val="20"/>
              </w:rPr>
              <w:t>175</w:t>
            </w:r>
          </w:p>
        </w:tc>
        <w:tc>
          <w:tcPr>
            <w:tcW w:w="1234" w:type="pct"/>
            <w:shd w:val="clear" w:color="auto" w:fill="auto"/>
            <w:vAlign w:val="center"/>
          </w:tcPr>
          <w:p w14:paraId="59108655" w14:textId="77777777" w:rsidR="006F4D8F" w:rsidRPr="00404DA5" w:rsidRDefault="006F4D8F" w:rsidP="006F4D8F">
            <w:pPr>
              <w:jc w:val="center"/>
              <w:rPr>
                <w:rFonts w:cs="Calibri"/>
                <w:sz w:val="18"/>
                <w:szCs w:val="20"/>
              </w:rPr>
            </w:pPr>
            <w:r w:rsidRPr="008B706B">
              <w:rPr>
                <w:rFonts w:cs="Calibri"/>
                <w:sz w:val="18"/>
                <w:szCs w:val="20"/>
              </w:rPr>
              <w:t>191,4%</w:t>
            </w:r>
          </w:p>
        </w:tc>
      </w:tr>
      <w:tr w:rsidR="006F4D8F" w:rsidRPr="0043138F" w14:paraId="46727BA9" w14:textId="77777777" w:rsidTr="006F4D8F">
        <w:tc>
          <w:tcPr>
            <w:tcW w:w="588" w:type="pct"/>
            <w:shd w:val="clear" w:color="auto" w:fill="auto"/>
            <w:vAlign w:val="center"/>
          </w:tcPr>
          <w:p w14:paraId="5F1A04EA" w14:textId="77777777" w:rsidR="006F4D8F" w:rsidRPr="00404DA5" w:rsidRDefault="006F4D8F" w:rsidP="006F4D8F">
            <w:pPr>
              <w:rPr>
                <w:rFonts w:cs="Calibri"/>
                <w:sz w:val="18"/>
                <w:szCs w:val="20"/>
              </w:rPr>
            </w:pPr>
            <w:r w:rsidRPr="00404DA5">
              <w:rPr>
                <w:rFonts w:cs="Calibri"/>
                <w:sz w:val="18"/>
                <w:szCs w:val="20"/>
              </w:rPr>
              <w:t>WP</w:t>
            </w:r>
          </w:p>
        </w:tc>
        <w:tc>
          <w:tcPr>
            <w:tcW w:w="1479" w:type="pct"/>
            <w:shd w:val="clear" w:color="auto" w:fill="auto"/>
          </w:tcPr>
          <w:p w14:paraId="043B63B9" w14:textId="77777777" w:rsidR="006F4D8F" w:rsidRPr="00404DA5" w:rsidRDefault="006F4D8F" w:rsidP="006F4D8F">
            <w:pPr>
              <w:rPr>
                <w:rFonts w:cs="Calibri"/>
                <w:sz w:val="18"/>
                <w:szCs w:val="20"/>
              </w:rPr>
            </w:pPr>
            <w:r w:rsidRPr="00404DA5">
              <w:rPr>
                <w:sz w:val="18"/>
                <w:szCs w:val="20"/>
              </w:rPr>
              <w:t>Liczba wspartych instytucji paramuzealnych</w:t>
            </w:r>
          </w:p>
        </w:tc>
        <w:tc>
          <w:tcPr>
            <w:tcW w:w="772" w:type="pct"/>
            <w:shd w:val="clear" w:color="auto" w:fill="auto"/>
            <w:vAlign w:val="center"/>
          </w:tcPr>
          <w:p w14:paraId="756D5418" w14:textId="77777777" w:rsidR="006F4D8F" w:rsidRPr="00404DA5" w:rsidRDefault="006F4D8F" w:rsidP="006F4D8F">
            <w:pPr>
              <w:jc w:val="center"/>
              <w:rPr>
                <w:rFonts w:cs="Calibri"/>
                <w:sz w:val="18"/>
                <w:szCs w:val="20"/>
              </w:rPr>
            </w:pPr>
            <w:r w:rsidRPr="00404DA5">
              <w:rPr>
                <w:rFonts w:cs="Calibri"/>
                <w:sz w:val="18"/>
                <w:szCs w:val="20"/>
              </w:rPr>
              <w:t>1</w:t>
            </w:r>
          </w:p>
        </w:tc>
        <w:tc>
          <w:tcPr>
            <w:tcW w:w="927" w:type="pct"/>
            <w:shd w:val="clear" w:color="auto" w:fill="auto"/>
            <w:vAlign w:val="center"/>
          </w:tcPr>
          <w:p w14:paraId="7E401D24" w14:textId="77777777" w:rsidR="006F4D8F" w:rsidRPr="00404DA5" w:rsidRDefault="006F4D8F" w:rsidP="006F4D8F">
            <w:pPr>
              <w:jc w:val="center"/>
              <w:rPr>
                <w:rFonts w:cs="Calibri"/>
                <w:sz w:val="18"/>
                <w:szCs w:val="20"/>
              </w:rPr>
            </w:pPr>
            <w:r w:rsidRPr="00404DA5">
              <w:rPr>
                <w:rFonts w:cs="Calibri"/>
                <w:sz w:val="18"/>
                <w:szCs w:val="20"/>
              </w:rPr>
              <w:t>0</w:t>
            </w:r>
          </w:p>
        </w:tc>
        <w:tc>
          <w:tcPr>
            <w:tcW w:w="1234" w:type="pct"/>
            <w:shd w:val="clear" w:color="auto" w:fill="auto"/>
            <w:vAlign w:val="center"/>
          </w:tcPr>
          <w:p w14:paraId="7CAAFB2A" w14:textId="77777777" w:rsidR="006F4D8F" w:rsidRPr="00404DA5" w:rsidRDefault="006F4D8F" w:rsidP="006F4D8F">
            <w:pPr>
              <w:jc w:val="center"/>
              <w:rPr>
                <w:rFonts w:cs="Calibri"/>
                <w:sz w:val="18"/>
                <w:szCs w:val="20"/>
              </w:rPr>
            </w:pPr>
            <w:r w:rsidRPr="00404DA5">
              <w:rPr>
                <w:sz w:val="18"/>
                <w:szCs w:val="20"/>
              </w:rPr>
              <w:t>0,0%</w:t>
            </w:r>
          </w:p>
        </w:tc>
      </w:tr>
    </w:tbl>
    <w:p w14:paraId="30FED08C" w14:textId="77777777" w:rsidR="006F4D8F" w:rsidRPr="002A5FDF" w:rsidRDefault="006F4D8F" w:rsidP="005A06CB">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dane SL2014</w:t>
      </w:r>
      <w:r w:rsidR="00E66B89" w:rsidRPr="002A5FDF">
        <w:rPr>
          <w:i/>
          <w:sz w:val="18"/>
          <w:szCs w:val="20"/>
        </w:rPr>
        <w:t xml:space="preserve"> o </w:t>
      </w:r>
      <w:r w:rsidRPr="002A5FDF">
        <w:rPr>
          <w:i/>
          <w:sz w:val="18"/>
          <w:szCs w:val="20"/>
        </w:rPr>
        <w:t xml:space="preserve">zawartych UoD na dzień 07.01.2019 r., obliczenia własne. </w:t>
      </w:r>
    </w:p>
    <w:p w14:paraId="3A934FA5" w14:textId="77777777" w:rsidR="006F4D8F" w:rsidRPr="00C16F4D" w:rsidRDefault="006F4D8F" w:rsidP="006F4D8F">
      <w:pPr>
        <w:rPr>
          <w:szCs w:val="20"/>
        </w:rPr>
      </w:pPr>
      <w:r w:rsidRPr="00B265EC">
        <w:rPr>
          <w:szCs w:val="20"/>
        </w:rPr>
        <w:t>Jak pokazuje powyższa tabela</w:t>
      </w:r>
      <w:r>
        <w:rPr>
          <w:szCs w:val="20"/>
        </w:rPr>
        <w:t>,</w:t>
      </w:r>
      <w:r w:rsidRPr="00B265EC">
        <w:rPr>
          <w:szCs w:val="20"/>
        </w:rPr>
        <w:t xml:space="preserve"> większość wskaźników powinna zostać osiągnięta po zrealizowaniu zakontraktowanych projektów. </w:t>
      </w:r>
      <w:r w:rsidRPr="008B706B">
        <w:rPr>
          <w:szCs w:val="20"/>
        </w:rPr>
        <w:t xml:space="preserve">Wyjątkiem jest wskaźnik </w:t>
      </w:r>
      <w:r w:rsidRPr="008B706B">
        <w:rPr>
          <w:i/>
          <w:szCs w:val="20"/>
        </w:rPr>
        <w:t>Liczba wspartych instytucji paramuzealnych</w:t>
      </w:r>
      <w:r>
        <w:rPr>
          <w:szCs w:val="20"/>
        </w:rPr>
        <w:t>.</w:t>
      </w:r>
      <w:r w:rsidRPr="008B706B">
        <w:rPr>
          <w:szCs w:val="20"/>
        </w:rPr>
        <w:t xml:space="preserve"> </w:t>
      </w:r>
      <w:r>
        <w:rPr>
          <w:szCs w:val="20"/>
        </w:rPr>
        <w:t>W</w:t>
      </w:r>
      <w:r w:rsidRPr="00C16F4D">
        <w:rPr>
          <w:szCs w:val="20"/>
        </w:rPr>
        <w:t xml:space="preserve">skaźnik jest nieadekwatny do zakresu wsparcia, </w:t>
      </w:r>
      <w:r>
        <w:rPr>
          <w:szCs w:val="20"/>
        </w:rPr>
        <w:t>dlatego też</w:t>
      </w:r>
      <w:r w:rsidRPr="00B61BF3">
        <w:rPr>
          <w:szCs w:val="20"/>
        </w:rPr>
        <w:t xml:space="preserve"> docelowo jest przewidziany do usunięcia (renegocjacje po przeglądzie). </w:t>
      </w:r>
    </w:p>
    <w:p w14:paraId="40633D0A" w14:textId="77777777" w:rsidR="006F4D8F" w:rsidRPr="00FA14F6" w:rsidRDefault="006F4D8F" w:rsidP="00FA14F6">
      <w:pPr>
        <w:pStyle w:val="Nagwek4"/>
        <w:numPr>
          <w:ilvl w:val="0"/>
          <w:numId w:val="0"/>
        </w:numPr>
        <w:spacing w:before="120"/>
        <w:rPr>
          <w:rFonts w:ascii="Lato" w:eastAsia="Calibri" w:hAnsi="Lato"/>
          <w:szCs w:val="20"/>
        </w:rPr>
      </w:pPr>
      <w:r w:rsidRPr="00FA14F6">
        <w:rPr>
          <w:rFonts w:ascii="Lato" w:eastAsia="Calibri" w:hAnsi="Lato"/>
          <w:szCs w:val="20"/>
        </w:rPr>
        <w:lastRenderedPageBreak/>
        <w:t>Możliwości zarządzania środkami rezerwy wykonania</w:t>
      </w:r>
      <w:r w:rsidR="00E66B89" w:rsidRPr="00FA14F6">
        <w:rPr>
          <w:rFonts w:ascii="Lato" w:eastAsia="Calibri" w:hAnsi="Lato"/>
          <w:szCs w:val="20"/>
        </w:rPr>
        <w:t xml:space="preserve"> i </w:t>
      </w:r>
      <w:r w:rsidRPr="00FA14F6">
        <w:rPr>
          <w:rFonts w:ascii="Lato" w:eastAsia="Calibri" w:hAnsi="Lato"/>
          <w:szCs w:val="20"/>
        </w:rPr>
        <w:t>identyfikacja obszarów wymagających interwencji - podsumowanie</w:t>
      </w:r>
    </w:p>
    <w:p w14:paraId="3A298924" w14:textId="77777777" w:rsidR="006F4D8F" w:rsidRDefault="006F4D8F" w:rsidP="006F4D8F">
      <w:pPr>
        <w:rPr>
          <w:strike/>
          <w:szCs w:val="20"/>
        </w:rPr>
      </w:pPr>
      <w:r w:rsidRPr="009D4AB1">
        <w:rPr>
          <w:szCs w:val="20"/>
        </w:rPr>
        <w:t>Nie zidentyfikowano konieczności dokonywania zmian</w:t>
      </w:r>
      <w:r w:rsidR="00E66B89">
        <w:rPr>
          <w:szCs w:val="20"/>
        </w:rPr>
        <w:t xml:space="preserve"> w </w:t>
      </w:r>
      <w:r w:rsidRPr="009D4AB1">
        <w:rPr>
          <w:szCs w:val="20"/>
        </w:rPr>
        <w:t>zakresie zarządzania środkami</w:t>
      </w:r>
      <w:r>
        <w:rPr>
          <w:szCs w:val="20"/>
        </w:rPr>
        <w:t xml:space="preserve"> alokacji (w tym </w:t>
      </w:r>
      <w:r w:rsidRPr="009D4AB1">
        <w:rPr>
          <w:szCs w:val="20"/>
        </w:rPr>
        <w:t>rezerw</w:t>
      </w:r>
      <w:r>
        <w:rPr>
          <w:szCs w:val="20"/>
        </w:rPr>
        <w:t>y</w:t>
      </w:r>
      <w:r w:rsidRPr="009D4AB1">
        <w:rPr>
          <w:szCs w:val="20"/>
        </w:rPr>
        <w:t xml:space="preserve"> wykonania</w:t>
      </w:r>
      <w:r>
        <w:rPr>
          <w:szCs w:val="20"/>
        </w:rPr>
        <w:t>)</w:t>
      </w:r>
      <w:r w:rsidRPr="009D4AB1">
        <w:rPr>
          <w:szCs w:val="20"/>
        </w:rPr>
        <w:t xml:space="preserve"> dla działań</w:t>
      </w:r>
      <w:r w:rsidR="00E66B89">
        <w:rPr>
          <w:szCs w:val="20"/>
        </w:rPr>
        <w:t xml:space="preserve"> w </w:t>
      </w:r>
      <w:r w:rsidRPr="009D4AB1">
        <w:rPr>
          <w:szCs w:val="20"/>
        </w:rPr>
        <w:t>ramach PI 6d. Nie rekomenduje się aktualnie zmian wartości wskaźników</w:t>
      </w:r>
      <w:r w:rsidR="00E66B89">
        <w:rPr>
          <w:szCs w:val="20"/>
        </w:rPr>
        <w:t xml:space="preserve"> w </w:t>
      </w:r>
      <w:r w:rsidRPr="009D4AB1">
        <w:rPr>
          <w:szCs w:val="20"/>
        </w:rPr>
        <w:t>Programie. Należy uznać za słuszne działania</w:t>
      </w:r>
      <w:r>
        <w:rPr>
          <w:szCs w:val="20"/>
        </w:rPr>
        <w:t xml:space="preserve"> zaradcze</w:t>
      </w:r>
      <w:r w:rsidRPr="009D4AB1">
        <w:rPr>
          <w:szCs w:val="20"/>
        </w:rPr>
        <w:t xml:space="preserve"> podejmowane przez </w:t>
      </w:r>
      <w:r>
        <w:rPr>
          <w:szCs w:val="20"/>
        </w:rPr>
        <w:t>IZ RPO WZ,</w:t>
      </w:r>
      <w:r w:rsidR="00E66B89">
        <w:rPr>
          <w:szCs w:val="20"/>
        </w:rPr>
        <w:t xml:space="preserve"> w </w:t>
      </w:r>
      <w:r w:rsidRPr="009D4AB1">
        <w:rPr>
          <w:szCs w:val="20"/>
        </w:rPr>
        <w:t>zakresie wskaźnika</w:t>
      </w:r>
      <w:r w:rsidRPr="009D4AB1">
        <w:rPr>
          <w:color w:val="FF0000"/>
          <w:szCs w:val="20"/>
        </w:rPr>
        <w:t xml:space="preserve"> </w:t>
      </w:r>
      <w:r w:rsidRPr="009D4AB1">
        <w:rPr>
          <w:i/>
          <w:szCs w:val="20"/>
        </w:rPr>
        <w:t>Liczba wspartych instytucji paramuzealnych</w:t>
      </w:r>
      <w:r w:rsidRPr="009D4AB1">
        <w:rPr>
          <w:szCs w:val="20"/>
        </w:rPr>
        <w:t>.</w:t>
      </w:r>
    </w:p>
    <w:p w14:paraId="667F021E" w14:textId="77777777" w:rsidR="006F4D8F" w:rsidRPr="00CE549A" w:rsidRDefault="006F4D8F" w:rsidP="006F4D8F">
      <w:pPr>
        <w:pStyle w:val="Nagwek3"/>
      </w:pPr>
      <w:r w:rsidRPr="00CE549A">
        <w:t xml:space="preserve">Priorytet inwestycyjny nr </w:t>
      </w:r>
      <w:r>
        <w:t>8b</w:t>
      </w:r>
      <w:r w:rsidRPr="00FE43CD">
        <w:t xml:space="preserve"> (</w:t>
      </w:r>
      <w:r>
        <w:t xml:space="preserve">Działanie </w:t>
      </w:r>
      <w:r w:rsidRPr="00CD6E9E">
        <w:t>4.9</w:t>
      </w:r>
      <w:r w:rsidRPr="00FE43CD">
        <w:t>)</w:t>
      </w:r>
      <w:r w:rsidRPr="00CE549A">
        <w:t xml:space="preserve"> </w:t>
      </w:r>
    </w:p>
    <w:p w14:paraId="31812326" w14:textId="77777777" w:rsidR="006F4D8F" w:rsidRPr="001F11BC" w:rsidRDefault="006F4D8F" w:rsidP="006F4D8F">
      <w:pPr>
        <w:pStyle w:val="Nagwek4"/>
        <w:numPr>
          <w:ilvl w:val="0"/>
          <w:numId w:val="0"/>
        </w:numPr>
        <w:spacing w:before="120"/>
        <w:rPr>
          <w:rFonts w:ascii="Lato" w:eastAsia="Calibri" w:hAnsi="Lato"/>
          <w:szCs w:val="20"/>
        </w:rPr>
      </w:pPr>
      <w:r w:rsidRPr="001F11BC">
        <w:rPr>
          <w:rFonts w:ascii="Lato" w:eastAsia="Calibri" w:hAnsi="Lato"/>
          <w:szCs w:val="20"/>
        </w:rPr>
        <w:t>Ocena postępów</w:t>
      </w:r>
      <w:r w:rsidR="00E66B89">
        <w:rPr>
          <w:rFonts w:ascii="Lato" w:eastAsia="Calibri" w:hAnsi="Lato"/>
          <w:szCs w:val="20"/>
        </w:rPr>
        <w:t xml:space="preserve"> w </w:t>
      </w:r>
      <w:r w:rsidRPr="001F11BC">
        <w:rPr>
          <w:rFonts w:ascii="Lato" w:eastAsia="Calibri" w:hAnsi="Lato"/>
          <w:szCs w:val="20"/>
        </w:rPr>
        <w:t xml:space="preserve">realizacji PI </w:t>
      </w:r>
    </w:p>
    <w:p w14:paraId="422E3203" w14:textId="77777777" w:rsidR="006F4D8F" w:rsidRPr="00FE43CD" w:rsidRDefault="006F4D8F" w:rsidP="0093717A">
      <w:pPr>
        <w:pStyle w:val="Legenda"/>
        <w:spacing w:after="0"/>
      </w:pPr>
      <w:bookmarkStart w:id="133" w:name="_Toc8824175"/>
      <w:r w:rsidRPr="00FE43CD">
        <w:t xml:space="preserve">Tabela </w:t>
      </w:r>
      <w:r>
        <w:fldChar w:fldCharType="begin"/>
      </w:r>
      <w:r>
        <w:instrText xml:space="preserve"> SEQ Tabela \* ARABIC </w:instrText>
      </w:r>
      <w:r>
        <w:fldChar w:fldCharType="separate"/>
      </w:r>
      <w:r w:rsidR="00763345">
        <w:rPr>
          <w:noProof/>
        </w:rPr>
        <w:t>64</w:t>
      </w:r>
      <w:r>
        <w:fldChar w:fldCharType="end"/>
      </w:r>
      <w:r w:rsidRPr="00FE43CD">
        <w:t xml:space="preserve"> Wskaźniki produktu (PI </w:t>
      </w:r>
      <w:r>
        <w:t>8b</w:t>
      </w:r>
      <w:r w:rsidRPr="00FE43CD">
        <w:t>) – postęp rzeczowy</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2135"/>
        <w:gridCol w:w="836"/>
        <w:gridCol w:w="925"/>
        <w:gridCol w:w="961"/>
        <w:gridCol w:w="972"/>
        <w:gridCol w:w="961"/>
        <w:gridCol w:w="972"/>
      </w:tblGrid>
      <w:tr w:rsidR="006F4D8F" w:rsidRPr="00FE43CD" w14:paraId="02DECEF4" w14:textId="77777777" w:rsidTr="006F4D8F">
        <w:trPr>
          <w:tblHeader/>
        </w:trPr>
        <w:tc>
          <w:tcPr>
            <w:tcW w:w="817" w:type="dxa"/>
            <w:shd w:val="clear" w:color="auto" w:fill="DBE5F1"/>
            <w:vAlign w:val="center"/>
          </w:tcPr>
          <w:p w14:paraId="01416254" w14:textId="77777777" w:rsidR="006F4D8F" w:rsidRPr="00404DA5" w:rsidRDefault="006F4D8F" w:rsidP="006F4D8F">
            <w:pPr>
              <w:jc w:val="center"/>
              <w:rPr>
                <w:rFonts w:cs="Calibri"/>
                <w:sz w:val="18"/>
                <w:szCs w:val="18"/>
              </w:rPr>
            </w:pPr>
            <w:r w:rsidRPr="00404DA5">
              <w:rPr>
                <w:rFonts w:cs="Calibri"/>
                <w:sz w:val="18"/>
                <w:szCs w:val="18"/>
              </w:rPr>
              <w:t>Typ wskaźnika</w:t>
            </w:r>
          </w:p>
        </w:tc>
        <w:tc>
          <w:tcPr>
            <w:tcW w:w="709" w:type="dxa"/>
            <w:shd w:val="clear" w:color="auto" w:fill="DBE5F1"/>
            <w:vAlign w:val="center"/>
          </w:tcPr>
          <w:p w14:paraId="4465DDB3" w14:textId="77777777" w:rsidR="006F4D8F" w:rsidRPr="00404DA5" w:rsidRDefault="006F4D8F" w:rsidP="006F4D8F">
            <w:pPr>
              <w:jc w:val="center"/>
              <w:rPr>
                <w:rFonts w:cs="Calibri"/>
                <w:sz w:val="18"/>
                <w:szCs w:val="18"/>
              </w:rPr>
            </w:pPr>
            <w:r w:rsidRPr="00404DA5">
              <w:rPr>
                <w:rFonts w:cs="Calibri"/>
                <w:sz w:val="18"/>
                <w:szCs w:val="18"/>
              </w:rPr>
              <w:t>Działania</w:t>
            </w:r>
          </w:p>
        </w:tc>
        <w:tc>
          <w:tcPr>
            <w:tcW w:w="2135" w:type="dxa"/>
            <w:shd w:val="clear" w:color="auto" w:fill="DBE5F1"/>
            <w:vAlign w:val="center"/>
          </w:tcPr>
          <w:p w14:paraId="12F6E3D0" w14:textId="77777777" w:rsidR="006F4D8F" w:rsidRPr="00404DA5" w:rsidRDefault="006F4D8F" w:rsidP="006F4D8F">
            <w:pPr>
              <w:rPr>
                <w:rFonts w:cs="Calibri"/>
                <w:sz w:val="18"/>
                <w:szCs w:val="18"/>
              </w:rPr>
            </w:pPr>
            <w:r w:rsidRPr="00404DA5">
              <w:rPr>
                <w:rFonts w:cs="Calibri"/>
                <w:sz w:val="18"/>
                <w:szCs w:val="18"/>
              </w:rPr>
              <w:t>Wskaźnik</w:t>
            </w:r>
          </w:p>
        </w:tc>
        <w:tc>
          <w:tcPr>
            <w:tcW w:w="836" w:type="dxa"/>
            <w:shd w:val="clear" w:color="auto" w:fill="DBE5F1"/>
            <w:vAlign w:val="center"/>
          </w:tcPr>
          <w:p w14:paraId="248E61F4" w14:textId="77777777" w:rsidR="006F4D8F" w:rsidRPr="00404DA5" w:rsidRDefault="006F4D8F" w:rsidP="006F4D8F">
            <w:pPr>
              <w:jc w:val="center"/>
              <w:rPr>
                <w:rFonts w:cs="Calibri"/>
                <w:sz w:val="18"/>
                <w:szCs w:val="18"/>
              </w:rPr>
            </w:pPr>
            <w:r w:rsidRPr="00404DA5">
              <w:rPr>
                <w:rFonts w:cs="Calibri"/>
                <w:sz w:val="18"/>
                <w:szCs w:val="18"/>
              </w:rPr>
              <w:t>Jedn. pomiaru</w:t>
            </w:r>
          </w:p>
        </w:tc>
        <w:tc>
          <w:tcPr>
            <w:tcW w:w="925" w:type="dxa"/>
            <w:shd w:val="clear" w:color="auto" w:fill="DBE5F1"/>
            <w:vAlign w:val="center"/>
          </w:tcPr>
          <w:p w14:paraId="05509ABF" w14:textId="77777777" w:rsidR="006F4D8F" w:rsidRPr="00404DA5" w:rsidRDefault="006F4D8F" w:rsidP="006F4D8F">
            <w:pPr>
              <w:jc w:val="center"/>
              <w:rPr>
                <w:rFonts w:cs="Calibri"/>
                <w:sz w:val="18"/>
                <w:szCs w:val="18"/>
              </w:rPr>
            </w:pPr>
            <w:r w:rsidRPr="00404DA5">
              <w:rPr>
                <w:rFonts w:cs="Calibri"/>
                <w:sz w:val="18"/>
                <w:szCs w:val="18"/>
              </w:rPr>
              <w:t>Wartość docelowa (2023)</w:t>
            </w:r>
          </w:p>
        </w:tc>
        <w:tc>
          <w:tcPr>
            <w:tcW w:w="961" w:type="dxa"/>
            <w:shd w:val="clear" w:color="auto" w:fill="DBE5F1"/>
            <w:vAlign w:val="center"/>
          </w:tcPr>
          <w:p w14:paraId="004D4158" w14:textId="77777777" w:rsidR="006F4D8F" w:rsidRPr="00404DA5" w:rsidRDefault="006F4D8F" w:rsidP="006F4D8F">
            <w:pPr>
              <w:jc w:val="center"/>
              <w:rPr>
                <w:rFonts w:cs="Calibri"/>
                <w:sz w:val="18"/>
                <w:szCs w:val="18"/>
              </w:rPr>
            </w:pPr>
            <w:r w:rsidRPr="00404DA5">
              <w:rPr>
                <w:rFonts w:cs="Calibri"/>
                <w:sz w:val="18"/>
                <w:szCs w:val="18"/>
              </w:rPr>
              <w:t>Realizacja wskaźnika (wg UoD)</w:t>
            </w:r>
          </w:p>
        </w:tc>
        <w:tc>
          <w:tcPr>
            <w:tcW w:w="972" w:type="dxa"/>
            <w:shd w:val="clear" w:color="auto" w:fill="DBE5F1"/>
            <w:vAlign w:val="center"/>
          </w:tcPr>
          <w:p w14:paraId="2ED08A09" w14:textId="77777777" w:rsidR="006F4D8F" w:rsidRPr="00404DA5" w:rsidRDefault="006F4D8F" w:rsidP="006F4D8F">
            <w:pPr>
              <w:jc w:val="center"/>
              <w:rPr>
                <w:rFonts w:cs="Calibri"/>
                <w:sz w:val="18"/>
                <w:szCs w:val="18"/>
              </w:rPr>
            </w:pPr>
            <w:r w:rsidRPr="00404DA5">
              <w:rPr>
                <w:rFonts w:cs="Calibri"/>
                <w:sz w:val="18"/>
                <w:szCs w:val="18"/>
              </w:rPr>
              <w:t>% realizacji wartości docelowej (wg UoD)</w:t>
            </w:r>
          </w:p>
        </w:tc>
        <w:tc>
          <w:tcPr>
            <w:tcW w:w="961" w:type="dxa"/>
            <w:shd w:val="clear" w:color="auto" w:fill="DBE5F1"/>
            <w:vAlign w:val="center"/>
          </w:tcPr>
          <w:p w14:paraId="114C5689" w14:textId="77777777" w:rsidR="006F4D8F" w:rsidRPr="00404DA5" w:rsidRDefault="006F4D8F" w:rsidP="006F4D8F">
            <w:pPr>
              <w:jc w:val="center"/>
              <w:rPr>
                <w:rFonts w:cs="Calibri"/>
                <w:sz w:val="18"/>
                <w:szCs w:val="18"/>
              </w:rPr>
            </w:pPr>
            <w:r w:rsidRPr="00404DA5">
              <w:rPr>
                <w:rFonts w:cs="Calibri"/>
                <w:sz w:val="18"/>
                <w:szCs w:val="18"/>
              </w:rPr>
              <w:t>Realizacja wskaźnika (wg WoP)</w:t>
            </w:r>
          </w:p>
        </w:tc>
        <w:tc>
          <w:tcPr>
            <w:tcW w:w="972" w:type="dxa"/>
            <w:shd w:val="clear" w:color="auto" w:fill="DBE5F1"/>
            <w:vAlign w:val="center"/>
          </w:tcPr>
          <w:p w14:paraId="38A090C6" w14:textId="77777777" w:rsidR="006F4D8F" w:rsidRPr="00404DA5" w:rsidRDefault="006F4D8F" w:rsidP="006F4D8F">
            <w:pPr>
              <w:jc w:val="center"/>
              <w:rPr>
                <w:rFonts w:cs="Calibri"/>
                <w:sz w:val="18"/>
                <w:szCs w:val="18"/>
              </w:rPr>
            </w:pPr>
            <w:r w:rsidRPr="00404DA5">
              <w:rPr>
                <w:rFonts w:cs="Calibri"/>
                <w:sz w:val="18"/>
                <w:szCs w:val="18"/>
              </w:rPr>
              <w:t>% realizacji wartości docelowej (wg WoP)</w:t>
            </w:r>
          </w:p>
        </w:tc>
      </w:tr>
      <w:tr w:rsidR="006F4D8F" w:rsidRPr="00F20F6A" w14:paraId="66C303AC" w14:textId="77777777" w:rsidTr="006F4D8F">
        <w:tc>
          <w:tcPr>
            <w:tcW w:w="817" w:type="dxa"/>
            <w:shd w:val="clear" w:color="auto" w:fill="auto"/>
            <w:vAlign w:val="center"/>
          </w:tcPr>
          <w:p w14:paraId="38B62402" w14:textId="77777777" w:rsidR="006F4D8F" w:rsidRPr="00404DA5" w:rsidRDefault="006F4D8F" w:rsidP="006F4D8F">
            <w:pPr>
              <w:jc w:val="center"/>
              <w:rPr>
                <w:rFonts w:cs="Calibri"/>
                <w:sz w:val="18"/>
                <w:szCs w:val="18"/>
              </w:rPr>
            </w:pPr>
            <w:r w:rsidRPr="00404DA5">
              <w:rPr>
                <w:rFonts w:cs="Calibri"/>
                <w:sz w:val="18"/>
                <w:szCs w:val="18"/>
              </w:rPr>
              <w:t>WP</w:t>
            </w:r>
          </w:p>
        </w:tc>
        <w:tc>
          <w:tcPr>
            <w:tcW w:w="709" w:type="dxa"/>
            <w:shd w:val="clear" w:color="auto" w:fill="auto"/>
            <w:vAlign w:val="center"/>
          </w:tcPr>
          <w:p w14:paraId="3E903181" w14:textId="77777777" w:rsidR="006F4D8F" w:rsidRPr="00404DA5" w:rsidRDefault="006F4D8F" w:rsidP="006F4D8F">
            <w:pPr>
              <w:jc w:val="center"/>
              <w:rPr>
                <w:rFonts w:cs="Calibri"/>
                <w:sz w:val="18"/>
                <w:szCs w:val="18"/>
              </w:rPr>
            </w:pPr>
            <w:r w:rsidRPr="00404DA5">
              <w:rPr>
                <w:rFonts w:cs="Calibri"/>
                <w:sz w:val="18"/>
                <w:szCs w:val="18"/>
              </w:rPr>
              <w:t>4.9</w:t>
            </w:r>
          </w:p>
        </w:tc>
        <w:tc>
          <w:tcPr>
            <w:tcW w:w="2135" w:type="dxa"/>
            <w:shd w:val="clear" w:color="auto" w:fill="auto"/>
            <w:vAlign w:val="center"/>
          </w:tcPr>
          <w:p w14:paraId="3CC7E500" w14:textId="77777777" w:rsidR="006F4D8F" w:rsidRPr="00404DA5" w:rsidRDefault="006F4D8F" w:rsidP="006F4D8F">
            <w:pPr>
              <w:rPr>
                <w:rFonts w:cs="Calibri"/>
                <w:sz w:val="18"/>
                <w:szCs w:val="18"/>
              </w:rPr>
            </w:pPr>
            <w:bookmarkStart w:id="134" w:name="_Hlk3497308"/>
            <w:r w:rsidRPr="00404DA5">
              <w:rPr>
                <w:rFonts w:cs="Calibri"/>
                <w:sz w:val="18"/>
                <w:szCs w:val="18"/>
              </w:rPr>
              <w:t>Liczba wspartych obiektów turystycznych</w:t>
            </w:r>
            <w:r w:rsidR="00E66B89">
              <w:rPr>
                <w:rFonts w:cs="Calibri"/>
                <w:sz w:val="18"/>
                <w:szCs w:val="18"/>
              </w:rPr>
              <w:t xml:space="preserve"> i </w:t>
            </w:r>
            <w:r w:rsidRPr="00404DA5">
              <w:rPr>
                <w:rFonts w:cs="Calibri"/>
                <w:sz w:val="18"/>
                <w:szCs w:val="18"/>
              </w:rPr>
              <w:t>rekreacyjnych</w:t>
            </w:r>
            <w:bookmarkEnd w:id="134"/>
          </w:p>
        </w:tc>
        <w:tc>
          <w:tcPr>
            <w:tcW w:w="836" w:type="dxa"/>
            <w:shd w:val="clear" w:color="auto" w:fill="auto"/>
            <w:vAlign w:val="center"/>
          </w:tcPr>
          <w:p w14:paraId="5BA9013F" w14:textId="77777777" w:rsidR="006F4D8F" w:rsidRPr="00404DA5" w:rsidRDefault="006F4D8F" w:rsidP="006F4D8F">
            <w:pPr>
              <w:jc w:val="center"/>
              <w:rPr>
                <w:rFonts w:cs="Calibri"/>
                <w:sz w:val="18"/>
                <w:szCs w:val="18"/>
              </w:rPr>
            </w:pPr>
            <w:r w:rsidRPr="00404DA5">
              <w:rPr>
                <w:rFonts w:cs="Calibri"/>
                <w:sz w:val="18"/>
                <w:szCs w:val="18"/>
              </w:rPr>
              <w:t>szt.</w:t>
            </w:r>
          </w:p>
        </w:tc>
        <w:tc>
          <w:tcPr>
            <w:tcW w:w="925" w:type="dxa"/>
            <w:shd w:val="clear" w:color="auto" w:fill="auto"/>
            <w:vAlign w:val="center"/>
          </w:tcPr>
          <w:p w14:paraId="7DA1BC54" w14:textId="77777777" w:rsidR="006F4D8F" w:rsidRPr="00404DA5" w:rsidRDefault="006F4D8F" w:rsidP="006F4D8F">
            <w:pPr>
              <w:jc w:val="center"/>
              <w:rPr>
                <w:rFonts w:cs="Calibri"/>
                <w:sz w:val="18"/>
                <w:szCs w:val="18"/>
              </w:rPr>
            </w:pPr>
            <w:r w:rsidRPr="00404DA5">
              <w:rPr>
                <w:rFonts w:cs="Calibri"/>
                <w:sz w:val="18"/>
                <w:szCs w:val="18"/>
              </w:rPr>
              <w:t>17</w:t>
            </w:r>
          </w:p>
        </w:tc>
        <w:tc>
          <w:tcPr>
            <w:tcW w:w="961" w:type="dxa"/>
            <w:shd w:val="clear" w:color="auto" w:fill="auto"/>
            <w:vAlign w:val="center"/>
          </w:tcPr>
          <w:p w14:paraId="40C2D8AE" w14:textId="77777777" w:rsidR="006F4D8F" w:rsidRPr="00404DA5" w:rsidRDefault="006F4D8F" w:rsidP="006F4D8F">
            <w:pPr>
              <w:jc w:val="center"/>
              <w:rPr>
                <w:rFonts w:cs="Calibri"/>
                <w:sz w:val="18"/>
                <w:szCs w:val="18"/>
              </w:rPr>
            </w:pPr>
            <w:r w:rsidRPr="00404DA5">
              <w:rPr>
                <w:rFonts w:cs="Calibri"/>
                <w:sz w:val="18"/>
                <w:szCs w:val="18"/>
              </w:rPr>
              <w:t>44</w:t>
            </w:r>
          </w:p>
        </w:tc>
        <w:tc>
          <w:tcPr>
            <w:tcW w:w="972" w:type="dxa"/>
            <w:shd w:val="clear" w:color="auto" w:fill="auto"/>
            <w:vAlign w:val="center"/>
          </w:tcPr>
          <w:p w14:paraId="0DFF4FEC" w14:textId="77777777" w:rsidR="006F4D8F" w:rsidRPr="00404DA5" w:rsidRDefault="006F4D8F" w:rsidP="006F4D8F">
            <w:pPr>
              <w:jc w:val="center"/>
              <w:rPr>
                <w:rFonts w:cs="Calibri"/>
                <w:sz w:val="18"/>
                <w:szCs w:val="18"/>
              </w:rPr>
            </w:pPr>
            <w:r w:rsidRPr="00404DA5">
              <w:rPr>
                <w:rFonts w:cs="Calibri"/>
                <w:sz w:val="18"/>
                <w:szCs w:val="18"/>
              </w:rPr>
              <w:t>258,8%</w:t>
            </w:r>
          </w:p>
        </w:tc>
        <w:tc>
          <w:tcPr>
            <w:tcW w:w="961" w:type="dxa"/>
            <w:shd w:val="clear" w:color="auto" w:fill="auto"/>
            <w:vAlign w:val="center"/>
          </w:tcPr>
          <w:p w14:paraId="16A9D9DE" w14:textId="77777777" w:rsidR="006F4D8F" w:rsidRPr="00404DA5" w:rsidRDefault="006F4D8F" w:rsidP="006F4D8F">
            <w:pPr>
              <w:jc w:val="center"/>
              <w:rPr>
                <w:rFonts w:cs="Calibri"/>
                <w:sz w:val="18"/>
                <w:szCs w:val="18"/>
              </w:rPr>
            </w:pPr>
            <w:r w:rsidRPr="00404DA5">
              <w:rPr>
                <w:rFonts w:cs="Calibri"/>
                <w:sz w:val="18"/>
                <w:szCs w:val="18"/>
              </w:rPr>
              <w:t>10</w:t>
            </w:r>
          </w:p>
        </w:tc>
        <w:tc>
          <w:tcPr>
            <w:tcW w:w="972" w:type="dxa"/>
            <w:shd w:val="clear" w:color="auto" w:fill="auto"/>
            <w:vAlign w:val="center"/>
          </w:tcPr>
          <w:p w14:paraId="0D17D7EB" w14:textId="77777777" w:rsidR="006F4D8F" w:rsidRPr="00404DA5" w:rsidRDefault="006F4D8F" w:rsidP="006F4D8F">
            <w:pPr>
              <w:jc w:val="center"/>
              <w:rPr>
                <w:rFonts w:cs="Calibri"/>
                <w:sz w:val="18"/>
                <w:szCs w:val="18"/>
              </w:rPr>
            </w:pPr>
            <w:r w:rsidRPr="00404DA5">
              <w:rPr>
                <w:rFonts w:cs="Calibri"/>
                <w:sz w:val="18"/>
                <w:szCs w:val="18"/>
              </w:rPr>
              <w:t>58,8%</w:t>
            </w:r>
          </w:p>
        </w:tc>
      </w:tr>
      <w:tr w:rsidR="006F4D8F" w:rsidRPr="00F20F6A" w14:paraId="483496AA" w14:textId="77777777" w:rsidTr="006F4D8F">
        <w:tc>
          <w:tcPr>
            <w:tcW w:w="817" w:type="dxa"/>
            <w:shd w:val="clear" w:color="auto" w:fill="auto"/>
            <w:vAlign w:val="center"/>
          </w:tcPr>
          <w:p w14:paraId="6270CB41" w14:textId="77777777" w:rsidR="006F4D8F" w:rsidRPr="00404DA5" w:rsidRDefault="006F4D8F" w:rsidP="006F4D8F">
            <w:pPr>
              <w:jc w:val="center"/>
              <w:rPr>
                <w:sz w:val="18"/>
                <w:szCs w:val="18"/>
              </w:rPr>
            </w:pPr>
            <w:r w:rsidRPr="00404DA5">
              <w:rPr>
                <w:sz w:val="18"/>
                <w:szCs w:val="18"/>
              </w:rPr>
              <w:t>WP</w:t>
            </w:r>
          </w:p>
        </w:tc>
        <w:tc>
          <w:tcPr>
            <w:tcW w:w="709" w:type="dxa"/>
            <w:shd w:val="clear" w:color="auto" w:fill="auto"/>
            <w:vAlign w:val="center"/>
          </w:tcPr>
          <w:p w14:paraId="1C325A6D" w14:textId="77777777" w:rsidR="006F4D8F" w:rsidRPr="00404DA5" w:rsidRDefault="006F4D8F" w:rsidP="006F4D8F">
            <w:pPr>
              <w:jc w:val="center"/>
              <w:rPr>
                <w:rFonts w:cs="Calibri"/>
                <w:sz w:val="18"/>
                <w:szCs w:val="18"/>
              </w:rPr>
            </w:pPr>
            <w:r w:rsidRPr="00404DA5">
              <w:rPr>
                <w:rFonts w:cs="Calibri"/>
                <w:sz w:val="18"/>
                <w:szCs w:val="18"/>
              </w:rPr>
              <w:t>4.9</w:t>
            </w:r>
          </w:p>
        </w:tc>
        <w:tc>
          <w:tcPr>
            <w:tcW w:w="2135" w:type="dxa"/>
            <w:shd w:val="clear" w:color="auto" w:fill="auto"/>
            <w:vAlign w:val="center"/>
          </w:tcPr>
          <w:p w14:paraId="52C3CAF5" w14:textId="77777777" w:rsidR="006F4D8F" w:rsidRPr="00404DA5" w:rsidRDefault="006F4D8F" w:rsidP="006F4D8F">
            <w:pPr>
              <w:rPr>
                <w:rFonts w:cs="Calibri"/>
                <w:sz w:val="18"/>
                <w:szCs w:val="18"/>
              </w:rPr>
            </w:pPr>
            <w:r w:rsidRPr="00404DA5">
              <w:rPr>
                <w:rFonts w:cs="Calibri"/>
                <w:sz w:val="18"/>
                <w:szCs w:val="18"/>
              </w:rPr>
              <w:t>Długość szlaków turystycznych</w:t>
            </w:r>
          </w:p>
        </w:tc>
        <w:tc>
          <w:tcPr>
            <w:tcW w:w="836" w:type="dxa"/>
            <w:shd w:val="clear" w:color="auto" w:fill="auto"/>
            <w:vAlign w:val="center"/>
          </w:tcPr>
          <w:p w14:paraId="3C4DFE28" w14:textId="77777777" w:rsidR="006F4D8F" w:rsidRPr="00404DA5" w:rsidRDefault="006F4D8F" w:rsidP="006F4D8F">
            <w:pPr>
              <w:jc w:val="center"/>
              <w:rPr>
                <w:rFonts w:cs="Calibri"/>
                <w:sz w:val="18"/>
                <w:szCs w:val="18"/>
              </w:rPr>
            </w:pPr>
            <w:r w:rsidRPr="00404DA5">
              <w:rPr>
                <w:rFonts w:cs="Calibri"/>
                <w:sz w:val="18"/>
                <w:szCs w:val="18"/>
              </w:rPr>
              <w:t>km</w:t>
            </w:r>
          </w:p>
        </w:tc>
        <w:tc>
          <w:tcPr>
            <w:tcW w:w="925" w:type="dxa"/>
            <w:shd w:val="clear" w:color="auto" w:fill="auto"/>
            <w:vAlign w:val="center"/>
          </w:tcPr>
          <w:p w14:paraId="171C269D" w14:textId="77777777" w:rsidR="006F4D8F" w:rsidRPr="00404DA5" w:rsidRDefault="006F4D8F" w:rsidP="006F4D8F">
            <w:pPr>
              <w:jc w:val="center"/>
              <w:rPr>
                <w:rFonts w:cs="Calibri"/>
                <w:sz w:val="18"/>
                <w:szCs w:val="18"/>
              </w:rPr>
            </w:pPr>
            <w:r w:rsidRPr="00404DA5">
              <w:rPr>
                <w:rFonts w:cs="Calibri"/>
                <w:sz w:val="18"/>
                <w:szCs w:val="18"/>
              </w:rPr>
              <w:t>276</w:t>
            </w:r>
          </w:p>
        </w:tc>
        <w:tc>
          <w:tcPr>
            <w:tcW w:w="961" w:type="dxa"/>
            <w:shd w:val="clear" w:color="auto" w:fill="auto"/>
            <w:vAlign w:val="center"/>
          </w:tcPr>
          <w:p w14:paraId="2E0225F6" w14:textId="77777777" w:rsidR="006F4D8F" w:rsidRPr="00404DA5" w:rsidRDefault="006F4D8F" w:rsidP="006F4D8F">
            <w:pPr>
              <w:jc w:val="center"/>
              <w:rPr>
                <w:rFonts w:cs="Calibri"/>
                <w:sz w:val="18"/>
                <w:szCs w:val="18"/>
              </w:rPr>
            </w:pPr>
            <w:r w:rsidRPr="00404DA5">
              <w:rPr>
                <w:rFonts w:cs="Calibri"/>
                <w:sz w:val="18"/>
                <w:szCs w:val="18"/>
              </w:rPr>
              <w:t>129,52</w:t>
            </w:r>
          </w:p>
        </w:tc>
        <w:tc>
          <w:tcPr>
            <w:tcW w:w="972" w:type="dxa"/>
            <w:shd w:val="clear" w:color="auto" w:fill="auto"/>
            <w:vAlign w:val="center"/>
          </w:tcPr>
          <w:p w14:paraId="23770870" w14:textId="77777777" w:rsidR="006F4D8F" w:rsidRPr="00404DA5" w:rsidRDefault="006F4D8F" w:rsidP="006F4D8F">
            <w:pPr>
              <w:jc w:val="center"/>
              <w:rPr>
                <w:rFonts w:cs="Calibri"/>
                <w:sz w:val="18"/>
                <w:szCs w:val="18"/>
              </w:rPr>
            </w:pPr>
            <w:r w:rsidRPr="00404DA5">
              <w:rPr>
                <w:rFonts w:cs="Calibri"/>
                <w:sz w:val="18"/>
                <w:szCs w:val="18"/>
              </w:rPr>
              <w:t>46,9%</w:t>
            </w:r>
          </w:p>
        </w:tc>
        <w:tc>
          <w:tcPr>
            <w:tcW w:w="961" w:type="dxa"/>
            <w:shd w:val="clear" w:color="auto" w:fill="auto"/>
            <w:vAlign w:val="center"/>
          </w:tcPr>
          <w:p w14:paraId="288B81C3" w14:textId="77777777" w:rsidR="006F4D8F" w:rsidRPr="00404DA5" w:rsidRDefault="006F4D8F" w:rsidP="006F4D8F">
            <w:pPr>
              <w:jc w:val="center"/>
              <w:rPr>
                <w:rFonts w:cs="Calibri"/>
                <w:sz w:val="18"/>
                <w:szCs w:val="18"/>
              </w:rPr>
            </w:pPr>
            <w:r w:rsidRPr="00404DA5">
              <w:rPr>
                <w:rFonts w:cs="Calibri"/>
                <w:sz w:val="18"/>
                <w:szCs w:val="18"/>
              </w:rPr>
              <w:t>76,88</w:t>
            </w:r>
          </w:p>
        </w:tc>
        <w:tc>
          <w:tcPr>
            <w:tcW w:w="972" w:type="dxa"/>
            <w:shd w:val="clear" w:color="auto" w:fill="auto"/>
            <w:vAlign w:val="center"/>
          </w:tcPr>
          <w:p w14:paraId="0AFDDDD9" w14:textId="77777777" w:rsidR="006F4D8F" w:rsidRPr="00404DA5" w:rsidRDefault="006F4D8F" w:rsidP="006F4D8F">
            <w:pPr>
              <w:jc w:val="center"/>
              <w:rPr>
                <w:rFonts w:cs="Calibri"/>
                <w:sz w:val="18"/>
                <w:szCs w:val="18"/>
              </w:rPr>
            </w:pPr>
            <w:r w:rsidRPr="00404DA5">
              <w:rPr>
                <w:rFonts w:cs="Calibri"/>
                <w:sz w:val="18"/>
                <w:szCs w:val="18"/>
              </w:rPr>
              <w:t>27,9%</w:t>
            </w:r>
          </w:p>
        </w:tc>
      </w:tr>
    </w:tbl>
    <w:p w14:paraId="2484C084" w14:textId="77777777" w:rsidR="006F4D8F" w:rsidRPr="002A5FDF" w:rsidRDefault="006F4D8F" w:rsidP="005A06CB">
      <w:pPr>
        <w:spacing w:before="0"/>
        <w:rPr>
          <w:i/>
          <w:sz w:val="18"/>
          <w:szCs w:val="20"/>
        </w:rPr>
      </w:pPr>
      <w:r w:rsidRPr="002A5FDF">
        <w:rPr>
          <w:i/>
          <w:sz w:val="18"/>
          <w:szCs w:val="20"/>
        </w:rPr>
        <w:t>Źródło: RPO WZ 2014-2020</w:t>
      </w:r>
      <w:r w:rsidR="00E66B89" w:rsidRPr="002A5FDF">
        <w:rPr>
          <w:i/>
          <w:sz w:val="18"/>
          <w:szCs w:val="20"/>
        </w:rPr>
        <w:t xml:space="preserve"> z </w:t>
      </w:r>
      <w:r w:rsidRPr="002A5FDF">
        <w:rPr>
          <w:i/>
          <w:sz w:val="18"/>
          <w:szCs w:val="20"/>
        </w:rPr>
        <w:t>26.07.2018 r., obliczenia własne na podstawie danych SL2014 na dzień 07.01.2019 r.</w:t>
      </w:r>
    </w:p>
    <w:p w14:paraId="13DA49BE" w14:textId="77777777" w:rsidR="006F4D8F" w:rsidRDefault="006F4D8F" w:rsidP="006F4D8F">
      <w:pPr>
        <w:rPr>
          <w:rFonts w:cs="Calibri"/>
          <w:szCs w:val="20"/>
        </w:rPr>
      </w:pPr>
      <w:r w:rsidRPr="00A1424D">
        <w:rPr>
          <w:rFonts w:cs="Calibri"/>
          <w:szCs w:val="20"/>
        </w:rPr>
        <w:t>Interwencja zaplanowana</w:t>
      </w:r>
      <w:r w:rsidR="00E66B89">
        <w:rPr>
          <w:rFonts w:cs="Calibri"/>
          <w:szCs w:val="20"/>
        </w:rPr>
        <w:t xml:space="preserve"> w </w:t>
      </w:r>
      <w:r w:rsidRPr="00A1424D">
        <w:rPr>
          <w:rFonts w:cs="Calibri"/>
          <w:szCs w:val="20"/>
        </w:rPr>
        <w:t xml:space="preserve">ramach </w:t>
      </w:r>
      <w:r>
        <w:rPr>
          <w:rFonts w:cs="Calibri"/>
          <w:szCs w:val="20"/>
        </w:rPr>
        <w:t>PI 8b, realizuje cele związane</w:t>
      </w:r>
      <w:r w:rsidR="00E66B89">
        <w:rPr>
          <w:rFonts w:cs="Calibri"/>
          <w:szCs w:val="20"/>
        </w:rPr>
        <w:t xml:space="preserve"> z </w:t>
      </w:r>
      <w:r>
        <w:rPr>
          <w:rFonts w:cs="Calibri"/>
          <w:szCs w:val="20"/>
        </w:rPr>
        <w:t>tworzeniem warunków dla rozwoju</w:t>
      </w:r>
      <w:r w:rsidR="00E66B89">
        <w:rPr>
          <w:rFonts w:cs="Calibri"/>
          <w:szCs w:val="20"/>
        </w:rPr>
        <w:t xml:space="preserve"> i </w:t>
      </w:r>
      <w:r>
        <w:rPr>
          <w:rFonts w:cs="Calibri"/>
          <w:szCs w:val="20"/>
        </w:rPr>
        <w:t xml:space="preserve">pozycjonowania </w:t>
      </w:r>
      <w:r w:rsidRPr="00B60C06">
        <w:rPr>
          <w:rFonts w:cs="Calibri"/>
          <w:szCs w:val="20"/>
        </w:rPr>
        <w:t>produktów</w:t>
      </w:r>
      <w:r>
        <w:rPr>
          <w:rFonts w:cs="Calibri"/>
          <w:szCs w:val="20"/>
        </w:rPr>
        <w:t xml:space="preserve"> oraz </w:t>
      </w:r>
      <w:r w:rsidRPr="00B60C06">
        <w:rPr>
          <w:rFonts w:cs="Calibri"/>
          <w:szCs w:val="20"/>
        </w:rPr>
        <w:t xml:space="preserve">usług </w:t>
      </w:r>
      <w:r>
        <w:rPr>
          <w:rFonts w:cs="Calibri"/>
          <w:szCs w:val="20"/>
        </w:rPr>
        <w:t>posiadających</w:t>
      </w:r>
      <w:r w:rsidRPr="00B60C06">
        <w:rPr>
          <w:rFonts w:cs="Calibri"/>
          <w:szCs w:val="20"/>
        </w:rPr>
        <w:t xml:space="preserve"> potencjał bycia produktem regionalnym, marką województwa lub produktem</w:t>
      </w:r>
      <w:r>
        <w:rPr>
          <w:rFonts w:cs="Calibri"/>
          <w:szCs w:val="20"/>
        </w:rPr>
        <w:t xml:space="preserve"> </w:t>
      </w:r>
      <w:r w:rsidRPr="00B60C06">
        <w:rPr>
          <w:rFonts w:cs="Calibri"/>
          <w:szCs w:val="20"/>
        </w:rPr>
        <w:t>turystycznym</w:t>
      </w:r>
      <w:r>
        <w:rPr>
          <w:rFonts w:cs="Calibri"/>
          <w:szCs w:val="20"/>
        </w:rPr>
        <w:t>. Podstawą kreowania takich produktów</w:t>
      </w:r>
      <w:r w:rsidRPr="00B60C06">
        <w:rPr>
          <w:rFonts w:cs="Calibri"/>
          <w:szCs w:val="20"/>
        </w:rPr>
        <w:t xml:space="preserve"> </w:t>
      </w:r>
      <w:r>
        <w:rPr>
          <w:rFonts w:cs="Calibri"/>
          <w:szCs w:val="20"/>
        </w:rPr>
        <w:t>jest</w:t>
      </w:r>
      <w:r w:rsidRPr="00B60C06">
        <w:rPr>
          <w:rFonts w:cs="Calibri"/>
          <w:szCs w:val="20"/>
        </w:rPr>
        <w:t xml:space="preserve"> </w:t>
      </w:r>
      <w:r>
        <w:rPr>
          <w:rFonts w:cs="Calibri"/>
          <w:szCs w:val="20"/>
        </w:rPr>
        <w:t>wykorzystanie</w:t>
      </w:r>
      <w:r w:rsidRPr="00B60C06">
        <w:rPr>
          <w:rFonts w:cs="Calibri"/>
          <w:szCs w:val="20"/>
        </w:rPr>
        <w:t xml:space="preserve"> endogenicznych zasob</w:t>
      </w:r>
      <w:r>
        <w:rPr>
          <w:rFonts w:cs="Calibri"/>
          <w:szCs w:val="20"/>
        </w:rPr>
        <w:t>ów</w:t>
      </w:r>
      <w:r w:rsidRPr="00B60C06">
        <w:rPr>
          <w:rFonts w:cs="Calibri"/>
          <w:szCs w:val="20"/>
        </w:rPr>
        <w:t xml:space="preserve"> </w:t>
      </w:r>
      <w:r>
        <w:rPr>
          <w:rFonts w:cs="Calibri"/>
          <w:szCs w:val="20"/>
        </w:rPr>
        <w:t>regionu. Potencjał endogeniczny regionu jest powiązany</w:t>
      </w:r>
      <w:r w:rsidR="00E66B89">
        <w:rPr>
          <w:rFonts w:cs="Calibri"/>
          <w:szCs w:val="20"/>
        </w:rPr>
        <w:t xml:space="preserve"> z </w:t>
      </w:r>
      <w:r>
        <w:rPr>
          <w:rFonts w:cs="Calibri"/>
          <w:szCs w:val="20"/>
        </w:rPr>
        <w:t xml:space="preserve">jego atrakcyjnym geograficznym </w:t>
      </w:r>
      <w:r w:rsidRPr="00222FC0">
        <w:rPr>
          <w:rFonts w:cs="Calibri"/>
          <w:szCs w:val="20"/>
        </w:rPr>
        <w:t>położenie</w:t>
      </w:r>
      <w:r>
        <w:rPr>
          <w:rFonts w:cs="Calibri"/>
          <w:szCs w:val="20"/>
        </w:rPr>
        <w:t>m.</w:t>
      </w:r>
      <w:r w:rsidR="00E66B89">
        <w:rPr>
          <w:rFonts w:cs="Calibri"/>
          <w:szCs w:val="20"/>
        </w:rPr>
        <w:t xml:space="preserve"> Z </w:t>
      </w:r>
      <w:r>
        <w:rPr>
          <w:rFonts w:cs="Calibri"/>
          <w:szCs w:val="20"/>
        </w:rPr>
        <w:t>tego powodu, prognozuje się</w:t>
      </w:r>
      <w:r w:rsidR="00E66B89">
        <w:rPr>
          <w:rFonts w:cs="Calibri"/>
          <w:szCs w:val="20"/>
        </w:rPr>
        <w:t xml:space="preserve"> w </w:t>
      </w:r>
      <w:r>
        <w:rPr>
          <w:rFonts w:cs="Calibri"/>
          <w:szCs w:val="20"/>
        </w:rPr>
        <w:t xml:space="preserve">województwie </w:t>
      </w:r>
      <w:r w:rsidRPr="00222FC0">
        <w:rPr>
          <w:rFonts w:cs="Calibri"/>
          <w:szCs w:val="20"/>
        </w:rPr>
        <w:t xml:space="preserve">rozwój branż </w:t>
      </w:r>
      <w:r w:rsidRPr="003F2687">
        <w:rPr>
          <w:rFonts w:cs="Calibri"/>
          <w:szCs w:val="20"/>
        </w:rPr>
        <w:t>reprezentujących działy PKD przypisane do wysokiej</w:t>
      </w:r>
      <w:r w:rsidR="00E66B89">
        <w:rPr>
          <w:rFonts w:cs="Calibri"/>
          <w:szCs w:val="20"/>
        </w:rPr>
        <w:t xml:space="preserve"> i </w:t>
      </w:r>
      <w:r w:rsidRPr="003F2687">
        <w:rPr>
          <w:rFonts w:cs="Calibri"/>
          <w:szCs w:val="20"/>
        </w:rPr>
        <w:t>średnio</w:t>
      </w:r>
      <w:r>
        <w:rPr>
          <w:rFonts w:cs="Calibri"/>
          <w:szCs w:val="20"/>
        </w:rPr>
        <w:t>-</w:t>
      </w:r>
      <w:r w:rsidRPr="003F2687">
        <w:rPr>
          <w:rFonts w:cs="Calibri"/>
          <w:szCs w:val="20"/>
        </w:rPr>
        <w:t xml:space="preserve">wysokiej techniki </w:t>
      </w:r>
      <w:r>
        <w:rPr>
          <w:rFonts w:cs="Calibri"/>
          <w:szCs w:val="20"/>
        </w:rPr>
        <w:t xml:space="preserve">np. przetwórstwo spożywcze; lub też </w:t>
      </w:r>
      <w:r w:rsidRPr="009E2E08">
        <w:rPr>
          <w:rFonts w:cs="Calibri"/>
          <w:szCs w:val="20"/>
        </w:rPr>
        <w:t>reprezentując</w:t>
      </w:r>
      <w:r>
        <w:rPr>
          <w:rFonts w:cs="Calibri"/>
          <w:szCs w:val="20"/>
        </w:rPr>
        <w:t>e</w:t>
      </w:r>
      <w:r w:rsidRPr="009E2E08">
        <w:rPr>
          <w:rFonts w:cs="Calibri"/>
          <w:szCs w:val="20"/>
        </w:rPr>
        <w:t xml:space="preserve"> usługi wysokiej techniki</w:t>
      </w:r>
      <w:r>
        <w:rPr>
          <w:rFonts w:cs="Calibri"/>
          <w:szCs w:val="20"/>
        </w:rPr>
        <w:t>, np. logistyka czy turystyka. R</w:t>
      </w:r>
      <w:r w:rsidRPr="00EF6780">
        <w:rPr>
          <w:rFonts w:cs="Calibri"/>
          <w:szCs w:val="20"/>
        </w:rPr>
        <w:t>ozw</w:t>
      </w:r>
      <w:r>
        <w:rPr>
          <w:rFonts w:cs="Calibri"/>
          <w:szCs w:val="20"/>
        </w:rPr>
        <w:t>ó</w:t>
      </w:r>
      <w:r w:rsidRPr="00EF6780">
        <w:rPr>
          <w:rFonts w:cs="Calibri"/>
          <w:szCs w:val="20"/>
        </w:rPr>
        <w:t xml:space="preserve">j potencjałów endogenicznych </w:t>
      </w:r>
      <w:r>
        <w:rPr>
          <w:rFonts w:cs="Calibri"/>
          <w:szCs w:val="20"/>
        </w:rPr>
        <w:t>regionu (w tym również obszarów</w:t>
      </w:r>
      <w:r w:rsidR="00E66B89">
        <w:rPr>
          <w:rFonts w:cs="Calibri"/>
          <w:szCs w:val="20"/>
        </w:rPr>
        <w:t xml:space="preserve"> o </w:t>
      </w:r>
      <w:r w:rsidRPr="00EF6780">
        <w:rPr>
          <w:rFonts w:cs="Calibri"/>
          <w:szCs w:val="20"/>
        </w:rPr>
        <w:t>specyficznych potrzebach</w:t>
      </w:r>
      <w:r>
        <w:rPr>
          <w:rFonts w:cs="Calibri"/>
          <w:szCs w:val="20"/>
        </w:rPr>
        <w:t>, tj. zagrożonych depopulacją, ubóstwem, nasileniem zjawisk negatywnych</w:t>
      </w:r>
      <w:r w:rsidR="00E66B89">
        <w:rPr>
          <w:rFonts w:cs="Calibri"/>
          <w:szCs w:val="20"/>
        </w:rPr>
        <w:t xml:space="preserve"> z </w:t>
      </w:r>
      <w:r>
        <w:rPr>
          <w:rFonts w:cs="Calibri"/>
          <w:szCs w:val="20"/>
        </w:rPr>
        <w:t xml:space="preserve">punktu widzenia rynku pracy) </w:t>
      </w:r>
      <w:r w:rsidRPr="00EF6780">
        <w:rPr>
          <w:rFonts w:cs="Calibri"/>
          <w:szCs w:val="20"/>
        </w:rPr>
        <w:t>ma przyczyni</w:t>
      </w:r>
      <w:r>
        <w:rPr>
          <w:rFonts w:cs="Calibri"/>
          <w:szCs w:val="20"/>
        </w:rPr>
        <w:t>a</w:t>
      </w:r>
      <w:r w:rsidRPr="00EF6780">
        <w:rPr>
          <w:rFonts w:cs="Calibri"/>
          <w:szCs w:val="20"/>
        </w:rPr>
        <w:t>ć się do ożywienia społeczno-gospodarczego regionu</w:t>
      </w:r>
      <w:r>
        <w:rPr>
          <w:rFonts w:cs="Calibri"/>
          <w:szCs w:val="20"/>
        </w:rPr>
        <w:t>,</w:t>
      </w:r>
      <w:r w:rsidRPr="00EF6780">
        <w:rPr>
          <w:rFonts w:cs="Calibri"/>
          <w:szCs w:val="20"/>
        </w:rPr>
        <w:t xml:space="preserve"> </w:t>
      </w:r>
      <w:r>
        <w:rPr>
          <w:rFonts w:cs="Calibri"/>
          <w:szCs w:val="20"/>
        </w:rPr>
        <w:t>wzmocnić rynek racy</w:t>
      </w:r>
      <w:r w:rsidR="00E66B89">
        <w:rPr>
          <w:rFonts w:cs="Calibri"/>
          <w:szCs w:val="20"/>
        </w:rPr>
        <w:t xml:space="preserve"> i </w:t>
      </w:r>
      <w:r w:rsidRPr="00EF6780">
        <w:rPr>
          <w:rFonts w:cs="Calibri"/>
          <w:szCs w:val="20"/>
        </w:rPr>
        <w:t>wpłynąć na podniesienie jakości</w:t>
      </w:r>
      <w:r w:rsidR="00E66B89">
        <w:rPr>
          <w:rFonts w:cs="Calibri"/>
          <w:szCs w:val="20"/>
        </w:rPr>
        <w:t xml:space="preserve"> i </w:t>
      </w:r>
      <w:r w:rsidRPr="00EF6780">
        <w:rPr>
          <w:rFonts w:cs="Calibri"/>
          <w:szCs w:val="20"/>
        </w:rPr>
        <w:t>atrakcyjności życia mieszkańców województwa</w:t>
      </w:r>
      <w:r>
        <w:rPr>
          <w:rFonts w:cs="Calibri"/>
          <w:szCs w:val="20"/>
        </w:rPr>
        <w:t>. Co ciekawe, niskie rejestrowane bezrobocie</w:t>
      </w:r>
      <w:r w:rsidR="00E66B89">
        <w:rPr>
          <w:rFonts w:cs="Calibri"/>
          <w:szCs w:val="20"/>
        </w:rPr>
        <w:t xml:space="preserve"> w </w:t>
      </w:r>
      <w:r>
        <w:rPr>
          <w:rFonts w:cs="Calibri"/>
          <w:szCs w:val="20"/>
        </w:rPr>
        <w:t>regionie obserwuje się właśnie</w:t>
      </w:r>
      <w:r w:rsidR="00E66B89">
        <w:rPr>
          <w:rFonts w:cs="Calibri"/>
          <w:szCs w:val="20"/>
        </w:rPr>
        <w:t xml:space="preserve"> w </w:t>
      </w:r>
      <w:r>
        <w:rPr>
          <w:rFonts w:cs="Calibri"/>
          <w:szCs w:val="20"/>
        </w:rPr>
        <w:t>powiatach / na obszarach, na których znaczący wpływ na rynek pracy ma turystyka. Do takich obszarów</w:t>
      </w:r>
      <w:r w:rsidR="00E66B89">
        <w:rPr>
          <w:rFonts w:cs="Calibri"/>
          <w:szCs w:val="20"/>
        </w:rPr>
        <w:t xml:space="preserve"> w </w:t>
      </w:r>
      <w:r>
        <w:rPr>
          <w:rFonts w:cs="Calibri"/>
          <w:szCs w:val="20"/>
        </w:rPr>
        <w:t>województwie należy zaliczyć powiat kołobrzeski oraz Świnoujście.</w:t>
      </w:r>
    </w:p>
    <w:p w14:paraId="384BC3EF" w14:textId="77777777" w:rsidR="006F4D8F" w:rsidRPr="00404DA5" w:rsidRDefault="006F4D8F" w:rsidP="006F4D8F">
      <w:pPr>
        <w:rPr>
          <w:rFonts w:cs="Calibri"/>
          <w:szCs w:val="20"/>
        </w:rPr>
      </w:pPr>
      <w:r w:rsidRPr="001A0393">
        <w:rPr>
          <w:rFonts w:cs="Calibri"/>
          <w:szCs w:val="20"/>
        </w:rPr>
        <w:t xml:space="preserve">W ramach </w:t>
      </w:r>
      <w:r>
        <w:rPr>
          <w:rFonts w:cs="Calibri"/>
          <w:szCs w:val="20"/>
        </w:rPr>
        <w:t xml:space="preserve">PI 8b </w:t>
      </w:r>
      <w:r w:rsidRPr="001A0393">
        <w:rPr>
          <w:rFonts w:cs="Calibri"/>
          <w:szCs w:val="20"/>
        </w:rPr>
        <w:t>dofinansowane są projekty</w:t>
      </w:r>
      <w:r w:rsidR="00E66B89">
        <w:rPr>
          <w:rFonts w:cs="Calibri"/>
          <w:szCs w:val="20"/>
        </w:rPr>
        <w:t xml:space="preserve"> z </w:t>
      </w:r>
      <w:r w:rsidRPr="001A0393">
        <w:rPr>
          <w:rFonts w:cs="Calibri"/>
          <w:szCs w:val="20"/>
        </w:rPr>
        <w:t>zakresu infrastruktury turystyki aktywnej</w:t>
      </w:r>
      <w:r w:rsidR="00E66B89">
        <w:rPr>
          <w:rFonts w:cs="Calibri"/>
          <w:szCs w:val="20"/>
        </w:rPr>
        <w:t xml:space="preserve"> i </w:t>
      </w:r>
      <w:r w:rsidRPr="001A0393">
        <w:rPr>
          <w:rFonts w:cs="Calibri"/>
          <w:szCs w:val="20"/>
        </w:rPr>
        <w:t>uzdrowiskowej</w:t>
      </w:r>
      <w:r>
        <w:rPr>
          <w:rFonts w:cs="Calibri"/>
          <w:szCs w:val="20"/>
        </w:rPr>
        <w:t xml:space="preserve">. </w:t>
      </w:r>
      <w:r w:rsidRPr="00404DA5">
        <w:rPr>
          <w:rFonts w:cs="Calibri"/>
          <w:szCs w:val="20"/>
        </w:rPr>
        <w:t>Na wsparcie realizowane</w:t>
      </w:r>
      <w:r w:rsidR="00E66B89">
        <w:rPr>
          <w:rFonts w:cs="Calibri"/>
          <w:szCs w:val="20"/>
        </w:rPr>
        <w:t xml:space="preserve"> w </w:t>
      </w:r>
      <w:r w:rsidRPr="00404DA5">
        <w:rPr>
          <w:rFonts w:cs="Calibri"/>
          <w:szCs w:val="20"/>
        </w:rPr>
        <w:t>ramach PI 8b przewidziano 45 401 645,00 EUR [alokacja UE ogółem (z RW)], tj. 195 354 198,11 zł</w:t>
      </w:r>
      <w:r>
        <w:rPr>
          <w:rStyle w:val="Odwoanieprzypisudolnego"/>
          <w:szCs w:val="20"/>
        </w:rPr>
        <w:footnoteReference w:id="44"/>
      </w:r>
      <w:r w:rsidRPr="00404DA5">
        <w:rPr>
          <w:rFonts w:cs="Calibri"/>
          <w:szCs w:val="20"/>
        </w:rPr>
        <w:t>; 42 707 679,42 EUR [alokacja główna UE (bez RW)], tj. 183 762 603,01 zł</w:t>
      </w:r>
      <w:r>
        <w:rPr>
          <w:rStyle w:val="Odwoanieprzypisudolnego"/>
          <w:szCs w:val="20"/>
        </w:rPr>
        <w:footnoteReference w:id="45"/>
      </w:r>
      <w:r w:rsidRPr="00404DA5">
        <w:rPr>
          <w:rFonts w:cs="Calibri"/>
          <w:szCs w:val="20"/>
        </w:rPr>
        <w:t>.</w:t>
      </w:r>
    </w:p>
    <w:p w14:paraId="4DA86D5B" w14:textId="77777777" w:rsidR="006F4D8F" w:rsidRPr="00404DA5" w:rsidRDefault="006F4D8F" w:rsidP="006F4D8F">
      <w:pPr>
        <w:rPr>
          <w:rFonts w:cs="Calibri"/>
          <w:szCs w:val="20"/>
        </w:rPr>
      </w:pPr>
      <w:r w:rsidRPr="00404DA5">
        <w:rPr>
          <w:rFonts w:cs="Calibri"/>
          <w:szCs w:val="20"/>
        </w:rPr>
        <w:lastRenderedPageBreak/>
        <w:t>Począwszy do sierpnia 2016 r. do grudnia 2018 r.</w:t>
      </w:r>
      <w:r w:rsidR="00E66B89">
        <w:rPr>
          <w:rFonts w:cs="Calibri"/>
          <w:szCs w:val="20"/>
        </w:rPr>
        <w:t xml:space="preserve"> w </w:t>
      </w:r>
      <w:r w:rsidRPr="00404DA5">
        <w:rPr>
          <w:rFonts w:cs="Calibri"/>
          <w:szCs w:val="20"/>
        </w:rPr>
        <w:t>ramach PI 8b przeprowadzono sześć naborów wniosków</w:t>
      </w:r>
      <w:r w:rsidR="00E66B89">
        <w:rPr>
          <w:rFonts w:cs="Calibri"/>
          <w:szCs w:val="20"/>
        </w:rPr>
        <w:t xml:space="preserve"> o </w:t>
      </w:r>
      <w:r w:rsidRPr="00404DA5">
        <w:rPr>
          <w:rFonts w:cs="Calibri"/>
          <w:szCs w:val="20"/>
        </w:rPr>
        <w:t>dofinansowanie projektów</w:t>
      </w:r>
      <w:r w:rsidR="00E66B89">
        <w:rPr>
          <w:rFonts w:cs="Calibri"/>
          <w:szCs w:val="20"/>
        </w:rPr>
        <w:t xml:space="preserve"> w </w:t>
      </w:r>
      <w:r w:rsidRPr="00404DA5">
        <w:rPr>
          <w:rFonts w:cs="Calibri"/>
          <w:szCs w:val="20"/>
        </w:rPr>
        <w:t>wyniku, których podpisano 38 umów</w:t>
      </w:r>
      <w:r w:rsidR="00E66B89">
        <w:rPr>
          <w:rFonts w:cs="Calibri"/>
          <w:szCs w:val="20"/>
        </w:rPr>
        <w:t xml:space="preserve"> o </w:t>
      </w:r>
      <w:r w:rsidRPr="00404DA5">
        <w:rPr>
          <w:rFonts w:cs="Calibri"/>
          <w:szCs w:val="20"/>
        </w:rPr>
        <w:t>dofinansowanie projektów.</w:t>
      </w:r>
    </w:p>
    <w:p w14:paraId="51782B7A" w14:textId="77777777" w:rsidR="006F4D8F" w:rsidRPr="00404DA5" w:rsidRDefault="006F4D8F" w:rsidP="006F4D8F">
      <w:pPr>
        <w:rPr>
          <w:rFonts w:cs="Calibri"/>
          <w:szCs w:val="20"/>
        </w:rPr>
      </w:pPr>
      <w:r w:rsidRPr="00404DA5">
        <w:rPr>
          <w:rFonts w:cs="Calibri"/>
          <w:szCs w:val="20"/>
        </w:rPr>
        <w:t>Wartość projektów ogółem to 177 138 450,59 zł, wkład EU wynosi 88 230 615,01 zł, co stanowi 45,2% alokacji UE ogółem (z RW) na PI 8b Działanie 4.9, oraz 48% alokacji głównej (bez RW).</w:t>
      </w:r>
      <w:r>
        <w:rPr>
          <w:rFonts w:cs="Calibri"/>
          <w:szCs w:val="20"/>
        </w:rPr>
        <w:t xml:space="preserve"> Średni koszt jednostkowy wskaźnika </w:t>
      </w:r>
      <w:r w:rsidRPr="000E72A5">
        <w:rPr>
          <w:rFonts w:cs="Calibri"/>
          <w:i/>
          <w:szCs w:val="20"/>
        </w:rPr>
        <w:t>Liczba wspartych obiektów turystycznych</w:t>
      </w:r>
      <w:r w:rsidR="00E66B89">
        <w:rPr>
          <w:rFonts w:cs="Calibri"/>
          <w:i/>
          <w:szCs w:val="20"/>
        </w:rPr>
        <w:t xml:space="preserve"> i </w:t>
      </w:r>
      <w:r w:rsidRPr="000E72A5">
        <w:rPr>
          <w:rFonts w:cs="Calibri"/>
          <w:i/>
          <w:szCs w:val="20"/>
        </w:rPr>
        <w:t>rekreacyjnych</w:t>
      </w:r>
      <w:r w:rsidRPr="000E72A5">
        <w:rPr>
          <w:rFonts w:cs="Calibri"/>
          <w:szCs w:val="20"/>
        </w:rPr>
        <w:t xml:space="preserve"> </w:t>
      </w:r>
      <w:bookmarkStart w:id="135" w:name="_Hlk5290607"/>
      <w:r w:rsidRPr="000E72A5">
        <w:rPr>
          <w:rFonts w:cs="Calibri"/>
          <w:szCs w:val="20"/>
        </w:rPr>
        <w:t>we wszystkich dotychczasowych UoD realizujących ten wskaźnik</w:t>
      </w:r>
      <w:r>
        <w:rPr>
          <w:rFonts w:cs="Calibri"/>
          <w:szCs w:val="20"/>
        </w:rPr>
        <w:t xml:space="preserve">, </w:t>
      </w:r>
      <w:r w:rsidRPr="000E72A5">
        <w:rPr>
          <w:rFonts w:cs="Calibri"/>
          <w:szCs w:val="20"/>
        </w:rPr>
        <w:t xml:space="preserve">wg. stanu na 07.01.2019 r. </w:t>
      </w:r>
      <w:r>
        <w:rPr>
          <w:rFonts w:cs="Calibri"/>
          <w:szCs w:val="20"/>
        </w:rPr>
        <w:t>wynosi:</w:t>
      </w:r>
      <w:r w:rsidRPr="000E72A5">
        <w:rPr>
          <w:rFonts w:cs="Calibri"/>
          <w:szCs w:val="20"/>
        </w:rPr>
        <w:t xml:space="preserve"> </w:t>
      </w:r>
      <w:bookmarkEnd w:id="135"/>
      <w:r>
        <w:rPr>
          <w:rFonts w:cs="Calibri"/>
          <w:szCs w:val="20"/>
        </w:rPr>
        <w:t>2 053 800,23 zł</w:t>
      </w:r>
      <w:r w:rsidRPr="000E72A5">
        <w:rPr>
          <w:rFonts w:cs="Calibri"/>
          <w:szCs w:val="20"/>
        </w:rPr>
        <w:t xml:space="preserve"> /</w:t>
      </w:r>
      <w:r>
        <w:rPr>
          <w:rFonts w:cs="Calibri"/>
          <w:szCs w:val="20"/>
        </w:rPr>
        <w:t xml:space="preserve">sztuka/obiekt </w:t>
      </w:r>
      <w:r w:rsidR="001A41AF">
        <w:rPr>
          <w:rFonts w:cs="Calibri"/>
          <w:szCs w:val="20"/>
        </w:rPr>
        <w:t>(</w:t>
      </w:r>
      <w:r w:rsidRPr="000E72A5">
        <w:rPr>
          <w:rFonts w:cs="Calibri"/>
          <w:szCs w:val="20"/>
        </w:rPr>
        <w:t xml:space="preserve">prognozowany na kolejne lata koszt jednostkowy wskaźnika uwzględniający </w:t>
      </w:r>
      <w:r>
        <w:rPr>
          <w:rFonts w:cs="Calibri"/>
          <w:szCs w:val="20"/>
        </w:rPr>
        <w:t>wartość indeksu inflacji</w:t>
      </w:r>
      <w:r w:rsidRPr="000E72A5">
        <w:rPr>
          <w:rFonts w:cs="Calibri"/>
          <w:szCs w:val="20"/>
        </w:rPr>
        <w:t xml:space="preserve"> wynosi </w:t>
      </w:r>
      <w:r>
        <w:rPr>
          <w:rFonts w:cs="Calibri"/>
          <w:szCs w:val="20"/>
        </w:rPr>
        <w:t>2 123 013,30 zł/obiekt</w:t>
      </w:r>
      <w:r w:rsidR="001A41AF">
        <w:rPr>
          <w:rFonts w:cs="Calibri"/>
          <w:szCs w:val="20"/>
        </w:rPr>
        <w:t>)</w:t>
      </w:r>
      <w:r w:rsidRPr="000E72A5">
        <w:rPr>
          <w:rFonts w:cs="Calibri"/>
          <w:szCs w:val="20"/>
        </w:rPr>
        <w:t>.</w:t>
      </w:r>
      <w:r w:rsidR="00E66B89">
        <w:rPr>
          <w:rFonts w:cs="Calibri"/>
          <w:szCs w:val="20"/>
        </w:rPr>
        <w:t xml:space="preserve"> Z </w:t>
      </w:r>
      <w:r>
        <w:rPr>
          <w:rFonts w:cs="Calibri"/>
          <w:szCs w:val="20"/>
        </w:rPr>
        <w:t xml:space="preserve">kolei średni koszt jednostkowy wskaźnika </w:t>
      </w:r>
      <w:r w:rsidRPr="001F6A15">
        <w:rPr>
          <w:rFonts w:cs="Calibri"/>
          <w:i/>
          <w:szCs w:val="20"/>
        </w:rPr>
        <w:t>Długość szlaków turystycznych</w:t>
      </w:r>
      <w:r>
        <w:rPr>
          <w:rFonts w:cs="Calibri"/>
          <w:i/>
          <w:szCs w:val="20"/>
        </w:rPr>
        <w:t xml:space="preserve"> </w:t>
      </w:r>
      <w:r w:rsidRPr="001F6A15">
        <w:rPr>
          <w:rFonts w:cs="Calibri"/>
          <w:szCs w:val="20"/>
        </w:rPr>
        <w:t>we wszystkich dotychczasowych UoD realizujących ten wskaźnik wg. stanu na 07.01.2019 r., wynosi</w:t>
      </w:r>
      <w:r>
        <w:rPr>
          <w:rFonts w:cs="Calibri"/>
          <w:szCs w:val="20"/>
        </w:rPr>
        <w:t xml:space="preserve">: 144 834,53 zł/km </w:t>
      </w:r>
      <w:r w:rsidR="001A41AF">
        <w:rPr>
          <w:rFonts w:cs="Calibri"/>
          <w:szCs w:val="20"/>
        </w:rPr>
        <w:t>(</w:t>
      </w:r>
      <w:r w:rsidRPr="000E72A5">
        <w:rPr>
          <w:rFonts w:cs="Calibri"/>
          <w:szCs w:val="20"/>
        </w:rPr>
        <w:t xml:space="preserve">prognozowany na kolejne lata koszt jednostkowy wskaźnika uwzględniający </w:t>
      </w:r>
      <w:r>
        <w:rPr>
          <w:rFonts w:cs="Calibri"/>
          <w:szCs w:val="20"/>
        </w:rPr>
        <w:t>wartość indeksu inflacji</w:t>
      </w:r>
      <w:r w:rsidRPr="000E72A5">
        <w:rPr>
          <w:rFonts w:cs="Calibri"/>
          <w:szCs w:val="20"/>
        </w:rPr>
        <w:t xml:space="preserve"> wynosi </w:t>
      </w:r>
      <w:r>
        <w:rPr>
          <w:rFonts w:cs="Calibri"/>
          <w:szCs w:val="20"/>
        </w:rPr>
        <w:t>149 715,46 zł/km</w:t>
      </w:r>
      <w:r w:rsidR="001A41AF">
        <w:rPr>
          <w:rFonts w:cs="Calibri"/>
          <w:szCs w:val="20"/>
        </w:rPr>
        <w:t>)</w:t>
      </w:r>
      <w:r w:rsidR="001A41AF" w:rsidRPr="000E72A5">
        <w:rPr>
          <w:rFonts w:cs="Calibri"/>
          <w:szCs w:val="20"/>
        </w:rPr>
        <w:t>.</w:t>
      </w:r>
    </w:p>
    <w:p w14:paraId="0A28C4FC" w14:textId="77777777" w:rsidR="006F4D8F" w:rsidRPr="00404DA5" w:rsidRDefault="006F4D8F" w:rsidP="006F4D8F">
      <w:pPr>
        <w:rPr>
          <w:rFonts w:cs="Calibri"/>
          <w:szCs w:val="20"/>
        </w:rPr>
      </w:pPr>
      <w:r w:rsidRPr="00404DA5">
        <w:rPr>
          <w:rFonts w:cs="Calibri"/>
          <w:szCs w:val="20"/>
        </w:rPr>
        <w:t>Alokacja UE ogółem (z RW) pozostała / dostępna</w:t>
      </w:r>
      <w:r w:rsidR="00E66B89">
        <w:rPr>
          <w:rFonts w:cs="Calibri"/>
          <w:szCs w:val="20"/>
        </w:rPr>
        <w:t xml:space="preserve"> w </w:t>
      </w:r>
      <w:r w:rsidRPr="00404DA5">
        <w:rPr>
          <w:rFonts w:cs="Calibri"/>
          <w:szCs w:val="20"/>
        </w:rPr>
        <w:t>PI 8</w:t>
      </w:r>
      <w:r>
        <w:rPr>
          <w:rFonts w:cs="Calibri"/>
          <w:szCs w:val="20"/>
        </w:rPr>
        <w:t>b</w:t>
      </w:r>
      <w:r w:rsidRPr="00404DA5">
        <w:rPr>
          <w:rFonts w:cs="Calibri"/>
          <w:szCs w:val="20"/>
        </w:rPr>
        <w:t xml:space="preserve"> wynosi 107 123 583,10 zł. Pozostała / dostępna alokacja UE główna (bez RW) wynosi 95 531 988,00 zł.</w:t>
      </w:r>
    </w:p>
    <w:p w14:paraId="5919ACF8" w14:textId="00CC0AF8" w:rsidR="006F4D8F" w:rsidRPr="00404DA5" w:rsidRDefault="006F4D8F" w:rsidP="006F4D8F">
      <w:pPr>
        <w:rPr>
          <w:rFonts w:cs="Calibri"/>
          <w:szCs w:val="20"/>
        </w:rPr>
      </w:pPr>
      <w:r w:rsidRPr="00404DA5">
        <w:rPr>
          <w:rFonts w:cs="Calibri"/>
          <w:szCs w:val="20"/>
        </w:rPr>
        <w:t>Postęp rzeczowy</w:t>
      </w:r>
      <w:r w:rsidR="00E66B89">
        <w:rPr>
          <w:rFonts w:cs="Calibri"/>
          <w:szCs w:val="20"/>
        </w:rPr>
        <w:t xml:space="preserve"> w </w:t>
      </w:r>
      <w:r w:rsidRPr="00404DA5">
        <w:rPr>
          <w:rFonts w:cs="Calibri"/>
          <w:szCs w:val="20"/>
        </w:rPr>
        <w:t xml:space="preserve">ramach Pi 8b kształtuje się na </w:t>
      </w:r>
      <w:r w:rsidR="00720FE9">
        <w:rPr>
          <w:rFonts w:cs="Calibri"/>
          <w:szCs w:val="20"/>
        </w:rPr>
        <w:t>bardzo wysokim</w:t>
      </w:r>
      <w:r w:rsidR="00720FE9" w:rsidRPr="00404DA5">
        <w:rPr>
          <w:rFonts w:cs="Calibri"/>
          <w:szCs w:val="20"/>
        </w:rPr>
        <w:t xml:space="preserve"> </w:t>
      </w:r>
      <w:r w:rsidRPr="00404DA5">
        <w:rPr>
          <w:rFonts w:cs="Calibri"/>
          <w:szCs w:val="20"/>
        </w:rPr>
        <w:t xml:space="preserve">poziomie dla wskaźnika </w:t>
      </w:r>
      <w:r w:rsidRPr="00C22C26">
        <w:rPr>
          <w:i/>
        </w:rPr>
        <w:t>Liczba wspartych obiektów turystycznych</w:t>
      </w:r>
      <w:r w:rsidR="00E66B89">
        <w:rPr>
          <w:i/>
        </w:rPr>
        <w:t xml:space="preserve"> i </w:t>
      </w:r>
      <w:r w:rsidRPr="00C22C26">
        <w:rPr>
          <w:i/>
        </w:rPr>
        <w:t>rekreacyjnych</w:t>
      </w:r>
      <w:r w:rsidRPr="00404DA5">
        <w:rPr>
          <w:rFonts w:cs="Calibri"/>
          <w:szCs w:val="20"/>
        </w:rPr>
        <w:t>.</w:t>
      </w:r>
      <w:r w:rsidR="00E66B89">
        <w:rPr>
          <w:rFonts w:cs="Calibri"/>
          <w:szCs w:val="20"/>
        </w:rPr>
        <w:t xml:space="preserve"> W </w:t>
      </w:r>
      <w:r w:rsidRPr="00404DA5">
        <w:rPr>
          <w:rFonts w:cs="Calibri"/>
          <w:szCs w:val="20"/>
        </w:rPr>
        <w:t>przypadku wskazanego wskaźnika nadkontraktacja wynika ze zmniejszenia maksymalnego poziomu dofinansowania przy jednoczesnym utrzymaniu się wysokiego popytu na wsparcie.</w:t>
      </w:r>
    </w:p>
    <w:p w14:paraId="490D937D" w14:textId="77777777" w:rsidR="006F4D8F" w:rsidRPr="001F11BC" w:rsidRDefault="006F4D8F" w:rsidP="006F4D8F">
      <w:pPr>
        <w:pStyle w:val="Nagwek4"/>
        <w:numPr>
          <w:ilvl w:val="0"/>
          <w:numId w:val="0"/>
        </w:numPr>
        <w:spacing w:before="120"/>
        <w:rPr>
          <w:rFonts w:ascii="Lato" w:eastAsia="Calibri" w:hAnsi="Lato"/>
          <w:szCs w:val="20"/>
        </w:rPr>
      </w:pPr>
      <w:r w:rsidRPr="001F11BC">
        <w:rPr>
          <w:rFonts w:ascii="Lato" w:eastAsia="Calibri" w:hAnsi="Lato"/>
          <w:szCs w:val="20"/>
        </w:rPr>
        <w:t xml:space="preserve">Ocena potencjału absorpcyjnego </w:t>
      </w:r>
    </w:p>
    <w:p w14:paraId="28E003BE" w14:textId="77777777" w:rsidR="006F4D8F" w:rsidRDefault="006F4D8F" w:rsidP="006F4D8F">
      <w:pPr>
        <w:rPr>
          <w:rFonts w:cs="Calibri"/>
          <w:szCs w:val="20"/>
        </w:rPr>
      </w:pPr>
      <w:r w:rsidRPr="00177828">
        <w:rPr>
          <w:rFonts w:cs="Calibri"/>
          <w:szCs w:val="20"/>
        </w:rPr>
        <w:t>W obszarze interwencji rozpoznaje się</w:t>
      </w:r>
      <w:r>
        <w:rPr>
          <w:rFonts w:cs="Calibri"/>
          <w:szCs w:val="20"/>
        </w:rPr>
        <w:t xml:space="preserve"> wysoki</w:t>
      </w:r>
      <w:r w:rsidRPr="00177828">
        <w:rPr>
          <w:rFonts w:cs="Calibri"/>
          <w:szCs w:val="20"/>
        </w:rPr>
        <w:t xml:space="preserve"> potencjał</w:t>
      </w:r>
      <w:r w:rsidR="00E66B89">
        <w:rPr>
          <w:rFonts w:cs="Calibri"/>
          <w:szCs w:val="20"/>
        </w:rPr>
        <w:t xml:space="preserve"> w </w:t>
      </w:r>
      <w:r w:rsidRPr="00177828">
        <w:rPr>
          <w:rFonts w:cs="Calibri"/>
          <w:szCs w:val="20"/>
        </w:rPr>
        <w:t>zakresie dalszej absorpcji środków</w:t>
      </w:r>
      <w:r>
        <w:rPr>
          <w:rFonts w:cs="Calibri"/>
          <w:szCs w:val="20"/>
        </w:rPr>
        <w:t xml:space="preserve">. </w:t>
      </w:r>
    </w:p>
    <w:p w14:paraId="34FC67FE" w14:textId="77777777" w:rsidR="006F4D8F" w:rsidRPr="00871873" w:rsidRDefault="006F4D8F" w:rsidP="006F4D8F">
      <w:pPr>
        <w:rPr>
          <w:rFonts w:cs="Calibri"/>
          <w:szCs w:val="20"/>
        </w:rPr>
      </w:pPr>
      <w:r>
        <w:t>Przeprowadzone</w:t>
      </w:r>
      <w:r w:rsidR="00E66B89">
        <w:t xml:space="preserve"> w </w:t>
      </w:r>
      <w:r>
        <w:t>ramach ewaluacji b</w:t>
      </w:r>
      <w:r w:rsidRPr="00BB0998">
        <w:rPr>
          <w:rFonts w:cs="Calibri"/>
          <w:szCs w:val="20"/>
        </w:rPr>
        <w:t xml:space="preserve">adanie </w:t>
      </w:r>
      <w:r>
        <w:rPr>
          <w:rFonts w:cs="Calibri"/>
          <w:szCs w:val="20"/>
        </w:rPr>
        <w:t>ilościowe (</w:t>
      </w:r>
      <w:r w:rsidRPr="00BB0998">
        <w:rPr>
          <w:rFonts w:cs="Calibri"/>
          <w:szCs w:val="20"/>
        </w:rPr>
        <w:t>CAWI</w:t>
      </w:r>
      <w:r>
        <w:rPr>
          <w:rFonts w:cs="Calibri"/>
          <w:szCs w:val="20"/>
        </w:rPr>
        <w:t>)</w:t>
      </w:r>
      <w:r w:rsidR="00E66B89">
        <w:rPr>
          <w:rFonts w:cs="Calibri"/>
          <w:szCs w:val="20"/>
        </w:rPr>
        <w:t xml:space="preserve"> z </w:t>
      </w:r>
      <w:r>
        <w:rPr>
          <w:rFonts w:cs="Calibri"/>
          <w:szCs w:val="20"/>
        </w:rPr>
        <w:t>B</w:t>
      </w:r>
      <w:r w:rsidRPr="00BB0998">
        <w:rPr>
          <w:rFonts w:cs="Calibri"/>
          <w:szCs w:val="20"/>
        </w:rPr>
        <w:t xml:space="preserve">eneficjentami </w:t>
      </w:r>
      <w:r>
        <w:rPr>
          <w:rFonts w:cs="Calibri"/>
          <w:szCs w:val="20"/>
        </w:rPr>
        <w:t xml:space="preserve">Działania 4.9 </w:t>
      </w:r>
      <w:r w:rsidRPr="00BB0998">
        <w:rPr>
          <w:rFonts w:cs="Calibri"/>
          <w:szCs w:val="20"/>
        </w:rPr>
        <w:t>pokazuje, że planuj</w:t>
      </w:r>
      <w:r>
        <w:rPr>
          <w:rFonts w:cs="Calibri"/>
          <w:szCs w:val="20"/>
        </w:rPr>
        <w:t>ą</w:t>
      </w:r>
      <w:r w:rsidRPr="00BB0998">
        <w:rPr>
          <w:rFonts w:cs="Calibri"/>
          <w:szCs w:val="20"/>
        </w:rPr>
        <w:t xml:space="preserve"> </w:t>
      </w:r>
      <w:r>
        <w:rPr>
          <w:rFonts w:cs="Calibri"/>
          <w:szCs w:val="20"/>
        </w:rPr>
        <w:t xml:space="preserve">oni </w:t>
      </w:r>
      <w:r w:rsidRPr="00BB0998">
        <w:rPr>
          <w:rFonts w:cs="Calibri"/>
          <w:szCs w:val="20"/>
        </w:rPr>
        <w:t>ponownie ubiegać się</w:t>
      </w:r>
      <w:r w:rsidR="00E66B89">
        <w:rPr>
          <w:rFonts w:cs="Calibri"/>
          <w:szCs w:val="20"/>
        </w:rPr>
        <w:t xml:space="preserve"> o </w:t>
      </w:r>
      <w:r w:rsidRPr="00871873">
        <w:rPr>
          <w:rFonts w:cs="Calibri"/>
          <w:szCs w:val="20"/>
        </w:rPr>
        <w:t>dofinansowan</w:t>
      </w:r>
      <w:r>
        <w:rPr>
          <w:rFonts w:cs="Calibri"/>
          <w:szCs w:val="20"/>
        </w:rPr>
        <w:t>ie</w:t>
      </w:r>
      <w:r w:rsidRPr="00871873">
        <w:rPr>
          <w:rFonts w:cs="Calibri"/>
          <w:szCs w:val="20"/>
        </w:rPr>
        <w:t xml:space="preserve"> projekt</w:t>
      </w:r>
      <w:r>
        <w:rPr>
          <w:rFonts w:cs="Calibri"/>
          <w:szCs w:val="20"/>
        </w:rPr>
        <w:t>ów</w:t>
      </w:r>
      <w:r w:rsidR="00E66B89">
        <w:rPr>
          <w:rFonts w:cs="Calibri"/>
          <w:szCs w:val="20"/>
        </w:rPr>
        <w:t xml:space="preserve"> z </w:t>
      </w:r>
      <w:r w:rsidRPr="00871873">
        <w:rPr>
          <w:rFonts w:cs="Calibri"/>
          <w:szCs w:val="20"/>
        </w:rPr>
        <w:t>zakresu infrastruktury turystyki aktywnej</w:t>
      </w:r>
      <w:r w:rsidR="00E66B89">
        <w:rPr>
          <w:rFonts w:cs="Calibri"/>
          <w:szCs w:val="20"/>
        </w:rPr>
        <w:t xml:space="preserve"> i </w:t>
      </w:r>
      <w:r w:rsidRPr="00871873">
        <w:rPr>
          <w:rFonts w:cs="Calibri"/>
          <w:szCs w:val="20"/>
        </w:rPr>
        <w:t>uzdrowiskowej</w:t>
      </w:r>
      <w:r>
        <w:rPr>
          <w:rFonts w:cs="Calibri"/>
          <w:szCs w:val="20"/>
        </w:rPr>
        <w:t xml:space="preserve"> (gdyby ogłoszono nabór wniosków</w:t>
      </w:r>
      <w:r w:rsidR="00E66B89">
        <w:rPr>
          <w:rFonts w:cs="Calibri"/>
          <w:szCs w:val="20"/>
        </w:rPr>
        <w:t xml:space="preserve"> o </w:t>
      </w:r>
      <w:r>
        <w:rPr>
          <w:rFonts w:cs="Calibri"/>
          <w:szCs w:val="20"/>
        </w:rPr>
        <w:t>dofinansowanie projektów). Podobne deklaracje składają potencjalni wnioskodawcy.</w:t>
      </w:r>
      <w:r w:rsidRPr="00871873">
        <w:rPr>
          <w:rStyle w:val="Odwoaniedokomentarza"/>
          <w:rFonts w:cs="Calibri"/>
          <w:szCs w:val="20"/>
        </w:rPr>
        <w:t xml:space="preserve"> </w:t>
      </w:r>
    </w:p>
    <w:p w14:paraId="522E3830" w14:textId="77777777" w:rsidR="006F4D8F" w:rsidRDefault="006F4D8F" w:rsidP="006F4D8F">
      <w:pPr>
        <w:rPr>
          <w:rFonts w:eastAsia="Arial"/>
          <w:szCs w:val="20"/>
        </w:rPr>
      </w:pPr>
      <w:r w:rsidRPr="00871873">
        <w:rPr>
          <w:rFonts w:cs="Calibri"/>
          <w:szCs w:val="20"/>
        </w:rPr>
        <w:t>Warto zaznaczyć, że wśród c</w:t>
      </w:r>
      <w:r w:rsidRPr="00871873">
        <w:rPr>
          <w:rFonts w:eastAsia="Arial" w:cs="Calibri"/>
          <w:szCs w:val="20"/>
        </w:rPr>
        <w:t>zynników zewnętrznych mogących sprzyjać zainteresowaniu przedsięwzięciami nakierowanymi na wykorzystanie zasobów endogenicznych regionu należy wymienić zauważalny przyrost</w:t>
      </w:r>
      <w:r w:rsidR="00E66B89">
        <w:rPr>
          <w:rFonts w:eastAsia="Arial" w:cs="Calibri"/>
          <w:szCs w:val="20"/>
        </w:rPr>
        <w:t xml:space="preserve"> w </w:t>
      </w:r>
      <w:r w:rsidRPr="00871873">
        <w:rPr>
          <w:rFonts w:eastAsia="Arial" w:cs="Calibri"/>
          <w:szCs w:val="20"/>
        </w:rPr>
        <w:t>ostatniej dekadzie obszar</w:t>
      </w:r>
      <w:r w:rsidRPr="00C539DB">
        <w:rPr>
          <w:rFonts w:eastAsia="Arial"/>
          <w:szCs w:val="20"/>
        </w:rPr>
        <w:t>ów prawnie chronionych, co może być postrzegane jako</w:t>
      </w:r>
      <w:r w:rsidRPr="00C539DB">
        <w:rPr>
          <w:szCs w:val="20"/>
        </w:rPr>
        <w:t xml:space="preserve"> </w:t>
      </w:r>
      <w:r w:rsidRPr="00C539DB">
        <w:rPr>
          <w:rFonts w:eastAsia="Arial"/>
          <w:szCs w:val="20"/>
        </w:rPr>
        <w:t>szansa na wykorzystanie tego potencjału dla rozwoju turystyki.</w:t>
      </w:r>
    </w:p>
    <w:p w14:paraId="522E7D20" w14:textId="77777777" w:rsidR="006F4D8F" w:rsidRPr="00C539DB" w:rsidRDefault="006F4D8F" w:rsidP="006F4D8F">
      <w:pPr>
        <w:rPr>
          <w:rFonts w:eastAsia="Arial"/>
          <w:szCs w:val="20"/>
        </w:rPr>
      </w:pPr>
      <w:r>
        <w:rPr>
          <w:rFonts w:eastAsia="Arial"/>
          <w:szCs w:val="20"/>
        </w:rPr>
        <w:t xml:space="preserve">Ponadto, ponownie warto zwrócić uwagę na poziom realizacji celów pośrednich wyrażonych wskaźnikiem </w:t>
      </w:r>
      <w:r w:rsidRPr="00C22C26">
        <w:rPr>
          <w:rFonts w:eastAsia="Arial"/>
          <w:i/>
          <w:szCs w:val="20"/>
        </w:rPr>
        <w:t>Liczba wspartych obiektów turystycznych</w:t>
      </w:r>
      <w:r w:rsidR="00E66B89">
        <w:rPr>
          <w:rFonts w:eastAsia="Arial"/>
          <w:i/>
          <w:szCs w:val="20"/>
        </w:rPr>
        <w:t xml:space="preserve"> i </w:t>
      </w:r>
      <w:r w:rsidRPr="00C22C26">
        <w:rPr>
          <w:rFonts w:eastAsia="Arial"/>
          <w:i/>
          <w:szCs w:val="20"/>
        </w:rPr>
        <w:t>rekreacyjnych</w:t>
      </w:r>
      <w:r>
        <w:rPr>
          <w:rFonts w:eastAsia="Arial"/>
          <w:i/>
          <w:szCs w:val="20"/>
        </w:rPr>
        <w:t xml:space="preserve">. </w:t>
      </w:r>
      <w:r w:rsidRPr="00E579AA">
        <w:rPr>
          <w:rFonts w:eastAsia="Arial"/>
          <w:szCs w:val="20"/>
        </w:rPr>
        <w:t>Ponad dwukrotne przekroczenie wartość pośredniej wskaźnika</w:t>
      </w:r>
      <w:r w:rsidR="00E66B89">
        <w:rPr>
          <w:rFonts w:eastAsia="Arial"/>
          <w:szCs w:val="20"/>
        </w:rPr>
        <w:t xml:space="preserve"> i </w:t>
      </w:r>
      <w:r w:rsidRPr="00E579AA">
        <w:rPr>
          <w:rFonts w:eastAsia="Arial"/>
          <w:szCs w:val="20"/>
        </w:rPr>
        <w:t xml:space="preserve">prognozowane (wg UoD) </w:t>
      </w:r>
      <w:r>
        <w:rPr>
          <w:rFonts w:eastAsia="Arial"/>
          <w:szCs w:val="20"/>
        </w:rPr>
        <w:t xml:space="preserve">ponad dwukrotne </w:t>
      </w:r>
      <w:r w:rsidRPr="00E579AA">
        <w:rPr>
          <w:rFonts w:eastAsia="Arial"/>
          <w:szCs w:val="20"/>
        </w:rPr>
        <w:t>przekroczenie wartości końcowej</w:t>
      </w:r>
      <w:r>
        <w:rPr>
          <w:rFonts w:eastAsia="Arial"/>
          <w:szCs w:val="20"/>
        </w:rPr>
        <w:t xml:space="preserve"> wskaźnika</w:t>
      </w:r>
      <w:r w:rsidRPr="00E579AA">
        <w:rPr>
          <w:rFonts w:eastAsia="Arial"/>
          <w:szCs w:val="20"/>
        </w:rPr>
        <w:t xml:space="preserve"> (na 2023 rok) należy traktować jako istotną zmienną pozwalającą wnioskować</w:t>
      </w:r>
      <w:r w:rsidR="00E66B89">
        <w:rPr>
          <w:rFonts w:eastAsia="Arial"/>
          <w:szCs w:val="20"/>
        </w:rPr>
        <w:t xml:space="preserve"> o </w:t>
      </w:r>
      <w:r w:rsidRPr="00E579AA">
        <w:rPr>
          <w:rFonts w:eastAsia="Arial"/>
          <w:szCs w:val="20"/>
        </w:rPr>
        <w:t xml:space="preserve">występowaniu dużego potencjału absorpcyjnego oraz wysokiej zgodności </w:t>
      </w:r>
      <w:r>
        <w:rPr>
          <w:rFonts w:eastAsia="Arial"/>
          <w:szCs w:val="20"/>
        </w:rPr>
        <w:t>interwencji</w:t>
      </w:r>
      <w:r w:rsidR="00E66B89">
        <w:rPr>
          <w:rFonts w:eastAsia="Arial"/>
          <w:szCs w:val="20"/>
        </w:rPr>
        <w:t xml:space="preserve"> z </w:t>
      </w:r>
      <w:r w:rsidRPr="00E579AA">
        <w:rPr>
          <w:rFonts w:eastAsia="Arial"/>
          <w:szCs w:val="20"/>
        </w:rPr>
        <w:t>potrzebami w</w:t>
      </w:r>
      <w:r>
        <w:rPr>
          <w:rFonts w:eastAsia="Arial"/>
          <w:szCs w:val="20"/>
        </w:rPr>
        <w:t>ystępującymi</w:t>
      </w:r>
      <w:r w:rsidR="00E66B89">
        <w:rPr>
          <w:rFonts w:eastAsia="Arial"/>
          <w:szCs w:val="20"/>
        </w:rPr>
        <w:t xml:space="preserve"> w </w:t>
      </w:r>
      <w:r w:rsidRPr="00E579AA">
        <w:rPr>
          <w:rFonts w:eastAsia="Arial"/>
          <w:szCs w:val="20"/>
        </w:rPr>
        <w:t>regionie.</w:t>
      </w:r>
    </w:p>
    <w:p w14:paraId="5C831FD9" w14:textId="77777777" w:rsidR="006F4D8F" w:rsidRDefault="006F4D8F" w:rsidP="0093717A">
      <w:pPr>
        <w:pStyle w:val="Legenda"/>
        <w:spacing w:after="0"/>
      </w:pPr>
      <w:bookmarkStart w:id="136" w:name="_Toc8824176"/>
      <w:r>
        <w:t xml:space="preserve">Tabela </w:t>
      </w:r>
      <w:r>
        <w:fldChar w:fldCharType="begin"/>
      </w:r>
      <w:r>
        <w:instrText xml:space="preserve"> SEQ Tabela \* ARABIC </w:instrText>
      </w:r>
      <w:r>
        <w:fldChar w:fldCharType="separate"/>
      </w:r>
      <w:r w:rsidR="00763345">
        <w:rPr>
          <w:noProof/>
        </w:rPr>
        <w:t>65</w:t>
      </w:r>
      <w:r>
        <w:fldChar w:fldCharType="end"/>
      </w:r>
      <w:r>
        <w:t xml:space="preserve"> </w:t>
      </w:r>
      <w:r w:rsidRPr="00E579AA">
        <w:t>Obszary prawnie chronione ogółem [ha]</w:t>
      </w:r>
      <w:r>
        <w:t>; województwa</w:t>
      </w:r>
      <w:r w:rsidR="00E66B89">
        <w:t xml:space="preserve"> i </w:t>
      </w:r>
      <w:r>
        <w:t>Polska</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594"/>
        <w:gridCol w:w="594"/>
        <w:gridCol w:w="594"/>
        <w:gridCol w:w="594"/>
        <w:gridCol w:w="594"/>
        <w:gridCol w:w="594"/>
        <w:gridCol w:w="594"/>
        <w:gridCol w:w="594"/>
        <w:gridCol w:w="639"/>
        <w:gridCol w:w="639"/>
        <w:gridCol w:w="639"/>
        <w:gridCol w:w="639"/>
        <w:gridCol w:w="639"/>
      </w:tblGrid>
      <w:tr w:rsidR="006F4D8F" w:rsidRPr="0030445A" w14:paraId="4801B9F1" w14:textId="77777777" w:rsidTr="00C22C26">
        <w:trPr>
          <w:trHeight w:val="300"/>
          <w:tblHeader/>
        </w:trPr>
        <w:tc>
          <w:tcPr>
            <w:tcW w:w="5000" w:type="pct"/>
            <w:gridSpan w:val="14"/>
            <w:shd w:val="clear" w:color="auto" w:fill="DBE5F1"/>
            <w:noWrap/>
            <w:hideMark/>
          </w:tcPr>
          <w:p w14:paraId="2D699EE6" w14:textId="77777777" w:rsidR="006F4D8F" w:rsidRPr="0030445A" w:rsidRDefault="006F4D8F" w:rsidP="006F4D8F">
            <w:pPr>
              <w:spacing w:before="0" w:line="240" w:lineRule="auto"/>
              <w:jc w:val="left"/>
              <w:rPr>
                <w:b/>
                <w:color w:val="000000"/>
                <w:sz w:val="14"/>
                <w:szCs w:val="14"/>
              </w:rPr>
            </w:pPr>
            <w:r w:rsidRPr="00E579AA">
              <w:rPr>
                <w:b/>
                <w:color w:val="000000"/>
                <w:sz w:val="18"/>
                <w:szCs w:val="14"/>
              </w:rPr>
              <w:t>Obszary prawnie chronione ogółem [ha]</w:t>
            </w:r>
          </w:p>
        </w:tc>
      </w:tr>
      <w:tr w:rsidR="006F4D8F" w:rsidRPr="0030445A" w14:paraId="4983FF14" w14:textId="77777777" w:rsidTr="00C22C26">
        <w:tblPrEx>
          <w:tblCellMar>
            <w:left w:w="70" w:type="dxa"/>
            <w:right w:w="70" w:type="dxa"/>
          </w:tblCellMar>
        </w:tblPrEx>
        <w:trPr>
          <w:trHeight w:val="300"/>
          <w:tblHeader/>
        </w:trPr>
        <w:tc>
          <w:tcPr>
            <w:tcW w:w="615" w:type="pct"/>
            <w:shd w:val="clear" w:color="auto" w:fill="auto"/>
            <w:noWrap/>
            <w:vAlign w:val="bottom"/>
          </w:tcPr>
          <w:p w14:paraId="05472AF8"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Rok</w:t>
            </w:r>
          </w:p>
        </w:tc>
        <w:tc>
          <w:tcPr>
            <w:tcW w:w="328" w:type="pct"/>
            <w:shd w:val="clear" w:color="auto" w:fill="auto"/>
            <w:noWrap/>
            <w:vAlign w:val="bottom"/>
          </w:tcPr>
          <w:p w14:paraId="16482C76"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2005</w:t>
            </w:r>
          </w:p>
        </w:tc>
        <w:tc>
          <w:tcPr>
            <w:tcW w:w="328" w:type="pct"/>
            <w:shd w:val="clear" w:color="auto" w:fill="auto"/>
            <w:noWrap/>
            <w:vAlign w:val="bottom"/>
          </w:tcPr>
          <w:p w14:paraId="69DE5F77"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2006</w:t>
            </w:r>
          </w:p>
        </w:tc>
        <w:tc>
          <w:tcPr>
            <w:tcW w:w="328" w:type="pct"/>
            <w:shd w:val="clear" w:color="auto" w:fill="auto"/>
            <w:noWrap/>
            <w:vAlign w:val="bottom"/>
          </w:tcPr>
          <w:p w14:paraId="130145B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2007</w:t>
            </w:r>
          </w:p>
        </w:tc>
        <w:tc>
          <w:tcPr>
            <w:tcW w:w="328" w:type="pct"/>
            <w:shd w:val="clear" w:color="auto" w:fill="auto"/>
            <w:noWrap/>
            <w:vAlign w:val="bottom"/>
          </w:tcPr>
          <w:p w14:paraId="32DBCC5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2008</w:t>
            </w:r>
          </w:p>
        </w:tc>
        <w:tc>
          <w:tcPr>
            <w:tcW w:w="328" w:type="pct"/>
            <w:shd w:val="clear" w:color="auto" w:fill="auto"/>
            <w:noWrap/>
            <w:vAlign w:val="bottom"/>
          </w:tcPr>
          <w:p w14:paraId="353A865D"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2009</w:t>
            </w:r>
          </w:p>
        </w:tc>
        <w:tc>
          <w:tcPr>
            <w:tcW w:w="328" w:type="pct"/>
            <w:shd w:val="clear" w:color="auto" w:fill="auto"/>
            <w:noWrap/>
            <w:vAlign w:val="bottom"/>
          </w:tcPr>
          <w:p w14:paraId="21415B1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2010</w:t>
            </w:r>
          </w:p>
        </w:tc>
        <w:tc>
          <w:tcPr>
            <w:tcW w:w="328" w:type="pct"/>
            <w:shd w:val="clear" w:color="auto" w:fill="auto"/>
            <w:noWrap/>
            <w:vAlign w:val="bottom"/>
          </w:tcPr>
          <w:p w14:paraId="634FD811"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2011</w:t>
            </w:r>
          </w:p>
        </w:tc>
        <w:tc>
          <w:tcPr>
            <w:tcW w:w="328" w:type="pct"/>
            <w:shd w:val="clear" w:color="auto" w:fill="auto"/>
            <w:noWrap/>
            <w:vAlign w:val="bottom"/>
          </w:tcPr>
          <w:p w14:paraId="09210129"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2012</w:t>
            </w:r>
          </w:p>
        </w:tc>
        <w:tc>
          <w:tcPr>
            <w:tcW w:w="353" w:type="pct"/>
            <w:shd w:val="clear" w:color="auto" w:fill="auto"/>
            <w:noWrap/>
            <w:vAlign w:val="bottom"/>
          </w:tcPr>
          <w:p w14:paraId="52363478"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2013</w:t>
            </w:r>
          </w:p>
        </w:tc>
        <w:tc>
          <w:tcPr>
            <w:tcW w:w="353" w:type="pct"/>
            <w:shd w:val="clear" w:color="auto" w:fill="auto"/>
            <w:noWrap/>
            <w:vAlign w:val="bottom"/>
          </w:tcPr>
          <w:p w14:paraId="0487D0BD"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2014</w:t>
            </w:r>
          </w:p>
        </w:tc>
        <w:tc>
          <w:tcPr>
            <w:tcW w:w="353" w:type="pct"/>
            <w:shd w:val="clear" w:color="auto" w:fill="auto"/>
            <w:noWrap/>
            <w:vAlign w:val="bottom"/>
          </w:tcPr>
          <w:p w14:paraId="695FA0C6"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2015</w:t>
            </w:r>
          </w:p>
        </w:tc>
        <w:tc>
          <w:tcPr>
            <w:tcW w:w="353" w:type="pct"/>
            <w:shd w:val="clear" w:color="auto" w:fill="auto"/>
            <w:noWrap/>
            <w:vAlign w:val="bottom"/>
          </w:tcPr>
          <w:p w14:paraId="14A7BC06"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2016</w:t>
            </w:r>
          </w:p>
        </w:tc>
        <w:tc>
          <w:tcPr>
            <w:tcW w:w="353" w:type="pct"/>
            <w:shd w:val="clear" w:color="auto" w:fill="auto"/>
            <w:noWrap/>
            <w:vAlign w:val="bottom"/>
          </w:tcPr>
          <w:p w14:paraId="01E501D5"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2017</w:t>
            </w:r>
          </w:p>
        </w:tc>
      </w:tr>
      <w:tr w:rsidR="006F4D8F" w:rsidRPr="0030445A" w14:paraId="5E397428" w14:textId="77777777" w:rsidTr="006F4D8F">
        <w:tblPrEx>
          <w:tblCellMar>
            <w:left w:w="70" w:type="dxa"/>
            <w:right w:w="70" w:type="dxa"/>
          </w:tblCellMar>
        </w:tblPrEx>
        <w:trPr>
          <w:trHeight w:val="300"/>
        </w:trPr>
        <w:tc>
          <w:tcPr>
            <w:tcW w:w="615" w:type="pct"/>
            <w:shd w:val="clear" w:color="auto" w:fill="auto"/>
            <w:noWrap/>
            <w:vAlign w:val="bottom"/>
          </w:tcPr>
          <w:p w14:paraId="67DD6CAB" w14:textId="77777777" w:rsidR="006F4D8F" w:rsidRPr="0030445A" w:rsidRDefault="006F4D8F" w:rsidP="006F4D8F">
            <w:pPr>
              <w:spacing w:before="0" w:line="240" w:lineRule="auto"/>
              <w:jc w:val="left"/>
              <w:rPr>
                <w:color w:val="000000"/>
                <w:sz w:val="14"/>
                <w:szCs w:val="14"/>
              </w:rPr>
            </w:pPr>
            <w:r w:rsidRPr="0030445A">
              <w:rPr>
                <w:color w:val="000000"/>
                <w:sz w:val="14"/>
                <w:szCs w:val="14"/>
              </w:rPr>
              <w:t>POLSKA</w:t>
            </w:r>
          </w:p>
        </w:tc>
        <w:tc>
          <w:tcPr>
            <w:tcW w:w="328" w:type="pct"/>
            <w:shd w:val="clear" w:color="auto" w:fill="auto"/>
            <w:noWrap/>
            <w:vAlign w:val="bottom"/>
          </w:tcPr>
          <w:p w14:paraId="349EDB20"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10 175 896,7</w:t>
            </w:r>
          </w:p>
        </w:tc>
        <w:tc>
          <w:tcPr>
            <w:tcW w:w="328" w:type="pct"/>
            <w:shd w:val="clear" w:color="auto" w:fill="auto"/>
            <w:noWrap/>
            <w:vAlign w:val="bottom"/>
          </w:tcPr>
          <w:p w14:paraId="4D492FE5"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10 042 300,8</w:t>
            </w:r>
          </w:p>
        </w:tc>
        <w:tc>
          <w:tcPr>
            <w:tcW w:w="328" w:type="pct"/>
            <w:shd w:val="clear" w:color="auto" w:fill="auto"/>
            <w:noWrap/>
            <w:vAlign w:val="bottom"/>
          </w:tcPr>
          <w:p w14:paraId="0BBF32CB"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10 101 478,6</w:t>
            </w:r>
          </w:p>
        </w:tc>
        <w:tc>
          <w:tcPr>
            <w:tcW w:w="328" w:type="pct"/>
            <w:shd w:val="clear" w:color="auto" w:fill="auto"/>
            <w:noWrap/>
            <w:vAlign w:val="bottom"/>
          </w:tcPr>
          <w:p w14:paraId="410C5DFA"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10 101 985,7</w:t>
            </w:r>
          </w:p>
        </w:tc>
        <w:tc>
          <w:tcPr>
            <w:tcW w:w="328" w:type="pct"/>
            <w:shd w:val="clear" w:color="auto" w:fill="auto"/>
            <w:noWrap/>
            <w:vAlign w:val="bottom"/>
          </w:tcPr>
          <w:p w14:paraId="127E1D8F"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10 103 727,1</w:t>
            </w:r>
          </w:p>
        </w:tc>
        <w:tc>
          <w:tcPr>
            <w:tcW w:w="328" w:type="pct"/>
            <w:shd w:val="clear" w:color="auto" w:fill="auto"/>
            <w:noWrap/>
            <w:vAlign w:val="bottom"/>
          </w:tcPr>
          <w:p w14:paraId="0B40B358"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10 140 718,5</w:t>
            </w:r>
          </w:p>
        </w:tc>
        <w:tc>
          <w:tcPr>
            <w:tcW w:w="328" w:type="pct"/>
            <w:shd w:val="clear" w:color="auto" w:fill="auto"/>
            <w:noWrap/>
            <w:vAlign w:val="bottom"/>
          </w:tcPr>
          <w:p w14:paraId="4C2CF9E1"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10 146 264,1</w:t>
            </w:r>
          </w:p>
        </w:tc>
        <w:tc>
          <w:tcPr>
            <w:tcW w:w="328" w:type="pct"/>
            <w:shd w:val="clear" w:color="auto" w:fill="auto"/>
            <w:noWrap/>
            <w:vAlign w:val="bottom"/>
          </w:tcPr>
          <w:p w14:paraId="747B0E71"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10 147 099,9</w:t>
            </w:r>
          </w:p>
        </w:tc>
        <w:tc>
          <w:tcPr>
            <w:tcW w:w="353" w:type="pct"/>
            <w:shd w:val="clear" w:color="auto" w:fill="auto"/>
            <w:noWrap/>
            <w:vAlign w:val="bottom"/>
          </w:tcPr>
          <w:p w14:paraId="2FE5FFDC"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10 164 813,60</w:t>
            </w:r>
          </w:p>
        </w:tc>
        <w:tc>
          <w:tcPr>
            <w:tcW w:w="353" w:type="pct"/>
            <w:shd w:val="clear" w:color="auto" w:fill="auto"/>
            <w:noWrap/>
            <w:vAlign w:val="bottom"/>
          </w:tcPr>
          <w:p w14:paraId="259569AC"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10 165 112,01</w:t>
            </w:r>
          </w:p>
        </w:tc>
        <w:tc>
          <w:tcPr>
            <w:tcW w:w="353" w:type="pct"/>
            <w:shd w:val="clear" w:color="auto" w:fill="auto"/>
            <w:noWrap/>
            <w:vAlign w:val="bottom"/>
          </w:tcPr>
          <w:p w14:paraId="7003C1A6"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10 175 972,90</w:t>
            </w:r>
          </w:p>
        </w:tc>
        <w:tc>
          <w:tcPr>
            <w:tcW w:w="353" w:type="pct"/>
            <w:shd w:val="clear" w:color="auto" w:fill="auto"/>
            <w:noWrap/>
            <w:vAlign w:val="bottom"/>
          </w:tcPr>
          <w:p w14:paraId="5B28F929"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10 167 023,66</w:t>
            </w:r>
          </w:p>
        </w:tc>
        <w:tc>
          <w:tcPr>
            <w:tcW w:w="353" w:type="pct"/>
            <w:shd w:val="clear" w:color="auto" w:fill="auto"/>
            <w:noWrap/>
            <w:vAlign w:val="bottom"/>
          </w:tcPr>
          <w:p w14:paraId="4DEB7D79" w14:textId="77777777" w:rsidR="006F4D8F" w:rsidRPr="0030445A" w:rsidRDefault="006F4D8F" w:rsidP="006F4D8F">
            <w:pPr>
              <w:spacing w:before="0" w:line="240" w:lineRule="auto"/>
              <w:jc w:val="left"/>
              <w:rPr>
                <w:color w:val="000000"/>
                <w:sz w:val="14"/>
                <w:szCs w:val="14"/>
              </w:rPr>
            </w:pPr>
            <w:r w:rsidRPr="0030445A">
              <w:rPr>
                <w:color w:val="000000"/>
                <w:sz w:val="14"/>
                <w:szCs w:val="14"/>
              </w:rPr>
              <w:t>10 175 600,82</w:t>
            </w:r>
          </w:p>
        </w:tc>
      </w:tr>
      <w:tr w:rsidR="006F4D8F" w:rsidRPr="0030445A" w14:paraId="53564AAB" w14:textId="77777777" w:rsidTr="006F4D8F">
        <w:tblPrEx>
          <w:tblCellMar>
            <w:left w:w="70" w:type="dxa"/>
            <w:right w:w="70" w:type="dxa"/>
          </w:tblCellMar>
        </w:tblPrEx>
        <w:trPr>
          <w:trHeight w:val="300"/>
        </w:trPr>
        <w:tc>
          <w:tcPr>
            <w:tcW w:w="615" w:type="pct"/>
            <w:shd w:val="clear" w:color="auto" w:fill="auto"/>
            <w:noWrap/>
            <w:vAlign w:val="bottom"/>
            <w:hideMark/>
          </w:tcPr>
          <w:p w14:paraId="5D29FD45" w14:textId="77777777" w:rsidR="006F4D8F" w:rsidRPr="0030445A" w:rsidRDefault="006F4D8F" w:rsidP="006F4D8F">
            <w:pPr>
              <w:spacing w:before="0" w:line="240" w:lineRule="auto"/>
              <w:jc w:val="left"/>
              <w:rPr>
                <w:color w:val="000000"/>
                <w:sz w:val="14"/>
                <w:szCs w:val="14"/>
              </w:rPr>
            </w:pPr>
            <w:r w:rsidRPr="0030445A">
              <w:rPr>
                <w:color w:val="000000"/>
                <w:sz w:val="14"/>
                <w:szCs w:val="14"/>
              </w:rPr>
              <w:t>DOLNOŚLĄSKIE</w:t>
            </w:r>
          </w:p>
        </w:tc>
        <w:tc>
          <w:tcPr>
            <w:tcW w:w="328" w:type="pct"/>
            <w:shd w:val="clear" w:color="auto" w:fill="auto"/>
            <w:noWrap/>
            <w:vAlign w:val="bottom"/>
            <w:hideMark/>
          </w:tcPr>
          <w:p w14:paraId="2EE618A2" w14:textId="77777777" w:rsidR="006F4D8F" w:rsidRPr="0030445A" w:rsidRDefault="006F4D8F" w:rsidP="006F4D8F">
            <w:pPr>
              <w:spacing w:before="0" w:line="240" w:lineRule="auto"/>
              <w:jc w:val="left"/>
              <w:rPr>
                <w:color w:val="000000"/>
                <w:sz w:val="14"/>
                <w:szCs w:val="14"/>
              </w:rPr>
            </w:pPr>
            <w:r w:rsidRPr="0030445A">
              <w:rPr>
                <w:color w:val="000000"/>
                <w:sz w:val="14"/>
                <w:szCs w:val="14"/>
              </w:rPr>
              <w:t>361 597,4</w:t>
            </w:r>
          </w:p>
        </w:tc>
        <w:tc>
          <w:tcPr>
            <w:tcW w:w="328" w:type="pct"/>
            <w:shd w:val="clear" w:color="auto" w:fill="auto"/>
            <w:noWrap/>
            <w:vAlign w:val="bottom"/>
            <w:hideMark/>
          </w:tcPr>
          <w:p w14:paraId="4C4BCD27" w14:textId="77777777" w:rsidR="006F4D8F" w:rsidRPr="0030445A" w:rsidRDefault="006F4D8F" w:rsidP="006F4D8F">
            <w:pPr>
              <w:spacing w:before="0" w:line="240" w:lineRule="auto"/>
              <w:jc w:val="left"/>
              <w:rPr>
                <w:color w:val="000000"/>
                <w:sz w:val="14"/>
                <w:szCs w:val="14"/>
              </w:rPr>
            </w:pPr>
            <w:r w:rsidRPr="0030445A">
              <w:rPr>
                <w:color w:val="000000"/>
                <w:sz w:val="14"/>
                <w:szCs w:val="14"/>
              </w:rPr>
              <w:t>361 849,1</w:t>
            </w:r>
          </w:p>
        </w:tc>
        <w:tc>
          <w:tcPr>
            <w:tcW w:w="328" w:type="pct"/>
            <w:shd w:val="clear" w:color="auto" w:fill="auto"/>
            <w:noWrap/>
            <w:vAlign w:val="bottom"/>
            <w:hideMark/>
          </w:tcPr>
          <w:p w14:paraId="130A23E4" w14:textId="77777777" w:rsidR="006F4D8F" w:rsidRPr="0030445A" w:rsidRDefault="006F4D8F" w:rsidP="006F4D8F">
            <w:pPr>
              <w:spacing w:before="0" w:line="240" w:lineRule="auto"/>
              <w:jc w:val="left"/>
              <w:rPr>
                <w:color w:val="000000"/>
                <w:sz w:val="14"/>
                <w:szCs w:val="14"/>
              </w:rPr>
            </w:pPr>
            <w:r w:rsidRPr="0030445A">
              <w:rPr>
                <w:color w:val="000000"/>
                <w:sz w:val="14"/>
                <w:szCs w:val="14"/>
              </w:rPr>
              <w:t>360 918,8</w:t>
            </w:r>
          </w:p>
        </w:tc>
        <w:tc>
          <w:tcPr>
            <w:tcW w:w="328" w:type="pct"/>
            <w:shd w:val="clear" w:color="auto" w:fill="auto"/>
            <w:noWrap/>
            <w:vAlign w:val="bottom"/>
            <w:hideMark/>
          </w:tcPr>
          <w:p w14:paraId="070FA9B0"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359 688,8</w:t>
            </w:r>
          </w:p>
        </w:tc>
        <w:tc>
          <w:tcPr>
            <w:tcW w:w="328" w:type="pct"/>
            <w:shd w:val="clear" w:color="auto" w:fill="auto"/>
            <w:noWrap/>
            <w:vAlign w:val="bottom"/>
            <w:hideMark/>
          </w:tcPr>
          <w:p w14:paraId="7EED7FD4" w14:textId="77777777" w:rsidR="006F4D8F" w:rsidRPr="0030445A" w:rsidRDefault="006F4D8F" w:rsidP="006F4D8F">
            <w:pPr>
              <w:spacing w:before="0" w:line="240" w:lineRule="auto"/>
              <w:jc w:val="left"/>
              <w:rPr>
                <w:color w:val="000000"/>
                <w:sz w:val="14"/>
                <w:szCs w:val="14"/>
              </w:rPr>
            </w:pPr>
            <w:r w:rsidRPr="0030445A">
              <w:rPr>
                <w:color w:val="000000"/>
                <w:sz w:val="14"/>
                <w:szCs w:val="14"/>
              </w:rPr>
              <w:t>362 429,7</w:t>
            </w:r>
          </w:p>
        </w:tc>
        <w:tc>
          <w:tcPr>
            <w:tcW w:w="328" w:type="pct"/>
            <w:shd w:val="clear" w:color="auto" w:fill="auto"/>
            <w:noWrap/>
            <w:vAlign w:val="bottom"/>
            <w:hideMark/>
          </w:tcPr>
          <w:p w14:paraId="784DDF60" w14:textId="77777777" w:rsidR="006F4D8F" w:rsidRPr="0030445A" w:rsidRDefault="006F4D8F" w:rsidP="006F4D8F">
            <w:pPr>
              <w:spacing w:before="0" w:line="240" w:lineRule="auto"/>
              <w:jc w:val="left"/>
              <w:rPr>
                <w:color w:val="000000"/>
                <w:sz w:val="14"/>
                <w:szCs w:val="14"/>
              </w:rPr>
            </w:pPr>
            <w:r w:rsidRPr="0030445A">
              <w:rPr>
                <w:color w:val="000000"/>
                <w:sz w:val="14"/>
                <w:szCs w:val="14"/>
              </w:rPr>
              <w:t>369 870,5</w:t>
            </w:r>
          </w:p>
        </w:tc>
        <w:tc>
          <w:tcPr>
            <w:tcW w:w="328" w:type="pct"/>
            <w:shd w:val="clear" w:color="auto" w:fill="auto"/>
            <w:noWrap/>
            <w:vAlign w:val="bottom"/>
            <w:hideMark/>
          </w:tcPr>
          <w:p w14:paraId="5E7F4D59"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371 007,0</w:t>
            </w:r>
          </w:p>
        </w:tc>
        <w:tc>
          <w:tcPr>
            <w:tcW w:w="328" w:type="pct"/>
            <w:shd w:val="clear" w:color="auto" w:fill="auto"/>
            <w:noWrap/>
            <w:vAlign w:val="bottom"/>
            <w:hideMark/>
          </w:tcPr>
          <w:p w14:paraId="54C749B0"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371 020,0</w:t>
            </w:r>
          </w:p>
        </w:tc>
        <w:tc>
          <w:tcPr>
            <w:tcW w:w="353" w:type="pct"/>
            <w:shd w:val="clear" w:color="auto" w:fill="auto"/>
            <w:noWrap/>
            <w:vAlign w:val="bottom"/>
            <w:hideMark/>
          </w:tcPr>
          <w:p w14:paraId="7C62D687"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371 109,66</w:t>
            </w:r>
          </w:p>
        </w:tc>
        <w:tc>
          <w:tcPr>
            <w:tcW w:w="353" w:type="pct"/>
            <w:shd w:val="clear" w:color="auto" w:fill="auto"/>
            <w:noWrap/>
            <w:vAlign w:val="bottom"/>
            <w:hideMark/>
          </w:tcPr>
          <w:p w14:paraId="76CCE0F7"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371 093,36</w:t>
            </w:r>
          </w:p>
        </w:tc>
        <w:tc>
          <w:tcPr>
            <w:tcW w:w="353" w:type="pct"/>
            <w:shd w:val="clear" w:color="auto" w:fill="auto"/>
            <w:noWrap/>
            <w:vAlign w:val="bottom"/>
            <w:hideMark/>
          </w:tcPr>
          <w:p w14:paraId="2CDF6189"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371 124,91</w:t>
            </w:r>
          </w:p>
        </w:tc>
        <w:tc>
          <w:tcPr>
            <w:tcW w:w="353" w:type="pct"/>
            <w:shd w:val="clear" w:color="auto" w:fill="auto"/>
            <w:noWrap/>
            <w:vAlign w:val="bottom"/>
            <w:hideMark/>
          </w:tcPr>
          <w:p w14:paraId="10AD9DB6"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371 513,51</w:t>
            </w:r>
          </w:p>
        </w:tc>
        <w:tc>
          <w:tcPr>
            <w:tcW w:w="353" w:type="pct"/>
            <w:shd w:val="clear" w:color="auto" w:fill="auto"/>
            <w:noWrap/>
            <w:vAlign w:val="bottom"/>
            <w:hideMark/>
          </w:tcPr>
          <w:p w14:paraId="6F8819E5" w14:textId="77777777" w:rsidR="006F4D8F" w:rsidRPr="0030445A" w:rsidRDefault="006F4D8F" w:rsidP="006F4D8F">
            <w:pPr>
              <w:spacing w:before="0" w:line="240" w:lineRule="auto"/>
              <w:jc w:val="left"/>
              <w:rPr>
                <w:color w:val="000000"/>
                <w:sz w:val="14"/>
                <w:szCs w:val="14"/>
              </w:rPr>
            </w:pPr>
            <w:r w:rsidRPr="0030445A">
              <w:rPr>
                <w:color w:val="000000"/>
                <w:sz w:val="14"/>
                <w:szCs w:val="14"/>
              </w:rPr>
              <w:t>371 492,17</w:t>
            </w:r>
          </w:p>
        </w:tc>
      </w:tr>
      <w:tr w:rsidR="006F4D8F" w:rsidRPr="0030445A" w14:paraId="1D51DC52" w14:textId="77777777" w:rsidTr="006F4D8F">
        <w:tblPrEx>
          <w:tblCellMar>
            <w:left w:w="70" w:type="dxa"/>
            <w:right w:w="70" w:type="dxa"/>
          </w:tblCellMar>
        </w:tblPrEx>
        <w:trPr>
          <w:trHeight w:val="300"/>
        </w:trPr>
        <w:tc>
          <w:tcPr>
            <w:tcW w:w="615" w:type="pct"/>
            <w:shd w:val="clear" w:color="auto" w:fill="auto"/>
            <w:noWrap/>
            <w:vAlign w:val="bottom"/>
            <w:hideMark/>
          </w:tcPr>
          <w:p w14:paraId="307B724A" w14:textId="77777777" w:rsidR="006F4D8F" w:rsidRPr="0030445A" w:rsidRDefault="006F4D8F" w:rsidP="006F4D8F">
            <w:pPr>
              <w:spacing w:before="0" w:line="240" w:lineRule="auto"/>
              <w:jc w:val="left"/>
              <w:rPr>
                <w:color w:val="000000"/>
                <w:sz w:val="14"/>
                <w:szCs w:val="14"/>
              </w:rPr>
            </w:pPr>
            <w:r w:rsidRPr="0030445A">
              <w:rPr>
                <w:color w:val="000000"/>
                <w:sz w:val="14"/>
                <w:szCs w:val="14"/>
              </w:rPr>
              <w:t>KUJAWSKO-POMORSKIE</w:t>
            </w:r>
          </w:p>
        </w:tc>
        <w:tc>
          <w:tcPr>
            <w:tcW w:w="328" w:type="pct"/>
            <w:shd w:val="clear" w:color="auto" w:fill="auto"/>
            <w:noWrap/>
            <w:vAlign w:val="bottom"/>
            <w:hideMark/>
          </w:tcPr>
          <w:p w14:paraId="0ADC5781" w14:textId="77777777" w:rsidR="006F4D8F" w:rsidRPr="0030445A" w:rsidRDefault="006F4D8F" w:rsidP="006F4D8F">
            <w:pPr>
              <w:spacing w:before="0" w:line="240" w:lineRule="auto"/>
              <w:jc w:val="left"/>
              <w:rPr>
                <w:color w:val="000000"/>
                <w:sz w:val="14"/>
                <w:szCs w:val="14"/>
              </w:rPr>
            </w:pPr>
            <w:r w:rsidRPr="0030445A">
              <w:rPr>
                <w:color w:val="000000"/>
                <w:sz w:val="14"/>
                <w:szCs w:val="14"/>
              </w:rPr>
              <w:t>581 507,4</w:t>
            </w:r>
          </w:p>
        </w:tc>
        <w:tc>
          <w:tcPr>
            <w:tcW w:w="328" w:type="pct"/>
            <w:shd w:val="clear" w:color="auto" w:fill="auto"/>
            <w:noWrap/>
            <w:vAlign w:val="bottom"/>
            <w:hideMark/>
          </w:tcPr>
          <w:p w14:paraId="4215A271" w14:textId="77777777" w:rsidR="006F4D8F" w:rsidRPr="0030445A" w:rsidRDefault="006F4D8F" w:rsidP="006F4D8F">
            <w:pPr>
              <w:spacing w:before="0" w:line="240" w:lineRule="auto"/>
              <w:jc w:val="left"/>
              <w:rPr>
                <w:color w:val="000000"/>
                <w:sz w:val="14"/>
                <w:szCs w:val="14"/>
              </w:rPr>
            </w:pPr>
            <w:r w:rsidRPr="0030445A">
              <w:rPr>
                <w:color w:val="000000"/>
                <w:sz w:val="14"/>
                <w:szCs w:val="14"/>
              </w:rPr>
              <w:t>581 616,0</w:t>
            </w:r>
          </w:p>
        </w:tc>
        <w:tc>
          <w:tcPr>
            <w:tcW w:w="328" w:type="pct"/>
            <w:shd w:val="clear" w:color="auto" w:fill="auto"/>
            <w:noWrap/>
            <w:vAlign w:val="bottom"/>
            <w:hideMark/>
          </w:tcPr>
          <w:p w14:paraId="530593D4" w14:textId="77777777" w:rsidR="006F4D8F" w:rsidRPr="0030445A" w:rsidRDefault="006F4D8F" w:rsidP="006F4D8F">
            <w:pPr>
              <w:spacing w:before="0" w:line="240" w:lineRule="auto"/>
              <w:jc w:val="left"/>
              <w:rPr>
                <w:color w:val="000000"/>
                <w:sz w:val="14"/>
                <w:szCs w:val="14"/>
              </w:rPr>
            </w:pPr>
            <w:r w:rsidRPr="0030445A">
              <w:rPr>
                <w:color w:val="000000"/>
                <w:sz w:val="14"/>
                <w:szCs w:val="14"/>
              </w:rPr>
              <w:t>581 615,6</w:t>
            </w:r>
          </w:p>
        </w:tc>
        <w:tc>
          <w:tcPr>
            <w:tcW w:w="328" w:type="pct"/>
            <w:shd w:val="clear" w:color="auto" w:fill="auto"/>
            <w:noWrap/>
            <w:vAlign w:val="bottom"/>
            <w:hideMark/>
          </w:tcPr>
          <w:p w14:paraId="1805107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574 957,8</w:t>
            </w:r>
          </w:p>
        </w:tc>
        <w:tc>
          <w:tcPr>
            <w:tcW w:w="328" w:type="pct"/>
            <w:shd w:val="clear" w:color="auto" w:fill="auto"/>
            <w:noWrap/>
            <w:vAlign w:val="bottom"/>
            <w:hideMark/>
          </w:tcPr>
          <w:p w14:paraId="1556A1DE" w14:textId="77777777" w:rsidR="006F4D8F" w:rsidRPr="0030445A" w:rsidRDefault="006F4D8F" w:rsidP="006F4D8F">
            <w:pPr>
              <w:spacing w:before="0" w:line="240" w:lineRule="auto"/>
              <w:jc w:val="left"/>
              <w:rPr>
                <w:color w:val="000000"/>
                <w:sz w:val="14"/>
                <w:szCs w:val="14"/>
              </w:rPr>
            </w:pPr>
            <w:r w:rsidRPr="0030445A">
              <w:rPr>
                <w:color w:val="000000"/>
                <w:sz w:val="14"/>
                <w:szCs w:val="14"/>
              </w:rPr>
              <w:t>561 923,9</w:t>
            </w:r>
          </w:p>
        </w:tc>
        <w:tc>
          <w:tcPr>
            <w:tcW w:w="328" w:type="pct"/>
            <w:shd w:val="clear" w:color="auto" w:fill="auto"/>
            <w:noWrap/>
            <w:vAlign w:val="bottom"/>
            <w:hideMark/>
          </w:tcPr>
          <w:p w14:paraId="378C914C"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571 128,7</w:t>
            </w:r>
          </w:p>
        </w:tc>
        <w:tc>
          <w:tcPr>
            <w:tcW w:w="328" w:type="pct"/>
            <w:shd w:val="clear" w:color="auto" w:fill="auto"/>
            <w:noWrap/>
            <w:vAlign w:val="bottom"/>
            <w:hideMark/>
          </w:tcPr>
          <w:p w14:paraId="26AEEDAC"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571 168,7</w:t>
            </w:r>
          </w:p>
        </w:tc>
        <w:tc>
          <w:tcPr>
            <w:tcW w:w="328" w:type="pct"/>
            <w:shd w:val="clear" w:color="auto" w:fill="auto"/>
            <w:noWrap/>
            <w:vAlign w:val="bottom"/>
            <w:hideMark/>
          </w:tcPr>
          <w:p w14:paraId="1FE0A9E4"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571 180,7</w:t>
            </w:r>
          </w:p>
        </w:tc>
        <w:tc>
          <w:tcPr>
            <w:tcW w:w="353" w:type="pct"/>
            <w:shd w:val="clear" w:color="auto" w:fill="auto"/>
            <w:noWrap/>
            <w:vAlign w:val="bottom"/>
            <w:hideMark/>
          </w:tcPr>
          <w:p w14:paraId="08E25178"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571 360,47</w:t>
            </w:r>
          </w:p>
        </w:tc>
        <w:tc>
          <w:tcPr>
            <w:tcW w:w="353" w:type="pct"/>
            <w:shd w:val="clear" w:color="auto" w:fill="auto"/>
            <w:noWrap/>
            <w:vAlign w:val="bottom"/>
            <w:hideMark/>
          </w:tcPr>
          <w:p w14:paraId="6D5C2090"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571 349,06</w:t>
            </w:r>
          </w:p>
        </w:tc>
        <w:tc>
          <w:tcPr>
            <w:tcW w:w="353" w:type="pct"/>
            <w:shd w:val="clear" w:color="auto" w:fill="auto"/>
            <w:noWrap/>
            <w:vAlign w:val="bottom"/>
            <w:hideMark/>
          </w:tcPr>
          <w:p w14:paraId="025A287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571 358,53</w:t>
            </w:r>
          </w:p>
        </w:tc>
        <w:tc>
          <w:tcPr>
            <w:tcW w:w="353" w:type="pct"/>
            <w:shd w:val="clear" w:color="auto" w:fill="auto"/>
            <w:noWrap/>
            <w:vAlign w:val="bottom"/>
            <w:hideMark/>
          </w:tcPr>
          <w:p w14:paraId="57CEB298"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571 390,00</w:t>
            </w:r>
          </w:p>
        </w:tc>
        <w:tc>
          <w:tcPr>
            <w:tcW w:w="353" w:type="pct"/>
            <w:shd w:val="clear" w:color="auto" w:fill="auto"/>
            <w:noWrap/>
            <w:vAlign w:val="bottom"/>
            <w:hideMark/>
          </w:tcPr>
          <w:p w14:paraId="2FA663D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569 620,11</w:t>
            </w:r>
          </w:p>
        </w:tc>
      </w:tr>
      <w:tr w:rsidR="006F4D8F" w:rsidRPr="0030445A" w14:paraId="54F53253" w14:textId="77777777" w:rsidTr="006F4D8F">
        <w:tblPrEx>
          <w:tblCellMar>
            <w:left w:w="70" w:type="dxa"/>
            <w:right w:w="70" w:type="dxa"/>
          </w:tblCellMar>
        </w:tblPrEx>
        <w:trPr>
          <w:trHeight w:val="300"/>
        </w:trPr>
        <w:tc>
          <w:tcPr>
            <w:tcW w:w="615" w:type="pct"/>
            <w:shd w:val="clear" w:color="auto" w:fill="auto"/>
            <w:noWrap/>
            <w:vAlign w:val="bottom"/>
            <w:hideMark/>
          </w:tcPr>
          <w:p w14:paraId="687DF0C1" w14:textId="77777777" w:rsidR="006F4D8F" w:rsidRPr="0030445A" w:rsidRDefault="006F4D8F" w:rsidP="006F4D8F">
            <w:pPr>
              <w:spacing w:before="0" w:line="240" w:lineRule="auto"/>
              <w:jc w:val="left"/>
              <w:rPr>
                <w:color w:val="000000"/>
                <w:sz w:val="14"/>
                <w:szCs w:val="14"/>
              </w:rPr>
            </w:pPr>
            <w:r w:rsidRPr="0030445A">
              <w:rPr>
                <w:color w:val="000000"/>
                <w:sz w:val="14"/>
                <w:szCs w:val="14"/>
              </w:rPr>
              <w:t>LUBELSKIE</w:t>
            </w:r>
          </w:p>
        </w:tc>
        <w:tc>
          <w:tcPr>
            <w:tcW w:w="328" w:type="pct"/>
            <w:shd w:val="clear" w:color="auto" w:fill="auto"/>
            <w:noWrap/>
            <w:vAlign w:val="bottom"/>
            <w:hideMark/>
          </w:tcPr>
          <w:p w14:paraId="428A1A71"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572 112,7</w:t>
            </w:r>
          </w:p>
        </w:tc>
        <w:tc>
          <w:tcPr>
            <w:tcW w:w="328" w:type="pct"/>
            <w:shd w:val="clear" w:color="auto" w:fill="auto"/>
            <w:noWrap/>
            <w:vAlign w:val="bottom"/>
            <w:hideMark/>
          </w:tcPr>
          <w:p w14:paraId="4725445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570 421,6</w:t>
            </w:r>
          </w:p>
        </w:tc>
        <w:tc>
          <w:tcPr>
            <w:tcW w:w="328" w:type="pct"/>
            <w:shd w:val="clear" w:color="auto" w:fill="auto"/>
            <w:noWrap/>
            <w:vAlign w:val="bottom"/>
            <w:hideMark/>
          </w:tcPr>
          <w:p w14:paraId="7BBB3E34"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570 425,1</w:t>
            </w:r>
          </w:p>
        </w:tc>
        <w:tc>
          <w:tcPr>
            <w:tcW w:w="328" w:type="pct"/>
            <w:shd w:val="clear" w:color="auto" w:fill="auto"/>
            <w:noWrap/>
            <w:vAlign w:val="bottom"/>
            <w:hideMark/>
          </w:tcPr>
          <w:p w14:paraId="594E3C1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570 428,4</w:t>
            </w:r>
          </w:p>
        </w:tc>
        <w:tc>
          <w:tcPr>
            <w:tcW w:w="328" w:type="pct"/>
            <w:shd w:val="clear" w:color="auto" w:fill="auto"/>
            <w:noWrap/>
            <w:vAlign w:val="bottom"/>
            <w:hideMark/>
          </w:tcPr>
          <w:p w14:paraId="2964FBAE" w14:textId="77777777" w:rsidR="006F4D8F" w:rsidRPr="0030445A" w:rsidRDefault="006F4D8F" w:rsidP="006F4D8F">
            <w:pPr>
              <w:spacing w:before="0" w:line="240" w:lineRule="auto"/>
              <w:jc w:val="left"/>
              <w:rPr>
                <w:color w:val="000000"/>
                <w:sz w:val="14"/>
                <w:szCs w:val="14"/>
              </w:rPr>
            </w:pPr>
            <w:r w:rsidRPr="0030445A">
              <w:rPr>
                <w:color w:val="000000"/>
                <w:sz w:val="14"/>
                <w:szCs w:val="14"/>
              </w:rPr>
              <w:t>569 801,8</w:t>
            </w:r>
          </w:p>
        </w:tc>
        <w:tc>
          <w:tcPr>
            <w:tcW w:w="328" w:type="pct"/>
            <w:shd w:val="clear" w:color="auto" w:fill="auto"/>
            <w:noWrap/>
            <w:vAlign w:val="bottom"/>
            <w:hideMark/>
          </w:tcPr>
          <w:p w14:paraId="2217FF34"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570 006,1</w:t>
            </w:r>
          </w:p>
        </w:tc>
        <w:tc>
          <w:tcPr>
            <w:tcW w:w="328" w:type="pct"/>
            <w:shd w:val="clear" w:color="auto" w:fill="auto"/>
            <w:noWrap/>
            <w:vAlign w:val="bottom"/>
            <w:hideMark/>
          </w:tcPr>
          <w:p w14:paraId="0DA64230"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570 005,6</w:t>
            </w:r>
          </w:p>
        </w:tc>
        <w:tc>
          <w:tcPr>
            <w:tcW w:w="328" w:type="pct"/>
            <w:shd w:val="clear" w:color="auto" w:fill="auto"/>
            <w:noWrap/>
            <w:vAlign w:val="bottom"/>
            <w:hideMark/>
          </w:tcPr>
          <w:p w14:paraId="3E45EC2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570 164,2</w:t>
            </w:r>
          </w:p>
        </w:tc>
        <w:tc>
          <w:tcPr>
            <w:tcW w:w="353" w:type="pct"/>
            <w:shd w:val="clear" w:color="auto" w:fill="auto"/>
            <w:noWrap/>
            <w:vAlign w:val="bottom"/>
            <w:hideMark/>
          </w:tcPr>
          <w:p w14:paraId="1B8251CB"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570 095,37</w:t>
            </w:r>
          </w:p>
        </w:tc>
        <w:tc>
          <w:tcPr>
            <w:tcW w:w="353" w:type="pct"/>
            <w:shd w:val="clear" w:color="auto" w:fill="auto"/>
            <w:noWrap/>
            <w:vAlign w:val="bottom"/>
            <w:hideMark/>
          </w:tcPr>
          <w:p w14:paraId="71888B3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570 282,95</w:t>
            </w:r>
          </w:p>
        </w:tc>
        <w:tc>
          <w:tcPr>
            <w:tcW w:w="353" w:type="pct"/>
            <w:shd w:val="clear" w:color="auto" w:fill="auto"/>
            <w:noWrap/>
            <w:vAlign w:val="bottom"/>
            <w:hideMark/>
          </w:tcPr>
          <w:p w14:paraId="1E52DA10"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571 524,60</w:t>
            </w:r>
          </w:p>
        </w:tc>
        <w:tc>
          <w:tcPr>
            <w:tcW w:w="353" w:type="pct"/>
            <w:shd w:val="clear" w:color="auto" w:fill="auto"/>
            <w:noWrap/>
            <w:vAlign w:val="bottom"/>
            <w:hideMark/>
          </w:tcPr>
          <w:p w14:paraId="6B845A1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571 612,98</w:t>
            </w:r>
          </w:p>
        </w:tc>
        <w:tc>
          <w:tcPr>
            <w:tcW w:w="353" w:type="pct"/>
            <w:shd w:val="clear" w:color="auto" w:fill="auto"/>
            <w:noWrap/>
            <w:vAlign w:val="bottom"/>
            <w:hideMark/>
          </w:tcPr>
          <w:p w14:paraId="4F824DF3" w14:textId="77777777" w:rsidR="006F4D8F" w:rsidRPr="0030445A" w:rsidRDefault="006F4D8F" w:rsidP="006F4D8F">
            <w:pPr>
              <w:spacing w:before="0" w:line="240" w:lineRule="auto"/>
              <w:jc w:val="left"/>
              <w:rPr>
                <w:color w:val="000000"/>
                <w:sz w:val="14"/>
                <w:szCs w:val="14"/>
              </w:rPr>
            </w:pPr>
            <w:r w:rsidRPr="0030445A">
              <w:rPr>
                <w:color w:val="000000"/>
                <w:sz w:val="14"/>
                <w:szCs w:val="14"/>
              </w:rPr>
              <w:t>570 741,21</w:t>
            </w:r>
          </w:p>
        </w:tc>
      </w:tr>
      <w:tr w:rsidR="006F4D8F" w:rsidRPr="0030445A" w14:paraId="0FD88BD5" w14:textId="77777777" w:rsidTr="006F4D8F">
        <w:tblPrEx>
          <w:tblCellMar>
            <w:left w:w="70" w:type="dxa"/>
            <w:right w:w="70" w:type="dxa"/>
          </w:tblCellMar>
        </w:tblPrEx>
        <w:trPr>
          <w:trHeight w:val="300"/>
        </w:trPr>
        <w:tc>
          <w:tcPr>
            <w:tcW w:w="615" w:type="pct"/>
            <w:shd w:val="clear" w:color="auto" w:fill="auto"/>
            <w:noWrap/>
            <w:vAlign w:val="bottom"/>
            <w:hideMark/>
          </w:tcPr>
          <w:p w14:paraId="5D988C31" w14:textId="77777777" w:rsidR="006F4D8F" w:rsidRPr="0030445A" w:rsidRDefault="006F4D8F" w:rsidP="006F4D8F">
            <w:pPr>
              <w:spacing w:before="0" w:line="240" w:lineRule="auto"/>
              <w:jc w:val="left"/>
              <w:rPr>
                <w:color w:val="000000"/>
                <w:sz w:val="14"/>
                <w:szCs w:val="14"/>
              </w:rPr>
            </w:pPr>
            <w:r w:rsidRPr="0030445A">
              <w:rPr>
                <w:color w:val="000000"/>
                <w:sz w:val="14"/>
                <w:szCs w:val="14"/>
              </w:rPr>
              <w:lastRenderedPageBreak/>
              <w:t>LUBUSKIE</w:t>
            </w:r>
          </w:p>
        </w:tc>
        <w:tc>
          <w:tcPr>
            <w:tcW w:w="328" w:type="pct"/>
            <w:shd w:val="clear" w:color="auto" w:fill="auto"/>
            <w:noWrap/>
            <w:vAlign w:val="bottom"/>
            <w:hideMark/>
          </w:tcPr>
          <w:p w14:paraId="40471F2C"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549 524,6</w:t>
            </w:r>
          </w:p>
        </w:tc>
        <w:tc>
          <w:tcPr>
            <w:tcW w:w="328" w:type="pct"/>
            <w:shd w:val="clear" w:color="auto" w:fill="auto"/>
            <w:noWrap/>
            <w:vAlign w:val="bottom"/>
            <w:hideMark/>
          </w:tcPr>
          <w:p w14:paraId="0383BFFE"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547 765,7</w:t>
            </w:r>
          </w:p>
        </w:tc>
        <w:tc>
          <w:tcPr>
            <w:tcW w:w="328" w:type="pct"/>
            <w:shd w:val="clear" w:color="auto" w:fill="auto"/>
            <w:noWrap/>
            <w:vAlign w:val="bottom"/>
            <w:hideMark/>
          </w:tcPr>
          <w:p w14:paraId="7069210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547 725,7</w:t>
            </w:r>
          </w:p>
        </w:tc>
        <w:tc>
          <w:tcPr>
            <w:tcW w:w="328" w:type="pct"/>
            <w:shd w:val="clear" w:color="auto" w:fill="auto"/>
            <w:noWrap/>
            <w:vAlign w:val="bottom"/>
            <w:hideMark/>
          </w:tcPr>
          <w:p w14:paraId="0C25EF41"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542 824,4</w:t>
            </w:r>
          </w:p>
        </w:tc>
        <w:tc>
          <w:tcPr>
            <w:tcW w:w="328" w:type="pct"/>
            <w:shd w:val="clear" w:color="auto" w:fill="auto"/>
            <w:noWrap/>
            <w:vAlign w:val="bottom"/>
            <w:hideMark/>
          </w:tcPr>
          <w:p w14:paraId="26584A16"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543 502,1</w:t>
            </w:r>
          </w:p>
        </w:tc>
        <w:tc>
          <w:tcPr>
            <w:tcW w:w="328" w:type="pct"/>
            <w:shd w:val="clear" w:color="auto" w:fill="auto"/>
            <w:noWrap/>
            <w:vAlign w:val="bottom"/>
            <w:hideMark/>
          </w:tcPr>
          <w:p w14:paraId="241EEDA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543 885,3</w:t>
            </w:r>
          </w:p>
        </w:tc>
        <w:tc>
          <w:tcPr>
            <w:tcW w:w="328" w:type="pct"/>
            <w:shd w:val="clear" w:color="auto" w:fill="auto"/>
            <w:noWrap/>
            <w:vAlign w:val="bottom"/>
            <w:hideMark/>
          </w:tcPr>
          <w:p w14:paraId="5191152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544 366,6</w:t>
            </w:r>
          </w:p>
        </w:tc>
        <w:tc>
          <w:tcPr>
            <w:tcW w:w="328" w:type="pct"/>
            <w:shd w:val="clear" w:color="auto" w:fill="auto"/>
            <w:noWrap/>
            <w:vAlign w:val="bottom"/>
            <w:hideMark/>
          </w:tcPr>
          <w:p w14:paraId="45E6984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543 398,8</w:t>
            </w:r>
          </w:p>
        </w:tc>
        <w:tc>
          <w:tcPr>
            <w:tcW w:w="353" w:type="pct"/>
            <w:shd w:val="clear" w:color="auto" w:fill="auto"/>
            <w:noWrap/>
            <w:vAlign w:val="bottom"/>
            <w:hideMark/>
          </w:tcPr>
          <w:p w14:paraId="3A6C73F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543 254,64</w:t>
            </w:r>
          </w:p>
        </w:tc>
        <w:tc>
          <w:tcPr>
            <w:tcW w:w="353" w:type="pct"/>
            <w:shd w:val="clear" w:color="auto" w:fill="auto"/>
            <w:noWrap/>
            <w:vAlign w:val="bottom"/>
            <w:hideMark/>
          </w:tcPr>
          <w:p w14:paraId="6DAACAC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544 932,27</w:t>
            </w:r>
          </w:p>
        </w:tc>
        <w:tc>
          <w:tcPr>
            <w:tcW w:w="353" w:type="pct"/>
            <w:shd w:val="clear" w:color="auto" w:fill="auto"/>
            <w:noWrap/>
            <w:vAlign w:val="bottom"/>
            <w:hideMark/>
          </w:tcPr>
          <w:p w14:paraId="4C336AD9"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542 821,02</w:t>
            </w:r>
          </w:p>
        </w:tc>
        <w:tc>
          <w:tcPr>
            <w:tcW w:w="353" w:type="pct"/>
            <w:shd w:val="clear" w:color="auto" w:fill="auto"/>
            <w:noWrap/>
            <w:vAlign w:val="bottom"/>
            <w:hideMark/>
          </w:tcPr>
          <w:p w14:paraId="6B96E637" w14:textId="77777777" w:rsidR="006F4D8F" w:rsidRPr="0030445A" w:rsidRDefault="006F4D8F" w:rsidP="006F4D8F">
            <w:pPr>
              <w:spacing w:before="0" w:line="240" w:lineRule="auto"/>
              <w:jc w:val="left"/>
              <w:rPr>
                <w:color w:val="000000"/>
                <w:sz w:val="14"/>
                <w:szCs w:val="14"/>
              </w:rPr>
            </w:pPr>
            <w:r w:rsidRPr="0030445A">
              <w:rPr>
                <w:color w:val="000000"/>
                <w:sz w:val="14"/>
                <w:szCs w:val="14"/>
              </w:rPr>
              <w:t>532 297,91</w:t>
            </w:r>
          </w:p>
        </w:tc>
        <w:tc>
          <w:tcPr>
            <w:tcW w:w="353" w:type="pct"/>
            <w:shd w:val="clear" w:color="auto" w:fill="auto"/>
            <w:noWrap/>
            <w:vAlign w:val="bottom"/>
            <w:hideMark/>
          </w:tcPr>
          <w:p w14:paraId="170AAE97" w14:textId="77777777" w:rsidR="006F4D8F" w:rsidRPr="0030445A" w:rsidRDefault="006F4D8F" w:rsidP="006F4D8F">
            <w:pPr>
              <w:spacing w:before="0" w:line="240" w:lineRule="auto"/>
              <w:jc w:val="left"/>
              <w:rPr>
                <w:color w:val="000000"/>
                <w:sz w:val="14"/>
                <w:szCs w:val="14"/>
              </w:rPr>
            </w:pPr>
            <w:r w:rsidRPr="0030445A">
              <w:rPr>
                <w:color w:val="000000"/>
                <w:sz w:val="14"/>
                <w:szCs w:val="14"/>
              </w:rPr>
              <w:t>540 253,19</w:t>
            </w:r>
          </w:p>
        </w:tc>
      </w:tr>
      <w:tr w:rsidR="006F4D8F" w:rsidRPr="0030445A" w14:paraId="18C6B149" w14:textId="77777777" w:rsidTr="006F4D8F">
        <w:tblPrEx>
          <w:tblCellMar>
            <w:left w:w="70" w:type="dxa"/>
            <w:right w:w="70" w:type="dxa"/>
          </w:tblCellMar>
        </w:tblPrEx>
        <w:trPr>
          <w:trHeight w:val="300"/>
        </w:trPr>
        <w:tc>
          <w:tcPr>
            <w:tcW w:w="615" w:type="pct"/>
            <w:shd w:val="clear" w:color="auto" w:fill="auto"/>
            <w:noWrap/>
            <w:vAlign w:val="bottom"/>
            <w:hideMark/>
          </w:tcPr>
          <w:p w14:paraId="01792DF8" w14:textId="77777777" w:rsidR="006F4D8F" w:rsidRPr="0030445A" w:rsidRDefault="006F4D8F" w:rsidP="006F4D8F">
            <w:pPr>
              <w:spacing w:before="0" w:line="240" w:lineRule="auto"/>
              <w:jc w:val="left"/>
              <w:rPr>
                <w:color w:val="000000"/>
                <w:sz w:val="14"/>
                <w:szCs w:val="14"/>
              </w:rPr>
            </w:pPr>
            <w:r w:rsidRPr="0030445A">
              <w:rPr>
                <w:color w:val="000000"/>
                <w:sz w:val="14"/>
                <w:szCs w:val="14"/>
              </w:rPr>
              <w:t>ŁÓDZKIE</w:t>
            </w:r>
          </w:p>
        </w:tc>
        <w:tc>
          <w:tcPr>
            <w:tcW w:w="328" w:type="pct"/>
            <w:shd w:val="clear" w:color="auto" w:fill="auto"/>
            <w:noWrap/>
            <w:vAlign w:val="bottom"/>
            <w:hideMark/>
          </w:tcPr>
          <w:p w14:paraId="20E5306D" w14:textId="77777777" w:rsidR="006F4D8F" w:rsidRPr="0030445A" w:rsidRDefault="006F4D8F" w:rsidP="006F4D8F">
            <w:pPr>
              <w:spacing w:before="0" w:line="240" w:lineRule="auto"/>
              <w:jc w:val="left"/>
              <w:rPr>
                <w:color w:val="000000"/>
                <w:sz w:val="14"/>
                <w:szCs w:val="14"/>
              </w:rPr>
            </w:pPr>
            <w:r w:rsidRPr="0030445A">
              <w:rPr>
                <w:color w:val="000000"/>
                <w:sz w:val="14"/>
                <w:szCs w:val="14"/>
              </w:rPr>
              <w:t>298 808,9</w:t>
            </w:r>
          </w:p>
        </w:tc>
        <w:tc>
          <w:tcPr>
            <w:tcW w:w="328" w:type="pct"/>
            <w:shd w:val="clear" w:color="auto" w:fill="auto"/>
            <w:noWrap/>
            <w:vAlign w:val="bottom"/>
            <w:hideMark/>
          </w:tcPr>
          <w:p w14:paraId="137F9B52" w14:textId="77777777" w:rsidR="006F4D8F" w:rsidRPr="0030445A" w:rsidRDefault="006F4D8F" w:rsidP="006F4D8F">
            <w:pPr>
              <w:spacing w:before="0" w:line="240" w:lineRule="auto"/>
              <w:jc w:val="left"/>
              <w:rPr>
                <w:color w:val="000000"/>
                <w:sz w:val="14"/>
                <w:szCs w:val="14"/>
              </w:rPr>
            </w:pPr>
            <w:r w:rsidRPr="0030445A">
              <w:rPr>
                <w:color w:val="000000"/>
                <w:sz w:val="14"/>
                <w:szCs w:val="14"/>
              </w:rPr>
              <w:t>299 055,0</w:t>
            </w:r>
          </w:p>
        </w:tc>
        <w:tc>
          <w:tcPr>
            <w:tcW w:w="328" w:type="pct"/>
            <w:shd w:val="clear" w:color="auto" w:fill="auto"/>
            <w:noWrap/>
            <w:vAlign w:val="bottom"/>
            <w:hideMark/>
          </w:tcPr>
          <w:p w14:paraId="21764FFA" w14:textId="77777777" w:rsidR="006F4D8F" w:rsidRPr="0030445A" w:rsidRDefault="006F4D8F" w:rsidP="006F4D8F">
            <w:pPr>
              <w:spacing w:before="0" w:line="240" w:lineRule="auto"/>
              <w:jc w:val="left"/>
              <w:rPr>
                <w:color w:val="000000"/>
                <w:sz w:val="14"/>
                <w:szCs w:val="14"/>
              </w:rPr>
            </w:pPr>
            <w:r w:rsidRPr="0030445A">
              <w:rPr>
                <w:color w:val="000000"/>
                <w:sz w:val="14"/>
                <w:szCs w:val="14"/>
              </w:rPr>
              <w:t>342 633,8</w:t>
            </w:r>
          </w:p>
        </w:tc>
        <w:tc>
          <w:tcPr>
            <w:tcW w:w="328" w:type="pct"/>
            <w:shd w:val="clear" w:color="auto" w:fill="auto"/>
            <w:noWrap/>
            <w:vAlign w:val="bottom"/>
            <w:hideMark/>
          </w:tcPr>
          <w:p w14:paraId="52E6E7F9" w14:textId="77777777" w:rsidR="006F4D8F" w:rsidRPr="0030445A" w:rsidRDefault="006F4D8F" w:rsidP="006F4D8F">
            <w:pPr>
              <w:spacing w:before="0" w:line="240" w:lineRule="auto"/>
              <w:jc w:val="left"/>
              <w:rPr>
                <w:color w:val="000000"/>
                <w:sz w:val="14"/>
                <w:szCs w:val="14"/>
              </w:rPr>
            </w:pPr>
            <w:r w:rsidRPr="0030445A">
              <w:rPr>
                <w:color w:val="000000"/>
                <w:sz w:val="14"/>
                <w:szCs w:val="14"/>
              </w:rPr>
              <w:t>342 640,1</w:t>
            </w:r>
          </w:p>
        </w:tc>
        <w:tc>
          <w:tcPr>
            <w:tcW w:w="328" w:type="pct"/>
            <w:shd w:val="clear" w:color="auto" w:fill="auto"/>
            <w:noWrap/>
            <w:vAlign w:val="bottom"/>
            <w:hideMark/>
          </w:tcPr>
          <w:p w14:paraId="7F5E1BD9" w14:textId="77777777" w:rsidR="006F4D8F" w:rsidRPr="0030445A" w:rsidRDefault="006F4D8F" w:rsidP="006F4D8F">
            <w:pPr>
              <w:spacing w:before="0" w:line="240" w:lineRule="auto"/>
              <w:jc w:val="left"/>
              <w:rPr>
                <w:color w:val="000000"/>
                <w:sz w:val="14"/>
                <w:szCs w:val="14"/>
              </w:rPr>
            </w:pPr>
            <w:r w:rsidRPr="0030445A">
              <w:rPr>
                <w:color w:val="000000"/>
                <w:sz w:val="14"/>
                <w:szCs w:val="14"/>
              </w:rPr>
              <w:t>342 985,2</w:t>
            </w:r>
          </w:p>
        </w:tc>
        <w:tc>
          <w:tcPr>
            <w:tcW w:w="328" w:type="pct"/>
            <w:shd w:val="clear" w:color="auto" w:fill="auto"/>
            <w:noWrap/>
            <w:vAlign w:val="bottom"/>
            <w:hideMark/>
          </w:tcPr>
          <w:p w14:paraId="585F5B00"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356 839,3</w:t>
            </w:r>
          </w:p>
        </w:tc>
        <w:tc>
          <w:tcPr>
            <w:tcW w:w="328" w:type="pct"/>
            <w:shd w:val="clear" w:color="auto" w:fill="auto"/>
            <w:noWrap/>
            <w:vAlign w:val="bottom"/>
            <w:hideMark/>
          </w:tcPr>
          <w:p w14:paraId="5D3302EA"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357 140,3</w:t>
            </w:r>
          </w:p>
        </w:tc>
        <w:tc>
          <w:tcPr>
            <w:tcW w:w="328" w:type="pct"/>
            <w:shd w:val="clear" w:color="auto" w:fill="auto"/>
            <w:noWrap/>
            <w:vAlign w:val="bottom"/>
            <w:hideMark/>
          </w:tcPr>
          <w:p w14:paraId="0903A4C7"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357 329,4</w:t>
            </w:r>
          </w:p>
        </w:tc>
        <w:tc>
          <w:tcPr>
            <w:tcW w:w="353" w:type="pct"/>
            <w:shd w:val="clear" w:color="auto" w:fill="auto"/>
            <w:noWrap/>
            <w:vAlign w:val="bottom"/>
            <w:hideMark/>
          </w:tcPr>
          <w:p w14:paraId="6BD50AA1"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357 794,06</w:t>
            </w:r>
          </w:p>
        </w:tc>
        <w:tc>
          <w:tcPr>
            <w:tcW w:w="353" w:type="pct"/>
            <w:shd w:val="clear" w:color="auto" w:fill="auto"/>
            <w:noWrap/>
            <w:vAlign w:val="bottom"/>
            <w:hideMark/>
          </w:tcPr>
          <w:p w14:paraId="6705C65C"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357 795,47</w:t>
            </w:r>
          </w:p>
        </w:tc>
        <w:tc>
          <w:tcPr>
            <w:tcW w:w="353" w:type="pct"/>
            <w:shd w:val="clear" w:color="auto" w:fill="auto"/>
            <w:noWrap/>
            <w:vAlign w:val="bottom"/>
            <w:hideMark/>
          </w:tcPr>
          <w:p w14:paraId="6397ABA2"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357 795,84</w:t>
            </w:r>
          </w:p>
        </w:tc>
        <w:tc>
          <w:tcPr>
            <w:tcW w:w="353" w:type="pct"/>
            <w:shd w:val="clear" w:color="auto" w:fill="auto"/>
            <w:noWrap/>
            <w:vAlign w:val="bottom"/>
            <w:hideMark/>
          </w:tcPr>
          <w:p w14:paraId="4CA05B7D"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358 153,75</w:t>
            </w:r>
          </w:p>
        </w:tc>
        <w:tc>
          <w:tcPr>
            <w:tcW w:w="353" w:type="pct"/>
            <w:shd w:val="clear" w:color="auto" w:fill="auto"/>
            <w:noWrap/>
            <w:vAlign w:val="bottom"/>
            <w:hideMark/>
          </w:tcPr>
          <w:p w14:paraId="3EE2AAFE" w14:textId="77777777" w:rsidR="006F4D8F" w:rsidRPr="0030445A" w:rsidRDefault="006F4D8F" w:rsidP="006F4D8F">
            <w:pPr>
              <w:spacing w:before="0" w:line="240" w:lineRule="auto"/>
              <w:jc w:val="left"/>
              <w:rPr>
                <w:color w:val="000000"/>
                <w:sz w:val="14"/>
                <w:szCs w:val="14"/>
              </w:rPr>
            </w:pPr>
            <w:r w:rsidRPr="0030445A">
              <w:rPr>
                <w:color w:val="000000"/>
                <w:sz w:val="14"/>
                <w:szCs w:val="14"/>
              </w:rPr>
              <w:t>358 385,94</w:t>
            </w:r>
          </w:p>
        </w:tc>
      </w:tr>
      <w:tr w:rsidR="006F4D8F" w:rsidRPr="0030445A" w14:paraId="73C4ED7E" w14:textId="77777777" w:rsidTr="006F4D8F">
        <w:tblPrEx>
          <w:tblCellMar>
            <w:left w:w="70" w:type="dxa"/>
            <w:right w:w="70" w:type="dxa"/>
          </w:tblCellMar>
        </w:tblPrEx>
        <w:trPr>
          <w:trHeight w:val="300"/>
        </w:trPr>
        <w:tc>
          <w:tcPr>
            <w:tcW w:w="615" w:type="pct"/>
            <w:shd w:val="clear" w:color="auto" w:fill="auto"/>
            <w:noWrap/>
            <w:vAlign w:val="bottom"/>
            <w:hideMark/>
          </w:tcPr>
          <w:p w14:paraId="198BFD49" w14:textId="77777777" w:rsidR="006F4D8F" w:rsidRPr="0030445A" w:rsidRDefault="006F4D8F" w:rsidP="006F4D8F">
            <w:pPr>
              <w:spacing w:before="0" w:line="240" w:lineRule="auto"/>
              <w:jc w:val="left"/>
              <w:rPr>
                <w:color w:val="000000"/>
                <w:sz w:val="14"/>
                <w:szCs w:val="14"/>
              </w:rPr>
            </w:pPr>
            <w:r w:rsidRPr="0030445A">
              <w:rPr>
                <w:color w:val="000000"/>
                <w:sz w:val="14"/>
                <w:szCs w:val="14"/>
              </w:rPr>
              <w:t>MAŁOPOLSKIE</w:t>
            </w:r>
          </w:p>
        </w:tc>
        <w:tc>
          <w:tcPr>
            <w:tcW w:w="328" w:type="pct"/>
            <w:shd w:val="clear" w:color="auto" w:fill="auto"/>
            <w:noWrap/>
            <w:vAlign w:val="bottom"/>
            <w:hideMark/>
          </w:tcPr>
          <w:p w14:paraId="2A80A31A" w14:textId="77777777" w:rsidR="006F4D8F" w:rsidRPr="0030445A" w:rsidRDefault="006F4D8F" w:rsidP="006F4D8F">
            <w:pPr>
              <w:spacing w:before="0" w:line="240" w:lineRule="auto"/>
              <w:jc w:val="left"/>
              <w:rPr>
                <w:color w:val="000000"/>
                <w:sz w:val="14"/>
                <w:szCs w:val="14"/>
              </w:rPr>
            </w:pPr>
            <w:r w:rsidRPr="0030445A">
              <w:rPr>
                <w:color w:val="000000"/>
                <w:sz w:val="14"/>
                <w:szCs w:val="14"/>
              </w:rPr>
              <w:t>894 385,2</w:t>
            </w:r>
          </w:p>
        </w:tc>
        <w:tc>
          <w:tcPr>
            <w:tcW w:w="328" w:type="pct"/>
            <w:shd w:val="clear" w:color="auto" w:fill="auto"/>
            <w:noWrap/>
            <w:vAlign w:val="bottom"/>
            <w:hideMark/>
          </w:tcPr>
          <w:p w14:paraId="23FDDE29"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790 295,5</w:t>
            </w:r>
          </w:p>
        </w:tc>
        <w:tc>
          <w:tcPr>
            <w:tcW w:w="328" w:type="pct"/>
            <w:shd w:val="clear" w:color="auto" w:fill="auto"/>
            <w:noWrap/>
            <w:vAlign w:val="bottom"/>
            <w:hideMark/>
          </w:tcPr>
          <w:p w14:paraId="5D4089D5"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790 332,6</w:t>
            </w:r>
          </w:p>
        </w:tc>
        <w:tc>
          <w:tcPr>
            <w:tcW w:w="328" w:type="pct"/>
            <w:shd w:val="clear" w:color="auto" w:fill="auto"/>
            <w:noWrap/>
            <w:vAlign w:val="bottom"/>
            <w:hideMark/>
          </w:tcPr>
          <w:p w14:paraId="0FF4A066"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790 348,6</w:t>
            </w:r>
          </w:p>
        </w:tc>
        <w:tc>
          <w:tcPr>
            <w:tcW w:w="328" w:type="pct"/>
            <w:shd w:val="clear" w:color="auto" w:fill="auto"/>
            <w:noWrap/>
            <w:vAlign w:val="bottom"/>
            <w:hideMark/>
          </w:tcPr>
          <w:p w14:paraId="36BA31BC"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790 351,8</w:t>
            </w:r>
          </w:p>
        </w:tc>
        <w:tc>
          <w:tcPr>
            <w:tcW w:w="328" w:type="pct"/>
            <w:shd w:val="clear" w:color="auto" w:fill="auto"/>
            <w:noWrap/>
            <w:vAlign w:val="bottom"/>
            <w:hideMark/>
          </w:tcPr>
          <w:p w14:paraId="2012DA7B"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790 263,2</w:t>
            </w:r>
          </w:p>
        </w:tc>
        <w:tc>
          <w:tcPr>
            <w:tcW w:w="328" w:type="pct"/>
            <w:shd w:val="clear" w:color="auto" w:fill="auto"/>
            <w:noWrap/>
            <w:vAlign w:val="bottom"/>
            <w:hideMark/>
          </w:tcPr>
          <w:p w14:paraId="0E546AB7"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790 342,8</w:t>
            </w:r>
          </w:p>
        </w:tc>
        <w:tc>
          <w:tcPr>
            <w:tcW w:w="328" w:type="pct"/>
            <w:shd w:val="clear" w:color="auto" w:fill="auto"/>
            <w:noWrap/>
            <w:vAlign w:val="bottom"/>
            <w:hideMark/>
          </w:tcPr>
          <w:p w14:paraId="578EB3A3"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790 843,6</w:t>
            </w:r>
          </w:p>
        </w:tc>
        <w:tc>
          <w:tcPr>
            <w:tcW w:w="353" w:type="pct"/>
            <w:shd w:val="clear" w:color="auto" w:fill="auto"/>
            <w:noWrap/>
            <w:vAlign w:val="bottom"/>
            <w:hideMark/>
          </w:tcPr>
          <w:p w14:paraId="188E6728"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790 766,43</w:t>
            </w:r>
          </w:p>
        </w:tc>
        <w:tc>
          <w:tcPr>
            <w:tcW w:w="353" w:type="pct"/>
            <w:shd w:val="clear" w:color="auto" w:fill="auto"/>
            <w:noWrap/>
            <w:vAlign w:val="bottom"/>
            <w:hideMark/>
          </w:tcPr>
          <w:p w14:paraId="2A18356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790 794,92</w:t>
            </w:r>
          </w:p>
        </w:tc>
        <w:tc>
          <w:tcPr>
            <w:tcW w:w="353" w:type="pct"/>
            <w:shd w:val="clear" w:color="auto" w:fill="auto"/>
            <w:noWrap/>
            <w:vAlign w:val="bottom"/>
            <w:hideMark/>
          </w:tcPr>
          <w:p w14:paraId="7DC6BD3C"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804 605,48</w:t>
            </w:r>
          </w:p>
        </w:tc>
        <w:tc>
          <w:tcPr>
            <w:tcW w:w="353" w:type="pct"/>
            <w:shd w:val="clear" w:color="auto" w:fill="auto"/>
            <w:noWrap/>
            <w:vAlign w:val="bottom"/>
            <w:hideMark/>
          </w:tcPr>
          <w:p w14:paraId="4C56A5CD"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804 436,65</w:t>
            </w:r>
          </w:p>
        </w:tc>
        <w:tc>
          <w:tcPr>
            <w:tcW w:w="353" w:type="pct"/>
            <w:shd w:val="clear" w:color="auto" w:fill="auto"/>
            <w:noWrap/>
            <w:vAlign w:val="bottom"/>
            <w:hideMark/>
          </w:tcPr>
          <w:p w14:paraId="33237ED1"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804 558,17</w:t>
            </w:r>
          </w:p>
        </w:tc>
      </w:tr>
      <w:tr w:rsidR="006F4D8F" w:rsidRPr="0030445A" w14:paraId="460B591B" w14:textId="77777777" w:rsidTr="006F4D8F">
        <w:tblPrEx>
          <w:tblCellMar>
            <w:left w:w="70" w:type="dxa"/>
            <w:right w:w="70" w:type="dxa"/>
          </w:tblCellMar>
        </w:tblPrEx>
        <w:trPr>
          <w:trHeight w:val="300"/>
        </w:trPr>
        <w:tc>
          <w:tcPr>
            <w:tcW w:w="615" w:type="pct"/>
            <w:shd w:val="clear" w:color="auto" w:fill="auto"/>
            <w:noWrap/>
            <w:vAlign w:val="bottom"/>
            <w:hideMark/>
          </w:tcPr>
          <w:p w14:paraId="64D7E53F" w14:textId="77777777" w:rsidR="006F4D8F" w:rsidRPr="0030445A" w:rsidRDefault="006F4D8F" w:rsidP="006F4D8F">
            <w:pPr>
              <w:spacing w:before="0" w:line="240" w:lineRule="auto"/>
              <w:jc w:val="left"/>
              <w:rPr>
                <w:color w:val="000000"/>
                <w:sz w:val="14"/>
                <w:szCs w:val="14"/>
              </w:rPr>
            </w:pPr>
            <w:r w:rsidRPr="0030445A">
              <w:rPr>
                <w:color w:val="000000"/>
                <w:sz w:val="14"/>
                <w:szCs w:val="14"/>
              </w:rPr>
              <w:t>MAZOWIECKIE</w:t>
            </w:r>
          </w:p>
        </w:tc>
        <w:tc>
          <w:tcPr>
            <w:tcW w:w="328" w:type="pct"/>
            <w:shd w:val="clear" w:color="auto" w:fill="auto"/>
            <w:noWrap/>
            <w:vAlign w:val="bottom"/>
            <w:hideMark/>
          </w:tcPr>
          <w:p w14:paraId="49828012"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1 053 608,2</w:t>
            </w:r>
          </w:p>
        </w:tc>
        <w:tc>
          <w:tcPr>
            <w:tcW w:w="328" w:type="pct"/>
            <w:shd w:val="clear" w:color="auto" w:fill="auto"/>
            <w:noWrap/>
            <w:vAlign w:val="bottom"/>
            <w:hideMark/>
          </w:tcPr>
          <w:p w14:paraId="2E7818BE"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1 053 630,0</w:t>
            </w:r>
          </w:p>
        </w:tc>
        <w:tc>
          <w:tcPr>
            <w:tcW w:w="328" w:type="pct"/>
            <w:shd w:val="clear" w:color="auto" w:fill="auto"/>
            <w:noWrap/>
            <w:vAlign w:val="bottom"/>
            <w:hideMark/>
          </w:tcPr>
          <w:p w14:paraId="505A0192"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1 053 625,4</w:t>
            </w:r>
          </w:p>
        </w:tc>
        <w:tc>
          <w:tcPr>
            <w:tcW w:w="328" w:type="pct"/>
            <w:shd w:val="clear" w:color="auto" w:fill="auto"/>
            <w:noWrap/>
            <w:vAlign w:val="bottom"/>
            <w:hideMark/>
          </w:tcPr>
          <w:p w14:paraId="27FB21FF"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1 054 110,3</w:t>
            </w:r>
          </w:p>
        </w:tc>
        <w:tc>
          <w:tcPr>
            <w:tcW w:w="328" w:type="pct"/>
            <w:shd w:val="clear" w:color="auto" w:fill="auto"/>
            <w:noWrap/>
            <w:vAlign w:val="bottom"/>
            <w:hideMark/>
          </w:tcPr>
          <w:p w14:paraId="6853F2F3"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1 054 889,4</w:t>
            </w:r>
          </w:p>
        </w:tc>
        <w:tc>
          <w:tcPr>
            <w:tcW w:w="328" w:type="pct"/>
            <w:shd w:val="clear" w:color="auto" w:fill="auto"/>
            <w:noWrap/>
            <w:vAlign w:val="bottom"/>
            <w:hideMark/>
          </w:tcPr>
          <w:p w14:paraId="779C40C5"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1 055 242,8</w:t>
            </w:r>
          </w:p>
        </w:tc>
        <w:tc>
          <w:tcPr>
            <w:tcW w:w="328" w:type="pct"/>
            <w:shd w:val="clear" w:color="auto" w:fill="auto"/>
            <w:noWrap/>
            <w:vAlign w:val="bottom"/>
            <w:hideMark/>
          </w:tcPr>
          <w:p w14:paraId="406DC65E"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1 055 438,5</w:t>
            </w:r>
          </w:p>
        </w:tc>
        <w:tc>
          <w:tcPr>
            <w:tcW w:w="328" w:type="pct"/>
            <w:shd w:val="clear" w:color="auto" w:fill="auto"/>
            <w:noWrap/>
            <w:vAlign w:val="bottom"/>
            <w:hideMark/>
          </w:tcPr>
          <w:p w14:paraId="4E5FE747"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1 055 514,5</w:t>
            </w:r>
          </w:p>
        </w:tc>
        <w:tc>
          <w:tcPr>
            <w:tcW w:w="353" w:type="pct"/>
            <w:shd w:val="clear" w:color="auto" w:fill="auto"/>
            <w:noWrap/>
            <w:vAlign w:val="bottom"/>
            <w:hideMark/>
          </w:tcPr>
          <w:p w14:paraId="5038748C"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1 055 517,78</w:t>
            </w:r>
          </w:p>
        </w:tc>
        <w:tc>
          <w:tcPr>
            <w:tcW w:w="353" w:type="pct"/>
            <w:shd w:val="clear" w:color="auto" w:fill="auto"/>
            <w:noWrap/>
            <w:vAlign w:val="bottom"/>
            <w:hideMark/>
          </w:tcPr>
          <w:p w14:paraId="20DBEBF6"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1 055 504,53</w:t>
            </w:r>
          </w:p>
        </w:tc>
        <w:tc>
          <w:tcPr>
            <w:tcW w:w="353" w:type="pct"/>
            <w:shd w:val="clear" w:color="auto" w:fill="auto"/>
            <w:noWrap/>
            <w:vAlign w:val="bottom"/>
            <w:hideMark/>
          </w:tcPr>
          <w:p w14:paraId="2FF812B0"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1 055 738,03</w:t>
            </w:r>
          </w:p>
        </w:tc>
        <w:tc>
          <w:tcPr>
            <w:tcW w:w="353" w:type="pct"/>
            <w:shd w:val="clear" w:color="auto" w:fill="auto"/>
            <w:noWrap/>
            <w:vAlign w:val="bottom"/>
            <w:hideMark/>
          </w:tcPr>
          <w:p w14:paraId="5AF1A701"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1 056 439,01</w:t>
            </w:r>
          </w:p>
        </w:tc>
        <w:tc>
          <w:tcPr>
            <w:tcW w:w="353" w:type="pct"/>
            <w:shd w:val="clear" w:color="auto" w:fill="auto"/>
            <w:noWrap/>
            <w:vAlign w:val="bottom"/>
            <w:hideMark/>
          </w:tcPr>
          <w:p w14:paraId="03A0ACA1"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1 056 520,22</w:t>
            </w:r>
          </w:p>
        </w:tc>
      </w:tr>
      <w:tr w:rsidR="006F4D8F" w:rsidRPr="0030445A" w14:paraId="703A18F4" w14:textId="77777777" w:rsidTr="006F4D8F">
        <w:tblPrEx>
          <w:tblCellMar>
            <w:left w:w="70" w:type="dxa"/>
            <w:right w:w="70" w:type="dxa"/>
          </w:tblCellMar>
        </w:tblPrEx>
        <w:trPr>
          <w:trHeight w:val="300"/>
        </w:trPr>
        <w:tc>
          <w:tcPr>
            <w:tcW w:w="615" w:type="pct"/>
            <w:shd w:val="clear" w:color="auto" w:fill="auto"/>
            <w:noWrap/>
            <w:vAlign w:val="bottom"/>
            <w:hideMark/>
          </w:tcPr>
          <w:p w14:paraId="3C6638A0" w14:textId="77777777" w:rsidR="006F4D8F" w:rsidRPr="0030445A" w:rsidRDefault="006F4D8F" w:rsidP="006F4D8F">
            <w:pPr>
              <w:spacing w:before="0" w:line="240" w:lineRule="auto"/>
              <w:jc w:val="left"/>
              <w:rPr>
                <w:color w:val="000000"/>
                <w:sz w:val="14"/>
                <w:szCs w:val="14"/>
              </w:rPr>
            </w:pPr>
            <w:r w:rsidRPr="0030445A">
              <w:rPr>
                <w:color w:val="000000"/>
                <w:sz w:val="14"/>
                <w:szCs w:val="14"/>
              </w:rPr>
              <w:t>OPOLSKIE</w:t>
            </w:r>
          </w:p>
        </w:tc>
        <w:tc>
          <w:tcPr>
            <w:tcW w:w="328" w:type="pct"/>
            <w:shd w:val="clear" w:color="auto" w:fill="auto"/>
            <w:noWrap/>
            <w:vAlign w:val="bottom"/>
            <w:hideMark/>
          </w:tcPr>
          <w:p w14:paraId="38972778"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255 463,0</w:t>
            </w:r>
          </w:p>
        </w:tc>
        <w:tc>
          <w:tcPr>
            <w:tcW w:w="328" w:type="pct"/>
            <w:shd w:val="clear" w:color="auto" w:fill="auto"/>
            <w:noWrap/>
            <w:vAlign w:val="bottom"/>
            <w:hideMark/>
          </w:tcPr>
          <w:p w14:paraId="19D1FC2A"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255 469,2</w:t>
            </w:r>
          </w:p>
        </w:tc>
        <w:tc>
          <w:tcPr>
            <w:tcW w:w="328" w:type="pct"/>
            <w:shd w:val="clear" w:color="auto" w:fill="auto"/>
            <w:noWrap/>
            <w:vAlign w:val="bottom"/>
            <w:hideMark/>
          </w:tcPr>
          <w:p w14:paraId="27C39B5F"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255 827,6</w:t>
            </w:r>
          </w:p>
        </w:tc>
        <w:tc>
          <w:tcPr>
            <w:tcW w:w="328" w:type="pct"/>
            <w:shd w:val="clear" w:color="auto" w:fill="auto"/>
            <w:noWrap/>
            <w:vAlign w:val="bottom"/>
            <w:hideMark/>
          </w:tcPr>
          <w:p w14:paraId="162C4343"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256 064,3</w:t>
            </w:r>
          </w:p>
        </w:tc>
        <w:tc>
          <w:tcPr>
            <w:tcW w:w="328" w:type="pct"/>
            <w:shd w:val="clear" w:color="auto" w:fill="auto"/>
            <w:noWrap/>
            <w:vAlign w:val="bottom"/>
            <w:hideMark/>
          </w:tcPr>
          <w:p w14:paraId="3B1D1A36"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257 063,6</w:t>
            </w:r>
          </w:p>
        </w:tc>
        <w:tc>
          <w:tcPr>
            <w:tcW w:w="328" w:type="pct"/>
            <w:shd w:val="clear" w:color="auto" w:fill="auto"/>
            <w:noWrap/>
            <w:vAlign w:val="bottom"/>
            <w:hideMark/>
          </w:tcPr>
          <w:p w14:paraId="66835E49"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256 261,4</w:t>
            </w:r>
          </w:p>
        </w:tc>
        <w:tc>
          <w:tcPr>
            <w:tcW w:w="328" w:type="pct"/>
            <w:shd w:val="clear" w:color="auto" w:fill="auto"/>
            <w:noWrap/>
            <w:vAlign w:val="bottom"/>
            <w:hideMark/>
          </w:tcPr>
          <w:p w14:paraId="58C4FA19"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256 263,4</w:t>
            </w:r>
          </w:p>
        </w:tc>
        <w:tc>
          <w:tcPr>
            <w:tcW w:w="328" w:type="pct"/>
            <w:shd w:val="clear" w:color="auto" w:fill="auto"/>
            <w:noWrap/>
            <w:vAlign w:val="bottom"/>
            <w:hideMark/>
          </w:tcPr>
          <w:p w14:paraId="17BB7A49"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256 272,3</w:t>
            </w:r>
          </w:p>
        </w:tc>
        <w:tc>
          <w:tcPr>
            <w:tcW w:w="353" w:type="pct"/>
            <w:shd w:val="clear" w:color="auto" w:fill="auto"/>
            <w:noWrap/>
            <w:vAlign w:val="bottom"/>
            <w:hideMark/>
          </w:tcPr>
          <w:p w14:paraId="0E4EF6E6"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256 275,07</w:t>
            </w:r>
          </w:p>
        </w:tc>
        <w:tc>
          <w:tcPr>
            <w:tcW w:w="353" w:type="pct"/>
            <w:shd w:val="clear" w:color="auto" w:fill="auto"/>
            <w:noWrap/>
            <w:vAlign w:val="bottom"/>
            <w:hideMark/>
          </w:tcPr>
          <w:p w14:paraId="066287C3"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256 280,87</w:t>
            </w:r>
          </w:p>
        </w:tc>
        <w:tc>
          <w:tcPr>
            <w:tcW w:w="353" w:type="pct"/>
            <w:shd w:val="clear" w:color="auto" w:fill="auto"/>
            <w:noWrap/>
            <w:vAlign w:val="bottom"/>
            <w:hideMark/>
          </w:tcPr>
          <w:p w14:paraId="0CFEEBC8"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256 245,50</w:t>
            </w:r>
          </w:p>
        </w:tc>
        <w:tc>
          <w:tcPr>
            <w:tcW w:w="353" w:type="pct"/>
            <w:shd w:val="clear" w:color="auto" w:fill="auto"/>
            <w:noWrap/>
            <w:vAlign w:val="bottom"/>
            <w:hideMark/>
          </w:tcPr>
          <w:p w14:paraId="2AA80404" w14:textId="77777777" w:rsidR="006F4D8F" w:rsidRPr="0030445A" w:rsidRDefault="006F4D8F" w:rsidP="006F4D8F">
            <w:pPr>
              <w:spacing w:before="0" w:line="240" w:lineRule="auto"/>
              <w:jc w:val="left"/>
              <w:rPr>
                <w:color w:val="000000"/>
                <w:sz w:val="14"/>
                <w:szCs w:val="14"/>
              </w:rPr>
            </w:pPr>
            <w:r w:rsidRPr="0030445A">
              <w:rPr>
                <w:color w:val="000000"/>
                <w:sz w:val="14"/>
                <w:szCs w:val="14"/>
              </w:rPr>
              <w:t>260 475,51</w:t>
            </w:r>
          </w:p>
        </w:tc>
        <w:tc>
          <w:tcPr>
            <w:tcW w:w="353" w:type="pct"/>
            <w:shd w:val="clear" w:color="auto" w:fill="auto"/>
            <w:noWrap/>
            <w:vAlign w:val="bottom"/>
            <w:hideMark/>
          </w:tcPr>
          <w:p w14:paraId="0AAED550" w14:textId="77777777" w:rsidR="006F4D8F" w:rsidRPr="0030445A" w:rsidRDefault="006F4D8F" w:rsidP="006F4D8F">
            <w:pPr>
              <w:spacing w:before="0" w:line="240" w:lineRule="auto"/>
              <w:jc w:val="left"/>
              <w:rPr>
                <w:color w:val="000000"/>
                <w:sz w:val="14"/>
                <w:szCs w:val="14"/>
              </w:rPr>
            </w:pPr>
            <w:r w:rsidRPr="0030445A">
              <w:rPr>
                <w:color w:val="000000"/>
                <w:sz w:val="14"/>
                <w:szCs w:val="14"/>
              </w:rPr>
              <w:t>259 828,01</w:t>
            </w:r>
          </w:p>
        </w:tc>
      </w:tr>
      <w:tr w:rsidR="006F4D8F" w:rsidRPr="0030445A" w14:paraId="72EC5A8E" w14:textId="77777777" w:rsidTr="006F4D8F">
        <w:tblPrEx>
          <w:tblCellMar>
            <w:left w:w="70" w:type="dxa"/>
            <w:right w:w="70" w:type="dxa"/>
          </w:tblCellMar>
        </w:tblPrEx>
        <w:trPr>
          <w:trHeight w:val="300"/>
        </w:trPr>
        <w:tc>
          <w:tcPr>
            <w:tcW w:w="615" w:type="pct"/>
            <w:shd w:val="clear" w:color="auto" w:fill="auto"/>
            <w:noWrap/>
            <w:vAlign w:val="bottom"/>
            <w:hideMark/>
          </w:tcPr>
          <w:p w14:paraId="7FDC3FFF" w14:textId="77777777" w:rsidR="006F4D8F" w:rsidRPr="0030445A" w:rsidRDefault="006F4D8F" w:rsidP="006F4D8F">
            <w:pPr>
              <w:spacing w:before="0" w:line="240" w:lineRule="auto"/>
              <w:jc w:val="left"/>
              <w:rPr>
                <w:color w:val="000000"/>
                <w:sz w:val="14"/>
                <w:szCs w:val="14"/>
              </w:rPr>
            </w:pPr>
            <w:r w:rsidRPr="0030445A">
              <w:rPr>
                <w:color w:val="000000"/>
                <w:sz w:val="14"/>
                <w:szCs w:val="14"/>
              </w:rPr>
              <w:t>PODKARPACKIE</w:t>
            </w:r>
          </w:p>
        </w:tc>
        <w:tc>
          <w:tcPr>
            <w:tcW w:w="328" w:type="pct"/>
            <w:shd w:val="clear" w:color="auto" w:fill="auto"/>
            <w:noWrap/>
            <w:vAlign w:val="bottom"/>
            <w:hideMark/>
          </w:tcPr>
          <w:p w14:paraId="3F90277A" w14:textId="77777777" w:rsidR="006F4D8F" w:rsidRPr="0030445A" w:rsidRDefault="006F4D8F" w:rsidP="006F4D8F">
            <w:pPr>
              <w:spacing w:before="0" w:line="240" w:lineRule="auto"/>
              <w:jc w:val="left"/>
              <w:rPr>
                <w:color w:val="000000"/>
                <w:sz w:val="14"/>
                <w:szCs w:val="14"/>
              </w:rPr>
            </w:pPr>
            <w:r w:rsidRPr="0030445A">
              <w:rPr>
                <w:color w:val="000000"/>
                <w:sz w:val="14"/>
                <w:szCs w:val="14"/>
              </w:rPr>
              <w:t>851 455,9</w:t>
            </w:r>
          </w:p>
        </w:tc>
        <w:tc>
          <w:tcPr>
            <w:tcW w:w="328" w:type="pct"/>
            <w:shd w:val="clear" w:color="auto" w:fill="auto"/>
            <w:noWrap/>
            <w:vAlign w:val="bottom"/>
            <w:hideMark/>
          </w:tcPr>
          <w:p w14:paraId="18474751"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794 216,1</w:t>
            </w:r>
          </w:p>
        </w:tc>
        <w:tc>
          <w:tcPr>
            <w:tcW w:w="328" w:type="pct"/>
            <w:shd w:val="clear" w:color="auto" w:fill="auto"/>
            <w:noWrap/>
            <w:vAlign w:val="bottom"/>
            <w:hideMark/>
          </w:tcPr>
          <w:p w14:paraId="0187B9A8"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794 193,6</w:t>
            </w:r>
          </w:p>
        </w:tc>
        <w:tc>
          <w:tcPr>
            <w:tcW w:w="328" w:type="pct"/>
            <w:shd w:val="clear" w:color="auto" w:fill="auto"/>
            <w:noWrap/>
            <w:vAlign w:val="bottom"/>
            <w:hideMark/>
          </w:tcPr>
          <w:p w14:paraId="4EEA2398"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794 328,8</w:t>
            </w:r>
          </w:p>
        </w:tc>
        <w:tc>
          <w:tcPr>
            <w:tcW w:w="328" w:type="pct"/>
            <w:shd w:val="clear" w:color="auto" w:fill="auto"/>
            <w:noWrap/>
            <w:vAlign w:val="bottom"/>
            <w:hideMark/>
          </w:tcPr>
          <w:p w14:paraId="07645597"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794 682,9</w:t>
            </w:r>
          </w:p>
        </w:tc>
        <w:tc>
          <w:tcPr>
            <w:tcW w:w="328" w:type="pct"/>
            <w:shd w:val="clear" w:color="auto" w:fill="auto"/>
            <w:noWrap/>
            <w:vAlign w:val="bottom"/>
            <w:hideMark/>
          </w:tcPr>
          <w:p w14:paraId="2F3438DB"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797 643,7</w:t>
            </w:r>
          </w:p>
        </w:tc>
        <w:tc>
          <w:tcPr>
            <w:tcW w:w="328" w:type="pct"/>
            <w:shd w:val="clear" w:color="auto" w:fill="auto"/>
            <w:noWrap/>
            <w:vAlign w:val="bottom"/>
            <w:hideMark/>
          </w:tcPr>
          <w:p w14:paraId="0175E97A"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797 648,3</w:t>
            </w:r>
          </w:p>
        </w:tc>
        <w:tc>
          <w:tcPr>
            <w:tcW w:w="328" w:type="pct"/>
            <w:shd w:val="clear" w:color="auto" w:fill="auto"/>
            <w:noWrap/>
            <w:vAlign w:val="bottom"/>
            <w:hideMark/>
          </w:tcPr>
          <w:p w14:paraId="238A9E7A" w14:textId="77777777" w:rsidR="006F4D8F" w:rsidRPr="0030445A" w:rsidRDefault="006F4D8F" w:rsidP="006F4D8F">
            <w:pPr>
              <w:spacing w:before="0" w:line="240" w:lineRule="auto"/>
              <w:jc w:val="left"/>
              <w:rPr>
                <w:color w:val="000000"/>
                <w:sz w:val="14"/>
                <w:szCs w:val="14"/>
              </w:rPr>
            </w:pPr>
            <w:r w:rsidRPr="0030445A">
              <w:rPr>
                <w:color w:val="000000"/>
                <w:sz w:val="14"/>
                <w:szCs w:val="14"/>
              </w:rPr>
              <w:t>797 638,7</w:t>
            </w:r>
          </w:p>
        </w:tc>
        <w:tc>
          <w:tcPr>
            <w:tcW w:w="353" w:type="pct"/>
            <w:shd w:val="clear" w:color="auto" w:fill="auto"/>
            <w:noWrap/>
            <w:vAlign w:val="bottom"/>
            <w:hideMark/>
          </w:tcPr>
          <w:p w14:paraId="17EE67CB"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800 560,15</w:t>
            </w:r>
          </w:p>
        </w:tc>
        <w:tc>
          <w:tcPr>
            <w:tcW w:w="353" w:type="pct"/>
            <w:shd w:val="clear" w:color="auto" w:fill="auto"/>
            <w:noWrap/>
            <w:vAlign w:val="bottom"/>
            <w:hideMark/>
          </w:tcPr>
          <w:p w14:paraId="3010A1F0"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800 703,64</w:t>
            </w:r>
          </w:p>
        </w:tc>
        <w:tc>
          <w:tcPr>
            <w:tcW w:w="353" w:type="pct"/>
            <w:shd w:val="clear" w:color="auto" w:fill="auto"/>
            <w:noWrap/>
            <w:vAlign w:val="bottom"/>
            <w:hideMark/>
          </w:tcPr>
          <w:p w14:paraId="09214573"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801 228,18</w:t>
            </w:r>
          </w:p>
        </w:tc>
        <w:tc>
          <w:tcPr>
            <w:tcW w:w="353" w:type="pct"/>
            <w:shd w:val="clear" w:color="auto" w:fill="auto"/>
            <w:noWrap/>
            <w:vAlign w:val="bottom"/>
            <w:hideMark/>
          </w:tcPr>
          <w:p w14:paraId="5C721305"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801 270,88</w:t>
            </w:r>
          </w:p>
        </w:tc>
        <w:tc>
          <w:tcPr>
            <w:tcW w:w="353" w:type="pct"/>
            <w:shd w:val="clear" w:color="auto" w:fill="auto"/>
            <w:noWrap/>
            <w:vAlign w:val="bottom"/>
            <w:hideMark/>
          </w:tcPr>
          <w:p w14:paraId="1F509EE4" w14:textId="77777777" w:rsidR="006F4D8F" w:rsidRPr="0030445A" w:rsidRDefault="006F4D8F" w:rsidP="006F4D8F">
            <w:pPr>
              <w:spacing w:before="0" w:line="240" w:lineRule="auto"/>
              <w:jc w:val="left"/>
              <w:rPr>
                <w:color w:val="000000"/>
                <w:sz w:val="14"/>
                <w:szCs w:val="14"/>
              </w:rPr>
            </w:pPr>
            <w:r w:rsidRPr="0030445A">
              <w:rPr>
                <w:color w:val="000000"/>
                <w:sz w:val="14"/>
                <w:szCs w:val="14"/>
              </w:rPr>
              <w:t>801 235,11</w:t>
            </w:r>
          </w:p>
        </w:tc>
      </w:tr>
      <w:tr w:rsidR="006F4D8F" w:rsidRPr="0030445A" w14:paraId="7F7E7706" w14:textId="77777777" w:rsidTr="006F4D8F">
        <w:tblPrEx>
          <w:tblCellMar>
            <w:left w:w="70" w:type="dxa"/>
            <w:right w:w="70" w:type="dxa"/>
          </w:tblCellMar>
        </w:tblPrEx>
        <w:trPr>
          <w:trHeight w:val="300"/>
        </w:trPr>
        <w:tc>
          <w:tcPr>
            <w:tcW w:w="615" w:type="pct"/>
            <w:shd w:val="clear" w:color="auto" w:fill="auto"/>
            <w:noWrap/>
            <w:vAlign w:val="bottom"/>
            <w:hideMark/>
          </w:tcPr>
          <w:p w14:paraId="705AEF98" w14:textId="77777777" w:rsidR="006F4D8F" w:rsidRPr="0030445A" w:rsidRDefault="006F4D8F" w:rsidP="006F4D8F">
            <w:pPr>
              <w:spacing w:before="0" w:line="240" w:lineRule="auto"/>
              <w:jc w:val="left"/>
              <w:rPr>
                <w:color w:val="000000"/>
                <w:sz w:val="14"/>
                <w:szCs w:val="14"/>
              </w:rPr>
            </w:pPr>
            <w:r w:rsidRPr="0030445A">
              <w:rPr>
                <w:color w:val="000000"/>
                <w:sz w:val="14"/>
                <w:szCs w:val="14"/>
              </w:rPr>
              <w:t>PODLASKIE</w:t>
            </w:r>
          </w:p>
        </w:tc>
        <w:tc>
          <w:tcPr>
            <w:tcW w:w="328" w:type="pct"/>
            <w:shd w:val="clear" w:color="auto" w:fill="auto"/>
            <w:noWrap/>
            <w:vAlign w:val="bottom"/>
            <w:hideMark/>
          </w:tcPr>
          <w:p w14:paraId="6BA69DB7"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644 999,7</w:t>
            </w:r>
          </w:p>
        </w:tc>
        <w:tc>
          <w:tcPr>
            <w:tcW w:w="328" w:type="pct"/>
            <w:shd w:val="clear" w:color="auto" w:fill="auto"/>
            <w:noWrap/>
            <w:vAlign w:val="bottom"/>
            <w:hideMark/>
          </w:tcPr>
          <w:p w14:paraId="71FD6D4A"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644 996,2</w:t>
            </w:r>
          </w:p>
        </w:tc>
        <w:tc>
          <w:tcPr>
            <w:tcW w:w="328" w:type="pct"/>
            <w:shd w:val="clear" w:color="auto" w:fill="auto"/>
            <w:noWrap/>
            <w:vAlign w:val="bottom"/>
            <w:hideMark/>
          </w:tcPr>
          <w:p w14:paraId="22569ACF"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645 093,1</w:t>
            </w:r>
          </w:p>
        </w:tc>
        <w:tc>
          <w:tcPr>
            <w:tcW w:w="328" w:type="pct"/>
            <w:shd w:val="clear" w:color="auto" w:fill="auto"/>
            <w:noWrap/>
            <w:vAlign w:val="bottom"/>
            <w:hideMark/>
          </w:tcPr>
          <w:p w14:paraId="6F7DB277"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645 103,9</w:t>
            </w:r>
          </w:p>
        </w:tc>
        <w:tc>
          <w:tcPr>
            <w:tcW w:w="328" w:type="pct"/>
            <w:shd w:val="clear" w:color="auto" w:fill="auto"/>
            <w:noWrap/>
            <w:vAlign w:val="bottom"/>
            <w:hideMark/>
          </w:tcPr>
          <w:p w14:paraId="44347312"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645 476,1</w:t>
            </w:r>
          </w:p>
        </w:tc>
        <w:tc>
          <w:tcPr>
            <w:tcW w:w="328" w:type="pct"/>
            <w:shd w:val="clear" w:color="auto" w:fill="auto"/>
            <w:noWrap/>
            <w:vAlign w:val="bottom"/>
            <w:hideMark/>
          </w:tcPr>
          <w:p w14:paraId="2B2F4C7C"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645 561,4</w:t>
            </w:r>
          </w:p>
        </w:tc>
        <w:tc>
          <w:tcPr>
            <w:tcW w:w="328" w:type="pct"/>
            <w:shd w:val="clear" w:color="auto" w:fill="auto"/>
            <w:noWrap/>
            <w:vAlign w:val="bottom"/>
            <w:hideMark/>
          </w:tcPr>
          <w:p w14:paraId="50960DCF"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645 634,4</w:t>
            </w:r>
          </w:p>
        </w:tc>
        <w:tc>
          <w:tcPr>
            <w:tcW w:w="328" w:type="pct"/>
            <w:shd w:val="clear" w:color="auto" w:fill="auto"/>
            <w:noWrap/>
            <w:vAlign w:val="bottom"/>
            <w:hideMark/>
          </w:tcPr>
          <w:p w14:paraId="279C9318"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645 990,7</w:t>
            </w:r>
          </w:p>
        </w:tc>
        <w:tc>
          <w:tcPr>
            <w:tcW w:w="353" w:type="pct"/>
            <w:shd w:val="clear" w:color="auto" w:fill="auto"/>
            <w:noWrap/>
            <w:vAlign w:val="bottom"/>
            <w:hideMark/>
          </w:tcPr>
          <w:p w14:paraId="3CC3D1D7"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646 091,35</w:t>
            </w:r>
          </w:p>
        </w:tc>
        <w:tc>
          <w:tcPr>
            <w:tcW w:w="353" w:type="pct"/>
            <w:shd w:val="clear" w:color="auto" w:fill="auto"/>
            <w:noWrap/>
            <w:vAlign w:val="bottom"/>
            <w:hideMark/>
          </w:tcPr>
          <w:p w14:paraId="3F5601F1"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645 058,25</w:t>
            </w:r>
          </w:p>
        </w:tc>
        <w:tc>
          <w:tcPr>
            <w:tcW w:w="353" w:type="pct"/>
            <w:shd w:val="clear" w:color="auto" w:fill="auto"/>
            <w:noWrap/>
            <w:vAlign w:val="bottom"/>
            <w:hideMark/>
          </w:tcPr>
          <w:p w14:paraId="61955669" w14:textId="77777777" w:rsidR="006F4D8F" w:rsidRPr="0030445A" w:rsidRDefault="006F4D8F" w:rsidP="006F4D8F">
            <w:pPr>
              <w:spacing w:before="0" w:line="240" w:lineRule="auto"/>
              <w:jc w:val="left"/>
              <w:rPr>
                <w:color w:val="000000"/>
                <w:sz w:val="14"/>
                <w:szCs w:val="14"/>
              </w:rPr>
            </w:pPr>
            <w:r w:rsidRPr="0030445A">
              <w:rPr>
                <w:color w:val="000000"/>
                <w:sz w:val="14"/>
                <w:szCs w:val="14"/>
              </w:rPr>
              <w:t>642 313,97</w:t>
            </w:r>
          </w:p>
        </w:tc>
        <w:tc>
          <w:tcPr>
            <w:tcW w:w="353" w:type="pct"/>
            <w:shd w:val="clear" w:color="auto" w:fill="auto"/>
            <w:noWrap/>
            <w:vAlign w:val="bottom"/>
            <w:hideMark/>
          </w:tcPr>
          <w:p w14:paraId="3920EE82" w14:textId="77777777" w:rsidR="006F4D8F" w:rsidRPr="0030445A" w:rsidRDefault="006F4D8F" w:rsidP="006F4D8F">
            <w:pPr>
              <w:spacing w:before="0" w:line="240" w:lineRule="auto"/>
              <w:jc w:val="left"/>
              <w:rPr>
                <w:color w:val="000000"/>
                <w:sz w:val="14"/>
                <w:szCs w:val="14"/>
              </w:rPr>
            </w:pPr>
            <w:r w:rsidRPr="0030445A">
              <w:rPr>
                <w:color w:val="000000"/>
                <w:sz w:val="14"/>
                <w:szCs w:val="14"/>
              </w:rPr>
              <w:t>638 841,50</w:t>
            </w:r>
          </w:p>
        </w:tc>
        <w:tc>
          <w:tcPr>
            <w:tcW w:w="353" w:type="pct"/>
            <w:shd w:val="clear" w:color="auto" w:fill="auto"/>
            <w:noWrap/>
            <w:vAlign w:val="bottom"/>
            <w:hideMark/>
          </w:tcPr>
          <w:p w14:paraId="3F6ACE70" w14:textId="77777777" w:rsidR="006F4D8F" w:rsidRPr="0030445A" w:rsidRDefault="006F4D8F" w:rsidP="006F4D8F">
            <w:pPr>
              <w:spacing w:before="0" w:line="240" w:lineRule="auto"/>
              <w:jc w:val="left"/>
              <w:rPr>
                <w:color w:val="000000"/>
                <w:sz w:val="14"/>
                <w:szCs w:val="14"/>
              </w:rPr>
            </w:pPr>
            <w:r w:rsidRPr="0030445A">
              <w:rPr>
                <w:color w:val="000000"/>
                <w:sz w:val="14"/>
                <w:szCs w:val="14"/>
              </w:rPr>
              <w:t>638 840,76</w:t>
            </w:r>
          </w:p>
        </w:tc>
      </w:tr>
      <w:tr w:rsidR="006F4D8F" w:rsidRPr="0030445A" w14:paraId="1D58F700" w14:textId="77777777" w:rsidTr="006F4D8F">
        <w:tblPrEx>
          <w:tblCellMar>
            <w:left w:w="70" w:type="dxa"/>
            <w:right w:w="70" w:type="dxa"/>
          </w:tblCellMar>
        </w:tblPrEx>
        <w:trPr>
          <w:trHeight w:val="300"/>
        </w:trPr>
        <w:tc>
          <w:tcPr>
            <w:tcW w:w="615" w:type="pct"/>
            <w:shd w:val="clear" w:color="auto" w:fill="auto"/>
            <w:noWrap/>
            <w:vAlign w:val="bottom"/>
            <w:hideMark/>
          </w:tcPr>
          <w:p w14:paraId="31A9274D" w14:textId="77777777" w:rsidR="006F4D8F" w:rsidRPr="0030445A" w:rsidRDefault="006F4D8F" w:rsidP="006F4D8F">
            <w:pPr>
              <w:spacing w:before="0" w:line="240" w:lineRule="auto"/>
              <w:jc w:val="left"/>
              <w:rPr>
                <w:color w:val="000000"/>
                <w:sz w:val="14"/>
                <w:szCs w:val="14"/>
              </w:rPr>
            </w:pPr>
            <w:r w:rsidRPr="0030445A">
              <w:rPr>
                <w:color w:val="000000"/>
                <w:sz w:val="14"/>
                <w:szCs w:val="14"/>
              </w:rPr>
              <w:t>POMORSKIE</w:t>
            </w:r>
          </w:p>
        </w:tc>
        <w:tc>
          <w:tcPr>
            <w:tcW w:w="328" w:type="pct"/>
            <w:shd w:val="clear" w:color="auto" w:fill="auto"/>
            <w:noWrap/>
            <w:vAlign w:val="bottom"/>
            <w:hideMark/>
          </w:tcPr>
          <w:p w14:paraId="4155943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596 097,6</w:t>
            </w:r>
          </w:p>
        </w:tc>
        <w:tc>
          <w:tcPr>
            <w:tcW w:w="328" w:type="pct"/>
            <w:shd w:val="clear" w:color="auto" w:fill="auto"/>
            <w:noWrap/>
            <w:vAlign w:val="bottom"/>
            <w:hideMark/>
          </w:tcPr>
          <w:p w14:paraId="0B2389E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594 770,7</w:t>
            </w:r>
          </w:p>
        </w:tc>
        <w:tc>
          <w:tcPr>
            <w:tcW w:w="328" w:type="pct"/>
            <w:shd w:val="clear" w:color="auto" w:fill="auto"/>
            <w:noWrap/>
            <w:vAlign w:val="bottom"/>
            <w:hideMark/>
          </w:tcPr>
          <w:p w14:paraId="6D6F0650"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595 996,8</w:t>
            </w:r>
          </w:p>
        </w:tc>
        <w:tc>
          <w:tcPr>
            <w:tcW w:w="328" w:type="pct"/>
            <w:shd w:val="clear" w:color="auto" w:fill="auto"/>
            <w:noWrap/>
            <w:vAlign w:val="bottom"/>
            <w:hideMark/>
          </w:tcPr>
          <w:p w14:paraId="57521443"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597 337,8</w:t>
            </w:r>
          </w:p>
        </w:tc>
        <w:tc>
          <w:tcPr>
            <w:tcW w:w="328" w:type="pct"/>
            <w:shd w:val="clear" w:color="auto" w:fill="auto"/>
            <w:noWrap/>
            <w:vAlign w:val="bottom"/>
            <w:hideMark/>
          </w:tcPr>
          <w:p w14:paraId="02E0291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598 119,3</w:t>
            </w:r>
          </w:p>
        </w:tc>
        <w:tc>
          <w:tcPr>
            <w:tcW w:w="328" w:type="pct"/>
            <w:shd w:val="clear" w:color="auto" w:fill="auto"/>
            <w:noWrap/>
            <w:vAlign w:val="bottom"/>
            <w:hideMark/>
          </w:tcPr>
          <w:p w14:paraId="6C94BCD4"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598 064,4</w:t>
            </w:r>
          </w:p>
        </w:tc>
        <w:tc>
          <w:tcPr>
            <w:tcW w:w="328" w:type="pct"/>
            <w:shd w:val="clear" w:color="auto" w:fill="auto"/>
            <w:noWrap/>
            <w:vAlign w:val="bottom"/>
            <w:hideMark/>
          </w:tcPr>
          <w:p w14:paraId="211D05A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598 215,8</w:t>
            </w:r>
          </w:p>
        </w:tc>
        <w:tc>
          <w:tcPr>
            <w:tcW w:w="328" w:type="pct"/>
            <w:shd w:val="clear" w:color="auto" w:fill="auto"/>
            <w:noWrap/>
            <w:vAlign w:val="bottom"/>
            <w:hideMark/>
          </w:tcPr>
          <w:p w14:paraId="716FCDEF"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598 230,0</w:t>
            </w:r>
          </w:p>
        </w:tc>
        <w:tc>
          <w:tcPr>
            <w:tcW w:w="353" w:type="pct"/>
            <w:shd w:val="clear" w:color="auto" w:fill="auto"/>
            <w:noWrap/>
            <w:vAlign w:val="bottom"/>
            <w:hideMark/>
          </w:tcPr>
          <w:p w14:paraId="693C2EFA"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597 955,49</w:t>
            </w:r>
          </w:p>
        </w:tc>
        <w:tc>
          <w:tcPr>
            <w:tcW w:w="353" w:type="pct"/>
            <w:shd w:val="clear" w:color="auto" w:fill="auto"/>
            <w:noWrap/>
            <w:vAlign w:val="bottom"/>
            <w:hideMark/>
          </w:tcPr>
          <w:p w14:paraId="44E30F0D"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598 308,79</w:t>
            </w:r>
          </w:p>
        </w:tc>
        <w:tc>
          <w:tcPr>
            <w:tcW w:w="353" w:type="pct"/>
            <w:shd w:val="clear" w:color="auto" w:fill="auto"/>
            <w:noWrap/>
            <w:vAlign w:val="bottom"/>
            <w:hideMark/>
          </w:tcPr>
          <w:p w14:paraId="55C54495"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598 303,36</w:t>
            </w:r>
          </w:p>
        </w:tc>
        <w:tc>
          <w:tcPr>
            <w:tcW w:w="353" w:type="pct"/>
            <w:shd w:val="clear" w:color="auto" w:fill="auto"/>
            <w:noWrap/>
            <w:vAlign w:val="bottom"/>
            <w:hideMark/>
          </w:tcPr>
          <w:p w14:paraId="0BE4E053"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598 303,46</w:t>
            </w:r>
          </w:p>
        </w:tc>
        <w:tc>
          <w:tcPr>
            <w:tcW w:w="353" w:type="pct"/>
            <w:shd w:val="clear" w:color="auto" w:fill="auto"/>
            <w:noWrap/>
            <w:vAlign w:val="bottom"/>
            <w:hideMark/>
          </w:tcPr>
          <w:p w14:paraId="667E7B9C" w14:textId="77777777" w:rsidR="006F4D8F" w:rsidRPr="0030445A" w:rsidRDefault="006F4D8F" w:rsidP="006F4D8F">
            <w:pPr>
              <w:spacing w:before="0" w:line="240" w:lineRule="auto"/>
              <w:jc w:val="left"/>
              <w:rPr>
                <w:color w:val="000000"/>
                <w:sz w:val="14"/>
                <w:szCs w:val="14"/>
              </w:rPr>
            </w:pPr>
            <w:r w:rsidRPr="0030445A">
              <w:rPr>
                <w:color w:val="000000"/>
                <w:sz w:val="14"/>
                <w:szCs w:val="14"/>
              </w:rPr>
              <w:t>597 713,99</w:t>
            </w:r>
          </w:p>
        </w:tc>
      </w:tr>
      <w:tr w:rsidR="006F4D8F" w:rsidRPr="0030445A" w14:paraId="5182F871" w14:textId="77777777" w:rsidTr="006F4D8F">
        <w:tblPrEx>
          <w:tblCellMar>
            <w:left w:w="70" w:type="dxa"/>
            <w:right w:w="70" w:type="dxa"/>
          </w:tblCellMar>
        </w:tblPrEx>
        <w:trPr>
          <w:trHeight w:val="300"/>
        </w:trPr>
        <w:tc>
          <w:tcPr>
            <w:tcW w:w="615" w:type="pct"/>
            <w:shd w:val="clear" w:color="auto" w:fill="auto"/>
            <w:noWrap/>
            <w:vAlign w:val="bottom"/>
            <w:hideMark/>
          </w:tcPr>
          <w:p w14:paraId="790880FB" w14:textId="77777777" w:rsidR="006F4D8F" w:rsidRPr="0030445A" w:rsidRDefault="006F4D8F" w:rsidP="006F4D8F">
            <w:pPr>
              <w:spacing w:before="0" w:line="240" w:lineRule="auto"/>
              <w:jc w:val="left"/>
              <w:rPr>
                <w:color w:val="000000"/>
                <w:sz w:val="14"/>
                <w:szCs w:val="14"/>
              </w:rPr>
            </w:pPr>
            <w:r w:rsidRPr="0030445A">
              <w:rPr>
                <w:color w:val="000000"/>
                <w:sz w:val="14"/>
                <w:szCs w:val="14"/>
              </w:rPr>
              <w:t>ŚLĄSKIE</w:t>
            </w:r>
          </w:p>
        </w:tc>
        <w:tc>
          <w:tcPr>
            <w:tcW w:w="328" w:type="pct"/>
            <w:shd w:val="clear" w:color="auto" w:fill="auto"/>
            <w:noWrap/>
            <w:vAlign w:val="bottom"/>
            <w:hideMark/>
          </w:tcPr>
          <w:p w14:paraId="5649100C"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271 243,1</w:t>
            </w:r>
          </w:p>
        </w:tc>
        <w:tc>
          <w:tcPr>
            <w:tcW w:w="328" w:type="pct"/>
            <w:shd w:val="clear" w:color="auto" w:fill="auto"/>
            <w:noWrap/>
            <w:vAlign w:val="bottom"/>
            <w:hideMark/>
          </w:tcPr>
          <w:p w14:paraId="4BF987BB"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271 288,7</w:t>
            </w:r>
          </w:p>
        </w:tc>
        <w:tc>
          <w:tcPr>
            <w:tcW w:w="328" w:type="pct"/>
            <w:shd w:val="clear" w:color="auto" w:fill="auto"/>
            <w:noWrap/>
            <w:vAlign w:val="bottom"/>
            <w:hideMark/>
          </w:tcPr>
          <w:p w14:paraId="3ED8F5F0"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272 480,5</w:t>
            </w:r>
          </w:p>
        </w:tc>
        <w:tc>
          <w:tcPr>
            <w:tcW w:w="328" w:type="pct"/>
            <w:shd w:val="clear" w:color="auto" w:fill="auto"/>
            <w:noWrap/>
            <w:vAlign w:val="bottom"/>
            <w:hideMark/>
          </w:tcPr>
          <w:p w14:paraId="245FCC56"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272 637,8</w:t>
            </w:r>
          </w:p>
        </w:tc>
        <w:tc>
          <w:tcPr>
            <w:tcW w:w="328" w:type="pct"/>
            <w:shd w:val="clear" w:color="auto" w:fill="auto"/>
            <w:noWrap/>
            <w:vAlign w:val="bottom"/>
            <w:hideMark/>
          </w:tcPr>
          <w:p w14:paraId="0A2EB20C"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272 770,4</w:t>
            </w:r>
          </w:p>
        </w:tc>
        <w:tc>
          <w:tcPr>
            <w:tcW w:w="328" w:type="pct"/>
            <w:shd w:val="clear" w:color="auto" w:fill="auto"/>
            <w:noWrap/>
            <w:vAlign w:val="bottom"/>
            <w:hideMark/>
          </w:tcPr>
          <w:p w14:paraId="3C712FAE"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273 172,2</w:t>
            </w:r>
          </w:p>
        </w:tc>
        <w:tc>
          <w:tcPr>
            <w:tcW w:w="328" w:type="pct"/>
            <w:shd w:val="clear" w:color="auto" w:fill="auto"/>
            <w:noWrap/>
            <w:vAlign w:val="bottom"/>
            <w:hideMark/>
          </w:tcPr>
          <w:p w14:paraId="5D3EFE53"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273 175,7</w:t>
            </w:r>
          </w:p>
        </w:tc>
        <w:tc>
          <w:tcPr>
            <w:tcW w:w="328" w:type="pct"/>
            <w:shd w:val="clear" w:color="auto" w:fill="auto"/>
            <w:noWrap/>
            <w:vAlign w:val="bottom"/>
            <w:hideMark/>
          </w:tcPr>
          <w:p w14:paraId="54AFA75E"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273 574,8</w:t>
            </w:r>
          </w:p>
        </w:tc>
        <w:tc>
          <w:tcPr>
            <w:tcW w:w="353" w:type="pct"/>
            <w:shd w:val="clear" w:color="auto" w:fill="auto"/>
            <w:noWrap/>
            <w:vAlign w:val="bottom"/>
            <w:hideMark/>
          </w:tcPr>
          <w:p w14:paraId="71B4AC98"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273 643,58</w:t>
            </w:r>
          </w:p>
        </w:tc>
        <w:tc>
          <w:tcPr>
            <w:tcW w:w="353" w:type="pct"/>
            <w:shd w:val="clear" w:color="auto" w:fill="auto"/>
            <w:noWrap/>
            <w:vAlign w:val="bottom"/>
            <w:hideMark/>
          </w:tcPr>
          <w:p w14:paraId="3B4E2F31"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273 644,58</w:t>
            </w:r>
          </w:p>
        </w:tc>
        <w:tc>
          <w:tcPr>
            <w:tcW w:w="353" w:type="pct"/>
            <w:shd w:val="clear" w:color="auto" w:fill="auto"/>
            <w:noWrap/>
            <w:vAlign w:val="bottom"/>
            <w:hideMark/>
          </w:tcPr>
          <w:p w14:paraId="41753AE6"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273 727,92</w:t>
            </w:r>
          </w:p>
        </w:tc>
        <w:tc>
          <w:tcPr>
            <w:tcW w:w="353" w:type="pct"/>
            <w:shd w:val="clear" w:color="auto" w:fill="auto"/>
            <w:noWrap/>
            <w:vAlign w:val="bottom"/>
            <w:hideMark/>
          </w:tcPr>
          <w:p w14:paraId="49616A10"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271 871,65</w:t>
            </w:r>
          </w:p>
        </w:tc>
        <w:tc>
          <w:tcPr>
            <w:tcW w:w="353" w:type="pct"/>
            <w:shd w:val="clear" w:color="auto" w:fill="auto"/>
            <w:noWrap/>
            <w:vAlign w:val="bottom"/>
            <w:hideMark/>
          </w:tcPr>
          <w:p w14:paraId="392EBFDB" w14:textId="77777777" w:rsidR="006F4D8F" w:rsidRPr="0030445A" w:rsidRDefault="006F4D8F" w:rsidP="006F4D8F">
            <w:pPr>
              <w:spacing w:before="0" w:line="240" w:lineRule="auto"/>
              <w:jc w:val="left"/>
              <w:rPr>
                <w:color w:val="000000"/>
                <w:sz w:val="14"/>
                <w:szCs w:val="14"/>
              </w:rPr>
            </w:pPr>
            <w:r w:rsidRPr="0030445A">
              <w:rPr>
                <w:color w:val="000000"/>
                <w:sz w:val="14"/>
                <w:szCs w:val="14"/>
              </w:rPr>
              <w:t>271 803,48</w:t>
            </w:r>
          </w:p>
        </w:tc>
      </w:tr>
      <w:tr w:rsidR="006F4D8F" w:rsidRPr="0030445A" w14:paraId="4EA01ADF" w14:textId="77777777" w:rsidTr="006F4D8F">
        <w:tblPrEx>
          <w:tblCellMar>
            <w:left w:w="70" w:type="dxa"/>
            <w:right w:w="70" w:type="dxa"/>
          </w:tblCellMar>
        </w:tblPrEx>
        <w:trPr>
          <w:trHeight w:val="300"/>
        </w:trPr>
        <w:tc>
          <w:tcPr>
            <w:tcW w:w="615" w:type="pct"/>
            <w:shd w:val="clear" w:color="auto" w:fill="auto"/>
            <w:noWrap/>
            <w:vAlign w:val="bottom"/>
            <w:hideMark/>
          </w:tcPr>
          <w:p w14:paraId="2881F69F" w14:textId="77777777" w:rsidR="006F4D8F" w:rsidRPr="0030445A" w:rsidRDefault="006F4D8F" w:rsidP="006F4D8F">
            <w:pPr>
              <w:spacing w:before="0" w:line="240" w:lineRule="auto"/>
              <w:jc w:val="left"/>
              <w:rPr>
                <w:color w:val="000000"/>
                <w:sz w:val="14"/>
                <w:szCs w:val="14"/>
              </w:rPr>
            </w:pPr>
            <w:r w:rsidRPr="0030445A">
              <w:rPr>
                <w:color w:val="000000"/>
                <w:sz w:val="14"/>
                <w:szCs w:val="14"/>
              </w:rPr>
              <w:t>ŚWIĘTOKRZYSKIE</w:t>
            </w:r>
          </w:p>
        </w:tc>
        <w:tc>
          <w:tcPr>
            <w:tcW w:w="328" w:type="pct"/>
            <w:shd w:val="clear" w:color="auto" w:fill="auto"/>
            <w:noWrap/>
            <w:vAlign w:val="bottom"/>
            <w:hideMark/>
          </w:tcPr>
          <w:p w14:paraId="1CDEF6F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725 285,9</w:t>
            </w:r>
          </w:p>
        </w:tc>
        <w:tc>
          <w:tcPr>
            <w:tcW w:w="328" w:type="pct"/>
            <w:shd w:val="clear" w:color="auto" w:fill="auto"/>
            <w:noWrap/>
            <w:vAlign w:val="bottom"/>
            <w:hideMark/>
          </w:tcPr>
          <w:p w14:paraId="30B6682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733 272,6</w:t>
            </w:r>
          </w:p>
        </w:tc>
        <w:tc>
          <w:tcPr>
            <w:tcW w:w="328" w:type="pct"/>
            <w:shd w:val="clear" w:color="auto" w:fill="auto"/>
            <w:noWrap/>
            <w:vAlign w:val="bottom"/>
            <w:hideMark/>
          </w:tcPr>
          <w:p w14:paraId="60C79ADB" w14:textId="77777777" w:rsidR="006F4D8F" w:rsidRPr="0030445A" w:rsidRDefault="006F4D8F" w:rsidP="006F4D8F">
            <w:pPr>
              <w:spacing w:before="0" w:line="240" w:lineRule="auto"/>
              <w:jc w:val="left"/>
              <w:rPr>
                <w:color w:val="000000"/>
                <w:sz w:val="14"/>
                <w:szCs w:val="14"/>
              </w:rPr>
            </w:pPr>
            <w:r w:rsidRPr="0030445A">
              <w:rPr>
                <w:color w:val="000000"/>
                <w:sz w:val="14"/>
                <w:szCs w:val="14"/>
              </w:rPr>
              <w:t>738 065,5</w:t>
            </w:r>
          </w:p>
        </w:tc>
        <w:tc>
          <w:tcPr>
            <w:tcW w:w="328" w:type="pct"/>
            <w:shd w:val="clear" w:color="auto" w:fill="auto"/>
            <w:noWrap/>
            <w:vAlign w:val="bottom"/>
            <w:hideMark/>
          </w:tcPr>
          <w:p w14:paraId="648C9DD8" w14:textId="77777777" w:rsidR="006F4D8F" w:rsidRPr="0030445A" w:rsidRDefault="006F4D8F" w:rsidP="006F4D8F">
            <w:pPr>
              <w:spacing w:before="0" w:line="240" w:lineRule="auto"/>
              <w:jc w:val="left"/>
              <w:rPr>
                <w:color w:val="000000"/>
                <w:sz w:val="14"/>
                <w:szCs w:val="14"/>
              </w:rPr>
            </w:pPr>
            <w:r w:rsidRPr="0030445A">
              <w:rPr>
                <w:color w:val="000000"/>
                <w:sz w:val="14"/>
                <w:szCs w:val="14"/>
              </w:rPr>
              <w:t>748 709,1</w:t>
            </w:r>
          </w:p>
        </w:tc>
        <w:tc>
          <w:tcPr>
            <w:tcW w:w="328" w:type="pct"/>
            <w:shd w:val="clear" w:color="auto" w:fill="auto"/>
            <w:noWrap/>
            <w:vAlign w:val="bottom"/>
            <w:hideMark/>
          </w:tcPr>
          <w:p w14:paraId="019062F4" w14:textId="77777777" w:rsidR="006F4D8F" w:rsidRPr="0030445A" w:rsidRDefault="006F4D8F" w:rsidP="006F4D8F">
            <w:pPr>
              <w:spacing w:before="0" w:line="240" w:lineRule="auto"/>
              <w:jc w:val="left"/>
              <w:rPr>
                <w:color w:val="000000"/>
                <w:sz w:val="14"/>
                <w:szCs w:val="14"/>
              </w:rPr>
            </w:pPr>
            <w:r w:rsidRPr="0030445A">
              <w:rPr>
                <w:color w:val="000000"/>
                <w:sz w:val="14"/>
                <w:szCs w:val="14"/>
              </w:rPr>
              <w:t>755 972,0</w:t>
            </w:r>
          </w:p>
        </w:tc>
        <w:tc>
          <w:tcPr>
            <w:tcW w:w="328" w:type="pct"/>
            <w:shd w:val="clear" w:color="auto" w:fill="auto"/>
            <w:noWrap/>
            <w:vAlign w:val="bottom"/>
            <w:hideMark/>
          </w:tcPr>
          <w:p w14:paraId="1B30EB4E" w14:textId="77777777" w:rsidR="006F4D8F" w:rsidRPr="0030445A" w:rsidRDefault="006F4D8F" w:rsidP="006F4D8F">
            <w:pPr>
              <w:spacing w:before="0" w:line="240" w:lineRule="auto"/>
              <w:jc w:val="left"/>
              <w:rPr>
                <w:color w:val="000000"/>
                <w:sz w:val="14"/>
                <w:szCs w:val="14"/>
              </w:rPr>
            </w:pPr>
            <w:r w:rsidRPr="0030445A">
              <w:rPr>
                <w:color w:val="000000"/>
                <w:sz w:val="14"/>
                <w:szCs w:val="14"/>
              </w:rPr>
              <w:t>755 759,1</w:t>
            </w:r>
          </w:p>
        </w:tc>
        <w:tc>
          <w:tcPr>
            <w:tcW w:w="328" w:type="pct"/>
            <w:shd w:val="clear" w:color="auto" w:fill="auto"/>
            <w:noWrap/>
            <w:vAlign w:val="bottom"/>
            <w:hideMark/>
          </w:tcPr>
          <w:p w14:paraId="3EBFDFC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755 645,0</w:t>
            </w:r>
          </w:p>
        </w:tc>
        <w:tc>
          <w:tcPr>
            <w:tcW w:w="328" w:type="pct"/>
            <w:shd w:val="clear" w:color="auto" w:fill="auto"/>
            <w:noWrap/>
            <w:vAlign w:val="bottom"/>
            <w:hideMark/>
          </w:tcPr>
          <w:p w14:paraId="61F9F0A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755 645,9</w:t>
            </w:r>
          </w:p>
        </w:tc>
        <w:tc>
          <w:tcPr>
            <w:tcW w:w="353" w:type="pct"/>
            <w:shd w:val="clear" w:color="auto" w:fill="auto"/>
            <w:noWrap/>
            <w:vAlign w:val="bottom"/>
            <w:hideMark/>
          </w:tcPr>
          <w:p w14:paraId="4C93620F" w14:textId="77777777" w:rsidR="006F4D8F" w:rsidRPr="0030445A" w:rsidRDefault="006F4D8F" w:rsidP="006F4D8F">
            <w:pPr>
              <w:spacing w:before="0" w:line="240" w:lineRule="auto"/>
              <w:jc w:val="left"/>
              <w:rPr>
                <w:color w:val="000000"/>
                <w:sz w:val="14"/>
                <w:szCs w:val="14"/>
              </w:rPr>
            </w:pPr>
            <w:r w:rsidRPr="0030445A">
              <w:rPr>
                <w:color w:val="000000"/>
                <w:sz w:val="14"/>
                <w:szCs w:val="14"/>
              </w:rPr>
              <w:t>760 462,35</w:t>
            </w:r>
          </w:p>
        </w:tc>
        <w:tc>
          <w:tcPr>
            <w:tcW w:w="353" w:type="pct"/>
            <w:shd w:val="clear" w:color="auto" w:fill="auto"/>
            <w:noWrap/>
            <w:vAlign w:val="bottom"/>
            <w:hideMark/>
          </w:tcPr>
          <w:p w14:paraId="4D25B649" w14:textId="77777777" w:rsidR="006F4D8F" w:rsidRPr="0030445A" w:rsidRDefault="006F4D8F" w:rsidP="006F4D8F">
            <w:pPr>
              <w:spacing w:before="0" w:line="240" w:lineRule="auto"/>
              <w:jc w:val="left"/>
              <w:rPr>
                <w:color w:val="000000"/>
                <w:sz w:val="14"/>
                <w:szCs w:val="14"/>
              </w:rPr>
            </w:pPr>
            <w:r w:rsidRPr="0030445A">
              <w:rPr>
                <w:color w:val="000000"/>
                <w:sz w:val="14"/>
                <w:szCs w:val="14"/>
              </w:rPr>
              <w:t>761 960,78</w:t>
            </w:r>
          </w:p>
        </w:tc>
        <w:tc>
          <w:tcPr>
            <w:tcW w:w="353" w:type="pct"/>
            <w:shd w:val="clear" w:color="auto" w:fill="auto"/>
            <w:noWrap/>
            <w:vAlign w:val="bottom"/>
            <w:hideMark/>
          </w:tcPr>
          <w:p w14:paraId="3ACEEA62" w14:textId="77777777" w:rsidR="006F4D8F" w:rsidRPr="0030445A" w:rsidRDefault="006F4D8F" w:rsidP="006F4D8F">
            <w:pPr>
              <w:spacing w:before="0" w:line="240" w:lineRule="auto"/>
              <w:jc w:val="left"/>
              <w:rPr>
                <w:color w:val="000000"/>
                <w:sz w:val="14"/>
                <w:szCs w:val="14"/>
              </w:rPr>
            </w:pPr>
            <w:r w:rsidRPr="0030445A">
              <w:rPr>
                <w:color w:val="000000"/>
                <w:sz w:val="14"/>
                <w:szCs w:val="14"/>
              </w:rPr>
              <w:t>761 644,47</w:t>
            </w:r>
          </w:p>
        </w:tc>
        <w:tc>
          <w:tcPr>
            <w:tcW w:w="353" w:type="pct"/>
            <w:shd w:val="clear" w:color="auto" w:fill="auto"/>
            <w:noWrap/>
            <w:vAlign w:val="bottom"/>
            <w:hideMark/>
          </w:tcPr>
          <w:p w14:paraId="2F027F9A" w14:textId="77777777" w:rsidR="006F4D8F" w:rsidRPr="0030445A" w:rsidRDefault="006F4D8F" w:rsidP="006F4D8F">
            <w:pPr>
              <w:spacing w:before="0" w:line="240" w:lineRule="auto"/>
              <w:jc w:val="left"/>
              <w:rPr>
                <w:color w:val="000000"/>
                <w:sz w:val="14"/>
                <w:szCs w:val="14"/>
              </w:rPr>
            </w:pPr>
            <w:r w:rsidRPr="0030445A">
              <w:rPr>
                <w:color w:val="000000"/>
                <w:sz w:val="14"/>
                <w:szCs w:val="14"/>
              </w:rPr>
              <w:t>756 846,81</w:t>
            </w:r>
          </w:p>
        </w:tc>
        <w:tc>
          <w:tcPr>
            <w:tcW w:w="353" w:type="pct"/>
            <w:shd w:val="clear" w:color="auto" w:fill="auto"/>
            <w:noWrap/>
            <w:vAlign w:val="bottom"/>
            <w:hideMark/>
          </w:tcPr>
          <w:p w14:paraId="0DE61429" w14:textId="77777777" w:rsidR="006F4D8F" w:rsidRPr="0030445A" w:rsidRDefault="006F4D8F" w:rsidP="006F4D8F">
            <w:pPr>
              <w:spacing w:before="0" w:line="240" w:lineRule="auto"/>
              <w:jc w:val="left"/>
              <w:rPr>
                <w:color w:val="000000"/>
                <w:sz w:val="14"/>
                <w:szCs w:val="14"/>
              </w:rPr>
            </w:pPr>
            <w:r w:rsidRPr="0030445A">
              <w:rPr>
                <w:color w:val="000000"/>
                <w:sz w:val="14"/>
                <w:szCs w:val="14"/>
              </w:rPr>
              <w:t>761 670,22</w:t>
            </w:r>
          </w:p>
        </w:tc>
      </w:tr>
      <w:tr w:rsidR="006F4D8F" w:rsidRPr="0030445A" w14:paraId="3F169E18" w14:textId="77777777" w:rsidTr="006F4D8F">
        <w:tblPrEx>
          <w:tblCellMar>
            <w:left w:w="70" w:type="dxa"/>
            <w:right w:w="70" w:type="dxa"/>
          </w:tblCellMar>
        </w:tblPrEx>
        <w:trPr>
          <w:trHeight w:val="570"/>
        </w:trPr>
        <w:tc>
          <w:tcPr>
            <w:tcW w:w="615" w:type="pct"/>
            <w:shd w:val="clear" w:color="auto" w:fill="auto"/>
            <w:noWrap/>
            <w:vAlign w:val="bottom"/>
            <w:hideMark/>
          </w:tcPr>
          <w:p w14:paraId="6F33BCC4" w14:textId="77777777" w:rsidR="006F4D8F" w:rsidRPr="0030445A" w:rsidRDefault="006F4D8F" w:rsidP="006F4D8F">
            <w:pPr>
              <w:spacing w:before="0" w:line="240" w:lineRule="auto"/>
              <w:jc w:val="left"/>
              <w:rPr>
                <w:color w:val="000000"/>
                <w:sz w:val="14"/>
                <w:szCs w:val="14"/>
              </w:rPr>
            </w:pPr>
            <w:r w:rsidRPr="0030445A">
              <w:rPr>
                <w:color w:val="000000"/>
                <w:sz w:val="14"/>
                <w:szCs w:val="14"/>
              </w:rPr>
              <w:t>WARMIŃSKO-MAZURSKIE</w:t>
            </w:r>
          </w:p>
        </w:tc>
        <w:tc>
          <w:tcPr>
            <w:tcW w:w="328" w:type="pct"/>
            <w:shd w:val="clear" w:color="auto" w:fill="auto"/>
            <w:noWrap/>
            <w:vAlign w:val="bottom"/>
            <w:hideMark/>
          </w:tcPr>
          <w:p w14:paraId="2EDDB0A7"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1 118 802,0</w:t>
            </w:r>
          </w:p>
        </w:tc>
        <w:tc>
          <w:tcPr>
            <w:tcW w:w="328" w:type="pct"/>
            <w:shd w:val="clear" w:color="auto" w:fill="auto"/>
            <w:noWrap/>
            <w:vAlign w:val="bottom"/>
            <w:hideMark/>
          </w:tcPr>
          <w:p w14:paraId="09CEBD7B"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1 118 541,4</w:t>
            </w:r>
          </w:p>
        </w:tc>
        <w:tc>
          <w:tcPr>
            <w:tcW w:w="328" w:type="pct"/>
            <w:shd w:val="clear" w:color="auto" w:fill="auto"/>
            <w:noWrap/>
            <w:vAlign w:val="bottom"/>
            <w:hideMark/>
          </w:tcPr>
          <w:p w14:paraId="5B47BDBF"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1 118 968,0</w:t>
            </w:r>
          </w:p>
        </w:tc>
        <w:tc>
          <w:tcPr>
            <w:tcW w:w="328" w:type="pct"/>
            <w:shd w:val="clear" w:color="auto" w:fill="auto"/>
            <w:noWrap/>
            <w:vAlign w:val="bottom"/>
            <w:hideMark/>
          </w:tcPr>
          <w:p w14:paraId="6A472CB7"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1 119 438,8</w:t>
            </w:r>
          </w:p>
        </w:tc>
        <w:tc>
          <w:tcPr>
            <w:tcW w:w="328" w:type="pct"/>
            <w:shd w:val="clear" w:color="auto" w:fill="auto"/>
            <w:noWrap/>
            <w:vAlign w:val="bottom"/>
            <w:hideMark/>
          </w:tcPr>
          <w:p w14:paraId="478B4AA3"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1 123 370,5</w:t>
            </w:r>
          </w:p>
        </w:tc>
        <w:tc>
          <w:tcPr>
            <w:tcW w:w="328" w:type="pct"/>
            <w:shd w:val="clear" w:color="auto" w:fill="auto"/>
            <w:noWrap/>
            <w:vAlign w:val="bottom"/>
            <w:hideMark/>
          </w:tcPr>
          <w:p w14:paraId="45BB271B"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1 126 155,3</w:t>
            </w:r>
          </w:p>
        </w:tc>
        <w:tc>
          <w:tcPr>
            <w:tcW w:w="328" w:type="pct"/>
            <w:shd w:val="clear" w:color="auto" w:fill="auto"/>
            <w:noWrap/>
            <w:vAlign w:val="bottom"/>
            <w:hideMark/>
          </w:tcPr>
          <w:p w14:paraId="37D8131F"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1 129 431,6</w:t>
            </w:r>
          </w:p>
        </w:tc>
        <w:tc>
          <w:tcPr>
            <w:tcW w:w="328" w:type="pct"/>
            <w:shd w:val="clear" w:color="auto" w:fill="auto"/>
            <w:noWrap/>
            <w:vAlign w:val="bottom"/>
            <w:hideMark/>
          </w:tcPr>
          <w:p w14:paraId="77625DB5"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1 129 457,7</w:t>
            </w:r>
          </w:p>
        </w:tc>
        <w:tc>
          <w:tcPr>
            <w:tcW w:w="353" w:type="pct"/>
            <w:shd w:val="clear" w:color="auto" w:fill="auto"/>
            <w:noWrap/>
            <w:vAlign w:val="bottom"/>
            <w:hideMark/>
          </w:tcPr>
          <w:p w14:paraId="13B1D39B"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1 129 487,32</w:t>
            </w:r>
          </w:p>
        </w:tc>
        <w:tc>
          <w:tcPr>
            <w:tcW w:w="353" w:type="pct"/>
            <w:shd w:val="clear" w:color="auto" w:fill="auto"/>
            <w:noWrap/>
            <w:vAlign w:val="bottom"/>
            <w:hideMark/>
          </w:tcPr>
          <w:p w14:paraId="280F95AF"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1 129 519,00</w:t>
            </w:r>
          </w:p>
        </w:tc>
        <w:tc>
          <w:tcPr>
            <w:tcW w:w="353" w:type="pct"/>
            <w:shd w:val="clear" w:color="auto" w:fill="auto"/>
            <w:noWrap/>
            <w:vAlign w:val="bottom"/>
            <w:hideMark/>
          </w:tcPr>
          <w:p w14:paraId="78EE3323"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1 129 519,28</w:t>
            </w:r>
          </w:p>
        </w:tc>
        <w:tc>
          <w:tcPr>
            <w:tcW w:w="353" w:type="pct"/>
            <w:shd w:val="clear" w:color="auto" w:fill="auto"/>
            <w:noWrap/>
            <w:vAlign w:val="bottom"/>
            <w:hideMark/>
          </w:tcPr>
          <w:p w14:paraId="652CBA60"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1 129 435,99</w:t>
            </w:r>
          </w:p>
        </w:tc>
        <w:tc>
          <w:tcPr>
            <w:tcW w:w="353" w:type="pct"/>
            <w:shd w:val="clear" w:color="auto" w:fill="auto"/>
            <w:noWrap/>
            <w:vAlign w:val="bottom"/>
            <w:hideMark/>
          </w:tcPr>
          <w:p w14:paraId="7FF6EE08" w14:textId="77777777" w:rsidR="006F4D8F" w:rsidRPr="0030445A" w:rsidRDefault="006F4D8F" w:rsidP="006F4D8F">
            <w:pPr>
              <w:spacing w:before="0" w:line="240" w:lineRule="auto"/>
              <w:jc w:val="left"/>
              <w:rPr>
                <w:color w:val="000000"/>
                <w:sz w:val="14"/>
                <w:szCs w:val="14"/>
              </w:rPr>
            </w:pPr>
            <w:r w:rsidRPr="0030445A">
              <w:rPr>
                <w:color w:val="000000"/>
                <w:sz w:val="14"/>
                <w:szCs w:val="14"/>
              </w:rPr>
              <w:t>1 129 859,38</w:t>
            </w:r>
          </w:p>
        </w:tc>
      </w:tr>
      <w:tr w:rsidR="006F4D8F" w:rsidRPr="0030445A" w14:paraId="723E8558" w14:textId="77777777" w:rsidTr="006F4D8F">
        <w:tblPrEx>
          <w:tblCellMar>
            <w:left w:w="70" w:type="dxa"/>
            <w:right w:w="70" w:type="dxa"/>
          </w:tblCellMar>
        </w:tblPrEx>
        <w:trPr>
          <w:trHeight w:val="285"/>
        </w:trPr>
        <w:tc>
          <w:tcPr>
            <w:tcW w:w="615" w:type="pct"/>
            <w:shd w:val="clear" w:color="auto" w:fill="auto"/>
            <w:noWrap/>
            <w:vAlign w:val="bottom"/>
            <w:hideMark/>
          </w:tcPr>
          <w:p w14:paraId="61BBDBDA" w14:textId="77777777" w:rsidR="006F4D8F" w:rsidRPr="0030445A" w:rsidRDefault="006F4D8F" w:rsidP="006F4D8F">
            <w:pPr>
              <w:spacing w:before="0" w:line="240" w:lineRule="auto"/>
              <w:jc w:val="left"/>
              <w:rPr>
                <w:color w:val="000000"/>
                <w:sz w:val="14"/>
                <w:szCs w:val="14"/>
              </w:rPr>
            </w:pPr>
            <w:r w:rsidRPr="0030445A">
              <w:rPr>
                <w:color w:val="000000"/>
                <w:sz w:val="14"/>
                <w:szCs w:val="14"/>
              </w:rPr>
              <w:t>WIELKOPOLSKIE</w:t>
            </w:r>
          </w:p>
        </w:tc>
        <w:tc>
          <w:tcPr>
            <w:tcW w:w="328" w:type="pct"/>
            <w:shd w:val="clear" w:color="auto" w:fill="auto"/>
            <w:noWrap/>
            <w:vAlign w:val="bottom"/>
            <w:hideMark/>
          </w:tcPr>
          <w:p w14:paraId="7EEE31ED" w14:textId="77777777" w:rsidR="006F4D8F" w:rsidRPr="0030445A" w:rsidRDefault="006F4D8F" w:rsidP="006F4D8F">
            <w:pPr>
              <w:spacing w:before="0" w:line="240" w:lineRule="auto"/>
              <w:jc w:val="left"/>
              <w:rPr>
                <w:color w:val="000000"/>
                <w:sz w:val="14"/>
                <w:szCs w:val="14"/>
              </w:rPr>
            </w:pPr>
            <w:r w:rsidRPr="0030445A">
              <w:rPr>
                <w:color w:val="000000"/>
                <w:sz w:val="14"/>
                <w:szCs w:val="14"/>
              </w:rPr>
              <w:t>924 862,2</w:t>
            </w:r>
          </w:p>
        </w:tc>
        <w:tc>
          <w:tcPr>
            <w:tcW w:w="328" w:type="pct"/>
            <w:shd w:val="clear" w:color="auto" w:fill="auto"/>
            <w:noWrap/>
            <w:vAlign w:val="bottom"/>
            <w:hideMark/>
          </w:tcPr>
          <w:p w14:paraId="12FE5B58" w14:textId="77777777" w:rsidR="006F4D8F" w:rsidRPr="0030445A" w:rsidRDefault="006F4D8F" w:rsidP="006F4D8F">
            <w:pPr>
              <w:spacing w:before="0" w:line="240" w:lineRule="auto"/>
              <w:jc w:val="left"/>
              <w:rPr>
                <w:color w:val="000000"/>
                <w:sz w:val="14"/>
                <w:szCs w:val="14"/>
              </w:rPr>
            </w:pPr>
            <w:r w:rsidRPr="0030445A">
              <w:rPr>
                <w:color w:val="000000"/>
                <w:sz w:val="14"/>
                <w:szCs w:val="14"/>
              </w:rPr>
              <w:t>936 521,9</w:t>
            </w:r>
          </w:p>
        </w:tc>
        <w:tc>
          <w:tcPr>
            <w:tcW w:w="328" w:type="pct"/>
            <w:shd w:val="clear" w:color="auto" w:fill="auto"/>
            <w:noWrap/>
            <w:vAlign w:val="bottom"/>
            <w:hideMark/>
          </w:tcPr>
          <w:p w14:paraId="4302F764"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941 117,4</w:t>
            </w:r>
          </w:p>
        </w:tc>
        <w:tc>
          <w:tcPr>
            <w:tcW w:w="328" w:type="pct"/>
            <w:shd w:val="clear" w:color="auto" w:fill="auto"/>
            <w:noWrap/>
            <w:vAlign w:val="bottom"/>
            <w:hideMark/>
          </w:tcPr>
          <w:p w14:paraId="63D9888C"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941 719,2</w:t>
            </w:r>
          </w:p>
        </w:tc>
        <w:tc>
          <w:tcPr>
            <w:tcW w:w="328" w:type="pct"/>
            <w:shd w:val="clear" w:color="auto" w:fill="auto"/>
            <w:noWrap/>
            <w:vAlign w:val="bottom"/>
            <w:hideMark/>
          </w:tcPr>
          <w:p w14:paraId="2B585F2B"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948 293,2</w:t>
            </w:r>
          </w:p>
        </w:tc>
        <w:tc>
          <w:tcPr>
            <w:tcW w:w="328" w:type="pct"/>
            <w:shd w:val="clear" w:color="auto" w:fill="auto"/>
            <w:noWrap/>
            <w:vAlign w:val="bottom"/>
            <w:hideMark/>
          </w:tcPr>
          <w:p w14:paraId="7847B535"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948 446,1</w:t>
            </w:r>
          </w:p>
        </w:tc>
        <w:tc>
          <w:tcPr>
            <w:tcW w:w="328" w:type="pct"/>
            <w:shd w:val="clear" w:color="auto" w:fill="auto"/>
            <w:noWrap/>
            <w:vAlign w:val="bottom"/>
            <w:hideMark/>
          </w:tcPr>
          <w:p w14:paraId="71FFA21E"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948 334,5</w:t>
            </w:r>
          </w:p>
        </w:tc>
        <w:tc>
          <w:tcPr>
            <w:tcW w:w="328" w:type="pct"/>
            <w:shd w:val="clear" w:color="auto" w:fill="auto"/>
            <w:noWrap/>
            <w:vAlign w:val="bottom"/>
            <w:hideMark/>
          </w:tcPr>
          <w:p w14:paraId="76FB6071"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948 260,6</w:t>
            </w:r>
          </w:p>
        </w:tc>
        <w:tc>
          <w:tcPr>
            <w:tcW w:w="353" w:type="pct"/>
            <w:shd w:val="clear" w:color="auto" w:fill="auto"/>
            <w:noWrap/>
            <w:vAlign w:val="bottom"/>
            <w:hideMark/>
          </w:tcPr>
          <w:p w14:paraId="24AFBF85"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943 576,59</w:t>
            </w:r>
          </w:p>
        </w:tc>
        <w:tc>
          <w:tcPr>
            <w:tcW w:w="353" w:type="pct"/>
            <w:shd w:val="clear" w:color="auto" w:fill="auto"/>
            <w:noWrap/>
            <w:vAlign w:val="bottom"/>
            <w:hideMark/>
          </w:tcPr>
          <w:p w14:paraId="05531D86"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943 994,64</w:t>
            </w:r>
          </w:p>
        </w:tc>
        <w:tc>
          <w:tcPr>
            <w:tcW w:w="353" w:type="pct"/>
            <w:shd w:val="clear" w:color="auto" w:fill="auto"/>
            <w:noWrap/>
            <w:vAlign w:val="bottom"/>
            <w:hideMark/>
          </w:tcPr>
          <w:p w14:paraId="60A046BD"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944 053,12</w:t>
            </w:r>
          </w:p>
        </w:tc>
        <w:tc>
          <w:tcPr>
            <w:tcW w:w="353" w:type="pct"/>
            <w:shd w:val="clear" w:color="auto" w:fill="auto"/>
            <w:noWrap/>
            <w:vAlign w:val="bottom"/>
            <w:hideMark/>
          </w:tcPr>
          <w:p w14:paraId="7FC6AF2D"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943 927,64</w:t>
            </w:r>
          </w:p>
        </w:tc>
        <w:tc>
          <w:tcPr>
            <w:tcW w:w="353" w:type="pct"/>
            <w:shd w:val="clear" w:color="auto" w:fill="auto"/>
            <w:noWrap/>
            <w:vAlign w:val="bottom"/>
            <w:hideMark/>
          </w:tcPr>
          <w:p w14:paraId="043B4E7B" w14:textId="77777777" w:rsidR="006F4D8F" w:rsidRPr="0030445A" w:rsidRDefault="006F4D8F" w:rsidP="006F4D8F">
            <w:pPr>
              <w:spacing w:before="0" w:line="240" w:lineRule="auto"/>
              <w:jc w:val="left"/>
              <w:rPr>
                <w:color w:val="000000"/>
                <w:sz w:val="14"/>
                <w:szCs w:val="14"/>
              </w:rPr>
            </w:pPr>
            <w:r w:rsidRPr="0030445A">
              <w:rPr>
                <w:color w:val="000000"/>
                <w:sz w:val="14"/>
                <w:szCs w:val="14"/>
              </w:rPr>
              <w:t>943 091,44</w:t>
            </w:r>
          </w:p>
        </w:tc>
      </w:tr>
      <w:tr w:rsidR="006F4D8F" w:rsidRPr="0030445A" w14:paraId="3F65220A" w14:textId="77777777" w:rsidTr="006F4D8F">
        <w:tblPrEx>
          <w:tblCellMar>
            <w:left w:w="70" w:type="dxa"/>
            <w:right w:w="70" w:type="dxa"/>
          </w:tblCellMar>
        </w:tblPrEx>
        <w:trPr>
          <w:trHeight w:val="300"/>
        </w:trPr>
        <w:tc>
          <w:tcPr>
            <w:tcW w:w="615" w:type="pct"/>
            <w:shd w:val="clear" w:color="auto" w:fill="auto"/>
            <w:noWrap/>
            <w:vAlign w:val="bottom"/>
            <w:hideMark/>
          </w:tcPr>
          <w:p w14:paraId="638E77CE"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ZACHODNIOPOMORSKIE</w:t>
            </w:r>
          </w:p>
        </w:tc>
        <w:tc>
          <w:tcPr>
            <w:tcW w:w="328" w:type="pct"/>
            <w:shd w:val="clear" w:color="auto" w:fill="auto"/>
            <w:noWrap/>
            <w:vAlign w:val="bottom"/>
            <w:hideMark/>
          </w:tcPr>
          <w:p w14:paraId="6B96F6F8"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476 142,9</w:t>
            </w:r>
          </w:p>
        </w:tc>
        <w:tc>
          <w:tcPr>
            <w:tcW w:w="328" w:type="pct"/>
            <w:shd w:val="clear" w:color="auto" w:fill="auto"/>
            <w:noWrap/>
            <w:vAlign w:val="bottom"/>
            <w:hideMark/>
          </w:tcPr>
          <w:p w14:paraId="198D7FD5"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488 591,1</w:t>
            </w:r>
          </w:p>
        </w:tc>
        <w:tc>
          <w:tcPr>
            <w:tcW w:w="328" w:type="pct"/>
            <w:shd w:val="clear" w:color="auto" w:fill="auto"/>
            <w:noWrap/>
            <w:vAlign w:val="bottom"/>
            <w:hideMark/>
          </w:tcPr>
          <w:p w14:paraId="646DCC0B"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492 459,1</w:t>
            </w:r>
          </w:p>
        </w:tc>
        <w:tc>
          <w:tcPr>
            <w:tcW w:w="328" w:type="pct"/>
            <w:shd w:val="clear" w:color="auto" w:fill="auto"/>
            <w:noWrap/>
            <w:vAlign w:val="bottom"/>
            <w:hideMark/>
          </w:tcPr>
          <w:p w14:paraId="6339AEA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491 647,6</w:t>
            </w:r>
          </w:p>
        </w:tc>
        <w:tc>
          <w:tcPr>
            <w:tcW w:w="328" w:type="pct"/>
            <w:shd w:val="clear" w:color="auto" w:fill="auto"/>
            <w:noWrap/>
            <w:vAlign w:val="bottom"/>
            <w:hideMark/>
          </w:tcPr>
          <w:p w14:paraId="36EDB1F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482 095,2</w:t>
            </w:r>
          </w:p>
        </w:tc>
        <w:tc>
          <w:tcPr>
            <w:tcW w:w="328" w:type="pct"/>
            <w:shd w:val="clear" w:color="auto" w:fill="auto"/>
            <w:noWrap/>
            <w:vAlign w:val="bottom"/>
            <w:hideMark/>
          </w:tcPr>
          <w:p w14:paraId="57D0B874"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482 419,0</w:t>
            </w:r>
          </w:p>
        </w:tc>
        <w:tc>
          <w:tcPr>
            <w:tcW w:w="328" w:type="pct"/>
            <w:shd w:val="clear" w:color="auto" w:fill="auto"/>
            <w:noWrap/>
            <w:vAlign w:val="bottom"/>
            <w:hideMark/>
          </w:tcPr>
          <w:p w14:paraId="7D4119AC"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482 445,9</w:t>
            </w:r>
          </w:p>
        </w:tc>
        <w:tc>
          <w:tcPr>
            <w:tcW w:w="328" w:type="pct"/>
            <w:shd w:val="clear" w:color="auto" w:fill="auto"/>
            <w:noWrap/>
            <w:vAlign w:val="bottom"/>
            <w:hideMark/>
          </w:tcPr>
          <w:p w14:paraId="4582CC07"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482 578,0</w:t>
            </w:r>
          </w:p>
        </w:tc>
        <w:tc>
          <w:tcPr>
            <w:tcW w:w="353" w:type="pct"/>
            <w:shd w:val="clear" w:color="auto" w:fill="auto"/>
            <w:noWrap/>
            <w:vAlign w:val="bottom"/>
            <w:hideMark/>
          </w:tcPr>
          <w:p w14:paraId="45D9FBCA"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496 863,29</w:t>
            </w:r>
          </w:p>
        </w:tc>
        <w:tc>
          <w:tcPr>
            <w:tcW w:w="353" w:type="pct"/>
            <w:shd w:val="clear" w:color="auto" w:fill="auto"/>
            <w:noWrap/>
            <w:vAlign w:val="bottom"/>
            <w:hideMark/>
          </w:tcPr>
          <w:p w14:paraId="569D46A7"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493 888,90</w:t>
            </w:r>
          </w:p>
        </w:tc>
        <w:tc>
          <w:tcPr>
            <w:tcW w:w="353" w:type="pct"/>
            <w:shd w:val="clear" w:color="auto" w:fill="auto"/>
            <w:noWrap/>
            <w:vAlign w:val="bottom"/>
            <w:hideMark/>
          </w:tcPr>
          <w:p w14:paraId="6AAC5F70"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493 968,69</w:t>
            </w:r>
          </w:p>
        </w:tc>
        <w:tc>
          <w:tcPr>
            <w:tcW w:w="353" w:type="pct"/>
            <w:shd w:val="clear" w:color="auto" w:fill="auto"/>
            <w:noWrap/>
            <w:vAlign w:val="bottom"/>
            <w:hideMark/>
          </w:tcPr>
          <w:p w14:paraId="71D645AB"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500 206,41</w:t>
            </w:r>
          </w:p>
        </w:tc>
        <w:tc>
          <w:tcPr>
            <w:tcW w:w="353" w:type="pct"/>
            <w:shd w:val="clear" w:color="auto" w:fill="auto"/>
            <w:noWrap/>
            <w:vAlign w:val="bottom"/>
            <w:hideMark/>
          </w:tcPr>
          <w:p w14:paraId="443BA63C" w14:textId="77777777" w:rsidR="006F4D8F" w:rsidRPr="0030445A" w:rsidRDefault="006F4D8F" w:rsidP="006F4D8F">
            <w:pPr>
              <w:spacing w:before="0" w:line="240" w:lineRule="auto"/>
              <w:jc w:val="left"/>
              <w:rPr>
                <w:b/>
                <w:color w:val="000000"/>
                <w:sz w:val="14"/>
                <w:szCs w:val="14"/>
              </w:rPr>
            </w:pPr>
            <w:r w:rsidRPr="0030445A">
              <w:rPr>
                <w:b/>
                <w:color w:val="000000"/>
                <w:sz w:val="14"/>
                <w:szCs w:val="14"/>
              </w:rPr>
              <w:t>499 987,42</w:t>
            </w:r>
          </w:p>
        </w:tc>
      </w:tr>
    </w:tbl>
    <w:p w14:paraId="25D7B619" w14:textId="77777777" w:rsidR="006F4D8F" w:rsidRPr="002A5FDF" w:rsidRDefault="006F4D8F" w:rsidP="005A06CB">
      <w:pPr>
        <w:spacing w:before="0"/>
        <w:rPr>
          <w:i/>
          <w:sz w:val="18"/>
          <w:szCs w:val="20"/>
        </w:rPr>
      </w:pPr>
      <w:r w:rsidRPr="002A5FDF">
        <w:rPr>
          <w:i/>
          <w:sz w:val="18"/>
          <w:szCs w:val="20"/>
        </w:rPr>
        <w:t>Źródło: BDL GUS</w:t>
      </w:r>
    </w:p>
    <w:p w14:paraId="5F71961A" w14:textId="77777777" w:rsidR="006F4D8F" w:rsidRPr="001F11BC" w:rsidRDefault="006F4D8F" w:rsidP="006F4D8F">
      <w:pPr>
        <w:pStyle w:val="Nagwek4"/>
        <w:numPr>
          <w:ilvl w:val="0"/>
          <w:numId w:val="0"/>
        </w:numPr>
        <w:spacing w:before="120"/>
        <w:rPr>
          <w:rFonts w:ascii="Lato" w:eastAsia="Calibri" w:hAnsi="Lato"/>
          <w:szCs w:val="20"/>
        </w:rPr>
      </w:pPr>
      <w:r w:rsidRPr="001F11BC">
        <w:rPr>
          <w:rFonts w:ascii="Lato" w:eastAsia="Calibri" w:hAnsi="Lato"/>
          <w:szCs w:val="20"/>
        </w:rPr>
        <w:t>Prognozy osiągnięcia celów zakładanych na 2023 rok</w:t>
      </w:r>
    </w:p>
    <w:p w14:paraId="2398460E" w14:textId="77777777" w:rsidR="006F4D8F" w:rsidRDefault="006F4D8F" w:rsidP="006F4D8F">
      <w:pPr>
        <w:rPr>
          <w:rFonts w:cs="Calibri"/>
          <w:szCs w:val="20"/>
        </w:rPr>
      </w:pPr>
      <w:r w:rsidRPr="00404DA5">
        <w:rPr>
          <w:rFonts w:cs="Calibri"/>
          <w:szCs w:val="20"/>
        </w:rPr>
        <w:t>Pomimo dużego zainteresowania wsparciem</w:t>
      </w:r>
      <w:r w:rsidR="00E66B89">
        <w:rPr>
          <w:rFonts w:cs="Calibri"/>
          <w:szCs w:val="20"/>
        </w:rPr>
        <w:t xml:space="preserve"> w </w:t>
      </w:r>
      <w:r w:rsidRPr="00404DA5">
        <w:rPr>
          <w:rFonts w:cs="Calibri"/>
          <w:szCs w:val="20"/>
        </w:rPr>
        <w:t>ramach Działania 4.9 nie wykorzystano nadal ponad połowy alokacji. Nie identyfikuje się jednak zagrożenia nieosiągnięcia zakładanych celów.</w:t>
      </w:r>
      <w:r w:rsidR="00E66B89">
        <w:rPr>
          <w:rFonts w:cs="Calibri"/>
          <w:szCs w:val="20"/>
        </w:rPr>
        <w:t xml:space="preserve"> W </w:t>
      </w:r>
      <w:r w:rsidRPr="00404DA5">
        <w:rPr>
          <w:rFonts w:cs="Calibri"/>
          <w:szCs w:val="20"/>
        </w:rPr>
        <w:t>ramach Działania możliwe jest bowiem atrakcyjne - dla potencjalnych wnioskodawców jakimi są przede wszystkim JST - wsparcie inwestycji</w:t>
      </w:r>
      <w:r w:rsidR="00E66B89">
        <w:rPr>
          <w:rFonts w:cs="Calibri"/>
          <w:szCs w:val="20"/>
        </w:rPr>
        <w:t xml:space="preserve"> w </w:t>
      </w:r>
      <w:r w:rsidRPr="00404DA5">
        <w:rPr>
          <w:rFonts w:cs="Calibri"/>
          <w:szCs w:val="20"/>
        </w:rPr>
        <w:t>postaci ścieżek rowerowych oraz innych projektów</w:t>
      </w:r>
      <w:r w:rsidR="00E66B89">
        <w:rPr>
          <w:rFonts w:cs="Calibri"/>
          <w:szCs w:val="20"/>
        </w:rPr>
        <w:t xml:space="preserve"> z </w:t>
      </w:r>
      <w:r w:rsidRPr="00404DA5">
        <w:rPr>
          <w:rFonts w:cs="Calibri"/>
          <w:szCs w:val="20"/>
        </w:rPr>
        <w:t>zakresu turystyki. Specyfiką Działania jest jednak to, że duża pula środków wydatkowana ma być na projekty pozakonkursowe wskazane do objęcia Kontraktem Terytorialnym dla Województwa Zachodniopomorskiego.</w:t>
      </w:r>
      <w:r w:rsidR="00E66B89">
        <w:rPr>
          <w:rFonts w:cs="Calibri"/>
          <w:szCs w:val="20"/>
        </w:rPr>
        <w:t xml:space="preserve"> W </w:t>
      </w:r>
      <w:r w:rsidRPr="00404DA5">
        <w:rPr>
          <w:rFonts w:cs="Calibri"/>
          <w:szCs w:val="20"/>
        </w:rPr>
        <w:t>UMWZ funkcjonuje Pełnomocnik Marszałka ds. komunikacji rowerowej który utrzymuje stały roboczy kontakt</w:t>
      </w:r>
      <w:r w:rsidR="00E66B89">
        <w:rPr>
          <w:rFonts w:cs="Calibri"/>
          <w:szCs w:val="20"/>
        </w:rPr>
        <w:t xml:space="preserve"> z </w:t>
      </w:r>
      <w:r w:rsidRPr="00404DA5">
        <w:rPr>
          <w:rFonts w:cs="Calibri"/>
          <w:szCs w:val="20"/>
        </w:rPr>
        <w:t>potencjalnymi wnioskodawcami monitorując stan przygotowania projektów pozakonkursowych. Dzięki realizacji zaplanowanych naborów, na kolejne lata, osiągnięte zostaną wartości docelowe wskaźników dla Działania.</w:t>
      </w:r>
    </w:p>
    <w:p w14:paraId="23C43C10" w14:textId="77777777" w:rsidR="006F4D8F" w:rsidRPr="00404DA5" w:rsidRDefault="006F4D8F" w:rsidP="006F4D8F">
      <w:pPr>
        <w:rPr>
          <w:rFonts w:cs="Calibri"/>
          <w:szCs w:val="20"/>
        </w:rPr>
      </w:pPr>
      <w:r w:rsidRPr="00404DA5">
        <w:rPr>
          <w:rFonts w:cs="Calibri"/>
          <w:szCs w:val="20"/>
        </w:rPr>
        <w:t xml:space="preserve">Biorąc pod uwagę </w:t>
      </w:r>
      <w:r>
        <w:rPr>
          <w:rFonts w:cs="Calibri"/>
          <w:szCs w:val="20"/>
        </w:rPr>
        <w:t>dostępną alokację</w:t>
      </w:r>
      <w:r w:rsidRPr="00404DA5">
        <w:rPr>
          <w:rFonts w:cs="Calibri"/>
          <w:szCs w:val="20"/>
        </w:rPr>
        <w:t xml:space="preserve"> przygotowano prognozę pozwalającą – dla alokacji pozostałej</w:t>
      </w:r>
      <w:r w:rsidR="00E66B89">
        <w:rPr>
          <w:rFonts w:cs="Calibri"/>
          <w:szCs w:val="20"/>
        </w:rPr>
        <w:t xml:space="preserve"> w </w:t>
      </w:r>
      <w:r w:rsidRPr="00404DA5">
        <w:rPr>
          <w:rFonts w:cs="Calibri"/>
          <w:szCs w:val="20"/>
        </w:rPr>
        <w:t>PI 8</w:t>
      </w:r>
      <w:r>
        <w:rPr>
          <w:rFonts w:cs="Calibri"/>
          <w:szCs w:val="20"/>
        </w:rPr>
        <w:t>b</w:t>
      </w:r>
      <w:r w:rsidRPr="00404DA5">
        <w:rPr>
          <w:rFonts w:cs="Calibri"/>
          <w:szCs w:val="20"/>
        </w:rPr>
        <w:t xml:space="preserve"> (</w:t>
      </w:r>
      <w:r w:rsidRPr="001F6A15">
        <w:rPr>
          <w:rFonts w:cs="Calibri"/>
          <w:szCs w:val="20"/>
        </w:rPr>
        <w:t>107 123 583,10 zł.</w:t>
      </w:r>
      <w:r w:rsidR="00E66B89">
        <w:rPr>
          <w:rFonts w:cs="Calibri"/>
          <w:szCs w:val="20"/>
        </w:rPr>
        <w:t xml:space="preserve"> z </w:t>
      </w:r>
      <w:r w:rsidRPr="00404DA5">
        <w:rPr>
          <w:rFonts w:cs="Calibri"/>
          <w:szCs w:val="20"/>
        </w:rPr>
        <w:t xml:space="preserve">RW; </w:t>
      </w:r>
      <w:r w:rsidRPr="001F6A15">
        <w:rPr>
          <w:rFonts w:cs="Calibri"/>
          <w:szCs w:val="20"/>
        </w:rPr>
        <w:t>95 531 988,00 zł</w:t>
      </w:r>
      <w:r>
        <w:rPr>
          <w:rFonts w:cs="Calibri"/>
          <w:szCs w:val="20"/>
        </w:rPr>
        <w:t xml:space="preserve"> </w:t>
      </w:r>
      <w:r w:rsidRPr="00404DA5">
        <w:rPr>
          <w:rFonts w:cs="Calibri"/>
          <w:szCs w:val="20"/>
        </w:rPr>
        <w:t xml:space="preserve">bez RW) – ocenić maksymalną, możliwą do osiągnięcia wartość wskaźnika </w:t>
      </w:r>
      <w:r w:rsidRPr="00633D64">
        <w:rPr>
          <w:rFonts w:cs="Calibri"/>
          <w:i/>
          <w:szCs w:val="20"/>
        </w:rPr>
        <w:t>Liczba wspartych obiektów turystycznych</w:t>
      </w:r>
      <w:r w:rsidR="00E66B89">
        <w:rPr>
          <w:rFonts w:cs="Calibri"/>
          <w:i/>
          <w:szCs w:val="20"/>
        </w:rPr>
        <w:t xml:space="preserve"> i </w:t>
      </w:r>
      <w:r w:rsidRPr="00633D64">
        <w:rPr>
          <w:rFonts w:cs="Calibri"/>
          <w:i/>
          <w:szCs w:val="20"/>
        </w:rPr>
        <w:t>rekreacyjnych</w:t>
      </w:r>
      <w:r w:rsidRPr="00633D64">
        <w:rPr>
          <w:rFonts w:cs="Calibri"/>
          <w:szCs w:val="20"/>
        </w:rPr>
        <w:t xml:space="preserve"> </w:t>
      </w:r>
      <w:r>
        <w:rPr>
          <w:rFonts w:cs="Calibri"/>
          <w:szCs w:val="20"/>
        </w:rPr>
        <w:t xml:space="preserve">lub też wskaźnika </w:t>
      </w:r>
      <w:r w:rsidRPr="00633D64">
        <w:rPr>
          <w:rFonts w:cs="Calibri"/>
          <w:i/>
          <w:szCs w:val="20"/>
        </w:rPr>
        <w:t>Długość szlaków turystycznych</w:t>
      </w:r>
      <w:r>
        <w:rPr>
          <w:rFonts w:cs="Calibri"/>
          <w:i/>
          <w:szCs w:val="20"/>
        </w:rPr>
        <w:t xml:space="preserve"> </w:t>
      </w:r>
      <w:r>
        <w:rPr>
          <w:rFonts w:cs="Calibri"/>
          <w:i/>
          <w:szCs w:val="20"/>
        </w:rPr>
        <w:noBreakHyphen/>
        <w:t xml:space="preserve"> </w:t>
      </w:r>
      <w:r>
        <w:rPr>
          <w:rFonts w:cs="Calibri"/>
          <w:szCs w:val="20"/>
        </w:rPr>
        <w:t>osiąganą</w:t>
      </w:r>
      <w:r w:rsidR="00E66B89">
        <w:rPr>
          <w:rFonts w:cs="Calibri"/>
          <w:szCs w:val="20"/>
        </w:rPr>
        <w:t xml:space="preserve"> w </w:t>
      </w:r>
      <w:r>
        <w:rPr>
          <w:rFonts w:cs="Calibri"/>
          <w:szCs w:val="20"/>
        </w:rPr>
        <w:t xml:space="preserve">(przyszłych) </w:t>
      </w:r>
      <w:r w:rsidRPr="00404DA5">
        <w:rPr>
          <w:rFonts w:cs="Calibri"/>
          <w:szCs w:val="20"/>
        </w:rPr>
        <w:t>projektach.</w:t>
      </w:r>
    </w:p>
    <w:p w14:paraId="3A40F566" w14:textId="77777777" w:rsidR="006F4D8F" w:rsidRPr="0093717A" w:rsidRDefault="006F4D8F" w:rsidP="0093717A">
      <w:pPr>
        <w:pStyle w:val="Legenda"/>
        <w:spacing w:after="0"/>
      </w:pPr>
      <w:bookmarkStart w:id="137" w:name="_Toc8824177"/>
      <w:r w:rsidRPr="00404DA5">
        <w:lastRenderedPageBreak/>
        <w:t xml:space="preserve">Tabela </w:t>
      </w:r>
      <w:r>
        <w:fldChar w:fldCharType="begin"/>
      </w:r>
      <w:r>
        <w:instrText xml:space="preserve"> SEQ Tabela \* ARABIC </w:instrText>
      </w:r>
      <w:r>
        <w:fldChar w:fldCharType="separate"/>
      </w:r>
      <w:r w:rsidR="00763345">
        <w:rPr>
          <w:noProof/>
        </w:rPr>
        <w:t>66</w:t>
      </w:r>
      <w:r>
        <w:fldChar w:fldCharType="end"/>
      </w:r>
      <w:r w:rsidRPr="00404DA5">
        <w:t xml:space="preserve"> Prognozowany poziom realizacji wskaźników produktu</w:t>
      </w:r>
      <w:r w:rsidR="00E66B89">
        <w:t xml:space="preserve"> i </w:t>
      </w:r>
      <w:r w:rsidRPr="00404DA5">
        <w:t>rezultatu bezpośredniego na rok 2023 – PI 8</w:t>
      </w:r>
      <w:r>
        <w:t>b</w:t>
      </w:r>
      <w:bookmarkEnd w:id="137"/>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639"/>
        <w:gridCol w:w="1375"/>
        <w:gridCol w:w="1951"/>
        <w:gridCol w:w="1958"/>
      </w:tblGrid>
      <w:tr w:rsidR="006F4D8F" w:rsidRPr="00FE43CD" w14:paraId="0C54EDAF" w14:textId="77777777" w:rsidTr="00C22C26">
        <w:trPr>
          <w:trHeight w:val="1086"/>
          <w:tblHeader/>
        </w:trPr>
        <w:tc>
          <w:tcPr>
            <w:tcW w:w="517" w:type="pct"/>
            <w:shd w:val="clear" w:color="auto" w:fill="DBE5F1"/>
          </w:tcPr>
          <w:p w14:paraId="69131DBF" w14:textId="77777777" w:rsidR="006F4D8F" w:rsidRPr="00845F2B" w:rsidRDefault="006F4D8F" w:rsidP="006F4D8F">
            <w:pPr>
              <w:spacing w:line="240" w:lineRule="auto"/>
              <w:jc w:val="center"/>
              <w:rPr>
                <w:rFonts w:cs="Calibri"/>
                <w:sz w:val="18"/>
                <w:szCs w:val="18"/>
              </w:rPr>
            </w:pPr>
            <w:r w:rsidRPr="00845F2B">
              <w:rPr>
                <w:rFonts w:cs="Calibri"/>
                <w:sz w:val="18"/>
                <w:szCs w:val="18"/>
              </w:rPr>
              <w:t>Typ wskaźnika</w:t>
            </w:r>
          </w:p>
        </w:tc>
        <w:tc>
          <w:tcPr>
            <w:tcW w:w="1489" w:type="pct"/>
            <w:shd w:val="clear" w:color="auto" w:fill="DBE5F1"/>
          </w:tcPr>
          <w:p w14:paraId="1D692478" w14:textId="77777777" w:rsidR="006F4D8F" w:rsidRPr="00845F2B" w:rsidRDefault="006F4D8F" w:rsidP="006F4D8F">
            <w:pPr>
              <w:spacing w:line="240" w:lineRule="auto"/>
              <w:jc w:val="center"/>
              <w:rPr>
                <w:rFonts w:cs="Calibri"/>
                <w:sz w:val="18"/>
                <w:szCs w:val="18"/>
              </w:rPr>
            </w:pPr>
            <w:r w:rsidRPr="00845F2B">
              <w:rPr>
                <w:rFonts w:cs="Calibri"/>
                <w:sz w:val="18"/>
                <w:szCs w:val="18"/>
              </w:rPr>
              <w:t>Wskaźnik</w:t>
            </w:r>
          </w:p>
        </w:tc>
        <w:tc>
          <w:tcPr>
            <w:tcW w:w="782" w:type="pct"/>
            <w:shd w:val="clear" w:color="auto" w:fill="DBE5F1"/>
          </w:tcPr>
          <w:p w14:paraId="65A8E1A3" w14:textId="77777777" w:rsidR="006F4D8F" w:rsidRPr="00845F2B" w:rsidRDefault="006F4D8F" w:rsidP="006F4D8F">
            <w:pPr>
              <w:spacing w:line="240" w:lineRule="auto"/>
              <w:jc w:val="center"/>
              <w:rPr>
                <w:rFonts w:cs="Calibri"/>
                <w:sz w:val="18"/>
                <w:szCs w:val="18"/>
              </w:rPr>
            </w:pPr>
            <w:r w:rsidRPr="00845F2B">
              <w:rPr>
                <w:rFonts w:cs="Calibri"/>
                <w:sz w:val="18"/>
                <w:szCs w:val="18"/>
              </w:rPr>
              <w:t>Wartość docelowa określona na 2023 rok</w:t>
            </w:r>
          </w:p>
        </w:tc>
        <w:tc>
          <w:tcPr>
            <w:tcW w:w="1104" w:type="pct"/>
            <w:shd w:val="clear" w:color="auto" w:fill="DBE5F1"/>
          </w:tcPr>
          <w:p w14:paraId="1AE52673" w14:textId="77777777" w:rsidR="006F4D8F" w:rsidRPr="00845F2B" w:rsidRDefault="006F4D8F" w:rsidP="006F4D8F">
            <w:pPr>
              <w:spacing w:line="240" w:lineRule="auto"/>
              <w:jc w:val="center"/>
              <w:rPr>
                <w:rFonts w:cs="Calibri"/>
                <w:sz w:val="18"/>
                <w:szCs w:val="18"/>
              </w:rPr>
            </w:pPr>
            <w:r w:rsidRPr="00845F2B">
              <w:rPr>
                <w:rFonts w:cs="Calibri"/>
                <w:sz w:val="18"/>
                <w:szCs w:val="18"/>
              </w:rPr>
              <w:t xml:space="preserve">Prognozowana całkowita wartość wskaźnika </w:t>
            </w:r>
          </w:p>
        </w:tc>
        <w:tc>
          <w:tcPr>
            <w:tcW w:w="1108" w:type="pct"/>
            <w:shd w:val="clear" w:color="auto" w:fill="DBE5F1"/>
          </w:tcPr>
          <w:p w14:paraId="6400C365" w14:textId="77777777" w:rsidR="006F4D8F" w:rsidRPr="00845F2B" w:rsidRDefault="006F4D8F" w:rsidP="006F4D8F">
            <w:pPr>
              <w:spacing w:line="240" w:lineRule="auto"/>
              <w:jc w:val="center"/>
              <w:rPr>
                <w:rFonts w:cs="Calibri"/>
                <w:sz w:val="18"/>
                <w:szCs w:val="18"/>
              </w:rPr>
            </w:pPr>
            <w:r w:rsidRPr="00845F2B">
              <w:rPr>
                <w:rFonts w:cs="Calibri"/>
                <w:sz w:val="18"/>
                <w:szCs w:val="18"/>
              </w:rPr>
              <w:t>Prognozowany % realizacji wartości docelowej</w:t>
            </w:r>
          </w:p>
        </w:tc>
      </w:tr>
      <w:tr w:rsidR="006F4D8F" w:rsidRPr="00FE43CD" w14:paraId="4B329053" w14:textId="77777777" w:rsidTr="006F4D8F">
        <w:trPr>
          <w:trHeight w:val="657"/>
        </w:trPr>
        <w:tc>
          <w:tcPr>
            <w:tcW w:w="517" w:type="pct"/>
            <w:shd w:val="clear" w:color="auto" w:fill="auto"/>
            <w:vAlign w:val="center"/>
          </w:tcPr>
          <w:p w14:paraId="312F0CF2" w14:textId="77777777" w:rsidR="006F4D8F" w:rsidRPr="00404DA5" w:rsidRDefault="006F4D8F" w:rsidP="006F4D8F">
            <w:pPr>
              <w:spacing w:line="240" w:lineRule="auto"/>
              <w:rPr>
                <w:rFonts w:cs="Calibri"/>
                <w:sz w:val="18"/>
                <w:szCs w:val="18"/>
              </w:rPr>
            </w:pPr>
            <w:r w:rsidRPr="00404DA5">
              <w:rPr>
                <w:rFonts w:cs="Calibri"/>
                <w:sz w:val="18"/>
                <w:szCs w:val="18"/>
              </w:rPr>
              <w:t>WP</w:t>
            </w:r>
          </w:p>
        </w:tc>
        <w:tc>
          <w:tcPr>
            <w:tcW w:w="1489" w:type="pct"/>
            <w:shd w:val="clear" w:color="auto" w:fill="auto"/>
            <w:vAlign w:val="center"/>
          </w:tcPr>
          <w:p w14:paraId="7510667E" w14:textId="77777777" w:rsidR="006F4D8F" w:rsidRPr="00404DA5" w:rsidRDefault="006F4D8F" w:rsidP="006F4D8F">
            <w:pPr>
              <w:spacing w:line="240" w:lineRule="auto"/>
              <w:rPr>
                <w:rFonts w:cs="Calibri"/>
                <w:sz w:val="18"/>
                <w:szCs w:val="18"/>
              </w:rPr>
            </w:pPr>
            <w:r w:rsidRPr="00404DA5">
              <w:rPr>
                <w:rFonts w:cs="Calibri"/>
                <w:sz w:val="18"/>
                <w:szCs w:val="18"/>
              </w:rPr>
              <w:t>Liczba wspartych obiektów turystycznych</w:t>
            </w:r>
            <w:r w:rsidR="00E66B89">
              <w:rPr>
                <w:rFonts w:cs="Calibri"/>
                <w:sz w:val="18"/>
                <w:szCs w:val="18"/>
              </w:rPr>
              <w:t xml:space="preserve"> i </w:t>
            </w:r>
            <w:r w:rsidRPr="00404DA5">
              <w:rPr>
                <w:rFonts w:cs="Calibri"/>
                <w:sz w:val="18"/>
                <w:szCs w:val="18"/>
              </w:rPr>
              <w:t>rekreacyjnych</w:t>
            </w:r>
          </w:p>
        </w:tc>
        <w:tc>
          <w:tcPr>
            <w:tcW w:w="782" w:type="pct"/>
            <w:shd w:val="clear" w:color="auto" w:fill="auto"/>
            <w:vAlign w:val="center"/>
          </w:tcPr>
          <w:p w14:paraId="1138F406" w14:textId="77777777" w:rsidR="006F4D8F" w:rsidRPr="00404DA5" w:rsidRDefault="006F4D8F" w:rsidP="006F4D8F">
            <w:pPr>
              <w:spacing w:line="240" w:lineRule="auto"/>
              <w:jc w:val="center"/>
              <w:rPr>
                <w:rFonts w:cs="Calibri"/>
                <w:sz w:val="18"/>
                <w:szCs w:val="18"/>
              </w:rPr>
            </w:pPr>
            <w:r w:rsidRPr="00404DA5">
              <w:rPr>
                <w:rFonts w:cs="Calibri"/>
                <w:sz w:val="18"/>
                <w:szCs w:val="18"/>
              </w:rPr>
              <w:t>17</w:t>
            </w:r>
          </w:p>
        </w:tc>
        <w:tc>
          <w:tcPr>
            <w:tcW w:w="1104" w:type="pct"/>
            <w:shd w:val="clear" w:color="auto" w:fill="auto"/>
            <w:vAlign w:val="center"/>
          </w:tcPr>
          <w:p w14:paraId="50F65495" w14:textId="77777777" w:rsidR="006F4D8F" w:rsidRPr="00404DA5" w:rsidRDefault="006F4D8F" w:rsidP="006F4D8F">
            <w:pPr>
              <w:spacing w:line="240" w:lineRule="auto"/>
              <w:jc w:val="center"/>
              <w:rPr>
                <w:rFonts w:cs="Calibri"/>
                <w:sz w:val="18"/>
                <w:szCs w:val="18"/>
              </w:rPr>
            </w:pPr>
            <w:r>
              <w:rPr>
                <w:rFonts w:cs="Calibri"/>
                <w:sz w:val="18"/>
                <w:szCs w:val="18"/>
              </w:rPr>
              <w:t>49</w:t>
            </w:r>
          </w:p>
        </w:tc>
        <w:tc>
          <w:tcPr>
            <w:tcW w:w="1108" w:type="pct"/>
            <w:shd w:val="clear" w:color="auto" w:fill="auto"/>
            <w:vAlign w:val="center"/>
          </w:tcPr>
          <w:p w14:paraId="1517C022" w14:textId="77777777" w:rsidR="006F4D8F" w:rsidRPr="00404DA5" w:rsidRDefault="006F4D8F" w:rsidP="006F4D8F">
            <w:pPr>
              <w:spacing w:line="240" w:lineRule="auto"/>
              <w:jc w:val="center"/>
              <w:rPr>
                <w:rFonts w:cs="Calibri"/>
                <w:sz w:val="18"/>
                <w:szCs w:val="18"/>
              </w:rPr>
            </w:pPr>
            <w:r>
              <w:rPr>
                <w:rFonts w:cs="Calibri"/>
                <w:sz w:val="18"/>
                <w:szCs w:val="18"/>
              </w:rPr>
              <w:t>549,7</w:t>
            </w:r>
            <w:r w:rsidRPr="00404DA5">
              <w:rPr>
                <w:rFonts w:cs="Calibri"/>
                <w:sz w:val="18"/>
                <w:szCs w:val="18"/>
              </w:rPr>
              <w:t>%</w:t>
            </w:r>
            <w:r>
              <w:rPr>
                <w:rFonts w:cs="Calibri"/>
                <w:sz w:val="18"/>
                <w:szCs w:val="18"/>
              </w:rPr>
              <w:t xml:space="preserve"> </w:t>
            </w:r>
            <w:r>
              <w:rPr>
                <w:rFonts w:cs="Calibri"/>
                <w:sz w:val="18"/>
                <w:szCs w:val="18"/>
              </w:rPr>
              <w:br/>
            </w:r>
          </w:p>
        </w:tc>
      </w:tr>
      <w:tr w:rsidR="006F4D8F" w:rsidRPr="00FE43CD" w14:paraId="086415A3" w14:textId="77777777" w:rsidTr="006F4D8F">
        <w:trPr>
          <w:trHeight w:val="657"/>
        </w:trPr>
        <w:tc>
          <w:tcPr>
            <w:tcW w:w="517" w:type="pct"/>
            <w:shd w:val="clear" w:color="auto" w:fill="auto"/>
            <w:vAlign w:val="center"/>
          </w:tcPr>
          <w:p w14:paraId="6DD78DED" w14:textId="77777777" w:rsidR="006F4D8F" w:rsidRPr="00404DA5" w:rsidRDefault="006F4D8F" w:rsidP="006F4D8F">
            <w:pPr>
              <w:spacing w:line="240" w:lineRule="auto"/>
              <w:rPr>
                <w:rFonts w:cs="Calibri"/>
                <w:sz w:val="18"/>
                <w:szCs w:val="18"/>
              </w:rPr>
            </w:pPr>
            <w:r>
              <w:rPr>
                <w:rFonts w:cs="Calibri"/>
                <w:sz w:val="18"/>
                <w:szCs w:val="18"/>
              </w:rPr>
              <w:t>WP</w:t>
            </w:r>
          </w:p>
        </w:tc>
        <w:tc>
          <w:tcPr>
            <w:tcW w:w="1489" w:type="pct"/>
            <w:shd w:val="clear" w:color="auto" w:fill="auto"/>
            <w:vAlign w:val="center"/>
          </w:tcPr>
          <w:p w14:paraId="016CABC5" w14:textId="77777777" w:rsidR="006F4D8F" w:rsidRPr="00404DA5" w:rsidRDefault="006F4D8F" w:rsidP="006F4D8F">
            <w:pPr>
              <w:spacing w:line="240" w:lineRule="auto"/>
              <w:rPr>
                <w:rFonts w:cs="Calibri"/>
                <w:sz w:val="18"/>
                <w:szCs w:val="18"/>
              </w:rPr>
            </w:pPr>
            <w:r w:rsidRPr="00404DA5">
              <w:rPr>
                <w:rFonts w:cs="Calibri"/>
                <w:sz w:val="18"/>
                <w:szCs w:val="18"/>
              </w:rPr>
              <w:t>Długość szlaków turystycznych</w:t>
            </w:r>
          </w:p>
        </w:tc>
        <w:tc>
          <w:tcPr>
            <w:tcW w:w="782" w:type="pct"/>
            <w:shd w:val="clear" w:color="auto" w:fill="auto"/>
            <w:vAlign w:val="center"/>
          </w:tcPr>
          <w:p w14:paraId="410662FB" w14:textId="77777777" w:rsidR="006F4D8F" w:rsidRPr="00404DA5" w:rsidRDefault="006F4D8F" w:rsidP="006F4D8F">
            <w:pPr>
              <w:spacing w:line="240" w:lineRule="auto"/>
              <w:jc w:val="center"/>
              <w:rPr>
                <w:rFonts w:cs="Calibri"/>
                <w:sz w:val="18"/>
                <w:szCs w:val="18"/>
              </w:rPr>
            </w:pPr>
            <w:r w:rsidRPr="00404DA5">
              <w:rPr>
                <w:rFonts w:cs="Calibri"/>
                <w:sz w:val="18"/>
                <w:szCs w:val="18"/>
              </w:rPr>
              <w:t>276</w:t>
            </w:r>
          </w:p>
        </w:tc>
        <w:tc>
          <w:tcPr>
            <w:tcW w:w="1104" w:type="pct"/>
            <w:shd w:val="clear" w:color="auto" w:fill="auto"/>
            <w:vAlign w:val="center"/>
          </w:tcPr>
          <w:p w14:paraId="2D101CCA" w14:textId="77777777" w:rsidR="006F4D8F" w:rsidRPr="00404DA5" w:rsidRDefault="006F4D8F" w:rsidP="006F4D8F">
            <w:pPr>
              <w:spacing w:line="240" w:lineRule="auto"/>
              <w:jc w:val="center"/>
              <w:rPr>
                <w:rFonts w:cs="Calibri"/>
                <w:sz w:val="18"/>
                <w:szCs w:val="18"/>
              </w:rPr>
            </w:pPr>
            <w:r>
              <w:rPr>
                <w:rFonts w:cs="Calibri"/>
                <w:sz w:val="18"/>
                <w:szCs w:val="18"/>
              </w:rPr>
              <w:t>701</w:t>
            </w:r>
          </w:p>
        </w:tc>
        <w:tc>
          <w:tcPr>
            <w:tcW w:w="1108" w:type="pct"/>
            <w:shd w:val="clear" w:color="auto" w:fill="auto"/>
            <w:vAlign w:val="center"/>
          </w:tcPr>
          <w:p w14:paraId="5E2D3C03" w14:textId="77777777" w:rsidR="006F4D8F" w:rsidRPr="00404DA5" w:rsidRDefault="006F4D8F" w:rsidP="006F4D8F">
            <w:pPr>
              <w:spacing w:line="240" w:lineRule="auto"/>
              <w:jc w:val="center"/>
              <w:rPr>
                <w:rFonts w:cs="Calibri"/>
                <w:sz w:val="18"/>
                <w:szCs w:val="18"/>
              </w:rPr>
            </w:pPr>
            <w:r>
              <w:rPr>
                <w:rFonts w:cs="Calibri"/>
                <w:sz w:val="18"/>
                <w:szCs w:val="18"/>
              </w:rPr>
              <w:t>301,0%</w:t>
            </w:r>
          </w:p>
        </w:tc>
      </w:tr>
    </w:tbl>
    <w:p w14:paraId="029EB9D4" w14:textId="77777777" w:rsidR="006F4D8F" w:rsidRPr="00EE66C6" w:rsidRDefault="006F4D8F"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zawartych UoD na dzień 07.01.2019 r., obliczenia</w:t>
      </w:r>
      <w:r w:rsidR="00E66B89" w:rsidRPr="00EE66C6">
        <w:rPr>
          <w:i/>
          <w:sz w:val="18"/>
          <w:szCs w:val="20"/>
        </w:rPr>
        <w:t xml:space="preserve"> i </w:t>
      </w:r>
      <w:r w:rsidRPr="00EE66C6">
        <w:rPr>
          <w:i/>
          <w:sz w:val="18"/>
          <w:szCs w:val="20"/>
        </w:rPr>
        <w:t xml:space="preserve">analizy własne. </w:t>
      </w:r>
    </w:p>
    <w:p w14:paraId="1E4BA28E" w14:textId="77777777" w:rsidR="006F4D8F" w:rsidRDefault="006F4D8F" w:rsidP="006F4D8F">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 xml:space="preserve">przeprowadzoną prognozą przy obliczonym koszcie jednostkowym wskaźnika </w:t>
      </w:r>
      <w:r w:rsidRPr="00C32042">
        <w:rPr>
          <w:rFonts w:cs="Calibri"/>
          <w:i/>
          <w:szCs w:val="20"/>
        </w:rPr>
        <w:t>Liczba wspartych obiektów turystycznych</w:t>
      </w:r>
      <w:r w:rsidR="00E66B89">
        <w:rPr>
          <w:rFonts w:cs="Calibri"/>
          <w:i/>
          <w:szCs w:val="20"/>
        </w:rPr>
        <w:t xml:space="preserve"> i </w:t>
      </w:r>
      <w:r w:rsidRPr="00C32042">
        <w:rPr>
          <w:rFonts w:cs="Calibri"/>
          <w:i/>
          <w:szCs w:val="20"/>
        </w:rPr>
        <w:t>rekreacyjnych</w:t>
      </w:r>
      <w:r>
        <w:rPr>
          <w:rFonts w:cs="Calibri"/>
          <w:i/>
          <w:szCs w:val="20"/>
        </w:rPr>
        <w:t xml:space="preserve"> </w:t>
      </w:r>
      <w:r w:rsidRPr="00C32042">
        <w:rPr>
          <w:rFonts w:cs="Calibri"/>
          <w:szCs w:val="20"/>
        </w:rPr>
        <w:t>(u</w:t>
      </w:r>
      <w:r w:rsidRPr="00404DA5">
        <w:rPr>
          <w:rFonts w:cs="Calibri"/>
          <w:szCs w:val="20"/>
        </w:rPr>
        <w:t xml:space="preserve">względniającym </w:t>
      </w:r>
      <w:r>
        <w:rPr>
          <w:rFonts w:cs="Calibri"/>
          <w:szCs w:val="20"/>
        </w:rPr>
        <w:t>indeks inflacji), który</w:t>
      </w:r>
      <w:r w:rsidRPr="00404DA5">
        <w:rPr>
          <w:rFonts w:cs="Calibri"/>
          <w:szCs w:val="20"/>
        </w:rPr>
        <w:t xml:space="preserve"> </w:t>
      </w:r>
      <w:r>
        <w:rPr>
          <w:rFonts w:cs="Calibri"/>
          <w:szCs w:val="20"/>
        </w:rPr>
        <w:t xml:space="preserve">wynosi </w:t>
      </w:r>
      <w:r w:rsidRPr="00C32042">
        <w:rPr>
          <w:rFonts w:cs="Calibri"/>
          <w:szCs w:val="20"/>
        </w:rPr>
        <w:t>2 123 013,30 zł/obiekt</w:t>
      </w:r>
      <w:r w:rsidRPr="00404DA5">
        <w:rPr>
          <w:rFonts w:cs="Calibri"/>
          <w:szCs w:val="20"/>
        </w:rPr>
        <w:t>, alokacja pozostała</w:t>
      </w:r>
      <w:r w:rsidR="00E66B89">
        <w:rPr>
          <w:rFonts w:cs="Calibri"/>
          <w:szCs w:val="20"/>
        </w:rPr>
        <w:t xml:space="preserve"> w </w:t>
      </w:r>
      <w:r w:rsidRPr="00404DA5">
        <w:rPr>
          <w:rFonts w:cs="Calibri"/>
          <w:szCs w:val="20"/>
        </w:rPr>
        <w:t>PI 8</w:t>
      </w:r>
      <w:r>
        <w:rPr>
          <w:rFonts w:cs="Calibri"/>
          <w:szCs w:val="20"/>
        </w:rPr>
        <w:t>b</w:t>
      </w:r>
      <w:r w:rsidRPr="00404DA5">
        <w:rPr>
          <w:rFonts w:cs="Calibri"/>
          <w:szCs w:val="20"/>
        </w:rPr>
        <w:t xml:space="preserve"> umożliwi objęcie wsparciem jeszcze</w:t>
      </w:r>
      <w:r>
        <w:rPr>
          <w:rFonts w:cs="Calibri"/>
          <w:szCs w:val="20"/>
        </w:rPr>
        <w:t xml:space="preserve"> 49 obiektów turystycznych</w:t>
      </w:r>
      <w:r w:rsidR="00E66B89">
        <w:rPr>
          <w:rFonts w:cs="Calibri"/>
          <w:szCs w:val="20"/>
        </w:rPr>
        <w:t xml:space="preserve"> i </w:t>
      </w:r>
      <w:r>
        <w:rPr>
          <w:rFonts w:cs="Calibri"/>
          <w:szCs w:val="20"/>
        </w:rPr>
        <w:t>rekreacyjnych</w:t>
      </w:r>
      <w:r w:rsidRPr="00404DA5">
        <w:rPr>
          <w:rFonts w:cs="Calibri"/>
          <w:szCs w:val="20"/>
        </w:rPr>
        <w:t>, co – łącznie</w:t>
      </w:r>
      <w:r w:rsidR="00E66B89">
        <w:rPr>
          <w:rFonts w:cs="Calibri"/>
          <w:szCs w:val="20"/>
        </w:rPr>
        <w:t xml:space="preserve"> z </w:t>
      </w:r>
      <w:r w:rsidRPr="00404DA5">
        <w:rPr>
          <w:rFonts w:cs="Calibri"/>
          <w:szCs w:val="20"/>
        </w:rPr>
        <w:t>wartością wskaźnika wg. UoD (</w:t>
      </w:r>
      <w:r>
        <w:rPr>
          <w:rFonts w:cs="Calibri"/>
          <w:szCs w:val="20"/>
        </w:rPr>
        <w:t>44</w:t>
      </w:r>
      <w:r w:rsidRPr="00404DA5">
        <w:rPr>
          <w:rFonts w:cs="Calibri"/>
          <w:szCs w:val="20"/>
        </w:rPr>
        <w:t xml:space="preserve">) – oznacza całkowitą prognozowaną wartość wskaźnika do osiągnięcia na </w:t>
      </w:r>
      <w:r>
        <w:rPr>
          <w:rFonts w:cs="Calibri"/>
          <w:szCs w:val="20"/>
        </w:rPr>
        <w:t>bardzo wysokim poziomie wynoszącym 93 (549,7%) wsparte obiekty</w:t>
      </w:r>
      <w:r w:rsidR="00E66B89">
        <w:rPr>
          <w:rFonts w:cs="Calibri"/>
          <w:szCs w:val="20"/>
        </w:rPr>
        <w:t xml:space="preserve"> w </w:t>
      </w:r>
      <w:r>
        <w:rPr>
          <w:rFonts w:cs="Calibri"/>
          <w:szCs w:val="20"/>
        </w:rPr>
        <w:t>regionie.</w:t>
      </w:r>
    </w:p>
    <w:p w14:paraId="56A7DF54" w14:textId="77777777" w:rsidR="006F4D8F" w:rsidRDefault="006F4D8F" w:rsidP="006F4D8F">
      <w:pPr>
        <w:rPr>
          <w:rFonts w:cs="Calibri"/>
          <w:szCs w:val="20"/>
        </w:rPr>
      </w:pPr>
      <w:r>
        <w:rPr>
          <w:rFonts w:cs="Calibri"/>
          <w:szCs w:val="20"/>
        </w:rPr>
        <w:t>P</w:t>
      </w:r>
      <w:r w:rsidRPr="00404DA5">
        <w:rPr>
          <w:rFonts w:cs="Calibri"/>
          <w:szCs w:val="20"/>
        </w:rPr>
        <w:t xml:space="preserve">rzy obliczonym koszcie jednostkowym wskaźnika </w:t>
      </w:r>
      <w:r w:rsidRPr="00254D38">
        <w:rPr>
          <w:rFonts w:cs="Calibri"/>
          <w:i/>
          <w:szCs w:val="20"/>
        </w:rPr>
        <w:t>Długość szlaków turystycznych</w:t>
      </w:r>
      <w:r>
        <w:rPr>
          <w:rFonts w:cs="Calibri"/>
          <w:i/>
          <w:szCs w:val="20"/>
        </w:rPr>
        <w:t xml:space="preserve"> </w:t>
      </w:r>
      <w:r w:rsidRPr="00C32042">
        <w:rPr>
          <w:rFonts w:cs="Calibri"/>
          <w:szCs w:val="20"/>
        </w:rPr>
        <w:t>(u</w:t>
      </w:r>
      <w:r w:rsidRPr="00404DA5">
        <w:rPr>
          <w:rFonts w:cs="Calibri"/>
          <w:szCs w:val="20"/>
        </w:rPr>
        <w:t xml:space="preserve">względniającym </w:t>
      </w:r>
      <w:r>
        <w:rPr>
          <w:rFonts w:cs="Calibri"/>
          <w:szCs w:val="20"/>
        </w:rPr>
        <w:t>indeks inflacji), który</w:t>
      </w:r>
      <w:r w:rsidRPr="00404DA5">
        <w:rPr>
          <w:rFonts w:cs="Calibri"/>
          <w:szCs w:val="20"/>
        </w:rPr>
        <w:t xml:space="preserve"> </w:t>
      </w:r>
      <w:r>
        <w:rPr>
          <w:rFonts w:cs="Calibri"/>
          <w:szCs w:val="20"/>
        </w:rPr>
        <w:t xml:space="preserve">wynosi </w:t>
      </w:r>
      <w:r w:rsidRPr="00633D64">
        <w:rPr>
          <w:rFonts w:cs="Calibri"/>
          <w:szCs w:val="20"/>
        </w:rPr>
        <w:t>149 715,46 zł</w:t>
      </w:r>
      <w:r>
        <w:rPr>
          <w:rFonts w:cs="Calibri"/>
          <w:szCs w:val="20"/>
        </w:rPr>
        <w:t>/km</w:t>
      </w:r>
      <w:r w:rsidRPr="00404DA5">
        <w:rPr>
          <w:rFonts w:cs="Calibri"/>
          <w:szCs w:val="20"/>
        </w:rPr>
        <w:t>, alokacja pozostała</w:t>
      </w:r>
      <w:r w:rsidR="00E66B89">
        <w:rPr>
          <w:rFonts w:cs="Calibri"/>
          <w:szCs w:val="20"/>
        </w:rPr>
        <w:t xml:space="preserve"> w </w:t>
      </w:r>
      <w:r w:rsidRPr="00404DA5">
        <w:rPr>
          <w:rFonts w:cs="Calibri"/>
          <w:szCs w:val="20"/>
        </w:rPr>
        <w:t>PI 8</w:t>
      </w:r>
      <w:r>
        <w:rPr>
          <w:rFonts w:cs="Calibri"/>
          <w:szCs w:val="20"/>
        </w:rPr>
        <w:t>b</w:t>
      </w:r>
      <w:r w:rsidRPr="00404DA5">
        <w:rPr>
          <w:rFonts w:cs="Calibri"/>
          <w:szCs w:val="20"/>
        </w:rPr>
        <w:t xml:space="preserve"> </w:t>
      </w:r>
      <w:r>
        <w:rPr>
          <w:rFonts w:cs="Calibri"/>
          <w:szCs w:val="20"/>
        </w:rPr>
        <w:t>zabezpiecza 701 km szlaków turystycznych</w:t>
      </w:r>
      <w:r w:rsidRPr="00404DA5">
        <w:rPr>
          <w:rFonts w:cs="Calibri"/>
          <w:szCs w:val="20"/>
        </w:rPr>
        <w:t>, co – łącznie</w:t>
      </w:r>
      <w:r w:rsidR="00E66B89">
        <w:rPr>
          <w:rFonts w:cs="Calibri"/>
          <w:szCs w:val="20"/>
        </w:rPr>
        <w:t xml:space="preserve"> z </w:t>
      </w:r>
      <w:r w:rsidRPr="00404DA5">
        <w:rPr>
          <w:rFonts w:cs="Calibri"/>
          <w:szCs w:val="20"/>
        </w:rPr>
        <w:t>wartością wskaźnika wg. UoD (</w:t>
      </w:r>
      <w:r>
        <w:rPr>
          <w:rFonts w:cs="Calibri"/>
          <w:szCs w:val="20"/>
        </w:rPr>
        <w:t>129,52</w:t>
      </w:r>
      <w:r w:rsidRPr="00404DA5">
        <w:rPr>
          <w:rFonts w:cs="Calibri"/>
          <w:szCs w:val="20"/>
        </w:rPr>
        <w:t xml:space="preserve">) – oznacza całkowitą prognozowaną wartość wskaźnika do osiągnięcia na </w:t>
      </w:r>
      <w:r>
        <w:rPr>
          <w:rFonts w:cs="Calibri"/>
          <w:szCs w:val="20"/>
        </w:rPr>
        <w:t>bardzo wysokim poziomie wynoszącym 830,52 km (301,0%) szlaków turystycznych.</w:t>
      </w:r>
    </w:p>
    <w:p w14:paraId="012F7DC6" w14:textId="77777777" w:rsidR="006F4D8F" w:rsidRPr="001F11BC" w:rsidRDefault="006F4D8F" w:rsidP="006F4D8F">
      <w:pPr>
        <w:pStyle w:val="Nagwek4"/>
        <w:numPr>
          <w:ilvl w:val="0"/>
          <w:numId w:val="0"/>
        </w:numPr>
        <w:spacing w:before="120"/>
        <w:rPr>
          <w:rFonts w:ascii="Lato" w:eastAsia="Calibri" w:hAnsi="Lato"/>
          <w:szCs w:val="20"/>
        </w:rPr>
      </w:pPr>
      <w:r w:rsidRPr="001F11BC">
        <w:rPr>
          <w:rFonts w:ascii="Lato" w:eastAsia="Calibri" w:hAnsi="Lato"/>
          <w:szCs w:val="20"/>
        </w:rPr>
        <w:t>Możliwości zarządzania środkami rezerwy wykonania</w:t>
      </w:r>
      <w:r w:rsidR="00E66B89">
        <w:rPr>
          <w:rFonts w:ascii="Lato" w:eastAsia="Calibri" w:hAnsi="Lato"/>
          <w:szCs w:val="20"/>
        </w:rPr>
        <w:t xml:space="preserve"> i </w:t>
      </w:r>
      <w:r w:rsidRPr="001F11BC">
        <w:rPr>
          <w:rFonts w:ascii="Lato" w:eastAsia="Calibri" w:hAnsi="Lato"/>
          <w:szCs w:val="20"/>
        </w:rPr>
        <w:t>identyfikacja obszarów wymagających interwencji - podsumowanie</w:t>
      </w:r>
    </w:p>
    <w:p w14:paraId="15F8C9C2" w14:textId="77777777" w:rsidR="00845F2B" w:rsidRDefault="006F4D8F" w:rsidP="006F4D8F">
      <w:pPr>
        <w:rPr>
          <w:rFonts w:cs="Calibri"/>
          <w:szCs w:val="20"/>
        </w:rPr>
      </w:pPr>
      <w:r>
        <w:rPr>
          <w:rFonts w:cs="Calibri"/>
          <w:szCs w:val="20"/>
        </w:rPr>
        <w:t>Ze względu na diagnozowany wysoki potencjał</w:t>
      </w:r>
      <w:r w:rsidR="00E66B89">
        <w:rPr>
          <w:rFonts w:cs="Calibri"/>
          <w:szCs w:val="20"/>
        </w:rPr>
        <w:t xml:space="preserve"> w </w:t>
      </w:r>
      <w:r>
        <w:rPr>
          <w:rFonts w:cs="Calibri"/>
          <w:szCs w:val="20"/>
        </w:rPr>
        <w:t>zakresie absorpcji nie odnotowuje się zagrożenia wykorzystania alokacji przewidzianej na Działanie; p</w:t>
      </w:r>
      <w:r w:rsidRPr="00404DA5">
        <w:rPr>
          <w:rFonts w:cs="Calibri"/>
          <w:szCs w:val="20"/>
        </w:rPr>
        <w:t>ozostała</w:t>
      </w:r>
      <w:r w:rsidR="00E66B89">
        <w:rPr>
          <w:rFonts w:cs="Calibri"/>
          <w:szCs w:val="20"/>
        </w:rPr>
        <w:t xml:space="preserve"> w </w:t>
      </w:r>
      <w:r w:rsidRPr="00404DA5">
        <w:rPr>
          <w:rFonts w:cs="Calibri"/>
          <w:szCs w:val="20"/>
        </w:rPr>
        <w:t>Działaniu alokacja powinna zostać z</w:t>
      </w:r>
      <w:r>
        <w:rPr>
          <w:rFonts w:cs="Calibri"/>
          <w:szCs w:val="20"/>
        </w:rPr>
        <w:t>a</w:t>
      </w:r>
      <w:r w:rsidRPr="00404DA5">
        <w:rPr>
          <w:rFonts w:cs="Calibri"/>
          <w:szCs w:val="20"/>
        </w:rPr>
        <w:t>kontraktowana.</w:t>
      </w:r>
    </w:p>
    <w:p w14:paraId="0460CD21" w14:textId="77777777" w:rsidR="00EF2A15" w:rsidRPr="00801DB4" w:rsidRDefault="00EF2A15" w:rsidP="00EF2A15">
      <w:pPr>
        <w:pStyle w:val="Nagwek2"/>
      </w:pPr>
      <w:bookmarkStart w:id="138" w:name="_Toc6523749"/>
      <w:r w:rsidRPr="00801DB4">
        <w:t>Oś priorytetowa V Zrównoważony transport</w:t>
      </w:r>
      <w:bookmarkEnd w:id="138"/>
      <w:r w:rsidRPr="00801DB4">
        <w:t xml:space="preserve"> </w:t>
      </w:r>
    </w:p>
    <w:p w14:paraId="10AA2C11" w14:textId="77777777" w:rsidR="00EF2A15" w:rsidRPr="000A135E" w:rsidRDefault="00EF2A15" w:rsidP="00EF2A15">
      <w:pPr>
        <w:pStyle w:val="Nagwek3"/>
      </w:pPr>
      <w:r w:rsidRPr="000A135E">
        <w:t>Ocena zmian sytuacji społeczno-gospodarczej</w:t>
      </w:r>
      <w:r w:rsidR="00E66B89">
        <w:t xml:space="preserve"> w </w:t>
      </w:r>
      <w:r w:rsidRPr="000A135E">
        <w:t>obszarze OP V</w:t>
      </w:r>
    </w:p>
    <w:p w14:paraId="6B69456D" w14:textId="77777777" w:rsidR="00EF2A15" w:rsidRPr="000A135E" w:rsidRDefault="00EF2A15" w:rsidP="00EF2A15">
      <w:pPr>
        <w:rPr>
          <w:color w:val="000000"/>
          <w:szCs w:val="20"/>
        </w:rPr>
      </w:pPr>
      <w:r w:rsidRPr="000A135E">
        <w:rPr>
          <w:szCs w:val="20"/>
        </w:rPr>
        <w:t xml:space="preserve">W ramach OP V </w:t>
      </w:r>
      <w:r w:rsidRPr="008B706B">
        <w:rPr>
          <w:i/>
          <w:szCs w:val="20"/>
        </w:rPr>
        <w:t>Zrównoważony transport</w:t>
      </w:r>
      <w:r w:rsidRPr="000A135E">
        <w:rPr>
          <w:szCs w:val="20"/>
        </w:rPr>
        <w:t xml:space="preserve"> wdrażane są interwencje</w:t>
      </w:r>
      <w:r w:rsidR="00E66B89">
        <w:rPr>
          <w:szCs w:val="20"/>
        </w:rPr>
        <w:t xml:space="preserve"> w </w:t>
      </w:r>
      <w:r w:rsidRPr="000A135E">
        <w:rPr>
          <w:szCs w:val="20"/>
        </w:rPr>
        <w:t>obs</w:t>
      </w:r>
      <w:r w:rsidR="00E66B89">
        <w:rPr>
          <w:szCs w:val="20"/>
        </w:rPr>
        <w:t>zarze infrastruktury drogowej PI</w:t>
      </w:r>
      <w:r w:rsidRPr="000A135E">
        <w:rPr>
          <w:szCs w:val="20"/>
        </w:rPr>
        <w:t xml:space="preserve"> 7</w:t>
      </w:r>
      <w:r w:rsidR="00E66B89">
        <w:rPr>
          <w:szCs w:val="20"/>
        </w:rPr>
        <w:t>b), infrastruktury kolejowej (PI</w:t>
      </w:r>
      <w:r w:rsidRPr="000A135E">
        <w:rPr>
          <w:szCs w:val="20"/>
        </w:rPr>
        <w:t xml:space="preserve"> 7d) oraz infrastruktury szl</w:t>
      </w:r>
      <w:r w:rsidR="00E66B89">
        <w:rPr>
          <w:szCs w:val="20"/>
        </w:rPr>
        <w:t>aków żeglownych (PI</w:t>
      </w:r>
      <w:r w:rsidRPr="000A135E">
        <w:rPr>
          <w:szCs w:val="20"/>
        </w:rPr>
        <w:t xml:space="preserve"> 7c). </w:t>
      </w:r>
      <w:r w:rsidRPr="000A135E">
        <w:rPr>
          <w:iCs/>
          <w:szCs w:val="20"/>
        </w:rPr>
        <w:t>Głównym celem wsparcia</w:t>
      </w:r>
      <w:r w:rsidR="00E66B89">
        <w:rPr>
          <w:iCs/>
          <w:szCs w:val="20"/>
        </w:rPr>
        <w:t xml:space="preserve"> w </w:t>
      </w:r>
      <w:r w:rsidRPr="000A135E">
        <w:rPr>
          <w:iCs/>
          <w:szCs w:val="20"/>
        </w:rPr>
        <w:t xml:space="preserve">ramach CT 7 </w:t>
      </w:r>
      <w:r w:rsidRPr="008B706B">
        <w:rPr>
          <w:i/>
          <w:color w:val="000000"/>
          <w:szCs w:val="20"/>
        </w:rPr>
        <w:t>Promowanie zrównoważonego transportu</w:t>
      </w:r>
      <w:r w:rsidR="00E66B89">
        <w:rPr>
          <w:i/>
          <w:color w:val="000000"/>
          <w:szCs w:val="20"/>
        </w:rPr>
        <w:t xml:space="preserve"> i </w:t>
      </w:r>
      <w:r w:rsidRPr="008B706B">
        <w:rPr>
          <w:i/>
          <w:color w:val="000000"/>
          <w:szCs w:val="20"/>
        </w:rPr>
        <w:t>usuwanie niedoborów przepustowości</w:t>
      </w:r>
      <w:r w:rsidR="00E66B89">
        <w:rPr>
          <w:i/>
          <w:color w:val="000000"/>
          <w:szCs w:val="20"/>
        </w:rPr>
        <w:t xml:space="preserve"> w </w:t>
      </w:r>
      <w:r w:rsidRPr="008B706B">
        <w:rPr>
          <w:i/>
          <w:color w:val="000000"/>
          <w:szCs w:val="20"/>
        </w:rPr>
        <w:t>działaniu najważniejszej infrastruktury sieciowej</w:t>
      </w:r>
      <w:r w:rsidRPr="000A135E">
        <w:rPr>
          <w:iCs/>
          <w:szCs w:val="20"/>
        </w:rPr>
        <w:t xml:space="preserve"> jest poprawa wewnętrznej spójności komunikacyjnej województwa, ze szczególnym uwzględnieniem polepszenia połączeń komunikacyjnych pomiędzy ośrodkami wzrostu</w:t>
      </w:r>
      <w:r w:rsidR="00E66B89">
        <w:rPr>
          <w:iCs/>
          <w:szCs w:val="20"/>
        </w:rPr>
        <w:t xml:space="preserve"> a </w:t>
      </w:r>
      <w:r w:rsidRPr="000A135E">
        <w:rPr>
          <w:iCs/>
          <w:szCs w:val="20"/>
        </w:rPr>
        <w:t>centralną częścią województwa. Główną rol</w:t>
      </w:r>
      <w:r>
        <w:rPr>
          <w:iCs/>
          <w:szCs w:val="20"/>
        </w:rPr>
        <w:t>ę</w:t>
      </w:r>
      <w:r w:rsidRPr="000A135E">
        <w:rPr>
          <w:iCs/>
          <w:szCs w:val="20"/>
        </w:rPr>
        <w:t xml:space="preserve"> odgrywają działania mające na celu poprawę dostępności transportowej poszczególnych obszarów,</w:t>
      </w:r>
      <w:r w:rsidR="00E66B89">
        <w:rPr>
          <w:iCs/>
          <w:szCs w:val="20"/>
        </w:rPr>
        <w:t xml:space="preserve"> w </w:t>
      </w:r>
      <w:r w:rsidRPr="000A135E">
        <w:rPr>
          <w:iCs/>
          <w:szCs w:val="20"/>
        </w:rPr>
        <w:t>szczególności dowiązywanie potoków transportowych do sieci TEN-T</w:t>
      </w:r>
      <w:r w:rsidR="00E66B89">
        <w:rPr>
          <w:iCs/>
          <w:szCs w:val="20"/>
        </w:rPr>
        <w:t xml:space="preserve"> i </w:t>
      </w:r>
      <w:r>
        <w:rPr>
          <w:iCs/>
          <w:szCs w:val="20"/>
        </w:rPr>
        <w:t>zwiększenie</w:t>
      </w:r>
      <w:r w:rsidRPr="000A135E">
        <w:rPr>
          <w:iCs/>
          <w:szCs w:val="20"/>
        </w:rPr>
        <w:t xml:space="preserve"> dostępności transportowej całego regionu.</w:t>
      </w:r>
    </w:p>
    <w:p w14:paraId="40996677" w14:textId="77777777" w:rsidR="00EF2A15" w:rsidRPr="0052708E" w:rsidRDefault="00EF2A15" w:rsidP="00EF2A15">
      <w:pPr>
        <w:rPr>
          <w:szCs w:val="20"/>
        </w:rPr>
      </w:pPr>
      <w:r w:rsidRPr="000A135E">
        <w:rPr>
          <w:szCs w:val="20"/>
        </w:rPr>
        <w:t xml:space="preserve">Priorytet Inwestycyjny 7b </w:t>
      </w:r>
      <w:r w:rsidRPr="00C22C26">
        <w:rPr>
          <w:i/>
          <w:szCs w:val="20"/>
        </w:rPr>
        <w:t>Infrastruktura drogowa</w:t>
      </w:r>
      <w:r w:rsidRPr="000A135E">
        <w:rPr>
          <w:szCs w:val="20"/>
        </w:rPr>
        <w:t xml:space="preserve"> realizowany jest</w:t>
      </w:r>
      <w:r w:rsidR="00E66B89">
        <w:rPr>
          <w:szCs w:val="20"/>
        </w:rPr>
        <w:t xml:space="preserve"> w </w:t>
      </w:r>
      <w:r w:rsidRPr="000A135E">
        <w:rPr>
          <w:szCs w:val="20"/>
        </w:rPr>
        <w:t xml:space="preserve">ramach </w:t>
      </w:r>
      <w:r>
        <w:rPr>
          <w:szCs w:val="20"/>
        </w:rPr>
        <w:t>czterech</w:t>
      </w:r>
      <w:r w:rsidRPr="000A135E">
        <w:rPr>
          <w:szCs w:val="20"/>
        </w:rPr>
        <w:t xml:space="preserve"> Działań: Działanie 5.1 </w:t>
      </w:r>
      <w:r w:rsidRPr="00C22C26">
        <w:rPr>
          <w:i/>
          <w:szCs w:val="20"/>
        </w:rPr>
        <w:t>Budowa</w:t>
      </w:r>
      <w:r w:rsidR="00E66B89">
        <w:rPr>
          <w:i/>
          <w:szCs w:val="20"/>
        </w:rPr>
        <w:t xml:space="preserve"> i </w:t>
      </w:r>
      <w:r w:rsidRPr="00C22C26">
        <w:rPr>
          <w:i/>
          <w:szCs w:val="20"/>
        </w:rPr>
        <w:t>przebudowa dróg regionalnych (wojewódzkich)</w:t>
      </w:r>
      <w:r w:rsidRPr="000A135E">
        <w:rPr>
          <w:szCs w:val="20"/>
        </w:rPr>
        <w:t xml:space="preserve">, Działanie 5.2 </w:t>
      </w:r>
      <w:r w:rsidRPr="00C22C26">
        <w:rPr>
          <w:i/>
          <w:szCs w:val="20"/>
        </w:rPr>
        <w:t>Budowa</w:t>
      </w:r>
      <w:r w:rsidR="00E66B89">
        <w:rPr>
          <w:i/>
          <w:szCs w:val="20"/>
        </w:rPr>
        <w:t xml:space="preserve"> i </w:t>
      </w:r>
      <w:r w:rsidRPr="00C22C26">
        <w:rPr>
          <w:i/>
          <w:szCs w:val="20"/>
        </w:rPr>
        <w:t>przebudowa dróg lokalnych (gminnych</w:t>
      </w:r>
      <w:r w:rsidR="00E66B89">
        <w:rPr>
          <w:i/>
          <w:szCs w:val="20"/>
        </w:rPr>
        <w:t xml:space="preserve"> i </w:t>
      </w:r>
      <w:r w:rsidRPr="00C22C26">
        <w:rPr>
          <w:i/>
          <w:szCs w:val="20"/>
        </w:rPr>
        <w:t>powiatowych)</w:t>
      </w:r>
      <w:r w:rsidR="00E66B89">
        <w:rPr>
          <w:i/>
          <w:szCs w:val="20"/>
        </w:rPr>
        <w:t xml:space="preserve"> w </w:t>
      </w:r>
      <w:r w:rsidRPr="00C22C26">
        <w:rPr>
          <w:i/>
          <w:szCs w:val="20"/>
        </w:rPr>
        <w:t>ramach Strategii ZIT dla Szczecińskiego Obszaru Metropolitalnego</w:t>
      </w:r>
      <w:r w:rsidRPr="000A135E">
        <w:rPr>
          <w:szCs w:val="20"/>
        </w:rPr>
        <w:t xml:space="preserve">, Działanie 5.3 </w:t>
      </w:r>
      <w:r w:rsidRPr="00C22C26">
        <w:rPr>
          <w:i/>
          <w:szCs w:val="20"/>
        </w:rPr>
        <w:t>Budowa</w:t>
      </w:r>
      <w:r w:rsidR="00E66B89">
        <w:rPr>
          <w:i/>
          <w:szCs w:val="20"/>
        </w:rPr>
        <w:t xml:space="preserve"> i </w:t>
      </w:r>
      <w:r w:rsidRPr="00C22C26">
        <w:rPr>
          <w:i/>
          <w:szCs w:val="20"/>
        </w:rPr>
        <w:t>przebudowa dróg lokalnych (gminnych</w:t>
      </w:r>
      <w:r w:rsidR="00E66B89">
        <w:rPr>
          <w:i/>
          <w:szCs w:val="20"/>
        </w:rPr>
        <w:t xml:space="preserve"> i </w:t>
      </w:r>
      <w:r w:rsidRPr="00C22C26">
        <w:rPr>
          <w:i/>
          <w:szCs w:val="20"/>
        </w:rPr>
        <w:t>powiatowych)</w:t>
      </w:r>
      <w:r w:rsidR="00E66B89">
        <w:rPr>
          <w:i/>
          <w:szCs w:val="20"/>
        </w:rPr>
        <w:t xml:space="preserve"> w </w:t>
      </w:r>
      <w:r w:rsidRPr="00C22C26">
        <w:rPr>
          <w:i/>
          <w:szCs w:val="20"/>
        </w:rPr>
        <w:t>ramach Strategii ZIT dla Koszalińsko-Kołobrzesko-Białogardzkiego Obszaru Funkcjonalnego</w:t>
      </w:r>
      <w:r w:rsidRPr="000A135E">
        <w:rPr>
          <w:szCs w:val="20"/>
        </w:rPr>
        <w:t xml:space="preserve">, Działanie 5.4 </w:t>
      </w:r>
      <w:r w:rsidRPr="00C22C26">
        <w:rPr>
          <w:i/>
          <w:szCs w:val="20"/>
        </w:rPr>
        <w:t>Budowa</w:t>
      </w:r>
      <w:r w:rsidR="00E66B89">
        <w:rPr>
          <w:i/>
          <w:szCs w:val="20"/>
        </w:rPr>
        <w:t xml:space="preserve"> i </w:t>
      </w:r>
      <w:r w:rsidRPr="00C22C26">
        <w:rPr>
          <w:i/>
          <w:szCs w:val="20"/>
        </w:rPr>
        <w:t>przebudowa dróg powiatowych</w:t>
      </w:r>
      <w:r w:rsidRPr="000A135E">
        <w:rPr>
          <w:szCs w:val="20"/>
        </w:rPr>
        <w:t xml:space="preserve">. </w:t>
      </w:r>
    </w:p>
    <w:p w14:paraId="57FCA8D6" w14:textId="77777777" w:rsidR="00EF2A15" w:rsidRPr="004D674A" w:rsidRDefault="00EF2A15" w:rsidP="004D674A">
      <w:pPr>
        <w:pStyle w:val="evaluTresc"/>
        <w:rPr>
          <w:b/>
          <w:i/>
          <w:color w:val="4F81BD"/>
        </w:rPr>
      </w:pPr>
      <w:r w:rsidRPr="004D674A">
        <w:rPr>
          <w:b/>
          <w:i/>
          <w:color w:val="4F81BD"/>
        </w:rPr>
        <w:lastRenderedPageBreak/>
        <w:t xml:space="preserve">PI 7b </w:t>
      </w:r>
    </w:p>
    <w:p w14:paraId="12E61022" w14:textId="77777777" w:rsidR="00EF2A15" w:rsidRPr="0052708E" w:rsidRDefault="00EF2A15" w:rsidP="00EF2A15">
      <w:pPr>
        <w:rPr>
          <w:rFonts w:cs="Calibri"/>
          <w:szCs w:val="20"/>
        </w:rPr>
      </w:pPr>
      <w:r w:rsidRPr="000A135E">
        <w:rPr>
          <w:szCs w:val="20"/>
        </w:rPr>
        <w:t>Zakres wsparcia infrastruktury drogowej różnicuje się więc</w:t>
      </w:r>
      <w:r w:rsidR="00E66B89">
        <w:rPr>
          <w:szCs w:val="20"/>
        </w:rPr>
        <w:t xml:space="preserve"> w </w:t>
      </w:r>
      <w:r w:rsidRPr="000A135E">
        <w:rPr>
          <w:szCs w:val="20"/>
        </w:rPr>
        <w:t>odniesieniu do rangi drogi (drogi regionalne, drogi lokalne) oraz</w:t>
      </w:r>
      <w:r w:rsidR="00E66B89">
        <w:rPr>
          <w:szCs w:val="20"/>
        </w:rPr>
        <w:t xml:space="preserve"> w </w:t>
      </w:r>
      <w:r w:rsidRPr="000A135E">
        <w:rPr>
          <w:szCs w:val="20"/>
        </w:rPr>
        <w:t>odniesieniu do terytorializacji wsparcia. Celem wsparcia jest zwiększona dostępność drogowa do regionalnych ośrodków wzrostu</w:t>
      </w:r>
      <w:r w:rsidR="00E66B89">
        <w:rPr>
          <w:szCs w:val="20"/>
        </w:rPr>
        <w:t xml:space="preserve"> i </w:t>
      </w:r>
      <w:r w:rsidRPr="000A135E">
        <w:rPr>
          <w:szCs w:val="20"/>
        </w:rPr>
        <w:t>obszarów wykluczonych. Istotne są także: poprawa połączeń drogowych</w:t>
      </w:r>
      <w:r w:rsidR="00E66B89">
        <w:rPr>
          <w:szCs w:val="20"/>
        </w:rPr>
        <w:t xml:space="preserve"> z </w:t>
      </w:r>
      <w:r w:rsidRPr="000A135E">
        <w:rPr>
          <w:szCs w:val="20"/>
        </w:rPr>
        <w:t>obszarami inwestycyjnymi oraz zmniejszenie presji środowiskowej transportu samochodowego – poprzez eliminację wąskich gardeł systemu transportowego, powodujących zwiększon</w:t>
      </w:r>
      <w:r>
        <w:rPr>
          <w:szCs w:val="20"/>
        </w:rPr>
        <w:t>e natężenie ruchu</w:t>
      </w:r>
      <w:r w:rsidR="00E66B89">
        <w:rPr>
          <w:szCs w:val="20"/>
        </w:rPr>
        <w:t xml:space="preserve"> w </w:t>
      </w:r>
      <w:r>
        <w:rPr>
          <w:szCs w:val="20"/>
        </w:rPr>
        <w:t>stosunku do przepustowości ruchu</w:t>
      </w:r>
      <w:r w:rsidRPr="000A135E">
        <w:rPr>
          <w:szCs w:val="20"/>
        </w:rPr>
        <w:t xml:space="preserve"> </w:t>
      </w:r>
      <w:r>
        <w:rPr>
          <w:szCs w:val="20"/>
        </w:rPr>
        <w:t xml:space="preserve">(tj. zwiększoną </w:t>
      </w:r>
      <w:r w:rsidRPr="000A135E">
        <w:rPr>
          <w:szCs w:val="20"/>
        </w:rPr>
        <w:t>kongestię</w:t>
      </w:r>
      <w:r>
        <w:rPr>
          <w:szCs w:val="20"/>
        </w:rPr>
        <w:t>)</w:t>
      </w:r>
      <w:r w:rsidRPr="000A135E">
        <w:rPr>
          <w:szCs w:val="20"/>
        </w:rPr>
        <w:t>, emisję spalin</w:t>
      </w:r>
      <w:r w:rsidR="00E66B89">
        <w:rPr>
          <w:szCs w:val="20"/>
        </w:rPr>
        <w:t xml:space="preserve"> i </w:t>
      </w:r>
      <w:r w:rsidRPr="000A135E">
        <w:rPr>
          <w:szCs w:val="20"/>
        </w:rPr>
        <w:t>hałasu. Kolejnym celem przeprowadzanych inwestycji jest poprawa bezpieczeństwa ruchu drogowego</w:t>
      </w:r>
      <w:r>
        <w:rPr>
          <w:szCs w:val="20"/>
        </w:rPr>
        <w:t xml:space="preserve"> oraz</w:t>
      </w:r>
      <w:r w:rsidRPr="000A135E">
        <w:rPr>
          <w:szCs w:val="20"/>
        </w:rPr>
        <w:t xml:space="preserve"> utworzenie szlaków alternatywnych (np. tras turystycznych</w:t>
      </w:r>
      <w:r w:rsidR="00E66B89">
        <w:rPr>
          <w:szCs w:val="20"/>
        </w:rPr>
        <w:t xml:space="preserve"> w </w:t>
      </w:r>
      <w:r w:rsidRPr="000A135E">
        <w:rPr>
          <w:szCs w:val="20"/>
        </w:rPr>
        <w:t>kierunku brzegu morskiego), co przyczyni się do zwiększenia atrakcyjności turystycznej regionu. Zgodnie</w:t>
      </w:r>
      <w:r w:rsidR="00E66B89">
        <w:rPr>
          <w:szCs w:val="20"/>
        </w:rPr>
        <w:t xml:space="preserve"> z </w:t>
      </w:r>
      <w:r w:rsidRPr="000A135E">
        <w:rPr>
          <w:szCs w:val="20"/>
        </w:rPr>
        <w:t>logiką interwencji preferowane są projekty</w:t>
      </w:r>
      <w:r>
        <w:rPr>
          <w:szCs w:val="20"/>
        </w:rPr>
        <w:t>:</w:t>
      </w:r>
      <w:r w:rsidRPr="000A135E">
        <w:rPr>
          <w:szCs w:val="20"/>
        </w:rPr>
        <w:t xml:space="preserve"> przyczyniające się do wypełniania luk</w:t>
      </w:r>
      <w:r w:rsidR="00E66B89">
        <w:rPr>
          <w:szCs w:val="20"/>
        </w:rPr>
        <w:t xml:space="preserve"> w </w:t>
      </w:r>
      <w:r w:rsidRPr="000A135E">
        <w:rPr>
          <w:szCs w:val="20"/>
        </w:rPr>
        <w:t>istniejącym systemie drogowym pomiędzy ośrodkami wojewódzkimi, regionalnymi</w:t>
      </w:r>
      <w:r w:rsidR="00E66B89">
        <w:rPr>
          <w:szCs w:val="20"/>
        </w:rPr>
        <w:t xml:space="preserve"> i </w:t>
      </w:r>
      <w:r w:rsidRPr="000A135E">
        <w:rPr>
          <w:szCs w:val="20"/>
        </w:rPr>
        <w:t>subregionalnymi</w:t>
      </w:r>
      <w:r>
        <w:rPr>
          <w:szCs w:val="20"/>
        </w:rPr>
        <w:t xml:space="preserve"> (</w:t>
      </w:r>
      <w:r w:rsidRPr="000A135E">
        <w:rPr>
          <w:szCs w:val="20"/>
        </w:rPr>
        <w:t xml:space="preserve">w tym kontynuacja </w:t>
      </w:r>
      <w:r>
        <w:rPr>
          <w:szCs w:val="20"/>
        </w:rPr>
        <w:t xml:space="preserve">istniejącego </w:t>
      </w:r>
      <w:r w:rsidRPr="000A135E">
        <w:rPr>
          <w:szCs w:val="20"/>
        </w:rPr>
        <w:t>ciągu</w:t>
      </w:r>
      <w:r>
        <w:rPr>
          <w:szCs w:val="20"/>
        </w:rPr>
        <w:t xml:space="preserve"> drogowego);</w:t>
      </w:r>
      <w:r w:rsidRPr="000A135E">
        <w:rPr>
          <w:szCs w:val="20"/>
        </w:rPr>
        <w:t xml:space="preserve"> przyczyniające się do poprawy efektywności środowiskowej, rozładowywania zatorów</w:t>
      </w:r>
      <w:r w:rsidR="00E66B89">
        <w:rPr>
          <w:szCs w:val="20"/>
        </w:rPr>
        <w:t xml:space="preserve"> i </w:t>
      </w:r>
      <w:r w:rsidRPr="000A135E">
        <w:rPr>
          <w:szCs w:val="20"/>
        </w:rPr>
        <w:t>wąskich gardeł</w:t>
      </w:r>
      <w:r w:rsidR="00E66B89">
        <w:rPr>
          <w:szCs w:val="20"/>
        </w:rPr>
        <w:t xml:space="preserve"> w </w:t>
      </w:r>
      <w:r w:rsidRPr="000A135E">
        <w:rPr>
          <w:szCs w:val="20"/>
        </w:rPr>
        <w:t>sieci,</w:t>
      </w:r>
      <w:r w:rsidR="00E66B89">
        <w:rPr>
          <w:szCs w:val="20"/>
        </w:rPr>
        <w:t xml:space="preserve"> a </w:t>
      </w:r>
      <w:r w:rsidRPr="000A135E">
        <w:rPr>
          <w:szCs w:val="20"/>
        </w:rPr>
        <w:t>także promowania integracji systemu transportu; poprawiające bezpieczeństwo ruchu zwłaszcza na drogach</w:t>
      </w:r>
      <w:r w:rsidR="00E66B89">
        <w:rPr>
          <w:szCs w:val="20"/>
        </w:rPr>
        <w:t xml:space="preserve"> o </w:t>
      </w:r>
      <w:r w:rsidRPr="000A135E">
        <w:rPr>
          <w:szCs w:val="20"/>
        </w:rPr>
        <w:t>dużym natężeniu ruchu oraz wpływające na rozwój gospodarczy regionu, ze szczególnym uwzględnieniem Specjalnej Strefy Włączenia. Wsparcie infrastruktury dróg lokalnych (powiatowych</w:t>
      </w:r>
      <w:r w:rsidR="00E66B89">
        <w:rPr>
          <w:szCs w:val="20"/>
        </w:rPr>
        <w:t xml:space="preserve"> i </w:t>
      </w:r>
      <w:r w:rsidRPr="000A135E">
        <w:rPr>
          <w:szCs w:val="20"/>
        </w:rPr>
        <w:t>gminnych) przewidziane jest głównie</w:t>
      </w:r>
      <w:r w:rsidR="00E66B89">
        <w:rPr>
          <w:szCs w:val="20"/>
        </w:rPr>
        <w:t xml:space="preserve"> w </w:t>
      </w:r>
      <w:r w:rsidRPr="000A135E">
        <w:rPr>
          <w:szCs w:val="20"/>
        </w:rPr>
        <w:t>ramach Strategii ZIT</w:t>
      </w:r>
      <w:r>
        <w:rPr>
          <w:szCs w:val="20"/>
        </w:rPr>
        <w:t>,</w:t>
      </w:r>
      <w:r w:rsidR="00E66B89">
        <w:rPr>
          <w:szCs w:val="20"/>
        </w:rPr>
        <w:t xml:space="preserve"> w </w:t>
      </w:r>
      <w:r w:rsidRPr="000A135E">
        <w:rPr>
          <w:szCs w:val="20"/>
        </w:rPr>
        <w:t>kompleksowych przedsięwzięciach zwiększających spójność terytorialną Obszarów Funkcjonalnych. Zgodnie</w:t>
      </w:r>
      <w:r w:rsidR="00E66B89">
        <w:rPr>
          <w:szCs w:val="20"/>
        </w:rPr>
        <w:t xml:space="preserve"> z </w:t>
      </w:r>
      <w:r w:rsidRPr="000A135E">
        <w:rPr>
          <w:szCs w:val="20"/>
        </w:rPr>
        <w:t>zapisami UP inwestycje</w:t>
      </w:r>
      <w:r w:rsidR="00E66B89">
        <w:rPr>
          <w:szCs w:val="20"/>
        </w:rPr>
        <w:t xml:space="preserve"> w </w:t>
      </w:r>
      <w:r w:rsidRPr="000A135E">
        <w:rPr>
          <w:rFonts w:cs="Calibri"/>
          <w:szCs w:val="20"/>
        </w:rPr>
        <w:t>drogi gminne</w:t>
      </w:r>
      <w:r w:rsidR="00E66B89">
        <w:rPr>
          <w:rFonts w:cs="Calibri"/>
          <w:szCs w:val="20"/>
        </w:rPr>
        <w:t xml:space="preserve"> i </w:t>
      </w:r>
      <w:r w:rsidRPr="000A135E">
        <w:rPr>
          <w:rFonts w:cs="Calibri"/>
          <w:szCs w:val="20"/>
        </w:rPr>
        <w:t xml:space="preserve">powiatowe ze środków EFRR są możliwe jedynie wówczas, gdy </w:t>
      </w:r>
      <w:r w:rsidRPr="000A135E">
        <w:rPr>
          <w:szCs w:val="20"/>
        </w:rPr>
        <w:t>zapewnią konieczne bezpośrednie połączenia</w:t>
      </w:r>
      <w:r w:rsidR="00E66B89">
        <w:rPr>
          <w:szCs w:val="20"/>
        </w:rPr>
        <w:t xml:space="preserve"> z </w:t>
      </w:r>
      <w:r w:rsidRPr="000A135E">
        <w:rPr>
          <w:szCs w:val="20"/>
        </w:rPr>
        <w:t xml:space="preserve">siecią </w:t>
      </w:r>
      <w:r w:rsidRPr="000A135E">
        <w:rPr>
          <w:rFonts w:cs="Calibri"/>
          <w:szCs w:val="20"/>
        </w:rPr>
        <w:t xml:space="preserve">TEN-T, przejściami granicznymi, portami lotniczymi, morskimi, terminalami towarowymi, centrami lub platformami logistycznymi. Na wsparcie dróg lokalnych przewidziano nie więcej niż 15% całej alokacji przeznaczonej na </w:t>
      </w:r>
      <w:r>
        <w:rPr>
          <w:rFonts w:cs="Calibri"/>
          <w:szCs w:val="20"/>
        </w:rPr>
        <w:t>PI</w:t>
      </w:r>
      <w:r w:rsidRPr="000A135E">
        <w:rPr>
          <w:rFonts w:cs="Calibri"/>
          <w:szCs w:val="20"/>
        </w:rPr>
        <w:t xml:space="preserve"> 7b. </w:t>
      </w:r>
    </w:p>
    <w:p w14:paraId="1F059B88" w14:textId="77777777" w:rsidR="00EF2A15" w:rsidRPr="0052708E" w:rsidRDefault="00EF2A15" w:rsidP="00EF2A15">
      <w:pPr>
        <w:rPr>
          <w:color w:val="000000"/>
          <w:szCs w:val="20"/>
        </w:rPr>
      </w:pPr>
      <w:r w:rsidRPr="000A135E">
        <w:rPr>
          <w:color w:val="000000"/>
          <w:szCs w:val="20"/>
        </w:rPr>
        <w:t>Zgodnie</w:t>
      </w:r>
      <w:r w:rsidR="00E66B89">
        <w:rPr>
          <w:color w:val="000000"/>
          <w:szCs w:val="20"/>
        </w:rPr>
        <w:t xml:space="preserve"> z </w:t>
      </w:r>
      <w:r w:rsidRPr="000A135E">
        <w:rPr>
          <w:color w:val="000000"/>
          <w:szCs w:val="20"/>
        </w:rPr>
        <w:t>logiką interwencji</w:t>
      </w:r>
      <w:r>
        <w:rPr>
          <w:color w:val="000000"/>
          <w:szCs w:val="20"/>
        </w:rPr>
        <w:t>,</w:t>
      </w:r>
      <w:r w:rsidRPr="000A135E">
        <w:rPr>
          <w:color w:val="000000"/>
          <w:szCs w:val="20"/>
        </w:rPr>
        <w:t xml:space="preserve"> wskazane cele mają zostać osiągnięte</w:t>
      </w:r>
      <w:r w:rsidR="00E66B89">
        <w:rPr>
          <w:color w:val="000000"/>
          <w:szCs w:val="20"/>
        </w:rPr>
        <w:t xml:space="preserve"> w </w:t>
      </w:r>
      <w:r w:rsidRPr="000A135E">
        <w:rPr>
          <w:color w:val="000000"/>
          <w:szCs w:val="20"/>
        </w:rPr>
        <w:t>komplementarności</w:t>
      </w:r>
      <w:r w:rsidR="00E66B89">
        <w:rPr>
          <w:color w:val="000000"/>
          <w:szCs w:val="20"/>
        </w:rPr>
        <w:t xml:space="preserve"> z </w:t>
      </w:r>
      <w:r w:rsidRPr="000A135E">
        <w:rPr>
          <w:color w:val="000000"/>
          <w:szCs w:val="20"/>
        </w:rPr>
        <w:t>interwencjami realizowanymi na poziomie krajowym, wynikającymi</w:t>
      </w:r>
      <w:r w:rsidR="00E66B89">
        <w:rPr>
          <w:color w:val="000000"/>
          <w:szCs w:val="20"/>
        </w:rPr>
        <w:t xml:space="preserve"> z </w:t>
      </w:r>
      <w:r w:rsidRPr="000A135E">
        <w:rPr>
          <w:color w:val="000000"/>
          <w:szCs w:val="20"/>
        </w:rPr>
        <w:t>Kontraktu Terytorialnego, takimi jak: budowa trasy S6 na odcinku Szczecin-Koszalin</w:t>
      </w:r>
      <w:r w:rsidR="00E66B89">
        <w:rPr>
          <w:color w:val="000000"/>
          <w:szCs w:val="20"/>
        </w:rPr>
        <w:t xml:space="preserve"> i </w:t>
      </w:r>
      <w:r w:rsidRPr="000A135E">
        <w:rPr>
          <w:color w:val="000000"/>
          <w:szCs w:val="20"/>
        </w:rPr>
        <w:t>Koszalin-Słupsk na terenie regionu</w:t>
      </w:r>
      <w:r>
        <w:rPr>
          <w:color w:val="000000"/>
          <w:szCs w:val="20"/>
        </w:rPr>
        <w:t>;</w:t>
      </w:r>
      <w:r w:rsidRPr="000A135E">
        <w:rPr>
          <w:color w:val="000000"/>
          <w:szCs w:val="20"/>
        </w:rPr>
        <w:t xml:space="preserve"> budowa obwodnicy Wałcza</w:t>
      </w:r>
      <w:r w:rsidR="00E66B89">
        <w:rPr>
          <w:color w:val="000000"/>
          <w:szCs w:val="20"/>
        </w:rPr>
        <w:t xml:space="preserve"> w </w:t>
      </w:r>
      <w:r w:rsidRPr="000A135E">
        <w:rPr>
          <w:color w:val="000000"/>
          <w:szCs w:val="20"/>
        </w:rPr>
        <w:t>ciągu S-10</w:t>
      </w:r>
      <w:r>
        <w:rPr>
          <w:color w:val="000000"/>
          <w:szCs w:val="20"/>
        </w:rPr>
        <w:t>;</w:t>
      </w:r>
      <w:r w:rsidRPr="000A135E">
        <w:rPr>
          <w:color w:val="000000"/>
          <w:szCs w:val="20"/>
        </w:rPr>
        <w:t xml:space="preserve"> budowa obwodnicy Szczecinka</w:t>
      </w:r>
      <w:r w:rsidR="00E66B89">
        <w:rPr>
          <w:color w:val="000000"/>
          <w:szCs w:val="20"/>
        </w:rPr>
        <w:t xml:space="preserve"> w </w:t>
      </w:r>
      <w:r w:rsidRPr="000A135E">
        <w:rPr>
          <w:color w:val="000000"/>
          <w:szCs w:val="20"/>
        </w:rPr>
        <w:t>ciągu S-11, czy też</w:t>
      </w:r>
      <w:r w:rsidR="00E66B89">
        <w:rPr>
          <w:color w:val="000000"/>
          <w:szCs w:val="20"/>
        </w:rPr>
        <w:t xml:space="preserve"> z </w:t>
      </w:r>
      <w:r w:rsidRPr="000A135E">
        <w:rPr>
          <w:color w:val="000000"/>
          <w:szCs w:val="20"/>
        </w:rPr>
        <w:t>przedsięwzięciami warunkowymi: budowa drogi krajowej Nr 13 na odcinku rondo Hakena</w:t>
      </w:r>
      <w:r w:rsidR="00E66B89">
        <w:rPr>
          <w:color w:val="000000"/>
          <w:szCs w:val="20"/>
        </w:rPr>
        <w:t xml:space="preserve"> w </w:t>
      </w:r>
      <w:r w:rsidRPr="000A135E">
        <w:rPr>
          <w:color w:val="000000"/>
          <w:szCs w:val="20"/>
        </w:rPr>
        <w:t>Szczecinie – węzeł Kołbaskowo – obwodnica Kołbaskowa</w:t>
      </w:r>
      <w:r>
        <w:rPr>
          <w:color w:val="000000"/>
          <w:szCs w:val="20"/>
        </w:rPr>
        <w:t>;</w:t>
      </w:r>
      <w:r w:rsidRPr="000A135E">
        <w:rPr>
          <w:color w:val="000000"/>
          <w:szCs w:val="20"/>
        </w:rPr>
        <w:t xml:space="preserve"> budowa zachodniego drogowego obejścia Szczecina wraz</w:t>
      </w:r>
      <w:r w:rsidR="00E66B89">
        <w:rPr>
          <w:color w:val="000000"/>
          <w:szCs w:val="20"/>
        </w:rPr>
        <w:t xml:space="preserve"> z </w:t>
      </w:r>
      <w:r w:rsidRPr="000A135E">
        <w:rPr>
          <w:color w:val="000000"/>
          <w:szCs w:val="20"/>
        </w:rPr>
        <w:t>przeprawą tunelową Police – Święta</w:t>
      </w:r>
      <w:r w:rsidR="00E66B89">
        <w:rPr>
          <w:color w:val="000000"/>
          <w:szCs w:val="20"/>
        </w:rPr>
        <w:t xml:space="preserve"> w </w:t>
      </w:r>
      <w:r w:rsidRPr="000A135E">
        <w:rPr>
          <w:color w:val="000000"/>
          <w:szCs w:val="20"/>
        </w:rPr>
        <w:t>ciągu drogi Nr 6 po nowym śladzie od Goleniowa do Kołbaskowa</w:t>
      </w:r>
      <w:r>
        <w:rPr>
          <w:color w:val="000000"/>
          <w:szCs w:val="20"/>
        </w:rPr>
        <w:t>;</w:t>
      </w:r>
      <w:r w:rsidRPr="000A135E">
        <w:rPr>
          <w:color w:val="000000"/>
          <w:szCs w:val="20"/>
        </w:rPr>
        <w:t xml:space="preserve"> likwidacja wąskich gardeł na drogach krajowych poprzez budowę obwodnic Kołobrzegu, Gryfina, Myśliborza, Węgorzyna</w:t>
      </w:r>
      <w:r>
        <w:rPr>
          <w:color w:val="000000"/>
          <w:szCs w:val="20"/>
        </w:rPr>
        <w:t>;</w:t>
      </w:r>
      <w:r w:rsidRPr="000A135E">
        <w:rPr>
          <w:color w:val="000000"/>
          <w:szCs w:val="20"/>
        </w:rPr>
        <w:t xml:space="preserve"> przebudowa ciągów komunikacyjnych sieci TEN-T: DK Nr 31 pod nazwą „ul. Autostrada Poznańska”</w:t>
      </w:r>
      <w:r w:rsidR="00E66B89">
        <w:rPr>
          <w:color w:val="000000"/>
          <w:szCs w:val="20"/>
        </w:rPr>
        <w:t xml:space="preserve"> w </w:t>
      </w:r>
      <w:r w:rsidRPr="000A135E">
        <w:rPr>
          <w:color w:val="000000"/>
          <w:szCs w:val="20"/>
        </w:rPr>
        <w:t>połączeniu</w:t>
      </w:r>
      <w:r w:rsidR="00E66B89">
        <w:rPr>
          <w:color w:val="000000"/>
          <w:szCs w:val="20"/>
        </w:rPr>
        <w:t xml:space="preserve"> z </w:t>
      </w:r>
      <w:r w:rsidRPr="000A135E">
        <w:rPr>
          <w:color w:val="000000"/>
          <w:szCs w:val="20"/>
        </w:rPr>
        <w:t>A6</w:t>
      </w:r>
      <w:r w:rsidR="00E66B89">
        <w:rPr>
          <w:color w:val="000000"/>
          <w:szCs w:val="20"/>
        </w:rPr>
        <w:t xml:space="preserve"> i </w:t>
      </w:r>
      <w:r w:rsidRPr="000A135E">
        <w:rPr>
          <w:color w:val="000000"/>
          <w:szCs w:val="20"/>
        </w:rPr>
        <w:t>S3, budowa S-3 Świnoujście – Szczecin</w:t>
      </w:r>
      <w:r>
        <w:rPr>
          <w:color w:val="000000"/>
          <w:szCs w:val="20"/>
        </w:rPr>
        <w:t>;</w:t>
      </w:r>
      <w:r w:rsidRPr="000A135E">
        <w:rPr>
          <w:color w:val="000000"/>
          <w:szCs w:val="20"/>
        </w:rPr>
        <w:t xml:space="preserve"> budowa S-10 Piła – Szczecin – oraz Koszalin-Piła - odcinki na terenie województwa zachodniopomorskiego.</w:t>
      </w:r>
    </w:p>
    <w:p w14:paraId="352C6635" w14:textId="77777777" w:rsidR="00EF2A15" w:rsidRPr="000A135E" w:rsidRDefault="00EF2A15" w:rsidP="00EF2A15">
      <w:pPr>
        <w:rPr>
          <w:rFonts w:cs="Calibri"/>
          <w:szCs w:val="20"/>
        </w:rPr>
      </w:pPr>
      <w:r w:rsidRPr="000A135E">
        <w:rPr>
          <w:rFonts w:cs="Calibri"/>
          <w:szCs w:val="20"/>
        </w:rPr>
        <w:t>Wsparcie realizowane</w:t>
      </w:r>
      <w:r w:rsidR="00E66B89">
        <w:rPr>
          <w:rFonts w:cs="Calibri"/>
          <w:szCs w:val="20"/>
        </w:rPr>
        <w:t xml:space="preserve"> w ramach PI</w:t>
      </w:r>
      <w:r w:rsidRPr="000A135E">
        <w:rPr>
          <w:rFonts w:cs="Calibri"/>
          <w:szCs w:val="20"/>
        </w:rPr>
        <w:t xml:space="preserve"> 7b odpowiada na następujące deficyty</w:t>
      </w:r>
      <w:r w:rsidR="00E66B89">
        <w:rPr>
          <w:rFonts w:cs="Calibri"/>
          <w:szCs w:val="20"/>
        </w:rPr>
        <w:t xml:space="preserve"> i </w:t>
      </w:r>
      <w:r w:rsidRPr="000A135E">
        <w:rPr>
          <w:rFonts w:cs="Calibri"/>
          <w:szCs w:val="20"/>
        </w:rPr>
        <w:t>wyzwania rozwojowe:</w:t>
      </w:r>
    </w:p>
    <w:p w14:paraId="0359C2C5" w14:textId="77777777" w:rsidR="00EF2A15" w:rsidRPr="000A135E" w:rsidRDefault="00EF2A15" w:rsidP="00093E14">
      <w:pPr>
        <w:pStyle w:val="Akapitzlist"/>
        <w:numPr>
          <w:ilvl w:val="0"/>
          <w:numId w:val="7"/>
        </w:numPr>
        <w:spacing w:after="120" w:line="288" w:lineRule="auto"/>
        <w:rPr>
          <w:rFonts w:ascii="Lato" w:hAnsi="Lato" w:cs="Calibri"/>
          <w:sz w:val="20"/>
          <w:szCs w:val="20"/>
        </w:rPr>
      </w:pPr>
      <w:r w:rsidRPr="000A135E">
        <w:rPr>
          <w:rFonts w:ascii="Lato" w:hAnsi="Lato"/>
          <w:bCs/>
          <w:sz w:val="20"/>
          <w:szCs w:val="20"/>
        </w:rPr>
        <w:t>niewystarczające uzupełnienie sieci dróg krajowych przez sieć dróg regionalnych, przede wszystkim pod względem przepustowości;</w:t>
      </w:r>
    </w:p>
    <w:p w14:paraId="2591A5EE" w14:textId="77777777" w:rsidR="00EF2A15" w:rsidRPr="000A135E" w:rsidRDefault="00EF2A15" w:rsidP="00093E14">
      <w:pPr>
        <w:pStyle w:val="Akapitzlist"/>
        <w:numPr>
          <w:ilvl w:val="0"/>
          <w:numId w:val="7"/>
        </w:numPr>
        <w:spacing w:after="120" w:line="288" w:lineRule="auto"/>
        <w:rPr>
          <w:rFonts w:ascii="Lato" w:hAnsi="Lato"/>
          <w:i/>
          <w:sz w:val="20"/>
          <w:szCs w:val="20"/>
        </w:rPr>
      </w:pPr>
      <w:r w:rsidRPr="000A135E">
        <w:rPr>
          <w:rFonts w:ascii="Lato" w:hAnsi="Lato" w:cs="Calibri"/>
          <w:sz w:val="20"/>
          <w:szCs w:val="20"/>
        </w:rPr>
        <w:t xml:space="preserve">niewystraczające skomunikowanie wewnętrzne regionu na osi wschód-zachód, niewystarczające połączenie </w:t>
      </w:r>
      <w:r w:rsidRPr="000A135E">
        <w:rPr>
          <w:rFonts w:ascii="Lato" w:hAnsi="Lato"/>
          <w:bCs/>
          <w:sz w:val="20"/>
          <w:szCs w:val="20"/>
        </w:rPr>
        <w:t>głównych obszarów wzrostu</w:t>
      </w:r>
      <w:r w:rsidR="00E66B89">
        <w:rPr>
          <w:rFonts w:ascii="Lato" w:hAnsi="Lato"/>
          <w:bCs/>
          <w:sz w:val="20"/>
          <w:szCs w:val="20"/>
        </w:rPr>
        <w:t xml:space="preserve"> w </w:t>
      </w:r>
      <w:r w:rsidRPr="000A135E">
        <w:rPr>
          <w:rFonts w:ascii="Lato" w:hAnsi="Lato"/>
          <w:bCs/>
          <w:sz w:val="20"/>
          <w:szCs w:val="20"/>
        </w:rPr>
        <w:t>województwie: SOM</w:t>
      </w:r>
      <w:r w:rsidR="00E66B89">
        <w:rPr>
          <w:rFonts w:ascii="Lato" w:hAnsi="Lato"/>
          <w:bCs/>
          <w:sz w:val="20"/>
          <w:szCs w:val="20"/>
        </w:rPr>
        <w:t xml:space="preserve"> i </w:t>
      </w:r>
      <w:r w:rsidRPr="000A135E">
        <w:rPr>
          <w:rFonts w:ascii="Lato" w:hAnsi="Lato"/>
          <w:bCs/>
          <w:sz w:val="20"/>
          <w:szCs w:val="20"/>
        </w:rPr>
        <w:t>KKBO</w:t>
      </w:r>
      <w:r>
        <w:rPr>
          <w:rFonts w:ascii="Lato" w:hAnsi="Lato"/>
          <w:bCs/>
          <w:sz w:val="20"/>
          <w:szCs w:val="20"/>
        </w:rPr>
        <w:t>F;</w:t>
      </w:r>
    </w:p>
    <w:p w14:paraId="5F97754C" w14:textId="77777777" w:rsidR="00EF2A15" w:rsidRPr="000A135E" w:rsidRDefault="00EF2A15" w:rsidP="00093E14">
      <w:pPr>
        <w:pStyle w:val="Akapitzlist"/>
        <w:numPr>
          <w:ilvl w:val="0"/>
          <w:numId w:val="7"/>
        </w:numPr>
        <w:spacing w:after="120" w:line="288" w:lineRule="auto"/>
        <w:rPr>
          <w:rFonts w:ascii="Lato" w:hAnsi="Lato"/>
          <w:i/>
          <w:sz w:val="20"/>
          <w:szCs w:val="20"/>
        </w:rPr>
      </w:pPr>
      <w:r w:rsidRPr="000A135E">
        <w:rPr>
          <w:rFonts w:ascii="Lato" w:hAnsi="Lato"/>
          <w:sz w:val="20"/>
          <w:szCs w:val="20"/>
        </w:rPr>
        <w:t>niekorzystne łączenie ruchu tranzytowego</w:t>
      </w:r>
      <w:r w:rsidR="00E66B89">
        <w:rPr>
          <w:rFonts w:ascii="Lato" w:hAnsi="Lato"/>
          <w:sz w:val="20"/>
          <w:szCs w:val="20"/>
        </w:rPr>
        <w:t xml:space="preserve"> z </w:t>
      </w:r>
      <w:r w:rsidRPr="000A135E">
        <w:rPr>
          <w:rFonts w:ascii="Lato" w:hAnsi="Lato"/>
          <w:sz w:val="20"/>
          <w:szCs w:val="20"/>
        </w:rPr>
        <w:t>ruchem lokalnym, brak rozwiązań wyprowadzających ruch tranzytowy</w:t>
      </w:r>
      <w:r w:rsidR="00E66B89">
        <w:rPr>
          <w:rFonts w:ascii="Lato" w:hAnsi="Lato"/>
          <w:sz w:val="20"/>
          <w:szCs w:val="20"/>
        </w:rPr>
        <w:t xml:space="preserve"> z </w:t>
      </w:r>
      <w:r w:rsidRPr="000A135E">
        <w:rPr>
          <w:rFonts w:ascii="Lato" w:hAnsi="Lato"/>
          <w:sz w:val="20"/>
          <w:szCs w:val="20"/>
        </w:rPr>
        <w:t>miast;</w:t>
      </w:r>
    </w:p>
    <w:p w14:paraId="507BDCA5" w14:textId="77777777" w:rsidR="00EF2A15" w:rsidRPr="000A135E" w:rsidRDefault="00EF2A15" w:rsidP="00093E14">
      <w:pPr>
        <w:pStyle w:val="Akapitzlist"/>
        <w:numPr>
          <w:ilvl w:val="0"/>
          <w:numId w:val="7"/>
        </w:numPr>
        <w:spacing w:after="120" w:line="288" w:lineRule="auto"/>
        <w:rPr>
          <w:rFonts w:ascii="Lato" w:hAnsi="Lato"/>
          <w:i/>
          <w:sz w:val="20"/>
          <w:szCs w:val="20"/>
        </w:rPr>
      </w:pPr>
      <w:r w:rsidRPr="000A135E">
        <w:rPr>
          <w:rFonts w:ascii="Lato" w:hAnsi="Lato"/>
          <w:sz w:val="20"/>
          <w:szCs w:val="20"/>
        </w:rPr>
        <w:t>duża wypadkowość</w:t>
      </w:r>
      <w:r w:rsidR="00E66B89">
        <w:rPr>
          <w:rFonts w:ascii="Lato" w:hAnsi="Lato"/>
          <w:sz w:val="20"/>
          <w:szCs w:val="20"/>
        </w:rPr>
        <w:t xml:space="preserve"> w </w:t>
      </w:r>
      <w:r w:rsidRPr="000A135E">
        <w:rPr>
          <w:rFonts w:ascii="Lato" w:hAnsi="Lato"/>
          <w:sz w:val="20"/>
          <w:szCs w:val="20"/>
        </w:rPr>
        <w:t>ruchu drogow</w:t>
      </w:r>
      <w:r>
        <w:rPr>
          <w:rFonts w:ascii="Lato" w:hAnsi="Lato"/>
          <w:sz w:val="20"/>
          <w:szCs w:val="20"/>
        </w:rPr>
        <w:t>ym.</w:t>
      </w:r>
    </w:p>
    <w:p w14:paraId="3ACC7F55" w14:textId="77777777" w:rsidR="00EF2A15" w:rsidRPr="000A135E" w:rsidRDefault="00EF2A15" w:rsidP="00EF2A15">
      <w:pPr>
        <w:rPr>
          <w:szCs w:val="20"/>
        </w:rPr>
      </w:pPr>
      <w:r w:rsidRPr="000A135E">
        <w:rPr>
          <w:szCs w:val="20"/>
        </w:rPr>
        <w:t>Analiza zmian stanu infrastruktury drogowej</w:t>
      </w:r>
      <w:r w:rsidR="00E66B89">
        <w:rPr>
          <w:szCs w:val="20"/>
        </w:rPr>
        <w:t xml:space="preserve"> w </w:t>
      </w:r>
      <w:r w:rsidRPr="000A135E">
        <w:rPr>
          <w:szCs w:val="20"/>
        </w:rPr>
        <w:t>latach 2014-2017 wskazuje na poprawę sytuacji</w:t>
      </w:r>
      <w:r w:rsidR="00E66B89">
        <w:rPr>
          <w:szCs w:val="20"/>
        </w:rPr>
        <w:t xml:space="preserve"> w </w:t>
      </w:r>
      <w:r w:rsidRPr="000A135E">
        <w:rPr>
          <w:szCs w:val="20"/>
        </w:rPr>
        <w:t>wielu aspektach, stanowiących przesłanki interwencji RPO WZ 2014-2020</w:t>
      </w:r>
      <w:r w:rsidR="00E66B89">
        <w:rPr>
          <w:szCs w:val="20"/>
        </w:rPr>
        <w:t xml:space="preserve"> w </w:t>
      </w:r>
      <w:r w:rsidRPr="000A135E">
        <w:rPr>
          <w:szCs w:val="20"/>
        </w:rPr>
        <w:t>obszarze infrastruktury drogowej. Zwiększyła się długość dróg wojewódzkich</w:t>
      </w:r>
      <w:r w:rsidR="00E66B89">
        <w:rPr>
          <w:szCs w:val="20"/>
        </w:rPr>
        <w:t xml:space="preserve"> o </w:t>
      </w:r>
      <w:r w:rsidRPr="000A135E">
        <w:rPr>
          <w:szCs w:val="20"/>
        </w:rPr>
        <w:t>nawierzchni twardej ulepszonej.</w:t>
      </w:r>
      <w:r w:rsidR="00E66B89">
        <w:rPr>
          <w:szCs w:val="20"/>
        </w:rPr>
        <w:t xml:space="preserve"> W </w:t>
      </w:r>
      <w:r w:rsidRPr="000A135E">
        <w:rPr>
          <w:szCs w:val="20"/>
        </w:rPr>
        <w:t>regionie zachodniopomorskim nastąpił wzrost długości dróg wojewódzkich</w:t>
      </w:r>
      <w:r w:rsidR="00E66B89">
        <w:rPr>
          <w:szCs w:val="20"/>
        </w:rPr>
        <w:t xml:space="preserve"> z </w:t>
      </w:r>
      <w:r w:rsidRPr="000A135E">
        <w:rPr>
          <w:szCs w:val="20"/>
        </w:rPr>
        <w:t>2 108,2 km</w:t>
      </w:r>
      <w:r w:rsidR="00E66B89">
        <w:rPr>
          <w:szCs w:val="20"/>
        </w:rPr>
        <w:t xml:space="preserve"> w </w:t>
      </w:r>
      <w:r w:rsidRPr="000A135E">
        <w:rPr>
          <w:szCs w:val="20"/>
        </w:rPr>
        <w:t xml:space="preserve">roku 2014 do 2 129,0 </w:t>
      </w:r>
      <w:r w:rsidRPr="000A135E">
        <w:rPr>
          <w:szCs w:val="20"/>
        </w:rPr>
        <w:lastRenderedPageBreak/>
        <w:t>km</w:t>
      </w:r>
      <w:r w:rsidR="00E66B89">
        <w:rPr>
          <w:szCs w:val="20"/>
        </w:rPr>
        <w:t xml:space="preserve"> w </w:t>
      </w:r>
      <w:r w:rsidRPr="000A135E">
        <w:rPr>
          <w:szCs w:val="20"/>
        </w:rPr>
        <w:t>2017, czyli</w:t>
      </w:r>
      <w:r w:rsidR="00E66B89">
        <w:rPr>
          <w:szCs w:val="20"/>
        </w:rPr>
        <w:t xml:space="preserve"> o </w:t>
      </w:r>
      <w:r w:rsidRPr="000A135E">
        <w:rPr>
          <w:szCs w:val="20"/>
        </w:rPr>
        <w:t>75,3 km. Był to przyrost</w:t>
      </w:r>
      <w:r w:rsidR="00E66B89">
        <w:rPr>
          <w:szCs w:val="20"/>
        </w:rPr>
        <w:t xml:space="preserve"> o </w:t>
      </w:r>
      <w:r w:rsidRPr="000A135E">
        <w:rPr>
          <w:szCs w:val="20"/>
        </w:rPr>
        <w:t>1,0%, czyli nieco niższy niż</w:t>
      </w:r>
      <w:r w:rsidR="00E66B89">
        <w:rPr>
          <w:szCs w:val="20"/>
        </w:rPr>
        <w:t xml:space="preserve"> w </w:t>
      </w:r>
      <w:r w:rsidRPr="000A135E">
        <w:rPr>
          <w:szCs w:val="20"/>
        </w:rPr>
        <w:t>całej Polsce (1,8%</w:t>
      </w:r>
      <w:r w:rsidRPr="00404DA5">
        <w:rPr>
          <w:rStyle w:val="Odwoanieprzypisudolnego"/>
          <w:szCs w:val="20"/>
        </w:rPr>
        <w:footnoteReference w:id="46"/>
      </w:r>
      <w:r w:rsidRPr="000A135E">
        <w:rPr>
          <w:szCs w:val="20"/>
        </w:rPr>
        <w:t>). Zaplanowane</w:t>
      </w:r>
      <w:r w:rsidR="00E66B89">
        <w:rPr>
          <w:szCs w:val="20"/>
        </w:rPr>
        <w:t xml:space="preserve"> w </w:t>
      </w:r>
      <w:r w:rsidRPr="000A135E">
        <w:rPr>
          <w:szCs w:val="20"/>
        </w:rPr>
        <w:t>projektach</w:t>
      </w:r>
      <w:r>
        <w:rPr>
          <w:szCs w:val="20"/>
        </w:rPr>
        <w:t>,</w:t>
      </w:r>
      <w:r w:rsidRPr="000A135E">
        <w:rPr>
          <w:szCs w:val="20"/>
        </w:rPr>
        <w:t xml:space="preserve"> realizowanych</w:t>
      </w:r>
      <w:r w:rsidR="00E66B89">
        <w:rPr>
          <w:szCs w:val="20"/>
        </w:rPr>
        <w:t xml:space="preserve"> w </w:t>
      </w:r>
      <w:r w:rsidRPr="000A135E">
        <w:rPr>
          <w:szCs w:val="20"/>
        </w:rPr>
        <w:t>ramach RPO WZ 2014-2020</w:t>
      </w:r>
      <w:r>
        <w:rPr>
          <w:szCs w:val="20"/>
        </w:rPr>
        <w:t>,</w:t>
      </w:r>
      <w:r w:rsidRPr="000A135E">
        <w:rPr>
          <w:szCs w:val="20"/>
        </w:rPr>
        <w:t xml:space="preserve"> kolejne 5,32 km nowych dróg wpłyną na utrzymanie trendu wzrostowego do końca 2023 roku.</w:t>
      </w:r>
      <w:r w:rsidR="00E66B89">
        <w:rPr>
          <w:szCs w:val="20"/>
        </w:rPr>
        <w:t xml:space="preserve"> W </w:t>
      </w:r>
      <w:r w:rsidRPr="000A135E">
        <w:rPr>
          <w:szCs w:val="20"/>
        </w:rPr>
        <w:t>latach 2014-20</w:t>
      </w:r>
      <w:r>
        <w:rPr>
          <w:szCs w:val="20"/>
        </w:rPr>
        <w:t>17</w:t>
      </w:r>
      <w:r w:rsidRPr="000A135E">
        <w:rPr>
          <w:szCs w:val="20"/>
        </w:rPr>
        <w:t xml:space="preserve"> zmniejszyła się także wypadkowość ruchu drogowego</w:t>
      </w:r>
      <w:r>
        <w:rPr>
          <w:szCs w:val="20"/>
        </w:rPr>
        <w:t xml:space="preserve"> -</w:t>
      </w:r>
      <w:r w:rsidR="00E66B89">
        <w:rPr>
          <w:szCs w:val="20"/>
        </w:rPr>
        <w:t xml:space="preserve"> w </w:t>
      </w:r>
      <w:r w:rsidRPr="000A135E">
        <w:rPr>
          <w:szCs w:val="20"/>
        </w:rPr>
        <w:t>tym liczba wypadków</w:t>
      </w:r>
      <w:r w:rsidR="00E66B89">
        <w:rPr>
          <w:szCs w:val="20"/>
        </w:rPr>
        <w:t xml:space="preserve"> z </w:t>
      </w:r>
      <w:r w:rsidRPr="000A135E">
        <w:rPr>
          <w:szCs w:val="20"/>
        </w:rPr>
        <w:t>ofiarami śmiertelnymi</w:t>
      </w:r>
      <w:r>
        <w:rPr>
          <w:szCs w:val="20"/>
        </w:rPr>
        <w:t>, która to</w:t>
      </w:r>
      <w:r w:rsidRPr="000A135E">
        <w:rPr>
          <w:szCs w:val="20"/>
        </w:rPr>
        <w:t xml:space="preserve"> spadła</w:t>
      </w:r>
      <w:r w:rsidR="00E66B89">
        <w:rPr>
          <w:szCs w:val="20"/>
        </w:rPr>
        <w:t xml:space="preserve"> z </w:t>
      </w:r>
      <w:r w:rsidRPr="000A135E">
        <w:rPr>
          <w:szCs w:val="20"/>
        </w:rPr>
        <w:t xml:space="preserve">147 do 120. </w:t>
      </w:r>
    </w:p>
    <w:p w14:paraId="523DAE1A" w14:textId="77777777" w:rsidR="00EF2A15" w:rsidRDefault="00EF2A15" w:rsidP="00754ED4">
      <w:pPr>
        <w:pStyle w:val="Legenda"/>
        <w:spacing w:after="0"/>
      </w:pPr>
      <w:bookmarkStart w:id="139" w:name="_Toc5311884"/>
      <w:r>
        <w:t xml:space="preserve">Wykres </w:t>
      </w:r>
      <w:r>
        <w:fldChar w:fldCharType="begin"/>
      </w:r>
      <w:r>
        <w:instrText xml:space="preserve"> SEQ Wykres \* ARABIC </w:instrText>
      </w:r>
      <w:r>
        <w:fldChar w:fldCharType="separate"/>
      </w:r>
      <w:r w:rsidR="00763345">
        <w:rPr>
          <w:noProof/>
        </w:rPr>
        <w:t>18</w:t>
      </w:r>
      <w:r>
        <w:fldChar w:fldCharType="end"/>
      </w:r>
      <w:r>
        <w:t xml:space="preserve"> </w:t>
      </w:r>
      <w:r w:rsidRPr="00A816C4">
        <w:t>Wypadki drogowe</w:t>
      </w:r>
      <w:r w:rsidR="00E66B89">
        <w:t xml:space="preserve"> w </w:t>
      </w:r>
      <w:r w:rsidRPr="00A816C4">
        <w:t>województwie zachodniopomorskim</w:t>
      </w:r>
      <w:r w:rsidR="00E66B89">
        <w:t xml:space="preserve"> w </w:t>
      </w:r>
      <w:r w:rsidRPr="00A816C4">
        <w:t>latach 2014-2017</w:t>
      </w:r>
      <w:bookmarkEnd w:id="139"/>
    </w:p>
    <w:p w14:paraId="234D0D90" w14:textId="2E373025" w:rsidR="00EF2A15" w:rsidRPr="000A135E" w:rsidRDefault="00C35619" w:rsidP="00CF71F2">
      <w:pPr>
        <w:spacing w:before="0" w:after="0"/>
        <w:rPr>
          <w:szCs w:val="20"/>
        </w:rPr>
      </w:pPr>
      <w:r w:rsidRPr="005F04FC">
        <w:rPr>
          <w:noProof/>
          <w:szCs w:val="20"/>
        </w:rPr>
        <w:drawing>
          <wp:inline distT="0" distB="0" distL="0" distR="0" wp14:anchorId="59E35319" wp14:editId="0FA0FDD9">
            <wp:extent cx="5770245" cy="1814830"/>
            <wp:effectExtent l="0" t="0" r="1905" b="13970"/>
            <wp:docPr id="41"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0E194A" w14:textId="77777777" w:rsidR="00EF2A15" w:rsidRPr="00EE66C6" w:rsidRDefault="00EF2A15" w:rsidP="005A06CB">
      <w:pPr>
        <w:spacing w:before="0"/>
        <w:rPr>
          <w:i/>
          <w:sz w:val="18"/>
          <w:szCs w:val="20"/>
        </w:rPr>
      </w:pPr>
      <w:r w:rsidRPr="00EE66C6">
        <w:rPr>
          <w:i/>
          <w:sz w:val="18"/>
          <w:szCs w:val="20"/>
        </w:rPr>
        <w:t>Źródło: BDL.</w:t>
      </w:r>
    </w:p>
    <w:p w14:paraId="5DED0CC3" w14:textId="77777777" w:rsidR="00EF2A15" w:rsidRPr="000A135E" w:rsidRDefault="00EF2A15" w:rsidP="00EF2A15">
      <w:pPr>
        <w:rPr>
          <w:szCs w:val="20"/>
        </w:rPr>
      </w:pPr>
      <w:r w:rsidRPr="000A135E">
        <w:rPr>
          <w:szCs w:val="20"/>
        </w:rPr>
        <w:t xml:space="preserve">Biorąc pod uwagę problem </w:t>
      </w:r>
      <w:r w:rsidRPr="000A135E">
        <w:rPr>
          <w:rFonts w:cs="Calibri"/>
          <w:szCs w:val="20"/>
        </w:rPr>
        <w:t>niewystraczającego skomunikowania wewnętrznego regionu na osi wschód-zachód</w:t>
      </w:r>
      <w:r w:rsidR="00E66B89">
        <w:rPr>
          <w:rFonts w:cs="Calibri"/>
          <w:szCs w:val="20"/>
        </w:rPr>
        <w:t xml:space="preserve"> i </w:t>
      </w:r>
      <w:r w:rsidRPr="000A135E">
        <w:rPr>
          <w:rFonts w:cs="Calibri"/>
          <w:szCs w:val="20"/>
        </w:rPr>
        <w:t xml:space="preserve">niewystarczającego połączenia </w:t>
      </w:r>
      <w:r w:rsidRPr="000A135E">
        <w:rPr>
          <w:rFonts w:eastAsia="Calibri"/>
          <w:bCs/>
          <w:szCs w:val="20"/>
        </w:rPr>
        <w:t>głównych obszarów wzrostu</w:t>
      </w:r>
      <w:r w:rsidR="00E66B89">
        <w:rPr>
          <w:rFonts w:eastAsia="Calibri"/>
          <w:bCs/>
          <w:szCs w:val="20"/>
        </w:rPr>
        <w:t xml:space="preserve"> w </w:t>
      </w:r>
      <w:r w:rsidRPr="000A135E">
        <w:rPr>
          <w:rFonts w:eastAsia="Calibri"/>
          <w:bCs/>
          <w:szCs w:val="20"/>
        </w:rPr>
        <w:t>województwie: SOM</w:t>
      </w:r>
      <w:r w:rsidR="00E66B89">
        <w:rPr>
          <w:rFonts w:eastAsia="Calibri"/>
          <w:bCs/>
          <w:szCs w:val="20"/>
        </w:rPr>
        <w:t xml:space="preserve"> i </w:t>
      </w:r>
      <w:r w:rsidRPr="000A135E">
        <w:rPr>
          <w:rFonts w:eastAsia="Calibri"/>
          <w:bCs/>
          <w:szCs w:val="20"/>
        </w:rPr>
        <w:t>KKBO</w:t>
      </w:r>
      <w:r>
        <w:rPr>
          <w:rFonts w:eastAsia="Calibri"/>
          <w:bCs/>
          <w:szCs w:val="20"/>
        </w:rPr>
        <w:t>F,</w:t>
      </w:r>
      <w:r w:rsidRPr="000A135E">
        <w:rPr>
          <w:rFonts w:eastAsia="Calibri"/>
          <w:bCs/>
          <w:szCs w:val="20"/>
        </w:rPr>
        <w:t xml:space="preserve"> należy zauważyć, iż nie wszystkie potrzeby wyszczególnione</w:t>
      </w:r>
      <w:r w:rsidR="00E66B89">
        <w:rPr>
          <w:rFonts w:eastAsia="Calibri"/>
          <w:bCs/>
          <w:szCs w:val="20"/>
        </w:rPr>
        <w:t xml:space="preserve"> w </w:t>
      </w:r>
      <w:r w:rsidRPr="000A135E">
        <w:rPr>
          <w:rFonts w:eastAsia="Calibri"/>
          <w:bCs/>
          <w:szCs w:val="20"/>
        </w:rPr>
        <w:t>dokumentach strategicznych zostały uwzględnione</w:t>
      </w:r>
      <w:r w:rsidR="00E66B89">
        <w:rPr>
          <w:rFonts w:eastAsia="Calibri"/>
          <w:bCs/>
          <w:szCs w:val="20"/>
        </w:rPr>
        <w:t xml:space="preserve"> w </w:t>
      </w:r>
      <w:r w:rsidRPr="000A135E">
        <w:rPr>
          <w:rFonts w:eastAsia="Calibri"/>
          <w:bCs/>
          <w:szCs w:val="20"/>
        </w:rPr>
        <w:t>realizowanych obecnie projektach RPO WZ 2014-2020. Na realizację czekają przedsięwzięcia związane</w:t>
      </w:r>
      <w:r w:rsidR="00E66B89">
        <w:rPr>
          <w:rFonts w:eastAsia="Calibri"/>
          <w:bCs/>
          <w:szCs w:val="20"/>
        </w:rPr>
        <w:t xml:space="preserve"> z </w:t>
      </w:r>
      <w:r w:rsidRPr="000A135E">
        <w:rPr>
          <w:rFonts w:eastAsia="Calibri"/>
          <w:bCs/>
          <w:szCs w:val="20"/>
        </w:rPr>
        <w:t>rozbudową</w:t>
      </w:r>
      <w:r w:rsidRPr="000A135E">
        <w:rPr>
          <w:szCs w:val="20"/>
        </w:rPr>
        <w:t xml:space="preserve"> drogi wojewódzkiej nr 151 na odcinku Płotno-Pełczyce</w:t>
      </w:r>
      <w:r>
        <w:rPr>
          <w:szCs w:val="20"/>
        </w:rPr>
        <w:t>;</w:t>
      </w:r>
      <w:r w:rsidRPr="000A135E">
        <w:rPr>
          <w:szCs w:val="20"/>
        </w:rPr>
        <w:t xml:space="preserve"> rozbudową</w:t>
      </w:r>
      <w:r w:rsidR="00E66B89">
        <w:rPr>
          <w:szCs w:val="20"/>
        </w:rPr>
        <w:t xml:space="preserve"> i </w:t>
      </w:r>
      <w:r w:rsidRPr="000A135E">
        <w:rPr>
          <w:szCs w:val="20"/>
        </w:rPr>
        <w:t>przebudową DW nr 167 - ul. Władysława IV</w:t>
      </w:r>
      <w:r w:rsidR="00E66B89">
        <w:rPr>
          <w:szCs w:val="20"/>
        </w:rPr>
        <w:t xml:space="preserve"> w </w:t>
      </w:r>
      <w:r w:rsidRPr="000A135E">
        <w:rPr>
          <w:szCs w:val="20"/>
        </w:rPr>
        <w:t>Koszalinie na odcinku od ronda gen. St. Maczka do węzła drogi ekspresowej S-6</w:t>
      </w:r>
      <w:r>
        <w:rPr>
          <w:szCs w:val="20"/>
        </w:rPr>
        <w:t>;</w:t>
      </w:r>
      <w:r w:rsidRPr="000A135E">
        <w:rPr>
          <w:szCs w:val="20"/>
        </w:rPr>
        <w:t xml:space="preserve"> rozbudową drogi wojewódzkiej nr 111 na odcinku Recław – Stepnica.</w:t>
      </w:r>
      <w:r w:rsidR="00E66B89">
        <w:rPr>
          <w:szCs w:val="20"/>
        </w:rPr>
        <w:t xml:space="preserve"> W </w:t>
      </w:r>
      <w:r w:rsidRPr="000A135E">
        <w:rPr>
          <w:szCs w:val="20"/>
        </w:rPr>
        <w:t>zakresie modernizacji/przebudowy dróg powiatowych</w:t>
      </w:r>
      <w:r w:rsidR="00E66B89">
        <w:rPr>
          <w:szCs w:val="20"/>
        </w:rPr>
        <w:t xml:space="preserve"> i </w:t>
      </w:r>
      <w:r w:rsidRPr="000A135E">
        <w:rPr>
          <w:szCs w:val="20"/>
        </w:rPr>
        <w:t>gminnych</w:t>
      </w:r>
      <w:r>
        <w:rPr>
          <w:szCs w:val="20"/>
        </w:rPr>
        <w:t>,</w:t>
      </w:r>
      <w:r w:rsidRPr="000A135E">
        <w:rPr>
          <w:szCs w:val="20"/>
        </w:rPr>
        <w:t xml:space="preserve"> odpowiadających na zdiagnozowane deficyty</w:t>
      </w:r>
      <w:r w:rsidR="00E66B89">
        <w:rPr>
          <w:szCs w:val="20"/>
        </w:rPr>
        <w:t xml:space="preserve"> w </w:t>
      </w:r>
      <w:r w:rsidRPr="000A135E">
        <w:rPr>
          <w:szCs w:val="20"/>
        </w:rPr>
        <w:t>zakresie przepustowości dróg</w:t>
      </w:r>
      <w:r w:rsidR="00E66B89">
        <w:rPr>
          <w:szCs w:val="20"/>
        </w:rPr>
        <w:t xml:space="preserve"> i </w:t>
      </w:r>
      <w:r w:rsidRPr="000A135E">
        <w:rPr>
          <w:szCs w:val="20"/>
        </w:rPr>
        <w:t>skomunikowania województwa na linii wschód-zachód</w:t>
      </w:r>
      <w:r>
        <w:rPr>
          <w:szCs w:val="20"/>
        </w:rPr>
        <w:t>,</w:t>
      </w:r>
      <w:r w:rsidRPr="000A135E">
        <w:rPr>
          <w:szCs w:val="20"/>
        </w:rPr>
        <w:t xml:space="preserve"> na realizację czeka</w:t>
      </w:r>
      <w:r>
        <w:rPr>
          <w:szCs w:val="20"/>
        </w:rPr>
        <w:t>ją</w:t>
      </w:r>
      <w:r w:rsidRPr="000A135E">
        <w:rPr>
          <w:szCs w:val="20"/>
        </w:rPr>
        <w:t xml:space="preserve"> m.in. przedsięwzięcia wynikające</w:t>
      </w:r>
      <w:r w:rsidR="00E66B89">
        <w:rPr>
          <w:szCs w:val="20"/>
        </w:rPr>
        <w:t xml:space="preserve"> z </w:t>
      </w:r>
      <w:r w:rsidRPr="000A135E">
        <w:rPr>
          <w:szCs w:val="20"/>
        </w:rPr>
        <w:t>koncepcji modernizacji dróg powiatowych Konwentu Powiatów Województwa Zachodniopomorskiego: Przebudowa drogi powiatowej nr 1994Z Osiek Drawski – Wierzchowo – Będlino – Sośnica (etap I) oraz 5 innych projektów pozakonkursowych Działania 5.4, nieskierowanych jeszcze do realizacji. Analiza Strategii ZIT SOM wskazuje na pełną realizację celów transportu drogowego, zaplanowanych do osiągnięcia</w:t>
      </w:r>
      <w:r w:rsidR="00E66B89">
        <w:rPr>
          <w:szCs w:val="20"/>
        </w:rPr>
        <w:t xml:space="preserve"> w </w:t>
      </w:r>
      <w:r w:rsidRPr="000A135E">
        <w:rPr>
          <w:szCs w:val="20"/>
        </w:rPr>
        <w:t>ramach RPO WZ 2014-2020. Jednakże nie wszystkie cele Strategii KKBOF</w:t>
      </w:r>
      <w:r w:rsidR="00E66B89">
        <w:rPr>
          <w:szCs w:val="20"/>
        </w:rPr>
        <w:t xml:space="preserve"> w </w:t>
      </w:r>
      <w:r w:rsidRPr="000A135E">
        <w:rPr>
          <w:szCs w:val="20"/>
        </w:rPr>
        <w:t>tym obszarze zostały rozpoczęte. Na realizację czekają między innymi takie kluczowe przedsięwzięcia jak: budowa gminnej drogi publicznej do strefy inwestycyjnej</w:t>
      </w:r>
      <w:r w:rsidR="00E66B89">
        <w:rPr>
          <w:szCs w:val="20"/>
        </w:rPr>
        <w:t xml:space="preserve"> w </w:t>
      </w:r>
      <w:r w:rsidRPr="000A135E">
        <w:rPr>
          <w:szCs w:val="20"/>
        </w:rPr>
        <w:t>Bobolicach</w:t>
      </w:r>
      <w:r>
        <w:rPr>
          <w:szCs w:val="20"/>
        </w:rPr>
        <w:t>;</w:t>
      </w:r>
      <w:r w:rsidRPr="000A135E">
        <w:rPr>
          <w:szCs w:val="20"/>
        </w:rPr>
        <w:t xml:space="preserve"> przebudowa ulicy Portowej</w:t>
      </w:r>
      <w:r w:rsidR="00E66B89">
        <w:rPr>
          <w:szCs w:val="20"/>
        </w:rPr>
        <w:t xml:space="preserve"> w </w:t>
      </w:r>
      <w:r w:rsidRPr="000A135E">
        <w:rPr>
          <w:szCs w:val="20"/>
        </w:rPr>
        <w:t>Kołobrzegu. Dotychczasowa realizacja wsparcia infrastruktury drogowej</w:t>
      </w:r>
      <w:r w:rsidR="00E66B89">
        <w:rPr>
          <w:szCs w:val="20"/>
        </w:rPr>
        <w:t xml:space="preserve"> w </w:t>
      </w:r>
      <w:r w:rsidRPr="000A135E">
        <w:rPr>
          <w:szCs w:val="20"/>
        </w:rPr>
        <w:t>KKBOF nie zaspokoiła więc</w:t>
      </w:r>
      <w:r w:rsidR="00E66B89">
        <w:rPr>
          <w:szCs w:val="20"/>
        </w:rPr>
        <w:t xml:space="preserve"> w </w:t>
      </w:r>
      <w:r w:rsidRPr="000A135E">
        <w:rPr>
          <w:szCs w:val="20"/>
        </w:rPr>
        <w:t>pełni zdiagnozowanych deficyt</w:t>
      </w:r>
      <w:r>
        <w:rPr>
          <w:szCs w:val="20"/>
        </w:rPr>
        <w:t>ów</w:t>
      </w:r>
      <w:r w:rsidR="00E66B89">
        <w:rPr>
          <w:szCs w:val="20"/>
        </w:rPr>
        <w:t xml:space="preserve"> w </w:t>
      </w:r>
      <w:r w:rsidRPr="000A135E">
        <w:rPr>
          <w:szCs w:val="20"/>
        </w:rPr>
        <w:t>zakresie odpowiedniego skomunikowania części dostępnych terenów inwestycyjnych, jak</w:t>
      </w:r>
      <w:r w:rsidR="00E66B89">
        <w:rPr>
          <w:szCs w:val="20"/>
        </w:rPr>
        <w:t xml:space="preserve"> i </w:t>
      </w:r>
      <w:r w:rsidRPr="000A135E">
        <w:rPr>
          <w:szCs w:val="20"/>
        </w:rPr>
        <w:t>infrastruktury logistyczno-przeładunkowej</w:t>
      </w:r>
      <w:r>
        <w:rPr>
          <w:szCs w:val="20"/>
        </w:rPr>
        <w:t xml:space="preserve"> -</w:t>
      </w:r>
      <w:r w:rsidR="00E66B89">
        <w:rPr>
          <w:szCs w:val="20"/>
        </w:rPr>
        <w:t xml:space="preserve"> w </w:t>
      </w:r>
      <w:r w:rsidRPr="000A135E">
        <w:rPr>
          <w:szCs w:val="20"/>
        </w:rPr>
        <w:t>tym zwłaszcza Portu Morskiego</w:t>
      </w:r>
      <w:r w:rsidR="00E66B89">
        <w:rPr>
          <w:szCs w:val="20"/>
        </w:rPr>
        <w:t xml:space="preserve"> w </w:t>
      </w:r>
      <w:r w:rsidRPr="000A135E">
        <w:rPr>
          <w:szCs w:val="20"/>
        </w:rPr>
        <w:t>Kołobrzegu ze szlakami komunikacyjnymi łączącymi KKBOF</w:t>
      </w:r>
      <w:r w:rsidR="00E66B89">
        <w:rPr>
          <w:szCs w:val="20"/>
        </w:rPr>
        <w:t xml:space="preserve"> z </w:t>
      </w:r>
      <w:r w:rsidRPr="000A135E">
        <w:rPr>
          <w:szCs w:val="20"/>
        </w:rPr>
        <w:t xml:space="preserve">największymi ośrodkami miejskimi oraz zwiększenia dostępności transportowej obszarów atrakcyjnych turystycznie. </w:t>
      </w:r>
    </w:p>
    <w:p w14:paraId="6A0F8FB8" w14:textId="77777777" w:rsidR="00EF2A15" w:rsidRPr="000A135E" w:rsidRDefault="00EF2A15" w:rsidP="00EF2A15">
      <w:pPr>
        <w:rPr>
          <w:szCs w:val="20"/>
        </w:rPr>
      </w:pPr>
      <w:r w:rsidRPr="000A135E">
        <w:rPr>
          <w:szCs w:val="20"/>
        </w:rPr>
        <w:t>Wsparcie infrastruktury drogowej</w:t>
      </w:r>
      <w:r w:rsidR="00E66B89">
        <w:rPr>
          <w:szCs w:val="20"/>
        </w:rPr>
        <w:t xml:space="preserve"> w </w:t>
      </w:r>
      <w:r w:rsidRPr="000A135E">
        <w:rPr>
          <w:szCs w:val="20"/>
        </w:rPr>
        <w:t>regionie zachodniopomorskim pozostaje więc</w:t>
      </w:r>
      <w:r w:rsidR="00E66B89">
        <w:rPr>
          <w:szCs w:val="20"/>
        </w:rPr>
        <w:t xml:space="preserve"> w </w:t>
      </w:r>
      <w:r w:rsidRPr="000A135E">
        <w:rPr>
          <w:szCs w:val="20"/>
        </w:rPr>
        <w:t>pełni aktualne, ze szczególnym uwzględnieniem koncentracji na inwestycjach drogowych</w:t>
      </w:r>
      <w:r>
        <w:rPr>
          <w:szCs w:val="20"/>
        </w:rPr>
        <w:t xml:space="preserve"> zwiększających dostępność ośrodków wzrostu oraz poprawy komunikacji regionalnej na osi wschód-zachód. </w:t>
      </w:r>
    </w:p>
    <w:p w14:paraId="7CC56EF4" w14:textId="77777777" w:rsidR="00FA14F6" w:rsidRDefault="00FA14F6">
      <w:pPr>
        <w:spacing w:before="0" w:after="0" w:line="240" w:lineRule="auto"/>
        <w:jc w:val="left"/>
        <w:rPr>
          <w:rFonts w:eastAsia="Calibri"/>
          <w:b/>
          <w:i/>
          <w:color w:val="4F81BD"/>
          <w:szCs w:val="20"/>
          <w:lang w:eastAsia="en-US"/>
        </w:rPr>
      </w:pPr>
      <w:r>
        <w:rPr>
          <w:b/>
          <w:i/>
          <w:color w:val="4F81BD"/>
        </w:rPr>
        <w:br w:type="page"/>
      </w:r>
    </w:p>
    <w:p w14:paraId="720981D9" w14:textId="1154C991" w:rsidR="00EF2A15" w:rsidRPr="004D674A" w:rsidRDefault="00EF2A15" w:rsidP="004D674A">
      <w:pPr>
        <w:pStyle w:val="evaluTresc"/>
        <w:rPr>
          <w:b/>
          <w:i/>
          <w:color w:val="4F81BD"/>
        </w:rPr>
      </w:pPr>
      <w:r w:rsidRPr="004D674A">
        <w:rPr>
          <w:b/>
          <w:i/>
          <w:color w:val="4F81BD"/>
        </w:rPr>
        <w:lastRenderedPageBreak/>
        <w:t xml:space="preserve">PI 7d </w:t>
      </w:r>
    </w:p>
    <w:p w14:paraId="71C75345" w14:textId="77777777" w:rsidR="00EF2A15" w:rsidRPr="000A135E" w:rsidRDefault="00EF2A15" w:rsidP="00EF2A15">
      <w:pPr>
        <w:rPr>
          <w:szCs w:val="20"/>
        </w:rPr>
      </w:pPr>
      <w:r w:rsidRPr="000A135E">
        <w:rPr>
          <w:szCs w:val="20"/>
        </w:rPr>
        <w:t xml:space="preserve">W ramach Priorytetu Inwestycyjnego 7d </w:t>
      </w:r>
      <w:r w:rsidRPr="008B706B">
        <w:rPr>
          <w:i/>
          <w:szCs w:val="20"/>
        </w:rPr>
        <w:t>Infrastruktura transportu kolejowego</w:t>
      </w:r>
      <w:r w:rsidRPr="000A135E">
        <w:rPr>
          <w:szCs w:val="20"/>
        </w:rPr>
        <w:t xml:space="preserve"> wsparcie realizowane jest</w:t>
      </w:r>
      <w:r w:rsidR="00E66B89">
        <w:rPr>
          <w:szCs w:val="20"/>
        </w:rPr>
        <w:t xml:space="preserve"> w </w:t>
      </w:r>
      <w:r w:rsidRPr="000A135E">
        <w:rPr>
          <w:szCs w:val="20"/>
        </w:rPr>
        <w:t xml:space="preserve">dwóch Działaniach: Działanie 5.5 </w:t>
      </w:r>
      <w:r w:rsidRPr="008B706B">
        <w:rPr>
          <w:i/>
          <w:szCs w:val="20"/>
        </w:rPr>
        <w:t>Budowa, przebudowa</w:t>
      </w:r>
      <w:r w:rsidR="00E66B89">
        <w:rPr>
          <w:i/>
          <w:szCs w:val="20"/>
        </w:rPr>
        <w:t xml:space="preserve"> i </w:t>
      </w:r>
      <w:r w:rsidRPr="008B706B">
        <w:rPr>
          <w:i/>
          <w:szCs w:val="20"/>
        </w:rPr>
        <w:t>rehabilitacja regionalnych linii kolejowych</w:t>
      </w:r>
      <w:r w:rsidRPr="000A135E">
        <w:rPr>
          <w:szCs w:val="20"/>
        </w:rPr>
        <w:t xml:space="preserve">, Działanie 5.6 </w:t>
      </w:r>
      <w:r w:rsidRPr="008B706B">
        <w:rPr>
          <w:i/>
          <w:szCs w:val="20"/>
        </w:rPr>
        <w:t>Zakup</w:t>
      </w:r>
      <w:r w:rsidR="00E66B89">
        <w:rPr>
          <w:i/>
          <w:szCs w:val="20"/>
        </w:rPr>
        <w:t xml:space="preserve"> i </w:t>
      </w:r>
      <w:r w:rsidRPr="008B706B">
        <w:rPr>
          <w:i/>
          <w:szCs w:val="20"/>
        </w:rPr>
        <w:t>modernizacja taboru kolejowego na potrzeby przewozów regionalnych</w:t>
      </w:r>
      <w:r w:rsidRPr="000A135E">
        <w:rPr>
          <w:szCs w:val="20"/>
        </w:rPr>
        <w:t>. Celem interwencji RPO WZ 2014-2020</w:t>
      </w:r>
      <w:r w:rsidR="00E66B89">
        <w:rPr>
          <w:szCs w:val="20"/>
        </w:rPr>
        <w:t xml:space="preserve"> w </w:t>
      </w:r>
      <w:r>
        <w:rPr>
          <w:szCs w:val="20"/>
        </w:rPr>
        <w:t>PI</w:t>
      </w:r>
      <w:r w:rsidRPr="000A135E">
        <w:rPr>
          <w:szCs w:val="20"/>
        </w:rPr>
        <w:t xml:space="preserve"> 7d jest </w:t>
      </w:r>
      <w:r w:rsidRPr="000A135E" w:rsidDel="00597CDF">
        <w:rPr>
          <w:szCs w:val="20"/>
        </w:rPr>
        <w:t>wzrost atrakcyjności kolei jako środka transportu zarówno</w:t>
      </w:r>
      <w:r w:rsidR="00E66B89">
        <w:rPr>
          <w:szCs w:val="20"/>
        </w:rPr>
        <w:t xml:space="preserve"> w </w:t>
      </w:r>
      <w:r w:rsidRPr="000A135E" w:rsidDel="00597CDF">
        <w:rPr>
          <w:szCs w:val="20"/>
        </w:rPr>
        <w:t>kontekście codziennych dojazdów do pracy</w:t>
      </w:r>
      <w:r w:rsidRPr="000A135E">
        <w:rPr>
          <w:szCs w:val="20"/>
        </w:rPr>
        <w:t>,</w:t>
      </w:r>
      <w:r w:rsidRPr="000A135E" w:rsidDel="00597CDF">
        <w:rPr>
          <w:szCs w:val="20"/>
        </w:rPr>
        <w:t xml:space="preserve"> jak</w:t>
      </w:r>
      <w:r w:rsidR="00E66B89">
        <w:rPr>
          <w:szCs w:val="20"/>
        </w:rPr>
        <w:t xml:space="preserve"> i w </w:t>
      </w:r>
      <w:r w:rsidRPr="000A135E" w:rsidDel="00597CDF">
        <w:rPr>
          <w:szCs w:val="20"/>
        </w:rPr>
        <w:t>odniesieniu do</w:t>
      </w:r>
      <w:r>
        <w:rPr>
          <w:szCs w:val="20"/>
        </w:rPr>
        <w:t xml:space="preserve"> jej</w:t>
      </w:r>
      <w:r w:rsidRPr="000A135E" w:rsidDel="00597CDF">
        <w:rPr>
          <w:szCs w:val="20"/>
        </w:rPr>
        <w:t xml:space="preserve"> turystycznego wykorzystania, szczególnie weekendowego</w:t>
      </w:r>
      <w:r w:rsidRPr="000A135E">
        <w:rPr>
          <w:szCs w:val="20"/>
        </w:rPr>
        <w:t xml:space="preserve">. Cel ten jest realizowany poprzez </w:t>
      </w:r>
      <w:r w:rsidRPr="000A135E" w:rsidDel="00597CDF">
        <w:rPr>
          <w:szCs w:val="20"/>
        </w:rPr>
        <w:t>modernizacj</w:t>
      </w:r>
      <w:r w:rsidRPr="000A135E">
        <w:rPr>
          <w:szCs w:val="20"/>
        </w:rPr>
        <w:t>ę</w:t>
      </w:r>
      <w:r w:rsidR="00E66B89">
        <w:rPr>
          <w:szCs w:val="20"/>
        </w:rPr>
        <w:t xml:space="preserve"> i </w:t>
      </w:r>
      <w:r w:rsidRPr="000A135E" w:rsidDel="00597CDF">
        <w:rPr>
          <w:szCs w:val="20"/>
        </w:rPr>
        <w:t>rehabilitacj</w:t>
      </w:r>
      <w:r w:rsidRPr="000A135E">
        <w:rPr>
          <w:szCs w:val="20"/>
        </w:rPr>
        <w:t>ę</w:t>
      </w:r>
      <w:r w:rsidRPr="000A135E" w:rsidDel="00597CDF">
        <w:rPr>
          <w:szCs w:val="20"/>
        </w:rPr>
        <w:t xml:space="preserve"> regionalnej lini</w:t>
      </w:r>
      <w:r w:rsidRPr="000A135E">
        <w:rPr>
          <w:szCs w:val="20"/>
        </w:rPr>
        <w:t>owej</w:t>
      </w:r>
      <w:r w:rsidRPr="000A135E" w:rsidDel="00597CDF">
        <w:rPr>
          <w:szCs w:val="20"/>
        </w:rPr>
        <w:t xml:space="preserve"> infrastruktury kolejowej,</w:t>
      </w:r>
      <w:r w:rsidR="00E66B89">
        <w:rPr>
          <w:szCs w:val="20"/>
        </w:rPr>
        <w:t xml:space="preserve"> a </w:t>
      </w:r>
      <w:r w:rsidRPr="000A135E" w:rsidDel="00597CDF">
        <w:rPr>
          <w:szCs w:val="20"/>
        </w:rPr>
        <w:t>także istniejącej infrastruktury dworcowe</w:t>
      </w:r>
      <w:r>
        <w:rPr>
          <w:szCs w:val="20"/>
        </w:rPr>
        <w:t>j oraz</w:t>
      </w:r>
      <w:r w:rsidRPr="000A135E">
        <w:rPr>
          <w:szCs w:val="20"/>
        </w:rPr>
        <w:t xml:space="preserve"> zakup taboru kolejowego do przewozów pasażerskich.</w:t>
      </w:r>
      <w:r w:rsidR="00E66B89">
        <w:rPr>
          <w:szCs w:val="20"/>
        </w:rPr>
        <w:t xml:space="preserve"> W </w:t>
      </w:r>
      <w:r w:rsidRPr="000A135E">
        <w:rPr>
          <w:szCs w:val="20"/>
        </w:rPr>
        <w:t>logice interwencji przyjęto, iż podniesienie komfortu podróży</w:t>
      </w:r>
      <w:r w:rsidR="00E66B89">
        <w:rPr>
          <w:szCs w:val="20"/>
        </w:rPr>
        <w:t xml:space="preserve"> i </w:t>
      </w:r>
      <w:r w:rsidRPr="000A135E">
        <w:rPr>
          <w:szCs w:val="20"/>
        </w:rPr>
        <w:t>skrócenie czasu przejazdu może spowodować zastępowanie indywidualnego transportu samochodowego transportem kolejowym</w:t>
      </w:r>
      <w:r>
        <w:rPr>
          <w:szCs w:val="20"/>
        </w:rPr>
        <w:t>,</w:t>
      </w:r>
      <w:r w:rsidRPr="000A135E">
        <w:rPr>
          <w:szCs w:val="20"/>
        </w:rPr>
        <w:t xml:space="preserve"> co przyczyni się dodatkowo do zmniejszenia presji na środowisko. Osiągnięcie wskazanych efektów jest możliwe przy zachowaniu komplementarności</w:t>
      </w:r>
      <w:r w:rsidR="00E66B89">
        <w:rPr>
          <w:szCs w:val="20"/>
        </w:rPr>
        <w:t xml:space="preserve"> z </w:t>
      </w:r>
      <w:r w:rsidRPr="000A135E">
        <w:rPr>
          <w:szCs w:val="20"/>
        </w:rPr>
        <w:t>interwencjami realizowanymi</w:t>
      </w:r>
      <w:r w:rsidR="00E66B89">
        <w:rPr>
          <w:szCs w:val="20"/>
        </w:rPr>
        <w:t xml:space="preserve"> w </w:t>
      </w:r>
      <w:r w:rsidRPr="000A135E">
        <w:rPr>
          <w:szCs w:val="20"/>
        </w:rPr>
        <w:t>ramach POiiŚ 2014-2020</w:t>
      </w:r>
      <w:r w:rsidR="00E66B89">
        <w:rPr>
          <w:szCs w:val="20"/>
        </w:rPr>
        <w:t xml:space="preserve"> i </w:t>
      </w:r>
      <w:r w:rsidRPr="000A135E">
        <w:rPr>
          <w:szCs w:val="20"/>
        </w:rPr>
        <w:t>CEF, ujętymi</w:t>
      </w:r>
      <w:r w:rsidR="00E66B89">
        <w:rPr>
          <w:szCs w:val="20"/>
        </w:rPr>
        <w:t xml:space="preserve"> w </w:t>
      </w:r>
      <w:r w:rsidRPr="000A135E">
        <w:rPr>
          <w:szCs w:val="20"/>
        </w:rPr>
        <w:t>Kontrakcie Terytorialnym, takimi jak: prace na linii kolejowej</w:t>
      </w:r>
      <w:r>
        <w:rPr>
          <w:szCs w:val="20"/>
        </w:rPr>
        <w:t xml:space="preserve"> </w:t>
      </w:r>
      <w:r w:rsidRPr="000A135E">
        <w:rPr>
          <w:szCs w:val="20"/>
        </w:rPr>
        <w:t>C-E 59 na odcinku Wrocław Brochów/ Grabiszyn – Głogów – Zielona Góra – Rzepin – Szczecin Podjuchy – odcinki na terenie województwa zachodniopomorskiego; prace na linii kolejowej</w:t>
      </w:r>
      <w:r>
        <w:rPr>
          <w:szCs w:val="20"/>
        </w:rPr>
        <w:t xml:space="preserve"> </w:t>
      </w:r>
      <w:r w:rsidRPr="000A135E">
        <w:rPr>
          <w:szCs w:val="20"/>
        </w:rPr>
        <w:t>E 59 na odcinku Poznań Główny – Szczecin Dąbie.</w:t>
      </w:r>
    </w:p>
    <w:p w14:paraId="06D27E92" w14:textId="77777777" w:rsidR="00EF2A15" w:rsidRPr="000A135E" w:rsidRDefault="00EF2A15" w:rsidP="00EF2A15">
      <w:pPr>
        <w:rPr>
          <w:szCs w:val="20"/>
        </w:rPr>
      </w:pPr>
      <w:r w:rsidRPr="000A135E">
        <w:rPr>
          <w:szCs w:val="20"/>
        </w:rPr>
        <w:t>Wsparcie infrastruktury kolejowej</w:t>
      </w:r>
      <w:r>
        <w:rPr>
          <w:szCs w:val="20"/>
        </w:rPr>
        <w:t xml:space="preserve"> w </w:t>
      </w:r>
      <w:r w:rsidRPr="000A135E">
        <w:rPr>
          <w:szCs w:val="20"/>
        </w:rPr>
        <w:t>ramach RPO WZ 2014-2020 odpowiada na następujące wyzwania</w:t>
      </w:r>
      <w:r w:rsidR="00E66B89">
        <w:rPr>
          <w:szCs w:val="20"/>
        </w:rPr>
        <w:t xml:space="preserve"> i </w:t>
      </w:r>
      <w:r w:rsidRPr="000A135E">
        <w:rPr>
          <w:szCs w:val="20"/>
        </w:rPr>
        <w:t>deficyty rozwojowe:</w:t>
      </w:r>
    </w:p>
    <w:p w14:paraId="544E6E4C" w14:textId="77777777" w:rsidR="00EF2A15" w:rsidRPr="000A135E" w:rsidRDefault="00EF2A15" w:rsidP="00093E14">
      <w:pPr>
        <w:pStyle w:val="Akapitzlist"/>
        <w:numPr>
          <w:ilvl w:val="0"/>
          <w:numId w:val="8"/>
        </w:numPr>
        <w:spacing w:after="120" w:line="288" w:lineRule="auto"/>
        <w:rPr>
          <w:rFonts w:ascii="Lato" w:hAnsi="Lato"/>
          <w:sz w:val="20"/>
          <w:szCs w:val="20"/>
        </w:rPr>
      </w:pPr>
      <w:r w:rsidRPr="000A135E">
        <w:rPr>
          <w:rFonts w:ascii="Lato" w:hAnsi="Lato"/>
          <w:bCs/>
          <w:spacing w:val="-4"/>
          <w:sz w:val="20"/>
          <w:szCs w:val="20"/>
        </w:rPr>
        <w:t>dekapitalizacja dworców</w:t>
      </w:r>
      <w:r w:rsidR="00E66B89">
        <w:rPr>
          <w:rFonts w:ascii="Lato" w:hAnsi="Lato"/>
          <w:bCs/>
          <w:spacing w:val="-4"/>
          <w:sz w:val="20"/>
          <w:szCs w:val="20"/>
        </w:rPr>
        <w:t xml:space="preserve"> i </w:t>
      </w:r>
      <w:r w:rsidRPr="000A135E">
        <w:rPr>
          <w:rFonts w:ascii="Lato" w:hAnsi="Lato"/>
          <w:bCs/>
          <w:spacing w:val="-4"/>
          <w:sz w:val="20"/>
          <w:szCs w:val="20"/>
        </w:rPr>
        <w:t>stacji kolejowych, zwłaszcza przy rzadziej wykorzystywanych liniach</w:t>
      </w:r>
      <w:r>
        <w:rPr>
          <w:rFonts w:ascii="Lato" w:hAnsi="Lato"/>
          <w:bCs/>
          <w:spacing w:val="-4"/>
          <w:sz w:val="20"/>
          <w:szCs w:val="20"/>
        </w:rPr>
        <w:t>;</w:t>
      </w:r>
    </w:p>
    <w:p w14:paraId="5FEA297B" w14:textId="77777777" w:rsidR="00EF2A15" w:rsidRPr="000A135E" w:rsidRDefault="00EF2A15" w:rsidP="00093E14">
      <w:pPr>
        <w:pStyle w:val="Akapitzlist"/>
        <w:numPr>
          <w:ilvl w:val="0"/>
          <w:numId w:val="8"/>
        </w:numPr>
        <w:spacing w:after="120" w:line="288" w:lineRule="auto"/>
        <w:rPr>
          <w:rFonts w:ascii="Lato" w:hAnsi="Lato"/>
          <w:sz w:val="20"/>
          <w:szCs w:val="20"/>
        </w:rPr>
      </w:pPr>
      <w:r w:rsidRPr="000A135E">
        <w:rPr>
          <w:rFonts w:ascii="Lato" w:hAnsi="Lato"/>
          <w:bCs/>
          <w:spacing w:val="-4"/>
          <w:sz w:val="20"/>
          <w:szCs w:val="20"/>
        </w:rPr>
        <w:t>duża liczba niestrzeżonych przejazdów kolejowych wpływająca na obniżenie bezpieczeństwa</w:t>
      </w:r>
      <w:r>
        <w:rPr>
          <w:rFonts w:ascii="Lato" w:hAnsi="Lato"/>
          <w:bCs/>
          <w:spacing w:val="-4"/>
          <w:sz w:val="20"/>
          <w:szCs w:val="20"/>
        </w:rPr>
        <w:t>;</w:t>
      </w:r>
      <w:r w:rsidRPr="000A135E">
        <w:rPr>
          <w:rFonts w:ascii="Lato" w:hAnsi="Lato"/>
          <w:sz w:val="20"/>
          <w:szCs w:val="20"/>
        </w:rPr>
        <w:t xml:space="preserve"> </w:t>
      </w:r>
    </w:p>
    <w:p w14:paraId="354645A7" w14:textId="77777777" w:rsidR="00EF2A15" w:rsidRPr="000A135E" w:rsidRDefault="00EF2A15" w:rsidP="00093E14">
      <w:pPr>
        <w:pStyle w:val="Akapitzlist"/>
        <w:numPr>
          <w:ilvl w:val="0"/>
          <w:numId w:val="8"/>
        </w:numPr>
        <w:spacing w:after="120" w:line="288" w:lineRule="auto"/>
        <w:rPr>
          <w:rFonts w:ascii="Lato" w:hAnsi="Lato"/>
          <w:sz w:val="20"/>
          <w:szCs w:val="20"/>
        </w:rPr>
      </w:pPr>
      <w:r w:rsidRPr="000A135E">
        <w:rPr>
          <w:rFonts w:ascii="Lato" w:hAnsi="Lato"/>
          <w:sz w:val="20"/>
          <w:szCs w:val="20"/>
        </w:rPr>
        <w:t>zdekapitalizowany tabor przejazdów pasażerskich, obniżający komfort podróży</w:t>
      </w:r>
      <w:r>
        <w:rPr>
          <w:rFonts w:ascii="Lato" w:hAnsi="Lato"/>
          <w:sz w:val="20"/>
          <w:szCs w:val="20"/>
        </w:rPr>
        <w:t>;</w:t>
      </w:r>
    </w:p>
    <w:p w14:paraId="63EAD5B5" w14:textId="77777777" w:rsidR="00EF2A15" w:rsidRPr="000A135E" w:rsidRDefault="00EF2A15" w:rsidP="00093E14">
      <w:pPr>
        <w:pStyle w:val="Akapitzlist"/>
        <w:numPr>
          <w:ilvl w:val="0"/>
          <w:numId w:val="8"/>
        </w:numPr>
        <w:spacing w:after="120" w:line="288" w:lineRule="auto"/>
        <w:rPr>
          <w:rFonts w:ascii="Lato" w:hAnsi="Lato"/>
          <w:sz w:val="20"/>
          <w:szCs w:val="20"/>
        </w:rPr>
      </w:pPr>
      <w:r w:rsidRPr="000A135E">
        <w:rPr>
          <w:rFonts w:ascii="Lato" w:hAnsi="Lato"/>
          <w:sz w:val="20"/>
          <w:szCs w:val="20"/>
        </w:rPr>
        <w:t>zbyt niska prędkość przejazdów, skutkująca niską konkurencyjnością pasażerskiego transportu kolejowego</w:t>
      </w:r>
      <w:r>
        <w:rPr>
          <w:rFonts w:ascii="Lato" w:hAnsi="Lato"/>
          <w:sz w:val="20"/>
          <w:szCs w:val="20"/>
        </w:rPr>
        <w:t>;</w:t>
      </w:r>
    </w:p>
    <w:p w14:paraId="431569E1" w14:textId="77777777" w:rsidR="00EF2A15" w:rsidRPr="000A135E" w:rsidRDefault="00EF2A15" w:rsidP="00093E14">
      <w:pPr>
        <w:pStyle w:val="Akapitzlist"/>
        <w:numPr>
          <w:ilvl w:val="0"/>
          <w:numId w:val="8"/>
        </w:numPr>
        <w:spacing w:after="120" w:line="288" w:lineRule="auto"/>
        <w:rPr>
          <w:rFonts w:ascii="Lato" w:hAnsi="Lato"/>
          <w:sz w:val="20"/>
          <w:szCs w:val="20"/>
        </w:rPr>
      </w:pPr>
      <w:r w:rsidRPr="000A135E">
        <w:rPr>
          <w:rFonts w:ascii="Lato" w:hAnsi="Lato"/>
          <w:sz w:val="20"/>
          <w:szCs w:val="20"/>
        </w:rPr>
        <w:t>wysoka emisja zanieczyszczeń</w:t>
      </w:r>
      <w:r w:rsidRPr="000A135E">
        <w:rPr>
          <w:rFonts w:ascii="Lato" w:hAnsi="Lato"/>
          <w:bCs/>
          <w:spacing w:val="-4"/>
          <w:sz w:val="20"/>
          <w:szCs w:val="20"/>
        </w:rPr>
        <w:t>, hałasu</w:t>
      </w:r>
      <w:r w:rsidR="00E66B89">
        <w:rPr>
          <w:rFonts w:ascii="Lato" w:hAnsi="Lato"/>
          <w:bCs/>
          <w:spacing w:val="-4"/>
          <w:sz w:val="20"/>
          <w:szCs w:val="20"/>
        </w:rPr>
        <w:t xml:space="preserve"> i </w:t>
      </w:r>
      <w:r w:rsidRPr="000A135E">
        <w:rPr>
          <w:rFonts w:ascii="Lato" w:hAnsi="Lato"/>
          <w:bCs/>
          <w:spacing w:val="-4"/>
          <w:sz w:val="20"/>
          <w:szCs w:val="20"/>
        </w:rPr>
        <w:t>powstawania ponadnormatywnych wibracji</w:t>
      </w:r>
      <w:r>
        <w:rPr>
          <w:rFonts w:ascii="Lato" w:hAnsi="Lato"/>
          <w:bCs/>
          <w:spacing w:val="-4"/>
          <w:sz w:val="20"/>
          <w:szCs w:val="20"/>
        </w:rPr>
        <w:t>.</w:t>
      </w:r>
    </w:p>
    <w:p w14:paraId="278BB083" w14:textId="77777777" w:rsidR="00EF2A15" w:rsidRPr="000A135E" w:rsidRDefault="00EF2A15" w:rsidP="00EF2A15">
      <w:pPr>
        <w:rPr>
          <w:szCs w:val="20"/>
        </w:rPr>
      </w:pPr>
      <w:r w:rsidRPr="000A135E">
        <w:rPr>
          <w:szCs w:val="20"/>
        </w:rPr>
        <w:t>W zakresie modernizacji linii kolejowych potrzeby regionu nie zostały</w:t>
      </w:r>
      <w:r w:rsidR="00E66B89">
        <w:rPr>
          <w:szCs w:val="20"/>
        </w:rPr>
        <w:t xml:space="preserve"> w </w:t>
      </w:r>
      <w:r w:rsidRPr="000A135E">
        <w:rPr>
          <w:szCs w:val="20"/>
        </w:rPr>
        <w:t>pełni zaspokojone</w:t>
      </w:r>
      <w:r w:rsidR="00E66B89">
        <w:rPr>
          <w:szCs w:val="20"/>
        </w:rPr>
        <w:t xml:space="preserve"> w </w:t>
      </w:r>
      <w:r w:rsidRPr="000A135E">
        <w:rPr>
          <w:szCs w:val="20"/>
        </w:rPr>
        <w:t>ramach bieżącego wdrażania RPO WZ 2014-2020. Jak wynika</w:t>
      </w:r>
      <w:r w:rsidR="00E66B89">
        <w:rPr>
          <w:szCs w:val="20"/>
        </w:rPr>
        <w:t xml:space="preserve"> z </w:t>
      </w:r>
      <w:r w:rsidRPr="000A135E">
        <w:rPr>
          <w:szCs w:val="20"/>
        </w:rPr>
        <w:t>Planu Inwestycji Transportowych dla województwa zachodniopomorskiego</w:t>
      </w:r>
      <w:r w:rsidRPr="000A135E">
        <w:rPr>
          <w:rStyle w:val="Odwoanieprzypisudolnego"/>
          <w:szCs w:val="20"/>
        </w:rPr>
        <w:footnoteReference w:id="47"/>
      </w:r>
      <w:r>
        <w:rPr>
          <w:szCs w:val="20"/>
        </w:rPr>
        <w:t>,</w:t>
      </w:r>
      <w:r w:rsidRPr="000A135E">
        <w:rPr>
          <w:szCs w:val="20"/>
        </w:rPr>
        <w:t xml:space="preserve"> dalszych modernizacji wymagają takie linie jak: nr 405 Piła – Szczecinek – Słupsk – Ustka</w:t>
      </w:r>
      <w:r>
        <w:rPr>
          <w:szCs w:val="20"/>
        </w:rPr>
        <w:t xml:space="preserve"> (komunikująca województwo zachodniopomorskie</w:t>
      </w:r>
      <w:r w:rsidR="00E66B89">
        <w:rPr>
          <w:szCs w:val="20"/>
        </w:rPr>
        <w:t xml:space="preserve"> z </w:t>
      </w:r>
      <w:r>
        <w:rPr>
          <w:szCs w:val="20"/>
        </w:rPr>
        <w:t>województwem pomorskim);</w:t>
      </w:r>
      <w:r w:rsidRPr="000A135E">
        <w:rPr>
          <w:szCs w:val="20"/>
        </w:rPr>
        <w:t xml:space="preserve"> linia nr 403 na odcinku Wałcz-Kamień Pomorski czy linia nr 404 Szczecinek – Białogard – Kołobrzeg</w:t>
      </w:r>
      <w:r>
        <w:rPr>
          <w:szCs w:val="20"/>
        </w:rPr>
        <w:t>;</w:t>
      </w:r>
      <w:r w:rsidRPr="000A135E">
        <w:rPr>
          <w:szCs w:val="20"/>
        </w:rPr>
        <w:t xml:space="preserve"> linia nr 402 na odcinku Koszalin-Kołobrzeg. </w:t>
      </w:r>
    </w:p>
    <w:p w14:paraId="34FF47EA" w14:textId="77777777" w:rsidR="00EF2A15" w:rsidRPr="000A135E" w:rsidRDefault="00EF2A15" w:rsidP="00EF2A15">
      <w:pPr>
        <w:rPr>
          <w:szCs w:val="20"/>
        </w:rPr>
      </w:pPr>
      <w:r w:rsidRPr="000A135E">
        <w:rPr>
          <w:szCs w:val="20"/>
        </w:rPr>
        <w:t>W ramach realizowanych interwencji nie jest przeprowadzana modernizacja infrastruktury dworców</w:t>
      </w:r>
      <w:r w:rsidR="00E66B89">
        <w:rPr>
          <w:szCs w:val="20"/>
        </w:rPr>
        <w:t xml:space="preserve"> w </w:t>
      </w:r>
      <w:r w:rsidRPr="000A135E">
        <w:rPr>
          <w:szCs w:val="20"/>
        </w:rPr>
        <w:t>Goleniowie</w:t>
      </w:r>
      <w:r w:rsidR="00E66B89">
        <w:rPr>
          <w:szCs w:val="20"/>
        </w:rPr>
        <w:t xml:space="preserve"> i </w:t>
      </w:r>
      <w:r w:rsidRPr="000A135E">
        <w:rPr>
          <w:szCs w:val="20"/>
        </w:rPr>
        <w:t>Wałczu czy też lokalnych</w:t>
      </w:r>
      <w:r>
        <w:rPr>
          <w:szCs w:val="20"/>
        </w:rPr>
        <w:t xml:space="preserve"> -</w:t>
      </w:r>
      <w:r w:rsidRPr="000A135E">
        <w:rPr>
          <w:szCs w:val="20"/>
        </w:rPr>
        <w:t xml:space="preserve"> ale ważnych dla mobilności mieszkańców</w:t>
      </w:r>
      <w:r>
        <w:rPr>
          <w:szCs w:val="20"/>
        </w:rPr>
        <w:t xml:space="preserve"> -</w:t>
      </w:r>
      <w:r w:rsidRPr="000A135E">
        <w:rPr>
          <w:szCs w:val="20"/>
        </w:rPr>
        <w:t xml:space="preserve"> dworców</w:t>
      </w:r>
      <w:r w:rsidR="00E66B89">
        <w:rPr>
          <w:szCs w:val="20"/>
        </w:rPr>
        <w:t xml:space="preserve"> w </w:t>
      </w:r>
      <w:r w:rsidRPr="000A135E">
        <w:rPr>
          <w:szCs w:val="20"/>
        </w:rPr>
        <w:t>Koszalinie, Stargardzie, Szczecinku oraz</w:t>
      </w:r>
      <w:r w:rsidR="00E66B89">
        <w:rPr>
          <w:szCs w:val="20"/>
        </w:rPr>
        <w:t xml:space="preserve"> w </w:t>
      </w:r>
      <w:r w:rsidRPr="000A135E">
        <w:rPr>
          <w:szCs w:val="20"/>
        </w:rPr>
        <w:t>innych, mniejszych miastach Pomorza Zachodniego. Lokalizacje te zostały wskazane jako priorytetowe</w:t>
      </w:r>
      <w:r w:rsidR="00E66B89">
        <w:rPr>
          <w:szCs w:val="20"/>
        </w:rPr>
        <w:t xml:space="preserve"> w </w:t>
      </w:r>
      <w:r w:rsidRPr="000A135E">
        <w:rPr>
          <w:szCs w:val="20"/>
        </w:rPr>
        <w:t xml:space="preserve">Planie Inwestycji Transportowych. </w:t>
      </w:r>
    </w:p>
    <w:p w14:paraId="4076A9EF" w14:textId="77777777" w:rsidR="00EF2A15" w:rsidRPr="000A135E" w:rsidRDefault="00EF2A15" w:rsidP="00EF2A15">
      <w:pPr>
        <w:rPr>
          <w:szCs w:val="20"/>
        </w:rPr>
      </w:pPr>
      <w:r w:rsidRPr="000A135E">
        <w:rPr>
          <w:szCs w:val="20"/>
        </w:rPr>
        <w:t>Szeroka skala bieżących inwestycji RPO WZ 2014-2020</w:t>
      </w:r>
      <w:r w:rsidR="00E66B89">
        <w:rPr>
          <w:szCs w:val="20"/>
        </w:rPr>
        <w:t xml:space="preserve"> w </w:t>
      </w:r>
      <w:r w:rsidRPr="000A135E">
        <w:rPr>
          <w:szCs w:val="20"/>
        </w:rPr>
        <w:t>zakup lub modernizację jednostek taboru kolejowego wskazuje na zaspokojenie bieżących potrzeb regionalnego transportu kolejowego na liniach zelektryfikowanych, wyszczególnionych</w:t>
      </w:r>
      <w:r w:rsidR="00E66B89">
        <w:rPr>
          <w:szCs w:val="20"/>
        </w:rPr>
        <w:t xml:space="preserve"> w </w:t>
      </w:r>
      <w:r w:rsidRPr="000A135E">
        <w:rPr>
          <w:szCs w:val="20"/>
        </w:rPr>
        <w:t>Planie Inwestycji Transportowych dla województwa zachodniopomorskiego. Występuje jednak nadal deficyt zespołów</w:t>
      </w:r>
      <w:r w:rsidR="00E66B89">
        <w:rPr>
          <w:szCs w:val="20"/>
        </w:rPr>
        <w:t xml:space="preserve"> o </w:t>
      </w:r>
      <w:r w:rsidRPr="000A135E">
        <w:rPr>
          <w:szCs w:val="20"/>
        </w:rPr>
        <w:t>napędzie spalinowym na potrzeby linii niezelektryfikowanych (Goleniów – Kołobrzeg, Szczecin Główny – Port lotniczy Szczecin-Goleniów, Stargard – Piła, Runowo Pomorskie – Szczecinek).</w:t>
      </w:r>
    </w:p>
    <w:p w14:paraId="209197C5" w14:textId="77777777" w:rsidR="00FA14F6" w:rsidRDefault="00FA14F6">
      <w:pPr>
        <w:spacing w:before="0" w:after="0" w:line="240" w:lineRule="auto"/>
        <w:jc w:val="left"/>
        <w:rPr>
          <w:rFonts w:eastAsia="Calibri"/>
          <w:b/>
          <w:i/>
          <w:color w:val="4F81BD"/>
          <w:szCs w:val="20"/>
          <w:lang w:eastAsia="en-US"/>
        </w:rPr>
      </w:pPr>
      <w:r>
        <w:rPr>
          <w:b/>
          <w:i/>
          <w:color w:val="4F81BD"/>
        </w:rPr>
        <w:br w:type="page"/>
      </w:r>
    </w:p>
    <w:p w14:paraId="23620C12" w14:textId="3D3E7815" w:rsidR="00EF2A15" w:rsidRPr="004D674A" w:rsidRDefault="00EF2A15" w:rsidP="004D674A">
      <w:pPr>
        <w:pStyle w:val="evaluTresc"/>
        <w:rPr>
          <w:b/>
          <w:i/>
          <w:color w:val="4F81BD"/>
        </w:rPr>
      </w:pPr>
      <w:r w:rsidRPr="004D674A">
        <w:rPr>
          <w:b/>
          <w:i/>
          <w:color w:val="4F81BD"/>
        </w:rPr>
        <w:lastRenderedPageBreak/>
        <w:t xml:space="preserve">PI 7c </w:t>
      </w:r>
    </w:p>
    <w:p w14:paraId="0375C4A4" w14:textId="77777777" w:rsidR="00EF2A15" w:rsidRPr="000A135E" w:rsidRDefault="00EF2A15" w:rsidP="00EF2A15">
      <w:pPr>
        <w:pStyle w:val="Tekstgwny"/>
        <w:spacing w:line="288" w:lineRule="auto"/>
        <w:rPr>
          <w:rFonts w:ascii="Lato" w:hAnsi="Lato"/>
          <w:szCs w:val="20"/>
        </w:rPr>
      </w:pPr>
      <w:r w:rsidRPr="000A135E">
        <w:rPr>
          <w:rFonts w:ascii="Lato" w:hAnsi="Lato"/>
          <w:szCs w:val="20"/>
        </w:rPr>
        <w:t xml:space="preserve">Priorytet Inwestycyjny 7c </w:t>
      </w:r>
      <w:r w:rsidRPr="008B706B">
        <w:rPr>
          <w:rFonts w:ascii="Lato" w:hAnsi="Lato"/>
          <w:i/>
          <w:szCs w:val="20"/>
        </w:rPr>
        <w:t>Transport multimodalny</w:t>
      </w:r>
      <w:r w:rsidRPr="000A135E">
        <w:rPr>
          <w:rFonts w:ascii="Lato" w:hAnsi="Lato"/>
          <w:szCs w:val="20"/>
        </w:rPr>
        <w:t xml:space="preserve"> realizowany jest</w:t>
      </w:r>
      <w:r w:rsidR="00E66B89">
        <w:rPr>
          <w:rFonts w:ascii="Lato" w:hAnsi="Lato"/>
          <w:szCs w:val="20"/>
        </w:rPr>
        <w:t xml:space="preserve"> w </w:t>
      </w:r>
      <w:r w:rsidRPr="000A135E">
        <w:rPr>
          <w:rFonts w:ascii="Lato" w:hAnsi="Lato"/>
          <w:szCs w:val="20"/>
        </w:rPr>
        <w:t xml:space="preserve">ramach Działania 5.7. </w:t>
      </w:r>
      <w:r w:rsidRPr="008B706B">
        <w:rPr>
          <w:rFonts w:ascii="Lato" w:hAnsi="Lato"/>
          <w:i/>
          <w:szCs w:val="20"/>
        </w:rPr>
        <w:t>Budowa, rozbudowa lub modernizacja ogólnodostępnej infrastruktury szlaków żeglownych, utrzymanie dróg wodnych prowadzących do portów, monitoring dróg wodnych,</w:t>
      </w:r>
      <w:r w:rsidR="00E66B89">
        <w:rPr>
          <w:rFonts w:ascii="Lato" w:hAnsi="Lato"/>
          <w:i/>
          <w:szCs w:val="20"/>
        </w:rPr>
        <w:t xml:space="preserve"> w </w:t>
      </w:r>
      <w:r w:rsidRPr="008B706B">
        <w:rPr>
          <w:rFonts w:ascii="Lato" w:hAnsi="Lato"/>
          <w:i/>
          <w:szCs w:val="20"/>
        </w:rPr>
        <w:t>tym związany</w:t>
      </w:r>
      <w:r w:rsidR="00E66B89">
        <w:rPr>
          <w:rFonts w:ascii="Lato" w:hAnsi="Lato"/>
          <w:i/>
          <w:szCs w:val="20"/>
        </w:rPr>
        <w:t xml:space="preserve"> z </w:t>
      </w:r>
      <w:r w:rsidRPr="008B706B">
        <w:rPr>
          <w:rFonts w:ascii="Lato" w:hAnsi="Lato"/>
          <w:i/>
          <w:szCs w:val="20"/>
        </w:rPr>
        <w:t>systemami zarządzania ruchem</w:t>
      </w:r>
      <w:r w:rsidRPr="000A135E">
        <w:rPr>
          <w:rFonts w:ascii="Lato" w:hAnsi="Lato"/>
          <w:szCs w:val="20"/>
        </w:rPr>
        <w:t xml:space="preserve">. Celem </w:t>
      </w:r>
      <w:r>
        <w:rPr>
          <w:rFonts w:ascii="Lato" w:hAnsi="Lato"/>
          <w:szCs w:val="20"/>
        </w:rPr>
        <w:t>D</w:t>
      </w:r>
      <w:r w:rsidRPr="000A135E">
        <w:rPr>
          <w:rFonts w:ascii="Lato" w:hAnsi="Lato"/>
          <w:szCs w:val="20"/>
        </w:rPr>
        <w:t>ziałania jest poprawa dostępności transportem wodnym, rozwój niskoemisyjnego transportu wodnego poprzez popraw</w:t>
      </w:r>
      <w:r>
        <w:rPr>
          <w:rFonts w:ascii="Lato" w:hAnsi="Lato"/>
          <w:szCs w:val="20"/>
        </w:rPr>
        <w:t>ę</w:t>
      </w:r>
      <w:r w:rsidRPr="000A135E">
        <w:rPr>
          <w:rFonts w:ascii="Lato" w:hAnsi="Lato"/>
          <w:szCs w:val="20"/>
        </w:rPr>
        <w:t xml:space="preserve"> dostępności do leżących</w:t>
      </w:r>
      <w:r w:rsidR="00E66B89">
        <w:rPr>
          <w:rFonts w:ascii="Lato" w:hAnsi="Lato"/>
          <w:szCs w:val="20"/>
        </w:rPr>
        <w:t xml:space="preserve"> w </w:t>
      </w:r>
      <w:r w:rsidRPr="000A135E">
        <w:rPr>
          <w:rFonts w:ascii="Lato" w:hAnsi="Lato"/>
          <w:szCs w:val="20"/>
        </w:rPr>
        <w:t>ciągu</w:t>
      </w:r>
      <w:r>
        <w:rPr>
          <w:rFonts w:ascii="Lato" w:hAnsi="Lato"/>
          <w:szCs w:val="20"/>
        </w:rPr>
        <w:t xml:space="preserve"> -</w:t>
      </w:r>
      <w:r w:rsidRPr="000A135E">
        <w:rPr>
          <w:rFonts w:ascii="Lato" w:hAnsi="Lato"/>
          <w:szCs w:val="20"/>
        </w:rPr>
        <w:t xml:space="preserve"> znajdującej się</w:t>
      </w:r>
      <w:r w:rsidR="00E66B89">
        <w:rPr>
          <w:rFonts w:ascii="Lato" w:hAnsi="Lato"/>
          <w:szCs w:val="20"/>
        </w:rPr>
        <w:t xml:space="preserve"> w </w:t>
      </w:r>
      <w:r w:rsidRPr="000A135E">
        <w:rPr>
          <w:rFonts w:ascii="Lato" w:hAnsi="Lato"/>
          <w:szCs w:val="20"/>
        </w:rPr>
        <w:t>sieci TEN-T Odrzańskiej Drogi Wodnej</w:t>
      </w:r>
      <w:r>
        <w:rPr>
          <w:rFonts w:ascii="Lato" w:hAnsi="Lato"/>
          <w:szCs w:val="20"/>
        </w:rPr>
        <w:t xml:space="preserve"> -</w:t>
      </w:r>
      <w:r w:rsidRPr="000A135E">
        <w:rPr>
          <w:rFonts w:ascii="Lato" w:hAnsi="Lato"/>
          <w:szCs w:val="20"/>
        </w:rPr>
        <w:t xml:space="preserve"> portów morskich, rzecznych</w:t>
      </w:r>
      <w:r w:rsidR="00E66B89">
        <w:rPr>
          <w:rFonts w:ascii="Lato" w:hAnsi="Lato"/>
          <w:szCs w:val="20"/>
        </w:rPr>
        <w:t xml:space="preserve"> i </w:t>
      </w:r>
      <w:r w:rsidRPr="000A135E">
        <w:rPr>
          <w:rFonts w:ascii="Lato" w:hAnsi="Lato"/>
          <w:szCs w:val="20"/>
        </w:rPr>
        <w:t>przystani.</w:t>
      </w:r>
      <w:r w:rsidR="00E66B89">
        <w:rPr>
          <w:rFonts w:ascii="Lato" w:hAnsi="Lato"/>
          <w:szCs w:val="20"/>
        </w:rPr>
        <w:t xml:space="preserve"> W </w:t>
      </w:r>
      <w:r w:rsidRPr="000A135E">
        <w:rPr>
          <w:rFonts w:ascii="Lato" w:hAnsi="Lato"/>
          <w:szCs w:val="20"/>
        </w:rPr>
        <w:t>logice interwencji założono, iż poprawa infrastruktury szlaków żeglownych zwiększy bezpieczeństwo</w:t>
      </w:r>
      <w:r w:rsidR="00E66B89">
        <w:rPr>
          <w:rFonts w:ascii="Lato" w:hAnsi="Lato"/>
          <w:szCs w:val="20"/>
        </w:rPr>
        <w:t xml:space="preserve"> i </w:t>
      </w:r>
      <w:r w:rsidRPr="000A135E">
        <w:rPr>
          <w:rFonts w:ascii="Lato" w:hAnsi="Lato"/>
          <w:szCs w:val="20"/>
        </w:rPr>
        <w:t>atrakcyjność tego sektora transportu. Łączenie transportu wodnego</w:t>
      </w:r>
      <w:r w:rsidR="00E66B89">
        <w:rPr>
          <w:rFonts w:ascii="Lato" w:hAnsi="Lato"/>
          <w:szCs w:val="20"/>
        </w:rPr>
        <w:t xml:space="preserve"> z </w:t>
      </w:r>
      <w:r w:rsidRPr="000A135E">
        <w:rPr>
          <w:rFonts w:ascii="Lato" w:hAnsi="Lato"/>
          <w:szCs w:val="20"/>
        </w:rPr>
        <w:t>innymi rodzajami transportu (samochodowy, lotniczy, kolejowy) przyczyni się</w:t>
      </w:r>
      <w:r w:rsidR="00E66B89">
        <w:rPr>
          <w:rFonts w:ascii="Lato" w:hAnsi="Lato"/>
          <w:szCs w:val="20"/>
        </w:rPr>
        <w:t xml:space="preserve"> z </w:t>
      </w:r>
      <w:r w:rsidRPr="000A135E">
        <w:rPr>
          <w:rFonts w:ascii="Lato" w:hAnsi="Lato"/>
          <w:szCs w:val="20"/>
        </w:rPr>
        <w:t>kolei do przenoszenia transportu osób</w:t>
      </w:r>
      <w:r w:rsidR="00E66B89">
        <w:rPr>
          <w:rFonts w:ascii="Lato" w:hAnsi="Lato"/>
          <w:szCs w:val="20"/>
        </w:rPr>
        <w:t xml:space="preserve"> i </w:t>
      </w:r>
      <w:r w:rsidRPr="000A135E">
        <w:rPr>
          <w:rFonts w:ascii="Lato" w:hAnsi="Lato"/>
          <w:szCs w:val="20"/>
        </w:rPr>
        <w:t>towarów</w:t>
      </w:r>
      <w:r w:rsidR="00E66B89">
        <w:rPr>
          <w:rFonts w:ascii="Lato" w:hAnsi="Lato"/>
          <w:szCs w:val="20"/>
        </w:rPr>
        <w:t xml:space="preserve"> z </w:t>
      </w:r>
      <w:r w:rsidRPr="000A135E">
        <w:rPr>
          <w:rFonts w:ascii="Lato" w:hAnsi="Lato"/>
          <w:szCs w:val="20"/>
        </w:rPr>
        <w:t>dróg</w:t>
      </w:r>
      <w:r>
        <w:rPr>
          <w:rFonts w:ascii="Lato" w:hAnsi="Lato"/>
          <w:szCs w:val="20"/>
        </w:rPr>
        <w:t xml:space="preserve"> tradycyjnych</w:t>
      </w:r>
      <w:r w:rsidRPr="000A135E">
        <w:rPr>
          <w:rFonts w:ascii="Lato" w:hAnsi="Lato"/>
          <w:szCs w:val="20"/>
        </w:rPr>
        <w:t xml:space="preserve"> na drogi wodne. Interwencje RPO WZ 2014-2020 pozostają komplementarne do projektów założonych do realizacji</w:t>
      </w:r>
      <w:r w:rsidR="00E66B89">
        <w:rPr>
          <w:rFonts w:ascii="Lato" w:hAnsi="Lato"/>
          <w:szCs w:val="20"/>
        </w:rPr>
        <w:t xml:space="preserve"> w </w:t>
      </w:r>
      <w:r w:rsidRPr="000A135E">
        <w:rPr>
          <w:rFonts w:ascii="Lato" w:hAnsi="Lato"/>
          <w:szCs w:val="20"/>
        </w:rPr>
        <w:t>ramach krajowych programów operacyjnych, takich jak: PO Ryby</w:t>
      </w:r>
      <w:r w:rsidR="00E66B89">
        <w:rPr>
          <w:rFonts w:ascii="Lato" w:hAnsi="Lato"/>
          <w:szCs w:val="20"/>
        </w:rPr>
        <w:t xml:space="preserve"> i </w:t>
      </w:r>
      <w:r w:rsidRPr="000A135E">
        <w:rPr>
          <w:rFonts w:ascii="Lato" w:hAnsi="Lato"/>
          <w:szCs w:val="20"/>
        </w:rPr>
        <w:t>POIiŚ 2014-2020;</w:t>
      </w:r>
      <w:r w:rsidR="00E66B89">
        <w:rPr>
          <w:rFonts w:ascii="Lato" w:hAnsi="Lato"/>
          <w:szCs w:val="20"/>
        </w:rPr>
        <w:t xml:space="preserve"> w </w:t>
      </w:r>
      <w:r w:rsidRPr="000A135E">
        <w:rPr>
          <w:rFonts w:ascii="Lato" w:hAnsi="Lato"/>
          <w:szCs w:val="20"/>
        </w:rPr>
        <w:t xml:space="preserve">tym: Modernizacja toru wodnego Świnoujście – Szczecin do głębokości </w:t>
      </w:r>
      <w:r>
        <w:rPr>
          <w:rFonts w:ascii="Lato" w:hAnsi="Lato"/>
          <w:szCs w:val="20"/>
        </w:rPr>
        <w:br/>
      </w:r>
      <w:r w:rsidRPr="000A135E">
        <w:rPr>
          <w:rFonts w:ascii="Lato" w:hAnsi="Lato"/>
          <w:szCs w:val="20"/>
        </w:rPr>
        <w:t>12,5</w:t>
      </w:r>
      <w:r>
        <w:rPr>
          <w:rFonts w:ascii="Lato" w:hAnsi="Lato"/>
          <w:szCs w:val="20"/>
        </w:rPr>
        <w:t xml:space="preserve"> m;</w:t>
      </w:r>
      <w:r w:rsidRPr="000A135E">
        <w:rPr>
          <w:rFonts w:ascii="Lato" w:hAnsi="Lato"/>
          <w:szCs w:val="20"/>
        </w:rPr>
        <w:t xml:space="preserve"> Pełne wdrożenie RIS Dolnej Odry</w:t>
      </w:r>
      <w:r>
        <w:rPr>
          <w:rFonts w:ascii="Lato" w:hAnsi="Lato"/>
          <w:szCs w:val="20"/>
        </w:rPr>
        <w:t>;</w:t>
      </w:r>
      <w:r w:rsidRPr="000A135E">
        <w:rPr>
          <w:rFonts w:ascii="Lato" w:hAnsi="Lato"/>
          <w:szCs w:val="20"/>
        </w:rPr>
        <w:t xml:space="preserve"> Prace modernizacyjne na Odrze granicznej</w:t>
      </w:r>
      <w:r w:rsidR="00E66B89">
        <w:rPr>
          <w:rFonts w:ascii="Lato" w:hAnsi="Lato"/>
          <w:szCs w:val="20"/>
        </w:rPr>
        <w:t xml:space="preserve"> w </w:t>
      </w:r>
      <w:r w:rsidRPr="000A135E">
        <w:rPr>
          <w:rFonts w:ascii="Lato" w:hAnsi="Lato"/>
          <w:szCs w:val="20"/>
        </w:rPr>
        <w:t>celu zapewnienia zimowego lodołamania</w:t>
      </w:r>
      <w:r>
        <w:rPr>
          <w:rFonts w:ascii="Lato" w:hAnsi="Lato"/>
          <w:szCs w:val="20"/>
        </w:rPr>
        <w:t>;</w:t>
      </w:r>
      <w:r w:rsidRPr="000A135E">
        <w:rPr>
          <w:rFonts w:ascii="Lato" w:hAnsi="Lato"/>
          <w:szCs w:val="20"/>
        </w:rPr>
        <w:t xml:space="preserve"> Remont</w:t>
      </w:r>
      <w:r w:rsidR="00E66B89">
        <w:rPr>
          <w:rFonts w:ascii="Lato" w:hAnsi="Lato"/>
          <w:szCs w:val="20"/>
        </w:rPr>
        <w:t xml:space="preserve"> i </w:t>
      </w:r>
      <w:r w:rsidRPr="000A135E">
        <w:rPr>
          <w:rFonts w:ascii="Lato" w:hAnsi="Lato"/>
          <w:szCs w:val="20"/>
        </w:rPr>
        <w:t xml:space="preserve">modernizacja zabudowy regulacyjnej na Odrze granicznej. </w:t>
      </w:r>
    </w:p>
    <w:p w14:paraId="58058099" w14:textId="77777777" w:rsidR="00EF2A15" w:rsidRPr="000A135E" w:rsidRDefault="00EF2A15" w:rsidP="00EF2A15">
      <w:pPr>
        <w:pStyle w:val="Tekstgwny"/>
        <w:spacing w:line="288" w:lineRule="auto"/>
        <w:rPr>
          <w:rFonts w:ascii="Lato" w:hAnsi="Lato"/>
          <w:szCs w:val="20"/>
        </w:rPr>
      </w:pPr>
      <w:r w:rsidRPr="000A135E">
        <w:rPr>
          <w:rFonts w:ascii="Lato" w:hAnsi="Lato"/>
          <w:szCs w:val="20"/>
        </w:rPr>
        <w:t>Wsparcie Działania 5.7 odpowiada na następujące deficyty</w:t>
      </w:r>
      <w:r w:rsidR="00E66B89">
        <w:rPr>
          <w:rFonts w:ascii="Lato" w:hAnsi="Lato"/>
          <w:szCs w:val="20"/>
        </w:rPr>
        <w:t xml:space="preserve"> i </w:t>
      </w:r>
      <w:r w:rsidRPr="000A135E">
        <w:rPr>
          <w:rFonts w:ascii="Lato" w:hAnsi="Lato"/>
          <w:szCs w:val="20"/>
        </w:rPr>
        <w:t>wyzwania rozwojowe:</w:t>
      </w:r>
    </w:p>
    <w:p w14:paraId="66235030" w14:textId="77777777" w:rsidR="00EF2A15" w:rsidRPr="00ED7FF1" w:rsidRDefault="00EF2A15" w:rsidP="00093E14">
      <w:pPr>
        <w:pStyle w:val="Akapitzlist"/>
        <w:numPr>
          <w:ilvl w:val="0"/>
          <w:numId w:val="9"/>
        </w:numPr>
        <w:spacing w:after="120" w:line="288" w:lineRule="auto"/>
        <w:rPr>
          <w:rFonts w:ascii="Lato" w:hAnsi="Lato"/>
          <w:sz w:val="20"/>
        </w:rPr>
      </w:pPr>
      <w:r w:rsidRPr="000A135E">
        <w:rPr>
          <w:rFonts w:ascii="Lato" w:hAnsi="Lato"/>
          <w:sz w:val="20"/>
          <w:szCs w:val="20"/>
        </w:rPr>
        <w:t xml:space="preserve">spadek udziału </w:t>
      </w:r>
      <w:r w:rsidRPr="001D23AE">
        <w:rPr>
          <w:rFonts w:ascii="Lato" w:hAnsi="Lato"/>
          <w:sz w:val="20"/>
          <w:szCs w:val="20"/>
        </w:rPr>
        <w:t>portów Odrzańskiej Drogi Wodnej</w:t>
      </w:r>
      <w:r w:rsidR="00E66B89">
        <w:rPr>
          <w:rFonts w:ascii="Lato" w:hAnsi="Lato"/>
          <w:sz w:val="20"/>
          <w:szCs w:val="20"/>
        </w:rPr>
        <w:t xml:space="preserve"> w </w:t>
      </w:r>
      <w:r w:rsidRPr="001D23AE">
        <w:rPr>
          <w:rFonts w:ascii="Lato" w:hAnsi="Lato"/>
          <w:sz w:val="20"/>
          <w:szCs w:val="20"/>
        </w:rPr>
        <w:t>przeładunkach polskich portów</w:t>
      </w:r>
      <w:r w:rsidRPr="00713A64">
        <w:rPr>
          <w:rFonts w:ascii="Lato" w:hAnsi="Lato"/>
          <w:sz w:val="20"/>
          <w:szCs w:val="20"/>
        </w:rPr>
        <w:t>;</w:t>
      </w:r>
    </w:p>
    <w:p w14:paraId="73C81CC6" w14:textId="77777777" w:rsidR="00EF2A15" w:rsidRPr="000A135E" w:rsidRDefault="00EF2A15" w:rsidP="00093E14">
      <w:pPr>
        <w:pStyle w:val="Tekstgwny"/>
        <w:numPr>
          <w:ilvl w:val="0"/>
          <w:numId w:val="9"/>
        </w:numPr>
        <w:spacing w:line="288" w:lineRule="auto"/>
        <w:rPr>
          <w:rFonts w:ascii="Lato" w:hAnsi="Lato"/>
          <w:szCs w:val="20"/>
        </w:rPr>
      </w:pPr>
      <w:r w:rsidRPr="000A135E">
        <w:rPr>
          <w:rFonts w:ascii="Lato" w:hAnsi="Lato"/>
          <w:szCs w:val="20"/>
        </w:rPr>
        <w:t xml:space="preserve">niska dostępność </w:t>
      </w:r>
      <w:r w:rsidRPr="001D23AE">
        <w:rPr>
          <w:rFonts w:ascii="Lato" w:hAnsi="Lato"/>
          <w:szCs w:val="20"/>
        </w:rPr>
        <w:t>poszczególnych portów, zarówno od strony wody, jak</w:t>
      </w:r>
      <w:r w:rsidR="00E66B89">
        <w:rPr>
          <w:rFonts w:ascii="Lato" w:hAnsi="Lato"/>
          <w:szCs w:val="20"/>
        </w:rPr>
        <w:t xml:space="preserve"> i </w:t>
      </w:r>
      <w:r w:rsidRPr="001D23AE">
        <w:rPr>
          <w:rFonts w:ascii="Lato" w:hAnsi="Lato"/>
          <w:szCs w:val="20"/>
        </w:rPr>
        <w:t>lądu,</w:t>
      </w:r>
      <w:r w:rsidR="00E66B89">
        <w:rPr>
          <w:rFonts w:ascii="Lato" w:hAnsi="Lato"/>
          <w:szCs w:val="20"/>
        </w:rPr>
        <w:t xml:space="preserve"> w </w:t>
      </w:r>
      <w:r w:rsidRPr="00093145">
        <w:rPr>
          <w:rFonts w:ascii="Lato" w:hAnsi="Lato"/>
          <w:szCs w:val="20"/>
        </w:rPr>
        <w:t>szczególności ułatwiające transport drobnic</w:t>
      </w:r>
      <w:r w:rsidRPr="009D4D1F">
        <w:rPr>
          <w:rFonts w:ascii="Lato" w:hAnsi="Lato"/>
          <w:szCs w:val="20"/>
        </w:rPr>
        <w:t>owy</w:t>
      </w:r>
      <w:r w:rsidR="00E66B89">
        <w:rPr>
          <w:rFonts w:ascii="Lato" w:hAnsi="Lato"/>
          <w:szCs w:val="20"/>
        </w:rPr>
        <w:t xml:space="preserve"> i </w:t>
      </w:r>
      <w:r w:rsidRPr="00866CBA">
        <w:rPr>
          <w:rFonts w:ascii="Lato" w:hAnsi="Lato"/>
          <w:szCs w:val="20"/>
        </w:rPr>
        <w:t>masowy.</w:t>
      </w:r>
    </w:p>
    <w:p w14:paraId="5F04C1E0" w14:textId="77777777" w:rsidR="00EF2A15" w:rsidRPr="000A135E" w:rsidRDefault="00EF2A15" w:rsidP="00EF2A15">
      <w:pPr>
        <w:rPr>
          <w:szCs w:val="20"/>
        </w:rPr>
      </w:pPr>
      <w:r w:rsidRPr="000A135E">
        <w:rPr>
          <w:szCs w:val="20"/>
        </w:rPr>
        <w:t>Deficyty te są uzupełniane poprzez budowę, rozbudowę lub modernizację ogólnodostępnej infrastruktury szlaków żeglownych</w:t>
      </w:r>
      <w:r>
        <w:rPr>
          <w:szCs w:val="20"/>
        </w:rPr>
        <w:t>;</w:t>
      </w:r>
      <w:r w:rsidRPr="000A135E">
        <w:rPr>
          <w:szCs w:val="20"/>
        </w:rPr>
        <w:t xml:space="preserve"> utrzymanie dróg wodnych prowadzących do portów</w:t>
      </w:r>
      <w:r>
        <w:rPr>
          <w:szCs w:val="20"/>
        </w:rPr>
        <w:t>;</w:t>
      </w:r>
      <w:r w:rsidRPr="000A135E">
        <w:rPr>
          <w:szCs w:val="20"/>
        </w:rPr>
        <w:t xml:space="preserve"> monitoring dróg wodnych,</w:t>
      </w:r>
      <w:r w:rsidR="00E66B89">
        <w:rPr>
          <w:szCs w:val="20"/>
        </w:rPr>
        <w:t xml:space="preserve"> w </w:t>
      </w:r>
      <w:r w:rsidRPr="000A135E">
        <w:rPr>
          <w:szCs w:val="20"/>
        </w:rPr>
        <w:t>tym</w:t>
      </w:r>
      <w:r>
        <w:rPr>
          <w:szCs w:val="20"/>
        </w:rPr>
        <w:t xml:space="preserve"> monitoring</w:t>
      </w:r>
      <w:r w:rsidRPr="000A135E">
        <w:rPr>
          <w:szCs w:val="20"/>
        </w:rPr>
        <w:t xml:space="preserve"> związany</w:t>
      </w:r>
      <w:r w:rsidR="00E66B89">
        <w:rPr>
          <w:szCs w:val="20"/>
        </w:rPr>
        <w:t xml:space="preserve"> z </w:t>
      </w:r>
      <w:r w:rsidRPr="000A135E">
        <w:rPr>
          <w:szCs w:val="20"/>
        </w:rPr>
        <w:t>systemami zarządzania ruchem</w:t>
      </w:r>
      <w:r>
        <w:rPr>
          <w:szCs w:val="20"/>
        </w:rPr>
        <w:t>.</w:t>
      </w:r>
    </w:p>
    <w:p w14:paraId="548EA895" w14:textId="77777777" w:rsidR="00EF2A15" w:rsidRPr="000A135E" w:rsidRDefault="00EF2A15" w:rsidP="00EF2A15">
      <w:pPr>
        <w:rPr>
          <w:szCs w:val="20"/>
        </w:rPr>
      </w:pPr>
      <w:r w:rsidRPr="000A135E">
        <w:rPr>
          <w:szCs w:val="20"/>
        </w:rPr>
        <w:t>Interwencje realizowane</w:t>
      </w:r>
      <w:r w:rsidR="00E66B89">
        <w:rPr>
          <w:szCs w:val="20"/>
        </w:rPr>
        <w:t xml:space="preserve"> w </w:t>
      </w:r>
      <w:r w:rsidRPr="000A135E">
        <w:rPr>
          <w:szCs w:val="20"/>
        </w:rPr>
        <w:t>ramach wsparcia infrastruktury wodnej śródlądowej</w:t>
      </w:r>
      <w:r w:rsidR="00E66B89">
        <w:rPr>
          <w:szCs w:val="20"/>
        </w:rPr>
        <w:t xml:space="preserve"> w </w:t>
      </w:r>
      <w:r w:rsidRPr="000A135E">
        <w:rPr>
          <w:szCs w:val="20"/>
        </w:rPr>
        <w:t>ramach RPO WZ 2014-2020 zaspokajają potrzeby regionu</w:t>
      </w:r>
      <w:r w:rsidR="00E66B89">
        <w:rPr>
          <w:szCs w:val="20"/>
        </w:rPr>
        <w:t xml:space="preserve"> w </w:t>
      </w:r>
      <w:r w:rsidRPr="000A135E">
        <w:rPr>
          <w:szCs w:val="20"/>
        </w:rPr>
        <w:t>obszarze poprawy bezpieczeństwa warunków żeglugowych,</w:t>
      </w:r>
      <w:r w:rsidR="00E66B89">
        <w:rPr>
          <w:szCs w:val="20"/>
        </w:rPr>
        <w:t xml:space="preserve"> w </w:t>
      </w:r>
      <w:r w:rsidRPr="000A135E">
        <w:rPr>
          <w:szCs w:val="20"/>
        </w:rPr>
        <w:t>tym bezpieczeństwa na Odrze oraz torze wodnym Świnoujście-Szczecin. Modernizowane są tory wodne stanowiące dostęp do portu</w:t>
      </w:r>
      <w:r w:rsidR="00E66B89">
        <w:rPr>
          <w:szCs w:val="20"/>
        </w:rPr>
        <w:t xml:space="preserve"> w </w:t>
      </w:r>
      <w:r w:rsidRPr="000A135E">
        <w:rPr>
          <w:szCs w:val="20"/>
        </w:rPr>
        <w:t>St</w:t>
      </w:r>
      <w:r>
        <w:rPr>
          <w:szCs w:val="20"/>
        </w:rPr>
        <w:t>e</w:t>
      </w:r>
      <w:r w:rsidRPr="000A135E">
        <w:rPr>
          <w:szCs w:val="20"/>
        </w:rPr>
        <w:t>pnicy</w:t>
      </w:r>
      <w:r w:rsidR="00E66B89">
        <w:rPr>
          <w:szCs w:val="20"/>
        </w:rPr>
        <w:t xml:space="preserve"> i </w:t>
      </w:r>
      <w:r w:rsidRPr="000A135E">
        <w:rPr>
          <w:szCs w:val="20"/>
        </w:rPr>
        <w:t xml:space="preserve">Policach. </w:t>
      </w:r>
    </w:p>
    <w:p w14:paraId="7FE63FC8" w14:textId="77777777" w:rsidR="00EF2A15" w:rsidRPr="0052708E" w:rsidRDefault="00EF2A15" w:rsidP="00EF2A15">
      <w:pPr>
        <w:rPr>
          <w:szCs w:val="20"/>
        </w:rPr>
      </w:pPr>
      <w:r w:rsidRPr="000A135E">
        <w:rPr>
          <w:szCs w:val="20"/>
        </w:rPr>
        <w:t>Analiza planów inwestycyjnych zawartych</w:t>
      </w:r>
      <w:r w:rsidR="00E66B89">
        <w:rPr>
          <w:szCs w:val="20"/>
        </w:rPr>
        <w:t xml:space="preserve"> w </w:t>
      </w:r>
      <w:r w:rsidRPr="000A135E">
        <w:rPr>
          <w:szCs w:val="20"/>
        </w:rPr>
        <w:t>przytaczanym wcześniej Planie Inwestycji Transportowych</w:t>
      </w:r>
      <w:r>
        <w:rPr>
          <w:szCs w:val="20"/>
        </w:rPr>
        <w:t xml:space="preserve"> </w:t>
      </w:r>
      <w:r w:rsidRPr="000A135E">
        <w:rPr>
          <w:szCs w:val="20"/>
        </w:rPr>
        <w:t xml:space="preserve">wskazuje na </w:t>
      </w:r>
      <w:r>
        <w:rPr>
          <w:szCs w:val="20"/>
        </w:rPr>
        <w:t>niezrealizowanie</w:t>
      </w:r>
      <w:r w:rsidRPr="000A135E">
        <w:rPr>
          <w:szCs w:val="20"/>
        </w:rPr>
        <w:t xml:space="preserve"> prac modernizacyjnych (pogłębiarskich) na rzece Gunica (potencjalny beneficjent wycofał się</w:t>
      </w:r>
      <w:r w:rsidR="00E66B89">
        <w:rPr>
          <w:szCs w:val="20"/>
        </w:rPr>
        <w:t xml:space="preserve"> z </w:t>
      </w:r>
      <w:r w:rsidRPr="000A135E">
        <w:rPr>
          <w:szCs w:val="20"/>
        </w:rPr>
        <w:t>realizacji projektu). Biorąc pod uwagę ograniczenia potencjału aplikacyjnego</w:t>
      </w:r>
      <w:r>
        <w:rPr>
          <w:szCs w:val="20"/>
        </w:rPr>
        <w:t>,</w:t>
      </w:r>
      <w:r w:rsidRPr="000A135E">
        <w:rPr>
          <w:szCs w:val="20"/>
        </w:rPr>
        <w:t xml:space="preserve"> potrzeby transportu wodnego wyszczególnione</w:t>
      </w:r>
      <w:r w:rsidR="00E66B89">
        <w:rPr>
          <w:szCs w:val="20"/>
        </w:rPr>
        <w:t xml:space="preserve"> w </w:t>
      </w:r>
      <w:r w:rsidRPr="000A135E">
        <w:rPr>
          <w:szCs w:val="20"/>
        </w:rPr>
        <w:t>Planie Inwestycji Transportowych dla województwa zachodniopomorskiego są zaspokajane</w:t>
      </w:r>
      <w:r w:rsidR="00E66B89">
        <w:rPr>
          <w:szCs w:val="20"/>
        </w:rPr>
        <w:t xml:space="preserve"> w </w:t>
      </w:r>
      <w:r w:rsidRPr="000A135E">
        <w:rPr>
          <w:szCs w:val="20"/>
        </w:rPr>
        <w:t>ramach bieżących in</w:t>
      </w:r>
      <w:r>
        <w:rPr>
          <w:szCs w:val="20"/>
        </w:rPr>
        <w:t>westycji</w:t>
      </w:r>
      <w:r w:rsidRPr="000A135E">
        <w:rPr>
          <w:szCs w:val="20"/>
        </w:rPr>
        <w:t xml:space="preserve"> RPO WZ 2014-2020.</w:t>
      </w:r>
    </w:p>
    <w:p w14:paraId="3F29CBD3" w14:textId="77777777" w:rsidR="00EF2A15" w:rsidRPr="000A135E" w:rsidRDefault="00EF2A15" w:rsidP="00EF2A15">
      <w:pPr>
        <w:pStyle w:val="Nagwek3"/>
      </w:pPr>
      <w:r w:rsidRPr="000A135E">
        <w:t>Realizacja Ram Wykonania</w:t>
      </w:r>
      <w:r w:rsidR="00E66B89">
        <w:t xml:space="preserve"> w </w:t>
      </w:r>
      <w:r w:rsidRPr="000A135E">
        <w:t xml:space="preserve">OP V </w:t>
      </w:r>
    </w:p>
    <w:p w14:paraId="417D3458" w14:textId="77777777" w:rsidR="00EF2A15" w:rsidRPr="000A135E" w:rsidRDefault="00EF2A15" w:rsidP="00EF2A15">
      <w:pPr>
        <w:rPr>
          <w:rFonts w:cs="Calibri"/>
          <w:color w:val="000000"/>
          <w:szCs w:val="20"/>
        </w:rPr>
      </w:pPr>
      <w:r w:rsidRPr="00404DA5">
        <w:rPr>
          <w:rFonts w:cs="Calibri"/>
          <w:szCs w:val="20"/>
        </w:rPr>
        <w:t xml:space="preserve">Ramy Wykonania dla OP V </w:t>
      </w:r>
      <w:r w:rsidRPr="008B706B">
        <w:rPr>
          <w:rFonts w:cs="Calibri"/>
          <w:i/>
          <w:szCs w:val="20"/>
        </w:rPr>
        <w:t>Zrównoważony transport</w:t>
      </w:r>
      <w:r w:rsidRPr="00404DA5">
        <w:rPr>
          <w:rFonts w:cs="Calibri"/>
          <w:szCs w:val="20"/>
        </w:rPr>
        <w:t xml:space="preserve"> obejmują wskaźnik produktu PI 7b </w:t>
      </w:r>
      <w:r w:rsidRPr="008B706B">
        <w:rPr>
          <w:rFonts w:cs="Calibri"/>
          <w:i/>
          <w:szCs w:val="20"/>
        </w:rPr>
        <w:t>Całkowita długość przebudowanych lub zmodernizowanych dróg</w:t>
      </w:r>
      <w:r w:rsidRPr="00404DA5">
        <w:rPr>
          <w:rFonts w:cs="Calibri"/>
          <w:szCs w:val="20"/>
        </w:rPr>
        <w:t xml:space="preserve"> (Działanie 5.1., Działanie 5.2, Działanie 5.3, Działanie 5.4), wskaźnik produktu PI </w:t>
      </w:r>
      <w:r w:rsidRPr="00C22C26">
        <w:rPr>
          <w:rFonts w:cs="Calibri"/>
          <w:szCs w:val="20"/>
        </w:rPr>
        <w:t>7d</w:t>
      </w:r>
      <w:r w:rsidRPr="008B706B">
        <w:rPr>
          <w:rFonts w:cs="Calibri"/>
          <w:i/>
          <w:szCs w:val="20"/>
        </w:rPr>
        <w:t xml:space="preserve"> </w:t>
      </w:r>
      <w:r w:rsidRPr="008B706B">
        <w:rPr>
          <w:rFonts w:cs="Calibri"/>
          <w:i/>
          <w:color w:val="000000"/>
          <w:szCs w:val="20"/>
        </w:rPr>
        <w:t>Liczba zakupionych lub zmodernizowanych jednostek taboru kolejowego</w:t>
      </w:r>
      <w:r w:rsidRPr="000A135E">
        <w:rPr>
          <w:rFonts w:cs="Calibri"/>
          <w:color w:val="000000"/>
          <w:szCs w:val="20"/>
        </w:rPr>
        <w:t xml:space="preserve"> (Działanie 5.6) oraz wskaźnik finansowy mierzony </w:t>
      </w:r>
      <w:r>
        <w:rPr>
          <w:rFonts w:cs="Calibri"/>
          <w:i/>
          <w:color w:val="000000"/>
          <w:szCs w:val="20"/>
        </w:rPr>
        <w:t>C</w:t>
      </w:r>
      <w:r w:rsidRPr="008B706B">
        <w:rPr>
          <w:rFonts w:cs="Calibri"/>
          <w:i/>
          <w:color w:val="000000"/>
          <w:szCs w:val="20"/>
        </w:rPr>
        <w:t>ałkowitą kwotą certyfikowanych wydatków kwalifikowalnych</w:t>
      </w:r>
      <w:r w:rsidRPr="000A135E">
        <w:rPr>
          <w:rFonts w:cs="Calibri"/>
          <w:color w:val="000000"/>
          <w:szCs w:val="20"/>
        </w:rPr>
        <w:t xml:space="preserve"> (generowany jest przez wszystkie interwencje OP V RPO WZ 2014-2020). </w:t>
      </w:r>
    </w:p>
    <w:p w14:paraId="7B4DF3E0" w14:textId="77777777" w:rsidR="00EF2A15" w:rsidRPr="000A135E" w:rsidRDefault="00EF2A15" w:rsidP="00EF2A15">
      <w:pPr>
        <w:rPr>
          <w:szCs w:val="20"/>
        </w:rPr>
      </w:pPr>
      <w:r w:rsidRPr="000A135E">
        <w:rPr>
          <w:rFonts w:cs="Calibri"/>
          <w:color w:val="000000"/>
          <w:szCs w:val="20"/>
        </w:rPr>
        <w:t xml:space="preserve">Cele pośrednie Ram </w:t>
      </w:r>
      <w:r>
        <w:rPr>
          <w:rFonts w:cs="Calibri"/>
          <w:color w:val="000000"/>
          <w:szCs w:val="20"/>
        </w:rPr>
        <w:t>W</w:t>
      </w:r>
      <w:r w:rsidRPr="000A135E">
        <w:rPr>
          <w:rFonts w:cs="Calibri"/>
          <w:color w:val="000000"/>
          <w:szCs w:val="20"/>
        </w:rPr>
        <w:t>ykonania zostały przekroczone, co oznacza, iż nie jest zagrożona rezerwa wykonania przypisana do OP</w:t>
      </w:r>
      <w:r>
        <w:rPr>
          <w:rFonts w:cs="Calibri"/>
          <w:color w:val="000000"/>
          <w:szCs w:val="20"/>
        </w:rPr>
        <w:t xml:space="preserve"> </w:t>
      </w:r>
      <w:r w:rsidRPr="000A135E">
        <w:rPr>
          <w:rFonts w:cs="Calibri"/>
          <w:color w:val="000000"/>
          <w:szCs w:val="20"/>
        </w:rPr>
        <w:t xml:space="preserve">V </w:t>
      </w:r>
      <w:r w:rsidRPr="008B706B">
        <w:rPr>
          <w:rFonts w:cs="Calibri"/>
          <w:i/>
          <w:color w:val="000000"/>
          <w:szCs w:val="20"/>
        </w:rPr>
        <w:t>Zrównoważony transport</w:t>
      </w:r>
      <w:r w:rsidRPr="000A135E">
        <w:rPr>
          <w:rFonts w:cs="Calibri"/>
          <w:color w:val="000000"/>
          <w:szCs w:val="20"/>
        </w:rPr>
        <w:t xml:space="preserve">. </w:t>
      </w:r>
      <w:r w:rsidRPr="000A135E">
        <w:rPr>
          <w:szCs w:val="20"/>
        </w:rPr>
        <w:t xml:space="preserve">Wskaźnik </w:t>
      </w:r>
      <w:r w:rsidRPr="008B706B">
        <w:rPr>
          <w:i/>
          <w:szCs w:val="20"/>
        </w:rPr>
        <w:t>Całkowita długość przebudowanych lub zmodernizowanych dróg</w:t>
      </w:r>
      <w:r w:rsidRPr="000A135E">
        <w:rPr>
          <w:szCs w:val="20"/>
        </w:rPr>
        <w:t xml:space="preserve"> wykazano</w:t>
      </w:r>
      <w:r w:rsidR="00E66B89">
        <w:rPr>
          <w:szCs w:val="20"/>
        </w:rPr>
        <w:t xml:space="preserve"> w </w:t>
      </w:r>
      <w:r w:rsidRPr="000A135E">
        <w:rPr>
          <w:szCs w:val="20"/>
        </w:rPr>
        <w:t xml:space="preserve">zatwierdzonych </w:t>
      </w:r>
      <w:r>
        <w:rPr>
          <w:szCs w:val="20"/>
        </w:rPr>
        <w:t>WoP</w:t>
      </w:r>
      <w:r w:rsidR="00E66B89">
        <w:rPr>
          <w:szCs w:val="20"/>
        </w:rPr>
        <w:t xml:space="preserve"> w </w:t>
      </w:r>
      <w:r w:rsidRPr="000A135E">
        <w:rPr>
          <w:szCs w:val="20"/>
        </w:rPr>
        <w:t>wysokości 63,19 km wobec 50 km założonych</w:t>
      </w:r>
      <w:r w:rsidR="00E66B89">
        <w:rPr>
          <w:szCs w:val="20"/>
        </w:rPr>
        <w:t xml:space="preserve"> w </w:t>
      </w:r>
      <w:r w:rsidRPr="000A135E">
        <w:rPr>
          <w:szCs w:val="20"/>
        </w:rPr>
        <w:t>dokumencie programowym do osiągnięcia na dzień 31.12.2018 roku. Przekroczenie celu pośredniego</w:t>
      </w:r>
      <w:r w:rsidR="00E66B89">
        <w:rPr>
          <w:szCs w:val="20"/>
        </w:rPr>
        <w:t xml:space="preserve"> o </w:t>
      </w:r>
      <w:r w:rsidRPr="000A135E">
        <w:rPr>
          <w:szCs w:val="20"/>
        </w:rPr>
        <w:t>26,9% wynika</w:t>
      </w:r>
      <w:r w:rsidR="00E66B89">
        <w:rPr>
          <w:szCs w:val="20"/>
        </w:rPr>
        <w:t xml:space="preserve"> z </w:t>
      </w:r>
      <w:r w:rsidRPr="000A135E">
        <w:rPr>
          <w:szCs w:val="20"/>
        </w:rPr>
        <w:t>przyjęcia trybu pozakonkursowego dla wszystkich Działań,</w:t>
      </w:r>
      <w:r w:rsidR="00E66B89">
        <w:rPr>
          <w:szCs w:val="20"/>
        </w:rPr>
        <w:t xml:space="preserve"> w </w:t>
      </w:r>
      <w:r w:rsidRPr="000A135E">
        <w:rPr>
          <w:szCs w:val="20"/>
        </w:rPr>
        <w:t>których monitorowany jest przedmiotowy wskaźnik,</w:t>
      </w:r>
      <w:r w:rsidR="00E66B89">
        <w:rPr>
          <w:szCs w:val="20"/>
        </w:rPr>
        <w:t xml:space="preserve"> z </w:t>
      </w:r>
      <w:r w:rsidRPr="000A135E">
        <w:rPr>
          <w:szCs w:val="20"/>
        </w:rPr>
        <w:t>rzetelnego przygotowania dokumentacji projektowej</w:t>
      </w:r>
      <w:r w:rsidR="00E66B89">
        <w:rPr>
          <w:szCs w:val="20"/>
        </w:rPr>
        <w:t xml:space="preserve"> i </w:t>
      </w:r>
      <w:r w:rsidRPr="000A135E">
        <w:rPr>
          <w:szCs w:val="20"/>
        </w:rPr>
        <w:t>niezbędnych pozwoleń przez beneficjentów</w:t>
      </w:r>
      <w:r>
        <w:rPr>
          <w:szCs w:val="20"/>
        </w:rPr>
        <w:t xml:space="preserve"> oraz</w:t>
      </w:r>
      <w:r w:rsidR="00E66B89">
        <w:rPr>
          <w:szCs w:val="20"/>
        </w:rPr>
        <w:t xml:space="preserve"> z </w:t>
      </w:r>
      <w:r w:rsidRPr="000A135E">
        <w:rPr>
          <w:szCs w:val="20"/>
        </w:rPr>
        <w:t xml:space="preserve">terminowego wdrażania projektów </w:t>
      </w:r>
      <w:r w:rsidRPr="000A135E">
        <w:rPr>
          <w:szCs w:val="20"/>
        </w:rPr>
        <w:lastRenderedPageBreak/>
        <w:t>pozakonkursowych</w:t>
      </w:r>
      <w:r>
        <w:rPr>
          <w:szCs w:val="20"/>
        </w:rPr>
        <w:t xml:space="preserve"> -</w:t>
      </w:r>
      <w:r w:rsidRPr="000A135E">
        <w:rPr>
          <w:szCs w:val="20"/>
        </w:rPr>
        <w:t xml:space="preserve"> zgodnie</w:t>
      </w:r>
      <w:r w:rsidR="00E66B89">
        <w:rPr>
          <w:szCs w:val="20"/>
        </w:rPr>
        <w:t xml:space="preserve"> z </w:t>
      </w:r>
      <w:r w:rsidRPr="000A135E">
        <w:rPr>
          <w:szCs w:val="20"/>
        </w:rPr>
        <w:t>harmonogramem ustalonym</w:t>
      </w:r>
      <w:r w:rsidR="00E66B89">
        <w:rPr>
          <w:szCs w:val="20"/>
        </w:rPr>
        <w:t xml:space="preserve"> w </w:t>
      </w:r>
      <w:r w:rsidRPr="000A135E">
        <w:rPr>
          <w:szCs w:val="20"/>
        </w:rPr>
        <w:t>Wykazie zidentyfikowanych projektów pozakonkursowych. Projekty te realizowane są po niższym koszcie jednostkowym osiągania wskaźnika</w:t>
      </w:r>
      <w:r>
        <w:rPr>
          <w:szCs w:val="20"/>
        </w:rPr>
        <w:t xml:space="preserve">, </w:t>
      </w:r>
      <w:r w:rsidRPr="000A135E">
        <w:rPr>
          <w:szCs w:val="20"/>
        </w:rPr>
        <w:t xml:space="preserve">niż założony na etapie programowania (odpowiednio </w:t>
      </w:r>
      <w:r w:rsidRPr="000A135E">
        <w:rPr>
          <w:color w:val="000000"/>
          <w:szCs w:val="20"/>
        </w:rPr>
        <w:t>2 736 925,11 zł</w:t>
      </w:r>
      <w:r w:rsidR="00E66B89">
        <w:rPr>
          <w:color w:val="000000"/>
          <w:szCs w:val="20"/>
        </w:rPr>
        <w:t xml:space="preserve"> i </w:t>
      </w:r>
      <w:r w:rsidRPr="000A135E">
        <w:rPr>
          <w:color w:val="000000"/>
          <w:szCs w:val="20"/>
        </w:rPr>
        <w:t>2</w:t>
      </w:r>
      <w:r>
        <w:rPr>
          <w:color w:val="000000"/>
          <w:szCs w:val="20"/>
        </w:rPr>
        <w:t xml:space="preserve"> </w:t>
      </w:r>
      <w:r w:rsidRPr="000A135E">
        <w:rPr>
          <w:color w:val="000000"/>
          <w:szCs w:val="20"/>
        </w:rPr>
        <w:t>946</w:t>
      </w:r>
      <w:r>
        <w:rPr>
          <w:color w:val="000000"/>
          <w:szCs w:val="20"/>
        </w:rPr>
        <w:t xml:space="preserve"> </w:t>
      </w:r>
      <w:r w:rsidRPr="000A135E">
        <w:rPr>
          <w:color w:val="000000"/>
          <w:szCs w:val="20"/>
        </w:rPr>
        <w:t xml:space="preserve">834 zł). </w:t>
      </w:r>
      <w:r>
        <w:rPr>
          <w:color w:val="000000"/>
          <w:szCs w:val="20"/>
        </w:rPr>
        <w:t>Na podstawie zawartych do 07.01.2019 r. UoD można wskazać, że poziom osiągnięcia c</w:t>
      </w:r>
      <w:r w:rsidRPr="000A135E">
        <w:rPr>
          <w:color w:val="000000"/>
          <w:szCs w:val="20"/>
        </w:rPr>
        <w:t>el</w:t>
      </w:r>
      <w:r>
        <w:rPr>
          <w:color w:val="000000"/>
          <w:szCs w:val="20"/>
        </w:rPr>
        <w:t>u</w:t>
      </w:r>
      <w:r w:rsidRPr="000A135E">
        <w:rPr>
          <w:color w:val="000000"/>
          <w:szCs w:val="20"/>
        </w:rPr>
        <w:t xml:space="preserve"> końcow</w:t>
      </w:r>
      <w:r>
        <w:rPr>
          <w:color w:val="000000"/>
          <w:szCs w:val="20"/>
        </w:rPr>
        <w:t>ego</w:t>
      </w:r>
      <w:r w:rsidRPr="000A135E">
        <w:rPr>
          <w:color w:val="000000"/>
          <w:szCs w:val="20"/>
        </w:rPr>
        <w:t xml:space="preserve"> Ram Wykonania </w:t>
      </w:r>
      <w:r>
        <w:rPr>
          <w:color w:val="000000"/>
          <w:szCs w:val="20"/>
        </w:rPr>
        <w:t>wynosi już </w:t>
      </w:r>
      <w:r w:rsidRPr="000A135E">
        <w:rPr>
          <w:color w:val="000000"/>
          <w:szCs w:val="20"/>
        </w:rPr>
        <w:t>75,4%,</w:t>
      </w:r>
      <w:r w:rsidR="00E66B89">
        <w:rPr>
          <w:color w:val="000000"/>
          <w:szCs w:val="20"/>
        </w:rPr>
        <w:t xml:space="preserve"> a </w:t>
      </w:r>
      <w:r>
        <w:rPr>
          <w:color w:val="000000"/>
          <w:szCs w:val="20"/>
        </w:rPr>
        <w:t xml:space="preserve">na podstawie WoP widać, że cel </w:t>
      </w:r>
      <w:r w:rsidRPr="000A135E">
        <w:rPr>
          <w:color w:val="000000"/>
          <w:szCs w:val="20"/>
        </w:rPr>
        <w:t xml:space="preserve">został </w:t>
      </w:r>
      <w:r>
        <w:rPr>
          <w:color w:val="000000"/>
          <w:szCs w:val="20"/>
        </w:rPr>
        <w:t xml:space="preserve">już </w:t>
      </w:r>
      <w:r w:rsidRPr="000A135E">
        <w:rPr>
          <w:color w:val="000000"/>
          <w:szCs w:val="20"/>
        </w:rPr>
        <w:t>osiągnięty</w:t>
      </w:r>
      <w:r w:rsidR="00E66B89">
        <w:rPr>
          <w:color w:val="000000"/>
          <w:szCs w:val="20"/>
        </w:rPr>
        <w:t xml:space="preserve"> w </w:t>
      </w:r>
      <w:r w:rsidRPr="000A135E">
        <w:rPr>
          <w:color w:val="000000"/>
          <w:szCs w:val="20"/>
        </w:rPr>
        <w:t>35%</w:t>
      </w:r>
      <w:r>
        <w:rPr>
          <w:color w:val="000000"/>
          <w:szCs w:val="20"/>
        </w:rPr>
        <w:t xml:space="preserve"> -</w:t>
      </w:r>
      <w:r w:rsidRPr="000A135E">
        <w:rPr>
          <w:color w:val="000000"/>
          <w:szCs w:val="20"/>
        </w:rPr>
        <w:t xml:space="preserve"> co wskazuje na niskie ryzyko niezrealizowania</w:t>
      </w:r>
      <w:r>
        <w:rPr>
          <w:color w:val="000000"/>
          <w:szCs w:val="20"/>
        </w:rPr>
        <w:t xml:space="preserve"> 100% wartości docelowej,</w:t>
      </w:r>
      <w:r w:rsidRPr="000A135E">
        <w:rPr>
          <w:color w:val="000000"/>
          <w:szCs w:val="20"/>
        </w:rPr>
        <w:t xml:space="preserve"> przy zaangażowaniu </w:t>
      </w:r>
      <w:r w:rsidRPr="000A135E">
        <w:rPr>
          <w:szCs w:val="20"/>
        </w:rPr>
        <w:t xml:space="preserve">59,7% alokacji przeznaczonej na PI 7b. </w:t>
      </w:r>
    </w:p>
    <w:p w14:paraId="7891C564" w14:textId="77777777" w:rsidR="00EF2A15" w:rsidRPr="003A5DA0" w:rsidRDefault="00EF2A15" w:rsidP="00EF2A15">
      <w:pPr>
        <w:rPr>
          <w:szCs w:val="20"/>
        </w:rPr>
      </w:pPr>
      <w:r w:rsidRPr="000A135E">
        <w:rPr>
          <w:color w:val="000000"/>
          <w:szCs w:val="20"/>
        </w:rPr>
        <w:t xml:space="preserve">Na dzień 31.12.2018 roku wskaźnik Ram Wykonania </w:t>
      </w:r>
      <w:r w:rsidRPr="008B706B">
        <w:rPr>
          <w:i/>
          <w:color w:val="000000"/>
          <w:szCs w:val="20"/>
        </w:rPr>
        <w:t>Liczba zakupionych lub zmodernizowanych jednostek taboru kolejowego</w:t>
      </w:r>
      <w:r w:rsidRPr="000A135E">
        <w:rPr>
          <w:color w:val="000000"/>
          <w:szCs w:val="20"/>
        </w:rPr>
        <w:t xml:space="preserve"> wykazano</w:t>
      </w:r>
      <w:r w:rsidR="00E66B89">
        <w:rPr>
          <w:color w:val="000000"/>
          <w:szCs w:val="20"/>
        </w:rPr>
        <w:t xml:space="preserve"> w </w:t>
      </w:r>
      <w:r w:rsidRPr="000A135E">
        <w:rPr>
          <w:color w:val="000000"/>
          <w:szCs w:val="20"/>
        </w:rPr>
        <w:t xml:space="preserve">zatwierdzonych końcowych </w:t>
      </w:r>
      <w:r>
        <w:rPr>
          <w:color w:val="000000"/>
          <w:szCs w:val="20"/>
        </w:rPr>
        <w:t>WoP</w:t>
      </w:r>
      <w:r w:rsidR="00E66B89">
        <w:rPr>
          <w:color w:val="000000"/>
          <w:szCs w:val="20"/>
        </w:rPr>
        <w:t xml:space="preserve"> w </w:t>
      </w:r>
      <w:r w:rsidRPr="000A135E">
        <w:rPr>
          <w:color w:val="000000"/>
          <w:szCs w:val="20"/>
        </w:rPr>
        <w:t>wysokości 105 sztuk,</w:t>
      </w:r>
      <w:r>
        <w:rPr>
          <w:color w:val="000000"/>
          <w:szCs w:val="20"/>
        </w:rPr>
        <w:t xml:space="preserve"> co stanowiło </w:t>
      </w:r>
      <w:r w:rsidRPr="000A135E">
        <w:rPr>
          <w:color w:val="000000"/>
          <w:szCs w:val="20"/>
        </w:rPr>
        <w:t>525% wartości celu pośredniego. Tak znaczne przekroczenie wartości pośredniej wskaźnika wynika</w:t>
      </w:r>
      <w:r w:rsidR="00E66B89">
        <w:rPr>
          <w:color w:val="000000"/>
          <w:szCs w:val="20"/>
        </w:rPr>
        <w:t xml:space="preserve"> z </w:t>
      </w:r>
      <w:r w:rsidRPr="000A135E">
        <w:rPr>
          <w:color w:val="000000"/>
          <w:szCs w:val="20"/>
        </w:rPr>
        <w:t>przyjęcia innej, od ustalonej</w:t>
      </w:r>
      <w:r w:rsidR="00E66B89">
        <w:rPr>
          <w:color w:val="000000"/>
          <w:szCs w:val="20"/>
        </w:rPr>
        <w:t xml:space="preserve"> w </w:t>
      </w:r>
      <w:r w:rsidRPr="000A135E">
        <w:rPr>
          <w:color w:val="000000"/>
          <w:szCs w:val="20"/>
        </w:rPr>
        <w:t>okresie późniejszym, definicji wskaźnika oraz</w:t>
      </w:r>
      <w:r w:rsidR="00E66B89">
        <w:rPr>
          <w:color w:val="000000"/>
          <w:szCs w:val="20"/>
        </w:rPr>
        <w:t xml:space="preserve"> z </w:t>
      </w:r>
      <w:r w:rsidRPr="000A135E">
        <w:rPr>
          <w:color w:val="000000"/>
          <w:szCs w:val="20"/>
        </w:rPr>
        <w:t xml:space="preserve">metodologii </w:t>
      </w:r>
      <w:r>
        <w:rPr>
          <w:color w:val="000000"/>
          <w:szCs w:val="20"/>
        </w:rPr>
        <w:t xml:space="preserve">jego </w:t>
      </w:r>
      <w:r w:rsidRPr="000A135E">
        <w:rPr>
          <w:color w:val="000000"/>
          <w:szCs w:val="20"/>
        </w:rPr>
        <w:t>szacowania określonej na etapie programowania</w:t>
      </w:r>
      <w:r w:rsidRPr="000A135E">
        <w:rPr>
          <w:szCs w:val="20"/>
        </w:rPr>
        <w:t>.</w:t>
      </w:r>
      <w:r w:rsidR="00E66B89">
        <w:rPr>
          <w:szCs w:val="20"/>
        </w:rPr>
        <w:t xml:space="preserve"> W </w:t>
      </w:r>
      <w:r>
        <w:rPr>
          <w:szCs w:val="20"/>
        </w:rPr>
        <w:t>m</w:t>
      </w:r>
      <w:r w:rsidRPr="000A135E">
        <w:rPr>
          <w:szCs w:val="20"/>
        </w:rPr>
        <w:t>etodologii tej za jednostkę taboru kolejowego przyjęto 1 pojazd wieloczłonowy</w:t>
      </w:r>
      <w:r>
        <w:rPr>
          <w:szCs w:val="20"/>
        </w:rPr>
        <w:t>.</w:t>
      </w:r>
      <w:r w:rsidR="00E66B89">
        <w:rPr>
          <w:szCs w:val="20"/>
        </w:rPr>
        <w:t xml:space="preserve"> W </w:t>
      </w:r>
      <w:r w:rsidRPr="000A135E">
        <w:rPr>
          <w:szCs w:val="20"/>
        </w:rPr>
        <w:t>okresie późniejszym doprecyzowano jednak</w:t>
      </w:r>
      <w:r>
        <w:rPr>
          <w:szCs w:val="20"/>
        </w:rPr>
        <w:t xml:space="preserve"> </w:t>
      </w:r>
      <w:r w:rsidRPr="000A135E">
        <w:rPr>
          <w:szCs w:val="20"/>
        </w:rPr>
        <w:t>definicję wskaźnika jako 1 człon każdego zakupionego pojazdu kolejowego.</w:t>
      </w:r>
      <w:r w:rsidR="00E66B89">
        <w:rPr>
          <w:szCs w:val="20"/>
        </w:rPr>
        <w:t xml:space="preserve"> W </w:t>
      </w:r>
      <w:r w:rsidRPr="000A135E">
        <w:rPr>
          <w:szCs w:val="20"/>
        </w:rPr>
        <w:t>kolejnych latach wdrażania Programu dalsza kontraktacja przedmiotowego wskaźnika nie jest przewidywana. Cel końcowy Ram Wykonania zostanie więc osiągnięty</w:t>
      </w:r>
      <w:r w:rsidR="00E66B89">
        <w:rPr>
          <w:szCs w:val="20"/>
        </w:rPr>
        <w:t xml:space="preserve"> w </w:t>
      </w:r>
      <w:r w:rsidRPr="000A135E">
        <w:rPr>
          <w:szCs w:val="20"/>
        </w:rPr>
        <w:t>420%.</w:t>
      </w:r>
      <w:r>
        <w:rPr>
          <w:szCs w:val="20"/>
        </w:rPr>
        <w:t xml:space="preserve"> </w:t>
      </w:r>
      <w:r w:rsidRPr="008B706B">
        <w:rPr>
          <w:szCs w:val="20"/>
        </w:rPr>
        <w:t>Sugeruje</w:t>
      </w:r>
      <w:r w:rsidRPr="003A5DA0">
        <w:rPr>
          <w:szCs w:val="20"/>
        </w:rPr>
        <w:t xml:space="preserve"> się</w:t>
      </w:r>
      <w:r w:rsidRPr="008B706B">
        <w:rPr>
          <w:szCs w:val="20"/>
        </w:rPr>
        <w:t xml:space="preserve"> zatem</w:t>
      </w:r>
      <w:r w:rsidRPr="003A5DA0">
        <w:rPr>
          <w:szCs w:val="20"/>
        </w:rPr>
        <w:t xml:space="preserve"> dostosowanie wartości docelowej wskaźnika </w:t>
      </w:r>
      <w:r w:rsidRPr="00C22C26">
        <w:rPr>
          <w:i/>
          <w:szCs w:val="20"/>
        </w:rPr>
        <w:t>Liczba zakupionych lub zmodernizowanych jednostek taboru kolejowego</w:t>
      </w:r>
      <w:r w:rsidRPr="003A5DA0">
        <w:rPr>
          <w:szCs w:val="20"/>
        </w:rPr>
        <w:t xml:space="preserve"> do wartości wynikającej</w:t>
      </w:r>
      <w:r w:rsidR="00E66B89">
        <w:rPr>
          <w:szCs w:val="20"/>
        </w:rPr>
        <w:t xml:space="preserve"> z </w:t>
      </w:r>
      <w:r w:rsidRPr="003A5DA0">
        <w:rPr>
          <w:szCs w:val="20"/>
        </w:rPr>
        <w:t>podpisanej umowy, zgodnie</w:t>
      </w:r>
      <w:r w:rsidR="00E66B89">
        <w:rPr>
          <w:szCs w:val="20"/>
        </w:rPr>
        <w:t xml:space="preserve"> z </w:t>
      </w:r>
      <w:r w:rsidRPr="003A5DA0">
        <w:rPr>
          <w:szCs w:val="20"/>
        </w:rPr>
        <w:t>bieżącą definicją wskaźnika</w:t>
      </w:r>
      <w:r w:rsidRPr="008B706B">
        <w:rPr>
          <w:szCs w:val="20"/>
        </w:rPr>
        <w:t>.</w:t>
      </w:r>
    </w:p>
    <w:p w14:paraId="0B4E98A0" w14:textId="77777777" w:rsidR="00EF2A15" w:rsidRDefault="00EF2A15" w:rsidP="00EF2A15">
      <w:pPr>
        <w:rPr>
          <w:rFonts w:cs="Calibri"/>
          <w:color w:val="000000"/>
          <w:szCs w:val="20"/>
        </w:rPr>
      </w:pPr>
      <w:r w:rsidRPr="000A135E">
        <w:rPr>
          <w:szCs w:val="20"/>
        </w:rPr>
        <w:t>Wskaźnik finansowy również przekroczył cel pośredni Ram Wykonania, co wynika</w:t>
      </w:r>
      <w:r w:rsidR="00E66B89">
        <w:rPr>
          <w:szCs w:val="20"/>
        </w:rPr>
        <w:t xml:space="preserve"> z </w:t>
      </w:r>
      <w:r w:rsidRPr="000A135E">
        <w:rPr>
          <w:szCs w:val="20"/>
        </w:rPr>
        <w:t>przesunięcia</w:t>
      </w:r>
      <w:r>
        <w:rPr>
          <w:szCs w:val="20"/>
        </w:rPr>
        <w:t xml:space="preserve"> -</w:t>
      </w:r>
      <w:r w:rsidRPr="000A135E">
        <w:rPr>
          <w:szCs w:val="20"/>
        </w:rPr>
        <w:t xml:space="preserve"> zakładanej na etapie programowania </w:t>
      </w:r>
      <w:r>
        <w:rPr>
          <w:szCs w:val="20"/>
        </w:rPr>
        <w:t xml:space="preserve">- </w:t>
      </w:r>
      <w:r w:rsidRPr="000A135E">
        <w:rPr>
          <w:szCs w:val="20"/>
        </w:rPr>
        <w:t>kumulacji zamówień na rynku na lata 2017-2018,</w:t>
      </w:r>
      <w:r w:rsidR="00E66B89">
        <w:rPr>
          <w:szCs w:val="20"/>
        </w:rPr>
        <w:t xml:space="preserve"> a </w:t>
      </w:r>
      <w:r w:rsidRPr="000A135E">
        <w:rPr>
          <w:szCs w:val="20"/>
        </w:rPr>
        <w:t>więc po rozpoczęciu pierwszych in</w:t>
      </w:r>
      <w:r>
        <w:rPr>
          <w:szCs w:val="20"/>
        </w:rPr>
        <w:t>westycji</w:t>
      </w:r>
      <w:r w:rsidRPr="000A135E">
        <w:rPr>
          <w:szCs w:val="20"/>
        </w:rPr>
        <w:t xml:space="preserve"> transportu drogowego</w:t>
      </w:r>
      <w:r w:rsidR="00E66B89">
        <w:rPr>
          <w:szCs w:val="20"/>
        </w:rPr>
        <w:t xml:space="preserve"> i </w:t>
      </w:r>
      <w:r w:rsidRPr="000A135E">
        <w:rPr>
          <w:szCs w:val="20"/>
        </w:rPr>
        <w:t xml:space="preserve">kolejowego, generujących główny przyrost wskaźnika. </w:t>
      </w:r>
      <w:r w:rsidRPr="000A135E">
        <w:rPr>
          <w:rFonts w:cs="Calibri"/>
          <w:color w:val="000000"/>
          <w:szCs w:val="20"/>
        </w:rPr>
        <w:t xml:space="preserve">Cel końcowy Ram Wykonania mierzony wskaźnikiem finansowym wynosi </w:t>
      </w:r>
      <w:r w:rsidRPr="000A135E">
        <w:rPr>
          <w:szCs w:val="20"/>
        </w:rPr>
        <w:t>332 535 638 euro</w:t>
      </w:r>
      <w:r w:rsidRPr="000A135E">
        <w:rPr>
          <w:rFonts w:cs="Calibri"/>
          <w:color w:val="000000"/>
          <w:szCs w:val="20"/>
        </w:rPr>
        <w:t>.</w:t>
      </w:r>
      <w:r w:rsidR="00E66B89">
        <w:rPr>
          <w:rFonts w:cs="Calibri"/>
          <w:color w:val="000000"/>
          <w:szCs w:val="20"/>
        </w:rPr>
        <w:t xml:space="preserve"> W </w:t>
      </w:r>
      <w:r w:rsidRPr="000A135E">
        <w:rPr>
          <w:rFonts w:cs="Calibri"/>
          <w:color w:val="000000"/>
          <w:szCs w:val="20"/>
        </w:rPr>
        <w:t>zatwierdzonych wnioskach</w:t>
      </w:r>
      <w:r w:rsidR="00E66B89">
        <w:rPr>
          <w:rFonts w:cs="Calibri"/>
          <w:color w:val="000000"/>
          <w:szCs w:val="20"/>
        </w:rPr>
        <w:t xml:space="preserve"> o </w:t>
      </w:r>
      <w:r w:rsidRPr="000A135E">
        <w:rPr>
          <w:rFonts w:cs="Calibri"/>
          <w:color w:val="000000"/>
          <w:szCs w:val="20"/>
        </w:rPr>
        <w:t>płatność wykazano jego osiągnięcie</w:t>
      </w:r>
      <w:r w:rsidR="00E66B89">
        <w:rPr>
          <w:rFonts w:cs="Calibri"/>
          <w:color w:val="000000"/>
          <w:szCs w:val="20"/>
        </w:rPr>
        <w:t xml:space="preserve"> w </w:t>
      </w:r>
      <w:r w:rsidRPr="000A135E">
        <w:rPr>
          <w:rFonts w:cs="Calibri"/>
          <w:color w:val="000000"/>
          <w:szCs w:val="20"/>
        </w:rPr>
        <w:t>43,8% wartości docelowe</w:t>
      </w:r>
      <w:r>
        <w:rPr>
          <w:rFonts w:cs="Calibri"/>
          <w:color w:val="000000"/>
          <w:szCs w:val="20"/>
        </w:rPr>
        <w:t>j</w:t>
      </w:r>
      <w:r w:rsidRPr="000A135E">
        <w:rPr>
          <w:rFonts w:cs="Calibri"/>
          <w:color w:val="000000"/>
          <w:szCs w:val="20"/>
        </w:rPr>
        <w:t>.</w:t>
      </w:r>
      <w:r w:rsidR="00E66B89">
        <w:rPr>
          <w:rFonts w:cs="Calibri"/>
          <w:color w:val="000000"/>
          <w:szCs w:val="20"/>
        </w:rPr>
        <w:t xml:space="preserve"> W </w:t>
      </w:r>
      <w:r w:rsidRPr="000A135E">
        <w:rPr>
          <w:rFonts w:cs="Calibri"/>
          <w:color w:val="000000"/>
          <w:szCs w:val="20"/>
        </w:rPr>
        <w:t>zakontraktowanych projektach założono zaś jego osiągnięcie</w:t>
      </w:r>
      <w:r w:rsidR="00E66B89">
        <w:rPr>
          <w:rFonts w:cs="Calibri"/>
          <w:color w:val="000000"/>
          <w:szCs w:val="20"/>
        </w:rPr>
        <w:t xml:space="preserve"> w </w:t>
      </w:r>
      <w:r w:rsidRPr="000A135E">
        <w:rPr>
          <w:rFonts w:cs="Calibri"/>
          <w:color w:val="000000"/>
          <w:szCs w:val="20"/>
        </w:rPr>
        <w:t>wysokości stanowiącej 78% celu końcowego, proporcjonalnie do zakontraktowanej alokacji</w:t>
      </w:r>
      <w:r>
        <w:rPr>
          <w:rFonts w:cs="Calibri"/>
          <w:color w:val="000000"/>
          <w:szCs w:val="20"/>
        </w:rPr>
        <w:t>.</w:t>
      </w:r>
    </w:p>
    <w:p w14:paraId="6141D903" w14:textId="77777777" w:rsidR="00EF2A15" w:rsidRPr="000A135E" w:rsidRDefault="00EF2A15" w:rsidP="00754ED4">
      <w:pPr>
        <w:pStyle w:val="Legenda"/>
        <w:spacing w:after="0"/>
      </w:pPr>
      <w:bookmarkStart w:id="140" w:name="_Toc8824178"/>
      <w:r w:rsidRPr="000A135E">
        <w:t xml:space="preserve">Tabela </w:t>
      </w:r>
      <w:r>
        <w:fldChar w:fldCharType="begin"/>
      </w:r>
      <w:r>
        <w:instrText xml:space="preserve"> SEQ Tabela \* ARABIC </w:instrText>
      </w:r>
      <w:r>
        <w:fldChar w:fldCharType="separate"/>
      </w:r>
      <w:r w:rsidR="00763345">
        <w:rPr>
          <w:noProof/>
        </w:rPr>
        <w:t>67</w:t>
      </w:r>
      <w:r>
        <w:fldChar w:fldCharType="end"/>
      </w:r>
      <w:r w:rsidRPr="000A135E">
        <w:t xml:space="preserve"> Wskaźniki wybrane do Ram Wykonania – stopień osiągnięcia wartości pośrednich</w:t>
      </w:r>
      <w:r w:rsidR="00E66B89">
        <w:t xml:space="preserve"> i </w:t>
      </w:r>
      <w:r w:rsidRPr="000A135E">
        <w:t>docelowych – OP V Zrównoważony transport</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008"/>
        <w:gridCol w:w="1418"/>
        <w:gridCol w:w="843"/>
        <w:gridCol w:w="1049"/>
        <w:gridCol w:w="755"/>
        <w:gridCol w:w="983"/>
        <w:gridCol w:w="813"/>
        <w:gridCol w:w="851"/>
        <w:gridCol w:w="851"/>
      </w:tblGrid>
      <w:tr w:rsidR="00EF2A15" w:rsidRPr="0043138F" w14:paraId="6D4B9AE0" w14:textId="77777777" w:rsidTr="00EF2A15">
        <w:trPr>
          <w:tblHeader/>
        </w:trPr>
        <w:tc>
          <w:tcPr>
            <w:tcW w:w="259" w:type="pct"/>
            <w:shd w:val="clear" w:color="auto" w:fill="DBE5F1"/>
            <w:vAlign w:val="center"/>
          </w:tcPr>
          <w:p w14:paraId="362F2C58" w14:textId="77777777" w:rsidR="00EF2A15" w:rsidRPr="00404DA5" w:rsidRDefault="00EF2A15" w:rsidP="00EF2A15">
            <w:pPr>
              <w:keepNext/>
              <w:jc w:val="center"/>
              <w:rPr>
                <w:rFonts w:cs="Calibri"/>
                <w:sz w:val="18"/>
                <w:szCs w:val="20"/>
              </w:rPr>
            </w:pPr>
            <w:r w:rsidRPr="00404DA5">
              <w:rPr>
                <w:rFonts w:cs="Calibri"/>
                <w:sz w:val="18"/>
                <w:szCs w:val="20"/>
              </w:rPr>
              <w:t>PI</w:t>
            </w:r>
          </w:p>
        </w:tc>
        <w:tc>
          <w:tcPr>
            <w:tcW w:w="559" w:type="pct"/>
            <w:shd w:val="clear" w:color="auto" w:fill="DBE5F1"/>
            <w:vAlign w:val="center"/>
          </w:tcPr>
          <w:p w14:paraId="4AC50728" w14:textId="77777777" w:rsidR="00EF2A15" w:rsidRPr="00404DA5" w:rsidRDefault="00EF2A15" w:rsidP="00EF2A15">
            <w:pPr>
              <w:keepNext/>
              <w:jc w:val="center"/>
              <w:rPr>
                <w:rFonts w:cs="Calibri"/>
                <w:sz w:val="18"/>
                <w:szCs w:val="20"/>
              </w:rPr>
            </w:pPr>
            <w:r w:rsidRPr="00404DA5">
              <w:rPr>
                <w:rFonts w:cs="Calibri"/>
                <w:sz w:val="18"/>
                <w:szCs w:val="20"/>
              </w:rPr>
              <w:t>Typ wskaźnika</w:t>
            </w:r>
          </w:p>
        </w:tc>
        <w:tc>
          <w:tcPr>
            <w:tcW w:w="798" w:type="pct"/>
            <w:shd w:val="clear" w:color="auto" w:fill="DBE5F1"/>
            <w:vAlign w:val="center"/>
          </w:tcPr>
          <w:p w14:paraId="03B0658C" w14:textId="77777777" w:rsidR="00EF2A15" w:rsidRPr="00404DA5" w:rsidRDefault="00EF2A15" w:rsidP="00EF2A15">
            <w:pPr>
              <w:keepNext/>
              <w:jc w:val="center"/>
              <w:rPr>
                <w:rFonts w:cs="Calibri"/>
                <w:sz w:val="18"/>
                <w:szCs w:val="20"/>
              </w:rPr>
            </w:pPr>
            <w:r w:rsidRPr="00404DA5">
              <w:rPr>
                <w:rFonts w:cs="Calibri"/>
                <w:sz w:val="18"/>
                <w:szCs w:val="20"/>
              </w:rPr>
              <w:t>Wskaźnik lub KEW</w:t>
            </w:r>
          </w:p>
        </w:tc>
        <w:tc>
          <w:tcPr>
            <w:tcW w:w="463" w:type="pct"/>
            <w:shd w:val="clear" w:color="auto" w:fill="DBE5F1"/>
            <w:vAlign w:val="center"/>
          </w:tcPr>
          <w:p w14:paraId="2134616F" w14:textId="77777777" w:rsidR="00EF2A15" w:rsidRPr="00404DA5" w:rsidRDefault="00EF2A15" w:rsidP="00EF2A15">
            <w:pPr>
              <w:keepNext/>
              <w:jc w:val="center"/>
              <w:rPr>
                <w:rFonts w:cs="Calibri"/>
                <w:sz w:val="18"/>
                <w:szCs w:val="20"/>
              </w:rPr>
            </w:pPr>
            <w:r w:rsidRPr="00404DA5">
              <w:rPr>
                <w:rFonts w:cs="Calibri"/>
                <w:sz w:val="18"/>
                <w:szCs w:val="20"/>
              </w:rPr>
              <w:t>Jednostka pomiaru</w:t>
            </w:r>
          </w:p>
        </w:tc>
        <w:tc>
          <w:tcPr>
            <w:tcW w:w="583" w:type="pct"/>
            <w:shd w:val="clear" w:color="auto" w:fill="DBE5F1"/>
            <w:vAlign w:val="center"/>
          </w:tcPr>
          <w:p w14:paraId="718AB44A" w14:textId="77777777" w:rsidR="00EF2A15" w:rsidRPr="00404DA5" w:rsidRDefault="00EF2A15" w:rsidP="00EF2A15">
            <w:pPr>
              <w:keepNext/>
              <w:jc w:val="center"/>
              <w:rPr>
                <w:rFonts w:cs="Calibri"/>
                <w:sz w:val="18"/>
                <w:szCs w:val="20"/>
              </w:rPr>
            </w:pPr>
            <w:r w:rsidRPr="00B36AE5">
              <w:rPr>
                <w:rFonts w:cs="Calibri"/>
                <w:sz w:val="18"/>
                <w:szCs w:val="18"/>
              </w:rPr>
              <w:t>Wartość kumulatywna</w:t>
            </w:r>
          </w:p>
        </w:tc>
        <w:tc>
          <w:tcPr>
            <w:tcW w:w="412" w:type="pct"/>
            <w:shd w:val="clear" w:color="auto" w:fill="DBE5F1"/>
            <w:vAlign w:val="center"/>
          </w:tcPr>
          <w:p w14:paraId="71337A55" w14:textId="77777777" w:rsidR="00EF2A15" w:rsidRPr="00404DA5" w:rsidRDefault="00EF2A15" w:rsidP="00EF2A15">
            <w:pPr>
              <w:keepNext/>
              <w:jc w:val="center"/>
              <w:rPr>
                <w:rFonts w:cs="Calibri"/>
                <w:sz w:val="18"/>
                <w:szCs w:val="20"/>
              </w:rPr>
            </w:pPr>
            <w:r w:rsidRPr="00404DA5">
              <w:rPr>
                <w:rFonts w:cs="Calibri"/>
                <w:sz w:val="18"/>
                <w:szCs w:val="20"/>
              </w:rPr>
              <w:t>Cel pośredni na 2018 r.</w:t>
            </w:r>
          </w:p>
        </w:tc>
        <w:tc>
          <w:tcPr>
            <w:tcW w:w="545" w:type="pct"/>
            <w:shd w:val="clear" w:color="auto" w:fill="DBE5F1"/>
            <w:vAlign w:val="center"/>
          </w:tcPr>
          <w:p w14:paraId="5EE90E08" w14:textId="77777777" w:rsidR="00EF2A15" w:rsidRPr="00404DA5" w:rsidRDefault="00EF2A15" w:rsidP="00EF2A15">
            <w:pPr>
              <w:keepNext/>
              <w:jc w:val="center"/>
              <w:rPr>
                <w:rFonts w:cs="Calibri"/>
                <w:sz w:val="18"/>
                <w:szCs w:val="20"/>
              </w:rPr>
            </w:pPr>
            <w:r w:rsidRPr="00404DA5">
              <w:rPr>
                <w:rFonts w:cs="Calibri"/>
                <w:sz w:val="18"/>
                <w:szCs w:val="20"/>
              </w:rPr>
              <w:t>% realizacji celu pośredniego</w:t>
            </w:r>
          </w:p>
        </w:tc>
        <w:tc>
          <w:tcPr>
            <w:tcW w:w="446" w:type="pct"/>
            <w:shd w:val="clear" w:color="auto" w:fill="DBE5F1"/>
            <w:vAlign w:val="center"/>
          </w:tcPr>
          <w:p w14:paraId="2DCC2C30" w14:textId="77777777" w:rsidR="00EF2A15" w:rsidRPr="00404DA5" w:rsidRDefault="00EF2A15" w:rsidP="00EF2A15">
            <w:pPr>
              <w:keepNext/>
              <w:jc w:val="center"/>
              <w:rPr>
                <w:rFonts w:cs="Calibri"/>
                <w:sz w:val="18"/>
                <w:szCs w:val="20"/>
              </w:rPr>
            </w:pPr>
            <w:r w:rsidRPr="00404DA5">
              <w:rPr>
                <w:rFonts w:cs="Calibri"/>
                <w:sz w:val="18"/>
                <w:szCs w:val="20"/>
              </w:rPr>
              <w:t>Wartość docelowa na koniec 2023 r.</w:t>
            </w:r>
          </w:p>
        </w:tc>
        <w:tc>
          <w:tcPr>
            <w:tcW w:w="468" w:type="pct"/>
            <w:shd w:val="clear" w:color="auto" w:fill="DBE5F1"/>
            <w:vAlign w:val="center"/>
          </w:tcPr>
          <w:p w14:paraId="0CC7FAC4" w14:textId="77777777" w:rsidR="00EF2A15" w:rsidRPr="00404DA5" w:rsidRDefault="00EF2A15" w:rsidP="00EF2A15">
            <w:pPr>
              <w:keepNext/>
              <w:jc w:val="center"/>
              <w:rPr>
                <w:rFonts w:cs="Calibri"/>
                <w:sz w:val="18"/>
                <w:szCs w:val="20"/>
              </w:rPr>
            </w:pPr>
            <w:r w:rsidRPr="00404DA5">
              <w:rPr>
                <w:rFonts w:cs="Calibri"/>
                <w:sz w:val="18"/>
                <w:szCs w:val="20"/>
              </w:rPr>
              <w:t xml:space="preserve">% realizacji wartości docelowej </w:t>
            </w:r>
            <w:r w:rsidRPr="00E80CCE">
              <w:rPr>
                <w:sz w:val="18"/>
              </w:rPr>
              <w:t>wg WoP</w:t>
            </w:r>
          </w:p>
        </w:tc>
        <w:tc>
          <w:tcPr>
            <w:tcW w:w="468" w:type="pct"/>
            <w:shd w:val="clear" w:color="auto" w:fill="DBE5F1"/>
            <w:vAlign w:val="center"/>
          </w:tcPr>
          <w:p w14:paraId="6EEBF60F" w14:textId="77777777" w:rsidR="00EF2A15" w:rsidRPr="00404DA5" w:rsidRDefault="00EF2A15" w:rsidP="00EF2A15">
            <w:pPr>
              <w:keepNext/>
              <w:jc w:val="center"/>
              <w:rPr>
                <w:rFonts w:cs="Calibri"/>
                <w:sz w:val="18"/>
                <w:szCs w:val="20"/>
              </w:rPr>
            </w:pPr>
            <w:r w:rsidRPr="00404DA5">
              <w:rPr>
                <w:rFonts w:cs="Calibri"/>
                <w:sz w:val="18"/>
                <w:szCs w:val="20"/>
              </w:rPr>
              <w:t xml:space="preserve">% realizacji wartości docelowej </w:t>
            </w:r>
            <w:r w:rsidRPr="00E80CCE">
              <w:rPr>
                <w:sz w:val="18"/>
              </w:rPr>
              <w:t>wg UoD</w:t>
            </w:r>
          </w:p>
        </w:tc>
      </w:tr>
      <w:tr w:rsidR="00EF2A15" w:rsidRPr="0043138F" w14:paraId="0A264F0C" w14:textId="77777777" w:rsidTr="00EF2A15">
        <w:tc>
          <w:tcPr>
            <w:tcW w:w="259" w:type="pct"/>
            <w:shd w:val="clear" w:color="auto" w:fill="auto"/>
            <w:vAlign w:val="center"/>
          </w:tcPr>
          <w:p w14:paraId="08818647" w14:textId="77777777" w:rsidR="00EF2A15" w:rsidRPr="00404DA5" w:rsidRDefault="00EF2A15" w:rsidP="00EF2A15">
            <w:pPr>
              <w:jc w:val="center"/>
              <w:rPr>
                <w:rFonts w:cs="Calibri"/>
                <w:sz w:val="18"/>
                <w:szCs w:val="20"/>
              </w:rPr>
            </w:pPr>
            <w:r w:rsidRPr="00404DA5">
              <w:rPr>
                <w:rFonts w:cs="Calibri"/>
                <w:color w:val="000000"/>
                <w:sz w:val="18"/>
                <w:szCs w:val="20"/>
              </w:rPr>
              <w:t>07b</w:t>
            </w:r>
          </w:p>
        </w:tc>
        <w:tc>
          <w:tcPr>
            <w:tcW w:w="559" w:type="pct"/>
            <w:shd w:val="clear" w:color="auto" w:fill="auto"/>
            <w:vAlign w:val="center"/>
          </w:tcPr>
          <w:p w14:paraId="6C0911DB" w14:textId="77777777" w:rsidR="00EF2A15" w:rsidRPr="00404DA5" w:rsidRDefault="00EF2A15" w:rsidP="00EF2A15">
            <w:pPr>
              <w:jc w:val="center"/>
              <w:rPr>
                <w:rFonts w:cs="Calibri"/>
                <w:sz w:val="18"/>
                <w:szCs w:val="20"/>
              </w:rPr>
            </w:pPr>
            <w:r w:rsidRPr="00404DA5">
              <w:rPr>
                <w:rFonts w:cs="Calibri"/>
                <w:color w:val="000000"/>
                <w:sz w:val="18"/>
                <w:szCs w:val="20"/>
              </w:rPr>
              <w:t>wskaźnik produktu</w:t>
            </w:r>
          </w:p>
        </w:tc>
        <w:tc>
          <w:tcPr>
            <w:tcW w:w="798" w:type="pct"/>
            <w:shd w:val="clear" w:color="auto" w:fill="auto"/>
            <w:vAlign w:val="center"/>
          </w:tcPr>
          <w:p w14:paraId="32FEE403" w14:textId="77777777" w:rsidR="00EF2A15" w:rsidRPr="00404DA5" w:rsidRDefault="00EF2A15" w:rsidP="00EF2A15">
            <w:pPr>
              <w:jc w:val="center"/>
              <w:rPr>
                <w:rFonts w:cs="Calibri"/>
                <w:sz w:val="18"/>
                <w:szCs w:val="20"/>
              </w:rPr>
            </w:pPr>
            <w:r w:rsidRPr="00404DA5">
              <w:rPr>
                <w:rFonts w:cs="Calibri"/>
                <w:color w:val="000000"/>
                <w:sz w:val="18"/>
                <w:szCs w:val="20"/>
              </w:rPr>
              <w:t>Całkowita długość przebudowanych lub zmodernizowanych dróg (CI)</w:t>
            </w:r>
          </w:p>
        </w:tc>
        <w:tc>
          <w:tcPr>
            <w:tcW w:w="463" w:type="pct"/>
            <w:shd w:val="clear" w:color="auto" w:fill="auto"/>
            <w:vAlign w:val="center"/>
          </w:tcPr>
          <w:p w14:paraId="777E1ED4" w14:textId="77777777" w:rsidR="00EF2A15" w:rsidRPr="00404DA5" w:rsidRDefault="00EF2A15" w:rsidP="00EF2A15">
            <w:pPr>
              <w:jc w:val="center"/>
              <w:rPr>
                <w:rFonts w:eastAsia="Calibri" w:cs="Calibri"/>
                <w:sz w:val="18"/>
                <w:szCs w:val="20"/>
              </w:rPr>
            </w:pPr>
            <w:r w:rsidRPr="00404DA5">
              <w:rPr>
                <w:rFonts w:cs="Calibri"/>
                <w:color w:val="000000"/>
                <w:sz w:val="18"/>
                <w:szCs w:val="20"/>
              </w:rPr>
              <w:t>Km</w:t>
            </w:r>
          </w:p>
        </w:tc>
        <w:tc>
          <w:tcPr>
            <w:tcW w:w="583" w:type="pct"/>
            <w:vAlign w:val="center"/>
          </w:tcPr>
          <w:p w14:paraId="3C719FC1" w14:textId="77777777" w:rsidR="00EF2A15" w:rsidRPr="00404DA5" w:rsidRDefault="00EF2A15" w:rsidP="00EF2A15">
            <w:pPr>
              <w:jc w:val="center"/>
              <w:rPr>
                <w:rFonts w:cs="Calibri"/>
                <w:color w:val="000000"/>
                <w:sz w:val="18"/>
                <w:szCs w:val="20"/>
              </w:rPr>
            </w:pPr>
            <w:r w:rsidRPr="00B36AE5">
              <w:rPr>
                <w:rFonts w:cs="Calibri"/>
                <w:color w:val="000000"/>
                <w:sz w:val="18"/>
                <w:szCs w:val="18"/>
              </w:rPr>
              <w:t>63,19</w:t>
            </w:r>
          </w:p>
        </w:tc>
        <w:tc>
          <w:tcPr>
            <w:tcW w:w="412" w:type="pct"/>
            <w:shd w:val="clear" w:color="auto" w:fill="auto"/>
            <w:vAlign w:val="center"/>
          </w:tcPr>
          <w:p w14:paraId="6E0A88F3" w14:textId="77777777" w:rsidR="00EF2A15" w:rsidRPr="00404DA5" w:rsidRDefault="00EF2A15" w:rsidP="00EF2A15">
            <w:pPr>
              <w:jc w:val="center"/>
              <w:rPr>
                <w:rFonts w:eastAsia="Calibri" w:cs="Calibri"/>
                <w:sz w:val="18"/>
                <w:szCs w:val="20"/>
              </w:rPr>
            </w:pPr>
            <w:r w:rsidRPr="00404DA5">
              <w:rPr>
                <w:rFonts w:cs="Calibri"/>
                <w:color w:val="000000"/>
                <w:sz w:val="18"/>
                <w:szCs w:val="20"/>
              </w:rPr>
              <w:t>50</w:t>
            </w:r>
          </w:p>
        </w:tc>
        <w:tc>
          <w:tcPr>
            <w:tcW w:w="545" w:type="pct"/>
            <w:shd w:val="clear" w:color="auto" w:fill="auto"/>
            <w:vAlign w:val="center"/>
          </w:tcPr>
          <w:p w14:paraId="2534CA50" w14:textId="77777777" w:rsidR="00EF2A15" w:rsidRPr="00404DA5" w:rsidRDefault="00EF2A15" w:rsidP="00EF2A15">
            <w:pPr>
              <w:jc w:val="center"/>
              <w:rPr>
                <w:rFonts w:eastAsia="Calibri" w:cs="Calibri"/>
                <w:sz w:val="18"/>
                <w:szCs w:val="20"/>
              </w:rPr>
            </w:pPr>
            <w:r w:rsidRPr="00404DA5">
              <w:rPr>
                <w:rFonts w:cs="Calibri"/>
                <w:color w:val="000000"/>
                <w:sz w:val="18"/>
                <w:szCs w:val="20"/>
              </w:rPr>
              <w:t>126,38%</w:t>
            </w:r>
          </w:p>
        </w:tc>
        <w:tc>
          <w:tcPr>
            <w:tcW w:w="446" w:type="pct"/>
            <w:shd w:val="clear" w:color="auto" w:fill="auto"/>
            <w:vAlign w:val="center"/>
          </w:tcPr>
          <w:p w14:paraId="75423899" w14:textId="77777777" w:rsidR="00EF2A15" w:rsidRPr="00404DA5" w:rsidRDefault="00EF2A15" w:rsidP="00EF2A15">
            <w:pPr>
              <w:jc w:val="center"/>
              <w:rPr>
                <w:rFonts w:eastAsia="Calibri" w:cs="Calibri"/>
                <w:sz w:val="18"/>
                <w:szCs w:val="20"/>
              </w:rPr>
            </w:pPr>
            <w:r w:rsidRPr="00404DA5">
              <w:rPr>
                <w:rFonts w:cs="Calibri"/>
                <w:sz w:val="18"/>
                <w:szCs w:val="20"/>
              </w:rPr>
              <w:t>190</w:t>
            </w:r>
          </w:p>
        </w:tc>
        <w:tc>
          <w:tcPr>
            <w:tcW w:w="468" w:type="pct"/>
            <w:shd w:val="clear" w:color="auto" w:fill="auto"/>
            <w:vAlign w:val="center"/>
          </w:tcPr>
          <w:p w14:paraId="0882481C" w14:textId="77777777" w:rsidR="00EF2A15" w:rsidRPr="00404DA5" w:rsidRDefault="00EF2A15" w:rsidP="00EF2A15">
            <w:pPr>
              <w:jc w:val="center"/>
              <w:rPr>
                <w:rFonts w:eastAsia="Calibri" w:cs="Calibri"/>
                <w:sz w:val="18"/>
                <w:szCs w:val="20"/>
              </w:rPr>
            </w:pPr>
            <w:r w:rsidRPr="00404DA5">
              <w:rPr>
                <w:color w:val="000000"/>
                <w:sz w:val="18"/>
                <w:szCs w:val="20"/>
              </w:rPr>
              <w:t>35,3%</w:t>
            </w:r>
          </w:p>
        </w:tc>
        <w:tc>
          <w:tcPr>
            <w:tcW w:w="468" w:type="pct"/>
            <w:shd w:val="clear" w:color="auto" w:fill="auto"/>
            <w:vAlign w:val="center"/>
          </w:tcPr>
          <w:p w14:paraId="09151DD6" w14:textId="77777777" w:rsidR="00EF2A15" w:rsidRPr="00404DA5" w:rsidRDefault="00EF2A15" w:rsidP="00EF2A15">
            <w:pPr>
              <w:jc w:val="center"/>
              <w:rPr>
                <w:rFonts w:eastAsia="Calibri" w:cs="Calibri"/>
                <w:sz w:val="18"/>
                <w:szCs w:val="20"/>
              </w:rPr>
            </w:pPr>
            <w:r w:rsidRPr="00404DA5">
              <w:rPr>
                <w:color w:val="000000"/>
                <w:sz w:val="18"/>
                <w:szCs w:val="20"/>
              </w:rPr>
              <w:t>75,4%</w:t>
            </w:r>
          </w:p>
        </w:tc>
      </w:tr>
      <w:tr w:rsidR="00EF2A15" w:rsidRPr="0043138F" w14:paraId="1A6407F0" w14:textId="77777777" w:rsidTr="00EF2A15">
        <w:tc>
          <w:tcPr>
            <w:tcW w:w="259" w:type="pct"/>
            <w:shd w:val="clear" w:color="auto" w:fill="auto"/>
            <w:vAlign w:val="center"/>
          </w:tcPr>
          <w:p w14:paraId="7AB32A97" w14:textId="77777777" w:rsidR="00EF2A15" w:rsidRPr="00404DA5" w:rsidRDefault="00EF2A15" w:rsidP="00EF2A15">
            <w:pPr>
              <w:keepNext/>
              <w:jc w:val="center"/>
              <w:rPr>
                <w:rFonts w:cs="Calibri"/>
                <w:sz w:val="18"/>
                <w:szCs w:val="20"/>
              </w:rPr>
            </w:pPr>
            <w:r w:rsidRPr="00404DA5">
              <w:rPr>
                <w:rFonts w:cs="Calibri"/>
                <w:color w:val="000000"/>
                <w:sz w:val="18"/>
                <w:szCs w:val="20"/>
              </w:rPr>
              <w:lastRenderedPageBreak/>
              <w:t>07d</w:t>
            </w:r>
          </w:p>
        </w:tc>
        <w:tc>
          <w:tcPr>
            <w:tcW w:w="559" w:type="pct"/>
            <w:shd w:val="clear" w:color="auto" w:fill="auto"/>
            <w:vAlign w:val="center"/>
          </w:tcPr>
          <w:p w14:paraId="4675DBA4" w14:textId="77777777" w:rsidR="00EF2A15" w:rsidRPr="00404DA5" w:rsidRDefault="00EF2A15" w:rsidP="00EF2A15">
            <w:pPr>
              <w:keepNext/>
              <w:jc w:val="center"/>
              <w:rPr>
                <w:rFonts w:cs="Calibri"/>
                <w:sz w:val="18"/>
                <w:szCs w:val="20"/>
              </w:rPr>
            </w:pPr>
            <w:r w:rsidRPr="00404DA5">
              <w:rPr>
                <w:rFonts w:cs="Calibri"/>
                <w:color w:val="000000"/>
                <w:sz w:val="18"/>
                <w:szCs w:val="20"/>
              </w:rPr>
              <w:t>wskaźnik produktu</w:t>
            </w:r>
          </w:p>
        </w:tc>
        <w:tc>
          <w:tcPr>
            <w:tcW w:w="798" w:type="pct"/>
            <w:shd w:val="clear" w:color="auto" w:fill="auto"/>
            <w:vAlign w:val="center"/>
          </w:tcPr>
          <w:p w14:paraId="3277F4ED" w14:textId="77777777" w:rsidR="00EF2A15" w:rsidRPr="00404DA5" w:rsidRDefault="00EF2A15" w:rsidP="00EF2A15">
            <w:pPr>
              <w:keepNext/>
              <w:jc w:val="center"/>
              <w:rPr>
                <w:rFonts w:cs="Calibri"/>
                <w:sz w:val="18"/>
                <w:szCs w:val="20"/>
              </w:rPr>
            </w:pPr>
            <w:r w:rsidRPr="00404DA5">
              <w:rPr>
                <w:rFonts w:cs="Calibri"/>
                <w:color w:val="000000"/>
                <w:sz w:val="18"/>
                <w:szCs w:val="20"/>
              </w:rPr>
              <w:t>Liczba zakupionych lub zmodernizowanych jednostek taboru kolejowego</w:t>
            </w:r>
          </w:p>
        </w:tc>
        <w:tc>
          <w:tcPr>
            <w:tcW w:w="463" w:type="pct"/>
            <w:shd w:val="clear" w:color="auto" w:fill="auto"/>
            <w:vAlign w:val="center"/>
          </w:tcPr>
          <w:p w14:paraId="3EFBF37A" w14:textId="77777777" w:rsidR="00EF2A15" w:rsidRPr="00404DA5" w:rsidRDefault="00EF2A15" w:rsidP="00EF2A15">
            <w:pPr>
              <w:jc w:val="center"/>
              <w:rPr>
                <w:rFonts w:eastAsia="Calibri" w:cs="Calibri"/>
                <w:sz w:val="18"/>
                <w:szCs w:val="20"/>
              </w:rPr>
            </w:pPr>
            <w:r w:rsidRPr="00404DA5">
              <w:rPr>
                <w:rFonts w:cs="Calibri"/>
                <w:color w:val="000000"/>
                <w:sz w:val="18"/>
                <w:szCs w:val="20"/>
              </w:rPr>
              <w:t>szt.</w:t>
            </w:r>
          </w:p>
        </w:tc>
        <w:tc>
          <w:tcPr>
            <w:tcW w:w="583" w:type="pct"/>
            <w:vAlign w:val="center"/>
          </w:tcPr>
          <w:p w14:paraId="62B85ED1" w14:textId="77777777" w:rsidR="00EF2A15" w:rsidRPr="00404DA5" w:rsidRDefault="00EF2A15" w:rsidP="00EF2A15">
            <w:pPr>
              <w:jc w:val="center"/>
              <w:rPr>
                <w:rFonts w:cs="Calibri"/>
                <w:color w:val="000000"/>
                <w:sz w:val="18"/>
                <w:szCs w:val="20"/>
              </w:rPr>
            </w:pPr>
            <w:r w:rsidRPr="00B36AE5">
              <w:rPr>
                <w:rFonts w:cs="Calibri"/>
                <w:color w:val="000000"/>
                <w:sz w:val="18"/>
                <w:szCs w:val="18"/>
              </w:rPr>
              <w:t>105</w:t>
            </w:r>
          </w:p>
        </w:tc>
        <w:tc>
          <w:tcPr>
            <w:tcW w:w="412" w:type="pct"/>
            <w:shd w:val="clear" w:color="auto" w:fill="auto"/>
            <w:vAlign w:val="center"/>
          </w:tcPr>
          <w:p w14:paraId="561A6D6A" w14:textId="77777777" w:rsidR="00EF2A15" w:rsidRPr="00404DA5" w:rsidRDefault="00EF2A15" w:rsidP="00EF2A15">
            <w:pPr>
              <w:jc w:val="center"/>
              <w:rPr>
                <w:rFonts w:eastAsia="Calibri" w:cs="Calibri"/>
                <w:sz w:val="18"/>
                <w:szCs w:val="20"/>
              </w:rPr>
            </w:pPr>
            <w:r w:rsidRPr="00404DA5">
              <w:rPr>
                <w:rFonts w:cs="Calibri"/>
                <w:color w:val="000000"/>
                <w:sz w:val="18"/>
                <w:szCs w:val="20"/>
              </w:rPr>
              <w:t>20</w:t>
            </w:r>
          </w:p>
        </w:tc>
        <w:tc>
          <w:tcPr>
            <w:tcW w:w="545" w:type="pct"/>
            <w:shd w:val="clear" w:color="auto" w:fill="auto"/>
            <w:vAlign w:val="center"/>
          </w:tcPr>
          <w:p w14:paraId="4EE44E27" w14:textId="77777777" w:rsidR="00EF2A15" w:rsidRPr="00404DA5" w:rsidRDefault="00EF2A15" w:rsidP="00EF2A15">
            <w:pPr>
              <w:jc w:val="center"/>
              <w:rPr>
                <w:rFonts w:eastAsia="Calibri" w:cs="Calibri"/>
                <w:sz w:val="18"/>
                <w:szCs w:val="20"/>
              </w:rPr>
            </w:pPr>
            <w:r w:rsidRPr="00404DA5">
              <w:rPr>
                <w:rFonts w:cs="Calibri"/>
                <w:color w:val="000000"/>
                <w:sz w:val="18"/>
                <w:szCs w:val="20"/>
              </w:rPr>
              <w:t>525,00%</w:t>
            </w:r>
          </w:p>
        </w:tc>
        <w:tc>
          <w:tcPr>
            <w:tcW w:w="446" w:type="pct"/>
            <w:shd w:val="clear" w:color="auto" w:fill="auto"/>
            <w:vAlign w:val="center"/>
          </w:tcPr>
          <w:p w14:paraId="2797156C" w14:textId="77777777" w:rsidR="00EF2A15" w:rsidRPr="00404DA5" w:rsidRDefault="00EF2A15" w:rsidP="00EF2A15">
            <w:pPr>
              <w:jc w:val="center"/>
              <w:rPr>
                <w:rFonts w:eastAsia="Calibri" w:cs="Calibri"/>
                <w:sz w:val="18"/>
                <w:szCs w:val="20"/>
              </w:rPr>
            </w:pPr>
            <w:r w:rsidRPr="00404DA5">
              <w:rPr>
                <w:rFonts w:cs="Calibri"/>
                <w:sz w:val="18"/>
                <w:szCs w:val="20"/>
              </w:rPr>
              <w:t>25</w:t>
            </w:r>
          </w:p>
        </w:tc>
        <w:tc>
          <w:tcPr>
            <w:tcW w:w="468" w:type="pct"/>
            <w:shd w:val="clear" w:color="auto" w:fill="auto"/>
            <w:vAlign w:val="center"/>
          </w:tcPr>
          <w:p w14:paraId="6A1D8F3F" w14:textId="77777777" w:rsidR="00EF2A15" w:rsidRPr="00404DA5" w:rsidRDefault="00EF2A15" w:rsidP="00EF2A15">
            <w:pPr>
              <w:jc w:val="center"/>
              <w:rPr>
                <w:rFonts w:eastAsia="Calibri" w:cs="Calibri"/>
                <w:sz w:val="18"/>
                <w:szCs w:val="20"/>
              </w:rPr>
            </w:pPr>
            <w:r w:rsidRPr="00404DA5">
              <w:rPr>
                <w:color w:val="000000"/>
                <w:sz w:val="18"/>
                <w:szCs w:val="20"/>
              </w:rPr>
              <w:t>420,0%</w:t>
            </w:r>
          </w:p>
        </w:tc>
        <w:tc>
          <w:tcPr>
            <w:tcW w:w="468" w:type="pct"/>
            <w:shd w:val="clear" w:color="auto" w:fill="auto"/>
            <w:vAlign w:val="center"/>
          </w:tcPr>
          <w:p w14:paraId="0B0D5AE0" w14:textId="77777777" w:rsidR="00EF2A15" w:rsidRPr="00404DA5" w:rsidRDefault="00EF2A15" w:rsidP="00EF2A15">
            <w:pPr>
              <w:jc w:val="center"/>
              <w:rPr>
                <w:rFonts w:eastAsia="Calibri" w:cs="Calibri"/>
                <w:sz w:val="18"/>
                <w:szCs w:val="20"/>
              </w:rPr>
            </w:pPr>
            <w:r w:rsidRPr="00404DA5">
              <w:rPr>
                <w:color w:val="000000"/>
                <w:sz w:val="18"/>
                <w:szCs w:val="20"/>
              </w:rPr>
              <w:t>420,0%</w:t>
            </w:r>
          </w:p>
        </w:tc>
      </w:tr>
      <w:tr w:rsidR="00EF2A15" w:rsidRPr="0043138F" w14:paraId="00FD1E98" w14:textId="77777777" w:rsidTr="00EF2A15">
        <w:tc>
          <w:tcPr>
            <w:tcW w:w="259" w:type="pct"/>
            <w:shd w:val="clear" w:color="auto" w:fill="auto"/>
            <w:vAlign w:val="center"/>
          </w:tcPr>
          <w:p w14:paraId="0A913D62" w14:textId="77777777" w:rsidR="00EF2A15" w:rsidRPr="00404DA5" w:rsidRDefault="00EF2A15" w:rsidP="00EF2A15">
            <w:pPr>
              <w:jc w:val="center"/>
              <w:rPr>
                <w:rFonts w:cs="Calibri"/>
                <w:sz w:val="18"/>
                <w:szCs w:val="20"/>
              </w:rPr>
            </w:pPr>
            <w:r w:rsidRPr="00404DA5">
              <w:rPr>
                <w:rFonts w:cs="Calibri"/>
                <w:color w:val="000000"/>
                <w:sz w:val="18"/>
                <w:szCs w:val="20"/>
              </w:rPr>
              <w:t>07b, 07c, 07d</w:t>
            </w:r>
          </w:p>
        </w:tc>
        <w:tc>
          <w:tcPr>
            <w:tcW w:w="559" w:type="pct"/>
            <w:shd w:val="clear" w:color="auto" w:fill="auto"/>
            <w:vAlign w:val="center"/>
          </w:tcPr>
          <w:p w14:paraId="00EC9F1D" w14:textId="77777777" w:rsidR="00EF2A15" w:rsidRPr="00404DA5" w:rsidRDefault="00EF2A15" w:rsidP="00EF2A15">
            <w:pPr>
              <w:jc w:val="center"/>
              <w:rPr>
                <w:rFonts w:cs="Calibri"/>
                <w:sz w:val="18"/>
                <w:szCs w:val="20"/>
              </w:rPr>
            </w:pPr>
            <w:r w:rsidRPr="00404DA5">
              <w:rPr>
                <w:rFonts w:cs="Calibri"/>
                <w:color w:val="000000"/>
                <w:sz w:val="18"/>
                <w:szCs w:val="20"/>
              </w:rPr>
              <w:t>wskaźnik postępu finansowego</w:t>
            </w:r>
          </w:p>
        </w:tc>
        <w:tc>
          <w:tcPr>
            <w:tcW w:w="798" w:type="pct"/>
            <w:shd w:val="clear" w:color="auto" w:fill="auto"/>
            <w:vAlign w:val="center"/>
          </w:tcPr>
          <w:p w14:paraId="10A0CC18" w14:textId="77777777" w:rsidR="00EF2A15" w:rsidRPr="00404DA5" w:rsidRDefault="00EF2A15" w:rsidP="00EF2A15">
            <w:pPr>
              <w:jc w:val="center"/>
              <w:rPr>
                <w:rFonts w:cs="Calibri"/>
                <w:sz w:val="18"/>
                <w:szCs w:val="20"/>
              </w:rPr>
            </w:pPr>
            <w:r w:rsidRPr="00404DA5">
              <w:rPr>
                <w:rFonts w:cs="Calibri"/>
                <w:color w:val="000000"/>
                <w:sz w:val="18"/>
                <w:szCs w:val="20"/>
              </w:rPr>
              <w:t>Całkowita kwota certyfikowanych wydatków kwalifikowanych</w:t>
            </w:r>
          </w:p>
        </w:tc>
        <w:tc>
          <w:tcPr>
            <w:tcW w:w="463" w:type="pct"/>
            <w:shd w:val="clear" w:color="auto" w:fill="auto"/>
            <w:vAlign w:val="center"/>
          </w:tcPr>
          <w:p w14:paraId="03C25CD0" w14:textId="77777777" w:rsidR="00EF2A15" w:rsidRPr="00404DA5" w:rsidRDefault="00EF2A15" w:rsidP="00EF2A15">
            <w:pPr>
              <w:jc w:val="center"/>
              <w:rPr>
                <w:rFonts w:cs="Calibri"/>
                <w:sz w:val="18"/>
                <w:szCs w:val="20"/>
              </w:rPr>
            </w:pPr>
            <w:r w:rsidRPr="00404DA5">
              <w:rPr>
                <w:rFonts w:cs="Calibri"/>
                <w:color w:val="000000"/>
                <w:sz w:val="18"/>
                <w:szCs w:val="20"/>
              </w:rPr>
              <w:t>EUR</w:t>
            </w:r>
          </w:p>
        </w:tc>
        <w:tc>
          <w:tcPr>
            <w:tcW w:w="583" w:type="pct"/>
            <w:vAlign w:val="center"/>
          </w:tcPr>
          <w:p w14:paraId="526F36FE" w14:textId="77777777" w:rsidR="00EF2A15" w:rsidRPr="00404DA5" w:rsidRDefault="00EF2A15" w:rsidP="00EF2A15">
            <w:pPr>
              <w:jc w:val="center"/>
              <w:rPr>
                <w:rFonts w:cs="Calibri"/>
                <w:color w:val="000000"/>
                <w:sz w:val="18"/>
                <w:szCs w:val="20"/>
              </w:rPr>
            </w:pPr>
            <w:r w:rsidRPr="00B36AE5">
              <w:rPr>
                <w:rFonts w:cs="Calibri"/>
                <w:color w:val="000000"/>
                <w:sz w:val="18"/>
                <w:szCs w:val="18"/>
              </w:rPr>
              <w:t>145 701 402</w:t>
            </w:r>
          </w:p>
        </w:tc>
        <w:tc>
          <w:tcPr>
            <w:tcW w:w="412" w:type="pct"/>
            <w:shd w:val="clear" w:color="auto" w:fill="auto"/>
            <w:vAlign w:val="center"/>
          </w:tcPr>
          <w:p w14:paraId="0F9DA2E7" w14:textId="77777777" w:rsidR="00EF2A15" w:rsidRPr="00404DA5" w:rsidRDefault="00EF2A15" w:rsidP="00EF2A15">
            <w:pPr>
              <w:jc w:val="center"/>
              <w:rPr>
                <w:rFonts w:cs="Calibri"/>
                <w:sz w:val="18"/>
                <w:szCs w:val="20"/>
              </w:rPr>
            </w:pPr>
            <w:r w:rsidRPr="00404DA5">
              <w:rPr>
                <w:rFonts w:cs="Calibri"/>
                <w:color w:val="000000"/>
                <w:sz w:val="18"/>
                <w:szCs w:val="20"/>
              </w:rPr>
              <w:t>57 864 090</w:t>
            </w:r>
          </w:p>
        </w:tc>
        <w:tc>
          <w:tcPr>
            <w:tcW w:w="545" w:type="pct"/>
            <w:shd w:val="clear" w:color="auto" w:fill="auto"/>
            <w:vAlign w:val="center"/>
          </w:tcPr>
          <w:p w14:paraId="2D7F3403" w14:textId="77777777" w:rsidR="00EF2A15" w:rsidRPr="00404DA5" w:rsidRDefault="00EF2A15" w:rsidP="00EF2A15">
            <w:pPr>
              <w:jc w:val="center"/>
              <w:rPr>
                <w:rFonts w:cs="Calibri"/>
                <w:sz w:val="18"/>
                <w:szCs w:val="20"/>
              </w:rPr>
            </w:pPr>
            <w:r w:rsidRPr="00404DA5">
              <w:rPr>
                <w:rFonts w:cs="Calibri"/>
                <w:color w:val="000000"/>
                <w:sz w:val="18"/>
                <w:szCs w:val="20"/>
              </w:rPr>
              <w:t>251,80%</w:t>
            </w:r>
          </w:p>
        </w:tc>
        <w:tc>
          <w:tcPr>
            <w:tcW w:w="446" w:type="pct"/>
            <w:shd w:val="clear" w:color="auto" w:fill="auto"/>
            <w:vAlign w:val="center"/>
          </w:tcPr>
          <w:p w14:paraId="03FB247F" w14:textId="77777777" w:rsidR="00EF2A15" w:rsidRPr="00404DA5" w:rsidRDefault="00EF2A15" w:rsidP="00EF2A15">
            <w:pPr>
              <w:jc w:val="center"/>
              <w:rPr>
                <w:rFonts w:cs="Calibri"/>
                <w:sz w:val="18"/>
                <w:szCs w:val="20"/>
              </w:rPr>
            </w:pPr>
            <w:r w:rsidRPr="00404DA5">
              <w:rPr>
                <w:sz w:val="18"/>
                <w:szCs w:val="20"/>
              </w:rPr>
              <w:t>332 535 638</w:t>
            </w:r>
          </w:p>
        </w:tc>
        <w:tc>
          <w:tcPr>
            <w:tcW w:w="468" w:type="pct"/>
            <w:shd w:val="clear" w:color="auto" w:fill="auto"/>
            <w:vAlign w:val="center"/>
          </w:tcPr>
          <w:p w14:paraId="54B3C19A" w14:textId="77777777" w:rsidR="00EF2A15" w:rsidRPr="00404DA5" w:rsidRDefault="00EF2A15" w:rsidP="00EF2A15">
            <w:pPr>
              <w:jc w:val="center"/>
              <w:rPr>
                <w:rFonts w:cs="Calibri"/>
                <w:sz w:val="18"/>
                <w:szCs w:val="20"/>
              </w:rPr>
            </w:pPr>
            <w:r w:rsidRPr="00404DA5">
              <w:rPr>
                <w:rFonts w:cs="Calibri"/>
                <w:sz w:val="18"/>
                <w:szCs w:val="20"/>
              </w:rPr>
              <w:t>43,8%</w:t>
            </w:r>
          </w:p>
        </w:tc>
        <w:tc>
          <w:tcPr>
            <w:tcW w:w="468" w:type="pct"/>
            <w:shd w:val="clear" w:color="auto" w:fill="auto"/>
            <w:vAlign w:val="center"/>
          </w:tcPr>
          <w:p w14:paraId="0F1703E5" w14:textId="77777777" w:rsidR="00EF2A15" w:rsidRPr="00404DA5" w:rsidRDefault="00EF2A15" w:rsidP="00EF2A15">
            <w:pPr>
              <w:jc w:val="center"/>
              <w:rPr>
                <w:rFonts w:cs="Calibri"/>
                <w:sz w:val="18"/>
                <w:szCs w:val="20"/>
              </w:rPr>
            </w:pPr>
            <w:r w:rsidRPr="00404DA5">
              <w:rPr>
                <w:rFonts w:cs="Calibri"/>
                <w:sz w:val="18"/>
                <w:szCs w:val="20"/>
              </w:rPr>
              <w:t>7</w:t>
            </w:r>
            <w:r>
              <w:rPr>
                <w:rFonts w:cs="Calibri"/>
                <w:sz w:val="18"/>
                <w:szCs w:val="20"/>
              </w:rPr>
              <w:t>7,9</w:t>
            </w:r>
            <w:r w:rsidRPr="00404DA5">
              <w:rPr>
                <w:rFonts w:cs="Calibri"/>
                <w:sz w:val="18"/>
                <w:szCs w:val="20"/>
              </w:rPr>
              <w:t>%</w:t>
            </w:r>
          </w:p>
        </w:tc>
      </w:tr>
    </w:tbl>
    <w:p w14:paraId="098B5BC1"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informacja kwartalna za IV kw. 2018 r., obliczenia % realizacji wartości docelowej RW na podstawie danych SL2014</w:t>
      </w:r>
      <w:r w:rsidR="00E66B89" w:rsidRPr="00EE66C6">
        <w:rPr>
          <w:i/>
          <w:sz w:val="18"/>
          <w:szCs w:val="20"/>
        </w:rPr>
        <w:t xml:space="preserve"> z </w:t>
      </w:r>
      <w:r w:rsidRPr="00EE66C6">
        <w:rPr>
          <w:i/>
          <w:sz w:val="18"/>
          <w:szCs w:val="20"/>
        </w:rPr>
        <w:t>dnia 07.01.2019 r.</w:t>
      </w:r>
    </w:p>
    <w:p w14:paraId="424BA6DF" w14:textId="77777777" w:rsidR="00EF2A15" w:rsidRPr="000A135E" w:rsidRDefault="00EF2A15" w:rsidP="00EF2A15">
      <w:pPr>
        <w:pStyle w:val="Nagwek3"/>
      </w:pPr>
      <w:r w:rsidRPr="000A135E">
        <w:t>Priorytet inwestycyjny PI 7b (Działania 5.1, 5.2., 5.3., 5.4.)</w:t>
      </w:r>
    </w:p>
    <w:p w14:paraId="6B4DA159"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Ocena postępów</w:t>
      </w:r>
      <w:r w:rsidR="00E66B89">
        <w:rPr>
          <w:rFonts w:ascii="Lato" w:eastAsia="Calibri" w:hAnsi="Lato"/>
          <w:szCs w:val="20"/>
        </w:rPr>
        <w:t xml:space="preserve"> w </w:t>
      </w:r>
      <w:r w:rsidRPr="000A135E">
        <w:rPr>
          <w:rFonts w:ascii="Lato" w:eastAsia="Calibri" w:hAnsi="Lato"/>
          <w:szCs w:val="20"/>
        </w:rPr>
        <w:t xml:space="preserve">realizacji PI </w:t>
      </w:r>
    </w:p>
    <w:p w14:paraId="1C33BDE2" w14:textId="77777777" w:rsidR="00EF2A15" w:rsidRPr="000A135E" w:rsidRDefault="00EF2A15" w:rsidP="00EF2A15">
      <w:pPr>
        <w:rPr>
          <w:szCs w:val="20"/>
        </w:rPr>
      </w:pPr>
      <w:r w:rsidRPr="000A135E">
        <w:rPr>
          <w:szCs w:val="20"/>
        </w:rPr>
        <w:t xml:space="preserve">Priorytet Inwestycyjny 7b </w:t>
      </w:r>
      <w:r w:rsidRPr="00C22C26">
        <w:rPr>
          <w:i/>
          <w:szCs w:val="20"/>
        </w:rPr>
        <w:t>Infrastruktura drogowa</w:t>
      </w:r>
      <w:r w:rsidRPr="000A135E">
        <w:rPr>
          <w:szCs w:val="20"/>
        </w:rPr>
        <w:t xml:space="preserve"> realizowany jest</w:t>
      </w:r>
      <w:r w:rsidR="00E66B89">
        <w:rPr>
          <w:szCs w:val="20"/>
        </w:rPr>
        <w:t xml:space="preserve"> w </w:t>
      </w:r>
      <w:r w:rsidRPr="000A135E">
        <w:rPr>
          <w:szCs w:val="20"/>
        </w:rPr>
        <w:t xml:space="preserve">ramach </w:t>
      </w:r>
      <w:r>
        <w:rPr>
          <w:szCs w:val="20"/>
        </w:rPr>
        <w:t>czterech</w:t>
      </w:r>
      <w:r w:rsidRPr="000A135E">
        <w:rPr>
          <w:szCs w:val="20"/>
        </w:rPr>
        <w:t xml:space="preserve"> Działań: Działanie 5.1 </w:t>
      </w:r>
      <w:r w:rsidRPr="008B706B">
        <w:rPr>
          <w:i/>
          <w:szCs w:val="20"/>
        </w:rPr>
        <w:t>Budowa</w:t>
      </w:r>
      <w:r w:rsidR="00E66B89">
        <w:rPr>
          <w:i/>
          <w:szCs w:val="20"/>
        </w:rPr>
        <w:t xml:space="preserve"> i </w:t>
      </w:r>
      <w:r w:rsidRPr="008B706B">
        <w:rPr>
          <w:i/>
          <w:szCs w:val="20"/>
        </w:rPr>
        <w:t>przebudowa dróg regionalnych (wojewódzkich)</w:t>
      </w:r>
      <w:r w:rsidRPr="000A135E">
        <w:rPr>
          <w:szCs w:val="20"/>
        </w:rPr>
        <w:t xml:space="preserve">, Działanie 5.2 </w:t>
      </w:r>
      <w:r w:rsidRPr="008B706B">
        <w:rPr>
          <w:i/>
          <w:szCs w:val="20"/>
        </w:rPr>
        <w:t>Budowa</w:t>
      </w:r>
      <w:r w:rsidR="00E66B89">
        <w:rPr>
          <w:i/>
          <w:szCs w:val="20"/>
        </w:rPr>
        <w:t xml:space="preserve"> i </w:t>
      </w:r>
      <w:r w:rsidRPr="008B706B">
        <w:rPr>
          <w:i/>
          <w:szCs w:val="20"/>
        </w:rPr>
        <w:t>przebudowa dróg lokalnych (gminnych</w:t>
      </w:r>
      <w:r w:rsidR="00E66B89">
        <w:rPr>
          <w:i/>
          <w:szCs w:val="20"/>
        </w:rPr>
        <w:t xml:space="preserve"> i </w:t>
      </w:r>
      <w:r w:rsidRPr="008B706B">
        <w:rPr>
          <w:i/>
          <w:szCs w:val="20"/>
        </w:rPr>
        <w:t>powiatowych)</w:t>
      </w:r>
      <w:r w:rsidR="00E66B89">
        <w:rPr>
          <w:i/>
          <w:szCs w:val="20"/>
        </w:rPr>
        <w:t xml:space="preserve"> w </w:t>
      </w:r>
      <w:r w:rsidRPr="008B706B">
        <w:rPr>
          <w:i/>
          <w:szCs w:val="20"/>
        </w:rPr>
        <w:t>ramach Strategii ZIT dla Szczecińskiego Obszaru Metropolitalnego</w:t>
      </w:r>
      <w:r w:rsidRPr="000A135E">
        <w:rPr>
          <w:szCs w:val="20"/>
        </w:rPr>
        <w:t xml:space="preserve">, Działanie 5.3 </w:t>
      </w:r>
      <w:r w:rsidRPr="008B706B">
        <w:rPr>
          <w:i/>
          <w:szCs w:val="20"/>
        </w:rPr>
        <w:t>Budowa</w:t>
      </w:r>
      <w:r w:rsidR="00E66B89">
        <w:rPr>
          <w:i/>
          <w:szCs w:val="20"/>
        </w:rPr>
        <w:t xml:space="preserve"> i </w:t>
      </w:r>
      <w:r w:rsidRPr="008B706B">
        <w:rPr>
          <w:i/>
          <w:szCs w:val="20"/>
        </w:rPr>
        <w:t>przebudowa dróg lokalnych (gminnych</w:t>
      </w:r>
      <w:r w:rsidR="00E66B89">
        <w:rPr>
          <w:i/>
          <w:szCs w:val="20"/>
        </w:rPr>
        <w:t xml:space="preserve"> i </w:t>
      </w:r>
      <w:r w:rsidRPr="008B706B">
        <w:rPr>
          <w:i/>
          <w:szCs w:val="20"/>
        </w:rPr>
        <w:t>powiatowych)</w:t>
      </w:r>
      <w:r w:rsidR="00E66B89">
        <w:rPr>
          <w:i/>
          <w:szCs w:val="20"/>
        </w:rPr>
        <w:t xml:space="preserve"> w </w:t>
      </w:r>
      <w:r w:rsidRPr="008B706B">
        <w:rPr>
          <w:i/>
          <w:szCs w:val="20"/>
        </w:rPr>
        <w:t>ramach Strategii ZIT dla Koszalińsko-Kołobrzesko-Białogardzkiego Obszaru Funkcjonalnego</w:t>
      </w:r>
      <w:r w:rsidRPr="000A135E">
        <w:rPr>
          <w:szCs w:val="20"/>
        </w:rPr>
        <w:t xml:space="preserve">, Działanie 5.4 </w:t>
      </w:r>
      <w:r w:rsidRPr="008B706B">
        <w:rPr>
          <w:i/>
          <w:szCs w:val="20"/>
        </w:rPr>
        <w:t>Budowa</w:t>
      </w:r>
      <w:r w:rsidR="00E66B89">
        <w:rPr>
          <w:i/>
          <w:szCs w:val="20"/>
        </w:rPr>
        <w:t xml:space="preserve"> i </w:t>
      </w:r>
      <w:r w:rsidRPr="008B706B">
        <w:rPr>
          <w:i/>
          <w:szCs w:val="20"/>
        </w:rPr>
        <w:t>przebudowa dróg powiatowych</w:t>
      </w:r>
      <w:r w:rsidRPr="000A135E">
        <w:rPr>
          <w:szCs w:val="20"/>
        </w:rPr>
        <w:t>. Według stanu</w:t>
      </w:r>
      <w:r w:rsidR="00E66B89">
        <w:rPr>
          <w:szCs w:val="20"/>
        </w:rPr>
        <w:t xml:space="preserve"> z </w:t>
      </w:r>
      <w:r w:rsidRPr="000A135E">
        <w:rPr>
          <w:szCs w:val="20"/>
        </w:rPr>
        <w:t>07.01.2019 r</w:t>
      </w:r>
      <w:r>
        <w:rPr>
          <w:szCs w:val="20"/>
        </w:rPr>
        <w:t>oku</w:t>
      </w:r>
      <w:r w:rsidR="00E66B89">
        <w:rPr>
          <w:szCs w:val="20"/>
        </w:rPr>
        <w:t xml:space="preserve"> w </w:t>
      </w:r>
      <w:r w:rsidRPr="000A135E">
        <w:rPr>
          <w:szCs w:val="20"/>
        </w:rPr>
        <w:t>ramach PI 7b zawarto 35 umów</w:t>
      </w:r>
      <w:r w:rsidR="00E66B89">
        <w:rPr>
          <w:szCs w:val="20"/>
        </w:rPr>
        <w:t xml:space="preserve"> o </w:t>
      </w:r>
      <w:r w:rsidRPr="000A135E">
        <w:rPr>
          <w:szCs w:val="20"/>
        </w:rPr>
        <w:t>dofinansowanie projektu, zakończono zaś realizację 13 projektów. Łącznie</w:t>
      </w:r>
      <w:r w:rsidR="00E66B89">
        <w:rPr>
          <w:szCs w:val="20"/>
        </w:rPr>
        <w:t xml:space="preserve"> w </w:t>
      </w:r>
      <w:r w:rsidRPr="000A135E">
        <w:rPr>
          <w:szCs w:val="20"/>
        </w:rPr>
        <w:t xml:space="preserve">ramach PI 7b zakontraktowano 417 572 070,41 zł, co stanowi </w:t>
      </w:r>
      <w:bookmarkStart w:id="141" w:name="_Hlk3211456"/>
      <w:r w:rsidRPr="000A135E">
        <w:rPr>
          <w:szCs w:val="20"/>
        </w:rPr>
        <w:t xml:space="preserve">59,7% </w:t>
      </w:r>
      <w:bookmarkEnd w:id="141"/>
      <w:r w:rsidRPr="000A135E">
        <w:rPr>
          <w:szCs w:val="20"/>
        </w:rPr>
        <w:t>alokacji przeznaczonej na PI 7b,</w:t>
      </w:r>
      <w:r w:rsidR="00E66B89">
        <w:rPr>
          <w:szCs w:val="20"/>
        </w:rPr>
        <w:t xml:space="preserve"> z </w:t>
      </w:r>
      <w:r w:rsidRPr="000A135E">
        <w:rPr>
          <w:szCs w:val="20"/>
        </w:rPr>
        <w:t>uwzględnieniem rezerwy wykonania.</w:t>
      </w:r>
    </w:p>
    <w:p w14:paraId="080845F8" w14:textId="77777777" w:rsidR="00EF2A15" w:rsidRPr="000A135E" w:rsidRDefault="00EF2A15" w:rsidP="00EF2A15">
      <w:pPr>
        <w:rPr>
          <w:szCs w:val="20"/>
        </w:rPr>
      </w:pPr>
      <w:r w:rsidRPr="000A135E">
        <w:rPr>
          <w:szCs w:val="20"/>
        </w:rPr>
        <w:t>Oprócz omawianego</w:t>
      </w:r>
      <w:r w:rsidR="00E66B89">
        <w:rPr>
          <w:szCs w:val="20"/>
        </w:rPr>
        <w:t xml:space="preserve"> w </w:t>
      </w:r>
      <w:r w:rsidRPr="000A135E">
        <w:rPr>
          <w:szCs w:val="20"/>
        </w:rPr>
        <w:t xml:space="preserve">poprzednim rozdziale wskaźnika Ram Wykonania </w:t>
      </w:r>
      <w:r w:rsidRPr="008B706B">
        <w:rPr>
          <w:i/>
          <w:szCs w:val="20"/>
        </w:rPr>
        <w:t>Całkowita długość przebudowanych lub zmodernizowanych dróg</w:t>
      </w:r>
      <w:r>
        <w:rPr>
          <w:i/>
          <w:szCs w:val="20"/>
        </w:rPr>
        <w:t>,</w:t>
      </w:r>
      <w:r>
        <w:rPr>
          <w:szCs w:val="20"/>
        </w:rPr>
        <w:t xml:space="preserve"> </w:t>
      </w:r>
      <w:r w:rsidRPr="000A135E">
        <w:rPr>
          <w:szCs w:val="20"/>
        </w:rPr>
        <w:t xml:space="preserve">system monitorowania uwzględnia również wskaźnik produktu </w:t>
      </w:r>
      <w:r w:rsidRPr="008B706B">
        <w:rPr>
          <w:i/>
          <w:szCs w:val="20"/>
        </w:rPr>
        <w:t>Całkowita długość nowych dróg</w:t>
      </w:r>
      <w:r w:rsidRPr="000A135E">
        <w:rPr>
          <w:szCs w:val="20"/>
        </w:rPr>
        <w:t>.</w:t>
      </w:r>
      <w:r w:rsidR="00E66B89">
        <w:rPr>
          <w:szCs w:val="20"/>
        </w:rPr>
        <w:t xml:space="preserve"> W </w:t>
      </w:r>
      <w:r w:rsidRPr="000A135E">
        <w:rPr>
          <w:szCs w:val="20"/>
        </w:rPr>
        <w:t>RPO WZ 2014-2020 założono, iż do końca 2023 roku wskaźnik ten zostanie osiągnięty</w:t>
      </w:r>
      <w:r w:rsidR="00E66B89">
        <w:rPr>
          <w:szCs w:val="20"/>
        </w:rPr>
        <w:t xml:space="preserve"> w </w:t>
      </w:r>
      <w:r w:rsidRPr="000A135E">
        <w:rPr>
          <w:szCs w:val="20"/>
        </w:rPr>
        <w:t>wysokości 5 km.</w:t>
      </w:r>
      <w:r w:rsidR="00E66B89">
        <w:rPr>
          <w:szCs w:val="20"/>
        </w:rPr>
        <w:t xml:space="preserve"> W </w:t>
      </w:r>
      <w:r w:rsidRPr="000A135E">
        <w:rPr>
          <w:szCs w:val="20"/>
        </w:rPr>
        <w:t>realizowanych projektach założono jego osiągnięcie</w:t>
      </w:r>
      <w:r w:rsidR="00E66B89">
        <w:rPr>
          <w:szCs w:val="20"/>
        </w:rPr>
        <w:t xml:space="preserve"> w </w:t>
      </w:r>
      <w:r w:rsidRPr="000A135E">
        <w:rPr>
          <w:szCs w:val="20"/>
        </w:rPr>
        <w:t>wysokości 5,32 km, co stanowi 106,5% wartości docelowej.</w:t>
      </w:r>
      <w:r w:rsidR="00E66B89">
        <w:rPr>
          <w:szCs w:val="20"/>
        </w:rPr>
        <w:t xml:space="preserve"> W </w:t>
      </w:r>
      <w:r w:rsidRPr="000A135E">
        <w:rPr>
          <w:szCs w:val="20"/>
        </w:rPr>
        <w:t>zatwierdzonych WoP wykazano wybudowanie 1,25 km dróg, czyli 25% wartości docelowej.</w:t>
      </w:r>
      <w:r>
        <w:rPr>
          <w:szCs w:val="20"/>
        </w:rPr>
        <w:t xml:space="preserve"> </w:t>
      </w:r>
      <w:r w:rsidRPr="000A135E">
        <w:rPr>
          <w:szCs w:val="20"/>
        </w:rPr>
        <w:t xml:space="preserve">Cel końcowy Programu nie jest więc zagrożony. </w:t>
      </w:r>
    </w:p>
    <w:p w14:paraId="4070FDC8" w14:textId="77777777" w:rsidR="00EF2A15" w:rsidRPr="000A135E" w:rsidRDefault="00EF2A15" w:rsidP="00EF2A15">
      <w:pPr>
        <w:rPr>
          <w:szCs w:val="20"/>
        </w:rPr>
      </w:pPr>
      <w:r w:rsidRPr="000A135E">
        <w:rPr>
          <w:szCs w:val="20"/>
        </w:rPr>
        <w:t xml:space="preserve">Wskaźnik </w:t>
      </w:r>
      <w:r w:rsidRPr="008B706B">
        <w:rPr>
          <w:i/>
          <w:szCs w:val="20"/>
        </w:rPr>
        <w:t>Całkowita długość przebudowanych lub zmodernizowanych dróg</w:t>
      </w:r>
      <w:r w:rsidRPr="000A135E">
        <w:rPr>
          <w:szCs w:val="20"/>
        </w:rPr>
        <w:t xml:space="preserve"> monitorowany jest</w:t>
      </w:r>
      <w:r w:rsidR="00E66B89">
        <w:rPr>
          <w:szCs w:val="20"/>
        </w:rPr>
        <w:t xml:space="preserve"> w </w:t>
      </w:r>
      <w:r w:rsidRPr="000A135E">
        <w:rPr>
          <w:szCs w:val="20"/>
        </w:rPr>
        <w:t>12 projektach Działania 5.1, 10 projektach Działania 5.2., 3 projektach Działania 5.3</w:t>
      </w:r>
      <w:r w:rsidR="00E66B89">
        <w:rPr>
          <w:szCs w:val="20"/>
        </w:rPr>
        <w:t xml:space="preserve"> i </w:t>
      </w:r>
      <w:r w:rsidRPr="000A135E">
        <w:rPr>
          <w:szCs w:val="20"/>
        </w:rPr>
        <w:t xml:space="preserve">8 projektach Działania 5.4. Wskaźnik </w:t>
      </w:r>
      <w:r w:rsidRPr="008B706B">
        <w:rPr>
          <w:i/>
          <w:szCs w:val="20"/>
        </w:rPr>
        <w:t>Całkowita długość nowych dróg</w:t>
      </w:r>
      <w:r w:rsidRPr="000A135E">
        <w:rPr>
          <w:szCs w:val="20"/>
        </w:rPr>
        <w:t xml:space="preserve"> osiągany jest natomiast</w:t>
      </w:r>
      <w:r w:rsidR="00E66B89">
        <w:rPr>
          <w:szCs w:val="20"/>
        </w:rPr>
        <w:t xml:space="preserve"> w </w:t>
      </w:r>
      <w:r w:rsidRPr="000A135E">
        <w:rPr>
          <w:szCs w:val="20"/>
        </w:rPr>
        <w:t>2 projektach Działania 5.1, jednym projekcie Działania 5.2</w:t>
      </w:r>
      <w:r w:rsidR="00E66B89">
        <w:rPr>
          <w:szCs w:val="20"/>
        </w:rPr>
        <w:t xml:space="preserve"> i </w:t>
      </w:r>
      <w:r w:rsidRPr="000A135E">
        <w:rPr>
          <w:szCs w:val="20"/>
        </w:rPr>
        <w:t xml:space="preserve">jednym projekcie Działania 5.3. </w:t>
      </w:r>
    </w:p>
    <w:p w14:paraId="49C4AE75" w14:textId="77777777" w:rsidR="00EF2A15" w:rsidRPr="000A135E" w:rsidRDefault="00EF2A15" w:rsidP="00EF2A15">
      <w:pPr>
        <w:rPr>
          <w:szCs w:val="20"/>
        </w:rPr>
      </w:pPr>
      <w:r w:rsidRPr="000A135E">
        <w:rPr>
          <w:szCs w:val="20"/>
        </w:rPr>
        <w:lastRenderedPageBreak/>
        <w:t>Zgodnie</w:t>
      </w:r>
      <w:r w:rsidR="00E66B89">
        <w:rPr>
          <w:szCs w:val="20"/>
        </w:rPr>
        <w:t xml:space="preserve"> z </w:t>
      </w:r>
      <w:r w:rsidRPr="000A135E">
        <w:rPr>
          <w:szCs w:val="20"/>
        </w:rPr>
        <w:t>logiką interwencji</w:t>
      </w:r>
      <w:r>
        <w:rPr>
          <w:szCs w:val="20"/>
        </w:rPr>
        <w:t>,</w:t>
      </w:r>
      <w:r w:rsidRPr="000A135E">
        <w:rPr>
          <w:szCs w:val="20"/>
        </w:rPr>
        <w:t xml:space="preserve"> największy udział</w:t>
      </w:r>
      <w:r w:rsidR="00E66B89">
        <w:rPr>
          <w:szCs w:val="20"/>
        </w:rPr>
        <w:t xml:space="preserve"> w </w:t>
      </w:r>
      <w:r w:rsidRPr="000A135E">
        <w:rPr>
          <w:szCs w:val="20"/>
        </w:rPr>
        <w:t xml:space="preserve">generowaniu wartości docelowej mają projekty Działania 5.1. Zakładają one osiągnięcie 66% wysokości wskaźnika </w:t>
      </w:r>
      <w:r w:rsidRPr="008B706B">
        <w:rPr>
          <w:i/>
          <w:szCs w:val="20"/>
        </w:rPr>
        <w:t>Całkowita długość nowych dróg</w:t>
      </w:r>
      <w:r w:rsidRPr="000A135E">
        <w:rPr>
          <w:szCs w:val="20"/>
        </w:rPr>
        <w:t xml:space="preserve"> planowanej do osiągnięcia</w:t>
      </w:r>
      <w:r w:rsidR="00E66B89">
        <w:rPr>
          <w:szCs w:val="20"/>
        </w:rPr>
        <w:t xml:space="preserve"> w </w:t>
      </w:r>
      <w:r w:rsidRPr="000A135E">
        <w:rPr>
          <w:szCs w:val="20"/>
        </w:rPr>
        <w:t>realizowanych projektach</w:t>
      </w:r>
      <w:r w:rsidR="00E66B89">
        <w:rPr>
          <w:szCs w:val="20"/>
        </w:rPr>
        <w:t xml:space="preserve"> i </w:t>
      </w:r>
      <w:r w:rsidRPr="000A135E">
        <w:rPr>
          <w:szCs w:val="20"/>
        </w:rPr>
        <w:t xml:space="preserve">70% wysokości wskaźnika </w:t>
      </w:r>
      <w:r w:rsidRPr="008B706B">
        <w:rPr>
          <w:i/>
          <w:szCs w:val="20"/>
        </w:rPr>
        <w:t>Całkowita długość przebudowanych lub zmodernizowanych dróg.</w:t>
      </w:r>
      <w:r>
        <w:rPr>
          <w:szCs w:val="20"/>
        </w:rPr>
        <w:t xml:space="preserve"> </w:t>
      </w:r>
    </w:p>
    <w:p w14:paraId="19659F50" w14:textId="77777777" w:rsidR="00EF2A15" w:rsidRDefault="00EF2A15" w:rsidP="00754ED4">
      <w:pPr>
        <w:pStyle w:val="Legenda"/>
        <w:spacing w:after="0"/>
      </w:pPr>
      <w:bookmarkStart w:id="142" w:name="_Toc5311885"/>
      <w:r>
        <w:t xml:space="preserve">Wykres </w:t>
      </w:r>
      <w:r>
        <w:fldChar w:fldCharType="begin"/>
      </w:r>
      <w:r>
        <w:instrText xml:space="preserve"> SEQ Wykres \* ARABIC </w:instrText>
      </w:r>
      <w:r>
        <w:fldChar w:fldCharType="separate"/>
      </w:r>
      <w:r w:rsidR="00763345">
        <w:rPr>
          <w:noProof/>
        </w:rPr>
        <w:t>19</w:t>
      </w:r>
      <w:r>
        <w:fldChar w:fldCharType="end"/>
      </w:r>
      <w:r>
        <w:t xml:space="preserve"> </w:t>
      </w:r>
      <w:r w:rsidRPr="00682121">
        <w:t>Udział poszczególnych Działań</w:t>
      </w:r>
      <w:r w:rsidR="00E66B89">
        <w:t xml:space="preserve"> w </w:t>
      </w:r>
      <w:r w:rsidRPr="00682121">
        <w:t>generowaniu przyrostu wskaźników programowych Priorytetu Inwestycyjnego 7b (%)</w:t>
      </w:r>
      <w:bookmarkEnd w:id="142"/>
    </w:p>
    <w:p w14:paraId="6A9D8D9C" w14:textId="17C93652" w:rsidR="00EF2A15" w:rsidRPr="000A135E" w:rsidRDefault="00C35619" w:rsidP="00CF71F2">
      <w:pPr>
        <w:spacing w:before="0" w:after="0"/>
        <w:rPr>
          <w:szCs w:val="20"/>
        </w:rPr>
      </w:pPr>
      <w:r w:rsidRPr="005F04FC">
        <w:rPr>
          <w:noProof/>
          <w:szCs w:val="20"/>
        </w:rPr>
        <w:drawing>
          <wp:inline distT="0" distB="0" distL="0" distR="0" wp14:anchorId="00F7D14F" wp14:editId="5ACD794B">
            <wp:extent cx="5758180" cy="1790700"/>
            <wp:effectExtent l="0" t="0" r="13970" b="0"/>
            <wp:docPr id="42"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94E99CD" w14:textId="77777777" w:rsidR="00EF2A15" w:rsidRPr="00EE66C6" w:rsidRDefault="00EF2A15" w:rsidP="005A06CB">
      <w:pPr>
        <w:spacing w:before="0"/>
        <w:rPr>
          <w:i/>
          <w:sz w:val="18"/>
          <w:szCs w:val="20"/>
        </w:rPr>
      </w:pPr>
      <w:r w:rsidRPr="00EE66C6">
        <w:rPr>
          <w:i/>
          <w:sz w:val="18"/>
          <w:szCs w:val="20"/>
        </w:rPr>
        <w:t>Źródło: baza SL 2014.</w:t>
      </w:r>
    </w:p>
    <w:p w14:paraId="176F182E" w14:textId="77777777" w:rsidR="00EF2A15" w:rsidRPr="000A135E" w:rsidRDefault="00EF2A15" w:rsidP="00EF2A15">
      <w:pPr>
        <w:rPr>
          <w:rFonts w:eastAsia="Lato"/>
          <w:szCs w:val="20"/>
        </w:rPr>
      </w:pPr>
      <w:r w:rsidRPr="000A135E">
        <w:rPr>
          <w:rFonts w:eastAsia="Lato"/>
          <w:szCs w:val="20"/>
        </w:rPr>
        <w:t>W PI 7b odnotowano wystąpienie czynnika nagłego wzrostu cen</w:t>
      </w:r>
      <w:r>
        <w:rPr>
          <w:rFonts w:eastAsia="Lato"/>
          <w:szCs w:val="20"/>
        </w:rPr>
        <w:t>,</w:t>
      </w:r>
      <w:r w:rsidRPr="000A135E">
        <w:rPr>
          <w:rFonts w:eastAsia="Lato"/>
          <w:szCs w:val="20"/>
        </w:rPr>
        <w:t xml:space="preserve"> wynikającego</w:t>
      </w:r>
      <w:r w:rsidR="00E66B89">
        <w:rPr>
          <w:rFonts w:eastAsia="Lato"/>
          <w:szCs w:val="20"/>
        </w:rPr>
        <w:t xml:space="preserve"> z </w:t>
      </w:r>
      <w:r w:rsidRPr="000A135E">
        <w:rPr>
          <w:rFonts w:eastAsia="Lato"/>
          <w:szCs w:val="20"/>
        </w:rPr>
        <w:t>kumulacji zamówień na rynku</w:t>
      </w:r>
      <w:r>
        <w:rPr>
          <w:rFonts w:eastAsia="Lato"/>
          <w:szCs w:val="20"/>
        </w:rPr>
        <w:t>,</w:t>
      </w:r>
      <w:r w:rsidRPr="000A135E">
        <w:rPr>
          <w:rFonts w:eastAsia="Lato"/>
          <w:szCs w:val="20"/>
        </w:rPr>
        <w:t xml:space="preserve"> współwystępującego</w:t>
      </w:r>
      <w:r w:rsidR="00E66B89">
        <w:rPr>
          <w:rFonts w:eastAsia="Lato"/>
          <w:szCs w:val="20"/>
        </w:rPr>
        <w:t xml:space="preserve"> z </w:t>
      </w:r>
      <w:r w:rsidRPr="000A135E">
        <w:rPr>
          <w:rFonts w:eastAsia="Lato"/>
          <w:szCs w:val="20"/>
        </w:rPr>
        <w:t>ożywieniem gospodarczym</w:t>
      </w:r>
      <w:r w:rsidR="00E66B89">
        <w:rPr>
          <w:rFonts w:eastAsia="Lato"/>
          <w:szCs w:val="20"/>
        </w:rPr>
        <w:t xml:space="preserve"> i </w:t>
      </w:r>
      <w:r w:rsidRPr="000A135E">
        <w:rPr>
          <w:rFonts w:eastAsia="Lato"/>
          <w:szCs w:val="20"/>
        </w:rPr>
        <w:t>niewystarczającą podażą pracowników</w:t>
      </w:r>
      <w:r w:rsidR="00E66B89">
        <w:rPr>
          <w:rFonts w:eastAsia="Lato"/>
          <w:szCs w:val="20"/>
        </w:rPr>
        <w:t xml:space="preserve"> w </w:t>
      </w:r>
      <w:r w:rsidRPr="000A135E">
        <w:rPr>
          <w:rFonts w:eastAsia="Lato"/>
          <w:szCs w:val="20"/>
        </w:rPr>
        <w:t>sektorze budowlanym. Czynnik ten pociągnął za sobą konieczność zwiększenia poziomu współfinansowania inwestycji. Nieliczni beneficjenci zgłaszają problemy</w:t>
      </w:r>
      <w:r w:rsidR="00E66B89">
        <w:rPr>
          <w:rFonts w:eastAsia="Lato"/>
          <w:szCs w:val="20"/>
        </w:rPr>
        <w:t xml:space="preserve"> z </w:t>
      </w:r>
      <w:r w:rsidRPr="000A135E">
        <w:rPr>
          <w:rFonts w:eastAsia="Lato"/>
          <w:szCs w:val="20"/>
        </w:rPr>
        <w:t>wykonawcami, skutkujące opóźnieniem poszczególnych etapów prac bądź problemy wynikające</w:t>
      </w:r>
      <w:r w:rsidR="00E66B89">
        <w:rPr>
          <w:rFonts w:eastAsia="Lato"/>
          <w:szCs w:val="20"/>
        </w:rPr>
        <w:t xml:space="preserve"> z </w:t>
      </w:r>
      <w:r w:rsidRPr="000A135E">
        <w:rPr>
          <w:rFonts w:eastAsia="Lato"/>
          <w:szCs w:val="20"/>
        </w:rPr>
        <w:t xml:space="preserve">niespodziewanych problemów technicznych czy </w:t>
      </w:r>
      <w:r w:rsidR="001A41AF">
        <w:rPr>
          <w:rFonts w:eastAsia="Lato"/>
          <w:szCs w:val="20"/>
        </w:rPr>
        <w:t xml:space="preserve">z </w:t>
      </w:r>
      <w:r w:rsidRPr="000A135E">
        <w:rPr>
          <w:rFonts w:eastAsia="Lato"/>
          <w:szCs w:val="20"/>
        </w:rPr>
        <w:t>koniecznością zawarcia porozumień</w:t>
      </w:r>
      <w:r w:rsidR="00E66B89">
        <w:rPr>
          <w:rFonts w:eastAsia="Lato"/>
          <w:szCs w:val="20"/>
        </w:rPr>
        <w:t xml:space="preserve"> z </w:t>
      </w:r>
      <w:r w:rsidRPr="000A135E">
        <w:rPr>
          <w:rFonts w:eastAsia="Lato"/>
          <w:szCs w:val="20"/>
        </w:rPr>
        <w:t>instytucjami, dla których prowadzone inwestycje wchodzą</w:t>
      </w:r>
      <w:r w:rsidR="00E66B89">
        <w:rPr>
          <w:rFonts w:eastAsia="Lato"/>
          <w:szCs w:val="20"/>
        </w:rPr>
        <w:t xml:space="preserve"> w </w:t>
      </w:r>
      <w:r w:rsidRPr="000A135E">
        <w:rPr>
          <w:rFonts w:eastAsia="Lato"/>
          <w:szCs w:val="20"/>
        </w:rPr>
        <w:t>kolizję</w:t>
      </w:r>
      <w:r w:rsidR="00E66B89">
        <w:rPr>
          <w:rFonts w:eastAsia="Lato"/>
          <w:szCs w:val="20"/>
        </w:rPr>
        <w:t xml:space="preserve"> z </w:t>
      </w:r>
      <w:r w:rsidRPr="000A135E">
        <w:rPr>
          <w:rFonts w:eastAsia="Lato"/>
          <w:szCs w:val="20"/>
        </w:rPr>
        <w:t>ich kierunkiem działania.</w:t>
      </w:r>
      <w:r>
        <w:rPr>
          <w:rFonts w:eastAsia="Lato"/>
          <w:szCs w:val="20"/>
        </w:rPr>
        <w:t xml:space="preserve"> </w:t>
      </w:r>
      <w:r w:rsidRPr="000A135E">
        <w:rPr>
          <w:rFonts w:eastAsia="Lato"/>
          <w:szCs w:val="20"/>
        </w:rPr>
        <w:t>Opóźnienia związane</w:t>
      </w:r>
      <w:r w:rsidR="00E66B89">
        <w:rPr>
          <w:rFonts w:eastAsia="Lato"/>
          <w:szCs w:val="20"/>
        </w:rPr>
        <w:t xml:space="preserve"> z </w:t>
      </w:r>
      <w:r w:rsidRPr="000A135E">
        <w:rPr>
          <w:rFonts w:eastAsia="Lato"/>
          <w:szCs w:val="20"/>
        </w:rPr>
        <w:t>zabezpieczeniem dodatkowych środków</w:t>
      </w:r>
      <w:r w:rsidR="00E66B89">
        <w:rPr>
          <w:rFonts w:eastAsia="Lato"/>
          <w:szCs w:val="20"/>
        </w:rPr>
        <w:t xml:space="preserve"> w </w:t>
      </w:r>
      <w:r w:rsidRPr="000A135E">
        <w:rPr>
          <w:rFonts w:eastAsia="Lato"/>
          <w:szCs w:val="20"/>
        </w:rPr>
        <w:t>budżetach własnych zgłosiło 60% beneficjentów Działania 5.2</w:t>
      </w:r>
      <w:r w:rsidR="00E66B89">
        <w:rPr>
          <w:rFonts w:eastAsia="Lato"/>
          <w:szCs w:val="20"/>
        </w:rPr>
        <w:t xml:space="preserve"> i </w:t>
      </w:r>
      <w:r w:rsidRPr="000A135E">
        <w:rPr>
          <w:rFonts w:eastAsia="Lato"/>
          <w:szCs w:val="20"/>
        </w:rPr>
        <w:t>40% beneficjentów Działania 5.4.</w:t>
      </w:r>
      <w:r>
        <w:rPr>
          <w:rFonts w:eastAsia="Lato"/>
          <w:szCs w:val="20"/>
        </w:rPr>
        <w:t xml:space="preserve"> </w:t>
      </w:r>
      <w:r w:rsidRPr="000A135E">
        <w:rPr>
          <w:rFonts w:eastAsia="Lato"/>
          <w:szCs w:val="20"/>
        </w:rPr>
        <w:t>Ryzyko wpłynięcia tych opóźnień</w:t>
      </w:r>
      <w:r>
        <w:rPr>
          <w:rFonts w:eastAsia="Lato"/>
          <w:szCs w:val="20"/>
        </w:rPr>
        <w:t xml:space="preserve"> </w:t>
      </w:r>
      <w:r w:rsidRPr="000A135E">
        <w:rPr>
          <w:rFonts w:eastAsia="Lato"/>
          <w:szCs w:val="20"/>
        </w:rPr>
        <w:t xml:space="preserve">na osiągnięcie zakładanej wartości wskaźnika </w:t>
      </w:r>
      <w:r w:rsidRPr="008B706B">
        <w:rPr>
          <w:rFonts w:eastAsia="Lato"/>
          <w:i/>
          <w:szCs w:val="20"/>
        </w:rPr>
        <w:t>Całkowita długość nowych dróg</w:t>
      </w:r>
      <w:r>
        <w:rPr>
          <w:rFonts w:eastAsia="Lato"/>
          <w:szCs w:val="20"/>
        </w:rPr>
        <w:t xml:space="preserve"> </w:t>
      </w:r>
      <w:r w:rsidRPr="000A135E">
        <w:rPr>
          <w:rFonts w:eastAsia="Lato"/>
          <w:szCs w:val="20"/>
        </w:rPr>
        <w:t xml:space="preserve">zgłaszane </w:t>
      </w:r>
      <w:r>
        <w:rPr>
          <w:rFonts w:eastAsia="Lato"/>
          <w:szCs w:val="20"/>
        </w:rPr>
        <w:t>jest</w:t>
      </w:r>
      <w:r w:rsidRPr="000A135E">
        <w:rPr>
          <w:rFonts w:eastAsia="Lato"/>
          <w:szCs w:val="20"/>
        </w:rPr>
        <w:t xml:space="preserve"> przez beneficjenta Działania 5.1</w:t>
      </w:r>
      <w:r>
        <w:rPr>
          <w:rFonts w:eastAsia="Lato"/>
          <w:szCs w:val="20"/>
        </w:rPr>
        <w:t>. Zaplanowana do osiągnięcia wartość</w:t>
      </w:r>
      <w:r w:rsidRPr="000A135E">
        <w:rPr>
          <w:rFonts w:eastAsia="Lato"/>
          <w:szCs w:val="20"/>
        </w:rPr>
        <w:t xml:space="preserve"> wskaźnika </w:t>
      </w:r>
      <w:r w:rsidRPr="008B706B">
        <w:rPr>
          <w:rFonts w:eastAsia="Lato"/>
          <w:i/>
          <w:szCs w:val="20"/>
        </w:rPr>
        <w:t>Całkowita długość przebudowanych lub zmodernizowanych dróg</w:t>
      </w:r>
      <w:r w:rsidRPr="000A135E">
        <w:rPr>
          <w:rFonts w:eastAsia="Lato"/>
          <w:szCs w:val="20"/>
        </w:rPr>
        <w:t>, zagrożona jest według deklaracji 4 badanych beneficjentów</w:t>
      </w:r>
      <w:r>
        <w:rPr>
          <w:rFonts w:eastAsia="Lato"/>
          <w:szCs w:val="20"/>
        </w:rPr>
        <w:t xml:space="preserve"> </w:t>
      </w:r>
      <w:r w:rsidRPr="000A135E">
        <w:rPr>
          <w:rFonts w:eastAsia="Lato"/>
          <w:szCs w:val="20"/>
        </w:rPr>
        <w:t>Działania 5.2</w:t>
      </w:r>
      <w:r w:rsidR="00E66B89">
        <w:rPr>
          <w:rFonts w:eastAsia="Lato"/>
          <w:szCs w:val="20"/>
        </w:rPr>
        <w:t xml:space="preserve"> i </w:t>
      </w:r>
      <w:r w:rsidRPr="000A135E">
        <w:rPr>
          <w:rFonts w:eastAsia="Lato"/>
          <w:szCs w:val="20"/>
        </w:rPr>
        <w:t>3 beneficjentów Działania 5.3., co stanowi</w:t>
      </w:r>
      <w:r>
        <w:rPr>
          <w:rFonts w:eastAsia="Lato"/>
          <w:szCs w:val="20"/>
        </w:rPr>
        <w:t xml:space="preserve"> </w:t>
      </w:r>
      <w:r w:rsidRPr="000A135E">
        <w:rPr>
          <w:rFonts w:eastAsia="Lato"/>
          <w:szCs w:val="20"/>
        </w:rPr>
        <w:t>odpowiednio 80%</w:t>
      </w:r>
      <w:r w:rsidR="00E66B89">
        <w:rPr>
          <w:rFonts w:eastAsia="Lato"/>
          <w:szCs w:val="20"/>
        </w:rPr>
        <w:t xml:space="preserve"> i </w:t>
      </w:r>
      <w:r w:rsidRPr="000A135E">
        <w:rPr>
          <w:rFonts w:eastAsia="Lato"/>
          <w:szCs w:val="20"/>
        </w:rPr>
        <w:t>70% badanych.</w:t>
      </w:r>
      <w:r>
        <w:rPr>
          <w:rFonts w:eastAsia="Lato"/>
          <w:szCs w:val="20"/>
        </w:rPr>
        <w:t xml:space="preserve"> </w:t>
      </w:r>
      <w:r w:rsidRPr="008B706B">
        <w:rPr>
          <w:rFonts w:eastAsia="Lato"/>
          <w:b/>
          <w:szCs w:val="20"/>
        </w:rPr>
        <w:t>REKOMENDACJA.</w:t>
      </w:r>
      <w:r w:rsidR="00E66B89">
        <w:rPr>
          <w:rFonts w:eastAsia="Lato"/>
          <w:b/>
          <w:szCs w:val="20"/>
        </w:rPr>
        <w:t xml:space="preserve"> W </w:t>
      </w:r>
      <w:r w:rsidRPr="008B706B">
        <w:rPr>
          <w:rFonts w:eastAsia="Lato"/>
          <w:b/>
          <w:szCs w:val="20"/>
        </w:rPr>
        <w:t>celu zapewnienia osiągnięcia</w:t>
      </w:r>
      <w:r>
        <w:rPr>
          <w:rFonts w:eastAsia="Lato"/>
          <w:b/>
          <w:szCs w:val="20"/>
        </w:rPr>
        <w:t xml:space="preserve">, </w:t>
      </w:r>
      <w:r w:rsidRPr="008B706B">
        <w:rPr>
          <w:rFonts w:eastAsia="Lato"/>
          <w:b/>
          <w:szCs w:val="20"/>
        </w:rPr>
        <w:t>zaplanowanych</w:t>
      </w:r>
      <w:r w:rsidR="00E66B89">
        <w:rPr>
          <w:rFonts w:eastAsia="Lato"/>
          <w:b/>
          <w:szCs w:val="20"/>
        </w:rPr>
        <w:t xml:space="preserve"> w </w:t>
      </w:r>
      <w:r w:rsidRPr="008B706B">
        <w:rPr>
          <w:rFonts w:eastAsia="Lato"/>
          <w:b/>
          <w:szCs w:val="20"/>
        </w:rPr>
        <w:t>realizowanych projektach</w:t>
      </w:r>
      <w:r>
        <w:rPr>
          <w:rFonts w:eastAsia="Lato"/>
          <w:b/>
          <w:szCs w:val="20"/>
        </w:rPr>
        <w:t>,</w:t>
      </w:r>
      <w:r w:rsidRPr="008B706B">
        <w:rPr>
          <w:rFonts w:eastAsia="Lato"/>
          <w:b/>
          <w:szCs w:val="20"/>
        </w:rPr>
        <w:t xml:space="preserve"> wysokości wskaźników </w:t>
      </w:r>
      <w:r>
        <w:rPr>
          <w:rFonts w:eastAsia="Lato"/>
          <w:b/>
          <w:szCs w:val="20"/>
        </w:rPr>
        <w:t>zaleca się rozważenie -</w:t>
      </w:r>
      <w:r w:rsidR="00E66B89">
        <w:rPr>
          <w:rFonts w:eastAsia="Lato"/>
          <w:b/>
          <w:szCs w:val="20"/>
        </w:rPr>
        <w:t xml:space="preserve"> w </w:t>
      </w:r>
      <w:r w:rsidRPr="008B706B">
        <w:rPr>
          <w:rFonts w:eastAsia="Lato"/>
          <w:b/>
          <w:szCs w:val="20"/>
        </w:rPr>
        <w:t>dalszych latach wdrażania Programu</w:t>
      </w:r>
      <w:r>
        <w:rPr>
          <w:rFonts w:eastAsia="Lato"/>
          <w:b/>
          <w:szCs w:val="20"/>
        </w:rPr>
        <w:t xml:space="preserve"> -</w:t>
      </w:r>
      <w:r w:rsidRPr="008B706B">
        <w:rPr>
          <w:rFonts w:eastAsia="Lato"/>
          <w:b/>
          <w:szCs w:val="20"/>
        </w:rPr>
        <w:t xml:space="preserve"> wydłużani</w:t>
      </w:r>
      <w:r>
        <w:rPr>
          <w:rFonts w:eastAsia="Lato"/>
          <w:b/>
          <w:szCs w:val="20"/>
        </w:rPr>
        <w:t>a</w:t>
      </w:r>
      <w:r w:rsidRPr="008B706B">
        <w:rPr>
          <w:rFonts w:eastAsia="Lato"/>
          <w:b/>
          <w:szCs w:val="20"/>
        </w:rPr>
        <w:t xml:space="preserve"> okresu realizacji prowadzonych </w:t>
      </w:r>
      <w:r>
        <w:rPr>
          <w:rFonts w:eastAsia="Lato"/>
          <w:b/>
          <w:szCs w:val="20"/>
        </w:rPr>
        <w:t>inwestycji.</w:t>
      </w:r>
      <w:r w:rsidRPr="000A135E">
        <w:rPr>
          <w:rFonts w:eastAsia="Lato"/>
          <w:szCs w:val="20"/>
        </w:rPr>
        <w:t xml:space="preserve"> </w:t>
      </w:r>
    </w:p>
    <w:p w14:paraId="1BFF53DC" w14:textId="77777777" w:rsidR="00EF2A15" w:rsidRPr="000A135E" w:rsidRDefault="00EF2A15" w:rsidP="00754ED4">
      <w:pPr>
        <w:pStyle w:val="Legenda"/>
        <w:spacing w:after="0"/>
      </w:pPr>
      <w:bookmarkStart w:id="143" w:name="_Toc8824179"/>
      <w:r w:rsidRPr="000A135E">
        <w:t xml:space="preserve">Tabela </w:t>
      </w:r>
      <w:r>
        <w:fldChar w:fldCharType="begin"/>
      </w:r>
      <w:r>
        <w:instrText xml:space="preserve"> SEQ Tabela \* ARABIC </w:instrText>
      </w:r>
      <w:r>
        <w:fldChar w:fldCharType="separate"/>
      </w:r>
      <w:r w:rsidR="00763345">
        <w:rPr>
          <w:noProof/>
        </w:rPr>
        <w:t>68</w:t>
      </w:r>
      <w:r>
        <w:fldChar w:fldCharType="end"/>
      </w:r>
      <w:r w:rsidRPr="000A135E">
        <w:t xml:space="preserve"> Wskaźniki produktu (PI </w:t>
      </w:r>
      <w:r>
        <w:t>7b</w:t>
      </w:r>
      <w:r w:rsidRPr="000A135E">
        <w:t>) – postęp rzeczowy</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90"/>
        <w:gridCol w:w="1630"/>
        <w:gridCol w:w="816"/>
        <w:gridCol w:w="918"/>
        <w:gridCol w:w="961"/>
        <w:gridCol w:w="962"/>
        <w:gridCol w:w="961"/>
        <w:gridCol w:w="962"/>
      </w:tblGrid>
      <w:tr w:rsidR="00EF2A15" w:rsidRPr="0043138F" w14:paraId="1ECCC7D4" w14:textId="77777777" w:rsidTr="00EF2A15">
        <w:trPr>
          <w:tblHeader/>
        </w:trPr>
        <w:tc>
          <w:tcPr>
            <w:tcW w:w="0" w:type="auto"/>
            <w:shd w:val="clear" w:color="auto" w:fill="DBE5F1"/>
            <w:vAlign w:val="center"/>
          </w:tcPr>
          <w:p w14:paraId="2D40ECC6"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0" w:type="auto"/>
            <w:shd w:val="clear" w:color="auto" w:fill="DBE5F1"/>
            <w:vAlign w:val="center"/>
          </w:tcPr>
          <w:p w14:paraId="2EC83735" w14:textId="77777777" w:rsidR="00EF2A15" w:rsidRPr="00404DA5" w:rsidRDefault="00EF2A15" w:rsidP="00EF2A15">
            <w:pPr>
              <w:jc w:val="center"/>
              <w:rPr>
                <w:rFonts w:cs="Calibri"/>
                <w:sz w:val="18"/>
                <w:szCs w:val="20"/>
              </w:rPr>
            </w:pPr>
            <w:r w:rsidRPr="00404DA5">
              <w:rPr>
                <w:rFonts w:cs="Calibri"/>
                <w:sz w:val="18"/>
                <w:szCs w:val="20"/>
              </w:rPr>
              <w:t>Działania</w:t>
            </w:r>
          </w:p>
        </w:tc>
        <w:tc>
          <w:tcPr>
            <w:tcW w:w="0" w:type="auto"/>
            <w:shd w:val="clear" w:color="auto" w:fill="DBE5F1"/>
            <w:vAlign w:val="center"/>
          </w:tcPr>
          <w:p w14:paraId="51FAA679"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0" w:type="auto"/>
            <w:shd w:val="clear" w:color="auto" w:fill="DBE5F1"/>
            <w:vAlign w:val="center"/>
          </w:tcPr>
          <w:p w14:paraId="17D14EF8" w14:textId="77777777" w:rsidR="00EF2A15" w:rsidRPr="00404DA5" w:rsidRDefault="00EF2A15" w:rsidP="00EF2A15">
            <w:pPr>
              <w:jc w:val="center"/>
              <w:rPr>
                <w:rFonts w:cs="Calibri"/>
                <w:sz w:val="18"/>
                <w:szCs w:val="20"/>
              </w:rPr>
            </w:pPr>
            <w:r w:rsidRPr="00404DA5">
              <w:rPr>
                <w:rFonts w:cs="Calibri"/>
                <w:sz w:val="18"/>
                <w:szCs w:val="20"/>
              </w:rPr>
              <w:t>Jedn. pomiaru</w:t>
            </w:r>
          </w:p>
        </w:tc>
        <w:tc>
          <w:tcPr>
            <w:tcW w:w="0" w:type="auto"/>
            <w:shd w:val="clear" w:color="auto" w:fill="DBE5F1"/>
            <w:vAlign w:val="center"/>
          </w:tcPr>
          <w:p w14:paraId="53CF3FDB" w14:textId="77777777" w:rsidR="00EF2A15" w:rsidRPr="00404DA5" w:rsidRDefault="00EF2A15" w:rsidP="00EF2A15">
            <w:pPr>
              <w:jc w:val="center"/>
              <w:rPr>
                <w:rFonts w:cs="Calibri"/>
                <w:sz w:val="18"/>
                <w:szCs w:val="20"/>
              </w:rPr>
            </w:pPr>
            <w:r w:rsidRPr="00404DA5">
              <w:rPr>
                <w:rFonts w:cs="Calibri"/>
                <w:sz w:val="18"/>
                <w:szCs w:val="20"/>
              </w:rPr>
              <w:t>Wartość docelowa (2023)</w:t>
            </w:r>
          </w:p>
        </w:tc>
        <w:tc>
          <w:tcPr>
            <w:tcW w:w="0" w:type="auto"/>
            <w:shd w:val="clear" w:color="auto" w:fill="DBE5F1"/>
            <w:vAlign w:val="center"/>
          </w:tcPr>
          <w:p w14:paraId="50D1A480" w14:textId="77777777" w:rsidR="00EF2A15" w:rsidRPr="00404DA5" w:rsidRDefault="00EF2A15" w:rsidP="00EF2A15">
            <w:pPr>
              <w:jc w:val="center"/>
              <w:rPr>
                <w:rFonts w:cs="Calibri"/>
                <w:sz w:val="18"/>
                <w:szCs w:val="20"/>
              </w:rPr>
            </w:pPr>
            <w:r w:rsidRPr="00404DA5">
              <w:rPr>
                <w:rFonts w:cs="Calibri"/>
                <w:sz w:val="18"/>
                <w:szCs w:val="20"/>
              </w:rPr>
              <w:t>Realizacja wskaźnika (wg UoD)</w:t>
            </w:r>
          </w:p>
        </w:tc>
        <w:tc>
          <w:tcPr>
            <w:tcW w:w="0" w:type="auto"/>
            <w:shd w:val="clear" w:color="auto" w:fill="DBE5F1"/>
            <w:vAlign w:val="center"/>
          </w:tcPr>
          <w:p w14:paraId="15A0AA94" w14:textId="77777777" w:rsidR="00EF2A15" w:rsidRPr="00404DA5" w:rsidRDefault="00EF2A15" w:rsidP="00EF2A15">
            <w:pPr>
              <w:jc w:val="center"/>
              <w:rPr>
                <w:rFonts w:cs="Calibri"/>
                <w:sz w:val="18"/>
                <w:szCs w:val="20"/>
              </w:rPr>
            </w:pPr>
            <w:r w:rsidRPr="00404DA5">
              <w:rPr>
                <w:rFonts w:cs="Calibri"/>
                <w:sz w:val="18"/>
                <w:szCs w:val="20"/>
              </w:rPr>
              <w:t>% realizacji wartości docelowej (wg UoD)</w:t>
            </w:r>
          </w:p>
        </w:tc>
        <w:tc>
          <w:tcPr>
            <w:tcW w:w="0" w:type="auto"/>
            <w:shd w:val="clear" w:color="auto" w:fill="DBE5F1"/>
            <w:vAlign w:val="center"/>
          </w:tcPr>
          <w:p w14:paraId="4FBCAEB4" w14:textId="77777777" w:rsidR="00EF2A15" w:rsidRPr="00404DA5" w:rsidRDefault="00EF2A15" w:rsidP="00EF2A15">
            <w:pPr>
              <w:jc w:val="center"/>
              <w:rPr>
                <w:rFonts w:cs="Calibri"/>
                <w:sz w:val="18"/>
                <w:szCs w:val="20"/>
              </w:rPr>
            </w:pPr>
            <w:r w:rsidRPr="00404DA5">
              <w:rPr>
                <w:rFonts w:cs="Calibri"/>
                <w:sz w:val="18"/>
                <w:szCs w:val="20"/>
              </w:rPr>
              <w:t>Realizacja wskaźnika (wg WoP)</w:t>
            </w:r>
          </w:p>
        </w:tc>
        <w:tc>
          <w:tcPr>
            <w:tcW w:w="0" w:type="auto"/>
            <w:shd w:val="clear" w:color="auto" w:fill="DBE5F1"/>
            <w:vAlign w:val="center"/>
          </w:tcPr>
          <w:p w14:paraId="14871F69" w14:textId="77777777" w:rsidR="00EF2A15" w:rsidRPr="00404DA5" w:rsidRDefault="00EF2A15" w:rsidP="00EF2A15">
            <w:pPr>
              <w:jc w:val="center"/>
              <w:rPr>
                <w:rFonts w:cs="Calibri"/>
                <w:sz w:val="18"/>
                <w:szCs w:val="20"/>
              </w:rPr>
            </w:pPr>
            <w:r w:rsidRPr="00404DA5">
              <w:rPr>
                <w:rFonts w:cs="Calibri"/>
                <w:sz w:val="18"/>
                <w:szCs w:val="20"/>
              </w:rPr>
              <w:t>% realizacji wartości docelowej (wg WoP)</w:t>
            </w:r>
          </w:p>
        </w:tc>
      </w:tr>
      <w:tr w:rsidR="00EF2A15" w:rsidRPr="00723FA1" w14:paraId="364B12B6" w14:textId="77777777" w:rsidTr="001A41AF">
        <w:tc>
          <w:tcPr>
            <w:tcW w:w="0" w:type="auto"/>
            <w:shd w:val="clear" w:color="auto" w:fill="auto"/>
            <w:vAlign w:val="center"/>
          </w:tcPr>
          <w:p w14:paraId="311ACAD6" w14:textId="77777777" w:rsidR="00EF2A15" w:rsidRPr="00404DA5" w:rsidRDefault="00EF2A15" w:rsidP="00EF2A15">
            <w:pPr>
              <w:jc w:val="center"/>
              <w:rPr>
                <w:rFonts w:cs="Calibri"/>
                <w:sz w:val="18"/>
                <w:szCs w:val="20"/>
              </w:rPr>
            </w:pPr>
            <w:r w:rsidRPr="00404DA5">
              <w:rPr>
                <w:rFonts w:cs="Calibri"/>
                <w:color w:val="000000"/>
                <w:sz w:val="18"/>
                <w:szCs w:val="20"/>
              </w:rPr>
              <w:t>wskaźnik produktu</w:t>
            </w:r>
          </w:p>
        </w:tc>
        <w:tc>
          <w:tcPr>
            <w:tcW w:w="0" w:type="auto"/>
            <w:shd w:val="clear" w:color="auto" w:fill="auto"/>
            <w:vAlign w:val="center"/>
          </w:tcPr>
          <w:p w14:paraId="6BE43DC5" w14:textId="77777777" w:rsidR="00EF2A15" w:rsidRPr="00404DA5" w:rsidRDefault="00EF2A15" w:rsidP="00EF2A15">
            <w:pPr>
              <w:jc w:val="center"/>
              <w:rPr>
                <w:rFonts w:cs="Calibri"/>
                <w:sz w:val="18"/>
                <w:szCs w:val="20"/>
              </w:rPr>
            </w:pPr>
            <w:r w:rsidRPr="00404DA5">
              <w:rPr>
                <w:rFonts w:cs="Calibri"/>
                <w:color w:val="000000"/>
                <w:sz w:val="18"/>
                <w:szCs w:val="20"/>
              </w:rPr>
              <w:t>5.1, 5.2, 5.3, 5.4</w:t>
            </w:r>
          </w:p>
        </w:tc>
        <w:tc>
          <w:tcPr>
            <w:tcW w:w="0" w:type="auto"/>
            <w:shd w:val="clear" w:color="auto" w:fill="auto"/>
            <w:vAlign w:val="center"/>
          </w:tcPr>
          <w:p w14:paraId="2E229A17" w14:textId="77777777" w:rsidR="00EF2A15" w:rsidRPr="00404DA5" w:rsidRDefault="00EF2A15" w:rsidP="00EF2A15">
            <w:pPr>
              <w:jc w:val="center"/>
              <w:rPr>
                <w:rFonts w:cs="Calibri"/>
                <w:sz w:val="18"/>
                <w:szCs w:val="20"/>
              </w:rPr>
            </w:pPr>
            <w:r w:rsidRPr="00404DA5">
              <w:rPr>
                <w:rFonts w:cs="Calibri"/>
                <w:color w:val="000000"/>
                <w:sz w:val="18"/>
                <w:szCs w:val="20"/>
              </w:rPr>
              <w:t>Całkowita długość przebudowanych lub zmodernizowanych dróg (CI)</w:t>
            </w:r>
          </w:p>
        </w:tc>
        <w:tc>
          <w:tcPr>
            <w:tcW w:w="0" w:type="auto"/>
            <w:shd w:val="clear" w:color="auto" w:fill="auto"/>
            <w:vAlign w:val="center"/>
          </w:tcPr>
          <w:p w14:paraId="007E3103" w14:textId="77777777" w:rsidR="00EF2A15" w:rsidRPr="00404DA5" w:rsidRDefault="00EF2A15" w:rsidP="00EF2A15">
            <w:pPr>
              <w:jc w:val="center"/>
              <w:rPr>
                <w:rFonts w:cs="Calibri"/>
                <w:sz w:val="18"/>
                <w:szCs w:val="20"/>
              </w:rPr>
            </w:pPr>
            <w:r w:rsidRPr="00404DA5">
              <w:rPr>
                <w:rFonts w:cs="Calibri"/>
                <w:color w:val="000000"/>
                <w:sz w:val="18"/>
                <w:szCs w:val="20"/>
              </w:rPr>
              <w:t>km</w:t>
            </w:r>
          </w:p>
        </w:tc>
        <w:tc>
          <w:tcPr>
            <w:tcW w:w="0" w:type="auto"/>
            <w:shd w:val="clear" w:color="auto" w:fill="auto"/>
            <w:vAlign w:val="center"/>
          </w:tcPr>
          <w:p w14:paraId="042AEC9A" w14:textId="77777777" w:rsidR="00EF2A15" w:rsidRPr="00404DA5" w:rsidRDefault="00EF2A15" w:rsidP="001A41AF">
            <w:pPr>
              <w:jc w:val="center"/>
              <w:rPr>
                <w:rFonts w:cs="Calibri"/>
                <w:sz w:val="18"/>
                <w:szCs w:val="20"/>
              </w:rPr>
            </w:pPr>
            <w:r w:rsidRPr="00404DA5">
              <w:rPr>
                <w:rFonts w:cs="Calibri"/>
                <w:color w:val="000000"/>
                <w:sz w:val="18"/>
                <w:szCs w:val="20"/>
              </w:rPr>
              <w:t>190</w:t>
            </w:r>
          </w:p>
        </w:tc>
        <w:tc>
          <w:tcPr>
            <w:tcW w:w="0" w:type="auto"/>
            <w:shd w:val="clear" w:color="auto" w:fill="auto"/>
            <w:vAlign w:val="center"/>
          </w:tcPr>
          <w:p w14:paraId="7DC37F5F" w14:textId="77777777" w:rsidR="00EF2A15" w:rsidRPr="00404DA5" w:rsidRDefault="00EF2A15" w:rsidP="001A41AF">
            <w:pPr>
              <w:jc w:val="center"/>
              <w:rPr>
                <w:rFonts w:cs="Calibri"/>
                <w:sz w:val="18"/>
                <w:szCs w:val="20"/>
              </w:rPr>
            </w:pPr>
            <w:r w:rsidRPr="00404DA5">
              <w:rPr>
                <w:rFonts w:cs="Calibri"/>
                <w:sz w:val="18"/>
                <w:szCs w:val="20"/>
              </w:rPr>
              <w:t>143,31</w:t>
            </w:r>
          </w:p>
        </w:tc>
        <w:tc>
          <w:tcPr>
            <w:tcW w:w="0" w:type="auto"/>
            <w:shd w:val="clear" w:color="auto" w:fill="auto"/>
            <w:vAlign w:val="center"/>
          </w:tcPr>
          <w:p w14:paraId="4FFA6A63" w14:textId="77777777" w:rsidR="00EF2A15" w:rsidRPr="00404DA5" w:rsidRDefault="00EF2A15" w:rsidP="001A41AF">
            <w:pPr>
              <w:jc w:val="center"/>
              <w:rPr>
                <w:rFonts w:cs="Calibri"/>
                <w:sz w:val="18"/>
                <w:szCs w:val="20"/>
              </w:rPr>
            </w:pPr>
            <w:r w:rsidRPr="00404DA5">
              <w:rPr>
                <w:color w:val="000000"/>
                <w:sz w:val="18"/>
                <w:szCs w:val="20"/>
              </w:rPr>
              <w:t>75,4%</w:t>
            </w:r>
          </w:p>
        </w:tc>
        <w:tc>
          <w:tcPr>
            <w:tcW w:w="0" w:type="auto"/>
            <w:shd w:val="clear" w:color="auto" w:fill="auto"/>
            <w:vAlign w:val="center"/>
          </w:tcPr>
          <w:p w14:paraId="54D030C1" w14:textId="77777777" w:rsidR="001A41AF" w:rsidRDefault="001A41AF" w:rsidP="001A41AF">
            <w:pPr>
              <w:jc w:val="center"/>
              <w:rPr>
                <w:color w:val="000000"/>
                <w:sz w:val="18"/>
                <w:szCs w:val="20"/>
              </w:rPr>
            </w:pPr>
          </w:p>
          <w:p w14:paraId="51EB3F51" w14:textId="77777777" w:rsidR="00EF2A15" w:rsidRPr="00AD2A23" w:rsidRDefault="00EF2A15" w:rsidP="001A41AF">
            <w:pPr>
              <w:jc w:val="center"/>
              <w:rPr>
                <w:color w:val="000000"/>
                <w:sz w:val="18"/>
                <w:szCs w:val="20"/>
              </w:rPr>
            </w:pPr>
            <w:r w:rsidRPr="00AD2A23">
              <w:rPr>
                <w:color w:val="000000"/>
                <w:sz w:val="18"/>
                <w:szCs w:val="20"/>
              </w:rPr>
              <w:t>67,15</w:t>
            </w:r>
          </w:p>
          <w:p w14:paraId="48E8F326" w14:textId="77777777" w:rsidR="00EF2A15" w:rsidRPr="008B706B" w:rsidRDefault="00EF2A15" w:rsidP="001A41AF">
            <w:pPr>
              <w:jc w:val="center"/>
              <w:rPr>
                <w:color w:val="000000"/>
                <w:sz w:val="18"/>
              </w:rPr>
            </w:pPr>
          </w:p>
        </w:tc>
        <w:tc>
          <w:tcPr>
            <w:tcW w:w="0" w:type="auto"/>
            <w:shd w:val="clear" w:color="auto" w:fill="auto"/>
            <w:vAlign w:val="center"/>
          </w:tcPr>
          <w:p w14:paraId="2BC4C1C9" w14:textId="77777777" w:rsidR="00EF2A15" w:rsidRPr="00404DA5" w:rsidRDefault="00EF2A15" w:rsidP="001A41AF">
            <w:pPr>
              <w:jc w:val="center"/>
              <w:rPr>
                <w:rFonts w:cs="Calibri"/>
                <w:sz w:val="18"/>
                <w:szCs w:val="20"/>
              </w:rPr>
            </w:pPr>
            <w:r w:rsidRPr="00404DA5">
              <w:rPr>
                <w:rFonts w:cs="Calibri"/>
                <w:sz w:val="18"/>
                <w:szCs w:val="20"/>
              </w:rPr>
              <w:t>35,3%</w:t>
            </w:r>
          </w:p>
        </w:tc>
      </w:tr>
      <w:tr w:rsidR="00EF2A15" w:rsidRPr="0043138F" w14:paraId="70B892C6" w14:textId="77777777" w:rsidTr="00EF2A15">
        <w:tc>
          <w:tcPr>
            <w:tcW w:w="0" w:type="auto"/>
            <w:shd w:val="clear" w:color="auto" w:fill="auto"/>
            <w:vAlign w:val="center"/>
          </w:tcPr>
          <w:p w14:paraId="7919B006" w14:textId="77777777" w:rsidR="00EF2A15" w:rsidRPr="00404DA5" w:rsidRDefault="00EF2A15" w:rsidP="00EF2A15">
            <w:pPr>
              <w:jc w:val="center"/>
              <w:rPr>
                <w:sz w:val="18"/>
                <w:szCs w:val="20"/>
              </w:rPr>
            </w:pPr>
            <w:r w:rsidRPr="00404DA5">
              <w:rPr>
                <w:sz w:val="18"/>
                <w:szCs w:val="20"/>
              </w:rPr>
              <w:lastRenderedPageBreak/>
              <w:t>wskaźnik produktu</w:t>
            </w:r>
          </w:p>
        </w:tc>
        <w:tc>
          <w:tcPr>
            <w:tcW w:w="0" w:type="auto"/>
            <w:shd w:val="clear" w:color="auto" w:fill="auto"/>
          </w:tcPr>
          <w:p w14:paraId="6982C333" w14:textId="77777777" w:rsidR="00EF2A15" w:rsidRPr="00404DA5" w:rsidRDefault="00EF2A15" w:rsidP="00EF2A15">
            <w:pPr>
              <w:jc w:val="center"/>
              <w:rPr>
                <w:rFonts w:cs="Calibri"/>
                <w:sz w:val="18"/>
                <w:szCs w:val="20"/>
              </w:rPr>
            </w:pPr>
            <w:r w:rsidRPr="00404DA5">
              <w:rPr>
                <w:rFonts w:cs="Calibri"/>
                <w:sz w:val="18"/>
                <w:szCs w:val="20"/>
              </w:rPr>
              <w:t>5.1, 5.2, 5.3</w:t>
            </w:r>
          </w:p>
        </w:tc>
        <w:tc>
          <w:tcPr>
            <w:tcW w:w="0" w:type="auto"/>
            <w:shd w:val="clear" w:color="auto" w:fill="auto"/>
            <w:vAlign w:val="center"/>
          </w:tcPr>
          <w:p w14:paraId="58876074" w14:textId="77777777" w:rsidR="00EF2A15" w:rsidRPr="00404DA5" w:rsidRDefault="00EF2A15" w:rsidP="00EF2A15">
            <w:pPr>
              <w:jc w:val="center"/>
              <w:rPr>
                <w:rFonts w:cs="Calibri"/>
                <w:sz w:val="18"/>
                <w:szCs w:val="20"/>
              </w:rPr>
            </w:pPr>
            <w:r w:rsidRPr="00404DA5">
              <w:rPr>
                <w:rFonts w:cs="Calibri"/>
                <w:sz w:val="18"/>
                <w:szCs w:val="20"/>
              </w:rPr>
              <w:t>Całkowita długość nowych dróg</w:t>
            </w:r>
          </w:p>
        </w:tc>
        <w:tc>
          <w:tcPr>
            <w:tcW w:w="0" w:type="auto"/>
            <w:shd w:val="clear" w:color="auto" w:fill="auto"/>
            <w:vAlign w:val="center"/>
          </w:tcPr>
          <w:p w14:paraId="5C8C35AE" w14:textId="77777777" w:rsidR="00EF2A15" w:rsidRPr="00404DA5" w:rsidRDefault="00EF2A15" w:rsidP="00EF2A15">
            <w:pPr>
              <w:jc w:val="center"/>
              <w:rPr>
                <w:rFonts w:cs="Calibri"/>
                <w:sz w:val="18"/>
                <w:szCs w:val="20"/>
              </w:rPr>
            </w:pPr>
            <w:r w:rsidRPr="00404DA5">
              <w:rPr>
                <w:rFonts w:cs="Calibri"/>
                <w:sz w:val="18"/>
                <w:szCs w:val="20"/>
              </w:rPr>
              <w:t>km</w:t>
            </w:r>
          </w:p>
        </w:tc>
        <w:tc>
          <w:tcPr>
            <w:tcW w:w="0" w:type="auto"/>
            <w:shd w:val="clear" w:color="auto" w:fill="auto"/>
            <w:vAlign w:val="center"/>
          </w:tcPr>
          <w:p w14:paraId="09F43180" w14:textId="77777777" w:rsidR="00EF2A15" w:rsidRPr="00404DA5" w:rsidRDefault="00EF2A15" w:rsidP="00EF2A15">
            <w:pPr>
              <w:jc w:val="center"/>
              <w:rPr>
                <w:rFonts w:cs="Calibri"/>
                <w:sz w:val="18"/>
                <w:szCs w:val="20"/>
              </w:rPr>
            </w:pPr>
            <w:r w:rsidRPr="00404DA5">
              <w:rPr>
                <w:rFonts w:cs="Calibri"/>
                <w:sz w:val="18"/>
                <w:szCs w:val="20"/>
              </w:rPr>
              <w:t>5</w:t>
            </w:r>
          </w:p>
        </w:tc>
        <w:tc>
          <w:tcPr>
            <w:tcW w:w="0" w:type="auto"/>
            <w:shd w:val="clear" w:color="auto" w:fill="auto"/>
            <w:vAlign w:val="center"/>
          </w:tcPr>
          <w:p w14:paraId="781BB471" w14:textId="77777777" w:rsidR="00EF2A15" w:rsidRPr="00404DA5" w:rsidRDefault="00EF2A15" w:rsidP="00EF2A15">
            <w:pPr>
              <w:jc w:val="center"/>
              <w:rPr>
                <w:rFonts w:cs="Calibri"/>
                <w:sz w:val="18"/>
                <w:szCs w:val="20"/>
              </w:rPr>
            </w:pPr>
            <w:r w:rsidRPr="00404DA5">
              <w:rPr>
                <w:rFonts w:cs="Calibri"/>
                <w:sz w:val="18"/>
                <w:szCs w:val="20"/>
              </w:rPr>
              <w:t>5,32</w:t>
            </w:r>
          </w:p>
        </w:tc>
        <w:tc>
          <w:tcPr>
            <w:tcW w:w="0" w:type="auto"/>
            <w:shd w:val="clear" w:color="auto" w:fill="auto"/>
            <w:vAlign w:val="center"/>
          </w:tcPr>
          <w:p w14:paraId="59E6550D" w14:textId="77777777" w:rsidR="00EF2A15" w:rsidRPr="00404DA5" w:rsidRDefault="00EF2A15" w:rsidP="00EF2A15">
            <w:pPr>
              <w:jc w:val="center"/>
              <w:rPr>
                <w:rFonts w:cs="Calibri"/>
                <w:sz w:val="18"/>
                <w:szCs w:val="20"/>
              </w:rPr>
            </w:pPr>
            <w:r w:rsidRPr="00404DA5">
              <w:rPr>
                <w:rFonts w:cs="Calibri"/>
                <w:sz w:val="18"/>
                <w:szCs w:val="20"/>
              </w:rPr>
              <w:t>106,4</w:t>
            </w:r>
          </w:p>
        </w:tc>
        <w:tc>
          <w:tcPr>
            <w:tcW w:w="0" w:type="auto"/>
            <w:shd w:val="clear" w:color="auto" w:fill="auto"/>
            <w:vAlign w:val="center"/>
          </w:tcPr>
          <w:p w14:paraId="7459B341" w14:textId="77777777" w:rsidR="00EF2A15" w:rsidRPr="00404DA5" w:rsidRDefault="00EF2A15" w:rsidP="00EF2A15">
            <w:pPr>
              <w:jc w:val="center"/>
              <w:rPr>
                <w:rFonts w:cs="Calibri"/>
                <w:sz w:val="18"/>
                <w:szCs w:val="20"/>
              </w:rPr>
            </w:pPr>
            <w:r w:rsidRPr="00404DA5">
              <w:rPr>
                <w:rFonts w:cs="Calibri"/>
                <w:sz w:val="18"/>
                <w:szCs w:val="20"/>
              </w:rPr>
              <w:t>1,25</w:t>
            </w:r>
          </w:p>
        </w:tc>
        <w:tc>
          <w:tcPr>
            <w:tcW w:w="0" w:type="auto"/>
            <w:shd w:val="clear" w:color="auto" w:fill="auto"/>
            <w:vAlign w:val="center"/>
          </w:tcPr>
          <w:p w14:paraId="303EB528" w14:textId="77777777" w:rsidR="00EF2A15" w:rsidRPr="00404DA5" w:rsidRDefault="00EF2A15" w:rsidP="00EF2A15">
            <w:pPr>
              <w:jc w:val="center"/>
              <w:rPr>
                <w:rFonts w:cs="Calibri"/>
                <w:sz w:val="18"/>
                <w:szCs w:val="20"/>
              </w:rPr>
            </w:pPr>
            <w:r w:rsidRPr="00404DA5">
              <w:rPr>
                <w:rFonts w:cs="Calibri"/>
                <w:sz w:val="18"/>
                <w:szCs w:val="20"/>
              </w:rPr>
              <w:t>25%</w:t>
            </w:r>
          </w:p>
        </w:tc>
      </w:tr>
    </w:tbl>
    <w:p w14:paraId="73E3AE90"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00ACB53D" w14:textId="77777777" w:rsidR="00EF2A15" w:rsidRPr="008B706B" w:rsidRDefault="00EF2A15" w:rsidP="00EF2A15">
      <w:pPr>
        <w:pStyle w:val="evaluTresc"/>
        <w:rPr>
          <w:bCs/>
          <w:color w:val="000000"/>
        </w:rPr>
      </w:pPr>
      <w:r w:rsidRPr="008755C3">
        <w:t xml:space="preserve">Postęp finansowy PI 7b </w:t>
      </w:r>
      <w:r w:rsidRPr="00BF6D9D">
        <w:t>jest zadowalający, zgodny</w:t>
      </w:r>
      <w:r w:rsidR="00E66B89">
        <w:t xml:space="preserve"> z </w:t>
      </w:r>
      <w:r w:rsidRPr="00BF6D9D">
        <w:t>harmonogramem wdrażanych projektów. Do dnia 31.12.2018 roku</w:t>
      </w:r>
      <w:r w:rsidR="00E66B89">
        <w:t xml:space="preserve"> w </w:t>
      </w:r>
      <w:r w:rsidRPr="00BF6D9D">
        <w:t>z</w:t>
      </w:r>
      <w:r w:rsidRPr="007F116A">
        <w:t>atwierdzony</w:t>
      </w:r>
      <w:r w:rsidRPr="006558FF">
        <w:t xml:space="preserve">ch </w:t>
      </w:r>
      <w:r>
        <w:t>WoP</w:t>
      </w:r>
      <w:r w:rsidRPr="008B706B">
        <w:t xml:space="preserve"> wykazano wydatkowanie 25% środków przeznaczonych na dofinansowanie </w:t>
      </w:r>
      <w:r>
        <w:t>PI</w:t>
      </w:r>
      <w:r w:rsidRPr="008B706B">
        <w:t xml:space="preserve">. Średni koszt przebudowy 1 km drogi według podpisanych </w:t>
      </w:r>
      <w:r>
        <w:t>UoD</w:t>
      </w:r>
      <w:r w:rsidRPr="008B706B">
        <w:t xml:space="preserve"> wynosi</w:t>
      </w:r>
      <w:r>
        <w:t xml:space="preserve"> </w:t>
      </w:r>
      <w:r w:rsidRPr="008B706B">
        <w:rPr>
          <w:bCs/>
          <w:color w:val="000000"/>
        </w:rPr>
        <w:t>2 736 925,11 zł</w:t>
      </w:r>
      <w:r>
        <w:rPr>
          <w:bCs/>
          <w:color w:val="000000"/>
        </w:rPr>
        <w:t>,</w:t>
      </w:r>
      <w:r w:rsidRPr="008B706B">
        <w:rPr>
          <w:bCs/>
          <w:color w:val="000000"/>
        </w:rPr>
        <w:t xml:space="preserve"> zaś średni koszt budowy 1 km nowej drogi - 6 166 979,97 zł. Koszty te różnicują się</w:t>
      </w:r>
      <w:r w:rsidR="00E66B89">
        <w:rPr>
          <w:bCs/>
          <w:color w:val="000000"/>
        </w:rPr>
        <w:t xml:space="preserve"> w </w:t>
      </w:r>
      <w:r w:rsidRPr="008B706B">
        <w:rPr>
          <w:bCs/>
          <w:color w:val="000000"/>
        </w:rPr>
        <w:t>zależności od typu drogi – najwyższe są</w:t>
      </w:r>
      <w:r w:rsidR="00E66B89">
        <w:rPr>
          <w:bCs/>
          <w:color w:val="000000"/>
        </w:rPr>
        <w:t xml:space="preserve"> w </w:t>
      </w:r>
      <w:r w:rsidRPr="008B706B">
        <w:rPr>
          <w:bCs/>
          <w:color w:val="000000"/>
        </w:rPr>
        <w:t>przypadku dróg wojewódzkich</w:t>
      </w:r>
      <w:r w:rsidR="00E66B89">
        <w:rPr>
          <w:bCs/>
          <w:color w:val="000000"/>
        </w:rPr>
        <w:t xml:space="preserve"> i </w:t>
      </w:r>
      <w:r w:rsidRPr="008B706B">
        <w:rPr>
          <w:bCs/>
          <w:color w:val="000000"/>
        </w:rPr>
        <w:t xml:space="preserve">dróg gminnych wspieranych na obszarach miejskich, najniższe zaś na drogach powiatowych. Biorąc pod uwagę, iż 85% alokacji przeznaczonych zostało na drogi wojewódzkie we wszystkich RPO, </w:t>
      </w:r>
      <w:r>
        <w:rPr>
          <w:bCs/>
          <w:color w:val="000000"/>
        </w:rPr>
        <w:t xml:space="preserve">przeprowadzono </w:t>
      </w:r>
      <w:r w:rsidRPr="008B706B">
        <w:rPr>
          <w:bCs/>
          <w:color w:val="000000"/>
        </w:rPr>
        <w:t>analiz</w:t>
      </w:r>
      <w:r>
        <w:rPr>
          <w:bCs/>
          <w:color w:val="000000"/>
        </w:rPr>
        <w:t>ę</w:t>
      </w:r>
      <w:r w:rsidRPr="008B706B">
        <w:rPr>
          <w:bCs/>
          <w:color w:val="000000"/>
        </w:rPr>
        <w:t xml:space="preserve"> benchmarkow</w:t>
      </w:r>
      <w:r>
        <w:rPr>
          <w:bCs/>
          <w:color w:val="000000"/>
        </w:rPr>
        <w:t>ą</w:t>
      </w:r>
      <w:r w:rsidRPr="008B706B">
        <w:rPr>
          <w:bCs/>
          <w:color w:val="000000"/>
        </w:rPr>
        <w:t xml:space="preserve"> dotycz</w:t>
      </w:r>
      <w:r>
        <w:rPr>
          <w:bCs/>
          <w:color w:val="000000"/>
        </w:rPr>
        <w:t>ącą</w:t>
      </w:r>
      <w:r w:rsidRPr="008B706B">
        <w:rPr>
          <w:bCs/>
          <w:color w:val="000000"/>
        </w:rPr>
        <w:t xml:space="preserve"> dróg wojewódzkich. Wynika</w:t>
      </w:r>
      <w:r w:rsidR="00E66B89">
        <w:rPr>
          <w:bCs/>
          <w:color w:val="000000"/>
        </w:rPr>
        <w:t xml:space="preserve"> z </w:t>
      </w:r>
      <w:r w:rsidRPr="008B706B">
        <w:rPr>
          <w:bCs/>
          <w:color w:val="000000"/>
        </w:rPr>
        <w:t>niej, iż</w:t>
      </w:r>
      <w:r w:rsidR="00E66B89">
        <w:rPr>
          <w:bCs/>
          <w:color w:val="000000"/>
        </w:rPr>
        <w:t xml:space="preserve"> w </w:t>
      </w:r>
      <w:r w:rsidRPr="008B706B">
        <w:rPr>
          <w:bCs/>
          <w:color w:val="000000"/>
        </w:rPr>
        <w:t>RPO WZ 2014-2020 zachowano wysoką efektywność kosztową</w:t>
      </w:r>
      <w:r>
        <w:rPr>
          <w:bCs/>
          <w:color w:val="000000"/>
        </w:rPr>
        <w:t xml:space="preserve"> -</w:t>
      </w:r>
      <w:r w:rsidRPr="008B706B">
        <w:rPr>
          <w:bCs/>
          <w:color w:val="000000"/>
        </w:rPr>
        <w:t xml:space="preserve"> zarówno</w:t>
      </w:r>
      <w:r w:rsidR="00E66B89">
        <w:rPr>
          <w:bCs/>
          <w:color w:val="000000"/>
        </w:rPr>
        <w:t xml:space="preserve"> w </w:t>
      </w:r>
      <w:r w:rsidRPr="008B706B">
        <w:rPr>
          <w:bCs/>
          <w:color w:val="000000"/>
        </w:rPr>
        <w:t>zakresie przebudowanych</w:t>
      </w:r>
      <w:r>
        <w:rPr>
          <w:bCs/>
          <w:color w:val="000000"/>
        </w:rPr>
        <w:t>,</w:t>
      </w:r>
      <w:r w:rsidRPr="008B706B">
        <w:rPr>
          <w:bCs/>
          <w:color w:val="000000"/>
        </w:rPr>
        <w:t xml:space="preserve"> jak</w:t>
      </w:r>
      <w:r w:rsidR="00E66B89">
        <w:rPr>
          <w:bCs/>
          <w:color w:val="000000"/>
        </w:rPr>
        <w:t xml:space="preserve"> i </w:t>
      </w:r>
      <w:r w:rsidRPr="008B706B">
        <w:rPr>
          <w:bCs/>
          <w:color w:val="000000"/>
        </w:rPr>
        <w:t xml:space="preserve">wybudowanych dróg wojewódzkich. </w:t>
      </w:r>
    </w:p>
    <w:p w14:paraId="7CB1A06D" w14:textId="77777777" w:rsidR="00EF2A15" w:rsidRDefault="00EF2A15" w:rsidP="00754ED4">
      <w:pPr>
        <w:pStyle w:val="Legenda"/>
        <w:spacing w:after="0"/>
      </w:pPr>
      <w:bookmarkStart w:id="144" w:name="_Toc8824180"/>
      <w:r>
        <w:t xml:space="preserve">Tabela </w:t>
      </w:r>
      <w:r>
        <w:fldChar w:fldCharType="begin"/>
      </w:r>
      <w:r>
        <w:instrText xml:space="preserve"> SEQ Tabela \* ARABIC </w:instrText>
      </w:r>
      <w:r>
        <w:fldChar w:fldCharType="separate"/>
      </w:r>
      <w:r w:rsidR="00763345">
        <w:rPr>
          <w:noProof/>
        </w:rPr>
        <w:t>69</w:t>
      </w:r>
      <w:r>
        <w:fldChar w:fldCharType="end"/>
      </w:r>
      <w:r>
        <w:t xml:space="preserve"> </w:t>
      </w:r>
      <w:r w:rsidRPr="009D06F5">
        <w:t>Średni koszt realizacji jednostki wskaźnika programowego PI 7b</w:t>
      </w:r>
      <w:r w:rsidR="00E66B89">
        <w:t xml:space="preserve"> w </w:t>
      </w:r>
      <w:r w:rsidRPr="009D06F5">
        <w:t>RPO WZ 2014-2020 oraz</w:t>
      </w:r>
      <w:r w:rsidR="00E66B89">
        <w:t xml:space="preserve"> w </w:t>
      </w:r>
      <w:r w:rsidRPr="009D06F5">
        <w:t>benchmarkowych regionalnych programach operacyjnych (drogi wojewódzkie) – dofinansowanie UE</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261"/>
        <w:gridCol w:w="3538"/>
      </w:tblGrid>
      <w:tr w:rsidR="00EF2A15" w:rsidRPr="00477336" w14:paraId="174EB250" w14:textId="77777777" w:rsidTr="00C22C26">
        <w:trPr>
          <w:trHeight w:val="397"/>
          <w:tblHeader/>
        </w:trPr>
        <w:tc>
          <w:tcPr>
            <w:tcW w:w="2263" w:type="dxa"/>
            <w:shd w:val="clear" w:color="auto" w:fill="DBE5F1"/>
          </w:tcPr>
          <w:p w14:paraId="45646970" w14:textId="77777777" w:rsidR="00EF2A15" w:rsidRPr="008B706B" w:rsidRDefault="00EF2A15" w:rsidP="00EF2A15">
            <w:pPr>
              <w:jc w:val="left"/>
              <w:rPr>
                <w:color w:val="000000"/>
                <w:sz w:val="18"/>
                <w:szCs w:val="18"/>
              </w:rPr>
            </w:pPr>
            <w:r w:rsidRPr="008B706B">
              <w:rPr>
                <w:color w:val="000000"/>
                <w:sz w:val="18"/>
                <w:szCs w:val="18"/>
              </w:rPr>
              <w:t>Nazwa RPO</w:t>
            </w:r>
          </w:p>
        </w:tc>
        <w:tc>
          <w:tcPr>
            <w:tcW w:w="3261" w:type="dxa"/>
            <w:shd w:val="clear" w:color="auto" w:fill="DBE5F1"/>
          </w:tcPr>
          <w:p w14:paraId="382DCC06" w14:textId="77777777" w:rsidR="00EF2A15" w:rsidRPr="008B706B" w:rsidRDefault="00EF2A15" w:rsidP="00EF2A15">
            <w:pPr>
              <w:jc w:val="left"/>
              <w:rPr>
                <w:color w:val="000000"/>
                <w:sz w:val="18"/>
                <w:szCs w:val="18"/>
              </w:rPr>
            </w:pPr>
            <w:r w:rsidRPr="008B706B">
              <w:rPr>
                <w:color w:val="000000"/>
                <w:sz w:val="18"/>
                <w:szCs w:val="18"/>
              </w:rPr>
              <w:t>Średni koszt przebudowania/modernizacji 1 km drogi wojewódzkiej (zł)</w:t>
            </w:r>
          </w:p>
        </w:tc>
        <w:tc>
          <w:tcPr>
            <w:tcW w:w="3538" w:type="dxa"/>
            <w:shd w:val="clear" w:color="auto" w:fill="DBE5F1"/>
          </w:tcPr>
          <w:p w14:paraId="4FF8CFF4" w14:textId="77777777" w:rsidR="00EF2A15" w:rsidRPr="008B706B" w:rsidRDefault="00EF2A15" w:rsidP="00EF2A15">
            <w:pPr>
              <w:jc w:val="left"/>
              <w:rPr>
                <w:color w:val="000000"/>
                <w:sz w:val="18"/>
                <w:szCs w:val="18"/>
              </w:rPr>
            </w:pPr>
            <w:r w:rsidRPr="008B706B">
              <w:rPr>
                <w:color w:val="000000"/>
                <w:sz w:val="18"/>
                <w:szCs w:val="18"/>
              </w:rPr>
              <w:t>Średni koszt budowy 1 km drogi wojewódzkiej (zł)</w:t>
            </w:r>
          </w:p>
        </w:tc>
      </w:tr>
      <w:tr w:rsidR="00EF2A15" w:rsidRPr="00477336" w14:paraId="70693DB2" w14:textId="77777777" w:rsidTr="00EF2A15">
        <w:trPr>
          <w:trHeight w:val="397"/>
        </w:trPr>
        <w:tc>
          <w:tcPr>
            <w:tcW w:w="2263" w:type="dxa"/>
            <w:shd w:val="clear" w:color="auto" w:fill="auto"/>
          </w:tcPr>
          <w:p w14:paraId="411B6567" w14:textId="77777777" w:rsidR="00EF2A15" w:rsidRPr="008B706B" w:rsidRDefault="00EF2A15" w:rsidP="00EF2A15">
            <w:pPr>
              <w:jc w:val="left"/>
              <w:rPr>
                <w:color w:val="000000"/>
                <w:sz w:val="18"/>
                <w:szCs w:val="18"/>
              </w:rPr>
            </w:pPr>
            <w:r w:rsidRPr="008B706B">
              <w:rPr>
                <w:color w:val="000000"/>
                <w:sz w:val="18"/>
                <w:szCs w:val="18"/>
              </w:rPr>
              <w:t>RPO WZ 2014-2020</w:t>
            </w:r>
          </w:p>
        </w:tc>
        <w:tc>
          <w:tcPr>
            <w:tcW w:w="3261" w:type="dxa"/>
            <w:shd w:val="clear" w:color="auto" w:fill="auto"/>
          </w:tcPr>
          <w:p w14:paraId="530DFF0D" w14:textId="77777777" w:rsidR="00EF2A15" w:rsidRPr="008B706B" w:rsidRDefault="00EF2A15" w:rsidP="00EF2A15">
            <w:pPr>
              <w:jc w:val="left"/>
              <w:rPr>
                <w:color w:val="000000"/>
                <w:sz w:val="18"/>
                <w:szCs w:val="18"/>
              </w:rPr>
            </w:pPr>
            <w:r w:rsidRPr="008B706B">
              <w:rPr>
                <w:color w:val="000000"/>
                <w:sz w:val="18"/>
                <w:szCs w:val="18"/>
              </w:rPr>
              <w:t>3 260 601,55</w:t>
            </w:r>
          </w:p>
        </w:tc>
        <w:tc>
          <w:tcPr>
            <w:tcW w:w="3538" w:type="dxa"/>
            <w:shd w:val="clear" w:color="auto" w:fill="auto"/>
          </w:tcPr>
          <w:p w14:paraId="5AFE7F5F" w14:textId="77777777" w:rsidR="00EF2A15" w:rsidRPr="008B706B" w:rsidRDefault="00EF2A15" w:rsidP="00EF2A15">
            <w:pPr>
              <w:jc w:val="left"/>
              <w:rPr>
                <w:color w:val="000000"/>
                <w:sz w:val="18"/>
                <w:szCs w:val="18"/>
              </w:rPr>
            </w:pPr>
            <w:r w:rsidRPr="008B706B">
              <w:rPr>
                <w:color w:val="000000"/>
                <w:sz w:val="18"/>
                <w:szCs w:val="18"/>
              </w:rPr>
              <w:t>6 731 313,08</w:t>
            </w:r>
          </w:p>
        </w:tc>
      </w:tr>
      <w:tr w:rsidR="00EF2A15" w:rsidRPr="00477336" w14:paraId="05002294" w14:textId="77777777" w:rsidTr="00EF2A15">
        <w:trPr>
          <w:trHeight w:val="397"/>
        </w:trPr>
        <w:tc>
          <w:tcPr>
            <w:tcW w:w="2263" w:type="dxa"/>
            <w:shd w:val="clear" w:color="auto" w:fill="auto"/>
          </w:tcPr>
          <w:p w14:paraId="1070BBDF" w14:textId="77777777" w:rsidR="00EF2A15" w:rsidRPr="008B706B" w:rsidRDefault="00EF2A15" w:rsidP="00EF2A15">
            <w:pPr>
              <w:jc w:val="left"/>
              <w:rPr>
                <w:color w:val="000000"/>
                <w:sz w:val="18"/>
                <w:szCs w:val="18"/>
              </w:rPr>
            </w:pPr>
            <w:r w:rsidRPr="008B706B">
              <w:rPr>
                <w:color w:val="000000"/>
                <w:sz w:val="18"/>
                <w:szCs w:val="18"/>
              </w:rPr>
              <w:t>WRPO 2014+</w:t>
            </w:r>
          </w:p>
        </w:tc>
        <w:tc>
          <w:tcPr>
            <w:tcW w:w="3261" w:type="dxa"/>
            <w:shd w:val="clear" w:color="auto" w:fill="auto"/>
          </w:tcPr>
          <w:p w14:paraId="4FE40432" w14:textId="77777777" w:rsidR="00EF2A15" w:rsidRPr="008B706B" w:rsidRDefault="00EF2A15" w:rsidP="00EF2A15">
            <w:pPr>
              <w:jc w:val="left"/>
              <w:rPr>
                <w:color w:val="000000"/>
                <w:sz w:val="18"/>
                <w:szCs w:val="18"/>
              </w:rPr>
            </w:pPr>
            <w:r w:rsidRPr="008B706B">
              <w:rPr>
                <w:color w:val="000000"/>
                <w:sz w:val="18"/>
                <w:szCs w:val="18"/>
              </w:rPr>
              <w:t>3 552 005,38</w:t>
            </w:r>
          </w:p>
        </w:tc>
        <w:tc>
          <w:tcPr>
            <w:tcW w:w="3538" w:type="dxa"/>
            <w:shd w:val="clear" w:color="auto" w:fill="auto"/>
          </w:tcPr>
          <w:p w14:paraId="7981D61D" w14:textId="77777777" w:rsidR="00EF2A15" w:rsidRPr="008B706B" w:rsidRDefault="00EF2A15" w:rsidP="00EF2A15">
            <w:pPr>
              <w:jc w:val="left"/>
              <w:rPr>
                <w:color w:val="000000"/>
                <w:sz w:val="18"/>
                <w:szCs w:val="18"/>
              </w:rPr>
            </w:pPr>
            <w:r w:rsidRPr="008B706B">
              <w:rPr>
                <w:color w:val="000000"/>
                <w:sz w:val="18"/>
                <w:szCs w:val="18"/>
              </w:rPr>
              <w:t>9910086</w:t>
            </w:r>
          </w:p>
        </w:tc>
      </w:tr>
      <w:tr w:rsidR="00EF2A15" w:rsidRPr="00477336" w14:paraId="473E2681" w14:textId="77777777" w:rsidTr="00EF2A15">
        <w:trPr>
          <w:trHeight w:val="397"/>
        </w:trPr>
        <w:tc>
          <w:tcPr>
            <w:tcW w:w="2263" w:type="dxa"/>
            <w:shd w:val="clear" w:color="auto" w:fill="auto"/>
          </w:tcPr>
          <w:p w14:paraId="713B4DF9" w14:textId="77777777" w:rsidR="00EF2A15" w:rsidRPr="008B706B" w:rsidRDefault="00EF2A15" w:rsidP="00EF2A15">
            <w:pPr>
              <w:jc w:val="left"/>
              <w:rPr>
                <w:color w:val="000000"/>
                <w:sz w:val="18"/>
                <w:szCs w:val="18"/>
              </w:rPr>
            </w:pPr>
            <w:r w:rsidRPr="008B706B">
              <w:rPr>
                <w:color w:val="000000"/>
                <w:sz w:val="18"/>
                <w:szCs w:val="18"/>
              </w:rPr>
              <w:t>RPO WO 2014-2020</w:t>
            </w:r>
          </w:p>
        </w:tc>
        <w:tc>
          <w:tcPr>
            <w:tcW w:w="3261" w:type="dxa"/>
            <w:shd w:val="clear" w:color="auto" w:fill="auto"/>
          </w:tcPr>
          <w:p w14:paraId="0B2B2ADE" w14:textId="77777777" w:rsidR="00EF2A15" w:rsidRPr="008B706B" w:rsidRDefault="00EF2A15" w:rsidP="00EF2A15">
            <w:pPr>
              <w:jc w:val="left"/>
              <w:rPr>
                <w:color w:val="000000"/>
                <w:sz w:val="18"/>
                <w:szCs w:val="18"/>
              </w:rPr>
            </w:pPr>
            <w:r w:rsidRPr="008B706B">
              <w:rPr>
                <w:color w:val="000000"/>
                <w:sz w:val="18"/>
                <w:szCs w:val="18"/>
              </w:rPr>
              <w:t>6 185 578,05</w:t>
            </w:r>
          </w:p>
        </w:tc>
        <w:tc>
          <w:tcPr>
            <w:tcW w:w="3538" w:type="dxa"/>
            <w:shd w:val="clear" w:color="auto" w:fill="auto"/>
          </w:tcPr>
          <w:p w14:paraId="12183F39" w14:textId="77777777" w:rsidR="00EF2A15" w:rsidRPr="008B706B" w:rsidRDefault="00EF2A15" w:rsidP="00EF2A15">
            <w:pPr>
              <w:jc w:val="left"/>
              <w:rPr>
                <w:color w:val="000000"/>
                <w:sz w:val="18"/>
                <w:szCs w:val="18"/>
              </w:rPr>
            </w:pPr>
            <w:r w:rsidRPr="008B706B">
              <w:rPr>
                <w:color w:val="000000"/>
                <w:sz w:val="18"/>
                <w:szCs w:val="18"/>
              </w:rPr>
              <w:t>13 471 466,15</w:t>
            </w:r>
          </w:p>
        </w:tc>
      </w:tr>
      <w:tr w:rsidR="00EF2A15" w:rsidRPr="00477336" w14:paraId="45630A45" w14:textId="77777777" w:rsidTr="00EF2A15">
        <w:trPr>
          <w:trHeight w:val="397"/>
        </w:trPr>
        <w:tc>
          <w:tcPr>
            <w:tcW w:w="2263" w:type="dxa"/>
            <w:shd w:val="clear" w:color="auto" w:fill="auto"/>
          </w:tcPr>
          <w:p w14:paraId="3657F091" w14:textId="77777777" w:rsidR="00EF2A15" w:rsidRPr="008B706B" w:rsidRDefault="00EF2A15" w:rsidP="00EF2A15">
            <w:pPr>
              <w:jc w:val="left"/>
              <w:rPr>
                <w:color w:val="000000"/>
                <w:sz w:val="18"/>
                <w:szCs w:val="18"/>
              </w:rPr>
            </w:pPr>
            <w:r w:rsidRPr="008B706B">
              <w:rPr>
                <w:color w:val="000000"/>
                <w:sz w:val="18"/>
                <w:szCs w:val="18"/>
              </w:rPr>
              <w:t>RPO WP 2014-2020</w:t>
            </w:r>
          </w:p>
        </w:tc>
        <w:tc>
          <w:tcPr>
            <w:tcW w:w="3261" w:type="dxa"/>
            <w:shd w:val="clear" w:color="auto" w:fill="auto"/>
          </w:tcPr>
          <w:p w14:paraId="66B4AC03" w14:textId="77777777" w:rsidR="00EF2A15" w:rsidRPr="008B706B" w:rsidRDefault="00EF2A15" w:rsidP="00EF2A15">
            <w:pPr>
              <w:jc w:val="left"/>
              <w:rPr>
                <w:color w:val="000000"/>
                <w:sz w:val="18"/>
                <w:szCs w:val="18"/>
              </w:rPr>
            </w:pPr>
            <w:r w:rsidRPr="008B706B">
              <w:rPr>
                <w:color w:val="000000"/>
                <w:sz w:val="18"/>
                <w:szCs w:val="18"/>
              </w:rPr>
              <w:t>3 938 421</w:t>
            </w:r>
          </w:p>
        </w:tc>
        <w:tc>
          <w:tcPr>
            <w:tcW w:w="3538" w:type="dxa"/>
            <w:shd w:val="clear" w:color="auto" w:fill="auto"/>
          </w:tcPr>
          <w:p w14:paraId="3C37D7EA" w14:textId="77777777" w:rsidR="00EF2A15" w:rsidRPr="008B706B" w:rsidRDefault="00EF2A15" w:rsidP="00EF2A15">
            <w:pPr>
              <w:jc w:val="left"/>
              <w:rPr>
                <w:color w:val="000000"/>
                <w:sz w:val="18"/>
                <w:szCs w:val="18"/>
              </w:rPr>
            </w:pPr>
            <w:r w:rsidRPr="008B706B">
              <w:rPr>
                <w:color w:val="000000"/>
                <w:sz w:val="18"/>
                <w:szCs w:val="18"/>
              </w:rPr>
              <w:t>15 915 623</w:t>
            </w:r>
          </w:p>
        </w:tc>
      </w:tr>
      <w:tr w:rsidR="00EF2A15" w:rsidRPr="00477336" w14:paraId="243806B5" w14:textId="77777777" w:rsidTr="00EF2A15">
        <w:trPr>
          <w:trHeight w:val="397"/>
        </w:trPr>
        <w:tc>
          <w:tcPr>
            <w:tcW w:w="2263" w:type="dxa"/>
            <w:shd w:val="clear" w:color="auto" w:fill="auto"/>
          </w:tcPr>
          <w:p w14:paraId="038DBFE1" w14:textId="77777777" w:rsidR="00EF2A15" w:rsidRPr="008B706B" w:rsidRDefault="00EF2A15" w:rsidP="00EF2A15">
            <w:pPr>
              <w:jc w:val="left"/>
              <w:rPr>
                <w:color w:val="000000"/>
                <w:sz w:val="18"/>
                <w:szCs w:val="18"/>
              </w:rPr>
            </w:pPr>
            <w:r w:rsidRPr="008B706B">
              <w:rPr>
                <w:color w:val="000000"/>
                <w:sz w:val="18"/>
                <w:szCs w:val="18"/>
              </w:rPr>
              <w:t>RPO WŁ 2014-2020</w:t>
            </w:r>
          </w:p>
        </w:tc>
        <w:tc>
          <w:tcPr>
            <w:tcW w:w="3261" w:type="dxa"/>
            <w:shd w:val="clear" w:color="auto" w:fill="auto"/>
          </w:tcPr>
          <w:p w14:paraId="7006C0CD" w14:textId="77777777" w:rsidR="00EF2A15" w:rsidRPr="008B706B" w:rsidRDefault="00EF2A15" w:rsidP="00EF2A15">
            <w:pPr>
              <w:jc w:val="left"/>
              <w:rPr>
                <w:color w:val="000000"/>
                <w:sz w:val="18"/>
                <w:szCs w:val="18"/>
              </w:rPr>
            </w:pPr>
            <w:r w:rsidRPr="008B706B">
              <w:rPr>
                <w:color w:val="000000"/>
                <w:sz w:val="18"/>
                <w:szCs w:val="18"/>
              </w:rPr>
              <w:t>4 431 020</w:t>
            </w:r>
          </w:p>
        </w:tc>
        <w:tc>
          <w:tcPr>
            <w:tcW w:w="3538" w:type="dxa"/>
            <w:shd w:val="clear" w:color="auto" w:fill="auto"/>
          </w:tcPr>
          <w:p w14:paraId="4E1F5CCD" w14:textId="77777777" w:rsidR="00EF2A15" w:rsidRPr="008B706B" w:rsidRDefault="00EF2A15" w:rsidP="00EF2A15">
            <w:pPr>
              <w:jc w:val="left"/>
              <w:rPr>
                <w:color w:val="000000"/>
                <w:sz w:val="18"/>
                <w:szCs w:val="18"/>
              </w:rPr>
            </w:pPr>
            <w:r w:rsidRPr="008B706B">
              <w:rPr>
                <w:color w:val="000000"/>
                <w:sz w:val="18"/>
                <w:szCs w:val="18"/>
              </w:rPr>
              <w:t>Nie realizowano</w:t>
            </w:r>
          </w:p>
        </w:tc>
      </w:tr>
      <w:tr w:rsidR="00EF2A15" w:rsidRPr="00477336" w14:paraId="11BB5757" w14:textId="77777777" w:rsidTr="00EF2A15">
        <w:trPr>
          <w:trHeight w:val="397"/>
        </w:trPr>
        <w:tc>
          <w:tcPr>
            <w:tcW w:w="2263" w:type="dxa"/>
            <w:shd w:val="clear" w:color="auto" w:fill="auto"/>
          </w:tcPr>
          <w:p w14:paraId="14660641" w14:textId="77777777" w:rsidR="00EF2A15" w:rsidRPr="008B706B" w:rsidRDefault="00EF2A15" w:rsidP="00EF2A15">
            <w:pPr>
              <w:jc w:val="left"/>
              <w:rPr>
                <w:color w:val="000000"/>
                <w:sz w:val="18"/>
                <w:szCs w:val="18"/>
              </w:rPr>
            </w:pPr>
            <w:r w:rsidRPr="008B706B">
              <w:rPr>
                <w:color w:val="000000"/>
                <w:sz w:val="18"/>
                <w:szCs w:val="18"/>
              </w:rPr>
              <w:t>RPO WiM 2014-2020</w:t>
            </w:r>
          </w:p>
        </w:tc>
        <w:tc>
          <w:tcPr>
            <w:tcW w:w="3261" w:type="dxa"/>
            <w:shd w:val="clear" w:color="auto" w:fill="auto"/>
          </w:tcPr>
          <w:p w14:paraId="290A9D71" w14:textId="77777777" w:rsidR="00EF2A15" w:rsidRPr="008B706B" w:rsidRDefault="00EF2A15" w:rsidP="00EF2A15">
            <w:pPr>
              <w:jc w:val="left"/>
              <w:rPr>
                <w:color w:val="000000"/>
                <w:sz w:val="18"/>
                <w:szCs w:val="18"/>
              </w:rPr>
            </w:pPr>
            <w:r w:rsidRPr="008B706B">
              <w:rPr>
                <w:bCs/>
                <w:color w:val="000000"/>
                <w:sz w:val="18"/>
                <w:szCs w:val="18"/>
              </w:rPr>
              <w:t>4 229 884</w:t>
            </w:r>
          </w:p>
        </w:tc>
        <w:tc>
          <w:tcPr>
            <w:tcW w:w="3538" w:type="dxa"/>
            <w:shd w:val="clear" w:color="auto" w:fill="auto"/>
          </w:tcPr>
          <w:p w14:paraId="1746C9E0" w14:textId="77777777" w:rsidR="00EF2A15" w:rsidRPr="008B706B" w:rsidRDefault="00EF2A15" w:rsidP="00EF2A15">
            <w:pPr>
              <w:jc w:val="left"/>
              <w:rPr>
                <w:color w:val="000000"/>
                <w:sz w:val="18"/>
                <w:szCs w:val="18"/>
              </w:rPr>
            </w:pPr>
            <w:r w:rsidRPr="008B706B">
              <w:rPr>
                <w:bCs/>
                <w:color w:val="000000"/>
                <w:sz w:val="18"/>
                <w:szCs w:val="18"/>
              </w:rPr>
              <w:t>14 645 282</w:t>
            </w:r>
          </w:p>
        </w:tc>
      </w:tr>
    </w:tbl>
    <w:p w14:paraId="5B126A96" w14:textId="77777777" w:rsidR="00EF2A15" w:rsidRPr="00EE66C6" w:rsidRDefault="00EF2A15" w:rsidP="005A06CB">
      <w:pPr>
        <w:spacing w:before="0"/>
        <w:rPr>
          <w:i/>
          <w:sz w:val="18"/>
          <w:szCs w:val="20"/>
        </w:rPr>
      </w:pPr>
      <w:r w:rsidRPr="00EE66C6">
        <w:rPr>
          <w:i/>
          <w:sz w:val="18"/>
          <w:szCs w:val="20"/>
        </w:rPr>
        <w:t>Źródło: obliczenia własne na podstawie SL 2014.</w:t>
      </w:r>
    </w:p>
    <w:p w14:paraId="6C8FEF5B"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Wskaźniki rezultatu strategicznego </w:t>
      </w:r>
    </w:p>
    <w:p w14:paraId="68DE615B" w14:textId="77777777" w:rsidR="00EF2A15" w:rsidRPr="000A135E" w:rsidRDefault="00EF2A15" w:rsidP="00EF2A15">
      <w:pPr>
        <w:pStyle w:val="evaluTresc"/>
        <w:rPr>
          <w:b/>
        </w:rPr>
      </w:pPr>
      <w:r w:rsidRPr="000A135E">
        <w:t xml:space="preserve">W RPO WZ 2014-2020 przyjęto także specyficzny wskaźnik rezultatu dla PI 7b: </w:t>
      </w:r>
      <w:r w:rsidRPr="008B706B">
        <w:rPr>
          <w:i/>
        </w:rPr>
        <w:t>Wskaźnik Drogowej Dostępności Transportowej WDDT II</w:t>
      </w:r>
      <w:r w:rsidRPr="000A135E">
        <w:t>.</w:t>
      </w:r>
      <w:r w:rsidR="00E66B89">
        <w:t xml:space="preserve"> W </w:t>
      </w:r>
      <w:r w:rsidRPr="000A135E">
        <w:t xml:space="preserve">Programie założono, że </w:t>
      </w:r>
      <w:r w:rsidRPr="008B706B">
        <w:rPr>
          <w:i/>
        </w:rPr>
        <w:t>WDDT II</w:t>
      </w:r>
      <w:r w:rsidRPr="000A135E">
        <w:t xml:space="preserve"> wzrośnie</w:t>
      </w:r>
      <w:r w:rsidR="00E66B89">
        <w:t xml:space="preserve"> z </w:t>
      </w:r>
      <w:r w:rsidRPr="000A135E">
        <w:t>1</w:t>
      </w:r>
      <w:r w:rsidRPr="000A135E">
        <w:rPr>
          <w:rFonts w:cs="Arial"/>
        </w:rPr>
        <w:t>1,8850</w:t>
      </w:r>
      <w:r w:rsidRPr="000A135E">
        <w:t xml:space="preserve"> do </w:t>
      </w:r>
      <w:r w:rsidRPr="000A135E">
        <w:rPr>
          <w:rFonts w:cs="Arial"/>
        </w:rPr>
        <w:t xml:space="preserve">14,0193 pkt. </w:t>
      </w:r>
      <w:r w:rsidRPr="000A135E">
        <w:t>Zmiany wartości przedmiotowego wskaźnika są obliczane na podstawie uwzględnienia faktycznie zrealizowanych (w latach 2004-2013) lub planowanych do realizacji (w latach 2014-2020) inwestycji transportowych</w:t>
      </w:r>
      <w:r w:rsidR="00E66B89">
        <w:t xml:space="preserve"> w </w:t>
      </w:r>
      <w:r w:rsidRPr="000A135E">
        <w:t>ramach POIiŚ, RPO</w:t>
      </w:r>
      <w:r w:rsidR="00E66B89">
        <w:t xml:space="preserve"> i </w:t>
      </w:r>
      <w:r w:rsidRPr="000A135E">
        <w:t>CEF</w:t>
      </w:r>
      <w:r>
        <w:t>R</w:t>
      </w:r>
      <w:r w:rsidRPr="000A135E">
        <w:t xml:space="preserve">. </w:t>
      </w:r>
      <w:r w:rsidRPr="000A135E">
        <w:rPr>
          <w:i/>
        </w:rPr>
        <w:t>Wskaźnik Drogowej Dostępności Transportowej</w:t>
      </w:r>
      <w:r w:rsidR="00E66B89">
        <w:t xml:space="preserve"> </w:t>
      </w:r>
      <w:r w:rsidR="00E66B89">
        <w:lastRenderedPageBreak/>
        <w:t>w </w:t>
      </w:r>
      <w:r w:rsidRPr="000A135E">
        <w:t>aktualizacji przeprowadzonej przez MIiR</w:t>
      </w:r>
      <w:r w:rsidR="00E66B89">
        <w:t xml:space="preserve"> w </w:t>
      </w:r>
      <w:r w:rsidRPr="000A135E">
        <w:t>2017 roku</w:t>
      </w:r>
      <w:r w:rsidRPr="000A135E">
        <w:rPr>
          <w:rStyle w:val="Odwoanieprzypisudolnego"/>
        </w:rPr>
        <w:footnoteReference w:id="48"/>
      </w:r>
      <w:r w:rsidRPr="000A135E">
        <w:t xml:space="preserve"> prognozowany jest do osiągnięcia</w:t>
      </w:r>
      <w:r w:rsidR="00E66B89">
        <w:t xml:space="preserve"> w </w:t>
      </w:r>
      <w:r w:rsidRPr="000A135E">
        <w:t>regionie zachodniopomorskim</w:t>
      </w:r>
      <w:r w:rsidR="00E66B89">
        <w:t xml:space="preserve"> w </w:t>
      </w:r>
      <w:r w:rsidRPr="000A135E">
        <w:t>wysokości 13,70 pkt,</w:t>
      </w:r>
      <w:r w:rsidR="00E66B89">
        <w:t xml:space="preserve"> z </w:t>
      </w:r>
      <w:r w:rsidRPr="000A135E">
        <w:t>uwzględnieniem zarówno inwestycji RPO WZ 2014-2020, jak</w:t>
      </w:r>
      <w:r w:rsidR="00E66B89">
        <w:t xml:space="preserve"> i </w:t>
      </w:r>
      <w:r w:rsidRPr="000A135E">
        <w:t xml:space="preserve">inwestycji POIiŚ 2014-2020 oraz CEFR. </w:t>
      </w:r>
      <w:bookmarkStart w:id="145" w:name="_Hlk3184006"/>
      <w:r w:rsidRPr="000A135E">
        <w:t>Obniżenie wartości wskaźnika prognozowanej na 2023 rok</w:t>
      </w:r>
      <w:r w:rsidR="00E66B89">
        <w:t xml:space="preserve"> w </w:t>
      </w:r>
      <w:r w:rsidRPr="000A135E">
        <w:t>stosunku do założeń roku 2015</w:t>
      </w:r>
      <w:r>
        <w:t>,</w:t>
      </w:r>
      <w:r w:rsidRPr="000A135E">
        <w:t xml:space="preserve"> wynika</w:t>
      </w:r>
      <w:r w:rsidR="00E66B89">
        <w:t xml:space="preserve"> z </w:t>
      </w:r>
      <w:r w:rsidRPr="000A135E">
        <w:t>odłożenia inwestycji budowy dalszych odcinków S6</w:t>
      </w:r>
      <w:r w:rsidR="00E66B89">
        <w:t xml:space="preserve"> w </w:t>
      </w:r>
      <w:r w:rsidRPr="000A135E">
        <w:t>perspektywie finansowej 2014-2020. Efekt drogi ekspresowej S6 będzie mniejszy od wcześniej zakładanego,</w:t>
      </w:r>
      <w:r w:rsidR="00E66B89">
        <w:t xml:space="preserve"> z </w:t>
      </w:r>
      <w:r w:rsidRPr="000A135E">
        <w:t>uwagi na jej realizację tylko</w:t>
      </w:r>
      <w:r w:rsidR="00E66B89">
        <w:t xml:space="preserve"> w </w:t>
      </w:r>
      <w:r w:rsidRPr="000A135E">
        <w:t>zachodnim fragmencie</w:t>
      </w:r>
      <w:r>
        <w:t xml:space="preserve"> </w:t>
      </w:r>
      <w:r w:rsidRPr="000A135E">
        <w:t xml:space="preserve">regionu (ograniczonym do wąskiego pasa nadmorskiego). </w:t>
      </w:r>
      <w:r w:rsidRPr="008B706B">
        <w:t>Zaleca się</w:t>
      </w:r>
      <w:r>
        <w:t xml:space="preserve"> zatem</w:t>
      </w:r>
      <w:r w:rsidRPr="008B706B">
        <w:t xml:space="preserve"> rozważenie uaktualnienia wartości docelowej wskaźnika </w:t>
      </w:r>
      <w:r w:rsidRPr="008B706B">
        <w:rPr>
          <w:i/>
        </w:rPr>
        <w:t>WDDT II</w:t>
      </w:r>
      <w:r w:rsidRPr="008B706B">
        <w:t xml:space="preserve"> do 13,70.</w:t>
      </w:r>
      <w:r w:rsidRPr="000A135E">
        <w:rPr>
          <w:b/>
        </w:rPr>
        <w:t xml:space="preserve"> </w:t>
      </w:r>
      <w:bookmarkEnd w:id="145"/>
    </w:p>
    <w:p w14:paraId="3649BE18" w14:textId="77777777" w:rsidR="00EF2A15" w:rsidRPr="000A135E" w:rsidRDefault="00EF2A15" w:rsidP="00754ED4">
      <w:pPr>
        <w:pStyle w:val="Legenda"/>
        <w:spacing w:after="0"/>
      </w:pPr>
      <w:bookmarkStart w:id="146" w:name="_Toc8824181"/>
      <w:r w:rsidRPr="000A135E">
        <w:t xml:space="preserve">Tabela </w:t>
      </w:r>
      <w:r w:rsidRPr="000A135E">
        <w:fldChar w:fldCharType="begin"/>
      </w:r>
      <w:r w:rsidRPr="000A135E">
        <w:instrText xml:space="preserve"> SEQ Tabela \* ARABIC </w:instrText>
      </w:r>
      <w:r w:rsidRPr="000A135E">
        <w:fldChar w:fldCharType="separate"/>
      </w:r>
      <w:r w:rsidR="00763345">
        <w:rPr>
          <w:noProof/>
        </w:rPr>
        <w:t>70</w:t>
      </w:r>
      <w:r w:rsidRPr="000A135E">
        <w:fldChar w:fldCharType="end"/>
      </w:r>
      <w:r w:rsidRPr="000A135E">
        <w:t xml:space="preserve"> Prognozowany poziom realizacji wskaźnika rezultatu strategicznego na rok 2023 dla PI 7b</w:t>
      </w:r>
      <w:bookmarkEnd w:id="146"/>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559"/>
        <w:gridCol w:w="1134"/>
        <w:gridCol w:w="993"/>
        <w:gridCol w:w="992"/>
        <w:gridCol w:w="1984"/>
        <w:gridCol w:w="1701"/>
      </w:tblGrid>
      <w:tr w:rsidR="007F62AB" w:rsidRPr="003850AB" w14:paraId="168B02C1" w14:textId="77777777" w:rsidTr="00EF2A15">
        <w:trPr>
          <w:trHeight w:val="704"/>
          <w:tblHeader/>
        </w:trPr>
        <w:tc>
          <w:tcPr>
            <w:tcW w:w="812" w:type="dxa"/>
            <w:shd w:val="clear" w:color="auto" w:fill="DBE5F1"/>
          </w:tcPr>
          <w:p w14:paraId="460E76FC"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PI</w:t>
            </w:r>
          </w:p>
        </w:tc>
        <w:tc>
          <w:tcPr>
            <w:tcW w:w="1559" w:type="dxa"/>
            <w:shd w:val="clear" w:color="auto" w:fill="DBE5F1"/>
          </w:tcPr>
          <w:p w14:paraId="33F77A57"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 xml:space="preserve">Wskaźnik </w:t>
            </w:r>
          </w:p>
        </w:tc>
        <w:tc>
          <w:tcPr>
            <w:tcW w:w="1134" w:type="dxa"/>
            <w:shd w:val="clear" w:color="auto" w:fill="DBE5F1"/>
          </w:tcPr>
          <w:p w14:paraId="381D1873"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 xml:space="preserve">Jednostka pomiaru </w:t>
            </w:r>
          </w:p>
        </w:tc>
        <w:tc>
          <w:tcPr>
            <w:tcW w:w="993" w:type="dxa"/>
            <w:shd w:val="clear" w:color="auto" w:fill="DBE5F1"/>
          </w:tcPr>
          <w:p w14:paraId="4F3FBA22"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 xml:space="preserve">Wartość bazowa </w:t>
            </w:r>
          </w:p>
        </w:tc>
        <w:tc>
          <w:tcPr>
            <w:tcW w:w="992" w:type="dxa"/>
            <w:shd w:val="clear" w:color="auto" w:fill="DBE5F1"/>
          </w:tcPr>
          <w:p w14:paraId="5AD499B2"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 xml:space="preserve">Rok bazowy </w:t>
            </w:r>
          </w:p>
        </w:tc>
        <w:tc>
          <w:tcPr>
            <w:tcW w:w="1984" w:type="dxa"/>
            <w:shd w:val="clear" w:color="auto" w:fill="DBE5F1"/>
          </w:tcPr>
          <w:p w14:paraId="2919185C" w14:textId="77777777" w:rsidR="00EF2A15" w:rsidRPr="003850AB" w:rsidRDefault="00EF2A15" w:rsidP="00EF2A15">
            <w:pPr>
              <w:autoSpaceDE w:val="0"/>
              <w:autoSpaceDN w:val="0"/>
              <w:adjustRightInd w:val="0"/>
              <w:rPr>
                <w:rFonts w:cs="Calibri"/>
                <w:color w:val="000000"/>
                <w:sz w:val="18"/>
                <w:szCs w:val="20"/>
              </w:rPr>
            </w:pPr>
            <w:r w:rsidRPr="00C22C26">
              <w:rPr>
                <w:rFonts w:cs="Calibri"/>
                <w:bCs/>
                <w:color w:val="000000"/>
                <w:sz w:val="18"/>
                <w:szCs w:val="20"/>
              </w:rPr>
              <w:t>Założona</w:t>
            </w:r>
            <w:r w:rsidR="00E66B89">
              <w:rPr>
                <w:rFonts w:cs="Calibri"/>
                <w:bCs/>
                <w:color w:val="000000"/>
                <w:sz w:val="18"/>
                <w:szCs w:val="20"/>
              </w:rPr>
              <w:t xml:space="preserve"> w </w:t>
            </w:r>
            <w:r w:rsidRPr="00C22C26">
              <w:rPr>
                <w:rFonts w:cs="Calibri"/>
                <w:bCs/>
                <w:color w:val="000000"/>
                <w:sz w:val="18"/>
                <w:szCs w:val="20"/>
              </w:rPr>
              <w:t>programie wartość docelowa</w:t>
            </w:r>
            <w:r w:rsidR="003850AB">
              <w:rPr>
                <w:rFonts w:cs="Calibri"/>
                <w:bCs/>
                <w:color w:val="000000"/>
                <w:sz w:val="18"/>
                <w:szCs w:val="20"/>
              </w:rPr>
              <w:t xml:space="preserve"> </w:t>
            </w:r>
            <w:r w:rsidRPr="00C22C26">
              <w:rPr>
                <w:rFonts w:cs="Calibri"/>
                <w:bCs/>
                <w:color w:val="000000"/>
                <w:sz w:val="18"/>
                <w:szCs w:val="20"/>
              </w:rPr>
              <w:t xml:space="preserve">(2023) </w:t>
            </w:r>
          </w:p>
        </w:tc>
        <w:tc>
          <w:tcPr>
            <w:tcW w:w="1701" w:type="dxa"/>
            <w:shd w:val="clear" w:color="auto" w:fill="DBE5F1"/>
          </w:tcPr>
          <w:p w14:paraId="42C83AF8" w14:textId="77777777" w:rsidR="00EF2A15" w:rsidRPr="00C22C26" w:rsidRDefault="00EF2A15" w:rsidP="00EF2A15">
            <w:pPr>
              <w:autoSpaceDE w:val="0"/>
              <w:autoSpaceDN w:val="0"/>
              <w:adjustRightInd w:val="0"/>
              <w:rPr>
                <w:rFonts w:cs="Calibri"/>
                <w:bCs/>
                <w:color w:val="000000"/>
                <w:sz w:val="18"/>
                <w:szCs w:val="20"/>
              </w:rPr>
            </w:pPr>
            <w:r w:rsidRPr="00C22C26">
              <w:rPr>
                <w:rFonts w:cs="Calibri"/>
                <w:bCs/>
                <w:color w:val="000000"/>
                <w:sz w:val="18"/>
                <w:szCs w:val="20"/>
              </w:rPr>
              <w:t>Aktualna prognoza osiągnięcia wartości</w:t>
            </w:r>
            <w:r w:rsidR="00E66B89">
              <w:rPr>
                <w:rFonts w:cs="Calibri"/>
                <w:bCs/>
                <w:color w:val="000000"/>
                <w:sz w:val="18"/>
                <w:szCs w:val="20"/>
              </w:rPr>
              <w:t xml:space="preserve"> w </w:t>
            </w:r>
            <w:r w:rsidRPr="00C22C26">
              <w:rPr>
                <w:rFonts w:cs="Calibri"/>
                <w:bCs/>
                <w:color w:val="000000"/>
                <w:sz w:val="18"/>
                <w:szCs w:val="20"/>
              </w:rPr>
              <w:t>2023</w:t>
            </w:r>
          </w:p>
        </w:tc>
      </w:tr>
      <w:tr w:rsidR="00EF2A15" w:rsidRPr="0043138F" w14:paraId="6AD31FBA" w14:textId="77777777" w:rsidTr="001A41AF">
        <w:trPr>
          <w:trHeight w:val="167"/>
        </w:trPr>
        <w:tc>
          <w:tcPr>
            <w:tcW w:w="812" w:type="dxa"/>
          </w:tcPr>
          <w:p w14:paraId="6DF5649A" w14:textId="77777777" w:rsidR="00EF2A15" w:rsidRPr="00404DA5" w:rsidRDefault="00EF2A15" w:rsidP="00EF2A15">
            <w:pPr>
              <w:autoSpaceDE w:val="0"/>
              <w:autoSpaceDN w:val="0"/>
              <w:adjustRightInd w:val="0"/>
              <w:rPr>
                <w:rFonts w:cs="Calibri"/>
                <w:color w:val="000000"/>
                <w:sz w:val="18"/>
                <w:szCs w:val="20"/>
              </w:rPr>
            </w:pPr>
            <w:r w:rsidRPr="00404DA5">
              <w:rPr>
                <w:rFonts w:cs="Calibri"/>
                <w:color w:val="000000"/>
                <w:sz w:val="18"/>
                <w:szCs w:val="20"/>
              </w:rPr>
              <w:t>PI 7b</w:t>
            </w:r>
          </w:p>
        </w:tc>
        <w:tc>
          <w:tcPr>
            <w:tcW w:w="1559" w:type="dxa"/>
          </w:tcPr>
          <w:p w14:paraId="7A215483" w14:textId="77777777" w:rsidR="00EF2A15" w:rsidRPr="00404DA5" w:rsidRDefault="00EF2A15" w:rsidP="00EF2A15">
            <w:pPr>
              <w:autoSpaceDE w:val="0"/>
              <w:autoSpaceDN w:val="0"/>
              <w:adjustRightInd w:val="0"/>
              <w:rPr>
                <w:rFonts w:cs="Calibri"/>
                <w:color w:val="000000"/>
                <w:sz w:val="18"/>
                <w:szCs w:val="20"/>
              </w:rPr>
            </w:pPr>
            <w:r w:rsidRPr="00404DA5">
              <w:rPr>
                <w:rFonts w:cs="Calibri"/>
                <w:color w:val="000000"/>
                <w:sz w:val="18"/>
                <w:szCs w:val="20"/>
              </w:rPr>
              <w:t>Wskaźnik Drogowej Dostępności Transportowej - WDDT II (syntetyczny)</w:t>
            </w:r>
          </w:p>
        </w:tc>
        <w:tc>
          <w:tcPr>
            <w:tcW w:w="1134" w:type="dxa"/>
            <w:vAlign w:val="center"/>
          </w:tcPr>
          <w:p w14:paraId="6BB42D6F" w14:textId="77777777" w:rsidR="00EF2A15" w:rsidRPr="00404DA5" w:rsidRDefault="00EF2A15" w:rsidP="001A41AF">
            <w:pPr>
              <w:autoSpaceDE w:val="0"/>
              <w:autoSpaceDN w:val="0"/>
              <w:adjustRightInd w:val="0"/>
              <w:jc w:val="center"/>
              <w:rPr>
                <w:rFonts w:cs="Calibri"/>
                <w:color w:val="000000"/>
                <w:sz w:val="18"/>
                <w:szCs w:val="20"/>
              </w:rPr>
            </w:pPr>
            <w:r w:rsidRPr="00404DA5">
              <w:rPr>
                <w:rFonts w:cs="Calibri"/>
                <w:color w:val="000000"/>
                <w:sz w:val="18"/>
                <w:szCs w:val="20"/>
              </w:rPr>
              <w:t>Nd</w:t>
            </w:r>
          </w:p>
        </w:tc>
        <w:tc>
          <w:tcPr>
            <w:tcW w:w="993" w:type="dxa"/>
            <w:vAlign w:val="center"/>
          </w:tcPr>
          <w:p w14:paraId="7A3FE14C" w14:textId="77777777" w:rsidR="00EF2A15" w:rsidRPr="00404DA5" w:rsidRDefault="00EF2A15" w:rsidP="001A41AF">
            <w:pPr>
              <w:autoSpaceDE w:val="0"/>
              <w:autoSpaceDN w:val="0"/>
              <w:adjustRightInd w:val="0"/>
              <w:jc w:val="center"/>
              <w:rPr>
                <w:rFonts w:cs="Calibri"/>
                <w:color w:val="000000"/>
                <w:sz w:val="18"/>
                <w:szCs w:val="20"/>
              </w:rPr>
            </w:pPr>
            <w:r w:rsidRPr="00404DA5">
              <w:rPr>
                <w:rFonts w:cs="Calibri"/>
                <w:color w:val="000000"/>
                <w:sz w:val="18"/>
                <w:szCs w:val="20"/>
              </w:rPr>
              <w:t>11,85850</w:t>
            </w:r>
          </w:p>
        </w:tc>
        <w:tc>
          <w:tcPr>
            <w:tcW w:w="992" w:type="dxa"/>
            <w:vAlign w:val="center"/>
          </w:tcPr>
          <w:p w14:paraId="7FB3290D" w14:textId="77777777" w:rsidR="00EF2A15" w:rsidRPr="00404DA5" w:rsidRDefault="00EF2A15" w:rsidP="001A41AF">
            <w:pPr>
              <w:autoSpaceDE w:val="0"/>
              <w:autoSpaceDN w:val="0"/>
              <w:adjustRightInd w:val="0"/>
              <w:jc w:val="center"/>
              <w:rPr>
                <w:rFonts w:cs="Calibri"/>
                <w:color w:val="000000"/>
                <w:sz w:val="18"/>
                <w:szCs w:val="20"/>
              </w:rPr>
            </w:pPr>
            <w:r w:rsidRPr="00404DA5">
              <w:rPr>
                <w:rFonts w:cs="Calibri"/>
                <w:color w:val="000000"/>
                <w:sz w:val="18"/>
                <w:szCs w:val="20"/>
              </w:rPr>
              <w:t>2013</w:t>
            </w:r>
          </w:p>
        </w:tc>
        <w:tc>
          <w:tcPr>
            <w:tcW w:w="1984" w:type="dxa"/>
            <w:vAlign w:val="center"/>
          </w:tcPr>
          <w:p w14:paraId="173ACF16" w14:textId="77777777" w:rsidR="00EF2A15" w:rsidRPr="00404DA5" w:rsidRDefault="00EF2A15" w:rsidP="001A41AF">
            <w:pPr>
              <w:autoSpaceDE w:val="0"/>
              <w:autoSpaceDN w:val="0"/>
              <w:adjustRightInd w:val="0"/>
              <w:jc w:val="center"/>
              <w:rPr>
                <w:rFonts w:cs="Calibri"/>
                <w:color w:val="000000"/>
                <w:sz w:val="18"/>
                <w:szCs w:val="20"/>
              </w:rPr>
            </w:pPr>
            <w:r w:rsidRPr="00404DA5">
              <w:rPr>
                <w:rFonts w:cs="Calibri"/>
                <w:color w:val="000000"/>
                <w:sz w:val="18"/>
                <w:szCs w:val="20"/>
              </w:rPr>
              <w:t>14,0193</w:t>
            </w:r>
          </w:p>
        </w:tc>
        <w:tc>
          <w:tcPr>
            <w:tcW w:w="1701" w:type="dxa"/>
            <w:vAlign w:val="center"/>
          </w:tcPr>
          <w:p w14:paraId="4627401B" w14:textId="77777777" w:rsidR="00EF2A15" w:rsidRPr="00404DA5" w:rsidRDefault="00EF2A15" w:rsidP="001A41AF">
            <w:pPr>
              <w:autoSpaceDE w:val="0"/>
              <w:autoSpaceDN w:val="0"/>
              <w:adjustRightInd w:val="0"/>
              <w:jc w:val="center"/>
              <w:rPr>
                <w:rFonts w:cs="Calibri"/>
                <w:color w:val="000000"/>
                <w:sz w:val="18"/>
                <w:szCs w:val="20"/>
              </w:rPr>
            </w:pPr>
            <w:r w:rsidRPr="00404DA5">
              <w:rPr>
                <w:rFonts w:cs="Calibri"/>
                <w:color w:val="000000"/>
                <w:sz w:val="18"/>
                <w:szCs w:val="20"/>
              </w:rPr>
              <w:t>13,70</w:t>
            </w:r>
          </w:p>
        </w:tc>
      </w:tr>
    </w:tbl>
    <w:p w14:paraId="40750D32" w14:textId="77777777" w:rsidR="00EF2A15" w:rsidRPr="00EE66C6" w:rsidRDefault="00EF2A15" w:rsidP="005A06CB">
      <w:pPr>
        <w:spacing w:before="0"/>
        <w:rPr>
          <w:i/>
          <w:sz w:val="18"/>
          <w:szCs w:val="20"/>
        </w:rPr>
      </w:pPr>
      <w:r w:rsidRPr="00EE66C6">
        <w:rPr>
          <w:i/>
          <w:sz w:val="18"/>
          <w:szCs w:val="20"/>
        </w:rPr>
        <w:t>Źródło: RPO WZ 2014-2020 oraz Oszacowanie oczekiwanych rezultatów interwencji za pomocą miar dostępności transportowej dostosowanych do potrzeb dokumentów strategicznych</w:t>
      </w:r>
      <w:r w:rsidR="00E66B89" w:rsidRPr="00EE66C6">
        <w:rPr>
          <w:i/>
          <w:sz w:val="18"/>
          <w:szCs w:val="20"/>
        </w:rPr>
        <w:t xml:space="preserve"> i </w:t>
      </w:r>
      <w:r w:rsidRPr="00EE66C6">
        <w:rPr>
          <w:i/>
          <w:sz w:val="18"/>
          <w:szCs w:val="20"/>
        </w:rPr>
        <w:t>operacyjnych dot. perspektywy finansowej 2014-2020 (aktualizacja), IGIPZ PAN 2017.</w:t>
      </w:r>
    </w:p>
    <w:p w14:paraId="6587FCEC" w14:textId="77777777" w:rsidR="00EF2A15" w:rsidRPr="000A135E" w:rsidRDefault="00EF2A15" w:rsidP="00EF2A15">
      <w:pPr>
        <w:pStyle w:val="evaluTresc"/>
      </w:pPr>
      <w:r w:rsidRPr="000A135E">
        <w:t>Bieżący stan wdrażania zapewnia wpływ RPO WZ 2014-2020 na osiąganie przedmiotowego specyficznego wskaźnika rezultatu. Według szacunków M</w:t>
      </w:r>
      <w:r>
        <w:t>Ii</w:t>
      </w:r>
      <w:r w:rsidRPr="000A135E">
        <w:t>R udział interwencji Programu</w:t>
      </w:r>
      <w:r w:rsidR="00E66B89">
        <w:t xml:space="preserve"> w </w:t>
      </w:r>
      <w:r w:rsidRPr="000A135E">
        <w:t xml:space="preserve">przyroście </w:t>
      </w:r>
      <w:r w:rsidRPr="008B706B">
        <w:rPr>
          <w:i/>
        </w:rPr>
        <w:t>WDDT II</w:t>
      </w:r>
      <w:r w:rsidRPr="000A135E">
        <w:t xml:space="preserve"> wyniesie</w:t>
      </w:r>
      <w:r w:rsidR="00E66B89">
        <w:t xml:space="preserve"> w </w:t>
      </w:r>
      <w:r w:rsidRPr="000A135E">
        <w:t xml:space="preserve">2023 roku 0,32%. </w:t>
      </w:r>
    </w:p>
    <w:p w14:paraId="2CFEC7B2"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Ocena potencjału absorpcyjnego </w:t>
      </w:r>
    </w:p>
    <w:p w14:paraId="453FC8F6" w14:textId="77777777" w:rsidR="00EF2A15" w:rsidRPr="000A135E" w:rsidRDefault="00EF2A15" w:rsidP="00754ED4">
      <w:pPr>
        <w:pStyle w:val="Legenda"/>
        <w:spacing w:after="0"/>
      </w:pPr>
      <w:bookmarkStart w:id="147" w:name="_Toc8824182"/>
      <w:r w:rsidRPr="000A135E">
        <w:t xml:space="preserve">Tabela </w:t>
      </w:r>
      <w:r w:rsidRPr="000A135E">
        <w:fldChar w:fldCharType="begin"/>
      </w:r>
      <w:r w:rsidRPr="000A135E">
        <w:instrText xml:space="preserve"> SEQ Tabela \* ARABIC </w:instrText>
      </w:r>
      <w:r w:rsidRPr="000A135E">
        <w:fldChar w:fldCharType="separate"/>
      </w:r>
      <w:r w:rsidR="00763345">
        <w:rPr>
          <w:noProof/>
        </w:rPr>
        <w:t>71</w:t>
      </w:r>
      <w:r w:rsidRPr="000A135E">
        <w:fldChar w:fldCharType="end"/>
      </w:r>
      <w:r w:rsidRPr="000A135E">
        <w:t xml:space="preserve"> Wysokość alokacji ogółem, alokacji głównej, rezerwy wykonania oraz poziom kontraktacji –</w:t>
      </w:r>
      <w:r w:rsidR="00E66B89">
        <w:t xml:space="preserve"> w </w:t>
      </w:r>
      <w:r w:rsidRPr="000A135E">
        <w:t>ramach PI 7b</w:t>
      </w:r>
      <w:bookmarkEnd w:id="147"/>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446"/>
        <w:gridCol w:w="422"/>
        <w:gridCol w:w="1722"/>
        <w:gridCol w:w="1540"/>
        <w:gridCol w:w="1399"/>
        <w:gridCol w:w="1360"/>
        <w:gridCol w:w="1222"/>
      </w:tblGrid>
      <w:tr w:rsidR="00EF2A15" w:rsidRPr="0043138F" w14:paraId="45162A78" w14:textId="77777777" w:rsidTr="00EF2A15">
        <w:trPr>
          <w:tblHeader/>
        </w:trPr>
        <w:tc>
          <w:tcPr>
            <w:tcW w:w="950" w:type="dxa"/>
            <w:shd w:val="clear" w:color="auto" w:fill="DBE5F1"/>
            <w:tcMar>
              <w:left w:w="108" w:type="dxa"/>
            </w:tcMar>
            <w:vAlign w:val="center"/>
          </w:tcPr>
          <w:p w14:paraId="3B0D6247" w14:textId="77777777" w:rsidR="00EF2A15" w:rsidRPr="00404DA5" w:rsidRDefault="00EF2A15" w:rsidP="00EF2A15">
            <w:pPr>
              <w:jc w:val="center"/>
              <w:rPr>
                <w:sz w:val="18"/>
                <w:szCs w:val="18"/>
              </w:rPr>
            </w:pPr>
            <w:r w:rsidRPr="00404DA5">
              <w:rPr>
                <w:rFonts w:cs="Calibri"/>
                <w:sz w:val="18"/>
                <w:szCs w:val="18"/>
              </w:rPr>
              <w:t>Działanie</w:t>
            </w:r>
          </w:p>
        </w:tc>
        <w:tc>
          <w:tcPr>
            <w:tcW w:w="447" w:type="dxa"/>
            <w:shd w:val="clear" w:color="auto" w:fill="DBE5F1"/>
            <w:tcMar>
              <w:left w:w="108" w:type="dxa"/>
            </w:tcMar>
            <w:vAlign w:val="center"/>
          </w:tcPr>
          <w:p w14:paraId="0B8020A0" w14:textId="77777777" w:rsidR="00EF2A15" w:rsidRPr="00404DA5" w:rsidRDefault="00EF2A15" w:rsidP="00EF2A15">
            <w:pPr>
              <w:jc w:val="center"/>
              <w:rPr>
                <w:sz w:val="18"/>
                <w:szCs w:val="18"/>
              </w:rPr>
            </w:pPr>
            <w:r w:rsidRPr="00404DA5">
              <w:rPr>
                <w:rFonts w:cs="Calibri"/>
                <w:sz w:val="18"/>
                <w:szCs w:val="18"/>
              </w:rPr>
              <w:t>CT</w:t>
            </w:r>
          </w:p>
        </w:tc>
        <w:tc>
          <w:tcPr>
            <w:tcW w:w="422" w:type="dxa"/>
            <w:shd w:val="clear" w:color="auto" w:fill="DBE5F1"/>
            <w:tcMar>
              <w:left w:w="108" w:type="dxa"/>
            </w:tcMar>
            <w:vAlign w:val="center"/>
          </w:tcPr>
          <w:p w14:paraId="4D706401" w14:textId="77777777" w:rsidR="00EF2A15" w:rsidRPr="00404DA5" w:rsidRDefault="00EF2A15" w:rsidP="00EF2A15">
            <w:pPr>
              <w:jc w:val="center"/>
              <w:rPr>
                <w:sz w:val="18"/>
                <w:szCs w:val="18"/>
              </w:rPr>
            </w:pPr>
            <w:r w:rsidRPr="00404DA5">
              <w:rPr>
                <w:rFonts w:cs="Calibri"/>
                <w:sz w:val="18"/>
                <w:szCs w:val="18"/>
              </w:rPr>
              <w:t>PI</w:t>
            </w:r>
          </w:p>
        </w:tc>
        <w:tc>
          <w:tcPr>
            <w:tcW w:w="1722" w:type="dxa"/>
            <w:shd w:val="clear" w:color="auto" w:fill="DBE5F1"/>
            <w:tcMar>
              <w:left w:w="108" w:type="dxa"/>
            </w:tcMar>
            <w:vAlign w:val="center"/>
          </w:tcPr>
          <w:p w14:paraId="6BB957F2" w14:textId="77777777" w:rsidR="00EF2A15" w:rsidRPr="00404DA5" w:rsidRDefault="00EF2A15" w:rsidP="00EF2A15">
            <w:pPr>
              <w:jc w:val="center"/>
              <w:rPr>
                <w:sz w:val="18"/>
                <w:szCs w:val="18"/>
              </w:rPr>
            </w:pPr>
            <w:r w:rsidRPr="00404DA5">
              <w:rPr>
                <w:rFonts w:cs="Calibri"/>
                <w:bCs/>
                <w:color w:val="000000"/>
                <w:sz w:val="18"/>
                <w:szCs w:val="18"/>
              </w:rPr>
              <w:t>Alokacja UE ogółem</w:t>
            </w:r>
            <w:r w:rsidRPr="00404DA5">
              <w:rPr>
                <w:rFonts w:cs="Calibri"/>
                <w:bCs/>
                <w:color w:val="000000"/>
                <w:sz w:val="18"/>
                <w:szCs w:val="18"/>
              </w:rPr>
              <w:br/>
              <w:t>[EUR]</w:t>
            </w:r>
            <w:r w:rsidRPr="00404DA5">
              <w:rPr>
                <w:rFonts w:cs="Calibri"/>
                <w:bCs/>
                <w:color w:val="000000"/>
                <w:sz w:val="18"/>
                <w:szCs w:val="18"/>
              </w:rPr>
              <w:br/>
              <w:t>(alokacja główna +rezerwa wykonania)</w:t>
            </w:r>
          </w:p>
        </w:tc>
        <w:tc>
          <w:tcPr>
            <w:tcW w:w="1540" w:type="dxa"/>
            <w:shd w:val="clear" w:color="auto" w:fill="DBE5F1"/>
            <w:tcMar>
              <w:left w:w="108" w:type="dxa"/>
            </w:tcMar>
            <w:vAlign w:val="center"/>
          </w:tcPr>
          <w:p w14:paraId="406FDA19" w14:textId="77777777" w:rsidR="00EF2A15" w:rsidRPr="00404DA5" w:rsidRDefault="00EF2A15" w:rsidP="00EF2A15">
            <w:pPr>
              <w:jc w:val="center"/>
              <w:rPr>
                <w:sz w:val="18"/>
                <w:szCs w:val="18"/>
              </w:rPr>
            </w:pPr>
            <w:r w:rsidRPr="00404DA5">
              <w:rPr>
                <w:rFonts w:cs="Calibri"/>
                <w:bCs/>
                <w:color w:val="000000"/>
                <w:sz w:val="18"/>
                <w:szCs w:val="18"/>
              </w:rPr>
              <w:t>Alokacja główna</w:t>
            </w:r>
            <w:r w:rsidRPr="00404DA5">
              <w:rPr>
                <w:rFonts w:cs="Calibri"/>
                <w:bCs/>
                <w:color w:val="000000"/>
                <w:sz w:val="18"/>
                <w:szCs w:val="18"/>
              </w:rPr>
              <w:br/>
              <w:t>[EUR]</w:t>
            </w:r>
          </w:p>
        </w:tc>
        <w:tc>
          <w:tcPr>
            <w:tcW w:w="1399" w:type="dxa"/>
            <w:shd w:val="clear" w:color="auto" w:fill="DBE5F1"/>
            <w:tcMar>
              <w:left w:w="108" w:type="dxa"/>
            </w:tcMar>
            <w:vAlign w:val="center"/>
          </w:tcPr>
          <w:p w14:paraId="1E0EBC3D" w14:textId="77777777" w:rsidR="00EF2A15" w:rsidRPr="00404DA5" w:rsidRDefault="00EF2A15" w:rsidP="00EF2A15">
            <w:pPr>
              <w:jc w:val="center"/>
              <w:rPr>
                <w:sz w:val="18"/>
                <w:szCs w:val="18"/>
              </w:rPr>
            </w:pPr>
            <w:r w:rsidRPr="00404DA5">
              <w:rPr>
                <w:rFonts w:cs="Calibri"/>
                <w:bCs/>
                <w:color w:val="000000"/>
                <w:sz w:val="18"/>
                <w:szCs w:val="18"/>
              </w:rPr>
              <w:t>Rezerwa wykonania</w:t>
            </w:r>
            <w:r w:rsidRPr="00404DA5">
              <w:rPr>
                <w:rFonts w:cs="Calibri"/>
                <w:bCs/>
                <w:color w:val="000000"/>
                <w:sz w:val="18"/>
                <w:szCs w:val="18"/>
              </w:rPr>
              <w:br/>
              <w:t>[EUR]</w:t>
            </w:r>
          </w:p>
        </w:tc>
        <w:tc>
          <w:tcPr>
            <w:tcW w:w="1360" w:type="dxa"/>
            <w:shd w:val="clear" w:color="auto" w:fill="DBE5F1"/>
            <w:tcMar>
              <w:left w:w="108" w:type="dxa"/>
            </w:tcMar>
            <w:vAlign w:val="center"/>
          </w:tcPr>
          <w:p w14:paraId="36582AC1" w14:textId="77777777" w:rsidR="00EF2A15" w:rsidRPr="00404DA5" w:rsidRDefault="00EF2A15" w:rsidP="00EF2A15">
            <w:pPr>
              <w:jc w:val="center"/>
              <w:rPr>
                <w:color w:val="FF0000"/>
                <w:sz w:val="18"/>
                <w:szCs w:val="18"/>
              </w:rPr>
            </w:pPr>
            <w:r w:rsidRPr="00404DA5">
              <w:rPr>
                <w:rFonts w:cs="Calibri"/>
                <w:sz w:val="18"/>
                <w:szCs w:val="18"/>
              </w:rPr>
              <w:t>Kontraktacja</w:t>
            </w:r>
            <w:r w:rsidR="00E66B89">
              <w:rPr>
                <w:rFonts w:cs="Calibri"/>
                <w:sz w:val="18"/>
                <w:szCs w:val="18"/>
              </w:rPr>
              <w:t xml:space="preserve"> z </w:t>
            </w:r>
            <w:r w:rsidRPr="00C22C26">
              <w:rPr>
                <w:rFonts w:cs="Calibri"/>
                <w:sz w:val="18"/>
                <w:szCs w:val="18"/>
              </w:rPr>
              <w:t>środkami rezerwy wykonania</w:t>
            </w:r>
            <w:r w:rsidRPr="00404DA5">
              <w:rPr>
                <w:rFonts w:cs="Calibri"/>
                <w:sz w:val="18"/>
                <w:szCs w:val="18"/>
              </w:rPr>
              <w:t xml:space="preserve"> [%]</w:t>
            </w:r>
          </w:p>
        </w:tc>
        <w:tc>
          <w:tcPr>
            <w:tcW w:w="1222" w:type="dxa"/>
            <w:shd w:val="clear" w:color="auto" w:fill="DBE5F1"/>
            <w:vAlign w:val="center"/>
          </w:tcPr>
          <w:p w14:paraId="6F6D0999" w14:textId="77777777" w:rsidR="00EF2A15" w:rsidRPr="00404DA5" w:rsidRDefault="00EF2A15" w:rsidP="00EF2A15">
            <w:pPr>
              <w:jc w:val="center"/>
              <w:rPr>
                <w:rFonts w:cs="Calibri"/>
                <w:sz w:val="18"/>
                <w:szCs w:val="18"/>
              </w:rPr>
            </w:pPr>
            <w:r w:rsidRPr="00404DA5">
              <w:rPr>
                <w:rFonts w:cs="Calibri"/>
                <w:sz w:val="18"/>
                <w:szCs w:val="18"/>
              </w:rPr>
              <w:t xml:space="preserve">Kontraktacja </w:t>
            </w:r>
            <w:r w:rsidRPr="00E80CCE">
              <w:rPr>
                <w:sz w:val="18"/>
              </w:rPr>
              <w:t>bez środków rezerwy wykonania</w:t>
            </w:r>
            <w:r w:rsidRPr="00404DA5">
              <w:rPr>
                <w:rFonts w:cs="Calibri"/>
                <w:sz w:val="18"/>
                <w:szCs w:val="18"/>
              </w:rPr>
              <w:t xml:space="preserve"> [%]</w:t>
            </w:r>
          </w:p>
        </w:tc>
      </w:tr>
      <w:tr w:rsidR="00EF2A15" w:rsidRPr="0043138F" w14:paraId="50C19357" w14:textId="77777777" w:rsidTr="00EF2A15">
        <w:tc>
          <w:tcPr>
            <w:tcW w:w="950" w:type="dxa"/>
            <w:shd w:val="clear" w:color="auto" w:fill="auto"/>
            <w:tcMar>
              <w:left w:w="108" w:type="dxa"/>
            </w:tcMar>
            <w:vAlign w:val="center"/>
          </w:tcPr>
          <w:p w14:paraId="7E68090B" w14:textId="77777777" w:rsidR="00EF2A15" w:rsidRPr="00404DA5" w:rsidRDefault="00EF2A15" w:rsidP="00EF2A15">
            <w:pPr>
              <w:jc w:val="center"/>
              <w:rPr>
                <w:sz w:val="18"/>
                <w:szCs w:val="18"/>
              </w:rPr>
            </w:pPr>
            <w:r w:rsidRPr="00404DA5">
              <w:rPr>
                <w:rFonts w:cs="Calibri"/>
                <w:color w:val="000000"/>
                <w:sz w:val="18"/>
                <w:szCs w:val="18"/>
              </w:rPr>
              <w:t>5.1</w:t>
            </w:r>
          </w:p>
        </w:tc>
        <w:tc>
          <w:tcPr>
            <w:tcW w:w="447" w:type="dxa"/>
            <w:shd w:val="clear" w:color="auto" w:fill="auto"/>
            <w:tcMar>
              <w:left w:w="108" w:type="dxa"/>
            </w:tcMar>
            <w:vAlign w:val="center"/>
          </w:tcPr>
          <w:p w14:paraId="782FE7D3" w14:textId="77777777" w:rsidR="00EF2A15" w:rsidRPr="00404DA5" w:rsidRDefault="00EF2A15" w:rsidP="00EF2A15">
            <w:pPr>
              <w:jc w:val="center"/>
              <w:rPr>
                <w:sz w:val="18"/>
                <w:szCs w:val="18"/>
              </w:rPr>
            </w:pPr>
            <w:r w:rsidRPr="00404DA5">
              <w:rPr>
                <w:rFonts w:cs="Calibri"/>
                <w:color w:val="000000"/>
                <w:sz w:val="18"/>
                <w:szCs w:val="18"/>
              </w:rPr>
              <w:t>7</w:t>
            </w:r>
          </w:p>
        </w:tc>
        <w:tc>
          <w:tcPr>
            <w:tcW w:w="422" w:type="dxa"/>
            <w:shd w:val="clear" w:color="auto" w:fill="auto"/>
            <w:tcMar>
              <w:left w:w="108" w:type="dxa"/>
            </w:tcMar>
            <w:vAlign w:val="center"/>
          </w:tcPr>
          <w:p w14:paraId="60DD7B2B" w14:textId="77777777" w:rsidR="00EF2A15" w:rsidRPr="00404DA5" w:rsidRDefault="00EF2A15" w:rsidP="00EF2A15">
            <w:pPr>
              <w:jc w:val="center"/>
              <w:rPr>
                <w:sz w:val="18"/>
                <w:szCs w:val="18"/>
              </w:rPr>
            </w:pPr>
            <w:r w:rsidRPr="00404DA5">
              <w:rPr>
                <w:rFonts w:cs="Calibri"/>
                <w:color w:val="000000"/>
                <w:sz w:val="18"/>
                <w:szCs w:val="18"/>
              </w:rPr>
              <w:t>7b</w:t>
            </w:r>
          </w:p>
        </w:tc>
        <w:tc>
          <w:tcPr>
            <w:tcW w:w="1722" w:type="dxa"/>
            <w:shd w:val="clear" w:color="auto" w:fill="auto"/>
            <w:tcMar>
              <w:left w:w="108" w:type="dxa"/>
            </w:tcMar>
            <w:vAlign w:val="center"/>
          </w:tcPr>
          <w:p w14:paraId="2BCB01A8" w14:textId="77777777" w:rsidR="00EF2A15" w:rsidRPr="00404DA5" w:rsidRDefault="00EF2A15" w:rsidP="00EF2A15">
            <w:pPr>
              <w:jc w:val="center"/>
              <w:rPr>
                <w:sz w:val="18"/>
                <w:szCs w:val="18"/>
              </w:rPr>
            </w:pPr>
            <w:r w:rsidRPr="00404DA5">
              <w:rPr>
                <w:rFonts w:cs="Calibri"/>
                <w:color w:val="000000"/>
                <w:sz w:val="18"/>
                <w:szCs w:val="18"/>
              </w:rPr>
              <w:t>138 257 000,00</w:t>
            </w:r>
          </w:p>
        </w:tc>
        <w:tc>
          <w:tcPr>
            <w:tcW w:w="1540" w:type="dxa"/>
            <w:shd w:val="clear" w:color="auto" w:fill="auto"/>
            <w:tcMar>
              <w:left w:w="108" w:type="dxa"/>
            </w:tcMar>
            <w:vAlign w:val="center"/>
          </w:tcPr>
          <w:p w14:paraId="260B4620" w14:textId="77777777" w:rsidR="00EF2A15" w:rsidRPr="00404DA5" w:rsidRDefault="00EF2A15" w:rsidP="00EF2A15">
            <w:pPr>
              <w:jc w:val="center"/>
              <w:rPr>
                <w:sz w:val="18"/>
                <w:szCs w:val="18"/>
              </w:rPr>
            </w:pPr>
            <w:r w:rsidRPr="00404DA5">
              <w:rPr>
                <w:rFonts w:cs="Calibri"/>
                <w:color w:val="000000"/>
                <w:sz w:val="18"/>
                <w:szCs w:val="18"/>
              </w:rPr>
              <w:t>120 879 010,00</w:t>
            </w:r>
          </w:p>
        </w:tc>
        <w:tc>
          <w:tcPr>
            <w:tcW w:w="1399" w:type="dxa"/>
            <w:shd w:val="clear" w:color="auto" w:fill="auto"/>
            <w:tcMar>
              <w:left w:w="108" w:type="dxa"/>
            </w:tcMar>
            <w:vAlign w:val="center"/>
          </w:tcPr>
          <w:p w14:paraId="198E0707" w14:textId="77777777" w:rsidR="00EF2A15" w:rsidRPr="00404DA5" w:rsidRDefault="00EF2A15" w:rsidP="00EF2A15">
            <w:pPr>
              <w:jc w:val="center"/>
              <w:rPr>
                <w:sz w:val="18"/>
                <w:szCs w:val="18"/>
              </w:rPr>
            </w:pPr>
            <w:r w:rsidRPr="00404DA5">
              <w:rPr>
                <w:rFonts w:cs="Calibri"/>
                <w:color w:val="000000"/>
                <w:sz w:val="18"/>
                <w:szCs w:val="18"/>
              </w:rPr>
              <w:t>17 377 990,00</w:t>
            </w:r>
          </w:p>
        </w:tc>
        <w:tc>
          <w:tcPr>
            <w:tcW w:w="1360" w:type="dxa"/>
            <w:shd w:val="clear" w:color="auto" w:fill="auto"/>
            <w:tcMar>
              <w:left w:w="108" w:type="dxa"/>
            </w:tcMar>
            <w:vAlign w:val="center"/>
          </w:tcPr>
          <w:p w14:paraId="78B0635E" w14:textId="77777777" w:rsidR="00EF2A15" w:rsidRPr="00404DA5" w:rsidRDefault="00EF2A15" w:rsidP="00EF2A15">
            <w:pPr>
              <w:jc w:val="center"/>
              <w:rPr>
                <w:color w:val="000000"/>
                <w:sz w:val="18"/>
                <w:szCs w:val="18"/>
              </w:rPr>
            </w:pPr>
            <w:r w:rsidRPr="00404DA5">
              <w:rPr>
                <w:rFonts w:cs="Calibri"/>
                <w:color w:val="000000"/>
                <w:sz w:val="18"/>
                <w:szCs w:val="18"/>
              </w:rPr>
              <w:t>59,0%</w:t>
            </w:r>
          </w:p>
        </w:tc>
        <w:tc>
          <w:tcPr>
            <w:tcW w:w="1222" w:type="dxa"/>
            <w:shd w:val="clear" w:color="auto" w:fill="auto"/>
            <w:vAlign w:val="center"/>
          </w:tcPr>
          <w:p w14:paraId="21E10676" w14:textId="77777777" w:rsidR="00EF2A15" w:rsidRPr="00404DA5" w:rsidRDefault="00EF2A15" w:rsidP="00EF2A15">
            <w:pPr>
              <w:jc w:val="center"/>
              <w:rPr>
                <w:rFonts w:cs="Calibri"/>
                <w:color w:val="000000"/>
                <w:sz w:val="18"/>
                <w:szCs w:val="18"/>
              </w:rPr>
            </w:pPr>
            <w:r w:rsidRPr="00404DA5">
              <w:rPr>
                <w:rFonts w:cs="Calibri"/>
                <w:color w:val="000000"/>
                <w:sz w:val="18"/>
                <w:szCs w:val="18"/>
              </w:rPr>
              <w:t>67,5%</w:t>
            </w:r>
          </w:p>
        </w:tc>
      </w:tr>
      <w:tr w:rsidR="00EF2A15" w:rsidRPr="0043138F" w14:paraId="390EA311" w14:textId="77777777" w:rsidTr="00EF2A15">
        <w:tc>
          <w:tcPr>
            <w:tcW w:w="950" w:type="dxa"/>
            <w:shd w:val="clear" w:color="auto" w:fill="auto"/>
            <w:tcMar>
              <w:left w:w="108" w:type="dxa"/>
            </w:tcMar>
            <w:vAlign w:val="center"/>
          </w:tcPr>
          <w:p w14:paraId="2D3E4C78" w14:textId="77777777" w:rsidR="00EF2A15" w:rsidRPr="00404DA5" w:rsidRDefault="00EF2A15" w:rsidP="00EF2A15">
            <w:pPr>
              <w:jc w:val="center"/>
              <w:rPr>
                <w:sz w:val="18"/>
                <w:szCs w:val="18"/>
              </w:rPr>
            </w:pPr>
            <w:r w:rsidRPr="00404DA5">
              <w:rPr>
                <w:rFonts w:cs="Calibri"/>
                <w:color w:val="000000"/>
                <w:sz w:val="18"/>
                <w:szCs w:val="18"/>
              </w:rPr>
              <w:t>5.2</w:t>
            </w:r>
          </w:p>
        </w:tc>
        <w:tc>
          <w:tcPr>
            <w:tcW w:w="447" w:type="dxa"/>
            <w:shd w:val="clear" w:color="auto" w:fill="auto"/>
            <w:tcMar>
              <w:left w:w="108" w:type="dxa"/>
            </w:tcMar>
            <w:vAlign w:val="center"/>
          </w:tcPr>
          <w:p w14:paraId="4A086598" w14:textId="77777777" w:rsidR="00EF2A15" w:rsidRPr="00404DA5" w:rsidRDefault="00EF2A15" w:rsidP="00EF2A15">
            <w:pPr>
              <w:jc w:val="center"/>
              <w:rPr>
                <w:sz w:val="18"/>
                <w:szCs w:val="18"/>
              </w:rPr>
            </w:pPr>
            <w:r w:rsidRPr="00404DA5">
              <w:rPr>
                <w:rFonts w:cs="Calibri"/>
                <w:color w:val="000000"/>
                <w:sz w:val="18"/>
                <w:szCs w:val="18"/>
              </w:rPr>
              <w:t>7</w:t>
            </w:r>
          </w:p>
        </w:tc>
        <w:tc>
          <w:tcPr>
            <w:tcW w:w="422" w:type="dxa"/>
            <w:shd w:val="clear" w:color="auto" w:fill="auto"/>
            <w:tcMar>
              <w:left w:w="108" w:type="dxa"/>
            </w:tcMar>
            <w:vAlign w:val="center"/>
          </w:tcPr>
          <w:p w14:paraId="3F2E556E" w14:textId="77777777" w:rsidR="00EF2A15" w:rsidRPr="00404DA5" w:rsidRDefault="00EF2A15" w:rsidP="00EF2A15">
            <w:pPr>
              <w:jc w:val="center"/>
              <w:rPr>
                <w:sz w:val="18"/>
                <w:szCs w:val="18"/>
              </w:rPr>
            </w:pPr>
            <w:r w:rsidRPr="00404DA5">
              <w:rPr>
                <w:rFonts w:cs="Calibri"/>
                <w:color w:val="000000"/>
                <w:sz w:val="18"/>
                <w:szCs w:val="18"/>
              </w:rPr>
              <w:t>7b</w:t>
            </w:r>
          </w:p>
        </w:tc>
        <w:tc>
          <w:tcPr>
            <w:tcW w:w="1722" w:type="dxa"/>
            <w:shd w:val="clear" w:color="auto" w:fill="auto"/>
            <w:tcMar>
              <w:left w:w="108" w:type="dxa"/>
            </w:tcMar>
            <w:vAlign w:val="center"/>
          </w:tcPr>
          <w:p w14:paraId="6F90354C" w14:textId="77777777" w:rsidR="00EF2A15" w:rsidRPr="00404DA5" w:rsidRDefault="00EF2A15" w:rsidP="00EF2A15">
            <w:pPr>
              <w:jc w:val="center"/>
              <w:rPr>
                <w:sz w:val="18"/>
                <w:szCs w:val="18"/>
              </w:rPr>
            </w:pPr>
            <w:r w:rsidRPr="00404DA5">
              <w:rPr>
                <w:rFonts w:cs="Calibri"/>
                <w:color w:val="000000"/>
                <w:sz w:val="18"/>
                <w:szCs w:val="18"/>
              </w:rPr>
              <w:t>8 000 000,00</w:t>
            </w:r>
          </w:p>
        </w:tc>
        <w:tc>
          <w:tcPr>
            <w:tcW w:w="1540" w:type="dxa"/>
            <w:shd w:val="clear" w:color="auto" w:fill="auto"/>
            <w:tcMar>
              <w:left w:w="108" w:type="dxa"/>
            </w:tcMar>
            <w:vAlign w:val="center"/>
          </w:tcPr>
          <w:p w14:paraId="0A59AABC" w14:textId="77777777" w:rsidR="00EF2A15" w:rsidRPr="00404DA5" w:rsidRDefault="00EF2A15" w:rsidP="00EF2A15">
            <w:pPr>
              <w:jc w:val="center"/>
              <w:rPr>
                <w:sz w:val="18"/>
                <w:szCs w:val="18"/>
              </w:rPr>
            </w:pPr>
            <w:r w:rsidRPr="00404DA5">
              <w:rPr>
                <w:rFonts w:cs="Calibri"/>
                <w:color w:val="000000"/>
                <w:sz w:val="18"/>
                <w:szCs w:val="18"/>
              </w:rPr>
              <w:t>7 440 000,00</w:t>
            </w:r>
          </w:p>
        </w:tc>
        <w:tc>
          <w:tcPr>
            <w:tcW w:w="1399" w:type="dxa"/>
            <w:shd w:val="clear" w:color="auto" w:fill="auto"/>
            <w:tcMar>
              <w:left w:w="108" w:type="dxa"/>
            </w:tcMar>
            <w:vAlign w:val="center"/>
          </w:tcPr>
          <w:p w14:paraId="2CF7A72B" w14:textId="77777777" w:rsidR="00EF2A15" w:rsidRPr="00404DA5" w:rsidRDefault="00EF2A15" w:rsidP="00EF2A15">
            <w:pPr>
              <w:jc w:val="center"/>
              <w:rPr>
                <w:sz w:val="18"/>
                <w:szCs w:val="18"/>
              </w:rPr>
            </w:pPr>
            <w:r w:rsidRPr="00404DA5">
              <w:rPr>
                <w:rFonts w:cs="Calibri"/>
                <w:color w:val="000000"/>
                <w:sz w:val="18"/>
                <w:szCs w:val="18"/>
              </w:rPr>
              <w:t>560 000,00</w:t>
            </w:r>
          </w:p>
        </w:tc>
        <w:tc>
          <w:tcPr>
            <w:tcW w:w="1360" w:type="dxa"/>
            <w:shd w:val="clear" w:color="auto" w:fill="auto"/>
            <w:tcMar>
              <w:left w:w="108" w:type="dxa"/>
            </w:tcMar>
            <w:vAlign w:val="center"/>
          </w:tcPr>
          <w:p w14:paraId="33D4F14B" w14:textId="77777777" w:rsidR="00EF2A15" w:rsidRPr="00404DA5" w:rsidRDefault="00EF2A15" w:rsidP="00EF2A15">
            <w:pPr>
              <w:jc w:val="center"/>
              <w:rPr>
                <w:color w:val="000000"/>
                <w:sz w:val="18"/>
                <w:szCs w:val="18"/>
              </w:rPr>
            </w:pPr>
            <w:r w:rsidRPr="00404DA5">
              <w:rPr>
                <w:rFonts w:cs="Calibri"/>
                <w:color w:val="000000"/>
                <w:sz w:val="18"/>
                <w:szCs w:val="18"/>
              </w:rPr>
              <w:t>97,6%</w:t>
            </w:r>
          </w:p>
        </w:tc>
        <w:tc>
          <w:tcPr>
            <w:tcW w:w="1222" w:type="dxa"/>
            <w:shd w:val="clear" w:color="auto" w:fill="auto"/>
            <w:vAlign w:val="center"/>
          </w:tcPr>
          <w:p w14:paraId="0B398777" w14:textId="77777777" w:rsidR="00EF2A15" w:rsidRPr="00404DA5" w:rsidRDefault="00EF2A15" w:rsidP="00EF2A15">
            <w:pPr>
              <w:jc w:val="center"/>
              <w:rPr>
                <w:rFonts w:cs="Calibri"/>
                <w:color w:val="000000"/>
                <w:sz w:val="18"/>
                <w:szCs w:val="18"/>
              </w:rPr>
            </w:pPr>
            <w:r w:rsidRPr="00404DA5">
              <w:rPr>
                <w:rFonts w:cs="Calibri"/>
                <w:color w:val="000000"/>
                <w:sz w:val="18"/>
                <w:szCs w:val="18"/>
              </w:rPr>
              <w:t>104,9%</w:t>
            </w:r>
          </w:p>
        </w:tc>
      </w:tr>
      <w:tr w:rsidR="00EF2A15" w:rsidRPr="0043138F" w14:paraId="2C642C17" w14:textId="77777777" w:rsidTr="00EF2A15">
        <w:tc>
          <w:tcPr>
            <w:tcW w:w="950" w:type="dxa"/>
            <w:shd w:val="clear" w:color="auto" w:fill="auto"/>
            <w:tcMar>
              <w:left w:w="108" w:type="dxa"/>
            </w:tcMar>
            <w:vAlign w:val="center"/>
          </w:tcPr>
          <w:p w14:paraId="01929DEB" w14:textId="77777777" w:rsidR="00EF2A15" w:rsidRPr="00404DA5" w:rsidRDefault="00EF2A15" w:rsidP="00EF2A15">
            <w:pPr>
              <w:jc w:val="center"/>
              <w:rPr>
                <w:sz w:val="18"/>
                <w:szCs w:val="18"/>
              </w:rPr>
            </w:pPr>
            <w:r w:rsidRPr="00404DA5">
              <w:rPr>
                <w:rFonts w:cs="Calibri"/>
                <w:color w:val="000000"/>
                <w:sz w:val="18"/>
                <w:szCs w:val="18"/>
              </w:rPr>
              <w:t>5.3</w:t>
            </w:r>
          </w:p>
        </w:tc>
        <w:tc>
          <w:tcPr>
            <w:tcW w:w="447" w:type="dxa"/>
            <w:shd w:val="clear" w:color="auto" w:fill="auto"/>
            <w:tcMar>
              <w:left w:w="108" w:type="dxa"/>
            </w:tcMar>
            <w:vAlign w:val="center"/>
          </w:tcPr>
          <w:p w14:paraId="70C0F292" w14:textId="77777777" w:rsidR="00EF2A15" w:rsidRPr="00404DA5" w:rsidRDefault="00EF2A15" w:rsidP="00EF2A15">
            <w:pPr>
              <w:jc w:val="center"/>
              <w:rPr>
                <w:sz w:val="18"/>
                <w:szCs w:val="18"/>
              </w:rPr>
            </w:pPr>
            <w:r w:rsidRPr="00404DA5">
              <w:rPr>
                <w:rFonts w:cs="Calibri"/>
                <w:color w:val="000000"/>
                <w:sz w:val="18"/>
                <w:szCs w:val="18"/>
              </w:rPr>
              <w:t>7</w:t>
            </w:r>
          </w:p>
        </w:tc>
        <w:tc>
          <w:tcPr>
            <w:tcW w:w="422" w:type="dxa"/>
            <w:shd w:val="clear" w:color="auto" w:fill="auto"/>
            <w:tcMar>
              <w:left w:w="108" w:type="dxa"/>
            </w:tcMar>
            <w:vAlign w:val="center"/>
          </w:tcPr>
          <w:p w14:paraId="3526BFB4" w14:textId="77777777" w:rsidR="00EF2A15" w:rsidRPr="00404DA5" w:rsidRDefault="00EF2A15" w:rsidP="00EF2A15">
            <w:pPr>
              <w:jc w:val="center"/>
              <w:rPr>
                <w:sz w:val="18"/>
                <w:szCs w:val="18"/>
              </w:rPr>
            </w:pPr>
            <w:r w:rsidRPr="00404DA5">
              <w:rPr>
                <w:rFonts w:cs="Calibri"/>
                <w:color w:val="000000"/>
                <w:sz w:val="18"/>
                <w:szCs w:val="18"/>
              </w:rPr>
              <w:t>7b</w:t>
            </w:r>
          </w:p>
        </w:tc>
        <w:tc>
          <w:tcPr>
            <w:tcW w:w="1722" w:type="dxa"/>
            <w:shd w:val="clear" w:color="auto" w:fill="auto"/>
            <w:tcMar>
              <w:left w:w="108" w:type="dxa"/>
            </w:tcMar>
            <w:vAlign w:val="center"/>
          </w:tcPr>
          <w:p w14:paraId="2A953ABA" w14:textId="77777777" w:rsidR="00EF2A15" w:rsidRPr="00404DA5" w:rsidRDefault="00EF2A15" w:rsidP="00EF2A15">
            <w:pPr>
              <w:jc w:val="center"/>
              <w:rPr>
                <w:sz w:val="18"/>
                <w:szCs w:val="18"/>
              </w:rPr>
            </w:pPr>
            <w:r w:rsidRPr="00404DA5">
              <w:rPr>
                <w:rFonts w:cs="Calibri"/>
                <w:color w:val="000000"/>
                <w:sz w:val="18"/>
                <w:szCs w:val="18"/>
              </w:rPr>
              <w:t>4 000 000,00</w:t>
            </w:r>
          </w:p>
        </w:tc>
        <w:tc>
          <w:tcPr>
            <w:tcW w:w="1540" w:type="dxa"/>
            <w:shd w:val="clear" w:color="auto" w:fill="auto"/>
            <w:tcMar>
              <w:left w:w="108" w:type="dxa"/>
            </w:tcMar>
            <w:vAlign w:val="center"/>
          </w:tcPr>
          <w:p w14:paraId="39FABF59" w14:textId="77777777" w:rsidR="00EF2A15" w:rsidRPr="00404DA5" w:rsidRDefault="00EF2A15" w:rsidP="00EF2A15">
            <w:pPr>
              <w:jc w:val="center"/>
              <w:rPr>
                <w:sz w:val="18"/>
                <w:szCs w:val="18"/>
              </w:rPr>
            </w:pPr>
            <w:r w:rsidRPr="00404DA5">
              <w:rPr>
                <w:rFonts w:cs="Calibri"/>
                <w:color w:val="000000"/>
                <w:sz w:val="18"/>
                <w:szCs w:val="18"/>
              </w:rPr>
              <w:t>3 720 000,00</w:t>
            </w:r>
          </w:p>
        </w:tc>
        <w:tc>
          <w:tcPr>
            <w:tcW w:w="1399" w:type="dxa"/>
            <w:shd w:val="clear" w:color="auto" w:fill="auto"/>
            <w:tcMar>
              <w:left w:w="108" w:type="dxa"/>
            </w:tcMar>
            <w:vAlign w:val="center"/>
          </w:tcPr>
          <w:p w14:paraId="638B81A3" w14:textId="77777777" w:rsidR="00EF2A15" w:rsidRPr="00404DA5" w:rsidRDefault="00EF2A15" w:rsidP="00EF2A15">
            <w:pPr>
              <w:jc w:val="center"/>
              <w:rPr>
                <w:sz w:val="18"/>
                <w:szCs w:val="18"/>
              </w:rPr>
            </w:pPr>
            <w:r w:rsidRPr="00404DA5">
              <w:rPr>
                <w:rFonts w:cs="Calibri"/>
                <w:color w:val="000000"/>
                <w:sz w:val="18"/>
                <w:szCs w:val="18"/>
              </w:rPr>
              <w:t>280 000,00</w:t>
            </w:r>
          </w:p>
        </w:tc>
        <w:tc>
          <w:tcPr>
            <w:tcW w:w="1360" w:type="dxa"/>
            <w:shd w:val="clear" w:color="auto" w:fill="auto"/>
            <w:tcMar>
              <w:left w:w="108" w:type="dxa"/>
            </w:tcMar>
            <w:vAlign w:val="center"/>
          </w:tcPr>
          <w:p w14:paraId="79F92EEA" w14:textId="77777777" w:rsidR="00EF2A15" w:rsidRPr="00404DA5" w:rsidRDefault="00EF2A15" w:rsidP="00EF2A15">
            <w:pPr>
              <w:jc w:val="center"/>
              <w:rPr>
                <w:color w:val="000000"/>
                <w:sz w:val="18"/>
                <w:szCs w:val="18"/>
              </w:rPr>
            </w:pPr>
            <w:r w:rsidRPr="00404DA5">
              <w:rPr>
                <w:rFonts w:cs="Calibri"/>
                <w:color w:val="000000"/>
                <w:sz w:val="18"/>
                <w:szCs w:val="18"/>
              </w:rPr>
              <w:t>72,2%</w:t>
            </w:r>
          </w:p>
        </w:tc>
        <w:tc>
          <w:tcPr>
            <w:tcW w:w="1222" w:type="dxa"/>
            <w:shd w:val="clear" w:color="auto" w:fill="auto"/>
            <w:vAlign w:val="center"/>
          </w:tcPr>
          <w:p w14:paraId="6789CC01" w14:textId="77777777" w:rsidR="00EF2A15" w:rsidRPr="00404DA5" w:rsidRDefault="00EF2A15" w:rsidP="00EF2A15">
            <w:pPr>
              <w:jc w:val="center"/>
              <w:rPr>
                <w:rFonts w:cs="Calibri"/>
                <w:color w:val="000000"/>
                <w:sz w:val="18"/>
                <w:szCs w:val="18"/>
              </w:rPr>
            </w:pPr>
            <w:r w:rsidRPr="00404DA5">
              <w:rPr>
                <w:rFonts w:cs="Calibri"/>
                <w:color w:val="000000"/>
                <w:sz w:val="18"/>
                <w:szCs w:val="18"/>
              </w:rPr>
              <w:t>77,6%</w:t>
            </w:r>
          </w:p>
        </w:tc>
      </w:tr>
      <w:tr w:rsidR="00EF2A15" w:rsidRPr="0043138F" w14:paraId="6F004EED" w14:textId="77777777" w:rsidTr="00EF2A15">
        <w:tc>
          <w:tcPr>
            <w:tcW w:w="950" w:type="dxa"/>
            <w:shd w:val="clear" w:color="auto" w:fill="auto"/>
            <w:tcMar>
              <w:left w:w="108" w:type="dxa"/>
            </w:tcMar>
            <w:vAlign w:val="center"/>
          </w:tcPr>
          <w:p w14:paraId="19FC2D26" w14:textId="77777777" w:rsidR="00EF2A15" w:rsidRPr="00404DA5" w:rsidRDefault="00EF2A15" w:rsidP="00EF2A15">
            <w:pPr>
              <w:jc w:val="center"/>
              <w:rPr>
                <w:sz w:val="18"/>
                <w:szCs w:val="18"/>
              </w:rPr>
            </w:pPr>
            <w:r w:rsidRPr="00404DA5">
              <w:rPr>
                <w:rFonts w:cs="Calibri"/>
                <w:color w:val="000000"/>
                <w:sz w:val="18"/>
                <w:szCs w:val="18"/>
              </w:rPr>
              <w:t>5.4</w:t>
            </w:r>
          </w:p>
        </w:tc>
        <w:tc>
          <w:tcPr>
            <w:tcW w:w="447" w:type="dxa"/>
            <w:shd w:val="clear" w:color="auto" w:fill="auto"/>
            <w:tcMar>
              <w:left w:w="108" w:type="dxa"/>
            </w:tcMar>
            <w:vAlign w:val="center"/>
          </w:tcPr>
          <w:p w14:paraId="7A5CC685" w14:textId="77777777" w:rsidR="00EF2A15" w:rsidRPr="00404DA5" w:rsidRDefault="00EF2A15" w:rsidP="00EF2A15">
            <w:pPr>
              <w:jc w:val="center"/>
              <w:rPr>
                <w:sz w:val="18"/>
                <w:szCs w:val="18"/>
              </w:rPr>
            </w:pPr>
            <w:r w:rsidRPr="00404DA5">
              <w:rPr>
                <w:rFonts w:cs="Calibri"/>
                <w:color w:val="000000"/>
                <w:sz w:val="18"/>
                <w:szCs w:val="18"/>
              </w:rPr>
              <w:t>7</w:t>
            </w:r>
          </w:p>
        </w:tc>
        <w:tc>
          <w:tcPr>
            <w:tcW w:w="422" w:type="dxa"/>
            <w:shd w:val="clear" w:color="auto" w:fill="auto"/>
            <w:tcMar>
              <w:left w:w="108" w:type="dxa"/>
            </w:tcMar>
            <w:vAlign w:val="center"/>
          </w:tcPr>
          <w:p w14:paraId="5438D39A" w14:textId="77777777" w:rsidR="00EF2A15" w:rsidRPr="00404DA5" w:rsidRDefault="00EF2A15" w:rsidP="00EF2A15">
            <w:pPr>
              <w:jc w:val="center"/>
              <w:rPr>
                <w:sz w:val="18"/>
                <w:szCs w:val="18"/>
              </w:rPr>
            </w:pPr>
            <w:r w:rsidRPr="00404DA5">
              <w:rPr>
                <w:rFonts w:cs="Calibri"/>
                <w:color w:val="000000"/>
                <w:sz w:val="18"/>
                <w:szCs w:val="18"/>
              </w:rPr>
              <w:t>7b</w:t>
            </w:r>
          </w:p>
        </w:tc>
        <w:tc>
          <w:tcPr>
            <w:tcW w:w="1722" w:type="dxa"/>
            <w:shd w:val="clear" w:color="auto" w:fill="auto"/>
            <w:tcMar>
              <w:left w:w="108" w:type="dxa"/>
            </w:tcMar>
            <w:vAlign w:val="center"/>
          </w:tcPr>
          <w:p w14:paraId="231A9B61" w14:textId="77777777" w:rsidR="00EF2A15" w:rsidRPr="00404DA5" w:rsidRDefault="00EF2A15" w:rsidP="00EF2A15">
            <w:pPr>
              <w:jc w:val="center"/>
              <w:rPr>
                <w:sz w:val="18"/>
                <w:szCs w:val="18"/>
              </w:rPr>
            </w:pPr>
            <w:r w:rsidRPr="00404DA5">
              <w:rPr>
                <w:rFonts w:cs="Calibri"/>
                <w:color w:val="000000"/>
                <w:sz w:val="18"/>
                <w:szCs w:val="18"/>
              </w:rPr>
              <w:t>12 398 292,00</w:t>
            </w:r>
          </w:p>
        </w:tc>
        <w:tc>
          <w:tcPr>
            <w:tcW w:w="1540" w:type="dxa"/>
            <w:shd w:val="clear" w:color="auto" w:fill="auto"/>
            <w:tcMar>
              <w:left w:w="108" w:type="dxa"/>
            </w:tcMar>
            <w:vAlign w:val="center"/>
          </w:tcPr>
          <w:p w14:paraId="4EC7A94F" w14:textId="77777777" w:rsidR="00EF2A15" w:rsidRPr="00404DA5" w:rsidRDefault="00EF2A15" w:rsidP="00EF2A15">
            <w:pPr>
              <w:jc w:val="center"/>
              <w:rPr>
                <w:sz w:val="18"/>
                <w:szCs w:val="18"/>
              </w:rPr>
            </w:pPr>
            <w:r w:rsidRPr="00404DA5">
              <w:rPr>
                <w:rFonts w:cs="Calibri"/>
                <w:color w:val="000000"/>
                <w:sz w:val="18"/>
                <w:szCs w:val="18"/>
              </w:rPr>
              <w:t>10 830 412,00</w:t>
            </w:r>
          </w:p>
        </w:tc>
        <w:tc>
          <w:tcPr>
            <w:tcW w:w="1399" w:type="dxa"/>
            <w:shd w:val="clear" w:color="auto" w:fill="auto"/>
            <w:tcMar>
              <w:left w:w="108" w:type="dxa"/>
            </w:tcMar>
            <w:vAlign w:val="center"/>
          </w:tcPr>
          <w:p w14:paraId="5CB72A11" w14:textId="77777777" w:rsidR="00EF2A15" w:rsidRPr="00404DA5" w:rsidRDefault="00EF2A15" w:rsidP="00EF2A15">
            <w:pPr>
              <w:jc w:val="center"/>
              <w:rPr>
                <w:sz w:val="18"/>
                <w:szCs w:val="18"/>
              </w:rPr>
            </w:pPr>
            <w:r w:rsidRPr="00404DA5">
              <w:rPr>
                <w:rFonts w:cs="Calibri"/>
                <w:color w:val="000000"/>
                <w:sz w:val="18"/>
                <w:szCs w:val="18"/>
              </w:rPr>
              <w:t>1 567 880,00</w:t>
            </w:r>
          </w:p>
        </w:tc>
        <w:tc>
          <w:tcPr>
            <w:tcW w:w="1360" w:type="dxa"/>
            <w:shd w:val="clear" w:color="auto" w:fill="auto"/>
            <w:tcMar>
              <w:left w:w="108" w:type="dxa"/>
            </w:tcMar>
            <w:vAlign w:val="center"/>
          </w:tcPr>
          <w:p w14:paraId="79D5BD5E" w14:textId="77777777" w:rsidR="00EF2A15" w:rsidRPr="00404DA5" w:rsidRDefault="00EF2A15" w:rsidP="00EF2A15">
            <w:pPr>
              <w:jc w:val="center"/>
              <w:rPr>
                <w:color w:val="000000"/>
                <w:sz w:val="18"/>
                <w:szCs w:val="18"/>
              </w:rPr>
            </w:pPr>
            <w:r w:rsidRPr="00404DA5">
              <w:rPr>
                <w:rFonts w:cs="Calibri"/>
                <w:color w:val="000000"/>
                <w:sz w:val="18"/>
                <w:szCs w:val="18"/>
              </w:rPr>
              <w:t>38,4%</w:t>
            </w:r>
          </w:p>
        </w:tc>
        <w:tc>
          <w:tcPr>
            <w:tcW w:w="1222" w:type="dxa"/>
            <w:shd w:val="clear" w:color="auto" w:fill="auto"/>
            <w:vAlign w:val="center"/>
          </w:tcPr>
          <w:p w14:paraId="17CEAE45" w14:textId="77777777" w:rsidR="00EF2A15" w:rsidRPr="00404DA5" w:rsidRDefault="00EF2A15" w:rsidP="00EF2A15">
            <w:pPr>
              <w:jc w:val="center"/>
              <w:rPr>
                <w:rFonts w:cs="Calibri"/>
                <w:color w:val="000000"/>
                <w:sz w:val="18"/>
                <w:szCs w:val="18"/>
              </w:rPr>
            </w:pPr>
            <w:r w:rsidRPr="00404DA5">
              <w:rPr>
                <w:rFonts w:cs="Calibri"/>
                <w:color w:val="000000"/>
                <w:sz w:val="18"/>
                <w:szCs w:val="18"/>
              </w:rPr>
              <w:t>43,9%</w:t>
            </w:r>
          </w:p>
        </w:tc>
      </w:tr>
    </w:tbl>
    <w:p w14:paraId="79E0CD56" w14:textId="0C7827C0" w:rsidR="00EF2A15" w:rsidRPr="00EE66C6" w:rsidRDefault="00EF2A15" w:rsidP="005A06CB">
      <w:pPr>
        <w:spacing w:before="0"/>
        <w:rPr>
          <w:i/>
          <w:sz w:val="18"/>
          <w:szCs w:val="20"/>
        </w:rPr>
      </w:pPr>
      <w:r w:rsidRPr="00EE66C6">
        <w:rPr>
          <w:i/>
          <w:sz w:val="18"/>
          <w:szCs w:val="20"/>
        </w:rPr>
        <w:t>Źródło: RPO WZ 2014-2020, Wysokość alokacji na podstawie danych przekazanych przez Zamawiającego (stan</w:t>
      </w:r>
      <w:r w:rsidR="00E66B89" w:rsidRPr="00EE66C6">
        <w:rPr>
          <w:i/>
          <w:sz w:val="18"/>
          <w:szCs w:val="20"/>
        </w:rPr>
        <w:t xml:space="preserve"> z </w:t>
      </w:r>
      <w:r w:rsidRPr="00EE66C6">
        <w:rPr>
          <w:i/>
          <w:sz w:val="18"/>
          <w:szCs w:val="20"/>
        </w:rPr>
        <w:t>dnia 7.01.2019 roku)</w:t>
      </w:r>
      <w:r w:rsidR="00FA14F6">
        <w:rPr>
          <w:i/>
          <w:sz w:val="18"/>
          <w:szCs w:val="20"/>
        </w:rPr>
        <w:t>.</w:t>
      </w:r>
    </w:p>
    <w:p w14:paraId="4032442B" w14:textId="77777777" w:rsidR="00EF2A15" w:rsidRPr="000A135E" w:rsidRDefault="00EF2A15" w:rsidP="00EF2A15">
      <w:pPr>
        <w:pStyle w:val="evaluTresc"/>
      </w:pPr>
      <w:r w:rsidRPr="000A135E">
        <w:lastRenderedPageBreak/>
        <w:t xml:space="preserve">W Działaniu 5.1. </w:t>
      </w:r>
      <w:r w:rsidRPr="008B706B">
        <w:rPr>
          <w:i/>
        </w:rPr>
        <w:t>Budowa</w:t>
      </w:r>
      <w:r w:rsidR="00E66B89">
        <w:rPr>
          <w:i/>
        </w:rPr>
        <w:t xml:space="preserve"> i </w:t>
      </w:r>
      <w:r w:rsidRPr="008B706B">
        <w:rPr>
          <w:i/>
        </w:rPr>
        <w:t>przebudowa dróg regionalnych (wojewódzkich)</w:t>
      </w:r>
      <w:r w:rsidRPr="000A135E">
        <w:t xml:space="preserve"> wsparcie realizowane jest wyłącznie</w:t>
      </w:r>
      <w:r w:rsidR="00E66B89">
        <w:t xml:space="preserve"> w </w:t>
      </w:r>
      <w:r w:rsidRPr="000A135E">
        <w:t>ramach trybu pozakonkursowego. Na dzień 07.01.2019 r</w:t>
      </w:r>
      <w:r>
        <w:t>.</w:t>
      </w:r>
      <w:r w:rsidRPr="000A135E">
        <w:t xml:space="preserve"> zidentyfikowano 17 projektów pozakonkursowych. Podpisano 14 umów</w:t>
      </w:r>
      <w:r w:rsidR="00E66B89">
        <w:t xml:space="preserve"> o </w:t>
      </w:r>
      <w:r w:rsidRPr="000A135E">
        <w:t>dofinansowanie projektów,</w:t>
      </w:r>
      <w:r w:rsidR="00E66B89">
        <w:t xml:space="preserve"> z </w:t>
      </w:r>
      <w:r w:rsidRPr="000A135E">
        <w:t>których 5 znajduje się</w:t>
      </w:r>
      <w:r w:rsidR="00E66B89">
        <w:t xml:space="preserve"> w </w:t>
      </w:r>
      <w:r w:rsidRPr="000A135E">
        <w:t>fazie realizacji, zaś 9 zostało zakończonych. Łącznie zakontraktowano 351 083 837 zł, co stanowi 59,0% alokacji zaplanowanej na Działanie 5.1. (z uwzględnieniem rezerwy wykonania). Projekty realizowane są zgodnie</w:t>
      </w:r>
      <w:r w:rsidR="00E66B89">
        <w:t xml:space="preserve"> z </w:t>
      </w:r>
      <w:r w:rsidRPr="000A135E">
        <w:t>harmonogramem.</w:t>
      </w:r>
      <w:r w:rsidR="00E66B89">
        <w:t xml:space="preserve"> W </w:t>
      </w:r>
      <w:r w:rsidRPr="000A135E">
        <w:t>trzech zidentyfikowanych projektach pozakonkursowych</w:t>
      </w:r>
      <w:r>
        <w:t>,</w:t>
      </w:r>
      <w:r w:rsidRPr="000A135E">
        <w:t xml:space="preserve"> zaplanowanych do podpisania umowy</w:t>
      </w:r>
      <w:r w:rsidR="00E66B89">
        <w:t xml:space="preserve"> w </w:t>
      </w:r>
      <w:r w:rsidRPr="000A135E">
        <w:t>2019 roku</w:t>
      </w:r>
      <w:r>
        <w:t>,</w:t>
      </w:r>
      <w:r w:rsidRPr="000A135E">
        <w:t xml:space="preserve"> założono zaangażowanie dalszych 33% alokacji. Biorąc pod uwagę, iż </w:t>
      </w:r>
      <w:r>
        <w:t>-</w:t>
      </w:r>
      <w:r w:rsidR="00E66B89">
        <w:t xml:space="preserve"> w </w:t>
      </w:r>
      <w:r w:rsidRPr="000A135E">
        <w:t>wyniku wzrostu rynku usług budowlanych</w:t>
      </w:r>
      <w:r w:rsidR="00E66B89">
        <w:t xml:space="preserve"> w </w:t>
      </w:r>
      <w:r w:rsidRPr="000A135E">
        <w:t>skali całego kraju</w:t>
      </w:r>
      <w:r>
        <w:t xml:space="preserve"> -</w:t>
      </w:r>
      <w:r w:rsidRPr="000A135E">
        <w:t xml:space="preserve"> koszty budowy/przebudowy dróg mogą</w:t>
      </w:r>
      <w:r w:rsidR="00E66B89">
        <w:t xml:space="preserve"> w </w:t>
      </w:r>
      <w:r w:rsidRPr="000A135E">
        <w:t>kolejnych latach wdrażania wykazywać tendencję rosnącą, należy spodziewać się, iż wnioski</w:t>
      </w:r>
      <w:r w:rsidR="00E66B89">
        <w:t xml:space="preserve"> o </w:t>
      </w:r>
      <w:r w:rsidRPr="000A135E">
        <w:t>dofinansowanie kolejnych projektów pozakonkursowych opiewać będą na wysokość dofinansowania wyższą od zakładanej</w:t>
      </w:r>
      <w:r w:rsidR="00E66B89">
        <w:t xml:space="preserve"> w </w:t>
      </w:r>
      <w:r w:rsidRPr="000A135E">
        <w:t>wykazie zidentyfikowanych projektów pozakonkursowych. Istnieje ryzyko, że alokacja przyporządkowana do Działania 5.1. okaże się niewystarczająca do osiągania założeń zaplanowanych interwencji.</w:t>
      </w:r>
    </w:p>
    <w:p w14:paraId="636DFD10" w14:textId="77777777" w:rsidR="00EF2A15" w:rsidRPr="000A135E" w:rsidRDefault="00EF2A15" w:rsidP="00EF2A15">
      <w:pPr>
        <w:pStyle w:val="evaluTresc"/>
        <w:rPr>
          <w:rFonts w:eastAsia="Times New Roman"/>
          <w:color w:val="000000"/>
          <w:lang w:eastAsia="pl-PL"/>
        </w:rPr>
      </w:pPr>
      <w:r w:rsidRPr="000A135E">
        <w:t xml:space="preserve">Projekty Działania 5.2. </w:t>
      </w:r>
      <w:r w:rsidRPr="008B706B">
        <w:rPr>
          <w:i/>
        </w:rPr>
        <w:t>Budowa</w:t>
      </w:r>
      <w:r w:rsidR="00E66B89">
        <w:rPr>
          <w:i/>
        </w:rPr>
        <w:t xml:space="preserve"> i </w:t>
      </w:r>
      <w:r w:rsidRPr="008B706B">
        <w:rPr>
          <w:i/>
        </w:rPr>
        <w:t>przebudowa dróg lokalnych (gminnych</w:t>
      </w:r>
      <w:r w:rsidR="00E66B89">
        <w:rPr>
          <w:i/>
        </w:rPr>
        <w:t xml:space="preserve"> i </w:t>
      </w:r>
      <w:r w:rsidRPr="008B706B">
        <w:rPr>
          <w:i/>
        </w:rPr>
        <w:t>powiatowych)</w:t>
      </w:r>
      <w:r w:rsidR="00E66B89">
        <w:rPr>
          <w:i/>
        </w:rPr>
        <w:t xml:space="preserve"> w </w:t>
      </w:r>
      <w:r w:rsidRPr="008B706B">
        <w:rPr>
          <w:i/>
        </w:rPr>
        <w:t>ramach Strategii ZIT dla Szczecińskiego Obszaru Metropolitalnego</w:t>
      </w:r>
      <w:r w:rsidRPr="000A135E">
        <w:t xml:space="preserve"> realizowane są</w:t>
      </w:r>
      <w:r w:rsidR="00E66B89">
        <w:t xml:space="preserve"> w </w:t>
      </w:r>
      <w:r w:rsidRPr="000A135E">
        <w:t>trybie pozakonkursowym</w:t>
      </w:r>
      <w:r w:rsidR="00E66B89">
        <w:t xml:space="preserve"> w </w:t>
      </w:r>
      <w:r w:rsidRPr="000A135E">
        <w:rPr>
          <w:rFonts w:eastAsia="Times New Roman"/>
          <w:color w:val="000000"/>
          <w:lang w:eastAsia="pl-PL"/>
        </w:rPr>
        <w:t>ramach strategii ZIT. Na dzień 07.01.2019 roku zidentyfikowano 10 projektów pozakonkursowych,</w:t>
      </w:r>
      <w:r w:rsidR="00E66B89">
        <w:rPr>
          <w:rFonts w:eastAsia="Times New Roman"/>
          <w:color w:val="000000"/>
          <w:lang w:eastAsia="pl-PL"/>
        </w:rPr>
        <w:t xml:space="preserve"> z </w:t>
      </w:r>
      <w:r w:rsidRPr="000A135E">
        <w:rPr>
          <w:rFonts w:eastAsia="Times New Roman"/>
          <w:color w:val="000000"/>
          <w:lang w:eastAsia="pl-PL"/>
        </w:rPr>
        <w:t>których wszystkie zostały wdrożone do realizacji. Dotychczas zakończono realizację 3 spośród tych projektów. Łącznie zakontraktowano 33 579 096 zł, co stanowi 97,6% alokacji przeznaczonej na Działanie 5.2.</w:t>
      </w:r>
      <w:r w:rsidR="00E66B89">
        <w:rPr>
          <w:rFonts w:eastAsia="Times New Roman"/>
          <w:color w:val="000000"/>
          <w:lang w:eastAsia="pl-PL"/>
        </w:rPr>
        <w:t xml:space="preserve"> z </w:t>
      </w:r>
      <w:r w:rsidRPr="000A135E">
        <w:rPr>
          <w:rFonts w:eastAsia="Times New Roman"/>
          <w:color w:val="000000"/>
          <w:lang w:eastAsia="pl-PL"/>
        </w:rPr>
        <w:t>uwzględnieniem rezerwy wykonania. Projekty wdrażane są zgodnie</w:t>
      </w:r>
      <w:r w:rsidR="00E66B89">
        <w:rPr>
          <w:rFonts w:eastAsia="Times New Roman"/>
          <w:color w:val="000000"/>
          <w:lang w:eastAsia="pl-PL"/>
        </w:rPr>
        <w:t xml:space="preserve"> z </w:t>
      </w:r>
      <w:r w:rsidRPr="000A135E">
        <w:rPr>
          <w:rFonts w:eastAsia="Times New Roman"/>
          <w:color w:val="000000"/>
          <w:lang w:eastAsia="pl-PL"/>
        </w:rPr>
        <w:t xml:space="preserve">harmonogramem. </w:t>
      </w:r>
    </w:p>
    <w:p w14:paraId="0D9227AE" w14:textId="77777777" w:rsidR="00EF2A15" w:rsidRPr="000A135E" w:rsidRDefault="00EF2A15" w:rsidP="00EF2A15">
      <w:pPr>
        <w:pStyle w:val="evaluTresc"/>
      </w:pPr>
      <w:r w:rsidRPr="000A135E">
        <w:t xml:space="preserve">W Działaniu 5.3. </w:t>
      </w:r>
      <w:r w:rsidRPr="008B706B">
        <w:rPr>
          <w:i/>
        </w:rPr>
        <w:t>Budowa</w:t>
      </w:r>
      <w:r w:rsidR="00E66B89">
        <w:rPr>
          <w:i/>
        </w:rPr>
        <w:t xml:space="preserve"> i </w:t>
      </w:r>
      <w:r w:rsidRPr="008B706B">
        <w:rPr>
          <w:i/>
        </w:rPr>
        <w:t>przebudowa dróg lokalnych (gminnych</w:t>
      </w:r>
      <w:r w:rsidR="00E66B89">
        <w:rPr>
          <w:i/>
        </w:rPr>
        <w:t xml:space="preserve"> i </w:t>
      </w:r>
      <w:r w:rsidRPr="008B706B">
        <w:rPr>
          <w:i/>
        </w:rPr>
        <w:t>powiatowych)</w:t>
      </w:r>
      <w:r w:rsidR="00E66B89">
        <w:rPr>
          <w:i/>
        </w:rPr>
        <w:t xml:space="preserve"> w </w:t>
      </w:r>
      <w:r w:rsidRPr="008B706B">
        <w:rPr>
          <w:i/>
        </w:rPr>
        <w:t>ramach Strategii ZIT dla Koszalińsko-Kołobrzesko-Białogardzkiego Obszaru Funkcjonalnego</w:t>
      </w:r>
      <w:r w:rsidRPr="000A135E">
        <w:t xml:space="preserve"> także przewidziano wyłącznie tryb pozakonkursowy</w:t>
      </w:r>
      <w:r w:rsidR="00E66B89">
        <w:t xml:space="preserve"> w </w:t>
      </w:r>
      <w:r w:rsidRPr="000A135E">
        <w:t xml:space="preserve">ramach Strategii </w:t>
      </w:r>
      <w:r w:rsidRPr="000A135E">
        <w:rPr>
          <w:rFonts w:eastAsia="Times New Roman"/>
          <w:color w:val="000000"/>
          <w:lang w:eastAsia="pl-PL"/>
        </w:rPr>
        <w:t xml:space="preserve">ZIT dla KKBOF. </w:t>
      </w:r>
      <w:r w:rsidRPr="000A135E">
        <w:t>Zidentyfikowano 8 projektów,</w:t>
      </w:r>
      <w:r w:rsidR="00E66B89">
        <w:t xml:space="preserve"> z </w:t>
      </w:r>
      <w:r w:rsidRPr="000A135E">
        <w:t>których 4 znajdują się</w:t>
      </w:r>
      <w:r w:rsidR="00E66B89">
        <w:t xml:space="preserve"> w </w:t>
      </w:r>
      <w:r w:rsidRPr="000A135E">
        <w:t>fazie realizacji. Łącznie zakontraktowano 72,2% alokacji ogółem (wraz</w:t>
      </w:r>
      <w:r w:rsidR="00E66B89">
        <w:t xml:space="preserve"> z </w:t>
      </w:r>
      <w:r w:rsidRPr="000A135E">
        <w:t>rezerwą wykonania) przeznaczonej na Działanie 5.3. Projekty realizowane są zgodnie</w:t>
      </w:r>
      <w:r w:rsidR="00E66B89">
        <w:t xml:space="preserve"> z </w:t>
      </w:r>
      <w:r w:rsidRPr="000A135E">
        <w:t>harmonogramem. Kontraktacja dalszych projektów pozakonkursowych, które – jak wynika</w:t>
      </w:r>
      <w:r w:rsidR="00E66B89">
        <w:t xml:space="preserve"> z </w:t>
      </w:r>
      <w:r w:rsidRPr="000A135E">
        <w:t>wywiadu</w:t>
      </w:r>
      <w:r w:rsidR="00E66B89">
        <w:t xml:space="preserve"> z </w:t>
      </w:r>
      <w:r w:rsidRPr="000A135E">
        <w:t>przedstawicielem KKBOF – znajdują się</w:t>
      </w:r>
      <w:r w:rsidR="00E66B89">
        <w:t xml:space="preserve"> w </w:t>
      </w:r>
      <w:r w:rsidRPr="000A135E">
        <w:t>fazie przygotowywania dokumentacji projektowej zgodnie</w:t>
      </w:r>
      <w:r w:rsidR="00E66B89">
        <w:t xml:space="preserve"> z </w:t>
      </w:r>
      <w:r w:rsidRPr="000A135E">
        <w:t xml:space="preserve">harmonogramem Strategii – spowoduje wydatkowanie całej alokacji przeznaczonej na Działanie 5.3. RPO WZ 2014-2020. </w:t>
      </w:r>
    </w:p>
    <w:p w14:paraId="3B090206" w14:textId="77777777" w:rsidR="00EF2A15" w:rsidRPr="000A135E" w:rsidRDefault="00EF2A15" w:rsidP="00EF2A15">
      <w:pPr>
        <w:pStyle w:val="evaluTresc"/>
      </w:pPr>
      <w:r w:rsidRPr="000A135E">
        <w:t xml:space="preserve">Interwencje Działania 5.4. </w:t>
      </w:r>
      <w:r w:rsidRPr="008B706B">
        <w:rPr>
          <w:i/>
        </w:rPr>
        <w:t>Budowa</w:t>
      </w:r>
      <w:r w:rsidR="00E66B89">
        <w:rPr>
          <w:i/>
        </w:rPr>
        <w:t xml:space="preserve"> i </w:t>
      </w:r>
      <w:r w:rsidRPr="008B706B">
        <w:rPr>
          <w:i/>
        </w:rPr>
        <w:t>przebudowa dróg powiatowych</w:t>
      </w:r>
      <w:r w:rsidRPr="000A135E">
        <w:t xml:space="preserve"> wdrażane są</w:t>
      </w:r>
      <w:r w:rsidR="00E66B89">
        <w:t xml:space="preserve"> w </w:t>
      </w:r>
      <w:r w:rsidRPr="000A135E">
        <w:t>trybie pozakonkursowym –</w:t>
      </w:r>
      <w:r w:rsidR="00E66B89">
        <w:t xml:space="preserve"> w </w:t>
      </w:r>
      <w:r w:rsidRPr="000A135E">
        <w:t>ramach koncepcji modernizacji dróg powiatowych Konwentu Powiatów Województwa Zachodniopomorskiego. Do dnia 07.01.2019 roku zidentyfikowano 14 projektów pozakonkursowych, podpisano zaś 7 umów</w:t>
      </w:r>
      <w:r w:rsidR="00E66B89">
        <w:t xml:space="preserve"> o </w:t>
      </w:r>
      <w:r w:rsidRPr="000A135E">
        <w:t>dofinansowanie projektu, kontraktując 38,4% alokacji przeznaczonej na Działanie 5.4.</w:t>
      </w:r>
      <w:r>
        <w:t xml:space="preserve"> </w:t>
      </w:r>
      <w:r w:rsidRPr="000A135E">
        <w:t>z uwzględnieniem rezerwy wykonania. Projekty realizowane są zgodnie</w:t>
      </w:r>
      <w:r w:rsidR="00E66B89">
        <w:t xml:space="preserve"> z </w:t>
      </w:r>
      <w:r w:rsidRPr="000A135E">
        <w:t>harmonogramem. Pozostałe zidentyfikowane projekty pozakonkursowe znajdują się – zgodnie</w:t>
      </w:r>
      <w:r w:rsidR="00E66B89">
        <w:t xml:space="preserve"> z </w:t>
      </w:r>
      <w:r w:rsidRPr="000A135E">
        <w:t>harmonogramem ich wdrażania –</w:t>
      </w:r>
      <w:r w:rsidR="00E66B89">
        <w:t xml:space="preserve"> w </w:t>
      </w:r>
      <w:r w:rsidRPr="000A135E">
        <w:t xml:space="preserve">fazie przygotowawczej. Ogółem zakontraktują one 75,5% alokacji przeznaczonej na to Działanie (z uwzględnieniem rezerwy wykonania). </w:t>
      </w:r>
    </w:p>
    <w:p w14:paraId="639F626A" w14:textId="77777777" w:rsidR="00EF2A15" w:rsidRPr="000A135E" w:rsidRDefault="00EF2A15" w:rsidP="00EF2A15">
      <w:pPr>
        <w:pStyle w:val="evaluTresc"/>
      </w:pPr>
      <w:r w:rsidRPr="000A135E">
        <w:t>Analiza deklaracji beneficjentów RPO WZ 2014-2020 wskazuje na</w:t>
      </w:r>
      <w:r>
        <w:t xml:space="preserve"> istniejący nadal</w:t>
      </w:r>
      <w:r w:rsidRPr="000A135E">
        <w:t xml:space="preserve"> popyt aplikacyjny na interwencje</w:t>
      </w:r>
      <w:r w:rsidR="00E66B89">
        <w:t xml:space="preserve"> w </w:t>
      </w:r>
      <w:r w:rsidRPr="000A135E">
        <w:t>obrębie wsparcia dróg wojewódzkich, wsparcia SOM oraz budowy dróg lokalnych. Respondenci deklarują przy tym pełne przygotowanie dokumentacji projektowej. Należy jednak podkreślić, że wszystkie kluczowe inwestycje uwzględnione</w:t>
      </w:r>
      <w:r w:rsidR="00E66B89">
        <w:t xml:space="preserve"> w </w:t>
      </w:r>
      <w:r w:rsidRPr="000A135E">
        <w:t>Strategii ZIT SOM (Działanie 5.2) oraz</w:t>
      </w:r>
      <w:r w:rsidR="00E66B89">
        <w:t xml:space="preserve"> w </w:t>
      </w:r>
      <w:r w:rsidRPr="000A135E">
        <w:t>Strategii ZIT KKB</w:t>
      </w:r>
      <w:r>
        <w:t>O</w:t>
      </w:r>
      <w:r w:rsidRPr="000A135E">
        <w:t>F (Działanie 5.3)</w:t>
      </w:r>
      <w:r>
        <w:t xml:space="preserve"> </w:t>
      </w:r>
      <w:r w:rsidRPr="000A135E">
        <w:t>zostały już zidentyfikowane</w:t>
      </w:r>
      <w:r w:rsidR="00E66B89">
        <w:t xml:space="preserve"> i </w:t>
      </w:r>
      <w:r w:rsidRPr="000A135E">
        <w:t>zaplanowane do realizacji</w:t>
      </w:r>
      <w:r w:rsidR="00E66B89">
        <w:t xml:space="preserve"> w </w:t>
      </w:r>
      <w:r w:rsidRPr="000A135E">
        <w:t>ramach bieżącej alokacji. Przyrost nowych dróg zaplanowano</w:t>
      </w:r>
      <w:r w:rsidR="00E66B89">
        <w:t xml:space="preserve"> w </w:t>
      </w:r>
      <w:r w:rsidRPr="000A135E">
        <w:t>nierealizowanych jeszcze projektach Działania 5.1</w:t>
      </w:r>
      <w:r>
        <w:t>. To</w:t>
      </w:r>
      <w:r w:rsidR="00E66B89">
        <w:t xml:space="preserve"> w </w:t>
      </w:r>
      <w:r>
        <w:t xml:space="preserve">tym </w:t>
      </w:r>
      <w:r w:rsidRPr="000A135E">
        <w:t>Działaniu założono największy przyrost przebudowanych lub zmodernizowanych dróg</w:t>
      </w:r>
      <w:r w:rsidR="00E66B89">
        <w:t xml:space="preserve"> w </w:t>
      </w:r>
      <w:r w:rsidRPr="000A135E">
        <w:t xml:space="preserve">ramach kolejnych interwencji – ok. 31 km (ze szczególnym uwzględnieniem projektu </w:t>
      </w:r>
      <w:bookmarkStart w:id="148" w:name="_Hlk535324693"/>
      <w:r w:rsidRPr="000A135E">
        <w:t xml:space="preserve">Rozbudowa drogi wojewódzkiej nr 111 na odcinku Recław – </w:t>
      </w:r>
      <w:bookmarkEnd w:id="148"/>
      <w:r w:rsidRPr="000A135E">
        <w:t>St</w:t>
      </w:r>
      <w:r>
        <w:t>e</w:t>
      </w:r>
      <w:r w:rsidRPr="000A135E">
        <w:t>pnica</w:t>
      </w:r>
      <w:r w:rsidRPr="00F938D1">
        <w:t>)</w:t>
      </w:r>
      <w:r w:rsidRPr="008B706B">
        <w:t xml:space="preserve">. </w:t>
      </w:r>
      <w:r w:rsidRPr="000A135E">
        <w:t>Należy</w:t>
      </w:r>
      <w:r w:rsidR="00E66B89">
        <w:t xml:space="preserve"> w </w:t>
      </w:r>
      <w:r w:rsidRPr="000A135E">
        <w:t>tym miejscu podkreślić, iż</w:t>
      </w:r>
      <w:r w:rsidR="00E66B89">
        <w:t xml:space="preserve"> w </w:t>
      </w:r>
      <w:r w:rsidRPr="000A135E">
        <w:t>Działaniu 5.4. zaplanowano również istotn</w:t>
      </w:r>
      <w:r>
        <w:t>ą,</w:t>
      </w:r>
      <w:r w:rsidRPr="000A135E">
        <w:t xml:space="preserve"> dla osiągnięcia wskaźnika programowego</w:t>
      </w:r>
      <w:r>
        <w:t>,</w:t>
      </w:r>
      <w:r w:rsidRPr="000A135E">
        <w:t xml:space="preserve"> d</w:t>
      </w:r>
      <w:r>
        <w:t>ł</w:t>
      </w:r>
      <w:r w:rsidRPr="000A135E">
        <w:t>ugoś</w:t>
      </w:r>
      <w:r>
        <w:t>ć</w:t>
      </w:r>
      <w:r w:rsidRPr="000A135E">
        <w:t xml:space="preserve"> przebudowanych lub zmodernizowanych dróg – przekraczającą 20 km.</w:t>
      </w:r>
    </w:p>
    <w:p w14:paraId="748F6C39" w14:textId="77777777" w:rsidR="00EF2A15" w:rsidRPr="000A135E" w:rsidRDefault="00EF2A15" w:rsidP="00EF2A15">
      <w:pPr>
        <w:pStyle w:val="evaluTresc"/>
        <w:rPr>
          <w:color w:val="000000"/>
        </w:rPr>
      </w:pPr>
      <w:r w:rsidRPr="000A135E">
        <w:lastRenderedPageBreak/>
        <w:t>Jak wynika</w:t>
      </w:r>
      <w:r w:rsidR="00E66B89">
        <w:t xml:space="preserve"> z </w:t>
      </w:r>
      <w:r w:rsidRPr="000A135E">
        <w:t>wywiadów</w:t>
      </w:r>
      <w:r w:rsidR="00E66B89">
        <w:t xml:space="preserve"> z </w:t>
      </w:r>
      <w:r w:rsidRPr="000A135E">
        <w:t>przedstawicielami IZ RPO WZ 2014-2020</w:t>
      </w:r>
      <w:r>
        <w:t>,</w:t>
      </w:r>
      <w:r w:rsidRPr="000A135E">
        <w:t xml:space="preserve"> wskazane jest zwiększenie alokacji na realizację zidentyfikowanych projektów Działania 5.1,</w:t>
      </w:r>
      <w:r w:rsidR="00E66B89">
        <w:t xml:space="preserve"> w </w:t>
      </w:r>
      <w:r w:rsidRPr="000A135E">
        <w:t>którym</w:t>
      </w:r>
      <w:r>
        <w:t xml:space="preserve"> to </w:t>
      </w:r>
      <w:r w:rsidRPr="000A135E">
        <w:t>-</w:t>
      </w:r>
      <w:r w:rsidR="00E66B89">
        <w:t xml:space="preserve"> w </w:t>
      </w:r>
      <w:r w:rsidRPr="000A135E">
        <w:t>wyniku założenia dużej skali interwencji -zdiagnozowano ryzyko nieosiągnięcia wszystkich zakładanych celów</w:t>
      </w:r>
      <w:r w:rsidR="00E66B89">
        <w:t xml:space="preserve"> w </w:t>
      </w:r>
      <w:r w:rsidRPr="000A135E">
        <w:t>przypadku dalszego wzrostu cen na materiały</w:t>
      </w:r>
      <w:r w:rsidR="00E66B89">
        <w:t xml:space="preserve"> i </w:t>
      </w:r>
      <w:r w:rsidRPr="000A135E">
        <w:t xml:space="preserve">usługi budowlane. </w:t>
      </w:r>
      <w:r w:rsidRPr="008B706B">
        <w:rPr>
          <w:b/>
        </w:rPr>
        <w:t xml:space="preserve">REKOMENDACJA. Zaleca się </w:t>
      </w:r>
      <w:r>
        <w:rPr>
          <w:b/>
        </w:rPr>
        <w:t xml:space="preserve">rozważenie </w:t>
      </w:r>
      <w:r w:rsidRPr="008B706B">
        <w:rPr>
          <w:b/>
        </w:rPr>
        <w:t>przesunięci</w:t>
      </w:r>
      <w:r>
        <w:rPr>
          <w:b/>
        </w:rPr>
        <w:t>a</w:t>
      </w:r>
      <w:r w:rsidRPr="008B706B">
        <w:rPr>
          <w:b/>
        </w:rPr>
        <w:t xml:space="preserve"> 12,5% niewykorzystanej alokacji Działania 5.4</w:t>
      </w:r>
      <w:r>
        <w:rPr>
          <w:b/>
        </w:rPr>
        <w:t xml:space="preserve"> </w:t>
      </w:r>
      <w:r w:rsidRPr="008B706B">
        <w:rPr>
          <w:b/>
        </w:rPr>
        <w:t>(oszacowanej po odliczeniu kwoty niezbędnej na sfinansowanie zidentyfikowanych projektów pozakonkursowych)</w:t>
      </w:r>
      <w:r w:rsidR="00E66B89">
        <w:rPr>
          <w:b/>
        </w:rPr>
        <w:t xml:space="preserve"> w </w:t>
      </w:r>
      <w:r w:rsidRPr="008B706B">
        <w:rPr>
          <w:b/>
        </w:rPr>
        <w:t>łącznej kwocie</w:t>
      </w:r>
      <w:r>
        <w:rPr>
          <w:b/>
        </w:rPr>
        <w:t xml:space="preserve"> około</w:t>
      </w:r>
      <w:r w:rsidRPr="008B706B">
        <w:rPr>
          <w:b/>
        </w:rPr>
        <w:t xml:space="preserve"> </w:t>
      </w:r>
      <w:r w:rsidRPr="008B706B">
        <w:rPr>
          <w:b/>
          <w:color w:val="000000"/>
        </w:rPr>
        <w:t>7</w:t>
      </w:r>
      <w:r>
        <w:rPr>
          <w:b/>
          <w:color w:val="000000"/>
        </w:rPr>
        <w:t xml:space="preserve"> </w:t>
      </w:r>
      <w:r w:rsidRPr="008B706B">
        <w:rPr>
          <w:b/>
          <w:color w:val="000000"/>
        </w:rPr>
        <w:t xml:space="preserve">535 550 zł do Działania 5.1. Pozostała kwota niewykorzystanej alokacji </w:t>
      </w:r>
      <w:r>
        <w:rPr>
          <w:b/>
          <w:color w:val="000000"/>
        </w:rPr>
        <w:t>mogłaby</w:t>
      </w:r>
      <w:r w:rsidRPr="008B706B">
        <w:rPr>
          <w:b/>
          <w:color w:val="000000"/>
        </w:rPr>
        <w:t xml:space="preserve"> zostać przeznaczona na ewentualne zwiększenie dofinansowania projektów zaplanowanych do realizacji</w:t>
      </w:r>
      <w:r w:rsidR="00E66B89">
        <w:rPr>
          <w:b/>
          <w:color w:val="000000"/>
        </w:rPr>
        <w:t xml:space="preserve"> w </w:t>
      </w:r>
      <w:r w:rsidRPr="008B706B">
        <w:rPr>
          <w:b/>
          <w:color w:val="000000"/>
        </w:rPr>
        <w:t>kolejnych latach wdrażania Programu</w:t>
      </w:r>
      <w:r w:rsidR="00E66B89">
        <w:rPr>
          <w:b/>
          <w:color w:val="000000"/>
        </w:rPr>
        <w:t xml:space="preserve"> w </w:t>
      </w:r>
      <w:r w:rsidRPr="008B706B">
        <w:rPr>
          <w:b/>
          <w:color w:val="000000"/>
        </w:rPr>
        <w:t>Działaniu 5.4. Uzasadnieniem proponowanego przesunięcia jest wzrost cen materiałów</w:t>
      </w:r>
      <w:r w:rsidR="00E66B89">
        <w:rPr>
          <w:b/>
          <w:color w:val="000000"/>
        </w:rPr>
        <w:t xml:space="preserve"> i </w:t>
      </w:r>
      <w:r w:rsidRPr="008B706B">
        <w:rPr>
          <w:b/>
          <w:color w:val="000000"/>
        </w:rPr>
        <w:t>usług budowlanych</w:t>
      </w:r>
      <w:r>
        <w:rPr>
          <w:b/>
          <w:color w:val="000000"/>
        </w:rPr>
        <w:t>,</w:t>
      </w:r>
      <w:r w:rsidRPr="008B706B">
        <w:rPr>
          <w:b/>
          <w:color w:val="000000"/>
        </w:rPr>
        <w:t xml:space="preserve"> mogący skutkować niepełnym osiągnięciem celów</w:t>
      </w:r>
      <w:r>
        <w:rPr>
          <w:b/>
          <w:color w:val="000000"/>
        </w:rPr>
        <w:t xml:space="preserve"> -</w:t>
      </w:r>
      <w:r w:rsidRPr="008B706B">
        <w:rPr>
          <w:b/>
          <w:color w:val="000000"/>
        </w:rPr>
        <w:t xml:space="preserve"> zidentyfikowanych</w:t>
      </w:r>
      <w:r w:rsidR="00E66B89">
        <w:rPr>
          <w:b/>
          <w:color w:val="000000"/>
        </w:rPr>
        <w:t xml:space="preserve"> i </w:t>
      </w:r>
      <w:r w:rsidRPr="008B706B">
        <w:rPr>
          <w:b/>
          <w:color w:val="000000"/>
        </w:rPr>
        <w:t>planowanych do realizacji</w:t>
      </w:r>
      <w:r>
        <w:rPr>
          <w:b/>
          <w:color w:val="000000"/>
        </w:rPr>
        <w:t xml:space="preserve"> -</w:t>
      </w:r>
      <w:r w:rsidRPr="008B706B">
        <w:rPr>
          <w:b/>
          <w:color w:val="000000"/>
        </w:rPr>
        <w:t xml:space="preserve"> projektów pozakonkursowych.</w:t>
      </w:r>
      <w:r w:rsidRPr="000A135E">
        <w:rPr>
          <w:color w:val="000000"/>
        </w:rPr>
        <w:t xml:space="preserve"> </w:t>
      </w:r>
    </w:p>
    <w:p w14:paraId="3D37C03E"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Prognozy osiągnięcia celów zakładanych na 2023 rok</w:t>
      </w:r>
    </w:p>
    <w:p w14:paraId="1ED6D5FB" w14:textId="77777777" w:rsidR="00EF2A15" w:rsidRPr="00A10D3C" w:rsidRDefault="00EF2A15" w:rsidP="00EF2A15">
      <w:pPr>
        <w:pStyle w:val="evaluTresc"/>
      </w:pPr>
      <w:r w:rsidRPr="00A10D3C">
        <w:t>Analiza założeń beneficjentów zidentyfikowanych projektów pozakonkursowych wskazuje na plany przekroczenia wartości docelowych wskaźników programowych PI 7b. Beneficjenci zakładają</w:t>
      </w:r>
      <w:r w:rsidR="00E66B89">
        <w:t xml:space="preserve"> w </w:t>
      </w:r>
      <w:r w:rsidRPr="00A10D3C">
        <w:t>nich przebudowanie lub zmodernizowanie dodatkowych 66,422 km dróg oraz wybudowanie dodatkowego 1,02 km dróg. Łącznie</w:t>
      </w:r>
      <w:r w:rsidR="00E66B89">
        <w:t xml:space="preserve"> z </w:t>
      </w:r>
      <w:r w:rsidRPr="00A10D3C">
        <w:t xml:space="preserve">już realizowanymi interwencjami oznacza to plany osiągnięcia </w:t>
      </w:r>
      <w:r w:rsidRPr="00F938D1">
        <w:t>wskaźnika</w:t>
      </w:r>
      <w:r w:rsidRPr="008B706B">
        <w:rPr>
          <w:i/>
        </w:rPr>
        <w:t xml:space="preserve"> Całkowita długość nowych dróg</w:t>
      </w:r>
      <w:r w:rsidR="00E66B89">
        <w:t xml:space="preserve"> w </w:t>
      </w:r>
      <w:r w:rsidRPr="00A10D3C">
        <w:t xml:space="preserve">wysokości 6,34 km (127%), zaś wskaźnika </w:t>
      </w:r>
      <w:r w:rsidRPr="008B706B">
        <w:rPr>
          <w:i/>
        </w:rPr>
        <w:t>Całkowita długość przebudowanych lub zmodernizowanych dróg</w:t>
      </w:r>
      <w:r w:rsidR="00E66B89">
        <w:t xml:space="preserve"> w </w:t>
      </w:r>
      <w:r w:rsidRPr="00A10D3C">
        <w:t>wysokości 209,73 km, czyli 110% wartości docelowej. Przedmiotowe plany napotykają jednak na problem</w:t>
      </w:r>
      <w:r>
        <w:t xml:space="preserve"> </w:t>
      </w:r>
      <w:r w:rsidRPr="00A10D3C">
        <w:t>blisko dwukrotnego wzrostu cen materiałów</w:t>
      </w:r>
      <w:r w:rsidR="00E66B89">
        <w:t xml:space="preserve"> i </w:t>
      </w:r>
      <w:r w:rsidRPr="00A10D3C">
        <w:t>usług budowlanych. Należy</w:t>
      </w:r>
      <w:r w:rsidR="00E66B89">
        <w:t xml:space="preserve"> w </w:t>
      </w:r>
      <w:r w:rsidRPr="00A10D3C">
        <w:t>tym miejscu podkreślić, że wysoki priorytet inwestycji</w:t>
      </w:r>
      <w:r w:rsidR="00E66B89">
        <w:t xml:space="preserve"> w </w:t>
      </w:r>
      <w:r w:rsidRPr="00A10D3C">
        <w:t>planach beneficjentów nie niesie za sobą ryzyka rezygnacji</w:t>
      </w:r>
      <w:r w:rsidR="00E66B89">
        <w:t xml:space="preserve"> z </w:t>
      </w:r>
      <w:r w:rsidRPr="00A10D3C">
        <w:t>niej</w:t>
      </w:r>
      <w:r>
        <w:t xml:space="preserve">, pomimo </w:t>
      </w:r>
      <w:r w:rsidRPr="00A10D3C">
        <w:t>utrzymywania się dalszego wzrostu cen. Zakładane jest raczej zabezpieczenie większej kwoty</w:t>
      </w:r>
      <w:r w:rsidR="00E66B89">
        <w:t xml:space="preserve"> w </w:t>
      </w:r>
      <w:r w:rsidRPr="00A10D3C">
        <w:t>budżetach własnych na współfinansowanie in</w:t>
      </w:r>
      <w:r>
        <w:t>westycji</w:t>
      </w:r>
      <w:r w:rsidRPr="00A10D3C">
        <w:t>, co wiąże się jednak</w:t>
      </w:r>
      <w:r w:rsidR="00E66B89">
        <w:t xml:space="preserve"> z </w:t>
      </w:r>
      <w:r w:rsidRPr="00A10D3C">
        <w:t>rocznymi opóźnieniami</w:t>
      </w:r>
      <w:r w:rsidR="00E66B89">
        <w:t xml:space="preserve"> w </w:t>
      </w:r>
      <w:r w:rsidRPr="00A10D3C">
        <w:t>podpisywaniu umów. Beneficjenci zakładają również, iż rozpoczęcie zamówień publicznych dopiero</w:t>
      </w:r>
      <w:r w:rsidR="00E66B89">
        <w:t xml:space="preserve"> w </w:t>
      </w:r>
      <w:r w:rsidRPr="00A10D3C">
        <w:t>2020 roku umożliwi osiągnięcie zakładanych planów</w:t>
      </w:r>
      <w:r w:rsidR="00E66B89">
        <w:t xml:space="preserve"> w </w:t>
      </w:r>
      <w:r w:rsidRPr="00A10D3C">
        <w:t>perspektywie n+3, przy założeniu maksymalnie dwuletniego okresu realizacji inwestycji. Jak wynika jednak</w:t>
      </w:r>
      <w:r w:rsidR="00E66B89">
        <w:t xml:space="preserve"> z </w:t>
      </w:r>
      <w:r w:rsidRPr="00A10D3C">
        <w:t xml:space="preserve">analiz benchmarkowych - plany te mogą okazać się </w:t>
      </w:r>
      <w:r>
        <w:t>mało realne</w:t>
      </w:r>
      <w:r w:rsidRPr="00A10D3C">
        <w:t xml:space="preserve"> ze względu na przyjmowanie podobnych strategii</w:t>
      </w:r>
      <w:r w:rsidR="00E66B89">
        <w:t xml:space="preserve"> w </w:t>
      </w:r>
      <w:r w:rsidRPr="00A10D3C">
        <w:t>większości województw Polski, co może spowodować kolejną kumulację zamówień na rynku</w:t>
      </w:r>
      <w:r w:rsidR="00E66B89">
        <w:t xml:space="preserve"> i </w:t>
      </w:r>
      <w:r w:rsidRPr="00A10D3C">
        <w:t>brak spodziewanego spadku cen. Zaleca się mobilizowanie beneficjentów do zakończenia procedury wyboru wykonawcy najpóźniej</w:t>
      </w:r>
      <w:r w:rsidR="00E66B89">
        <w:t xml:space="preserve"> w </w:t>
      </w:r>
      <w:r w:rsidRPr="00A10D3C">
        <w:t>III kwartale 2020 roku. Zabezpieczenie</w:t>
      </w:r>
      <w:r w:rsidR="00E66B89">
        <w:t xml:space="preserve"> w </w:t>
      </w:r>
      <w:r w:rsidRPr="00A10D3C">
        <w:t>Działaniu 5.1.</w:t>
      </w:r>
      <w:r w:rsidR="00E66B89">
        <w:t xml:space="preserve"> i </w:t>
      </w:r>
      <w:r w:rsidRPr="00A10D3C">
        <w:t>5.4 środków na ewentualne zwiększenie dofinansowania powinno stanowić zachętę do podpisywania umów zgodnie</w:t>
      </w:r>
      <w:r w:rsidR="00E66B89">
        <w:t xml:space="preserve"> z </w:t>
      </w:r>
      <w:r w:rsidRPr="00A10D3C">
        <w:t>harmonogramem</w:t>
      </w:r>
      <w:r>
        <w:t>,</w:t>
      </w:r>
      <w:r w:rsidR="00E66B89">
        <w:t xml:space="preserve"> z </w:t>
      </w:r>
      <w:r w:rsidRPr="00A10D3C">
        <w:t xml:space="preserve">uwzględnieniem ryzyka wyższych cen. </w:t>
      </w:r>
    </w:p>
    <w:p w14:paraId="32DBAE4A" w14:textId="77777777" w:rsidR="00EF2A15" w:rsidRPr="00754ED4" w:rsidRDefault="00EF2A15" w:rsidP="00754ED4">
      <w:pPr>
        <w:pStyle w:val="Legenda"/>
        <w:spacing w:after="0"/>
      </w:pPr>
      <w:bookmarkStart w:id="149" w:name="_Toc8824183"/>
      <w:r w:rsidRPr="00404DA5">
        <w:t xml:space="preserve">Tabela </w:t>
      </w:r>
      <w:r>
        <w:fldChar w:fldCharType="begin"/>
      </w:r>
      <w:r>
        <w:instrText xml:space="preserve"> SEQ Tabela \* ARABIC </w:instrText>
      </w:r>
      <w:r>
        <w:fldChar w:fldCharType="separate"/>
      </w:r>
      <w:r w:rsidR="00763345">
        <w:rPr>
          <w:noProof/>
        </w:rPr>
        <w:t>72</w:t>
      </w:r>
      <w:r>
        <w:fldChar w:fldCharType="end"/>
      </w:r>
      <w:r w:rsidRPr="00404DA5">
        <w:t xml:space="preserve"> Prognozowany poziom realizacji wskaźników produktu</w:t>
      </w:r>
      <w:r w:rsidR="00E66B89">
        <w:t xml:space="preserve"> i </w:t>
      </w:r>
      <w:r w:rsidRPr="00404DA5">
        <w:t>rezultatu bezpośredniego na rok 2023 – PI 7b</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2430"/>
        <w:gridCol w:w="1354"/>
        <w:gridCol w:w="1932"/>
        <w:gridCol w:w="1936"/>
      </w:tblGrid>
      <w:tr w:rsidR="00EF2A15" w:rsidRPr="0052708E" w14:paraId="680E54B0" w14:textId="77777777" w:rsidTr="00EF2A15">
        <w:trPr>
          <w:trHeight w:val="978"/>
          <w:tblHeader/>
        </w:trPr>
        <w:tc>
          <w:tcPr>
            <w:tcW w:w="778" w:type="pct"/>
            <w:shd w:val="clear" w:color="auto" w:fill="DBE5F1"/>
            <w:vAlign w:val="center"/>
          </w:tcPr>
          <w:p w14:paraId="30BA17E3"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1341" w:type="pct"/>
            <w:shd w:val="clear" w:color="auto" w:fill="DBE5F1"/>
            <w:vAlign w:val="center"/>
          </w:tcPr>
          <w:p w14:paraId="6E33327C"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747" w:type="pct"/>
            <w:shd w:val="clear" w:color="auto" w:fill="DBE5F1"/>
            <w:vAlign w:val="center"/>
          </w:tcPr>
          <w:p w14:paraId="3D24A2C7" w14:textId="77777777" w:rsidR="00EF2A15" w:rsidRPr="00404DA5" w:rsidRDefault="00EF2A15" w:rsidP="00EF2A15">
            <w:pPr>
              <w:jc w:val="center"/>
              <w:rPr>
                <w:rFonts w:cs="Calibri"/>
                <w:sz w:val="18"/>
                <w:szCs w:val="20"/>
              </w:rPr>
            </w:pPr>
            <w:r w:rsidRPr="00404DA5">
              <w:rPr>
                <w:rFonts w:cs="Calibri"/>
                <w:sz w:val="18"/>
                <w:szCs w:val="20"/>
              </w:rPr>
              <w:t>Wartość docelowa określona na 2023 rok</w:t>
            </w:r>
          </w:p>
        </w:tc>
        <w:tc>
          <w:tcPr>
            <w:tcW w:w="1066" w:type="pct"/>
            <w:shd w:val="clear" w:color="auto" w:fill="DBE5F1"/>
            <w:vAlign w:val="center"/>
          </w:tcPr>
          <w:p w14:paraId="41857D24" w14:textId="77777777" w:rsidR="00EF2A15" w:rsidRPr="00404DA5" w:rsidRDefault="00EF2A15" w:rsidP="00EF2A15">
            <w:pPr>
              <w:jc w:val="center"/>
              <w:rPr>
                <w:rFonts w:cs="Calibri"/>
                <w:sz w:val="18"/>
                <w:szCs w:val="20"/>
              </w:rPr>
            </w:pPr>
            <w:r w:rsidRPr="00404DA5">
              <w:rPr>
                <w:rFonts w:cs="Calibri"/>
                <w:sz w:val="18"/>
                <w:szCs w:val="20"/>
              </w:rPr>
              <w:t>Prognozowana całkowita wartość wskaźnika</w:t>
            </w:r>
          </w:p>
        </w:tc>
        <w:tc>
          <w:tcPr>
            <w:tcW w:w="1068" w:type="pct"/>
            <w:shd w:val="clear" w:color="auto" w:fill="DBE5F1"/>
            <w:vAlign w:val="center"/>
          </w:tcPr>
          <w:p w14:paraId="391EA78B" w14:textId="77777777" w:rsidR="00EF2A15" w:rsidRPr="00404DA5" w:rsidRDefault="00EF2A15" w:rsidP="00EF2A15">
            <w:pPr>
              <w:jc w:val="center"/>
              <w:rPr>
                <w:rFonts w:cs="Calibri"/>
                <w:sz w:val="18"/>
                <w:szCs w:val="20"/>
              </w:rPr>
            </w:pPr>
            <w:r w:rsidRPr="00404DA5">
              <w:rPr>
                <w:rFonts w:cs="Calibri"/>
                <w:sz w:val="18"/>
                <w:szCs w:val="20"/>
              </w:rPr>
              <w:t>Prognozowany % realizacji wartości docelowej</w:t>
            </w:r>
          </w:p>
        </w:tc>
      </w:tr>
      <w:tr w:rsidR="00EF2A15" w:rsidRPr="0052708E" w14:paraId="2079F7F1" w14:textId="77777777" w:rsidTr="00EF2A15">
        <w:trPr>
          <w:trHeight w:val="918"/>
        </w:trPr>
        <w:tc>
          <w:tcPr>
            <w:tcW w:w="778" w:type="pct"/>
            <w:shd w:val="clear" w:color="auto" w:fill="auto"/>
            <w:vAlign w:val="center"/>
          </w:tcPr>
          <w:p w14:paraId="08D3D1F0" w14:textId="77777777" w:rsidR="00EF2A15" w:rsidRPr="00404DA5" w:rsidRDefault="00EF2A15" w:rsidP="00EF2A15">
            <w:pPr>
              <w:jc w:val="center"/>
              <w:rPr>
                <w:rFonts w:cs="Calibri"/>
                <w:sz w:val="18"/>
                <w:szCs w:val="20"/>
              </w:rPr>
            </w:pPr>
            <w:r w:rsidRPr="00404DA5">
              <w:rPr>
                <w:rFonts w:cs="Calibri"/>
                <w:sz w:val="18"/>
                <w:szCs w:val="20"/>
              </w:rPr>
              <w:t>WP</w:t>
            </w:r>
          </w:p>
        </w:tc>
        <w:tc>
          <w:tcPr>
            <w:tcW w:w="1341" w:type="pct"/>
            <w:shd w:val="clear" w:color="auto" w:fill="auto"/>
            <w:vAlign w:val="center"/>
          </w:tcPr>
          <w:p w14:paraId="41298A2D" w14:textId="77777777" w:rsidR="00EF2A15" w:rsidRPr="00404DA5" w:rsidRDefault="00EF2A15" w:rsidP="00EF2A15">
            <w:pPr>
              <w:jc w:val="center"/>
              <w:rPr>
                <w:rFonts w:cs="Calibri"/>
                <w:sz w:val="18"/>
                <w:szCs w:val="20"/>
              </w:rPr>
            </w:pPr>
            <w:r w:rsidRPr="00404DA5">
              <w:rPr>
                <w:rFonts w:cs="Calibri"/>
                <w:sz w:val="18"/>
                <w:szCs w:val="20"/>
              </w:rPr>
              <w:t>Całkowita długość nowych dróg</w:t>
            </w:r>
          </w:p>
        </w:tc>
        <w:tc>
          <w:tcPr>
            <w:tcW w:w="747" w:type="pct"/>
            <w:shd w:val="clear" w:color="auto" w:fill="auto"/>
            <w:vAlign w:val="center"/>
          </w:tcPr>
          <w:p w14:paraId="71A6BDB5" w14:textId="77777777" w:rsidR="00EF2A15" w:rsidRPr="00404DA5" w:rsidRDefault="00EF2A15" w:rsidP="00EF2A15">
            <w:pPr>
              <w:jc w:val="center"/>
              <w:rPr>
                <w:rFonts w:cs="Calibri"/>
                <w:sz w:val="18"/>
                <w:szCs w:val="20"/>
              </w:rPr>
            </w:pPr>
            <w:r w:rsidRPr="00404DA5">
              <w:rPr>
                <w:rFonts w:cs="Calibri"/>
                <w:sz w:val="18"/>
                <w:szCs w:val="20"/>
              </w:rPr>
              <w:t>5</w:t>
            </w:r>
          </w:p>
        </w:tc>
        <w:tc>
          <w:tcPr>
            <w:tcW w:w="1066" w:type="pct"/>
            <w:shd w:val="clear" w:color="auto" w:fill="auto"/>
            <w:vAlign w:val="center"/>
          </w:tcPr>
          <w:p w14:paraId="24C8AF08" w14:textId="77777777" w:rsidR="00EF2A15" w:rsidRPr="00404DA5" w:rsidRDefault="00EF2A15" w:rsidP="00EF2A15">
            <w:pPr>
              <w:jc w:val="center"/>
              <w:rPr>
                <w:rFonts w:cs="Calibri"/>
                <w:sz w:val="18"/>
                <w:szCs w:val="20"/>
              </w:rPr>
            </w:pPr>
            <w:r w:rsidRPr="00404DA5">
              <w:rPr>
                <w:rFonts w:cs="Calibri"/>
                <w:sz w:val="18"/>
                <w:szCs w:val="20"/>
              </w:rPr>
              <w:t>6,34</w:t>
            </w:r>
          </w:p>
        </w:tc>
        <w:tc>
          <w:tcPr>
            <w:tcW w:w="1068" w:type="pct"/>
            <w:shd w:val="clear" w:color="auto" w:fill="auto"/>
            <w:vAlign w:val="center"/>
          </w:tcPr>
          <w:p w14:paraId="41EF9D7F" w14:textId="77777777" w:rsidR="00EF2A15" w:rsidRPr="00404DA5" w:rsidRDefault="00EF2A15" w:rsidP="00EF2A15">
            <w:pPr>
              <w:jc w:val="center"/>
              <w:rPr>
                <w:rFonts w:cs="Calibri"/>
                <w:sz w:val="18"/>
                <w:szCs w:val="20"/>
              </w:rPr>
            </w:pPr>
            <w:r w:rsidRPr="00404DA5">
              <w:rPr>
                <w:rFonts w:cs="Calibri"/>
                <w:sz w:val="18"/>
                <w:szCs w:val="20"/>
              </w:rPr>
              <w:t>127%</w:t>
            </w:r>
          </w:p>
        </w:tc>
      </w:tr>
      <w:tr w:rsidR="00EF2A15" w:rsidRPr="0052708E" w14:paraId="1DFEF1F7" w14:textId="77777777" w:rsidTr="00EF2A15">
        <w:trPr>
          <w:trHeight w:val="1048"/>
        </w:trPr>
        <w:tc>
          <w:tcPr>
            <w:tcW w:w="778" w:type="pct"/>
            <w:shd w:val="clear" w:color="auto" w:fill="auto"/>
            <w:vAlign w:val="center"/>
          </w:tcPr>
          <w:p w14:paraId="0229941F" w14:textId="77777777" w:rsidR="00EF2A15" w:rsidRPr="00404DA5" w:rsidRDefault="00EF2A15" w:rsidP="00EF2A15">
            <w:pPr>
              <w:jc w:val="center"/>
              <w:rPr>
                <w:rFonts w:cs="Calibri"/>
                <w:sz w:val="18"/>
                <w:szCs w:val="20"/>
              </w:rPr>
            </w:pPr>
            <w:r w:rsidRPr="00404DA5">
              <w:rPr>
                <w:rFonts w:cs="Calibri"/>
                <w:sz w:val="18"/>
                <w:szCs w:val="20"/>
              </w:rPr>
              <w:t>WP</w:t>
            </w:r>
          </w:p>
        </w:tc>
        <w:tc>
          <w:tcPr>
            <w:tcW w:w="1341" w:type="pct"/>
            <w:shd w:val="clear" w:color="auto" w:fill="auto"/>
            <w:vAlign w:val="center"/>
          </w:tcPr>
          <w:p w14:paraId="10242C40" w14:textId="77777777" w:rsidR="00EF2A15" w:rsidRPr="00404DA5" w:rsidRDefault="00EF2A15" w:rsidP="00EF2A15">
            <w:pPr>
              <w:jc w:val="center"/>
              <w:rPr>
                <w:rFonts w:cs="Calibri"/>
                <w:sz w:val="18"/>
                <w:szCs w:val="20"/>
              </w:rPr>
            </w:pPr>
            <w:r w:rsidRPr="00404DA5">
              <w:rPr>
                <w:rFonts w:cs="Calibri"/>
                <w:sz w:val="18"/>
                <w:szCs w:val="20"/>
              </w:rPr>
              <w:t>Całkowita długość przebudowanych lub zmodernizowanych dróg</w:t>
            </w:r>
          </w:p>
        </w:tc>
        <w:tc>
          <w:tcPr>
            <w:tcW w:w="747" w:type="pct"/>
            <w:shd w:val="clear" w:color="auto" w:fill="auto"/>
            <w:vAlign w:val="center"/>
          </w:tcPr>
          <w:p w14:paraId="56C25590" w14:textId="77777777" w:rsidR="00EF2A15" w:rsidRPr="00404DA5" w:rsidRDefault="00EF2A15" w:rsidP="00EF2A15">
            <w:pPr>
              <w:jc w:val="center"/>
              <w:rPr>
                <w:rFonts w:cs="Calibri"/>
                <w:sz w:val="18"/>
                <w:szCs w:val="20"/>
              </w:rPr>
            </w:pPr>
            <w:r w:rsidRPr="00404DA5">
              <w:rPr>
                <w:rFonts w:cs="Calibri"/>
                <w:sz w:val="18"/>
                <w:szCs w:val="20"/>
              </w:rPr>
              <w:t>190</w:t>
            </w:r>
          </w:p>
        </w:tc>
        <w:tc>
          <w:tcPr>
            <w:tcW w:w="1066" w:type="pct"/>
            <w:shd w:val="clear" w:color="auto" w:fill="auto"/>
            <w:vAlign w:val="center"/>
          </w:tcPr>
          <w:p w14:paraId="78595CA3" w14:textId="77777777" w:rsidR="00EF2A15" w:rsidRPr="00404DA5" w:rsidRDefault="00EF2A15" w:rsidP="00EF2A15">
            <w:pPr>
              <w:jc w:val="center"/>
              <w:rPr>
                <w:rFonts w:cs="Calibri"/>
                <w:sz w:val="18"/>
                <w:szCs w:val="20"/>
              </w:rPr>
            </w:pPr>
            <w:r w:rsidRPr="00404DA5">
              <w:rPr>
                <w:rFonts w:cs="Calibri"/>
                <w:sz w:val="18"/>
                <w:szCs w:val="20"/>
              </w:rPr>
              <w:t>209,73</w:t>
            </w:r>
          </w:p>
        </w:tc>
        <w:tc>
          <w:tcPr>
            <w:tcW w:w="1068" w:type="pct"/>
            <w:shd w:val="clear" w:color="auto" w:fill="auto"/>
            <w:vAlign w:val="center"/>
          </w:tcPr>
          <w:p w14:paraId="1743C590" w14:textId="77777777" w:rsidR="00EF2A15" w:rsidRPr="00404DA5" w:rsidRDefault="00EF2A15" w:rsidP="00EF2A15">
            <w:pPr>
              <w:jc w:val="center"/>
              <w:rPr>
                <w:rFonts w:cs="Calibri"/>
                <w:sz w:val="18"/>
                <w:szCs w:val="20"/>
              </w:rPr>
            </w:pPr>
            <w:r w:rsidRPr="00404DA5">
              <w:rPr>
                <w:rFonts w:cs="Calibri"/>
                <w:sz w:val="18"/>
                <w:szCs w:val="20"/>
              </w:rPr>
              <w:t>110%</w:t>
            </w:r>
          </w:p>
        </w:tc>
      </w:tr>
    </w:tbl>
    <w:p w14:paraId="5895639A"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761AE0BC"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lastRenderedPageBreak/>
        <w:t>Możliwości zarządzania środkami rezerwy wykonania</w:t>
      </w:r>
      <w:r w:rsidR="00E66B89">
        <w:rPr>
          <w:rFonts w:ascii="Lato" w:eastAsia="Calibri" w:hAnsi="Lato"/>
          <w:szCs w:val="20"/>
        </w:rPr>
        <w:t xml:space="preserve"> i </w:t>
      </w:r>
      <w:r w:rsidRPr="000A135E">
        <w:rPr>
          <w:rFonts w:ascii="Lato" w:eastAsia="Calibri" w:hAnsi="Lato"/>
          <w:szCs w:val="20"/>
        </w:rPr>
        <w:t>identyfikacja obszarów wymagających interwencji - podsumowanie</w:t>
      </w:r>
    </w:p>
    <w:p w14:paraId="002C8BAE" w14:textId="77777777" w:rsidR="00EF2A15" w:rsidRDefault="00EF2A15" w:rsidP="00EF2A15">
      <w:pPr>
        <w:pStyle w:val="evaluTresc"/>
      </w:pPr>
      <w:r w:rsidRPr="0052708E">
        <w:t>W PI 7b prognozowane jest przekroczenie zakładanych wartości docelowych wskaźników programowych. Ze względu na nisk</w:t>
      </w:r>
      <w:r>
        <w:t>ą</w:t>
      </w:r>
      <w:r w:rsidRPr="0052708E">
        <w:t xml:space="preserve"> wrażliwość planowanych in</w:t>
      </w:r>
      <w:r>
        <w:t>westycji</w:t>
      </w:r>
      <w:r w:rsidRPr="0052708E">
        <w:t xml:space="preserve"> na wzrost cen na rynku</w:t>
      </w:r>
      <w:r>
        <w:t xml:space="preserve"> -</w:t>
      </w:r>
      <w:r w:rsidRPr="0052708E">
        <w:t xml:space="preserve"> spowodowaną wysok</w:t>
      </w:r>
      <w:r>
        <w:t>im</w:t>
      </w:r>
      <w:r w:rsidRPr="0052708E">
        <w:t xml:space="preserve"> priorytet</w:t>
      </w:r>
      <w:r>
        <w:t>em</w:t>
      </w:r>
      <w:r w:rsidRPr="0052708E">
        <w:t xml:space="preserve"> inwestycji drogowych</w:t>
      </w:r>
      <w:r>
        <w:t xml:space="preserve"> -</w:t>
      </w:r>
      <w:r w:rsidRPr="0052708E">
        <w:t xml:space="preserve"> ryzyko zmniejszenia skali inwestycji</w:t>
      </w:r>
      <w:r w:rsidR="00E66B89">
        <w:t xml:space="preserve"> w </w:t>
      </w:r>
      <w:r w:rsidRPr="0052708E">
        <w:t>stosunku do planów beneficjentów projektów pozakonkursowych nie jest wysokie. Zaleca się jednak zabezpieczenie dodatkowych środków</w:t>
      </w:r>
      <w:r>
        <w:t>,</w:t>
      </w:r>
      <w:r w:rsidR="00E66B89">
        <w:t xml:space="preserve"> w </w:t>
      </w:r>
      <w:r w:rsidRPr="0052708E">
        <w:t>Działaniu 5.1</w:t>
      </w:r>
      <w:r w:rsidR="00E66B89">
        <w:t xml:space="preserve"> i </w:t>
      </w:r>
      <w:r w:rsidRPr="0052708E">
        <w:t>Działaniu 5.4</w:t>
      </w:r>
      <w:r>
        <w:t>,</w:t>
      </w:r>
      <w:r w:rsidRPr="0052708E">
        <w:t xml:space="preserve"> na ewentualne zwiększenie dofinansowania</w:t>
      </w:r>
      <w:r w:rsidR="00E66B89">
        <w:t xml:space="preserve"> w </w:t>
      </w:r>
      <w:r w:rsidRPr="0052708E">
        <w:t>przypadku zidentyfikowania przez beneficjentów braku możliwości zabezpieczenia podwyższonego wkładu własnego. Środki te powinny pochodzić</w:t>
      </w:r>
      <w:r w:rsidR="00E66B89">
        <w:t xml:space="preserve"> z </w:t>
      </w:r>
      <w:r w:rsidRPr="0052708E">
        <w:t>kwoty niewykorzystanej alokacji</w:t>
      </w:r>
      <w:r w:rsidR="00E66B89">
        <w:t xml:space="preserve"> w </w:t>
      </w:r>
      <w:r w:rsidRPr="0052708E">
        <w:t>Działaniu 5.4. Istotne jest również zabezpieczenie ryzyka nieosiągnięcia wszystkich zakładanych efektów</w:t>
      </w:r>
      <w:r w:rsidR="00E66B89">
        <w:t xml:space="preserve"> w </w:t>
      </w:r>
      <w:r w:rsidRPr="0052708E">
        <w:t>perspektywie n+3 poprzez mobilizowanie beneficjentów do składania WoD</w:t>
      </w:r>
      <w:r w:rsidR="00E66B89">
        <w:t xml:space="preserve"> i </w:t>
      </w:r>
      <w:r w:rsidRPr="0052708E">
        <w:t>rozpoczynania procedur przetargowych zgodnie</w:t>
      </w:r>
      <w:r w:rsidR="00E66B89">
        <w:t xml:space="preserve"> z </w:t>
      </w:r>
      <w:r w:rsidRPr="0052708E">
        <w:t>harmonogramem.</w:t>
      </w:r>
      <w:r>
        <w:t xml:space="preserve"> </w:t>
      </w:r>
      <w:r w:rsidRPr="000A135E">
        <w:t xml:space="preserve">Biorąc </w:t>
      </w:r>
      <w:r>
        <w:t>powyższe pod uwagę,</w:t>
      </w:r>
      <w:r w:rsidRPr="000A135E">
        <w:t xml:space="preserve"> prognozuje się przekroczenie wartości docelowych wskaźników programowych. </w:t>
      </w:r>
    </w:p>
    <w:p w14:paraId="47F73D98" w14:textId="77777777" w:rsidR="00EF2A15" w:rsidRPr="000A135E" w:rsidRDefault="00EF2A15" w:rsidP="00C22C26">
      <w:r>
        <w:t>Analiza zakresu przedmiotowego realizowanych interwencji i ich lokalizacji wskazuje na uwzględnienie zarówno wszystkich typów projektów ujętych</w:t>
      </w:r>
      <w:r w:rsidR="00E66B89">
        <w:t xml:space="preserve"> w </w:t>
      </w:r>
      <w:r>
        <w:t>dokumencie programowym jak</w:t>
      </w:r>
      <w:r w:rsidR="00E66B89">
        <w:t xml:space="preserve"> i </w:t>
      </w:r>
      <w:r>
        <w:t>ukierunkowania terytorialnego.</w:t>
      </w:r>
      <w:r w:rsidR="00E66B89">
        <w:t xml:space="preserve"> W </w:t>
      </w:r>
      <w:r>
        <w:t>ramach realizowanych projektów drogowych prowadzone są też prace zapewniające bezpieczeństwo przejazdu. Jak wspomniano jednak -</w:t>
      </w:r>
      <w:r w:rsidR="00E66B89">
        <w:t xml:space="preserve"> w </w:t>
      </w:r>
      <w:r>
        <w:t>rozdziale dotyczącym zmian sytuacji</w:t>
      </w:r>
      <w:r w:rsidR="00E66B89">
        <w:t xml:space="preserve"> w </w:t>
      </w:r>
      <w:r>
        <w:t>obszarze infrastruktury drogowej</w:t>
      </w:r>
      <w:r w:rsidR="00E66B89">
        <w:t xml:space="preserve"> w </w:t>
      </w:r>
      <w:r>
        <w:t>regionie zachodniopomorskim - d</w:t>
      </w:r>
      <w:r w:rsidRPr="000A135E">
        <w:rPr>
          <w:szCs w:val="20"/>
        </w:rPr>
        <w:t>otychczasowa realizacja wsparcia infrastruktury drogowej</w:t>
      </w:r>
      <w:r w:rsidR="00E66B89">
        <w:rPr>
          <w:szCs w:val="20"/>
        </w:rPr>
        <w:t xml:space="preserve"> w </w:t>
      </w:r>
      <w:r w:rsidRPr="000A135E">
        <w:rPr>
          <w:szCs w:val="20"/>
        </w:rPr>
        <w:t>KKBOF nie zaspokoiła</w:t>
      </w:r>
      <w:r w:rsidR="00E66B89">
        <w:rPr>
          <w:szCs w:val="20"/>
        </w:rPr>
        <w:t xml:space="preserve"> w </w:t>
      </w:r>
      <w:r w:rsidRPr="000A135E">
        <w:rPr>
          <w:szCs w:val="20"/>
        </w:rPr>
        <w:t>pełni zdiagnozowanych deficyt</w:t>
      </w:r>
      <w:r>
        <w:rPr>
          <w:szCs w:val="20"/>
        </w:rPr>
        <w:t>ów</w:t>
      </w:r>
      <w:r w:rsidR="00E66B89">
        <w:rPr>
          <w:szCs w:val="20"/>
        </w:rPr>
        <w:t xml:space="preserve"> w </w:t>
      </w:r>
      <w:r w:rsidRPr="000A135E">
        <w:rPr>
          <w:szCs w:val="20"/>
        </w:rPr>
        <w:t>zakresie odpowiedniego skomunikowania części dostępnych terenów inwestycyjnych, jak</w:t>
      </w:r>
      <w:r w:rsidR="00E66B89">
        <w:rPr>
          <w:szCs w:val="20"/>
        </w:rPr>
        <w:t xml:space="preserve"> i </w:t>
      </w:r>
      <w:r w:rsidRPr="000A135E">
        <w:rPr>
          <w:szCs w:val="20"/>
        </w:rPr>
        <w:t xml:space="preserve">infrastruktury logistyczno-przeładunkowej </w:t>
      </w:r>
      <w:r>
        <w:rPr>
          <w:szCs w:val="20"/>
        </w:rPr>
        <w:t>(</w:t>
      </w:r>
      <w:r w:rsidRPr="000A135E">
        <w:rPr>
          <w:szCs w:val="20"/>
        </w:rPr>
        <w:t>w tym zwłaszcza Portu Morskiego</w:t>
      </w:r>
      <w:r w:rsidR="00E66B89">
        <w:rPr>
          <w:szCs w:val="20"/>
        </w:rPr>
        <w:t xml:space="preserve"> w </w:t>
      </w:r>
      <w:r w:rsidRPr="000A135E">
        <w:rPr>
          <w:szCs w:val="20"/>
        </w:rPr>
        <w:t>Kołobrzegu</w:t>
      </w:r>
      <w:r>
        <w:rPr>
          <w:szCs w:val="20"/>
        </w:rPr>
        <w:t>)</w:t>
      </w:r>
      <w:r w:rsidRPr="000A135E">
        <w:rPr>
          <w:szCs w:val="20"/>
        </w:rPr>
        <w:t xml:space="preserve"> ze szlakami komunikacyjnymi łączącymi KKBOF</w:t>
      </w:r>
      <w:r w:rsidR="00E66B89">
        <w:rPr>
          <w:szCs w:val="20"/>
        </w:rPr>
        <w:t xml:space="preserve"> z </w:t>
      </w:r>
      <w:r w:rsidRPr="000A135E">
        <w:rPr>
          <w:szCs w:val="20"/>
        </w:rPr>
        <w:t xml:space="preserve">największymi ośrodkami miejskimi oraz zwiększenia dostępności transportowej obszarów atrakcyjnych turystycznie. </w:t>
      </w:r>
      <w:r>
        <w:rPr>
          <w:szCs w:val="20"/>
        </w:rPr>
        <w:t xml:space="preserve">Zabezpieczono jednak środki na przedmiotowe inwestycje. </w:t>
      </w:r>
    </w:p>
    <w:p w14:paraId="7302D093" w14:textId="77777777" w:rsidR="00EF2A15" w:rsidRPr="000A135E" w:rsidRDefault="00EF2A15" w:rsidP="00EF2A15">
      <w:pPr>
        <w:pStyle w:val="Nagwek3"/>
      </w:pPr>
      <w:r w:rsidRPr="000A135E">
        <w:t>Priorytet inwestycyjny 7d (</w:t>
      </w:r>
      <w:bookmarkStart w:id="150" w:name="_Hlk4741061"/>
      <w:r w:rsidRPr="000A135E">
        <w:t>Działanie 5.5</w:t>
      </w:r>
      <w:r>
        <w:t>,</w:t>
      </w:r>
      <w:bookmarkEnd w:id="150"/>
      <w:r>
        <w:t xml:space="preserve"> </w:t>
      </w:r>
      <w:r w:rsidRPr="000A135E">
        <w:t>5.6)</w:t>
      </w:r>
    </w:p>
    <w:p w14:paraId="4E089641"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Ocena postępów</w:t>
      </w:r>
      <w:r w:rsidR="00E66B89">
        <w:rPr>
          <w:rFonts w:ascii="Lato" w:eastAsia="Calibri" w:hAnsi="Lato"/>
          <w:szCs w:val="20"/>
        </w:rPr>
        <w:t xml:space="preserve"> w </w:t>
      </w:r>
      <w:r w:rsidRPr="000A135E">
        <w:rPr>
          <w:rFonts w:ascii="Lato" w:eastAsia="Calibri" w:hAnsi="Lato"/>
          <w:szCs w:val="20"/>
        </w:rPr>
        <w:t xml:space="preserve">realizacji PI </w:t>
      </w:r>
    </w:p>
    <w:p w14:paraId="3A792962" w14:textId="77777777" w:rsidR="00EF2A15" w:rsidRPr="000A135E" w:rsidRDefault="00EF2A15" w:rsidP="00EF2A15">
      <w:pPr>
        <w:pStyle w:val="evaluTresc"/>
        <w:rPr>
          <w:rFonts w:eastAsia="Times New Roman"/>
          <w:color w:val="000000"/>
          <w:lang w:eastAsia="pl-PL"/>
        </w:rPr>
      </w:pPr>
      <w:r w:rsidRPr="000A135E">
        <w:t xml:space="preserve">W ramach </w:t>
      </w:r>
      <w:r>
        <w:t>PI</w:t>
      </w:r>
      <w:r w:rsidRPr="000A135E">
        <w:t xml:space="preserve"> 7d </w:t>
      </w:r>
      <w:r w:rsidRPr="00C22C26">
        <w:rPr>
          <w:i/>
        </w:rPr>
        <w:t>Infrastruktura transportu kolejowego</w:t>
      </w:r>
      <w:r w:rsidRPr="000A135E">
        <w:t xml:space="preserve"> wsparcie realizowane jest</w:t>
      </w:r>
      <w:r w:rsidR="00E66B89">
        <w:t xml:space="preserve"> w </w:t>
      </w:r>
      <w:r w:rsidRPr="000A135E">
        <w:t xml:space="preserve">dwóch Działaniach: Działanie 5.5 </w:t>
      </w:r>
      <w:r w:rsidRPr="008B706B">
        <w:rPr>
          <w:i/>
        </w:rPr>
        <w:t>Budowa, przebudowa</w:t>
      </w:r>
      <w:r w:rsidR="00E66B89">
        <w:rPr>
          <w:i/>
        </w:rPr>
        <w:t xml:space="preserve"> i </w:t>
      </w:r>
      <w:r w:rsidRPr="008B706B">
        <w:rPr>
          <w:i/>
        </w:rPr>
        <w:t>rehabilitacja regionalnych linii kolejowych</w:t>
      </w:r>
      <w:r w:rsidRPr="000A135E">
        <w:t xml:space="preserve">, Działanie 5.6 </w:t>
      </w:r>
      <w:r w:rsidRPr="008B706B">
        <w:rPr>
          <w:i/>
        </w:rPr>
        <w:t>Zakup</w:t>
      </w:r>
      <w:r w:rsidR="00E66B89">
        <w:rPr>
          <w:i/>
        </w:rPr>
        <w:t xml:space="preserve"> i </w:t>
      </w:r>
      <w:r w:rsidRPr="008B706B">
        <w:rPr>
          <w:i/>
        </w:rPr>
        <w:t>modernizacja taboru kolejowego na potrzeby przewozów regionalnych</w:t>
      </w:r>
      <w:r w:rsidRPr="000A135E">
        <w:t>.</w:t>
      </w:r>
      <w:r w:rsidR="00E66B89">
        <w:t xml:space="preserve"> W </w:t>
      </w:r>
      <w:r w:rsidRPr="000A135E">
        <w:t>ramach PI 7d realizowany jest (wedle danych</w:t>
      </w:r>
      <w:r w:rsidR="00E66B89">
        <w:t xml:space="preserve"> z </w:t>
      </w:r>
      <w:r w:rsidRPr="000A135E">
        <w:t xml:space="preserve">07.01.2019 r.) jeden projekt modernizujący linie kolejowe. Zakończono 3 projekty dotyczące zakupu taboru kolejowego, realizowane przez Województwo Zachodniopomorskie. Łącznie zakontraktowano </w:t>
      </w:r>
      <w:r w:rsidRPr="000A135E">
        <w:rPr>
          <w:rFonts w:eastAsia="Times New Roman"/>
          <w:color w:val="000000"/>
          <w:lang w:eastAsia="pl-PL"/>
        </w:rPr>
        <w:t>462 765 000,00 zł</w:t>
      </w:r>
      <w:r>
        <w:rPr>
          <w:rFonts w:eastAsia="Times New Roman"/>
          <w:color w:val="000000"/>
          <w:lang w:eastAsia="pl-PL"/>
        </w:rPr>
        <w:t>,</w:t>
      </w:r>
      <w:r w:rsidRPr="000A135E">
        <w:rPr>
          <w:rFonts w:eastAsia="Times New Roman"/>
          <w:color w:val="000000"/>
          <w:lang w:eastAsia="pl-PL"/>
        </w:rPr>
        <w:t xml:space="preserve"> czyli </w:t>
      </w:r>
      <w:r w:rsidRPr="000A135E">
        <w:t xml:space="preserve">97,8% alokacji przeznaczonej na PI 7d </w:t>
      </w:r>
      <w:r w:rsidRPr="000A135E">
        <w:rPr>
          <w:rFonts w:eastAsia="Times New Roman"/>
          <w:color w:val="000000"/>
          <w:lang w:eastAsia="pl-PL"/>
        </w:rPr>
        <w:t>(do tego PI nie przyporządkowano rezerwy wykonania).</w:t>
      </w:r>
    </w:p>
    <w:p w14:paraId="55357269" w14:textId="77777777" w:rsidR="00EF2A15" w:rsidRPr="000A135E" w:rsidRDefault="00EF2A15" w:rsidP="00EF2A15">
      <w:pPr>
        <w:pStyle w:val="evaluTresc"/>
        <w:rPr>
          <w:rFonts w:eastAsia="Times New Roman"/>
          <w:lang w:eastAsia="pl-PL"/>
        </w:rPr>
      </w:pPr>
      <w:r w:rsidRPr="000A135E">
        <w:rPr>
          <w:rFonts w:eastAsia="Times New Roman" w:cs="Calibri"/>
          <w:lang w:eastAsia="pl-PL"/>
        </w:rPr>
        <w:t>Do dnia 07.01.2019 roku realizowany jest jeden projekt pozakonkursowy</w:t>
      </w:r>
      <w:r w:rsidR="00E66B89">
        <w:rPr>
          <w:rFonts w:eastAsia="Times New Roman" w:cs="Calibri"/>
          <w:lang w:eastAsia="pl-PL"/>
        </w:rPr>
        <w:t xml:space="preserve"> w </w:t>
      </w:r>
      <w:r w:rsidRPr="000A135E">
        <w:rPr>
          <w:rFonts w:eastAsia="Times New Roman" w:cs="Calibri"/>
          <w:lang w:eastAsia="pl-PL"/>
        </w:rPr>
        <w:t>Działani</w:t>
      </w:r>
      <w:r>
        <w:rPr>
          <w:rFonts w:eastAsia="Times New Roman" w:cs="Calibri"/>
          <w:lang w:eastAsia="pl-PL"/>
        </w:rPr>
        <w:t>u</w:t>
      </w:r>
      <w:r w:rsidRPr="000A135E">
        <w:rPr>
          <w:rFonts w:eastAsia="Times New Roman" w:cs="Calibri"/>
          <w:lang w:eastAsia="pl-PL"/>
        </w:rPr>
        <w:t xml:space="preserve"> 5.5. </w:t>
      </w:r>
      <w:r>
        <w:rPr>
          <w:rFonts w:eastAsia="Times New Roman" w:cs="Calibri"/>
          <w:lang w:eastAsia="pl-PL"/>
        </w:rPr>
        <w:t xml:space="preserve">pn. </w:t>
      </w:r>
      <w:r w:rsidRPr="00C22C26">
        <w:t>Rewitalizacja regionalnej linii kolejowej 210 na odcinku Szczecinek-Runowo Pomorskie</w:t>
      </w:r>
      <w:r w:rsidRPr="000A135E">
        <w:t>,</w:t>
      </w:r>
      <w:r w:rsidR="00E66B89">
        <w:t xml:space="preserve"> w </w:t>
      </w:r>
      <w:r w:rsidRPr="000A135E">
        <w:t xml:space="preserve">ramach którego założono przebudowę 51,45 km dróg kolejowych, co stanowi 58% wartości docelowej wskaźnika programowego </w:t>
      </w:r>
      <w:r w:rsidRPr="008B706B">
        <w:rPr>
          <w:i/>
        </w:rPr>
        <w:t>Całkowita długość przebudowanych/zmodernizowanych dróg kolejowych</w:t>
      </w:r>
      <w:r w:rsidRPr="000A135E">
        <w:t xml:space="preserve">. Na etapie programowania planowano </w:t>
      </w:r>
      <w:r w:rsidRPr="000A135E">
        <w:rPr>
          <w:rFonts w:eastAsia="Times New Roman"/>
          <w:lang w:eastAsia="pl-PL"/>
        </w:rPr>
        <w:t>realizację</w:t>
      </w:r>
      <w:r>
        <w:rPr>
          <w:rFonts w:eastAsia="Times New Roman"/>
          <w:lang w:eastAsia="pl-PL"/>
        </w:rPr>
        <w:t>,</w:t>
      </w:r>
      <w:r w:rsidR="00E66B89">
        <w:rPr>
          <w:rFonts w:eastAsia="Times New Roman"/>
          <w:lang w:eastAsia="pl-PL"/>
        </w:rPr>
        <w:t xml:space="preserve"> w </w:t>
      </w:r>
      <w:r w:rsidRPr="000A135E">
        <w:rPr>
          <w:rFonts w:eastAsia="Times New Roman"/>
          <w:lang w:eastAsia="pl-PL"/>
        </w:rPr>
        <w:t>trybie pozakonkursowym</w:t>
      </w:r>
      <w:r>
        <w:rPr>
          <w:rFonts w:eastAsia="Times New Roman"/>
          <w:lang w:eastAsia="pl-PL"/>
        </w:rPr>
        <w:t>,</w:t>
      </w:r>
      <w:r w:rsidRPr="000A135E">
        <w:rPr>
          <w:rFonts w:eastAsia="Times New Roman"/>
          <w:lang w:eastAsia="pl-PL"/>
        </w:rPr>
        <w:t xml:space="preserve"> </w:t>
      </w:r>
      <w:r>
        <w:rPr>
          <w:rFonts w:eastAsia="Times New Roman"/>
          <w:lang w:eastAsia="pl-PL"/>
        </w:rPr>
        <w:t xml:space="preserve">dużego </w:t>
      </w:r>
      <w:r w:rsidRPr="000A135E">
        <w:rPr>
          <w:rFonts w:eastAsia="Times New Roman"/>
          <w:lang w:eastAsia="pl-PL"/>
        </w:rPr>
        <w:t>projektu polegającego na kompleksowej rewitalizacji linii 210 na odcinku Runowo Pomorskie – Szczecinek.</w:t>
      </w:r>
      <w:r w:rsidR="00E66B89">
        <w:rPr>
          <w:rFonts w:eastAsia="Times New Roman"/>
          <w:lang w:eastAsia="pl-PL"/>
        </w:rPr>
        <w:t xml:space="preserve"> W </w:t>
      </w:r>
      <w:r w:rsidRPr="000A135E">
        <w:rPr>
          <w:rFonts w:eastAsia="Times New Roman"/>
          <w:lang w:eastAsia="pl-PL"/>
        </w:rPr>
        <w:t>wyniku procesu identyfikacji projektu pozakonkursowego, wnioskodawca (PKP PLK) wskazał</w:t>
      </w:r>
      <w:r>
        <w:rPr>
          <w:rFonts w:eastAsia="Times New Roman"/>
          <w:lang w:eastAsia="pl-PL"/>
        </w:rPr>
        <w:t xml:space="preserve"> jednak</w:t>
      </w:r>
      <w:r w:rsidRPr="000A135E">
        <w:rPr>
          <w:rFonts w:eastAsia="Times New Roman"/>
          <w:lang w:eastAsia="pl-PL"/>
        </w:rPr>
        <w:t>, że projekt nie będzie spełniał cech projektu dużego</w:t>
      </w:r>
      <w:r w:rsidR="00E66B89">
        <w:rPr>
          <w:rFonts w:eastAsia="Times New Roman"/>
          <w:lang w:eastAsia="pl-PL"/>
        </w:rPr>
        <w:t xml:space="preserve"> w </w:t>
      </w:r>
      <w:r w:rsidRPr="000A135E">
        <w:rPr>
          <w:rFonts w:eastAsia="Times New Roman"/>
          <w:lang w:eastAsia="pl-PL"/>
        </w:rPr>
        <w:t>rozumieniu art. 100 rozporządzenia ogólnego. Projekt został usunięty</w:t>
      </w:r>
      <w:r w:rsidR="00E66B89">
        <w:rPr>
          <w:rFonts w:eastAsia="Times New Roman"/>
          <w:lang w:eastAsia="pl-PL"/>
        </w:rPr>
        <w:t xml:space="preserve"> z </w:t>
      </w:r>
      <w:r w:rsidRPr="000A135E">
        <w:rPr>
          <w:rFonts w:eastAsia="Times New Roman"/>
          <w:lang w:eastAsia="pl-PL"/>
        </w:rPr>
        <w:t>wykazu projektów dużych po uprzedniej akceptacji Komitetu Monitorującego RPO WZ</w:t>
      </w:r>
      <w:r w:rsidR="00E66B89">
        <w:rPr>
          <w:rFonts w:eastAsia="Times New Roman"/>
          <w:lang w:eastAsia="pl-PL"/>
        </w:rPr>
        <w:t xml:space="preserve"> w </w:t>
      </w:r>
      <w:r w:rsidRPr="000A135E">
        <w:rPr>
          <w:rFonts w:eastAsia="Times New Roman"/>
          <w:lang w:eastAsia="pl-PL"/>
        </w:rPr>
        <w:t>drodze uchwały nr103/16</w:t>
      </w:r>
      <w:r w:rsidR="00E66B89">
        <w:rPr>
          <w:rFonts w:eastAsia="Times New Roman"/>
          <w:lang w:eastAsia="pl-PL"/>
        </w:rPr>
        <w:t xml:space="preserve"> z </w:t>
      </w:r>
      <w:r w:rsidRPr="000A135E">
        <w:rPr>
          <w:rFonts w:eastAsia="Times New Roman"/>
          <w:lang w:eastAsia="pl-PL"/>
        </w:rPr>
        <w:t>dnia 27 września 2016 roku.</w:t>
      </w:r>
    </w:p>
    <w:p w14:paraId="7E730FDD" w14:textId="77777777" w:rsidR="00EF2A15" w:rsidRPr="000A135E" w:rsidRDefault="00EF2A15" w:rsidP="00EF2A15">
      <w:pPr>
        <w:pStyle w:val="evaluTresc"/>
        <w:rPr>
          <w:rFonts w:eastAsia="Times New Roman"/>
          <w:lang w:eastAsia="pl-PL"/>
        </w:rPr>
      </w:pPr>
      <w:r w:rsidRPr="000A135E">
        <w:rPr>
          <w:rFonts w:eastAsia="Times New Roman"/>
          <w:bCs/>
          <w:lang w:eastAsia="pl-PL"/>
        </w:rPr>
        <w:t>PKP PLK S.A. zdecydowała</w:t>
      </w:r>
      <w:r w:rsidR="00E66B89">
        <w:rPr>
          <w:rFonts w:eastAsia="Times New Roman"/>
          <w:bCs/>
          <w:lang w:eastAsia="pl-PL"/>
        </w:rPr>
        <w:t xml:space="preserve"> o </w:t>
      </w:r>
      <w:r w:rsidRPr="000A135E">
        <w:rPr>
          <w:rFonts w:eastAsia="Times New Roman"/>
          <w:bCs/>
          <w:lang w:eastAsia="pl-PL"/>
        </w:rPr>
        <w:t>rezygnacji</w:t>
      </w:r>
      <w:r w:rsidR="00E66B89">
        <w:rPr>
          <w:rFonts w:eastAsia="Times New Roman"/>
          <w:bCs/>
          <w:lang w:eastAsia="pl-PL"/>
        </w:rPr>
        <w:t xml:space="preserve"> z </w:t>
      </w:r>
      <w:r w:rsidRPr="000A135E">
        <w:rPr>
          <w:rFonts w:eastAsia="Times New Roman"/>
          <w:bCs/>
          <w:lang w:eastAsia="pl-PL"/>
        </w:rPr>
        <w:t>niektórych (nielicznych) odcinków torowych, nie wpływających na ogólne zwiększenie prędkości pociągów na linii. Dotyczy to przede wszystkim odcinków na stacjach</w:t>
      </w:r>
      <w:r w:rsidR="00E66B89">
        <w:rPr>
          <w:rFonts w:eastAsia="Times New Roman"/>
          <w:bCs/>
          <w:lang w:eastAsia="pl-PL"/>
        </w:rPr>
        <w:t xml:space="preserve"> </w:t>
      </w:r>
      <w:r w:rsidR="00E66B89">
        <w:rPr>
          <w:rFonts w:eastAsia="Times New Roman"/>
          <w:bCs/>
          <w:lang w:eastAsia="pl-PL"/>
        </w:rPr>
        <w:lastRenderedPageBreak/>
        <w:t>i </w:t>
      </w:r>
      <w:r w:rsidRPr="000A135E">
        <w:rPr>
          <w:rFonts w:eastAsia="Times New Roman"/>
          <w:bCs/>
          <w:lang w:eastAsia="pl-PL"/>
        </w:rPr>
        <w:t>przystankach, na których pociąg - nawet niezatrzymujący się -</w:t>
      </w:r>
      <w:r w:rsidR="00E66B89">
        <w:rPr>
          <w:rFonts w:eastAsia="Times New Roman"/>
          <w:bCs/>
          <w:lang w:eastAsia="pl-PL"/>
        </w:rPr>
        <w:t xml:space="preserve"> i </w:t>
      </w:r>
      <w:r w:rsidRPr="000A135E">
        <w:rPr>
          <w:rFonts w:eastAsia="Times New Roman"/>
          <w:bCs/>
          <w:lang w:eastAsia="pl-PL"/>
        </w:rPr>
        <w:t>tak musi zwolnić do prędkości poniżej 60 km/h. Zmiany te wpłynęły na obniżenie wartości docelowej wskaźnika zakładanej</w:t>
      </w:r>
      <w:r w:rsidR="00E66B89">
        <w:rPr>
          <w:rFonts w:eastAsia="Times New Roman"/>
          <w:bCs/>
          <w:lang w:eastAsia="pl-PL"/>
        </w:rPr>
        <w:t xml:space="preserve"> w </w:t>
      </w:r>
      <w:r w:rsidRPr="000A135E">
        <w:rPr>
          <w:rFonts w:eastAsia="Times New Roman"/>
          <w:bCs/>
          <w:lang w:eastAsia="pl-PL"/>
        </w:rPr>
        <w:t>projekcie.</w:t>
      </w:r>
      <w:r w:rsidR="00E66B89">
        <w:rPr>
          <w:rFonts w:eastAsia="Times New Roman"/>
          <w:bCs/>
          <w:lang w:eastAsia="pl-PL"/>
        </w:rPr>
        <w:t xml:space="preserve"> W </w:t>
      </w:r>
      <w:r w:rsidRPr="000A135E">
        <w:rPr>
          <w:rFonts w:eastAsia="Times New Roman"/>
          <w:bCs/>
          <w:lang w:eastAsia="pl-PL"/>
        </w:rPr>
        <w:t>projekcie tym pojawiają się problemy realizacyjne, niemniej jednak nie stwarzają one zagrożenia niezrealizowania celów projektowych.</w:t>
      </w:r>
    </w:p>
    <w:p w14:paraId="1F349CCE" w14:textId="77777777" w:rsidR="00EF2A15" w:rsidRDefault="00EF2A15" w:rsidP="00EF2A15">
      <w:pPr>
        <w:pStyle w:val="evaluTresc"/>
        <w:rPr>
          <w:rFonts w:eastAsia="Times New Roman"/>
          <w:lang w:eastAsia="pl-PL"/>
        </w:rPr>
      </w:pPr>
      <w:r w:rsidRPr="000A135E">
        <w:t>Projekt ten angażuje 98,7% alokacji przeznaczonej na Działanie 5.5. RPO WZ 2014-2020. Biorąc pod uwagę cykl inwestycyjny modernizacji linii kolejowych, wydaje się, że nie będzie możliwe osiągnięcie zakładanej</w:t>
      </w:r>
      <w:r w:rsidR="00E66B89">
        <w:t xml:space="preserve"> w </w:t>
      </w:r>
      <w:r w:rsidRPr="000A135E">
        <w:t xml:space="preserve">Działaniu 5.5. RPO WZ 2014-2020 docelowej wysokości wskaźnika programowego </w:t>
      </w:r>
      <w:r w:rsidRPr="008B706B">
        <w:rPr>
          <w:i/>
        </w:rPr>
        <w:t>Całkowita długość przebudowanych/zmodernizowanych dróg kolejowych</w:t>
      </w:r>
      <w:r w:rsidR="00E66B89">
        <w:rPr>
          <w:i/>
        </w:rPr>
        <w:t xml:space="preserve"> w </w:t>
      </w:r>
      <w:r w:rsidRPr="008B706B">
        <w:rPr>
          <w:i/>
        </w:rPr>
        <w:t>bieżącej perspektywie finansowej</w:t>
      </w:r>
      <w:r w:rsidRPr="000A135E">
        <w:t>, nawet przy hipotetycznym zwiększeniu alokacji</w:t>
      </w:r>
      <w:r w:rsidR="00E66B89">
        <w:t xml:space="preserve"> o </w:t>
      </w:r>
      <w:r w:rsidRPr="000A135E">
        <w:t xml:space="preserve">kwotę </w:t>
      </w:r>
      <w:r w:rsidRPr="000A135E">
        <w:rPr>
          <w:rFonts w:eastAsia="Times New Roman"/>
          <w:lang w:eastAsia="pl-PL"/>
        </w:rPr>
        <w:t xml:space="preserve">pozwalającą na modernizację kolejnych 34 km linii regionalnych. </w:t>
      </w:r>
    </w:p>
    <w:p w14:paraId="407046B4" w14:textId="77777777" w:rsidR="00EF2A15" w:rsidRPr="000A135E" w:rsidRDefault="00EF2A15" w:rsidP="00EF2A15">
      <w:pPr>
        <w:pStyle w:val="evaluTresc"/>
        <w:rPr>
          <w:rFonts w:eastAsia="Times New Roman"/>
          <w:lang w:eastAsia="pl-PL"/>
        </w:rPr>
      </w:pPr>
      <w:r>
        <w:rPr>
          <w:rFonts w:eastAsia="Times New Roman"/>
          <w:lang w:eastAsia="pl-PL"/>
        </w:rPr>
        <w:t>Jak wynika</w:t>
      </w:r>
      <w:r w:rsidR="00E66B89">
        <w:rPr>
          <w:rFonts w:eastAsia="Times New Roman"/>
          <w:lang w:eastAsia="pl-PL"/>
        </w:rPr>
        <w:t xml:space="preserve"> z </w:t>
      </w:r>
      <w:r>
        <w:rPr>
          <w:rFonts w:eastAsia="Times New Roman"/>
          <w:lang w:eastAsia="pl-PL"/>
        </w:rPr>
        <w:t>analiz benchmarkowych zagrożenie nieosiągnięcia zakładanej</w:t>
      </w:r>
      <w:r w:rsidR="00E66B89">
        <w:rPr>
          <w:rFonts w:eastAsia="Times New Roman"/>
          <w:lang w:eastAsia="pl-PL"/>
        </w:rPr>
        <w:t xml:space="preserve"> w </w:t>
      </w:r>
      <w:r>
        <w:rPr>
          <w:rFonts w:eastAsia="Times New Roman"/>
          <w:lang w:eastAsia="pl-PL"/>
        </w:rPr>
        <w:t>RPO wartości docelowej przedmiotowego wskaźnika - wynikające</w:t>
      </w:r>
      <w:r w:rsidR="00E66B89">
        <w:rPr>
          <w:rFonts w:eastAsia="Times New Roman"/>
          <w:lang w:eastAsia="pl-PL"/>
        </w:rPr>
        <w:t xml:space="preserve"> z </w:t>
      </w:r>
      <w:r>
        <w:rPr>
          <w:rFonts w:eastAsia="Times New Roman"/>
          <w:lang w:eastAsia="pl-PL"/>
        </w:rPr>
        <w:t>gwałtownego wzrostu cen na materiały</w:t>
      </w:r>
      <w:r w:rsidR="00E66B89">
        <w:rPr>
          <w:rFonts w:eastAsia="Times New Roman"/>
          <w:lang w:eastAsia="pl-PL"/>
        </w:rPr>
        <w:t xml:space="preserve"> i </w:t>
      </w:r>
      <w:r>
        <w:rPr>
          <w:rFonts w:eastAsia="Times New Roman"/>
          <w:lang w:eastAsia="pl-PL"/>
        </w:rPr>
        <w:t>usługi budowlane na rynku</w:t>
      </w:r>
      <w:r w:rsidR="00E66B89">
        <w:rPr>
          <w:rFonts w:eastAsia="Times New Roman"/>
          <w:lang w:eastAsia="pl-PL"/>
        </w:rPr>
        <w:t xml:space="preserve"> i </w:t>
      </w:r>
      <w:r>
        <w:rPr>
          <w:rFonts w:eastAsia="Times New Roman"/>
          <w:lang w:eastAsia="pl-PL"/>
        </w:rPr>
        <w:t>braku możliwości dodatkowego montażu finansowego ze środków krajowych - odnotowano także m.in.</w:t>
      </w:r>
      <w:r w:rsidR="00E66B89">
        <w:rPr>
          <w:rFonts w:eastAsia="Times New Roman"/>
          <w:lang w:eastAsia="pl-PL"/>
        </w:rPr>
        <w:t xml:space="preserve"> w </w:t>
      </w:r>
      <w:r>
        <w:rPr>
          <w:rFonts w:eastAsia="Times New Roman"/>
          <w:lang w:eastAsia="pl-PL"/>
        </w:rPr>
        <w:t>przypadku województw: opolskiego, warmińsko-mazurskiego, podkarpackiego.</w:t>
      </w:r>
      <w:r w:rsidR="00E66B89">
        <w:rPr>
          <w:rFonts w:eastAsia="Times New Roman"/>
          <w:lang w:eastAsia="pl-PL"/>
        </w:rPr>
        <w:t xml:space="preserve"> W </w:t>
      </w:r>
      <w:r>
        <w:rPr>
          <w:rFonts w:eastAsia="Times New Roman"/>
          <w:lang w:eastAsia="pl-PL"/>
        </w:rPr>
        <w:t>regionach tych przyjmowane są strategie fazowania inwestycji (podobnie jak</w:t>
      </w:r>
      <w:r w:rsidR="00E66B89">
        <w:rPr>
          <w:rFonts w:eastAsia="Times New Roman"/>
          <w:lang w:eastAsia="pl-PL"/>
        </w:rPr>
        <w:t xml:space="preserve"> w </w:t>
      </w:r>
      <w:r>
        <w:rPr>
          <w:rFonts w:eastAsia="Times New Roman"/>
          <w:lang w:eastAsia="pl-PL"/>
        </w:rPr>
        <w:t>RPO WZ 2014-2020) bądź rezygnacji</w:t>
      </w:r>
      <w:r w:rsidR="00E66B89">
        <w:rPr>
          <w:rFonts w:eastAsia="Times New Roman"/>
          <w:lang w:eastAsia="pl-PL"/>
        </w:rPr>
        <w:t xml:space="preserve"> z </w:t>
      </w:r>
      <w:r>
        <w:rPr>
          <w:rFonts w:eastAsia="Times New Roman"/>
          <w:lang w:eastAsia="pl-PL"/>
        </w:rPr>
        <w:t xml:space="preserve">nich, na poczet wsparcia transportu miejskiego. </w:t>
      </w:r>
    </w:p>
    <w:p w14:paraId="2E554640" w14:textId="77777777" w:rsidR="00EF2A15" w:rsidRPr="006C784E" w:rsidRDefault="00EF2A15" w:rsidP="00EF2A15">
      <w:pPr>
        <w:pStyle w:val="evaluTresc"/>
      </w:pPr>
      <w:r w:rsidRPr="000A135E">
        <w:t xml:space="preserve">W Działaniu 5.6. </w:t>
      </w:r>
      <w:r w:rsidRPr="008B706B">
        <w:rPr>
          <w:i/>
        </w:rPr>
        <w:t>Zakup</w:t>
      </w:r>
      <w:r w:rsidR="00E66B89">
        <w:rPr>
          <w:i/>
        </w:rPr>
        <w:t xml:space="preserve"> i </w:t>
      </w:r>
      <w:r w:rsidRPr="008B706B">
        <w:rPr>
          <w:i/>
        </w:rPr>
        <w:t>modernizacja taboru kolejowego na potrzeby przewozów regionalnych</w:t>
      </w:r>
      <w:r w:rsidRPr="000A135E">
        <w:t xml:space="preserve"> realizowanym wyłącznie</w:t>
      </w:r>
      <w:r w:rsidR="00E66B89">
        <w:t xml:space="preserve"> w </w:t>
      </w:r>
      <w:r w:rsidRPr="000A135E">
        <w:t>trybie pozakonkursowym, zakończono 3 projekty Województwa Zachodniopomorskiego,</w:t>
      </w:r>
      <w:r w:rsidR="00E66B89">
        <w:t xml:space="preserve"> w </w:t>
      </w:r>
      <w:r w:rsidRPr="000A135E">
        <w:t>których zakupiono/zmodernizowano 105 jednostek taboru kolejowego</w:t>
      </w:r>
      <w:r>
        <w:t xml:space="preserve"> -</w:t>
      </w:r>
      <w:r w:rsidRPr="000A135E">
        <w:t xml:space="preserve"> co stanowi 420% wartości docelowej wskaźnika programowego dla OP V RPO WZ 2014-2020. Łącznie zaangażowano 97,3% alokacji przeznaczonej na Działanie 5.6. </w:t>
      </w:r>
    </w:p>
    <w:p w14:paraId="1874DD71" w14:textId="77777777" w:rsidR="00EF2A15" w:rsidRPr="008B706B" w:rsidRDefault="00EF2A15" w:rsidP="00EF2A15">
      <w:pPr>
        <w:rPr>
          <w:rFonts w:eastAsia="Lato"/>
          <w:i/>
          <w:szCs w:val="20"/>
        </w:rPr>
      </w:pPr>
      <w:r w:rsidRPr="000A135E">
        <w:rPr>
          <w:rFonts w:eastAsia="Lato"/>
          <w:szCs w:val="20"/>
        </w:rPr>
        <w:t>W PI 7d odnotowano wystąpienie czynnika</w:t>
      </w:r>
      <w:r w:rsidR="00E66B89">
        <w:rPr>
          <w:rFonts w:eastAsia="Lato"/>
          <w:szCs w:val="20"/>
        </w:rPr>
        <w:t xml:space="preserve"> w </w:t>
      </w:r>
      <w:r>
        <w:rPr>
          <w:rFonts w:eastAsia="Lato"/>
          <w:szCs w:val="20"/>
        </w:rPr>
        <w:t>postaci</w:t>
      </w:r>
      <w:r w:rsidRPr="000A135E">
        <w:rPr>
          <w:rFonts w:eastAsia="Lato"/>
          <w:szCs w:val="20"/>
        </w:rPr>
        <w:t xml:space="preserve"> niewystarczającego przygotowania beneficjenta projektów modernizacji linii kolejowych – PKP PLK S.A do realizacji wszystkich założonych</w:t>
      </w:r>
      <w:r w:rsidR="00E66B89">
        <w:rPr>
          <w:rFonts w:eastAsia="Lato"/>
          <w:szCs w:val="20"/>
        </w:rPr>
        <w:t xml:space="preserve"> w </w:t>
      </w:r>
      <w:r w:rsidRPr="000A135E">
        <w:rPr>
          <w:rFonts w:eastAsia="Lato"/>
          <w:szCs w:val="20"/>
        </w:rPr>
        <w:t>RPO WZ 2014-2020 kolejowych inwestycji liniowych</w:t>
      </w:r>
      <w:r w:rsidR="00E66B89">
        <w:rPr>
          <w:rFonts w:eastAsia="Lato"/>
          <w:szCs w:val="20"/>
        </w:rPr>
        <w:t xml:space="preserve"> i </w:t>
      </w:r>
      <w:r w:rsidRPr="000A135E">
        <w:rPr>
          <w:rFonts w:eastAsia="Lato"/>
          <w:szCs w:val="20"/>
        </w:rPr>
        <w:t>punktowych oraz czynnika nagłego wzrostu cen wynikającego</w:t>
      </w:r>
      <w:r w:rsidR="00E66B89">
        <w:rPr>
          <w:rFonts w:eastAsia="Lato"/>
          <w:szCs w:val="20"/>
        </w:rPr>
        <w:t xml:space="preserve"> z </w:t>
      </w:r>
      <w:r w:rsidRPr="000A135E">
        <w:rPr>
          <w:rFonts w:eastAsia="Lato"/>
          <w:szCs w:val="20"/>
        </w:rPr>
        <w:t>kumulacji zamówień na rynku</w:t>
      </w:r>
      <w:r>
        <w:rPr>
          <w:rFonts w:eastAsia="Lato"/>
          <w:szCs w:val="20"/>
        </w:rPr>
        <w:t>,</w:t>
      </w:r>
      <w:r w:rsidRPr="000A135E">
        <w:rPr>
          <w:rFonts w:eastAsia="Lato"/>
          <w:szCs w:val="20"/>
        </w:rPr>
        <w:t xml:space="preserve"> współwystępującego</w:t>
      </w:r>
      <w:r w:rsidR="00E66B89">
        <w:rPr>
          <w:rFonts w:eastAsia="Lato"/>
          <w:szCs w:val="20"/>
        </w:rPr>
        <w:t xml:space="preserve"> z </w:t>
      </w:r>
      <w:r w:rsidRPr="000A135E">
        <w:rPr>
          <w:rFonts w:eastAsia="Lato"/>
          <w:szCs w:val="20"/>
        </w:rPr>
        <w:t>ożywieniem gospodarczym</w:t>
      </w:r>
      <w:r w:rsidR="00E66B89">
        <w:rPr>
          <w:rFonts w:eastAsia="Lato"/>
          <w:szCs w:val="20"/>
        </w:rPr>
        <w:t xml:space="preserve"> i </w:t>
      </w:r>
      <w:r w:rsidRPr="000A135E">
        <w:rPr>
          <w:rFonts w:eastAsia="Lato"/>
          <w:szCs w:val="20"/>
        </w:rPr>
        <w:t>niewystarczającą podażą pracowników</w:t>
      </w:r>
      <w:r w:rsidR="00E66B89">
        <w:rPr>
          <w:rFonts w:eastAsia="Lato"/>
          <w:szCs w:val="20"/>
        </w:rPr>
        <w:t xml:space="preserve"> w </w:t>
      </w:r>
      <w:r w:rsidRPr="000A135E">
        <w:rPr>
          <w:rFonts w:eastAsia="Lato"/>
          <w:szCs w:val="20"/>
        </w:rPr>
        <w:t xml:space="preserve">sektorze budowlanym. Czynnik ten pociągnął za sobą brak możliwości osiągnięcia wartości docelowej wskaźnika </w:t>
      </w:r>
      <w:r w:rsidRPr="008B706B">
        <w:rPr>
          <w:rFonts w:eastAsia="Lato"/>
          <w:i/>
          <w:szCs w:val="20"/>
        </w:rPr>
        <w:t xml:space="preserve">Całkowita długość przebudowanych lub zmodernizowanych linii kolejowych. </w:t>
      </w:r>
    </w:p>
    <w:p w14:paraId="566009DF" w14:textId="77777777" w:rsidR="00EF2A15" w:rsidRPr="000A135E" w:rsidRDefault="00EF2A15" w:rsidP="00754ED4">
      <w:pPr>
        <w:pStyle w:val="Legenda"/>
        <w:spacing w:after="0"/>
      </w:pPr>
      <w:bookmarkStart w:id="151" w:name="_Toc8824184"/>
      <w:r w:rsidRPr="000A135E">
        <w:t xml:space="preserve">Tabela </w:t>
      </w:r>
      <w:r>
        <w:fldChar w:fldCharType="begin"/>
      </w:r>
      <w:r>
        <w:instrText xml:space="preserve"> SEQ Tabela \* ARABIC </w:instrText>
      </w:r>
      <w:r>
        <w:fldChar w:fldCharType="separate"/>
      </w:r>
      <w:r w:rsidR="00763345">
        <w:rPr>
          <w:noProof/>
        </w:rPr>
        <w:t>73</w:t>
      </w:r>
      <w:r>
        <w:fldChar w:fldCharType="end"/>
      </w:r>
      <w:r w:rsidRPr="000A135E">
        <w:t xml:space="preserve"> Wskaźniki produktu (PI 7d) – postęp rzeczowy</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8"/>
        <w:gridCol w:w="1629"/>
        <w:gridCol w:w="822"/>
        <w:gridCol w:w="917"/>
        <w:gridCol w:w="961"/>
        <w:gridCol w:w="962"/>
        <w:gridCol w:w="961"/>
        <w:gridCol w:w="962"/>
      </w:tblGrid>
      <w:tr w:rsidR="00EF2A15" w:rsidRPr="00723FA1" w14:paraId="33EFD9C5" w14:textId="77777777" w:rsidTr="00C22C26">
        <w:trPr>
          <w:tblHeader/>
        </w:trPr>
        <w:tc>
          <w:tcPr>
            <w:tcW w:w="0" w:type="auto"/>
            <w:shd w:val="clear" w:color="auto" w:fill="DBE5F1"/>
            <w:vAlign w:val="center"/>
          </w:tcPr>
          <w:p w14:paraId="3D679757"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0" w:type="auto"/>
            <w:shd w:val="clear" w:color="auto" w:fill="DBE5F1"/>
            <w:vAlign w:val="center"/>
          </w:tcPr>
          <w:p w14:paraId="4A25AA97" w14:textId="77777777" w:rsidR="00EF2A15" w:rsidRPr="00404DA5" w:rsidRDefault="00EF2A15" w:rsidP="00EF2A15">
            <w:pPr>
              <w:jc w:val="center"/>
              <w:rPr>
                <w:rFonts w:cs="Calibri"/>
                <w:sz w:val="18"/>
                <w:szCs w:val="20"/>
              </w:rPr>
            </w:pPr>
            <w:r w:rsidRPr="00404DA5">
              <w:rPr>
                <w:rFonts w:cs="Calibri"/>
                <w:sz w:val="18"/>
                <w:szCs w:val="20"/>
              </w:rPr>
              <w:t>Działania</w:t>
            </w:r>
          </w:p>
        </w:tc>
        <w:tc>
          <w:tcPr>
            <w:tcW w:w="0" w:type="auto"/>
            <w:shd w:val="clear" w:color="auto" w:fill="DBE5F1"/>
            <w:vAlign w:val="center"/>
          </w:tcPr>
          <w:p w14:paraId="220E2F5C"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0" w:type="auto"/>
            <w:shd w:val="clear" w:color="auto" w:fill="DBE5F1"/>
            <w:vAlign w:val="center"/>
          </w:tcPr>
          <w:p w14:paraId="153BA15C" w14:textId="77777777" w:rsidR="00EF2A15" w:rsidRPr="00404DA5" w:rsidRDefault="00EF2A15" w:rsidP="00EF2A15">
            <w:pPr>
              <w:jc w:val="center"/>
              <w:rPr>
                <w:rFonts w:cs="Calibri"/>
                <w:sz w:val="18"/>
                <w:szCs w:val="20"/>
              </w:rPr>
            </w:pPr>
            <w:r w:rsidRPr="00404DA5">
              <w:rPr>
                <w:rFonts w:cs="Calibri"/>
                <w:sz w:val="18"/>
                <w:szCs w:val="20"/>
              </w:rPr>
              <w:t>Jedn. Pomiaru</w:t>
            </w:r>
          </w:p>
        </w:tc>
        <w:tc>
          <w:tcPr>
            <w:tcW w:w="0" w:type="auto"/>
            <w:shd w:val="clear" w:color="auto" w:fill="DBE5F1"/>
            <w:vAlign w:val="center"/>
          </w:tcPr>
          <w:p w14:paraId="2BA9FE18" w14:textId="77777777" w:rsidR="00EF2A15" w:rsidRPr="00404DA5" w:rsidRDefault="00EF2A15" w:rsidP="00EF2A15">
            <w:pPr>
              <w:jc w:val="center"/>
              <w:rPr>
                <w:rFonts w:cs="Calibri"/>
                <w:sz w:val="18"/>
                <w:szCs w:val="20"/>
              </w:rPr>
            </w:pPr>
            <w:r w:rsidRPr="00404DA5">
              <w:rPr>
                <w:rFonts w:cs="Calibri"/>
                <w:sz w:val="18"/>
                <w:szCs w:val="20"/>
              </w:rPr>
              <w:t>Wartość docelowa (2023)</w:t>
            </w:r>
          </w:p>
        </w:tc>
        <w:tc>
          <w:tcPr>
            <w:tcW w:w="0" w:type="auto"/>
            <w:shd w:val="clear" w:color="auto" w:fill="DBE5F1"/>
            <w:vAlign w:val="center"/>
          </w:tcPr>
          <w:p w14:paraId="3385B6FC" w14:textId="77777777" w:rsidR="00EF2A15" w:rsidRPr="00404DA5" w:rsidRDefault="00EF2A15" w:rsidP="00EF2A15">
            <w:pPr>
              <w:jc w:val="center"/>
              <w:rPr>
                <w:rFonts w:cs="Calibri"/>
                <w:sz w:val="18"/>
                <w:szCs w:val="20"/>
              </w:rPr>
            </w:pPr>
            <w:r w:rsidRPr="00404DA5">
              <w:rPr>
                <w:rFonts w:cs="Calibri"/>
                <w:sz w:val="18"/>
                <w:szCs w:val="20"/>
              </w:rPr>
              <w:t>Realizacja wskaźnika (wg UoD)</w:t>
            </w:r>
          </w:p>
        </w:tc>
        <w:tc>
          <w:tcPr>
            <w:tcW w:w="0" w:type="auto"/>
            <w:shd w:val="clear" w:color="auto" w:fill="DBE5F1"/>
            <w:vAlign w:val="center"/>
          </w:tcPr>
          <w:p w14:paraId="2BC9BA57" w14:textId="77777777" w:rsidR="00EF2A15" w:rsidRPr="00404DA5" w:rsidRDefault="00EF2A15" w:rsidP="00EF2A15">
            <w:pPr>
              <w:jc w:val="center"/>
              <w:rPr>
                <w:rFonts w:cs="Calibri"/>
                <w:sz w:val="18"/>
                <w:szCs w:val="20"/>
              </w:rPr>
            </w:pPr>
            <w:r w:rsidRPr="00404DA5">
              <w:rPr>
                <w:rFonts w:cs="Calibri"/>
                <w:sz w:val="18"/>
                <w:szCs w:val="20"/>
              </w:rPr>
              <w:t>% realizacji wartości docelowej (wg UoD)</w:t>
            </w:r>
          </w:p>
        </w:tc>
        <w:tc>
          <w:tcPr>
            <w:tcW w:w="0" w:type="auto"/>
            <w:shd w:val="clear" w:color="auto" w:fill="DBE5F1"/>
            <w:vAlign w:val="center"/>
          </w:tcPr>
          <w:p w14:paraId="74FE5872" w14:textId="77777777" w:rsidR="00EF2A15" w:rsidRPr="00404DA5" w:rsidRDefault="00EF2A15" w:rsidP="00EF2A15">
            <w:pPr>
              <w:jc w:val="center"/>
              <w:rPr>
                <w:rFonts w:cs="Calibri"/>
                <w:sz w:val="18"/>
                <w:szCs w:val="20"/>
              </w:rPr>
            </w:pPr>
            <w:r w:rsidRPr="00404DA5">
              <w:rPr>
                <w:rFonts w:cs="Calibri"/>
                <w:sz w:val="18"/>
                <w:szCs w:val="20"/>
              </w:rPr>
              <w:t>Realizacja wskaźnika (wg WoP)</w:t>
            </w:r>
          </w:p>
        </w:tc>
        <w:tc>
          <w:tcPr>
            <w:tcW w:w="0" w:type="auto"/>
            <w:shd w:val="clear" w:color="auto" w:fill="DBE5F1"/>
            <w:vAlign w:val="center"/>
          </w:tcPr>
          <w:p w14:paraId="5C93FA22" w14:textId="77777777" w:rsidR="00EF2A15" w:rsidRPr="00404DA5" w:rsidRDefault="00EF2A15" w:rsidP="00EF2A15">
            <w:pPr>
              <w:jc w:val="center"/>
              <w:rPr>
                <w:rFonts w:cs="Calibri"/>
                <w:sz w:val="18"/>
                <w:szCs w:val="20"/>
              </w:rPr>
            </w:pPr>
            <w:r w:rsidRPr="00404DA5">
              <w:rPr>
                <w:rFonts w:cs="Calibri"/>
                <w:sz w:val="18"/>
                <w:szCs w:val="20"/>
              </w:rPr>
              <w:t>% realizacji wartości docelowej (wg WoP)</w:t>
            </w:r>
          </w:p>
        </w:tc>
      </w:tr>
      <w:tr w:rsidR="00EF2A15" w:rsidRPr="00723FA1" w14:paraId="5F1447A6" w14:textId="77777777" w:rsidTr="00EF2A15">
        <w:tc>
          <w:tcPr>
            <w:tcW w:w="0" w:type="auto"/>
            <w:shd w:val="clear" w:color="auto" w:fill="auto"/>
            <w:vAlign w:val="center"/>
          </w:tcPr>
          <w:p w14:paraId="1382383B" w14:textId="77777777" w:rsidR="00EF2A15" w:rsidRPr="00404DA5" w:rsidRDefault="00EF2A15" w:rsidP="00EF2A15">
            <w:pPr>
              <w:jc w:val="center"/>
              <w:rPr>
                <w:rFonts w:cs="Calibri"/>
                <w:sz w:val="18"/>
                <w:szCs w:val="20"/>
              </w:rPr>
            </w:pPr>
            <w:r w:rsidRPr="00404DA5">
              <w:rPr>
                <w:rFonts w:cs="Calibri"/>
                <w:color w:val="000000"/>
                <w:sz w:val="18"/>
                <w:szCs w:val="20"/>
              </w:rPr>
              <w:t>wskaźnik produktu</w:t>
            </w:r>
          </w:p>
        </w:tc>
        <w:tc>
          <w:tcPr>
            <w:tcW w:w="0" w:type="auto"/>
            <w:shd w:val="clear" w:color="auto" w:fill="auto"/>
            <w:vAlign w:val="center"/>
          </w:tcPr>
          <w:p w14:paraId="05B3E4DD" w14:textId="77777777" w:rsidR="00EF2A15" w:rsidRPr="00404DA5" w:rsidRDefault="00EF2A15" w:rsidP="00EF2A15">
            <w:pPr>
              <w:jc w:val="center"/>
              <w:rPr>
                <w:rFonts w:cs="Calibri"/>
                <w:sz w:val="18"/>
                <w:szCs w:val="20"/>
              </w:rPr>
            </w:pPr>
            <w:r w:rsidRPr="00404DA5">
              <w:rPr>
                <w:rFonts w:cs="Calibri"/>
                <w:color w:val="000000"/>
                <w:sz w:val="18"/>
                <w:szCs w:val="20"/>
              </w:rPr>
              <w:t>5.5</w:t>
            </w:r>
          </w:p>
        </w:tc>
        <w:tc>
          <w:tcPr>
            <w:tcW w:w="0" w:type="auto"/>
            <w:shd w:val="clear" w:color="auto" w:fill="auto"/>
            <w:vAlign w:val="center"/>
          </w:tcPr>
          <w:p w14:paraId="615F92F4" w14:textId="77777777" w:rsidR="00EF2A15" w:rsidRPr="00404DA5" w:rsidRDefault="00EF2A15" w:rsidP="00EF2A15">
            <w:pPr>
              <w:jc w:val="left"/>
              <w:rPr>
                <w:rFonts w:cs="Calibri"/>
                <w:sz w:val="18"/>
                <w:szCs w:val="20"/>
              </w:rPr>
            </w:pPr>
            <w:r w:rsidRPr="00404DA5">
              <w:rPr>
                <w:rFonts w:cs="Calibri"/>
                <w:color w:val="000000"/>
                <w:sz w:val="18"/>
                <w:szCs w:val="20"/>
              </w:rPr>
              <w:t>Całkowita długość przebudowanych lub zmodernizowanych linii kolejowych</w:t>
            </w:r>
          </w:p>
        </w:tc>
        <w:tc>
          <w:tcPr>
            <w:tcW w:w="0" w:type="auto"/>
            <w:shd w:val="clear" w:color="auto" w:fill="auto"/>
            <w:vAlign w:val="center"/>
          </w:tcPr>
          <w:p w14:paraId="2A957BF9" w14:textId="77777777" w:rsidR="00EF2A15" w:rsidRPr="00404DA5" w:rsidRDefault="00EF2A15" w:rsidP="00EF2A15">
            <w:pPr>
              <w:jc w:val="center"/>
              <w:rPr>
                <w:rFonts w:cs="Calibri"/>
                <w:sz w:val="18"/>
                <w:szCs w:val="20"/>
              </w:rPr>
            </w:pPr>
            <w:r w:rsidRPr="00404DA5">
              <w:rPr>
                <w:rFonts w:cs="Calibri"/>
                <w:color w:val="000000"/>
                <w:sz w:val="18"/>
                <w:szCs w:val="20"/>
              </w:rPr>
              <w:t>Km</w:t>
            </w:r>
          </w:p>
        </w:tc>
        <w:tc>
          <w:tcPr>
            <w:tcW w:w="0" w:type="auto"/>
            <w:shd w:val="clear" w:color="auto" w:fill="auto"/>
            <w:vAlign w:val="center"/>
          </w:tcPr>
          <w:p w14:paraId="43C1D76C" w14:textId="77777777" w:rsidR="00EF2A15" w:rsidRPr="00404DA5" w:rsidRDefault="00EF2A15" w:rsidP="00EF2A15">
            <w:pPr>
              <w:jc w:val="center"/>
              <w:rPr>
                <w:rFonts w:cs="Calibri"/>
                <w:sz w:val="18"/>
                <w:szCs w:val="20"/>
              </w:rPr>
            </w:pPr>
            <w:r w:rsidRPr="00404DA5">
              <w:rPr>
                <w:rFonts w:cs="Calibri"/>
                <w:color w:val="000000"/>
                <w:sz w:val="18"/>
                <w:szCs w:val="20"/>
              </w:rPr>
              <w:t>88</w:t>
            </w:r>
          </w:p>
        </w:tc>
        <w:tc>
          <w:tcPr>
            <w:tcW w:w="0" w:type="auto"/>
            <w:shd w:val="clear" w:color="auto" w:fill="auto"/>
            <w:vAlign w:val="center"/>
          </w:tcPr>
          <w:p w14:paraId="7E722D83" w14:textId="77777777" w:rsidR="00EF2A15" w:rsidRPr="00404DA5" w:rsidRDefault="00EF2A15" w:rsidP="00EF2A15">
            <w:pPr>
              <w:jc w:val="center"/>
              <w:rPr>
                <w:rFonts w:cs="Calibri"/>
                <w:sz w:val="18"/>
                <w:szCs w:val="20"/>
              </w:rPr>
            </w:pPr>
            <w:r w:rsidRPr="00404DA5">
              <w:rPr>
                <w:rFonts w:cs="Calibri"/>
                <w:sz w:val="18"/>
                <w:szCs w:val="20"/>
              </w:rPr>
              <w:t>51,41</w:t>
            </w:r>
          </w:p>
        </w:tc>
        <w:tc>
          <w:tcPr>
            <w:tcW w:w="0" w:type="auto"/>
            <w:shd w:val="clear" w:color="auto" w:fill="auto"/>
            <w:vAlign w:val="center"/>
          </w:tcPr>
          <w:p w14:paraId="7D48EE47" w14:textId="77777777" w:rsidR="00EF2A15" w:rsidRPr="00404DA5" w:rsidRDefault="00EF2A15" w:rsidP="00EF2A15">
            <w:pPr>
              <w:jc w:val="center"/>
              <w:rPr>
                <w:rFonts w:cs="Calibri"/>
                <w:sz w:val="18"/>
                <w:szCs w:val="20"/>
              </w:rPr>
            </w:pPr>
            <w:r w:rsidRPr="00404DA5">
              <w:rPr>
                <w:rFonts w:cs="Calibri"/>
                <w:sz w:val="18"/>
                <w:szCs w:val="20"/>
              </w:rPr>
              <w:t>58,4%</w:t>
            </w:r>
          </w:p>
        </w:tc>
        <w:tc>
          <w:tcPr>
            <w:tcW w:w="0" w:type="auto"/>
            <w:shd w:val="clear" w:color="auto" w:fill="auto"/>
            <w:vAlign w:val="center"/>
          </w:tcPr>
          <w:p w14:paraId="71EA0503" w14:textId="77777777" w:rsidR="00EF2A15" w:rsidRPr="00404DA5" w:rsidRDefault="00EF2A15" w:rsidP="00EF2A15">
            <w:pPr>
              <w:jc w:val="center"/>
              <w:rPr>
                <w:rFonts w:cs="Calibri"/>
                <w:sz w:val="18"/>
                <w:szCs w:val="20"/>
              </w:rPr>
            </w:pPr>
            <w:r w:rsidRPr="00404DA5">
              <w:rPr>
                <w:rFonts w:cs="Calibri"/>
                <w:sz w:val="18"/>
                <w:szCs w:val="20"/>
              </w:rPr>
              <w:t>0</w:t>
            </w:r>
          </w:p>
        </w:tc>
        <w:tc>
          <w:tcPr>
            <w:tcW w:w="0" w:type="auto"/>
            <w:shd w:val="clear" w:color="auto" w:fill="auto"/>
            <w:vAlign w:val="center"/>
          </w:tcPr>
          <w:p w14:paraId="39CF4198" w14:textId="77777777" w:rsidR="00EF2A15" w:rsidRPr="00404DA5" w:rsidRDefault="00EF2A15" w:rsidP="00EF2A15">
            <w:pPr>
              <w:jc w:val="center"/>
              <w:rPr>
                <w:rFonts w:cs="Calibri"/>
                <w:sz w:val="18"/>
                <w:szCs w:val="20"/>
              </w:rPr>
            </w:pPr>
            <w:r w:rsidRPr="00404DA5">
              <w:rPr>
                <w:rFonts w:cs="Calibri"/>
                <w:sz w:val="18"/>
                <w:szCs w:val="20"/>
              </w:rPr>
              <w:t>0%</w:t>
            </w:r>
          </w:p>
        </w:tc>
      </w:tr>
      <w:tr w:rsidR="00EF2A15" w:rsidRPr="00723FA1" w14:paraId="314FC30F" w14:textId="77777777" w:rsidTr="00EF2A15">
        <w:tc>
          <w:tcPr>
            <w:tcW w:w="0" w:type="auto"/>
            <w:shd w:val="clear" w:color="auto" w:fill="auto"/>
            <w:vAlign w:val="center"/>
          </w:tcPr>
          <w:p w14:paraId="280D8692" w14:textId="77777777" w:rsidR="00EF2A15" w:rsidRPr="00404DA5" w:rsidRDefault="00EF2A15" w:rsidP="00EF2A15">
            <w:pPr>
              <w:jc w:val="center"/>
              <w:rPr>
                <w:sz w:val="18"/>
                <w:szCs w:val="20"/>
              </w:rPr>
            </w:pPr>
            <w:r w:rsidRPr="00404DA5">
              <w:rPr>
                <w:sz w:val="18"/>
                <w:szCs w:val="20"/>
              </w:rPr>
              <w:t>wskaźnik produktu</w:t>
            </w:r>
          </w:p>
        </w:tc>
        <w:tc>
          <w:tcPr>
            <w:tcW w:w="0" w:type="auto"/>
            <w:shd w:val="clear" w:color="auto" w:fill="auto"/>
          </w:tcPr>
          <w:p w14:paraId="29F04BA8" w14:textId="77777777" w:rsidR="00EF2A15" w:rsidRPr="00404DA5" w:rsidRDefault="00EF2A15" w:rsidP="00EF2A15">
            <w:pPr>
              <w:jc w:val="center"/>
              <w:rPr>
                <w:rFonts w:cs="Calibri"/>
                <w:sz w:val="18"/>
                <w:szCs w:val="20"/>
              </w:rPr>
            </w:pPr>
            <w:r w:rsidRPr="00404DA5">
              <w:rPr>
                <w:rFonts w:cs="Calibri"/>
                <w:sz w:val="18"/>
                <w:szCs w:val="20"/>
              </w:rPr>
              <w:t>5.6</w:t>
            </w:r>
          </w:p>
        </w:tc>
        <w:tc>
          <w:tcPr>
            <w:tcW w:w="0" w:type="auto"/>
            <w:shd w:val="clear" w:color="auto" w:fill="auto"/>
            <w:vAlign w:val="center"/>
          </w:tcPr>
          <w:p w14:paraId="029343DA" w14:textId="77777777" w:rsidR="00EF2A15" w:rsidRPr="00404DA5" w:rsidRDefault="00EF2A15" w:rsidP="00EF2A15">
            <w:pPr>
              <w:jc w:val="left"/>
              <w:rPr>
                <w:rFonts w:cs="Calibri"/>
                <w:sz w:val="18"/>
                <w:szCs w:val="20"/>
              </w:rPr>
            </w:pPr>
            <w:r w:rsidRPr="00404DA5">
              <w:rPr>
                <w:rFonts w:cs="Calibri"/>
                <w:sz w:val="18"/>
                <w:szCs w:val="20"/>
              </w:rPr>
              <w:t xml:space="preserve">Liczba zakupionych lub zmodernizowanych jednostek </w:t>
            </w:r>
            <w:r w:rsidRPr="00404DA5">
              <w:rPr>
                <w:rFonts w:cs="Calibri"/>
                <w:sz w:val="18"/>
                <w:szCs w:val="20"/>
              </w:rPr>
              <w:lastRenderedPageBreak/>
              <w:t>taboru kolejowego</w:t>
            </w:r>
          </w:p>
        </w:tc>
        <w:tc>
          <w:tcPr>
            <w:tcW w:w="0" w:type="auto"/>
            <w:shd w:val="clear" w:color="auto" w:fill="auto"/>
            <w:vAlign w:val="center"/>
          </w:tcPr>
          <w:p w14:paraId="669EB12C" w14:textId="77777777" w:rsidR="00EF2A15" w:rsidRPr="00404DA5" w:rsidRDefault="00EF2A15" w:rsidP="00EF2A15">
            <w:pPr>
              <w:jc w:val="center"/>
              <w:rPr>
                <w:rFonts w:cs="Calibri"/>
                <w:sz w:val="18"/>
                <w:szCs w:val="20"/>
              </w:rPr>
            </w:pPr>
            <w:r w:rsidRPr="00404DA5">
              <w:rPr>
                <w:rFonts w:cs="Calibri"/>
                <w:sz w:val="18"/>
                <w:szCs w:val="20"/>
              </w:rPr>
              <w:lastRenderedPageBreak/>
              <w:t>Sztuk</w:t>
            </w:r>
          </w:p>
        </w:tc>
        <w:tc>
          <w:tcPr>
            <w:tcW w:w="0" w:type="auto"/>
            <w:shd w:val="clear" w:color="auto" w:fill="auto"/>
            <w:vAlign w:val="center"/>
          </w:tcPr>
          <w:p w14:paraId="70FFE0EA" w14:textId="77777777" w:rsidR="00EF2A15" w:rsidRPr="00404DA5" w:rsidRDefault="00EF2A15" w:rsidP="00EF2A15">
            <w:pPr>
              <w:jc w:val="center"/>
              <w:rPr>
                <w:rFonts w:cs="Calibri"/>
                <w:sz w:val="18"/>
                <w:szCs w:val="20"/>
              </w:rPr>
            </w:pPr>
            <w:r w:rsidRPr="00404DA5">
              <w:rPr>
                <w:rFonts w:cs="Calibri"/>
                <w:sz w:val="18"/>
                <w:szCs w:val="20"/>
              </w:rPr>
              <w:t>25</w:t>
            </w:r>
          </w:p>
        </w:tc>
        <w:tc>
          <w:tcPr>
            <w:tcW w:w="0" w:type="auto"/>
            <w:shd w:val="clear" w:color="auto" w:fill="auto"/>
            <w:vAlign w:val="center"/>
          </w:tcPr>
          <w:p w14:paraId="2364727C" w14:textId="77777777" w:rsidR="00EF2A15" w:rsidRPr="00404DA5" w:rsidRDefault="00EF2A15" w:rsidP="00EF2A15">
            <w:pPr>
              <w:jc w:val="center"/>
              <w:rPr>
                <w:rFonts w:cs="Calibri"/>
                <w:sz w:val="18"/>
                <w:szCs w:val="20"/>
              </w:rPr>
            </w:pPr>
            <w:r w:rsidRPr="00404DA5">
              <w:rPr>
                <w:rFonts w:cs="Calibri"/>
                <w:sz w:val="18"/>
                <w:szCs w:val="20"/>
              </w:rPr>
              <w:t>105</w:t>
            </w:r>
          </w:p>
        </w:tc>
        <w:tc>
          <w:tcPr>
            <w:tcW w:w="0" w:type="auto"/>
            <w:shd w:val="clear" w:color="auto" w:fill="auto"/>
            <w:vAlign w:val="center"/>
          </w:tcPr>
          <w:p w14:paraId="5F88D417" w14:textId="77777777" w:rsidR="00EF2A15" w:rsidRPr="00404DA5" w:rsidRDefault="00EF2A15" w:rsidP="00EF2A15">
            <w:pPr>
              <w:jc w:val="center"/>
              <w:rPr>
                <w:rFonts w:cs="Calibri"/>
                <w:sz w:val="18"/>
                <w:szCs w:val="20"/>
              </w:rPr>
            </w:pPr>
            <w:r w:rsidRPr="00404DA5">
              <w:rPr>
                <w:rFonts w:cs="Calibri"/>
                <w:sz w:val="18"/>
                <w:szCs w:val="20"/>
              </w:rPr>
              <w:t>420%</w:t>
            </w:r>
          </w:p>
        </w:tc>
        <w:tc>
          <w:tcPr>
            <w:tcW w:w="0" w:type="auto"/>
            <w:shd w:val="clear" w:color="auto" w:fill="auto"/>
            <w:vAlign w:val="center"/>
          </w:tcPr>
          <w:p w14:paraId="1F3D566A" w14:textId="77777777" w:rsidR="00EF2A15" w:rsidRPr="00404DA5" w:rsidRDefault="00EF2A15" w:rsidP="00EF2A15">
            <w:pPr>
              <w:jc w:val="center"/>
              <w:rPr>
                <w:rFonts w:cs="Calibri"/>
                <w:sz w:val="18"/>
                <w:szCs w:val="20"/>
              </w:rPr>
            </w:pPr>
            <w:r w:rsidRPr="00404DA5">
              <w:rPr>
                <w:rFonts w:cs="Calibri"/>
                <w:sz w:val="18"/>
                <w:szCs w:val="20"/>
              </w:rPr>
              <w:t>105</w:t>
            </w:r>
          </w:p>
        </w:tc>
        <w:tc>
          <w:tcPr>
            <w:tcW w:w="0" w:type="auto"/>
            <w:shd w:val="clear" w:color="auto" w:fill="auto"/>
            <w:vAlign w:val="center"/>
          </w:tcPr>
          <w:p w14:paraId="0F28F51B" w14:textId="77777777" w:rsidR="00EF2A15" w:rsidRPr="00404DA5" w:rsidRDefault="00EF2A15" w:rsidP="00EF2A15">
            <w:pPr>
              <w:jc w:val="center"/>
              <w:rPr>
                <w:rFonts w:cs="Calibri"/>
                <w:sz w:val="18"/>
                <w:szCs w:val="20"/>
              </w:rPr>
            </w:pPr>
            <w:r w:rsidRPr="00404DA5">
              <w:rPr>
                <w:rFonts w:cs="Calibri"/>
                <w:sz w:val="18"/>
                <w:szCs w:val="20"/>
              </w:rPr>
              <w:t>420%</w:t>
            </w:r>
          </w:p>
        </w:tc>
      </w:tr>
    </w:tbl>
    <w:p w14:paraId="5BFADD68"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420CB925" w14:textId="77777777" w:rsidR="00EF2A15" w:rsidRDefault="00EF2A15" w:rsidP="00EF2A15">
      <w:pPr>
        <w:rPr>
          <w:rFonts w:ascii="Calibri" w:hAnsi="Calibri"/>
          <w:color w:val="000000"/>
          <w:szCs w:val="20"/>
        </w:rPr>
      </w:pPr>
      <w:r w:rsidRPr="00A10D3C">
        <w:t>Postęp finansowy jest satysfakcjonujący. Ogółem wydatkowano 79% alokacji przeznaczonej na PI 7d. Efektywność kosztowa inwestycji również jest zadowalająca - koszt modernizacji 1 km linii kolejowej wynosi</w:t>
      </w:r>
      <w:r>
        <w:t> </w:t>
      </w:r>
      <w:r w:rsidRPr="008B706B">
        <w:t>2 892 657 zł, podobnie jak</w:t>
      </w:r>
      <w:r w:rsidR="00E66B89">
        <w:t xml:space="preserve"> w </w:t>
      </w:r>
      <w:r w:rsidRPr="008B706B">
        <w:t>większości województw</w:t>
      </w:r>
      <w:r>
        <w:t xml:space="preserve"> objętych analizą</w:t>
      </w:r>
      <w:r w:rsidRPr="008B706B">
        <w:t xml:space="preserve"> benchmarkow</w:t>
      </w:r>
      <w:r>
        <w:t>ą</w:t>
      </w:r>
      <w:r w:rsidR="00E66B89">
        <w:t xml:space="preserve"> w </w:t>
      </w:r>
      <w:r>
        <w:t>tym obszarze interwencji</w:t>
      </w:r>
      <w:r w:rsidRPr="008B706B">
        <w:t xml:space="preserve">. Zmiana metodologii szacowania kosztów jednostkowych wskaźnika </w:t>
      </w:r>
      <w:r w:rsidRPr="008B706B">
        <w:rPr>
          <w:i/>
        </w:rPr>
        <w:t>Liczba zakupionych lub zmodernizowanych jednostek taboru kolejowego</w:t>
      </w:r>
      <w:r w:rsidRPr="008B706B">
        <w:t xml:space="preserve"> oraz fakt, iż</w:t>
      </w:r>
      <w:r w:rsidR="00E66B89">
        <w:t xml:space="preserve"> w </w:t>
      </w:r>
      <w:r w:rsidRPr="008B706B">
        <w:t xml:space="preserve">województwach benchmarkowych wybierano miernik </w:t>
      </w:r>
      <w:r w:rsidRPr="008B706B">
        <w:rPr>
          <w:i/>
        </w:rPr>
        <w:t>Liczba zakupionych pojazdów kolejowych</w:t>
      </w:r>
      <w:r w:rsidRPr="008B706B">
        <w:t xml:space="preserve"> uniemożliwia pogłębioną analizę efektywności kosztowej Działania 5.6. Biorąc jednak pod uwagę, iż cele zostały osiągnięte</w:t>
      </w:r>
      <w:r w:rsidR="00E66B89">
        <w:t xml:space="preserve"> w </w:t>
      </w:r>
      <w:r w:rsidRPr="008B706B">
        <w:t xml:space="preserve">ramach dostępnej alokacji, efektywność tego Działania należy ocenić pozytywnie. </w:t>
      </w:r>
    </w:p>
    <w:p w14:paraId="7D279C86" w14:textId="77777777" w:rsidR="00EF2A15" w:rsidRDefault="00EF2A15" w:rsidP="00754ED4">
      <w:pPr>
        <w:pStyle w:val="Legenda"/>
        <w:spacing w:after="0"/>
      </w:pPr>
      <w:bookmarkStart w:id="152" w:name="_Toc8824185"/>
      <w:r>
        <w:t xml:space="preserve">Tabela </w:t>
      </w:r>
      <w:r>
        <w:fldChar w:fldCharType="begin"/>
      </w:r>
      <w:r>
        <w:instrText xml:space="preserve"> SEQ Tabela \* ARABIC </w:instrText>
      </w:r>
      <w:r>
        <w:fldChar w:fldCharType="separate"/>
      </w:r>
      <w:r w:rsidR="00763345">
        <w:rPr>
          <w:noProof/>
        </w:rPr>
        <w:t>74</w:t>
      </w:r>
      <w:r>
        <w:fldChar w:fldCharType="end"/>
      </w:r>
      <w:r>
        <w:t xml:space="preserve"> </w:t>
      </w:r>
      <w:r w:rsidRPr="00450CCD">
        <w:t>Średni koszt realizacji jednostki wskaźników programowych PI 7d</w:t>
      </w:r>
      <w:r w:rsidR="00E66B89">
        <w:t xml:space="preserve"> w </w:t>
      </w:r>
      <w:r w:rsidRPr="00450CCD">
        <w:t>RPO WZ 2014-2020 oraz</w:t>
      </w:r>
      <w:r w:rsidR="00E66B89">
        <w:t xml:space="preserve"> w </w:t>
      </w:r>
      <w:r w:rsidRPr="00450CCD">
        <w:t>benchmarkowych regionalnych programach operacyjnych (dofinansowanie UE)</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6372"/>
      </w:tblGrid>
      <w:tr w:rsidR="00EF2A15" w:rsidRPr="00A10D3C" w14:paraId="24C4E52B" w14:textId="77777777" w:rsidTr="00484270">
        <w:trPr>
          <w:trHeight w:val="457"/>
          <w:tblHeader/>
        </w:trPr>
        <w:tc>
          <w:tcPr>
            <w:tcW w:w="1484" w:type="pct"/>
            <w:shd w:val="clear" w:color="auto" w:fill="DBE5F1"/>
          </w:tcPr>
          <w:p w14:paraId="73ACC9F2" w14:textId="77777777" w:rsidR="00EF2A15" w:rsidRPr="00E80CCE" w:rsidRDefault="00EF2A15" w:rsidP="00EF2A15">
            <w:pPr>
              <w:rPr>
                <w:color w:val="000000"/>
                <w:sz w:val="18"/>
              </w:rPr>
            </w:pPr>
            <w:r w:rsidRPr="00E80CCE">
              <w:rPr>
                <w:color w:val="000000"/>
                <w:sz w:val="18"/>
              </w:rPr>
              <w:t>Nazwa RPO</w:t>
            </w:r>
          </w:p>
        </w:tc>
        <w:tc>
          <w:tcPr>
            <w:tcW w:w="3516" w:type="pct"/>
            <w:shd w:val="clear" w:color="auto" w:fill="DBE5F1"/>
          </w:tcPr>
          <w:p w14:paraId="46CC4020" w14:textId="77777777" w:rsidR="00EF2A15" w:rsidRPr="00E80CCE" w:rsidRDefault="00EF2A15" w:rsidP="00EF2A15">
            <w:pPr>
              <w:rPr>
                <w:color w:val="000000"/>
                <w:sz w:val="18"/>
              </w:rPr>
            </w:pPr>
            <w:r w:rsidRPr="00E80CCE">
              <w:rPr>
                <w:color w:val="000000"/>
                <w:sz w:val="18"/>
              </w:rPr>
              <w:t>Średni koszt przebudowania/modernizacji 1 km regionalnej linii kolejowej (zł)</w:t>
            </w:r>
          </w:p>
        </w:tc>
      </w:tr>
      <w:tr w:rsidR="00EF2A15" w:rsidRPr="00A10D3C" w14:paraId="092E6E1E" w14:textId="77777777" w:rsidTr="00484270">
        <w:trPr>
          <w:trHeight w:val="20"/>
        </w:trPr>
        <w:tc>
          <w:tcPr>
            <w:tcW w:w="1484" w:type="pct"/>
            <w:shd w:val="clear" w:color="auto" w:fill="auto"/>
          </w:tcPr>
          <w:p w14:paraId="3098586C" w14:textId="77777777" w:rsidR="00EF2A15" w:rsidRPr="008B706B" w:rsidRDefault="00EF2A15" w:rsidP="00EF2A15">
            <w:pPr>
              <w:rPr>
                <w:color w:val="000000"/>
                <w:sz w:val="18"/>
                <w:szCs w:val="18"/>
              </w:rPr>
            </w:pPr>
            <w:r w:rsidRPr="008B706B">
              <w:rPr>
                <w:color w:val="000000"/>
                <w:sz w:val="18"/>
                <w:szCs w:val="18"/>
              </w:rPr>
              <w:t>RPO WZ 2014-2020</w:t>
            </w:r>
          </w:p>
        </w:tc>
        <w:tc>
          <w:tcPr>
            <w:tcW w:w="3516" w:type="pct"/>
            <w:shd w:val="clear" w:color="auto" w:fill="auto"/>
          </w:tcPr>
          <w:p w14:paraId="5F84EABE" w14:textId="77777777" w:rsidR="00EF2A15" w:rsidRPr="008B706B" w:rsidRDefault="00EF2A15" w:rsidP="00EF2A15">
            <w:pPr>
              <w:rPr>
                <w:color w:val="000000"/>
                <w:sz w:val="18"/>
                <w:szCs w:val="18"/>
              </w:rPr>
            </w:pPr>
            <w:r w:rsidRPr="008B706B">
              <w:rPr>
                <w:color w:val="000000"/>
                <w:sz w:val="18"/>
                <w:szCs w:val="18"/>
              </w:rPr>
              <w:t>2 892 657,07</w:t>
            </w:r>
          </w:p>
        </w:tc>
      </w:tr>
      <w:tr w:rsidR="00EF2A15" w:rsidRPr="00A10D3C" w14:paraId="5BFE203F" w14:textId="77777777" w:rsidTr="00484270">
        <w:trPr>
          <w:trHeight w:val="20"/>
        </w:trPr>
        <w:tc>
          <w:tcPr>
            <w:tcW w:w="1484" w:type="pct"/>
            <w:shd w:val="clear" w:color="auto" w:fill="auto"/>
          </w:tcPr>
          <w:p w14:paraId="55432860" w14:textId="77777777" w:rsidR="00EF2A15" w:rsidRPr="008B706B" w:rsidRDefault="00EF2A15" w:rsidP="00EF2A15">
            <w:pPr>
              <w:rPr>
                <w:color w:val="000000"/>
                <w:sz w:val="18"/>
                <w:szCs w:val="18"/>
              </w:rPr>
            </w:pPr>
            <w:r w:rsidRPr="008B706B">
              <w:rPr>
                <w:color w:val="000000"/>
                <w:sz w:val="18"/>
                <w:szCs w:val="18"/>
              </w:rPr>
              <w:t>WRPO 2014+</w:t>
            </w:r>
          </w:p>
        </w:tc>
        <w:tc>
          <w:tcPr>
            <w:tcW w:w="3516" w:type="pct"/>
            <w:shd w:val="clear" w:color="auto" w:fill="auto"/>
          </w:tcPr>
          <w:p w14:paraId="0C70BC8D" w14:textId="77777777" w:rsidR="00EF2A15" w:rsidRPr="008B706B" w:rsidRDefault="00EF2A15" w:rsidP="00EF2A15">
            <w:pPr>
              <w:rPr>
                <w:color w:val="000000"/>
                <w:sz w:val="18"/>
                <w:szCs w:val="18"/>
              </w:rPr>
            </w:pPr>
            <w:r w:rsidRPr="008B706B">
              <w:rPr>
                <w:color w:val="000000"/>
                <w:sz w:val="18"/>
                <w:szCs w:val="18"/>
              </w:rPr>
              <w:t xml:space="preserve"> 4 570 144,12 zł </w:t>
            </w:r>
          </w:p>
        </w:tc>
      </w:tr>
      <w:tr w:rsidR="00EF2A15" w:rsidRPr="00A10D3C" w14:paraId="6F6ED5E1" w14:textId="77777777" w:rsidTr="00484270">
        <w:trPr>
          <w:trHeight w:val="20"/>
        </w:trPr>
        <w:tc>
          <w:tcPr>
            <w:tcW w:w="1484" w:type="pct"/>
            <w:shd w:val="clear" w:color="auto" w:fill="auto"/>
          </w:tcPr>
          <w:p w14:paraId="3F28057A" w14:textId="77777777" w:rsidR="00EF2A15" w:rsidRPr="008B706B" w:rsidRDefault="00EF2A15" w:rsidP="00EF2A15">
            <w:pPr>
              <w:rPr>
                <w:color w:val="000000"/>
                <w:sz w:val="18"/>
                <w:szCs w:val="18"/>
              </w:rPr>
            </w:pPr>
            <w:r w:rsidRPr="008B706B">
              <w:rPr>
                <w:color w:val="000000"/>
                <w:sz w:val="18"/>
                <w:szCs w:val="18"/>
              </w:rPr>
              <w:t>RPO WO 2014-2020</w:t>
            </w:r>
          </w:p>
        </w:tc>
        <w:tc>
          <w:tcPr>
            <w:tcW w:w="3516" w:type="pct"/>
            <w:shd w:val="clear" w:color="auto" w:fill="auto"/>
          </w:tcPr>
          <w:p w14:paraId="7D66E512" w14:textId="77777777" w:rsidR="00EF2A15" w:rsidRPr="008B706B" w:rsidRDefault="00EF2A15" w:rsidP="00EF2A15">
            <w:pPr>
              <w:rPr>
                <w:color w:val="000000"/>
                <w:sz w:val="18"/>
                <w:szCs w:val="18"/>
              </w:rPr>
            </w:pPr>
            <w:r w:rsidRPr="008B706B">
              <w:rPr>
                <w:color w:val="000000"/>
                <w:sz w:val="18"/>
                <w:szCs w:val="18"/>
              </w:rPr>
              <w:t>2 160 314,74</w:t>
            </w:r>
          </w:p>
        </w:tc>
      </w:tr>
      <w:tr w:rsidR="00EF2A15" w:rsidRPr="00A10D3C" w14:paraId="3D47DC74" w14:textId="77777777" w:rsidTr="00484270">
        <w:trPr>
          <w:trHeight w:val="20"/>
        </w:trPr>
        <w:tc>
          <w:tcPr>
            <w:tcW w:w="1484" w:type="pct"/>
            <w:shd w:val="clear" w:color="auto" w:fill="auto"/>
          </w:tcPr>
          <w:p w14:paraId="0A0FF9C6" w14:textId="77777777" w:rsidR="00EF2A15" w:rsidRPr="008B706B" w:rsidRDefault="00EF2A15" w:rsidP="00EF2A15">
            <w:pPr>
              <w:rPr>
                <w:color w:val="000000"/>
                <w:sz w:val="18"/>
                <w:szCs w:val="18"/>
              </w:rPr>
            </w:pPr>
            <w:r w:rsidRPr="008B706B">
              <w:rPr>
                <w:color w:val="000000"/>
                <w:sz w:val="18"/>
                <w:szCs w:val="18"/>
              </w:rPr>
              <w:t>RPO WP 2014-2020</w:t>
            </w:r>
          </w:p>
        </w:tc>
        <w:tc>
          <w:tcPr>
            <w:tcW w:w="3516" w:type="pct"/>
            <w:shd w:val="clear" w:color="auto" w:fill="auto"/>
          </w:tcPr>
          <w:p w14:paraId="21EDDD19" w14:textId="77777777" w:rsidR="00EF2A15" w:rsidRPr="008B706B" w:rsidRDefault="00EF2A15" w:rsidP="00EF2A15">
            <w:pPr>
              <w:rPr>
                <w:color w:val="000000"/>
                <w:sz w:val="18"/>
                <w:szCs w:val="18"/>
              </w:rPr>
            </w:pPr>
            <w:r w:rsidRPr="008B706B">
              <w:rPr>
                <w:color w:val="000000"/>
                <w:sz w:val="18"/>
                <w:szCs w:val="18"/>
              </w:rPr>
              <w:t>2 210 020</w:t>
            </w:r>
          </w:p>
        </w:tc>
      </w:tr>
      <w:tr w:rsidR="00EF2A15" w:rsidRPr="00A10D3C" w14:paraId="05D62669" w14:textId="77777777" w:rsidTr="00484270">
        <w:trPr>
          <w:trHeight w:val="20"/>
        </w:trPr>
        <w:tc>
          <w:tcPr>
            <w:tcW w:w="1484" w:type="pct"/>
            <w:shd w:val="clear" w:color="auto" w:fill="auto"/>
          </w:tcPr>
          <w:p w14:paraId="08E115DA" w14:textId="77777777" w:rsidR="00EF2A15" w:rsidRPr="008B706B" w:rsidRDefault="00EF2A15" w:rsidP="00EF2A15">
            <w:pPr>
              <w:rPr>
                <w:color w:val="000000"/>
                <w:sz w:val="18"/>
                <w:szCs w:val="18"/>
              </w:rPr>
            </w:pPr>
            <w:r w:rsidRPr="008B706B">
              <w:rPr>
                <w:color w:val="000000"/>
                <w:sz w:val="18"/>
                <w:szCs w:val="18"/>
              </w:rPr>
              <w:t>RPO WŁ 2014-2020</w:t>
            </w:r>
          </w:p>
        </w:tc>
        <w:tc>
          <w:tcPr>
            <w:tcW w:w="3516" w:type="pct"/>
            <w:shd w:val="clear" w:color="auto" w:fill="auto"/>
          </w:tcPr>
          <w:p w14:paraId="3E0FF927" w14:textId="77777777" w:rsidR="00EF2A15" w:rsidRPr="008B706B" w:rsidRDefault="00EF2A15" w:rsidP="00EF2A15">
            <w:pPr>
              <w:rPr>
                <w:color w:val="000000"/>
                <w:sz w:val="18"/>
                <w:szCs w:val="18"/>
              </w:rPr>
            </w:pPr>
            <w:r w:rsidRPr="008B706B">
              <w:rPr>
                <w:color w:val="000000"/>
                <w:sz w:val="18"/>
                <w:szCs w:val="18"/>
              </w:rPr>
              <w:t>Nie zakontraktowano jeszcze typu operacji</w:t>
            </w:r>
          </w:p>
        </w:tc>
      </w:tr>
      <w:tr w:rsidR="00EF2A15" w:rsidRPr="00A10D3C" w14:paraId="66190D04" w14:textId="77777777" w:rsidTr="00484270">
        <w:trPr>
          <w:trHeight w:val="20"/>
        </w:trPr>
        <w:tc>
          <w:tcPr>
            <w:tcW w:w="1484" w:type="pct"/>
            <w:shd w:val="clear" w:color="auto" w:fill="auto"/>
          </w:tcPr>
          <w:p w14:paraId="038C4A70" w14:textId="77777777" w:rsidR="00EF2A15" w:rsidRPr="008B706B" w:rsidRDefault="00EF2A15" w:rsidP="00EF2A15">
            <w:pPr>
              <w:rPr>
                <w:color w:val="000000"/>
                <w:sz w:val="18"/>
                <w:szCs w:val="18"/>
              </w:rPr>
            </w:pPr>
            <w:r w:rsidRPr="008B706B">
              <w:rPr>
                <w:color w:val="000000"/>
                <w:sz w:val="18"/>
                <w:szCs w:val="18"/>
              </w:rPr>
              <w:t>RPO WiM 2014-2020</w:t>
            </w:r>
          </w:p>
        </w:tc>
        <w:tc>
          <w:tcPr>
            <w:tcW w:w="3516" w:type="pct"/>
            <w:shd w:val="clear" w:color="auto" w:fill="auto"/>
          </w:tcPr>
          <w:p w14:paraId="38105852" w14:textId="77777777" w:rsidR="00EF2A15" w:rsidRPr="008B706B" w:rsidRDefault="00EF2A15" w:rsidP="00EF2A15">
            <w:pPr>
              <w:rPr>
                <w:color w:val="000000"/>
                <w:sz w:val="18"/>
                <w:szCs w:val="18"/>
              </w:rPr>
            </w:pPr>
            <w:r w:rsidRPr="008B706B">
              <w:rPr>
                <w:color w:val="000000"/>
                <w:sz w:val="18"/>
                <w:szCs w:val="18"/>
              </w:rPr>
              <w:t>Nie zakontraktowano jeszcze typu operacji</w:t>
            </w:r>
          </w:p>
        </w:tc>
      </w:tr>
    </w:tbl>
    <w:p w14:paraId="5264787E" w14:textId="1374025A" w:rsidR="005A06CB" w:rsidRPr="00EE66C6" w:rsidRDefault="00EF2A15" w:rsidP="005A06CB">
      <w:pPr>
        <w:spacing w:before="0"/>
        <w:rPr>
          <w:i/>
          <w:sz w:val="18"/>
          <w:szCs w:val="20"/>
        </w:rPr>
      </w:pPr>
      <w:r w:rsidRPr="00EE66C6">
        <w:rPr>
          <w:i/>
          <w:sz w:val="18"/>
          <w:szCs w:val="20"/>
        </w:rPr>
        <w:t>Źródło: obliczenia własne na podstawie SL 2014.</w:t>
      </w:r>
      <w:r w:rsidR="005A06CB" w:rsidRPr="00EE66C6">
        <w:rPr>
          <w:i/>
          <w:sz w:val="18"/>
          <w:szCs w:val="20"/>
        </w:rPr>
        <w:t xml:space="preserve"> </w:t>
      </w:r>
    </w:p>
    <w:p w14:paraId="4B6D729B"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Wskaźniki rezultatu strategicznego </w:t>
      </w:r>
    </w:p>
    <w:p w14:paraId="4E41D2DE" w14:textId="77B1D479" w:rsidR="00991242" w:rsidRPr="005A06CB" w:rsidRDefault="00EF2A15" w:rsidP="005A06CB">
      <w:pPr>
        <w:rPr>
          <w:b/>
          <w:szCs w:val="20"/>
        </w:rPr>
      </w:pPr>
      <w:r w:rsidRPr="000A135E">
        <w:rPr>
          <w:szCs w:val="20"/>
        </w:rPr>
        <w:t xml:space="preserve">W RPO WZ 2014-2020 przyjęto także specyficzny wskaźnik rezultatu dla PI 7d: </w:t>
      </w:r>
      <w:r w:rsidRPr="008B706B">
        <w:rPr>
          <w:i/>
          <w:szCs w:val="20"/>
        </w:rPr>
        <w:t>Wskaźnik Kolejowej Dostępności Transportowej WKDT II</w:t>
      </w:r>
      <w:r w:rsidRPr="000A135E">
        <w:rPr>
          <w:szCs w:val="20"/>
        </w:rPr>
        <w:t>.</w:t>
      </w:r>
      <w:r w:rsidR="00E66B89">
        <w:rPr>
          <w:szCs w:val="20"/>
        </w:rPr>
        <w:t xml:space="preserve"> W </w:t>
      </w:r>
      <w:r w:rsidRPr="000A135E">
        <w:rPr>
          <w:szCs w:val="20"/>
        </w:rPr>
        <w:t>Programie założono, że W</w:t>
      </w:r>
      <w:r>
        <w:rPr>
          <w:szCs w:val="20"/>
        </w:rPr>
        <w:t>K</w:t>
      </w:r>
      <w:r w:rsidRPr="000A135E">
        <w:rPr>
          <w:szCs w:val="20"/>
        </w:rPr>
        <w:t>DT II wzrośnie</w:t>
      </w:r>
      <w:r w:rsidR="00E66B89">
        <w:rPr>
          <w:szCs w:val="20"/>
        </w:rPr>
        <w:t xml:space="preserve"> z </w:t>
      </w:r>
      <w:bookmarkStart w:id="153" w:name="_Hlk533885526"/>
      <w:r w:rsidRPr="000A135E">
        <w:rPr>
          <w:rFonts w:eastAsia="Calibri"/>
          <w:szCs w:val="20"/>
        </w:rPr>
        <w:t>15,411</w:t>
      </w:r>
      <w:bookmarkEnd w:id="153"/>
      <w:r w:rsidRPr="000A135E">
        <w:rPr>
          <w:rFonts w:eastAsia="Calibri"/>
          <w:szCs w:val="20"/>
        </w:rPr>
        <w:t xml:space="preserve"> do </w:t>
      </w:r>
      <w:bookmarkStart w:id="154" w:name="_Hlk533885549"/>
      <w:r w:rsidRPr="000A135E">
        <w:rPr>
          <w:rFonts w:cs="Calibri"/>
          <w:color w:val="000000"/>
          <w:szCs w:val="20"/>
        </w:rPr>
        <w:t>17,3165</w:t>
      </w:r>
      <w:bookmarkEnd w:id="154"/>
      <w:r>
        <w:rPr>
          <w:rFonts w:cs="Calibri"/>
          <w:color w:val="000000"/>
          <w:szCs w:val="20"/>
        </w:rPr>
        <w:t xml:space="preserve"> </w:t>
      </w:r>
      <w:r w:rsidRPr="000A135E">
        <w:rPr>
          <w:rFonts w:cs="Arial"/>
          <w:szCs w:val="20"/>
        </w:rPr>
        <w:t xml:space="preserve">pkt. </w:t>
      </w:r>
      <w:r w:rsidRPr="000A135E">
        <w:rPr>
          <w:szCs w:val="20"/>
        </w:rPr>
        <w:t>Zmiany wartości przedmiotowego wskaźnika są obliczane na podstawie uwzględnienia faktycznie zrealizowanych (w latach 2004-2013) lub planowanych do realizacji (w latach 2014-2020) inwestycji transportowych</w:t>
      </w:r>
      <w:r w:rsidR="00E66B89">
        <w:rPr>
          <w:szCs w:val="20"/>
        </w:rPr>
        <w:t xml:space="preserve"> w </w:t>
      </w:r>
      <w:r w:rsidRPr="000A135E">
        <w:rPr>
          <w:szCs w:val="20"/>
        </w:rPr>
        <w:t>ramach POIiŚ</w:t>
      </w:r>
      <w:r w:rsidR="00E66B89">
        <w:rPr>
          <w:szCs w:val="20"/>
        </w:rPr>
        <w:t xml:space="preserve"> i </w:t>
      </w:r>
      <w:r w:rsidRPr="000A135E">
        <w:rPr>
          <w:szCs w:val="20"/>
        </w:rPr>
        <w:t xml:space="preserve">RPO. </w:t>
      </w:r>
      <w:r w:rsidRPr="000A135E">
        <w:rPr>
          <w:i/>
          <w:szCs w:val="20"/>
        </w:rPr>
        <w:t>Wskaźnik Kolejowej Dostępności Transportowej</w:t>
      </w:r>
      <w:r w:rsidR="00E66B89">
        <w:rPr>
          <w:szCs w:val="20"/>
        </w:rPr>
        <w:t xml:space="preserve"> w </w:t>
      </w:r>
      <w:r w:rsidRPr="000A135E">
        <w:rPr>
          <w:szCs w:val="20"/>
        </w:rPr>
        <w:t>aktualizacji przeprowadzonej przez MIiR</w:t>
      </w:r>
      <w:r w:rsidR="00E66B89">
        <w:rPr>
          <w:szCs w:val="20"/>
        </w:rPr>
        <w:t xml:space="preserve"> w </w:t>
      </w:r>
      <w:r w:rsidRPr="000A135E">
        <w:rPr>
          <w:szCs w:val="20"/>
        </w:rPr>
        <w:t>2017 roku</w:t>
      </w:r>
      <w:r w:rsidRPr="000A135E">
        <w:rPr>
          <w:rStyle w:val="Odwoanieprzypisudolnego"/>
          <w:szCs w:val="20"/>
        </w:rPr>
        <w:footnoteReference w:id="49"/>
      </w:r>
      <w:r w:rsidRPr="000A135E">
        <w:rPr>
          <w:szCs w:val="20"/>
        </w:rPr>
        <w:t xml:space="preserve"> prognozowany jest do osiągnięcia</w:t>
      </w:r>
      <w:r w:rsidR="00E66B89">
        <w:rPr>
          <w:szCs w:val="20"/>
        </w:rPr>
        <w:t xml:space="preserve"> w </w:t>
      </w:r>
      <w:r w:rsidRPr="000A135E">
        <w:rPr>
          <w:szCs w:val="20"/>
        </w:rPr>
        <w:t>regionie zachodniopomorskim</w:t>
      </w:r>
      <w:r w:rsidR="00E66B89">
        <w:rPr>
          <w:szCs w:val="20"/>
        </w:rPr>
        <w:t xml:space="preserve"> w </w:t>
      </w:r>
      <w:r w:rsidRPr="000A135E">
        <w:rPr>
          <w:szCs w:val="20"/>
        </w:rPr>
        <w:t>wysokości 16,69 pkt,</w:t>
      </w:r>
      <w:r w:rsidR="00E66B89">
        <w:rPr>
          <w:szCs w:val="20"/>
        </w:rPr>
        <w:t xml:space="preserve"> z </w:t>
      </w:r>
      <w:r w:rsidRPr="000A135E">
        <w:rPr>
          <w:szCs w:val="20"/>
        </w:rPr>
        <w:t>uwzględnieniem zarówno inwestycji RPO WZ 2014-2020, jak</w:t>
      </w:r>
      <w:r w:rsidR="00E66B89">
        <w:rPr>
          <w:szCs w:val="20"/>
        </w:rPr>
        <w:t xml:space="preserve"> i </w:t>
      </w:r>
      <w:r w:rsidRPr="000A135E">
        <w:rPr>
          <w:szCs w:val="20"/>
        </w:rPr>
        <w:t>inwestycji POIiŚ 2014-2020. Obniżenie wartości wskaźnika prognozowanej na 2023 rok</w:t>
      </w:r>
      <w:r w:rsidR="00E66B89">
        <w:rPr>
          <w:szCs w:val="20"/>
        </w:rPr>
        <w:t xml:space="preserve"> w </w:t>
      </w:r>
      <w:r w:rsidRPr="000A135E">
        <w:rPr>
          <w:szCs w:val="20"/>
        </w:rPr>
        <w:t>stosunku do założeń roku 2015 wynika nie tylko</w:t>
      </w:r>
      <w:r w:rsidR="00E66B89">
        <w:rPr>
          <w:szCs w:val="20"/>
        </w:rPr>
        <w:t xml:space="preserve"> z </w:t>
      </w:r>
      <w:r w:rsidRPr="000A135E">
        <w:rPr>
          <w:szCs w:val="20"/>
        </w:rPr>
        <w:t>niepowodzenia inwestycji zaplanowanych</w:t>
      </w:r>
      <w:r w:rsidR="00E66B89">
        <w:rPr>
          <w:szCs w:val="20"/>
        </w:rPr>
        <w:t xml:space="preserve"> w </w:t>
      </w:r>
      <w:r w:rsidRPr="000A135E">
        <w:rPr>
          <w:szCs w:val="20"/>
        </w:rPr>
        <w:t>RPO WZ 2014-2020,</w:t>
      </w:r>
      <w:r w:rsidR="00E66B89">
        <w:rPr>
          <w:szCs w:val="20"/>
        </w:rPr>
        <w:t xml:space="preserve"> w </w:t>
      </w:r>
      <w:r w:rsidRPr="000A135E">
        <w:rPr>
          <w:szCs w:val="20"/>
        </w:rPr>
        <w:t>większym stopniu jest to</w:t>
      </w:r>
      <w:r>
        <w:rPr>
          <w:szCs w:val="20"/>
        </w:rPr>
        <w:t xml:space="preserve"> bowiem</w:t>
      </w:r>
      <w:r w:rsidRPr="000A135E">
        <w:rPr>
          <w:szCs w:val="20"/>
        </w:rPr>
        <w:t xml:space="preserve"> efekt niezrealizowania inwestycji na linii </w:t>
      </w:r>
      <w:r w:rsidRPr="00531959">
        <w:rPr>
          <w:szCs w:val="20"/>
        </w:rPr>
        <w:t xml:space="preserve">kolejowej </w:t>
      </w:r>
      <w:r w:rsidRPr="00531959">
        <w:rPr>
          <w:szCs w:val="20"/>
        </w:rPr>
        <w:lastRenderedPageBreak/>
        <w:t>C-E 59 na odcinku Wrocław Brochów/ Grabiszyn – Głogów – Zielona Góra – Rzepin – Szczecin Podjuchy.</w:t>
      </w:r>
      <w:r>
        <w:rPr>
          <w:szCs w:val="20"/>
        </w:rPr>
        <w:t xml:space="preserve"> </w:t>
      </w:r>
      <w:r w:rsidRPr="008B706B">
        <w:rPr>
          <w:szCs w:val="20"/>
        </w:rPr>
        <w:t>Zaleca się rozważenie uaktualnienia wartości docelowej wskaźnika WKDT II do 16,69.</w:t>
      </w:r>
      <w:r w:rsidR="005A06CB">
        <w:rPr>
          <w:b/>
          <w:szCs w:val="20"/>
        </w:rPr>
        <w:t xml:space="preserve"> </w:t>
      </w:r>
    </w:p>
    <w:p w14:paraId="650D972F" w14:textId="17B32291" w:rsidR="00EF2A15" w:rsidRPr="000A135E" w:rsidRDefault="00EF2A15" w:rsidP="00754ED4">
      <w:pPr>
        <w:pStyle w:val="Legenda"/>
        <w:spacing w:after="0"/>
      </w:pPr>
      <w:bookmarkStart w:id="155" w:name="_Toc8824186"/>
      <w:r w:rsidRPr="000A135E">
        <w:t xml:space="preserve">Tabela </w:t>
      </w:r>
      <w:r w:rsidRPr="000A135E">
        <w:fldChar w:fldCharType="begin"/>
      </w:r>
      <w:r w:rsidRPr="000A135E">
        <w:instrText xml:space="preserve"> SEQ Tabela \* ARABIC </w:instrText>
      </w:r>
      <w:r w:rsidRPr="000A135E">
        <w:fldChar w:fldCharType="separate"/>
      </w:r>
      <w:r w:rsidR="00763345">
        <w:rPr>
          <w:noProof/>
        </w:rPr>
        <w:t>75</w:t>
      </w:r>
      <w:r w:rsidRPr="000A135E">
        <w:fldChar w:fldCharType="end"/>
      </w:r>
      <w:r w:rsidRPr="000A135E">
        <w:t xml:space="preserve"> Prognozowany poziom realizacji wskaźnika rezultatu strategicznego na rok 2023 dla PI 7d</w:t>
      </w:r>
      <w:bookmarkEnd w:id="1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2306"/>
        <w:gridCol w:w="1155"/>
        <w:gridCol w:w="1020"/>
        <w:gridCol w:w="896"/>
        <w:gridCol w:w="1663"/>
        <w:gridCol w:w="1667"/>
      </w:tblGrid>
      <w:tr w:rsidR="007F62AB" w:rsidRPr="00B2711F" w14:paraId="5E6A82AD" w14:textId="77777777" w:rsidTr="00EF2A15">
        <w:trPr>
          <w:trHeight w:val="704"/>
          <w:tblHeader/>
        </w:trPr>
        <w:tc>
          <w:tcPr>
            <w:tcW w:w="0" w:type="auto"/>
            <w:shd w:val="clear" w:color="auto" w:fill="DBE5F1"/>
          </w:tcPr>
          <w:p w14:paraId="556DCE4C"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PI</w:t>
            </w:r>
          </w:p>
        </w:tc>
        <w:tc>
          <w:tcPr>
            <w:tcW w:w="0" w:type="auto"/>
            <w:shd w:val="clear" w:color="auto" w:fill="DBE5F1"/>
          </w:tcPr>
          <w:p w14:paraId="70902CD9"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 xml:space="preserve">Wskaźnik </w:t>
            </w:r>
          </w:p>
        </w:tc>
        <w:tc>
          <w:tcPr>
            <w:tcW w:w="0" w:type="auto"/>
            <w:shd w:val="clear" w:color="auto" w:fill="DBE5F1"/>
          </w:tcPr>
          <w:p w14:paraId="6615689B"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 xml:space="preserve">Jednostka pomiaru </w:t>
            </w:r>
          </w:p>
        </w:tc>
        <w:tc>
          <w:tcPr>
            <w:tcW w:w="0" w:type="auto"/>
            <w:shd w:val="clear" w:color="auto" w:fill="DBE5F1"/>
          </w:tcPr>
          <w:p w14:paraId="5E5AF22D"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 xml:space="preserve">Wartość bazowa </w:t>
            </w:r>
          </w:p>
        </w:tc>
        <w:tc>
          <w:tcPr>
            <w:tcW w:w="0" w:type="auto"/>
            <w:shd w:val="clear" w:color="auto" w:fill="DBE5F1"/>
          </w:tcPr>
          <w:p w14:paraId="62098974"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 xml:space="preserve">Rok bazowy </w:t>
            </w:r>
          </w:p>
        </w:tc>
        <w:tc>
          <w:tcPr>
            <w:tcW w:w="0" w:type="auto"/>
            <w:shd w:val="clear" w:color="auto" w:fill="DBE5F1"/>
          </w:tcPr>
          <w:p w14:paraId="22EB1091"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Założona</w:t>
            </w:r>
            <w:r w:rsidR="00E66B89">
              <w:rPr>
                <w:rFonts w:cs="Calibri"/>
                <w:bCs/>
                <w:color w:val="000000"/>
                <w:sz w:val="18"/>
                <w:szCs w:val="20"/>
              </w:rPr>
              <w:t xml:space="preserve"> w </w:t>
            </w:r>
            <w:r w:rsidRPr="008B706B">
              <w:rPr>
                <w:rFonts w:cs="Calibri"/>
                <w:bCs/>
                <w:color w:val="000000"/>
                <w:sz w:val="18"/>
                <w:szCs w:val="20"/>
              </w:rPr>
              <w:t xml:space="preserve">programie wartość docelowa </w:t>
            </w:r>
          </w:p>
          <w:p w14:paraId="2EE753F5" w14:textId="77777777" w:rsidR="00EF2A15" w:rsidRPr="006558FF" w:rsidRDefault="00EF2A15" w:rsidP="00EF2A15">
            <w:pPr>
              <w:autoSpaceDE w:val="0"/>
              <w:autoSpaceDN w:val="0"/>
              <w:adjustRightInd w:val="0"/>
              <w:rPr>
                <w:rFonts w:cs="Calibri"/>
                <w:color w:val="000000"/>
                <w:sz w:val="18"/>
                <w:szCs w:val="20"/>
              </w:rPr>
            </w:pPr>
            <w:r w:rsidRPr="008B706B">
              <w:rPr>
                <w:rFonts w:cs="Calibri"/>
                <w:bCs/>
                <w:color w:val="000000"/>
                <w:sz w:val="18"/>
                <w:szCs w:val="20"/>
              </w:rPr>
              <w:t xml:space="preserve">(2023) </w:t>
            </w:r>
          </w:p>
        </w:tc>
        <w:tc>
          <w:tcPr>
            <w:tcW w:w="0" w:type="auto"/>
            <w:shd w:val="clear" w:color="auto" w:fill="DBE5F1"/>
          </w:tcPr>
          <w:p w14:paraId="7B8CAA34" w14:textId="77777777" w:rsidR="00EF2A15" w:rsidRPr="008B706B" w:rsidRDefault="00EF2A15" w:rsidP="00EF2A15">
            <w:pPr>
              <w:autoSpaceDE w:val="0"/>
              <w:autoSpaceDN w:val="0"/>
              <w:adjustRightInd w:val="0"/>
              <w:rPr>
                <w:rFonts w:cs="Calibri"/>
                <w:bCs/>
                <w:color w:val="000000"/>
                <w:sz w:val="18"/>
                <w:szCs w:val="20"/>
              </w:rPr>
            </w:pPr>
            <w:r w:rsidRPr="008B706B">
              <w:rPr>
                <w:rFonts w:cs="Calibri"/>
                <w:bCs/>
                <w:color w:val="000000"/>
                <w:sz w:val="18"/>
                <w:szCs w:val="20"/>
              </w:rPr>
              <w:t>Aktualna prognoza osiągnięcia wartości</w:t>
            </w:r>
            <w:r w:rsidR="00E66B89">
              <w:rPr>
                <w:rFonts w:cs="Calibri"/>
                <w:bCs/>
                <w:color w:val="000000"/>
                <w:sz w:val="18"/>
                <w:szCs w:val="20"/>
              </w:rPr>
              <w:t xml:space="preserve"> w </w:t>
            </w:r>
            <w:r w:rsidRPr="008B706B">
              <w:rPr>
                <w:rFonts w:cs="Calibri"/>
                <w:bCs/>
                <w:color w:val="000000"/>
                <w:sz w:val="18"/>
                <w:szCs w:val="20"/>
              </w:rPr>
              <w:t>2023</w:t>
            </w:r>
          </w:p>
        </w:tc>
      </w:tr>
      <w:tr w:rsidR="00EF2A15" w:rsidRPr="00B2711F" w14:paraId="77A1D223" w14:textId="77777777" w:rsidTr="00B473DC">
        <w:trPr>
          <w:trHeight w:val="167"/>
        </w:trPr>
        <w:tc>
          <w:tcPr>
            <w:tcW w:w="0" w:type="auto"/>
          </w:tcPr>
          <w:p w14:paraId="3724155E" w14:textId="77777777" w:rsidR="00EF2A15" w:rsidRPr="00404DA5" w:rsidRDefault="00EF2A15" w:rsidP="00EF2A15">
            <w:pPr>
              <w:autoSpaceDE w:val="0"/>
              <w:autoSpaceDN w:val="0"/>
              <w:adjustRightInd w:val="0"/>
              <w:rPr>
                <w:rFonts w:cs="Calibri"/>
                <w:color w:val="000000"/>
                <w:sz w:val="18"/>
                <w:szCs w:val="20"/>
              </w:rPr>
            </w:pPr>
            <w:r w:rsidRPr="00404DA5">
              <w:rPr>
                <w:rFonts w:cs="Calibri"/>
                <w:color w:val="000000"/>
                <w:sz w:val="18"/>
                <w:szCs w:val="20"/>
              </w:rPr>
              <w:t>PI 7d</w:t>
            </w:r>
          </w:p>
        </w:tc>
        <w:tc>
          <w:tcPr>
            <w:tcW w:w="0" w:type="auto"/>
          </w:tcPr>
          <w:p w14:paraId="7E548DE9" w14:textId="77777777" w:rsidR="00EF2A15" w:rsidRPr="00404DA5" w:rsidRDefault="00EF2A15" w:rsidP="00EF2A15">
            <w:pPr>
              <w:autoSpaceDE w:val="0"/>
              <w:autoSpaceDN w:val="0"/>
              <w:adjustRightInd w:val="0"/>
              <w:rPr>
                <w:rFonts w:cs="Calibri"/>
                <w:color w:val="000000"/>
                <w:sz w:val="18"/>
                <w:szCs w:val="20"/>
              </w:rPr>
            </w:pPr>
            <w:r w:rsidRPr="00404DA5">
              <w:rPr>
                <w:rFonts w:cs="Calibri"/>
                <w:color w:val="000000"/>
                <w:sz w:val="18"/>
                <w:szCs w:val="20"/>
              </w:rPr>
              <w:t>Wskaźnik Kolejowej Dostępności Transportowej - WKDT II (syntetyczny)</w:t>
            </w:r>
          </w:p>
        </w:tc>
        <w:tc>
          <w:tcPr>
            <w:tcW w:w="0" w:type="auto"/>
            <w:vAlign w:val="center"/>
          </w:tcPr>
          <w:p w14:paraId="0CD530E3" w14:textId="77777777" w:rsidR="00EF2A15" w:rsidRPr="00404DA5" w:rsidRDefault="00EF2A15" w:rsidP="00B473DC">
            <w:pPr>
              <w:autoSpaceDE w:val="0"/>
              <w:autoSpaceDN w:val="0"/>
              <w:adjustRightInd w:val="0"/>
              <w:jc w:val="center"/>
              <w:rPr>
                <w:rFonts w:cs="Calibri"/>
                <w:color w:val="000000"/>
                <w:sz w:val="18"/>
                <w:szCs w:val="20"/>
              </w:rPr>
            </w:pPr>
            <w:r w:rsidRPr="00404DA5">
              <w:rPr>
                <w:rFonts w:cs="Calibri"/>
                <w:color w:val="000000"/>
                <w:sz w:val="18"/>
                <w:szCs w:val="20"/>
              </w:rPr>
              <w:t>Nd</w:t>
            </w:r>
          </w:p>
        </w:tc>
        <w:tc>
          <w:tcPr>
            <w:tcW w:w="0" w:type="auto"/>
            <w:vAlign w:val="center"/>
          </w:tcPr>
          <w:p w14:paraId="69C13713" w14:textId="77777777" w:rsidR="00EF2A15" w:rsidRPr="00404DA5" w:rsidRDefault="00EF2A15" w:rsidP="00B473DC">
            <w:pPr>
              <w:autoSpaceDE w:val="0"/>
              <w:autoSpaceDN w:val="0"/>
              <w:adjustRightInd w:val="0"/>
              <w:jc w:val="center"/>
              <w:rPr>
                <w:rFonts w:cs="Calibri"/>
                <w:color w:val="000000"/>
                <w:sz w:val="18"/>
                <w:szCs w:val="20"/>
              </w:rPr>
            </w:pPr>
            <w:r w:rsidRPr="00404DA5">
              <w:rPr>
                <w:rFonts w:cs="Calibri"/>
                <w:color w:val="000000"/>
                <w:sz w:val="18"/>
                <w:szCs w:val="20"/>
              </w:rPr>
              <w:t>15,411</w:t>
            </w:r>
          </w:p>
        </w:tc>
        <w:tc>
          <w:tcPr>
            <w:tcW w:w="0" w:type="auto"/>
            <w:vAlign w:val="center"/>
          </w:tcPr>
          <w:p w14:paraId="346AC01A" w14:textId="77777777" w:rsidR="00EF2A15" w:rsidRPr="00404DA5" w:rsidRDefault="00EF2A15" w:rsidP="00B473DC">
            <w:pPr>
              <w:autoSpaceDE w:val="0"/>
              <w:autoSpaceDN w:val="0"/>
              <w:adjustRightInd w:val="0"/>
              <w:jc w:val="center"/>
              <w:rPr>
                <w:rFonts w:cs="Calibri"/>
                <w:color w:val="000000"/>
                <w:sz w:val="18"/>
                <w:szCs w:val="20"/>
              </w:rPr>
            </w:pPr>
            <w:r w:rsidRPr="00404DA5">
              <w:rPr>
                <w:rFonts w:cs="Calibri"/>
                <w:color w:val="000000"/>
                <w:sz w:val="18"/>
                <w:szCs w:val="20"/>
              </w:rPr>
              <w:t>2013</w:t>
            </w:r>
          </w:p>
        </w:tc>
        <w:tc>
          <w:tcPr>
            <w:tcW w:w="0" w:type="auto"/>
            <w:vAlign w:val="center"/>
          </w:tcPr>
          <w:p w14:paraId="7E586402" w14:textId="77777777" w:rsidR="00EF2A15" w:rsidRPr="00404DA5" w:rsidRDefault="00EF2A15" w:rsidP="00B473DC">
            <w:pPr>
              <w:autoSpaceDE w:val="0"/>
              <w:autoSpaceDN w:val="0"/>
              <w:adjustRightInd w:val="0"/>
              <w:jc w:val="center"/>
              <w:rPr>
                <w:rFonts w:cs="Calibri"/>
                <w:color w:val="000000"/>
                <w:sz w:val="18"/>
                <w:szCs w:val="20"/>
              </w:rPr>
            </w:pPr>
            <w:r w:rsidRPr="00404DA5">
              <w:rPr>
                <w:rFonts w:cs="Calibri"/>
                <w:color w:val="000000"/>
                <w:sz w:val="18"/>
                <w:szCs w:val="20"/>
              </w:rPr>
              <w:t>17,3165</w:t>
            </w:r>
          </w:p>
        </w:tc>
        <w:tc>
          <w:tcPr>
            <w:tcW w:w="0" w:type="auto"/>
            <w:vAlign w:val="center"/>
          </w:tcPr>
          <w:p w14:paraId="20019445" w14:textId="77777777" w:rsidR="00EF2A15" w:rsidRPr="00404DA5" w:rsidRDefault="00EF2A15" w:rsidP="00B473DC">
            <w:pPr>
              <w:autoSpaceDE w:val="0"/>
              <w:autoSpaceDN w:val="0"/>
              <w:adjustRightInd w:val="0"/>
              <w:jc w:val="center"/>
              <w:rPr>
                <w:rFonts w:cs="Calibri"/>
                <w:color w:val="000000"/>
                <w:sz w:val="18"/>
                <w:szCs w:val="20"/>
              </w:rPr>
            </w:pPr>
            <w:r w:rsidRPr="00404DA5">
              <w:rPr>
                <w:rFonts w:cs="Calibri"/>
                <w:color w:val="000000"/>
                <w:sz w:val="18"/>
                <w:szCs w:val="20"/>
              </w:rPr>
              <w:t>16,69</w:t>
            </w:r>
          </w:p>
        </w:tc>
      </w:tr>
    </w:tbl>
    <w:p w14:paraId="160775F7" w14:textId="77777777" w:rsidR="00EF2A15" w:rsidRPr="00EE66C6" w:rsidRDefault="00EF2A15" w:rsidP="005A06CB">
      <w:pPr>
        <w:spacing w:before="0"/>
        <w:rPr>
          <w:i/>
          <w:sz w:val="18"/>
          <w:szCs w:val="20"/>
        </w:rPr>
      </w:pPr>
      <w:r w:rsidRPr="00EE66C6">
        <w:rPr>
          <w:i/>
          <w:sz w:val="18"/>
          <w:szCs w:val="20"/>
        </w:rPr>
        <w:t>Źródło: RPO WZ 2014-2020 oraz Oszacowanie oczekiwanych rezultatów interwencji za pomocą miar dostępności transportowej dostosowanych do potrzeb dokumentów strategicznych</w:t>
      </w:r>
      <w:r w:rsidR="00E66B89" w:rsidRPr="00EE66C6">
        <w:rPr>
          <w:i/>
          <w:sz w:val="18"/>
          <w:szCs w:val="20"/>
        </w:rPr>
        <w:t xml:space="preserve"> i </w:t>
      </w:r>
      <w:r w:rsidRPr="00EE66C6">
        <w:rPr>
          <w:i/>
          <w:sz w:val="18"/>
          <w:szCs w:val="20"/>
        </w:rPr>
        <w:t>operacyjnych dot. perspektywy finansowej 2014-2020 (aktualizacja), IGIPZ PAN 2017.</w:t>
      </w:r>
    </w:p>
    <w:p w14:paraId="374531EA" w14:textId="77777777" w:rsidR="00EF2A15" w:rsidRPr="000A135E" w:rsidRDefault="00EF2A15" w:rsidP="00EF2A15">
      <w:pPr>
        <w:rPr>
          <w:bCs/>
          <w:color w:val="000000"/>
          <w:szCs w:val="20"/>
        </w:rPr>
      </w:pPr>
      <w:r w:rsidRPr="000A135E">
        <w:rPr>
          <w:bCs/>
          <w:color w:val="000000"/>
          <w:szCs w:val="20"/>
        </w:rPr>
        <w:t>Bieżący stan wdrażania zapewnia isto</w:t>
      </w:r>
      <w:r>
        <w:rPr>
          <w:bCs/>
          <w:color w:val="000000"/>
          <w:szCs w:val="20"/>
        </w:rPr>
        <w:t>t</w:t>
      </w:r>
      <w:r w:rsidRPr="000A135E">
        <w:rPr>
          <w:bCs/>
          <w:color w:val="000000"/>
          <w:szCs w:val="20"/>
        </w:rPr>
        <w:t>ny wpływ RPO WZ 2014-2020 na osiąganie przedmiotowego specyficznego wskaźnika rezultatu. Według szacunków M</w:t>
      </w:r>
      <w:r>
        <w:rPr>
          <w:bCs/>
          <w:color w:val="000000"/>
          <w:szCs w:val="20"/>
        </w:rPr>
        <w:t>Ii</w:t>
      </w:r>
      <w:r w:rsidRPr="000A135E">
        <w:rPr>
          <w:bCs/>
          <w:color w:val="000000"/>
          <w:szCs w:val="20"/>
        </w:rPr>
        <w:t>R udział interwencji Programu</w:t>
      </w:r>
      <w:r w:rsidR="00E66B89">
        <w:rPr>
          <w:bCs/>
          <w:color w:val="000000"/>
          <w:szCs w:val="20"/>
        </w:rPr>
        <w:t xml:space="preserve"> w </w:t>
      </w:r>
      <w:r w:rsidRPr="000A135E">
        <w:rPr>
          <w:bCs/>
          <w:color w:val="000000"/>
          <w:szCs w:val="20"/>
        </w:rPr>
        <w:t xml:space="preserve">przyroście </w:t>
      </w:r>
      <w:r w:rsidRPr="008B706B">
        <w:rPr>
          <w:bCs/>
          <w:i/>
          <w:color w:val="000000"/>
          <w:szCs w:val="20"/>
        </w:rPr>
        <w:t>WKDT II</w:t>
      </w:r>
      <w:r w:rsidRPr="000A135E">
        <w:rPr>
          <w:bCs/>
          <w:color w:val="000000"/>
          <w:szCs w:val="20"/>
        </w:rPr>
        <w:t xml:space="preserve"> wyniesie</w:t>
      </w:r>
      <w:r w:rsidR="00E66B89">
        <w:rPr>
          <w:bCs/>
          <w:color w:val="000000"/>
          <w:szCs w:val="20"/>
        </w:rPr>
        <w:t xml:space="preserve"> w </w:t>
      </w:r>
      <w:r w:rsidRPr="000A135E">
        <w:rPr>
          <w:bCs/>
          <w:color w:val="000000"/>
          <w:szCs w:val="20"/>
        </w:rPr>
        <w:t xml:space="preserve">2023 roku 3,72%. </w:t>
      </w:r>
    </w:p>
    <w:p w14:paraId="7498A5C9"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Ocena potencjału absorpcyjnego </w:t>
      </w:r>
    </w:p>
    <w:p w14:paraId="1F1D10AC" w14:textId="77777777" w:rsidR="00EF2A15" w:rsidRPr="000A135E" w:rsidRDefault="00EF2A15" w:rsidP="00754ED4">
      <w:pPr>
        <w:pStyle w:val="Legenda"/>
        <w:spacing w:after="0"/>
      </w:pPr>
      <w:bookmarkStart w:id="156" w:name="_Toc8824187"/>
      <w:r w:rsidRPr="000A135E">
        <w:t xml:space="preserve">Tabela </w:t>
      </w:r>
      <w:r w:rsidRPr="000A135E">
        <w:fldChar w:fldCharType="begin"/>
      </w:r>
      <w:r w:rsidRPr="000A135E">
        <w:instrText xml:space="preserve"> SEQ Tabela \* ARABIC </w:instrText>
      </w:r>
      <w:r w:rsidRPr="000A135E">
        <w:fldChar w:fldCharType="separate"/>
      </w:r>
      <w:r w:rsidR="00763345">
        <w:rPr>
          <w:noProof/>
        </w:rPr>
        <w:t>76</w:t>
      </w:r>
      <w:r w:rsidRPr="000A135E">
        <w:fldChar w:fldCharType="end"/>
      </w:r>
      <w:r w:rsidRPr="000A135E">
        <w:t xml:space="preserve"> Wysokość alokacji ogółem, alokacji głównej, rezerwy wykonania oraz poziom kontraktacji –</w:t>
      </w:r>
      <w:r w:rsidR="00E66B89">
        <w:t xml:space="preserve"> w </w:t>
      </w:r>
      <w:r w:rsidRPr="000A135E">
        <w:t>ramach PI 7d</w:t>
      </w:r>
      <w:bookmarkEnd w:id="156"/>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446"/>
        <w:gridCol w:w="422"/>
        <w:gridCol w:w="1862"/>
        <w:gridCol w:w="1400"/>
        <w:gridCol w:w="1399"/>
        <w:gridCol w:w="1360"/>
        <w:gridCol w:w="1222"/>
      </w:tblGrid>
      <w:tr w:rsidR="00EF2A15" w:rsidRPr="00B2711F" w14:paraId="1EA7C929" w14:textId="77777777" w:rsidTr="00484270">
        <w:trPr>
          <w:tblHeader/>
        </w:trPr>
        <w:tc>
          <w:tcPr>
            <w:tcW w:w="951" w:type="dxa"/>
            <w:shd w:val="clear" w:color="auto" w:fill="DBE5F1"/>
            <w:tcMar>
              <w:left w:w="108" w:type="dxa"/>
            </w:tcMar>
            <w:vAlign w:val="center"/>
          </w:tcPr>
          <w:p w14:paraId="39156BAE" w14:textId="77777777" w:rsidR="00EF2A15" w:rsidRPr="00404DA5" w:rsidRDefault="00EF2A15" w:rsidP="00EF2A15">
            <w:pPr>
              <w:jc w:val="center"/>
              <w:rPr>
                <w:sz w:val="18"/>
                <w:szCs w:val="20"/>
              </w:rPr>
            </w:pPr>
            <w:r w:rsidRPr="00404DA5">
              <w:rPr>
                <w:rFonts w:cs="Calibri"/>
                <w:sz w:val="18"/>
                <w:szCs w:val="20"/>
              </w:rPr>
              <w:t>Działanie</w:t>
            </w:r>
          </w:p>
        </w:tc>
        <w:tc>
          <w:tcPr>
            <w:tcW w:w="446" w:type="dxa"/>
            <w:shd w:val="clear" w:color="auto" w:fill="DBE5F1"/>
            <w:tcMar>
              <w:left w:w="108" w:type="dxa"/>
            </w:tcMar>
            <w:vAlign w:val="center"/>
          </w:tcPr>
          <w:p w14:paraId="05D0B9D9" w14:textId="77777777" w:rsidR="00EF2A15" w:rsidRPr="00404DA5" w:rsidRDefault="00EF2A15" w:rsidP="00EF2A15">
            <w:pPr>
              <w:jc w:val="center"/>
              <w:rPr>
                <w:sz w:val="18"/>
                <w:szCs w:val="20"/>
              </w:rPr>
            </w:pPr>
            <w:r w:rsidRPr="00404DA5">
              <w:rPr>
                <w:rFonts w:cs="Calibri"/>
                <w:sz w:val="18"/>
                <w:szCs w:val="20"/>
              </w:rPr>
              <w:t>CT</w:t>
            </w:r>
          </w:p>
        </w:tc>
        <w:tc>
          <w:tcPr>
            <w:tcW w:w="422" w:type="dxa"/>
            <w:shd w:val="clear" w:color="auto" w:fill="DBE5F1"/>
            <w:tcMar>
              <w:left w:w="108" w:type="dxa"/>
            </w:tcMar>
            <w:vAlign w:val="center"/>
          </w:tcPr>
          <w:p w14:paraId="33765FD2" w14:textId="77777777" w:rsidR="00EF2A15" w:rsidRPr="00404DA5" w:rsidRDefault="00EF2A15" w:rsidP="00EF2A15">
            <w:pPr>
              <w:jc w:val="center"/>
              <w:rPr>
                <w:sz w:val="18"/>
                <w:szCs w:val="20"/>
              </w:rPr>
            </w:pPr>
            <w:r w:rsidRPr="00404DA5">
              <w:rPr>
                <w:rFonts w:cs="Calibri"/>
                <w:sz w:val="18"/>
                <w:szCs w:val="20"/>
              </w:rPr>
              <w:t>PI</w:t>
            </w:r>
          </w:p>
        </w:tc>
        <w:tc>
          <w:tcPr>
            <w:tcW w:w="1862" w:type="dxa"/>
            <w:shd w:val="clear" w:color="auto" w:fill="DBE5F1"/>
            <w:tcMar>
              <w:left w:w="108" w:type="dxa"/>
            </w:tcMar>
            <w:vAlign w:val="center"/>
          </w:tcPr>
          <w:p w14:paraId="5F46D8A6" w14:textId="77777777" w:rsidR="00EF2A15" w:rsidRPr="00404DA5" w:rsidRDefault="00EF2A15" w:rsidP="00EF2A15">
            <w:pPr>
              <w:jc w:val="center"/>
              <w:rPr>
                <w:sz w:val="18"/>
                <w:szCs w:val="20"/>
              </w:rPr>
            </w:pPr>
            <w:r w:rsidRPr="00404DA5">
              <w:rPr>
                <w:rFonts w:cs="Calibri"/>
                <w:bCs/>
                <w:color w:val="000000"/>
                <w:sz w:val="18"/>
                <w:szCs w:val="20"/>
              </w:rPr>
              <w:t>Alokacja UE ogółem</w:t>
            </w:r>
            <w:r w:rsidRPr="00404DA5">
              <w:rPr>
                <w:rFonts w:cs="Calibri"/>
                <w:bCs/>
                <w:color w:val="000000"/>
                <w:sz w:val="18"/>
                <w:szCs w:val="20"/>
              </w:rPr>
              <w:br/>
              <w:t>[EUR]</w:t>
            </w:r>
            <w:r w:rsidRPr="00404DA5">
              <w:rPr>
                <w:rFonts w:cs="Calibri"/>
                <w:bCs/>
                <w:color w:val="000000"/>
                <w:sz w:val="18"/>
                <w:szCs w:val="20"/>
              </w:rPr>
              <w:br/>
              <w:t>(alokacja główna +rezerwa wykonania)</w:t>
            </w:r>
          </w:p>
        </w:tc>
        <w:tc>
          <w:tcPr>
            <w:tcW w:w="1400" w:type="dxa"/>
            <w:shd w:val="clear" w:color="auto" w:fill="DBE5F1"/>
            <w:tcMar>
              <w:left w:w="108" w:type="dxa"/>
            </w:tcMar>
            <w:vAlign w:val="center"/>
          </w:tcPr>
          <w:p w14:paraId="3BF23E95" w14:textId="77777777" w:rsidR="00EF2A15" w:rsidRPr="00404DA5" w:rsidRDefault="00EF2A15" w:rsidP="00EF2A15">
            <w:pPr>
              <w:jc w:val="center"/>
              <w:rPr>
                <w:sz w:val="18"/>
                <w:szCs w:val="20"/>
              </w:rPr>
            </w:pPr>
            <w:r w:rsidRPr="00404DA5">
              <w:rPr>
                <w:rFonts w:cs="Calibri"/>
                <w:bCs/>
                <w:color w:val="000000"/>
                <w:sz w:val="18"/>
                <w:szCs w:val="20"/>
              </w:rPr>
              <w:t>Alokacja główna</w:t>
            </w:r>
            <w:r w:rsidRPr="00404DA5">
              <w:rPr>
                <w:rFonts w:cs="Calibri"/>
                <w:bCs/>
                <w:color w:val="000000"/>
                <w:sz w:val="18"/>
                <w:szCs w:val="20"/>
              </w:rPr>
              <w:br/>
              <w:t>[EUR]</w:t>
            </w:r>
          </w:p>
        </w:tc>
        <w:tc>
          <w:tcPr>
            <w:tcW w:w="1399" w:type="dxa"/>
            <w:shd w:val="clear" w:color="auto" w:fill="DBE5F1"/>
            <w:tcMar>
              <w:left w:w="108" w:type="dxa"/>
            </w:tcMar>
            <w:vAlign w:val="center"/>
          </w:tcPr>
          <w:p w14:paraId="5757B1A5" w14:textId="77777777" w:rsidR="00EF2A15" w:rsidRPr="00404DA5" w:rsidRDefault="00EF2A15" w:rsidP="00EF2A15">
            <w:pPr>
              <w:jc w:val="center"/>
              <w:rPr>
                <w:sz w:val="18"/>
                <w:szCs w:val="20"/>
              </w:rPr>
            </w:pPr>
            <w:r w:rsidRPr="00404DA5">
              <w:rPr>
                <w:rFonts w:cs="Calibri"/>
                <w:bCs/>
                <w:color w:val="000000"/>
                <w:sz w:val="18"/>
                <w:szCs w:val="20"/>
              </w:rPr>
              <w:t>Rezerwa wykonania</w:t>
            </w:r>
            <w:r w:rsidRPr="00404DA5">
              <w:rPr>
                <w:rFonts w:cs="Calibri"/>
                <w:bCs/>
                <w:color w:val="000000"/>
                <w:sz w:val="18"/>
                <w:szCs w:val="20"/>
              </w:rPr>
              <w:br/>
              <w:t>[EUR]</w:t>
            </w:r>
          </w:p>
        </w:tc>
        <w:tc>
          <w:tcPr>
            <w:tcW w:w="1360" w:type="dxa"/>
            <w:shd w:val="clear" w:color="auto" w:fill="DBE5F1"/>
            <w:tcMar>
              <w:left w:w="108" w:type="dxa"/>
            </w:tcMar>
            <w:vAlign w:val="center"/>
          </w:tcPr>
          <w:p w14:paraId="5A46E6C6" w14:textId="77777777" w:rsidR="00EF2A15" w:rsidRPr="00404DA5" w:rsidRDefault="00EF2A15" w:rsidP="00EF2A15">
            <w:pPr>
              <w:jc w:val="center"/>
              <w:rPr>
                <w:color w:val="FF0000"/>
                <w:sz w:val="18"/>
                <w:szCs w:val="20"/>
              </w:rPr>
            </w:pPr>
            <w:r w:rsidRPr="00404DA5">
              <w:rPr>
                <w:rFonts w:cs="Calibri"/>
                <w:sz w:val="18"/>
                <w:szCs w:val="20"/>
              </w:rPr>
              <w:t>Kontraktacja</w:t>
            </w:r>
            <w:r w:rsidR="00E66B89">
              <w:rPr>
                <w:rFonts w:cs="Calibri"/>
                <w:sz w:val="18"/>
                <w:szCs w:val="20"/>
              </w:rPr>
              <w:t xml:space="preserve"> z </w:t>
            </w:r>
            <w:r w:rsidRPr="00B473DC">
              <w:rPr>
                <w:rFonts w:cs="Calibri"/>
                <w:sz w:val="18"/>
                <w:szCs w:val="20"/>
              </w:rPr>
              <w:t>środkami rezerwy wykonania</w:t>
            </w:r>
            <w:r w:rsidRPr="00404DA5">
              <w:rPr>
                <w:rFonts w:cs="Calibri"/>
                <w:sz w:val="18"/>
                <w:szCs w:val="20"/>
              </w:rPr>
              <w:t xml:space="preserve"> [%]</w:t>
            </w:r>
          </w:p>
        </w:tc>
        <w:tc>
          <w:tcPr>
            <w:tcW w:w="1222" w:type="dxa"/>
            <w:shd w:val="clear" w:color="auto" w:fill="DBE5F1"/>
            <w:vAlign w:val="center"/>
          </w:tcPr>
          <w:p w14:paraId="6D101FFB" w14:textId="77777777" w:rsidR="00EF2A15" w:rsidRPr="00404DA5" w:rsidRDefault="00EF2A15" w:rsidP="00EF2A15">
            <w:pPr>
              <w:jc w:val="center"/>
              <w:rPr>
                <w:rFonts w:cs="Calibri"/>
                <w:sz w:val="18"/>
                <w:szCs w:val="20"/>
              </w:rPr>
            </w:pPr>
            <w:r w:rsidRPr="00404DA5">
              <w:rPr>
                <w:rFonts w:cs="Calibri"/>
                <w:sz w:val="18"/>
                <w:szCs w:val="20"/>
              </w:rPr>
              <w:t xml:space="preserve">Kontraktacja </w:t>
            </w:r>
            <w:r w:rsidRPr="00B473DC">
              <w:rPr>
                <w:rFonts w:cs="Calibri"/>
                <w:sz w:val="18"/>
                <w:szCs w:val="20"/>
              </w:rPr>
              <w:t>bez środków rezerwy wykonania</w:t>
            </w:r>
            <w:r w:rsidRPr="00404DA5">
              <w:rPr>
                <w:rFonts w:cs="Calibri"/>
                <w:sz w:val="18"/>
                <w:szCs w:val="20"/>
              </w:rPr>
              <w:t xml:space="preserve"> [%]</w:t>
            </w:r>
          </w:p>
        </w:tc>
      </w:tr>
      <w:tr w:rsidR="00EF2A15" w:rsidRPr="00B2711F" w14:paraId="7905F76F" w14:textId="77777777" w:rsidTr="00484270">
        <w:tc>
          <w:tcPr>
            <w:tcW w:w="951" w:type="dxa"/>
            <w:shd w:val="clear" w:color="auto" w:fill="auto"/>
            <w:tcMar>
              <w:left w:w="108" w:type="dxa"/>
            </w:tcMar>
            <w:vAlign w:val="center"/>
          </w:tcPr>
          <w:p w14:paraId="25DCEFCE" w14:textId="77777777" w:rsidR="00EF2A15" w:rsidRPr="00404DA5" w:rsidRDefault="00EF2A15" w:rsidP="00EF2A15">
            <w:pPr>
              <w:jc w:val="center"/>
              <w:rPr>
                <w:sz w:val="18"/>
                <w:szCs w:val="20"/>
              </w:rPr>
            </w:pPr>
            <w:r w:rsidRPr="00404DA5">
              <w:rPr>
                <w:rFonts w:cs="Calibri"/>
                <w:color w:val="000000"/>
                <w:sz w:val="18"/>
                <w:szCs w:val="20"/>
              </w:rPr>
              <w:t>5.5</w:t>
            </w:r>
          </w:p>
        </w:tc>
        <w:tc>
          <w:tcPr>
            <w:tcW w:w="446" w:type="dxa"/>
            <w:shd w:val="clear" w:color="auto" w:fill="auto"/>
            <w:tcMar>
              <w:left w:w="108" w:type="dxa"/>
            </w:tcMar>
            <w:vAlign w:val="center"/>
          </w:tcPr>
          <w:p w14:paraId="27E8775F" w14:textId="77777777" w:rsidR="00EF2A15" w:rsidRPr="00404DA5" w:rsidRDefault="00EF2A15" w:rsidP="00EF2A15">
            <w:pPr>
              <w:jc w:val="center"/>
              <w:rPr>
                <w:sz w:val="18"/>
                <w:szCs w:val="20"/>
              </w:rPr>
            </w:pPr>
            <w:r w:rsidRPr="00404DA5">
              <w:rPr>
                <w:rFonts w:cs="Calibri"/>
                <w:color w:val="000000"/>
                <w:sz w:val="18"/>
                <w:szCs w:val="20"/>
              </w:rPr>
              <w:t>7</w:t>
            </w:r>
          </w:p>
        </w:tc>
        <w:tc>
          <w:tcPr>
            <w:tcW w:w="422" w:type="dxa"/>
            <w:shd w:val="clear" w:color="auto" w:fill="auto"/>
            <w:tcMar>
              <w:left w:w="108" w:type="dxa"/>
            </w:tcMar>
            <w:vAlign w:val="center"/>
          </w:tcPr>
          <w:p w14:paraId="1C384092" w14:textId="77777777" w:rsidR="00EF2A15" w:rsidRPr="00404DA5" w:rsidRDefault="00EF2A15" w:rsidP="00EF2A15">
            <w:pPr>
              <w:jc w:val="center"/>
              <w:rPr>
                <w:sz w:val="18"/>
                <w:szCs w:val="20"/>
              </w:rPr>
            </w:pPr>
            <w:r w:rsidRPr="00404DA5">
              <w:rPr>
                <w:rFonts w:cs="Calibri"/>
                <w:color w:val="000000"/>
                <w:sz w:val="18"/>
                <w:szCs w:val="20"/>
              </w:rPr>
              <w:t>7d</w:t>
            </w:r>
          </w:p>
        </w:tc>
        <w:tc>
          <w:tcPr>
            <w:tcW w:w="1862" w:type="dxa"/>
            <w:shd w:val="clear" w:color="auto" w:fill="auto"/>
            <w:tcMar>
              <w:left w:w="108" w:type="dxa"/>
            </w:tcMar>
            <w:vAlign w:val="center"/>
          </w:tcPr>
          <w:p w14:paraId="3511D856" w14:textId="77777777" w:rsidR="00EF2A15" w:rsidRPr="00404DA5" w:rsidRDefault="00EF2A15" w:rsidP="00EF2A15">
            <w:pPr>
              <w:jc w:val="center"/>
              <w:rPr>
                <w:sz w:val="18"/>
                <w:szCs w:val="20"/>
              </w:rPr>
            </w:pPr>
            <w:r w:rsidRPr="00404DA5">
              <w:rPr>
                <w:rFonts w:cs="Calibri"/>
                <w:color w:val="000000"/>
                <w:sz w:val="18"/>
                <w:szCs w:val="20"/>
              </w:rPr>
              <w:t>35 000 000,00</w:t>
            </w:r>
          </w:p>
        </w:tc>
        <w:tc>
          <w:tcPr>
            <w:tcW w:w="1400" w:type="dxa"/>
            <w:shd w:val="clear" w:color="auto" w:fill="auto"/>
            <w:tcMar>
              <w:left w:w="108" w:type="dxa"/>
            </w:tcMar>
            <w:vAlign w:val="center"/>
          </w:tcPr>
          <w:p w14:paraId="08A53708" w14:textId="77777777" w:rsidR="00EF2A15" w:rsidRPr="00404DA5" w:rsidRDefault="00EF2A15" w:rsidP="00EF2A15">
            <w:pPr>
              <w:jc w:val="center"/>
              <w:rPr>
                <w:sz w:val="18"/>
                <w:szCs w:val="20"/>
              </w:rPr>
            </w:pPr>
            <w:r w:rsidRPr="00404DA5">
              <w:rPr>
                <w:rFonts w:cs="Calibri"/>
                <w:color w:val="000000"/>
                <w:sz w:val="18"/>
                <w:szCs w:val="20"/>
              </w:rPr>
              <w:t>35 000 000,00</w:t>
            </w:r>
          </w:p>
        </w:tc>
        <w:tc>
          <w:tcPr>
            <w:tcW w:w="1399" w:type="dxa"/>
            <w:shd w:val="clear" w:color="auto" w:fill="auto"/>
            <w:tcMar>
              <w:left w:w="108" w:type="dxa"/>
            </w:tcMar>
            <w:vAlign w:val="center"/>
          </w:tcPr>
          <w:p w14:paraId="453CF4F0" w14:textId="77777777" w:rsidR="00EF2A15" w:rsidRPr="00404DA5" w:rsidRDefault="00EF2A15" w:rsidP="00EF2A15">
            <w:pPr>
              <w:jc w:val="center"/>
              <w:rPr>
                <w:sz w:val="18"/>
                <w:szCs w:val="20"/>
              </w:rPr>
            </w:pPr>
            <w:r w:rsidRPr="00404DA5">
              <w:rPr>
                <w:rFonts w:cs="Calibri"/>
                <w:color w:val="000000"/>
                <w:sz w:val="18"/>
                <w:szCs w:val="20"/>
              </w:rPr>
              <w:t>0,00</w:t>
            </w:r>
          </w:p>
        </w:tc>
        <w:tc>
          <w:tcPr>
            <w:tcW w:w="1360" w:type="dxa"/>
            <w:shd w:val="clear" w:color="auto" w:fill="auto"/>
            <w:tcMar>
              <w:left w:w="108" w:type="dxa"/>
            </w:tcMar>
            <w:vAlign w:val="center"/>
          </w:tcPr>
          <w:p w14:paraId="4E8D7C85" w14:textId="77777777" w:rsidR="00EF2A15" w:rsidRPr="00404DA5" w:rsidRDefault="00EF2A15" w:rsidP="00EF2A15">
            <w:pPr>
              <w:jc w:val="center"/>
              <w:rPr>
                <w:color w:val="000000"/>
                <w:sz w:val="18"/>
                <w:szCs w:val="20"/>
              </w:rPr>
            </w:pPr>
            <w:r w:rsidRPr="00404DA5">
              <w:rPr>
                <w:rFonts w:cs="Calibri"/>
                <w:color w:val="000000"/>
                <w:sz w:val="18"/>
                <w:szCs w:val="20"/>
              </w:rPr>
              <w:t>98,7%</w:t>
            </w:r>
          </w:p>
        </w:tc>
        <w:tc>
          <w:tcPr>
            <w:tcW w:w="1222" w:type="dxa"/>
            <w:shd w:val="clear" w:color="auto" w:fill="auto"/>
            <w:vAlign w:val="center"/>
          </w:tcPr>
          <w:p w14:paraId="24EED249" w14:textId="77777777" w:rsidR="00EF2A15" w:rsidRPr="00404DA5" w:rsidRDefault="00EF2A15" w:rsidP="00EF2A15">
            <w:pPr>
              <w:jc w:val="center"/>
              <w:rPr>
                <w:rFonts w:cs="Calibri"/>
                <w:color w:val="000000"/>
                <w:sz w:val="18"/>
                <w:szCs w:val="20"/>
              </w:rPr>
            </w:pPr>
            <w:r w:rsidRPr="00404DA5">
              <w:rPr>
                <w:rFonts w:cs="Calibri"/>
                <w:color w:val="000000"/>
                <w:sz w:val="18"/>
                <w:szCs w:val="20"/>
              </w:rPr>
              <w:t>98,7%</w:t>
            </w:r>
          </w:p>
        </w:tc>
      </w:tr>
      <w:tr w:rsidR="00EF2A15" w:rsidRPr="00B2711F" w14:paraId="6CCB563E" w14:textId="77777777" w:rsidTr="00484270">
        <w:tc>
          <w:tcPr>
            <w:tcW w:w="951" w:type="dxa"/>
            <w:shd w:val="clear" w:color="auto" w:fill="auto"/>
            <w:tcMar>
              <w:left w:w="108" w:type="dxa"/>
            </w:tcMar>
            <w:vAlign w:val="center"/>
          </w:tcPr>
          <w:p w14:paraId="74F25103" w14:textId="77777777" w:rsidR="00EF2A15" w:rsidRPr="00404DA5" w:rsidRDefault="00EF2A15" w:rsidP="00EF2A15">
            <w:pPr>
              <w:jc w:val="center"/>
              <w:rPr>
                <w:sz w:val="18"/>
                <w:szCs w:val="20"/>
              </w:rPr>
            </w:pPr>
            <w:r w:rsidRPr="00404DA5">
              <w:rPr>
                <w:rFonts w:cs="Calibri"/>
                <w:color w:val="000000"/>
                <w:sz w:val="18"/>
                <w:szCs w:val="20"/>
              </w:rPr>
              <w:t>5.6</w:t>
            </w:r>
          </w:p>
        </w:tc>
        <w:tc>
          <w:tcPr>
            <w:tcW w:w="446" w:type="dxa"/>
            <w:shd w:val="clear" w:color="auto" w:fill="auto"/>
            <w:tcMar>
              <w:left w:w="108" w:type="dxa"/>
            </w:tcMar>
            <w:vAlign w:val="center"/>
          </w:tcPr>
          <w:p w14:paraId="0F1ACB51" w14:textId="77777777" w:rsidR="00EF2A15" w:rsidRPr="00404DA5" w:rsidRDefault="00EF2A15" w:rsidP="00EF2A15">
            <w:pPr>
              <w:jc w:val="center"/>
              <w:rPr>
                <w:sz w:val="18"/>
                <w:szCs w:val="20"/>
              </w:rPr>
            </w:pPr>
            <w:r w:rsidRPr="00404DA5">
              <w:rPr>
                <w:rFonts w:cs="Calibri"/>
                <w:color w:val="000000"/>
                <w:sz w:val="18"/>
                <w:szCs w:val="20"/>
              </w:rPr>
              <w:t>7</w:t>
            </w:r>
          </w:p>
        </w:tc>
        <w:tc>
          <w:tcPr>
            <w:tcW w:w="422" w:type="dxa"/>
            <w:shd w:val="clear" w:color="auto" w:fill="auto"/>
            <w:tcMar>
              <w:left w:w="108" w:type="dxa"/>
            </w:tcMar>
            <w:vAlign w:val="center"/>
          </w:tcPr>
          <w:p w14:paraId="11F69335" w14:textId="77777777" w:rsidR="00EF2A15" w:rsidRPr="00404DA5" w:rsidRDefault="00EF2A15" w:rsidP="00EF2A15">
            <w:pPr>
              <w:jc w:val="center"/>
              <w:rPr>
                <w:sz w:val="18"/>
                <w:szCs w:val="20"/>
              </w:rPr>
            </w:pPr>
            <w:r w:rsidRPr="00404DA5">
              <w:rPr>
                <w:rFonts w:cs="Calibri"/>
                <w:color w:val="000000"/>
                <w:sz w:val="18"/>
                <w:szCs w:val="20"/>
              </w:rPr>
              <w:t>7d</w:t>
            </w:r>
          </w:p>
        </w:tc>
        <w:tc>
          <w:tcPr>
            <w:tcW w:w="1862" w:type="dxa"/>
            <w:shd w:val="clear" w:color="auto" w:fill="auto"/>
            <w:tcMar>
              <w:left w:w="108" w:type="dxa"/>
            </w:tcMar>
            <w:vAlign w:val="center"/>
          </w:tcPr>
          <w:p w14:paraId="3B7A153F" w14:textId="77777777" w:rsidR="00EF2A15" w:rsidRPr="00404DA5" w:rsidRDefault="00EF2A15" w:rsidP="00EF2A15">
            <w:pPr>
              <w:jc w:val="center"/>
              <w:rPr>
                <w:sz w:val="18"/>
                <w:szCs w:val="20"/>
              </w:rPr>
            </w:pPr>
            <w:r w:rsidRPr="00404DA5">
              <w:rPr>
                <w:rFonts w:cs="Calibri"/>
                <w:color w:val="000000"/>
                <w:sz w:val="18"/>
                <w:szCs w:val="20"/>
              </w:rPr>
              <w:t>75 000 000,00</w:t>
            </w:r>
          </w:p>
        </w:tc>
        <w:tc>
          <w:tcPr>
            <w:tcW w:w="1400" w:type="dxa"/>
            <w:shd w:val="clear" w:color="auto" w:fill="auto"/>
            <w:tcMar>
              <w:left w:w="108" w:type="dxa"/>
            </w:tcMar>
            <w:vAlign w:val="center"/>
          </w:tcPr>
          <w:p w14:paraId="558DE62E" w14:textId="77777777" w:rsidR="00EF2A15" w:rsidRPr="00404DA5" w:rsidRDefault="00EF2A15" w:rsidP="00EF2A15">
            <w:pPr>
              <w:jc w:val="center"/>
              <w:rPr>
                <w:sz w:val="18"/>
                <w:szCs w:val="20"/>
              </w:rPr>
            </w:pPr>
            <w:r w:rsidRPr="00404DA5">
              <w:rPr>
                <w:rFonts w:cs="Calibri"/>
                <w:color w:val="000000"/>
                <w:sz w:val="18"/>
                <w:szCs w:val="20"/>
              </w:rPr>
              <w:t>75 000 000,00</w:t>
            </w:r>
          </w:p>
        </w:tc>
        <w:tc>
          <w:tcPr>
            <w:tcW w:w="1399" w:type="dxa"/>
            <w:shd w:val="clear" w:color="auto" w:fill="auto"/>
            <w:tcMar>
              <w:left w:w="108" w:type="dxa"/>
            </w:tcMar>
            <w:vAlign w:val="center"/>
          </w:tcPr>
          <w:p w14:paraId="3FC459D0" w14:textId="77777777" w:rsidR="00EF2A15" w:rsidRPr="00404DA5" w:rsidRDefault="00EF2A15" w:rsidP="00EF2A15">
            <w:pPr>
              <w:jc w:val="center"/>
              <w:rPr>
                <w:sz w:val="18"/>
                <w:szCs w:val="20"/>
              </w:rPr>
            </w:pPr>
            <w:r w:rsidRPr="00404DA5">
              <w:rPr>
                <w:rFonts w:cs="Calibri"/>
                <w:color w:val="000000"/>
                <w:sz w:val="18"/>
                <w:szCs w:val="20"/>
              </w:rPr>
              <w:t>0,00</w:t>
            </w:r>
          </w:p>
        </w:tc>
        <w:tc>
          <w:tcPr>
            <w:tcW w:w="1360" w:type="dxa"/>
            <w:shd w:val="clear" w:color="auto" w:fill="auto"/>
            <w:tcMar>
              <w:left w:w="108" w:type="dxa"/>
            </w:tcMar>
            <w:vAlign w:val="center"/>
          </w:tcPr>
          <w:p w14:paraId="6AB65800" w14:textId="77777777" w:rsidR="00EF2A15" w:rsidRPr="00404DA5" w:rsidRDefault="00EF2A15" w:rsidP="00EF2A15">
            <w:pPr>
              <w:jc w:val="center"/>
              <w:rPr>
                <w:color w:val="000000"/>
                <w:sz w:val="18"/>
                <w:szCs w:val="20"/>
              </w:rPr>
            </w:pPr>
            <w:r w:rsidRPr="00404DA5">
              <w:rPr>
                <w:rFonts w:cs="Calibri"/>
                <w:color w:val="000000"/>
                <w:sz w:val="18"/>
                <w:szCs w:val="20"/>
              </w:rPr>
              <w:t>97,3%</w:t>
            </w:r>
          </w:p>
        </w:tc>
        <w:tc>
          <w:tcPr>
            <w:tcW w:w="1222" w:type="dxa"/>
            <w:shd w:val="clear" w:color="auto" w:fill="auto"/>
            <w:vAlign w:val="center"/>
          </w:tcPr>
          <w:p w14:paraId="705AF73A" w14:textId="77777777" w:rsidR="00EF2A15" w:rsidRPr="00404DA5" w:rsidRDefault="00EF2A15" w:rsidP="00EF2A15">
            <w:pPr>
              <w:jc w:val="center"/>
              <w:rPr>
                <w:rFonts w:cs="Calibri"/>
                <w:color w:val="000000"/>
                <w:sz w:val="18"/>
                <w:szCs w:val="20"/>
              </w:rPr>
            </w:pPr>
            <w:r w:rsidRPr="00404DA5">
              <w:rPr>
                <w:rFonts w:cs="Calibri"/>
                <w:color w:val="000000"/>
                <w:sz w:val="18"/>
                <w:szCs w:val="20"/>
              </w:rPr>
              <w:t>97,3%</w:t>
            </w:r>
          </w:p>
        </w:tc>
      </w:tr>
    </w:tbl>
    <w:p w14:paraId="4FB87133" w14:textId="77777777" w:rsidR="00EF2A15" w:rsidRPr="00EE66C6" w:rsidRDefault="00EF2A15" w:rsidP="005A06CB">
      <w:pPr>
        <w:spacing w:before="0"/>
        <w:rPr>
          <w:i/>
          <w:sz w:val="18"/>
          <w:szCs w:val="20"/>
        </w:rPr>
      </w:pPr>
      <w:r w:rsidRPr="00EE66C6">
        <w:rPr>
          <w:i/>
          <w:sz w:val="18"/>
          <w:szCs w:val="20"/>
        </w:rPr>
        <w:t>Źródło: RPO WZ 2014-2020, Wysokość alokacji na podstawie danych przekazanych przez Zamawiającego (stan</w:t>
      </w:r>
      <w:r w:rsidR="00E66B89" w:rsidRPr="00EE66C6">
        <w:rPr>
          <w:i/>
          <w:sz w:val="18"/>
          <w:szCs w:val="20"/>
        </w:rPr>
        <w:t xml:space="preserve"> z </w:t>
      </w:r>
      <w:r w:rsidRPr="00EE66C6">
        <w:rPr>
          <w:i/>
          <w:sz w:val="18"/>
          <w:szCs w:val="20"/>
        </w:rPr>
        <w:t>dnia 7.01.2019 roku)</w:t>
      </w:r>
    </w:p>
    <w:p w14:paraId="71DB81EC" w14:textId="77777777" w:rsidR="00EF2A15" w:rsidRPr="000A135E" w:rsidRDefault="00EF2A15" w:rsidP="00EF2A15">
      <w:pPr>
        <w:rPr>
          <w:rFonts w:eastAsia="Calibri"/>
          <w:szCs w:val="20"/>
        </w:rPr>
      </w:pPr>
      <w:r w:rsidRPr="000A135E">
        <w:rPr>
          <w:rFonts w:eastAsia="Calibri"/>
          <w:szCs w:val="20"/>
        </w:rPr>
        <w:t>Stan zakontraktowania alokacji wskazuje na niski potencjał dalszego pozyskiwania jednostek wskaźników. Niski jest także potencjał aplikacyjny beneficjentów. Pilne potrzeby regionu</w:t>
      </w:r>
      <w:r w:rsidR="00E66B89">
        <w:rPr>
          <w:rFonts w:eastAsia="Calibri"/>
          <w:szCs w:val="20"/>
        </w:rPr>
        <w:t xml:space="preserve"> w </w:t>
      </w:r>
      <w:r w:rsidRPr="000A135E">
        <w:rPr>
          <w:rFonts w:eastAsia="Calibri"/>
          <w:szCs w:val="20"/>
        </w:rPr>
        <w:t>zakresie uzupełniania taboru E</w:t>
      </w:r>
      <w:r>
        <w:rPr>
          <w:rFonts w:eastAsia="Calibri"/>
          <w:szCs w:val="20"/>
        </w:rPr>
        <w:t>ZT,</w:t>
      </w:r>
      <w:r w:rsidRPr="000A135E">
        <w:rPr>
          <w:rFonts w:eastAsia="Calibri"/>
          <w:szCs w:val="20"/>
        </w:rPr>
        <w:t xml:space="preserve"> wyszczególnione</w:t>
      </w:r>
      <w:r w:rsidR="00E66B89">
        <w:rPr>
          <w:rFonts w:eastAsia="Calibri"/>
          <w:szCs w:val="20"/>
        </w:rPr>
        <w:t xml:space="preserve"> w </w:t>
      </w:r>
      <w:r w:rsidRPr="000A135E">
        <w:rPr>
          <w:rFonts w:eastAsia="Calibri"/>
          <w:szCs w:val="20"/>
        </w:rPr>
        <w:t>Planie Strategicznym Transportu</w:t>
      </w:r>
      <w:r w:rsidR="00E66B89">
        <w:rPr>
          <w:rFonts w:eastAsia="Calibri"/>
          <w:szCs w:val="20"/>
        </w:rPr>
        <w:t xml:space="preserve"> w </w:t>
      </w:r>
      <w:r w:rsidRPr="000A135E">
        <w:rPr>
          <w:rFonts w:eastAsia="Calibri"/>
          <w:szCs w:val="20"/>
        </w:rPr>
        <w:t>województwie zachodniopomorskim</w:t>
      </w:r>
      <w:r>
        <w:rPr>
          <w:rFonts w:eastAsia="Calibri"/>
          <w:szCs w:val="20"/>
        </w:rPr>
        <w:t>,</w:t>
      </w:r>
      <w:r w:rsidRPr="000A135E">
        <w:rPr>
          <w:rFonts w:eastAsia="Calibri"/>
          <w:szCs w:val="20"/>
        </w:rPr>
        <w:t xml:space="preserve"> zostały zaspokojone. Potencjalny beneficjent PKP PLK S.A. nie dysponuje opracowan</w:t>
      </w:r>
      <w:r>
        <w:rPr>
          <w:rFonts w:eastAsia="Calibri"/>
          <w:szCs w:val="20"/>
        </w:rPr>
        <w:t>ą</w:t>
      </w:r>
      <w:r w:rsidRPr="000A135E">
        <w:rPr>
          <w:rFonts w:eastAsia="Calibri"/>
          <w:szCs w:val="20"/>
        </w:rPr>
        <w:t xml:space="preserve"> dokumentacją wykonawczą na przeprowadzenie inwestycji wskazanych</w:t>
      </w:r>
      <w:r w:rsidR="00E66B89">
        <w:rPr>
          <w:rFonts w:eastAsia="Calibri"/>
          <w:szCs w:val="20"/>
        </w:rPr>
        <w:t xml:space="preserve"> w </w:t>
      </w:r>
      <w:r w:rsidRPr="000A135E">
        <w:rPr>
          <w:rFonts w:eastAsia="Calibri"/>
          <w:szCs w:val="20"/>
        </w:rPr>
        <w:t>Planie</w:t>
      </w:r>
      <w:r>
        <w:rPr>
          <w:rFonts w:eastAsia="Calibri"/>
          <w:szCs w:val="20"/>
        </w:rPr>
        <w:t>,</w:t>
      </w:r>
      <w:r w:rsidRPr="000A135E">
        <w:rPr>
          <w:rFonts w:eastAsia="Calibri"/>
          <w:szCs w:val="20"/>
        </w:rPr>
        <w:t xml:space="preserve"> jako istotn</w:t>
      </w:r>
      <w:r>
        <w:rPr>
          <w:rFonts w:eastAsia="Calibri"/>
          <w:szCs w:val="20"/>
        </w:rPr>
        <w:t>ych</w:t>
      </w:r>
      <w:r w:rsidR="00E66B89">
        <w:rPr>
          <w:rFonts w:eastAsia="Calibri"/>
          <w:szCs w:val="20"/>
        </w:rPr>
        <w:t xml:space="preserve"> w </w:t>
      </w:r>
      <w:r w:rsidRPr="000A135E">
        <w:rPr>
          <w:rFonts w:eastAsia="Calibri"/>
          <w:szCs w:val="20"/>
        </w:rPr>
        <w:t xml:space="preserve">bieżącej perspektywie finansowej. Pozytywnie należy więc ocenić decyzję </w:t>
      </w:r>
      <w:r>
        <w:rPr>
          <w:rFonts w:eastAsia="Calibri"/>
          <w:szCs w:val="20"/>
        </w:rPr>
        <w:t>IZ</w:t>
      </w:r>
      <w:r w:rsidRPr="000A135E">
        <w:rPr>
          <w:rFonts w:eastAsia="Calibri"/>
          <w:szCs w:val="20"/>
        </w:rPr>
        <w:t xml:space="preserve"> RPO WZ 2014-2020 dotyczącą wprowadzenia nowego typu działania – przygotowanie dokumentacji projektowej modernizacji regionalnych linii kolejowych</w:t>
      </w:r>
      <w:r w:rsidR="00E66B89">
        <w:rPr>
          <w:rFonts w:eastAsia="Calibri"/>
          <w:szCs w:val="20"/>
        </w:rPr>
        <w:t xml:space="preserve"> w </w:t>
      </w:r>
      <w:r w:rsidRPr="000A135E">
        <w:rPr>
          <w:rFonts w:eastAsia="Calibri"/>
          <w:szCs w:val="20"/>
        </w:rPr>
        <w:t>kolejnej perspektywie finansowej. Według opinii przedstawicieli PKP PLK S.A. występuje silny potencjał aplikacyjny</w:t>
      </w:r>
      <w:r w:rsidR="00E66B89">
        <w:rPr>
          <w:rFonts w:eastAsia="Calibri"/>
          <w:szCs w:val="20"/>
        </w:rPr>
        <w:t xml:space="preserve"> w </w:t>
      </w:r>
      <w:r w:rsidRPr="000A135E">
        <w:rPr>
          <w:rFonts w:eastAsia="Calibri"/>
          <w:szCs w:val="20"/>
        </w:rPr>
        <w:t xml:space="preserve">tym zakresie. </w:t>
      </w:r>
      <w:r>
        <w:rPr>
          <w:rFonts w:eastAsia="Calibri"/>
          <w:szCs w:val="20"/>
        </w:rPr>
        <w:t>Wprowadzenie tego typu projektu było także bardzo pozytywnie oceniane przez uczestników przeprowadzonego panelu ekspertów. Eksperci wskazywali bowiem, że realizacja takich projektów</w:t>
      </w:r>
      <w:r w:rsidR="00E66B89">
        <w:rPr>
          <w:rFonts w:eastAsia="Calibri"/>
          <w:szCs w:val="20"/>
        </w:rPr>
        <w:t xml:space="preserve"> w </w:t>
      </w:r>
      <w:r>
        <w:rPr>
          <w:rFonts w:eastAsia="Calibri"/>
          <w:szCs w:val="20"/>
        </w:rPr>
        <w:t>poprzedniej perspektywie finansowej znacząco ułatwiła wdrażanie działań inwestycyjnych</w:t>
      </w:r>
      <w:r w:rsidR="00E66B89">
        <w:rPr>
          <w:rFonts w:eastAsia="Calibri"/>
          <w:szCs w:val="20"/>
        </w:rPr>
        <w:t xml:space="preserve"> w </w:t>
      </w:r>
      <w:r>
        <w:rPr>
          <w:rFonts w:eastAsia="Calibri"/>
          <w:szCs w:val="20"/>
        </w:rPr>
        <w:t>ramach RPO WZ 2014-2020.</w:t>
      </w:r>
    </w:p>
    <w:p w14:paraId="0D14371E"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lastRenderedPageBreak/>
        <w:t>Prognozy osiągnięcia celów zakładanych na 2023 rok</w:t>
      </w:r>
    </w:p>
    <w:p w14:paraId="5B934174" w14:textId="77777777" w:rsidR="00EF2A15" w:rsidRPr="00404DA5" w:rsidRDefault="00EF2A15" w:rsidP="00EF2A15">
      <w:pPr>
        <w:rPr>
          <w:rFonts w:cs="Calibri"/>
          <w:szCs w:val="20"/>
        </w:rPr>
      </w:pPr>
      <w:r w:rsidRPr="00404DA5">
        <w:rPr>
          <w:rFonts w:cs="Calibri"/>
          <w:szCs w:val="20"/>
        </w:rPr>
        <w:t>Obecny stan wdrażania Programu nie pozwala na dalsze osiąganie wskaźników programowych. Ewentualne zwiększenie alokacji na Działanie 5.5 nie przyczyniłoby się do zwiększenia stopnia realizacji zobowiązań wskaźnikowych ze względu na brak przygotowania inwestycji</w:t>
      </w:r>
      <w:r w:rsidR="00E66B89">
        <w:rPr>
          <w:rFonts w:cs="Calibri"/>
          <w:szCs w:val="20"/>
        </w:rPr>
        <w:t xml:space="preserve"> i </w:t>
      </w:r>
      <w:r w:rsidRPr="00404DA5">
        <w:rPr>
          <w:rFonts w:cs="Calibri"/>
          <w:szCs w:val="20"/>
        </w:rPr>
        <w:t xml:space="preserve">ich minimum czteroletni okres realizacji. </w:t>
      </w:r>
      <w:r w:rsidRPr="008B706B">
        <w:rPr>
          <w:rFonts w:cs="Calibri"/>
          <w:b/>
          <w:szCs w:val="20"/>
        </w:rPr>
        <w:t>REKOMENDACJA</w:t>
      </w:r>
      <w:r>
        <w:rPr>
          <w:rFonts w:cs="Calibri"/>
          <w:b/>
          <w:szCs w:val="20"/>
        </w:rPr>
        <w:t>:</w:t>
      </w:r>
      <w:r w:rsidRPr="008B706B">
        <w:rPr>
          <w:rFonts w:cs="Calibri"/>
          <w:b/>
          <w:szCs w:val="20"/>
        </w:rPr>
        <w:t xml:space="preserve"> Zaleca się </w:t>
      </w:r>
      <w:r>
        <w:rPr>
          <w:rFonts w:cs="Calibri"/>
          <w:b/>
          <w:szCs w:val="20"/>
        </w:rPr>
        <w:t xml:space="preserve">rozważenie </w:t>
      </w:r>
      <w:r w:rsidRPr="008B706B">
        <w:rPr>
          <w:rFonts w:cs="Calibri"/>
          <w:b/>
          <w:szCs w:val="20"/>
        </w:rPr>
        <w:t>zmniejszeni</w:t>
      </w:r>
      <w:r>
        <w:rPr>
          <w:rFonts w:cs="Calibri"/>
          <w:b/>
          <w:szCs w:val="20"/>
        </w:rPr>
        <w:t>a</w:t>
      </w:r>
      <w:r w:rsidRPr="008B706B">
        <w:rPr>
          <w:rFonts w:cs="Calibri"/>
          <w:b/>
          <w:szCs w:val="20"/>
        </w:rPr>
        <w:t xml:space="preserve"> wartości docelowej wskaźnika </w:t>
      </w:r>
      <w:r w:rsidRPr="00C22C26">
        <w:rPr>
          <w:rFonts w:cs="Calibri"/>
          <w:b/>
          <w:i/>
          <w:szCs w:val="20"/>
        </w:rPr>
        <w:t>Całkowita długość przebudowanych lub zmodernizowanych linii kolejowych</w:t>
      </w:r>
      <w:r w:rsidR="00E66B89">
        <w:rPr>
          <w:rFonts w:cs="Calibri"/>
          <w:b/>
          <w:szCs w:val="20"/>
        </w:rPr>
        <w:t xml:space="preserve"> z </w:t>
      </w:r>
      <w:r w:rsidRPr="008B706B">
        <w:rPr>
          <w:rFonts w:cs="Calibri"/>
          <w:b/>
          <w:szCs w:val="20"/>
        </w:rPr>
        <w:t>88 km do 51,41 km.</w:t>
      </w:r>
      <w:r w:rsidRPr="00404DA5">
        <w:rPr>
          <w:rFonts w:cs="Calibri"/>
          <w:szCs w:val="20"/>
        </w:rPr>
        <w:t xml:space="preserve"> </w:t>
      </w:r>
    </w:p>
    <w:p w14:paraId="3B42EAE3" w14:textId="77777777" w:rsidR="00EF2A15" w:rsidRPr="00404DA5" w:rsidRDefault="00EF2A15" w:rsidP="00EF2A15">
      <w:pPr>
        <w:rPr>
          <w:rFonts w:cs="Calibri"/>
          <w:szCs w:val="20"/>
        </w:rPr>
      </w:pPr>
      <w:r w:rsidRPr="00404DA5">
        <w:rPr>
          <w:rFonts w:cs="Calibri"/>
          <w:szCs w:val="20"/>
        </w:rPr>
        <w:t xml:space="preserve">Rekomendacja dotycząca modyfikacji wartości docelowej wskaźnika </w:t>
      </w:r>
      <w:r w:rsidRPr="008B706B">
        <w:rPr>
          <w:rFonts w:cs="Calibri"/>
          <w:i/>
          <w:szCs w:val="20"/>
        </w:rPr>
        <w:t>Liczba zakupionych lub zmodernizowanych jednostek taboru kolejowego</w:t>
      </w:r>
      <w:r w:rsidR="00E66B89">
        <w:rPr>
          <w:rFonts w:cs="Calibri"/>
          <w:szCs w:val="20"/>
        </w:rPr>
        <w:t xml:space="preserve"> w </w:t>
      </w:r>
      <w:r w:rsidRPr="00404DA5">
        <w:rPr>
          <w:rFonts w:cs="Calibri"/>
          <w:szCs w:val="20"/>
        </w:rPr>
        <w:t>odniesieniu do zmiany metodologii jego liczenia została przedstawiona</w:t>
      </w:r>
      <w:r w:rsidR="00E66B89">
        <w:rPr>
          <w:rFonts w:cs="Calibri"/>
          <w:szCs w:val="20"/>
        </w:rPr>
        <w:t xml:space="preserve"> w </w:t>
      </w:r>
      <w:r w:rsidRPr="00404DA5">
        <w:rPr>
          <w:rFonts w:cs="Calibri"/>
          <w:szCs w:val="20"/>
        </w:rPr>
        <w:t>rozdziale dotyczącym Ram Wykonania.</w:t>
      </w:r>
    </w:p>
    <w:p w14:paraId="1139E7F3" w14:textId="77777777" w:rsidR="00EF2A15" w:rsidRPr="00404DA5" w:rsidRDefault="00EF2A15" w:rsidP="00EF2A15">
      <w:pPr>
        <w:rPr>
          <w:rFonts w:cs="Calibri"/>
          <w:szCs w:val="20"/>
        </w:rPr>
      </w:pPr>
      <w:r w:rsidRPr="00404DA5">
        <w:rPr>
          <w:rFonts w:cs="Calibri"/>
          <w:szCs w:val="20"/>
        </w:rPr>
        <w:t>Należy podkreślić, że kwota alokacji przeznaczona na zakup taboru została już wydatkowana. Nie zidentyfikowano ryzyka nieosiągnięcia celu projektu infrastruktury liniowej dotyczącego modernizacji linii 210. Odnotowano wysoki popyt aplikacyjny PKP PLK S.A. na przygotowanie dokumentacji wykonawczej na modernizację regionalnych linii kolejowych</w:t>
      </w:r>
      <w:r>
        <w:rPr>
          <w:rFonts w:cs="Calibri"/>
          <w:szCs w:val="20"/>
        </w:rPr>
        <w:t>.</w:t>
      </w:r>
      <w:r w:rsidRPr="00404DA5">
        <w:rPr>
          <w:rFonts w:cs="Calibri"/>
          <w:szCs w:val="20"/>
        </w:rPr>
        <w:t xml:space="preserve"> Wydatkowanie pełnej alokacji PI 7d</w:t>
      </w:r>
      <w:r w:rsidR="00E66B89">
        <w:rPr>
          <w:rFonts w:cs="Calibri"/>
          <w:szCs w:val="20"/>
        </w:rPr>
        <w:t xml:space="preserve"> w </w:t>
      </w:r>
      <w:r w:rsidRPr="00404DA5">
        <w:rPr>
          <w:rFonts w:cs="Calibri"/>
          <w:szCs w:val="20"/>
        </w:rPr>
        <w:t xml:space="preserve">perspektywie n+3 nie jest więc zagrożone. </w:t>
      </w:r>
    </w:p>
    <w:p w14:paraId="758414D0" w14:textId="77777777" w:rsidR="00EF2A15" w:rsidRPr="00754ED4" w:rsidRDefault="00EF2A15" w:rsidP="00754ED4">
      <w:pPr>
        <w:pStyle w:val="Legenda"/>
        <w:spacing w:after="0"/>
      </w:pPr>
      <w:bookmarkStart w:id="157" w:name="_Toc8824188"/>
      <w:r w:rsidRPr="00404DA5">
        <w:t xml:space="preserve">Tabela </w:t>
      </w:r>
      <w:r>
        <w:fldChar w:fldCharType="begin"/>
      </w:r>
      <w:r>
        <w:instrText xml:space="preserve"> SEQ Tabela \* ARABIC </w:instrText>
      </w:r>
      <w:r>
        <w:fldChar w:fldCharType="separate"/>
      </w:r>
      <w:r w:rsidR="00763345">
        <w:rPr>
          <w:noProof/>
        </w:rPr>
        <w:t>77</w:t>
      </w:r>
      <w:r>
        <w:fldChar w:fldCharType="end"/>
      </w:r>
      <w:r w:rsidRPr="00404DA5">
        <w:t xml:space="preserve"> Prognozowany poziom realizacji wskaźników produktu</w:t>
      </w:r>
      <w:r w:rsidR="00E66B89">
        <w:t xml:space="preserve"> i </w:t>
      </w:r>
      <w:r w:rsidRPr="00404DA5">
        <w:t>rezultatu bezpośredniego na rok 2023 – PI 7d</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672"/>
        <w:gridCol w:w="1507"/>
        <w:gridCol w:w="1876"/>
        <w:gridCol w:w="1911"/>
      </w:tblGrid>
      <w:tr w:rsidR="00EF2A15" w:rsidRPr="00B2711F" w14:paraId="33C76355" w14:textId="77777777" w:rsidTr="00EF2A15">
        <w:trPr>
          <w:trHeight w:val="1180"/>
          <w:tblHeader/>
        </w:trPr>
        <w:tc>
          <w:tcPr>
            <w:tcW w:w="0" w:type="auto"/>
            <w:shd w:val="clear" w:color="auto" w:fill="DBE5F1"/>
            <w:vAlign w:val="center"/>
          </w:tcPr>
          <w:p w14:paraId="671F70F6"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0" w:type="auto"/>
            <w:shd w:val="clear" w:color="auto" w:fill="DBE5F1"/>
            <w:vAlign w:val="center"/>
          </w:tcPr>
          <w:p w14:paraId="3C3D81E2"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0" w:type="auto"/>
            <w:shd w:val="clear" w:color="auto" w:fill="DBE5F1"/>
          </w:tcPr>
          <w:p w14:paraId="1EAC7FE3" w14:textId="77777777" w:rsidR="00EF2A15" w:rsidRPr="00404DA5" w:rsidRDefault="00EF2A15" w:rsidP="00EF2A15">
            <w:pPr>
              <w:jc w:val="center"/>
              <w:rPr>
                <w:rFonts w:cs="Calibri"/>
                <w:sz w:val="18"/>
                <w:szCs w:val="20"/>
              </w:rPr>
            </w:pPr>
            <w:r w:rsidRPr="00404DA5">
              <w:rPr>
                <w:rFonts w:cs="Calibri"/>
                <w:sz w:val="18"/>
                <w:szCs w:val="20"/>
              </w:rPr>
              <w:t>Wartość docelowa określona na 2023 rok</w:t>
            </w:r>
          </w:p>
        </w:tc>
        <w:tc>
          <w:tcPr>
            <w:tcW w:w="0" w:type="auto"/>
            <w:shd w:val="clear" w:color="auto" w:fill="DBE5F1"/>
            <w:vAlign w:val="center"/>
          </w:tcPr>
          <w:p w14:paraId="5AB2F790" w14:textId="77777777" w:rsidR="00EF2A15" w:rsidRPr="00404DA5" w:rsidRDefault="00EF2A15" w:rsidP="00EF2A15">
            <w:pPr>
              <w:jc w:val="center"/>
              <w:rPr>
                <w:rFonts w:cs="Calibri"/>
                <w:sz w:val="18"/>
                <w:szCs w:val="20"/>
              </w:rPr>
            </w:pPr>
            <w:r w:rsidRPr="00404DA5">
              <w:rPr>
                <w:rFonts w:cs="Calibri"/>
                <w:sz w:val="18"/>
                <w:szCs w:val="20"/>
              </w:rPr>
              <w:t xml:space="preserve">Prognozowana całkowita wartość wskaźnika </w:t>
            </w:r>
          </w:p>
        </w:tc>
        <w:tc>
          <w:tcPr>
            <w:tcW w:w="0" w:type="auto"/>
            <w:shd w:val="clear" w:color="auto" w:fill="DBE5F1"/>
            <w:vAlign w:val="center"/>
          </w:tcPr>
          <w:p w14:paraId="1ED02FD3" w14:textId="77777777" w:rsidR="00EF2A15" w:rsidRPr="00404DA5" w:rsidRDefault="00EF2A15" w:rsidP="00EF2A15">
            <w:pPr>
              <w:jc w:val="center"/>
              <w:rPr>
                <w:rFonts w:cs="Calibri"/>
                <w:sz w:val="18"/>
                <w:szCs w:val="20"/>
              </w:rPr>
            </w:pPr>
            <w:r w:rsidRPr="00404DA5">
              <w:rPr>
                <w:rFonts w:cs="Calibri"/>
                <w:sz w:val="18"/>
                <w:szCs w:val="20"/>
              </w:rPr>
              <w:t>Prognozowany % realizacji wartości docelowej</w:t>
            </w:r>
          </w:p>
        </w:tc>
      </w:tr>
      <w:tr w:rsidR="00EF2A15" w:rsidRPr="00B2711F" w14:paraId="35611B16" w14:textId="77777777" w:rsidTr="00B473DC">
        <w:trPr>
          <w:trHeight w:val="1180"/>
        </w:trPr>
        <w:tc>
          <w:tcPr>
            <w:tcW w:w="0" w:type="auto"/>
            <w:shd w:val="clear" w:color="auto" w:fill="auto"/>
            <w:vAlign w:val="center"/>
          </w:tcPr>
          <w:p w14:paraId="033A77C5" w14:textId="77777777" w:rsidR="00EF2A15" w:rsidRPr="00404DA5" w:rsidRDefault="00EF2A15" w:rsidP="00EF2A15">
            <w:pPr>
              <w:rPr>
                <w:rFonts w:cs="Calibri"/>
                <w:sz w:val="18"/>
                <w:szCs w:val="20"/>
              </w:rPr>
            </w:pPr>
            <w:r w:rsidRPr="00404DA5">
              <w:rPr>
                <w:rFonts w:cs="Calibri"/>
                <w:sz w:val="18"/>
                <w:szCs w:val="20"/>
              </w:rPr>
              <w:t>WP</w:t>
            </w:r>
          </w:p>
        </w:tc>
        <w:tc>
          <w:tcPr>
            <w:tcW w:w="0" w:type="auto"/>
            <w:shd w:val="clear" w:color="auto" w:fill="auto"/>
          </w:tcPr>
          <w:p w14:paraId="75116368" w14:textId="77777777" w:rsidR="00EF2A15" w:rsidRPr="00404DA5" w:rsidRDefault="00EF2A15" w:rsidP="00EF2A15">
            <w:pPr>
              <w:rPr>
                <w:rFonts w:cs="Calibri"/>
                <w:sz w:val="18"/>
                <w:szCs w:val="20"/>
              </w:rPr>
            </w:pPr>
            <w:r w:rsidRPr="00404DA5">
              <w:rPr>
                <w:rFonts w:cs="Calibri"/>
                <w:sz w:val="18"/>
                <w:szCs w:val="20"/>
              </w:rPr>
              <w:t>Liczba zakupionych lub zmodernizowanych jednostek taboru kolejowego</w:t>
            </w:r>
          </w:p>
        </w:tc>
        <w:tc>
          <w:tcPr>
            <w:tcW w:w="0" w:type="auto"/>
            <w:shd w:val="clear" w:color="auto" w:fill="auto"/>
            <w:vAlign w:val="center"/>
          </w:tcPr>
          <w:p w14:paraId="371F7862" w14:textId="77777777" w:rsidR="00EF2A15" w:rsidRPr="00404DA5" w:rsidRDefault="00EF2A15" w:rsidP="00B473DC">
            <w:pPr>
              <w:jc w:val="center"/>
              <w:rPr>
                <w:rFonts w:cs="Calibri"/>
                <w:sz w:val="18"/>
                <w:szCs w:val="20"/>
              </w:rPr>
            </w:pPr>
            <w:r w:rsidRPr="00404DA5">
              <w:rPr>
                <w:rFonts w:cs="Calibri"/>
                <w:sz w:val="18"/>
                <w:szCs w:val="20"/>
              </w:rPr>
              <w:t>25</w:t>
            </w:r>
          </w:p>
        </w:tc>
        <w:tc>
          <w:tcPr>
            <w:tcW w:w="0" w:type="auto"/>
            <w:shd w:val="clear" w:color="auto" w:fill="auto"/>
            <w:vAlign w:val="center"/>
          </w:tcPr>
          <w:p w14:paraId="4D5A0BDC" w14:textId="77777777" w:rsidR="00EF2A15" w:rsidRPr="00404DA5" w:rsidRDefault="00EF2A15" w:rsidP="00B473DC">
            <w:pPr>
              <w:jc w:val="center"/>
              <w:rPr>
                <w:rFonts w:cs="Calibri"/>
                <w:sz w:val="18"/>
                <w:szCs w:val="20"/>
              </w:rPr>
            </w:pPr>
            <w:r w:rsidRPr="00404DA5">
              <w:rPr>
                <w:rFonts w:cs="Calibri"/>
                <w:sz w:val="18"/>
                <w:szCs w:val="20"/>
              </w:rPr>
              <w:t>105</w:t>
            </w:r>
          </w:p>
        </w:tc>
        <w:tc>
          <w:tcPr>
            <w:tcW w:w="0" w:type="auto"/>
            <w:shd w:val="clear" w:color="auto" w:fill="auto"/>
            <w:vAlign w:val="center"/>
          </w:tcPr>
          <w:p w14:paraId="1285E2F9" w14:textId="77777777" w:rsidR="00EF2A15" w:rsidRPr="00404DA5" w:rsidRDefault="00EF2A15" w:rsidP="00B473DC">
            <w:pPr>
              <w:jc w:val="center"/>
              <w:rPr>
                <w:rFonts w:cs="Calibri"/>
                <w:sz w:val="18"/>
                <w:szCs w:val="20"/>
              </w:rPr>
            </w:pPr>
            <w:r w:rsidRPr="00404DA5">
              <w:rPr>
                <w:rFonts w:cs="Calibri"/>
                <w:sz w:val="18"/>
                <w:szCs w:val="20"/>
              </w:rPr>
              <w:t>420%</w:t>
            </w:r>
          </w:p>
        </w:tc>
      </w:tr>
      <w:tr w:rsidR="00EF2A15" w:rsidRPr="00B2711F" w14:paraId="06B79EB8" w14:textId="77777777" w:rsidTr="00B473DC">
        <w:trPr>
          <w:trHeight w:val="1169"/>
        </w:trPr>
        <w:tc>
          <w:tcPr>
            <w:tcW w:w="0" w:type="auto"/>
            <w:shd w:val="clear" w:color="auto" w:fill="auto"/>
            <w:vAlign w:val="center"/>
          </w:tcPr>
          <w:p w14:paraId="6958F069" w14:textId="77777777" w:rsidR="00EF2A15" w:rsidRPr="00404DA5" w:rsidRDefault="00EF2A15" w:rsidP="00EF2A15">
            <w:pPr>
              <w:rPr>
                <w:rFonts w:cs="Calibri"/>
                <w:sz w:val="18"/>
                <w:szCs w:val="20"/>
              </w:rPr>
            </w:pPr>
            <w:r w:rsidRPr="00404DA5">
              <w:rPr>
                <w:rFonts w:cs="Calibri"/>
                <w:sz w:val="18"/>
                <w:szCs w:val="20"/>
              </w:rPr>
              <w:t>WP</w:t>
            </w:r>
          </w:p>
        </w:tc>
        <w:tc>
          <w:tcPr>
            <w:tcW w:w="0" w:type="auto"/>
            <w:shd w:val="clear" w:color="auto" w:fill="auto"/>
          </w:tcPr>
          <w:p w14:paraId="140BC8AF" w14:textId="77777777" w:rsidR="00EF2A15" w:rsidRPr="00404DA5" w:rsidRDefault="00EF2A15" w:rsidP="00EF2A15">
            <w:pPr>
              <w:rPr>
                <w:rFonts w:cs="Calibri"/>
                <w:sz w:val="18"/>
                <w:szCs w:val="20"/>
              </w:rPr>
            </w:pPr>
            <w:r w:rsidRPr="00404DA5">
              <w:rPr>
                <w:rFonts w:cs="Calibri"/>
                <w:sz w:val="18"/>
                <w:szCs w:val="20"/>
              </w:rPr>
              <w:t>Całkowita długość przebudowanych lub zmodernizowanych linii kolejowych</w:t>
            </w:r>
          </w:p>
        </w:tc>
        <w:tc>
          <w:tcPr>
            <w:tcW w:w="0" w:type="auto"/>
            <w:shd w:val="clear" w:color="auto" w:fill="auto"/>
            <w:vAlign w:val="center"/>
          </w:tcPr>
          <w:p w14:paraId="231EA191" w14:textId="77777777" w:rsidR="00EF2A15" w:rsidRPr="00404DA5" w:rsidRDefault="00EF2A15" w:rsidP="00B473DC">
            <w:pPr>
              <w:jc w:val="center"/>
              <w:rPr>
                <w:rFonts w:cs="Calibri"/>
                <w:sz w:val="18"/>
                <w:szCs w:val="20"/>
              </w:rPr>
            </w:pPr>
            <w:r w:rsidRPr="00404DA5">
              <w:rPr>
                <w:rFonts w:cs="Calibri"/>
                <w:sz w:val="18"/>
                <w:szCs w:val="20"/>
              </w:rPr>
              <w:t>88</w:t>
            </w:r>
          </w:p>
        </w:tc>
        <w:tc>
          <w:tcPr>
            <w:tcW w:w="0" w:type="auto"/>
            <w:shd w:val="clear" w:color="auto" w:fill="auto"/>
            <w:vAlign w:val="center"/>
          </w:tcPr>
          <w:p w14:paraId="6928EFCB" w14:textId="77777777" w:rsidR="00EF2A15" w:rsidRPr="00404DA5" w:rsidRDefault="00EF2A15" w:rsidP="00B473DC">
            <w:pPr>
              <w:jc w:val="center"/>
              <w:rPr>
                <w:rFonts w:cs="Calibri"/>
                <w:sz w:val="18"/>
                <w:szCs w:val="20"/>
              </w:rPr>
            </w:pPr>
            <w:r w:rsidRPr="00404DA5">
              <w:rPr>
                <w:rFonts w:cs="Calibri"/>
                <w:sz w:val="18"/>
                <w:szCs w:val="20"/>
              </w:rPr>
              <w:t>51,41</w:t>
            </w:r>
          </w:p>
        </w:tc>
        <w:tc>
          <w:tcPr>
            <w:tcW w:w="0" w:type="auto"/>
            <w:shd w:val="clear" w:color="auto" w:fill="auto"/>
            <w:vAlign w:val="center"/>
          </w:tcPr>
          <w:p w14:paraId="628440D2" w14:textId="77777777" w:rsidR="00EF2A15" w:rsidRPr="00404DA5" w:rsidRDefault="00EF2A15" w:rsidP="00B473DC">
            <w:pPr>
              <w:jc w:val="center"/>
              <w:rPr>
                <w:rFonts w:cs="Calibri"/>
                <w:sz w:val="18"/>
                <w:szCs w:val="20"/>
              </w:rPr>
            </w:pPr>
            <w:r w:rsidRPr="00404DA5">
              <w:rPr>
                <w:rFonts w:cs="Calibri"/>
                <w:sz w:val="18"/>
                <w:szCs w:val="20"/>
              </w:rPr>
              <w:t>58,4%</w:t>
            </w:r>
          </w:p>
        </w:tc>
      </w:tr>
    </w:tbl>
    <w:p w14:paraId="4D50B7EF"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2CAD236B" w14:textId="77777777" w:rsidR="00EF2A15" w:rsidRPr="008B706B" w:rsidRDefault="00EF2A15" w:rsidP="00EF2A15">
      <w:pPr>
        <w:rPr>
          <w:b/>
          <w:color w:val="000000"/>
          <w:szCs w:val="20"/>
        </w:rPr>
      </w:pPr>
      <w:r w:rsidRPr="00404DA5">
        <w:rPr>
          <w:rFonts w:cs="Calibri"/>
          <w:szCs w:val="20"/>
        </w:rPr>
        <w:t>Niewykorzystana alokacj</w:t>
      </w:r>
      <w:r>
        <w:rPr>
          <w:rFonts w:cs="Calibri"/>
          <w:szCs w:val="20"/>
        </w:rPr>
        <w:t>a</w:t>
      </w:r>
      <w:r w:rsidRPr="00404DA5">
        <w:rPr>
          <w:rFonts w:cs="Calibri"/>
          <w:szCs w:val="20"/>
        </w:rPr>
        <w:t xml:space="preserve"> PI 7d</w:t>
      </w:r>
      <w:r w:rsidR="00E66B89">
        <w:rPr>
          <w:rFonts w:cs="Calibri"/>
          <w:szCs w:val="20"/>
        </w:rPr>
        <w:t xml:space="preserve"> w </w:t>
      </w:r>
      <w:r w:rsidRPr="00404DA5">
        <w:rPr>
          <w:rFonts w:cs="Calibri"/>
          <w:szCs w:val="20"/>
        </w:rPr>
        <w:t xml:space="preserve">wysokości </w:t>
      </w:r>
      <w:r w:rsidRPr="000A135E">
        <w:rPr>
          <w:color w:val="000000"/>
          <w:szCs w:val="20"/>
        </w:rPr>
        <w:t>10 543 000 zł powinna</w:t>
      </w:r>
      <w:r w:rsidR="00E66B89">
        <w:rPr>
          <w:color w:val="000000"/>
          <w:szCs w:val="20"/>
        </w:rPr>
        <w:t xml:space="preserve"> w </w:t>
      </w:r>
      <w:r w:rsidRPr="000A135E">
        <w:rPr>
          <w:color w:val="000000"/>
          <w:szCs w:val="20"/>
        </w:rPr>
        <w:t xml:space="preserve">całości zostać </w:t>
      </w:r>
      <w:r>
        <w:rPr>
          <w:color w:val="000000"/>
          <w:szCs w:val="20"/>
        </w:rPr>
        <w:t>przeznaczona</w:t>
      </w:r>
      <w:r w:rsidRPr="000A135E">
        <w:rPr>
          <w:color w:val="000000"/>
          <w:szCs w:val="20"/>
        </w:rPr>
        <w:t xml:space="preserve"> na opracowanie dokumentacji wykonawczej modernizacji regionalnych linii kolejowych. </w:t>
      </w:r>
      <w:r>
        <w:rPr>
          <w:color w:val="000000"/>
          <w:szCs w:val="20"/>
        </w:rPr>
        <w:t>Jak wynika</w:t>
      </w:r>
      <w:r w:rsidR="00E66B89">
        <w:rPr>
          <w:color w:val="000000"/>
          <w:szCs w:val="20"/>
        </w:rPr>
        <w:t xml:space="preserve"> z </w:t>
      </w:r>
      <w:r>
        <w:rPr>
          <w:color w:val="000000"/>
          <w:szCs w:val="20"/>
        </w:rPr>
        <w:t>analiz benchmarkowych, województwa: opolskie, łódzkie, podkarpackie, warmińsko-mazurskie przyjmują to rozwiązanie jako czynnik zwiększający szansę wykonania inwestycji</w:t>
      </w:r>
      <w:r w:rsidR="00E66B89">
        <w:rPr>
          <w:color w:val="000000"/>
          <w:szCs w:val="20"/>
        </w:rPr>
        <w:t xml:space="preserve"> w </w:t>
      </w:r>
      <w:r>
        <w:rPr>
          <w:color w:val="000000"/>
          <w:szCs w:val="20"/>
        </w:rPr>
        <w:t xml:space="preserve">przyszłej perspektywie finansowej. </w:t>
      </w:r>
      <w:r w:rsidRPr="008B706B">
        <w:rPr>
          <w:b/>
          <w:color w:val="000000"/>
          <w:szCs w:val="20"/>
        </w:rPr>
        <w:t xml:space="preserve">REKOMENDACJA. Zaleca się </w:t>
      </w:r>
      <w:r>
        <w:rPr>
          <w:b/>
          <w:color w:val="000000"/>
          <w:szCs w:val="20"/>
        </w:rPr>
        <w:t>rozważenie przeznaczenia</w:t>
      </w:r>
      <w:r w:rsidRPr="008B706B">
        <w:rPr>
          <w:b/>
          <w:color w:val="000000"/>
          <w:szCs w:val="20"/>
        </w:rPr>
        <w:t xml:space="preserve"> niewykorzystanej alokacji PI 7d na </w:t>
      </w:r>
      <w:r>
        <w:rPr>
          <w:b/>
          <w:color w:val="000000"/>
          <w:szCs w:val="20"/>
        </w:rPr>
        <w:t xml:space="preserve">opracowanie dokumentacji wykonawczej na </w:t>
      </w:r>
      <w:r w:rsidRPr="008B706B">
        <w:rPr>
          <w:b/>
          <w:color w:val="000000"/>
          <w:szCs w:val="20"/>
        </w:rPr>
        <w:t xml:space="preserve">modernizację </w:t>
      </w:r>
      <w:r>
        <w:rPr>
          <w:b/>
          <w:color w:val="000000"/>
          <w:szCs w:val="20"/>
        </w:rPr>
        <w:t>kluczowej regionalnej linii kolejowej na potrzeby przyszłego okresu programowania</w:t>
      </w:r>
      <w:r w:rsidRPr="008B706B">
        <w:rPr>
          <w:b/>
          <w:color w:val="000000"/>
          <w:szCs w:val="20"/>
        </w:rPr>
        <w:t>.</w:t>
      </w:r>
    </w:p>
    <w:p w14:paraId="09348050"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Możliwości zarządzania środkami rezerwy wykonania</w:t>
      </w:r>
      <w:r w:rsidR="00E66B89">
        <w:rPr>
          <w:rFonts w:ascii="Lato" w:eastAsia="Calibri" w:hAnsi="Lato"/>
          <w:szCs w:val="20"/>
        </w:rPr>
        <w:t xml:space="preserve"> i </w:t>
      </w:r>
      <w:r w:rsidRPr="000A135E">
        <w:rPr>
          <w:rFonts w:ascii="Lato" w:eastAsia="Calibri" w:hAnsi="Lato"/>
          <w:szCs w:val="20"/>
        </w:rPr>
        <w:t>identyfikacja obszarów wymagających interwencji - podsumowanie</w:t>
      </w:r>
    </w:p>
    <w:p w14:paraId="3E2B38A2" w14:textId="77777777" w:rsidR="00EF2A15" w:rsidRPr="008B706B" w:rsidRDefault="00EF2A15" w:rsidP="00EF2A15">
      <w:pPr>
        <w:pStyle w:val="evaluTresc"/>
      </w:pPr>
      <w:r w:rsidRPr="008755C3">
        <w:t>W P</w:t>
      </w:r>
      <w:r w:rsidRPr="00BF6D9D">
        <w:t xml:space="preserve">I 7d prognozowane jest </w:t>
      </w:r>
      <w:r w:rsidRPr="008B706B">
        <w:rPr>
          <w:rFonts w:eastAsia="Times New Roman"/>
        </w:rPr>
        <w:t>osiągni</w:t>
      </w:r>
      <w:r w:rsidRPr="008B706B">
        <w:rPr>
          <w:bCs/>
        </w:rPr>
        <w:t>ę</w:t>
      </w:r>
      <w:r w:rsidRPr="008B706B">
        <w:rPr>
          <w:rFonts w:eastAsia="Times New Roman"/>
        </w:rPr>
        <w:t>cie</w:t>
      </w:r>
      <w:r w:rsidRPr="008B706B">
        <w:t xml:space="preserve"> celu końcowego Działania 5.6 oraz poważne niepowodzenie</w:t>
      </w:r>
      <w:r w:rsidR="00E66B89">
        <w:t xml:space="preserve"> w </w:t>
      </w:r>
      <w:r w:rsidRPr="008B706B">
        <w:t xml:space="preserve">realizacji celu końcowego Działania 5.5. Obecny stan kontraktacji oraz potencjał aplikacyjny potencjalnych beneficjentów nie pozwalają na dalsze osiąganie wskaźników programowych. PI 7d wykazuje niską wrażliwość na ewentualne zwiększenie dofinansowania. </w:t>
      </w:r>
      <w:r>
        <w:t>Ważne</w:t>
      </w:r>
      <w:r w:rsidRPr="008B706B">
        <w:t xml:space="preserve"> jest wykorzystanie możliwości opracowania dokumentacji wykonawczej na modernizacje linii kolejowych</w:t>
      </w:r>
      <w:r>
        <w:t>,</w:t>
      </w:r>
      <w:r w:rsidRPr="008B706B">
        <w:t xml:space="preserve"> istotnych dla rozwoju regionalnego transportu kolejowego</w:t>
      </w:r>
      <w:r>
        <w:t>,</w:t>
      </w:r>
      <w:r w:rsidR="00E66B89">
        <w:t xml:space="preserve"> w </w:t>
      </w:r>
      <w:r w:rsidRPr="008B706B">
        <w:t>ramach niewykorzystanej alokacji.</w:t>
      </w:r>
    </w:p>
    <w:p w14:paraId="1B2861D7" w14:textId="77777777" w:rsidR="00EF2A15" w:rsidRPr="007F116A" w:rsidRDefault="00EF2A15" w:rsidP="00EF2A15">
      <w:pPr>
        <w:pStyle w:val="evaluTresc"/>
      </w:pPr>
      <w:r w:rsidRPr="008B706B">
        <w:lastRenderedPageBreak/>
        <w:t>Biorąc pod uwagę obecny stan wdrażania Programu oraz niski potencjał aplikacyjny</w:t>
      </w:r>
      <w:r w:rsidR="00E66B89">
        <w:t xml:space="preserve"> w </w:t>
      </w:r>
      <w:r w:rsidRPr="008B706B">
        <w:t>obszarze modernizacji infrastruktury liniowej,</w:t>
      </w:r>
      <w:r w:rsidR="00E66B89">
        <w:t xml:space="preserve"> a </w:t>
      </w:r>
      <w:r w:rsidRPr="008755C3">
        <w:t xml:space="preserve">także zmianę metodologii obliczania wskaźnika </w:t>
      </w:r>
      <w:r w:rsidRPr="008B706B">
        <w:rPr>
          <w:i/>
        </w:rPr>
        <w:t>Liczba zakupionych lub zmodernizowanych jednostek taboru kolejowego</w:t>
      </w:r>
      <w:r>
        <w:rPr>
          <w:i/>
        </w:rPr>
        <w:t>,</w:t>
      </w:r>
      <w:r w:rsidRPr="008755C3">
        <w:t xml:space="preserve"> oba wskaź</w:t>
      </w:r>
      <w:r w:rsidRPr="00BF6D9D">
        <w:t xml:space="preserve">niki programowe wymagają modyfikacji wartości docelowej. </w:t>
      </w:r>
    </w:p>
    <w:p w14:paraId="773E376A" w14:textId="77777777" w:rsidR="00EF2A15" w:rsidRPr="000A135E" w:rsidRDefault="00EF2A15" w:rsidP="00754ED4">
      <w:pPr>
        <w:pStyle w:val="Legenda"/>
        <w:spacing w:after="0"/>
      </w:pPr>
      <w:bookmarkStart w:id="158" w:name="_Toc8824189"/>
      <w:r w:rsidRPr="000A135E">
        <w:t xml:space="preserve">Tabela </w:t>
      </w:r>
      <w:r>
        <w:fldChar w:fldCharType="begin"/>
      </w:r>
      <w:r>
        <w:instrText xml:space="preserve"> SEQ Tabela \* ARABIC </w:instrText>
      </w:r>
      <w:r>
        <w:fldChar w:fldCharType="separate"/>
      </w:r>
      <w:r w:rsidR="00763345">
        <w:rPr>
          <w:noProof/>
        </w:rPr>
        <w:t>78</w:t>
      </w:r>
      <w:r>
        <w:fldChar w:fldCharType="end"/>
      </w:r>
      <w:r w:rsidRPr="000A135E">
        <w:t xml:space="preserve"> Wskaźniki wymagające zmiany wartości – PI 7d</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806"/>
        <w:gridCol w:w="1179"/>
        <w:gridCol w:w="2165"/>
        <w:gridCol w:w="1807"/>
      </w:tblGrid>
      <w:tr w:rsidR="00EF2A15" w:rsidRPr="00B2711F" w14:paraId="5553AD61" w14:textId="77777777" w:rsidTr="00EF2A15">
        <w:trPr>
          <w:tblHeader/>
        </w:trPr>
        <w:tc>
          <w:tcPr>
            <w:tcW w:w="0" w:type="auto"/>
            <w:shd w:val="clear" w:color="auto" w:fill="DBE5F1"/>
            <w:vAlign w:val="center"/>
          </w:tcPr>
          <w:p w14:paraId="28E0D432"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0" w:type="auto"/>
            <w:shd w:val="clear" w:color="auto" w:fill="DBE5F1"/>
            <w:vAlign w:val="center"/>
          </w:tcPr>
          <w:p w14:paraId="54395136"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0" w:type="auto"/>
            <w:shd w:val="clear" w:color="auto" w:fill="DBE5F1"/>
            <w:vAlign w:val="center"/>
          </w:tcPr>
          <w:p w14:paraId="35ED76A9" w14:textId="77777777" w:rsidR="00EF2A15" w:rsidRPr="00404DA5" w:rsidRDefault="00EF2A15" w:rsidP="00EF2A15">
            <w:pPr>
              <w:jc w:val="center"/>
              <w:rPr>
                <w:rFonts w:cs="Calibri"/>
                <w:sz w:val="18"/>
                <w:szCs w:val="20"/>
              </w:rPr>
            </w:pPr>
            <w:r w:rsidRPr="00404DA5">
              <w:rPr>
                <w:rFonts w:cs="Calibri"/>
                <w:sz w:val="18"/>
                <w:szCs w:val="20"/>
              </w:rPr>
              <w:t>Jednostka pomiaru</w:t>
            </w:r>
          </w:p>
        </w:tc>
        <w:tc>
          <w:tcPr>
            <w:tcW w:w="0" w:type="auto"/>
            <w:shd w:val="clear" w:color="auto" w:fill="DBE5F1"/>
          </w:tcPr>
          <w:p w14:paraId="71EDF667" w14:textId="77777777" w:rsidR="00EF2A15" w:rsidRPr="00404DA5" w:rsidRDefault="00EF2A15" w:rsidP="00EF2A15">
            <w:pPr>
              <w:jc w:val="center"/>
              <w:rPr>
                <w:rFonts w:cs="Calibri"/>
                <w:sz w:val="18"/>
                <w:szCs w:val="20"/>
              </w:rPr>
            </w:pPr>
            <w:r w:rsidRPr="00404DA5">
              <w:rPr>
                <w:rFonts w:cs="Calibri"/>
                <w:sz w:val="18"/>
                <w:szCs w:val="20"/>
              </w:rPr>
              <w:t>Wartość docelowa na koniec 2023 r. (określona</w:t>
            </w:r>
            <w:r w:rsidR="00E66B89">
              <w:rPr>
                <w:rFonts w:cs="Calibri"/>
                <w:sz w:val="18"/>
                <w:szCs w:val="20"/>
              </w:rPr>
              <w:t xml:space="preserve"> w </w:t>
            </w:r>
            <w:r w:rsidRPr="00404DA5">
              <w:rPr>
                <w:rFonts w:cs="Calibri"/>
                <w:sz w:val="18"/>
                <w:szCs w:val="20"/>
              </w:rPr>
              <w:t>Programie)</w:t>
            </w:r>
          </w:p>
        </w:tc>
        <w:tc>
          <w:tcPr>
            <w:tcW w:w="0" w:type="auto"/>
            <w:shd w:val="clear" w:color="auto" w:fill="DBE5F1"/>
          </w:tcPr>
          <w:p w14:paraId="5112B26C" w14:textId="77777777" w:rsidR="00EF2A15" w:rsidRPr="00404DA5" w:rsidRDefault="00EF2A15" w:rsidP="00EF2A15">
            <w:pPr>
              <w:jc w:val="center"/>
              <w:rPr>
                <w:rFonts w:cs="Calibri"/>
                <w:sz w:val="18"/>
                <w:szCs w:val="20"/>
              </w:rPr>
            </w:pPr>
            <w:r>
              <w:rPr>
                <w:rFonts w:cs="Calibri"/>
                <w:sz w:val="16"/>
                <w:szCs w:val="16"/>
              </w:rPr>
              <w:t>Proponowana w</w:t>
            </w:r>
            <w:r w:rsidRPr="00404DA5">
              <w:rPr>
                <w:rFonts w:cs="Calibri"/>
                <w:sz w:val="16"/>
                <w:szCs w:val="16"/>
              </w:rPr>
              <w:t>artość docelowa na koniec 2023 r.</w:t>
            </w:r>
          </w:p>
        </w:tc>
      </w:tr>
      <w:tr w:rsidR="00EF2A15" w:rsidRPr="00B2711F" w14:paraId="2534E95D" w14:textId="77777777" w:rsidTr="00EF2A15">
        <w:tc>
          <w:tcPr>
            <w:tcW w:w="0" w:type="auto"/>
            <w:shd w:val="clear" w:color="auto" w:fill="auto"/>
            <w:vAlign w:val="center"/>
          </w:tcPr>
          <w:p w14:paraId="062F3B68" w14:textId="77777777" w:rsidR="00EF2A15" w:rsidRPr="00404DA5" w:rsidRDefault="00EF2A15" w:rsidP="00EF2A15">
            <w:pPr>
              <w:jc w:val="center"/>
              <w:rPr>
                <w:rFonts w:eastAsia="Calibri" w:cs="Calibri"/>
                <w:sz w:val="18"/>
                <w:szCs w:val="20"/>
              </w:rPr>
            </w:pPr>
            <w:r w:rsidRPr="00404DA5">
              <w:rPr>
                <w:rFonts w:cs="Calibri"/>
                <w:sz w:val="18"/>
                <w:szCs w:val="20"/>
              </w:rPr>
              <w:t>WP</w:t>
            </w:r>
          </w:p>
        </w:tc>
        <w:tc>
          <w:tcPr>
            <w:tcW w:w="0" w:type="auto"/>
            <w:shd w:val="clear" w:color="auto" w:fill="auto"/>
          </w:tcPr>
          <w:p w14:paraId="5D06BE1A" w14:textId="77777777" w:rsidR="00EF2A15" w:rsidRPr="00404DA5" w:rsidRDefault="00EF2A15" w:rsidP="00EF2A15">
            <w:pPr>
              <w:jc w:val="center"/>
              <w:rPr>
                <w:rFonts w:eastAsia="Calibri" w:cs="Calibri"/>
                <w:sz w:val="18"/>
                <w:szCs w:val="20"/>
              </w:rPr>
            </w:pPr>
            <w:r w:rsidRPr="00404DA5">
              <w:rPr>
                <w:rFonts w:cs="Calibri"/>
                <w:sz w:val="18"/>
                <w:szCs w:val="20"/>
              </w:rPr>
              <w:t>Liczba zakupionych lub zmodernizowanych jednostek taboru kolejowego</w:t>
            </w:r>
          </w:p>
        </w:tc>
        <w:tc>
          <w:tcPr>
            <w:tcW w:w="0" w:type="auto"/>
            <w:shd w:val="clear" w:color="auto" w:fill="auto"/>
            <w:vAlign w:val="center"/>
          </w:tcPr>
          <w:p w14:paraId="66B7C38F" w14:textId="77777777" w:rsidR="00EF2A15" w:rsidRPr="00404DA5" w:rsidRDefault="00EF2A15" w:rsidP="00EF2A15">
            <w:pPr>
              <w:jc w:val="center"/>
              <w:rPr>
                <w:rFonts w:eastAsia="Calibri" w:cs="Calibri"/>
                <w:sz w:val="18"/>
                <w:szCs w:val="20"/>
              </w:rPr>
            </w:pPr>
            <w:r w:rsidRPr="00404DA5">
              <w:rPr>
                <w:rFonts w:eastAsia="Calibri" w:cs="Calibri"/>
                <w:sz w:val="18"/>
                <w:szCs w:val="20"/>
              </w:rPr>
              <w:t>Sztuk</w:t>
            </w:r>
          </w:p>
        </w:tc>
        <w:tc>
          <w:tcPr>
            <w:tcW w:w="0" w:type="auto"/>
            <w:shd w:val="clear" w:color="auto" w:fill="auto"/>
            <w:vAlign w:val="center"/>
          </w:tcPr>
          <w:p w14:paraId="32D6362B" w14:textId="77777777" w:rsidR="00EF2A15" w:rsidRPr="00404DA5" w:rsidRDefault="00EF2A15" w:rsidP="00EF2A15">
            <w:pPr>
              <w:jc w:val="center"/>
              <w:rPr>
                <w:rFonts w:eastAsia="Calibri" w:cs="Calibri"/>
                <w:sz w:val="18"/>
                <w:szCs w:val="20"/>
              </w:rPr>
            </w:pPr>
            <w:r w:rsidRPr="00404DA5">
              <w:rPr>
                <w:rFonts w:cs="Calibri"/>
                <w:sz w:val="18"/>
                <w:szCs w:val="20"/>
              </w:rPr>
              <w:t>25</w:t>
            </w:r>
          </w:p>
        </w:tc>
        <w:tc>
          <w:tcPr>
            <w:tcW w:w="0" w:type="auto"/>
            <w:shd w:val="clear" w:color="auto" w:fill="auto"/>
            <w:vAlign w:val="center"/>
          </w:tcPr>
          <w:p w14:paraId="5EE8D4B4" w14:textId="77777777" w:rsidR="00EF2A15" w:rsidRPr="00404DA5" w:rsidRDefault="00EF2A15" w:rsidP="00EF2A15">
            <w:pPr>
              <w:jc w:val="center"/>
              <w:rPr>
                <w:rFonts w:eastAsia="Calibri" w:cs="Calibri"/>
                <w:sz w:val="18"/>
                <w:szCs w:val="20"/>
              </w:rPr>
            </w:pPr>
            <w:r w:rsidRPr="00404DA5">
              <w:rPr>
                <w:rFonts w:cs="Calibri"/>
                <w:sz w:val="18"/>
                <w:szCs w:val="20"/>
              </w:rPr>
              <w:t>105</w:t>
            </w:r>
          </w:p>
        </w:tc>
      </w:tr>
      <w:tr w:rsidR="00EF2A15" w:rsidRPr="00B2711F" w14:paraId="6F6CF296" w14:textId="77777777" w:rsidTr="00EF2A15">
        <w:tc>
          <w:tcPr>
            <w:tcW w:w="0" w:type="auto"/>
            <w:shd w:val="clear" w:color="auto" w:fill="auto"/>
            <w:vAlign w:val="center"/>
          </w:tcPr>
          <w:p w14:paraId="79E964CE" w14:textId="77777777" w:rsidR="00EF2A15" w:rsidRPr="00404DA5" w:rsidRDefault="00EF2A15" w:rsidP="00EF2A15">
            <w:pPr>
              <w:jc w:val="center"/>
              <w:rPr>
                <w:rFonts w:eastAsia="Calibri" w:cs="Calibri"/>
                <w:sz w:val="18"/>
                <w:szCs w:val="20"/>
              </w:rPr>
            </w:pPr>
            <w:r w:rsidRPr="00404DA5">
              <w:rPr>
                <w:rFonts w:cs="Calibri"/>
                <w:sz w:val="18"/>
                <w:szCs w:val="20"/>
              </w:rPr>
              <w:t>WP</w:t>
            </w:r>
          </w:p>
        </w:tc>
        <w:tc>
          <w:tcPr>
            <w:tcW w:w="0" w:type="auto"/>
            <w:shd w:val="clear" w:color="auto" w:fill="auto"/>
          </w:tcPr>
          <w:p w14:paraId="09CD32BE" w14:textId="77777777" w:rsidR="00EF2A15" w:rsidRPr="00404DA5" w:rsidRDefault="00EF2A15" w:rsidP="00EF2A15">
            <w:pPr>
              <w:jc w:val="center"/>
              <w:rPr>
                <w:rFonts w:eastAsia="Calibri" w:cs="Calibri"/>
                <w:sz w:val="18"/>
                <w:szCs w:val="20"/>
              </w:rPr>
            </w:pPr>
            <w:r w:rsidRPr="00404DA5">
              <w:rPr>
                <w:rFonts w:cs="Calibri"/>
                <w:sz w:val="18"/>
                <w:szCs w:val="20"/>
              </w:rPr>
              <w:t>Całkowita długość przebudowanych lub zmodernizowanych linii kolejowych</w:t>
            </w:r>
          </w:p>
        </w:tc>
        <w:tc>
          <w:tcPr>
            <w:tcW w:w="0" w:type="auto"/>
            <w:shd w:val="clear" w:color="auto" w:fill="auto"/>
            <w:vAlign w:val="center"/>
          </w:tcPr>
          <w:p w14:paraId="202058E6" w14:textId="77777777" w:rsidR="00EF2A15" w:rsidRPr="00404DA5" w:rsidRDefault="00EF2A15" w:rsidP="00EF2A15">
            <w:pPr>
              <w:jc w:val="center"/>
              <w:rPr>
                <w:rFonts w:eastAsia="Calibri" w:cs="Calibri"/>
                <w:sz w:val="18"/>
                <w:szCs w:val="20"/>
              </w:rPr>
            </w:pPr>
            <w:r w:rsidRPr="00404DA5">
              <w:rPr>
                <w:rFonts w:eastAsia="Calibri" w:cs="Calibri"/>
                <w:sz w:val="18"/>
                <w:szCs w:val="20"/>
              </w:rPr>
              <w:t>Km</w:t>
            </w:r>
          </w:p>
        </w:tc>
        <w:tc>
          <w:tcPr>
            <w:tcW w:w="0" w:type="auto"/>
            <w:shd w:val="clear" w:color="auto" w:fill="auto"/>
            <w:vAlign w:val="center"/>
          </w:tcPr>
          <w:p w14:paraId="13FF3A09" w14:textId="77777777" w:rsidR="00EF2A15" w:rsidRPr="00404DA5" w:rsidRDefault="00EF2A15" w:rsidP="00EF2A15">
            <w:pPr>
              <w:jc w:val="center"/>
              <w:rPr>
                <w:rFonts w:eastAsia="Calibri" w:cs="Calibri"/>
                <w:sz w:val="18"/>
                <w:szCs w:val="20"/>
              </w:rPr>
            </w:pPr>
            <w:r w:rsidRPr="00404DA5">
              <w:rPr>
                <w:rFonts w:cs="Calibri"/>
                <w:sz w:val="18"/>
                <w:szCs w:val="20"/>
              </w:rPr>
              <w:t>88</w:t>
            </w:r>
          </w:p>
        </w:tc>
        <w:tc>
          <w:tcPr>
            <w:tcW w:w="0" w:type="auto"/>
            <w:shd w:val="clear" w:color="auto" w:fill="auto"/>
            <w:vAlign w:val="center"/>
          </w:tcPr>
          <w:p w14:paraId="416233E0" w14:textId="77777777" w:rsidR="00EF2A15" w:rsidRPr="00404DA5" w:rsidRDefault="00EF2A15" w:rsidP="00EF2A15">
            <w:pPr>
              <w:jc w:val="center"/>
              <w:rPr>
                <w:rFonts w:eastAsia="Calibri" w:cs="Calibri"/>
                <w:sz w:val="18"/>
                <w:szCs w:val="20"/>
              </w:rPr>
            </w:pPr>
            <w:r w:rsidRPr="00404DA5">
              <w:rPr>
                <w:rFonts w:cs="Calibri"/>
                <w:sz w:val="18"/>
                <w:szCs w:val="20"/>
              </w:rPr>
              <w:t>51,41</w:t>
            </w:r>
          </w:p>
        </w:tc>
      </w:tr>
    </w:tbl>
    <w:p w14:paraId="41A35902"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analizy własne.</w:t>
      </w:r>
    </w:p>
    <w:p w14:paraId="329A6696" w14:textId="77777777" w:rsidR="00EF2A15" w:rsidRPr="008B706B" w:rsidRDefault="00EF2A15" w:rsidP="00EF2A15">
      <w:pPr>
        <w:pStyle w:val="evaluTresc"/>
      </w:pPr>
      <w:r>
        <w:t>Analiza zakresu przedmiotowego interwencji PI 7d wskazuje na pełne uwzględnienie typów projektów przewidzianych do realizacji</w:t>
      </w:r>
      <w:r w:rsidR="00E66B89">
        <w:t xml:space="preserve"> w </w:t>
      </w:r>
      <w:r>
        <w:t xml:space="preserve">ramach PI 7d. Projekt modernizacji linii kolejowej </w:t>
      </w:r>
      <w:r w:rsidRPr="000A135E">
        <w:t>210 na odcinku Runowo Pomorskie – Szczecinek</w:t>
      </w:r>
      <w:r>
        <w:t xml:space="preserve"> obejmuje również inwestycje</w:t>
      </w:r>
      <w:r w:rsidR="00E66B89">
        <w:t xml:space="preserve"> w </w:t>
      </w:r>
      <w:r>
        <w:t>infrastrukturę punktową, planowane są także prace zwiększające bezpieczeństwo przejazdu. Nie zidentyfikowano typów działań, które nie zostałyby ujęte</w:t>
      </w:r>
      <w:r w:rsidR="00E66B89">
        <w:t xml:space="preserve"> w </w:t>
      </w:r>
      <w:r>
        <w:t xml:space="preserve">realizowanych interwencjach. </w:t>
      </w:r>
    </w:p>
    <w:p w14:paraId="685E5F8F" w14:textId="77777777" w:rsidR="00EF2A15" w:rsidRPr="000A135E" w:rsidRDefault="00EF2A15" w:rsidP="00EF2A15">
      <w:pPr>
        <w:pStyle w:val="Nagwek3"/>
      </w:pPr>
      <w:r w:rsidRPr="000A135E">
        <w:t>Priorytet inwestycyjny 7c (Działanie 5.7)</w:t>
      </w:r>
    </w:p>
    <w:p w14:paraId="0784CD57"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Ocena postępów</w:t>
      </w:r>
      <w:r w:rsidR="00E66B89">
        <w:rPr>
          <w:rFonts w:ascii="Lato" w:eastAsia="Calibri" w:hAnsi="Lato"/>
          <w:szCs w:val="20"/>
        </w:rPr>
        <w:t xml:space="preserve"> w </w:t>
      </w:r>
      <w:r w:rsidRPr="000A135E">
        <w:rPr>
          <w:rFonts w:ascii="Lato" w:eastAsia="Calibri" w:hAnsi="Lato"/>
          <w:szCs w:val="20"/>
        </w:rPr>
        <w:t xml:space="preserve">realizacji PI </w:t>
      </w:r>
    </w:p>
    <w:p w14:paraId="0CC634A9" w14:textId="77777777" w:rsidR="00EF2A15" w:rsidRPr="000A135E" w:rsidRDefault="00EF2A15" w:rsidP="00EF2A15">
      <w:pPr>
        <w:pStyle w:val="evaluTresc"/>
      </w:pPr>
      <w:r w:rsidRPr="000A135E">
        <w:t xml:space="preserve">Priorytet Inwestycyjny 7c </w:t>
      </w:r>
      <w:r w:rsidRPr="008B706B">
        <w:rPr>
          <w:i/>
        </w:rPr>
        <w:t>Transport multimodalny, infrastruktura usług żeglownych</w:t>
      </w:r>
      <w:r w:rsidRPr="000A135E">
        <w:t xml:space="preserve"> realizowany jest</w:t>
      </w:r>
      <w:r w:rsidR="00E66B89">
        <w:t xml:space="preserve"> w </w:t>
      </w:r>
      <w:r w:rsidRPr="000A135E">
        <w:t xml:space="preserve">ramach Działania 5.7. </w:t>
      </w:r>
      <w:r w:rsidRPr="008B706B">
        <w:rPr>
          <w:i/>
        </w:rPr>
        <w:t>Budowa, rozbudowa lub modernizacja ogólnodostępnej infrastruktury szlaków żeglownych, utrzymanie dróg wodnych prowadzących do portów, monitoring dróg wodnych,</w:t>
      </w:r>
      <w:r w:rsidR="00E66B89">
        <w:rPr>
          <w:i/>
        </w:rPr>
        <w:t xml:space="preserve"> w </w:t>
      </w:r>
      <w:r w:rsidRPr="008B706B">
        <w:rPr>
          <w:i/>
        </w:rPr>
        <w:t>tym związany</w:t>
      </w:r>
      <w:r w:rsidR="00E66B89">
        <w:rPr>
          <w:i/>
        </w:rPr>
        <w:t xml:space="preserve"> z </w:t>
      </w:r>
      <w:r w:rsidRPr="008B706B">
        <w:rPr>
          <w:i/>
        </w:rPr>
        <w:t>systemami zarządzania ruchem</w:t>
      </w:r>
      <w:r w:rsidRPr="000A135E">
        <w:t>.</w:t>
      </w:r>
      <w:r w:rsidR="00E66B89">
        <w:t xml:space="preserve"> W </w:t>
      </w:r>
      <w:r w:rsidRPr="000A135E">
        <w:t>Priorytecie tym</w:t>
      </w:r>
      <w:r>
        <w:t>,</w:t>
      </w:r>
      <w:r w:rsidRPr="000A135E">
        <w:t xml:space="preserve"> do dnia 07.01.2019 roku</w:t>
      </w:r>
      <w:r>
        <w:t>,</w:t>
      </w:r>
      <w:r w:rsidRPr="000A135E">
        <w:t xml:space="preserve"> realizowanych jest 6 projektów. Łącznie zakontraktowano </w:t>
      </w:r>
      <w:r w:rsidRPr="000A135E">
        <w:rPr>
          <w:rFonts w:eastAsia="Times New Roman"/>
          <w:color w:val="000000"/>
          <w:lang w:eastAsia="pl-PL"/>
        </w:rPr>
        <w:t>42 125 594,40 zł</w:t>
      </w:r>
      <w:r>
        <w:rPr>
          <w:rFonts w:eastAsia="Times New Roman"/>
          <w:color w:val="000000"/>
          <w:lang w:eastAsia="pl-PL"/>
        </w:rPr>
        <w:t>,</w:t>
      </w:r>
      <w:r w:rsidRPr="000A135E">
        <w:rPr>
          <w:rFonts w:eastAsia="Times New Roman"/>
          <w:color w:val="000000"/>
          <w:lang w:eastAsia="pl-PL"/>
        </w:rPr>
        <w:t xml:space="preserve"> czyli 97,9% całkowitej alokacji przeznaczonej na PI 7c (również do tego Priorytetu nie przyporządkowano rezerwy wykonania).</w:t>
      </w:r>
    </w:p>
    <w:p w14:paraId="2ADEF7C2" w14:textId="77777777" w:rsidR="00EF2A15" w:rsidRPr="000A135E" w:rsidRDefault="00EF2A15" w:rsidP="00EF2A15">
      <w:pPr>
        <w:pStyle w:val="evaluTresc"/>
      </w:pPr>
      <w:r w:rsidRPr="000A135E">
        <w:t>Interwencje Działania 5.7. wdrażane są</w:t>
      </w:r>
      <w:r w:rsidR="00E66B89">
        <w:t xml:space="preserve"> w </w:t>
      </w:r>
      <w:r w:rsidRPr="000A135E">
        <w:t>trybie pozakonkursowym. Na dzień 07.01.2019 roku zidentyfikowano 6 projektów pozakonkursowych,</w:t>
      </w:r>
      <w:r w:rsidR="00E66B89">
        <w:t xml:space="preserve"> z </w:t>
      </w:r>
      <w:r w:rsidRPr="000A135E">
        <w:t>których wszystkie znajdują się</w:t>
      </w:r>
      <w:r w:rsidR="00E66B89">
        <w:t xml:space="preserve"> w </w:t>
      </w:r>
      <w:r w:rsidRPr="000A135E">
        <w:t>fazie realizacji.</w:t>
      </w:r>
      <w:r w:rsidR="00E66B89">
        <w:t xml:space="preserve"> W </w:t>
      </w:r>
      <w:r w:rsidRPr="000A135E">
        <w:t>projektach tych założono zmodernizowanie lub utworzenie 155 km śródlądowych dróg wodnych (co stanowi 1</w:t>
      </w:r>
      <w:r>
        <w:t xml:space="preserve"> </w:t>
      </w:r>
      <w:r w:rsidRPr="000A135E">
        <w:t>553% zakładanej wartości docelowej wskaźnika programowego), zmodernizowanie 6,1 km torów wodnych</w:t>
      </w:r>
      <w:r w:rsidR="00E66B89">
        <w:t xml:space="preserve"> i </w:t>
      </w:r>
      <w:r w:rsidRPr="000A135E">
        <w:t>podejściowych, zakupienie 187 elementów oznakowania nawigacyjnego śródlądowych szlaków żeglownych, zakupienie 5 jednostek pływających służących poprawie bezpieczeństwa żeglugi, zmodernizowanie 1 systemu monitoringu wizyjnego śródlądowych dróg wodnych typu RIS oraz zmodernizowanie 1 systemu monitorowania ruchu statków typu AIS. Biorąc pod uwagę, iż na etapie programowania założono, że</w:t>
      </w:r>
      <w:r w:rsidR="00E66B89">
        <w:t xml:space="preserve"> w </w:t>
      </w:r>
      <w:r w:rsidRPr="000A135E">
        <w:t xml:space="preserve">ramach przeprowadzonych inwestycji </w:t>
      </w:r>
      <w:r w:rsidRPr="000A135E">
        <w:rPr>
          <w:rFonts w:eastAsia="Times New Roman" w:cs="Calibri"/>
          <w:color w:val="000000"/>
          <w:lang w:eastAsia="pl-PL"/>
        </w:rPr>
        <w:t>zostanie ulepszonych lub utworzonych</w:t>
      </w:r>
      <w:r w:rsidRPr="000A135E">
        <w:t xml:space="preserve"> 10 km śródlądowych dróg wodnych realizowane projekty gwarantują osiągnięcie</w:t>
      </w:r>
      <w:r>
        <w:t xml:space="preserve"> </w:t>
      </w:r>
      <w:r w:rsidRPr="000A135E">
        <w:t>celu Działania 5.7. Tempo osiągania wskaźników</w:t>
      </w:r>
      <w:r w:rsidR="00E66B89">
        <w:t xml:space="preserve"> w </w:t>
      </w:r>
      <w:r w:rsidRPr="000A135E">
        <w:t>projektach oraz tempo wydatkowania środków jest zgodne</w:t>
      </w:r>
      <w:r w:rsidR="00E66B89">
        <w:t xml:space="preserve"> z </w:t>
      </w:r>
      <w:r w:rsidRPr="000A135E">
        <w:t>harmonogramem.</w:t>
      </w:r>
    </w:p>
    <w:p w14:paraId="46D3A870" w14:textId="77777777" w:rsidR="00EF2A15" w:rsidRDefault="00EF2A15" w:rsidP="00EF2A15">
      <w:pPr>
        <w:rPr>
          <w:rFonts w:eastAsia="Lato"/>
          <w:szCs w:val="20"/>
        </w:rPr>
      </w:pPr>
      <w:r w:rsidRPr="000A135E">
        <w:rPr>
          <w:szCs w:val="20"/>
        </w:rPr>
        <w:t>Przekroczenie zakładanej wartości docelowej wskaźnika programowego wynika</w:t>
      </w:r>
      <w:r w:rsidR="00E66B89">
        <w:rPr>
          <w:szCs w:val="20"/>
        </w:rPr>
        <w:t xml:space="preserve"> z </w:t>
      </w:r>
      <w:r w:rsidRPr="000A135E">
        <w:rPr>
          <w:szCs w:val="20"/>
        </w:rPr>
        <w:t xml:space="preserve">niewłaściwie oszacowanych kosztów jednostkowych jego pozyskiwania. Realny koszt jednostkowy ulepszenia lub utworzenia 1 km dróg wodnych stanowi </w:t>
      </w:r>
      <w:r w:rsidRPr="000A135E">
        <w:rPr>
          <w:color w:val="000000"/>
          <w:szCs w:val="20"/>
        </w:rPr>
        <w:t>277 600 wobec 4</w:t>
      </w:r>
      <w:r>
        <w:rPr>
          <w:color w:val="000000"/>
          <w:szCs w:val="20"/>
        </w:rPr>
        <w:t> </w:t>
      </w:r>
      <w:r w:rsidRPr="000A135E">
        <w:rPr>
          <w:color w:val="000000"/>
          <w:szCs w:val="20"/>
        </w:rPr>
        <w:t>302</w:t>
      </w:r>
      <w:r>
        <w:rPr>
          <w:color w:val="000000"/>
          <w:szCs w:val="20"/>
        </w:rPr>
        <w:t xml:space="preserve"> </w:t>
      </w:r>
      <w:r w:rsidRPr="000A135E">
        <w:rPr>
          <w:color w:val="000000"/>
          <w:szCs w:val="20"/>
        </w:rPr>
        <w:t xml:space="preserve">800 zł zakładanych na etapie </w:t>
      </w:r>
      <w:r w:rsidRPr="000A135E">
        <w:rPr>
          <w:color w:val="000000"/>
          <w:szCs w:val="20"/>
        </w:rPr>
        <w:lastRenderedPageBreak/>
        <w:t>programowania. Należy</w:t>
      </w:r>
      <w:r w:rsidR="00E66B89">
        <w:rPr>
          <w:color w:val="000000"/>
          <w:szCs w:val="20"/>
        </w:rPr>
        <w:t xml:space="preserve"> w </w:t>
      </w:r>
      <w:r w:rsidRPr="000A135E">
        <w:rPr>
          <w:color w:val="000000"/>
          <w:szCs w:val="20"/>
        </w:rPr>
        <w:t>tym miejscu podkreślić, że szacunki kosztów jednostkowych na etapie programowania zostały przeprowadzone przez potencjalnych beneficjentów. Zmiana strategii biznesowej, przeprowadzenie dwóch inwestycji na jednym torze wodnym przyczyniło się do zaangażowania</w:t>
      </w:r>
      <w:r>
        <w:rPr>
          <w:color w:val="000000"/>
          <w:szCs w:val="20"/>
        </w:rPr>
        <w:t xml:space="preserve"> znacznie</w:t>
      </w:r>
      <w:r w:rsidRPr="000A135E">
        <w:rPr>
          <w:color w:val="000000"/>
          <w:szCs w:val="20"/>
        </w:rPr>
        <w:t xml:space="preserve"> mniejszych środków</w:t>
      </w:r>
      <w:r>
        <w:rPr>
          <w:color w:val="000000"/>
          <w:szCs w:val="20"/>
        </w:rPr>
        <w:t>,</w:t>
      </w:r>
      <w:r w:rsidRPr="000A135E">
        <w:rPr>
          <w:color w:val="000000"/>
          <w:szCs w:val="20"/>
        </w:rPr>
        <w:t xml:space="preserve"> niż </w:t>
      </w:r>
      <w:r>
        <w:rPr>
          <w:color w:val="000000"/>
          <w:szCs w:val="20"/>
        </w:rPr>
        <w:t xml:space="preserve">pierwotnie </w:t>
      </w:r>
      <w:r w:rsidRPr="000A135E">
        <w:rPr>
          <w:color w:val="000000"/>
          <w:szCs w:val="20"/>
        </w:rPr>
        <w:t xml:space="preserve">zakładano. </w:t>
      </w:r>
    </w:p>
    <w:p w14:paraId="40F1BE28" w14:textId="77777777" w:rsidR="00EF2A15" w:rsidRPr="000A135E" w:rsidRDefault="00EF2A15" w:rsidP="00754ED4">
      <w:pPr>
        <w:pStyle w:val="Legenda"/>
        <w:spacing w:after="0"/>
      </w:pPr>
      <w:bookmarkStart w:id="159" w:name="_Toc8824190"/>
      <w:r w:rsidRPr="000A135E">
        <w:t xml:space="preserve">Tabela </w:t>
      </w:r>
      <w:r>
        <w:fldChar w:fldCharType="begin"/>
      </w:r>
      <w:r>
        <w:instrText xml:space="preserve"> SEQ Tabela \* ARABIC </w:instrText>
      </w:r>
      <w:r>
        <w:fldChar w:fldCharType="separate"/>
      </w:r>
      <w:r w:rsidR="00763345">
        <w:rPr>
          <w:noProof/>
        </w:rPr>
        <w:t>79</w:t>
      </w:r>
      <w:r>
        <w:fldChar w:fldCharType="end"/>
      </w:r>
      <w:r w:rsidRPr="000A135E">
        <w:t xml:space="preserve"> Wskaźniki produktu</w:t>
      </w:r>
      <w:r>
        <w:t xml:space="preserve"> </w:t>
      </w:r>
      <w:r w:rsidRPr="000A135E">
        <w:t>(PI 7c) – postęp rzeczowy</w:t>
      </w:r>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28"/>
        <w:gridCol w:w="1293"/>
        <w:gridCol w:w="858"/>
        <w:gridCol w:w="959"/>
        <w:gridCol w:w="1005"/>
        <w:gridCol w:w="1005"/>
        <w:gridCol w:w="1005"/>
        <w:gridCol w:w="1005"/>
      </w:tblGrid>
      <w:tr w:rsidR="00EF2A15" w:rsidRPr="00B2711F" w14:paraId="3A81D8FF" w14:textId="77777777" w:rsidTr="00983C73">
        <w:trPr>
          <w:tblHeader/>
        </w:trPr>
        <w:tc>
          <w:tcPr>
            <w:tcW w:w="704" w:type="dxa"/>
            <w:shd w:val="clear" w:color="auto" w:fill="DBE5F1"/>
            <w:vAlign w:val="center"/>
          </w:tcPr>
          <w:p w14:paraId="1518ECD6"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1228" w:type="dxa"/>
            <w:shd w:val="clear" w:color="auto" w:fill="DBE5F1"/>
            <w:vAlign w:val="center"/>
          </w:tcPr>
          <w:p w14:paraId="78427B38" w14:textId="77777777" w:rsidR="00EF2A15" w:rsidRPr="00404DA5" w:rsidRDefault="00EF2A15" w:rsidP="00EF2A15">
            <w:pPr>
              <w:jc w:val="center"/>
              <w:rPr>
                <w:rFonts w:cs="Calibri"/>
                <w:sz w:val="18"/>
                <w:szCs w:val="20"/>
              </w:rPr>
            </w:pPr>
            <w:r w:rsidRPr="00404DA5">
              <w:rPr>
                <w:rFonts w:cs="Calibri"/>
                <w:sz w:val="18"/>
                <w:szCs w:val="20"/>
              </w:rPr>
              <w:t>Działania</w:t>
            </w:r>
          </w:p>
        </w:tc>
        <w:tc>
          <w:tcPr>
            <w:tcW w:w="1293" w:type="dxa"/>
            <w:shd w:val="clear" w:color="auto" w:fill="DBE5F1"/>
            <w:vAlign w:val="center"/>
          </w:tcPr>
          <w:p w14:paraId="297E1D5D"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858" w:type="dxa"/>
            <w:shd w:val="clear" w:color="auto" w:fill="DBE5F1"/>
            <w:vAlign w:val="center"/>
          </w:tcPr>
          <w:p w14:paraId="663942BD" w14:textId="77777777" w:rsidR="00EF2A15" w:rsidRPr="00404DA5" w:rsidRDefault="00EF2A15" w:rsidP="00EF2A15">
            <w:pPr>
              <w:jc w:val="center"/>
              <w:rPr>
                <w:rFonts w:cs="Calibri"/>
                <w:sz w:val="18"/>
                <w:szCs w:val="20"/>
              </w:rPr>
            </w:pPr>
            <w:r w:rsidRPr="00404DA5">
              <w:rPr>
                <w:rFonts w:cs="Calibri"/>
                <w:sz w:val="18"/>
                <w:szCs w:val="20"/>
              </w:rPr>
              <w:t>Jedn. Pomiaru</w:t>
            </w:r>
          </w:p>
        </w:tc>
        <w:tc>
          <w:tcPr>
            <w:tcW w:w="959" w:type="dxa"/>
            <w:shd w:val="clear" w:color="auto" w:fill="DBE5F1"/>
            <w:vAlign w:val="center"/>
          </w:tcPr>
          <w:p w14:paraId="3DC23137" w14:textId="77777777" w:rsidR="00EF2A15" w:rsidRPr="00404DA5" w:rsidRDefault="00EF2A15" w:rsidP="00EF2A15">
            <w:pPr>
              <w:jc w:val="center"/>
              <w:rPr>
                <w:rFonts w:cs="Calibri"/>
                <w:sz w:val="18"/>
                <w:szCs w:val="20"/>
              </w:rPr>
            </w:pPr>
            <w:r w:rsidRPr="00404DA5">
              <w:rPr>
                <w:rFonts w:cs="Calibri"/>
                <w:sz w:val="18"/>
                <w:szCs w:val="20"/>
              </w:rPr>
              <w:t>Wartość docelowa (2023)</w:t>
            </w:r>
          </w:p>
        </w:tc>
        <w:tc>
          <w:tcPr>
            <w:tcW w:w="1005" w:type="dxa"/>
            <w:shd w:val="clear" w:color="auto" w:fill="DBE5F1"/>
            <w:vAlign w:val="center"/>
          </w:tcPr>
          <w:p w14:paraId="5DE6DBAD" w14:textId="77777777" w:rsidR="00EF2A15" w:rsidRPr="00404DA5" w:rsidRDefault="00EF2A15" w:rsidP="00EF2A15">
            <w:pPr>
              <w:jc w:val="center"/>
              <w:rPr>
                <w:rFonts w:cs="Calibri"/>
                <w:sz w:val="18"/>
                <w:szCs w:val="20"/>
              </w:rPr>
            </w:pPr>
            <w:r w:rsidRPr="00404DA5">
              <w:rPr>
                <w:rFonts w:cs="Calibri"/>
                <w:sz w:val="18"/>
                <w:szCs w:val="20"/>
              </w:rPr>
              <w:t>Realizacja wskaźnika (wg UoD)</w:t>
            </w:r>
          </w:p>
        </w:tc>
        <w:tc>
          <w:tcPr>
            <w:tcW w:w="1005" w:type="dxa"/>
            <w:shd w:val="clear" w:color="auto" w:fill="DBE5F1"/>
            <w:vAlign w:val="center"/>
          </w:tcPr>
          <w:p w14:paraId="7C866DBC" w14:textId="77777777" w:rsidR="00EF2A15" w:rsidRPr="00404DA5" w:rsidRDefault="00EF2A15" w:rsidP="00EF2A15">
            <w:pPr>
              <w:jc w:val="center"/>
              <w:rPr>
                <w:rFonts w:cs="Calibri"/>
                <w:sz w:val="18"/>
                <w:szCs w:val="20"/>
              </w:rPr>
            </w:pPr>
            <w:r w:rsidRPr="00404DA5">
              <w:rPr>
                <w:rFonts w:cs="Calibri"/>
                <w:sz w:val="18"/>
                <w:szCs w:val="20"/>
              </w:rPr>
              <w:t>% realizacji wartości docelowej (wg UoD)</w:t>
            </w:r>
          </w:p>
        </w:tc>
        <w:tc>
          <w:tcPr>
            <w:tcW w:w="1005" w:type="dxa"/>
            <w:shd w:val="clear" w:color="auto" w:fill="DBE5F1"/>
            <w:vAlign w:val="center"/>
          </w:tcPr>
          <w:p w14:paraId="4C2CC918" w14:textId="77777777" w:rsidR="00EF2A15" w:rsidRPr="00404DA5" w:rsidRDefault="00EF2A15" w:rsidP="00EF2A15">
            <w:pPr>
              <w:jc w:val="center"/>
              <w:rPr>
                <w:rFonts w:cs="Calibri"/>
                <w:sz w:val="18"/>
                <w:szCs w:val="20"/>
              </w:rPr>
            </w:pPr>
            <w:r w:rsidRPr="00404DA5">
              <w:rPr>
                <w:rFonts w:cs="Calibri"/>
                <w:sz w:val="18"/>
                <w:szCs w:val="20"/>
              </w:rPr>
              <w:t>Realizacja wskaźnika (wg WoP)</w:t>
            </w:r>
          </w:p>
        </w:tc>
        <w:tc>
          <w:tcPr>
            <w:tcW w:w="1005" w:type="dxa"/>
            <w:shd w:val="clear" w:color="auto" w:fill="DBE5F1"/>
            <w:vAlign w:val="center"/>
          </w:tcPr>
          <w:p w14:paraId="6D2B8B09" w14:textId="77777777" w:rsidR="00EF2A15" w:rsidRPr="00404DA5" w:rsidRDefault="00EF2A15" w:rsidP="00EF2A15">
            <w:pPr>
              <w:jc w:val="center"/>
              <w:rPr>
                <w:rFonts w:cs="Calibri"/>
                <w:sz w:val="18"/>
                <w:szCs w:val="20"/>
              </w:rPr>
            </w:pPr>
            <w:r w:rsidRPr="00404DA5">
              <w:rPr>
                <w:rFonts w:cs="Calibri"/>
                <w:sz w:val="18"/>
                <w:szCs w:val="20"/>
              </w:rPr>
              <w:t>% realizacji wartości docelowej (wg WoP)</w:t>
            </w:r>
          </w:p>
        </w:tc>
      </w:tr>
      <w:tr w:rsidR="00EF2A15" w:rsidRPr="00B2711F" w14:paraId="03F7CED5" w14:textId="77777777" w:rsidTr="00983C73">
        <w:tc>
          <w:tcPr>
            <w:tcW w:w="704" w:type="dxa"/>
            <w:shd w:val="clear" w:color="auto" w:fill="auto"/>
            <w:vAlign w:val="center"/>
          </w:tcPr>
          <w:p w14:paraId="226E8AE0" w14:textId="77777777" w:rsidR="00EF2A15" w:rsidRPr="00404DA5" w:rsidRDefault="00EF2A15" w:rsidP="00EF2A15">
            <w:pPr>
              <w:jc w:val="center"/>
              <w:rPr>
                <w:rFonts w:cs="Calibri"/>
                <w:sz w:val="18"/>
                <w:szCs w:val="20"/>
              </w:rPr>
            </w:pPr>
            <w:r w:rsidRPr="00404DA5">
              <w:rPr>
                <w:rFonts w:cs="Calibri"/>
                <w:color w:val="000000"/>
                <w:sz w:val="18"/>
                <w:szCs w:val="20"/>
              </w:rPr>
              <w:t>wskaźnik produktu</w:t>
            </w:r>
          </w:p>
        </w:tc>
        <w:tc>
          <w:tcPr>
            <w:tcW w:w="1228" w:type="dxa"/>
            <w:shd w:val="clear" w:color="auto" w:fill="auto"/>
            <w:vAlign w:val="center"/>
          </w:tcPr>
          <w:p w14:paraId="05D27DDC" w14:textId="77777777" w:rsidR="00EF2A15" w:rsidRPr="00404DA5" w:rsidRDefault="00EF2A15" w:rsidP="00EF2A15">
            <w:pPr>
              <w:jc w:val="center"/>
              <w:rPr>
                <w:rFonts w:cs="Calibri"/>
                <w:sz w:val="18"/>
                <w:szCs w:val="20"/>
              </w:rPr>
            </w:pPr>
            <w:r w:rsidRPr="00404DA5">
              <w:rPr>
                <w:rFonts w:cs="Calibri"/>
                <w:color w:val="000000"/>
                <w:sz w:val="18"/>
                <w:szCs w:val="20"/>
              </w:rPr>
              <w:t>5.7</w:t>
            </w:r>
          </w:p>
        </w:tc>
        <w:tc>
          <w:tcPr>
            <w:tcW w:w="1293" w:type="dxa"/>
            <w:shd w:val="clear" w:color="auto" w:fill="auto"/>
            <w:vAlign w:val="center"/>
          </w:tcPr>
          <w:p w14:paraId="77330329" w14:textId="77777777" w:rsidR="00EF2A15" w:rsidRPr="00404DA5" w:rsidRDefault="00EF2A15" w:rsidP="00EF2A15">
            <w:pPr>
              <w:jc w:val="center"/>
              <w:rPr>
                <w:rFonts w:cs="Calibri"/>
                <w:sz w:val="18"/>
                <w:szCs w:val="20"/>
              </w:rPr>
            </w:pPr>
            <w:r w:rsidRPr="00404DA5">
              <w:rPr>
                <w:rFonts w:cs="Calibri"/>
                <w:color w:val="000000"/>
                <w:sz w:val="18"/>
                <w:szCs w:val="20"/>
              </w:rPr>
              <w:t>Całkowita długość ulepszonych lub utworzonych śródlądowych dróg wodnych</w:t>
            </w:r>
          </w:p>
        </w:tc>
        <w:tc>
          <w:tcPr>
            <w:tcW w:w="858" w:type="dxa"/>
            <w:shd w:val="clear" w:color="auto" w:fill="auto"/>
            <w:vAlign w:val="center"/>
          </w:tcPr>
          <w:p w14:paraId="7B0D3C78" w14:textId="77777777" w:rsidR="00EF2A15" w:rsidRPr="00404DA5" w:rsidRDefault="00EF2A15" w:rsidP="00EF2A15">
            <w:pPr>
              <w:jc w:val="center"/>
              <w:rPr>
                <w:rFonts w:cs="Calibri"/>
                <w:sz w:val="18"/>
                <w:szCs w:val="20"/>
              </w:rPr>
            </w:pPr>
            <w:r w:rsidRPr="00404DA5">
              <w:rPr>
                <w:rFonts w:cs="Calibri"/>
                <w:color w:val="000000"/>
                <w:sz w:val="18"/>
                <w:szCs w:val="20"/>
              </w:rPr>
              <w:t>Km</w:t>
            </w:r>
          </w:p>
        </w:tc>
        <w:tc>
          <w:tcPr>
            <w:tcW w:w="959" w:type="dxa"/>
            <w:shd w:val="clear" w:color="auto" w:fill="auto"/>
            <w:vAlign w:val="center"/>
          </w:tcPr>
          <w:p w14:paraId="45D5BC1B" w14:textId="77777777" w:rsidR="00EF2A15" w:rsidRPr="00404DA5" w:rsidRDefault="00EF2A15" w:rsidP="00EF2A15">
            <w:pPr>
              <w:jc w:val="center"/>
              <w:rPr>
                <w:rFonts w:cs="Calibri"/>
                <w:sz w:val="18"/>
                <w:szCs w:val="20"/>
              </w:rPr>
            </w:pPr>
            <w:r w:rsidRPr="00404DA5">
              <w:rPr>
                <w:rFonts w:cs="Calibri"/>
                <w:color w:val="000000"/>
                <w:sz w:val="18"/>
                <w:szCs w:val="20"/>
              </w:rPr>
              <w:t>10</w:t>
            </w:r>
          </w:p>
        </w:tc>
        <w:tc>
          <w:tcPr>
            <w:tcW w:w="1005" w:type="dxa"/>
            <w:shd w:val="clear" w:color="auto" w:fill="auto"/>
            <w:vAlign w:val="center"/>
          </w:tcPr>
          <w:p w14:paraId="339E4308" w14:textId="77777777" w:rsidR="00EF2A15" w:rsidRPr="00404DA5" w:rsidRDefault="00EF2A15" w:rsidP="00EF2A15">
            <w:pPr>
              <w:jc w:val="center"/>
              <w:rPr>
                <w:rFonts w:cs="Calibri"/>
                <w:sz w:val="18"/>
                <w:szCs w:val="20"/>
              </w:rPr>
            </w:pPr>
            <w:r w:rsidRPr="00404DA5">
              <w:rPr>
                <w:rFonts w:cs="Calibri"/>
                <w:sz w:val="18"/>
                <w:szCs w:val="20"/>
              </w:rPr>
              <w:t>155</w:t>
            </w:r>
          </w:p>
        </w:tc>
        <w:tc>
          <w:tcPr>
            <w:tcW w:w="1005" w:type="dxa"/>
            <w:shd w:val="clear" w:color="auto" w:fill="auto"/>
            <w:vAlign w:val="center"/>
          </w:tcPr>
          <w:p w14:paraId="597E60F9" w14:textId="77777777" w:rsidR="00EF2A15" w:rsidRPr="00404DA5" w:rsidRDefault="00EF2A15" w:rsidP="00EF2A15">
            <w:pPr>
              <w:jc w:val="center"/>
              <w:rPr>
                <w:rFonts w:cs="Calibri"/>
                <w:sz w:val="18"/>
                <w:szCs w:val="20"/>
              </w:rPr>
            </w:pPr>
            <w:r w:rsidRPr="00404DA5">
              <w:rPr>
                <w:rFonts w:cs="Calibri"/>
                <w:sz w:val="18"/>
                <w:szCs w:val="20"/>
              </w:rPr>
              <w:t>1553%</w:t>
            </w:r>
          </w:p>
        </w:tc>
        <w:tc>
          <w:tcPr>
            <w:tcW w:w="1005" w:type="dxa"/>
            <w:shd w:val="clear" w:color="auto" w:fill="auto"/>
            <w:vAlign w:val="center"/>
          </w:tcPr>
          <w:p w14:paraId="605B0CD8" w14:textId="77777777" w:rsidR="00EF2A15" w:rsidRPr="00404DA5" w:rsidRDefault="00EF2A15" w:rsidP="00EF2A15">
            <w:pPr>
              <w:jc w:val="center"/>
              <w:rPr>
                <w:rFonts w:cs="Calibri"/>
                <w:sz w:val="18"/>
                <w:szCs w:val="20"/>
              </w:rPr>
            </w:pPr>
            <w:r w:rsidRPr="00404DA5">
              <w:rPr>
                <w:rFonts w:cs="Calibri"/>
                <w:sz w:val="18"/>
                <w:szCs w:val="20"/>
              </w:rPr>
              <w:t>0</w:t>
            </w:r>
          </w:p>
        </w:tc>
        <w:tc>
          <w:tcPr>
            <w:tcW w:w="1005" w:type="dxa"/>
            <w:shd w:val="clear" w:color="auto" w:fill="auto"/>
            <w:vAlign w:val="center"/>
          </w:tcPr>
          <w:p w14:paraId="200892E3" w14:textId="77777777" w:rsidR="00EF2A15" w:rsidRPr="00404DA5" w:rsidRDefault="00EF2A15" w:rsidP="00EF2A15">
            <w:pPr>
              <w:jc w:val="center"/>
              <w:rPr>
                <w:rFonts w:cs="Calibri"/>
                <w:sz w:val="18"/>
                <w:szCs w:val="20"/>
              </w:rPr>
            </w:pPr>
            <w:r w:rsidRPr="00404DA5">
              <w:rPr>
                <w:rFonts w:cs="Calibri"/>
                <w:sz w:val="18"/>
                <w:szCs w:val="20"/>
              </w:rPr>
              <w:t>0%</w:t>
            </w:r>
          </w:p>
        </w:tc>
      </w:tr>
    </w:tbl>
    <w:p w14:paraId="54C675FA"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5CA8E54A" w14:textId="77777777" w:rsidR="00EF2A15" w:rsidRPr="008755C3" w:rsidRDefault="00EF2A15" w:rsidP="00EF2A15">
      <w:pPr>
        <w:rPr>
          <w:rFonts w:eastAsia="Calibri"/>
        </w:rPr>
      </w:pPr>
      <w:r>
        <w:rPr>
          <w:rFonts w:eastAsia="Calibri"/>
        </w:rPr>
        <w:t>Nie odnotowano postępu finansowego</w:t>
      </w:r>
      <w:r w:rsidR="00E66B89">
        <w:rPr>
          <w:rFonts w:eastAsia="Calibri"/>
        </w:rPr>
        <w:t xml:space="preserve"> w </w:t>
      </w:r>
      <w:r>
        <w:rPr>
          <w:rFonts w:eastAsia="Calibri"/>
        </w:rPr>
        <w:t>PI 7c, co pozostaje jednak</w:t>
      </w:r>
      <w:r w:rsidR="00E66B89">
        <w:rPr>
          <w:rFonts w:eastAsia="Calibri"/>
        </w:rPr>
        <w:t xml:space="preserve"> w </w:t>
      </w:r>
      <w:r>
        <w:rPr>
          <w:rFonts w:eastAsia="Calibri"/>
        </w:rPr>
        <w:t>zgodności</w:t>
      </w:r>
      <w:r w:rsidR="00E66B89">
        <w:rPr>
          <w:rFonts w:eastAsia="Calibri"/>
        </w:rPr>
        <w:t xml:space="preserve"> z </w:t>
      </w:r>
      <w:r>
        <w:rPr>
          <w:rFonts w:eastAsia="Calibri"/>
        </w:rPr>
        <w:t>harmonogramem realizowanych projektów. Efektywność kosztowa realizowanych projektów jest wysoka, biorąc pod uwagę wielokrotne przekroczenie wartości docelowej wskaźnika programowego</w:t>
      </w:r>
      <w:r w:rsidR="00E66B89">
        <w:rPr>
          <w:rFonts w:eastAsia="Calibri"/>
        </w:rPr>
        <w:t xml:space="preserve"> w </w:t>
      </w:r>
      <w:r>
        <w:rPr>
          <w:rFonts w:eastAsia="Calibri"/>
        </w:rPr>
        <w:t>odniesieniu do wysokości alokacji założonej na etapie programowania RPO WZ 2014-2020. Ze względu na brak porównywalnych typów działań</w:t>
      </w:r>
      <w:r w:rsidR="00E66B89">
        <w:rPr>
          <w:rFonts w:eastAsia="Calibri"/>
        </w:rPr>
        <w:t xml:space="preserve"> w </w:t>
      </w:r>
      <w:r>
        <w:rPr>
          <w:rFonts w:eastAsia="Calibri"/>
        </w:rPr>
        <w:t xml:space="preserve">województwach wybranych do analizy benchmarkowej, nie przeprowadzono analizy porównawczej kosztów jednostkowych wskaźnika </w:t>
      </w:r>
      <w:r w:rsidRPr="008B706B">
        <w:rPr>
          <w:rFonts w:cs="Calibri"/>
          <w:i/>
          <w:color w:val="000000"/>
          <w:szCs w:val="20"/>
        </w:rPr>
        <w:t>Całkowita długość ulepszonych lub utworzonych śródlądowych dróg wodnych</w:t>
      </w:r>
      <w:r>
        <w:rPr>
          <w:rFonts w:cs="Calibri"/>
          <w:i/>
          <w:color w:val="000000"/>
          <w:szCs w:val="20"/>
        </w:rPr>
        <w:t>.</w:t>
      </w:r>
    </w:p>
    <w:p w14:paraId="5671302F"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Wskaźniki rezultatu strategicznego </w:t>
      </w:r>
    </w:p>
    <w:p w14:paraId="4F524EEB" w14:textId="77777777" w:rsidR="00EF2A15" w:rsidRPr="008B706B" w:rsidRDefault="00EF2A15" w:rsidP="00EF2A15">
      <w:pPr>
        <w:rPr>
          <w:szCs w:val="20"/>
        </w:rPr>
      </w:pPr>
      <w:r w:rsidRPr="000A135E">
        <w:rPr>
          <w:szCs w:val="20"/>
        </w:rPr>
        <w:t xml:space="preserve">W RPO WZ 2014-2020 przyjęto także specyficzny wskaźnik rezultatu dla PI 7c: </w:t>
      </w:r>
      <w:r w:rsidRPr="008B706B">
        <w:rPr>
          <w:i/>
          <w:szCs w:val="20"/>
        </w:rPr>
        <w:t>Wskaźnik Żeglugowej Dostępności Transportowej WŻDT II</w:t>
      </w:r>
      <w:r w:rsidRPr="000A135E">
        <w:rPr>
          <w:szCs w:val="20"/>
        </w:rPr>
        <w:t>.</w:t>
      </w:r>
      <w:r w:rsidR="00E66B89">
        <w:rPr>
          <w:szCs w:val="20"/>
        </w:rPr>
        <w:t xml:space="preserve"> W </w:t>
      </w:r>
      <w:r w:rsidRPr="000A135E">
        <w:rPr>
          <w:szCs w:val="20"/>
        </w:rPr>
        <w:t>Programie założono, że W</w:t>
      </w:r>
      <w:r>
        <w:rPr>
          <w:szCs w:val="20"/>
        </w:rPr>
        <w:t>Ż</w:t>
      </w:r>
      <w:r w:rsidRPr="000A135E">
        <w:rPr>
          <w:szCs w:val="20"/>
        </w:rPr>
        <w:t>DT II wzrośnie</w:t>
      </w:r>
      <w:r w:rsidR="00E66B89">
        <w:rPr>
          <w:szCs w:val="20"/>
        </w:rPr>
        <w:t xml:space="preserve"> z </w:t>
      </w:r>
      <w:r w:rsidRPr="000A135E">
        <w:rPr>
          <w:rFonts w:eastAsia="Calibri"/>
          <w:szCs w:val="20"/>
        </w:rPr>
        <w:t xml:space="preserve">60,3 do </w:t>
      </w:r>
      <w:r w:rsidRPr="000A135E">
        <w:rPr>
          <w:rFonts w:cs="Calibri"/>
          <w:color w:val="000000"/>
          <w:szCs w:val="20"/>
        </w:rPr>
        <w:t>78,46 pkt</w:t>
      </w:r>
      <w:r w:rsidRPr="000A135E">
        <w:rPr>
          <w:rFonts w:cs="Arial"/>
          <w:szCs w:val="20"/>
        </w:rPr>
        <w:t xml:space="preserve">. </w:t>
      </w:r>
      <w:r w:rsidRPr="000A135E">
        <w:rPr>
          <w:szCs w:val="20"/>
        </w:rPr>
        <w:t>Zmiany wartości przedmiotowego wskaźnika są obliczane na podstawie uwzględnienia faktycznie zrealizowanych (w latach 2004-2013) lub planowanych do realizacji (w latach 2014-2020) inwestycji transportowych</w:t>
      </w:r>
      <w:r w:rsidR="00E66B89">
        <w:rPr>
          <w:szCs w:val="20"/>
        </w:rPr>
        <w:t xml:space="preserve"> w </w:t>
      </w:r>
      <w:r w:rsidRPr="000A135E">
        <w:rPr>
          <w:szCs w:val="20"/>
        </w:rPr>
        <w:t>ramach POIiŚ</w:t>
      </w:r>
      <w:r w:rsidR="00E66B89">
        <w:rPr>
          <w:szCs w:val="20"/>
        </w:rPr>
        <w:t xml:space="preserve"> i </w:t>
      </w:r>
      <w:r w:rsidRPr="000A135E">
        <w:rPr>
          <w:szCs w:val="20"/>
        </w:rPr>
        <w:t xml:space="preserve">RPO. </w:t>
      </w:r>
      <w:r w:rsidRPr="000A135E">
        <w:rPr>
          <w:i/>
          <w:szCs w:val="20"/>
        </w:rPr>
        <w:t>Wskaźnik Żeglugowej Dostępności Transportowej</w:t>
      </w:r>
      <w:r w:rsidR="00E66B89">
        <w:rPr>
          <w:szCs w:val="20"/>
        </w:rPr>
        <w:t xml:space="preserve"> w </w:t>
      </w:r>
      <w:r w:rsidRPr="000A135E">
        <w:rPr>
          <w:szCs w:val="20"/>
        </w:rPr>
        <w:t>aktualizacji przeprowadzonej przez MIiR</w:t>
      </w:r>
      <w:r w:rsidR="00E66B89">
        <w:rPr>
          <w:szCs w:val="20"/>
        </w:rPr>
        <w:t xml:space="preserve"> w </w:t>
      </w:r>
      <w:r w:rsidRPr="000A135E">
        <w:rPr>
          <w:szCs w:val="20"/>
        </w:rPr>
        <w:t>2017 roku</w:t>
      </w:r>
      <w:r w:rsidRPr="000A135E">
        <w:rPr>
          <w:rStyle w:val="Odwoanieprzypisudolnego"/>
          <w:szCs w:val="20"/>
        </w:rPr>
        <w:footnoteReference w:id="50"/>
      </w:r>
      <w:r w:rsidRPr="000A135E">
        <w:rPr>
          <w:szCs w:val="20"/>
        </w:rPr>
        <w:t xml:space="preserve"> prognozowany jest do osiągnięcia</w:t>
      </w:r>
      <w:r w:rsidR="00E66B89">
        <w:rPr>
          <w:szCs w:val="20"/>
        </w:rPr>
        <w:t xml:space="preserve"> w </w:t>
      </w:r>
      <w:r w:rsidRPr="000A135E">
        <w:rPr>
          <w:szCs w:val="20"/>
        </w:rPr>
        <w:t>regionie zachodniopomorskim</w:t>
      </w:r>
      <w:r w:rsidR="00E66B89">
        <w:rPr>
          <w:szCs w:val="20"/>
        </w:rPr>
        <w:t xml:space="preserve"> w </w:t>
      </w:r>
      <w:r w:rsidRPr="000A135E">
        <w:rPr>
          <w:szCs w:val="20"/>
        </w:rPr>
        <w:t>wysokości 77,21,</w:t>
      </w:r>
      <w:r w:rsidR="00E66B89">
        <w:rPr>
          <w:szCs w:val="20"/>
        </w:rPr>
        <w:t xml:space="preserve"> z </w:t>
      </w:r>
      <w:r w:rsidRPr="000A135E">
        <w:rPr>
          <w:szCs w:val="20"/>
        </w:rPr>
        <w:t>uwzględnieniem zarówno inwestycji RPO WZ 2014-2020, jak</w:t>
      </w:r>
      <w:r w:rsidR="00E66B89">
        <w:rPr>
          <w:szCs w:val="20"/>
        </w:rPr>
        <w:t xml:space="preserve"> i </w:t>
      </w:r>
      <w:r w:rsidRPr="000A135E">
        <w:rPr>
          <w:szCs w:val="20"/>
        </w:rPr>
        <w:t>inwestycji POIiŚ 2014-2020. Obniżenie prognozowanej wartości wskaźnika prognozowanej na 2023 rok</w:t>
      </w:r>
      <w:r w:rsidR="00E66B89">
        <w:rPr>
          <w:szCs w:val="20"/>
        </w:rPr>
        <w:t xml:space="preserve"> w </w:t>
      </w:r>
      <w:r w:rsidRPr="000A135E">
        <w:rPr>
          <w:szCs w:val="20"/>
        </w:rPr>
        <w:t>stosunku do założeń roku 2015 wynika nie tylko</w:t>
      </w:r>
      <w:r w:rsidR="00E66B89">
        <w:rPr>
          <w:szCs w:val="20"/>
        </w:rPr>
        <w:t xml:space="preserve"> z </w:t>
      </w:r>
      <w:r w:rsidRPr="000A135E">
        <w:rPr>
          <w:szCs w:val="20"/>
        </w:rPr>
        <w:t>niepowodzenia inwestycji modernizacji toru wodnego na rzece Gunica</w:t>
      </w:r>
      <w:r>
        <w:rPr>
          <w:szCs w:val="20"/>
        </w:rPr>
        <w:t>, ale również</w:t>
      </w:r>
      <w:r w:rsidR="00E66B89">
        <w:rPr>
          <w:szCs w:val="20"/>
        </w:rPr>
        <w:t xml:space="preserve"> z </w:t>
      </w:r>
      <w:r>
        <w:rPr>
          <w:szCs w:val="20"/>
        </w:rPr>
        <w:t>niższego - niż zakładano</w:t>
      </w:r>
      <w:r w:rsidR="00E66B89">
        <w:rPr>
          <w:szCs w:val="20"/>
        </w:rPr>
        <w:t xml:space="preserve"> w </w:t>
      </w:r>
      <w:r>
        <w:rPr>
          <w:szCs w:val="20"/>
        </w:rPr>
        <w:t>2015 roku - oddziaływania inwestycji POiIŚ poprzedniego okresu programowania.</w:t>
      </w:r>
      <w:r w:rsidRPr="000A135E">
        <w:rPr>
          <w:szCs w:val="20"/>
        </w:rPr>
        <w:t xml:space="preserve"> </w:t>
      </w:r>
      <w:r w:rsidRPr="008B706B">
        <w:rPr>
          <w:szCs w:val="20"/>
        </w:rPr>
        <w:t xml:space="preserve">Zaleca się rozważenie uaktualnienia wartości docelowej wskaźnika WŻDT II do 77,21. </w:t>
      </w:r>
    </w:p>
    <w:p w14:paraId="23AA7107" w14:textId="77777777" w:rsidR="00EF2A15" w:rsidRPr="000A135E" w:rsidRDefault="00EF2A15" w:rsidP="00754ED4">
      <w:pPr>
        <w:pStyle w:val="Legenda"/>
        <w:spacing w:after="0"/>
      </w:pPr>
      <w:bookmarkStart w:id="160" w:name="_Toc8824191"/>
      <w:r w:rsidRPr="000A135E">
        <w:lastRenderedPageBreak/>
        <w:t xml:space="preserve">Tabela </w:t>
      </w:r>
      <w:r w:rsidRPr="000A135E">
        <w:fldChar w:fldCharType="begin"/>
      </w:r>
      <w:r w:rsidRPr="000A135E">
        <w:instrText xml:space="preserve"> SEQ Tabela \* ARABIC </w:instrText>
      </w:r>
      <w:r w:rsidRPr="000A135E">
        <w:fldChar w:fldCharType="separate"/>
      </w:r>
      <w:r w:rsidR="00763345">
        <w:rPr>
          <w:noProof/>
        </w:rPr>
        <w:t>80</w:t>
      </w:r>
      <w:r w:rsidRPr="000A135E">
        <w:fldChar w:fldCharType="end"/>
      </w:r>
      <w:r w:rsidRPr="000A135E">
        <w:t>. Prognozowany poziom realizacji wskaźnika rezultatu strategicznego na rok 2023 dla PI 7c</w:t>
      </w:r>
      <w:bookmarkEnd w:id="1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2775"/>
        <w:gridCol w:w="1096"/>
        <w:gridCol w:w="888"/>
        <w:gridCol w:w="851"/>
        <w:gridCol w:w="1559"/>
        <w:gridCol w:w="1554"/>
      </w:tblGrid>
      <w:tr w:rsidR="007F62AB" w:rsidRPr="00B2711F" w14:paraId="0D39350D" w14:textId="77777777" w:rsidTr="00983C73">
        <w:trPr>
          <w:trHeight w:val="1123"/>
          <w:tblHeader/>
        </w:trPr>
        <w:tc>
          <w:tcPr>
            <w:tcW w:w="0" w:type="auto"/>
            <w:shd w:val="clear" w:color="auto" w:fill="DBE5F1"/>
          </w:tcPr>
          <w:p w14:paraId="5CBEE359"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PI</w:t>
            </w:r>
          </w:p>
        </w:tc>
        <w:tc>
          <w:tcPr>
            <w:tcW w:w="2775" w:type="dxa"/>
            <w:shd w:val="clear" w:color="auto" w:fill="DBE5F1"/>
          </w:tcPr>
          <w:p w14:paraId="2224A3F4"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 xml:space="preserve">Wskaźnik </w:t>
            </w:r>
          </w:p>
        </w:tc>
        <w:tc>
          <w:tcPr>
            <w:tcW w:w="1096" w:type="dxa"/>
            <w:shd w:val="clear" w:color="auto" w:fill="DBE5F1"/>
          </w:tcPr>
          <w:p w14:paraId="72B27A37"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 xml:space="preserve">Jednostka pomiaru </w:t>
            </w:r>
          </w:p>
        </w:tc>
        <w:tc>
          <w:tcPr>
            <w:tcW w:w="888" w:type="dxa"/>
            <w:shd w:val="clear" w:color="auto" w:fill="DBE5F1"/>
          </w:tcPr>
          <w:p w14:paraId="4407811F"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 xml:space="preserve">Wartość bazowa </w:t>
            </w:r>
          </w:p>
        </w:tc>
        <w:tc>
          <w:tcPr>
            <w:tcW w:w="851" w:type="dxa"/>
            <w:shd w:val="clear" w:color="auto" w:fill="DBE5F1"/>
          </w:tcPr>
          <w:p w14:paraId="6EF166E3"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 xml:space="preserve">Rok bazowy </w:t>
            </w:r>
          </w:p>
        </w:tc>
        <w:tc>
          <w:tcPr>
            <w:tcW w:w="1559" w:type="dxa"/>
            <w:shd w:val="clear" w:color="auto" w:fill="DBE5F1"/>
          </w:tcPr>
          <w:p w14:paraId="3E05107F" w14:textId="77777777" w:rsidR="00EF2A15" w:rsidRPr="006558FF" w:rsidRDefault="00EF2A15" w:rsidP="00EF2A15">
            <w:pPr>
              <w:autoSpaceDE w:val="0"/>
              <w:autoSpaceDN w:val="0"/>
              <w:adjustRightInd w:val="0"/>
              <w:rPr>
                <w:rFonts w:cs="Calibri"/>
                <w:color w:val="000000"/>
                <w:sz w:val="18"/>
                <w:szCs w:val="18"/>
              </w:rPr>
            </w:pPr>
            <w:r w:rsidRPr="008B706B">
              <w:rPr>
                <w:rFonts w:cs="Calibri"/>
                <w:bCs/>
                <w:color w:val="000000"/>
                <w:sz w:val="18"/>
                <w:szCs w:val="18"/>
              </w:rPr>
              <w:t>Założona</w:t>
            </w:r>
            <w:r w:rsidR="00E66B89">
              <w:rPr>
                <w:rFonts w:cs="Calibri"/>
                <w:bCs/>
                <w:color w:val="000000"/>
                <w:sz w:val="18"/>
                <w:szCs w:val="18"/>
              </w:rPr>
              <w:t xml:space="preserve"> w </w:t>
            </w:r>
            <w:r w:rsidRPr="008B706B">
              <w:rPr>
                <w:rFonts w:cs="Calibri"/>
                <w:bCs/>
                <w:color w:val="000000"/>
                <w:sz w:val="18"/>
                <w:szCs w:val="18"/>
              </w:rPr>
              <w:t xml:space="preserve">programie wartość docelowa (2023) </w:t>
            </w:r>
          </w:p>
        </w:tc>
        <w:tc>
          <w:tcPr>
            <w:tcW w:w="1554" w:type="dxa"/>
            <w:shd w:val="clear" w:color="auto" w:fill="DBE5F1"/>
          </w:tcPr>
          <w:p w14:paraId="63569FB1" w14:textId="77777777" w:rsidR="00EF2A15" w:rsidRPr="008B706B" w:rsidRDefault="00EF2A15" w:rsidP="00EF2A15">
            <w:pPr>
              <w:autoSpaceDE w:val="0"/>
              <w:autoSpaceDN w:val="0"/>
              <w:adjustRightInd w:val="0"/>
              <w:rPr>
                <w:rFonts w:cs="Calibri"/>
                <w:bCs/>
                <w:color w:val="000000"/>
                <w:sz w:val="18"/>
                <w:szCs w:val="18"/>
              </w:rPr>
            </w:pPr>
            <w:r w:rsidRPr="008B706B">
              <w:rPr>
                <w:rFonts w:cs="Calibri"/>
                <w:bCs/>
                <w:color w:val="000000"/>
                <w:sz w:val="18"/>
                <w:szCs w:val="18"/>
              </w:rPr>
              <w:t>Aktualna prognoza osiągnięcia wartości</w:t>
            </w:r>
            <w:r w:rsidR="00E66B89">
              <w:rPr>
                <w:rFonts w:cs="Calibri"/>
                <w:bCs/>
                <w:color w:val="000000"/>
                <w:sz w:val="18"/>
                <w:szCs w:val="18"/>
              </w:rPr>
              <w:t xml:space="preserve"> w </w:t>
            </w:r>
            <w:r w:rsidRPr="008B706B">
              <w:rPr>
                <w:rFonts w:cs="Calibri"/>
                <w:bCs/>
                <w:color w:val="000000"/>
                <w:sz w:val="18"/>
                <w:szCs w:val="18"/>
              </w:rPr>
              <w:t>2023</w:t>
            </w:r>
          </w:p>
        </w:tc>
      </w:tr>
      <w:tr w:rsidR="00EF2A15" w:rsidRPr="00B2711F" w14:paraId="3BBDD20B" w14:textId="77777777" w:rsidTr="00983C73">
        <w:trPr>
          <w:trHeight w:val="829"/>
        </w:trPr>
        <w:tc>
          <w:tcPr>
            <w:tcW w:w="0" w:type="auto"/>
          </w:tcPr>
          <w:p w14:paraId="66B4EED7" w14:textId="77777777" w:rsidR="00EF2A15" w:rsidRPr="00404DA5" w:rsidRDefault="00EF2A15" w:rsidP="00EF2A15">
            <w:pPr>
              <w:autoSpaceDE w:val="0"/>
              <w:autoSpaceDN w:val="0"/>
              <w:adjustRightInd w:val="0"/>
              <w:rPr>
                <w:rFonts w:cs="Calibri"/>
                <w:color w:val="000000"/>
                <w:sz w:val="18"/>
                <w:szCs w:val="18"/>
              </w:rPr>
            </w:pPr>
            <w:r w:rsidRPr="00404DA5">
              <w:rPr>
                <w:rFonts w:cs="Calibri"/>
                <w:color w:val="000000"/>
                <w:sz w:val="18"/>
                <w:szCs w:val="18"/>
              </w:rPr>
              <w:t>PI 7c</w:t>
            </w:r>
          </w:p>
        </w:tc>
        <w:tc>
          <w:tcPr>
            <w:tcW w:w="2775" w:type="dxa"/>
          </w:tcPr>
          <w:p w14:paraId="463B9402" w14:textId="77777777" w:rsidR="00EF2A15" w:rsidRPr="00404DA5" w:rsidRDefault="00EF2A15" w:rsidP="00EF2A15">
            <w:pPr>
              <w:autoSpaceDE w:val="0"/>
              <w:autoSpaceDN w:val="0"/>
              <w:adjustRightInd w:val="0"/>
              <w:rPr>
                <w:rFonts w:cs="Calibri"/>
                <w:color w:val="000000"/>
                <w:sz w:val="18"/>
                <w:szCs w:val="18"/>
              </w:rPr>
            </w:pPr>
            <w:r w:rsidRPr="00404DA5">
              <w:rPr>
                <w:rFonts w:cs="Calibri"/>
                <w:color w:val="000000"/>
                <w:sz w:val="18"/>
                <w:szCs w:val="18"/>
              </w:rPr>
              <w:t>Wskaźnik Żeglugowej Dostępności Transportowej - WŻDT II (syntetyczny)</w:t>
            </w:r>
          </w:p>
        </w:tc>
        <w:tc>
          <w:tcPr>
            <w:tcW w:w="1096" w:type="dxa"/>
            <w:vAlign w:val="center"/>
          </w:tcPr>
          <w:p w14:paraId="76A9EBC3" w14:textId="77777777" w:rsidR="00EF2A15" w:rsidRPr="00404DA5" w:rsidRDefault="00EF2A15" w:rsidP="00B473DC">
            <w:pPr>
              <w:autoSpaceDE w:val="0"/>
              <w:autoSpaceDN w:val="0"/>
              <w:adjustRightInd w:val="0"/>
              <w:jc w:val="center"/>
              <w:rPr>
                <w:rFonts w:cs="Calibri"/>
                <w:color w:val="000000"/>
                <w:sz w:val="18"/>
                <w:szCs w:val="18"/>
              </w:rPr>
            </w:pPr>
            <w:r w:rsidRPr="00404DA5">
              <w:rPr>
                <w:rFonts w:cs="Calibri"/>
                <w:color w:val="000000"/>
                <w:sz w:val="18"/>
                <w:szCs w:val="18"/>
              </w:rPr>
              <w:t>Nd</w:t>
            </w:r>
          </w:p>
        </w:tc>
        <w:tc>
          <w:tcPr>
            <w:tcW w:w="888" w:type="dxa"/>
            <w:vAlign w:val="center"/>
          </w:tcPr>
          <w:p w14:paraId="6FC68C47" w14:textId="77777777" w:rsidR="00EF2A15" w:rsidRPr="00404DA5" w:rsidRDefault="00EF2A15" w:rsidP="00B473DC">
            <w:pPr>
              <w:autoSpaceDE w:val="0"/>
              <w:autoSpaceDN w:val="0"/>
              <w:adjustRightInd w:val="0"/>
              <w:jc w:val="center"/>
              <w:rPr>
                <w:rFonts w:cs="Calibri"/>
                <w:color w:val="000000"/>
                <w:sz w:val="18"/>
                <w:szCs w:val="18"/>
              </w:rPr>
            </w:pPr>
            <w:r w:rsidRPr="00404DA5">
              <w:rPr>
                <w:rFonts w:cs="Calibri"/>
                <w:color w:val="000000"/>
                <w:sz w:val="18"/>
                <w:szCs w:val="18"/>
              </w:rPr>
              <w:t>60,3</w:t>
            </w:r>
          </w:p>
        </w:tc>
        <w:tc>
          <w:tcPr>
            <w:tcW w:w="851" w:type="dxa"/>
            <w:vAlign w:val="center"/>
          </w:tcPr>
          <w:p w14:paraId="2F006420" w14:textId="77777777" w:rsidR="00EF2A15" w:rsidRPr="00404DA5" w:rsidRDefault="00EF2A15" w:rsidP="00B473DC">
            <w:pPr>
              <w:autoSpaceDE w:val="0"/>
              <w:autoSpaceDN w:val="0"/>
              <w:adjustRightInd w:val="0"/>
              <w:jc w:val="center"/>
              <w:rPr>
                <w:rFonts w:cs="Calibri"/>
                <w:color w:val="000000"/>
                <w:sz w:val="18"/>
                <w:szCs w:val="18"/>
              </w:rPr>
            </w:pPr>
            <w:r w:rsidRPr="00404DA5">
              <w:rPr>
                <w:rFonts w:cs="Calibri"/>
                <w:color w:val="000000"/>
                <w:sz w:val="18"/>
                <w:szCs w:val="18"/>
              </w:rPr>
              <w:t>2013</w:t>
            </w:r>
          </w:p>
        </w:tc>
        <w:tc>
          <w:tcPr>
            <w:tcW w:w="1559" w:type="dxa"/>
            <w:vAlign w:val="center"/>
          </w:tcPr>
          <w:p w14:paraId="3D0DDB7E" w14:textId="77777777" w:rsidR="00EF2A15" w:rsidRPr="00404DA5" w:rsidRDefault="00EF2A15" w:rsidP="00B473DC">
            <w:pPr>
              <w:autoSpaceDE w:val="0"/>
              <w:autoSpaceDN w:val="0"/>
              <w:adjustRightInd w:val="0"/>
              <w:jc w:val="center"/>
              <w:rPr>
                <w:rFonts w:cs="Calibri"/>
                <w:color w:val="000000"/>
                <w:sz w:val="18"/>
                <w:szCs w:val="18"/>
              </w:rPr>
            </w:pPr>
            <w:r w:rsidRPr="00404DA5">
              <w:rPr>
                <w:rFonts w:cs="Calibri"/>
                <w:color w:val="000000"/>
                <w:sz w:val="18"/>
                <w:szCs w:val="18"/>
              </w:rPr>
              <w:t>78,46</w:t>
            </w:r>
          </w:p>
        </w:tc>
        <w:tc>
          <w:tcPr>
            <w:tcW w:w="1554" w:type="dxa"/>
            <w:vAlign w:val="center"/>
          </w:tcPr>
          <w:p w14:paraId="57AA4FA2" w14:textId="77777777" w:rsidR="00EF2A15" w:rsidRPr="00404DA5" w:rsidRDefault="00EF2A15" w:rsidP="00B473DC">
            <w:pPr>
              <w:autoSpaceDE w:val="0"/>
              <w:autoSpaceDN w:val="0"/>
              <w:adjustRightInd w:val="0"/>
              <w:jc w:val="center"/>
              <w:rPr>
                <w:rFonts w:cs="Calibri"/>
                <w:color w:val="000000"/>
                <w:sz w:val="18"/>
                <w:szCs w:val="18"/>
              </w:rPr>
            </w:pPr>
            <w:r w:rsidRPr="00404DA5">
              <w:rPr>
                <w:rFonts w:cs="Calibri"/>
                <w:color w:val="000000"/>
                <w:sz w:val="18"/>
                <w:szCs w:val="18"/>
              </w:rPr>
              <w:t>77,21</w:t>
            </w:r>
          </w:p>
        </w:tc>
      </w:tr>
    </w:tbl>
    <w:p w14:paraId="7C2FC1D0" w14:textId="77777777" w:rsidR="00EF2A15" w:rsidRPr="00EE66C6" w:rsidRDefault="00EF2A15" w:rsidP="005A06CB">
      <w:pPr>
        <w:spacing w:before="0"/>
        <w:rPr>
          <w:i/>
          <w:sz w:val="18"/>
          <w:szCs w:val="20"/>
        </w:rPr>
      </w:pPr>
      <w:r w:rsidRPr="00EE66C6">
        <w:rPr>
          <w:i/>
          <w:sz w:val="18"/>
          <w:szCs w:val="20"/>
        </w:rPr>
        <w:t>Źródło: RPO WZ 2014-2020 oraz Oszacowanie oczekiwanych rezultatów interwencji za pomocą miar dostępności transportowej dostosowanych do potrzeb dokumentów strategicznych</w:t>
      </w:r>
      <w:r w:rsidR="00E66B89" w:rsidRPr="00EE66C6">
        <w:rPr>
          <w:i/>
          <w:sz w:val="18"/>
          <w:szCs w:val="20"/>
        </w:rPr>
        <w:t xml:space="preserve"> i </w:t>
      </w:r>
      <w:r w:rsidRPr="00EE66C6">
        <w:rPr>
          <w:i/>
          <w:sz w:val="18"/>
          <w:szCs w:val="20"/>
        </w:rPr>
        <w:t>operacyjnych dot. perspektywy finansowej 2014-2020 (aktualizacja), IGIPZ PAN 2017.</w:t>
      </w:r>
    </w:p>
    <w:p w14:paraId="4F2B5640" w14:textId="77777777" w:rsidR="00EF2A15" w:rsidRPr="000A135E" w:rsidRDefault="00EF2A15" w:rsidP="00EF2A15">
      <w:pPr>
        <w:pStyle w:val="evaluTresc"/>
      </w:pPr>
      <w:r w:rsidRPr="000A135E">
        <w:t xml:space="preserve">Bieżący stan wdrażania zapewnia kluczowy wpływ RPO WZ 2014-2020 na osiąganie przedmiotowego specyficznego wskaźnika rezultatu. </w:t>
      </w:r>
    </w:p>
    <w:p w14:paraId="4C98C1AC"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 xml:space="preserve">Ocena potencjału absorpcyjnego </w:t>
      </w:r>
    </w:p>
    <w:p w14:paraId="1B4AB6F5" w14:textId="77777777" w:rsidR="00EF2A15" w:rsidRPr="000A135E" w:rsidRDefault="00EF2A15" w:rsidP="00754ED4">
      <w:pPr>
        <w:pStyle w:val="Legenda"/>
        <w:spacing w:after="0"/>
      </w:pPr>
      <w:bookmarkStart w:id="161" w:name="_Toc8824192"/>
      <w:r w:rsidRPr="000A135E">
        <w:t xml:space="preserve">Tabela </w:t>
      </w:r>
      <w:r w:rsidRPr="000A135E">
        <w:fldChar w:fldCharType="begin"/>
      </w:r>
      <w:r w:rsidRPr="000A135E">
        <w:instrText xml:space="preserve"> SEQ Tabela \* ARABIC </w:instrText>
      </w:r>
      <w:r w:rsidRPr="000A135E">
        <w:fldChar w:fldCharType="separate"/>
      </w:r>
      <w:r w:rsidR="00763345">
        <w:rPr>
          <w:noProof/>
        </w:rPr>
        <w:t>81</w:t>
      </w:r>
      <w:r w:rsidRPr="000A135E">
        <w:fldChar w:fldCharType="end"/>
      </w:r>
      <w:r w:rsidRPr="000A135E">
        <w:t xml:space="preserve"> Wysokość alokacji ogółem, alokacji głównej, rezerwy wykonania oraz poziom kontraktacji –</w:t>
      </w:r>
      <w:r w:rsidR="00E66B89">
        <w:t xml:space="preserve"> w </w:t>
      </w:r>
      <w:r w:rsidRPr="000A135E">
        <w:t>ramach PI 7c</w:t>
      </w:r>
      <w:bookmarkEnd w:id="16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
        <w:gridCol w:w="420"/>
        <w:gridCol w:w="2373"/>
        <w:gridCol w:w="1117"/>
        <w:gridCol w:w="1151"/>
        <w:gridCol w:w="1418"/>
        <w:gridCol w:w="1412"/>
      </w:tblGrid>
      <w:tr w:rsidR="00EF2A15" w:rsidRPr="00B2711F" w14:paraId="15DC29CC" w14:textId="77777777" w:rsidTr="00983C73">
        <w:trPr>
          <w:tblHeader/>
        </w:trPr>
        <w:tc>
          <w:tcPr>
            <w:tcW w:w="704" w:type="dxa"/>
            <w:shd w:val="clear" w:color="auto" w:fill="DBE5F1"/>
            <w:tcMar>
              <w:left w:w="108" w:type="dxa"/>
            </w:tcMar>
            <w:vAlign w:val="center"/>
          </w:tcPr>
          <w:p w14:paraId="1C5995D2" w14:textId="77777777" w:rsidR="00EF2A15" w:rsidRPr="00404DA5" w:rsidRDefault="00EF2A15" w:rsidP="00EF2A15">
            <w:pPr>
              <w:jc w:val="center"/>
              <w:rPr>
                <w:sz w:val="18"/>
                <w:szCs w:val="20"/>
              </w:rPr>
            </w:pPr>
            <w:r w:rsidRPr="00404DA5">
              <w:rPr>
                <w:rFonts w:cs="Calibri"/>
                <w:sz w:val="18"/>
                <w:szCs w:val="20"/>
              </w:rPr>
              <w:t>Działanie</w:t>
            </w:r>
          </w:p>
        </w:tc>
        <w:tc>
          <w:tcPr>
            <w:tcW w:w="467" w:type="dxa"/>
            <w:shd w:val="clear" w:color="auto" w:fill="DBE5F1"/>
            <w:tcMar>
              <w:left w:w="108" w:type="dxa"/>
            </w:tcMar>
            <w:vAlign w:val="center"/>
          </w:tcPr>
          <w:p w14:paraId="33D55156" w14:textId="77777777" w:rsidR="00EF2A15" w:rsidRPr="00404DA5" w:rsidRDefault="00EF2A15" w:rsidP="00EF2A15">
            <w:pPr>
              <w:jc w:val="center"/>
              <w:rPr>
                <w:sz w:val="18"/>
                <w:szCs w:val="20"/>
              </w:rPr>
            </w:pPr>
            <w:r w:rsidRPr="00404DA5">
              <w:rPr>
                <w:rFonts w:cs="Calibri"/>
                <w:sz w:val="18"/>
                <w:szCs w:val="20"/>
              </w:rPr>
              <w:t>CT</w:t>
            </w:r>
          </w:p>
        </w:tc>
        <w:tc>
          <w:tcPr>
            <w:tcW w:w="420" w:type="dxa"/>
            <w:shd w:val="clear" w:color="auto" w:fill="DBE5F1"/>
            <w:tcMar>
              <w:left w:w="108" w:type="dxa"/>
            </w:tcMar>
            <w:vAlign w:val="center"/>
          </w:tcPr>
          <w:p w14:paraId="199E24FD" w14:textId="77777777" w:rsidR="00EF2A15" w:rsidRPr="00404DA5" w:rsidRDefault="00EF2A15" w:rsidP="00EF2A15">
            <w:pPr>
              <w:jc w:val="center"/>
              <w:rPr>
                <w:sz w:val="18"/>
                <w:szCs w:val="20"/>
              </w:rPr>
            </w:pPr>
            <w:r w:rsidRPr="00404DA5">
              <w:rPr>
                <w:rFonts w:cs="Calibri"/>
                <w:sz w:val="18"/>
                <w:szCs w:val="20"/>
              </w:rPr>
              <w:t>PI</w:t>
            </w:r>
          </w:p>
        </w:tc>
        <w:tc>
          <w:tcPr>
            <w:tcW w:w="2373" w:type="dxa"/>
            <w:shd w:val="clear" w:color="auto" w:fill="DBE5F1"/>
            <w:tcMar>
              <w:left w:w="108" w:type="dxa"/>
            </w:tcMar>
            <w:vAlign w:val="center"/>
          </w:tcPr>
          <w:p w14:paraId="62FDC218" w14:textId="77777777" w:rsidR="00EF2A15" w:rsidRPr="00404DA5" w:rsidRDefault="00EF2A15" w:rsidP="00EF2A15">
            <w:pPr>
              <w:jc w:val="center"/>
              <w:rPr>
                <w:sz w:val="18"/>
                <w:szCs w:val="20"/>
              </w:rPr>
            </w:pPr>
            <w:r w:rsidRPr="00404DA5">
              <w:rPr>
                <w:rFonts w:cs="Calibri"/>
                <w:bCs/>
                <w:color w:val="000000"/>
                <w:sz w:val="18"/>
                <w:szCs w:val="20"/>
              </w:rPr>
              <w:t>Alokacja UE ogółem</w:t>
            </w:r>
            <w:r w:rsidRPr="00404DA5">
              <w:rPr>
                <w:rFonts w:cs="Calibri"/>
                <w:bCs/>
                <w:color w:val="000000"/>
                <w:sz w:val="18"/>
                <w:szCs w:val="20"/>
              </w:rPr>
              <w:br/>
              <w:t>[EUR]</w:t>
            </w:r>
            <w:r w:rsidRPr="00404DA5">
              <w:rPr>
                <w:rFonts w:cs="Calibri"/>
                <w:bCs/>
                <w:color w:val="000000"/>
                <w:sz w:val="18"/>
                <w:szCs w:val="20"/>
              </w:rPr>
              <w:br/>
              <w:t>(alokacja główna +rezerwa wykonania)</w:t>
            </w:r>
          </w:p>
        </w:tc>
        <w:tc>
          <w:tcPr>
            <w:tcW w:w="1117" w:type="dxa"/>
            <w:shd w:val="clear" w:color="auto" w:fill="DBE5F1"/>
            <w:tcMar>
              <w:left w:w="108" w:type="dxa"/>
            </w:tcMar>
            <w:vAlign w:val="center"/>
          </w:tcPr>
          <w:p w14:paraId="3C0BF7CC" w14:textId="77777777" w:rsidR="00EF2A15" w:rsidRPr="00404DA5" w:rsidRDefault="00EF2A15" w:rsidP="00EF2A15">
            <w:pPr>
              <w:jc w:val="center"/>
              <w:rPr>
                <w:sz w:val="18"/>
                <w:szCs w:val="20"/>
              </w:rPr>
            </w:pPr>
            <w:r w:rsidRPr="00404DA5">
              <w:rPr>
                <w:rFonts w:cs="Calibri"/>
                <w:bCs/>
                <w:color w:val="000000"/>
                <w:sz w:val="18"/>
                <w:szCs w:val="20"/>
              </w:rPr>
              <w:t>Alokacja główna</w:t>
            </w:r>
            <w:r w:rsidRPr="00404DA5">
              <w:rPr>
                <w:rFonts w:cs="Calibri"/>
                <w:bCs/>
                <w:color w:val="000000"/>
                <w:sz w:val="18"/>
                <w:szCs w:val="20"/>
              </w:rPr>
              <w:br/>
              <w:t>[EUR]</w:t>
            </w:r>
          </w:p>
        </w:tc>
        <w:tc>
          <w:tcPr>
            <w:tcW w:w="1151" w:type="dxa"/>
            <w:shd w:val="clear" w:color="auto" w:fill="DBE5F1"/>
            <w:tcMar>
              <w:left w:w="108" w:type="dxa"/>
            </w:tcMar>
            <w:vAlign w:val="center"/>
          </w:tcPr>
          <w:p w14:paraId="322E2839" w14:textId="77777777" w:rsidR="00EF2A15" w:rsidRPr="00404DA5" w:rsidRDefault="00EF2A15" w:rsidP="00EF2A15">
            <w:pPr>
              <w:jc w:val="center"/>
              <w:rPr>
                <w:sz w:val="18"/>
                <w:szCs w:val="20"/>
              </w:rPr>
            </w:pPr>
            <w:r w:rsidRPr="00404DA5">
              <w:rPr>
                <w:rFonts w:cs="Calibri"/>
                <w:bCs/>
                <w:color w:val="000000"/>
                <w:sz w:val="18"/>
                <w:szCs w:val="20"/>
              </w:rPr>
              <w:t>Rezerwa wykonania</w:t>
            </w:r>
            <w:r w:rsidRPr="00404DA5">
              <w:rPr>
                <w:rFonts w:cs="Calibri"/>
                <w:bCs/>
                <w:color w:val="000000"/>
                <w:sz w:val="18"/>
                <w:szCs w:val="20"/>
              </w:rPr>
              <w:br/>
              <w:t>[EUR]</w:t>
            </w:r>
          </w:p>
        </w:tc>
        <w:tc>
          <w:tcPr>
            <w:tcW w:w="1418" w:type="dxa"/>
            <w:shd w:val="clear" w:color="auto" w:fill="DBE5F1"/>
            <w:tcMar>
              <w:left w:w="108" w:type="dxa"/>
            </w:tcMar>
            <w:vAlign w:val="center"/>
          </w:tcPr>
          <w:p w14:paraId="2FC9E7C1" w14:textId="77777777" w:rsidR="00EF2A15" w:rsidRPr="00404DA5" w:rsidRDefault="00EF2A15" w:rsidP="00EF2A15">
            <w:pPr>
              <w:jc w:val="center"/>
              <w:rPr>
                <w:color w:val="FF0000"/>
                <w:sz w:val="18"/>
                <w:szCs w:val="20"/>
              </w:rPr>
            </w:pPr>
            <w:r w:rsidRPr="00404DA5">
              <w:rPr>
                <w:rFonts w:cs="Calibri"/>
                <w:sz w:val="18"/>
                <w:szCs w:val="20"/>
              </w:rPr>
              <w:t>Kontraktacja</w:t>
            </w:r>
            <w:r w:rsidR="00E66B89">
              <w:rPr>
                <w:rFonts w:cs="Calibri"/>
                <w:sz w:val="18"/>
                <w:szCs w:val="20"/>
              </w:rPr>
              <w:t xml:space="preserve"> z </w:t>
            </w:r>
            <w:r w:rsidRPr="00E80CCE">
              <w:rPr>
                <w:sz w:val="18"/>
              </w:rPr>
              <w:t>środkami rezerwy wykonania</w:t>
            </w:r>
            <w:r w:rsidRPr="00404DA5">
              <w:rPr>
                <w:rFonts w:cs="Calibri"/>
                <w:sz w:val="18"/>
                <w:szCs w:val="20"/>
              </w:rPr>
              <w:t xml:space="preserve"> [%]</w:t>
            </w:r>
          </w:p>
        </w:tc>
        <w:tc>
          <w:tcPr>
            <w:tcW w:w="1412" w:type="dxa"/>
            <w:shd w:val="clear" w:color="auto" w:fill="DBE5F1"/>
            <w:vAlign w:val="center"/>
          </w:tcPr>
          <w:p w14:paraId="6FCC90CE" w14:textId="77777777" w:rsidR="00EF2A15" w:rsidRPr="00404DA5" w:rsidRDefault="00EF2A15" w:rsidP="00EF2A15">
            <w:pPr>
              <w:jc w:val="center"/>
              <w:rPr>
                <w:rFonts w:cs="Calibri"/>
                <w:sz w:val="18"/>
                <w:szCs w:val="20"/>
              </w:rPr>
            </w:pPr>
            <w:r w:rsidRPr="00404DA5">
              <w:rPr>
                <w:rFonts w:cs="Calibri"/>
                <w:sz w:val="18"/>
                <w:szCs w:val="20"/>
              </w:rPr>
              <w:t xml:space="preserve">Kontraktacja </w:t>
            </w:r>
            <w:r w:rsidRPr="00E80CCE">
              <w:rPr>
                <w:sz w:val="18"/>
              </w:rPr>
              <w:t>bez środków rezerwy wykonania</w:t>
            </w:r>
            <w:r w:rsidRPr="00404DA5">
              <w:rPr>
                <w:rFonts w:cs="Calibri"/>
                <w:sz w:val="18"/>
                <w:szCs w:val="20"/>
              </w:rPr>
              <w:t xml:space="preserve"> [%]</w:t>
            </w:r>
          </w:p>
        </w:tc>
      </w:tr>
      <w:tr w:rsidR="00EF2A15" w:rsidRPr="00B2711F" w14:paraId="67C03913" w14:textId="77777777" w:rsidTr="00983C73">
        <w:trPr>
          <w:trHeight w:val="501"/>
        </w:trPr>
        <w:tc>
          <w:tcPr>
            <w:tcW w:w="704" w:type="dxa"/>
            <w:shd w:val="clear" w:color="auto" w:fill="auto"/>
            <w:tcMar>
              <w:left w:w="108" w:type="dxa"/>
            </w:tcMar>
            <w:vAlign w:val="center"/>
          </w:tcPr>
          <w:p w14:paraId="3A3C2D6F" w14:textId="77777777" w:rsidR="00EF2A15" w:rsidRPr="00404DA5" w:rsidRDefault="00EF2A15" w:rsidP="00EF2A15">
            <w:pPr>
              <w:jc w:val="center"/>
              <w:rPr>
                <w:sz w:val="18"/>
                <w:szCs w:val="20"/>
              </w:rPr>
            </w:pPr>
            <w:r w:rsidRPr="00404DA5">
              <w:rPr>
                <w:rFonts w:cs="Calibri"/>
                <w:color w:val="000000"/>
                <w:sz w:val="18"/>
                <w:szCs w:val="20"/>
              </w:rPr>
              <w:t>5.7</w:t>
            </w:r>
          </w:p>
        </w:tc>
        <w:tc>
          <w:tcPr>
            <w:tcW w:w="467" w:type="dxa"/>
            <w:shd w:val="clear" w:color="auto" w:fill="auto"/>
            <w:tcMar>
              <w:left w:w="108" w:type="dxa"/>
            </w:tcMar>
            <w:vAlign w:val="center"/>
          </w:tcPr>
          <w:p w14:paraId="31A7C940" w14:textId="77777777" w:rsidR="00EF2A15" w:rsidRPr="00404DA5" w:rsidRDefault="00EF2A15" w:rsidP="00EF2A15">
            <w:pPr>
              <w:jc w:val="center"/>
              <w:rPr>
                <w:sz w:val="18"/>
                <w:szCs w:val="20"/>
              </w:rPr>
            </w:pPr>
            <w:r w:rsidRPr="00404DA5">
              <w:rPr>
                <w:rFonts w:cs="Calibri"/>
                <w:color w:val="000000"/>
                <w:sz w:val="18"/>
                <w:szCs w:val="20"/>
              </w:rPr>
              <w:t>7</w:t>
            </w:r>
          </w:p>
        </w:tc>
        <w:tc>
          <w:tcPr>
            <w:tcW w:w="420" w:type="dxa"/>
            <w:shd w:val="clear" w:color="auto" w:fill="auto"/>
            <w:tcMar>
              <w:left w:w="108" w:type="dxa"/>
            </w:tcMar>
            <w:vAlign w:val="center"/>
          </w:tcPr>
          <w:p w14:paraId="0CE0727F" w14:textId="77777777" w:rsidR="00EF2A15" w:rsidRPr="00404DA5" w:rsidRDefault="00EF2A15" w:rsidP="00EF2A15">
            <w:pPr>
              <w:jc w:val="center"/>
              <w:rPr>
                <w:sz w:val="18"/>
                <w:szCs w:val="20"/>
              </w:rPr>
            </w:pPr>
            <w:r w:rsidRPr="00404DA5">
              <w:rPr>
                <w:rFonts w:cs="Calibri"/>
                <w:color w:val="000000"/>
                <w:sz w:val="18"/>
                <w:szCs w:val="20"/>
              </w:rPr>
              <w:t>7c</w:t>
            </w:r>
          </w:p>
        </w:tc>
        <w:tc>
          <w:tcPr>
            <w:tcW w:w="2373" w:type="dxa"/>
            <w:shd w:val="clear" w:color="auto" w:fill="auto"/>
            <w:tcMar>
              <w:left w:w="108" w:type="dxa"/>
            </w:tcMar>
            <w:vAlign w:val="center"/>
          </w:tcPr>
          <w:p w14:paraId="1995283D" w14:textId="77777777" w:rsidR="00EF2A15" w:rsidRPr="00404DA5" w:rsidRDefault="00EF2A15" w:rsidP="00EF2A15">
            <w:pPr>
              <w:jc w:val="center"/>
              <w:rPr>
                <w:sz w:val="18"/>
                <w:szCs w:val="20"/>
              </w:rPr>
            </w:pPr>
            <w:r w:rsidRPr="00404DA5">
              <w:rPr>
                <w:rFonts w:cs="Calibri"/>
                <w:color w:val="000000"/>
                <w:sz w:val="18"/>
                <w:szCs w:val="20"/>
              </w:rPr>
              <w:t>10 000 000,00</w:t>
            </w:r>
          </w:p>
        </w:tc>
        <w:tc>
          <w:tcPr>
            <w:tcW w:w="1117" w:type="dxa"/>
            <w:shd w:val="clear" w:color="auto" w:fill="auto"/>
            <w:tcMar>
              <w:left w:w="108" w:type="dxa"/>
            </w:tcMar>
            <w:vAlign w:val="center"/>
          </w:tcPr>
          <w:p w14:paraId="0A35652F" w14:textId="77777777" w:rsidR="00EF2A15" w:rsidRPr="00404DA5" w:rsidRDefault="00EF2A15" w:rsidP="00EF2A15">
            <w:pPr>
              <w:jc w:val="center"/>
              <w:rPr>
                <w:sz w:val="18"/>
                <w:szCs w:val="20"/>
              </w:rPr>
            </w:pPr>
            <w:r w:rsidRPr="00404DA5">
              <w:rPr>
                <w:rFonts w:cs="Calibri"/>
                <w:color w:val="000000"/>
                <w:sz w:val="18"/>
                <w:szCs w:val="20"/>
              </w:rPr>
              <w:t>10 000 000,00</w:t>
            </w:r>
          </w:p>
        </w:tc>
        <w:tc>
          <w:tcPr>
            <w:tcW w:w="1151" w:type="dxa"/>
            <w:shd w:val="clear" w:color="auto" w:fill="auto"/>
            <w:tcMar>
              <w:left w:w="108" w:type="dxa"/>
            </w:tcMar>
            <w:vAlign w:val="center"/>
          </w:tcPr>
          <w:p w14:paraId="3D777851" w14:textId="77777777" w:rsidR="00EF2A15" w:rsidRPr="00404DA5" w:rsidRDefault="00EF2A15" w:rsidP="00EF2A15">
            <w:pPr>
              <w:jc w:val="center"/>
              <w:rPr>
                <w:sz w:val="18"/>
                <w:szCs w:val="20"/>
              </w:rPr>
            </w:pPr>
            <w:r w:rsidRPr="00404DA5">
              <w:rPr>
                <w:rFonts w:cs="Calibri"/>
                <w:color w:val="000000"/>
                <w:sz w:val="18"/>
                <w:szCs w:val="20"/>
              </w:rPr>
              <w:t>0,00</w:t>
            </w:r>
          </w:p>
        </w:tc>
        <w:tc>
          <w:tcPr>
            <w:tcW w:w="1418" w:type="dxa"/>
            <w:shd w:val="clear" w:color="auto" w:fill="auto"/>
            <w:tcMar>
              <w:left w:w="108" w:type="dxa"/>
            </w:tcMar>
            <w:vAlign w:val="center"/>
          </w:tcPr>
          <w:p w14:paraId="2B4F96C4" w14:textId="77777777" w:rsidR="00EF2A15" w:rsidRPr="00404DA5" w:rsidRDefault="00EF2A15" w:rsidP="00EF2A15">
            <w:pPr>
              <w:jc w:val="center"/>
              <w:rPr>
                <w:color w:val="000000"/>
                <w:sz w:val="18"/>
                <w:szCs w:val="20"/>
              </w:rPr>
            </w:pPr>
            <w:r w:rsidRPr="00404DA5">
              <w:rPr>
                <w:rFonts w:cs="Calibri"/>
                <w:color w:val="000000"/>
                <w:sz w:val="18"/>
                <w:szCs w:val="20"/>
              </w:rPr>
              <w:t>97,9%</w:t>
            </w:r>
          </w:p>
        </w:tc>
        <w:tc>
          <w:tcPr>
            <w:tcW w:w="1412" w:type="dxa"/>
            <w:shd w:val="clear" w:color="auto" w:fill="auto"/>
            <w:vAlign w:val="center"/>
          </w:tcPr>
          <w:p w14:paraId="2757A0CA" w14:textId="77777777" w:rsidR="00EF2A15" w:rsidRPr="00404DA5" w:rsidRDefault="00EF2A15" w:rsidP="00EF2A15">
            <w:pPr>
              <w:jc w:val="center"/>
              <w:rPr>
                <w:rFonts w:cs="Calibri"/>
                <w:color w:val="000000"/>
                <w:sz w:val="18"/>
                <w:szCs w:val="20"/>
              </w:rPr>
            </w:pPr>
            <w:r w:rsidRPr="00404DA5">
              <w:rPr>
                <w:rFonts w:cs="Calibri"/>
                <w:color w:val="000000"/>
                <w:sz w:val="18"/>
                <w:szCs w:val="20"/>
              </w:rPr>
              <w:t>97,9%</w:t>
            </w:r>
          </w:p>
        </w:tc>
      </w:tr>
    </w:tbl>
    <w:p w14:paraId="545A89FC" w14:textId="77777777" w:rsidR="00EF2A15" w:rsidRPr="00EE66C6" w:rsidRDefault="00EF2A15" w:rsidP="005A06CB">
      <w:pPr>
        <w:spacing w:before="0"/>
        <w:rPr>
          <w:i/>
          <w:sz w:val="18"/>
          <w:szCs w:val="20"/>
        </w:rPr>
      </w:pPr>
      <w:r w:rsidRPr="00EE66C6">
        <w:rPr>
          <w:i/>
          <w:sz w:val="18"/>
          <w:szCs w:val="20"/>
        </w:rPr>
        <w:t>Źródło: RPO WZ 2014-2020, Wysokość alokacji na podstawie danych przekazanych przez Zamawiającego (stan</w:t>
      </w:r>
      <w:r w:rsidR="00E66B89" w:rsidRPr="00EE66C6">
        <w:rPr>
          <w:i/>
          <w:sz w:val="18"/>
          <w:szCs w:val="20"/>
        </w:rPr>
        <w:t xml:space="preserve"> z </w:t>
      </w:r>
      <w:r w:rsidRPr="00EE66C6">
        <w:rPr>
          <w:i/>
          <w:sz w:val="18"/>
          <w:szCs w:val="20"/>
        </w:rPr>
        <w:t>dnia 7.01.2019 roku).</w:t>
      </w:r>
    </w:p>
    <w:p w14:paraId="306C5A98" w14:textId="77777777" w:rsidR="00EF2A15" w:rsidRPr="00C96CD7" w:rsidRDefault="00EF2A15" w:rsidP="00EF2A15">
      <w:pPr>
        <w:rPr>
          <w:rFonts w:eastAsia="Calibri"/>
          <w:szCs w:val="20"/>
        </w:rPr>
      </w:pPr>
      <w:r w:rsidRPr="000A135E">
        <w:rPr>
          <w:rFonts w:eastAsia="Calibri"/>
          <w:szCs w:val="20"/>
        </w:rPr>
        <w:t xml:space="preserve">Stan zakontraktowania alokacji wskazuje na niski potencjał dalszego pozyskiwania jednostek wskaźników. </w:t>
      </w:r>
      <w:r>
        <w:rPr>
          <w:rFonts w:eastAsia="Calibri"/>
          <w:szCs w:val="20"/>
        </w:rPr>
        <w:t>Występuje potencjał aplikacyjny beneficjenta UMS – np.</w:t>
      </w:r>
      <w:r w:rsidR="00E66B89">
        <w:rPr>
          <w:rFonts w:eastAsia="Calibri"/>
          <w:szCs w:val="20"/>
        </w:rPr>
        <w:t xml:space="preserve"> w </w:t>
      </w:r>
      <w:r>
        <w:rPr>
          <w:rFonts w:eastAsia="Calibri"/>
          <w:szCs w:val="20"/>
        </w:rPr>
        <w:t>zakresie przebudowy falochronów na torach wodnych Świnoujścia. Niemniej jednak należy podkreślić, że p</w:t>
      </w:r>
      <w:r w:rsidRPr="000A135E">
        <w:rPr>
          <w:rFonts w:eastAsia="Calibri"/>
          <w:szCs w:val="20"/>
        </w:rPr>
        <w:t>ilne potrzeby regionu</w:t>
      </w:r>
      <w:r w:rsidR="00E66B89">
        <w:rPr>
          <w:rFonts w:eastAsia="Calibri"/>
          <w:szCs w:val="20"/>
        </w:rPr>
        <w:t xml:space="preserve"> w </w:t>
      </w:r>
      <w:r w:rsidRPr="000A135E">
        <w:rPr>
          <w:rFonts w:eastAsia="Calibri"/>
          <w:szCs w:val="20"/>
        </w:rPr>
        <w:t>zakresie modernizacji dróg wodnych</w:t>
      </w:r>
      <w:r>
        <w:rPr>
          <w:rFonts w:eastAsia="Calibri"/>
          <w:szCs w:val="20"/>
        </w:rPr>
        <w:t xml:space="preserve"> -</w:t>
      </w:r>
      <w:r w:rsidRPr="000A135E">
        <w:rPr>
          <w:rFonts w:eastAsia="Calibri"/>
          <w:szCs w:val="20"/>
        </w:rPr>
        <w:t xml:space="preserve"> wyszczególnione</w:t>
      </w:r>
      <w:r w:rsidR="00E66B89">
        <w:rPr>
          <w:rFonts w:eastAsia="Calibri"/>
          <w:szCs w:val="20"/>
        </w:rPr>
        <w:t xml:space="preserve"> w </w:t>
      </w:r>
      <w:r w:rsidRPr="000A135E">
        <w:rPr>
          <w:rFonts w:eastAsia="Calibri"/>
          <w:szCs w:val="20"/>
        </w:rPr>
        <w:t>Planie Strategicznym Transportu</w:t>
      </w:r>
      <w:r w:rsidR="00E66B89">
        <w:rPr>
          <w:rFonts w:eastAsia="Calibri"/>
          <w:szCs w:val="20"/>
        </w:rPr>
        <w:t xml:space="preserve"> w </w:t>
      </w:r>
      <w:r w:rsidRPr="000A135E">
        <w:rPr>
          <w:rFonts w:eastAsia="Calibri"/>
          <w:szCs w:val="20"/>
        </w:rPr>
        <w:t xml:space="preserve">województwie zachodniopomorskim </w:t>
      </w:r>
      <w:r>
        <w:rPr>
          <w:rFonts w:eastAsia="Calibri"/>
          <w:szCs w:val="20"/>
        </w:rPr>
        <w:t xml:space="preserve">- </w:t>
      </w:r>
      <w:r w:rsidRPr="000A135E">
        <w:rPr>
          <w:rFonts w:eastAsia="Calibri"/>
          <w:szCs w:val="20"/>
        </w:rPr>
        <w:t xml:space="preserve">zostały zaspokojone. </w:t>
      </w:r>
    </w:p>
    <w:p w14:paraId="47DC4F16"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Prognozy osiągnięcia celów zakładanych na 2023 rok</w:t>
      </w:r>
    </w:p>
    <w:p w14:paraId="69D2DEF9" w14:textId="77777777" w:rsidR="00EF2A15" w:rsidRPr="00404DA5" w:rsidRDefault="00EF2A15" w:rsidP="00EF2A15">
      <w:pPr>
        <w:rPr>
          <w:rFonts w:cs="Calibri"/>
          <w:bCs/>
          <w:i/>
          <w:color w:val="4F81BD"/>
          <w:szCs w:val="20"/>
        </w:rPr>
      </w:pPr>
      <w:r w:rsidRPr="00404DA5">
        <w:rPr>
          <w:rFonts w:cs="Calibri"/>
          <w:szCs w:val="20"/>
        </w:rPr>
        <w:t>Obecny stan wdrażania Programu nie pozwala na dalsze osiąganie wskaźników programowych. Ewentualne zwiększenie alokacji na Działanie 5.7 nie byłoby zasadne ze względu na osiągnięcie,</w:t>
      </w:r>
      <w:r w:rsidR="00E66B89">
        <w:rPr>
          <w:rFonts w:cs="Calibri"/>
          <w:szCs w:val="20"/>
        </w:rPr>
        <w:t xml:space="preserve"> a </w:t>
      </w:r>
      <w:r w:rsidRPr="00404DA5">
        <w:rPr>
          <w:rFonts w:cs="Calibri"/>
          <w:szCs w:val="20"/>
        </w:rPr>
        <w:t xml:space="preserve">nawet przekroczenie zobowiązań wskaźnikowych RPO WZ 2014-2020. </w:t>
      </w:r>
      <w:r w:rsidRPr="00531959">
        <w:rPr>
          <w:rFonts w:cs="Calibri"/>
          <w:szCs w:val="20"/>
        </w:rPr>
        <w:t xml:space="preserve">Zaleca się </w:t>
      </w:r>
      <w:r w:rsidRPr="008B706B">
        <w:rPr>
          <w:rFonts w:cs="Calibri"/>
          <w:szCs w:val="20"/>
        </w:rPr>
        <w:t xml:space="preserve">rozważenie </w:t>
      </w:r>
      <w:r w:rsidRPr="00531959">
        <w:rPr>
          <w:rFonts w:cs="Calibri"/>
          <w:szCs w:val="20"/>
        </w:rPr>
        <w:t>zwiększeni</w:t>
      </w:r>
      <w:r w:rsidRPr="008B706B">
        <w:rPr>
          <w:rFonts w:cs="Calibri"/>
          <w:szCs w:val="20"/>
        </w:rPr>
        <w:t>a</w:t>
      </w:r>
      <w:r w:rsidRPr="00531959">
        <w:rPr>
          <w:rFonts w:cs="Calibri"/>
          <w:szCs w:val="20"/>
        </w:rPr>
        <w:t xml:space="preserve"> wartości docelowej wskaźnika </w:t>
      </w:r>
      <w:r w:rsidRPr="008B706B">
        <w:rPr>
          <w:rFonts w:cs="Calibri"/>
          <w:i/>
          <w:color w:val="000000"/>
          <w:szCs w:val="20"/>
        </w:rPr>
        <w:t>Całkowita długość ulepszonych lub utworzonych śródlądowych dróg wodnych</w:t>
      </w:r>
      <w:r w:rsidR="00E66B89">
        <w:rPr>
          <w:rFonts w:cs="Calibri"/>
          <w:szCs w:val="20"/>
        </w:rPr>
        <w:t xml:space="preserve"> z </w:t>
      </w:r>
      <w:r w:rsidRPr="00531959">
        <w:rPr>
          <w:rFonts w:cs="Calibri"/>
          <w:szCs w:val="20"/>
        </w:rPr>
        <w:t>10 do 155 km</w:t>
      </w:r>
      <w:r>
        <w:rPr>
          <w:rFonts w:cs="Calibri"/>
          <w:szCs w:val="20"/>
        </w:rPr>
        <w:t>.</w:t>
      </w:r>
      <w:r w:rsidRPr="00404DA5">
        <w:rPr>
          <w:rFonts w:cs="Calibri"/>
          <w:szCs w:val="20"/>
        </w:rPr>
        <w:t xml:space="preserve"> </w:t>
      </w:r>
    </w:p>
    <w:p w14:paraId="2664C062" w14:textId="77777777" w:rsidR="00983C73" w:rsidRDefault="00983C73">
      <w:pPr>
        <w:spacing w:before="0" w:after="0" w:line="240" w:lineRule="auto"/>
        <w:jc w:val="left"/>
        <w:rPr>
          <w:rFonts w:eastAsia="Lato"/>
          <w:bCs/>
          <w:i/>
          <w:color w:val="4F81BD"/>
          <w:szCs w:val="20"/>
          <w:lang w:val="x-none" w:eastAsia="x-none"/>
        </w:rPr>
      </w:pPr>
      <w:bookmarkStart w:id="162" w:name="_Toc8824193"/>
      <w:r>
        <w:br w:type="page"/>
      </w:r>
    </w:p>
    <w:p w14:paraId="59C0EA72" w14:textId="6CF5A26A" w:rsidR="00EF2A15" w:rsidRPr="00754ED4" w:rsidRDefault="00EF2A15" w:rsidP="00754ED4">
      <w:pPr>
        <w:pStyle w:val="Legenda"/>
        <w:spacing w:after="0"/>
      </w:pPr>
      <w:r w:rsidRPr="00404DA5">
        <w:lastRenderedPageBreak/>
        <w:t xml:space="preserve">Tabela </w:t>
      </w:r>
      <w:r>
        <w:fldChar w:fldCharType="begin"/>
      </w:r>
      <w:r>
        <w:instrText xml:space="preserve"> SEQ Tabela \* ARABIC </w:instrText>
      </w:r>
      <w:r>
        <w:fldChar w:fldCharType="separate"/>
      </w:r>
      <w:r w:rsidR="00763345">
        <w:rPr>
          <w:noProof/>
        </w:rPr>
        <w:t>82</w:t>
      </w:r>
      <w:r>
        <w:fldChar w:fldCharType="end"/>
      </w:r>
      <w:r w:rsidRPr="00404DA5">
        <w:t xml:space="preserve"> Prognozowany poziom realizacji wskaźników produktu</w:t>
      </w:r>
      <w:r w:rsidR="00E66B89">
        <w:t xml:space="preserve"> i </w:t>
      </w:r>
      <w:r w:rsidRPr="00404DA5">
        <w:t>rezultatu bezpośredniego na rok 2023 – PI 7c</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650"/>
        <w:gridCol w:w="1418"/>
        <w:gridCol w:w="1417"/>
        <w:gridCol w:w="1554"/>
      </w:tblGrid>
      <w:tr w:rsidR="00EF2A15" w:rsidRPr="00B2711F" w14:paraId="2BAB1593" w14:textId="77777777" w:rsidTr="00983C73">
        <w:trPr>
          <w:trHeight w:val="1091"/>
          <w:tblHeader/>
        </w:trPr>
        <w:tc>
          <w:tcPr>
            <w:tcW w:w="1023" w:type="dxa"/>
            <w:shd w:val="clear" w:color="auto" w:fill="DBE5F1"/>
            <w:vAlign w:val="center"/>
          </w:tcPr>
          <w:p w14:paraId="58EEF825" w14:textId="77777777" w:rsidR="00EF2A15" w:rsidRPr="00404DA5" w:rsidRDefault="00EF2A15" w:rsidP="00EF2A15">
            <w:pPr>
              <w:jc w:val="center"/>
              <w:rPr>
                <w:rFonts w:cs="Calibri"/>
                <w:sz w:val="18"/>
                <w:szCs w:val="20"/>
              </w:rPr>
            </w:pPr>
            <w:r w:rsidRPr="00404DA5">
              <w:rPr>
                <w:rFonts w:cs="Calibri"/>
                <w:sz w:val="18"/>
                <w:szCs w:val="20"/>
              </w:rPr>
              <w:t>Typ wskaźnika</w:t>
            </w:r>
          </w:p>
        </w:tc>
        <w:tc>
          <w:tcPr>
            <w:tcW w:w="3650" w:type="dxa"/>
            <w:shd w:val="clear" w:color="auto" w:fill="DBE5F1"/>
            <w:vAlign w:val="center"/>
          </w:tcPr>
          <w:p w14:paraId="62B29063" w14:textId="77777777" w:rsidR="00EF2A15" w:rsidRPr="00404DA5" w:rsidRDefault="00EF2A15" w:rsidP="00EF2A15">
            <w:pPr>
              <w:jc w:val="center"/>
              <w:rPr>
                <w:rFonts w:cs="Calibri"/>
                <w:sz w:val="18"/>
                <w:szCs w:val="20"/>
              </w:rPr>
            </w:pPr>
            <w:r w:rsidRPr="00404DA5">
              <w:rPr>
                <w:rFonts w:cs="Calibri"/>
                <w:sz w:val="18"/>
                <w:szCs w:val="20"/>
              </w:rPr>
              <w:t>Wskaźnik</w:t>
            </w:r>
          </w:p>
        </w:tc>
        <w:tc>
          <w:tcPr>
            <w:tcW w:w="1418" w:type="dxa"/>
            <w:shd w:val="clear" w:color="auto" w:fill="DBE5F1"/>
          </w:tcPr>
          <w:p w14:paraId="775A03D9" w14:textId="77777777" w:rsidR="00EF2A15" w:rsidRPr="00404DA5" w:rsidRDefault="00EF2A15" w:rsidP="00EF2A15">
            <w:pPr>
              <w:jc w:val="center"/>
              <w:rPr>
                <w:rFonts w:cs="Calibri"/>
                <w:sz w:val="18"/>
                <w:szCs w:val="20"/>
              </w:rPr>
            </w:pPr>
            <w:r w:rsidRPr="00404DA5">
              <w:rPr>
                <w:rFonts w:cs="Calibri"/>
                <w:sz w:val="18"/>
                <w:szCs w:val="20"/>
              </w:rPr>
              <w:t>Wartość docelowa określona na 2023 rok</w:t>
            </w:r>
          </w:p>
        </w:tc>
        <w:tc>
          <w:tcPr>
            <w:tcW w:w="1417" w:type="dxa"/>
            <w:shd w:val="clear" w:color="auto" w:fill="DBE5F1"/>
            <w:vAlign w:val="center"/>
          </w:tcPr>
          <w:p w14:paraId="53528C86" w14:textId="77777777" w:rsidR="00EF2A15" w:rsidRPr="00404DA5" w:rsidRDefault="00EF2A15" w:rsidP="00EF2A15">
            <w:pPr>
              <w:jc w:val="center"/>
              <w:rPr>
                <w:rFonts w:cs="Calibri"/>
                <w:sz w:val="18"/>
                <w:szCs w:val="20"/>
              </w:rPr>
            </w:pPr>
            <w:r w:rsidRPr="00404DA5">
              <w:rPr>
                <w:rFonts w:cs="Calibri"/>
                <w:sz w:val="18"/>
                <w:szCs w:val="20"/>
              </w:rPr>
              <w:t xml:space="preserve">Prognozowana całkowita wartość wskaźnika </w:t>
            </w:r>
          </w:p>
        </w:tc>
        <w:tc>
          <w:tcPr>
            <w:tcW w:w="1554" w:type="dxa"/>
            <w:shd w:val="clear" w:color="auto" w:fill="DBE5F1"/>
            <w:vAlign w:val="center"/>
          </w:tcPr>
          <w:p w14:paraId="20E5D1B7" w14:textId="77777777" w:rsidR="00EF2A15" w:rsidRPr="00404DA5" w:rsidRDefault="00EF2A15" w:rsidP="00EF2A15">
            <w:pPr>
              <w:jc w:val="center"/>
              <w:rPr>
                <w:rFonts w:cs="Calibri"/>
                <w:sz w:val="18"/>
                <w:szCs w:val="20"/>
              </w:rPr>
            </w:pPr>
            <w:r w:rsidRPr="00404DA5">
              <w:rPr>
                <w:rFonts w:cs="Calibri"/>
                <w:sz w:val="18"/>
                <w:szCs w:val="20"/>
              </w:rPr>
              <w:t>Prognozowany % realizacji wartości docelowej</w:t>
            </w:r>
          </w:p>
        </w:tc>
      </w:tr>
      <w:tr w:rsidR="00EF2A15" w:rsidRPr="00B2711F" w14:paraId="2BAF6DAD" w14:textId="77777777" w:rsidTr="00983C73">
        <w:trPr>
          <w:trHeight w:val="705"/>
        </w:trPr>
        <w:tc>
          <w:tcPr>
            <w:tcW w:w="1023" w:type="dxa"/>
            <w:shd w:val="clear" w:color="auto" w:fill="auto"/>
            <w:vAlign w:val="center"/>
          </w:tcPr>
          <w:p w14:paraId="5D6775CD" w14:textId="77777777" w:rsidR="00EF2A15" w:rsidRPr="00404DA5" w:rsidRDefault="00EF2A15" w:rsidP="00EF2A15">
            <w:pPr>
              <w:rPr>
                <w:rFonts w:cs="Calibri"/>
                <w:sz w:val="18"/>
                <w:szCs w:val="20"/>
              </w:rPr>
            </w:pPr>
            <w:r w:rsidRPr="00404DA5">
              <w:rPr>
                <w:rFonts w:cs="Calibri"/>
                <w:sz w:val="18"/>
                <w:szCs w:val="20"/>
              </w:rPr>
              <w:t>WP</w:t>
            </w:r>
          </w:p>
        </w:tc>
        <w:tc>
          <w:tcPr>
            <w:tcW w:w="3650" w:type="dxa"/>
            <w:shd w:val="clear" w:color="auto" w:fill="auto"/>
          </w:tcPr>
          <w:p w14:paraId="651F2BA9" w14:textId="77777777" w:rsidR="00EF2A15" w:rsidRPr="00404DA5" w:rsidRDefault="00EF2A15" w:rsidP="00EF2A15">
            <w:pPr>
              <w:rPr>
                <w:rFonts w:cs="Calibri"/>
                <w:sz w:val="18"/>
                <w:szCs w:val="20"/>
              </w:rPr>
            </w:pPr>
            <w:r w:rsidRPr="00404DA5">
              <w:rPr>
                <w:rFonts w:cs="Calibri"/>
                <w:color w:val="000000"/>
                <w:sz w:val="18"/>
                <w:szCs w:val="20"/>
              </w:rPr>
              <w:t>Całkowita długość ulepszonych lub utworzonych śródlądowych dróg wodnych</w:t>
            </w:r>
          </w:p>
        </w:tc>
        <w:tc>
          <w:tcPr>
            <w:tcW w:w="1418" w:type="dxa"/>
            <w:shd w:val="clear" w:color="auto" w:fill="auto"/>
            <w:vAlign w:val="center"/>
          </w:tcPr>
          <w:p w14:paraId="77DAEBB3" w14:textId="77777777" w:rsidR="00EF2A15" w:rsidRPr="00404DA5" w:rsidRDefault="00EF2A15" w:rsidP="00EF2A15">
            <w:pPr>
              <w:jc w:val="center"/>
              <w:rPr>
                <w:rFonts w:cs="Calibri"/>
                <w:sz w:val="18"/>
                <w:szCs w:val="20"/>
              </w:rPr>
            </w:pPr>
            <w:r w:rsidRPr="00404DA5">
              <w:rPr>
                <w:rFonts w:cs="Calibri"/>
                <w:sz w:val="18"/>
                <w:szCs w:val="20"/>
              </w:rPr>
              <w:t>1</w:t>
            </w:r>
            <w:r>
              <w:rPr>
                <w:rFonts w:cs="Calibri"/>
                <w:sz w:val="18"/>
                <w:szCs w:val="20"/>
              </w:rPr>
              <w:t>0</w:t>
            </w:r>
          </w:p>
        </w:tc>
        <w:tc>
          <w:tcPr>
            <w:tcW w:w="1417" w:type="dxa"/>
            <w:shd w:val="clear" w:color="auto" w:fill="auto"/>
            <w:vAlign w:val="center"/>
          </w:tcPr>
          <w:p w14:paraId="24913527" w14:textId="77777777" w:rsidR="00EF2A15" w:rsidRPr="00404DA5" w:rsidRDefault="00EF2A15" w:rsidP="00EF2A15">
            <w:pPr>
              <w:jc w:val="center"/>
              <w:rPr>
                <w:rFonts w:cs="Calibri"/>
                <w:sz w:val="18"/>
                <w:szCs w:val="20"/>
              </w:rPr>
            </w:pPr>
            <w:r w:rsidRPr="00404DA5">
              <w:rPr>
                <w:rFonts w:cs="Calibri"/>
                <w:sz w:val="18"/>
                <w:szCs w:val="20"/>
              </w:rPr>
              <w:t>155</w:t>
            </w:r>
          </w:p>
        </w:tc>
        <w:tc>
          <w:tcPr>
            <w:tcW w:w="1554" w:type="dxa"/>
            <w:shd w:val="clear" w:color="auto" w:fill="auto"/>
            <w:vAlign w:val="center"/>
          </w:tcPr>
          <w:p w14:paraId="71B0EE35" w14:textId="77777777" w:rsidR="00EF2A15" w:rsidRPr="00404DA5" w:rsidRDefault="00EF2A15" w:rsidP="00EF2A15">
            <w:pPr>
              <w:jc w:val="center"/>
              <w:rPr>
                <w:rFonts w:cs="Calibri"/>
                <w:sz w:val="18"/>
                <w:szCs w:val="20"/>
              </w:rPr>
            </w:pPr>
            <w:r w:rsidRPr="00404DA5">
              <w:rPr>
                <w:rFonts w:cs="Calibri"/>
                <w:sz w:val="18"/>
                <w:szCs w:val="20"/>
              </w:rPr>
              <w:t>1553%</w:t>
            </w:r>
          </w:p>
        </w:tc>
      </w:tr>
    </w:tbl>
    <w:p w14:paraId="040F5A98" w14:textId="77777777" w:rsidR="00EF2A15" w:rsidRPr="00EE66C6" w:rsidRDefault="00EF2A15" w:rsidP="005A06CB">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5C133D67" w14:textId="77777777" w:rsidR="00EF2A15" w:rsidRPr="000A135E" w:rsidRDefault="00EF2A15" w:rsidP="00EF2A15">
      <w:pPr>
        <w:pStyle w:val="Nagwek4"/>
        <w:numPr>
          <w:ilvl w:val="0"/>
          <w:numId w:val="0"/>
        </w:numPr>
        <w:spacing w:before="120"/>
        <w:rPr>
          <w:rFonts w:ascii="Lato" w:eastAsia="Calibri" w:hAnsi="Lato"/>
          <w:szCs w:val="20"/>
        </w:rPr>
      </w:pPr>
      <w:r w:rsidRPr="000A135E">
        <w:rPr>
          <w:rFonts w:ascii="Lato" w:eastAsia="Calibri" w:hAnsi="Lato"/>
          <w:szCs w:val="20"/>
        </w:rPr>
        <w:t>Możliwości zarządzania środkami rezerwy wykonania</w:t>
      </w:r>
      <w:r w:rsidR="00E66B89">
        <w:rPr>
          <w:rFonts w:ascii="Lato" w:eastAsia="Calibri" w:hAnsi="Lato"/>
          <w:szCs w:val="20"/>
        </w:rPr>
        <w:t xml:space="preserve"> i </w:t>
      </w:r>
      <w:r w:rsidRPr="000A135E">
        <w:rPr>
          <w:rFonts w:ascii="Lato" w:eastAsia="Calibri" w:hAnsi="Lato"/>
          <w:szCs w:val="20"/>
        </w:rPr>
        <w:t>identyfikacja obszarów wymagających interwencji - podsumowanie</w:t>
      </w:r>
    </w:p>
    <w:p w14:paraId="69277D7E" w14:textId="77777777" w:rsidR="00EF2A15" w:rsidRDefault="00EF2A15" w:rsidP="00EF2A15">
      <w:pPr>
        <w:pStyle w:val="evaluTresc"/>
      </w:pPr>
      <w:r w:rsidRPr="00F91A66">
        <w:t>W PI 7c prognozowane jest wielokrotne przekroczenie celu końcowego Działania 5.7. PI 7c wykazuje niską wrażliwość na ewentualne zwiększenie dofinansowania.</w:t>
      </w:r>
    </w:p>
    <w:p w14:paraId="2B064C40" w14:textId="77777777" w:rsidR="00EF2A15" w:rsidRDefault="00EF2A15" w:rsidP="00EF2A15">
      <w:pPr>
        <w:pStyle w:val="evaluTresc"/>
        <w:rPr>
          <w:rFonts w:cs="Calibri"/>
          <w:color w:val="000000"/>
        </w:rPr>
      </w:pPr>
      <w:r w:rsidRPr="000A135E">
        <w:t>Biorąc pod uwagę obecny stan wdrażania Programu</w:t>
      </w:r>
      <w:r>
        <w:t>,</w:t>
      </w:r>
      <w:r w:rsidRPr="000A135E">
        <w:t xml:space="preserve"> zaleca się modyfikację wartości docelowej wskaźnika programowego </w:t>
      </w:r>
      <w:r w:rsidRPr="008B706B">
        <w:rPr>
          <w:rFonts w:cs="Calibri"/>
          <w:i/>
          <w:color w:val="000000"/>
        </w:rPr>
        <w:t>Całkowita długość ulepszonych lub utworzonych śródlądowych dróg wodnych</w:t>
      </w:r>
      <w:r w:rsidRPr="000A135E">
        <w:rPr>
          <w:rFonts w:cs="Calibri"/>
          <w:color w:val="000000"/>
        </w:rPr>
        <w:t>. Uzasadnieniem modyfikacji jest zmiana planów inwestycyjnych beneficjentów</w:t>
      </w:r>
      <w:r w:rsidR="00E66B89">
        <w:rPr>
          <w:rFonts w:cs="Calibri"/>
          <w:color w:val="000000"/>
        </w:rPr>
        <w:t xml:space="preserve"> w </w:t>
      </w:r>
      <w:r w:rsidRPr="000A135E">
        <w:rPr>
          <w:rFonts w:cs="Calibri"/>
          <w:color w:val="000000"/>
        </w:rPr>
        <w:t>stosunku do ich założeń na etapie programowania.</w:t>
      </w:r>
    </w:p>
    <w:p w14:paraId="2BA8084C" w14:textId="77777777" w:rsidR="00EF2A15" w:rsidRDefault="00EF2A15" w:rsidP="00EF2A15">
      <w:r>
        <w:t>Analiza zakresów przedmiotowych realizowanych projektów wskazuje na uwzględnienie</w:t>
      </w:r>
      <w:r w:rsidR="00E66B89">
        <w:t xml:space="preserve"> w </w:t>
      </w:r>
      <w:r>
        <w:t>tych interwencjach wszystkich możliwych typów projektów uwzględnionych</w:t>
      </w:r>
      <w:r w:rsidR="00E66B89">
        <w:t xml:space="preserve"> w </w:t>
      </w:r>
      <w:r>
        <w:t>dokumencie programowym. Realizowane</w:t>
      </w:r>
      <w:r w:rsidR="00E66B89">
        <w:t xml:space="preserve"> i </w:t>
      </w:r>
      <w:r>
        <w:t xml:space="preserve">planowane interwencje zakładają nie tylko pogłębienie torów wodnych, ale także </w:t>
      </w:r>
      <w:r w:rsidRPr="004C18C4">
        <w:t>poprawę bezpieczeństwa żeglugi oraz poprawę oznakowania nawigacyjnego</w:t>
      </w:r>
      <w:r w:rsidR="00E66B89">
        <w:t xml:space="preserve"> i </w:t>
      </w:r>
      <w:r w:rsidRPr="004C18C4">
        <w:t>wdrożeni</w:t>
      </w:r>
      <w:r>
        <w:t>e</w:t>
      </w:r>
      <w:r w:rsidRPr="004C18C4">
        <w:t xml:space="preserve"> skutecznych technik zarządzania</w:t>
      </w:r>
      <w:r w:rsidR="00E66B89">
        <w:t xml:space="preserve"> i </w:t>
      </w:r>
      <w:r w:rsidRPr="004C18C4">
        <w:t>monitorowania ruchu na tych drogach.</w:t>
      </w:r>
      <w:r>
        <w:t xml:space="preserve"> Nie zidentyfikowano deficytów</w:t>
      </w:r>
      <w:r w:rsidR="00E66B89">
        <w:t xml:space="preserve"> w </w:t>
      </w:r>
      <w:r>
        <w:t>zakresie typów projektów, na które zabrakło środków.</w:t>
      </w:r>
    </w:p>
    <w:p w14:paraId="6853054D" w14:textId="77777777" w:rsidR="009F2535" w:rsidRPr="00801DB4" w:rsidRDefault="009F2535" w:rsidP="00D45914">
      <w:pPr>
        <w:pStyle w:val="Nagwek2"/>
      </w:pPr>
      <w:bookmarkStart w:id="163" w:name="_Toc6523750"/>
      <w:r w:rsidRPr="00801DB4">
        <w:t>Oś priorytetowa VI Rynek pracy</w:t>
      </w:r>
      <w:bookmarkEnd w:id="163"/>
      <w:r w:rsidRPr="00801DB4">
        <w:t xml:space="preserve"> </w:t>
      </w:r>
    </w:p>
    <w:p w14:paraId="53FF55EE" w14:textId="77777777" w:rsidR="009F2535" w:rsidRDefault="00A556B2" w:rsidP="00410B29">
      <w:pPr>
        <w:pStyle w:val="Nagwek3"/>
      </w:pPr>
      <w:r w:rsidRPr="00FE43CD">
        <w:t>Ocena zmian sytuacji społeczno-gospodarczej</w:t>
      </w:r>
      <w:r w:rsidR="00E66B89">
        <w:t xml:space="preserve"> w </w:t>
      </w:r>
      <w:r w:rsidRPr="00FE43CD">
        <w:t xml:space="preserve">obszarze OP </w:t>
      </w:r>
      <w:r>
        <w:t>VI</w:t>
      </w:r>
    </w:p>
    <w:p w14:paraId="05906814" w14:textId="77777777" w:rsidR="00881780" w:rsidRDefault="00881780" w:rsidP="00881780">
      <w:pPr>
        <w:autoSpaceDE w:val="0"/>
        <w:autoSpaceDN w:val="0"/>
        <w:adjustRightInd w:val="0"/>
        <w:spacing w:line="276" w:lineRule="auto"/>
        <w:rPr>
          <w:rFonts w:cs="Arial"/>
          <w:bCs/>
          <w:szCs w:val="20"/>
        </w:rPr>
      </w:pPr>
      <w:r w:rsidRPr="005233B7">
        <w:rPr>
          <w:rFonts w:cs="Arial"/>
          <w:bCs/>
          <w:szCs w:val="20"/>
        </w:rPr>
        <w:t>Zasadność wdrażania interwencji</w:t>
      </w:r>
      <w:r w:rsidR="00E66B89">
        <w:rPr>
          <w:rFonts w:cs="Arial"/>
          <w:bCs/>
          <w:szCs w:val="20"/>
        </w:rPr>
        <w:t xml:space="preserve"> w </w:t>
      </w:r>
      <w:r w:rsidRPr="005233B7">
        <w:rPr>
          <w:rFonts w:cs="Arial"/>
          <w:bCs/>
          <w:szCs w:val="20"/>
        </w:rPr>
        <w:t>obszarze rynku pracy</w:t>
      </w:r>
      <w:r>
        <w:rPr>
          <w:rFonts w:cs="Arial"/>
          <w:bCs/>
          <w:szCs w:val="20"/>
        </w:rPr>
        <w:t xml:space="preserve"> (</w:t>
      </w:r>
      <w:r w:rsidRPr="005233B7">
        <w:rPr>
          <w:rFonts w:cs="Arial"/>
          <w:bCs/>
          <w:szCs w:val="20"/>
        </w:rPr>
        <w:t xml:space="preserve">realizującej </w:t>
      </w:r>
      <w:r>
        <w:rPr>
          <w:rFonts w:cs="Arial"/>
          <w:bCs/>
          <w:szCs w:val="20"/>
        </w:rPr>
        <w:t xml:space="preserve">szereg </w:t>
      </w:r>
      <w:r w:rsidRPr="005233B7">
        <w:rPr>
          <w:rFonts w:cs="Arial"/>
          <w:bCs/>
          <w:szCs w:val="20"/>
        </w:rPr>
        <w:t>cel</w:t>
      </w:r>
      <w:r>
        <w:rPr>
          <w:rFonts w:cs="Arial"/>
          <w:bCs/>
          <w:szCs w:val="20"/>
        </w:rPr>
        <w:t>ów</w:t>
      </w:r>
      <w:r w:rsidRPr="005233B7">
        <w:rPr>
          <w:rFonts w:cs="Arial"/>
          <w:bCs/>
          <w:szCs w:val="20"/>
        </w:rPr>
        <w:t xml:space="preserve"> związan</w:t>
      </w:r>
      <w:r>
        <w:rPr>
          <w:rFonts w:cs="Arial"/>
          <w:bCs/>
          <w:szCs w:val="20"/>
        </w:rPr>
        <w:t>ych</w:t>
      </w:r>
      <w:r w:rsidRPr="005233B7">
        <w:rPr>
          <w:rFonts w:cs="Arial"/>
          <w:bCs/>
          <w:szCs w:val="20"/>
        </w:rPr>
        <w:t xml:space="preserve"> ze wzrostem zatrudnienia</w:t>
      </w:r>
      <w:r>
        <w:rPr>
          <w:rFonts w:cs="Arial"/>
          <w:bCs/>
          <w:szCs w:val="20"/>
        </w:rPr>
        <w:t>, włączeniem zawodowym, rozwojem przedsiębiorczości oraz zwiększeniem adaptacyjności pracowników</w:t>
      </w:r>
      <w:r w:rsidR="00E66B89">
        <w:rPr>
          <w:rFonts w:cs="Arial"/>
          <w:bCs/>
          <w:szCs w:val="20"/>
        </w:rPr>
        <w:t xml:space="preserve"> i </w:t>
      </w:r>
      <w:r>
        <w:rPr>
          <w:rFonts w:cs="Arial"/>
          <w:bCs/>
          <w:szCs w:val="20"/>
        </w:rPr>
        <w:t xml:space="preserve">przedsiębiorstw do zmian) </w:t>
      </w:r>
      <w:r w:rsidRPr="005233B7">
        <w:rPr>
          <w:rFonts w:cs="Arial"/>
          <w:bCs/>
          <w:szCs w:val="20"/>
        </w:rPr>
        <w:t>na etapie przygotowania Programu znajdowała potwierdzenie</w:t>
      </w:r>
      <w:r w:rsidR="00E66B89">
        <w:rPr>
          <w:rFonts w:cs="Arial"/>
          <w:bCs/>
          <w:szCs w:val="20"/>
        </w:rPr>
        <w:t xml:space="preserve"> w </w:t>
      </w:r>
      <w:r w:rsidRPr="005233B7">
        <w:rPr>
          <w:rFonts w:cs="Arial"/>
          <w:bCs/>
          <w:szCs w:val="20"/>
        </w:rPr>
        <w:t>sytuacji społeczno-gospodarczej regionu</w:t>
      </w:r>
      <w:r>
        <w:rPr>
          <w:rFonts w:cs="Arial"/>
          <w:bCs/>
          <w:szCs w:val="20"/>
        </w:rPr>
        <w:t xml:space="preserve">. </w:t>
      </w:r>
      <w:r w:rsidRPr="002F67AB">
        <w:rPr>
          <w:rFonts w:cs="Arial"/>
          <w:bCs/>
          <w:szCs w:val="20"/>
        </w:rPr>
        <w:t>Do roku 201</w:t>
      </w:r>
      <w:r>
        <w:rPr>
          <w:rFonts w:cs="Arial"/>
          <w:bCs/>
          <w:szCs w:val="20"/>
        </w:rPr>
        <w:t>2</w:t>
      </w:r>
      <w:r w:rsidR="00E66B89">
        <w:rPr>
          <w:rFonts w:cs="Arial"/>
          <w:bCs/>
          <w:szCs w:val="20"/>
        </w:rPr>
        <w:t xml:space="preserve"> w </w:t>
      </w:r>
      <w:r w:rsidRPr="002F67AB">
        <w:rPr>
          <w:rFonts w:cs="Arial"/>
          <w:bCs/>
          <w:szCs w:val="20"/>
        </w:rPr>
        <w:t xml:space="preserve">województwie </w:t>
      </w:r>
      <w:r>
        <w:rPr>
          <w:rFonts w:cs="Arial"/>
          <w:bCs/>
          <w:szCs w:val="20"/>
        </w:rPr>
        <w:t>zachodniopomorskim</w:t>
      </w:r>
      <w:r w:rsidRPr="002F67AB">
        <w:rPr>
          <w:rFonts w:cs="Arial"/>
          <w:bCs/>
          <w:szCs w:val="20"/>
        </w:rPr>
        <w:t xml:space="preserve"> notowano wysokie</w:t>
      </w:r>
      <w:r w:rsidR="00E66B89">
        <w:rPr>
          <w:rFonts w:cs="Arial"/>
          <w:bCs/>
          <w:szCs w:val="20"/>
        </w:rPr>
        <w:t xml:space="preserve"> i </w:t>
      </w:r>
      <w:r w:rsidRPr="002F67AB">
        <w:rPr>
          <w:rFonts w:cs="Arial"/>
          <w:bCs/>
          <w:szCs w:val="20"/>
        </w:rPr>
        <w:t>wzrastające rejestrowane bezrobocie.</w:t>
      </w:r>
      <w:r w:rsidR="00E66B89">
        <w:rPr>
          <w:rFonts w:cs="Arial"/>
          <w:bCs/>
          <w:szCs w:val="20"/>
        </w:rPr>
        <w:t xml:space="preserve"> W </w:t>
      </w:r>
      <w:r w:rsidRPr="002F67AB">
        <w:rPr>
          <w:rFonts w:cs="Arial"/>
          <w:bCs/>
          <w:szCs w:val="20"/>
        </w:rPr>
        <w:t>roku 201</w:t>
      </w:r>
      <w:r>
        <w:rPr>
          <w:rFonts w:cs="Arial"/>
          <w:bCs/>
          <w:szCs w:val="20"/>
        </w:rPr>
        <w:t>1</w:t>
      </w:r>
      <w:r w:rsidRPr="002F67AB">
        <w:rPr>
          <w:rFonts w:cs="Arial"/>
          <w:bCs/>
          <w:szCs w:val="20"/>
        </w:rPr>
        <w:t xml:space="preserve"> liczba osób bezrobotnych</w:t>
      </w:r>
      <w:r w:rsidR="00E66B89">
        <w:rPr>
          <w:rFonts w:cs="Arial"/>
          <w:bCs/>
          <w:szCs w:val="20"/>
        </w:rPr>
        <w:t xml:space="preserve"> w </w:t>
      </w:r>
      <w:r w:rsidRPr="002F67AB">
        <w:rPr>
          <w:rFonts w:cs="Arial"/>
          <w:bCs/>
          <w:szCs w:val="20"/>
        </w:rPr>
        <w:t xml:space="preserve">województwie wynosiła </w:t>
      </w:r>
      <w:r w:rsidRPr="003C12BC">
        <w:rPr>
          <w:rFonts w:cs="Arial"/>
          <w:bCs/>
          <w:szCs w:val="20"/>
        </w:rPr>
        <w:t>10</w:t>
      </w:r>
      <w:r>
        <w:rPr>
          <w:rFonts w:cs="Arial"/>
          <w:bCs/>
          <w:szCs w:val="20"/>
        </w:rPr>
        <w:t>8 </w:t>
      </w:r>
      <w:r w:rsidRPr="003C12BC">
        <w:rPr>
          <w:rFonts w:cs="Arial"/>
          <w:bCs/>
          <w:szCs w:val="20"/>
        </w:rPr>
        <w:t>964</w:t>
      </w:r>
      <w:r w:rsidRPr="002F67AB">
        <w:rPr>
          <w:rFonts w:cs="Arial"/>
          <w:bCs/>
          <w:szCs w:val="20"/>
        </w:rPr>
        <w:t>,</w:t>
      </w:r>
      <w:r w:rsidR="00E66B89">
        <w:rPr>
          <w:rFonts w:cs="Arial"/>
          <w:bCs/>
          <w:szCs w:val="20"/>
        </w:rPr>
        <w:t xml:space="preserve"> a </w:t>
      </w:r>
      <w:r w:rsidRPr="002F67AB">
        <w:rPr>
          <w:rFonts w:cs="Arial"/>
          <w:bCs/>
          <w:szCs w:val="20"/>
        </w:rPr>
        <w:t>stopa bezrobocia 17</w:t>
      </w:r>
      <w:r>
        <w:rPr>
          <w:rFonts w:cs="Arial"/>
          <w:bCs/>
          <w:szCs w:val="20"/>
        </w:rPr>
        <w:t>,6</w:t>
      </w:r>
      <w:r w:rsidRPr="002F67AB">
        <w:rPr>
          <w:rFonts w:cs="Arial"/>
          <w:bCs/>
          <w:szCs w:val="20"/>
        </w:rPr>
        <w:t>%.</w:t>
      </w:r>
      <w:r w:rsidR="00E66B89">
        <w:rPr>
          <w:rFonts w:cs="Arial"/>
          <w:bCs/>
          <w:szCs w:val="20"/>
        </w:rPr>
        <w:t xml:space="preserve"> W </w:t>
      </w:r>
      <w:r w:rsidRPr="002F67AB">
        <w:rPr>
          <w:rFonts w:cs="Arial"/>
          <w:bCs/>
          <w:szCs w:val="20"/>
        </w:rPr>
        <w:t>stosunku do roku 2011</w:t>
      </w:r>
      <w:r w:rsidR="00E66B89">
        <w:rPr>
          <w:rFonts w:cs="Arial"/>
          <w:bCs/>
          <w:szCs w:val="20"/>
        </w:rPr>
        <w:t xml:space="preserve"> w </w:t>
      </w:r>
      <w:r w:rsidRPr="002F67AB">
        <w:rPr>
          <w:rFonts w:cs="Arial"/>
          <w:bCs/>
          <w:szCs w:val="20"/>
        </w:rPr>
        <w:t>roku 201</w:t>
      </w:r>
      <w:r>
        <w:rPr>
          <w:rFonts w:cs="Arial"/>
          <w:bCs/>
          <w:szCs w:val="20"/>
        </w:rPr>
        <w:t>2</w:t>
      </w:r>
      <w:r w:rsidRPr="002F67AB">
        <w:rPr>
          <w:rFonts w:cs="Arial"/>
          <w:bCs/>
          <w:szCs w:val="20"/>
        </w:rPr>
        <w:t xml:space="preserve"> liczba osób bezrobotnych w</w:t>
      </w:r>
      <w:r>
        <w:rPr>
          <w:rFonts w:cs="Arial"/>
          <w:bCs/>
          <w:szCs w:val="20"/>
        </w:rPr>
        <w:t>z</w:t>
      </w:r>
      <w:r w:rsidRPr="002F67AB">
        <w:rPr>
          <w:rFonts w:cs="Arial"/>
          <w:bCs/>
          <w:szCs w:val="20"/>
        </w:rPr>
        <w:t>rosła</w:t>
      </w:r>
      <w:r w:rsidR="00E66B89">
        <w:rPr>
          <w:rFonts w:cs="Arial"/>
          <w:bCs/>
          <w:szCs w:val="20"/>
        </w:rPr>
        <w:t xml:space="preserve"> o </w:t>
      </w:r>
      <w:r>
        <w:rPr>
          <w:rFonts w:cs="Arial"/>
          <w:bCs/>
          <w:szCs w:val="20"/>
        </w:rPr>
        <w:t>3</w:t>
      </w:r>
      <w:r w:rsidRPr="002F67AB">
        <w:rPr>
          <w:rFonts w:cs="Arial"/>
          <w:bCs/>
          <w:szCs w:val="20"/>
        </w:rPr>
        <w:t xml:space="preserve"> </w:t>
      </w:r>
      <w:r>
        <w:rPr>
          <w:rFonts w:cs="Arial"/>
          <w:bCs/>
          <w:szCs w:val="20"/>
        </w:rPr>
        <w:t>617</w:t>
      </w:r>
      <w:r w:rsidRPr="002F67AB">
        <w:rPr>
          <w:rFonts w:cs="Arial"/>
          <w:bCs/>
          <w:szCs w:val="20"/>
        </w:rPr>
        <w:t xml:space="preserve"> (w powiatowych urzędach pracy zarejestrowanych było </w:t>
      </w:r>
      <w:r w:rsidRPr="001427CB">
        <w:rPr>
          <w:rFonts w:cs="Arial"/>
          <w:bCs/>
          <w:szCs w:val="20"/>
        </w:rPr>
        <w:t>112</w:t>
      </w:r>
      <w:r>
        <w:rPr>
          <w:rFonts w:cs="Arial"/>
          <w:bCs/>
          <w:szCs w:val="20"/>
        </w:rPr>
        <w:t> </w:t>
      </w:r>
      <w:r w:rsidRPr="001427CB">
        <w:rPr>
          <w:rFonts w:cs="Arial"/>
          <w:bCs/>
          <w:szCs w:val="20"/>
        </w:rPr>
        <w:t>521</w:t>
      </w:r>
      <w:r w:rsidRPr="002F67AB">
        <w:rPr>
          <w:rFonts w:cs="Arial"/>
          <w:bCs/>
          <w:szCs w:val="20"/>
        </w:rPr>
        <w:t xml:space="preserve"> </w:t>
      </w:r>
      <w:r>
        <w:rPr>
          <w:rFonts w:cs="Arial"/>
          <w:bCs/>
          <w:szCs w:val="20"/>
        </w:rPr>
        <w:t xml:space="preserve">osób </w:t>
      </w:r>
      <w:r w:rsidRPr="002F67AB">
        <w:rPr>
          <w:rFonts w:cs="Arial"/>
          <w:bCs/>
          <w:szCs w:val="20"/>
        </w:rPr>
        <w:t>bezrobotnych), zaś stopa bezrobocia wzrosła</w:t>
      </w:r>
      <w:r w:rsidR="00E66B89">
        <w:rPr>
          <w:rFonts w:cs="Arial"/>
          <w:bCs/>
          <w:szCs w:val="20"/>
        </w:rPr>
        <w:t xml:space="preserve"> o </w:t>
      </w:r>
      <w:r>
        <w:rPr>
          <w:rFonts w:cs="Arial"/>
          <w:bCs/>
          <w:szCs w:val="20"/>
        </w:rPr>
        <w:t>0</w:t>
      </w:r>
      <w:r w:rsidRPr="002F67AB">
        <w:rPr>
          <w:rFonts w:cs="Arial"/>
          <w:bCs/>
          <w:szCs w:val="20"/>
        </w:rPr>
        <w:t>,</w:t>
      </w:r>
      <w:r>
        <w:rPr>
          <w:rFonts w:cs="Arial"/>
          <w:bCs/>
          <w:szCs w:val="20"/>
        </w:rPr>
        <w:t>6</w:t>
      </w:r>
      <w:r w:rsidRPr="002F67AB">
        <w:rPr>
          <w:rFonts w:cs="Arial"/>
          <w:bCs/>
          <w:szCs w:val="20"/>
        </w:rPr>
        <w:t xml:space="preserve"> pp. osiągając wartość</w:t>
      </w:r>
      <w:r>
        <w:rPr>
          <w:rFonts w:cs="Arial"/>
          <w:bCs/>
          <w:szCs w:val="20"/>
        </w:rPr>
        <w:t xml:space="preserve"> 18</w:t>
      </w:r>
      <w:r w:rsidRPr="002F67AB">
        <w:rPr>
          <w:rFonts w:cs="Arial"/>
          <w:bCs/>
          <w:szCs w:val="20"/>
        </w:rPr>
        <w:t>%.</w:t>
      </w:r>
      <w:r>
        <w:rPr>
          <w:rFonts w:cs="Arial"/>
          <w:bCs/>
          <w:szCs w:val="20"/>
        </w:rPr>
        <w:t xml:space="preserve"> </w:t>
      </w:r>
      <w:r w:rsidRPr="002F67AB">
        <w:rPr>
          <w:rFonts w:cs="Arial"/>
          <w:bCs/>
          <w:szCs w:val="20"/>
        </w:rPr>
        <w:t>Jednakże od</w:t>
      </w:r>
      <w:r>
        <w:rPr>
          <w:rFonts w:cs="Arial"/>
          <w:bCs/>
          <w:szCs w:val="20"/>
        </w:rPr>
        <w:t xml:space="preserve"> </w:t>
      </w:r>
      <w:bookmarkStart w:id="164" w:name="_Hlk536384033"/>
      <w:r w:rsidRPr="00032528">
        <w:rPr>
          <w:rFonts w:cs="Arial"/>
          <w:bCs/>
          <w:szCs w:val="20"/>
        </w:rPr>
        <w:t>roku 2012,</w:t>
      </w:r>
      <w:r w:rsidR="00E66B89">
        <w:rPr>
          <w:rFonts w:cs="Arial"/>
          <w:bCs/>
          <w:szCs w:val="20"/>
        </w:rPr>
        <w:t xml:space="preserve"> w </w:t>
      </w:r>
      <w:r w:rsidRPr="00032528">
        <w:rPr>
          <w:rFonts w:cs="Arial"/>
          <w:bCs/>
          <w:szCs w:val="20"/>
        </w:rPr>
        <w:t>którym zanotowano najwyższą stopę bezrobocia rejestrowanego na przestrzeni dekady</w:t>
      </w:r>
      <w:r>
        <w:rPr>
          <w:rFonts w:cs="Arial"/>
          <w:bCs/>
          <w:szCs w:val="20"/>
        </w:rPr>
        <w:t xml:space="preserve">, wskaźnik ten stale spadał. </w:t>
      </w:r>
      <w:r w:rsidRPr="001427CB">
        <w:rPr>
          <w:rFonts w:cs="Arial"/>
          <w:bCs/>
          <w:szCs w:val="20"/>
        </w:rPr>
        <w:t>Co ważne, choć</w:t>
      </w:r>
      <w:r w:rsidR="00E66B89">
        <w:rPr>
          <w:rFonts w:cs="Arial"/>
          <w:bCs/>
          <w:szCs w:val="20"/>
        </w:rPr>
        <w:t xml:space="preserve"> w </w:t>
      </w:r>
      <w:r w:rsidRPr="001427CB">
        <w:rPr>
          <w:rFonts w:cs="Arial"/>
          <w:bCs/>
          <w:szCs w:val="20"/>
        </w:rPr>
        <w:t>analizowanym okresie (lata 201</w:t>
      </w:r>
      <w:r>
        <w:rPr>
          <w:rFonts w:cs="Arial"/>
          <w:bCs/>
          <w:szCs w:val="20"/>
        </w:rPr>
        <w:t>2</w:t>
      </w:r>
      <w:r w:rsidRPr="001427CB">
        <w:rPr>
          <w:rFonts w:cs="Arial"/>
          <w:bCs/>
          <w:szCs w:val="20"/>
        </w:rPr>
        <w:t>-2018) wskaźnik ten systematycznie malał, to jednak spadek jego wartości był wolniejszy niż</w:t>
      </w:r>
      <w:r w:rsidR="00E66B89">
        <w:rPr>
          <w:rFonts w:cs="Arial"/>
          <w:bCs/>
          <w:szCs w:val="20"/>
        </w:rPr>
        <w:t xml:space="preserve"> w </w:t>
      </w:r>
      <w:r w:rsidRPr="001427CB">
        <w:rPr>
          <w:rFonts w:cs="Arial"/>
          <w:bCs/>
          <w:szCs w:val="20"/>
        </w:rPr>
        <w:t>odniesieniu do danych uśrednionych dla kraju</w:t>
      </w:r>
      <w:r>
        <w:rPr>
          <w:rFonts w:cs="Arial"/>
          <w:bCs/>
          <w:szCs w:val="20"/>
        </w:rPr>
        <w:t xml:space="preserve"> </w:t>
      </w:r>
      <w:r>
        <w:rPr>
          <w:rFonts w:cs="Arial"/>
          <w:bCs/>
          <w:szCs w:val="20"/>
        </w:rPr>
        <w:noBreakHyphen/>
      </w:r>
      <w:r w:rsidRPr="001427CB">
        <w:rPr>
          <w:rFonts w:cs="Arial"/>
          <w:bCs/>
          <w:szCs w:val="20"/>
        </w:rPr>
        <w:t xml:space="preserve"> </w:t>
      </w:r>
      <w:r>
        <w:rPr>
          <w:rFonts w:cs="Arial"/>
          <w:bCs/>
          <w:szCs w:val="20"/>
        </w:rPr>
        <w:t>n</w:t>
      </w:r>
      <w:r w:rsidRPr="001427CB">
        <w:rPr>
          <w:rFonts w:cs="Arial"/>
          <w:bCs/>
          <w:szCs w:val="20"/>
        </w:rPr>
        <w:t>adal stopa bezrobocia</w:t>
      </w:r>
      <w:r w:rsidR="00E66B89">
        <w:rPr>
          <w:rFonts w:cs="Arial"/>
          <w:bCs/>
          <w:szCs w:val="20"/>
        </w:rPr>
        <w:t xml:space="preserve"> w </w:t>
      </w:r>
      <w:r w:rsidRPr="001427CB">
        <w:rPr>
          <w:rFonts w:cs="Arial"/>
          <w:bCs/>
          <w:szCs w:val="20"/>
        </w:rPr>
        <w:t xml:space="preserve">regionie pozostaje wyższa niż </w:t>
      </w:r>
      <w:r>
        <w:rPr>
          <w:rFonts w:cs="Arial"/>
          <w:bCs/>
          <w:szCs w:val="20"/>
        </w:rPr>
        <w:t>średnia dla kraju –</w:t>
      </w:r>
      <w:r w:rsidR="00E66B89">
        <w:rPr>
          <w:rFonts w:cs="Arial"/>
          <w:bCs/>
          <w:szCs w:val="20"/>
        </w:rPr>
        <w:t xml:space="preserve"> w </w:t>
      </w:r>
      <w:r>
        <w:rPr>
          <w:rFonts w:cs="Arial"/>
          <w:bCs/>
          <w:szCs w:val="20"/>
        </w:rPr>
        <w:t>2018 roku</w:t>
      </w:r>
      <w:r w:rsidR="00E66B89">
        <w:rPr>
          <w:rFonts w:cs="Arial"/>
          <w:bCs/>
          <w:szCs w:val="20"/>
        </w:rPr>
        <w:t xml:space="preserve"> o </w:t>
      </w:r>
      <w:r>
        <w:rPr>
          <w:rFonts w:cs="Arial"/>
          <w:bCs/>
          <w:szCs w:val="20"/>
        </w:rPr>
        <w:t xml:space="preserve">1,5 pp. </w:t>
      </w:r>
      <w:bookmarkStart w:id="165" w:name="_Hlk5034529"/>
      <w:r w:rsidRPr="005557A7">
        <w:rPr>
          <w:rFonts w:cs="Arial"/>
          <w:bCs/>
          <w:szCs w:val="20"/>
        </w:rPr>
        <w:t>Diagnozowane</w:t>
      </w:r>
      <w:r w:rsidR="00E66B89">
        <w:rPr>
          <w:rFonts w:cs="Arial"/>
          <w:bCs/>
          <w:szCs w:val="20"/>
        </w:rPr>
        <w:t xml:space="preserve"> w </w:t>
      </w:r>
      <w:r>
        <w:rPr>
          <w:rFonts w:cs="Arial"/>
          <w:bCs/>
          <w:szCs w:val="20"/>
        </w:rPr>
        <w:t>województwie</w:t>
      </w:r>
      <w:r w:rsidRPr="005557A7">
        <w:rPr>
          <w:rFonts w:cs="Arial"/>
          <w:bCs/>
          <w:szCs w:val="20"/>
        </w:rPr>
        <w:t xml:space="preserve"> tendencje związane ze spadkiem</w:t>
      </w:r>
      <w:r>
        <w:rPr>
          <w:rFonts w:cs="Arial"/>
          <w:bCs/>
          <w:szCs w:val="20"/>
        </w:rPr>
        <w:t xml:space="preserve"> </w:t>
      </w:r>
      <w:r w:rsidRPr="005557A7">
        <w:rPr>
          <w:rFonts w:cs="Arial"/>
          <w:bCs/>
          <w:szCs w:val="20"/>
        </w:rPr>
        <w:t>stopy bezrobocia oraz liczby zarejestrowanych bezrobotnych</w:t>
      </w:r>
      <w:r>
        <w:rPr>
          <w:rFonts w:cs="Arial"/>
          <w:bCs/>
          <w:szCs w:val="20"/>
        </w:rPr>
        <w:t xml:space="preserve">, </w:t>
      </w:r>
      <w:r w:rsidRPr="005557A7">
        <w:rPr>
          <w:rFonts w:cs="Arial"/>
          <w:bCs/>
          <w:szCs w:val="20"/>
        </w:rPr>
        <w:t>są spójne ze zjawiskiem malejącego bezrobocia</w:t>
      </w:r>
      <w:r w:rsidR="00E66B89">
        <w:rPr>
          <w:rFonts w:cs="Arial"/>
          <w:bCs/>
          <w:szCs w:val="20"/>
        </w:rPr>
        <w:t xml:space="preserve"> w </w:t>
      </w:r>
      <w:r w:rsidRPr="005557A7">
        <w:rPr>
          <w:rFonts w:cs="Arial"/>
          <w:bCs/>
          <w:szCs w:val="20"/>
        </w:rPr>
        <w:t>całym kraju.</w:t>
      </w:r>
      <w:r>
        <w:rPr>
          <w:rFonts w:cs="Arial"/>
          <w:bCs/>
          <w:szCs w:val="20"/>
        </w:rPr>
        <w:t xml:space="preserve"> Na wysokim poziomie (wzrastającym</w:t>
      </w:r>
      <w:r w:rsidR="00E66B89">
        <w:rPr>
          <w:rFonts w:cs="Arial"/>
          <w:bCs/>
          <w:szCs w:val="20"/>
        </w:rPr>
        <w:t xml:space="preserve"> w </w:t>
      </w:r>
      <w:r>
        <w:rPr>
          <w:rFonts w:cs="Arial"/>
          <w:bCs/>
          <w:szCs w:val="20"/>
        </w:rPr>
        <w:t>okresie wdrażania Programu) utrzymuje się odsetek bezrobotnych kobiet</w:t>
      </w:r>
      <w:r w:rsidR="00E66B89">
        <w:rPr>
          <w:rFonts w:cs="Arial"/>
          <w:bCs/>
          <w:szCs w:val="20"/>
        </w:rPr>
        <w:t xml:space="preserve"> w </w:t>
      </w:r>
      <w:r>
        <w:rPr>
          <w:rFonts w:cs="Arial"/>
          <w:bCs/>
          <w:szCs w:val="20"/>
        </w:rPr>
        <w:t>województwie.</w:t>
      </w:r>
      <w:r w:rsidR="00E66B89">
        <w:rPr>
          <w:rFonts w:cs="Arial"/>
          <w:bCs/>
          <w:szCs w:val="20"/>
        </w:rPr>
        <w:t xml:space="preserve"> W </w:t>
      </w:r>
      <w:r>
        <w:rPr>
          <w:rFonts w:cs="Arial"/>
          <w:bCs/>
          <w:szCs w:val="20"/>
        </w:rPr>
        <w:t>latach 2013-2018 s</w:t>
      </w:r>
      <w:r w:rsidRPr="005557A7">
        <w:rPr>
          <w:rFonts w:cs="Arial"/>
          <w:bCs/>
          <w:szCs w:val="20"/>
        </w:rPr>
        <w:t xml:space="preserve">tatus </w:t>
      </w:r>
      <w:r>
        <w:rPr>
          <w:rFonts w:cs="Arial"/>
          <w:bCs/>
          <w:szCs w:val="20"/>
        </w:rPr>
        <w:t>osoby bezrobotnej</w:t>
      </w:r>
      <w:r w:rsidRPr="005557A7">
        <w:rPr>
          <w:rFonts w:cs="Arial"/>
          <w:bCs/>
          <w:szCs w:val="20"/>
        </w:rPr>
        <w:t xml:space="preserve"> częściej posiadały kobiety niż mężczyźni</w:t>
      </w:r>
      <w:r>
        <w:rPr>
          <w:rFonts w:cs="Arial"/>
          <w:bCs/>
          <w:szCs w:val="20"/>
        </w:rPr>
        <w:t>. Co istotne odsetek bezrobotnych kobiet</w:t>
      </w:r>
      <w:r w:rsidR="00E66B89">
        <w:rPr>
          <w:rFonts w:cs="Arial"/>
          <w:bCs/>
          <w:szCs w:val="20"/>
        </w:rPr>
        <w:t xml:space="preserve"> w </w:t>
      </w:r>
      <w:r>
        <w:rPr>
          <w:rFonts w:cs="Arial"/>
          <w:bCs/>
          <w:szCs w:val="20"/>
        </w:rPr>
        <w:t>regionie jest wyższy niż wynik dla Polski.</w:t>
      </w:r>
      <w:r w:rsidR="00E66B89">
        <w:rPr>
          <w:rFonts w:cs="Arial"/>
          <w:bCs/>
          <w:szCs w:val="20"/>
        </w:rPr>
        <w:t xml:space="preserve"> W </w:t>
      </w:r>
      <w:r w:rsidRPr="006F082F">
        <w:rPr>
          <w:rFonts w:cs="Arial"/>
          <w:bCs/>
          <w:szCs w:val="20"/>
        </w:rPr>
        <w:t>wielu regionach Polski udział kobiet</w:t>
      </w:r>
      <w:r w:rsidR="00E66B89">
        <w:rPr>
          <w:rFonts w:cs="Arial"/>
          <w:bCs/>
          <w:szCs w:val="20"/>
        </w:rPr>
        <w:t xml:space="preserve"> w </w:t>
      </w:r>
      <w:r w:rsidRPr="006F082F">
        <w:rPr>
          <w:rFonts w:cs="Arial"/>
          <w:bCs/>
          <w:szCs w:val="20"/>
        </w:rPr>
        <w:t xml:space="preserve">strukturze bezrobotnych jest większy niż mężczyzn, województwo zachodniopomorskie </w:t>
      </w:r>
      <w:r>
        <w:rPr>
          <w:rFonts w:cs="Arial"/>
          <w:bCs/>
          <w:szCs w:val="20"/>
        </w:rPr>
        <w:t>znajduje się jednak</w:t>
      </w:r>
      <w:r w:rsidR="00E66B89">
        <w:rPr>
          <w:rFonts w:cs="Arial"/>
          <w:bCs/>
          <w:szCs w:val="20"/>
        </w:rPr>
        <w:t xml:space="preserve"> w </w:t>
      </w:r>
      <w:r>
        <w:rPr>
          <w:rFonts w:cs="Arial"/>
          <w:bCs/>
          <w:szCs w:val="20"/>
        </w:rPr>
        <w:t>grupie województw</w:t>
      </w:r>
      <w:r w:rsidR="00E66B89">
        <w:rPr>
          <w:rFonts w:cs="Arial"/>
          <w:bCs/>
          <w:szCs w:val="20"/>
        </w:rPr>
        <w:t xml:space="preserve"> o </w:t>
      </w:r>
      <w:r>
        <w:rPr>
          <w:rFonts w:cs="Arial"/>
          <w:bCs/>
          <w:szCs w:val="20"/>
        </w:rPr>
        <w:t>najwyższym</w:t>
      </w:r>
      <w:r w:rsidRPr="006F082F">
        <w:rPr>
          <w:rFonts w:cs="Arial"/>
          <w:bCs/>
          <w:szCs w:val="20"/>
        </w:rPr>
        <w:t xml:space="preserve"> odsetku </w:t>
      </w:r>
      <w:r>
        <w:rPr>
          <w:rFonts w:cs="Arial"/>
          <w:bCs/>
          <w:szCs w:val="20"/>
        </w:rPr>
        <w:t>kobiet</w:t>
      </w:r>
      <w:r w:rsidR="00E66B89">
        <w:rPr>
          <w:rFonts w:cs="Arial"/>
          <w:bCs/>
          <w:szCs w:val="20"/>
        </w:rPr>
        <w:t xml:space="preserve"> w </w:t>
      </w:r>
      <w:r>
        <w:rPr>
          <w:rFonts w:cs="Arial"/>
          <w:bCs/>
          <w:szCs w:val="20"/>
        </w:rPr>
        <w:t>populacji osób bezrobotnych.</w:t>
      </w:r>
    </w:p>
    <w:bookmarkEnd w:id="165"/>
    <w:p w14:paraId="0FF567DD" w14:textId="77777777" w:rsidR="00881780" w:rsidRDefault="00881780" w:rsidP="00881780">
      <w:pPr>
        <w:autoSpaceDE w:val="0"/>
        <w:autoSpaceDN w:val="0"/>
        <w:adjustRightInd w:val="0"/>
        <w:spacing w:line="276" w:lineRule="auto"/>
        <w:rPr>
          <w:rFonts w:cs="Arial"/>
          <w:bCs/>
          <w:szCs w:val="20"/>
        </w:rPr>
      </w:pPr>
      <w:r w:rsidRPr="00D63E52">
        <w:rPr>
          <w:rFonts w:cs="Arial"/>
          <w:bCs/>
          <w:szCs w:val="20"/>
        </w:rPr>
        <w:lastRenderedPageBreak/>
        <w:t>W świetle wyżej wskazanych zmian na rynku pracy problematyczn</w:t>
      </w:r>
      <w:r>
        <w:rPr>
          <w:rFonts w:cs="Arial"/>
          <w:bCs/>
          <w:szCs w:val="20"/>
        </w:rPr>
        <w:t>e</w:t>
      </w:r>
      <w:r w:rsidRPr="00D63E52">
        <w:rPr>
          <w:rFonts w:cs="Arial"/>
          <w:bCs/>
          <w:szCs w:val="20"/>
        </w:rPr>
        <w:t xml:space="preserve"> może być dalsz</w:t>
      </w:r>
      <w:r>
        <w:rPr>
          <w:rFonts w:cs="Arial"/>
          <w:bCs/>
          <w:szCs w:val="20"/>
        </w:rPr>
        <w:t>e</w:t>
      </w:r>
      <w:r w:rsidRPr="00D63E52">
        <w:rPr>
          <w:rFonts w:cs="Arial"/>
          <w:bCs/>
          <w:szCs w:val="20"/>
        </w:rPr>
        <w:t xml:space="preserve"> (do roku 2023) </w:t>
      </w:r>
      <w:r>
        <w:rPr>
          <w:rFonts w:cs="Arial"/>
          <w:bCs/>
          <w:szCs w:val="20"/>
        </w:rPr>
        <w:t>osiąganie wartości</w:t>
      </w:r>
      <w:r w:rsidRPr="00D63E52">
        <w:rPr>
          <w:rFonts w:cs="Arial"/>
          <w:bCs/>
          <w:szCs w:val="20"/>
        </w:rPr>
        <w:t xml:space="preserve"> wskaźników związanych</w:t>
      </w:r>
      <w:r>
        <w:rPr>
          <w:rFonts w:cs="Arial"/>
          <w:bCs/>
          <w:szCs w:val="20"/>
        </w:rPr>
        <w:t xml:space="preserve"> ze </w:t>
      </w:r>
      <w:r w:rsidRPr="00D63E52">
        <w:rPr>
          <w:rFonts w:cs="Arial"/>
          <w:bCs/>
          <w:szCs w:val="20"/>
        </w:rPr>
        <w:t>wsparciem</w:t>
      </w:r>
      <w:r w:rsidR="00E66B89">
        <w:rPr>
          <w:rFonts w:cs="Arial"/>
          <w:bCs/>
          <w:szCs w:val="20"/>
        </w:rPr>
        <w:t xml:space="preserve"> w </w:t>
      </w:r>
      <w:r w:rsidRPr="00D63E52">
        <w:rPr>
          <w:rFonts w:cs="Arial"/>
          <w:bCs/>
          <w:szCs w:val="20"/>
        </w:rPr>
        <w:t>ramach RPO W</w:t>
      </w:r>
      <w:r>
        <w:rPr>
          <w:rFonts w:cs="Arial"/>
          <w:bCs/>
          <w:szCs w:val="20"/>
        </w:rPr>
        <w:t>Z</w:t>
      </w:r>
      <w:r w:rsidRPr="00D63E52">
        <w:rPr>
          <w:rFonts w:cs="Arial"/>
          <w:bCs/>
          <w:szCs w:val="20"/>
        </w:rPr>
        <w:t xml:space="preserve"> 2014-2020</w:t>
      </w:r>
      <w:r>
        <w:rPr>
          <w:rFonts w:cs="Arial"/>
          <w:bCs/>
          <w:szCs w:val="20"/>
        </w:rPr>
        <w:t xml:space="preserve"> </w:t>
      </w:r>
      <w:r w:rsidRPr="00D63E52">
        <w:rPr>
          <w:rFonts w:cs="Arial"/>
          <w:bCs/>
          <w:szCs w:val="20"/>
        </w:rPr>
        <w:t>osób bezrobotnych</w:t>
      </w:r>
      <w:r>
        <w:rPr>
          <w:rFonts w:cs="Arial"/>
          <w:bCs/>
          <w:szCs w:val="20"/>
        </w:rPr>
        <w:t>,</w:t>
      </w:r>
      <w:r w:rsidRPr="00D63E52">
        <w:rPr>
          <w:rFonts w:cs="Arial"/>
          <w:bCs/>
          <w:szCs w:val="20"/>
        </w:rPr>
        <w:t xml:space="preserve"> zmniejszeniu uległa bowiem populacja potencjalnych odbiorców wsparcia adresowanego do tej grupy</w:t>
      </w:r>
      <w:r w:rsidR="00E66B89">
        <w:rPr>
          <w:rFonts w:cs="Arial"/>
          <w:bCs/>
          <w:szCs w:val="20"/>
        </w:rPr>
        <w:t xml:space="preserve"> w </w:t>
      </w:r>
      <w:r w:rsidRPr="00D63E52">
        <w:rPr>
          <w:rFonts w:cs="Arial"/>
          <w:bCs/>
          <w:szCs w:val="20"/>
        </w:rPr>
        <w:t xml:space="preserve">ramach </w:t>
      </w:r>
      <w:r>
        <w:rPr>
          <w:rFonts w:cs="Arial"/>
          <w:bCs/>
          <w:szCs w:val="20"/>
        </w:rPr>
        <w:t>interwencji</w:t>
      </w:r>
      <w:r w:rsidRPr="00D63E52">
        <w:rPr>
          <w:rFonts w:cs="Arial"/>
          <w:bCs/>
          <w:szCs w:val="20"/>
        </w:rPr>
        <w:t>.</w:t>
      </w:r>
      <w:r>
        <w:rPr>
          <w:rFonts w:cs="Arial"/>
          <w:bCs/>
          <w:szCs w:val="20"/>
        </w:rPr>
        <w:t xml:space="preserve"> </w:t>
      </w:r>
      <w:r w:rsidRPr="00137FD1">
        <w:rPr>
          <w:rFonts w:cs="Arial"/>
          <w:bCs/>
          <w:szCs w:val="20"/>
        </w:rPr>
        <w:t>Opisane obserwacje</w:t>
      </w:r>
      <w:r w:rsidR="00E66B89">
        <w:rPr>
          <w:rFonts w:cs="Arial"/>
          <w:bCs/>
          <w:szCs w:val="20"/>
        </w:rPr>
        <w:t xml:space="preserve"> i </w:t>
      </w:r>
      <w:r w:rsidRPr="00137FD1">
        <w:rPr>
          <w:rFonts w:cs="Arial"/>
          <w:bCs/>
          <w:szCs w:val="20"/>
        </w:rPr>
        <w:t>wnioski znajdują potwierdzenie</w:t>
      </w:r>
      <w:r w:rsidR="00E66B89">
        <w:rPr>
          <w:rFonts w:cs="Arial"/>
          <w:bCs/>
          <w:szCs w:val="20"/>
        </w:rPr>
        <w:t xml:space="preserve"> w </w:t>
      </w:r>
      <w:r w:rsidRPr="00137FD1">
        <w:rPr>
          <w:rFonts w:cs="Arial"/>
          <w:bCs/>
          <w:szCs w:val="20"/>
        </w:rPr>
        <w:t>opiniach przedstawicieli Instytucji odpowiedzialnych</w:t>
      </w:r>
      <w:r>
        <w:rPr>
          <w:rFonts w:cs="Arial"/>
          <w:bCs/>
          <w:szCs w:val="20"/>
        </w:rPr>
        <w:t xml:space="preserve"> za </w:t>
      </w:r>
      <w:r w:rsidRPr="00137FD1">
        <w:rPr>
          <w:rFonts w:cs="Arial"/>
          <w:bCs/>
          <w:szCs w:val="20"/>
        </w:rPr>
        <w:t>wdrażanie interwencji</w:t>
      </w:r>
      <w:r w:rsidR="00E66B89">
        <w:rPr>
          <w:rFonts w:cs="Arial"/>
          <w:bCs/>
          <w:szCs w:val="20"/>
        </w:rPr>
        <w:t xml:space="preserve"> w </w:t>
      </w:r>
      <w:r w:rsidRPr="00137FD1">
        <w:rPr>
          <w:rFonts w:cs="Arial"/>
          <w:bCs/>
          <w:szCs w:val="20"/>
        </w:rPr>
        <w:t>obszarze rynku pracy.</w:t>
      </w:r>
      <w:r>
        <w:rPr>
          <w:rFonts w:cs="Arial"/>
          <w:bCs/>
          <w:szCs w:val="20"/>
        </w:rPr>
        <w:t xml:space="preserve"> Jednakże z</w:t>
      </w:r>
      <w:r w:rsidRPr="00EA2CCC">
        <w:rPr>
          <w:rFonts w:cs="Arial"/>
          <w:bCs/>
          <w:szCs w:val="20"/>
        </w:rPr>
        <w:t>e względu na wyższą</w:t>
      </w:r>
      <w:r w:rsidR="00E66B89">
        <w:rPr>
          <w:rFonts w:cs="Arial"/>
          <w:bCs/>
          <w:szCs w:val="20"/>
        </w:rPr>
        <w:t xml:space="preserve"> w </w:t>
      </w:r>
      <w:r w:rsidRPr="00EA2CCC">
        <w:rPr>
          <w:rFonts w:cs="Arial"/>
          <w:bCs/>
          <w:szCs w:val="20"/>
        </w:rPr>
        <w:t>regionie niż</w:t>
      </w:r>
      <w:r w:rsidR="00E66B89">
        <w:rPr>
          <w:rFonts w:cs="Arial"/>
          <w:bCs/>
          <w:szCs w:val="20"/>
        </w:rPr>
        <w:t xml:space="preserve"> w </w:t>
      </w:r>
      <w:r w:rsidRPr="00EA2CCC">
        <w:rPr>
          <w:rFonts w:cs="Arial"/>
          <w:bCs/>
          <w:szCs w:val="20"/>
        </w:rPr>
        <w:t>kraju stopę bezrobocia uzasadniona jest kontynuacja wsparcia, celem którego jest poprawa sytuacji osób bezrobotnych</w:t>
      </w:r>
      <w:r w:rsidR="00E66B89">
        <w:rPr>
          <w:rFonts w:cs="Arial"/>
          <w:bCs/>
          <w:szCs w:val="20"/>
        </w:rPr>
        <w:t xml:space="preserve"> w </w:t>
      </w:r>
      <w:r w:rsidRPr="00EA2CCC">
        <w:rPr>
          <w:rFonts w:cs="Arial"/>
          <w:bCs/>
          <w:szCs w:val="20"/>
        </w:rPr>
        <w:t>regionie</w:t>
      </w:r>
      <w:r>
        <w:rPr>
          <w:rFonts w:cs="Arial"/>
          <w:bCs/>
          <w:szCs w:val="20"/>
        </w:rPr>
        <w:t>.</w:t>
      </w:r>
      <w:r w:rsidR="00C22C26">
        <w:rPr>
          <w:rFonts w:cs="Arial"/>
          <w:bCs/>
          <w:szCs w:val="20"/>
        </w:rPr>
        <w:t xml:space="preserve"> </w:t>
      </w:r>
    </w:p>
    <w:p w14:paraId="549E3D49" w14:textId="77777777" w:rsidR="00881780" w:rsidRPr="00432E11" w:rsidRDefault="00881780" w:rsidP="005A06CB">
      <w:pPr>
        <w:pStyle w:val="Legenda"/>
        <w:spacing w:after="0"/>
      </w:pPr>
      <w:bookmarkStart w:id="166" w:name="_Toc3896838"/>
      <w:bookmarkStart w:id="167" w:name="_Toc8824194"/>
      <w:bookmarkStart w:id="168" w:name="_Hlk5023080"/>
      <w:bookmarkEnd w:id="164"/>
      <w:r w:rsidRPr="00432E11">
        <w:t xml:space="preserve">Tabela </w:t>
      </w:r>
      <w:r>
        <w:rPr>
          <w:noProof/>
        </w:rPr>
        <w:fldChar w:fldCharType="begin"/>
      </w:r>
      <w:r>
        <w:rPr>
          <w:noProof/>
        </w:rPr>
        <w:instrText xml:space="preserve"> SEQ Tabela \* ARABIC </w:instrText>
      </w:r>
      <w:r>
        <w:rPr>
          <w:noProof/>
        </w:rPr>
        <w:fldChar w:fldCharType="separate"/>
      </w:r>
      <w:r w:rsidR="00763345">
        <w:rPr>
          <w:noProof/>
        </w:rPr>
        <w:t>83</w:t>
      </w:r>
      <w:r>
        <w:rPr>
          <w:noProof/>
        </w:rPr>
        <w:fldChar w:fldCharType="end"/>
      </w:r>
      <w:r w:rsidRPr="00432E11">
        <w:t xml:space="preserve"> Liczba osób bezrobotnych</w:t>
      </w:r>
      <w:r w:rsidR="00E66B89">
        <w:t xml:space="preserve"> i </w:t>
      </w:r>
      <w:r w:rsidRPr="00432E11">
        <w:t>stopa bezrobocia</w:t>
      </w:r>
      <w:r w:rsidR="00E66B89">
        <w:t xml:space="preserve"> w </w:t>
      </w:r>
      <w:r w:rsidRPr="00432E11">
        <w:t>województwie zachodniopomorskim</w:t>
      </w:r>
      <w:r w:rsidR="00E66B89">
        <w:t xml:space="preserve"> i w </w:t>
      </w:r>
      <w:r w:rsidRPr="00432E11">
        <w:t>porównaniu do Polski</w:t>
      </w:r>
      <w:bookmarkEnd w:id="166"/>
      <w:r>
        <w:t xml:space="preserve"> (stan na 31.XII)</w:t>
      </w:r>
      <w:bookmarkEnd w:id="167"/>
    </w:p>
    <w:tbl>
      <w:tblPr>
        <w:tblW w:w="50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703"/>
        <w:gridCol w:w="707"/>
        <w:gridCol w:w="707"/>
        <w:gridCol w:w="707"/>
        <w:gridCol w:w="709"/>
        <w:gridCol w:w="709"/>
        <w:gridCol w:w="709"/>
        <w:gridCol w:w="709"/>
        <w:gridCol w:w="713"/>
        <w:gridCol w:w="707"/>
        <w:gridCol w:w="638"/>
      </w:tblGrid>
      <w:tr w:rsidR="00881780" w:rsidRPr="00A71C8E" w14:paraId="41581E37" w14:textId="77777777" w:rsidTr="005F04FC">
        <w:trPr>
          <w:trHeight w:val="285"/>
          <w:tblHeader/>
        </w:trPr>
        <w:tc>
          <w:tcPr>
            <w:tcW w:w="5000" w:type="pct"/>
            <w:gridSpan w:val="12"/>
            <w:shd w:val="clear" w:color="auto" w:fill="DBE5F1"/>
            <w:noWrap/>
            <w:vAlign w:val="center"/>
          </w:tcPr>
          <w:p w14:paraId="55A1F59B"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Stopa bezrobocia rejestrowanego</w:t>
            </w:r>
          </w:p>
        </w:tc>
      </w:tr>
      <w:tr w:rsidR="00881780" w:rsidRPr="00A71C8E" w14:paraId="0951E96F" w14:textId="77777777" w:rsidTr="006F4D8F">
        <w:trPr>
          <w:trHeight w:val="285"/>
          <w:tblHeader/>
        </w:trPr>
        <w:tc>
          <w:tcPr>
            <w:tcW w:w="776" w:type="pct"/>
            <w:shd w:val="clear" w:color="auto" w:fill="auto"/>
            <w:noWrap/>
            <w:vAlign w:val="center"/>
          </w:tcPr>
          <w:p w14:paraId="6C8BF4D3"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Rok</w:t>
            </w:r>
          </w:p>
        </w:tc>
        <w:tc>
          <w:tcPr>
            <w:tcW w:w="385" w:type="pct"/>
            <w:shd w:val="clear" w:color="auto" w:fill="auto"/>
            <w:vAlign w:val="center"/>
          </w:tcPr>
          <w:p w14:paraId="503C427B"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2008</w:t>
            </w:r>
          </w:p>
        </w:tc>
        <w:tc>
          <w:tcPr>
            <w:tcW w:w="387" w:type="pct"/>
            <w:shd w:val="clear" w:color="auto" w:fill="auto"/>
            <w:vAlign w:val="center"/>
          </w:tcPr>
          <w:p w14:paraId="32CF3E07"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2009</w:t>
            </w:r>
          </w:p>
        </w:tc>
        <w:tc>
          <w:tcPr>
            <w:tcW w:w="387" w:type="pct"/>
            <w:shd w:val="clear" w:color="auto" w:fill="auto"/>
            <w:vAlign w:val="center"/>
          </w:tcPr>
          <w:p w14:paraId="538B681C"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2010</w:t>
            </w:r>
          </w:p>
        </w:tc>
        <w:tc>
          <w:tcPr>
            <w:tcW w:w="387" w:type="pct"/>
            <w:shd w:val="clear" w:color="auto" w:fill="auto"/>
            <w:vAlign w:val="center"/>
          </w:tcPr>
          <w:p w14:paraId="2625E4A6"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2011</w:t>
            </w:r>
          </w:p>
        </w:tc>
        <w:tc>
          <w:tcPr>
            <w:tcW w:w="388" w:type="pct"/>
            <w:shd w:val="clear" w:color="auto" w:fill="auto"/>
            <w:vAlign w:val="center"/>
          </w:tcPr>
          <w:p w14:paraId="16C16C0E"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2012</w:t>
            </w:r>
          </w:p>
        </w:tc>
        <w:tc>
          <w:tcPr>
            <w:tcW w:w="388" w:type="pct"/>
            <w:shd w:val="clear" w:color="auto" w:fill="auto"/>
            <w:vAlign w:val="center"/>
          </w:tcPr>
          <w:p w14:paraId="155B0DF6"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2013</w:t>
            </w:r>
          </w:p>
        </w:tc>
        <w:tc>
          <w:tcPr>
            <w:tcW w:w="388" w:type="pct"/>
            <w:shd w:val="clear" w:color="auto" w:fill="auto"/>
            <w:vAlign w:val="center"/>
          </w:tcPr>
          <w:p w14:paraId="613344AC"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2014</w:t>
            </w:r>
          </w:p>
        </w:tc>
        <w:tc>
          <w:tcPr>
            <w:tcW w:w="388" w:type="pct"/>
            <w:shd w:val="clear" w:color="auto" w:fill="auto"/>
            <w:vAlign w:val="center"/>
          </w:tcPr>
          <w:p w14:paraId="06DE5E11"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2015</w:t>
            </w:r>
          </w:p>
        </w:tc>
        <w:tc>
          <w:tcPr>
            <w:tcW w:w="390" w:type="pct"/>
            <w:shd w:val="clear" w:color="auto" w:fill="auto"/>
            <w:vAlign w:val="center"/>
          </w:tcPr>
          <w:p w14:paraId="1BCB7504"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2016</w:t>
            </w:r>
          </w:p>
        </w:tc>
        <w:tc>
          <w:tcPr>
            <w:tcW w:w="387" w:type="pct"/>
            <w:shd w:val="clear" w:color="auto" w:fill="auto"/>
            <w:vAlign w:val="center"/>
          </w:tcPr>
          <w:p w14:paraId="6754CED3"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2017</w:t>
            </w:r>
          </w:p>
        </w:tc>
        <w:tc>
          <w:tcPr>
            <w:tcW w:w="349" w:type="pct"/>
            <w:shd w:val="clear" w:color="auto" w:fill="auto"/>
            <w:vAlign w:val="center"/>
          </w:tcPr>
          <w:p w14:paraId="3B8F7395"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2018</w:t>
            </w:r>
          </w:p>
        </w:tc>
      </w:tr>
      <w:tr w:rsidR="00881780" w:rsidRPr="00A71C8E" w14:paraId="1D1456D9" w14:textId="77777777" w:rsidTr="006F4D8F">
        <w:trPr>
          <w:trHeight w:val="285"/>
        </w:trPr>
        <w:tc>
          <w:tcPr>
            <w:tcW w:w="776" w:type="pct"/>
            <w:shd w:val="clear" w:color="auto" w:fill="auto"/>
            <w:vAlign w:val="center"/>
            <w:hideMark/>
          </w:tcPr>
          <w:p w14:paraId="2674F3AF" w14:textId="77777777" w:rsidR="00881780" w:rsidRPr="00A71C8E" w:rsidRDefault="00881780" w:rsidP="006F4D8F">
            <w:pPr>
              <w:spacing w:before="0" w:line="240" w:lineRule="auto"/>
              <w:rPr>
                <w:rFonts w:cs="Arial"/>
                <w:sz w:val="18"/>
                <w:szCs w:val="18"/>
              </w:rPr>
            </w:pPr>
            <w:r w:rsidRPr="00A71C8E">
              <w:rPr>
                <w:rFonts w:cs="Arial"/>
                <w:bCs/>
                <w:color w:val="000000"/>
                <w:sz w:val="18"/>
                <w:szCs w:val="18"/>
              </w:rPr>
              <w:t>Polska (%)</w:t>
            </w:r>
          </w:p>
        </w:tc>
        <w:tc>
          <w:tcPr>
            <w:tcW w:w="385" w:type="pct"/>
            <w:shd w:val="clear" w:color="auto" w:fill="auto"/>
            <w:noWrap/>
            <w:vAlign w:val="center"/>
            <w:hideMark/>
          </w:tcPr>
          <w:p w14:paraId="6FB5486E" w14:textId="77777777" w:rsidR="00881780" w:rsidRPr="00A71C8E" w:rsidRDefault="00881780" w:rsidP="006F4D8F">
            <w:pPr>
              <w:spacing w:before="0" w:line="240" w:lineRule="auto"/>
              <w:rPr>
                <w:rFonts w:cs="Arial"/>
                <w:sz w:val="18"/>
                <w:szCs w:val="18"/>
              </w:rPr>
            </w:pPr>
            <w:r w:rsidRPr="00A71C8E">
              <w:rPr>
                <w:rFonts w:cs="Arial"/>
                <w:sz w:val="18"/>
                <w:szCs w:val="18"/>
              </w:rPr>
              <w:t>9,5</w:t>
            </w:r>
          </w:p>
        </w:tc>
        <w:tc>
          <w:tcPr>
            <w:tcW w:w="387" w:type="pct"/>
            <w:shd w:val="clear" w:color="auto" w:fill="auto"/>
            <w:noWrap/>
            <w:vAlign w:val="center"/>
            <w:hideMark/>
          </w:tcPr>
          <w:p w14:paraId="18A88538" w14:textId="77777777" w:rsidR="00881780" w:rsidRPr="00A71C8E" w:rsidRDefault="00881780" w:rsidP="006F4D8F">
            <w:pPr>
              <w:spacing w:before="0" w:line="240" w:lineRule="auto"/>
              <w:rPr>
                <w:rFonts w:cs="Arial"/>
                <w:sz w:val="18"/>
                <w:szCs w:val="18"/>
              </w:rPr>
            </w:pPr>
            <w:r w:rsidRPr="00A71C8E">
              <w:rPr>
                <w:rFonts w:cs="Arial"/>
                <w:sz w:val="18"/>
                <w:szCs w:val="18"/>
              </w:rPr>
              <w:t>12,1</w:t>
            </w:r>
          </w:p>
        </w:tc>
        <w:tc>
          <w:tcPr>
            <w:tcW w:w="387" w:type="pct"/>
            <w:shd w:val="clear" w:color="auto" w:fill="auto"/>
            <w:noWrap/>
            <w:vAlign w:val="center"/>
            <w:hideMark/>
          </w:tcPr>
          <w:p w14:paraId="140B867E" w14:textId="77777777" w:rsidR="00881780" w:rsidRPr="00A71C8E" w:rsidRDefault="00881780" w:rsidP="006F4D8F">
            <w:pPr>
              <w:spacing w:before="0" w:line="240" w:lineRule="auto"/>
              <w:rPr>
                <w:rFonts w:cs="Arial"/>
                <w:sz w:val="18"/>
                <w:szCs w:val="18"/>
              </w:rPr>
            </w:pPr>
            <w:r w:rsidRPr="00A71C8E">
              <w:rPr>
                <w:rFonts w:cs="Arial"/>
                <w:sz w:val="18"/>
                <w:szCs w:val="18"/>
              </w:rPr>
              <w:t>12,4</w:t>
            </w:r>
          </w:p>
        </w:tc>
        <w:tc>
          <w:tcPr>
            <w:tcW w:w="387" w:type="pct"/>
            <w:shd w:val="clear" w:color="auto" w:fill="auto"/>
            <w:noWrap/>
            <w:vAlign w:val="center"/>
            <w:hideMark/>
          </w:tcPr>
          <w:p w14:paraId="19335EC0" w14:textId="77777777" w:rsidR="00881780" w:rsidRPr="00A71C8E" w:rsidRDefault="00881780" w:rsidP="006F4D8F">
            <w:pPr>
              <w:spacing w:before="0" w:line="240" w:lineRule="auto"/>
              <w:rPr>
                <w:rFonts w:cs="Arial"/>
                <w:sz w:val="18"/>
                <w:szCs w:val="18"/>
              </w:rPr>
            </w:pPr>
            <w:r w:rsidRPr="00A71C8E">
              <w:rPr>
                <w:rFonts w:cs="Arial"/>
                <w:sz w:val="18"/>
                <w:szCs w:val="18"/>
              </w:rPr>
              <w:t>12,5</w:t>
            </w:r>
          </w:p>
        </w:tc>
        <w:tc>
          <w:tcPr>
            <w:tcW w:w="388" w:type="pct"/>
            <w:shd w:val="clear" w:color="auto" w:fill="auto"/>
            <w:noWrap/>
            <w:vAlign w:val="center"/>
            <w:hideMark/>
          </w:tcPr>
          <w:p w14:paraId="62C6B075" w14:textId="77777777" w:rsidR="00881780" w:rsidRPr="00A71C8E" w:rsidRDefault="00881780" w:rsidP="006F4D8F">
            <w:pPr>
              <w:spacing w:before="0" w:line="240" w:lineRule="auto"/>
              <w:rPr>
                <w:rFonts w:cs="Arial"/>
                <w:sz w:val="18"/>
                <w:szCs w:val="18"/>
              </w:rPr>
            </w:pPr>
            <w:r w:rsidRPr="00A71C8E">
              <w:rPr>
                <w:rFonts w:cs="Arial"/>
                <w:sz w:val="18"/>
                <w:szCs w:val="18"/>
              </w:rPr>
              <w:t>13,4</w:t>
            </w:r>
          </w:p>
        </w:tc>
        <w:tc>
          <w:tcPr>
            <w:tcW w:w="388" w:type="pct"/>
            <w:shd w:val="clear" w:color="auto" w:fill="auto"/>
            <w:noWrap/>
            <w:vAlign w:val="center"/>
            <w:hideMark/>
          </w:tcPr>
          <w:p w14:paraId="7B6C67FE" w14:textId="77777777" w:rsidR="00881780" w:rsidRPr="00A71C8E" w:rsidRDefault="00881780" w:rsidP="006F4D8F">
            <w:pPr>
              <w:spacing w:before="0" w:line="240" w:lineRule="auto"/>
              <w:rPr>
                <w:rFonts w:cs="Arial"/>
                <w:sz w:val="18"/>
                <w:szCs w:val="18"/>
              </w:rPr>
            </w:pPr>
            <w:r w:rsidRPr="00A71C8E">
              <w:rPr>
                <w:rFonts w:cs="Arial"/>
                <w:sz w:val="18"/>
                <w:szCs w:val="18"/>
              </w:rPr>
              <w:t>13,4</w:t>
            </w:r>
          </w:p>
        </w:tc>
        <w:tc>
          <w:tcPr>
            <w:tcW w:w="388" w:type="pct"/>
            <w:shd w:val="clear" w:color="auto" w:fill="auto"/>
            <w:noWrap/>
            <w:vAlign w:val="center"/>
            <w:hideMark/>
          </w:tcPr>
          <w:p w14:paraId="08DE8645" w14:textId="77777777" w:rsidR="00881780" w:rsidRPr="00A71C8E" w:rsidRDefault="00881780" w:rsidP="006F4D8F">
            <w:pPr>
              <w:spacing w:before="0" w:line="240" w:lineRule="auto"/>
              <w:rPr>
                <w:rFonts w:cs="Arial"/>
                <w:sz w:val="18"/>
                <w:szCs w:val="18"/>
              </w:rPr>
            </w:pPr>
            <w:r w:rsidRPr="00A71C8E">
              <w:rPr>
                <w:rFonts w:cs="Arial"/>
                <w:sz w:val="18"/>
                <w:szCs w:val="18"/>
              </w:rPr>
              <w:t>11,4</w:t>
            </w:r>
          </w:p>
        </w:tc>
        <w:tc>
          <w:tcPr>
            <w:tcW w:w="388" w:type="pct"/>
            <w:shd w:val="clear" w:color="auto" w:fill="auto"/>
            <w:noWrap/>
            <w:vAlign w:val="center"/>
            <w:hideMark/>
          </w:tcPr>
          <w:p w14:paraId="5BD1B671" w14:textId="77777777" w:rsidR="00881780" w:rsidRPr="00A71C8E" w:rsidRDefault="00881780" w:rsidP="006F4D8F">
            <w:pPr>
              <w:spacing w:before="0" w:line="240" w:lineRule="auto"/>
              <w:rPr>
                <w:rFonts w:cs="Arial"/>
                <w:sz w:val="18"/>
                <w:szCs w:val="18"/>
              </w:rPr>
            </w:pPr>
            <w:r w:rsidRPr="00A71C8E">
              <w:rPr>
                <w:rFonts w:cs="Arial"/>
                <w:sz w:val="18"/>
                <w:szCs w:val="18"/>
              </w:rPr>
              <w:t>9,7</w:t>
            </w:r>
          </w:p>
        </w:tc>
        <w:tc>
          <w:tcPr>
            <w:tcW w:w="390" w:type="pct"/>
            <w:shd w:val="clear" w:color="auto" w:fill="auto"/>
            <w:noWrap/>
            <w:vAlign w:val="center"/>
            <w:hideMark/>
          </w:tcPr>
          <w:p w14:paraId="175101CB" w14:textId="77777777" w:rsidR="00881780" w:rsidRPr="00A71C8E" w:rsidRDefault="00881780" w:rsidP="006F4D8F">
            <w:pPr>
              <w:spacing w:before="0" w:line="240" w:lineRule="auto"/>
              <w:rPr>
                <w:rFonts w:cs="Arial"/>
                <w:sz w:val="18"/>
                <w:szCs w:val="18"/>
              </w:rPr>
            </w:pPr>
            <w:r w:rsidRPr="00A71C8E">
              <w:rPr>
                <w:rFonts w:cs="Arial"/>
                <w:sz w:val="18"/>
                <w:szCs w:val="18"/>
              </w:rPr>
              <w:t>8,2</w:t>
            </w:r>
          </w:p>
        </w:tc>
        <w:tc>
          <w:tcPr>
            <w:tcW w:w="387" w:type="pct"/>
            <w:shd w:val="clear" w:color="auto" w:fill="auto"/>
            <w:noWrap/>
            <w:vAlign w:val="center"/>
            <w:hideMark/>
          </w:tcPr>
          <w:p w14:paraId="19BE7C13" w14:textId="77777777" w:rsidR="00881780" w:rsidRPr="00A71C8E" w:rsidRDefault="00881780" w:rsidP="006F4D8F">
            <w:pPr>
              <w:spacing w:before="0" w:line="240" w:lineRule="auto"/>
              <w:rPr>
                <w:rFonts w:cs="Arial"/>
                <w:sz w:val="18"/>
                <w:szCs w:val="18"/>
              </w:rPr>
            </w:pPr>
            <w:r w:rsidRPr="00A71C8E">
              <w:rPr>
                <w:rFonts w:cs="Arial"/>
                <w:sz w:val="18"/>
                <w:szCs w:val="18"/>
              </w:rPr>
              <w:t>6,6</w:t>
            </w:r>
          </w:p>
        </w:tc>
        <w:tc>
          <w:tcPr>
            <w:tcW w:w="349" w:type="pct"/>
            <w:shd w:val="clear" w:color="auto" w:fill="auto"/>
            <w:vAlign w:val="center"/>
          </w:tcPr>
          <w:p w14:paraId="3BAAA8A3" w14:textId="77777777" w:rsidR="00881780" w:rsidRPr="00A71C8E" w:rsidRDefault="00881780" w:rsidP="006F4D8F">
            <w:pPr>
              <w:spacing w:before="0" w:line="240" w:lineRule="auto"/>
              <w:rPr>
                <w:rFonts w:cs="Arial"/>
                <w:sz w:val="18"/>
                <w:szCs w:val="18"/>
              </w:rPr>
            </w:pPr>
            <w:r w:rsidRPr="00A71C8E">
              <w:rPr>
                <w:rFonts w:cs="Arial"/>
                <w:sz w:val="18"/>
                <w:szCs w:val="18"/>
              </w:rPr>
              <w:t>5,8</w:t>
            </w:r>
          </w:p>
        </w:tc>
      </w:tr>
      <w:tr w:rsidR="00881780" w:rsidRPr="00A71C8E" w14:paraId="3296BC45" w14:textId="77777777" w:rsidTr="006F4D8F">
        <w:trPr>
          <w:trHeight w:val="285"/>
        </w:trPr>
        <w:tc>
          <w:tcPr>
            <w:tcW w:w="776" w:type="pct"/>
            <w:shd w:val="clear" w:color="auto" w:fill="auto"/>
            <w:vAlign w:val="center"/>
            <w:hideMark/>
          </w:tcPr>
          <w:p w14:paraId="3054904F" w14:textId="77777777" w:rsidR="00881780" w:rsidRPr="00A71C8E" w:rsidRDefault="00881780" w:rsidP="006F4D8F">
            <w:pPr>
              <w:spacing w:before="0" w:line="240" w:lineRule="auto"/>
              <w:rPr>
                <w:rFonts w:cs="Arial"/>
                <w:sz w:val="18"/>
                <w:szCs w:val="18"/>
              </w:rPr>
            </w:pPr>
            <w:bookmarkStart w:id="169" w:name="_Hlk536386698"/>
            <w:r w:rsidRPr="00A71C8E">
              <w:rPr>
                <w:rFonts w:cs="Arial"/>
                <w:bCs/>
                <w:color w:val="000000"/>
                <w:sz w:val="18"/>
                <w:szCs w:val="18"/>
              </w:rPr>
              <w:t>Zachodniopomorskie (%)</w:t>
            </w:r>
          </w:p>
        </w:tc>
        <w:tc>
          <w:tcPr>
            <w:tcW w:w="385" w:type="pct"/>
            <w:shd w:val="clear" w:color="auto" w:fill="auto"/>
            <w:noWrap/>
            <w:vAlign w:val="center"/>
            <w:hideMark/>
          </w:tcPr>
          <w:p w14:paraId="3730F97F" w14:textId="77777777" w:rsidR="00881780" w:rsidRPr="00A71C8E" w:rsidRDefault="00881780" w:rsidP="006F4D8F">
            <w:pPr>
              <w:spacing w:before="0" w:line="240" w:lineRule="auto"/>
              <w:rPr>
                <w:rFonts w:cs="Arial"/>
                <w:sz w:val="18"/>
                <w:szCs w:val="18"/>
              </w:rPr>
            </w:pPr>
            <w:r w:rsidRPr="00A71C8E">
              <w:rPr>
                <w:rFonts w:cs="Arial"/>
                <w:sz w:val="18"/>
                <w:szCs w:val="18"/>
              </w:rPr>
              <w:t>13,3</w:t>
            </w:r>
          </w:p>
        </w:tc>
        <w:tc>
          <w:tcPr>
            <w:tcW w:w="387" w:type="pct"/>
            <w:shd w:val="clear" w:color="auto" w:fill="auto"/>
            <w:noWrap/>
            <w:vAlign w:val="center"/>
            <w:hideMark/>
          </w:tcPr>
          <w:p w14:paraId="6CE04BF5" w14:textId="77777777" w:rsidR="00881780" w:rsidRPr="00A71C8E" w:rsidRDefault="00881780" w:rsidP="006F4D8F">
            <w:pPr>
              <w:spacing w:before="0" w:line="240" w:lineRule="auto"/>
              <w:rPr>
                <w:rFonts w:cs="Arial"/>
                <w:sz w:val="18"/>
                <w:szCs w:val="18"/>
              </w:rPr>
            </w:pPr>
            <w:r w:rsidRPr="00A71C8E">
              <w:rPr>
                <w:rFonts w:cs="Arial"/>
                <w:sz w:val="18"/>
                <w:szCs w:val="18"/>
              </w:rPr>
              <w:t>17,1</w:t>
            </w:r>
          </w:p>
        </w:tc>
        <w:tc>
          <w:tcPr>
            <w:tcW w:w="387" w:type="pct"/>
            <w:shd w:val="clear" w:color="auto" w:fill="auto"/>
            <w:noWrap/>
            <w:vAlign w:val="center"/>
            <w:hideMark/>
          </w:tcPr>
          <w:p w14:paraId="73CEF980" w14:textId="77777777" w:rsidR="00881780" w:rsidRPr="00A71C8E" w:rsidRDefault="00881780" w:rsidP="006F4D8F">
            <w:pPr>
              <w:spacing w:before="0" w:line="240" w:lineRule="auto"/>
              <w:rPr>
                <w:rFonts w:cs="Arial"/>
                <w:sz w:val="18"/>
                <w:szCs w:val="18"/>
              </w:rPr>
            </w:pPr>
            <w:r w:rsidRPr="00A71C8E">
              <w:rPr>
                <w:rFonts w:cs="Arial"/>
                <w:sz w:val="18"/>
                <w:szCs w:val="18"/>
              </w:rPr>
              <w:t>17,8</w:t>
            </w:r>
          </w:p>
        </w:tc>
        <w:tc>
          <w:tcPr>
            <w:tcW w:w="387" w:type="pct"/>
            <w:shd w:val="clear" w:color="auto" w:fill="auto"/>
            <w:noWrap/>
            <w:vAlign w:val="center"/>
            <w:hideMark/>
          </w:tcPr>
          <w:p w14:paraId="66469B4F" w14:textId="77777777" w:rsidR="00881780" w:rsidRPr="00A71C8E" w:rsidRDefault="00881780" w:rsidP="006F4D8F">
            <w:pPr>
              <w:spacing w:before="0" w:line="240" w:lineRule="auto"/>
              <w:rPr>
                <w:rFonts w:cs="Arial"/>
                <w:sz w:val="18"/>
                <w:szCs w:val="18"/>
              </w:rPr>
            </w:pPr>
            <w:r w:rsidRPr="00A71C8E">
              <w:rPr>
                <w:rFonts w:cs="Arial"/>
                <w:sz w:val="18"/>
                <w:szCs w:val="18"/>
              </w:rPr>
              <w:t>17,6</w:t>
            </w:r>
          </w:p>
        </w:tc>
        <w:tc>
          <w:tcPr>
            <w:tcW w:w="388" w:type="pct"/>
            <w:shd w:val="clear" w:color="auto" w:fill="auto"/>
            <w:noWrap/>
            <w:vAlign w:val="center"/>
            <w:hideMark/>
          </w:tcPr>
          <w:p w14:paraId="3DC1109F" w14:textId="77777777" w:rsidR="00881780" w:rsidRPr="00A71C8E" w:rsidRDefault="00881780" w:rsidP="006F4D8F">
            <w:pPr>
              <w:spacing w:before="0" w:line="240" w:lineRule="auto"/>
              <w:rPr>
                <w:rFonts w:cs="Arial"/>
                <w:sz w:val="18"/>
                <w:szCs w:val="18"/>
              </w:rPr>
            </w:pPr>
            <w:r w:rsidRPr="00A71C8E">
              <w:rPr>
                <w:rFonts w:cs="Arial"/>
                <w:sz w:val="18"/>
                <w:szCs w:val="18"/>
              </w:rPr>
              <w:t>18,2</w:t>
            </w:r>
          </w:p>
        </w:tc>
        <w:tc>
          <w:tcPr>
            <w:tcW w:w="388" w:type="pct"/>
            <w:shd w:val="clear" w:color="auto" w:fill="auto"/>
            <w:noWrap/>
            <w:vAlign w:val="center"/>
            <w:hideMark/>
          </w:tcPr>
          <w:p w14:paraId="32A78552" w14:textId="77777777" w:rsidR="00881780" w:rsidRPr="00A71C8E" w:rsidRDefault="00881780" w:rsidP="006F4D8F">
            <w:pPr>
              <w:spacing w:before="0" w:line="240" w:lineRule="auto"/>
              <w:rPr>
                <w:rFonts w:cs="Arial"/>
                <w:sz w:val="18"/>
                <w:szCs w:val="18"/>
              </w:rPr>
            </w:pPr>
            <w:r w:rsidRPr="00A71C8E">
              <w:rPr>
                <w:rFonts w:cs="Arial"/>
                <w:sz w:val="18"/>
                <w:szCs w:val="18"/>
              </w:rPr>
              <w:t>18,0</w:t>
            </w:r>
          </w:p>
        </w:tc>
        <w:tc>
          <w:tcPr>
            <w:tcW w:w="388" w:type="pct"/>
            <w:shd w:val="clear" w:color="auto" w:fill="auto"/>
            <w:noWrap/>
            <w:vAlign w:val="center"/>
            <w:hideMark/>
          </w:tcPr>
          <w:p w14:paraId="5FB2614C" w14:textId="77777777" w:rsidR="00881780" w:rsidRPr="00A71C8E" w:rsidRDefault="00881780" w:rsidP="006F4D8F">
            <w:pPr>
              <w:spacing w:before="0" w:line="240" w:lineRule="auto"/>
              <w:rPr>
                <w:rFonts w:cs="Arial"/>
                <w:sz w:val="18"/>
                <w:szCs w:val="18"/>
              </w:rPr>
            </w:pPr>
            <w:r w:rsidRPr="00A71C8E">
              <w:rPr>
                <w:rFonts w:cs="Arial"/>
                <w:sz w:val="18"/>
                <w:szCs w:val="18"/>
              </w:rPr>
              <w:t>15,5</w:t>
            </w:r>
          </w:p>
        </w:tc>
        <w:tc>
          <w:tcPr>
            <w:tcW w:w="388" w:type="pct"/>
            <w:shd w:val="clear" w:color="auto" w:fill="auto"/>
            <w:noWrap/>
            <w:vAlign w:val="center"/>
            <w:hideMark/>
          </w:tcPr>
          <w:p w14:paraId="594B7786" w14:textId="77777777" w:rsidR="00881780" w:rsidRPr="00A71C8E" w:rsidRDefault="00881780" w:rsidP="006F4D8F">
            <w:pPr>
              <w:spacing w:before="0" w:line="240" w:lineRule="auto"/>
              <w:rPr>
                <w:rFonts w:cs="Arial"/>
                <w:sz w:val="18"/>
                <w:szCs w:val="18"/>
              </w:rPr>
            </w:pPr>
            <w:r w:rsidRPr="00A71C8E">
              <w:rPr>
                <w:rFonts w:cs="Arial"/>
                <w:sz w:val="18"/>
                <w:szCs w:val="18"/>
              </w:rPr>
              <w:t>13,1</w:t>
            </w:r>
          </w:p>
        </w:tc>
        <w:tc>
          <w:tcPr>
            <w:tcW w:w="390" w:type="pct"/>
            <w:shd w:val="clear" w:color="auto" w:fill="auto"/>
            <w:noWrap/>
            <w:vAlign w:val="center"/>
            <w:hideMark/>
          </w:tcPr>
          <w:p w14:paraId="3F35447E" w14:textId="77777777" w:rsidR="00881780" w:rsidRPr="00A71C8E" w:rsidRDefault="00881780" w:rsidP="006F4D8F">
            <w:pPr>
              <w:spacing w:before="0" w:line="240" w:lineRule="auto"/>
              <w:rPr>
                <w:rFonts w:cs="Arial"/>
                <w:sz w:val="18"/>
                <w:szCs w:val="18"/>
              </w:rPr>
            </w:pPr>
            <w:r w:rsidRPr="00A71C8E">
              <w:rPr>
                <w:rFonts w:cs="Arial"/>
                <w:sz w:val="18"/>
                <w:szCs w:val="18"/>
              </w:rPr>
              <w:t>10,9</w:t>
            </w:r>
          </w:p>
        </w:tc>
        <w:tc>
          <w:tcPr>
            <w:tcW w:w="387" w:type="pct"/>
            <w:shd w:val="clear" w:color="auto" w:fill="auto"/>
            <w:noWrap/>
            <w:vAlign w:val="center"/>
            <w:hideMark/>
          </w:tcPr>
          <w:p w14:paraId="7991766E" w14:textId="77777777" w:rsidR="00881780" w:rsidRPr="00A71C8E" w:rsidRDefault="00881780" w:rsidP="006F4D8F">
            <w:pPr>
              <w:spacing w:before="0" w:line="240" w:lineRule="auto"/>
              <w:rPr>
                <w:rFonts w:cs="Arial"/>
                <w:sz w:val="18"/>
                <w:szCs w:val="18"/>
              </w:rPr>
            </w:pPr>
            <w:r w:rsidRPr="00A71C8E">
              <w:rPr>
                <w:rFonts w:cs="Arial"/>
                <w:sz w:val="18"/>
                <w:szCs w:val="18"/>
              </w:rPr>
              <w:t>8,7</w:t>
            </w:r>
          </w:p>
        </w:tc>
        <w:tc>
          <w:tcPr>
            <w:tcW w:w="349" w:type="pct"/>
            <w:shd w:val="clear" w:color="auto" w:fill="auto"/>
            <w:vAlign w:val="center"/>
          </w:tcPr>
          <w:p w14:paraId="5C793FF0" w14:textId="77777777" w:rsidR="00881780" w:rsidRPr="00A71C8E" w:rsidRDefault="00881780" w:rsidP="006F4D8F">
            <w:pPr>
              <w:spacing w:before="0" w:line="240" w:lineRule="auto"/>
              <w:rPr>
                <w:rFonts w:cs="Arial"/>
                <w:sz w:val="18"/>
                <w:szCs w:val="18"/>
              </w:rPr>
            </w:pPr>
            <w:r w:rsidRPr="00A71C8E">
              <w:rPr>
                <w:rFonts w:cs="Arial"/>
                <w:sz w:val="18"/>
                <w:szCs w:val="18"/>
              </w:rPr>
              <w:t>7,4</w:t>
            </w:r>
          </w:p>
        </w:tc>
      </w:tr>
      <w:tr w:rsidR="00881780" w:rsidRPr="00A71C8E" w14:paraId="278B9158" w14:textId="77777777" w:rsidTr="005F04FC">
        <w:trPr>
          <w:trHeight w:val="285"/>
        </w:trPr>
        <w:tc>
          <w:tcPr>
            <w:tcW w:w="5000" w:type="pct"/>
            <w:gridSpan w:val="12"/>
            <w:shd w:val="clear" w:color="auto" w:fill="DBE5F1"/>
            <w:vAlign w:val="center"/>
          </w:tcPr>
          <w:p w14:paraId="5BC173FD" w14:textId="77777777" w:rsidR="00881780" w:rsidRPr="00A71C8E" w:rsidRDefault="00881780" w:rsidP="006F4D8F">
            <w:pPr>
              <w:spacing w:before="0" w:line="240" w:lineRule="auto"/>
              <w:rPr>
                <w:rFonts w:cs="Arial"/>
                <w:b/>
                <w:sz w:val="18"/>
                <w:szCs w:val="18"/>
              </w:rPr>
            </w:pPr>
            <w:r w:rsidRPr="00A71C8E">
              <w:rPr>
                <w:rFonts w:cs="Arial"/>
                <w:b/>
                <w:bCs/>
                <w:color w:val="000000"/>
                <w:sz w:val="18"/>
                <w:szCs w:val="18"/>
              </w:rPr>
              <w:t>Liczba zarejestrowanych bezrobotnych ogółem</w:t>
            </w:r>
          </w:p>
        </w:tc>
      </w:tr>
      <w:tr w:rsidR="00881780" w:rsidRPr="00A71C8E" w14:paraId="3833EDA9" w14:textId="77777777" w:rsidTr="006F4D8F">
        <w:trPr>
          <w:trHeight w:val="285"/>
        </w:trPr>
        <w:tc>
          <w:tcPr>
            <w:tcW w:w="776" w:type="pct"/>
            <w:shd w:val="clear" w:color="auto" w:fill="auto"/>
            <w:vAlign w:val="center"/>
          </w:tcPr>
          <w:p w14:paraId="3053AE0B"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color w:val="000000"/>
                <w:sz w:val="18"/>
                <w:szCs w:val="18"/>
              </w:rPr>
              <w:t>Zachodniopomorskie (w tys.)</w:t>
            </w:r>
          </w:p>
        </w:tc>
        <w:tc>
          <w:tcPr>
            <w:tcW w:w="385" w:type="pct"/>
            <w:shd w:val="clear" w:color="auto" w:fill="auto"/>
            <w:noWrap/>
            <w:vAlign w:val="center"/>
          </w:tcPr>
          <w:p w14:paraId="1548A401"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82 520</w:t>
            </w:r>
          </w:p>
        </w:tc>
        <w:tc>
          <w:tcPr>
            <w:tcW w:w="387" w:type="pct"/>
            <w:shd w:val="clear" w:color="auto" w:fill="auto"/>
            <w:noWrap/>
            <w:vAlign w:val="center"/>
          </w:tcPr>
          <w:p w14:paraId="1EC88332"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105 905</w:t>
            </w:r>
          </w:p>
        </w:tc>
        <w:tc>
          <w:tcPr>
            <w:tcW w:w="387" w:type="pct"/>
            <w:shd w:val="clear" w:color="auto" w:fill="auto"/>
            <w:noWrap/>
            <w:vAlign w:val="center"/>
          </w:tcPr>
          <w:p w14:paraId="0D5DDDEC"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109 964</w:t>
            </w:r>
          </w:p>
        </w:tc>
        <w:tc>
          <w:tcPr>
            <w:tcW w:w="387" w:type="pct"/>
            <w:shd w:val="clear" w:color="auto" w:fill="auto"/>
            <w:noWrap/>
            <w:vAlign w:val="center"/>
          </w:tcPr>
          <w:p w14:paraId="65176885"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108 904</w:t>
            </w:r>
          </w:p>
        </w:tc>
        <w:tc>
          <w:tcPr>
            <w:tcW w:w="388" w:type="pct"/>
            <w:shd w:val="clear" w:color="auto" w:fill="auto"/>
            <w:noWrap/>
            <w:vAlign w:val="center"/>
          </w:tcPr>
          <w:p w14:paraId="4E11A296"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112 521</w:t>
            </w:r>
          </w:p>
        </w:tc>
        <w:tc>
          <w:tcPr>
            <w:tcW w:w="388" w:type="pct"/>
            <w:shd w:val="clear" w:color="auto" w:fill="auto"/>
            <w:noWrap/>
            <w:vAlign w:val="center"/>
          </w:tcPr>
          <w:p w14:paraId="15974064"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111 063</w:t>
            </w:r>
          </w:p>
        </w:tc>
        <w:tc>
          <w:tcPr>
            <w:tcW w:w="388" w:type="pct"/>
            <w:shd w:val="clear" w:color="auto" w:fill="auto"/>
            <w:noWrap/>
            <w:vAlign w:val="center"/>
          </w:tcPr>
          <w:p w14:paraId="668E0562"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94 465</w:t>
            </w:r>
          </w:p>
        </w:tc>
        <w:tc>
          <w:tcPr>
            <w:tcW w:w="388" w:type="pct"/>
            <w:shd w:val="clear" w:color="auto" w:fill="auto"/>
            <w:noWrap/>
            <w:vAlign w:val="center"/>
          </w:tcPr>
          <w:p w14:paraId="71715E42"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79 393</w:t>
            </w:r>
          </w:p>
        </w:tc>
        <w:tc>
          <w:tcPr>
            <w:tcW w:w="390" w:type="pct"/>
            <w:shd w:val="clear" w:color="auto" w:fill="auto"/>
            <w:noWrap/>
            <w:vAlign w:val="center"/>
          </w:tcPr>
          <w:p w14:paraId="253A0C21"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65 842</w:t>
            </w:r>
          </w:p>
        </w:tc>
        <w:tc>
          <w:tcPr>
            <w:tcW w:w="387" w:type="pct"/>
            <w:shd w:val="clear" w:color="auto" w:fill="auto"/>
            <w:noWrap/>
            <w:vAlign w:val="center"/>
          </w:tcPr>
          <w:p w14:paraId="3EF01518"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52 599</w:t>
            </w:r>
          </w:p>
        </w:tc>
        <w:tc>
          <w:tcPr>
            <w:tcW w:w="349" w:type="pct"/>
            <w:shd w:val="clear" w:color="auto" w:fill="auto"/>
            <w:vAlign w:val="center"/>
          </w:tcPr>
          <w:p w14:paraId="1B662206"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eastAsia="Arial Unicode MS" w:cs="Arial Unicode MS"/>
                <w:color w:val="000000"/>
                <w:sz w:val="18"/>
                <w:szCs w:val="18"/>
              </w:rPr>
              <w:t>46 002</w:t>
            </w:r>
          </w:p>
        </w:tc>
      </w:tr>
    </w:tbl>
    <w:bookmarkEnd w:id="169"/>
    <w:p w14:paraId="3B31500D" w14:textId="77777777"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p>
    <w:p w14:paraId="6DD8CC86" w14:textId="77777777" w:rsidR="00881780" w:rsidRPr="00432E11" w:rsidRDefault="00881780" w:rsidP="005A06CB">
      <w:pPr>
        <w:pStyle w:val="Legenda"/>
        <w:spacing w:after="0"/>
      </w:pPr>
      <w:bookmarkStart w:id="170" w:name="_Toc3896839"/>
      <w:bookmarkStart w:id="171" w:name="_Toc8824195"/>
      <w:bookmarkEnd w:id="168"/>
      <w:r w:rsidRPr="00432E11">
        <w:t xml:space="preserve">Tabela </w:t>
      </w:r>
      <w:r>
        <w:rPr>
          <w:noProof/>
        </w:rPr>
        <w:fldChar w:fldCharType="begin"/>
      </w:r>
      <w:r>
        <w:rPr>
          <w:noProof/>
        </w:rPr>
        <w:instrText xml:space="preserve"> SEQ Tabela \* ARABIC </w:instrText>
      </w:r>
      <w:r>
        <w:rPr>
          <w:noProof/>
        </w:rPr>
        <w:fldChar w:fldCharType="separate"/>
      </w:r>
      <w:r w:rsidR="00763345">
        <w:rPr>
          <w:noProof/>
        </w:rPr>
        <w:t>84</w:t>
      </w:r>
      <w:r>
        <w:rPr>
          <w:noProof/>
        </w:rPr>
        <w:fldChar w:fldCharType="end"/>
      </w:r>
      <w:r w:rsidRPr="00432E11">
        <w:t xml:space="preserve"> Liczba / odsetek bezrobotnych kobiet w</w:t>
      </w:r>
      <w:r>
        <w:t>edług</w:t>
      </w:r>
      <w:r w:rsidRPr="00432E11">
        <w:t xml:space="preserve"> województw</w:t>
      </w:r>
      <w:r w:rsidR="00E66B89">
        <w:t xml:space="preserve"> i w </w:t>
      </w:r>
      <w:r w:rsidRPr="00432E11">
        <w:t>porównaniu do Polski</w:t>
      </w:r>
      <w:bookmarkEnd w:id="170"/>
      <w:r>
        <w:t xml:space="preserve"> (stan na 31.XII)</w:t>
      </w:r>
      <w:bookmarkEnd w:id="171"/>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727"/>
        <w:gridCol w:w="709"/>
        <w:gridCol w:w="709"/>
        <w:gridCol w:w="707"/>
        <w:gridCol w:w="707"/>
        <w:gridCol w:w="710"/>
        <w:gridCol w:w="710"/>
      </w:tblGrid>
      <w:tr w:rsidR="00AA6879" w:rsidRPr="00A71C8E" w14:paraId="106A9941" w14:textId="77777777" w:rsidTr="00AA6879">
        <w:trPr>
          <w:trHeight w:val="283"/>
          <w:tblHeader/>
        </w:trPr>
        <w:tc>
          <w:tcPr>
            <w:tcW w:w="2302" w:type="pct"/>
            <w:shd w:val="clear" w:color="auto" w:fill="DBE5F1"/>
            <w:noWrap/>
            <w:vAlign w:val="center"/>
          </w:tcPr>
          <w:p w14:paraId="312B2DA9" w14:textId="77777777" w:rsidR="00881780" w:rsidRPr="00A71C8E" w:rsidRDefault="00881780" w:rsidP="006F4D8F">
            <w:pPr>
              <w:spacing w:before="0" w:line="240" w:lineRule="auto"/>
              <w:jc w:val="left"/>
              <w:rPr>
                <w:b/>
                <w:sz w:val="18"/>
                <w:szCs w:val="18"/>
              </w:rPr>
            </w:pPr>
            <w:r w:rsidRPr="00A71C8E">
              <w:rPr>
                <w:b/>
                <w:sz w:val="18"/>
                <w:szCs w:val="18"/>
              </w:rPr>
              <w:t>Rok</w:t>
            </w:r>
          </w:p>
        </w:tc>
        <w:tc>
          <w:tcPr>
            <w:tcW w:w="394" w:type="pct"/>
            <w:shd w:val="clear" w:color="auto" w:fill="DBE5F1"/>
            <w:noWrap/>
            <w:vAlign w:val="center"/>
          </w:tcPr>
          <w:p w14:paraId="60838555" w14:textId="77777777" w:rsidR="00881780" w:rsidRPr="00A71C8E" w:rsidRDefault="00881780" w:rsidP="006F4D8F">
            <w:pPr>
              <w:spacing w:before="0" w:line="240" w:lineRule="auto"/>
              <w:rPr>
                <w:b/>
                <w:sz w:val="18"/>
                <w:szCs w:val="18"/>
              </w:rPr>
            </w:pPr>
            <w:r w:rsidRPr="00A71C8E">
              <w:rPr>
                <w:b/>
                <w:sz w:val="18"/>
                <w:szCs w:val="18"/>
              </w:rPr>
              <w:t>2012</w:t>
            </w:r>
          </w:p>
        </w:tc>
        <w:tc>
          <w:tcPr>
            <w:tcW w:w="384" w:type="pct"/>
            <w:shd w:val="clear" w:color="auto" w:fill="DBE5F1"/>
            <w:noWrap/>
            <w:vAlign w:val="center"/>
          </w:tcPr>
          <w:p w14:paraId="309EFF06" w14:textId="77777777" w:rsidR="00881780" w:rsidRPr="00A71C8E" w:rsidRDefault="00881780" w:rsidP="006F4D8F">
            <w:pPr>
              <w:spacing w:before="0" w:line="240" w:lineRule="auto"/>
              <w:rPr>
                <w:b/>
                <w:color w:val="000000"/>
                <w:sz w:val="18"/>
                <w:szCs w:val="18"/>
              </w:rPr>
            </w:pPr>
            <w:r w:rsidRPr="00A71C8E">
              <w:rPr>
                <w:b/>
                <w:color w:val="000000"/>
                <w:sz w:val="18"/>
                <w:szCs w:val="18"/>
              </w:rPr>
              <w:t>2013</w:t>
            </w:r>
          </w:p>
        </w:tc>
        <w:tc>
          <w:tcPr>
            <w:tcW w:w="384" w:type="pct"/>
            <w:shd w:val="clear" w:color="auto" w:fill="DBE5F1"/>
            <w:noWrap/>
            <w:vAlign w:val="center"/>
          </w:tcPr>
          <w:p w14:paraId="5EAA474B" w14:textId="77777777" w:rsidR="00881780" w:rsidRPr="00A71C8E" w:rsidRDefault="00881780" w:rsidP="006F4D8F">
            <w:pPr>
              <w:spacing w:before="0" w:line="240" w:lineRule="auto"/>
              <w:rPr>
                <w:b/>
                <w:color w:val="000000"/>
                <w:sz w:val="18"/>
                <w:szCs w:val="18"/>
              </w:rPr>
            </w:pPr>
            <w:r w:rsidRPr="00A71C8E">
              <w:rPr>
                <w:b/>
                <w:color w:val="000000"/>
                <w:sz w:val="18"/>
                <w:szCs w:val="18"/>
              </w:rPr>
              <w:t>2014</w:t>
            </w:r>
          </w:p>
        </w:tc>
        <w:tc>
          <w:tcPr>
            <w:tcW w:w="383" w:type="pct"/>
            <w:shd w:val="clear" w:color="auto" w:fill="DBE5F1"/>
            <w:noWrap/>
            <w:vAlign w:val="center"/>
          </w:tcPr>
          <w:p w14:paraId="457DF857" w14:textId="77777777" w:rsidR="00881780" w:rsidRPr="00A71C8E" w:rsidRDefault="00881780" w:rsidP="006F4D8F">
            <w:pPr>
              <w:spacing w:before="0" w:line="240" w:lineRule="auto"/>
              <w:rPr>
                <w:b/>
                <w:color w:val="000000"/>
                <w:sz w:val="18"/>
                <w:szCs w:val="18"/>
              </w:rPr>
            </w:pPr>
            <w:r w:rsidRPr="00A71C8E">
              <w:rPr>
                <w:b/>
                <w:color w:val="000000"/>
                <w:sz w:val="18"/>
                <w:szCs w:val="18"/>
              </w:rPr>
              <w:t>2015</w:t>
            </w:r>
          </w:p>
        </w:tc>
        <w:tc>
          <w:tcPr>
            <w:tcW w:w="383" w:type="pct"/>
            <w:shd w:val="clear" w:color="auto" w:fill="DBE5F1"/>
            <w:noWrap/>
            <w:vAlign w:val="center"/>
          </w:tcPr>
          <w:p w14:paraId="0CACF142" w14:textId="77777777" w:rsidR="00881780" w:rsidRPr="00A71C8E" w:rsidRDefault="00881780" w:rsidP="006F4D8F">
            <w:pPr>
              <w:spacing w:before="0" w:line="240" w:lineRule="auto"/>
              <w:rPr>
                <w:b/>
                <w:color w:val="000000"/>
                <w:sz w:val="18"/>
                <w:szCs w:val="18"/>
              </w:rPr>
            </w:pPr>
            <w:r w:rsidRPr="00A71C8E">
              <w:rPr>
                <w:b/>
                <w:color w:val="000000"/>
                <w:sz w:val="18"/>
                <w:szCs w:val="18"/>
              </w:rPr>
              <w:t>2016</w:t>
            </w:r>
          </w:p>
        </w:tc>
        <w:tc>
          <w:tcPr>
            <w:tcW w:w="385" w:type="pct"/>
            <w:shd w:val="clear" w:color="auto" w:fill="DBE5F1"/>
            <w:noWrap/>
            <w:vAlign w:val="center"/>
          </w:tcPr>
          <w:p w14:paraId="61B027AC" w14:textId="77777777" w:rsidR="00881780" w:rsidRPr="00A71C8E" w:rsidRDefault="00881780" w:rsidP="006F4D8F">
            <w:pPr>
              <w:spacing w:before="0" w:line="240" w:lineRule="auto"/>
              <w:rPr>
                <w:b/>
                <w:color w:val="000000"/>
                <w:sz w:val="18"/>
                <w:szCs w:val="18"/>
              </w:rPr>
            </w:pPr>
            <w:r w:rsidRPr="00A71C8E">
              <w:rPr>
                <w:b/>
                <w:color w:val="000000"/>
                <w:sz w:val="18"/>
                <w:szCs w:val="18"/>
              </w:rPr>
              <w:t>2017</w:t>
            </w:r>
          </w:p>
        </w:tc>
        <w:tc>
          <w:tcPr>
            <w:tcW w:w="385" w:type="pct"/>
            <w:shd w:val="clear" w:color="auto" w:fill="DBE5F1"/>
            <w:noWrap/>
            <w:vAlign w:val="center"/>
          </w:tcPr>
          <w:p w14:paraId="3DEEE240" w14:textId="77777777" w:rsidR="00881780" w:rsidRPr="00A71C8E" w:rsidRDefault="00881780" w:rsidP="006F4D8F">
            <w:pPr>
              <w:spacing w:before="0" w:line="240" w:lineRule="auto"/>
              <w:rPr>
                <w:b/>
                <w:color w:val="000000"/>
                <w:sz w:val="18"/>
                <w:szCs w:val="18"/>
              </w:rPr>
            </w:pPr>
            <w:r w:rsidRPr="00A71C8E">
              <w:rPr>
                <w:b/>
                <w:color w:val="000000"/>
                <w:sz w:val="18"/>
                <w:szCs w:val="18"/>
              </w:rPr>
              <w:t>2018</w:t>
            </w:r>
          </w:p>
        </w:tc>
      </w:tr>
      <w:tr w:rsidR="00AA6879" w:rsidRPr="00A71C8E" w14:paraId="583CDCC2" w14:textId="77777777" w:rsidTr="00AA6879">
        <w:trPr>
          <w:trHeight w:val="283"/>
          <w:tblHeader/>
        </w:trPr>
        <w:tc>
          <w:tcPr>
            <w:tcW w:w="2302" w:type="pct"/>
            <w:shd w:val="clear" w:color="auto" w:fill="auto"/>
            <w:noWrap/>
            <w:vAlign w:val="center"/>
          </w:tcPr>
          <w:p w14:paraId="64860A95" w14:textId="77777777" w:rsidR="00881780" w:rsidRPr="00A71C8E" w:rsidRDefault="00881780" w:rsidP="006F4D8F">
            <w:pPr>
              <w:spacing w:before="0" w:line="240" w:lineRule="auto"/>
              <w:jc w:val="left"/>
              <w:rPr>
                <w:b/>
                <w:sz w:val="18"/>
                <w:szCs w:val="18"/>
              </w:rPr>
            </w:pPr>
            <w:r w:rsidRPr="00A71C8E">
              <w:rPr>
                <w:color w:val="000000"/>
                <w:sz w:val="18"/>
                <w:szCs w:val="18"/>
              </w:rPr>
              <w:t>Udział bezrobotnych kobiet</w:t>
            </w:r>
            <w:r w:rsidR="00E66B89" w:rsidRPr="00A71C8E">
              <w:rPr>
                <w:color w:val="000000"/>
                <w:sz w:val="18"/>
                <w:szCs w:val="18"/>
              </w:rPr>
              <w:t xml:space="preserve"> w </w:t>
            </w:r>
            <w:r w:rsidRPr="00A71C8E">
              <w:rPr>
                <w:color w:val="000000"/>
                <w:sz w:val="18"/>
                <w:szCs w:val="18"/>
              </w:rPr>
              <w:t>ogólnej liczbie bezrobotnych / Polska (%)</w:t>
            </w:r>
          </w:p>
        </w:tc>
        <w:tc>
          <w:tcPr>
            <w:tcW w:w="394" w:type="pct"/>
            <w:shd w:val="clear" w:color="auto" w:fill="auto"/>
            <w:noWrap/>
            <w:vAlign w:val="center"/>
          </w:tcPr>
          <w:p w14:paraId="0550EA46" w14:textId="77777777" w:rsidR="00881780" w:rsidRPr="00A71C8E" w:rsidRDefault="00881780" w:rsidP="006F4D8F">
            <w:pPr>
              <w:spacing w:before="0" w:line="240" w:lineRule="auto"/>
              <w:rPr>
                <w:b/>
                <w:sz w:val="18"/>
                <w:szCs w:val="18"/>
              </w:rPr>
            </w:pPr>
            <w:r w:rsidRPr="00A71C8E">
              <w:rPr>
                <w:rFonts w:cs="Arial"/>
                <w:color w:val="000000"/>
                <w:sz w:val="18"/>
                <w:szCs w:val="18"/>
              </w:rPr>
              <w:t>51,44</w:t>
            </w:r>
          </w:p>
        </w:tc>
        <w:tc>
          <w:tcPr>
            <w:tcW w:w="384" w:type="pct"/>
            <w:shd w:val="clear" w:color="auto" w:fill="auto"/>
            <w:noWrap/>
            <w:vAlign w:val="center"/>
          </w:tcPr>
          <w:p w14:paraId="0C382160"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50,95</w:t>
            </w:r>
          </w:p>
        </w:tc>
        <w:tc>
          <w:tcPr>
            <w:tcW w:w="384" w:type="pct"/>
            <w:shd w:val="clear" w:color="auto" w:fill="auto"/>
            <w:noWrap/>
            <w:vAlign w:val="center"/>
          </w:tcPr>
          <w:p w14:paraId="60651E37"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51,48</w:t>
            </w:r>
          </w:p>
        </w:tc>
        <w:tc>
          <w:tcPr>
            <w:tcW w:w="383" w:type="pct"/>
            <w:shd w:val="clear" w:color="auto" w:fill="auto"/>
            <w:noWrap/>
            <w:vAlign w:val="center"/>
          </w:tcPr>
          <w:p w14:paraId="2245029E"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52,20</w:t>
            </w:r>
          </w:p>
        </w:tc>
        <w:tc>
          <w:tcPr>
            <w:tcW w:w="383" w:type="pct"/>
            <w:shd w:val="clear" w:color="auto" w:fill="auto"/>
            <w:noWrap/>
            <w:vAlign w:val="center"/>
          </w:tcPr>
          <w:p w14:paraId="4C822AAF"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53,34</w:t>
            </w:r>
          </w:p>
        </w:tc>
        <w:tc>
          <w:tcPr>
            <w:tcW w:w="385" w:type="pct"/>
            <w:shd w:val="clear" w:color="auto" w:fill="auto"/>
            <w:noWrap/>
            <w:vAlign w:val="center"/>
          </w:tcPr>
          <w:p w14:paraId="38AC59C3"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55,05</w:t>
            </w:r>
          </w:p>
        </w:tc>
        <w:tc>
          <w:tcPr>
            <w:tcW w:w="385" w:type="pct"/>
            <w:shd w:val="clear" w:color="auto" w:fill="auto"/>
            <w:noWrap/>
            <w:vAlign w:val="center"/>
          </w:tcPr>
          <w:p w14:paraId="46FC4DAE" w14:textId="77777777" w:rsidR="00881780" w:rsidRPr="00A71C8E" w:rsidRDefault="00881780" w:rsidP="006F4D8F">
            <w:pPr>
              <w:spacing w:before="0" w:line="240" w:lineRule="auto"/>
              <w:rPr>
                <w:b/>
                <w:color w:val="000000"/>
                <w:sz w:val="18"/>
                <w:szCs w:val="18"/>
              </w:rPr>
            </w:pPr>
            <w:r w:rsidRPr="00A71C8E">
              <w:rPr>
                <w:rFonts w:cs="Arial"/>
                <w:color w:val="000000"/>
                <w:sz w:val="18"/>
                <w:szCs w:val="18"/>
              </w:rPr>
              <w:t>56,0</w:t>
            </w:r>
          </w:p>
        </w:tc>
      </w:tr>
      <w:tr w:rsidR="00AA6879" w:rsidRPr="00A71C8E" w14:paraId="65E2F67A" w14:textId="77777777" w:rsidTr="00AA6879">
        <w:trPr>
          <w:trHeight w:val="283"/>
        </w:trPr>
        <w:tc>
          <w:tcPr>
            <w:tcW w:w="2302" w:type="pct"/>
            <w:shd w:val="clear" w:color="auto" w:fill="auto"/>
            <w:noWrap/>
            <w:vAlign w:val="center"/>
            <w:hideMark/>
          </w:tcPr>
          <w:p w14:paraId="31EDE26F" w14:textId="77777777" w:rsidR="00881780" w:rsidRPr="00A71C8E" w:rsidRDefault="00881780" w:rsidP="006F4D8F">
            <w:pPr>
              <w:spacing w:before="0" w:line="240" w:lineRule="auto"/>
              <w:jc w:val="left"/>
              <w:rPr>
                <w:color w:val="000000"/>
                <w:sz w:val="18"/>
                <w:szCs w:val="18"/>
              </w:rPr>
            </w:pPr>
            <w:r w:rsidRPr="00A71C8E">
              <w:rPr>
                <w:color w:val="000000"/>
                <w:sz w:val="18"/>
                <w:szCs w:val="18"/>
              </w:rPr>
              <w:t>Liczba bezrobotnych kobiet</w:t>
            </w:r>
            <w:r w:rsidR="00E66B89" w:rsidRPr="00A71C8E">
              <w:rPr>
                <w:color w:val="000000"/>
                <w:sz w:val="18"/>
                <w:szCs w:val="18"/>
              </w:rPr>
              <w:t xml:space="preserve"> w </w:t>
            </w:r>
            <w:r w:rsidRPr="00A71C8E">
              <w:rPr>
                <w:color w:val="000000"/>
                <w:sz w:val="18"/>
                <w:szCs w:val="18"/>
              </w:rPr>
              <w:t>woj. zachodniopomorskim (w tys.)</w:t>
            </w:r>
          </w:p>
        </w:tc>
        <w:tc>
          <w:tcPr>
            <w:tcW w:w="394" w:type="pct"/>
            <w:shd w:val="clear" w:color="auto" w:fill="auto"/>
            <w:noWrap/>
            <w:vAlign w:val="center"/>
            <w:hideMark/>
          </w:tcPr>
          <w:p w14:paraId="0E147BA4" w14:textId="77777777" w:rsidR="00881780" w:rsidRPr="00A71C8E" w:rsidRDefault="00881780" w:rsidP="006F4D8F">
            <w:pPr>
              <w:spacing w:before="0" w:line="240" w:lineRule="auto"/>
              <w:rPr>
                <w:color w:val="000000"/>
                <w:sz w:val="18"/>
                <w:szCs w:val="18"/>
              </w:rPr>
            </w:pPr>
            <w:r w:rsidRPr="00A71C8E">
              <w:rPr>
                <w:color w:val="000000"/>
                <w:sz w:val="18"/>
                <w:szCs w:val="18"/>
              </w:rPr>
              <w:t>58 809</w:t>
            </w:r>
          </w:p>
        </w:tc>
        <w:tc>
          <w:tcPr>
            <w:tcW w:w="384" w:type="pct"/>
            <w:shd w:val="clear" w:color="auto" w:fill="auto"/>
            <w:noWrap/>
            <w:vAlign w:val="center"/>
            <w:hideMark/>
          </w:tcPr>
          <w:p w14:paraId="42D808B6" w14:textId="77777777" w:rsidR="00881780" w:rsidRPr="00A71C8E" w:rsidRDefault="00881780" w:rsidP="006F4D8F">
            <w:pPr>
              <w:spacing w:before="0" w:line="240" w:lineRule="auto"/>
              <w:rPr>
                <w:color w:val="000000"/>
                <w:sz w:val="18"/>
                <w:szCs w:val="18"/>
              </w:rPr>
            </w:pPr>
            <w:r w:rsidRPr="00A71C8E">
              <w:rPr>
                <w:color w:val="000000"/>
                <w:sz w:val="18"/>
                <w:szCs w:val="18"/>
              </w:rPr>
              <w:t>57 820</w:t>
            </w:r>
          </w:p>
        </w:tc>
        <w:tc>
          <w:tcPr>
            <w:tcW w:w="384" w:type="pct"/>
            <w:shd w:val="clear" w:color="auto" w:fill="auto"/>
            <w:noWrap/>
            <w:vAlign w:val="center"/>
            <w:hideMark/>
          </w:tcPr>
          <w:p w14:paraId="74D3088E" w14:textId="77777777" w:rsidR="00881780" w:rsidRPr="00A71C8E" w:rsidRDefault="00881780" w:rsidP="006F4D8F">
            <w:pPr>
              <w:spacing w:before="0" w:line="240" w:lineRule="auto"/>
              <w:rPr>
                <w:color w:val="000000"/>
                <w:sz w:val="18"/>
                <w:szCs w:val="18"/>
              </w:rPr>
            </w:pPr>
            <w:r w:rsidRPr="00A71C8E">
              <w:rPr>
                <w:color w:val="000000"/>
                <w:sz w:val="18"/>
                <w:szCs w:val="18"/>
              </w:rPr>
              <w:t>49 795</w:t>
            </w:r>
          </w:p>
        </w:tc>
        <w:tc>
          <w:tcPr>
            <w:tcW w:w="383" w:type="pct"/>
            <w:shd w:val="clear" w:color="auto" w:fill="auto"/>
            <w:noWrap/>
            <w:vAlign w:val="center"/>
            <w:hideMark/>
          </w:tcPr>
          <w:p w14:paraId="5EFC12A4" w14:textId="77777777" w:rsidR="00881780" w:rsidRPr="00A71C8E" w:rsidRDefault="00881780" w:rsidP="006F4D8F">
            <w:pPr>
              <w:spacing w:before="0" w:line="240" w:lineRule="auto"/>
              <w:rPr>
                <w:color w:val="000000"/>
                <w:sz w:val="18"/>
                <w:szCs w:val="18"/>
              </w:rPr>
            </w:pPr>
            <w:r w:rsidRPr="00A71C8E">
              <w:rPr>
                <w:color w:val="000000"/>
                <w:sz w:val="18"/>
                <w:szCs w:val="18"/>
              </w:rPr>
              <w:t>42 882</w:t>
            </w:r>
          </w:p>
        </w:tc>
        <w:tc>
          <w:tcPr>
            <w:tcW w:w="383" w:type="pct"/>
            <w:shd w:val="clear" w:color="auto" w:fill="auto"/>
            <w:noWrap/>
            <w:vAlign w:val="center"/>
            <w:hideMark/>
          </w:tcPr>
          <w:p w14:paraId="0763FC84" w14:textId="77777777" w:rsidR="00881780" w:rsidRPr="00A71C8E" w:rsidRDefault="00881780" w:rsidP="006F4D8F">
            <w:pPr>
              <w:spacing w:before="0" w:line="240" w:lineRule="auto"/>
              <w:rPr>
                <w:color w:val="000000"/>
                <w:sz w:val="18"/>
                <w:szCs w:val="18"/>
              </w:rPr>
            </w:pPr>
            <w:r w:rsidRPr="00A71C8E">
              <w:rPr>
                <w:color w:val="000000"/>
                <w:sz w:val="18"/>
                <w:szCs w:val="18"/>
              </w:rPr>
              <w:t>36 439</w:t>
            </w:r>
          </w:p>
        </w:tc>
        <w:tc>
          <w:tcPr>
            <w:tcW w:w="385" w:type="pct"/>
            <w:shd w:val="clear" w:color="auto" w:fill="auto"/>
            <w:noWrap/>
            <w:vAlign w:val="center"/>
            <w:hideMark/>
          </w:tcPr>
          <w:p w14:paraId="21DB0CC0" w14:textId="77777777" w:rsidR="00881780" w:rsidRPr="00A71C8E" w:rsidRDefault="00881780" w:rsidP="006F4D8F">
            <w:pPr>
              <w:spacing w:before="0" w:line="240" w:lineRule="auto"/>
              <w:rPr>
                <w:color w:val="000000"/>
                <w:sz w:val="18"/>
                <w:szCs w:val="18"/>
              </w:rPr>
            </w:pPr>
            <w:r w:rsidRPr="00A71C8E">
              <w:rPr>
                <w:color w:val="000000"/>
                <w:sz w:val="18"/>
                <w:szCs w:val="18"/>
              </w:rPr>
              <w:t>30 577</w:t>
            </w:r>
          </w:p>
        </w:tc>
        <w:tc>
          <w:tcPr>
            <w:tcW w:w="385" w:type="pct"/>
            <w:shd w:val="clear" w:color="auto" w:fill="auto"/>
            <w:noWrap/>
            <w:vAlign w:val="center"/>
            <w:hideMark/>
          </w:tcPr>
          <w:p w14:paraId="6B84EF73" w14:textId="77777777" w:rsidR="00881780" w:rsidRPr="00A71C8E" w:rsidRDefault="00881780" w:rsidP="006F4D8F">
            <w:pPr>
              <w:spacing w:before="0" w:line="240" w:lineRule="auto"/>
              <w:rPr>
                <w:color w:val="000000"/>
                <w:sz w:val="18"/>
                <w:szCs w:val="18"/>
              </w:rPr>
            </w:pPr>
            <w:r w:rsidRPr="00A71C8E">
              <w:rPr>
                <w:color w:val="000000"/>
                <w:sz w:val="18"/>
                <w:szCs w:val="18"/>
              </w:rPr>
              <w:t>27 119</w:t>
            </w:r>
          </w:p>
        </w:tc>
      </w:tr>
      <w:tr w:rsidR="00881780" w:rsidRPr="00A71C8E" w14:paraId="2F7E5CB4" w14:textId="77777777" w:rsidTr="00AA6879">
        <w:trPr>
          <w:trHeight w:val="283"/>
        </w:trPr>
        <w:tc>
          <w:tcPr>
            <w:tcW w:w="5000" w:type="pct"/>
            <w:gridSpan w:val="8"/>
            <w:shd w:val="clear" w:color="auto" w:fill="DBE5F1"/>
            <w:noWrap/>
            <w:vAlign w:val="center"/>
          </w:tcPr>
          <w:p w14:paraId="4F168F25" w14:textId="77777777" w:rsidR="00881780" w:rsidRPr="00A71C8E" w:rsidRDefault="00881780" w:rsidP="006F4D8F">
            <w:pPr>
              <w:spacing w:before="0" w:line="240" w:lineRule="auto"/>
              <w:rPr>
                <w:b/>
                <w:color w:val="000000"/>
                <w:sz w:val="18"/>
                <w:szCs w:val="18"/>
              </w:rPr>
            </w:pPr>
            <w:r w:rsidRPr="00A71C8E">
              <w:rPr>
                <w:b/>
                <w:color w:val="000000"/>
                <w:sz w:val="18"/>
                <w:szCs w:val="18"/>
              </w:rPr>
              <w:t>Udział bezrobotnych kobiet</w:t>
            </w:r>
            <w:r w:rsidR="00E66B89" w:rsidRPr="00A71C8E">
              <w:rPr>
                <w:b/>
                <w:color w:val="000000"/>
                <w:sz w:val="18"/>
                <w:szCs w:val="18"/>
              </w:rPr>
              <w:t xml:space="preserve"> w </w:t>
            </w:r>
            <w:r w:rsidRPr="00A71C8E">
              <w:rPr>
                <w:b/>
                <w:color w:val="000000"/>
                <w:sz w:val="18"/>
                <w:szCs w:val="18"/>
              </w:rPr>
              <w:t>ogólnej liczbie bezrobotnych</w:t>
            </w:r>
            <w:r w:rsidR="00E66B89" w:rsidRPr="00A71C8E">
              <w:rPr>
                <w:b/>
                <w:color w:val="000000"/>
                <w:sz w:val="18"/>
                <w:szCs w:val="18"/>
              </w:rPr>
              <w:t xml:space="preserve"> w </w:t>
            </w:r>
            <w:r w:rsidRPr="00A71C8E">
              <w:rPr>
                <w:b/>
                <w:color w:val="000000"/>
                <w:sz w:val="18"/>
                <w:szCs w:val="18"/>
              </w:rPr>
              <w:t xml:space="preserve">województwach (%) </w:t>
            </w:r>
          </w:p>
        </w:tc>
      </w:tr>
      <w:tr w:rsidR="00AA6879" w:rsidRPr="00A71C8E" w14:paraId="2FFA4FE2" w14:textId="77777777" w:rsidTr="00AA6879">
        <w:trPr>
          <w:trHeight w:val="283"/>
        </w:trPr>
        <w:tc>
          <w:tcPr>
            <w:tcW w:w="2302" w:type="pct"/>
            <w:shd w:val="clear" w:color="auto" w:fill="auto"/>
            <w:noWrap/>
            <w:vAlign w:val="center"/>
          </w:tcPr>
          <w:p w14:paraId="1DB72C33" w14:textId="77777777" w:rsidR="00881780" w:rsidRPr="00A71C8E" w:rsidRDefault="00881780" w:rsidP="006F4D8F">
            <w:pPr>
              <w:spacing w:before="0" w:line="240" w:lineRule="auto"/>
              <w:jc w:val="left"/>
              <w:rPr>
                <w:color w:val="000000"/>
                <w:sz w:val="18"/>
                <w:szCs w:val="18"/>
              </w:rPr>
            </w:pPr>
            <w:r w:rsidRPr="00A71C8E">
              <w:rPr>
                <w:color w:val="000000"/>
                <w:sz w:val="18"/>
                <w:szCs w:val="18"/>
              </w:rPr>
              <w:t>Zachodniopomorskie</w:t>
            </w:r>
          </w:p>
        </w:tc>
        <w:tc>
          <w:tcPr>
            <w:tcW w:w="394" w:type="pct"/>
            <w:tcBorders>
              <w:top w:val="single" w:sz="4" w:space="0" w:color="auto"/>
              <w:left w:val="nil"/>
              <w:bottom w:val="single" w:sz="4" w:space="0" w:color="auto"/>
              <w:right w:val="single" w:sz="4" w:space="0" w:color="auto"/>
            </w:tcBorders>
            <w:shd w:val="clear" w:color="000000" w:fill="9ABDDE"/>
            <w:noWrap/>
            <w:vAlign w:val="bottom"/>
          </w:tcPr>
          <w:p w14:paraId="17276CF5"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52,3</w:t>
            </w:r>
          </w:p>
        </w:tc>
        <w:tc>
          <w:tcPr>
            <w:tcW w:w="384" w:type="pct"/>
            <w:tcBorders>
              <w:top w:val="single" w:sz="4" w:space="0" w:color="auto"/>
              <w:left w:val="single" w:sz="4" w:space="0" w:color="auto"/>
              <w:bottom w:val="single" w:sz="4" w:space="0" w:color="auto"/>
              <w:right w:val="single" w:sz="4" w:space="0" w:color="auto"/>
            </w:tcBorders>
            <w:shd w:val="clear" w:color="000000" w:fill="9CBFDE"/>
            <w:noWrap/>
            <w:vAlign w:val="bottom"/>
          </w:tcPr>
          <w:p w14:paraId="5E8BB0F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52,1</w:t>
            </w:r>
          </w:p>
        </w:tc>
        <w:tc>
          <w:tcPr>
            <w:tcW w:w="384" w:type="pct"/>
            <w:tcBorders>
              <w:top w:val="single" w:sz="4" w:space="0" w:color="auto"/>
              <w:left w:val="single" w:sz="4" w:space="0" w:color="auto"/>
              <w:bottom w:val="single" w:sz="4" w:space="0" w:color="auto"/>
              <w:right w:val="single" w:sz="4" w:space="0" w:color="auto"/>
            </w:tcBorders>
            <w:shd w:val="clear" w:color="000000" w:fill="96BBDC"/>
            <w:noWrap/>
            <w:vAlign w:val="bottom"/>
          </w:tcPr>
          <w:p w14:paraId="3010FC4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52,7</w:t>
            </w:r>
          </w:p>
        </w:tc>
        <w:tc>
          <w:tcPr>
            <w:tcW w:w="383" w:type="pct"/>
            <w:tcBorders>
              <w:top w:val="single" w:sz="4" w:space="0" w:color="auto"/>
              <w:left w:val="single" w:sz="4" w:space="0" w:color="auto"/>
              <w:bottom w:val="single" w:sz="4" w:space="0" w:color="auto"/>
              <w:right w:val="single" w:sz="4" w:space="0" w:color="auto"/>
            </w:tcBorders>
            <w:shd w:val="clear" w:color="000000" w:fill="89B2D7"/>
            <w:noWrap/>
            <w:vAlign w:val="bottom"/>
          </w:tcPr>
          <w:p w14:paraId="16A9FB25"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54,0</w:t>
            </w:r>
          </w:p>
        </w:tc>
        <w:tc>
          <w:tcPr>
            <w:tcW w:w="383" w:type="pct"/>
            <w:tcBorders>
              <w:top w:val="single" w:sz="4" w:space="0" w:color="auto"/>
              <w:left w:val="single" w:sz="4" w:space="0" w:color="auto"/>
              <w:bottom w:val="single" w:sz="4" w:space="0" w:color="auto"/>
              <w:right w:val="single" w:sz="4" w:space="0" w:color="auto"/>
            </w:tcBorders>
            <w:shd w:val="clear" w:color="000000" w:fill="7CAAD3"/>
            <w:noWrap/>
            <w:vAlign w:val="bottom"/>
          </w:tcPr>
          <w:p w14:paraId="12147065"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55,3</w:t>
            </w:r>
          </w:p>
        </w:tc>
        <w:tc>
          <w:tcPr>
            <w:tcW w:w="385" w:type="pct"/>
            <w:tcBorders>
              <w:top w:val="single" w:sz="4" w:space="0" w:color="auto"/>
              <w:left w:val="single" w:sz="4" w:space="0" w:color="auto"/>
              <w:bottom w:val="single" w:sz="4" w:space="0" w:color="auto"/>
              <w:right w:val="single" w:sz="4" w:space="0" w:color="auto"/>
            </w:tcBorders>
            <w:shd w:val="clear" w:color="000000" w:fill="6197C8"/>
            <w:noWrap/>
            <w:vAlign w:val="bottom"/>
          </w:tcPr>
          <w:p w14:paraId="35287DC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58,1</w:t>
            </w:r>
          </w:p>
        </w:tc>
        <w:tc>
          <w:tcPr>
            <w:tcW w:w="385" w:type="pct"/>
            <w:tcBorders>
              <w:top w:val="single" w:sz="4" w:space="0" w:color="auto"/>
              <w:left w:val="single" w:sz="4" w:space="0" w:color="auto"/>
              <w:bottom w:val="single" w:sz="4" w:space="0" w:color="auto"/>
              <w:right w:val="single" w:sz="4" w:space="0" w:color="auto"/>
            </w:tcBorders>
            <w:shd w:val="clear" w:color="000000" w:fill="5891C5"/>
            <w:noWrap/>
            <w:vAlign w:val="bottom"/>
          </w:tcPr>
          <w:p w14:paraId="6D6DFFC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59,0</w:t>
            </w:r>
          </w:p>
        </w:tc>
      </w:tr>
      <w:tr w:rsidR="00AA6879" w:rsidRPr="00A71C8E" w14:paraId="0E885B1C" w14:textId="77777777" w:rsidTr="00AA6879">
        <w:trPr>
          <w:trHeight w:val="283"/>
        </w:trPr>
        <w:tc>
          <w:tcPr>
            <w:tcW w:w="2302" w:type="pct"/>
            <w:shd w:val="clear" w:color="auto" w:fill="auto"/>
            <w:noWrap/>
            <w:vAlign w:val="bottom"/>
          </w:tcPr>
          <w:p w14:paraId="30D75BCE" w14:textId="77777777" w:rsidR="00881780" w:rsidRPr="00A71C8E" w:rsidRDefault="00881780" w:rsidP="006F4D8F">
            <w:pPr>
              <w:spacing w:before="0" w:line="240" w:lineRule="auto"/>
              <w:jc w:val="left"/>
              <w:rPr>
                <w:color w:val="000000"/>
                <w:sz w:val="18"/>
                <w:szCs w:val="18"/>
              </w:rPr>
            </w:pPr>
            <w:r w:rsidRPr="00A71C8E">
              <w:rPr>
                <w:color w:val="000000"/>
                <w:sz w:val="18"/>
                <w:szCs w:val="18"/>
              </w:rPr>
              <w:t>Dolnośląskie</w:t>
            </w:r>
          </w:p>
        </w:tc>
        <w:tc>
          <w:tcPr>
            <w:tcW w:w="394" w:type="pct"/>
            <w:shd w:val="clear" w:color="000000" w:fill="A6C6E2"/>
            <w:noWrap/>
            <w:vAlign w:val="bottom"/>
          </w:tcPr>
          <w:p w14:paraId="50E9CB5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51,0</w:t>
            </w:r>
          </w:p>
        </w:tc>
        <w:tc>
          <w:tcPr>
            <w:tcW w:w="384" w:type="pct"/>
            <w:shd w:val="clear" w:color="000000" w:fill="AAC8E4"/>
            <w:noWrap/>
            <w:vAlign w:val="bottom"/>
          </w:tcPr>
          <w:p w14:paraId="342AE32F"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50,7</w:t>
            </w:r>
          </w:p>
        </w:tc>
        <w:tc>
          <w:tcPr>
            <w:tcW w:w="384" w:type="pct"/>
            <w:shd w:val="clear" w:color="000000" w:fill="A2C3E1"/>
            <w:noWrap/>
            <w:vAlign w:val="bottom"/>
          </w:tcPr>
          <w:p w14:paraId="6C5A515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51,4</w:t>
            </w:r>
          </w:p>
        </w:tc>
        <w:tc>
          <w:tcPr>
            <w:tcW w:w="383" w:type="pct"/>
            <w:shd w:val="clear" w:color="000000" w:fill="A0C2E0"/>
            <w:noWrap/>
            <w:vAlign w:val="bottom"/>
          </w:tcPr>
          <w:p w14:paraId="5FEFA3E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51,6</w:t>
            </w:r>
          </w:p>
        </w:tc>
        <w:tc>
          <w:tcPr>
            <w:tcW w:w="383" w:type="pct"/>
            <w:shd w:val="clear" w:color="000000" w:fill="94BADC"/>
            <w:noWrap/>
            <w:vAlign w:val="bottom"/>
          </w:tcPr>
          <w:p w14:paraId="0770271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52,9</w:t>
            </w:r>
          </w:p>
        </w:tc>
        <w:tc>
          <w:tcPr>
            <w:tcW w:w="385" w:type="pct"/>
            <w:shd w:val="clear" w:color="000000" w:fill="87B1D7"/>
            <w:noWrap/>
            <w:vAlign w:val="bottom"/>
          </w:tcPr>
          <w:p w14:paraId="74988A73"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54,2</w:t>
            </w:r>
          </w:p>
        </w:tc>
        <w:tc>
          <w:tcPr>
            <w:tcW w:w="385" w:type="pct"/>
            <w:shd w:val="clear" w:color="000000" w:fill="79A8D2"/>
            <w:noWrap/>
            <w:vAlign w:val="bottom"/>
          </w:tcPr>
          <w:p w14:paraId="1B04499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55,6</w:t>
            </w:r>
          </w:p>
        </w:tc>
      </w:tr>
      <w:tr w:rsidR="00AA6879" w:rsidRPr="00A71C8E" w14:paraId="4DF85297" w14:textId="77777777" w:rsidTr="00AA6879">
        <w:trPr>
          <w:trHeight w:val="283"/>
        </w:trPr>
        <w:tc>
          <w:tcPr>
            <w:tcW w:w="2302" w:type="pct"/>
            <w:shd w:val="clear" w:color="auto" w:fill="auto"/>
            <w:noWrap/>
            <w:vAlign w:val="bottom"/>
          </w:tcPr>
          <w:p w14:paraId="201C0390" w14:textId="77777777" w:rsidR="00881780" w:rsidRPr="00A71C8E" w:rsidRDefault="00881780" w:rsidP="006F4D8F">
            <w:pPr>
              <w:spacing w:before="0" w:line="240" w:lineRule="auto"/>
              <w:jc w:val="left"/>
              <w:rPr>
                <w:color w:val="000000"/>
                <w:sz w:val="18"/>
                <w:szCs w:val="18"/>
              </w:rPr>
            </w:pPr>
            <w:r w:rsidRPr="00A71C8E">
              <w:rPr>
                <w:color w:val="000000"/>
                <w:sz w:val="18"/>
                <w:szCs w:val="18"/>
              </w:rPr>
              <w:t>Kujawsko-Pomorskie</w:t>
            </w:r>
          </w:p>
        </w:tc>
        <w:tc>
          <w:tcPr>
            <w:tcW w:w="394" w:type="pct"/>
            <w:shd w:val="clear" w:color="000000" w:fill="88B2D7"/>
            <w:noWrap/>
            <w:vAlign w:val="bottom"/>
          </w:tcPr>
          <w:p w14:paraId="6DC15C3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54,1</w:t>
            </w:r>
          </w:p>
        </w:tc>
        <w:tc>
          <w:tcPr>
            <w:tcW w:w="384" w:type="pct"/>
            <w:shd w:val="clear" w:color="000000" w:fill="89B3D8"/>
            <w:noWrap/>
            <w:vAlign w:val="bottom"/>
          </w:tcPr>
          <w:p w14:paraId="2DFC817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53,9</w:t>
            </w:r>
          </w:p>
        </w:tc>
        <w:tc>
          <w:tcPr>
            <w:tcW w:w="384" w:type="pct"/>
            <w:shd w:val="clear" w:color="000000" w:fill="7EABD3"/>
            <w:noWrap/>
            <w:vAlign w:val="bottom"/>
          </w:tcPr>
          <w:p w14:paraId="4AFF0B3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55,1</w:t>
            </w:r>
          </w:p>
        </w:tc>
        <w:tc>
          <w:tcPr>
            <w:tcW w:w="383" w:type="pct"/>
            <w:shd w:val="clear" w:color="000000" w:fill="73A3CF"/>
            <w:noWrap/>
            <w:vAlign w:val="bottom"/>
          </w:tcPr>
          <w:p w14:paraId="355D3EA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56,3</w:t>
            </w:r>
          </w:p>
        </w:tc>
        <w:tc>
          <w:tcPr>
            <w:tcW w:w="383" w:type="pct"/>
            <w:shd w:val="clear" w:color="000000" w:fill="669BCA"/>
            <w:noWrap/>
            <w:vAlign w:val="bottom"/>
          </w:tcPr>
          <w:p w14:paraId="55395D1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57,5</w:t>
            </w:r>
          </w:p>
        </w:tc>
        <w:tc>
          <w:tcPr>
            <w:tcW w:w="385" w:type="pct"/>
            <w:shd w:val="clear" w:color="000000" w:fill="508BC2"/>
            <w:noWrap/>
            <w:vAlign w:val="bottom"/>
          </w:tcPr>
          <w:p w14:paraId="14B42B32"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59,9</w:t>
            </w:r>
          </w:p>
        </w:tc>
        <w:tc>
          <w:tcPr>
            <w:tcW w:w="385" w:type="pct"/>
            <w:shd w:val="clear" w:color="000000" w:fill="4685BE"/>
            <w:noWrap/>
            <w:vAlign w:val="bottom"/>
          </w:tcPr>
          <w:p w14:paraId="5EE9E4B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60,9</w:t>
            </w:r>
          </w:p>
        </w:tc>
      </w:tr>
      <w:tr w:rsidR="00AA6879" w:rsidRPr="00A71C8E" w14:paraId="2B1CFAA8" w14:textId="77777777" w:rsidTr="00AA6879">
        <w:trPr>
          <w:trHeight w:val="283"/>
        </w:trPr>
        <w:tc>
          <w:tcPr>
            <w:tcW w:w="2302" w:type="pct"/>
            <w:shd w:val="clear" w:color="auto" w:fill="auto"/>
            <w:noWrap/>
            <w:vAlign w:val="bottom"/>
          </w:tcPr>
          <w:p w14:paraId="4A854C56"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Lubelskie</w:t>
            </w:r>
          </w:p>
        </w:tc>
        <w:tc>
          <w:tcPr>
            <w:tcW w:w="394" w:type="pct"/>
            <w:shd w:val="clear" w:color="000000" w:fill="B8D2E9"/>
            <w:noWrap/>
            <w:vAlign w:val="bottom"/>
          </w:tcPr>
          <w:p w14:paraId="76CE652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49,1</w:t>
            </w:r>
          </w:p>
        </w:tc>
        <w:tc>
          <w:tcPr>
            <w:tcW w:w="384" w:type="pct"/>
            <w:shd w:val="clear" w:color="000000" w:fill="C0D7EC"/>
            <w:noWrap/>
            <w:vAlign w:val="bottom"/>
          </w:tcPr>
          <w:p w14:paraId="670B177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48,4</w:t>
            </w:r>
          </w:p>
        </w:tc>
        <w:tc>
          <w:tcPr>
            <w:tcW w:w="384" w:type="pct"/>
            <w:shd w:val="clear" w:color="000000" w:fill="C2D9ED"/>
            <w:noWrap/>
            <w:vAlign w:val="bottom"/>
          </w:tcPr>
          <w:p w14:paraId="2F9097D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48,2</w:t>
            </w:r>
          </w:p>
        </w:tc>
        <w:tc>
          <w:tcPr>
            <w:tcW w:w="383" w:type="pct"/>
            <w:shd w:val="clear" w:color="000000" w:fill="BCD5EB"/>
            <w:noWrap/>
            <w:vAlign w:val="bottom"/>
          </w:tcPr>
          <w:p w14:paraId="591DB18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48,7</w:t>
            </w:r>
          </w:p>
        </w:tc>
        <w:tc>
          <w:tcPr>
            <w:tcW w:w="383" w:type="pct"/>
            <w:shd w:val="clear" w:color="000000" w:fill="B6D1E9"/>
            <w:noWrap/>
            <w:vAlign w:val="bottom"/>
          </w:tcPr>
          <w:p w14:paraId="6330582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49,4</w:t>
            </w:r>
          </w:p>
        </w:tc>
        <w:tc>
          <w:tcPr>
            <w:tcW w:w="385" w:type="pct"/>
            <w:shd w:val="clear" w:color="000000" w:fill="A6C6E2"/>
            <w:noWrap/>
            <w:vAlign w:val="bottom"/>
          </w:tcPr>
          <w:p w14:paraId="50B23D9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51,0</w:t>
            </w:r>
          </w:p>
        </w:tc>
        <w:tc>
          <w:tcPr>
            <w:tcW w:w="385" w:type="pct"/>
            <w:shd w:val="clear" w:color="000000" w:fill="9EC0DF"/>
            <w:noWrap/>
            <w:vAlign w:val="bottom"/>
          </w:tcPr>
          <w:p w14:paraId="60F17B8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51,9</w:t>
            </w:r>
          </w:p>
        </w:tc>
      </w:tr>
      <w:tr w:rsidR="00AA6879" w:rsidRPr="00A71C8E" w14:paraId="5D9B59C1" w14:textId="77777777" w:rsidTr="00AA6879">
        <w:trPr>
          <w:trHeight w:val="283"/>
        </w:trPr>
        <w:tc>
          <w:tcPr>
            <w:tcW w:w="2302" w:type="pct"/>
            <w:shd w:val="clear" w:color="auto" w:fill="auto"/>
            <w:noWrap/>
            <w:vAlign w:val="bottom"/>
          </w:tcPr>
          <w:p w14:paraId="11C8C83D"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Lubuskie</w:t>
            </w:r>
          </w:p>
        </w:tc>
        <w:tc>
          <w:tcPr>
            <w:tcW w:w="394" w:type="pct"/>
            <w:shd w:val="clear" w:color="000000" w:fill="9ABDDE"/>
            <w:noWrap/>
            <w:vAlign w:val="bottom"/>
          </w:tcPr>
          <w:p w14:paraId="5EB6916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52,3</w:t>
            </w:r>
          </w:p>
        </w:tc>
        <w:tc>
          <w:tcPr>
            <w:tcW w:w="384" w:type="pct"/>
            <w:shd w:val="clear" w:color="000000" w:fill="95BADC"/>
            <w:noWrap/>
            <w:vAlign w:val="bottom"/>
          </w:tcPr>
          <w:p w14:paraId="1CF4A33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52,8</w:t>
            </w:r>
          </w:p>
        </w:tc>
        <w:tc>
          <w:tcPr>
            <w:tcW w:w="384" w:type="pct"/>
            <w:shd w:val="clear" w:color="000000" w:fill="93B9DB"/>
            <w:noWrap/>
            <w:vAlign w:val="bottom"/>
          </w:tcPr>
          <w:p w14:paraId="702722F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53,0</w:t>
            </w:r>
          </w:p>
        </w:tc>
        <w:tc>
          <w:tcPr>
            <w:tcW w:w="383" w:type="pct"/>
            <w:shd w:val="clear" w:color="000000" w:fill="89B2D7"/>
            <w:noWrap/>
            <w:vAlign w:val="bottom"/>
          </w:tcPr>
          <w:p w14:paraId="287451D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54,0</w:t>
            </w:r>
          </w:p>
        </w:tc>
        <w:tc>
          <w:tcPr>
            <w:tcW w:w="383" w:type="pct"/>
            <w:shd w:val="clear" w:color="000000" w:fill="70A1CE"/>
            <w:noWrap/>
            <w:vAlign w:val="bottom"/>
          </w:tcPr>
          <w:p w14:paraId="11747A4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56,5</w:t>
            </w:r>
          </w:p>
        </w:tc>
        <w:tc>
          <w:tcPr>
            <w:tcW w:w="385" w:type="pct"/>
            <w:shd w:val="clear" w:color="000000" w:fill="5992C5"/>
            <w:noWrap/>
            <w:vAlign w:val="bottom"/>
          </w:tcPr>
          <w:p w14:paraId="3C84A39B"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58,9</w:t>
            </w:r>
          </w:p>
        </w:tc>
        <w:tc>
          <w:tcPr>
            <w:tcW w:w="385" w:type="pct"/>
            <w:shd w:val="clear" w:color="000000" w:fill="5791C5"/>
            <w:noWrap/>
            <w:vAlign w:val="bottom"/>
          </w:tcPr>
          <w:p w14:paraId="47853DA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59,1</w:t>
            </w:r>
          </w:p>
        </w:tc>
      </w:tr>
      <w:tr w:rsidR="00AA6879" w:rsidRPr="00A71C8E" w14:paraId="71199A77" w14:textId="77777777" w:rsidTr="00AA6879">
        <w:trPr>
          <w:trHeight w:val="283"/>
        </w:trPr>
        <w:tc>
          <w:tcPr>
            <w:tcW w:w="2302" w:type="pct"/>
            <w:shd w:val="clear" w:color="auto" w:fill="auto"/>
            <w:noWrap/>
            <w:vAlign w:val="bottom"/>
          </w:tcPr>
          <w:p w14:paraId="2BCF2764" w14:textId="77777777" w:rsidR="00881780" w:rsidRPr="00A71C8E" w:rsidRDefault="00881780" w:rsidP="006F4D8F">
            <w:pPr>
              <w:spacing w:before="0" w:line="240" w:lineRule="auto"/>
              <w:jc w:val="left"/>
              <w:rPr>
                <w:color w:val="000000"/>
                <w:sz w:val="18"/>
                <w:szCs w:val="18"/>
              </w:rPr>
            </w:pPr>
            <w:r w:rsidRPr="00A71C8E">
              <w:rPr>
                <w:color w:val="000000"/>
                <w:sz w:val="18"/>
                <w:szCs w:val="18"/>
              </w:rPr>
              <w:t>Łódzkie</w:t>
            </w:r>
          </w:p>
        </w:tc>
        <w:tc>
          <w:tcPr>
            <w:tcW w:w="394" w:type="pct"/>
            <w:shd w:val="clear" w:color="000000" w:fill="B4D0E8"/>
            <w:noWrap/>
            <w:vAlign w:val="bottom"/>
          </w:tcPr>
          <w:p w14:paraId="4526FED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49,6</w:t>
            </w:r>
          </w:p>
        </w:tc>
        <w:tc>
          <w:tcPr>
            <w:tcW w:w="384" w:type="pct"/>
            <w:shd w:val="clear" w:color="000000" w:fill="BCD5EB"/>
            <w:noWrap/>
            <w:vAlign w:val="bottom"/>
          </w:tcPr>
          <w:p w14:paraId="040B844E"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48,8</w:t>
            </w:r>
          </w:p>
        </w:tc>
        <w:tc>
          <w:tcPr>
            <w:tcW w:w="384" w:type="pct"/>
            <w:shd w:val="clear" w:color="000000" w:fill="B8D2E9"/>
            <w:noWrap/>
            <w:vAlign w:val="bottom"/>
          </w:tcPr>
          <w:p w14:paraId="48DF640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49,2</w:t>
            </w:r>
          </w:p>
        </w:tc>
        <w:tc>
          <w:tcPr>
            <w:tcW w:w="383" w:type="pct"/>
            <w:shd w:val="clear" w:color="000000" w:fill="B2CEE7"/>
            <w:noWrap/>
            <w:vAlign w:val="bottom"/>
          </w:tcPr>
          <w:p w14:paraId="3D0D232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49,8</w:t>
            </w:r>
          </w:p>
        </w:tc>
        <w:tc>
          <w:tcPr>
            <w:tcW w:w="383" w:type="pct"/>
            <w:shd w:val="clear" w:color="000000" w:fill="AAC8E4"/>
            <w:noWrap/>
            <w:vAlign w:val="bottom"/>
          </w:tcPr>
          <w:p w14:paraId="3C0A7B5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50,7</w:t>
            </w:r>
          </w:p>
        </w:tc>
        <w:tc>
          <w:tcPr>
            <w:tcW w:w="385" w:type="pct"/>
            <w:shd w:val="clear" w:color="000000" w:fill="9FC1E0"/>
            <w:noWrap/>
            <w:vAlign w:val="bottom"/>
          </w:tcPr>
          <w:p w14:paraId="792B83B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51,8</w:t>
            </w:r>
          </w:p>
        </w:tc>
        <w:tc>
          <w:tcPr>
            <w:tcW w:w="385" w:type="pct"/>
            <w:shd w:val="clear" w:color="000000" w:fill="8FB7DA"/>
            <w:noWrap/>
            <w:vAlign w:val="bottom"/>
          </w:tcPr>
          <w:p w14:paraId="1568D0A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53,3</w:t>
            </w:r>
          </w:p>
        </w:tc>
      </w:tr>
      <w:tr w:rsidR="00AA6879" w:rsidRPr="00A71C8E" w14:paraId="3AB2871F" w14:textId="77777777" w:rsidTr="00AA6879">
        <w:trPr>
          <w:trHeight w:val="283"/>
        </w:trPr>
        <w:tc>
          <w:tcPr>
            <w:tcW w:w="2302" w:type="pct"/>
            <w:shd w:val="clear" w:color="auto" w:fill="auto"/>
            <w:noWrap/>
            <w:vAlign w:val="bottom"/>
          </w:tcPr>
          <w:p w14:paraId="7E47B479"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Małopolskie</w:t>
            </w:r>
          </w:p>
        </w:tc>
        <w:tc>
          <w:tcPr>
            <w:tcW w:w="394" w:type="pct"/>
            <w:shd w:val="clear" w:color="000000" w:fill="9ABEDE"/>
            <w:noWrap/>
            <w:vAlign w:val="bottom"/>
          </w:tcPr>
          <w:p w14:paraId="1FE37FDE"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52,2</w:t>
            </w:r>
          </w:p>
        </w:tc>
        <w:tc>
          <w:tcPr>
            <w:tcW w:w="384" w:type="pct"/>
            <w:shd w:val="clear" w:color="000000" w:fill="A2C3E1"/>
            <w:noWrap/>
            <w:vAlign w:val="bottom"/>
          </w:tcPr>
          <w:p w14:paraId="75AD2F8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51,4</w:t>
            </w:r>
          </w:p>
        </w:tc>
        <w:tc>
          <w:tcPr>
            <w:tcW w:w="384" w:type="pct"/>
            <w:shd w:val="clear" w:color="000000" w:fill="99BDDD"/>
            <w:noWrap/>
            <w:vAlign w:val="bottom"/>
          </w:tcPr>
          <w:p w14:paraId="1004492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52,4</w:t>
            </w:r>
          </w:p>
        </w:tc>
        <w:tc>
          <w:tcPr>
            <w:tcW w:w="383" w:type="pct"/>
            <w:shd w:val="clear" w:color="000000" w:fill="8CB4D9"/>
            <w:noWrap/>
            <w:vAlign w:val="bottom"/>
          </w:tcPr>
          <w:p w14:paraId="0F75FB6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53,7</w:t>
            </w:r>
          </w:p>
        </w:tc>
        <w:tc>
          <w:tcPr>
            <w:tcW w:w="383" w:type="pct"/>
            <w:shd w:val="clear" w:color="000000" w:fill="87B1D7"/>
            <w:noWrap/>
            <w:vAlign w:val="bottom"/>
          </w:tcPr>
          <w:p w14:paraId="3C3ABA1F"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54,2</w:t>
            </w:r>
          </w:p>
        </w:tc>
        <w:tc>
          <w:tcPr>
            <w:tcW w:w="385" w:type="pct"/>
            <w:shd w:val="clear" w:color="000000" w:fill="73A3CF"/>
            <w:noWrap/>
            <w:vAlign w:val="bottom"/>
          </w:tcPr>
          <w:p w14:paraId="3402FBF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56,3</w:t>
            </w:r>
          </w:p>
        </w:tc>
        <w:tc>
          <w:tcPr>
            <w:tcW w:w="385" w:type="pct"/>
            <w:shd w:val="clear" w:color="000000" w:fill="669BCA"/>
            <w:noWrap/>
            <w:vAlign w:val="bottom"/>
          </w:tcPr>
          <w:p w14:paraId="7189489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57,6</w:t>
            </w:r>
          </w:p>
        </w:tc>
      </w:tr>
      <w:tr w:rsidR="00AA6879" w:rsidRPr="00A71C8E" w14:paraId="0FA7ECC0" w14:textId="77777777" w:rsidTr="00AA6879">
        <w:trPr>
          <w:trHeight w:val="283"/>
        </w:trPr>
        <w:tc>
          <w:tcPr>
            <w:tcW w:w="2302" w:type="pct"/>
            <w:shd w:val="clear" w:color="auto" w:fill="auto"/>
            <w:noWrap/>
            <w:vAlign w:val="bottom"/>
          </w:tcPr>
          <w:p w14:paraId="6DF68800"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Mazowieckie</w:t>
            </w:r>
          </w:p>
        </w:tc>
        <w:tc>
          <w:tcPr>
            <w:tcW w:w="394" w:type="pct"/>
            <w:shd w:val="clear" w:color="000000" w:fill="C5DBEE"/>
            <w:noWrap/>
            <w:vAlign w:val="bottom"/>
          </w:tcPr>
          <w:p w14:paraId="25CC5CB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47,8</w:t>
            </w:r>
          </w:p>
        </w:tc>
        <w:tc>
          <w:tcPr>
            <w:tcW w:w="384" w:type="pct"/>
            <w:shd w:val="clear" w:color="000000" w:fill="CBDFF0"/>
            <w:noWrap/>
            <w:vAlign w:val="bottom"/>
          </w:tcPr>
          <w:p w14:paraId="2C0E988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47,2</w:t>
            </w:r>
          </w:p>
        </w:tc>
        <w:tc>
          <w:tcPr>
            <w:tcW w:w="384" w:type="pct"/>
            <w:shd w:val="clear" w:color="000000" w:fill="C5DBEE"/>
            <w:noWrap/>
            <w:vAlign w:val="bottom"/>
          </w:tcPr>
          <w:p w14:paraId="46FD382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47,8</w:t>
            </w:r>
          </w:p>
        </w:tc>
        <w:tc>
          <w:tcPr>
            <w:tcW w:w="383" w:type="pct"/>
            <w:shd w:val="clear" w:color="000000" w:fill="C0D8EC"/>
            <w:noWrap/>
            <w:vAlign w:val="bottom"/>
          </w:tcPr>
          <w:p w14:paraId="7B60C95F"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48,3</w:t>
            </w:r>
          </w:p>
        </w:tc>
        <w:tc>
          <w:tcPr>
            <w:tcW w:w="383" w:type="pct"/>
            <w:shd w:val="clear" w:color="000000" w:fill="B3CFE8"/>
            <w:noWrap/>
            <w:vAlign w:val="bottom"/>
          </w:tcPr>
          <w:p w14:paraId="4B1A361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49,7</w:t>
            </w:r>
          </w:p>
        </w:tc>
        <w:tc>
          <w:tcPr>
            <w:tcW w:w="385" w:type="pct"/>
            <w:shd w:val="clear" w:color="000000" w:fill="A5C5E2"/>
            <w:noWrap/>
            <w:vAlign w:val="bottom"/>
          </w:tcPr>
          <w:p w14:paraId="479A4F33"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51,2</w:t>
            </w:r>
          </w:p>
        </w:tc>
        <w:tc>
          <w:tcPr>
            <w:tcW w:w="385" w:type="pct"/>
            <w:shd w:val="clear" w:color="000000" w:fill="9CBFDF"/>
            <w:noWrap/>
            <w:vAlign w:val="bottom"/>
          </w:tcPr>
          <w:p w14:paraId="05DD2382"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52,1</w:t>
            </w:r>
          </w:p>
        </w:tc>
      </w:tr>
      <w:tr w:rsidR="00AA6879" w:rsidRPr="00A71C8E" w14:paraId="78B9F811" w14:textId="77777777" w:rsidTr="00AA6879">
        <w:trPr>
          <w:trHeight w:val="283"/>
        </w:trPr>
        <w:tc>
          <w:tcPr>
            <w:tcW w:w="2302" w:type="pct"/>
            <w:shd w:val="clear" w:color="auto" w:fill="auto"/>
            <w:noWrap/>
            <w:vAlign w:val="bottom"/>
          </w:tcPr>
          <w:p w14:paraId="38322FE8" w14:textId="77777777" w:rsidR="00881780" w:rsidRPr="00A71C8E" w:rsidRDefault="00881780" w:rsidP="006F4D8F">
            <w:pPr>
              <w:spacing w:before="0" w:line="240" w:lineRule="auto"/>
              <w:jc w:val="left"/>
              <w:rPr>
                <w:color w:val="000000"/>
                <w:sz w:val="18"/>
                <w:szCs w:val="18"/>
              </w:rPr>
            </w:pPr>
            <w:r w:rsidRPr="00A71C8E">
              <w:rPr>
                <w:color w:val="000000"/>
                <w:sz w:val="18"/>
                <w:szCs w:val="18"/>
              </w:rPr>
              <w:t>Opolskie</w:t>
            </w:r>
          </w:p>
        </w:tc>
        <w:tc>
          <w:tcPr>
            <w:tcW w:w="394" w:type="pct"/>
            <w:shd w:val="clear" w:color="000000" w:fill="9BBFDE"/>
            <w:noWrap/>
            <w:vAlign w:val="bottom"/>
          </w:tcPr>
          <w:p w14:paraId="7864ACE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52,1</w:t>
            </w:r>
          </w:p>
        </w:tc>
        <w:tc>
          <w:tcPr>
            <w:tcW w:w="384" w:type="pct"/>
            <w:shd w:val="clear" w:color="000000" w:fill="99BDDD"/>
            <w:noWrap/>
            <w:vAlign w:val="bottom"/>
          </w:tcPr>
          <w:p w14:paraId="494ACB2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52,4</w:t>
            </w:r>
          </w:p>
        </w:tc>
        <w:tc>
          <w:tcPr>
            <w:tcW w:w="384" w:type="pct"/>
            <w:shd w:val="clear" w:color="000000" w:fill="97BCDD"/>
            <w:noWrap/>
            <w:vAlign w:val="bottom"/>
          </w:tcPr>
          <w:p w14:paraId="5561577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52,6</w:t>
            </w:r>
          </w:p>
        </w:tc>
        <w:tc>
          <w:tcPr>
            <w:tcW w:w="383" w:type="pct"/>
            <w:shd w:val="clear" w:color="000000" w:fill="83AED5"/>
            <w:noWrap/>
            <w:vAlign w:val="bottom"/>
          </w:tcPr>
          <w:p w14:paraId="12661D9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54,6</w:t>
            </w:r>
          </w:p>
        </w:tc>
        <w:tc>
          <w:tcPr>
            <w:tcW w:w="383" w:type="pct"/>
            <w:shd w:val="clear" w:color="000000" w:fill="7AA8D2"/>
            <w:noWrap/>
            <w:vAlign w:val="bottom"/>
          </w:tcPr>
          <w:p w14:paraId="728A191F"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55,6</w:t>
            </w:r>
          </w:p>
        </w:tc>
        <w:tc>
          <w:tcPr>
            <w:tcW w:w="385" w:type="pct"/>
            <w:shd w:val="clear" w:color="000000" w:fill="669BCA"/>
            <w:noWrap/>
            <w:vAlign w:val="bottom"/>
          </w:tcPr>
          <w:p w14:paraId="36F2B05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57,6</w:t>
            </w:r>
          </w:p>
        </w:tc>
        <w:tc>
          <w:tcPr>
            <w:tcW w:w="385" w:type="pct"/>
            <w:shd w:val="clear" w:color="000000" w:fill="5992C5"/>
            <w:noWrap/>
            <w:vAlign w:val="bottom"/>
          </w:tcPr>
          <w:p w14:paraId="17642A5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58,9</w:t>
            </w:r>
          </w:p>
        </w:tc>
      </w:tr>
      <w:tr w:rsidR="00AA6879" w:rsidRPr="00A71C8E" w14:paraId="209440F1" w14:textId="77777777" w:rsidTr="00AA6879">
        <w:trPr>
          <w:trHeight w:val="283"/>
        </w:trPr>
        <w:tc>
          <w:tcPr>
            <w:tcW w:w="2302" w:type="pct"/>
            <w:shd w:val="clear" w:color="auto" w:fill="auto"/>
            <w:noWrap/>
            <w:vAlign w:val="bottom"/>
          </w:tcPr>
          <w:p w14:paraId="116E8C8E"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Podkarpackie</w:t>
            </w:r>
          </w:p>
        </w:tc>
        <w:tc>
          <w:tcPr>
            <w:tcW w:w="394" w:type="pct"/>
            <w:shd w:val="clear" w:color="000000" w:fill="AAC8E4"/>
            <w:noWrap/>
            <w:vAlign w:val="bottom"/>
          </w:tcPr>
          <w:p w14:paraId="5912D81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50,6</w:t>
            </w:r>
          </w:p>
        </w:tc>
        <w:tc>
          <w:tcPr>
            <w:tcW w:w="384" w:type="pct"/>
            <w:shd w:val="clear" w:color="000000" w:fill="AECBE6"/>
            <w:noWrap/>
            <w:vAlign w:val="bottom"/>
          </w:tcPr>
          <w:p w14:paraId="42F990A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50,2</w:t>
            </w:r>
          </w:p>
        </w:tc>
        <w:tc>
          <w:tcPr>
            <w:tcW w:w="384" w:type="pct"/>
            <w:shd w:val="clear" w:color="000000" w:fill="A7C6E3"/>
            <w:noWrap/>
            <w:vAlign w:val="bottom"/>
          </w:tcPr>
          <w:p w14:paraId="7B3002E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51,0</w:t>
            </w:r>
          </w:p>
        </w:tc>
        <w:tc>
          <w:tcPr>
            <w:tcW w:w="383" w:type="pct"/>
            <w:shd w:val="clear" w:color="000000" w:fill="A2C3E1"/>
            <w:noWrap/>
            <w:vAlign w:val="bottom"/>
          </w:tcPr>
          <w:p w14:paraId="7BEC51C0"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51,5</w:t>
            </w:r>
          </w:p>
        </w:tc>
        <w:tc>
          <w:tcPr>
            <w:tcW w:w="383" w:type="pct"/>
            <w:shd w:val="clear" w:color="000000" w:fill="98BDDD"/>
            <w:noWrap/>
            <w:vAlign w:val="bottom"/>
          </w:tcPr>
          <w:p w14:paraId="34091A1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52,4</w:t>
            </w:r>
          </w:p>
        </w:tc>
        <w:tc>
          <w:tcPr>
            <w:tcW w:w="385" w:type="pct"/>
            <w:shd w:val="clear" w:color="000000" w:fill="8EB6D9"/>
            <w:noWrap/>
            <w:vAlign w:val="bottom"/>
          </w:tcPr>
          <w:p w14:paraId="5C3A3752"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53,4</w:t>
            </w:r>
          </w:p>
        </w:tc>
        <w:tc>
          <w:tcPr>
            <w:tcW w:w="385" w:type="pct"/>
            <w:shd w:val="clear" w:color="000000" w:fill="86B0D6"/>
            <w:noWrap/>
            <w:vAlign w:val="bottom"/>
          </w:tcPr>
          <w:p w14:paraId="40693E9F"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54,3</w:t>
            </w:r>
          </w:p>
        </w:tc>
      </w:tr>
      <w:tr w:rsidR="00AA6879" w:rsidRPr="00A71C8E" w14:paraId="270829EF" w14:textId="77777777" w:rsidTr="00AA6879">
        <w:trPr>
          <w:trHeight w:val="283"/>
        </w:trPr>
        <w:tc>
          <w:tcPr>
            <w:tcW w:w="2302" w:type="pct"/>
            <w:shd w:val="clear" w:color="auto" w:fill="auto"/>
            <w:noWrap/>
            <w:vAlign w:val="bottom"/>
          </w:tcPr>
          <w:p w14:paraId="728C1598"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Podlaskie</w:t>
            </w:r>
          </w:p>
        </w:tc>
        <w:tc>
          <w:tcPr>
            <w:tcW w:w="394" w:type="pct"/>
            <w:shd w:val="clear" w:color="000000" w:fill="D8E8F5"/>
            <w:noWrap/>
            <w:vAlign w:val="bottom"/>
          </w:tcPr>
          <w:p w14:paraId="0325635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45,9</w:t>
            </w:r>
          </w:p>
        </w:tc>
        <w:tc>
          <w:tcPr>
            <w:tcW w:w="384" w:type="pct"/>
            <w:shd w:val="clear" w:color="000000" w:fill="DBEAF7"/>
            <w:noWrap/>
            <w:vAlign w:val="bottom"/>
          </w:tcPr>
          <w:p w14:paraId="4C6051C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45,6</w:t>
            </w:r>
          </w:p>
        </w:tc>
        <w:tc>
          <w:tcPr>
            <w:tcW w:w="384" w:type="pct"/>
            <w:shd w:val="clear" w:color="000000" w:fill="DCEAF7"/>
            <w:noWrap/>
            <w:vAlign w:val="bottom"/>
          </w:tcPr>
          <w:p w14:paraId="262E04FB"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45,5</w:t>
            </w:r>
          </w:p>
        </w:tc>
        <w:tc>
          <w:tcPr>
            <w:tcW w:w="383" w:type="pct"/>
            <w:shd w:val="clear" w:color="000000" w:fill="DDEBF7"/>
            <w:noWrap/>
            <w:vAlign w:val="bottom"/>
          </w:tcPr>
          <w:p w14:paraId="4E81D8D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45,3%</w:t>
            </w:r>
          </w:p>
        </w:tc>
        <w:tc>
          <w:tcPr>
            <w:tcW w:w="383" w:type="pct"/>
            <w:shd w:val="clear" w:color="000000" w:fill="DBEAF6"/>
            <w:noWrap/>
            <w:vAlign w:val="bottom"/>
          </w:tcPr>
          <w:p w14:paraId="6667964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45,6</w:t>
            </w:r>
          </w:p>
        </w:tc>
        <w:tc>
          <w:tcPr>
            <w:tcW w:w="385" w:type="pct"/>
            <w:shd w:val="clear" w:color="000000" w:fill="CCDFF1"/>
            <w:noWrap/>
            <w:vAlign w:val="bottom"/>
          </w:tcPr>
          <w:p w14:paraId="2EFCFF2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47,2</w:t>
            </w:r>
          </w:p>
        </w:tc>
        <w:tc>
          <w:tcPr>
            <w:tcW w:w="385" w:type="pct"/>
            <w:shd w:val="clear" w:color="000000" w:fill="C7DCEF"/>
            <w:noWrap/>
            <w:vAlign w:val="bottom"/>
          </w:tcPr>
          <w:p w14:paraId="3AD56172"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47,6</w:t>
            </w:r>
          </w:p>
        </w:tc>
      </w:tr>
      <w:tr w:rsidR="00AA6879" w:rsidRPr="00A71C8E" w14:paraId="0EDF88E5" w14:textId="77777777" w:rsidTr="00AA6879">
        <w:trPr>
          <w:trHeight w:val="283"/>
        </w:trPr>
        <w:tc>
          <w:tcPr>
            <w:tcW w:w="2302" w:type="pct"/>
            <w:shd w:val="clear" w:color="auto" w:fill="auto"/>
            <w:noWrap/>
            <w:vAlign w:val="bottom"/>
          </w:tcPr>
          <w:p w14:paraId="7F3D6F4A"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Pomorskie</w:t>
            </w:r>
          </w:p>
        </w:tc>
        <w:tc>
          <w:tcPr>
            <w:tcW w:w="394" w:type="pct"/>
            <w:shd w:val="clear" w:color="000000" w:fill="81ADD4"/>
            <w:noWrap/>
            <w:vAlign w:val="bottom"/>
          </w:tcPr>
          <w:p w14:paraId="72E3764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54,8</w:t>
            </w:r>
          </w:p>
        </w:tc>
        <w:tc>
          <w:tcPr>
            <w:tcW w:w="384" w:type="pct"/>
            <w:shd w:val="clear" w:color="000000" w:fill="80ACD4"/>
            <w:noWrap/>
            <w:vAlign w:val="bottom"/>
          </w:tcPr>
          <w:p w14:paraId="1B3E2AB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54,9</w:t>
            </w:r>
          </w:p>
        </w:tc>
        <w:tc>
          <w:tcPr>
            <w:tcW w:w="384" w:type="pct"/>
            <w:shd w:val="clear" w:color="000000" w:fill="77A6D0"/>
            <w:noWrap/>
            <w:vAlign w:val="bottom"/>
          </w:tcPr>
          <w:p w14:paraId="3AFA422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55,9</w:t>
            </w:r>
          </w:p>
        </w:tc>
        <w:tc>
          <w:tcPr>
            <w:tcW w:w="383" w:type="pct"/>
            <w:shd w:val="clear" w:color="000000" w:fill="689CCB"/>
            <w:noWrap/>
            <w:vAlign w:val="bottom"/>
          </w:tcPr>
          <w:p w14:paraId="2DC842B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57,4</w:t>
            </w:r>
          </w:p>
        </w:tc>
        <w:tc>
          <w:tcPr>
            <w:tcW w:w="383" w:type="pct"/>
            <w:shd w:val="clear" w:color="000000" w:fill="4E8AC1"/>
            <w:noWrap/>
            <w:vAlign w:val="bottom"/>
          </w:tcPr>
          <w:p w14:paraId="76B4F01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60,0</w:t>
            </w:r>
          </w:p>
        </w:tc>
        <w:tc>
          <w:tcPr>
            <w:tcW w:w="385" w:type="pct"/>
            <w:shd w:val="clear" w:color="000000" w:fill="387CB9"/>
            <w:noWrap/>
            <w:vAlign w:val="bottom"/>
          </w:tcPr>
          <w:p w14:paraId="166BEC1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62,3</w:t>
            </w:r>
          </w:p>
        </w:tc>
        <w:tc>
          <w:tcPr>
            <w:tcW w:w="385" w:type="pct"/>
            <w:shd w:val="clear" w:color="000000" w:fill="2F75B5"/>
            <w:noWrap/>
            <w:vAlign w:val="bottom"/>
          </w:tcPr>
          <w:p w14:paraId="454BFAC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63,2</w:t>
            </w:r>
          </w:p>
        </w:tc>
      </w:tr>
      <w:tr w:rsidR="00AA6879" w:rsidRPr="00A71C8E" w14:paraId="5E6CDB42" w14:textId="77777777" w:rsidTr="00AA6879">
        <w:trPr>
          <w:trHeight w:val="283"/>
        </w:trPr>
        <w:tc>
          <w:tcPr>
            <w:tcW w:w="2302" w:type="pct"/>
            <w:shd w:val="clear" w:color="auto" w:fill="auto"/>
            <w:noWrap/>
            <w:vAlign w:val="bottom"/>
          </w:tcPr>
          <w:p w14:paraId="3093774F" w14:textId="77777777" w:rsidR="00881780" w:rsidRPr="00A71C8E" w:rsidRDefault="00881780" w:rsidP="006F4D8F">
            <w:pPr>
              <w:spacing w:before="0" w:line="240" w:lineRule="auto"/>
              <w:jc w:val="left"/>
              <w:rPr>
                <w:color w:val="000000"/>
                <w:sz w:val="18"/>
                <w:szCs w:val="18"/>
              </w:rPr>
            </w:pPr>
            <w:r w:rsidRPr="00A71C8E">
              <w:rPr>
                <w:color w:val="000000"/>
                <w:sz w:val="18"/>
                <w:szCs w:val="18"/>
              </w:rPr>
              <w:t>Śląskie</w:t>
            </w:r>
          </w:p>
        </w:tc>
        <w:tc>
          <w:tcPr>
            <w:tcW w:w="394" w:type="pct"/>
            <w:shd w:val="clear" w:color="000000" w:fill="82AED5"/>
            <w:noWrap/>
            <w:vAlign w:val="bottom"/>
          </w:tcPr>
          <w:p w14:paraId="2454DB6E"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54,7</w:t>
            </w:r>
          </w:p>
        </w:tc>
        <w:tc>
          <w:tcPr>
            <w:tcW w:w="384" w:type="pct"/>
            <w:shd w:val="clear" w:color="000000" w:fill="8FB6DA"/>
            <w:noWrap/>
            <w:vAlign w:val="bottom"/>
          </w:tcPr>
          <w:p w14:paraId="6672DA9C"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53,4</w:t>
            </w:r>
          </w:p>
        </w:tc>
        <w:tc>
          <w:tcPr>
            <w:tcW w:w="384" w:type="pct"/>
            <w:shd w:val="clear" w:color="000000" w:fill="8DB5D9"/>
            <w:noWrap/>
            <w:vAlign w:val="bottom"/>
          </w:tcPr>
          <w:p w14:paraId="5F396FBB"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53,6</w:t>
            </w:r>
          </w:p>
        </w:tc>
        <w:tc>
          <w:tcPr>
            <w:tcW w:w="383" w:type="pct"/>
            <w:shd w:val="clear" w:color="000000" w:fill="86B0D6"/>
            <w:noWrap/>
            <w:vAlign w:val="bottom"/>
          </w:tcPr>
          <w:p w14:paraId="398049B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54,3</w:t>
            </w:r>
          </w:p>
        </w:tc>
        <w:tc>
          <w:tcPr>
            <w:tcW w:w="383" w:type="pct"/>
            <w:shd w:val="clear" w:color="000000" w:fill="7AA8D2"/>
            <w:noWrap/>
            <w:vAlign w:val="bottom"/>
          </w:tcPr>
          <w:p w14:paraId="0998400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55,6</w:t>
            </w:r>
          </w:p>
        </w:tc>
        <w:tc>
          <w:tcPr>
            <w:tcW w:w="385" w:type="pct"/>
            <w:shd w:val="clear" w:color="000000" w:fill="669BCA"/>
            <w:noWrap/>
            <w:vAlign w:val="bottom"/>
          </w:tcPr>
          <w:p w14:paraId="30DD2AE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57,6</w:t>
            </w:r>
          </w:p>
        </w:tc>
        <w:tc>
          <w:tcPr>
            <w:tcW w:w="385" w:type="pct"/>
            <w:shd w:val="clear" w:color="000000" w:fill="5E95C7"/>
            <w:noWrap/>
            <w:vAlign w:val="bottom"/>
          </w:tcPr>
          <w:p w14:paraId="2FC2C78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58,4</w:t>
            </w:r>
          </w:p>
        </w:tc>
      </w:tr>
      <w:tr w:rsidR="00AA6879" w:rsidRPr="00A71C8E" w14:paraId="6C08686D" w14:textId="77777777" w:rsidTr="00AA6879">
        <w:trPr>
          <w:trHeight w:val="283"/>
        </w:trPr>
        <w:tc>
          <w:tcPr>
            <w:tcW w:w="2302" w:type="pct"/>
            <w:shd w:val="clear" w:color="auto" w:fill="auto"/>
            <w:noWrap/>
            <w:vAlign w:val="bottom"/>
          </w:tcPr>
          <w:p w14:paraId="112457AF" w14:textId="77777777" w:rsidR="00881780" w:rsidRPr="00A71C8E" w:rsidRDefault="00881780" w:rsidP="006F4D8F">
            <w:pPr>
              <w:spacing w:before="0" w:line="240" w:lineRule="auto"/>
              <w:jc w:val="left"/>
              <w:rPr>
                <w:color w:val="000000"/>
                <w:sz w:val="18"/>
                <w:szCs w:val="18"/>
              </w:rPr>
            </w:pPr>
            <w:r w:rsidRPr="00A71C8E">
              <w:rPr>
                <w:color w:val="000000"/>
                <w:sz w:val="18"/>
                <w:szCs w:val="18"/>
              </w:rPr>
              <w:t>Świętokrzyskie</w:t>
            </w:r>
          </w:p>
        </w:tc>
        <w:tc>
          <w:tcPr>
            <w:tcW w:w="394" w:type="pct"/>
            <w:shd w:val="clear" w:color="000000" w:fill="B9D3EA"/>
            <w:noWrap/>
            <w:vAlign w:val="bottom"/>
          </w:tcPr>
          <w:p w14:paraId="3A448CD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49,1</w:t>
            </w:r>
          </w:p>
        </w:tc>
        <w:tc>
          <w:tcPr>
            <w:tcW w:w="384" w:type="pct"/>
            <w:shd w:val="clear" w:color="000000" w:fill="BDD6EB"/>
            <w:noWrap/>
            <w:vAlign w:val="bottom"/>
          </w:tcPr>
          <w:p w14:paraId="72DC241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48,6</w:t>
            </w:r>
          </w:p>
        </w:tc>
        <w:tc>
          <w:tcPr>
            <w:tcW w:w="384" w:type="pct"/>
            <w:shd w:val="clear" w:color="000000" w:fill="BFD7EC"/>
            <w:noWrap/>
            <w:vAlign w:val="bottom"/>
          </w:tcPr>
          <w:p w14:paraId="0262711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48,5</w:t>
            </w:r>
          </w:p>
        </w:tc>
        <w:tc>
          <w:tcPr>
            <w:tcW w:w="383" w:type="pct"/>
            <w:shd w:val="clear" w:color="000000" w:fill="B6D0E8"/>
            <w:noWrap/>
            <w:vAlign w:val="bottom"/>
          </w:tcPr>
          <w:p w14:paraId="159918E9"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49,4</w:t>
            </w:r>
          </w:p>
        </w:tc>
        <w:tc>
          <w:tcPr>
            <w:tcW w:w="383" w:type="pct"/>
            <w:shd w:val="clear" w:color="000000" w:fill="AAC8E4"/>
            <w:noWrap/>
            <w:vAlign w:val="bottom"/>
          </w:tcPr>
          <w:p w14:paraId="2D5D53CD"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50,7</w:t>
            </w:r>
          </w:p>
        </w:tc>
        <w:tc>
          <w:tcPr>
            <w:tcW w:w="385" w:type="pct"/>
            <w:shd w:val="clear" w:color="000000" w:fill="9CBFDF"/>
            <w:noWrap/>
            <w:vAlign w:val="bottom"/>
          </w:tcPr>
          <w:p w14:paraId="7064AFF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52,0</w:t>
            </w:r>
          </w:p>
        </w:tc>
        <w:tc>
          <w:tcPr>
            <w:tcW w:w="385" w:type="pct"/>
            <w:shd w:val="clear" w:color="000000" w:fill="96BBDC"/>
            <w:noWrap/>
            <w:vAlign w:val="bottom"/>
          </w:tcPr>
          <w:p w14:paraId="61BEB3E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52,7</w:t>
            </w:r>
          </w:p>
        </w:tc>
      </w:tr>
      <w:tr w:rsidR="00AA6879" w:rsidRPr="00A71C8E" w14:paraId="08E68A07" w14:textId="77777777" w:rsidTr="00AA6879">
        <w:trPr>
          <w:trHeight w:val="283"/>
        </w:trPr>
        <w:tc>
          <w:tcPr>
            <w:tcW w:w="2302" w:type="pct"/>
            <w:shd w:val="clear" w:color="auto" w:fill="auto"/>
            <w:noWrap/>
            <w:vAlign w:val="bottom"/>
          </w:tcPr>
          <w:p w14:paraId="199B10B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Warmińsko-Mazurskie</w:t>
            </w:r>
          </w:p>
        </w:tc>
        <w:tc>
          <w:tcPr>
            <w:tcW w:w="394" w:type="pct"/>
            <w:shd w:val="clear" w:color="000000" w:fill="9CBFDF"/>
            <w:noWrap/>
            <w:vAlign w:val="bottom"/>
          </w:tcPr>
          <w:p w14:paraId="6CDC09C6"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52,1</w:t>
            </w:r>
          </w:p>
        </w:tc>
        <w:tc>
          <w:tcPr>
            <w:tcW w:w="384" w:type="pct"/>
            <w:shd w:val="clear" w:color="000000" w:fill="9FC1E0"/>
            <w:noWrap/>
            <w:vAlign w:val="bottom"/>
          </w:tcPr>
          <w:p w14:paraId="506FE8F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51,7</w:t>
            </w:r>
          </w:p>
        </w:tc>
        <w:tc>
          <w:tcPr>
            <w:tcW w:w="384" w:type="pct"/>
            <w:shd w:val="clear" w:color="000000" w:fill="9DC0DF"/>
            <w:noWrap/>
            <w:vAlign w:val="bottom"/>
          </w:tcPr>
          <w:p w14:paraId="70492544"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52,0</w:t>
            </w:r>
          </w:p>
        </w:tc>
        <w:tc>
          <w:tcPr>
            <w:tcW w:w="383" w:type="pct"/>
            <w:shd w:val="clear" w:color="000000" w:fill="95BADC"/>
            <w:noWrap/>
            <w:vAlign w:val="bottom"/>
          </w:tcPr>
          <w:p w14:paraId="4127A43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52,8</w:t>
            </w:r>
          </w:p>
        </w:tc>
        <w:tc>
          <w:tcPr>
            <w:tcW w:w="383" w:type="pct"/>
            <w:shd w:val="clear" w:color="000000" w:fill="87B1D7"/>
            <w:noWrap/>
            <w:vAlign w:val="bottom"/>
          </w:tcPr>
          <w:p w14:paraId="28D42F18"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54,2</w:t>
            </w:r>
          </w:p>
        </w:tc>
        <w:tc>
          <w:tcPr>
            <w:tcW w:w="385" w:type="pct"/>
            <w:shd w:val="clear" w:color="000000" w:fill="72A3CF"/>
            <w:noWrap/>
            <w:vAlign w:val="bottom"/>
          </w:tcPr>
          <w:p w14:paraId="6F1F866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56,4</w:t>
            </w:r>
          </w:p>
        </w:tc>
        <w:tc>
          <w:tcPr>
            <w:tcW w:w="385" w:type="pct"/>
            <w:shd w:val="clear" w:color="000000" w:fill="6499CA"/>
            <w:noWrap/>
            <w:vAlign w:val="bottom"/>
          </w:tcPr>
          <w:p w14:paraId="27732F33"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57,8</w:t>
            </w:r>
          </w:p>
        </w:tc>
      </w:tr>
      <w:tr w:rsidR="00AA6879" w:rsidRPr="00A71C8E" w14:paraId="6668D8FB" w14:textId="77777777" w:rsidTr="00AA6879">
        <w:trPr>
          <w:trHeight w:val="283"/>
        </w:trPr>
        <w:tc>
          <w:tcPr>
            <w:tcW w:w="2302" w:type="pct"/>
            <w:shd w:val="clear" w:color="auto" w:fill="auto"/>
            <w:noWrap/>
            <w:vAlign w:val="bottom"/>
          </w:tcPr>
          <w:p w14:paraId="0F49E17F" w14:textId="77777777" w:rsidR="00881780" w:rsidRPr="00A71C8E" w:rsidRDefault="00881780" w:rsidP="006F4D8F">
            <w:pPr>
              <w:spacing w:before="0" w:line="240" w:lineRule="auto"/>
              <w:jc w:val="left"/>
              <w:rPr>
                <w:color w:val="000000"/>
                <w:sz w:val="18"/>
                <w:szCs w:val="18"/>
              </w:rPr>
            </w:pPr>
            <w:r w:rsidRPr="00A71C8E">
              <w:rPr>
                <w:color w:val="000000"/>
                <w:sz w:val="18"/>
                <w:szCs w:val="18"/>
              </w:rPr>
              <w:t>Wielkopolskie</w:t>
            </w:r>
          </w:p>
        </w:tc>
        <w:tc>
          <w:tcPr>
            <w:tcW w:w="394" w:type="pct"/>
            <w:shd w:val="clear" w:color="000000" w:fill="80ACD4"/>
            <w:noWrap/>
            <w:vAlign w:val="bottom"/>
          </w:tcPr>
          <w:p w14:paraId="205C8C65"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55,0</w:t>
            </w:r>
          </w:p>
        </w:tc>
        <w:tc>
          <w:tcPr>
            <w:tcW w:w="384" w:type="pct"/>
            <w:shd w:val="clear" w:color="000000" w:fill="7EABD3"/>
            <w:noWrap/>
            <w:vAlign w:val="bottom"/>
          </w:tcPr>
          <w:p w14:paraId="1982CE91"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55,1</w:t>
            </w:r>
          </w:p>
        </w:tc>
        <w:tc>
          <w:tcPr>
            <w:tcW w:w="384" w:type="pct"/>
            <w:shd w:val="clear" w:color="000000" w:fill="70A1CE"/>
            <w:noWrap/>
            <w:vAlign w:val="bottom"/>
          </w:tcPr>
          <w:p w14:paraId="4A3B5C4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56,6</w:t>
            </w:r>
          </w:p>
        </w:tc>
        <w:tc>
          <w:tcPr>
            <w:tcW w:w="383" w:type="pct"/>
            <w:shd w:val="clear" w:color="000000" w:fill="659ACA"/>
            <w:noWrap/>
            <w:vAlign w:val="bottom"/>
          </w:tcPr>
          <w:p w14:paraId="624FF432"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57,7</w:t>
            </w:r>
          </w:p>
        </w:tc>
        <w:tc>
          <w:tcPr>
            <w:tcW w:w="383" w:type="pct"/>
            <w:shd w:val="clear" w:color="000000" w:fill="5A92C6"/>
            <w:noWrap/>
            <w:vAlign w:val="bottom"/>
          </w:tcPr>
          <w:p w14:paraId="30580B4A"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58,8</w:t>
            </w:r>
          </w:p>
        </w:tc>
        <w:tc>
          <w:tcPr>
            <w:tcW w:w="385" w:type="pct"/>
            <w:shd w:val="clear" w:color="000000" w:fill="4785BE"/>
            <w:noWrap/>
            <w:vAlign w:val="bottom"/>
          </w:tcPr>
          <w:p w14:paraId="3CB5E9A7"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60,8</w:t>
            </w:r>
          </w:p>
        </w:tc>
        <w:tc>
          <w:tcPr>
            <w:tcW w:w="385" w:type="pct"/>
            <w:shd w:val="clear" w:color="000000" w:fill="3D7EBA"/>
            <w:noWrap/>
            <w:vAlign w:val="bottom"/>
          </w:tcPr>
          <w:p w14:paraId="29D1885B" w14:textId="77777777" w:rsidR="00881780" w:rsidRPr="00A71C8E" w:rsidRDefault="00881780" w:rsidP="006F4D8F">
            <w:pPr>
              <w:spacing w:before="0" w:line="240" w:lineRule="auto"/>
              <w:rPr>
                <w:rFonts w:cs="Arial"/>
                <w:color w:val="000000"/>
                <w:sz w:val="18"/>
                <w:szCs w:val="18"/>
              </w:rPr>
            </w:pPr>
            <w:r w:rsidRPr="00A71C8E">
              <w:rPr>
                <w:color w:val="000000"/>
                <w:sz w:val="18"/>
                <w:szCs w:val="18"/>
              </w:rPr>
              <w:t>61,8</w:t>
            </w:r>
          </w:p>
        </w:tc>
      </w:tr>
    </w:tbl>
    <w:p w14:paraId="5F5911CA" w14:textId="769F75CB"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r w:rsidR="00AA6879">
        <w:rPr>
          <w:i/>
          <w:sz w:val="18"/>
          <w:szCs w:val="20"/>
        </w:rPr>
        <w:t>.</w:t>
      </w:r>
    </w:p>
    <w:p w14:paraId="770C4ED7" w14:textId="77777777" w:rsidR="00881780" w:rsidRDefault="00881780" w:rsidP="00881780">
      <w:pPr>
        <w:autoSpaceDE w:val="0"/>
        <w:autoSpaceDN w:val="0"/>
        <w:adjustRightInd w:val="0"/>
        <w:spacing w:line="276" w:lineRule="auto"/>
        <w:rPr>
          <w:rFonts w:cs="Arial"/>
          <w:bCs/>
          <w:szCs w:val="20"/>
        </w:rPr>
      </w:pPr>
      <w:bookmarkStart w:id="172" w:name="_Hlk5035022"/>
      <w:r>
        <w:rPr>
          <w:rFonts w:cs="Arial"/>
          <w:bCs/>
          <w:szCs w:val="20"/>
        </w:rPr>
        <w:lastRenderedPageBreak/>
        <w:t xml:space="preserve">Aktualnym problemem województwa są duże </w:t>
      </w:r>
      <w:r w:rsidRPr="00BE3BA5">
        <w:rPr>
          <w:rFonts w:cs="Arial"/>
          <w:bCs/>
          <w:szCs w:val="20"/>
        </w:rPr>
        <w:t>–</w:t>
      </w:r>
      <w:r>
        <w:rPr>
          <w:rFonts w:cs="Arial"/>
          <w:bCs/>
          <w:szCs w:val="20"/>
        </w:rPr>
        <w:t xml:space="preserve"> </w:t>
      </w:r>
      <w:r w:rsidRPr="00BE3BA5">
        <w:rPr>
          <w:rFonts w:cs="Arial"/>
          <w:bCs/>
          <w:szCs w:val="20"/>
        </w:rPr>
        <w:t>identyfikowan</w:t>
      </w:r>
      <w:r>
        <w:rPr>
          <w:rFonts w:cs="Arial"/>
          <w:bCs/>
          <w:szCs w:val="20"/>
        </w:rPr>
        <w:t>e</w:t>
      </w:r>
      <w:r w:rsidRPr="00BE3BA5">
        <w:rPr>
          <w:rFonts w:cs="Arial"/>
          <w:bCs/>
          <w:szCs w:val="20"/>
        </w:rPr>
        <w:t xml:space="preserve"> na etapie przygotowania Programu – </w:t>
      </w:r>
      <w:r>
        <w:rPr>
          <w:rFonts w:cs="Arial"/>
          <w:bCs/>
          <w:szCs w:val="20"/>
        </w:rPr>
        <w:t xml:space="preserve">wewnątrzregionalne </w:t>
      </w:r>
      <w:r w:rsidRPr="00BE3BA5">
        <w:rPr>
          <w:rFonts w:cs="Arial"/>
          <w:bCs/>
          <w:szCs w:val="20"/>
        </w:rPr>
        <w:t>dysproporcj</w:t>
      </w:r>
      <w:r>
        <w:rPr>
          <w:rFonts w:cs="Arial"/>
          <w:bCs/>
          <w:szCs w:val="20"/>
        </w:rPr>
        <w:t>e</w:t>
      </w:r>
      <w:r w:rsidR="00E66B89">
        <w:rPr>
          <w:rFonts w:cs="Arial"/>
          <w:bCs/>
          <w:szCs w:val="20"/>
        </w:rPr>
        <w:t xml:space="preserve"> w </w:t>
      </w:r>
      <w:r>
        <w:rPr>
          <w:rFonts w:cs="Arial"/>
          <w:bCs/>
          <w:szCs w:val="20"/>
        </w:rPr>
        <w:t>poziomie bezrobocia</w:t>
      </w:r>
      <w:r w:rsidRPr="00BE3BA5">
        <w:rPr>
          <w:rFonts w:cs="Arial"/>
          <w:bCs/>
          <w:szCs w:val="20"/>
        </w:rPr>
        <w:t>.</w:t>
      </w:r>
      <w:r>
        <w:rPr>
          <w:rFonts w:cs="Arial"/>
          <w:bCs/>
          <w:szCs w:val="20"/>
        </w:rPr>
        <w:t xml:space="preserve"> </w:t>
      </w:r>
      <w:bookmarkEnd w:id="172"/>
      <w:r>
        <w:rPr>
          <w:rFonts w:cs="Arial"/>
          <w:bCs/>
          <w:szCs w:val="20"/>
        </w:rPr>
        <w:t>Wprawdzie</w:t>
      </w:r>
      <w:r w:rsidR="00E66B89">
        <w:rPr>
          <w:rFonts w:cs="Arial"/>
          <w:bCs/>
          <w:szCs w:val="20"/>
        </w:rPr>
        <w:t xml:space="preserve"> w </w:t>
      </w:r>
      <w:r>
        <w:rPr>
          <w:rFonts w:cs="Arial"/>
          <w:bCs/>
          <w:szCs w:val="20"/>
        </w:rPr>
        <w:t>2018 roku s</w:t>
      </w:r>
      <w:r w:rsidRPr="00EE0490">
        <w:rPr>
          <w:rFonts w:cs="Arial"/>
          <w:bCs/>
          <w:szCs w:val="20"/>
        </w:rPr>
        <w:t xml:space="preserve">padek stopy bezrobocia odnotowano </w:t>
      </w:r>
      <w:r w:rsidR="00B473DC">
        <w:rPr>
          <w:rFonts w:cs="Arial"/>
          <w:bCs/>
          <w:szCs w:val="20"/>
        </w:rPr>
        <w:t xml:space="preserve">zarówno </w:t>
      </w:r>
      <w:r w:rsidRPr="00EE0490">
        <w:rPr>
          <w:rFonts w:cs="Arial"/>
          <w:bCs/>
          <w:szCs w:val="20"/>
        </w:rPr>
        <w:t>we wszystkich</w:t>
      </w:r>
      <w:r>
        <w:rPr>
          <w:rFonts w:cs="Arial"/>
          <w:bCs/>
          <w:szCs w:val="20"/>
        </w:rPr>
        <w:t xml:space="preserve"> </w:t>
      </w:r>
      <w:r w:rsidRPr="00EE0490">
        <w:rPr>
          <w:rFonts w:cs="Arial"/>
          <w:bCs/>
          <w:szCs w:val="20"/>
        </w:rPr>
        <w:t>powiatach jak</w:t>
      </w:r>
      <w:r w:rsidR="00E66B89">
        <w:rPr>
          <w:rFonts w:cs="Arial"/>
          <w:bCs/>
          <w:szCs w:val="20"/>
        </w:rPr>
        <w:t xml:space="preserve"> i </w:t>
      </w:r>
      <w:r w:rsidRPr="00EE0490">
        <w:rPr>
          <w:rFonts w:cs="Arial"/>
          <w:bCs/>
          <w:szCs w:val="20"/>
        </w:rPr>
        <w:t>miastach na prawach powiatu</w:t>
      </w:r>
      <w:r>
        <w:rPr>
          <w:rFonts w:cs="Arial"/>
          <w:bCs/>
          <w:szCs w:val="20"/>
        </w:rPr>
        <w:t>, to</w:t>
      </w:r>
      <w:r w:rsidRPr="00EE0490">
        <w:rPr>
          <w:rFonts w:cs="Arial"/>
          <w:bCs/>
          <w:szCs w:val="20"/>
        </w:rPr>
        <w:t xml:space="preserve"> </w:t>
      </w:r>
      <w:r>
        <w:rPr>
          <w:rFonts w:cs="Arial"/>
          <w:bCs/>
          <w:szCs w:val="20"/>
        </w:rPr>
        <w:t>jednak w</w:t>
      </w:r>
      <w:r w:rsidRPr="00BE3BA5">
        <w:rPr>
          <w:rFonts w:cs="Arial"/>
          <w:bCs/>
          <w:szCs w:val="20"/>
        </w:rPr>
        <w:t xml:space="preserve">śród powiatów </w:t>
      </w:r>
      <w:r>
        <w:rPr>
          <w:rFonts w:cs="Arial"/>
          <w:bCs/>
          <w:szCs w:val="20"/>
        </w:rPr>
        <w:t>są takie, które</w:t>
      </w:r>
      <w:r w:rsidR="00E66B89">
        <w:rPr>
          <w:rFonts w:cs="Arial"/>
          <w:bCs/>
          <w:szCs w:val="20"/>
        </w:rPr>
        <w:t xml:space="preserve"> w </w:t>
      </w:r>
      <w:r>
        <w:rPr>
          <w:rFonts w:cs="Arial"/>
          <w:bCs/>
          <w:szCs w:val="20"/>
        </w:rPr>
        <w:t xml:space="preserve">latach 2016-2017 oraz </w:t>
      </w:r>
      <w:r w:rsidRPr="00BE3BA5">
        <w:rPr>
          <w:rFonts w:cs="Arial"/>
          <w:bCs/>
          <w:szCs w:val="20"/>
        </w:rPr>
        <w:t>na koniec 2018 r</w:t>
      </w:r>
      <w:r>
        <w:rPr>
          <w:rFonts w:cs="Arial"/>
          <w:bCs/>
          <w:szCs w:val="20"/>
        </w:rPr>
        <w:t>oku</w:t>
      </w:r>
      <w:r w:rsidRPr="00BE3BA5">
        <w:rPr>
          <w:rFonts w:cs="Arial"/>
          <w:bCs/>
          <w:szCs w:val="20"/>
        </w:rPr>
        <w:t xml:space="preserve"> wykaz</w:t>
      </w:r>
      <w:r>
        <w:rPr>
          <w:rFonts w:cs="Arial"/>
          <w:bCs/>
          <w:szCs w:val="20"/>
        </w:rPr>
        <w:t>ywały</w:t>
      </w:r>
      <w:r w:rsidRPr="00BE3BA5">
        <w:rPr>
          <w:rFonts w:cs="Arial"/>
          <w:bCs/>
          <w:szCs w:val="20"/>
        </w:rPr>
        <w:t xml:space="preserve"> się </w:t>
      </w:r>
      <w:r>
        <w:rPr>
          <w:rFonts w:cs="Arial"/>
          <w:bCs/>
          <w:szCs w:val="20"/>
        </w:rPr>
        <w:t xml:space="preserve">wyraźnie </w:t>
      </w:r>
      <w:r w:rsidRPr="00BE3BA5">
        <w:rPr>
          <w:rFonts w:cs="Arial"/>
          <w:bCs/>
          <w:szCs w:val="20"/>
        </w:rPr>
        <w:t xml:space="preserve">wyższą stopą bezrobocia niż </w:t>
      </w:r>
      <w:r w:rsidR="00B473DC" w:rsidRPr="00BE3BA5">
        <w:rPr>
          <w:rFonts w:cs="Arial"/>
          <w:bCs/>
          <w:szCs w:val="20"/>
        </w:rPr>
        <w:t>odpowiadając</w:t>
      </w:r>
      <w:r w:rsidR="00B473DC">
        <w:rPr>
          <w:rFonts w:cs="Arial"/>
          <w:bCs/>
          <w:szCs w:val="20"/>
        </w:rPr>
        <w:t>e</w:t>
      </w:r>
      <w:r w:rsidR="00B473DC" w:rsidRPr="00BE3BA5">
        <w:rPr>
          <w:rFonts w:cs="Arial"/>
          <w:bCs/>
          <w:szCs w:val="20"/>
        </w:rPr>
        <w:t xml:space="preserve"> </w:t>
      </w:r>
      <w:r w:rsidRPr="00BE3BA5">
        <w:rPr>
          <w:rFonts w:cs="Arial"/>
          <w:bCs/>
          <w:szCs w:val="20"/>
        </w:rPr>
        <w:t>jej wskaźniki dla Polski</w:t>
      </w:r>
      <w:r w:rsidR="00E66B89">
        <w:rPr>
          <w:rFonts w:cs="Arial"/>
          <w:bCs/>
          <w:szCs w:val="20"/>
        </w:rPr>
        <w:t xml:space="preserve"> i </w:t>
      </w:r>
      <w:r w:rsidRPr="00BE3BA5">
        <w:rPr>
          <w:rFonts w:cs="Arial"/>
          <w:bCs/>
          <w:szCs w:val="20"/>
        </w:rPr>
        <w:t xml:space="preserve">dla całego województwa </w:t>
      </w:r>
      <w:r>
        <w:rPr>
          <w:rFonts w:cs="Arial"/>
          <w:bCs/>
          <w:szCs w:val="20"/>
        </w:rPr>
        <w:t xml:space="preserve">(powiat </w:t>
      </w:r>
      <w:r w:rsidRPr="00C87CF1">
        <w:rPr>
          <w:rFonts w:cs="Arial"/>
          <w:bCs/>
          <w:szCs w:val="20"/>
        </w:rPr>
        <w:t>białogardzki</w:t>
      </w:r>
      <w:r>
        <w:rPr>
          <w:rFonts w:cs="Arial"/>
          <w:bCs/>
          <w:szCs w:val="20"/>
        </w:rPr>
        <w:t xml:space="preserve">, </w:t>
      </w:r>
      <w:r w:rsidRPr="00C87CF1">
        <w:rPr>
          <w:rFonts w:cs="Arial"/>
          <w:bCs/>
          <w:szCs w:val="20"/>
        </w:rPr>
        <w:t>choszczeński</w:t>
      </w:r>
      <w:r>
        <w:rPr>
          <w:rFonts w:cs="Arial"/>
          <w:bCs/>
          <w:szCs w:val="20"/>
        </w:rPr>
        <w:t xml:space="preserve">, drawski, </w:t>
      </w:r>
      <w:r w:rsidRPr="00C87CF1">
        <w:rPr>
          <w:rFonts w:cs="Arial"/>
          <w:bCs/>
          <w:szCs w:val="20"/>
        </w:rPr>
        <w:t>gryficki</w:t>
      </w:r>
      <w:r>
        <w:rPr>
          <w:rFonts w:cs="Arial"/>
          <w:bCs/>
          <w:szCs w:val="20"/>
        </w:rPr>
        <w:t xml:space="preserve">, </w:t>
      </w:r>
      <w:r w:rsidRPr="00C87CF1">
        <w:rPr>
          <w:rFonts w:cs="Arial"/>
          <w:bCs/>
          <w:szCs w:val="20"/>
        </w:rPr>
        <w:t>gryfiński</w:t>
      </w:r>
      <w:r>
        <w:rPr>
          <w:rFonts w:cs="Arial"/>
          <w:bCs/>
          <w:szCs w:val="20"/>
        </w:rPr>
        <w:t xml:space="preserve">, </w:t>
      </w:r>
      <w:r w:rsidRPr="00C87CF1">
        <w:rPr>
          <w:rFonts w:cs="Arial"/>
          <w:bCs/>
          <w:szCs w:val="20"/>
        </w:rPr>
        <w:t>kamieński</w:t>
      </w:r>
      <w:r>
        <w:rPr>
          <w:rFonts w:cs="Arial"/>
          <w:bCs/>
          <w:szCs w:val="20"/>
        </w:rPr>
        <w:t>, koszaliński, p</w:t>
      </w:r>
      <w:r w:rsidRPr="00C87CF1">
        <w:rPr>
          <w:rFonts w:cs="Arial"/>
          <w:bCs/>
          <w:szCs w:val="20"/>
        </w:rPr>
        <w:t>yrzycki</w:t>
      </w:r>
      <w:r>
        <w:rPr>
          <w:rFonts w:cs="Arial"/>
          <w:bCs/>
          <w:szCs w:val="20"/>
        </w:rPr>
        <w:t>,</w:t>
      </w:r>
      <w:r w:rsidRPr="00C87CF1">
        <w:rPr>
          <w:rFonts w:cs="Arial"/>
          <w:bCs/>
          <w:szCs w:val="20"/>
        </w:rPr>
        <w:t xml:space="preserve"> sławieński</w:t>
      </w:r>
      <w:r>
        <w:rPr>
          <w:rFonts w:cs="Arial"/>
          <w:bCs/>
          <w:szCs w:val="20"/>
        </w:rPr>
        <w:t xml:space="preserve">, </w:t>
      </w:r>
      <w:r w:rsidRPr="00C87CF1">
        <w:rPr>
          <w:rFonts w:cs="Arial"/>
          <w:bCs/>
          <w:szCs w:val="20"/>
        </w:rPr>
        <w:t>stargardzki</w:t>
      </w:r>
      <w:r>
        <w:rPr>
          <w:rFonts w:cs="Arial"/>
          <w:bCs/>
          <w:szCs w:val="20"/>
        </w:rPr>
        <w:t xml:space="preserve">, </w:t>
      </w:r>
      <w:r w:rsidRPr="00C87CF1">
        <w:rPr>
          <w:rFonts w:cs="Arial"/>
          <w:bCs/>
          <w:szCs w:val="20"/>
        </w:rPr>
        <w:t>szczecinecki</w:t>
      </w:r>
      <w:r>
        <w:rPr>
          <w:rFonts w:cs="Arial"/>
          <w:bCs/>
          <w:szCs w:val="20"/>
        </w:rPr>
        <w:t xml:space="preserve">, </w:t>
      </w:r>
      <w:r w:rsidRPr="00C87CF1">
        <w:rPr>
          <w:rFonts w:cs="Arial"/>
          <w:bCs/>
          <w:szCs w:val="20"/>
        </w:rPr>
        <w:t>świdwiński</w:t>
      </w:r>
      <w:r>
        <w:rPr>
          <w:rFonts w:cs="Arial"/>
          <w:bCs/>
          <w:szCs w:val="20"/>
        </w:rPr>
        <w:t xml:space="preserve">, </w:t>
      </w:r>
      <w:r w:rsidRPr="00C87CF1">
        <w:rPr>
          <w:rFonts w:cs="Arial"/>
          <w:bCs/>
          <w:szCs w:val="20"/>
        </w:rPr>
        <w:t>wałecki</w:t>
      </w:r>
      <w:r>
        <w:rPr>
          <w:rFonts w:cs="Arial"/>
          <w:bCs/>
          <w:szCs w:val="20"/>
        </w:rPr>
        <w:t xml:space="preserve">, </w:t>
      </w:r>
      <w:r w:rsidRPr="00C87CF1">
        <w:rPr>
          <w:rFonts w:cs="Arial"/>
          <w:bCs/>
          <w:szCs w:val="20"/>
        </w:rPr>
        <w:t>łobeski</w:t>
      </w:r>
      <w:r>
        <w:rPr>
          <w:rFonts w:cs="Arial"/>
          <w:bCs/>
          <w:szCs w:val="20"/>
        </w:rPr>
        <w:t>). Pod tym względem zdecydowanie lepszą sytuację odnotowuje się</w:t>
      </w:r>
      <w:r w:rsidR="00E66B89">
        <w:rPr>
          <w:rFonts w:cs="Arial"/>
          <w:bCs/>
          <w:szCs w:val="20"/>
        </w:rPr>
        <w:t xml:space="preserve"> w </w:t>
      </w:r>
      <w:r>
        <w:rPr>
          <w:rFonts w:cs="Arial"/>
          <w:bCs/>
          <w:szCs w:val="20"/>
        </w:rPr>
        <w:t xml:space="preserve">stolicy regionu </w:t>
      </w:r>
      <w:r>
        <w:rPr>
          <w:rFonts w:cs="Arial"/>
          <w:bCs/>
          <w:szCs w:val="20"/>
        </w:rPr>
        <w:noBreakHyphen/>
        <w:t xml:space="preserve"> Szczecinie oraz na obszarach (w powiatach) tradycyjnie ciążących do Szczecina, jak również</w:t>
      </w:r>
      <w:r w:rsidR="00E66B89">
        <w:rPr>
          <w:rFonts w:cs="Arial"/>
          <w:bCs/>
          <w:szCs w:val="20"/>
        </w:rPr>
        <w:t xml:space="preserve"> w </w:t>
      </w:r>
      <w:r>
        <w:rPr>
          <w:rFonts w:cs="Arial"/>
          <w:bCs/>
          <w:szCs w:val="20"/>
        </w:rPr>
        <w:t>Koszalinie</w:t>
      </w:r>
      <w:r w:rsidR="00E66B89">
        <w:rPr>
          <w:rFonts w:cs="Arial"/>
          <w:bCs/>
          <w:szCs w:val="20"/>
        </w:rPr>
        <w:t xml:space="preserve"> i </w:t>
      </w:r>
      <w:r>
        <w:rPr>
          <w:rFonts w:cs="Arial"/>
          <w:bCs/>
          <w:szCs w:val="20"/>
        </w:rPr>
        <w:t xml:space="preserve">Świnoujściu (w którym istotny wpływ na sytuację na rynku pracy ma rozwój turystyki). </w:t>
      </w:r>
    </w:p>
    <w:p w14:paraId="2E3993DB" w14:textId="77777777" w:rsidR="00881780" w:rsidRDefault="00881780" w:rsidP="00881780">
      <w:pPr>
        <w:autoSpaceDE w:val="0"/>
        <w:autoSpaceDN w:val="0"/>
        <w:adjustRightInd w:val="0"/>
        <w:spacing w:line="276" w:lineRule="auto"/>
        <w:rPr>
          <w:rFonts w:cs="Arial"/>
          <w:bCs/>
          <w:szCs w:val="20"/>
        </w:rPr>
      </w:pPr>
      <w:r w:rsidRPr="00A765E3">
        <w:rPr>
          <w:rFonts w:cs="Arial"/>
          <w:b/>
          <w:bCs/>
          <w:szCs w:val="20"/>
        </w:rPr>
        <w:t>REKOMENDACJA: Istotne jest ukierunkowanie interwencji zorientowanej na poprawę sytuacji osób bezrobotnych</w:t>
      </w:r>
      <w:r w:rsidR="00E66B89">
        <w:rPr>
          <w:rFonts w:cs="Arial"/>
          <w:b/>
          <w:bCs/>
          <w:szCs w:val="20"/>
        </w:rPr>
        <w:t xml:space="preserve"> w </w:t>
      </w:r>
      <w:r w:rsidRPr="00A765E3">
        <w:rPr>
          <w:rFonts w:cs="Arial"/>
          <w:b/>
          <w:bCs/>
          <w:szCs w:val="20"/>
        </w:rPr>
        <w:t>regionie,</w:t>
      </w:r>
      <w:r w:rsidR="00E66B89">
        <w:rPr>
          <w:rFonts w:cs="Arial"/>
          <w:b/>
          <w:bCs/>
          <w:szCs w:val="20"/>
        </w:rPr>
        <w:t xml:space="preserve"> w </w:t>
      </w:r>
      <w:r w:rsidRPr="00A765E3">
        <w:rPr>
          <w:rFonts w:cs="Arial"/>
          <w:b/>
          <w:bCs/>
          <w:szCs w:val="20"/>
        </w:rPr>
        <w:t>szczególności na obszary</w:t>
      </w:r>
      <w:r w:rsidR="00E66B89">
        <w:rPr>
          <w:rFonts w:cs="Arial"/>
          <w:b/>
          <w:bCs/>
          <w:szCs w:val="20"/>
        </w:rPr>
        <w:t xml:space="preserve"> o </w:t>
      </w:r>
      <w:r w:rsidRPr="00A765E3">
        <w:rPr>
          <w:rFonts w:cs="Arial"/>
          <w:b/>
          <w:bCs/>
          <w:szCs w:val="20"/>
        </w:rPr>
        <w:t>najwyższej stopie bezrobocia rejestrowanego.</w:t>
      </w:r>
      <w:r w:rsidR="00E66B89">
        <w:rPr>
          <w:rFonts w:cs="Arial"/>
          <w:b/>
          <w:bCs/>
          <w:szCs w:val="20"/>
        </w:rPr>
        <w:t xml:space="preserve"> W </w:t>
      </w:r>
      <w:bookmarkStart w:id="173" w:name="_Hlk5259560"/>
      <w:r w:rsidRPr="00A765E3">
        <w:rPr>
          <w:rFonts w:cs="Arial"/>
          <w:b/>
          <w:bCs/>
          <w:szCs w:val="20"/>
        </w:rPr>
        <w:t>kolejnych latach wdrażania Programu</w:t>
      </w:r>
      <w:r w:rsidR="00E66B89">
        <w:rPr>
          <w:rFonts w:cs="Arial"/>
          <w:b/>
          <w:bCs/>
          <w:szCs w:val="20"/>
        </w:rPr>
        <w:t xml:space="preserve"> w </w:t>
      </w:r>
      <w:r w:rsidRPr="00A765E3">
        <w:rPr>
          <w:rFonts w:cs="Arial"/>
          <w:b/>
          <w:bCs/>
          <w:szCs w:val="20"/>
        </w:rPr>
        <w:t>obszarze wsparcia osób bezrobotnych warto rozważyć stosowanie kryteriów premiujących projekty ukierunkowane na powiaty</w:t>
      </w:r>
      <w:r w:rsidR="00E66B89">
        <w:rPr>
          <w:rFonts w:cs="Arial"/>
          <w:b/>
          <w:bCs/>
          <w:szCs w:val="20"/>
        </w:rPr>
        <w:t xml:space="preserve"> o </w:t>
      </w:r>
      <w:r w:rsidRPr="00A765E3">
        <w:rPr>
          <w:rFonts w:cs="Arial"/>
          <w:b/>
          <w:bCs/>
          <w:szCs w:val="20"/>
        </w:rPr>
        <w:t>najwyższych wskaźnikach bezrobocia. Podkreśla się również znaczenie lepszego dopasowania wsparcia tej grupy / lepszej integracji wsparcia</w:t>
      </w:r>
      <w:r w:rsidR="00E66B89">
        <w:rPr>
          <w:rFonts w:cs="Arial"/>
          <w:b/>
          <w:bCs/>
          <w:szCs w:val="20"/>
        </w:rPr>
        <w:t xml:space="preserve"> z </w:t>
      </w:r>
      <w:r w:rsidRPr="00A765E3">
        <w:rPr>
          <w:rFonts w:cs="Arial"/>
          <w:b/>
          <w:bCs/>
          <w:szCs w:val="20"/>
        </w:rPr>
        <w:t>preferencjami</w:t>
      </w:r>
      <w:r w:rsidR="00E66B89">
        <w:rPr>
          <w:rFonts w:cs="Arial"/>
          <w:b/>
          <w:bCs/>
          <w:szCs w:val="20"/>
        </w:rPr>
        <w:t xml:space="preserve"> i </w:t>
      </w:r>
      <w:r w:rsidRPr="00A765E3">
        <w:rPr>
          <w:rFonts w:cs="Arial"/>
          <w:b/>
          <w:bCs/>
          <w:szCs w:val="20"/>
        </w:rPr>
        <w:t>rzeczywistymi potrzebami pracodawców działających na lokalnym (powiatowym) rynku pracy</w:t>
      </w:r>
      <w:r w:rsidRPr="00A765E3">
        <w:rPr>
          <w:rStyle w:val="Odwoanieprzypisudolnego"/>
          <w:rFonts w:cs="Arial"/>
          <w:b/>
          <w:bCs/>
          <w:szCs w:val="20"/>
        </w:rPr>
        <w:footnoteReference w:id="51"/>
      </w:r>
      <w:r w:rsidRPr="00A765E3">
        <w:rPr>
          <w:rFonts w:cs="Arial"/>
          <w:b/>
          <w:bCs/>
          <w:szCs w:val="20"/>
        </w:rPr>
        <w:t>. Powyższe oznacza konieczność różnicowania instrumentów wsparcia ze względu na potrzeby powiatów</w:t>
      </w:r>
      <w:r w:rsidR="00E66B89">
        <w:rPr>
          <w:rFonts w:cs="Arial"/>
          <w:b/>
          <w:bCs/>
          <w:szCs w:val="20"/>
        </w:rPr>
        <w:t xml:space="preserve"> i </w:t>
      </w:r>
      <w:r w:rsidRPr="00A765E3">
        <w:rPr>
          <w:rFonts w:cs="Arial"/>
          <w:b/>
          <w:bCs/>
          <w:szCs w:val="20"/>
        </w:rPr>
        <w:t>pracodawców</w:t>
      </w:r>
      <w:bookmarkEnd w:id="173"/>
      <w:r w:rsidRPr="0082052F">
        <w:rPr>
          <w:rFonts w:cs="Arial"/>
          <w:bCs/>
          <w:szCs w:val="20"/>
        </w:rPr>
        <w:t>.</w:t>
      </w:r>
      <w:r>
        <w:rPr>
          <w:rFonts w:cs="Arial"/>
          <w:bCs/>
          <w:szCs w:val="20"/>
        </w:rPr>
        <w:t xml:space="preserve"> Należy jednak pamiętać</w:t>
      </w:r>
      <w:r w:rsidR="00E66B89">
        <w:rPr>
          <w:rFonts w:cs="Arial"/>
          <w:bCs/>
          <w:szCs w:val="20"/>
        </w:rPr>
        <w:t xml:space="preserve"> o </w:t>
      </w:r>
      <w:r>
        <w:rPr>
          <w:rFonts w:cs="Arial"/>
          <w:bCs/>
          <w:szCs w:val="20"/>
        </w:rPr>
        <w:t>malejącej na tych obszarach (podobnie jak</w:t>
      </w:r>
      <w:r w:rsidR="00E66B89">
        <w:rPr>
          <w:rFonts w:cs="Arial"/>
          <w:bCs/>
          <w:szCs w:val="20"/>
        </w:rPr>
        <w:t xml:space="preserve"> w </w:t>
      </w:r>
      <w:r>
        <w:rPr>
          <w:rFonts w:cs="Arial"/>
          <w:bCs/>
          <w:szCs w:val="20"/>
        </w:rPr>
        <w:t xml:space="preserve">całym województwie) bezwzględnej liczbie zarejestrowanych bezrobotnych (co oznacza zmniejszającą się populację potencjalnych odbiorców wsparcia). </w:t>
      </w:r>
    </w:p>
    <w:p w14:paraId="71E9F4E0" w14:textId="54EAF3BB" w:rsidR="00881780" w:rsidRPr="00247854" w:rsidRDefault="00881780" w:rsidP="005A06CB">
      <w:pPr>
        <w:autoSpaceDE w:val="0"/>
        <w:autoSpaceDN w:val="0"/>
        <w:adjustRightInd w:val="0"/>
        <w:spacing w:after="0" w:line="276" w:lineRule="auto"/>
        <w:rPr>
          <w:rFonts w:eastAsia="Lato"/>
          <w:bCs/>
          <w:i/>
          <w:color w:val="4F81BD"/>
          <w:szCs w:val="20"/>
        </w:rPr>
      </w:pPr>
      <w:bookmarkStart w:id="174" w:name="_Toc8824196"/>
      <w:r w:rsidRPr="00247854">
        <w:rPr>
          <w:rFonts w:eastAsia="Lato"/>
          <w:bCs/>
          <w:i/>
          <w:color w:val="4F81BD"/>
          <w:szCs w:val="20"/>
        </w:rPr>
        <w:t xml:space="preserve">Tabela </w:t>
      </w:r>
      <w:r w:rsidRPr="00247854">
        <w:rPr>
          <w:rFonts w:eastAsia="Lato"/>
          <w:bCs/>
          <w:i/>
          <w:color w:val="4F81BD"/>
          <w:szCs w:val="20"/>
        </w:rPr>
        <w:fldChar w:fldCharType="begin"/>
      </w:r>
      <w:r w:rsidRPr="00247854">
        <w:rPr>
          <w:rFonts w:eastAsia="Lato"/>
          <w:bCs/>
          <w:i/>
          <w:color w:val="4F81BD"/>
          <w:szCs w:val="20"/>
        </w:rPr>
        <w:instrText xml:space="preserve"> SEQ Tabela \* ARABIC </w:instrText>
      </w:r>
      <w:r w:rsidRPr="00247854">
        <w:rPr>
          <w:rFonts w:eastAsia="Lato"/>
          <w:bCs/>
          <w:i/>
          <w:color w:val="4F81BD"/>
          <w:szCs w:val="20"/>
        </w:rPr>
        <w:fldChar w:fldCharType="separate"/>
      </w:r>
      <w:r w:rsidR="00763345">
        <w:rPr>
          <w:rFonts w:eastAsia="Lato"/>
          <w:bCs/>
          <w:i/>
          <w:noProof/>
          <w:color w:val="4F81BD"/>
          <w:szCs w:val="20"/>
        </w:rPr>
        <w:t>85</w:t>
      </w:r>
      <w:r w:rsidRPr="00247854">
        <w:rPr>
          <w:rFonts w:eastAsia="Lato"/>
          <w:bCs/>
          <w:i/>
          <w:color w:val="4F81BD"/>
          <w:szCs w:val="20"/>
        </w:rPr>
        <w:fldChar w:fldCharType="end"/>
      </w:r>
      <w:r w:rsidRPr="00247854">
        <w:rPr>
          <w:rFonts w:eastAsia="Lato"/>
          <w:bCs/>
          <w:i/>
          <w:color w:val="4F81BD"/>
          <w:szCs w:val="20"/>
        </w:rPr>
        <w:t xml:space="preserve"> Stopa bezrobocia rejestrowanego</w:t>
      </w:r>
      <w:r w:rsidR="00E66B89">
        <w:rPr>
          <w:rFonts w:eastAsia="Lato"/>
          <w:bCs/>
          <w:i/>
          <w:color w:val="4F81BD"/>
          <w:szCs w:val="20"/>
        </w:rPr>
        <w:t xml:space="preserve"> w </w:t>
      </w:r>
      <w:r w:rsidRPr="00247854">
        <w:rPr>
          <w:rFonts w:eastAsia="Lato"/>
          <w:bCs/>
          <w:i/>
          <w:color w:val="4F81BD"/>
          <w:szCs w:val="20"/>
        </w:rPr>
        <w:t>powiatach województwa zachodniopomorskiego</w:t>
      </w:r>
      <w:r w:rsidR="00807CA9">
        <w:rPr>
          <w:rFonts w:eastAsia="Lato"/>
          <w:bCs/>
          <w:i/>
          <w:color w:val="4F81BD"/>
          <w:szCs w:val="20"/>
        </w:rPr>
        <w:t xml:space="preserve"> i </w:t>
      </w:r>
      <w:r w:rsidR="00E66B89">
        <w:rPr>
          <w:rFonts w:eastAsia="Lato"/>
          <w:bCs/>
          <w:i/>
          <w:color w:val="4F81BD"/>
          <w:szCs w:val="20"/>
        </w:rPr>
        <w:t>w </w:t>
      </w:r>
      <w:r w:rsidRPr="00247854">
        <w:rPr>
          <w:rFonts w:eastAsia="Lato"/>
          <w:bCs/>
          <w:i/>
          <w:color w:val="4F81BD"/>
          <w:szCs w:val="20"/>
        </w:rPr>
        <w:t>województwie (stan na 31.XII)</w:t>
      </w:r>
      <w:bookmarkEnd w:id="174"/>
      <w:r w:rsidRPr="00247854">
        <w:rPr>
          <w:rFonts w:eastAsia="Lato"/>
          <w:bCs/>
          <w:i/>
          <w:color w:val="4F81BD"/>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091"/>
        <w:gridCol w:w="1227"/>
        <w:gridCol w:w="1227"/>
        <w:gridCol w:w="1225"/>
        <w:gridCol w:w="1227"/>
        <w:gridCol w:w="1227"/>
      </w:tblGrid>
      <w:tr w:rsidR="00881780" w:rsidRPr="00A71C8E" w14:paraId="3282EC4C" w14:textId="77777777" w:rsidTr="005F04FC">
        <w:trPr>
          <w:trHeight w:val="315"/>
          <w:tblHeader/>
        </w:trPr>
        <w:tc>
          <w:tcPr>
            <w:tcW w:w="1014" w:type="pct"/>
            <w:shd w:val="clear" w:color="auto" w:fill="DBE5F1"/>
            <w:noWrap/>
            <w:vAlign w:val="center"/>
            <w:hideMark/>
          </w:tcPr>
          <w:p w14:paraId="376417AF"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Rok</w:t>
            </w:r>
          </w:p>
        </w:tc>
        <w:tc>
          <w:tcPr>
            <w:tcW w:w="1279" w:type="pct"/>
            <w:gridSpan w:val="2"/>
            <w:shd w:val="clear" w:color="auto" w:fill="DBE5F1"/>
            <w:noWrap/>
            <w:vAlign w:val="center"/>
            <w:hideMark/>
          </w:tcPr>
          <w:p w14:paraId="15ED540B"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2016</w:t>
            </w:r>
          </w:p>
        </w:tc>
        <w:tc>
          <w:tcPr>
            <w:tcW w:w="1353" w:type="pct"/>
            <w:gridSpan w:val="2"/>
            <w:shd w:val="clear" w:color="auto" w:fill="DBE5F1"/>
            <w:noWrap/>
            <w:vAlign w:val="center"/>
            <w:hideMark/>
          </w:tcPr>
          <w:p w14:paraId="4CBDD7B4"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2017</w:t>
            </w:r>
          </w:p>
        </w:tc>
        <w:tc>
          <w:tcPr>
            <w:tcW w:w="1354" w:type="pct"/>
            <w:gridSpan w:val="2"/>
            <w:shd w:val="clear" w:color="auto" w:fill="DBE5F1"/>
            <w:noWrap/>
            <w:vAlign w:val="center"/>
            <w:hideMark/>
          </w:tcPr>
          <w:p w14:paraId="2A08E697"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2018</w:t>
            </w:r>
          </w:p>
        </w:tc>
      </w:tr>
      <w:tr w:rsidR="00881780" w:rsidRPr="00A71C8E" w14:paraId="4AC40E5C" w14:textId="77777777" w:rsidTr="006F4D8F">
        <w:trPr>
          <w:trHeight w:val="315"/>
          <w:tblHeader/>
        </w:trPr>
        <w:tc>
          <w:tcPr>
            <w:tcW w:w="1014" w:type="pct"/>
            <w:shd w:val="clear" w:color="auto" w:fill="auto"/>
            <w:noWrap/>
            <w:vAlign w:val="center"/>
            <w:hideMark/>
          </w:tcPr>
          <w:p w14:paraId="63AFF759"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Wyszczególnienie</w:t>
            </w:r>
          </w:p>
        </w:tc>
        <w:tc>
          <w:tcPr>
            <w:tcW w:w="602" w:type="pct"/>
            <w:shd w:val="clear" w:color="auto" w:fill="auto"/>
            <w:noWrap/>
            <w:vAlign w:val="center"/>
            <w:hideMark/>
          </w:tcPr>
          <w:p w14:paraId="70B10611"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Bezrobotni</w:t>
            </w:r>
            <w:r w:rsidR="00E66B89" w:rsidRPr="00A71C8E">
              <w:rPr>
                <w:rFonts w:cs="Arial"/>
                <w:b/>
                <w:sz w:val="18"/>
                <w:szCs w:val="18"/>
              </w:rPr>
              <w:t xml:space="preserve"> w </w:t>
            </w:r>
            <w:r w:rsidRPr="00A71C8E">
              <w:rPr>
                <w:rFonts w:cs="Arial"/>
                <w:b/>
                <w:sz w:val="18"/>
                <w:szCs w:val="18"/>
              </w:rPr>
              <w:t>tys.</w:t>
            </w:r>
          </w:p>
        </w:tc>
        <w:tc>
          <w:tcPr>
            <w:tcW w:w="677" w:type="pct"/>
            <w:shd w:val="clear" w:color="auto" w:fill="auto"/>
            <w:noWrap/>
            <w:vAlign w:val="center"/>
            <w:hideMark/>
          </w:tcPr>
          <w:p w14:paraId="5242BA3A"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Stopa bezrobocia</w:t>
            </w:r>
            <w:r w:rsidR="00E66B89" w:rsidRPr="00A71C8E">
              <w:rPr>
                <w:rFonts w:cs="Arial"/>
                <w:b/>
                <w:sz w:val="18"/>
                <w:szCs w:val="18"/>
              </w:rPr>
              <w:t xml:space="preserve"> w </w:t>
            </w:r>
            <w:r w:rsidRPr="00A71C8E">
              <w:rPr>
                <w:rFonts w:cs="Arial"/>
                <w:b/>
                <w:sz w:val="18"/>
                <w:szCs w:val="18"/>
              </w:rPr>
              <w:t>%</w:t>
            </w:r>
          </w:p>
        </w:tc>
        <w:tc>
          <w:tcPr>
            <w:tcW w:w="677" w:type="pct"/>
            <w:shd w:val="clear" w:color="auto" w:fill="auto"/>
            <w:noWrap/>
            <w:vAlign w:val="center"/>
            <w:hideMark/>
          </w:tcPr>
          <w:p w14:paraId="64EF2D3E"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Bezrobotni</w:t>
            </w:r>
            <w:r w:rsidR="00E66B89" w:rsidRPr="00A71C8E">
              <w:rPr>
                <w:rFonts w:cs="Arial"/>
                <w:b/>
                <w:sz w:val="18"/>
                <w:szCs w:val="18"/>
              </w:rPr>
              <w:t xml:space="preserve"> w </w:t>
            </w:r>
            <w:r w:rsidRPr="00A71C8E">
              <w:rPr>
                <w:rFonts w:cs="Arial"/>
                <w:b/>
                <w:sz w:val="18"/>
                <w:szCs w:val="18"/>
              </w:rPr>
              <w:t>tys.</w:t>
            </w:r>
          </w:p>
        </w:tc>
        <w:tc>
          <w:tcPr>
            <w:tcW w:w="676" w:type="pct"/>
            <w:shd w:val="clear" w:color="auto" w:fill="auto"/>
            <w:noWrap/>
            <w:vAlign w:val="center"/>
            <w:hideMark/>
          </w:tcPr>
          <w:p w14:paraId="46A78C20"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Stopa bezrobocia</w:t>
            </w:r>
            <w:r w:rsidR="00E66B89" w:rsidRPr="00A71C8E">
              <w:rPr>
                <w:rFonts w:cs="Arial"/>
                <w:b/>
                <w:sz w:val="18"/>
                <w:szCs w:val="18"/>
              </w:rPr>
              <w:t xml:space="preserve"> w </w:t>
            </w:r>
            <w:r w:rsidRPr="00A71C8E">
              <w:rPr>
                <w:rFonts w:cs="Arial"/>
                <w:b/>
                <w:sz w:val="18"/>
                <w:szCs w:val="18"/>
              </w:rPr>
              <w:t>%</w:t>
            </w:r>
          </w:p>
        </w:tc>
        <w:tc>
          <w:tcPr>
            <w:tcW w:w="677" w:type="pct"/>
            <w:shd w:val="clear" w:color="auto" w:fill="auto"/>
            <w:noWrap/>
            <w:vAlign w:val="center"/>
            <w:hideMark/>
          </w:tcPr>
          <w:p w14:paraId="24B770FB"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Bezrobotni</w:t>
            </w:r>
            <w:r w:rsidR="00E66B89" w:rsidRPr="00A71C8E">
              <w:rPr>
                <w:rFonts w:cs="Arial"/>
                <w:b/>
                <w:sz w:val="18"/>
                <w:szCs w:val="18"/>
              </w:rPr>
              <w:t xml:space="preserve"> w </w:t>
            </w:r>
            <w:r w:rsidRPr="00A71C8E">
              <w:rPr>
                <w:rFonts w:cs="Arial"/>
                <w:b/>
                <w:sz w:val="18"/>
                <w:szCs w:val="18"/>
              </w:rPr>
              <w:t>tys.</w:t>
            </w:r>
          </w:p>
        </w:tc>
        <w:tc>
          <w:tcPr>
            <w:tcW w:w="677" w:type="pct"/>
            <w:shd w:val="clear" w:color="auto" w:fill="auto"/>
            <w:vAlign w:val="center"/>
          </w:tcPr>
          <w:p w14:paraId="2C76205B"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Stopa bezrobocia</w:t>
            </w:r>
            <w:r w:rsidR="00E66B89" w:rsidRPr="00A71C8E">
              <w:rPr>
                <w:rFonts w:cs="Arial"/>
                <w:b/>
                <w:sz w:val="18"/>
                <w:szCs w:val="18"/>
              </w:rPr>
              <w:t xml:space="preserve"> w </w:t>
            </w:r>
            <w:r w:rsidRPr="00A71C8E">
              <w:rPr>
                <w:rFonts w:cs="Arial"/>
                <w:b/>
                <w:sz w:val="18"/>
                <w:szCs w:val="18"/>
              </w:rPr>
              <w:t>%</w:t>
            </w:r>
          </w:p>
        </w:tc>
      </w:tr>
      <w:tr w:rsidR="00881780" w:rsidRPr="00A71C8E" w14:paraId="5B52DC4B" w14:textId="77777777" w:rsidTr="006F4D8F">
        <w:trPr>
          <w:trHeight w:val="315"/>
        </w:trPr>
        <w:tc>
          <w:tcPr>
            <w:tcW w:w="1014" w:type="pct"/>
            <w:shd w:val="clear" w:color="auto" w:fill="auto"/>
            <w:noWrap/>
            <w:vAlign w:val="center"/>
            <w:hideMark/>
          </w:tcPr>
          <w:p w14:paraId="5E67CE50"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Zachodniopomorskie</w:t>
            </w:r>
          </w:p>
        </w:tc>
        <w:tc>
          <w:tcPr>
            <w:tcW w:w="602" w:type="pct"/>
            <w:shd w:val="clear" w:color="auto" w:fill="auto"/>
            <w:noWrap/>
            <w:vAlign w:val="center"/>
            <w:hideMark/>
          </w:tcPr>
          <w:p w14:paraId="4F62CCAC"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65,8</w:t>
            </w:r>
          </w:p>
        </w:tc>
        <w:tc>
          <w:tcPr>
            <w:tcW w:w="677" w:type="pct"/>
            <w:shd w:val="clear" w:color="auto" w:fill="auto"/>
            <w:noWrap/>
            <w:vAlign w:val="center"/>
            <w:hideMark/>
          </w:tcPr>
          <w:p w14:paraId="1C52B4C2"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11,0</w:t>
            </w:r>
          </w:p>
        </w:tc>
        <w:tc>
          <w:tcPr>
            <w:tcW w:w="677" w:type="pct"/>
            <w:shd w:val="clear" w:color="auto" w:fill="auto"/>
            <w:noWrap/>
            <w:vAlign w:val="center"/>
            <w:hideMark/>
          </w:tcPr>
          <w:p w14:paraId="2BED3AE3"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52,6</w:t>
            </w:r>
          </w:p>
        </w:tc>
        <w:tc>
          <w:tcPr>
            <w:tcW w:w="676" w:type="pct"/>
            <w:shd w:val="clear" w:color="auto" w:fill="auto"/>
            <w:noWrap/>
            <w:vAlign w:val="center"/>
            <w:hideMark/>
          </w:tcPr>
          <w:p w14:paraId="46F8EA16"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8,7</w:t>
            </w:r>
          </w:p>
        </w:tc>
        <w:tc>
          <w:tcPr>
            <w:tcW w:w="677" w:type="pct"/>
            <w:shd w:val="clear" w:color="auto" w:fill="auto"/>
            <w:noWrap/>
            <w:vAlign w:val="center"/>
            <w:hideMark/>
          </w:tcPr>
          <w:p w14:paraId="56391CBE"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46,0</w:t>
            </w:r>
          </w:p>
        </w:tc>
        <w:tc>
          <w:tcPr>
            <w:tcW w:w="677" w:type="pct"/>
            <w:shd w:val="clear" w:color="auto" w:fill="auto"/>
            <w:noWrap/>
            <w:vAlign w:val="center"/>
            <w:hideMark/>
          </w:tcPr>
          <w:p w14:paraId="68107B30" w14:textId="77777777" w:rsidR="00881780" w:rsidRPr="00A71C8E" w:rsidRDefault="00881780" w:rsidP="006F4D8F">
            <w:pPr>
              <w:spacing w:before="0" w:after="0" w:line="240" w:lineRule="auto"/>
              <w:jc w:val="left"/>
              <w:rPr>
                <w:rFonts w:cs="Arial"/>
                <w:b/>
                <w:sz w:val="18"/>
                <w:szCs w:val="18"/>
              </w:rPr>
            </w:pPr>
            <w:r w:rsidRPr="00A71C8E">
              <w:rPr>
                <w:rFonts w:cs="Arial"/>
                <w:b/>
                <w:sz w:val="18"/>
                <w:szCs w:val="18"/>
              </w:rPr>
              <w:t>7,4</w:t>
            </w:r>
          </w:p>
        </w:tc>
      </w:tr>
      <w:tr w:rsidR="00881780" w:rsidRPr="00A71C8E" w14:paraId="3DF8AB92" w14:textId="77777777" w:rsidTr="006F4D8F">
        <w:trPr>
          <w:trHeight w:val="315"/>
        </w:trPr>
        <w:tc>
          <w:tcPr>
            <w:tcW w:w="1014" w:type="pct"/>
            <w:shd w:val="clear" w:color="auto" w:fill="auto"/>
            <w:noWrap/>
            <w:vAlign w:val="center"/>
            <w:hideMark/>
          </w:tcPr>
          <w:p w14:paraId="14DA0CC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białogardzki</w:t>
            </w:r>
          </w:p>
        </w:tc>
        <w:tc>
          <w:tcPr>
            <w:tcW w:w="602" w:type="pct"/>
            <w:shd w:val="clear" w:color="auto" w:fill="auto"/>
            <w:noWrap/>
            <w:vAlign w:val="center"/>
            <w:hideMark/>
          </w:tcPr>
          <w:p w14:paraId="0C2803F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3,5</w:t>
            </w:r>
          </w:p>
        </w:tc>
        <w:tc>
          <w:tcPr>
            <w:tcW w:w="677" w:type="pct"/>
            <w:shd w:val="clear" w:color="000000" w:fill="377BB8"/>
            <w:noWrap/>
            <w:vAlign w:val="center"/>
            <w:hideMark/>
          </w:tcPr>
          <w:p w14:paraId="762D930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22,3</w:t>
            </w:r>
          </w:p>
        </w:tc>
        <w:tc>
          <w:tcPr>
            <w:tcW w:w="677" w:type="pct"/>
            <w:shd w:val="clear" w:color="auto" w:fill="auto"/>
            <w:noWrap/>
            <w:vAlign w:val="center"/>
            <w:hideMark/>
          </w:tcPr>
          <w:p w14:paraId="4D6EE53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2,9</w:t>
            </w:r>
          </w:p>
        </w:tc>
        <w:tc>
          <w:tcPr>
            <w:tcW w:w="676" w:type="pct"/>
            <w:shd w:val="clear" w:color="000000" w:fill="4785BE"/>
            <w:noWrap/>
            <w:vAlign w:val="center"/>
            <w:hideMark/>
          </w:tcPr>
          <w:p w14:paraId="325B345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18,9</w:t>
            </w:r>
          </w:p>
        </w:tc>
        <w:tc>
          <w:tcPr>
            <w:tcW w:w="677" w:type="pct"/>
            <w:shd w:val="clear" w:color="auto" w:fill="auto"/>
            <w:noWrap/>
            <w:vAlign w:val="center"/>
            <w:hideMark/>
          </w:tcPr>
          <w:p w14:paraId="6FF38F2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2,8</w:t>
            </w:r>
          </w:p>
        </w:tc>
        <w:tc>
          <w:tcPr>
            <w:tcW w:w="677" w:type="pct"/>
            <w:shd w:val="clear" w:color="000000" w:fill="3D7FBB"/>
            <w:noWrap/>
            <w:vAlign w:val="center"/>
            <w:hideMark/>
          </w:tcPr>
          <w:p w14:paraId="6DC87335"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18,5</w:t>
            </w:r>
          </w:p>
        </w:tc>
      </w:tr>
      <w:tr w:rsidR="00881780" w:rsidRPr="00A71C8E" w14:paraId="020C9D13" w14:textId="77777777" w:rsidTr="006F4D8F">
        <w:trPr>
          <w:trHeight w:val="315"/>
        </w:trPr>
        <w:tc>
          <w:tcPr>
            <w:tcW w:w="1014" w:type="pct"/>
            <w:shd w:val="clear" w:color="auto" w:fill="auto"/>
            <w:noWrap/>
            <w:vAlign w:val="center"/>
            <w:hideMark/>
          </w:tcPr>
          <w:p w14:paraId="07DAC88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choszczeński</w:t>
            </w:r>
          </w:p>
        </w:tc>
        <w:tc>
          <w:tcPr>
            <w:tcW w:w="602" w:type="pct"/>
            <w:shd w:val="clear" w:color="auto" w:fill="auto"/>
            <w:noWrap/>
            <w:vAlign w:val="center"/>
            <w:hideMark/>
          </w:tcPr>
          <w:p w14:paraId="6F4A7C6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2,9</w:t>
            </w:r>
          </w:p>
        </w:tc>
        <w:tc>
          <w:tcPr>
            <w:tcW w:w="677" w:type="pct"/>
            <w:shd w:val="clear" w:color="000000" w:fill="4584BE"/>
            <w:noWrap/>
            <w:vAlign w:val="center"/>
            <w:hideMark/>
          </w:tcPr>
          <w:p w14:paraId="1793C4E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20,8</w:t>
            </w:r>
          </w:p>
        </w:tc>
        <w:tc>
          <w:tcPr>
            <w:tcW w:w="677" w:type="pct"/>
            <w:shd w:val="clear" w:color="auto" w:fill="auto"/>
            <w:noWrap/>
            <w:vAlign w:val="center"/>
            <w:hideMark/>
          </w:tcPr>
          <w:p w14:paraId="1AF5960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6" w:type="pct"/>
            <w:shd w:val="clear" w:color="000000" w:fill="508CC2"/>
            <w:noWrap/>
            <w:vAlign w:val="center"/>
            <w:hideMark/>
          </w:tcPr>
          <w:p w14:paraId="5A8968A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17,9</w:t>
            </w:r>
          </w:p>
        </w:tc>
        <w:tc>
          <w:tcPr>
            <w:tcW w:w="677" w:type="pct"/>
            <w:shd w:val="clear" w:color="auto" w:fill="auto"/>
            <w:noWrap/>
            <w:vAlign w:val="center"/>
            <w:hideMark/>
          </w:tcPr>
          <w:p w14:paraId="6480ADE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w:t>
            </w:r>
          </w:p>
        </w:tc>
        <w:tc>
          <w:tcPr>
            <w:tcW w:w="677" w:type="pct"/>
            <w:shd w:val="clear" w:color="000000" w:fill="528DC3"/>
            <w:noWrap/>
            <w:vAlign w:val="center"/>
            <w:hideMark/>
          </w:tcPr>
          <w:p w14:paraId="379C4B9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16,4</w:t>
            </w:r>
          </w:p>
        </w:tc>
      </w:tr>
      <w:tr w:rsidR="00881780" w:rsidRPr="00A71C8E" w14:paraId="099F12E1" w14:textId="77777777" w:rsidTr="006F4D8F">
        <w:trPr>
          <w:trHeight w:val="315"/>
        </w:trPr>
        <w:tc>
          <w:tcPr>
            <w:tcW w:w="1014" w:type="pct"/>
            <w:shd w:val="clear" w:color="auto" w:fill="auto"/>
            <w:noWrap/>
            <w:vAlign w:val="center"/>
            <w:hideMark/>
          </w:tcPr>
          <w:p w14:paraId="38F2A4B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drawski</w:t>
            </w:r>
          </w:p>
        </w:tc>
        <w:tc>
          <w:tcPr>
            <w:tcW w:w="602" w:type="pct"/>
            <w:shd w:val="clear" w:color="auto" w:fill="auto"/>
            <w:noWrap/>
            <w:vAlign w:val="center"/>
            <w:hideMark/>
          </w:tcPr>
          <w:p w14:paraId="4FA6C16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3,5</w:t>
            </w:r>
          </w:p>
        </w:tc>
        <w:tc>
          <w:tcPr>
            <w:tcW w:w="677" w:type="pct"/>
            <w:shd w:val="clear" w:color="000000" w:fill="6197C8"/>
            <w:noWrap/>
            <w:vAlign w:val="center"/>
            <w:hideMark/>
          </w:tcPr>
          <w:p w14:paraId="4B56559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17,9</w:t>
            </w:r>
          </w:p>
        </w:tc>
        <w:tc>
          <w:tcPr>
            <w:tcW w:w="677" w:type="pct"/>
            <w:shd w:val="clear" w:color="auto" w:fill="auto"/>
            <w:noWrap/>
            <w:vAlign w:val="center"/>
            <w:hideMark/>
          </w:tcPr>
          <w:p w14:paraId="4A1FA05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3,3</w:t>
            </w:r>
          </w:p>
        </w:tc>
        <w:tc>
          <w:tcPr>
            <w:tcW w:w="676" w:type="pct"/>
            <w:shd w:val="clear" w:color="000000" w:fill="5D94C7"/>
            <w:noWrap/>
            <w:vAlign w:val="center"/>
            <w:hideMark/>
          </w:tcPr>
          <w:p w14:paraId="3A57BCF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16,6</w:t>
            </w:r>
          </w:p>
        </w:tc>
        <w:tc>
          <w:tcPr>
            <w:tcW w:w="677" w:type="pct"/>
            <w:shd w:val="clear" w:color="auto" w:fill="auto"/>
            <w:noWrap/>
            <w:vAlign w:val="center"/>
            <w:hideMark/>
          </w:tcPr>
          <w:p w14:paraId="52F93DE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7" w:type="pct"/>
            <w:shd w:val="clear" w:color="000000" w:fill="73A4CF"/>
            <w:noWrap/>
            <w:vAlign w:val="center"/>
            <w:hideMark/>
          </w:tcPr>
          <w:p w14:paraId="3EC794A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13,1</w:t>
            </w:r>
          </w:p>
        </w:tc>
      </w:tr>
      <w:tr w:rsidR="00881780" w:rsidRPr="00A71C8E" w14:paraId="619C9046" w14:textId="77777777" w:rsidTr="006F4D8F">
        <w:trPr>
          <w:trHeight w:val="315"/>
        </w:trPr>
        <w:tc>
          <w:tcPr>
            <w:tcW w:w="1014" w:type="pct"/>
            <w:shd w:val="clear" w:color="auto" w:fill="auto"/>
            <w:noWrap/>
            <w:vAlign w:val="center"/>
            <w:hideMark/>
          </w:tcPr>
          <w:p w14:paraId="36A4026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goleniowski</w:t>
            </w:r>
          </w:p>
        </w:tc>
        <w:tc>
          <w:tcPr>
            <w:tcW w:w="602" w:type="pct"/>
            <w:shd w:val="clear" w:color="auto" w:fill="auto"/>
            <w:noWrap/>
            <w:vAlign w:val="center"/>
            <w:hideMark/>
          </w:tcPr>
          <w:p w14:paraId="4CFCF9E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7" w:type="pct"/>
            <w:shd w:val="clear" w:color="000000" w:fill="BCD5EB"/>
            <w:noWrap/>
            <w:vAlign w:val="center"/>
            <w:hideMark/>
          </w:tcPr>
          <w:p w14:paraId="200B7CD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8,2</w:t>
            </w:r>
          </w:p>
        </w:tc>
        <w:tc>
          <w:tcPr>
            <w:tcW w:w="677" w:type="pct"/>
            <w:shd w:val="clear" w:color="auto" w:fill="auto"/>
            <w:noWrap/>
            <w:vAlign w:val="center"/>
            <w:hideMark/>
          </w:tcPr>
          <w:p w14:paraId="73C0215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2,0</w:t>
            </w:r>
          </w:p>
        </w:tc>
        <w:tc>
          <w:tcPr>
            <w:tcW w:w="676" w:type="pct"/>
            <w:shd w:val="clear" w:color="000000" w:fill="C1D8ED"/>
            <w:noWrap/>
            <w:vAlign w:val="center"/>
            <w:hideMark/>
          </w:tcPr>
          <w:p w14:paraId="2CCCB28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6,2</w:t>
            </w:r>
          </w:p>
        </w:tc>
        <w:tc>
          <w:tcPr>
            <w:tcW w:w="677" w:type="pct"/>
            <w:shd w:val="clear" w:color="auto" w:fill="auto"/>
            <w:noWrap/>
            <w:vAlign w:val="center"/>
            <w:hideMark/>
          </w:tcPr>
          <w:p w14:paraId="43EA5C8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1,8</w:t>
            </w:r>
          </w:p>
        </w:tc>
        <w:tc>
          <w:tcPr>
            <w:tcW w:w="677" w:type="pct"/>
            <w:shd w:val="clear" w:color="000000" w:fill="BFD7EC"/>
            <w:noWrap/>
            <w:vAlign w:val="center"/>
            <w:hideMark/>
          </w:tcPr>
          <w:p w14:paraId="10ECA5A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5,5</w:t>
            </w:r>
          </w:p>
        </w:tc>
      </w:tr>
      <w:tr w:rsidR="00881780" w:rsidRPr="00A71C8E" w14:paraId="29E6A075" w14:textId="77777777" w:rsidTr="006F4D8F">
        <w:trPr>
          <w:trHeight w:val="315"/>
        </w:trPr>
        <w:tc>
          <w:tcPr>
            <w:tcW w:w="1014" w:type="pct"/>
            <w:shd w:val="clear" w:color="auto" w:fill="auto"/>
            <w:noWrap/>
            <w:vAlign w:val="center"/>
            <w:hideMark/>
          </w:tcPr>
          <w:p w14:paraId="4E57B0A2"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gryficki</w:t>
            </w:r>
          </w:p>
        </w:tc>
        <w:tc>
          <w:tcPr>
            <w:tcW w:w="602" w:type="pct"/>
            <w:shd w:val="clear" w:color="auto" w:fill="auto"/>
            <w:noWrap/>
            <w:vAlign w:val="center"/>
            <w:hideMark/>
          </w:tcPr>
          <w:p w14:paraId="1520239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3,1</w:t>
            </w:r>
          </w:p>
        </w:tc>
        <w:tc>
          <w:tcPr>
            <w:tcW w:w="677" w:type="pct"/>
            <w:shd w:val="clear" w:color="000000" w:fill="70A1CE"/>
            <w:noWrap/>
            <w:vAlign w:val="center"/>
            <w:hideMark/>
          </w:tcPr>
          <w:p w14:paraId="0D01876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16,3</w:t>
            </w:r>
          </w:p>
        </w:tc>
        <w:tc>
          <w:tcPr>
            <w:tcW w:w="677" w:type="pct"/>
            <w:shd w:val="clear" w:color="auto" w:fill="auto"/>
            <w:noWrap/>
            <w:vAlign w:val="center"/>
            <w:hideMark/>
          </w:tcPr>
          <w:p w14:paraId="0EB3914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2,1</w:t>
            </w:r>
          </w:p>
        </w:tc>
        <w:tc>
          <w:tcPr>
            <w:tcW w:w="676" w:type="pct"/>
            <w:shd w:val="clear" w:color="000000" w:fill="8BB3D8"/>
            <w:noWrap/>
            <w:vAlign w:val="center"/>
            <w:hideMark/>
          </w:tcPr>
          <w:p w14:paraId="19D9CA2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11,8</w:t>
            </w:r>
          </w:p>
        </w:tc>
        <w:tc>
          <w:tcPr>
            <w:tcW w:w="677" w:type="pct"/>
            <w:shd w:val="clear" w:color="auto" w:fill="auto"/>
            <w:noWrap/>
            <w:vAlign w:val="center"/>
            <w:hideMark/>
          </w:tcPr>
          <w:p w14:paraId="532D273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w:t>
            </w:r>
          </w:p>
        </w:tc>
        <w:tc>
          <w:tcPr>
            <w:tcW w:w="677" w:type="pct"/>
            <w:shd w:val="clear" w:color="000000" w:fill="9ABEDE"/>
            <w:noWrap/>
            <w:vAlign w:val="center"/>
            <w:hideMark/>
          </w:tcPr>
          <w:p w14:paraId="0645414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9,2</w:t>
            </w:r>
          </w:p>
        </w:tc>
      </w:tr>
      <w:tr w:rsidR="00881780" w:rsidRPr="00A71C8E" w14:paraId="457EAFEE" w14:textId="77777777" w:rsidTr="006F4D8F">
        <w:trPr>
          <w:trHeight w:val="315"/>
        </w:trPr>
        <w:tc>
          <w:tcPr>
            <w:tcW w:w="1014" w:type="pct"/>
            <w:shd w:val="clear" w:color="auto" w:fill="auto"/>
            <w:noWrap/>
            <w:vAlign w:val="center"/>
            <w:hideMark/>
          </w:tcPr>
          <w:p w14:paraId="0FA6638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gryfiński</w:t>
            </w:r>
          </w:p>
        </w:tc>
        <w:tc>
          <w:tcPr>
            <w:tcW w:w="602" w:type="pct"/>
            <w:shd w:val="clear" w:color="auto" w:fill="auto"/>
            <w:noWrap/>
            <w:vAlign w:val="center"/>
            <w:hideMark/>
          </w:tcPr>
          <w:p w14:paraId="7D45D0C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3,4</w:t>
            </w:r>
          </w:p>
        </w:tc>
        <w:tc>
          <w:tcPr>
            <w:tcW w:w="677" w:type="pct"/>
            <w:shd w:val="clear" w:color="000000" w:fill="80ACD4"/>
            <w:noWrap/>
            <w:vAlign w:val="center"/>
            <w:hideMark/>
          </w:tcPr>
          <w:p w14:paraId="7A67DAE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14,6</w:t>
            </w:r>
          </w:p>
        </w:tc>
        <w:tc>
          <w:tcPr>
            <w:tcW w:w="677" w:type="pct"/>
            <w:shd w:val="clear" w:color="auto" w:fill="auto"/>
            <w:noWrap/>
            <w:vAlign w:val="center"/>
            <w:hideMark/>
          </w:tcPr>
          <w:p w14:paraId="7D45C42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2,7</w:t>
            </w:r>
          </w:p>
        </w:tc>
        <w:tc>
          <w:tcPr>
            <w:tcW w:w="676" w:type="pct"/>
            <w:shd w:val="clear" w:color="000000" w:fill="8DB5D9"/>
            <w:noWrap/>
            <w:vAlign w:val="center"/>
            <w:hideMark/>
          </w:tcPr>
          <w:p w14:paraId="78821BB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11,6</w:t>
            </w:r>
          </w:p>
        </w:tc>
        <w:tc>
          <w:tcPr>
            <w:tcW w:w="677" w:type="pct"/>
            <w:shd w:val="clear" w:color="auto" w:fill="auto"/>
            <w:noWrap/>
            <w:vAlign w:val="center"/>
            <w:hideMark/>
          </w:tcPr>
          <w:p w14:paraId="326D89A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2,4</w:t>
            </w:r>
          </w:p>
        </w:tc>
        <w:tc>
          <w:tcPr>
            <w:tcW w:w="677" w:type="pct"/>
            <w:shd w:val="clear" w:color="000000" w:fill="8FB7DA"/>
            <w:noWrap/>
            <w:vAlign w:val="center"/>
            <w:hideMark/>
          </w:tcPr>
          <w:p w14:paraId="2F46AD9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10,3</w:t>
            </w:r>
          </w:p>
        </w:tc>
      </w:tr>
      <w:tr w:rsidR="00881780" w:rsidRPr="00A71C8E" w14:paraId="06B29880" w14:textId="77777777" w:rsidTr="006F4D8F">
        <w:trPr>
          <w:trHeight w:val="315"/>
        </w:trPr>
        <w:tc>
          <w:tcPr>
            <w:tcW w:w="1014" w:type="pct"/>
            <w:shd w:val="clear" w:color="auto" w:fill="auto"/>
            <w:noWrap/>
            <w:vAlign w:val="center"/>
            <w:hideMark/>
          </w:tcPr>
          <w:p w14:paraId="2830262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kamieński</w:t>
            </w:r>
          </w:p>
        </w:tc>
        <w:tc>
          <w:tcPr>
            <w:tcW w:w="602" w:type="pct"/>
            <w:shd w:val="clear" w:color="auto" w:fill="auto"/>
            <w:noWrap/>
            <w:vAlign w:val="center"/>
            <w:hideMark/>
          </w:tcPr>
          <w:p w14:paraId="5A33DD0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w:t>
            </w:r>
          </w:p>
        </w:tc>
        <w:tc>
          <w:tcPr>
            <w:tcW w:w="677" w:type="pct"/>
            <w:shd w:val="clear" w:color="000000" w:fill="5790C5"/>
            <w:noWrap/>
            <w:vAlign w:val="center"/>
            <w:hideMark/>
          </w:tcPr>
          <w:p w14:paraId="12B397A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18,9</w:t>
            </w:r>
          </w:p>
        </w:tc>
        <w:tc>
          <w:tcPr>
            <w:tcW w:w="677" w:type="pct"/>
            <w:shd w:val="clear" w:color="auto" w:fill="auto"/>
            <w:noWrap/>
            <w:vAlign w:val="center"/>
            <w:hideMark/>
          </w:tcPr>
          <w:p w14:paraId="0ECEE04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2,6</w:t>
            </w:r>
          </w:p>
        </w:tc>
        <w:tc>
          <w:tcPr>
            <w:tcW w:w="676" w:type="pct"/>
            <w:shd w:val="clear" w:color="000000" w:fill="5F95C7"/>
            <w:noWrap/>
            <w:vAlign w:val="center"/>
            <w:hideMark/>
          </w:tcPr>
          <w:p w14:paraId="317DE2A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16,4</w:t>
            </w:r>
          </w:p>
        </w:tc>
        <w:tc>
          <w:tcPr>
            <w:tcW w:w="677" w:type="pct"/>
            <w:shd w:val="clear" w:color="auto" w:fill="auto"/>
            <w:noWrap/>
            <w:vAlign w:val="center"/>
            <w:hideMark/>
          </w:tcPr>
          <w:p w14:paraId="456BD2C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w:t>
            </w:r>
          </w:p>
        </w:tc>
        <w:tc>
          <w:tcPr>
            <w:tcW w:w="677" w:type="pct"/>
            <w:shd w:val="clear" w:color="000000" w:fill="6097C8"/>
            <w:noWrap/>
            <w:vAlign w:val="center"/>
            <w:hideMark/>
          </w:tcPr>
          <w:p w14:paraId="54817D5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15</w:t>
            </w:r>
          </w:p>
        </w:tc>
      </w:tr>
      <w:tr w:rsidR="00881780" w:rsidRPr="00A71C8E" w14:paraId="0EA224EB" w14:textId="77777777" w:rsidTr="006F4D8F">
        <w:trPr>
          <w:trHeight w:val="315"/>
        </w:trPr>
        <w:tc>
          <w:tcPr>
            <w:tcW w:w="1014" w:type="pct"/>
            <w:shd w:val="clear" w:color="auto" w:fill="auto"/>
            <w:noWrap/>
            <w:vAlign w:val="center"/>
            <w:hideMark/>
          </w:tcPr>
          <w:p w14:paraId="0C911FD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kołobrzeski</w:t>
            </w:r>
          </w:p>
        </w:tc>
        <w:tc>
          <w:tcPr>
            <w:tcW w:w="602" w:type="pct"/>
            <w:shd w:val="clear" w:color="auto" w:fill="auto"/>
            <w:noWrap/>
            <w:vAlign w:val="center"/>
            <w:hideMark/>
          </w:tcPr>
          <w:p w14:paraId="367E936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2,2</w:t>
            </w:r>
          </w:p>
        </w:tc>
        <w:tc>
          <w:tcPr>
            <w:tcW w:w="677" w:type="pct"/>
            <w:shd w:val="clear" w:color="000000" w:fill="BFD7EC"/>
            <w:noWrap/>
            <w:vAlign w:val="center"/>
            <w:hideMark/>
          </w:tcPr>
          <w:p w14:paraId="30E9C7A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7,9</w:t>
            </w:r>
          </w:p>
        </w:tc>
        <w:tc>
          <w:tcPr>
            <w:tcW w:w="677" w:type="pct"/>
            <w:shd w:val="clear" w:color="auto" w:fill="auto"/>
            <w:noWrap/>
            <w:vAlign w:val="center"/>
            <w:hideMark/>
          </w:tcPr>
          <w:p w14:paraId="139C7D4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1,3</w:t>
            </w:r>
          </w:p>
        </w:tc>
        <w:tc>
          <w:tcPr>
            <w:tcW w:w="676" w:type="pct"/>
            <w:shd w:val="clear" w:color="000000" w:fill="CFE2F2"/>
            <w:noWrap/>
            <w:vAlign w:val="center"/>
            <w:hideMark/>
          </w:tcPr>
          <w:p w14:paraId="757FB89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4,7</w:t>
            </w:r>
          </w:p>
        </w:tc>
        <w:tc>
          <w:tcPr>
            <w:tcW w:w="677" w:type="pct"/>
            <w:shd w:val="clear" w:color="auto" w:fill="auto"/>
            <w:noWrap/>
            <w:vAlign w:val="center"/>
            <w:hideMark/>
          </w:tcPr>
          <w:p w14:paraId="3FD8FC2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0,7</w:t>
            </w:r>
          </w:p>
        </w:tc>
        <w:tc>
          <w:tcPr>
            <w:tcW w:w="677" w:type="pct"/>
            <w:shd w:val="clear" w:color="000000" w:fill="DDEBF7"/>
            <w:noWrap/>
            <w:vAlign w:val="center"/>
            <w:hideMark/>
          </w:tcPr>
          <w:p w14:paraId="024E3DB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r>
      <w:tr w:rsidR="00881780" w:rsidRPr="00A71C8E" w14:paraId="33934C14" w14:textId="77777777" w:rsidTr="006F4D8F">
        <w:trPr>
          <w:trHeight w:val="315"/>
        </w:trPr>
        <w:tc>
          <w:tcPr>
            <w:tcW w:w="1014" w:type="pct"/>
            <w:shd w:val="clear" w:color="auto" w:fill="auto"/>
            <w:noWrap/>
            <w:vAlign w:val="center"/>
            <w:hideMark/>
          </w:tcPr>
          <w:p w14:paraId="7D6F0EE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koszaliński</w:t>
            </w:r>
          </w:p>
        </w:tc>
        <w:tc>
          <w:tcPr>
            <w:tcW w:w="602" w:type="pct"/>
            <w:shd w:val="clear" w:color="auto" w:fill="auto"/>
            <w:noWrap/>
            <w:vAlign w:val="center"/>
            <w:hideMark/>
          </w:tcPr>
          <w:p w14:paraId="289AD7D5"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3,3</w:t>
            </w:r>
          </w:p>
        </w:tc>
        <w:tc>
          <w:tcPr>
            <w:tcW w:w="677" w:type="pct"/>
            <w:shd w:val="clear" w:color="000000" w:fill="669BCA"/>
            <w:noWrap/>
            <w:vAlign w:val="center"/>
            <w:hideMark/>
          </w:tcPr>
          <w:p w14:paraId="5756D73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17,3</w:t>
            </w:r>
          </w:p>
        </w:tc>
        <w:tc>
          <w:tcPr>
            <w:tcW w:w="677" w:type="pct"/>
            <w:shd w:val="clear" w:color="auto" w:fill="auto"/>
            <w:noWrap/>
            <w:vAlign w:val="center"/>
            <w:hideMark/>
          </w:tcPr>
          <w:p w14:paraId="398BA58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2,7</w:t>
            </w:r>
          </w:p>
        </w:tc>
        <w:tc>
          <w:tcPr>
            <w:tcW w:w="676" w:type="pct"/>
            <w:shd w:val="clear" w:color="000000" w:fill="76A5D0"/>
            <w:noWrap/>
            <w:vAlign w:val="center"/>
            <w:hideMark/>
          </w:tcPr>
          <w:p w14:paraId="3D5A4DF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w:t>
            </w:r>
          </w:p>
        </w:tc>
        <w:tc>
          <w:tcPr>
            <w:tcW w:w="677" w:type="pct"/>
            <w:shd w:val="clear" w:color="auto" w:fill="auto"/>
            <w:noWrap/>
            <w:vAlign w:val="center"/>
            <w:hideMark/>
          </w:tcPr>
          <w:p w14:paraId="4C6DC45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7" w:type="pct"/>
            <w:shd w:val="clear" w:color="000000" w:fill="7AA8D2"/>
            <w:noWrap/>
            <w:vAlign w:val="center"/>
            <w:hideMark/>
          </w:tcPr>
          <w:p w14:paraId="2A12F02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12,4</w:t>
            </w:r>
          </w:p>
        </w:tc>
      </w:tr>
      <w:tr w:rsidR="00881780" w:rsidRPr="00A71C8E" w14:paraId="0DEDC661" w14:textId="77777777" w:rsidTr="006F4D8F">
        <w:trPr>
          <w:trHeight w:val="315"/>
        </w:trPr>
        <w:tc>
          <w:tcPr>
            <w:tcW w:w="1014" w:type="pct"/>
            <w:shd w:val="clear" w:color="auto" w:fill="auto"/>
            <w:noWrap/>
            <w:vAlign w:val="center"/>
            <w:hideMark/>
          </w:tcPr>
          <w:p w14:paraId="34DA5B2E"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myśliborski</w:t>
            </w:r>
          </w:p>
        </w:tc>
        <w:tc>
          <w:tcPr>
            <w:tcW w:w="602" w:type="pct"/>
            <w:shd w:val="clear" w:color="auto" w:fill="auto"/>
            <w:noWrap/>
            <w:vAlign w:val="center"/>
            <w:hideMark/>
          </w:tcPr>
          <w:p w14:paraId="37E8CB3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w:t>
            </w:r>
          </w:p>
        </w:tc>
        <w:tc>
          <w:tcPr>
            <w:tcW w:w="677" w:type="pct"/>
            <w:shd w:val="clear" w:color="000000" w:fill="A4C4E2"/>
            <w:noWrap/>
            <w:vAlign w:val="center"/>
            <w:hideMark/>
          </w:tcPr>
          <w:p w14:paraId="78C94FE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10,8</w:t>
            </w:r>
          </w:p>
        </w:tc>
        <w:tc>
          <w:tcPr>
            <w:tcW w:w="677" w:type="pct"/>
            <w:shd w:val="clear" w:color="auto" w:fill="auto"/>
            <w:noWrap/>
            <w:vAlign w:val="center"/>
            <w:hideMark/>
          </w:tcPr>
          <w:p w14:paraId="5E0B36F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1,9</w:t>
            </w:r>
          </w:p>
        </w:tc>
        <w:tc>
          <w:tcPr>
            <w:tcW w:w="676" w:type="pct"/>
            <w:shd w:val="clear" w:color="000000" w:fill="A6C6E2"/>
            <w:noWrap/>
            <w:vAlign w:val="center"/>
            <w:hideMark/>
          </w:tcPr>
          <w:p w14:paraId="6F48B13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9,0</w:t>
            </w:r>
          </w:p>
        </w:tc>
        <w:tc>
          <w:tcPr>
            <w:tcW w:w="677" w:type="pct"/>
            <w:shd w:val="clear" w:color="auto" w:fill="auto"/>
            <w:noWrap/>
            <w:vAlign w:val="center"/>
            <w:hideMark/>
          </w:tcPr>
          <w:p w14:paraId="52C3851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w:t>
            </w:r>
          </w:p>
        </w:tc>
        <w:tc>
          <w:tcPr>
            <w:tcW w:w="677" w:type="pct"/>
            <w:shd w:val="clear" w:color="000000" w:fill="A8C8E3"/>
            <w:noWrap/>
            <w:vAlign w:val="center"/>
            <w:hideMark/>
          </w:tcPr>
          <w:p w14:paraId="31D6865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7,8</w:t>
            </w:r>
          </w:p>
        </w:tc>
      </w:tr>
      <w:tr w:rsidR="00881780" w:rsidRPr="00A71C8E" w14:paraId="09556DA5" w14:textId="77777777" w:rsidTr="006F4D8F">
        <w:trPr>
          <w:trHeight w:val="315"/>
        </w:trPr>
        <w:tc>
          <w:tcPr>
            <w:tcW w:w="1014" w:type="pct"/>
            <w:shd w:val="clear" w:color="auto" w:fill="auto"/>
            <w:noWrap/>
            <w:vAlign w:val="center"/>
            <w:hideMark/>
          </w:tcPr>
          <w:p w14:paraId="75E01ED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policki</w:t>
            </w:r>
          </w:p>
        </w:tc>
        <w:tc>
          <w:tcPr>
            <w:tcW w:w="602" w:type="pct"/>
            <w:shd w:val="clear" w:color="auto" w:fill="auto"/>
            <w:noWrap/>
            <w:vAlign w:val="center"/>
            <w:hideMark/>
          </w:tcPr>
          <w:p w14:paraId="320D549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2,1</w:t>
            </w:r>
          </w:p>
        </w:tc>
        <w:tc>
          <w:tcPr>
            <w:tcW w:w="677" w:type="pct"/>
            <w:shd w:val="clear" w:color="000000" w:fill="BFD7EC"/>
            <w:noWrap/>
            <w:vAlign w:val="center"/>
            <w:hideMark/>
          </w:tcPr>
          <w:p w14:paraId="4472D6D5"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7,9</w:t>
            </w:r>
          </w:p>
        </w:tc>
        <w:tc>
          <w:tcPr>
            <w:tcW w:w="677" w:type="pct"/>
            <w:shd w:val="clear" w:color="auto" w:fill="auto"/>
            <w:noWrap/>
            <w:vAlign w:val="center"/>
            <w:hideMark/>
          </w:tcPr>
          <w:p w14:paraId="04A8892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w:t>
            </w:r>
          </w:p>
        </w:tc>
        <w:tc>
          <w:tcPr>
            <w:tcW w:w="676" w:type="pct"/>
            <w:shd w:val="clear" w:color="000000" w:fill="C4DAEE"/>
            <w:noWrap/>
            <w:vAlign w:val="center"/>
            <w:hideMark/>
          </w:tcPr>
          <w:p w14:paraId="50A1E2C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5,9</w:t>
            </w:r>
          </w:p>
        </w:tc>
        <w:tc>
          <w:tcPr>
            <w:tcW w:w="677" w:type="pct"/>
            <w:shd w:val="clear" w:color="auto" w:fill="auto"/>
            <w:noWrap/>
            <w:vAlign w:val="center"/>
            <w:hideMark/>
          </w:tcPr>
          <w:p w14:paraId="6D86993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w:t>
            </w:r>
          </w:p>
        </w:tc>
        <w:tc>
          <w:tcPr>
            <w:tcW w:w="677" w:type="pct"/>
            <w:shd w:val="clear" w:color="000000" w:fill="CCE0F1"/>
            <w:noWrap/>
            <w:vAlign w:val="center"/>
            <w:hideMark/>
          </w:tcPr>
          <w:p w14:paraId="5FB04BB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4,2</w:t>
            </w:r>
          </w:p>
        </w:tc>
      </w:tr>
      <w:tr w:rsidR="00881780" w:rsidRPr="00A71C8E" w14:paraId="1BB9DEFA" w14:textId="77777777" w:rsidTr="006F4D8F">
        <w:trPr>
          <w:trHeight w:val="315"/>
        </w:trPr>
        <w:tc>
          <w:tcPr>
            <w:tcW w:w="1014" w:type="pct"/>
            <w:shd w:val="clear" w:color="auto" w:fill="auto"/>
            <w:noWrap/>
            <w:vAlign w:val="center"/>
            <w:hideMark/>
          </w:tcPr>
          <w:p w14:paraId="2D5C155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pyrzycki</w:t>
            </w:r>
          </w:p>
        </w:tc>
        <w:tc>
          <w:tcPr>
            <w:tcW w:w="602" w:type="pct"/>
            <w:shd w:val="clear" w:color="auto" w:fill="auto"/>
            <w:noWrap/>
            <w:vAlign w:val="center"/>
            <w:hideMark/>
          </w:tcPr>
          <w:p w14:paraId="40AB0EC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w:t>
            </w:r>
          </w:p>
        </w:tc>
        <w:tc>
          <w:tcPr>
            <w:tcW w:w="677" w:type="pct"/>
            <w:shd w:val="clear" w:color="000000" w:fill="679BCB"/>
            <w:noWrap/>
            <w:vAlign w:val="center"/>
            <w:hideMark/>
          </w:tcPr>
          <w:p w14:paraId="7D63E62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17,2</w:t>
            </w:r>
          </w:p>
        </w:tc>
        <w:tc>
          <w:tcPr>
            <w:tcW w:w="677" w:type="pct"/>
            <w:shd w:val="clear" w:color="auto" w:fill="auto"/>
            <w:noWrap/>
            <w:vAlign w:val="center"/>
            <w:hideMark/>
          </w:tcPr>
          <w:p w14:paraId="7C804C0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1,5</w:t>
            </w:r>
          </w:p>
        </w:tc>
        <w:tc>
          <w:tcPr>
            <w:tcW w:w="676" w:type="pct"/>
            <w:shd w:val="clear" w:color="000000" w:fill="7AA8D2"/>
            <w:noWrap/>
            <w:vAlign w:val="center"/>
            <w:hideMark/>
          </w:tcPr>
          <w:p w14:paraId="60F2038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13,5</w:t>
            </w:r>
          </w:p>
        </w:tc>
        <w:tc>
          <w:tcPr>
            <w:tcW w:w="677" w:type="pct"/>
            <w:shd w:val="clear" w:color="auto" w:fill="auto"/>
            <w:noWrap/>
            <w:vAlign w:val="center"/>
            <w:hideMark/>
          </w:tcPr>
          <w:p w14:paraId="3F7F5C6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w:t>
            </w:r>
          </w:p>
        </w:tc>
        <w:tc>
          <w:tcPr>
            <w:tcW w:w="677" w:type="pct"/>
            <w:shd w:val="clear" w:color="000000" w:fill="7FACD4"/>
            <w:noWrap/>
            <w:vAlign w:val="center"/>
            <w:hideMark/>
          </w:tcPr>
          <w:p w14:paraId="14084132"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11,9</w:t>
            </w:r>
          </w:p>
        </w:tc>
      </w:tr>
      <w:tr w:rsidR="00881780" w:rsidRPr="00A71C8E" w14:paraId="165FC97F" w14:textId="77777777" w:rsidTr="006F4D8F">
        <w:trPr>
          <w:trHeight w:val="315"/>
        </w:trPr>
        <w:tc>
          <w:tcPr>
            <w:tcW w:w="1014" w:type="pct"/>
            <w:shd w:val="clear" w:color="auto" w:fill="auto"/>
            <w:noWrap/>
            <w:vAlign w:val="center"/>
            <w:hideMark/>
          </w:tcPr>
          <w:p w14:paraId="44ABDF0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sławieński</w:t>
            </w:r>
          </w:p>
        </w:tc>
        <w:tc>
          <w:tcPr>
            <w:tcW w:w="602" w:type="pct"/>
            <w:shd w:val="clear" w:color="auto" w:fill="auto"/>
            <w:noWrap/>
            <w:vAlign w:val="center"/>
            <w:hideMark/>
          </w:tcPr>
          <w:p w14:paraId="10990BC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3,3</w:t>
            </w:r>
          </w:p>
        </w:tc>
        <w:tc>
          <w:tcPr>
            <w:tcW w:w="677" w:type="pct"/>
            <w:shd w:val="clear" w:color="000000" w:fill="6096C8"/>
            <w:noWrap/>
            <w:vAlign w:val="center"/>
            <w:hideMark/>
          </w:tcPr>
          <w:p w14:paraId="5A66B10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18</w:t>
            </w:r>
          </w:p>
        </w:tc>
        <w:tc>
          <w:tcPr>
            <w:tcW w:w="677" w:type="pct"/>
            <w:shd w:val="clear" w:color="auto" w:fill="auto"/>
            <w:noWrap/>
            <w:vAlign w:val="center"/>
            <w:hideMark/>
          </w:tcPr>
          <w:p w14:paraId="30A1650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2,8</w:t>
            </w:r>
          </w:p>
        </w:tc>
        <w:tc>
          <w:tcPr>
            <w:tcW w:w="676" w:type="pct"/>
            <w:shd w:val="clear" w:color="000000" w:fill="669BCA"/>
            <w:noWrap/>
            <w:vAlign w:val="center"/>
            <w:hideMark/>
          </w:tcPr>
          <w:p w14:paraId="3AADAC7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15,6</w:t>
            </w:r>
          </w:p>
        </w:tc>
        <w:tc>
          <w:tcPr>
            <w:tcW w:w="677" w:type="pct"/>
            <w:shd w:val="clear" w:color="auto" w:fill="auto"/>
            <w:noWrap/>
            <w:vAlign w:val="center"/>
            <w:hideMark/>
          </w:tcPr>
          <w:p w14:paraId="33BD17E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7" w:type="pct"/>
            <w:shd w:val="clear" w:color="000000" w:fill="6A9ECC"/>
            <w:noWrap/>
            <w:vAlign w:val="center"/>
            <w:hideMark/>
          </w:tcPr>
          <w:p w14:paraId="784BFE1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w:t>
            </w:r>
          </w:p>
        </w:tc>
      </w:tr>
      <w:tr w:rsidR="00881780" w:rsidRPr="00A71C8E" w14:paraId="0BC00998" w14:textId="77777777" w:rsidTr="006F4D8F">
        <w:trPr>
          <w:trHeight w:val="315"/>
        </w:trPr>
        <w:tc>
          <w:tcPr>
            <w:tcW w:w="1014" w:type="pct"/>
            <w:shd w:val="clear" w:color="auto" w:fill="auto"/>
            <w:noWrap/>
            <w:vAlign w:val="center"/>
            <w:hideMark/>
          </w:tcPr>
          <w:p w14:paraId="73C1BA7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stargardzki</w:t>
            </w:r>
          </w:p>
        </w:tc>
        <w:tc>
          <w:tcPr>
            <w:tcW w:w="602" w:type="pct"/>
            <w:shd w:val="clear" w:color="auto" w:fill="auto"/>
            <w:noWrap/>
            <w:vAlign w:val="center"/>
            <w:hideMark/>
          </w:tcPr>
          <w:p w14:paraId="6A1B634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4,0</w:t>
            </w:r>
          </w:p>
        </w:tc>
        <w:tc>
          <w:tcPr>
            <w:tcW w:w="677" w:type="pct"/>
            <w:shd w:val="clear" w:color="000000" w:fill="9EC1DF"/>
            <w:noWrap/>
            <w:vAlign w:val="center"/>
            <w:hideMark/>
          </w:tcPr>
          <w:p w14:paraId="37BDC61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11,4</w:t>
            </w:r>
          </w:p>
        </w:tc>
        <w:tc>
          <w:tcPr>
            <w:tcW w:w="677" w:type="pct"/>
            <w:shd w:val="clear" w:color="auto" w:fill="auto"/>
            <w:noWrap/>
            <w:vAlign w:val="center"/>
            <w:hideMark/>
          </w:tcPr>
          <w:p w14:paraId="0665F60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3,3</w:t>
            </w:r>
          </w:p>
        </w:tc>
        <w:tc>
          <w:tcPr>
            <w:tcW w:w="676" w:type="pct"/>
            <w:shd w:val="clear" w:color="000000" w:fill="A6C6E2"/>
            <w:noWrap/>
            <w:vAlign w:val="center"/>
            <w:hideMark/>
          </w:tcPr>
          <w:p w14:paraId="109CBD9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9,0</w:t>
            </w:r>
          </w:p>
        </w:tc>
        <w:tc>
          <w:tcPr>
            <w:tcW w:w="677" w:type="pct"/>
            <w:shd w:val="clear" w:color="auto" w:fill="auto"/>
            <w:noWrap/>
            <w:vAlign w:val="center"/>
            <w:hideMark/>
          </w:tcPr>
          <w:p w14:paraId="6823240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3,0</w:t>
            </w:r>
          </w:p>
        </w:tc>
        <w:tc>
          <w:tcPr>
            <w:tcW w:w="677" w:type="pct"/>
            <w:shd w:val="clear" w:color="000000" w:fill="A6C6E3"/>
            <w:noWrap/>
            <w:vAlign w:val="center"/>
            <w:hideMark/>
          </w:tcPr>
          <w:p w14:paraId="2729DAE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8,0</w:t>
            </w:r>
          </w:p>
        </w:tc>
      </w:tr>
      <w:tr w:rsidR="00881780" w:rsidRPr="00A71C8E" w14:paraId="4A032639" w14:textId="77777777" w:rsidTr="006F4D8F">
        <w:trPr>
          <w:trHeight w:val="315"/>
        </w:trPr>
        <w:tc>
          <w:tcPr>
            <w:tcW w:w="1014" w:type="pct"/>
            <w:shd w:val="clear" w:color="auto" w:fill="auto"/>
            <w:noWrap/>
            <w:vAlign w:val="center"/>
            <w:hideMark/>
          </w:tcPr>
          <w:p w14:paraId="613CC3BD"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szczecinecki</w:t>
            </w:r>
          </w:p>
        </w:tc>
        <w:tc>
          <w:tcPr>
            <w:tcW w:w="602" w:type="pct"/>
            <w:shd w:val="clear" w:color="auto" w:fill="auto"/>
            <w:noWrap/>
            <w:vAlign w:val="center"/>
            <w:hideMark/>
          </w:tcPr>
          <w:p w14:paraId="732E1A5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5,2</w:t>
            </w:r>
          </w:p>
        </w:tc>
        <w:tc>
          <w:tcPr>
            <w:tcW w:w="677" w:type="pct"/>
            <w:shd w:val="clear" w:color="000000" w:fill="4B88C0"/>
            <w:noWrap/>
            <w:vAlign w:val="center"/>
            <w:hideMark/>
          </w:tcPr>
          <w:p w14:paraId="4AB5CFB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20,2</w:t>
            </w:r>
          </w:p>
        </w:tc>
        <w:tc>
          <w:tcPr>
            <w:tcW w:w="677" w:type="pct"/>
            <w:shd w:val="clear" w:color="auto" w:fill="auto"/>
            <w:noWrap/>
            <w:vAlign w:val="center"/>
            <w:hideMark/>
          </w:tcPr>
          <w:p w14:paraId="3BEEF51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4,2</w:t>
            </w:r>
          </w:p>
        </w:tc>
        <w:tc>
          <w:tcPr>
            <w:tcW w:w="676" w:type="pct"/>
            <w:shd w:val="clear" w:color="000000" w:fill="5D94C7"/>
            <w:noWrap/>
            <w:vAlign w:val="center"/>
            <w:hideMark/>
          </w:tcPr>
          <w:p w14:paraId="593DBAD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16,6</w:t>
            </w:r>
          </w:p>
        </w:tc>
        <w:tc>
          <w:tcPr>
            <w:tcW w:w="677" w:type="pct"/>
            <w:shd w:val="clear" w:color="auto" w:fill="auto"/>
            <w:noWrap/>
            <w:vAlign w:val="center"/>
            <w:hideMark/>
          </w:tcPr>
          <w:p w14:paraId="3034ABA2"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3,9</w:t>
            </w:r>
          </w:p>
        </w:tc>
        <w:tc>
          <w:tcPr>
            <w:tcW w:w="677" w:type="pct"/>
            <w:shd w:val="clear" w:color="000000" w:fill="5E95C7"/>
            <w:noWrap/>
            <w:vAlign w:val="center"/>
            <w:hideMark/>
          </w:tcPr>
          <w:p w14:paraId="6FA9392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15,2</w:t>
            </w:r>
          </w:p>
        </w:tc>
      </w:tr>
      <w:tr w:rsidR="00881780" w:rsidRPr="00A71C8E" w14:paraId="4EB0DBE2" w14:textId="77777777" w:rsidTr="006F4D8F">
        <w:trPr>
          <w:trHeight w:val="315"/>
        </w:trPr>
        <w:tc>
          <w:tcPr>
            <w:tcW w:w="1014" w:type="pct"/>
            <w:shd w:val="clear" w:color="auto" w:fill="auto"/>
            <w:noWrap/>
            <w:vAlign w:val="center"/>
            <w:hideMark/>
          </w:tcPr>
          <w:p w14:paraId="75DE3F6E"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świdwiński</w:t>
            </w:r>
          </w:p>
        </w:tc>
        <w:tc>
          <w:tcPr>
            <w:tcW w:w="602" w:type="pct"/>
            <w:shd w:val="clear" w:color="auto" w:fill="auto"/>
            <w:noWrap/>
            <w:vAlign w:val="center"/>
            <w:hideMark/>
          </w:tcPr>
          <w:p w14:paraId="6A346049"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2,6</w:t>
            </w:r>
          </w:p>
        </w:tc>
        <w:tc>
          <w:tcPr>
            <w:tcW w:w="677" w:type="pct"/>
            <w:shd w:val="clear" w:color="000000" w:fill="6197C8"/>
            <w:noWrap/>
            <w:vAlign w:val="center"/>
            <w:hideMark/>
          </w:tcPr>
          <w:p w14:paraId="765EBE2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17,9</w:t>
            </w:r>
          </w:p>
        </w:tc>
        <w:tc>
          <w:tcPr>
            <w:tcW w:w="677" w:type="pct"/>
            <w:shd w:val="clear" w:color="auto" w:fill="auto"/>
            <w:noWrap/>
            <w:vAlign w:val="center"/>
            <w:hideMark/>
          </w:tcPr>
          <w:p w14:paraId="2BB13AF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w:t>
            </w:r>
          </w:p>
        </w:tc>
        <w:tc>
          <w:tcPr>
            <w:tcW w:w="676" w:type="pct"/>
            <w:shd w:val="clear" w:color="000000" w:fill="6197C8"/>
            <w:noWrap/>
            <w:vAlign w:val="center"/>
            <w:hideMark/>
          </w:tcPr>
          <w:p w14:paraId="492F6E65"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16,2</w:t>
            </w:r>
          </w:p>
        </w:tc>
        <w:tc>
          <w:tcPr>
            <w:tcW w:w="677" w:type="pct"/>
            <w:shd w:val="clear" w:color="auto" w:fill="auto"/>
            <w:noWrap/>
            <w:vAlign w:val="center"/>
            <w:hideMark/>
          </w:tcPr>
          <w:p w14:paraId="3BAAE4A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2,1</w:t>
            </w:r>
          </w:p>
        </w:tc>
        <w:tc>
          <w:tcPr>
            <w:tcW w:w="677" w:type="pct"/>
            <w:shd w:val="clear" w:color="000000" w:fill="689CCB"/>
            <w:noWrap/>
            <w:vAlign w:val="center"/>
            <w:hideMark/>
          </w:tcPr>
          <w:p w14:paraId="2613550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14,2</w:t>
            </w:r>
          </w:p>
        </w:tc>
      </w:tr>
      <w:tr w:rsidR="00881780" w:rsidRPr="00A71C8E" w14:paraId="0F69104C" w14:textId="77777777" w:rsidTr="006F4D8F">
        <w:trPr>
          <w:trHeight w:val="315"/>
        </w:trPr>
        <w:tc>
          <w:tcPr>
            <w:tcW w:w="1014" w:type="pct"/>
            <w:shd w:val="clear" w:color="auto" w:fill="auto"/>
            <w:noWrap/>
            <w:vAlign w:val="center"/>
            <w:hideMark/>
          </w:tcPr>
          <w:p w14:paraId="71F042BE"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lastRenderedPageBreak/>
              <w:t>wałecki</w:t>
            </w:r>
          </w:p>
        </w:tc>
        <w:tc>
          <w:tcPr>
            <w:tcW w:w="602" w:type="pct"/>
            <w:shd w:val="clear" w:color="auto" w:fill="auto"/>
            <w:noWrap/>
            <w:vAlign w:val="center"/>
            <w:hideMark/>
          </w:tcPr>
          <w:p w14:paraId="293D647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w:t>
            </w:r>
          </w:p>
        </w:tc>
        <w:tc>
          <w:tcPr>
            <w:tcW w:w="677" w:type="pct"/>
            <w:shd w:val="clear" w:color="000000" w:fill="93B9DB"/>
            <w:noWrap/>
            <w:vAlign w:val="center"/>
            <w:hideMark/>
          </w:tcPr>
          <w:p w14:paraId="3344035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12,6</w:t>
            </w:r>
          </w:p>
        </w:tc>
        <w:tc>
          <w:tcPr>
            <w:tcW w:w="677" w:type="pct"/>
            <w:shd w:val="clear" w:color="auto" w:fill="auto"/>
            <w:noWrap/>
            <w:vAlign w:val="center"/>
            <w:hideMark/>
          </w:tcPr>
          <w:p w14:paraId="53421AB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1,6</w:t>
            </w:r>
          </w:p>
        </w:tc>
        <w:tc>
          <w:tcPr>
            <w:tcW w:w="676" w:type="pct"/>
            <w:shd w:val="clear" w:color="000000" w:fill="9EC0DF"/>
            <w:noWrap/>
            <w:vAlign w:val="center"/>
            <w:hideMark/>
          </w:tcPr>
          <w:p w14:paraId="2A06E792"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9,8</w:t>
            </w:r>
          </w:p>
        </w:tc>
        <w:tc>
          <w:tcPr>
            <w:tcW w:w="677" w:type="pct"/>
            <w:shd w:val="clear" w:color="auto" w:fill="auto"/>
            <w:noWrap/>
            <w:vAlign w:val="center"/>
            <w:hideMark/>
          </w:tcPr>
          <w:p w14:paraId="65EE9BC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1,4</w:t>
            </w:r>
          </w:p>
        </w:tc>
        <w:tc>
          <w:tcPr>
            <w:tcW w:w="677" w:type="pct"/>
            <w:shd w:val="clear" w:color="000000" w:fill="A1C3E1"/>
            <w:noWrap/>
            <w:vAlign w:val="center"/>
            <w:hideMark/>
          </w:tcPr>
          <w:p w14:paraId="0DDA6BD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8,5</w:t>
            </w:r>
          </w:p>
        </w:tc>
      </w:tr>
      <w:tr w:rsidR="00881780" w:rsidRPr="00A71C8E" w14:paraId="5B7DF75E" w14:textId="77777777" w:rsidTr="006F4D8F">
        <w:trPr>
          <w:trHeight w:val="315"/>
        </w:trPr>
        <w:tc>
          <w:tcPr>
            <w:tcW w:w="1014" w:type="pct"/>
            <w:shd w:val="clear" w:color="auto" w:fill="auto"/>
            <w:noWrap/>
            <w:vAlign w:val="center"/>
            <w:hideMark/>
          </w:tcPr>
          <w:p w14:paraId="4CA2F59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łobeski</w:t>
            </w:r>
          </w:p>
        </w:tc>
        <w:tc>
          <w:tcPr>
            <w:tcW w:w="602" w:type="pct"/>
            <w:shd w:val="clear" w:color="auto" w:fill="auto"/>
            <w:noWrap/>
            <w:vAlign w:val="center"/>
            <w:hideMark/>
          </w:tcPr>
          <w:p w14:paraId="22B5AF9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2,6</w:t>
            </w:r>
          </w:p>
        </w:tc>
        <w:tc>
          <w:tcPr>
            <w:tcW w:w="677" w:type="pct"/>
            <w:shd w:val="clear" w:color="000000" w:fill="2F75B5"/>
            <w:noWrap/>
            <w:vAlign w:val="center"/>
            <w:hideMark/>
          </w:tcPr>
          <w:p w14:paraId="2F1D79F0"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23,1</w:t>
            </w:r>
          </w:p>
        </w:tc>
        <w:tc>
          <w:tcPr>
            <w:tcW w:w="677" w:type="pct"/>
            <w:shd w:val="clear" w:color="auto" w:fill="auto"/>
            <w:noWrap/>
            <w:vAlign w:val="center"/>
            <w:hideMark/>
          </w:tcPr>
          <w:p w14:paraId="18DBB65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2,3</w:t>
            </w:r>
          </w:p>
        </w:tc>
        <w:tc>
          <w:tcPr>
            <w:tcW w:w="676" w:type="pct"/>
            <w:shd w:val="clear" w:color="000000" w:fill="2F75B5"/>
            <w:noWrap/>
            <w:vAlign w:val="center"/>
            <w:hideMark/>
          </w:tcPr>
          <w:p w14:paraId="3FF0073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21,3</w:t>
            </w:r>
          </w:p>
        </w:tc>
        <w:tc>
          <w:tcPr>
            <w:tcW w:w="677" w:type="pct"/>
            <w:shd w:val="clear" w:color="auto" w:fill="auto"/>
            <w:noWrap/>
            <w:vAlign w:val="center"/>
            <w:hideMark/>
          </w:tcPr>
          <w:p w14:paraId="7652C03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2,2</w:t>
            </w:r>
          </w:p>
        </w:tc>
        <w:tc>
          <w:tcPr>
            <w:tcW w:w="677" w:type="pct"/>
            <w:shd w:val="clear" w:color="000000" w:fill="2F75B5"/>
            <w:noWrap/>
            <w:vAlign w:val="center"/>
            <w:hideMark/>
          </w:tcPr>
          <w:p w14:paraId="5FA5175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19,9</w:t>
            </w:r>
          </w:p>
        </w:tc>
      </w:tr>
      <w:tr w:rsidR="00881780" w:rsidRPr="00A71C8E" w14:paraId="07B89F2A" w14:textId="77777777" w:rsidTr="006F4D8F">
        <w:trPr>
          <w:trHeight w:val="315"/>
        </w:trPr>
        <w:tc>
          <w:tcPr>
            <w:tcW w:w="1014" w:type="pct"/>
            <w:shd w:val="clear" w:color="auto" w:fill="auto"/>
            <w:noWrap/>
            <w:vAlign w:val="center"/>
            <w:hideMark/>
          </w:tcPr>
          <w:p w14:paraId="0A87ADE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m. Koszalin</w:t>
            </w:r>
          </w:p>
        </w:tc>
        <w:tc>
          <w:tcPr>
            <w:tcW w:w="602" w:type="pct"/>
            <w:shd w:val="clear" w:color="auto" w:fill="auto"/>
            <w:noWrap/>
            <w:vAlign w:val="center"/>
            <w:hideMark/>
          </w:tcPr>
          <w:p w14:paraId="1227988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3,4</w:t>
            </w:r>
          </w:p>
        </w:tc>
        <w:tc>
          <w:tcPr>
            <w:tcW w:w="677" w:type="pct"/>
            <w:shd w:val="clear" w:color="000000" w:fill="C9DDF0"/>
            <w:noWrap/>
            <w:vAlign w:val="center"/>
            <w:hideMark/>
          </w:tcPr>
          <w:p w14:paraId="1413B842"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6,9</w:t>
            </w:r>
          </w:p>
        </w:tc>
        <w:tc>
          <w:tcPr>
            <w:tcW w:w="677" w:type="pct"/>
            <w:shd w:val="clear" w:color="auto" w:fill="auto"/>
            <w:noWrap/>
            <w:vAlign w:val="center"/>
            <w:hideMark/>
          </w:tcPr>
          <w:p w14:paraId="5390727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2,7</w:t>
            </w:r>
          </w:p>
        </w:tc>
        <w:tc>
          <w:tcPr>
            <w:tcW w:w="676" w:type="pct"/>
            <w:shd w:val="clear" w:color="000000" w:fill="C9DEF0"/>
            <w:noWrap/>
            <w:vAlign w:val="center"/>
            <w:hideMark/>
          </w:tcPr>
          <w:p w14:paraId="678381A3"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5,3</w:t>
            </w:r>
          </w:p>
        </w:tc>
        <w:tc>
          <w:tcPr>
            <w:tcW w:w="677" w:type="pct"/>
            <w:shd w:val="clear" w:color="auto" w:fill="auto"/>
            <w:noWrap/>
            <w:vAlign w:val="center"/>
            <w:hideMark/>
          </w:tcPr>
          <w:p w14:paraId="3B113E94"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c>
          <w:tcPr>
            <w:tcW w:w="677" w:type="pct"/>
            <w:shd w:val="clear" w:color="000000" w:fill="C4DBEE"/>
            <w:noWrap/>
            <w:vAlign w:val="center"/>
            <w:hideMark/>
          </w:tcPr>
          <w:p w14:paraId="1F9A90F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5,0</w:t>
            </w:r>
          </w:p>
        </w:tc>
      </w:tr>
      <w:tr w:rsidR="00881780" w:rsidRPr="00A71C8E" w14:paraId="57C246AF" w14:textId="77777777" w:rsidTr="006F4D8F">
        <w:trPr>
          <w:trHeight w:val="315"/>
        </w:trPr>
        <w:tc>
          <w:tcPr>
            <w:tcW w:w="1014" w:type="pct"/>
            <w:shd w:val="clear" w:color="auto" w:fill="auto"/>
            <w:noWrap/>
            <w:vAlign w:val="center"/>
            <w:hideMark/>
          </w:tcPr>
          <w:p w14:paraId="50BEC7A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m. Szczecin</w:t>
            </w:r>
          </w:p>
        </w:tc>
        <w:tc>
          <w:tcPr>
            <w:tcW w:w="602" w:type="pct"/>
            <w:shd w:val="clear" w:color="auto" w:fill="auto"/>
            <w:noWrap/>
            <w:vAlign w:val="center"/>
            <w:hideMark/>
          </w:tcPr>
          <w:p w14:paraId="41FE30C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8,1</w:t>
            </w:r>
          </w:p>
        </w:tc>
        <w:tc>
          <w:tcPr>
            <w:tcW w:w="677" w:type="pct"/>
            <w:shd w:val="clear" w:color="000000" w:fill="DDEBF7"/>
            <w:noWrap/>
            <w:vAlign w:val="center"/>
            <w:hideMark/>
          </w:tcPr>
          <w:p w14:paraId="4FA122D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4,7</w:t>
            </w:r>
          </w:p>
        </w:tc>
        <w:tc>
          <w:tcPr>
            <w:tcW w:w="677" w:type="pct"/>
            <w:shd w:val="clear" w:color="auto" w:fill="auto"/>
            <w:noWrap/>
            <w:vAlign w:val="center"/>
            <w:hideMark/>
          </w:tcPr>
          <w:p w14:paraId="73C2A44A"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5,5</w:t>
            </w:r>
          </w:p>
        </w:tc>
        <w:tc>
          <w:tcPr>
            <w:tcW w:w="676" w:type="pct"/>
            <w:shd w:val="clear" w:color="000000" w:fill="DDEBF7"/>
            <w:noWrap/>
            <w:vAlign w:val="center"/>
            <w:hideMark/>
          </w:tcPr>
          <w:p w14:paraId="0D25935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3,2</w:t>
            </w:r>
          </w:p>
        </w:tc>
        <w:tc>
          <w:tcPr>
            <w:tcW w:w="677" w:type="pct"/>
            <w:shd w:val="clear" w:color="auto" w:fill="auto"/>
            <w:noWrap/>
            <w:vAlign w:val="center"/>
            <w:hideMark/>
          </w:tcPr>
          <w:p w14:paraId="759205CF"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4,6</w:t>
            </w:r>
          </w:p>
        </w:tc>
        <w:tc>
          <w:tcPr>
            <w:tcW w:w="677" w:type="pct"/>
            <w:shd w:val="clear" w:color="000000" w:fill="DDEBF7"/>
            <w:noWrap/>
            <w:vAlign w:val="center"/>
            <w:hideMark/>
          </w:tcPr>
          <w:p w14:paraId="7DF5BF8C"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2,5</w:t>
            </w:r>
          </w:p>
        </w:tc>
      </w:tr>
      <w:tr w:rsidR="00881780" w:rsidRPr="00A71C8E" w14:paraId="5C0D087C" w14:textId="77777777" w:rsidTr="006F4D8F">
        <w:trPr>
          <w:trHeight w:val="315"/>
        </w:trPr>
        <w:tc>
          <w:tcPr>
            <w:tcW w:w="1014" w:type="pct"/>
            <w:shd w:val="clear" w:color="auto" w:fill="auto"/>
            <w:noWrap/>
            <w:vAlign w:val="center"/>
            <w:hideMark/>
          </w:tcPr>
          <w:p w14:paraId="531E85E8"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m. Świnoujście</w:t>
            </w:r>
          </w:p>
        </w:tc>
        <w:tc>
          <w:tcPr>
            <w:tcW w:w="602" w:type="pct"/>
            <w:shd w:val="clear" w:color="auto" w:fill="auto"/>
            <w:noWrap/>
            <w:vAlign w:val="center"/>
            <w:hideMark/>
          </w:tcPr>
          <w:p w14:paraId="5504096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0,8</w:t>
            </w:r>
          </w:p>
        </w:tc>
        <w:tc>
          <w:tcPr>
            <w:tcW w:w="677" w:type="pct"/>
            <w:shd w:val="clear" w:color="000000" w:fill="D5E6F4"/>
            <w:noWrap/>
            <w:vAlign w:val="center"/>
            <w:hideMark/>
          </w:tcPr>
          <w:p w14:paraId="16EA3C8B"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5,6</w:t>
            </w:r>
          </w:p>
        </w:tc>
        <w:tc>
          <w:tcPr>
            <w:tcW w:w="677" w:type="pct"/>
            <w:shd w:val="clear" w:color="auto" w:fill="auto"/>
            <w:noWrap/>
            <w:vAlign w:val="center"/>
            <w:hideMark/>
          </w:tcPr>
          <w:p w14:paraId="33215ED6"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0,7</w:t>
            </w:r>
          </w:p>
        </w:tc>
        <w:tc>
          <w:tcPr>
            <w:tcW w:w="676" w:type="pct"/>
            <w:shd w:val="clear" w:color="000000" w:fill="CBDFF1"/>
            <w:noWrap/>
            <w:vAlign w:val="center"/>
            <w:hideMark/>
          </w:tcPr>
          <w:p w14:paraId="22401661"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5,1</w:t>
            </w:r>
          </w:p>
        </w:tc>
        <w:tc>
          <w:tcPr>
            <w:tcW w:w="677" w:type="pct"/>
            <w:shd w:val="clear" w:color="auto" w:fill="auto"/>
            <w:noWrap/>
            <w:vAlign w:val="center"/>
            <w:hideMark/>
          </w:tcPr>
          <w:p w14:paraId="0FA74A87"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0,6</w:t>
            </w:r>
          </w:p>
        </w:tc>
        <w:tc>
          <w:tcPr>
            <w:tcW w:w="677" w:type="pct"/>
            <w:shd w:val="clear" w:color="000000" w:fill="CCE0F1"/>
            <w:noWrap/>
            <w:vAlign w:val="center"/>
            <w:hideMark/>
          </w:tcPr>
          <w:p w14:paraId="1FE2D4DE" w14:textId="77777777" w:rsidR="00881780" w:rsidRPr="00A71C8E" w:rsidRDefault="00881780" w:rsidP="006F4D8F">
            <w:pPr>
              <w:spacing w:before="0" w:after="0" w:line="240" w:lineRule="auto"/>
              <w:jc w:val="left"/>
              <w:rPr>
                <w:rFonts w:cs="Arial"/>
                <w:sz w:val="18"/>
                <w:szCs w:val="18"/>
              </w:rPr>
            </w:pPr>
            <w:r w:rsidRPr="00A71C8E">
              <w:rPr>
                <w:rFonts w:cs="Arial"/>
                <w:sz w:val="18"/>
                <w:szCs w:val="18"/>
              </w:rPr>
              <w:t>4,2</w:t>
            </w:r>
          </w:p>
        </w:tc>
      </w:tr>
    </w:tbl>
    <w:p w14:paraId="7B0B73F4" w14:textId="77777777"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p>
    <w:p w14:paraId="016C61F6" w14:textId="77777777" w:rsidR="00881780" w:rsidRDefault="00881780" w:rsidP="00881780">
      <w:pPr>
        <w:autoSpaceDE w:val="0"/>
        <w:autoSpaceDN w:val="0"/>
        <w:adjustRightInd w:val="0"/>
        <w:spacing w:line="276" w:lineRule="auto"/>
        <w:rPr>
          <w:rFonts w:cs="Arial"/>
          <w:bCs/>
          <w:szCs w:val="20"/>
        </w:rPr>
      </w:pPr>
      <w:r>
        <w:rPr>
          <w:rFonts w:cs="Arial"/>
          <w:bCs/>
          <w:szCs w:val="20"/>
        </w:rPr>
        <w:t>W okresie wdrażania Programu wraz</w:t>
      </w:r>
      <w:r w:rsidR="00E66B89">
        <w:rPr>
          <w:rFonts w:cs="Arial"/>
          <w:bCs/>
          <w:szCs w:val="20"/>
        </w:rPr>
        <w:t xml:space="preserve"> z </w:t>
      </w:r>
      <w:r>
        <w:rPr>
          <w:rFonts w:cs="Arial"/>
          <w:bCs/>
          <w:szCs w:val="20"/>
        </w:rPr>
        <w:t>malejącą populacją zarejestrowanych bezrobotnych obserwujemy spadek liczby bezrobotnych pozostających</w:t>
      </w:r>
      <w:r w:rsidR="00E66B89">
        <w:rPr>
          <w:rFonts w:cs="Arial"/>
          <w:bCs/>
          <w:szCs w:val="20"/>
        </w:rPr>
        <w:t xml:space="preserve"> w </w:t>
      </w:r>
      <w:r>
        <w:rPr>
          <w:rFonts w:cs="Arial"/>
          <w:bCs/>
          <w:szCs w:val="20"/>
        </w:rPr>
        <w:t>sytuacji szczególnej na rynku pracy – aż</w:t>
      </w:r>
      <w:r w:rsidR="00E66B89">
        <w:rPr>
          <w:rFonts w:cs="Arial"/>
          <w:bCs/>
          <w:szCs w:val="20"/>
        </w:rPr>
        <w:t xml:space="preserve"> o </w:t>
      </w:r>
      <w:r>
        <w:rPr>
          <w:rFonts w:cs="Arial"/>
          <w:bCs/>
          <w:szCs w:val="20"/>
        </w:rPr>
        <w:t>63,1% / 65 521 osób (ze 103 850</w:t>
      </w:r>
      <w:r w:rsidR="00E66B89">
        <w:rPr>
          <w:rFonts w:cs="Arial"/>
          <w:bCs/>
          <w:szCs w:val="20"/>
        </w:rPr>
        <w:t xml:space="preserve"> w </w:t>
      </w:r>
      <w:r>
        <w:rPr>
          <w:rFonts w:cs="Arial"/>
          <w:bCs/>
          <w:szCs w:val="20"/>
        </w:rPr>
        <w:t>2012 roku do 38 329</w:t>
      </w:r>
      <w:r w:rsidR="00E66B89">
        <w:rPr>
          <w:rFonts w:cs="Arial"/>
          <w:bCs/>
          <w:szCs w:val="20"/>
        </w:rPr>
        <w:t xml:space="preserve"> w </w:t>
      </w:r>
      <w:r>
        <w:rPr>
          <w:rFonts w:cs="Arial"/>
          <w:bCs/>
          <w:szCs w:val="20"/>
        </w:rPr>
        <w:t>2018 r.);</w:t>
      </w:r>
      <w:r w:rsidR="00E66B89">
        <w:rPr>
          <w:rFonts w:cs="Arial"/>
          <w:bCs/>
          <w:szCs w:val="20"/>
        </w:rPr>
        <w:t xml:space="preserve"> w </w:t>
      </w:r>
      <w:r>
        <w:rPr>
          <w:rFonts w:cs="Arial"/>
          <w:bCs/>
          <w:szCs w:val="20"/>
        </w:rPr>
        <w:t>stosunku do 2014 roku –</w:t>
      </w:r>
      <w:r w:rsidR="00E66B89">
        <w:rPr>
          <w:rFonts w:cs="Arial"/>
          <w:bCs/>
          <w:szCs w:val="20"/>
        </w:rPr>
        <w:t xml:space="preserve"> o </w:t>
      </w:r>
      <w:r>
        <w:rPr>
          <w:rFonts w:cs="Arial"/>
          <w:bCs/>
          <w:szCs w:val="20"/>
        </w:rPr>
        <w:t>52,9% / 42 972 osób. Co istotne,</w:t>
      </w:r>
      <w:r w:rsidR="00E66B89">
        <w:rPr>
          <w:rFonts w:cs="Arial"/>
          <w:bCs/>
          <w:szCs w:val="20"/>
        </w:rPr>
        <w:t xml:space="preserve"> w </w:t>
      </w:r>
      <w:r>
        <w:rPr>
          <w:rFonts w:cs="Arial"/>
          <w:bCs/>
          <w:szCs w:val="20"/>
        </w:rPr>
        <w:t>analizowanym okresie znacząco wzrósł jednak udział kobiet</w:t>
      </w:r>
      <w:r w:rsidR="00E66B89">
        <w:rPr>
          <w:rFonts w:cs="Arial"/>
          <w:bCs/>
          <w:szCs w:val="20"/>
        </w:rPr>
        <w:t xml:space="preserve"> w </w:t>
      </w:r>
      <w:r>
        <w:rPr>
          <w:rFonts w:cs="Arial"/>
          <w:bCs/>
          <w:szCs w:val="20"/>
        </w:rPr>
        <w:t>tej grupie –</w:t>
      </w:r>
      <w:r w:rsidR="00E66B89">
        <w:rPr>
          <w:rFonts w:cs="Arial"/>
          <w:bCs/>
          <w:szCs w:val="20"/>
        </w:rPr>
        <w:t xml:space="preserve"> o </w:t>
      </w:r>
      <w:r>
        <w:rPr>
          <w:rFonts w:cs="Arial"/>
          <w:bCs/>
          <w:szCs w:val="20"/>
        </w:rPr>
        <w:t>8,8 pp.; oznacza to, że</w:t>
      </w:r>
      <w:r w:rsidR="00E66B89">
        <w:rPr>
          <w:rFonts w:cs="Arial"/>
          <w:bCs/>
          <w:szCs w:val="20"/>
        </w:rPr>
        <w:t xml:space="preserve"> w </w:t>
      </w:r>
      <w:r>
        <w:rPr>
          <w:rFonts w:cs="Arial"/>
          <w:bCs/>
          <w:szCs w:val="20"/>
        </w:rPr>
        <w:t>regionie na sile przybrały czynniki wypychające kobiety</w:t>
      </w:r>
      <w:r w:rsidR="00E66B89">
        <w:rPr>
          <w:rFonts w:cs="Arial"/>
          <w:bCs/>
          <w:szCs w:val="20"/>
        </w:rPr>
        <w:t xml:space="preserve"> z </w:t>
      </w:r>
      <w:r>
        <w:rPr>
          <w:rFonts w:cs="Arial"/>
          <w:bCs/>
          <w:szCs w:val="20"/>
        </w:rPr>
        <w:t>rynku pracy.</w:t>
      </w:r>
    </w:p>
    <w:p w14:paraId="35F6D9D5" w14:textId="77777777" w:rsidR="00881780" w:rsidRPr="00432E11" w:rsidRDefault="00881780" w:rsidP="005A06CB">
      <w:pPr>
        <w:pStyle w:val="Legenda"/>
        <w:spacing w:after="0"/>
      </w:pPr>
      <w:bookmarkStart w:id="175" w:name="_Hlk5036846"/>
      <w:bookmarkStart w:id="176" w:name="_Toc3896840"/>
      <w:bookmarkStart w:id="177" w:name="_Toc8824197"/>
      <w:r w:rsidRPr="00432E11">
        <w:t xml:space="preserve">Tabela </w:t>
      </w:r>
      <w:r>
        <w:rPr>
          <w:noProof/>
        </w:rPr>
        <w:fldChar w:fldCharType="begin"/>
      </w:r>
      <w:r>
        <w:rPr>
          <w:noProof/>
        </w:rPr>
        <w:instrText xml:space="preserve"> SEQ Tabela \* ARABIC </w:instrText>
      </w:r>
      <w:r>
        <w:rPr>
          <w:noProof/>
        </w:rPr>
        <w:fldChar w:fldCharType="separate"/>
      </w:r>
      <w:r w:rsidR="00763345">
        <w:rPr>
          <w:noProof/>
        </w:rPr>
        <w:t>86</w:t>
      </w:r>
      <w:r>
        <w:rPr>
          <w:noProof/>
        </w:rPr>
        <w:fldChar w:fldCharType="end"/>
      </w:r>
      <w:r w:rsidRPr="00432E11">
        <w:t xml:space="preserve"> Liczba osób bezrobotnych</w:t>
      </w:r>
      <w:bookmarkEnd w:id="175"/>
      <w:r w:rsidR="00E66B89">
        <w:t xml:space="preserve"> w </w:t>
      </w:r>
      <w:r>
        <w:t xml:space="preserve">tym kobiet </w:t>
      </w:r>
      <w:r w:rsidRPr="00432E11">
        <w:t>będących</w:t>
      </w:r>
      <w:r w:rsidR="00E66B89">
        <w:t xml:space="preserve"> w </w:t>
      </w:r>
      <w:r w:rsidRPr="00432E11">
        <w:t>sytuacji szczególnej na rynku pracy</w:t>
      </w:r>
      <w:r w:rsidR="00E66B89">
        <w:t xml:space="preserve"> w </w:t>
      </w:r>
      <w:r w:rsidRPr="00432E11">
        <w:t>województwie zachodniopomorskim</w:t>
      </w:r>
      <w:bookmarkEnd w:id="176"/>
      <w:r>
        <w:t xml:space="preserve"> (stan na 31.XII)</w:t>
      </w:r>
      <w:bookmarkEnd w:id="177"/>
      <w:r w:rsidRPr="00432E11">
        <w:t xml:space="preserve"> </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7"/>
        <w:gridCol w:w="925"/>
        <w:gridCol w:w="993"/>
        <w:gridCol w:w="992"/>
        <w:gridCol w:w="1040"/>
        <w:gridCol w:w="915"/>
        <w:gridCol w:w="915"/>
        <w:gridCol w:w="740"/>
      </w:tblGrid>
      <w:tr w:rsidR="00881780" w:rsidRPr="00A71C8E" w14:paraId="22BEDD71" w14:textId="77777777" w:rsidTr="00B473DC">
        <w:trPr>
          <w:trHeight w:val="300"/>
          <w:tblHeader/>
        </w:trPr>
        <w:tc>
          <w:tcPr>
            <w:tcW w:w="8997" w:type="dxa"/>
            <w:gridSpan w:val="8"/>
            <w:shd w:val="clear" w:color="auto" w:fill="DBE5F1"/>
            <w:noWrap/>
            <w:vAlign w:val="center"/>
            <w:hideMark/>
          </w:tcPr>
          <w:p w14:paraId="5A0F9473" w14:textId="77777777" w:rsidR="00881780" w:rsidRPr="00A71C8E" w:rsidRDefault="00881780" w:rsidP="00B473DC">
            <w:pPr>
              <w:spacing w:before="0" w:after="0" w:line="240" w:lineRule="auto"/>
              <w:jc w:val="left"/>
              <w:rPr>
                <w:b/>
                <w:sz w:val="18"/>
                <w:szCs w:val="18"/>
              </w:rPr>
            </w:pPr>
            <w:r w:rsidRPr="00A71C8E">
              <w:rPr>
                <w:b/>
                <w:sz w:val="18"/>
                <w:szCs w:val="18"/>
              </w:rPr>
              <w:t>Bezrobotni zarejestrowani będący</w:t>
            </w:r>
            <w:r w:rsidR="00E66B89" w:rsidRPr="00A71C8E">
              <w:rPr>
                <w:b/>
                <w:sz w:val="18"/>
                <w:szCs w:val="18"/>
              </w:rPr>
              <w:t xml:space="preserve"> w </w:t>
            </w:r>
            <w:r w:rsidRPr="00A71C8E">
              <w:rPr>
                <w:b/>
                <w:sz w:val="18"/>
                <w:szCs w:val="18"/>
              </w:rPr>
              <w:t>szczególnej sytuacji na rynku pracy</w:t>
            </w:r>
            <w:r w:rsidR="00E66B89" w:rsidRPr="00A71C8E">
              <w:rPr>
                <w:b/>
                <w:sz w:val="18"/>
                <w:szCs w:val="18"/>
              </w:rPr>
              <w:t xml:space="preserve"> w </w:t>
            </w:r>
            <w:r w:rsidRPr="00A71C8E">
              <w:rPr>
                <w:b/>
                <w:sz w:val="18"/>
                <w:szCs w:val="18"/>
              </w:rPr>
              <w:t>woj. zachodniopomorskim</w:t>
            </w:r>
          </w:p>
        </w:tc>
      </w:tr>
      <w:tr w:rsidR="00881780" w:rsidRPr="00A71C8E" w14:paraId="28970662" w14:textId="77777777" w:rsidTr="00B473DC">
        <w:trPr>
          <w:trHeight w:val="300"/>
          <w:tblHeader/>
        </w:trPr>
        <w:tc>
          <w:tcPr>
            <w:tcW w:w="2477" w:type="dxa"/>
            <w:shd w:val="clear" w:color="auto" w:fill="auto"/>
            <w:noWrap/>
            <w:vAlign w:val="center"/>
            <w:hideMark/>
          </w:tcPr>
          <w:p w14:paraId="0F41ED7A" w14:textId="77777777" w:rsidR="00881780" w:rsidRPr="00A71C8E" w:rsidRDefault="00881780" w:rsidP="00B473DC">
            <w:pPr>
              <w:spacing w:before="0" w:line="240" w:lineRule="auto"/>
              <w:jc w:val="left"/>
              <w:rPr>
                <w:b/>
                <w:sz w:val="18"/>
                <w:szCs w:val="18"/>
              </w:rPr>
            </w:pPr>
            <w:r w:rsidRPr="00A71C8E">
              <w:rPr>
                <w:b/>
                <w:sz w:val="18"/>
                <w:szCs w:val="18"/>
              </w:rPr>
              <w:t>Rok</w:t>
            </w:r>
          </w:p>
        </w:tc>
        <w:tc>
          <w:tcPr>
            <w:tcW w:w="925" w:type="dxa"/>
            <w:shd w:val="clear" w:color="auto" w:fill="auto"/>
            <w:noWrap/>
            <w:vAlign w:val="center"/>
            <w:hideMark/>
          </w:tcPr>
          <w:p w14:paraId="6F40285A" w14:textId="77777777" w:rsidR="00881780" w:rsidRPr="00A71C8E" w:rsidRDefault="00881780" w:rsidP="00B473DC">
            <w:pPr>
              <w:spacing w:before="0" w:line="240" w:lineRule="auto"/>
              <w:jc w:val="center"/>
              <w:rPr>
                <w:b/>
                <w:sz w:val="18"/>
                <w:szCs w:val="18"/>
              </w:rPr>
            </w:pPr>
            <w:r w:rsidRPr="00A71C8E">
              <w:rPr>
                <w:b/>
                <w:sz w:val="18"/>
                <w:szCs w:val="18"/>
              </w:rPr>
              <w:t>2012</w:t>
            </w:r>
          </w:p>
        </w:tc>
        <w:tc>
          <w:tcPr>
            <w:tcW w:w="993" w:type="dxa"/>
            <w:shd w:val="clear" w:color="auto" w:fill="auto"/>
            <w:noWrap/>
            <w:vAlign w:val="center"/>
            <w:hideMark/>
          </w:tcPr>
          <w:p w14:paraId="0B58E608"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2013</w:t>
            </w:r>
          </w:p>
        </w:tc>
        <w:tc>
          <w:tcPr>
            <w:tcW w:w="992" w:type="dxa"/>
            <w:shd w:val="clear" w:color="auto" w:fill="auto"/>
            <w:noWrap/>
            <w:vAlign w:val="center"/>
            <w:hideMark/>
          </w:tcPr>
          <w:p w14:paraId="6C7D7295"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2014</w:t>
            </w:r>
          </w:p>
        </w:tc>
        <w:tc>
          <w:tcPr>
            <w:tcW w:w="1040" w:type="dxa"/>
            <w:shd w:val="clear" w:color="auto" w:fill="auto"/>
            <w:noWrap/>
            <w:vAlign w:val="center"/>
            <w:hideMark/>
          </w:tcPr>
          <w:p w14:paraId="23A1A861"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2015</w:t>
            </w:r>
          </w:p>
        </w:tc>
        <w:tc>
          <w:tcPr>
            <w:tcW w:w="915" w:type="dxa"/>
            <w:shd w:val="clear" w:color="auto" w:fill="auto"/>
            <w:noWrap/>
            <w:vAlign w:val="center"/>
            <w:hideMark/>
          </w:tcPr>
          <w:p w14:paraId="0BC55A99"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2016</w:t>
            </w:r>
          </w:p>
        </w:tc>
        <w:tc>
          <w:tcPr>
            <w:tcW w:w="915" w:type="dxa"/>
            <w:shd w:val="clear" w:color="auto" w:fill="auto"/>
            <w:noWrap/>
            <w:vAlign w:val="center"/>
            <w:hideMark/>
          </w:tcPr>
          <w:p w14:paraId="2D314C64"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2017</w:t>
            </w:r>
          </w:p>
        </w:tc>
        <w:tc>
          <w:tcPr>
            <w:tcW w:w="740" w:type="dxa"/>
            <w:shd w:val="clear" w:color="auto" w:fill="auto"/>
            <w:noWrap/>
            <w:vAlign w:val="center"/>
            <w:hideMark/>
          </w:tcPr>
          <w:p w14:paraId="574C63A1" w14:textId="77777777" w:rsidR="00881780" w:rsidRPr="00A71C8E" w:rsidRDefault="00881780" w:rsidP="00B473DC">
            <w:pPr>
              <w:spacing w:before="0" w:line="240" w:lineRule="auto"/>
              <w:jc w:val="center"/>
              <w:rPr>
                <w:b/>
                <w:color w:val="000000"/>
                <w:sz w:val="18"/>
                <w:szCs w:val="18"/>
              </w:rPr>
            </w:pPr>
            <w:r w:rsidRPr="00A71C8E">
              <w:rPr>
                <w:b/>
                <w:color w:val="000000"/>
                <w:sz w:val="18"/>
                <w:szCs w:val="18"/>
              </w:rPr>
              <w:t>2018</w:t>
            </w:r>
          </w:p>
        </w:tc>
      </w:tr>
      <w:tr w:rsidR="00881780" w:rsidRPr="00A71C8E" w14:paraId="1047CC7D" w14:textId="77777777" w:rsidTr="00B473DC">
        <w:trPr>
          <w:trHeight w:val="300"/>
        </w:trPr>
        <w:tc>
          <w:tcPr>
            <w:tcW w:w="2477" w:type="dxa"/>
            <w:shd w:val="clear" w:color="auto" w:fill="auto"/>
            <w:noWrap/>
            <w:vAlign w:val="center"/>
            <w:hideMark/>
          </w:tcPr>
          <w:p w14:paraId="44DCB0D9" w14:textId="77777777" w:rsidR="00881780" w:rsidRPr="00A71C8E" w:rsidRDefault="00881780" w:rsidP="00B473DC">
            <w:pPr>
              <w:spacing w:before="0" w:line="240" w:lineRule="auto"/>
              <w:jc w:val="left"/>
              <w:rPr>
                <w:color w:val="000000"/>
                <w:sz w:val="18"/>
                <w:szCs w:val="18"/>
              </w:rPr>
            </w:pPr>
            <w:r w:rsidRPr="00A71C8E">
              <w:rPr>
                <w:color w:val="000000"/>
                <w:sz w:val="18"/>
                <w:szCs w:val="18"/>
              </w:rPr>
              <w:t>Ogółem (w tys.)</w:t>
            </w:r>
          </w:p>
        </w:tc>
        <w:tc>
          <w:tcPr>
            <w:tcW w:w="925" w:type="dxa"/>
            <w:shd w:val="clear" w:color="auto" w:fill="auto"/>
            <w:noWrap/>
            <w:vAlign w:val="center"/>
            <w:hideMark/>
          </w:tcPr>
          <w:p w14:paraId="6179471A" w14:textId="77777777" w:rsidR="00881780" w:rsidRPr="00A71C8E" w:rsidRDefault="00881780" w:rsidP="00B473DC">
            <w:pPr>
              <w:spacing w:before="0" w:line="240" w:lineRule="auto"/>
              <w:jc w:val="center"/>
              <w:rPr>
                <w:sz w:val="18"/>
                <w:szCs w:val="18"/>
              </w:rPr>
            </w:pPr>
            <w:r w:rsidRPr="00A71C8E">
              <w:rPr>
                <w:sz w:val="18"/>
                <w:szCs w:val="18"/>
              </w:rPr>
              <w:t>103 850</w:t>
            </w:r>
          </w:p>
        </w:tc>
        <w:tc>
          <w:tcPr>
            <w:tcW w:w="993" w:type="dxa"/>
            <w:shd w:val="clear" w:color="auto" w:fill="auto"/>
            <w:noWrap/>
            <w:vAlign w:val="center"/>
            <w:hideMark/>
          </w:tcPr>
          <w:p w14:paraId="04A99B39" w14:textId="77777777" w:rsidR="00881780" w:rsidRPr="00A71C8E" w:rsidRDefault="00881780" w:rsidP="00B473DC">
            <w:pPr>
              <w:spacing w:before="0" w:line="240" w:lineRule="auto"/>
              <w:jc w:val="center"/>
              <w:rPr>
                <w:sz w:val="18"/>
                <w:szCs w:val="18"/>
              </w:rPr>
            </w:pPr>
            <w:r w:rsidRPr="00A71C8E">
              <w:rPr>
                <w:sz w:val="18"/>
                <w:szCs w:val="18"/>
              </w:rPr>
              <w:t>103 137</w:t>
            </w:r>
          </w:p>
        </w:tc>
        <w:tc>
          <w:tcPr>
            <w:tcW w:w="992" w:type="dxa"/>
            <w:shd w:val="clear" w:color="auto" w:fill="auto"/>
            <w:noWrap/>
            <w:vAlign w:val="center"/>
            <w:hideMark/>
          </w:tcPr>
          <w:p w14:paraId="79B486F6" w14:textId="77777777" w:rsidR="00881780" w:rsidRPr="00A71C8E" w:rsidRDefault="00881780" w:rsidP="00B473DC">
            <w:pPr>
              <w:spacing w:before="0" w:line="240" w:lineRule="auto"/>
              <w:jc w:val="center"/>
              <w:rPr>
                <w:sz w:val="18"/>
                <w:szCs w:val="18"/>
              </w:rPr>
            </w:pPr>
            <w:r w:rsidRPr="00A71C8E">
              <w:rPr>
                <w:sz w:val="18"/>
                <w:szCs w:val="18"/>
              </w:rPr>
              <w:t>81 301</w:t>
            </w:r>
          </w:p>
        </w:tc>
        <w:tc>
          <w:tcPr>
            <w:tcW w:w="1040" w:type="dxa"/>
            <w:shd w:val="clear" w:color="auto" w:fill="auto"/>
            <w:noWrap/>
            <w:vAlign w:val="center"/>
            <w:hideMark/>
          </w:tcPr>
          <w:p w14:paraId="1DAA807C" w14:textId="77777777" w:rsidR="00881780" w:rsidRPr="00A71C8E" w:rsidRDefault="00881780" w:rsidP="00B473DC">
            <w:pPr>
              <w:spacing w:before="0" w:line="240" w:lineRule="auto"/>
              <w:jc w:val="center"/>
              <w:rPr>
                <w:sz w:val="18"/>
                <w:szCs w:val="18"/>
              </w:rPr>
            </w:pPr>
            <w:r w:rsidRPr="00A71C8E">
              <w:rPr>
                <w:sz w:val="18"/>
                <w:szCs w:val="18"/>
              </w:rPr>
              <w:t>67 905</w:t>
            </w:r>
          </w:p>
        </w:tc>
        <w:tc>
          <w:tcPr>
            <w:tcW w:w="915" w:type="dxa"/>
            <w:shd w:val="clear" w:color="auto" w:fill="auto"/>
            <w:noWrap/>
            <w:vAlign w:val="center"/>
            <w:hideMark/>
          </w:tcPr>
          <w:p w14:paraId="310FC4ED" w14:textId="77777777" w:rsidR="00881780" w:rsidRPr="00A71C8E" w:rsidRDefault="00881780" w:rsidP="00B473DC">
            <w:pPr>
              <w:spacing w:before="0" w:line="240" w:lineRule="auto"/>
              <w:jc w:val="center"/>
              <w:rPr>
                <w:sz w:val="18"/>
                <w:szCs w:val="18"/>
              </w:rPr>
            </w:pPr>
            <w:r w:rsidRPr="00A71C8E">
              <w:rPr>
                <w:sz w:val="18"/>
                <w:szCs w:val="18"/>
              </w:rPr>
              <w:t>55 570</w:t>
            </w:r>
          </w:p>
        </w:tc>
        <w:tc>
          <w:tcPr>
            <w:tcW w:w="915" w:type="dxa"/>
            <w:shd w:val="clear" w:color="auto" w:fill="auto"/>
            <w:noWrap/>
            <w:vAlign w:val="center"/>
            <w:hideMark/>
          </w:tcPr>
          <w:p w14:paraId="4502948F" w14:textId="77777777" w:rsidR="00881780" w:rsidRPr="00A71C8E" w:rsidRDefault="00881780" w:rsidP="00B473DC">
            <w:pPr>
              <w:spacing w:before="0" w:line="240" w:lineRule="auto"/>
              <w:jc w:val="center"/>
              <w:rPr>
                <w:sz w:val="18"/>
                <w:szCs w:val="18"/>
              </w:rPr>
            </w:pPr>
            <w:r w:rsidRPr="00A71C8E">
              <w:rPr>
                <w:sz w:val="18"/>
                <w:szCs w:val="18"/>
              </w:rPr>
              <w:t>44 553</w:t>
            </w:r>
          </w:p>
        </w:tc>
        <w:tc>
          <w:tcPr>
            <w:tcW w:w="740" w:type="dxa"/>
            <w:shd w:val="clear" w:color="auto" w:fill="auto"/>
            <w:noWrap/>
            <w:vAlign w:val="center"/>
            <w:hideMark/>
          </w:tcPr>
          <w:p w14:paraId="0F0A1156" w14:textId="77777777" w:rsidR="00881780" w:rsidRPr="00A71C8E" w:rsidRDefault="00881780" w:rsidP="00B473DC">
            <w:pPr>
              <w:spacing w:before="0" w:line="240" w:lineRule="auto"/>
              <w:jc w:val="center"/>
              <w:rPr>
                <w:sz w:val="18"/>
                <w:szCs w:val="18"/>
              </w:rPr>
            </w:pPr>
            <w:r w:rsidRPr="00A71C8E">
              <w:rPr>
                <w:sz w:val="18"/>
                <w:szCs w:val="18"/>
              </w:rPr>
              <w:t>38 329</w:t>
            </w:r>
          </w:p>
        </w:tc>
      </w:tr>
      <w:tr w:rsidR="00881780" w:rsidRPr="00A71C8E" w14:paraId="2DC2E13B" w14:textId="77777777" w:rsidTr="00B473DC">
        <w:trPr>
          <w:trHeight w:val="362"/>
        </w:trPr>
        <w:tc>
          <w:tcPr>
            <w:tcW w:w="3402" w:type="dxa"/>
            <w:gridSpan w:val="2"/>
            <w:shd w:val="clear" w:color="auto" w:fill="auto"/>
            <w:noWrap/>
            <w:vAlign w:val="center"/>
          </w:tcPr>
          <w:p w14:paraId="2D7C8C63" w14:textId="77777777" w:rsidR="00881780" w:rsidRPr="00A71C8E" w:rsidRDefault="00881780" w:rsidP="00B473DC">
            <w:pPr>
              <w:spacing w:before="0" w:line="240" w:lineRule="auto"/>
              <w:jc w:val="left"/>
              <w:rPr>
                <w:color w:val="000000"/>
                <w:sz w:val="18"/>
                <w:szCs w:val="18"/>
              </w:rPr>
            </w:pPr>
            <w:r w:rsidRPr="00A71C8E">
              <w:rPr>
                <w:color w:val="000000"/>
                <w:sz w:val="18"/>
                <w:szCs w:val="18"/>
              </w:rPr>
              <w:t>Spadek rok do roku (w tys.)</w:t>
            </w:r>
          </w:p>
        </w:tc>
        <w:tc>
          <w:tcPr>
            <w:tcW w:w="993" w:type="dxa"/>
            <w:shd w:val="clear" w:color="auto" w:fill="auto"/>
            <w:noWrap/>
            <w:vAlign w:val="center"/>
          </w:tcPr>
          <w:p w14:paraId="1E22758D" w14:textId="77777777" w:rsidR="00881780" w:rsidRPr="00A71C8E" w:rsidRDefault="00881780" w:rsidP="00B473DC">
            <w:pPr>
              <w:spacing w:before="0" w:line="240" w:lineRule="auto"/>
              <w:jc w:val="center"/>
              <w:rPr>
                <w:sz w:val="18"/>
                <w:szCs w:val="18"/>
              </w:rPr>
            </w:pPr>
            <w:r w:rsidRPr="00A71C8E">
              <w:rPr>
                <w:sz w:val="18"/>
                <w:szCs w:val="18"/>
              </w:rPr>
              <w:t>-713</w:t>
            </w:r>
          </w:p>
        </w:tc>
        <w:tc>
          <w:tcPr>
            <w:tcW w:w="992" w:type="dxa"/>
            <w:shd w:val="clear" w:color="auto" w:fill="auto"/>
            <w:noWrap/>
            <w:vAlign w:val="center"/>
          </w:tcPr>
          <w:p w14:paraId="2B0475EB" w14:textId="77777777" w:rsidR="00881780" w:rsidRPr="00A71C8E" w:rsidRDefault="00881780" w:rsidP="00B473DC">
            <w:pPr>
              <w:spacing w:before="0" w:line="240" w:lineRule="auto"/>
              <w:jc w:val="center"/>
              <w:rPr>
                <w:sz w:val="18"/>
                <w:szCs w:val="18"/>
              </w:rPr>
            </w:pPr>
            <w:r w:rsidRPr="00A71C8E">
              <w:rPr>
                <w:sz w:val="18"/>
                <w:szCs w:val="18"/>
              </w:rPr>
              <w:t>-21 836</w:t>
            </w:r>
          </w:p>
        </w:tc>
        <w:tc>
          <w:tcPr>
            <w:tcW w:w="1040" w:type="dxa"/>
            <w:shd w:val="clear" w:color="auto" w:fill="auto"/>
            <w:noWrap/>
            <w:vAlign w:val="center"/>
          </w:tcPr>
          <w:p w14:paraId="652C8E16" w14:textId="77777777" w:rsidR="00881780" w:rsidRPr="00A71C8E" w:rsidRDefault="00881780" w:rsidP="00B473DC">
            <w:pPr>
              <w:spacing w:before="0" w:line="240" w:lineRule="auto"/>
              <w:jc w:val="center"/>
              <w:rPr>
                <w:sz w:val="18"/>
                <w:szCs w:val="18"/>
              </w:rPr>
            </w:pPr>
            <w:r w:rsidRPr="00A71C8E">
              <w:rPr>
                <w:sz w:val="18"/>
                <w:szCs w:val="18"/>
              </w:rPr>
              <w:t>-13 396</w:t>
            </w:r>
          </w:p>
        </w:tc>
        <w:tc>
          <w:tcPr>
            <w:tcW w:w="915" w:type="dxa"/>
            <w:shd w:val="clear" w:color="auto" w:fill="auto"/>
            <w:noWrap/>
            <w:vAlign w:val="center"/>
          </w:tcPr>
          <w:p w14:paraId="7953DA66" w14:textId="77777777" w:rsidR="00881780" w:rsidRPr="00A71C8E" w:rsidRDefault="00881780" w:rsidP="00B473DC">
            <w:pPr>
              <w:spacing w:before="0" w:line="240" w:lineRule="auto"/>
              <w:jc w:val="center"/>
              <w:rPr>
                <w:sz w:val="18"/>
                <w:szCs w:val="18"/>
              </w:rPr>
            </w:pPr>
            <w:r w:rsidRPr="00A71C8E">
              <w:rPr>
                <w:sz w:val="18"/>
                <w:szCs w:val="18"/>
              </w:rPr>
              <w:t>-12 335</w:t>
            </w:r>
          </w:p>
        </w:tc>
        <w:tc>
          <w:tcPr>
            <w:tcW w:w="915" w:type="dxa"/>
            <w:shd w:val="clear" w:color="auto" w:fill="auto"/>
            <w:noWrap/>
            <w:vAlign w:val="center"/>
          </w:tcPr>
          <w:p w14:paraId="20EE774A" w14:textId="77777777" w:rsidR="00881780" w:rsidRPr="00A71C8E" w:rsidRDefault="00881780" w:rsidP="00B473DC">
            <w:pPr>
              <w:spacing w:before="0" w:line="240" w:lineRule="auto"/>
              <w:jc w:val="center"/>
              <w:rPr>
                <w:sz w:val="18"/>
                <w:szCs w:val="18"/>
              </w:rPr>
            </w:pPr>
            <w:r w:rsidRPr="00A71C8E">
              <w:rPr>
                <w:sz w:val="18"/>
                <w:szCs w:val="18"/>
              </w:rPr>
              <w:t>-11 017</w:t>
            </w:r>
          </w:p>
        </w:tc>
        <w:tc>
          <w:tcPr>
            <w:tcW w:w="740" w:type="dxa"/>
            <w:shd w:val="clear" w:color="auto" w:fill="auto"/>
            <w:noWrap/>
            <w:vAlign w:val="center"/>
          </w:tcPr>
          <w:p w14:paraId="77630BA6" w14:textId="77777777" w:rsidR="00881780" w:rsidRPr="00A71C8E" w:rsidRDefault="00881780" w:rsidP="00B473DC">
            <w:pPr>
              <w:spacing w:before="0" w:line="240" w:lineRule="auto"/>
              <w:jc w:val="center"/>
              <w:rPr>
                <w:sz w:val="18"/>
                <w:szCs w:val="18"/>
              </w:rPr>
            </w:pPr>
            <w:r w:rsidRPr="00A71C8E">
              <w:rPr>
                <w:sz w:val="18"/>
                <w:szCs w:val="18"/>
              </w:rPr>
              <w:t>-6 224</w:t>
            </w:r>
          </w:p>
        </w:tc>
      </w:tr>
      <w:tr w:rsidR="00881780" w:rsidRPr="00A71C8E" w14:paraId="5289D1AF" w14:textId="77777777" w:rsidTr="00B473DC">
        <w:trPr>
          <w:trHeight w:val="300"/>
        </w:trPr>
        <w:tc>
          <w:tcPr>
            <w:tcW w:w="2477" w:type="dxa"/>
            <w:shd w:val="clear" w:color="auto" w:fill="auto"/>
            <w:noWrap/>
            <w:vAlign w:val="center"/>
            <w:hideMark/>
          </w:tcPr>
          <w:p w14:paraId="28476D13" w14:textId="77777777" w:rsidR="00881780" w:rsidRPr="00A71C8E" w:rsidRDefault="00881780" w:rsidP="00B473DC">
            <w:pPr>
              <w:spacing w:before="0" w:line="240" w:lineRule="auto"/>
              <w:jc w:val="left"/>
              <w:rPr>
                <w:color w:val="000000"/>
                <w:sz w:val="18"/>
                <w:szCs w:val="18"/>
              </w:rPr>
            </w:pPr>
            <w:r w:rsidRPr="00A71C8E">
              <w:rPr>
                <w:color w:val="000000"/>
                <w:sz w:val="18"/>
                <w:szCs w:val="18"/>
              </w:rPr>
              <w:t>Kobiety będące</w:t>
            </w:r>
            <w:r w:rsidR="00E66B89" w:rsidRPr="00A71C8E">
              <w:rPr>
                <w:color w:val="000000"/>
                <w:sz w:val="18"/>
                <w:szCs w:val="18"/>
              </w:rPr>
              <w:t xml:space="preserve"> w </w:t>
            </w:r>
            <w:r w:rsidRPr="00A71C8E">
              <w:rPr>
                <w:color w:val="000000"/>
                <w:sz w:val="18"/>
                <w:szCs w:val="18"/>
              </w:rPr>
              <w:t>sytuacji szczególnej na rynku pracy (w tys.)</w:t>
            </w:r>
          </w:p>
        </w:tc>
        <w:tc>
          <w:tcPr>
            <w:tcW w:w="925" w:type="dxa"/>
            <w:shd w:val="clear" w:color="auto" w:fill="auto"/>
            <w:noWrap/>
            <w:vAlign w:val="center"/>
            <w:hideMark/>
          </w:tcPr>
          <w:p w14:paraId="5730472B" w14:textId="77777777" w:rsidR="00881780" w:rsidRPr="00A71C8E" w:rsidRDefault="00881780" w:rsidP="00B473DC">
            <w:pPr>
              <w:spacing w:before="0" w:line="240" w:lineRule="auto"/>
              <w:jc w:val="center"/>
              <w:rPr>
                <w:sz w:val="18"/>
                <w:szCs w:val="18"/>
              </w:rPr>
            </w:pPr>
            <w:r w:rsidRPr="00A71C8E">
              <w:rPr>
                <w:sz w:val="18"/>
                <w:szCs w:val="18"/>
              </w:rPr>
              <w:t>53 689</w:t>
            </w:r>
          </w:p>
        </w:tc>
        <w:tc>
          <w:tcPr>
            <w:tcW w:w="993" w:type="dxa"/>
            <w:shd w:val="clear" w:color="auto" w:fill="auto"/>
            <w:noWrap/>
            <w:vAlign w:val="center"/>
            <w:hideMark/>
          </w:tcPr>
          <w:p w14:paraId="72273195" w14:textId="77777777" w:rsidR="00881780" w:rsidRPr="00A71C8E" w:rsidRDefault="00881780" w:rsidP="00B473DC">
            <w:pPr>
              <w:spacing w:before="0" w:line="240" w:lineRule="auto"/>
              <w:jc w:val="center"/>
              <w:rPr>
                <w:sz w:val="18"/>
                <w:szCs w:val="18"/>
              </w:rPr>
            </w:pPr>
            <w:r w:rsidRPr="00A71C8E">
              <w:rPr>
                <w:sz w:val="18"/>
                <w:szCs w:val="18"/>
              </w:rPr>
              <w:t>53 282</w:t>
            </w:r>
          </w:p>
        </w:tc>
        <w:tc>
          <w:tcPr>
            <w:tcW w:w="992" w:type="dxa"/>
            <w:shd w:val="clear" w:color="auto" w:fill="auto"/>
            <w:noWrap/>
            <w:vAlign w:val="center"/>
            <w:hideMark/>
          </w:tcPr>
          <w:p w14:paraId="64A60FB9" w14:textId="77777777" w:rsidR="00881780" w:rsidRPr="00A71C8E" w:rsidRDefault="00881780" w:rsidP="00B473DC">
            <w:pPr>
              <w:spacing w:before="0" w:line="240" w:lineRule="auto"/>
              <w:jc w:val="center"/>
              <w:rPr>
                <w:sz w:val="18"/>
                <w:szCs w:val="18"/>
              </w:rPr>
            </w:pPr>
            <w:r w:rsidRPr="00A71C8E">
              <w:rPr>
                <w:sz w:val="18"/>
                <w:szCs w:val="18"/>
              </w:rPr>
              <w:t>43 551</w:t>
            </w:r>
          </w:p>
        </w:tc>
        <w:tc>
          <w:tcPr>
            <w:tcW w:w="1040" w:type="dxa"/>
            <w:shd w:val="clear" w:color="auto" w:fill="auto"/>
            <w:noWrap/>
            <w:vAlign w:val="center"/>
            <w:hideMark/>
          </w:tcPr>
          <w:p w14:paraId="51B609F1" w14:textId="77777777" w:rsidR="00881780" w:rsidRPr="00A71C8E" w:rsidRDefault="00881780" w:rsidP="00B473DC">
            <w:pPr>
              <w:spacing w:before="0" w:line="240" w:lineRule="auto"/>
              <w:jc w:val="center"/>
              <w:rPr>
                <w:sz w:val="18"/>
                <w:szCs w:val="18"/>
              </w:rPr>
            </w:pPr>
            <w:r w:rsidRPr="00A71C8E">
              <w:rPr>
                <w:sz w:val="18"/>
                <w:szCs w:val="18"/>
              </w:rPr>
              <w:t>37 302</w:t>
            </w:r>
          </w:p>
        </w:tc>
        <w:tc>
          <w:tcPr>
            <w:tcW w:w="915" w:type="dxa"/>
            <w:shd w:val="clear" w:color="auto" w:fill="auto"/>
            <w:noWrap/>
            <w:vAlign w:val="center"/>
            <w:hideMark/>
          </w:tcPr>
          <w:p w14:paraId="4FA8454E" w14:textId="77777777" w:rsidR="00881780" w:rsidRPr="00A71C8E" w:rsidRDefault="00881780" w:rsidP="00B473DC">
            <w:pPr>
              <w:spacing w:before="0" w:line="240" w:lineRule="auto"/>
              <w:jc w:val="center"/>
              <w:rPr>
                <w:sz w:val="18"/>
                <w:szCs w:val="18"/>
              </w:rPr>
            </w:pPr>
            <w:r w:rsidRPr="00A71C8E">
              <w:rPr>
                <w:sz w:val="18"/>
                <w:szCs w:val="18"/>
              </w:rPr>
              <w:t>31 444</w:t>
            </w:r>
          </w:p>
        </w:tc>
        <w:tc>
          <w:tcPr>
            <w:tcW w:w="915" w:type="dxa"/>
            <w:shd w:val="clear" w:color="auto" w:fill="auto"/>
            <w:noWrap/>
            <w:vAlign w:val="center"/>
            <w:hideMark/>
          </w:tcPr>
          <w:p w14:paraId="0577AA9D" w14:textId="77777777" w:rsidR="00881780" w:rsidRPr="00A71C8E" w:rsidRDefault="00881780" w:rsidP="00B473DC">
            <w:pPr>
              <w:spacing w:before="0" w:line="240" w:lineRule="auto"/>
              <w:jc w:val="center"/>
              <w:rPr>
                <w:sz w:val="18"/>
                <w:szCs w:val="18"/>
              </w:rPr>
            </w:pPr>
            <w:r w:rsidRPr="00A71C8E">
              <w:rPr>
                <w:sz w:val="18"/>
                <w:szCs w:val="18"/>
              </w:rPr>
              <w:t>26 465</w:t>
            </w:r>
          </w:p>
        </w:tc>
        <w:tc>
          <w:tcPr>
            <w:tcW w:w="740" w:type="dxa"/>
            <w:shd w:val="clear" w:color="auto" w:fill="auto"/>
            <w:noWrap/>
            <w:vAlign w:val="center"/>
            <w:hideMark/>
          </w:tcPr>
          <w:p w14:paraId="5AD90461" w14:textId="77777777" w:rsidR="00881780" w:rsidRPr="00A71C8E" w:rsidRDefault="00881780" w:rsidP="00B473DC">
            <w:pPr>
              <w:spacing w:before="0" w:line="240" w:lineRule="auto"/>
              <w:jc w:val="center"/>
              <w:rPr>
                <w:sz w:val="18"/>
                <w:szCs w:val="18"/>
              </w:rPr>
            </w:pPr>
            <w:r w:rsidRPr="00A71C8E">
              <w:rPr>
                <w:sz w:val="18"/>
                <w:szCs w:val="18"/>
              </w:rPr>
              <w:t>23 190</w:t>
            </w:r>
          </w:p>
        </w:tc>
      </w:tr>
      <w:tr w:rsidR="00881780" w:rsidRPr="00A71C8E" w14:paraId="44CB8E95" w14:textId="77777777" w:rsidTr="00B473DC">
        <w:trPr>
          <w:trHeight w:val="300"/>
        </w:trPr>
        <w:tc>
          <w:tcPr>
            <w:tcW w:w="2477" w:type="dxa"/>
            <w:shd w:val="clear" w:color="auto" w:fill="auto"/>
            <w:noWrap/>
            <w:vAlign w:val="center"/>
            <w:hideMark/>
          </w:tcPr>
          <w:p w14:paraId="0C3DF541" w14:textId="77777777" w:rsidR="00881780" w:rsidRPr="00A71C8E" w:rsidRDefault="00881780" w:rsidP="00B473DC">
            <w:pPr>
              <w:spacing w:before="0" w:line="240" w:lineRule="auto"/>
              <w:jc w:val="left"/>
              <w:rPr>
                <w:color w:val="000000"/>
                <w:sz w:val="18"/>
                <w:szCs w:val="18"/>
              </w:rPr>
            </w:pPr>
            <w:r w:rsidRPr="00A71C8E">
              <w:rPr>
                <w:color w:val="000000"/>
                <w:sz w:val="18"/>
                <w:szCs w:val="18"/>
              </w:rPr>
              <w:t>Udział bezrobotnych kobiet</w:t>
            </w:r>
            <w:r w:rsidR="00E66B89" w:rsidRPr="00A71C8E">
              <w:rPr>
                <w:color w:val="000000"/>
                <w:sz w:val="18"/>
                <w:szCs w:val="18"/>
              </w:rPr>
              <w:t xml:space="preserve"> w </w:t>
            </w:r>
            <w:r w:rsidRPr="00A71C8E">
              <w:rPr>
                <w:color w:val="000000"/>
                <w:sz w:val="18"/>
                <w:szCs w:val="18"/>
              </w:rPr>
              <w:t>ogólnej liczbie bezrobotnych będących</w:t>
            </w:r>
            <w:r w:rsidR="00E66B89" w:rsidRPr="00A71C8E">
              <w:rPr>
                <w:color w:val="000000"/>
                <w:sz w:val="18"/>
                <w:szCs w:val="18"/>
              </w:rPr>
              <w:t xml:space="preserve"> w </w:t>
            </w:r>
            <w:r w:rsidRPr="00A71C8E">
              <w:rPr>
                <w:color w:val="000000"/>
                <w:sz w:val="18"/>
                <w:szCs w:val="18"/>
              </w:rPr>
              <w:t>sytuacji szczególnej na rynku pracy (w %)</w:t>
            </w:r>
          </w:p>
        </w:tc>
        <w:tc>
          <w:tcPr>
            <w:tcW w:w="925" w:type="dxa"/>
            <w:shd w:val="clear" w:color="auto" w:fill="auto"/>
            <w:noWrap/>
            <w:vAlign w:val="center"/>
            <w:hideMark/>
          </w:tcPr>
          <w:p w14:paraId="3FF66773" w14:textId="77777777" w:rsidR="00881780" w:rsidRPr="00A71C8E" w:rsidRDefault="00881780" w:rsidP="00B473DC">
            <w:pPr>
              <w:spacing w:before="0" w:line="240" w:lineRule="auto"/>
              <w:jc w:val="center"/>
              <w:rPr>
                <w:sz w:val="18"/>
                <w:szCs w:val="18"/>
              </w:rPr>
            </w:pPr>
            <w:r w:rsidRPr="00A71C8E">
              <w:rPr>
                <w:sz w:val="18"/>
                <w:szCs w:val="18"/>
              </w:rPr>
              <w:t>51,7</w:t>
            </w:r>
          </w:p>
        </w:tc>
        <w:tc>
          <w:tcPr>
            <w:tcW w:w="993" w:type="dxa"/>
            <w:shd w:val="clear" w:color="auto" w:fill="auto"/>
            <w:noWrap/>
            <w:vAlign w:val="center"/>
            <w:hideMark/>
          </w:tcPr>
          <w:p w14:paraId="6AEB8064" w14:textId="77777777" w:rsidR="00881780" w:rsidRPr="00A71C8E" w:rsidRDefault="00881780" w:rsidP="00B473DC">
            <w:pPr>
              <w:spacing w:before="0" w:line="240" w:lineRule="auto"/>
              <w:jc w:val="center"/>
              <w:rPr>
                <w:sz w:val="18"/>
                <w:szCs w:val="18"/>
              </w:rPr>
            </w:pPr>
            <w:r w:rsidRPr="00A71C8E">
              <w:rPr>
                <w:sz w:val="18"/>
                <w:szCs w:val="18"/>
              </w:rPr>
              <w:t>51,7</w:t>
            </w:r>
          </w:p>
        </w:tc>
        <w:tc>
          <w:tcPr>
            <w:tcW w:w="992" w:type="dxa"/>
            <w:shd w:val="clear" w:color="auto" w:fill="auto"/>
            <w:noWrap/>
            <w:vAlign w:val="center"/>
            <w:hideMark/>
          </w:tcPr>
          <w:p w14:paraId="67A95F75" w14:textId="77777777" w:rsidR="00881780" w:rsidRPr="00A71C8E" w:rsidRDefault="00881780" w:rsidP="00B473DC">
            <w:pPr>
              <w:spacing w:before="0" w:line="240" w:lineRule="auto"/>
              <w:jc w:val="center"/>
              <w:rPr>
                <w:sz w:val="18"/>
                <w:szCs w:val="18"/>
              </w:rPr>
            </w:pPr>
            <w:r w:rsidRPr="00A71C8E">
              <w:rPr>
                <w:sz w:val="18"/>
                <w:szCs w:val="18"/>
              </w:rPr>
              <w:t>53,6</w:t>
            </w:r>
          </w:p>
        </w:tc>
        <w:tc>
          <w:tcPr>
            <w:tcW w:w="1040" w:type="dxa"/>
            <w:shd w:val="clear" w:color="auto" w:fill="auto"/>
            <w:noWrap/>
            <w:vAlign w:val="center"/>
            <w:hideMark/>
          </w:tcPr>
          <w:p w14:paraId="67BFF154" w14:textId="77777777" w:rsidR="00881780" w:rsidRPr="00A71C8E" w:rsidRDefault="00881780" w:rsidP="00B473DC">
            <w:pPr>
              <w:spacing w:before="0" w:line="240" w:lineRule="auto"/>
              <w:jc w:val="center"/>
              <w:rPr>
                <w:sz w:val="18"/>
                <w:szCs w:val="18"/>
              </w:rPr>
            </w:pPr>
            <w:r w:rsidRPr="00A71C8E">
              <w:rPr>
                <w:sz w:val="18"/>
                <w:szCs w:val="18"/>
              </w:rPr>
              <w:t>54,9</w:t>
            </w:r>
          </w:p>
        </w:tc>
        <w:tc>
          <w:tcPr>
            <w:tcW w:w="915" w:type="dxa"/>
            <w:shd w:val="clear" w:color="auto" w:fill="auto"/>
            <w:noWrap/>
            <w:vAlign w:val="center"/>
            <w:hideMark/>
          </w:tcPr>
          <w:p w14:paraId="499A1DF3" w14:textId="77777777" w:rsidR="00881780" w:rsidRPr="00A71C8E" w:rsidRDefault="00881780" w:rsidP="00B473DC">
            <w:pPr>
              <w:spacing w:before="0" w:line="240" w:lineRule="auto"/>
              <w:jc w:val="center"/>
              <w:rPr>
                <w:sz w:val="18"/>
                <w:szCs w:val="18"/>
              </w:rPr>
            </w:pPr>
            <w:r w:rsidRPr="00A71C8E">
              <w:rPr>
                <w:sz w:val="18"/>
                <w:szCs w:val="18"/>
              </w:rPr>
              <w:t>56,6</w:t>
            </w:r>
          </w:p>
        </w:tc>
        <w:tc>
          <w:tcPr>
            <w:tcW w:w="915" w:type="dxa"/>
            <w:shd w:val="clear" w:color="auto" w:fill="auto"/>
            <w:noWrap/>
            <w:vAlign w:val="center"/>
            <w:hideMark/>
          </w:tcPr>
          <w:p w14:paraId="387BC579" w14:textId="77777777" w:rsidR="00881780" w:rsidRPr="00A71C8E" w:rsidRDefault="00881780" w:rsidP="00B473DC">
            <w:pPr>
              <w:spacing w:before="0" w:line="240" w:lineRule="auto"/>
              <w:jc w:val="center"/>
              <w:rPr>
                <w:sz w:val="18"/>
                <w:szCs w:val="18"/>
              </w:rPr>
            </w:pPr>
            <w:r w:rsidRPr="00A71C8E">
              <w:rPr>
                <w:sz w:val="18"/>
                <w:szCs w:val="18"/>
              </w:rPr>
              <w:t>59,4</w:t>
            </w:r>
          </w:p>
        </w:tc>
        <w:tc>
          <w:tcPr>
            <w:tcW w:w="740" w:type="dxa"/>
            <w:shd w:val="clear" w:color="auto" w:fill="auto"/>
            <w:noWrap/>
            <w:vAlign w:val="center"/>
            <w:hideMark/>
          </w:tcPr>
          <w:p w14:paraId="7F5396C2" w14:textId="77777777" w:rsidR="00881780" w:rsidRPr="00A71C8E" w:rsidRDefault="00881780" w:rsidP="00B473DC">
            <w:pPr>
              <w:spacing w:before="0" w:line="240" w:lineRule="auto"/>
              <w:jc w:val="center"/>
              <w:rPr>
                <w:sz w:val="18"/>
                <w:szCs w:val="18"/>
              </w:rPr>
            </w:pPr>
            <w:r w:rsidRPr="00A71C8E">
              <w:rPr>
                <w:sz w:val="18"/>
                <w:szCs w:val="18"/>
              </w:rPr>
              <w:t>60,5</w:t>
            </w:r>
          </w:p>
        </w:tc>
      </w:tr>
    </w:tbl>
    <w:p w14:paraId="5029B894" w14:textId="77777777"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p>
    <w:p w14:paraId="6B9AE66C" w14:textId="77777777" w:rsidR="00881780" w:rsidRPr="00DB33F8" w:rsidRDefault="00881780" w:rsidP="00881780">
      <w:pPr>
        <w:autoSpaceDE w:val="0"/>
        <w:autoSpaceDN w:val="0"/>
        <w:adjustRightInd w:val="0"/>
        <w:spacing w:line="276" w:lineRule="auto"/>
        <w:rPr>
          <w:rFonts w:cs="Arial"/>
          <w:bCs/>
          <w:szCs w:val="20"/>
        </w:rPr>
      </w:pPr>
      <w:r>
        <w:rPr>
          <w:rFonts w:cs="Arial"/>
          <w:bCs/>
          <w:szCs w:val="20"/>
        </w:rPr>
        <w:t>Analizując strukturę zbiorowości zarejestrowanych bezrobotnych należy podkreślić, że nie uległa ona</w:t>
      </w:r>
      <w:r w:rsidRPr="007D6895">
        <w:rPr>
          <w:rFonts w:cs="Arial"/>
          <w:bCs/>
          <w:szCs w:val="20"/>
        </w:rPr>
        <w:t xml:space="preserve"> zmi</w:t>
      </w:r>
      <w:r>
        <w:rPr>
          <w:rFonts w:cs="Arial"/>
          <w:bCs/>
          <w:szCs w:val="20"/>
        </w:rPr>
        <w:t>a</w:t>
      </w:r>
      <w:r w:rsidRPr="007D6895">
        <w:rPr>
          <w:rFonts w:cs="Arial"/>
          <w:bCs/>
          <w:szCs w:val="20"/>
        </w:rPr>
        <w:t>n</w:t>
      </w:r>
      <w:r>
        <w:rPr>
          <w:rFonts w:cs="Arial"/>
          <w:bCs/>
          <w:szCs w:val="20"/>
        </w:rPr>
        <w:t>om,</w:t>
      </w:r>
      <w:r w:rsidR="00E66B89">
        <w:rPr>
          <w:rFonts w:cs="Arial"/>
          <w:bCs/>
          <w:szCs w:val="20"/>
        </w:rPr>
        <w:t xml:space="preserve"> a </w:t>
      </w:r>
      <w:r>
        <w:rPr>
          <w:rFonts w:cs="Arial"/>
          <w:bCs/>
          <w:szCs w:val="20"/>
        </w:rPr>
        <w:t>nawet bardziej wyraźnie</w:t>
      </w:r>
      <w:r w:rsidR="00E66B89">
        <w:rPr>
          <w:rFonts w:cs="Arial"/>
          <w:bCs/>
          <w:szCs w:val="20"/>
        </w:rPr>
        <w:t xml:space="preserve"> w </w:t>
      </w:r>
      <w:r>
        <w:rPr>
          <w:rFonts w:cs="Arial"/>
          <w:bCs/>
          <w:szCs w:val="20"/>
        </w:rPr>
        <w:t>okresie wdrażania Programu zaznaczyły się negatywne tendencje związane</w:t>
      </w:r>
      <w:r w:rsidR="00E66B89">
        <w:rPr>
          <w:rFonts w:cs="Arial"/>
          <w:bCs/>
          <w:szCs w:val="20"/>
        </w:rPr>
        <w:t xml:space="preserve"> z </w:t>
      </w:r>
      <w:r>
        <w:rPr>
          <w:rFonts w:cs="Arial"/>
          <w:bCs/>
          <w:szCs w:val="20"/>
        </w:rPr>
        <w:t>udziałem poszczególnych grup osób (kategorii bezrobotnych)</w:t>
      </w:r>
      <w:r w:rsidR="00E66B89">
        <w:rPr>
          <w:rFonts w:cs="Arial"/>
          <w:bCs/>
          <w:szCs w:val="20"/>
        </w:rPr>
        <w:t xml:space="preserve"> w </w:t>
      </w:r>
      <w:r>
        <w:rPr>
          <w:rFonts w:cs="Arial"/>
          <w:bCs/>
          <w:szCs w:val="20"/>
        </w:rPr>
        <w:t>ogóle zarejestrowanych bezrobotnych. Poza wspomnianą już dominacją kobiet</w:t>
      </w:r>
      <w:r w:rsidR="00E66B89">
        <w:rPr>
          <w:rFonts w:cs="Arial"/>
          <w:bCs/>
          <w:szCs w:val="20"/>
        </w:rPr>
        <w:t xml:space="preserve"> w </w:t>
      </w:r>
      <w:r>
        <w:rPr>
          <w:rFonts w:cs="Arial"/>
          <w:bCs/>
          <w:szCs w:val="20"/>
        </w:rPr>
        <w:t xml:space="preserve">populacji bezrobotnych </w:t>
      </w:r>
      <w:r w:rsidRPr="007D6895">
        <w:rPr>
          <w:rFonts w:cs="Arial"/>
          <w:bCs/>
          <w:szCs w:val="20"/>
        </w:rPr>
        <w:t>(</w:t>
      </w:r>
      <w:r>
        <w:rPr>
          <w:rFonts w:cs="Arial"/>
          <w:bCs/>
          <w:szCs w:val="20"/>
        </w:rPr>
        <w:t xml:space="preserve">rosnącym </w:t>
      </w:r>
      <w:r w:rsidRPr="007D6895">
        <w:rPr>
          <w:rFonts w:cs="Arial"/>
          <w:bCs/>
          <w:szCs w:val="20"/>
        </w:rPr>
        <w:t>procentowy</w:t>
      </w:r>
      <w:r>
        <w:rPr>
          <w:rFonts w:cs="Arial"/>
          <w:bCs/>
          <w:szCs w:val="20"/>
        </w:rPr>
        <w:t>m</w:t>
      </w:r>
      <w:r w:rsidRPr="007D6895">
        <w:rPr>
          <w:rFonts w:cs="Arial"/>
          <w:bCs/>
          <w:szCs w:val="20"/>
        </w:rPr>
        <w:t xml:space="preserve"> udział</w:t>
      </w:r>
      <w:r>
        <w:rPr>
          <w:rFonts w:cs="Arial"/>
          <w:bCs/>
          <w:szCs w:val="20"/>
        </w:rPr>
        <w:t>em</w:t>
      </w:r>
      <w:r w:rsidRPr="007D6895">
        <w:rPr>
          <w:rFonts w:cs="Arial"/>
          <w:bCs/>
          <w:szCs w:val="20"/>
        </w:rPr>
        <w:t xml:space="preserve"> kobiet</w:t>
      </w:r>
      <w:r w:rsidR="00E66B89">
        <w:rPr>
          <w:rFonts w:cs="Arial"/>
          <w:bCs/>
          <w:szCs w:val="20"/>
        </w:rPr>
        <w:t xml:space="preserve"> w </w:t>
      </w:r>
      <w:r>
        <w:rPr>
          <w:rFonts w:cs="Arial"/>
          <w:bCs/>
          <w:szCs w:val="20"/>
        </w:rPr>
        <w:t>tej grupie</w:t>
      </w:r>
      <w:r w:rsidRPr="007D6895">
        <w:rPr>
          <w:rFonts w:cs="Arial"/>
          <w:bCs/>
          <w:szCs w:val="20"/>
        </w:rPr>
        <w:t>)</w:t>
      </w:r>
      <w:r>
        <w:rPr>
          <w:rFonts w:cs="Arial"/>
          <w:bCs/>
          <w:szCs w:val="20"/>
        </w:rPr>
        <w:t xml:space="preserve"> istotną zbiorowość</w:t>
      </w:r>
      <w:r w:rsidR="00E66B89">
        <w:rPr>
          <w:rFonts w:cs="Arial"/>
          <w:bCs/>
          <w:szCs w:val="20"/>
        </w:rPr>
        <w:t xml:space="preserve"> w </w:t>
      </w:r>
      <w:r>
        <w:rPr>
          <w:rFonts w:cs="Arial"/>
          <w:bCs/>
          <w:szCs w:val="20"/>
        </w:rPr>
        <w:t>ogóle bezrobotnych stanowią</w:t>
      </w:r>
      <w:r w:rsidRPr="007D6895">
        <w:rPr>
          <w:rFonts w:cs="Arial"/>
          <w:bCs/>
          <w:szCs w:val="20"/>
        </w:rPr>
        <w:t xml:space="preserve"> </w:t>
      </w:r>
      <w:r w:rsidRPr="00DB33F8">
        <w:rPr>
          <w:rFonts w:cs="Arial"/>
          <w:bCs/>
          <w:szCs w:val="20"/>
        </w:rPr>
        <w:t>osoby długotrwale bezrobotne,</w:t>
      </w:r>
      <w:r w:rsidRPr="00DB33F8" w:rsidDel="00BF0C08">
        <w:rPr>
          <w:rFonts w:cs="Arial"/>
          <w:bCs/>
          <w:szCs w:val="20"/>
        </w:rPr>
        <w:t xml:space="preserve"> </w:t>
      </w:r>
      <w:r w:rsidRPr="00DB33F8">
        <w:rPr>
          <w:rFonts w:cs="Arial"/>
          <w:bCs/>
          <w:szCs w:val="20"/>
        </w:rPr>
        <w:t>osoby po 50. roku życia, osoby</w:t>
      </w:r>
      <w:r w:rsidR="00E66B89">
        <w:rPr>
          <w:rFonts w:cs="Arial"/>
          <w:bCs/>
          <w:szCs w:val="20"/>
        </w:rPr>
        <w:t xml:space="preserve"> o </w:t>
      </w:r>
      <w:r w:rsidRPr="00DB33F8">
        <w:rPr>
          <w:rFonts w:cs="Arial"/>
          <w:bCs/>
          <w:szCs w:val="20"/>
        </w:rPr>
        <w:t>niskich kwalifikacjach.</w:t>
      </w:r>
    </w:p>
    <w:p w14:paraId="3086A337" w14:textId="77777777" w:rsidR="00881780" w:rsidRDefault="00881780" w:rsidP="00881780">
      <w:pPr>
        <w:autoSpaceDE w:val="0"/>
        <w:autoSpaceDN w:val="0"/>
        <w:adjustRightInd w:val="0"/>
        <w:spacing w:line="276" w:lineRule="auto"/>
        <w:rPr>
          <w:rFonts w:cs="Arial"/>
          <w:bCs/>
          <w:szCs w:val="20"/>
        </w:rPr>
      </w:pPr>
      <w:r>
        <w:rPr>
          <w:rFonts w:cs="Arial"/>
          <w:bCs/>
          <w:szCs w:val="20"/>
        </w:rPr>
        <w:t>W stosunku do roku 2012</w:t>
      </w:r>
      <w:r w:rsidR="00E66B89">
        <w:rPr>
          <w:rFonts w:cs="Arial"/>
          <w:bCs/>
          <w:szCs w:val="20"/>
        </w:rPr>
        <w:t xml:space="preserve"> w </w:t>
      </w:r>
      <w:r>
        <w:rPr>
          <w:rFonts w:cs="Arial"/>
          <w:bCs/>
          <w:szCs w:val="20"/>
        </w:rPr>
        <w:t xml:space="preserve">roku 2017 stopa </w:t>
      </w:r>
      <w:r w:rsidRPr="00DB33F8">
        <w:rPr>
          <w:rFonts w:cs="Arial"/>
          <w:bCs/>
          <w:szCs w:val="20"/>
        </w:rPr>
        <w:t>bezrobocia długotrwałego</w:t>
      </w:r>
      <w:r w:rsidR="00E66B89">
        <w:rPr>
          <w:rFonts w:cs="Arial"/>
          <w:bCs/>
          <w:szCs w:val="20"/>
        </w:rPr>
        <w:t xml:space="preserve"> w </w:t>
      </w:r>
      <w:r>
        <w:rPr>
          <w:rFonts w:cs="Arial"/>
          <w:bCs/>
          <w:szCs w:val="20"/>
        </w:rPr>
        <w:t>regionie zmniejszyła się</w:t>
      </w:r>
      <w:r w:rsidR="00E66B89">
        <w:rPr>
          <w:rFonts w:cs="Arial"/>
          <w:bCs/>
          <w:szCs w:val="20"/>
        </w:rPr>
        <w:t xml:space="preserve"> o </w:t>
      </w:r>
      <w:r>
        <w:rPr>
          <w:rFonts w:cs="Arial"/>
          <w:bCs/>
          <w:szCs w:val="20"/>
        </w:rPr>
        <w:t>15,47 pp.,</w:t>
      </w:r>
      <w:r w:rsidR="00E66B89">
        <w:rPr>
          <w:rFonts w:cs="Arial"/>
          <w:bCs/>
          <w:szCs w:val="20"/>
        </w:rPr>
        <w:t xml:space="preserve"> w </w:t>
      </w:r>
      <w:r>
        <w:rPr>
          <w:rFonts w:cs="Arial"/>
          <w:bCs/>
          <w:szCs w:val="20"/>
        </w:rPr>
        <w:t>2017 roku pozostawała jednak wyższa niż wynik dla Polski.</w:t>
      </w:r>
      <w:r w:rsidR="00E66B89">
        <w:rPr>
          <w:rFonts w:cs="Arial"/>
          <w:bCs/>
          <w:szCs w:val="20"/>
        </w:rPr>
        <w:t xml:space="preserve"> Z </w:t>
      </w:r>
      <w:r>
        <w:rPr>
          <w:rFonts w:cs="Arial"/>
          <w:bCs/>
          <w:szCs w:val="20"/>
        </w:rPr>
        <w:t>kolei i</w:t>
      </w:r>
      <w:r w:rsidRPr="008314E1">
        <w:rPr>
          <w:rFonts w:cs="Arial"/>
          <w:bCs/>
          <w:szCs w:val="20"/>
        </w:rPr>
        <w:t>dentyfikowany</w:t>
      </w:r>
      <w:r w:rsidR="00E66B89">
        <w:rPr>
          <w:rFonts w:cs="Arial"/>
          <w:bCs/>
          <w:szCs w:val="20"/>
        </w:rPr>
        <w:t xml:space="preserve"> w </w:t>
      </w:r>
      <w:r w:rsidRPr="008314E1">
        <w:rPr>
          <w:rFonts w:cs="Arial"/>
          <w:bCs/>
          <w:szCs w:val="20"/>
        </w:rPr>
        <w:t xml:space="preserve">województwie na etapie </w:t>
      </w:r>
      <w:r>
        <w:rPr>
          <w:rFonts w:cs="Arial"/>
          <w:bCs/>
          <w:szCs w:val="20"/>
        </w:rPr>
        <w:t>przygotowania Programu</w:t>
      </w:r>
      <w:r w:rsidRPr="008314E1">
        <w:rPr>
          <w:rFonts w:cs="Arial"/>
          <w:bCs/>
          <w:szCs w:val="20"/>
        </w:rPr>
        <w:t xml:space="preserve"> problem wysokiego</w:t>
      </w:r>
      <w:r w:rsidR="00E66B89">
        <w:rPr>
          <w:rFonts w:cs="Arial"/>
          <w:bCs/>
          <w:szCs w:val="20"/>
        </w:rPr>
        <w:t xml:space="preserve"> i </w:t>
      </w:r>
      <w:r w:rsidRPr="008314E1">
        <w:rPr>
          <w:rFonts w:cs="Arial"/>
          <w:bCs/>
          <w:szCs w:val="20"/>
        </w:rPr>
        <w:t>wzrastającego odsetka osób długotrwale bezrobotnych</w:t>
      </w:r>
      <w:r w:rsidR="00E66B89">
        <w:rPr>
          <w:rFonts w:cs="Arial"/>
          <w:bCs/>
          <w:szCs w:val="20"/>
        </w:rPr>
        <w:t xml:space="preserve"> w </w:t>
      </w:r>
      <w:r w:rsidRPr="008314E1">
        <w:rPr>
          <w:rFonts w:cs="Arial"/>
          <w:bCs/>
          <w:szCs w:val="20"/>
        </w:rPr>
        <w:t>ogóle zarejestrowanych bezrobotnych (mimo niewielkich fluktuacji obserwowanych</w:t>
      </w:r>
      <w:r w:rsidR="00E66B89">
        <w:rPr>
          <w:rFonts w:cs="Arial"/>
          <w:bCs/>
          <w:szCs w:val="20"/>
        </w:rPr>
        <w:t xml:space="preserve"> w </w:t>
      </w:r>
      <w:r w:rsidRPr="008314E1">
        <w:rPr>
          <w:rFonts w:cs="Arial"/>
          <w:bCs/>
          <w:szCs w:val="20"/>
        </w:rPr>
        <w:t>analizowanym okresie) pozostaje nadal aktualny.</w:t>
      </w:r>
      <w:r>
        <w:rPr>
          <w:rFonts w:cs="Arial"/>
          <w:bCs/>
          <w:szCs w:val="20"/>
        </w:rPr>
        <w:t xml:space="preserve"> </w:t>
      </w:r>
      <w:r w:rsidRPr="005A0B7C">
        <w:rPr>
          <w:rFonts w:cs="Arial"/>
          <w:b/>
          <w:bCs/>
          <w:szCs w:val="20"/>
        </w:rPr>
        <w:t>REKOMENDACJA: Ze względu na utrzymującą się</w:t>
      </w:r>
      <w:r w:rsidR="00E66B89">
        <w:rPr>
          <w:rFonts w:cs="Arial"/>
          <w:b/>
          <w:bCs/>
          <w:szCs w:val="20"/>
        </w:rPr>
        <w:t xml:space="preserve"> w </w:t>
      </w:r>
      <w:r w:rsidRPr="005A0B7C">
        <w:rPr>
          <w:rFonts w:cs="Arial"/>
          <w:b/>
          <w:bCs/>
          <w:szCs w:val="20"/>
        </w:rPr>
        <w:t>czasie wzrostową tendencję odsetka długotrwale bezrobotnych kontynuacji wymagają działania służące wsparciu tej grupy osób. Ze względu na czas, pozostawania bez pracy</w:t>
      </w:r>
      <w:r w:rsidR="00E66B89">
        <w:rPr>
          <w:rFonts w:cs="Arial"/>
          <w:b/>
          <w:bCs/>
          <w:szCs w:val="20"/>
        </w:rPr>
        <w:t xml:space="preserve"> i </w:t>
      </w:r>
      <w:r w:rsidRPr="005A0B7C">
        <w:rPr>
          <w:rFonts w:cs="Arial"/>
          <w:b/>
          <w:bCs/>
          <w:szCs w:val="20"/>
        </w:rPr>
        <w:t>stopień oddalenia od rynku pracy, istotne wydaje się podejmowanie interwencji nakierowanych zarówno na: (1) rozpoznanie barier utrudniających tej grupie osób (re)start na rynku pracy</w:t>
      </w:r>
      <w:r w:rsidR="00E66B89">
        <w:rPr>
          <w:rFonts w:cs="Arial"/>
          <w:b/>
          <w:bCs/>
          <w:szCs w:val="20"/>
        </w:rPr>
        <w:t xml:space="preserve"> i </w:t>
      </w:r>
      <w:r w:rsidRPr="005A0B7C">
        <w:rPr>
          <w:rFonts w:cs="Arial"/>
          <w:b/>
          <w:bCs/>
          <w:szCs w:val="20"/>
        </w:rPr>
        <w:t>podjęcie zatrudnienia; jak również – (2) niwelowanie rozpoznanych barier (w tym pomoc</w:t>
      </w:r>
      <w:r w:rsidR="00E66B89">
        <w:rPr>
          <w:rFonts w:cs="Arial"/>
          <w:b/>
          <w:bCs/>
          <w:szCs w:val="20"/>
        </w:rPr>
        <w:t xml:space="preserve"> w </w:t>
      </w:r>
      <w:r w:rsidRPr="005A0B7C">
        <w:rPr>
          <w:rFonts w:cs="Arial"/>
          <w:b/>
          <w:bCs/>
          <w:szCs w:val="20"/>
        </w:rPr>
        <w:t xml:space="preserve">przygotowaniu </w:t>
      </w:r>
      <w:r w:rsidRPr="005A0B7C">
        <w:rPr>
          <w:rFonts w:cs="Arial"/>
          <w:b/>
          <w:bCs/>
          <w:szCs w:val="20"/>
        </w:rPr>
        <w:lastRenderedPageBreak/>
        <w:t>indywidu</w:t>
      </w:r>
      <w:r w:rsidR="00B473DC">
        <w:rPr>
          <w:rFonts w:cs="Arial"/>
          <w:b/>
          <w:bCs/>
          <w:szCs w:val="20"/>
        </w:rPr>
        <w:t>a</w:t>
      </w:r>
      <w:r w:rsidRPr="005A0B7C">
        <w:rPr>
          <w:rFonts w:cs="Arial"/>
          <w:b/>
          <w:bCs/>
          <w:szCs w:val="20"/>
        </w:rPr>
        <w:t>lnego planu działania). Podkreśla się znaczenie indywidualizacji</w:t>
      </w:r>
      <w:r w:rsidR="00E66B89">
        <w:rPr>
          <w:rFonts w:cs="Arial"/>
          <w:b/>
          <w:bCs/>
          <w:szCs w:val="20"/>
        </w:rPr>
        <w:t xml:space="preserve"> i </w:t>
      </w:r>
      <w:r w:rsidRPr="005A0B7C">
        <w:rPr>
          <w:rFonts w:cs="Arial"/>
          <w:b/>
          <w:bCs/>
          <w:szCs w:val="20"/>
        </w:rPr>
        <w:t xml:space="preserve">kompleksowości wsparcia osób długotrwale bezrobotnych (stosowania </w:t>
      </w:r>
      <w:r w:rsidRPr="005A0B7C">
        <w:rPr>
          <w:rFonts w:cs="Arial"/>
          <w:b/>
          <w:bCs/>
          <w:szCs w:val="20"/>
        </w:rPr>
        <w:noBreakHyphen/>
      </w:r>
      <w:r w:rsidR="00E66B89">
        <w:rPr>
          <w:rFonts w:cs="Arial"/>
          <w:b/>
          <w:bCs/>
          <w:szCs w:val="20"/>
        </w:rPr>
        <w:t xml:space="preserve"> w </w:t>
      </w:r>
      <w:r w:rsidRPr="005A0B7C">
        <w:rPr>
          <w:rFonts w:cs="Arial"/>
          <w:b/>
          <w:bCs/>
          <w:szCs w:val="20"/>
        </w:rPr>
        <w:t xml:space="preserve">zależności od diagnozowanych potrzeb </w:t>
      </w:r>
      <w:r w:rsidRPr="005A0B7C">
        <w:rPr>
          <w:rFonts w:cs="Arial"/>
          <w:b/>
          <w:bCs/>
          <w:szCs w:val="20"/>
        </w:rPr>
        <w:noBreakHyphen/>
        <w:t xml:space="preserve"> różnorodnych instrumentów</w:t>
      </w:r>
      <w:r w:rsidR="00E66B89">
        <w:rPr>
          <w:rFonts w:cs="Arial"/>
          <w:b/>
          <w:bCs/>
          <w:szCs w:val="20"/>
        </w:rPr>
        <w:t xml:space="preserve"> i </w:t>
      </w:r>
      <w:r w:rsidRPr="005A0B7C">
        <w:rPr>
          <w:rFonts w:cs="Arial"/>
          <w:b/>
          <w:bCs/>
          <w:szCs w:val="20"/>
        </w:rPr>
        <w:t>usług rynku pracy, m.in. służących aktualizacji</w:t>
      </w:r>
      <w:r w:rsidR="00E66B89">
        <w:rPr>
          <w:rFonts w:cs="Arial"/>
          <w:b/>
          <w:bCs/>
          <w:szCs w:val="20"/>
        </w:rPr>
        <w:t xml:space="preserve"> i </w:t>
      </w:r>
      <w:r w:rsidRPr="005A0B7C">
        <w:rPr>
          <w:rFonts w:cs="Arial"/>
          <w:b/>
          <w:bCs/>
          <w:szCs w:val="20"/>
        </w:rPr>
        <w:t>nabyciu nowych kwalifikacji czy zdobyciu doświadczenia zawodowego</w:t>
      </w:r>
      <w:r w:rsidR="00E66B89">
        <w:rPr>
          <w:rFonts w:cs="Arial"/>
          <w:b/>
          <w:bCs/>
          <w:szCs w:val="20"/>
        </w:rPr>
        <w:t xml:space="preserve"> w </w:t>
      </w:r>
      <w:r w:rsidRPr="005A0B7C">
        <w:rPr>
          <w:rFonts w:cs="Arial"/>
          <w:b/>
          <w:bCs/>
          <w:szCs w:val="20"/>
        </w:rPr>
        <w:t>miejscu pracy).</w:t>
      </w:r>
    </w:p>
    <w:p w14:paraId="383030B3" w14:textId="77777777" w:rsidR="00881780" w:rsidRDefault="00881780" w:rsidP="00881780">
      <w:pPr>
        <w:autoSpaceDE w:val="0"/>
        <w:autoSpaceDN w:val="0"/>
        <w:adjustRightInd w:val="0"/>
        <w:spacing w:line="276" w:lineRule="auto"/>
        <w:rPr>
          <w:rFonts w:cs="Arial"/>
          <w:bCs/>
          <w:szCs w:val="20"/>
        </w:rPr>
      </w:pPr>
      <w:r>
        <w:rPr>
          <w:rFonts w:cs="Arial"/>
          <w:bCs/>
          <w:szCs w:val="20"/>
        </w:rPr>
        <w:t>Co istotne, począwszy od 2012 roku (mimo niewielkich wahań) rośnie udział kobiet</w:t>
      </w:r>
      <w:r w:rsidR="00E66B89">
        <w:rPr>
          <w:rFonts w:cs="Arial"/>
          <w:bCs/>
          <w:szCs w:val="20"/>
        </w:rPr>
        <w:t xml:space="preserve"> w </w:t>
      </w:r>
      <w:r>
        <w:rPr>
          <w:rFonts w:cs="Arial"/>
          <w:bCs/>
          <w:szCs w:val="20"/>
        </w:rPr>
        <w:t>grupie osób długotrwale bezrobotnych (aż</w:t>
      </w:r>
      <w:r w:rsidR="00E66B89">
        <w:rPr>
          <w:rFonts w:cs="Arial"/>
          <w:bCs/>
          <w:szCs w:val="20"/>
        </w:rPr>
        <w:t xml:space="preserve"> o </w:t>
      </w:r>
      <w:r>
        <w:rPr>
          <w:rFonts w:cs="Arial"/>
          <w:bCs/>
          <w:szCs w:val="20"/>
        </w:rPr>
        <w:t>7,2 pp.</w:t>
      </w:r>
      <w:r w:rsidR="00E66B89">
        <w:rPr>
          <w:rFonts w:cs="Arial"/>
          <w:bCs/>
          <w:szCs w:val="20"/>
        </w:rPr>
        <w:t xml:space="preserve"> z </w:t>
      </w:r>
      <w:r>
        <w:rPr>
          <w:rFonts w:cs="Arial"/>
          <w:bCs/>
          <w:szCs w:val="20"/>
        </w:rPr>
        <w:t>56,8</w:t>
      </w:r>
      <w:r w:rsidR="00E66B89">
        <w:rPr>
          <w:rFonts w:cs="Arial"/>
          <w:bCs/>
          <w:szCs w:val="20"/>
        </w:rPr>
        <w:t xml:space="preserve"> w </w:t>
      </w:r>
      <w:r>
        <w:rPr>
          <w:rFonts w:cs="Arial"/>
          <w:bCs/>
          <w:szCs w:val="20"/>
        </w:rPr>
        <w:t>2012 r. do 64%</w:t>
      </w:r>
      <w:r w:rsidR="00E66B89">
        <w:rPr>
          <w:rFonts w:cs="Arial"/>
          <w:bCs/>
          <w:szCs w:val="20"/>
        </w:rPr>
        <w:t xml:space="preserve"> w </w:t>
      </w:r>
      <w:r>
        <w:rPr>
          <w:rFonts w:cs="Arial"/>
          <w:bCs/>
          <w:szCs w:val="20"/>
        </w:rPr>
        <w:t>2018 r.). Czynniki, które wypychają kobiety</w:t>
      </w:r>
      <w:r w:rsidR="00E66B89">
        <w:rPr>
          <w:rFonts w:cs="Arial"/>
          <w:bCs/>
          <w:szCs w:val="20"/>
        </w:rPr>
        <w:t xml:space="preserve"> z </w:t>
      </w:r>
      <w:r>
        <w:rPr>
          <w:rFonts w:cs="Arial"/>
          <w:bCs/>
          <w:szCs w:val="20"/>
        </w:rPr>
        <w:t>rynku pracy są na tyle znaczące, że powodują</w:t>
      </w:r>
      <w:r w:rsidR="00E66B89">
        <w:rPr>
          <w:rFonts w:cs="Arial"/>
          <w:bCs/>
          <w:szCs w:val="20"/>
        </w:rPr>
        <w:t xml:space="preserve"> w </w:t>
      </w:r>
      <w:r>
        <w:rPr>
          <w:rFonts w:cs="Arial"/>
          <w:bCs/>
          <w:szCs w:val="20"/>
        </w:rPr>
        <w:t xml:space="preserve">grupie kobiet wydłużenie okresów pozostawania bez pracy. </w:t>
      </w:r>
      <w:r w:rsidRPr="005A0B7C">
        <w:rPr>
          <w:rFonts w:cs="Arial"/>
          <w:b/>
          <w:bCs/>
          <w:szCs w:val="20"/>
        </w:rPr>
        <w:t>REKOMENDACJA: Ponieważ to kobiety dominują</w:t>
      </w:r>
      <w:r w:rsidR="00E66B89">
        <w:rPr>
          <w:rFonts w:cs="Arial"/>
          <w:b/>
          <w:bCs/>
          <w:szCs w:val="20"/>
        </w:rPr>
        <w:t xml:space="preserve"> w </w:t>
      </w:r>
      <w:r w:rsidRPr="005A0B7C">
        <w:rPr>
          <w:rFonts w:cs="Arial"/>
          <w:b/>
          <w:bCs/>
          <w:szCs w:val="20"/>
        </w:rPr>
        <w:t>zbiorowości osób bezrobotnych,</w:t>
      </w:r>
      <w:r w:rsidR="00E66B89">
        <w:rPr>
          <w:rFonts w:cs="Arial"/>
          <w:b/>
          <w:bCs/>
          <w:szCs w:val="20"/>
        </w:rPr>
        <w:t xml:space="preserve"> w </w:t>
      </w:r>
      <w:r w:rsidRPr="005A0B7C">
        <w:rPr>
          <w:rFonts w:cs="Arial"/>
          <w:b/>
          <w:bCs/>
          <w:szCs w:val="20"/>
        </w:rPr>
        <w:t>tym</w:t>
      </w:r>
      <w:r w:rsidR="00E66B89">
        <w:rPr>
          <w:rFonts w:cs="Arial"/>
          <w:b/>
          <w:bCs/>
          <w:szCs w:val="20"/>
        </w:rPr>
        <w:t xml:space="preserve"> w </w:t>
      </w:r>
      <w:r w:rsidRPr="005A0B7C">
        <w:rPr>
          <w:rFonts w:cs="Arial"/>
          <w:b/>
          <w:bCs/>
          <w:szCs w:val="20"/>
        </w:rPr>
        <w:t>grupie osób będących</w:t>
      </w:r>
      <w:r w:rsidR="00E66B89">
        <w:rPr>
          <w:rFonts w:cs="Arial"/>
          <w:b/>
          <w:bCs/>
          <w:szCs w:val="20"/>
        </w:rPr>
        <w:t xml:space="preserve"> w </w:t>
      </w:r>
      <w:r w:rsidRPr="005A0B7C">
        <w:rPr>
          <w:rFonts w:cs="Arial"/>
          <w:b/>
          <w:bCs/>
          <w:szCs w:val="20"/>
        </w:rPr>
        <w:t>sytuacji szczególnej na rynku pracy</w:t>
      </w:r>
      <w:r w:rsidR="00E66B89">
        <w:rPr>
          <w:rFonts w:cs="Arial"/>
          <w:b/>
          <w:bCs/>
          <w:szCs w:val="20"/>
        </w:rPr>
        <w:t xml:space="preserve"> i </w:t>
      </w:r>
      <w:r w:rsidRPr="005A0B7C">
        <w:rPr>
          <w:rFonts w:cs="Arial"/>
          <w:b/>
          <w:bCs/>
          <w:szCs w:val="20"/>
        </w:rPr>
        <w:t>długotrwale bezrobotnych należy rozważyć możliwość kierowania</w:t>
      </w:r>
      <w:r w:rsidR="00E66B89">
        <w:rPr>
          <w:rFonts w:cs="Arial"/>
          <w:b/>
          <w:bCs/>
          <w:szCs w:val="20"/>
        </w:rPr>
        <w:t xml:space="preserve"> w </w:t>
      </w:r>
      <w:r w:rsidRPr="005A0B7C">
        <w:rPr>
          <w:rFonts w:cs="Arial"/>
          <w:b/>
          <w:bCs/>
          <w:szCs w:val="20"/>
        </w:rPr>
        <w:t>kolejnych latach wsparcia</w:t>
      </w:r>
      <w:r w:rsidR="00E66B89">
        <w:rPr>
          <w:rFonts w:cs="Arial"/>
          <w:b/>
          <w:bCs/>
          <w:szCs w:val="20"/>
        </w:rPr>
        <w:t xml:space="preserve"> w </w:t>
      </w:r>
      <w:r w:rsidRPr="005A0B7C">
        <w:rPr>
          <w:rFonts w:cs="Arial"/>
          <w:b/>
          <w:bCs/>
          <w:szCs w:val="20"/>
        </w:rPr>
        <w:t>Programie do tej grupy osób bezrobotnych. Warto rozważyć stosowanie kryteriów premiujących projekty zakładające większy udział kobiet wśród odbiorców wsparcia. Działania dotyczące wsparcia powinny być poprzedzone pogłębioną analizą przyczyn, dla których kobiety częściej</w:t>
      </w:r>
      <w:r w:rsidR="00E66B89">
        <w:rPr>
          <w:rFonts w:cs="Arial"/>
          <w:b/>
          <w:bCs/>
          <w:szCs w:val="20"/>
        </w:rPr>
        <w:t xml:space="preserve"> i </w:t>
      </w:r>
      <w:r w:rsidRPr="005A0B7C">
        <w:rPr>
          <w:rFonts w:cs="Arial"/>
          <w:b/>
          <w:bCs/>
          <w:szCs w:val="20"/>
        </w:rPr>
        <w:t>dłużej niż mężczyźni pozostają poza regionalnym rynkiem pracy oraz analizą pozwalająca zidentyfikować adekwatne formy wsparcia do sytuacji</w:t>
      </w:r>
      <w:r w:rsidR="00E66B89">
        <w:rPr>
          <w:rFonts w:cs="Arial"/>
          <w:b/>
          <w:bCs/>
          <w:szCs w:val="20"/>
        </w:rPr>
        <w:t xml:space="preserve"> i </w:t>
      </w:r>
      <w:r w:rsidRPr="005A0B7C">
        <w:rPr>
          <w:rFonts w:cs="Arial"/>
          <w:b/>
          <w:bCs/>
          <w:szCs w:val="20"/>
        </w:rPr>
        <w:t>potrzeb kobiet</w:t>
      </w:r>
      <w:r w:rsidR="00E66B89">
        <w:rPr>
          <w:rFonts w:cs="Arial"/>
          <w:b/>
          <w:bCs/>
          <w:szCs w:val="20"/>
        </w:rPr>
        <w:t xml:space="preserve"> w </w:t>
      </w:r>
      <w:r w:rsidRPr="005A0B7C">
        <w:rPr>
          <w:rFonts w:cs="Arial"/>
          <w:b/>
          <w:bCs/>
          <w:szCs w:val="20"/>
        </w:rPr>
        <w:t>regionie</w:t>
      </w:r>
      <w:r w:rsidRPr="00B826AA">
        <w:rPr>
          <w:rFonts w:cs="Arial"/>
          <w:bCs/>
          <w:szCs w:val="20"/>
        </w:rPr>
        <w:t>.</w:t>
      </w:r>
    </w:p>
    <w:p w14:paraId="2BC913F4" w14:textId="77777777" w:rsidR="00881780" w:rsidRPr="00137FD1" w:rsidRDefault="00881780" w:rsidP="00881780">
      <w:pPr>
        <w:autoSpaceDE w:val="0"/>
        <w:autoSpaceDN w:val="0"/>
        <w:adjustRightInd w:val="0"/>
        <w:spacing w:line="276" w:lineRule="auto"/>
        <w:rPr>
          <w:rFonts w:cs="Arial"/>
          <w:bCs/>
          <w:szCs w:val="20"/>
        </w:rPr>
      </w:pPr>
      <w:r>
        <w:rPr>
          <w:rFonts w:cs="Arial"/>
          <w:bCs/>
          <w:szCs w:val="20"/>
        </w:rPr>
        <w:t>Należy podkreślić, że m</w:t>
      </w:r>
      <w:r w:rsidRPr="004E33FB">
        <w:rPr>
          <w:rFonts w:cs="Arial"/>
          <w:bCs/>
          <w:szCs w:val="20"/>
        </w:rPr>
        <w:t>imo utrzymującego się</w:t>
      </w:r>
      <w:r w:rsidR="00E66B89">
        <w:rPr>
          <w:rFonts w:cs="Arial"/>
          <w:bCs/>
          <w:szCs w:val="20"/>
        </w:rPr>
        <w:t xml:space="preserve"> w </w:t>
      </w:r>
      <w:r w:rsidRPr="004E33FB">
        <w:rPr>
          <w:rFonts w:cs="Arial"/>
          <w:bCs/>
          <w:szCs w:val="20"/>
        </w:rPr>
        <w:t>czasie, na zbliżonym poziomie, odsetka długotrwale bezrobotnych, wraz ze spadkiem</w:t>
      </w:r>
      <w:r w:rsidR="00E66B89">
        <w:rPr>
          <w:rFonts w:cs="Arial"/>
          <w:bCs/>
          <w:szCs w:val="20"/>
        </w:rPr>
        <w:t xml:space="preserve"> w </w:t>
      </w:r>
      <w:r w:rsidRPr="004E33FB">
        <w:rPr>
          <w:rFonts w:cs="Arial"/>
          <w:bCs/>
          <w:szCs w:val="20"/>
        </w:rPr>
        <w:t xml:space="preserve">regionie liczby zarejestrowanych bezrobotnych </w:t>
      </w:r>
      <w:r>
        <w:rPr>
          <w:rFonts w:cs="Arial"/>
          <w:bCs/>
          <w:szCs w:val="20"/>
        </w:rPr>
        <w:t>zmniejsza</w:t>
      </w:r>
      <w:r w:rsidRPr="004E33FB">
        <w:rPr>
          <w:rFonts w:cs="Arial"/>
          <w:bCs/>
          <w:szCs w:val="20"/>
        </w:rPr>
        <w:t xml:space="preserve"> się również liczba osób długotrwale bezrobotnych,</w:t>
      </w:r>
      <w:r w:rsidR="00E66B89">
        <w:rPr>
          <w:rFonts w:cs="Arial"/>
          <w:bCs/>
          <w:szCs w:val="20"/>
        </w:rPr>
        <w:t xml:space="preserve"> a </w:t>
      </w:r>
      <w:r w:rsidRPr="004E33FB">
        <w:rPr>
          <w:rFonts w:cs="Arial"/>
          <w:bCs/>
          <w:szCs w:val="20"/>
        </w:rPr>
        <w:t xml:space="preserve">zatem populacja odbiorców wsparcia adresowanego do tej grupy </w:t>
      </w:r>
      <w:r>
        <w:rPr>
          <w:rFonts w:cs="Arial"/>
          <w:bCs/>
          <w:szCs w:val="20"/>
        </w:rPr>
        <w:t>(</w:t>
      </w:r>
      <w:r w:rsidRPr="004E33FB">
        <w:rPr>
          <w:rFonts w:cs="Arial"/>
          <w:bCs/>
          <w:szCs w:val="20"/>
        </w:rPr>
        <w:t xml:space="preserve">w ramach Działania </w:t>
      </w:r>
      <w:r>
        <w:rPr>
          <w:rFonts w:cs="Arial"/>
          <w:bCs/>
          <w:szCs w:val="20"/>
        </w:rPr>
        <w:t>6.5, Pi 8i).</w:t>
      </w:r>
      <w:r w:rsidRPr="004E33FB">
        <w:rPr>
          <w:rFonts w:cs="Arial"/>
          <w:bCs/>
          <w:szCs w:val="20"/>
        </w:rPr>
        <w:t xml:space="preserve"> Spadek liczby osób długotrwale bezrobotnych</w:t>
      </w:r>
      <w:r w:rsidR="00E66B89">
        <w:rPr>
          <w:rFonts w:cs="Arial"/>
          <w:bCs/>
          <w:szCs w:val="20"/>
        </w:rPr>
        <w:t xml:space="preserve"> w </w:t>
      </w:r>
      <w:r w:rsidRPr="004E33FB">
        <w:rPr>
          <w:rFonts w:cs="Arial"/>
          <w:bCs/>
          <w:szCs w:val="20"/>
        </w:rPr>
        <w:t>województwie powinien być powodem do niepokoju</w:t>
      </w:r>
      <w:r w:rsidR="00E66B89">
        <w:rPr>
          <w:rFonts w:cs="Arial"/>
          <w:bCs/>
          <w:szCs w:val="20"/>
        </w:rPr>
        <w:t xml:space="preserve"> o </w:t>
      </w:r>
      <w:r w:rsidRPr="004E33FB">
        <w:rPr>
          <w:rFonts w:cs="Arial"/>
          <w:bCs/>
          <w:szCs w:val="20"/>
        </w:rPr>
        <w:t xml:space="preserve">realizację wartości </w:t>
      </w:r>
      <w:r>
        <w:rPr>
          <w:rFonts w:cs="Arial"/>
          <w:bCs/>
          <w:szCs w:val="20"/>
        </w:rPr>
        <w:t>docelo</w:t>
      </w:r>
      <w:r w:rsidRPr="004E33FB">
        <w:rPr>
          <w:rFonts w:cs="Arial"/>
          <w:bCs/>
          <w:szCs w:val="20"/>
        </w:rPr>
        <w:t xml:space="preserve">wych (na 2023 r.) wskaźnika </w:t>
      </w:r>
      <w:r w:rsidRPr="00C07DD6">
        <w:rPr>
          <w:rFonts w:cs="Arial"/>
          <w:bCs/>
          <w:i/>
          <w:szCs w:val="20"/>
        </w:rPr>
        <w:t>Liczba osób długotrwale bezrobotnych objętych wsparciem</w:t>
      </w:r>
      <w:r w:rsidR="00E66B89">
        <w:rPr>
          <w:rFonts w:cs="Arial"/>
          <w:bCs/>
          <w:i/>
          <w:szCs w:val="20"/>
        </w:rPr>
        <w:t xml:space="preserve"> w </w:t>
      </w:r>
      <w:r w:rsidRPr="00C07DD6">
        <w:rPr>
          <w:rFonts w:cs="Arial"/>
          <w:bCs/>
          <w:i/>
          <w:szCs w:val="20"/>
        </w:rPr>
        <w:t>programie</w:t>
      </w:r>
      <w:r>
        <w:rPr>
          <w:rFonts w:cs="Arial"/>
          <w:bCs/>
          <w:i/>
          <w:szCs w:val="20"/>
        </w:rPr>
        <w:t xml:space="preserve">. </w:t>
      </w:r>
      <w:r w:rsidRPr="00137FD1">
        <w:rPr>
          <w:rFonts w:cs="Arial"/>
          <w:bCs/>
          <w:szCs w:val="20"/>
        </w:rPr>
        <w:t>Opisane obserwacje</w:t>
      </w:r>
      <w:r w:rsidR="00E66B89">
        <w:rPr>
          <w:rFonts w:cs="Arial"/>
          <w:bCs/>
          <w:szCs w:val="20"/>
        </w:rPr>
        <w:t xml:space="preserve"> i </w:t>
      </w:r>
      <w:r w:rsidRPr="00137FD1">
        <w:rPr>
          <w:rFonts w:cs="Arial"/>
          <w:bCs/>
          <w:szCs w:val="20"/>
        </w:rPr>
        <w:t xml:space="preserve">wnioski </w:t>
      </w:r>
      <w:r>
        <w:rPr>
          <w:rFonts w:cs="Arial"/>
          <w:bCs/>
          <w:szCs w:val="20"/>
        </w:rPr>
        <w:t>podzielają</w:t>
      </w:r>
      <w:r w:rsidRPr="00137FD1">
        <w:rPr>
          <w:rFonts w:cs="Arial"/>
          <w:bCs/>
          <w:szCs w:val="20"/>
        </w:rPr>
        <w:t xml:space="preserve"> przedstawiciel</w:t>
      </w:r>
      <w:r>
        <w:rPr>
          <w:rFonts w:cs="Arial"/>
          <w:bCs/>
          <w:szCs w:val="20"/>
        </w:rPr>
        <w:t>e</w:t>
      </w:r>
      <w:r w:rsidRPr="00137FD1">
        <w:rPr>
          <w:rFonts w:cs="Arial"/>
          <w:bCs/>
          <w:szCs w:val="20"/>
        </w:rPr>
        <w:t xml:space="preserve"> Instytucji odpowiedzialnych </w:t>
      </w:r>
      <w:r>
        <w:rPr>
          <w:rFonts w:cs="Arial"/>
          <w:bCs/>
          <w:szCs w:val="20"/>
        </w:rPr>
        <w:t xml:space="preserve">za </w:t>
      </w:r>
      <w:r w:rsidRPr="00137FD1">
        <w:rPr>
          <w:rFonts w:cs="Arial"/>
          <w:bCs/>
          <w:szCs w:val="20"/>
        </w:rPr>
        <w:t>wdrażanie interwencji</w:t>
      </w:r>
      <w:r w:rsidR="00E66B89">
        <w:rPr>
          <w:rFonts w:cs="Arial"/>
          <w:bCs/>
          <w:szCs w:val="20"/>
        </w:rPr>
        <w:t xml:space="preserve"> w </w:t>
      </w:r>
      <w:r w:rsidRPr="00137FD1">
        <w:rPr>
          <w:rFonts w:cs="Arial"/>
          <w:bCs/>
          <w:szCs w:val="20"/>
        </w:rPr>
        <w:t>obszarze rynku pracy.</w:t>
      </w:r>
    </w:p>
    <w:p w14:paraId="5C0F31B5" w14:textId="77777777" w:rsidR="00881780" w:rsidRPr="00432E11" w:rsidRDefault="00881780" w:rsidP="00754ED4">
      <w:pPr>
        <w:pStyle w:val="Legenda"/>
        <w:spacing w:after="0"/>
      </w:pPr>
      <w:bookmarkStart w:id="178" w:name="_Toc3896841"/>
      <w:bookmarkStart w:id="179" w:name="_Toc8824198"/>
      <w:bookmarkStart w:id="180" w:name="_Hlk5023017"/>
      <w:r w:rsidRPr="00432E11">
        <w:t xml:space="preserve">Tabela </w:t>
      </w:r>
      <w:r>
        <w:fldChar w:fldCharType="begin"/>
      </w:r>
      <w:r>
        <w:instrText xml:space="preserve"> SEQ Tabela \* ARABIC </w:instrText>
      </w:r>
      <w:r>
        <w:fldChar w:fldCharType="separate"/>
      </w:r>
      <w:r w:rsidR="00763345">
        <w:rPr>
          <w:noProof/>
        </w:rPr>
        <w:t>87</w:t>
      </w:r>
      <w:r>
        <w:fldChar w:fldCharType="end"/>
      </w:r>
      <w:r w:rsidRPr="00432E11">
        <w:t xml:space="preserve"> Stopa bezrobocia długotrwałego</w:t>
      </w:r>
      <w:r w:rsidR="00E66B89">
        <w:t xml:space="preserve"> w </w:t>
      </w:r>
      <w:r w:rsidRPr="00432E11">
        <w:t>województwie zachodniopomorskim</w:t>
      </w:r>
      <w:r w:rsidR="00E66B89">
        <w:t xml:space="preserve"> i w </w:t>
      </w:r>
      <w:r w:rsidRPr="00432E11">
        <w:t>porównaniu do Polski; długotrwale bezrobotni</w:t>
      </w:r>
      <w:r w:rsidR="00E66B89">
        <w:t xml:space="preserve"> w </w:t>
      </w:r>
      <w:r w:rsidRPr="00432E11">
        <w:t>ogóle zarejestrowanych bezrobotnych</w:t>
      </w:r>
      <w:bookmarkEnd w:id="178"/>
      <w:r>
        <w:t xml:space="preserve"> (31.XII)</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6"/>
        <w:gridCol w:w="991"/>
        <w:gridCol w:w="852"/>
        <w:gridCol w:w="834"/>
        <w:gridCol w:w="837"/>
        <w:gridCol w:w="837"/>
        <w:gridCol w:w="837"/>
        <w:gridCol w:w="758"/>
      </w:tblGrid>
      <w:tr w:rsidR="00881780" w:rsidRPr="00A71C8E" w14:paraId="7A28F3CE" w14:textId="77777777" w:rsidTr="006F4D8F">
        <w:trPr>
          <w:trHeight w:val="285"/>
          <w:tblHeader/>
        </w:trPr>
        <w:tc>
          <w:tcPr>
            <w:tcW w:w="5000" w:type="pct"/>
            <w:gridSpan w:val="8"/>
            <w:shd w:val="clear" w:color="auto" w:fill="auto"/>
            <w:noWrap/>
            <w:hideMark/>
          </w:tcPr>
          <w:p w14:paraId="4DF2E430"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Stopa bezrobocia długotrwałego wg BAEL - udział bezrobotnych poszukujących pracy przez okres 13 miesięcy</w:t>
            </w:r>
            <w:r w:rsidR="00E66B89" w:rsidRPr="00A71C8E">
              <w:rPr>
                <w:rFonts w:cs="Arial"/>
                <w:b/>
                <w:bCs/>
                <w:color w:val="000000"/>
                <w:sz w:val="18"/>
                <w:szCs w:val="18"/>
              </w:rPr>
              <w:t xml:space="preserve"> i </w:t>
            </w:r>
            <w:r w:rsidRPr="00A71C8E">
              <w:rPr>
                <w:rFonts w:cs="Arial"/>
                <w:b/>
                <w:bCs/>
                <w:color w:val="000000"/>
                <w:sz w:val="18"/>
                <w:szCs w:val="18"/>
              </w:rPr>
              <w:t>więcej (12 miesięcy lub dłużej wg Eurostat)</w:t>
            </w:r>
            <w:r w:rsidR="00E66B89" w:rsidRPr="00A71C8E">
              <w:rPr>
                <w:rFonts w:cs="Arial"/>
                <w:b/>
                <w:bCs/>
                <w:color w:val="000000"/>
                <w:sz w:val="18"/>
                <w:szCs w:val="18"/>
              </w:rPr>
              <w:t xml:space="preserve"> w </w:t>
            </w:r>
            <w:r w:rsidRPr="00A71C8E">
              <w:rPr>
                <w:rFonts w:cs="Arial"/>
                <w:b/>
                <w:bCs/>
                <w:color w:val="000000"/>
                <w:sz w:val="18"/>
                <w:szCs w:val="18"/>
              </w:rPr>
              <w:t>liczbie ludności aktywnej zawodowo (definicja GUS)</w:t>
            </w:r>
          </w:p>
        </w:tc>
      </w:tr>
      <w:tr w:rsidR="00881780" w:rsidRPr="00A71C8E" w14:paraId="66FFE26B" w14:textId="77777777" w:rsidTr="00B473DC">
        <w:trPr>
          <w:trHeight w:val="285"/>
          <w:tblHeader/>
        </w:trPr>
        <w:tc>
          <w:tcPr>
            <w:tcW w:w="1719" w:type="pct"/>
            <w:shd w:val="clear" w:color="auto" w:fill="auto"/>
            <w:noWrap/>
            <w:hideMark/>
          </w:tcPr>
          <w:p w14:paraId="101E1508" w14:textId="77777777" w:rsidR="00881780" w:rsidRPr="00A71C8E" w:rsidRDefault="00881780" w:rsidP="006F4D8F">
            <w:pPr>
              <w:spacing w:before="0" w:line="240" w:lineRule="auto"/>
              <w:jc w:val="left"/>
              <w:rPr>
                <w:rFonts w:cs="Arial"/>
                <w:b/>
                <w:bCs/>
                <w:color w:val="000000"/>
                <w:sz w:val="18"/>
                <w:szCs w:val="18"/>
              </w:rPr>
            </w:pPr>
            <w:r w:rsidRPr="00A71C8E">
              <w:rPr>
                <w:rFonts w:cs="Arial"/>
                <w:b/>
                <w:bCs/>
                <w:color w:val="000000"/>
                <w:sz w:val="18"/>
                <w:szCs w:val="18"/>
              </w:rPr>
              <w:t>Rok</w:t>
            </w:r>
          </w:p>
        </w:tc>
        <w:tc>
          <w:tcPr>
            <w:tcW w:w="547" w:type="pct"/>
            <w:shd w:val="clear" w:color="auto" w:fill="auto"/>
            <w:noWrap/>
            <w:vAlign w:val="center"/>
            <w:hideMark/>
          </w:tcPr>
          <w:p w14:paraId="6D199CA9"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2012</w:t>
            </w:r>
          </w:p>
        </w:tc>
        <w:tc>
          <w:tcPr>
            <w:tcW w:w="470" w:type="pct"/>
            <w:shd w:val="clear" w:color="auto" w:fill="auto"/>
            <w:noWrap/>
            <w:vAlign w:val="center"/>
            <w:hideMark/>
          </w:tcPr>
          <w:p w14:paraId="0A9BE78C"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2013</w:t>
            </w:r>
          </w:p>
        </w:tc>
        <w:tc>
          <w:tcPr>
            <w:tcW w:w="460" w:type="pct"/>
            <w:shd w:val="clear" w:color="auto" w:fill="auto"/>
            <w:noWrap/>
            <w:vAlign w:val="center"/>
            <w:hideMark/>
          </w:tcPr>
          <w:p w14:paraId="1A0EABEC"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2014</w:t>
            </w:r>
          </w:p>
        </w:tc>
        <w:tc>
          <w:tcPr>
            <w:tcW w:w="462" w:type="pct"/>
            <w:shd w:val="clear" w:color="auto" w:fill="auto"/>
            <w:noWrap/>
            <w:vAlign w:val="center"/>
            <w:hideMark/>
          </w:tcPr>
          <w:p w14:paraId="3FE629D7"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2015</w:t>
            </w:r>
          </w:p>
        </w:tc>
        <w:tc>
          <w:tcPr>
            <w:tcW w:w="462" w:type="pct"/>
            <w:shd w:val="clear" w:color="auto" w:fill="auto"/>
            <w:noWrap/>
            <w:vAlign w:val="center"/>
            <w:hideMark/>
          </w:tcPr>
          <w:p w14:paraId="7BE00447"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2016</w:t>
            </w:r>
          </w:p>
        </w:tc>
        <w:tc>
          <w:tcPr>
            <w:tcW w:w="462" w:type="pct"/>
            <w:shd w:val="clear" w:color="auto" w:fill="auto"/>
            <w:noWrap/>
            <w:vAlign w:val="center"/>
            <w:hideMark/>
          </w:tcPr>
          <w:p w14:paraId="5C111C91"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2017</w:t>
            </w:r>
          </w:p>
        </w:tc>
        <w:tc>
          <w:tcPr>
            <w:tcW w:w="419" w:type="pct"/>
            <w:shd w:val="clear" w:color="auto" w:fill="auto"/>
            <w:vAlign w:val="center"/>
          </w:tcPr>
          <w:p w14:paraId="1781BB6C" w14:textId="77777777" w:rsidR="00881780" w:rsidRPr="00A71C8E" w:rsidRDefault="00881780" w:rsidP="00B473DC">
            <w:pPr>
              <w:spacing w:before="0" w:line="240" w:lineRule="auto"/>
              <w:rPr>
                <w:rFonts w:cs="Arial"/>
                <w:b/>
                <w:bCs/>
                <w:color w:val="000000"/>
                <w:sz w:val="18"/>
                <w:szCs w:val="18"/>
              </w:rPr>
            </w:pPr>
            <w:r w:rsidRPr="00A71C8E">
              <w:rPr>
                <w:rFonts w:cs="Arial"/>
                <w:b/>
                <w:bCs/>
                <w:color w:val="000000"/>
                <w:sz w:val="18"/>
                <w:szCs w:val="18"/>
              </w:rPr>
              <w:t>2018</w:t>
            </w:r>
          </w:p>
        </w:tc>
      </w:tr>
      <w:tr w:rsidR="00881780" w:rsidRPr="00A71C8E" w14:paraId="57F67262" w14:textId="77777777" w:rsidTr="00B473DC">
        <w:trPr>
          <w:trHeight w:val="285"/>
        </w:trPr>
        <w:tc>
          <w:tcPr>
            <w:tcW w:w="1719" w:type="pct"/>
            <w:shd w:val="clear" w:color="auto" w:fill="auto"/>
            <w:vAlign w:val="center"/>
            <w:hideMark/>
          </w:tcPr>
          <w:p w14:paraId="019E07F4" w14:textId="77777777" w:rsidR="00881780" w:rsidRPr="00A71C8E" w:rsidRDefault="00881780" w:rsidP="00B473DC">
            <w:pPr>
              <w:spacing w:before="0" w:line="240" w:lineRule="auto"/>
              <w:jc w:val="left"/>
              <w:rPr>
                <w:rFonts w:cs="Arial"/>
                <w:color w:val="000000"/>
                <w:sz w:val="18"/>
                <w:szCs w:val="18"/>
              </w:rPr>
            </w:pPr>
            <w:r w:rsidRPr="00A71C8E">
              <w:rPr>
                <w:rFonts w:cs="Arial"/>
                <w:bCs/>
                <w:color w:val="000000"/>
                <w:sz w:val="18"/>
                <w:szCs w:val="18"/>
              </w:rPr>
              <w:t>Stopa bezrobocia długotrwałego / Polska (%)</w:t>
            </w:r>
          </w:p>
        </w:tc>
        <w:tc>
          <w:tcPr>
            <w:tcW w:w="547" w:type="pct"/>
            <w:shd w:val="clear" w:color="auto" w:fill="auto"/>
            <w:noWrap/>
            <w:vAlign w:val="center"/>
            <w:hideMark/>
          </w:tcPr>
          <w:p w14:paraId="26A3D064"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34,67</w:t>
            </w:r>
          </w:p>
        </w:tc>
        <w:tc>
          <w:tcPr>
            <w:tcW w:w="470" w:type="pct"/>
            <w:shd w:val="clear" w:color="auto" w:fill="auto"/>
            <w:noWrap/>
            <w:vAlign w:val="center"/>
            <w:hideMark/>
          </w:tcPr>
          <w:p w14:paraId="757E615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36,50</w:t>
            </w:r>
          </w:p>
        </w:tc>
        <w:tc>
          <w:tcPr>
            <w:tcW w:w="460" w:type="pct"/>
            <w:shd w:val="clear" w:color="auto" w:fill="auto"/>
            <w:noWrap/>
            <w:vAlign w:val="center"/>
            <w:hideMark/>
          </w:tcPr>
          <w:p w14:paraId="0C6A651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36,22</w:t>
            </w:r>
          </w:p>
        </w:tc>
        <w:tc>
          <w:tcPr>
            <w:tcW w:w="462" w:type="pct"/>
            <w:shd w:val="clear" w:color="auto" w:fill="auto"/>
            <w:noWrap/>
            <w:vAlign w:val="center"/>
            <w:hideMark/>
          </w:tcPr>
          <w:p w14:paraId="68B446D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31,98</w:t>
            </w:r>
          </w:p>
        </w:tc>
        <w:tc>
          <w:tcPr>
            <w:tcW w:w="462" w:type="pct"/>
            <w:shd w:val="clear" w:color="auto" w:fill="auto"/>
            <w:noWrap/>
            <w:vAlign w:val="center"/>
            <w:hideMark/>
          </w:tcPr>
          <w:p w14:paraId="670DB39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27,00</w:t>
            </w:r>
          </w:p>
        </w:tc>
        <w:tc>
          <w:tcPr>
            <w:tcW w:w="462" w:type="pct"/>
            <w:shd w:val="clear" w:color="auto" w:fill="auto"/>
            <w:noWrap/>
            <w:vAlign w:val="center"/>
            <w:hideMark/>
          </w:tcPr>
          <w:p w14:paraId="13B0794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23,58</w:t>
            </w:r>
          </w:p>
        </w:tc>
        <w:tc>
          <w:tcPr>
            <w:tcW w:w="419" w:type="pct"/>
            <w:shd w:val="clear" w:color="auto" w:fill="auto"/>
            <w:vAlign w:val="center"/>
          </w:tcPr>
          <w:p w14:paraId="7428B00A"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bd</w:t>
            </w:r>
          </w:p>
        </w:tc>
      </w:tr>
      <w:tr w:rsidR="00881780" w:rsidRPr="00A71C8E" w14:paraId="27665E56" w14:textId="77777777" w:rsidTr="00B473DC">
        <w:trPr>
          <w:trHeight w:val="285"/>
        </w:trPr>
        <w:tc>
          <w:tcPr>
            <w:tcW w:w="1719" w:type="pct"/>
            <w:shd w:val="clear" w:color="auto" w:fill="auto"/>
            <w:vAlign w:val="center"/>
            <w:hideMark/>
          </w:tcPr>
          <w:p w14:paraId="248EF218" w14:textId="77777777" w:rsidR="00881780" w:rsidRPr="00A71C8E" w:rsidRDefault="00881780" w:rsidP="00B473DC">
            <w:pPr>
              <w:spacing w:before="0" w:line="240" w:lineRule="auto"/>
              <w:jc w:val="left"/>
              <w:rPr>
                <w:rFonts w:cs="Arial"/>
                <w:color w:val="000000"/>
                <w:sz w:val="18"/>
                <w:szCs w:val="18"/>
              </w:rPr>
            </w:pPr>
            <w:r w:rsidRPr="00A71C8E">
              <w:rPr>
                <w:rFonts w:cs="Arial"/>
                <w:bCs/>
                <w:color w:val="000000"/>
                <w:sz w:val="18"/>
                <w:szCs w:val="18"/>
              </w:rPr>
              <w:t>Stopa bezrobocia długotrwałego</w:t>
            </w:r>
            <w:r w:rsidR="00E66B89" w:rsidRPr="00A71C8E">
              <w:rPr>
                <w:rFonts w:cs="Arial"/>
                <w:bCs/>
                <w:color w:val="000000"/>
                <w:sz w:val="18"/>
                <w:szCs w:val="18"/>
              </w:rPr>
              <w:t xml:space="preserve"> w </w:t>
            </w:r>
            <w:r w:rsidRPr="00A71C8E">
              <w:rPr>
                <w:rFonts w:cs="Arial"/>
                <w:bCs/>
                <w:color w:val="000000"/>
                <w:sz w:val="18"/>
                <w:szCs w:val="18"/>
              </w:rPr>
              <w:t>woj. zachodniopomorskim (%)</w:t>
            </w:r>
          </w:p>
        </w:tc>
        <w:tc>
          <w:tcPr>
            <w:tcW w:w="547" w:type="pct"/>
            <w:shd w:val="clear" w:color="auto" w:fill="auto"/>
            <w:noWrap/>
            <w:vAlign w:val="center"/>
            <w:hideMark/>
          </w:tcPr>
          <w:p w14:paraId="1AEA4A0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39,71</w:t>
            </w:r>
          </w:p>
        </w:tc>
        <w:tc>
          <w:tcPr>
            <w:tcW w:w="470" w:type="pct"/>
            <w:shd w:val="clear" w:color="auto" w:fill="auto"/>
            <w:noWrap/>
            <w:vAlign w:val="center"/>
            <w:hideMark/>
          </w:tcPr>
          <w:p w14:paraId="2927AB9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38,46</w:t>
            </w:r>
          </w:p>
        </w:tc>
        <w:tc>
          <w:tcPr>
            <w:tcW w:w="460" w:type="pct"/>
            <w:shd w:val="clear" w:color="auto" w:fill="auto"/>
            <w:noWrap/>
            <w:vAlign w:val="center"/>
            <w:hideMark/>
          </w:tcPr>
          <w:p w14:paraId="71EDA128"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33,96</w:t>
            </w:r>
          </w:p>
        </w:tc>
        <w:tc>
          <w:tcPr>
            <w:tcW w:w="462" w:type="pct"/>
            <w:shd w:val="clear" w:color="auto" w:fill="auto"/>
            <w:noWrap/>
            <w:vAlign w:val="center"/>
            <w:hideMark/>
          </w:tcPr>
          <w:p w14:paraId="444C604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31,11</w:t>
            </w:r>
          </w:p>
        </w:tc>
        <w:tc>
          <w:tcPr>
            <w:tcW w:w="462" w:type="pct"/>
            <w:shd w:val="clear" w:color="auto" w:fill="auto"/>
            <w:noWrap/>
            <w:vAlign w:val="center"/>
            <w:hideMark/>
          </w:tcPr>
          <w:p w14:paraId="41179C6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26,00</w:t>
            </w:r>
          </w:p>
        </w:tc>
        <w:tc>
          <w:tcPr>
            <w:tcW w:w="462" w:type="pct"/>
            <w:shd w:val="clear" w:color="auto" w:fill="auto"/>
            <w:noWrap/>
            <w:vAlign w:val="center"/>
            <w:hideMark/>
          </w:tcPr>
          <w:p w14:paraId="41D6FB5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24,24</w:t>
            </w:r>
          </w:p>
        </w:tc>
        <w:tc>
          <w:tcPr>
            <w:tcW w:w="419" w:type="pct"/>
            <w:shd w:val="clear" w:color="auto" w:fill="auto"/>
            <w:vAlign w:val="center"/>
          </w:tcPr>
          <w:p w14:paraId="6F7645F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bd</w:t>
            </w:r>
          </w:p>
        </w:tc>
      </w:tr>
      <w:tr w:rsidR="00881780" w:rsidRPr="00A71C8E" w14:paraId="45C19E44" w14:textId="77777777" w:rsidTr="00B473DC">
        <w:trPr>
          <w:trHeight w:val="300"/>
        </w:trPr>
        <w:tc>
          <w:tcPr>
            <w:tcW w:w="1719" w:type="pct"/>
            <w:shd w:val="clear" w:color="auto" w:fill="C6D9F1"/>
            <w:noWrap/>
            <w:vAlign w:val="center"/>
            <w:hideMark/>
          </w:tcPr>
          <w:p w14:paraId="1D3DC1D1" w14:textId="77777777" w:rsidR="00881780" w:rsidRPr="00A71C8E" w:rsidRDefault="00881780" w:rsidP="00B473DC">
            <w:pPr>
              <w:spacing w:before="0" w:line="240" w:lineRule="auto"/>
              <w:jc w:val="left"/>
              <w:rPr>
                <w:color w:val="000000"/>
                <w:sz w:val="18"/>
                <w:szCs w:val="18"/>
              </w:rPr>
            </w:pPr>
            <w:r w:rsidRPr="00A71C8E">
              <w:rPr>
                <w:color w:val="000000"/>
                <w:sz w:val="18"/>
                <w:szCs w:val="18"/>
              </w:rPr>
              <w:t>Długotrwale bezrobotni</w:t>
            </w:r>
            <w:r w:rsidR="00E66B89" w:rsidRPr="00A71C8E">
              <w:rPr>
                <w:color w:val="000000"/>
                <w:sz w:val="18"/>
                <w:szCs w:val="18"/>
              </w:rPr>
              <w:t xml:space="preserve"> w </w:t>
            </w:r>
            <w:r w:rsidRPr="00A71C8E">
              <w:rPr>
                <w:color w:val="000000"/>
                <w:sz w:val="18"/>
                <w:szCs w:val="18"/>
              </w:rPr>
              <w:t>woj. zachodniopomorskim (w tys.)</w:t>
            </w:r>
          </w:p>
        </w:tc>
        <w:tc>
          <w:tcPr>
            <w:tcW w:w="547" w:type="pct"/>
            <w:shd w:val="clear" w:color="auto" w:fill="C6D9F1"/>
            <w:noWrap/>
            <w:vAlign w:val="center"/>
            <w:hideMark/>
          </w:tcPr>
          <w:p w14:paraId="654127B8" w14:textId="77777777" w:rsidR="00881780" w:rsidRPr="00A71C8E" w:rsidRDefault="00881780" w:rsidP="00B473DC">
            <w:pPr>
              <w:spacing w:before="0" w:line="240" w:lineRule="auto"/>
              <w:jc w:val="center"/>
              <w:rPr>
                <w:sz w:val="18"/>
                <w:szCs w:val="18"/>
              </w:rPr>
            </w:pPr>
            <w:r w:rsidRPr="00A71C8E">
              <w:rPr>
                <w:sz w:val="18"/>
                <w:szCs w:val="18"/>
              </w:rPr>
              <w:t>57 820</w:t>
            </w:r>
          </w:p>
        </w:tc>
        <w:tc>
          <w:tcPr>
            <w:tcW w:w="470" w:type="pct"/>
            <w:shd w:val="clear" w:color="auto" w:fill="C6D9F1"/>
            <w:noWrap/>
            <w:vAlign w:val="center"/>
            <w:hideMark/>
          </w:tcPr>
          <w:p w14:paraId="0F9DB1E9" w14:textId="77777777" w:rsidR="00881780" w:rsidRPr="00A71C8E" w:rsidRDefault="00881780" w:rsidP="00B473DC">
            <w:pPr>
              <w:spacing w:before="0" w:line="240" w:lineRule="auto"/>
              <w:jc w:val="center"/>
              <w:rPr>
                <w:sz w:val="18"/>
                <w:szCs w:val="18"/>
              </w:rPr>
            </w:pPr>
            <w:r w:rsidRPr="00A71C8E">
              <w:rPr>
                <w:sz w:val="18"/>
                <w:szCs w:val="18"/>
              </w:rPr>
              <w:t>59 277</w:t>
            </w:r>
          </w:p>
        </w:tc>
        <w:tc>
          <w:tcPr>
            <w:tcW w:w="460" w:type="pct"/>
            <w:shd w:val="clear" w:color="auto" w:fill="C6D9F1"/>
            <w:noWrap/>
            <w:vAlign w:val="center"/>
            <w:hideMark/>
          </w:tcPr>
          <w:p w14:paraId="2FBEF8FC" w14:textId="77777777" w:rsidR="00881780" w:rsidRPr="00A71C8E" w:rsidRDefault="00881780" w:rsidP="00B473DC">
            <w:pPr>
              <w:spacing w:before="0" w:line="240" w:lineRule="auto"/>
              <w:jc w:val="center"/>
              <w:rPr>
                <w:sz w:val="18"/>
                <w:szCs w:val="18"/>
              </w:rPr>
            </w:pPr>
            <w:r w:rsidRPr="00A71C8E">
              <w:rPr>
                <w:sz w:val="18"/>
                <w:szCs w:val="18"/>
              </w:rPr>
              <w:t>52 845</w:t>
            </w:r>
          </w:p>
        </w:tc>
        <w:tc>
          <w:tcPr>
            <w:tcW w:w="462" w:type="pct"/>
            <w:shd w:val="clear" w:color="auto" w:fill="C6D9F1"/>
            <w:noWrap/>
            <w:vAlign w:val="center"/>
            <w:hideMark/>
          </w:tcPr>
          <w:p w14:paraId="4C629E02" w14:textId="77777777" w:rsidR="00881780" w:rsidRPr="00A71C8E" w:rsidRDefault="00881780" w:rsidP="00B473DC">
            <w:pPr>
              <w:spacing w:before="0" w:line="240" w:lineRule="auto"/>
              <w:jc w:val="center"/>
              <w:rPr>
                <w:sz w:val="18"/>
                <w:szCs w:val="18"/>
              </w:rPr>
            </w:pPr>
            <w:r w:rsidRPr="00A71C8E">
              <w:rPr>
                <w:sz w:val="18"/>
                <w:szCs w:val="18"/>
              </w:rPr>
              <w:t>43 963</w:t>
            </w:r>
          </w:p>
        </w:tc>
        <w:tc>
          <w:tcPr>
            <w:tcW w:w="462" w:type="pct"/>
            <w:shd w:val="clear" w:color="auto" w:fill="C6D9F1"/>
            <w:noWrap/>
            <w:vAlign w:val="center"/>
            <w:hideMark/>
          </w:tcPr>
          <w:p w14:paraId="7E5490FC" w14:textId="77777777" w:rsidR="00881780" w:rsidRPr="00A71C8E" w:rsidRDefault="00881780" w:rsidP="00B473DC">
            <w:pPr>
              <w:spacing w:before="0" w:line="240" w:lineRule="auto"/>
              <w:jc w:val="center"/>
              <w:rPr>
                <w:sz w:val="18"/>
                <w:szCs w:val="18"/>
              </w:rPr>
            </w:pPr>
            <w:r w:rsidRPr="00A71C8E">
              <w:rPr>
                <w:sz w:val="18"/>
                <w:szCs w:val="18"/>
              </w:rPr>
              <w:t>35 487</w:t>
            </w:r>
          </w:p>
        </w:tc>
        <w:tc>
          <w:tcPr>
            <w:tcW w:w="462" w:type="pct"/>
            <w:shd w:val="clear" w:color="auto" w:fill="C6D9F1"/>
            <w:noWrap/>
            <w:vAlign w:val="center"/>
            <w:hideMark/>
          </w:tcPr>
          <w:p w14:paraId="0D4B00B9" w14:textId="77777777" w:rsidR="00881780" w:rsidRPr="00A71C8E" w:rsidRDefault="00881780" w:rsidP="00B473DC">
            <w:pPr>
              <w:spacing w:before="0" w:line="240" w:lineRule="auto"/>
              <w:jc w:val="center"/>
              <w:rPr>
                <w:sz w:val="18"/>
                <w:szCs w:val="18"/>
              </w:rPr>
            </w:pPr>
            <w:r w:rsidRPr="00A71C8E">
              <w:rPr>
                <w:sz w:val="18"/>
                <w:szCs w:val="18"/>
              </w:rPr>
              <w:t>28 774</w:t>
            </w:r>
          </w:p>
        </w:tc>
        <w:tc>
          <w:tcPr>
            <w:tcW w:w="419" w:type="pct"/>
            <w:shd w:val="clear" w:color="auto" w:fill="C6D9F1"/>
            <w:noWrap/>
            <w:vAlign w:val="center"/>
            <w:hideMark/>
          </w:tcPr>
          <w:p w14:paraId="11675F59" w14:textId="77777777" w:rsidR="00881780" w:rsidRPr="00A71C8E" w:rsidRDefault="00881780" w:rsidP="00B473DC">
            <w:pPr>
              <w:spacing w:before="0" w:line="240" w:lineRule="auto"/>
              <w:jc w:val="center"/>
              <w:rPr>
                <w:sz w:val="18"/>
                <w:szCs w:val="18"/>
              </w:rPr>
            </w:pPr>
            <w:r w:rsidRPr="00A71C8E">
              <w:rPr>
                <w:sz w:val="18"/>
                <w:szCs w:val="18"/>
              </w:rPr>
              <w:t>23 750</w:t>
            </w:r>
          </w:p>
        </w:tc>
      </w:tr>
      <w:tr w:rsidR="00881780" w:rsidRPr="00A71C8E" w14:paraId="53D35B6D" w14:textId="77777777" w:rsidTr="00B473DC">
        <w:trPr>
          <w:trHeight w:val="300"/>
        </w:trPr>
        <w:tc>
          <w:tcPr>
            <w:tcW w:w="1719" w:type="pct"/>
            <w:shd w:val="clear" w:color="auto" w:fill="C6D9F1"/>
            <w:noWrap/>
            <w:vAlign w:val="center"/>
          </w:tcPr>
          <w:p w14:paraId="2FE174BD" w14:textId="77777777" w:rsidR="00881780" w:rsidRPr="00A71C8E" w:rsidRDefault="00881780" w:rsidP="00B473DC">
            <w:pPr>
              <w:spacing w:before="0" w:line="240" w:lineRule="auto"/>
              <w:jc w:val="left"/>
              <w:rPr>
                <w:color w:val="000000"/>
                <w:sz w:val="18"/>
                <w:szCs w:val="18"/>
              </w:rPr>
            </w:pPr>
            <w:r w:rsidRPr="00A71C8E">
              <w:rPr>
                <w:color w:val="000000"/>
                <w:sz w:val="18"/>
                <w:szCs w:val="18"/>
              </w:rPr>
              <w:t>Udział długotrwale bezrobotnych</w:t>
            </w:r>
            <w:r w:rsidR="00E66B89" w:rsidRPr="00A71C8E">
              <w:rPr>
                <w:color w:val="000000"/>
                <w:sz w:val="18"/>
                <w:szCs w:val="18"/>
              </w:rPr>
              <w:t xml:space="preserve"> w </w:t>
            </w:r>
            <w:r w:rsidRPr="00A71C8E">
              <w:rPr>
                <w:color w:val="000000"/>
                <w:sz w:val="18"/>
                <w:szCs w:val="18"/>
              </w:rPr>
              <w:t>ogólnej liczbie bezrobotnych</w:t>
            </w:r>
            <w:r w:rsidR="00E66B89" w:rsidRPr="00A71C8E">
              <w:rPr>
                <w:color w:val="000000"/>
                <w:sz w:val="18"/>
                <w:szCs w:val="18"/>
              </w:rPr>
              <w:t xml:space="preserve"> w </w:t>
            </w:r>
            <w:r w:rsidRPr="00A71C8E">
              <w:rPr>
                <w:color w:val="000000"/>
                <w:sz w:val="18"/>
                <w:szCs w:val="18"/>
              </w:rPr>
              <w:t xml:space="preserve">woj. zachodniopomorskim (%) </w:t>
            </w:r>
          </w:p>
        </w:tc>
        <w:tc>
          <w:tcPr>
            <w:tcW w:w="547" w:type="pct"/>
            <w:shd w:val="clear" w:color="auto" w:fill="C6D9F1"/>
            <w:noWrap/>
            <w:vAlign w:val="center"/>
          </w:tcPr>
          <w:p w14:paraId="77484EEC" w14:textId="77777777" w:rsidR="00881780" w:rsidRPr="00A71C8E" w:rsidRDefault="00881780" w:rsidP="00B473DC">
            <w:pPr>
              <w:spacing w:before="0" w:line="240" w:lineRule="auto"/>
              <w:jc w:val="center"/>
              <w:rPr>
                <w:sz w:val="18"/>
                <w:szCs w:val="18"/>
              </w:rPr>
            </w:pPr>
            <w:r w:rsidRPr="00A71C8E">
              <w:rPr>
                <w:sz w:val="18"/>
                <w:szCs w:val="18"/>
              </w:rPr>
              <w:t>51,4</w:t>
            </w:r>
          </w:p>
        </w:tc>
        <w:tc>
          <w:tcPr>
            <w:tcW w:w="470" w:type="pct"/>
            <w:shd w:val="clear" w:color="auto" w:fill="C6D9F1"/>
            <w:noWrap/>
            <w:vAlign w:val="center"/>
          </w:tcPr>
          <w:p w14:paraId="2C08B2E4" w14:textId="77777777" w:rsidR="00881780" w:rsidRPr="00A71C8E" w:rsidRDefault="00881780" w:rsidP="00B473DC">
            <w:pPr>
              <w:spacing w:before="0" w:line="240" w:lineRule="auto"/>
              <w:jc w:val="center"/>
              <w:rPr>
                <w:sz w:val="18"/>
                <w:szCs w:val="18"/>
              </w:rPr>
            </w:pPr>
            <w:r w:rsidRPr="00A71C8E">
              <w:rPr>
                <w:sz w:val="18"/>
                <w:szCs w:val="18"/>
              </w:rPr>
              <w:t>53,4</w:t>
            </w:r>
          </w:p>
        </w:tc>
        <w:tc>
          <w:tcPr>
            <w:tcW w:w="460" w:type="pct"/>
            <w:shd w:val="clear" w:color="auto" w:fill="C6D9F1"/>
            <w:noWrap/>
            <w:vAlign w:val="center"/>
          </w:tcPr>
          <w:p w14:paraId="64C391BE" w14:textId="77777777" w:rsidR="00881780" w:rsidRPr="00A71C8E" w:rsidRDefault="00881780" w:rsidP="00B473DC">
            <w:pPr>
              <w:spacing w:before="0" w:line="240" w:lineRule="auto"/>
              <w:jc w:val="center"/>
              <w:rPr>
                <w:sz w:val="18"/>
                <w:szCs w:val="18"/>
              </w:rPr>
            </w:pPr>
            <w:r w:rsidRPr="00A71C8E">
              <w:rPr>
                <w:sz w:val="18"/>
                <w:szCs w:val="18"/>
              </w:rPr>
              <w:t>55,9</w:t>
            </w:r>
          </w:p>
        </w:tc>
        <w:tc>
          <w:tcPr>
            <w:tcW w:w="462" w:type="pct"/>
            <w:shd w:val="clear" w:color="auto" w:fill="C6D9F1"/>
            <w:noWrap/>
            <w:vAlign w:val="center"/>
          </w:tcPr>
          <w:p w14:paraId="3DBB19B7" w14:textId="77777777" w:rsidR="00881780" w:rsidRPr="00A71C8E" w:rsidRDefault="00881780" w:rsidP="00B473DC">
            <w:pPr>
              <w:spacing w:before="0" w:line="240" w:lineRule="auto"/>
              <w:jc w:val="center"/>
              <w:rPr>
                <w:sz w:val="18"/>
                <w:szCs w:val="18"/>
              </w:rPr>
            </w:pPr>
            <w:r w:rsidRPr="00A71C8E">
              <w:rPr>
                <w:sz w:val="18"/>
                <w:szCs w:val="18"/>
              </w:rPr>
              <w:t>55,4</w:t>
            </w:r>
          </w:p>
        </w:tc>
        <w:tc>
          <w:tcPr>
            <w:tcW w:w="462" w:type="pct"/>
            <w:shd w:val="clear" w:color="auto" w:fill="C6D9F1"/>
            <w:noWrap/>
            <w:vAlign w:val="center"/>
          </w:tcPr>
          <w:p w14:paraId="4DD64657" w14:textId="77777777" w:rsidR="00881780" w:rsidRPr="00A71C8E" w:rsidRDefault="00881780" w:rsidP="00B473DC">
            <w:pPr>
              <w:spacing w:before="0" w:line="240" w:lineRule="auto"/>
              <w:jc w:val="center"/>
              <w:rPr>
                <w:sz w:val="18"/>
                <w:szCs w:val="18"/>
              </w:rPr>
            </w:pPr>
            <w:r w:rsidRPr="00A71C8E">
              <w:rPr>
                <w:sz w:val="18"/>
                <w:szCs w:val="18"/>
              </w:rPr>
              <w:t>53,9</w:t>
            </w:r>
          </w:p>
        </w:tc>
        <w:tc>
          <w:tcPr>
            <w:tcW w:w="462" w:type="pct"/>
            <w:shd w:val="clear" w:color="auto" w:fill="C6D9F1"/>
            <w:noWrap/>
            <w:vAlign w:val="center"/>
          </w:tcPr>
          <w:p w14:paraId="30554EAC" w14:textId="77777777" w:rsidR="00881780" w:rsidRPr="00A71C8E" w:rsidRDefault="00881780" w:rsidP="00B473DC">
            <w:pPr>
              <w:spacing w:before="0" w:line="240" w:lineRule="auto"/>
              <w:jc w:val="center"/>
              <w:rPr>
                <w:sz w:val="18"/>
                <w:szCs w:val="18"/>
              </w:rPr>
            </w:pPr>
            <w:r w:rsidRPr="00A71C8E">
              <w:rPr>
                <w:sz w:val="18"/>
                <w:szCs w:val="18"/>
              </w:rPr>
              <w:t>54,7</w:t>
            </w:r>
          </w:p>
        </w:tc>
        <w:tc>
          <w:tcPr>
            <w:tcW w:w="419" w:type="pct"/>
            <w:shd w:val="clear" w:color="auto" w:fill="C6D9F1"/>
            <w:noWrap/>
            <w:vAlign w:val="center"/>
          </w:tcPr>
          <w:p w14:paraId="53B7F8DF" w14:textId="77777777" w:rsidR="00881780" w:rsidRPr="00A71C8E" w:rsidRDefault="00881780" w:rsidP="00B473DC">
            <w:pPr>
              <w:spacing w:before="0" w:line="240" w:lineRule="auto"/>
              <w:jc w:val="center"/>
              <w:rPr>
                <w:sz w:val="18"/>
                <w:szCs w:val="18"/>
              </w:rPr>
            </w:pPr>
            <w:r w:rsidRPr="00A71C8E">
              <w:rPr>
                <w:sz w:val="18"/>
                <w:szCs w:val="18"/>
              </w:rPr>
              <w:t>51,6</w:t>
            </w:r>
          </w:p>
        </w:tc>
      </w:tr>
      <w:tr w:rsidR="00881780" w:rsidRPr="00A71C8E" w14:paraId="132E4E45" w14:textId="77777777" w:rsidTr="00B473DC">
        <w:trPr>
          <w:trHeight w:val="300"/>
        </w:trPr>
        <w:tc>
          <w:tcPr>
            <w:tcW w:w="1719" w:type="pct"/>
            <w:shd w:val="clear" w:color="auto" w:fill="C6D9F1"/>
            <w:noWrap/>
            <w:vAlign w:val="center"/>
            <w:hideMark/>
          </w:tcPr>
          <w:p w14:paraId="6E674B52" w14:textId="77777777" w:rsidR="00881780" w:rsidRPr="00A71C8E" w:rsidRDefault="00881780" w:rsidP="00B473DC">
            <w:pPr>
              <w:spacing w:before="0" w:line="240" w:lineRule="auto"/>
              <w:jc w:val="left"/>
              <w:rPr>
                <w:color w:val="000000"/>
                <w:sz w:val="18"/>
                <w:szCs w:val="18"/>
              </w:rPr>
            </w:pPr>
            <w:r w:rsidRPr="00A71C8E">
              <w:rPr>
                <w:color w:val="000000"/>
                <w:sz w:val="18"/>
                <w:szCs w:val="18"/>
              </w:rPr>
              <w:t>Udział długotrwale bezrobotnych</w:t>
            </w:r>
            <w:r w:rsidR="00E66B89" w:rsidRPr="00A71C8E">
              <w:rPr>
                <w:color w:val="000000"/>
                <w:sz w:val="18"/>
                <w:szCs w:val="18"/>
              </w:rPr>
              <w:t xml:space="preserve"> w </w:t>
            </w:r>
            <w:r w:rsidRPr="00A71C8E">
              <w:rPr>
                <w:color w:val="000000"/>
                <w:sz w:val="18"/>
                <w:szCs w:val="18"/>
              </w:rPr>
              <w:t>ogólnej liczbie bezrobotnych będących</w:t>
            </w:r>
            <w:r w:rsidR="00E66B89" w:rsidRPr="00A71C8E">
              <w:rPr>
                <w:color w:val="000000"/>
                <w:sz w:val="18"/>
                <w:szCs w:val="18"/>
              </w:rPr>
              <w:t xml:space="preserve"> w </w:t>
            </w:r>
            <w:r w:rsidRPr="00A71C8E">
              <w:rPr>
                <w:color w:val="000000"/>
                <w:sz w:val="18"/>
                <w:szCs w:val="18"/>
              </w:rPr>
              <w:t>sytuacji szczególnej na rynku pracy</w:t>
            </w:r>
            <w:r w:rsidR="00E66B89" w:rsidRPr="00A71C8E">
              <w:rPr>
                <w:color w:val="000000"/>
                <w:sz w:val="18"/>
                <w:szCs w:val="18"/>
              </w:rPr>
              <w:t xml:space="preserve"> w </w:t>
            </w:r>
            <w:r w:rsidRPr="00A71C8E">
              <w:rPr>
                <w:color w:val="000000"/>
                <w:sz w:val="18"/>
                <w:szCs w:val="18"/>
              </w:rPr>
              <w:t>woj. zachodniopomorskim (%)</w:t>
            </w:r>
          </w:p>
        </w:tc>
        <w:tc>
          <w:tcPr>
            <w:tcW w:w="547" w:type="pct"/>
            <w:shd w:val="clear" w:color="auto" w:fill="C6D9F1"/>
            <w:noWrap/>
            <w:vAlign w:val="center"/>
            <w:hideMark/>
          </w:tcPr>
          <w:p w14:paraId="0BC18A1E" w14:textId="77777777" w:rsidR="00881780" w:rsidRPr="00A71C8E" w:rsidRDefault="00881780" w:rsidP="00B473DC">
            <w:pPr>
              <w:spacing w:before="0" w:line="240" w:lineRule="auto"/>
              <w:jc w:val="center"/>
              <w:rPr>
                <w:sz w:val="18"/>
                <w:szCs w:val="18"/>
              </w:rPr>
            </w:pPr>
            <w:r w:rsidRPr="00A71C8E">
              <w:rPr>
                <w:sz w:val="18"/>
                <w:szCs w:val="18"/>
              </w:rPr>
              <w:t>55,7</w:t>
            </w:r>
          </w:p>
        </w:tc>
        <w:tc>
          <w:tcPr>
            <w:tcW w:w="470" w:type="pct"/>
            <w:shd w:val="clear" w:color="auto" w:fill="C6D9F1"/>
            <w:noWrap/>
            <w:vAlign w:val="center"/>
            <w:hideMark/>
          </w:tcPr>
          <w:p w14:paraId="1ADC6828" w14:textId="77777777" w:rsidR="00881780" w:rsidRPr="00A71C8E" w:rsidRDefault="00881780" w:rsidP="00B473DC">
            <w:pPr>
              <w:spacing w:before="0" w:line="240" w:lineRule="auto"/>
              <w:jc w:val="center"/>
              <w:rPr>
                <w:sz w:val="18"/>
                <w:szCs w:val="18"/>
              </w:rPr>
            </w:pPr>
            <w:r w:rsidRPr="00A71C8E">
              <w:rPr>
                <w:sz w:val="18"/>
                <w:szCs w:val="18"/>
              </w:rPr>
              <w:t>57,5</w:t>
            </w:r>
          </w:p>
        </w:tc>
        <w:tc>
          <w:tcPr>
            <w:tcW w:w="460" w:type="pct"/>
            <w:shd w:val="clear" w:color="auto" w:fill="C6D9F1"/>
            <w:noWrap/>
            <w:vAlign w:val="center"/>
            <w:hideMark/>
          </w:tcPr>
          <w:p w14:paraId="14949668" w14:textId="77777777" w:rsidR="00881780" w:rsidRPr="00A71C8E" w:rsidRDefault="00881780" w:rsidP="00B473DC">
            <w:pPr>
              <w:spacing w:before="0" w:line="240" w:lineRule="auto"/>
              <w:jc w:val="center"/>
              <w:rPr>
                <w:sz w:val="18"/>
                <w:szCs w:val="18"/>
              </w:rPr>
            </w:pPr>
            <w:r w:rsidRPr="00A71C8E">
              <w:rPr>
                <w:sz w:val="18"/>
                <w:szCs w:val="18"/>
              </w:rPr>
              <w:t>65,0</w:t>
            </w:r>
          </w:p>
        </w:tc>
        <w:tc>
          <w:tcPr>
            <w:tcW w:w="462" w:type="pct"/>
            <w:shd w:val="clear" w:color="auto" w:fill="C6D9F1"/>
            <w:noWrap/>
            <w:vAlign w:val="center"/>
            <w:hideMark/>
          </w:tcPr>
          <w:p w14:paraId="235ADF63" w14:textId="77777777" w:rsidR="00881780" w:rsidRPr="00A71C8E" w:rsidRDefault="00881780" w:rsidP="00B473DC">
            <w:pPr>
              <w:spacing w:before="0" w:line="240" w:lineRule="auto"/>
              <w:jc w:val="center"/>
              <w:rPr>
                <w:sz w:val="18"/>
                <w:szCs w:val="18"/>
              </w:rPr>
            </w:pPr>
            <w:r w:rsidRPr="00A71C8E">
              <w:rPr>
                <w:sz w:val="18"/>
                <w:szCs w:val="18"/>
              </w:rPr>
              <w:t>64,7</w:t>
            </w:r>
          </w:p>
        </w:tc>
        <w:tc>
          <w:tcPr>
            <w:tcW w:w="462" w:type="pct"/>
            <w:shd w:val="clear" w:color="auto" w:fill="C6D9F1"/>
            <w:noWrap/>
            <w:vAlign w:val="center"/>
            <w:hideMark/>
          </w:tcPr>
          <w:p w14:paraId="70389701" w14:textId="77777777" w:rsidR="00881780" w:rsidRPr="00A71C8E" w:rsidRDefault="00881780" w:rsidP="00B473DC">
            <w:pPr>
              <w:spacing w:before="0" w:line="240" w:lineRule="auto"/>
              <w:jc w:val="center"/>
              <w:rPr>
                <w:sz w:val="18"/>
                <w:szCs w:val="18"/>
              </w:rPr>
            </w:pPr>
            <w:r w:rsidRPr="00A71C8E">
              <w:rPr>
                <w:sz w:val="18"/>
                <w:szCs w:val="18"/>
              </w:rPr>
              <w:t>63,9</w:t>
            </w:r>
          </w:p>
        </w:tc>
        <w:tc>
          <w:tcPr>
            <w:tcW w:w="462" w:type="pct"/>
            <w:shd w:val="clear" w:color="auto" w:fill="C6D9F1"/>
            <w:noWrap/>
            <w:vAlign w:val="center"/>
            <w:hideMark/>
          </w:tcPr>
          <w:p w14:paraId="4605EA7D" w14:textId="77777777" w:rsidR="00881780" w:rsidRPr="00A71C8E" w:rsidRDefault="00881780" w:rsidP="00B473DC">
            <w:pPr>
              <w:spacing w:before="0" w:line="240" w:lineRule="auto"/>
              <w:jc w:val="center"/>
              <w:rPr>
                <w:sz w:val="18"/>
                <w:szCs w:val="18"/>
              </w:rPr>
            </w:pPr>
            <w:r w:rsidRPr="00A71C8E">
              <w:rPr>
                <w:sz w:val="18"/>
                <w:szCs w:val="18"/>
              </w:rPr>
              <w:t>64,6</w:t>
            </w:r>
          </w:p>
        </w:tc>
        <w:tc>
          <w:tcPr>
            <w:tcW w:w="419" w:type="pct"/>
            <w:shd w:val="clear" w:color="auto" w:fill="C6D9F1"/>
            <w:noWrap/>
            <w:vAlign w:val="center"/>
            <w:hideMark/>
          </w:tcPr>
          <w:p w14:paraId="6C019141" w14:textId="77777777" w:rsidR="00881780" w:rsidRPr="00A71C8E" w:rsidRDefault="00881780" w:rsidP="00B473DC">
            <w:pPr>
              <w:spacing w:before="0" w:line="240" w:lineRule="auto"/>
              <w:jc w:val="center"/>
              <w:rPr>
                <w:sz w:val="18"/>
                <w:szCs w:val="18"/>
              </w:rPr>
            </w:pPr>
            <w:r w:rsidRPr="00A71C8E">
              <w:rPr>
                <w:sz w:val="18"/>
                <w:szCs w:val="18"/>
              </w:rPr>
              <w:t>64,0</w:t>
            </w:r>
          </w:p>
        </w:tc>
      </w:tr>
      <w:tr w:rsidR="00881780" w:rsidRPr="00A71C8E" w14:paraId="23FFDFC8" w14:textId="77777777" w:rsidTr="00B473DC">
        <w:trPr>
          <w:trHeight w:val="300"/>
        </w:trPr>
        <w:tc>
          <w:tcPr>
            <w:tcW w:w="1719" w:type="pct"/>
            <w:shd w:val="clear" w:color="auto" w:fill="C6D9F1"/>
            <w:noWrap/>
            <w:vAlign w:val="center"/>
            <w:hideMark/>
          </w:tcPr>
          <w:p w14:paraId="727D7705" w14:textId="77777777" w:rsidR="00881780" w:rsidRPr="00A71C8E" w:rsidRDefault="00881780" w:rsidP="00B473DC">
            <w:pPr>
              <w:spacing w:before="0" w:line="240" w:lineRule="auto"/>
              <w:jc w:val="left"/>
              <w:rPr>
                <w:color w:val="000000"/>
                <w:sz w:val="18"/>
                <w:szCs w:val="18"/>
              </w:rPr>
            </w:pPr>
            <w:r w:rsidRPr="00A71C8E">
              <w:rPr>
                <w:color w:val="000000"/>
                <w:sz w:val="18"/>
                <w:szCs w:val="18"/>
              </w:rPr>
              <w:t>Długotrwale bezrobotne kobiety</w:t>
            </w:r>
            <w:r w:rsidR="00E66B89" w:rsidRPr="00A71C8E">
              <w:rPr>
                <w:color w:val="000000"/>
                <w:sz w:val="18"/>
                <w:szCs w:val="18"/>
              </w:rPr>
              <w:t xml:space="preserve"> w </w:t>
            </w:r>
            <w:r w:rsidRPr="00A71C8E">
              <w:rPr>
                <w:color w:val="000000"/>
                <w:sz w:val="18"/>
                <w:szCs w:val="18"/>
              </w:rPr>
              <w:t>woj. zachodniopomorskim (w tys.)</w:t>
            </w:r>
          </w:p>
        </w:tc>
        <w:tc>
          <w:tcPr>
            <w:tcW w:w="547" w:type="pct"/>
            <w:shd w:val="clear" w:color="auto" w:fill="C6D9F1"/>
            <w:noWrap/>
            <w:vAlign w:val="center"/>
            <w:hideMark/>
          </w:tcPr>
          <w:p w14:paraId="524BDF5F" w14:textId="77777777" w:rsidR="00881780" w:rsidRPr="00A71C8E" w:rsidRDefault="00881780" w:rsidP="00B473DC">
            <w:pPr>
              <w:spacing w:before="0" w:line="240" w:lineRule="auto"/>
              <w:jc w:val="center"/>
              <w:rPr>
                <w:sz w:val="18"/>
                <w:szCs w:val="18"/>
              </w:rPr>
            </w:pPr>
            <w:r w:rsidRPr="00A71C8E">
              <w:rPr>
                <w:sz w:val="18"/>
                <w:szCs w:val="18"/>
              </w:rPr>
              <w:t>32 850</w:t>
            </w:r>
          </w:p>
        </w:tc>
        <w:tc>
          <w:tcPr>
            <w:tcW w:w="470" w:type="pct"/>
            <w:shd w:val="clear" w:color="auto" w:fill="C6D9F1"/>
            <w:noWrap/>
            <w:vAlign w:val="center"/>
            <w:hideMark/>
          </w:tcPr>
          <w:p w14:paraId="43C5105C" w14:textId="77777777" w:rsidR="00881780" w:rsidRPr="00A71C8E" w:rsidRDefault="00881780" w:rsidP="00B473DC">
            <w:pPr>
              <w:spacing w:before="0" w:line="240" w:lineRule="auto"/>
              <w:jc w:val="center"/>
              <w:rPr>
                <w:sz w:val="18"/>
                <w:szCs w:val="18"/>
              </w:rPr>
            </w:pPr>
            <w:r w:rsidRPr="00A71C8E">
              <w:rPr>
                <w:sz w:val="18"/>
                <w:szCs w:val="18"/>
              </w:rPr>
              <w:t>33 026</w:t>
            </w:r>
          </w:p>
        </w:tc>
        <w:tc>
          <w:tcPr>
            <w:tcW w:w="460" w:type="pct"/>
            <w:shd w:val="clear" w:color="auto" w:fill="C6D9F1"/>
            <w:noWrap/>
            <w:vAlign w:val="center"/>
            <w:hideMark/>
          </w:tcPr>
          <w:p w14:paraId="7A1172E2" w14:textId="77777777" w:rsidR="00881780" w:rsidRPr="00A71C8E" w:rsidRDefault="00881780" w:rsidP="00B473DC">
            <w:pPr>
              <w:spacing w:before="0" w:line="240" w:lineRule="auto"/>
              <w:jc w:val="center"/>
              <w:rPr>
                <w:sz w:val="18"/>
                <w:szCs w:val="18"/>
              </w:rPr>
            </w:pPr>
            <w:r w:rsidRPr="00A71C8E">
              <w:rPr>
                <w:sz w:val="18"/>
                <w:szCs w:val="18"/>
              </w:rPr>
              <w:t>29 375</w:t>
            </w:r>
          </w:p>
        </w:tc>
        <w:tc>
          <w:tcPr>
            <w:tcW w:w="462" w:type="pct"/>
            <w:shd w:val="clear" w:color="auto" w:fill="C6D9F1"/>
            <w:noWrap/>
            <w:vAlign w:val="center"/>
            <w:hideMark/>
          </w:tcPr>
          <w:p w14:paraId="0A7143A9" w14:textId="77777777" w:rsidR="00881780" w:rsidRPr="00A71C8E" w:rsidRDefault="00881780" w:rsidP="00B473DC">
            <w:pPr>
              <w:spacing w:before="0" w:line="240" w:lineRule="auto"/>
              <w:jc w:val="center"/>
              <w:rPr>
                <w:sz w:val="18"/>
                <w:szCs w:val="18"/>
              </w:rPr>
            </w:pPr>
            <w:r w:rsidRPr="00A71C8E">
              <w:rPr>
                <w:sz w:val="18"/>
                <w:szCs w:val="18"/>
              </w:rPr>
              <w:t>25 227</w:t>
            </w:r>
          </w:p>
        </w:tc>
        <w:tc>
          <w:tcPr>
            <w:tcW w:w="462" w:type="pct"/>
            <w:shd w:val="clear" w:color="auto" w:fill="C6D9F1"/>
            <w:noWrap/>
            <w:vAlign w:val="center"/>
            <w:hideMark/>
          </w:tcPr>
          <w:p w14:paraId="363D721A" w14:textId="77777777" w:rsidR="00881780" w:rsidRPr="00A71C8E" w:rsidRDefault="00881780" w:rsidP="00B473DC">
            <w:pPr>
              <w:spacing w:before="0" w:line="240" w:lineRule="auto"/>
              <w:jc w:val="center"/>
              <w:rPr>
                <w:sz w:val="18"/>
                <w:szCs w:val="18"/>
              </w:rPr>
            </w:pPr>
            <w:r w:rsidRPr="00A71C8E">
              <w:rPr>
                <w:sz w:val="18"/>
                <w:szCs w:val="18"/>
              </w:rPr>
              <w:t>21 053</w:t>
            </w:r>
          </w:p>
        </w:tc>
        <w:tc>
          <w:tcPr>
            <w:tcW w:w="462" w:type="pct"/>
            <w:shd w:val="clear" w:color="auto" w:fill="C6D9F1"/>
            <w:noWrap/>
            <w:vAlign w:val="center"/>
            <w:hideMark/>
          </w:tcPr>
          <w:p w14:paraId="6E4F22C3" w14:textId="77777777" w:rsidR="00881780" w:rsidRPr="00A71C8E" w:rsidRDefault="00881780" w:rsidP="00B473DC">
            <w:pPr>
              <w:spacing w:before="0" w:line="240" w:lineRule="auto"/>
              <w:jc w:val="center"/>
              <w:rPr>
                <w:sz w:val="18"/>
                <w:szCs w:val="18"/>
              </w:rPr>
            </w:pPr>
            <w:r w:rsidRPr="00A71C8E">
              <w:rPr>
                <w:sz w:val="18"/>
                <w:szCs w:val="18"/>
              </w:rPr>
              <w:t>17 977</w:t>
            </w:r>
          </w:p>
        </w:tc>
        <w:tc>
          <w:tcPr>
            <w:tcW w:w="419" w:type="pct"/>
            <w:shd w:val="clear" w:color="auto" w:fill="C6D9F1"/>
            <w:noWrap/>
            <w:vAlign w:val="center"/>
            <w:hideMark/>
          </w:tcPr>
          <w:p w14:paraId="6CF59271" w14:textId="77777777" w:rsidR="00881780" w:rsidRPr="00A71C8E" w:rsidRDefault="00881780" w:rsidP="00B473DC">
            <w:pPr>
              <w:spacing w:before="0" w:line="240" w:lineRule="auto"/>
              <w:jc w:val="center"/>
              <w:rPr>
                <w:sz w:val="18"/>
                <w:szCs w:val="18"/>
              </w:rPr>
            </w:pPr>
            <w:r w:rsidRPr="00A71C8E">
              <w:rPr>
                <w:sz w:val="18"/>
                <w:szCs w:val="18"/>
              </w:rPr>
              <w:t>15 211</w:t>
            </w:r>
          </w:p>
        </w:tc>
      </w:tr>
      <w:tr w:rsidR="00881780" w:rsidRPr="00A71C8E" w14:paraId="32A2C95B" w14:textId="77777777" w:rsidTr="00B473DC">
        <w:trPr>
          <w:trHeight w:val="300"/>
        </w:trPr>
        <w:tc>
          <w:tcPr>
            <w:tcW w:w="1719" w:type="pct"/>
            <w:shd w:val="clear" w:color="auto" w:fill="C6D9F1"/>
            <w:noWrap/>
            <w:vAlign w:val="center"/>
            <w:hideMark/>
          </w:tcPr>
          <w:p w14:paraId="2A38B055" w14:textId="77777777" w:rsidR="00881780" w:rsidRPr="00A71C8E" w:rsidRDefault="00881780" w:rsidP="00B473DC">
            <w:pPr>
              <w:spacing w:before="0" w:line="240" w:lineRule="auto"/>
              <w:jc w:val="left"/>
              <w:rPr>
                <w:color w:val="000000"/>
                <w:sz w:val="18"/>
                <w:szCs w:val="18"/>
              </w:rPr>
            </w:pPr>
            <w:r w:rsidRPr="00A71C8E">
              <w:rPr>
                <w:color w:val="000000"/>
                <w:sz w:val="18"/>
                <w:szCs w:val="18"/>
              </w:rPr>
              <w:t>Udział długotrwale bezrobotnych kobiet</w:t>
            </w:r>
            <w:r w:rsidR="00E66B89" w:rsidRPr="00A71C8E">
              <w:rPr>
                <w:color w:val="000000"/>
                <w:sz w:val="18"/>
                <w:szCs w:val="18"/>
              </w:rPr>
              <w:t xml:space="preserve"> w </w:t>
            </w:r>
            <w:r w:rsidRPr="00A71C8E">
              <w:rPr>
                <w:color w:val="000000"/>
                <w:sz w:val="18"/>
                <w:szCs w:val="18"/>
              </w:rPr>
              <w:t>ogólnej liczbie długotrwale bezrobotnych</w:t>
            </w:r>
            <w:r w:rsidR="00E66B89" w:rsidRPr="00A71C8E">
              <w:rPr>
                <w:color w:val="000000"/>
                <w:sz w:val="18"/>
                <w:szCs w:val="18"/>
              </w:rPr>
              <w:t xml:space="preserve"> w </w:t>
            </w:r>
            <w:r w:rsidRPr="00A71C8E">
              <w:rPr>
                <w:color w:val="000000"/>
                <w:sz w:val="18"/>
                <w:szCs w:val="18"/>
              </w:rPr>
              <w:t>woj. zachodniopomorskim (%)</w:t>
            </w:r>
          </w:p>
        </w:tc>
        <w:tc>
          <w:tcPr>
            <w:tcW w:w="547" w:type="pct"/>
            <w:shd w:val="clear" w:color="auto" w:fill="C6D9F1"/>
            <w:noWrap/>
            <w:vAlign w:val="center"/>
            <w:hideMark/>
          </w:tcPr>
          <w:p w14:paraId="5BD17AF4"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56,8</w:t>
            </w:r>
          </w:p>
        </w:tc>
        <w:tc>
          <w:tcPr>
            <w:tcW w:w="470" w:type="pct"/>
            <w:shd w:val="clear" w:color="auto" w:fill="C6D9F1"/>
            <w:noWrap/>
            <w:vAlign w:val="center"/>
            <w:hideMark/>
          </w:tcPr>
          <w:p w14:paraId="0E66C6D3"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55,7</w:t>
            </w:r>
          </w:p>
        </w:tc>
        <w:tc>
          <w:tcPr>
            <w:tcW w:w="460" w:type="pct"/>
            <w:shd w:val="clear" w:color="auto" w:fill="C6D9F1"/>
            <w:noWrap/>
            <w:vAlign w:val="center"/>
            <w:hideMark/>
          </w:tcPr>
          <w:p w14:paraId="17E63A83"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55,6</w:t>
            </w:r>
          </w:p>
        </w:tc>
        <w:tc>
          <w:tcPr>
            <w:tcW w:w="462" w:type="pct"/>
            <w:shd w:val="clear" w:color="auto" w:fill="C6D9F1"/>
            <w:noWrap/>
            <w:vAlign w:val="center"/>
            <w:hideMark/>
          </w:tcPr>
          <w:p w14:paraId="765F6D5B"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57,4</w:t>
            </w:r>
          </w:p>
        </w:tc>
        <w:tc>
          <w:tcPr>
            <w:tcW w:w="462" w:type="pct"/>
            <w:shd w:val="clear" w:color="auto" w:fill="C6D9F1"/>
            <w:noWrap/>
            <w:vAlign w:val="center"/>
            <w:hideMark/>
          </w:tcPr>
          <w:p w14:paraId="45F33DFC"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59,3</w:t>
            </w:r>
          </w:p>
        </w:tc>
        <w:tc>
          <w:tcPr>
            <w:tcW w:w="462" w:type="pct"/>
            <w:shd w:val="clear" w:color="auto" w:fill="C6D9F1"/>
            <w:noWrap/>
            <w:vAlign w:val="center"/>
            <w:hideMark/>
          </w:tcPr>
          <w:p w14:paraId="1F9DC530"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62,5</w:t>
            </w:r>
          </w:p>
        </w:tc>
        <w:tc>
          <w:tcPr>
            <w:tcW w:w="419" w:type="pct"/>
            <w:shd w:val="clear" w:color="auto" w:fill="C6D9F1"/>
            <w:noWrap/>
            <w:vAlign w:val="center"/>
            <w:hideMark/>
          </w:tcPr>
          <w:p w14:paraId="02A297B6" w14:textId="77777777" w:rsidR="00881780" w:rsidRPr="00A71C8E" w:rsidRDefault="00881780" w:rsidP="00B473DC">
            <w:pPr>
              <w:spacing w:before="0" w:line="240" w:lineRule="auto"/>
              <w:jc w:val="center"/>
              <w:rPr>
                <w:color w:val="000000"/>
                <w:sz w:val="18"/>
                <w:szCs w:val="18"/>
              </w:rPr>
            </w:pPr>
            <w:r w:rsidRPr="00A71C8E">
              <w:rPr>
                <w:color w:val="000000"/>
                <w:sz w:val="18"/>
                <w:szCs w:val="18"/>
              </w:rPr>
              <w:t>64,0</w:t>
            </w:r>
          </w:p>
        </w:tc>
      </w:tr>
    </w:tbl>
    <w:p w14:paraId="2A13704B" w14:textId="5E76F56A"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 oraz danych</w:t>
      </w:r>
      <w:r w:rsidR="00E66B89" w:rsidRPr="00EE66C6">
        <w:rPr>
          <w:i/>
          <w:sz w:val="18"/>
          <w:szCs w:val="20"/>
        </w:rPr>
        <w:t xml:space="preserve"> z </w:t>
      </w:r>
      <w:r w:rsidRPr="00EE66C6">
        <w:rPr>
          <w:i/>
          <w:sz w:val="18"/>
          <w:szCs w:val="20"/>
        </w:rPr>
        <w:t>BDL GUS</w:t>
      </w:r>
      <w:r w:rsidR="00AA6879">
        <w:rPr>
          <w:i/>
          <w:sz w:val="18"/>
          <w:szCs w:val="20"/>
        </w:rPr>
        <w:t>.</w:t>
      </w:r>
    </w:p>
    <w:bookmarkEnd w:id="180"/>
    <w:p w14:paraId="46C7BB9F" w14:textId="77777777" w:rsidR="00881780" w:rsidRDefault="00881780" w:rsidP="00881780">
      <w:pPr>
        <w:autoSpaceDE w:val="0"/>
        <w:autoSpaceDN w:val="0"/>
        <w:adjustRightInd w:val="0"/>
        <w:spacing w:line="276" w:lineRule="auto"/>
        <w:rPr>
          <w:rFonts w:cs="Arial"/>
          <w:bCs/>
          <w:szCs w:val="20"/>
        </w:rPr>
      </w:pPr>
      <w:r w:rsidRPr="00C07DD6">
        <w:rPr>
          <w:rFonts w:cs="Arial"/>
          <w:bCs/>
          <w:szCs w:val="20"/>
        </w:rPr>
        <w:lastRenderedPageBreak/>
        <w:t>W okresie przygotowania Programu</w:t>
      </w:r>
      <w:r w:rsidR="00E66B89">
        <w:rPr>
          <w:rFonts w:cs="Arial"/>
          <w:bCs/>
          <w:szCs w:val="20"/>
        </w:rPr>
        <w:t xml:space="preserve"> w </w:t>
      </w:r>
      <w:r w:rsidRPr="00C07DD6">
        <w:rPr>
          <w:rFonts w:cs="Arial"/>
          <w:bCs/>
          <w:szCs w:val="20"/>
        </w:rPr>
        <w:t xml:space="preserve">województwie </w:t>
      </w:r>
      <w:r>
        <w:rPr>
          <w:rFonts w:cs="Arial"/>
          <w:bCs/>
          <w:szCs w:val="20"/>
        </w:rPr>
        <w:t xml:space="preserve">zachodniopomorskim </w:t>
      </w:r>
      <w:r w:rsidRPr="00C07DD6">
        <w:rPr>
          <w:rFonts w:cs="Arial"/>
          <w:bCs/>
          <w:szCs w:val="20"/>
        </w:rPr>
        <w:t xml:space="preserve">odnotowywano zwiększający się odsetek </w:t>
      </w:r>
      <w:r w:rsidRPr="00DB33F8">
        <w:rPr>
          <w:rFonts w:cs="Arial"/>
          <w:bCs/>
          <w:szCs w:val="20"/>
        </w:rPr>
        <w:t>bezrobotnych powyżej 50 roku życia</w:t>
      </w:r>
      <w:r w:rsidR="00E66B89">
        <w:rPr>
          <w:rFonts w:cs="Arial"/>
          <w:bCs/>
          <w:szCs w:val="20"/>
        </w:rPr>
        <w:t xml:space="preserve"> w </w:t>
      </w:r>
      <w:r>
        <w:rPr>
          <w:rFonts w:cs="Arial"/>
          <w:bCs/>
          <w:szCs w:val="20"/>
        </w:rPr>
        <w:t>populacji bezrobotnych</w:t>
      </w:r>
      <w:r w:rsidRPr="00C07DD6">
        <w:rPr>
          <w:rFonts w:cs="Arial"/>
          <w:bCs/>
          <w:szCs w:val="20"/>
        </w:rPr>
        <w:t>.</w:t>
      </w:r>
      <w:r w:rsidR="00E66B89">
        <w:rPr>
          <w:rFonts w:cs="Arial"/>
          <w:bCs/>
          <w:szCs w:val="20"/>
        </w:rPr>
        <w:t xml:space="preserve"> W </w:t>
      </w:r>
      <w:r w:rsidRPr="00C07DD6">
        <w:rPr>
          <w:rFonts w:cs="Arial"/>
          <w:bCs/>
          <w:szCs w:val="20"/>
        </w:rPr>
        <w:t xml:space="preserve">roku 2012 bezrobotni powyżej 50 </w:t>
      </w:r>
      <w:r w:rsidRPr="00874F72">
        <w:rPr>
          <w:rFonts w:cs="Arial"/>
          <w:bCs/>
          <w:szCs w:val="20"/>
        </w:rPr>
        <w:t xml:space="preserve">roku życia </w:t>
      </w:r>
      <w:r w:rsidRPr="00C07DD6">
        <w:rPr>
          <w:rFonts w:cs="Arial"/>
          <w:bCs/>
          <w:szCs w:val="20"/>
        </w:rPr>
        <w:t>stanowili 26,</w:t>
      </w:r>
      <w:r>
        <w:rPr>
          <w:rFonts w:cs="Arial"/>
          <w:bCs/>
          <w:szCs w:val="20"/>
        </w:rPr>
        <w:t>96</w:t>
      </w:r>
      <w:r w:rsidRPr="00C07DD6">
        <w:rPr>
          <w:rFonts w:cs="Arial"/>
          <w:bCs/>
          <w:szCs w:val="20"/>
        </w:rPr>
        <w:t>% ogółu bezrobotnych;</w:t>
      </w:r>
      <w:r w:rsidR="00E66B89">
        <w:rPr>
          <w:rFonts w:cs="Arial"/>
          <w:bCs/>
          <w:szCs w:val="20"/>
        </w:rPr>
        <w:t xml:space="preserve"> w </w:t>
      </w:r>
      <w:r>
        <w:rPr>
          <w:rFonts w:cs="Arial"/>
          <w:bCs/>
          <w:szCs w:val="20"/>
        </w:rPr>
        <w:t xml:space="preserve">roku </w:t>
      </w:r>
      <w:r w:rsidRPr="00C07DD6">
        <w:rPr>
          <w:rFonts w:cs="Arial"/>
          <w:bCs/>
          <w:szCs w:val="20"/>
        </w:rPr>
        <w:t>2013 już 2</w:t>
      </w:r>
      <w:r>
        <w:rPr>
          <w:rFonts w:cs="Arial"/>
          <w:bCs/>
          <w:szCs w:val="20"/>
        </w:rPr>
        <w:t>8</w:t>
      </w:r>
      <w:r w:rsidRPr="00C07DD6">
        <w:rPr>
          <w:rFonts w:cs="Arial"/>
          <w:bCs/>
          <w:szCs w:val="20"/>
        </w:rPr>
        <w:t>,</w:t>
      </w:r>
      <w:r>
        <w:rPr>
          <w:rFonts w:cs="Arial"/>
          <w:bCs/>
          <w:szCs w:val="20"/>
        </w:rPr>
        <w:t>59</w:t>
      </w:r>
      <w:r w:rsidRPr="00C07DD6">
        <w:rPr>
          <w:rFonts w:cs="Arial"/>
          <w:bCs/>
          <w:szCs w:val="20"/>
        </w:rPr>
        <w:t>%.</w:t>
      </w:r>
      <w:r w:rsidR="00E66B89">
        <w:rPr>
          <w:rFonts w:cs="Arial"/>
          <w:bCs/>
          <w:szCs w:val="20"/>
        </w:rPr>
        <w:t xml:space="preserve"> W </w:t>
      </w:r>
      <w:r w:rsidRPr="00C07DD6">
        <w:rPr>
          <w:rFonts w:cs="Arial"/>
          <w:bCs/>
          <w:szCs w:val="20"/>
        </w:rPr>
        <w:t>kolejnych latach (2014</w:t>
      </w:r>
      <w:r>
        <w:rPr>
          <w:rFonts w:cs="Arial"/>
          <w:bCs/>
          <w:szCs w:val="20"/>
        </w:rPr>
        <w:t xml:space="preserve">, 2015, </w:t>
      </w:r>
      <w:r w:rsidRPr="00C07DD6">
        <w:rPr>
          <w:rFonts w:cs="Arial"/>
          <w:bCs/>
          <w:szCs w:val="20"/>
        </w:rPr>
        <w:t>201</w:t>
      </w:r>
      <w:r>
        <w:rPr>
          <w:rFonts w:cs="Arial"/>
          <w:bCs/>
          <w:szCs w:val="20"/>
        </w:rPr>
        <w:t>6</w:t>
      </w:r>
      <w:r w:rsidRPr="00C07DD6">
        <w:rPr>
          <w:rFonts w:cs="Arial"/>
          <w:bCs/>
          <w:szCs w:val="20"/>
        </w:rPr>
        <w:t>) obserwujemy nieznaczny wzrost odsetka bezrobotnych powyżej 50 roku życia</w:t>
      </w:r>
      <w:r>
        <w:rPr>
          <w:rFonts w:cs="Arial"/>
          <w:bCs/>
          <w:szCs w:val="20"/>
        </w:rPr>
        <w:t xml:space="preserve"> (odpowiednio: 29,63%; 31,44%, 31,86%)</w:t>
      </w:r>
      <w:r w:rsidR="00E66B89">
        <w:rPr>
          <w:rFonts w:cs="Arial"/>
          <w:bCs/>
          <w:szCs w:val="20"/>
        </w:rPr>
        <w:t xml:space="preserve"> a </w:t>
      </w:r>
      <w:r>
        <w:rPr>
          <w:rFonts w:cs="Arial"/>
          <w:bCs/>
          <w:szCs w:val="20"/>
        </w:rPr>
        <w:t>następnie, (w 2017 r.</w:t>
      </w:r>
      <w:r w:rsidR="00E66B89">
        <w:rPr>
          <w:rFonts w:cs="Arial"/>
          <w:bCs/>
          <w:szCs w:val="20"/>
        </w:rPr>
        <w:t xml:space="preserve"> i </w:t>
      </w:r>
      <w:r>
        <w:rPr>
          <w:rFonts w:cs="Arial"/>
          <w:bCs/>
          <w:szCs w:val="20"/>
        </w:rPr>
        <w:t>2018 r.) jego minimalny spadek (do poziomu 29,01%</w:t>
      </w:r>
      <w:r w:rsidR="00E66B89">
        <w:rPr>
          <w:rFonts w:cs="Arial"/>
          <w:bCs/>
          <w:szCs w:val="20"/>
        </w:rPr>
        <w:t xml:space="preserve"> w </w:t>
      </w:r>
      <w:r>
        <w:rPr>
          <w:rFonts w:cs="Arial"/>
          <w:bCs/>
          <w:szCs w:val="20"/>
        </w:rPr>
        <w:t>2018 r.). Pozostaje on jednak na wysokim poziomie (w stosunku do roku 2012</w:t>
      </w:r>
      <w:r w:rsidR="00E66B89">
        <w:rPr>
          <w:rFonts w:cs="Arial"/>
          <w:bCs/>
          <w:szCs w:val="20"/>
        </w:rPr>
        <w:t xml:space="preserve"> w </w:t>
      </w:r>
      <w:r>
        <w:rPr>
          <w:rFonts w:cs="Arial"/>
          <w:bCs/>
          <w:szCs w:val="20"/>
        </w:rPr>
        <w:t>roku 2018 wzrost</w:t>
      </w:r>
      <w:r w:rsidR="00E66B89">
        <w:rPr>
          <w:rFonts w:cs="Arial"/>
          <w:bCs/>
          <w:szCs w:val="20"/>
        </w:rPr>
        <w:t xml:space="preserve"> o </w:t>
      </w:r>
      <w:r>
        <w:rPr>
          <w:rFonts w:cs="Arial"/>
          <w:bCs/>
          <w:szCs w:val="20"/>
        </w:rPr>
        <w:t>2,5 pp.). Mimo wzrostu odsetka bezrobotnych powyżej 50 roku życia,</w:t>
      </w:r>
      <w:r w:rsidRPr="005831B5">
        <w:rPr>
          <w:rFonts w:cs="Arial"/>
          <w:bCs/>
          <w:szCs w:val="20"/>
        </w:rPr>
        <w:t xml:space="preserve"> </w:t>
      </w:r>
      <w:r>
        <w:rPr>
          <w:rFonts w:cs="Arial"/>
          <w:bCs/>
          <w:szCs w:val="20"/>
        </w:rPr>
        <w:t>spada ogólna liczba osób bezrobotnych</w:t>
      </w:r>
      <w:r w:rsidR="00E66B89">
        <w:rPr>
          <w:rFonts w:cs="Arial"/>
          <w:bCs/>
          <w:szCs w:val="20"/>
        </w:rPr>
        <w:t xml:space="preserve"> w </w:t>
      </w:r>
      <w:r>
        <w:rPr>
          <w:rFonts w:cs="Arial"/>
          <w:bCs/>
          <w:szCs w:val="20"/>
        </w:rPr>
        <w:t>tym wieku.</w:t>
      </w:r>
      <w:r w:rsidR="00E66B89">
        <w:rPr>
          <w:rFonts w:cs="Arial"/>
          <w:bCs/>
          <w:szCs w:val="20"/>
        </w:rPr>
        <w:t xml:space="preserve"> W </w:t>
      </w:r>
      <w:r>
        <w:rPr>
          <w:rFonts w:cs="Arial"/>
          <w:bCs/>
          <w:szCs w:val="20"/>
        </w:rPr>
        <w:t>stosunku do roku 2012</w:t>
      </w:r>
      <w:r w:rsidR="00E66B89">
        <w:rPr>
          <w:rFonts w:cs="Arial"/>
          <w:bCs/>
          <w:szCs w:val="20"/>
        </w:rPr>
        <w:t xml:space="preserve"> w </w:t>
      </w:r>
      <w:r>
        <w:rPr>
          <w:rFonts w:cs="Arial"/>
          <w:bCs/>
          <w:szCs w:val="20"/>
        </w:rPr>
        <w:t>roku 2018 liczba ta spadła</w:t>
      </w:r>
      <w:r w:rsidR="00E66B89">
        <w:rPr>
          <w:rFonts w:cs="Arial"/>
          <w:bCs/>
          <w:szCs w:val="20"/>
        </w:rPr>
        <w:t xml:space="preserve"> o </w:t>
      </w:r>
      <w:r>
        <w:rPr>
          <w:rFonts w:cs="Arial"/>
          <w:bCs/>
          <w:szCs w:val="20"/>
        </w:rPr>
        <w:t xml:space="preserve">ponad połowę (54,5% / 16 519 osób). Ze względu na </w:t>
      </w:r>
      <w:r w:rsidRPr="00415899">
        <w:rPr>
          <w:rFonts w:cs="Arial"/>
          <w:bCs/>
          <w:szCs w:val="20"/>
        </w:rPr>
        <w:t>zmniejsza</w:t>
      </w:r>
      <w:r>
        <w:rPr>
          <w:rFonts w:cs="Arial"/>
          <w:bCs/>
          <w:szCs w:val="20"/>
        </w:rPr>
        <w:t xml:space="preserve">jącą </w:t>
      </w:r>
      <w:r w:rsidRPr="00415899">
        <w:rPr>
          <w:rFonts w:cs="Arial"/>
          <w:bCs/>
          <w:szCs w:val="20"/>
        </w:rPr>
        <w:t>się</w:t>
      </w:r>
      <w:r w:rsidR="00E66B89">
        <w:rPr>
          <w:rFonts w:cs="Arial"/>
          <w:bCs/>
          <w:szCs w:val="20"/>
        </w:rPr>
        <w:t xml:space="preserve"> w </w:t>
      </w:r>
      <w:r w:rsidRPr="00415899">
        <w:rPr>
          <w:rFonts w:cs="Arial"/>
          <w:bCs/>
          <w:szCs w:val="20"/>
        </w:rPr>
        <w:t>regionie liczb</w:t>
      </w:r>
      <w:r>
        <w:rPr>
          <w:rFonts w:cs="Arial"/>
          <w:bCs/>
          <w:szCs w:val="20"/>
        </w:rPr>
        <w:t>ę</w:t>
      </w:r>
      <w:r w:rsidRPr="00415899">
        <w:rPr>
          <w:rFonts w:cs="Arial"/>
          <w:bCs/>
          <w:szCs w:val="20"/>
        </w:rPr>
        <w:t xml:space="preserve"> osób bezrobotnych powyżej 50 roku życia (</w:t>
      </w:r>
      <w:r>
        <w:rPr>
          <w:rFonts w:cs="Arial"/>
          <w:bCs/>
          <w:szCs w:val="20"/>
        </w:rPr>
        <w:t>a więc </w:t>
      </w:r>
      <w:r w:rsidRPr="00415899">
        <w:rPr>
          <w:rFonts w:cs="Arial"/>
          <w:bCs/>
          <w:szCs w:val="20"/>
        </w:rPr>
        <w:t>grup</w:t>
      </w:r>
      <w:r>
        <w:rPr>
          <w:rFonts w:cs="Arial"/>
          <w:bCs/>
          <w:szCs w:val="20"/>
        </w:rPr>
        <w:t>ę</w:t>
      </w:r>
      <w:r w:rsidRPr="00415899">
        <w:rPr>
          <w:rFonts w:cs="Arial"/>
          <w:bCs/>
          <w:szCs w:val="20"/>
        </w:rPr>
        <w:t xml:space="preserve"> potencjalnych odbiorców wsparcia</w:t>
      </w:r>
      <w:r w:rsidR="00E66B89">
        <w:rPr>
          <w:rFonts w:cs="Arial"/>
          <w:bCs/>
          <w:szCs w:val="20"/>
        </w:rPr>
        <w:t xml:space="preserve"> w </w:t>
      </w:r>
      <w:r>
        <w:rPr>
          <w:rFonts w:cs="Arial"/>
          <w:bCs/>
          <w:szCs w:val="20"/>
        </w:rPr>
        <w:t>Działaniu 6.5 </w:t>
      </w:r>
      <w:r w:rsidRPr="00415899">
        <w:rPr>
          <w:rFonts w:cs="Arial"/>
          <w:bCs/>
          <w:szCs w:val="20"/>
        </w:rPr>
        <w:t>PI</w:t>
      </w:r>
      <w:r>
        <w:rPr>
          <w:rFonts w:cs="Arial"/>
          <w:bCs/>
          <w:szCs w:val="20"/>
        </w:rPr>
        <w:t> </w:t>
      </w:r>
      <w:r w:rsidRPr="00415899">
        <w:rPr>
          <w:rFonts w:cs="Arial"/>
          <w:bCs/>
          <w:szCs w:val="20"/>
        </w:rPr>
        <w:t>8i), dalsz</w:t>
      </w:r>
      <w:r>
        <w:rPr>
          <w:rFonts w:cs="Arial"/>
          <w:bCs/>
          <w:szCs w:val="20"/>
        </w:rPr>
        <w:t>a</w:t>
      </w:r>
      <w:r w:rsidRPr="00415899">
        <w:rPr>
          <w:rFonts w:cs="Arial"/>
          <w:bCs/>
          <w:szCs w:val="20"/>
        </w:rPr>
        <w:t xml:space="preserve"> realizacj</w:t>
      </w:r>
      <w:r>
        <w:rPr>
          <w:rFonts w:cs="Arial"/>
          <w:bCs/>
          <w:szCs w:val="20"/>
        </w:rPr>
        <w:t>a</w:t>
      </w:r>
      <w:r w:rsidRPr="00415899">
        <w:rPr>
          <w:rFonts w:cs="Arial"/>
          <w:bCs/>
          <w:szCs w:val="20"/>
        </w:rPr>
        <w:t xml:space="preserve"> wartości wskaźników związanych ze wsparciem osób bezrobotnych powyżej 50 </w:t>
      </w:r>
      <w:r>
        <w:rPr>
          <w:rFonts w:cs="Arial"/>
          <w:bCs/>
          <w:szCs w:val="20"/>
        </w:rPr>
        <w:t>roku życia</w:t>
      </w:r>
      <w:r w:rsidRPr="00415899">
        <w:rPr>
          <w:rFonts w:cs="Arial"/>
          <w:bCs/>
          <w:szCs w:val="20"/>
        </w:rPr>
        <w:t xml:space="preserve"> może </w:t>
      </w:r>
      <w:r>
        <w:rPr>
          <w:rFonts w:cs="Arial"/>
          <w:bCs/>
          <w:szCs w:val="20"/>
        </w:rPr>
        <w:t>być</w:t>
      </w:r>
      <w:r w:rsidRPr="00415899">
        <w:rPr>
          <w:rFonts w:cs="Arial"/>
          <w:bCs/>
          <w:szCs w:val="20"/>
        </w:rPr>
        <w:t xml:space="preserve"> problematyczn</w:t>
      </w:r>
      <w:r>
        <w:rPr>
          <w:rFonts w:cs="Arial"/>
          <w:bCs/>
          <w:szCs w:val="20"/>
        </w:rPr>
        <w:t>a. Jednakże,</w:t>
      </w:r>
      <w:r w:rsidRPr="00415899">
        <w:rPr>
          <w:rFonts w:cs="Arial"/>
          <w:bCs/>
          <w:szCs w:val="20"/>
        </w:rPr>
        <w:t xml:space="preserve"> ze względu na wzrost odsetka bezrobotnych pow</w:t>
      </w:r>
      <w:r>
        <w:rPr>
          <w:rFonts w:cs="Arial"/>
          <w:bCs/>
          <w:szCs w:val="20"/>
        </w:rPr>
        <w:t>yżej</w:t>
      </w:r>
      <w:r w:rsidRPr="00415899">
        <w:rPr>
          <w:rFonts w:cs="Arial"/>
          <w:bCs/>
          <w:szCs w:val="20"/>
        </w:rPr>
        <w:t xml:space="preserve"> 50 </w:t>
      </w:r>
      <w:r>
        <w:rPr>
          <w:rFonts w:cs="Arial"/>
          <w:bCs/>
          <w:szCs w:val="20"/>
        </w:rPr>
        <w:t>roku życia</w:t>
      </w:r>
      <w:r w:rsidR="00E66B89">
        <w:rPr>
          <w:rFonts w:cs="Arial"/>
          <w:bCs/>
          <w:szCs w:val="20"/>
        </w:rPr>
        <w:t xml:space="preserve"> w </w:t>
      </w:r>
      <w:r>
        <w:rPr>
          <w:rFonts w:cs="Arial"/>
          <w:bCs/>
          <w:szCs w:val="20"/>
        </w:rPr>
        <w:t>ogóle bezrobotnych, jak również jego wyższy poziom</w:t>
      </w:r>
      <w:r w:rsidR="00E66B89">
        <w:rPr>
          <w:rFonts w:cs="Arial"/>
          <w:bCs/>
          <w:szCs w:val="20"/>
        </w:rPr>
        <w:t xml:space="preserve"> w </w:t>
      </w:r>
      <w:r>
        <w:rPr>
          <w:rFonts w:cs="Arial"/>
          <w:bCs/>
          <w:szCs w:val="20"/>
        </w:rPr>
        <w:t>latach 2012-2018</w:t>
      </w:r>
      <w:r w:rsidR="00E66B89">
        <w:rPr>
          <w:rFonts w:cs="Arial"/>
          <w:bCs/>
          <w:szCs w:val="20"/>
        </w:rPr>
        <w:t xml:space="preserve"> w </w:t>
      </w:r>
      <w:r w:rsidRPr="00B872D8">
        <w:rPr>
          <w:rFonts w:cs="Arial"/>
          <w:bCs/>
          <w:szCs w:val="20"/>
        </w:rPr>
        <w:t>regionie niż</w:t>
      </w:r>
      <w:r w:rsidR="00E66B89">
        <w:rPr>
          <w:rFonts w:cs="Arial"/>
          <w:bCs/>
          <w:szCs w:val="20"/>
        </w:rPr>
        <w:t xml:space="preserve"> w </w:t>
      </w:r>
      <w:r w:rsidRPr="00B872D8">
        <w:rPr>
          <w:rFonts w:cs="Arial"/>
          <w:bCs/>
          <w:szCs w:val="20"/>
        </w:rPr>
        <w:t xml:space="preserve">kraju </w:t>
      </w:r>
      <w:r w:rsidRPr="00415899">
        <w:rPr>
          <w:rFonts w:cs="Arial"/>
          <w:bCs/>
          <w:szCs w:val="20"/>
        </w:rPr>
        <w:t xml:space="preserve">wyzwania rozwojowe związane ze </w:t>
      </w:r>
      <w:r>
        <w:rPr>
          <w:rFonts w:cs="Arial"/>
          <w:bCs/>
          <w:szCs w:val="20"/>
        </w:rPr>
        <w:t xml:space="preserve">zwiększeniem udziału </w:t>
      </w:r>
      <w:r w:rsidRPr="00415899">
        <w:rPr>
          <w:rFonts w:cs="Arial"/>
          <w:bCs/>
          <w:szCs w:val="20"/>
        </w:rPr>
        <w:t>tej grupy osób</w:t>
      </w:r>
      <w:r w:rsidR="00E66B89">
        <w:rPr>
          <w:rFonts w:cs="Arial"/>
          <w:bCs/>
          <w:szCs w:val="20"/>
        </w:rPr>
        <w:t xml:space="preserve"> w </w:t>
      </w:r>
      <w:r>
        <w:rPr>
          <w:rFonts w:cs="Arial"/>
          <w:bCs/>
          <w:szCs w:val="20"/>
        </w:rPr>
        <w:t xml:space="preserve">rynku pracy </w:t>
      </w:r>
      <w:r w:rsidRPr="00415899">
        <w:rPr>
          <w:rFonts w:cs="Arial"/>
          <w:bCs/>
          <w:szCs w:val="20"/>
        </w:rPr>
        <w:t>należy uznać za</w:t>
      </w:r>
      <w:r>
        <w:rPr>
          <w:rFonts w:cs="Arial"/>
          <w:bCs/>
          <w:szCs w:val="20"/>
        </w:rPr>
        <w:t> </w:t>
      </w:r>
      <w:r w:rsidRPr="00415899">
        <w:rPr>
          <w:rFonts w:cs="Arial"/>
          <w:bCs/>
          <w:szCs w:val="20"/>
        </w:rPr>
        <w:t>aktualne.</w:t>
      </w:r>
    </w:p>
    <w:p w14:paraId="77759C73" w14:textId="77777777" w:rsidR="00881780" w:rsidRPr="00432E11" w:rsidRDefault="00881780" w:rsidP="00754ED4">
      <w:pPr>
        <w:pStyle w:val="Legenda"/>
        <w:spacing w:after="0"/>
      </w:pPr>
      <w:bookmarkStart w:id="181" w:name="_Toc3896842"/>
      <w:bookmarkStart w:id="182" w:name="_Toc8824199"/>
      <w:r w:rsidRPr="00432E11">
        <w:t xml:space="preserve">Tabela </w:t>
      </w:r>
      <w:r>
        <w:fldChar w:fldCharType="begin"/>
      </w:r>
      <w:r>
        <w:instrText xml:space="preserve"> SEQ Tabela \* ARABIC </w:instrText>
      </w:r>
      <w:r>
        <w:fldChar w:fldCharType="separate"/>
      </w:r>
      <w:r w:rsidR="00763345">
        <w:rPr>
          <w:noProof/>
        </w:rPr>
        <w:t>88</w:t>
      </w:r>
      <w:r>
        <w:fldChar w:fldCharType="end"/>
      </w:r>
      <w:r w:rsidRPr="00432E11">
        <w:t xml:space="preserve"> Liczba</w:t>
      </w:r>
      <w:r w:rsidR="00E66B89">
        <w:t xml:space="preserve"> i </w:t>
      </w:r>
      <w:r w:rsidRPr="00432E11">
        <w:t>udział bezrobotnych</w:t>
      </w:r>
      <w:r w:rsidR="00E66B89">
        <w:t xml:space="preserve"> w </w:t>
      </w:r>
      <w:r w:rsidRPr="00432E11">
        <w:t>wieku 50</w:t>
      </w:r>
      <w:r>
        <w:t xml:space="preserve"> lat</w:t>
      </w:r>
      <w:r w:rsidR="00E66B89">
        <w:t xml:space="preserve"> i </w:t>
      </w:r>
      <w:r>
        <w:t>więcej</w:t>
      </w:r>
      <w:r w:rsidR="00E66B89">
        <w:t xml:space="preserve"> w </w:t>
      </w:r>
      <w:r w:rsidRPr="00432E11">
        <w:t>ogólnej liczbie bezrobotnych</w:t>
      </w:r>
      <w:r w:rsidR="00E66B89">
        <w:t xml:space="preserve"> w </w:t>
      </w:r>
      <w:r w:rsidRPr="00432E11">
        <w:t>województwie zachodniopomorskim</w:t>
      </w:r>
      <w:r w:rsidR="00E66B89">
        <w:t xml:space="preserve"> i w </w:t>
      </w:r>
      <w:r w:rsidRPr="00432E11">
        <w:t>porównaniu do Polski</w:t>
      </w:r>
      <w:bookmarkEnd w:id="181"/>
      <w:r>
        <w:t xml:space="preserve"> (</w:t>
      </w:r>
      <w:r w:rsidRPr="00B872D8">
        <w:t>31.XII)</w:t>
      </w:r>
      <w:bookmarkEnd w:id="182"/>
    </w:p>
    <w:tbl>
      <w:tblPr>
        <w:tblW w:w="5000" w:type="pct"/>
        <w:tblLayout w:type="fixed"/>
        <w:tblCellMar>
          <w:left w:w="70" w:type="dxa"/>
          <w:right w:w="70" w:type="dxa"/>
        </w:tblCellMar>
        <w:tblLook w:val="04A0" w:firstRow="1" w:lastRow="0" w:firstColumn="1" w:lastColumn="0" w:noHBand="0" w:noVBand="1"/>
      </w:tblPr>
      <w:tblGrid>
        <w:gridCol w:w="2440"/>
        <w:gridCol w:w="975"/>
        <w:gridCol w:w="979"/>
        <w:gridCol w:w="975"/>
        <w:gridCol w:w="977"/>
        <w:gridCol w:w="975"/>
        <w:gridCol w:w="837"/>
        <w:gridCol w:w="904"/>
      </w:tblGrid>
      <w:tr w:rsidR="00881780" w:rsidRPr="00A71C8E" w14:paraId="72236001" w14:textId="77777777" w:rsidTr="005F04FC">
        <w:trPr>
          <w:trHeight w:val="285"/>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5FFD1DF"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Udział bezrobotnych</w:t>
            </w:r>
            <w:r w:rsidR="00E66B89" w:rsidRPr="00A71C8E">
              <w:rPr>
                <w:rFonts w:cs="Arial"/>
                <w:b/>
                <w:bCs/>
                <w:color w:val="000000"/>
                <w:sz w:val="18"/>
                <w:szCs w:val="18"/>
              </w:rPr>
              <w:t xml:space="preserve"> w </w:t>
            </w:r>
            <w:r w:rsidRPr="00A71C8E">
              <w:rPr>
                <w:rFonts w:cs="Arial"/>
                <w:b/>
                <w:bCs/>
                <w:color w:val="000000"/>
                <w:sz w:val="18"/>
                <w:szCs w:val="18"/>
              </w:rPr>
              <w:t>wieku 50+</w:t>
            </w:r>
            <w:r w:rsidR="00E66B89" w:rsidRPr="00A71C8E">
              <w:rPr>
                <w:rFonts w:cs="Arial"/>
                <w:b/>
                <w:bCs/>
                <w:color w:val="000000"/>
                <w:sz w:val="18"/>
                <w:szCs w:val="18"/>
              </w:rPr>
              <w:t xml:space="preserve"> w </w:t>
            </w:r>
            <w:r w:rsidRPr="00A71C8E">
              <w:rPr>
                <w:rFonts w:cs="Arial"/>
                <w:b/>
                <w:bCs/>
                <w:color w:val="000000"/>
                <w:sz w:val="18"/>
                <w:szCs w:val="18"/>
              </w:rPr>
              <w:t>ogólnej liczbie bezrobotnych</w:t>
            </w:r>
          </w:p>
        </w:tc>
      </w:tr>
      <w:tr w:rsidR="00881780" w:rsidRPr="00A71C8E" w14:paraId="0D15BF2A" w14:textId="77777777" w:rsidTr="00B473DC">
        <w:trPr>
          <w:trHeight w:val="285"/>
          <w:tblHeader/>
        </w:trPr>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FA47"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Rok</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3C5C4FA2"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2012</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3C67CB86"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2013</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74F7AD11"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5CB759C3"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2015</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00FB7FF6"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4B68A5FB"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2017</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08B46F12"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2018</w:t>
            </w:r>
          </w:p>
        </w:tc>
      </w:tr>
      <w:tr w:rsidR="00881780" w:rsidRPr="00A71C8E" w14:paraId="0E278A9E" w14:textId="77777777" w:rsidTr="00B473DC">
        <w:trPr>
          <w:trHeight w:val="285"/>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35586" w14:textId="77777777" w:rsidR="00881780" w:rsidRPr="00A71C8E" w:rsidRDefault="00881780" w:rsidP="006F4D8F">
            <w:pPr>
              <w:spacing w:before="0" w:line="240" w:lineRule="auto"/>
              <w:rPr>
                <w:rFonts w:cs="Arial"/>
                <w:color w:val="000000"/>
                <w:sz w:val="18"/>
                <w:szCs w:val="18"/>
              </w:rPr>
            </w:pPr>
            <w:r w:rsidRPr="00A71C8E">
              <w:rPr>
                <w:rFonts w:cs="Arial"/>
                <w:bCs/>
                <w:color w:val="000000"/>
                <w:sz w:val="18"/>
                <w:szCs w:val="18"/>
              </w:rPr>
              <w:t>POLSKA (%)</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1604B00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22,76</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4CE2A94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24,31</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2E85F33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26,02</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3D09C0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27,49</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54FEE64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28,23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51D5FA6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27,60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18F51B5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26,68</w:t>
            </w:r>
          </w:p>
        </w:tc>
      </w:tr>
      <w:tr w:rsidR="00881780" w:rsidRPr="00A71C8E" w14:paraId="0F647DE7" w14:textId="77777777" w:rsidTr="00B473DC">
        <w:trPr>
          <w:trHeight w:val="285"/>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D7BFC" w14:textId="77777777" w:rsidR="00881780" w:rsidRPr="00A71C8E" w:rsidRDefault="00881780" w:rsidP="006F4D8F">
            <w:pPr>
              <w:spacing w:before="0" w:line="240" w:lineRule="auto"/>
              <w:rPr>
                <w:rFonts w:cs="Arial"/>
                <w:color w:val="000000"/>
                <w:sz w:val="18"/>
                <w:szCs w:val="18"/>
              </w:rPr>
            </w:pPr>
            <w:r w:rsidRPr="00A71C8E">
              <w:rPr>
                <w:rFonts w:cs="Arial"/>
                <w:bCs/>
                <w:color w:val="000000"/>
                <w:sz w:val="18"/>
                <w:szCs w:val="18"/>
              </w:rPr>
              <w:t>Zachodniopomorskie (%)</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208A28F2"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26,96</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F51A0C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28,59</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2992F75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29,63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0626E1A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31,44</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1CAA92F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31,86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56D5C1E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30,96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617CE4D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29,01</w:t>
            </w:r>
          </w:p>
        </w:tc>
      </w:tr>
      <w:tr w:rsidR="00881780" w:rsidRPr="00A71C8E" w14:paraId="4C8B1FF9" w14:textId="77777777" w:rsidTr="00B473DC">
        <w:trPr>
          <w:trHeight w:val="285"/>
        </w:trPr>
        <w:tc>
          <w:tcPr>
            <w:tcW w:w="1346" w:type="pct"/>
            <w:tcBorders>
              <w:top w:val="single" w:sz="4" w:space="0" w:color="auto"/>
              <w:left w:val="single" w:sz="4" w:space="0" w:color="auto"/>
              <w:bottom w:val="single" w:sz="4" w:space="0" w:color="auto"/>
              <w:right w:val="single" w:sz="4" w:space="0" w:color="auto"/>
            </w:tcBorders>
            <w:shd w:val="clear" w:color="auto" w:fill="auto"/>
          </w:tcPr>
          <w:p w14:paraId="1D3EC051"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Zachodniopomorskie (w tys.)</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0B649C26" w14:textId="77777777" w:rsidR="00881780" w:rsidRPr="00A71C8E" w:rsidRDefault="00881780" w:rsidP="00B473DC">
            <w:pPr>
              <w:spacing w:before="0" w:line="240" w:lineRule="auto"/>
              <w:jc w:val="center"/>
              <w:rPr>
                <w:sz w:val="18"/>
                <w:szCs w:val="18"/>
              </w:rPr>
            </w:pPr>
            <w:r w:rsidRPr="00A71C8E">
              <w:rPr>
                <w:sz w:val="18"/>
                <w:szCs w:val="18"/>
              </w:rPr>
              <w:t>30 333</w:t>
            </w:r>
          </w:p>
        </w:tc>
        <w:tc>
          <w:tcPr>
            <w:tcW w:w="540" w:type="pct"/>
            <w:tcBorders>
              <w:top w:val="single" w:sz="4" w:space="0" w:color="auto"/>
              <w:left w:val="nil"/>
              <w:bottom w:val="single" w:sz="4" w:space="0" w:color="auto"/>
              <w:right w:val="single" w:sz="4" w:space="0" w:color="auto"/>
            </w:tcBorders>
            <w:shd w:val="clear" w:color="auto" w:fill="auto"/>
            <w:noWrap/>
            <w:vAlign w:val="center"/>
          </w:tcPr>
          <w:p w14:paraId="2DC7248A" w14:textId="77777777" w:rsidR="00881780" w:rsidRPr="00A71C8E" w:rsidRDefault="00881780" w:rsidP="00B473DC">
            <w:pPr>
              <w:spacing w:before="0" w:line="240" w:lineRule="auto"/>
              <w:jc w:val="center"/>
              <w:rPr>
                <w:sz w:val="18"/>
                <w:szCs w:val="18"/>
              </w:rPr>
            </w:pPr>
            <w:r w:rsidRPr="00A71C8E">
              <w:rPr>
                <w:sz w:val="18"/>
                <w:szCs w:val="18"/>
              </w:rPr>
              <w:t>31 748</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4BD18797" w14:textId="77777777" w:rsidR="00881780" w:rsidRPr="00A71C8E" w:rsidRDefault="00881780" w:rsidP="00B473DC">
            <w:pPr>
              <w:spacing w:before="0" w:line="240" w:lineRule="auto"/>
              <w:jc w:val="center"/>
              <w:rPr>
                <w:sz w:val="18"/>
                <w:szCs w:val="18"/>
              </w:rPr>
            </w:pPr>
            <w:r w:rsidRPr="00A71C8E">
              <w:rPr>
                <w:sz w:val="18"/>
                <w:szCs w:val="18"/>
              </w:rPr>
              <w:t>27 986</w:t>
            </w:r>
          </w:p>
        </w:tc>
        <w:tc>
          <w:tcPr>
            <w:tcW w:w="539" w:type="pct"/>
            <w:tcBorders>
              <w:top w:val="single" w:sz="4" w:space="0" w:color="auto"/>
              <w:left w:val="nil"/>
              <w:bottom w:val="single" w:sz="4" w:space="0" w:color="auto"/>
              <w:right w:val="single" w:sz="4" w:space="0" w:color="auto"/>
            </w:tcBorders>
            <w:shd w:val="clear" w:color="auto" w:fill="auto"/>
            <w:noWrap/>
            <w:vAlign w:val="center"/>
          </w:tcPr>
          <w:p w14:paraId="404B944E" w14:textId="77777777" w:rsidR="00881780" w:rsidRPr="00A71C8E" w:rsidRDefault="00881780" w:rsidP="00B473DC">
            <w:pPr>
              <w:spacing w:before="0" w:line="240" w:lineRule="auto"/>
              <w:jc w:val="center"/>
              <w:rPr>
                <w:sz w:val="18"/>
                <w:szCs w:val="18"/>
              </w:rPr>
            </w:pPr>
            <w:r w:rsidRPr="00A71C8E">
              <w:rPr>
                <w:sz w:val="18"/>
                <w:szCs w:val="18"/>
              </w:rPr>
              <w:t>24 964</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2E85561E" w14:textId="77777777" w:rsidR="00881780" w:rsidRPr="00A71C8E" w:rsidRDefault="00881780" w:rsidP="00B473DC">
            <w:pPr>
              <w:spacing w:before="0" w:line="240" w:lineRule="auto"/>
              <w:jc w:val="center"/>
              <w:rPr>
                <w:sz w:val="18"/>
                <w:szCs w:val="18"/>
              </w:rPr>
            </w:pPr>
            <w:r w:rsidRPr="00A71C8E">
              <w:rPr>
                <w:sz w:val="18"/>
                <w:szCs w:val="18"/>
              </w:rPr>
              <w:t>20 974</w:t>
            </w:r>
          </w:p>
        </w:tc>
        <w:tc>
          <w:tcPr>
            <w:tcW w:w="462" w:type="pct"/>
            <w:tcBorders>
              <w:top w:val="single" w:sz="4" w:space="0" w:color="auto"/>
              <w:left w:val="nil"/>
              <w:bottom w:val="single" w:sz="4" w:space="0" w:color="auto"/>
              <w:right w:val="single" w:sz="4" w:space="0" w:color="auto"/>
            </w:tcBorders>
            <w:shd w:val="clear" w:color="auto" w:fill="auto"/>
            <w:noWrap/>
            <w:vAlign w:val="center"/>
          </w:tcPr>
          <w:p w14:paraId="4C45984F" w14:textId="77777777" w:rsidR="00881780" w:rsidRPr="00A71C8E" w:rsidRDefault="00881780" w:rsidP="00B473DC">
            <w:pPr>
              <w:spacing w:before="0" w:line="240" w:lineRule="auto"/>
              <w:jc w:val="center"/>
              <w:rPr>
                <w:sz w:val="18"/>
                <w:szCs w:val="18"/>
              </w:rPr>
            </w:pPr>
            <w:r w:rsidRPr="00A71C8E">
              <w:rPr>
                <w:sz w:val="18"/>
                <w:szCs w:val="18"/>
              </w:rPr>
              <w:t>16 283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24F0FF9E" w14:textId="77777777" w:rsidR="00881780" w:rsidRPr="00A71C8E" w:rsidRDefault="00881780" w:rsidP="00B473DC">
            <w:pPr>
              <w:spacing w:before="0" w:line="240" w:lineRule="auto"/>
              <w:jc w:val="center"/>
              <w:rPr>
                <w:sz w:val="18"/>
                <w:szCs w:val="18"/>
              </w:rPr>
            </w:pPr>
            <w:r w:rsidRPr="00A71C8E">
              <w:rPr>
                <w:sz w:val="18"/>
                <w:szCs w:val="18"/>
              </w:rPr>
              <w:t>13 814</w:t>
            </w:r>
          </w:p>
        </w:tc>
      </w:tr>
    </w:tbl>
    <w:p w14:paraId="1056698E" w14:textId="14B1C957"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5E1C14BF" w14:textId="77777777" w:rsidR="00881780" w:rsidRDefault="00881780" w:rsidP="00881780">
      <w:pPr>
        <w:autoSpaceDE w:val="0"/>
        <w:autoSpaceDN w:val="0"/>
        <w:adjustRightInd w:val="0"/>
        <w:spacing w:line="276" w:lineRule="auto"/>
        <w:rPr>
          <w:rFonts w:cs="Arial"/>
          <w:bCs/>
          <w:szCs w:val="20"/>
        </w:rPr>
      </w:pPr>
      <w:r w:rsidRPr="0075354E">
        <w:rPr>
          <w:rFonts w:cs="Arial"/>
          <w:bCs/>
          <w:szCs w:val="20"/>
        </w:rPr>
        <w:t>Na etapie przygotowania RPO W</w:t>
      </w:r>
      <w:r>
        <w:rPr>
          <w:rFonts w:cs="Arial"/>
          <w:bCs/>
          <w:szCs w:val="20"/>
        </w:rPr>
        <w:t>Z</w:t>
      </w:r>
      <w:r w:rsidRPr="0075354E">
        <w:rPr>
          <w:rFonts w:cs="Arial"/>
          <w:bCs/>
          <w:szCs w:val="20"/>
        </w:rPr>
        <w:t xml:space="preserve"> 2014-2020 problemem wymagający</w:t>
      </w:r>
      <w:r>
        <w:rPr>
          <w:rFonts w:cs="Arial"/>
          <w:bCs/>
          <w:szCs w:val="20"/>
        </w:rPr>
        <w:t>m</w:t>
      </w:r>
      <w:r w:rsidRPr="0075354E">
        <w:rPr>
          <w:rFonts w:cs="Arial"/>
          <w:bCs/>
          <w:szCs w:val="20"/>
        </w:rPr>
        <w:t xml:space="preserve"> interwencji była </w:t>
      </w:r>
      <w:r>
        <w:rPr>
          <w:rFonts w:cs="Arial"/>
          <w:bCs/>
          <w:szCs w:val="20"/>
        </w:rPr>
        <w:t xml:space="preserve">relatywnie </w:t>
      </w:r>
      <w:r w:rsidRPr="0075354E">
        <w:rPr>
          <w:rFonts w:cs="Arial"/>
          <w:bCs/>
          <w:szCs w:val="20"/>
        </w:rPr>
        <w:t>duża liczba osób biernych zawodowo</w:t>
      </w:r>
      <w:r>
        <w:rPr>
          <w:rFonts w:cs="Arial"/>
          <w:bCs/>
          <w:szCs w:val="20"/>
        </w:rPr>
        <w:t>; jednakże od 2012 do 2015 roku liczba ta systematycznie malała;</w:t>
      </w:r>
      <w:r w:rsidR="00E66B89">
        <w:rPr>
          <w:rFonts w:cs="Arial"/>
          <w:bCs/>
          <w:szCs w:val="20"/>
        </w:rPr>
        <w:t xml:space="preserve"> w </w:t>
      </w:r>
      <w:r>
        <w:rPr>
          <w:rFonts w:cs="Arial"/>
          <w:bCs/>
          <w:szCs w:val="20"/>
        </w:rPr>
        <w:t>2016 roku uległa zwiększeniu, po czym</w:t>
      </w:r>
      <w:r w:rsidR="00E66B89">
        <w:rPr>
          <w:rFonts w:cs="Arial"/>
          <w:bCs/>
          <w:szCs w:val="20"/>
        </w:rPr>
        <w:t xml:space="preserve"> w </w:t>
      </w:r>
      <w:r>
        <w:rPr>
          <w:rFonts w:cs="Arial"/>
          <w:bCs/>
          <w:szCs w:val="20"/>
        </w:rPr>
        <w:t>latach 2017-2018 ponownie spadła (w stosunku do roku 2017</w:t>
      </w:r>
      <w:r w:rsidR="00E66B89">
        <w:rPr>
          <w:rFonts w:cs="Arial"/>
          <w:bCs/>
          <w:szCs w:val="20"/>
        </w:rPr>
        <w:t xml:space="preserve"> w </w:t>
      </w:r>
      <w:r>
        <w:rPr>
          <w:rFonts w:cs="Arial"/>
          <w:bCs/>
          <w:szCs w:val="20"/>
        </w:rPr>
        <w:t>roku 2018 spadek</w:t>
      </w:r>
      <w:r w:rsidR="00E66B89">
        <w:rPr>
          <w:rFonts w:cs="Arial"/>
          <w:bCs/>
          <w:szCs w:val="20"/>
        </w:rPr>
        <w:t xml:space="preserve"> o </w:t>
      </w:r>
      <w:r>
        <w:rPr>
          <w:rFonts w:cs="Arial"/>
          <w:bCs/>
          <w:szCs w:val="20"/>
        </w:rPr>
        <w:t xml:space="preserve">24 tys. osób). </w:t>
      </w:r>
      <w:r w:rsidRPr="005A01D5">
        <w:rPr>
          <w:rFonts w:cs="Arial"/>
          <w:bCs/>
          <w:szCs w:val="20"/>
        </w:rPr>
        <w:t>Warto zwrócić uwagę na wyraźną różnicę</w:t>
      </w:r>
      <w:r w:rsidR="00E66B89">
        <w:rPr>
          <w:rFonts w:cs="Arial"/>
          <w:bCs/>
          <w:szCs w:val="20"/>
        </w:rPr>
        <w:t xml:space="preserve"> w </w:t>
      </w:r>
      <w:r w:rsidRPr="005A01D5">
        <w:rPr>
          <w:rFonts w:cs="Arial"/>
          <w:bCs/>
          <w:szCs w:val="20"/>
        </w:rPr>
        <w:t>liczbie biernych zawodowo kobiet</w:t>
      </w:r>
      <w:r w:rsidR="00E66B89">
        <w:rPr>
          <w:rFonts w:cs="Arial"/>
          <w:bCs/>
          <w:szCs w:val="20"/>
        </w:rPr>
        <w:t xml:space="preserve"> i </w:t>
      </w:r>
      <w:r w:rsidRPr="005A01D5">
        <w:rPr>
          <w:rFonts w:cs="Arial"/>
          <w:bCs/>
          <w:szCs w:val="20"/>
        </w:rPr>
        <w:t>mężczyzn – status biernych zawodowo</w:t>
      </w:r>
      <w:r w:rsidR="00E66B89">
        <w:rPr>
          <w:rFonts w:cs="Arial"/>
          <w:bCs/>
          <w:szCs w:val="20"/>
        </w:rPr>
        <w:t xml:space="preserve"> w </w:t>
      </w:r>
      <w:r w:rsidRPr="005A01D5">
        <w:rPr>
          <w:rFonts w:cs="Arial"/>
          <w:bCs/>
          <w:szCs w:val="20"/>
        </w:rPr>
        <w:t>okresie wdrażania Programu częściej posiadały kobiety niż mężczyźni</w:t>
      </w:r>
      <w:r>
        <w:rPr>
          <w:rFonts w:cs="Arial"/>
          <w:bCs/>
          <w:szCs w:val="20"/>
        </w:rPr>
        <w:t xml:space="preserve"> (kobiety</w:t>
      </w:r>
      <w:r w:rsidR="00E66B89">
        <w:rPr>
          <w:rFonts w:cs="Arial"/>
          <w:bCs/>
          <w:szCs w:val="20"/>
        </w:rPr>
        <w:t xml:space="preserve"> w </w:t>
      </w:r>
      <w:r>
        <w:rPr>
          <w:rFonts w:cs="Arial"/>
          <w:bCs/>
          <w:szCs w:val="20"/>
        </w:rPr>
        <w:t xml:space="preserve">województwie zachodniopomorskim częściej niż mężczyźni pozostają </w:t>
      </w:r>
      <w:r w:rsidRPr="0075354E">
        <w:rPr>
          <w:rFonts w:cs="Arial"/>
          <w:bCs/>
          <w:szCs w:val="20"/>
        </w:rPr>
        <w:t>poza siłą roboczą</w:t>
      </w:r>
      <w:r w:rsidR="00E66B89">
        <w:rPr>
          <w:rFonts w:cs="Arial"/>
          <w:bCs/>
          <w:szCs w:val="20"/>
        </w:rPr>
        <w:t xml:space="preserve"> i </w:t>
      </w:r>
      <w:r w:rsidRPr="0075354E">
        <w:rPr>
          <w:rFonts w:cs="Arial"/>
          <w:bCs/>
          <w:szCs w:val="20"/>
        </w:rPr>
        <w:t xml:space="preserve">nie </w:t>
      </w:r>
      <w:r>
        <w:rPr>
          <w:rFonts w:cs="Arial"/>
          <w:bCs/>
          <w:szCs w:val="20"/>
        </w:rPr>
        <w:t>są</w:t>
      </w:r>
      <w:r w:rsidRPr="0075354E">
        <w:rPr>
          <w:rFonts w:cs="Arial"/>
          <w:bCs/>
          <w:szCs w:val="20"/>
        </w:rPr>
        <w:t xml:space="preserve"> zaklasyfikowane jako pracujące lub bezrobotne</w:t>
      </w:r>
      <w:r w:rsidRPr="00404DA5">
        <w:rPr>
          <w:rStyle w:val="Odwoanieprzypisudolnego"/>
          <w:rFonts w:cs="Arial"/>
          <w:szCs w:val="20"/>
        </w:rPr>
        <w:footnoteReference w:id="52"/>
      </w:r>
      <w:r>
        <w:rPr>
          <w:rFonts w:cs="Arial"/>
          <w:bCs/>
          <w:szCs w:val="20"/>
        </w:rPr>
        <w:t>). Mimo powrotu</w:t>
      </w:r>
      <w:r w:rsidR="00E66B89">
        <w:rPr>
          <w:rFonts w:cs="Arial"/>
          <w:bCs/>
          <w:szCs w:val="20"/>
        </w:rPr>
        <w:t xml:space="preserve"> w </w:t>
      </w:r>
      <w:r>
        <w:rPr>
          <w:rFonts w:cs="Arial"/>
          <w:bCs/>
          <w:szCs w:val="20"/>
        </w:rPr>
        <w:t>2017 roku do – występującej</w:t>
      </w:r>
      <w:r w:rsidR="00E66B89">
        <w:rPr>
          <w:rFonts w:cs="Arial"/>
          <w:bCs/>
          <w:szCs w:val="20"/>
        </w:rPr>
        <w:t xml:space="preserve"> w </w:t>
      </w:r>
      <w:r>
        <w:rPr>
          <w:rFonts w:cs="Arial"/>
          <w:bCs/>
          <w:szCs w:val="20"/>
        </w:rPr>
        <w:t xml:space="preserve">latach 2013-2015 </w:t>
      </w:r>
      <w:r>
        <w:rPr>
          <w:rFonts w:cs="Arial"/>
          <w:bCs/>
          <w:szCs w:val="20"/>
        </w:rPr>
        <w:noBreakHyphen/>
        <w:t xml:space="preserve"> tendencji spadkowej</w:t>
      </w:r>
      <w:r w:rsidR="00E66B89">
        <w:rPr>
          <w:rFonts w:cs="Arial"/>
          <w:bCs/>
          <w:szCs w:val="20"/>
        </w:rPr>
        <w:t xml:space="preserve"> w </w:t>
      </w:r>
      <w:r>
        <w:rPr>
          <w:rFonts w:cs="Arial"/>
          <w:bCs/>
          <w:szCs w:val="20"/>
        </w:rPr>
        <w:t>zakresie liczby osób biernych zawodowo, należy podkreślić że n</w:t>
      </w:r>
      <w:r w:rsidRPr="0075354E">
        <w:rPr>
          <w:rFonts w:cs="Arial"/>
          <w:bCs/>
          <w:szCs w:val="20"/>
        </w:rPr>
        <w:t>a przestrzeni lat 2012</w:t>
      </w:r>
      <w:r>
        <w:rPr>
          <w:rFonts w:cs="Arial"/>
          <w:bCs/>
          <w:szCs w:val="20"/>
        </w:rPr>
        <w:t>-</w:t>
      </w:r>
      <w:r w:rsidRPr="0075354E">
        <w:rPr>
          <w:rFonts w:cs="Arial"/>
          <w:bCs/>
          <w:szCs w:val="20"/>
        </w:rPr>
        <w:t>201</w:t>
      </w:r>
      <w:r>
        <w:rPr>
          <w:rFonts w:cs="Arial"/>
          <w:bCs/>
          <w:szCs w:val="20"/>
        </w:rPr>
        <w:t>8</w:t>
      </w:r>
      <w:r w:rsidRPr="0075354E">
        <w:rPr>
          <w:rFonts w:cs="Arial"/>
          <w:bCs/>
          <w:szCs w:val="20"/>
        </w:rPr>
        <w:t xml:space="preserve"> liczba </w:t>
      </w:r>
      <w:r>
        <w:rPr>
          <w:rFonts w:cs="Arial"/>
          <w:bCs/>
          <w:szCs w:val="20"/>
        </w:rPr>
        <w:t>ta</w:t>
      </w:r>
      <w:r w:rsidRPr="0075354E">
        <w:rPr>
          <w:rFonts w:cs="Arial"/>
          <w:bCs/>
          <w:szCs w:val="20"/>
        </w:rPr>
        <w:t xml:space="preserve"> w</w:t>
      </w:r>
      <w:r>
        <w:rPr>
          <w:rFonts w:cs="Arial"/>
          <w:bCs/>
          <w:szCs w:val="20"/>
        </w:rPr>
        <w:t>zrosła</w:t>
      </w:r>
      <w:r w:rsidR="00E66B89">
        <w:rPr>
          <w:rFonts w:cs="Arial"/>
          <w:bCs/>
          <w:szCs w:val="20"/>
        </w:rPr>
        <w:t xml:space="preserve"> w </w:t>
      </w:r>
      <w:r w:rsidRPr="0075354E">
        <w:rPr>
          <w:rFonts w:cs="Arial"/>
          <w:bCs/>
          <w:szCs w:val="20"/>
        </w:rPr>
        <w:t>regionie</w:t>
      </w:r>
      <w:r w:rsidR="00E66B89">
        <w:rPr>
          <w:rFonts w:cs="Arial"/>
          <w:bCs/>
          <w:szCs w:val="20"/>
        </w:rPr>
        <w:t xml:space="preserve"> z </w:t>
      </w:r>
      <w:r>
        <w:rPr>
          <w:rFonts w:cs="Arial"/>
          <w:bCs/>
          <w:szCs w:val="20"/>
        </w:rPr>
        <w:t xml:space="preserve">583 tys. </w:t>
      </w:r>
      <w:r w:rsidRPr="0075354E">
        <w:rPr>
          <w:rFonts w:cs="Arial"/>
          <w:bCs/>
          <w:szCs w:val="20"/>
        </w:rPr>
        <w:t xml:space="preserve">do </w:t>
      </w:r>
      <w:r>
        <w:rPr>
          <w:rFonts w:cs="Arial"/>
          <w:bCs/>
          <w:szCs w:val="20"/>
        </w:rPr>
        <w:t>600</w:t>
      </w:r>
      <w:r w:rsidRPr="0075354E">
        <w:rPr>
          <w:rFonts w:cs="Arial"/>
          <w:bCs/>
          <w:szCs w:val="20"/>
        </w:rPr>
        <w:t xml:space="preserve"> tys</w:t>
      </w:r>
      <w:r>
        <w:rPr>
          <w:rFonts w:cs="Arial"/>
          <w:bCs/>
          <w:szCs w:val="20"/>
        </w:rPr>
        <w:t>. Potrzebę wdrożenia interwencji skierowanej na wsparcie osób biernych zawodowo należy uznać za aktualną. Działania, których celem jest aktywizacja zawodowa</w:t>
      </w:r>
      <w:r w:rsidR="00E66B89">
        <w:rPr>
          <w:rFonts w:cs="Arial"/>
          <w:bCs/>
          <w:szCs w:val="20"/>
        </w:rPr>
        <w:t xml:space="preserve"> i </w:t>
      </w:r>
      <w:r>
        <w:rPr>
          <w:rFonts w:cs="Arial"/>
          <w:bCs/>
          <w:szCs w:val="20"/>
        </w:rPr>
        <w:t>włączenie do rynku pracy tej grupy osób powinny być kontynuowane.</w:t>
      </w:r>
    </w:p>
    <w:p w14:paraId="7654CB02" w14:textId="77777777" w:rsidR="00881780" w:rsidRDefault="00881780" w:rsidP="00881780">
      <w:pPr>
        <w:autoSpaceDE w:val="0"/>
        <w:autoSpaceDN w:val="0"/>
        <w:adjustRightInd w:val="0"/>
        <w:spacing w:line="276" w:lineRule="auto"/>
        <w:rPr>
          <w:rFonts w:cs="Arial"/>
          <w:bCs/>
          <w:szCs w:val="20"/>
        </w:rPr>
      </w:pPr>
      <w:r w:rsidRPr="00032528">
        <w:rPr>
          <w:rFonts w:cs="Arial"/>
          <w:bCs/>
          <w:szCs w:val="20"/>
        </w:rPr>
        <w:t>W Regionalnym Programie Operacyjnym Województwa Zachodniopomorskiego jako jeden</w:t>
      </w:r>
      <w:r w:rsidR="00E66B89">
        <w:rPr>
          <w:rFonts w:cs="Arial"/>
          <w:bCs/>
          <w:szCs w:val="20"/>
        </w:rPr>
        <w:t xml:space="preserve"> z </w:t>
      </w:r>
      <w:r w:rsidRPr="00032528">
        <w:rPr>
          <w:rFonts w:cs="Arial"/>
          <w:bCs/>
          <w:szCs w:val="20"/>
        </w:rPr>
        <w:t>kluczowych problemów rynku pracy podawany jest niski wskaźnik zatrudnienia osób</w:t>
      </w:r>
      <w:r w:rsidR="00E66B89">
        <w:rPr>
          <w:rFonts w:cs="Arial"/>
          <w:bCs/>
          <w:szCs w:val="20"/>
        </w:rPr>
        <w:t xml:space="preserve"> w </w:t>
      </w:r>
      <w:r w:rsidRPr="00032528">
        <w:rPr>
          <w:rFonts w:cs="Arial"/>
          <w:bCs/>
          <w:szCs w:val="20"/>
        </w:rPr>
        <w:t xml:space="preserve">wieku </w:t>
      </w:r>
      <w:r>
        <w:rPr>
          <w:rFonts w:cs="Arial"/>
          <w:bCs/>
          <w:szCs w:val="20"/>
        </w:rPr>
        <w:t>20 lat</w:t>
      </w:r>
      <w:r w:rsidR="00E66B89">
        <w:rPr>
          <w:rFonts w:cs="Arial"/>
          <w:bCs/>
          <w:szCs w:val="20"/>
        </w:rPr>
        <w:t xml:space="preserve"> i </w:t>
      </w:r>
      <w:r>
        <w:rPr>
          <w:rFonts w:cs="Arial"/>
          <w:bCs/>
          <w:szCs w:val="20"/>
        </w:rPr>
        <w:t>więcej</w:t>
      </w:r>
      <w:r w:rsidRPr="00032528">
        <w:rPr>
          <w:rFonts w:cs="Arial"/>
          <w:bCs/>
          <w:szCs w:val="20"/>
        </w:rPr>
        <w:t xml:space="preserve"> </w:t>
      </w:r>
      <w:r>
        <w:rPr>
          <w:rFonts w:cs="Arial"/>
          <w:bCs/>
          <w:szCs w:val="20"/>
        </w:rPr>
        <w:t>–</w:t>
      </w:r>
      <w:r w:rsidR="00E66B89">
        <w:rPr>
          <w:rFonts w:cs="Arial"/>
          <w:bCs/>
          <w:szCs w:val="20"/>
        </w:rPr>
        <w:t xml:space="preserve"> w </w:t>
      </w:r>
      <w:r w:rsidRPr="00032528">
        <w:rPr>
          <w:rFonts w:cs="Arial"/>
          <w:bCs/>
          <w:szCs w:val="20"/>
        </w:rPr>
        <w:t xml:space="preserve">okresie </w:t>
      </w:r>
      <w:r>
        <w:rPr>
          <w:rFonts w:cs="Arial"/>
          <w:bCs/>
          <w:szCs w:val="20"/>
        </w:rPr>
        <w:t>przygotowania Programu</w:t>
      </w:r>
      <w:r w:rsidRPr="00032528">
        <w:rPr>
          <w:rFonts w:cs="Arial"/>
          <w:bCs/>
          <w:szCs w:val="20"/>
        </w:rPr>
        <w:t xml:space="preserve"> </w:t>
      </w:r>
      <w:r>
        <w:rPr>
          <w:rFonts w:cs="Arial"/>
          <w:bCs/>
          <w:szCs w:val="20"/>
        </w:rPr>
        <w:t xml:space="preserve">(w 2012 roku) </w:t>
      </w:r>
      <w:r w:rsidRPr="00032528">
        <w:rPr>
          <w:rFonts w:cs="Arial"/>
          <w:bCs/>
          <w:szCs w:val="20"/>
        </w:rPr>
        <w:t xml:space="preserve">wynosił on </w:t>
      </w:r>
      <w:r>
        <w:rPr>
          <w:rFonts w:cs="Arial"/>
          <w:bCs/>
          <w:szCs w:val="20"/>
        </w:rPr>
        <w:t>59,8</w:t>
      </w:r>
      <w:r w:rsidRPr="00032528">
        <w:rPr>
          <w:rFonts w:cs="Arial"/>
          <w:bCs/>
          <w:szCs w:val="20"/>
        </w:rPr>
        <w:t>%</w:t>
      </w:r>
      <w:r w:rsidR="00E66B89">
        <w:rPr>
          <w:rFonts w:cs="Arial"/>
          <w:bCs/>
          <w:szCs w:val="20"/>
        </w:rPr>
        <w:t xml:space="preserve"> i </w:t>
      </w:r>
      <w:r w:rsidRPr="00032528">
        <w:rPr>
          <w:rFonts w:cs="Arial"/>
          <w:bCs/>
          <w:szCs w:val="20"/>
        </w:rPr>
        <w:t xml:space="preserve">był znacznie niższy </w:t>
      </w:r>
      <w:r>
        <w:rPr>
          <w:rFonts w:cs="Arial"/>
          <w:bCs/>
          <w:szCs w:val="20"/>
        </w:rPr>
        <w:t xml:space="preserve">(o 5,20 pp.) </w:t>
      </w:r>
      <w:r w:rsidRPr="00032528">
        <w:rPr>
          <w:rFonts w:cs="Arial"/>
          <w:bCs/>
          <w:szCs w:val="20"/>
        </w:rPr>
        <w:t xml:space="preserve">od wartości krajowej, wynoszącej </w:t>
      </w:r>
      <w:r>
        <w:rPr>
          <w:rFonts w:cs="Arial"/>
          <w:bCs/>
          <w:szCs w:val="20"/>
        </w:rPr>
        <w:t>65</w:t>
      </w:r>
      <w:r w:rsidRPr="00032528">
        <w:rPr>
          <w:rFonts w:cs="Arial"/>
          <w:bCs/>
          <w:szCs w:val="20"/>
        </w:rPr>
        <w:t>%.</w:t>
      </w:r>
      <w:r>
        <w:rPr>
          <w:rFonts w:cs="Arial"/>
          <w:bCs/>
          <w:szCs w:val="20"/>
        </w:rPr>
        <w:t xml:space="preserve"> Szacowano również, „</w:t>
      </w:r>
      <w:r w:rsidRPr="00254A24">
        <w:rPr>
          <w:rFonts w:cs="Arial"/>
          <w:bCs/>
          <w:szCs w:val="20"/>
        </w:rPr>
        <w:t>że</w:t>
      </w:r>
      <w:r w:rsidR="00E66B89">
        <w:rPr>
          <w:rFonts w:cs="Arial"/>
          <w:bCs/>
          <w:szCs w:val="20"/>
        </w:rPr>
        <w:t xml:space="preserve"> w </w:t>
      </w:r>
      <w:r w:rsidRPr="00254A24">
        <w:rPr>
          <w:rFonts w:cs="Arial"/>
          <w:bCs/>
          <w:szCs w:val="20"/>
        </w:rPr>
        <w:t>latach realizacji RPO WZ 2014-2020 wskaźnik ten będzie systematycznie</w:t>
      </w:r>
      <w:r>
        <w:rPr>
          <w:rFonts w:cs="Arial"/>
          <w:bCs/>
          <w:szCs w:val="20"/>
        </w:rPr>
        <w:t xml:space="preserve"> </w:t>
      </w:r>
      <w:r w:rsidRPr="00254A24">
        <w:rPr>
          <w:rFonts w:cs="Arial"/>
          <w:bCs/>
          <w:szCs w:val="20"/>
        </w:rPr>
        <w:t>wzrastał, osiągając wartości 66%, 67%</w:t>
      </w:r>
      <w:r w:rsidR="00E66B89">
        <w:rPr>
          <w:rFonts w:cs="Arial"/>
          <w:bCs/>
          <w:szCs w:val="20"/>
        </w:rPr>
        <w:t xml:space="preserve"> i </w:t>
      </w:r>
      <w:r w:rsidRPr="00254A24">
        <w:rPr>
          <w:rFonts w:cs="Arial"/>
          <w:bCs/>
          <w:szCs w:val="20"/>
        </w:rPr>
        <w:t>70% odpowiednio</w:t>
      </w:r>
      <w:r w:rsidR="00E66B89">
        <w:rPr>
          <w:rFonts w:cs="Arial"/>
          <w:bCs/>
          <w:szCs w:val="20"/>
        </w:rPr>
        <w:t xml:space="preserve"> w </w:t>
      </w:r>
      <w:r w:rsidRPr="00254A24">
        <w:rPr>
          <w:rFonts w:cs="Arial"/>
          <w:bCs/>
          <w:szCs w:val="20"/>
        </w:rPr>
        <w:t>latach 2018, 2020</w:t>
      </w:r>
      <w:r w:rsidR="00E66B89">
        <w:rPr>
          <w:rFonts w:cs="Arial"/>
          <w:bCs/>
          <w:szCs w:val="20"/>
        </w:rPr>
        <w:t xml:space="preserve"> i </w:t>
      </w:r>
      <w:r w:rsidRPr="00254A24">
        <w:rPr>
          <w:rFonts w:cs="Arial"/>
          <w:bCs/>
          <w:szCs w:val="20"/>
        </w:rPr>
        <w:t>2023</w:t>
      </w:r>
      <w:r>
        <w:rPr>
          <w:rFonts w:cs="Arial"/>
          <w:bCs/>
          <w:szCs w:val="20"/>
        </w:rPr>
        <w:t>”</w:t>
      </w:r>
      <w:r>
        <w:rPr>
          <w:rStyle w:val="Odwoanieprzypisudolnego"/>
          <w:rFonts w:cs="Arial"/>
          <w:bCs/>
          <w:szCs w:val="20"/>
        </w:rPr>
        <w:footnoteReference w:id="53"/>
      </w:r>
      <w:r w:rsidRPr="00254A24">
        <w:rPr>
          <w:rFonts w:cs="Arial"/>
          <w:bCs/>
          <w:szCs w:val="20"/>
        </w:rPr>
        <w:t>.</w:t>
      </w:r>
      <w:r w:rsidR="00E66B89">
        <w:rPr>
          <w:rFonts w:cs="Arial"/>
          <w:bCs/>
          <w:szCs w:val="20"/>
        </w:rPr>
        <w:t xml:space="preserve"> W </w:t>
      </w:r>
      <w:r>
        <w:rPr>
          <w:rFonts w:cs="Arial"/>
          <w:bCs/>
          <w:szCs w:val="20"/>
        </w:rPr>
        <w:t>IV kwartale 2018 wskaźnik zatrudnienia</w:t>
      </w:r>
      <w:r w:rsidR="00E66B89">
        <w:rPr>
          <w:rFonts w:cs="Arial"/>
          <w:bCs/>
          <w:szCs w:val="20"/>
        </w:rPr>
        <w:t xml:space="preserve"> w </w:t>
      </w:r>
      <w:r>
        <w:rPr>
          <w:rFonts w:cs="Arial"/>
          <w:bCs/>
          <w:szCs w:val="20"/>
        </w:rPr>
        <w:t>regionie osiągnął wartość 72,0% (bardzo bliską wartości wskaźnika dla kraju), osiągnięty wynik jest wyższy niż estymowany</w:t>
      </w:r>
      <w:r w:rsidR="00E66B89">
        <w:rPr>
          <w:rFonts w:cs="Arial"/>
          <w:bCs/>
          <w:szCs w:val="20"/>
        </w:rPr>
        <w:t xml:space="preserve"> w </w:t>
      </w:r>
      <w:r>
        <w:rPr>
          <w:rFonts w:cs="Arial"/>
          <w:bCs/>
          <w:szCs w:val="20"/>
        </w:rPr>
        <w:t>Programie</w:t>
      </w:r>
      <w:r w:rsidR="00E66B89">
        <w:rPr>
          <w:rFonts w:cs="Arial"/>
          <w:bCs/>
          <w:szCs w:val="20"/>
        </w:rPr>
        <w:t xml:space="preserve"> i </w:t>
      </w:r>
      <w:r>
        <w:rPr>
          <w:rFonts w:cs="Arial"/>
          <w:bCs/>
          <w:szCs w:val="20"/>
        </w:rPr>
        <w:t>przesuwa region</w:t>
      </w:r>
      <w:r w:rsidR="00E66B89">
        <w:rPr>
          <w:rFonts w:cs="Arial"/>
          <w:bCs/>
          <w:szCs w:val="20"/>
        </w:rPr>
        <w:t xml:space="preserve"> z </w:t>
      </w:r>
      <w:r>
        <w:rPr>
          <w:rFonts w:cs="Arial"/>
          <w:bCs/>
          <w:szCs w:val="20"/>
        </w:rPr>
        <w:t>przedostatniej (15.) pozycji</w:t>
      </w:r>
      <w:r w:rsidR="00E66B89">
        <w:rPr>
          <w:rFonts w:cs="Arial"/>
          <w:bCs/>
          <w:szCs w:val="20"/>
        </w:rPr>
        <w:t xml:space="preserve"> w </w:t>
      </w:r>
      <w:r>
        <w:rPr>
          <w:rFonts w:cs="Arial"/>
          <w:bCs/>
          <w:szCs w:val="20"/>
        </w:rPr>
        <w:t>Polsce zajmowanej</w:t>
      </w:r>
      <w:r w:rsidR="00E66B89">
        <w:rPr>
          <w:rFonts w:cs="Arial"/>
          <w:bCs/>
          <w:szCs w:val="20"/>
        </w:rPr>
        <w:t xml:space="preserve"> w </w:t>
      </w:r>
      <w:r>
        <w:rPr>
          <w:rFonts w:cs="Arial"/>
          <w:bCs/>
          <w:szCs w:val="20"/>
        </w:rPr>
        <w:t>2012 roku na silną 6. pozycję</w:t>
      </w:r>
      <w:r w:rsidR="00E66B89">
        <w:rPr>
          <w:rFonts w:cs="Arial"/>
          <w:bCs/>
          <w:szCs w:val="20"/>
        </w:rPr>
        <w:t xml:space="preserve"> w </w:t>
      </w:r>
      <w:r>
        <w:rPr>
          <w:rFonts w:cs="Arial"/>
          <w:bCs/>
          <w:szCs w:val="20"/>
        </w:rPr>
        <w:t>kraju. W</w:t>
      </w:r>
      <w:r w:rsidRPr="009C5B24">
        <w:rPr>
          <w:rFonts w:cs="Arial"/>
          <w:bCs/>
          <w:szCs w:val="20"/>
        </w:rPr>
        <w:t>yraźn</w:t>
      </w:r>
      <w:r>
        <w:rPr>
          <w:rFonts w:cs="Arial"/>
          <w:bCs/>
          <w:szCs w:val="20"/>
        </w:rPr>
        <w:t>a</w:t>
      </w:r>
      <w:r w:rsidRPr="009C5B24">
        <w:rPr>
          <w:rFonts w:cs="Arial"/>
          <w:bCs/>
          <w:szCs w:val="20"/>
        </w:rPr>
        <w:t xml:space="preserve"> tendencj</w:t>
      </w:r>
      <w:r>
        <w:rPr>
          <w:rFonts w:cs="Arial"/>
          <w:bCs/>
          <w:szCs w:val="20"/>
        </w:rPr>
        <w:t>a</w:t>
      </w:r>
      <w:r w:rsidRPr="009C5B24">
        <w:rPr>
          <w:rFonts w:cs="Arial"/>
          <w:bCs/>
          <w:szCs w:val="20"/>
        </w:rPr>
        <w:t xml:space="preserve"> wzrostow</w:t>
      </w:r>
      <w:r>
        <w:rPr>
          <w:rFonts w:cs="Arial"/>
          <w:bCs/>
          <w:szCs w:val="20"/>
        </w:rPr>
        <w:t>a</w:t>
      </w:r>
      <w:r w:rsidRPr="009C5B24">
        <w:rPr>
          <w:rFonts w:cs="Arial"/>
          <w:bCs/>
          <w:szCs w:val="20"/>
        </w:rPr>
        <w:t xml:space="preserve"> </w:t>
      </w:r>
      <w:r>
        <w:rPr>
          <w:rFonts w:cs="Arial"/>
          <w:bCs/>
          <w:szCs w:val="20"/>
        </w:rPr>
        <w:t>w</w:t>
      </w:r>
      <w:r w:rsidRPr="009C5B24">
        <w:rPr>
          <w:rFonts w:cs="Arial"/>
          <w:bCs/>
          <w:szCs w:val="20"/>
        </w:rPr>
        <w:t>skaźnik</w:t>
      </w:r>
      <w:r>
        <w:rPr>
          <w:rFonts w:cs="Arial"/>
          <w:bCs/>
          <w:szCs w:val="20"/>
        </w:rPr>
        <w:t>a</w:t>
      </w:r>
      <w:r w:rsidRPr="009C5B24">
        <w:rPr>
          <w:rFonts w:cs="Arial"/>
          <w:bCs/>
          <w:szCs w:val="20"/>
        </w:rPr>
        <w:t xml:space="preserve"> zatrudnienia</w:t>
      </w:r>
      <w:r w:rsidR="00E66B89">
        <w:rPr>
          <w:rFonts w:cs="Arial"/>
          <w:bCs/>
          <w:szCs w:val="20"/>
        </w:rPr>
        <w:t xml:space="preserve"> w </w:t>
      </w:r>
      <w:r>
        <w:rPr>
          <w:rFonts w:cs="Arial"/>
          <w:bCs/>
          <w:szCs w:val="20"/>
        </w:rPr>
        <w:t xml:space="preserve">każdej grupie </w:t>
      </w:r>
      <w:r>
        <w:rPr>
          <w:rFonts w:cs="Arial"/>
          <w:bCs/>
          <w:szCs w:val="20"/>
        </w:rPr>
        <w:lastRenderedPageBreak/>
        <w:t>wiekowej (osób młodych: 15-24 lata, osób</w:t>
      </w:r>
      <w:r w:rsidR="00E66B89">
        <w:rPr>
          <w:rFonts w:cs="Arial"/>
          <w:bCs/>
          <w:szCs w:val="20"/>
        </w:rPr>
        <w:t xml:space="preserve"> w </w:t>
      </w:r>
      <w:r>
        <w:rPr>
          <w:rFonts w:cs="Arial"/>
          <w:bCs/>
          <w:szCs w:val="20"/>
        </w:rPr>
        <w:t>grupie wieku 25-54 lata oraz 55-64 lata)</w:t>
      </w:r>
      <w:r w:rsidR="00E66B89">
        <w:rPr>
          <w:rFonts w:cs="Arial"/>
          <w:bCs/>
          <w:szCs w:val="20"/>
        </w:rPr>
        <w:t xml:space="preserve"> w </w:t>
      </w:r>
      <w:r w:rsidRPr="009C5B24">
        <w:rPr>
          <w:rFonts w:cs="Arial"/>
          <w:bCs/>
          <w:szCs w:val="20"/>
        </w:rPr>
        <w:t>całym okresie wdrażania Programu</w:t>
      </w:r>
      <w:r>
        <w:rPr>
          <w:rFonts w:cs="Arial"/>
          <w:bCs/>
          <w:szCs w:val="20"/>
        </w:rPr>
        <w:t>, jak również powrót</w:t>
      </w:r>
      <w:r w:rsidR="00E66B89">
        <w:rPr>
          <w:rFonts w:cs="Arial"/>
          <w:bCs/>
          <w:szCs w:val="20"/>
        </w:rPr>
        <w:t xml:space="preserve"> w </w:t>
      </w:r>
      <w:r w:rsidRPr="009C5B24">
        <w:rPr>
          <w:rFonts w:cs="Arial"/>
          <w:bCs/>
          <w:szCs w:val="20"/>
        </w:rPr>
        <w:t>2017 roku do – występującej</w:t>
      </w:r>
      <w:r w:rsidR="00E66B89">
        <w:rPr>
          <w:rFonts w:cs="Arial"/>
          <w:bCs/>
          <w:szCs w:val="20"/>
        </w:rPr>
        <w:t xml:space="preserve"> w </w:t>
      </w:r>
      <w:r w:rsidRPr="009C5B24">
        <w:rPr>
          <w:rFonts w:cs="Arial"/>
          <w:bCs/>
          <w:szCs w:val="20"/>
        </w:rPr>
        <w:t xml:space="preserve">latach 2013-2015 </w:t>
      </w:r>
      <w:r>
        <w:rPr>
          <w:rFonts w:cs="Arial"/>
          <w:bCs/>
          <w:szCs w:val="20"/>
        </w:rPr>
        <w:noBreakHyphen/>
      </w:r>
      <w:r w:rsidRPr="009C5B24">
        <w:rPr>
          <w:rFonts w:cs="Arial"/>
          <w:bCs/>
          <w:szCs w:val="20"/>
        </w:rPr>
        <w:t xml:space="preserve"> tendencji spadkowej</w:t>
      </w:r>
      <w:r w:rsidR="00E66B89">
        <w:rPr>
          <w:rFonts w:cs="Arial"/>
          <w:bCs/>
          <w:szCs w:val="20"/>
        </w:rPr>
        <w:t xml:space="preserve"> w </w:t>
      </w:r>
      <w:r w:rsidRPr="009C5B24">
        <w:rPr>
          <w:rFonts w:cs="Arial"/>
          <w:bCs/>
          <w:szCs w:val="20"/>
        </w:rPr>
        <w:t>zakresie liczby osób biernych zawodowo</w:t>
      </w:r>
      <w:r>
        <w:rPr>
          <w:rFonts w:cs="Arial"/>
          <w:bCs/>
          <w:szCs w:val="20"/>
        </w:rPr>
        <w:t>,</w:t>
      </w:r>
      <w:r w:rsidRPr="009C5B24">
        <w:rPr>
          <w:rFonts w:cs="Arial"/>
          <w:bCs/>
          <w:szCs w:val="20"/>
        </w:rPr>
        <w:t xml:space="preserve"> </w:t>
      </w:r>
      <w:r>
        <w:rPr>
          <w:rFonts w:cs="Arial"/>
          <w:bCs/>
          <w:szCs w:val="20"/>
        </w:rPr>
        <w:t>w</w:t>
      </w:r>
      <w:r w:rsidRPr="006009E9">
        <w:rPr>
          <w:rFonts w:cs="Arial"/>
          <w:bCs/>
          <w:szCs w:val="20"/>
        </w:rPr>
        <w:t>skazuj</w:t>
      </w:r>
      <w:r>
        <w:rPr>
          <w:rFonts w:cs="Arial"/>
          <w:bCs/>
          <w:szCs w:val="20"/>
        </w:rPr>
        <w:t>ą</w:t>
      </w:r>
      <w:r w:rsidRPr="006009E9">
        <w:rPr>
          <w:rFonts w:cs="Arial"/>
          <w:bCs/>
          <w:szCs w:val="20"/>
        </w:rPr>
        <w:t xml:space="preserve"> na występowanie </w:t>
      </w:r>
      <w:r>
        <w:rPr>
          <w:rFonts w:cs="Arial"/>
          <w:bCs/>
          <w:szCs w:val="20"/>
        </w:rPr>
        <w:t xml:space="preserve">pożądanych, </w:t>
      </w:r>
      <w:r w:rsidRPr="006009E9">
        <w:rPr>
          <w:rFonts w:cs="Arial"/>
          <w:bCs/>
          <w:szCs w:val="20"/>
        </w:rPr>
        <w:t>korzystnych procesów na regionalnym rynku pracy</w:t>
      </w:r>
      <w:r>
        <w:rPr>
          <w:rFonts w:cs="Arial"/>
          <w:bCs/>
          <w:szCs w:val="20"/>
        </w:rPr>
        <w:t>.</w:t>
      </w:r>
      <w:r w:rsidRPr="006009E9">
        <w:rPr>
          <w:rFonts w:cs="Arial"/>
          <w:bCs/>
          <w:szCs w:val="20"/>
        </w:rPr>
        <w:t xml:space="preserve"> </w:t>
      </w:r>
      <w:r>
        <w:rPr>
          <w:rFonts w:cs="Arial"/>
          <w:bCs/>
          <w:szCs w:val="20"/>
        </w:rPr>
        <w:t>J</w:t>
      </w:r>
      <w:r w:rsidRPr="006009E9">
        <w:rPr>
          <w:rFonts w:cs="Arial"/>
          <w:bCs/>
          <w:szCs w:val="20"/>
        </w:rPr>
        <w:t xml:space="preserve">ednocześnie </w:t>
      </w:r>
      <w:r>
        <w:rPr>
          <w:rFonts w:cs="Arial"/>
          <w:bCs/>
          <w:szCs w:val="20"/>
        </w:rPr>
        <w:t xml:space="preserve">sytuacja ta </w:t>
      </w:r>
      <w:r w:rsidRPr="006009E9">
        <w:rPr>
          <w:rFonts w:cs="Arial"/>
          <w:bCs/>
          <w:szCs w:val="20"/>
        </w:rPr>
        <w:t>rodzi ryzyko nieosiągnięcia końcowych wartości wskaźników</w:t>
      </w:r>
      <w:r>
        <w:rPr>
          <w:rFonts w:cs="Arial"/>
          <w:bCs/>
          <w:szCs w:val="20"/>
        </w:rPr>
        <w:t xml:space="preserve"> związanych ze wsparciem osób pozostających bez pracy. </w:t>
      </w:r>
      <w:r w:rsidRPr="006009E9">
        <w:rPr>
          <w:rFonts w:cs="Arial"/>
          <w:bCs/>
          <w:szCs w:val="20"/>
        </w:rPr>
        <w:t>Opisane obserwacje</w:t>
      </w:r>
      <w:r w:rsidR="00E66B89">
        <w:rPr>
          <w:rFonts w:cs="Arial"/>
          <w:bCs/>
          <w:szCs w:val="20"/>
        </w:rPr>
        <w:t xml:space="preserve"> i </w:t>
      </w:r>
      <w:r w:rsidRPr="006009E9">
        <w:rPr>
          <w:rFonts w:cs="Arial"/>
          <w:bCs/>
          <w:szCs w:val="20"/>
        </w:rPr>
        <w:t>wnioski znajdują potwierdzenie</w:t>
      </w:r>
      <w:r w:rsidR="00E66B89">
        <w:rPr>
          <w:rFonts w:cs="Arial"/>
          <w:bCs/>
          <w:szCs w:val="20"/>
        </w:rPr>
        <w:t xml:space="preserve"> w </w:t>
      </w:r>
      <w:r w:rsidRPr="006009E9">
        <w:rPr>
          <w:rFonts w:cs="Arial"/>
          <w:bCs/>
          <w:szCs w:val="20"/>
        </w:rPr>
        <w:t xml:space="preserve">opiniach przedstawicieli Instytucji odpowiedzialnych </w:t>
      </w:r>
      <w:r w:rsidR="00B473DC">
        <w:rPr>
          <w:rFonts w:cs="Arial"/>
          <w:bCs/>
          <w:szCs w:val="20"/>
        </w:rPr>
        <w:t xml:space="preserve">za </w:t>
      </w:r>
      <w:r>
        <w:rPr>
          <w:rFonts w:cs="Arial"/>
          <w:bCs/>
          <w:szCs w:val="20"/>
        </w:rPr>
        <w:t>wdrażanie interwencji</w:t>
      </w:r>
      <w:r w:rsidR="00E66B89">
        <w:rPr>
          <w:rFonts w:cs="Arial"/>
          <w:bCs/>
          <w:szCs w:val="20"/>
        </w:rPr>
        <w:t xml:space="preserve"> w </w:t>
      </w:r>
      <w:r>
        <w:rPr>
          <w:rFonts w:cs="Arial"/>
          <w:bCs/>
          <w:szCs w:val="20"/>
        </w:rPr>
        <w:t>obszarze rynku pracy</w:t>
      </w:r>
      <w:r w:rsidRPr="006009E9">
        <w:rPr>
          <w:rFonts w:cs="Arial"/>
          <w:bCs/>
          <w:szCs w:val="20"/>
        </w:rPr>
        <w:t>.</w:t>
      </w:r>
    </w:p>
    <w:p w14:paraId="2DFD13F3" w14:textId="77777777" w:rsidR="00881780" w:rsidRDefault="00881780" w:rsidP="00881780">
      <w:pPr>
        <w:autoSpaceDE w:val="0"/>
        <w:autoSpaceDN w:val="0"/>
        <w:adjustRightInd w:val="0"/>
        <w:spacing w:line="276" w:lineRule="auto"/>
        <w:rPr>
          <w:rFonts w:cs="Arial"/>
          <w:bCs/>
          <w:szCs w:val="20"/>
        </w:rPr>
      </w:pPr>
      <w:r w:rsidRPr="00837509">
        <w:rPr>
          <w:rFonts w:cs="Arial"/>
          <w:b/>
          <w:bCs/>
          <w:szCs w:val="20"/>
        </w:rPr>
        <w:t>REKOMENDACJA: Grupy wiekowe</w:t>
      </w:r>
      <w:r w:rsidR="00E66B89">
        <w:rPr>
          <w:rFonts w:cs="Arial"/>
          <w:b/>
          <w:bCs/>
          <w:szCs w:val="20"/>
        </w:rPr>
        <w:t xml:space="preserve"> o </w:t>
      </w:r>
      <w:r w:rsidRPr="00837509">
        <w:rPr>
          <w:rFonts w:cs="Arial"/>
          <w:b/>
          <w:bCs/>
          <w:szCs w:val="20"/>
        </w:rPr>
        <w:t>niższym poziomie wskaźnika zatrudnienia to osoby młode (do 24 roku życia) oraz osoby starsze (55 lat</w:t>
      </w:r>
      <w:r w:rsidR="00E66B89">
        <w:rPr>
          <w:rFonts w:cs="Arial"/>
          <w:b/>
          <w:bCs/>
          <w:szCs w:val="20"/>
        </w:rPr>
        <w:t xml:space="preserve"> i </w:t>
      </w:r>
      <w:r w:rsidRPr="00837509">
        <w:rPr>
          <w:rFonts w:cs="Arial"/>
          <w:b/>
          <w:bCs/>
          <w:szCs w:val="20"/>
        </w:rPr>
        <w:t>więcej). Istotne jest zatem podejmowanie interwencji realizujących cele związane ze wzrostem udziału</w:t>
      </w:r>
      <w:r w:rsidR="00E66B89">
        <w:rPr>
          <w:rFonts w:cs="Arial"/>
          <w:b/>
          <w:bCs/>
          <w:szCs w:val="20"/>
        </w:rPr>
        <w:t xml:space="preserve"> w </w:t>
      </w:r>
      <w:r w:rsidRPr="00837509">
        <w:rPr>
          <w:rFonts w:cs="Arial"/>
          <w:b/>
          <w:bCs/>
          <w:szCs w:val="20"/>
        </w:rPr>
        <w:t>rynku pracy tych grup wiekowych (włączeniem do rynku pracy lub zatrzymaniem na rynku pracy)</w:t>
      </w:r>
      <w:r>
        <w:rPr>
          <w:rFonts w:cs="Arial"/>
          <w:bCs/>
          <w:szCs w:val="20"/>
        </w:rPr>
        <w:t>.</w:t>
      </w:r>
    </w:p>
    <w:p w14:paraId="60F30D71" w14:textId="77777777" w:rsidR="00881780" w:rsidRPr="0067726B" w:rsidRDefault="00881780" w:rsidP="00754ED4">
      <w:pPr>
        <w:pStyle w:val="Legenda"/>
        <w:spacing w:after="0"/>
      </w:pPr>
      <w:bookmarkStart w:id="183" w:name="_Toc3896843"/>
      <w:bookmarkStart w:id="184" w:name="_Toc8824200"/>
      <w:r w:rsidRPr="00432E11">
        <w:t xml:space="preserve">Tabela </w:t>
      </w:r>
      <w:r>
        <w:fldChar w:fldCharType="begin"/>
      </w:r>
      <w:r>
        <w:instrText xml:space="preserve"> SEQ Tabela \* ARABIC </w:instrText>
      </w:r>
      <w:r>
        <w:fldChar w:fldCharType="separate"/>
      </w:r>
      <w:r w:rsidR="00763345">
        <w:rPr>
          <w:noProof/>
        </w:rPr>
        <w:t>89</w:t>
      </w:r>
      <w:r>
        <w:fldChar w:fldCharType="end"/>
      </w:r>
      <w:r w:rsidRPr="00432E11">
        <w:t xml:space="preserve"> Liczba osób biernych zawodowo</w:t>
      </w:r>
      <w:r w:rsidR="00E66B89">
        <w:t xml:space="preserve"> w </w:t>
      </w:r>
      <w:r w:rsidRPr="00432E11">
        <w:t xml:space="preserve">województwie </w:t>
      </w:r>
      <w:bookmarkEnd w:id="183"/>
      <w:r>
        <w:t>zachodniopomorskim (31.XII)</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802"/>
        <w:gridCol w:w="802"/>
        <w:gridCol w:w="804"/>
        <w:gridCol w:w="802"/>
        <w:gridCol w:w="802"/>
        <w:gridCol w:w="810"/>
        <w:gridCol w:w="802"/>
      </w:tblGrid>
      <w:tr w:rsidR="00881780" w:rsidRPr="00A71C8E" w14:paraId="280CC0BA" w14:textId="77777777" w:rsidTr="005F04FC">
        <w:trPr>
          <w:trHeight w:val="300"/>
          <w:tblHeader/>
        </w:trPr>
        <w:tc>
          <w:tcPr>
            <w:tcW w:w="5000" w:type="pct"/>
            <w:gridSpan w:val="8"/>
            <w:shd w:val="clear" w:color="auto" w:fill="DBE5F1"/>
            <w:noWrap/>
          </w:tcPr>
          <w:p w14:paraId="6757A2C8"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Bierni zawodowo</w:t>
            </w:r>
          </w:p>
        </w:tc>
      </w:tr>
      <w:tr w:rsidR="00881780" w:rsidRPr="00A71C8E" w14:paraId="2440B60E" w14:textId="77777777" w:rsidTr="006F4D8F">
        <w:trPr>
          <w:trHeight w:val="300"/>
          <w:tblHeader/>
        </w:trPr>
        <w:tc>
          <w:tcPr>
            <w:tcW w:w="1691" w:type="pct"/>
            <w:shd w:val="clear" w:color="auto" w:fill="auto"/>
            <w:noWrap/>
          </w:tcPr>
          <w:p w14:paraId="0C4A72E5"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Rok</w:t>
            </w:r>
          </w:p>
        </w:tc>
        <w:tc>
          <w:tcPr>
            <w:tcW w:w="472" w:type="pct"/>
            <w:shd w:val="clear" w:color="auto" w:fill="auto"/>
            <w:noWrap/>
          </w:tcPr>
          <w:p w14:paraId="1F266E12"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2012</w:t>
            </w:r>
          </w:p>
        </w:tc>
        <w:tc>
          <w:tcPr>
            <w:tcW w:w="472" w:type="pct"/>
            <w:shd w:val="clear" w:color="auto" w:fill="auto"/>
            <w:noWrap/>
          </w:tcPr>
          <w:p w14:paraId="205968D4"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2013</w:t>
            </w:r>
          </w:p>
        </w:tc>
        <w:tc>
          <w:tcPr>
            <w:tcW w:w="473" w:type="pct"/>
            <w:shd w:val="clear" w:color="auto" w:fill="auto"/>
            <w:noWrap/>
          </w:tcPr>
          <w:p w14:paraId="21176103"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2014</w:t>
            </w:r>
          </w:p>
        </w:tc>
        <w:tc>
          <w:tcPr>
            <w:tcW w:w="472" w:type="pct"/>
            <w:shd w:val="clear" w:color="auto" w:fill="auto"/>
            <w:noWrap/>
          </w:tcPr>
          <w:p w14:paraId="18F17B52"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2015</w:t>
            </w:r>
          </w:p>
        </w:tc>
        <w:tc>
          <w:tcPr>
            <w:tcW w:w="472" w:type="pct"/>
            <w:shd w:val="clear" w:color="auto" w:fill="auto"/>
            <w:noWrap/>
          </w:tcPr>
          <w:p w14:paraId="0314BA5B"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2016</w:t>
            </w:r>
          </w:p>
        </w:tc>
        <w:tc>
          <w:tcPr>
            <w:tcW w:w="476" w:type="pct"/>
            <w:shd w:val="clear" w:color="auto" w:fill="auto"/>
            <w:noWrap/>
          </w:tcPr>
          <w:p w14:paraId="4D3DE610"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2017</w:t>
            </w:r>
          </w:p>
        </w:tc>
        <w:tc>
          <w:tcPr>
            <w:tcW w:w="473" w:type="pct"/>
          </w:tcPr>
          <w:p w14:paraId="5AAFC5B6" w14:textId="77777777" w:rsidR="00881780" w:rsidRPr="00A71C8E" w:rsidRDefault="00881780" w:rsidP="006F4D8F">
            <w:pPr>
              <w:autoSpaceDE w:val="0"/>
              <w:autoSpaceDN w:val="0"/>
              <w:adjustRightInd w:val="0"/>
              <w:spacing w:before="0" w:line="240" w:lineRule="auto"/>
              <w:rPr>
                <w:rFonts w:cs="Arial"/>
                <w:b/>
                <w:bCs/>
                <w:sz w:val="18"/>
                <w:szCs w:val="18"/>
              </w:rPr>
            </w:pPr>
            <w:r w:rsidRPr="00A71C8E">
              <w:rPr>
                <w:rFonts w:cs="Arial"/>
                <w:b/>
                <w:bCs/>
                <w:sz w:val="18"/>
                <w:szCs w:val="18"/>
              </w:rPr>
              <w:t>2018</w:t>
            </w:r>
          </w:p>
        </w:tc>
      </w:tr>
      <w:tr w:rsidR="00881780" w:rsidRPr="00A71C8E" w14:paraId="306F84B5" w14:textId="77777777" w:rsidTr="006F4D8F">
        <w:trPr>
          <w:trHeight w:val="300"/>
        </w:trPr>
        <w:tc>
          <w:tcPr>
            <w:tcW w:w="1691" w:type="pct"/>
            <w:shd w:val="clear" w:color="auto" w:fill="auto"/>
            <w:noWrap/>
            <w:hideMark/>
          </w:tcPr>
          <w:p w14:paraId="6194EFE1"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Bierni zawodowo / Ogółem (tys. osób)</w:t>
            </w:r>
          </w:p>
        </w:tc>
        <w:tc>
          <w:tcPr>
            <w:tcW w:w="472" w:type="pct"/>
            <w:shd w:val="clear" w:color="auto" w:fill="auto"/>
            <w:noWrap/>
            <w:hideMark/>
          </w:tcPr>
          <w:p w14:paraId="29C37ECE"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583</w:t>
            </w:r>
          </w:p>
        </w:tc>
        <w:tc>
          <w:tcPr>
            <w:tcW w:w="472" w:type="pct"/>
            <w:shd w:val="clear" w:color="auto" w:fill="auto"/>
            <w:noWrap/>
            <w:hideMark/>
          </w:tcPr>
          <w:p w14:paraId="4BE4662C"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562</w:t>
            </w:r>
          </w:p>
        </w:tc>
        <w:tc>
          <w:tcPr>
            <w:tcW w:w="473" w:type="pct"/>
            <w:shd w:val="clear" w:color="auto" w:fill="auto"/>
            <w:noWrap/>
            <w:hideMark/>
          </w:tcPr>
          <w:p w14:paraId="14308ED0"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536</w:t>
            </w:r>
          </w:p>
        </w:tc>
        <w:tc>
          <w:tcPr>
            <w:tcW w:w="472" w:type="pct"/>
            <w:shd w:val="clear" w:color="auto" w:fill="auto"/>
            <w:noWrap/>
            <w:hideMark/>
          </w:tcPr>
          <w:p w14:paraId="25E37976"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532</w:t>
            </w:r>
          </w:p>
        </w:tc>
        <w:tc>
          <w:tcPr>
            <w:tcW w:w="472" w:type="pct"/>
            <w:shd w:val="clear" w:color="auto" w:fill="auto"/>
            <w:noWrap/>
            <w:hideMark/>
          </w:tcPr>
          <w:p w14:paraId="22B76AAD"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641</w:t>
            </w:r>
          </w:p>
        </w:tc>
        <w:tc>
          <w:tcPr>
            <w:tcW w:w="476" w:type="pct"/>
            <w:shd w:val="clear" w:color="auto" w:fill="auto"/>
            <w:noWrap/>
            <w:hideMark/>
          </w:tcPr>
          <w:p w14:paraId="71843B46"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624</w:t>
            </w:r>
          </w:p>
        </w:tc>
        <w:tc>
          <w:tcPr>
            <w:tcW w:w="473" w:type="pct"/>
          </w:tcPr>
          <w:p w14:paraId="78E2D0C1"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600</w:t>
            </w:r>
          </w:p>
        </w:tc>
      </w:tr>
      <w:tr w:rsidR="00881780" w:rsidRPr="00A71C8E" w14:paraId="6C1F7B45" w14:textId="77777777" w:rsidTr="006F4D8F">
        <w:trPr>
          <w:trHeight w:val="300"/>
        </w:trPr>
        <w:tc>
          <w:tcPr>
            <w:tcW w:w="1691" w:type="pct"/>
            <w:shd w:val="clear" w:color="auto" w:fill="auto"/>
            <w:noWrap/>
          </w:tcPr>
          <w:p w14:paraId="4142F2B0"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Wzrost / spadek rok do roku (tys. osób)</w:t>
            </w:r>
          </w:p>
        </w:tc>
        <w:tc>
          <w:tcPr>
            <w:tcW w:w="472" w:type="pct"/>
            <w:shd w:val="clear" w:color="auto" w:fill="auto"/>
            <w:noWrap/>
          </w:tcPr>
          <w:p w14:paraId="40652919"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w:t>
            </w:r>
          </w:p>
        </w:tc>
        <w:tc>
          <w:tcPr>
            <w:tcW w:w="472" w:type="pct"/>
            <w:shd w:val="clear" w:color="auto" w:fill="auto"/>
            <w:noWrap/>
          </w:tcPr>
          <w:p w14:paraId="03E671C9"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-21</w:t>
            </w:r>
          </w:p>
        </w:tc>
        <w:tc>
          <w:tcPr>
            <w:tcW w:w="473" w:type="pct"/>
            <w:shd w:val="clear" w:color="auto" w:fill="auto"/>
            <w:noWrap/>
          </w:tcPr>
          <w:p w14:paraId="3AA7ED5C"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-26</w:t>
            </w:r>
          </w:p>
        </w:tc>
        <w:tc>
          <w:tcPr>
            <w:tcW w:w="472" w:type="pct"/>
            <w:shd w:val="clear" w:color="auto" w:fill="auto"/>
            <w:noWrap/>
          </w:tcPr>
          <w:p w14:paraId="5749A4E2"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-4</w:t>
            </w:r>
          </w:p>
        </w:tc>
        <w:tc>
          <w:tcPr>
            <w:tcW w:w="472" w:type="pct"/>
            <w:shd w:val="clear" w:color="auto" w:fill="auto"/>
            <w:noWrap/>
          </w:tcPr>
          <w:p w14:paraId="3F47505D"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109</w:t>
            </w:r>
          </w:p>
        </w:tc>
        <w:tc>
          <w:tcPr>
            <w:tcW w:w="476" w:type="pct"/>
            <w:shd w:val="clear" w:color="auto" w:fill="auto"/>
            <w:noWrap/>
          </w:tcPr>
          <w:p w14:paraId="2DE2C698"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-17</w:t>
            </w:r>
          </w:p>
        </w:tc>
        <w:tc>
          <w:tcPr>
            <w:tcW w:w="473" w:type="pct"/>
          </w:tcPr>
          <w:p w14:paraId="6FE981A5"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-24</w:t>
            </w:r>
          </w:p>
        </w:tc>
      </w:tr>
      <w:tr w:rsidR="00881780" w:rsidRPr="00A71C8E" w14:paraId="1AA78B9D" w14:textId="77777777" w:rsidTr="006F4D8F">
        <w:trPr>
          <w:trHeight w:val="300"/>
        </w:trPr>
        <w:tc>
          <w:tcPr>
            <w:tcW w:w="1691" w:type="pct"/>
            <w:shd w:val="clear" w:color="auto" w:fill="auto"/>
            <w:noWrap/>
            <w:hideMark/>
          </w:tcPr>
          <w:p w14:paraId="0EC8E84D"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Bierni zawodowo / Kobiety (tys. osób)</w:t>
            </w:r>
          </w:p>
        </w:tc>
        <w:tc>
          <w:tcPr>
            <w:tcW w:w="472" w:type="pct"/>
            <w:shd w:val="clear" w:color="auto" w:fill="auto"/>
            <w:noWrap/>
            <w:hideMark/>
          </w:tcPr>
          <w:p w14:paraId="4C848A8B"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361</w:t>
            </w:r>
          </w:p>
        </w:tc>
        <w:tc>
          <w:tcPr>
            <w:tcW w:w="472" w:type="pct"/>
            <w:shd w:val="clear" w:color="auto" w:fill="auto"/>
            <w:noWrap/>
            <w:hideMark/>
          </w:tcPr>
          <w:p w14:paraId="13C3D5A8"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346</w:t>
            </w:r>
          </w:p>
        </w:tc>
        <w:tc>
          <w:tcPr>
            <w:tcW w:w="473" w:type="pct"/>
            <w:shd w:val="clear" w:color="auto" w:fill="auto"/>
            <w:noWrap/>
            <w:hideMark/>
          </w:tcPr>
          <w:p w14:paraId="5AE85BBB"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323</w:t>
            </w:r>
          </w:p>
        </w:tc>
        <w:tc>
          <w:tcPr>
            <w:tcW w:w="472" w:type="pct"/>
            <w:shd w:val="clear" w:color="auto" w:fill="auto"/>
            <w:noWrap/>
            <w:hideMark/>
          </w:tcPr>
          <w:p w14:paraId="1F13FCA3"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328</w:t>
            </w:r>
          </w:p>
        </w:tc>
        <w:tc>
          <w:tcPr>
            <w:tcW w:w="472" w:type="pct"/>
            <w:shd w:val="clear" w:color="auto" w:fill="auto"/>
            <w:noWrap/>
            <w:hideMark/>
          </w:tcPr>
          <w:p w14:paraId="5CCFBBAD"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383</w:t>
            </w:r>
          </w:p>
        </w:tc>
        <w:tc>
          <w:tcPr>
            <w:tcW w:w="476" w:type="pct"/>
            <w:shd w:val="clear" w:color="auto" w:fill="auto"/>
            <w:noWrap/>
            <w:hideMark/>
          </w:tcPr>
          <w:p w14:paraId="285FBA1C"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376</w:t>
            </w:r>
          </w:p>
        </w:tc>
        <w:tc>
          <w:tcPr>
            <w:tcW w:w="473" w:type="pct"/>
          </w:tcPr>
          <w:p w14:paraId="7B738AFA"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374</w:t>
            </w:r>
          </w:p>
        </w:tc>
      </w:tr>
      <w:tr w:rsidR="00881780" w:rsidRPr="00A71C8E" w14:paraId="4FE1A382" w14:textId="77777777" w:rsidTr="006F4D8F">
        <w:trPr>
          <w:trHeight w:val="300"/>
        </w:trPr>
        <w:tc>
          <w:tcPr>
            <w:tcW w:w="1691" w:type="pct"/>
            <w:shd w:val="clear" w:color="auto" w:fill="auto"/>
            <w:noWrap/>
          </w:tcPr>
          <w:p w14:paraId="28A3C401"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rFonts w:cs="Arial"/>
                <w:bCs/>
                <w:sz w:val="18"/>
                <w:szCs w:val="18"/>
              </w:rPr>
              <w:t>Bierni zawodowo / Mężczyźni (tys. osób)</w:t>
            </w:r>
          </w:p>
        </w:tc>
        <w:tc>
          <w:tcPr>
            <w:tcW w:w="472" w:type="pct"/>
            <w:shd w:val="clear" w:color="auto" w:fill="auto"/>
            <w:noWrap/>
          </w:tcPr>
          <w:p w14:paraId="2DA31628"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222</w:t>
            </w:r>
          </w:p>
        </w:tc>
        <w:tc>
          <w:tcPr>
            <w:tcW w:w="472" w:type="pct"/>
            <w:shd w:val="clear" w:color="auto" w:fill="auto"/>
            <w:noWrap/>
          </w:tcPr>
          <w:p w14:paraId="6495D46C"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215</w:t>
            </w:r>
          </w:p>
        </w:tc>
        <w:tc>
          <w:tcPr>
            <w:tcW w:w="473" w:type="pct"/>
            <w:shd w:val="clear" w:color="auto" w:fill="auto"/>
            <w:noWrap/>
          </w:tcPr>
          <w:p w14:paraId="63030F8B"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212</w:t>
            </w:r>
          </w:p>
        </w:tc>
        <w:tc>
          <w:tcPr>
            <w:tcW w:w="472" w:type="pct"/>
            <w:shd w:val="clear" w:color="auto" w:fill="auto"/>
            <w:noWrap/>
          </w:tcPr>
          <w:p w14:paraId="07783F4F"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205</w:t>
            </w:r>
          </w:p>
        </w:tc>
        <w:tc>
          <w:tcPr>
            <w:tcW w:w="472" w:type="pct"/>
            <w:shd w:val="clear" w:color="auto" w:fill="auto"/>
            <w:noWrap/>
          </w:tcPr>
          <w:p w14:paraId="2B217E2F"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259</w:t>
            </w:r>
          </w:p>
        </w:tc>
        <w:tc>
          <w:tcPr>
            <w:tcW w:w="476" w:type="pct"/>
            <w:shd w:val="clear" w:color="auto" w:fill="auto"/>
            <w:noWrap/>
          </w:tcPr>
          <w:p w14:paraId="3EF2ABAA"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248</w:t>
            </w:r>
          </w:p>
        </w:tc>
        <w:tc>
          <w:tcPr>
            <w:tcW w:w="473" w:type="pct"/>
          </w:tcPr>
          <w:p w14:paraId="7EB06362" w14:textId="77777777" w:rsidR="00881780" w:rsidRPr="00A71C8E" w:rsidRDefault="00881780" w:rsidP="006F4D8F">
            <w:pPr>
              <w:autoSpaceDE w:val="0"/>
              <w:autoSpaceDN w:val="0"/>
              <w:adjustRightInd w:val="0"/>
              <w:spacing w:before="0" w:line="240" w:lineRule="auto"/>
              <w:rPr>
                <w:rFonts w:cs="Arial"/>
                <w:bCs/>
                <w:sz w:val="18"/>
                <w:szCs w:val="18"/>
              </w:rPr>
            </w:pPr>
            <w:r w:rsidRPr="00A71C8E">
              <w:rPr>
                <w:sz w:val="18"/>
                <w:szCs w:val="18"/>
              </w:rPr>
              <w:t>226</w:t>
            </w:r>
          </w:p>
        </w:tc>
      </w:tr>
    </w:tbl>
    <w:p w14:paraId="1E4A8447" w14:textId="0385BC51"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2BC1474D" w14:textId="77777777" w:rsidR="00881780" w:rsidRDefault="00881780" w:rsidP="00754ED4">
      <w:pPr>
        <w:pStyle w:val="Legenda"/>
        <w:spacing w:after="0"/>
      </w:pPr>
      <w:bookmarkStart w:id="185" w:name="_Toc3896844"/>
      <w:bookmarkStart w:id="186" w:name="_Toc8824201"/>
      <w:r w:rsidRPr="00432E11">
        <w:t xml:space="preserve">Tabela </w:t>
      </w:r>
      <w:r>
        <w:fldChar w:fldCharType="begin"/>
      </w:r>
      <w:r>
        <w:instrText xml:space="preserve"> SEQ Tabela \* ARABIC </w:instrText>
      </w:r>
      <w:r>
        <w:fldChar w:fldCharType="separate"/>
      </w:r>
      <w:r w:rsidR="00763345">
        <w:rPr>
          <w:noProof/>
        </w:rPr>
        <w:t>90</w:t>
      </w:r>
      <w:r>
        <w:fldChar w:fldCharType="end"/>
      </w:r>
      <w:r w:rsidRPr="00432E11">
        <w:t xml:space="preserve"> </w:t>
      </w:r>
      <w:r>
        <w:t>W</w:t>
      </w:r>
      <w:r w:rsidRPr="00432E11">
        <w:t>skaźnik zatrudnienia</w:t>
      </w:r>
      <w:r w:rsidR="00E66B89">
        <w:t xml:space="preserve"> w </w:t>
      </w:r>
      <w:r w:rsidRPr="00432E11">
        <w:t>województw</w:t>
      </w:r>
      <w:r>
        <w:t>ach</w:t>
      </w:r>
      <w:bookmarkEnd w:id="185"/>
      <w:r w:rsidR="00E66B89">
        <w:t xml:space="preserve"> i w </w:t>
      </w:r>
      <w:r>
        <w:t>porównaniu do Polski (dane za IV kwartał)</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815"/>
        <w:gridCol w:w="815"/>
        <w:gridCol w:w="816"/>
        <w:gridCol w:w="816"/>
        <w:gridCol w:w="816"/>
        <w:gridCol w:w="816"/>
        <w:gridCol w:w="812"/>
      </w:tblGrid>
      <w:tr w:rsidR="00881780" w:rsidRPr="00A71C8E" w14:paraId="4AD40133" w14:textId="77777777" w:rsidTr="005F04FC">
        <w:trPr>
          <w:trHeight w:val="236"/>
          <w:tblHeader/>
        </w:trPr>
        <w:tc>
          <w:tcPr>
            <w:tcW w:w="1852" w:type="pct"/>
            <w:shd w:val="clear" w:color="auto" w:fill="DBE5F1"/>
            <w:vAlign w:val="center"/>
          </w:tcPr>
          <w:p w14:paraId="30D90E98" w14:textId="77777777" w:rsidR="00881780" w:rsidRPr="00A71C8E" w:rsidRDefault="00881780" w:rsidP="006F4D8F">
            <w:pPr>
              <w:spacing w:before="0" w:line="240" w:lineRule="auto"/>
              <w:rPr>
                <w:b/>
                <w:color w:val="000000"/>
                <w:sz w:val="18"/>
                <w:szCs w:val="18"/>
              </w:rPr>
            </w:pPr>
            <w:r w:rsidRPr="00A71C8E">
              <w:rPr>
                <w:b/>
                <w:color w:val="000000"/>
                <w:sz w:val="18"/>
                <w:szCs w:val="18"/>
              </w:rPr>
              <w:t>Wskaźnik zatrudnienia</w:t>
            </w:r>
          </w:p>
        </w:tc>
        <w:tc>
          <w:tcPr>
            <w:tcW w:w="3148" w:type="pct"/>
            <w:gridSpan w:val="7"/>
            <w:shd w:val="clear" w:color="auto" w:fill="DBE5F1"/>
            <w:vAlign w:val="center"/>
          </w:tcPr>
          <w:p w14:paraId="1211AAD9"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Ludność</w:t>
            </w:r>
            <w:r w:rsidR="00E66B89" w:rsidRPr="00A71C8E">
              <w:rPr>
                <w:b/>
                <w:color w:val="000000"/>
                <w:sz w:val="18"/>
                <w:szCs w:val="18"/>
              </w:rPr>
              <w:t xml:space="preserve"> w </w:t>
            </w:r>
            <w:r w:rsidRPr="00A71C8E">
              <w:rPr>
                <w:b/>
                <w:color w:val="000000"/>
                <w:sz w:val="18"/>
                <w:szCs w:val="18"/>
              </w:rPr>
              <w:t>wieku 20-64 lata - ogółem</w:t>
            </w:r>
          </w:p>
        </w:tc>
      </w:tr>
      <w:tr w:rsidR="00881780" w:rsidRPr="00A71C8E" w14:paraId="7DC61736" w14:textId="77777777" w:rsidTr="00C22C26">
        <w:trPr>
          <w:trHeight w:val="300"/>
          <w:tblHeader/>
        </w:trPr>
        <w:tc>
          <w:tcPr>
            <w:tcW w:w="1852" w:type="pct"/>
            <w:shd w:val="clear" w:color="auto" w:fill="auto"/>
            <w:vAlign w:val="center"/>
          </w:tcPr>
          <w:p w14:paraId="423EEE79" w14:textId="77777777" w:rsidR="00881780" w:rsidRPr="00A71C8E" w:rsidRDefault="00881780" w:rsidP="006F4D8F">
            <w:pPr>
              <w:spacing w:before="0" w:line="240" w:lineRule="auto"/>
              <w:rPr>
                <w:b/>
                <w:color w:val="000000"/>
                <w:sz w:val="18"/>
                <w:szCs w:val="18"/>
              </w:rPr>
            </w:pPr>
            <w:r w:rsidRPr="00A71C8E">
              <w:rPr>
                <w:b/>
                <w:color w:val="000000"/>
                <w:sz w:val="18"/>
                <w:szCs w:val="18"/>
              </w:rPr>
              <w:t>Rok</w:t>
            </w:r>
          </w:p>
        </w:tc>
        <w:tc>
          <w:tcPr>
            <w:tcW w:w="450" w:type="pct"/>
            <w:shd w:val="clear" w:color="auto" w:fill="auto"/>
            <w:vAlign w:val="center"/>
            <w:hideMark/>
          </w:tcPr>
          <w:p w14:paraId="034F75D9"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2012</w:t>
            </w:r>
          </w:p>
        </w:tc>
        <w:tc>
          <w:tcPr>
            <w:tcW w:w="450" w:type="pct"/>
            <w:shd w:val="clear" w:color="auto" w:fill="auto"/>
            <w:vAlign w:val="center"/>
            <w:hideMark/>
          </w:tcPr>
          <w:p w14:paraId="1A68A9CD"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2013</w:t>
            </w:r>
          </w:p>
        </w:tc>
        <w:tc>
          <w:tcPr>
            <w:tcW w:w="450" w:type="pct"/>
            <w:shd w:val="clear" w:color="auto" w:fill="auto"/>
            <w:vAlign w:val="center"/>
            <w:hideMark/>
          </w:tcPr>
          <w:p w14:paraId="3C46D825"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2014</w:t>
            </w:r>
          </w:p>
        </w:tc>
        <w:tc>
          <w:tcPr>
            <w:tcW w:w="450" w:type="pct"/>
            <w:shd w:val="clear" w:color="auto" w:fill="auto"/>
            <w:vAlign w:val="center"/>
            <w:hideMark/>
          </w:tcPr>
          <w:p w14:paraId="04DED68A"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2015</w:t>
            </w:r>
          </w:p>
        </w:tc>
        <w:tc>
          <w:tcPr>
            <w:tcW w:w="450" w:type="pct"/>
            <w:shd w:val="clear" w:color="auto" w:fill="auto"/>
            <w:vAlign w:val="center"/>
            <w:hideMark/>
          </w:tcPr>
          <w:p w14:paraId="73D93077"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2016</w:t>
            </w:r>
          </w:p>
        </w:tc>
        <w:tc>
          <w:tcPr>
            <w:tcW w:w="450" w:type="pct"/>
            <w:shd w:val="clear" w:color="auto" w:fill="auto"/>
            <w:vAlign w:val="center"/>
            <w:hideMark/>
          </w:tcPr>
          <w:p w14:paraId="6E25383E"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2017</w:t>
            </w:r>
          </w:p>
        </w:tc>
        <w:tc>
          <w:tcPr>
            <w:tcW w:w="447" w:type="pct"/>
            <w:shd w:val="clear" w:color="auto" w:fill="auto"/>
            <w:vAlign w:val="center"/>
            <w:hideMark/>
          </w:tcPr>
          <w:p w14:paraId="24EB9BD6"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2018</w:t>
            </w:r>
          </w:p>
        </w:tc>
      </w:tr>
      <w:tr w:rsidR="00881780" w:rsidRPr="00A71C8E" w14:paraId="64B6C0E1" w14:textId="77777777" w:rsidTr="006F4D8F">
        <w:trPr>
          <w:trHeight w:val="300"/>
        </w:trPr>
        <w:tc>
          <w:tcPr>
            <w:tcW w:w="1852" w:type="pct"/>
            <w:shd w:val="clear" w:color="auto" w:fill="auto"/>
            <w:vAlign w:val="center"/>
          </w:tcPr>
          <w:p w14:paraId="337574D8" w14:textId="77777777" w:rsidR="00881780" w:rsidRPr="00A71C8E" w:rsidRDefault="00881780" w:rsidP="006F4D8F">
            <w:pPr>
              <w:spacing w:before="0" w:line="240" w:lineRule="auto"/>
              <w:rPr>
                <w:color w:val="000000"/>
                <w:sz w:val="18"/>
                <w:szCs w:val="18"/>
              </w:rPr>
            </w:pPr>
            <w:r w:rsidRPr="00A71C8E">
              <w:rPr>
                <w:color w:val="000000"/>
                <w:sz w:val="18"/>
                <w:szCs w:val="18"/>
              </w:rPr>
              <w:t>Wyszczególnienie</w:t>
            </w:r>
          </w:p>
        </w:tc>
        <w:tc>
          <w:tcPr>
            <w:tcW w:w="450" w:type="pct"/>
            <w:shd w:val="clear" w:color="auto" w:fill="auto"/>
            <w:vAlign w:val="center"/>
            <w:hideMark/>
          </w:tcPr>
          <w:p w14:paraId="3C10509F"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50" w:type="pct"/>
            <w:shd w:val="clear" w:color="auto" w:fill="auto"/>
            <w:vAlign w:val="center"/>
            <w:hideMark/>
          </w:tcPr>
          <w:p w14:paraId="58F1A88B"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50" w:type="pct"/>
            <w:shd w:val="clear" w:color="auto" w:fill="auto"/>
            <w:vAlign w:val="center"/>
            <w:hideMark/>
          </w:tcPr>
          <w:p w14:paraId="49DBD2F5"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50" w:type="pct"/>
            <w:shd w:val="clear" w:color="auto" w:fill="auto"/>
            <w:vAlign w:val="center"/>
            <w:hideMark/>
          </w:tcPr>
          <w:p w14:paraId="1138E184"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50" w:type="pct"/>
            <w:shd w:val="clear" w:color="auto" w:fill="auto"/>
            <w:vAlign w:val="center"/>
            <w:hideMark/>
          </w:tcPr>
          <w:p w14:paraId="4E3036A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50" w:type="pct"/>
            <w:shd w:val="clear" w:color="auto" w:fill="auto"/>
            <w:vAlign w:val="center"/>
            <w:hideMark/>
          </w:tcPr>
          <w:p w14:paraId="2AACA8BD"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447" w:type="pct"/>
            <w:shd w:val="clear" w:color="auto" w:fill="auto"/>
            <w:vAlign w:val="center"/>
            <w:hideMark/>
          </w:tcPr>
          <w:p w14:paraId="3CD223DE"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r>
      <w:tr w:rsidR="00881780" w:rsidRPr="00A71C8E" w14:paraId="75BBDE10" w14:textId="77777777" w:rsidTr="006F4D8F">
        <w:trPr>
          <w:trHeight w:val="300"/>
        </w:trPr>
        <w:tc>
          <w:tcPr>
            <w:tcW w:w="1852" w:type="pct"/>
            <w:shd w:val="clear" w:color="auto" w:fill="auto"/>
            <w:noWrap/>
            <w:vAlign w:val="bottom"/>
            <w:hideMark/>
          </w:tcPr>
          <w:p w14:paraId="521271A5" w14:textId="77777777" w:rsidR="00881780" w:rsidRPr="00A71C8E" w:rsidRDefault="00881780" w:rsidP="006F4D8F">
            <w:pPr>
              <w:spacing w:before="0" w:line="240" w:lineRule="auto"/>
              <w:rPr>
                <w:b/>
                <w:sz w:val="18"/>
                <w:szCs w:val="18"/>
              </w:rPr>
            </w:pPr>
            <w:r w:rsidRPr="00A71C8E">
              <w:rPr>
                <w:b/>
                <w:sz w:val="18"/>
                <w:szCs w:val="18"/>
              </w:rPr>
              <w:t>Polska</w:t>
            </w:r>
          </w:p>
        </w:tc>
        <w:tc>
          <w:tcPr>
            <w:tcW w:w="450" w:type="pct"/>
            <w:shd w:val="clear" w:color="auto" w:fill="auto"/>
            <w:noWrap/>
            <w:vAlign w:val="bottom"/>
            <w:hideMark/>
          </w:tcPr>
          <w:p w14:paraId="289EB516" w14:textId="77777777" w:rsidR="00881780" w:rsidRPr="00A71C8E" w:rsidRDefault="00881780" w:rsidP="006F4D8F">
            <w:pPr>
              <w:spacing w:before="0" w:line="240" w:lineRule="auto"/>
              <w:jc w:val="left"/>
              <w:rPr>
                <w:b/>
                <w:sz w:val="18"/>
                <w:szCs w:val="18"/>
              </w:rPr>
            </w:pPr>
            <w:r w:rsidRPr="00A71C8E">
              <w:rPr>
                <w:b/>
                <w:sz w:val="18"/>
                <w:szCs w:val="18"/>
              </w:rPr>
              <w:t>65,0</w:t>
            </w:r>
          </w:p>
        </w:tc>
        <w:tc>
          <w:tcPr>
            <w:tcW w:w="450" w:type="pct"/>
            <w:shd w:val="clear" w:color="auto" w:fill="auto"/>
            <w:noWrap/>
            <w:vAlign w:val="bottom"/>
            <w:hideMark/>
          </w:tcPr>
          <w:p w14:paraId="6B95E747" w14:textId="77777777" w:rsidR="00881780" w:rsidRPr="00A71C8E" w:rsidRDefault="00881780" w:rsidP="006F4D8F">
            <w:pPr>
              <w:spacing w:before="0" w:line="240" w:lineRule="auto"/>
              <w:jc w:val="left"/>
              <w:rPr>
                <w:b/>
                <w:sz w:val="18"/>
                <w:szCs w:val="18"/>
              </w:rPr>
            </w:pPr>
            <w:r w:rsidRPr="00A71C8E">
              <w:rPr>
                <w:b/>
                <w:sz w:val="18"/>
                <w:szCs w:val="18"/>
              </w:rPr>
              <w:t>65,6</w:t>
            </w:r>
          </w:p>
        </w:tc>
        <w:tc>
          <w:tcPr>
            <w:tcW w:w="450" w:type="pct"/>
            <w:shd w:val="clear" w:color="auto" w:fill="auto"/>
            <w:noWrap/>
            <w:vAlign w:val="bottom"/>
            <w:hideMark/>
          </w:tcPr>
          <w:p w14:paraId="70D68A46" w14:textId="77777777" w:rsidR="00881780" w:rsidRPr="00A71C8E" w:rsidRDefault="00881780" w:rsidP="006F4D8F">
            <w:pPr>
              <w:spacing w:before="0" w:line="240" w:lineRule="auto"/>
              <w:jc w:val="left"/>
              <w:rPr>
                <w:b/>
                <w:sz w:val="18"/>
                <w:szCs w:val="18"/>
              </w:rPr>
            </w:pPr>
            <w:r w:rsidRPr="00A71C8E">
              <w:rPr>
                <w:b/>
                <w:sz w:val="18"/>
                <w:szCs w:val="18"/>
              </w:rPr>
              <w:t>67,4</w:t>
            </w:r>
          </w:p>
        </w:tc>
        <w:tc>
          <w:tcPr>
            <w:tcW w:w="450" w:type="pct"/>
            <w:shd w:val="clear" w:color="auto" w:fill="auto"/>
            <w:noWrap/>
            <w:vAlign w:val="bottom"/>
            <w:hideMark/>
          </w:tcPr>
          <w:p w14:paraId="71838674" w14:textId="77777777" w:rsidR="00881780" w:rsidRPr="00A71C8E" w:rsidRDefault="00881780" w:rsidP="006F4D8F">
            <w:pPr>
              <w:spacing w:before="0" w:line="240" w:lineRule="auto"/>
              <w:jc w:val="left"/>
              <w:rPr>
                <w:b/>
                <w:sz w:val="18"/>
                <w:szCs w:val="18"/>
              </w:rPr>
            </w:pPr>
            <w:r w:rsidRPr="00A71C8E">
              <w:rPr>
                <w:b/>
                <w:sz w:val="18"/>
                <w:szCs w:val="18"/>
              </w:rPr>
              <w:t>68,6</w:t>
            </w:r>
          </w:p>
        </w:tc>
        <w:tc>
          <w:tcPr>
            <w:tcW w:w="450" w:type="pct"/>
            <w:shd w:val="clear" w:color="auto" w:fill="auto"/>
            <w:noWrap/>
            <w:vAlign w:val="bottom"/>
            <w:hideMark/>
          </w:tcPr>
          <w:p w14:paraId="5DCA070D" w14:textId="77777777" w:rsidR="00881780" w:rsidRPr="00A71C8E" w:rsidRDefault="00881780" w:rsidP="006F4D8F">
            <w:pPr>
              <w:spacing w:before="0" w:line="240" w:lineRule="auto"/>
              <w:jc w:val="left"/>
              <w:rPr>
                <w:b/>
                <w:sz w:val="18"/>
                <w:szCs w:val="18"/>
              </w:rPr>
            </w:pPr>
            <w:r w:rsidRPr="00A71C8E">
              <w:rPr>
                <w:b/>
                <w:sz w:val="18"/>
                <w:szCs w:val="18"/>
              </w:rPr>
              <w:t>69,9</w:t>
            </w:r>
          </w:p>
        </w:tc>
        <w:tc>
          <w:tcPr>
            <w:tcW w:w="450" w:type="pct"/>
            <w:shd w:val="clear" w:color="auto" w:fill="auto"/>
            <w:noWrap/>
            <w:vAlign w:val="bottom"/>
            <w:hideMark/>
          </w:tcPr>
          <w:p w14:paraId="2A7D61C1" w14:textId="77777777" w:rsidR="00881780" w:rsidRPr="00A71C8E" w:rsidRDefault="00881780" w:rsidP="006F4D8F">
            <w:pPr>
              <w:spacing w:before="0" w:line="240" w:lineRule="auto"/>
              <w:jc w:val="left"/>
              <w:rPr>
                <w:b/>
                <w:sz w:val="18"/>
                <w:szCs w:val="18"/>
              </w:rPr>
            </w:pPr>
            <w:r w:rsidRPr="00A71C8E">
              <w:rPr>
                <w:b/>
                <w:sz w:val="18"/>
                <w:szCs w:val="18"/>
              </w:rPr>
              <w:t>71,1</w:t>
            </w:r>
          </w:p>
        </w:tc>
        <w:tc>
          <w:tcPr>
            <w:tcW w:w="447" w:type="pct"/>
            <w:shd w:val="clear" w:color="auto" w:fill="auto"/>
            <w:noWrap/>
            <w:vAlign w:val="bottom"/>
            <w:hideMark/>
          </w:tcPr>
          <w:p w14:paraId="271BEF66" w14:textId="77777777" w:rsidR="00881780" w:rsidRPr="00A71C8E" w:rsidRDefault="00881780" w:rsidP="006F4D8F">
            <w:pPr>
              <w:spacing w:before="0" w:line="240" w:lineRule="auto"/>
              <w:jc w:val="left"/>
              <w:rPr>
                <w:b/>
                <w:sz w:val="18"/>
                <w:szCs w:val="18"/>
              </w:rPr>
            </w:pPr>
            <w:r w:rsidRPr="00A71C8E">
              <w:rPr>
                <w:b/>
                <w:sz w:val="18"/>
                <w:szCs w:val="18"/>
              </w:rPr>
              <w:t>72,1</w:t>
            </w:r>
          </w:p>
        </w:tc>
      </w:tr>
      <w:tr w:rsidR="00881780" w:rsidRPr="00A71C8E" w14:paraId="4440E433" w14:textId="77777777" w:rsidTr="006F4D8F">
        <w:trPr>
          <w:trHeight w:val="300"/>
        </w:trPr>
        <w:tc>
          <w:tcPr>
            <w:tcW w:w="1852" w:type="pct"/>
            <w:shd w:val="clear" w:color="auto" w:fill="auto"/>
            <w:noWrap/>
            <w:vAlign w:val="bottom"/>
            <w:hideMark/>
          </w:tcPr>
          <w:p w14:paraId="43430CFD" w14:textId="77777777" w:rsidR="00881780" w:rsidRPr="00A71C8E" w:rsidRDefault="00881780" w:rsidP="006F4D8F">
            <w:pPr>
              <w:spacing w:before="0" w:line="240" w:lineRule="auto"/>
              <w:rPr>
                <w:sz w:val="18"/>
                <w:szCs w:val="18"/>
              </w:rPr>
            </w:pPr>
            <w:r w:rsidRPr="00A71C8E">
              <w:rPr>
                <w:sz w:val="18"/>
                <w:szCs w:val="18"/>
              </w:rPr>
              <w:t>Dolnośląskie</w:t>
            </w:r>
          </w:p>
        </w:tc>
        <w:tc>
          <w:tcPr>
            <w:tcW w:w="450" w:type="pct"/>
            <w:shd w:val="clear" w:color="auto" w:fill="auto"/>
            <w:noWrap/>
            <w:vAlign w:val="bottom"/>
            <w:hideMark/>
          </w:tcPr>
          <w:p w14:paraId="7E562571" w14:textId="77777777" w:rsidR="00881780" w:rsidRPr="00A71C8E" w:rsidRDefault="00881780" w:rsidP="006F4D8F">
            <w:pPr>
              <w:spacing w:before="0" w:line="240" w:lineRule="auto"/>
              <w:jc w:val="left"/>
              <w:rPr>
                <w:sz w:val="18"/>
                <w:szCs w:val="18"/>
              </w:rPr>
            </w:pPr>
            <w:r w:rsidRPr="00A71C8E">
              <w:rPr>
                <w:sz w:val="18"/>
                <w:szCs w:val="18"/>
              </w:rPr>
              <w:t>62,8</w:t>
            </w:r>
          </w:p>
        </w:tc>
        <w:tc>
          <w:tcPr>
            <w:tcW w:w="450" w:type="pct"/>
            <w:shd w:val="clear" w:color="auto" w:fill="auto"/>
            <w:noWrap/>
            <w:vAlign w:val="bottom"/>
            <w:hideMark/>
          </w:tcPr>
          <w:p w14:paraId="49E75098" w14:textId="77777777" w:rsidR="00881780" w:rsidRPr="00A71C8E" w:rsidRDefault="00881780" w:rsidP="006F4D8F">
            <w:pPr>
              <w:spacing w:before="0" w:line="240" w:lineRule="auto"/>
              <w:jc w:val="left"/>
              <w:rPr>
                <w:sz w:val="18"/>
                <w:szCs w:val="18"/>
              </w:rPr>
            </w:pPr>
            <w:r w:rsidRPr="00A71C8E">
              <w:rPr>
                <w:sz w:val="18"/>
                <w:szCs w:val="18"/>
              </w:rPr>
              <w:t>64,2</w:t>
            </w:r>
          </w:p>
        </w:tc>
        <w:tc>
          <w:tcPr>
            <w:tcW w:w="450" w:type="pct"/>
            <w:shd w:val="clear" w:color="auto" w:fill="auto"/>
            <w:noWrap/>
            <w:vAlign w:val="bottom"/>
            <w:hideMark/>
          </w:tcPr>
          <w:p w14:paraId="4A0BAA77" w14:textId="77777777" w:rsidR="00881780" w:rsidRPr="00A71C8E" w:rsidRDefault="00881780" w:rsidP="006F4D8F">
            <w:pPr>
              <w:spacing w:before="0" w:line="240" w:lineRule="auto"/>
              <w:jc w:val="left"/>
              <w:rPr>
                <w:sz w:val="18"/>
                <w:szCs w:val="18"/>
              </w:rPr>
            </w:pPr>
            <w:r w:rsidRPr="00A71C8E">
              <w:rPr>
                <w:sz w:val="18"/>
                <w:szCs w:val="18"/>
              </w:rPr>
              <w:t>64,9</w:t>
            </w:r>
          </w:p>
        </w:tc>
        <w:tc>
          <w:tcPr>
            <w:tcW w:w="450" w:type="pct"/>
            <w:shd w:val="clear" w:color="auto" w:fill="auto"/>
            <w:noWrap/>
            <w:vAlign w:val="bottom"/>
            <w:hideMark/>
          </w:tcPr>
          <w:p w14:paraId="3C976981" w14:textId="77777777" w:rsidR="00881780" w:rsidRPr="00A71C8E" w:rsidRDefault="00881780" w:rsidP="006F4D8F">
            <w:pPr>
              <w:spacing w:before="0" w:line="240" w:lineRule="auto"/>
              <w:jc w:val="left"/>
              <w:rPr>
                <w:sz w:val="18"/>
                <w:szCs w:val="18"/>
              </w:rPr>
            </w:pPr>
            <w:r w:rsidRPr="00A71C8E">
              <w:rPr>
                <w:sz w:val="18"/>
                <w:szCs w:val="18"/>
              </w:rPr>
              <w:t>68,5</w:t>
            </w:r>
          </w:p>
        </w:tc>
        <w:tc>
          <w:tcPr>
            <w:tcW w:w="450" w:type="pct"/>
            <w:shd w:val="clear" w:color="auto" w:fill="auto"/>
            <w:noWrap/>
            <w:vAlign w:val="bottom"/>
            <w:hideMark/>
          </w:tcPr>
          <w:p w14:paraId="17B73E47" w14:textId="77777777" w:rsidR="00881780" w:rsidRPr="00A71C8E" w:rsidRDefault="00881780" w:rsidP="006F4D8F">
            <w:pPr>
              <w:spacing w:before="0" w:line="240" w:lineRule="auto"/>
              <w:jc w:val="left"/>
              <w:rPr>
                <w:sz w:val="18"/>
                <w:szCs w:val="18"/>
              </w:rPr>
            </w:pPr>
            <w:r w:rsidRPr="00A71C8E">
              <w:rPr>
                <w:sz w:val="18"/>
                <w:szCs w:val="18"/>
              </w:rPr>
              <w:t>71,0</w:t>
            </w:r>
          </w:p>
        </w:tc>
        <w:tc>
          <w:tcPr>
            <w:tcW w:w="450" w:type="pct"/>
            <w:shd w:val="clear" w:color="auto" w:fill="auto"/>
            <w:noWrap/>
            <w:vAlign w:val="bottom"/>
            <w:hideMark/>
          </w:tcPr>
          <w:p w14:paraId="6BDCD70C" w14:textId="77777777" w:rsidR="00881780" w:rsidRPr="00A71C8E" w:rsidRDefault="00881780" w:rsidP="006F4D8F">
            <w:pPr>
              <w:spacing w:before="0" w:line="240" w:lineRule="auto"/>
              <w:jc w:val="left"/>
              <w:rPr>
                <w:sz w:val="18"/>
                <w:szCs w:val="18"/>
              </w:rPr>
            </w:pPr>
            <w:r w:rsidRPr="00A71C8E">
              <w:rPr>
                <w:sz w:val="18"/>
                <w:szCs w:val="18"/>
              </w:rPr>
              <w:t>72,3</w:t>
            </w:r>
          </w:p>
        </w:tc>
        <w:tc>
          <w:tcPr>
            <w:tcW w:w="447" w:type="pct"/>
            <w:shd w:val="clear" w:color="auto" w:fill="auto"/>
            <w:noWrap/>
            <w:vAlign w:val="bottom"/>
            <w:hideMark/>
          </w:tcPr>
          <w:p w14:paraId="1232DC7A" w14:textId="77777777" w:rsidR="00881780" w:rsidRPr="00A71C8E" w:rsidRDefault="00881780" w:rsidP="006F4D8F">
            <w:pPr>
              <w:spacing w:before="0" w:line="240" w:lineRule="auto"/>
              <w:jc w:val="left"/>
              <w:rPr>
                <w:sz w:val="18"/>
                <w:szCs w:val="18"/>
              </w:rPr>
            </w:pPr>
            <w:r w:rsidRPr="00A71C8E">
              <w:rPr>
                <w:sz w:val="18"/>
                <w:szCs w:val="18"/>
              </w:rPr>
              <w:t>74,2</w:t>
            </w:r>
          </w:p>
        </w:tc>
      </w:tr>
      <w:tr w:rsidR="00881780" w:rsidRPr="00A71C8E" w14:paraId="7B47964C" w14:textId="77777777" w:rsidTr="006F4D8F">
        <w:trPr>
          <w:trHeight w:val="300"/>
        </w:trPr>
        <w:tc>
          <w:tcPr>
            <w:tcW w:w="1852" w:type="pct"/>
            <w:shd w:val="clear" w:color="auto" w:fill="auto"/>
            <w:noWrap/>
            <w:vAlign w:val="bottom"/>
            <w:hideMark/>
          </w:tcPr>
          <w:p w14:paraId="087F54FE" w14:textId="77777777" w:rsidR="00881780" w:rsidRPr="00A71C8E" w:rsidRDefault="00881780" w:rsidP="006F4D8F">
            <w:pPr>
              <w:spacing w:before="0" w:line="240" w:lineRule="auto"/>
              <w:rPr>
                <w:sz w:val="18"/>
                <w:szCs w:val="18"/>
              </w:rPr>
            </w:pPr>
            <w:r w:rsidRPr="00A71C8E">
              <w:rPr>
                <w:sz w:val="18"/>
                <w:szCs w:val="18"/>
              </w:rPr>
              <w:t>Kujawsko-pomorskie</w:t>
            </w:r>
          </w:p>
        </w:tc>
        <w:tc>
          <w:tcPr>
            <w:tcW w:w="450" w:type="pct"/>
            <w:shd w:val="clear" w:color="auto" w:fill="auto"/>
            <w:noWrap/>
            <w:vAlign w:val="bottom"/>
            <w:hideMark/>
          </w:tcPr>
          <w:p w14:paraId="17EC4D4C" w14:textId="77777777" w:rsidR="00881780" w:rsidRPr="00A71C8E" w:rsidRDefault="00881780" w:rsidP="006F4D8F">
            <w:pPr>
              <w:spacing w:before="0" w:line="240" w:lineRule="auto"/>
              <w:jc w:val="left"/>
              <w:rPr>
                <w:sz w:val="18"/>
                <w:szCs w:val="18"/>
              </w:rPr>
            </w:pPr>
            <w:r w:rsidRPr="00A71C8E">
              <w:rPr>
                <w:sz w:val="18"/>
                <w:szCs w:val="18"/>
              </w:rPr>
              <w:t>64,5</w:t>
            </w:r>
          </w:p>
        </w:tc>
        <w:tc>
          <w:tcPr>
            <w:tcW w:w="450" w:type="pct"/>
            <w:shd w:val="clear" w:color="auto" w:fill="auto"/>
            <w:noWrap/>
            <w:vAlign w:val="bottom"/>
            <w:hideMark/>
          </w:tcPr>
          <w:p w14:paraId="5F5E18DA" w14:textId="77777777" w:rsidR="00881780" w:rsidRPr="00A71C8E" w:rsidRDefault="00881780" w:rsidP="006F4D8F">
            <w:pPr>
              <w:spacing w:before="0" w:line="240" w:lineRule="auto"/>
              <w:jc w:val="left"/>
              <w:rPr>
                <w:sz w:val="18"/>
                <w:szCs w:val="18"/>
              </w:rPr>
            </w:pPr>
            <w:r w:rsidRPr="00A71C8E">
              <w:rPr>
                <w:sz w:val="18"/>
                <w:szCs w:val="18"/>
              </w:rPr>
              <w:t>63,1</w:t>
            </w:r>
          </w:p>
        </w:tc>
        <w:tc>
          <w:tcPr>
            <w:tcW w:w="450" w:type="pct"/>
            <w:shd w:val="clear" w:color="auto" w:fill="auto"/>
            <w:noWrap/>
            <w:vAlign w:val="bottom"/>
            <w:hideMark/>
          </w:tcPr>
          <w:p w14:paraId="37EC3E89" w14:textId="77777777" w:rsidR="00881780" w:rsidRPr="00A71C8E" w:rsidRDefault="00881780" w:rsidP="006F4D8F">
            <w:pPr>
              <w:spacing w:before="0" w:line="240" w:lineRule="auto"/>
              <w:jc w:val="left"/>
              <w:rPr>
                <w:sz w:val="18"/>
                <w:szCs w:val="18"/>
              </w:rPr>
            </w:pPr>
            <w:r w:rsidRPr="00A71C8E">
              <w:rPr>
                <w:sz w:val="18"/>
                <w:szCs w:val="18"/>
              </w:rPr>
              <w:t>64,9</w:t>
            </w:r>
          </w:p>
        </w:tc>
        <w:tc>
          <w:tcPr>
            <w:tcW w:w="450" w:type="pct"/>
            <w:shd w:val="clear" w:color="auto" w:fill="auto"/>
            <w:noWrap/>
            <w:vAlign w:val="bottom"/>
            <w:hideMark/>
          </w:tcPr>
          <w:p w14:paraId="7D27D15A" w14:textId="77777777" w:rsidR="00881780" w:rsidRPr="00A71C8E" w:rsidRDefault="00881780" w:rsidP="006F4D8F">
            <w:pPr>
              <w:spacing w:before="0" w:line="240" w:lineRule="auto"/>
              <w:jc w:val="left"/>
              <w:rPr>
                <w:sz w:val="18"/>
                <w:szCs w:val="18"/>
              </w:rPr>
            </w:pPr>
            <w:r w:rsidRPr="00A71C8E">
              <w:rPr>
                <w:sz w:val="18"/>
                <w:szCs w:val="18"/>
              </w:rPr>
              <w:t>66,5</w:t>
            </w:r>
          </w:p>
        </w:tc>
        <w:tc>
          <w:tcPr>
            <w:tcW w:w="450" w:type="pct"/>
            <w:shd w:val="clear" w:color="auto" w:fill="auto"/>
            <w:noWrap/>
            <w:vAlign w:val="bottom"/>
            <w:hideMark/>
          </w:tcPr>
          <w:p w14:paraId="7B9763C0" w14:textId="77777777" w:rsidR="00881780" w:rsidRPr="00A71C8E" w:rsidRDefault="00881780" w:rsidP="006F4D8F">
            <w:pPr>
              <w:spacing w:before="0" w:line="240" w:lineRule="auto"/>
              <w:jc w:val="left"/>
              <w:rPr>
                <w:sz w:val="18"/>
                <w:szCs w:val="18"/>
              </w:rPr>
            </w:pPr>
            <w:r w:rsidRPr="00A71C8E">
              <w:rPr>
                <w:sz w:val="18"/>
                <w:szCs w:val="18"/>
              </w:rPr>
              <w:t>66,5</w:t>
            </w:r>
          </w:p>
        </w:tc>
        <w:tc>
          <w:tcPr>
            <w:tcW w:w="450" w:type="pct"/>
            <w:shd w:val="clear" w:color="auto" w:fill="auto"/>
            <w:noWrap/>
            <w:vAlign w:val="bottom"/>
            <w:hideMark/>
          </w:tcPr>
          <w:p w14:paraId="79DAB8E7" w14:textId="77777777" w:rsidR="00881780" w:rsidRPr="00A71C8E" w:rsidRDefault="00881780" w:rsidP="006F4D8F">
            <w:pPr>
              <w:spacing w:before="0" w:line="240" w:lineRule="auto"/>
              <w:jc w:val="left"/>
              <w:rPr>
                <w:sz w:val="18"/>
                <w:szCs w:val="18"/>
              </w:rPr>
            </w:pPr>
            <w:r w:rsidRPr="00A71C8E">
              <w:rPr>
                <w:sz w:val="18"/>
                <w:szCs w:val="18"/>
              </w:rPr>
              <w:t>68,1</w:t>
            </w:r>
          </w:p>
        </w:tc>
        <w:tc>
          <w:tcPr>
            <w:tcW w:w="447" w:type="pct"/>
            <w:shd w:val="clear" w:color="auto" w:fill="auto"/>
            <w:noWrap/>
            <w:vAlign w:val="bottom"/>
            <w:hideMark/>
          </w:tcPr>
          <w:p w14:paraId="56F4755F" w14:textId="77777777" w:rsidR="00881780" w:rsidRPr="00A71C8E" w:rsidRDefault="00881780" w:rsidP="006F4D8F">
            <w:pPr>
              <w:spacing w:before="0" w:line="240" w:lineRule="auto"/>
              <w:jc w:val="left"/>
              <w:rPr>
                <w:sz w:val="18"/>
                <w:szCs w:val="18"/>
              </w:rPr>
            </w:pPr>
            <w:r w:rsidRPr="00A71C8E">
              <w:rPr>
                <w:sz w:val="18"/>
                <w:szCs w:val="18"/>
              </w:rPr>
              <w:t>69,3</w:t>
            </w:r>
          </w:p>
        </w:tc>
      </w:tr>
      <w:tr w:rsidR="00881780" w:rsidRPr="00A71C8E" w14:paraId="00ED3449" w14:textId="77777777" w:rsidTr="006F4D8F">
        <w:trPr>
          <w:trHeight w:val="300"/>
        </w:trPr>
        <w:tc>
          <w:tcPr>
            <w:tcW w:w="1852" w:type="pct"/>
            <w:shd w:val="clear" w:color="auto" w:fill="auto"/>
            <w:noWrap/>
            <w:vAlign w:val="bottom"/>
            <w:hideMark/>
          </w:tcPr>
          <w:p w14:paraId="045DEB2F" w14:textId="77777777" w:rsidR="00881780" w:rsidRPr="00A71C8E" w:rsidRDefault="00881780" w:rsidP="006F4D8F">
            <w:pPr>
              <w:spacing w:before="0" w:line="240" w:lineRule="auto"/>
              <w:rPr>
                <w:sz w:val="18"/>
                <w:szCs w:val="18"/>
              </w:rPr>
            </w:pPr>
            <w:r w:rsidRPr="00A71C8E">
              <w:rPr>
                <w:sz w:val="18"/>
                <w:szCs w:val="18"/>
              </w:rPr>
              <w:t>Lubelskie</w:t>
            </w:r>
          </w:p>
        </w:tc>
        <w:tc>
          <w:tcPr>
            <w:tcW w:w="450" w:type="pct"/>
            <w:shd w:val="clear" w:color="auto" w:fill="auto"/>
            <w:noWrap/>
            <w:vAlign w:val="bottom"/>
            <w:hideMark/>
          </w:tcPr>
          <w:p w14:paraId="22140A12" w14:textId="77777777" w:rsidR="00881780" w:rsidRPr="00A71C8E" w:rsidRDefault="00881780" w:rsidP="006F4D8F">
            <w:pPr>
              <w:spacing w:before="0" w:line="240" w:lineRule="auto"/>
              <w:jc w:val="left"/>
              <w:rPr>
                <w:sz w:val="18"/>
                <w:szCs w:val="18"/>
              </w:rPr>
            </w:pPr>
            <w:r w:rsidRPr="00A71C8E">
              <w:rPr>
                <w:sz w:val="18"/>
                <w:szCs w:val="18"/>
              </w:rPr>
              <w:t>66,4</w:t>
            </w:r>
          </w:p>
        </w:tc>
        <w:tc>
          <w:tcPr>
            <w:tcW w:w="450" w:type="pct"/>
            <w:shd w:val="clear" w:color="auto" w:fill="auto"/>
            <w:noWrap/>
            <w:vAlign w:val="bottom"/>
            <w:hideMark/>
          </w:tcPr>
          <w:p w14:paraId="75D31D84" w14:textId="77777777" w:rsidR="00881780" w:rsidRPr="00A71C8E" w:rsidRDefault="00881780" w:rsidP="006F4D8F">
            <w:pPr>
              <w:spacing w:before="0" w:line="240" w:lineRule="auto"/>
              <w:jc w:val="left"/>
              <w:rPr>
                <w:sz w:val="18"/>
                <w:szCs w:val="18"/>
              </w:rPr>
            </w:pPr>
            <w:r w:rsidRPr="00A71C8E">
              <w:rPr>
                <w:sz w:val="18"/>
                <w:szCs w:val="18"/>
              </w:rPr>
              <w:t>66,6</w:t>
            </w:r>
          </w:p>
        </w:tc>
        <w:tc>
          <w:tcPr>
            <w:tcW w:w="450" w:type="pct"/>
            <w:shd w:val="clear" w:color="auto" w:fill="auto"/>
            <w:noWrap/>
            <w:vAlign w:val="bottom"/>
            <w:hideMark/>
          </w:tcPr>
          <w:p w14:paraId="3F204E02" w14:textId="77777777" w:rsidR="00881780" w:rsidRPr="00A71C8E" w:rsidRDefault="00881780" w:rsidP="006F4D8F">
            <w:pPr>
              <w:spacing w:before="0" w:line="240" w:lineRule="auto"/>
              <w:jc w:val="left"/>
              <w:rPr>
                <w:sz w:val="18"/>
                <w:szCs w:val="18"/>
              </w:rPr>
            </w:pPr>
            <w:r w:rsidRPr="00A71C8E">
              <w:rPr>
                <w:sz w:val="18"/>
                <w:szCs w:val="18"/>
              </w:rPr>
              <w:t>66,2</w:t>
            </w:r>
          </w:p>
        </w:tc>
        <w:tc>
          <w:tcPr>
            <w:tcW w:w="450" w:type="pct"/>
            <w:shd w:val="clear" w:color="auto" w:fill="auto"/>
            <w:noWrap/>
            <w:vAlign w:val="bottom"/>
            <w:hideMark/>
          </w:tcPr>
          <w:p w14:paraId="555D82B5" w14:textId="77777777" w:rsidR="00881780" w:rsidRPr="00A71C8E" w:rsidRDefault="00881780" w:rsidP="006F4D8F">
            <w:pPr>
              <w:spacing w:before="0" w:line="240" w:lineRule="auto"/>
              <w:jc w:val="left"/>
              <w:rPr>
                <w:sz w:val="18"/>
                <w:szCs w:val="18"/>
              </w:rPr>
            </w:pPr>
            <w:r w:rsidRPr="00A71C8E">
              <w:rPr>
                <w:sz w:val="18"/>
                <w:szCs w:val="18"/>
              </w:rPr>
              <w:t>67,0</w:t>
            </w:r>
          </w:p>
        </w:tc>
        <w:tc>
          <w:tcPr>
            <w:tcW w:w="450" w:type="pct"/>
            <w:shd w:val="clear" w:color="auto" w:fill="auto"/>
            <w:noWrap/>
            <w:vAlign w:val="bottom"/>
            <w:hideMark/>
          </w:tcPr>
          <w:p w14:paraId="7F6C4DBD" w14:textId="77777777" w:rsidR="00881780" w:rsidRPr="00A71C8E" w:rsidRDefault="00881780" w:rsidP="006F4D8F">
            <w:pPr>
              <w:spacing w:before="0" w:line="240" w:lineRule="auto"/>
              <w:jc w:val="left"/>
              <w:rPr>
                <w:sz w:val="18"/>
                <w:szCs w:val="18"/>
              </w:rPr>
            </w:pPr>
            <w:r w:rsidRPr="00A71C8E">
              <w:rPr>
                <w:sz w:val="18"/>
                <w:szCs w:val="18"/>
              </w:rPr>
              <w:t>68,0</w:t>
            </w:r>
          </w:p>
        </w:tc>
        <w:tc>
          <w:tcPr>
            <w:tcW w:w="450" w:type="pct"/>
            <w:shd w:val="clear" w:color="auto" w:fill="auto"/>
            <w:noWrap/>
            <w:vAlign w:val="bottom"/>
            <w:hideMark/>
          </w:tcPr>
          <w:p w14:paraId="78EF52C1" w14:textId="77777777" w:rsidR="00881780" w:rsidRPr="00A71C8E" w:rsidRDefault="00881780" w:rsidP="006F4D8F">
            <w:pPr>
              <w:spacing w:before="0" w:line="240" w:lineRule="auto"/>
              <w:jc w:val="left"/>
              <w:rPr>
                <w:sz w:val="18"/>
                <w:szCs w:val="18"/>
              </w:rPr>
            </w:pPr>
            <w:r w:rsidRPr="00A71C8E">
              <w:rPr>
                <w:sz w:val="18"/>
                <w:szCs w:val="18"/>
              </w:rPr>
              <w:t>67,7</w:t>
            </w:r>
          </w:p>
        </w:tc>
        <w:tc>
          <w:tcPr>
            <w:tcW w:w="447" w:type="pct"/>
            <w:shd w:val="clear" w:color="auto" w:fill="auto"/>
            <w:noWrap/>
            <w:vAlign w:val="bottom"/>
            <w:hideMark/>
          </w:tcPr>
          <w:p w14:paraId="1046A323" w14:textId="77777777" w:rsidR="00881780" w:rsidRPr="00A71C8E" w:rsidRDefault="00881780" w:rsidP="006F4D8F">
            <w:pPr>
              <w:spacing w:before="0" w:line="240" w:lineRule="auto"/>
              <w:jc w:val="left"/>
              <w:rPr>
                <w:sz w:val="18"/>
                <w:szCs w:val="18"/>
              </w:rPr>
            </w:pPr>
            <w:r w:rsidRPr="00A71C8E">
              <w:rPr>
                <w:sz w:val="18"/>
                <w:szCs w:val="18"/>
              </w:rPr>
              <w:t>69,4</w:t>
            </w:r>
          </w:p>
        </w:tc>
      </w:tr>
      <w:tr w:rsidR="00881780" w:rsidRPr="00A71C8E" w14:paraId="108F635C" w14:textId="77777777" w:rsidTr="006F4D8F">
        <w:trPr>
          <w:trHeight w:val="300"/>
        </w:trPr>
        <w:tc>
          <w:tcPr>
            <w:tcW w:w="1852" w:type="pct"/>
            <w:shd w:val="clear" w:color="auto" w:fill="auto"/>
            <w:noWrap/>
            <w:vAlign w:val="bottom"/>
            <w:hideMark/>
          </w:tcPr>
          <w:p w14:paraId="26FB7B56" w14:textId="77777777" w:rsidR="00881780" w:rsidRPr="00A71C8E" w:rsidRDefault="00881780" w:rsidP="006F4D8F">
            <w:pPr>
              <w:spacing w:before="0" w:line="240" w:lineRule="auto"/>
              <w:rPr>
                <w:sz w:val="18"/>
                <w:szCs w:val="18"/>
              </w:rPr>
            </w:pPr>
            <w:r w:rsidRPr="00A71C8E">
              <w:rPr>
                <w:sz w:val="18"/>
                <w:szCs w:val="18"/>
              </w:rPr>
              <w:t>Lubuskie</w:t>
            </w:r>
          </w:p>
        </w:tc>
        <w:tc>
          <w:tcPr>
            <w:tcW w:w="450" w:type="pct"/>
            <w:shd w:val="clear" w:color="auto" w:fill="auto"/>
            <w:noWrap/>
            <w:vAlign w:val="bottom"/>
            <w:hideMark/>
          </w:tcPr>
          <w:p w14:paraId="18B7492B" w14:textId="77777777" w:rsidR="00881780" w:rsidRPr="00A71C8E" w:rsidRDefault="00881780" w:rsidP="006F4D8F">
            <w:pPr>
              <w:spacing w:before="0" w:line="240" w:lineRule="auto"/>
              <w:jc w:val="left"/>
              <w:rPr>
                <w:sz w:val="18"/>
                <w:szCs w:val="18"/>
              </w:rPr>
            </w:pPr>
            <w:r w:rsidRPr="00A71C8E">
              <w:rPr>
                <w:sz w:val="18"/>
                <w:szCs w:val="18"/>
              </w:rPr>
              <w:t>62,5</w:t>
            </w:r>
          </w:p>
        </w:tc>
        <w:tc>
          <w:tcPr>
            <w:tcW w:w="450" w:type="pct"/>
            <w:shd w:val="clear" w:color="auto" w:fill="auto"/>
            <w:noWrap/>
            <w:vAlign w:val="bottom"/>
            <w:hideMark/>
          </w:tcPr>
          <w:p w14:paraId="4A7EBB11" w14:textId="77777777" w:rsidR="00881780" w:rsidRPr="00A71C8E" w:rsidRDefault="00881780" w:rsidP="006F4D8F">
            <w:pPr>
              <w:spacing w:before="0" w:line="240" w:lineRule="auto"/>
              <w:jc w:val="left"/>
              <w:rPr>
                <w:sz w:val="18"/>
                <w:szCs w:val="18"/>
              </w:rPr>
            </w:pPr>
            <w:r w:rsidRPr="00A71C8E">
              <w:rPr>
                <w:sz w:val="18"/>
                <w:szCs w:val="18"/>
              </w:rPr>
              <w:t>63,6</w:t>
            </w:r>
          </w:p>
        </w:tc>
        <w:tc>
          <w:tcPr>
            <w:tcW w:w="450" w:type="pct"/>
            <w:shd w:val="clear" w:color="auto" w:fill="auto"/>
            <w:noWrap/>
            <w:vAlign w:val="bottom"/>
            <w:hideMark/>
          </w:tcPr>
          <w:p w14:paraId="7ADB6575" w14:textId="77777777" w:rsidR="00881780" w:rsidRPr="00A71C8E" w:rsidRDefault="00881780" w:rsidP="006F4D8F">
            <w:pPr>
              <w:spacing w:before="0" w:line="240" w:lineRule="auto"/>
              <w:jc w:val="left"/>
              <w:rPr>
                <w:sz w:val="18"/>
                <w:szCs w:val="18"/>
              </w:rPr>
            </w:pPr>
            <w:r w:rsidRPr="00A71C8E">
              <w:rPr>
                <w:sz w:val="18"/>
                <w:szCs w:val="18"/>
              </w:rPr>
              <w:t>66,8</w:t>
            </w:r>
          </w:p>
        </w:tc>
        <w:tc>
          <w:tcPr>
            <w:tcW w:w="450" w:type="pct"/>
            <w:shd w:val="clear" w:color="auto" w:fill="auto"/>
            <w:noWrap/>
            <w:vAlign w:val="bottom"/>
            <w:hideMark/>
          </w:tcPr>
          <w:p w14:paraId="4DD03FC6" w14:textId="77777777" w:rsidR="00881780" w:rsidRPr="00A71C8E" w:rsidRDefault="00881780" w:rsidP="006F4D8F">
            <w:pPr>
              <w:spacing w:before="0" w:line="240" w:lineRule="auto"/>
              <w:jc w:val="left"/>
              <w:rPr>
                <w:sz w:val="18"/>
                <w:szCs w:val="18"/>
              </w:rPr>
            </w:pPr>
            <w:r w:rsidRPr="00A71C8E">
              <w:rPr>
                <w:sz w:val="18"/>
                <w:szCs w:val="18"/>
              </w:rPr>
              <w:t>67,7</w:t>
            </w:r>
          </w:p>
        </w:tc>
        <w:tc>
          <w:tcPr>
            <w:tcW w:w="450" w:type="pct"/>
            <w:shd w:val="clear" w:color="auto" w:fill="auto"/>
            <w:noWrap/>
            <w:vAlign w:val="bottom"/>
            <w:hideMark/>
          </w:tcPr>
          <w:p w14:paraId="492B7BF3" w14:textId="77777777" w:rsidR="00881780" w:rsidRPr="00A71C8E" w:rsidRDefault="00881780" w:rsidP="006F4D8F">
            <w:pPr>
              <w:spacing w:before="0" w:line="240" w:lineRule="auto"/>
              <w:jc w:val="left"/>
              <w:rPr>
                <w:sz w:val="18"/>
                <w:szCs w:val="18"/>
              </w:rPr>
            </w:pPr>
            <w:r w:rsidRPr="00A71C8E">
              <w:rPr>
                <w:sz w:val="18"/>
                <w:szCs w:val="18"/>
              </w:rPr>
              <w:t>68,9</w:t>
            </w:r>
          </w:p>
        </w:tc>
        <w:tc>
          <w:tcPr>
            <w:tcW w:w="450" w:type="pct"/>
            <w:shd w:val="clear" w:color="auto" w:fill="auto"/>
            <w:noWrap/>
            <w:vAlign w:val="bottom"/>
            <w:hideMark/>
          </w:tcPr>
          <w:p w14:paraId="243EFE22" w14:textId="77777777" w:rsidR="00881780" w:rsidRPr="00A71C8E" w:rsidRDefault="00881780" w:rsidP="006F4D8F">
            <w:pPr>
              <w:spacing w:before="0" w:line="240" w:lineRule="auto"/>
              <w:jc w:val="left"/>
              <w:rPr>
                <w:sz w:val="18"/>
                <w:szCs w:val="18"/>
              </w:rPr>
            </w:pPr>
            <w:r w:rsidRPr="00A71C8E">
              <w:rPr>
                <w:sz w:val="18"/>
                <w:szCs w:val="18"/>
              </w:rPr>
              <w:t>70,3</w:t>
            </w:r>
          </w:p>
        </w:tc>
        <w:tc>
          <w:tcPr>
            <w:tcW w:w="447" w:type="pct"/>
            <w:shd w:val="clear" w:color="auto" w:fill="auto"/>
            <w:noWrap/>
            <w:vAlign w:val="bottom"/>
            <w:hideMark/>
          </w:tcPr>
          <w:p w14:paraId="1FA82490" w14:textId="77777777" w:rsidR="00881780" w:rsidRPr="00A71C8E" w:rsidRDefault="00881780" w:rsidP="006F4D8F">
            <w:pPr>
              <w:spacing w:before="0" w:line="240" w:lineRule="auto"/>
              <w:jc w:val="left"/>
              <w:rPr>
                <w:sz w:val="18"/>
                <w:szCs w:val="18"/>
              </w:rPr>
            </w:pPr>
            <w:r w:rsidRPr="00A71C8E">
              <w:rPr>
                <w:sz w:val="18"/>
                <w:szCs w:val="18"/>
              </w:rPr>
              <w:t>70,7</w:t>
            </w:r>
          </w:p>
        </w:tc>
      </w:tr>
      <w:tr w:rsidR="00881780" w:rsidRPr="00A71C8E" w14:paraId="4B86A232" w14:textId="77777777" w:rsidTr="006F4D8F">
        <w:trPr>
          <w:trHeight w:val="300"/>
        </w:trPr>
        <w:tc>
          <w:tcPr>
            <w:tcW w:w="1852" w:type="pct"/>
            <w:shd w:val="clear" w:color="auto" w:fill="auto"/>
            <w:noWrap/>
            <w:vAlign w:val="bottom"/>
            <w:hideMark/>
          </w:tcPr>
          <w:p w14:paraId="67E378FE" w14:textId="77777777" w:rsidR="00881780" w:rsidRPr="00A71C8E" w:rsidRDefault="00881780" w:rsidP="006F4D8F">
            <w:pPr>
              <w:spacing w:before="0" w:line="240" w:lineRule="auto"/>
              <w:rPr>
                <w:sz w:val="18"/>
                <w:szCs w:val="18"/>
              </w:rPr>
            </w:pPr>
            <w:r w:rsidRPr="00A71C8E">
              <w:rPr>
                <w:sz w:val="18"/>
                <w:szCs w:val="18"/>
              </w:rPr>
              <w:t>Łódzkie</w:t>
            </w:r>
          </w:p>
        </w:tc>
        <w:tc>
          <w:tcPr>
            <w:tcW w:w="450" w:type="pct"/>
            <w:shd w:val="clear" w:color="auto" w:fill="auto"/>
            <w:noWrap/>
            <w:vAlign w:val="bottom"/>
            <w:hideMark/>
          </w:tcPr>
          <w:p w14:paraId="1CA5876F" w14:textId="77777777" w:rsidR="00881780" w:rsidRPr="00A71C8E" w:rsidRDefault="00881780" w:rsidP="006F4D8F">
            <w:pPr>
              <w:spacing w:before="0" w:line="240" w:lineRule="auto"/>
              <w:jc w:val="left"/>
              <w:rPr>
                <w:sz w:val="18"/>
                <w:szCs w:val="18"/>
              </w:rPr>
            </w:pPr>
            <w:r w:rsidRPr="00A71C8E">
              <w:rPr>
                <w:sz w:val="18"/>
                <w:szCs w:val="18"/>
              </w:rPr>
              <w:t>66,6</w:t>
            </w:r>
          </w:p>
        </w:tc>
        <w:tc>
          <w:tcPr>
            <w:tcW w:w="450" w:type="pct"/>
            <w:shd w:val="clear" w:color="auto" w:fill="auto"/>
            <w:noWrap/>
            <w:vAlign w:val="bottom"/>
            <w:hideMark/>
          </w:tcPr>
          <w:p w14:paraId="15497B07" w14:textId="77777777" w:rsidR="00881780" w:rsidRPr="00A71C8E" w:rsidRDefault="00881780" w:rsidP="006F4D8F">
            <w:pPr>
              <w:spacing w:before="0" w:line="240" w:lineRule="auto"/>
              <w:jc w:val="left"/>
              <w:rPr>
                <w:sz w:val="18"/>
                <w:szCs w:val="18"/>
              </w:rPr>
            </w:pPr>
            <w:r w:rsidRPr="00A71C8E">
              <w:rPr>
                <w:sz w:val="18"/>
                <w:szCs w:val="18"/>
              </w:rPr>
              <w:t>67,7</w:t>
            </w:r>
          </w:p>
        </w:tc>
        <w:tc>
          <w:tcPr>
            <w:tcW w:w="450" w:type="pct"/>
            <w:shd w:val="clear" w:color="auto" w:fill="auto"/>
            <w:noWrap/>
            <w:vAlign w:val="bottom"/>
            <w:hideMark/>
          </w:tcPr>
          <w:p w14:paraId="3F017CE1" w14:textId="77777777" w:rsidR="00881780" w:rsidRPr="00A71C8E" w:rsidRDefault="00881780" w:rsidP="006F4D8F">
            <w:pPr>
              <w:spacing w:before="0" w:line="240" w:lineRule="auto"/>
              <w:jc w:val="left"/>
              <w:rPr>
                <w:sz w:val="18"/>
                <w:szCs w:val="18"/>
              </w:rPr>
            </w:pPr>
            <w:r w:rsidRPr="00A71C8E">
              <w:rPr>
                <w:sz w:val="18"/>
                <w:szCs w:val="18"/>
              </w:rPr>
              <w:t>69,3</w:t>
            </w:r>
          </w:p>
        </w:tc>
        <w:tc>
          <w:tcPr>
            <w:tcW w:w="450" w:type="pct"/>
            <w:shd w:val="clear" w:color="auto" w:fill="auto"/>
            <w:noWrap/>
            <w:vAlign w:val="bottom"/>
            <w:hideMark/>
          </w:tcPr>
          <w:p w14:paraId="3720AC90" w14:textId="77777777" w:rsidR="00881780" w:rsidRPr="00A71C8E" w:rsidRDefault="00881780" w:rsidP="006F4D8F">
            <w:pPr>
              <w:spacing w:before="0" w:line="240" w:lineRule="auto"/>
              <w:jc w:val="left"/>
              <w:rPr>
                <w:sz w:val="18"/>
                <w:szCs w:val="18"/>
              </w:rPr>
            </w:pPr>
            <w:r w:rsidRPr="00A71C8E">
              <w:rPr>
                <w:sz w:val="18"/>
                <w:szCs w:val="18"/>
              </w:rPr>
              <w:t>70,5</w:t>
            </w:r>
          </w:p>
        </w:tc>
        <w:tc>
          <w:tcPr>
            <w:tcW w:w="450" w:type="pct"/>
            <w:shd w:val="clear" w:color="auto" w:fill="auto"/>
            <w:noWrap/>
            <w:vAlign w:val="bottom"/>
            <w:hideMark/>
          </w:tcPr>
          <w:p w14:paraId="7B88EE92" w14:textId="77777777" w:rsidR="00881780" w:rsidRPr="00A71C8E" w:rsidRDefault="00881780" w:rsidP="006F4D8F">
            <w:pPr>
              <w:spacing w:before="0" w:line="240" w:lineRule="auto"/>
              <w:jc w:val="left"/>
              <w:rPr>
                <w:sz w:val="18"/>
                <w:szCs w:val="18"/>
              </w:rPr>
            </w:pPr>
            <w:r w:rsidRPr="00A71C8E">
              <w:rPr>
                <w:sz w:val="18"/>
                <w:szCs w:val="18"/>
              </w:rPr>
              <w:t>72,9</w:t>
            </w:r>
          </w:p>
        </w:tc>
        <w:tc>
          <w:tcPr>
            <w:tcW w:w="450" w:type="pct"/>
            <w:shd w:val="clear" w:color="auto" w:fill="auto"/>
            <w:noWrap/>
            <w:vAlign w:val="bottom"/>
            <w:hideMark/>
          </w:tcPr>
          <w:p w14:paraId="4F354436" w14:textId="77777777" w:rsidR="00881780" w:rsidRPr="00A71C8E" w:rsidRDefault="00881780" w:rsidP="006F4D8F">
            <w:pPr>
              <w:spacing w:before="0" w:line="240" w:lineRule="auto"/>
              <w:jc w:val="left"/>
              <w:rPr>
                <w:sz w:val="18"/>
                <w:szCs w:val="18"/>
              </w:rPr>
            </w:pPr>
            <w:r w:rsidRPr="00A71C8E">
              <w:rPr>
                <w:sz w:val="18"/>
                <w:szCs w:val="18"/>
              </w:rPr>
              <w:t>74,9</w:t>
            </w:r>
          </w:p>
        </w:tc>
        <w:tc>
          <w:tcPr>
            <w:tcW w:w="447" w:type="pct"/>
            <w:shd w:val="clear" w:color="auto" w:fill="auto"/>
            <w:noWrap/>
            <w:vAlign w:val="bottom"/>
            <w:hideMark/>
          </w:tcPr>
          <w:p w14:paraId="4986981E" w14:textId="77777777" w:rsidR="00881780" w:rsidRPr="00A71C8E" w:rsidRDefault="00881780" w:rsidP="006F4D8F">
            <w:pPr>
              <w:spacing w:before="0" w:line="240" w:lineRule="auto"/>
              <w:jc w:val="left"/>
              <w:rPr>
                <w:sz w:val="18"/>
                <w:szCs w:val="18"/>
              </w:rPr>
            </w:pPr>
            <w:r w:rsidRPr="00A71C8E">
              <w:rPr>
                <w:sz w:val="18"/>
                <w:szCs w:val="18"/>
              </w:rPr>
              <w:t>74,8</w:t>
            </w:r>
          </w:p>
        </w:tc>
      </w:tr>
      <w:tr w:rsidR="00881780" w:rsidRPr="00A71C8E" w14:paraId="72AF53BB" w14:textId="77777777" w:rsidTr="006F4D8F">
        <w:trPr>
          <w:trHeight w:val="300"/>
        </w:trPr>
        <w:tc>
          <w:tcPr>
            <w:tcW w:w="1852" w:type="pct"/>
            <w:shd w:val="clear" w:color="auto" w:fill="auto"/>
            <w:noWrap/>
            <w:vAlign w:val="bottom"/>
            <w:hideMark/>
          </w:tcPr>
          <w:p w14:paraId="07093634" w14:textId="77777777" w:rsidR="00881780" w:rsidRPr="00A71C8E" w:rsidRDefault="00881780" w:rsidP="006F4D8F">
            <w:pPr>
              <w:spacing w:before="0" w:line="240" w:lineRule="auto"/>
              <w:rPr>
                <w:sz w:val="18"/>
                <w:szCs w:val="18"/>
              </w:rPr>
            </w:pPr>
            <w:r w:rsidRPr="00A71C8E">
              <w:rPr>
                <w:sz w:val="18"/>
                <w:szCs w:val="18"/>
              </w:rPr>
              <w:t>Małopolskie</w:t>
            </w:r>
          </w:p>
        </w:tc>
        <w:tc>
          <w:tcPr>
            <w:tcW w:w="450" w:type="pct"/>
            <w:shd w:val="clear" w:color="auto" w:fill="auto"/>
            <w:noWrap/>
            <w:vAlign w:val="bottom"/>
            <w:hideMark/>
          </w:tcPr>
          <w:p w14:paraId="07711ACC" w14:textId="77777777" w:rsidR="00881780" w:rsidRPr="00A71C8E" w:rsidRDefault="00881780" w:rsidP="006F4D8F">
            <w:pPr>
              <w:spacing w:before="0" w:line="240" w:lineRule="auto"/>
              <w:jc w:val="left"/>
              <w:rPr>
                <w:sz w:val="18"/>
                <w:szCs w:val="18"/>
              </w:rPr>
            </w:pPr>
            <w:r w:rsidRPr="00A71C8E">
              <w:rPr>
                <w:sz w:val="18"/>
                <w:szCs w:val="18"/>
              </w:rPr>
              <w:t>65,5</w:t>
            </w:r>
          </w:p>
        </w:tc>
        <w:tc>
          <w:tcPr>
            <w:tcW w:w="450" w:type="pct"/>
            <w:shd w:val="clear" w:color="auto" w:fill="auto"/>
            <w:noWrap/>
            <w:vAlign w:val="bottom"/>
            <w:hideMark/>
          </w:tcPr>
          <w:p w14:paraId="191DB68A" w14:textId="77777777" w:rsidR="00881780" w:rsidRPr="00A71C8E" w:rsidRDefault="00881780" w:rsidP="006F4D8F">
            <w:pPr>
              <w:spacing w:before="0" w:line="240" w:lineRule="auto"/>
              <w:jc w:val="left"/>
              <w:rPr>
                <w:sz w:val="18"/>
                <w:szCs w:val="18"/>
              </w:rPr>
            </w:pPr>
            <w:r w:rsidRPr="00A71C8E">
              <w:rPr>
                <w:sz w:val="18"/>
                <w:szCs w:val="18"/>
              </w:rPr>
              <w:t>65,4</w:t>
            </w:r>
          </w:p>
        </w:tc>
        <w:tc>
          <w:tcPr>
            <w:tcW w:w="450" w:type="pct"/>
            <w:shd w:val="clear" w:color="auto" w:fill="auto"/>
            <w:noWrap/>
            <w:vAlign w:val="bottom"/>
            <w:hideMark/>
          </w:tcPr>
          <w:p w14:paraId="23F088FA" w14:textId="77777777" w:rsidR="00881780" w:rsidRPr="00A71C8E" w:rsidRDefault="00881780" w:rsidP="006F4D8F">
            <w:pPr>
              <w:spacing w:before="0" w:line="240" w:lineRule="auto"/>
              <w:jc w:val="left"/>
              <w:rPr>
                <w:sz w:val="18"/>
                <w:szCs w:val="18"/>
              </w:rPr>
            </w:pPr>
            <w:r w:rsidRPr="00A71C8E">
              <w:rPr>
                <w:sz w:val="18"/>
                <w:szCs w:val="18"/>
              </w:rPr>
              <w:t>67,7</w:t>
            </w:r>
          </w:p>
        </w:tc>
        <w:tc>
          <w:tcPr>
            <w:tcW w:w="450" w:type="pct"/>
            <w:shd w:val="clear" w:color="auto" w:fill="auto"/>
            <w:noWrap/>
            <w:vAlign w:val="bottom"/>
            <w:hideMark/>
          </w:tcPr>
          <w:p w14:paraId="5DC3A52D" w14:textId="77777777" w:rsidR="00881780" w:rsidRPr="00A71C8E" w:rsidRDefault="00881780" w:rsidP="006F4D8F">
            <w:pPr>
              <w:spacing w:before="0" w:line="240" w:lineRule="auto"/>
              <w:jc w:val="left"/>
              <w:rPr>
                <w:sz w:val="18"/>
                <w:szCs w:val="18"/>
              </w:rPr>
            </w:pPr>
            <w:r w:rsidRPr="00A71C8E">
              <w:rPr>
                <w:sz w:val="18"/>
                <w:szCs w:val="18"/>
              </w:rPr>
              <w:t>68,0</w:t>
            </w:r>
          </w:p>
        </w:tc>
        <w:tc>
          <w:tcPr>
            <w:tcW w:w="450" w:type="pct"/>
            <w:shd w:val="clear" w:color="auto" w:fill="auto"/>
            <w:noWrap/>
            <w:vAlign w:val="bottom"/>
            <w:hideMark/>
          </w:tcPr>
          <w:p w14:paraId="35A49EB1" w14:textId="77777777" w:rsidR="00881780" w:rsidRPr="00A71C8E" w:rsidRDefault="00881780" w:rsidP="006F4D8F">
            <w:pPr>
              <w:spacing w:before="0" w:line="240" w:lineRule="auto"/>
              <w:jc w:val="left"/>
              <w:rPr>
                <w:sz w:val="18"/>
                <w:szCs w:val="18"/>
              </w:rPr>
            </w:pPr>
            <w:r w:rsidRPr="00A71C8E">
              <w:rPr>
                <w:sz w:val="18"/>
                <w:szCs w:val="18"/>
              </w:rPr>
              <w:t>71,6</w:t>
            </w:r>
          </w:p>
        </w:tc>
        <w:tc>
          <w:tcPr>
            <w:tcW w:w="450" w:type="pct"/>
            <w:shd w:val="clear" w:color="auto" w:fill="auto"/>
            <w:noWrap/>
            <w:vAlign w:val="bottom"/>
            <w:hideMark/>
          </w:tcPr>
          <w:p w14:paraId="0768C2FF" w14:textId="77777777" w:rsidR="00881780" w:rsidRPr="00A71C8E" w:rsidRDefault="00881780" w:rsidP="006F4D8F">
            <w:pPr>
              <w:spacing w:before="0" w:line="240" w:lineRule="auto"/>
              <w:jc w:val="left"/>
              <w:rPr>
                <w:sz w:val="18"/>
                <w:szCs w:val="18"/>
              </w:rPr>
            </w:pPr>
            <w:r w:rsidRPr="00A71C8E">
              <w:rPr>
                <w:sz w:val="18"/>
                <w:szCs w:val="18"/>
              </w:rPr>
              <w:t>71,2</w:t>
            </w:r>
          </w:p>
        </w:tc>
        <w:tc>
          <w:tcPr>
            <w:tcW w:w="447" w:type="pct"/>
            <w:shd w:val="clear" w:color="auto" w:fill="auto"/>
            <w:noWrap/>
            <w:vAlign w:val="bottom"/>
            <w:hideMark/>
          </w:tcPr>
          <w:p w14:paraId="590D6A2E" w14:textId="77777777" w:rsidR="00881780" w:rsidRPr="00A71C8E" w:rsidRDefault="00881780" w:rsidP="006F4D8F">
            <w:pPr>
              <w:spacing w:before="0" w:line="240" w:lineRule="auto"/>
              <w:jc w:val="left"/>
              <w:rPr>
                <w:sz w:val="18"/>
                <w:szCs w:val="18"/>
              </w:rPr>
            </w:pPr>
            <w:r w:rsidRPr="00A71C8E">
              <w:rPr>
                <w:sz w:val="18"/>
                <w:szCs w:val="18"/>
              </w:rPr>
              <w:t>70,0</w:t>
            </w:r>
          </w:p>
        </w:tc>
      </w:tr>
      <w:tr w:rsidR="00881780" w:rsidRPr="00A71C8E" w14:paraId="538BEAE3" w14:textId="77777777" w:rsidTr="006F4D8F">
        <w:trPr>
          <w:trHeight w:val="300"/>
        </w:trPr>
        <w:tc>
          <w:tcPr>
            <w:tcW w:w="1852" w:type="pct"/>
            <w:shd w:val="clear" w:color="auto" w:fill="auto"/>
            <w:noWrap/>
            <w:vAlign w:val="bottom"/>
            <w:hideMark/>
          </w:tcPr>
          <w:p w14:paraId="4B2C11C9" w14:textId="77777777" w:rsidR="00881780" w:rsidRPr="00A71C8E" w:rsidRDefault="00881780" w:rsidP="006F4D8F">
            <w:pPr>
              <w:spacing w:before="0" w:line="240" w:lineRule="auto"/>
              <w:rPr>
                <w:sz w:val="18"/>
                <w:szCs w:val="18"/>
              </w:rPr>
            </w:pPr>
            <w:r w:rsidRPr="00A71C8E">
              <w:rPr>
                <w:sz w:val="18"/>
                <w:szCs w:val="18"/>
              </w:rPr>
              <w:t>Mazowieckie</w:t>
            </w:r>
          </w:p>
        </w:tc>
        <w:tc>
          <w:tcPr>
            <w:tcW w:w="450" w:type="pct"/>
            <w:shd w:val="clear" w:color="auto" w:fill="auto"/>
            <w:noWrap/>
            <w:vAlign w:val="bottom"/>
            <w:hideMark/>
          </w:tcPr>
          <w:p w14:paraId="74B338BD" w14:textId="77777777" w:rsidR="00881780" w:rsidRPr="00A71C8E" w:rsidRDefault="00881780" w:rsidP="006F4D8F">
            <w:pPr>
              <w:spacing w:before="0" w:line="240" w:lineRule="auto"/>
              <w:jc w:val="left"/>
              <w:rPr>
                <w:sz w:val="18"/>
                <w:szCs w:val="18"/>
              </w:rPr>
            </w:pPr>
            <w:r w:rsidRPr="00A71C8E">
              <w:rPr>
                <w:sz w:val="18"/>
                <w:szCs w:val="18"/>
              </w:rPr>
              <w:t>71,1</w:t>
            </w:r>
          </w:p>
        </w:tc>
        <w:tc>
          <w:tcPr>
            <w:tcW w:w="450" w:type="pct"/>
            <w:shd w:val="clear" w:color="auto" w:fill="auto"/>
            <w:noWrap/>
            <w:vAlign w:val="bottom"/>
            <w:hideMark/>
          </w:tcPr>
          <w:p w14:paraId="1A949A02" w14:textId="77777777" w:rsidR="00881780" w:rsidRPr="00A71C8E" w:rsidRDefault="00881780" w:rsidP="006F4D8F">
            <w:pPr>
              <w:spacing w:before="0" w:line="240" w:lineRule="auto"/>
              <w:jc w:val="left"/>
              <w:rPr>
                <w:sz w:val="18"/>
                <w:szCs w:val="18"/>
              </w:rPr>
            </w:pPr>
            <w:r w:rsidRPr="00A71C8E">
              <w:rPr>
                <w:sz w:val="18"/>
                <w:szCs w:val="18"/>
              </w:rPr>
              <w:t>70,7</w:t>
            </w:r>
          </w:p>
        </w:tc>
        <w:tc>
          <w:tcPr>
            <w:tcW w:w="450" w:type="pct"/>
            <w:shd w:val="clear" w:color="auto" w:fill="auto"/>
            <w:noWrap/>
            <w:vAlign w:val="bottom"/>
            <w:hideMark/>
          </w:tcPr>
          <w:p w14:paraId="51E4EF34" w14:textId="77777777" w:rsidR="00881780" w:rsidRPr="00A71C8E" w:rsidRDefault="00881780" w:rsidP="006F4D8F">
            <w:pPr>
              <w:spacing w:before="0" w:line="240" w:lineRule="auto"/>
              <w:jc w:val="left"/>
              <w:rPr>
                <w:sz w:val="18"/>
                <w:szCs w:val="18"/>
              </w:rPr>
            </w:pPr>
            <w:r w:rsidRPr="00A71C8E">
              <w:rPr>
                <w:sz w:val="18"/>
                <w:szCs w:val="18"/>
              </w:rPr>
              <w:t>74,1</w:t>
            </w:r>
          </w:p>
        </w:tc>
        <w:tc>
          <w:tcPr>
            <w:tcW w:w="450" w:type="pct"/>
            <w:shd w:val="clear" w:color="auto" w:fill="auto"/>
            <w:noWrap/>
            <w:vAlign w:val="bottom"/>
            <w:hideMark/>
          </w:tcPr>
          <w:p w14:paraId="56B98BBC" w14:textId="77777777" w:rsidR="00881780" w:rsidRPr="00A71C8E" w:rsidRDefault="00881780" w:rsidP="006F4D8F">
            <w:pPr>
              <w:spacing w:before="0" w:line="240" w:lineRule="auto"/>
              <w:jc w:val="left"/>
              <w:rPr>
                <w:sz w:val="18"/>
                <w:szCs w:val="18"/>
              </w:rPr>
            </w:pPr>
            <w:r w:rsidRPr="00A71C8E">
              <w:rPr>
                <w:sz w:val="18"/>
                <w:szCs w:val="18"/>
              </w:rPr>
              <w:t>74,1</w:t>
            </w:r>
          </w:p>
        </w:tc>
        <w:tc>
          <w:tcPr>
            <w:tcW w:w="450" w:type="pct"/>
            <w:shd w:val="clear" w:color="auto" w:fill="auto"/>
            <w:noWrap/>
            <w:vAlign w:val="bottom"/>
            <w:hideMark/>
          </w:tcPr>
          <w:p w14:paraId="27329014" w14:textId="77777777" w:rsidR="00881780" w:rsidRPr="00A71C8E" w:rsidRDefault="00881780" w:rsidP="006F4D8F">
            <w:pPr>
              <w:spacing w:before="0" w:line="240" w:lineRule="auto"/>
              <w:jc w:val="left"/>
              <w:rPr>
                <w:sz w:val="18"/>
                <w:szCs w:val="18"/>
              </w:rPr>
            </w:pPr>
            <w:r w:rsidRPr="00A71C8E">
              <w:rPr>
                <w:sz w:val="18"/>
                <w:szCs w:val="18"/>
              </w:rPr>
              <w:t>74,3</w:t>
            </w:r>
          </w:p>
        </w:tc>
        <w:tc>
          <w:tcPr>
            <w:tcW w:w="450" w:type="pct"/>
            <w:shd w:val="clear" w:color="auto" w:fill="auto"/>
            <w:noWrap/>
            <w:vAlign w:val="bottom"/>
            <w:hideMark/>
          </w:tcPr>
          <w:p w14:paraId="59CE0E81" w14:textId="77777777" w:rsidR="00881780" w:rsidRPr="00A71C8E" w:rsidRDefault="00881780" w:rsidP="006F4D8F">
            <w:pPr>
              <w:spacing w:before="0" w:line="240" w:lineRule="auto"/>
              <w:jc w:val="left"/>
              <w:rPr>
                <w:sz w:val="18"/>
                <w:szCs w:val="18"/>
              </w:rPr>
            </w:pPr>
            <w:r w:rsidRPr="00A71C8E">
              <w:rPr>
                <w:sz w:val="18"/>
                <w:szCs w:val="18"/>
              </w:rPr>
              <w:t>75,3</w:t>
            </w:r>
          </w:p>
        </w:tc>
        <w:tc>
          <w:tcPr>
            <w:tcW w:w="447" w:type="pct"/>
            <w:shd w:val="clear" w:color="auto" w:fill="auto"/>
            <w:noWrap/>
            <w:vAlign w:val="bottom"/>
            <w:hideMark/>
          </w:tcPr>
          <w:p w14:paraId="510F5064" w14:textId="77777777" w:rsidR="00881780" w:rsidRPr="00A71C8E" w:rsidRDefault="00881780" w:rsidP="006F4D8F">
            <w:pPr>
              <w:spacing w:before="0" w:line="240" w:lineRule="auto"/>
              <w:jc w:val="left"/>
              <w:rPr>
                <w:sz w:val="18"/>
                <w:szCs w:val="18"/>
              </w:rPr>
            </w:pPr>
            <w:r w:rsidRPr="00A71C8E">
              <w:rPr>
                <w:sz w:val="18"/>
                <w:szCs w:val="18"/>
              </w:rPr>
              <w:t>76,8</w:t>
            </w:r>
          </w:p>
        </w:tc>
      </w:tr>
      <w:tr w:rsidR="00881780" w:rsidRPr="00A71C8E" w14:paraId="3CADD488" w14:textId="77777777" w:rsidTr="006F4D8F">
        <w:trPr>
          <w:trHeight w:val="300"/>
        </w:trPr>
        <w:tc>
          <w:tcPr>
            <w:tcW w:w="1852" w:type="pct"/>
            <w:shd w:val="clear" w:color="auto" w:fill="auto"/>
            <w:noWrap/>
            <w:vAlign w:val="bottom"/>
            <w:hideMark/>
          </w:tcPr>
          <w:p w14:paraId="39BEE925" w14:textId="77777777" w:rsidR="00881780" w:rsidRPr="00A71C8E" w:rsidRDefault="00881780" w:rsidP="006F4D8F">
            <w:pPr>
              <w:spacing w:before="0" w:line="240" w:lineRule="auto"/>
              <w:rPr>
                <w:sz w:val="18"/>
                <w:szCs w:val="18"/>
              </w:rPr>
            </w:pPr>
            <w:r w:rsidRPr="00A71C8E">
              <w:rPr>
                <w:sz w:val="18"/>
                <w:szCs w:val="18"/>
              </w:rPr>
              <w:t>Opolskie</w:t>
            </w:r>
          </w:p>
        </w:tc>
        <w:tc>
          <w:tcPr>
            <w:tcW w:w="450" w:type="pct"/>
            <w:shd w:val="clear" w:color="auto" w:fill="auto"/>
            <w:noWrap/>
            <w:vAlign w:val="bottom"/>
            <w:hideMark/>
          </w:tcPr>
          <w:p w14:paraId="6C0312BF" w14:textId="77777777" w:rsidR="00881780" w:rsidRPr="00A71C8E" w:rsidRDefault="00881780" w:rsidP="006F4D8F">
            <w:pPr>
              <w:spacing w:before="0" w:line="240" w:lineRule="auto"/>
              <w:jc w:val="left"/>
              <w:rPr>
                <w:sz w:val="18"/>
                <w:szCs w:val="18"/>
              </w:rPr>
            </w:pPr>
            <w:r w:rsidRPr="00A71C8E">
              <w:rPr>
                <w:sz w:val="18"/>
                <w:szCs w:val="18"/>
              </w:rPr>
              <w:t>63,4</w:t>
            </w:r>
          </w:p>
        </w:tc>
        <w:tc>
          <w:tcPr>
            <w:tcW w:w="450" w:type="pct"/>
            <w:shd w:val="clear" w:color="auto" w:fill="auto"/>
            <w:noWrap/>
            <w:vAlign w:val="bottom"/>
            <w:hideMark/>
          </w:tcPr>
          <w:p w14:paraId="4CF30F37" w14:textId="77777777" w:rsidR="00881780" w:rsidRPr="00A71C8E" w:rsidRDefault="00881780" w:rsidP="006F4D8F">
            <w:pPr>
              <w:spacing w:before="0" w:line="240" w:lineRule="auto"/>
              <w:jc w:val="left"/>
              <w:rPr>
                <w:sz w:val="18"/>
                <w:szCs w:val="18"/>
              </w:rPr>
            </w:pPr>
            <w:r w:rsidRPr="00A71C8E">
              <w:rPr>
                <w:sz w:val="18"/>
                <w:szCs w:val="18"/>
              </w:rPr>
              <w:t>65,9</w:t>
            </w:r>
          </w:p>
        </w:tc>
        <w:tc>
          <w:tcPr>
            <w:tcW w:w="450" w:type="pct"/>
            <w:shd w:val="clear" w:color="auto" w:fill="auto"/>
            <w:noWrap/>
            <w:vAlign w:val="bottom"/>
            <w:hideMark/>
          </w:tcPr>
          <w:p w14:paraId="239B8521" w14:textId="77777777" w:rsidR="00881780" w:rsidRPr="00A71C8E" w:rsidRDefault="00881780" w:rsidP="006F4D8F">
            <w:pPr>
              <w:spacing w:before="0" w:line="240" w:lineRule="auto"/>
              <w:jc w:val="left"/>
              <w:rPr>
                <w:sz w:val="18"/>
                <w:szCs w:val="18"/>
              </w:rPr>
            </w:pPr>
            <w:r w:rsidRPr="00A71C8E">
              <w:rPr>
                <w:sz w:val="18"/>
                <w:szCs w:val="18"/>
              </w:rPr>
              <w:t>67,5</w:t>
            </w:r>
          </w:p>
        </w:tc>
        <w:tc>
          <w:tcPr>
            <w:tcW w:w="450" w:type="pct"/>
            <w:shd w:val="clear" w:color="auto" w:fill="auto"/>
            <w:noWrap/>
            <w:vAlign w:val="bottom"/>
            <w:hideMark/>
          </w:tcPr>
          <w:p w14:paraId="204EF5CB" w14:textId="77777777" w:rsidR="00881780" w:rsidRPr="00A71C8E" w:rsidRDefault="00881780" w:rsidP="006F4D8F">
            <w:pPr>
              <w:spacing w:before="0" w:line="240" w:lineRule="auto"/>
              <w:jc w:val="left"/>
              <w:rPr>
                <w:sz w:val="18"/>
                <w:szCs w:val="18"/>
              </w:rPr>
            </w:pPr>
            <w:r w:rsidRPr="00A71C8E">
              <w:rPr>
                <w:sz w:val="18"/>
                <w:szCs w:val="18"/>
              </w:rPr>
              <w:t>69,0</w:t>
            </w:r>
          </w:p>
        </w:tc>
        <w:tc>
          <w:tcPr>
            <w:tcW w:w="450" w:type="pct"/>
            <w:shd w:val="clear" w:color="auto" w:fill="auto"/>
            <w:noWrap/>
            <w:vAlign w:val="bottom"/>
            <w:hideMark/>
          </w:tcPr>
          <w:p w14:paraId="10382612" w14:textId="77777777" w:rsidR="00881780" w:rsidRPr="00A71C8E" w:rsidRDefault="00881780" w:rsidP="006F4D8F">
            <w:pPr>
              <w:spacing w:before="0" w:line="240" w:lineRule="auto"/>
              <w:jc w:val="left"/>
              <w:rPr>
                <w:sz w:val="18"/>
                <w:szCs w:val="18"/>
              </w:rPr>
            </w:pPr>
            <w:r w:rsidRPr="00A71C8E">
              <w:rPr>
                <w:sz w:val="18"/>
                <w:szCs w:val="18"/>
              </w:rPr>
              <w:t>70,4</w:t>
            </w:r>
          </w:p>
        </w:tc>
        <w:tc>
          <w:tcPr>
            <w:tcW w:w="450" w:type="pct"/>
            <w:shd w:val="clear" w:color="auto" w:fill="auto"/>
            <w:noWrap/>
            <w:vAlign w:val="bottom"/>
            <w:hideMark/>
          </w:tcPr>
          <w:p w14:paraId="5519324A" w14:textId="77777777" w:rsidR="00881780" w:rsidRPr="00A71C8E" w:rsidRDefault="00881780" w:rsidP="006F4D8F">
            <w:pPr>
              <w:spacing w:before="0" w:line="240" w:lineRule="auto"/>
              <w:jc w:val="left"/>
              <w:rPr>
                <w:sz w:val="18"/>
                <w:szCs w:val="18"/>
              </w:rPr>
            </w:pPr>
            <w:r w:rsidRPr="00A71C8E">
              <w:rPr>
                <w:sz w:val="18"/>
                <w:szCs w:val="18"/>
              </w:rPr>
              <w:t>72,5</w:t>
            </w:r>
          </w:p>
        </w:tc>
        <w:tc>
          <w:tcPr>
            <w:tcW w:w="447" w:type="pct"/>
            <w:shd w:val="clear" w:color="auto" w:fill="auto"/>
            <w:noWrap/>
            <w:vAlign w:val="bottom"/>
            <w:hideMark/>
          </w:tcPr>
          <w:p w14:paraId="42AB321A" w14:textId="77777777" w:rsidR="00881780" w:rsidRPr="00A71C8E" w:rsidRDefault="00881780" w:rsidP="006F4D8F">
            <w:pPr>
              <w:spacing w:before="0" w:line="240" w:lineRule="auto"/>
              <w:jc w:val="left"/>
              <w:rPr>
                <w:sz w:val="18"/>
                <w:szCs w:val="18"/>
              </w:rPr>
            </w:pPr>
            <w:r w:rsidRPr="00A71C8E">
              <w:rPr>
                <w:sz w:val="18"/>
                <w:szCs w:val="18"/>
              </w:rPr>
              <w:t>73,0</w:t>
            </w:r>
          </w:p>
        </w:tc>
      </w:tr>
      <w:tr w:rsidR="00881780" w:rsidRPr="00A71C8E" w14:paraId="029B55A3" w14:textId="77777777" w:rsidTr="006F4D8F">
        <w:trPr>
          <w:trHeight w:val="300"/>
        </w:trPr>
        <w:tc>
          <w:tcPr>
            <w:tcW w:w="1852" w:type="pct"/>
            <w:shd w:val="clear" w:color="auto" w:fill="auto"/>
            <w:noWrap/>
            <w:vAlign w:val="bottom"/>
            <w:hideMark/>
          </w:tcPr>
          <w:p w14:paraId="73BF2B03" w14:textId="77777777" w:rsidR="00881780" w:rsidRPr="00A71C8E" w:rsidRDefault="00881780" w:rsidP="006F4D8F">
            <w:pPr>
              <w:spacing w:before="0" w:line="240" w:lineRule="auto"/>
              <w:rPr>
                <w:sz w:val="18"/>
                <w:szCs w:val="18"/>
              </w:rPr>
            </w:pPr>
            <w:r w:rsidRPr="00A71C8E">
              <w:rPr>
                <w:sz w:val="18"/>
                <w:szCs w:val="18"/>
              </w:rPr>
              <w:t>Podkarpackie</w:t>
            </w:r>
          </w:p>
        </w:tc>
        <w:tc>
          <w:tcPr>
            <w:tcW w:w="450" w:type="pct"/>
            <w:shd w:val="clear" w:color="auto" w:fill="auto"/>
            <w:noWrap/>
            <w:vAlign w:val="bottom"/>
            <w:hideMark/>
          </w:tcPr>
          <w:p w14:paraId="07E2087B" w14:textId="77777777" w:rsidR="00881780" w:rsidRPr="00A71C8E" w:rsidRDefault="00881780" w:rsidP="006F4D8F">
            <w:pPr>
              <w:spacing w:before="0" w:line="240" w:lineRule="auto"/>
              <w:jc w:val="left"/>
              <w:rPr>
                <w:sz w:val="18"/>
                <w:szCs w:val="18"/>
              </w:rPr>
            </w:pPr>
            <w:r w:rsidRPr="00A71C8E">
              <w:rPr>
                <w:sz w:val="18"/>
                <w:szCs w:val="18"/>
              </w:rPr>
              <w:t>62,7</w:t>
            </w:r>
          </w:p>
        </w:tc>
        <w:tc>
          <w:tcPr>
            <w:tcW w:w="450" w:type="pct"/>
            <w:shd w:val="clear" w:color="auto" w:fill="auto"/>
            <w:noWrap/>
            <w:vAlign w:val="bottom"/>
            <w:hideMark/>
          </w:tcPr>
          <w:p w14:paraId="056C09DD" w14:textId="77777777" w:rsidR="00881780" w:rsidRPr="00A71C8E" w:rsidRDefault="00881780" w:rsidP="006F4D8F">
            <w:pPr>
              <w:spacing w:before="0" w:line="240" w:lineRule="auto"/>
              <w:jc w:val="left"/>
              <w:rPr>
                <w:sz w:val="18"/>
                <w:szCs w:val="18"/>
              </w:rPr>
            </w:pPr>
            <w:r w:rsidRPr="00A71C8E">
              <w:rPr>
                <w:sz w:val="18"/>
                <w:szCs w:val="18"/>
              </w:rPr>
              <w:t>62,7</w:t>
            </w:r>
          </w:p>
        </w:tc>
        <w:tc>
          <w:tcPr>
            <w:tcW w:w="450" w:type="pct"/>
            <w:shd w:val="clear" w:color="auto" w:fill="auto"/>
            <w:noWrap/>
            <w:vAlign w:val="bottom"/>
            <w:hideMark/>
          </w:tcPr>
          <w:p w14:paraId="1CC31916" w14:textId="77777777" w:rsidR="00881780" w:rsidRPr="00A71C8E" w:rsidRDefault="00881780" w:rsidP="006F4D8F">
            <w:pPr>
              <w:spacing w:before="0" w:line="240" w:lineRule="auto"/>
              <w:jc w:val="left"/>
              <w:rPr>
                <w:sz w:val="18"/>
                <w:szCs w:val="18"/>
              </w:rPr>
            </w:pPr>
            <w:r w:rsidRPr="00A71C8E">
              <w:rPr>
                <w:sz w:val="18"/>
                <w:szCs w:val="18"/>
              </w:rPr>
              <w:t>62,9</w:t>
            </w:r>
          </w:p>
        </w:tc>
        <w:tc>
          <w:tcPr>
            <w:tcW w:w="450" w:type="pct"/>
            <w:shd w:val="clear" w:color="auto" w:fill="auto"/>
            <w:noWrap/>
            <w:vAlign w:val="bottom"/>
            <w:hideMark/>
          </w:tcPr>
          <w:p w14:paraId="03A62482" w14:textId="77777777" w:rsidR="00881780" w:rsidRPr="00A71C8E" w:rsidRDefault="00881780" w:rsidP="006F4D8F">
            <w:pPr>
              <w:spacing w:before="0" w:line="240" w:lineRule="auto"/>
              <w:jc w:val="left"/>
              <w:rPr>
                <w:sz w:val="18"/>
                <w:szCs w:val="18"/>
              </w:rPr>
            </w:pPr>
            <w:r w:rsidRPr="00A71C8E">
              <w:rPr>
                <w:sz w:val="18"/>
                <w:szCs w:val="18"/>
              </w:rPr>
              <w:t>63,8</w:t>
            </w:r>
          </w:p>
        </w:tc>
        <w:tc>
          <w:tcPr>
            <w:tcW w:w="450" w:type="pct"/>
            <w:shd w:val="clear" w:color="auto" w:fill="auto"/>
            <w:noWrap/>
            <w:vAlign w:val="bottom"/>
            <w:hideMark/>
          </w:tcPr>
          <w:p w14:paraId="17D33598" w14:textId="77777777" w:rsidR="00881780" w:rsidRPr="00A71C8E" w:rsidRDefault="00881780" w:rsidP="006F4D8F">
            <w:pPr>
              <w:spacing w:before="0" w:line="240" w:lineRule="auto"/>
              <w:jc w:val="left"/>
              <w:rPr>
                <w:sz w:val="18"/>
                <w:szCs w:val="18"/>
              </w:rPr>
            </w:pPr>
            <w:r w:rsidRPr="00A71C8E">
              <w:rPr>
                <w:sz w:val="18"/>
                <w:szCs w:val="18"/>
              </w:rPr>
              <w:t>66,9</w:t>
            </w:r>
          </w:p>
        </w:tc>
        <w:tc>
          <w:tcPr>
            <w:tcW w:w="450" w:type="pct"/>
            <w:shd w:val="clear" w:color="auto" w:fill="auto"/>
            <w:noWrap/>
            <w:vAlign w:val="bottom"/>
            <w:hideMark/>
          </w:tcPr>
          <w:p w14:paraId="1CBBBBB2" w14:textId="77777777" w:rsidR="00881780" w:rsidRPr="00A71C8E" w:rsidRDefault="00881780" w:rsidP="006F4D8F">
            <w:pPr>
              <w:spacing w:before="0" w:line="240" w:lineRule="auto"/>
              <w:jc w:val="left"/>
              <w:rPr>
                <w:sz w:val="18"/>
                <w:szCs w:val="18"/>
              </w:rPr>
            </w:pPr>
            <w:r w:rsidRPr="00A71C8E">
              <w:rPr>
                <w:sz w:val="18"/>
                <w:szCs w:val="18"/>
              </w:rPr>
              <w:t>69,4</w:t>
            </w:r>
          </w:p>
        </w:tc>
        <w:tc>
          <w:tcPr>
            <w:tcW w:w="447" w:type="pct"/>
            <w:shd w:val="clear" w:color="auto" w:fill="auto"/>
            <w:noWrap/>
            <w:vAlign w:val="bottom"/>
            <w:hideMark/>
          </w:tcPr>
          <w:p w14:paraId="691C6D55" w14:textId="77777777" w:rsidR="00881780" w:rsidRPr="00A71C8E" w:rsidRDefault="00881780" w:rsidP="006F4D8F">
            <w:pPr>
              <w:spacing w:before="0" w:line="240" w:lineRule="auto"/>
              <w:jc w:val="left"/>
              <w:rPr>
                <w:sz w:val="18"/>
                <w:szCs w:val="18"/>
              </w:rPr>
            </w:pPr>
            <w:r w:rsidRPr="00A71C8E">
              <w:rPr>
                <w:sz w:val="18"/>
                <w:szCs w:val="18"/>
              </w:rPr>
              <w:t>69,8</w:t>
            </w:r>
          </w:p>
        </w:tc>
      </w:tr>
      <w:tr w:rsidR="00881780" w:rsidRPr="00A71C8E" w14:paraId="6176797E" w14:textId="77777777" w:rsidTr="006F4D8F">
        <w:trPr>
          <w:trHeight w:val="300"/>
        </w:trPr>
        <w:tc>
          <w:tcPr>
            <w:tcW w:w="1852" w:type="pct"/>
            <w:shd w:val="clear" w:color="auto" w:fill="auto"/>
            <w:noWrap/>
            <w:vAlign w:val="bottom"/>
            <w:hideMark/>
          </w:tcPr>
          <w:p w14:paraId="1C30F614" w14:textId="77777777" w:rsidR="00881780" w:rsidRPr="00A71C8E" w:rsidRDefault="00881780" w:rsidP="006F4D8F">
            <w:pPr>
              <w:spacing w:before="0" w:line="240" w:lineRule="auto"/>
              <w:rPr>
                <w:sz w:val="18"/>
                <w:szCs w:val="18"/>
              </w:rPr>
            </w:pPr>
            <w:r w:rsidRPr="00A71C8E">
              <w:rPr>
                <w:sz w:val="18"/>
                <w:szCs w:val="18"/>
              </w:rPr>
              <w:t>Podlaskie</w:t>
            </w:r>
          </w:p>
        </w:tc>
        <w:tc>
          <w:tcPr>
            <w:tcW w:w="450" w:type="pct"/>
            <w:shd w:val="clear" w:color="auto" w:fill="auto"/>
            <w:noWrap/>
            <w:vAlign w:val="bottom"/>
            <w:hideMark/>
          </w:tcPr>
          <w:p w14:paraId="1D5D2906" w14:textId="77777777" w:rsidR="00881780" w:rsidRPr="00A71C8E" w:rsidRDefault="00881780" w:rsidP="006F4D8F">
            <w:pPr>
              <w:spacing w:before="0" w:line="240" w:lineRule="auto"/>
              <w:jc w:val="left"/>
              <w:rPr>
                <w:sz w:val="18"/>
                <w:szCs w:val="18"/>
              </w:rPr>
            </w:pPr>
            <w:r w:rsidRPr="00A71C8E">
              <w:rPr>
                <w:sz w:val="18"/>
                <w:szCs w:val="18"/>
              </w:rPr>
              <w:t>66,9</w:t>
            </w:r>
          </w:p>
        </w:tc>
        <w:tc>
          <w:tcPr>
            <w:tcW w:w="450" w:type="pct"/>
            <w:shd w:val="clear" w:color="auto" w:fill="auto"/>
            <w:noWrap/>
            <w:vAlign w:val="bottom"/>
            <w:hideMark/>
          </w:tcPr>
          <w:p w14:paraId="19FB87CD" w14:textId="77777777" w:rsidR="00881780" w:rsidRPr="00A71C8E" w:rsidRDefault="00881780" w:rsidP="006F4D8F">
            <w:pPr>
              <w:spacing w:before="0" w:line="240" w:lineRule="auto"/>
              <w:jc w:val="left"/>
              <w:rPr>
                <w:sz w:val="18"/>
                <w:szCs w:val="18"/>
              </w:rPr>
            </w:pPr>
            <w:r w:rsidRPr="00A71C8E">
              <w:rPr>
                <w:sz w:val="18"/>
                <w:szCs w:val="18"/>
              </w:rPr>
              <w:t>67,5</w:t>
            </w:r>
          </w:p>
        </w:tc>
        <w:tc>
          <w:tcPr>
            <w:tcW w:w="450" w:type="pct"/>
            <w:shd w:val="clear" w:color="auto" w:fill="auto"/>
            <w:noWrap/>
            <w:vAlign w:val="bottom"/>
            <w:hideMark/>
          </w:tcPr>
          <w:p w14:paraId="619574EC" w14:textId="77777777" w:rsidR="00881780" w:rsidRPr="00A71C8E" w:rsidRDefault="00881780" w:rsidP="006F4D8F">
            <w:pPr>
              <w:spacing w:before="0" w:line="240" w:lineRule="auto"/>
              <w:jc w:val="left"/>
              <w:rPr>
                <w:sz w:val="18"/>
                <w:szCs w:val="18"/>
              </w:rPr>
            </w:pPr>
            <w:r w:rsidRPr="00A71C8E">
              <w:rPr>
                <w:sz w:val="18"/>
                <w:szCs w:val="18"/>
              </w:rPr>
              <w:t>70,0</w:t>
            </w:r>
          </w:p>
        </w:tc>
        <w:tc>
          <w:tcPr>
            <w:tcW w:w="450" w:type="pct"/>
            <w:shd w:val="clear" w:color="auto" w:fill="auto"/>
            <w:noWrap/>
            <w:vAlign w:val="bottom"/>
            <w:hideMark/>
          </w:tcPr>
          <w:p w14:paraId="3DB37D71" w14:textId="77777777" w:rsidR="00881780" w:rsidRPr="00A71C8E" w:rsidRDefault="00881780" w:rsidP="006F4D8F">
            <w:pPr>
              <w:spacing w:before="0" w:line="240" w:lineRule="auto"/>
              <w:jc w:val="left"/>
              <w:rPr>
                <w:sz w:val="18"/>
                <w:szCs w:val="18"/>
              </w:rPr>
            </w:pPr>
            <w:r w:rsidRPr="00A71C8E">
              <w:rPr>
                <w:sz w:val="18"/>
                <w:szCs w:val="18"/>
              </w:rPr>
              <w:t>69,2</w:t>
            </w:r>
          </w:p>
        </w:tc>
        <w:tc>
          <w:tcPr>
            <w:tcW w:w="450" w:type="pct"/>
            <w:shd w:val="clear" w:color="auto" w:fill="auto"/>
            <w:noWrap/>
            <w:vAlign w:val="bottom"/>
            <w:hideMark/>
          </w:tcPr>
          <w:p w14:paraId="29E02D9F" w14:textId="77777777" w:rsidR="00881780" w:rsidRPr="00A71C8E" w:rsidRDefault="00881780" w:rsidP="006F4D8F">
            <w:pPr>
              <w:spacing w:before="0" w:line="240" w:lineRule="auto"/>
              <w:jc w:val="left"/>
              <w:rPr>
                <w:sz w:val="18"/>
                <w:szCs w:val="18"/>
              </w:rPr>
            </w:pPr>
            <w:r w:rsidRPr="00A71C8E">
              <w:rPr>
                <w:sz w:val="18"/>
                <w:szCs w:val="18"/>
              </w:rPr>
              <w:t>70,4</w:t>
            </w:r>
          </w:p>
        </w:tc>
        <w:tc>
          <w:tcPr>
            <w:tcW w:w="450" w:type="pct"/>
            <w:shd w:val="clear" w:color="auto" w:fill="auto"/>
            <w:noWrap/>
            <w:vAlign w:val="bottom"/>
            <w:hideMark/>
          </w:tcPr>
          <w:p w14:paraId="1842F0E0" w14:textId="77777777" w:rsidR="00881780" w:rsidRPr="00A71C8E" w:rsidRDefault="00881780" w:rsidP="006F4D8F">
            <w:pPr>
              <w:spacing w:before="0" w:line="240" w:lineRule="auto"/>
              <w:jc w:val="left"/>
              <w:rPr>
                <w:sz w:val="18"/>
                <w:szCs w:val="18"/>
              </w:rPr>
            </w:pPr>
            <w:r w:rsidRPr="00A71C8E">
              <w:rPr>
                <w:sz w:val="18"/>
                <w:szCs w:val="18"/>
              </w:rPr>
              <w:t>70,6</w:t>
            </w:r>
          </w:p>
        </w:tc>
        <w:tc>
          <w:tcPr>
            <w:tcW w:w="447" w:type="pct"/>
            <w:shd w:val="clear" w:color="auto" w:fill="auto"/>
            <w:noWrap/>
            <w:vAlign w:val="bottom"/>
            <w:hideMark/>
          </w:tcPr>
          <w:p w14:paraId="5B1F791F" w14:textId="77777777" w:rsidR="00881780" w:rsidRPr="00A71C8E" w:rsidRDefault="00881780" w:rsidP="006F4D8F">
            <w:pPr>
              <w:spacing w:before="0" w:line="240" w:lineRule="auto"/>
              <w:jc w:val="left"/>
              <w:rPr>
                <w:sz w:val="18"/>
                <w:szCs w:val="18"/>
              </w:rPr>
            </w:pPr>
            <w:r w:rsidRPr="00A71C8E">
              <w:rPr>
                <w:sz w:val="18"/>
                <w:szCs w:val="18"/>
              </w:rPr>
              <w:t>71,9</w:t>
            </w:r>
          </w:p>
        </w:tc>
      </w:tr>
      <w:tr w:rsidR="00881780" w:rsidRPr="00A71C8E" w14:paraId="789A617D" w14:textId="77777777" w:rsidTr="006F4D8F">
        <w:trPr>
          <w:trHeight w:val="300"/>
        </w:trPr>
        <w:tc>
          <w:tcPr>
            <w:tcW w:w="1852" w:type="pct"/>
            <w:shd w:val="clear" w:color="auto" w:fill="auto"/>
            <w:noWrap/>
            <w:vAlign w:val="bottom"/>
            <w:hideMark/>
          </w:tcPr>
          <w:p w14:paraId="191FD1CF" w14:textId="77777777" w:rsidR="00881780" w:rsidRPr="00A71C8E" w:rsidRDefault="00881780" w:rsidP="006F4D8F">
            <w:pPr>
              <w:spacing w:before="0" w:line="240" w:lineRule="auto"/>
              <w:rPr>
                <w:sz w:val="18"/>
                <w:szCs w:val="18"/>
              </w:rPr>
            </w:pPr>
            <w:r w:rsidRPr="00A71C8E">
              <w:rPr>
                <w:sz w:val="18"/>
                <w:szCs w:val="18"/>
              </w:rPr>
              <w:t>Pomorskie</w:t>
            </w:r>
          </w:p>
        </w:tc>
        <w:tc>
          <w:tcPr>
            <w:tcW w:w="450" w:type="pct"/>
            <w:shd w:val="clear" w:color="auto" w:fill="auto"/>
            <w:noWrap/>
            <w:vAlign w:val="bottom"/>
            <w:hideMark/>
          </w:tcPr>
          <w:p w14:paraId="74C0AF6A" w14:textId="77777777" w:rsidR="00881780" w:rsidRPr="00A71C8E" w:rsidRDefault="00881780" w:rsidP="006F4D8F">
            <w:pPr>
              <w:spacing w:before="0" w:line="240" w:lineRule="auto"/>
              <w:jc w:val="left"/>
              <w:rPr>
                <w:sz w:val="18"/>
                <w:szCs w:val="18"/>
              </w:rPr>
            </w:pPr>
            <w:r w:rsidRPr="00A71C8E">
              <w:rPr>
                <w:sz w:val="18"/>
                <w:szCs w:val="18"/>
              </w:rPr>
              <w:t>64,6</w:t>
            </w:r>
          </w:p>
        </w:tc>
        <w:tc>
          <w:tcPr>
            <w:tcW w:w="450" w:type="pct"/>
            <w:shd w:val="clear" w:color="auto" w:fill="auto"/>
            <w:noWrap/>
            <w:vAlign w:val="bottom"/>
            <w:hideMark/>
          </w:tcPr>
          <w:p w14:paraId="1F165EB6" w14:textId="77777777" w:rsidR="00881780" w:rsidRPr="00A71C8E" w:rsidRDefault="00881780" w:rsidP="006F4D8F">
            <w:pPr>
              <w:spacing w:before="0" w:line="240" w:lineRule="auto"/>
              <w:jc w:val="left"/>
              <w:rPr>
                <w:sz w:val="18"/>
                <w:szCs w:val="18"/>
              </w:rPr>
            </w:pPr>
            <w:r w:rsidRPr="00A71C8E">
              <w:rPr>
                <w:sz w:val="18"/>
                <w:szCs w:val="18"/>
              </w:rPr>
              <w:t>65,2</w:t>
            </w:r>
          </w:p>
        </w:tc>
        <w:tc>
          <w:tcPr>
            <w:tcW w:w="450" w:type="pct"/>
            <w:shd w:val="clear" w:color="auto" w:fill="auto"/>
            <w:noWrap/>
            <w:vAlign w:val="bottom"/>
            <w:hideMark/>
          </w:tcPr>
          <w:p w14:paraId="383C207E" w14:textId="77777777" w:rsidR="00881780" w:rsidRPr="00A71C8E" w:rsidRDefault="00881780" w:rsidP="006F4D8F">
            <w:pPr>
              <w:spacing w:before="0" w:line="240" w:lineRule="auto"/>
              <w:jc w:val="left"/>
              <w:rPr>
                <w:sz w:val="18"/>
                <w:szCs w:val="18"/>
              </w:rPr>
            </w:pPr>
            <w:r w:rsidRPr="00A71C8E">
              <w:rPr>
                <w:sz w:val="18"/>
                <w:szCs w:val="18"/>
              </w:rPr>
              <w:t>67,3</w:t>
            </w:r>
          </w:p>
        </w:tc>
        <w:tc>
          <w:tcPr>
            <w:tcW w:w="450" w:type="pct"/>
            <w:shd w:val="clear" w:color="auto" w:fill="auto"/>
            <w:noWrap/>
            <w:vAlign w:val="bottom"/>
            <w:hideMark/>
          </w:tcPr>
          <w:p w14:paraId="75B75A56" w14:textId="77777777" w:rsidR="00881780" w:rsidRPr="00A71C8E" w:rsidRDefault="00881780" w:rsidP="006F4D8F">
            <w:pPr>
              <w:spacing w:before="0" w:line="240" w:lineRule="auto"/>
              <w:jc w:val="left"/>
              <w:rPr>
                <w:sz w:val="18"/>
                <w:szCs w:val="18"/>
              </w:rPr>
            </w:pPr>
            <w:r w:rsidRPr="00A71C8E">
              <w:rPr>
                <w:sz w:val="18"/>
                <w:szCs w:val="18"/>
              </w:rPr>
              <w:t>69,8</w:t>
            </w:r>
          </w:p>
        </w:tc>
        <w:tc>
          <w:tcPr>
            <w:tcW w:w="450" w:type="pct"/>
            <w:shd w:val="clear" w:color="auto" w:fill="auto"/>
            <w:noWrap/>
            <w:vAlign w:val="bottom"/>
            <w:hideMark/>
          </w:tcPr>
          <w:p w14:paraId="161189E9" w14:textId="77777777" w:rsidR="00881780" w:rsidRPr="00A71C8E" w:rsidRDefault="00881780" w:rsidP="006F4D8F">
            <w:pPr>
              <w:spacing w:before="0" w:line="240" w:lineRule="auto"/>
              <w:jc w:val="left"/>
              <w:rPr>
                <w:sz w:val="18"/>
                <w:szCs w:val="18"/>
              </w:rPr>
            </w:pPr>
            <w:r w:rsidRPr="00A71C8E">
              <w:rPr>
                <w:sz w:val="18"/>
                <w:szCs w:val="18"/>
              </w:rPr>
              <w:t>70,7</w:t>
            </w:r>
          </w:p>
        </w:tc>
        <w:tc>
          <w:tcPr>
            <w:tcW w:w="450" w:type="pct"/>
            <w:shd w:val="clear" w:color="auto" w:fill="auto"/>
            <w:noWrap/>
            <w:vAlign w:val="bottom"/>
            <w:hideMark/>
          </w:tcPr>
          <w:p w14:paraId="39E45C14" w14:textId="77777777" w:rsidR="00881780" w:rsidRPr="00A71C8E" w:rsidRDefault="00881780" w:rsidP="006F4D8F">
            <w:pPr>
              <w:spacing w:before="0" w:line="240" w:lineRule="auto"/>
              <w:jc w:val="left"/>
              <w:rPr>
                <w:sz w:val="18"/>
                <w:szCs w:val="18"/>
              </w:rPr>
            </w:pPr>
            <w:r w:rsidRPr="00A71C8E">
              <w:rPr>
                <w:sz w:val="18"/>
                <w:szCs w:val="18"/>
              </w:rPr>
              <w:t>72,7</w:t>
            </w:r>
          </w:p>
        </w:tc>
        <w:tc>
          <w:tcPr>
            <w:tcW w:w="447" w:type="pct"/>
            <w:shd w:val="clear" w:color="auto" w:fill="auto"/>
            <w:noWrap/>
            <w:vAlign w:val="bottom"/>
            <w:hideMark/>
          </w:tcPr>
          <w:p w14:paraId="08AD3A18" w14:textId="77777777" w:rsidR="00881780" w:rsidRPr="00A71C8E" w:rsidRDefault="00881780" w:rsidP="006F4D8F">
            <w:pPr>
              <w:spacing w:before="0" w:line="240" w:lineRule="auto"/>
              <w:jc w:val="left"/>
              <w:rPr>
                <w:sz w:val="18"/>
                <w:szCs w:val="18"/>
              </w:rPr>
            </w:pPr>
            <w:r w:rsidRPr="00A71C8E">
              <w:rPr>
                <w:sz w:val="18"/>
                <w:szCs w:val="18"/>
              </w:rPr>
              <w:t>74,3</w:t>
            </w:r>
          </w:p>
        </w:tc>
      </w:tr>
      <w:tr w:rsidR="00881780" w:rsidRPr="00A71C8E" w14:paraId="4CF881EE" w14:textId="77777777" w:rsidTr="006F4D8F">
        <w:trPr>
          <w:trHeight w:val="300"/>
        </w:trPr>
        <w:tc>
          <w:tcPr>
            <w:tcW w:w="1852" w:type="pct"/>
            <w:shd w:val="clear" w:color="auto" w:fill="auto"/>
            <w:noWrap/>
            <w:vAlign w:val="bottom"/>
            <w:hideMark/>
          </w:tcPr>
          <w:p w14:paraId="559AF025" w14:textId="77777777" w:rsidR="00881780" w:rsidRPr="00A71C8E" w:rsidRDefault="00881780" w:rsidP="006F4D8F">
            <w:pPr>
              <w:spacing w:before="0" w:line="240" w:lineRule="auto"/>
              <w:rPr>
                <w:sz w:val="18"/>
                <w:szCs w:val="18"/>
              </w:rPr>
            </w:pPr>
            <w:r w:rsidRPr="00A71C8E">
              <w:rPr>
                <w:sz w:val="18"/>
                <w:szCs w:val="18"/>
              </w:rPr>
              <w:t>Śląskie</w:t>
            </w:r>
          </w:p>
        </w:tc>
        <w:tc>
          <w:tcPr>
            <w:tcW w:w="450" w:type="pct"/>
            <w:shd w:val="clear" w:color="auto" w:fill="auto"/>
            <w:noWrap/>
            <w:vAlign w:val="bottom"/>
            <w:hideMark/>
          </w:tcPr>
          <w:p w14:paraId="33FB9F79" w14:textId="77777777" w:rsidR="00881780" w:rsidRPr="00A71C8E" w:rsidRDefault="00881780" w:rsidP="006F4D8F">
            <w:pPr>
              <w:spacing w:before="0" w:line="240" w:lineRule="auto"/>
              <w:jc w:val="left"/>
              <w:rPr>
                <w:sz w:val="18"/>
                <w:szCs w:val="18"/>
              </w:rPr>
            </w:pPr>
            <w:r w:rsidRPr="00A71C8E">
              <w:rPr>
                <w:sz w:val="18"/>
                <w:szCs w:val="18"/>
              </w:rPr>
              <w:t>61,9</w:t>
            </w:r>
          </w:p>
        </w:tc>
        <w:tc>
          <w:tcPr>
            <w:tcW w:w="450" w:type="pct"/>
            <w:shd w:val="clear" w:color="auto" w:fill="auto"/>
            <w:noWrap/>
            <w:vAlign w:val="bottom"/>
            <w:hideMark/>
          </w:tcPr>
          <w:p w14:paraId="5721AB3D" w14:textId="77777777" w:rsidR="00881780" w:rsidRPr="00A71C8E" w:rsidRDefault="00881780" w:rsidP="006F4D8F">
            <w:pPr>
              <w:spacing w:before="0" w:line="240" w:lineRule="auto"/>
              <w:jc w:val="left"/>
              <w:rPr>
                <w:sz w:val="18"/>
                <w:szCs w:val="18"/>
              </w:rPr>
            </w:pPr>
            <w:r w:rsidRPr="00A71C8E">
              <w:rPr>
                <w:sz w:val="18"/>
                <w:szCs w:val="18"/>
              </w:rPr>
              <w:t>62,9</w:t>
            </w:r>
          </w:p>
        </w:tc>
        <w:tc>
          <w:tcPr>
            <w:tcW w:w="450" w:type="pct"/>
            <w:shd w:val="clear" w:color="auto" w:fill="auto"/>
            <w:noWrap/>
            <w:vAlign w:val="bottom"/>
            <w:hideMark/>
          </w:tcPr>
          <w:p w14:paraId="41B32B89" w14:textId="77777777" w:rsidR="00881780" w:rsidRPr="00A71C8E" w:rsidRDefault="00881780" w:rsidP="006F4D8F">
            <w:pPr>
              <w:spacing w:before="0" w:line="240" w:lineRule="auto"/>
              <w:jc w:val="left"/>
              <w:rPr>
                <w:sz w:val="18"/>
                <w:szCs w:val="18"/>
              </w:rPr>
            </w:pPr>
            <w:r w:rsidRPr="00A71C8E">
              <w:rPr>
                <w:sz w:val="18"/>
                <w:szCs w:val="18"/>
              </w:rPr>
              <w:t>65,0</w:t>
            </w:r>
          </w:p>
        </w:tc>
        <w:tc>
          <w:tcPr>
            <w:tcW w:w="450" w:type="pct"/>
            <w:shd w:val="clear" w:color="auto" w:fill="auto"/>
            <w:noWrap/>
            <w:vAlign w:val="bottom"/>
            <w:hideMark/>
          </w:tcPr>
          <w:p w14:paraId="119A0196" w14:textId="77777777" w:rsidR="00881780" w:rsidRPr="00A71C8E" w:rsidRDefault="00881780" w:rsidP="006F4D8F">
            <w:pPr>
              <w:spacing w:before="0" w:line="240" w:lineRule="auto"/>
              <w:jc w:val="left"/>
              <w:rPr>
                <w:sz w:val="18"/>
                <w:szCs w:val="18"/>
              </w:rPr>
            </w:pPr>
            <w:r w:rsidRPr="00A71C8E">
              <w:rPr>
                <w:sz w:val="18"/>
                <w:szCs w:val="18"/>
              </w:rPr>
              <w:t>65,9</w:t>
            </w:r>
          </w:p>
        </w:tc>
        <w:tc>
          <w:tcPr>
            <w:tcW w:w="450" w:type="pct"/>
            <w:shd w:val="clear" w:color="auto" w:fill="auto"/>
            <w:noWrap/>
            <w:vAlign w:val="bottom"/>
            <w:hideMark/>
          </w:tcPr>
          <w:p w14:paraId="5C3B90A9" w14:textId="77777777" w:rsidR="00881780" w:rsidRPr="00A71C8E" w:rsidRDefault="00881780" w:rsidP="006F4D8F">
            <w:pPr>
              <w:spacing w:before="0" w:line="240" w:lineRule="auto"/>
              <w:jc w:val="left"/>
              <w:rPr>
                <w:sz w:val="18"/>
                <w:szCs w:val="18"/>
              </w:rPr>
            </w:pPr>
            <w:r w:rsidRPr="00A71C8E">
              <w:rPr>
                <w:sz w:val="18"/>
                <w:szCs w:val="18"/>
              </w:rPr>
              <w:t>67,9</w:t>
            </w:r>
          </w:p>
        </w:tc>
        <w:tc>
          <w:tcPr>
            <w:tcW w:w="450" w:type="pct"/>
            <w:shd w:val="clear" w:color="auto" w:fill="auto"/>
            <w:noWrap/>
            <w:vAlign w:val="bottom"/>
            <w:hideMark/>
          </w:tcPr>
          <w:p w14:paraId="742993EF" w14:textId="77777777" w:rsidR="00881780" w:rsidRPr="00A71C8E" w:rsidRDefault="00881780" w:rsidP="006F4D8F">
            <w:pPr>
              <w:spacing w:before="0" w:line="240" w:lineRule="auto"/>
              <w:jc w:val="left"/>
              <w:rPr>
                <w:sz w:val="18"/>
                <w:szCs w:val="18"/>
              </w:rPr>
            </w:pPr>
            <w:r w:rsidRPr="00A71C8E">
              <w:rPr>
                <w:sz w:val="18"/>
                <w:szCs w:val="18"/>
              </w:rPr>
              <w:t>68,7</w:t>
            </w:r>
          </w:p>
        </w:tc>
        <w:tc>
          <w:tcPr>
            <w:tcW w:w="447" w:type="pct"/>
            <w:shd w:val="clear" w:color="auto" w:fill="auto"/>
            <w:noWrap/>
            <w:vAlign w:val="bottom"/>
            <w:hideMark/>
          </w:tcPr>
          <w:p w14:paraId="7A1D3148" w14:textId="77777777" w:rsidR="00881780" w:rsidRPr="00A71C8E" w:rsidRDefault="00881780" w:rsidP="006F4D8F">
            <w:pPr>
              <w:spacing w:before="0" w:line="240" w:lineRule="auto"/>
              <w:jc w:val="left"/>
              <w:rPr>
                <w:sz w:val="18"/>
                <w:szCs w:val="18"/>
              </w:rPr>
            </w:pPr>
            <w:r w:rsidRPr="00A71C8E">
              <w:rPr>
                <w:sz w:val="18"/>
                <w:szCs w:val="18"/>
              </w:rPr>
              <w:t>68,9</w:t>
            </w:r>
          </w:p>
        </w:tc>
      </w:tr>
      <w:tr w:rsidR="00881780" w:rsidRPr="00A71C8E" w14:paraId="6821526D" w14:textId="77777777" w:rsidTr="006F4D8F">
        <w:trPr>
          <w:trHeight w:val="300"/>
        </w:trPr>
        <w:tc>
          <w:tcPr>
            <w:tcW w:w="1852" w:type="pct"/>
            <w:shd w:val="clear" w:color="auto" w:fill="auto"/>
            <w:noWrap/>
            <w:vAlign w:val="bottom"/>
            <w:hideMark/>
          </w:tcPr>
          <w:p w14:paraId="749D5B27" w14:textId="77777777" w:rsidR="00881780" w:rsidRPr="00A71C8E" w:rsidRDefault="00881780" w:rsidP="006F4D8F">
            <w:pPr>
              <w:spacing w:before="0" w:line="240" w:lineRule="auto"/>
              <w:rPr>
                <w:sz w:val="18"/>
                <w:szCs w:val="18"/>
              </w:rPr>
            </w:pPr>
            <w:r w:rsidRPr="00A71C8E">
              <w:rPr>
                <w:sz w:val="18"/>
                <w:szCs w:val="18"/>
              </w:rPr>
              <w:t>Świętokrzyskie</w:t>
            </w:r>
          </w:p>
        </w:tc>
        <w:tc>
          <w:tcPr>
            <w:tcW w:w="450" w:type="pct"/>
            <w:shd w:val="clear" w:color="auto" w:fill="auto"/>
            <w:noWrap/>
            <w:vAlign w:val="bottom"/>
            <w:hideMark/>
          </w:tcPr>
          <w:p w14:paraId="53BEE340" w14:textId="77777777" w:rsidR="00881780" w:rsidRPr="00A71C8E" w:rsidRDefault="00881780" w:rsidP="006F4D8F">
            <w:pPr>
              <w:spacing w:before="0" w:line="240" w:lineRule="auto"/>
              <w:jc w:val="left"/>
              <w:rPr>
                <w:sz w:val="18"/>
                <w:szCs w:val="18"/>
              </w:rPr>
            </w:pPr>
            <w:r w:rsidRPr="00A71C8E">
              <w:rPr>
                <w:sz w:val="18"/>
                <w:szCs w:val="18"/>
              </w:rPr>
              <w:t>64,0</w:t>
            </w:r>
          </w:p>
        </w:tc>
        <w:tc>
          <w:tcPr>
            <w:tcW w:w="450" w:type="pct"/>
            <w:shd w:val="clear" w:color="auto" w:fill="auto"/>
            <w:noWrap/>
            <w:vAlign w:val="bottom"/>
            <w:hideMark/>
          </w:tcPr>
          <w:p w14:paraId="5D20E04C" w14:textId="77777777" w:rsidR="00881780" w:rsidRPr="00A71C8E" w:rsidRDefault="00881780" w:rsidP="006F4D8F">
            <w:pPr>
              <w:spacing w:before="0" w:line="240" w:lineRule="auto"/>
              <w:jc w:val="left"/>
              <w:rPr>
                <w:sz w:val="18"/>
                <w:szCs w:val="18"/>
              </w:rPr>
            </w:pPr>
            <w:r w:rsidRPr="00A71C8E">
              <w:rPr>
                <w:sz w:val="18"/>
                <w:szCs w:val="18"/>
              </w:rPr>
              <w:t>64,1</w:t>
            </w:r>
          </w:p>
        </w:tc>
        <w:tc>
          <w:tcPr>
            <w:tcW w:w="450" w:type="pct"/>
            <w:shd w:val="clear" w:color="auto" w:fill="auto"/>
            <w:noWrap/>
            <w:vAlign w:val="bottom"/>
            <w:hideMark/>
          </w:tcPr>
          <w:p w14:paraId="5149997A" w14:textId="77777777" w:rsidR="00881780" w:rsidRPr="00A71C8E" w:rsidRDefault="00881780" w:rsidP="006F4D8F">
            <w:pPr>
              <w:spacing w:before="0" w:line="240" w:lineRule="auto"/>
              <w:jc w:val="left"/>
              <w:rPr>
                <w:sz w:val="18"/>
                <w:szCs w:val="18"/>
              </w:rPr>
            </w:pPr>
            <w:r w:rsidRPr="00A71C8E">
              <w:rPr>
                <w:sz w:val="18"/>
                <w:szCs w:val="18"/>
              </w:rPr>
              <w:t>66,1</w:t>
            </w:r>
          </w:p>
        </w:tc>
        <w:tc>
          <w:tcPr>
            <w:tcW w:w="450" w:type="pct"/>
            <w:shd w:val="clear" w:color="auto" w:fill="auto"/>
            <w:noWrap/>
            <w:vAlign w:val="bottom"/>
            <w:hideMark/>
          </w:tcPr>
          <w:p w14:paraId="0F91BD4F" w14:textId="77777777" w:rsidR="00881780" w:rsidRPr="00A71C8E" w:rsidRDefault="00881780" w:rsidP="006F4D8F">
            <w:pPr>
              <w:spacing w:before="0" w:line="240" w:lineRule="auto"/>
              <w:jc w:val="left"/>
              <w:rPr>
                <w:sz w:val="18"/>
                <w:szCs w:val="18"/>
              </w:rPr>
            </w:pPr>
            <w:r w:rsidRPr="00A71C8E">
              <w:rPr>
                <w:sz w:val="18"/>
                <w:szCs w:val="18"/>
              </w:rPr>
              <w:t>68,4</w:t>
            </w:r>
          </w:p>
        </w:tc>
        <w:tc>
          <w:tcPr>
            <w:tcW w:w="450" w:type="pct"/>
            <w:shd w:val="clear" w:color="auto" w:fill="auto"/>
            <w:noWrap/>
            <w:vAlign w:val="bottom"/>
            <w:hideMark/>
          </w:tcPr>
          <w:p w14:paraId="651826F6" w14:textId="77777777" w:rsidR="00881780" w:rsidRPr="00A71C8E" w:rsidRDefault="00881780" w:rsidP="006F4D8F">
            <w:pPr>
              <w:spacing w:before="0" w:line="240" w:lineRule="auto"/>
              <w:jc w:val="left"/>
              <w:rPr>
                <w:sz w:val="18"/>
                <w:szCs w:val="18"/>
              </w:rPr>
            </w:pPr>
            <w:r w:rsidRPr="00A71C8E">
              <w:rPr>
                <w:sz w:val="18"/>
                <w:szCs w:val="18"/>
              </w:rPr>
              <w:t>67,0</w:t>
            </w:r>
          </w:p>
        </w:tc>
        <w:tc>
          <w:tcPr>
            <w:tcW w:w="450" w:type="pct"/>
            <w:shd w:val="clear" w:color="auto" w:fill="auto"/>
            <w:noWrap/>
            <w:vAlign w:val="bottom"/>
            <w:hideMark/>
          </w:tcPr>
          <w:p w14:paraId="6A9B8C19" w14:textId="77777777" w:rsidR="00881780" w:rsidRPr="00A71C8E" w:rsidRDefault="00881780" w:rsidP="006F4D8F">
            <w:pPr>
              <w:spacing w:before="0" w:line="240" w:lineRule="auto"/>
              <w:jc w:val="left"/>
              <w:rPr>
                <w:sz w:val="18"/>
                <w:szCs w:val="18"/>
              </w:rPr>
            </w:pPr>
            <w:r w:rsidRPr="00A71C8E">
              <w:rPr>
                <w:sz w:val="18"/>
                <w:szCs w:val="18"/>
              </w:rPr>
              <w:t>68,3</w:t>
            </w:r>
          </w:p>
        </w:tc>
        <w:tc>
          <w:tcPr>
            <w:tcW w:w="447" w:type="pct"/>
            <w:shd w:val="clear" w:color="auto" w:fill="auto"/>
            <w:noWrap/>
            <w:vAlign w:val="bottom"/>
            <w:hideMark/>
          </w:tcPr>
          <w:p w14:paraId="6C5A8806" w14:textId="77777777" w:rsidR="00881780" w:rsidRPr="00A71C8E" w:rsidRDefault="00881780" w:rsidP="006F4D8F">
            <w:pPr>
              <w:spacing w:before="0" w:line="240" w:lineRule="auto"/>
              <w:jc w:val="left"/>
              <w:rPr>
                <w:sz w:val="18"/>
                <w:szCs w:val="18"/>
              </w:rPr>
            </w:pPr>
            <w:r w:rsidRPr="00A71C8E">
              <w:rPr>
                <w:sz w:val="18"/>
                <w:szCs w:val="18"/>
              </w:rPr>
              <w:t>68,6</w:t>
            </w:r>
          </w:p>
        </w:tc>
      </w:tr>
      <w:tr w:rsidR="00881780" w:rsidRPr="00A71C8E" w14:paraId="6F5EB1DE" w14:textId="77777777" w:rsidTr="006F4D8F">
        <w:trPr>
          <w:trHeight w:val="300"/>
        </w:trPr>
        <w:tc>
          <w:tcPr>
            <w:tcW w:w="1852" w:type="pct"/>
            <w:shd w:val="clear" w:color="auto" w:fill="auto"/>
            <w:noWrap/>
            <w:vAlign w:val="bottom"/>
            <w:hideMark/>
          </w:tcPr>
          <w:p w14:paraId="6164105D" w14:textId="77777777" w:rsidR="00881780" w:rsidRPr="00A71C8E" w:rsidRDefault="00881780" w:rsidP="006F4D8F">
            <w:pPr>
              <w:spacing w:before="0" w:line="240" w:lineRule="auto"/>
              <w:rPr>
                <w:sz w:val="18"/>
                <w:szCs w:val="18"/>
              </w:rPr>
            </w:pPr>
            <w:r w:rsidRPr="00A71C8E">
              <w:rPr>
                <w:sz w:val="18"/>
                <w:szCs w:val="18"/>
              </w:rPr>
              <w:t>Warmińsko-mazurskie</w:t>
            </w:r>
          </w:p>
        </w:tc>
        <w:tc>
          <w:tcPr>
            <w:tcW w:w="450" w:type="pct"/>
            <w:shd w:val="clear" w:color="auto" w:fill="auto"/>
            <w:noWrap/>
            <w:vAlign w:val="bottom"/>
            <w:hideMark/>
          </w:tcPr>
          <w:p w14:paraId="56D4A7C9" w14:textId="77777777" w:rsidR="00881780" w:rsidRPr="00A71C8E" w:rsidRDefault="00881780" w:rsidP="006F4D8F">
            <w:pPr>
              <w:spacing w:before="0" w:line="240" w:lineRule="auto"/>
              <w:jc w:val="left"/>
              <w:rPr>
                <w:sz w:val="18"/>
                <w:szCs w:val="18"/>
              </w:rPr>
            </w:pPr>
            <w:r w:rsidRPr="00A71C8E">
              <w:rPr>
                <w:sz w:val="18"/>
                <w:szCs w:val="18"/>
              </w:rPr>
              <w:t>58,5</w:t>
            </w:r>
          </w:p>
        </w:tc>
        <w:tc>
          <w:tcPr>
            <w:tcW w:w="450" w:type="pct"/>
            <w:shd w:val="clear" w:color="auto" w:fill="auto"/>
            <w:noWrap/>
            <w:vAlign w:val="bottom"/>
            <w:hideMark/>
          </w:tcPr>
          <w:p w14:paraId="3735A85B" w14:textId="77777777" w:rsidR="00881780" w:rsidRPr="00A71C8E" w:rsidRDefault="00881780" w:rsidP="006F4D8F">
            <w:pPr>
              <w:spacing w:before="0" w:line="240" w:lineRule="auto"/>
              <w:jc w:val="left"/>
              <w:rPr>
                <w:sz w:val="18"/>
                <w:szCs w:val="18"/>
              </w:rPr>
            </w:pPr>
            <w:r w:rsidRPr="00A71C8E">
              <w:rPr>
                <w:sz w:val="18"/>
                <w:szCs w:val="18"/>
              </w:rPr>
              <w:t>61,1</w:t>
            </w:r>
          </w:p>
        </w:tc>
        <w:tc>
          <w:tcPr>
            <w:tcW w:w="450" w:type="pct"/>
            <w:shd w:val="clear" w:color="auto" w:fill="auto"/>
            <w:noWrap/>
            <w:vAlign w:val="bottom"/>
            <w:hideMark/>
          </w:tcPr>
          <w:p w14:paraId="208878D6" w14:textId="77777777" w:rsidR="00881780" w:rsidRPr="00A71C8E" w:rsidRDefault="00881780" w:rsidP="006F4D8F">
            <w:pPr>
              <w:spacing w:before="0" w:line="240" w:lineRule="auto"/>
              <w:jc w:val="left"/>
              <w:rPr>
                <w:sz w:val="18"/>
                <w:szCs w:val="18"/>
              </w:rPr>
            </w:pPr>
            <w:r w:rsidRPr="00A71C8E">
              <w:rPr>
                <w:sz w:val="18"/>
                <w:szCs w:val="18"/>
              </w:rPr>
              <w:t>62,4</w:t>
            </w:r>
          </w:p>
        </w:tc>
        <w:tc>
          <w:tcPr>
            <w:tcW w:w="450" w:type="pct"/>
            <w:shd w:val="clear" w:color="auto" w:fill="auto"/>
            <w:noWrap/>
            <w:vAlign w:val="bottom"/>
            <w:hideMark/>
          </w:tcPr>
          <w:p w14:paraId="2E90720D" w14:textId="77777777" w:rsidR="00881780" w:rsidRPr="00A71C8E" w:rsidRDefault="00881780" w:rsidP="006F4D8F">
            <w:pPr>
              <w:spacing w:before="0" w:line="240" w:lineRule="auto"/>
              <w:jc w:val="left"/>
              <w:rPr>
                <w:sz w:val="18"/>
                <w:szCs w:val="18"/>
              </w:rPr>
            </w:pPr>
            <w:r w:rsidRPr="00A71C8E">
              <w:rPr>
                <w:sz w:val="18"/>
                <w:szCs w:val="18"/>
              </w:rPr>
              <w:t>62,8</w:t>
            </w:r>
          </w:p>
        </w:tc>
        <w:tc>
          <w:tcPr>
            <w:tcW w:w="450" w:type="pct"/>
            <w:shd w:val="clear" w:color="auto" w:fill="auto"/>
            <w:noWrap/>
            <w:vAlign w:val="bottom"/>
            <w:hideMark/>
          </w:tcPr>
          <w:p w14:paraId="76741B0F" w14:textId="77777777" w:rsidR="00881780" w:rsidRPr="00A71C8E" w:rsidRDefault="00881780" w:rsidP="006F4D8F">
            <w:pPr>
              <w:spacing w:before="0" w:line="240" w:lineRule="auto"/>
              <w:jc w:val="left"/>
              <w:rPr>
                <w:sz w:val="18"/>
                <w:szCs w:val="18"/>
              </w:rPr>
            </w:pPr>
            <w:r w:rsidRPr="00A71C8E">
              <w:rPr>
                <w:sz w:val="18"/>
                <w:szCs w:val="18"/>
              </w:rPr>
              <w:t>64,5</w:t>
            </w:r>
          </w:p>
        </w:tc>
        <w:tc>
          <w:tcPr>
            <w:tcW w:w="450" w:type="pct"/>
            <w:shd w:val="clear" w:color="auto" w:fill="auto"/>
            <w:noWrap/>
            <w:vAlign w:val="bottom"/>
            <w:hideMark/>
          </w:tcPr>
          <w:p w14:paraId="5F3F1372" w14:textId="77777777" w:rsidR="00881780" w:rsidRPr="00A71C8E" w:rsidRDefault="00881780" w:rsidP="006F4D8F">
            <w:pPr>
              <w:spacing w:before="0" w:line="240" w:lineRule="auto"/>
              <w:jc w:val="left"/>
              <w:rPr>
                <w:sz w:val="18"/>
                <w:szCs w:val="18"/>
              </w:rPr>
            </w:pPr>
            <w:r w:rsidRPr="00A71C8E">
              <w:rPr>
                <w:sz w:val="18"/>
                <w:szCs w:val="18"/>
              </w:rPr>
              <w:t>66,2</w:t>
            </w:r>
          </w:p>
        </w:tc>
        <w:tc>
          <w:tcPr>
            <w:tcW w:w="447" w:type="pct"/>
            <w:shd w:val="clear" w:color="auto" w:fill="auto"/>
            <w:noWrap/>
            <w:vAlign w:val="bottom"/>
            <w:hideMark/>
          </w:tcPr>
          <w:p w14:paraId="11D9E624" w14:textId="77777777" w:rsidR="00881780" w:rsidRPr="00A71C8E" w:rsidRDefault="00881780" w:rsidP="006F4D8F">
            <w:pPr>
              <w:spacing w:before="0" w:line="240" w:lineRule="auto"/>
              <w:jc w:val="left"/>
              <w:rPr>
                <w:sz w:val="18"/>
                <w:szCs w:val="18"/>
              </w:rPr>
            </w:pPr>
            <w:r w:rsidRPr="00A71C8E">
              <w:rPr>
                <w:sz w:val="18"/>
                <w:szCs w:val="18"/>
              </w:rPr>
              <w:t>65,5</w:t>
            </w:r>
          </w:p>
        </w:tc>
      </w:tr>
      <w:tr w:rsidR="00881780" w:rsidRPr="00A71C8E" w14:paraId="52CFAA9D" w14:textId="77777777" w:rsidTr="006F4D8F">
        <w:trPr>
          <w:trHeight w:val="300"/>
        </w:trPr>
        <w:tc>
          <w:tcPr>
            <w:tcW w:w="1852" w:type="pct"/>
            <w:shd w:val="clear" w:color="auto" w:fill="auto"/>
            <w:noWrap/>
            <w:vAlign w:val="bottom"/>
            <w:hideMark/>
          </w:tcPr>
          <w:p w14:paraId="1EDA73BB" w14:textId="77777777" w:rsidR="00881780" w:rsidRPr="00A71C8E" w:rsidRDefault="00881780" w:rsidP="006F4D8F">
            <w:pPr>
              <w:spacing w:before="0" w:line="240" w:lineRule="auto"/>
              <w:rPr>
                <w:sz w:val="18"/>
                <w:szCs w:val="18"/>
              </w:rPr>
            </w:pPr>
            <w:r w:rsidRPr="00A71C8E">
              <w:rPr>
                <w:sz w:val="18"/>
                <w:szCs w:val="18"/>
              </w:rPr>
              <w:t>Wielkopolskie</w:t>
            </w:r>
          </w:p>
        </w:tc>
        <w:tc>
          <w:tcPr>
            <w:tcW w:w="450" w:type="pct"/>
            <w:shd w:val="clear" w:color="auto" w:fill="auto"/>
            <w:noWrap/>
            <w:vAlign w:val="bottom"/>
            <w:hideMark/>
          </w:tcPr>
          <w:p w14:paraId="3D969DEE" w14:textId="77777777" w:rsidR="00881780" w:rsidRPr="00A71C8E" w:rsidRDefault="00881780" w:rsidP="006F4D8F">
            <w:pPr>
              <w:spacing w:before="0" w:line="240" w:lineRule="auto"/>
              <w:jc w:val="left"/>
              <w:rPr>
                <w:sz w:val="18"/>
                <w:szCs w:val="18"/>
              </w:rPr>
            </w:pPr>
            <w:r w:rsidRPr="00A71C8E">
              <w:rPr>
                <w:sz w:val="18"/>
                <w:szCs w:val="18"/>
              </w:rPr>
              <w:t>66,5</w:t>
            </w:r>
          </w:p>
        </w:tc>
        <w:tc>
          <w:tcPr>
            <w:tcW w:w="450" w:type="pct"/>
            <w:shd w:val="clear" w:color="auto" w:fill="auto"/>
            <w:noWrap/>
            <w:vAlign w:val="bottom"/>
            <w:hideMark/>
          </w:tcPr>
          <w:p w14:paraId="56359ADC" w14:textId="77777777" w:rsidR="00881780" w:rsidRPr="00A71C8E" w:rsidRDefault="00881780" w:rsidP="006F4D8F">
            <w:pPr>
              <w:spacing w:before="0" w:line="240" w:lineRule="auto"/>
              <w:jc w:val="left"/>
              <w:rPr>
                <w:sz w:val="18"/>
                <w:szCs w:val="18"/>
              </w:rPr>
            </w:pPr>
            <w:r w:rsidRPr="00A71C8E">
              <w:rPr>
                <w:sz w:val="18"/>
                <w:szCs w:val="18"/>
              </w:rPr>
              <w:t>67,7</w:t>
            </w:r>
          </w:p>
        </w:tc>
        <w:tc>
          <w:tcPr>
            <w:tcW w:w="450" w:type="pct"/>
            <w:shd w:val="clear" w:color="auto" w:fill="auto"/>
            <w:noWrap/>
            <w:vAlign w:val="bottom"/>
            <w:hideMark/>
          </w:tcPr>
          <w:p w14:paraId="6182DD3C" w14:textId="77777777" w:rsidR="00881780" w:rsidRPr="00A71C8E" w:rsidRDefault="00881780" w:rsidP="006F4D8F">
            <w:pPr>
              <w:spacing w:before="0" w:line="240" w:lineRule="auto"/>
              <w:jc w:val="left"/>
              <w:rPr>
                <w:sz w:val="18"/>
                <w:szCs w:val="18"/>
              </w:rPr>
            </w:pPr>
            <w:r w:rsidRPr="00A71C8E">
              <w:rPr>
                <w:sz w:val="18"/>
                <w:szCs w:val="18"/>
              </w:rPr>
              <w:t>68,1</w:t>
            </w:r>
          </w:p>
        </w:tc>
        <w:tc>
          <w:tcPr>
            <w:tcW w:w="450" w:type="pct"/>
            <w:shd w:val="clear" w:color="auto" w:fill="auto"/>
            <w:noWrap/>
            <w:vAlign w:val="bottom"/>
            <w:hideMark/>
          </w:tcPr>
          <w:p w14:paraId="746E358A" w14:textId="77777777" w:rsidR="00881780" w:rsidRPr="00A71C8E" w:rsidRDefault="00881780" w:rsidP="006F4D8F">
            <w:pPr>
              <w:spacing w:before="0" w:line="240" w:lineRule="auto"/>
              <w:jc w:val="left"/>
              <w:rPr>
                <w:sz w:val="18"/>
                <w:szCs w:val="18"/>
              </w:rPr>
            </w:pPr>
            <w:r w:rsidRPr="00A71C8E">
              <w:rPr>
                <w:sz w:val="18"/>
                <w:szCs w:val="18"/>
              </w:rPr>
              <w:t>69,8</w:t>
            </w:r>
          </w:p>
        </w:tc>
        <w:tc>
          <w:tcPr>
            <w:tcW w:w="450" w:type="pct"/>
            <w:shd w:val="clear" w:color="auto" w:fill="auto"/>
            <w:noWrap/>
            <w:vAlign w:val="bottom"/>
            <w:hideMark/>
          </w:tcPr>
          <w:p w14:paraId="4308DACE" w14:textId="77777777" w:rsidR="00881780" w:rsidRPr="00A71C8E" w:rsidRDefault="00881780" w:rsidP="006F4D8F">
            <w:pPr>
              <w:spacing w:before="0" w:line="240" w:lineRule="auto"/>
              <w:jc w:val="left"/>
              <w:rPr>
                <w:sz w:val="18"/>
                <w:szCs w:val="18"/>
              </w:rPr>
            </w:pPr>
            <w:r w:rsidRPr="00A71C8E">
              <w:rPr>
                <w:sz w:val="18"/>
                <w:szCs w:val="18"/>
              </w:rPr>
              <w:t>71,5</w:t>
            </w:r>
          </w:p>
        </w:tc>
        <w:tc>
          <w:tcPr>
            <w:tcW w:w="450" w:type="pct"/>
            <w:shd w:val="clear" w:color="auto" w:fill="auto"/>
            <w:noWrap/>
            <w:vAlign w:val="bottom"/>
            <w:hideMark/>
          </w:tcPr>
          <w:p w14:paraId="45BEEB6D" w14:textId="77777777" w:rsidR="00881780" w:rsidRPr="00A71C8E" w:rsidRDefault="00881780" w:rsidP="006F4D8F">
            <w:pPr>
              <w:spacing w:before="0" w:line="240" w:lineRule="auto"/>
              <w:jc w:val="left"/>
              <w:rPr>
                <w:sz w:val="18"/>
                <w:szCs w:val="18"/>
              </w:rPr>
            </w:pPr>
            <w:r w:rsidRPr="00A71C8E">
              <w:rPr>
                <w:sz w:val="18"/>
                <w:szCs w:val="18"/>
              </w:rPr>
              <w:t>71,7</w:t>
            </w:r>
          </w:p>
        </w:tc>
        <w:tc>
          <w:tcPr>
            <w:tcW w:w="447" w:type="pct"/>
            <w:shd w:val="clear" w:color="auto" w:fill="auto"/>
            <w:noWrap/>
            <w:vAlign w:val="bottom"/>
            <w:hideMark/>
          </w:tcPr>
          <w:p w14:paraId="485A7F3A" w14:textId="77777777" w:rsidR="00881780" w:rsidRPr="00A71C8E" w:rsidRDefault="00881780" w:rsidP="006F4D8F">
            <w:pPr>
              <w:spacing w:before="0" w:line="240" w:lineRule="auto"/>
              <w:jc w:val="left"/>
              <w:rPr>
                <w:sz w:val="18"/>
                <w:szCs w:val="18"/>
              </w:rPr>
            </w:pPr>
            <w:r w:rsidRPr="00A71C8E">
              <w:rPr>
                <w:sz w:val="18"/>
                <w:szCs w:val="18"/>
              </w:rPr>
              <w:t>74,8</w:t>
            </w:r>
          </w:p>
        </w:tc>
      </w:tr>
      <w:tr w:rsidR="00881780" w:rsidRPr="00A71C8E" w14:paraId="7A0ADC6A" w14:textId="77777777" w:rsidTr="00C22C26">
        <w:trPr>
          <w:trHeight w:val="300"/>
        </w:trPr>
        <w:tc>
          <w:tcPr>
            <w:tcW w:w="1852" w:type="pct"/>
            <w:shd w:val="clear" w:color="auto" w:fill="auto"/>
            <w:noWrap/>
            <w:hideMark/>
          </w:tcPr>
          <w:p w14:paraId="03D11B03" w14:textId="77777777" w:rsidR="00881780" w:rsidRPr="00A71C8E" w:rsidRDefault="00881780" w:rsidP="006F4D8F">
            <w:pPr>
              <w:spacing w:before="0" w:line="240" w:lineRule="auto"/>
              <w:rPr>
                <w:sz w:val="18"/>
                <w:szCs w:val="18"/>
              </w:rPr>
            </w:pPr>
            <w:r w:rsidRPr="00A71C8E">
              <w:rPr>
                <w:sz w:val="18"/>
                <w:szCs w:val="18"/>
              </w:rPr>
              <w:t>Zachodniopomorskie</w:t>
            </w:r>
          </w:p>
        </w:tc>
        <w:tc>
          <w:tcPr>
            <w:tcW w:w="450" w:type="pct"/>
            <w:shd w:val="clear" w:color="auto" w:fill="auto"/>
            <w:noWrap/>
            <w:hideMark/>
          </w:tcPr>
          <w:p w14:paraId="0805EAA1" w14:textId="77777777" w:rsidR="00881780" w:rsidRPr="00A71C8E" w:rsidRDefault="00881780" w:rsidP="006F4D8F">
            <w:pPr>
              <w:spacing w:before="0" w:line="240" w:lineRule="auto"/>
              <w:jc w:val="left"/>
              <w:rPr>
                <w:sz w:val="18"/>
                <w:szCs w:val="18"/>
              </w:rPr>
            </w:pPr>
            <w:r w:rsidRPr="00A71C8E">
              <w:rPr>
                <w:sz w:val="18"/>
                <w:szCs w:val="18"/>
              </w:rPr>
              <w:t>59,8</w:t>
            </w:r>
          </w:p>
        </w:tc>
        <w:tc>
          <w:tcPr>
            <w:tcW w:w="450" w:type="pct"/>
            <w:shd w:val="clear" w:color="auto" w:fill="auto"/>
            <w:noWrap/>
            <w:hideMark/>
          </w:tcPr>
          <w:p w14:paraId="6606E03A" w14:textId="77777777" w:rsidR="00881780" w:rsidRPr="00A71C8E" w:rsidRDefault="00881780" w:rsidP="006F4D8F">
            <w:pPr>
              <w:spacing w:before="0" w:line="240" w:lineRule="auto"/>
              <w:jc w:val="left"/>
              <w:rPr>
                <w:sz w:val="18"/>
                <w:szCs w:val="18"/>
              </w:rPr>
            </w:pPr>
            <w:r w:rsidRPr="00A71C8E">
              <w:rPr>
                <w:sz w:val="18"/>
                <w:szCs w:val="18"/>
              </w:rPr>
              <w:t>62,7</w:t>
            </w:r>
          </w:p>
        </w:tc>
        <w:tc>
          <w:tcPr>
            <w:tcW w:w="450" w:type="pct"/>
            <w:shd w:val="clear" w:color="auto" w:fill="auto"/>
            <w:noWrap/>
            <w:hideMark/>
          </w:tcPr>
          <w:p w14:paraId="30D504B0" w14:textId="77777777" w:rsidR="00881780" w:rsidRPr="00A71C8E" w:rsidRDefault="00881780" w:rsidP="006F4D8F">
            <w:pPr>
              <w:spacing w:before="0" w:line="240" w:lineRule="auto"/>
              <w:jc w:val="left"/>
              <w:rPr>
                <w:sz w:val="18"/>
                <w:szCs w:val="18"/>
              </w:rPr>
            </w:pPr>
            <w:r w:rsidRPr="00A71C8E">
              <w:rPr>
                <w:sz w:val="18"/>
                <w:szCs w:val="18"/>
              </w:rPr>
              <w:t>63,7</w:t>
            </w:r>
          </w:p>
        </w:tc>
        <w:tc>
          <w:tcPr>
            <w:tcW w:w="450" w:type="pct"/>
            <w:shd w:val="clear" w:color="auto" w:fill="auto"/>
            <w:noWrap/>
            <w:hideMark/>
          </w:tcPr>
          <w:p w14:paraId="772191D3" w14:textId="77777777" w:rsidR="00881780" w:rsidRPr="00A71C8E" w:rsidRDefault="00881780" w:rsidP="006F4D8F">
            <w:pPr>
              <w:spacing w:before="0" w:line="240" w:lineRule="auto"/>
              <w:jc w:val="left"/>
              <w:rPr>
                <w:sz w:val="18"/>
                <w:szCs w:val="18"/>
              </w:rPr>
            </w:pPr>
            <w:r w:rsidRPr="00A71C8E">
              <w:rPr>
                <w:sz w:val="18"/>
                <w:szCs w:val="18"/>
              </w:rPr>
              <w:t>64,7</w:t>
            </w:r>
          </w:p>
        </w:tc>
        <w:tc>
          <w:tcPr>
            <w:tcW w:w="450" w:type="pct"/>
            <w:shd w:val="clear" w:color="auto" w:fill="auto"/>
            <w:noWrap/>
            <w:hideMark/>
          </w:tcPr>
          <w:p w14:paraId="5DE44D34" w14:textId="77777777" w:rsidR="00881780" w:rsidRPr="00A71C8E" w:rsidRDefault="00881780" w:rsidP="006F4D8F">
            <w:pPr>
              <w:spacing w:before="0" w:line="240" w:lineRule="auto"/>
              <w:jc w:val="left"/>
              <w:rPr>
                <w:sz w:val="18"/>
                <w:szCs w:val="18"/>
              </w:rPr>
            </w:pPr>
            <w:r w:rsidRPr="00A71C8E">
              <w:rPr>
                <w:sz w:val="18"/>
                <w:szCs w:val="18"/>
              </w:rPr>
              <w:t>64,8</w:t>
            </w:r>
          </w:p>
        </w:tc>
        <w:tc>
          <w:tcPr>
            <w:tcW w:w="450" w:type="pct"/>
            <w:shd w:val="clear" w:color="auto" w:fill="auto"/>
            <w:noWrap/>
            <w:hideMark/>
          </w:tcPr>
          <w:p w14:paraId="1A729FFB" w14:textId="77777777" w:rsidR="00881780" w:rsidRPr="00A71C8E" w:rsidRDefault="00881780" w:rsidP="006F4D8F">
            <w:pPr>
              <w:spacing w:before="0" w:line="240" w:lineRule="auto"/>
              <w:jc w:val="left"/>
              <w:rPr>
                <w:sz w:val="18"/>
                <w:szCs w:val="18"/>
              </w:rPr>
            </w:pPr>
            <w:r w:rsidRPr="00A71C8E">
              <w:rPr>
                <w:sz w:val="18"/>
                <w:szCs w:val="18"/>
              </w:rPr>
              <w:t>69,2</w:t>
            </w:r>
          </w:p>
        </w:tc>
        <w:tc>
          <w:tcPr>
            <w:tcW w:w="447" w:type="pct"/>
            <w:shd w:val="clear" w:color="auto" w:fill="auto"/>
            <w:noWrap/>
            <w:hideMark/>
          </w:tcPr>
          <w:p w14:paraId="3A701CBA" w14:textId="77777777" w:rsidR="00881780" w:rsidRPr="00A71C8E" w:rsidRDefault="00881780" w:rsidP="006F4D8F">
            <w:pPr>
              <w:spacing w:before="0" w:line="240" w:lineRule="auto"/>
              <w:jc w:val="left"/>
              <w:rPr>
                <w:sz w:val="18"/>
                <w:szCs w:val="18"/>
              </w:rPr>
            </w:pPr>
            <w:r w:rsidRPr="00A71C8E">
              <w:rPr>
                <w:sz w:val="18"/>
                <w:szCs w:val="18"/>
              </w:rPr>
              <w:t>72,0</w:t>
            </w:r>
          </w:p>
        </w:tc>
      </w:tr>
    </w:tbl>
    <w:p w14:paraId="0DB6CE57" w14:textId="3C961B42"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39168E96" w14:textId="77777777" w:rsidR="00881780" w:rsidRPr="00754ED4" w:rsidRDefault="00881780" w:rsidP="00754ED4">
      <w:pPr>
        <w:pStyle w:val="Legenda"/>
        <w:spacing w:after="0"/>
      </w:pPr>
      <w:bookmarkStart w:id="187" w:name="_Toc8824202"/>
      <w:r w:rsidRPr="00754ED4">
        <w:lastRenderedPageBreak/>
        <w:t xml:space="preserve">Tabela </w:t>
      </w:r>
      <w:r w:rsidRPr="00754ED4">
        <w:fldChar w:fldCharType="begin"/>
      </w:r>
      <w:r w:rsidRPr="00754ED4">
        <w:instrText xml:space="preserve"> SEQ Tabela \* ARABIC </w:instrText>
      </w:r>
      <w:r w:rsidRPr="00754ED4">
        <w:fldChar w:fldCharType="separate"/>
      </w:r>
      <w:r w:rsidR="00763345">
        <w:rPr>
          <w:noProof/>
        </w:rPr>
        <w:t>91</w:t>
      </w:r>
      <w:r w:rsidRPr="00754ED4">
        <w:fldChar w:fldCharType="end"/>
      </w:r>
      <w:r w:rsidRPr="00754ED4">
        <w:t xml:space="preserve"> Wskaźnik zatrudnienia</w:t>
      </w:r>
      <w:r w:rsidR="00E66B89" w:rsidRPr="00754ED4">
        <w:t xml:space="preserve"> w </w:t>
      </w:r>
      <w:r w:rsidRPr="00754ED4">
        <w:t>województwie zachodniopomorskim</w:t>
      </w:r>
      <w:r w:rsidR="00E66B89" w:rsidRPr="00754ED4">
        <w:t xml:space="preserve"> i w </w:t>
      </w:r>
      <w:r w:rsidRPr="00754ED4">
        <w:t>porównaniu do Polski według grup wieku (dane za IV kwartał)</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
        <w:gridCol w:w="432"/>
        <w:gridCol w:w="432"/>
        <w:gridCol w:w="432"/>
        <w:gridCol w:w="432"/>
        <w:gridCol w:w="432"/>
        <w:gridCol w:w="450"/>
        <w:gridCol w:w="431"/>
        <w:gridCol w:w="431"/>
        <w:gridCol w:w="431"/>
        <w:gridCol w:w="431"/>
        <w:gridCol w:w="431"/>
        <w:gridCol w:w="431"/>
        <w:gridCol w:w="431"/>
        <w:gridCol w:w="431"/>
        <w:gridCol w:w="431"/>
        <w:gridCol w:w="431"/>
        <w:gridCol w:w="431"/>
        <w:gridCol w:w="431"/>
        <w:gridCol w:w="431"/>
        <w:gridCol w:w="417"/>
      </w:tblGrid>
      <w:tr w:rsidR="00881780" w:rsidRPr="00AA6879" w14:paraId="285D5BB4" w14:textId="77777777" w:rsidTr="005F04FC">
        <w:trPr>
          <w:trHeight w:val="300"/>
          <w:tblHeader/>
        </w:trPr>
        <w:tc>
          <w:tcPr>
            <w:tcW w:w="1676" w:type="pct"/>
            <w:gridSpan w:val="7"/>
            <w:shd w:val="clear" w:color="auto" w:fill="DBE5F1"/>
            <w:vAlign w:val="center"/>
            <w:hideMark/>
          </w:tcPr>
          <w:p w14:paraId="3168E610" w14:textId="77777777" w:rsidR="00881780" w:rsidRPr="00AA6879" w:rsidRDefault="00881780" w:rsidP="006F4D8F">
            <w:pPr>
              <w:spacing w:line="240" w:lineRule="auto"/>
              <w:jc w:val="left"/>
              <w:rPr>
                <w:b/>
                <w:color w:val="000000"/>
                <w:sz w:val="16"/>
                <w:szCs w:val="16"/>
              </w:rPr>
            </w:pPr>
            <w:r w:rsidRPr="00AA6879">
              <w:rPr>
                <w:b/>
                <w:color w:val="000000"/>
                <w:sz w:val="16"/>
                <w:szCs w:val="16"/>
              </w:rPr>
              <w:t>Ludność</w:t>
            </w:r>
            <w:r w:rsidR="00E66B89" w:rsidRPr="00AA6879">
              <w:rPr>
                <w:b/>
                <w:color w:val="000000"/>
                <w:sz w:val="16"/>
                <w:szCs w:val="16"/>
              </w:rPr>
              <w:t xml:space="preserve"> w </w:t>
            </w:r>
            <w:r w:rsidRPr="00AA6879">
              <w:rPr>
                <w:b/>
                <w:color w:val="000000"/>
                <w:sz w:val="16"/>
                <w:szCs w:val="16"/>
              </w:rPr>
              <w:t>wieku 15-24 lata</w:t>
            </w:r>
          </w:p>
        </w:tc>
        <w:tc>
          <w:tcPr>
            <w:tcW w:w="1665" w:type="pct"/>
            <w:gridSpan w:val="7"/>
            <w:shd w:val="clear" w:color="auto" w:fill="DBE5F1"/>
            <w:vAlign w:val="center"/>
            <w:hideMark/>
          </w:tcPr>
          <w:p w14:paraId="204EB7ED" w14:textId="77777777" w:rsidR="00881780" w:rsidRPr="00AA6879" w:rsidRDefault="00881780" w:rsidP="006F4D8F">
            <w:pPr>
              <w:spacing w:line="240" w:lineRule="auto"/>
              <w:jc w:val="left"/>
              <w:rPr>
                <w:b/>
                <w:color w:val="000000"/>
                <w:sz w:val="16"/>
                <w:szCs w:val="16"/>
              </w:rPr>
            </w:pPr>
            <w:r w:rsidRPr="00AA6879">
              <w:rPr>
                <w:b/>
                <w:color w:val="000000"/>
                <w:sz w:val="16"/>
                <w:szCs w:val="16"/>
              </w:rPr>
              <w:t>Ludność</w:t>
            </w:r>
            <w:r w:rsidR="00E66B89" w:rsidRPr="00AA6879">
              <w:rPr>
                <w:b/>
                <w:color w:val="000000"/>
                <w:sz w:val="16"/>
                <w:szCs w:val="16"/>
              </w:rPr>
              <w:t xml:space="preserve"> w </w:t>
            </w:r>
            <w:r w:rsidRPr="00AA6879">
              <w:rPr>
                <w:b/>
                <w:color w:val="000000"/>
                <w:sz w:val="16"/>
                <w:szCs w:val="16"/>
              </w:rPr>
              <w:t>wieku 25-54 lata</w:t>
            </w:r>
          </w:p>
        </w:tc>
        <w:tc>
          <w:tcPr>
            <w:tcW w:w="1660" w:type="pct"/>
            <w:gridSpan w:val="7"/>
            <w:shd w:val="clear" w:color="auto" w:fill="DBE5F1"/>
            <w:vAlign w:val="center"/>
            <w:hideMark/>
          </w:tcPr>
          <w:p w14:paraId="06F2B6D9" w14:textId="77777777" w:rsidR="00881780" w:rsidRPr="00AA6879" w:rsidRDefault="00881780" w:rsidP="006F4D8F">
            <w:pPr>
              <w:spacing w:line="240" w:lineRule="auto"/>
              <w:jc w:val="left"/>
              <w:rPr>
                <w:b/>
                <w:color w:val="000000"/>
                <w:sz w:val="16"/>
                <w:szCs w:val="16"/>
              </w:rPr>
            </w:pPr>
            <w:r w:rsidRPr="00AA6879">
              <w:rPr>
                <w:b/>
                <w:color w:val="000000"/>
                <w:sz w:val="16"/>
                <w:szCs w:val="16"/>
              </w:rPr>
              <w:t>Ludność</w:t>
            </w:r>
            <w:r w:rsidR="00E66B89" w:rsidRPr="00AA6879">
              <w:rPr>
                <w:b/>
                <w:color w:val="000000"/>
                <w:sz w:val="16"/>
                <w:szCs w:val="16"/>
              </w:rPr>
              <w:t xml:space="preserve"> w </w:t>
            </w:r>
            <w:r w:rsidRPr="00AA6879">
              <w:rPr>
                <w:b/>
                <w:color w:val="000000"/>
                <w:sz w:val="16"/>
                <w:szCs w:val="16"/>
              </w:rPr>
              <w:t>wieku 55-64 lata</w:t>
            </w:r>
          </w:p>
        </w:tc>
      </w:tr>
      <w:tr w:rsidR="00881780" w:rsidRPr="00AA6879" w14:paraId="7BC354E9" w14:textId="77777777" w:rsidTr="006F4D8F">
        <w:trPr>
          <w:cantSplit/>
          <w:trHeight w:val="648"/>
        </w:trPr>
        <w:tc>
          <w:tcPr>
            <w:tcW w:w="238" w:type="pct"/>
            <w:shd w:val="clear" w:color="auto" w:fill="auto"/>
            <w:textDirection w:val="btLr"/>
            <w:vAlign w:val="center"/>
            <w:hideMark/>
          </w:tcPr>
          <w:p w14:paraId="2093DD10"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2012</w:t>
            </w:r>
          </w:p>
        </w:tc>
        <w:tc>
          <w:tcPr>
            <w:tcW w:w="238" w:type="pct"/>
            <w:shd w:val="clear" w:color="auto" w:fill="auto"/>
            <w:textDirection w:val="btLr"/>
            <w:vAlign w:val="center"/>
            <w:hideMark/>
          </w:tcPr>
          <w:p w14:paraId="63946C07"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2013</w:t>
            </w:r>
          </w:p>
        </w:tc>
        <w:tc>
          <w:tcPr>
            <w:tcW w:w="238" w:type="pct"/>
            <w:shd w:val="clear" w:color="auto" w:fill="auto"/>
            <w:textDirection w:val="btLr"/>
            <w:vAlign w:val="center"/>
            <w:hideMark/>
          </w:tcPr>
          <w:p w14:paraId="500131BE"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2014</w:t>
            </w:r>
          </w:p>
        </w:tc>
        <w:tc>
          <w:tcPr>
            <w:tcW w:w="238" w:type="pct"/>
            <w:shd w:val="clear" w:color="auto" w:fill="auto"/>
            <w:textDirection w:val="btLr"/>
            <w:vAlign w:val="center"/>
            <w:hideMark/>
          </w:tcPr>
          <w:p w14:paraId="58DE20C3"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2015</w:t>
            </w:r>
          </w:p>
        </w:tc>
        <w:tc>
          <w:tcPr>
            <w:tcW w:w="238" w:type="pct"/>
            <w:shd w:val="clear" w:color="auto" w:fill="auto"/>
            <w:textDirection w:val="btLr"/>
            <w:vAlign w:val="center"/>
            <w:hideMark/>
          </w:tcPr>
          <w:p w14:paraId="5C9BB167"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2016</w:t>
            </w:r>
          </w:p>
        </w:tc>
        <w:tc>
          <w:tcPr>
            <w:tcW w:w="238" w:type="pct"/>
            <w:shd w:val="clear" w:color="auto" w:fill="auto"/>
            <w:textDirection w:val="btLr"/>
            <w:vAlign w:val="center"/>
            <w:hideMark/>
          </w:tcPr>
          <w:p w14:paraId="5BF1B114"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2017</w:t>
            </w:r>
          </w:p>
        </w:tc>
        <w:tc>
          <w:tcPr>
            <w:tcW w:w="246" w:type="pct"/>
            <w:shd w:val="clear" w:color="auto" w:fill="auto"/>
            <w:textDirection w:val="btLr"/>
            <w:vAlign w:val="center"/>
            <w:hideMark/>
          </w:tcPr>
          <w:p w14:paraId="62234559"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2018</w:t>
            </w:r>
          </w:p>
        </w:tc>
        <w:tc>
          <w:tcPr>
            <w:tcW w:w="238" w:type="pct"/>
            <w:shd w:val="clear" w:color="auto" w:fill="auto"/>
            <w:textDirection w:val="btLr"/>
            <w:vAlign w:val="center"/>
            <w:hideMark/>
          </w:tcPr>
          <w:p w14:paraId="7E28558C"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2012</w:t>
            </w:r>
          </w:p>
        </w:tc>
        <w:tc>
          <w:tcPr>
            <w:tcW w:w="238" w:type="pct"/>
            <w:shd w:val="clear" w:color="auto" w:fill="auto"/>
            <w:textDirection w:val="btLr"/>
            <w:vAlign w:val="center"/>
            <w:hideMark/>
          </w:tcPr>
          <w:p w14:paraId="6C66E37A"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2013</w:t>
            </w:r>
          </w:p>
        </w:tc>
        <w:tc>
          <w:tcPr>
            <w:tcW w:w="238" w:type="pct"/>
            <w:shd w:val="clear" w:color="auto" w:fill="auto"/>
            <w:textDirection w:val="btLr"/>
            <w:vAlign w:val="center"/>
            <w:hideMark/>
          </w:tcPr>
          <w:p w14:paraId="4231B6D5"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2014</w:t>
            </w:r>
          </w:p>
        </w:tc>
        <w:tc>
          <w:tcPr>
            <w:tcW w:w="238" w:type="pct"/>
            <w:shd w:val="clear" w:color="auto" w:fill="auto"/>
            <w:textDirection w:val="btLr"/>
            <w:vAlign w:val="center"/>
            <w:hideMark/>
          </w:tcPr>
          <w:p w14:paraId="083FD86F"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2015</w:t>
            </w:r>
          </w:p>
        </w:tc>
        <w:tc>
          <w:tcPr>
            <w:tcW w:w="238" w:type="pct"/>
            <w:shd w:val="clear" w:color="auto" w:fill="auto"/>
            <w:textDirection w:val="btLr"/>
            <w:vAlign w:val="center"/>
            <w:hideMark/>
          </w:tcPr>
          <w:p w14:paraId="145EBFA4"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2016</w:t>
            </w:r>
          </w:p>
        </w:tc>
        <w:tc>
          <w:tcPr>
            <w:tcW w:w="238" w:type="pct"/>
            <w:shd w:val="clear" w:color="auto" w:fill="auto"/>
            <w:textDirection w:val="btLr"/>
            <w:vAlign w:val="center"/>
            <w:hideMark/>
          </w:tcPr>
          <w:p w14:paraId="11EABB97"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2017</w:t>
            </w:r>
          </w:p>
        </w:tc>
        <w:tc>
          <w:tcPr>
            <w:tcW w:w="238" w:type="pct"/>
            <w:shd w:val="clear" w:color="auto" w:fill="auto"/>
            <w:textDirection w:val="btLr"/>
            <w:vAlign w:val="center"/>
            <w:hideMark/>
          </w:tcPr>
          <w:p w14:paraId="752B4E7E"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2018</w:t>
            </w:r>
          </w:p>
        </w:tc>
        <w:tc>
          <w:tcPr>
            <w:tcW w:w="238" w:type="pct"/>
            <w:shd w:val="clear" w:color="auto" w:fill="auto"/>
            <w:textDirection w:val="btLr"/>
            <w:vAlign w:val="center"/>
            <w:hideMark/>
          </w:tcPr>
          <w:p w14:paraId="196F3249"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2012</w:t>
            </w:r>
          </w:p>
        </w:tc>
        <w:tc>
          <w:tcPr>
            <w:tcW w:w="238" w:type="pct"/>
            <w:shd w:val="clear" w:color="auto" w:fill="auto"/>
            <w:textDirection w:val="btLr"/>
            <w:vAlign w:val="center"/>
            <w:hideMark/>
          </w:tcPr>
          <w:p w14:paraId="59E8CD65"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2013</w:t>
            </w:r>
          </w:p>
        </w:tc>
        <w:tc>
          <w:tcPr>
            <w:tcW w:w="238" w:type="pct"/>
            <w:shd w:val="clear" w:color="auto" w:fill="auto"/>
            <w:textDirection w:val="btLr"/>
            <w:vAlign w:val="center"/>
            <w:hideMark/>
          </w:tcPr>
          <w:p w14:paraId="531C8258"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2014</w:t>
            </w:r>
          </w:p>
        </w:tc>
        <w:tc>
          <w:tcPr>
            <w:tcW w:w="238" w:type="pct"/>
            <w:shd w:val="clear" w:color="auto" w:fill="auto"/>
            <w:textDirection w:val="btLr"/>
            <w:vAlign w:val="center"/>
            <w:hideMark/>
          </w:tcPr>
          <w:p w14:paraId="07C13DF8"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2015</w:t>
            </w:r>
          </w:p>
        </w:tc>
        <w:tc>
          <w:tcPr>
            <w:tcW w:w="238" w:type="pct"/>
            <w:shd w:val="clear" w:color="auto" w:fill="auto"/>
            <w:textDirection w:val="btLr"/>
            <w:vAlign w:val="center"/>
            <w:hideMark/>
          </w:tcPr>
          <w:p w14:paraId="1B72F7F6"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2016</w:t>
            </w:r>
          </w:p>
        </w:tc>
        <w:tc>
          <w:tcPr>
            <w:tcW w:w="238" w:type="pct"/>
            <w:shd w:val="clear" w:color="auto" w:fill="auto"/>
            <w:textDirection w:val="btLr"/>
            <w:vAlign w:val="center"/>
            <w:hideMark/>
          </w:tcPr>
          <w:p w14:paraId="249F59EE"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2017</w:t>
            </w:r>
          </w:p>
        </w:tc>
        <w:tc>
          <w:tcPr>
            <w:tcW w:w="233" w:type="pct"/>
            <w:shd w:val="clear" w:color="auto" w:fill="auto"/>
            <w:textDirection w:val="btLr"/>
            <w:vAlign w:val="center"/>
            <w:hideMark/>
          </w:tcPr>
          <w:p w14:paraId="1049D6D5" w14:textId="77777777" w:rsidR="00881780" w:rsidRPr="00AA6879" w:rsidRDefault="00881780" w:rsidP="00AA6879">
            <w:pPr>
              <w:spacing w:line="240" w:lineRule="auto"/>
              <w:ind w:left="113" w:right="113"/>
              <w:jc w:val="center"/>
              <w:rPr>
                <w:color w:val="000000"/>
                <w:sz w:val="16"/>
                <w:szCs w:val="16"/>
              </w:rPr>
            </w:pPr>
            <w:r w:rsidRPr="00AA6879">
              <w:rPr>
                <w:color w:val="000000"/>
                <w:sz w:val="16"/>
                <w:szCs w:val="16"/>
              </w:rPr>
              <w:t>2018</w:t>
            </w:r>
          </w:p>
        </w:tc>
      </w:tr>
      <w:tr w:rsidR="00881780" w:rsidRPr="00AA6879" w14:paraId="010326C3" w14:textId="77777777" w:rsidTr="006F4D8F">
        <w:trPr>
          <w:trHeight w:val="300"/>
        </w:trPr>
        <w:tc>
          <w:tcPr>
            <w:tcW w:w="238" w:type="pct"/>
            <w:shd w:val="clear" w:color="auto" w:fill="auto"/>
            <w:vAlign w:val="center"/>
            <w:hideMark/>
          </w:tcPr>
          <w:p w14:paraId="0F9D5CF1"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23034B6A"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5070EE62"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17760D61"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26EC0BAB"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48887942"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46" w:type="pct"/>
            <w:shd w:val="clear" w:color="auto" w:fill="auto"/>
            <w:vAlign w:val="center"/>
            <w:hideMark/>
          </w:tcPr>
          <w:p w14:paraId="36A0C686"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50ECCB96"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274B0938"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04AD6704"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0B55A460"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6F8FB8E2"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77B4B746"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6AE7FE53"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6114A6C5"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704EADB4"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156ABFF0"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3B52233E"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591EDF2F"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8" w:type="pct"/>
            <w:shd w:val="clear" w:color="auto" w:fill="auto"/>
            <w:vAlign w:val="center"/>
            <w:hideMark/>
          </w:tcPr>
          <w:p w14:paraId="1064E9DD"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c>
          <w:tcPr>
            <w:tcW w:w="233" w:type="pct"/>
            <w:shd w:val="clear" w:color="auto" w:fill="auto"/>
            <w:vAlign w:val="center"/>
            <w:hideMark/>
          </w:tcPr>
          <w:p w14:paraId="0A6C8A52" w14:textId="77777777" w:rsidR="00881780" w:rsidRPr="00AA6879" w:rsidRDefault="00881780" w:rsidP="006F4D8F">
            <w:pPr>
              <w:spacing w:line="240" w:lineRule="auto"/>
              <w:jc w:val="left"/>
              <w:rPr>
                <w:color w:val="000000"/>
                <w:sz w:val="16"/>
                <w:szCs w:val="16"/>
              </w:rPr>
            </w:pPr>
            <w:r w:rsidRPr="00AA6879">
              <w:rPr>
                <w:color w:val="000000"/>
                <w:sz w:val="16"/>
                <w:szCs w:val="16"/>
              </w:rPr>
              <w:t>[%]</w:t>
            </w:r>
          </w:p>
        </w:tc>
      </w:tr>
      <w:tr w:rsidR="00881780" w:rsidRPr="00AA6879" w14:paraId="2A9AAA55" w14:textId="77777777" w:rsidTr="006F4D8F">
        <w:trPr>
          <w:trHeight w:val="300"/>
        </w:trPr>
        <w:tc>
          <w:tcPr>
            <w:tcW w:w="5000" w:type="pct"/>
            <w:gridSpan w:val="21"/>
            <w:shd w:val="clear" w:color="auto" w:fill="auto"/>
            <w:vAlign w:val="center"/>
          </w:tcPr>
          <w:p w14:paraId="70F2B871" w14:textId="77777777" w:rsidR="00881780" w:rsidRPr="00AA6879" w:rsidRDefault="00881780" w:rsidP="006F4D8F">
            <w:pPr>
              <w:spacing w:line="240" w:lineRule="auto"/>
              <w:jc w:val="left"/>
              <w:rPr>
                <w:b/>
                <w:color w:val="000000"/>
                <w:sz w:val="16"/>
                <w:szCs w:val="16"/>
              </w:rPr>
            </w:pPr>
            <w:r w:rsidRPr="00AA6879">
              <w:rPr>
                <w:b/>
                <w:sz w:val="16"/>
                <w:szCs w:val="16"/>
              </w:rPr>
              <w:t>Polska</w:t>
            </w:r>
          </w:p>
        </w:tc>
      </w:tr>
      <w:tr w:rsidR="00881780" w:rsidRPr="00AA6879" w14:paraId="6ACB1CAF" w14:textId="77777777" w:rsidTr="006F4D8F">
        <w:trPr>
          <w:trHeight w:val="300"/>
        </w:trPr>
        <w:tc>
          <w:tcPr>
            <w:tcW w:w="238" w:type="pct"/>
            <w:shd w:val="clear" w:color="auto" w:fill="auto"/>
            <w:noWrap/>
            <w:vAlign w:val="bottom"/>
            <w:hideMark/>
          </w:tcPr>
          <w:p w14:paraId="0A8557D3" w14:textId="77777777" w:rsidR="00881780" w:rsidRPr="00AA6879" w:rsidRDefault="00881780" w:rsidP="006F4D8F">
            <w:pPr>
              <w:spacing w:line="240" w:lineRule="auto"/>
              <w:jc w:val="left"/>
              <w:rPr>
                <w:sz w:val="16"/>
                <w:szCs w:val="16"/>
              </w:rPr>
            </w:pPr>
            <w:r w:rsidRPr="00AA6879">
              <w:rPr>
                <w:sz w:val="16"/>
                <w:szCs w:val="16"/>
              </w:rPr>
              <w:t>24,7</w:t>
            </w:r>
          </w:p>
        </w:tc>
        <w:tc>
          <w:tcPr>
            <w:tcW w:w="238" w:type="pct"/>
            <w:shd w:val="clear" w:color="auto" w:fill="auto"/>
            <w:noWrap/>
            <w:vAlign w:val="bottom"/>
            <w:hideMark/>
          </w:tcPr>
          <w:p w14:paraId="3886DE11" w14:textId="77777777" w:rsidR="00881780" w:rsidRPr="00AA6879" w:rsidRDefault="00881780" w:rsidP="006F4D8F">
            <w:pPr>
              <w:spacing w:line="240" w:lineRule="auto"/>
              <w:jc w:val="left"/>
              <w:rPr>
                <w:sz w:val="16"/>
                <w:szCs w:val="16"/>
              </w:rPr>
            </w:pPr>
            <w:r w:rsidRPr="00AA6879">
              <w:rPr>
                <w:sz w:val="16"/>
                <w:szCs w:val="16"/>
              </w:rPr>
              <w:t>24,3</w:t>
            </w:r>
          </w:p>
        </w:tc>
        <w:tc>
          <w:tcPr>
            <w:tcW w:w="238" w:type="pct"/>
            <w:shd w:val="clear" w:color="auto" w:fill="auto"/>
            <w:noWrap/>
            <w:vAlign w:val="bottom"/>
            <w:hideMark/>
          </w:tcPr>
          <w:p w14:paraId="290216A8" w14:textId="77777777" w:rsidR="00881780" w:rsidRPr="00AA6879" w:rsidRDefault="00881780" w:rsidP="006F4D8F">
            <w:pPr>
              <w:spacing w:line="240" w:lineRule="auto"/>
              <w:jc w:val="left"/>
              <w:rPr>
                <w:sz w:val="16"/>
                <w:szCs w:val="16"/>
              </w:rPr>
            </w:pPr>
            <w:r w:rsidRPr="00AA6879">
              <w:rPr>
                <w:sz w:val="16"/>
                <w:szCs w:val="16"/>
              </w:rPr>
              <w:t>25,9</w:t>
            </w:r>
          </w:p>
        </w:tc>
        <w:tc>
          <w:tcPr>
            <w:tcW w:w="238" w:type="pct"/>
            <w:shd w:val="clear" w:color="auto" w:fill="auto"/>
            <w:noWrap/>
            <w:vAlign w:val="bottom"/>
            <w:hideMark/>
          </w:tcPr>
          <w:p w14:paraId="502BF4C3" w14:textId="77777777" w:rsidR="00881780" w:rsidRPr="00AA6879" w:rsidRDefault="00881780" w:rsidP="006F4D8F">
            <w:pPr>
              <w:spacing w:line="240" w:lineRule="auto"/>
              <w:jc w:val="left"/>
              <w:rPr>
                <w:sz w:val="16"/>
                <w:szCs w:val="16"/>
              </w:rPr>
            </w:pPr>
            <w:r w:rsidRPr="00AA6879">
              <w:rPr>
                <w:sz w:val="16"/>
                <w:szCs w:val="16"/>
              </w:rPr>
              <w:t>26,1</w:t>
            </w:r>
          </w:p>
        </w:tc>
        <w:tc>
          <w:tcPr>
            <w:tcW w:w="238" w:type="pct"/>
            <w:shd w:val="clear" w:color="auto" w:fill="auto"/>
            <w:noWrap/>
            <w:vAlign w:val="bottom"/>
            <w:hideMark/>
          </w:tcPr>
          <w:p w14:paraId="4159AC7D" w14:textId="77777777" w:rsidR="00881780" w:rsidRPr="00AA6879" w:rsidRDefault="00881780" w:rsidP="006F4D8F">
            <w:pPr>
              <w:spacing w:line="240" w:lineRule="auto"/>
              <w:jc w:val="left"/>
              <w:rPr>
                <w:sz w:val="16"/>
                <w:szCs w:val="16"/>
              </w:rPr>
            </w:pPr>
            <w:r w:rsidRPr="00AA6879">
              <w:rPr>
                <w:sz w:val="16"/>
                <w:szCs w:val="16"/>
              </w:rPr>
              <w:t>28,6</w:t>
            </w:r>
          </w:p>
        </w:tc>
        <w:tc>
          <w:tcPr>
            <w:tcW w:w="238" w:type="pct"/>
            <w:shd w:val="clear" w:color="auto" w:fill="auto"/>
            <w:noWrap/>
            <w:vAlign w:val="bottom"/>
            <w:hideMark/>
          </w:tcPr>
          <w:p w14:paraId="283B1479" w14:textId="77777777" w:rsidR="00881780" w:rsidRPr="00AA6879" w:rsidRDefault="00881780" w:rsidP="006F4D8F">
            <w:pPr>
              <w:spacing w:line="240" w:lineRule="auto"/>
              <w:jc w:val="left"/>
              <w:rPr>
                <w:sz w:val="16"/>
                <w:szCs w:val="16"/>
              </w:rPr>
            </w:pPr>
            <w:r w:rsidRPr="00AA6879">
              <w:rPr>
                <w:sz w:val="16"/>
                <w:szCs w:val="16"/>
              </w:rPr>
              <w:t>29,8</w:t>
            </w:r>
          </w:p>
        </w:tc>
        <w:tc>
          <w:tcPr>
            <w:tcW w:w="246" w:type="pct"/>
            <w:shd w:val="clear" w:color="auto" w:fill="auto"/>
            <w:noWrap/>
            <w:vAlign w:val="bottom"/>
            <w:hideMark/>
          </w:tcPr>
          <w:p w14:paraId="7D8D305B" w14:textId="77777777" w:rsidR="00881780" w:rsidRPr="00AA6879" w:rsidRDefault="00881780" w:rsidP="006F4D8F">
            <w:pPr>
              <w:spacing w:line="240" w:lineRule="auto"/>
              <w:jc w:val="left"/>
              <w:rPr>
                <w:sz w:val="16"/>
                <w:szCs w:val="16"/>
              </w:rPr>
            </w:pPr>
            <w:r w:rsidRPr="00AA6879">
              <w:rPr>
                <w:sz w:val="16"/>
                <w:szCs w:val="16"/>
              </w:rPr>
              <w:t>30,4</w:t>
            </w:r>
          </w:p>
        </w:tc>
        <w:tc>
          <w:tcPr>
            <w:tcW w:w="238" w:type="pct"/>
            <w:shd w:val="clear" w:color="auto" w:fill="auto"/>
            <w:noWrap/>
            <w:vAlign w:val="bottom"/>
            <w:hideMark/>
          </w:tcPr>
          <w:p w14:paraId="2C85216D" w14:textId="77777777" w:rsidR="00881780" w:rsidRPr="00AA6879" w:rsidRDefault="00881780" w:rsidP="006F4D8F">
            <w:pPr>
              <w:spacing w:line="240" w:lineRule="auto"/>
              <w:jc w:val="left"/>
              <w:rPr>
                <w:sz w:val="16"/>
                <w:szCs w:val="16"/>
              </w:rPr>
            </w:pPr>
            <w:r w:rsidRPr="00AA6879">
              <w:rPr>
                <w:sz w:val="16"/>
                <w:szCs w:val="16"/>
              </w:rPr>
              <w:t>77,2</w:t>
            </w:r>
          </w:p>
        </w:tc>
        <w:tc>
          <w:tcPr>
            <w:tcW w:w="238" w:type="pct"/>
            <w:shd w:val="clear" w:color="auto" w:fill="auto"/>
            <w:noWrap/>
            <w:vAlign w:val="bottom"/>
            <w:hideMark/>
          </w:tcPr>
          <w:p w14:paraId="0A600A93" w14:textId="77777777" w:rsidR="00881780" w:rsidRPr="00AA6879" w:rsidRDefault="00881780" w:rsidP="006F4D8F">
            <w:pPr>
              <w:spacing w:line="240" w:lineRule="auto"/>
              <w:jc w:val="left"/>
              <w:rPr>
                <w:sz w:val="16"/>
                <w:szCs w:val="16"/>
              </w:rPr>
            </w:pPr>
            <w:r w:rsidRPr="00AA6879">
              <w:rPr>
                <w:sz w:val="16"/>
                <w:szCs w:val="16"/>
              </w:rPr>
              <w:t>77,6</w:t>
            </w:r>
          </w:p>
        </w:tc>
        <w:tc>
          <w:tcPr>
            <w:tcW w:w="238" w:type="pct"/>
            <w:shd w:val="clear" w:color="auto" w:fill="auto"/>
            <w:noWrap/>
            <w:vAlign w:val="bottom"/>
            <w:hideMark/>
          </w:tcPr>
          <w:p w14:paraId="218250D1" w14:textId="77777777" w:rsidR="00881780" w:rsidRPr="00AA6879" w:rsidRDefault="00881780" w:rsidP="006F4D8F">
            <w:pPr>
              <w:spacing w:line="240" w:lineRule="auto"/>
              <w:jc w:val="left"/>
              <w:rPr>
                <w:sz w:val="16"/>
                <w:szCs w:val="16"/>
              </w:rPr>
            </w:pPr>
            <w:r w:rsidRPr="00AA6879">
              <w:rPr>
                <w:sz w:val="16"/>
                <w:szCs w:val="16"/>
              </w:rPr>
              <w:t>79,3</w:t>
            </w:r>
          </w:p>
        </w:tc>
        <w:tc>
          <w:tcPr>
            <w:tcW w:w="238" w:type="pct"/>
            <w:shd w:val="clear" w:color="auto" w:fill="auto"/>
            <w:noWrap/>
            <w:vAlign w:val="bottom"/>
            <w:hideMark/>
          </w:tcPr>
          <w:p w14:paraId="1F632A3C" w14:textId="77777777" w:rsidR="00881780" w:rsidRPr="00AA6879" w:rsidRDefault="00881780" w:rsidP="006F4D8F">
            <w:pPr>
              <w:spacing w:line="240" w:lineRule="auto"/>
              <w:jc w:val="left"/>
              <w:rPr>
                <w:sz w:val="16"/>
                <w:szCs w:val="16"/>
              </w:rPr>
            </w:pPr>
            <w:r w:rsidRPr="00AA6879">
              <w:rPr>
                <w:sz w:val="16"/>
                <w:szCs w:val="16"/>
              </w:rPr>
              <w:t>80,1</w:t>
            </w:r>
          </w:p>
        </w:tc>
        <w:tc>
          <w:tcPr>
            <w:tcW w:w="238" w:type="pct"/>
            <w:shd w:val="clear" w:color="auto" w:fill="auto"/>
            <w:noWrap/>
            <w:vAlign w:val="bottom"/>
            <w:hideMark/>
          </w:tcPr>
          <w:p w14:paraId="3A57FE23" w14:textId="77777777" w:rsidR="00881780" w:rsidRPr="00AA6879" w:rsidRDefault="00881780" w:rsidP="006F4D8F">
            <w:pPr>
              <w:spacing w:line="240" w:lineRule="auto"/>
              <w:jc w:val="left"/>
              <w:rPr>
                <w:sz w:val="16"/>
                <w:szCs w:val="16"/>
              </w:rPr>
            </w:pPr>
            <w:r w:rsidRPr="00AA6879">
              <w:rPr>
                <w:sz w:val="16"/>
                <w:szCs w:val="16"/>
              </w:rPr>
              <w:t>80,6</w:t>
            </w:r>
          </w:p>
        </w:tc>
        <w:tc>
          <w:tcPr>
            <w:tcW w:w="238" w:type="pct"/>
            <w:shd w:val="clear" w:color="auto" w:fill="auto"/>
            <w:noWrap/>
            <w:vAlign w:val="bottom"/>
            <w:hideMark/>
          </w:tcPr>
          <w:p w14:paraId="5CBD6359" w14:textId="77777777" w:rsidR="00881780" w:rsidRPr="00AA6879" w:rsidRDefault="00881780" w:rsidP="006F4D8F">
            <w:pPr>
              <w:spacing w:line="240" w:lineRule="auto"/>
              <w:jc w:val="left"/>
              <w:rPr>
                <w:sz w:val="16"/>
                <w:szCs w:val="16"/>
              </w:rPr>
            </w:pPr>
            <w:r w:rsidRPr="00AA6879">
              <w:rPr>
                <w:sz w:val="16"/>
                <w:szCs w:val="16"/>
              </w:rPr>
              <w:t>81,4</w:t>
            </w:r>
          </w:p>
        </w:tc>
        <w:tc>
          <w:tcPr>
            <w:tcW w:w="238" w:type="pct"/>
            <w:shd w:val="clear" w:color="auto" w:fill="auto"/>
            <w:noWrap/>
            <w:vAlign w:val="bottom"/>
            <w:hideMark/>
          </w:tcPr>
          <w:p w14:paraId="689936FB" w14:textId="77777777" w:rsidR="00881780" w:rsidRPr="00AA6879" w:rsidRDefault="00881780" w:rsidP="006F4D8F">
            <w:pPr>
              <w:spacing w:line="240" w:lineRule="auto"/>
              <w:jc w:val="left"/>
              <w:rPr>
                <w:sz w:val="16"/>
                <w:szCs w:val="16"/>
              </w:rPr>
            </w:pPr>
            <w:r w:rsidRPr="00AA6879">
              <w:rPr>
                <w:sz w:val="16"/>
                <w:szCs w:val="16"/>
              </w:rPr>
              <w:t>82,2</w:t>
            </w:r>
          </w:p>
        </w:tc>
        <w:tc>
          <w:tcPr>
            <w:tcW w:w="238" w:type="pct"/>
            <w:shd w:val="clear" w:color="auto" w:fill="auto"/>
            <w:noWrap/>
            <w:vAlign w:val="bottom"/>
            <w:hideMark/>
          </w:tcPr>
          <w:p w14:paraId="58DF195E" w14:textId="77777777" w:rsidR="00881780" w:rsidRPr="00AA6879" w:rsidRDefault="00881780" w:rsidP="006F4D8F">
            <w:pPr>
              <w:spacing w:line="240" w:lineRule="auto"/>
              <w:jc w:val="left"/>
              <w:rPr>
                <w:sz w:val="16"/>
                <w:szCs w:val="16"/>
              </w:rPr>
            </w:pPr>
            <w:r w:rsidRPr="00AA6879">
              <w:rPr>
                <w:sz w:val="16"/>
                <w:szCs w:val="16"/>
              </w:rPr>
              <w:t>39,8</w:t>
            </w:r>
          </w:p>
        </w:tc>
        <w:tc>
          <w:tcPr>
            <w:tcW w:w="238" w:type="pct"/>
            <w:shd w:val="clear" w:color="auto" w:fill="auto"/>
            <w:noWrap/>
            <w:vAlign w:val="bottom"/>
            <w:hideMark/>
          </w:tcPr>
          <w:p w14:paraId="01DD115B" w14:textId="77777777" w:rsidR="00881780" w:rsidRPr="00AA6879" w:rsidRDefault="00881780" w:rsidP="006F4D8F">
            <w:pPr>
              <w:spacing w:line="240" w:lineRule="auto"/>
              <w:jc w:val="left"/>
              <w:rPr>
                <w:sz w:val="16"/>
                <w:szCs w:val="16"/>
              </w:rPr>
            </w:pPr>
            <w:r w:rsidRPr="00AA6879">
              <w:rPr>
                <w:sz w:val="16"/>
                <w:szCs w:val="16"/>
              </w:rPr>
              <w:t>42,0</w:t>
            </w:r>
          </w:p>
        </w:tc>
        <w:tc>
          <w:tcPr>
            <w:tcW w:w="238" w:type="pct"/>
            <w:shd w:val="clear" w:color="auto" w:fill="auto"/>
            <w:noWrap/>
            <w:vAlign w:val="bottom"/>
            <w:hideMark/>
          </w:tcPr>
          <w:p w14:paraId="18EF7A3F" w14:textId="77777777" w:rsidR="00881780" w:rsidRPr="00AA6879" w:rsidRDefault="00881780" w:rsidP="006F4D8F">
            <w:pPr>
              <w:spacing w:line="240" w:lineRule="auto"/>
              <w:jc w:val="left"/>
              <w:rPr>
                <w:sz w:val="16"/>
                <w:szCs w:val="16"/>
              </w:rPr>
            </w:pPr>
            <w:r w:rsidRPr="00AA6879">
              <w:rPr>
                <w:sz w:val="16"/>
                <w:szCs w:val="16"/>
              </w:rPr>
              <w:t>43,8</w:t>
            </w:r>
          </w:p>
        </w:tc>
        <w:tc>
          <w:tcPr>
            <w:tcW w:w="238" w:type="pct"/>
            <w:shd w:val="clear" w:color="auto" w:fill="auto"/>
            <w:noWrap/>
            <w:vAlign w:val="bottom"/>
            <w:hideMark/>
          </w:tcPr>
          <w:p w14:paraId="3631807B" w14:textId="77777777" w:rsidR="00881780" w:rsidRPr="00AA6879" w:rsidRDefault="00881780" w:rsidP="006F4D8F">
            <w:pPr>
              <w:spacing w:line="240" w:lineRule="auto"/>
              <w:jc w:val="left"/>
              <w:rPr>
                <w:sz w:val="16"/>
                <w:szCs w:val="16"/>
              </w:rPr>
            </w:pPr>
            <w:r w:rsidRPr="00AA6879">
              <w:rPr>
                <w:sz w:val="16"/>
                <w:szCs w:val="16"/>
              </w:rPr>
              <w:t>46,1</w:t>
            </w:r>
          </w:p>
        </w:tc>
        <w:tc>
          <w:tcPr>
            <w:tcW w:w="238" w:type="pct"/>
            <w:shd w:val="clear" w:color="auto" w:fill="auto"/>
            <w:noWrap/>
            <w:vAlign w:val="bottom"/>
            <w:hideMark/>
          </w:tcPr>
          <w:p w14:paraId="241AC501" w14:textId="77777777" w:rsidR="00881780" w:rsidRPr="00AA6879" w:rsidRDefault="00881780" w:rsidP="006F4D8F">
            <w:pPr>
              <w:spacing w:line="240" w:lineRule="auto"/>
              <w:jc w:val="left"/>
              <w:rPr>
                <w:sz w:val="16"/>
                <w:szCs w:val="16"/>
              </w:rPr>
            </w:pPr>
            <w:r w:rsidRPr="00AA6879">
              <w:rPr>
                <w:sz w:val="16"/>
                <w:szCs w:val="16"/>
              </w:rPr>
              <w:t>47,7</w:t>
            </w:r>
          </w:p>
        </w:tc>
        <w:tc>
          <w:tcPr>
            <w:tcW w:w="238" w:type="pct"/>
            <w:shd w:val="clear" w:color="auto" w:fill="auto"/>
            <w:noWrap/>
            <w:vAlign w:val="bottom"/>
            <w:hideMark/>
          </w:tcPr>
          <w:p w14:paraId="3204746E" w14:textId="77777777" w:rsidR="00881780" w:rsidRPr="00AA6879" w:rsidRDefault="00881780" w:rsidP="006F4D8F">
            <w:pPr>
              <w:spacing w:line="240" w:lineRule="auto"/>
              <w:jc w:val="left"/>
              <w:rPr>
                <w:sz w:val="16"/>
                <w:szCs w:val="16"/>
              </w:rPr>
            </w:pPr>
            <w:r w:rsidRPr="00AA6879">
              <w:rPr>
                <w:sz w:val="16"/>
                <w:szCs w:val="16"/>
              </w:rPr>
              <w:t>48,5</w:t>
            </w:r>
          </w:p>
        </w:tc>
        <w:tc>
          <w:tcPr>
            <w:tcW w:w="233" w:type="pct"/>
            <w:shd w:val="clear" w:color="auto" w:fill="auto"/>
            <w:noWrap/>
            <w:vAlign w:val="bottom"/>
            <w:hideMark/>
          </w:tcPr>
          <w:p w14:paraId="6FF37B39" w14:textId="77777777" w:rsidR="00881780" w:rsidRPr="00AA6879" w:rsidRDefault="00881780" w:rsidP="006F4D8F">
            <w:pPr>
              <w:spacing w:line="240" w:lineRule="auto"/>
              <w:jc w:val="left"/>
              <w:rPr>
                <w:sz w:val="16"/>
                <w:szCs w:val="16"/>
              </w:rPr>
            </w:pPr>
            <w:r w:rsidRPr="00AA6879">
              <w:rPr>
                <w:sz w:val="16"/>
                <w:szCs w:val="16"/>
              </w:rPr>
              <w:t>49,0</w:t>
            </w:r>
          </w:p>
        </w:tc>
      </w:tr>
      <w:tr w:rsidR="00881780" w:rsidRPr="00AA6879" w14:paraId="7BBA9866" w14:textId="77777777" w:rsidTr="006F4D8F">
        <w:trPr>
          <w:trHeight w:val="300"/>
        </w:trPr>
        <w:tc>
          <w:tcPr>
            <w:tcW w:w="5000" w:type="pct"/>
            <w:gridSpan w:val="21"/>
            <w:shd w:val="clear" w:color="auto" w:fill="auto"/>
            <w:noWrap/>
            <w:vAlign w:val="bottom"/>
          </w:tcPr>
          <w:p w14:paraId="0D1863D5" w14:textId="77777777" w:rsidR="00881780" w:rsidRPr="00AA6879" w:rsidRDefault="00881780" w:rsidP="006F4D8F">
            <w:pPr>
              <w:spacing w:line="240" w:lineRule="auto"/>
              <w:jc w:val="left"/>
              <w:rPr>
                <w:b/>
                <w:sz w:val="16"/>
                <w:szCs w:val="16"/>
              </w:rPr>
            </w:pPr>
            <w:r w:rsidRPr="00AA6879">
              <w:rPr>
                <w:b/>
                <w:sz w:val="16"/>
                <w:szCs w:val="16"/>
              </w:rPr>
              <w:t>Zachodniopomorskie</w:t>
            </w:r>
          </w:p>
        </w:tc>
      </w:tr>
      <w:tr w:rsidR="00881780" w:rsidRPr="00AA6879" w14:paraId="1153BE23" w14:textId="77777777" w:rsidTr="006F4D8F">
        <w:trPr>
          <w:trHeight w:val="300"/>
        </w:trPr>
        <w:tc>
          <w:tcPr>
            <w:tcW w:w="238" w:type="pct"/>
            <w:shd w:val="clear" w:color="auto" w:fill="auto"/>
            <w:noWrap/>
            <w:vAlign w:val="bottom"/>
            <w:hideMark/>
          </w:tcPr>
          <w:p w14:paraId="40757FD5" w14:textId="77777777" w:rsidR="00881780" w:rsidRPr="00AA6879" w:rsidRDefault="00881780" w:rsidP="006F4D8F">
            <w:pPr>
              <w:spacing w:line="240" w:lineRule="auto"/>
              <w:jc w:val="left"/>
              <w:rPr>
                <w:sz w:val="16"/>
                <w:szCs w:val="16"/>
              </w:rPr>
            </w:pPr>
            <w:r w:rsidRPr="00AA6879">
              <w:rPr>
                <w:sz w:val="16"/>
                <w:szCs w:val="16"/>
              </w:rPr>
              <w:t>22,6</w:t>
            </w:r>
          </w:p>
        </w:tc>
        <w:tc>
          <w:tcPr>
            <w:tcW w:w="238" w:type="pct"/>
            <w:shd w:val="clear" w:color="auto" w:fill="auto"/>
            <w:noWrap/>
            <w:vAlign w:val="bottom"/>
            <w:hideMark/>
          </w:tcPr>
          <w:p w14:paraId="76B5F51A" w14:textId="77777777" w:rsidR="00881780" w:rsidRPr="00AA6879" w:rsidRDefault="00881780" w:rsidP="006F4D8F">
            <w:pPr>
              <w:spacing w:line="240" w:lineRule="auto"/>
              <w:jc w:val="left"/>
              <w:rPr>
                <w:sz w:val="16"/>
                <w:szCs w:val="16"/>
              </w:rPr>
            </w:pPr>
            <w:r w:rsidRPr="00AA6879">
              <w:rPr>
                <w:sz w:val="16"/>
                <w:szCs w:val="16"/>
              </w:rPr>
              <w:t>19,6</w:t>
            </w:r>
          </w:p>
        </w:tc>
        <w:tc>
          <w:tcPr>
            <w:tcW w:w="238" w:type="pct"/>
            <w:shd w:val="clear" w:color="auto" w:fill="auto"/>
            <w:noWrap/>
            <w:vAlign w:val="bottom"/>
            <w:hideMark/>
          </w:tcPr>
          <w:p w14:paraId="3D88E7C6" w14:textId="77777777" w:rsidR="00881780" w:rsidRPr="00AA6879" w:rsidRDefault="00881780" w:rsidP="006F4D8F">
            <w:pPr>
              <w:spacing w:line="240" w:lineRule="auto"/>
              <w:jc w:val="left"/>
              <w:rPr>
                <w:sz w:val="16"/>
                <w:szCs w:val="16"/>
              </w:rPr>
            </w:pPr>
            <w:r w:rsidRPr="00AA6879">
              <w:rPr>
                <w:sz w:val="16"/>
                <w:szCs w:val="16"/>
              </w:rPr>
              <w:t>21,5</w:t>
            </w:r>
          </w:p>
        </w:tc>
        <w:tc>
          <w:tcPr>
            <w:tcW w:w="238" w:type="pct"/>
            <w:shd w:val="clear" w:color="auto" w:fill="auto"/>
            <w:noWrap/>
            <w:vAlign w:val="bottom"/>
            <w:hideMark/>
          </w:tcPr>
          <w:p w14:paraId="48305E30" w14:textId="77777777" w:rsidR="00881780" w:rsidRPr="00AA6879" w:rsidRDefault="00881780" w:rsidP="006F4D8F">
            <w:pPr>
              <w:spacing w:line="240" w:lineRule="auto"/>
              <w:jc w:val="left"/>
              <w:rPr>
                <w:sz w:val="16"/>
                <w:szCs w:val="16"/>
              </w:rPr>
            </w:pPr>
            <w:r w:rsidRPr="00AA6879">
              <w:rPr>
                <w:sz w:val="16"/>
                <w:szCs w:val="16"/>
              </w:rPr>
              <w:t>23,7</w:t>
            </w:r>
          </w:p>
        </w:tc>
        <w:tc>
          <w:tcPr>
            <w:tcW w:w="238" w:type="pct"/>
            <w:shd w:val="clear" w:color="auto" w:fill="auto"/>
            <w:noWrap/>
            <w:vAlign w:val="bottom"/>
            <w:hideMark/>
          </w:tcPr>
          <w:p w14:paraId="029A2751" w14:textId="77777777" w:rsidR="00881780" w:rsidRPr="00AA6879" w:rsidRDefault="00881780" w:rsidP="006F4D8F">
            <w:pPr>
              <w:spacing w:line="240" w:lineRule="auto"/>
              <w:jc w:val="left"/>
              <w:rPr>
                <w:sz w:val="16"/>
                <w:szCs w:val="16"/>
              </w:rPr>
            </w:pPr>
            <w:r w:rsidRPr="00AA6879">
              <w:rPr>
                <w:sz w:val="16"/>
                <w:szCs w:val="16"/>
              </w:rPr>
              <w:t>22,9</w:t>
            </w:r>
          </w:p>
        </w:tc>
        <w:tc>
          <w:tcPr>
            <w:tcW w:w="238" w:type="pct"/>
            <w:shd w:val="clear" w:color="auto" w:fill="auto"/>
            <w:noWrap/>
            <w:vAlign w:val="bottom"/>
            <w:hideMark/>
          </w:tcPr>
          <w:p w14:paraId="6EE2F3AA" w14:textId="77777777" w:rsidR="00881780" w:rsidRPr="00AA6879" w:rsidRDefault="00881780" w:rsidP="006F4D8F">
            <w:pPr>
              <w:spacing w:line="240" w:lineRule="auto"/>
              <w:jc w:val="left"/>
              <w:rPr>
                <w:sz w:val="16"/>
                <w:szCs w:val="16"/>
              </w:rPr>
            </w:pPr>
            <w:r w:rsidRPr="00AA6879">
              <w:rPr>
                <w:sz w:val="16"/>
                <w:szCs w:val="16"/>
              </w:rPr>
              <w:t>26,1</w:t>
            </w:r>
          </w:p>
        </w:tc>
        <w:tc>
          <w:tcPr>
            <w:tcW w:w="246" w:type="pct"/>
            <w:shd w:val="clear" w:color="auto" w:fill="auto"/>
            <w:noWrap/>
            <w:vAlign w:val="bottom"/>
            <w:hideMark/>
          </w:tcPr>
          <w:p w14:paraId="13AAA52B" w14:textId="77777777" w:rsidR="00881780" w:rsidRPr="00AA6879" w:rsidRDefault="00881780" w:rsidP="006F4D8F">
            <w:pPr>
              <w:spacing w:line="240" w:lineRule="auto"/>
              <w:jc w:val="left"/>
              <w:rPr>
                <w:sz w:val="16"/>
                <w:szCs w:val="16"/>
              </w:rPr>
            </w:pPr>
            <w:r w:rsidRPr="00AA6879">
              <w:rPr>
                <w:sz w:val="16"/>
                <w:szCs w:val="16"/>
              </w:rPr>
              <w:t>35,1</w:t>
            </w:r>
          </w:p>
        </w:tc>
        <w:tc>
          <w:tcPr>
            <w:tcW w:w="238" w:type="pct"/>
            <w:shd w:val="clear" w:color="auto" w:fill="auto"/>
            <w:noWrap/>
            <w:vAlign w:val="bottom"/>
            <w:hideMark/>
          </w:tcPr>
          <w:p w14:paraId="148F161A" w14:textId="77777777" w:rsidR="00881780" w:rsidRPr="00AA6879" w:rsidRDefault="00881780" w:rsidP="006F4D8F">
            <w:pPr>
              <w:spacing w:line="240" w:lineRule="auto"/>
              <w:jc w:val="left"/>
              <w:rPr>
                <w:sz w:val="16"/>
                <w:szCs w:val="16"/>
              </w:rPr>
            </w:pPr>
            <w:r w:rsidRPr="00AA6879">
              <w:rPr>
                <w:sz w:val="16"/>
                <w:szCs w:val="16"/>
              </w:rPr>
              <w:t>72,0</w:t>
            </w:r>
          </w:p>
        </w:tc>
        <w:tc>
          <w:tcPr>
            <w:tcW w:w="238" w:type="pct"/>
            <w:shd w:val="clear" w:color="auto" w:fill="auto"/>
            <w:noWrap/>
            <w:vAlign w:val="bottom"/>
            <w:hideMark/>
          </w:tcPr>
          <w:p w14:paraId="504F8EC1" w14:textId="77777777" w:rsidR="00881780" w:rsidRPr="00AA6879" w:rsidRDefault="00881780" w:rsidP="006F4D8F">
            <w:pPr>
              <w:spacing w:line="240" w:lineRule="auto"/>
              <w:jc w:val="left"/>
              <w:rPr>
                <w:sz w:val="16"/>
                <w:szCs w:val="16"/>
              </w:rPr>
            </w:pPr>
            <w:r w:rsidRPr="00AA6879">
              <w:rPr>
                <w:sz w:val="16"/>
                <w:szCs w:val="16"/>
              </w:rPr>
              <w:t>74,8</w:t>
            </w:r>
          </w:p>
        </w:tc>
        <w:tc>
          <w:tcPr>
            <w:tcW w:w="238" w:type="pct"/>
            <w:shd w:val="clear" w:color="auto" w:fill="auto"/>
            <w:noWrap/>
            <w:vAlign w:val="bottom"/>
            <w:hideMark/>
          </w:tcPr>
          <w:p w14:paraId="17245B81" w14:textId="77777777" w:rsidR="00881780" w:rsidRPr="00AA6879" w:rsidRDefault="00881780" w:rsidP="006F4D8F">
            <w:pPr>
              <w:spacing w:line="240" w:lineRule="auto"/>
              <w:jc w:val="left"/>
              <w:rPr>
                <w:sz w:val="16"/>
                <w:szCs w:val="16"/>
              </w:rPr>
            </w:pPr>
            <w:r w:rsidRPr="00AA6879">
              <w:rPr>
                <w:sz w:val="16"/>
                <w:szCs w:val="16"/>
              </w:rPr>
              <w:t>76,2</w:t>
            </w:r>
          </w:p>
        </w:tc>
        <w:tc>
          <w:tcPr>
            <w:tcW w:w="238" w:type="pct"/>
            <w:shd w:val="clear" w:color="auto" w:fill="auto"/>
            <w:noWrap/>
            <w:vAlign w:val="bottom"/>
            <w:hideMark/>
          </w:tcPr>
          <w:p w14:paraId="68D73216" w14:textId="77777777" w:rsidR="00881780" w:rsidRPr="00AA6879" w:rsidRDefault="00881780" w:rsidP="006F4D8F">
            <w:pPr>
              <w:spacing w:line="240" w:lineRule="auto"/>
              <w:jc w:val="left"/>
              <w:rPr>
                <w:sz w:val="16"/>
                <w:szCs w:val="16"/>
              </w:rPr>
            </w:pPr>
            <w:r w:rsidRPr="00AA6879">
              <w:rPr>
                <w:sz w:val="16"/>
                <w:szCs w:val="16"/>
              </w:rPr>
              <w:t>78,5</w:t>
            </w:r>
          </w:p>
        </w:tc>
        <w:tc>
          <w:tcPr>
            <w:tcW w:w="238" w:type="pct"/>
            <w:shd w:val="clear" w:color="auto" w:fill="auto"/>
            <w:noWrap/>
            <w:vAlign w:val="bottom"/>
            <w:hideMark/>
          </w:tcPr>
          <w:p w14:paraId="22A9681C" w14:textId="77777777" w:rsidR="00881780" w:rsidRPr="00AA6879" w:rsidRDefault="00881780" w:rsidP="006F4D8F">
            <w:pPr>
              <w:spacing w:line="240" w:lineRule="auto"/>
              <w:jc w:val="left"/>
              <w:rPr>
                <w:sz w:val="16"/>
                <w:szCs w:val="16"/>
              </w:rPr>
            </w:pPr>
            <w:r w:rsidRPr="00AA6879">
              <w:rPr>
                <w:sz w:val="16"/>
                <w:szCs w:val="16"/>
              </w:rPr>
              <w:t>77,3</w:t>
            </w:r>
          </w:p>
        </w:tc>
        <w:tc>
          <w:tcPr>
            <w:tcW w:w="238" w:type="pct"/>
            <w:shd w:val="clear" w:color="auto" w:fill="auto"/>
            <w:noWrap/>
            <w:vAlign w:val="bottom"/>
            <w:hideMark/>
          </w:tcPr>
          <w:p w14:paraId="580BC626" w14:textId="77777777" w:rsidR="00881780" w:rsidRPr="00AA6879" w:rsidRDefault="00881780" w:rsidP="006F4D8F">
            <w:pPr>
              <w:spacing w:line="240" w:lineRule="auto"/>
              <w:jc w:val="left"/>
              <w:rPr>
                <w:sz w:val="16"/>
                <w:szCs w:val="16"/>
              </w:rPr>
            </w:pPr>
            <w:r w:rsidRPr="00AA6879">
              <w:rPr>
                <w:sz w:val="16"/>
                <w:szCs w:val="16"/>
              </w:rPr>
              <w:t>80,8</w:t>
            </w:r>
          </w:p>
        </w:tc>
        <w:tc>
          <w:tcPr>
            <w:tcW w:w="238" w:type="pct"/>
            <w:shd w:val="clear" w:color="auto" w:fill="auto"/>
            <w:noWrap/>
            <w:vAlign w:val="bottom"/>
            <w:hideMark/>
          </w:tcPr>
          <w:p w14:paraId="56BD80B0" w14:textId="77777777" w:rsidR="00881780" w:rsidRPr="00AA6879" w:rsidRDefault="00881780" w:rsidP="006F4D8F">
            <w:pPr>
              <w:spacing w:line="240" w:lineRule="auto"/>
              <w:jc w:val="left"/>
              <w:rPr>
                <w:sz w:val="16"/>
                <w:szCs w:val="16"/>
              </w:rPr>
            </w:pPr>
            <w:r w:rsidRPr="00AA6879">
              <w:rPr>
                <w:sz w:val="16"/>
                <w:szCs w:val="16"/>
              </w:rPr>
              <w:t>81,0</w:t>
            </w:r>
          </w:p>
        </w:tc>
        <w:tc>
          <w:tcPr>
            <w:tcW w:w="238" w:type="pct"/>
            <w:shd w:val="clear" w:color="auto" w:fill="auto"/>
            <w:noWrap/>
            <w:vAlign w:val="bottom"/>
            <w:hideMark/>
          </w:tcPr>
          <w:p w14:paraId="3EFEB475" w14:textId="77777777" w:rsidR="00881780" w:rsidRPr="00AA6879" w:rsidRDefault="00881780" w:rsidP="006F4D8F">
            <w:pPr>
              <w:spacing w:line="240" w:lineRule="auto"/>
              <w:jc w:val="left"/>
              <w:rPr>
                <w:sz w:val="16"/>
                <w:szCs w:val="16"/>
              </w:rPr>
            </w:pPr>
            <w:r w:rsidRPr="00AA6879">
              <w:rPr>
                <w:sz w:val="16"/>
                <w:szCs w:val="16"/>
              </w:rPr>
              <w:t>37,7</w:t>
            </w:r>
          </w:p>
        </w:tc>
        <w:tc>
          <w:tcPr>
            <w:tcW w:w="238" w:type="pct"/>
            <w:shd w:val="clear" w:color="auto" w:fill="auto"/>
            <w:noWrap/>
            <w:vAlign w:val="bottom"/>
            <w:hideMark/>
          </w:tcPr>
          <w:p w14:paraId="4C5DC226" w14:textId="77777777" w:rsidR="00881780" w:rsidRPr="00AA6879" w:rsidRDefault="00881780" w:rsidP="006F4D8F">
            <w:pPr>
              <w:spacing w:line="240" w:lineRule="auto"/>
              <w:jc w:val="left"/>
              <w:rPr>
                <w:sz w:val="16"/>
                <w:szCs w:val="16"/>
              </w:rPr>
            </w:pPr>
            <w:r w:rsidRPr="00AA6879">
              <w:rPr>
                <w:sz w:val="16"/>
                <w:szCs w:val="16"/>
              </w:rPr>
              <w:t>41,5</w:t>
            </w:r>
          </w:p>
        </w:tc>
        <w:tc>
          <w:tcPr>
            <w:tcW w:w="238" w:type="pct"/>
            <w:shd w:val="clear" w:color="auto" w:fill="auto"/>
            <w:noWrap/>
            <w:vAlign w:val="bottom"/>
            <w:hideMark/>
          </w:tcPr>
          <w:p w14:paraId="43EDF6E2" w14:textId="77777777" w:rsidR="00881780" w:rsidRPr="00AA6879" w:rsidRDefault="00881780" w:rsidP="006F4D8F">
            <w:pPr>
              <w:spacing w:line="240" w:lineRule="auto"/>
              <w:jc w:val="left"/>
              <w:rPr>
                <w:sz w:val="16"/>
                <w:szCs w:val="16"/>
              </w:rPr>
            </w:pPr>
            <w:r w:rsidRPr="00AA6879">
              <w:rPr>
                <w:sz w:val="16"/>
                <w:szCs w:val="16"/>
              </w:rPr>
              <w:t>43,3</w:t>
            </w:r>
          </w:p>
        </w:tc>
        <w:tc>
          <w:tcPr>
            <w:tcW w:w="238" w:type="pct"/>
            <w:shd w:val="clear" w:color="auto" w:fill="auto"/>
            <w:noWrap/>
            <w:vAlign w:val="bottom"/>
            <w:hideMark/>
          </w:tcPr>
          <w:p w14:paraId="1B251618" w14:textId="77777777" w:rsidR="00881780" w:rsidRPr="00AA6879" w:rsidRDefault="00881780" w:rsidP="006F4D8F">
            <w:pPr>
              <w:spacing w:line="240" w:lineRule="auto"/>
              <w:jc w:val="left"/>
              <w:rPr>
                <w:sz w:val="16"/>
                <w:szCs w:val="16"/>
              </w:rPr>
            </w:pPr>
            <w:r w:rsidRPr="00AA6879">
              <w:rPr>
                <w:sz w:val="16"/>
                <w:szCs w:val="16"/>
              </w:rPr>
              <w:t>42,4</w:t>
            </w:r>
          </w:p>
        </w:tc>
        <w:tc>
          <w:tcPr>
            <w:tcW w:w="238" w:type="pct"/>
            <w:shd w:val="clear" w:color="auto" w:fill="auto"/>
            <w:noWrap/>
            <w:vAlign w:val="bottom"/>
            <w:hideMark/>
          </w:tcPr>
          <w:p w14:paraId="78CD4FF6" w14:textId="77777777" w:rsidR="00881780" w:rsidRPr="00AA6879" w:rsidRDefault="00881780" w:rsidP="006F4D8F">
            <w:pPr>
              <w:spacing w:line="240" w:lineRule="auto"/>
              <w:jc w:val="left"/>
              <w:rPr>
                <w:sz w:val="16"/>
                <w:szCs w:val="16"/>
              </w:rPr>
            </w:pPr>
            <w:r w:rsidRPr="00AA6879">
              <w:rPr>
                <w:sz w:val="16"/>
                <w:szCs w:val="16"/>
              </w:rPr>
              <w:t>41,5</w:t>
            </w:r>
          </w:p>
        </w:tc>
        <w:tc>
          <w:tcPr>
            <w:tcW w:w="238" w:type="pct"/>
            <w:shd w:val="clear" w:color="auto" w:fill="auto"/>
            <w:noWrap/>
            <w:vAlign w:val="bottom"/>
            <w:hideMark/>
          </w:tcPr>
          <w:p w14:paraId="778187E0" w14:textId="77777777" w:rsidR="00881780" w:rsidRPr="00AA6879" w:rsidRDefault="00881780" w:rsidP="006F4D8F">
            <w:pPr>
              <w:spacing w:line="240" w:lineRule="auto"/>
              <w:jc w:val="left"/>
              <w:rPr>
                <w:sz w:val="16"/>
                <w:szCs w:val="16"/>
              </w:rPr>
            </w:pPr>
            <w:r w:rsidRPr="00AA6879">
              <w:rPr>
                <w:sz w:val="16"/>
                <w:szCs w:val="16"/>
              </w:rPr>
              <w:t>47,6</w:t>
            </w:r>
          </w:p>
        </w:tc>
        <w:tc>
          <w:tcPr>
            <w:tcW w:w="233" w:type="pct"/>
            <w:shd w:val="clear" w:color="auto" w:fill="auto"/>
            <w:noWrap/>
            <w:vAlign w:val="bottom"/>
            <w:hideMark/>
          </w:tcPr>
          <w:p w14:paraId="3F4691CA" w14:textId="77777777" w:rsidR="00881780" w:rsidRPr="00AA6879" w:rsidRDefault="00881780" w:rsidP="006F4D8F">
            <w:pPr>
              <w:spacing w:line="240" w:lineRule="auto"/>
              <w:jc w:val="left"/>
              <w:rPr>
                <w:sz w:val="16"/>
                <w:szCs w:val="16"/>
              </w:rPr>
            </w:pPr>
            <w:r w:rsidRPr="00AA6879">
              <w:rPr>
                <w:sz w:val="16"/>
                <w:szCs w:val="16"/>
              </w:rPr>
              <w:t>50,8</w:t>
            </w:r>
          </w:p>
        </w:tc>
      </w:tr>
    </w:tbl>
    <w:p w14:paraId="54B210B1" w14:textId="65A096C7"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4E37372F" w14:textId="77777777" w:rsidR="00881780" w:rsidRDefault="00881780" w:rsidP="00881780">
      <w:pPr>
        <w:autoSpaceDE w:val="0"/>
        <w:autoSpaceDN w:val="0"/>
        <w:adjustRightInd w:val="0"/>
        <w:spacing w:line="276" w:lineRule="auto"/>
        <w:rPr>
          <w:rFonts w:cs="Arial"/>
          <w:bCs/>
          <w:color w:val="000000"/>
          <w:szCs w:val="20"/>
        </w:rPr>
      </w:pPr>
      <w:r>
        <w:rPr>
          <w:rFonts w:cs="Arial"/>
          <w:bCs/>
          <w:szCs w:val="20"/>
        </w:rPr>
        <w:t>Znacząca</w:t>
      </w:r>
      <w:r w:rsidRPr="00B87A05">
        <w:rPr>
          <w:rFonts w:cs="Arial"/>
          <w:bCs/>
          <w:szCs w:val="20"/>
        </w:rPr>
        <w:t xml:space="preserve"> liczba bezrobotnych rejestrujących się</w:t>
      </w:r>
      <w:r w:rsidR="00E66B89">
        <w:rPr>
          <w:rFonts w:cs="Arial"/>
          <w:bCs/>
          <w:szCs w:val="20"/>
        </w:rPr>
        <w:t xml:space="preserve"> w </w:t>
      </w:r>
      <w:r w:rsidRPr="00B87A05">
        <w:rPr>
          <w:rFonts w:cs="Arial"/>
          <w:bCs/>
          <w:szCs w:val="20"/>
        </w:rPr>
        <w:t xml:space="preserve">powiatowych urzędach pracy województwa </w:t>
      </w:r>
      <w:r>
        <w:rPr>
          <w:rFonts w:cs="Arial"/>
          <w:bCs/>
          <w:szCs w:val="20"/>
        </w:rPr>
        <w:t>zachodniopomorskiego</w:t>
      </w:r>
      <w:r w:rsidRPr="00B87A05">
        <w:rPr>
          <w:rFonts w:cs="Arial"/>
          <w:bCs/>
          <w:szCs w:val="20"/>
        </w:rPr>
        <w:t xml:space="preserve"> to osoby bez kwalifikacji.</w:t>
      </w:r>
      <w:r>
        <w:rPr>
          <w:rFonts w:cs="Arial"/>
          <w:bCs/>
          <w:szCs w:val="20"/>
        </w:rPr>
        <w:t xml:space="preserve"> </w:t>
      </w:r>
      <w:r w:rsidRPr="00052D1F">
        <w:rPr>
          <w:rFonts w:cs="Arial"/>
          <w:bCs/>
          <w:szCs w:val="20"/>
        </w:rPr>
        <w:t>Posiadanie kwalifikacji oraz doświadczenia zawodowego to niezmie</w:t>
      </w:r>
      <w:r>
        <w:rPr>
          <w:rFonts w:cs="Arial"/>
          <w:bCs/>
          <w:szCs w:val="20"/>
        </w:rPr>
        <w:t>r</w:t>
      </w:r>
      <w:r w:rsidRPr="00052D1F">
        <w:rPr>
          <w:rFonts w:cs="Arial"/>
          <w:bCs/>
          <w:szCs w:val="20"/>
        </w:rPr>
        <w:t>nie ważne czynniki charakteryzujące populację osób bezrobotnych, ponieważ różnicują/delimitują status jednostki na rynku pracy (osoba bezrobotna vs pracująca), decydując niemalże bezpośrednio</w:t>
      </w:r>
      <w:r w:rsidR="00E66B89">
        <w:rPr>
          <w:rFonts w:cs="Arial"/>
          <w:bCs/>
          <w:szCs w:val="20"/>
        </w:rPr>
        <w:t xml:space="preserve"> o </w:t>
      </w:r>
      <w:r w:rsidRPr="00052D1F">
        <w:rPr>
          <w:rFonts w:cs="Arial"/>
          <w:bCs/>
          <w:szCs w:val="20"/>
        </w:rPr>
        <w:t>możliwości pozyskania zatrudnienia, tym samym dalszego doskonalenia kwalifikacji</w:t>
      </w:r>
      <w:r w:rsidR="00E66B89">
        <w:rPr>
          <w:rFonts w:cs="Arial"/>
          <w:bCs/>
          <w:szCs w:val="20"/>
        </w:rPr>
        <w:t xml:space="preserve"> i </w:t>
      </w:r>
      <w:r w:rsidRPr="00052D1F">
        <w:rPr>
          <w:rFonts w:cs="Arial"/>
          <w:bCs/>
          <w:szCs w:val="20"/>
        </w:rPr>
        <w:t>poszerzania doświadczenia zawodowego.</w:t>
      </w:r>
      <w:r w:rsidR="00E66B89">
        <w:rPr>
          <w:rFonts w:cs="Arial"/>
          <w:bCs/>
          <w:szCs w:val="20"/>
        </w:rPr>
        <w:t xml:space="preserve"> W </w:t>
      </w:r>
      <w:r w:rsidRPr="00B87A05">
        <w:rPr>
          <w:rFonts w:cs="Arial"/>
          <w:bCs/>
          <w:szCs w:val="20"/>
        </w:rPr>
        <w:t xml:space="preserve">okresie wdrażania Programu udział </w:t>
      </w:r>
      <w:r>
        <w:rPr>
          <w:rFonts w:cs="Arial"/>
          <w:bCs/>
          <w:szCs w:val="20"/>
        </w:rPr>
        <w:t>osób bezrobotnych bez kwalifikacji</w:t>
      </w:r>
      <w:r w:rsidR="00E66B89">
        <w:rPr>
          <w:rFonts w:cs="Arial"/>
          <w:bCs/>
          <w:szCs w:val="20"/>
        </w:rPr>
        <w:t xml:space="preserve"> w </w:t>
      </w:r>
      <w:r w:rsidRPr="00B87A05">
        <w:rPr>
          <w:rFonts w:cs="Arial"/>
          <w:bCs/>
          <w:szCs w:val="20"/>
        </w:rPr>
        <w:t xml:space="preserve">łącznej liczbie zarejestrowanych bezrobotnych </w:t>
      </w:r>
      <w:r>
        <w:rPr>
          <w:rFonts w:cs="Arial"/>
          <w:bCs/>
          <w:szCs w:val="20"/>
        </w:rPr>
        <w:t>wykazywał tendencję wzrostową</w:t>
      </w:r>
      <w:r w:rsidR="00E66B89">
        <w:rPr>
          <w:rFonts w:cs="Arial"/>
          <w:bCs/>
          <w:szCs w:val="20"/>
        </w:rPr>
        <w:t xml:space="preserve"> i </w:t>
      </w:r>
      <w:r w:rsidRPr="00B87A05">
        <w:rPr>
          <w:rFonts w:cs="Arial"/>
          <w:bCs/>
          <w:szCs w:val="20"/>
        </w:rPr>
        <w:t>kształtował się na poziomie od 3</w:t>
      </w:r>
      <w:r>
        <w:rPr>
          <w:rFonts w:cs="Arial"/>
          <w:bCs/>
          <w:szCs w:val="20"/>
        </w:rPr>
        <w:t>1,40</w:t>
      </w:r>
      <w:r w:rsidRPr="00B87A05">
        <w:rPr>
          <w:rFonts w:cs="Arial"/>
          <w:bCs/>
          <w:szCs w:val="20"/>
        </w:rPr>
        <w:t>%</w:t>
      </w:r>
      <w:r w:rsidR="00E66B89">
        <w:rPr>
          <w:rFonts w:cs="Arial"/>
          <w:bCs/>
          <w:szCs w:val="20"/>
        </w:rPr>
        <w:t xml:space="preserve"> w </w:t>
      </w:r>
      <w:r w:rsidRPr="00B87A05">
        <w:rPr>
          <w:rFonts w:cs="Arial"/>
          <w:bCs/>
          <w:szCs w:val="20"/>
        </w:rPr>
        <w:t>2012 r.</w:t>
      </w:r>
      <w:r>
        <w:rPr>
          <w:rFonts w:cs="Arial"/>
          <w:bCs/>
          <w:szCs w:val="20"/>
        </w:rPr>
        <w:t>, 32,2%</w:t>
      </w:r>
      <w:r w:rsidR="00E66B89">
        <w:rPr>
          <w:rFonts w:cs="Arial"/>
          <w:bCs/>
          <w:szCs w:val="20"/>
        </w:rPr>
        <w:t xml:space="preserve"> w </w:t>
      </w:r>
      <w:r>
        <w:rPr>
          <w:rFonts w:cs="Arial"/>
          <w:bCs/>
          <w:szCs w:val="20"/>
        </w:rPr>
        <w:t>2015 r.,</w:t>
      </w:r>
      <w:r w:rsidRPr="00B87A05">
        <w:rPr>
          <w:rFonts w:cs="Arial"/>
          <w:bCs/>
          <w:szCs w:val="20"/>
        </w:rPr>
        <w:t xml:space="preserve"> do 33,</w:t>
      </w:r>
      <w:r>
        <w:rPr>
          <w:rFonts w:cs="Arial"/>
          <w:bCs/>
          <w:szCs w:val="20"/>
        </w:rPr>
        <w:t>42</w:t>
      </w:r>
      <w:r w:rsidRPr="00B87A05">
        <w:rPr>
          <w:rFonts w:cs="Arial"/>
          <w:bCs/>
          <w:szCs w:val="20"/>
        </w:rPr>
        <w:t>%</w:t>
      </w:r>
      <w:r w:rsidR="00E66B89">
        <w:rPr>
          <w:rFonts w:cs="Arial"/>
          <w:bCs/>
          <w:szCs w:val="20"/>
        </w:rPr>
        <w:t xml:space="preserve"> w </w:t>
      </w:r>
      <w:r w:rsidRPr="00B87A05">
        <w:rPr>
          <w:rFonts w:cs="Arial"/>
          <w:bCs/>
          <w:szCs w:val="20"/>
        </w:rPr>
        <w:t>2018 r.</w:t>
      </w:r>
      <w:r>
        <w:rPr>
          <w:rFonts w:cs="Arial"/>
          <w:bCs/>
          <w:szCs w:val="20"/>
        </w:rPr>
        <w:t xml:space="preserve"> Grupa ta stanowi trzecią co do wielkości zbiorowość</w:t>
      </w:r>
      <w:r w:rsidR="00E66B89">
        <w:rPr>
          <w:rFonts w:cs="Arial"/>
          <w:bCs/>
          <w:szCs w:val="20"/>
        </w:rPr>
        <w:t xml:space="preserve"> w </w:t>
      </w:r>
      <w:r>
        <w:rPr>
          <w:rFonts w:cs="Arial"/>
          <w:bCs/>
          <w:szCs w:val="20"/>
        </w:rPr>
        <w:t>populacji osób bezrobotnych zarejestrowanych</w:t>
      </w:r>
      <w:r w:rsidR="00E66B89">
        <w:rPr>
          <w:rFonts w:cs="Arial"/>
          <w:bCs/>
          <w:szCs w:val="20"/>
        </w:rPr>
        <w:t xml:space="preserve"> w </w:t>
      </w:r>
      <w:r>
        <w:rPr>
          <w:rFonts w:cs="Arial"/>
          <w:bCs/>
          <w:szCs w:val="20"/>
        </w:rPr>
        <w:t>regionie (za najliczniejszą</w:t>
      </w:r>
      <w:r w:rsidR="00E66B89">
        <w:rPr>
          <w:rFonts w:cs="Arial"/>
          <w:bCs/>
          <w:szCs w:val="20"/>
        </w:rPr>
        <w:t xml:space="preserve"> w </w:t>
      </w:r>
      <w:r>
        <w:rPr>
          <w:rFonts w:cs="Arial"/>
          <w:bCs/>
          <w:szCs w:val="20"/>
        </w:rPr>
        <w:t xml:space="preserve">strukturze bezrobotnych </w:t>
      </w:r>
      <w:r>
        <w:rPr>
          <w:rFonts w:cs="Arial"/>
          <w:bCs/>
          <w:szCs w:val="20"/>
        </w:rPr>
        <w:noBreakHyphen/>
        <w:t xml:space="preserve"> grupą kobiet oraz osób długotrwale bezrobotnych). Odsetek</w:t>
      </w:r>
      <w:r w:rsidRPr="002E23DF">
        <w:rPr>
          <w:rFonts w:cs="Arial"/>
          <w:bCs/>
          <w:szCs w:val="20"/>
        </w:rPr>
        <w:t xml:space="preserve"> bezrobotnych bez kwalifikacji</w:t>
      </w:r>
      <w:r w:rsidR="00E66B89">
        <w:rPr>
          <w:rFonts w:cs="Arial"/>
          <w:bCs/>
          <w:szCs w:val="20"/>
        </w:rPr>
        <w:t xml:space="preserve"> w </w:t>
      </w:r>
      <w:r w:rsidRPr="002E23DF">
        <w:rPr>
          <w:rFonts w:cs="Arial"/>
          <w:bCs/>
          <w:szCs w:val="20"/>
        </w:rPr>
        <w:t>łącznej liczbie zarejestrowanych bezrobotnych</w:t>
      </w:r>
      <w:r>
        <w:rPr>
          <w:rFonts w:cs="Arial"/>
          <w:bCs/>
          <w:szCs w:val="20"/>
        </w:rPr>
        <w:t xml:space="preserve"> jest wyższy</w:t>
      </w:r>
      <w:r w:rsidR="00E66B89">
        <w:rPr>
          <w:rFonts w:cs="Arial"/>
          <w:bCs/>
          <w:szCs w:val="20"/>
        </w:rPr>
        <w:t xml:space="preserve"> w </w:t>
      </w:r>
      <w:r>
        <w:rPr>
          <w:rFonts w:cs="Arial"/>
          <w:bCs/>
          <w:szCs w:val="20"/>
        </w:rPr>
        <w:t>regionie niż</w:t>
      </w:r>
      <w:r w:rsidR="00E66B89">
        <w:rPr>
          <w:rFonts w:cs="Arial"/>
          <w:bCs/>
          <w:szCs w:val="20"/>
        </w:rPr>
        <w:t xml:space="preserve"> w </w:t>
      </w:r>
      <w:r>
        <w:rPr>
          <w:rFonts w:cs="Arial"/>
          <w:bCs/>
          <w:szCs w:val="20"/>
        </w:rPr>
        <w:t>Polsce.</w:t>
      </w:r>
      <w:r w:rsidR="00E66B89">
        <w:rPr>
          <w:rFonts w:cs="Arial"/>
          <w:bCs/>
          <w:szCs w:val="20"/>
        </w:rPr>
        <w:t xml:space="preserve"> W </w:t>
      </w:r>
      <w:r w:rsidRPr="00B87A05">
        <w:rPr>
          <w:rFonts w:cs="Arial"/>
          <w:bCs/>
          <w:szCs w:val="20"/>
        </w:rPr>
        <w:t>roku 2018 podobnie jak rok wcześniej bezrobocie</w:t>
      </w:r>
      <w:r w:rsidR="00E66B89">
        <w:rPr>
          <w:rFonts w:cs="Arial"/>
          <w:bCs/>
          <w:szCs w:val="20"/>
        </w:rPr>
        <w:t xml:space="preserve"> w </w:t>
      </w:r>
      <w:r w:rsidRPr="00B87A05">
        <w:rPr>
          <w:rFonts w:cs="Arial"/>
          <w:bCs/>
          <w:szCs w:val="20"/>
        </w:rPr>
        <w:t xml:space="preserve">województwie </w:t>
      </w:r>
      <w:r>
        <w:rPr>
          <w:rFonts w:cs="Arial"/>
          <w:bCs/>
          <w:szCs w:val="20"/>
        </w:rPr>
        <w:t>zachodniopomorskim</w:t>
      </w:r>
      <w:r w:rsidRPr="00B87A05">
        <w:rPr>
          <w:rFonts w:cs="Arial"/>
          <w:bCs/>
          <w:szCs w:val="20"/>
        </w:rPr>
        <w:t xml:space="preserve"> różniło się od bezrobocia rejestrowanego</w:t>
      </w:r>
      <w:r w:rsidR="00E66B89">
        <w:rPr>
          <w:rFonts w:cs="Arial"/>
          <w:bCs/>
          <w:szCs w:val="20"/>
        </w:rPr>
        <w:t xml:space="preserve"> w </w:t>
      </w:r>
      <w:r w:rsidRPr="00B87A05">
        <w:rPr>
          <w:rFonts w:cs="Arial"/>
          <w:bCs/>
          <w:szCs w:val="20"/>
        </w:rPr>
        <w:t>całym kraju właśnie pod względem większego udziału bezrobotnych bez kwalifikacji zawodowych. Niemały udział</w:t>
      </w:r>
      <w:r w:rsidR="00E66B89">
        <w:rPr>
          <w:rFonts w:cs="Arial"/>
          <w:bCs/>
          <w:szCs w:val="20"/>
        </w:rPr>
        <w:t xml:space="preserve"> w </w:t>
      </w:r>
      <w:r w:rsidRPr="00B87A05">
        <w:rPr>
          <w:rFonts w:cs="Arial"/>
          <w:bCs/>
          <w:szCs w:val="20"/>
        </w:rPr>
        <w:t>łącznej liczbie zarejestrowanych bezrobotnych stanowią również osoby bez doświadczenia zawodowego</w:t>
      </w:r>
      <w:r>
        <w:rPr>
          <w:rFonts w:cs="Arial"/>
          <w:bCs/>
          <w:szCs w:val="20"/>
        </w:rPr>
        <w:t xml:space="preserve"> (</w:t>
      </w:r>
      <w:r w:rsidRPr="00032528">
        <w:rPr>
          <w:rFonts w:cs="Arial"/>
          <w:bCs/>
          <w:szCs w:val="20"/>
        </w:rPr>
        <w:t xml:space="preserve">brak odpowiedniego doświadczenia zawodowego </w:t>
      </w:r>
      <w:r>
        <w:rPr>
          <w:rFonts w:cs="Arial"/>
          <w:bCs/>
          <w:szCs w:val="20"/>
        </w:rPr>
        <w:t>to czynnik uznawany za i</w:t>
      </w:r>
      <w:r w:rsidRPr="00032528">
        <w:rPr>
          <w:rFonts w:cs="Arial"/>
          <w:bCs/>
          <w:szCs w:val="20"/>
        </w:rPr>
        <w:t>stotną barier</w:t>
      </w:r>
      <w:r>
        <w:rPr>
          <w:rFonts w:cs="Arial"/>
          <w:bCs/>
          <w:szCs w:val="20"/>
        </w:rPr>
        <w:t>ę</w:t>
      </w:r>
      <w:r w:rsidR="00E66B89">
        <w:rPr>
          <w:rFonts w:cs="Arial"/>
          <w:bCs/>
          <w:szCs w:val="20"/>
        </w:rPr>
        <w:t xml:space="preserve"> w </w:t>
      </w:r>
      <w:r w:rsidRPr="00032528">
        <w:rPr>
          <w:rFonts w:cs="Arial"/>
          <w:bCs/>
          <w:szCs w:val="20"/>
        </w:rPr>
        <w:t>podjęciu zatrudnienia</w:t>
      </w:r>
      <w:r>
        <w:rPr>
          <w:rFonts w:cs="Arial"/>
          <w:bCs/>
          <w:szCs w:val="20"/>
        </w:rPr>
        <w:t>),</w:t>
      </w:r>
      <w:r w:rsidRPr="00032528">
        <w:rPr>
          <w:rFonts w:cs="Arial"/>
          <w:bCs/>
          <w:szCs w:val="20"/>
        </w:rPr>
        <w:t xml:space="preserve"> </w:t>
      </w:r>
      <w:r w:rsidRPr="00B87A05">
        <w:rPr>
          <w:rFonts w:cs="Arial"/>
          <w:bCs/>
          <w:szCs w:val="20"/>
        </w:rPr>
        <w:t>choć</w:t>
      </w:r>
      <w:r w:rsidR="00E66B89">
        <w:rPr>
          <w:rFonts w:cs="Arial"/>
          <w:bCs/>
          <w:szCs w:val="20"/>
        </w:rPr>
        <w:t xml:space="preserve"> w </w:t>
      </w:r>
      <w:r w:rsidRPr="00B87A05">
        <w:rPr>
          <w:rFonts w:cs="Arial"/>
          <w:bCs/>
          <w:szCs w:val="20"/>
        </w:rPr>
        <w:t>okresie wdrażania Programu odsetek ten zmalał</w:t>
      </w:r>
      <w:r>
        <w:rPr>
          <w:rFonts w:cs="Arial"/>
          <w:bCs/>
          <w:szCs w:val="20"/>
        </w:rPr>
        <w:t>. W </w:t>
      </w:r>
      <w:r w:rsidRPr="00032528">
        <w:rPr>
          <w:rFonts w:cs="Arial"/>
          <w:bCs/>
          <w:color w:val="000000"/>
          <w:szCs w:val="20"/>
        </w:rPr>
        <w:t xml:space="preserve">2018 roku </w:t>
      </w:r>
      <w:r>
        <w:rPr>
          <w:rFonts w:cs="Arial"/>
          <w:bCs/>
          <w:color w:val="000000"/>
          <w:szCs w:val="20"/>
        </w:rPr>
        <w:t xml:space="preserve">osoby bez doświadczenia zawodowego </w:t>
      </w:r>
      <w:r w:rsidRPr="00032528">
        <w:rPr>
          <w:rFonts w:cs="Arial"/>
          <w:bCs/>
          <w:color w:val="000000"/>
          <w:szCs w:val="20"/>
        </w:rPr>
        <w:t>stanowiły 19,</w:t>
      </w:r>
      <w:r>
        <w:rPr>
          <w:rFonts w:cs="Arial"/>
          <w:bCs/>
          <w:color w:val="000000"/>
          <w:szCs w:val="20"/>
        </w:rPr>
        <w:t>3</w:t>
      </w:r>
      <w:r w:rsidRPr="00032528">
        <w:rPr>
          <w:rFonts w:cs="Arial"/>
          <w:bCs/>
          <w:color w:val="000000"/>
          <w:szCs w:val="20"/>
        </w:rPr>
        <w:t>%</w:t>
      </w:r>
      <w:r>
        <w:rPr>
          <w:rFonts w:cs="Arial"/>
          <w:bCs/>
          <w:color w:val="000000"/>
          <w:szCs w:val="20"/>
        </w:rPr>
        <w:t xml:space="preserve"> ogółu</w:t>
      </w:r>
      <w:r w:rsidRPr="00032528">
        <w:rPr>
          <w:rFonts w:cs="Arial"/>
          <w:bCs/>
          <w:color w:val="000000"/>
          <w:szCs w:val="20"/>
        </w:rPr>
        <w:t xml:space="preserve"> bezrobotnych.</w:t>
      </w:r>
      <w:r>
        <w:rPr>
          <w:rFonts w:cs="Arial"/>
          <w:bCs/>
          <w:color w:val="000000"/>
          <w:szCs w:val="20"/>
        </w:rPr>
        <w:t xml:space="preserve"> Ponadto,</w:t>
      </w:r>
      <w:r w:rsidR="00E66B89">
        <w:rPr>
          <w:rFonts w:cs="Arial"/>
          <w:bCs/>
          <w:color w:val="000000"/>
          <w:szCs w:val="20"/>
        </w:rPr>
        <w:t xml:space="preserve"> w </w:t>
      </w:r>
      <w:r w:rsidRPr="00032528">
        <w:rPr>
          <w:rFonts w:cs="Arial"/>
          <w:bCs/>
          <w:szCs w:val="20"/>
        </w:rPr>
        <w:t>województwie zachodniopomorskim</w:t>
      </w:r>
      <w:r w:rsidR="00E66B89">
        <w:rPr>
          <w:rFonts w:cs="Arial"/>
          <w:bCs/>
          <w:szCs w:val="20"/>
        </w:rPr>
        <w:t xml:space="preserve"> w </w:t>
      </w:r>
      <w:r w:rsidRPr="00032528">
        <w:rPr>
          <w:rFonts w:cs="Arial"/>
          <w:bCs/>
          <w:szCs w:val="20"/>
        </w:rPr>
        <w:t>2016 roku zanotowano niższy niż średnia</w:t>
      </w:r>
      <w:r w:rsidR="00E66B89">
        <w:rPr>
          <w:rFonts w:cs="Arial"/>
          <w:bCs/>
          <w:szCs w:val="20"/>
        </w:rPr>
        <w:t xml:space="preserve"> w </w:t>
      </w:r>
      <w:r w:rsidRPr="00032528">
        <w:rPr>
          <w:rFonts w:cs="Arial"/>
          <w:bCs/>
          <w:szCs w:val="20"/>
        </w:rPr>
        <w:t xml:space="preserve">kraju </w:t>
      </w:r>
      <w:r w:rsidRPr="00032528">
        <w:rPr>
          <w:rFonts w:cs="Arial"/>
          <w:bCs/>
          <w:color w:val="000000"/>
          <w:szCs w:val="20"/>
        </w:rPr>
        <w:t>odsetek osób</w:t>
      </w:r>
      <w:r w:rsidR="00E66B89">
        <w:rPr>
          <w:rFonts w:cs="Arial"/>
          <w:bCs/>
          <w:color w:val="000000"/>
          <w:szCs w:val="20"/>
        </w:rPr>
        <w:t xml:space="preserve"> w </w:t>
      </w:r>
      <w:r w:rsidRPr="00032528">
        <w:rPr>
          <w:rFonts w:cs="Arial"/>
          <w:bCs/>
          <w:color w:val="000000"/>
          <w:szCs w:val="20"/>
        </w:rPr>
        <w:t>wieku 18-69 lata kształcących się lub doszkalających (34,6%</w:t>
      </w:r>
      <w:r w:rsidR="00E66B89">
        <w:rPr>
          <w:rFonts w:cs="Arial"/>
          <w:bCs/>
          <w:color w:val="000000"/>
          <w:szCs w:val="20"/>
        </w:rPr>
        <w:t xml:space="preserve"> w </w:t>
      </w:r>
      <w:r w:rsidRPr="00032528">
        <w:rPr>
          <w:rFonts w:cs="Arial"/>
          <w:bCs/>
          <w:color w:val="000000"/>
          <w:szCs w:val="20"/>
        </w:rPr>
        <w:t>województwie zachodniopomorskim do 45,9%</w:t>
      </w:r>
      <w:r w:rsidR="00E66B89">
        <w:rPr>
          <w:rFonts w:cs="Arial"/>
          <w:bCs/>
          <w:color w:val="000000"/>
          <w:szCs w:val="20"/>
        </w:rPr>
        <w:t xml:space="preserve"> w </w:t>
      </w:r>
      <w:r w:rsidRPr="00032528">
        <w:rPr>
          <w:rFonts w:cs="Arial"/>
          <w:bCs/>
          <w:color w:val="000000"/>
          <w:szCs w:val="20"/>
        </w:rPr>
        <w:t>kraju</w:t>
      </w:r>
      <w:r>
        <w:rPr>
          <w:rFonts w:cs="Arial"/>
          <w:bCs/>
          <w:color w:val="000000"/>
          <w:szCs w:val="20"/>
        </w:rPr>
        <w:t>, źródło: BDL / GUS</w:t>
      </w:r>
      <w:r w:rsidRPr="00032528">
        <w:rPr>
          <w:rFonts w:cs="Arial"/>
          <w:bCs/>
          <w:color w:val="000000"/>
          <w:szCs w:val="20"/>
        </w:rPr>
        <w:t>).</w:t>
      </w:r>
      <w:r>
        <w:rPr>
          <w:rFonts w:cs="Arial"/>
          <w:bCs/>
          <w:color w:val="000000"/>
          <w:szCs w:val="20"/>
        </w:rPr>
        <w:t xml:space="preserve"> </w:t>
      </w:r>
      <w:r w:rsidRPr="00032528">
        <w:rPr>
          <w:rFonts w:cs="Arial"/>
          <w:bCs/>
          <w:szCs w:val="20"/>
        </w:rPr>
        <w:t>Zidentyfikowany</w:t>
      </w:r>
      <w:r w:rsidR="00E66B89">
        <w:rPr>
          <w:rFonts w:cs="Arial"/>
          <w:bCs/>
          <w:szCs w:val="20"/>
        </w:rPr>
        <w:t xml:space="preserve"> w </w:t>
      </w:r>
      <w:r w:rsidRPr="00032528">
        <w:rPr>
          <w:rFonts w:cs="Arial"/>
          <w:bCs/>
          <w:szCs w:val="20"/>
        </w:rPr>
        <w:t>okresie programowania problem niskich i</w:t>
      </w:r>
      <w:r>
        <w:rPr>
          <w:rFonts w:cs="Arial"/>
          <w:bCs/>
          <w:szCs w:val="20"/>
        </w:rPr>
        <w:t>/lub</w:t>
      </w:r>
      <w:r w:rsidRPr="00032528">
        <w:rPr>
          <w:rFonts w:cs="Arial"/>
          <w:bCs/>
          <w:szCs w:val="20"/>
        </w:rPr>
        <w:t xml:space="preserve"> nieadekwatnych do potrzeb pracodawców</w:t>
      </w:r>
      <w:r w:rsidR="00E66B89">
        <w:rPr>
          <w:rFonts w:cs="Arial"/>
          <w:bCs/>
          <w:szCs w:val="20"/>
        </w:rPr>
        <w:t xml:space="preserve"> i </w:t>
      </w:r>
      <w:r w:rsidRPr="00032528">
        <w:rPr>
          <w:rFonts w:cs="Arial"/>
          <w:bCs/>
          <w:szCs w:val="20"/>
        </w:rPr>
        <w:t>rynku pracy kwalifikacji</w:t>
      </w:r>
      <w:r w:rsidR="00E66B89">
        <w:rPr>
          <w:rFonts w:cs="Arial"/>
          <w:bCs/>
          <w:szCs w:val="20"/>
        </w:rPr>
        <w:t xml:space="preserve"> i </w:t>
      </w:r>
      <w:r w:rsidRPr="00032528">
        <w:rPr>
          <w:rFonts w:cs="Arial"/>
          <w:bCs/>
          <w:szCs w:val="20"/>
        </w:rPr>
        <w:t>kompetencji</w:t>
      </w:r>
      <w:r>
        <w:rPr>
          <w:rFonts w:cs="Arial"/>
          <w:bCs/>
          <w:szCs w:val="20"/>
        </w:rPr>
        <w:t xml:space="preserve"> osób poszukujących pracy</w:t>
      </w:r>
      <w:r w:rsidRPr="00032528">
        <w:rPr>
          <w:rFonts w:cs="Arial"/>
          <w:bCs/>
          <w:szCs w:val="20"/>
        </w:rPr>
        <w:t xml:space="preserve">, pozostaje nadal aktualny. </w:t>
      </w:r>
    </w:p>
    <w:p w14:paraId="374CDA98" w14:textId="77777777" w:rsidR="00881780" w:rsidRPr="00432E11" w:rsidRDefault="00881780" w:rsidP="00754ED4">
      <w:pPr>
        <w:pStyle w:val="Legenda"/>
        <w:spacing w:after="0"/>
      </w:pPr>
      <w:bookmarkStart w:id="188" w:name="_Toc3896845"/>
      <w:bookmarkStart w:id="189" w:name="_Toc8824203"/>
      <w:r w:rsidRPr="00432E11">
        <w:t xml:space="preserve">Tabela </w:t>
      </w:r>
      <w:r>
        <w:fldChar w:fldCharType="begin"/>
      </w:r>
      <w:r>
        <w:instrText xml:space="preserve"> SEQ Tabela \* ARABIC </w:instrText>
      </w:r>
      <w:r>
        <w:fldChar w:fldCharType="separate"/>
      </w:r>
      <w:r w:rsidR="00763345">
        <w:rPr>
          <w:noProof/>
        </w:rPr>
        <w:t>92</w:t>
      </w:r>
      <w:r>
        <w:fldChar w:fldCharType="end"/>
      </w:r>
      <w:r w:rsidRPr="00432E11">
        <w:t xml:space="preserve"> Bezrobotni bez kwalifikacji</w:t>
      </w:r>
      <w:r w:rsidR="00E66B89">
        <w:t xml:space="preserve"> i </w:t>
      </w:r>
      <w:r w:rsidRPr="00432E11">
        <w:t>doświadczenia zawodowego</w:t>
      </w:r>
      <w:r w:rsidR="00E66B89">
        <w:t xml:space="preserve"> w </w:t>
      </w:r>
      <w:r w:rsidRPr="00432E11">
        <w:t>województwie zachodniopomorskim</w:t>
      </w:r>
      <w:bookmarkEnd w:id="188"/>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9"/>
        <w:gridCol w:w="923"/>
        <w:gridCol w:w="767"/>
        <w:gridCol w:w="767"/>
        <w:gridCol w:w="767"/>
        <w:gridCol w:w="767"/>
        <w:gridCol w:w="767"/>
        <w:gridCol w:w="765"/>
      </w:tblGrid>
      <w:tr w:rsidR="00881780" w:rsidRPr="00AA6879" w14:paraId="0A32E42F" w14:textId="77777777" w:rsidTr="00AA6879">
        <w:trPr>
          <w:trHeight w:val="178"/>
        </w:trPr>
        <w:tc>
          <w:tcPr>
            <w:tcW w:w="1953" w:type="pct"/>
            <w:shd w:val="clear" w:color="auto" w:fill="auto"/>
            <w:noWrap/>
            <w:vAlign w:val="center"/>
            <w:hideMark/>
          </w:tcPr>
          <w:p w14:paraId="1A6ACEDD" w14:textId="77777777" w:rsidR="00881780" w:rsidRPr="00AA6879" w:rsidRDefault="00881780" w:rsidP="006F4D8F">
            <w:pPr>
              <w:spacing w:before="0" w:line="240" w:lineRule="auto"/>
              <w:rPr>
                <w:b/>
                <w:color w:val="000000"/>
                <w:sz w:val="18"/>
                <w:szCs w:val="18"/>
              </w:rPr>
            </w:pPr>
            <w:r w:rsidRPr="00AA6879">
              <w:rPr>
                <w:b/>
                <w:color w:val="000000"/>
                <w:sz w:val="18"/>
                <w:szCs w:val="18"/>
              </w:rPr>
              <w:t>Rok</w:t>
            </w:r>
          </w:p>
        </w:tc>
        <w:tc>
          <w:tcPr>
            <w:tcW w:w="509" w:type="pct"/>
            <w:shd w:val="clear" w:color="auto" w:fill="auto"/>
            <w:noWrap/>
            <w:vAlign w:val="center"/>
            <w:hideMark/>
          </w:tcPr>
          <w:p w14:paraId="0E8EBF5E" w14:textId="77777777" w:rsidR="00881780" w:rsidRPr="00AA6879" w:rsidRDefault="00881780" w:rsidP="006F4D8F">
            <w:pPr>
              <w:spacing w:before="0" w:line="240" w:lineRule="auto"/>
              <w:rPr>
                <w:b/>
                <w:color w:val="000000"/>
                <w:sz w:val="18"/>
                <w:szCs w:val="18"/>
              </w:rPr>
            </w:pPr>
            <w:r w:rsidRPr="00AA6879">
              <w:rPr>
                <w:b/>
                <w:color w:val="000000"/>
                <w:sz w:val="18"/>
                <w:szCs w:val="18"/>
              </w:rPr>
              <w:t>2012</w:t>
            </w:r>
          </w:p>
        </w:tc>
        <w:tc>
          <w:tcPr>
            <w:tcW w:w="423" w:type="pct"/>
            <w:shd w:val="clear" w:color="auto" w:fill="auto"/>
            <w:noWrap/>
            <w:vAlign w:val="center"/>
            <w:hideMark/>
          </w:tcPr>
          <w:p w14:paraId="15502CC7" w14:textId="77777777" w:rsidR="00881780" w:rsidRPr="00AA6879" w:rsidRDefault="00881780" w:rsidP="006F4D8F">
            <w:pPr>
              <w:spacing w:before="0" w:line="240" w:lineRule="auto"/>
              <w:rPr>
                <w:b/>
                <w:color w:val="000000"/>
                <w:sz w:val="18"/>
                <w:szCs w:val="18"/>
              </w:rPr>
            </w:pPr>
            <w:r w:rsidRPr="00AA6879">
              <w:rPr>
                <w:b/>
                <w:color w:val="000000"/>
                <w:sz w:val="18"/>
                <w:szCs w:val="18"/>
              </w:rPr>
              <w:t>2013</w:t>
            </w:r>
          </w:p>
        </w:tc>
        <w:tc>
          <w:tcPr>
            <w:tcW w:w="423" w:type="pct"/>
            <w:shd w:val="clear" w:color="auto" w:fill="auto"/>
            <w:noWrap/>
            <w:vAlign w:val="center"/>
            <w:hideMark/>
          </w:tcPr>
          <w:p w14:paraId="3FD2878A" w14:textId="77777777" w:rsidR="00881780" w:rsidRPr="00AA6879" w:rsidRDefault="00881780" w:rsidP="006F4D8F">
            <w:pPr>
              <w:spacing w:before="0" w:line="240" w:lineRule="auto"/>
              <w:rPr>
                <w:b/>
                <w:color w:val="000000"/>
                <w:sz w:val="18"/>
                <w:szCs w:val="18"/>
              </w:rPr>
            </w:pPr>
            <w:r w:rsidRPr="00AA6879">
              <w:rPr>
                <w:b/>
                <w:color w:val="000000"/>
                <w:sz w:val="18"/>
                <w:szCs w:val="18"/>
              </w:rPr>
              <w:t>2014</w:t>
            </w:r>
          </w:p>
        </w:tc>
        <w:tc>
          <w:tcPr>
            <w:tcW w:w="423" w:type="pct"/>
            <w:shd w:val="clear" w:color="auto" w:fill="auto"/>
            <w:noWrap/>
            <w:vAlign w:val="center"/>
            <w:hideMark/>
          </w:tcPr>
          <w:p w14:paraId="0AA68A49" w14:textId="77777777" w:rsidR="00881780" w:rsidRPr="00AA6879" w:rsidRDefault="00881780" w:rsidP="006F4D8F">
            <w:pPr>
              <w:spacing w:before="0" w:line="240" w:lineRule="auto"/>
              <w:rPr>
                <w:b/>
                <w:color w:val="000000"/>
                <w:sz w:val="18"/>
                <w:szCs w:val="18"/>
              </w:rPr>
            </w:pPr>
            <w:r w:rsidRPr="00AA6879">
              <w:rPr>
                <w:b/>
                <w:color w:val="000000"/>
                <w:sz w:val="18"/>
                <w:szCs w:val="18"/>
              </w:rPr>
              <w:t>2015</w:t>
            </w:r>
          </w:p>
        </w:tc>
        <w:tc>
          <w:tcPr>
            <w:tcW w:w="423" w:type="pct"/>
            <w:shd w:val="clear" w:color="auto" w:fill="auto"/>
            <w:noWrap/>
            <w:vAlign w:val="center"/>
            <w:hideMark/>
          </w:tcPr>
          <w:p w14:paraId="3213BB22" w14:textId="77777777" w:rsidR="00881780" w:rsidRPr="00AA6879" w:rsidRDefault="00881780" w:rsidP="006F4D8F">
            <w:pPr>
              <w:spacing w:before="0" w:line="240" w:lineRule="auto"/>
              <w:rPr>
                <w:b/>
                <w:color w:val="000000"/>
                <w:sz w:val="18"/>
                <w:szCs w:val="18"/>
              </w:rPr>
            </w:pPr>
            <w:r w:rsidRPr="00AA6879">
              <w:rPr>
                <w:b/>
                <w:color w:val="000000"/>
                <w:sz w:val="18"/>
                <w:szCs w:val="18"/>
              </w:rPr>
              <w:t>2016</w:t>
            </w:r>
          </w:p>
        </w:tc>
        <w:tc>
          <w:tcPr>
            <w:tcW w:w="423" w:type="pct"/>
            <w:shd w:val="clear" w:color="auto" w:fill="auto"/>
            <w:noWrap/>
            <w:vAlign w:val="center"/>
            <w:hideMark/>
          </w:tcPr>
          <w:p w14:paraId="39FECC10" w14:textId="77777777" w:rsidR="00881780" w:rsidRPr="00AA6879" w:rsidRDefault="00881780" w:rsidP="006F4D8F">
            <w:pPr>
              <w:spacing w:before="0" w:line="240" w:lineRule="auto"/>
              <w:rPr>
                <w:b/>
                <w:color w:val="000000"/>
                <w:sz w:val="18"/>
                <w:szCs w:val="18"/>
              </w:rPr>
            </w:pPr>
            <w:r w:rsidRPr="00AA6879">
              <w:rPr>
                <w:b/>
                <w:color w:val="000000"/>
                <w:sz w:val="18"/>
                <w:szCs w:val="18"/>
              </w:rPr>
              <w:t>2017</w:t>
            </w:r>
          </w:p>
        </w:tc>
        <w:tc>
          <w:tcPr>
            <w:tcW w:w="422" w:type="pct"/>
            <w:shd w:val="clear" w:color="auto" w:fill="auto"/>
            <w:noWrap/>
            <w:vAlign w:val="center"/>
            <w:hideMark/>
          </w:tcPr>
          <w:p w14:paraId="7EE74AF0" w14:textId="77777777" w:rsidR="00881780" w:rsidRPr="00AA6879" w:rsidRDefault="00881780" w:rsidP="006F4D8F">
            <w:pPr>
              <w:spacing w:before="0" w:line="240" w:lineRule="auto"/>
              <w:rPr>
                <w:b/>
                <w:color w:val="000000"/>
                <w:sz w:val="18"/>
                <w:szCs w:val="18"/>
              </w:rPr>
            </w:pPr>
            <w:r w:rsidRPr="00AA6879">
              <w:rPr>
                <w:b/>
                <w:color w:val="000000"/>
                <w:sz w:val="18"/>
                <w:szCs w:val="18"/>
              </w:rPr>
              <w:t>2018</w:t>
            </w:r>
          </w:p>
        </w:tc>
      </w:tr>
      <w:tr w:rsidR="00881780" w:rsidRPr="00AA6879" w14:paraId="4451C4C3" w14:textId="77777777" w:rsidTr="00AA6879">
        <w:trPr>
          <w:trHeight w:val="340"/>
        </w:trPr>
        <w:tc>
          <w:tcPr>
            <w:tcW w:w="1953" w:type="pct"/>
            <w:shd w:val="clear" w:color="auto" w:fill="auto"/>
            <w:noWrap/>
            <w:vAlign w:val="center"/>
            <w:hideMark/>
          </w:tcPr>
          <w:p w14:paraId="5D689073" w14:textId="7139F7AE" w:rsidR="00881780" w:rsidRPr="00AA6879" w:rsidRDefault="00881780" w:rsidP="00AA6879">
            <w:pPr>
              <w:spacing w:before="0" w:line="240" w:lineRule="auto"/>
              <w:rPr>
                <w:color w:val="000000"/>
                <w:sz w:val="18"/>
                <w:szCs w:val="18"/>
              </w:rPr>
            </w:pPr>
            <w:r w:rsidRPr="00AA6879">
              <w:rPr>
                <w:color w:val="000000"/>
                <w:sz w:val="18"/>
                <w:szCs w:val="18"/>
              </w:rPr>
              <w:t>Zarejestrowani bezrobotni ogółem (w tys.)</w:t>
            </w:r>
            <w:r w:rsidR="00AA6879" w:rsidRPr="00AA6879">
              <w:rPr>
                <w:color w:val="000000"/>
                <w:sz w:val="18"/>
                <w:szCs w:val="18"/>
              </w:rPr>
              <w:t xml:space="preserve"> </w:t>
            </w:r>
          </w:p>
        </w:tc>
        <w:tc>
          <w:tcPr>
            <w:tcW w:w="509" w:type="pct"/>
            <w:shd w:val="clear" w:color="auto" w:fill="auto"/>
            <w:noWrap/>
            <w:vAlign w:val="center"/>
            <w:hideMark/>
          </w:tcPr>
          <w:p w14:paraId="0F7A8085" w14:textId="77777777" w:rsidR="00881780" w:rsidRPr="00AA6879" w:rsidRDefault="00881780" w:rsidP="006F4D8F">
            <w:pPr>
              <w:spacing w:before="0" w:line="240" w:lineRule="auto"/>
              <w:rPr>
                <w:color w:val="000000"/>
                <w:sz w:val="18"/>
                <w:szCs w:val="18"/>
              </w:rPr>
            </w:pPr>
            <w:r w:rsidRPr="00AA6879">
              <w:rPr>
                <w:color w:val="000000"/>
                <w:sz w:val="18"/>
                <w:szCs w:val="18"/>
              </w:rPr>
              <w:t>112521</w:t>
            </w:r>
          </w:p>
        </w:tc>
        <w:tc>
          <w:tcPr>
            <w:tcW w:w="423" w:type="pct"/>
            <w:shd w:val="clear" w:color="auto" w:fill="auto"/>
            <w:noWrap/>
            <w:vAlign w:val="center"/>
            <w:hideMark/>
          </w:tcPr>
          <w:p w14:paraId="69A121A4" w14:textId="77777777" w:rsidR="00881780" w:rsidRPr="00AA6879" w:rsidRDefault="00881780" w:rsidP="006F4D8F">
            <w:pPr>
              <w:spacing w:before="0" w:line="240" w:lineRule="auto"/>
              <w:rPr>
                <w:color w:val="000000"/>
                <w:sz w:val="18"/>
                <w:szCs w:val="18"/>
              </w:rPr>
            </w:pPr>
            <w:r w:rsidRPr="00AA6879">
              <w:rPr>
                <w:color w:val="000000"/>
                <w:sz w:val="18"/>
                <w:szCs w:val="18"/>
              </w:rPr>
              <w:t>111063</w:t>
            </w:r>
          </w:p>
        </w:tc>
        <w:tc>
          <w:tcPr>
            <w:tcW w:w="423" w:type="pct"/>
            <w:shd w:val="clear" w:color="auto" w:fill="auto"/>
            <w:noWrap/>
            <w:vAlign w:val="center"/>
            <w:hideMark/>
          </w:tcPr>
          <w:p w14:paraId="65947AAD" w14:textId="77777777" w:rsidR="00881780" w:rsidRPr="00AA6879" w:rsidRDefault="00881780" w:rsidP="006F4D8F">
            <w:pPr>
              <w:spacing w:before="0" w:line="240" w:lineRule="auto"/>
              <w:rPr>
                <w:color w:val="000000"/>
                <w:sz w:val="18"/>
                <w:szCs w:val="18"/>
              </w:rPr>
            </w:pPr>
            <w:r w:rsidRPr="00AA6879">
              <w:rPr>
                <w:color w:val="000000"/>
                <w:sz w:val="18"/>
                <w:szCs w:val="18"/>
              </w:rPr>
              <w:t>94465</w:t>
            </w:r>
          </w:p>
        </w:tc>
        <w:tc>
          <w:tcPr>
            <w:tcW w:w="423" w:type="pct"/>
            <w:shd w:val="clear" w:color="auto" w:fill="auto"/>
            <w:noWrap/>
            <w:vAlign w:val="center"/>
            <w:hideMark/>
          </w:tcPr>
          <w:p w14:paraId="0C33207C" w14:textId="77777777" w:rsidR="00881780" w:rsidRPr="00AA6879" w:rsidRDefault="00881780" w:rsidP="006F4D8F">
            <w:pPr>
              <w:spacing w:before="0" w:line="240" w:lineRule="auto"/>
              <w:rPr>
                <w:color w:val="000000"/>
                <w:sz w:val="18"/>
                <w:szCs w:val="18"/>
              </w:rPr>
            </w:pPr>
            <w:r w:rsidRPr="00AA6879">
              <w:rPr>
                <w:color w:val="000000"/>
                <w:sz w:val="18"/>
                <w:szCs w:val="18"/>
              </w:rPr>
              <w:t>79393</w:t>
            </w:r>
          </w:p>
        </w:tc>
        <w:tc>
          <w:tcPr>
            <w:tcW w:w="423" w:type="pct"/>
            <w:shd w:val="clear" w:color="auto" w:fill="auto"/>
            <w:noWrap/>
            <w:vAlign w:val="center"/>
            <w:hideMark/>
          </w:tcPr>
          <w:p w14:paraId="2071DC29" w14:textId="77777777" w:rsidR="00881780" w:rsidRPr="00AA6879" w:rsidRDefault="00881780" w:rsidP="006F4D8F">
            <w:pPr>
              <w:spacing w:before="0" w:line="240" w:lineRule="auto"/>
              <w:rPr>
                <w:color w:val="000000"/>
                <w:sz w:val="18"/>
                <w:szCs w:val="18"/>
              </w:rPr>
            </w:pPr>
            <w:r w:rsidRPr="00AA6879">
              <w:rPr>
                <w:color w:val="000000"/>
                <w:sz w:val="18"/>
                <w:szCs w:val="18"/>
              </w:rPr>
              <w:t>65842</w:t>
            </w:r>
          </w:p>
        </w:tc>
        <w:tc>
          <w:tcPr>
            <w:tcW w:w="423" w:type="pct"/>
            <w:shd w:val="clear" w:color="auto" w:fill="auto"/>
            <w:noWrap/>
            <w:vAlign w:val="center"/>
            <w:hideMark/>
          </w:tcPr>
          <w:p w14:paraId="4B17E3B1" w14:textId="77777777" w:rsidR="00881780" w:rsidRPr="00AA6879" w:rsidRDefault="00881780" w:rsidP="006F4D8F">
            <w:pPr>
              <w:spacing w:before="0" w:line="240" w:lineRule="auto"/>
              <w:rPr>
                <w:color w:val="000000"/>
                <w:sz w:val="18"/>
                <w:szCs w:val="18"/>
              </w:rPr>
            </w:pPr>
            <w:r w:rsidRPr="00AA6879">
              <w:rPr>
                <w:color w:val="000000"/>
                <w:sz w:val="18"/>
                <w:szCs w:val="18"/>
              </w:rPr>
              <w:t>52599</w:t>
            </w:r>
          </w:p>
        </w:tc>
        <w:tc>
          <w:tcPr>
            <w:tcW w:w="422" w:type="pct"/>
            <w:shd w:val="clear" w:color="auto" w:fill="auto"/>
            <w:noWrap/>
            <w:vAlign w:val="center"/>
            <w:hideMark/>
          </w:tcPr>
          <w:p w14:paraId="6E86CC1F" w14:textId="77777777" w:rsidR="00881780" w:rsidRPr="00AA6879" w:rsidRDefault="00881780" w:rsidP="006F4D8F">
            <w:pPr>
              <w:spacing w:before="0" w:line="240" w:lineRule="auto"/>
              <w:rPr>
                <w:color w:val="000000"/>
                <w:sz w:val="18"/>
                <w:szCs w:val="18"/>
              </w:rPr>
            </w:pPr>
            <w:r w:rsidRPr="00AA6879">
              <w:rPr>
                <w:color w:val="000000"/>
                <w:sz w:val="18"/>
                <w:szCs w:val="18"/>
              </w:rPr>
              <w:t>46002</w:t>
            </w:r>
          </w:p>
        </w:tc>
      </w:tr>
      <w:tr w:rsidR="00881780" w:rsidRPr="00AA6879" w14:paraId="07D58126" w14:textId="77777777" w:rsidTr="00AA6879">
        <w:trPr>
          <w:trHeight w:val="340"/>
        </w:trPr>
        <w:tc>
          <w:tcPr>
            <w:tcW w:w="1953" w:type="pct"/>
            <w:shd w:val="clear" w:color="auto" w:fill="auto"/>
            <w:noWrap/>
            <w:vAlign w:val="center"/>
            <w:hideMark/>
          </w:tcPr>
          <w:p w14:paraId="0FF63E4A" w14:textId="77777777" w:rsidR="00881780" w:rsidRPr="00AA6879" w:rsidRDefault="00881780" w:rsidP="006F4D8F">
            <w:pPr>
              <w:spacing w:before="0" w:line="240" w:lineRule="auto"/>
              <w:rPr>
                <w:color w:val="000000"/>
                <w:sz w:val="18"/>
                <w:szCs w:val="18"/>
              </w:rPr>
            </w:pPr>
            <w:r w:rsidRPr="00AA6879">
              <w:rPr>
                <w:color w:val="000000"/>
                <w:sz w:val="18"/>
                <w:szCs w:val="18"/>
              </w:rPr>
              <w:t>Bez kwalifikacji (w tys.)</w:t>
            </w:r>
          </w:p>
        </w:tc>
        <w:tc>
          <w:tcPr>
            <w:tcW w:w="509" w:type="pct"/>
            <w:shd w:val="clear" w:color="auto" w:fill="auto"/>
            <w:noWrap/>
            <w:vAlign w:val="center"/>
            <w:hideMark/>
          </w:tcPr>
          <w:p w14:paraId="74C0615D" w14:textId="77777777" w:rsidR="00881780" w:rsidRPr="00AA6879" w:rsidRDefault="00881780" w:rsidP="006F4D8F">
            <w:pPr>
              <w:spacing w:before="0" w:line="240" w:lineRule="auto"/>
              <w:rPr>
                <w:color w:val="000000"/>
                <w:sz w:val="18"/>
                <w:szCs w:val="18"/>
              </w:rPr>
            </w:pPr>
            <w:r w:rsidRPr="00AA6879">
              <w:rPr>
                <w:color w:val="000000"/>
                <w:sz w:val="18"/>
                <w:szCs w:val="18"/>
              </w:rPr>
              <w:t>35 333</w:t>
            </w:r>
          </w:p>
        </w:tc>
        <w:tc>
          <w:tcPr>
            <w:tcW w:w="423" w:type="pct"/>
            <w:shd w:val="clear" w:color="auto" w:fill="auto"/>
            <w:noWrap/>
            <w:vAlign w:val="center"/>
            <w:hideMark/>
          </w:tcPr>
          <w:p w14:paraId="13642DBD" w14:textId="77777777" w:rsidR="00881780" w:rsidRPr="00AA6879" w:rsidRDefault="00881780" w:rsidP="006F4D8F">
            <w:pPr>
              <w:spacing w:before="0" w:line="240" w:lineRule="auto"/>
              <w:rPr>
                <w:color w:val="000000"/>
                <w:sz w:val="18"/>
                <w:szCs w:val="18"/>
              </w:rPr>
            </w:pPr>
            <w:r w:rsidRPr="00AA6879">
              <w:rPr>
                <w:color w:val="000000"/>
                <w:sz w:val="18"/>
                <w:szCs w:val="18"/>
              </w:rPr>
              <w:t>35 572</w:t>
            </w:r>
          </w:p>
        </w:tc>
        <w:tc>
          <w:tcPr>
            <w:tcW w:w="423" w:type="pct"/>
            <w:shd w:val="clear" w:color="auto" w:fill="auto"/>
            <w:noWrap/>
            <w:vAlign w:val="center"/>
            <w:hideMark/>
          </w:tcPr>
          <w:p w14:paraId="053B765E" w14:textId="77777777" w:rsidR="00881780" w:rsidRPr="00AA6879" w:rsidRDefault="00881780" w:rsidP="006F4D8F">
            <w:pPr>
              <w:spacing w:before="0" w:line="240" w:lineRule="auto"/>
              <w:rPr>
                <w:color w:val="000000"/>
                <w:sz w:val="18"/>
                <w:szCs w:val="18"/>
              </w:rPr>
            </w:pPr>
            <w:r w:rsidRPr="00AA6879">
              <w:rPr>
                <w:color w:val="000000"/>
                <w:sz w:val="18"/>
                <w:szCs w:val="18"/>
              </w:rPr>
              <w:t>29 926</w:t>
            </w:r>
          </w:p>
        </w:tc>
        <w:tc>
          <w:tcPr>
            <w:tcW w:w="423" w:type="pct"/>
            <w:shd w:val="clear" w:color="auto" w:fill="auto"/>
            <w:noWrap/>
            <w:vAlign w:val="center"/>
            <w:hideMark/>
          </w:tcPr>
          <w:p w14:paraId="5538AB4B" w14:textId="77777777" w:rsidR="00881780" w:rsidRPr="00AA6879" w:rsidRDefault="00881780" w:rsidP="006F4D8F">
            <w:pPr>
              <w:spacing w:before="0" w:line="240" w:lineRule="auto"/>
              <w:rPr>
                <w:color w:val="000000"/>
                <w:sz w:val="18"/>
                <w:szCs w:val="18"/>
              </w:rPr>
            </w:pPr>
            <w:r w:rsidRPr="00AA6879">
              <w:rPr>
                <w:color w:val="000000"/>
                <w:sz w:val="18"/>
                <w:szCs w:val="18"/>
              </w:rPr>
              <w:t>25 557</w:t>
            </w:r>
          </w:p>
        </w:tc>
        <w:tc>
          <w:tcPr>
            <w:tcW w:w="423" w:type="pct"/>
            <w:shd w:val="clear" w:color="auto" w:fill="auto"/>
            <w:noWrap/>
            <w:vAlign w:val="center"/>
            <w:hideMark/>
          </w:tcPr>
          <w:p w14:paraId="7A105075" w14:textId="77777777" w:rsidR="00881780" w:rsidRPr="00AA6879" w:rsidRDefault="00881780" w:rsidP="006F4D8F">
            <w:pPr>
              <w:spacing w:before="0" w:line="240" w:lineRule="auto"/>
              <w:rPr>
                <w:color w:val="000000"/>
                <w:sz w:val="18"/>
                <w:szCs w:val="18"/>
              </w:rPr>
            </w:pPr>
            <w:r w:rsidRPr="00AA6879">
              <w:rPr>
                <w:color w:val="000000"/>
                <w:sz w:val="18"/>
                <w:szCs w:val="18"/>
              </w:rPr>
              <w:t>21 385</w:t>
            </w:r>
          </w:p>
        </w:tc>
        <w:tc>
          <w:tcPr>
            <w:tcW w:w="423" w:type="pct"/>
            <w:shd w:val="clear" w:color="auto" w:fill="auto"/>
            <w:noWrap/>
            <w:vAlign w:val="center"/>
            <w:hideMark/>
          </w:tcPr>
          <w:p w14:paraId="5EEB8E24" w14:textId="77777777" w:rsidR="00881780" w:rsidRPr="00AA6879" w:rsidRDefault="00881780" w:rsidP="006F4D8F">
            <w:pPr>
              <w:spacing w:before="0" w:line="240" w:lineRule="auto"/>
              <w:rPr>
                <w:color w:val="000000"/>
                <w:sz w:val="18"/>
                <w:szCs w:val="18"/>
              </w:rPr>
            </w:pPr>
            <w:r w:rsidRPr="00AA6879">
              <w:rPr>
                <w:color w:val="000000"/>
                <w:sz w:val="18"/>
                <w:szCs w:val="18"/>
              </w:rPr>
              <w:t>17 331</w:t>
            </w:r>
          </w:p>
        </w:tc>
        <w:tc>
          <w:tcPr>
            <w:tcW w:w="422" w:type="pct"/>
            <w:shd w:val="clear" w:color="auto" w:fill="auto"/>
            <w:noWrap/>
            <w:vAlign w:val="center"/>
            <w:hideMark/>
          </w:tcPr>
          <w:p w14:paraId="0DB8DBD0" w14:textId="77777777" w:rsidR="00881780" w:rsidRPr="00AA6879" w:rsidRDefault="00881780" w:rsidP="006F4D8F">
            <w:pPr>
              <w:spacing w:before="0" w:line="240" w:lineRule="auto"/>
              <w:rPr>
                <w:color w:val="000000"/>
                <w:sz w:val="18"/>
                <w:szCs w:val="18"/>
              </w:rPr>
            </w:pPr>
            <w:r w:rsidRPr="00AA6879">
              <w:rPr>
                <w:color w:val="000000"/>
                <w:sz w:val="18"/>
                <w:szCs w:val="18"/>
              </w:rPr>
              <w:t>15 374</w:t>
            </w:r>
          </w:p>
        </w:tc>
      </w:tr>
      <w:tr w:rsidR="00881780" w:rsidRPr="00AA6879" w14:paraId="6E89ACC9" w14:textId="77777777" w:rsidTr="00AA6879">
        <w:trPr>
          <w:trHeight w:val="340"/>
        </w:trPr>
        <w:tc>
          <w:tcPr>
            <w:tcW w:w="1953" w:type="pct"/>
            <w:shd w:val="clear" w:color="auto" w:fill="auto"/>
            <w:noWrap/>
            <w:vAlign w:val="center"/>
            <w:hideMark/>
          </w:tcPr>
          <w:p w14:paraId="24C84654" w14:textId="77777777" w:rsidR="00881780" w:rsidRPr="00AA6879" w:rsidRDefault="00881780" w:rsidP="006F4D8F">
            <w:pPr>
              <w:spacing w:before="0" w:line="240" w:lineRule="auto"/>
              <w:rPr>
                <w:color w:val="000000"/>
                <w:sz w:val="18"/>
                <w:szCs w:val="18"/>
              </w:rPr>
            </w:pPr>
            <w:r w:rsidRPr="00AA6879">
              <w:rPr>
                <w:color w:val="000000"/>
                <w:sz w:val="18"/>
                <w:szCs w:val="18"/>
              </w:rPr>
              <w:t>Bez kwalifikacji (%)</w:t>
            </w:r>
          </w:p>
        </w:tc>
        <w:tc>
          <w:tcPr>
            <w:tcW w:w="509" w:type="pct"/>
            <w:shd w:val="clear" w:color="auto" w:fill="auto"/>
            <w:noWrap/>
            <w:vAlign w:val="center"/>
            <w:hideMark/>
          </w:tcPr>
          <w:p w14:paraId="323ECED8" w14:textId="77777777" w:rsidR="00881780" w:rsidRPr="00AA6879" w:rsidRDefault="00881780" w:rsidP="006F4D8F">
            <w:pPr>
              <w:spacing w:before="0" w:line="240" w:lineRule="auto"/>
              <w:rPr>
                <w:color w:val="000000"/>
                <w:sz w:val="18"/>
                <w:szCs w:val="18"/>
              </w:rPr>
            </w:pPr>
            <w:r w:rsidRPr="00AA6879">
              <w:rPr>
                <w:color w:val="000000"/>
                <w:sz w:val="18"/>
                <w:szCs w:val="18"/>
              </w:rPr>
              <w:t>31,40</w:t>
            </w:r>
          </w:p>
        </w:tc>
        <w:tc>
          <w:tcPr>
            <w:tcW w:w="423" w:type="pct"/>
            <w:shd w:val="clear" w:color="auto" w:fill="auto"/>
            <w:noWrap/>
            <w:vAlign w:val="center"/>
            <w:hideMark/>
          </w:tcPr>
          <w:p w14:paraId="2E921581" w14:textId="77777777" w:rsidR="00881780" w:rsidRPr="00AA6879" w:rsidRDefault="00881780" w:rsidP="006F4D8F">
            <w:pPr>
              <w:spacing w:before="0" w:line="240" w:lineRule="auto"/>
              <w:rPr>
                <w:color w:val="000000"/>
                <w:sz w:val="18"/>
                <w:szCs w:val="18"/>
              </w:rPr>
            </w:pPr>
            <w:r w:rsidRPr="00AA6879">
              <w:rPr>
                <w:color w:val="000000"/>
                <w:sz w:val="18"/>
                <w:szCs w:val="18"/>
              </w:rPr>
              <w:t>32,03</w:t>
            </w:r>
          </w:p>
        </w:tc>
        <w:tc>
          <w:tcPr>
            <w:tcW w:w="423" w:type="pct"/>
            <w:shd w:val="clear" w:color="auto" w:fill="auto"/>
            <w:noWrap/>
            <w:vAlign w:val="center"/>
            <w:hideMark/>
          </w:tcPr>
          <w:p w14:paraId="354FB1F5" w14:textId="77777777" w:rsidR="00881780" w:rsidRPr="00AA6879" w:rsidRDefault="00881780" w:rsidP="006F4D8F">
            <w:pPr>
              <w:spacing w:before="0" w:line="240" w:lineRule="auto"/>
              <w:rPr>
                <w:color w:val="000000"/>
                <w:sz w:val="18"/>
                <w:szCs w:val="18"/>
              </w:rPr>
            </w:pPr>
            <w:r w:rsidRPr="00AA6879">
              <w:rPr>
                <w:color w:val="000000"/>
                <w:sz w:val="18"/>
                <w:szCs w:val="18"/>
              </w:rPr>
              <w:t>31,68</w:t>
            </w:r>
          </w:p>
        </w:tc>
        <w:tc>
          <w:tcPr>
            <w:tcW w:w="423" w:type="pct"/>
            <w:shd w:val="clear" w:color="auto" w:fill="auto"/>
            <w:noWrap/>
            <w:vAlign w:val="center"/>
            <w:hideMark/>
          </w:tcPr>
          <w:p w14:paraId="4D6AD168" w14:textId="77777777" w:rsidR="00881780" w:rsidRPr="00AA6879" w:rsidRDefault="00881780" w:rsidP="006F4D8F">
            <w:pPr>
              <w:spacing w:before="0" w:line="240" w:lineRule="auto"/>
              <w:rPr>
                <w:color w:val="000000"/>
                <w:sz w:val="18"/>
                <w:szCs w:val="18"/>
              </w:rPr>
            </w:pPr>
            <w:r w:rsidRPr="00AA6879">
              <w:rPr>
                <w:color w:val="000000"/>
                <w:sz w:val="18"/>
                <w:szCs w:val="18"/>
              </w:rPr>
              <w:t>32,19</w:t>
            </w:r>
          </w:p>
        </w:tc>
        <w:tc>
          <w:tcPr>
            <w:tcW w:w="423" w:type="pct"/>
            <w:shd w:val="clear" w:color="auto" w:fill="auto"/>
            <w:noWrap/>
            <w:vAlign w:val="center"/>
            <w:hideMark/>
          </w:tcPr>
          <w:p w14:paraId="15F04E9D" w14:textId="77777777" w:rsidR="00881780" w:rsidRPr="00AA6879" w:rsidRDefault="00881780" w:rsidP="006F4D8F">
            <w:pPr>
              <w:spacing w:before="0" w:line="240" w:lineRule="auto"/>
              <w:rPr>
                <w:color w:val="000000"/>
                <w:sz w:val="18"/>
                <w:szCs w:val="18"/>
              </w:rPr>
            </w:pPr>
            <w:r w:rsidRPr="00AA6879">
              <w:rPr>
                <w:color w:val="000000"/>
                <w:sz w:val="18"/>
                <w:szCs w:val="18"/>
              </w:rPr>
              <w:t>32,48</w:t>
            </w:r>
          </w:p>
        </w:tc>
        <w:tc>
          <w:tcPr>
            <w:tcW w:w="423" w:type="pct"/>
            <w:shd w:val="clear" w:color="auto" w:fill="auto"/>
            <w:noWrap/>
            <w:vAlign w:val="center"/>
            <w:hideMark/>
          </w:tcPr>
          <w:p w14:paraId="3F04899E" w14:textId="77777777" w:rsidR="00881780" w:rsidRPr="00AA6879" w:rsidRDefault="00881780" w:rsidP="006F4D8F">
            <w:pPr>
              <w:spacing w:before="0" w:line="240" w:lineRule="auto"/>
              <w:rPr>
                <w:color w:val="000000"/>
                <w:sz w:val="18"/>
                <w:szCs w:val="18"/>
              </w:rPr>
            </w:pPr>
            <w:r w:rsidRPr="00AA6879">
              <w:rPr>
                <w:color w:val="000000"/>
                <w:sz w:val="18"/>
                <w:szCs w:val="18"/>
              </w:rPr>
              <w:t>32,95</w:t>
            </w:r>
          </w:p>
        </w:tc>
        <w:tc>
          <w:tcPr>
            <w:tcW w:w="422" w:type="pct"/>
            <w:shd w:val="clear" w:color="auto" w:fill="auto"/>
            <w:noWrap/>
            <w:vAlign w:val="center"/>
            <w:hideMark/>
          </w:tcPr>
          <w:p w14:paraId="2C204F29" w14:textId="77777777" w:rsidR="00881780" w:rsidRPr="00AA6879" w:rsidRDefault="00881780" w:rsidP="006F4D8F">
            <w:pPr>
              <w:spacing w:before="0" w:line="240" w:lineRule="auto"/>
              <w:rPr>
                <w:color w:val="000000"/>
                <w:sz w:val="18"/>
                <w:szCs w:val="18"/>
              </w:rPr>
            </w:pPr>
            <w:r w:rsidRPr="00AA6879">
              <w:rPr>
                <w:color w:val="000000"/>
                <w:sz w:val="18"/>
                <w:szCs w:val="18"/>
              </w:rPr>
              <w:t>33,42</w:t>
            </w:r>
          </w:p>
        </w:tc>
      </w:tr>
      <w:tr w:rsidR="00881780" w:rsidRPr="00AA6879" w14:paraId="764B0618" w14:textId="77777777" w:rsidTr="00AA6879">
        <w:trPr>
          <w:trHeight w:val="340"/>
        </w:trPr>
        <w:tc>
          <w:tcPr>
            <w:tcW w:w="1953" w:type="pct"/>
            <w:shd w:val="clear" w:color="auto" w:fill="C6D9F1"/>
            <w:noWrap/>
            <w:hideMark/>
          </w:tcPr>
          <w:p w14:paraId="32B69381" w14:textId="77777777" w:rsidR="00881780" w:rsidRPr="00AA6879" w:rsidRDefault="00881780" w:rsidP="006F4D8F">
            <w:pPr>
              <w:spacing w:before="0" w:line="240" w:lineRule="auto"/>
              <w:rPr>
                <w:color w:val="000000"/>
                <w:sz w:val="18"/>
                <w:szCs w:val="18"/>
              </w:rPr>
            </w:pPr>
            <w:r w:rsidRPr="00AA6879">
              <w:rPr>
                <w:color w:val="000000"/>
                <w:sz w:val="18"/>
                <w:szCs w:val="18"/>
              </w:rPr>
              <w:t>Bez doświadczenia zawodowego (w tys.)</w:t>
            </w:r>
          </w:p>
        </w:tc>
        <w:tc>
          <w:tcPr>
            <w:tcW w:w="509" w:type="pct"/>
            <w:shd w:val="clear" w:color="auto" w:fill="C6D9F1"/>
            <w:noWrap/>
            <w:hideMark/>
          </w:tcPr>
          <w:p w14:paraId="214598B4" w14:textId="77777777" w:rsidR="00881780" w:rsidRPr="00AA6879" w:rsidRDefault="00881780" w:rsidP="006F4D8F">
            <w:pPr>
              <w:spacing w:before="0" w:line="240" w:lineRule="auto"/>
              <w:rPr>
                <w:color w:val="000000"/>
                <w:sz w:val="18"/>
                <w:szCs w:val="18"/>
              </w:rPr>
            </w:pPr>
            <w:r w:rsidRPr="00AA6879">
              <w:rPr>
                <w:color w:val="000000"/>
                <w:sz w:val="18"/>
                <w:szCs w:val="18"/>
              </w:rPr>
              <w:t>27 251</w:t>
            </w:r>
          </w:p>
        </w:tc>
        <w:tc>
          <w:tcPr>
            <w:tcW w:w="423" w:type="pct"/>
            <w:shd w:val="clear" w:color="auto" w:fill="C6D9F1"/>
            <w:noWrap/>
            <w:hideMark/>
          </w:tcPr>
          <w:p w14:paraId="05FFE6E5" w14:textId="77777777" w:rsidR="00881780" w:rsidRPr="00AA6879" w:rsidRDefault="00881780" w:rsidP="006F4D8F">
            <w:pPr>
              <w:spacing w:before="0" w:line="240" w:lineRule="auto"/>
              <w:rPr>
                <w:color w:val="000000"/>
                <w:sz w:val="18"/>
                <w:szCs w:val="18"/>
              </w:rPr>
            </w:pPr>
            <w:r w:rsidRPr="00AA6879">
              <w:rPr>
                <w:color w:val="000000"/>
                <w:sz w:val="18"/>
                <w:szCs w:val="18"/>
              </w:rPr>
              <w:t>26 096</w:t>
            </w:r>
          </w:p>
        </w:tc>
        <w:tc>
          <w:tcPr>
            <w:tcW w:w="423" w:type="pct"/>
            <w:shd w:val="clear" w:color="auto" w:fill="C6D9F1"/>
            <w:noWrap/>
            <w:hideMark/>
          </w:tcPr>
          <w:p w14:paraId="454986D4" w14:textId="77777777" w:rsidR="00881780" w:rsidRPr="00AA6879" w:rsidRDefault="00881780" w:rsidP="006F4D8F">
            <w:pPr>
              <w:spacing w:before="0" w:line="240" w:lineRule="auto"/>
              <w:rPr>
                <w:color w:val="000000"/>
                <w:sz w:val="18"/>
                <w:szCs w:val="18"/>
              </w:rPr>
            </w:pPr>
            <w:r w:rsidRPr="00AA6879">
              <w:rPr>
                <w:color w:val="000000"/>
                <w:sz w:val="18"/>
                <w:szCs w:val="18"/>
              </w:rPr>
              <w:t>21 448</w:t>
            </w:r>
          </w:p>
        </w:tc>
        <w:tc>
          <w:tcPr>
            <w:tcW w:w="423" w:type="pct"/>
            <w:shd w:val="clear" w:color="auto" w:fill="C6D9F1"/>
            <w:noWrap/>
            <w:hideMark/>
          </w:tcPr>
          <w:p w14:paraId="30C6503A" w14:textId="77777777" w:rsidR="00881780" w:rsidRPr="00AA6879" w:rsidRDefault="00881780" w:rsidP="006F4D8F">
            <w:pPr>
              <w:spacing w:before="0" w:line="240" w:lineRule="auto"/>
              <w:rPr>
                <w:color w:val="000000"/>
                <w:sz w:val="18"/>
                <w:szCs w:val="18"/>
              </w:rPr>
            </w:pPr>
            <w:r w:rsidRPr="00AA6879">
              <w:rPr>
                <w:color w:val="000000"/>
                <w:sz w:val="18"/>
                <w:szCs w:val="18"/>
              </w:rPr>
              <w:t>17 118</w:t>
            </w:r>
          </w:p>
        </w:tc>
        <w:tc>
          <w:tcPr>
            <w:tcW w:w="423" w:type="pct"/>
            <w:shd w:val="clear" w:color="auto" w:fill="C6D9F1"/>
            <w:noWrap/>
            <w:hideMark/>
          </w:tcPr>
          <w:p w14:paraId="43009969" w14:textId="77777777" w:rsidR="00881780" w:rsidRPr="00AA6879" w:rsidRDefault="00881780" w:rsidP="006F4D8F">
            <w:pPr>
              <w:spacing w:before="0" w:line="240" w:lineRule="auto"/>
              <w:rPr>
                <w:color w:val="000000"/>
                <w:sz w:val="18"/>
                <w:szCs w:val="18"/>
              </w:rPr>
            </w:pPr>
            <w:r w:rsidRPr="00AA6879">
              <w:rPr>
                <w:color w:val="000000"/>
                <w:sz w:val="18"/>
                <w:szCs w:val="18"/>
              </w:rPr>
              <w:t>13 269</w:t>
            </w:r>
          </w:p>
        </w:tc>
        <w:tc>
          <w:tcPr>
            <w:tcW w:w="423" w:type="pct"/>
            <w:shd w:val="clear" w:color="auto" w:fill="C6D9F1"/>
            <w:noWrap/>
            <w:hideMark/>
          </w:tcPr>
          <w:p w14:paraId="090A30E8" w14:textId="77777777" w:rsidR="00881780" w:rsidRPr="00AA6879" w:rsidRDefault="00881780" w:rsidP="006F4D8F">
            <w:pPr>
              <w:spacing w:before="0" w:line="240" w:lineRule="auto"/>
              <w:rPr>
                <w:color w:val="000000"/>
                <w:sz w:val="18"/>
                <w:szCs w:val="18"/>
              </w:rPr>
            </w:pPr>
            <w:r w:rsidRPr="00AA6879">
              <w:rPr>
                <w:color w:val="000000"/>
                <w:sz w:val="18"/>
                <w:szCs w:val="18"/>
              </w:rPr>
              <w:t>10 372</w:t>
            </w:r>
          </w:p>
        </w:tc>
        <w:tc>
          <w:tcPr>
            <w:tcW w:w="422" w:type="pct"/>
            <w:shd w:val="clear" w:color="auto" w:fill="C6D9F1"/>
            <w:noWrap/>
            <w:hideMark/>
          </w:tcPr>
          <w:p w14:paraId="6702ED00" w14:textId="77777777" w:rsidR="00881780" w:rsidRPr="00AA6879" w:rsidRDefault="00881780" w:rsidP="006F4D8F">
            <w:pPr>
              <w:spacing w:before="0" w:line="240" w:lineRule="auto"/>
              <w:rPr>
                <w:color w:val="000000"/>
                <w:sz w:val="18"/>
                <w:szCs w:val="18"/>
              </w:rPr>
            </w:pPr>
            <w:r w:rsidRPr="00AA6879">
              <w:rPr>
                <w:color w:val="000000"/>
                <w:sz w:val="18"/>
                <w:szCs w:val="18"/>
              </w:rPr>
              <w:t>8 894</w:t>
            </w:r>
          </w:p>
        </w:tc>
      </w:tr>
      <w:tr w:rsidR="00881780" w:rsidRPr="00AA6879" w14:paraId="2B1B82C3" w14:textId="77777777" w:rsidTr="00AA6879">
        <w:trPr>
          <w:trHeight w:val="340"/>
        </w:trPr>
        <w:tc>
          <w:tcPr>
            <w:tcW w:w="1953" w:type="pct"/>
            <w:shd w:val="clear" w:color="auto" w:fill="C6D9F1"/>
            <w:noWrap/>
            <w:hideMark/>
          </w:tcPr>
          <w:p w14:paraId="3735B28B" w14:textId="77777777" w:rsidR="00881780" w:rsidRPr="00AA6879" w:rsidRDefault="00881780" w:rsidP="006F4D8F">
            <w:pPr>
              <w:spacing w:before="0" w:line="240" w:lineRule="auto"/>
              <w:rPr>
                <w:color w:val="000000"/>
                <w:sz w:val="18"/>
                <w:szCs w:val="18"/>
              </w:rPr>
            </w:pPr>
            <w:r w:rsidRPr="00AA6879">
              <w:rPr>
                <w:color w:val="000000"/>
                <w:sz w:val="18"/>
                <w:szCs w:val="18"/>
              </w:rPr>
              <w:t>Bez doświadczenia zawodowego (%)</w:t>
            </w:r>
          </w:p>
        </w:tc>
        <w:tc>
          <w:tcPr>
            <w:tcW w:w="509" w:type="pct"/>
            <w:shd w:val="clear" w:color="auto" w:fill="C6D9F1"/>
            <w:noWrap/>
            <w:hideMark/>
          </w:tcPr>
          <w:p w14:paraId="220F40A9" w14:textId="77777777" w:rsidR="00881780" w:rsidRPr="00AA6879" w:rsidRDefault="00881780" w:rsidP="006F4D8F">
            <w:pPr>
              <w:spacing w:before="0" w:line="240" w:lineRule="auto"/>
              <w:rPr>
                <w:color w:val="000000"/>
                <w:sz w:val="18"/>
                <w:szCs w:val="18"/>
              </w:rPr>
            </w:pPr>
            <w:r w:rsidRPr="00AA6879">
              <w:rPr>
                <w:color w:val="000000"/>
                <w:sz w:val="18"/>
                <w:szCs w:val="18"/>
              </w:rPr>
              <w:t>24,22</w:t>
            </w:r>
          </w:p>
        </w:tc>
        <w:tc>
          <w:tcPr>
            <w:tcW w:w="423" w:type="pct"/>
            <w:shd w:val="clear" w:color="auto" w:fill="C6D9F1"/>
            <w:noWrap/>
            <w:hideMark/>
          </w:tcPr>
          <w:p w14:paraId="3E3055C8" w14:textId="77777777" w:rsidR="00881780" w:rsidRPr="00AA6879" w:rsidRDefault="00881780" w:rsidP="006F4D8F">
            <w:pPr>
              <w:spacing w:before="0" w:line="240" w:lineRule="auto"/>
              <w:rPr>
                <w:color w:val="000000"/>
                <w:sz w:val="18"/>
                <w:szCs w:val="18"/>
              </w:rPr>
            </w:pPr>
            <w:r w:rsidRPr="00AA6879">
              <w:rPr>
                <w:color w:val="000000"/>
                <w:sz w:val="18"/>
                <w:szCs w:val="18"/>
              </w:rPr>
              <w:t>23,50</w:t>
            </w:r>
          </w:p>
        </w:tc>
        <w:tc>
          <w:tcPr>
            <w:tcW w:w="423" w:type="pct"/>
            <w:shd w:val="clear" w:color="auto" w:fill="C6D9F1"/>
            <w:noWrap/>
            <w:hideMark/>
          </w:tcPr>
          <w:p w14:paraId="5F57B0F2" w14:textId="77777777" w:rsidR="00881780" w:rsidRPr="00AA6879" w:rsidRDefault="00881780" w:rsidP="006F4D8F">
            <w:pPr>
              <w:spacing w:before="0" w:line="240" w:lineRule="auto"/>
              <w:rPr>
                <w:color w:val="000000"/>
                <w:sz w:val="18"/>
                <w:szCs w:val="18"/>
              </w:rPr>
            </w:pPr>
            <w:r w:rsidRPr="00AA6879">
              <w:rPr>
                <w:color w:val="000000"/>
                <w:sz w:val="18"/>
                <w:szCs w:val="18"/>
              </w:rPr>
              <w:t>22,70</w:t>
            </w:r>
          </w:p>
        </w:tc>
        <w:tc>
          <w:tcPr>
            <w:tcW w:w="423" w:type="pct"/>
            <w:shd w:val="clear" w:color="auto" w:fill="C6D9F1"/>
            <w:noWrap/>
            <w:hideMark/>
          </w:tcPr>
          <w:p w14:paraId="422C2535" w14:textId="77777777" w:rsidR="00881780" w:rsidRPr="00AA6879" w:rsidRDefault="00881780" w:rsidP="006F4D8F">
            <w:pPr>
              <w:spacing w:before="0" w:line="240" w:lineRule="auto"/>
              <w:rPr>
                <w:color w:val="000000"/>
                <w:sz w:val="18"/>
                <w:szCs w:val="18"/>
              </w:rPr>
            </w:pPr>
            <w:r w:rsidRPr="00AA6879">
              <w:rPr>
                <w:color w:val="000000"/>
                <w:sz w:val="18"/>
                <w:szCs w:val="18"/>
              </w:rPr>
              <w:t>21,56</w:t>
            </w:r>
          </w:p>
        </w:tc>
        <w:tc>
          <w:tcPr>
            <w:tcW w:w="423" w:type="pct"/>
            <w:shd w:val="clear" w:color="auto" w:fill="C6D9F1"/>
            <w:noWrap/>
            <w:hideMark/>
          </w:tcPr>
          <w:p w14:paraId="329C2E4F" w14:textId="77777777" w:rsidR="00881780" w:rsidRPr="00AA6879" w:rsidRDefault="00881780" w:rsidP="006F4D8F">
            <w:pPr>
              <w:spacing w:before="0" w:line="240" w:lineRule="auto"/>
              <w:rPr>
                <w:color w:val="000000"/>
                <w:sz w:val="18"/>
                <w:szCs w:val="18"/>
              </w:rPr>
            </w:pPr>
            <w:r w:rsidRPr="00AA6879">
              <w:rPr>
                <w:color w:val="000000"/>
                <w:sz w:val="18"/>
                <w:szCs w:val="18"/>
              </w:rPr>
              <w:t>20,15</w:t>
            </w:r>
          </w:p>
        </w:tc>
        <w:tc>
          <w:tcPr>
            <w:tcW w:w="423" w:type="pct"/>
            <w:shd w:val="clear" w:color="auto" w:fill="C6D9F1"/>
            <w:noWrap/>
            <w:hideMark/>
          </w:tcPr>
          <w:p w14:paraId="2CA94E30" w14:textId="77777777" w:rsidR="00881780" w:rsidRPr="00AA6879" w:rsidRDefault="00881780" w:rsidP="006F4D8F">
            <w:pPr>
              <w:spacing w:before="0" w:line="240" w:lineRule="auto"/>
              <w:rPr>
                <w:color w:val="000000"/>
                <w:sz w:val="18"/>
                <w:szCs w:val="18"/>
              </w:rPr>
            </w:pPr>
            <w:r w:rsidRPr="00AA6879">
              <w:rPr>
                <w:color w:val="000000"/>
                <w:sz w:val="18"/>
                <w:szCs w:val="18"/>
              </w:rPr>
              <w:t>19,72</w:t>
            </w:r>
          </w:p>
        </w:tc>
        <w:tc>
          <w:tcPr>
            <w:tcW w:w="422" w:type="pct"/>
            <w:shd w:val="clear" w:color="auto" w:fill="C6D9F1"/>
            <w:noWrap/>
            <w:hideMark/>
          </w:tcPr>
          <w:p w14:paraId="762957D5" w14:textId="77777777" w:rsidR="00881780" w:rsidRPr="00AA6879" w:rsidRDefault="00881780" w:rsidP="006F4D8F">
            <w:pPr>
              <w:spacing w:before="0" w:line="240" w:lineRule="auto"/>
              <w:rPr>
                <w:color w:val="000000"/>
                <w:sz w:val="18"/>
                <w:szCs w:val="18"/>
              </w:rPr>
            </w:pPr>
            <w:r w:rsidRPr="00AA6879">
              <w:rPr>
                <w:color w:val="000000"/>
                <w:sz w:val="18"/>
                <w:szCs w:val="18"/>
              </w:rPr>
              <w:t>19,33</w:t>
            </w:r>
          </w:p>
        </w:tc>
      </w:tr>
    </w:tbl>
    <w:p w14:paraId="59743A65" w14:textId="57DFCE1D" w:rsidR="00881780" w:rsidRPr="00EE66C6" w:rsidRDefault="00881780" w:rsidP="005A06CB">
      <w:pPr>
        <w:spacing w:before="0"/>
        <w:rPr>
          <w:i/>
          <w:sz w:val="18"/>
          <w:szCs w:val="20"/>
        </w:rPr>
      </w:pPr>
      <w:bookmarkStart w:id="190" w:name="_Hlk5132695"/>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r w:rsidR="00AA6879">
        <w:rPr>
          <w:i/>
          <w:sz w:val="18"/>
          <w:szCs w:val="20"/>
        </w:rPr>
        <w:t>.</w:t>
      </w:r>
    </w:p>
    <w:p w14:paraId="5AF12070" w14:textId="77777777" w:rsidR="00881780" w:rsidRPr="005D3C63" w:rsidRDefault="00881780" w:rsidP="00754ED4">
      <w:pPr>
        <w:pStyle w:val="Legenda"/>
        <w:spacing w:after="0"/>
      </w:pPr>
      <w:bookmarkStart w:id="191" w:name="_Toc8824204"/>
      <w:bookmarkEnd w:id="190"/>
      <w:r w:rsidRPr="00432E11">
        <w:lastRenderedPageBreak/>
        <w:t xml:space="preserve">Tabela </w:t>
      </w:r>
      <w:r>
        <w:fldChar w:fldCharType="begin"/>
      </w:r>
      <w:r>
        <w:instrText xml:space="preserve"> SEQ Tabela \* ARABIC </w:instrText>
      </w:r>
      <w:r>
        <w:fldChar w:fldCharType="separate"/>
      </w:r>
      <w:r w:rsidR="00763345">
        <w:rPr>
          <w:noProof/>
        </w:rPr>
        <w:t>93</w:t>
      </w:r>
      <w:r>
        <w:fldChar w:fldCharType="end"/>
      </w:r>
      <w:r w:rsidRPr="00432E11">
        <w:t xml:space="preserve"> </w:t>
      </w:r>
      <w:r>
        <w:t>Struktura b</w:t>
      </w:r>
      <w:r w:rsidRPr="00432E11">
        <w:t>ezrobotn</w:t>
      </w:r>
      <w:r>
        <w:t>ych</w:t>
      </w:r>
      <w:r w:rsidR="00E66B89">
        <w:t xml:space="preserve"> w </w:t>
      </w:r>
      <w:r w:rsidRPr="00432E11">
        <w:t>województwie zachodniopomorskim</w:t>
      </w:r>
      <w:r w:rsidR="00E66B89">
        <w:t xml:space="preserve"> i w </w:t>
      </w:r>
      <w:r>
        <w:t>porównaniu do Polski (31.XII)</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
        <w:gridCol w:w="906"/>
        <w:gridCol w:w="906"/>
        <w:gridCol w:w="906"/>
        <w:gridCol w:w="906"/>
        <w:gridCol w:w="836"/>
        <w:gridCol w:w="977"/>
        <w:gridCol w:w="906"/>
        <w:gridCol w:w="906"/>
        <w:gridCol w:w="906"/>
      </w:tblGrid>
      <w:tr w:rsidR="00881780" w:rsidRPr="00A71C8E" w14:paraId="6122F4EB" w14:textId="77777777" w:rsidTr="005F04FC">
        <w:trPr>
          <w:trHeight w:val="300"/>
          <w:tblHeader/>
        </w:trPr>
        <w:tc>
          <w:tcPr>
            <w:tcW w:w="500" w:type="pct"/>
            <w:vMerge w:val="restart"/>
            <w:shd w:val="clear" w:color="auto" w:fill="DBE5F1"/>
            <w:noWrap/>
            <w:vAlign w:val="bottom"/>
            <w:hideMark/>
          </w:tcPr>
          <w:p w14:paraId="6F764A2B" w14:textId="77777777" w:rsidR="00881780" w:rsidRPr="00A71C8E" w:rsidRDefault="00881780" w:rsidP="006F4D8F">
            <w:pPr>
              <w:spacing w:before="0" w:line="240" w:lineRule="auto"/>
              <w:jc w:val="left"/>
              <w:rPr>
                <w:color w:val="000000"/>
                <w:sz w:val="18"/>
                <w:szCs w:val="18"/>
              </w:rPr>
            </w:pPr>
            <w:r w:rsidRPr="00A71C8E">
              <w:rPr>
                <w:color w:val="000000"/>
                <w:sz w:val="18"/>
                <w:szCs w:val="18"/>
              </w:rPr>
              <w:t>Wyszczególnienie</w:t>
            </w:r>
          </w:p>
        </w:tc>
        <w:tc>
          <w:tcPr>
            <w:tcW w:w="500" w:type="pct"/>
            <w:vMerge w:val="restart"/>
            <w:shd w:val="clear" w:color="auto" w:fill="DBE5F1"/>
            <w:noWrap/>
            <w:vAlign w:val="bottom"/>
            <w:hideMark/>
          </w:tcPr>
          <w:p w14:paraId="28083986" w14:textId="77777777" w:rsidR="00881780" w:rsidRPr="00A71C8E" w:rsidRDefault="00881780" w:rsidP="006F4D8F">
            <w:pPr>
              <w:spacing w:before="0" w:line="240" w:lineRule="auto"/>
              <w:jc w:val="left"/>
              <w:rPr>
                <w:color w:val="000000"/>
                <w:sz w:val="18"/>
                <w:szCs w:val="18"/>
              </w:rPr>
            </w:pPr>
            <w:r w:rsidRPr="00A71C8E">
              <w:rPr>
                <w:color w:val="000000"/>
                <w:sz w:val="18"/>
                <w:szCs w:val="18"/>
              </w:rPr>
              <w:t xml:space="preserve">Zarejestrowani bezrobotni ogółem </w:t>
            </w:r>
          </w:p>
        </w:tc>
        <w:tc>
          <w:tcPr>
            <w:tcW w:w="3999" w:type="pct"/>
            <w:gridSpan w:val="8"/>
            <w:shd w:val="clear" w:color="auto" w:fill="DBE5F1"/>
            <w:noWrap/>
            <w:vAlign w:val="bottom"/>
            <w:hideMark/>
          </w:tcPr>
          <w:p w14:paraId="5E93A4B7" w14:textId="77777777" w:rsidR="00881780" w:rsidRPr="00A71C8E" w:rsidRDefault="00881780" w:rsidP="006F4D8F">
            <w:pPr>
              <w:spacing w:before="0" w:line="240" w:lineRule="auto"/>
              <w:jc w:val="left"/>
              <w:rPr>
                <w:sz w:val="18"/>
                <w:szCs w:val="18"/>
              </w:rPr>
            </w:pPr>
            <w:r w:rsidRPr="00A71C8E">
              <w:rPr>
                <w:color w:val="000000"/>
                <w:sz w:val="18"/>
                <w:szCs w:val="18"/>
              </w:rPr>
              <w:t>w tym:</w:t>
            </w:r>
          </w:p>
        </w:tc>
      </w:tr>
      <w:tr w:rsidR="00C22C26" w:rsidRPr="00A71C8E" w14:paraId="23EA94EE" w14:textId="77777777" w:rsidTr="005F04FC">
        <w:trPr>
          <w:trHeight w:val="300"/>
          <w:tblHeader/>
        </w:trPr>
        <w:tc>
          <w:tcPr>
            <w:tcW w:w="500" w:type="pct"/>
            <w:vMerge/>
            <w:shd w:val="clear" w:color="auto" w:fill="DBE5F1"/>
            <w:noWrap/>
            <w:hideMark/>
          </w:tcPr>
          <w:p w14:paraId="151ABF8E" w14:textId="77777777" w:rsidR="00881780" w:rsidRPr="00A71C8E" w:rsidRDefault="00881780" w:rsidP="006F4D8F">
            <w:pPr>
              <w:spacing w:before="0" w:line="240" w:lineRule="auto"/>
              <w:jc w:val="left"/>
              <w:rPr>
                <w:sz w:val="18"/>
                <w:szCs w:val="18"/>
              </w:rPr>
            </w:pPr>
          </w:p>
        </w:tc>
        <w:tc>
          <w:tcPr>
            <w:tcW w:w="500" w:type="pct"/>
            <w:vMerge/>
            <w:shd w:val="clear" w:color="auto" w:fill="DBE5F1"/>
            <w:noWrap/>
            <w:hideMark/>
          </w:tcPr>
          <w:p w14:paraId="3E335871" w14:textId="77777777" w:rsidR="00881780" w:rsidRPr="00A71C8E" w:rsidRDefault="00881780" w:rsidP="006F4D8F">
            <w:pPr>
              <w:spacing w:before="0" w:line="240" w:lineRule="auto"/>
              <w:jc w:val="left"/>
              <w:rPr>
                <w:sz w:val="18"/>
                <w:szCs w:val="18"/>
              </w:rPr>
            </w:pPr>
          </w:p>
        </w:tc>
        <w:tc>
          <w:tcPr>
            <w:tcW w:w="500" w:type="pct"/>
            <w:shd w:val="clear" w:color="auto" w:fill="DBE5F1"/>
            <w:noWrap/>
            <w:hideMark/>
          </w:tcPr>
          <w:p w14:paraId="52D4C72F" w14:textId="77777777" w:rsidR="00881780" w:rsidRPr="00A71C8E" w:rsidRDefault="00881780" w:rsidP="006F4D8F">
            <w:pPr>
              <w:spacing w:before="0" w:line="240" w:lineRule="auto"/>
              <w:jc w:val="left"/>
              <w:rPr>
                <w:color w:val="000000"/>
                <w:sz w:val="18"/>
                <w:szCs w:val="18"/>
              </w:rPr>
            </w:pPr>
            <w:r w:rsidRPr="00A71C8E">
              <w:rPr>
                <w:color w:val="000000"/>
                <w:sz w:val="18"/>
                <w:szCs w:val="18"/>
              </w:rPr>
              <w:t xml:space="preserve">kobiety </w:t>
            </w:r>
          </w:p>
        </w:tc>
        <w:tc>
          <w:tcPr>
            <w:tcW w:w="500" w:type="pct"/>
            <w:shd w:val="clear" w:color="auto" w:fill="DBE5F1"/>
            <w:noWrap/>
            <w:hideMark/>
          </w:tcPr>
          <w:p w14:paraId="47EA31A3" w14:textId="77777777" w:rsidR="00881780" w:rsidRPr="00A71C8E" w:rsidRDefault="00881780" w:rsidP="006F4D8F">
            <w:pPr>
              <w:spacing w:before="0" w:line="240" w:lineRule="auto"/>
              <w:jc w:val="left"/>
              <w:rPr>
                <w:color w:val="000000"/>
                <w:sz w:val="18"/>
                <w:szCs w:val="18"/>
                <w:lang w:val="en-GB"/>
              </w:rPr>
            </w:pPr>
            <w:r w:rsidRPr="00A71C8E">
              <w:rPr>
                <w:color w:val="000000"/>
                <w:sz w:val="18"/>
                <w:szCs w:val="18"/>
                <w:lang w:val="en-GB"/>
              </w:rPr>
              <w:t>do 30 r. ż.</w:t>
            </w:r>
          </w:p>
        </w:tc>
        <w:tc>
          <w:tcPr>
            <w:tcW w:w="500" w:type="pct"/>
            <w:shd w:val="clear" w:color="auto" w:fill="DBE5F1"/>
            <w:noWrap/>
            <w:hideMark/>
          </w:tcPr>
          <w:p w14:paraId="7E7F12B4" w14:textId="77777777" w:rsidR="00881780" w:rsidRPr="00A71C8E" w:rsidRDefault="00881780" w:rsidP="006F4D8F">
            <w:pPr>
              <w:spacing w:before="0" w:line="240" w:lineRule="auto"/>
              <w:jc w:val="left"/>
              <w:rPr>
                <w:color w:val="000000"/>
                <w:sz w:val="18"/>
                <w:szCs w:val="18"/>
                <w:lang w:val="en-GB"/>
              </w:rPr>
            </w:pPr>
            <w:r w:rsidRPr="00A71C8E">
              <w:rPr>
                <w:color w:val="000000"/>
                <w:sz w:val="18"/>
                <w:szCs w:val="18"/>
                <w:lang w:val="en-GB"/>
              </w:rPr>
              <w:t>do 25 r. ż.</w:t>
            </w:r>
          </w:p>
        </w:tc>
        <w:tc>
          <w:tcPr>
            <w:tcW w:w="461" w:type="pct"/>
            <w:shd w:val="clear" w:color="auto" w:fill="DBE5F1"/>
            <w:noWrap/>
            <w:hideMark/>
          </w:tcPr>
          <w:p w14:paraId="6BFD7115" w14:textId="77777777" w:rsidR="00881780" w:rsidRPr="00A71C8E" w:rsidRDefault="00881780" w:rsidP="006F4D8F">
            <w:pPr>
              <w:spacing w:before="0" w:line="240" w:lineRule="auto"/>
              <w:jc w:val="left"/>
              <w:rPr>
                <w:color w:val="000000"/>
                <w:sz w:val="18"/>
                <w:szCs w:val="18"/>
                <w:lang w:val="en-GB"/>
              </w:rPr>
            </w:pPr>
            <w:r w:rsidRPr="00A71C8E">
              <w:rPr>
                <w:color w:val="000000"/>
                <w:sz w:val="18"/>
                <w:szCs w:val="18"/>
              </w:rPr>
              <w:t>pow</w:t>
            </w:r>
            <w:r w:rsidRPr="00A71C8E">
              <w:rPr>
                <w:color w:val="000000"/>
                <w:sz w:val="18"/>
                <w:szCs w:val="18"/>
                <w:lang w:val="en-GB"/>
              </w:rPr>
              <w:t xml:space="preserve">. </w:t>
            </w:r>
            <w:r w:rsidRPr="00A71C8E">
              <w:rPr>
                <w:color w:val="000000"/>
                <w:sz w:val="18"/>
                <w:szCs w:val="18"/>
                <w:lang w:val="en-GB"/>
              </w:rPr>
              <w:br/>
              <w:t>50 r. ż.</w:t>
            </w:r>
          </w:p>
        </w:tc>
        <w:tc>
          <w:tcPr>
            <w:tcW w:w="539" w:type="pct"/>
            <w:shd w:val="clear" w:color="auto" w:fill="DBE5F1"/>
            <w:noWrap/>
            <w:hideMark/>
          </w:tcPr>
          <w:p w14:paraId="74E82FD5" w14:textId="77777777" w:rsidR="00881780" w:rsidRPr="00A71C8E" w:rsidRDefault="00881780" w:rsidP="006F4D8F">
            <w:pPr>
              <w:spacing w:before="0" w:line="240" w:lineRule="auto"/>
              <w:jc w:val="left"/>
              <w:rPr>
                <w:color w:val="000000"/>
                <w:sz w:val="18"/>
                <w:szCs w:val="18"/>
              </w:rPr>
            </w:pPr>
            <w:r w:rsidRPr="00A71C8E">
              <w:rPr>
                <w:color w:val="000000"/>
                <w:sz w:val="18"/>
                <w:szCs w:val="18"/>
              </w:rPr>
              <w:t>długotrwale</w:t>
            </w:r>
          </w:p>
        </w:tc>
        <w:tc>
          <w:tcPr>
            <w:tcW w:w="500" w:type="pct"/>
            <w:shd w:val="clear" w:color="auto" w:fill="DBE5F1"/>
            <w:noWrap/>
            <w:hideMark/>
          </w:tcPr>
          <w:p w14:paraId="0A7FEC4D" w14:textId="77777777" w:rsidR="00881780" w:rsidRPr="00A71C8E" w:rsidRDefault="00881780" w:rsidP="006F4D8F">
            <w:pPr>
              <w:spacing w:before="0" w:line="240" w:lineRule="auto"/>
              <w:jc w:val="left"/>
              <w:rPr>
                <w:color w:val="000000"/>
                <w:sz w:val="18"/>
                <w:szCs w:val="18"/>
              </w:rPr>
            </w:pPr>
            <w:r w:rsidRPr="00A71C8E">
              <w:rPr>
                <w:color w:val="000000"/>
                <w:sz w:val="18"/>
                <w:szCs w:val="18"/>
              </w:rPr>
              <w:t>bez kwalifikacji</w:t>
            </w:r>
          </w:p>
        </w:tc>
        <w:tc>
          <w:tcPr>
            <w:tcW w:w="500" w:type="pct"/>
            <w:shd w:val="clear" w:color="auto" w:fill="DBE5F1"/>
            <w:noWrap/>
            <w:hideMark/>
          </w:tcPr>
          <w:p w14:paraId="68990B6E" w14:textId="77777777" w:rsidR="00881780" w:rsidRPr="00A71C8E" w:rsidRDefault="00881780" w:rsidP="006F4D8F">
            <w:pPr>
              <w:spacing w:before="0" w:line="240" w:lineRule="auto"/>
              <w:jc w:val="left"/>
              <w:rPr>
                <w:color w:val="000000"/>
                <w:sz w:val="18"/>
                <w:szCs w:val="18"/>
                <w:lang w:val="en-GB"/>
              </w:rPr>
            </w:pPr>
            <w:r w:rsidRPr="00A71C8E">
              <w:rPr>
                <w:color w:val="000000"/>
                <w:sz w:val="18"/>
                <w:szCs w:val="18"/>
                <w:lang w:val="en-GB"/>
              </w:rPr>
              <w:t>bez doświadczenia</w:t>
            </w:r>
          </w:p>
        </w:tc>
        <w:tc>
          <w:tcPr>
            <w:tcW w:w="500" w:type="pct"/>
            <w:shd w:val="clear" w:color="auto" w:fill="DBE5F1"/>
            <w:noWrap/>
            <w:hideMark/>
          </w:tcPr>
          <w:p w14:paraId="52586369" w14:textId="77777777" w:rsidR="00881780" w:rsidRPr="00A71C8E" w:rsidRDefault="00881780" w:rsidP="006F4D8F">
            <w:pPr>
              <w:spacing w:before="0" w:line="240" w:lineRule="auto"/>
              <w:jc w:val="left"/>
              <w:rPr>
                <w:color w:val="000000"/>
                <w:sz w:val="18"/>
                <w:szCs w:val="18"/>
              </w:rPr>
            </w:pPr>
            <w:r w:rsidRPr="00A71C8E">
              <w:rPr>
                <w:color w:val="000000"/>
                <w:sz w:val="18"/>
                <w:szCs w:val="18"/>
              </w:rPr>
              <w:t>niepełnosprawni</w:t>
            </w:r>
          </w:p>
        </w:tc>
      </w:tr>
      <w:tr w:rsidR="00881780" w:rsidRPr="00A71C8E" w14:paraId="783F2324" w14:textId="77777777" w:rsidTr="006F4D8F">
        <w:trPr>
          <w:trHeight w:val="300"/>
        </w:trPr>
        <w:tc>
          <w:tcPr>
            <w:tcW w:w="5000" w:type="pct"/>
            <w:gridSpan w:val="10"/>
            <w:shd w:val="clear" w:color="auto" w:fill="auto"/>
            <w:noWrap/>
            <w:vAlign w:val="bottom"/>
          </w:tcPr>
          <w:p w14:paraId="79602382"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2018</w:t>
            </w:r>
          </w:p>
        </w:tc>
      </w:tr>
      <w:tr w:rsidR="00881780" w:rsidRPr="00A71C8E" w14:paraId="3B7629E6" w14:textId="77777777" w:rsidTr="005F04FC">
        <w:trPr>
          <w:trHeight w:val="300"/>
        </w:trPr>
        <w:tc>
          <w:tcPr>
            <w:tcW w:w="500" w:type="pct"/>
            <w:noWrap/>
            <w:hideMark/>
          </w:tcPr>
          <w:p w14:paraId="29341218"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Polska (w tys.)</w:t>
            </w:r>
          </w:p>
        </w:tc>
        <w:tc>
          <w:tcPr>
            <w:tcW w:w="500" w:type="pct"/>
            <w:noWrap/>
            <w:hideMark/>
          </w:tcPr>
          <w:p w14:paraId="4DA6D97E" w14:textId="77777777" w:rsidR="00881780" w:rsidRPr="00A71C8E" w:rsidRDefault="00881780" w:rsidP="006F4D8F">
            <w:pPr>
              <w:spacing w:before="0" w:line="240" w:lineRule="auto"/>
              <w:jc w:val="left"/>
              <w:rPr>
                <w:color w:val="000000"/>
                <w:sz w:val="18"/>
                <w:szCs w:val="18"/>
              </w:rPr>
            </w:pPr>
            <w:r w:rsidRPr="00A71C8E">
              <w:rPr>
                <w:color w:val="000000"/>
                <w:sz w:val="18"/>
                <w:szCs w:val="18"/>
              </w:rPr>
              <w:t>968888</w:t>
            </w:r>
          </w:p>
        </w:tc>
        <w:tc>
          <w:tcPr>
            <w:tcW w:w="500" w:type="pct"/>
            <w:shd w:val="clear" w:color="auto" w:fill="D9D9D9"/>
            <w:noWrap/>
            <w:hideMark/>
          </w:tcPr>
          <w:p w14:paraId="14F28826" w14:textId="77777777" w:rsidR="00881780" w:rsidRPr="00A71C8E" w:rsidRDefault="00881780" w:rsidP="006F4D8F">
            <w:pPr>
              <w:spacing w:before="0" w:line="240" w:lineRule="auto"/>
              <w:jc w:val="left"/>
              <w:rPr>
                <w:color w:val="000000"/>
                <w:sz w:val="18"/>
                <w:szCs w:val="18"/>
              </w:rPr>
            </w:pPr>
            <w:r w:rsidRPr="00A71C8E">
              <w:rPr>
                <w:color w:val="000000"/>
                <w:sz w:val="18"/>
                <w:szCs w:val="18"/>
              </w:rPr>
              <w:t>542642</w:t>
            </w:r>
          </w:p>
        </w:tc>
        <w:tc>
          <w:tcPr>
            <w:tcW w:w="500" w:type="pct"/>
            <w:noWrap/>
            <w:hideMark/>
          </w:tcPr>
          <w:p w14:paraId="375DD75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251994</w:t>
            </w:r>
          </w:p>
        </w:tc>
        <w:tc>
          <w:tcPr>
            <w:tcW w:w="500" w:type="pct"/>
            <w:noWrap/>
            <w:hideMark/>
          </w:tcPr>
          <w:p w14:paraId="261A438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118577</w:t>
            </w:r>
          </w:p>
        </w:tc>
        <w:tc>
          <w:tcPr>
            <w:tcW w:w="461" w:type="pct"/>
            <w:noWrap/>
            <w:hideMark/>
          </w:tcPr>
          <w:p w14:paraId="589C4FC1"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262704</w:t>
            </w:r>
          </w:p>
        </w:tc>
        <w:tc>
          <w:tcPr>
            <w:tcW w:w="539" w:type="pct"/>
            <w:shd w:val="clear" w:color="auto" w:fill="D9D9D9"/>
            <w:noWrap/>
            <w:hideMark/>
          </w:tcPr>
          <w:p w14:paraId="7FAC792C" w14:textId="77777777" w:rsidR="00881780" w:rsidRPr="00A71C8E" w:rsidRDefault="00881780" w:rsidP="006F4D8F">
            <w:pPr>
              <w:spacing w:before="0" w:line="240" w:lineRule="auto"/>
              <w:jc w:val="left"/>
              <w:rPr>
                <w:color w:val="000000"/>
                <w:sz w:val="18"/>
                <w:szCs w:val="18"/>
              </w:rPr>
            </w:pPr>
            <w:r w:rsidRPr="00A71C8E">
              <w:rPr>
                <w:color w:val="000000"/>
                <w:sz w:val="18"/>
                <w:szCs w:val="18"/>
              </w:rPr>
              <w:t>507235</w:t>
            </w:r>
          </w:p>
        </w:tc>
        <w:tc>
          <w:tcPr>
            <w:tcW w:w="500" w:type="pct"/>
            <w:shd w:val="clear" w:color="auto" w:fill="C6D9F1"/>
            <w:noWrap/>
            <w:hideMark/>
          </w:tcPr>
          <w:p w14:paraId="16B199E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299310</w:t>
            </w:r>
          </w:p>
        </w:tc>
        <w:tc>
          <w:tcPr>
            <w:tcW w:w="500" w:type="pct"/>
            <w:noWrap/>
            <w:hideMark/>
          </w:tcPr>
          <w:p w14:paraId="366AE633"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196361</w:t>
            </w:r>
          </w:p>
        </w:tc>
        <w:tc>
          <w:tcPr>
            <w:tcW w:w="500" w:type="pct"/>
            <w:noWrap/>
            <w:hideMark/>
          </w:tcPr>
          <w:p w14:paraId="3E0E08D8" w14:textId="77777777" w:rsidR="00881780" w:rsidRPr="00A71C8E" w:rsidRDefault="00881780" w:rsidP="006F4D8F">
            <w:pPr>
              <w:spacing w:before="0" w:line="240" w:lineRule="auto"/>
              <w:jc w:val="left"/>
              <w:rPr>
                <w:color w:val="000000"/>
                <w:sz w:val="18"/>
                <w:szCs w:val="18"/>
              </w:rPr>
            </w:pPr>
            <w:r w:rsidRPr="00A71C8E">
              <w:rPr>
                <w:color w:val="000000"/>
                <w:sz w:val="18"/>
                <w:szCs w:val="18"/>
              </w:rPr>
              <w:t>61118</w:t>
            </w:r>
          </w:p>
        </w:tc>
      </w:tr>
      <w:tr w:rsidR="00881780" w:rsidRPr="00A71C8E" w14:paraId="59AAD432" w14:textId="77777777" w:rsidTr="005F04FC">
        <w:trPr>
          <w:trHeight w:val="300"/>
        </w:trPr>
        <w:tc>
          <w:tcPr>
            <w:tcW w:w="500" w:type="pct"/>
            <w:noWrap/>
            <w:hideMark/>
          </w:tcPr>
          <w:p w14:paraId="3F3237D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500" w:type="pct"/>
            <w:noWrap/>
            <w:hideMark/>
          </w:tcPr>
          <w:p w14:paraId="04942FE9"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hideMark/>
          </w:tcPr>
          <w:p w14:paraId="43FEAF19" w14:textId="77777777" w:rsidR="00881780" w:rsidRPr="00A71C8E" w:rsidRDefault="00881780" w:rsidP="006F4D8F">
            <w:pPr>
              <w:spacing w:before="0" w:line="240" w:lineRule="auto"/>
              <w:jc w:val="left"/>
              <w:rPr>
                <w:color w:val="000000"/>
                <w:sz w:val="18"/>
                <w:szCs w:val="18"/>
              </w:rPr>
            </w:pPr>
            <w:r w:rsidRPr="00A71C8E">
              <w:rPr>
                <w:color w:val="000000"/>
                <w:sz w:val="18"/>
                <w:szCs w:val="18"/>
              </w:rPr>
              <w:t>56,0</w:t>
            </w:r>
          </w:p>
        </w:tc>
        <w:tc>
          <w:tcPr>
            <w:tcW w:w="500" w:type="pct"/>
            <w:noWrap/>
            <w:hideMark/>
          </w:tcPr>
          <w:p w14:paraId="1C90276E"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26,0</w:t>
            </w:r>
          </w:p>
        </w:tc>
        <w:tc>
          <w:tcPr>
            <w:tcW w:w="500" w:type="pct"/>
            <w:noWrap/>
            <w:hideMark/>
          </w:tcPr>
          <w:p w14:paraId="6145562A"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12,2</w:t>
            </w:r>
          </w:p>
        </w:tc>
        <w:tc>
          <w:tcPr>
            <w:tcW w:w="461" w:type="pct"/>
            <w:noWrap/>
            <w:hideMark/>
          </w:tcPr>
          <w:p w14:paraId="3C0773B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27,1</w:t>
            </w:r>
          </w:p>
        </w:tc>
        <w:tc>
          <w:tcPr>
            <w:tcW w:w="539" w:type="pct"/>
            <w:shd w:val="clear" w:color="auto" w:fill="D9D9D9"/>
            <w:noWrap/>
            <w:hideMark/>
          </w:tcPr>
          <w:p w14:paraId="04EFAB0C" w14:textId="77777777" w:rsidR="00881780" w:rsidRPr="00A71C8E" w:rsidRDefault="00881780" w:rsidP="006F4D8F">
            <w:pPr>
              <w:spacing w:before="0" w:line="240" w:lineRule="auto"/>
              <w:jc w:val="left"/>
              <w:rPr>
                <w:color w:val="000000"/>
                <w:sz w:val="18"/>
                <w:szCs w:val="18"/>
              </w:rPr>
            </w:pPr>
            <w:r w:rsidRPr="00A71C8E">
              <w:rPr>
                <w:color w:val="000000"/>
                <w:sz w:val="18"/>
                <w:szCs w:val="18"/>
              </w:rPr>
              <w:t>52,4</w:t>
            </w:r>
          </w:p>
        </w:tc>
        <w:tc>
          <w:tcPr>
            <w:tcW w:w="500" w:type="pct"/>
            <w:shd w:val="clear" w:color="auto" w:fill="C6D9F1"/>
            <w:noWrap/>
            <w:hideMark/>
          </w:tcPr>
          <w:p w14:paraId="7981A43A" w14:textId="77777777" w:rsidR="00881780" w:rsidRPr="00A71C8E" w:rsidRDefault="00881780" w:rsidP="006F4D8F">
            <w:pPr>
              <w:spacing w:before="0" w:line="240" w:lineRule="auto"/>
              <w:jc w:val="left"/>
              <w:rPr>
                <w:color w:val="000000"/>
                <w:sz w:val="18"/>
                <w:szCs w:val="18"/>
              </w:rPr>
            </w:pPr>
            <w:r w:rsidRPr="00A71C8E">
              <w:rPr>
                <w:color w:val="000000"/>
                <w:sz w:val="18"/>
                <w:szCs w:val="18"/>
              </w:rPr>
              <w:t>30,9</w:t>
            </w:r>
          </w:p>
        </w:tc>
        <w:tc>
          <w:tcPr>
            <w:tcW w:w="500" w:type="pct"/>
            <w:noWrap/>
            <w:hideMark/>
          </w:tcPr>
          <w:p w14:paraId="7D86401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20,3</w:t>
            </w:r>
          </w:p>
        </w:tc>
        <w:tc>
          <w:tcPr>
            <w:tcW w:w="500" w:type="pct"/>
            <w:noWrap/>
            <w:hideMark/>
          </w:tcPr>
          <w:p w14:paraId="2256092D" w14:textId="77777777" w:rsidR="00881780" w:rsidRPr="00A71C8E" w:rsidRDefault="00881780" w:rsidP="006F4D8F">
            <w:pPr>
              <w:spacing w:before="0" w:line="240" w:lineRule="auto"/>
              <w:jc w:val="left"/>
              <w:rPr>
                <w:color w:val="000000"/>
                <w:sz w:val="18"/>
                <w:szCs w:val="18"/>
              </w:rPr>
            </w:pPr>
            <w:r w:rsidRPr="00A71C8E">
              <w:rPr>
                <w:color w:val="000000"/>
                <w:sz w:val="18"/>
                <w:szCs w:val="18"/>
              </w:rPr>
              <w:t>6,3</w:t>
            </w:r>
          </w:p>
        </w:tc>
      </w:tr>
      <w:tr w:rsidR="00881780" w:rsidRPr="00A71C8E" w14:paraId="5FE91495" w14:textId="77777777" w:rsidTr="005F04FC">
        <w:trPr>
          <w:trHeight w:val="300"/>
        </w:trPr>
        <w:tc>
          <w:tcPr>
            <w:tcW w:w="500" w:type="pct"/>
            <w:noWrap/>
            <w:hideMark/>
          </w:tcPr>
          <w:p w14:paraId="099B5BA2" w14:textId="77777777" w:rsidR="00881780" w:rsidRPr="00A71C8E" w:rsidRDefault="00881780" w:rsidP="006F4D8F">
            <w:pPr>
              <w:spacing w:before="0" w:line="240" w:lineRule="auto"/>
              <w:jc w:val="left"/>
              <w:rPr>
                <w:color w:val="000000"/>
                <w:sz w:val="18"/>
                <w:szCs w:val="18"/>
              </w:rPr>
            </w:pPr>
            <w:r w:rsidRPr="00A71C8E">
              <w:rPr>
                <w:color w:val="000000"/>
                <w:sz w:val="18"/>
                <w:szCs w:val="18"/>
              </w:rPr>
              <w:t>Zachodniopomorskie (w tys.)</w:t>
            </w:r>
          </w:p>
        </w:tc>
        <w:tc>
          <w:tcPr>
            <w:tcW w:w="500" w:type="pct"/>
            <w:noWrap/>
            <w:hideMark/>
          </w:tcPr>
          <w:p w14:paraId="281704AF" w14:textId="77777777" w:rsidR="00881780" w:rsidRPr="00A71C8E" w:rsidRDefault="00881780" w:rsidP="006F4D8F">
            <w:pPr>
              <w:spacing w:before="0" w:line="240" w:lineRule="auto"/>
              <w:jc w:val="left"/>
              <w:rPr>
                <w:color w:val="000000"/>
                <w:sz w:val="18"/>
                <w:szCs w:val="18"/>
              </w:rPr>
            </w:pPr>
            <w:r w:rsidRPr="00A71C8E">
              <w:rPr>
                <w:color w:val="000000"/>
                <w:sz w:val="18"/>
                <w:szCs w:val="18"/>
              </w:rPr>
              <w:t>46002</w:t>
            </w:r>
          </w:p>
        </w:tc>
        <w:tc>
          <w:tcPr>
            <w:tcW w:w="500" w:type="pct"/>
            <w:shd w:val="clear" w:color="auto" w:fill="D9D9D9"/>
            <w:noWrap/>
            <w:hideMark/>
          </w:tcPr>
          <w:p w14:paraId="161B753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27119</w:t>
            </w:r>
          </w:p>
        </w:tc>
        <w:tc>
          <w:tcPr>
            <w:tcW w:w="500" w:type="pct"/>
            <w:noWrap/>
            <w:hideMark/>
          </w:tcPr>
          <w:p w14:paraId="366C3E9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11084</w:t>
            </w:r>
          </w:p>
        </w:tc>
        <w:tc>
          <w:tcPr>
            <w:tcW w:w="500" w:type="pct"/>
            <w:noWrap/>
            <w:hideMark/>
          </w:tcPr>
          <w:p w14:paraId="71AA9DAB" w14:textId="77777777" w:rsidR="00881780" w:rsidRPr="00A71C8E" w:rsidRDefault="00881780" w:rsidP="006F4D8F">
            <w:pPr>
              <w:spacing w:before="0" w:line="240" w:lineRule="auto"/>
              <w:jc w:val="left"/>
              <w:rPr>
                <w:color w:val="000000"/>
                <w:sz w:val="18"/>
                <w:szCs w:val="18"/>
              </w:rPr>
            </w:pPr>
            <w:r w:rsidRPr="00A71C8E">
              <w:rPr>
                <w:color w:val="000000"/>
                <w:sz w:val="18"/>
                <w:szCs w:val="18"/>
              </w:rPr>
              <w:t>5088</w:t>
            </w:r>
          </w:p>
        </w:tc>
        <w:tc>
          <w:tcPr>
            <w:tcW w:w="461" w:type="pct"/>
            <w:noWrap/>
            <w:hideMark/>
          </w:tcPr>
          <w:p w14:paraId="396F8F66" w14:textId="77777777" w:rsidR="00881780" w:rsidRPr="00A71C8E" w:rsidRDefault="00881780" w:rsidP="006F4D8F">
            <w:pPr>
              <w:spacing w:before="0" w:line="240" w:lineRule="auto"/>
              <w:jc w:val="left"/>
              <w:rPr>
                <w:color w:val="000000"/>
                <w:sz w:val="18"/>
                <w:szCs w:val="18"/>
              </w:rPr>
            </w:pPr>
            <w:r w:rsidRPr="00A71C8E">
              <w:rPr>
                <w:color w:val="000000"/>
                <w:sz w:val="18"/>
                <w:szCs w:val="18"/>
              </w:rPr>
              <w:t>13814</w:t>
            </w:r>
          </w:p>
        </w:tc>
        <w:tc>
          <w:tcPr>
            <w:tcW w:w="539" w:type="pct"/>
            <w:shd w:val="clear" w:color="auto" w:fill="D9D9D9"/>
            <w:noWrap/>
            <w:hideMark/>
          </w:tcPr>
          <w:p w14:paraId="07DD13A6"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23750</w:t>
            </w:r>
          </w:p>
        </w:tc>
        <w:tc>
          <w:tcPr>
            <w:tcW w:w="500" w:type="pct"/>
            <w:shd w:val="clear" w:color="auto" w:fill="C6D9F1"/>
            <w:noWrap/>
            <w:hideMark/>
          </w:tcPr>
          <w:p w14:paraId="474787BE"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15374</w:t>
            </w:r>
          </w:p>
        </w:tc>
        <w:tc>
          <w:tcPr>
            <w:tcW w:w="500" w:type="pct"/>
            <w:noWrap/>
            <w:hideMark/>
          </w:tcPr>
          <w:p w14:paraId="1E2F65F5" w14:textId="77777777" w:rsidR="00881780" w:rsidRPr="00A71C8E" w:rsidRDefault="00881780" w:rsidP="006F4D8F">
            <w:pPr>
              <w:spacing w:before="0" w:line="240" w:lineRule="auto"/>
              <w:jc w:val="left"/>
              <w:rPr>
                <w:color w:val="000000"/>
                <w:sz w:val="18"/>
                <w:szCs w:val="18"/>
              </w:rPr>
            </w:pPr>
            <w:r w:rsidRPr="00A71C8E">
              <w:rPr>
                <w:color w:val="000000"/>
                <w:sz w:val="18"/>
                <w:szCs w:val="18"/>
              </w:rPr>
              <w:t>8894</w:t>
            </w:r>
          </w:p>
        </w:tc>
        <w:tc>
          <w:tcPr>
            <w:tcW w:w="500" w:type="pct"/>
            <w:noWrap/>
            <w:hideMark/>
          </w:tcPr>
          <w:p w14:paraId="1B672AFE"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2505</w:t>
            </w:r>
          </w:p>
        </w:tc>
      </w:tr>
      <w:tr w:rsidR="00881780" w:rsidRPr="00A71C8E" w14:paraId="23432D9F" w14:textId="77777777" w:rsidTr="005F04FC">
        <w:trPr>
          <w:trHeight w:val="300"/>
        </w:trPr>
        <w:tc>
          <w:tcPr>
            <w:tcW w:w="500" w:type="pct"/>
            <w:noWrap/>
            <w:hideMark/>
          </w:tcPr>
          <w:p w14:paraId="0BC78ED2"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500" w:type="pct"/>
            <w:noWrap/>
            <w:hideMark/>
          </w:tcPr>
          <w:p w14:paraId="01BEB6FB"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hideMark/>
          </w:tcPr>
          <w:p w14:paraId="0C7E6080" w14:textId="77777777" w:rsidR="00881780" w:rsidRPr="00A71C8E" w:rsidRDefault="00881780" w:rsidP="006F4D8F">
            <w:pPr>
              <w:spacing w:before="0" w:line="240" w:lineRule="auto"/>
              <w:jc w:val="left"/>
              <w:rPr>
                <w:color w:val="000000"/>
                <w:sz w:val="18"/>
                <w:szCs w:val="18"/>
              </w:rPr>
            </w:pPr>
            <w:r w:rsidRPr="00A71C8E">
              <w:rPr>
                <w:color w:val="000000"/>
                <w:sz w:val="18"/>
                <w:szCs w:val="18"/>
              </w:rPr>
              <w:t>59,0</w:t>
            </w:r>
          </w:p>
        </w:tc>
        <w:tc>
          <w:tcPr>
            <w:tcW w:w="500" w:type="pct"/>
            <w:noWrap/>
            <w:hideMark/>
          </w:tcPr>
          <w:p w14:paraId="6748D38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24,1</w:t>
            </w:r>
          </w:p>
        </w:tc>
        <w:tc>
          <w:tcPr>
            <w:tcW w:w="500" w:type="pct"/>
            <w:noWrap/>
            <w:hideMark/>
          </w:tcPr>
          <w:p w14:paraId="6FE71E39" w14:textId="77777777" w:rsidR="00881780" w:rsidRPr="00A71C8E" w:rsidRDefault="00881780" w:rsidP="006F4D8F">
            <w:pPr>
              <w:spacing w:before="0" w:line="240" w:lineRule="auto"/>
              <w:jc w:val="left"/>
              <w:rPr>
                <w:color w:val="000000"/>
                <w:sz w:val="18"/>
                <w:szCs w:val="18"/>
              </w:rPr>
            </w:pPr>
            <w:r w:rsidRPr="00A71C8E">
              <w:rPr>
                <w:color w:val="000000"/>
                <w:sz w:val="18"/>
                <w:szCs w:val="18"/>
              </w:rPr>
              <w:t>11,1</w:t>
            </w:r>
          </w:p>
        </w:tc>
        <w:tc>
          <w:tcPr>
            <w:tcW w:w="461" w:type="pct"/>
            <w:noWrap/>
            <w:hideMark/>
          </w:tcPr>
          <w:p w14:paraId="107F52DE" w14:textId="77777777" w:rsidR="00881780" w:rsidRPr="00A71C8E" w:rsidRDefault="00881780" w:rsidP="006F4D8F">
            <w:pPr>
              <w:spacing w:before="0" w:line="240" w:lineRule="auto"/>
              <w:jc w:val="left"/>
              <w:rPr>
                <w:color w:val="000000"/>
                <w:sz w:val="18"/>
                <w:szCs w:val="18"/>
              </w:rPr>
            </w:pPr>
            <w:r w:rsidRPr="00A71C8E">
              <w:rPr>
                <w:color w:val="000000"/>
                <w:sz w:val="18"/>
                <w:szCs w:val="18"/>
              </w:rPr>
              <w:t>30,0</w:t>
            </w:r>
          </w:p>
        </w:tc>
        <w:tc>
          <w:tcPr>
            <w:tcW w:w="539" w:type="pct"/>
            <w:shd w:val="clear" w:color="auto" w:fill="D9D9D9"/>
            <w:noWrap/>
            <w:hideMark/>
          </w:tcPr>
          <w:p w14:paraId="7F9AC053" w14:textId="77777777" w:rsidR="00881780" w:rsidRPr="00A71C8E" w:rsidRDefault="00881780" w:rsidP="006F4D8F">
            <w:pPr>
              <w:spacing w:before="0" w:line="240" w:lineRule="auto"/>
              <w:jc w:val="left"/>
              <w:rPr>
                <w:color w:val="000000"/>
                <w:sz w:val="18"/>
                <w:szCs w:val="18"/>
              </w:rPr>
            </w:pPr>
            <w:r w:rsidRPr="00A71C8E">
              <w:rPr>
                <w:color w:val="000000"/>
                <w:sz w:val="18"/>
                <w:szCs w:val="18"/>
              </w:rPr>
              <w:t>51,6</w:t>
            </w:r>
          </w:p>
        </w:tc>
        <w:tc>
          <w:tcPr>
            <w:tcW w:w="500" w:type="pct"/>
            <w:shd w:val="clear" w:color="auto" w:fill="C6D9F1"/>
            <w:noWrap/>
            <w:hideMark/>
          </w:tcPr>
          <w:p w14:paraId="6ED11A66" w14:textId="77777777" w:rsidR="00881780" w:rsidRPr="00A71C8E" w:rsidRDefault="00881780" w:rsidP="006F4D8F">
            <w:pPr>
              <w:spacing w:before="0" w:line="240" w:lineRule="auto"/>
              <w:jc w:val="left"/>
              <w:rPr>
                <w:color w:val="000000"/>
                <w:sz w:val="18"/>
                <w:szCs w:val="18"/>
              </w:rPr>
            </w:pPr>
            <w:r w:rsidRPr="00A71C8E">
              <w:rPr>
                <w:color w:val="000000"/>
                <w:sz w:val="18"/>
                <w:szCs w:val="18"/>
              </w:rPr>
              <w:t>33,4</w:t>
            </w:r>
          </w:p>
        </w:tc>
        <w:tc>
          <w:tcPr>
            <w:tcW w:w="500" w:type="pct"/>
            <w:noWrap/>
            <w:hideMark/>
          </w:tcPr>
          <w:p w14:paraId="66EEAAC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19,3</w:t>
            </w:r>
          </w:p>
        </w:tc>
        <w:tc>
          <w:tcPr>
            <w:tcW w:w="500" w:type="pct"/>
            <w:noWrap/>
            <w:hideMark/>
          </w:tcPr>
          <w:p w14:paraId="6D1A412C" w14:textId="77777777" w:rsidR="00881780" w:rsidRPr="00A71C8E" w:rsidRDefault="00881780" w:rsidP="006F4D8F">
            <w:pPr>
              <w:spacing w:before="0" w:line="240" w:lineRule="auto"/>
              <w:jc w:val="left"/>
              <w:rPr>
                <w:color w:val="000000"/>
                <w:sz w:val="18"/>
                <w:szCs w:val="18"/>
              </w:rPr>
            </w:pPr>
            <w:r w:rsidRPr="00A71C8E">
              <w:rPr>
                <w:color w:val="000000"/>
                <w:sz w:val="18"/>
                <w:szCs w:val="18"/>
              </w:rPr>
              <w:t>5,4</w:t>
            </w:r>
          </w:p>
        </w:tc>
      </w:tr>
      <w:tr w:rsidR="00881780" w:rsidRPr="00A71C8E" w14:paraId="40EBB859" w14:textId="77777777" w:rsidTr="006F4D8F">
        <w:trPr>
          <w:trHeight w:val="300"/>
        </w:trPr>
        <w:tc>
          <w:tcPr>
            <w:tcW w:w="5000" w:type="pct"/>
            <w:gridSpan w:val="10"/>
            <w:shd w:val="clear" w:color="auto" w:fill="auto"/>
            <w:noWrap/>
            <w:vAlign w:val="bottom"/>
          </w:tcPr>
          <w:p w14:paraId="6339F152" w14:textId="77777777" w:rsidR="00881780" w:rsidRPr="00A71C8E" w:rsidRDefault="00881780" w:rsidP="006F4D8F">
            <w:pPr>
              <w:spacing w:before="0" w:line="240" w:lineRule="auto"/>
              <w:jc w:val="left"/>
              <w:rPr>
                <w:b/>
                <w:color w:val="000000"/>
                <w:sz w:val="18"/>
                <w:szCs w:val="18"/>
              </w:rPr>
            </w:pPr>
            <w:r w:rsidRPr="00A71C8E">
              <w:rPr>
                <w:b/>
                <w:sz w:val="18"/>
                <w:szCs w:val="18"/>
              </w:rPr>
              <w:t>2017</w:t>
            </w:r>
          </w:p>
        </w:tc>
      </w:tr>
      <w:tr w:rsidR="00881780" w:rsidRPr="00A71C8E" w14:paraId="77B4B54C" w14:textId="77777777" w:rsidTr="005F04FC">
        <w:trPr>
          <w:trHeight w:val="300"/>
        </w:trPr>
        <w:tc>
          <w:tcPr>
            <w:tcW w:w="500" w:type="pct"/>
            <w:noWrap/>
          </w:tcPr>
          <w:p w14:paraId="2E0BF4D7" w14:textId="77777777" w:rsidR="00881780" w:rsidRPr="00A71C8E" w:rsidRDefault="00881780" w:rsidP="006F4D8F">
            <w:pPr>
              <w:spacing w:before="0" w:line="240" w:lineRule="auto"/>
              <w:jc w:val="left"/>
              <w:rPr>
                <w:color w:val="000000"/>
                <w:sz w:val="18"/>
                <w:szCs w:val="18"/>
              </w:rPr>
            </w:pPr>
            <w:r w:rsidRPr="00A71C8E">
              <w:rPr>
                <w:sz w:val="18"/>
                <w:szCs w:val="18"/>
              </w:rPr>
              <w:t>Polska (w tys.)</w:t>
            </w:r>
          </w:p>
        </w:tc>
        <w:tc>
          <w:tcPr>
            <w:tcW w:w="500" w:type="pct"/>
            <w:noWrap/>
          </w:tcPr>
          <w:p w14:paraId="1BBCB306" w14:textId="77777777" w:rsidR="00881780" w:rsidRPr="00A71C8E" w:rsidRDefault="00881780" w:rsidP="006F4D8F">
            <w:pPr>
              <w:spacing w:before="0" w:line="240" w:lineRule="auto"/>
              <w:jc w:val="left"/>
              <w:rPr>
                <w:sz w:val="18"/>
                <w:szCs w:val="18"/>
              </w:rPr>
            </w:pPr>
            <w:r w:rsidRPr="00A71C8E">
              <w:rPr>
                <w:sz w:val="18"/>
                <w:szCs w:val="18"/>
              </w:rPr>
              <w:t>1081746</w:t>
            </w:r>
          </w:p>
        </w:tc>
        <w:tc>
          <w:tcPr>
            <w:tcW w:w="500" w:type="pct"/>
            <w:shd w:val="clear" w:color="auto" w:fill="D9D9D9"/>
            <w:noWrap/>
          </w:tcPr>
          <w:p w14:paraId="312CBBA1" w14:textId="77777777" w:rsidR="00881780" w:rsidRPr="00A71C8E" w:rsidRDefault="00881780" w:rsidP="006F4D8F">
            <w:pPr>
              <w:spacing w:before="0" w:line="240" w:lineRule="auto"/>
              <w:jc w:val="left"/>
              <w:rPr>
                <w:color w:val="000000"/>
                <w:sz w:val="18"/>
                <w:szCs w:val="18"/>
              </w:rPr>
            </w:pPr>
            <w:r w:rsidRPr="00A71C8E">
              <w:rPr>
                <w:sz w:val="18"/>
                <w:szCs w:val="18"/>
              </w:rPr>
              <w:t>595530</w:t>
            </w:r>
          </w:p>
        </w:tc>
        <w:tc>
          <w:tcPr>
            <w:tcW w:w="500" w:type="pct"/>
            <w:noWrap/>
          </w:tcPr>
          <w:p w14:paraId="1C26F026" w14:textId="77777777" w:rsidR="00881780" w:rsidRPr="00A71C8E" w:rsidRDefault="00881780" w:rsidP="006F4D8F">
            <w:pPr>
              <w:spacing w:before="0" w:line="240" w:lineRule="auto"/>
              <w:jc w:val="left"/>
              <w:rPr>
                <w:color w:val="000000"/>
                <w:sz w:val="18"/>
                <w:szCs w:val="18"/>
              </w:rPr>
            </w:pPr>
            <w:r w:rsidRPr="00A71C8E">
              <w:rPr>
                <w:sz w:val="18"/>
                <w:szCs w:val="18"/>
              </w:rPr>
              <w:t>282366</w:t>
            </w:r>
          </w:p>
        </w:tc>
        <w:tc>
          <w:tcPr>
            <w:tcW w:w="500" w:type="pct"/>
            <w:noWrap/>
          </w:tcPr>
          <w:p w14:paraId="1CD7A16C" w14:textId="77777777" w:rsidR="00881780" w:rsidRPr="00A71C8E" w:rsidRDefault="00881780" w:rsidP="006F4D8F">
            <w:pPr>
              <w:spacing w:before="0" w:line="240" w:lineRule="auto"/>
              <w:jc w:val="left"/>
              <w:rPr>
                <w:color w:val="000000"/>
                <w:sz w:val="18"/>
                <w:szCs w:val="18"/>
              </w:rPr>
            </w:pPr>
            <w:r w:rsidRPr="00A71C8E">
              <w:rPr>
                <w:sz w:val="18"/>
                <w:szCs w:val="18"/>
              </w:rPr>
              <w:t>134333</w:t>
            </w:r>
          </w:p>
        </w:tc>
        <w:tc>
          <w:tcPr>
            <w:tcW w:w="461" w:type="pct"/>
            <w:noWrap/>
          </w:tcPr>
          <w:p w14:paraId="175867E1" w14:textId="77777777" w:rsidR="00881780" w:rsidRPr="00A71C8E" w:rsidRDefault="00881780" w:rsidP="006F4D8F">
            <w:pPr>
              <w:spacing w:before="0" w:line="240" w:lineRule="auto"/>
              <w:jc w:val="left"/>
              <w:rPr>
                <w:color w:val="000000"/>
                <w:sz w:val="18"/>
                <w:szCs w:val="18"/>
              </w:rPr>
            </w:pPr>
            <w:r w:rsidRPr="00A71C8E">
              <w:rPr>
                <w:sz w:val="18"/>
                <w:szCs w:val="18"/>
              </w:rPr>
              <w:t>298561</w:t>
            </w:r>
          </w:p>
        </w:tc>
        <w:tc>
          <w:tcPr>
            <w:tcW w:w="539" w:type="pct"/>
            <w:shd w:val="clear" w:color="auto" w:fill="D9D9D9"/>
            <w:noWrap/>
          </w:tcPr>
          <w:p w14:paraId="3595ECB2" w14:textId="77777777" w:rsidR="00881780" w:rsidRPr="00A71C8E" w:rsidRDefault="00881780" w:rsidP="006F4D8F">
            <w:pPr>
              <w:spacing w:before="0" w:line="240" w:lineRule="auto"/>
              <w:jc w:val="left"/>
              <w:rPr>
                <w:color w:val="000000"/>
                <w:sz w:val="18"/>
                <w:szCs w:val="18"/>
              </w:rPr>
            </w:pPr>
            <w:r w:rsidRPr="00A71C8E">
              <w:rPr>
                <w:sz w:val="18"/>
                <w:szCs w:val="18"/>
              </w:rPr>
              <w:t>594789</w:t>
            </w:r>
          </w:p>
        </w:tc>
        <w:tc>
          <w:tcPr>
            <w:tcW w:w="500" w:type="pct"/>
            <w:shd w:val="clear" w:color="auto" w:fill="C6D9F1"/>
            <w:noWrap/>
          </w:tcPr>
          <w:p w14:paraId="53A626DB" w14:textId="77777777" w:rsidR="00881780" w:rsidRPr="00A71C8E" w:rsidRDefault="00881780" w:rsidP="006F4D8F">
            <w:pPr>
              <w:spacing w:before="0" w:line="240" w:lineRule="auto"/>
              <w:jc w:val="left"/>
              <w:rPr>
                <w:color w:val="000000"/>
                <w:sz w:val="18"/>
                <w:szCs w:val="18"/>
              </w:rPr>
            </w:pPr>
            <w:r w:rsidRPr="00A71C8E">
              <w:rPr>
                <w:sz w:val="18"/>
                <w:szCs w:val="18"/>
              </w:rPr>
              <w:t>332581</w:t>
            </w:r>
          </w:p>
        </w:tc>
        <w:tc>
          <w:tcPr>
            <w:tcW w:w="500" w:type="pct"/>
            <w:noWrap/>
          </w:tcPr>
          <w:p w14:paraId="282D7042" w14:textId="77777777" w:rsidR="00881780" w:rsidRPr="00A71C8E" w:rsidRDefault="00881780" w:rsidP="006F4D8F">
            <w:pPr>
              <w:spacing w:before="0" w:line="240" w:lineRule="auto"/>
              <w:jc w:val="left"/>
              <w:rPr>
                <w:color w:val="000000"/>
                <w:sz w:val="18"/>
                <w:szCs w:val="18"/>
              </w:rPr>
            </w:pPr>
            <w:r w:rsidRPr="00A71C8E">
              <w:rPr>
                <w:sz w:val="18"/>
                <w:szCs w:val="18"/>
              </w:rPr>
              <w:t>225229</w:t>
            </w:r>
          </w:p>
        </w:tc>
        <w:tc>
          <w:tcPr>
            <w:tcW w:w="500" w:type="pct"/>
            <w:noWrap/>
          </w:tcPr>
          <w:p w14:paraId="72385F80" w14:textId="77777777" w:rsidR="00881780" w:rsidRPr="00A71C8E" w:rsidRDefault="00881780" w:rsidP="006F4D8F">
            <w:pPr>
              <w:spacing w:before="0" w:line="240" w:lineRule="auto"/>
              <w:jc w:val="left"/>
              <w:rPr>
                <w:color w:val="000000"/>
                <w:sz w:val="18"/>
                <w:szCs w:val="18"/>
              </w:rPr>
            </w:pPr>
            <w:r w:rsidRPr="00A71C8E">
              <w:rPr>
                <w:sz w:val="18"/>
                <w:szCs w:val="18"/>
              </w:rPr>
              <w:t>66827</w:t>
            </w:r>
          </w:p>
        </w:tc>
      </w:tr>
      <w:tr w:rsidR="00881780" w:rsidRPr="00A71C8E" w14:paraId="3CA0F81A" w14:textId="77777777" w:rsidTr="005F04FC">
        <w:trPr>
          <w:trHeight w:val="300"/>
        </w:trPr>
        <w:tc>
          <w:tcPr>
            <w:tcW w:w="500" w:type="pct"/>
            <w:noWrap/>
          </w:tcPr>
          <w:p w14:paraId="6A9C11ED" w14:textId="77777777" w:rsidR="00881780" w:rsidRPr="00A71C8E" w:rsidRDefault="00881780" w:rsidP="006F4D8F">
            <w:pPr>
              <w:spacing w:before="0" w:line="240" w:lineRule="auto"/>
              <w:jc w:val="left"/>
              <w:rPr>
                <w:color w:val="000000"/>
                <w:sz w:val="18"/>
                <w:szCs w:val="18"/>
              </w:rPr>
            </w:pPr>
            <w:r w:rsidRPr="00A71C8E">
              <w:rPr>
                <w:sz w:val="18"/>
                <w:szCs w:val="18"/>
              </w:rPr>
              <w:t>%</w:t>
            </w:r>
          </w:p>
        </w:tc>
        <w:tc>
          <w:tcPr>
            <w:tcW w:w="500" w:type="pct"/>
            <w:noWrap/>
          </w:tcPr>
          <w:p w14:paraId="0068B1E7"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4B7DA79C" w14:textId="77777777" w:rsidR="00881780" w:rsidRPr="00A71C8E" w:rsidRDefault="00881780" w:rsidP="006F4D8F">
            <w:pPr>
              <w:spacing w:before="0" w:line="240" w:lineRule="auto"/>
              <w:jc w:val="left"/>
              <w:rPr>
                <w:color w:val="000000"/>
                <w:sz w:val="18"/>
                <w:szCs w:val="18"/>
              </w:rPr>
            </w:pPr>
            <w:r w:rsidRPr="00A71C8E">
              <w:rPr>
                <w:sz w:val="18"/>
                <w:szCs w:val="18"/>
              </w:rPr>
              <w:t>55,1</w:t>
            </w:r>
          </w:p>
        </w:tc>
        <w:tc>
          <w:tcPr>
            <w:tcW w:w="500" w:type="pct"/>
            <w:noWrap/>
          </w:tcPr>
          <w:p w14:paraId="2E93EA76" w14:textId="77777777" w:rsidR="00881780" w:rsidRPr="00A71C8E" w:rsidRDefault="00881780" w:rsidP="006F4D8F">
            <w:pPr>
              <w:spacing w:before="0" w:line="240" w:lineRule="auto"/>
              <w:jc w:val="left"/>
              <w:rPr>
                <w:color w:val="000000"/>
                <w:sz w:val="18"/>
                <w:szCs w:val="18"/>
              </w:rPr>
            </w:pPr>
            <w:r w:rsidRPr="00A71C8E">
              <w:rPr>
                <w:sz w:val="18"/>
                <w:szCs w:val="18"/>
              </w:rPr>
              <w:t>26,1</w:t>
            </w:r>
          </w:p>
        </w:tc>
        <w:tc>
          <w:tcPr>
            <w:tcW w:w="500" w:type="pct"/>
            <w:noWrap/>
          </w:tcPr>
          <w:p w14:paraId="7B966A1C" w14:textId="77777777" w:rsidR="00881780" w:rsidRPr="00A71C8E" w:rsidRDefault="00881780" w:rsidP="006F4D8F">
            <w:pPr>
              <w:spacing w:before="0" w:line="240" w:lineRule="auto"/>
              <w:jc w:val="left"/>
              <w:rPr>
                <w:color w:val="000000"/>
                <w:sz w:val="18"/>
                <w:szCs w:val="18"/>
              </w:rPr>
            </w:pPr>
            <w:r w:rsidRPr="00A71C8E">
              <w:rPr>
                <w:sz w:val="18"/>
                <w:szCs w:val="18"/>
              </w:rPr>
              <w:t>12,4</w:t>
            </w:r>
          </w:p>
        </w:tc>
        <w:tc>
          <w:tcPr>
            <w:tcW w:w="461" w:type="pct"/>
            <w:noWrap/>
          </w:tcPr>
          <w:p w14:paraId="5471ABAE" w14:textId="77777777" w:rsidR="00881780" w:rsidRPr="00A71C8E" w:rsidRDefault="00881780" w:rsidP="006F4D8F">
            <w:pPr>
              <w:spacing w:before="0" w:line="240" w:lineRule="auto"/>
              <w:jc w:val="left"/>
              <w:rPr>
                <w:color w:val="000000"/>
                <w:sz w:val="18"/>
                <w:szCs w:val="18"/>
              </w:rPr>
            </w:pPr>
            <w:r w:rsidRPr="00A71C8E">
              <w:rPr>
                <w:sz w:val="18"/>
                <w:szCs w:val="18"/>
              </w:rPr>
              <w:t>27,6</w:t>
            </w:r>
          </w:p>
        </w:tc>
        <w:tc>
          <w:tcPr>
            <w:tcW w:w="539" w:type="pct"/>
            <w:shd w:val="clear" w:color="auto" w:fill="D9D9D9"/>
            <w:noWrap/>
          </w:tcPr>
          <w:p w14:paraId="27D427A0" w14:textId="77777777" w:rsidR="00881780" w:rsidRPr="00A71C8E" w:rsidRDefault="00881780" w:rsidP="006F4D8F">
            <w:pPr>
              <w:spacing w:before="0" w:line="240" w:lineRule="auto"/>
              <w:jc w:val="left"/>
              <w:rPr>
                <w:color w:val="000000"/>
                <w:sz w:val="18"/>
                <w:szCs w:val="18"/>
              </w:rPr>
            </w:pPr>
            <w:r w:rsidRPr="00A71C8E">
              <w:rPr>
                <w:sz w:val="18"/>
                <w:szCs w:val="18"/>
              </w:rPr>
              <w:t>55,0</w:t>
            </w:r>
          </w:p>
        </w:tc>
        <w:tc>
          <w:tcPr>
            <w:tcW w:w="500" w:type="pct"/>
            <w:shd w:val="clear" w:color="auto" w:fill="C6D9F1"/>
            <w:noWrap/>
          </w:tcPr>
          <w:p w14:paraId="1100F0CE" w14:textId="77777777" w:rsidR="00881780" w:rsidRPr="00A71C8E" w:rsidRDefault="00881780" w:rsidP="006F4D8F">
            <w:pPr>
              <w:spacing w:before="0" w:line="240" w:lineRule="auto"/>
              <w:jc w:val="left"/>
              <w:rPr>
                <w:color w:val="000000"/>
                <w:sz w:val="18"/>
                <w:szCs w:val="18"/>
              </w:rPr>
            </w:pPr>
            <w:r w:rsidRPr="00A71C8E">
              <w:rPr>
                <w:sz w:val="18"/>
                <w:szCs w:val="18"/>
              </w:rPr>
              <w:t>30,7</w:t>
            </w:r>
          </w:p>
        </w:tc>
        <w:tc>
          <w:tcPr>
            <w:tcW w:w="500" w:type="pct"/>
            <w:noWrap/>
          </w:tcPr>
          <w:p w14:paraId="6C22D3D8" w14:textId="77777777" w:rsidR="00881780" w:rsidRPr="00A71C8E" w:rsidRDefault="00881780" w:rsidP="006F4D8F">
            <w:pPr>
              <w:spacing w:before="0" w:line="240" w:lineRule="auto"/>
              <w:jc w:val="left"/>
              <w:rPr>
                <w:color w:val="000000"/>
                <w:sz w:val="18"/>
                <w:szCs w:val="18"/>
              </w:rPr>
            </w:pPr>
            <w:r w:rsidRPr="00A71C8E">
              <w:rPr>
                <w:sz w:val="18"/>
                <w:szCs w:val="18"/>
              </w:rPr>
              <w:t>20,8</w:t>
            </w:r>
          </w:p>
        </w:tc>
        <w:tc>
          <w:tcPr>
            <w:tcW w:w="500" w:type="pct"/>
            <w:noWrap/>
          </w:tcPr>
          <w:p w14:paraId="0F25EA7A" w14:textId="77777777" w:rsidR="00881780" w:rsidRPr="00A71C8E" w:rsidRDefault="00881780" w:rsidP="006F4D8F">
            <w:pPr>
              <w:spacing w:before="0" w:line="240" w:lineRule="auto"/>
              <w:jc w:val="left"/>
              <w:rPr>
                <w:color w:val="000000"/>
                <w:sz w:val="18"/>
                <w:szCs w:val="18"/>
              </w:rPr>
            </w:pPr>
            <w:r w:rsidRPr="00A71C8E">
              <w:rPr>
                <w:sz w:val="18"/>
                <w:szCs w:val="18"/>
              </w:rPr>
              <w:t>6,2</w:t>
            </w:r>
          </w:p>
        </w:tc>
      </w:tr>
      <w:tr w:rsidR="00881780" w:rsidRPr="00A71C8E" w14:paraId="53C9C1B9" w14:textId="77777777" w:rsidTr="005F04FC">
        <w:trPr>
          <w:trHeight w:val="300"/>
        </w:trPr>
        <w:tc>
          <w:tcPr>
            <w:tcW w:w="500" w:type="pct"/>
            <w:noWrap/>
          </w:tcPr>
          <w:p w14:paraId="065AD69D" w14:textId="77777777" w:rsidR="00881780" w:rsidRPr="00A71C8E" w:rsidRDefault="00881780" w:rsidP="006F4D8F">
            <w:pPr>
              <w:spacing w:before="0" w:line="240" w:lineRule="auto"/>
              <w:jc w:val="left"/>
              <w:rPr>
                <w:color w:val="000000"/>
                <w:sz w:val="18"/>
                <w:szCs w:val="18"/>
              </w:rPr>
            </w:pPr>
            <w:r w:rsidRPr="00A71C8E">
              <w:rPr>
                <w:sz w:val="18"/>
                <w:szCs w:val="18"/>
              </w:rPr>
              <w:t>Zachodniopomorskie (w tys.)</w:t>
            </w:r>
          </w:p>
        </w:tc>
        <w:tc>
          <w:tcPr>
            <w:tcW w:w="500" w:type="pct"/>
            <w:noWrap/>
          </w:tcPr>
          <w:p w14:paraId="65E7FE5A" w14:textId="77777777" w:rsidR="00881780" w:rsidRPr="00A71C8E" w:rsidRDefault="00881780" w:rsidP="006F4D8F">
            <w:pPr>
              <w:spacing w:before="0" w:line="240" w:lineRule="auto"/>
              <w:jc w:val="left"/>
              <w:rPr>
                <w:sz w:val="18"/>
                <w:szCs w:val="18"/>
              </w:rPr>
            </w:pPr>
            <w:r w:rsidRPr="00A71C8E">
              <w:rPr>
                <w:sz w:val="18"/>
                <w:szCs w:val="18"/>
              </w:rPr>
              <w:t>52599</w:t>
            </w:r>
          </w:p>
        </w:tc>
        <w:tc>
          <w:tcPr>
            <w:tcW w:w="500" w:type="pct"/>
            <w:shd w:val="clear" w:color="auto" w:fill="D9D9D9"/>
            <w:noWrap/>
          </w:tcPr>
          <w:p w14:paraId="1015C12D" w14:textId="77777777" w:rsidR="00881780" w:rsidRPr="00A71C8E" w:rsidRDefault="00881780" w:rsidP="006F4D8F">
            <w:pPr>
              <w:spacing w:before="0" w:line="240" w:lineRule="auto"/>
              <w:jc w:val="left"/>
              <w:rPr>
                <w:color w:val="000000"/>
                <w:sz w:val="18"/>
                <w:szCs w:val="18"/>
              </w:rPr>
            </w:pPr>
            <w:r w:rsidRPr="00A71C8E">
              <w:rPr>
                <w:sz w:val="18"/>
                <w:szCs w:val="18"/>
              </w:rPr>
              <w:t>30577</w:t>
            </w:r>
          </w:p>
        </w:tc>
        <w:tc>
          <w:tcPr>
            <w:tcW w:w="500" w:type="pct"/>
            <w:noWrap/>
          </w:tcPr>
          <w:p w14:paraId="2DA0A634" w14:textId="77777777" w:rsidR="00881780" w:rsidRPr="00A71C8E" w:rsidRDefault="00881780" w:rsidP="006F4D8F">
            <w:pPr>
              <w:spacing w:before="0" w:line="240" w:lineRule="auto"/>
              <w:jc w:val="left"/>
              <w:rPr>
                <w:color w:val="000000"/>
                <w:sz w:val="18"/>
                <w:szCs w:val="18"/>
              </w:rPr>
            </w:pPr>
            <w:r w:rsidRPr="00A71C8E">
              <w:rPr>
                <w:sz w:val="18"/>
                <w:szCs w:val="18"/>
              </w:rPr>
              <w:t>12418</w:t>
            </w:r>
          </w:p>
        </w:tc>
        <w:tc>
          <w:tcPr>
            <w:tcW w:w="500" w:type="pct"/>
            <w:noWrap/>
          </w:tcPr>
          <w:p w14:paraId="0714DDFA" w14:textId="77777777" w:rsidR="00881780" w:rsidRPr="00A71C8E" w:rsidRDefault="00881780" w:rsidP="006F4D8F">
            <w:pPr>
              <w:spacing w:before="0" w:line="240" w:lineRule="auto"/>
              <w:jc w:val="left"/>
              <w:rPr>
                <w:color w:val="000000"/>
                <w:sz w:val="18"/>
                <w:szCs w:val="18"/>
              </w:rPr>
            </w:pPr>
            <w:r w:rsidRPr="00A71C8E">
              <w:rPr>
                <w:sz w:val="18"/>
                <w:szCs w:val="18"/>
              </w:rPr>
              <w:t>5865</w:t>
            </w:r>
          </w:p>
        </w:tc>
        <w:tc>
          <w:tcPr>
            <w:tcW w:w="461" w:type="pct"/>
            <w:noWrap/>
          </w:tcPr>
          <w:p w14:paraId="4694856E" w14:textId="77777777" w:rsidR="00881780" w:rsidRPr="00A71C8E" w:rsidRDefault="00881780" w:rsidP="006F4D8F">
            <w:pPr>
              <w:spacing w:before="0" w:line="240" w:lineRule="auto"/>
              <w:jc w:val="left"/>
              <w:rPr>
                <w:color w:val="000000"/>
                <w:sz w:val="18"/>
                <w:szCs w:val="18"/>
              </w:rPr>
            </w:pPr>
            <w:r w:rsidRPr="00A71C8E">
              <w:rPr>
                <w:sz w:val="18"/>
                <w:szCs w:val="18"/>
              </w:rPr>
              <w:t>16283</w:t>
            </w:r>
          </w:p>
        </w:tc>
        <w:tc>
          <w:tcPr>
            <w:tcW w:w="539" w:type="pct"/>
            <w:shd w:val="clear" w:color="auto" w:fill="D9D9D9"/>
            <w:noWrap/>
          </w:tcPr>
          <w:p w14:paraId="4ACF9CFC" w14:textId="77777777" w:rsidR="00881780" w:rsidRPr="00A71C8E" w:rsidRDefault="00881780" w:rsidP="006F4D8F">
            <w:pPr>
              <w:spacing w:before="0" w:line="240" w:lineRule="auto"/>
              <w:jc w:val="left"/>
              <w:rPr>
                <w:color w:val="000000"/>
                <w:sz w:val="18"/>
                <w:szCs w:val="18"/>
              </w:rPr>
            </w:pPr>
            <w:r w:rsidRPr="00A71C8E">
              <w:rPr>
                <w:sz w:val="18"/>
                <w:szCs w:val="18"/>
              </w:rPr>
              <w:t>28774</w:t>
            </w:r>
          </w:p>
        </w:tc>
        <w:tc>
          <w:tcPr>
            <w:tcW w:w="500" w:type="pct"/>
            <w:shd w:val="clear" w:color="auto" w:fill="C6D9F1"/>
            <w:noWrap/>
          </w:tcPr>
          <w:p w14:paraId="19C64917" w14:textId="77777777" w:rsidR="00881780" w:rsidRPr="00A71C8E" w:rsidRDefault="00881780" w:rsidP="006F4D8F">
            <w:pPr>
              <w:spacing w:before="0" w:line="240" w:lineRule="auto"/>
              <w:jc w:val="left"/>
              <w:rPr>
                <w:color w:val="000000"/>
                <w:sz w:val="18"/>
                <w:szCs w:val="18"/>
              </w:rPr>
            </w:pPr>
            <w:r w:rsidRPr="00A71C8E">
              <w:rPr>
                <w:sz w:val="18"/>
                <w:szCs w:val="18"/>
              </w:rPr>
              <w:t>17331</w:t>
            </w:r>
          </w:p>
        </w:tc>
        <w:tc>
          <w:tcPr>
            <w:tcW w:w="500" w:type="pct"/>
            <w:noWrap/>
          </w:tcPr>
          <w:p w14:paraId="66EEAD27" w14:textId="77777777" w:rsidR="00881780" w:rsidRPr="00A71C8E" w:rsidRDefault="00881780" w:rsidP="006F4D8F">
            <w:pPr>
              <w:spacing w:before="0" w:line="240" w:lineRule="auto"/>
              <w:jc w:val="left"/>
              <w:rPr>
                <w:color w:val="000000"/>
                <w:sz w:val="18"/>
                <w:szCs w:val="18"/>
              </w:rPr>
            </w:pPr>
            <w:r w:rsidRPr="00A71C8E">
              <w:rPr>
                <w:sz w:val="18"/>
                <w:szCs w:val="18"/>
              </w:rPr>
              <w:t>10372</w:t>
            </w:r>
          </w:p>
        </w:tc>
        <w:tc>
          <w:tcPr>
            <w:tcW w:w="500" w:type="pct"/>
            <w:noWrap/>
          </w:tcPr>
          <w:p w14:paraId="6D759B0A" w14:textId="77777777" w:rsidR="00881780" w:rsidRPr="00A71C8E" w:rsidRDefault="00881780" w:rsidP="006F4D8F">
            <w:pPr>
              <w:spacing w:before="0" w:line="240" w:lineRule="auto"/>
              <w:jc w:val="left"/>
              <w:rPr>
                <w:color w:val="000000"/>
                <w:sz w:val="18"/>
                <w:szCs w:val="18"/>
              </w:rPr>
            </w:pPr>
            <w:r w:rsidRPr="00A71C8E">
              <w:rPr>
                <w:sz w:val="18"/>
                <w:szCs w:val="18"/>
              </w:rPr>
              <w:t>2825</w:t>
            </w:r>
          </w:p>
        </w:tc>
      </w:tr>
      <w:tr w:rsidR="00881780" w:rsidRPr="00A71C8E" w14:paraId="1FAE8323" w14:textId="77777777" w:rsidTr="005F04FC">
        <w:trPr>
          <w:trHeight w:val="300"/>
        </w:trPr>
        <w:tc>
          <w:tcPr>
            <w:tcW w:w="500" w:type="pct"/>
            <w:noWrap/>
          </w:tcPr>
          <w:p w14:paraId="7E19B00B" w14:textId="77777777" w:rsidR="00881780" w:rsidRPr="00A71C8E" w:rsidRDefault="00881780" w:rsidP="006F4D8F">
            <w:pPr>
              <w:spacing w:before="0" w:line="240" w:lineRule="auto"/>
              <w:jc w:val="left"/>
              <w:rPr>
                <w:color w:val="000000"/>
                <w:sz w:val="18"/>
                <w:szCs w:val="18"/>
              </w:rPr>
            </w:pPr>
            <w:r w:rsidRPr="00A71C8E">
              <w:rPr>
                <w:sz w:val="18"/>
                <w:szCs w:val="18"/>
              </w:rPr>
              <w:t>%</w:t>
            </w:r>
          </w:p>
        </w:tc>
        <w:tc>
          <w:tcPr>
            <w:tcW w:w="500" w:type="pct"/>
            <w:noWrap/>
          </w:tcPr>
          <w:p w14:paraId="3A838E08"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63ECA272" w14:textId="77777777" w:rsidR="00881780" w:rsidRPr="00A71C8E" w:rsidRDefault="00881780" w:rsidP="006F4D8F">
            <w:pPr>
              <w:spacing w:before="0" w:line="240" w:lineRule="auto"/>
              <w:jc w:val="left"/>
              <w:rPr>
                <w:color w:val="000000"/>
                <w:sz w:val="18"/>
                <w:szCs w:val="18"/>
              </w:rPr>
            </w:pPr>
            <w:r w:rsidRPr="00A71C8E">
              <w:rPr>
                <w:sz w:val="18"/>
                <w:szCs w:val="18"/>
              </w:rPr>
              <w:t>58,1</w:t>
            </w:r>
          </w:p>
        </w:tc>
        <w:tc>
          <w:tcPr>
            <w:tcW w:w="500" w:type="pct"/>
            <w:noWrap/>
          </w:tcPr>
          <w:p w14:paraId="0820CB94" w14:textId="77777777" w:rsidR="00881780" w:rsidRPr="00A71C8E" w:rsidRDefault="00881780" w:rsidP="006F4D8F">
            <w:pPr>
              <w:spacing w:before="0" w:line="240" w:lineRule="auto"/>
              <w:jc w:val="left"/>
              <w:rPr>
                <w:color w:val="000000"/>
                <w:sz w:val="18"/>
                <w:szCs w:val="18"/>
              </w:rPr>
            </w:pPr>
            <w:r w:rsidRPr="00A71C8E">
              <w:rPr>
                <w:sz w:val="18"/>
                <w:szCs w:val="18"/>
              </w:rPr>
              <w:t>23,6</w:t>
            </w:r>
          </w:p>
        </w:tc>
        <w:tc>
          <w:tcPr>
            <w:tcW w:w="500" w:type="pct"/>
            <w:noWrap/>
          </w:tcPr>
          <w:p w14:paraId="6D2EB046" w14:textId="77777777" w:rsidR="00881780" w:rsidRPr="00A71C8E" w:rsidRDefault="00881780" w:rsidP="006F4D8F">
            <w:pPr>
              <w:spacing w:before="0" w:line="240" w:lineRule="auto"/>
              <w:jc w:val="left"/>
              <w:rPr>
                <w:color w:val="000000"/>
                <w:sz w:val="18"/>
                <w:szCs w:val="18"/>
              </w:rPr>
            </w:pPr>
            <w:r w:rsidRPr="00A71C8E">
              <w:rPr>
                <w:sz w:val="18"/>
                <w:szCs w:val="18"/>
              </w:rPr>
              <w:t>11,2</w:t>
            </w:r>
          </w:p>
        </w:tc>
        <w:tc>
          <w:tcPr>
            <w:tcW w:w="461" w:type="pct"/>
            <w:noWrap/>
          </w:tcPr>
          <w:p w14:paraId="332D6085" w14:textId="77777777" w:rsidR="00881780" w:rsidRPr="00A71C8E" w:rsidRDefault="00881780" w:rsidP="006F4D8F">
            <w:pPr>
              <w:spacing w:before="0" w:line="240" w:lineRule="auto"/>
              <w:jc w:val="left"/>
              <w:rPr>
                <w:color w:val="000000"/>
                <w:sz w:val="18"/>
                <w:szCs w:val="18"/>
              </w:rPr>
            </w:pPr>
            <w:r w:rsidRPr="00A71C8E">
              <w:rPr>
                <w:sz w:val="18"/>
                <w:szCs w:val="18"/>
              </w:rPr>
              <w:t>31,0</w:t>
            </w:r>
          </w:p>
        </w:tc>
        <w:tc>
          <w:tcPr>
            <w:tcW w:w="539" w:type="pct"/>
            <w:shd w:val="clear" w:color="auto" w:fill="D9D9D9"/>
            <w:noWrap/>
          </w:tcPr>
          <w:p w14:paraId="6EDCA827" w14:textId="77777777" w:rsidR="00881780" w:rsidRPr="00A71C8E" w:rsidRDefault="00881780" w:rsidP="006F4D8F">
            <w:pPr>
              <w:spacing w:before="0" w:line="240" w:lineRule="auto"/>
              <w:jc w:val="left"/>
              <w:rPr>
                <w:color w:val="000000"/>
                <w:sz w:val="18"/>
                <w:szCs w:val="18"/>
              </w:rPr>
            </w:pPr>
            <w:r w:rsidRPr="00A71C8E">
              <w:rPr>
                <w:sz w:val="18"/>
                <w:szCs w:val="18"/>
              </w:rPr>
              <w:t>54,7</w:t>
            </w:r>
          </w:p>
        </w:tc>
        <w:tc>
          <w:tcPr>
            <w:tcW w:w="500" w:type="pct"/>
            <w:shd w:val="clear" w:color="auto" w:fill="C6D9F1"/>
            <w:noWrap/>
          </w:tcPr>
          <w:p w14:paraId="222BD835" w14:textId="77777777" w:rsidR="00881780" w:rsidRPr="00A71C8E" w:rsidRDefault="00881780" w:rsidP="006F4D8F">
            <w:pPr>
              <w:spacing w:before="0" w:line="240" w:lineRule="auto"/>
              <w:jc w:val="left"/>
              <w:rPr>
                <w:color w:val="000000"/>
                <w:sz w:val="18"/>
                <w:szCs w:val="18"/>
              </w:rPr>
            </w:pPr>
            <w:r w:rsidRPr="00A71C8E">
              <w:rPr>
                <w:sz w:val="18"/>
                <w:szCs w:val="18"/>
              </w:rPr>
              <w:t>32,9</w:t>
            </w:r>
          </w:p>
        </w:tc>
        <w:tc>
          <w:tcPr>
            <w:tcW w:w="500" w:type="pct"/>
            <w:noWrap/>
          </w:tcPr>
          <w:p w14:paraId="07121C6F" w14:textId="77777777" w:rsidR="00881780" w:rsidRPr="00A71C8E" w:rsidRDefault="00881780" w:rsidP="006F4D8F">
            <w:pPr>
              <w:spacing w:before="0" w:line="240" w:lineRule="auto"/>
              <w:jc w:val="left"/>
              <w:rPr>
                <w:color w:val="000000"/>
                <w:sz w:val="18"/>
                <w:szCs w:val="18"/>
              </w:rPr>
            </w:pPr>
            <w:r w:rsidRPr="00A71C8E">
              <w:rPr>
                <w:sz w:val="18"/>
                <w:szCs w:val="18"/>
              </w:rPr>
              <w:t>19,7</w:t>
            </w:r>
          </w:p>
        </w:tc>
        <w:tc>
          <w:tcPr>
            <w:tcW w:w="500" w:type="pct"/>
            <w:noWrap/>
          </w:tcPr>
          <w:p w14:paraId="5CD9841F" w14:textId="77777777" w:rsidR="00881780" w:rsidRPr="00A71C8E" w:rsidRDefault="00881780" w:rsidP="006F4D8F">
            <w:pPr>
              <w:spacing w:before="0" w:line="240" w:lineRule="auto"/>
              <w:jc w:val="left"/>
              <w:rPr>
                <w:color w:val="000000"/>
                <w:sz w:val="18"/>
                <w:szCs w:val="18"/>
              </w:rPr>
            </w:pPr>
            <w:r w:rsidRPr="00A71C8E">
              <w:rPr>
                <w:sz w:val="18"/>
                <w:szCs w:val="18"/>
              </w:rPr>
              <w:t>5,4</w:t>
            </w:r>
          </w:p>
        </w:tc>
      </w:tr>
      <w:tr w:rsidR="00881780" w:rsidRPr="00A71C8E" w14:paraId="1209A2E5" w14:textId="77777777" w:rsidTr="006F4D8F">
        <w:trPr>
          <w:trHeight w:val="300"/>
        </w:trPr>
        <w:tc>
          <w:tcPr>
            <w:tcW w:w="5000" w:type="pct"/>
            <w:gridSpan w:val="10"/>
            <w:shd w:val="clear" w:color="auto" w:fill="auto"/>
            <w:noWrap/>
            <w:vAlign w:val="bottom"/>
          </w:tcPr>
          <w:p w14:paraId="04E9A272"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2016</w:t>
            </w:r>
          </w:p>
        </w:tc>
      </w:tr>
      <w:tr w:rsidR="00881780" w:rsidRPr="00A71C8E" w14:paraId="52500A4E" w14:textId="77777777" w:rsidTr="005F04FC">
        <w:trPr>
          <w:trHeight w:val="300"/>
        </w:trPr>
        <w:tc>
          <w:tcPr>
            <w:tcW w:w="500" w:type="pct"/>
            <w:noWrap/>
          </w:tcPr>
          <w:p w14:paraId="16BAD681" w14:textId="77777777" w:rsidR="00881780" w:rsidRPr="00A71C8E" w:rsidRDefault="00881780" w:rsidP="006F4D8F">
            <w:pPr>
              <w:spacing w:before="0" w:line="240" w:lineRule="auto"/>
              <w:jc w:val="left"/>
              <w:rPr>
                <w:color w:val="000000"/>
                <w:sz w:val="18"/>
                <w:szCs w:val="18"/>
              </w:rPr>
            </w:pPr>
            <w:r w:rsidRPr="00A71C8E">
              <w:rPr>
                <w:sz w:val="18"/>
                <w:szCs w:val="18"/>
              </w:rPr>
              <w:t>Polska (w tys.)</w:t>
            </w:r>
          </w:p>
        </w:tc>
        <w:tc>
          <w:tcPr>
            <w:tcW w:w="500" w:type="pct"/>
            <w:noWrap/>
          </w:tcPr>
          <w:p w14:paraId="18C3C5E4" w14:textId="77777777" w:rsidR="00881780" w:rsidRPr="00A71C8E" w:rsidRDefault="00881780" w:rsidP="006F4D8F">
            <w:pPr>
              <w:spacing w:before="0" w:line="240" w:lineRule="auto"/>
              <w:jc w:val="left"/>
              <w:rPr>
                <w:sz w:val="18"/>
                <w:szCs w:val="18"/>
              </w:rPr>
            </w:pPr>
            <w:r w:rsidRPr="00A71C8E">
              <w:rPr>
                <w:sz w:val="18"/>
                <w:szCs w:val="18"/>
              </w:rPr>
              <w:t>1335155</w:t>
            </w:r>
          </w:p>
        </w:tc>
        <w:tc>
          <w:tcPr>
            <w:tcW w:w="500" w:type="pct"/>
            <w:shd w:val="clear" w:color="auto" w:fill="D9D9D9"/>
            <w:noWrap/>
          </w:tcPr>
          <w:p w14:paraId="298B8A0E" w14:textId="77777777" w:rsidR="00881780" w:rsidRPr="00A71C8E" w:rsidRDefault="00881780" w:rsidP="006F4D8F">
            <w:pPr>
              <w:spacing w:before="0" w:line="240" w:lineRule="auto"/>
              <w:jc w:val="left"/>
              <w:rPr>
                <w:color w:val="000000"/>
                <w:sz w:val="18"/>
                <w:szCs w:val="18"/>
              </w:rPr>
            </w:pPr>
            <w:r w:rsidRPr="00A71C8E">
              <w:rPr>
                <w:sz w:val="18"/>
                <w:szCs w:val="18"/>
              </w:rPr>
              <w:t>712227</w:t>
            </w:r>
          </w:p>
        </w:tc>
        <w:tc>
          <w:tcPr>
            <w:tcW w:w="500" w:type="pct"/>
            <w:noWrap/>
          </w:tcPr>
          <w:p w14:paraId="693C06D6" w14:textId="77777777" w:rsidR="00881780" w:rsidRPr="00A71C8E" w:rsidRDefault="00881780" w:rsidP="006F4D8F">
            <w:pPr>
              <w:spacing w:before="0" w:line="240" w:lineRule="auto"/>
              <w:jc w:val="left"/>
              <w:rPr>
                <w:color w:val="000000"/>
                <w:sz w:val="18"/>
                <w:szCs w:val="18"/>
              </w:rPr>
            </w:pPr>
            <w:r w:rsidRPr="00A71C8E">
              <w:rPr>
                <w:sz w:val="18"/>
                <w:szCs w:val="18"/>
              </w:rPr>
              <w:t>363901</w:t>
            </w:r>
          </w:p>
        </w:tc>
        <w:tc>
          <w:tcPr>
            <w:tcW w:w="500" w:type="pct"/>
            <w:noWrap/>
          </w:tcPr>
          <w:p w14:paraId="3EDF3215" w14:textId="77777777" w:rsidR="00881780" w:rsidRPr="00A71C8E" w:rsidRDefault="00881780" w:rsidP="006F4D8F">
            <w:pPr>
              <w:spacing w:before="0" w:line="240" w:lineRule="auto"/>
              <w:jc w:val="left"/>
              <w:rPr>
                <w:color w:val="000000"/>
                <w:sz w:val="18"/>
                <w:szCs w:val="18"/>
              </w:rPr>
            </w:pPr>
            <w:r w:rsidRPr="00A71C8E">
              <w:rPr>
                <w:sz w:val="18"/>
                <w:szCs w:val="18"/>
              </w:rPr>
              <w:t>179203</w:t>
            </w:r>
          </w:p>
        </w:tc>
        <w:tc>
          <w:tcPr>
            <w:tcW w:w="461" w:type="pct"/>
            <w:noWrap/>
          </w:tcPr>
          <w:p w14:paraId="13913084" w14:textId="77777777" w:rsidR="00881780" w:rsidRPr="00A71C8E" w:rsidRDefault="00881780" w:rsidP="006F4D8F">
            <w:pPr>
              <w:spacing w:before="0" w:line="240" w:lineRule="auto"/>
              <w:jc w:val="left"/>
              <w:rPr>
                <w:color w:val="000000"/>
                <w:sz w:val="18"/>
                <w:szCs w:val="18"/>
              </w:rPr>
            </w:pPr>
            <w:r w:rsidRPr="00A71C8E">
              <w:rPr>
                <w:sz w:val="18"/>
                <w:szCs w:val="18"/>
              </w:rPr>
              <w:t>376948</w:t>
            </w:r>
          </w:p>
        </w:tc>
        <w:tc>
          <w:tcPr>
            <w:tcW w:w="539" w:type="pct"/>
            <w:shd w:val="clear" w:color="auto" w:fill="D9D9D9"/>
            <w:noWrap/>
          </w:tcPr>
          <w:p w14:paraId="43FEE61C" w14:textId="77777777" w:rsidR="00881780" w:rsidRPr="00A71C8E" w:rsidRDefault="00881780" w:rsidP="006F4D8F">
            <w:pPr>
              <w:spacing w:before="0" w:line="240" w:lineRule="auto"/>
              <w:jc w:val="left"/>
              <w:rPr>
                <w:color w:val="000000"/>
                <w:sz w:val="18"/>
                <w:szCs w:val="18"/>
              </w:rPr>
            </w:pPr>
            <w:r w:rsidRPr="00A71C8E">
              <w:rPr>
                <w:sz w:val="18"/>
                <w:szCs w:val="18"/>
              </w:rPr>
              <w:t>747623</w:t>
            </w:r>
          </w:p>
        </w:tc>
        <w:tc>
          <w:tcPr>
            <w:tcW w:w="500" w:type="pct"/>
            <w:shd w:val="clear" w:color="auto" w:fill="C6D9F1"/>
            <w:noWrap/>
          </w:tcPr>
          <w:p w14:paraId="24CE95D1" w14:textId="77777777" w:rsidR="00881780" w:rsidRPr="00A71C8E" w:rsidRDefault="00881780" w:rsidP="006F4D8F">
            <w:pPr>
              <w:spacing w:before="0" w:line="240" w:lineRule="auto"/>
              <w:jc w:val="left"/>
              <w:rPr>
                <w:color w:val="000000"/>
                <w:sz w:val="18"/>
                <w:szCs w:val="18"/>
              </w:rPr>
            </w:pPr>
            <w:r w:rsidRPr="00A71C8E">
              <w:rPr>
                <w:sz w:val="18"/>
                <w:szCs w:val="18"/>
              </w:rPr>
              <w:t>409821</w:t>
            </w:r>
          </w:p>
        </w:tc>
        <w:tc>
          <w:tcPr>
            <w:tcW w:w="500" w:type="pct"/>
            <w:noWrap/>
          </w:tcPr>
          <w:p w14:paraId="24563E02" w14:textId="77777777" w:rsidR="00881780" w:rsidRPr="00A71C8E" w:rsidRDefault="00881780" w:rsidP="006F4D8F">
            <w:pPr>
              <w:spacing w:before="0" w:line="240" w:lineRule="auto"/>
              <w:jc w:val="left"/>
              <w:rPr>
                <w:color w:val="000000"/>
                <w:sz w:val="18"/>
                <w:szCs w:val="18"/>
              </w:rPr>
            </w:pPr>
            <w:r w:rsidRPr="00A71C8E">
              <w:rPr>
                <w:sz w:val="18"/>
                <w:szCs w:val="18"/>
              </w:rPr>
              <w:t>285359</w:t>
            </w:r>
          </w:p>
        </w:tc>
        <w:tc>
          <w:tcPr>
            <w:tcW w:w="500" w:type="pct"/>
            <w:noWrap/>
          </w:tcPr>
          <w:p w14:paraId="1B95865B" w14:textId="77777777" w:rsidR="00881780" w:rsidRPr="00A71C8E" w:rsidRDefault="00881780" w:rsidP="006F4D8F">
            <w:pPr>
              <w:spacing w:before="0" w:line="240" w:lineRule="auto"/>
              <w:jc w:val="left"/>
              <w:rPr>
                <w:color w:val="000000"/>
                <w:sz w:val="18"/>
                <w:szCs w:val="18"/>
              </w:rPr>
            </w:pPr>
            <w:r w:rsidRPr="00A71C8E">
              <w:rPr>
                <w:sz w:val="18"/>
                <w:szCs w:val="18"/>
              </w:rPr>
              <w:t>82211</w:t>
            </w:r>
          </w:p>
        </w:tc>
      </w:tr>
      <w:tr w:rsidR="00881780" w:rsidRPr="00A71C8E" w14:paraId="0E417A53" w14:textId="77777777" w:rsidTr="005F04FC">
        <w:trPr>
          <w:trHeight w:val="300"/>
        </w:trPr>
        <w:tc>
          <w:tcPr>
            <w:tcW w:w="500" w:type="pct"/>
            <w:noWrap/>
          </w:tcPr>
          <w:p w14:paraId="63A8237B" w14:textId="77777777" w:rsidR="00881780" w:rsidRPr="00A71C8E" w:rsidRDefault="00881780" w:rsidP="006F4D8F">
            <w:pPr>
              <w:spacing w:before="0" w:line="240" w:lineRule="auto"/>
              <w:jc w:val="left"/>
              <w:rPr>
                <w:color w:val="000000"/>
                <w:sz w:val="18"/>
                <w:szCs w:val="18"/>
              </w:rPr>
            </w:pPr>
            <w:r w:rsidRPr="00A71C8E">
              <w:rPr>
                <w:sz w:val="18"/>
                <w:szCs w:val="18"/>
              </w:rPr>
              <w:t>%</w:t>
            </w:r>
          </w:p>
        </w:tc>
        <w:tc>
          <w:tcPr>
            <w:tcW w:w="500" w:type="pct"/>
            <w:noWrap/>
          </w:tcPr>
          <w:p w14:paraId="44661B05"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1C2779E4" w14:textId="77777777" w:rsidR="00881780" w:rsidRPr="00A71C8E" w:rsidRDefault="00881780" w:rsidP="006F4D8F">
            <w:pPr>
              <w:spacing w:before="0" w:line="240" w:lineRule="auto"/>
              <w:jc w:val="left"/>
              <w:rPr>
                <w:color w:val="000000"/>
                <w:sz w:val="18"/>
                <w:szCs w:val="18"/>
              </w:rPr>
            </w:pPr>
            <w:r w:rsidRPr="00A71C8E">
              <w:rPr>
                <w:sz w:val="18"/>
                <w:szCs w:val="18"/>
              </w:rPr>
              <w:t>53,3</w:t>
            </w:r>
          </w:p>
        </w:tc>
        <w:tc>
          <w:tcPr>
            <w:tcW w:w="500" w:type="pct"/>
            <w:noWrap/>
          </w:tcPr>
          <w:p w14:paraId="317BE8F6" w14:textId="77777777" w:rsidR="00881780" w:rsidRPr="00A71C8E" w:rsidRDefault="00881780" w:rsidP="006F4D8F">
            <w:pPr>
              <w:spacing w:before="0" w:line="240" w:lineRule="auto"/>
              <w:jc w:val="left"/>
              <w:rPr>
                <w:color w:val="000000"/>
                <w:sz w:val="18"/>
                <w:szCs w:val="18"/>
              </w:rPr>
            </w:pPr>
            <w:r w:rsidRPr="00A71C8E">
              <w:rPr>
                <w:sz w:val="18"/>
                <w:szCs w:val="18"/>
              </w:rPr>
              <w:t>27,3</w:t>
            </w:r>
          </w:p>
        </w:tc>
        <w:tc>
          <w:tcPr>
            <w:tcW w:w="500" w:type="pct"/>
            <w:noWrap/>
          </w:tcPr>
          <w:p w14:paraId="79A4E3A1" w14:textId="77777777" w:rsidR="00881780" w:rsidRPr="00A71C8E" w:rsidRDefault="00881780" w:rsidP="006F4D8F">
            <w:pPr>
              <w:spacing w:before="0" w:line="240" w:lineRule="auto"/>
              <w:jc w:val="left"/>
              <w:rPr>
                <w:color w:val="000000"/>
                <w:sz w:val="18"/>
                <w:szCs w:val="18"/>
              </w:rPr>
            </w:pPr>
            <w:r w:rsidRPr="00A71C8E">
              <w:rPr>
                <w:sz w:val="18"/>
                <w:szCs w:val="18"/>
              </w:rPr>
              <w:t>13,4</w:t>
            </w:r>
          </w:p>
        </w:tc>
        <w:tc>
          <w:tcPr>
            <w:tcW w:w="461" w:type="pct"/>
            <w:noWrap/>
          </w:tcPr>
          <w:p w14:paraId="45BD9585" w14:textId="77777777" w:rsidR="00881780" w:rsidRPr="00A71C8E" w:rsidRDefault="00881780" w:rsidP="006F4D8F">
            <w:pPr>
              <w:spacing w:before="0" w:line="240" w:lineRule="auto"/>
              <w:jc w:val="left"/>
              <w:rPr>
                <w:color w:val="000000"/>
                <w:sz w:val="18"/>
                <w:szCs w:val="18"/>
              </w:rPr>
            </w:pPr>
            <w:r w:rsidRPr="00A71C8E">
              <w:rPr>
                <w:sz w:val="18"/>
                <w:szCs w:val="18"/>
              </w:rPr>
              <w:t>28,2</w:t>
            </w:r>
          </w:p>
        </w:tc>
        <w:tc>
          <w:tcPr>
            <w:tcW w:w="539" w:type="pct"/>
            <w:shd w:val="clear" w:color="auto" w:fill="D9D9D9"/>
            <w:noWrap/>
          </w:tcPr>
          <w:p w14:paraId="151DD6E0" w14:textId="77777777" w:rsidR="00881780" w:rsidRPr="00A71C8E" w:rsidRDefault="00881780" w:rsidP="006F4D8F">
            <w:pPr>
              <w:spacing w:before="0" w:line="240" w:lineRule="auto"/>
              <w:jc w:val="left"/>
              <w:rPr>
                <w:color w:val="000000"/>
                <w:sz w:val="18"/>
                <w:szCs w:val="18"/>
              </w:rPr>
            </w:pPr>
            <w:r w:rsidRPr="00A71C8E">
              <w:rPr>
                <w:sz w:val="18"/>
                <w:szCs w:val="18"/>
              </w:rPr>
              <w:t>56,0</w:t>
            </w:r>
          </w:p>
        </w:tc>
        <w:tc>
          <w:tcPr>
            <w:tcW w:w="500" w:type="pct"/>
            <w:shd w:val="clear" w:color="auto" w:fill="C6D9F1"/>
            <w:noWrap/>
          </w:tcPr>
          <w:p w14:paraId="34C914C2" w14:textId="77777777" w:rsidR="00881780" w:rsidRPr="00A71C8E" w:rsidRDefault="00881780" w:rsidP="006F4D8F">
            <w:pPr>
              <w:spacing w:before="0" w:line="240" w:lineRule="auto"/>
              <w:jc w:val="left"/>
              <w:rPr>
                <w:color w:val="000000"/>
                <w:sz w:val="18"/>
                <w:szCs w:val="18"/>
              </w:rPr>
            </w:pPr>
            <w:r w:rsidRPr="00A71C8E">
              <w:rPr>
                <w:sz w:val="18"/>
                <w:szCs w:val="18"/>
              </w:rPr>
              <w:t>30,7</w:t>
            </w:r>
          </w:p>
        </w:tc>
        <w:tc>
          <w:tcPr>
            <w:tcW w:w="500" w:type="pct"/>
            <w:noWrap/>
          </w:tcPr>
          <w:p w14:paraId="212E37F6" w14:textId="77777777" w:rsidR="00881780" w:rsidRPr="00A71C8E" w:rsidRDefault="00881780" w:rsidP="006F4D8F">
            <w:pPr>
              <w:spacing w:before="0" w:line="240" w:lineRule="auto"/>
              <w:jc w:val="left"/>
              <w:rPr>
                <w:color w:val="000000"/>
                <w:sz w:val="18"/>
                <w:szCs w:val="18"/>
              </w:rPr>
            </w:pPr>
            <w:r w:rsidRPr="00A71C8E">
              <w:rPr>
                <w:sz w:val="18"/>
                <w:szCs w:val="18"/>
              </w:rPr>
              <w:t>21,4</w:t>
            </w:r>
          </w:p>
        </w:tc>
        <w:tc>
          <w:tcPr>
            <w:tcW w:w="500" w:type="pct"/>
            <w:noWrap/>
          </w:tcPr>
          <w:p w14:paraId="052597E9" w14:textId="77777777" w:rsidR="00881780" w:rsidRPr="00A71C8E" w:rsidRDefault="00881780" w:rsidP="006F4D8F">
            <w:pPr>
              <w:spacing w:before="0" w:line="240" w:lineRule="auto"/>
              <w:jc w:val="left"/>
              <w:rPr>
                <w:color w:val="000000"/>
                <w:sz w:val="18"/>
                <w:szCs w:val="18"/>
              </w:rPr>
            </w:pPr>
            <w:r w:rsidRPr="00A71C8E">
              <w:rPr>
                <w:sz w:val="18"/>
                <w:szCs w:val="18"/>
              </w:rPr>
              <w:t>6,2</w:t>
            </w:r>
          </w:p>
        </w:tc>
      </w:tr>
      <w:tr w:rsidR="00881780" w:rsidRPr="00A71C8E" w14:paraId="126E706C" w14:textId="77777777" w:rsidTr="005F04FC">
        <w:trPr>
          <w:trHeight w:val="300"/>
        </w:trPr>
        <w:tc>
          <w:tcPr>
            <w:tcW w:w="500" w:type="pct"/>
            <w:noWrap/>
          </w:tcPr>
          <w:p w14:paraId="00FE69DE" w14:textId="77777777" w:rsidR="00881780" w:rsidRPr="00A71C8E" w:rsidRDefault="00881780" w:rsidP="006F4D8F">
            <w:pPr>
              <w:spacing w:before="0" w:line="240" w:lineRule="auto"/>
              <w:jc w:val="left"/>
              <w:rPr>
                <w:color w:val="000000"/>
                <w:sz w:val="18"/>
                <w:szCs w:val="18"/>
              </w:rPr>
            </w:pPr>
            <w:r w:rsidRPr="00A71C8E">
              <w:rPr>
                <w:sz w:val="18"/>
                <w:szCs w:val="18"/>
              </w:rPr>
              <w:t>Zachodniopomorskie (w tys.)</w:t>
            </w:r>
          </w:p>
        </w:tc>
        <w:tc>
          <w:tcPr>
            <w:tcW w:w="500" w:type="pct"/>
            <w:noWrap/>
          </w:tcPr>
          <w:p w14:paraId="3B302777" w14:textId="77777777" w:rsidR="00881780" w:rsidRPr="00A71C8E" w:rsidRDefault="00881780" w:rsidP="006F4D8F">
            <w:pPr>
              <w:spacing w:before="0" w:line="240" w:lineRule="auto"/>
              <w:jc w:val="left"/>
              <w:rPr>
                <w:sz w:val="18"/>
                <w:szCs w:val="18"/>
              </w:rPr>
            </w:pPr>
            <w:r w:rsidRPr="00A71C8E">
              <w:rPr>
                <w:sz w:val="18"/>
                <w:szCs w:val="18"/>
              </w:rPr>
              <w:t>65842</w:t>
            </w:r>
          </w:p>
        </w:tc>
        <w:tc>
          <w:tcPr>
            <w:tcW w:w="500" w:type="pct"/>
            <w:shd w:val="clear" w:color="auto" w:fill="D9D9D9"/>
            <w:noWrap/>
          </w:tcPr>
          <w:p w14:paraId="4166D474" w14:textId="77777777" w:rsidR="00881780" w:rsidRPr="00A71C8E" w:rsidRDefault="00881780" w:rsidP="006F4D8F">
            <w:pPr>
              <w:spacing w:before="0" w:line="240" w:lineRule="auto"/>
              <w:jc w:val="left"/>
              <w:rPr>
                <w:color w:val="000000"/>
                <w:sz w:val="18"/>
                <w:szCs w:val="18"/>
              </w:rPr>
            </w:pPr>
            <w:r w:rsidRPr="00A71C8E">
              <w:rPr>
                <w:sz w:val="18"/>
                <w:szCs w:val="18"/>
              </w:rPr>
              <w:t>36439</w:t>
            </w:r>
          </w:p>
        </w:tc>
        <w:tc>
          <w:tcPr>
            <w:tcW w:w="500" w:type="pct"/>
            <w:noWrap/>
          </w:tcPr>
          <w:p w14:paraId="20F12B60" w14:textId="77777777" w:rsidR="00881780" w:rsidRPr="00A71C8E" w:rsidRDefault="00881780" w:rsidP="006F4D8F">
            <w:pPr>
              <w:spacing w:before="0" w:line="240" w:lineRule="auto"/>
              <w:jc w:val="left"/>
              <w:rPr>
                <w:color w:val="000000"/>
                <w:sz w:val="18"/>
                <w:szCs w:val="18"/>
              </w:rPr>
            </w:pPr>
            <w:r w:rsidRPr="00A71C8E">
              <w:rPr>
                <w:sz w:val="18"/>
                <w:szCs w:val="18"/>
              </w:rPr>
              <w:t>16022</w:t>
            </w:r>
          </w:p>
        </w:tc>
        <w:tc>
          <w:tcPr>
            <w:tcW w:w="500" w:type="pct"/>
            <w:noWrap/>
          </w:tcPr>
          <w:p w14:paraId="5F19D56B" w14:textId="77777777" w:rsidR="00881780" w:rsidRPr="00A71C8E" w:rsidRDefault="00881780" w:rsidP="006F4D8F">
            <w:pPr>
              <w:spacing w:before="0" w:line="240" w:lineRule="auto"/>
              <w:jc w:val="left"/>
              <w:rPr>
                <w:color w:val="000000"/>
                <w:sz w:val="18"/>
                <w:szCs w:val="18"/>
              </w:rPr>
            </w:pPr>
            <w:r w:rsidRPr="00A71C8E">
              <w:rPr>
                <w:sz w:val="18"/>
                <w:szCs w:val="18"/>
              </w:rPr>
              <w:t>7842</w:t>
            </w:r>
          </w:p>
        </w:tc>
        <w:tc>
          <w:tcPr>
            <w:tcW w:w="461" w:type="pct"/>
            <w:noWrap/>
          </w:tcPr>
          <w:p w14:paraId="7D1D5803" w14:textId="77777777" w:rsidR="00881780" w:rsidRPr="00A71C8E" w:rsidRDefault="00881780" w:rsidP="006F4D8F">
            <w:pPr>
              <w:spacing w:before="0" w:line="240" w:lineRule="auto"/>
              <w:jc w:val="left"/>
              <w:rPr>
                <w:color w:val="000000"/>
                <w:sz w:val="18"/>
                <w:szCs w:val="18"/>
              </w:rPr>
            </w:pPr>
            <w:r w:rsidRPr="00A71C8E">
              <w:rPr>
                <w:sz w:val="18"/>
                <w:szCs w:val="18"/>
              </w:rPr>
              <w:t>20974</w:t>
            </w:r>
          </w:p>
        </w:tc>
        <w:tc>
          <w:tcPr>
            <w:tcW w:w="539" w:type="pct"/>
            <w:shd w:val="clear" w:color="auto" w:fill="D9D9D9"/>
            <w:noWrap/>
          </w:tcPr>
          <w:p w14:paraId="69C66BBD" w14:textId="77777777" w:rsidR="00881780" w:rsidRPr="00A71C8E" w:rsidRDefault="00881780" w:rsidP="006F4D8F">
            <w:pPr>
              <w:spacing w:before="0" w:line="240" w:lineRule="auto"/>
              <w:jc w:val="left"/>
              <w:rPr>
                <w:color w:val="000000"/>
                <w:sz w:val="18"/>
                <w:szCs w:val="18"/>
              </w:rPr>
            </w:pPr>
            <w:r w:rsidRPr="00A71C8E">
              <w:rPr>
                <w:sz w:val="18"/>
                <w:szCs w:val="18"/>
              </w:rPr>
              <w:t>35487</w:t>
            </w:r>
          </w:p>
        </w:tc>
        <w:tc>
          <w:tcPr>
            <w:tcW w:w="500" w:type="pct"/>
            <w:shd w:val="clear" w:color="auto" w:fill="C6D9F1"/>
            <w:noWrap/>
          </w:tcPr>
          <w:p w14:paraId="7C202D37" w14:textId="77777777" w:rsidR="00881780" w:rsidRPr="00A71C8E" w:rsidRDefault="00881780" w:rsidP="006F4D8F">
            <w:pPr>
              <w:spacing w:before="0" w:line="240" w:lineRule="auto"/>
              <w:jc w:val="left"/>
              <w:rPr>
                <w:color w:val="000000"/>
                <w:sz w:val="18"/>
                <w:szCs w:val="18"/>
              </w:rPr>
            </w:pPr>
            <w:r w:rsidRPr="00A71C8E">
              <w:rPr>
                <w:sz w:val="18"/>
                <w:szCs w:val="18"/>
              </w:rPr>
              <w:t>21385</w:t>
            </w:r>
          </w:p>
        </w:tc>
        <w:tc>
          <w:tcPr>
            <w:tcW w:w="500" w:type="pct"/>
            <w:noWrap/>
          </w:tcPr>
          <w:p w14:paraId="797384F9" w14:textId="77777777" w:rsidR="00881780" w:rsidRPr="00A71C8E" w:rsidRDefault="00881780" w:rsidP="006F4D8F">
            <w:pPr>
              <w:spacing w:before="0" w:line="240" w:lineRule="auto"/>
              <w:jc w:val="left"/>
              <w:rPr>
                <w:color w:val="000000"/>
                <w:sz w:val="18"/>
                <w:szCs w:val="18"/>
              </w:rPr>
            </w:pPr>
            <w:r w:rsidRPr="00A71C8E">
              <w:rPr>
                <w:sz w:val="18"/>
                <w:szCs w:val="18"/>
              </w:rPr>
              <w:t>13269</w:t>
            </w:r>
          </w:p>
        </w:tc>
        <w:tc>
          <w:tcPr>
            <w:tcW w:w="500" w:type="pct"/>
            <w:noWrap/>
          </w:tcPr>
          <w:p w14:paraId="5FC1372C" w14:textId="77777777" w:rsidR="00881780" w:rsidRPr="00A71C8E" w:rsidRDefault="00881780" w:rsidP="006F4D8F">
            <w:pPr>
              <w:spacing w:before="0" w:line="240" w:lineRule="auto"/>
              <w:jc w:val="left"/>
              <w:rPr>
                <w:color w:val="000000"/>
                <w:sz w:val="18"/>
                <w:szCs w:val="18"/>
              </w:rPr>
            </w:pPr>
            <w:r w:rsidRPr="00A71C8E">
              <w:rPr>
                <w:sz w:val="18"/>
                <w:szCs w:val="18"/>
              </w:rPr>
              <w:t>3392</w:t>
            </w:r>
          </w:p>
        </w:tc>
      </w:tr>
      <w:tr w:rsidR="00881780" w:rsidRPr="00A71C8E" w14:paraId="1AF84614" w14:textId="77777777" w:rsidTr="005F04FC">
        <w:trPr>
          <w:trHeight w:val="300"/>
        </w:trPr>
        <w:tc>
          <w:tcPr>
            <w:tcW w:w="500" w:type="pct"/>
            <w:noWrap/>
          </w:tcPr>
          <w:p w14:paraId="31DBA61E" w14:textId="77777777" w:rsidR="00881780" w:rsidRPr="00A71C8E" w:rsidRDefault="00881780" w:rsidP="006F4D8F">
            <w:pPr>
              <w:spacing w:before="0" w:line="240" w:lineRule="auto"/>
              <w:jc w:val="left"/>
              <w:rPr>
                <w:color w:val="000000"/>
                <w:sz w:val="18"/>
                <w:szCs w:val="18"/>
              </w:rPr>
            </w:pPr>
            <w:r w:rsidRPr="00A71C8E">
              <w:rPr>
                <w:sz w:val="18"/>
                <w:szCs w:val="18"/>
              </w:rPr>
              <w:t>%</w:t>
            </w:r>
          </w:p>
        </w:tc>
        <w:tc>
          <w:tcPr>
            <w:tcW w:w="500" w:type="pct"/>
            <w:noWrap/>
          </w:tcPr>
          <w:p w14:paraId="5280A04B"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2B923D75" w14:textId="77777777" w:rsidR="00881780" w:rsidRPr="00A71C8E" w:rsidRDefault="00881780" w:rsidP="006F4D8F">
            <w:pPr>
              <w:spacing w:before="0" w:line="240" w:lineRule="auto"/>
              <w:jc w:val="left"/>
              <w:rPr>
                <w:color w:val="000000"/>
                <w:sz w:val="18"/>
                <w:szCs w:val="18"/>
              </w:rPr>
            </w:pPr>
            <w:r w:rsidRPr="00A71C8E">
              <w:rPr>
                <w:sz w:val="18"/>
                <w:szCs w:val="18"/>
              </w:rPr>
              <w:t>55,3</w:t>
            </w:r>
          </w:p>
        </w:tc>
        <w:tc>
          <w:tcPr>
            <w:tcW w:w="500" w:type="pct"/>
            <w:noWrap/>
          </w:tcPr>
          <w:p w14:paraId="244C6DAC" w14:textId="77777777" w:rsidR="00881780" w:rsidRPr="00A71C8E" w:rsidRDefault="00881780" w:rsidP="006F4D8F">
            <w:pPr>
              <w:spacing w:before="0" w:line="240" w:lineRule="auto"/>
              <w:jc w:val="left"/>
              <w:rPr>
                <w:color w:val="000000"/>
                <w:sz w:val="18"/>
                <w:szCs w:val="18"/>
              </w:rPr>
            </w:pPr>
            <w:r w:rsidRPr="00A71C8E">
              <w:rPr>
                <w:sz w:val="18"/>
                <w:szCs w:val="18"/>
              </w:rPr>
              <w:t>24,3</w:t>
            </w:r>
          </w:p>
        </w:tc>
        <w:tc>
          <w:tcPr>
            <w:tcW w:w="500" w:type="pct"/>
            <w:noWrap/>
          </w:tcPr>
          <w:p w14:paraId="231833DB" w14:textId="77777777" w:rsidR="00881780" w:rsidRPr="00A71C8E" w:rsidRDefault="00881780" w:rsidP="006F4D8F">
            <w:pPr>
              <w:spacing w:before="0" w:line="240" w:lineRule="auto"/>
              <w:jc w:val="left"/>
              <w:rPr>
                <w:color w:val="000000"/>
                <w:sz w:val="18"/>
                <w:szCs w:val="18"/>
              </w:rPr>
            </w:pPr>
            <w:r w:rsidRPr="00A71C8E">
              <w:rPr>
                <w:sz w:val="18"/>
                <w:szCs w:val="18"/>
              </w:rPr>
              <w:t>11,9</w:t>
            </w:r>
          </w:p>
        </w:tc>
        <w:tc>
          <w:tcPr>
            <w:tcW w:w="461" w:type="pct"/>
            <w:noWrap/>
          </w:tcPr>
          <w:p w14:paraId="728A2043" w14:textId="77777777" w:rsidR="00881780" w:rsidRPr="00A71C8E" w:rsidRDefault="00881780" w:rsidP="006F4D8F">
            <w:pPr>
              <w:spacing w:before="0" w:line="240" w:lineRule="auto"/>
              <w:jc w:val="left"/>
              <w:rPr>
                <w:color w:val="000000"/>
                <w:sz w:val="18"/>
                <w:szCs w:val="18"/>
              </w:rPr>
            </w:pPr>
            <w:r w:rsidRPr="00A71C8E">
              <w:rPr>
                <w:sz w:val="18"/>
                <w:szCs w:val="18"/>
              </w:rPr>
              <w:t>31,9</w:t>
            </w:r>
          </w:p>
        </w:tc>
        <w:tc>
          <w:tcPr>
            <w:tcW w:w="539" w:type="pct"/>
            <w:shd w:val="clear" w:color="auto" w:fill="D9D9D9"/>
            <w:noWrap/>
          </w:tcPr>
          <w:p w14:paraId="3804A406" w14:textId="77777777" w:rsidR="00881780" w:rsidRPr="00A71C8E" w:rsidRDefault="00881780" w:rsidP="006F4D8F">
            <w:pPr>
              <w:spacing w:before="0" w:line="240" w:lineRule="auto"/>
              <w:jc w:val="left"/>
              <w:rPr>
                <w:color w:val="000000"/>
                <w:sz w:val="18"/>
                <w:szCs w:val="18"/>
              </w:rPr>
            </w:pPr>
            <w:r w:rsidRPr="00A71C8E">
              <w:rPr>
                <w:sz w:val="18"/>
                <w:szCs w:val="18"/>
              </w:rPr>
              <w:t>53,9</w:t>
            </w:r>
          </w:p>
        </w:tc>
        <w:tc>
          <w:tcPr>
            <w:tcW w:w="500" w:type="pct"/>
            <w:shd w:val="clear" w:color="auto" w:fill="C6D9F1"/>
            <w:noWrap/>
          </w:tcPr>
          <w:p w14:paraId="2515536C" w14:textId="77777777" w:rsidR="00881780" w:rsidRPr="00A71C8E" w:rsidRDefault="00881780" w:rsidP="006F4D8F">
            <w:pPr>
              <w:spacing w:before="0" w:line="240" w:lineRule="auto"/>
              <w:jc w:val="left"/>
              <w:rPr>
                <w:color w:val="000000"/>
                <w:sz w:val="18"/>
                <w:szCs w:val="18"/>
              </w:rPr>
            </w:pPr>
            <w:r w:rsidRPr="00A71C8E">
              <w:rPr>
                <w:sz w:val="18"/>
                <w:szCs w:val="18"/>
              </w:rPr>
              <w:t>32,5</w:t>
            </w:r>
          </w:p>
        </w:tc>
        <w:tc>
          <w:tcPr>
            <w:tcW w:w="500" w:type="pct"/>
            <w:noWrap/>
          </w:tcPr>
          <w:p w14:paraId="3E2E1686" w14:textId="77777777" w:rsidR="00881780" w:rsidRPr="00A71C8E" w:rsidRDefault="00881780" w:rsidP="006F4D8F">
            <w:pPr>
              <w:spacing w:before="0" w:line="240" w:lineRule="auto"/>
              <w:jc w:val="left"/>
              <w:rPr>
                <w:color w:val="000000"/>
                <w:sz w:val="18"/>
                <w:szCs w:val="18"/>
              </w:rPr>
            </w:pPr>
            <w:r w:rsidRPr="00A71C8E">
              <w:rPr>
                <w:sz w:val="18"/>
                <w:szCs w:val="18"/>
              </w:rPr>
              <w:t>20,2</w:t>
            </w:r>
          </w:p>
        </w:tc>
        <w:tc>
          <w:tcPr>
            <w:tcW w:w="500" w:type="pct"/>
            <w:noWrap/>
          </w:tcPr>
          <w:p w14:paraId="0922E6AE" w14:textId="77777777" w:rsidR="00881780" w:rsidRPr="00A71C8E" w:rsidRDefault="00881780" w:rsidP="006F4D8F">
            <w:pPr>
              <w:spacing w:before="0" w:line="240" w:lineRule="auto"/>
              <w:jc w:val="left"/>
              <w:rPr>
                <w:color w:val="000000"/>
                <w:sz w:val="18"/>
                <w:szCs w:val="18"/>
              </w:rPr>
            </w:pPr>
            <w:r w:rsidRPr="00A71C8E">
              <w:rPr>
                <w:sz w:val="18"/>
                <w:szCs w:val="18"/>
              </w:rPr>
              <w:t>5,2</w:t>
            </w:r>
          </w:p>
        </w:tc>
      </w:tr>
      <w:tr w:rsidR="00881780" w:rsidRPr="00A71C8E" w14:paraId="79025261" w14:textId="77777777" w:rsidTr="006F4D8F">
        <w:trPr>
          <w:trHeight w:val="300"/>
        </w:trPr>
        <w:tc>
          <w:tcPr>
            <w:tcW w:w="5000" w:type="pct"/>
            <w:gridSpan w:val="10"/>
            <w:shd w:val="clear" w:color="auto" w:fill="auto"/>
            <w:noWrap/>
          </w:tcPr>
          <w:p w14:paraId="41A52ED4" w14:textId="77777777" w:rsidR="00881780" w:rsidRPr="00A71C8E" w:rsidRDefault="00881780" w:rsidP="006F4D8F">
            <w:pPr>
              <w:spacing w:before="0" w:line="240" w:lineRule="auto"/>
              <w:jc w:val="left"/>
              <w:rPr>
                <w:b/>
                <w:sz w:val="18"/>
                <w:szCs w:val="18"/>
              </w:rPr>
            </w:pPr>
            <w:r w:rsidRPr="00A71C8E">
              <w:rPr>
                <w:b/>
                <w:sz w:val="18"/>
                <w:szCs w:val="18"/>
              </w:rPr>
              <w:t>2015</w:t>
            </w:r>
          </w:p>
        </w:tc>
      </w:tr>
      <w:tr w:rsidR="00881780" w:rsidRPr="00A71C8E" w14:paraId="022E3ED3" w14:textId="77777777" w:rsidTr="005F04FC">
        <w:trPr>
          <w:trHeight w:val="300"/>
        </w:trPr>
        <w:tc>
          <w:tcPr>
            <w:tcW w:w="500" w:type="pct"/>
            <w:noWrap/>
          </w:tcPr>
          <w:p w14:paraId="691F4B7F" w14:textId="77777777" w:rsidR="00881780" w:rsidRPr="00A71C8E" w:rsidRDefault="00881780" w:rsidP="006F4D8F">
            <w:pPr>
              <w:spacing w:before="0" w:line="240" w:lineRule="auto"/>
              <w:jc w:val="left"/>
              <w:rPr>
                <w:sz w:val="18"/>
                <w:szCs w:val="18"/>
              </w:rPr>
            </w:pPr>
            <w:r w:rsidRPr="00A71C8E">
              <w:rPr>
                <w:sz w:val="18"/>
                <w:szCs w:val="18"/>
              </w:rPr>
              <w:t>Polska (w tys.)</w:t>
            </w:r>
          </w:p>
        </w:tc>
        <w:tc>
          <w:tcPr>
            <w:tcW w:w="500" w:type="pct"/>
            <w:noWrap/>
          </w:tcPr>
          <w:p w14:paraId="70A03581" w14:textId="77777777" w:rsidR="00881780" w:rsidRPr="00A71C8E" w:rsidRDefault="00881780" w:rsidP="006F4D8F">
            <w:pPr>
              <w:spacing w:before="0" w:line="240" w:lineRule="auto"/>
              <w:jc w:val="left"/>
              <w:rPr>
                <w:sz w:val="18"/>
                <w:szCs w:val="18"/>
              </w:rPr>
            </w:pPr>
            <w:r w:rsidRPr="00A71C8E">
              <w:rPr>
                <w:sz w:val="18"/>
                <w:szCs w:val="18"/>
              </w:rPr>
              <w:t>1563339</w:t>
            </w:r>
          </w:p>
        </w:tc>
        <w:tc>
          <w:tcPr>
            <w:tcW w:w="500" w:type="pct"/>
            <w:shd w:val="clear" w:color="auto" w:fill="D9D9D9"/>
            <w:noWrap/>
          </w:tcPr>
          <w:p w14:paraId="4D31850E" w14:textId="77777777" w:rsidR="00881780" w:rsidRPr="00A71C8E" w:rsidRDefault="00881780" w:rsidP="006F4D8F">
            <w:pPr>
              <w:spacing w:before="0" w:line="240" w:lineRule="auto"/>
              <w:jc w:val="left"/>
              <w:rPr>
                <w:sz w:val="18"/>
                <w:szCs w:val="18"/>
              </w:rPr>
            </w:pPr>
            <w:r w:rsidRPr="00A71C8E">
              <w:rPr>
                <w:sz w:val="18"/>
                <w:szCs w:val="18"/>
              </w:rPr>
              <w:t>816138</w:t>
            </w:r>
          </w:p>
        </w:tc>
        <w:tc>
          <w:tcPr>
            <w:tcW w:w="500" w:type="pct"/>
            <w:noWrap/>
          </w:tcPr>
          <w:p w14:paraId="7FCA5933" w14:textId="77777777" w:rsidR="00881780" w:rsidRPr="00A71C8E" w:rsidRDefault="00881780" w:rsidP="006F4D8F">
            <w:pPr>
              <w:spacing w:before="0" w:line="240" w:lineRule="auto"/>
              <w:jc w:val="left"/>
              <w:rPr>
                <w:sz w:val="18"/>
                <w:szCs w:val="18"/>
              </w:rPr>
            </w:pPr>
            <w:r w:rsidRPr="00A71C8E">
              <w:rPr>
                <w:sz w:val="18"/>
                <w:szCs w:val="18"/>
              </w:rPr>
              <w:t>459208</w:t>
            </w:r>
          </w:p>
        </w:tc>
        <w:tc>
          <w:tcPr>
            <w:tcW w:w="500" w:type="pct"/>
            <w:noWrap/>
          </w:tcPr>
          <w:p w14:paraId="10CD080B" w14:textId="77777777" w:rsidR="00881780" w:rsidRPr="00A71C8E" w:rsidRDefault="00881780" w:rsidP="006F4D8F">
            <w:pPr>
              <w:spacing w:before="0" w:line="240" w:lineRule="auto"/>
              <w:jc w:val="left"/>
              <w:rPr>
                <w:sz w:val="18"/>
                <w:szCs w:val="18"/>
              </w:rPr>
            </w:pPr>
            <w:r w:rsidRPr="00A71C8E">
              <w:rPr>
                <w:sz w:val="18"/>
                <w:szCs w:val="18"/>
              </w:rPr>
              <w:t>236837</w:t>
            </w:r>
          </w:p>
        </w:tc>
        <w:tc>
          <w:tcPr>
            <w:tcW w:w="461" w:type="pct"/>
            <w:noWrap/>
          </w:tcPr>
          <w:p w14:paraId="24BA540E" w14:textId="77777777" w:rsidR="00881780" w:rsidRPr="00A71C8E" w:rsidRDefault="00881780" w:rsidP="006F4D8F">
            <w:pPr>
              <w:spacing w:before="0" w:line="240" w:lineRule="auto"/>
              <w:jc w:val="left"/>
              <w:rPr>
                <w:sz w:val="18"/>
                <w:szCs w:val="18"/>
              </w:rPr>
            </w:pPr>
            <w:r w:rsidRPr="00A71C8E">
              <w:rPr>
                <w:sz w:val="18"/>
                <w:szCs w:val="18"/>
              </w:rPr>
              <w:t>429763</w:t>
            </w:r>
          </w:p>
        </w:tc>
        <w:tc>
          <w:tcPr>
            <w:tcW w:w="538" w:type="pct"/>
            <w:shd w:val="clear" w:color="auto" w:fill="D9D9D9"/>
            <w:noWrap/>
          </w:tcPr>
          <w:p w14:paraId="1B37708F" w14:textId="77777777" w:rsidR="00881780" w:rsidRPr="00A71C8E" w:rsidRDefault="00881780" w:rsidP="006F4D8F">
            <w:pPr>
              <w:spacing w:before="0" w:line="240" w:lineRule="auto"/>
              <w:jc w:val="left"/>
              <w:rPr>
                <w:sz w:val="18"/>
                <w:szCs w:val="18"/>
              </w:rPr>
            </w:pPr>
            <w:r w:rsidRPr="00A71C8E">
              <w:rPr>
                <w:sz w:val="18"/>
                <w:szCs w:val="18"/>
              </w:rPr>
              <w:t>880286</w:t>
            </w:r>
          </w:p>
        </w:tc>
        <w:tc>
          <w:tcPr>
            <w:tcW w:w="500" w:type="pct"/>
            <w:shd w:val="clear" w:color="auto" w:fill="C6D9F1"/>
            <w:noWrap/>
          </w:tcPr>
          <w:p w14:paraId="38E5DEC3" w14:textId="77777777" w:rsidR="00881780" w:rsidRPr="00A71C8E" w:rsidRDefault="00881780" w:rsidP="006F4D8F">
            <w:pPr>
              <w:spacing w:before="0" w:line="240" w:lineRule="auto"/>
              <w:jc w:val="left"/>
              <w:rPr>
                <w:sz w:val="18"/>
                <w:szCs w:val="18"/>
              </w:rPr>
            </w:pPr>
            <w:r w:rsidRPr="00A71C8E">
              <w:rPr>
                <w:sz w:val="18"/>
                <w:szCs w:val="18"/>
              </w:rPr>
              <w:t>478447</w:t>
            </w:r>
          </w:p>
        </w:tc>
        <w:tc>
          <w:tcPr>
            <w:tcW w:w="500" w:type="pct"/>
            <w:noWrap/>
          </w:tcPr>
          <w:p w14:paraId="659FBD3F" w14:textId="77777777" w:rsidR="00881780" w:rsidRPr="00A71C8E" w:rsidRDefault="00881780" w:rsidP="006F4D8F">
            <w:pPr>
              <w:spacing w:before="0" w:line="240" w:lineRule="auto"/>
              <w:jc w:val="left"/>
              <w:rPr>
                <w:sz w:val="18"/>
                <w:szCs w:val="18"/>
              </w:rPr>
            </w:pPr>
            <w:r w:rsidRPr="00A71C8E">
              <w:rPr>
                <w:sz w:val="18"/>
                <w:szCs w:val="18"/>
              </w:rPr>
              <w:t>356225</w:t>
            </w:r>
          </w:p>
        </w:tc>
        <w:tc>
          <w:tcPr>
            <w:tcW w:w="500" w:type="pct"/>
            <w:noWrap/>
          </w:tcPr>
          <w:p w14:paraId="3C2C14FF" w14:textId="77777777" w:rsidR="00881780" w:rsidRPr="00A71C8E" w:rsidRDefault="00881780" w:rsidP="006F4D8F">
            <w:pPr>
              <w:spacing w:before="0" w:line="240" w:lineRule="auto"/>
              <w:jc w:val="left"/>
              <w:rPr>
                <w:sz w:val="18"/>
                <w:szCs w:val="18"/>
              </w:rPr>
            </w:pPr>
            <w:r w:rsidRPr="00A71C8E">
              <w:rPr>
                <w:sz w:val="18"/>
                <w:szCs w:val="18"/>
              </w:rPr>
              <w:t>95247</w:t>
            </w:r>
          </w:p>
        </w:tc>
      </w:tr>
      <w:tr w:rsidR="00881780" w:rsidRPr="00A71C8E" w14:paraId="1544FE3B" w14:textId="77777777" w:rsidTr="005F04FC">
        <w:trPr>
          <w:trHeight w:val="300"/>
        </w:trPr>
        <w:tc>
          <w:tcPr>
            <w:tcW w:w="500" w:type="pct"/>
            <w:noWrap/>
          </w:tcPr>
          <w:p w14:paraId="432CE35E" w14:textId="77777777" w:rsidR="00881780" w:rsidRPr="00A71C8E" w:rsidRDefault="00881780" w:rsidP="006F4D8F">
            <w:pPr>
              <w:spacing w:before="0" w:line="240" w:lineRule="auto"/>
              <w:jc w:val="left"/>
              <w:rPr>
                <w:sz w:val="18"/>
                <w:szCs w:val="18"/>
              </w:rPr>
            </w:pPr>
            <w:r w:rsidRPr="00A71C8E">
              <w:rPr>
                <w:sz w:val="18"/>
                <w:szCs w:val="18"/>
              </w:rPr>
              <w:t>%</w:t>
            </w:r>
          </w:p>
        </w:tc>
        <w:tc>
          <w:tcPr>
            <w:tcW w:w="500" w:type="pct"/>
            <w:noWrap/>
          </w:tcPr>
          <w:p w14:paraId="2C1B6844"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327BBE63" w14:textId="77777777" w:rsidR="00881780" w:rsidRPr="00A71C8E" w:rsidRDefault="00881780" w:rsidP="006F4D8F">
            <w:pPr>
              <w:spacing w:before="0" w:line="240" w:lineRule="auto"/>
              <w:jc w:val="left"/>
              <w:rPr>
                <w:sz w:val="18"/>
                <w:szCs w:val="18"/>
              </w:rPr>
            </w:pPr>
            <w:r w:rsidRPr="00A71C8E">
              <w:rPr>
                <w:sz w:val="18"/>
                <w:szCs w:val="18"/>
              </w:rPr>
              <w:t>52,2</w:t>
            </w:r>
          </w:p>
        </w:tc>
        <w:tc>
          <w:tcPr>
            <w:tcW w:w="500" w:type="pct"/>
            <w:noWrap/>
          </w:tcPr>
          <w:p w14:paraId="5043B2F5" w14:textId="77777777" w:rsidR="00881780" w:rsidRPr="00A71C8E" w:rsidRDefault="00881780" w:rsidP="006F4D8F">
            <w:pPr>
              <w:spacing w:before="0" w:line="240" w:lineRule="auto"/>
              <w:jc w:val="left"/>
              <w:rPr>
                <w:sz w:val="18"/>
                <w:szCs w:val="18"/>
              </w:rPr>
            </w:pPr>
            <w:r w:rsidRPr="00A71C8E">
              <w:rPr>
                <w:sz w:val="18"/>
                <w:szCs w:val="18"/>
              </w:rPr>
              <w:t>29,4</w:t>
            </w:r>
          </w:p>
        </w:tc>
        <w:tc>
          <w:tcPr>
            <w:tcW w:w="500" w:type="pct"/>
            <w:noWrap/>
          </w:tcPr>
          <w:p w14:paraId="5035366C" w14:textId="77777777" w:rsidR="00881780" w:rsidRPr="00A71C8E" w:rsidRDefault="00881780" w:rsidP="006F4D8F">
            <w:pPr>
              <w:spacing w:before="0" w:line="240" w:lineRule="auto"/>
              <w:jc w:val="left"/>
              <w:rPr>
                <w:sz w:val="18"/>
                <w:szCs w:val="18"/>
              </w:rPr>
            </w:pPr>
            <w:r w:rsidRPr="00A71C8E">
              <w:rPr>
                <w:sz w:val="18"/>
                <w:szCs w:val="18"/>
              </w:rPr>
              <w:t>15,1</w:t>
            </w:r>
          </w:p>
        </w:tc>
        <w:tc>
          <w:tcPr>
            <w:tcW w:w="461" w:type="pct"/>
            <w:noWrap/>
          </w:tcPr>
          <w:p w14:paraId="2475A9C6" w14:textId="77777777" w:rsidR="00881780" w:rsidRPr="00A71C8E" w:rsidRDefault="00881780" w:rsidP="006F4D8F">
            <w:pPr>
              <w:spacing w:before="0" w:line="240" w:lineRule="auto"/>
              <w:jc w:val="left"/>
              <w:rPr>
                <w:sz w:val="18"/>
                <w:szCs w:val="18"/>
              </w:rPr>
            </w:pPr>
            <w:r w:rsidRPr="00A71C8E">
              <w:rPr>
                <w:sz w:val="18"/>
                <w:szCs w:val="18"/>
              </w:rPr>
              <w:t>27,5</w:t>
            </w:r>
          </w:p>
        </w:tc>
        <w:tc>
          <w:tcPr>
            <w:tcW w:w="538" w:type="pct"/>
            <w:shd w:val="clear" w:color="auto" w:fill="D9D9D9"/>
            <w:noWrap/>
          </w:tcPr>
          <w:p w14:paraId="50FED0EB" w14:textId="77777777" w:rsidR="00881780" w:rsidRPr="00A71C8E" w:rsidRDefault="00881780" w:rsidP="006F4D8F">
            <w:pPr>
              <w:spacing w:before="0" w:line="240" w:lineRule="auto"/>
              <w:jc w:val="left"/>
              <w:rPr>
                <w:sz w:val="18"/>
                <w:szCs w:val="18"/>
              </w:rPr>
            </w:pPr>
            <w:r w:rsidRPr="00A71C8E">
              <w:rPr>
                <w:sz w:val="18"/>
                <w:szCs w:val="18"/>
              </w:rPr>
              <w:t>56,3</w:t>
            </w:r>
          </w:p>
        </w:tc>
        <w:tc>
          <w:tcPr>
            <w:tcW w:w="500" w:type="pct"/>
            <w:shd w:val="clear" w:color="auto" w:fill="C6D9F1"/>
            <w:noWrap/>
          </w:tcPr>
          <w:p w14:paraId="5AA1A5DB" w14:textId="77777777" w:rsidR="00881780" w:rsidRPr="00A71C8E" w:rsidRDefault="00881780" w:rsidP="006F4D8F">
            <w:pPr>
              <w:spacing w:before="0" w:line="240" w:lineRule="auto"/>
              <w:jc w:val="left"/>
              <w:rPr>
                <w:sz w:val="18"/>
                <w:szCs w:val="18"/>
              </w:rPr>
            </w:pPr>
            <w:r w:rsidRPr="00A71C8E">
              <w:rPr>
                <w:sz w:val="18"/>
                <w:szCs w:val="18"/>
              </w:rPr>
              <w:t>30,6</w:t>
            </w:r>
          </w:p>
        </w:tc>
        <w:tc>
          <w:tcPr>
            <w:tcW w:w="500" w:type="pct"/>
            <w:noWrap/>
          </w:tcPr>
          <w:p w14:paraId="06649E46" w14:textId="77777777" w:rsidR="00881780" w:rsidRPr="00A71C8E" w:rsidRDefault="00881780" w:rsidP="006F4D8F">
            <w:pPr>
              <w:spacing w:before="0" w:line="240" w:lineRule="auto"/>
              <w:jc w:val="left"/>
              <w:rPr>
                <w:sz w:val="18"/>
                <w:szCs w:val="18"/>
              </w:rPr>
            </w:pPr>
            <w:r w:rsidRPr="00A71C8E">
              <w:rPr>
                <w:sz w:val="18"/>
                <w:szCs w:val="18"/>
              </w:rPr>
              <w:t>22,8</w:t>
            </w:r>
          </w:p>
        </w:tc>
        <w:tc>
          <w:tcPr>
            <w:tcW w:w="500" w:type="pct"/>
            <w:noWrap/>
          </w:tcPr>
          <w:p w14:paraId="5D18A37E" w14:textId="77777777" w:rsidR="00881780" w:rsidRPr="00A71C8E" w:rsidRDefault="00881780" w:rsidP="006F4D8F">
            <w:pPr>
              <w:spacing w:before="0" w:line="240" w:lineRule="auto"/>
              <w:jc w:val="left"/>
              <w:rPr>
                <w:sz w:val="18"/>
                <w:szCs w:val="18"/>
              </w:rPr>
            </w:pPr>
            <w:r w:rsidRPr="00A71C8E">
              <w:rPr>
                <w:sz w:val="18"/>
                <w:szCs w:val="18"/>
              </w:rPr>
              <w:t>6,1</w:t>
            </w:r>
          </w:p>
        </w:tc>
      </w:tr>
      <w:tr w:rsidR="00881780" w:rsidRPr="00A71C8E" w14:paraId="541087BB" w14:textId="77777777" w:rsidTr="005F04FC">
        <w:trPr>
          <w:trHeight w:val="300"/>
        </w:trPr>
        <w:tc>
          <w:tcPr>
            <w:tcW w:w="500" w:type="pct"/>
            <w:noWrap/>
          </w:tcPr>
          <w:p w14:paraId="12D9CEAA" w14:textId="77777777" w:rsidR="00881780" w:rsidRPr="00A71C8E" w:rsidRDefault="00881780" w:rsidP="006F4D8F">
            <w:pPr>
              <w:spacing w:before="0" w:line="240" w:lineRule="auto"/>
              <w:jc w:val="left"/>
              <w:rPr>
                <w:sz w:val="18"/>
                <w:szCs w:val="18"/>
              </w:rPr>
            </w:pPr>
            <w:r w:rsidRPr="00A71C8E">
              <w:rPr>
                <w:sz w:val="18"/>
                <w:szCs w:val="18"/>
              </w:rPr>
              <w:t>Zachodniopomorskie (w tys.)</w:t>
            </w:r>
          </w:p>
        </w:tc>
        <w:tc>
          <w:tcPr>
            <w:tcW w:w="500" w:type="pct"/>
            <w:noWrap/>
          </w:tcPr>
          <w:p w14:paraId="48DA1032" w14:textId="77777777" w:rsidR="00881780" w:rsidRPr="00A71C8E" w:rsidRDefault="00881780" w:rsidP="006F4D8F">
            <w:pPr>
              <w:spacing w:before="0" w:line="240" w:lineRule="auto"/>
              <w:jc w:val="left"/>
              <w:rPr>
                <w:sz w:val="18"/>
                <w:szCs w:val="18"/>
              </w:rPr>
            </w:pPr>
            <w:r w:rsidRPr="00A71C8E">
              <w:rPr>
                <w:sz w:val="18"/>
                <w:szCs w:val="18"/>
              </w:rPr>
              <w:t>79393</w:t>
            </w:r>
          </w:p>
        </w:tc>
        <w:tc>
          <w:tcPr>
            <w:tcW w:w="500" w:type="pct"/>
            <w:shd w:val="clear" w:color="auto" w:fill="D9D9D9"/>
            <w:noWrap/>
          </w:tcPr>
          <w:p w14:paraId="70AC3018" w14:textId="77777777" w:rsidR="00881780" w:rsidRPr="00A71C8E" w:rsidRDefault="00881780" w:rsidP="006F4D8F">
            <w:pPr>
              <w:spacing w:before="0" w:line="240" w:lineRule="auto"/>
              <w:jc w:val="left"/>
              <w:rPr>
                <w:sz w:val="18"/>
                <w:szCs w:val="18"/>
              </w:rPr>
            </w:pPr>
            <w:r w:rsidRPr="00A71C8E">
              <w:rPr>
                <w:sz w:val="18"/>
                <w:szCs w:val="18"/>
              </w:rPr>
              <w:t>42882</w:t>
            </w:r>
          </w:p>
        </w:tc>
        <w:tc>
          <w:tcPr>
            <w:tcW w:w="500" w:type="pct"/>
            <w:noWrap/>
          </w:tcPr>
          <w:p w14:paraId="18BDF212" w14:textId="77777777" w:rsidR="00881780" w:rsidRPr="00A71C8E" w:rsidRDefault="00881780" w:rsidP="006F4D8F">
            <w:pPr>
              <w:spacing w:before="0" w:line="240" w:lineRule="auto"/>
              <w:jc w:val="left"/>
              <w:rPr>
                <w:sz w:val="18"/>
                <w:szCs w:val="18"/>
              </w:rPr>
            </w:pPr>
            <w:r w:rsidRPr="00A71C8E">
              <w:rPr>
                <w:sz w:val="18"/>
                <w:szCs w:val="18"/>
              </w:rPr>
              <w:t>20603</w:t>
            </w:r>
          </w:p>
        </w:tc>
        <w:tc>
          <w:tcPr>
            <w:tcW w:w="500" w:type="pct"/>
            <w:noWrap/>
          </w:tcPr>
          <w:p w14:paraId="49FC5F00" w14:textId="77777777" w:rsidR="00881780" w:rsidRPr="00A71C8E" w:rsidRDefault="00881780" w:rsidP="006F4D8F">
            <w:pPr>
              <w:spacing w:before="0" w:line="240" w:lineRule="auto"/>
              <w:jc w:val="left"/>
              <w:rPr>
                <w:sz w:val="18"/>
                <w:szCs w:val="18"/>
              </w:rPr>
            </w:pPr>
            <w:r w:rsidRPr="00A71C8E">
              <w:rPr>
                <w:sz w:val="18"/>
                <w:szCs w:val="18"/>
              </w:rPr>
              <w:t>10379</w:t>
            </w:r>
          </w:p>
        </w:tc>
        <w:tc>
          <w:tcPr>
            <w:tcW w:w="461" w:type="pct"/>
            <w:noWrap/>
          </w:tcPr>
          <w:p w14:paraId="71D56142" w14:textId="77777777" w:rsidR="00881780" w:rsidRPr="00A71C8E" w:rsidRDefault="00881780" w:rsidP="006F4D8F">
            <w:pPr>
              <w:spacing w:before="0" w:line="240" w:lineRule="auto"/>
              <w:jc w:val="left"/>
              <w:rPr>
                <w:sz w:val="18"/>
                <w:szCs w:val="18"/>
              </w:rPr>
            </w:pPr>
            <w:r w:rsidRPr="00A71C8E">
              <w:rPr>
                <w:sz w:val="18"/>
                <w:szCs w:val="18"/>
              </w:rPr>
              <w:t>24964</w:t>
            </w:r>
          </w:p>
        </w:tc>
        <w:tc>
          <w:tcPr>
            <w:tcW w:w="538" w:type="pct"/>
            <w:shd w:val="clear" w:color="auto" w:fill="D9D9D9"/>
            <w:noWrap/>
          </w:tcPr>
          <w:p w14:paraId="22010E26" w14:textId="77777777" w:rsidR="00881780" w:rsidRPr="00A71C8E" w:rsidRDefault="00881780" w:rsidP="006F4D8F">
            <w:pPr>
              <w:spacing w:before="0" w:line="240" w:lineRule="auto"/>
              <w:jc w:val="left"/>
              <w:rPr>
                <w:sz w:val="18"/>
                <w:szCs w:val="18"/>
              </w:rPr>
            </w:pPr>
            <w:r w:rsidRPr="00A71C8E">
              <w:rPr>
                <w:sz w:val="18"/>
                <w:szCs w:val="18"/>
              </w:rPr>
              <w:t>43963</w:t>
            </w:r>
          </w:p>
        </w:tc>
        <w:tc>
          <w:tcPr>
            <w:tcW w:w="500" w:type="pct"/>
            <w:shd w:val="clear" w:color="auto" w:fill="C6D9F1"/>
            <w:noWrap/>
          </w:tcPr>
          <w:p w14:paraId="1D88944F" w14:textId="77777777" w:rsidR="00881780" w:rsidRPr="00A71C8E" w:rsidRDefault="00881780" w:rsidP="006F4D8F">
            <w:pPr>
              <w:spacing w:before="0" w:line="240" w:lineRule="auto"/>
              <w:jc w:val="left"/>
              <w:rPr>
                <w:sz w:val="18"/>
                <w:szCs w:val="18"/>
              </w:rPr>
            </w:pPr>
            <w:r w:rsidRPr="00A71C8E">
              <w:rPr>
                <w:sz w:val="18"/>
                <w:szCs w:val="18"/>
              </w:rPr>
              <w:t>25557</w:t>
            </w:r>
          </w:p>
        </w:tc>
        <w:tc>
          <w:tcPr>
            <w:tcW w:w="500" w:type="pct"/>
            <w:noWrap/>
          </w:tcPr>
          <w:p w14:paraId="1BAE5FA3" w14:textId="77777777" w:rsidR="00881780" w:rsidRPr="00A71C8E" w:rsidRDefault="00881780" w:rsidP="006F4D8F">
            <w:pPr>
              <w:spacing w:before="0" w:line="240" w:lineRule="auto"/>
              <w:jc w:val="left"/>
              <w:rPr>
                <w:sz w:val="18"/>
                <w:szCs w:val="18"/>
              </w:rPr>
            </w:pPr>
            <w:r w:rsidRPr="00A71C8E">
              <w:rPr>
                <w:sz w:val="18"/>
                <w:szCs w:val="18"/>
              </w:rPr>
              <w:t>17118</w:t>
            </w:r>
          </w:p>
        </w:tc>
        <w:tc>
          <w:tcPr>
            <w:tcW w:w="500" w:type="pct"/>
            <w:noWrap/>
          </w:tcPr>
          <w:p w14:paraId="0B97A7E4" w14:textId="77777777" w:rsidR="00881780" w:rsidRPr="00A71C8E" w:rsidRDefault="00881780" w:rsidP="006F4D8F">
            <w:pPr>
              <w:spacing w:before="0" w:line="240" w:lineRule="auto"/>
              <w:jc w:val="left"/>
              <w:rPr>
                <w:sz w:val="18"/>
                <w:szCs w:val="18"/>
              </w:rPr>
            </w:pPr>
            <w:r w:rsidRPr="00A71C8E">
              <w:rPr>
                <w:sz w:val="18"/>
                <w:szCs w:val="18"/>
              </w:rPr>
              <w:t>3924</w:t>
            </w:r>
          </w:p>
        </w:tc>
      </w:tr>
      <w:tr w:rsidR="00881780" w:rsidRPr="00A71C8E" w14:paraId="541459F2" w14:textId="77777777" w:rsidTr="005F04FC">
        <w:trPr>
          <w:trHeight w:val="300"/>
        </w:trPr>
        <w:tc>
          <w:tcPr>
            <w:tcW w:w="500" w:type="pct"/>
            <w:noWrap/>
          </w:tcPr>
          <w:p w14:paraId="1933E9BA" w14:textId="77777777" w:rsidR="00881780" w:rsidRPr="00A71C8E" w:rsidRDefault="00881780" w:rsidP="006F4D8F">
            <w:pPr>
              <w:spacing w:before="0" w:line="240" w:lineRule="auto"/>
              <w:jc w:val="left"/>
              <w:rPr>
                <w:sz w:val="18"/>
                <w:szCs w:val="18"/>
              </w:rPr>
            </w:pPr>
            <w:r w:rsidRPr="00A71C8E">
              <w:rPr>
                <w:sz w:val="18"/>
                <w:szCs w:val="18"/>
              </w:rPr>
              <w:t>%</w:t>
            </w:r>
          </w:p>
        </w:tc>
        <w:tc>
          <w:tcPr>
            <w:tcW w:w="500" w:type="pct"/>
            <w:noWrap/>
          </w:tcPr>
          <w:p w14:paraId="779A4169" w14:textId="77777777" w:rsidR="00881780" w:rsidRPr="00A71C8E" w:rsidRDefault="00881780" w:rsidP="006F4D8F">
            <w:pPr>
              <w:spacing w:before="0" w:line="240" w:lineRule="auto"/>
              <w:jc w:val="left"/>
              <w:rPr>
                <w:sz w:val="18"/>
                <w:szCs w:val="18"/>
              </w:rPr>
            </w:pPr>
            <w:r w:rsidRPr="00A71C8E">
              <w:rPr>
                <w:sz w:val="18"/>
                <w:szCs w:val="18"/>
              </w:rPr>
              <w:t>100</w:t>
            </w:r>
          </w:p>
        </w:tc>
        <w:tc>
          <w:tcPr>
            <w:tcW w:w="500" w:type="pct"/>
            <w:shd w:val="clear" w:color="auto" w:fill="D9D9D9"/>
            <w:noWrap/>
          </w:tcPr>
          <w:p w14:paraId="73CC45DD" w14:textId="77777777" w:rsidR="00881780" w:rsidRPr="00A71C8E" w:rsidRDefault="00881780" w:rsidP="006F4D8F">
            <w:pPr>
              <w:spacing w:before="0" w:line="240" w:lineRule="auto"/>
              <w:jc w:val="left"/>
              <w:rPr>
                <w:sz w:val="18"/>
                <w:szCs w:val="18"/>
              </w:rPr>
            </w:pPr>
            <w:r w:rsidRPr="00A71C8E">
              <w:rPr>
                <w:sz w:val="18"/>
                <w:szCs w:val="18"/>
              </w:rPr>
              <w:t>54,0</w:t>
            </w:r>
          </w:p>
        </w:tc>
        <w:tc>
          <w:tcPr>
            <w:tcW w:w="500" w:type="pct"/>
            <w:noWrap/>
          </w:tcPr>
          <w:p w14:paraId="7EA11EB3" w14:textId="77777777" w:rsidR="00881780" w:rsidRPr="00A71C8E" w:rsidRDefault="00881780" w:rsidP="006F4D8F">
            <w:pPr>
              <w:spacing w:before="0" w:line="240" w:lineRule="auto"/>
              <w:jc w:val="left"/>
              <w:rPr>
                <w:sz w:val="18"/>
                <w:szCs w:val="18"/>
              </w:rPr>
            </w:pPr>
            <w:r w:rsidRPr="00A71C8E">
              <w:rPr>
                <w:sz w:val="18"/>
                <w:szCs w:val="18"/>
              </w:rPr>
              <w:t>26,0</w:t>
            </w:r>
          </w:p>
        </w:tc>
        <w:tc>
          <w:tcPr>
            <w:tcW w:w="500" w:type="pct"/>
            <w:noWrap/>
          </w:tcPr>
          <w:p w14:paraId="0623BD21" w14:textId="77777777" w:rsidR="00881780" w:rsidRPr="00A71C8E" w:rsidRDefault="00881780" w:rsidP="006F4D8F">
            <w:pPr>
              <w:spacing w:before="0" w:line="240" w:lineRule="auto"/>
              <w:jc w:val="left"/>
              <w:rPr>
                <w:sz w:val="18"/>
                <w:szCs w:val="18"/>
              </w:rPr>
            </w:pPr>
            <w:r w:rsidRPr="00A71C8E">
              <w:rPr>
                <w:sz w:val="18"/>
                <w:szCs w:val="18"/>
              </w:rPr>
              <w:t>13,1</w:t>
            </w:r>
          </w:p>
        </w:tc>
        <w:tc>
          <w:tcPr>
            <w:tcW w:w="461" w:type="pct"/>
            <w:noWrap/>
          </w:tcPr>
          <w:p w14:paraId="241B5775" w14:textId="77777777" w:rsidR="00881780" w:rsidRPr="00A71C8E" w:rsidRDefault="00881780" w:rsidP="006F4D8F">
            <w:pPr>
              <w:spacing w:before="0" w:line="240" w:lineRule="auto"/>
              <w:jc w:val="left"/>
              <w:rPr>
                <w:sz w:val="18"/>
                <w:szCs w:val="18"/>
              </w:rPr>
            </w:pPr>
            <w:r w:rsidRPr="00A71C8E">
              <w:rPr>
                <w:sz w:val="18"/>
                <w:szCs w:val="18"/>
              </w:rPr>
              <w:t>31,4</w:t>
            </w:r>
          </w:p>
        </w:tc>
        <w:tc>
          <w:tcPr>
            <w:tcW w:w="538" w:type="pct"/>
            <w:shd w:val="clear" w:color="auto" w:fill="D9D9D9"/>
            <w:noWrap/>
          </w:tcPr>
          <w:p w14:paraId="47F6ED62" w14:textId="77777777" w:rsidR="00881780" w:rsidRPr="00A71C8E" w:rsidRDefault="00881780" w:rsidP="006F4D8F">
            <w:pPr>
              <w:spacing w:before="0" w:line="240" w:lineRule="auto"/>
              <w:jc w:val="left"/>
              <w:rPr>
                <w:sz w:val="18"/>
                <w:szCs w:val="18"/>
              </w:rPr>
            </w:pPr>
            <w:r w:rsidRPr="00A71C8E">
              <w:rPr>
                <w:sz w:val="18"/>
                <w:szCs w:val="18"/>
              </w:rPr>
              <w:t>55,4</w:t>
            </w:r>
          </w:p>
        </w:tc>
        <w:tc>
          <w:tcPr>
            <w:tcW w:w="500" w:type="pct"/>
            <w:shd w:val="clear" w:color="auto" w:fill="C6D9F1"/>
            <w:noWrap/>
          </w:tcPr>
          <w:p w14:paraId="66FDA62F" w14:textId="77777777" w:rsidR="00881780" w:rsidRPr="00A71C8E" w:rsidRDefault="00881780" w:rsidP="006F4D8F">
            <w:pPr>
              <w:spacing w:before="0" w:line="240" w:lineRule="auto"/>
              <w:jc w:val="left"/>
              <w:rPr>
                <w:sz w:val="18"/>
                <w:szCs w:val="18"/>
              </w:rPr>
            </w:pPr>
            <w:r w:rsidRPr="00A71C8E">
              <w:rPr>
                <w:sz w:val="18"/>
                <w:szCs w:val="18"/>
              </w:rPr>
              <w:t>32,2</w:t>
            </w:r>
          </w:p>
        </w:tc>
        <w:tc>
          <w:tcPr>
            <w:tcW w:w="500" w:type="pct"/>
            <w:noWrap/>
          </w:tcPr>
          <w:p w14:paraId="2BDD5442" w14:textId="77777777" w:rsidR="00881780" w:rsidRPr="00A71C8E" w:rsidRDefault="00881780" w:rsidP="006F4D8F">
            <w:pPr>
              <w:spacing w:before="0" w:line="240" w:lineRule="auto"/>
              <w:jc w:val="left"/>
              <w:rPr>
                <w:sz w:val="18"/>
                <w:szCs w:val="18"/>
              </w:rPr>
            </w:pPr>
            <w:r w:rsidRPr="00A71C8E">
              <w:rPr>
                <w:sz w:val="18"/>
                <w:szCs w:val="18"/>
              </w:rPr>
              <w:t>21,6</w:t>
            </w:r>
          </w:p>
        </w:tc>
        <w:tc>
          <w:tcPr>
            <w:tcW w:w="500" w:type="pct"/>
            <w:noWrap/>
          </w:tcPr>
          <w:p w14:paraId="64F63321" w14:textId="77777777" w:rsidR="00881780" w:rsidRPr="00A71C8E" w:rsidRDefault="00881780" w:rsidP="006F4D8F">
            <w:pPr>
              <w:spacing w:before="0" w:line="240" w:lineRule="auto"/>
              <w:jc w:val="left"/>
              <w:rPr>
                <w:sz w:val="18"/>
                <w:szCs w:val="18"/>
              </w:rPr>
            </w:pPr>
            <w:r w:rsidRPr="00A71C8E">
              <w:rPr>
                <w:sz w:val="18"/>
                <w:szCs w:val="18"/>
              </w:rPr>
              <w:t>4,9</w:t>
            </w:r>
          </w:p>
        </w:tc>
      </w:tr>
    </w:tbl>
    <w:p w14:paraId="2BCB7467" w14:textId="3FB18561"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r w:rsidR="00AA6879">
        <w:rPr>
          <w:i/>
          <w:sz w:val="18"/>
          <w:szCs w:val="20"/>
        </w:rPr>
        <w:t>.</w:t>
      </w:r>
    </w:p>
    <w:p w14:paraId="373D64F1" w14:textId="77777777" w:rsidR="00881780" w:rsidRPr="00432E11" w:rsidRDefault="00881780" w:rsidP="00754ED4">
      <w:pPr>
        <w:pStyle w:val="Legenda"/>
        <w:spacing w:after="0"/>
      </w:pPr>
      <w:bookmarkStart w:id="192" w:name="_Toc3896846"/>
      <w:bookmarkStart w:id="193" w:name="_Toc8824205"/>
      <w:r w:rsidRPr="00432E11">
        <w:lastRenderedPageBreak/>
        <w:t xml:space="preserve">Tabela </w:t>
      </w:r>
      <w:r>
        <w:fldChar w:fldCharType="begin"/>
      </w:r>
      <w:r>
        <w:instrText xml:space="preserve"> SEQ Tabela \* ARABIC </w:instrText>
      </w:r>
      <w:r>
        <w:fldChar w:fldCharType="separate"/>
      </w:r>
      <w:r w:rsidR="00763345">
        <w:rPr>
          <w:noProof/>
        </w:rPr>
        <w:t>94</w:t>
      </w:r>
      <w:r>
        <w:fldChar w:fldCharType="end"/>
      </w:r>
      <w:r w:rsidRPr="00432E11">
        <w:t xml:space="preserve"> Bezrobotni bez kwalifikacji</w:t>
      </w:r>
      <w:r w:rsidR="00E66B89">
        <w:t xml:space="preserve"> i </w:t>
      </w:r>
      <w:r w:rsidRPr="00432E11">
        <w:t>doświadczenia zawodowego</w:t>
      </w:r>
      <w:r w:rsidR="00E66B89">
        <w:t xml:space="preserve"> w </w:t>
      </w:r>
      <w:bookmarkEnd w:id="192"/>
      <w:r>
        <w:t>województwach</w:t>
      </w:r>
      <w:r w:rsidR="00E66B89">
        <w:t xml:space="preserve"> i w </w:t>
      </w:r>
      <w:r>
        <w:t>porównaniu do Polski (31.XII)</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4"/>
        <w:gridCol w:w="1990"/>
        <w:gridCol w:w="971"/>
        <w:gridCol w:w="1898"/>
        <w:gridCol w:w="971"/>
        <w:gridCol w:w="1898"/>
      </w:tblGrid>
      <w:tr w:rsidR="00881780" w:rsidRPr="00A71C8E" w14:paraId="7DE5875A" w14:textId="77777777" w:rsidTr="005F04FC">
        <w:trPr>
          <w:trHeight w:val="340"/>
          <w:tblHeader/>
        </w:trPr>
        <w:tc>
          <w:tcPr>
            <w:tcW w:w="705" w:type="pct"/>
            <w:vMerge w:val="restart"/>
            <w:shd w:val="clear" w:color="auto" w:fill="DBE5F1"/>
            <w:noWrap/>
            <w:vAlign w:val="center"/>
            <w:hideMark/>
          </w:tcPr>
          <w:p w14:paraId="49563D01" w14:textId="77777777" w:rsidR="00881780" w:rsidRPr="00A71C8E" w:rsidRDefault="00881780" w:rsidP="006F4D8F">
            <w:pPr>
              <w:spacing w:before="0" w:line="240" w:lineRule="auto"/>
              <w:rPr>
                <w:b/>
                <w:sz w:val="18"/>
                <w:szCs w:val="18"/>
              </w:rPr>
            </w:pPr>
            <w:r w:rsidRPr="00A71C8E">
              <w:rPr>
                <w:b/>
                <w:sz w:val="18"/>
                <w:szCs w:val="18"/>
              </w:rPr>
              <w:t>Rok 2018</w:t>
            </w:r>
          </w:p>
        </w:tc>
        <w:tc>
          <w:tcPr>
            <w:tcW w:w="1112" w:type="pct"/>
            <w:shd w:val="clear" w:color="auto" w:fill="DBE5F1"/>
            <w:noWrap/>
            <w:vAlign w:val="center"/>
            <w:hideMark/>
          </w:tcPr>
          <w:p w14:paraId="0C6F25D6" w14:textId="77777777" w:rsidR="00881780" w:rsidRPr="00A71C8E" w:rsidRDefault="00881780" w:rsidP="006F4D8F">
            <w:pPr>
              <w:spacing w:before="0" w:line="240" w:lineRule="auto"/>
              <w:rPr>
                <w:b/>
                <w:sz w:val="18"/>
                <w:szCs w:val="18"/>
              </w:rPr>
            </w:pPr>
            <w:r w:rsidRPr="00A71C8E">
              <w:rPr>
                <w:b/>
                <w:sz w:val="18"/>
                <w:szCs w:val="18"/>
              </w:rPr>
              <w:t>Bezrobotni zarejestrowani ogółem</w:t>
            </w:r>
          </w:p>
        </w:tc>
        <w:tc>
          <w:tcPr>
            <w:tcW w:w="539" w:type="pct"/>
            <w:shd w:val="clear" w:color="auto" w:fill="DBE5F1"/>
            <w:noWrap/>
            <w:vAlign w:val="center"/>
            <w:hideMark/>
          </w:tcPr>
          <w:p w14:paraId="1F0B2762" w14:textId="77777777" w:rsidR="00881780" w:rsidRPr="00A71C8E" w:rsidRDefault="00881780" w:rsidP="006F4D8F">
            <w:pPr>
              <w:spacing w:before="0" w:line="240" w:lineRule="auto"/>
              <w:rPr>
                <w:b/>
                <w:sz w:val="18"/>
                <w:szCs w:val="18"/>
              </w:rPr>
            </w:pPr>
            <w:r w:rsidRPr="00A71C8E">
              <w:rPr>
                <w:b/>
                <w:sz w:val="18"/>
                <w:szCs w:val="18"/>
              </w:rPr>
              <w:t>Bez kwalifikacji</w:t>
            </w:r>
          </w:p>
        </w:tc>
        <w:tc>
          <w:tcPr>
            <w:tcW w:w="1053" w:type="pct"/>
            <w:shd w:val="clear" w:color="auto" w:fill="DBE5F1"/>
            <w:noWrap/>
            <w:vAlign w:val="center"/>
            <w:hideMark/>
          </w:tcPr>
          <w:p w14:paraId="09F2ADA0" w14:textId="77777777" w:rsidR="00881780" w:rsidRPr="00A71C8E" w:rsidRDefault="00881780" w:rsidP="006F4D8F">
            <w:pPr>
              <w:spacing w:before="0" w:line="240" w:lineRule="auto"/>
              <w:rPr>
                <w:b/>
                <w:sz w:val="18"/>
                <w:szCs w:val="18"/>
              </w:rPr>
            </w:pPr>
            <w:r w:rsidRPr="00A71C8E">
              <w:rPr>
                <w:b/>
                <w:sz w:val="18"/>
                <w:szCs w:val="18"/>
              </w:rPr>
              <w:t>Bez doświadczenia zawodowego</w:t>
            </w:r>
          </w:p>
        </w:tc>
        <w:tc>
          <w:tcPr>
            <w:tcW w:w="539" w:type="pct"/>
            <w:shd w:val="clear" w:color="auto" w:fill="DBE5F1"/>
            <w:noWrap/>
            <w:vAlign w:val="center"/>
            <w:hideMark/>
          </w:tcPr>
          <w:p w14:paraId="3DFB907E" w14:textId="77777777" w:rsidR="00881780" w:rsidRPr="00A71C8E" w:rsidRDefault="00881780" w:rsidP="006F4D8F">
            <w:pPr>
              <w:spacing w:before="0" w:line="240" w:lineRule="auto"/>
              <w:rPr>
                <w:b/>
                <w:sz w:val="18"/>
                <w:szCs w:val="18"/>
              </w:rPr>
            </w:pPr>
            <w:r w:rsidRPr="00A71C8E">
              <w:rPr>
                <w:b/>
                <w:sz w:val="18"/>
                <w:szCs w:val="18"/>
              </w:rPr>
              <w:t>Bez kwalifikacji</w:t>
            </w:r>
          </w:p>
        </w:tc>
        <w:tc>
          <w:tcPr>
            <w:tcW w:w="1053" w:type="pct"/>
            <w:shd w:val="clear" w:color="auto" w:fill="DBE5F1"/>
            <w:noWrap/>
            <w:vAlign w:val="center"/>
            <w:hideMark/>
          </w:tcPr>
          <w:p w14:paraId="76E3028B" w14:textId="77777777" w:rsidR="00881780" w:rsidRPr="00A71C8E" w:rsidRDefault="00881780" w:rsidP="006F4D8F">
            <w:pPr>
              <w:spacing w:before="0" w:line="240" w:lineRule="auto"/>
              <w:rPr>
                <w:b/>
                <w:sz w:val="18"/>
                <w:szCs w:val="18"/>
              </w:rPr>
            </w:pPr>
            <w:r w:rsidRPr="00A71C8E">
              <w:rPr>
                <w:b/>
                <w:sz w:val="18"/>
                <w:szCs w:val="18"/>
              </w:rPr>
              <w:t>Bez doświadczenia zawodowego</w:t>
            </w:r>
          </w:p>
        </w:tc>
      </w:tr>
      <w:tr w:rsidR="00881780" w:rsidRPr="00A71C8E" w14:paraId="10C8EFB0" w14:textId="77777777" w:rsidTr="005F04FC">
        <w:trPr>
          <w:trHeight w:val="340"/>
          <w:tblHeader/>
        </w:trPr>
        <w:tc>
          <w:tcPr>
            <w:tcW w:w="705" w:type="pct"/>
            <w:vMerge/>
            <w:shd w:val="clear" w:color="auto" w:fill="DBE5F1"/>
            <w:noWrap/>
            <w:vAlign w:val="center"/>
            <w:hideMark/>
          </w:tcPr>
          <w:p w14:paraId="69868772" w14:textId="77777777" w:rsidR="00881780" w:rsidRPr="00A71C8E" w:rsidRDefault="00881780" w:rsidP="006F4D8F">
            <w:pPr>
              <w:spacing w:before="0" w:line="240" w:lineRule="auto"/>
              <w:rPr>
                <w:b/>
                <w:sz w:val="18"/>
                <w:szCs w:val="18"/>
              </w:rPr>
            </w:pPr>
          </w:p>
        </w:tc>
        <w:tc>
          <w:tcPr>
            <w:tcW w:w="1112" w:type="pct"/>
            <w:shd w:val="clear" w:color="auto" w:fill="DBE5F1"/>
            <w:noWrap/>
            <w:vAlign w:val="center"/>
            <w:hideMark/>
          </w:tcPr>
          <w:p w14:paraId="69071513" w14:textId="77777777" w:rsidR="00881780" w:rsidRPr="00A71C8E" w:rsidRDefault="00881780" w:rsidP="006F4D8F">
            <w:pPr>
              <w:spacing w:before="0" w:line="240" w:lineRule="auto"/>
              <w:rPr>
                <w:b/>
                <w:sz w:val="18"/>
                <w:szCs w:val="18"/>
              </w:rPr>
            </w:pPr>
            <w:r w:rsidRPr="00A71C8E">
              <w:rPr>
                <w:b/>
                <w:sz w:val="18"/>
                <w:szCs w:val="18"/>
              </w:rPr>
              <w:t>(w tys.)</w:t>
            </w:r>
          </w:p>
        </w:tc>
        <w:tc>
          <w:tcPr>
            <w:tcW w:w="539" w:type="pct"/>
            <w:shd w:val="clear" w:color="auto" w:fill="DBE5F1"/>
            <w:noWrap/>
            <w:vAlign w:val="center"/>
            <w:hideMark/>
          </w:tcPr>
          <w:p w14:paraId="4FC072FC" w14:textId="77777777" w:rsidR="00881780" w:rsidRPr="00A71C8E" w:rsidRDefault="00881780" w:rsidP="006F4D8F">
            <w:pPr>
              <w:spacing w:before="0" w:line="240" w:lineRule="auto"/>
              <w:rPr>
                <w:b/>
                <w:sz w:val="18"/>
                <w:szCs w:val="18"/>
              </w:rPr>
            </w:pPr>
            <w:r w:rsidRPr="00A71C8E">
              <w:rPr>
                <w:b/>
                <w:sz w:val="18"/>
                <w:szCs w:val="18"/>
              </w:rPr>
              <w:t>(w tys.)</w:t>
            </w:r>
          </w:p>
        </w:tc>
        <w:tc>
          <w:tcPr>
            <w:tcW w:w="1053" w:type="pct"/>
            <w:shd w:val="clear" w:color="auto" w:fill="DBE5F1"/>
            <w:noWrap/>
            <w:vAlign w:val="center"/>
            <w:hideMark/>
          </w:tcPr>
          <w:p w14:paraId="25081BC5" w14:textId="77777777" w:rsidR="00881780" w:rsidRPr="00A71C8E" w:rsidRDefault="00881780" w:rsidP="006F4D8F">
            <w:pPr>
              <w:spacing w:before="0" w:line="240" w:lineRule="auto"/>
              <w:rPr>
                <w:b/>
                <w:sz w:val="18"/>
                <w:szCs w:val="18"/>
              </w:rPr>
            </w:pPr>
            <w:r w:rsidRPr="00A71C8E">
              <w:rPr>
                <w:b/>
                <w:sz w:val="18"/>
                <w:szCs w:val="18"/>
              </w:rPr>
              <w:t>(w tys.)</w:t>
            </w:r>
          </w:p>
        </w:tc>
        <w:tc>
          <w:tcPr>
            <w:tcW w:w="539" w:type="pct"/>
            <w:shd w:val="clear" w:color="auto" w:fill="DBE5F1"/>
            <w:noWrap/>
            <w:vAlign w:val="center"/>
            <w:hideMark/>
          </w:tcPr>
          <w:p w14:paraId="431E0F76" w14:textId="77777777" w:rsidR="00881780" w:rsidRPr="00A71C8E" w:rsidRDefault="00881780" w:rsidP="006F4D8F">
            <w:pPr>
              <w:spacing w:before="0" w:line="240" w:lineRule="auto"/>
              <w:rPr>
                <w:b/>
                <w:sz w:val="18"/>
                <w:szCs w:val="18"/>
              </w:rPr>
            </w:pPr>
            <w:r w:rsidRPr="00A71C8E">
              <w:rPr>
                <w:b/>
                <w:sz w:val="18"/>
                <w:szCs w:val="18"/>
              </w:rPr>
              <w:t>(%)</w:t>
            </w:r>
          </w:p>
        </w:tc>
        <w:tc>
          <w:tcPr>
            <w:tcW w:w="1053" w:type="pct"/>
            <w:shd w:val="clear" w:color="auto" w:fill="DBE5F1"/>
            <w:noWrap/>
            <w:vAlign w:val="center"/>
            <w:hideMark/>
          </w:tcPr>
          <w:p w14:paraId="7343F2DD" w14:textId="77777777" w:rsidR="00881780" w:rsidRPr="00A71C8E" w:rsidRDefault="00881780" w:rsidP="006F4D8F">
            <w:pPr>
              <w:spacing w:before="0" w:line="240" w:lineRule="auto"/>
              <w:rPr>
                <w:b/>
                <w:sz w:val="18"/>
                <w:szCs w:val="18"/>
              </w:rPr>
            </w:pPr>
            <w:r w:rsidRPr="00A71C8E">
              <w:rPr>
                <w:b/>
                <w:sz w:val="18"/>
                <w:szCs w:val="18"/>
              </w:rPr>
              <w:t>(%)</w:t>
            </w:r>
          </w:p>
        </w:tc>
      </w:tr>
      <w:tr w:rsidR="00881780" w:rsidRPr="00A71C8E" w14:paraId="7A47DD42" w14:textId="77777777" w:rsidTr="006F4D8F">
        <w:trPr>
          <w:trHeight w:val="340"/>
        </w:trPr>
        <w:tc>
          <w:tcPr>
            <w:tcW w:w="705" w:type="pct"/>
            <w:shd w:val="clear" w:color="auto" w:fill="auto"/>
            <w:noWrap/>
            <w:vAlign w:val="center"/>
            <w:hideMark/>
          </w:tcPr>
          <w:p w14:paraId="079FFFE5" w14:textId="77777777" w:rsidR="00881780" w:rsidRPr="00A71C8E" w:rsidRDefault="00881780" w:rsidP="006F4D8F">
            <w:pPr>
              <w:spacing w:before="0" w:line="240" w:lineRule="auto"/>
              <w:rPr>
                <w:sz w:val="18"/>
                <w:szCs w:val="18"/>
              </w:rPr>
            </w:pPr>
            <w:r w:rsidRPr="00A71C8E">
              <w:rPr>
                <w:sz w:val="18"/>
                <w:szCs w:val="18"/>
              </w:rPr>
              <w:t>Polska</w:t>
            </w:r>
          </w:p>
        </w:tc>
        <w:tc>
          <w:tcPr>
            <w:tcW w:w="1112" w:type="pct"/>
            <w:shd w:val="clear" w:color="auto" w:fill="auto"/>
            <w:noWrap/>
            <w:vAlign w:val="center"/>
            <w:hideMark/>
          </w:tcPr>
          <w:p w14:paraId="20289636" w14:textId="77777777" w:rsidR="00881780" w:rsidRPr="00A71C8E" w:rsidRDefault="00881780" w:rsidP="006F4D8F">
            <w:pPr>
              <w:spacing w:before="0" w:line="240" w:lineRule="auto"/>
              <w:rPr>
                <w:sz w:val="18"/>
                <w:szCs w:val="18"/>
              </w:rPr>
            </w:pPr>
            <w:r w:rsidRPr="00A71C8E">
              <w:rPr>
                <w:sz w:val="18"/>
                <w:szCs w:val="18"/>
              </w:rPr>
              <w:t>968 888</w:t>
            </w:r>
          </w:p>
        </w:tc>
        <w:tc>
          <w:tcPr>
            <w:tcW w:w="539" w:type="pct"/>
            <w:shd w:val="clear" w:color="auto" w:fill="auto"/>
            <w:noWrap/>
            <w:vAlign w:val="center"/>
            <w:hideMark/>
          </w:tcPr>
          <w:p w14:paraId="50175AED" w14:textId="77777777" w:rsidR="00881780" w:rsidRPr="00A71C8E" w:rsidRDefault="00881780" w:rsidP="006F4D8F">
            <w:pPr>
              <w:spacing w:before="0" w:line="240" w:lineRule="auto"/>
              <w:rPr>
                <w:sz w:val="18"/>
                <w:szCs w:val="18"/>
              </w:rPr>
            </w:pPr>
            <w:r w:rsidRPr="00A71C8E">
              <w:rPr>
                <w:sz w:val="18"/>
                <w:szCs w:val="18"/>
              </w:rPr>
              <w:t>299 310</w:t>
            </w:r>
          </w:p>
        </w:tc>
        <w:tc>
          <w:tcPr>
            <w:tcW w:w="1053" w:type="pct"/>
            <w:shd w:val="clear" w:color="auto" w:fill="auto"/>
            <w:noWrap/>
            <w:vAlign w:val="center"/>
            <w:hideMark/>
          </w:tcPr>
          <w:p w14:paraId="2B08109D" w14:textId="77777777" w:rsidR="00881780" w:rsidRPr="00A71C8E" w:rsidRDefault="00881780" w:rsidP="006F4D8F">
            <w:pPr>
              <w:spacing w:before="0" w:line="240" w:lineRule="auto"/>
              <w:rPr>
                <w:sz w:val="18"/>
                <w:szCs w:val="18"/>
              </w:rPr>
            </w:pPr>
            <w:r w:rsidRPr="00A71C8E">
              <w:rPr>
                <w:sz w:val="18"/>
                <w:szCs w:val="18"/>
              </w:rPr>
              <w:t>196 361</w:t>
            </w:r>
          </w:p>
        </w:tc>
        <w:tc>
          <w:tcPr>
            <w:tcW w:w="539" w:type="pct"/>
            <w:shd w:val="clear" w:color="auto" w:fill="auto"/>
            <w:noWrap/>
            <w:vAlign w:val="center"/>
            <w:hideMark/>
          </w:tcPr>
          <w:p w14:paraId="6F721AB1" w14:textId="77777777" w:rsidR="00881780" w:rsidRPr="00A71C8E" w:rsidRDefault="00881780" w:rsidP="006F4D8F">
            <w:pPr>
              <w:spacing w:before="0" w:line="240" w:lineRule="auto"/>
              <w:rPr>
                <w:color w:val="000000"/>
                <w:sz w:val="18"/>
                <w:szCs w:val="18"/>
              </w:rPr>
            </w:pPr>
            <w:r w:rsidRPr="00A71C8E">
              <w:rPr>
                <w:color w:val="000000"/>
                <w:sz w:val="18"/>
                <w:szCs w:val="18"/>
              </w:rPr>
              <w:t>30,9</w:t>
            </w:r>
          </w:p>
        </w:tc>
        <w:tc>
          <w:tcPr>
            <w:tcW w:w="1053" w:type="pct"/>
            <w:shd w:val="clear" w:color="auto" w:fill="auto"/>
            <w:noWrap/>
            <w:vAlign w:val="center"/>
            <w:hideMark/>
          </w:tcPr>
          <w:p w14:paraId="0776F955" w14:textId="77777777" w:rsidR="00881780" w:rsidRPr="00A71C8E" w:rsidRDefault="00881780" w:rsidP="006F4D8F">
            <w:pPr>
              <w:spacing w:before="0" w:line="240" w:lineRule="auto"/>
              <w:rPr>
                <w:color w:val="000000"/>
                <w:sz w:val="18"/>
                <w:szCs w:val="18"/>
              </w:rPr>
            </w:pPr>
            <w:r w:rsidRPr="00A71C8E">
              <w:rPr>
                <w:color w:val="000000"/>
                <w:sz w:val="18"/>
                <w:szCs w:val="18"/>
              </w:rPr>
              <w:t>20,3</w:t>
            </w:r>
          </w:p>
        </w:tc>
      </w:tr>
      <w:tr w:rsidR="00881780" w:rsidRPr="00A71C8E" w14:paraId="384CA4FD" w14:textId="77777777" w:rsidTr="006F4D8F">
        <w:trPr>
          <w:trHeight w:val="340"/>
        </w:trPr>
        <w:tc>
          <w:tcPr>
            <w:tcW w:w="705" w:type="pct"/>
            <w:shd w:val="clear" w:color="auto" w:fill="auto"/>
            <w:noWrap/>
            <w:vAlign w:val="center"/>
            <w:hideMark/>
          </w:tcPr>
          <w:p w14:paraId="320033B3" w14:textId="77777777" w:rsidR="00881780" w:rsidRPr="00A71C8E" w:rsidRDefault="00881780" w:rsidP="006F4D8F">
            <w:pPr>
              <w:spacing w:before="0" w:line="240" w:lineRule="auto"/>
              <w:rPr>
                <w:sz w:val="18"/>
                <w:szCs w:val="18"/>
              </w:rPr>
            </w:pPr>
            <w:r w:rsidRPr="00A71C8E">
              <w:rPr>
                <w:sz w:val="18"/>
                <w:szCs w:val="18"/>
              </w:rPr>
              <w:t>Dolnośląskie</w:t>
            </w:r>
          </w:p>
        </w:tc>
        <w:tc>
          <w:tcPr>
            <w:tcW w:w="1112" w:type="pct"/>
            <w:shd w:val="clear" w:color="auto" w:fill="auto"/>
            <w:noWrap/>
            <w:vAlign w:val="center"/>
            <w:hideMark/>
          </w:tcPr>
          <w:p w14:paraId="4CCC2448" w14:textId="77777777" w:rsidR="00881780" w:rsidRPr="00A71C8E" w:rsidRDefault="00881780" w:rsidP="006F4D8F">
            <w:pPr>
              <w:spacing w:before="0" w:line="240" w:lineRule="auto"/>
              <w:rPr>
                <w:sz w:val="18"/>
                <w:szCs w:val="18"/>
              </w:rPr>
            </w:pPr>
            <w:r w:rsidRPr="00A71C8E">
              <w:rPr>
                <w:sz w:val="18"/>
                <w:szCs w:val="18"/>
              </w:rPr>
              <w:t>62 842</w:t>
            </w:r>
          </w:p>
        </w:tc>
        <w:tc>
          <w:tcPr>
            <w:tcW w:w="539" w:type="pct"/>
            <w:shd w:val="clear" w:color="auto" w:fill="auto"/>
            <w:noWrap/>
            <w:vAlign w:val="center"/>
            <w:hideMark/>
          </w:tcPr>
          <w:p w14:paraId="4E98B838" w14:textId="77777777" w:rsidR="00881780" w:rsidRPr="00A71C8E" w:rsidRDefault="00881780" w:rsidP="006F4D8F">
            <w:pPr>
              <w:spacing w:before="0" w:line="240" w:lineRule="auto"/>
              <w:rPr>
                <w:sz w:val="18"/>
                <w:szCs w:val="18"/>
              </w:rPr>
            </w:pPr>
            <w:r w:rsidRPr="00A71C8E">
              <w:rPr>
                <w:sz w:val="18"/>
                <w:szCs w:val="18"/>
              </w:rPr>
              <w:t>20 169</w:t>
            </w:r>
          </w:p>
        </w:tc>
        <w:tc>
          <w:tcPr>
            <w:tcW w:w="1053" w:type="pct"/>
            <w:shd w:val="clear" w:color="auto" w:fill="auto"/>
            <w:noWrap/>
            <w:vAlign w:val="center"/>
            <w:hideMark/>
          </w:tcPr>
          <w:p w14:paraId="53E022EB" w14:textId="77777777" w:rsidR="00881780" w:rsidRPr="00A71C8E" w:rsidRDefault="00881780" w:rsidP="006F4D8F">
            <w:pPr>
              <w:spacing w:before="0" w:line="240" w:lineRule="auto"/>
              <w:rPr>
                <w:sz w:val="18"/>
                <w:szCs w:val="18"/>
              </w:rPr>
            </w:pPr>
            <w:r w:rsidRPr="00A71C8E">
              <w:rPr>
                <w:sz w:val="18"/>
                <w:szCs w:val="18"/>
              </w:rPr>
              <w:t>9 433</w:t>
            </w:r>
          </w:p>
        </w:tc>
        <w:tc>
          <w:tcPr>
            <w:tcW w:w="539" w:type="pct"/>
            <w:shd w:val="clear" w:color="auto" w:fill="auto"/>
            <w:noWrap/>
            <w:vAlign w:val="center"/>
            <w:hideMark/>
          </w:tcPr>
          <w:p w14:paraId="58A884C2" w14:textId="77777777" w:rsidR="00881780" w:rsidRPr="00A71C8E" w:rsidRDefault="00881780" w:rsidP="006F4D8F">
            <w:pPr>
              <w:spacing w:before="0" w:line="240" w:lineRule="auto"/>
              <w:rPr>
                <w:color w:val="000000"/>
                <w:sz w:val="18"/>
                <w:szCs w:val="18"/>
              </w:rPr>
            </w:pPr>
            <w:r w:rsidRPr="00A71C8E">
              <w:rPr>
                <w:color w:val="000000"/>
                <w:sz w:val="18"/>
                <w:szCs w:val="18"/>
              </w:rPr>
              <w:t>32,1</w:t>
            </w:r>
          </w:p>
        </w:tc>
        <w:tc>
          <w:tcPr>
            <w:tcW w:w="1053" w:type="pct"/>
            <w:shd w:val="clear" w:color="auto" w:fill="auto"/>
            <w:noWrap/>
            <w:vAlign w:val="center"/>
            <w:hideMark/>
          </w:tcPr>
          <w:p w14:paraId="53F9FC30" w14:textId="77777777" w:rsidR="00881780" w:rsidRPr="00A71C8E" w:rsidRDefault="00881780" w:rsidP="006F4D8F">
            <w:pPr>
              <w:spacing w:before="0" w:line="240" w:lineRule="auto"/>
              <w:rPr>
                <w:color w:val="000000"/>
                <w:sz w:val="18"/>
                <w:szCs w:val="18"/>
              </w:rPr>
            </w:pPr>
            <w:r w:rsidRPr="00A71C8E">
              <w:rPr>
                <w:color w:val="000000"/>
                <w:sz w:val="18"/>
                <w:szCs w:val="18"/>
              </w:rPr>
              <w:t>15,0</w:t>
            </w:r>
          </w:p>
        </w:tc>
      </w:tr>
      <w:tr w:rsidR="00881780" w:rsidRPr="00A71C8E" w14:paraId="459C1C28" w14:textId="77777777" w:rsidTr="006F4D8F">
        <w:trPr>
          <w:trHeight w:val="340"/>
        </w:trPr>
        <w:tc>
          <w:tcPr>
            <w:tcW w:w="705" w:type="pct"/>
            <w:shd w:val="clear" w:color="auto" w:fill="auto"/>
            <w:noWrap/>
            <w:vAlign w:val="center"/>
            <w:hideMark/>
          </w:tcPr>
          <w:p w14:paraId="6F6258CC" w14:textId="77777777" w:rsidR="00881780" w:rsidRPr="00A71C8E" w:rsidRDefault="00881780" w:rsidP="006F4D8F">
            <w:pPr>
              <w:spacing w:before="0" w:line="240" w:lineRule="auto"/>
              <w:rPr>
                <w:sz w:val="18"/>
                <w:szCs w:val="18"/>
              </w:rPr>
            </w:pPr>
            <w:r w:rsidRPr="00A71C8E">
              <w:rPr>
                <w:sz w:val="18"/>
                <w:szCs w:val="18"/>
              </w:rPr>
              <w:t>Kujawsko-Pomorskie</w:t>
            </w:r>
          </w:p>
        </w:tc>
        <w:tc>
          <w:tcPr>
            <w:tcW w:w="1112" w:type="pct"/>
            <w:shd w:val="clear" w:color="auto" w:fill="auto"/>
            <w:noWrap/>
            <w:vAlign w:val="center"/>
            <w:hideMark/>
          </w:tcPr>
          <w:p w14:paraId="2AF5709D" w14:textId="77777777" w:rsidR="00881780" w:rsidRPr="00A71C8E" w:rsidRDefault="00881780" w:rsidP="006F4D8F">
            <w:pPr>
              <w:spacing w:before="0" w:line="240" w:lineRule="auto"/>
              <w:rPr>
                <w:sz w:val="18"/>
                <w:szCs w:val="18"/>
              </w:rPr>
            </w:pPr>
            <w:r w:rsidRPr="00A71C8E">
              <w:rPr>
                <w:sz w:val="18"/>
                <w:szCs w:val="18"/>
              </w:rPr>
              <w:t>72 655</w:t>
            </w:r>
          </w:p>
        </w:tc>
        <w:tc>
          <w:tcPr>
            <w:tcW w:w="539" w:type="pct"/>
            <w:shd w:val="clear" w:color="auto" w:fill="auto"/>
            <w:noWrap/>
            <w:vAlign w:val="center"/>
            <w:hideMark/>
          </w:tcPr>
          <w:p w14:paraId="24EDFD18" w14:textId="77777777" w:rsidR="00881780" w:rsidRPr="00A71C8E" w:rsidRDefault="00881780" w:rsidP="006F4D8F">
            <w:pPr>
              <w:spacing w:before="0" w:line="240" w:lineRule="auto"/>
              <w:rPr>
                <w:sz w:val="18"/>
                <w:szCs w:val="18"/>
              </w:rPr>
            </w:pPr>
            <w:r w:rsidRPr="00A71C8E">
              <w:rPr>
                <w:sz w:val="18"/>
                <w:szCs w:val="18"/>
              </w:rPr>
              <w:t>26 653</w:t>
            </w:r>
          </w:p>
        </w:tc>
        <w:tc>
          <w:tcPr>
            <w:tcW w:w="1053" w:type="pct"/>
            <w:shd w:val="clear" w:color="auto" w:fill="auto"/>
            <w:noWrap/>
            <w:vAlign w:val="center"/>
            <w:hideMark/>
          </w:tcPr>
          <w:p w14:paraId="59135530" w14:textId="77777777" w:rsidR="00881780" w:rsidRPr="00A71C8E" w:rsidRDefault="00881780" w:rsidP="006F4D8F">
            <w:pPr>
              <w:spacing w:before="0" w:line="240" w:lineRule="auto"/>
              <w:rPr>
                <w:sz w:val="18"/>
                <w:szCs w:val="18"/>
              </w:rPr>
            </w:pPr>
            <w:r w:rsidRPr="00A71C8E">
              <w:rPr>
                <w:sz w:val="18"/>
                <w:szCs w:val="18"/>
              </w:rPr>
              <w:t>14 088</w:t>
            </w:r>
          </w:p>
        </w:tc>
        <w:tc>
          <w:tcPr>
            <w:tcW w:w="539" w:type="pct"/>
            <w:shd w:val="clear" w:color="auto" w:fill="auto"/>
            <w:noWrap/>
            <w:vAlign w:val="center"/>
            <w:hideMark/>
          </w:tcPr>
          <w:p w14:paraId="55B7F99D" w14:textId="77777777" w:rsidR="00881780" w:rsidRPr="00A71C8E" w:rsidRDefault="00881780" w:rsidP="006F4D8F">
            <w:pPr>
              <w:spacing w:before="0" w:line="240" w:lineRule="auto"/>
              <w:rPr>
                <w:color w:val="000000"/>
                <w:sz w:val="18"/>
                <w:szCs w:val="18"/>
              </w:rPr>
            </w:pPr>
            <w:r w:rsidRPr="00A71C8E">
              <w:rPr>
                <w:color w:val="000000"/>
                <w:sz w:val="18"/>
                <w:szCs w:val="18"/>
              </w:rPr>
              <w:t>36,7</w:t>
            </w:r>
          </w:p>
        </w:tc>
        <w:tc>
          <w:tcPr>
            <w:tcW w:w="1053" w:type="pct"/>
            <w:shd w:val="clear" w:color="auto" w:fill="auto"/>
            <w:noWrap/>
            <w:vAlign w:val="center"/>
            <w:hideMark/>
          </w:tcPr>
          <w:p w14:paraId="0DEFDA73" w14:textId="77777777" w:rsidR="00881780" w:rsidRPr="00A71C8E" w:rsidRDefault="00881780" w:rsidP="006F4D8F">
            <w:pPr>
              <w:spacing w:before="0" w:line="240" w:lineRule="auto"/>
              <w:rPr>
                <w:color w:val="000000"/>
                <w:sz w:val="18"/>
                <w:szCs w:val="18"/>
              </w:rPr>
            </w:pPr>
            <w:r w:rsidRPr="00A71C8E">
              <w:rPr>
                <w:color w:val="000000"/>
                <w:sz w:val="18"/>
                <w:szCs w:val="18"/>
              </w:rPr>
              <w:t>19,4</w:t>
            </w:r>
          </w:p>
        </w:tc>
      </w:tr>
      <w:tr w:rsidR="00881780" w:rsidRPr="00A71C8E" w14:paraId="575807F7" w14:textId="77777777" w:rsidTr="006F4D8F">
        <w:trPr>
          <w:trHeight w:val="340"/>
        </w:trPr>
        <w:tc>
          <w:tcPr>
            <w:tcW w:w="705" w:type="pct"/>
            <w:shd w:val="clear" w:color="auto" w:fill="auto"/>
            <w:noWrap/>
            <w:vAlign w:val="center"/>
            <w:hideMark/>
          </w:tcPr>
          <w:p w14:paraId="10F11515" w14:textId="77777777" w:rsidR="00881780" w:rsidRPr="00A71C8E" w:rsidRDefault="00881780" w:rsidP="006F4D8F">
            <w:pPr>
              <w:spacing w:before="0" w:line="240" w:lineRule="auto"/>
              <w:rPr>
                <w:sz w:val="18"/>
                <w:szCs w:val="18"/>
              </w:rPr>
            </w:pPr>
            <w:r w:rsidRPr="00A71C8E">
              <w:rPr>
                <w:sz w:val="18"/>
                <w:szCs w:val="18"/>
              </w:rPr>
              <w:t>Lubelskie</w:t>
            </w:r>
          </w:p>
        </w:tc>
        <w:tc>
          <w:tcPr>
            <w:tcW w:w="1112" w:type="pct"/>
            <w:shd w:val="clear" w:color="auto" w:fill="auto"/>
            <w:noWrap/>
            <w:vAlign w:val="center"/>
            <w:hideMark/>
          </w:tcPr>
          <w:p w14:paraId="0BC28559" w14:textId="77777777" w:rsidR="00881780" w:rsidRPr="00A71C8E" w:rsidRDefault="00881780" w:rsidP="006F4D8F">
            <w:pPr>
              <w:spacing w:before="0" w:line="240" w:lineRule="auto"/>
              <w:rPr>
                <w:sz w:val="18"/>
                <w:szCs w:val="18"/>
              </w:rPr>
            </w:pPr>
            <w:r w:rsidRPr="00A71C8E">
              <w:rPr>
                <w:sz w:val="18"/>
                <w:szCs w:val="18"/>
              </w:rPr>
              <w:t>74 449</w:t>
            </w:r>
          </w:p>
        </w:tc>
        <w:tc>
          <w:tcPr>
            <w:tcW w:w="539" w:type="pct"/>
            <w:shd w:val="clear" w:color="auto" w:fill="auto"/>
            <w:noWrap/>
            <w:vAlign w:val="center"/>
            <w:hideMark/>
          </w:tcPr>
          <w:p w14:paraId="40825C15" w14:textId="77777777" w:rsidR="00881780" w:rsidRPr="00A71C8E" w:rsidRDefault="00881780" w:rsidP="006F4D8F">
            <w:pPr>
              <w:spacing w:before="0" w:line="240" w:lineRule="auto"/>
              <w:rPr>
                <w:sz w:val="18"/>
                <w:szCs w:val="18"/>
              </w:rPr>
            </w:pPr>
            <w:r w:rsidRPr="00A71C8E">
              <w:rPr>
                <w:sz w:val="18"/>
                <w:szCs w:val="18"/>
              </w:rPr>
              <w:t>23 279</w:t>
            </w:r>
          </w:p>
        </w:tc>
        <w:tc>
          <w:tcPr>
            <w:tcW w:w="1053" w:type="pct"/>
            <w:shd w:val="clear" w:color="auto" w:fill="auto"/>
            <w:noWrap/>
            <w:vAlign w:val="center"/>
            <w:hideMark/>
          </w:tcPr>
          <w:p w14:paraId="641366AC" w14:textId="77777777" w:rsidR="00881780" w:rsidRPr="00A71C8E" w:rsidRDefault="00881780" w:rsidP="006F4D8F">
            <w:pPr>
              <w:spacing w:before="0" w:line="240" w:lineRule="auto"/>
              <w:rPr>
                <w:sz w:val="18"/>
                <w:szCs w:val="18"/>
              </w:rPr>
            </w:pPr>
            <w:r w:rsidRPr="00A71C8E">
              <w:rPr>
                <w:sz w:val="18"/>
                <w:szCs w:val="18"/>
              </w:rPr>
              <w:t>22 752</w:t>
            </w:r>
          </w:p>
        </w:tc>
        <w:tc>
          <w:tcPr>
            <w:tcW w:w="539" w:type="pct"/>
            <w:shd w:val="clear" w:color="auto" w:fill="auto"/>
            <w:noWrap/>
            <w:vAlign w:val="center"/>
            <w:hideMark/>
          </w:tcPr>
          <w:p w14:paraId="5756B48B" w14:textId="77777777" w:rsidR="00881780" w:rsidRPr="00A71C8E" w:rsidRDefault="00881780" w:rsidP="006F4D8F">
            <w:pPr>
              <w:spacing w:before="0" w:line="240" w:lineRule="auto"/>
              <w:rPr>
                <w:color w:val="000000"/>
                <w:sz w:val="18"/>
                <w:szCs w:val="18"/>
              </w:rPr>
            </w:pPr>
            <w:r w:rsidRPr="00A71C8E">
              <w:rPr>
                <w:color w:val="000000"/>
                <w:sz w:val="18"/>
                <w:szCs w:val="18"/>
              </w:rPr>
              <w:t>31,3</w:t>
            </w:r>
          </w:p>
        </w:tc>
        <w:tc>
          <w:tcPr>
            <w:tcW w:w="1053" w:type="pct"/>
            <w:shd w:val="clear" w:color="auto" w:fill="auto"/>
            <w:noWrap/>
            <w:vAlign w:val="center"/>
            <w:hideMark/>
          </w:tcPr>
          <w:p w14:paraId="34590D17" w14:textId="77777777" w:rsidR="00881780" w:rsidRPr="00A71C8E" w:rsidRDefault="00881780" w:rsidP="006F4D8F">
            <w:pPr>
              <w:spacing w:before="0" w:line="240" w:lineRule="auto"/>
              <w:rPr>
                <w:color w:val="000000"/>
                <w:sz w:val="18"/>
                <w:szCs w:val="18"/>
              </w:rPr>
            </w:pPr>
            <w:r w:rsidRPr="00A71C8E">
              <w:rPr>
                <w:color w:val="000000"/>
                <w:sz w:val="18"/>
                <w:szCs w:val="18"/>
              </w:rPr>
              <w:t>30,6</w:t>
            </w:r>
          </w:p>
        </w:tc>
      </w:tr>
      <w:tr w:rsidR="00881780" w:rsidRPr="00A71C8E" w14:paraId="220706AA" w14:textId="77777777" w:rsidTr="006F4D8F">
        <w:trPr>
          <w:trHeight w:val="340"/>
        </w:trPr>
        <w:tc>
          <w:tcPr>
            <w:tcW w:w="705" w:type="pct"/>
            <w:shd w:val="clear" w:color="auto" w:fill="auto"/>
            <w:noWrap/>
            <w:vAlign w:val="center"/>
            <w:hideMark/>
          </w:tcPr>
          <w:p w14:paraId="67367C0C" w14:textId="77777777" w:rsidR="00881780" w:rsidRPr="00A71C8E" w:rsidRDefault="00881780" w:rsidP="006F4D8F">
            <w:pPr>
              <w:spacing w:before="0" w:line="240" w:lineRule="auto"/>
              <w:rPr>
                <w:sz w:val="18"/>
                <w:szCs w:val="18"/>
              </w:rPr>
            </w:pPr>
            <w:r w:rsidRPr="00A71C8E">
              <w:rPr>
                <w:sz w:val="18"/>
                <w:szCs w:val="18"/>
              </w:rPr>
              <w:t>Lubuskie</w:t>
            </w:r>
          </w:p>
        </w:tc>
        <w:tc>
          <w:tcPr>
            <w:tcW w:w="1112" w:type="pct"/>
            <w:shd w:val="clear" w:color="auto" w:fill="auto"/>
            <w:noWrap/>
            <w:vAlign w:val="center"/>
            <w:hideMark/>
          </w:tcPr>
          <w:p w14:paraId="3041D916" w14:textId="77777777" w:rsidR="00881780" w:rsidRPr="00A71C8E" w:rsidRDefault="00881780" w:rsidP="006F4D8F">
            <w:pPr>
              <w:spacing w:before="0" w:line="240" w:lineRule="auto"/>
              <w:rPr>
                <w:sz w:val="18"/>
                <w:szCs w:val="18"/>
              </w:rPr>
            </w:pPr>
            <w:r w:rsidRPr="00A71C8E">
              <w:rPr>
                <w:sz w:val="18"/>
                <w:szCs w:val="18"/>
              </w:rPr>
              <w:t>22 201</w:t>
            </w:r>
          </w:p>
        </w:tc>
        <w:tc>
          <w:tcPr>
            <w:tcW w:w="539" w:type="pct"/>
            <w:shd w:val="clear" w:color="auto" w:fill="auto"/>
            <w:noWrap/>
            <w:vAlign w:val="center"/>
            <w:hideMark/>
          </w:tcPr>
          <w:p w14:paraId="6931FD14" w14:textId="77777777" w:rsidR="00881780" w:rsidRPr="00A71C8E" w:rsidRDefault="00881780" w:rsidP="006F4D8F">
            <w:pPr>
              <w:spacing w:before="0" w:line="240" w:lineRule="auto"/>
              <w:rPr>
                <w:sz w:val="18"/>
                <w:szCs w:val="18"/>
              </w:rPr>
            </w:pPr>
            <w:r w:rsidRPr="00A71C8E">
              <w:rPr>
                <w:sz w:val="18"/>
                <w:szCs w:val="18"/>
              </w:rPr>
              <w:t>7 121</w:t>
            </w:r>
          </w:p>
        </w:tc>
        <w:tc>
          <w:tcPr>
            <w:tcW w:w="1053" w:type="pct"/>
            <w:shd w:val="clear" w:color="auto" w:fill="auto"/>
            <w:noWrap/>
            <w:vAlign w:val="center"/>
            <w:hideMark/>
          </w:tcPr>
          <w:p w14:paraId="3DC6CB2C" w14:textId="77777777" w:rsidR="00881780" w:rsidRPr="00A71C8E" w:rsidRDefault="00881780" w:rsidP="006F4D8F">
            <w:pPr>
              <w:spacing w:before="0" w:line="240" w:lineRule="auto"/>
              <w:rPr>
                <w:sz w:val="18"/>
                <w:szCs w:val="18"/>
              </w:rPr>
            </w:pPr>
            <w:r w:rsidRPr="00A71C8E">
              <w:rPr>
                <w:sz w:val="18"/>
                <w:szCs w:val="18"/>
              </w:rPr>
              <w:t>3 957</w:t>
            </w:r>
          </w:p>
        </w:tc>
        <w:tc>
          <w:tcPr>
            <w:tcW w:w="539" w:type="pct"/>
            <w:shd w:val="clear" w:color="auto" w:fill="auto"/>
            <w:noWrap/>
            <w:vAlign w:val="center"/>
            <w:hideMark/>
          </w:tcPr>
          <w:p w14:paraId="0E6D27D6" w14:textId="77777777" w:rsidR="00881780" w:rsidRPr="00A71C8E" w:rsidRDefault="00881780" w:rsidP="006F4D8F">
            <w:pPr>
              <w:spacing w:before="0" w:line="240" w:lineRule="auto"/>
              <w:rPr>
                <w:color w:val="000000"/>
                <w:sz w:val="18"/>
                <w:szCs w:val="18"/>
              </w:rPr>
            </w:pPr>
            <w:r w:rsidRPr="00A71C8E">
              <w:rPr>
                <w:color w:val="000000"/>
                <w:sz w:val="18"/>
                <w:szCs w:val="18"/>
              </w:rPr>
              <w:t>32,1</w:t>
            </w:r>
          </w:p>
        </w:tc>
        <w:tc>
          <w:tcPr>
            <w:tcW w:w="1053" w:type="pct"/>
            <w:shd w:val="clear" w:color="auto" w:fill="auto"/>
            <w:noWrap/>
            <w:vAlign w:val="center"/>
            <w:hideMark/>
          </w:tcPr>
          <w:p w14:paraId="0C9DEFD9" w14:textId="77777777" w:rsidR="00881780" w:rsidRPr="00A71C8E" w:rsidRDefault="00881780" w:rsidP="006F4D8F">
            <w:pPr>
              <w:spacing w:before="0" w:line="240" w:lineRule="auto"/>
              <w:rPr>
                <w:color w:val="000000"/>
                <w:sz w:val="18"/>
                <w:szCs w:val="18"/>
              </w:rPr>
            </w:pPr>
            <w:r w:rsidRPr="00A71C8E">
              <w:rPr>
                <w:color w:val="000000"/>
                <w:sz w:val="18"/>
                <w:szCs w:val="18"/>
              </w:rPr>
              <w:t>17,8</w:t>
            </w:r>
          </w:p>
        </w:tc>
      </w:tr>
      <w:tr w:rsidR="00881780" w:rsidRPr="00A71C8E" w14:paraId="6C75D72B" w14:textId="77777777" w:rsidTr="006F4D8F">
        <w:trPr>
          <w:trHeight w:val="340"/>
        </w:trPr>
        <w:tc>
          <w:tcPr>
            <w:tcW w:w="705" w:type="pct"/>
            <w:shd w:val="clear" w:color="auto" w:fill="auto"/>
            <w:noWrap/>
            <w:vAlign w:val="center"/>
            <w:hideMark/>
          </w:tcPr>
          <w:p w14:paraId="02976F65" w14:textId="77777777" w:rsidR="00881780" w:rsidRPr="00A71C8E" w:rsidRDefault="00881780" w:rsidP="006F4D8F">
            <w:pPr>
              <w:spacing w:before="0" w:line="240" w:lineRule="auto"/>
              <w:rPr>
                <w:sz w:val="18"/>
                <w:szCs w:val="18"/>
              </w:rPr>
            </w:pPr>
            <w:r w:rsidRPr="00A71C8E">
              <w:rPr>
                <w:sz w:val="18"/>
                <w:szCs w:val="18"/>
              </w:rPr>
              <w:t>Łódzkie</w:t>
            </w:r>
          </w:p>
        </w:tc>
        <w:tc>
          <w:tcPr>
            <w:tcW w:w="1112" w:type="pct"/>
            <w:shd w:val="clear" w:color="auto" w:fill="auto"/>
            <w:noWrap/>
            <w:vAlign w:val="center"/>
            <w:hideMark/>
          </w:tcPr>
          <w:p w14:paraId="06991BAF" w14:textId="77777777" w:rsidR="00881780" w:rsidRPr="00A71C8E" w:rsidRDefault="00881780" w:rsidP="006F4D8F">
            <w:pPr>
              <w:spacing w:before="0" w:line="240" w:lineRule="auto"/>
              <w:rPr>
                <w:sz w:val="18"/>
                <w:szCs w:val="18"/>
              </w:rPr>
            </w:pPr>
            <w:r w:rsidRPr="00A71C8E">
              <w:rPr>
                <w:sz w:val="18"/>
                <w:szCs w:val="18"/>
              </w:rPr>
              <w:t>66 036</w:t>
            </w:r>
          </w:p>
        </w:tc>
        <w:tc>
          <w:tcPr>
            <w:tcW w:w="539" w:type="pct"/>
            <w:shd w:val="clear" w:color="auto" w:fill="auto"/>
            <w:noWrap/>
            <w:vAlign w:val="center"/>
            <w:hideMark/>
          </w:tcPr>
          <w:p w14:paraId="3AC7BF93" w14:textId="77777777" w:rsidR="00881780" w:rsidRPr="00A71C8E" w:rsidRDefault="00881780" w:rsidP="006F4D8F">
            <w:pPr>
              <w:spacing w:before="0" w:line="240" w:lineRule="auto"/>
              <w:rPr>
                <w:sz w:val="18"/>
                <w:szCs w:val="18"/>
              </w:rPr>
            </w:pPr>
            <w:r w:rsidRPr="00A71C8E">
              <w:rPr>
                <w:sz w:val="18"/>
                <w:szCs w:val="18"/>
              </w:rPr>
              <w:t>22 205</w:t>
            </w:r>
          </w:p>
        </w:tc>
        <w:tc>
          <w:tcPr>
            <w:tcW w:w="1053" w:type="pct"/>
            <w:shd w:val="clear" w:color="auto" w:fill="auto"/>
            <w:noWrap/>
            <w:vAlign w:val="center"/>
            <w:hideMark/>
          </w:tcPr>
          <w:p w14:paraId="1C0D4150" w14:textId="77777777" w:rsidR="00881780" w:rsidRPr="00A71C8E" w:rsidRDefault="00881780" w:rsidP="006F4D8F">
            <w:pPr>
              <w:spacing w:before="0" w:line="240" w:lineRule="auto"/>
              <w:rPr>
                <w:sz w:val="18"/>
                <w:szCs w:val="18"/>
              </w:rPr>
            </w:pPr>
            <w:r w:rsidRPr="00A71C8E">
              <w:rPr>
                <w:sz w:val="18"/>
                <w:szCs w:val="18"/>
              </w:rPr>
              <w:t>10 247</w:t>
            </w:r>
          </w:p>
        </w:tc>
        <w:tc>
          <w:tcPr>
            <w:tcW w:w="539" w:type="pct"/>
            <w:shd w:val="clear" w:color="auto" w:fill="auto"/>
            <w:noWrap/>
            <w:vAlign w:val="center"/>
            <w:hideMark/>
          </w:tcPr>
          <w:p w14:paraId="438F593A" w14:textId="77777777" w:rsidR="00881780" w:rsidRPr="00A71C8E" w:rsidRDefault="00881780" w:rsidP="006F4D8F">
            <w:pPr>
              <w:spacing w:before="0" w:line="240" w:lineRule="auto"/>
              <w:rPr>
                <w:color w:val="000000"/>
                <w:sz w:val="18"/>
                <w:szCs w:val="18"/>
              </w:rPr>
            </w:pPr>
            <w:r w:rsidRPr="00A71C8E">
              <w:rPr>
                <w:color w:val="000000"/>
                <w:sz w:val="18"/>
                <w:szCs w:val="18"/>
              </w:rPr>
              <w:t>33,6</w:t>
            </w:r>
          </w:p>
        </w:tc>
        <w:tc>
          <w:tcPr>
            <w:tcW w:w="1053" w:type="pct"/>
            <w:shd w:val="clear" w:color="auto" w:fill="auto"/>
            <w:noWrap/>
            <w:vAlign w:val="center"/>
            <w:hideMark/>
          </w:tcPr>
          <w:p w14:paraId="6D5EE4A1" w14:textId="77777777" w:rsidR="00881780" w:rsidRPr="00A71C8E" w:rsidRDefault="00881780" w:rsidP="006F4D8F">
            <w:pPr>
              <w:spacing w:before="0" w:line="240" w:lineRule="auto"/>
              <w:rPr>
                <w:color w:val="000000"/>
                <w:sz w:val="18"/>
                <w:szCs w:val="18"/>
              </w:rPr>
            </w:pPr>
            <w:r w:rsidRPr="00A71C8E">
              <w:rPr>
                <w:color w:val="000000"/>
                <w:sz w:val="18"/>
                <w:szCs w:val="18"/>
              </w:rPr>
              <w:t>15,5</w:t>
            </w:r>
          </w:p>
        </w:tc>
      </w:tr>
      <w:tr w:rsidR="00881780" w:rsidRPr="00A71C8E" w14:paraId="1B9B95A8" w14:textId="77777777" w:rsidTr="006F4D8F">
        <w:trPr>
          <w:trHeight w:val="340"/>
        </w:trPr>
        <w:tc>
          <w:tcPr>
            <w:tcW w:w="705" w:type="pct"/>
            <w:shd w:val="clear" w:color="auto" w:fill="auto"/>
            <w:noWrap/>
            <w:vAlign w:val="center"/>
            <w:hideMark/>
          </w:tcPr>
          <w:p w14:paraId="7FCC6F00" w14:textId="77777777" w:rsidR="00881780" w:rsidRPr="00A71C8E" w:rsidRDefault="00881780" w:rsidP="006F4D8F">
            <w:pPr>
              <w:spacing w:before="0" w:line="240" w:lineRule="auto"/>
              <w:rPr>
                <w:sz w:val="18"/>
                <w:szCs w:val="18"/>
              </w:rPr>
            </w:pPr>
            <w:r w:rsidRPr="00A71C8E">
              <w:rPr>
                <w:sz w:val="18"/>
                <w:szCs w:val="18"/>
              </w:rPr>
              <w:t>Małopolskie</w:t>
            </w:r>
          </w:p>
        </w:tc>
        <w:tc>
          <w:tcPr>
            <w:tcW w:w="1112" w:type="pct"/>
            <w:shd w:val="clear" w:color="auto" w:fill="auto"/>
            <w:noWrap/>
            <w:vAlign w:val="center"/>
            <w:hideMark/>
          </w:tcPr>
          <w:p w14:paraId="60CB3FDE" w14:textId="77777777" w:rsidR="00881780" w:rsidRPr="00A71C8E" w:rsidRDefault="00881780" w:rsidP="006F4D8F">
            <w:pPr>
              <w:spacing w:before="0" w:line="240" w:lineRule="auto"/>
              <w:rPr>
                <w:sz w:val="18"/>
                <w:szCs w:val="18"/>
              </w:rPr>
            </w:pPr>
            <w:r w:rsidRPr="00A71C8E">
              <w:rPr>
                <w:sz w:val="18"/>
                <w:szCs w:val="18"/>
              </w:rPr>
              <w:t>71 489</w:t>
            </w:r>
          </w:p>
        </w:tc>
        <w:tc>
          <w:tcPr>
            <w:tcW w:w="539" w:type="pct"/>
            <w:shd w:val="clear" w:color="auto" w:fill="auto"/>
            <w:noWrap/>
            <w:vAlign w:val="center"/>
            <w:hideMark/>
          </w:tcPr>
          <w:p w14:paraId="705E2500" w14:textId="77777777" w:rsidR="00881780" w:rsidRPr="00A71C8E" w:rsidRDefault="00881780" w:rsidP="006F4D8F">
            <w:pPr>
              <w:spacing w:before="0" w:line="240" w:lineRule="auto"/>
              <w:rPr>
                <w:sz w:val="18"/>
                <w:szCs w:val="18"/>
              </w:rPr>
            </w:pPr>
            <w:r w:rsidRPr="00A71C8E">
              <w:rPr>
                <w:sz w:val="18"/>
                <w:szCs w:val="18"/>
              </w:rPr>
              <w:t>17 494</w:t>
            </w:r>
          </w:p>
        </w:tc>
        <w:tc>
          <w:tcPr>
            <w:tcW w:w="1053" w:type="pct"/>
            <w:shd w:val="clear" w:color="auto" w:fill="auto"/>
            <w:noWrap/>
            <w:vAlign w:val="center"/>
            <w:hideMark/>
          </w:tcPr>
          <w:p w14:paraId="66BE6CC8" w14:textId="77777777" w:rsidR="00881780" w:rsidRPr="00A71C8E" w:rsidRDefault="00881780" w:rsidP="006F4D8F">
            <w:pPr>
              <w:spacing w:before="0" w:line="240" w:lineRule="auto"/>
              <w:rPr>
                <w:sz w:val="18"/>
                <w:szCs w:val="18"/>
              </w:rPr>
            </w:pPr>
            <w:r w:rsidRPr="00A71C8E">
              <w:rPr>
                <w:sz w:val="18"/>
                <w:szCs w:val="18"/>
              </w:rPr>
              <w:t>13 729</w:t>
            </w:r>
          </w:p>
        </w:tc>
        <w:tc>
          <w:tcPr>
            <w:tcW w:w="539" w:type="pct"/>
            <w:shd w:val="clear" w:color="auto" w:fill="auto"/>
            <w:noWrap/>
            <w:vAlign w:val="center"/>
            <w:hideMark/>
          </w:tcPr>
          <w:p w14:paraId="32601132" w14:textId="77777777" w:rsidR="00881780" w:rsidRPr="00A71C8E" w:rsidRDefault="00881780" w:rsidP="006F4D8F">
            <w:pPr>
              <w:spacing w:before="0" w:line="240" w:lineRule="auto"/>
              <w:rPr>
                <w:color w:val="000000"/>
                <w:sz w:val="18"/>
                <w:szCs w:val="18"/>
              </w:rPr>
            </w:pPr>
            <w:r w:rsidRPr="00A71C8E">
              <w:rPr>
                <w:color w:val="000000"/>
                <w:sz w:val="18"/>
                <w:szCs w:val="18"/>
              </w:rPr>
              <w:t>24,5</w:t>
            </w:r>
          </w:p>
        </w:tc>
        <w:tc>
          <w:tcPr>
            <w:tcW w:w="1053" w:type="pct"/>
            <w:shd w:val="clear" w:color="auto" w:fill="auto"/>
            <w:noWrap/>
            <w:vAlign w:val="center"/>
            <w:hideMark/>
          </w:tcPr>
          <w:p w14:paraId="2A806B28" w14:textId="77777777" w:rsidR="00881780" w:rsidRPr="00A71C8E" w:rsidRDefault="00881780" w:rsidP="006F4D8F">
            <w:pPr>
              <w:spacing w:before="0" w:line="240" w:lineRule="auto"/>
              <w:rPr>
                <w:color w:val="000000"/>
                <w:sz w:val="18"/>
                <w:szCs w:val="18"/>
              </w:rPr>
            </w:pPr>
            <w:r w:rsidRPr="00A71C8E">
              <w:rPr>
                <w:color w:val="000000"/>
                <w:sz w:val="18"/>
                <w:szCs w:val="18"/>
              </w:rPr>
              <w:t>19,2</w:t>
            </w:r>
          </w:p>
        </w:tc>
      </w:tr>
      <w:tr w:rsidR="00881780" w:rsidRPr="00A71C8E" w14:paraId="203E91CE" w14:textId="77777777" w:rsidTr="006F4D8F">
        <w:trPr>
          <w:trHeight w:val="340"/>
        </w:trPr>
        <w:tc>
          <w:tcPr>
            <w:tcW w:w="705" w:type="pct"/>
            <w:shd w:val="clear" w:color="auto" w:fill="auto"/>
            <w:noWrap/>
            <w:vAlign w:val="center"/>
            <w:hideMark/>
          </w:tcPr>
          <w:p w14:paraId="3AC90361" w14:textId="77777777" w:rsidR="00881780" w:rsidRPr="00A71C8E" w:rsidRDefault="00881780" w:rsidP="006F4D8F">
            <w:pPr>
              <w:spacing w:before="0" w:line="240" w:lineRule="auto"/>
              <w:rPr>
                <w:sz w:val="18"/>
                <w:szCs w:val="18"/>
              </w:rPr>
            </w:pPr>
            <w:r w:rsidRPr="00A71C8E">
              <w:rPr>
                <w:sz w:val="18"/>
                <w:szCs w:val="18"/>
              </w:rPr>
              <w:t>Mazowieckie</w:t>
            </w:r>
          </w:p>
        </w:tc>
        <w:tc>
          <w:tcPr>
            <w:tcW w:w="1112" w:type="pct"/>
            <w:shd w:val="clear" w:color="auto" w:fill="auto"/>
            <w:noWrap/>
            <w:vAlign w:val="center"/>
            <w:hideMark/>
          </w:tcPr>
          <w:p w14:paraId="4C9386AA" w14:textId="77777777" w:rsidR="00881780" w:rsidRPr="00A71C8E" w:rsidRDefault="00881780" w:rsidP="006F4D8F">
            <w:pPr>
              <w:spacing w:before="0" w:line="240" w:lineRule="auto"/>
              <w:rPr>
                <w:sz w:val="18"/>
                <w:szCs w:val="18"/>
              </w:rPr>
            </w:pPr>
            <w:r w:rsidRPr="00A71C8E">
              <w:rPr>
                <w:sz w:val="18"/>
                <w:szCs w:val="18"/>
              </w:rPr>
              <w:t>136 545</w:t>
            </w:r>
          </w:p>
        </w:tc>
        <w:tc>
          <w:tcPr>
            <w:tcW w:w="539" w:type="pct"/>
            <w:shd w:val="clear" w:color="auto" w:fill="auto"/>
            <w:noWrap/>
            <w:vAlign w:val="center"/>
            <w:hideMark/>
          </w:tcPr>
          <w:p w14:paraId="52A20D36" w14:textId="77777777" w:rsidR="00881780" w:rsidRPr="00A71C8E" w:rsidRDefault="00881780" w:rsidP="006F4D8F">
            <w:pPr>
              <w:spacing w:before="0" w:line="240" w:lineRule="auto"/>
              <w:rPr>
                <w:sz w:val="18"/>
                <w:szCs w:val="18"/>
              </w:rPr>
            </w:pPr>
            <w:r w:rsidRPr="00A71C8E">
              <w:rPr>
                <w:sz w:val="18"/>
                <w:szCs w:val="18"/>
              </w:rPr>
              <w:t>44 970</w:t>
            </w:r>
          </w:p>
        </w:tc>
        <w:tc>
          <w:tcPr>
            <w:tcW w:w="1053" w:type="pct"/>
            <w:shd w:val="clear" w:color="auto" w:fill="auto"/>
            <w:noWrap/>
            <w:vAlign w:val="center"/>
            <w:hideMark/>
          </w:tcPr>
          <w:p w14:paraId="2DE1A836" w14:textId="77777777" w:rsidR="00881780" w:rsidRPr="00A71C8E" w:rsidRDefault="00881780" w:rsidP="006F4D8F">
            <w:pPr>
              <w:spacing w:before="0" w:line="240" w:lineRule="auto"/>
              <w:rPr>
                <w:sz w:val="18"/>
                <w:szCs w:val="18"/>
              </w:rPr>
            </w:pPr>
            <w:r w:rsidRPr="00A71C8E">
              <w:rPr>
                <w:sz w:val="18"/>
                <w:szCs w:val="18"/>
              </w:rPr>
              <w:t>30 153</w:t>
            </w:r>
          </w:p>
        </w:tc>
        <w:tc>
          <w:tcPr>
            <w:tcW w:w="539" w:type="pct"/>
            <w:shd w:val="clear" w:color="auto" w:fill="auto"/>
            <w:noWrap/>
            <w:vAlign w:val="center"/>
            <w:hideMark/>
          </w:tcPr>
          <w:p w14:paraId="44FEE00E" w14:textId="77777777" w:rsidR="00881780" w:rsidRPr="00A71C8E" w:rsidRDefault="00881780" w:rsidP="006F4D8F">
            <w:pPr>
              <w:spacing w:before="0" w:line="240" w:lineRule="auto"/>
              <w:rPr>
                <w:color w:val="000000"/>
                <w:sz w:val="18"/>
                <w:szCs w:val="18"/>
              </w:rPr>
            </w:pPr>
            <w:r w:rsidRPr="00A71C8E">
              <w:rPr>
                <w:color w:val="000000"/>
                <w:sz w:val="18"/>
                <w:szCs w:val="18"/>
              </w:rPr>
              <w:t>32,9</w:t>
            </w:r>
          </w:p>
        </w:tc>
        <w:tc>
          <w:tcPr>
            <w:tcW w:w="1053" w:type="pct"/>
            <w:shd w:val="clear" w:color="auto" w:fill="auto"/>
            <w:noWrap/>
            <w:vAlign w:val="center"/>
            <w:hideMark/>
          </w:tcPr>
          <w:p w14:paraId="00E65B05" w14:textId="77777777" w:rsidR="00881780" w:rsidRPr="00A71C8E" w:rsidRDefault="00881780" w:rsidP="006F4D8F">
            <w:pPr>
              <w:spacing w:before="0" w:line="240" w:lineRule="auto"/>
              <w:rPr>
                <w:color w:val="000000"/>
                <w:sz w:val="18"/>
                <w:szCs w:val="18"/>
              </w:rPr>
            </w:pPr>
            <w:r w:rsidRPr="00A71C8E">
              <w:rPr>
                <w:color w:val="000000"/>
                <w:sz w:val="18"/>
                <w:szCs w:val="18"/>
              </w:rPr>
              <w:t>22,1</w:t>
            </w:r>
          </w:p>
        </w:tc>
      </w:tr>
      <w:tr w:rsidR="00881780" w:rsidRPr="00A71C8E" w14:paraId="55A0BEE8" w14:textId="77777777" w:rsidTr="006F4D8F">
        <w:trPr>
          <w:trHeight w:val="340"/>
        </w:trPr>
        <w:tc>
          <w:tcPr>
            <w:tcW w:w="705" w:type="pct"/>
            <w:shd w:val="clear" w:color="auto" w:fill="auto"/>
            <w:noWrap/>
            <w:vAlign w:val="center"/>
            <w:hideMark/>
          </w:tcPr>
          <w:p w14:paraId="1B6C4E27" w14:textId="77777777" w:rsidR="00881780" w:rsidRPr="00A71C8E" w:rsidRDefault="00881780" w:rsidP="006F4D8F">
            <w:pPr>
              <w:spacing w:before="0" w:line="240" w:lineRule="auto"/>
              <w:rPr>
                <w:sz w:val="18"/>
                <w:szCs w:val="18"/>
              </w:rPr>
            </w:pPr>
            <w:r w:rsidRPr="00A71C8E">
              <w:rPr>
                <w:sz w:val="18"/>
                <w:szCs w:val="18"/>
              </w:rPr>
              <w:t>Opolskie</w:t>
            </w:r>
          </w:p>
        </w:tc>
        <w:tc>
          <w:tcPr>
            <w:tcW w:w="1112" w:type="pct"/>
            <w:shd w:val="clear" w:color="auto" w:fill="auto"/>
            <w:noWrap/>
            <w:vAlign w:val="center"/>
            <w:hideMark/>
          </w:tcPr>
          <w:p w14:paraId="24FEE3A2" w14:textId="77777777" w:rsidR="00881780" w:rsidRPr="00A71C8E" w:rsidRDefault="00881780" w:rsidP="006F4D8F">
            <w:pPr>
              <w:spacing w:before="0" w:line="240" w:lineRule="auto"/>
              <w:rPr>
                <w:sz w:val="18"/>
                <w:szCs w:val="18"/>
              </w:rPr>
            </w:pPr>
            <w:r w:rsidRPr="00A71C8E">
              <w:rPr>
                <w:sz w:val="18"/>
                <w:szCs w:val="18"/>
              </w:rPr>
              <w:t>22 663</w:t>
            </w:r>
          </w:p>
        </w:tc>
        <w:tc>
          <w:tcPr>
            <w:tcW w:w="539" w:type="pct"/>
            <w:shd w:val="clear" w:color="auto" w:fill="auto"/>
            <w:noWrap/>
            <w:vAlign w:val="center"/>
            <w:hideMark/>
          </w:tcPr>
          <w:p w14:paraId="616F752F" w14:textId="77777777" w:rsidR="00881780" w:rsidRPr="00A71C8E" w:rsidRDefault="00881780" w:rsidP="006F4D8F">
            <w:pPr>
              <w:spacing w:before="0" w:line="240" w:lineRule="auto"/>
              <w:rPr>
                <w:sz w:val="18"/>
                <w:szCs w:val="18"/>
              </w:rPr>
            </w:pPr>
            <w:r w:rsidRPr="00A71C8E">
              <w:rPr>
                <w:sz w:val="18"/>
                <w:szCs w:val="18"/>
              </w:rPr>
              <w:t>7 453</w:t>
            </w:r>
          </w:p>
        </w:tc>
        <w:tc>
          <w:tcPr>
            <w:tcW w:w="1053" w:type="pct"/>
            <w:shd w:val="clear" w:color="auto" w:fill="auto"/>
            <w:noWrap/>
            <w:vAlign w:val="center"/>
            <w:hideMark/>
          </w:tcPr>
          <w:p w14:paraId="0BEF7E88" w14:textId="77777777" w:rsidR="00881780" w:rsidRPr="00A71C8E" w:rsidRDefault="00881780" w:rsidP="006F4D8F">
            <w:pPr>
              <w:spacing w:before="0" w:line="240" w:lineRule="auto"/>
              <w:rPr>
                <w:sz w:val="18"/>
                <w:szCs w:val="18"/>
              </w:rPr>
            </w:pPr>
            <w:r w:rsidRPr="00A71C8E">
              <w:rPr>
                <w:sz w:val="18"/>
                <w:szCs w:val="18"/>
              </w:rPr>
              <w:t>3 780</w:t>
            </w:r>
          </w:p>
        </w:tc>
        <w:tc>
          <w:tcPr>
            <w:tcW w:w="539" w:type="pct"/>
            <w:shd w:val="clear" w:color="auto" w:fill="auto"/>
            <w:noWrap/>
            <w:vAlign w:val="center"/>
            <w:hideMark/>
          </w:tcPr>
          <w:p w14:paraId="7DD5D928" w14:textId="77777777" w:rsidR="00881780" w:rsidRPr="00A71C8E" w:rsidRDefault="00881780" w:rsidP="006F4D8F">
            <w:pPr>
              <w:spacing w:before="0" w:line="240" w:lineRule="auto"/>
              <w:rPr>
                <w:color w:val="000000"/>
                <w:sz w:val="18"/>
                <w:szCs w:val="18"/>
              </w:rPr>
            </w:pPr>
            <w:r w:rsidRPr="00A71C8E">
              <w:rPr>
                <w:color w:val="000000"/>
                <w:sz w:val="18"/>
                <w:szCs w:val="18"/>
              </w:rPr>
              <w:t>32,9</w:t>
            </w:r>
          </w:p>
        </w:tc>
        <w:tc>
          <w:tcPr>
            <w:tcW w:w="1053" w:type="pct"/>
            <w:shd w:val="clear" w:color="auto" w:fill="auto"/>
            <w:noWrap/>
            <w:vAlign w:val="center"/>
            <w:hideMark/>
          </w:tcPr>
          <w:p w14:paraId="0FF8C4C0" w14:textId="77777777" w:rsidR="00881780" w:rsidRPr="00A71C8E" w:rsidRDefault="00881780" w:rsidP="006F4D8F">
            <w:pPr>
              <w:spacing w:before="0" w:line="240" w:lineRule="auto"/>
              <w:rPr>
                <w:color w:val="000000"/>
                <w:sz w:val="18"/>
                <w:szCs w:val="18"/>
              </w:rPr>
            </w:pPr>
            <w:r w:rsidRPr="00A71C8E">
              <w:rPr>
                <w:color w:val="000000"/>
                <w:sz w:val="18"/>
                <w:szCs w:val="18"/>
              </w:rPr>
              <w:t>16,7</w:t>
            </w:r>
          </w:p>
        </w:tc>
      </w:tr>
      <w:tr w:rsidR="00881780" w:rsidRPr="00A71C8E" w14:paraId="0F0C72C3" w14:textId="77777777" w:rsidTr="006F4D8F">
        <w:trPr>
          <w:trHeight w:val="340"/>
        </w:trPr>
        <w:tc>
          <w:tcPr>
            <w:tcW w:w="705" w:type="pct"/>
            <w:shd w:val="clear" w:color="auto" w:fill="auto"/>
            <w:noWrap/>
            <w:vAlign w:val="center"/>
            <w:hideMark/>
          </w:tcPr>
          <w:p w14:paraId="12C8BD39" w14:textId="77777777" w:rsidR="00881780" w:rsidRPr="00A71C8E" w:rsidRDefault="00881780" w:rsidP="006F4D8F">
            <w:pPr>
              <w:spacing w:before="0" w:line="240" w:lineRule="auto"/>
              <w:rPr>
                <w:sz w:val="18"/>
                <w:szCs w:val="18"/>
              </w:rPr>
            </w:pPr>
            <w:r w:rsidRPr="00A71C8E">
              <w:rPr>
                <w:sz w:val="18"/>
                <w:szCs w:val="18"/>
              </w:rPr>
              <w:t>Podkarpackie</w:t>
            </w:r>
          </w:p>
        </w:tc>
        <w:tc>
          <w:tcPr>
            <w:tcW w:w="1112" w:type="pct"/>
            <w:shd w:val="clear" w:color="auto" w:fill="auto"/>
            <w:noWrap/>
            <w:vAlign w:val="center"/>
            <w:hideMark/>
          </w:tcPr>
          <w:p w14:paraId="3A0FFF9C" w14:textId="77777777" w:rsidR="00881780" w:rsidRPr="00A71C8E" w:rsidRDefault="00881780" w:rsidP="006F4D8F">
            <w:pPr>
              <w:spacing w:before="0" w:line="240" w:lineRule="auto"/>
              <w:rPr>
                <w:sz w:val="18"/>
                <w:szCs w:val="18"/>
              </w:rPr>
            </w:pPr>
            <w:r w:rsidRPr="00A71C8E">
              <w:rPr>
                <w:sz w:val="18"/>
                <w:szCs w:val="18"/>
              </w:rPr>
              <w:t>82 933</w:t>
            </w:r>
          </w:p>
        </w:tc>
        <w:tc>
          <w:tcPr>
            <w:tcW w:w="539" w:type="pct"/>
            <w:shd w:val="clear" w:color="auto" w:fill="auto"/>
            <w:noWrap/>
            <w:vAlign w:val="center"/>
            <w:hideMark/>
          </w:tcPr>
          <w:p w14:paraId="12CDDD97" w14:textId="77777777" w:rsidR="00881780" w:rsidRPr="00A71C8E" w:rsidRDefault="00881780" w:rsidP="006F4D8F">
            <w:pPr>
              <w:spacing w:before="0" w:line="240" w:lineRule="auto"/>
              <w:rPr>
                <w:sz w:val="18"/>
                <w:szCs w:val="18"/>
              </w:rPr>
            </w:pPr>
            <w:r w:rsidRPr="00A71C8E">
              <w:rPr>
                <w:sz w:val="18"/>
                <w:szCs w:val="18"/>
              </w:rPr>
              <w:t>22 182</w:t>
            </w:r>
          </w:p>
        </w:tc>
        <w:tc>
          <w:tcPr>
            <w:tcW w:w="1053" w:type="pct"/>
            <w:shd w:val="clear" w:color="auto" w:fill="auto"/>
            <w:noWrap/>
            <w:vAlign w:val="center"/>
            <w:hideMark/>
          </w:tcPr>
          <w:p w14:paraId="7EBA9C21" w14:textId="77777777" w:rsidR="00881780" w:rsidRPr="00A71C8E" w:rsidRDefault="00881780" w:rsidP="006F4D8F">
            <w:pPr>
              <w:spacing w:before="0" w:line="240" w:lineRule="auto"/>
              <w:rPr>
                <w:sz w:val="18"/>
                <w:szCs w:val="18"/>
              </w:rPr>
            </w:pPr>
            <w:r w:rsidRPr="00A71C8E">
              <w:rPr>
                <w:sz w:val="18"/>
                <w:szCs w:val="18"/>
              </w:rPr>
              <w:t>19 319</w:t>
            </w:r>
          </w:p>
        </w:tc>
        <w:tc>
          <w:tcPr>
            <w:tcW w:w="539" w:type="pct"/>
            <w:shd w:val="clear" w:color="auto" w:fill="auto"/>
            <w:noWrap/>
            <w:vAlign w:val="center"/>
            <w:hideMark/>
          </w:tcPr>
          <w:p w14:paraId="5804999E" w14:textId="77777777" w:rsidR="00881780" w:rsidRPr="00A71C8E" w:rsidRDefault="00881780" w:rsidP="006F4D8F">
            <w:pPr>
              <w:spacing w:before="0" w:line="240" w:lineRule="auto"/>
              <w:rPr>
                <w:color w:val="000000"/>
                <w:sz w:val="18"/>
                <w:szCs w:val="18"/>
              </w:rPr>
            </w:pPr>
            <w:r w:rsidRPr="00A71C8E">
              <w:rPr>
                <w:color w:val="000000"/>
                <w:sz w:val="18"/>
                <w:szCs w:val="18"/>
              </w:rPr>
              <w:t>26,7</w:t>
            </w:r>
          </w:p>
        </w:tc>
        <w:tc>
          <w:tcPr>
            <w:tcW w:w="1053" w:type="pct"/>
            <w:shd w:val="clear" w:color="auto" w:fill="auto"/>
            <w:noWrap/>
            <w:vAlign w:val="center"/>
            <w:hideMark/>
          </w:tcPr>
          <w:p w14:paraId="43863783" w14:textId="77777777" w:rsidR="00881780" w:rsidRPr="00A71C8E" w:rsidRDefault="00881780" w:rsidP="006F4D8F">
            <w:pPr>
              <w:spacing w:before="0" w:line="240" w:lineRule="auto"/>
              <w:rPr>
                <w:color w:val="000000"/>
                <w:sz w:val="18"/>
                <w:szCs w:val="18"/>
              </w:rPr>
            </w:pPr>
            <w:r w:rsidRPr="00A71C8E">
              <w:rPr>
                <w:color w:val="000000"/>
                <w:sz w:val="18"/>
                <w:szCs w:val="18"/>
              </w:rPr>
              <w:t>23,3</w:t>
            </w:r>
          </w:p>
        </w:tc>
      </w:tr>
      <w:tr w:rsidR="00881780" w:rsidRPr="00A71C8E" w14:paraId="673F4926" w14:textId="77777777" w:rsidTr="006F4D8F">
        <w:trPr>
          <w:trHeight w:val="340"/>
        </w:trPr>
        <w:tc>
          <w:tcPr>
            <w:tcW w:w="705" w:type="pct"/>
            <w:shd w:val="clear" w:color="auto" w:fill="auto"/>
            <w:noWrap/>
            <w:vAlign w:val="center"/>
            <w:hideMark/>
          </w:tcPr>
          <w:p w14:paraId="6B9B51F8" w14:textId="77777777" w:rsidR="00881780" w:rsidRPr="00A71C8E" w:rsidRDefault="00881780" w:rsidP="006F4D8F">
            <w:pPr>
              <w:spacing w:before="0" w:line="240" w:lineRule="auto"/>
              <w:rPr>
                <w:sz w:val="18"/>
                <w:szCs w:val="18"/>
              </w:rPr>
            </w:pPr>
            <w:r w:rsidRPr="00A71C8E">
              <w:rPr>
                <w:sz w:val="18"/>
                <w:szCs w:val="18"/>
              </w:rPr>
              <w:t>Podlaskie</w:t>
            </w:r>
          </w:p>
        </w:tc>
        <w:tc>
          <w:tcPr>
            <w:tcW w:w="1112" w:type="pct"/>
            <w:shd w:val="clear" w:color="auto" w:fill="auto"/>
            <w:noWrap/>
            <w:vAlign w:val="center"/>
            <w:hideMark/>
          </w:tcPr>
          <w:p w14:paraId="40A47A99" w14:textId="77777777" w:rsidR="00881780" w:rsidRPr="00A71C8E" w:rsidRDefault="00881780" w:rsidP="006F4D8F">
            <w:pPr>
              <w:spacing w:before="0" w:line="240" w:lineRule="auto"/>
              <w:rPr>
                <w:sz w:val="18"/>
                <w:szCs w:val="18"/>
              </w:rPr>
            </w:pPr>
            <w:r w:rsidRPr="00A71C8E">
              <w:rPr>
                <w:sz w:val="18"/>
                <w:szCs w:val="18"/>
              </w:rPr>
              <w:t>36 786</w:t>
            </w:r>
          </w:p>
        </w:tc>
        <w:tc>
          <w:tcPr>
            <w:tcW w:w="539" w:type="pct"/>
            <w:shd w:val="clear" w:color="auto" w:fill="auto"/>
            <w:noWrap/>
            <w:vAlign w:val="center"/>
            <w:hideMark/>
          </w:tcPr>
          <w:p w14:paraId="010021D1" w14:textId="77777777" w:rsidR="00881780" w:rsidRPr="00A71C8E" w:rsidRDefault="00881780" w:rsidP="006F4D8F">
            <w:pPr>
              <w:spacing w:before="0" w:line="240" w:lineRule="auto"/>
              <w:rPr>
                <w:sz w:val="18"/>
                <w:szCs w:val="18"/>
              </w:rPr>
            </w:pPr>
            <w:r w:rsidRPr="00A71C8E">
              <w:rPr>
                <w:sz w:val="18"/>
                <w:szCs w:val="18"/>
              </w:rPr>
              <w:t>12 265</w:t>
            </w:r>
          </w:p>
        </w:tc>
        <w:tc>
          <w:tcPr>
            <w:tcW w:w="1053" w:type="pct"/>
            <w:shd w:val="clear" w:color="auto" w:fill="auto"/>
            <w:noWrap/>
            <w:vAlign w:val="center"/>
            <w:hideMark/>
          </w:tcPr>
          <w:p w14:paraId="7D1E076B" w14:textId="77777777" w:rsidR="00881780" w:rsidRPr="00A71C8E" w:rsidRDefault="00881780" w:rsidP="006F4D8F">
            <w:pPr>
              <w:spacing w:before="0" w:line="240" w:lineRule="auto"/>
              <w:rPr>
                <w:sz w:val="18"/>
                <w:szCs w:val="18"/>
              </w:rPr>
            </w:pPr>
            <w:r w:rsidRPr="00A71C8E">
              <w:rPr>
                <w:sz w:val="18"/>
                <w:szCs w:val="18"/>
              </w:rPr>
              <w:t>8 902</w:t>
            </w:r>
          </w:p>
        </w:tc>
        <w:tc>
          <w:tcPr>
            <w:tcW w:w="539" w:type="pct"/>
            <w:shd w:val="clear" w:color="auto" w:fill="auto"/>
            <w:noWrap/>
            <w:vAlign w:val="center"/>
            <w:hideMark/>
          </w:tcPr>
          <w:p w14:paraId="040F926E" w14:textId="77777777" w:rsidR="00881780" w:rsidRPr="00A71C8E" w:rsidRDefault="00881780" w:rsidP="006F4D8F">
            <w:pPr>
              <w:spacing w:before="0" w:line="240" w:lineRule="auto"/>
              <w:rPr>
                <w:color w:val="000000"/>
                <w:sz w:val="18"/>
                <w:szCs w:val="18"/>
              </w:rPr>
            </w:pPr>
            <w:r w:rsidRPr="00A71C8E">
              <w:rPr>
                <w:color w:val="000000"/>
                <w:sz w:val="18"/>
                <w:szCs w:val="18"/>
              </w:rPr>
              <w:t>33,3</w:t>
            </w:r>
          </w:p>
        </w:tc>
        <w:tc>
          <w:tcPr>
            <w:tcW w:w="1053" w:type="pct"/>
            <w:shd w:val="clear" w:color="auto" w:fill="auto"/>
            <w:noWrap/>
            <w:vAlign w:val="center"/>
            <w:hideMark/>
          </w:tcPr>
          <w:p w14:paraId="64713D08" w14:textId="77777777" w:rsidR="00881780" w:rsidRPr="00A71C8E" w:rsidRDefault="00881780" w:rsidP="006F4D8F">
            <w:pPr>
              <w:spacing w:before="0" w:line="240" w:lineRule="auto"/>
              <w:rPr>
                <w:color w:val="000000"/>
                <w:sz w:val="18"/>
                <w:szCs w:val="18"/>
              </w:rPr>
            </w:pPr>
            <w:r w:rsidRPr="00A71C8E">
              <w:rPr>
                <w:color w:val="000000"/>
                <w:sz w:val="18"/>
                <w:szCs w:val="18"/>
              </w:rPr>
              <w:t>24,2</w:t>
            </w:r>
          </w:p>
        </w:tc>
      </w:tr>
      <w:tr w:rsidR="00881780" w:rsidRPr="00A71C8E" w14:paraId="2F95A868" w14:textId="77777777" w:rsidTr="006F4D8F">
        <w:trPr>
          <w:trHeight w:val="340"/>
        </w:trPr>
        <w:tc>
          <w:tcPr>
            <w:tcW w:w="705" w:type="pct"/>
            <w:shd w:val="clear" w:color="auto" w:fill="auto"/>
            <w:noWrap/>
            <w:vAlign w:val="center"/>
            <w:hideMark/>
          </w:tcPr>
          <w:p w14:paraId="01E63091" w14:textId="77777777" w:rsidR="00881780" w:rsidRPr="00A71C8E" w:rsidRDefault="00881780" w:rsidP="006F4D8F">
            <w:pPr>
              <w:spacing w:before="0" w:line="240" w:lineRule="auto"/>
              <w:rPr>
                <w:sz w:val="18"/>
                <w:szCs w:val="18"/>
              </w:rPr>
            </w:pPr>
            <w:r w:rsidRPr="00A71C8E">
              <w:rPr>
                <w:sz w:val="18"/>
                <w:szCs w:val="18"/>
              </w:rPr>
              <w:t>Pomorskie</w:t>
            </w:r>
          </w:p>
        </w:tc>
        <w:tc>
          <w:tcPr>
            <w:tcW w:w="1112" w:type="pct"/>
            <w:shd w:val="clear" w:color="auto" w:fill="auto"/>
            <w:noWrap/>
            <w:vAlign w:val="center"/>
            <w:hideMark/>
          </w:tcPr>
          <w:p w14:paraId="76E1E484" w14:textId="77777777" w:rsidR="00881780" w:rsidRPr="00A71C8E" w:rsidRDefault="00881780" w:rsidP="006F4D8F">
            <w:pPr>
              <w:spacing w:before="0" w:line="240" w:lineRule="auto"/>
              <w:rPr>
                <w:sz w:val="18"/>
                <w:szCs w:val="18"/>
              </w:rPr>
            </w:pPr>
            <w:r w:rsidRPr="00A71C8E">
              <w:rPr>
                <w:sz w:val="18"/>
                <w:szCs w:val="18"/>
              </w:rPr>
              <w:t>46 082</w:t>
            </w:r>
          </w:p>
        </w:tc>
        <w:tc>
          <w:tcPr>
            <w:tcW w:w="539" w:type="pct"/>
            <w:shd w:val="clear" w:color="auto" w:fill="auto"/>
            <w:noWrap/>
            <w:vAlign w:val="center"/>
            <w:hideMark/>
          </w:tcPr>
          <w:p w14:paraId="5308A4D9" w14:textId="77777777" w:rsidR="00881780" w:rsidRPr="00A71C8E" w:rsidRDefault="00881780" w:rsidP="006F4D8F">
            <w:pPr>
              <w:spacing w:before="0" w:line="240" w:lineRule="auto"/>
              <w:rPr>
                <w:sz w:val="18"/>
                <w:szCs w:val="18"/>
              </w:rPr>
            </w:pPr>
            <w:r w:rsidRPr="00A71C8E">
              <w:rPr>
                <w:sz w:val="18"/>
                <w:szCs w:val="18"/>
              </w:rPr>
              <w:t>14 504</w:t>
            </w:r>
          </w:p>
        </w:tc>
        <w:tc>
          <w:tcPr>
            <w:tcW w:w="1053" w:type="pct"/>
            <w:shd w:val="clear" w:color="auto" w:fill="auto"/>
            <w:noWrap/>
            <w:vAlign w:val="center"/>
            <w:hideMark/>
          </w:tcPr>
          <w:p w14:paraId="0DA90435" w14:textId="77777777" w:rsidR="00881780" w:rsidRPr="00A71C8E" w:rsidRDefault="00881780" w:rsidP="006F4D8F">
            <w:pPr>
              <w:spacing w:before="0" w:line="240" w:lineRule="auto"/>
              <w:rPr>
                <w:sz w:val="18"/>
                <w:szCs w:val="18"/>
              </w:rPr>
            </w:pPr>
            <w:r w:rsidRPr="00A71C8E">
              <w:rPr>
                <w:sz w:val="18"/>
                <w:szCs w:val="18"/>
              </w:rPr>
              <w:t>7 723</w:t>
            </w:r>
          </w:p>
        </w:tc>
        <w:tc>
          <w:tcPr>
            <w:tcW w:w="539" w:type="pct"/>
            <w:shd w:val="clear" w:color="auto" w:fill="auto"/>
            <w:noWrap/>
            <w:vAlign w:val="center"/>
            <w:hideMark/>
          </w:tcPr>
          <w:p w14:paraId="281323E5" w14:textId="77777777" w:rsidR="00881780" w:rsidRPr="00A71C8E" w:rsidRDefault="00881780" w:rsidP="006F4D8F">
            <w:pPr>
              <w:spacing w:before="0" w:line="240" w:lineRule="auto"/>
              <w:rPr>
                <w:color w:val="000000"/>
                <w:sz w:val="18"/>
                <w:szCs w:val="18"/>
              </w:rPr>
            </w:pPr>
            <w:r w:rsidRPr="00A71C8E">
              <w:rPr>
                <w:color w:val="000000"/>
                <w:sz w:val="18"/>
                <w:szCs w:val="18"/>
              </w:rPr>
              <w:t>31,5</w:t>
            </w:r>
          </w:p>
        </w:tc>
        <w:tc>
          <w:tcPr>
            <w:tcW w:w="1053" w:type="pct"/>
            <w:shd w:val="clear" w:color="auto" w:fill="auto"/>
            <w:noWrap/>
            <w:vAlign w:val="center"/>
            <w:hideMark/>
          </w:tcPr>
          <w:p w14:paraId="0154DC57" w14:textId="77777777" w:rsidR="00881780" w:rsidRPr="00A71C8E" w:rsidRDefault="00881780" w:rsidP="006F4D8F">
            <w:pPr>
              <w:spacing w:before="0" w:line="240" w:lineRule="auto"/>
              <w:rPr>
                <w:color w:val="000000"/>
                <w:sz w:val="18"/>
                <w:szCs w:val="18"/>
              </w:rPr>
            </w:pPr>
            <w:r w:rsidRPr="00A71C8E">
              <w:rPr>
                <w:color w:val="000000"/>
                <w:sz w:val="18"/>
                <w:szCs w:val="18"/>
              </w:rPr>
              <w:t>16,8</w:t>
            </w:r>
          </w:p>
        </w:tc>
      </w:tr>
      <w:tr w:rsidR="00881780" w:rsidRPr="00A71C8E" w14:paraId="5F4EB90F" w14:textId="77777777" w:rsidTr="006F4D8F">
        <w:trPr>
          <w:trHeight w:val="340"/>
        </w:trPr>
        <w:tc>
          <w:tcPr>
            <w:tcW w:w="705" w:type="pct"/>
            <w:shd w:val="clear" w:color="auto" w:fill="auto"/>
            <w:noWrap/>
            <w:vAlign w:val="center"/>
            <w:hideMark/>
          </w:tcPr>
          <w:p w14:paraId="1B6A7D78" w14:textId="77777777" w:rsidR="00881780" w:rsidRPr="00A71C8E" w:rsidRDefault="00881780" w:rsidP="006F4D8F">
            <w:pPr>
              <w:spacing w:before="0" w:line="240" w:lineRule="auto"/>
              <w:rPr>
                <w:sz w:val="18"/>
                <w:szCs w:val="18"/>
              </w:rPr>
            </w:pPr>
            <w:r w:rsidRPr="00A71C8E">
              <w:rPr>
                <w:sz w:val="18"/>
                <w:szCs w:val="18"/>
              </w:rPr>
              <w:t>Śląskie</w:t>
            </w:r>
          </w:p>
        </w:tc>
        <w:tc>
          <w:tcPr>
            <w:tcW w:w="1112" w:type="pct"/>
            <w:shd w:val="clear" w:color="auto" w:fill="auto"/>
            <w:noWrap/>
            <w:vAlign w:val="center"/>
            <w:hideMark/>
          </w:tcPr>
          <w:p w14:paraId="5F5C21D9" w14:textId="77777777" w:rsidR="00881780" w:rsidRPr="00A71C8E" w:rsidRDefault="00881780" w:rsidP="006F4D8F">
            <w:pPr>
              <w:spacing w:before="0" w:line="240" w:lineRule="auto"/>
              <w:rPr>
                <w:sz w:val="18"/>
                <w:szCs w:val="18"/>
              </w:rPr>
            </w:pPr>
            <w:r w:rsidRPr="00A71C8E">
              <w:rPr>
                <w:sz w:val="18"/>
                <w:szCs w:val="18"/>
              </w:rPr>
              <w:t>80 079</w:t>
            </w:r>
          </w:p>
        </w:tc>
        <w:tc>
          <w:tcPr>
            <w:tcW w:w="539" w:type="pct"/>
            <w:shd w:val="clear" w:color="auto" w:fill="auto"/>
            <w:noWrap/>
            <w:vAlign w:val="center"/>
            <w:hideMark/>
          </w:tcPr>
          <w:p w14:paraId="6C8B5B55" w14:textId="77777777" w:rsidR="00881780" w:rsidRPr="00A71C8E" w:rsidRDefault="00881780" w:rsidP="006F4D8F">
            <w:pPr>
              <w:spacing w:before="0" w:line="240" w:lineRule="auto"/>
              <w:rPr>
                <w:sz w:val="18"/>
                <w:szCs w:val="18"/>
              </w:rPr>
            </w:pPr>
            <w:r w:rsidRPr="00A71C8E">
              <w:rPr>
                <w:sz w:val="18"/>
                <w:szCs w:val="18"/>
              </w:rPr>
              <w:t>23 037</w:t>
            </w:r>
          </w:p>
        </w:tc>
        <w:tc>
          <w:tcPr>
            <w:tcW w:w="1053" w:type="pct"/>
            <w:shd w:val="clear" w:color="auto" w:fill="auto"/>
            <w:noWrap/>
            <w:vAlign w:val="center"/>
            <w:hideMark/>
          </w:tcPr>
          <w:p w14:paraId="393BB7C7" w14:textId="77777777" w:rsidR="00881780" w:rsidRPr="00A71C8E" w:rsidRDefault="00881780" w:rsidP="006F4D8F">
            <w:pPr>
              <w:spacing w:before="0" w:line="240" w:lineRule="auto"/>
              <w:rPr>
                <w:sz w:val="18"/>
                <w:szCs w:val="18"/>
              </w:rPr>
            </w:pPr>
            <w:r w:rsidRPr="00A71C8E">
              <w:rPr>
                <w:sz w:val="18"/>
                <w:szCs w:val="18"/>
              </w:rPr>
              <w:t>14 873</w:t>
            </w:r>
          </w:p>
        </w:tc>
        <w:tc>
          <w:tcPr>
            <w:tcW w:w="539" w:type="pct"/>
            <w:shd w:val="clear" w:color="auto" w:fill="auto"/>
            <w:noWrap/>
            <w:vAlign w:val="center"/>
            <w:hideMark/>
          </w:tcPr>
          <w:p w14:paraId="43061659" w14:textId="77777777" w:rsidR="00881780" w:rsidRPr="00A71C8E" w:rsidRDefault="00881780" w:rsidP="006F4D8F">
            <w:pPr>
              <w:spacing w:before="0" w:line="240" w:lineRule="auto"/>
              <w:rPr>
                <w:color w:val="000000"/>
                <w:sz w:val="18"/>
                <w:szCs w:val="18"/>
              </w:rPr>
            </w:pPr>
            <w:r w:rsidRPr="00A71C8E">
              <w:rPr>
                <w:color w:val="000000"/>
                <w:sz w:val="18"/>
                <w:szCs w:val="18"/>
              </w:rPr>
              <w:t>28,8</w:t>
            </w:r>
          </w:p>
        </w:tc>
        <w:tc>
          <w:tcPr>
            <w:tcW w:w="1053" w:type="pct"/>
            <w:shd w:val="clear" w:color="auto" w:fill="auto"/>
            <w:noWrap/>
            <w:vAlign w:val="center"/>
            <w:hideMark/>
          </w:tcPr>
          <w:p w14:paraId="5B9431FE" w14:textId="77777777" w:rsidR="00881780" w:rsidRPr="00A71C8E" w:rsidRDefault="00881780" w:rsidP="006F4D8F">
            <w:pPr>
              <w:spacing w:before="0" w:line="240" w:lineRule="auto"/>
              <w:rPr>
                <w:color w:val="000000"/>
                <w:sz w:val="18"/>
                <w:szCs w:val="18"/>
              </w:rPr>
            </w:pPr>
            <w:r w:rsidRPr="00A71C8E">
              <w:rPr>
                <w:color w:val="000000"/>
                <w:sz w:val="18"/>
                <w:szCs w:val="18"/>
              </w:rPr>
              <w:t>18,6</w:t>
            </w:r>
          </w:p>
        </w:tc>
      </w:tr>
      <w:tr w:rsidR="00881780" w:rsidRPr="00A71C8E" w14:paraId="48FEB5C9" w14:textId="77777777" w:rsidTr="006F4D8F">
        <w:trPr>
          <w:trHeight w:val="340"/>
        </w:trPr>
        <w:tc>
          <w:tcPr>
            <w:tcW w:w="705" w:type="pct"/>
            <w:shd w:val="clear" w:color="auto" w:fill="auto"/>
            <w:noWrap/>
            <w:vAlign w:val="center"/>
            <w:hideMark/>
          </w:tcPr>
          <w:p w14:paraId="6A1E61D8" w14:textId="77777777" w:rsidR="00881780" w:rsidRPr="00A71C8E" w:rsidRDefault="00881780" w:rsidP="006F4D8F">
            <w:pPr>
              <w:spacing w:before="0" w:line="240" w:lineRule="auto"/>
              <w:rPr>
                <w:sz w:val="18"/>
                <w:szCs w:val="18"/>
              </w:rPr>
            </w:pPr>
            <w:r w:rsidRPr="00A71C8E">
              <w:rPr>
                <w:sz w:val="18"/>
                <w:szCs w:val="18"/>
              </w:rPr>
              <w:t>Świętokrzyskie</w:t>
            </w:r>
          </w:p>
        </w:tc>
        <w:tc>
          <w:tcPr>
            <w:tcW w:w="1112" w:type="pct"/>
            <w:shd w:val="clear" w:color="auto" w:fill="auto"/>
            <w:noWrap/>
            <w:vAlign w:val="center"/>
            <w:hideMark/>
          </w:tcPr>
          <w:p w14:paraId="2A9C7CCD" w14:textId="77777777" w:rsidR="00881780" w:rsidRPr="00A71C8E" w:rsidRDefault="00881780" w:rsidP="006F4D8F">
            <w:pPr>
              <w:spacing w:before="0" w:line="240" w:lineRule="auto"/>
              <w:rPr>
                <w:sz w:val="18"/>
                <w:szCs w:val="18"/>
              </w:rPr>
            </w:pPr>
            <w:r w:rsidRPr="00A71C8E">
              <w:rPr>
                <w:sz w:val="18"/>
                <w:szCs w:val="18"/>
              </w:rPr>
              <w:t>44 118</w:t>
            </w:r>
          </w:p>
        </w:tc>
        <w:tc>
          <w:tcPr>
            <w:tcW w:w="539" w:type="pct"/>
            <w:shd w:val="clear" w:color="auto" w:fill="auto"/>
            <w:noWrap/>
            <w:vAlign w:val="center"/>
            <w:hideMark/>
          </w:tcPr>
          <w:p w14:paraId="506C9C70" w14:textId="77777777" w:rsidR="00881780" w:rsidRPr="00A71C8E" w:rsidRDefault="00881780" w:rsidP="006F4D8F">
            <w:pPr>
              <w:spacing w:before="0" w:line="240" w:lineRule="auto"/>
              <w:rPr>
                <w:sz w:val="18"/>
                <w:szCs w:val="18"/>
              </w:rPr>
            </w:pPr>
            <w:r w:rsidRPr="00A71C8E">
              <w:rPr>
                <w:sz w:val="18"/>
                <w:szCs w:val="18"/>
              </w:rPr>
              <w:t>11 284</w:t>
            </w:r>
          </w:p>
        </w:tc>
        <w:tc>
          <w:tcPr>
            <w:tcW w:w="1053" w:type="pct"/>
            <w:shd w:val="clear" w:color="auto" w:fill="auto"/>
            <w:noWrap/>
            <w:vAlign w:val="center"/>
            <w:hideMark/>
          </w:tcPr>
          <w:p w14:paraId="71BA57F7" w14:textId="77777777" w:rsidR="00881780" w:rsidRPr="00A71C8E" w:rsidRDefault="00881780" w:rsidP="006F4D8F">
            <w:pPr>
              <w:spacing w:before="0" w:line="240" w:lineRule="auto"/>
              <w:rPr>
                <w:sz w:val="18"/>
                <w:szCs w:val="18"/>
              </w:rPr>
            </w:pPr>
            <w:r w:rsidRPr="00A71C8E">
              <w:rPr>
                <w:sz w:val="18"/>
                <w:szCs w:val="18"/>
              </w:rPr>
              <w:t>10 255</w:t>
            </w:r>
          </w:p>
        </w:tc>
        <w:tc>
          <w:tcPr>
            <w:tcW w:w="539" w:type="pct"/>
            <w:shd w:val="clear" w:color="auto" w:fill="auto"/>
            <w:noWrap/>
            <w:vAlign w:val="center"/>
            <w:hideMark/>
          </w:tcPr>
          <w:p w14:paraId="14CD926C" w14:textId="77777777" w:rsidR="00881780" w:rsidRPr="00A71C8E" w:rsidRDefault="00881780" w:rsidP="006F4D8F">
            <w:pPr>
              <w:spacing w:before="0" w:line="240" w:lineRule="auto"/>
              <w:rPr>
                <w:color w:val="000000"/>
                <w:sz w:val="18"/>
                <w:szCs w:val="18"/>
              </w:rPr>
            </w:pPr>
            <w:r w:rsidRPr="00A71C8E">
              <w:rPr>
                <w:color w:val="000000"/>
                <w:sz w:val="18"/>
                <w:szCs w:val="18"/>
              </w:rPr>
              <w:t>25,6</w:t>
            </w:r>
          </w:p>
        </w:tc>
        <w:tc>
          <w:tcPr>
            <w:tcW w:w="1053" w:type="pct"/>
            <w:shd w:val="clear" w:color="auto" w:fill="auto"/>
            <w:noWrap/>
            <w:vAlign w:val="center"/>
            <w:hideMark/>
          </w:tcPr>
          <w:p w14:paraId="2D76FE18" w14:textId="77777777" w:rsidR="00881780" w:rsidRPr="00A71C8E" w:rsidRDefault="00881780" w:rsidP="006F4D8F">
            <w:pPr>
              <w:spacing w:before="0" w:line="240" w:lineRule="auto"/>
              <w:rPr>
                <w:color w:val="000000"/>
                <w:sz w:val="18"/>
                <w:szCs w:val="18"/>
              </w:rPr>
            </w:pPr>
            <w:r w:rsidRPr="00A71C8E">
              <w:rPr>
                <w:color w:val="000000"/>
                <w:sz w:val="18"/>
                <w:szCs w:val="18"/>
              </w:rPr>
              <w:t>23,2</w:t>
            </w:r>
          </w:p>
        </w:tc>
      </w:tr>
      <w:tr w:rsidR="00881780" w:rsidRPr="00A71C8E" w14:paraId="47057F72" w14:textId="77777777" w:rsidTr="006F4D8F">
        <w:trPr>
          <w:trHeight w:val="340"/>
        </w:trPr>
        <w:tc>
          <w:tcPr>
            <w:tcW w:w="705" w:type="pct"/>
            <w:shd w:val="clear" w:color="auto" w:fill="auto"/>
            <w:noWrap/>
            <w:vAlign w:val="center"/>
            <w:hideMark/>
          </w:tcPr>
          <w:p w14:paraId="6E90BC67" w14:textId="77777777" w:rsidR="00881780" w:rsidRPr="00A71C8E" w:rsidRDefault="00881780" w:rsidP="006F4D8F">
            <w:pPr>
              <w:spacing w:before="0" w:line="240" w:lineRule="auto"/>
              <w:rPr>
                <w:sz w:val="18"/>
                <w:szCs w:val="18"/>
              </w:rPr>
            </w:pPr>
            <w:r w:rsidRPr="00A71C8E">
              <w:rPr>
                <w:sz w:val="18"/>
                <w:szCs w:val="18"/>
              </w:rPr>
              <w:t>Warmińsko-Mazurskie</w:t>
            </w:r>
          </w:p>
        </w:tc>
        <w:tc>
          <w:tcPr>
            <w:tcW w:w="1112" w:type="pct"/>
            <w:shd w:val="clear" w:color="auto" w:fill="auto"/>
            <w:noWrap/>
            <w:vAlign w:val="center"/>
            <w:hideMark/>
          </w:tcPr>
          <w:p w14:paraId="4198BA32" w14:textId="77777777" w:rsidR="00881780" w:rsidRPr="00A71C8E" w:rsidRDefault="00881780" w:rsidP="006F4D8F">
            <w:pPr>
              <w:spacing w:before="0" w:line="240" w:lineRule="auto"/>
              <w:rPr>
                <w:sz w:val="18"/>
                <w:szCs w:val="18"/>
              </w:rPr>
            </w:pPr>
            <w:r w:rsidRPr="00A71C8E">
              <w:rPr>
                <w:sz w:val="18"/>
                <w:szCs w:val="18"/>
              </w:rPr>
              <w:t>53 141</w:t>
            </w:r>
          </w:p>
        </w:tc>
        <w:tc>
          <w:tcPr>
            <w:tcW w:w="539" w:type="pct"/>
            <w:shd w:val="clear" w:color="auto" w:fill="auto"/>
            <w:noWrap/>
            <w:vAlign w:val="center"/>
            <w:hideMark/>
          </w:tcPr>
          <w:p w14:paraId="1B2BF6E5" w14:textId="77777777" w:rsidR="00881780" w:rsidRPr="00A71C8E" w:rsidRDefault="00881780" w:rsidP="006F4D8F">
            <w:pPr>
              <w:spacing w:before="0" w:line="240" w:lineRule="auto"/>
              <w:rPr>
                <w:sz w:val="18"/>
                <w:szCs w:val="18"/>
              </w:rPr>
            </w:pPr>
            <w:r w:rsidRPr="00A71C8E">
              <w:rPr>
                <w:sz w:val="18"/>
                <w:szCs w:val="18"/>
              </w:rPr>
              <w:t>17 779</w:t>
            </w:r>
          </w:p>
        </w:tc>
        <w:tc>
          <w:tcPr>
            <w:tcW w:w="1053" w:type="pct"/>
            <w:shd w:val="clear" w:color="auto" w:fill="auto"/>
            <w:noWrap/>
            <w:vAlign w:val="center"/>
            <w:hideMark/>
          </w:tcPr>
          <w:p w14:paraId="00AB63CC" w14:textId="77777777" w:rsidR="00881780" w:rsidRPr="00A71C8E" w:rsidRDefault="00881780" w:rsidP="006F4D8F">
            <w:pPr>
              <w:spacing w:before="0" w:line="240" w:lineRule="auto"/>
              <w:rPr>
                <w:sz w:val="18"/>
                <w:szCs w:val="18"/>
              </w:rPr>
            </w:pPr>
            <w:r w:rsidRPr="00A71C8E">
              <w:rPr>
                <w:sz w:val="18"/>
                <w:szCs w:val="18"/>
              </w:rPr>
              <w:t>10 300</w:t>
            </w:r>
          </w:p>
        </w:tc>
        <w:tc>
          <w:tcPr>
            <w:tcW w:w="539" w:type="pct"/>
            <w:shd w:val="clear" w:color="auto" w:fill="auto"/>
            <w:noWrap/>
            <w:vAlign w:val="center"/>
            <w:hideMark/>
          </w:tcPr>
          <w:p w14:paraId="4A2029DA" w14:textId="77777777" w:rsidR="00881780" w:rsidRPr="00A71C8E" w:rsidRDefault="00881780" w:rsidP="006F4D8F">
            <w:pPr>
              <w:spacing w:before="0" w:line="240" w:lineRule="auto"/>
              <w:rPr>
                <w:color w:val="000000"/>
                <w:sz w:val="18"/>
                <w:szCs w:val="18"/>
              </w:rPr>
            </w:pPr>
            <w:r w:rsidRPr="00A71C8E">
              <w:rPr>
                <w:color w:val="000000"/>
                <w:sz w:val="18"/>
                <w:szCs w:val="18"/>
              </w:rPr>
              <w:t>33,5</w:t>
            </w:r>
          </w:p>
        </w:tc>
        <w:tc>
          <w:tcPr>
            <w:tcW w:w="1053" w:type="pct"/>
            <w:shd w:val="clear" w:color="auto" w:fill="auto"/>
            <w:noWrap/>
            <w:vAlign w:val="center"/>
            <w:hideMark/>
          </w:tcPr>
          <w:p w14:paraId="4EF2787F" w14:textId="77777777" w:rsidR="00881780" w:rsidRPr="00A71C8E" w:rsidRDefault="00881780" w:rsidP="006F4D8F">
            <w:pPr>
              <w:spacing w:before="0" w:line="240" w:lineRule="auto"/>
              <w:rPr>
                <w:color w:val="000000"/>
                <w:sz w:val="18"/>
                <w:szCs w:val="18"/>
              </w:rPr>
            </w:pPr>
            <w:r w:rsidRPr="00A71C8E">
              <w:rPr>
                <w:color w:val="000000"/>
                <w:sz w:val="18"/>
                <w:szCs w:val="18"/>
              </w:rPr>
              <w:t>19,4</w:t>
            </w:r>
          </w:p>
        </w:tc>
      </w:tr>
      <w:tr w:rsidR="00881780" w:rsidRPr="00A71C8E" w14:paraId="4FCBF481" w14:textId="77777777" w:rsidTr="006F4D8F">
        <w:trPr>
          <w:trHeight w:val="340"/>
        </w:trPr>
        <w:tc>
          <w:tcPr>
            <w:tcW w:w="705" w:type="pct"/>
            <w:shd w:val="clear" w:color="auto" w:fill="auto"/>
            <w:noWrap/>
            <w:vAlign w:val="center"/>
            <w:hideMark/>
          </w:tcPr>
          <w:p w14:paraId="38F7140D" w14:textId="77777777" w:rsidR="00881780" w:rsidRPr="00A71C8E" w:rsidRDefault="00881780" w:rsidP="006F4D8F">
            <w:pPr>
              <w:spacing w:before="0" w:line="240" w:lineRule="auto"/>
              <w:rPr>
                <w:sz w:val="18"/>
                <w:szCs w:val="18"/>
              </w:rPr>
            </w:pPr>
            <w:r w:rsidRPr="00A71C8E">
              <w:rPr>
                <w:sz w:val="18"/>
                <w:szCs w:val="18"/>
              </w:rPr>
              <w:t>Wielkopolskie</w:t>
            </w:r>
          </w:p>
        </w:tc>
        <w:tc>
          <w:tcPr>
            <w:tcW w:w="1112" w:type="pct"/>
            <w:shd w:val="clear" w:color="auto" w:fill="auto"/>
            <w:noWrap/>
            <w:vAlign w:val="center"/>
            <w:hideMark/>
          </w:tcPr>
          <w:p w14:paraId="79C9162E" w14:textId="77777777" w:rsidR="00881780" w:rsidRPr="00A71C8E" w:rsidRDefault="00881780" w:rsidP="006F4D8F">
            <w:pPr>
              <w:spacing w:before="0" w:line="240" w:lineRule="auto"/>
              <w:rPr>
                <w:sz w:val="18"/>
                <w:szCs w:val="18"/>
              </w:rPr>
            </w:pPr>
            <w:r w:rsidRPr="00A71C8E">
              <w:rPr>
                <w:sz w:val="18"/>
                <w:szCs w:val="18"/>
              </w:rPr>
              <w:t>50 867</w:t>
            </w:r>
          </w:p>
        </w:tc>
        <w:tc>
          <w:tcPr>
            <w:tcW w:w="539" w:type="pct"/>
            <w:shd w:val="clear" w:color="auto" w:fill="auto"/>
            <w:noWrap/>
            <w:vAlign w:val="center"/>
            <w:hideMark/>
          </w:tcPr>
          <w:p w14:paraId="3264CC49" w14:textId="77777777" w:rsidR="00881780" w:rsidRPr="00A71C8E" w:rsidRDefault="00881780" w:rsidP="006F4D8F">
            <w:pPr>
              <w:spacing w:before="0" w:line="240" w:lineRule="auto"/>
              <w:rPr>
                <w:sz w:val="18"/>
                <w:szCs w:val="18"/>
              </w:rPr>
            </w:pPr>
            <w:r w:rsidRPr="00A71C8E">
              <w:rPr>
                <w:sz w:val="18"/>
                <w:szCs w:val="18"/>
              </w:rPr>
              <w:t>13 541</w:t>
            </w:r>
          </w:p>
        </w:tc>
        <w:tc>
          <w:tcPr>
            <w:tcW w:w="1053" w:type="pct"/>
            <w:shd w:val="clear" w:color="auto" w:fill="auto"/>
            <w:noWrap/>
            <w:vAlign w:val="center"/>
            <w:hideMark/>
          </w:tcPr>
          <w:p w14:paraId="5FFDE3CF" w14:textId="77777777" w:rsidR="00881780" w:rsidRPr="00A71C8E" w:rsidRDefault="00881780" w:rsidP="006F4D8F">
            <w:pPr>
              <w:spacing w:before="0" w:line="240" w:lineRule="auto"/>
              <w:rPr>
                <w:sz w:val="18"/>
                <w:szCs w:val="18"/>
              </w:rPr>
            </w:pPr>
            <w:r w:rsidRPr="00A71C8E">
              <w:rPr>
                <w:sz w:val="18"/>
                <w:szCs w:val="18"/>
              </w:rPr>
              <w:t>7 956</w:t>
            </w:r>
          </w:p>
        </w:tc>
        <w:tc>
          <w:tcPr>
            <w:tcW w:w="539" w:type="pct"/>
            <w:shd w:val="clear" w:color="auto" w:fill="auto"/>
            <w:noWrap/>
            <w:vAlign w:val="center"/>
            <w:hideMark/>
          </w:tcPr>
          <w:p w14:paraId="2A196D7E" w14:textId="77777777" w:rsidR="00881780" w:rsidRPr="00A71C8E" w:rsidRDefault="00881780" w:rsidP="006F4D8F">
            <w:pPr>
              <w:spacing w:before="0" w:line="240" w:lineRule="auto"/>
              <w:rPr>
                <w:color w:val="000000"/>
                <w:sz w:val="18"/>
                <w:szCs w:val="18"/>
              </w:rPr>
            </w:pPr>
            <w:r w:rsidRPr="00A71C8E">
              <w:rPr>
                <w:color w:val="000000"/>
                <w:sz w:val="18"/>
                <w:szCs w:val="18"/>
              </w:rPr>
              <w:t>26,6</w:t>
            </w:r>
          </w:p>
        </w:tc>
        <w:tc>
          <w:tcPr>
            <w:tcW w:w="1053" w:type="pct"/>
            <w:shd w:val="clear" w:color="auto" w:fill="auto"/>
            <w:noWrap/>
            <w:vAlign w:val="center"/>
            <w:hideMark/>
          </w:tcPr>
          <w:p w14:paraId="2C8A46D4" w14:textId="77777777" w:rsidR="00881780" w:rsidRPr="00A71C8E" w:rsidRDefault="00881780" w:rsidP="006F4D8F">
            <w:pPr>
              <w:spacing w:before="0" w:line="240" w:lineRule="auto"/>
              <w:rPr>
                <w:color w:val="000000"/>
                <w:sz w:val="18"/>
                <w:szCs w:val="18"/>
              </w:rPr>
            </w:pPr>
            <w:r w:rsidRPr="00A71C8E">
              <w:rPr>
                <w:color w:val="000000"/>
                <w:sz w:val="18"/>
                <w:szCs w:val="18"/>
              </w:rPr>
              <w:t>15,6</w:t>
            </w:r>
          </w:p>
        </w:tc>
      </w:tr>
      <w:tr w:rsidR="00881780" w:rsidRPr="00A71C8E" w14:paraId="6999FB86" w14:textId="77777777" w:rsidTr="00C22C26">
        <w:trPr>
          <w:trHeight w:val="340"/>
        </w:trPr>
        <w:tc>
          <w:tcPr>
            <w:tcW w:w="705" w:type="pct"/>
            <w:shd w:val="clear" w:color="auto" w:fill="auto"/>
            <w:noWrap/>
            <w:vAlign w:val="center"/>
            <w:hideMark/>
          </w:tcPr>
          <w:p w14:paraId="5E6FC943" w14:textId="77777777" w:rsidR="00881780" w:rsidRPr="00A71C8E" w:rsidRDefault="00881780" w:rsidP="006F4D8F">
            <w:pPr>
              <w:spacing w:before="0" w:line="240" w:lineRule="auto"/>
              <w:rPr>
                <w:sz w:val="18"/>
                <w:szCs w:val="18"/>
              </w:rPr>
            </w:pPr>
            <w:r w:rsidRPr="00A71C8E">
              <w:rPr>
                <w:sz w:val="18"/>
                <w:szCs w:val="18"/>
              </w:rPr>
              <w:t>Zachodniopomorskie</w:t>
            </w:r>
          </w:p>
        </w:tc>
        <w:tc>
          <w:tcPr>
            <w:tcW w:w="1112" w:type="pct"/>
            <w:shd w:val="clear" w:color="auto" w:fill="auto"/>
            <w:noWrap/>
            <w:vAlign w:val="center"/>
            <w:hideMark/>
          </w:tcPr>
          <w:p w14:paraId="0188E55D" w14:textId="77777777" w:rsidR="00881780" w:rsidRPr="00A71C8E" w:rsidRDefault="00881780" w:rsidP="006F4D8F">
            <w:pPr>
              <w:spacing w:before="0" w:line="240" w:lineRule="auto"/>
              <w:rPr>
                <w:sz w:val="18"/>
                <w:szCs w:val="18"/>
              </w:rPr>
            </w:pPr>
            <w:r w:rsidRPr="00A71C8E">
              <w:rPr>
                <w:sz w:val="18"/>
                <w:szCs w:val="18"/>
              </w:rPr>
              <w:t>46 002</w:t>
            </w:r>
          </w:p>
        </w:tc>
        <w:tc>
          <w:tcPr>
            <w:tcW w:w="539" w:type="pct"/>
            <w:shd w:val="clear" w:color="auto" w:fill="auto"/>
            <w:noWrap/>
            <w:vAlign w:val="center"/>
            <w:hideMark/>
          </w:tcPr>
          <w:p w14:paraId="7BD3C1FA" w14:textId="77777777" w:rsidR="00881780" w:rsidRPr="00A71C8E" w:rsidRDefault="00881780" w:rsidP="006F4D8F">
            <w:pPr>
              <w:spacing w:before="0" w:line="240" w:lineRule="auto"/>
              <w:rPr>
                <w:sz w:val="18"/>
                <w:szCs w:val="18"/>
              </w:rPr>
            </w:pPr>
            <w:r w:rsidRPr="00A71C8E">
              <w:rPr>
                <w:sz w:val="18"/>
                <w:szCs w:val="18"/>
              </w:rPr>
              <w:t>15 374</w:t>
            </w:r>
          </w:p>
        </w:tc>
        <w:tc>
          <w:tcPr>
            <w:tcW w:w="1053" w:type="pct"/>
            <w:shd w:val="clear" w:color="auto" w:fill="auto"/>
            <w:noWrap/>
            <w:vAlign w:val="center"/>
            <w:hideMark/>
          </w:tcPr>
          <w:p w14:paraId="05C57F92" w14:textId="77777777" w:rsidR="00881780" w:rsidRPr="00A71C8E" w:rsidRDefault="00881780" w:rsidP="006F4D8F">
            <w:pPr>
              <w:spacing w:before="0" w:line="240" w:lineRule="auto"/>
              <w:rPr>
                <w:sz w:val="18"/>
                <w:szCs w:val="18"/>
              </w:rPr>
            </w:pPr>
            <w:r w:rsidRPr="00A71C8E">
              <w:rPr>
                <w:sz w:val="18"/>
                <w:szCs w:val="18"/>
              </w:rPr>
              <w:t>8 894</w:t>
            </w:r>
          </w:p>
        </w:tc>
        <w:tc>
          <w:tcPr>
            <w:tcW w:w="539" w:type="pct"/>
            <w:shd w:val="clear" w:color="auto" w:fill="auto"/>
            <w:noWrap/>
            <w:vAlign w:val="center"/>
            <w:hideMark/>
          </w:tcPr>
          <w:p w14:paraId="04BBCAB3" w14:textId="77777777" w:rsidR="00881780" w:rsidRPr="00A71C8E" w:rsidRDefault="00881780" w:rsidP="006F4D8F">
            <w:pPr>
              <w:spacing w:before="0" w:line="240" w:lineRule="auto"/>
              <w:rPr>
                <w:color w:val="000000"/>
                <w:sz w:val="18"/>
                <w:szCs w:val="18"/>
              </w:rPr>
            </w:pPr>
            <w:r w:rsidRPr="00A71C8E">
              <w:rPr>
                <w:color w:val="000000"/>
                <w:sz w:val="18"/>
                <w:szCs w:val="18"/>
              </w:rPr>
              <w:t>33,4</w:t>
            </w:r>
          </w:p>
        </w:tc>
        <w:tc>
          <w:tcPr>
            <w:tcW w:w="1053" w:type="pct"/>
            <w:shd w:val="clear" w:color="auto" w:fill="auto"/>
            <w:noWrap/>
            <w:vAlign w:val="center"/>
            <w:hideMark/>
          </w:tcPr>
          <w:p w14:paraId="335BF385" w14:textId="77777777" w:rsidR="00881780" w:rsidRPr="00A71C8E" w:rsidRDefault="00881780" w:rsidP="006F4D8F">
            <w:pPr>
              <w:spacing w:before="0" w:line="240" w:lineRule="auto"/>
              <w:rPr>
                <w:color w:val="000000"/>
                <w:sz w:val="18"/>
                <w:szCs w:val="18"/>
              </w:rPr>
            </w:pPr>
            <w:r w:rsidRPr="00A71C8E">
              <w:rPr>
                <w:color w:val="000000"/>
                <w:sz w:val="18"/>
                <w:szCs w:val="18"/>
              </w:rPr>
              <w:t>19,3</w:t>
            </w:r>
          </w:p>
        </w:tc>
      </w:tr>
    </w:tbl>
    <w:p w14:paraId="53532516" w14:textId="79B56A07"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r w:rsidR="00AA6879">
        <w:rPr>
          <w:i/>
          <w:sz w:val="18"/>
          <w:szCs w:val="20"/>
        </w:rPr>
        <w:t>.</w:t>
      </w:r>
    </w:p>
    <w:p w14:paraId="37C29BED" w14:textId="77777777" w:rsidR="00881780" w:rsidRPr="00C278F9" w:rsidRDefault="00881780" w:rsidP="00881780">
      <w:pPr>
        <w:autoSpaceDE w:val="0"/>
        <w:autoSpaceDN w:val="0"/>
        <w:adjustRightInd w:val="0"/>
        <w:spacing w:line="276" w:lineRule="auto"/>
        <w:rPr>
          <w:rFonts w:cs="Arial"/>
          <w:bCs/>
          <w:szCs w:val="20"/>
        </w:rPr>
      </w:pPr>
      <w:bookmarkStart w:id="194" w:name="_Hlk3396980"/>
      <w:r w:rsidRPr="00C278F9">
        <w:rPr>
          <w:rFonts w:cs="Arial"/>
          <w:bCs/>
          <w:szCs w:val="20"/>
        </w:rPr>
        <w:t>Brak kwalifikacji lub niskie / zdezaktualizowane kwalifikacje obniżają adaptacyjność do zmian pracowników przedsiębiorstw, co jest szczególnie istotne</w:t>
      </w:r>
      <w:r w:rsidR="00E66B89">
        <w:rPr>
          <w:rFonts w:cs="Arial"/>
          <w:bCs/>
          <w:szCs w:val="20"/>
        </w:rPr>
        <w:t xml:space="preserve"> w </w:t>
      </w:r>
      <w:r w:rsidRPr="00C278F9">
        <w:rPr>
          <w:rFonts w:cs="Arial"/>
          <w:bCs/>
          <w:szCs w:val="20"/>
        </w:rPr>
        <w:t>sytuacji restrukturyzacji zakładu pracy. Na etapie przygotowania Programu (w 2012 roku)</w:t>
      </w:r>
      <w:r w:rsidR="00E66B89">
        <w:rPr>
          <w:rFonts w:cs="Arial"/>
          <w:bCs/>
          <w:szCs w:val="20"/>
        </w:rPr>
        <w:t xml:space="preserve"> w </w:t>
      </w:r>
      <w:r w:rsidRPr="00C278F9">
        <w:rPr>
          <w:rFonts w:cs="Arial"/>
          <w:bCs/>
          <w:szCs w:val="20"/>
        </w:rPr>
        <w:t>wyniku zwolnień</w:t>
      </w:r>
      <w:r w:rsidR="00E66B89">
        <w:rPr>
          <w:rFonts w:cs="Arial"/>
          <w:bCs/>
          <w:szCs w:val="20"/>
        </w:rPr>
        <w:t xml:space="preserve"> z </w:t>
      </w:r>
      <w:r w:rsidRPr="00C278F9">
        <w:rPr>
          <w:rFonts w:cs="Arial"/>
          <w:bCs/>
          <w:szCs w:val="20"/>
        </w:rPr>
        <w:t>przyczyn dotyczących zakładu pracy</w:t>
      </w:r>
      <w:r w:rsidR="00E66B89">
        <w:rPr>
          <w:rFonts w:cs="Arial"/>
          <w:bCs/>
          <w:szCs w:val="20"/>
        </w:rPr>
        <w:t xml:space="preserve"> w </w:t>
      </w:r>
      <w:r w:rsidRPr="00C278F9">
        <w:rPr>
          <w:rFonts w:cs="Arial"/>
          <w:bCs/>
          <w:szCs w:val="20"/>
        </w:rPr>
        <w:t xml:space="preserve">powiatowych urzędach pracy zarejestrowanych było </w:t>
      </w:r>
      <w:r>
        <w:rPr>
          <w:rFonts w:cs="Arial"/>
          <w:bCs/>
          <w:szCs w:val="20"/>
        </w:rPr>
        <w:t>3 310,00</w:t>
      </w:r>
      <w:r w:rsidRPr="00C278F9">
        <w:rPr>
          <w:rFonts w:cs="Arial"/>
          <w:bCs/>
          <w:szCs w:val="20"/>
        </w:rPr>
        <w:t xml:space="preserve"> osób,</w:t>
      </w:r>
      <w:r w:rsidR="00E66B89">
        <w:rPr>
          <w:rFonts w:cs="Arial"/>
          <w:bCs/>
          <w:szCs w:val="20"/>
        </w:rPr>
        <w:t xml:space="preserve"> w </w:t>
      </w:r>
      <w:r w:rsidRPr="00C278F9">
        <w:rPr>
          <w:rFonts w:cs="Arial"/>
          <w:bCs/>
          <w:szCs w:val="20"/>
        </w:rPr>
        <w:t>roku 2018</w:t>
      </w:r>
      <w:r w:rsidR="00E66B89">
        <w:rPr>
          <w:rFonts w:cs="Arial"/>
          <w:bCs/>
          <w:szCs w:val="20"/>
        </w:rPr>
        <w:t xml:space="preserve"> o </w:t>
      </w:r>
      <w:r>
        <w:rPr>
          <w:rFonts w:cs="Arial"/>
          <w:bCs/>
          <w:szCs w:val="20"/>
        </w:rPr>
        <w:t>60% mniej /</w:t>
      </w:r>
      <w:r w:rsidR="00E66B89">
        <w:rPr>
          <w:rFonts w:cs="Arial"/>
          <w:bCs/>
          <w:szCs w:val="20"/>
        </w:rPr>
        <w:t xml:space="preserve"> o </w:t>
      </w:r>
      <w:r>
        <w:rPr>
          <w:rFonts w:cs="Arial"/>
          <w:bCs/>
          <w:szCs w:val="20"/>
        </w:rPr>
        <w:t>1 959,00 osób.</w:t>
      </w:r>
      <w:r w:rsidR="00E66B89">
        <w:rPr>
          <w:rFonts w:cs="Arial"/>
          <w:bCs/>
          <w:szCs w:val="20"/>
        </w:rPr>
        <w:t xml:space="preserve"> W </w:t>
      </w:r>
      <w:r>
        <w:rPr>
          <w:rFonts w:cs="Arial"/>
          <w:bCs/>
          <w:szCs w:val="20"/>
        </w:rPr>
        <w:t>okresie wdrożenia Programu populacja pracowników zwalnianych</w:t>
      </w:r>
      <w:r w:rsidR="00E66B89">
        <w:rPr>
          <w:rFonts w:cs="Arial"/>
          <w:bCs/>
          <w:szCs w:val="20"/>
        </w:rPr>
        <w:t xml:space="preserve"> z </w:t>
      </w:r>
      <w:r>
        <w:rPr>
          <w:rFonts w:cs="Arial"/>
          <w:bCs/>
          <w:szCs w:val="20"/>
        </w:rPr>
        <w:t>przyczyn dotyczących zakładu pracy,</w:t>
      </w:r>
      <w:r w:rsidR="00E66B89">
        <w:rPr>
          <w:rFonts w:cs="Arial"/>
          <w:bCs/>
          <w:szCs w:val="20"/>
        </w:rPr>
        <w:t xml:space="preserve"> a </w:t>
      </w:r>
      <w:r>
        <w:rPr>
          <w:rFonts w:cs="Arial"/>
          <w:bCs/>
          <w:szCs w:val="20"/>
        </w:rPr>
        <w:t>więc kwalifikujących się do objęcia wsparciem</w:t>
      </w:r>
      <w:r w:rsidR="00E66B89">
        <w:rPr>
          <w:rFonts w:cs="Arial"/>
          <w:bCs/>
          <w:szCs w:val="20"/>
        </w:rPr>
        <w:t xml:space="preserve"> w </w:t>
      </w:r>
      <w:r>
        <w:rPr>
          <w:rFonts w:cs="Arial"/>
          <w:bCs/>
          <w:szCs w:val="20"/>
        </w:rPr>
        <w:t xml:space="preserve">ramach interwencji systematycznie malała, </w:t>
      </w:r>
      <w:r w:rsidRPr="00C278F9">
        <w:rPr>
          <w:rFonts w:cs="Arial"/>
          <w:bCs/>
          <w:szCs w:val="20"/>
        </w:rPr>
        <w:t>województwo</w:t>
      </w:r>
      <w:r w:rsidR="00E66B89">
        <w:rPr>
          <w:rFonts w:cs="Arial"/>
          <w:bCs/>
          <w:szCs w:val="20"/>
        </w:rPr>
        <w:t xml:space="preserve"> w </w:t>
      </w:r>
      <w:r w:rsidRPr="00C278F9">
        <w:rPr>
          <w:rFonts w:cs="Arial"/>
          <w:bCs/>
          <w:szCs w:val="20"/>
        </w:rPr>
        <w:t xml:space="preserve">analizowanym zakresie </w:t>
      </w:r>
      <w:r>
        <w:rPr>
          <w:rFonts w:cs="Arial"/>
          <w:bCs/>
          <w:szCs w:val="20"/>
        </w:rPr>
        <w:t>pozytywnie</w:t>
      </w:r>
      <w:r w:rsidRPr="00C278F9">
        <w:rPr>
          <w:rFonts w:cs="Arial"/>
          <w:bCs/>
          <w:szCs w:val="20"/>
        </w:rPr>
        <w:t xml:space="preserve"> wyróżnia się na tle innych regionów Polski.</w:t>
      </w:r>
      <w:r>
        <w:rPr>
          <w:rFonts w:cs="Arial"/>
          <w:bCs/>
          <w:szCs w:val="20"/>
        </w:rPr>
        <w:t xml:space="preserve"> Powyższe</w:t>
      </w:r>
      <w:r w:rsidRPr="004C481D">
        <w:rPr>
          <w:rFonts w:cs="Arial"/>
          <w:bCs/>
          <w:szCs w:val="20"/>
        </w:rPr>
        <w:t xml:space="preserve"> rodzi ryzyko nieosiągnięcia końcowych wartości wskaźników związanych ze wsparciem osób </w:t>
      </w:r>
      <w:r>
        <w:rPr>
          <w:rFonts w:cs="Arial"/>
          <w:bCs/>
          <w:szCs w:val="20"/>
        </w:rPr>
        <w:t>zagrożonych zwolnieniem</w:t>
      </w:r>
      <w:r w:rsidR="00E66B89">
        <w:rPr>
          <w:rFonts w:cs="Arial"/>
          <w:bCs/>
          <w:szCs w:val="20"/>
        </w:rPr>
        <w:t xml:space="preserve"> z </w:t>
      </w:r>
      <w:r>
        <w:rPr>
          <w:rFonts w:cs="Arial"/>
          <w:bCs/>
          <w:szCs w:val="20"/>
        </w:rPr>
        <w:t>pracy oraz zwolnionych</w:t>
      </w:r>
      <w:r w:rsidR="00E66B89">
        <w:rPr>
          <w:rFonts w:cs="Arial"/>
          <w:bCs/>
          <w:szCs w:val="20"/>
        </w:rPr>
        <w:t xml:space="preserve"> z </w:t>
      </w:r>
      <w:r>
        <w:rPr>
          <w:rFonts w:cs="Arial"/>
          <w:bCs/>
          <w:szCs w:val="20"/>
        </w:rPr>
        <w:t>przyczyn dotyczących zakładu pracy</w:t>
      </w:r>
      <w:r w:rsidRPr="004C481D">
        <w:rPr>
          <w:rFonts w:cs="Arial"/>
          <w:bCs/>
          <w:szCs w:val="20"/>
        </w:rPr>
        <w:t>. Opisane obserwacje</w:t>
      </w:r>
      <w:r w:rsidR="00E66B89">
        <w:rPr>
          <w:rFonts w:cs="Arial"/>
          <w:bCs/>
          <w:szCs w:val="20"/>
        </w:rPr>
        <w:t xml:space="preserve"> i </w:t>
      </w:r>
      <w:r w:rsidRPr="004C481D">
        <w:rPr>
          <w:rFonts w:cs="Arial"/>
          <w:bCs/>
          <w:szCs w:val="20"/>
        </w:rPr>
        <w:t>wnioski znajdują potwierdzenie</w:t>
      </w:r>
      <w:r w:rsidR="00E66B89">
        <w:rPr>
          <w:rFonts w:cs="Arial"/>
          <w:bCs/>
          <w:szCs w:val="20"/>
        </w:rPr>
        <w:t xml:space="preserve"> w </w:t>
      </w:r>
      <w:r w:rsidRPr="004C481D">
        <w:rPr>
          <w:rFonts w:cs="Arial"/>
          <w:bCs/>
          <w:szCs w:val="20"/>
        </w:rPr>
        <w:t xml:space="preserve">opiniach przedstawicieli Instytucji odpowiedzialnych </w:t>
      </w:r>
      <w:r>
        <w:rPr>
          <w:rFonts w:cs="Arial"/>
          <w:bCs/>
          <w:szCs w:val="20"/>
        </w:rPr>
        <w:t xml:space="preserve">za </w:t>
      </w:r>
      <w:r w:rsidRPr="004C481D">
        <w:rPr>
          <w:rFonts w:cs="Arial"/>
          <w:bCs/>
          <w:szCs w:val="20"/>
        </w:rPr>
        <w:t>wdrażanie interwencji</w:t>
      </w:r>
      <w:r w:rsidR="00E66B89">
        <w:rPr>
          <w:rFonts w:cs="Arial"/>
          <w:bCs/>
          <w:szCs w:val="20"/>
        </w:rPr>
        <w:t xml:space="preserve"> w </w:t>
      </w:r>
      <w:r w:rsidRPr="004C481D">
        <w:rPr>
          <w:rFonts w:cs="Arial"/>
          <w:bCs/>
          <w:szCs w:val="20"/>
        </w:rPr>
        <w:t>obszarze rynku pracy.</w:t>
      </w:r>
    </w:p>
    <w:p w14:paraId="3FE4B242" w14:textId="77777777" w:rsidR="00881780" w:rsidRPr="00C278F9" w:rsidRDefault="00881780" w:rsidP="00754ED4">
      <w:pPr>
        <w:pStyle w:val="Legenda"/>
        <w:spacing w:after="0"/>
      </w:pPr>
      <w:bookmarkStart w:id="195" w:name="_Toc3896847"/>
      <w:bookmarkStart w:id="196" w:name="_Toc8824206"/>
      <w:r w:rsidRPr="00C278F9">
        <w:t xml:space="preserve">Tabela </w:t>
      </w:r>
      <w:r>
        <w:fldChar w:fldCharType="begin"/>
      </w:r>
      <w:r>
        <w:instrText xml:space="preserve"> SEQ Tabela \* ARABIC </w:instrText>
      </w:r>
      <w:r>
        <w:fldChar w:fldCharType="separate"/>
      </w:r>
      <w:r w:rsidR="00763345">
        <w:rPr>
          <w:noProof/>
        </w:rPr>
        <w:t>95</w:t>
      </w:r>
      <w:r>
        <w:fldChar w:fldCharType="end"/>
      </w:r>
      <w:r w:rsidRPr="00C278F9">
        <w:t xml:space="preserve"> Zwolnieni</w:t>
      </w:r>
      <w:r w:rsidR="00E66B89">
        <w:t xml:space="preserve"> z </w:t>
      </w:r>
      <w:r w:rsidRPr="00C278F9">
        <w:t>przyczyn dot. zakładu pracy</w:t>
      </w:r>
      <w:r w:rsidR="00E66B89">
        <w:t xml:space="preserve"> w </w:t>
      </w:r>
      <w:r w:rsidRPr="00C278F9">
        <w:t>poszczególnych województwach</w:t>
      </w:r>
      <w:bookmarkEnd w:id="195"/>
      <w:r>
        <w:t xml:space="preserve"> (31.XII)</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990"/>
        <w:gridCol w:w="990"/>
        <w:gridCol w:w="1042"/>
        <w:gridCol w:w="913"/>
        <w:gridCol w:w="817"/>
        <w:gridCol w:w="817"/>
        <w:gridCol w:w="799"/>
      </w:tblGrid>
      <w:tr w:rsidR="00881780" w:rsidRPr="00A71C8E" w14:paraId="20A4E38D" w14:textId="77777777" w:rsidTr="005F04FC">
        <w:trPr>
          <w:trHeight w:val="300"/>
          <w:tblHeader/>
        </w:trPr>
        <w:tc>
          <w:tcPr>
            <w:tcW w:w="5000" w:type="pct"/>
            <w:gridSpan w:val="8"/>
            <w:shd w:val="clear" w:color="auto" w:fill="DBE5F1"/>
            <w:noWrap/>
            <w:vAlign w:val="bottom"/>
            <w:hideMark/>
          </w:tcPr>
          <w:p w14:paraId="43975BAD" w14:textId="77777777" w:rsidR="00881780" w:rsidRPr="00A71C8E" w:rsidRDefault="00881780" w:rsidP="006F4D8F">
            <w:pPr>
              <w:spacing w:before="0" w:line="240" w:lineRule="auto"/>
              <w:jc w:val="left"/>
              <w:rPr>
                <w:b/>
                <w:sz w:val="18"/>
                <w:szCs w:val="18"/>
              </w:rPr>
            </w:pPr>
            <w:r w:rsidRPr="00A71C8E">
              <w:rPr>
                <w:b/>
                <w:color w:val="000000"/>
                <w:sz w:val="18"/>
                <w:szCs w:val="18"/>
              </w:rPr>
              <w:t>Zwolnieni</w:t>
            </w:r>
            <w:r w:rsidR="00E66B89" w:rsidRPr="00A71C8E">
              <w:rPr>
                <w:b/>
                <w:color w:val="000000"/>
                <w:sz w:val="18"/>
                <w:szCs w:val="18"/>
              </w:rPr>
              <w:t xml:space="preserve"> z </w:t>
            </w:r>
            <w:r w:rsidRPr="00A71C8E">
              <w:rPr>
                <w:b/>
                <w:color w:val="000000"/>
                <w:sz w:val="18"/>
                <w:szCs w:val="18"/>
              </w:rPr>
              <w:t>przyczyn dotyczących zakładu pracy</w:t>
            </w:r>
          </w:p>
        </w:tc>
      </w:tr>
      <w:tr w:rsidR="00881780" w:rsidRPr="00A71C8E" w14:paraId="748F9E1F" w14:textId="77777777" w:rsidTr="006F4D8F">
        <w:trPr>
          <w:trHeight w:val="300"/>
        </w:trPr>
        <w:tc>
          <w:tcPr>
            <w:tcW w:w="1486" w:type="pct"/>
            <w:shd w:val="clear" w:color="auto" w:fill="auto"/>
            <w:noWrap/>
            <w:vAlign w:val="bottom"/>
            <w:hideMark/>
          </w:tcPr>
          <w:p w14:paraId="70BA5AAE" w14:textId="77777777" w:rsidR="00881780" w:rsidRPr="00A71C8E" w:rsidRDefault="00881780" w:rsidP="006F4D8F">
            <w:pPr>
              <w:spacing w:before="0" w:line="240" w:lineRule="auto"/>
              <w:jc w:val="left"/>
              <w:rPr>
                <w:sz w:val="18"/>
                <w:szCs w:val="18"/>
              </w:rPr>
            </w:pPr>
            <w:r w:rsidRPr="00A71C8E">
              <w:rPr>
                <w:sz w:val="18"/>
                <w:szCs w:val="18"/>
              </w:rPr>
              <w:t>Rok</w:t>
            </w:r>
          </w:p>
        </w:tc>
        <w:tc>
          <w:tcPr>
            <w:tcW w:w="546" w:type="pct"/>
            <w:shd w:val="clear" w:color="auto" w:fill="auto"/>
            <w:noWrap/>
            <w:vAlign w:val="bottom"/>
            <w:hideMark/>
          </w:tcPr>
          <w:p w14:paraId="3835C9D6"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2012</w:t>
            </w:r>
          </w:p>
        </w:tc>
        <w:tc>
          <w:tcPr>
            <w:tcW w:w="546" w:type="pct"/>
            <w:shd w:val="clear" w:color="auto" w:fill="auto"/>
            <w:noWrap/>
            <w:vAlign w:val="bottom"/>
            <w:hideMark/>
          </w:tcPr>
          <w:p w14:paraId="028CDDB4"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2013</w:t>
            </w:r>
          </w:p>
        </w:tc>
        <w:tc>
          <w:tcPr>
            <w:tcW w:w="575" w:type="pct"/>
            <w:shd w:val="clear" w:color="auto" w:fill="auto"/>
            <w:noWrap/>
            <w:vAlign w:val="bottom"/>
            <w:hideMark/>
          </w:tcPr>
          <w:p w14:paraId="7121F663"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2014</w:t>
            </w:r>
          </w:p>
        </w:tc>
        <w:tc>
          <w:tcPr>
            <w:tcW w:w="504" w:type="pct"/>
            <w:shd w:val="clear" w:color="auto" w:fill="auto"/>
            <w:noWrap/>
            <w:vAlign w:val="bottom"/>
            <w:hideMark/>
          </w:tcPr>
          <w:p w14:paraId="3EF6366B"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2015</w:t>
            </w:r>
          </w:p>
        </w:tc>
        <w:tc>
          <w:tcPr>
            <w:tcW w:w="451" w:type="pct"/>
            <w:shd w:val="clear" w:color="auto" w:fill="auto"/>
            <w:noWrap/>
            <w:vAlign w:val="bottom"/>
            <w:hideMark/>
          </w:tcPr>
          <w:p w14:paraId="06927A6C"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2016</w:t>
            </w:r>
          </w:p>
        </w:tc>
        <w:tc>
          <w:tcPr>
            <w:tcW w:w="451" w:type="pct"/>
            <w:shd w:val="clear" w:color="auto" w:fill="auto"/>
            <w:noWrap/>
            <w:vAlign w:val="bottom"/>
            <w:hideMark/>
          </w:tcPr>
          <w:p w14:paraId="3C6F22A7"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2017</w:t>
            </w:r>
          </w:p>
        </w:tc>
        <w:tc>
          <w:tcPr>
            <w:tcW w:w="441" w:type="pct"/>
            <w:shd w:val="clear" w:color="auto" w:fill="auto"/>
            <w:noWrap/>
            <w:vAlign w:val="bottom"/>
            <w:hideMark/>
          </w:tcPr>
          <w:p w14:paraId="0E913AF6"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2018</w:t>
            </w:r>
          </w:p>
        </w:tc>
      </w:tr>
      <w:tr w:rsidR="00881780" w:rsidRPr="00A71C8E" w14:paraId="114462D3" w14:textId="77777777" w:rsidTr="006F4D8F">
        <w:trPr>
          <w:trHeight w:val="300"/>
        </w:trPr>
        <w:tc>
          <w:tcPr>
            <w:tcW w:w="1486" w:type="pct"/>
            <w:shd w:val="clear" w:color="auto" w:fill="auto"/>
            <w:noWrap/>
            <w:vAlign w:val="bottom"/>
          </w:tcPr>
          <w:p w14:paraId="44B1F24A" w14:textId="77777777" w:rsidR="00881780" w:rsidRPr="00A71C8E" w:rsidRDefault="00881780" w:rsidP="006F4D8F">
            <w:pPr>
              <w:spacing w:before="0" w:line="240" w:lineRule="auto"/>
              <w:jc w:val="left"/>
              <w:rPr>
                <w:sz w:val="18"/>
                <w:szCs w:val="18"/>
              </w:rPr>
            </w:pPr>
            <w:r w:rsidRPr="00A71C8E">
              <w:rPr>
                <w:sz w:val="18"/>
                <w:szCs w:val="18"/>
              </w:rPr>
              <w:t>Wyszczególnienie</w:t>
            </w:r>
          </w:p>
        </w:tc>
        <w:tc>
          <w:tcPr>
            <w:tcW w:w="546" w:type="pct"/>
            <w:shd w:val="clear" w:color="auto" w:fill="auto"/>
            <w:noWrap/>
            <w:vAlign w:val="bottom"/>
          </w:tcPr>
          <w:p w14:paraId="79A8D16D"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546" w:type="pct"/>
            <w:shd w:val="clear" w:color="auto" w:fill="auto"/>
            <w:noWrap/>
            <w:vAlign w:val="bottom"/>
          </w:tcPr>
          <w:p w14:paraId="5C774CEA"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575" w:type="pct"/>
            <w:shd w:val="clear" w:color="auto" w:fill="auto"/>
            <w:noWrap/>
            <w:vAlign w:val="bottom"/>
          </w:tcPr>
          <w:p w14:paraId="67CE92D5"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504" w:type="pct"/>
            <w:shd w:val="clear" w:color="auto" w:fill="auto"/>
            <w:noWrap/>
            <w:vAlign w:val="bottom"/>
          </w:tcPr>
          <w:p w14:paraId="7AE3EFCF"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451" w:type="pct"/>
            <w:shd w:val="clear" w:color="auto" w:fill="auto"/>
            <w:noWrap/>
            <w:vAlign w:val="bottom"/>
          </w:tcPr>
          <w:p w14:paraId="1573D0C3"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451" w:type="pct"/>
            <w:shd w:val="clear" w:color="auto" w:fill="auto"/>
            <w:noWrap/>
            <w:vAlign w:val="bottom"/>
          </w:tcPr>
          <w:p w14:paraId="171C865C"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c>
          <w:tcPr>
            <w:tcW w:w="441" w:type="pct"/>
            <w:shd w:val="clear" w:color="auto" w:fill="auto"/>
            <w:noWrap/>
            <w:vAlign w:val="bottom"/>
          </w:tcPr>
          <w:p w14:paraId="3C5B2FC5" w14:textId="77777777" w:rsidR="00881780" w:rsidRPr="00A71C8E" w:rsidRDefault="00881780" w:rsidP="006F4D8F">
            <w:pPr>
              <w:spacing w:before="0" w:line="240" w:lineRule="auto"/>
              <w:jc w:val="left"/>
              <w:rPr>
                <w:color w:val="000000"/>
                <w:sz w:val="18"/>
                <w:szCs w:val="18"/>
              </w:rPr>
            </w:pPr>
            <w:r w:rsidRPr="00A71C8E">
              <w:rPr>
                <w:color w:val="000000"/>
                <w:sz w:val="18"/>
                <w:szCs w:val="18"/>
              </w:rPr>
              <w:t>w tys.</w:t>
            </w:r>
          </w:p>
        </w:tc>
      </w:tr>
      <w:tr w:rsidR="00881780" w:rsidRPr="00A71C8E" w14:paraId="6CA03876" w14:textId="77777777" w:rsidTr="006F4D8F">
        <w:trPr>
          <w:trHeight w:val="300"/>
        </w:trPr>
        <w:tc>
          <w:tcPr>
            <w:tcW w:w="1486" w:type="pct"/>
            <w:shd w:val="clear" w:color="auto" w:fill="auto"/>
            <w:noWrap/>
            <w:vAlign w:val="bottom"/>
            <w:hideMark/>
          </w:tcPr>
          <w:p w14:paraId="078FEC5B" w14:textId="77777777" w:rsidR="00881780" w:rsidRPr="00A71C8E" w:rsidRDefault="00881780" w:rsidP="006F4D8F">
            <w:pPr>
              <w:spacing w:before="0" w:line="240" w:lineRule="auto"/>
              <w:jc w:val="left"/>
              <w:rPr>
                <w:color w:val="000000"/>
                <w:sz w:val="18"/>
                <w:szCs w:val="18"/>
              </w:rPr>
            </w:pPr>
            <w:r w:rsidRPr="00A71C8E">
              <w:rPr>
                <w:color w:val="000000"/>
                <w:sz w:val="18"/>
                <w:szCs w:val="18"/>
              </w:rPr>
              <w:t>Dolnośląskie</w:t>
            </w:r>
          </w:p>
        </w:tc>
        <w:tc>
          <w:tcPr>
            <w:tcW w:w="546" w:type="pct"/>
            <w:shd w:val="clear" w:color="auto" w:fill="auto"/>
            <w:noWrap/>
            <w:vAlign w:val="bottom"/>
            <w:hideMark/>
          </w:tcPr>
          <w:p w14:paraId="376B1F46" w14:textId="77777777" w:rsidR="00881780" w:rsidRPr="00A71C8E" w:rsidRDefault="00881780" w:rsidP="006F4D8F">
            <w:pPr>
              <w:spacing w:before="0" w:line="240" w:lineRule="auto"/>
              <w:jc w:val="left"/>
              <w:rPr>
                <w:color w:val="000000"/>
                <w:sz w:val="18"/>
                <w:szCs w:val="18"/>
              </w:rPr>
            </w:pPr>
            <w:r w:rsidRPr="00A71C8E">
              <w:rPr>
                <w:color w:val="000000"/>
                <w:sz w:val="18"/>
                <w:szCs w:val="18"/>
              </w:rPr>
              <w:t>5611</w:t>
            </w:r>
          </w:p>
        </w:tc>
        <w:tc>
          <w:tcPr>
            <w:tcW w:w="546" w:type="pct"/>
            <w:shd w:val="clear" w:color="auto" w:fill="auto"/>
            <w:noWrap/>
            <w:vAlign w:val="bottom"/>
            <w:hideMark/>
          </w:tcPr>
          <w:p w14:paraId="239B8D75" w14:textId="77777777" w:rsidR="00881780" w:rsidRPr="00A71C8E" w:rsidRDefault="00881780" w:rsidP="006F4D8F">
            <w:pPr>
              <w:spacing w:before="0" w:line="240" w:lineRule="auto"/>
              <w:jc w:val="left"/>
              <w:rPr>
                <w:color w:val="000000"/>
                <w:sz w:val="18"/>
                <w:szCs w:val="18"/>
              </w:rPr>
            </w:pPr>
            <w:r w:rsidRPr="00A71C8E">
              <w:rPr>
                <w:color w:val="000000"/>
                <w:sz w:val="18"/>
                <w:szCs w:val="18"/>
              </w:rPr>
              <w:t>6634</w:t>
            </w:r>
          </w:p>
        </w:tc>
        <w:tc>
          <w:tcPr>
            <w:tcW w:w="575" w:type="pct"/>
            <w:shd w:val="clear" w:color="auto" w:fill="auto"/>
            <w:noWrap/>
            <w:vAlign w:val="bottom"/>
            <w:hideMark/>
          </w:tcPr>
          <w:p w14:paraId="218E90DB" w14:textId="77777777" w:rsidR="00881780" w:rsidRPr="00A71C8E" w:rsidRDefault="00881780" w:rsidP="006F4D8F">
            <w:pPr>
              <w:spacing w:before="0" w:line="240" w:lineRule="auto"/>
              <w:jc w:val="left"/>
              <w:rPr>
                <w:color w:val="000000"/>
                <w:sz w:val="18"/>
                <w:szCs w:val="18"/>
              </w:rPr>
            </w:pPr>
            <w:r w:rsidRPr="00A71C8E">
              <w:rPr>
                <w:color w:val="000000"/>
                <w:sz w:val="18"/>
                <w:szCs w:val="18"/>
              </w:rPr>
              <w:t>5409</w:t>
            </w:r>
          </w:p>
        </w:tc>
        <w:tc>
          <w:tcPr>
            <w:tcW w:w="504" w:type="pct"/>
            <w:shd w:val="clear" w:color="auto" w:fill="auto"/>
            <w:noWrap/>
            <w:vAlign w:val="bottom"/>
            <w:hideMark/>
          </w:tcPr>
          <w:p w14:paraId="7557E2BE" w14:textId="77777777" w:rsidR="00881780" w:rsidRPr="00A71C8E" w:rsidRDefault="00881780" w:rsidP="006F4D8F">
            <w:pPr>
              <w:spacing w:before="0" w:line="240" w:lineRule="auto"/>
              <w:jc w:val="left"/>
              <w:rPr>
                <w:color w:val="000000"/>
                <w:sz w:val="18"/>
                <w:szCs w:val="18"/>
              </w:rPr>
            </w:pPr>
            <w:r w:rsidRPr="00A71C8E">
              <w:rPr>
                <w:color w:val="000000"/>
                <w:sz w:val="18"/>
                <w:szCs w:val="18"/>
              </w:rPr>
              <w:t>4922</w:t>
            </w:r>
          </w:p>
        </w:tc>
        <w:tc>
          <w:tcPr>
            <w:tcW w:w="451" w:type="pct"/>
            <w:shd w:val="clear" w:color="auto" w:fill="auto"/>
            <w:noWrap/>
            <w:vAlign w:val="bottom"/>
            <w:hideMark/>
          </w:tcPr>
          <w:p w14:paraId="47A29446" w14:textId="77777777" w:rsidR="00881780" w:rsidRPr="00A71C8E" w:rsidRDefault="00881780" w:rsidP="006F4D8F">
            <w:pPr>
              <w:spacing w:before="0" w:line="240" w:lineRule="auto"/>
              <w:jc w:val="left"/>
              <w:rPr>
                <w:color w:val="000000"/>
                <w:sz w:val="18"/>
                <w:szCs w:val="18"/>
              </w:rPr>
            </w:pPr>
            <w:r w:rsidRPr="00A71C8E">
              <w:rPr>
                <w:color w:val="000000"/>
                <w:sz w:val="18"/>
                <w:szCs w:val="18"/>
              </w:rPr>
              <w:t>3844</w:t>
            </w:r>
          </w:p>
        </w:tc>
        <w:tc>
          <w:tcPr>
            <w:tcW w:w="451" w:type="pct"/>
            <w:shd w:val="clear" w:color="auto" w:fill="auto"/>
            <w:noWrap/>
            <w:vAlign w:val="bottom"/>
            <w:hideMark/>
          </w:tcPr>
          <w:p w14:paraId="431F280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2747</w:t>
            </w:r>
          </w:p>
        </w:tc>
        <w:tc>
          <w:tcPr>
            <w:tcW w:w="441" w:type="pct"/>
            <w:shd w:val="clear" w:color="auto" w:fill="auto"/>
            <w:noWrap/>
            <w:vAlign w:val="bottom"/>
            <w:hideMark/>
          </w:tcPr>
          <w:p w14:paraId="1D4EA1C1"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2080</w:t>
            </w:r>
          </w:p>
        </w:tc>
      </w:tr>
      <w:tr w:rsidR="00881780" w:rsidRPr="00A71C8E" w14:paraId="4C2B2458" w14:textId="77777777" w:rsidTr="006F4D8F">
        <w:trPr>
          <w:trHeight w:val="300"/>
        </w:trPr>
        <w:tc>
          <w:tcPr>
            <w:tcW w:w="1486" w:type="pct"/>
            <w:shd w:val="clear" w:color="auto" w:fill="auto"/>
            <w:noWrap/>
            <w:vAlign w:val="bottom"/>
            <w:hideMark/>
          </w:tcPr>
          <w:p w14:paraId="59A2EE6B" w14:textId="77777777" w:rsidR="00881780" w:rsidRPr="00A71C8E" w:rsidRDefault="00881780" w:rsidP="006F4D8F">
            <w:pPr>
              <w:spacing w:before="0" w:line="240" w:lineRule="auto"/>
              <w:jc w:val="left"/>
              <w:rPr>
                <w:color w:val="000000"/>
                <w:sz w:val="18"/>
                <w:szCs w:val="18"/>
              </w:rPr>
            </w:pPr>
            <w:r w:rsidRPr="00A71C8E">
              <w:rPr>
                <w:color w:val="000000"/>
                <w:sz w:val="18"/>
                <w:szCs w:val="18"/>
              </w:rPr>
              <w:lastRenderedPageBreak/>
              <w:t>Kujawsko-Pomorskie</w:t>
            </w:r>
          </w:p>
        </w:tc>
        <w:tc>
          <w:tcPr>
            <w:tcW w:w="546" w:type="pct"/>
            <w:shd w:val="clear" w:color="auto" w:fill="auto"/>
            <w:noWrap/>
            <w:vAlign w:val="bottom"/>
            <w:hideMark/>
          </w:tcPr>
          <w:p w14:paraId="5AA159E8" w14:textId="77777777" w:rsidR="00881780" w:rsidRPr="00A71C8E" w:rsidRDefault="00881780" w:rsidP="006F4D8F">
            <w:pPr>
              <w:spacing w:before="0" w:line="240" w:lineRule="auto"/>
              <w:jc w:val="left"/>
              <w:rPr>
                <w:color w:val="000000"/>
                <w:sz w:val="18"/>
                <w:szCs w:val="18"/>
              </w:rPr>
            </w:pPr>
            <w:r w:rsidRPr="00A71C8E">
              <w:rPr>
                <w:color w:val="000000"/>
                <w:sz w:val="18"/>
                <w:szCs w:val="18"/>
              </w:rPr>
              <w:t>4957</w:t>
            </w:r>
          </w:p>
        </w:tc>
        <w:tc>
          <w:tcPr>
            <w:tcW w:w="546" w:type="pct"/>
            <w:shd w:val="clear" w:color="auto" w:fill="auto"/>
            <w:noWrap/>
            <w:vAlign w:val="bottom"/>
            <w:hideMark/>
          </w:tcPr>
          <w:p w14:paraId="7B030DB7" w14:textId="77777777" w:rsidR="00881780" w:rsidRPr="00A71C8E" w:rsidRDefault="00881780" w:rsidP="006F4D8F">
            <w:pPr>
              <w:spacing w:before="0" w:line="240" w:lineRule="auto"/>
              <w:jc w:val="left"/>
              <w:rPr>
                <w:color w:val="000000"/>
                <w:sz w:val="18"/>
                <w:szCs w:val="18"/>
              </w:rPr>
            </w:pPr>
            <w:r w:rsidRPr="00A71C8E">
              <w:rPr>
                <w:color w:val="000000"/>
                <w:sz w:val="18"/>
                <w:szCs w:val="18"/>
              </w:rPr>
              <w:t>6578</w:t>
            </w:r>
          </w:p>
        </w:tc>
        <w:tc>
          <w:tcPr>
            <w:tcW w:w="575" w:type="pct"/>
            <w:shd w:val="clear" w:color="auto" w:fill="auto"/>
            <w:noWrap/>
            <w:vAlign w:val="bottom"/>
            <w:hideMark/>
          </w:tcPr>
          <w:p w14:paraId="3F323006" w14:textId="77777777" w:rsidR="00881780" w:rsidRPr="00A71C8E" w:rsidRDefault="00881780" w:rsidP="006F4D8F">
            <w:pPr>
              <w:spacing w:before="0" w:line="240" w:lineRule="auto"/>
              <w:jc w:val="left"/>
              <w:rPr>
                <w:color w:val="000000"/>
                <w:sz w:val="18"/>
                <w:szCs w:val="18"/>
              </w:rPr>
            </w:pPr>
            <w:r w:rsidRPr="00A71C8E">
              <w:rPr>
                <w:color w:val="000000"/>
                <w:sz w:val="18"/>
                <w:szCs w:val="18"/>
              </w:rPr>
              <w:t>5434</w:t>
            </w:r>
          </w:p>
        </w:tc>
        <w:tc>
          <w:tcPr>
            <w:tcW w:w="504" w:type="pct"/>
            <w:shd w:val="clear" w:color="auto" w:fill="auto"/>
            <w:noWrap/>
            <w:vAlign w:val="bottom"/>
            <w:hideMark/>
          </w:tcPr>
          <w:p w14:paraId="03692A7A" w14:textId="77777777" w:rsidR="00881780" w:rsidRPr="00A71C8E" w:rsidRDefault="00881780" w:rsidP="006F4D8F">
            <w:pPr>
              <w:spacing w:before="0" w:line="240" w:lineRule="auto"/>
              <w:jc w:val="left"/>
              <w:rPr>
                <w:color w:val="000000"/>
                <w:sz w:val="18"/>
                <w:szCs w:val="18"/>
              </w:rPr>
            </w:pPr>
            <w:r w:rsidRPr="00A71C8E">
              <w:rPr>
                <w:color w:val="000000"/>
                <w:sz w:val="18"/>
                <w:szCs w:val="18"/>
              </w:rPr>
              <w:t>4268</w:t>
            </w:r>
          </w:p>
        </w:tc>
        <w:tc>
          <w:tcPr>
            <w:tcW w:w="451" w:type="pct"/>
            <w:shd w:val="clear" w:color="auto" w:fill="auto"/>
            <w:noWrap/>
            <w:vAlign w:val="bottom"/>
            <w:hideMark/>
          </w:tcPr>
          <w:p w14:paraId="748F4B0E" w14:textId="77777777" w:rsidR="00881780" w:rsidRPr="00A71C8E" w:rsidRDefault="00881780" w:rsidP="006F4D8F">
            <w:pPr>
              <w:spacing w:before="0" w:line="240" w:lineRule="auto"/>
              <w:jc w:val="left"/>
              <w:rPr>
                <w:color w:val="000000"/>
                <w:sz w:val="18"/>
                <w:szCs w:val="18"/>
              </w:rPr>
            </w:pPr>
            <w:r w:rsidRPr="00A71C8E">
              <w:rPr>
                <w:color w:val="000000"/>
                <w:sz w:val="18"/>
                <w:szCs w:val="18"/>
              </w:rPr>
              <w:t>3512</w:t>
            </w:r>
          </w:p>
        </w:tc>
        <w:tc>
          <w:tcPr>
            <w:tcW w:w="451" w:type="pct"/>
            <w:shd w:val="clear" w:color="auto" w:fill="auto"/>
            <w:noWrap/>
            <w:vAlign w:val="bottom"/>
            <w:hideMark/>
          </w:tcPr>
          <w:p w14:paraId="383F55E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2774</w:t>
            </w:r>
          </w:p>
        </w:tc>
        <w:tc>
          <w:tcPr>
            <w:tcW w:w="441" w:type="pct"/>
            <w:shd w:val="clear" w:color="auto" w:fill="auto"/>
            <w:noWrap/>
            <w:vAlign w:val="bottom"/>
            <w:hideMark/>
          </w:tcPr>
          <w:p w14:paraId="70CEE4C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2375</w:t>
            </w:r>
          </w:p>
        </w:tc>
      </w:tr>
      <w:tr w:rsidR="00881780" w:rsidRPr="00A71C8E" w14:paraId="7A5A6E7E" w14:textId="77777777" w:rsidTr="006F4D8F">
        <w:trPr>
          <w:trHeight w:val="300"/>
        </w:trPr>
        <w:tc>
          <w:tcPr>
            <w:tcW w:w="1486" w:type="pct"/>
            <w:shd w:val="clear" w:color="auto" w:fill="auto"/>
            <w:noWrap/>
            <w:vAlign w:val="bottom"/>
            <w:hideMark/>
          </w:tcPr>
          <w:p w14:paraId="2E1E2899"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Lubelskie</w:t>
            </w:r>
          </w:p>
        </w:tc>
        <w:tc>
          <w:tcPr>
            <w:tcW w:w="546" w:type="pct"/>
            <w:shd w:val="clear" w:color="auto" w:fill="auto"/>
            <w:noWrap/>
            <w:vAlign w:val="bottom"/>
            <w:hideMark/>
          </w:tcPr>
          <w:p w14:paraId="56084D3F" w14:textId="77777777" w:rsidR="00881780" w:rsidRPr="00A71C8E" w:rsidRDefault="00881780" w:rsidP="006F4D8F">
            <w:pPr>
              <w:spacing w:before="0" w:line="240" w:lineRule="auto"/>
              <w:jc w:val="left"/>
              <w:rPr>
                <w:color w:val="000000"/>
                <w:sz w:val="18"/>
                <w:szCs w:val="18"/>
              </w:rPr>
            </w:pPr>
            <w:r w:rsidRPr="00A71C8E">
              <w:rPr>
                <w:color w:val="000000"/>
                <w:sz w:val="18"/>
                <w:szCs w:val="18"/>
              </w:rPr>
              <w:t>4682</w:t>
            </w:r>
          </w:p>
        </w:tc>
        <w:tc>
          <w:tcPr>
            <w:tcW w:w="546" w:type="pct"/>
            <w:shd w:val="clear" w:color="auto" w:fill="auto"/>
            <w:noWrap/>
            <w:vAlign w:val="bottom"/>
            <w:hideMark/>
          </w:tcPr>
          <w:p w14:paraId="178857A9" w14:textId="77777777" w:rsidR="00881780" w:rsidRPr="00A71C8E" w:rsidRDefault="00881780" w:rsidP="006F4D8F">
            <w:pPr>
              <w:spacing w:before="0" w:line="240" w:lineRule="auto"/>
              <w:jc w:val="left"/>
              <w:rPr>
                <w:color w:val="000000"/>
                <w:sz w:val="18"/>
                <w:szCs w:val="18"/>
              </w:rPr>
            </w:pPr>
            <w:r w:rsidRPr="00A71C8E">
              <w:rPr>
                <w:color w:val="000000"/>
                <w:sz w:val="18"/>
                <w:szCs w:val="18"/>
              </w:rPr>
              <w:t>5604</w:t>
            </w:r>
          </w:p>
        </w:tc>
        <w:tc>
          <w:tcPr>
            <w:tcW w:w="575" w:type="pct"/>
            <w:shd w:val="clear" w:color="auto" w:fill="auto"/>
            <w:noWrap/>
            <w:vAlign w:val="bottom"/>
            <w:hideMark/>
          </w:tcPr>
          <w:p w14:paraId="6497A5D7" w14:textId="77777777" w:rsidR="00881780" w:rsidRPr="00A71C8E" w:rsidRDefault="00881780" w:rsidP="006F4D8F">
            <w:pPr>
              <w:spacing w:before="0" w:line="240" w:lineRule="auto"/>
              <w:jc w:val="left"/>
              <w:rPr>
                <w:color w:val="000000"/>
                <w:sz w:val="18"/>
                <w:szCs w:val="18"/>
              </w:rPr>
            </w:pPr>
            <w:r w:rsidRPr="00A71C8E">
              <w:rPr>
                <w:color w:val="000000"/>
                <w:sz w:val="18"/>
                <w:szCs w:val="18"/>
              </w:rPr>
              <w:t>4427</w:t>
            </w:r>
          </w:p>
        </w:tc>
        <w:tc>
          <w:tcPr>
            <w:tcW w:w="504" w:type="pct"/>
            <w:shd w:val="clear" w:color="auto" w:fill="auto"/>
            <w:noWrap/>
            <w:vAlign w:val="bottom"/>
            <w:hideMark/>
          </w:tcPr>
          <w:p w14:paraId="28C212D5" w14:textId="77777777" w:rsidR="00881780" w:rsidRPr="00A71C8E" w:rsidRDefault="00881780" w:rsidP="006F4D8F">
            <w:pPr>
              <w:spacing w:before="0" w:line="240" w:lineRule="auto"/>
              <w:jc w:val="left"/>
              <w:rPr>
                <w:color w:val="000000"/>
                <w:sz w:val="18"/>
                <w:szCs w:val="18"/>
              </w:rPr>
            </w:pPr>
            <w:r w:rsidRPr="00A71C8E">
              <w:rPr>
                <w:color w:val="000000"/>
                <w:sz w:val="18"/>
                <w:szCs w:val="18"/>
              </w:rPr>
              <w:t>4023</w:t>
            </w:r>
          </w:p>
        </w:tc>
        <w:tc>
          <w:tcPr>
            <w:tcW w:w="451" w:type="pct"/>
            <w:shd w:val="clear" w:color="auto" w:fill="auto"/>
            <w:noWrap/>
            <w:vAlign w:val="bottom"/>
            <w:hideMark/>
          </w:tcPr>
          <w:p w14:paraId="3859342B" w14:textId="77777777" w:rsidR="00881780" w:rsidRPr="00A71C8E" w:rsidRDefault="00881780" w:rsidP="006F4D8F">
            <w:pPr>
              <w:spacing w:before="0" w:line="240" w:lineRule="auto"/>
              <w:jc w:val="left"/>
              <w:rPr>
                <w:color w:val="000000"/>
                <w:sz w:val="18"/>
                <w:szCs w:val="18"/>
              </w:rPr>
            </w:pPr>
            <w:r w:rsidRPr="00A71C8E">
              <w:rPr>
                <w:color w:val="000000"/>
                <w:sz w:val="18"/>
                <w:szCs w:val="18"/>
              </w:rPr>
              <w:t>3393</w:t>
            </w:r>
          </w:p>
        </w:tc>
        <w:tc>
          <w:tcPr>
            <w:tcW w:w="451" w:type="pct"/>
            <w:shd w:val="clear" w:color="auto" w:fill="auto"/>
            <w:noWrap/>
            <w:vAlign w:val="bottom"/>
            <w:hideMark/>
          </w:tcPr>
          <w:p w14:paraId="513337B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2530</w:t>
            </w:r>
          </w:p>
        </w:tc>
        <w:tc>
          <w:tcPr>
            <w:tcW w:w="441" w:type="pct"/>
            <w:shd w:val="clear" w:color="auto" w:fill="auto"/>
            <w:noWrap/>
            <w:vAlign w:val="bottom"/>
            <w:hideMark/>
          </w:tcPr>
          <w:p w14:paraId="34ECC55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2186</w:t>
            </w:r>
          </w:p>
        </w:tc>
      </w:tr>
      <w:tr w:rsidR="00881780" w:rsidRPr="00A71C8E" w14:paraId="5F25621F" w14:textId="77777777" w:rsidTr="006F4D8F">
        <w:trPr>
          <w:trHeight w:val="300"/>
        </w:trPr>
        <w:tc>
          <w:tcPr>
            <w:tcW w:w="1486" w:type="pct"/>
            <w:shd w:val="clear" w:color="auto" w:fill="auto"/>
            <w:noWrap/>
            <w:vAlign w:val="bottom"/>
            <w:hideMark/>
          </w:tcPr>
          <w:p w14:paraId="7A4DCF35"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Lubuskie</w:t>
            </w:r>
          </w:p>
        </w:tc>
        <w:tc>
          <w:tcPr>
            <w:tcW w:w="546" w:type="pct"/>
            <w:shd w:val="clear" w:color="auto" w:fill="auto"/>
            <w:noWrap/>
            <w:vAlign w:val="bottom"/>
            <w:hideMark/>
          </w:tcPr>
          <w:p w14:paraId="161312C7"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2089</w:t>
            </w:r>
          </w:p>
        </w:tc>
        <w:tc>
          <w:tcPr>
            <w:tcW w:w="546" w:type="pct"/>
            <w:shd w:val="clear" w:color="auto" w:fill="auto"/>
            <w:noWrap/>
            <w:vAlign w:val="bottom"/>
            <w:hideMark/>
          </w:tcPr>
          <w:p w14:paraId="74C40CC5"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3244</w:t>
            </w:r>
          </w:p>
        </w:tc>
        <w:tc>
          <w:tcPr>
            <w:tcW w:w="575" w:type="pct"/>
            <w:shd w:val="clear" w:color="auto" w:fill="auto"/>
            <w:noWrap/>
            <w:vAlign w:val="bottom"/>
            <w:hideMark/>
          </w:tcPr>
          <w:p w14:paraId="202ACF6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2619</w:t>
            </w:r>
          </w:p>
        </w:tc>
        <w:tc>
          <w:tcPr>
            <w:tcW w:w="504" w:type="pct"/>
            <w:shd w:val="clear" w:color="auto" w:fill="auto"/>
            <w:noWrap/>
            <w:vAlign w:val="bottom"/>
            <w:hideMark/>
          </w:tcPr>
          <w:p w14:paraId="2563D413"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2307</w:t>
            </w:r>
          </w:p>
        </w:tc>
        <w:tc>
          <w:tcPr>
            <w:tcW w:w="451" w:type="pct"/>
            <w:shd w:val="clear" w:color="auto" w:fill="auto"/>
            <w:noWrap/>
            <w:vAlign w:val="bottom"/>
            <w:hideMark/>
          </w:tcPr>
          <w:p w14:paraId="01CBAA1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1755</w:t>
            </w:r>
          </w:p>
        </w:tc>
        <w:tc>
          <w:tcPr>
            <w:tcW w:w="451" w:type="pct"/>
            <w:shd w:val="clear" w:color="auto" w:fill="auto"/>
            <w:noWrap/>
            <w:vAlign w:val="bottom"/>
            <w:hideMark/>
          </w:tcPr>
          <w:p w14:paraId="7D489E8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1210</w:t>
            </w:r>
          </w:p>
        </w:tc>
        <w:tc>
          <w:tcPr>
            <w:tcW w:w="441" w:type="pct"/>
            <w:shd w:val="clear" w:color="auto" w:fill="auto"/>
            <w:noWrap/>
            <w:vAlign w:val="bottom"/>
            <w:hideMark/>
          </w:tcPr>
          <w:p w14:paraId="65F76688" w14:textId="77777777" w:rsidR="00881780" w:rsidRPr="00A71C8E" w:rsidRDefault="00881780" w:rsidP="006F4D8F">
            <w:pPr>
              <w:spacing w:before="0" w:line="240" w:lineRule="auto"/>
              <w:jc w:val="left"/>
              <w:rPr>
                <w:color w:val="000000"/>
                <w:sz w:val="18"/>
                <w:szCs w:val="18"/>
              </w:rPr>
            </w:pPr>
            <w:r w:rsidRPr="00A71C8E">
              <w:rPr>
                <w:color w:val="000000"/>
                <w:sz w:val="18"/>
                <w:szCs w:val="18"/>
              </w:rPr>
              <w:t>935</w:t>
            </w:r>
          </w:p>
        </w:tc>
      </w:tr>
      <w:tr w:rsidR="00881780" w:rsidRPr="00A71C8E" w14:paraId="6C2CC1CA" w14:textId="77777777" w:rsidTr="006F4D8F">
        <w:trPr>
          <w:trHeight w:val="300"/>
        </w:trPr>
        <w:tc>
          <w:tcPr>
            <w:tcW w:w="1486" w:type="pct"/>
            <w:shd w:val="clear" w:color="auto" w:fill="auto"/>
            <w:noWrap/>
            <w:vAlign w:val="bottom"/>
            <w:hideMark/>
          </w:tcPr>
          <w:p w14:paraId="38321CA0" w14:textId="77777777" w:rsidR="00881780" w:rsidRPr="00A71C8E" w:rsidRDefault="00881780" w:rsidP="006F4D8F">
            <w:pPr>
              <w:spacing w:before="0" w:line="240" w:lineRule="auto"/>
              <w:jc w:val="left"/>
              <w:rPr>
                <w:color w:val="000000"/>
                <w:sz w:val="18"/>
                <w:szCs w:val="18"/>
              </w:rPr>
            </w:pPr>
            <w:r w:rsidRPr="00A71C8E">
              <w:rPr>
                <w:color w:val="000000"/>
                <w:sz w:val="18"/>
                <w:szCs w:val="18"/>
              </w:rPr>
              <w:t>Łódzkie</w:t>
            </w:r>
          </w:p>
        </w:tc>
        <w:tc>
          <w:tcPr>
            <w:tcW w:w="546" w:type="pct"/>
            <w:shd w:val="clear" w:color="auto" w:fill="auto"/>
            <w:noWrap/>
            <w:vAlign w:val="bottom"/>
            <w:hideMark/>
          </w:tcPr>
          <w:p w14:paraId="7580E609" w14:textId="77777777" w:rsidR="00881780" w:rsidRPr="00A71C8E" w:rsidRDefault="00881780" w:rsidP="006F4D8F">
            <w:pPr>
              <w:spacing w:before="0" w:line="240" w:lineRule="auto"/>
              <w:jc w:val="left"/>
              <w:rPr>
                <w:color w:val="000000"/>
                <w:sz w:val="18"/>
                <w:szCs w:val="18"/>
              </w:rPr>
            </w:pPr>
            <w:r w:rsidRPr="00A71C8E">
              <w:rPr>
                <w:color w:val="000000"/>
                <w:sz w:val="18"/>
                <w:szCs w:val="18"/>
              </w:rPr>
              <w:t>8541</w:t>
            </w:r>
          </w:p>
        </w:tc>
        <w:tc>
          <w:tcPr>
            <w:tcW w:w="546" w:type="pct"/>
            <w:shd w:val="clear" w:color="auto" w:fill="auto"/>
            <w:noWrap/>
            <w:vAlign w:val="bottom"/>
            <w:hideMark/>
          </w:tcPr>
          <w:p w14:paraId="6D05E526" w14:textId="77777777" w:rsidR="00881780" w:rsidRPr="00A71C8E" w:rsidRDefault="00881780" w:rsidP="006F4D8F">
            <w:pPr>
              <w:spacing w:before="0" w:line="240" w:lineRule="auto"/>
              <w:jc w:val="left"/>
              <w:rPr>
                <w:color w:val="000000"/>
                <w:sz w:val="18"/>
                <w:szCs w:val="18"/>
              </w:rPr>
            </w:pPr>
            <w:r w:rsidRPr="00A71C8E">
              <w:rPr>
                <w:color w:val="000000"/>
                <w:sz w:val="18"/>
                <w:szCs w:val="18"/>
              </w:rPr>
              <w:t>9544</w:t>
            </w:r>
          </w:p>
        </w:tc>
        <w:tc>
          <w:tcPr>
            <w:tcW w:w="575" w:type="pct"/>
            <w:shd w:val="clear" w:color="auto" w:fill="auto"/>
            <w:noWrap/>
            <w:vAlign w:val="bottom"/>
            <w:hideMark/>
          </w:tcPr>
          <w:p w14:paraId="1634C2A4" w14:textId="77777777" w:rsidR="00881780" w:rsidRPr="00A71C8E" w:rsidRDefault="00881780" w:rsidP="006F4D8F">
            <w:pPr>
              <w:spacing w:before="0" w:line="240" w:lineRule="auto"/>
              <w:jc w:val="left"/>
              <w:rPr>
                <w:color w:val="000000"/>
                <w:sz w:val="18"/>
                <w:szCs w:val="18"/>
              </w:rPr>
            </w:pPr>
            <w:r w:rsidRPr="00A71C8E">
              <w:rPr>
                <w:color w:val="000000"/>
                <w:sz w:val="18"/>
                <w:szCs w:val="18"/>
              </w:rPr>
              <w:t>7413</w:t>
            </w:r>
          </w:p>
        </w:tc>
        <w:tc>
          <w:tcPr>
            <w:tcW w:w="504" w:type="pct"/>
            <w:shd w:val="clear" w:color="auto" w:fill="auto"/>
            <w:noWrap/>
            <w:vAlign w:val="bottom"/>
            <w:hideMark/>
          </w:tcPr>
          <w:p w14:paraId="011BCD59" w14:textId="77777777" w:rsidR="00881780" w:rsidRPr="00A71C8E" w:rsidRDefault="00881780" w:rsidP="006F4D8F">
            <w:pPr>
              <w:spacing w:before="0" w:line="240" w:lineRule="auto"/>
              <w:jc w:val="left"/>
              <w:rPr>
                <w:color w:val="000000"/>
                <w:sz w:val="18"/>
                <w:szCs w:val="18"/>
              </w:rPr>
            </w:pPr>
            <w:r w:rsidRPr="00A71C8E">
              <w:rPr>
                <w:color w:val="000000"/>
                <w:sz w:val="18"/>
                <w:szCs w:val="18"/>
              </w:rPr>
              <w:t>6257</w:t>
            </w:r>
          </w:p>
        </w:tc>
        <w:tc>
          <w:tcPr>
            <w:tcW w:w="451" w:type="pct"/>
            <w:shd w:val="clear" w:color="auto" w:fill="auto"/>
            <w:noWrap/>
            <w:vAlign w:val="bottom"/>
            <w:hideMark/>
          </w:tcPr>
          <w:p w14:paraId="22A1728D" w14:textId="77777777" w:rsidR="00881780" w:rsidRPr="00A71C8E" w:rsidRDefault="00881780" w:rsidP="006F4D8F">
            <w:pPr>
              <w:spacing w:before="0" w:line="240" w:lineRule="auto"/>
              <w:jc w:val="left"/>
              <w:rPr>
                <w:color w:val="000000"/>
                <w:sz w:val="18"/>
                <w:szCs w:val="18"/>
              </w:rPr>
            </w:pPr>
            <w:r w:rsidRPr="00A71C8E">
              <w:rPr>
                <w:color w:val="000000"/>
                <w:sz w:val="18"/>
                <w:szCs w:val="18"/>
              </w:rPr>
              <w:t>4896</w:t>
            </w:r>
          </w:p>
        </w:tc>
        <w:tc>
          <w:tcPr>
            <w:tcW w:w="451" w:type="pct"/>
            <w:shd w:val="clear" w:color="auto" w:fill="auto"/>
            <w:noWrap/>
            <w:vAlign w:val="bottom"/>
            <w:hideMark/>
          </w:tcPr>
          <w:p w14:paraId="26B44CF0" w14:textId="77777777" w:rsidR="00881780" w:rsidRPr="00A71C8E" w:rsidRDefault="00881780" w:rsidP="006F4D8F">
            <w:pPr>
              <w:spacing w:before="0" w:line="240" w:lineRule="auto"/>
              <w:jc w:val="left"/>
              <w:rPr>
                <w:color w:val="000000"/>
                <w:sz w:val="18"/>
                <w:szCs w:val="18"/>
              </w:rPr>
            </w:pPr>
            <w:r w:rsidRPr="00A71C8E">
              <w:rPr>
                <w:color w:val="000000"/>
                <w:sz w:val="18"/>
                <w:szCs w:val="18"/>
              </w:rPr>
              <w:t>3673</w:t>
            </w:r>
          </w:p>
        </w:tc>
        <w:tc>
          <w:tcPr>
            <w:tcW w:w="441" w:type="pct"/>
            <w:shd w:val="clear" w:color="auto" w:fill="auto"/>
            <w:noWrap/>
            <w:vAlign w:val="bottom"/>
            <w:hideMark/>
          </w:tcPr>
          <w:p w14:paraId="6DF85DA0" w14:textId="77777777" w:rsidR="00881780" w:rsidRPr="00A71C8E" w:rsidRDefault="00881780" w:rsidP="006F4D8F">
            <w:pPr>
              <w:spacing w:before="0" w:line="240" w:lineRule="auto"/>
              <w:jc w:val="left"/>
              <w:rPr>
                <w:color w:val="000000"/>
                <w:sz w:val="18"/>
                <w:szCs w:val="18"/>
              </w:rPr>
            </w:pPr>
            <w:r w:rsidRPr="00A71C8E">
              <w:rPr>
                <w:color w:val="000000"/>
                <w:sz w:val="18"/>
                <w:szCs w:val="18"/>
              </w:rPr>
              <w:t>3127</w:t>
            </w:r>
          </w:p>
        </w:tc>
      </w:tr>
      <w:tr w:rsidR="00881780" w:rsidRPr="00A71C8E" w14:paraId="02B191F0" w14:textId="77777777" w:rsidTr="006F4D8F">
        <w:trPr>
          <w:trHeight w:val="300"/>
        </w:trPr>
        <w:tc>
          <w:tcPr>
            <w:tcW w:w="1486" w:type="pct"/>
            <w:shd w:val="clear" w:color="auto" w:fill="auto"/>
            <w:noWrap/>
            <w:vAlign w:val="bottom"/>
            <w:hideMark/>
          </w:tcPr>
          <w:p w14:paraId="0C1351F4"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Małopolskie</w:t>
            </w:r>
          </w:p>
        </w:tc>
        <w:tc>
          <w:tcPr>
            <w:tcW w:w="546" w:type="pct"/>
            <w:shd w:val="clear" w:color="auto" w:fill="auto"/>
            <w:noWrap/>
            <w:vAlign w:val="bottom"/>
            <w:hideMark/>
          </w:tcPr>
          <w:p w14:paraId="5C3BC2F3" w14:textId="77777777" w:rsidR="00881780" w:rsidRPr="00A71C8E" w:rsidRDefault="00881780" w:rsidP="006F4D8F">
            <w:pPr>
              <w:spacing w:before="0" w:line="240" w:lineRule="auto"/>
              <w:jc w:val="left"/>
              <w:rPr>
                <w:color w:val="000000"/>
                <w:sz w:val="18"/>
                <w:szCs w:val="18"/>
              </w:rPr>
            </w:pPr>
            <w:r w:rsidRPr="00A71C8E">
              <w:rPr>
                <w:color w:val="000000"/>
                <w:sz w:val="18"/>
                <w:szCs w:val="18"/>
              </w:rPr>
              <w:t>7720</w:t>
            </w:r>
          </w:p>
        </w:tc>
        <w:tc>
          <w:tcPr>
            <w:tcW w:w="546" w:type="pct"/>
            <w:shd w:val="clear" w:color="auto" w:fill="auto"/>
            <w:noWrap/>
            <w:vAlign w:val="bottom"/>
            <w:hideMark/>
          </w:tcPr>
          <w:p w14:paraId="7BB2BECA" w14:textId="77777777" w:rsidR="00881780" w:rsidRPr="00A71C8E" w:rsidRDefault="00881780" w:rsidP="006F4D8F">
            <w:pPr>
              <w:spacing w:before="0" w:line="240" w:lineRule="auto"/>
              <w:jc w:val="left"/>
              <w:rPr>
                <w:color w:val="000000"/>
                <w:sz w:val="18"/>
                <w:szCs w:val="18"/>
              </w:rPr>
            </w:pPr>
            <w:r w:rsidRPr="00A71C8E">
              <w:rPr>
                <w:color w:val="000000"/>
                <w:sz w:val="18"/>
                <w:szCs w:val="18"/>
              </w:rPr>
              <w:t>11972</w:t>
            </w:r>
          </w:p>
        </w:tc>
        <w:tc>
          <w:tcPr>
            <w:tcW w:w="575" w:type="pct"/>
            <w:shd w:val="clear" w:color="auto" w:fill="auto"/>
            <w:noWrap/>
            <w:vAlign w:val="bottom"/>
            <w:hideMark/>
          </w:tcPr>
          <w:p w14:paraId="134E3569" w14:textId="77777777" w:rsidR="00881780" w:rsidRPr="00A71C8E" w:rsidRDefault="00881780" w:rsidP="006F4D8F">
            <w:pPr>
              <w:spacing w:before="0" w:line="240" w:lineRule="auto"/>
              <w:jc w:val="left"/>
              <w:rPr>
                <w:color w:val="000000"/>
                <w:sz w:val="18"/>
                <w:szCs w:val="18"/>
              </w:rPr>
            </w:pPr>
            <w:r w:rsidRPr="00A71C8E">
              <w:rPr>
                <w:color w:val="000000"/>
                <w:sz w:val="18"/>
                <w:szCs w:val="18"/>
              </w:rPr>
              <w:t>10277</w:t>
            </w:r>
          </w:p>
        </w:tc>
        <w:tc>
          <w:tcPr>
            <w:tcW w:w="504" w:type="pct"/>
            <w:shd w:val="clear" w:color="auto" w:fill="auto"/>
            <w:noWrap/>
            <w:vAlign w:val="bottom"/>
            <w:hideMark/>
          </w:tcPr>
          <w:p w14:paraId="3A63B185" w14:textId="77777777" w:rsidR="00881780" w:rsidRPr="00A71C8E" w:rsidRDefault="00881780" w:rsidP="006F4D8F">
            <w:pPr>
              <w:spacing w:before="0" w:line="240" w:lineRule="auto"/>
              <w:jc w:val="left"/>
              <w:rPr>
                <w:color w:val="000000"/>
                <w:sz w:val="18"/>
                <w:szCs w:val="18"/>
              </w:rPr>
            </w:pPr>
            <w:r w:rsidRPr="00A71C8E">
              <w:rPr>
                <w:color w:val="000000"/>
                <w:sz w:val="18"/>
                <w:szCs w:val="18"/>
              </w:rPr>
              <w:t>8233</w:t>
            </w:r>
          </w:p>
        </w:tc>
        <w:tc>
          <w:tcPr>
            <w:tcW w:w="451" w:type="pct"/>
            <w:shd w:val="clear" w:color="auto" w:fill="auto"/>
            <w:noWrap/>
            <w:vAlign w:val="bottom"/>
            <w:hideMark/>
          </w:tcPr>
          <w:p w14:paraId="1D9E13E2" w14:textId="77777777" w:rsidR="00881780" w:rsidRPr="00A71C8E" w:rsidRDefault="00881780" w:rsidP="006F4D8F">
            <w:pPr>
              <w:spacing w:before="0" w:line="240" w:lineRule="auto"/>
              <w:jc w:val="left"/>
              <w:rPr>
                <w:color w:val="000000"/>
                <w:sz w:val="18"/>
                <w:szCs w:val="18"/>
              </w:rPr>
            </w:pPr>
            <w:r w:rsidRPr="00A71C8E">
              <w:rPr>
                <w:color w:val="000000"/>
                <w:sz w:val="18"/>
                <w:szCs w:val="18"/>
              </w:rPr>
              <w:t>6007</w:t>
            </w:r>
          </w:p>
        </w:tc>
        <w:tc>
          <w:tcPr>
            <w:tcW w:w="451" w:type="pct"/>
            <w:shd w:val="clear" w:color="auto" w:fill="auto"/>
            <w:noWrap/>
            <w:vAlign w:val="bottom"/>
            <w:hideMark/>
          </w:tcPr>
          <w:p w14:paraId="546D9367" w14:textId="77777777" w:rsidR="00881780" w:rsidRPr="00A71C8E" w:rsidRDefault="00881780" w:rsidP="006F4D8F">
            <w:pPr>
              <w:spacing w:before="0" w:line="240" w:lineRule="auto"/>
              <w:jc w:val="left"/>
              <w:rPr>
                <w:color w:val="000000"/>
                <w:sz w:val="18"/>
                <w:szCs w:val="18"/>
              </w:rPr>
            </w:pPr>
            <w:r w:rsidRPr="00A71C8E">
              <w:rPr>
                <w:color w:val="000000"/>
                <w:sz w:val="18"/>
                <w:szCs w:val="18"/>
              </w:rPr>
              <w:t>4433</w:t>
            </w:r>
          </w:p>
        </w:tc>
        <w:tc>
          <w:tcPr>
            <w:tcW w:w="441" w:type="pct"/>
            <w:shd w:val="clear" w:color="auto" w:fill="auto"/>
            <w:noWrap/>
            <w:vAlign w:val="bottom"/>
            <w:hideMark/>
          </w:tcPr>
          <w:p w14:paraId="0ABCA924" w14:textId="77777777" w:rsidR="00881780" w:rsidRPr="00A71C8E" w:rsidRDefault="00881780" w:rsidP="006F4D8F">
            <w:pPr>
              <w:spacing w:before="0" w:line="240" w:lineRule="auto"/>
              <w:jc w:val="left"/>
              <w:rPr>
                <w:color w:val="000000"/>
                <w:sz w:val="18"/>
                <w:szCs w:val="18"/>
              </w:rPr>
            </w:pPr>
            <w:r w:rsidRPr="00A71C8E">
              <w:rPr>
                <w:color w:val="000000"/>
                <w:sz w:val="18"/>
                <w:szCs w:val="18"/>
              </w:rPr>
              <w:t>3516</w:t>
            </w:r>
          </w:p>
        </w:tc>
      </w:tr>
      <w:tr w:rsidR="00881780" w:rsidRPr="00A71C8E" w14:paraId="425AA3BE" w14:textId="77777777" w:rsidTr="006F4D8F">
        <w:trPr>
          <w:trHeight w:val="300"/>
        </w:trPr>
        <w:tc>
          <w:tcPr>
            <w:tcW w:w="1486" w:type="pct"/>
            <w:shd w:val="clear" w:color="auto" w:fill="auto"/>
            <w:noWrap/>
            <w:vAlign w:val="bottom"/>
            <w:hideMark/>
          </w:tcPr>
          <w:p w14:paraId="71385F14"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Mazowieckie</w:t>
            </w:r>
          </w:p>
        </w:tc>
        <w:tc>
          <w:tcPr>
            <w:tcW w:w="546" w:type="pct"/>
            <w:shd w:val="clear" w:color="auto" w:fill="auto"/>
            <w:noWrap/>
            <w:vAlign w:val="bottom"/>
            <w:hideMark/>
          </w:tcPr>
          <w:p w14:paraId="1AA479A2"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12997</w:t>
            </w:r>
          </w:p>
        </w:tc>
        <w:tc>
          <w:tcPr>
            <w:tcW w:w="546" w:type="pct"/>
            <w:shd w:val="clear" w:color="auto" w:fill="auto"/>
            <w:noWrap/>
            <w:vAlign w:val="bottom"/>
            <w:hideMark/>
          </w:tcPr>
          <w:p w14:paraId="32DAED8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16673</w:t>
            </w:r>
          </w:p>
        </w:tc>
        <w:tc>
          <w:tcPr>
            <w:tcW w:w="575" w:type="pct"/>
            <w:shd w:val="clear" w:color="auto" w:fill="auto"/>
            <w:noWrap/>
            <w:vAlign w:val="bottom"/>
            <w:hideMark/>
          </w:tcPr>
          <w:p w14:paraId="13D73E4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14802</w:t>
            </w:r>
          </w:p>
        </w:tc>
        <w:tc>
          <w:tcPr>
            <w:tcW w:w="504" w:type="pct"/>
            <w:shd w:val="clear" w:color="auto" w:fill="auto"/>
            <w:noWrap/>
            <w:vAlign w:val="bottom"/>
            <w:hideMark/>
          </w:tcPr>
          <w:p w14:paraId="437D8C73"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12526</w:t>
            </w:r>
          </w:p>
        </w:tc>
        <w:tc>
          <w:tcPr>
            <w:tcW w:w="451" w:type="pct"/>
            <w:shd w:val="clear" w:color="auto" w:fill="auto"/>
            <w:noWrap/>
            <w:vAlign w:val="bottom"/>
            <w:hideMark/>
          </w:tcPr>
          <w:p w14:paraId="4282036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10632</w:t>
            </w:r>
          </w:p>
        </w:tc>
        <w:tc>
          <w:tcPr>
            <w:tcW w:w="451" w:type="pct"/>
            <w:shd w:val="clear" w:color="auto" w:fill="auto"/>
            <w:noWrap/>
            <w:vAlign w:val="bottom"/>
            <w:hideMark/>
          </w:tcPr>
          <w:p w14:paraId="10C84D6C" w14:textId="77777777" w:rsidR="00881780" w:rsidRPr="00A71C8E" w:rsidRDefault="00881780" w:rsidP="006F4D8F">
            <w:pPr>
              <w:spacing w:before="0" w:line="240" w:lineRule="auto"/>
              <w:jc w:val="left"/>
              <w:rPr>
                <w:color w:val="000000"/>
                <w:sz w:val="18"/>
                <w:szCs w:val="18"/>
              </w:rPr>
            </w:pPr>
            <w:r w:rsidRPr="00A71C8E">
              <w:rPr>
                <w:color w:val="000000"/>
                <w:sz w:val="18"/>
                <w:szCs w:val="18"/>
              </w:rPr>
              <w:t>7967</w:t>
            </w:r>
          </w:p>
        </w:tc>
        <w:tc>
          <w:tcPr>
            <w:tcW w:w="441" w:type="pct"/>
            <w:shd w:val="clear" w:color="auto" w:fill="auto"/>
            <w:noWrap/>
            <w:vAlign w:val="bottom"/>
            <w:hideMark/>
          </w:tcPr>
          <w:p w14:paraId="6F4EF003" w14:textId="77777777" w:rsidR="00881780" w:rsidRPr="00A71C8E" w:rsidRDefault="00881780" w:rsidP="006F4D8F">
            <w:pPr>
              <w:spacing w:before="0" w:line="240" w:lineRule="auto"/>
              <w:jc w:val="left"/>
              <w:rPr>
                <w:color w:val="000000"/>
                <w:sz w:val="18"/>
                <w:szCs w:val="18"/>
              </w:rPr>
            </w:pPr>
            <w:r w:rsidRPr="00A71C8E">
              <w:rPr>
                <w:color w:val="000000"/>
                <w:sz w:val="18"/>
                <w:szCs w:val="18"/>
              </w:rPr>
              <w:t>6188</w:t>
            </w:r>
          </w:p>
        </w:tc>
      </w:tr>
      <w:tr w:rsidR="00881780" w:rsidRPr="00A71C8E" w14:paraId="045148F3" w14:textId="77777777" w:rsidTr="006F4D8F">
        <w:trPr>
          <w:trHeight w:val="300"/>
        </w:trPr>
        <w:tc>
          <w:tcPr>
            <w:tcW w:w="1486" w:type="pct"/>
            <w:shd w:val="clear" w:color="auto" w:fill="auto"/>
            <w:noWrap/>
            <w:vAlign w:val="bottom"/>
            <w:hideMark/>
          </w:tcPr>
          <w:p w14:paraId="2A488538" w14:textId="77777777" w:rsidR="00881780" w:rsidRPr="00A71C8E" w:rsidRDefault="00881780" w:rsidP="006F4D8F">
            <w:pPr>
              <w:spacing w:before="0" w:line="240" w:lineRule="auto"/>
              <w:jc w:val="left"/>
              <w:rPr>
                <w:color w:val="000000"/>
                <w:sz w:val="18"/>
                <w:szCs w:val="18"/>
              </w:rPr>
            </w:pPr>
            <w:r w:rsidRPr="00A71C8E">
              <w:rPr>
                <w:color w:val="000000"/>
                <w:sz w:val="18"/>
                <w:szCs w:val="18"/>
              </w:rPr>
              <w:t>Opolskie</w:t>
            </w:r>
          </w:p>
        </w:tc>
        <w:tc>
          <w:tcPr>
            <w:tcW w:w="546" w:type="pct"/>
            <w:shd w:val="clear" w:color="auto" w:fill="auto"/>
            <w:noWrap/>
            <w:vAlign w:val="bottom"/>
            <w:hideMark/>
          </w:tcPr>
          <w:p w14:paraId="3B2B7CF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2492</w:t>
            </w:r>
          </w:p>
        </w:tc>
        <w:tc>
          <w:tcPr>
            <w:tcW w:w="546" w:type="pct"/>
            <w:shd w:val="clear" w:color="auto" w:fill="auto"/>
            <w:noWrap/>
            <w:vAlign w:val="bottom"/>
            <w:hideMark/>
          </w:tcPr>
          <w:p w14:paraId="0E664F2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2941</w:t>
            </w:r>
          </w:p>
        </w:tc>
        <w:tc>
          <w:tcPr>
            <w:tcW w:w="575" w:type="pct"/>
            <w:shd w:val="clear" w:color="auto" w:fill="auto"/>
            <w:noWrap/>
            <w:vAlign w:val="bottom"/>
            <w:hideMark/>
          </w:tcPr>
          <w:p w14:paraId="05F8285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2442</w:t>
            </w:r>
          </w:p>
        </w:tc>
        <w:tc>
          <w:tcPr>
            <w:tcW w:w="504" w:type="pct"/>
            <w:shd w:val="clear" w:color="auto" w:fill="auto"/>
            <w:noWrap/>
            <w:vAlign w:val="bottom"/>
            <w:hideMark/>
          </w:tcPr>
          <w:p w14:paraId="1C309E4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1824</w:t>
            </w:r>
          </w:p>
        </w:tc>
        <w:tc>
          <w:tcPr>
            <w:tcW w:w="451" w:type="pct"/>
            <w:shd w:val="clear" w:color="auto" w:fill="auto"/>
            <w:noWrap/>
            <w:vAlign w:val="bottom"/>
            <w:hideMark/>
          </w:tcPr>
          <w:p w14:paraId="1033AE6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1499</w:t>
            </w:r>
          </w:p>
        </w:tc>
        <w:tc>
          <w:tcPr>
            <w:tcW w:w="451" w:type="pct"/>
            <w:shd w:val="clear" w:color="auto" w:fill="auto"/>
            <w:noWrap/>
            <w:vAlign w:val="bottom"/>
            <w:hideMark/>
          </w:tcPr>
          <w:p w14:paraId="29B68541" w14:textId="77777777" w:rsidR="00881780" w:rsidRPr="00A71C8E" w:rsidRDefault="00881780" w:rsidP="006F4D8F">
            <w:pPr>
              <w:spacing w:before="0" w:line="240" w:lineRule="auto"/>
              <w:jc w:val="left"/>
              <w:rPr>
                <w:color w:val="000000"/>
                <w:sz w:val="18"/>
                <w:szCs w:val="18"/>
              </w:rPr>
            </w:pPr>
            <w:r w:rsidRPr="00A71C8E">
              <w:rPr>
                <w:color w:val="000000"/>
                <w:sz w:val="18"/>
                <w:szCs w:val="18"/>
              </w:rPr>
              <w:t>1040</w:t>
            </w:r>
          </w:p>
        </w:tc>
        <w:tc>
          <w:tcPr>
            <w:tcW w:w="441" w:type="pct"/>
            <w:shd w:val="clear" w:color="auto" w:fill="auto"/>
            <w:noWrap/>
            <w:vAlign w:val="bottom"/>
            <w:hideMark/>
          </w:tcPr>
          <w:p w14:paraId="5A22CE4D" w14:textId="77777777" w:rsidR="00881780" w:rsidRPr="00A71C8E" w:rsidRDefault="00881780" w:rsidP="006F4D8F">
            <w:pPr>
              <w:spacing w:before="0" w:line="240" w:lineRule="auto"/>
              <w:jc w:val="left"/>
              <w:rPr>
                <w:color w:val="000000"/>
                <w:sz w:val="18"/>
                <w:szCs w:val="18"/>
              </w:rPr>
            </w:pPr>
            <w:r w:rsidRPr="00A71C8E">
              <w:rPr>
                <w:color w:val="000000"/>
                <w:sz w:val="18"/>
                <w:szCs w:val="18"/>
              </w:rPr>
              <w:t>882</w:t>
            </w:r>
          </w:p>
        </w:tc>
      </w:tr>
      <w:tr w:rsidR="00881780" w:rsidRPr="00A71C8E" w14:paraId="77802702" w14:textId="77777777" w:rsidTr="006F4D8F">
        <w:trPr>
          <w:trHeight w:val="300"/>
        </w:trPr>
        <w:tc>
          <w:tcPr>
            <w:tcW w:w="1486" w:type="pct"/>
            <w:shd w:val="clear" w:color="auto" w:fill="auto"/>
            <w:noWrap/>
            <w:vAlign w:val="bottom"/>
            <w:hideMark/>
          </w:tcPr>
          <w:p w14:paraId="3D68581C"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Podkarpackie</w:t>
            </w:r>
          </w:p>
        </w:tc>
        <w:tc>
          <w:tcPr>
            <w:tcW w:w="546" w:type="pct"/>
            <w:shd w:val="clear" w:color="auto" w:fill="auto"/>
            <w:noWrap/>
            <w:vAlign w:val="bottom"/>
            <w:hideMark/>
          </w:tcPr>
          <w:p w14:paraId="67090F19" w14:textId="77777777" w:rsidR="00881780" w:rsidRPr="00A71C8E" w:rsidRDefault="00881780" w:rsidP="006F4D8F">
            <w:pPr>
              <w:spacing w:before="0" w:line="240" w:lineRule="auto"/>
              <w:jc w:val="left"/>
              <w:rPr>
                <w:color w:val="000000"/>
                <w:sz w:val="18"/>
                <w:szCs w:val="18"/>
              </w:rPr>
            </w:pPr>
            <w:r w:rsidRPr="00A71C8E">
              <w:rPr>
                <w:color w:val="000000"/>
                <w:sz w:val="18"/>
                <w:szCs w:val="18"/>
              </w:rPr>
              <w:t>4700</w:t>
            </w:r>
          </w:p>
        </w:tc>
        <w:tc>
          <w:tcPr>
            <w:tcW w:w="546" w:type="pct"/>
            <w:shd w:val="clear" w:color="auto" w:fill="auto"/>
            <w:noWrap/>
            <w:vAlign w:val="bottom"/>
            <w:hideMark/>
          </w:tcPr>
          <w:p w14:paraId="6195259F" w14:textId="77777777" w:rsidR="00881780" w:rsidRPr="00A71C8E" w:rsidRDefault="00881780" w:rsidP="006F4D8F">
            <w:pPr>
              <w:spacing w:before="0" w:line="240" w:lineRule="auto"/>
              <w:jc w:val="left"/>
              <w:rPr>
                <w:color w:val="000000"/>
                <w:sz w:val="18"/>
                <w:szCs w:val="18"/>
              </w:rPr>
            </w:pPr>
            <w:r w:rsidRPr="00A71C8E">
              <w:rPr>
                <w:color w:val="000000"/>
                <w:sz w:val="18"/>
                <w:szCs w:val="18"/>
              </w:rPr>
              <w:t>6074</w:t>
            </w:r>
          </w:p>
        </w:tc>
        <w:tc>
          <w:tcPr>
            <w:tcW w:w="575" w:type="pct"/>
            <w:shd w:val="clear" w:color="auto" w:fill="auto"/>
            <w:noWrap/>
            <w:vAlign w:val="bottom"/>
            <w:hideMark/>
          </w:tcPr>
          <w:p w14:paraId="31D1220C" w14:textId="77777777" w:rsidR="00881780" w:rsidRPr="00A71C8E" w:rsidRDefault="00881780" w:rsidP="006F4D8F">
            <w:pPr>
              <w:spacing w:before="0" w:line="240" w:lineRule="auto"/>
              <w:jc w:val="left"/>
              <w:rPr>
                <w:color w:val="000000"/>
                <w:sz w:val="18"/>
                <w:szCs w:val="18"/>
              </w:rPr>
            </w:pPr>
            <w:r w:rsidRPr="00A71C8E">
              <w:rPr>
                <w:color w:val="000000"/>
                <w:sz w:val="18"/>
                <w:szCs w:val="18"/>
              </w:rPr>
              <w:t>5823</w:t>
            </w:r>
          </w:p>
        </w:tc>
        <w:tc>
          <w:tcPr>
            <w:tcW w:w="504" w:type="pct"/>
            <w:shd w:val="clear" w:color="auto" w:fill="auto"/>
            <w:noWrap/>
            <w:vAlign w:val="bottom"/>
            <w:hideMark/>
          </w:tcPr>
          <w:p w14:paraId="3F1405AB" w14:textId="77777777" w:rsidR="00881780" w:rsidRPr="00A71C8E" w:rsidRDefault="00881780" w:rsidP="006F4D8F">
            <w:pPr>
              <w:spacing w:before="0" w:line="240" w:lineRule="auto"/>
              <w:jc w:val="left"/>
              <w:rPr>
                <w:color w:val="000000"/>
                <w:sz w:val="18"/>
                <w:szCs w:val="18"/>
              </w:rPr>
            </w:pPr>
            <w:r w:rsidRPr="00A71C8E">
              <w:rPr>
                <w:color w:val="000000"/>
                <w:sz w:val="18"/>
                <w:szCs w:val="18"/>
              </w:rPr>
              <w:t>5327</w:t>
            </w:r>
          </w:p>
        </w:tc>
        <w:tc>
          <w:tcPr>
            <w:tcW w:w="451" w:type="pct"/>
            <w:shd w:val="clear" w:color="auto" w:fill="auto"/>
            <w:noWrap/>
            <w:vAlign w:val="bottom"/>
            <w:hideMark/>
          </w:tcPr>
          <w:p w14:paraId="7E2A4CC1" w14:textId="77777777" w:rsidR="00881780" w:rsidRPr="00A71C8E" w:rsidRDefault="00881780" w:rsidP="006F4D8F">
            <w:pPr>
              <w:spacing w:before="0" w:line="240" w:lineRule="auto"/>
              <w:jc w:val="left"/>
              <w:rPr>
                <w:color w:val="000000"/>
                <w:sz w:val="18"/>
                <w:szCs w:val="18"/>
              </w:rPr>
            </w:pPr>
            <w:r w:rsidRPr="00A71C8E">
              <w:rPr>
                <w:color w:val="000000"/>
                <w:sz w:val="18"/>
                <w:szCs w:val="18"/>
              </w:rPr>
              <w:t>4277</w:t>
            </w:r>
          </w:p>
        </w:tc>
        <w:tc>
          <w:tcPr>
            <w:tcW w:w="451" w:type="pct"/>
            <w:shd w:val="clear" w:color="auto" w:fill="auto"/>
            <w:noWrap/>
            <w:vAlign w:val="bottom"/>
            <w:hideMark/>
          </w:tcPr>
          <w:p w14:paraId="37CF8DF0" w14:textId="77777777" w:rsidR="00881780" w:rsidRPr="00A71C8E" w:rsidRDefault="00881780" w:rsidP="006F4D8F">
            <w:pPr>
              <w:spacing w:before="0" w:line="240" w:lineRule="auto"/>
              <w:jc w:val="left"/>
              <w:rPr>
                <w:color w:val="000000"/>
                <w:sz w:val="18"/>
                <w:szCs w:val="18"/>
              </w:rPr>
            </w:pPr>
            <w:r w:rsidRPr="00A71C8E">
              <w:rPr>
                <w:color w:val="000000"/>
                <w:sz w:val="18"/>
                <w:szCs w:val="18"/>
              </w:rPr>
              <w:t>3534</w:t>
            </w:r>
          </w:p>
        </w:tc>
        <w:tc>
          <w:tcPr>
            <w:tcW w:w="441" w:type="pct"/>
            <w:shd w:val="clear" w:color="auto" w:fill="auto"/>
            <w:noWrap/>
            <w:vAlign w:val="bottom"/>
            <w:hideMark/>
          </w:tcPr>
          <w:p w14:paraId="3084F38D" w14:textId="77777777" w:rsidR="00881780" w:rsidRPr="00A71C8E" w:rsidRDefault="00881780" w:rsidP="006F4D8F">
            <w:pPr>
              <w:spacing w:before="0" w:line="240" w:lineRule="auto"/>
              <w:jc w:val="left"/>
              <w:rPr>
                <w:color w:val="000000"/>
                <w:sz w:val="18"/>
                <w:szCs w:val="18"/>
              </w:rPr>
            </w:pPr>
            <w:r w:rsidRPr="00A71C8E">
              <w:rPr>
                <w:color w:val="000000"/>
                <w:sz w:val="18"/>
                <w:szCs w:val="18"/>
              </w:rPr>
              <w:t>3039</w:t>
            </w:r>
          </w:p>
        </w:tc>
      </w:tr>
      <w:tr w:rsidR="00881780" w:rsidRPr="00A71C8E" w14:paraId="62654328" w14:textId="77777777" w:rsidTr="006F4D8F">
        <w:trPr>
          <w:trHeight w:val="300"/>
        </w:trPr>
        <w:tc>
          <w:tcPr>
            <w:tcW w:w="1486" w:type="pct"/>
            <w:shd w:val="clear" w:color="auto" w:fill="auto"/>
            <w:noWrap/>
            <w:vAlign w:val="bottom"/>
            <w:hideMark/>
          </w:tcPr>
          <w:p w14:paraId="0A65802D"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Podlaskie</w:t>
            </w:r>
          </w:p>
        </w:tc>
        <w:tc>
          <w:tcPr>
            <w:tcW w:w="546" w:type="pct"/>
            <w:shd w:val="clear" w:color="auto" w:fill="auto"/>
            <w:noWrap/>
            <w:vAlign w:val="bottom"/>
            <w:hideMark/>
          </w:tcPr>
          <w:p w14:paraId="72F2E8F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2065</w:t>
            </w:r>
          </w:p>
        </w:tc>
        <w:tc>
          <w:tcPr>
            <w:tcW w:w="546" w:type="pct"/>
            <w:shd w:val="clear" w:color="auto" w:fill="auto"/>
            <w:noWrap/>
            <w:vAlign w:val="bottom"/>
            <w:hideMark/>
          </w:tcPr>
          <w:p w14:paraId="6BE0CC9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2554</w:t>
            </w:r>
          </w:p>
        </w:tc>
        <w:tc>
          <w:tcPr>
            <w:tcW w:w="575" w:type="pct"/>
            <w:shd w:val="clear" w:color="auto" w:fill="auto"/>
            <w:noWrap/>
            <w:vAlign w:val="bottom"/>
            <w:hideMark/>
          </w:tcPr>
          <w:p w14:paraId="2A15637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2037</w:t>
            </w:r>
          </w:p>
        </w:tc>
        <w:tc>
          <w:tcPr>
            <w:tcW w:w="504" w:type="pct"/>
            <w:shd w:val="clear" w:color="auto" w:fill="auto"/>
            <w:noWrap/>
            <w:vAlign w:val="bottom"/>
            <w:hideMark/>
          </w:tcPr>
          <w:p w14:paraId="1194D4DF"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1784</w:t>
            </w:r>
          </w:p>
        </w:tc>
        <w:tc>
          <w:tcPr>
            <w:tcW w:w="451" w:type="pct"/>
            <w:shd w:val="clear" w:color="auto" w:fill="auto"/>
            <w:noWrap/>
            <w:vAlign w:val="bottom"/>
            <w:hideMark/>
          </w:tcPr>
          <w:p w14:paraId="15B73B4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1624</w:t>
            </w:r>
          </w:p>
        </w:tc>
        <w:tc>
          <w:tcPr>
            <w:tcW w:w="451" w:type="pct"/>
            <w:shd w:val="clear" w:color="auto" w:fill="auto"/>
            <w:noWrap/>
            <w:vAlign w:val="bottom"/>
            <w:hideMark/>
          </w:tcPr>
          <w:p w14:paraId="316A5C47"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1211</w:t>
            </w:r>
          </w:p>
        </w:tc>
        <w:tc>
          <w:tcPr>
            <w:tcW w:w="441" w:type="pct"/>
            <w:shd w:val="clear" w:color="auto" w:fill="auto"/>
            <w:noWrap/>
            <w:vAlign w:val="bottom"/>
            <w:hideMark/>
          </w:tcPr>
          <w:p w14:paraId="5862D3D4" w14:textId="77777777" w:rsidR="00881780" w:rsidRPr="00A71C8E" w:rsidRDefault="00881780" w:rsidP="006F4D8F">
            <w:pPr>
              <w:spacing w:before="0" w:line="240" w:lineRule="auto"/>
              <w:jc w:val="left"/>
              <w:rPr>
                <w:color w:val="000000"/>
                <w:sz w:val="18"/>
                <w:szCs w:val="18"/>
              </w:rPr>
            </w:pPr>
            <w:r w:rsidRPr="00A71C8E">
              <w:rPr>
                <w:color w:val="000000"/>
                <w:sz w:val="18"/>
                <w:szCs w:val="18"/>
              </w:rPr>
              <w:t>1004</w:t>
            </w:r>
          </w:p>
        </w:tc>
      </w:tr>
      <w:tr w:rsidR="00881780" w:rsidRPr="00A71C8E" w14:paraId="7E6457E6" w14:textId="77777777" w:rsidTr="006F4D8F">
        <w:trPr>
          <w:trHeight w:val="300"/>
        </w:trPr>
        <w:tc>
          <w:tcPr>
            <w:tcW w:w="1486" w:type="pct"/>
            <w:shd w:val="clear" w:color="auto" w:fill="auto"/>
            <w:noWrap/>
            <w:vAlign w:val="bottom"/>
            <w:hideMark/>
          </w:tcPr>
          <w:p w14:paraId="61CE38E2"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Pomorskie</w:t>
            </w:r>
          </w:p>
        </w:tc>
        <w:tc>
          <w:tcPr>
            <w:tcW w:w="546" w:type="pct"/>
            <w:shd w:val="clear" w:color="auto" w:fill="auto"/>
            <w:noWrap/>
            <w:vAlign w:val="bottom"/>
            <w:hideMark/>
          </w:tcPr>
          <w:p w14:paraId="3F6930C2" w14:textId="77777777" w:rsidR="00881780" w:rsidRPr="00A71C8E" w:rsidRDefault="00881780" w:rsidP="006F4D8F">
            <w:pPr>
              <w:spacing w:before="0" w:line="240" w:lineRule="auto"/>
              <w:jc w:val="left"/>
              <w:rPr>
                <w:color w:val="000000"/>
                <w:sz w:val="18"/>
                <w:szCs w:val="18"/>
              </w:rPr>
            </w:pPr>
            <w:r w:rsidRPr="00A71C8E">
              <w:rPr>
                <w:color w:val="000000"/>
                <w:sz w:val="18"/>
                <w:szCs w:val="18"/>
              </w:rPr>
              <w:t>4873</w:t>
            </w:r>
          </w:p>
        </w:tc>
        <w:tc>
          <w:tcPr>
            <w:tcW w:w="546" w:type="pct"/>
            <w:shd w:val="clear" w:color="auto" w:fill="auto"/>
            <w:noWrap/>
            <w:vAlign w:val="bottom"/>
            <w:hideMark/>
          </w:tcPr>
          <w:p w14:paraId="41806994" w14:textId="77777777" w:rsidR="00881780" w:rsidRPr="00A71C8E" w:rsidRDefault="00881780" w:rsidP="006F4D8F">
            <w:pPr>
              <w:spacing w:before="0" w:line="240" w:lineRule="auto"/>
              <w:jc w:val="left"/>
              <w:rPr>
                <w:color w:val="000000"/>
                <w:sz w:val="18"/>
                <w:szCs w:val="18"/>
              </w:rPr>
            </w:pPr>
            <w:r w:rsidRPr="00A71C8E">
              <w:rPr>
                <w:color w:val="000000"/>
                <w:sz w:val="18"/>
                <w:szCs w:val="18"/>
              </w:rPr>
              <w:t>5805</w:t>
            </w:r>
          </w:p>
        </w:tc>
        <w:tc>
          <w:tcPr>
            <w:tcW w:w="575" w:type="pct"/>
            <w:shd w:val="clear" w:color="auto" w:fill="auto"/>
            <w:noWrap/>
            <w:vAlign w:val="bottom"/>
            <w:hideMark/>
          </w:tcPr>
          <w:p w14:paraId="765F2A34" w14:textId="77777777" w:rsidR="00881780" w:rsidRPr="00A71C8E" w:rsidRDefault="00881780" w:rsidP="006F4D8F">
            <w:pPr>
              <w:spacing w:before="0" w:line="240" w:lineRule="auto"/>
              <w:jc w:val="left"/>
              <w:rPr>
                <w:color w:val="000000"/>
                <w:sz w:val="18"/>
                <w:szCs w:val="18"/>
              </w:rPr>
            </w:pPr>
            <w:r w:rsidRPr="00A71C8E">
              <w:rPr>
                <w:color w:val="000000"/>
                <w:sz w:val="18"/>
                <w:szCs w:val="18"/>
              </w:rPr>
              <w:t>4875</w:t>
            </w:r>
          </w:p>
        </w:tc>
        <w:tc>
          <w:tcPr>
            <w:tcW w:w="504" w:type="pct"/>
            <w:shd w:val="clear" w:color="auto" w:fill="auto"/>
            <w:noWrap/>
            <w:vAlign w:val="bottom"/>
            <w:hideMark/>
          </w:tcPr>
          <w:p w14:paraId="3BE30C1F" w14:textId="77777777" w:rsidR="00881780" w:rsidRPr="00A71C8E" w:rsidRDefault="00881780" w:rsidP="006F4D8F">
            <w:pPr>
              <w:spacing w:before="0" w:line="240" w:lineRule="auto"/>
              <w:jc w:val="left"/>
              <w:rPr>
                <w:color w:val="000000"/>
                <w:sz w:val="18"/>
                <w:szCs w:val="18"/>
              </w:rPr>
            </w:pPr>
            <w:r w:rsidRPr="00A71C8E">
              <w:rPr>
                <w:color w:val="000000"/>
                <w:sz w:val="18"/>
                <w:szCs w:val="18"/>
              </w:rPr>
              <w:t>3843</w:t>
            </w:r>
          </w:p>
        </w:tc>
        <w:tc>
          <w:tcPr>
            <w:tcW w:w="451" w:type="pct"/>
            <w:shd w:val="clear" w:color="auto" w:fill="auto"/>
            <w:noWrap/>
            <w:vAlign w:val="bottom"/>
            <w:hideMark/>
          </w:tcPr>
          <w:p w14:paraId="1054C53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2866</w:t>
            </w:r>
          </w:p>
        </w:tc>
        <w:tc>
          <w:tcPr>
            <w:tcW w:w="451" w:type="pct"/>
            <w:shd w:val="clear" w:color="auto" w:fill="auto"/>
            <w:noWrap/>
            <w:vAlign w:val="bottom"/>
            <w:hideMark/>
          </w:tcPr>
          <w:p w14:paraId="1F1EEBE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2239</w:t>
            </w:r>
          </w:p>
        </w:tc>
        <w:tc>
          <w:tcPr>
            <w:tcW w:w="441" w:type="pct"/>
            <w:shd w:val="clear" w:color="auto" w:fill="auto"/>
            <w:noWrap/>
            <w:vAlign w:val="bottom"/>
            <w:hideMark/>
          </w:tcPr>
          <w:p w14:paraId="004BFE3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1716</w:t>
            </w:r>
          </w:p>
        </w:tc>
      </w:tr>
      <w:tr w:rsidR="00881780" w:rsidRPr="00A71C8E" w14:paraId="2A5818D1" w14:textId="77777777" w:rsidTr="006F4D8F">
        <w:trPr>
          <w:trHeight w:val="300"/>
        </w:trPr>
        <w:tc>
          <w:tcPr>
            <w:tcW w:w="1486" w:type="pct"/>
            <w:shd w:val="clear" w:color="auto" w:fill="auto"/>
            <w:noWrap/>
            <w:vAlign w:val="bottom"/>
            <w:hideMark/>
          </w:tcPr>
          <w:p w14:paraId="6A8CFD2D" w14:textId="77777777" w:rsidR="00881780" w:rsidRPr="00A71C8E" w:rsidRDefault="00881780" w:rsidP="006F4D8F">
            <w:pPr>
              <w:spacing w:before="0" w:line="240" w:lineRule="auto"/>
              <w:jc w:val="left"/>
              <w:rPr>
                <w:color w:val="000000"/>
                <w:sz w:val="18"/>
                <w:szCs w:val="18"/>
              </w:rPr>
            </w:pPr>
            <w:r w:rsidRPr="00A71C8E">
              <w:rPr>
                <w:color w:val="000000"/>
                <w:sz w:val="18"/>
                <w:szCs w:val="18"/>
              </w:rPr>
              <w:t>Śląskie</w:t>
            </w:r>
          </w:p>
        </w:tc>
        <w:tc>
          <w:tcPr>
            <w:tcW w:w="546" w:type="pct"/>
            <w:shd w:val="clear" w:color="auto" w:fill="auto"/>
            <w:noWrap/>
            <w:vAlign w:val="bottom"/>
            <w:hideMark/>
          </w:tcPr>
          <w:p w14:paraId="3DD9A1DB" w14:textId="77777777" w:rsidR="00881780" w:rsidRPr="00A71C8E" w:rsidRDefault="00881780" w:rsidP="006F4D8F">
            <w:pPr>
              <w:spacing w:before="0" w:line="240" w:lineRule="auto"/>
              <w:jc w:val="left"/>
              <w:rPr>
                <w:color w:val="000000"/>
                <w:sz w:val="18"/>
                <w:szCs w:val="18"/>
              </w:rPr>
            </w:pPr>
            <w:r w:rsidRPr="00A71C8E">
              <w:rPr>
                <w:color w:val="000000"/>
                <w:sz w:val="18"/>
                <w:szCs w:val="18"/>
              </w:rPr>
              <w:t>9320</w:t>
            </w:r>
          </w:p>
        </w:tc>
        <w:tc>
          <w:tcPr>
            <w:tcW w:w="546" w:type="pct"/>
            <w:shd w:val="clear" w:color="auto" w:fill="auto"/>
            <w:noWrap/>
            <w:vAlign w:val="bottom"/>
            <w:hideMark/>
          </w:tcPr>
          <w:p w14:paraId="612327B9" w14:textId="77777777" w:rsidR="00881780" w:rsidRPr="00A71C8E" w:rsidRDefault="00881780" w:rsidP="006F4D8F">
            <w:pPr>
              <w:spacing w:before="0" w:line="240" w:lineRule="auto"/>
              <w:jc w:val="left"/>
              <w:rPr>
                <w:color w:val="000000"/>
                <w:sz w:val="18"/>
                <w:szCs w:val="18"/>
              </w:rPr>
            </w:pPr>
            <w:r w:rsidRPr="00A71C8E">
              <w:rPr>
                <w:color w:val="000000"/>
                <w:sz w:val="18"/>
                <w:szCs w:val="18"/>
              </w:rPr>
              <w:t>12448</w:t>
            </w:r>
          </w:p>
        </w:tc>
        <w:tc>
          <w:tcPr>
            <w:tcW w:w="575" w:type="pct"/>
            <w:shd w:val="clear" w:color="auto" w:fill="auto"/>
            <w:noWrap/>
            <w:vAlign w:val="bottom"/>
            <w:hideMark/>
          </w:tcPr>
          <w:p w14:paraId="1CB7C3E5" w14:textId="77777777" w:rsidR="00881780" w:rsidRPr="00A71C8E" w:rsidRDefault="00881780" w:rsidP="006F4D8F">
            <w:pPr>
              <w:spacing w:before="0" w:line="240" w:lineRule="auto"/>
              <w:jc w:val="left"/>
              <w:rPr>
                <w:color w:val="000000"/>
                <w:sz w:val="18"/>
                <w:szCs w:val="18"/>
              </w:rPr>
            </w:pPr>
            <w:r w:rsidRPr="00A71C8E">
              <w:rPr>
                <w:color w:val="000000"/>
                <w:sz w:val="18"/>
                <w:szCs w:val="18"/>
              </w:rPr>
              <w:t>9498</w:t>
            </w:r>
          </w:p>
        </w:tc>
        <w:tc>
          <w:tcPr>
            <w:tcW w:w="504" w:type="pct"/>
            <w:shd w:val="clear" w:color="auto" w:fill="auto"/>
            <w:noWrap/>
            <w:vAlign w:val="bottom"/>
            <w:hideMark/>
          </w:tcPr>
          <w:p w14:paraId="50E2D9F1" w14:textId="77777777" w:rsidR="00881780" w:rsidRPr="00A71C8E" w:rsidRDefault="00881780" w:rsidP="006F4D8F">
            <w:pPr>
              <w:spacing w:before="0" w:line="240" w:lineRule="auto"/>
              <w:jc w:val="left"/>
              <w:rPr>
                <w:color w:val="000000"/>
                <w:sz w:val="18"/>
                <w:szCs w:val="18"/>
              </w:rPr>
            </w:pPr>
            <w:r w:rsidRPr="00A71C8E">
              <w:rPr>
                <w:color w:val="000000"/>
                <w:sz w:val="18"/>
                <w:szCs w:val="18"/>
              </w:rPr>
              <w:t>7904</w:t>
            </w:r>
          </w:p>
        </w:tc>
        <w:tc>
          <w:tcPr>
            <w:tcW w:w="451" w:type="pct"/>
            <w:shd w:val="clear" w:color="auto" w:fill="auto"/>
            <w:noWrap/>
            <w:vAlign w:val="bottom"/>
            <w:hideMark/>
          </w:tcPr>
          <w:p w14:paraId="29CFE3C5" w14:textId="77777777" w:rsidR="00881780" w:rsidRPr="00A71C8E" w:rsidRDefault="00881780" w:rsidP="006F4D8F">
            <w:pPr>
              <w:spacing w:before="0" w:line="240" w:lineRule="auto"/>
              <w:jc w:val="left"/>
              <w:rPr>
                <w:color w:val="000000"/>
                <w:sz w:val="18"/>
                <w:szCs w:val="18"/>
              </w:rPr>
            </w:pPr>
            <w:r w:rsidRPr="00A71C8E">
              <w:rPr>
                <w:color w:val="000000"/>
                <w:sz w:val="18"/>
                <w:szCs w:val="18"/>
              </w:rPr>
              <w:t>6243</w:t>
            </w:r>
          </w:p>
        </w:tc>
        <w:tc>
          <w:tcPr>
            <w:tcW w:w="451" w:type="pct"/>
            <w:shd w:val="clear" w:color="auto" w:fill="auto"/>
            <w:noWrap/>
            <w:vAlign w:val="bottom"/>
            <w:hideMark/>
          </w:tcPr>
          <w:p w14:paraId="2761C1A7" w14:textId="77777777" w:rsidR="00881780" w:rsidRPr="00A71C8E" w:rsidRDefault="00881780" w:rsidP="006F4D8F">
            <w:pPr>
              <w:spacing w:before="0" w:line="240" w:lineRule="auto"/>
              <w:jc w:val="left"/>
              <w:rPr>
                <w:color w:val="000000"/>
                <w:sz w:val="18"/>
                <w:szCs w:val="18"/>
              </w:rPr>
            </w:pPr>
            <w:r w:rsidRPr="00A71C8E">
              <w:rPr>
                <w:color w:val="000000"/>
                <w:sz w:val="18"/>
                <w:szCs w:val="18"/>
              </w:rPr>
              <w:t>4325</w:t>
            </w:r>
          </w:p>
        </w:tc>
        <w:tc>
          <w:tcPr>
            <w:tcW w:w="441" w:type="pct"/>
            <w:shd w:val="clear" w:color="auto" w:fill="auto"/>
            <w:noWrap/>
            <w:vAlign w:val="bottom"/>
            <w:hideMark/>
          </w:tcPr>
          <w:p w14:paraId="6C4EE946" w14:textId="77777777" w:rsidR="00881780" w:rsidRPr="00A71C8E" w:rsidRDefault="00881780" w:rsidP="006F4D8F">
            <w:pPr>
              <w:spacing w:before="0" w:line="240" w:lineRule="auto"/>
              <w:jc w:val="left"/>
              <w:rPr>
                <w:color w:val="000000"/>
                <w:sz w:val="18"/>
                <w:szCs w:val="18"/>
              </w:rPr>
            </w:pPr>
            <w:r w:rsidRPr="00A71C8E">
              <w:rPr>
                <w:color w:val="000000"/>
                <w:sz w:val="18"/>
                <w:szCs w:val="18"/>
              </w:rPr>
              <w:t>3418</w:t>
            </w:r>
          </w:p>
        </w:tc>
      </w:tr>
      <w:tr w:rsidR="00881780" w:rsidRPr="00A71C8E" w14:paraId="5EB3CB7F" w14:textId="77777777" w:rsidTr="006F4D8F">
        <w:trPr>
          <w:trHeight w:val="300"/>
        </w:trPr>
        <w:tc>
          <w:tcPr>
            <w:tcW w:w="1486" w:type="pct"/>
            <w:shd w:val="clear" w:color="auto" w:fill="auto"/>
            <w:noWrap/>
            <w:vAlign w:val="bottom"/>
            <w:hideMark/>
          </w:tcPr>
          <w:p w14:paraId="10BCE378" w14:textId="77777777" w:rsidR="00881780" w:rsidRPr="00A71C8E" w:rsidRDefault="00881780" w:rsidP="006F4D8F">
            <w:pPr>
              <w:spacing w:before="0" w:line="240" w:lineRule="auto"/>
              <w:jc w:val="left"/>
              <w:rPr>
                <w:color w:val="000000"/>
                <w:sz w:val="18"/>
                <w:szCs w:val="18"/>
              </w:rPr>
            </w:pPr>
            <w:r w:rsidRPr="00A71C8E">
              <w:rPr>
                <w:color w:val="000000"/>
                <w:sz w:val="18"/>
                <w:szCs w:val="18"/>
              </w:rPr>
              <w:t>Świętokrzyskie</w:t>
            </w:r>
          </w:p>
        </w:tc>
        <w:tc>
          <w:tcPr>
            <w:tcW w:w="546" w:type="pct"/>
            <w:shd w:val="clear" w:color="auto" w:fill="auto"/>
            <w:noWrap/>
            <w:vAlign w:val="bottom"/>
            <w:hideMark/>
          </w:tcPr>
          <w:p w14:paraId="396F286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2818</w:t>
            </w:r>
          </w:p>
        </w:tc>
        <w:tc>
          <w:tcPr>
            <w:tcW w:w="546" w:type="pct"/>
            <w:shd w:val="clear" w:color="auto" w:fill="auto"/>
            <w:noWrap/>
            <w:vAlign w:val="bottom"/>
            <w:hideMark/>
          </w:tcPr>
          <w:p w14:paraId="786D6E33" w14:textId="77777777" w:rsidR="00881780" w:rsidRPr="00A71C8E" w:rsidRDefault="00881780" w:rsidP="006F4D8F">
            <w:pPr>
              <w:spacing w:before="0" w:line="240" w:lineRule="auto"/>
              <w:jc w:val="left"/>
              <w:rPr>
                <w:color w:val="000000"/>
                <w:sz w:val="18"/>
                <w:szCs w:val="18"/>
              </w:rPr>
            </w:pPr>
            <w:r w:rsidRPr="00A71C8E">
              <w:rPr>
                <w:color w:val="000000"/>
                <w:sz w:val="18"/>
                <w:szCs w:val="18"/>
              </w:rPr>
              <w:t>4304</w:t>
            </w:r>
          </w:p>
        </w:tc>
        <w:tc>
          <w:tcPr>
            <w:tcW w:w="575" w:type="pct"/>
            <w:shd w:val="clear" w:color="auto" w:fill="auto"/>
            <w:noWrap/>
            <w:vAlign w:val="bottom"/>
            <w:hideMark/>
          </w:tcPr>
          <w:p w14:paraId="19298D9F" w14:textId="77777777" w:rsidR="00881780" w:rsidRPr="00A71C8E" w:rsidRDefault="00881780" w:rsidP="006F4D8F">
            <w:pPr>
              <w:spacing w:before="0" w:line="240" w:lineRule="auto"/>
              <w:jc w:val="left"/>
              <w:rPr>
                <w:color w:val="000000"/>
                <w:sz w:val="18"/>
                <w:szCs w:val="18"/>
              </w:rPr>
            </w:pPr>
            <w:r w:rsidRPr="00A71C8E">
              <w:rPr>
                <w:color w:val="000000"/>
                <w:sz w:val="18"/>
                <w:szCs w:val="18"/>
              </w:rPr>
              <w:t>3903</w:t>
            </w:r>
          </w:p>
        </w:tc>
        <w:tc>
          <w:tcPr>
            <w:tcW w:w="504" w:type="pct"/>
            <w:shd w:val="clear" w:color="auto" w:fill="auto"/>
            <w:noWrap/>
            <w:vAlign w:val="bottom"/>
            <w:hideMark/>
          </w:tcPr>
          <w:p w14:paraId="6A2AC03C"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3247</w:t>
            </w:r>
          </w:p>
        </w:tc>
        <w:tc>
          <w:tcPr>
            <w:tcW w:w="451" w:type="pct"/>
            <w:shd w:val="clear" w:color="auto" w:fill="auto"/>
            <w:noWrap/>
            <w:vAlign w:val="bottom"/>
            <w:hideMark/>
          </w:tcPr>
          <w:p w14:paraId="051DB5D6"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2755</w:t>
            </w:r>
          </w:p>
        </w:tc>
        <w:tc>
          <w:tcPr>
            <w:tcW w:w="451" w:type="pct"/>
            <w:shd w:val="clear" w:color="auto" w:fill="auto"/>
            <w:noWrap/>
            <w:vAlign w:val="bottom"/>
            <w:hideMark/>
          </w:tcPr>
          <w:p w14:paraId="5FD585C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2121</w:t>
            </w:r>
          </w:p>
        </w:tc>
        <w:tc>
          <w:tcPr>
            <w:tcW w:w="441" w:type="pct"/>
            <w:shd w:val="clear" w:color="auto" w:fill="auto"/>
            <w:noWrap/>
            <w:vAlign w:val="bottom"/>
            <w:hideMark/>
          </w:tcPr>
          <w:p w14:paraId="1D79A4C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1807</w:t>
            </w:r>
          </w:p>
        </w:tc>
      </w:tr>
      <w:tr w:rsidR="00881780" w:rsidRPr="00A71C8E" w14:paraId="448783D6" w14:textId="77777777" w:rsidTr="006F4D8F">
        <w:trPr>
          <w:trHeight w:val="300"/>
        </w:trPr>
        <w:tc>
          <w:tcPr>
            <w:tcW w:w="1486" w:type="pct"/>
            <w:shd w:val="clear" w:color="auto" w:fill="auto"/>
            <w:noWrap/>
            <w:vAlign w:val="bottom"/>
            <w:hideMark/>
          </w:tcPr>
          <w:p w14:paraId="3292B97A" w14:textId="77777777" w:rsidR="00881780" w:rsidRPr="00A71C8E" w:rsidRDefault="00881780" w:rsidP="006F4D8F">
            <w:pPr>
              <w:spacing w:before="0" w:line="240" w:lineRule="auto"/>
              <w:jc w:val="left"/>
              <w:rPr>
                <w:color w:val="000000"/>
                <w:sz w:val="18"/>
                <w:szCs w:val="18"/>
              </w:rPr>
            </w:pPr>
            <w:r w:rsidRPr="00A71C8E">
              <w:rPr>
                <w:color w:val="000000"/>
                <w:sz w:val="18"/>
                <w:szCs w:val="18"/>
              </w:rPr>
              <w:t>Warmińsko-Mazurskie</w:t>
            </w:r>
          </w:p>
        </w:tc>
        <w:tc>
          <w:tcPr>
            <w:tcW w:w="546" w:type="pct"/>
            <w:shd w:val="clear" w:color="auto" w:fill="auto"/>
            <w:noWrap/>
            <w:vAlign w:val="bottom"/>
            <w:hideMark/>
          </w:tcPr>
          <w:p w14:paraId="41E25E34" w14:textId="77777777" w:rsidR="00881780" w:rsidRPr="00A71C8E" w:rsidRDefault="00881780" w:rsidP="006F4D8F">
            <w:pPr>
              <w:spacing w:before="0" w:line="240" w:lineRule="auto"/>
              <w:jc w:val="left"/>
              <w:rPr>
                <w:color w:val="000000"/>
                <w:sz w:val="18"/>
                <w:szCs w:val="18"/>
              </w:rPr>
            </w:pPr>
            <w:r w:rsidRPr="00A71C8E">
              <w:rPr>
                <w:color w:val="000000"/>
                <w:sz w:val="18"/>
                <w:szCs w:val="18"/>
              </w:rPr>
              <w:t>3325</w:t>
            </w:r>
          </w:p>
        </w:tc>
        <w:tc>
          <w:tcPr>
            <w:tcW w:w="546" w:type="pct"/>
            <w:shd w:val="clear" w:color="auto" w:fill="auto"/>
            <w:noWrap/>
            <w:vAlign w:val="bottom"/>
            <w:hideMark/>
          </w:tcPr>
          <w:p w14:paraId="2444C569" w14:textId="77777777" w:rsidR="00881780" w:rsidRPr="00A71C8E" w:rsidRDefault="00881780" w:rsidP="006F4D8F">
            <w:pPr>
              <w:spacing w:before="0" w:line="240" w:lineRule="auto"/>
              <w:jc w:val="left"/>
              <w:rPr>
                <w:color w:val="000000"/>
                <w:sz w:val="18"/>
                <w:szCs w:val="18"/>
              </w:rPr>
            </w:pPr>
            <w:r w:rsidRPr="00A71C8E">
              <w:rPr>
                <w:color w:val="000000"/>
                <w:sz w:val="18"/>
                <w:szCs w:val="18"/>
              </w:rPr>
              <w:t>4548</w:t>
            </w:r>
          </w:p>
        </w:tc>
        <w:tc>
          <w:tcPr>
            <w:tcW w:w="575" w:type="pct"/>
            <w:shd w:val="clear" w:color="auto" w:fill="auto"/>
            <w:noWrap/>
            <w:vAlign w:val="bottom"/>
            <w:hideMark/>
          </w:tcPr>
          <w:p w14:paraId="7D5622C9" w14:textId="77777777" w:rsidR="00881780" w:rsidRPr="00A71C8E" w:rsidRDefault="00881780" w:rsidP="006F4D8F">
            <w:pPr>
              <w:spacing w:before="0" w:line="240" w:lineRule="auto"/>
              <w:jc w:val="left"/>
              <w:rPr>
                <w:color w:val="000000"/>
                <w:sz w:val="18"/>
                <w:szCs w:val="18"/>
              </w:rPr>
            </w:pPr>
            <w:r w:rsidRPr="00A71C8E">
              <w:rPr>
                <w:color w:val="000000"/>
                <w:sz w:val="18"/>
                <w:szCs w:val="18"/>
              </w:rPr>
              <w:t>3858</w:t>
            </w:r>
          </w:p>
        </w:tc>
        <w:tc>
          <w:tcPr>
            <w:tcW w:w="504" w:type="pct"/>
            <w:shd w:val="clear" w:color="auto" w:fill="auto"/>
            <w:noWrap/>
            <w:vAlign w:val="bottom"/>
            <w:hideMark/>
          </w:tcPr>
          <w:p w14:paraId="6C816A75" w14:textId="77777777" w:rsidR="00881780" w:rsidRPr="00A71C8E" w:rsidRDefault="00881780" w:rsidP="006F4D8F">
            <w:pPr>
              <w:spacing w:before="0" w:line="240" w:lineRule="auto"/>
              <w:jc w:val="left"/>
              <w:rPr>
                <w:color w:val="000000"/>
                <w:sz w:val="18"/>
                <w:szCs w:val="18"/>
              </w:rPr>
            </w:pPr>
            <w:r w:rsidRPr="00A71C8E">
              <w:rPr>
                <w:color w:val="000000"/>
                <w:sz w:val="18"/>
                <w:szCs w:val="18"/>
              </w:rPr>
              <w:t>3178</w:t>
            </w:r>
          </w:p>
        </w:tc>
        <w:tc>
          <w:tcPr>
            <w:tcW w:w="451" w:type="pct"/>
            <w:shd w:val="clear" w:color="auto" w:fill="auto"/>
            <w:noWrap/>
            <w:vAlign w:val="bottom"/>
            <w:hideMark/>
          </w:tcPr>
          <w:p w14:paraId="3BDE0B0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2611</w:t>
            </w:r>
          </w:p>
        </w:tc>
        <w:tc>
          <w:tcPr>
            <w:tcW w:w="451" w:type="pct"/>
            <w:shd w:val="clear" w:color="auto" w:fill="auto"/>
            <w:noWrap/>
            <w:vAlign w:val="bottom"/>
            <w:hideMark/>
          </w:tcPr>
          <w:p w14:paraId="505912F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1981</w:t>
            </w:r>
          </w:p>
        </w:tc>
        <w:tc>
          <w:tcPr>
            <w:tcW w:w="441" w:type="pct"/>
            <w:shd w:val="clear" w:color="auto" w:fill="auto"/>
            <w:noWrap/>
            <w:vAlign w:val="bottom"/>
            <w:hideMark/>
          </w:tcPr>
          <w:p w14:paraId="043A1D6D"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1598</w:t>
            </w:r>
          </w:p>
        </w:tc>
      </w:tr>
      <w:tr w:rsidR="00881780" w:rsidRPr="00A71C8E" w14:paraId="1C9C04FF" w14:textId="77777777" w:rsidTr="006F4D8F">
        <w:trPr>
          <w:trHeight w:val="300"/>
        </w:trPr>
        <w:tc>
          <w:tcPr>
            <w:tcW w:w="1486" w:type="pct"/>
            <w:shd w:val="clear" w:color="auto" w:fill="auto"/>
            <w:noWrap/>
            <w:vAlign w:val="bottom"/>
            <w:hideMark/>
          </w:tcPr>
          <w:p w14:paraId="1DD98D26" w14:textId="77777777" w:rsidR="00881780" w:rsidRPr="00A71C8E" w:rsidRDefault="00881780" w:rsidP="006F4D8F">
            <w:pPr>
              <w:spacing w:before="0" w:line="240" w:lineRule="auto"/>
              <w:jc w:val="left"/>
              <w:rPr>
                <w:color w:val="000000"/>
                <w:sz w:val="18"/>
                <w:szCs w:val="18"/>
              </w:rPr>
            </w:pPr>
            <w:r w:rsidRPr="00A71C8E">
              <w:rPr>
                <w:color w:val="000000"/>
                <w:sz w:val="18"/>
                <w:szCs w:val="18"/>
              </w:rPr>
              <w:t>Wielkopolskie</w:t>
            </w:r>
          </w:p>
        </w:tc>
        <w:tc>
          <w:tcPr>
            <w:tcW w:w="546" w:type="pct"/>
            <w:shd w:val="clear" w:color="auto" w:fill="auto"/>
            <w:noWrap/>
            <w:vAlign w:val="bottom"/>
            <w:hideMark/>
          </w:tcPr>
          <w:p w14:paraId="3E08AD91" w14:textId="77777777" w:rsidR="00881780" w:rsidRPr="00A71C8E" w:rsidRDefault="00881780" w:rsidP="006F4D8F">
            <w:pPr>
              <w:spacing w:before="0" w:line="240" w:lineRule="auto"/>
              <w:jc w:val="left"/>
              <w:rPr>
                <w:color w:val="000000"/>
                <w:sz w:val="18"/>
                <w:szCs w:val="18"/>
              </w:rPr>
            </w:pPr>
            <w:r w:rsidRPr="00A71C8E">
              <w:rPr>
                <w:color w:val="000000"/>
                <w:sz w:val="18"/>
                <w:szCs w:val="18"/>
              </w:rPr>
              <w:t>8242</w:t>
            </w:r>
          </w:p>
        </w:tc>
        <w:tc>
          <w:tcPr>
            <w:tcW w:w="546" w:type="pct"/>
            <w:shd w:val="clear" w:color="auto" w:fill="auto"/>
            <w:noWrap/>
            <w:vAlign w:val="bottom"/>
            <w:hideMark/>
          </w:tcPr>
          <w:p w14:paraId="6DF76771" w14:textId="77777777" w:rsidR="00881780" w:rsidRPr="00A71C8E" w:rsidRDefault="00881780" w:rsidP="006F4D8F">
            <w:pPr>
              <w:spacing w:before="0" w:line="240" w:lineRule="auto"/>
              <w:jc w:val="left"/>
              <w:rPr>
                <w:color w:val="000000"/>
                <w:sz w:val="18"/>
                <w:szCs w:val="18"/>
              </w:rPr>
            </w:pPr>
            <w:r w:rsidRPr="00A71C8E">
              <w:rPr>
                <w:color w:val="000000"/>
                <w:sz w:val="18"/>
                <w:szCs w:val="18"/>
              </w:rPr>
              <w:t>10070</w:t>
            </w:r>
          </w:p>
        </w:tc>
        <w:tc>
          <w:tcPr>
            <w:tcW w:w="575" w:type="pct"/>
            <w:shd w:val="clear" w:color="auto" w:fill="auto"/>
            <w:noWrap/>
            <w:vAlign w:val="bottom"/>
            <w:hideMark/>
          </w:tcPr>
          <w:p w14:paraId="47485D1A" w14:textId="77777777" w:rsidR="00881780" w:rsidRPr="00A71C8E" w:rsidRDefault="00881780" w:rsidP="006F4D8F">
            <w:pPr>
              <w:spacing w:before="0" w:line="240" w:lineRule="auto"/>
              <w:jc w:val="left"/>
              <w:rPr>
                <w:color w:val="000000"/>
                <w:sz w:val="18"/>
                <w:szCs w:val="18"/>
              </w:rPr>
            </w:pPr>
            <w:r w:rsidRPr="00A71C8E">
              <w:rPr>
                <w:color w:val="000000"/>
                <w:sz w:val="18"/>
                <w:szCs w:val="18"/>
              </w:rPr>
              <w:t>7945</w:t>
            </w:r>
          </w:p>
        </w:tc>
        <w:tc>
          <w:tcPr>
            <w:tcW w:w="504" w:type="pct"/>
            <w:shd w:val="clear" w:color="auto" w:fill="auto"/>
            <w:noWrap/>
            <w:vAlign w:val="bottom"/>
            <w:hideMark/>
          </w:tcPr>
          <w:p w14:paraId="3E287C72" w14:textId="77777777" w:rsidR="00881780" w:rsidRPr="00A71C8E" w:rsidRDefault="00881780" w:rsidP="006F4D8F">
            <w:pPr>
              <w:spacing w:before="0" w:line="240" w:lineRule="auto"/>
              <w:jc w:val="left"/>
              <w:rPr>
                <w:color w:val="000000"/>
                <w:sz w:val="18"/>
                <w:szCs w:val="18"/>
              </w:rPr>
            </w:pPr>
            <w:r w:rsidRPr="00A71C8E">
              <w:rPr>
                <w:color w:val="000000"/>
                <w:sz w:val="18"/>
                <w:szCs w:val="18"/>
              </w:rPr>
              <w:t>6651</w:t>
            </w:r>
          </w:p>
        </w:tc>
        <w:tc>
          <w:tcPr>
            <w:tcW w:w="451" w:type="pct"/>
            <w:shd w:val="clear" w:color="auto" w:fill="auto"/>
            <w:noWrap/>
            <w:vAlign w:val="bottom"/>
            <w:hideMark/>
          </w:tcPr>
          <w:p w14:paraId="323AFEA0" w14:textId="77777777" w:rsidR="00881780" w:rsidRPr="00A71C8E" w:rsidRDefault="00881780" w:rsidP="006F4D8F">
            <w:pPr>
              <w:spacing w:before="0" w:line="240" w:lineRule="auto"/>
              <w:jc w:val="left"/>
              <w:rPr>
                <w:color w:val="000000"/>
                <w:sz w:val="18"/>
                <w:szCs w:val="18"/>
              </w:rPr>
            </w:pPr>
            <w:r w:rsidRPr="00A71C8E">
              <w:rPr>
                <w:color w:val="000000"/>
                <w:sz w:val="18"/>
                <w:szCs w:val="18"/>
              </w:rPr>
              <w:t>4731</w:t>
            </w:r>
          </w:p>
        </w:tc>
        <w:tc>
          <w:tcPr>
            <w:tcW w:w="451" w:type="pct"/>
            <w:shd w:val="clear" w:color="auto" w:fill="auto"/>
            <w:noWrap/>
            <w:vAlign w:val="bottom"/>
            <w:hideMark/>
          </w:tcPr>
          <w:p w14:paraId="1C471878"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3219</w:t>
            </w:r>
          </w:p>
        </w:tc>
        <w:tc>
          <w:tcPr>
            <w:tcW w:w="441" w:type="pct"/>
            <w:shd w:val="clear" w:color="auto" w:fill="auto"/>
            <w:noWrap/>
            <w:vAlign w:val="bottom"/>
            <w:hideMark/>
          </w:tcPr>
          <w:p w14:paraId="6E826CFC"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2631</w:t>
            </w:r>
          </w:p>
        </w:tc>
      </w:tr>
      <w:tr w:rsidR="00881780" w:rsidRPr="00A71C8E" w14:paraId="3D2754C8" w14:textId="77777777" w:rsidTr="00C22C26">
        <w:trPr>
          <w:trHeight w:val="300"/>
        </w:trPr>
        <w:tc>
          <w:tcPr>
            <w:tcW w:w="1486" w:type="pct"/>
            <w:shd w:val="clear" w:color="auto" w:fill="auto"/>
            <w:noWrap/>
            <w:hideMark/>
          </w:tcPr>
          <w:p w14:paraId="28787172" w14:textId="77777777" w:rsidR="00881780" w:rsidRPr="00A71C8E" w:rsidRDefault="00881780" w:rsidP="006F4D8F">
            <w:pPr>
              <w:spacing w:before="0" w:line="240" w:lineRule="auto"/>
              <w:jc w:val="left"/>
              <w:rPr>
                <w:color w:val="000000"/>
                <w:sz w:val="18"/>
                <w:szCs w:val="18"/>
              </w:rPr>
            </w:pPr>
            <w:r w:rsidRPr="00A71C8E">
              <w:rPr>
                <w:color w:val="000000"/>
                <w:sz w:val="18"/>
                <w:szCs w:val="18"/>
              </w:rPr>
              <w:t>Zachodniopomorskie</w:t>
            </w:r>
          </w:p>
        </w:tc>
        <w:tc>
          <w:tcPr>
            <w:tcW w:w="546" w:type="pct"/>
            <w:shd w:val="clear" w:color="auto" w:fill="auto"/>
            <w:noWrap/>
            <w:hideMark/>
          </w:tcPr>
          <w:p w14:paraId="2FA4EED8" w14:textId="77777777" w:rsidR="00881780" w:rsidRPr="00A71C8E" w:rsidRDefault="00881780" w:rsidP="006F4D8F">
            <w:pPr>
              <w:spacing w:before="0" w:line="240" w:lineRule="auto"/>
              <w:jc w:val="left"/>
              <w:rPr>
                <w:color w:val="000000"/>
                <w:sz w:val="18"/>
                <w:szCs w:val="18"/>
              </w:rPr>
            </w:pPr>
            <w:r w:rsidRPr="00A71C8E">
              <w:rPr>
                <w:color w:val="000000"/>
                <w:sz w:val="18"/>
                <w:szCs w:val="18"/>
              </w:rPr>
              <w:t>3310</w:t>
            </w:r>
          </w:p>
        </w:tc>
        <w:tc>
          <w:tcPr>
            <w:tcW w:w="546" w:type="pct"/>
            <w:shd w:val="clear" w:color="auto" w:fill="auto"/>
            <w:noWrap/>
            <w:hideMark/>
          </w:tcPr>
          <w:p w14:paraId="656B926F" w14:textId="77777777" w:rsidR="00881780" w:rsidRPr="00A71C8E" w:rsidRDefault="00881780" w:rsidP="006F4D8F">
            <w:pPr>
              <w:spacing w:before="0" w:line="240" w:lineRule="auto"/>
              <w:jc w:val="left"/>
              <w:rPr>
                <w:color w:val="000000"/>
                <w:sz w:val="18"/>
                <w:szCs w:val="18"/>
              </w:rPr>
            </w:pPr>
            <w:r w:rsidRPr="00A71C8E">
              <w:rPr>
                <w:color w:val="000000"/>
                <w:sz w:val="18"/>
                <w:szCs w:val="18"/>
              </w:rPr>
              <w:t>4469</w:t>
            </w:r>
          </w:p>
        </w:tc>
        <w:tc>
          <w:tcPr>
            <w:tcW w:w="575" w:type="pct"/>
            <w:shd w:val="clear" w:color="auto" w:fill="auto"/>
            <w:noWrap/>
            <w:hideMark/>
          </w:tcPr>
          <w:p w14:paraId="6ADD8E7A" w14:textId="77777777" w:rsidR="00881780" w:rsidRPr="00A71C8E" w:rsidRDefault="00881780" w:rsidP="006F4D8F">
            <w:pPr>
              <w:spacing w:before="0" w:line="240" w:lineRule="auto"/>
              <w:jc w:val="left"/>
              <w:rPr>
                <w:color w:val="000000"/>
                <w:sz w:val="18"/>
                <w:szCs w:val="18"/>
              </w:rPr>
            </w:pPr>
            <w:r w:rsidRPr="00A71C8E">
              <w:rPr>
                <w:color w:val="000000"/>
                <w:sz w:val="18"/>
                <w:szCs w:val="18"/>
              </w:rPr>
              <w:t>3826</w:t>
            </w:r>
          </w:p>
        </w:tc>
        <w:tc>
          <w:tcPr>
            <w:tcW w:w="504" w:type="pct"/>
            <w:shd w:val="clear" w:color="auto" w:fill="auto"/>
            <w:noWrap/>
            <w:hideMark/>
          </w:tcPr>
          <w:p w14:paraId="50AFDC93" w14:textId="77777777" w:rsidR="00881780" w:rsidRPr="00A71C8E" w:rsidRDefault="00881780" w:rsidP="006F4D8F">
            <w:pPr>
              <w:spacing w:before="0" w:line="240" w:lineRule="auto"/>
              <w:jc w:val="left"/>
              <w:rPr>
                <w:color w:val="000000"/>
                <w:sz w:val="18"/>
                <w:szCs w:val="18"/>
              </w:rPr>
            </w:pPr>
            <w:r w:rsidRPr="00A71C8E">
              <w:rPr>
                <w:color w:val="000000"/>
                <w:sz w:val="18"/>
                <w:szCs w:val="18"/>
              </w:rPr>
              <w:t>3179</w:t>
            </w:r>
          </w:p>
        </w:tc>
        <w:tc>
          <w:tcPr>
            <w:tcW w:w="451" w:type="pct"/>
            <w:shd w:val="clear" w:color="auto" w:fill="auto"/>
            <w:noWrap/>
            <w:hideMark/>
          </w:tcPr>
          <w:p w14:paraId="05ADCFC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2420</w:t>
            </w:r>
          </w:p>
        </w:tc>
        <w:tc>
          <w:tcPr>
            <w:tcW w:w="451" w:type="pct"/>
            <w:shd w:val="clear" w:color="auto" w:fill="auto"/>
            <w:noWrap/>
            <w:hideMark/>
          </w:tcPr>
          <w:p w14:paraId="780950C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1750</w:t>
            </w:r>
          </w:p>
        </w:tc>
        <w:tc>
          <w:tcPr>
            <w:tcW w:w="441" w:type="pct"/>
            <w:shd w:val="clear" w:color="auto" w:fill="auto"/>
            <w:noWrap/>
            <w:hideMark/>
          </w:tcPr>
          <w:p w14:paraId="186D88D7" w14:textId="77777777" w:rsidR="00881780" w:rsidRPr="00A71C8E" w:rsidRDefault="00881780" w:rsidP="006F4D8F">
            <w:pPr>
              <w:spacing w:before="0" w:line="240" w:lineRule="auto"/>
              <w:jc w:val="left"/>
              <w:rPr>
                <w:color w:val="000000"/>
                <w:sz w:val="18"/>
                <w:szCs w:val="18"/>
              </w:rPr>
            </w:pPr>
            <w:r w:rsidRPr="00A71C8E">
              <w:rPr>
                <w:color w:val="000000"/>
                <w:sz w:val="18"/>
                <w:szCs w:val="18"/>
              </w:rPr>
              <w:t>1351</w:t>
            </w:r>
          </w:p>
        </w:tc>
      </w:tr>
    </w:tbl>
    <w:p w14:paraId="28EC4ABC" w14:textId="073E3CF6" w:rsidR="00881780" w:rsidRPr="00EE66C6" w:rsidRDefault="00881780" w:rsidP="005A06CB">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B473DC" w:rsidRPr="00EE66C6">
        <w:rPr>
          <w:i/>
          <w:sz w:val="18"/>
          <w:szCs w:val="20"/>
        </w:rPr>
        <w:t xml:space="preserve">Polityki </w:t>
      </w:r>
      <w:r w:rsidRPr="00EE66C6">
        <w:rPr>
          <w:i/>
          <w:sz w:val="18"/>
          <w:szCs w:val="20"/>
        </w:rPr>
        <w:t>Społecznej, psz.praca.gov.pl</w:t>
      </w:r>
      <w:r w:rsidR="00AA6879">
        <w:rPr>
          <w:i/>
          <w:sz w:val="18"/>
          <w:szCs w:val="20"/>
        </w:rPr>
        <w:t>.</w:t>
      </w:r>
    </w:p>
    <w:p w14:paraId="0BFBCC1E" w14:textId="77777777" w:rsidR="00881780" w:rsidRPr="00032528" w:rsidRDefault="00881780" w:rsidP="00881780">
      <w:pPr>
        <w:autoSpaceDE w:val="0"/>
        <w:autoSpaceDN w:val="0"/>
        <w:adjustRightInd w:val="0"/>
        <w:spacing w:line="276" w:lineRule="auto"/>
        <w:rPr>
          <w:rFonts w:cs="Arial"/>
          <w:b/>
          <w:bCs/>
          <w:szCs w:val="20"/>
        </w:rPr>
      </w:pPr>
      <w:r w:rsidRPr="00032528">
        <w:rPr>
          <w:rFonts w:cs="Arial"/>
          <w:bCs/>
          <w:szCs w:val="20"/>
        </w:rPr>
        <w:t>W okresie programowania wskazywano również na problem słabej elastyczności rynku pracy</w:t>
      </w:r>
      <w:r>
        <w:rPr>
          <w:rFonts w:cs="Arial"/>
          <w:bCs/>
          <w:szCs w:val="20"/>
        </w:rPr>
        <w:t xml:space="preserve"> </w:t>
      </w:r>
      <w:r w:rsidRPr="00032528">
        <w:rPr>
          <w:rFonts w:cs="Arial"/>
          <w:bCs/>
          <w:szCs w:val="20"/>
        </w:rPr>
        <w:t>(powiązany</w:t>
      </w:r>
      <w:r w:rsidR="00E66B89">
        <w:rPr>
          <w:rFonts w:cs="Arial"/>
          <w:bCs/>
          <w:szCs w:val="20"/>
        </w:rPr>
        <w:t xml:space="preserve"> z </w:t>
      </w:r>
      <w:r w:rsidRPr="00032528">
        <w:rPr>
          <w:rFonts w:cs="Arial"/>
          <w:bCs/>
          <w:szCs w:val="20"/>
        </w:rPr>
        <w:t>niską jakością kapitału</w:t>
      </w:r>
      <w:r w:rsidR="00E66B89">
        <w:rPr>
          <w:rFonts w:cs="Arial"/>
          <w:bCs/>
          <w:szCs w:val="20"/>
        </w:rPr>
        <w:t xml:space="preserve"> w </w:t>
      </w:r>
      <w:r w:rsidRPr="00032528">
        <w:rPr>
          <w:rFonts w:cs="Arial"/>
          <w:bCs/>
          <w:szCs w:val="20"/>
        </w:rPr>
        <w:t xml:space="preserve">zakresie </w:t>
      </w:r>
      <w:r>
        <w:rPr>
          <w:rFonts w:cs="Arial"/>
          <w:bCs/>
          <w:szCs w:val="20"/>
        </w:rPr>
        <w:t>kwalifikacji</w:t>
      </w:r>
      <w:r w:rsidR="00E66B89">
        <w:rPr>
          <w:rFonts w:cs="Arial"/>
          <w:bCs/>
          <w:szCs w:val="20"/>
        </w:rPr>
        <w:t xml:space="preserve"> i </w:t>
      </w:r>
      <w:r w:rsidRPr="00032528">
        <w:rPr>
          <w:rFonts w:cs="Arial"/>
          <w:bCs/>
          <w:szCs w:val="20"/>
        </w:rPr>
        <w:t xml:space="preserve">kompetencji) </w:t>
      </w:r>
      <w:r>
        <w:rPr>
          <w:rFonts w:cs="Arial"/>
          <w:bCs/>
          <w:szCs w:val="20"/>
        </w:rPr>
        <w:t>oraz</w:t>
      </w:r>
      <w:r w:rsidRPr="00032528">
        <w:rPr>
          <w:rFonts w:cs="Arial"/>
          <w:bCs/>
          <w:szCs w:val="20"/>
        </w:rPr>
        <w:t xml:space="preserve"> niedostosowania struktury podaży pracy</w:t>
      </w:r>
      <w:r w:rsidR="00E66B89">
        <w:rPr>
          <w:rFonts w:cs="Arial"/>
          <w:bCs/>
          <w:szCs w:val="20"/>
        </w:rPr>
        <w:t xml:space="preserve"> i </w:t>
      </w:r>
      <w:r w:rsidRPr="00032528">
        <w:rPr>
          <w:rFonts w:cs="Arial"/>
          <w:bCs/>
          <w:szCs w:val="20"/>
        </w:rPr>
        <w:t>popytu na nią. Odsetek niewykorzystania wolnych miejsc pracy</w:t>
      </w:r>
      <w:r w:rsidR="00E66B89">
        <w:rPr>
          <w:rFonts w:cs="Arial"/>
          <w:bCs/>
          <w:szCs w:val="20"/>
        </w:rPr>
        <w:t xml:space="preserve"> w </w:t>
      </w:r>
      <w:r w:rsidRPr="00032528">
        <w:rPr>
          <w:rFonts w:cs="Arial"/>
          <w:bCs/>
          <w:szCs w:val="20"/>
        </w:rPr>
        <w:t>województwie zachodniopomorskim jest nieco wyższy niż średnia</w:t>
      </w:r>
      <w:r>
        <w:rPr>
          <w:rFonts w:cs="Arial"/>
          <w:bCs/>
          <w:szCs w:val="20"/>
        </w:rPr>
        <w:t xml:space="preserve"> dla kraju</w:t>
      </w:r>
      <w:r w:rsidR="00E66B89">
        <w:rPr>
          <w:rFonts w:cs="Arial"/>
          <w:bCs/>
          <w:szCs w:val="20"/>
        </w:rPr>
        <w:t xml:space="preserve"> i w </w:t>
      </w:r>
      <w:r>
        <w:rPr>
          <w:rFonts w:cs="Arial"/>
          <w:bCs/>
          <w:szCs w:val="20"/>
        </w:rPr>
        <w:t>latach 2013-2017 wykazywał tendencję wzrostową</w:t>
      </w:r>
      <w:r w:rsidRPr="00032528">
        <w:rPr>
          <w:rFonts w:cs="Arial"/>
          <w:bCs/>
          <w:szCs w:val="20"/>
        </w:rPr>
        <w:t xml:space="preserve">. </w:t>
      </w:r>
      <w:r>
        <w:rPr>
          <w:rFonts w:cs="Arial"/>
          <w:bCs/>
          <w:szCs w:val="20"/>
        </w:rPr>
        <w:t>P</w:t>
      </w:r>
      <w:r w:rsidRPr="00032528">
        <w:rPr>
          <w:rFonts w:cs="Arial"/>
          <w:bCs/>
          <w:szCs w:val="20"/>
        </w:rPr>
        <w:t>roblem niedostosowania struktury podaży pracy</w:t>
      </w:r>
      <w:r w:rsidR="00E66B89">
        <w:rPr>
          <w:rFonts w:cs="Arial"/>
          <w:bCs/>
          <w:szCs w:val="20"/>
        </w:rPr>
        <w:t xml:space="preserve"> i </w:t>
      </w:r>
      <w:r w:rsidRPr="00032528">
        <w:rPr>
          <w:rFonts w:cs="Arial"/>
          <w:bCs/>
          <w:szCs w:val="20"/>
        </w:rPr>
        <w:t>popytu na pracę jest nadal aktualny, aczkolwiek</w:t>
      </w:r>
      <w:r w:rsidR="00E66B89">
        <w:rPr>
          <w:rFonts w:cs="Arial"/>
          <w:bCs/>
          <w:szCs w:val="20"/>
        </w:rPr>
        <w:t xml:space="preserve"> z </w:t>
      </w:r>
      <w:r w:rsidRPr="00032528">
        <w:rPr>
          <w:rFonts w:cs="Arial"/>
          <w:bCs/>
          <w:szCs w:val="20"/>
        </w:rPr>
        <w:t xml:space="preserve">uwagi na obecną dominację „rynku pracownika” </w:t>
      </w:r>
      <w:r>
        <w:rPr>
          <w:rFonts w:cs="Arial"/>
          <w:bCs/>
          <w:szCs w:val="20"/>
        </w:rPr>
        <w:t xml:space="preserve">mógł </w:t>
      </w:r>
      <w:r w:rsidRPr="00032528">
        <w:rPr>
          <w:rFonts w:cs="Arial"/>
          <w:bCs/>
          <w:szCs w:val="20"/>
        </w:rPr>
        <w:t>zmieni</w:t>
      </w:r>
      <w:r>
        <w:rPr>
          <w:rFonts w:cs="Arial"/>
          <w:bCs/>
          <w:szCs w:val="20"/>
        </w:rPr>
        <w:t>ć</w:t>
      </w:r>
      <w:r w:rsidRPr="00032528">
        <w:rPr>
          <w:rFonts w:cs="Arial"/>
          <w:bCs/>
          <w:szCs w:val="20"/>
        </w:rPr>
        <w:t xml:space="preserve"> swoją charakterystykę</w:t>
      </w:r>
      <w:r>
        <w:rPr>
          <w:rFonts w:cs="Arial"/>
          <w:bCs/>
          <w:szCs w:val="20"/>
        </w:rPr>
        <w:t xml:space="preserve"> – jak zauważają eksperci (potencjalni) p</w:t>
      </w:r>
      <w:r w:rsidRPr="00EC6B5D">
        <w:rPr>
          <w:rFonts w:cs="Arial"/>
          <w:bCs/>
          <w:szCs w:val="20"/>
        </w:rPr>
        <w:t>racownicy zaczęli być bardziej wymagający</w:t>
      </w:r>
      <w:r>
        <w:rPr>
          <w:rFonts w:cs="Arial"/>
          <w:bCs/>
          <w:szCs w:val="20"/>
        </w:rPr>
        <w:t xml:space="preserve"> –</w:t>
      </w:r>
      <w:r w:rsidRPr="00EC6B5D">
        <w:rPr>
          <w:rFonts w:cs="Arial"/>
          <w:bCs/>
          <w:szCs w:val="20"/>
        </w:rPr>
        <w:t xml:space="preserve"> interesują ich warunki pracy, skomunikowanie</w:t>
      </w:r>
      <w:r w:rsidR="00E66B89">
        <w:rPr>
          <w:rFonts w:cs="Arial"/>
          <w:bCs/>
          <w:szCs w:val="20"/>
        </w:rPr>
        <w:t xml:space="preserve"> z </w:t>
      </w:r>
      <w:r w:rsidRPr="00EC6B5D">
        <w:rPr>
          <w:rFonts w:cs="Arial"/>
          <w:bCs/>
          <w:szCs w:val="20"/>
        </w:rPr>
        <w:t>miejscem zamieszkania, pasujące im godziny pracy, możliwości awansu zawodowego</w:t>
      </w:r>
      <w:r>
        <w:rPr>
          <w:rFonts w:cs="Arial"/>
          <w:bCs/>
          <w:szCs w:val="20"/>
        </w:rPr>
        <w:t>;</w:t>
      </w:r>
      <w:r w:rsidRPr="00EC6B5D">
        <w:rPr>
          <w:rFonts w:cs="Arial"/>
          <w:bCs/>
          <w:szCs w:val="20"/>
        </w:rPr>
        <w:t xml:space="preserve"> </w:t>
      </w:r>
      <w:r>
        <w:rPr>
          <w:rFonts w:cs="Arial"/>
          <w:bCs/>
          <w:szCs w:val="20"/>
        </w:rPr>
        <w:t>o</w:t>
      </w:r>
      <w:r w:rsidRPr="00EC6B5D">
        <w:rPr>
          <w:rFonts w:cs="Arial"/>
          <w:bCs/>
          <w:szCs w:val="20"/>
        </w:rPr>
        <w:t>ferty</w:t>
      </w:r>
      <w:r w:rsidR="00E66B89">
        <w:rPr>
          <w:rFonts w:cs="Arial"/>
          <w:bCs/>
          <w:szCs w:val="20"/>
        </w:rPr>
        <w:t xml:space="preserve"> z </w:t>
      </w:r>
      <w:r w:rsidRPr="00EC6B5D">
        <w:rPr>
          <w:rFonts w:cs="Arial"/>
          <w:bCs/>
          <w:szCs w:val="20"/>
        </w:rPr>
        <w:t>płacą minimalną nie są podejmowane lub praca jest szybko zmieniana,</w:t>
      </w:r>
      <w:r w:rsidR="00E66B89">
        <w:rPr>
          <w:rFonts w:cs="Arial"/>
          <w:bCs/>
          <w:szCs w:val="20"/>
        </w:rPr>
        <w:t xml:space="preserve"> a </w:t>
      </w:r>
      <w:r w:rsidRPr="00EC6B5D">
        <w:rPr>
          <w:rFonts w:cs="Arial"/>
          <w:bCs/>
          <w:szCs w:val="20"/>
        </w:rPr>
        <w:t>nawet porzucana na co skarżą się pracodawcy</w:t>
      </w:r>
      <w:r>
        <w:rPr>
          <w:rFonts w:cs="Arial"/>
          <w:bCs/>
          <w:szCs w:val="20"/>
        </w:rPr>
        <w:t>.</w:t>
      </w:r>
      <w:r>
        <w:rPr>
          <w:rStyle w:val="Odwoanieprzypisudolnego"/>
          <w:rFonts w:cs="Arial"/>
          <w:bCs/>
          <w:szCs w:val="20"/>
        </w:rPr>
        <w:footnoteReference w:id="54"/>
      </w:r>
      <w:r>
        <w:rPr>
          <w:rFonts w:cs="Arial"/>
          <w:bCs/>
          <w:szCs w:val="20"/>
        </w:rPr>
        <w:t xml:space="preserve"> Inwestycja</w:t>
      </w:r>
      <w:r w:rsidR="00E66B89">
        <w:rPr>
          <w:rFonts w:cs="Arial"/>
          <w:bCs/>
          <w:szCs w:val="20"/>
        </w:rPr>
        <w:t xml:space="preserve"> w </w:t>
      </w:r>
      <w:r>
        <w:rPr>
          <w:rFonts w:cs="Arial"/>
          <w:bCs/>
          <w:szCs w:val="20"/>
        </w:rPr>
        <w:t>kwalifikacje pracowników jest</w:t>
      </w:r>
      <w:r w:rsidR="00E66B89">
        <w:rPr>
          <w:rFonts w:cs="Arial"/>
          <w:bCs/>
          <w:szCs w:val="20"/>
        </w:rPr>
        <w:t xml:space="preserve"> w </w:t>
      </w:r>
      <w:r>
        <w:rPr>
          <w:rFonts w:cs="Arial"/>
          <w:bCs/>
          <w:szCs w:val="20"/>
        </w:rPr>
        <w:t>takich okolicznościach inwestycją ryzykowną</w:t>
      </w:r>
      <w:r w:rsidR="00E66B89">
        <w:rPr>
          <w:rFonts w:cs="Arial"/>
          <w:bCs/>
          <w:szCs w:val="20"/>
        </w:rPr>
        <w:t xml:space="preserve"> z </w:t>
      </w:r>
      <w:r>
        <w:rPr>
          <w:rFonts w:cs="Arial"/>
          <w:bCs/>
          <w:szCs w:val="20"/>
        </w:rPr>
        <w:t>niepewnym dla pracodawcy zwrotem</w:t>
      </w:r>
      <w:r w:rsidRPr="00EC6B5D">
        <w:rPr>
          <w:rFonts w:cs="Arial"/>
          <w:bCs/>
          <w:szCs w:val="20"/>
        </w:rPr>
        <w:t>.</w:t>
      </w:r>
      <w:r>
        <w:rPr>
          <w:rFonts w:cs="Arial"/>
          <w:bCs/>
          <w:szCs w:val="20"/>
        </w:rPr>
        <w:t xml:space="preserve"> </w:t>
      </w:r>
      <w:r w:rsidRPr="00DF7095">
        <w:rPr>
          <w:rFonts w:cs="Arial"/>
          <w:bCs/>
          <w:szCs w:val="20"/>
        </w:rPr>
        <w:t>Funkcjonujące</w:t>
      </w:r>
      <w:r w:rsidR="00E66B89">
        <w:rPr>
          <w:rFonts w:cs="Arial"/>
          <w:bCs/>
          <w:szCs w:val="20"/>
        </w:rPr>
        <w:t xml:space="preserve"> w </w:t>
      </w:r>
      <w:r w:rsidRPr="00DF7095">
        <w:rPr>
          <w:rFonts w:cs="Arial"/>
          <w:bCs/>
          <w:szCs w:val="20"/>
        </w:rPr>
        <w:t>regionie średnie</w:t>
      </w:r>
      <w:r w:rsidR="00E66B89">
        <w:rPr>
          <w:rFonts w:cs="Arial"/>
          <w:bCs/>
          <w:szCs w:val="20"/>
        </w:rPr>
        <w:t xml:space="preserve"> i </w:t>
      </w:r>
      <w:r w:rsidRPr="00DF7095">
        <w:rPr>
          <w:rFonts w:cs="Arial"/>
          <w:bCs/>
          <w:szCs w:val="20"/>
        </w:rPr>
        <w:t>małe firm</w:t>
      </w:r>
      <w:r>
        <w:rPr>
          <w:rFonts w:cs="Arial"/>
          <w:bCs/>
          <w:szCs w:val="20"/>
        </w:rPr>
        <w:t>y</w:t>
      </w:r>
      <w:r w:rsidRPr="00DF7095">
        <w:rPr>
          <w:rFonts w:cs="Arial"/>
          <w:bCs/>
          <w:szCs w:val="20"/>
        </w:rPr>
        <w:t xml:space="preserve"> nie mogą sobie pozwolić na zatrudnienie osób bez lub</w:t>
      </w:r>
      <w:r w:rsidR="00E66B89">
        <w:rPr>
          <w:rFonts w:cs="Arial"/>
          <w:bCs/>
          <w:szCs w:val="20"/>
        </w:rPr>
        <w:t xml:space="preserve"> o </w:t>
      </w:r>
      <w:r w:rsidRPr="00DF7095">
        <w:rPr>
          <w:rFonts w:cs="Arial"/>
          <w:bCs/>
          <w:szCs w:val="20"/>
        </w:rPr>
        <w:t>niskich kwalifikacjach. Przedsiębiorcom brakuje bowiem funduszy</w:t>
      </w:r>
      <w:r w:rsidR="00E66B89">
        <w:rPr>
          <w:rFonts w:cs="Arial"/>
          <w:bCs/>
          <w:szCs w:val="20"/>
        </w:rPr>
        <w:t xml:space="preserve"> i </w:t>
      </w:r>
      <w:r w:rsidRPr="00DF7095">
        <w:rPr>
          <w:rFonts w:cs="Arial"/>
          <w:bCs/>
          <w:szCs w:val="20"/>
        </w:rPr>
        <w:t>czasu na doskonalenie wiedzy</w:t>
      </w:r>
      <w:r w:rsidR="00E66B89">
        <w:rPr>
          <w:rFonts w:cs="Arial"/>
          <w:bCs/>
          <w:szCs w:val="20"/>
        </w:rPr>
        <w:t xml:space="preserve"> i </w:t>
      </w:r>
      <w:r w:rsidRPr="00DF7095">
        <w:rPr>
          <w:rFonts w:cs="Arial"/>
          <w:bCs/>
          <w:szCs w:val="20"/>
        </w:rPr>
        <w:t>umiejętności pracowników. Powszechnym problemem przedsiębiorców są ograniczone możliwości znalezienia</w:t>
      </w:r>
      <w:r w:rsidR="00E66B89">
        <w:rPr>
          <w:rFonts w:cs="Arial"/>
          <w:bCs/>
          <w:szCs w:val="20"/>
        </w:rPr>
        <w:t xml:space="preserve"> i </w:t>
      </w:r>
      <w:r w:rsidRPr="00DF7095">
        <w:rPr>
          <w:rFonts w:cs="Arial"/>
          <w:bCs/>
          <w:szCs w:val="20"/>
        </w:rPr>
        <w:t>zatrudnienia „praktyków” posiadających aktualne uprawnienia zawodowe.</w:t>
      </w:r>
    </w:p>
    <w:p w14:paraId="55D248C1" w14:textId="77777777" w:rsidR="00881780" w:rsidRPr="00432E11" w:rsidRDefault="00881780" w:rsidP="00754ED4">
      <w:pPr>
        <w:pStyle w:val="Legenda"/>
        <w:spacing w:after="0"/>
      </w:pPr>
      <w:bookmarkStart w:id="197" w:name="_Toc3896848"/>
      <w:bookmarkStart w:id="198" w:name="_Toc8824207"/>
      <w:bookmarkEnd w:id="194"/>
      <w:r w:rsidRPr="00432E11">
        <w:t xml:space="preserve">Tabela </w:t>
      </w:r>
      <w:r>
        <w:fldChar w:fldCharType="begin"/>
      </w:r>
      <w:r>
        <w:instrText xml:space="preserve"> SEQ Tabela \* ARABIC </w:instrText>
      </w:r>
      <w:r>
        <w:fldChar w:fldCharType="separate"/>
      </w:r>
      <w:r w:rsidR="00763345">
        <w:rPr>
          <w:noProof/>
        </w:rPr>
        <w:t>96</w:t>
      </w:r>
      <w:r>
        <w:fldChar w:fldCharType="end"/>
      </w:r>
      <w:r w:rsidRPr="00432E11">
        <w:t xml:space="preserve"> Odsetek niewykorzystania wolnych miejsc</w:t>
      </w:r>
      <w:r>
        <w:t xml:space="preserve"> pracy</w:t>
      </w:r>
      <w:r w:rsidR="00E66B89">
        <w:t xml:space="preserve"> w </w:t>
      </w:r>
      <w:r w:rsidRPr="00432E11">
        <w:t>województwie zachodniopomorskim</w:t>
      </w:r>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8"/>
        <w:gridCol w:w="888"/>
        <w:gridCol w:w="888"/>
        <w:gridCol w:w="888"/>
        <w:gridCol w:w="888"/>
        <w:gridCol w:w="888"/>
        <w:gridCol w:w="888"/>
      </w:tblGrid>
      <w:tr w:rsidR="00881780" w:rsidRPr="00A71C8E" w14:paraId="06CFF074" w14:textId="77777777" w:rsidTr="001D1CE9">
        <w:trPr>
          <w:trHeight w:val="308"/>
          <w:tblHeader/>
        </w:trPr>
        <w:tc>
          <w:tcPr>
            <w:tcW w:w="0" w:type="auto"/>
            <w:gridSpan w:val="7"/>
            <w:shd w:val="clear" w:color="auto" w:fill="DBE5F1"/>
            <w:noWrap/>
            <w:vAlign w:val="center"/>
            <w:hideMark/>
          </w:tcPr>
          <w:p w14:paraId="7F3DF43E"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Odsetek niewykorzystania wolnych miejsc pracy</w:t>
            </w:r>
            <w:r w:rsidR="00E66B89" w:rsidRPr="00A71C8E">
              <w:rPr>
                <w:rFonts w:cs="Segoe UI"/>
                <w:b/>
                <w:bCs/>
                <w:sz w:val="18"/>
                <w:szCs w:val="18"/>
              </w:rPr>
              <w:t xml:space="preserve"> w </w:t>
            </w:r>
            <w:r w:rsidRPr="00A71C8E">
              <w:rPr>
                <w:rFonts w:cs="Segoe UI"/>
                <w:b/>
                <w:bCs/>
                <w:sz w:val="18"/>
                <w:szCs w:val="18"/>
              </w:rPr>
              <w:t>województwie zachodniopomorskim (job vacancy rate)</w:t>
            </w:r>
          </w:p>
        </w:tc>
      </w:tr>
      <w:tr w:rsidR="00881780" w:rsidRPr="00A71C8E" w14:paraId="042B5C6A" w14:textId="77777777" w:rsidTr="001D1CE9">
        <w:trPr>
          <w:trHeight w:val="308"/>
          <w:tblHeader/>
        </w:trPr>
        <w:tc>
          <w:tcPr>
            <w:tcW w:w="0" w:type="auto"/>
            <w:shd w:val="clear" w:color="auto" w:fill="auto"/>
            <w:noWrap/>
            <w:vAlign w:val="center"/>
            <w:hideMark/>
          </w:tcPr>
          <w:p w14:paraId="7248446A"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Rok</w:t>
            </w:r>
          </w:p>
        </w:tc>
        <w:tc>
          <w:tcPr>
            <w:tcW w:w="0" w:type="auto"/>
            <w:shd w:val="clear" w:color="auto" w:fill="auto"/>
            <w:noWrap/>
            <w:vAlign w:val="center"/>
            <w:hideMark/>
          </w:tcPr>
          <w:p w14:paraId="59759223"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2012</w:t>
            </w:r>
          </w:p>
        </w:tc>
        <w:tc>
          <w:tcPr>
            <w:tcW w:w="0" w:type="auto"/>
            <w:shd w:val="clear" w:color="auto" w:fill="auto"/>
            <w:noWrap/>
            <w:vAlign w:val="center"/>
            <w:hideMark/>
          </w:tcPr>
          <w:p w14:paraId="0E743DD5"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2013</w:t>
            </w:r>
          </w:p>
        </w:tc>
        <w:tc>
          <w:tcPr>
            <w:tcW w:w="0" w:type="auto"/>
            <w:shd w:val="clear" w:color="auto" w:fill="auto"/>
            <w:noWrap/>
            <w:vAlign w:val="center"/>
            <w:hideMark/>
          </w:tcPr>
          <w:p w14:paraId="1C74C430"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2014</w:t>
            </w:r>
          </w:p>
        </w:tc>
        <w:tc>
          <w:tcPr>
            <w:tcW w:w="0" w:type="auto"/>
            <w:shd w:val="clear" w:color="auto" w:fill="auto"/>
            <w:noWrap/>
            <w:vAlign w:val="center"/>
            <w:hideMark/>
          </w:tcPr>
          <w:p w14:paraId="46971491"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2015</w:t>
            </w:r>
          </w:p>
        </w:tc>
        <w:tc>
          <w:tcPr>
            <w:tcW w:w="0" w:type="auto"/>
            <w:vAlign w:val="center"/>
          </w:tcPr>
          <w:p w14:paraId="2CFCE22F"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2016</w:t>
            </w:r>
          </w:p>
        </w:tc>
        <w:tc>
          <w:tcPr>
            <w:tcW w:w="0" w:type="auto"/>
            <w:vAlign w:val="center"/>
          </w:tcPr>
          <w:p w14:paraId="7C7DE0F0" w14:textId="77777777" w:rsidR="00881780" w:rsidRPr="00A71C8E" w:rsidRDefault="00881780" w:rsidP="006F4D8F">
            <w:pPr>
              <w:spacing w:before="0" w:line="240" w:lineRule="auto"/>
              <w:rPr>
                <w:rFonts w:cs="Segoe UI"/>
                <w:b/>
                <w:bCs/>
                <w:sz w:val="18"/>
                <w:szCs w:val="18"/>
              </w:rPr>
            </w:pPr>
            <w:r w:rsidRPr="00A71C8E">
              <w:rPr>
                <w:rFonts w:cs="Segoe UI"/>
                <w:b/>
                <w:bCs/>
                <w:sz w:val="18"/>
                <w:szCs w:val="18"/>
              </w:rPr>
              <w:t>2017</w:t>
            </w:r>
          </w:p>
        </w:tc>
      </w:tr>
      <w:tr w:rsidR="00881780" w:rsidRPr="00A71C8E" w14:paraId="133C989E" w14:textId="77777777" w:rsidTr="001D1CE9">
        <w:trPr>
          <w:trHeight w:val="308"/>
        </w:trPr>
        <w:tc>
          <w:tcPr>
            <w:tcW w:w="0" w:type="auto"/>
            <w:shd w:val="clear" w:color="auto" w:fill="auto"/>
            <w:noWrap/>
            <w:vAlign w:val="center"/>
            <w:hideMark/>
          </w:tcPr>
          <w:p w14:paraId="0E85007D" w14:textId="77777777" w:rsidR="00881780" w:rsidRPr="00A71C8E" w:rsidRDefault="00881780" w:rsidP="006F4D8F">
            <w:pPr>
              <w:spacing w:before="0" w:line="240" w:lineRule="auto"/>
              <w:rPr>
                <w:rFonts w:cs="Segoe UI"/>
                <w:sz w:val="18"/>
                <w:szCs w:val="18"/>
              </w:rPr>
            </w:pPr>
            <w:r w:rsidRPr="00A71C8E">
              <w:rPr>
                <w:rFonts w:cs="Arial"/>
                <w:bCs/>
                <w:sz w:val="18"/>
                <w:szCs w:val="18"/>
              </w:rPr>
              <w:t>Polska (%)</w:t>
            </w:r>
          </w:p>
        </w:tc>
        <w:tc>
          <w:tcPr>
            <w:tcW w:w="0" w:type="auto"/>
            <w:shd w:val="clear" w:color="auto" w:fill="auto"/>
            <w:noWrap/>
            <w:vAlign w:val="center"/>
            <w:hideMark/>
          </w:tcPr>
          <w:p w14:paraId="1F7074CF" w14:textId="77777777" w:rsidR="00881780" w:rsidRPr="00A71C8E" w:rsidRDefault="00881780" w:rsidP="006F4D8F">
            <w:pPr>
              <w:spacing w:before="0" w:line="240" w:lineRule="auto"/>
              <w:rPr>
                <w:rFonts w:cs="Segoe UI"/>
                <w:sz w:val="18"/>
                <w:szCs w:val="18"/>
              </w:rPr>
            </w:pPr>
            <w:r w:rsidRPr="00A71C8E">
              <w:rPr>
                <w:rFonts w:cs="Segoe UI"/>
                <w:sz w:val="18"/>
                <w:szCs w:val="18"/>
              </w:rPr>
              <w:t>0,4</w:t>
            </w:r>
          </w:p>
        </w:tc>
        <w:tc>
          <w:tcPr>
            <w:tcW w:w="0" w:type="auto"/>
            <w:shd w:val="clear" w:color="auto" w:fill="auto"/>
            <w:noWrap/>
            <w:vAlign w:val="center"/>
            <w:hideMark/>
          </w:tcPr>
          <w:p w14:paraId="383DE1EC" w14:textId="77777777" w:rsidR="00881780" w:rsidRPr="00A71C8E" w:rsidRDefault="00881780" w:rsidP="006F4D8F">
            <w:pPr>
              <w:spacing w:before="0" w:line="240" w:lineRule="auto"/>
              <w:rPr>
                <w:rFonts w:cs="Segoe UI"/>
                <w:sz w:val="18"/>
                <w:szCs w:val="18"/>
              </w:rPr>
            </w:pPr>
            <w:r w:rsidRPr="00A71C8E">
              <w:rPr>
                <w:rFonts w:cs="Segoe UI"/>
                <w:sz w:val="18"/>
                <w:szCs w:val="18"/>
              </w:rPr>
              <w:t>0,4</w:t>
            </w:r>
          </w:p>
        </w:tc>
        <w:tc>
          <w:tcPr>
            <w:tcW w:w="0" w:type="auto"/>
            <w:shd w:val="clear" w:color="auto" w:fill="auto"/>
            <w:noWrap/>
            <w:vAlign w:val="center"/>
            <w:hideMark/>
          </w:tcPr>
          <w:p w14:paraId="3910E178" w14:textId="77777777" w:rsidR="00881780" w:rsidRPr="00A71C8E" w:rsidRDefault="00881780" w:rsidP="006F4D8F">
            <w:pPr>
              <w:spacing w:before="0" w:line="240" w:lineRule="auto"/>
              <w:rPr>
                <w:rFonts w:cs="Segoe UI"/>
                <w:sz w:val="18"/>
                <w:szCs w:val="18"/>
              </w:rPr>
            </w:pPr>
            <w:r w:rsidRPr="00A71C8E">
              <w:rPr>
                <w:rFonts w:cs="Segoe UI"/>
                <w:sz w:val="18"/>
                <w:szCs w:val="18"/>
              </w:rPr>
              <w:t>0,5</w:t>
            </w:r>
          </w:p>
        </w:tc>
        <w:tc>
          <w:tcPr>
            <w:tcW w:w="0" w:type="auto"/>
            <w:shd w:val="clear" w:color="auto" w:fill="auto"/>
            <w:noWrap/>
            <w:vAlign w:val="center"/>
            <w:hideMark/>
          </w:tcPr>
          <w:p w14:paraId="57A67E0D" w14:textId="77777777" w:rsidR="00881780" w:rsidRPr="00A71C8E" w:rsidRDefault="00881780" w:rsidP="006F4D8F">
            <w:pPr>
              <w:spacing w:before="0" w:line="240" w:lineRule="auto"/>
              <w:rPr>
                <w:rFonts w:cs="Segoe UI"/>
                <w:sz w:val="18"/>
                <w:szCs w:val="18"/>
              </w:rPr>
            </w:pPr>
            <w:r w:rsidRPr="00A71C8E">
              <w:rPr>
                <w:rFonts w:cs="Segoe UI"/>
                <w:sz w:val="18"/>
                <w:szCs w:val="18"/>
              </w:rPr>
              <w:t>0,6</w:t>
            </w:r>
          </w:p>
        </w:tc>
        <w:tc>
          <w:tcPr>
            <w:tcW w:w="0" w:type="auto"/>
            <w:vAlign w:val="center"/>
          </w:tcPr>
          <w:p w14:paraId="293EA12D" w14:textId="77777777" w:rsidR="00881780" w:rsidRPr="00A71C8E" w:rsidRDefault="00881780" w:rsidP="006F4D8F">
            <w:pPr>
              <w:spacing w:before="0" w:line="240" w:lineRule="auto"/>
              <w:rPr>
                <w:rFonts w:cs="Segoe UI"/>
                <w:sz w:val="18"/>
                <w:szCs w:val="18"/>
              </w:rPr>
            </w:pPr>
            <w:r w:rsidRPr="00A71C8E">
              <w:rPr>
                <w:rFonts w:cs="Segoe UI"/>
                <w:sz w:val="18"/>
                <w:szCs w:val="18"/>
              </w:rPr>
              <w:t>0,8</w:t>
            </w:r>
          </w:p>
        </w:tc>
        <w:tc>
          <w:tcPr>
            <w:tcW w:w="0" w:type="auto"/>
            <w:vAlign w:val="center"/>
          </w:tcPr>
          <w:p w14:paraId="62B9F6C4" w14:textId="77777777" w:rsidR="00881780" w:rsidRPr="00A71C8E" w:rsidRDefault="00881780" w:rsidP="006F4D8F">
            <w:pPr>
              <w:spacing w:before="0" w:line="240" w:lineRule="auto"/>
              <w:rPr>
                <w:rFonts w:cs="Segoe UI"/>
                <w:sz w:val="18"/>
                <w:szCs w:val="18"/>
              </w:rPr>
            </w:pPr>
            <w:r w:rsidRPr="00A71C8E">
              <w:rPr>
                <w:rFonts w:cs="Segoe UI"/>
                <w:sz w:val="18"/>
                <w:szCs w:val="18"/>
              </w:rPr>
              <w:t>0,9</w:t>
            </w:r>
          </w:p>
        </w:tc>
      </w:tr>
      <w:tr w:rsidR="00881780" w:rsidRPr="00A71C8E" w14:paraId="7E08E418" w14:textId="77777777" w:rsidTr="001D1CE9">
        <w:trPr>
          <w:trHeight w:val="315"/>
        </w:trPr>
        <w:tc>
          <w:tcPr>
            <w:tcW w:w="0" w:type="auto"/>
            <w:shd w:val="clear" w:color="auto" w:fill="auto"/>
            <w:noWrap/>
            <w:vAlign w:val="center"/>
            <w:hideMark/>
          </w:tcPr>
          <w:p w14:paraId="16B7AFF4" w14:textId="77777777" w:rsidR="00881780" w:rsidRPr="00A71C8E" w:rsidRDefault="00881780" w:rsidP="006F4D8F">
            <w:pPr>
              <w:spacing w:before="0" w:line="240" w:lineRule="auto"/>
              <w:rPr>
                <w:rFonts w:cs="Segoe UI"/>
                <w:sz w:val="18"/>
                <w:szCs w:val="18"/>
              </w:rPr>
            </w:pPr>
            <w:r w:rsidRPr="00A71C8E">
              <w:rPr>
                <w:rFonts w:cs="Segoe UI"/>
                <w:bCs/>
                <w:sz w:val="18"/>
                <w:szCs w:val="18"/>
              </w:rPr>
              <w:t>Zachodniopomorskie (%)</w:t>
            </w:r>
          </w:p>
        </w:tc>
        <w:tc>
          <w:tcPr>
            <w:tcW w:w="0" w:type="auto"/>
            <w:shd w:val="clear" w:color="auto" w:fill="auto"/>
            <w:noWrap/>
            <w:vAlign w:val="center"/>
            <w:hideMark/>
          </w:tcPr>
          <w:p w14:paraId="1FE5F337" w14:textId="77777777" w:rsidR="00881780" w:rsidRPr="00A71C8E" w:rsidRDefault="00881780" w:rsidP="006F4D8F">
            <w:pPr>
              <w:spacing w:before="0" w:line="240" w:lineRule="auto"/>
              <w:rPr>
                <w:rFonts w:cs="Segoe UI"/>
                <w:sz w:val="18"/>
                <w:szCs w:val="18"/>
              </w:rPr>
            </w:pPr>
            <w:r w:rsidRPr="00A71C8E">
              <w:rPr>
                <w:rFonts w:cs="Segoe UI"/>
                <w:sz w:val="18"/>
                <w:szCs w:val="18"/>
              </w:rPr>
              <w:t>0,5</w:t>
            </w:r>
          </w:p>
        </w:tc>
        <w:tc>
          <w:tcPr>
            <w:tcW w:w="0" w:type="auto"/>
            <w:shd w:val="clear" w:color="auto" w:fill="auto"/>
            <w:noWrap/>
            <w:vAlign w:val="center"/>
            <w:hideMark/>
          </w:tcPr>
          <w:p w14:paraId="53B05B12" w14:textId="77777777" w:rsidR="00881780" w:rsidRPr="00A71C8E" w:rsidRDefault="00881780" w:rsidP="006F4D8F">
            <w:pPr>
              <w:spacing w:before="0" w:line="240" w:lineRule="auto"/>
              <w:rPr>
                <w:rFonts w:cs="Segoe UI"/>
                <w:sz w:val="18"/>
                <w:szCs w:val="18"/>
              </w:rPr>
            </w:pPr>
            <w:r w:rsidRPr="00A71C8E">
              <w:rPr>
                <w:rFonts w:cs="Segoe UI"/>
                <w:sz w:val="18"/>
                <w:szCs w:val="18"/>
              </w:rPr>
              <w:t>0,5</w:t>
            </w:r>
          </w:p>
        </w:tc>
        <w:tc>
          <w:tcPr>
            <w:tcW w:w="0" w:type="auto"/>
            <w:shd w:val="clear" w:color="auto" w:fill="auto"/>
            <w:noWrap/>
            <w:vAlign w:val="center"/>
            <w:hideMark/>
          </w:tcPr>
          <w:p w14:paraId="2FA2B66E" w14:textId="77777777" w:rsidR="00881780" w:rsidRPr="00A71C8E" w:rsidRDefault="00881780" w:rsidP="006F4D8F">
            <w:pPr>
              <w:spacing w:before="0" w:line="240" w:lineRule="auto"/>
              <w:rPr>
                <w:rFonts w:cs="Segoe UI"/>
                <w:sz w:val="18"/>
                <w:szCs w:val="18"/>
              </w:rPr>
            </w:pPr>
            <w:r w:rsidRPr="00A71C8E">
              <w:rPr>
                <w:rFonts w:cs="Segoe UI"/>
                <w:sz w:val="18"/>
                <w:szCs w:val="18"/>
              </w:rPr>
              <w:t>0,6</w:t>
            </w:r>
          </w:p>
        </w:tc>
        <w:tc>
          <w:tcPr>
            <w:tcW w:w="0" w:type="auto"/>
            <w:shd w:val="clear" w:color="auto" w:fill="auto"/>
            <w:noWrap/>
            <w:vAlign w:val="center"/>
            <w:hideMark/>
          </w:tcPr>
          <w:p w14:paraId="103D5B3A" w14:textId="77777777" w:rsidR="00881780" w:rsidRPr="00A71C8E" w:rsidRDefault="00881780" w:rsidP="006F4D8F">
            <w:pPr>
              <w:spacing w:before="0" w:line="240" w:lineRule="auto"/>
              <w:rPr>
                <w:rFonts w:cs="Segoe UI"/>
                <w:sz w:val="18"/>
                <w:szCs w:val="18"/>
              </w:rPr>
            </w:pPr>
            <w:r w:rsidRPr="00A71C8E">
              <w:rPr>
                <w:rFonts w:cs="Segoe UI"/>
                <w:sz w:val="18"/>
                <w:szCs w:val="18"/>
              </w:rPr>
              <w:t>0,9</w:t>
            </w:r>
          </w:p>
        </w:tc>
        <w:tc>
          <w:tcPr>
            <w:tcW w:w="0" w:type="auto"/>
            <w:vAlign w:val="center"/>
          </w:tcPr>
          <w:p w14:paraId="1CE17B91" w14:textId="77777777" w:rsidR="00881780" w:rsidRPr="00A71C8E" w:rsidRDefault="00881780" w:rsidP="006F4D8F">
            <w:pPr>
              <w:spacing w:before="0" w:line="240" w:lineRule="auto"/>
              <w:rPr>
                <w:rFonts w:cs="Segoe UI"/>
                <w:sz w:val="18"/>
                <w:szCs w:val="18"/>
              </w:rPr>
            </w:pPr>
            <w:r w:rsidRPr="00A71C8E">
              <w:rPr>
                <w:rFonts w:cs="Segoe UI"/>
                <w:sz w:val="18"/>
                <w:szCs w:val="18"/>
              </w:rPr>
              <w:t>1,2</w:t>
            </w:r>
          </w:p>
        </w:tc>
        <w:tc>
          <w:tcPr>
            <w:tcW w:w="0" w:type="auto"/>
            <w:vAlign w:val="center"/>
          </w:tcPr>
          <w:p w14:paraId="114E25B2" w14:textId="77777777" w:rsidR="00881780" w:rsidRPr="00A71C8E" w:rsidRDefault="00881780" w:rsidP="006F4D8F">
            <w:pPr>
              <w:spacing w:before="0" w:line="240" w:lineRule="auto"/>
              <w:rPr>
                <w:rFonts w:cs="Segoe UI"/>
                <w:sz w:val="18"/>
                <w:szCs w:val="18"/>
              </w:rPr>
            </w:pPr>
            <w:r w:rsidRPr="00A71C8E">
              <w:rPr>
                <w:rFonts w:cs="Segoe UI"/>
                <w:sz w:val="18"/>
                <w:szCs w:val="18"/>
              </w:rPr>
              <w:t>1,1</w:t>
            </w:r>
          </w:p>
        </w:tc>
      </w:tr>
    </w:tbl>
    <w:p w14:paraId="36236308" w14:textId="2AE3FBC3"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 „Popyt na pracę” GUS, 2017</w:t>
      </w:r>
      <w:r w:rsidR="00AA6879">
        <w:rPr>
          <w:i/>
          <w:sz w:val="18"/>
          <w:szCs w:val="20"/>
        </w:rPr>
        <w:t>.</w:t>
      </w:r>
    </w:p>
    <w:p w14:paraId="069AFC8E" w14:textId="77777777" w:rsidR="00881780" w:rsidRPr="00B85CC6" w:rsidRDefault="00881780" w:rsidP="00881780">
      <w:pPr>
        <w:autoSpaceDE w:val="0"/>
        <w:autoSpaceDN w:val="0"/>
        <w:adjustRightInd w:val="0"/>
        <w:spacing w:line="276" w:lineRule="auto"/>
        <w:rPr>
          <w:rFonts w:cs="Arial"/>
          <w:bCs/>
          <w:szCs w:val="20"/>
        </w:rPr>
      </w:pPr>
      <w:r w:rsidRPr="00032528">
        <w:rPr>
          <w:rFonts w:cs="Arial"/>
          <w:bCs/>
          <w:szCs w:val="20"/>
        </w:rPr>
        <w:t xml:space="preserve">W okresie </w:t>
      </w:r>
      <w:r>
        <w:rPr>
          <w:rFonts w:cs="Arial"/>
          <w:bCs/>
          <w:szCs w:val="20"/>
        </w:rPr>
        <w:t>przygotowania Programu</w:t>
      </w:r>
      <w:r w:rsidRPr="00032528">
        <w:rPr>
          <w:rFonts w:cs="Arial"/>
          <w:bCs/>
          <w:szCs w:val="20"/>
        </w:rPr>
        <w:t xml:space="preserve"> diagnozowano dużą wrażliwość sektora MSP na zmiany</w:t>
      </w:r>
      <w:r w:rsidR="00E66B89">
        <w:rPr>
          <w:rFonts w:cs="Arial"/>
          <w:bCs/>
          <w:szCs w:val="20"/>
        </w:rPr>
        <w:t xml:space="preserve"> i </w:t>
      </w:r>
      <w:r w:rsidRPr="00032528">
        <w:rPr>
          <w:rFonts w:cs="Arial"/>
          <w:bCs/>
          <w:szCs w:val="20"/>
        </w:rPr>
        <w:t>niekorzystne trendy</w:t>
      </w:r>
      <w:r w:rsidR="00E66B89">
        <w:rPr>
          <w:rFonts w:cs="Arial"/>
          <w:bCs/>
          <w:szCs w:val="20"/>
        </w:rPr>
        <w:t xml:space="preserve"> w </w:t>
      </w:r>
      <w:r w:rsidRPr="00032528">
        <w:rPr>
          <w:rFonts w:cs="Arial"/>
          <w:bCs/>
          <w:szCs w:val="20"/>
        </w:rPr>
        <w:t>gospodarce, co m</w:t>
      </w:r>
      <w:r>
        <w:rPr>
          <w:rFonts w:cs="Arial"/>
          <w:bCs/>
          <w:szCs w:val="20"/>
        </w:rPr>
        <w:t>i</w:t>
      </w:r>
      <w:r w:rsidRPr="00032528">
        <w:rPr>
          <w:rFonts w:cs="Arial"/>
          <w:bCs/>
          <w:szCs w:val="20"/>
        </w:rPr>
        <w:t>a</w:t>
      </w:r>
      <w:r>
        <w:rPr>
          <w:rFonts w:cs="Arial"/>
          <w:bCs/>
          <w:szCs w:val="20"/>
        </w:rPr>
        <w:t>ło</w:t>
      </w:r>
      <w:r w:rsidRPr="00032528">
        <w:rPr>
          <w:rFonts w:cs="Arial"/>
          <w:bCs/>
          <w:szCs w:val="20"/>
        </w:rPr>
        <w:t xml:space="preserve"> bezpośredni wpływ na sytuację pracowników. </w:t>
      </w:r>
      <w:r>
        <w:rPr>
          <w:rFonts w:cs="Arial"/>
          <w:bCs/>
          <w:szCs w:val="20"/>
        </w:rPr>
        <w:t>L</w:t>
      </w:r>
      <w:r w:rsidRPr="00032528">
        <w:rPr>
          <w:rFonts w:cs="Arial"/>
          <w:bCs/>
          <w:szCs w:val="20"/>
        </w:rPr>
        <w:t>ata</w:t>
      </w:r>
      <w:r>
        <w:rPr>
          <w:rFonts w:cs="Arial"/>
          <w:bCs/>
          <w:szCs w:val="20"/>
        </w:rPr>
        <w:t xml:space="preserve"> </w:t>
      </w:r>
      <w:r>
        <w:rPr>
          <w:rFonts w:cs="Arial"/>
          <w:bCs/>
          <w:szCs w:val="20"/>
        </w:rPr>
        <w:lastRenderedPageBreak/>
        <w:t>przypadające na okres wdrażania Programu</w:t>
      </w:r>
      <w:r w:rsidRPr="00032528">
        <w:rPr>
          <w:rFonts w:cs="Arial"/>
          <w:bCs/>
          <w:szCs w:val="20"/>
        </w:rPr>
        <w:t xml:space="preserve"> pokazują jednak wzrost zatrudnienia</w:t>
      </w:r>
      <w:r w:rsidR="00E66B89">
        <w:rPr>
          <w:rFonts w:cs="Arial"/>
          <w:bCs/>
          <w:szCs w:val="20"/>
        </w:rPr>
        <w:t xml:space="preserve"> w </w:t>
      </w:r>
      <w:r w:rsidRPr="00032528">
        <w:rPr>
          <w:rFonts w:cs="Arial"/>
          <w:bCs/>
          <w:szCs w:val="20"/>
        </w:rPr>
        <w:t>województwie zachodniopomorskim we wszystkich sektorach</w:t>
      </w:r>
      <w:r>
        <w:rPr>
          <w:rFonts w:cs="Arial"/>
          <w:bCs/>
          <w:szCs w:val="20"/>
        </w:rPr>
        <w:t xml:space="preserve"> gospodarki</w:t>
      </w:r>
      <w:r w:rsidRPr="00032528">
        <w:rPr>
          <w:rFonts w:cs="Arial"/>
          <w:bCs/>
          <w:szCs w:val="20"/>
        </w:rPr>
        <w:t>,</w:t>
      </w:r>
      <w:r w:rsidR="00E66B89">
        <w:rPr>
          <w:rFonts w:cs="Arial"/>
          <w:bCs/>
          <w:szCs w:val="20"/>
        </w:rPr>
        <w:t xml:space="preserve"> a </w:t>
      </w:r>
      <w:r w:rsidRPr="00032528">
        <w:rPr>
          <w:rFonts w:cs="Arial"/>
          <w:bCs/>
          <w:szCs w:val="20"/>
        </w:rPr>
        <w:t xml:space="preserve">także </w:t>
      </w:r>
      <w:r>
        <w:rPr>
          <w:rFonts w:cs="Arial"/>
          <w:bCs/>
          <w:szCs w:val="20"/>
        </w:rPr>
        <w:t xml:space="preserve">stały </w:t>
      </w:r>
      <w:r w:rsidRPr="00032528">
        <w:rPr>
          <w:rFonts w:cs="Arial"/>
          <w:bCs/>
          <w:szCs w:val="20"/>
        </w:rPr>
        <w:t>wzrost</w:t>
      </w:r>
      <w:r w:rsidR="00E66B89">
        <w:rPr>
          <w:rFonts w:cs="Arial"/>
          <w:bCs/>
          <w:szCs w:val="20"/>
        </w:rPr>
        <w:t xml:space="preserve"> w </w:t>
      </w:r>
      <w:r>
        <w:rPr>
          <w:rFonts w:cs="Arial"/>
          <w:bCs/>
          <w:szCs w:val="20"/>
        </w:rPr>
        <w:t>latach 2014, 2015, 2016 przeciętnej liczby</w:t>
      </w:r>
      <w:r w:rsidRPr="00032528">
        <w:rPr>
          <w:rFonts w:cs="Arial"/>
          <w:bCs/>
          <w:szCs w:val="20"/>
        </w:rPr>
        <w:t xml:space="preserve"> pracowników zatrudnionych</w:t>
      </w:r>
      <w:r w:rsidR="00E66B89">
        <w:rPr>
          <w:rFonts w:cs="Arial"/>
          <w:bCs/>
          <w:szCs w:val="20"/>
        </w:rPr>
        <w:t xml:space="preserve"> w </w:t>
      </w:r>
      <w:r w:rsidRPr="00032528">
        <w:rPr>
          <w:rFonts w:cs="Arial"/>
          <w:bCs/>
          <w:szCs w:val="20"/>
        </w:rPr>
        <w:t>mikroprzedsiębiorstwach</w:t>
      </w:r>
      <w:r w:rsidR="00E66B89">
        <w:rPr>
          <w:rFonts w:cs="Arial"/>
          <w:bCs/>
          <w:szCs w:val="20"/>
        </w:rPr>
        <w:t xml:space="preserve"> w </w:t>
      </w:r>
      <w:r w:rsidRPr="00032528">
        <w:rPr>
          <w:rFonts w:cs="Arial"/>
          <w:bCs/>
          <w:szCs w:val="20"/>
        </w:rPr>
        <w:t>ramach umowy</w:t>
      </w:r>
      <w:r w:rsidR="00E66B89">
        <w:rPr>
          <w:rFonts w:cs="Arial"/>
          <w:bCs/>
          <w:szCs w:val="20"/>
        </w:rPr>
        <w:t xml:space="preserve"> o </w:t>
      </w:r>
      <w:r w:rsidRPr="00032528">
        <w:rPr>
          <w:rFonts w:cs="Arial"/>
          <w:bCs/>
          <w:szCs w:val="20"/>
        </w:rPr>
        <w:t>pracę</w:t>
      </w:r>
      <w:r>
        <w:rPr>
          <w:rFonts w:cs="Arial"/>
          <w:bCs/>
          <w:szCs w:val="20"/>
        </w:rPr>
        <w:t>; pomimo jej niewielkiego spadku</w:t>
      </w:r>
      <w:r w:rsidR="00E66B89">
        <w:rPr>
          <w:rFonts w:cs="Arial"/>
          <w:bCs/>
          <w:szCs w:val="20"/>
        </w:rPr>
        <w:t xml:space="preserve"> w </w:t>
      </w:r>
      <w:r>
        <w:rPr>
          <w:rFonts w:cs="Arial"/>
          <w:bCs/>
          <w:szCs w:val="20"/>
        </w:rPr>
        <w:t>2017 roku, wzrost</w:t>
      </w:r>
      <w:r w:rsidR="00E66B89">
        <w:rPr>
          <w:rFonts w:cs="Arial"/>
          <w:bCs/>
          <w:szCs w:val="20"/>
        </w:rPr>
        <w:t xml:space="preserve"> w </w:t>
      </w:r>
      <w:r>
        <w:rPr>
          <w:rFonts w:cs="Arial"/>
          <w:bCs/>
          <w:szCs w:val="20"/>
        </w:rPr>
        <w:t>stosunku do 2012 roku</w:t>
      </w:r>
      <w:r w:rsidRPr="00032528">
        <w:rPr>
          <w:rFonts w:cs="Arial"/>
          <w:bCs/>
          <w:szCs w:val="20"/>
        </w:rPr>
        <w:t xml:space="preserve">. </w:t>
      </w:r>
    </w:p>
    <w:p w14:paraId="02D7947A" w14:textId="77777777" w:rsidR="00881780" w:rsidRPr="00432E11" w:rsidRDefault="00881780" w:rsidP="00754ED4">
      <w:pPr>
        <w:pStyle w:val="Legenda"/>
        <w:spacing w:after="0"/>
      </w:pPr>
      <w:bookmarkStart w:id="199" w:name="_Toc3896849"/>
      <w:bookmarkStart w:id="200" w:name="_Toc8824208"/>
      <w:r w:rsidRPr="00432E11">
        <w:t xml:space="preserve">Tabela </w:t>
      </w:r>
      <w:r>
        <w:fldChar w:fldCharType="begin"/>
      </w:r>
      <w:r>
        <w:instrText xml:space="preserve"> SEQ Tabela \* ARABIC </w:instrText>
      </w:r>
      <w:r>
        <w:fldChar w:fldCharType="separate"/>
      </w:r>
      <w:r w:rsidR="00763345">
        <w:rPr>
          <w:noProof/>
        </w:rPr>
        <w:t>97</w:t>
      </w:r>
      <w:r>
        <w:fldChar w:fldCharType="end"/>
      </w:r>
      <w:r w:rsidRPr="00432E11">
        <w:t xml:space="preserve"> Struktura zatrudnienia rolnictwo/</w:t>
      </w:r>
      <w:r>
        <w:t xml:space="preserve"> </w:t>
      </w:r>
      <w:r w:rsidRPr="00432E11">
        <w:t>przemysł/</w:t>
      </w:r>
      <w:r>
        <w:t xml:space="preserve"> </w:t>
      </w:r>
      <w:r w:rsidRPr="00432E11">
        <w:t>usługi</w:t>
      </w:r>
      <w:bookmarkEnd w:id="199"/>
      <w:r w:rsidR="00E66B89">
        <w:t xml:space="preserve"> w </w:t>
      </w:r>
      <w:r>
        <w:t>województwie zachodniopomorskim (31.XII)</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921"/>
        <w:gridCol w:w="921"/>
        <w:gridCol w:w="921"/>
        <w:gridCol w:w="921"/>
        <w:gridCol w:w="921"/>
        <w:gridCol w:w="917"/>
      </w:tblGrid>
      <w:tr w:rsidR="00881780" w:rsidRPr="00A71C8E" w14:paraId="51B32B1D" w14:textId="77777777" w:rsidTr="001D1CE9">
        <w:trPr>
          <w:trHeight w:val="160"/>
          <w:tblHeader/>
        </w:trPr>
        <w:tc>
          <w:tcPr>
            <w:tcW w:w="1954" w:type="pct"/>
            <w:shd w:val="clear" w:color="auto" w:fill="DBE5F1"/>
            <w:noWrap/>
            <w:vAlign w:val="center"/>
            <w:hideMark/>
          </w:tcPr>
          <w:p w14:paraId="2367CB56"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Rok</w:t>
            </w:r>
          </w:p>
        </w:tc>
        <w:tc>
          <w:tcPr>
            <w:tcW w:w="508" w:type="pct"/>
            <w:shd w:val="clear" w:color="auto" w:fill="DBE5F1"/>
            <w:noWrap/>
            <w:vAlign w:val="center"/>
            <w:hideMark/>
          </w:tcPr>
          <w:p w14:paraId="5FF072DE"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2012</w:t>
            </w:r>
          </w:p>
        </w:tc>
        <w:tc>
          <w:tcPr>
            <w:tcW w:w="508" w:type="pct"/>
            <w:shd w:val="clear" w:color="auto" w:fill="DBE5F1"/>
            <w:noWrap/>
            <w:vAlign w:val="center"/>
            <w:hideMark/>
          </w:tcPr>
          <w:p w14:paraId="26738A36"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2013</w:t>
            </w:r>
          </w:p>
        </w:tc>
        <w:tc>
          <w:tcPr>
            <w:tcW w:w="508" w:type="pct"/>
            <w:shd w:val="clear" w:color="auto" w:fill="DBE5F1"/>
            <w:noWrap/>
            <w:vAlign w:val="center"/>
            <w:hideMark/>
          </w:tcPr>
          <w:p w14:paraId="398A121C"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2014</w:t>
            </w:r>
          </w:p>
        </w:tc>
        <w:tc>
          <w:tcPr>
            <w:tcW w:w="508" w:type="pct"/>
            <w:shd w:val="clear" w:color="auto" w:fill="DBE5F1"/>
            <w:noWrap/>
            <w:vAlign w:val="center"/>
            <w:hideMark/>
          </w:tcPr>
          <w:p w14:paraId="00E58382"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2015</w:t>
            </w:r>
          </w:p>
        </w:tc>
        <w:tc>
          <w:tcPr>
            <w:tcW w:w="508" w:type="pct"/>
            <w:shd w:val="clear" w:color="auto" w:fill="DBE5F1"/>
            <w:noWrap/>
            <w:vAlign w:val="center"/>
            <w:hideMark/>
          </w:tcPr>
          <w:p w14:paraId="7FF2C2B4"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2016</w:t>
            </w:r>
          </w:p>
        </w:tc>
        <w:tc>
          <w:tcPr>
            <w:tcW w:w="508" w:type="pct"/>
            <w:shd w:val="clear" w:color="auto" w:fill="DBE5F1"/>
            <w:noWrap/>
            <w:vAlign w:val="center"/>
            <w:hideMark/>
          </w:tcPr>
          <w:p w14:paraId="1F24613D"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2017</w:t>
            </w:r>
          </w:p>
        </w:tc>
      </w:tr>
      <w:tr w:rsidR="00881780" w:rsidRPr="00A71C8E" w14:paraId="00CD2F0F" w14:textId="77777777" w:rsidTr="006F4D8F">
        <w:trPr>
          <w:trHeight w:val="308"/>
        </w:trPr>
        <w:tc>
          <w:tcPr>
            <w:tcW w:w="5000" w:type="pct"/>
            <w:gridSpan w:val="7"/>
            <w:shd w:val="clear" w:color="auto" w:fill="auto"/>
            <w:noWrap/>
            <w:vAlign w:val="center"/>
          </w:tcPr>
          <w:p w14:paraId="6189DC16" w14:textId="77777777" w:rsidR="00881780" w:rsidRPr="00A71C8E" w:rsidRDefault="00881780" w:rsidP="006F4D8F">
            <w:pPr>
              <w:spacing w:before="0" w:line="240" w:lineRule="auto"/>
              <w:rPr>
                <w:rFonts w:cs="Arial"/>
                <w:bCs/>
                <w:color w:val="000000"/>
                <w:sz w:val="18"/>
                <w:szCs w:val="18"/>
              </w:rPr>
            </w:pPr>
            <w:r w:rsidRPr="00A71C8E">
              <w:rPr>
                <w:rFonts w:cs="Arial"/>
                <w:b/>
                <w:bCs/>
                <w:color w:val="000000"/>
                <w:sz w:val="18"/>
                <w:szCs w:val="18"/>
              </w:rPr>
              <w:t xml:space="preserve">Sektor rolniczy </w:t>
            </w:r>
          </w:p>
        </w:tc>
      </w:tr>
      <w:tr w:rsidR="00881780" w:rsidRPr="00A71C8E" w14:paraId="5A323D84" w14:textId="77777777" w:rsidTr="006F4D8F">
        <w:trPr>
          <w:trHeight w:val="315"/>
        </w:trPr>
        <w:tc>
          <w:tcPr>
            <w:tcW w:w="1954" w:type="pct"/>
            <w:shd w:val="clear" w:color="auto" w:fill="auto"/>
            <w:noWrap/>
            <w:vAlign w:val="center"/>
            <w:hideMark/>
          </w:tcPr>
          <w:p w14:paraId="5A92F79D" w14:textId="77777777" w:rsidR="00881780" w:rsidRPr="00A71C8E" w:rsidRDefault="00881780" w:rsidP="006F4D8F">
            <w:pPr>
              <w:spacing w:before="0" w:line="240" w:lineRule="auto"/>
              <w:rPr>
                <w:rFonts w:cs="Arial"/>
                <w:color w:val="000000"/>
                <w:sz w:val="18"/>
                <w:szCs w:val="18"/>
              </w:rPr>
            </w:pPr>
            <w:r w:rsidRPr="00A71C8E">
              <w:rPr>
                <w:rFonts w:cs="Arial"/>
                <w:bCs/>
                <w:color w:val="000000"/>
                <w:sz w:val="18"/>
                <w:szCs w:val="18"/>
              </w:rPr>
              <w:t>[tys. osób]</w:t>
            </w:r>
          </w:p>
        </w:tc>
        <w:tc>
          <w:tcPr>
            <w:tcW w:w="508" w:type="pct"/>
            <w:shd w:val="clear" w:color="auto" w:fill="auto"/>
            <w:noWrap/>
            <w:vAlign w:val="center"/>
            <w:hideMark/>
          </w:tcPr>
          <w:p w14:paraId="53321F79"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46</w:t>
            </w:r>
          </w:p>
        </w:tc>
        <w:tc>
          <w:tcPr>
            <w:tcW w:w="508" w:type="pct"/>
            <w:shd w:val="clear" w:color="auto" w:fill="auto"/>
            <w:noWrap/>
            <w:vAlign w:val="center"/>
            <w:hideMark/>
          </w:tcPr>
          <w:p w14:paraId="44EE374E"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46</w:t>
            </w:r>
          </w:p>
        </w:tc>
        <w:tc>
          <w:tcPr>
            <w:tcW w:w="508" w:type="pct"/>
            <w:shd w:val="clear" w:color="auto" w:fill="auto"/>
            <w:noWrap/>
            <w:vAlign w:val="center"/>
            <w:hideMark/>
          </w:tcPr>
          <w:p w14:paraId="01CC76B8"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46</w:t>
            </w:r>
          </w:p>
        </w:tc>
        <w:tc>
          <w:tcPr>
            <w:tcW w:w="508" w:type="pct"/>
            <w:shd w:val="clear" w:color="auto" w:fill="auto"/>
            <w:noWrap/>
            <w:vAlign w:val="center"/>
            <w:hideMark/>
          </w:tcPr>
          <w:p w14:paraId="1BF319FB"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42</w:t>
            </w:r>
          </w:p>
        </w:tc>
        <w:tc>
          <w:tcPr>
            <w:tcW w:w="508" w:type="pct"/>
            <w:shd w:val="clear" w:color="auto" w:fill="auto"/>
            <w:noWrap/>
            <w:vAlign w:val="center"/>
            <w:hideMark/>
          </w:tcPr>
          <w:p w14:paraId="5838814F"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48</w:t>
            </w:r>
          </w:p>
        </w:tc>
        <w:tc>
          <w:tcPr>
            <w:tcW w:w="508" w:type="pct"/>
            <w:shd w:val="clear" w:color="auto" w:fill="auto"/>
            <w:noWrap/>
            <w:vAlign w:val="center"/>
            <w:hideMark/>
          </w:tcPr>
          <w:p w14:paraId="0AC59D5A"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51</w:t>
            </w:r>
          </w:p>
        </w:tc>
      </w:tr>
      <w:tr w:rsidR="00881780" w:rsidRPr="00A71C8E" w14:paraId="3B40EA14" w14:textId="77777777" w:rsidTr="006F4D8F">
        <w:trPr>
          <w:trHeight w:val="308"/>
        </w:trPr>
        <w:tc>
          <w:tcPr>
            <w:tcW w:w="5000" w:type="pct"/>
            <w:gridSpan w:val="7"/>
            <w:shd w:val="clear" w:color="auto" w:fill="auto"/>
            <w:noWrap/>
            <w:vAlign w:val="center"/>
            <w:hideMark/>
          </w:tcPr>
          <w:p w14:paraId="546ED728"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 xml:space="preserve">Sektor przemysłowy </w:t>
            </w:r>
          </w:p>
        </w:tc>
      </w:tr>
      <w:tr w:rsidR="00881780" w:rsidRPr="00A71C8E" w14:paraId="2BD08006" w14:textId="77777777" w:rsidTr="006F4D8F">
        <w:trPr>
          <w:trHeight w:val="308"/>
        </w:trPr>
        <w:tc>
          <w:tcPr>
            <w:tcW w:w="1954" w:type="pct"/>
            <w:shd w:val="clear" w:color="auto" w:fill="auto"/>
            <w:noWrap/>
            <w:vAlign w:val="center"/>
          </w:tcPr>
          <w:p w14:paraId="4460E538"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[tys. osób]</w:t>
            </w:r>
          </w:p>
        </w:tc>
        <w:tc>
          <w:tcPr>
            <w:tcW w:w="508" w:type="pct"/>
            <w:shd w:val="clear" w:color="auto" w:fill="auto"/>
            <w:noWrap/>
            <w:vAlign w:val="center"/>
          </w:tcPr>
          <w:p w14:paraId="54467B05"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169</w:t>
            </w:r>
          </w:p>
        </w:tc>
        <w:tc>
          <w:tcPr>
            <w:tcW w:w="508" w:type="pct"/>
            <w:shd w:val="clear" w:color="auto" w:fill="auto"/>
            <w:noWrap/>
            <w:vAlign w:val="center"/>
          </w:tcPr>
          <w:p w14:paraId="2EEA5B50"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167</w:t>
            </w:r>
          </w:p>
        </w:tc>
        <w:tc>
          <w:tcPr>
            <w:tcW w:w="508" w:type="pct"/>
            <w:shd w:val="clear" w:color="auto" w:fill="auto"/>
            <w:noWrap/>
            <w:vAlign w:val="center"/>
          </w:tcPr>
          <w:p w14:paraId="6FBDE680"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167</w:t>
            </w:r>
          </w:p>
        </w:tc>
        <w:tc>
          <w:tcPr>
            <w:tcW w:w="508" w:type="pct"/>
            <w:shd w:val="clear" w:color="auto" w:fill="auto"/>
            <w:noWrap/>
            <w:vAlign w:val="center"/>
          </w:tcPr>
          <w:p w14:paraId="63409F8E"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168</w:t>
            </w:r>
          </w:p>
        </w:tc>
        <w:tc>
          <w:tcPr>
            <w:tcW w:w="508" w:type="pct"/>
            <w:shd w:val="clear" w:color="auto" w:fill="auto"/>
            <w:noWrap/>
            <w:vAlign w:val="center"/>
          </w:tcPr>
          <w:p w14:paraId="4135E985"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197</w:t>
            </w:r>
          </w:p>
        </w:tc>
        <w:tc>
          <w:tcPr>
            <w:tcW w:w="508" w:type="pct"/>
            <w:shd w:val="clear" w:color="auto" w:fill="auto"/>
            <w:noWrap/>
            <w:vAlign w:val="center"/>
          </w:tcPr>
          <w:p w14:paraId="4C4C727A" w14:textId="77777777" w:rsidR="00881780" w:rsidRPr="00A71C8E" w:rsidRDefault="00881780" w:rsidP="006F4D8F">
            <w:pPr>
              <w:spacing w:before="0" w:line="240" w:lineRule="auto"/>
              <w:rPr>
                <w:rFonts w:cs="Arial"/>
                <w:bCs/>
                <w:color w:val="000000"/>
                <w:sz w:val="18"/>
                <w:szCs w:val="18"/>
              </w:rPr>
            </w:pPr>
            <w:r w:rsidRPr="00A71C8E">
              <w:rPr>
                <w:rFonts w:cs="Arial"/>
                <w:color w:val="000000"/>
                <w:sz w:val="18"/>
                <w:szCs w:val="18"/>
              </w:rPr>
              <w:t>204</w:t>
            </w:r>
          </w:p>
        </w:tc>
      </w:tr>
      <w:tr w:rsidR="00881780" w:rsidRPr="00A71C8E" w14:paraId="4B14DBC7" w14:textId="77777777" w:rsidTr="006F4D8F">
        <w:trPr>
          <w:trHeight w:val="308"/>
        </w:trPr>
        <w:tc>
          <w:tcPr>
            <w:tcW w:w="5000" w:type="pct"/>
            <w:gridSpan w:val="7"/>
            <w:shd w:val="clear" w:color="auto" w:fill="auto"/>
            <w:noWrap/>
            <w:vAlign w:val="center"/>
            <w:hideMark/>
          </w:tcPr>
          <w:p w14:paraId="78CC2784"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Sektor usługowy</w:t>
            </w:r>
          </w:p>
        </w:tc>
      </w:tr>
      <w:tr w:rsidR="00881780" w:rsidRPr="00A71C8E" w14:paraId="62600AB0" w14:textId="77777777" w:rsidTr="006F4D8F">
        <w:trPr>
          <w:trHeight w:val="315"/>
        </w:trPr>
        <w:tc>
          <w:tcPr>
            <w:tcW w:w="1954" w:type="pct"/>
            <w:shd w:val="clear" w:color="auto" w:fill="auto"/>
            <w:noWrap/>
            <w:vAlign w:val="center"/>
            <w:hideMark/>
          </w:tcPr>
          <w:p w14:paraId="7A403FA0"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[tys. osób]</w:t>
            </w:r>
          </w:p>
        </w:tc>
        <w:tc>
          <w:tcPr>
            <w:tcW w:w="508" w:type="pct"/>
            <w:shd w:val="clear" w:color="auto" w:fill="auto"/>
            <w:noWrap/>
            <w:vAlign w:val="center"/>
            <w:hideMark/>
          </w:tcPr>
          <w:p w14:paraId="0DD5D144"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346</w:t>
            </w:r>
          </w:p>
        </w:tc>
        <w:tc>
          <w:tcPr>
            <w:tcW w:w="508" w:type="pct"/>
            <w:shd w:val="clear" w:color="auto" w:fill="auto"/>
            <w:noWrap/>
            <w:vAlign w:val="center"/>
            <w:hideMark/>
          </w:tcPr>
          <w:p w14:paraId="5EC9E628"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359</w:t>
            </w:r>
          </w:p>
        </w:tc>
        <w:tc>
          <w:tcPr>
            <w:tcW w:w="508" w:type="pct"/>
            <w:shd w:val="clear" w:color="auto" w:fill="auto"/>
            <w:noWrap/>
            <w:vAlign w:val="center"/>
            <w:hideMark/>
          </w:tcPr>
          <w:p w14:paraId="028F7F2D"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360</w:t>
            </w:r>
          </w:p>
        </w:tc>
        <w:tc>
          <w:tcPr>
            <w:tcW w:w="508" w:type="pct"/>
            <w:shd w:val="clear" w:color="auto" w:fill="auto"/>
            <w:noWrap/>
            <w:vAlign w:val="center"/>
            <w:hideMark/>
          </w:tcPr>
          <w:p w14:paraId="560E9160"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345</w:t>
            </w:r>
          </w:p>
        </w:tc>
        <w:tc>
          <w:tcPr>
            <w:tcW w:w="508" w:type="pct"/>
            <w:shd w:val="clear" w:color="auto" w:fill="auto"/>
            <w:noWrap/>
            <w:vAlign w:val="center"/>
            <w:hideMark/>
          </w:tcPr>
          <w:p w14:paraId="07EBFA47"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427</w:t>
            </w:r>
          </w:p>
        </w:tc>
        <w:tc>
          <w:tcPr>
            <w:tcW w:w="508" w:type="pct"/>
            <w:shd w:val="clear" w:color="auto" w:fill="auto"/>
            <w:noWrap/>
            <w:vAlign w:val="center"/>
            <w:hideMark/>
          </w:tcPr>
          <w:p w14:paraId="02ED3D94"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434</w:t>
            </w:r>
          </w:p>
        </w:tc>
      </w:tr>
    </w:tbl>
    <w:p w14:paraId="2A239CF7" w14:textId="6A5983C8" w:rsidR="00484270" w:rsidRPr="00AA6879" w:rsidRDefault="00881780" w:rsidP="00AA6879">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bookmarkStart w:id="201" w:name="_Toc3896850"/>
      <w:bookmarkStart w:id="202" w:name="_Toc8824209"/>
      <w:r w:rsidR="00AA6879">
        <w:rPr>
          <w:i/>
          <w:sz w:val="18"/>
          <w:szCs w:val="20"/>
        </w:rPr>
        <w:t>BDL / GUS.</w:t>
      </w:r>
    </w:p>
    <w:p w14:paraId="6AB4EFE6" w14:textId="51A7B6FB" w:rsidR="00881780" w:rsidRPr="00432E11" w:rsidRDefault="00881780" w:rsidP="00754ED4">
      <w:pPr>
        <w:pStyle w:val="Legenda"/>
        <w:spacing w:after="0"/>
      </w:pPr>
      <w:r w:rsidRPr="00432E11">
        <w:t xml:space="preserve">Tabela </w:t>
      </w:r>
      <w:r>
        <w:fldChar w:fldCharType="begin"/>
      </w:r>
      <w:r>
        <w:instrText xml:space="preserve"> SEQ Tabela \* ARABIC </w:instrText>
      </w:r>
      <w:r>
        <w:fldChar w:fldCharType="separate"/>
      </w:r>
      <w:r w:rsidR="00763345">
        <w:rPr>
          <w:noProof/>
        </w:rPr>
        <w:t>98</w:t>
      </w:r>
      <w:r>
        <w:fldChar w:fldCharType="end"/>
      </w:r>
      <w:r w:rsidRPr="00432E11">
        <w:t xml:space="preserve"> </w:t>
      </w:r>
      <w:r>
        <w:t>Przeciętna liczba</w:t>
      </w:r>
      <w:r w:rsidRPr="00432E11">
        <w:t xml:space="preserve"> zatrudnionych</w:t>
      </w:r>
      <w:r w:rsidR="00E66B89">
        <w:t xml:space="preserve"> w </w:t>
      </w:r>
      <w:r w:rsidRPr="00432E11">
        <w:t>mikroprzedsiębiorstwach</w:t>
      </w:r>
      <w:r>
        <w:t xml:space="preserve"> na podstawie</w:t>
      </w:r>
      <w:r w:rsidRPr="00432E11">
        <w:t xml:space="preserve"> umowy</w:t>
      </w:r>
      <w:r w:rsidR="00E66B89">
        <w:t xml:space="preserve"> o </w:t>
      </w:r>
      <w:r w:rsidRPr="00432E11">
        <w:t>pracę</w:t>
      </w:r>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991"/>
        <w:gridCol w:w="1135"/>
        <w:gridCol w:w="1133"/>
        <w:gridCol w:w="1136"/>
        <w:gridCol w:w="1127"/>
      </w:tblGrid>
      <w:tr w:rsidR="00881780" w:rsidRPr="00A71C8E" w14:paraId="31D1A5F7" w14:textId="77777777" w:rsidTr="005F04FC">
        <w:trPr>
          <w:trHeight w:val="308"/>
          <w:tblHeader/>
        </w:trPr>
        <w:tc>
          <w:tcPr>
            <w:tcW w:w="5000" w:type="pct"/>
            <w:gridSpan w:val="6"/>
            <w:shd w:val="clear" w:color="auto" w:fill="DBE5F1"/>
            <w:noWrap/>
            <w:vAlign w:val="center"/>
            <w:hideMark/>
          </w:tcPr>
          <w:p w14:paraId="3A643853"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Przeciętna liczba zatrudnionych</w:t>
            </w:r>
            <w:r w:rsidR="00E66B89" w:rsidRPr="00A71C8E">
              <w:rPr>
                <w:rFonts w:cs="Arial"/>
                <w:b/>
                <w:bCs/>
                <w:color w:val="000000"/>
                <w:sz w:val="18"/>
                <w:szCs w:val="18"/>
              </w:rPr>
              <w:t xml:space="preserve"> w </w:t>
            </w:r>
            <w:r w:rsidRPr="00A71C8E">
              <w:rPr>
                <w:rFonts w:cs="Arial"/>
                <w:b/>
                <w:bCs/>
                <w:color w:val="000000"/>
                <w:sz w:val="18"/>
                <w:szCs w:val="18"/>
              </w:rPr>
              <w:t>mikroprzedsiębiorstwach</w:t>
            </w:r>
            <w:r w:rsidR="00E66B89" w:rsidRPr="00A71C8E">
              <w:rPr>
                <w:rFonts w:cs="Arial"/>
                <w:b/>
                <w:bCs/>
                <w:color w:val="000000"/>
                <w:sz w:val="18"/>
                <w:szCs w:val="18"/>
              </w:rPr>
              <w:t xml:space="preserve"> w </w:t>
            </w:r>
            <w:r w:rsidRPr="00A71C8E">
              <w:rPr>
                <w:rFonts w:cs="Arial"/>
                <w:b/>
                <w:bCs/>
                <w:color w:val="000000"/>
                <w:sz w:val="18"/>
                <w:szCs w:val="18"/>
              </w:rPr>
              <w:t>ramach umowy</w:t>
            </w:r>
            <w:r w:rsidR="00E66B89" w:rsidRPr="00A71C8E">
              <w:rPr>
                <w:rFonts w:cs="Arial"/>
                <w:b/>
                <w:bCs/>
                <w:color w:val="000000"/>
                <w:sz w:val="18"/>
                <w:szCs w:val="18"/>
              </w:rPr>
              <w:t xml:space="preserve"> o </w:t>
            </w:r>
            <w:r w:rsidRPr="00A71C8E">
              <w:rPr>
                <w:rFonts w:cs="Arial"/>
                <w:b/>
                <w:bCs/>
                <w:color w:val="000000"/>
                <w:sz w:val="18"/>
                <w:szCs w:val="18"/>
              </w:rPr>
              <w:t>pracę</w:t>
            </w:r>
          </w:p>
        </w:tc>
      </w:tr>
      <w:tr w:rsidR="00881780" w:rsidRPr="00A71C8E" w14:paraId="585EA62A" w14:textId="77777777" w:rsidTr="006F4D8F">
        <w:trPr>
          <w:trHeight w:val="308"/>
        </w:trPr>
        <w:tc>
          <w:tcPr>
            <w:tcW w:w="1953" w:type="pct"/>
            <w:shd w:val="clear" w:color="auto" w:fill="auto"/>
            <w:noWrap/>
            <w:vAlign w:val="center"/>
            <w:hideMark/>
          </w:tcPr>
          <w:p w14:paraId="52D8B817"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Rok</w:t>
            </w:r>
          </w:p>
        </w:tc>
        <w:tc>
          <w:tcPr>
            <w:tcW w:w="547" w:type="pct"/>
            <w:shd w:val="clear" w:color="auto" w:fill="auto"/>
            <w:noWrap/>
            <w:vAlign w:val="center"/>
            <w:hideMark/>
          </w:tcPr>
          <w:p w14:paraId="5F1B2F82"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2013</w:t>
            </w:r>
          </w:p>
        </w:tc>
        <w:tc>
          <w:tcPr>
            <w:tcW w:w="626" w:type="pct"/>
            <w:shd w:val="clear" w:color="auto" w:fill="auto"/>
            <w:noWrap/>
            <w:vAlign w:val="center"/>
            <w:hideMark/>
          </w:tcPr>
          <w:p w14:paraId="30FA704F"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2014</w:t>
            </w:r>
          </w:p>
        </w:tc>
        <w:tc>
          <w:tcPr>
            <w:tcW w:w="625" w:type="pct"/>
            <w:shd w:val="clear" w:color="auto" w:fill="auto"/>
            <w:noWrap/>
            <w:vAlign w:val="center"/>
            <w:hideMark/>
          </w:tcPr>
          <w:p w14:paraId="12B357A0"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2015</w:t>
            </w:r>
          </w:p>
        </w:tc>
        <w:tc>
          <w:tcPr>
            <w:tcW w:w="627" w:type="pct"/>
            <w:shd w:val="clear" w:color="auto" w:fill="auto"/>
            <w:noWrap/>
            <w:vAlign w:val="center"/>
            <w:hideMark/>
          </w:tcPr>
          <w:p w14:paraId="05354F33"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2016</w:t>
            </w:r>
          </w:p>
        </w:tc>
        <w:tc>
          <w:tcPr>
            <w:tcW w:w="622" w:type="pct"/>
          </w:tcPr>
          <w:p w14:paraId="692C023C" w14:textId="77777777" w:rsidR="00881780" w:rsidRPr="00A71C8E" w:rsidRDefault="00881780" w:rsidP="006F4D8F">
            <w:pPr>
              <w:spacing w:before="0" w:line="240" w:lineRule="auto"/>
              <w:rPr>
                <w:rFonts w:cs="Arial"/>
                <w:b/>
                <w:bCs/>
                <w:color w:val="000000"/>
                <w:sz w:val="18"/>
                <w:szCs w:val="18"/>
              </w:rPr>
            </w:pPr>
            <w:r w:rsidRPr="00A71C8E">
              <w:rPr>
                <w:rFonts w:cs="Arial"/>
                <w:b/>
                <w:bCs/>
                <w:color w:val="000000"/>
                <w:sz w:val="18"/>
                <w:szCs w:val="18"/>
              </w:rPr>
              <w:t>2017</w:t>
            </w:r>
          </w:p>
        </w:tc>
      </w:tr>
      <w:tr w:rsidR="00881780" w:rsidRPr="00A71C8E" w14:paraId="0BEA81C9" w14:textId="77777777" w:rsidTr="006F4D8F">
        <w:trPr>
          <w:trHeight w:val="315"/>
        </w:trPr>
        <w:tc>
          <w:tcPr>
            <w:tcW w:w="1953" w:type="pct"/>
            <w:shd w:val="clear" w:color="auto" w:fill="auto"/>
            <w:noWrap/>
            <w:vAlign w:val="center"/>
            <w:hideMark/>
          </w:tcPr>
          <w:p w14:paraId="42198874"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Zachodniopomorskie (w tys.)</w:t>
            </w:r>
          </w:p>
        </w:tc>
        <w:tc>
          <w:tcPr>
            <w:tcW w:w="547" w:type="pct"/>
            <w:shd w:val="clear" w:color="auto" w:fill="auto"/>
            <w:noWrap/>
            <w:vAlign w:val="center"/>
            <w:hideMark/>
          </w:tcPr>
          <w:p w14:paraId="689492E5"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50 857</w:t>
            </w:r>
          </w:p>
        </w:tc>
        <w:tc>
          <w:tcPr>
            <w:tcW w:w="626" w:type="pct"/>
            <w:shd w:val="clear" w:color="auto" w:fill="auto"/>
            <w:noWrap/>
            <w:vAlign w:val="center"/>
            <w:hideMark/>
          </w:tcPr>
          <w:p w14:paraId="26D44358"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52 090</w:t>
            </w:r>
          </w:p>
        </w:tc>
        <w:tc>
          <w:tcPr>
            <w:tcW w:w="625" w:type="pct"/>
            <w:shd w:val="clear" w:color="auto" w:fill="auto"/>
            <w:noWrap/>
            <w:vAlign w:val="center"/>
            <w:hideMark/>
          </w:tcPr>
          <w:p w14:paraId="38284CE1"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59 322</w:t>
            </w:r>
          </w:p>
        </w:tc>
        <w:tc>
          <w:tcPr>
            <w:tcW w:w="627" w:type="pct"/>
            <w:shd w:val="clear" w:color="auto" w:fill="auto"/>
            <w:noWrap/>
            <w:vAlign w:val="center"/>
            <w:hideMark/>
          </w:tcPr>
          <w:p w14:paraId="7D1A1945"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60 312</w:t>
            </w:r>
          </w:p>
        </w:tc>
        <w:tc>
          <w:tcPr>
            <w:tcW w:w="622" w:type="pct"/>
          </w:tcPr>
          <w:p w14:paraId="6D485B7B" w14:textId="77777777" w:rsidR="00881780" w:rsidRPr="00A71C8E" w:rsidRDefault="00881780" w:rsidP="006F4D8F">
            <w:pPr>
              <w:spacing w:before="0" w:line="240" w:lineRule="auto"/>
              <w:rPr>
                <w:rFonts w:cs="Arial"/>
                <w:color w:val="000000"/>
                <w:sz w:val="18"/>
                <w:szCs w:val="18"/>
              </w:rPr>
            </w:pPr>
            <w:r w:rsidRPr="00A71C8E">
              <w:rPr>
                <w:rFonts w:cs="Arial"/>
                <w:color w:val="000000"/>
                <w:sz w:val="18"/>
                <w:szCs w:val="18"/>
              </w:rPr>
              <w:t>58 467</w:t>
            </w:r>
          </w:p>
        </w:tc>
      </w:tr>
    </w:tbl>
    <w:p w14:paraId="3E81B87D" w14:textId="07217DCE" w:rsidR="00881780" w:rsidRPr="00EE66C6" w:rsidRDefault="00881780" w:rsidP="005A06CB">
      <w:pPr>
        <w:spacing w:before="0"/>
        <w:rPr>
          <w:i/>
          <w:sz w:val="18"/>
          <w:szCs w:val="20"/>
        </w:rPr>
      </w:pPr>
      <w:r w:rsidRPr="00EE66C6">
        <w:rPr>
          <w:i/>
          <w:sz w:val="18"/>
          <w:szCs w:val="20"/>
        </w:rPr>
        <w:t>Źródło: opracowanie własne na podstawie danych GUS, Działalność gospodarcza przedsiębiorstw</w:t>
      </w:r>
      <w:r w:rsidR="00E66B89" w:rsidRPr="00EE66C6">
        <w:rPr>
          <w:i/>
          <w:sz w:val="18"/>
          <w:szCs w:val="20"/>
        </w:rPr>
        <w:t xml:space="preserve"> o </w:t>
      </w:r>
      <w:r w:rsidRPr="00EE66C6">
        <w:rPr>
          <w:i/>
          <w:sz w:val="18"/>
          <w:szCs w:val="20"/>
        </w:rPr>
        <w:t>liczbie pracujących do 9 osób</w:t>
      </w:r>
      <w:r w:rsidR="00AA6879">
        <w:rPr>
          <w:i/>
          <w:sz w:val="18"/>
          <w:szCs w:val="20"/>
        </w:rPr>
        <w:t>.</w:t>
      </w:r>
    </w:p>
    <w:p w14:paraId="118F5D4B" w14:textId="77777777" w:rsidR="00881780" w:rsidRPr="00F31AD6" w:rsidRDefault="00881780" w:rsidP="00881780">
      <w:pPr>
        <w:autoSpaceDE w:val="0"/>
        <w:autoSpaceDN w:val="0"/>
        <w:adjustRightInd w:val="0"/>
        <w:spacing w:line="276" w:lineRule="auto"/>
        <w:rPr>
          <w:rFonts w:eastAsia="Arial"/>
          <w:szCs w:val="20"/>
        </w:rPr>
      </w:pPr>
      <w:r w:rsidRPr="00F31AD6">
        <w:rPr>
          <w:rFonts w:eastAsia="Arial"/>
          <w:szCs w:val="20"/>
        </w:rPr>
        <w:t>Nadal niższa</w:t>
      </w:r>
      <w:r w:rsidR="00E66B89">
        <w:rPr>
          <w:rFonts w:eastAsia="Arial"/>
          <w:szCs w:val="20"/>
        </w:rPr>
        <w:t xml:space="preserve"> w </w:t>
      </w:r>
      <w:r w:rsidRPr="00F31AD6">
        <w:rPr>
          <w:rFonts w:eastAsia="Arial"/>
          <w:szCs w:val="20"/>
        </w:rPr>
        <w:t>województwie zachodniopomorskim niż</w:t>
      </w:r>
      <w:r w:rsidR="00E66B89">
        <w:rPr>
          <w:rFonts w:eastAsia="Arial"/>
          <w:szCs w:val="20"/>
        </w:rPr>
        <w:t xml:space="preserve"> w </w:t>
      </w:r>
      <w:r w:rsidRPr="00F31AD6">
        <w:rPr>
          <w:rFonts w:eastAsia="Arial"/>
          <w:szCs w:val="20"/>
        </w:rPr>
        <w:t>pozostałych regionach Polski jest liczba nowo powstałych miejsc pracy</w:t>
      </w:r>
      <w:r>
        <w:rPr>
          <w:rFonts w:eastAsia="Arial"/>
          <w:szCs w:val="20"/>
        </w:rPr>
        <w:t xml:space="preserve"> </w:t>
      </w:r>
      <w:r>
        <w:rPr>
          <w:rFonts w:eastAsia="Arial"/>
          <w:szCs w:val="20"/>
        </w:rPr>
        <w:noBreakHyphen/>
      </w:r>
      <w:r w:rsidR="00E66B89">
        <w:rPr>
          <w:rFonts w:eastAsia="Arial"/>
          <w:szCs w:val="20"/>
        </w:rPr>
        <w:t xml:space="preserve"> w </w:t>
      </w:r>
      <w:r w:rsidRPr="00F31AD6">
        <w:rPr>
          <w:rFonts w:eastAsia="Arial"/>
          <w:szCs w:val="20"/>
        </w:rPr>
        <w:t xml:space="preserve">2012 roku wynik dla regionu </w:t>
      </w:r>
      <w:r>
        <w:rPr>
          <w:rFonts w:eastAsia="Arial"/>
          <w:szCs w:val="20"/>
        </w:rPr>
        <w:t xml:space="preserve">to </w:t>
      </w:r>
      <w:r w:rsidRPr="00F31AD6">
        <w:rPr>
          <w:rFonts w:eastAsia="Arial"/>
          <w:szCs w:val="20"/>
        </w:rPr>
        <w:t>161 nowych miejsc pracy na 10 tys. ludności</w:t>
      </w:r>
      <w:r w:rsidR="00E66B89">
        <w:rPr>
          <w:rFonts w:eastAsia="Arial"/>
          <w:szCs w:val="20"/>
        </w:rPr>
        <w:t xml:space="preserve"> w </w:t>
      </w:r>
      <w:r>
        <w:rPr>
          <w:rFonts w:eastAsia="Arial"/>
          <w:szCs w:val="20"/>
        </w:rPr>
        <w:t>wieku produkcyjnym</w:t>
      </w:r>
      <w:r w:rsidRPr="00F31AD6">
        <w:rPr>
          <w:rFonts w:eastAsia="Arial"/>
          <w:szCs w:val="20"/>
        </w:rPr>
        <w:t>;</w:t>
      </w:r>
      <w:r w:rsidR="00E66B89">
        <w:rPr>
          <w:rFonts w:eastAsia="Arial"/>
          <w:szCs w:val="20"/>
        </w:rPr>
        <w:t xml:space="preserve"> w </w:t>
      </w:r>
      <w:r w:rsidRPr="00F31AD6">
        <w:rPr>
          <w:rFonts w:eastAsia="Arial"/>
          <w:szCs w:val="20"/>
        </w:rPr>
        <w:t>2017</w:t>
      </w:r>
      <w:r>
        <w:rPr>
          <w:rFonts w:eastAsia="Arial"/>
          <w:szCs w:val="20"/>
        </w:rPr>
        <w:t xml:space="preserve"> roku już 261.</w:t>
      </w:r>
      <w:r w:rsidRPr="00F31AD6">
        <w:rPr>
          <w:rFonts w:eastAsia="Arial"/>
          <w:szCs w:val="20"/>
        </w:rPr>
        <w:t xml:space="preserve"> </w:t>
      </w:r>
      <w:r w:rsidRPr="00F31AD6">
        <w:rPr>
          <w:rFonts w:cs="Arial"/>
          <w:bCs/>
          <w:szCs w:val="20"/>
        </w:rPr>
        <w:t>Od 2013 roku wzrasta liczba nowopowstałych miejsc pracy</w:t>
      </w:r>
      <w:r w:rsidR="00E66B89">
        <w:rPr>
          <w:rFonts w:cs="Arial"/>
          <w:bCs/>
          <w:szCs w:val="20"/>
        </w:rPr>
        <w:t xml:space="preserve"> w </w:t>
      </w:r>
      <w:r w:rsidRPr="00F31AD6">
        <w:rPr>
          <w:rFonts w:cs="Arial"/>
          <w:bCs/>
          <w:szCs w:val="20"/>
        </w:rPr>
        <w:t>przeliczeniu na 10 tys. ludności</w:t>
      </w:r>
      <w:r w:rsidR="00E66B89">
        <w:rPr>
          <w:rFonts w:cs="Arial"/>
          <w:bCs/>
          <w:szCs w:val="20"/>
        </w:rPr>
        <w:t xml:space="preserve"> w </w:t>
      </w:r>
      <w:r w:rsidRPr="00F31AD6">
        <w:rPr>
          <w:rFonts w:cs="Arial"/>
          <w:bCs/>
          <w:szCs w:val="20"/>
        </w:rPr>
        <w:t>wieku produkcyjnym</w:t>
      </w:r>
      <w:r>
        <w:rPr>
          <w:rFonts w:cs="Arial"/>
          <w:bCs/>
          <w:szCs w:val="20"/>
        </w:rPr>
        <w:t xml:space="preserve">; </w:t>
      </w:r>
      <w:r w:rsidRPr="00F31AD6">
        <w:rPr>
          <w:rFonts w:eastAsia="Arial"/>
          <w:szCs w:val="20"/>
        </w:rPr>
        <w:t>dynamika przyrostu miejsc pracy</w:t>
      </w:r>
      <w:r w:rsidR="00E66B89">
        <w:rPr>
          <w:rFonts w:eastAsia="Arial"/>
          <w:szCs w:val="20"/>
        </w:rPr>
        <w:t xml:space="preserve"> w </w:t>
      </w:r>
      <w:r w:rsidRPr="00F31AD6">
        <w:rPr>
          <w:rFonts w:eastAsia="Arial"/>
          <w:szCs w:val="20"/>
        </w:rPr>
        <w:t xml:space="preserve">regionie </w:t>
      </w:r>
      <w:r>
        <w:rPr>
          <w:rFonts w:eastAsia="Arial"/>
          <w:szCs w:val="20"/>
        </w:rPr>
        <w:t>jest większa niż</w:t>
      </w:r>
      <w:r w:rsidR="00E66B89">
        <w:rPr>
          <w:rFonts w:eastAsia="Arial"/>
          <w:szCs w:val="20"/>
        </w:rPr>
        <w:t xml:space="preserve"> w </w:t>
      </w:r>
      <w:r>
        <w:rPr>
          <w:rFonts w:eastAsia="Arial"/>
          <w:szCs w:val="20"/>
        </w:rPr>
        <w:t>innych województwach (</w:t>
      </w:r>
      <w:r w:rsidRPr="00F31AD6">
        <w:rPr>
          <w:rFonts w:eastAsia="Arial"/>
          <w:szCs w:val="20"/>
        </w:rPr>
        <w:t>w okresie wdrażania Programu województwo zanotowało wysoki na tle innych regionów Polski wzrost liczby nowopowstałych miejsc pracy (62,2%)</w:t>
      </w:r>
      <w:r>
        <w:rPr>
          <w:rFonts w:eastAsia="Arial"/>
          <w:szCs w:val="20"/>
        </w:rPr>
        <w:t>)</w:t>
      </w:r>
      <w:r w:rsidRPr="00F31AD6">
        <w:rPr>
          <w:rFonts w:eastAsia="Arial"/>
          <w:szCs w:val="20"/>
        </w:rPr>
        <w:t xml:space="preserve">. </w:t>
      </w:r>
    </w:p>
    <w:p w14:paraId="43FABD78" w14:textId="77777777" w:rsidR="00881780" w:rsidRPr="00432E11" w:rsidRDefault="00881780" w:rsidP="00754ED4">
      <w:pPr>
        <w:pStyle w:val="Legenda"/>
        <w:spacing w:after="0"/>
      </w:pPr>
      <w:bookmarkStart w:id="203" w:name="_Toc3896851"/>
      <w:bookmarkStart w:id="204" w:name="_Toc8824210"/>
      <w:r w:rsidRPr="00432E11">
        <w:t xml:space="preserve">Tabela </w:t>
      </w:r>
      <w:r>
        <w:fldChar w:fldCharType="begin"/>
      </w:r>
      <w:r>
        <w:instrText xml:space="preserve"> SEQ Tabela \* ARABIC </w:instrText>
      </w:r>
      <w:r>
        <w:fldChar w:fldCharType="separate"/>
      </w:r>
      <w:r w:rsidR="00763345">
        <w:rPr>
          <w:noProof/>
        </w:rPr>
        <w:t>99</w:t>
      </w:r>
      <w:r>
        <w:fldChar w:fldCharType="end"/>
      </w:r>
      <w:r w:rsidRPr="00432E11">
        <w:t xml:space="preserve"> Liczba nowo powstałych miejsc pracy; Polska</w:t>
      </w:r>
      <w:r w:rsidR="00E66B89">
        <w:t xml:space="preserve"> i </w:t>
      </w:r>
      <w:r w:rsidRPr="00432E11">
        <w:t>województwa</w:t>
      </w:r>
      <w:bookmarkEnd w:id="203"/>
      <w:bookmarkEnd w:id="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8"/>
        <w:gridCol w:w="989"/>
        <w:gridCol w:w="999"/>
        <w:gridCol w:w="852"/>
        <w:gridCol w:w="924"/>
        <w:gridCol w:w="1008"/>
        <w:gridCol w:w="1008"/>
        <w:gridCol w:w="1008"/>
        <w:gridCol w:w="1006"/>
      </w:tblGrid>
      <w:tr w:rsidR="00881780" w:rsidRPr="00A71C8E" w14:paraId="0895A2AA" w14:textId="77777777" w:rsidTr="005F04FC">
        <w:trPr>
          <w:trHeight w:val="300"/>
          <w:tblHeader/>
          <w:jc w:val="center"/>
        </w:trPr>
        <w:tc>
          <w:tcPr>
            <w:tcW w:w="5000" w:type="pct"/>
            <w:gridSpan w:val="9"/>
            <w:shd w:val="clear" w:color="auto" w:fill="DBE5F1"/>
            <w:noWrap/>
            <w:vAlign w:val="center"/>
          </w:tcPr>
          <w:p w14:paraId="0543796B"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Liczba nowopowstałych miejsc pracy</w:t>
            </w:r>
            <w:r w:rsidR="00E66B89" w:rsidRPr="00A71C8E">
              <w:rPr>
                <w:b/>
                <w:color w:val="000000"/>
                <w:sz w:val="18"/>
                <w:szCs w:val="18"/>
              </w:rPr>
              <w:t xml:space="preserve"> w </w:t>
            </w:r>
            <w:r w:rsidRPr="00A71C8E">
              <w:rPr>
                <w:b/>
                <w:color w:val="000000"/>
                <w:sz w:val="18"/>
                <w:szCs w:val="18"/>
              </w:rPr>
              <w:t>przeliczeniu na 10 tys. ludności</w:t>
            </w:r>
            <w:r w:rsidR="00E66B89" w:rsidRPr="00A71C8E">
              <w:rPr>
                <w:b/>
                <w:color w:val="000000"/>
                <w:sz w:val="18"/>
                <w:szCs w:val="18"/>
              </w:rPr>
              <w:t xml:space="preserve"> w </w:t>
            </w:r>
            <w:r w:rsidRPr="00A71C8E">
              <w:rPr>
                <w:b/>
                <w:color w:val="000000"/>
                <w:sz w:val="18"/>
                <w:szCs w:val="18"/>
              </w:rPr>
              <w:t>wieku produkcyjnym</w:t>
            </w:r>
          </w:p>
        </w:tc>
      </w:tr>
      <w:tr w:rsidR="00881780" w:rsidRPr="00A71C8E" w14:paraId="1025B637" w14:textId="77777777" w:rsidTr="00C22C26">
        <w:trPr>
          <w:trHeight w:val="300"/>
          <w:tblHeader/>
          <w:jc w:val="center"/>
        </w:trPr>
        <w:tc>
          <w:tcPr>
            <w:tcW w:w="700" w:type="pct"/>
            <w:shd w:val="clear" w:color="auto" w:fill="auto"/>
            <w:noWrap/>
          </w:tcPr>
          <w:p w14:paraId="6F8E0E59"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Region/rok</w:t>
            </w:r>
          </w:p>
        </w:tc>
        <w:tc>
          <w:tcPr>
            <w:tcW w:w="546" w:type="pct"/>
            <w:shd w:val="clear" w:color="auto" w:fill="auto"/>
            <w:noWrap/>
          </w:tcPr>
          <w:p w14:paraId="37C96E2F"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2012</w:t>
            </w:r>
          </w:p>
        </w:tc>
        <w:tc>
          <w:tcPr>
            <w:tcW w:w="551" w:type="pct"/>
            <w:shd w:val="clear" w:color="auto" w:fill="auto"/>
            <w:noWrap/>
          </w:tcPr>
          <w:p w14:paraId="4594D2AC"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2013</w:t>
            </w:r>
          </w:p>
        </w:tc>
        <w:tc>
          <w:tcPr>
            <w:tcW w:w="470" w:type="pct"/>
            <w:shd w:val="clear" w:color="auto" w:fill="auto"/>
            <w:noWrap/>
          </w:tcPr>
          <w:p w14:paraId="7962E2E7"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2014</w:t>
            </w:r>
          </w:p>
        </w:tc>
        <w:tc>
          <w:tcPr>
            <w:tcW w:w="510" w:type="pct"/>
            <w:shd w:val="clear" w:color="auto" w:fill="auto"/>
            <w:noWrap/>
          </w:tcPr>
          <w:p w14:paraId="61A7B0A0"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2015</w:t>
            </w:r>
          </w:p>
        </w:tc>
        <w:tc>
          <w:tcPr>
            <w:tcW w:w="556" w:type="pct"/>
            <w:shd w:val="clear" w:color="auto" w:fill="auto"/>
            <w:noWrap/>
          </w:tcPr>
          <w:p w14:paraId="792FDBF0"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2016</w:t>
            </w:r>
          </w:p>
        </w:tc>
        <w:tc>
          <w:tcPr>
            <w:tcW w:w="556" w:type="pct"/>
            <w:shd w:val="clear" w:color="auto" w:fill="auto"/>
            <w:noWrap/>
          </w:tcPr>
          <w:p w14:paraId="3C158305"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2017</w:t>
            </w:r>
          </w:p>
        </w:tc>
        <w:tc>
          <w:tcPr>
            <w:tcW w:w="556" w:type="pct"/>
            <w:shd w:val="clear" w:color="auto" w:fill="C6D9F1"/>
          </w:tcPr>
          <w:p w14:paraId="205021F9"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Wzrost -2017 do 2012 (n)</w:t>
            </w:r>
          </w:p>
        </w:tc>
        <w:tc>
          <w:tcPr>
            <w:tcW w:w="555" w:type="pct"/>
            <w:shd w:val="clear" w:color="auto" w:fill="C6D9F1"/>
          </w:tcPr>
          <w:p w14:paraId="3D34080D"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Wzrost 2017 do 2012 (%)</w:t>
            </w:r>
          </w:p>
        </w:tc>
      </w:tr>
      <w:tr w:rsidR="00881780" w:rsidRPr="00A71C8E" w14:paraId="12CEF2F2" w14:textId="77777777" w:rsidTr="006F4D8F">
        <w:trPr>
          <w:trHeight w:val="300"/>
          <w:jc w:val="center"/>
        </w:trPr>
        <w:tc>
          <w:tcPr>
            <w:tcW w:w="700" w:type="pct"/>
            <w:shd w:val="clear" w:color="auto" w:fill="auto"/>
            <w:noWrap/>
            <w:hideMark/>
          </w:tcPr>
          <w:p w14:paraId="11CC0724"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Polska</w:t>
            </w:r>
          </w:p>
        </w:tc>
        <w:tc>
          <w:tcPr>
            <w:tcW w:w="546" w:type="pct"/>
            <w:shd w:val="clear" w:color="auto" w:fill="auto"/>
            <w:noWrap/>
            <w:hideMark/>
          </w:tcPr>
          <w:p w14:paraId="5B3ABB8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189</w:t>
            </w:r>
          </w:p>
        </w:tc>
        <w:tc>
          <w:tcPr>
            <w:tcW w:w="551" w:type="pct"/>
            <w:shd w:val="clear" w:color="auto" w:fill="auto"/>
            <w:noWrap/>
            <w:hideMark/>
          </w:tcPr>
          <w:p w14:paraId="773926DF"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206</w:t>
            </w:r>
          </w:p>
        </w:tc>
        <w:tc>
          <w:tcPr>
            <w:tcW w:w="470" w:type="pct"/>
            <w:shd w:val="clear" w:color="auto" w:fill="auto"/>
            <w:noWrap/>
            <w:hideMark/>
          </w:tcPr>
          <w:p w14:paraId="66952A6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254</w:t>
            </w:r>
          </w:p>
        </w:tc>
        <w:tc>
          <w:tcPr>
            <w:tcW w:w="510" w:type="pct"/>
            <w:shd w:val="clear" w:color="auto" w:fill="auto"/>
            <w:noWrap/>
            <w:hideMark/>
          </w:tcPr>
          <w:p w14:paraId="03879E56"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248</w:t>
            </w:r>
          </w:p>
        </w:tc>
        <w:tc>
          <w:tcPr>
            <w:tcW w:w="556" w:type="pct"/>
            <w:shd w:val="clear" w:color="auto" w:fill="auto"/>
            <w:noWrap/>
            <w:hideMark/>
          </w:tcPr>
          <w:p w14:paraId="04D20D9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260</w:t>
            </w:r>
          </w:p>
        </w:tc>
        <w:tc>
          <w:tcPr>
            <w:tcW w:w="556" w:type="pct"/>
            <w:shd w:val="clear" w:color="auto" w:fill="auto"/>
            <w:noWrap/>
            <w:hideMark/>
          </w:tcPr>
          <w:p w14:paraId="095FB36C" w14:textId="77777777" w:rsidR="00881780" w:rsidRPr="00A71C8E" w:rsidRDefault="00881780" w:rsidP="006F4D8F">
            <w:pPr>
              <w:spacing w:before="0" w:line="240" w:lineRule="auto"/>
              <w:jc w:val="left"/>
              <w:rPr>
                <w:color w:val="000000"/>
                <w:sz w:val="18"/>
                <w:szCs w:val="18"/>
              </w:rPr>
            </w:pPr>
            <w:r w:rsidRPr="00A71C8E">
              <w:rPr>
                <w:color w:val="000000"/>
                <w:sz w:val="18"/>
                <w:szCs w:val="18"/>
              </w:rPr>
              <w:t>295</w:t>
            </w:r>
          </w:p>
        </w:tc>
        <w:tc>
          <w:tcPr>
            <w:tcW w:w="556" w:type="pct"/>
            <w:shd w:val="clear" w:color="auto" w:fill="C6D9F1"/>
          </w:tcPr>
          <w:p w14:paraId="3772E2BE" w14:textId="77777777" w:rsidR="00881780" w:rsidRPr="00A71C8E" w:rsidRDefault="00881780" w:rsidP="006F4D8F">
            <w:pPr>
              <w:spacing w:before="0" w:line="240" w:lineRule="auto"/>
              <w:jc w:val="left"/>
              <w:rPr>
                <w:sz w:val="18"/>
                <w:szCs w:val="18"/>
              </w:rPr>
            </w:pPr>
            <w:r w:rsidRPr="00A71C8E">
              <w:rPr>
                <w:sz w:val="18"/>
                <w:szCs w:val="18"/>
              </w:rPr>
              <w:t>106</w:t>
            </w:r>
          </w:p>
        </w:tc>
        <w:tc>
          <w:tcPr>
            <w:tcW w:w="555" w:type="pct"/>
            <w:shd w:val="clear" w:color="auto" w:fill="C6D9F1"/>
          </w:tcPr>
          <w:p w14:paraId="4D7168D1" w14:textId="77777777" w:rsidR="00881780" w:rsidRPr="00A71C8E" w:rsidRDefault="00881780" w:rsidP="006F4D8F">
            <w:pPr>
              <w:spacing w:before="0" w:line="240" w:lineRule="auto"/>
              <w:jc w:val="left"/>
              <w:rPr>
                <w:sz w:val="18"/>
                <w:szCs w:val="18"/>
              </w:rPr>
            </w:pPr>
            <w:r w:rsidRPr="00A71C8E">
              <w:rPr>
                <w:sz w:val="18"/>
                <w:szCs w:val="18"/>
              </w:rPr>
              <w:t>56,2</w:t>
            </w:r>
          </w:p>
        </w:tc>
      </w:tr>
      <w:tr w:rsidR="00881780" w:rsidRPr="00A71C8E" w14:paraId="2E137F29" w14:textId="77777777" w:rsidTr="006F4D8F">
        <w:trPr>
          <w:trHeight w:val="300"/>
          <w:jc w:val="center"/>
        </w:trPr>
        <w:tc>
          <w:tcPr>
            <w:tcW w:w="700" w:type="pct"/>
            <w:shd w:val="clear" w:color="auto" w:fill="auto"/>
            <w:noWrap/>
            <w:hideMark/>
          </w:tcPr>
          <w:p w14:paraId="284AD94D" w14:textId="77777777" w:rsidR="00881780" w:rsidRPr="00A71C8E" w:rsidRDefault="00881780" w:rsidP="006F4D8F">
            <w:pPr>
              <w:spacing w:before="0" w:line="240" w:lineRule="auto"/>
              <w:jc w:val="left"/>
              <w:rPr>
                <w:color w:val="000000"/>
                <w:sz w:val="18"/>
                <w:szCs w:val="18"/>
              </w:rPr>
            </w:pPr>
            <w:r w:rsidRPr="00A71C8E">
              <w:rPr>
                <w:color w:val="000000"/>
                <w:sz w:val="18"/>
                <w:szCs w:val="18"/>
              </w:rPr>
              <w:t>Dolnośląskie</w:t>
            </w:r>
          </w:p>
        </w:tc>
        <w:tc>
          <w:tcPr>
            <w:tcW w:w="546" w:type="pct"/>
            <w:shd w:val="clear" w:color="auto" w:fill="auto"/>
            <w:noWrap/>
            <w:hideMark/>
          </w:tcPr>
          <w:p w14:paraId="5A7F18F7"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176</w:t>
            </w:r>
          </w:p>
        </w:tc>
        <w:tc>
          <w:tcPr>
            <w:tcW w:w="551" w:type="pct"/>
            <w:shd w:val="clear" w:color="auto" w:fill="auto"/>
            <w:noWrap/>
            <w:hideMark/>
          </w:tcPr>
          <w:p w14:paraId="58EDAC3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229</w:t>
            </w:r>
          </w:p>
        </w:tc>
        <w:tc>
          <w:tcPr>
            <w:tcW w:w="470" w:type="pct"/>
            <w:shd w:val="clear" w:color="auto" w:fill="auto"/>
            <w:noWrap/>
            <w:hideMark/>
          </w:tcPr>
          <w:p w14:paraId="30F3ECA8"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242</w:t>
            </w:r>
          </w:p>
        </w:tc>
        <w:tc>
          <w:tcPr>
            <w:tcW w:w="510" w:type="pct"/>
            <w:shd w:val="clear" w:color="auto" w:fill="auto"/>
            <w:noWrap/>
            <w:hideMark/>
          </w:tcPr>
          <w:p w14:paraId="18CAB17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263</w:t>
            </w:r>
          </w:p>
        </w:tc>
        <w:tc>
          <w:tcPr>
            <w:tcW w:w="556" w:type="pct"/>
            <w:shd w:val="clear" w:color="auto" w:fill="auto"/>
            <w:noWrap/>
            <w:hideMark/>
          </w:tcPr>
          <w:p w14:paraId="3307D4B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285</w:t>
            </w:r>
          </w:p>
        </w:tc>
        <w:tc>
          <w:tcPr>
            <w:tcW w:w="556" w:type="pct"/>
            <w:shd w:val="clear" w:color="auto" w:fill="auto"/>
            <w:noWrap/>
            <w:hideMark/>
          </w:tcPr>
          <w:p w14:paraId="4E773A54"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324</w:t>
            </w:r>
          </w:p>
        </w:tc>
        <w:tc>
          <w:tcPr>
            <w:tcW w:w="556" w:type="pct"/>
            <w:shd w:val="clear" w:color="auto" w:fill="C6D9F1"/>
          </w:tcPr>
          <w:p w14:paraId="4F0592EA" w14:textId="77777777" w:rsidR="00881780" w:rsidRPr="00A71C8E" w:rsidRDefault="00881780" w:rsidP="006F4D8F">
            <w:pPr>
              <w:spacing w:before="0" w:line="240" w:lineRule="auto"/>
              <w:jc w:val="left"/>
              <w:rPr>
                <w:sz w:val="18"/>
                <w:szCs w:val="18"/>
              </w:rPr>
            </w:pPr>
            <w:r w:rsidRPr="00A71C8E">
              <w:rPr>
                <w:sz w:val="18"/>
                <w:szCs w:val="18"/>
              </w:rPr>
              <w:t>148</w:t>
            </w:r>
          </w:p>
        </w:tc>
        <w:tc>
          <w:tcPr>
            <w:tcW w:w="555" w:type="pct"/>
            <w:shd w:val="clear" w:color="auto" w:fill="C6D9F1"/>
          </w:tcPr>
          <w:p w14:paraId="23E1F227" w14:textId="77777777" w:rsidR="00881780" w:rsidRPr="00A71C8E" w:rsidRDefault="00881780" w:rsidP="006F4D8F">
            <w:pPr>
              <w:spacing w:before="0" w:line="240" w:lineRule="auto"/>
              <w:jc w:val="left"/>
              <w:rPr>
                <w:sz w:val="18"/>
                <w:szCs w:val="18"/>
              </w:rPr>
            </w:pPr>
            <w:r w:rsidRPr="00A71C8E">
              <w:rPr>
                <w:sz w:val="18"/>
                <w:szCs w:val="18"/>
              </w:rPr>
              <w:t>84,3</w:t>
            </w:r>
          </w:p>
        </w:tc>
      </w:tr>
      <w:tr w:rsidR="00881780" w:rsidRPr="00A71C8E" w14:paraId="7ABB524A" w14:textId="77777777" w:rsidTr="006F4D8F">
        <w:trPr>
          <w:trHeight w:val="300"/>
          <w:jc w:val="center"/>
        </w:trPr>
        <w:tc>
          <w:tcPr>
            <w:tcW w:w="700" w:type="pct"/>
            <w:shd w:val="clear" w:color="auto" w:fill="auto"/>
            <w:noWrap/>
            <w:hideMark/>
          </w:tcPr>
          <w:p w14:paraId="3D021C30" w14:textId="77777777" w:rsidR="00881780" w:rsidRPr="00A71C8E" w:rsidRDefault="00881780" w:rsidP="006F4D8F">
            <w:pPr>
              <w:spacing w:before="0" w:line="240" w:lineRule="auto"/>
              <w:jc w:val="left"/>
              <w:rPr>
                <w:color w:val="000000"/>
                <w:sz w:val="18"/>
                <w:szCs w:val="18"/>
              </w:rPr>
            </w:pPr>
            <w:r w:rsidRPr="00A71C8E">
              <w:rPr>
                <w:color w:val="000000"/>
                <w:sz w:val="18"/>
                <w:szCs w:val="18"/>
              </w:rPr>
              <w:t>Kujawsko-pomorskie</w:t>
            </w:r>
          </w:p>
        </w:tc>
        <w:tc>
          <w:tcPr>
            <w:tcW w:w="546" w:type="pct"/>
            <w:shd w:val="clear" w:color="auto" w:fill="auto"/>
            <w:noWrap/>
            <w:hideMark/>
          </w:tcPr>
          <w:p w14:paraId="1500448B" w14:textId="77777777" w:rsidR="00881780" w:rsidRPr="00A71C8E" w:rsidRDefault="00881780" w:rsidP="006F4D8F">
            <w:pPr>
              <w:spacing w:before="0" w:line="240" w:lineRule="auto"/>
              <w:jc w:val="left"/>
              <w:rPr>
                <w:color w:val="000000"/>
                <w:sz w:val="18"/>
                <w:szCs w:val="18"/>
              </w:rPr>
            </w:pPr>
            <w:r w:rsidRPr="00A71C8E">
              <w:rPr>
                <w:color w:val="000000"/>
                <w:sz w:val="18"/>
                <w:szCs w:val="18"/>
              </w:rPr>
              <w:t>98</w:t>
            </w:r>
          </w:p>
        </w:tc>
        <w:tc>
          <w:tcPr>
            <w:tcW w:w="551" w:type="pct"/>
            <w:shd w:val="clear" w:color="auto" w:fill="auto"/>
            <w:noWrap/>
            <w:hideMark/>
          </w:tcPr>
          <w:p w14:paraId="46523993" w14:textId="77777777" w:rsidR="00881780" w:rsidRPr="00A71C8E" w:rsidRDefault="00881780" w:rsidP="006F4D8F">
            <w:pPr>
              <w:spacing w:before="0" w:line="240" w:lineRule="auto"/>
              <w:jc w:val="left"/>
              <w:rPr>
                <w:color w:val="000000"/>
                <w:sz w:val="18"/>
                <w:szCs w:val="18"/>
              </w:rPr>
            </w:pPr>
            <w:r w:rsidRPr="00A71C8E">
              <w:rPr>
                <w:color w:val="000000"/>
                <w:sz w:val="18"/>
                <w:szCs w:val="18"/>
              </w:rPr>
              <w:t>134</w:t>
            </w:r>
          </w:p>
        </w:tc>
        <w:tc>
          <w:tcPr>
            <w:tcW w:w="470" w:type="pct"/>
            <w:shd w:val="clear" w:color="auto" w:fill="auto"/>
            <w:noWrap/>
            <w:hideMark/>
          </w:tcPr>
          <w:p w14:paraId="5B779544"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191</w:t>
            </w:r>
          </w:p>
        </w:tc>
        <w:tc>
          <w:tcPr>
            <w:tcW w:w="510" w:type="pct"/>
            <w:shd w:val="clear" w:color="auto" w:fill="auto"/>
            <w:noWrap/>
            <w:hideMark/>
          </w:tcPr>
          <w:p w14:paraId="15A63BE1"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185</w:t>
            </w:r>
          </w:p>
        </w:tc>
        <w:tc>
          <w:tcPr>
            <w:tcW w:w="556" w:type="pct"/>
            <w:shd w:val="clear" w:color="auto" w:fill="auto"/>
            <w:noWrap/>
            <w:hideMark/>
          </w:tcPr>
          <w:p w14:paraId="2553E8FA"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181</w:t>
            </w:r>
          </w:p>
        </w:tc>
        <w:tc>
          <w:tcPr>
            <w:tcW w:w="556" w:type="pct"/>
            <w:shd w:val="clear" w:color="auto" w:fill="auto"/>
            <w:noWrap/>
            <w:hideMark/>
          </w:tcPr>
          <w:p w14:paraId="1F1D882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202</w:t>
            </w:r>
          </w:p>
        </w:tc>
        <w:tc>
          <w:tcPr>
            <w:tcW w:w="556" w:type="pct"/>
            <w:shd w:val="clear" w:color="auto" w:fill="C6D9F1"/>
          </w:tcPr>
          <w:p w14:paraId="4AFDF985" w14:textId="77777777" w:rsidR="00881780" w:rsidRPr="00A71C8E" w:rsidRDefault="00881780" w:rsidP="006F4D8F">
            <w:pPr>
              <w:spacing w:before="0" w:line="240" w:lineRule="auto"/>
              <w:jc w:val="left"/>
              <w:rPr>
                <w:sz w:val="18"/>
                <w:szCs w:val="18"/>
              </w:rPr>
            </w:pPr>
            <w:r w:rsidRPr="00A71C8E">
              <w:rPr>
                <w:sz w:val="18"/>
                <w:szCs w:val="18"/>
              </w:rPr>
              <w:t>104</w:t>
            </w:r>
          </w:p>
        </w:tc>
        <w:tc>
          <w:tcPr>
            <w:tcW w:w="555" w:type="pct"/>
            <w:shd w:val="clear" w:color="auto" w:fill="C6D9F1"/>
          </w:tcPr>
          <w:p w14:paraId="0C5A2E9F" w14:textId="77777777" w:rsidR="00881780" w:rsidRPr="00A71C8E" w:rsidRDefault="00881780" w:rsidP="006F4D8F">
            <w:pPr>
              <w:spacing w:before="0" w:line="240" w:lineRule="auto"/>
              <w:jc w:val="left"/>
              <w:rPr>
                <w:sz w:val="18"/>
                <w:szCs w:val="18"/>
              </w:rPr>
            </w:pPr>
            <w:r w:rsidRPr="00A71C8E">
              <w:rPr>
                <w:sz w:val="18"/>
                <w:szCs w:val="18"/>
              </w:rPr>
              <w:t>105,7</w:t>
            </w:r>
          </w:p>
        </w:tc>
      </w:tr>
      <w:tr w:rsidR="00881780" w:rsidRPr="00A71C8E" w14:paraId="615E1B1D" w14:textId="77777777" w:rsidTr="006F4D8F">
        <w:trPr>
          <w:trHeight w:val="300"/>
          <w:jc w:val="center"/>
        </w:trPr>
        <w:tc>
          <w:tcPr>
            <w:tcW w:w="700" w:type="pct"/>
            <w:shd w:val="clear" w:color="auto" w:fill="auto"/>
            <w:noWrap/>
            <w:hideMark/>
          </w:tcPr>
          <w:p w14:paraId="7F50DA7D"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Lubelskie</w:t>
            </w:r>
          </w:p>
        </w:tc>
        <w:tc>
          <w:tcPr>
            <w:tcW w:w="546" w:type="pct"/>
            <w:shd w:val="clear" w:color="auto" w:fill="auto"/>
            <w:noWrap/>
            <w:hideMark/>
          </w:tcPr>
          <w:p w14:paraId="5BDAE61E" w14:textId="77777777" w:rsidR="00881780" w:rsidRPr="00A71C8E" w:rsidRDefault="00881780" w:rsidP="006F4D8F">
            <w:pPr>
              <w:spacing w:before="0" w:line="240" w:lineRule="auto"/>
              <w:jc w:val="left"/>
              <w:rPr>
                <w:color w:val="000000"/>
                <w:sz w:val="18"/>
                <w:szCs w:val="18"/>
              </w:rPr>
            </w:pPr>
            <w:r w:rsidRPr="00A71C8E">
              <w:rPr>
                <w:color w:val="000000"/>
                <w:sz w:val="18"/>
                <w:szCs w:val="18"/>
              </w:rPr>
              <w:t>131</w:t>
            </w:r>
          </w:p>
        </w:tc>
        <w:tc>
          <w:tcPr>
            <w:tcW w:w="551" w:type="pct"/>
            <w:shd w:val="clear" w:color="auto" w:fill="auto"/>
            <w:noWrap/>
            <w:hideMark/>
          </w:tcPr>
          <w:p w14:paraId="77BAFEB6" w14:textId="77777777" w:rsidR="00881780" w:rsidRPr="00A71C8E" w:rsidRDefault="00881780" w:rsidP="006F4D8F">
            <w:pPr>
              <w:spacing w:before="0" w:line="240" w:lineRule="auto"/>
              <w:jc w:val="left"/>
              <w:rPr>
                <w:color w:val="000000"/>
                <w:sz w:val="18"/>
                <w:szCs w:val="18"/>
              </w:rPr>
            </w:pPr>
            <w:r w:rsidRPr="00A71C8E">
              <w:rPr>
                <w:color w:val="000000"/>
                <w:sz w:val="18"/>
                <w:szCs w:val="18"/>
              </w:rPr>
              <w:t>138</w:t>
            </w:r>
          </w:p>
        </w:tc>
        <w:tc>
          <w:tcPr>
            <w:tcW w:w="470" w:type="pct"/>
            <w:shd w:val="clear" w:color="auto" w:fill="auto"/>
            <w:noWrap/>
            <w:hideMark/>
          </w:tcPr>
          <w:p w14:paraId="5BCA88F2"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147</w:t>
            </w:r>
          </w:p>
        </w:tc>
        <w:tc>
          <w:tcPr>
            <w:tcW w:w="510" w:type="pct"/>
            <w:shd w:val="clear" w:color="auto" w:fill="auto"/>
            <w:noWrap/>
            <w:hideMark/>
          </w:tcPr>
          <w:p w14:paraId="03F49D6F"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152</w:t>
            </w:r>
          </w:p>
        </w:tc>
        <w:tc>
          <w:tcPr>
            <w:tcW w:w="556" w:type="pct"/>
            <w:shd w:val="clear" w:color="auto" w:fill="auto"/>
            <w:noWrap/>
            <w:hideMark/>
          </w:tcPr>
          <w:p w14:paraId="5A4865E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196</w:t>
            </w:r>
          </w:p>
        </w:tc>
        <w:tc>
          <w:tcPr>
            <w:tcW w:w="556" w:type="pct"/>
            <w:shd w:val="clear" w:color="auto" w:fill="auto"/>
            <w:noWrap/>
            <w:hideMark/>
          </w:tcPr>
          <w:p w14:paraId="267AC3D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189</w:t>
            </w:r>
          </w:p>
        </w:tc>
        <w:tc>
          <w:tcPr>
            <w:tcW w:w="556" w:type="pct"/>
            <w:shd w:val="clear" w:color="auto" w:fill="C6D9F1"/>
          </w:tcPr>
          <w:p w14:paraId="4EB8A071" w14:textId="77777777" w:rsidR="00881780" w:rsidRPr="00A71C8E" w:rsidRDefault="00881780" w:rsidP="006F4D8F">
            <w:pPr>
              <w:spacing w:before="0" w:line="240" w:lineRule="auto"/>
              <w:jc w:val="left"/>
              <w:rPr>
                <w:sz w:val="18"/>
                <w:szCs w:val="18"/>
              </w:rPr>
            </w:pPr>
            <w:r w:rsidRPr="00A71C8E">
              <w:rPr>
                <w:sz w:val="18"/>
                <w:szCs w:val="18"/>
              </w:rPr>
              <w:t>58</w:t>
            </w:r>
          </w:p>
        </w:tc>
        <w:tc>
          <w:tcPr>
            <w:tcW w:w="555" w:type="pct"/>
            <w:shd w:val="clear" w:color="auto" w:fill="C6D9F1"/>
          </w:tcPr>
          <w:p w14:paraId="1BF000DF" w14:textId="77777777" w:rsidR="00881780" w:rsidRPr="00A71C8E" w:rsidRDefault="00881780" w:rsidP="006F4D8F">
            <w:pPr>
              <w:spacing w:before="0" w:line="240" w:lineRule="auto"/>
              <w:jc w:val="left"/>
              <w:rPr>
                <w:sz w:val="18"/>
                <w:szCs w:val="18"/>
              </w:rPr>
            </w:pPr>
            <w:r w:rsidRPr="00A71C8E">
              <w:rPr>
                <w:sz w:val="18"/>
                <w:szCs w:val="18"/>
              </w:rPr>
              <w:t>44,4</w:t>
            </w:r>
          </w:p>
        </w:tc>
      </w:tr>
      <w:tr w:rsidR="00881780" w:rsidRPr="00A71C8E" w14:paraId="22A91798" w14:textId="77777777" w:rsidTr="006F4D8F">
        <w:trPr>
          <w:trHeight w:val="300"/>
          <w:jc w:val="center"/>
        </w:trPr>
        <w:tc>
          <w:tcPr>
            <w:tcW w:w="700" w:type="pct"/>
            <w:shd w:val="clear" w:color="auto" w:fill="auto"/>
            <w:noWrap/>
            <w:hideMark/>
          </w:tcPr>
          <w:p w14:paraId="724318E6" w14:textId="77777777" w:rsidR="00881780" w:rsidRPr="00A71C8E" w:rsidRDefault="00881780" w:rsidP="006F4D8F">
            <w:pPr>
              <w:spacing w:before="0" w:line="240" w:lineRule="auto"/>
              <w:jc w:val="left"/>
              <w:rPr>
                <w:color w:val="000000"/>
                <w:sz w:val="18"/>
                <w:szCs w:val="18"/>
              </w:rPr>
            </w:pPr>
            <w:r w:rsidRPr="00A71C8E">
              <w:rPr>
                <w:color w:val="000000"/>
                <w:sz w:val="18"/>
                <w:szCs w:val="18"/>
              </w:rPr>
              <w:t>Lubuskie</w:t>
            </w:r>
          </w:p>
        </w:tc>
        <w:tc>
          <w:tcPr>
            <w:tcW w:w="546" w:type="pct"/>
            <w:shd w:val="clear" w:color="auto" w:fill="auto"/>
            <w:noWrap/>
            <w:hideMark/>
          </w:tcPr>
          <w:p w14:paraId="131F28F1"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179</w:t>
            </w:r>
          </w:p>
        </w:tc>
        <w:tc>
          <w:tcPr>
            <w:tcW w:w="551" w:type="pct"/>
            <w:shd w:val="clear" w:color="auto" w:fill="auto"/>
            <w:noWrap/>
            <w:hideMark/>
          </w:tcPr>
          <w:p w14:paraId="2D7262E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164</w:t>
            </w:r>
          </w:p>
        </w:tc>
        <w:tc>
          <w:tcPr>
            <w:tcW w:w="470" w:type="pct"/>
            <w:shd w:val="clear" w:color="auto" w:fill="auto"/>
            <w:noWrap/>
            <w:hideMark/>
          </w:tcPr>
          <w:p w14:paraId="1849A226"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178</w:t>
            </w:r>
          </w:p>
        </w:tc>
        <w:tc>
          <w:tcPr>
            <w:tcW w:w="510" w:type="pct"/>
            <w:shd w:val="clear" w:color="auto" w:fill="auto"/>
            <w:noWrap/>
            <w:hideMark/>
          </w:tcPr>
          <w:p w14:paraId="5BDE37F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191</w:t>
            </w:r>
          </w:p>
        </w:tc>
        <w:tc>
          <w:tcPr>
            <w:tcW w:w="556" w:type="pct"/>
            <w:shd w:val="clear" w:color="auto" w:fill="auto"/>
            <w:noWrap/>
            <w:hideMark/>
          </w:tcPr>
          <w:p w14:paraId="7714CB8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206</w:t>
            </w:r>
          </w:p>
        </w:tc>
        <w:tc>
          <w:tcPr>
            <w:tcW w:w="556" w:type="pct"/>
            <w:shd w:val="clear" w:color="auto" w:fill="auto"/>
            <w:noWrap/>
            <w:hideMark/>
          </w:tcPr>
          <w:p w14:paraId="73CFDB1E"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228</w:t>
            </w:r>
          </w:p>
        </w:tc>
        <w:tc>
          <w:tcPr>
            <w:tcW w:w="556" w:type="pct"/>
            <w:shd w:val="clear" w:color="auto" w:fill="C6D9F1"/>
          </w:tcPr>
          <w:p w14:paraId="08160437" w14:textId="77777777" w:rsidR="00881780" w:rsidRPr="00A71C8E" w:rsidRDefault="00881780" w:rsidP="006F4D8F">
            <w:pPr>
              <w:spacing w:before="0" w:line="240" w:lineRule="auto"/>
              <w:jc w:val="left"/>
              <w:rPr>
                <w:sz w:val="18"/>
                <w:szCs w:val="18"/>
              </w:rPr>
            </w:pPr>
            <w:r w:rsidRPr="00A71C8E">
              <w:rPr>
                <w:sz w:val="18"/>
                <w:szCs w:val="18"/>
              </w:rPr>
              <w:t>49</w:t>
            </w:r>
          </w:p>
        </w:tc>
        <w:tc>
          <w:tcPr>
            <w:tcW w:w="555" w:type="pct"/>
            <w:shd w:val="clear" w:color="auto" w:fill="C6D9F1"/>
          </w:tcPr>
          <w:p w14:paraId="4FAC5E43" w14:textId="77777777" w:rsidR="00881780" w:rsidRPr="00A71C8E" w:rsidRDefault="00881780" w:rsidP="006F4D8F">
            <w:pPr>
              <w:spacing w:before="0" w:line="240" w:lineRule="auto"/>
              <w:jc w:val="left"/>
              <w:rPr>
                <w:sz w:val="18"/>
                <w:szCs w:val="18"/>
              </w:rPr>
            </w:pPr>
            <w:r w:rsidRPr="00A71C8E">
              <w:rPr>
                <w:sz w:val="18"/>
                <w:szCs w:val="18"/>
              </w:rPr>
              <w:t>27,3</w:t>
            </w:r>
          </w:p>
        </w:tc>
      </w:tr>
      <w:tr w:rsidR="00881780" w:rsidRPr="00A71C8E" w14:paraId="225460DE" w14:textId="77777777" w:rsidTr="006F4D8F">
        <w:trPr>
          <w:trHeight w:val="300"/>
          <w:jc w:val="center"/>
        </w:trPr>
        <w:tc>
          <w:tcPr>
            <w:tcW w:w="700" w:type="pct"/>
            <w:shd w:val="clear" w:color="auto" w:fill="auto"/>
            <w:noWrap/>
            <w:hideMark/>
          </w:tcPr>
          <w:p w14:paraId="4BFAE13C" w14:textId="77777777" w:rsidR="00881780" w:rsidRPr="00A71C8E" w:rsidRDefault="00881780" w:rsidP="006F4D8F">
            <w:pPr>
              <w:spacing w:before="0" w:line="240" w:lineRule="auto"/>
              <w:jc w:val="left"/>
              <w:rPr>
                <w:color w:val="000000"/>
                <w:sz w:val="18"/>
                <w:szCs w:val="18"/>
              </w:rPr>
            </w:pPr>
            <w:r w:rsidRPr="00A71C8E">
              <w:rPr>
                <w:color w:val="000000"/>
                <w:sz w:val="18"/>
                <w:szCs w:val="18"/>
              </w:rPr>
              <w:t>Łódzkie</w:t>
            </w:r>
          </w:p>
        </w:tc>
        <w:tc>
          <w:tcPr>
            <w:tcW w:w="546" w:type="pct"/>
            <w:shd w:val="clear" w:color="auto" w:fill="auto"/>
            <w:noWrap/>
            <w:hideMark/>
          </w:tcPr>
          <w:p w14:paraId="729F8B6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179</w:t>
            </w:r>
          </w:p>
        </w:tc>
        <w:tc>
          <w:tcPr>
            <w:tcW w:w="551" w:type="pct"/>
            <w:shd w:val="clear" w:color="auto" w:fill="auto"/>
            <w:noWrap/>
            <w:hideMark/>
          </w:tcPr>
          <w:p w14:paraId="6DB472C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190</w:t>
            </w:r>
          </w:p>
        </w:tc>
        <w:tc>
          <w:tcPr>
            <w:tcW w:w="470" w:type="pct"/>
            <w:shd w:val="clear" w:color="auto" w:fill="auto"/>
            <w:noWrap/>
            <w:hideMark/>
          </w:tcPr>
          <w:p w14:paraId="3EA4B761"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244</w:t>
            </w:r>
          </w:p>
        </w:tc>
        <w:tc>
          <w:tcPr>
            <w:tcW w:w="510" w:type="pct"/>
            <w:shd w:val="clear" w:color="auto" w:fill="auto"/>
            <w:noWrap/>
            <w:hideMark/>
          </w:tcPr>
          <w:p w14:paraId="501BD1C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253</w:t>
            </w:r>
          </w:p>
        </w:tc>
        <w:tc>
          <w:tcPr>
            <w:tcW w:w="556" w:type="pct"/>
            <w:shd w:val="clear" w:color="auto" w:fill="auto"/>
            <w:noWrap/>
            <w:hideMark/>
          </w:tcPr>
          <w:p w14:paraId="564C0C2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247</w:t>
            </w:r>
          </w:p>
        </w:tc>
        <w:tc>
          <w:tcPr>
            <w:tcW w:w="556" w:type="pct"/>
            <w:shd w:val="clear" w:color="auto" w:fill="auto"/>
            <w:noWrap/>
            <w:hideMark/>
          </w:tcPr>
          <w:p w14:paraId="3E7AD88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276</w:t>
            </w:r>
          </w:p>
        </w:tc>
        <w:tc>
          <w:tcPr>
            <w:tcW w:w="556" w:type="pct"/>
            <w:shd w:val="clear" w:color="auto" w:fill="C6D9F1"/>
          </w:tcPr>
          <w:p w14:paraId="09D0D0BE" w14:textId="77777777" w:rsidR="00881780" w:rsidRPr="00A71C8E" w:rsidRDefault="00881780" w:rsidP="006F4D8F">
            <w:pPr>
              <w:spacing w:before="0" w:line="240" w:lineRule="auto"/>
              <w:jc w:val="left"/>
              <w:rPr>
                <w:sz w:val="18"/>
                <w:szCs w:val="18"/>
              </w:rPr>
            </w:pPr>
            <w:r w:rsidRPr="00A71C8E">
              <w:rPr>
                <w:sz w:val="18"/>
                <w:szCs w:val="18"/>
              </w:rPr>
              <w:t>96</w:t>
            </w:r>
          </w:p>
        </w:tc>
        <w:tc>
          <w:tcPr>
            <w:tcW w:w="555" w:type="pct"/>
            <w:shd w:val="clear" w:color="auto" w:fill="C6D9F1"/>
          </w:tcPr>
          <w:p w14:paraId="2AE4B083" w14:textId="77777777" w:rsidR="00881780" w:rsidRPr="00A71C8E" w:rsidRDefault="00881780" w:rsidP="006F4D8F">
            <w:pPr>
              <w:spacing w:before="0" w:line="240" w:lineRule="auto"/>
              <w:jc w:val="left"/>
              <w:rPr>
                <w:sz w:val="18"/>
                <w:szCs w:val="18"/>
              </w:rPr>
            </w:pPr>
            <w:r w:rsidRPr="00A71C8E">
              <w:rPr>
                <w:sz w:val="18"/>
                <w:szCs w:val="18"/>
              </w:rPr>
              <w:t>53,7</w:t>
            </w:r>
          </w:p>
        </w:tc>
      </w:tr>
      <w:tr w:rsidR="00881780" w:rsidRPr="00A71C8E" w14:paraId="6DE5969B" w14:textId="77777777" w:rsidTr="006F4D8F">
        <w:trPr>
          <w:trHeight w:val="300"/>
          <w:jc w:val="center"/>
        </w:trPr>
        <w:tc>
          <w:tcPr>
            <w:tcW w:w="700" w:type="pct"/>
            <w:shd w:val="clear" w:color="auto" w:fill="auto"/>
            <w:noWrap/>
            <w:hideMark/>
          </w:tcPr>
          <w:p w14:paraId="1A14DEDF"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Małopolskie</w:t>
            </w:r>
          </w:p>
        </w:tc>
        <w:tc>
          <w:tcPr>
            <w:tcW w:w="546" w:type="pct"/>
            <w:shd w:val="clear" w:color="auto" w:fill="auto"/>
            <w:noWrap/>
            <w:hideMark/>
          </w:tcPr>
          <w:p w14:paraId="2DB6C9A9"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168</w:t>
            </w:r>
          </w:p>
        </w:tc>
        <w:tc>
          <w:tcPr>
            <w:tcW w:w="551" w:type="pct"/>
            <w:shd w:val="clear" w:color="auto" w:fill="auto"/>
            <w:noWrap/>
            <w:hideMark/>
          </w:tcPr>
          <w:p w14:paraId="58631828"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226</w:t>
            </w:r>
          </w:p>
        </w:tc>
        <w:tc>
          <w:tcPr>
            <w:tcW w:w="470" w:type="pct"/>
            <w:shd w:val="clear" w:color="auto" w:fill="auto"/>
            <w:noWrap/>
            <w:hideMark/>
          </w:tcPr>
          <w:p w14:paraId="6CA2A67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231</w:t>
            </w:r>
          </w:p>
        </w:tc>
        <w:tc>
          <w:tcPr>
            <w:tcW w:w="510" w:type="pct"/>
            <w:shd w:val="clear" w:color="auto" w:fill="auto"/>
            <w:noWrap/>
            <w:hideMark/>
          </w:tcPr>
          <w:p w14:paraId="36D9580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251</w:t>
            </w:r>
          </w:p>
        </w:tc>
        <w:tc>
          <w:tcPr>
            <w:tcW w:w="556" w:type="pct"/>
            <w:shd w:val="clear" w:color="auto" w:fill="auto"/>
            <w:noWrap/>
            <w:hideMark/>
          </w:tcPr>
          <w:p w14:paraId="4B131049"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328</w:t>
            </w:r>
          </w:p>
        </w:tc>
        <w:tc>
          <w:tcPr>
            <w:tcW w:w="556" w:type="pct"/>
            <w:shd w:val="clear" w:color="auto" w:fill="auto"/>
            <w:noWrap/>
            <w:hideMark/>
          </w:tcPr>
          <w:p w14:paraId="35649125"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321</w:t>
            </w:r>
          </w:p>
        </w:tc>
        <w:tc>
          <w:tcPr>
            <w:tcW w:w="556" w:type="pct"/>
            <w:shd w:val="clear" w:color="auto" w:fill="C6D9F1"/>
          </w:tcPr>
          <w:p w14:paraId="6E20FD00" w14:textId="77777777" w:rsidR="00881780" w:rsidRPr="00A71C8E" w:rsidRDefault="00881780" w:rsidP="006F4D8F">
            <w:pPr>
              <w:spacing w:before="0" w:line="240" w:lineRule="auto"/>
              <w:jc w:val="left"/>
              <w:rPr>
                <w:sz w:val="18"/>
                <w:szCs w:val="18"/>
              </w:rPr>
            </w:pPr>
            <w:r w:rsidRPr="00A71C8E">
              <w:rPr>
                <w:sz w:val="18"/>
                <w:szCs w:val="18"/>
              </w:rPr>
              <w:t>152</w:t>
            </w:r>
          </w:p>
        </w:tc>
        <w:tc>
          <w:tcPr>
            <w:tcW w:w="555" w:type="pct"/>
            <w:shd w:val="clear" w:color="auto" w:fill="C6D9F1"/>
          </w:tcPr>
          <w:p w14:paraId="0296CA90" w14:textId="77777777" w:rsidR="00881780" w:rsidRPr="00A71C8E" w:rsidRDefault="00881780" w:rsidP="006F4D8F">
            <w:pPr>
              <w:spacing w:before="0" w:line="240" w:lineRule="auto"/>
              <w:jc w:val="left"/>
              <w:rPr>
                <w:sz w:val="18"/>
                <w:szCs w:val="18"/>
              </w:rPr>
            </w:pPr>
            <w:r w:rsidRPr="00A71C8E">
              <w:rPr>
                <w:sz w:val="18"/>
                <w:szCs w:val="18"/>
              </w:rPr>
              <w:t>90,4</w:t>
            </w:r>
          </w:p>
        </w:tc>
      </w:tr>
      <w:tr w:rsidR="00881780" w:rsidRPr="00A71C8E" w14:paraId="425C24D9" w14:textId="77777777" w:rsidTr="006F4D8F">
        <w:trPr>
          <w:trHeight w:val="300"/>
          <w:jc w:val="center"/>
        </w:trPr>
        <w:tc>
          <w:tcPr>
            <w:tcW w:w="700" w:type="pct"/>
            <w:shd w:val="clear" w:color="auto" w:fill="auto"/>
            <w:noWrap/>
            <w:hideMark/>
          </w:tcPr>
          <w:p w14:paraId="1BCF9D2B" w14:textId="77777777" w:rsidR="00881780" w:rsidRPr="00A71C8E" w:rsidRDefault="00881780" w:rsidP="006F4D8F">
            <w:pPr>
              <w:spacing w:before="0" w:line="240" w:lineRule="auto"/>
              <w:jc w:val="left"/>
              <w:rPr>
                <w:color w:val="000000"/>
                <w:sz w:val="18"/>
                <w:szCs w:val="18"/>
              </w:rPr>
            </w:pPr>
            <w:r w:rsidRPr="00A71C8E">
              <w:rPr>
                <w:color w:val="000000"/>
                <w:sz w:val="18"/>
                <w:szCs w:val="18"/>
              </w:rPr>
              <w:t>Mazowieckie</w:t>
            </w:r>
          </w:p>
        </w:tc>
        <w:tc>
          <w:tcPr>
            <w:tcW w:w="546" w:type="pct"/>
            <w:shd w:val="clear" w:color="auto" w:fill="auto"/>
            <w:noWrap/>
            <w:hideMark/>
          </w:tcPr>
          <w:p w14:paraId="06CD318C"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281</w:t>
            </w:r>
          </w:p>
        </w:tc>
        <w:tc>
          <w:tcPr>
            <w:tcW w:w="551" w:type="pct"/>
            <w:shd w:val="clear" w:color="auto" w:fill="auto"/>
            <w:noWrap/>
            <w:hideMark/>
          </w:tcPr>
          <w:p w14:paraId="08F280CF" w14:textId="77777777" w:rsidR="00881780" w:rsidRPr="00A71C8E" w:rsidRDefault="00881780" w:rsidP="006F4D8F">
            <w:pPr>
              <w:spacing w:before="0" w:line="240" w:lineRule="auto"/>
              <w:jc w:val="left"/>
              <w:rPr>
                <w:color w:val="000000"/>
                <w:sz w:val="18"/>
                <w:szCs w:val="18"/>
              </w:rPr>
            </w:pPr>
            <w:r w:rsidRPr="00A71C8E">
              <w:rPr>
                <w:color w:val="000000"/>
                <w:sz w:val="18"/>
                <w:szCs w:val="18"/>
              </w:rPr>
              <w:t>292</w:t>
            </w:r>
          </w:p>
        </w:tc>
        <w:tc>
          <w:tcPr>
            <w:tcW w:w="470" w:type="pct"/>
            <w:shd w:val="clear" w:color="auto" w:fill="auto"/>
            <w:noWrap/>
            <w:hideMark/>
          </w:tcPr>
          <w:p w14:paraId="5A443A79" w14:textId="77777777" w:rsidR="00881780" w:rsidRPr="00A71C8E" w:rsidRDefault="00881780" w:rsidP="006F4D8F">
            <w:pPr>
              <w:spacing w:before="0" w:line="240" w:lineRule="auto"/>
              <w:jc w:val="left"/>
              <w:rPr>
                <w:color w:val="000000"/>
                <w:sz w:val="18"/>
                <w:szCs w:val="18"/>
              </w:rPr>
            </w:pPr>
            <w:r w:rsidRPr="00A71C8E">
              <w:rPr>
                <w:color w:val="000000"/>
                <w:sz w:val="18"/>
                <w:szCs w:val="18"/>
              </w:rPr>
              <w:t>493</w:t>
            </w:r>
          </w:p>
        </w:tc>
        <w:tc>
          <w:tcPr>
            <w:tcW w:w="510" w:type="pct"/>
            <w:shd w:val="clear" w:color="auto" w:fill="auto"/>
            <w:noWrap/>
            <w:hideMark/>
          </w:tcPr>
          <w:p w14:paraId="0684136B" w14:textId="77777777" w:rsidR="00881780" w:rsidRPr="00A71C8E" w:rsidRDefault="00881780" w:rsidP="006F4D8F">
            <w:pPr>
              <w:spacing w:before="0" w:line="240" w:lineRule="auto"/>
              <w:jc w:val="left"/>
              <w:rPr>
                <w:color w:val="000000"/>
                <w:sz w:val="18"/>
                <w:szCs w:val="18"/>
              </w:rPr>
            </w:pPr>
            <w:r w:rsidRPr="00A71C8E">
              <w:rPr>
                <w:color w:val="000000"/>
                <w:sz w:val="18"/>
                <w:szCs w:val="18"/>
              </w:rPr>
              <w:t>377</w:t>
            </w:r>
          </w:p>
        </w:tc>
        <w:tc>
          <w:tcPr>
            <w:tcW w:w="556" w:type="pct"/>
            <w:shd w:val="clear" w:color="auto" w:fill="auto"/>
            <w:noWrap/>
            <w:hideMark/>
          </w:tcPr>
          <w:p w14:paraId="13E9B316" w14:textId="77777777" w:rsidR="00881780" w:rsidRPr="00A71C8E" w:rsidRDefault="00881780" w:rsidP="006F4D8F">
            <w:pPr>
              <w:spacing w:before="0" w:line="240" w:lineRule="auto"/>
              <w:jc w:val="left"/>
              <w:rPr>
                <w:color w:val="000000"/>
                <w:sz w:val="18"/>
                <w:szCs w:val="18"/>
              </w:rPr>
            </w:pPr>
            <w:r w:rsidRPr="00A71C8E">
              <w:rPr>
                <w:color w:val="000000"/>
                <w:sz w:val="18"/>
                <w:szCs w:val="18"/>
              </w:rPr>
              <w:t>377</w:t>
            </w:r>
          </w:p>
        </w:tc>
        <w:tc>
          <w:tcPr>
            <w:tcW w:w="556" w:type="pct"/>
            <w:shd w:val="clear" w:color="auto" w:fill="auto"/>
            <w:noWrap/>
            <w:hideMark/>
          </w:tcPr>
          <w:p w14:paraId="078803D9" w14:textId="77777777" w:rsidR="00881780" w:rsidRPr="00A71C8E" w:rsidRDefault="00881780" w:rsidP="006F4D8F">
            <w:pPr>
              <w:spacing w:before="0" w:line="240" w:lineRule="auto"/>
              <w:jc w:val="left"/>
              <w:rPr>
                <w:color w:val="000000"/>
                <w:sz w:val="18"/>
                <w:szCs w:val="18"/>
              </w:rPr>
            </w:pPr>
            <w:r w:rsidRPr="00A71C8E">
              <w:rPr>
                <w:color w:val="000000"/>
                <w:sz w:val="18"/>
                <w:szCs w:val="18"/>
              </w:rPr>
              <w:t>465</w:t>
            </w:r>
          </w:p>
        </w:tc>
        <w:tc>
          <w:tcPr>
            <w:tcW w:w="556" w:type="pct"/>
            <w:shd w:val="clear" w:color="auto" w:fill="C6D9F1"/>
          </w:tcPr>
          <w:p w14:paraId="08085FCC" w14:textId="77777777" w:rsidR="00881780" w:rsidRPr="00A71C8E" w:rsidRDefault="00881780" w:rsidP="006F4D8F">
            <w:pPr>
              <w:spacing w:before="0" w:line="240" w:lineRule="auto"/>
              <w:jc w:val="left"/>
              <w:rPr>
                <w:sz w:val="18"/>
                <w:szCs w:val="18"/>
              </w:rPr>
            </w:pPr>
            <w:r w:rsidRPr="00A71C8E">
              <w:rPr>
                <w:sz w:val="18"/>
                <w:szCs w:val="18"/>
              </w:rPr>
              <w:t>184</w:t>
            </w:r>
          </w:p>
        </w:tc>
        <w:tc>
          <w:tcPr>
            <w:tcW w:w="555" w:type="pct"/>
            <w:shd w:val="clear" w:color="auto" w:fill="C6D9F1"/>
          </w:tcPr>
          <w:p w14:paraId="444FBEEB" w14:textId="77777777" w:rsidR="00881780" w:rsidRPr="00A71C8E" w:rsidRDefault="00881780" w:rsidP="006F4D8F">
            <w:pPr>
              <w:spacing w:before="0" w:line="240" w:lineRule="auto"/>
              <w:jc w:val="left"/>
              <w:rPr>
                <w:sz w:val="18"/>
                <w:szCs w:val="18"/>
              </w:rPr>
            </w:pPr>
            <w:r w:rsidRPr="00A71C8E">
              <w:rPr>
                <w:sz w:val="18"/>
                <w:szCs w:val="18"/>
              </w:rPr>
              <w:t>65,5</w:t>
            </w:r>
          </w:p>
        </w:tc>
      </w:tr>
      <w:tr w:rsidR="00881780" w:rsidRPr="00A71C8E" w14:paraId="3F02591A" w14:textId="77777777" w:rsidTr="006F4D8F">
        <w:trPr>
          <w:trHeight w:val="300"/>
          <w:jc w:val="center"/>
        </w:trPr>
        <w:tc>
          <w:tcPr>
            <w:tcW w:w="700" w:type="pct"/>
            <w:shd w:val="clear" w:color="auto" w:fill="auto"/>
            <w:noWrap/>
            <w:hideMark/>
          </w:tcPr>
          <w:p w14:paraId="63FE6CC0" w14:textId="77777777" w:rsidR="00881780" w:rsidRPr="00A71C8E" w:rsidRDefault="00881780" w:rsidP="006F4D8F">
            <w:pPr>
              <w:spacing w:before="0" w:line="240" w:lineRule="auto"/>
              <w:jc w:val="left"/>
              <w:rPr>
                <w:color w:val="000000"/>
                <w:sz w:val="18"/>
                <w:szCs w:val="18"/>
              </w:rPr>
            </w:pPr>
            <w:r w:rsidRPr="00A71C8E">
              <w:rPr>
                <w:color w:val="000000"/>
                <w:sz w:val="18"/>
                <w:szCs w:val="18"/>
              </w:rPr>
              <w:t>Opolskie</w:t>
            </w:r>
          </w:p>
        </w:tc>
        <w:tc>
          <w:tcPr>
            <w:tcW w:w="546" w:type="pct"/>
            <w:shd w:val="clear" w:color="auto" w:fill="auto"/>
            <w:noWrap/>
            <w:hideMark/>
          </w:tcPr>
          <w:p w14:paraId="329EEC6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204</w:t>
            </w:r>
          </w:p>
        </w:tc>
        <w:tc>
          <w:tcPr>
            <w:tcW w:w="551" w:type="pct"/>
            <w:shd w:val="clear" w:color="auto" w:fill="auto"/>
            <w:noWrap/>
            <w:hideMark/>
          </w:tcPr>
          <w:p w14:paraId="15DEE49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142</w:t>
            </w:r>
          </w:p>
        </w:tc>
        <w:tc>
          <w:tcPr>
            <w:tcW w:w="470" w:type="pct"/>
            <w:shd w:val="clear" w:color="auto" w:fill="auto"/>
            <w:noWrap/>
            <w:hideMark/>
          </w:tcPr>
          <w:p w14:paraId="22F318F1"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190</w:t>
            </w:r>
          </w:p>
        </w:tc>
        <w:tc>
          <w:tcPr>
            <w:tcW w:w="510" w:type="pct"/>
            <w:shd w:val="clear" w:color="auto" w:fill="auto"/>
            <w:noWrap/>
            <w:hideMark/>
          </w:tcPr>
          <w:p w14:paraId="6310AAF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157</w:t>
            </w:r>
          </w:p>
        </w:tc>
        <w:tc>
          <w:tcPr>
            <w:tcW w:w="556" w:type="pct"/>
            <w:shd w:val="clear" w:color="auto" w:fill="auto"/>
            <w:noWrap/>
            <w:hideMark/>
          </w:tcPr>
          <w:p w14:paraId="117BC8A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242</w:t>
            </w:r>
          </w:p>
        </w:tc>
        <w:tc>
          <w:tcPr>
            <w:tcW w:w="556" w:type="pct"/>
            <w:shd w:val="clear" w:color="auto" w:fill="auto"/>
            <w:noWrap/>
            <w:hideMark/>
          </w:tcPr>
          <w:p w14:paraId="54CCAED7" w14:textId="77777777" w:rsidR="00881780" w:rsidRPr="00A71C8E" w:rsidRDefault="00881780" w:rsidP="006F4D8F">
            <w:pPr>
              <w:spacing w:before="0" w:line="240" w:lineRule="auto"/>
              <w:jc w:val="left"/>
              <w:rPr>
                <w:color w:val="000000"/>
                <w:sz w:val="18"/>
                <w:szCs w:val="18"/>
              </w:rPr>
            </w:pPr>
            <w:r w:rsidRPr="00A71C8E">
              <w:rPr>
                <w:color w:val="000000"/>
                <w:sz w:val="18"/>
                <w:szCs w:val="18"/>
              </w:rPr>
              <w:t>213</w:t>
            </w:r>
          </w:p>
        </w:tc>
        <w:tc>
          <w:tcPr>
            <w:tcW w:w="556" w:type="pct"/>
            <w:shd w:val="clear" w:color="auto" w:fill="C6D9F1"/>
          </w:tcPr>
          <w:p w14:paraId="4B5C4C97" w14:textId="77777777" w:rsidR="00881780" w:rsidRPr="00A71C8E" w:rsidRDefault="00881780" w:rsidP="006F4D8F">
            <w:pPr>
              <w:spacing w:before="0" w:line="240" w:lineRule="auto"/>
              <w:jc w:val="left"/>
              <w:rPr>
                <w:sz w:val="18"/>
                <w:szCs w:val="18"/>
              </w:rPr>
            </w:pPr>
            <w:r w:rsidRPr="00A71C8E">
              <w:rPr>
                <w:sz w:val="18"/>
                <w:szCs w:val="18"/>
              </w:rPr>
              <w:t>9</w:t>
            </w:r>
          </w:p>
        </w:tc>
        <w:tc>
          <w:tcPr>
            <w:tcW w:w="555" w:type="pct"/>
            <w:shd w:val="clear" w:color="auto" w:fill="C6D9F1"/>
          </w:tcPr>
          <w:p w14:paraId="2EF31892" w14:textId="77777777" w:rsidR="00881780" w:rsidRPr="00A71C8E" w:rsidRDefault="00881780" w:rsidP="006F4D8F">
            <w:pPr>
              <w:spacing w:before="0" w:line="240" w:lineRule="auto"/>
              <w:jc w:val="left"/>
              <w:rPr>
                <w:sz w:val="18"/>
                <w:szCs w:val="18"/>
              </w:rPr>
            </w:pPr>
            <w:r w:rsidRPr="00A71C8E">
              <w:rPr>
                <w:sz w:val="18"/>
                <w:szCs w:val="18"/>
              </w:rPr>
              <w:t>4,5</w:t>
            </w:r>
          </w:p>
        </w:tc>
      </w:tr>
      <w:tr w:rsidR="00881780" w:rsidRPr="00A71C8E" w14:paraId="6A94B236" w14:textId="77777777" w:rsidTr="006F4D8F">
        <w:trPr>
          <w:trHeight w:val="300"/>
          <w:jc w:val="center"/>
        </w:trPr>
        <w:tc>
          <w:tcPr>
            <w:tcW w:w="700" w:type="pct"/>
            <w:shd w:val="clear" w:color="auto" w:fill="auto"/>
            <w:noWrap/>
            <w:hideMark/>
          </w:tcPr>
          <w:p w14:paraId="58211FE6"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Podkarpackie</w:t>
            </w:r>
          </w:p>
        </w:tc>
        <w:tc>
          <w:tcPr>
            <w:tcW w:w="546" w:type="pct"/>
            <w:shd w:val="clear" w:color="auto" w:fill="auto"/>
            <w:noWrap/>
            <w:hideMark/>
          </w:tcPr>
          <w:p w14:paraId="09D19226"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149</w:t>
            </w:r>
          </w:p>
        </w:tc>
        <w:tc>
          <w:tcPr>
            <w:tcW w:w="551" w:type="pct"/>
            <w:shd w:val="clear" w:color="auto" w:fill="auto"/>
            <w:noWrap/>
            <w:hideMark/>
          </w:tcPr>
          <w:p w14:paraId="47E07C3E"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177</w:t>
            </w:r>
          </w:p>
        </w:tc>
        <w:tc>
          <w:tcPr>
            <w:tcW w:w="470" w:type="pct"/>
            <w:shd w:val="clear" w:color="auto" w:fill="auto"/>
            <w:noWrap/>
            <w:hideMark/>
          </w:tcPr>
          <w:p w14:paraId="0A0B387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149</w:t>
            </w:r>
          </w:p>
        </w:tc>
        <w:tc>
          <w:tcPr>
            <w:tcW w:w="510" w:type="pct"/>
            <w:shd w:val="clear" w:color="auto" w:fill="auto"/>
            <w:noWrap/>
            <w:hideMark/>
          </w:tcPr>
          <w:p w14:paraId="6B81A37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206</w:t>
            </w:r>
          </w:p>
        </w:tc>
        <w:tc>
          <w:tcPr>
            <w:tcW w:w="556" w:type="pct"/>
            <w:shd w:val="clear" w:color="auto" w:fill="auto"/>
            <w:noWrap/>
            <w:hideMark/>
          </w:tcPr>
          <w:p w14:paraId="6769DB1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164</w:t>
            </w:r>
          </w:p>
        </w:tc>
        <w:tc>
          <w:tcPr>
            <w:tcW w:w="556" w:type="pct"/>
            <w:shd w:val="clear" w:color="auto" w:fill="auto"/>
            <w:noWrap/>
            <w:hideMark/>
          </w:tcPr>
          <w:p w14:paraId="6306AB63"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227</w:t>
            </w:r>
          </w:p>
        </w:tc>
        <w:tc>
          <w:tcPr>
            <w:tcW w:w="556" w:type="pct"/>
            <w:shd w:val="clear" w:color="auto" w:fill="C6D9F1"/>
          </w:tcPr>
          <w:p w14:paraId="11E9F159" w14:textId="77777777" w:rsidR="00881780" w:rsidRPr="00A71C8E" w:rsidRDefault="00881780" w:rsidP="006F4D8F">
            <w:pPr>
              <w:spacing w:before="0" w:line="240" w:lineRule="auto"/>
              <w:jc w:val="left"/>
              <w:rPr>
                <w:sz w:val="18"/>
                <w:szCs w:val="18"/>
              </w:rPr>
            </w:pPr>
            <w:r w:rsidRPr="00A71C8E">
              <w:rPr>
                <w:sz w:val="18"/>
                <w:szCs w:val="18"/>
              </w:rPr>
              <w:t>78</w:t>
            </w:r>
          </w:p>
        </w:tc>
        <w:tc>
          <w:tcPr>
            <w:tcW w:w="555" w:type="pct"/>
            <w:shd w:val="clear" w:color="auto" w:fill="C6D9F1"/>
          </w:tcPr>
          <w:p w14:paraId="56DCAAE3" w14:textId="77777777" w:rsidR="00881780" w:rsidRPr="00A71C8E" w:rsidRDefault="00881780" w:rsidP="006F4D8F">
            <w:pPr>
              <w:spacing w:before="0" w:line="240" w:lineRule="auto"/>
              <w:jc w:val="left"/>
              <w:rPr>
                <w:sz w:val="18"/>
                <w:szCs w:val="18"/>
              </w:rPr>
            </w:pPr>
            <w:r w:rsidRPr="00A71C8E">
              <w:rPr>
                <w:sz w:val="18"/>
                <w:szCs w:val="18"/>
              </w:rPr>
              <w:t>52,2</w:t>
            </w:r>
          </w:p>
        </w:tc>
      </w:tr>
      <w:tr w:rsidR="00881780" w:rsidRPr="00A71C8E" w14:paraId="31032D4C" w14:textId="77777777" w:rsidTr="006F4D8F">
        <w:trPr>
          <w:trHeight w:val="300"/>
          <w:jc w:val="center"/>
        </w:trPr>
        <w:tc>
          <w:tcPr>
            <w:tcW w:w="700" w:type="pct"/>
            <w:shd w:val="clear" w:color="auto" w:fill="auto"/>
            <w:noWrap/>
            <w:hideMark/>
          </w:tcPr>
          <w:p w14:paraId="6585A319"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Podlaskie</w:t>
            </w:r>
          </w:p>
        </w:tc>
        <w:tc>
          <w:tcPr>
            <w:tcW w:w="546" w:type="pct"/>
            <w:shd w:val="clear" w:color="auto" w:fill="auto"/>
            <w:noWrap/>
            <w:hideMark/>
          </w:tcPr>
          <w:p w14:paraId="52CEDBF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170</w:t>
            </w:r>
          </w:p>
        </w:tc>
        <w:tc>
          <w:tcPr>
            <w:tcW w:w="551" w:type="pct"/>
            <w:shd w:val="clear" w:color="auto" w:fill="auto"/>
            <w:noWrap/>
            <w:hideMark/>
          </w:tcPr>
          <w:p w14:paraId="64DA2D9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113</w:t>
            </w:r>
          </w:p>
        </w:tc>
        <w:tc>
          <w:tcPr>
            <w:tcW w:w="470" w:type="pct"/>
            <w:shd w:val="clear" w:color="auto" w:fill="auto"/>
            <w:noWrap/>
            <w:hideMark/>
          </w:tcPr>
          <w:p w14:paraId="2113A192" w14:textId="77777777" w:rsidR="00881780" w:rsidRPr="00A71C8E" w:rsidRDefault="00881780" w:rsidP="006F4D8F">
            <w:pPr>
              <w:spacing w:before="0" w:line="240" w:lineRule="auto"/>
              <w:jc w:val="left"/>
              <w:rPr>
                <w:color w:val="000000"/>
                <w:sz w:val="18"/>
                <w:szCs w:val="18"/>
              </w:rPr>
            </w:pPr>
            <w:r w:rsidRPr="00A71C8E">
              <w:rPr>
                <w:color w:val="000000"/>
                <w:sz w:val="18"/>
                <w:szCs w:val="18"/>
              </w:rPr>
              <w:t>98</w:t>
            </w:r>
          </w:p>
        </w:tc>
        <w:tc>
          <w:tcPr>
            <w:tcW w:w="510" w:type="pct"/>
            <w:shd w:val="clear" w:color="auto" w:fill="auto"/>
            <w:noWrap/>
            <w:hideMark/>
          </w:tcPr>
          <w:p w14:paraId="092A1BD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160</w:t>
            </w:r>
          </w:p>
        </w:tc>
        <w:tc>
          <w:tcPr>
            <w:tcW w:w="556" w:type="pct"/>
            <w:shd w:val="clear" w:color="auto" w:fill="auto"/>
            <w:noWrap/>
            <w:hideMark/>
          </w:tcPr>
          <w:p w14:paraId="2F7B74C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146</w:t>
            </w:r>
          </w:p>
        </w:tc>
        <w:tc>
          <w:tcPr>
            <w:tcW w:w="556" w:type="pct"/>
            <w:shd w:val="clear" w:color="auto" w:fill="auto"/>
            <w:noWrap/>
            <w:hideMark/>
          </w:tcPr>
          <w:p w14:paraId="2E3BD66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208</w:t>
            </w:r>
          </w:p>
        </w:tc>
        <w:tc>
          <w:tcPr>
            <w:tcW w:w="556" w:type="pct"/>
            <w:shd w:val="clear" w:color="auto" w:fill="C6D9F1"/>
          </w:tcPr>
          <w:p w14:paraId="489DEF29" w14:textId="77777777" w:rsidR="00881780" w:rsidRPr="00A71C8E" w:rsidRDefault="00881780" w:rsidP="006F4D8F">
            <w:pPr>
              <w:spacing w:before="0" w:line="240" w:lineRule="auto"/>
              <w:jc w:val="left"/>
              <w:rPr>
                <w:sz w:val="18"/>
                <w:szCs w:val="18"/>
              </w:rPr>
            </w:pPr>
            <w:r w:rsidRPr="00A71C8E">
              <w:rPr>
                <w:sz w:val="18"/>
                <w:szCs w:val="18"/>
              </w:rPr>
              <w:t>38</w:t>
            </w:r>
          </w:p>
        </w:tc>
        <w:tc>
          <w:tcPr>
            <w:tcW w:w="555" w:type="pct"/>
            <w:shd w:val="clear" w:color="auto" w:fill="C6D9F1"/>
          </w:tcPr>
          <w:p w14:paraId="6DECD062" w14:textId="77777777" w:rsidR="00881780" w:rsidRPr="00A71C8E" w:rsidRDefault="00881780" w:rsidP="006F4D8F">
            <w:pPr>
              <w:spacing w:before="0" w:line="240" w:lineRule="auto"/>
              <w:jc w:val="left"/>
              <w:rPr>
                <w:sz w:val="18"/>
                <w:szCs w:val="18"/>
              </w:rPr>
            </w:pPr>
            <w:r w:rsidRPr="00A71C8E">
              <w:rPr>
                <w:sz w:val="18"/>
                <w:szCs w:val="18"/>
              </w:rPr>
              <w:t>21,9</w:t>
            </w:r>
          </w:p>
        </w:tc>
      </w:tr>
      <w:tr w:rsidR="00881780" w:rsidRPr="00A71C8E" w14:paraId="5CAF302B" w14:textId="77777777" w:rsidTr="006F4D8F">
        <w:trPr>
          <w:trHeight w:val="300"/>
          <w:jc w:val="center"/>
        </w:trPr>
        <w:tc>
          <w:tcPr>
            <w:tcW w:w="700" w:type="pct"/>
            <w:shd w:val="clear" w:color="auto" w:fill="auto"/>
            <w:noWrap/>
            <w:hideMark/>
          </w:tcPr>
          <w:p w14:paraId="61ED9373" w14:textId="77777777" w:rsidR="00881780" w:rsidRPr="00A71C8E" w:rsidRDefault="00881780" w:rsidP="006F4D8F">
            <w:pPr>
              <w:spacing w:before="0" w:line="240" w:lineRule="auto"/>
              <w:jc w:val="left"/>
              <w:rPr>
                <w:color w:val="000000"/>
                <w:sz w:val="18"/>
                <w:szCs w:val="18"/>
              </w:rPr>
            </w:pPr>
            <w:r w:rsidRPr="00A71C8E">
              <w:rPr>
                <w:color w:val="000000"/>
                <w:sz w:val="18"/>
                <w:szCs w:val="18"/>
              </w:rPr>
              <w:t>Pomorskie</w:t>
            </w:r>
          </w:p>
        </w:tc>
        <w:tc>
          <w:tcPr>
            <w:tcW w:w="546" w:type="pct"/>
            <w:shd w:val="clear" w:color="auto" w:fill="auto"/>
            <w:noWrap/>
            <w:hideMark/>
          </w:tcPr>
          <w:p w14:paraId="723E909F"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181</w:t>
            </w:r>
          </w:p>
        </w:tc>
        <w:tc>
          <w:tcPr>
            <w:tcW w:w="551" w:type="pct"/>
            <w:shd w:val="clear" w:color="auto" w:fill="auto"/>
            <w:noWrap/>
            <w:hideMark/>
          </w:tcPr>
          <w:p w14:paraId="653F088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232</w:t>
            </w:r>
          </w:p>
        </w:tc>
        <w:tc>
          <w:tcPr>
            <w:tcW w:w="470" w:type="pct"/>
            <w:shd w:val="clear" w:color="auto" w:fill="auto"/>
            <w:noWrap/>
            <w:hideMark/>
          </w:tcPr>
          <w:p w14:paraId="3E377BD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280</w:t>
            </w:r>
          </w:p>
        </w:tc>
        <w:tc>
          <w:tcPr>
            <w:tcW w:w="510" w:type="pct"/>
            <w:shd w:val="clear" w:color="auto" w:fill="auto"/>
            <w:noWrap/>
            <w:hideMark/>
          </w:tcPr>
          <w:p w14:paraId="7195A0B1"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278</w:t>
            </w:r>
          </w:p>
        </w:tc>
        <w:tc>
          <w:tcPr>
            <w:tcW w:w="556" w:type="pct"/>
            <w:shd w:val="clear" w:color="auto" w:fill="auto"/>
            <w:noWrap/>
            <w:hideMark/>
          </w:tcPr>
          <w:p w14:paraId="1442A71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282</w:t>
            </w:r>
          </w:p>
        </w:tc>
        <w:tc>
          <w:tcPr>
            <w:tcW w:w="556" w:type="pct"/>
            <w:shd w:val="clear" w:color="auto" w:fill="auto"/>
            <w:noWrap/>
            <w:hideMark/>
          </w:tcPr>
          <w:p w14:paraId="5C117393" w14:textId="77777777" w:rsidR="00881780" w:rsidRPr="00A71C8E" w:rsidRDefault="00881780" w:rsidP="006F4D8F">
            <w:pPr>
              <w:spacing w:before="0" w:line="240" w:lineRule="auto"/>
              <w:jc w:val="left"/>
              <w:rPr>
                <w:color w:val="000000"/>
                <w:sz w:val="18"/>
                <w:szCs w:val="18"/>
              </w:rPr>
            </w:pPr>
            <w:r w:rsidRPr="00A71C8E">
              <w:rPr>
                <w:color w:val="000000"/>
                <w:sz w:val="18"/>
                <w:szCs w:val="18"/>
              </w:rPr>
              <w:t>265</w:t>
            </w:r>
          </w:p>
        </w:tc>
        <w:tc>
          <w:tcPr>
            <w:tcW w:w="556" w:type="pct"/>
            <w:shd w:val="clear" w:color="auto" w:fill="C6D9F1"/>
          </w:tcPr>
          <w:p w14:paraId="248BB428" w14:textId="77777777" w:rsidR="00881780" w:rsidRPr="00A71C8E" w:rsidRDefault="00881780" w:rsidP="006F4D8F">
            <w:pPr>
              <w:spacing w:before="0" w:line="240" w:lineRule="auto"/>
              <w:jc w:val="left"/>
              <w:rPr>
                <w:sz w:val="18"/>
                <w:szCs w:val="18"/>
              </w:rPr>
            </w:pPr>
            <w:r w:rsidRPr="00A71C8E">
              <w:rPr>
                <w:sz w:val="18"/>
                <w:szCs w:val="18"/>
              </w:rPr>
              <w:t>84</w:t>
            </w:r>
          </w:p>
        </w:tc>
        <w:tc>
          <w:tcPr>
            <w:tcW w:w="555" w:type="pct"/>
            <w:shd w:val="clear" w:color="auto" w:fill="C6D9F1"/>
          </w:tcPr>
          <w:p w14:paraId="1E8B2FA3" w14:textId="77777777" w:rsidR="00881780" w:rsidRPr="00A71C8E" w:rsidRDefault="00881780" w:rsidP="006F4D8F">
            <w:pPr>
              <w:spacing w:before="0" w:line="240" w:lineRule="auto"/>
              <w:jc w:val="left"/>
              <w:rPr>
                <w:sz w:val="18"/>
                <w:szCs w:val="18"/>
              </w:rPr>
            </w:pPr>
            <w:r w:rsidRPr="00A71C8E">
              <w:rPr>
                <w:sz w:val="18"/>
                <w:szCs w:val="18"/>
              </w:rPr>
              <w:t>46,7</w:t>
            </w:r>
          </w:p>
        </w:tc>
      </w:tr>
      <w:tr w:rsidR="00881780" w:rsidRPr="00A71C8E" w14:paraId="3ADEE163" w14:textId="77777777" w:rsidTr="006F4D8F">
        <w:trPr>
          <w:trHeight w:val="300"/>
          <w:jc w:val="center"/>
        </w:trPr>
        <w:tc>
          <w:tcPr>
            <w:tcW w:w="700" w:type="pct"/>
            <w:shd w:val="clear" w:color="auto" w:fill="auto"/>
            <w:noWrap/>
            <w:hideMark/>
          </w:tcPr>
          <w:p w14:paraId="47D7C50D" w14:textId="77777777" w:rsidR="00881780" w:rsidRPr="00A71C8E" w:rsidRDefault="00881780" w:rsidP="006F4D8F">
            <w:pPr>
              <w:spacing w:before="0" w:line="240" w:lineRule="auto"/>
              <w:jc w:val="left"/>
              <w:rPr>
                <w:color w:val="000000"/>
                <w:sz w:val="18"/>
                <w:szCs w:val="18"/>
              </w:rPr>
            </w:pPr>
            <w:r w:rsidRPr="00A71C8E">
              <w:rPr>
                <w:color w:val="000000"/>
                <w:sz w:val="18"/>
                <w:szCs w:val="18"/>
              </w:rPr>
              <w:lastRenderedPageBreak/>
              <w:t>Śląskie</w:t>
            </w:r>
          </w:p>
        </w:tc>
        <w:tc>
          <w:tcPr>
            <w:tcW w:w="546" w:type="pct"/>
            <w:shd w:val="clear" w:color="auto" w:fill="auto"/>
            <w:noWrap/>
            <w:hideMark/>
          </w:tcPr>
          <w:p w14:paraId="3BAF5EF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198</w:t>
            </w:r>
          </w:p>
        </w:tc>
        <w:tc>
          <w:tcPr>
            <w:tcW w:w="551" w:type="pct"/>
            <w:shd w:val="clear" w:color="auto" w:fill="auto"/>
            <w:noWrap/>
            <w:hideMark/>
          </w:tcPr>
          <w:p w14:paraId="51DBCC87"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196</w:t>
            </w:r>
          </w:p>
        </w:tc>
        <w:tc>
          <w:tcPr>
            <w:tcW w:w="470" w:type="pct"/>
            <w:shd w:val="clear" w:color="auto" w:fill="auto"/>
            <w:noWrap/>
            <w:hideMark/>
          </w:tcPr>
          <w:p w14:paraId="78422ED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213</w:t>
            </w:r>
          </w:p>
        </w:tc>
        <w:tc>
          <w:tcPr>
            <w:tcW w:w="510" w:type="pct"/>
            <w:shd w:val="clear" w:color="auto" w:fill="auto"/>
            <w:noWrap/>
            <w:hideMark/>
          </w:tcPr>
          <w:p w14:paraId="1E0C834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242</w:t>
            </w:r>
          </w:p>
        </w:tc>
        <w:tc>
          <w:tcPr>
            <w:tcW w:w="556" w:type="pct"/>
            <w:shd w:val="clear" w:color="auto" w:fill="auto"/>
            <w:noWrap/>
            <w:hideMark/>
          </w:tcPr>
          <w:p w14:paraId="61149D58" w14:textId="77777777" w:rsidR="00881780" w:rsidRPr="00A71C8E" w:rsidRDefault="00881780" w:rsidP="006F4D8F">
            <w:pPr>
              <w:spacing w:before="0" w:line="240" w:lineRule="auto"/>
              <w:jc w:val="left"/>
              <w:rPr>
                <w:color w:val="000000"/>
                <w:sz w:val="18"/>
                <w:szCs w:val="18"/>
              </w:rPr>
            </w:pPr>
            <w:r w:rsidRPr="00A71C8E">
              <w:rPr>
                <w:color w:val="000000"/>
                <w:sz w:val="18"/>
                <w:szCs w:val="18"/>
              </w:rPr>
              <w:t>239</w:t>
            </w:r>
          </w:p>
        </w:tc>
        <w:tc>
          <w:tcPr>
            <w:tcW w:w="556" w:type="pct"/>
            <w:shd w:val="clear" w:color="auto" w:fill="auto"/>
            <w:noWrap/>
            <w:hideMark/>
          </w:tcPr>
          <w:p w14:paraId="6EE52A68" w14:textId="77777777" w:rsidR="00881780" w:rsidRPr="00A71C8E" w:rsidRDefault="00881780" w:rsidP="006F4D8F">
            <w:pPr>
              <w:spacing w:before="0" w:line="240" w:lineRule="auto"/>
              <w:jc w:val="left"/>
              <w:rPr>
                <w:color w:val="000000"/>
                <w:sz w:val="18"/>
                <w:szCs w:val="18"/>
              </w:rPr>
            </w:pPr>
            <w:r w:rsidRPr="00A71C8E">
              <w:rPr>
                <w:color w:val="000000"/>
                <w:sz w:val="18"/>
                <w:szCs w:val="18"/>
              </w:rPr>
              <w:t>293</w:t>
            </w:r>
          </w:p>
        </w:tc>
        <w:tc>
          <w:tcPr>
            <w:tcW w:w="556" w:type="pct"/>
            <w:shd w:val="clear" w:color="auto" w:fill="C6D9F1"/>
          </w:tcPr>
          <w:p w14:paraId="6898D822" w14:textId="77777777" w:rsidR="00881780" w:rsidRPr="00A71C8E" w:rsidRDefault="00881780" w:rsidP="006F4D8F">
            <w:pPr>
              <w:spacing w:before="0" w:line="240" w:lineRule="auto"/>
              <w:jc w:val="left"/>
              <w:rPr>
                <w:sz w:val="18"/>
                <w:szCs w:val="18"/>
              </w:rPr>
            </w:pPr>
            <w:r w:rsidRPr="00A71C8E">
              <w:rPr>
                <w:sz w:val="18"/>
                <w:szCs w:val="18"/>
              </w:rPr>
              <w:t>95</w:t>
            </w:r>
          </w:p>
        </w:tc>
        <w:tc>
          <w:tcPr>
            <w:tcW w:w="555" w:type="pct"/>
            <w:shd w:val="clear" w:color="auto" w:fill="C6D9F1"/>
          </w:tcPr>
          <w:p w14:paraId="4AA87009" w14:textId="77777777" w:rsidR="00881780" w:rsidRPr="00A71C8E" w:rsidRDefault="00881780" w:rsidP="006F4D8F">
            <w:pPr>
              <w:spacing w:before="0" w:line="240" w:lineRule="auto"/>
              <w:jc w:val="left"/>
              <w:rPr>
                <w:sz w:val="18"/>
                <w:szCs w:val="18"/>
              </w:rPr>
            </w:pPr>
            <w:r w:rsidRPr="00A71C8E">
              <w:rPr>
                <w:sz w:val="18"/>
                <w:szCs w:val="18"/>
              </w:rPr>
              <w:t>48,3</w:t>
            </w:r>
          </w:p>
        </w:tc>
      </w:tr>
      <w:tr w:rsidR="00881780" w:rsidRPr="00A71C8E" w14:paraId="6AA5062D" w14:textId="77777777" w:rsidTr="006F4D8F">
        <w:trPr>
          <w:trHeight w:val="300"/>
          <w:jc w:val="center"/>
        </w:trPr>
        <w:tc>
          <w:tcPr>
            <w:tcW w:w="700" w:type="pct"/>
            <w:shd w:val="clear" w:color="auto" w:fill="auto"/>
            <w:noWrap/>
            <w:hideMark/>
          </w:tcPr>
          <w:p w14:paraId="13795DD2" w14:textId="77777777" w:rsidR="00881780" w:rsidRPr="00A71C8E" w:rsidRDefault="00881780" w:rsidP="006F4D8F">
            <w:pPr>
              <w:spacing w:before="0" w:line="240" w:lineRule="auto"/>
              <w:jc w:val="left"/>
              <w:rPr>
                <w:color w:val="000000"/>
                <w:sz w:val="18"/>
                <w:szCs w:val="18"/>
              </w:rPr>
            </w:pPr>
            <w:r w:rsidRPr="00A71C8E">
              <w:rPr>
                <w:color w:val="000000"/>
                <w:sz w:val="18"/>
                <w:szCs w:val="18"/>
              </w:rPr>
              <w:t>Świętokrzyskie</w:t>
            </w:r>
          </w:p>
        </w:tc>
        <w:tc>
          <w:tcPr>
            <w:tcW w:w="546" w:type="pct"/>
            <w:shd w:val="clear" w:color="auto" w:fill="auto"/>
            <w:noWrap/>
            <w:hideMark/>
          </w:tcPr>
          <w:p w14:paraId="32110660"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174</w:t>
            </w:r>
          </w:p>
        </w:tc>
        <w:tc>
          <w:tcPr>
            <w:tcW w:w="551" w:type="pct"/>
            <w:shd w:val="clear" w:color="auto" w:fill="auto"/>
            <w:noWrap/>
            <w:hideMark/>
          </w:tcPr>
          <w:p w14:paraId="522E567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182</w:t>
            </w:r>
          </w:p>
        </w:tc>
        <w:tc>
          <w:tcPr>
            <w:tcW w:w="470" w:type="pct"/>
            <w:shd w:val="clear" w:color="auto" w:fill="auto"/>
            <w:noWrap/>
            <w:hideMark/>
          </w:tcPr>
          <w:p w14:paraId="56B8A31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204</w:t>
            </w:r>
          </w:p>
        </w:tc>
        <w:tc>
          <w:tcPr>
            <w:tcW w:w="510" w:type="pct"/>
            <w:shd w:val="clear" w:color="auto" w:fill="auto"/>
            <w:noWrap/>
            <w:hideMark/>
          </w:tcPr>
          <w:p w14:paraId="0454C315"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165</w:t>
            </w:r>
          </w:p>
        </w:tc>
        <w:tc>
          <w:tcPr>
            <w:tcW w:w="556" w:type="pct"/>
            <w:shd w:val="clear" w:color="auto" w:fill="auto"/>
            <w:noWrap/>
            <w:hideMark/>
          </w:tcPr>
          <w:p w14:paraId="42CCB26D" w14:textId="77777777" w:rsidR="00881780" w:rsidRPr="00A71C8E" w:rsidRDefault="00881780" w:rsidP="006F4D8F">
            <w:pPr>
              <w:spacing w:before="0" w:line="240" w:lineRule="auto"/>
              <w:jc w:val="left"/>
              <w:rPr>
                <w:color w:val="000000"/>
                <w:sz w:val="18"/>
                <w:szCs w:val="18"/>
              </w:rPr>
            </w:pPr>
            <w:r w:rsidRPr="00A71C8E">
              <w:rPr>
                <w:color w:val="000000"/>
                <w:sz w:val="18"/>
                <w:szCs w:val="18"/>
              </w:rPr>
              <w:t>168</w:t>
            </w:r>
          </w:p>
        </w:tc>
        <w:tc>
          <w:tcPr>
            <w:tcW w:w="556" w:type="pct"/>
            <w:shd w:val="clear" w:color="auto" w:fill="auto"/>
            <w:noWrap/>
            <w:hideMark/>
          </w:tcPr>
          <w:p w14:paraId="41E5E97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200</w:t>
            </w:r>
          </w:p>
        </w:tc>
        <w:tc>
          <w:tcPr>
            <w:tcW w:w="556" w:type="pct"/>
            <w:shd w:val="clear" w:color="auto" w:fill="C6D9F1"/>
          </w:tcPr>
          <w:p w14:paraId="2C3A93AF" w14:textId="77777777" w:rsidR="00881780" w:rsidRPr="00A71C8E" w:rsidRDefault="00881780" w:rsidP="006F4D8F">
            <w:pPr>
              <w:spacing w:before="0" w:line="240" w:lineRule="auto"/>
              <w:jc w:val="left"/>
              <w:rPr>
                <w:sz w:val="18"/>
                <w:szCs w:val="18"/>
              </w:rPr>
            </w:pPr>
            <w:r w:rsidRPr="00A71C8E">
              <w:rPr>
                <w:sz w:val="18"/>
                <w:szCs w:val="18"/>
              </w:rPr>
              <w:t>26</w:t>
            </w:r>
          </w:p>
        </w:tc>
        <w:tc>
          <w:tcPr>
            <w:tcW w:w="555" w:type="pct"/>
            <w:shd w:val="clear" w:color="auto" w:fill="C6D9F1"/>
          </w:tcPr>
          <w:p w14:paraId="5E407A69" w14:textId="77777777" w:rsidR="00881780" w:rsidRPr="00A71C8E" w:rsidRDefault="00881780" w:rsidP="006F4D8F">
            <w:pPr>
              <w:spacing w:before="0" w:line="240" w:lineRule="auto"/>
              <w:jc w:val="left"/>
              <w:rPr>
                <w:sz w:val="18"/>
                <w:szCs w:val="18"/>
              </w:rPr>
            </w:pPr>
            <w:r w:rsidRPr="00A71C8E">
              <w:rPr>
                <w:sz w:val="18"/>
                <w:szCs w:val="18"/>
              </w:rPr>
              <w:t>14,8</w:t>
            </w:r>
          </w:p>
        </w:tc>
      </w:tr>
      <w:tr w:rsidR="00881780" w:rsidRPr="00A71C8E" w14:paraId="4ABC487C" w14:textId="77777777" w:rsidTr="006F4D8F">
        <w:trPr>
          <w:trHeight w:val="300"/>
          <w:jc w:val="center"/>
        </w:trPr>
        <w:tc>
          <w:tcPr>
            <w:tcW w:w="700" w:type="pct"/>
            <w:shd w:val="clear" w:color="auto" w:fill="auto"/>
            <w:noWrap/>
            <w:hideMark/>
          </w:tcPr>
          <w:p w14:paraId="57EAEC19" w14:textId="77777777" w:rsidR="00881780" w:rsidRPr="00A71C8E" w:rsidRDefault="00881780" w:rsidP="006F4D8F">
            <w:pPr>
              <w:spacing w:before="0" w:line="240" w:lineRule="auto"/>
              <w:jc w:val="left"/>
              <w:rPr>
                <w:color w:val="000000"/>
                <w:sz w:val="18"/>
                <w:szCs w:val="18"/>
              </w:rPr>
            </w:pPr>
            <w:r w:rsidRPr="00A71C8E">
              <w:rPr>
                <w:color w:val="000000"/>
                <w:sz w:val="18"/>
                <w:szCs w:val="18"/>
              </w:rPr>
              <w:t>Warmińsko-mazurskie</w:t>
            </w:r>
          </w:p>
        </w:tc>
        <w:tc>
          <w:tcPr>
            <w:tcW w:w="546" w:type="pct"/>
            <w:shd w:val="clear" w:color="auto" w:fill="auto"/>
            <w:noWrap/>
            <w:hideMark/>
          </w:tcPr>
          <w:p w14:paraId="6A706FAB"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194</w:t>
            </w:r>
          </w:p>
        </w:tc>
        <w:tc>
          <w:tcPr>
            <w:tcW w:w="551" w:type="pct"/>
            <w:shd w:val="clear" w:color="auto" w:fill="auto"/>
            <w:noWrap/>
            <w:hideMark/>
          </w:tcPr>
          <w:p w14:paraId="7678E53C"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153</w:t>
            </w:r>
          </w:p>
        </w:tc>
        <w:tc>
          <w:tcPr>
            <w:tcW w:w="470" w:type="pct"/>
            <w:shd w:val="clear" w:color="auto" w:fill="auto"/>
            <w:noWrap/>
            <w:hideMark/>
          </w:tcPr>
          <w:p w14:paraId="16FF2124" w14:textId="77777777" w:rsidR="00881780" w:rsidRPr="00A71C8E" w:rsidRDefault="00881780" w:rsidP="006F4D8F">
            <w:pPr>
              <w:spacing w:before="0" w:line="240" w:lineRule="auto"/>
              <w:jc w:val="left"/>
              <w:rPr>
                <w:color w:val="000000"/>
                <w:sz w:val="18"/>
                <w:szCs w:val="18"/>
              </w:rPr>
            </w:pPr>
            <w:r w:rsidRPr="00A71C8E">
              <w:rPr>
                <w:color w:val="000000"/>
                <w:sz w:val="18"/>
                <w:szCs w:val="18"/>
              </w:rPr>
              <w:t>157</w:t>
            </w:r>
          </w:p>
        </w:tc>
        <w:tc>
          <w:tcPr>
            <w:tcW w:w="510" w:type="pct"/>
            <w:shd w:val="clear" w:color="auto" w:fill="auto"/>
            <w:noWrap/>
            <w:hideMark/>
          </w:tcPr>
          <w:p w14:paraId="54A71CBF" w14:textId="77777777" w:rsidR="00881780" w:rsidRPr="00A71C8E" w:rsidRDefault="00881780" w:rsidP="006F4D8F">
            <w:pPr>
              <w:spacing w:before="0" w:line="240" w:lineRule="auto"/>
              <w:jc w:val="left"/>
              <w:rPr>
                <w:color w:val="000000"/>
                <w:sz w:val="18"/>
                <w:szCs w:val="18"/>
              </w:rPr>
            </w:pPr>
            <w:r w:rsidRPr="00A71C8E">
              <w:rPr>
                <w:color w:val="000000"/>
                <w:sz w:val="18"/>
                <w:szCs w:val="18"/>
              </w:rPr>
              <w:t>192</w:t>
            </w:r>
          </w:p>
        </w:tc>
        <w:tc>
          <w:tcPr>
            <w:tcW w:w="556" w:type="pct"/>
            <w:shd w:val="clear" w:color="auto" w:fill="auto"/>
            <w:noWrap/>
            <w:hideMark/>
          </w:tcPr>
          <w:p w14:paraId="2A06ADD8" w14:textId="77777777" w:rsidR="00881780" w:rsidRPr="00A71C8E" w:rsidRDefault="00881780" w:rsidP="006F4D8F">
            <w:pPr>
              <w:spacing w:before="0" w:line="240" w:lineRule="auto"/>
              <w:jc w:val="left"/>
              <w:rPr>
                <w:color w:val="000000"/>
                <w:sz w:val="18"/>
                <w:szCs w:val="18"/>
              </w:rPr>
            </w:pPr>
            <w:r w:rsidRPr="00A71C8E">
              <w:rPr>
                <w:color w:val="000000"/>
                <w:sz w:val="18"/>
                <w:szCs w:val="18"/>
              </w:rPr>
              <w:t>173</w:t>
            </w:r>
          </w:p>
        </w:tc>
        <w:tc>
          <w:tcPr>
            <w:tcW w:w="556" w:type="pct"/>
            <w:shd w:val="clear" w:color="auto" w:fill="auto"/>
            <w:noWrap/>
            <w:hideMark/>
          </w:tcPr>
          <w:p w14:paraId="5D4804DE"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202</w:t>
            </w:r>
          </w:p>
        </w:tc>
        <w:tc>
          <w:tcPr>
            <w:tcW w:w="556" w:type="pct"/>
            <w:shd w:val="clear" w:color="auto" w:fill="C6D9F1"/>
          </w:tcPr>
          <w:p w14:paraId="2EEFAAD7" w14:textId="77777777" w:rsidR="00881780" w:rsidRPr="00A71C8E" w:rsidRDefault="00881780" w:rsidP="006F4D8F">
            <w:pPr>
              <w:spacing w:before="0" w:line="240" w:lineRule="auto"/>
              <w:jc w:val="left"/>
              <w:rPr>
                <w:sz w:val="18"/>
                <w:szCs w:val="18"/>
              </w:rPr>
            </w:pPr>
            <w:r w:rsidRPr="00A71C8E">
              <w:rPr>
                <w:sz w:val="18"/>
                <w:szCs w:val="18"/>
              </w:rPr>
              <w:t>8</w:t>
            </w:r>
          </w:p>
        </w:tc>
        <w:tc>
          <w:tcPr>
            <w:tcW w:w="555" w:type="pct"/>
            <w:shd w:val="clear" w:color="auto" w:fill="C6D9F1"/>
          </w:tcPr>
          <w:p w14:paraId="3B79CD0D" w14:textId="77777777" w:rsidR="00881780" w:rsidRPr="00A71C8E" w:rsidRDefault="00881780" w:rsidP="006F4D8F">
            <w:pPr>
              <w:spacing w:before="0" w:line="240" w:lineRule="auto"/>
              <w:jc w:val="left"/>
              <w:rPr>
                <w:sz w:val="18"/>
                <w:szCs w:val="18"/>
              </w:rPr>
            </w:pPr>
            <w:r w:rsidRPr="00A71C8E">
              <w:rPr>
                <w:sz w:val="18"/>
                <w:szCs w:val="18"/>
              </w:rPr>
              <w:t>4,0</w:t>
            </w:r>
          </w:p>
        </w:tc>
      </w:tr>
      <w:tr w:rsidR="00881780" w:rsidRPr="00A71C8E" w14:paraId="010297F5" w14:textId="77777777" w:rsidTr="006F4D8F">
        <w:trPr>
          <w:trHeight w:val="300"/>
          <w:jc w:val="center"/>
        </w:trPr>
        <w:tc>
          <w:tcPr>
            <w:tcW w:w="700" w:type="pct"/>
            <w:shd w:val="clear" w:color="auto" w:fill="auto"/>
            <w:noWrap/>
            <w:hideMark/>
          </w:tcPr>
          <w:p w14:paraId="343591F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Wielkopolskie</w:t>
            </w:r>
          </w:p>
        </w:tc>
        <w:tc>
          <w:tcPr>
            <w:tcW w:w="546" w:type="pct"/>
            <w:shd w:val="clear" w:color="auto" w:fill="auto"/>
            <w:noWrap/>
            <w:hideMark/>
          </w:tcPr>
          <w:p w14:paraId="062C9CAD" w14:textId="77777777" w:rsidR="00881780" w:rsidRPr="00A71C8E" w:rsidRDefault="00881780" w:rsidP="006F4D8F">
            <w:pPr>
              <w:spacing w:before="0" w:line="240" w:lineRule="auto"/>
              <w:jc w:val="left"/>
              <w:rPr>
                <w:color w:val="000000"/>
                <w:sz w:val="18"/>
                <w:szCs w:val="18"/>
              </w:rPr>
            </w:pPr>
            <w:r w:rsidRPr="00A71C8E">
              <w:rPr>
                <w:color w:val="000000"/>
                <w:sz w:val="18"/>
                <w:szCs w:val="18"/>
              </w:rPr>
              <w:t>220</w:t>
            </w:r>
          </w:p>
        </w:tc>
        <w:tc>
          <w:tcPr>
            <w:tcW w:w="551" w:type="pct"/>
            <w:shd w:val="clear" w:color="auto" w:fill="auto"/>
            <w:noWrap/>
            <w:hideMark/>
          </w:tcPr>
          <w:p w14:paraId="78834F51" w14:textId="77777777" w:rsidR="00881780" w:rsidRPr="00A71C8E" w:rsidRDefault="00881780" w:rsidP="006F4D8F">
            <w:pPr>
              <w:spacing w:before="0" w:line="240" w:lineRule="auto"/>
              <w:jc w:val="left"/>
              <w:rPr>
                <w:color w:val="000000"/>
                <w:sz w:val="18"/>
                <w:szCs w:val="18"/>
              </w:rPr>
            </w:pPr>
            <w:r w:rsidRPr="00A71C8E">
              <w:rPr>
                <w:color w:val="000000"/>
                <w:sz w:val="18"/>
                <w:szCs w:val="18"/>
              </w:rPr>
              <w:t>276</w:t>
            </w:r>
          </w:p>
        </w:tc>
        <w:tc>
          <w:tcPr>
            <w:tcW w:w="470" w:type="pct"/>
            <w:shd w:val="clear" w:color="auto" w:fill="auto"/>
            <w:noWrap/>
            <w:hideMark/>
          </w:tcPr>
          <w:p w14:paraId="6086D8A6" w14:textId="77777777" w:rsidR="00881780" w:rsidRPr="00A71C8E" w:rsidRDefault="00881780" w:rsidP="006F4D8F">
            <w:pPr>
              <w:spacing w:before="0" w:line="240" w:lineRule="auto"/>
              <w:jc w:val="left"/>
              <w:rPr>
                <w:color w:val="000000"/>
                <w:sz w:val="18"/>
                <w:szCs w:val="18"/>
              </w:rPr>
            </w:pPr>
            <w:r w:rsidRPr="00A71C8E">
              <w:rPr>
                <w:color w:val="000000"/>
                <w:sz w:val="18"/>
                <w:szCs w:val="18"/>
              </w:rPr>
              <w:t>328</w:t>
            </w:r>
          </w:p>
        </w:tc>
        <w:tc>
          <w:tcPr>
            <w:tcW w:w="510" w:type="pct"/>
            <w:shd w:val="clear" w:color="auto" w:fill="auto"/>
            <w:noWrap/>
            <w:hideMark/>
          </w:tcPr>
          <w:p w14:paraId="30324CD2" w14:textId="77777777" w:rsidR="00881780" w:rsidRPr="00A71C8E" w:rsidRDefault="00881780" w:rsidP="006F4D8F">
            <w:pPr>
              <w:spacing w:before="0" w:line="240" w:lineRule="auto"/>
              <w:jc w:val="left"/>
              <w:rPr>
                <w:color w:val="000000"/>
                <w:sz w:val="18"/>
                <w:szCs w:val="18"/>
              </w:rPr>
            </w:pPr>
            <w:r w:rsidRPr="00A71C8E">
              <w:rPr>
                <w:color w:val="000000"/>
                <w:sz w:val="18"/>
                <w:szCs w:val="18"/>
              </w:rPr>
              <w:t>301</w:t>
            </w:r>
          </w:p>
        </w:tc>
        <w:tc>
          <w:tcPr>
            <w:tcW w:w="556" w:type="pct"/>
            <w:shd w:val="clear" w:color="auto" w:fill="auto"/>
            <w:noWrap/>
            <w:hideMark/>
          </w:tcPr>
          <w:p w14:paraId="14B9D914" w14:textId="77777777" w:rsidR="00881780" w:rsidRPr="00A71C8E" w:rsidRDefault="00881780" w:rsidP="006F4D8F">
            <w:pPr>
              <w:spacing w:before="0" w:line="240" w:lineRule="auto"/>
              <w:jc w:val="left"/>
              <w:rPr>
                <w:color w:val="000000"/>
                <w:sz w:val="18"/>
                <w:szCs w:val="18"/>
              </w:rPr>
            </w:pPr>
            <w:r w:rsidRPr="00A71C8E">
              <w:rPr>
                <w:color w:val="000000"/>
                <w:sz w:val="18"/>
                <w:szCs w:val="18"/>
              </w:rPr>
              <w:t>307</w:t>
            </w:r>
          </w:p>
        </w:tc>
        <w:tc>
          <w:tcPr>
            <w:tcW w:w="556" w:type="pct"/>
            <w:shd w:val="clear" w:color="auto" w:fill="auto"/>
            <w:noWrap/>
            <w:hideMark/>
          </w:tcPr>
          <w:p w14:paraId="38C97E00" w14:textId="77777777" w:rsidR="00881780" w:rsidRPr="00A71C8E" w:rsidRDefault="00881780" w:rsidP="006F4D8F">
            <w:pPr>
              <w:spacing w:before="0" w:line="240" w:lineRule="auto"/>
              <w:jc w:val="left"/>
              <w:rPr>
                <w:color w:val="000000"/>
                <w:sz w:val="18"/>
                <w:szCs w:val="18"/>
              </w:rPr>
            </w:pPr>
            <w:r w:rsidRPr="00A71C8E">
              <w:rPr>
                <w:color w:val="000000"/>
                <w:sz w:val="18"/>
                <w:szCs w:val="18"/>
              </w:rPr>
              <w:t>351</w:t>
            </w:r>
          </w:p>
        </w:tc>
        <w:tc>
          <w:tcPr>
            <w:tcW w:w="556" w:type="pct"/>
            <w:shd w:val="clear" w:color="auto" w:fill="C6D9F1"/>
          </w:tcPr>
          <w:p w14:paraId="24F3A682" w14:textId="77777777" w:rsidR="00881780" w:rsidRPr="00A71C8E" w:rsidRDefault="00881780" w:rsidP="006F4D8F">
            <w:pPr>
              <w:spacing w:before="0" w:line="240" w:lineRule="auto"/>
              <w:jc w:val="left"/>
              <w:rPr>
                <w:sz w:val="18"/>
                <w:szCs w:val="18"/>
              </w:rPr>
            </w:pPr>
            <w:r w:rsidRPr="00A71C8E">
              <w:rPr>
                <w:sz w:val="18"/>
                <w:szCs w:val="18"/>
              </w:rPr>
              <w:t>131</w:t>
            </w:r>
          </w:p>
        </w:tc>
        <w:tc>
          <w:tcPr>
            <w:tcW w:w="555" w:type="pct"/>
            <w:shd w:val="clear" w:color="auto" w:fill="C6D9F1"/>
          </w:tcPr>
          <w:p w14:paraId="3247A145" w14:textId="77777777" w:rsidR="00881780" w:rsidRPr="00A71C8E" w:rsidRDefault="00881780" w:rsidP="006F4D8F">
            <w:pPr>
              <w:spacing w:before="0" w:line="240" w:lineRule="auto"/>
              <w:jc w:val="left"/>
              <w:rPr>
                <w:sz w:val="18"/>
                <w:szCs w:val="18"/>
              </w:rPr>
            </w:pPr>
            <w:r w:rsidRPr="00A71C8E">
              <w:rPr>
                <w:sz w:val="18"/>
                <w:szCs w:val="18"/>
              </w:rPr>
              <w:t>59,4</w:t>
            </w:r>
          </w:p>
        </w:tc>
      </w:tr>
      <w:tr w:rsidR="00881780" w:rsidRPr="00A71C8E" w14:paraId="6D75A1A1" w14:textId="77777777" w:rsidTr="006F4D8F">
        <w:trPr>
          <w:trHeight w:val="300"/>
          <w:jc w:val="center"/>
        </w:trPr>
        <w:tc>
          <w:tcPr>
            <w:tcW w:w="700" w:type="pct"/>
            <w:shd w:val="clear" w:color="auto" w:fill="auto"/>
            <w:noWrap/>
            <w:hideMark/>
          </w:tcPr>
          <w:p w14:paraId="5B8C34D8"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Zachodniopomorskie</w:t>
            </w:r>
          </w:p>
        </w:tc>
        <w:tc>
          <w:tcPr>
            <w:tcW w:w="546" w:type="pct"/>
            <w:shd w:val="clear" w:color="auto" w:fill="auto"/>
            <w:noWrap/>
            <w:hideMark/>
          </w:tcPr>
          <w:p w14:paraId="2CD42E12"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161</w:t>
            </w:r>
          </w:p>
        </w:tc>
        <w:tc>
          <w:tcPr>
            <w:tcW w:w="551" w:type="pct"/>
            <w:shd w:val="clear" w:color="auto" w:fill="auto"/>
            <w:noWrap/>
            <w:hideMark/>
          </w:tcPr>
          <w:p w14:paraId="62F8212F"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135</w:t>
            </w:r>
          </w:p>
        </w:tc>
        <w:tc>
          <w:tcPr>
            <w:tcW w:w="470" w:type="pct"/>
            <w:shd w:val="clear" w:color="auto" w:fill="auto"/>
            <w:noWrap/>
            <w:hideMark/>
          </w:tcPr>
          <w:p w14:paraId="641DEE33"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177</w:t>
            </w:r>
          </w:p>
        </w:tc>
        <w:tc>
          <w:tcPr>
            <w:tcW w:w="510" w:type="pct"/>
            <w:shd w:val="clear" w:color="auto" w:fill="auto"/>
            <w:noWrap/>
            <w:hideMark/>
          </w:tcPr>
          <w:p w14:paraId="6B480A78"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195</w:t>
            </w:r>
          </w:p>
        </w:tc>
        <w:tc>
          <w:tcPr>
            <w:tcW w:w="556" w:type="pct"/>
            <w:shd w:val="clear" w:color="auto" w:fill="auto"/>
            <w:noWrap/>
            <w:hideMark/>
          </w:tcPr>
          <w:p w14:paraId="45C685AB"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243</w:t>
            </w:r>
          </w:p>
        </w:tc>
        <w:tc>
          <w:tcPr>
            <w:tcW w:w="556" w:type="pct"/>
            <w:shd w:val="clear" w:color="auto" w:fill="auto"/>
            <w:noWrap/>
            <w:hideMark/>
          </w:tcPr>
          <w:p w14:paraId="6C02D67F"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261</w:t>
            </w:r>
          </w:p>
        </w:tc>
        <w:tc>
          <w:tcPr>
            <w:tcW w:w="556" w:type="pct"/>
            <w:shd w:val="clear" w:color="auto" w:fill="C6D9F1"/>
          </w:tcPr>
          <w:p w14:paraId="43EBBD1F" w14:textId="77777777" w:rsidR="00881780" w:rsidRPr="00A71C8E" w:rsidRDefault="00881780" w:rsidP="006F4D8F">
            <w:pPr>
              <w:spacing w:before="0" w:line="240" w:lineRule="auto"/>
              <w:jc w:val="left"/>
              <w:rPr>
                <w:b/>
                <w:sz w:val="18"/>
                <w:szCs w:val="18"/>
              </w:rPr>
            </w:pPr>
            <w:r w:rsidRPr="00A71C8E">
              <w:rPr>
                <w:b/>
                <w:sz w:val="18"/>
                <w:szCs w:val="18"/>
              </w:rPr>
              <w:t>100</w:t>
            </w:r>
          </w:p>
        </w:tc>
        <w:tc>
          <w:tcPr>
            <w:tcW w:w="555" w:type="pct"/>
            <w:shd w:val="clear" w:color="auto" w:fill="C6D9F1"/>
          </w:tcPr>
          <w:p w14:paraId="45C3392F" w14:textId="77777777" w:rsidR="00881780" w:rsidRPr="00A71C8E" w:rsidRDefault="00881780" w:rsidP="006F4D8F">
            <w:pPr>
              <w:spacing w:before="0" w:line="240" w:lineRule="auto"/>
              <w:jc w:val="left"/>
              <w:rPr>
                <w:b/>
                <w:sz w:val="18"/>
                <w:szCs w:val="18"/>
              </w:rPr>
            </w:pPr>
            <w:r w:rsidRPr="00A71C8E">
              <w:rPr>
                <w:b/>
                <w:sz w:val="18"/>
                <w:szCs w:val="18"/>
              </w:rPr>
              <w:t>62,2</w:t>
            </w:r>
          </w:p>
        </w:tc>
      </w:tr>
    </w:tbl>
    <w:p w14:paraId="54C68A5C" w14:textId="1856B760"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5FB6C269" w14:textId="77777777" w:rsidR="00881780" w:rsidRPr="002520B3" w:rsidRDefault="00881780" w:rsidP="00881780">
      <w:pPr>
        <w:autoSpaceDE w:val="0"/>
        <w:autoSpaceDN w:val="0"/>
        <w:adjustRightInd w:val="0"/>
        <w:spacing w:line="276" w:lineRule="auto"/>
        <w:rPr>
          <w:rFonts w:cs="Arial"/>
          <w:bCs/>
          <w:szCs w:val="20"/>
        </w:rPr>
      </w:pPr>
      <w:r w:rsidRPr="002520B3">
        <w:rPr>
          <w:rFonts w:cs="Arial"/>
          <w:bCs/>
          <w:szCs w:val="20"/>
        </w:rPr>
        <w:t>Jak zauważają przedstawiciele instytucji odpowiedzialnych za wdrażanie Programu, zgodnie</w:t>
      </w:r>
      <w:r w:rsidR="00E66B89">
        <w:rPr>
          <w:rFonts w:cs="Arial"/>
          <w:bCs/>
          <w:szCs w:val="20"/>
        </w:rPr>
        <w:t xml:space="preserve"> z </w:t>
      </w:r>
      <w:r w:rsidRPr="002520B3">
        <w:rPr>
          <w:rFonts w:cs="Arial"/>
          <w:bCs/>
          <w:szCs w:val="20"/>
        </w:rPr>
        <w:t>założeniami przyjętymi na etapie programowania dysponowanie przez potencjalnego przedsiębiorcę odpowiednimi – co do wielkości</w:t>
      </w:r>
      <w:r w:rsidR="00E66B89">
        <w:rPr>
          <w:rFonts w:cs="Arial"/>
          <w:bCs/>
          <w:szCs w:val="20"/>
        </w:rPr>
        <w:t xml:space="preserve"> i </w:t>
      </w:r>
      <w:r w:rsidRPr="002520B3">
        <w:rPr>
          <w:rFonts w:cs="Arial"/>
          <w:bCs/>
          <w:szCs w:val="20"/>
        </w:rPr>
        <w:t>struktury – źródłami finansowania nie tylko powinno umożliwiać prowadzenie działalności, ale także zapewnić bezpieczeństwo finansowe</w:t>
      </w:r>
      <w:r w:rsidR="00E66B89">
        <w:rPr>
          <w:rFonts w:cs="Arial"/>
          <w:bCs/>
          <w:szCs w:val="20"/>
        </w:rPr>
        <w:t xml:space="preserve"> i </w:t>
      </w:r>
      <w:r w:rsidRPr="002520B3">
        <w:rPr>
          <w:rFonts w:cs="Arial"/>
          <w:bCs/>
          <w:szCs w:val="20"/>
        </w:rPr>
        <w:t>utrzymanie płynności finansowej</w:t>
      </w:r>
      <w:r w:rsidR="00E66B89">
        <w:rPr>
          <w:rFonts w:cs="Arial"/>
          <w:bCs/>
          <w:szCs w:val="20"/>
        </w:rPr>
        <w:t xml:space="preserve"> w </w:t>
      </w:r>
      <w:r>
        <w:rPr>
          <w:rFonts w:cs="Arial"/>
          <w:bCs/>
          <w:szCs w:val="20"/>
        </w:rPr>
        <w:t>początkowym</w:t>
      </w:r>
      <w:r w:rsidRPr="002520B3">
        <w:rPr>
          <w:rFonts w:cs="Arial"/>
          <w:bCs/>
          <w:szCs w:val="20"/>
        </w:rPr>
        <w:t xml:space="preserve"> okresie </w:t>
      </w:r>
      <w:r>
        <w:rPr>
          <w:rFonts w:cs="Arial"/>
          <w:bCs/>
          <w:szCs w:val="20"/>
        </w:rPr>
        <w:t>jej funkcjonowania</w:t>
      </w:r>
      <w:r w:rsidRPr="002520B3">
        <w:rPr>
          <w:rFonts w:cs="Arial"/>
          <w:bCs/>
          <w:szCs w:val="20"/>
        </w:rPr>
        <w:t>.</w:t>
      </w:r>
      <w:r>
        <w:rPr>
          <w:rFonts w:cs="Arial"/>
          <w:bCs/>
          <w:szCs w:val="20"/>
        </w:rPr>
        <w:t xml:space="preserve"> </w:t>
      </w:r>
      <w:r w:rsidRPr="002520B3">
        <w:rPr>
          <w:rFonts w:cs="Arial"/>
          <w:bCs/>
          <w:szCs w:val="20"/>
        </w:rPr>
        <w:t>Dostęp do źródeł finansowania jest wskazywany jako jeden</w:t>
      </w:r>
      <w:r w:rsidR="00E66B89">
        <w:rPr>
          <w:rFonts w:cs="Arial"/>
          <w:bCs/>
          <w:szCs w:val="20"/>
        </w:rPr>
        <w:t xml:space="preserve"> z </w:t>
      </w:r>
      <w:r w:rsidRPr="002520B3">
        <w:rPr>
          <w:rFonts w:cs="Arial"/>
          <w:bCs/>
          <w:szCs w:val="20"/>
        </w:rPr>
        <w:t>kluczowych elementów rozwoju przedsiębiorstw działających</w:t>
      </w:r>
      <w:r w:rsidR="00E66B89">
        <w:rPr>
          <w:rFonts w:cs="Arial"/>
          <w:bCs/>
          <w:szCs w:val="20"/>
        </w:rPr>
        <w:t xml:space="preserve"> w </w:t>
      </w:r>
      <w:r w:rsidRPr="002520B3">
        <w:rPr>
          <w:rFonts w:cs="Arial"/>
          <w:bCs/>
          <w:szCs w:val="20"/>
        </w:rPr>
        <w:t>systemach nowoczesnych gospodarek rynkowych. Osoby</w:t>
      </w:r>
      <w:r>
        <w:rPr>
          <w:rFonts w:cs="Arial"/>
          <w:bCs/>
          <w:szCs w:val="20"/>
        </w:rPr>
        <w:t xml:space="preserve"> pozostające</w:t>
      </w:r>
      <w:r w:rsidRPr="002520B3">
        <w:rPr>
          <w:rFonts w:cs="Arial"/>
          <w:bCs/>
          <w:szCs w:val="20"/>
        </w:rPr>
        <w:t xml:space="preserve"> bez pracy</w:t>
      </w:r>
      <w:r>
        <w:rPr>
          <w:rFonts w:cs="Arial"/>
          <w:bCs/>
          <w:szCs w:val="20"/>
        </w:rPr>
        <w:t xml:space="preserve"> (bezrobotne</w:t>
      </w:r>
      <w:r w:rsidR="00E66B89">
        <w:rPr>
          <w:rFonts w:cs="Arial"/>
          <w:bCs/>
          <w:szCs w:val="20"/>
        </w:rPr>
        <w:t xml:space="preserve"> i </w:t>
      </w:r>
      <w:r>
        <w:rPr>
          <w:rFonts w:cs="Arial"/>
          <w:bCs/>
          <w:szCs w:val="20"/>
        </w:rPr>
        <w:t>bierne zawodowo)</w:t>
      </w:r>
      <w:r w:rsidRPr="002520B3">
        <w:rPr>
          <w:rFonts w:cs="Arial"/>
          <w:bCs/>
          <w:szCs w:val="20"/>
        </w:rPr>
        <w:t xml:space="preserve">, ze względu na swój status </w:t>
      </w:r>
      <w:r>
        <w:rPr>
          <w:rFonts w:cs="Arial"/>
          <w:bCs/>
          <w:szCs w:val="20"/>
        </w:rPr>
        <w:t>na rynku pracy</w:t>
      </w:r>
      <w:r w:rsidRPr="002520B3">
        <w:rPr>
          <w:rFonts w:cs="Arial"/>
          <w:bCs/>
          <w:szCs w:val="20"/>
        </w:rPr>
        <w:t xml:space="preserve"> mają ograniczony dostęp do kapitału finansowego </w:t>
      </w:r>
      <w:r>
        <w:rPr>
          <w:rFonts w:cs="Arial"/>
          <w:bCs/>
          <w:szCs w:val="20"/>
        </w:rPr>
        <w:noBreakHyphen/>
      </w:r>
      <w:r w:rsidRPr="002520B3">
        <w:rPr>
          <w:rFonts w:cs="Arial"/>
          <w:bCs/>
          <w:szCs w:val="20"/>
        </w:rPr>
        <w:t xml:space="preserve"> wobec braku zatrudnienia (braku ciągłości historii zawodowej), nieposiadania odpowiedniej zdolności kredytowej</w:t>
      </w:r>
      <w:r w:rsidR="00E66B89">
        <w:rPr>
          <w:rFonts w:cs="Arial"/>
          <w:bCs/>
          <w:szCs w:val="20"/>
        </w:rPr>
        <w:t xml:space="preserve"> i </w:t>
      </w:r>
      <w:r w:rsidRPr="002520B3">
        <w:rPr>
          <w:rFonts w:cs="Arial"/>
          <w:bCs/>
          <w:szCs w:val="20"/>
        </w:rPr>
        <w:t>niedysponowania wystarczającymi zabezpieczeniami</w:t>
      </w:r>
      <w:r>
        <w:rPr>
          <w:rFonts w:cs="Arial"/>
          <w:bCs/>
          <w:szCs w:val="20"/>
        </w:rPr>
        <w:t xml:space="preserve"> -</w:t>
      </w:r>
      <w:r w:rsidRPr="002520B3">
        <w:rPr>
          <w:rFonts w:cs="Arial"/>
          <w:bCs/>
          <w:szCs w:val="20"/>
        </w:rPr>
        <w:t xml:space="preserve"> doświadczają trudności</w:t>
      </w:r>
      <w:r w:rsidR="00E66B89">
        <w:rPr>
          <w:rFonts w:cs="Arial"/>
          <w:bCs/>
          <w:szCs w:val="20"/>
        </w:rPr>
        <w:t xml:space="preserve"> w </w:t>
      </w:r>
      <w:r w:rsidRPr="002520B3">
        <w:rPr>
          <w:rFonts w:cs="Arial"/>
          <w:bCs/>
          <w:szCs w:val="20"/>
        </w:rPr>
        <w:t>pozyskaniu środków finansowych ze źródeł komercyjnych na założeni</w:t>
      </w:r>
      <w:r>
        <w:rPr>
          <w:rFonts w:cs="Arial"/>
          <w:bCs/>
          <w:szCs w:val="20"/>
        </w:rPr>
        <w:t>e</w:t>
      </w:r>
      <w:r w:rsidRPr="002520B3">
        <w:rPr>
          <w:rFonts w:cs="Arial"/>
          <w:bCs/>
          <w:szCs w:val="20"/>
        </w:rPr>
        <w:t xml:space="preserve"> własnej działalności gospodarczej.</w:t>
      </w:r>
      <w:r>
        <w:rPr>
          <w:rStyle w:val="Odwoanieprzypisudolnego"/>
          <w:rFonts w:cs="Arial"/>
          <w:bCs/>
          <w:szCs w:val="20"/>
        </w:rPr>
        <w:footnoteReference w:id="55"/>
      </w:r>
      <w:r>
        <w:rPr>
          <w:rFonts w:cs="Arial"/>
          <w:bCs/>
          <w:szCs w:val="20"/>
        </w:rPr>
        <w:t xml:space="preserve"> B</w:t>
      </w:r>
      <w:r w:rsidRPr="002520B3">
        <w:rPr>
          <w:rFonts w:cs="Arial"/>
          <w:bCs/>
          <w:szCs w:val="20"/>
        </w:rPr>
        <w:t xml:space="preserve">rak </w:t>
      </w:r>
      <w:r>
        <w:rPr>
          <w:rFonts w:cs="Arial"/>
          <w:bCs/>
          <w:szCs w:val="20"/>
        </w:rPr>
        <w:t xml:space="preserve">dostępu do </w:t>
      </w:r>
      <w:r w:rsidRPr="002520B3">
        <w:rPr>
          <w:rFonts w:cs="Arial"/>
          <w:bCs/>
          <w:szCs w:val="20"/>
        </w:rPr>
        <w:t>kapitału zewnętrznego hamuje realne możliwości rozwoju</w:t>
      </w:r>
      <w:r>
        <w:rPr>
          <w:rFonts w:cs="Arial"/>
          <w:bCs/>
          <w:szCs w:val="20"/>
        </w:rPr>
        <w:t xml:space="preserve"> działalności gospodarczej</w:t>
      </w:r>
      <w:r w:rsidRPr="002520B3">
        <w:rPr>
          <w:rFonts w:cs="Arial"/>
          <w:bCs/>
          <w:szCs w:val="20"/>
        </w:rPr>
        <w:t>. Wsparcie, które osoby pozostające bez pracy mog</w:t>
      </w:r>
      <w:r>
        <w:rPr>
          <w:rFonts w:cs="Arial"/>
          <w:bCs/>
          <w:szCs w:val="20"/>
        </w:rPr>
        <w:t>łyby</w:t>
      </w:r>
      <w:r w:rsidRPr="002520B3">
        <w:rPr>
          <w:rFonts w:cs="Arial"/>
          <w:bCs/>
          <w:szCs w:val="20"/>
        </w:rPr>
        <w:t xml:space="preserve"> uzyskać</w:t>
      </w:r>
      <w:r>
        <w:rPr>
          <w:rFonts w:cs="Arial"/>
          <w:bCs/>
          <w:szCs w:val="20"/>
        </w:rPr>
        <w:t>,</w:t>
      </w:r>
      <w:r w:rsidRPr="002520B3">
        <w:rPr>
          <w:rFonts w:cs="Arial"/>
          <w:bCs/>
          <w:szCs w:val="20"/>
        </w:rPr>
        <w:t xml:space="preserve"> znacząco wypełni</w:t>
      </w:r>
      <w:r>
        <w:rPr>
          <w:rFonts w:cs="Arial"/>
          <w:bCs/>
          <w:szCs w:val="20"/>
        </w:rPr>
        <w:t>łoby</w:t>
      </w:r>
      <w:r w:rsidRPr="002520B3">
        <w:rPr>
          <w:rFonts w:cs="Arial"/>
          <w:bCs/>
          <w:szCs w:val="20"/>
        </w:rPr>
        <w:t xml:space="preserve"> lukę</w:t>
      </w:r>
      <w:r w:rsidR="00E66B89">
        <w:rPr>
          <w:rFonts w:cs="Arial"/>
          <w:bCs/>
          <w:szCs w:val="20"/>
        </w:rPr>
        <w:t xml:space="preserve"> w </w:t>
      </w:r>
      <w:r w:rsidRPr="002520B3">
        <w:rPr>
          <w:rFonts w:cs="Arial"/>
          <w:bCs/>
          <w:szCs w:val="20"/>
        </w:rPr>
        <w:t>dostępie do kapitału</w:t>
      </w:r>
      <w:r w:rsidR="00E66B89">
        <w:rPr>
          <w:rFonts w:cs="Arial"/>
          <w:bCs/>
          <w:szCs w:val="20"/>
        </w:rPr>
        <w:t xml:space="preserve"> i </w:t>
      </w:r>
      <w:r w:rsidRPr="002520B3">
        <w:rPr>
          <w:rFonts w:cs="Arial"/>
          <w:bCs/>
          <w:szCs w:val="20"/>
        </w:rPr>
        <w:t>w</w:t>
      </w:r>
      <w:r>
        <w:rPr>
          <w:rFonts w:cs="Arial"/>
          <w:bCs/>
          <w:szCs w:val="20"/>
        </w:rPr>
        <w:t>sparło</w:t>
      </w:r>
      <w:r w:rsidRPr="002520B3">
        <w:rPr>
          <w:rFonts w:cs="Arial"/>
          <w:bCs/>
          <w:szCs w:val="20"/>
        </w:rPr>
        <w:t xml:space="preserve"> procesy rozwoju przedsiębiorczości</w:t>
      </w:r>
      <w:r w:rsidR="00E66B89">
        <w:rPr>
          <w:rFonts w:cs="Arial"/>
          <w:bCs/>
          <w:szCs w:val="20"/>
        </w:rPr>
        <w:t xml:space="preserve"> w </w:t>
      </w:r>
      <w:r w:rsidRPr="002520B3">
        <w:rPr>
          <w:rFonts w:cs="Arial"/>
          <w:bCs/>
          <w:szCs w:val="20"/>
        </w:rPr>
        <w:t>regionie.</w:t>
      </w:r>
      <w:r>
        <w:rPr>
          <w:rFonts w:cs="Arial"/>
          <w:bCs/>
          <w:szCs w:val="20"/>
        </w:rPr>
        <w:t xml:space="preserve"> S</w:t>
      </w:r>
      <w:r w:rsidRPr="002520B3">
        <w:rPr>
          <w:rFonts w:cs="Arial"/>
          <w:bCs/>
          <w:szCs w:val="20"/>
        </w:rPr>
        <w:t>pad</w:t>
      </w:r>
      <w:r>
        <w:rPr>
          <w:rFonts w:cs="Arial"/>
          <w:bCs/>
          <w:szCs w:val="20"/>
        </w:rPr>
        <w:t>ek</w:t>
      </w:r>
      <w:r w:rsidRPr="002520B3">
        <w:rPr>
          <w:rFonts w:cs="Arial"/>
          <w:bCs/>
          <w:szCs w:val="20"/>
        </w:rPr>
        <w:t xml:space="preserve"> stopy bezrobocia oraz liczby zarejestrowanych bezrobotnych</w:t>
      </w:r>
      <w:r>
        <w:rPr>
          <w:rFonts w:cs="Arial"/>
          <w:bCs/>
          <w:szCs w:val="20"/>
        </w:rPr>
        <w:t xml:space="preserve"> (które uwzględnia interwencja), </w:t>
      </w:r>
      <w:r w:rsidRPr="002520B3">
        <w:rPr>
          <w:rFonts w:cs="Arial"/>
          <w:bCs/>
          <w:szCs w:val="20"/>
        </w:rPr>
        <w:t>oznacza</w:t>
      </w:r>
      <w:r>
        <w:rPr>
          <w:rFonts w:cs="Arial"/>
          <w:bCs/>
          <w:szCs w:val="20"/>
        </w:rPr>
        <w:t>jący</w:t>
      </w:r>
      <w:r w:rsidRPr="002520B3">
        <w:rPr>
          <w:rFonts w:cs="Arial"/>
          <w:bCs/>
          <w:szCs w:val="20"/>
        </w:rPr>
        <w:t xml:space="preserve"> zmniejszenie się populacji potencjalnych odbiorców wsparcia</w:t>
      </w:r>
      <w:r>
        <w:rPr>
          <w:rFonts w:cs="Arial"/>
          <w:bCs/>
          <w:szCs w:val="20"/>
        </w:rPr>
        <w:t xml:space="preserve"> może być źródłem trudności</w:t>
      </w:r>
      <w:r w:rsidR="00E66B89">
        <w:rPr>
          <w:rFonts w:cs="Arial"/>
          <w:bCs/>
          <w:szCs w:val="20"/>
        </w:rPr>
        <w:t xml:space="preserve"> w </w:t>
      </w:r>
      <w:r>
        <w:rPr>
          <w:rFonts w:cs="Arial"/>
          <w:bCs/>
          <w:szCs w:val="20"/>
        </w:rPr>
        <w:t>dalszym osiąganiu zakładanych na</w:t>
      </w:r>
      <w:r w:rsidRPr="005A5243">
        <w:rPr>
          <w:rFonts w:cs="Arial"/>
          <w:bCs/>
          <w:szCs w:val="20"/>
        </w:rPr>
        <w:t xml:space="preserve"> 2023</w:t>
      </w:r>
      <w:r>
        <w:rPr>
          <w:rFonts w:cs="Arial"/>
          <w:bCs/>
          <w:szCs w:val="20"/>
        </w:rPr>
        <w:t xml:space="preserve"> rok</w:t>
      </w:r>
      <w:r w:rsidRPr="005A5243">
        <w:rPr>
          <w:rFonts w:cs="Arial"/>
          <w:bCs/>
          <w:szCs w:val="20"/>
        </w:rPr>
        <w:t xml:space="preserve"> </w:t>
      </w:r>
      <w:r>
        <w:rPr>
          <w:rFonts w:cs="Arial"/>
          <w:bCs/>
          <w:szCs w:val="20"/>
        </w:rPr>
        <w:t>wartości wskaźników.</w:t>
      </w:r>
    </w:p>
    <w:p w14:paraId="014D31EE" w14:textId="77777777" w:rsidR="00881780" w:rsidRDefault="00881780" w:rsidP="00881780">
      <w:pPr>
        <w:autoSpaceDE w:val="0"/>
        <w:autoSpaceDN w:val="0"/>
        <w:adjustRightInd w:val="0"/>
        <w:spacing w:line="276" w:lineRule="auto"/>
        <w:rPr>
          <w:rFonts w:cs="Arial"/>
          <w:bCs/>
          <w:szCs w:val="20"/>
        </w:rPr>
      </w:pPr>
      <w:r w:rsidRPr="00661280">
        <w:rPr>
          <w:rFonts w:cs="Arial"/>
          <w:bCs/>
          <w:szCs w:val="20"/>
        </w:rPr>
        <w:t>Niska dostępność opieki nad dziećmi jest</w:t>
      </w:r>
      <w:r w:rsidR="00E66B89">
        <w:rPr>
          <w:rFonts w:cs="Arial"/>
          <w:bCs/>
          <w:szCs w:val="20"/>
        </w:rPr>
        <w:t xml:space="preserve"> w </w:t>
      </w:r>
      <w:r w:rsidRPr="00661280">
        <w:rPr>
          <w:rFonts w:cs="Arial"/>
          <w:bCs/>
          <w:szCs w:val="20"/>
        </w:rPr>
        <w:t xml:space="preserve">województwie zachodniopomorskim nadal widoczna. </w:t>
      </w:r>
      <w:r>
        <w:rPr>
          <w:rFonts w:cs="Arial"/>
          <w:bCs/>
          <w:szCs w:val="20"/>
        </w:rPr>
        <w:t>Aktualna jest potrzeba</w:t>
      </w:r>
      <w:r w:rsidRPr="00661280">
        <w:rPr>
          <w:rFonts w:cs="Arial"/>
          <w:bCs/>
          <w:szCs w:val="20"/>
        </w:rPr>
        <w:t xml:space="preserve"> dostosowania form opieki </w:t>
      </w:r>
      <w:r>
        <w:rPr>
          <w:rFonts w:cs="Arial"/>
          <w:bCs/>
          <w:szCs w:val="20"/>
        </w:rPr>
        <w:t>na dziećmi do lat 3 do zmian</w:t>
      </w:r>
      <w:r w:rsidRPr="00661280">
        <w:rPr>
          <w:rFonts w:cs="Arial"/>
          <w:bCs/>
          <w:szCs w:val="20"/>
        </w:rPr>
        <w:t xml:space="preserve"> demograficznych</w:t>
      </w:r>
      <w:r w:rsidR="00E66B89">
        <w:rPr>
          <w:rFonts w:cs="Arial"/>
          <w:bCs/>
          <w:szCs w:val="20"/>
        </w:rPr>
        <w:t xml:space="preserve"> i </w:t>
      </w:r>
      <w:r w:rsidRPr="00661280">
        <w:rPr>
          <w:rFonts w:cs="Arial"/>
          <w:bCs/>
          <w:szCs w:val="20"/>
        </w:rPr>
        <w:t>społecznych</w:t>
      </w:r>
      <w:r>
        <w:rPr>
          <w:rFonts w:cs="Arial"/>
          <w:bCs/>
          <w:szCs w:val="20"/>
        </w:rPr>
        <w:t xml:space="preserve"> na rynku pracy</w:t>
      </w:r>
      <w:r w:rsidRPr="00661280">
        <w:rPr>
          <w:rFonts w:cs="Arial"/>
          <w:bCs/>
          <w:szCs w:val="20"/>
        </w:rPr>
        <w:t>. Jednakże należy zauważyć, że sytuacja opieki nad dziećmi</w:t>
      </w:r>
      <w:r w:rsidR="00E66B89">
        <w:rPr>
          <w:rFonts w:cs="Arial"/>
          <w:bCs/>
          <w:szCs w:val="20"/>
        </w:rPr>
        <w:t xml:space="preserve"> w </w:t>
      </w:r>
      <w:r w:rsidRPr="00661280">
        <w:rPr>
          <w:rFonts w:cs="Arial"/>
          <w:bCs/>
          <w:szCs w:val="20"/>
        </w:rPr>
        <w:t>ostatnich latach wyraźnie poprawiła się,</w:t>
      </w:r>
      <w:r w:rsidR="00E66B89">
        <w:rPr>
          <w:rFonts w:cs="Arial"/>
          <w:bCs/>
          <w:szCs w:val="20"/>
        </w:rPr>
        <w:t xml:space="preserve"> a </w:t>
      </w:r>
      <w:r w:rsidRPr="00661280">
        <w:rPr>
          <w:rFonts w:cs="Arial"/>
          <w:bCs/>
          <w:szCs w:val="20"/>
        </w:rPr>
        <w:t xml:space="preserve">porównanie </w:t>
      </w:r>
      <w:r>
        <w:rPr>
          <w:rFonts w:cs="Arial"/>
          <w:bCs/>
          <w:szCs w:val="20"/>
        </w:rPr>
        <w:t>regionu</w:t>
      </w:r>
      <w:r w:rsidR="00E66B89">
        <w:rPr>
          <w:rFonts w:cs="Arial"/>
          <w:bCs/>
          <w:szCs w:val="20"/>
        </w:rPr>
        <w:t xml:space="preserve"> z </w:t>
      </w:r>
      <w:r w:rsidRPr="00661280">
        <w:rPr>
          <w:rFonts w:cs="Arial"/>
          <w:bCs/>
          <w:szCs w:val="20"/>
        </w:rPr>
        <w:t xml:space="preserve">innymi województwami wychodzi na korzyść województwa zachodniopomorskiego. </w:t>
      </w:r>
      <w:r w:rsidRPr="00032528">
        <w:rPr>
          <w:rFonts w:cs="Arial"/>
          <w:bCs/>
          <w:szCs w:val="20"/>
        </w:rPr>
        <w:t xml:space="preserve">Wskaźnik liczby dzieci na </w:t>
      </w:r>
      <w:r>
        <w:rPr>
          <w:rFonts w:cs="Arial"/>
          <w:bCs/>
          <w:szCs w:val="20"/>
        </w:rPr>
        <w:t xml:space="preserve">jedno </w:t>
      </w:r>
      <w:r w:rsidRPr="00032528">
        <w:rPr>
          <w:rFonts w:cs="Arial"/>
          <w:bCs/>
          <w:szCs w:val="20"/>
        </w:rPr>
        <w:t>miejsce</w:t>
      </w:r>
      <w:r w:rsidR="00E66B89">
        <w:rPr>
          <w:rFonts w:cs="Arial"/>
          <w:bCs/>
          <w:szCs w:val="20"/>
        </w:rPr>
        <w:t xml:space="preserve"> w </w:t>
      </w:r>
      <w:r w:rsidRPr="00032528">
        <w:rPr>
          <w:rFonts w:cs="Arial"/>
          <w:bCs/>
          <w:szCs w:val="20"/>
        </w:rPr>
        <w:t>żłobku, klubie dziecięcym</w:t>
      </w:r>
      <w:r w:rsidR="00E66B89">
        <w:rPr>
          <w:rFonts w:cs="Arial"/>
          <w:bCs/>
          <w:szCs w:val="20"/>
        </w:rPr>
        <w:t xml:space="preserve"> i u </w:t>
      </w:r>
      <w:r w:rsidRPr="00032528">
        <w:rPr>
          <w:rFonts w:cs="Arial"/>
          <w:bCs/>
          <w:szCs w:val="20"/>
        </w:rPr>
        <w:t>dziennego opiekuna</w:t>
      </w:r>
      <w:r w:rsidR="00E66B89">
        <w:rPr>
          <w:rFonts w:cs="Arial"/>
          <w:bCs/>
          <w:szCs w:val="20"/>
        </w:rPr>
        <w:t xml:space="preserve"> w </w:t>
      </w:r>
      <w:r w:rsidRPr="00032528">
        <w:rPr>
          <w:rFonts w:cs="Arial"/>
          <w:bCs/>
          <w:szCs w:val="20"/>
        </w:rPr>
        <w:t xml:space="preserve">województwie zachodniopomorskim jest </w:t>
      </w:r>
      <w:r>
        <w:rPr>
          <w:rFonts w:cs="Arial"/>
          <w:bCs/>
          <w:szCs w:val="20"/>
        </w:rPr>
        <w:t xml:space="preserve">wprawdzie </w:t>
      </w:r>
      <w:r w:rsidRPr="00032528">
        <w:rPr>
          <w:rFonts w:cs="Arial"/>
          <w:bCs/>
          <w:szCs w:val="20"/>
        </w:rPr>
        <w:t>niższy niż średnia</w:t>
      </w:r>
      <w:r w:rsidR="00E66B89">
        <w:rPr>
          <w:rFonts w:cs="Arial"/>
          <w:bCs/>
          <w:szCs w:val="20"/>
        </w:rPr>
        <w:t xml:space="preserve"> w </w:t>
      </w:r>
      <w:r w:rsidRPr="00032528">
        <w:rPr>
          <w:rFonts w:cs="Arial"/>
          <w:bCs/>
          <w:szCs w:val="20"/>
        </w:rPr>
        <w:t>kraju</w:t>
      </w:r>
      <w:r>
        <w:rPr>
          <w:rFonts w:cs="Arial"/>
          <w:bCs/>
          <w:szCs w:val="20"/>
        </w:rPr>
        <w:t>,</w:t>
      </w:r>
      <w:r w:rsidRPr="00032528">
        <w:rPr>
          <w:rFonts w:cs="Arial"/>
          <w:bCs/>
          <w:szCs w:val="20"/>
        </w:rPr>
        <w:t xml:space="preserve"> </w:t>
      </w:r>
      <w:r>
        <w:rPr>
          <w:rFonts w:cs="Arial"/>
          <w:bCs/>
          <w:szCs w:val="20"/>
        </w:rPr>
        <w:t>jednocześnie,</w:t>
      </w:r>
      <w:r w:rsidR="00E66B89">
        <w:rPr>
          <w:rFonts w:cs="Arial"/>
          <w:bCs/>
          <w:szCs w:val="20"/>
        </w:rPr>
        <w:t xml:space="preserve"> w </w:t>
      </w:r>
      <w:r w:rsidRPr="00032528">
        <w:rPr>
          <w:rFonts w:cs="Arial"/>
          <w:bCs/>
          <w:szCs w:val="20"/>
        </w:rPr>
        <w:t>porównaniu</w:t>
      </w:r>
      <w:r w:rsidR="00E66B89">
        <w:rPr>
          <w:rFonts w:cs="Arial"/>
          <w:bCs/>
          <w:szCs w:val="20"/>
        </w:rPr>
        <w:t xml:space="preserve"> z </w:t>
      </w:r>
      <w:r w:rsidRPr="00032528">
        <w:rPr>
          <w:rFonts w:cs="Arial"/>
          <w:bCs/>
          <w:szCs w:val="20"/>
        </w:rPr>
        <w:t>innymi województwami dostępność miejsc</w:t>
      </w:r>
      <w:r w:rsidR="00E66B89">
        <w:rPr>
          <w:rFonts w:cs="Arial"/>
          <w:bCs/>
          <w:szCs w:val="20"/>
        </w:rPr>
        <w:t xml:space="preserve"> w </w:t>
      </w:r>
      <w:r w:rsidRPr="00032528">
        <w:rPr>
          <w:rFonts w:cs="Arial"/>
          <w:bCs/>
          <w:szCs w:val="20"/>
        </w:rPr>
        <w:t>żłobku, klubie dziecięcym</w:t>
      </w:r>
      <w:r w:rsidR="00E66B89">
        <w:rPr>
          <w:rFonts w:cs="Arial"/>
          <w:bCs/>
          <w:szCs w:val="20"/>
        </w:rPr>
        <w:t xml:space="preserve"> i u </w:t>
      </w:r>
      <w:r w:rsidRPr="00032528">
        <w:rPr>
          <w:rFonts w:cs="Arial"/>
          <w:bCs/>
          <w:szCs w:val="20"/>
        </w:rPr>
        <w:t>dziennego opiekuna jest wyższa niż</w:t>
      </w:r>
      <w:r w:rsidR="00E66B89">
        <w:rPr>
          <w:rFonts w:cs="Arial"/>
          <w:bCs/>
          <w:szCs w:val="20"/>
        </w:rPr>
        <w:t xml:space="preserve"> w </w:t>
      </w:r>
      <w:r w:rsidRPr="00032528">
        <w:rPr>
          <w:rFonts w:cs="Arial"/>
          <w:bCs/>
          <w:szCs w:val="20"/>
        </w:rPr>
        <w:t>większości województw.</w:t>
      </w:r>
    </w:p>
    <w:p w14:paraId="09812DA3" w14:textId="77777777" w:rsidR="00881780" w:rsidRPr="00432E11" w:rsidRDefault="00881780" w:rsidP="00754ED4">
      <w:pPr>
        <w:pStyle w:val="Legenda"/>
        <w:spacing w:after="0"/>
      </w:pPr>
      <w:bookmarkStart w:id="205" w:name="_Toc3896852"/>
      <w:bookmarkStart w:id="206" w:name="_Toc8824211"/>
      <w:r w:rsidRPr="00432E11">
        <w:t xml:space="preserve">Tabela </w:t>
      </w:r>
      <w:r>
        <w:fldChar w:fldCharType="begin"/>
      </w:r>
      <w:r>
        <w:instrText xml:space="preserve"> SEQ Tabela \* ARABIC </w:instrText>
      </w:r>
      <w:r>
        <w:fldChar w:fldCharType="separate"/>
      </w:r>
      <w:r w:rsidR="00763345">
        <w:rPr>
          <w:noProof/>
        </w:rPr>
        <w:t>100</w:t>
      </w:r>
      <w:r>
        <w:fldChar w:fldCharType="end"/>
      </w:r>
      <w:r w:rsidRPr="00432E11">
        <w:t xml:space="preserve"> Liczba dzieci do lat 3 na jedno miejsce</w:t>
      </w:r>
      <w:r w:rsidR="00E66B89">
        <w:t xml:space="preserve"> w </w:t>
      </w:r>
      <w:r w:rsidRPr="00432E11">
        <w:t>żłobku, klubie dziecięcym</w:t>
      </w:r>
      <w:r w:rsidR="00E66B89">
        <w:t xml:space="preserve"> i u </w:t>
      </w:r>
      <w:r w:rsidRPr="00432E11">
        <w:t>dziennego opiekuna</w:t>
      </w:r>
      <w:bookmarkEnd w:id="205"/>
      <w:r>
        <w:t xml:space="preserve"> (31.XII)</w:t>
      </w:r>
      <w:bookmarkEnd w:id="206"/>
    </w:p>
    <w:tbl>
      <w:tblPr>
        <w:tblW w:w="5000" w:type="pct"/>
        <w:tblCellMar>
          <w:left w:w="70" w:type="dxa"/>
          <w:right w:w="70" w:type="dxa"/>
        </w:tblCellMar>
        <w:tblLook w:val="04A0" w:firstRow="1" w:lastRow="0" w:firstColumn="1" w:lastColumn="0" w:noHBand="0" w:noVBand="1"/>
      </w:tblPr>
      <w:tblGrid>
        <w:gridCol w:w="5332"/>
        <w:gridCol w:w="932"/>
        <w:gridCol w:w="933"/>
        <w:gridCol w:w="933"/>
        <w:gridCol w:w="932"/>
      </w:tblGrid>
      <w:tr w:rsidR="00881780" w:rsidRPr="00A71C8E" w14:paraId="4025EF3F" w14:textId="77777777" w:rsidTr="00754ED4">
        <w:trPr>
          <w:trHeight w:val="308"/>
          <w:tblHeader/>
        </w:trPr>
        <w:tc>
          <w:tcPr>
            <w:tcW w:w="294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B8315C7" w14:textId="77777777" w:rsidR="00881780" w:rsidRPr="00A71C8E" w:rsidRDefault="00881780" w:rsidP="006F4D8F">
            <w:pPr>
              <w:spacing w:before="0" w:line="240" w:lineRule="auto"/>
              <w:rPr>
                <w:rFonts w:cs="Arial"/>
                <w:b/>
                <w:bCs/>
                <w:color w:val="000000"/>
                <w:sz w:val="18"/>
                <w:szCs w:val="18"/>
              </w:rPr>
            </w:pPr>
            <w:bookmarkStart w:id="207" w:name="RANGE!A1"/>
            <w:r w:rsidRPr="00A71C8E">
              <w:rPr>
                <w:rFonts w:cs="Arial"/>
                <w:b/>
                <w:bCs/>
                <w:color w:val="000000"/>
                <w:sz w:val="18"/>
                <w:szCs w:val="18"/>
              </w:rPr>
              <w:t>Region</w:t>
            </w:r>
            <w:bookmarkEnd w:id="207"/>
          </w:p>
        </w:tc>
        <w:tc>
          <w:tcPr>
            <w:tcW w:w="514"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EE72412"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2014</w:t>
            </w:r>
          </w:p>
        </w:tc>
        <w:tc>
          <w:tcPr>
            <w:tcW w:w="515"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45FA9E5"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2015</w:t>
            </w:r>
          </w:p>
        </w:tc>
        <w:tc>
          <w:tcPr>
            <w:tcW w:w="515"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5058A7D"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2016</w:t>
            </w:r>
          </w:p>
        </w:tc>
        <w:tc>
          <w:tcPr>
            <w:tcW w:w="514"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09E9E26" w14:textId="77777777" w:rsidR="00881780" w:rsidRPr="00A71C8E" w:rsidRDefault="00881780" w:rsidP="00B473DC">
            <w:pPr>
              <w:spacing w:before="0" w:line="240" w:lineRule="auto"/>
              <w:jc w:val="center"/>
              <w:rPr>
                <w:rFonts w:cs="Arial"/>
                <w:b/>
                <w:bCs/>
                <w:color w:val="000000"/>
                <w:sz w:val="18"/>
                <w:szCs w:val="18"/>
              </w:rPr>
            </w:pPr>
            <w:r w:rsidRPr="00A71C8E">
              <w:rPr>
                <w:rFonts w:cs="Arial"/>
                <w:b/>
                <w:bCs/>
                <w:color w:val="000000"/>
                <w:sz w:val="18"/>
                <w:szCs w:val="18"/>
              </w:rPr>
              <w:t>2017</w:t>
            </w:r>
          </w:p>
        </w:tc>
      </w:tr>
      <w:tr w:rsidR="00881780" w:rsidRPr="00A71C8E" w14:paraId="67FEAC90"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81CC1"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Dolnośląskie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7153DBE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928D556"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E8D0D98"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8</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344F79C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7</w:t>
            </w:r>
          </w:p>
        </w:tc>
      </w:tr>
      <w:tr w:rsidR="00881780" w:rsidRPr="00A71C8E" w14:paraId="0CD04C4B"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0D25"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Kujawsko-pomorskie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8180F7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E155B6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461950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17</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EA00AE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14</w:t>
            </w:r>
          </w:p>
        </w:tc>
      </w:tr>
      <w:tr w:rsidR="00881780" w:rsidRPr="00A71C8E" w14:paraId="202B69E4"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B883A"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Lubelskie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0B75EEA4"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650CDB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24EFB70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17</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B4E269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15</w:t>
            </w:r>
          </w:p>
        </w:tc>
      </w:tr>
      <w:tr w:rsidR="00881780" w:rsidRPr="00A71C8E" w14:paraId="1480460E"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A0D0C"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Lubuskie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723483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F9580E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57EF67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52C2C15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9</w:t>
            </w:r>
          </w:p>
        </w:tc>
      </w:tr>
      <w:tr w:rsidR="00881780" w:rsidRPr="00A71C8E" w14:paraId="663702DE"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C4EF2"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lastRenderedPageBreak/>
              <w:t>Łódzkie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2B3D54C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17</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AEB5A32"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1F0179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52C4E2A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r>
      <w:tr w:rsidR="00881780" w:rsidRPr="00A71C8E" w14:paraId="61796075"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EA51"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Małopolskie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31AB264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E9420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895AE4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314C9192"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r>
      <w:tr w:rsidR="00881780" w:rsidRPr="00A71C8E" w14:paraId="7FF3ADED"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6138"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Mazowieckie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407C465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AA406E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1AA5AD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7F6C7C9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9</w:t>
            </w:r>
          </w:p>
        </w:tc>
      </w:tr>
      <w:tr w:rsidR="00881780" w:rsidRPr="00A71C8E" w14:paraId="554467BE"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4E04"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Opolskie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D11BF1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CDD258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8</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5AF4B6A1"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8</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790F267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7</w:t>
            </w:r>
          </w:p>
        </w:tc>
      </w:tr>
      <w:tr w:rsidR="00881780" w:rsidRPr="00A71C8E" w14:paraId="2FF14F6F"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CD83D"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Podkarpackie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B106B6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18</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FF661E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5A16E05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14</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3AAA3CF5"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r>
      <w:tr w:rsidR="00881780" w:rsidRPr="00A71C8E" w14:paraId="428A3DB1"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134A"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Podlaskie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0DCDE00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2E18B786"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14</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5456BFF"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12</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534CC0B8"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12</w:t>
            </w:r>
          </w:p>
        </w:tc>
      </w:tr>
      <w:tr w:rsidR="00881780" w:rsidRPr="00A71C8E" w14:paraId="3DF0F866"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D89E3"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Pomorskie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214FBA75"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15</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AB0F10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1C2B55"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70B72AC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12</w:t>
            </w:r>
          </w:p>
        </w:tc>
      </w:tr>
      <w:tr w:rsidR="00881780" w:rsidRPr="00A71C8E" w14:paraId="279ABEBA"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62E4E"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Śląskie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30DB4A9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17</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7C95E0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15</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329A802"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01F30A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r>
      <w:tr w:rsidR="00881780" w:rsidRPr="00A71C8E" w14:paraId="1314A826"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3BEA8"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Świętokrzyskie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D06321D"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11BD386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2329DEA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18</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84E68B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15</w:t>
            </w:r>
          </w:p>
        </w:tc>
      </w:tr>
      <w:tr w:rsidR="00881780" w:rsidRPr="00A71C8E" w14:paraId="2A6E0B5B"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387F5"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Warmińsko-mazurskie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430386CA"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956C37A"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21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10962632"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17</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B43FDD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r>
      <w:tr w:rsidR="00881780" w:rsidRPr="00A71C8E" w14:paraId="3FBC1185" w14:textId="77777777" w:rsidTr="006F4D8F">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66B69"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Wielkopolskie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234394A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2ABA28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D866A7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8AFEA4A"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r>
      <w:tr w:rsidR="00881780" w:rsidRPr="00A71C8E" w14:paraId="3AD74B9C" w14:textId="77777777" w:rsidTr="00C22C26">
        <w:trPr>
          <w:trHeight w:val="308"/>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8DFBA"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Zachodniopomorskie</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62ABB630"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079448C"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747AB63"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1386F0F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9</w:t>
            </w:r>
          </w:p>
        </w:tc>
      </w:tr>
      <w:tr w:rsidR="00881780" w:rsidRPr="00A71C8E" w14:paraId="1364357E" w14:textId="77777777" w:rsidTr="006F4D8F">
        <w:trPr>
          <w:trHeight w:val="315"/>
        </w:trPr>
        <w:tc>
          <w:tcPr>
            <w:tcW w:w="2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C80A0" w14:textId="77777777" w:rsidR="00881780" w:rsidRPr="00A71C8E" w:rsidRDefault="00881780" w:rsidP="006F4D8F">
            <w:pPr>
              <w:spacing w:before="0" w:line="240" w:lineRule="auto"/>
              <w:rPr>
                <w:rFonts w:cs="Arial"/>
                <w:bCs/>
                <w:color w:val="000000"/>
                <w:sz w:val="18"/>
                <w:szCs w:val="18"/>
              </w:rPr>
            </w:pPr>
            <w:r w:rsidRPr="00A71C8E">
              <w:rPr>
                <w:rFonts w:cs="Arial"/>
                <w:bCs/>
                <w:color w:val="000000"/>
                <w:sz w:val="18"/>
                <w:szCs w:val="18"/>
              </w:rPr>
              <w:t>Polska</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735F7BF9"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16</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123F76B"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BD7965E"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12</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14:paraId="28B06D77" w14:textId="77777777" w:rsidR="00881780" w:rsidRPr="00A71C8E" w:rsidRDefault="00881780" w:rsidP="00B473DC">
            <w:pPr>
              <w:spacing w:before="0" w:line="240" w:lineRule="auto"/>
              <w:jc w:val="center"/>
              <w:rPr>
                <w:rFonts w:cs="Arial"/>
                <w:color w:val="000000"/>
                <w:sz w:val="18"/>
                <w:szCs w:val="18"/>
              </w:rPr>
            </w:pPr>
            <w:r w:rsidRPr="00A71C8E">
              <w:rPr>
                <w:rFonts w:cs="Arial"/>
                <w:color w:val="000000"/>
                <w:sz w:val="18"/>
                <w:szCs w:val="18"/>
              </w:rPr>
              <w:t>10</w:t>
            </w:r>
          </w:p>
        </w:tc>
      </w:tr>
    </w:tbl>
    <w:p w14:paraId="0664CC4A" w14:textId="51C5AF3F" w:rsidR="00881780" w:rsidRPr="00EE66C6" w:rsidRDefault="00881780" w:rsidP="005A06CB">
      <w:pPr>
        <w:spacing w:before="0"/>
        <w:rPr>
          <w:i/>
          <w:sz w:val="18"/>
          <w:szCs w:val="20"/>
        </w:rPr>
      </w:pPr>
      <w:r w:rsidRPr="00EE66C6">
        <w:rPr>
          <w:i/>
          <w:sz w:val="18"/>
          <w:szCs w:val="20"/>
        </w:rPr>
        <w:t>Źródło: opracowanie własne na podstawie danych</w:t>
      </w:r>
      <w:r w:rsidR="00E66B89" w:rsidRPr="00EE66C6">
        <w:rPr>
          <w:i/>
          <w:sz w:val="18"/>
          <w:szCs w:val="20"/>
        </w:rPr>
        <w:t xml:space="preserve"> z </w:t>
      </w:r>
      <w:r w:rsidRPr="00EE66C6">
        <w:rPr>
          <w:i/>
          <w:sz w:val="18"/>
          <w:szCs w:val="20"/>
        </w:rPr>
        <w:t>BDL / GUS</w:t>
      </w:r>
      <w:r w:rsidR="00AA6879">
        <w:rPr>
          <w:i/>
          <w:sz w:val="18"/>
          <w:szCs w:val="20"/>
        </w:rPr>
        <w:t>.</w:t>
      </w:r>
    </w:p>
    <w:p w14:paraId="63FDD81F" w14:textId="77777777" w:rsidR="00881780" w:rsidRDefault="00881780" w:rsidP="00881780">
      <w:pPr>
        <w:autoSpaceDE w:val="0"/>
        <w:autoSpaceDN w:val="0"/>
        <w:adjustRightInd w:val="0"/>
        <w:spacing w:line="276" w:lineRule="auto"/>
        <w:rPr>
          <w:rFonts w:cs="Arial"/>
          <w:bCs/>
          <w:szCs w:val="20"/>
        </w:rPr>
      </w:pPr>
      <w:r w:rsidRPr="00032528">
        <w:rPr>
          <w:rFonts w:cs="Arial"/>
          <w:bCs/>
          <w:szCs w:val="20"/>
        </w:rPr>
        <w:t>Województwo zachodniopomorskie charakteryzuje się stosunkowo wysokim współczynnikiem użłobkowienia (liczba dzieci</w:t>
      </w:r>
      <w:r w:rsidR="00E66B89">
        <w:rPr>
          <w:rFonts w:cs="Arial"/>
          <w:bCs/>
          <w:szCs w:val="20"/>
        </w:rPr>
        <w:t xml:space="preserve"> w </w:t>
      </w:r>
      <w:r w:rsidRPr="00032528">
        <w:rPr>
          <w:rFonts w:cs="Arial"/>
          <w:bCs/>
          <w:szCs w:val="20"/>
        </w:rPr>
        <w:t>placówkach opieki nad dziećmi do lat 3 na 1 tys. dzieci</w:t>
      </w:r>
      <w:r w:rsidR="00E66B89">
        <w:rPr>
          <w:rFonts w:cs="Arial"/>
          <w:bCs/>
          <w:szCs w:val="20"/>
        </w:rPr>
        <w:t xml:space="preserve"> w </w:t>
      </w:r>
      <w:r w:rsidRPr="00032528">
        <w:rPr>
          <w:rFonts w:cs="Arial"/>
          <w:bCs/>
          <w:szCs w:val="20"/>
        </w:rPr>
        <w:t>wieku do lat 3) – wyższym niż średnia</w:t>
      </w:r>
      <w:r w:rsidR="00E66B89">
        <w:rPr>
          <w:rFonts w:cs="Arial"/>
          <w:bCs/>
          <w:szCs w:val="20"/>
        </w:rPr>
        <w:t xml:space="preserve"> w </w:t>
      </w:r>
      <w:r w:rsidRPr="00032528">
        <w:rPr>
          <w:rFonts w:cs="Arial"/>
          <w:bCs/>
          <w:szCs w:val="20"/>
        </w:rPr>
        <w:t>kraju</w:t>
      </w:r>
      <w:r w:rsidR="00E66B89">
        <w:rPr>
          <w:rFonts w:cs="Arial"/>
          <w:bCs/>
          <w:szCs w:val="20"/>
        </w:rPr>
        <w:t xml:space="preserve"> i </w:t>
      </w:r>
      <w:r w:rsidRPr="00032528">
        <w:rPr>
          <w:rFonts w:cs="Arial"/>
          <w:bCs/>
          <w:szCs w:val="20"/>
        </w:rPr>
        <w:t>wyższym aniżeli zanotowana</w:t>
      </w:r>
      <w:r w:rsidR="00E66B89">
        <w:rPr>
          <w:rFonts w:cs="Arial"/>
          <w:bCs/>
          <w:szCs w:val="20"/>
        </w:rPr>
        <w:t xml:space="preserve"> w </w:t>
      </w:r>
      <w:r w:rsidRPr="00032528">
        <w:rPr>
          <w:rFonts w:cs="Arial"/>
          <w:bCs/>
          <w:szCs w:val="20"/>
        </w:rPr>
        <w:t>większości województw.</w:t>
      </w:r>
    </w:p>
    <w:p w14:paraId="1C5901AB" w14:textId="77777777" w:rsidR="00881780" w:rsidRPr="00432E11" w:rsidRDefault="00881780" w:rsidP="00754ED4">
      <w:pPr>
        <w:pStyle w:val="Legenda"/>
        <w:spacing w:after="0"/>
      </w:pPr>
      <w:bookmarkStart w:id="208" w:name="_Toc3896853"/>
      <w:bookmarkStart w:id="209" w:name="_Toc8824212"/>
      <w:r w:rsidRPr="00432E11">
        <w:t xml:space="preserve">Tabela </w:t>
      </w:r>
      <w:r>
        <w:fldChar w:fldCharType="begin"/>
      </w:r>
      <w:r>
        <w:instrText xml:space="preserve"> SEQ Tabela \* ARABIC </w:instrText>
      </w:r>
      <w:r>
        <w:fldChar w:fldCharType="separate"/>
      </w:r>
      <w:r w:rsidR="00763345">
        <w:rPr>
          <w:noProof/>
        </w:rPr>
        <w:t>101</w:t>
      </w:r>
      <w:r>
        <w:fldChar w:fldCharType="end"/>
      </w:r>
      <w:r w:rsidRPr="00432E11">
        <w:t xml:space="preserve"> Dzieci</w:t>
      </w:r>
      <w:r w:rsidR="00E66B89">
        <w:t xml:space="preserve"> w </w:t>
      </w:r>
      <w:r w:rsidRPr="00432E11">
        <w:t>żłobkach</w:t>
      </w:r>
      <w:r w:rsidR="00E66B89">
        <w:t xml:space="preserve"> i </w:t>
      </w:r>
      <w:r w:rsidRPr="00432E11">
        <w:t>klubach dziecięcych na 1000 dzieci</w:t>
      </w:r>
      <w:r w:rsidR="00E66B89">
        <w:t xml:space="preserve"> w </w:t>
      </w:r>
      <w:r w:rsidRPr="00432E11">
        <w:t>wieku do lat 3; Polska</w:t>
      </w:r>
      <w:r w:rsidR="00E66B89">
        <w:t xml:space="preserve"> i </w:t>
      </w:r>
      <w:r w:rsidRPr="00432E11">
        <w:t>województwa</w:t>
      </w:r>
      <w:bookmarkEnd w:id="208"/>
      <w:r w:rsidRPr="00432E11">
        <w:t xml:space="preserve"> </w:t>
      </w:r>
      <w:r>
        <w:t>(31.XII)</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041"/>
        <w:gridCol w:w="1040"/>
        <w:gridCol w:w="1040"/>
        <w:gridCol w:w="1040"/>
        <w:gridCol w:w="1040"/>
        <w:gridCol w:w="1033"/>
      </w:tblGrid>
      <w:tr w:rsidR="00881780" w:rsidRPr="00A71C8E" w14:paraId="186C8BB3" w14:textId="77777777" w:rsidTr="005F04FC">
        <w:trPr>
          <w:trHeight w:val="300"/>
        </w:trPr>
        <w:tc>
          <w:tcPr>
            <w:tcW w:w="1560" w:type="pct"/>
            <w:vMerge w:val="restart"/>
            <w:shd w:val="clear" w:color="auto" w:fill="DBE5F1"/>
            <w:hideMark/>
          </w:tcPr>
          <w:p w14:paraId="1DA1BFE2" w14:textId="77777777" w:rsidR="00881780" w:rsidRPr="00A71C8E" w:rsidRDefault="00881780" w:rsidP="006F4D8F">
            <w:pPr>
              <w:spacing w:before="0" w:line="240" w:lineRule="auto"/>
              <w:rPr>
                <w:b/>
                <w:sz w:val="18"/>
                <w:szCs w:val="18"/>
              </w:rPr>
            </w:pPr>
            <w:r w:rsidRPr="00A71C8E">
              <w:rPr>
                <w:b/>
                <w:sz w:val="18"/>
                <w:szCs w:val="18"/>
              </w:rPr>
              <w:t>Region/rok</w:t>
            </w:r>
          </w:p>
        </w:tc>
        <w:tc>
          <w:tcPr>
            <w:tcW w:w="3440" w:type="pct"/>
            <w:gridSpan w:val="6"/>
            <w:shd w:val="clear" w:color="auto" w:fill="DBE5F1"/>
            <w:hideMark/>
          </w:tcPr>
          <w:p w14:paraId="614B14DF" w14:textId="77777777" w:rsidR="00881780" w:rsidRPr="00A71C8E" w:rsidRDefault="00881780" w:rsidP="006F4D8F">
            <w:pPr>
              <w:spacing w:before="0" w:line="240" w:lineRule="auto"/>
              <w:rPr>
                <w:b/>
                <w:sz w:val="18"/>
                <w:szCs w:val="18"/>
              </w:rPr>
            </w:pPr>
            <w:r w:rsidRPr="00A71C8E">
              <w:rPr>
                <w:b/>
                <w:sz w:val="18"/>
                <w:szCs w:val="18"/>
              </w:rPr>
              <w:t>dzieci</w:t>
            </w:r>
            <w:r w:rsidR="00E66B89" w:rsidRPr="00A71C8E">
              <w:rPr>
                <w:b/>
                <w:sz w:val="18"/>
                <w:szCs w:val="18"/>
              </w:rPr>
              <w:t xml:space="preserve"> w </w:t>
            </w:r>
            <w:r w:rsidRPr="00A71C8E">
              <w:rPr>
                <w:b/>
                <w:sz w:val="18"/>
                <w:szCs w:val="18"/>
              </w:rPr>
              <w:t>żłobkach</w:t>
            </w:r>
            <w:r w:rsidR="00E66B89" w:rsidRPr="00A71C8E">
              <w:rPr>
                <w:b/>
                <w:sz w:val="18"/>
                <w:szCs w:val="18"/>
              </w:rPr>
              <w:t xml:space="preserve"> i </w:t>
            </w:r>
            <w:r w:rsidRPr="00A71C8E">
              <w:rPr>
                <w:b/>
                <w:sz w:val="18"/>
                <w:szCs w:val="18"/>
              </w:rPr>
              <w:t>klubach dziecięcych na 1000 dzieci</w:t>
            </w:r>
            <w:r w:rsidR="00E66B89" w:rsidRPr="00A71C8E">
              <w:rPr>
                <w:b/>
                <w:sz w:val="18"/>
                <w:szCs w:val="18"/>
              </w:rPr>
              <w:t xml:space="preserve"> w </w:t>
            </w:r>
            <w:r w:rsidRPr="00A71C8E">
              <w:rPr>
                <w:b/>
                <w:sz w:val="18"/>
                <w:szCs w:val="18"/>
              </w:rPr>
              <w:t>wieku do lat 3</w:t>
            </w:r>
          </w:p>
        </w:tc>
      </w:tr>
      <w:tr w:rsidR="00881780" w:rsidRPr="00A71C8E" w14:paraId="7558E1D7" w14:textId="77777777" w:rsidTr="006F4D8F">
        <w:trPr>
          <w:trHeight w:val="300"/>
        </w:trPr>
        <w:tc>
          <w:tcPr>
            <w:tcW w:w="1560" w:type="pct"/>
            <w:vMerge/>
            <w:shd w:val="clear" w:color="auto" w:fill="auto"/>
            <w:hideMark/>
          </w:tcPr>
          <w:p w14:paraId="17381FF5" w14:textId="77777777" w:rsidR="00881780" w:rsidRPr="00A71C8E" w:rsidRDefault="00881780" w:rsidP="006F4D8F">
            <w:pPr>
              <w:spacing w:before="0" w:line="240" w:lineRule="auto"/>
              <w:rPr>
                <w:b/>
                <w:sz w:val="18"/>
                <w:szCs w:val="18"/>
              </w:rPr>
            </w:pPr>
          </w:p>
        </w:tc>
        <w:tc>
          <w:tcPr>
            <w:tcW w:w="574" w:type="pct"/>
            <w:shd w:val="clear" w:color="auto" w:fill="auto"/>
            <w:hideMark/>
          </w:tcPr>
          <w:p w14:paraId="5F2EA9E2" w14:textId="77777777" w:rsidR="00881780" w:rsidRPr="00A71C8E" w:rsidRDefault="00881780" w:rsidP="006F4D8F">
            <w:pPr>
              <w:spacing w:before="0" w:line="240" w:lineRule="auto"/>
              <w:rPr>
                <w:b/>
                <w:sz w:val="18"/>
                <w:szCs w:val="18"/>
              </w:rPr>
            </w:pPr>
            <w:r w:rsidRPr="00A71C8E">
              <w:rPr>
                <w:b/>
                <w:sz w:val="18"/>
                <w:szCs w:val="18"/>
              </w:rPr>
              <w:t>2012</w:t>
            </w:r>
          </w:p>
        </w:tc>
        <w:tc>
          <w:tcPr>
            <w:tcW w:w="574" w:type="pct"/>
            <w:shd w:val="clear" w:color="auto" w:fill="auto"/>
            <w:hideMark/>
          </w:tcPr>
          <w:p w14:paraId="1C381F91" w14:textId="77777777" w:rsidR="00881780" w:rsidRPr="00A71C8E" w:rsidRDefault="00881780" w:rsidP="006F4D8F">
            <w:pPr>
              <w:spacing w:before="0" w:line="240" w:lineRule="auto"/>
              <w:rPr>
                <w:b/>
                <w:sz w:val="18"/>
                <w:szCs w:val="18"/>
              </w:rPr>
            </w:pPr>
            <w:r w:rsidRPr="00A71C8E">
              <w:rPr>
                <w:b/>
                <w:sz w:val="18"/>
                <w:szCs w:val="18"/>
              </w:rPr>
              <w:t>2013</w:t>
            </w:r>
          </w:p>
        </w:tc>
        <w:tc>
          <w:tcPr>
            <w:tcW w:w="574" w:type="pct"/>
            <w:shd w:val="clear" w:color="auto" w:fill="auto"/>
            <w:hideMark/>
          </w:tcPr>
          <w:p w14:paraId="301FB6B3" w14:textId="77777777" w:rsidR="00881780" w:rsidRPr="00A71C8E" w:rsidRDefault="00881780" w:rsidP="006F4D8F">
            <w:pPr>
              <w:spacing w:before="0" w:line="240" w:lineRule="auto"/>
              <w:rPr>
                <w:b/>
                <w:sz w:val="18"/>
                <w:szCs w:val="18"/>
              </w:rPr>
            </w:pPr>
            <w:r w:rsidRPr="00A71C8E">
              <w:rPr>
                <w:b/>
                <w:sz w:val="18"/>
                <w:szCs w:val="18"/>
              </w:rPr>
              <w:t>2014</w:t>
            </w:r>
          </w:p>
        </w:tc>
        <w:tc>
          <w:tcPr>
            <w:tcW w:w="574" w:type="pct"/>
            <w:shd w:val="clear" w:color="auto" w:fill="auto"/>
            <w:hideMark/>
          </w:tcPr>
          <w:p w14:paraId="4BB0AD45" w14:textId="77777777" w:rsidR="00881780" w:rsidRPr="00A71C8E" w:rsidRDefault="00881780" w:rsidP="006F4D8F">
            <w:pPr>
              <w:spacing w:before="0" w:line="240" w:lineRule="auto"/>
              <w:rPr>
                <w:b/>
                <w:sz w:val="18"/>
                <w:szCs w:val="18"/>
              </w:rPr>
            </w:pPr>
            <w:r w:rsidRPr="00A71C8E">
              <w:rPr>
                <w:b/>
                <w:sz w:val="18"/>
                <w:szCs w:val="18"/>
              </w:rPr>
              <w:t>2015</w:t>
            </w:r>
          </w:p>
        </w:tc>
        <w:tc>
          <w:tcPr>
            <w:tcW w:w="574" w:type="pct"/>
            <w:shd w:val="clear" w:color="auto" w:fill="auto"/>
            <w:hideMark/>
          </w:tcPr>
          <w:p w14:paraId="53F40B67" w14:textId="77777777" w:rsidR="00881780" w:rsidRPr="00A71C8E" w:rsidRDefault="00881780" w:rsidP="006F4D8F">
            <w:pPr>
              <w:spacing w:before="0" w:line="240" w:lineRule="auto"/>
              <w:rPr>
                <w:b/>
                <w:sz w:val="18"/>
                <w:szCs w:val="18"/>
              </w:rPr>
            </w:pPr>
            <w:r w:rsidRPr="00A71C8E">
              <w:rPr>
                <w:b/>
                <w:sz w:val="18"/>
                <w:szCs w:val="18"/>
              </w:rPr>
              <w:t>2016</w:t>
            </w:r>
          </w:p>
        </w:tc>
        <w:tc>
          <w:tcPr>
            <w:tcW w:w="571" w:type="pct"/>
            <w:shd w:val="clear" w:color="auto" w:fill="auto"/>
            <w:hideMark/>
          </w:tcPr>
          <w:p w14:paraId="5466585E" w14:textId="77777777" w:rsidR="00881780" w:rsidRPr="00A71C8E" w:rsidRDefault="00881780" w:rsidP="006F4D8F">
            <w:pPr>
              <w:spacing w:before="0" w:line="240" w:lineRule="auto"/>
              <w:rPr>
                <w:b/>
                <w:sz w:val="18"/>
                <w:szCs w:val="18"/>
              </w:rPr>
            </w:pPr>
            <w:r w:rsidRPr="00A71C8E">
              <w:rPr>
                <w:b/>
                <w:sz w:val="18"/>
                <w:szCs w:val="18"/>
              </w:rPr>
              <w:t>2017</w:t>
            </w:r>
          </w:p>
        </w:tc>
      </w:tr>
      <w:tr w:rsidR="00881780" w:rsidRPr="00A71C8E" w14:paraId="034BCA07" w14:textId="77777777" w:rsidTr="006F4D8F">
        <w:trPr>
          <w:trHeight w:val="300"/>
        </w:trPr>
        <w:tc>
          <w:tcPr>
            <w:tcW w:w="1560" w:type="pct"/>
            <w:vMerge/>
            <w:shd w:val="clear" w:color="auto" w:fill="auto"/>
            <w:hideMark/>
          </w:tcPr>
          <w:p w14:paraId="6DDCF12F" w14:textId="77777777" w:rsidR="00881780" w:rsidRPr="00A71C8E" w:rsidRDefault="00881780" w:rsidP="006F4D8F">
            <w:pPr>
              <w:spacing w:before="0" w:line="240" w:lineRule="auto"/>
              <w:rPr>
                <w:b/>
                <w:sz w:val="18"/>
                <w:szCs w:val="18"/>
              </w:rPr>
            </w:pPr>
          </w:p>
        </w:tc>
        <w:tc>
          <w:tcPr>
            <w:tcW w:w="574" w:type="pct"/>
            <w:shd w:val="clear" w:color="auto" w:fill="auto"/>
            <w:hideMark/>
          </w:tcPr>
          <w:p w14:paraId="501D907C" w14:textId="77777777" w:rsidR="00881780" w:rsidRPr="00A71C8E" w:rsidRDefault="00881780" w:rsidP="006F4D8F">
            <w:pPr>
              <w:spacing w:before="0" w:line="240" w:lineRule="auto"/>
              <w:rPr>
                <w:b/>
                <w:sz w:val="18"/>
                <w:szCs w:val="18"/>
              </w:rPr>
            </w:pPr>
            <w:r w:rsidRPr="00A71C8E">
              <w:rPr>
                <w:b/>
                <w:sz w:val="18"/>
                <w:szCs w:val="18"/>
              </w:rPr>
              <w:t>[osoba]</w:t>
            </w:r>
          </w:p>
        </w:tc>
        <w:tc>
          <w:tcPr>
            <w:tcW w:w="574" w:type="pct"/>
            <w:shd w:val="clear" w:color="auto" w:fill="auto"/>
            <w:hideMark/>
          </w:tcPr>
          <w:p w14:paraId="193CBAFE" w14:textId="77777777" w:rsidR="00881780" w:rsidRPr="00A71C8E" w:rsidRDefault="00881780" w:rsidP="006F4D8F">
            <w:pPr>
              <w:spacing w:before="0" w:line="240" w:lineRule="auto"/>
              <w:rPr>
                <w:b/>
                <w:sz w:val="18"/>
                <w:szCs w:val="18"/>
              </w:rPr>
            </w:pPr>
            <w:r w:rsidRPr="00A71C8E">
              <w:rPr>
                <w:b/>
                <w:sz w:val="18"/>
                <w:szCs w:val="18"/>
              </w:rPr>
              <w:t>[osoba]</w:t>
            </w:r>
          </w:p>
        </w:tc>
        <w:tc>
          <w:tcPr>
            <w:tcW w:w="574" w:type="pct"/>
            <w:shd w:val="clear" w:color="auto" w:fill="auto"/>
            <w:hideMark/>
          </w:tcPr>
          <w:p w14:paraId="49DE62DD" w14:textId="77777777" w:rsidR="00881780" w:rsidRPr="00A71C8E" w:rsidRDefault="00881780" w:rsidP="006F4D8F">
            <w:pPr>
              <w:spacing w:before="0" w:line="240" w:lineRule="auto"/>
              <w:rPr>
                <w:b/>
                <w:sz w:val="18"/>
                <w:szCs w:val="18"/>
              </w:rPr>
            </w:pPr>
            <w:r w:rsidRPr="00A71C8E">
              <w:rPr>
                <w:b/>
                <w:sz w:val="18"/>
                <w:szCs w:val="18"/>
              </w:rPr>
              <w:t>[osoba]</w:t>
            </w:r>
          </w:p>
        </w:tc>
        <w:tc>
          <w:tcPr>
            <w:tcW w:w="574" w:type="pct"/>
            <w:shd w:val="clear" w:color="auto" w:fill="auto"/>
            <w:hideMark/>
          </w:tcPr>
          <w:p w14:paraId="738381C9" w14:textId="77777777" w:rsidR="00881780" w:rsidRPr="00A71C8E" w:rsidRDefault="00881780" w:rsidP="006F4D8F">
            <w:pPr>
              <w:spacing w:before="0" w:line="240" w:lineRule="auto"/>
              <w:rPr>
                <w:b/>
                <w:sz w:val="18"/>
                <w:szCs w:val="18"/>
              </w:rPr>
            </w:pPr>
            <w:r w:rsidRPr="00A71C8E">
              <w:rPr>
                <w:b/>
                <w:sz w:val="18"/>
                <w:szCs w:val="18"/>
              </w:rPr>
              <w:t>[osoba]</w:t>
            </w:r>
          </w:p>
        </w:tc>
        <w:tc>
          <w:tcPr>
            <w:tcW w:w="574" w:type="pct"/>
            <w:shd w:val="clear" w:color="auto" w:fill="auto"/>
            <w:hideMark/>
          </w:tcPr>
          <w:p w14:paraId="1717037E" w14:textId="77777777" w:rsidR="00881780" w:rsidRPr="00A71C8E" w:rsidRDefault="00881780" w:rsidP="006F4D8F">
            <w:pPr>
              <w:spacing w:before="0" w:line="240" w:lineRule="auto"/>
              <w:rPr>
                <w:b/>
                <w:sz w:val="18"/>
                <w:szCs w:val="18"/>
              </w:rPr>
            </w:pPr>
            <w:r w:rsidRPr="00A71C8E">
              <w:rPr>
                <w:b/>
                <w:sz w:val="18"/>
                <w:szCs w:val="18"/>
              </w:rPr>
              <w:t>[osoba]</w:t>
            </w:r>
          </w:p>
        </w:tc>
        <w:tc>
          <w:tcPr>
            <w:tcW w:w="571" w:type="pct"/>
            <w:shd w:val="clear" w:color="auto" w:fill="auto"/>
            <w:hideMark/>
          </w:tcPr>
          <w:p w14:paraId="68EDBBD5" w14:textId="77777777" w:rsidR="00881780" w:rsidRPr="00A71C8E" w:rsidRDefault="00881780" w:rsidP="006F4D8F">
            <w:pPr>
              <w:spacing w:before="0" w:line="240" w:lineRule="auto"/>
              <w:rPr>
                <w:b/>
                <w:sz w:val="18"/>
                <w:szCs w:val="18"/>
              </w:rPr>
            </w:pPr>
            <w:r w:rsidRPr="00A71C8E">
              <w:rPr>
                <w:b/>
                <w:sz w:val="18"/>
                <w:szCs w:val="18"/>
              </w:rPr>
              <w:t>[osoba]</w:t>
            </w:r>
          </w:p>
        </w:tc>
      </w:tr>
      <w:tr w:rsidR="00881780" w:rsidRPr="00A71C8E" w14:paraId="57B61F4A" w14:textId="77777777" w:rsidTr="006F4D8F">
        <w:trPr>
          <w:trHeight w:val="300"/>
        </w:trPr>
        <w:tc>
          <w:tcPr>
            <w:tcW w:w="1560" w:type="pct"/>
            <w:shd w:val="clear" w:color="auto" w:fill="auto"/>
            <w:noWrap/>
            <w:hideMark/>
          </w:tcPr>
          <w:p w14:paraId="0D921463" w14:textId="77777777" w:rsidR="00881780" w:rsidRPr="00A71C8E" w:rsidRDefault="00881780" w:rsidP="006F4D8F">
            <w:pPr>
              <w:spacing w:before="0" w:line="240" w:lineRule="auto"/>
              <w:rPr>
                <w:sz w:val="18"/>
                <w:szCs w:val="18"/>
              </w:rPr>
            </w:pPr>
            <w:r w:rsidRPr="00A71C8E">
              <w:rPr>
                <w:sz w:val="18"/>
                <w:szCs w:val="18"/>
              </w:rPr>
              <w:t>Polska</w:t>
            </w:r>
          </w:p>
        </w:tc>
        <w:tc>
          <w:tcPr>
            <w:tcW w:w="574" w:type="pct"/>
            <w:shd w:val="clear" w:color="auto" w:fill="auto"/>
            <w:noWrap/>
            <w:hideMark/>
          </w:tcPr>
          <w:p w14:paraId="3824C307" w14:textId="77777777" w:rsidR="00881780" w:rsidRPr="00A71C8E" w:rsidRDefault="00881780" w:rsidP="006F4D8F">
            <w:pPr>
              <w:spacing w:before="0" w:line="240" w:lineRule="auto"/>
              <w:rPr>
                <w:sz w:val="18"/>
                <w:szCs w:val="18"/>
              </w:rPr>
            </w:pPr>
            <w:r w:rsidRPr="00A71C8E">
              <w:rPr>
                <w:sz w:val="18"/>
                <w:szCs w:val="18"/>
              </w:rPr>
              <w:t>38</w:t>
            </w:r>
          </w:p>
        </w:tc>
        <w:tc>
          <w:tcPr>
            <w:tcW w:w="574" w:type="pct"/>
            <w:shd w:val="clear" w:color="auto" w:fill="auto"/>
            <w:noWrap/>
            <w:hideMark/>
          </w:tcPr>
          <w:p w14:paraId="755AC2B3" w14:textId="77777777" w:rsidR="00881780" w:rsidRPr="00A71C8E" w:rsidRDefault="00881780" w:rsidP="006F4D8F">
            <w:pPr>
              <w:spacing w:before="0" w:line="240" w:lineRule="auto"/>
              <w:rPr>
                <w:sz w:val="18"/>
                <w:szCs w:val="18"/>
              </w:rPr>
            </w:pPr>
            <w:r w:rsidRPr="00A71C8E">
              <w:rPr>
                <w:sz w:val="18"/>
                <w:szCs w:val="18"/>
              </w:rPr>
              <w:t>48</w:t>
            </w:r>
          </w:p>
        </w:tc>
        <w:tc>
          <w:tcPr>
            <w:tcW w:w="574" w:type="pct"/>
            <w:shd w:val="clear" w:color="auto" w:fill="auto"/>
            <w:noWrap/>
            <w:hideMark/>
          </w:tcPr>
          <w:p w14:paraId="35EC4118" w14:textId="77777777" w:rsidR="00881780" w:rsidRPr="00A71C8E" w:rsidRDefault="00881780" w:rsidP="006F4D8F">
            <w:pPr>
              <w:spacing w:before="0" w:line="240" w:lineRule="auto"/>
              <w:rPr>
                <w:sz w:val="18"/>
                <w:szCs w:val="18"/>
              </w:rPr>
            </w:pPr>
            <w:r w:rsidRPr="00A71C8E">
              <w:rPr>
                <w:sz w:val="18"/>
                <w:szCs w:val="18"/>
              </w:rPr>
              <w:t>59</w:t>
            </w:r>
          </w:p>
        </w:tc>
        <w:tc>
          <w:tcPr>
            <w:tcW w:w="574" w:type="pct"/>
            <w:shd w:val="clear" w:color="auto" w:fill="auto"/>
            <w:noWrap/>
            <w:hideMark/>
          </w:tcPr>
          <w:p w14:paraId="4389F722" w14:textId="77777777" w:rsidR="00881780" w:rsidRPr="00A71C8E" w:rsidRDefault="00881780" w:rsidP="006F4D8F">
            <w:pPr>
              <w:spacing w:before="0" w:line="240" w:lineRule="auto"/>
              <w:rPr>
                <w:sz w:val="18"/>
                <w:szCs w:val="18"/>
              </w:rPr>
            </w:pPr>
            <w:r w:rsidRPr="00A71C8E">
              <w:rPr>
                <w:sz w:val="18"/>
                <w:szCs w:val="18"/>
              </w:rPr>
              <w:t>68</w:t>
            </w:r>
          </w:p>
        </w:tc>
        <w:tc>
          <w:tcPr>
            <w:tcW w:w="574" w:type="pct"/>
            <w:shd w:val="clear" w:color="auto" w:fill="auto"/>
            <w:noWrap/>
            <w:hideMark/>
          </w:tcPr>
          <w:p w14:paraId="1EDA9CC9" w14:textId="77777777" w:rsidR="00881780" w:rsidRPr="00A71C8E" w:rsidRDefault="00881780" w:rsidP="006F4D8F">
            <w:pPr>
              <w:spacing w:before="0" w:line="240" w:lineRule="auto"/>
              <w:rPr>
                <w:sz w:val="18"/>
                <w:szCs w:val="18"/>
              </w:rPr>
            </w:pPr>
            <w:r w:rsidRPr="00A71C8E">
              <w:rPr>
                <w:sz w:val="18"/>
                <w:szCs w:val="18"/>
              </w:rPr>
              <w:t>78</w:t>
            </w:r>
          </w:p>
        </w:tc>
        <w:tc>
          <w:tcPr>
            <w:tcW w:w="571" w:type="pct"/>
            <w:shd w:val="clear" w:color="auto" w:fill="auto"/>
            <w:noWrap/>
            <w:hideMark/>
          </w:tcPr>
          <w:p w14:paraId="43BD7ECC" w14:textId="77777777" w:rsidR="00881780" w:rsidRPr="00A71C8E" w:rsidRDefault="00881780" w:rsidP="006F4D8F">
            <w:pPr>
              <w:spacing w:before="0" w:line="240" w:lineRule="auto"/>
              <w:rPr>
                <w:sz w:val="18"/>
                <w:szCs w:val="18"/>
              </w:rPr>
            </w:pPr>
            <w:r w:rsidRPr="00A71C8E">
              <w:rPr>
                <w:sz w:val="18"/>
                <w:szCs w:val="18"/>
              </w:rPr>
              <w:t>86</w:t>
            </w:r>
          </w:p>
        </w:tc>
      </w:tr>
      <w:tr w:rsidR="00881780" w:rsidRPr="00A71C8E" w14:paraId="6D4718C8" w14:textId="77777777" w:rsidTr="006F4D8F">
        <w:trPr>
          <w:trHeight w:val="300"/>
        </w:trPr>
        <w:tc>
          <w:tcPr>
            <w:tcW w:w="1560" w:type="pct"/>
            <w:shd w:val="clear" w:color="auto" w:fill="auto"/>
            <w:noWrap/>
            <w:hideMark/>
          </w:tcPr>
          <w:p w14:paraId="00DB4928" w14:textId="77777777" w:rsidR="00881780" w:rsidRPr="00A71C8E" w:rsidRDefault="00881780" w:rsidP="006F4D8F">
            <w:pPr>
              <w:spacing w:before="0" w:line="240" w:lineRule="auto"/>
              <w:rPr>
                <w:sz w:val="18"/>
                <w:szCs w:val="18"/>
              </w:rPr>
            </w:pPr>
            <w:r w:rsidRPr="00A71C8E">
              <w:rPr>
                <w:sz w:val="18"/>
                <w:szCs w:val="18"/>
              </w:rPr>
              <w:t>Dolnośląskie</w:t>
            </w:r>
          </w:p>
        </w:tc>
        <w:tc>
          <w:tcPr>
            <w:tcW w:w="574" w:type="pct"/>
            <w:shd w:val="clear" w:color="auto" w:fill="auto"/>
            <w:noWrap/>
            <w:hideMark/>
          </w:tcPr>
          <w:p w14:paraId="77922CE3" w14:textId="77777777" w:rsidR="00881780" w:rsidRPr="00A71C8E" w:rsidRDefault="00881780" w:rsidP="006F4D8F">
            <w:pPr>
              <w:spacing w:before="0" w:line="240" w:lineRule="auto"/>
              <w:rPr>
                <w:sz w:val="18"/>
                <w:szCs w:val="18"/>
              </w:rPr>
            </w:pPr>
            <w:r w:rsidRPr="00A71C8E">
              <w:rPr>
                <w:sz w:val="18"/>
                <w:szCs w:val="18"/>
              </w:rPr>
              <w:t>66</w:t>
            </w:r>
          </w:p>
        </w:tc>
        <w:tc>
          <w:tcPr>
            <w:tcW w:w="574" w:type="pct"/>
            <w:shd w:val="clear" w:color="auto" w:fill="auto"/>
            <w:noWrap/>
            <w:hideMark/>
          </w:tcPr>
          <w:p w14:paraId="3DD10ADC" w14:textId="77777777" w:rsidR="00881780" w:rsidRPr="00A71C8E" w:rsidRDefault="00881780" w:rsidP="006F4D8F">
            <w:pPr>
              <w:spacing w:before="0" w:line="240" w:lineRule="auto"/>
              <w:rPr>
                <w:sz w:val="18"/>
                <w:szCs w:val="18"/>
              </w:rPr>
            </w:pPr>
            <w:r w:rsidRPr="00A71C8E">
              <w:rPr>
                <w:sz w:val="18"/>
                <w:szCs w:val="18"/>
              </w:rPr>
              <w:t>81</w:t>
            </w:r>
          </w:p>
        </w:tc>
        <w:tc>
          <w:tcPr>
            <w:tcW w:w="574" w:type="pct"/>
            <w:shd w:val="clear" w:color="auto" w:fill="auto"/>
            <w:noWrap/>
            <w:hideMark/>
          </w:tcPr>
          <w:p w14:paraId="179A6BD2" w14:textId="77777777" w:rsidR="00881780" w:rsidRPr="00A71C8E" w:rsidRDefault="00881780" w:rsidP="006F4D8F">
            <w:pPr>
              <w:spacing w:before="0" w:line="240" w:lineRule="auto"/>
              <w:rPr>
                <w:sz w:val="18"/>
                <w:szCs w:val="18"/>
              </w:rPr>
            </w:pPr>
            <w:r w:rsidRPr="00A71C8E">
              <w:rPr>
                <w:sz w:val="18"/>
                <w:szCs w:val="18"/>
              </w:rPr>
              <w:t>100</w:t>
            </w:r>
          </w:p>
        </w:tc>
        <w:tc>
          <w:tcPr>
            <w:tcW w:w="574" w:type="pct"/>
            <w:shd w:val="clear" w:color="auto" w:fill="auto"/>
            <w:noWrap/>
            <w:hideMark/>
          </w:tcPr>
          <w:p w14:paraId="1A271F39" w14:textId="77777777" w:rsidR="00881780" w:rsidRPr="00A71C8E" w:rsidRDefault="00881780" w:rsidP="006F4D8F">
            <w:pPr>
              <w:spacing w:before="0" w:line="240" w:lineRule="auto"/>
              <w:rPr>
                <w:sz w:val="18"/>
                <w:szCs w:val="18"/>
              </w:rPr>
            </w:pPr>
            <w:r w:rsidRPr="00A71C8E">
              <w:rPr>
                <w:sz w:val="18"/>
                <w:szCs w:val="18"/>
              </w:rPr>
              <w:t>113</w:t>
            </w:r>
          </w:p>
        </w:tc>
        <w:tc>
          <w:tcPr>
            <w:tcW w:w="574" w:type="pct"/>
            <w:shd w:val="clear" w:color="auto" w:fill="auto"/>
            <w:noWrap/>
            <w:hideMark/>
          </w:tcPr>
          <w:p w14:paraId="69E58F91" w14:textId="77777777" w:rsidR="00881780" w:rsidRPr="00A71C8E" w:rsidRDefault="00881780" w:rsidP="006F4D8F">
            <w:pPr>
              <w:spacing w:before="0" w:line="240" w:lineRule="auto"/>
              <w:rPr>
                <w:sz w:val="18"/>
                <w:szCs w:val="18"/>
              </w:rPr>
            </w:pPr>
            <w:r w:rsidRPr="00A71C8E">
              <w:rPr>
                <w:sz w:val="18"/>
                <w:szCs w:val="18"/>
              </w:rPr>
              <w:t>125</w:t>
            </w:r>
          </w:p>
        </w:tc>
        <w:tc>
          <w:tcPr>
            <w:tcW w:w="571" w:type="pct"/>
            <w:shd w:val="clear" w:color="auto" w:fill="auto"/>
            <w:noWrap/>
            <w:hideMark/>
          </w:tcPr>
          <w:p w14:paraId="26C1A0EB" w14:textId="77777777" w:rsidR="00881780" w:rsidRPr="00A71C8E" w:rsidRDefault="00881780" w:rsidP="006F4D8F">
            <w:pPr>
              <w:spacing w:before="0" w:line="240" w:lineRule="auto"/>
              <w:rPr>
                <w:sz w:val="18"/>
                <w:szCs w:val="18"/>
              </w:rPr>
            </w:pPr>
            <w:r w:rsidRPr="00A71C8E">
              <w:rPr>
                <w:sz w:val="18"/>
                <w:szCs w:val="18"/>
              </w:rPr>
              <w:t>139</w:t>
            </w:r>
          </w:p>
        </w:tc>
      </w:tr>
      <w:tr w:rsidR="00881780" w:rsidRPr="00A71C8E" w14:paraId="5C1BF57F" w14:textId="77777777" w:rsidTr="006F4D8F">
        <w:trPr>
          <w:trHeight w:val="300"/>
        </w:trPr>
        <w:tc>
          <w:tcPr>
            <w:tcW w:w="1560" w:type="pct"/>
            <w:shd w:val="clear" w:color="auto" w:fill="auto"/>
            <w:noWrap/>
            <w:hideMark/>
          </w:tcPr>
          <w:p w14:paraId="5B8EA073" w14:textId="77777777" w:rsidR="00881780" w:rsidRPr="00A71C8E" w:rsidRDefault="00881780" w:rsidP="006F4D8F">
            <w:pPr>
              <w:spacing w:before="0" w:line="240" w:lineRule="auto"/>
              <w:rPr>
                <w:sz w:val="18"/>
                <w:szCs w:val="18"/>
              </w:rPr>
            </w:pPr>
            <w:r w:rsidRPr="00A71C8E">
              <w:rPr>
                <w:sz w:val="18"/>
                <w:szCs w:val="18"/>
              </w:rPr>
              <w:t>Kujawsko-pomorskie</w:t>
            </w:r>
          </w:p>
        </w:tc>
        <w:tc>
          <w:tcPr>
            <w:tcW w:w="574" w:type="pct"/>
            <w:shd w:val="clear" w:color="auto" w:fill="auto"/>
            <w:noWrap/>
            <w:hideMark/>
          </w:tcPr>
          <w:p w14:paraId="09AE35EB" w14:textId="77777777" w:rsidR="00881780" w:rsidRPr="00A71C8E" w:rsidRDefault="00881780" w:rsidP="006F4D8F">
            <w:pPr>
              <w:spacing w:before="0" w:line="240" w:lineRule="auto"/>
              <w:rPr>
                <w:sz w:val="18"/>
                <w:szCs w:val="18"/>
              </w:rPr>
            </w:pPr>
            <w:r w:rsidRPr="00A71C8E">
              <w:rPr>
                <w:sz w:val="18"/>
                <w:szCs w:val="18"/>
              </w:rPr>
              <w:t>30</w:t>
            </w:r>
          </w:p>
        </w:tc>
        <w:tc>
          <w:tcPr>
            <w:tcW w:w="574" w:type="pct"/>
            <w:shd w:val="clear" w:color="auto" w:fill="auto"/>
            <w:noWrap/>
            <w:hideMark/>
          </w:tcPr>
          <w:p w14:paraId="7B573F8D" w14:textId="77777777" w:rsidR="00881780" w:rsidRPr="00A71C8E" w:rsidRDefault="00881780" w:rsidP="006F4D8F">
            <w:pPr>
              <w:spacing w:before="0" w:line="240" w:lineRule="auto"/>
              <w:rPr>
                <w:sz w:val="18"/>
                <w:szCs w:val="18"/>
              </w:rPr>
            </w:pPr>
            <w:r w:rsidRPr="00A71C8E">
              <w:rPr>
                <w:sz w:val="18"/>
                <w:szCs w:val="18"/>
              </w:rPr>
              <w:t>35</w:t>
            </w:r>
          </w:p>
        </w:tc>
        <w:tc>
          <w:tcPr>
            <w:tcW w:w="574" w:type="pct"/>
            <w:shd w:val="clear" w:color="auto" w:fill="auto"/>
            <w:noWrap/>
            <w:hideMark/>
          </w:tcPr>
          <w:p w14:paraId="5D2DF37D" w14:textId="77777777" w:rsidR="00881780" w:rsidRPr="00A71C8E" w:rsidRDefault="00881780" w:rsidP="006F4D8F">
            <w:pPr>
              <w:spacing w:before="0" w:line="240" w:lineRule="auto"/>
              <w:rPr>
                <w:sz w:val="18"/>
                <w:szCs w:val="18"/>
              </w:rPr>
            </w:pPr>
            <w:r w:rsidRPr="00A71C8E">
              <w:rPr>
                <w:sz w:val="18"/>
                <w:szCs w:val="18"/>
              </w:rPr>
              <w:t>43</w:t>
            </w:r>
          </w:p>
        </w:tc>
        <w:tc>
          <w:tcPr>
            <w:tcW w:w="574" w:type="pct"/>
            <w:shd w:val="clear" w:color="auto" w:fill="auto"/>
            <w:noWrap/>
            <w:hideMark/>
          </w:tcPr>
          <w:p w14:paraId="46E2F892" w14:textId="77777777" w:rsidR="00881780" w:rsidRPr="00A71C8E" w:rsidRDefault="00881780" w:rsidP="006F4D8F">
            <w:pPr>
              <w:spacing w:before="0" w:line="240" w:lineRule="auto"/>
              <w:rPr>
                <w:sz w:val="18"/>
                <w:szCs w:val="18"/>
              </w:rPr>
            </w:pPr>
            <w:r w:rsidRPr="00A71C8E">
              <w:rPr>
                <w:sz w:val="18"/>
                <w:szCs w:val="18"/>
              </w:rPr>
              <w:t>49</w:t>
            </w:r>
          </w:p>
        </w:tc>
        <w:tc>
          <w:tcPr>
            <w:tcW w:w="574" w:type="pct"/>
            <w:shd w:val="clear" w:color="auto" w:fill="auto"/>
            <w:noWrap/>
            <w:hideMark/>
          </w:tcPr>
          <w:p w14:paraId="0C66E40A" w14:textId="77777777" w:rsidR="00881780" w:rsidRPr="00A71C8E" w:rsidRDefault="00881780" w:rsidP="006F4D8F">
            <w:pPr>
              <w:spacing w:before="0" w:line="240" w:lineRule="auto"/>
              <w:rPr>
                <w:sz w:val="18"/>
                <w:szCs w:val="18"/>
              </w:rPr>
            </w:pPr>
            <w:r w:rsidRPr="00A71C8E">
              <w:rPr>
                <w:sz w:val="18"/>
                <w:szCs w:val="18"/>
              </w:rPr>
              <w:t>56</w:t>
            </w:r>
          </w:p>
        </w:tc>
        <w:tc>
          <w:tcPr>
            <w:tcW w:w="571" w:type="pct"/>
            <w:shd w:val="clear" w:color="auto" w:fill="auto"/>
            <w:noWrap/>
            <w:hideMark/>
          </w:tcPr>
          <w:p w14:paraId="624715CB" w14:textId="77777777" w:rsidR="00881780" w:rsidRPr="00A71C8E" w:rsidRDefault="00881780" w:rsidP="006F4D8F">
            <w:pPr>
              <w:spacing w:before="0" w:line="240" w:lineRule="auto"/>
              <w:rPr>
                <w:sz w:val="18"/>
                <w:szCs w:val="18"/>
              </w:rPr>
            </w:pPr>
            <w:r w:rsidRPr="00A71C8E">
              <w:rPr>
                <w:sz w:val="18"/>
                <w:szCs w:val="18"/>
              </w:rPr>
              <w:t>65</w:t>
            </w:r>
          </w:p>
        </w:tc>
      </w:tr>
      <w:tr w:rsidR="00881780" w:rsidRPr="00A71C8E" w14:paraId="3122D1E6" w14:textId="77777777" w:rsidTr="006F4D8F">
        <w:trPr>
          <w:trHeight w:val="300"/>
        </w:trPr>
        <w:tc>
          <w:tcPr>
            <w:tcW w:w="1560" w:type="pct"/>
            <w:shd w:val="clear" w:color="auto" w:fill="auto"/>
            <w:noWrap/>
            <w:hideMark/>
          </w:tcPr>
          <w:p w14:paraId="37A5E06E" w14:textId="77777777" w:rsidR="00881780" w:rsidRPr="00A71C8E" w:rsidRDefault="00881780" w:rsidP="006F4D8F">
            <w:pPr>
              <w:spacing w:before="0" w:line="240" w:lineRule="auto"/>
              <w:rPr>
                <w:sz w:val="18"/>
                <w:szCs w:val="18"/>
              </w:rPr>
            </w:pPr>
            <w:r w:rsidRPr="00A71C8E">
              <w:rPr>
                <w:sz w:val="18"/>
                <w:szCs w:val="18"/>
              </w:rPr>
              <w:t>Lubelskie</w:t>
            </w:r>
          </w:p>
        </w:tc>
        <w:tc>
          <w:tcPr>
            <w:tcW w:w="574" w:type="pct"/>
            <w:shd w:val="clear" w:color="auto" w:fill="auto"/>
            <w:noWrap/>
            <w:hideMark/>
          </w:tcPr>
          <w:p w14:paraId="719FA6E3" w14:textId="77777777" w:rsidR="00881780" w:rsidRPr="00A71C8E" w:rsidRDefault="00881780" w:rsidP="006F4D8F">
            <w:pPr>
              <w:spacing w:before="0" w:line="240" w:lineRule="auto"/>
              <w:rPr>
                <w:sz w:val="18"/>
                <w:szCs w:val="18"/>
              </w:rPr>
            </w:pPr>
            <w:r w:rsidRPr="00A71C8E">
              <w:rPr>
                <w:sz w:val="18"/>
                <w:szCs w:val="18"/>
              </w:rPr>
              <w:t>26</w:t>
            </w:r>
          </w:p>
        </w:tc>
        <w:tc>
          <w:tcPr>
            <w:tcW w:w="574" w:type="pct"/>
            <w:shd w:val="clear" w:color="auto" w:fill="auto"/>
            <w:noWrap/>
            <w:hideMark/>
          </w:tcPr>
          <w:p w14:paraId="14D244E2" w14:textId="77777777" w:rsidR="00881780" w:rsidRPr="00A71C8E" w:rsidRDefault="00881780" w:rsidP="006F4D8F">
            <w:pPr>
              <w:spacing w:before="0" w:line="240" w:lineRule="auto"/>
              <w:rPr>
                <w:sz w:val="18"/>
                <w:szCs w:val="18"/>
              </w:rPr>
            </w:pPr>
            <w:r w:rsidRPr="00A71C8E">
              <w:rPr>
                <w:sz w:val="18"/>
                <w:szCs w:val="18"/>
              </w:rPr>
              <w:t>33</w:t>
            </w:r>
          </w:p>
        </w:tc>
        <w:tc>
          <w:tcPr>
            <w:tcW w:w="574" w:type="pct"/>
            <w:shd w:val="clear" w:color="auto" w:fill="auto"/>
            <w:noWrap/>
            <w:hideMark/>
          </w:tcPr>
          <w:p w14:paraId="61A953A9" w14:textId="77777777" w:rsidR="00881780" w:rsidRPr="00A71C8E" w:rsidRDefault="00881780" w:rsidP="006F4D8F">
            <w:pPr>
              <w:spacing w:before="0" w:line="240" w:lineRule="auto"/>
              <w:rPr>
                <w:sz w:val="18"/>
                <w:szCs w:val="18"/>
              </w:rPr>
            </w:pPr>
            <w:r w:rsidRPr="00A71C8E">
              <w:rPr>
                <w:sz w:val="18"/>
                <w:szCs w:val="18"/>
              </w:rPr>
              <w:t>38</w:t>
            </w:r>
          </w:p>
        </w:tc>
        <w:tc>
          <w:tcPr>
            <w:tcW w:w="574" w:type="pct"/>
            <w:shd w:val="clear" w:color="auto" w:fill="auto"/>
            <w:noWrap/>
            <w:hideMark/>
          </w:tcPr>
          <w:p w14:paraId="37FB7820" w14:textId="77777777" w:rsidR="00881780" w:rsidRPr="00A71C8E" w:rsidRDefault="00881780" w:rsidP="006F4D8F">
            <w:pPr>
              <w:spacing w:before="0" w:line="240" w:lineRule="auto"/>
              <w:rPr>
                <w:sz w:val="18"/>
                <w:szCs w:val="18"/>
              </w:rPr>
            </w:pPr>
            <w:r w:rsidRPr="00A71C8E">
              <w:rPr>
                <w:sz w:val="18"/>
                <w:szCs w:val="18"/>
              </w:rPr>
              <w:t>45</w:t>
            </w:r>
          </w:p>
        </w:tc>
        <w:tc>
          <w:tcPr>
            <w:tcW w:w="574" w:type="pct"/>
            <w:shd w:val="clear" w:color="auto" w:fill="auto"/>
            <w:noWrap/>
            <w:hideMark/>
          </w:tcPr>
          <w:p w14:paraId="453C3586" w14:textId="77777777" w:rsidR="00881780" w:rsidRPr="00A71C8E" w:rsidRDefault="00881780" w:rsidP="006F4D8F">
            <w:pPr>
              <w:spacing w:before="0" w:line="240" w:lineRule="auto"/>
              <w:rPr>
                <w:sz w:val="18"/>
                <w:szCs w:val="18"/>
              </w:rPr>
            </w:pPr>
            <w:r w:rsidRPr="00A71C8E">
              <w:rPr>
                <w:sz w:val="18"/>
                <w:szCs w:val="18"/>
              </w:rPr>
              <w:t>53</w:t>
            </w:r>
          </w:p>
        </w:tc>
        <w:tc>
          <w:tcPr>
            <w:tcW w:w="571" w:type="pct"/>
            <w:shd w:val="clear" w:color="auto" w:fill="auto"/>
            <w:noWrap/>
            <w:hideMark/>
          </w:tcPr>
          <w:p w14:paraId="31DE1D9D" w14:textId="77777777" w:rsidR="00881780" w:rsidRPr="00A71C8E" w:rsidRDefault="00881780" w:rsidP="006F4D8F">
            <w:pPr>
              <w:spacing w:before="0" w:line="240" w:lineRule="auto"/>
              <w:rPr>
                <w:sz w:val="18"/>
                <w:szCs w:val="18"/>
              </w:rPr>
            </w:pPr>
            <w:r w:rsidRPr="00A71C8E">
              <w:rPr>
                <w:sz w:val="18"/>
                <w:szCs w:val="18"/>
              </w:rPr>
              <w:t>61</w:t>
            </w:r>
          </w:p>
        </w:tc>
      </w:tr>
      <w:tr w:rsidR="00881780" w:rsidRPr="00A71C8E" w14:paraId="45159AFE" w14:textId="77777777" w:rsidTr="006F4D8F">
        <w:trPr>
          <w:trHeight w:val="300"/>
        </w:trPr>
        <w:tc>
          <w:tcPr>
            <w:tcW w:w="1560" w:type="pct"/>
            <w:shd w:val="clear" w:color="auto" w:fill="auto"/>
            <w:noWrap/>
            <w:hideMark/>
          </w:tcPr>
          <w:p w14:paraId="1FDB316F" w14:textId="77777777" w:rsidR="00881780" w:rsidRPr="00A71C8E" w:rsidRDefault="00881780" w:rsidP="006F4D8F">
            <w:pPr>
              <w:spacing w:before="0" w:line="240" w:lineRule="auto"/>
              <w:rPr>
                <w:sz w:val="18"/>
                <w:szCs w:val="18"/>
              </w:rPr>
            </w:pPr>
            <w:r w:rsidRPr="00A71C8E">
              <w:rPr>
                <w:sz w:val="18"/>
                <w:szCs w:val="18"/>
              </w:rPr>
              <w:t>Lubuskie</w:t>
            </w:r>
          </w:p>
        </w:tc>
        <w:tc>
          <w:tcPr>
            <w:tcW w:w="574" w:type="pct"/>
            <w:shd w:val="clear" w:color="auto" w:fill="auto"/>
            <w:noWrap/>
            <w:hideMark/>
          </w:tcPr>
          <w:p w14:paraId="370430BD" w14:textId="77777777" w:rsidR="00881780" w:rsidRPr="00A71C8E" w:rsidRDefault="00881780" w:rsidP="006F4D8F">
            <w:pPr>
              <w:spacing w:before="0" w:line="240" w:lineRule="auto"/>
              <w:rPr>
                <w:sz w:val="18"/>
                <w:szCs w:val="18"/>
              </w:rPr>
            </w:pPr>
            <w:r w:rsidRPr="00A71C8E">
              <w:rPr>
                <w:sz w:val="18"/>
                <w:szCs w:val="18"/>
              </w:rPr>
              <w:t>51</w:t>
            </w:r>
          </w:p>
        </w:tc>
        <w:tc>
          <w:tcPr>
            <w:tcW w:w="574" w:type="pct"/>
            <w:shd w:val="clear" w:color="auto" w:fill="auto"/>
            <w:noWrap/>
            <w:hideMark/>
          </w:tcPr>
          <w:p w14:paraId="36CE8C17" w14:textId="77777777" w:rsidR="00881780" w:rsidRPr="00A71C8E" w:rsidRDefault="00881780" w:rsidP="006F4D8F">
            <w:pPr>
              <w:spacing w:before="0" w:line="240" w:lineRule="auto"/>
              <w:rPr>
                <w:sz w:val="18"/>
                <w:szCs w:val="18"/>
              </w:rPr>
            </w:pPr>
            <w:r w:rsidRPr="00A71C8E">
              <w:rPr>
                <w:sz w:val="18"/>
                <w:szCs w:val="18"/>
              </w:rPr>
              <w:t>63</w:t>
            </w:r>
          </w:p>
        </w:tc>
        <w:tc>
          <w:tcPr>
            <w:tcW w:w="574" w:type="pct"/>
            <w:shd w:val="clear" w:color="auto" w:fill="auto"/>
            <w:noWrap/>
            <w:hideMark/>
          </w:tcPr>
          <w:p w14:paraId="2CE1287F" w14:textId="77777777" w:rsidR="00881780" w:rsidRPr="00A71C8E" w:rsidRDefault="00881780" w:rsidP="006F4D8F">
            <w:pPr>
              <w:spacing w:before="0" w:line="240" w:lineRule="auto"/>
              <w:rPr>
                <w:sz w:val="18"/>
                <w:szCs w:val="18"/>
              </w:rPr>
            </w:pPr>
            <w:r w:rsidRPr="00A71C8E">
              <w:rPr>
                <w:sz w:val="18"/>
                <w:szCs w:val="18"/>
              </w:rPr>
              <w:t>77</w:t>
            </w:r>
          </w:p>
        </w:tc>
        <w:tc>
          <w:tcPr>
            <w:tcW w:w="574" w:type="pct"/>
            <w:shd w:val="clear" w:color="auto" w:fill="auto"/>
            <w:noWrap/>
            <w:hideMark/>
          </w:tcPr>
          <w:p w14:paraId="54DB5751" w14:textId="77777777" w:rsidR="00881780" w:rsidRPr="00A71C8E" w:rsidRDefault="00881780" w:rsidP="006F4D8F">
            <w:pPr>
              <w:spacing w:before="0" w:line="240" w:lineRule="auto"/>
              <w:rPr>
                <w:sz w:val="18"/>
                <w:szCs w:val="18"/>
              </w:rPr>
            </w:pPr>
            <w:r w:rsidRPr="00A71C8E">
              <w:rPr>
                <w:sz w:val="18"/>
                <w:szCs w:val="18"/>
              </w:rPr>
              <w:t>79</w:t>
            </w:r>
          </w:p>
        </w:tc>
        <w:tc>
          <w:tcPr>
            <w:tcW w:w="574" w:type="pct"/>
            <w:shd w:val="clear" w:color="auto" w:fill="auto"/>
            <w:noWrap/>
            <w:hideMark/>
          </w:tcPr>
          <w:p w14:paraId="7DB1ADB1" w14:textId="77777777" w:rsidR="00881780" w:rsidRPr="00A71C8E" w:rsidRDefault="00881780" w:rsidP="006F4D8F">
            <w:pPr>
              <w:spacing w:before="0" w:line="240" w:lineRule="auto"/>
              <w:rPr>
                <w:sz w:val="18"/>
                <w:szCs w:val="18"/>
              </w:rPr>
            </w:pPr>
            <w:r w:rsidRPr="00A71C8E">
              <w:rPr>
                <w:sz w:val="18"/>
                <w:szCs w:val="18"/>
              </w:rPr>
              <w:t>93</w:t>
            </w:r>
          </w:p>
        </w:tc>
        <w:tc>
          <w:tcPr>
            <w:tcW w:w="571" w:type="pct"/>
            <w:shd w:val="clear" w:color="auto" w:fill="auto"/>
            <w:noWrap/>
            <w:hideMark/>
          </w:tcPr>
          <w:p w14:paraId="24615564" w14:textId="77777777" w:rsidR="00881780" w:rsidRPr="00A71C8E" w:rsidRDefault="00881780" w:rsidP="006F4D8F">
            <w:pPr>
              <w:spacing w:before="0" w:line="240" w:lineRule="auto"/>
              <w:rPr>
                <w:sz w:val="18"/>
                <w:szCs w:val="18"/>
              </w:rPr>
            </w:pPr>
            <w:r w:rsidRPr="00A71C8E">
              <w:rPr>
                <w:sz w:val="18"/>
                <w:szCs w:val="18"/>
              </w:rPr>
              <w:t>101</w:t>
            </w:r>
          </w:p>
        </w:tc>
      </w:tr>
      <w:tr w:rsidR="00881780" w:rsidRPr="00A71C8E" w14:paraId="4DC0BA7C" w14:textId="77777777" w:rsidTr="006F4D8F">
        <w:trPr>
          <w:trHeight w:val="300"/>
        </w:trPr>
        <w:tc>
          <w:tcPr>
            <w:tcW w:w="1560" w:type="pct"/>
            <w:shd w:val="clear" w:color="auto" w:fill="auto"/>
            <w:noWrap/>
            <w:hideMark/>
          </w:tcPr>
          <w:p w14:paraId="68E7EEEB" w14:textId="77777777" w:rsidR="00881780" w:rsidRPr="00A71C8E" w:rsidRDefault="00881780" w:rsidP="006F4D8F">
            <w:pPr>
              <w:spacing w:before="0" w:line="240" w:lineRule="auto"/>
              <w:rPr>
                <w:sz w:val="18"/>
                <w:szCs w:val="18"/>
              </w:rPr>
            </w:pPr>
            <w:r w:rsidRPr="00A71C8E">
              <w:rPr>
                <w:sz w:val="18"/>
                <w:szCs w:val="18"/>
              </w:rPr>
              <w:t>Łódzkie</w:t>
            </w:r>
          </w:p>
        </w:tc>
        <w:tc>
          <w:tcPr>
            <w:tcW w:w="574" w:type="pct"/>
            <w:shd w:val="clear" w:color="auto" w:fill="auto"/>
            <w:noWrap/>
            <w:hideMark/>
          </w:tcPr>
          <w:p w14:paraId="24C595C0" w14:textId="77777777" w:rsidR="00881780" w:rsidRPr="00A71C8E" w:rsidRDefault="00881780" w:rsidP="006F4D8F">
            <w:pPr>
              <w:spacing w:before="0" w:line="240" w:lineRule="auto"/>
              <w:rPr>
                <w:sz w:val="18"/>
                <w:szCs w:val="18"/>
              </w:rPr>
            </w:pPr>
            <w:r w:rsidRPr="00A71C8E">
              <w:rPr>
                <w:sz w:val="18"/>
                <w:szCs w:val="18"/>
              </w:rPr>
              <w:t>48</w:t>
            </w:r>
          </w:p>
        </w:tc>
        <w:tc>
          <w:tcPr>
            <w:tcW w:w="574" w:type="pct"/>
            <w:shd w:val="clear" w:color="auto" w:fill="auto"/>
            <w:noWrap/>
            <w:hideMark/>
          </w:tcPr>
          <w:p w14:paraId="4B0E9B33" w14:textId="77777777" w:rsidR="00881780" w:rsidRPr="00A71C8E" w:rsidRDefault="00881780" w:rsidP="006F4D8F">
            <w:pPr>
              <w:spacing w:before="0" w:line="240" w:lineRule="auto"/>
              <w:rPr>
                <w:sz w:val="18"/>
                <w:szCs w:val="18"/>
              </w:rPr>
            </w:pPr>
            <w:r w:rsidRPr="00A71C8E">
              <w:rPr>
                <w:sz w:val="18"/>
                <w:szCs w:val="18"/>
              </w:rPr>
              <w:t>52</w:t>
            </w:r>
          </w:p>
        </w:tc>
        <w:tc>
          <w:tcPr>
            <w:tcW w:w="574" w:type="pct"/>
            <w:shd w:val="clear" w:color="auto" w:fill="auto"/>
            <w:noWrap/>
            <w:hideMark/>
          </w:tcPr>
          <w:p w14:paraId="0A64D311" w14:textId="77777777" w:rsidR="00881780" w:rsidRPr="00A71C8E" w:rsidRDefault="00881780" w:rsidP="006F4D8F">
            <w:pPr>
              <w:spacing w:before="0" w:line="240" w:lineRule="auto"/>
              <w:rPr>
                <w:sz w:val="18"/>
                <w:szCs w:val="18"/>
              </w:rPr>
            </w:pPr>
            <w:r w:rsidRPr="00A71C8E">
              <w:rPr>
                <w:sz w:val="18"/>
                <w:szCs w:val="18"/>
              </w:rPr>
              <w:t>58</w:t>
            </w:r>
          </w:p>
        </w:tc>
        <w:tc>
          <w:tcPr>
            <w:tcW w:w="574" w:type="pct"/>
            <w:shd w:val="clear" w:color="auto" w:fill="auto"/>
            <w:noWrap/>
            <w:hideMark/>
          </w:tcPr>
          <w:p w14:paraId="5901D6FE" w14:textId="77777777" w:rsidR="00881780" w:rsidRPr="00A71C8E" w:rsidRDefault="00881780" w:rsidP="006F4D8F">
            <w:pPr>
              <w:spacing w:before="0" w:line="240" w:lineRule="auto"/>
              <w:rPr>
                <w:sz w:val="18"/>
                <w:szCs w:val="18"/>
              </w:rPr>
            </w:pPr>
            <w:r w:rsidRPr="00A71C8E">
              <w:rPr>
                <w:sz w:val="18"/>
                <w:szCs w:val="18"/>
              </w:rPr>
              <w:t>64</w:t>
            </w:r>
          </w:p>
        </w:tc>
        <w:tc>
          <w:tcPr>
            <w:tcW w:w="574" w:type="pct"/>
            <w:shd w:val="clear" w:color="auto" w:fill="auto"/>
            <w:noWrap/>
            <w:hideMark/>
          </w:tcPr>
          <w:p w14:paraId="36A1A15F" w14:textId="77777777" w:rsidR="00881780" w:rsidRPr="00A71C8E" w:rsidRDefault="00881780" w:rsidP="006F4D8F">
            <w:pPr>
              <w:spacing w:before="0" w:line="240" w:lineRule="auto"/>
              <w:rPr>
                <w:sz w:val="18"/>
                <w:szCs w:val="18"/>
              </w:rPr>
            </w:pPr>
            <w:r w:rsidRPr="00A71C8E">
              <w:rPr>
                <w:sz w:val="18"/>
                <w:szCs w:val="18"/>
              </w:rPr>
              <w:t>77</w:t>
            </w:r>
          </w:p>
        </w:tc>
        <w:tc>
          <w:tcPr>
            <w:tcW w:w="571" w:type="pct"/>
            <w:shd w:val="clear" w:color="auto" w:fill="auto"/>
            <w:noWrap/>
            <w:hideMark/>
          </w:tcPr>
          <w:p w14:paraId="71B87DD8" w14:textId="77777777" w:rsidR="00881780" w:rsidRPr="00A71C8E" w:rsidRDefault="00881780" w:rsidP="006F4D8F">
            <w:pPr>
              <w:spacing w:before="0" w:line="240" w:lineRule="auto"/>
              <w:rPr>
                <w:sz w:val="18"/>
                <w:szCs w:val="18"/>
              </w:rPr>
            </w:pPr>
            <w:r w:rsidRPr="00A71C8E">
              <w:rPr>
                <w:sz w:val="18"/>
                <w:szCs w:val="18"/>
              </w:rPr>
              <w:t>83</w:t>
            </w:r>
          </w:p>
        </w:tc>
      </w:tr>
      <w:tr w:rsidR="00881780" w:rsidRPr="00A71C8E" w14:paraId="578BADEA" w14:textId="77777777" w:rsidTr="006F4D8F">
        <w:trPr>
          <w:trHeight w:val="300"/>
        </w:trPr>
        <w:tc>
          <w:tcPr>
            <w:tcW w:w="1560" w:type="pct"/>
            <w:shd w:val="clear" w:color="auto" w:fill="auto"/>
            <w:noWrap/>
            <w:hideMark/>
          </w:tcPr>
          <w:p w14:paraId="75BEF9FD" w14:textId="77777777" w:rsidR="00881780" w:rsidRPr="00A71C8E" w:rsidRDefault="00881780" w:rsidP="006F4D8F">
            <w:pPr>
              <w:spacing w:before="0" w:line="240" w:lineRule="auto"/>
              <w:rPr>
                <w:sz w:val="18"/>
                <w:szCs w:val="18"/>
              </w:rPr>
            </w:pPr>
            <w:r w:rsidRPr="00A71C8E">
              <w:rPr>
                <w:sz w:val="18"/>
                <w:szCs w:val="18"/>
              </w:rPr>
              <w:t>Małopolskie</w:t>
            </w:r>
          </w:p>
        </w:tc>
        <w:tc>
          <w:tcPr>
            <w:tcW w:w="574" w:type="pct"/>
            <w:shd w:val="clear" w:color="auto" w:fill="auto"/>
            <w:noWrap/>
            <w:hideMark/>
          </w:tcPr>
          <w:p w14:paraId="3A896209" w14:textId="77777777" w:rsidR="00881780" w:rsidRPr="00A71C8E" w:rsidRDefault="00881780" w:rsidP="006F4D8F">
            <w:pPr>
              <w:spacing w:before="0" w:line="240" w:lineRule="auto"/>
              <w:rPr>
                <w:sz w:val="18"/>
                <w:szCs w:val="18"/>
              </w:rPr>
            </w:pPr>
            <w:r w:rsidRPr="00A71C8E">
              <w:rPr>
                <w:sz w:val="18"/>
                <w:szCs w:val="18"/>
              </w:rPr>
              <w:t>32</w:t>
            </w:r>
          </w:p>
        </w:tc>
        <w:tc>
          <w:tcPr>
            <w:tcW w:w="574" w:type="pct"/>
            <w:shd w:val="clear" w:color="auto" w:fill="auto"/>
            <w:noWrap/>
            <w:hideMark/>
          </w:tcPr>
          <w:p w14:paraId="4382C850" w14:textId="77777777" w:rsidR="00881780" w:rsidRPr="00A71C8E" w:rsidRDefault="00881780" w:rsidP="006F4D8F">
            <w:pPr>
              <w:spacing w:before="0" w:line="240" w:lineRule="auto"/>
              <w:rPr>
                <w:sz w:val="18"/>
                <w:szCs w:val="18"/>
              </w:rPr>
            </w:pPr>
            <w:r w:rsidRPr="00A71C8E">
              <w:rPr>
                <w:sz w:val="18"/>
                <w:szCs w:val="18"/>
              </w:rPr>
              <w:t>43</w:t>
            </w:r>
          </w:p>
        </w:tc>
        <w:tc>
          <w:tcPr>
            <w:tcW w:w="574" w:type="pct"/>
            <w:shd w:val="clear" w:color="auto" w:fill="auto"/>
            <w:noWrap/>
            <w:hideMark/>
          </w:tcPr>
          <w:p w14:paraId="0B4B8520" w14:textId="77777777" w:rsidR="00881780" w:rsidRPr="00A71C8E" w:rsidRDefault="00881780" w:rsidP="006F4D8F">
            <w:pPr>
              <w:spacing w:before="0" w:line="240" w:lineRule="auto"/>
              <w:rPr>
                <w:sz w:val="18"/>
                <w:szCs w:val="18"/>
              </w:rPr>
            </w:pPr>
            <w:r w:rsidRPr="00A71C8E">
              <w:rPr>
                <w:sz w:val="18"/>
                <w:szCs w:val="18"/>
              </w:rPr>
              <w:t>52</w:t>
            </w:r>
          </w:p>
        </w:tc>
        <w:tc>
          <w:tcPr>
            <w:tcW w:w="574" w:type="pct"/>
            <w:shd w:val="clear" w:color="auto" w:fill="auto"/>
            <w:noWrap/>
            <w:hideMark/>
          </w:tcPr>
          <w:p w14:paraId="6B3ECADA" w14:textId="77777777" w:rsidR="00881780" w:rsidRPr="00A71C8E" w:rsidRDefault="00881780" w:rsidP="006F4D8F">
            <w:pPr>
              <w:spacing w:before="0" w:line="240" w:lineRule="auto"/>
              <w:rPr>
                <w:sz w:val="18"/>
                <w:szCs w:val="18"/>
              </w:rPr>
            </w:pPr>
            <w:r w:rsidRPr="00A71C8E">
              <w:rPr>
                <w:sz w:val="18"/>
                <w:szCs w:val="18"/>
              </w:rPr>
              <w:t>63</w:t>
            </w:r>
          </w:p>
        </w:tc>
        <w:tc>
          <w:tcPr>
            <w:tcW w:w="574" w:type="pct"/>
            <w:shd w:val="clear" w:color="auto" w:fill="auto"/>
            <w:noWrap/>
            <w:hideMark/>
          </w:tcPr>
          <w:p w14:paraId="62F9102B" w14:textId="77777777" w:rsidR="00881780" w:rsidRPr="00A71C8E" w:rsidRDefault="00881780" w:rsidP="006F4D8F">
            <w:pPr>
              <w:spacing w:before="0" w:line="240" w:lineRule="auto"/>
              <w:rPr>
                <w:sz w:val="18"/>
                <w:szCs w:val="18"/>
              </w:rPr>
            </w:pPr>
            <w:r w:rsidRPr="00A71C8E">
              <w:rPr>
                <w:sz w:val="18"/>
                <w:szCs w:val="18"/>
              </w:rPr>
              <w:t>76</w:t>
            </w:r>
          </w:p>
        </w:tc>
        <w:tc>
          <w:tcPr>
            <w:tcW w:w="571" w:type="pct"/>
            <w:shd w:val="clear" w:color="auto" w:fill="auto"/>
            <w:noWrap/>
            <w:hideMark/>
          </w:tcPr>
          <w:p w14:paraId="07EE2EF2" w14:textId="77777777" w:rsidR="00881780" w:rsidRPr="00A71C8E" w:rsidRDefault="00881780" w:rsidP="006F4D8F">
            <w:pPr>
              <w:spacing w:before="0" w:line="240" w:lineRule="auto"/>
              <w:rPr>
                <w:sz w:val="18"/>
                <w:szCs w:val="18"/>
              </w:rPr>
            </w:pPr>
            <w:r w:rsidRPr="00A71C8E">
              <w:rPr>
                <w:sz w:val="18"/>
                <w:szCs w:val="18"/>
              </w:rPr>
              <w:t>89</w:t>
            </w:r>
          </w:p>
        </w:tc>
      </w:tr>
      <w:tr w:rsidR="00881780" w:rsidRPr="00A71C8E" w14:paraId="657D78E6" w14:textId="77777777" w:rsidTr="006F4D8F">
        <w:trPr>
          <w:trHeight w:val="300"/>
        </w:trPr>
        <w:tc>
          <w:tcPr>
            <w:tcW w:w="1560" w:type="pct"/>
            <w:shd w:val="clear" w:color="auto" w:fill="auto"/>
            <w:noWrap/>
            <w:hideMark/>
          </w:tcPr>
          <w:p w14:paraId="249BC619" w14:textId="77777777" w:rsidR="00881780" w:rsidRPr="00A71C8E" w:rsidRDefault="00881780" w:rsidP="006F4D8F">
            <w:pPr>
              <w:spacing w:before="0" w:line="240" w:lineRule="auto"/>
              <w:rPr>
                <w:sz w:val="18"/>
                <w:szCs w:val="18"/>
              </w:rPr>
            </w:pPr>
            <w:r w:rsidRPr="00A71C8E">
              <w:rPr>
                <w:sz w:val="18"/>
                <w:szCs w:val="18"/>
              </w:rPr>
              <w:t>Mazowieckie</w:t>
            </w:r>
          </w:p>
        </w:tc>
        <w:tc>
          <w:tcPr>
            <w:tcW w:w="574" w:type="pct"/>
            <w:shd w:val="clear" w:color="auto" w:fill="auto"/>
            <w:noWrap/>
            <w:hideMark/>
          </w:tcPr>
          <w:p w14:paraId="070B69A1" w14:textId="77777777" w:rsidR="00881780" w:rsidRPr="00A71C8E" w:rsidRDefault="00881780" w:rsidP="006F4D8F">
            <w:pPr>
              <w:spacing w:before="0" w:line="240" w:lineRule="auto"/>
              <w:rPr>
                <w:sz w:val="18"/>
                <w:szCs w:val="18"/>
              </w:rPr>
            </w:pPr>
            <w:r w:rsidRPr="00A71C8E">
              <w:rPr>
                <w:sz w:val="18"/>
                <w:szCs w:val="18"/>
              </w:rPr>
              <w:t>42</w:t>
            </w:r>
          </w:p>
        </w:tc>
        <w:tc>
          <w:tcPr>
            <w:tcW w:w="574" w:type="pct"/>
            <w:shd w:val="clear" w:color="auto" w:fill="auto"/>
            <w:noWrap/>
            <w:hideMark/>
          </w:tcPr>
          <w:p w14:paraId="5BDFEFF9" w14:textId="77777777" w:rsidR="00881780" w:rsidRPr="00A71C8E" w:rsidRDefault="00881780" w:rsidP="006F4D8F">
            <w:pPr>
              <w:spacing w:before="0" w:line="240" w:lineRule="auto"/>
              <w:rPr>
                <w:sz w:val="18"/>
                <w:szCs w:val="18"/>
              </w:rPr>
            </w:pPr>
            <w:r w:rsidRPr="00A71C8E">
              <w:rPr>
                <w:sz w:val="18"/>
                <w:szCs w:val="18"/>
              </w:rPr>
              <w:t>54</w:t>
            </w:r>
          </w:p>
        </w:tc>
        <w:tc>
          <w:tcPr>
            <w:tcW w:w="574" w:type="pct"/>
            <w:shd w:val="clear" w:color="auto" w:fill="auto"/>
            <w:noWrap/>
            <w:hideMark/>
          </w:tcPr>
          <w:p w14:paraId="3905FCEC" w14:textId="77777777" w:rsidR="00881780" w:rsidRPr="00A71C8E" w:rsidRDefault="00881780" w:rsidP="006F4D8F">
            <w:pPr>
              <w:spacing w:before="0" w:line="240" w:lineRule="auto"/>
              <w:rPr>
                <w:sz w:val="18"/>
                <w:szCs w:val="18"/>
              </w:rPr>
            </w:pPr>
            <w:r w:rsidRPr="00A71C8E">
              <w:rPr>
                <w:sz w:val="18"/>
                <w:szCs w:val="18"/>
              </w:rPr>
              <w:t>69</w:t>
            </w:r>
          </w:p>
        </w:tc>
        <w:tc>
          <w:tcPr>
            <w:tcW w:w="574" w:type="pct"/>
            <w:shd w:val="clear" w:color="auto" w:fill="auto"/>
            <w:noWrap/>
            <w:hideMark/>
          </w:tcPr>
          <w:p w14:paraId="35C4BEEE" w14:textId="77777777" w:rsidR="00881780" w:rsidRPr="00A71C8E" w:rsidRDefault="00881780" w:rsidP="006F4D8F">
            <w:pPr>
              <w:spacing w:before="0" w:line="240" w:lineRule="auto"/>
              <w:rPr>
                <w:sz w:val="18"/>
                <w:szCs w:val="18"/>
              </w:rPr>
            </w:pPr>
            <w:r w:rsidRPr="00A71C8E">
              <w:rPr>
                <w:sz w:val="18"/>
                <w:szCs w:val="18"/>
              </w:rPr>
              <w:t>77</w:t>
            </w:r>
          </w:p>
        </w:tc>
        <w:tc>
          <w:tcPr>
            <w:tcW w:w="574" w:type="pct"/>
            <w:shd w:val="clear" w:color="auto" w:fill="auto"/>
            <w:noWrap/>
            <w:hideMark/>
          </w:tcPr>
          <w:p w14:paraId="57DD7817" w14:textId="77777777" w:rsidR="00881780" w:rsidRPr="00A71C8E" w:rsidRDefault="00881780" w:rsidP="006F4D8F">
            <w:pPr>
              <w:spacing w:before="0" w:line="240" w:lineRule="auto"/>
              <w:rPr>
                <w:sz w:val="18"/>
                <w:szCs w:val="18"/>
              </w:rPr>
            </w:pPr>
            <w:r w:rsidRPr="00A71C8E">
              <w:rPr>
                <w:sz w:val="18"/>
                <w:szCs w:val="18"/>
              </w:rPr>
              <w:t>87</w:t>
            </w:r>
          </w:p>
        </w:tc>
        <w:tc>
          <w:tcPr>
            <w:tcW w:w="571" w:type="pct"/>
            <w:shd w:val="clear" w:color="auto" w:fill="auto"/>
            <w:noWrap/>
            <w:hideMark/>
          </w:tcPr>
          <w:p w14:paraId="6654FD12" w14:textId="77777777" w:rsidR="00881780" w:rsidRPr="00A71C8E" w:rsidRDefault="00881780" w:rsidP="006F4D8F">
            <w:pPr>
              <w:spacing w:before="0" w:line="240" w:lineRule="auto"/>
              <w:rPr>
                <w:sz w:val="18"/>
                <w:szCs w:val="18"/>
              </w:rPr>
            </w:pPr>
            <w:r w:rsidRPr="00A71C8E">
              <w:rPr>
                <w:sz w:val="18"/>
                <w:szCs w:val="18"/>
              </w:rPr>
              <w:t>95</w:t>
            </w:r>
          </w:p>
        </w:tc>
      </w:tr>
      <w:tr w:rsidR="00881780" w:rsidRPr="00A71C8E" w14:paraId="23C29EEE" w14:textId="77777777" w:rsidTr="006F4D8F">
        <w:trPr>
          <w:trHeight w:val="300"/>
        </w:trPr>
        <w:tc>
          <w:tcPr>
            <w:tcW w:w="1560" w:type="pct"/>
            <w:shd w:val="clear" w:color="auto" w:fill="auto"/>
            <w:noWrap/>
            <w:hideMark/>
          </w:tcPr>
          <w:p w14:paraId="1993F5D6" w14:textId="77777777" w:rsidR="00881780" w:rsidRPr="00A71C8E" w:rsidRDefault="00881780" w:rsidP="006F4D8F">
            <w:pPr>
              <w:spacing w:before="0" w:line="240" w:lineRule="auto"/>
              <w:rPr>
                <w:sz w:val="18"/>
                <w:szCs w:val="18"/>
              </w:rPr>
            </w:pPr>
            <w:r w:rsidRPr="00A71C8E">
              <w:rPr>
                <w:sz w:val="18"/>
                <w:szCs w:val="18"/>
              </w:rPr>
              <w:t>Opolskie</w:t>
            </w:r>
          </w:p>
        </w:tc>
        <w:tc>
          <w:tcPr>
            <w:tcW w:w="574" w:type="pct"/>
            <w:shd w:val="clear" w:color="auto" w:fill="auto"/>
            <w:noWrap/>
            <w:hideMark/>
          </w:tcPr>
          <w:p w14:paraId="5C4AC3E5" w14:textId="77777777" w:rsidR="00881780" w:rsidRPr="00A71C8E" w:rsidRDefault="00881780" w:rsidP="006F4D8F">
            <w:pPr>
              <w:spacing w:before="0" w:line="240" w:lineRule="auto"/>
              <w:rPr>
                <w:sz w:val="18"/>
                <w:szCs w:val="18"/>
              </w:rPr>
            </w:pPr>
            <w:r w:rsidRPr="00A71C8E">
              <w:rPr>
                <w:sz w:val="18"/>
                <w:szCs w:val="18"/>
              </w:rPr>
              <w:t>72</w:t>
            </w:r>
          </w:p>
        </w:tc>
        <w:tc>
          <w:tcPr>
            <w:tcW w:w="574" w:type="pct"/>
            <w:shd w:val="clear" w:color="auto" w:fill="auto"/>
            <w:noWrap/>
            <w:hideMark/>
          </w:tcPr>
          <w:p w14:paraId="3B4A0806" w14:textId="77777777" w:rsidR="00881780" w:rsidRPr="00A71C8E" w:rsidRDefault="00881780" w:rsidP="006F4D8F">
            <w:pPr>
              <w:spacing w:before="0" w:line="240" w:lineRule="auto"/>
              <w:rPr>
                <w:sz w:val="18"/>
                <w:szCs w:val="18"/>
              </w:rPr>
            </w:pPr>
            <w:r w:rsidRPr="00A71C8E">
              <w:rPr>
                <w:sz w:val="18"/>
                <w:szCs w:val="18"/>
              </w:rPr>
              <w:t>87</w:t>
            </w:r>
          </w:p>
        </w:tc>
        <w:tc>
          <w:tcPr>
            <w:tcW w:w="574" w:type="pct"/>
            <w:shd w:val="clear" w:color="auto" w:fill="auto"/>
            <w:noWrap/>
            <w:hideMark/>
          </w:tcPr>
          <w:p w14:paraId="2222B43C" w14:textId="77777777" w:rsidR="00881780" w:rsidRPr="00A71C8E" w:rsidRDefault="00881780" w:rsidP="006F4D8F">
            <w:pPr>
              <w:spacing w:before="0" w:line="240" w:lineRule="auto"/>
              <w:rPr>
                <w:sz w:val="18"/>
                <w:szCs w:val="18"/>
              </w:rPr>
            </w:pPr>
            <w:r w:rsidRPr="00A71C8E">
              <w:rPr>
                <w:sz w:val="18"/>
                <w:szCs w:val="18"/>
              </w:rPr>
              <w:t>97</w:t>
            </w:r>
          </w:p>
        </w:tc>
        <w:tc>
          <w:tcPr>
            <w:tcW w:w="574" w:type="pct"/>
            <w:shd w:val="clear" w:color="auto" w:fill="auto"/>
            <w:noWrap/>
            <w:hideMark/>
          </w:tcPr>
          <w:p w14:paraId="28692469" w14:textId="77777777" w:rsidR="00881780" w:rsidRPr="00A71C8E" w:rsidRDefault="00881780" w:rsidP="006F4D8F">
            <w:pPr>
              <w:spacing w:before="0" w:line="240" w:lineRule="auto"/>
              <w:rPr>
                <w:sz w:val="18"/>
                <w:szCs w:val="18"/>
              </w:rPr>
            </w:pPr>
            <w:r w:rsidRPr="00A71C8E">
              <w:rPr>
                <w:sz w:val="18"/>
                <w:szCs w:val="18"/>
              </w:rPr>
              <w:t>112</w:t>
            </w:r>
          </w:p>
        </w:tc>
        <w:tc>
          <w:tcPr>
            <w:tcW w:w="574" w:type="pct"/>
            <w:shd w:val="clear" w:color="auto" w:fill="auto"/>
            <w:noWrap/>
            <w:hideMark/>
          </w:tcPr>
          <w:p w14:paraId="64A695FA" w14:textId="77777777" w:rsidR="00881780" w:rsidRPr="00A71C8E" w:rsidRDefault="00881780" w:rsidP="006F4D8F">
            <w:pPr>
              <w:spacing w:before="0" w:line="240" w:lineRule="auto"/>
              <w:rPr>
                <w:sz w:val="18"/>
                <w:szCs w:val="18"/>
              </w:rPr>
            </w:pPr>
            <w:r w:rsidRPr="00A71C8E">
              <w:rPr>
                <w:sz w:val="18"/>
                <w:szCs w:val="18"/>
              </w:rPr>
              <w:t>123</w:t>
            </w:r>
          </w:p>
        </w:tc>
        <w:tc>
          <w:tcPr>
            <w:tcW w:w="571" w:type="pct"/>
            <w:shd w:val="clear" w:color="auto" w:fill="auto"/>
            <w:noWrap/>
            <w:hideMark/>
          </w:tcPr>
          <w:p w14:paraId="65D47CBF" w14:textId="77777777" w:rsidR="00881780" w:rsidRPr="00A71C8E" w:rsidRDefault="00881780" w:rsidP="006F4D8F">
            <w:pPr>
              <w:spacing w:before="0" w:line="240" w:lineRule="auto"/>
              <w:rPr>
                <w:sz w:val="18"/>
                <w:szCs w:val="18"/>
              </w:rPr>
            </w:pPr>
            <w:r w:rsidRPr="00A71C8E">
              <w:rPr>
                <w:sz w:val="18"/>
                <w:szCs w:val="18"/>
              </w:rPr>
              <w:t>125</w:t>
            </w:r>
          </w:p>
        </w:tc>
      </w:tr>
      <w:tr w:rsidR="00881780" w:rsidRPr="00A71C8E" w14:paraId="0E0402F7" w14:textId="77777777" w:rsidTr="006F4D8F">
        <w:trPr>
          <w:trHeight w:val="300"/>
        </w:trPr>
        <w:tc>
          <w:tcPr>
            <w:tcW w:w="1560" w:type="pct"/>
            <w:shd w:val="clear" w:color="auto" w:fill="auto"/>
            <w:noWrap/>
            <w:hideMark/>
          </w:tcPr>
          <w:p w14:paraId="7C57C761" w14:textId="77777777" w:rsidR="00881780" w:rsidRPr="00A71C8E" w:rsidRDefault="00881780" w:rsidP="006F4D8F">
            <w:pPr>
              <w:spacing w:before="0" w:line="240" w:lineRule="auto"/>
              <w:rPr>
                <w:sz w:val="18"/>
                <w:szCs w:val="18"/>
              </w:rPr>
            </w:pPr>
            <w:r w:rsidRPr="00A71C8E">
              <w:rPr>
                <w:sz w:val="18"/>
                <w:szCs w:val="18"/>
              </w:rPr>
              <w:t>Podkarpackie</w:t>
            </w:r>
          </w:p>
        </w:tc>
        <w:tc>
          <w:tcPr>
            <w:tcW w:w="574" w:type="pct"/>
            <w:shd w:val="clear" w:color="auto" w:fill="auto"/>
            <w:noWrap/>
            <w:hideMark/>
          </w:tcPr>
          <w:p w14:paraId="4E88D9E9" w14:textId="77777777" w:rsidR="00881780" w:rsidRPr="00A71C8E" w:rsidRDefault="00881780" w:rsidP="006F4D8F">
            <w:pPr>
              <w:spacing w:before="0" w:line="240" w:lineRule="auto"/>
              <w:rPr>
                <w:sz w:val="18"/>
                <w:szCs w:val="18"/>
              </w:rPr>
            </w:pPr>
            <w:r w:rsidRPr="00A71C8E">
              <w:rPr>
                <w:sz w:val="18"/>
                <w:szCs w:val="18"/>
              </w:rPr>
              <w:t>33</w:t>
            </w:r>
          </w:p>
        </w:tc>
        <w:tc>
          <w:tcPr>
            <w:tcW w:w="574" w:type="pct"/>
            <w:shd w:val="clear" w:color="auto" w:fill="auto"/>
            <w:noWrap/>
            <w:hideMark/>
          </w:tcPr>
          <w:p w14:paraId="731C9B47" w14:textId="77777777" w:rsidR="00881780" w:rsidRPr="00A71C8E" w:rsidRDefault="00881780" w:rsidP="006F4D8F">
            <w:pPr>
              <w:spacing w:before="0" w:line="240" w:lineRule="auto"/>
              <w:rPr>
                <w:sz w:val="18"/>
                <w:szCs w:val="18"/>
              </w:rPr>
            </w:pPr>
            <w:r w:rsidRPr="00A71C8E">
              <w:rPr>
                <w:sz w:val="18"/>
                <w:szCs w:val="18"/>
              </w:rPr>
              <w:t>40</w:t>
            </w:r>
          </w:p>
        </w:tc>
        <w:tc>
          <w:tcPr>
            <w:tcW w:w="574" w:type="pct"/>
            <w:shd w:val="clear" w:color="auto" w:fill="auto"/>
            <w:noWrap/>
            <w:hideMark/>
          </w:tcPr>
          <w:p w14:paraId="2B7DF89E" w14:textId="77777777" w:rsidR="00881780" w:rsidRPr="00A71C8E" w:rsidRDefault="00881780" w:rsidP="006F4D8F">
            <w:pPr>
              <w:spacing w:before="0" w:line="240" w:lineRule="auto"/>
              <w:rPr>
                <w:sz w:val="18"/>
                <w:szCs w:val="18"/>
              </w:rPr>
            </w:pPr>
            <w:r w:rsidRPr="00A71C8E">
              <w:rPr>
                <w:sz w:val="18"/>
                <w:szCs w:val="18"/>
              </w:rPr>
              <w:t>48</w:t>
            </w:r>
          </w:p>
        </w:tc>
        <w:tc>
          <w:tcPr>
            <w:tcW w:w="574" w:type="pct"/>
            <w:shd w:val="clear" w:color="auto" w:fill="auto"/>
            <w:noWrap/>
            <w:hideMark/>
          </w:tcPr>
          <w:p w14:paraId="1AB788C3" w14:textId="77777777" w:rsidR="00881780" w:rsidRPr="00A71C8E" w:rsidRDefault="00881780" w:rsidP="006F4D8F">
            <w:pPr>
              <w:spacing w:before="0" w:line="240" w:lineRule="auto"/>
              <w:rPr>
                <w:sz w:val="18"/>
                <w:szCs w:val="18"/>
              </w:rPr>
            </w:pPr>
            <w:r w:rsidRPr="00A71C8E">
              <w:rPr>
                <w:sz w:val="18"/>
                <w:szCs w:val="18"/>
              </w:rPr>
              <w:t>57</w:t>
            </w:r>
          </w:p>
        </w:tc>
        <w:tc>
          <w:tcPr>
            <w:tcW w:w="574" w:type="pct"/>
            <w:shd w:val="clear" w:color="auto" w:fill="auto"/>
            <w:noWrap/>
            <w:hideMark/>
          </w:tcPr>
          <w:p w14:paraId="0E065FA2" w14:textId="77777777" w:rsidR="00881780" w:rsidRPr="00A71C8E" w:rsidRDefault="00881780" w:rsidP="006F4D8F">
            <w:pPr>
              <w:spacing w:before="0" w:line="240" w:lineRule="auto"/>
              <w:rPr>
                <w:sz w:val="18"/>
                <w:szCs w:val="18"/>
              </w:rPr>
            </w:pPr>
            <w:r w:rsidRPr="00A71C8E">
              <w:rPr>
                <w:sz w:val="18"/>
                <w:szCs w:val="18"/>
              </w:rPr>
              <w:t>66</w:t>
            </w:r>
          </w:p>
        </w:tc>
        <w:tc>
          <w:tcPr>
            <w:tcW w:w="571" w:type="pct"/>
            <w:shd w:val="clear" w:color="auto" w:fill="auto"/>
            <w:noWrap/>
            <w:hideMark/>
          </w:tcPr>
          <w:p w14:paraId="258F8592" w14:textId="77777777" w:rsidR="00881780" w:rsidRPr="00A71C8E" w:rsidRDefault="00881780" w:rsidP="006F4D8F">
            <w:pPr>
              <w:spacing w:before="0" w:line="240" w:lineRule="auto"/>
              <w:rPr>
                <w:sz w:val="18"/>
                <w:szCs w:val="18"/>
              </w:rPr>
            </w:pPr>
            <w:r w:rsidRPr="00A71C8E">
              <w:rPr>
                <w:sz w:val="18"/>
                <w:szCs w:val="18"/>
              </w:rPr>
              <w:t>76</w:t>
            </w:r>
          </w:p>
        </w:tc>
      </w:tr>
      <w:tr w:rsidR="00881780" w:rsidRPr="00A71C8E" w14:paraId="35A642FD" w14:textId="77777777" w:rsidTr="006F4D8F">
        <w:trPr>
          <w:trHeight w:val="300"/>
        </w:trPr>
        <w:tc>
          <w:tcPr>
            <w:tcW w:w="1560" w:type="pct"/>
            <w:shd w:val="clear" w:color="auto" w:fill="auto"/>
            <w:noWrap/>
            <w:hideMark/>
          </w:tcPr>
          <w:p w14:paraId="4AF277CD" w14:textId="77777777" w:rsidR="00881780" w:rsidRPr="00A71C8E" w:rsidRDefault="00881780" w:rsidP="006F4D8F">
            <w:pPr>
              <w:spacing w:before="0" w:line="240" w:lineRule="auto"/>
              <w:rPr>
                <w:sz w:val="18"/>
                <w:szCs w:val="18"/>
              </w:rPr>
            </w:pPr>
            <w:r w:rsidRPr="00A71C8E">
              <w:rPr>
                <w:sz w:val="18"/>
                <w:szCs w:val="18"/>
              </w:rPr>
              <w:t>Podlaskie</w:t>
            </w:r>
          </w:p>
        </w:tc>
        <w:tc>
          <w:tcPr>
            <w:tcW w:w="574" w:type="pct"/>
            <w:shd w:val="clear" w:color="auto" w:fill="auto"/>
            <w:noWrap/>
            <w:hideMark/>
          </w:tcPr>
          <w:p w14:paraId="52EAC48B" w14:textId="77777777" w:rsidR="00881780" w:rsidRPr="00A71C8E" w:rsidRDefault="00881780" w:rsidP="006F4D8F">
            <w:pPr>
              <w:spacing w:before="0" w:line="240" w:lineRule="auto"/>
              <w:rPr>
                <w:sz w:val="18"/>
                <w:szCs w:val="18"/>
              </w:rPr>
            </w:pPr>
            <w:r w:rsidRPr="00A71C8E">
              <w:rPr>
                <w:sz w:val="18"/>
                <w:szCs w:val="18"/>
              </w:rPr>
              <w:t>40</w:t>
            </w:r>
          </w:p>
        </w:tc>
        <w:tc>
          <w:tcPr>
            <w:tcW w:w="574" w:type="pct"/>
            <w:shd w:val="clear" w:color="auto" w:fill="auto"/>
            <w:noWrap/>
            <w:hideMark/>
          </w:tcPr>
          <w:p w14:paraId="1382F6DE" w14:textId="77777777" w:rsidR="00881780" w:rsidRPr="00A71C8E" w:rsidRDefault="00881780" w:rsidP="006F4D8F">
            <w:pPr>
              <w:spacing w:before="0" w:line="240" w:lineRule="auto"/>
              <w:rPr>
                <w:sz w:val="18"/>
                <w:szCs w:val="18"/>
              </w:rPr>
            </w:pPr>
            <w:r w:rsidRPr="00A71C8E">
              <w:rPr>
                <w:sz w:val="18"/>
                <w:szCs w:val="18"/>
              </w:rPr>
              <w:t>48</w:t>
            </w:r>
          </w:p>
        </w:tc>
        <w:tc>
          <w:tcPr>
            <w:tcW w:w="574" w:type="pct"/>
            <w:shd w:val="clear" w:color="auto" w:fill="auto"/>
            <w:noWrap/>
            <w:hideMark/>
          </w:tcPr>
          <w:p w14:paraId="22456B7B" w14:textId="77777777" w:rsidR="00881780" w:rsidRPr="00A71C8E" w:rsidRDefault="00881780" w:rsidP="006F4D8F">
            <w:pPr>
              <w:spacing w:before="0" w:line="240" w:lineRule="auto"/>
              <w:rPr>
                <w:sz w:val="18"/>
                <w:szCs w:val="18"/>
              </w:rPr>
            </w:pPr>
            <w:r w:rsidRPr="00A71C8E">
              <w:rPr>
                <w:sz w:val="18"/>
                <w:szCs w:val="18"/>
              </w:rPr>
              <w:t>62</w:t>
            </w:r>
          </w:p>
        </w:tc>
        <w:tc>
          <w:tcPr>
            <w:tcW w:w="574" w:type="pct"/>
            <w:shd w:val="clear" w:color="auto" w:fill="auto"/>
            <w:noWrap/>
            <w:hideMark/>
          </w:tcPr>
          <w:p w14:paraId="5C391670" w14:textId="77777777" w:rsidR="00881780" w:rsidRPr="00A71C8E" w:rsidRDefault="00881780" w:rsidP="006F4D8F">
            <w:pPr>
              <w:spacing w:before="0" w:line="240" w:lineRule="auto"/>
              <w:rPr>
                <w:sz w:val="18"/>
                <w:szCs w:val="18"/>
              </w:rPr>
            </w:pPr>
            <w:r w:rsidRPr="00A71C8E">
              <w:rPr>
                <w:sz w:val="18"/>
                <w:szCs w:val="18"/>
              </w:rPr>
              <w:t>70</w:t>
            </w:r>
          </w:p>
        </w:tc>
        <w:tc>
          <w:tcPr>
            <w:tcW w:w="574" w:type="pct"/>
            <w:shd w:val="clear" w:color="auto" w:fill="auto"/>
            <w:noWrap/>
            <w:hideMark/>
          </w:tcPr>
          <w:p w14:paraId="151EAED7" w14:textId="77777777" w:rsidR="00881780" w:rsidRPr="00A71C8E" w:rsidRDefault="00881780" w:rsidP="006F4D8F">
            <w:pPr>
              <w:spacing w:before="0" w:line="240" w:lineRule="auto"/>
              <w:rPr>
                <w:sz w:val="18"/>
                <w:szCs w:val="18"/>
              </w:rPr>
            </w:pPr>
            <w:r w:rsidRPr="00A71C8E">
              <w:rPr>
                <w:sz w:val="18"/>
                <w:szCs w:val="18"/>
              </w:rPr>
              <w:t>78</w:t>
            </w:r>
          </w:p>
        </w:tc>
        <w:tc>
          <w:tcPr>
            <w:tcW w:w="571" w:type="pct"/>
            <w:shd w:val="clear" w:color="auto" w:fill="auto"/>
            <w:noWrap/>
            <w:hideMark/>
          </w:tcPr>
          <w:p w14:paraId="55263403" w14:textId="77777777" w:rsidR="00881780" w:rsidRPr="00A71C8E" w:rsidRDefault="00881780" w:rsidP="006F4D8F">
            <w:pPr>
              <w:spacing w:before="0" w:line="240" w:lineRule="auto"/>
              <w:rPr>
                <w:sz w:val="18"/>
                <w:szCs w:val="18"/>
              </w:rPr>
            </w:pPr>
            <w:r w:rsidRPr="00A71C8E">
              <w:rPr>
                <w:sz w:val="18"/>
                <w:szCs w:val="18"/>
              </w:rPr>
              <w:t>82</w:t>
            </w:r>
          </w:p>
        </w:tc>
      </w:tr>
      <w:tr w:rsidR="00881780" w:rsidRPr="00A71C8E" w14:paraId="1753F925" w14:textId="77777777" w:rsidTr="006F4D8F">
        <w:trPr>
          <w:trHeight w:val="300"/>
        </w:trPr>
        <w:tc>
          <w:tcPr>
            <w:tcW w:w="1560" w:type="pct"/>
            <w:shd w:val="clear" w:color="auto" w:fill="auto"/>
            <w:noWrap/>
            <w:hideMark/>
          </w:tcPr>
          <w:p w14:paraId="4664ACF7" w14:textId="77777777" w:rsidR="00881780" w:rsidRPr="00A71C8E" w:rsidRDefault="00881780" w:rsidP="006F4D8F">
            <w:pPr>
              <w:spacing w:before="0" w:line="240" w:lineRule="auto"/>
              <w:rPr>
                <w:sz w:val="18"/>
                <w:szCs w:val="18"/>
              </w:rPr>
            </w:pPr>
            <w:r w:rsidRPr="00A71C8E">
              <w:rPr>
                <w:sz w:val="18"/>
                <w:szCs w:val="18"/>
              </w:rPr>
              <w:t>Pomorskie</w:t>
            </w:r>
          </w:p>
        </w:tc>
        <w:tc>
          <w:tcPr>
            <w:tcW w:w="574" w:type="pct"/>
            <w:shd w:val="clear" w:color="auto" w:fill="auto"/>
            <w:noWrap/>
            <w:hideMark/>
          </w:tcPr>
          <w:p w14:paraId="1F4C5D65" w14:textId="77777777" w:rsidR="00881780" w:rsidRPr="00A71C8E" w:rsidRDefault="00881780" w:rsidP="006F4D8F">
            <w:pPr>
              <w:spacing w:before="0" w:line="240" w:lineRule="auto"/>
              <w:rPr>
                <w:sz w:val="18"/>
                <w:szCs w:val="18"/>
              </w:rPr>
            </w:pPr>
            <w:r w:rsidRPr="00A71C8E">
              <w:rPr>
                <w:sz w:val="18"/>
                <w:szCs w:val="18"/>
              </w:rPr>
              <w:t>23</w:t>
            </w:r>
          </w:p>
        </w:tc>
        <w:tc>
          <w:tcPr>
            <w:tcW w:w="574" w:type="pct"/>
            <w:shd w:val="clear" w:color="auto" w:fill="auto"/>
            <w:noWrap/>
            <w:hideMark/>
          </w:tcPr>
          <w:p w14:paraId="4FA7A11D" w14:textId="77777777" w:rsidR="00881780" w:rsidRPr="00A71C8E" w:rsidRDefault="00881780" w:rsidP="006F4D8F">
            <w:pPr>
              <w:spacing w:before="0" w:line="240" w:lineRule="auto"/>
              <w:rPr>
                <w:sz w:val="18"/>
                <w:szCs w:val="18"/>
              </w:rPr>
            </w:pPr>
            <w:r w:rsidRPr="00A71C8E">
              <w:rPr>
                <w:sz w:val="18"/>
                <w:szCs w:val="18"/>
              </w:rPr>
              <w:t>39</w:t>
            </w:r>
          </w:p>
        </w:tc>
        <w:tc>
          <w:tcPr>
            <w:tcW w:w="574" w:type="pct"/>
            <w:shd w:val="clear" w:color="auto" w:fill="auto"/>
            <w:noWrap/>
            <w:hideMark/>
          </w:tcPr>
          <w:p w14:paraId="6CDCC2EE" w14:textId="77777777" w:rsidR="00881780" w:rsidRPr="00A71C8E" w:rsidRDefault="00881780" w:rsidP="006F4D8F">
            <w:pPr>
              <w:spacing w:before="0" w:line="240" w:lineRule="auto"/>
              <w:rPr>
                <w:sz w:val="18"/>
                <w:szCs w:val="18"/>
              </w:rPr>
            </w:pPr>
            <w:r w:rsidRPr="00A71C8E">
              <w:rPr>
                <w:sz w:val="18"/>
                <w:szCs w:val="18"/>
              </w:rPr>
              <w:t>54</w:t>
            </w:r>
          </w:p>
        </w:tc>
        <w:tc>
          <w:tcPr>
            <w:tcW w:w="574" w:type="pct"/>
            <w:shd w:val="clear" w:color="auto" w:fill="auto"/>
            <w:noWrap/>
            <w:hideMark/>
          </w:tcPr>
          <w:p w14:paraId="6C2F05CA" w14:textId="77777777" w:rsidR="00881780" w:rsidRPr="00A71C8E" w:rsidRDefault="00881780" w:rsidP="006F4D8F">
            <w:pPr>
              <w:spacing w:before="0" w:line="240" w:lineRule="auto"/>
              <w:rPr>
                <w:sz w:val="18"/>
                <w:szCs w:val="18"/>
              </w:rPr>
            </w:pPr>
            <w:r w:rsidRPr="00A71C8E">
              <w:rPr>
                <w:sz w:val="18"/>
                <w:szCs w:val="18"/>
              </w:rPr>
              <w:t>60</w:t>
            </w:r>
          </w:p>
        </w:tc>
        <w:tc>
          <w:tcPr>
            <w:tcW w:w="574" w:type="pct"/>
            <w:shd w:val="clear" w:color="auto" w:fill="auto"/>
            <w:noWrap/>
            <w:hideMark/>
          </w:tcPr>
          <w:p w14:paraId="62FE14C9" w14:textId="77777777" w:rsidR="00881780" w:rsidRPr="00A71C8E" w:rsidRDefault="00881780" w:rsidP="006F4D8F">
            <w:pPr>
              <w:spacing w:before="0" w:line="240" w:lineRule="auto"/>
              <w:rPr>
                <w:sz w:val="18"/>
                <w:szCs w:val="18"/>
              </w:rPr>
            </w:pPr>
            <w:r w:rsidRPr="00A71C8E">
              <w:rPr>
                <w:sz w:val="18"/>
                <w:szCs w:val="18"/>
              </w:rPr>
              <w:t>63</w:t>
            </w:r>
          </w:p>
        </w:tc>
        <w:tc>
          <w:tcPr>
            <w:tcW w:w="571" w:type="pct"/>
            <w:shd w:val="clear" w:color="auto" w:fill="auto"/>
            <w:noWrap/>
            <w:hideMark/>
          </w:tcPr>
          <w:p w14:paraId="48704D58" w14:textId="77777777" w:rsidR="00881780" w:rsidRPr="00A71C8E" w:rsidRDefault="00881780" w:rsidP="006F4D8F">
            <w:pPr>
              <w:spacing w:before="0" w:line="240" w:lineRule="auto"/>
              <w:rPr>
                <w:sz w:val="18"/>
                <w:szCs w:val="18"/>
              </w:rPr>
            </w:pPr>
            <w:r w:rsidRPr="00A71C8E">
              <w:rPr>
                <w:sz w:val="18"/>
                <w:szCs w:val="18"/>
              </w:rPr>
              <w:t>70</w:t>
            </w:r>
          </w:p>
        </w:tc>
      </w:tr>
      <w:tr w:rsidR="00881780" w:rsidRPr="00A71C8E" w14:paraId="406664B0" w14:textId="77777777" w:rsidTr="006F4D8F">
        <w:trPr>
          <w:trHeight w:val="300"/>
        </w:trPr>
        <w:tc>
          <w:tcPr>
            <w:tcW w:w="1560" w:type="pct"/>
            <w:shd w:val="clear" w:color="auto" w:fill="auto"/>
            <w:noWrap/>
            <w:hideMark/>
          </w:tcPr>
          <w:p w14:paraId="0B89C18F" w14:textId="77777777" w:rsidR="00881780" w:rsidRPr="00A71C8E" w:rsidRDefault="00881780" w:rsidP="006F4D8F">
            <w:pPr>
              <w:spacing w:before="0" w:line="240" w:lineRule="auto"/>
              <w:rPr>
                <w:sz w:val="18"/>
                <w:szCs w:val="18"/>
              </w:rPr>
            </w:pPr>
            <w:r w:rsidRPr="00A71C8E">
              <w:rPr>
                <w:sz w:val="18"/>
                <w:szCs w:val="18"/>
              </w:rPr>
              <w:t>Śląskie</w:t>
            </w:r>
          </w:p>
        </w:tc>
        <w:tc>
          <w:tcPr>
            <w:tcW w:w="574" w:type="pct"/>
            <w:shd w:val="clear" w:color="auto" w:fill="auto"/>
            <w:noWrap/>
            <w:hideMark/>
          </w:tcPr>
          <w:p w14:paraId="3ED33882" w14:textId="77777777" w:rsidR="00881780" w:rsidRPr="00A71C8E" w:rsidRDefault="00881780" w:rsidP="006F4D8F">
            <w:pPr>
              <w:spacing w:before="0" w:line="240" w:lineRule="auto"/>
              <w:rPr>
                <w:sz w:val="18"/>
                <w:szCs w:val="18"/>
              </w:rPr>
            </w:pPr>
            <w:r w:rsidRPr="00A71C8E">
              <w:rPr>
                <w:sz w:val="18"/>
                <w:szCs w:val="18"/>
              </w:rPr>
              <w:t>34</w:t>
            </w:r>
          </w:p>
        </w:tc>
        <w:tc>
          <w:tcPr>
            <w:tcW w:w="574" w:type="pct"/>
            <w:shd w:val="clear" w:color="auto" w:fill="auto"/>
            <w:noWrap/>
            <w:hideMark/>
          </w:tcPr>
          <w:p w14:paraId="482B977C" w14:textId="77777777" w:rsidR="00881780" w:rsidRPr="00A71C8E" w:rsidRDefault="00881780" w:rsidP="006F4D8F">
            <w:pPr>
              <w:spacing w:before="0" w:line="240" w:lineRule="auto"/>
              <w:rPr>
                <w:sz w:val="18"/>
                <w:szCs w:val="18"/>
              </w:rPr>
            </w:pPr>
            <w:r w:rsidRPr="00A71C8E">
              <w:rPr>
                <w:sz w:val="18"/>
                <w:szCs w:val="18"/>
              </w:rPr>
              <w:t>42</w:t>
            </w:r>
          </w:p>
        </w:tc>
        <w:tc>
          <w:tcPr>
            <w:tcW w:w="574" w:type="pct"/>
            <w:shd w:val="clear" w:color="auto" w:fill="auto"/>
            <w:noWrap/>
            <w:hideMark/>
          </w:tcPr>
          <w:p w14:paraId="4B5F5C18" w14:textId="77777777" w:rsidR="00881780" w:rsidRPr="00A71C8E" w:rsidRDefault="00881780" w:rsidP="006F4D8F">
            <w:pPr>
              <w:spacing w:before="0" w:line="240" w:lineRule="auto"/>
              <w:rPr>
                <w:sz w:val="18"/>
                <w:szCs w:val="18"/>
              </w:rPr>
            </w:pPr>
            <w:r w:rsidRPr="00A71C8E">
              <w:rPr>
                <w:sz w:val="18"/>
                <w:szCs w:val="18"/>
              </w:rPr>
              <w:t>51</w:t>
            </w:r>
          </w:p>
        </w:tc>
        <w:tc>
          <w:tcPr>
            <w:tcW w:w="574" w:type="pct"/>
            <w:shd w:val="clear" w:color="auto" w:fill="auto"/>
            <w:noWrap/>
            <w:hideMark/>
          </w:tcPr>
          <w:p w14:paraId="245CDBB6" w14:textId="77777777" w:rsidR="00881780" w:rsidRPr="00A71C8E" w:rsidRDefault="00881780" w:rsidP="006F4D8F">
            <w:pPr>
              <w:spacing w:before="0" w:line="240" w:lineRule="auto"/>
              <w:rPr>
                <w:sz w:val="18"/>
                <w:szCs w:val="18"/>
              </w:rPr>
            </w:pPr>
            <w:r w:rsidRPr="00A71C8E">
              <w:rPr>
                <w:sz w:val="18"/>
                <w:szCs w:val="18"/>
              </w:rPr>
              <w:t>61</w:t>
            </w:r>
          </w:p>
        </w:tc>
        <w:tc>
          <w:tcPr>
            <w:tcW w:w="574" w:type="pct"/>
            <w:shd w:val="clear" w:color="auto" w:fill="auto"/>
            <w:noWrap/>
            <w:hideMark/>
          </w:tcPr>
          <w:p w14:paraId="1965AA8A" w14:textId="77777777" w:rsidR="00881780" w:rsidRPr="00A71C8E" w:rsidRDefault="00881780" w:rsidP="006F4D8F">
            <w:pPr>
              <w:spacing w:before="0" w:line="240" w:lineRule="auto"/>
              <w:rPr>
                <w:sz w:val="18"/>
                <w:szCs w:val="18"/>
              </w:rPr>
            </w:pPr>
            <w:r w:rsidRPr="00A71C8E">
              <w:rPr>
                <w:sz w:val="18"/>
                <w:szCs w:val="18"/>
              </w:rPr>
              <w:t>72</w:t>
            </w:r>
          </w:p>
        </w:tc>
        <w:tc>
          <w:tcPr>
            <w:tcW w:w="571" w:type="pct"/>
            <w:shd w:val="clear" w:color="auto" w:fill="auto"/>
            <w:noWrap/>
            <w:hideMark/>
          </w:tcPr>
          <w:p w14:paraId="6C4C264E" w14:textId="77777777" w:rsidR="00881780" w:rsidRPr="00A71C8E" w:rsidRDefault="00881780" w:rsidP="006F4D8F">
            <w:pPr>
              <w:spacing w:before="0" w:line="240" w:lineRule="auto"/>
              <w:rPr>
                <w:sz w:val="18"/>
                <w:szCs w:val="18"/>
              </w:rPr>
            </w:pPr>
            <w:r w:rsidRPr="00A71C8E">
              <w:rPr>
                <w:sz w:val="18"/>
                <w:szCs w:val="18"/>
              </w:rPr>
              <w:t>81</w:t>
            </w:r>
          </w:p>
        </w:tc>
      </w:tr>
      <w:tr w:rsidR="00881780" w:rsidRPr="00A71C8E" w14:paraId="5E2C72CF" w14:textId="77777777" w:rsidTr="006F4D8F">
        <w:trPr>
          <w:trHeight w:val="300"/>
        </w:trPr>
        <w:tc>
          <w:tcPr>
            <w:tcW w:w="1560" w:type="pct"/>
            <w:shd w:val="clear" w:color="auto" w:fill="auto"/>
            <w:noWrap/>
            <w:hideMark/>
          </w:tcPr>
          <w:p w14:paraId="33319293" w14:textId="77777777" w:rsidR="00881780" w:rsidRPr="00A71C8E" w:rsidRDefault="00881780" w:rsidP="006F4D8F">
            <w:pPr>
              <w:spacing w:before="0" w:line="240" w:lineRule="auto"/>
              <w:rPr>
                <w:sz w:val="18"/>
                <w:szCs w:val="18"/>
              </w:rPr>
            </w:pPr>
            <w:r w:rsidRPr="00A71C8E">
              <w:rPr>
                <w:sz w:val="18"/>
                <w:szCs w:val="18"/>
              </w:rPr>
              <w:t>Świętokrzyskie</w:t>
            </w:r>
          </w:p>
        </w:tc>
        <w:tc>
          <w:tcPr>
            <w:tcW w:w="574" w:type="pct"/>
            <w:shd w:val="clear" w:color="auto" w:fill="auto"/>
            <w:noWrap/>
            <w:hideMark/>
          </w:tcPr>
          <w:p w14:paraId="0FD0D4B1" w14:textId="77777777" w:rsidR="00881780" w:rsidRPr="00A71C8E" w:rsidRDefault="00881780" w:rsidP="006F4D8F">
            <w:pPr>
              <w:spacing w:before="0" w:line="240" w:lineRule="auto"/>
              <w:rPr>
                <w:sz w:val="18"/>
                <w:szCs w:val="18"/>
              </w:rPr>
            </w:pPr>
            <w:r w:rsidRPr="00A71C8E">
              <w:rPr>
                <w:sz w:val="18"/>
                <w:szCs w:val="18"/>
              </w:rPr>
              <w:t>26</w:t>
            </w:r>
          </w:p>
        </w:tc>
        <w:tc>
          <w:tcPr>
            <w:tcW w:w="574" w:type="pct"/>
            <w:shd w:val="clear" w:color="auto" w:fill="auto"/>
            <w:noWrap/>
            <w:hideMark/>
          </w:tcPr>
          <w:p w14:paraId="597C421F" w14:textId="77777777" w:rsidR="00881780" w:rsidRPr="00A71C8E" w:rsidRDefault="00881780" w:rsidP="006F4D8F">
            <w:pPr>
              <w:spacing w:before="0" w:line="240" w:lineRule="auto"/>
              <w:rPr>
                <w:sz w:val="18"/>
                <w:szCs w:val="18"/>
              </w:rPr>
            </w:pPr>
            <w:r w:rsidRPr="00A71C8E">
              <w:rPr>
                <w:sz w:val="18"/>
                <w:szCs w:val="18"/>
              </w:rPr>
              <w:t>34</w:t>
            </w:r>
          </w:p>
        </w:tc>
        <w:tc>
          <w:tcPr>
            <w:tcW w:w="574" w:type="pct"/>
            <w:shd w:val="clear" w:color="auto" w:fill="auto"/>
            <w:noWrap/>
            <w:hideMark/>
          </w:tcPr>
          <w:p w14:paraId="0F018578" w14:textId="77777777" w:rsidR="00881780" w:rsidRPr="00A71C8E" w:rsidRDefault="00881780" w:rsidP="006F4D8F">
            <w:pPr>
              <w:spacing w:before="0" w:line="240" w:lineRule="auto"/>
              <w:rPr>
                <w:sz w:val="18"/>
                <w:szCs w:val="18"/>
              </w:rPr>
            </w:pPr>
            <w:r w:rsidRPr="00A71C8E">
              <w:rPr>
                <w:sz w:val="18"/>
                <w:szCs w:val="18"/>
              </w:rPr>
              <w:t>39</w:t>
            </w:r>
          </w:p>
        </w:tc>
        <w:tc>
          <w:tcPr>
            <w:tcW w:w="574" w:type="pct"/>
            <w:shd w:val="clear" w:color="auto" w:fill="auto"/>
            <w:noWrap/>
            <w:hideMark/>
          </w:tcPr>
          <w:p w14:paraId="4869F6C7" w14:textId="77777777" w:rsidR="00881780" w:rsidRPr="00A71C8E" w:rsidRDefault="00881780" w:rsidP="006F4D8F">
            <w:pPr>
              <w:spacing w:before="0" w:line="240" w:lineRule="auto"/>
              <w:rPr>
                <w:sz w:val="18"/>
                <w:szCs w:val="18"/>
              </w:rPr>
            </w:pPr>
            <w:r w:rsidRPr="00A71C8E">
              <w:rPr>
                <w:sz w:val="18"/>
                <w:szCs w:val="18"/>
              </w:rPr>
              <w:t>43</w:t>
            </w:r>
          </w:p>
        </w:tc>
        <w:tc>
          <w:tcPr>
            <w:tcW w:w="574" w:type="pct"/>
            <w:shd w:val="clear" w:color="auto" w:fill="auto"/>
            <w:noWrap/>
            <w:hideMark/>
          </w:tcPr>
          <w:p w14:paraId="242D1440" w14:textId="77777777" w:rsidR="00881780" w:rsidRPr="00A71C8E" w:rsidRDefault="00881780" w:rsidP="006F4D8F">
            <w:pPr>
              <w:spacing w:before="0" w:line="240" w:lineRule="auto"/>
              <w:rPr>
                <w:sz w:val="18"/>
                <w:szCs w:val="18"/>
              </w:rPr>
            </w:pPr>
            <w:r w:rsidRPr="00A71C8E">
              <w:rPr>
                <w:sz w:val="18"/>
                <w:szCs w:val="18"/>
              </w:rPr>
              <w:t>53</w:t>
            </w:r>
          </w:p>
        </w:tc>
        <w:tc>
          <w:tcPr>
            <w:tcW w:w="571" w:type="pct"/>
            <w:shd w:val="clear" w:color="auto" w:fill="auto"/>
            <w:noWrap/>
            <w:hideMark/>
          </w:tcPr>
          <w:p w14:paraId="706E9A90" w14:textId="77777777" w:rsidR="00881780" w:rsidRPr="00A71C8E" w:rsidRDefault="00881780" w:rsidP="006F4D8F">
            <w:pPr>
              <w:spacing w:before="0" w:line="240" w:lineRule="auto"/>
              <w:rPr>
                <w:sz w:val="18"/>
                <w:szCs w:val="18"/>
              </w:rPr>
            </w:pPr>
            <w:r w:rsidRPr="00A71C8E">
              <w:rPr>
                <w:sz w:val="18"/>
                <w:szCs w:val="18"/>
              </w:rPr>
              <w:t>58</w:t>
            </w:r>
          </w:p>
        </w:tc>
      </w:tr>
      <w:tr w:rsidR="00881780" w:rsidRPr="00A71C8E" w14:paraId="71FEA89C" w14:textId="77777777" w:rsidTr="006F4D8F">
        <w:trPr>
          <w:trHeight w:val="300"/>
        </w:trPr>
        <w:tc>
          <w:tcPr>
            <w:tcW w:w="1560" w:type="pct"/>
            <w:shd w:val="clear" w:color="auto" w:fill="auto"/>
            <w:noWrap/>
            <w:hideMark/>
          </w:tcPr>
          <w:p w14:paraId="6A3D49A3" w14:textId="77777777" w:rsidR="00881780" w:rsidRPr="00A71C8E" w:rsidRDefault="00881780" w:rsidP="006F4D8F">
            <w:pPr>
              <w:spacing w:before="0" w:line="240" w:lineRule="auto"/>
              <w:rPr>
                <w:sz w:val="18"/>
                <w:szCs w:val="18"/>
              </w:rPr>
            </w:pPr>
            <w:r w:rsidRPr="00A71C8E">
              <w:rPr>
                <w:sz w:val="18"/>
                <w:szCs w:val="18"/>
              </w:rPr>
              <w:t>Warmińsko-mazurskie</w:t>
            </w:r>
          </w:p>
        </w:tc>
        <w:tc>
          <w:tcPr>
            <w:tcW w:w="574" w:type="pct"/>
            <w:shd w:val="clear" w:color="auto" w:fill="auto"/>
            <w:noWrap/>
            <w:hideMark/>
          </w:tcPr>
          <w:p w14:paraId="4C3ED545" w14:textId="77777777" w:rsidR="00881780" w:rsidRPr="00A71C8E" w:rsidRDefault="00881780" w:rsidP="006F4D8F">
            <w:pPr>
              <w:spacing w:before="0" w:line="240" w:lineRule="auto"/>
              <w:rPr>
                <w:sz w:val="18"/>
                <w:szCs w:val="18"/>
              </w:rPr>
            </w:pPr>
            <w:r w:rsidRPr="00A71C8E">
              <w:rPr>
                <w:sz w:val="18"/>
                <w:szCs w:val="18"/>
              </w:rPr>
              <w:t>26</w:t>
            </w:r>
          </w:p>
        </w:tc>
        <w:tc>
          <w:tcPr>
            <w:tcW w:w="574" w:type="pct"/>
            <w:shd w:val="clear" w:color="auto" w:fill="auto"/>
            <w:noWrap/>
            <w:hideMark/>
          </w:tcPr>
          <w:p w14:paraId="218896DA" w14:textId="77777777" w:rsidR="00881780" w:rsidRPr="00A71C8E" w:rsidRDefault="00881780" w:rsidP="006F4D8F">
            <w:pPr>
              <w:spacing w:before="0" w:line="240" w:lineRule="auto"/>
              <w:rPr>
                <w:sz w:val="18"/>
                <w:szCs w:val="18"/>
              </w:rPr>
            </w:pPr>
            <w:r w:rsidRPr="00A71C8E">
              <w:rPr>
                <w:sz w:val="18"/>
                <w:szCs w:val="18"/>
              </w:rPr>
              <w:t>31</w:t>
            </w:r>
          </w:p>
        </w:tc>
        <w:tc>
          <w:tcPr>
            <w:tcW w:w="574" w:type="pct"/>
            <w:shd w:val="clear" w:color="auto" w:fill="auto"/>
            <w:noWrap/>
            <w:hideMark/>
          </w:tcPr>
          <w:p w14:paraId="100FFA6C" w14:textId="77777777" w:rsidR="00881780" w:rsidRPr="00A71C8E" w:rsidRDefault="00881780" w:rsidP="006F4D8F">
            <w:pPr>
              <w:spacing w:before="0" w:line="240" w:lineRule="auto"/>
              <w:rPr>
                <w:sz w:val="18"/>
                <w:szCs w:val="18"/>
              </w:rPr>
            </w:pPr>
            <w:r w:rsidRPr="00A71C8E">
              <w:rPr>
                <w:sz w:val="18"/>
                <w:szCs w:val="18"/>
              </w:rPr>
              <w:t>38</w:t>
            </w:r>
          </w:p>
        </w:tc>
        <w:tc>
          <w:tcPr>
            <w:tcW w:w="574" w:type="pct"/>
            <w:shd w:val="clear" w:color="auto" w:fill="auto"/>
            <w:noWrap/>
            <w:hideMark/>
          </w:tcPr>
          <w:p w14:paraId="5006B0D0" w14:textId="77777777" w:rsidR="00881780" w:rsidRPr="00A71C8E" w:rsidRDefault="00881780" w:rsidP="006F4D8F">
            <w:pPr>
              <w:spacing w:before="0" w:line="240" w:lineRule="auto"/>
              <w:rPr>
                <w:sz w:val="18"/>
                <w:szCs w:val="18"/>
              </w:rPr>
            </w:pPr>
            <w:r w:rsidRPr="00A71C8E">
              <w:rPr>
                <w:sz w:val="18"/>
                <w:szCs w:val="18"/>
              </w:rPr>
              <w:t>42</w:t>
            </w:r>
          </w:p>
        </w:tc>
        <w:tc>
          <w:tcPr>
            <w:tcW w:w="574" w:type="pct"/>
            <w:shd w:val="clear" w:color="auto" w:fill="auto"/>
            <w:noWrap/>
            <w:hideMark/>
          </w:tcPr>
          <w:p w14:paraId="2BBA0284" w14:textId="77777777" w:rsidR="00881780" w:rsidRPr="00A71C8E" w:rsidRDefault="00881780" w:rsidP="006F4D8F">
            <w:pPr>
              <w:spacing w:before="0" w:line="240" w:lineRule="auto"/>
              <w:rPr>
                <w:sz w:val="18"/>
                <w:szCs w:val="18"/>
              </w:rPr>
            </w:pPr>
            <w:r w:rsidRPr="00A71C8E">
              <w:rPr>
                <w:sz w:val="18"/>
                <w:szCs w:val="18"/>
              </w:rPr>
              <w:t>53</w:t>
            </w:r>
          </w:p>
        </w:tc>
        <w:tc>
          <w:tcPr>
            <w:tcW w:w="571" w:type="pct"/>
            <w:shd w:val="clear" w:color="auto" w:fill="auto"/>
            <w:noWrap/>
            <w:hideMark/>
          </w:tcPr>
          <w:p w14:paraId="19FF4B76" w14:textId="77777777" w:rsidR="00881780" w:rsidRPr="00A71C8E" w:rsidRDefault="00881780" w:rsidP="006F4D8F">
            <w:pPr>
              <w:spacing w:before="0" w:line="240" w:lineRule="auto"/>
              <w:rPr>
                <w:sz w:val="18"/>
                <w:szCs w:val="18"/>
              </w:rPr>
            </w:pPr>
            <w:r w:rsidRPr="00A71C8E">
              <w:rPr>
                <w:sz w:val="18"/>
                <w:szCs w:val="18"/>
              </w:rPr>
              <w:t>57</w:t>
            </w:r>
          </w:p>
        </w:tc>
      </w:tr>
      <w:tr w:rsidR="00881780" w:rsidRPr="00A71C8E" w14:paraId="6D304F4F" w14:textId="77777777" w:rsidTr="006F4D8F">
        <w:trPr>
          <w:trHeight w:val="300"/>
        </w:trPr>
        <w:tc>
          <w:tcPr>
            <w:tcW w:w="1560" w:type="pct"/>
            <w:shd w:val="clear" w:color="auto" w:fill="auto"/>
            <w:noWrap/>
            <w:hideMark/>
          </w:tcPr>
          <w:p w14:paraId="51975218" w14:textId="77777777" w:rsidR="00881780" w:rsidRPr="00A71C8E" w:rsidRDefault="00881780" w:rsidP="006F4D8F">
            <w:pPr>
              <w:spacing w:before="0" w:line="240" w:lineRule="auto"/>
              <w:rPr>
                <w:sz w:val="18"/>
                <w:szCs w:val="18"/>
              </w:rPr>
            </w:pPr>
            <w:r w:rsidRPr="00A71C8E">
              <w:rPr>
                <w:sz w:val="18"/>
                <w:szCs w:val="18"/>
              </w:rPr>
              <w:t>Wielkopolskie</w:t>
            </w:r>
          </w:p>
        </w:tc>
        <w:tc>
          <w:tcPr>
            <w:tcW w:w="574" w:type="pct"/>
            <w:shd w:val="clear" w:color="auto" w:fill="auto"/>
            <w:noWrap/>
            <w:hideMark/>
          </w:tcPr>
          <w:p w14:paraId="35355270" w14:textId="77777777" w:rsidR="00881780" w:rsidRPr="00A71C8E" w:rsidRDefault="00881780" w:rsidP="006F4D8F">
            <w:pPr>
              <w:spacing w:before="0" w:line="240" w:lineRule="auto"/>
              <w:rPr>
                <w:sz w:val="18"/>
                <w:szCs w:val="18"/>
              </w:rPr>
            </w:pPr>
            <w:r w:rsidRPr="00A71C8E">
              <w:rPr>
                <w:sz w:val="18"/>
                <w:szCs w:val="18"/>
              </w:rPr>
              <w:t>31</w:t>
            </w:r>
          </w:p>
        </w:tc>
        <w:tc>
          <w:tcPr>
            <w:tcW w:w="574" w:type="pct"/>
            <w:shd w:val="clear" w:color="auto" w:fill="auto"/>
            <w:noWrap/>
            <w:hideMark/>
          </w:tcPr>
          <w:p w14:paraId="59A865DB" w14:textId="77777777" w:rsidR="00881780" w:rsidRPr="00A71C8E" w:rsidRDefault="00881780" w:rsidP="006F4D8F">
            <w:pPr>
              <w:spacing w:before="0" w:line="240" w:lineRule="auto"/>
              <w:rPr>
                <w:sz w:val="18"/>
                <w:szCs w:val="18"/>
              </w:rPr>
            </w:pPr>
            <w:r w:rsidRPr="00A71C8E">
              <w:rPr>
                <w:sz w:val="18"/>
                <w:szCs w:val="18"/>
              </w:rPr>
              <w:t>40</w:t>
            </w:r>
          </w:p>
        </w:tc>
        <w:tc>
          <w:tcPr>
            <w:tcW w:w="574" w:type="pct"/>
            <w:shd w:val="clear" w:color="auto" w:fill="auto"/>
            <w:noWrap/>
            <w:hideMark/>
          </w:tcPr>
          <w:p w14:paraId="2C58743A" w14:textId="77777777" w:rsidR="00881780" w:rsidRPr="00A71C8E" w:rsidRDefault="00881780" w:rsidP="006F4D8F">
            <w:pPr>
              <w:spacing w:before="0" w:line="240" w:lineRule="auto"/>
              <w:rPr>
                <w:sz w:val="18"/>
                <w:szCs w:val="18"/>
              </w:rPr>
            </w:pPr>
            <w:r w:rsidRPr="00A71C8E">
              <w:rPr>
                <w:sz w:val="18"/>
                <w:szCs w:val="18"/>
              </w:rPr>
              <w:t>54</w:t>
            </w:r>
          </w:p>
        </w:tc>
        <w:tc>
          <w:tcPr>
            <w:tcW w:w="574" w:type="pct"/>
            <w:shd w:val="clear" w:color="auto" w:fill="auto"/>
            <w:noWrap/>
            <w:hideMark/>
          </w:tcPr>
          <w:p w14:paraId="586F9D9A" w14:textId="77777777" w:rsidR="00881780" w:rsidRPr="00A71C8E" w:rsidRDefault="00881780" w:rsidP="006F4D8F">
            <w:pPr>
              <w:spacing w:before="0" w:line="240" w:lineRule="auto"/>
              <w:rPr>
                <w:sz w:val="18"/>
                <w:szCs w:val="18"/>
              </w:rPr>
            </w:pPr>
            <w:r w:rsidRPr="00A71C8E">
              <w:rPr>
                <w:sz w:val="18"/>
                <w:szCs w:val="18"/>
              </w:rPr>
              <w:t>61</w:t>
            </w:r>
          </w:p>
        </w:tc>
        <w:tc>
          <w:tcPr>
            <w:tcW w:w="574" w:type="pct"/>
            <w:shd w:val="clear" w:color="auto" w:fill="auto"/>
            <w:noWrap/>
            <w:hideMark/>
          </w:tcPr>
          <w:p w14:paraId="4CFDF031" w14:textId="77777777" w:rsidR="00881780" w:rsidRPr="00A71C8E" w:rsidRDefault="00881780" w:rsidP="006F4D8F">
            <w:pPr>
              <w:spacing w:before="0" w:line="240" w:lineRule="auto"/>
              <w:rPr>
                <w:sz w:val="18"/>
                <w:szCs w:val="18"/>
              </w:rPr>
            </w:pPr>
            <w:r w:rsidRPr="00A71C8E">
              <w:rPr>
                <w:sz w:val="18"/>
                <w:szCs w:val="18"/>
              </w:rPr>
              <w:t>75</w:t>
            </w:r>
          </w:p>
        </w:tc>
        <w:tc>
          <w:tcPr>
            <w:tcW w:w="571" w:type="pct"/>
            <w:shd w:val="clear" w:color="auto" w:fill="auto"/>
            <w:noWrap/>
            <w:hideMark/>
          </w:tcPr>
          <w:p w14:paraId="44F45A12" w14:textId="77777777" w:rsidR="00881780" w:rsidRPr="00A71C8E" w:rsidRDefault="00881780" w:rsidP="006F4D8F">
            <w:pPr>
              <w:spacing w:before="0" w:line="240" w:lineRule="auto"/>
              <w:rPr>
                <w:sz w:val="18"/>
                <w:szCs w:val="18"/>
              </w:rPr>
            </w:pPr>
            <w:r w:rsidRPr="00A71C8E">
              <w:rPr>
                <w:sz w:val="18"/>
                <w:szCs w:val="18"/>
              </w:rPr>
              <w:t>84</w:t>
            </w:r>
          </w:p>
        </w:tc>
      </w:tr>
      <w:tr w:rsidR="00881780" w:rsidRPr="00A71C8E" w14:paraId="0DC6D004" w14:textId="77777777" w:rsidTr="00C22C26">
        <w:trPr>
          <w:trHeight w:val="300"/>
        </w:trPr>
        <w:tc>
          <w:tcPr>
            <w:tcW w:w="1560" w:type="pct"/>
            <w:shd w:val="clear" w:color="auto" w:fill="auto"/>
            <w:noWrap/>
            <w:hideMark/>
          </w:tcPr>
          <w:p w14:paraId="715F83AE" w14:textId="77777777" w:rsidR="00881780" w:rsidRPr="00A71C8E" w:rsidRDefault="00881780" w:rsidP="006F4D8F">
            <w:pPr>
              <w:spacing w:before="0" w:line="240" w:lineRule="auto"/>
              <w:rPr>
                <w:sz w:val="18"/>
                <w:szCs w:val="18"/>
              </w:rPr>
            </w:pPr>
            <w:r w:rsidRPr="00A71C8E">
              <w:rPr>
                <w:sz w:val="18"/>
                <w:szCs w:val="18"/>
              </w:rPr>
              <w:t>Zachodniopomorskie</w:t>
            </w:r>
          </w:p>
        </w:tc>
        <w:tc>
          <w:tcPr>
            <w:tcW w:w="574" w:type="pct"/>
            <w:shd w:val="clear" w:color="auto" w:fill="auto"/>
            <w:noWrap/>
            <w:hideMark/>
          </w:tcPr>
          <w:p w14:paraId="784B9F52" w14:textId="77777777" w:rsidR="00881780" w:rsidRPr="00A71C8E" w:rsidRDefault="00881780" w:rsidP="006F4D8F">
            <w:pPr>
              <w:spacing w:before="0" w:line="240" w:lineRule="auto"/>
              <w:rPr>
                <w:sz w:val="18"/>
                <w:szCs w:val="18"/>
              </w:rPr>
            </w:pPr>
            <w:r w:rsidRPr="00A71C8E">
              <w:rPr>
                <w:sz w:val="18"/>
                <w:szCs w:val="18"/>
              </w:rPr>
              <w:t>46</w:t>
            </w:r>
          </w:p>
        </w:tc>
        <w:tc>
          <w:tcPr>
            <w:tcW w:w="574" w:type="pct"/>
            <w:shd w:val="clear" w:color="auto" w:fill="auto"/>
            <w:noWrap/>
            <w:hideMark/>
          </w:tcPr>
          <w:p w14:paraId="082C0966" w14:textId="77777777" w:rsidR="00881780" w:rsidRPr="00A71C8E" w:rsidRDefault="00881780" w:rsidP="006F4D8F">
            <w:pPr>
              <w:spacing w:before="0" w:line="240" w:lineRule="auto"/>
              <w:rPr>
                <w:sz w:val="18"/>
                <w:szCs w:val="18"/>
              </w:rPr>
            </w:pPr>
            <w:r w:rsidRPr="00A71C8E">
              <w:rPr>
                <w:sz w:val="18"/>
                <w:szCs w:val="18"/>
              </w:rPr>
              <w:t>60</w:t>
            </w:r>
          </w:p>
        </w:tc>
        <w:tc>
          <w:tcPr>
            <w:tcW w:w="574" w:type="pct"/>
            <w:shd w:val="clear" w:color="auto" w:fill="auto"/>
            <w:noWrap/>
            <w:hideMark/>
          </w:tcPr>
          <w:p w14:paraId="1C71443B" w14:textId="77777777" w:rsidR="00881780" w:rsidRPr="00A71C8E" w:rsidRDefault="00881780" w:rsidP="006F4D8F">
            <w:pPr>
              <w:spacing w:before="0" w:line="240" w:lineRule="auto"/>
              <w:rPr>
                <w:sz w:val="18"/>
                <w:szCs w:val="18"/>
              </w:rPr>
            </w:pPr>
            <w:r w:rsidRPr="00A71C8E">
              <w:rPr>
                <w:sz w:val="18"/>
                <w:szCs w:val="18"/>
              </w:rPr>
              <w:t>73</w:t>
            </w:r>
          </w:p>
        </w:tc>
        <w:tc>
          <w:tcPr>
            <w:tcW w:w="574" w:type="pct"/>
            <w:shd w:val="clear" w:color="auto" w:fill="auto"/>
            <w:noWrap/>
            <w:hideMark/>
          </w:tcPr>
          <w:p w14:paraId="40534B6C" w14:textId="77777777" w:rsidR="00881780" w:rsidRPr="00A71C8E" w:rsidRDefault="00881780" w:rsidP="006F4D8F">
            <w:pPr>
              <w:spacing w:before="0" w:line="240" w:lineRule="auto"/>
              <w:rPr>
                <w:sz w:val="18"/>
                <w:szCs w:val="18"/>
              </w:rPr>
            </w:pPr>
            <w:r w:rsidRPr="00A71C8E">
              <w:rPr>
                <w:sz w:val="18"/>
                <w:szCs w:val="18"/>
              </w:rPr>
              <w:t>86</w:t>
            </w:r>
          </w:p>
        </w:tc>
        <w:tc>
          <w:tcPr>
            <w:tcW w:w="574" w:type="pct"/>
            <w:shd w:val="clear" w:color="auto" w:fill="auto"/>
            <w:noWrap/>
            <w:hideMark/>
          </w:tcPr>
          <w:p w14:paraId="56814CB8" w14:textId="77777777" w:rsidR="00881780" w:rsidRPr="00A71C8E" w:rsidRDefault="00881780" w:rsidP="006F4D8F">
            <w:pPr>
              <w:spacing w:before="0" w:line="240" w:lineRule="auto"/>
              <w:rPr>
                <w:sz w:val="18"/>
                <w:szCs w:val="18"/>
              </w:rPr>
            </w:pPr>
            <w:r w:rsidRPr="00A71C8E">
              <w:rPr>
                <w:sz w:val="18"/>
                <w:szCs w:val="18"/>
              </w:rPr>
              <w:t>93</w:t>
            </w:r>
          </w:p>
        </w:tc>
        <w:tc>
          <w:tcPr>
            <w:tcW w:w="571" w:type="pct"/>
            <w:shd w:val="clear" w:color="auto" w:fill="auto"/>
            <w:noWrap/>
            <w:hideMark/>
          </w:tcPr>
          <w:p w14:paraId="39690A8F" w14:textId="77777777" w:rsidR="00881780" w:rsidRPr="00A71C8E" w:rsidRDefault="00881780" w:rsidP="006F4D8F">
            <w:pPr>
              <w:spacing w:before="0" w:line="240" w:lineRule="auto"/>
              <w:rPr>
                <w:sz w:val="18"/>
                <w:szCs w:val="18"/>
              </w:rPr>
            </w:pPr>
            <w:r w:rsidRPr="00A71C8E">
              <w:rPr>
                <w:sz w:val="18"/>
                <w:szCs w:val="18"/>
              </w:rPr>
              <w:t>100</w:t>
            </w:r>
          </w:p>
        </w:tc>
      </w:tr>
    </w:tbl>
    <w:p w14:paraId="1F26E88C" w14:textId="27E0E7C5" w:rsidR="00881780" w:rsidRPr="00EE66C6" w:rsidRDefault="00881780" w:rsidP="005A06CB">
      <w:pPr>
        <w:spacing w:before="0"/>
        <w:rPr>
          <w:i/>
          <w:sz w:val="18"/>
          <w:szCs w:val="20"/>
        </w:rPr>
      </w:pPr>
      <w:r w:rsidRPr="00EE66C6">
        <w:rPr>
          <w:i/>
          <w:sz w:val="18"/>
          <w:szCs w:val="20"/>
        </w:rPr>
        <w:t>Źródło: opracowanie własne na podstawie danych BDL/GUS</w:t>
      </w:r>
      <w:r w:rsidR="00AA6879">
        <w:rPr>
          <w:i/>
          <w:sz w:val="18"/>
          <w:szCs w:val="20"/>
        </w:rPr>
        <w:t>.</w:t>
      </w:r>
    </w:p>
    <w:p w14:paraId="32B3F417" w14:textId="77777777" w:rsidR="00881780" w:rsidRPr="003575C0" w:rsidRDefault="00881780" w:rsidP="00881780">
      <w:pPr>
        <w:spacing w:line="276" w:lineRule="auto"/>
        <w:rPr>
          <w:szCs w:val="20"/>
        </w:rPr>
      </w:pPr>
      <w:bookmarkStart w:id="210" w:name="_Hlk3166143"/>
      <w:r w:rsidRPr="003575C0">
        <w:rPr>
          <w:szCs w:val="20"/>
        </w:rPr>
        <w:lastRenderedPageBreak/>
        <w:t>Zdiagnozowany na etapie przygotowywani</w:t>
      </w:r>
      <w:r>
        <w:rPr>
          <w:szCs w:val="20"/>
        </w:rPr>
        <w:t>a</w:t>
      </w:r>
      <w:r w:rsidRPr="003575C0">
        <w:rPr>
          <w:szCs w:val="20"/>
        </w:rPr>
        <w:t xml:space="preserve"> RPO WZ 2014-2020 niższy niż dla mężczyzn współczynnik aktywności zawodowej kobiet </w:t>
      </w:r>
      <w:r>
        <w:rPr>
          <w:szCs w:val="20"/>
        </w:rPr>
        <w:t>oraz wskaźnik zatrudnienia są</w:t>
      </w:r>
      <w:r w:rsidRPr="003575C0">
        <w:rPr>
          <w:szCs w:val="20"/>
        </w:rPr>
        <w:t xml:space="preserve"> nadal widoczn</w:t>
      </w:r>
      <w:r>
        <w:rPr>
          <w:szCs w:val="20"/>
        </w:rPr>
        <w:t>e.</w:t>
      </w:r>
      <w:r w:rsidRPr="003575C0">
        <w:rPr>
          <w:szCs w:val="20"/>
        </w:rPr>
        <w:t xml:space="preserve"> </w:t>
      </w:r>
      <w:r>
        <w:rPr>
          <w:szCs w:val="20"/>
        </w:rPr>
        <w:t>Choć</w:t>
      </w:r>
      <w:r w:rsidR="00E66B89">
        <w:rPr>
          <w:szCs w:val="20"/>
        </w:rPr>
        <w:t xml:space="preserve"> w </w:t>
      </w:r>
      <w:r w:rsidRPr="003575C0">
        <w:rPr>
          <w:szCs w:val="20"/>
        </w:rPr>
        <w:t>okresie wdrażania Programu poziom wskaźnika</w:t>
      </w:r>
      <w:r>
        <w:rPr>
          <w:szCs w:val="20"/>
        </w:rPr>
        <w:t xml:space="preserve"> aktywności zawodowej</w:t>
      </w:r>
      <w:r w:rsidRPr="003575C0">
        <w:rPr>
          <w:szCs w:val="20"/>
        </w:rPr>
        <w:t xml:space="preserve"> podlegał niewielkim fluktuacjom</w:t>
      </w:r>
      <w:r>
        <w:rPr>
          <w:szCs w:val="20"/>
        </w:rPr>
        <w:t xml:space="preserve"> (w latach 2014-2015 odnotowano nieznaczny spadek wartości wskaźnika)</w:t>
      </w:r>
      <w:r w:rsidRPr="003575C0">
        <w:rPr>
          <w:szCs w:val="20"/>
        </w:rPr>
        <w:t xml:space="preserve">, </w:t>
      </w:r>
      <w:r>
        <w:rPr>
          <w:szCs w:val="20"/>
        </w:rPr>
        <w:t>to</w:t>
      </w:r>
      <w:r w:rsidR="00E66B89">
        <w:rPr>
          <w:szCs w:val="20"/>
        </w:rPr>
        <w:t xml:space="preserve"> w </w:t>
      </w:r>
      <w:r w:rsidRPr="003575C0">
        <w:rPr>
          <w:szCs w:val="20"/>
        </w:rPr>
        <w:t>stosunku do 2012 roku</w:t>
      </w:r>
      <w:r w:rsidR="00E66B89">
        <w:rPr>
          <w:szCs w:val="20"/>
        </w:rPr>
        <w:t xml:space="preserve"> w </w:t>
      </w:r>
      <w:r w:rsidRPr="003575C0">
        <w:rPr>
          <w:szCs w:val="20"/>
        </w:rPr>
        <w:t>2017</w:t>
      </w:r>
      <w:r>
        <w:rPr>
          <w:szCs w:val="20"/>
        </w:rPr>
        <w:t xml:space="preserve"> </w:t>
      </w:r>
      <w:r w:rsidRPr="003575C0">
        <w:rPr>
          <w:szCs w:val="20"/>
        </w:rPr>
        <w:t>roku jego wartość wzrosła</w:t>
      </w:r>
      <w:r w:rsidR="00E66B89">
        <w:rPr>
          <w:szCs w:val="20"/>
        </w:rPr>
        <w:t xml:space="preserve"> o </w:t>
      </w:r>
      <w:r w:rsidRPr="003575C0">
        <w:rPr>
          <w:szCs w:val="20"/>
        </w:rPr>
        <w:t>2,4 pp.</w:t>
      </w:r>
      <w:r>
        <w:rPr>
          <w:szCs w:val="20"/>
        </w:rPr>
        <w:t xml:space="preserve"> Wskaźnik zatrudnienia wśród kobiet systematycznie wzrastał, jednak na przestrzeni analizowanego okresu pozostawał niższy dla kobiet niż dla mężczyzn (w 2018 roku</w:t>
      </w:r>
      <w:r w:rsidR="00E66B89">
        <w:rPr>
          <w:szCs w:val="20"/>
        </w:rPr>
        <w:t xml:space="preserve"> o </w:t>
      </w:r>
      <w:r>
        <w:rPr>
          <w:szCs w:val="20"/>
        </w:rPr>
        <w:t xml:space="preserve">17,7 pp.). </w:t>
      </w:r>
    </w:p>
    <w:p w14:paraId="3CA7D6CB" w14:textId="77777777" w:rsidR="00881780" w:rsidRPr="00432E11" w:rsidRDefault="00881780" w:rsidP="005A06CB">
      <w:pPr>
        <w:pStyle w:val="Legenda"/>
        <w:spacing w:after="0"/>
      </w:pPr>
      <w:bookmarkStart w:id="211" w:name="_Toc3896854"/>
      <w:bookmarkStart w:id="212" w:name="_Toc8824213"/>
      <w:r w:rsidRPr="00432E11">
        <w:t xml:space="preserve">Tabela </w:t>
      </w:r>
      <w:r>
        <w:rPr>
          <w:noProof/>
        </w:rPr>
        <w:fldChar w:fldCharType="begin"/>
      </w:r>
      <w:r>
        <w:rPr>
          <w:noProof/>
        </w:rPr>
        <w:instrText xml:space="preserve"> SEQ Tabela \* ARABIC </w:instrText>
      </w:r>
      <w:r>
        <w:rPr>
          <w:noProof/>
        </w:rPr>
        <w:fldChar w:fldCharType="separate"/>
      </w:r>
      <w:r w:rsidR="00763345">
        <w:rPr>
          <w:noProof/>
        </w:rPr>
        <w:t>102</w:t>
      </w:r>
      <w:r>
        <w:rPr>
          <w:noProof/>
        </w:rPr>
        <w:fldChar w:fldCharType="end"/>
      </w:r>
      <w:r w:rsidRPr="00432E11">
        <w:t xml:space="preserve"> Współczynnik aktywności zawodowej</w:t>
      </w:r>
      <w:r>
        <w:t xml:space="preserve"> według płci</w:t>
      </w:r>
      <w:r w:rsidRPr="00432E11">
        <w:t>; Polska</w:t>
      </w:r>
      <w:r w:rsidR="00E66B89">
        <w:t xml:space="preserve"> i </w:t>
      </w:r>
      <w:r w:rsidRPr="00432E11">
        <w:t>województwa</w:t>
      </w:r>
      <w:bookmarkEnd w:id="211"/>
      <w:r>
        <w:t xml:space="preserve"> (dane za IV kwartał)</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601"/>
        <w:gridCol w:w="601"/>
        <w:gridCol w:w="601"/>
        <w:gridCol w:w="601"/>
        <w:gridCol w:w="602"/>
        <w:gridCol w:w="602"/>
        <w:gridCol w:w="602"/>
        <w:gridCol w:w="602"/>
        <w:gridCol w:w="602"/>
        <w:gridCol w:w="602"/>
        <w:gridCol w:w="602"/>
        <w:gridCol w:w="602"/>
      </w:tblGrid>
      <w:tr w:rsidR="00881780" w:rsidRPr="00A71C8E" w14:paraId="3F56536E" w14:textId="77777777" w:rsidTr="00C22C26">
        <w:trPr>
          <w:trHeight w:val="300"/>
          <w:tblHeader/>
        </w:trPr>
        <w:tc>
          <w:tcPr>
            <w:tcW w:w="623" w:type="pct"/>
            <w:vMerge w:val="restart"/>
            <w:shd w:val="clear" w:color="auto" w:fill="auto"/>
            <w:hideMark/>
          </w:tcPr>
          <w:p w14:paraId="0DE80BAE" w14:textId="77777777" w:rsidR="00881780" w:rsidRPr="00A71C8E" w:rsidRDefault="00881780" w:rsidP="006F4D8F">
            <w:pPr>
              <w:spacing w:before="0" w:line="240" w:lineRule="auto"/>
              <w:rPr>
                <w:b/>
                <w:sz w:val="18"/>
                <w:szCs w:val="18"/>
              </w:rPr>
            </w:pPr>
            <w:r w:rsidRPr="00A71C8E">
              <w:rPr>
                <w:b/>
                <w:sz w:val="18"/>
                <w:szCs w:val="18"/>
              </w:rPr>
              <w:t>Współczynnik aktywności zawodowej</w:t>
            </w:r>
          </w:p>
        </w:tc>
        <w:tc>
          <w:tcPr>
            <w:tcW w:w="2188" w:type="pct"/>
            <w:gridSpan w:val="6"/>
            <w:shd w:val="clear" w:color="auto" w:fill="auto"/>
          </w:tcPr>
          <w:p w14:paraId="1A14D533" w14:textId="77777777" w:rsidR="00881780" w:rsidRPr="00A71C8E" w:rsidRDefault="00881780" w:rsidP="006F4D8F">
            <w:pPr>
              <w:spacing w:before="0" w:line="240" w:lineRule="auto"/>
              <w:rPr>
                <w:b/>
                <w:sz w:val="18"/>
                <w:szCs w:val="18"/>
              </w:rPr>
            </w:pPr>
            <w:r w:rsidRPr="00A71C8E">
              <w:rPr>
                <w:b/>
                <w:sz w:val="18"/>
                <w:szCs w:val="18"/>
              </w:rPr>
              <w:t>Mężczyźni</w:t>
            </w:r>
          </w:p>
        </w:tc>
        <w:tc>
          <w:tcPr>
            <w:tcW w:w="2189" w:type="pct"/>
            <w:gridSpan w:val="6"/>
            <w:shd w:val="clear" w:color="auto" w:fill="C6D9F1"/>
          </w:tcPr>
          <w:p w14:paraId="2C43C7D7" w14:textId="77777777" w:rsidR="00881780" w:rsidRPr="00A71C8E" w:rsidRDefault="00881780" w:rsidP="006F4D8F">
            <w:pPr>
              <w:spacing w:before="0" w:line="240" w:lineRule="auto"/>
              <w:rPr>
                <w:b/>
                <w:sz w:val="18"/>
                <w:szCs w:val="18"/>
              </w:rPr>
            </w:pPr>
            <w:r w:rsidRPr="00A71C8E">
              <w:rPr>
                <w:b/>
                <w:sz w:val="18"/>
                <w:szCs w:val="18"/>
              </w:rPr>
              <w:t>Kobiety</w:t>
            </w:r>
          </w:p>
        </w:tc>
      </w:tr>
      <w:tr w:rsidR="00881780" w:rsidRPr="00A71C8E" w14:paraId="431351D1" w14:textId="77777777" w:rsidTr="00C22C26">
        <w:trPr>
          <w:trHeight w:val="300"/>
          <w:tblHeader/>
        </w:trPr>
        <w:tc>
          <w:tcPr>
            <w:tcW w:w="623" w:type="pct"/>
            <w:vMerge/>
          </w:tcPr>
          <w:p w14:paraId="6DCB7202" w14:textId="77777777" w:rsidR="00881780" w:rsidRPr="00A71C8E" w:rsidRDefault="00881780" w:rsidP="006F4D8F">
            <w:pPr>
              <w:spacing w:before="0" w:line="240" w:lineRule="auto"/>
              <w:rPr>
                <w:sz w:val="18"/>
                <w:szCs w:val="18"/>
              </w:rPr>
            </w:pPr>
          </w:p>
        </w:tc>
        <w:tc>
          <w:tcPr>
            <w:tcW w:w="365" w:type="pct"/>
          </w:tcPr>
          <w:p w14:paraId="30E1A8C5" w14:textId="77777777" w:rsidR="00881780" w:rsidRPr="00A71C8E" w:rsidRDefault="00881780" w:rsidP="006F4D8F">
            <w:pPr>
              <w:spacing w:before="0" w:line="240" w:lineRule="auto"/>
              <w:rPr>
                <w:sz w:val="18"/>
                <w:szCs w:val="18"/>
              </w:rPr>
            </w:pPr>
            <w:r w:rsidRPr="00A71C8E">
              <w:rPr>
                <w:sz w:val="18"/>
                <w:szCs w:val="18"/>
              </w:rPr>
              <w:t>2012</w:t>
            </w:r>
          </w:p>
        </w:tc>
        <w:tc>
          <w:tcPr>
            <w:tcW w:w="365" w:type="pct"/>
          </w:tcPr>
          <w:p w14:paraId="5C1452B9" w14:textId="77777777" w:rsidR="00881780" w:rsidRPr="00A71C8E" w:rsidRDefault="00881780" w:rsidP="006F4D8F">
            <w:pPr>
              <w:spacing w:before="0" w:line="240" w:lineRule="auto"/>
              <w:rPr>
                <w:sz w:val="18"/>
                <w:szCs w:val="18"/>
              </w:rPr>
            </w:pPr>
            <w:r w:rsidRPr="00A71C8E">
              <w:rPr>
                <w:sz w:val="18"/>
                <w:szCs w:val="18"/>
              </w:rPr>
              <w:t>2013</w:t>
            </w:r>
          </w:p>
        </w:tc>
        <w:tc>
          <w:tcPr>
            <w:tcW w:w="365" w:type="pct"/>
          </w:tcPr>
          <w:p w14:paraId="12B67626" w14:textId="77777777" w:rsidR="00881780" w:rsidRPr="00A71C8E" w:rsidRDefault="00881780" w:rsidP="006F4D8F">
            <w:pPr>
              <w:spacing w:before="0" w:line="240" w:lineRule="auto"/>
              <w:rPr>
                <w:sz w:val="18"/>
                <w:szCs w:val="18"/>
              </w:rPr>
            </w:pPr>
            <w:r w:rsidRPr="00A71C8E">
              <w:rPr>
                <w:sz w:val="18"/>
                <w:szCs w:val="18"/>
              </w:rPr>
              <w:t>2014</w:t>
            </w:r>
          </w:p>
        </w:tc>
        <w:tc>
          <w:tcPr>
            <w:tcW w:w="365" w:type="pct"/>
          </w:tcPr>
          <w:p w14:paraId="7CDF5BB4" w14:textId="77777777" w:rsidR="00881780" w:rsidRPr="00A71C8E" w:rsidRDefault="00881780" w:rsidP="006F4D8F">
            <w:pPr>
              <w:spacing w:before="0" w:line="240" w:lineRule="auto"/>
              <w:rPr>
                <w:sz w:val="18"/>
                <w:szCs w:val="18"/>
              </w:rPr>
            </w:pPr>
            <w:r w:rsidRPr="00A71C8E">
              <w:rPr>
                <w:sz w:val="18"/>
                <w:szCs w:val="18"/>
              </w:rPr>
              <w:t>2015</w:t>
            </w:r>
          </w:p>
        </w:tc>
        <w:tc>
          <w:tcPr>
            <w:tcW w:w="365" w:type="pct"/>
          </w:tcPr>
          <w:p w14:paraId="1FCE08AC" w14:textId="77777777" w:rsidR="00881780" w:rsidRPr="00A71C8E" w:rsidRDefault="00881780" w:rsidP="006F4D8F">
            <w:pPr>
              <w:spacing w:before="0" w:line="240" w:lineRule="auto"/>
              <w:rPr>
                <w:sz w:val="18"/>
                <w:szCs w:val="18"/>
              </w:rPr>
            </w:pPr>
            <w:r w:rsidRPr="00A71C8E">
              <w:rPr>
                <w:sz w:val="18"/>
                <w:szCs w:val="18"/>
              </w:rPr>
              <w:t>2016</w:t>
            </w:r>
          </w:p>
        </w:tc>
        <w:tc>
          <w:tcPr>
            <w:tcW w:w="365" w:type="pct"/>
          </w:tcPr>
          <w:p w14:paraId="3E2F60C3" w14:textId="77777777" w:rsidR="00881780" w:rsidRPr="00A71C8E" w:rsidRDefault="00881780" w:rsidP="006F4D8F">
            <w:pPr>
              <w:spacing w:before="0" w:line="240" w:lineRule="auto"/>
              <w:rPr>
                <w:sz w:val="18"/>
                <w:szCs w:val="18"/>
              </w:rPr>
            </w:pPr>
            <w:r w:rsidRPr="00A71C8E">
              <w:rPr>
                <w:sz w:val="18"/>
                <w:szCs w:val="18"/>
              </w:rPr>
              <w:t>2017</w:t>
            </w:r>
          </w:p>
        </w:tc>
        <w:tc>
          <w:tcPr>
            <w:tcW w:w="365" w:type="pct"/>
            <w:shd w:val="clear" w:color="auto" w:fill="C6D9F1"/>
          </w:tcPr>
          <w:p w14:paraId="3A9FEE1C" w14:textId="77777777" w:rsidR="00881780" w:rsidRPr="00A71C8E" w:rsidRDefault="00881780" w:rsidP="006F4D8F">
            <w:pPr>
              <w:spacing w:before="0" w:line="240" w:lineRule="auto"/>
              <w:rPr>
                <w:sz w:val="18"/>
                <w:szCs w:val="18"/>
              </w:rPr>
            </w:pPr>
            <w:r w:rsidRPr="00A71C8E">
              <w:rPr>
                <w:sz w:val="18"/>
                <w:szCs w:val="18"/>
              </w:rPr>
              <w:t>2012</w:t>
            </w:r>
          </w:p>
        </w:tc>
        <w:tc>
          <w:tcPr>
            <w:tcW w:w="365" w:type="pct"/>
            <w:shd w:val="clear" w:color="auto" w:fill="C6D9F1"/>
          </w:tcPr>
          <w:p w14:paraId="247E76C6" w14:textId="77777777" w:rsidR="00881780" w:rsidRPr="00A71C8E" w:rsidRDefault="00881780" w:rsidP="006F4D8F">
            <w:pPr>
              <w:spacing w:before="0" w:line="240" w:lineRule="auto"/>
              <w:rPr>
                <w:sz w:val="18"/>
                <w:szCs w:val="18"/>
              </w:rPr>
            </w:pPr>
            <w:r w:rsidRPr="00A71C8E">
              <w:rPr>
                <w:sz w:val="18"/>
                <w:szCs w:val="18"/>
              </w:rPr>
              <w:t>2013</w:t>
            </w:r>
          </w:p>
        </w:tc>
        <w:tc>
          <w:tcPr>
            <w:tcW w:w="365" w:type="pct"/>
            <w:shd w:val="clear" w:color="auto" w:fill="C6D9F1"/>
          </w:tcPr>
          <w:p w14:paraId="229F522A" w14:textId="77777777" w:rsidR="00881780" w:rsidRPr="00A71C8E" w:rsidRDefault="00881780" w:rsidP="006F4D8F">
            <w:pPr>
              <w:spacing w:before="0" w:line="240" w:lineRule="auto"/>
              <w:rPr>
                <w:sz w:val="18"/>
                <w:szCs w:val="18"/>
              </w:rPr>
            </w:pPr>
            <w:r w:rsidRPr="00A71C8E">
              <w:rPr>
                <w:sz w:val="18"/>
                <w:szCs w:val="18"/>
              </w:rPr>
              <w:t>2014</w:t>
            </w:r>
          </w:p>
        </w:tc>
        <w:tc>
          <w:tcPr>
            <w:tcW w:w="365" w:type="pct"/>
            <w:shd w:val="clear" w:color="auto" w:fill="C6D9F1"/>
          </w:tcPr>
          <w:p w14:paraId="551FCCA1" w14:textId="77777777" w:rsidR="00881780" w:rsidRPr="00A71C8E" w:rsidRDefault="00881780" w:rsidP="006F4D8F">
            <w:pPr>
              <w:spacing w:before="0" w:line="240" w:lineRule="auto"/>
              <w:rPr>
                <w:sz w:val="18"/>
                <w:szCs w:val="18"/>
              </w:rPr>
            </w:pPr>
            <w:r w:rsidRPr="00A71C8E">
              <w:rPr>
                <w:sz w:val="18"/>
                <w:szCs w:val="18"/>
              </w:rPr>
              <w:t>2015</w:t>
            </w:r>
          </w:p>
        </w:tc>
        <w:tc>
          <w:tcPr>
            <w:tcW w:w="365" w:type="pct"/>
            <w:shd w:val="clear" w:color="auto" w:fill="C6D9F1"/>
          </w:tcPr>
          <w:p w14:paraId="3FFA1F3E" w14:textId="77777777" w:rsidR="00881780" w:rsidRPr="00A71C8E" w:rsidRDefault="00881780" w:rsidP="006F4D8F">
            <w:pPr>
              <w:spacing w:before="0" w:line="240" w:lineRule="auto"/>
              <w:rPr>
                <w:sz w:val="18"/>
                <w:szCs w:val="18"/>
              </w:rPr>
            </w:pPr>
            <w:r w:rsidRPr="00A71C8E">
              <w:rPr>
                <w:sz w:val="18"/>
                <w:szCs w:val="18"/>
              </w:rPr>
              <w:t>2016</w:t>
            </w:r>
          </w:p>
        </w:tc>
        <w:tc>
          <w:tcPr>
            <w:tcW w:w="365" w:type="pct"/>
            <w:shd w:val="clear" w:color="auto" w:fill="C6D9F1"/>
          </w:tcPr>
          <w:p w14:paraId="798D76CB" w14:textId="77777777" w:rsidR="00881780" w:rsidRPr="00A71C8E" w:rsidRDefault="00881780" w:rsidP="006F4D8F">
            <w:pPr>
              <w:spacing w:before="0" w:line="240" w:lineRule="auto"/>
              <w:rPr>
                <w:sz w:val="18"/>
                <w:szCs w:val="18"/>
              </w:rPr>
            </w:pPr>
            <w:r w:rsidRPr="00A71C8E">
              <w:rPr>
                <w:sz w:val="18"/>
                <w:szCs w:val="18"/>
              </w:rPr>
              <w:t>2017</w:t>
            </w:r>
          </w:p>
        </w:tc>
      </w:tr>
      <w:tr w:rsidR="00881780" w:rsidRPr="00A71C8E" w14:paraId="7B8B03B1" w14:textId="77777777" w:rsidTr="00C22C26">
        <w:trPr>
          <w:trHeight w:val="300"/>
          <w:tblHeader/>
        </w:trPr>
        <w:tc>
          <w:tcPr>
            <w:tcW w:w="623" w:type="pct"/>
            <w:vMerge/>
            <w:hideMark/>
          </w:tcPr>
          <w:p w14:paraId="5736935E" w14:textId="77777777" w:rsidR="00881780" w:rsidRPr="00A71C8E" w:rsidRDefault="00881780" w:rsidP="006F4D8F">
            <w:pPr>
              <w:spacing w:before="0" w:line="240" w:lineRule="auto"/>
              <w:rPr>
                <w:sz w:val="18"/>
                <w:szCs w:val="18"/>
              </w:rPr>
            </w:pPr>
          </w:p>
        </w:tc>
        <w:tc>
          <w:tcPr>
            <w:tcW w:w="365" w:type="pct"/>
            <w:hideMark/>
          </w:tcPr>
          <w:p w14:paraId="63C0722F" w14:textId="77777777" w:rsidR="00881780" w:rsidRPr="00A71C8E" w:rsidRDefault="00881780" w:rsidP="006F4D8F">
            <w:pPr>
              <w:spacing w:before="0" w:line="240" w:lineRule="auto"/>
              <w:rPr>
                <w:sz w:val="18"/>
                <w:szCs w:val="18"/>
              </w:rPr>
            </w:pPr>
            <w:r w:rsidRPr="00A71C8E">
              <w:rPr>
                <w:sz w:val="18"/>
                <w:szCs w:val="18"/>
              </w:rPr>
              <w:t>[%]</w:t>
            </w:r>
          </w:p>
        </w:tc>
        <w:tc>
          <w:tcPr>
            <w:tcW w:w="365" w:type="pct"/>
            <w:hideMark/>
          </w:tcPr>
          <w:p w14:paraId="68E96AA2" w14:textId="77777777" w:rsidR="00881780" w:rsidRPr="00A71C8E" w:rsidRDefault="00881780" w:rsidP="006F4D8F">
            <w:pPr>
              <w:spacing w:before="0" w:line="240" w:lineRule="auto"/>
              <w:rPr>
                <w:sz w:val="18"/>
                <w:szCs w:val="18"/>
              </w:rPr>
            </w:pPr>
            <w:r w:rsidRPr="00A71C8E">
              <w:rPr>
                <w:sz w:val="18"/>
                <w:szCs w:val="18"/>
              </w:rPr>
              <w:t>[%]</w:t>
            </w:r>
          </w:p>
        </w:tc>
        <w:tc>
          <w:tcPr>
            <w:tcW w:w="365" w:type="pct"/>
            <w:hideMark/>
          </w:tcPr>
          <w:p w14:paraId="5DACC8D4" w14:textId="77777777" w:rsidR="00881780" w:rsidRPr="00A71C8E" w:rsidRDefault="00881780" w:rsidP="006F4D8F">
            <w:pPr>
              <w:spacing w:before="0" w:line="240" w:lineRule="auto"/>
              <w:rPr>
                <w:sz w:val="18"/>
                <w:szCs w:val="18"/>
              </w:rPr>
            </w:pPr>
            <w:r w:rsidRPr="00A71C8E">
              <w:rPr>
                <w:sz w:val="18"/>
                <w:szCs w:val="18"/>
              </w:rPr>
              <w:t>[%]</w:t>
            </w:r>
          </w:p>
        </w:tc>
        <w:tc>
          <w:tcPr>
            <w:tcW w:w="365" w:type="pct"/>
            <w:hideMark/>
          </w:tcPr>
          <w:p w14:paraId="48A15025" w14:textId="77777777" w:rsidR="00881780" w:rsidRPr="00A71C8E" w:rsidRDefault="00881780" w:rsidP="006F4D8F">
            <w:pPr>
              <w:spacing w:before="0" w:line="240" w:lineRule="auto"/>
              <w:rPr>
                <w:sz w:val="18"/>
                <w:szCs w:val="18"/>
              </w:rPr>
            </w:pPr>
            <w:r w:rsidRPr="00A71C8E">
              <w:rPr>
                <w:sz w:val="18"/>
                <w:szCs w:val="18"/>
              </w:rPr>
              <w:t>[%]</w:t>
            </w:r>
          </w:p>
        </w:tc>
        <w:tc>
          <w:tcPr>
            <w:tcW w:w="365" w:type="pct"/>
            <w:hideMark/>
          </w:tcPr>
          <w:p w14:paraId="6F8C8131" w14:textId="77777777" w:rsidR="00881780" w:rsidRPr="00A71C8E" w:rsidRDefault="00881780" w:rsidP="006F4D8F">
            <w:pPr>
              <w:spacing w:before="0" w:line="240" w:lineRule="auto"/>
              <w:rPr>
                <w:sz w:val="18"/>
                <w:szCs w:val="18"/>
              </w:rPr>
            </w:pPr>
            <w:r w:rsidRPr="00A71C8E">
              <w:rPr>
                <w:sz w:val="18"/>
                <w:szCs w:val="18"/>
              </w:rPr>
              <w:t>[%]</w:t>
            </w:r>
          </w:p>
        </w:tc>
        <w:tc>
          <w:tcPr>
            <w:tcW w:w="365" w:type="pct"/>
            <w:hideMark/>
          </w:tcPr>
          <w:p w14:paraId="7C452843"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04268F19"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564C7631"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4E5F13E9"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308BB0E1"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7A0D7C67" w14:textId="77777777" w:rsidR="00881780" w:rsidRPr="00A71C8E" w:rsidRDefault="00881780" w:rsidP="006F4D8F">
            <w:pPr>
              <w:spacing w:before="0" w:line="240" w:lineRule="auto"/>
              <w:rPr>
                <w:sz w:val="18"/>
                <w:szCs w:val="18"/>
              </w:rPr>
            </w:pPr>
            <w:r w:rsidRPr="00A71C8E">
              <w:rPr>
                <w:sz w:val="18"/>
                <w:szCs w:val="18"/>
              </w:rPr>
              <w:t>[%]</w:t>
            </w:r>
          </w:p>
        </w:tc>
        <w:tc>
          <w:tcPr>
            <w:tcW w:w="365" w:type="pct"/>
            <w:shd w:val="clear" w:color="auto" w:fill="C6D9F1"/>
            <w:hideMark/>
          </w:tcPr>
          <w:p w14:paraId="726A855C" w14:textId="77777777" w:rsidR="00881780" w:rsidRPr="00A71C8E" w:rsidRDefault="00881780" w:rsidP="006F4D8F">
            <w:pPr>
              <w:spacing w:before="0" w:line="240" w:lineRule="auto"/>
              <w:rPr>
                <w:sz w:val="18"/>
                <w:szCs w:val="18"/>
              </w:rPr>
            </w:pPr>
            <w:r w:rsidRPr="00A71C8E">
              <w:rPr>
                <w:sz w:val="18"/>
                <w:szCs w:val="18"/>
              </w:rPr>
              <w:t>[%]</w:t>
            </w:r>
          </w:p>
        </w:tc>
      </w:tr>
      <w:tr w:rsidR="00881780" w:rsidRPr="00A71C8E" w14:paraId="5E81B72C" w14:textId="77777777" w:rsidTr="006F4D8F">
        <w:trPr>
          <w:trHeight w:val="300"/>
        </w:trPr>
        <w:tc>
          <w:tcPr>
            <w:tcW w:w="623" w:type="pct"/>
            <w:noWrap/>
            <w:hideMark/>
          </w:tcPr>
          <w:p w14:paraId="1F19A573" w14:textId="77777777" w:rsidR="00881780" w:rsidRPr="00A71C8E" w:rsidRDefault="00881780" w:rsidP="006F4D8F">
            <w:pPr>
              <w:spacing w:before="0" w:line="240" w:lineRule="auto"/>
              <w:rPr>
                <w:b/>
                <w:sz w:val="18"/>
                <w:szCs w:val="18"/>
              </w:rPr>
            </w:pPr>
            <w:r w:rsidRPr="00A71C8E">
              <w:rPr>
                <w:b/>
                <w:sz w:val="18"/>
                <w:szCs w:val="18"/>
              </w:rPr>
              <w:t>Polska</w:t>
            </w:r>
          </w:p>
        </w:tc>
        <w:tc>
          <w:tcPr>
            <w:tcW w:w="365" w:type="pct"/>
            <w:noWrap/>
            <w:hideMark/>
          </w:tcPr>
          <w:p w14:paraId="35ECE1E7" w14:textId="77777777" w:rsidR="00881780" w:rsidRPr="00A71C8E" w:rsidRDefault="00881780" w:rsidP="006F4D8F">
            <w:pPr>
              <w:spacing w:before="0" w:line="240" w:lineRule="auto"/>
              <w:rPr>
                <w:b/>
                <w:sz w:val="18"/>
                <w:szCs w:val="18"/>
              </w:rPr>
            </w:pPr>
            <w:r w:rsidRPr="00A71C8E">
              <w:rPr>
                <w:b/>
                <w:sz w:val="18"/>
                <w:szCs w:val="18"/>
              </w:rPr>
              <w:t>64,3</w:t>
            </w:r>
          </w:p>
        </w:tc>
        <w:tc>
          <w:tcPr>
            <w:tcW w:w="365" w:type="pct"/>
            <w:noWrap/>
            <w:hideMark/>
          </w:tcPr>
          <w:p w14:paraId="5BA32C70" w14:textId="77777777" w:rsidR="00881780" w:rsidRPr="00A71C8E" w:rsidRDefault="00881780" w:rsidP="006F4D8F">
            <w:pPr>
              <w:spacing w:before="0" w:line="240" w:lineRule="auto"/>
              <w:rPr>
                <w:b/>
                <w:sz w:val="18"/>
                <w:szCs w:val="18"/>
              </w:rPr>
            </w:pPr>
            <w:r w:rsidRPr="00A71C8E">
              <w:rPr>
                <w:b/>
                <w:sz w:val="18"/>
                <w:szCs w:val="18"/>
              </w:rPr>
              <w:t>64,4</w:t>
            </w:r>
          </w:p>
        </w:tc>
        <w:tc>
          <w:tcPr>
            <w:tcW w:w="365" w:type="pct"/>
            <w:noWrap/>
            <w:hideMark/>
          </w:tcPr>
          <w:p w14:paraId="1DECB682" w14:textId="77777777" w:rsidR="00881780" w:rsidRPr="00A71C8E" w:rsidRDefault="00881780" w:rsidP="006F4D8F">
            <w:pPr>
              <w:spacing w:before="0" w:line="240" w:lineRule="auto"/>
              <w:rPr>
                <w:b/>
                <w:sz w:val="18"/>
                <w:szCs w:val="18"/>
              </w:rPr>
            </w:pPr>
            <w:r w:rsidRPr="00A71C8E">
              <w:rPr>
                <w:b/>
                <w:sz w:val="18"/>
                <w:szCs w:val="18"/>
              </w:rPr>
              <w:t>64,7</w:t>
            </w:r>
          </w:p>
        </w:tc>
        <w:tc>
          <w:tcPr>
            <w:tcW w:w="365" w:type="pct"/>
            <w:noWrap/>
            <w:hideMark/>
          </w:tcPr>
          <w:p w14:paraId="1D224955" w14:textId="77777777" w:rsidR="00881780" w:rsidRPr="00A71C8E" w:rsidRDefault="00881780" w:rsidP="006F4D8F">
            <w:pPr>
              <w:spacing w:before="0" w:line="240" w:lineRule="auto"/>
              <w:rPr>
                <w:b/>
                <w:sz w:val="18"/>
                <w:szCs w:val="18"/>
              </w:rPr>
            </w:pPr>
            <w:r w:rsidRPr="00A71C8E">
              <w:rPr>
                <w:b/>
                <w:sz w:val="18"/>
                <w:szCs w:val="18"/>
              </w:rPr>
              <w:t>64,6</w:t>
            </w:r>
          </w:p>
        </w:tc>
        <w:tc>
          <w:tcPr>
            <w:tcW w:w="365" w:type="pct"/>
            <w:noWrap/>
            <w:hideMark/>
          </w:tcPr>
          <w:p w14:paraId="47640CE2" w14:textId="77777777" w:rsidR="00881780" w:rsidRPr="00A71C8E" w:rsidRDefault="00881780" w:rsidP="006F4D8F">
            <w:pPr>
              <w:spacing w:before="0" w:line="240" w:lineRule="auto"/>
              <w:rPr>
                <w:b/>
                <w:sz w:val="18"/>
                <w:szCs w:val="18"/>
              </w:rPr>
            </w:pPr>
            <w:r w:rsidRPr="00A71C8E">
              <w:rPr>
                <w:b/>
                <w:sz w:val="18"/>
                <w:szCs w:val="18"/>
              </w:rPr>
              <w:t>64,8</w:t>
            </w:r>
          </w:p>
        </w:tc>
        <w:tc>
          <w:tcPr>
            <w:tcW w:w="365" w:type="pct"/>
            <w:noWrap/>
            <w:hideMark/>
          </w:tcPr>
          <w:p w14:paraId="644F0D1F" w14:textId="77777777" w:rsidR="00881780" w:rsidRPr="00A71C8E" w:rsidRDefault="00881780" w:rsidP="006F4D8F">
            <w:pPr>
              <w:spacing w:before="0" w:line="240" w:lineRule="auto"/>
              <w:rPr>
                <w:b/>
                <w:sz w:val="18"/>
                <w:szCs w:val="18"/>
              </w:rPr>
            </w:pPr>
            <w:r w:rsidRPr="00A71C8E">
              <w:rPr>
                <w:b/>
                <w:sz w:val="18"/>
                <w:szCs w:val="18"/>
              </w:rPr>
              <w:t>65,2</w:t>
            </w:r>
          </w:p>
        </w:tc>
        <w:tc>
          <w:tcPr>
            <w:tcW w:w="365" w:type="pct"/>
            <w:shd w:val="clear" w:color="auto" w:fill="C6D9F1"/>
            <w:noWrap/>
            <w:hideMark/>
          </w:tcPr>
          <w:p w14:paraId="47B741FE" w14:textId="77777777" w:rsidR="00881780" w:rsidRPr="00A71C8E" w:rsidRDefault="00881780" w:rsidP="006F4D8F">
            <w:pPr>
              <w:spacing w:before="0" w:line="240" w:lineRule="auto"/>
              <w:rPr>
                <w:b/>
                <w:sz w:val="18"/>
                <w:szCs w:val="18"/>
              </w:rPr>
            </w:pPr>
            <w:r w:rsidRPr="00A71C8E">
              <w:rPr>
                <w:b/>
                <w:sz w:val="18"/>
                <w:szCs w:val="18"/>
              </w:rPr>
              <w:t>48,1</w:t>
            </w:r>
          </w:p>
        </w:tc>
        <w:tc>
          <w:tcPr>
            <w:tcW w:w="365" w:type="pct"/>
            <w:shd w:val="clear" w:color="auto" w:fill="C6D9F1"/>
            <w:noWrap/>
            <w:hideMark/>
          </w:tcPr>
          <w:p w14:paraId="5C6B7E0B" w14:textId="77777777" w:rsidR="00881780" w:rsidRPr="00A71C8E" w:rsidRDefault="00881780" w:rsidP="006F4D8F">
            <w:pPr>
              <w:spacing w:before="0" w:line="240" w:lineRule="auto"/>
              <w:rPr>
                <w:b/>
                <w:sz w:val="18"/>
                <w:szCs w:val="18"/>
              </w:rPr>
            </w:pPr>
            <w:r w:rsidRPr="00A71C8E">
              <w:rPr>
                <w:b/>
                <w:sz w:val="18"/>
                <w:szCs w:val="18"/>
              </w:rPr>
              <w:t>48,2</w:t>
            </w:r>
          </w:p>
        </w:tc>
        <w:tc>
          <w:tcPr>
            <w:tcW w:w="365" w:type="pct"/>
            <w:shd w:val="clear" w:color="auto" w:fill="C6D9F1"/>
            <w:noWrap/>
            <w:hideMark/>
          </w:tcPr>
          <w:p w14:paraId="22CF64DC" w14:textId="77777777" w:rsidR="00881780" w:rsidRPr="00A71C8E" w:rsidRDefault="00881780" w:rsidP="006F4D8F">
            <w:pPr>
              <w:spacing w:before="0" w:line="240" w:lineRule="auto"/>
              <w:rPr>
                <w:b/>
                <w:sz w:val="18"/>
                <w:szCs w:val="18"/>
              </w:rPr>
            </w:pPr>
            <w:r w:rsidRPr="00A71C8E">
              <w:rPr>
                <w:b/>
                <w:sz w:val="18"/>
                <w:szCs w:val="18"/>
              </w:rPr>
              <w:t>48,5</w:t>
            </w:r>
          </w:p>
        </w:tc>
        <w:tc>
          <w:tcPr>
            <w:tcW w:w="365" w:type="pct"/>
            <w:shd w:val="clear" w:color="auto" w:fill="C6D9F1"/>
            <w:noWrap/>
            <w:hideMark/>
          </w:tcPr>
          <w:p w14:paraId="095CFEE0" w14:textId="77777777" w:rsidR="00881780" w:rsidRPr="00A71C8E" w:rsidRDefault="00881780" w:rsidP="006F4D8F">
            <w:pPr>
              <w:spacing w:before="0" w:line="240" w:lineRule="auto"/>
              <w:rPr>
                <w:b/>
                <w:sz w:val="18"/>
                <w:szCs w:val="18"/>
              </w:rPr>
            </w:pPr>
            <w:r w:rsidRPr="00A71C8E">
              <w:rPr>
                <w:b/>
                <w:sz w:val="18"/>
                <w:szCs w:val="18"/>
              </w:rPr>
              <w:t>48,4</w:t>
            </w:r>
          </w:p>
        </w:tc>
        <w:tc>
          <w:tcPr>
            <w:tcW w:w="365" w:type="pct"/>
            <w:shd w:val="clear" w:color="auto" w:fill="C6D9F1"/>
            <w:noWrap/>
            <w:hideMark/>
          </w:tcPr>
          <w:p w14:paraId="4FAA9EA2" w14:textId="77777777" w:rsidR="00881780" w:rsidRPr="00A71C8E" w:rsidRDefault="00881780" w:rsidP="006F4D8F">
            <w:pPr>
              <w:spacing w:before="0" w:line="240" w:lineRule="auto"/>
              <w:rPr>
                <w:b/>
                <w:sz w:val="18"/>
                <w:szCs w:val="18"/>
              </w:rPr>
            </w:pPr>
            <w:r w:rsidRPr="00A71C8E">
              <w:rPr>
                <w:b/>
                <w:sz w:val="18"/>
                <w:szCs w:val="18"/>
              </w:rPr>
              <w:t>48,3</w:t>
            </w:r>
          </w:p>
        </w:tc>
        <w:tc>
          <w:tcPr>
            <w:tcW w:w="365" w:type="pct"/>
            <w:shd w:val="clear" w:color="auto" w:fill="C6D9F1"/>
            <w:noWrap/>
            <w:hideMark/>
          </w:tcPr>
          <w:p w14:paraId="5F947CB9" w14:textId="77777777" w:rsidR="00881780" w:rsidRPr="00A71C8E" w:rsidRDefault="00881780" w:rsidP="006F4D8F">
            <w:pPr>
              <w:spacing w:before="0" w:line="240" w:lineRule="auto"/>
              <w:rPr>
                <w:b/>
                <w:sz w:val="18"/>
                <w:szCs w:val="18"/>
              </w:rPr>
            </w:pPr>
            <w:r w:rsidRPr="00A71C8E">
              <w:rPr>
                <w:b/>
                <w:sz w:val="18"/>
                <w:szCs w:val="18"/>
              </w:rPr>
              <w:t>48,4</w:t>
            </w:r>
          </w:p>
        </w:tc>
      </w:tr>
      <w:tr w:rsidR="00881780" w:rsidRPr="00A71C8E" w14:paraId="7FD4F8AC" w14:textId="77777777" w:rsidTr="006F4D8F">
        <w:trPr>
          <w:trHeight w:val="300"/>
        </w:trPr>
        <w:tc>
          <w:tcPr>
            <w:tcW w:w="623" w:type="pct"/>
            <w:noWrap/>
            <w:hideMark/>
          </w:tcPr>
          <w:p w14:paraId="315CF764" w14:textId="77777777" w:rsidR="00881780" w:rsidRPr="00A71C8E" w:rsidRDefault="00881780" w:rsidP="006F4D8F">
            <w:pPr>
              <w:spacing w:before="0" w:line="240" w:lineRule="auto"/>
              <w:rPr>
                <w:sz w:val="18"/>
                <w:szCs w:val="18"/>
              </w:rPr>
            </w:pPr>
            <w:r w:rsidRPr="00A71C8E">
              <w:rPr>
                <w:sz w:val="18"/>
                <w:szCs w:val="18"/>
              </w:rPr>
              <w:t>Dolnośląskie</w:t>
            </w:r>
          </w:p>
        </w:tc>
        <w:tc>
          <w:tcPr>
            <w:tcW w:w="365" w:type="pct"/>
            <w:noWrap/>
            <w:hideMark/>
          </w:tcPr>
          <w:p w14:paraId="568B7A17" w14:textId="77777777" w:rsidR="00881780" w:rsidRPr="00A71C8E" w:rsidRDefault="00881780" w:rsidP="006F4D8F">
            <w:pPr>
              <w:spacing w:before="0" w:line="240" w:lineRule="auto"/>
              <w:rPr>
                <w:sz w:val="18"/>
                <w:szCs w:val="18"/>
              </w:rPr>
            </w:pPr>
            <w:r w:rsidRPr="00A71C8E">
              <w:rPr>
                <w:sz w:val="18"/>
                <w:szCs w:val="18"/>
              </w:rPr>
              <w:t>61,9</w:t>
            </w:r>
          </w:p>
        </w:tc>
        <w:tc>
          <w:tcPr>
            <w:tcW w:w="365" w:type="pct"/>
            <w:noWrap/>
            <w:hideMark/>
          </w:tcPr>
          <w:p w14:paraId="3FD79820" w14:textId="77777777" w:rsidR="00881780" w:rsidRPr="00A71C8E" w:rsidRDefault="00881780" w:rsidP="006F4D8F">
            <w:pPr>
              <w:spacing w:before="0" w:line="240" w:lineRule="auto"/>
              <w:rPr>
                <w:sz w:val="18"/>
                <w:szCs w:val="18"/>
              </w:rPr>
            </w:pPr>
            <w:r w:rsidRPr="00A71C8E">
              <w:rPr>
                <w:sz w:val="18"/>
                <w:szCs w:val="18"/>
              </w:rPr>
              <w:t>62,7</w:t>
            </w:r>
          </w:p>
        </w:tc>
        <w:tc>
          <w:tcPr>
            <w:tcW w:w="365" w:type="pct"/>
            <w:noWrap/>
            <w:hideMark/>
          </w:tcPr>
          <w:p w14:paraId="4CF3E050" w14:textId="77777777" w:rsidR="00881780" w:rsidRPr="00A71C8E" w:rsidRDefault="00881780" w:rsidP="006F4D8F">
            <w:pPr>
              <w:spacing w:before="0" w:line="240" w:lineRule="auto"/>
              <w:rPr>
                <w:sz w:val="18"/>
                <w:szCs w:val="18"/>
              </w:rPr>
            </w:pPr>
            <w:r w:rsidRPr="00A71C8E">
              <w:rPr>
                <w:sz w:val="18"/>
                <w:szCs w:val="18"/>
              </w:rPr>
              <w:t>64,3</w:t>
            </w:r>
          </w:p>
        </w:tc>
        <w:tc>
          <w:tcPr>
            <w:tcW w:w="365" w:type="pct"/>
            <w:noWrap/>
            <w:hideMark/>
          </w:tcPr>
          <w:p w14:paraId="42F12AFD" w14:textId="77777777" w:rsidR="00881780" w:rsidRPr="00A71C8E" w:rsidRDefault="00881780" w:rsidP="006F4D8F">
            <w:pPr>
              <w:spacing w:before="0" w:line="240" w:lineRule="auto"/>
              <w:rPr>
                <w:sz w:val="18"/>
                <w:szCs w:val="18"/>
              </w:rPr>
            </w:pPr>
            <w:r w:rsidRPr="00A71C8E">
              <w:rPr>
                <w:sz w:val="18"/>
                <w:szCs w:val="18"/>
              </w:rPr>
              <w:t>64,6</w:t>
            </w:r>
          </w:p>
        </w:tc>
        <w:tc>
          <w:tcPr>
            <w:tcW w:w="365" w:type="pct"/>
            <w:noWrap/>
            <w:hideMark/>
          </w:tcPr>
          <w:p w14:paraId="390B0227" w14:textId="77777777" w:rsidR="00881780" w:rsidRPr="00A71C8E" w:rsidRDefault="00881780" w:rsidP="006F4D8F">
            <w:pPr>
              <w:spacing w:before="0" w:line="240" w:lineRule="auto"/>
              <w:rPr>
                <w:sz w:val="18"/>
                <w:szCs w:val="18"/>
              </w:rPr>
            </w:pPr>
            <w:r w:rsidRPr="00A71C8E">
              <w:rPr>
                <w:sz w:val="18"/>
                <w:szCs w:val="18"/>
              </w:rPr>
              <w:t>65,6</w:t>
            </w:r>
          </w:p>
        </w:tc>
        <w:tc>
          <w:tcPr>
            <w:tcW w:w="365" w:type="pct"/>
            <w:noWrap/>
            <w:hideMark/>
          </w:tcPr>
          <w:p w14:paraId="765E6EA0" w14:textId="77777777" w:rsidR="00881780" w:rsidRPr="00A71C8E" w:rsidRDefault="00881780" w:rsidP="006F4D8F">
            <w:pPr>
              <w:spacing w:before="0" w:line="240" w:lineRule="auto"/>
              <w:rPr>
                <w:sz w:val="18"/>
                <w:szCs w:val="18"/>
              </w:rPr>
            </w:pPr>
            <w:r w:rsidRPr="00A71C8E">
              <w:rPr>
                <w:sz w:val="18"/>
                <w:szCs w:val="18"/>
              </w:rPr>
              <w:t>64,6</w:t>
            </w:r>
          </w:p>
        </w:tc>
        <w:tc>
          <w:tcPr>
            <w:tcW w:w="365" w:type="pct"/>
            <w:shd w:val="clear" w:color="auto" w:fill="C6D9F1"/>
            <w:noWrap/>
            <w:hideMark/>
          </w:tcPr>
          <w:p w14:paraId="1FC6F5E0" w14:textId="77777777" w:rsidR="00881780" w:rsidRPr="00A71C8E" w:rsidRDefault="00881780" w:rsidP="006F4D8F">
            <w:pPr>
              <w:spacing w:before="0" w:line="240" w:lineRule="auto"/>
              <w:rPr>
                <w:sz w:val="18"/>
                <w:szCs w:val="18"/>
              </w:rPr>
            </w:pPr>
            <w:r w:rsidRPr="00A71C8E">
              <w:rPr>
                <w:sz w:val="18"/>
                <w:szCs w:val="18"/>
              </w:rPr>
              <w:t>46,5</w:t>
            </w:r>
          </w:p>
        </w:tc>
        <w:tc>
          <w:tcPr>
            <w:tcW w:w="365" w:type="pct"/>
            <w:shd w:val="clear" w:color="auto" w:fill="C6D9F1"/>
            <w:noWrap/>
            <w:hideMark/>
          </w:tcPr>
          <w:p w14:paraId="2ED34EB2" w14:textId="77777777" w:rsidR="00881780" w:rsidRPr="00A71C8E" w:rsidRDefault="00881780" w:rsidP="006F4D8F">
            <w:pPr>
              <w:spacing w:before="0" w:line="240" w:lineRule="auto"/>
              <w:rPr>
                <w:sz w:val="18"/>
                <w:szCs w:val="18"/>
              </w:rPr>
            </w:pPr>
            <w:r w:rsidRPr="00A71C8E">
              <w:rPr>
                <w:sz w:val="18"/>
                <w:szCs w:val="18"/>
              </w:rPr>
              <w:t>46,2</w:t>
            </w:r>
          </w:p>
        </w:tc>
        <w:tc>
          <w:tcPr>
            <w:tcW w:w="365" w:type="pct"/>
            <w:shd w:val="clear" w:color="auto" w:fill="C6D9F1"/>
            <w:noWrap/>
            <w:hideMark/>
          </w:tcPr>
          <w:p w14:paraId="7B7EBE9A" w14:textId="77777777" w:rsidR="00881780" w:rsidRPr="00A71C8E" w:rsidRDefault="00881780" w:rsidP="006F4D8F">
            <w:pPr>
              <w:spacing w:before="0" w:line="240" w:lineRule="auto"/>
              <w:rPr>
                <w:sz w:val="18"/>
                <w:szCs w:val="18"/>
              </w:rPr>
            </w:pPr>
            <w:r w:rsidRPr="00A71C8E">
              <w:rPr>
                <w:sz w:val="18"/>
                <w:szCs w:val="18"/>
              </w:rPr>
              <w:t>46,9</w:t>
            </w:r>
          </w:p>
        </w:tc>
        <w:tc>
          <w:tcPr>
            <w:tcW w:w="365" w:type="pct"/>
            <w:shd w:val="clear" w:color="auto" w:fill="C6D9F1"/>
            <w:noWrap/>
            <w:hideMark/>
          </w:tcPr>
          <w:p w14:paraId="48632623" w14:textId="77777777" w:rsidR="00881780" w:rsidRPr="00A71C8E" w:rsidRDefault="00881780" w:rsidP="006F4D8F">
            <w:pPr>
              <w:spacing w:before="0" w:line="240" w:lineRule="auto"/>
              <w:rPr>
                <w:sz w:val="18"/>
                <w:szCs w:val="18"/>
              </w:rPr>
            </w:pPr>
            <w:r w:rsidRPr="00A71C8E">
              <w:rPr>
                <w:sz w:val="18"/>
                <w:szCs w:val="18"/>
              </w:rPr>
              <w:t>46,9</w:t>
            </w:r>
          </w:p>
        </w:tc>
        <w:tc>
          <w:tcPr>
            <w:tcW w:w="365" w:type="pct"/>
            <w:shd w:val="clear" w:color="auto" w:fill="C6D9F1"/>
            <w:noWrap/>
            <w:hideMark/>
          </w:tcPr>
          <w:p w14:paraId="1EBAE0DD" w14:textId="77777777" w:rsidR="00881780" w:rsidRPr="00A71C8E" w:rsidRDefault="00881780" w:rsidP="006F4D8F">
            <w:pPr>
              <w:spacing w:before="0" w:line="240" w:lineRule="auto"/>
              <w:rPr>
                <w:sz w:val="18"/>
                <w:szCs w:val="18"/>
              </w:rPr>
            </w:pPr>
            <w:r w:rsidRPr="00A71C8E">
              <w:rPr>
                <w:sz w:val="18"/>
                <w:szCs w:val="18"/>
              </w:rPr>
              <w:t>48,2</w:t>
            </w:r>
          </w:p>
        </w:tc>
        <w:tc>
          <w:tcPr>
            <w:tcW w:w="365" w:type="pct"/>
            <w:shd w:val="clear" w:color="auto" w:fill="C6D9F1"/>
            <w:noWrap/>
            <w:hideMark/>
          </w:tcPr>
          <w:p w14:paraId="02513117" w14:textId="77777777" w:rsidR="00881780" w:rsidRPr="00A71C8E" w:rsidRDefault="00881780" w:rsidP="006F4D8F">
            <w:pPr>
              <w:spacing w:before="0" w:line="240" w:lineRule="auto"/>
              <w:rPr>
                <w:sz w:val="18"/>
                <w:szCs w:val="18"/>
              </w:rPr>
            </w:pPr>
            <w:r w:rsidRPr="00A71C8E">
              <w:rPr>
                <w:sz w:val="18"/>
                <w:szCs w:val="18"/>
              </w:rPr>
              <w:t>48,5</w:t>
            </w:r>
          </w:p>
        </w:tc>
      </w:tr>
      <w:tr w:rsidR="00881780" w:rsidRPr="00A71C8E" w14:paraId="1862D2B3" w14:textId="77777777" w:rsidTr="006F4D8F">
        <w:trPr>
          <w:trHeight w:val="300"/>
        </w:trPr>
        <w:tc>
          <w:tcPr>
            <w:tcW w:w="623" w:type="pct"/>
            <w:noWrap/>
            <w:hideMark/>
          </w:tcPr>
          <w:p w14:paraId="2854DCF8" w14:textId="77777777" w:rsidR="00881780" w:rsidRPr="00A71C8E" w:rsidRDefault="00881780" w:rsidP="006F4D8F">
            <w:pPr>
              <w:spacing w:before="0" w:line="240" w:lineRule="auto"/>
              <w:rPr>
                <w:sz w:val="18"/>
                <w:szCs w:val="18"/>
              </w:rPr>
            </w:pPr>
            <w:r w:rsidRPr="00A71C8E">
              <w:rPr>
                <w:sz w:val="18"/>
                <w:szCs w:val="18"/>
              </w:rPr>
              <w:t>Kujawsko-pomorskie</w:t>
            </w:r>
          </w:p>
        </w:tc>
        <w:tc>
          <w:tcPr>
            <w:tcW w:w="365" w:type="pct"/>
            <w:noWrap/>
            <w:hideMark/>
          </w:tcPr>
          <w:p w14:paraId="5AADD1A9" w14:textId="77777777" w:rsidR="00881780" w:rsidRPr="00A71C8E" w:rsidRDefault="00881780" w:rsidP="006F4D8F">
            <w:pPr>
              <w:spacing w:before="0" w:line="240" w:lineRule="auto"/>
              <w:rPr>
                <w:sz w:val="18"/>
                <w:szCs w:val="18"/>
              </w:rPr>
            </w:pPr>
            <w:r w:rsidRPr="00A71C8E">
              <w:rPr>
                <w:sz w:val="18"/>
                <w:szCs w:val="18"/>
              </w:rPr>
              <w:t>65,1</w:t>
            </w:r>
          </w:p>
        </w:tc>
        <w:tc>
          <w:tcPr>
            <w:tcW w:w="365" w:type="pct"/>
            <w:noWrap/>
            <w:hideMark/>
          </w:tcPr>
          <w:p w14:paraId="595129BE" w14:textId="77777777" w:rsidR="00881780" w:rsidRPr="00A71C8E" w:rsidRDefault="00881780" w:rsidP="006F4D8F">
            <w:pPr>
              <w:spacing w:before="0" w:line="240" w:lineRule="auto"/>
              <w:rPr>
                <w:sz w:val="18"/>
                <w:szCs w:val="18"/>
              </w:rPr>
            </w:pPr>
            <w:r w:rsidRPr="00A71C8E">
              <w:rPr>
                <w:sz w:val="18"/>
                <w:szCs w:val="18"/>
              </w:rPr>
              <w:t>65,1</w:t>
            </w:r>
          </w:p>
        </w:tc>
        <w:tc>
          <w:tcPr>
            <w:tcW w:w="365" w:type="pct"/>
            <w:noWrap/>
            <w:hideMark/>
          </w:tcPr>
          <w:p w14:paraId="19BB46B3" w14:textId="77777777" w:rsidR="00881780" w:rsidRPr="00A71C8E" w:rsidRDefault="00881780" w:rsidP="006F4D8F">
            <w:pPr>
              <w:spacing w:before="0" w:line="240" w:lineRule="auto"/>
              <w:rPr>
                <w:sz w:val="18"/>
                <w:szCs w:val="18"/>
              </w:rPr>
            </w:pPr>
            <w:r w:rsidRPr="00A71C8E">
              <w:rPr>
                <w:sz w:val="18"/>
                <w:szCs w:val="18"/>
              </w:rPr>
              <w:t>64,6</w:t>
            </w:r>
          </w:p>
        </w:tc>
        <w:tc>
          <w:tcPr>
            <w:tcW w:w="365" w:type="pct"/>
            <w:noWrap/>
            <w:hideMark/>
          </w:tcPr>
          <w:p w14:paraId="4094115A" w14:textId="77777777" w:rsidR="00881780" w:rsidRPr="00A71C8E" w:rsidRDefault="00881780" w:rsidP="006F4D8F">
            <w:pPr>
              <w:spacing w:before="0" w:line="240" w:lineRule="auto"/>
              <w:rPr>
                <w:sz w:val="18"/>
                <w:szCs w:val="18"/>
              </w:rPr>
            </w:pPr>
            <w:r w:rsidRPr="00A71C8E">
              <w:rPr>
                <w:sz w:val="18"/>
                <w:szCs w:val="18"/>
              </w:rPr>
              <w:t>64,0</w:t>
            </w:r>
          </w:p>
        </w:tc>
        <w:tc>
          <w:tcPr>
            <w:tcW w:w="365" w:type="pct"/>
            <w:noWrap/>
            <w:hideMark/>
          </w:tcPr>
          <w:p w14:paraId="0B6A78C0" w14:textId="77777777" w:rsidR="00881780" w:rsidRPr="00A71C8E" w:rsidRDefault="00881780" w:rsidP="006F4D8F">
            <w:pPr>
              <w:spacing w:before="0" w:line="240" w:lineRule="auto"/>
              <w:rPr>
                <w:sz w:val="18"/>
                <w:szCs w:val="18"/>
              </w:rPr>
            </w:pPr>
            <w:r w:rsidRPr="00A71C8E">
              <w:rPr>
                <w:sz w:val="18"/>
                <w:szCs w:val="18"/>
              </w:rPr>
              <w:t>64,3</w:t>
            </w:r>
          </w:p>
        </w:tc>
        <w:tc>
          <w:tcPr>
            <w:tcW w:w="365" w:type="pct"/>
            <w:noWrap/>
            <w:hideMark/>
          </w:tcPr>
          <w:p w14:paraId="0EA70311" w14:textId="77777777" w:rsidR="00881780" w:rsidRPr="00A71C8E" w:rsidRDefault="00881780" w:rsidP="006F4D8F">
            <w:pPr>
              <w:spacing w:before="0" w:line="240" w:lineRule="auto"/>
              <w:rPr>
                <w:sz w:val="18"/>
                <w:szCs w:val="18"/>
              </w:rPr>
            </w:pPr>
            <w:r w:rsidRPr="00A71C8E">
              <w:rPr>
                <w:sz w:val="18"/>
                <w:szCs w:val="18"/>
              </w:rPr>
              <w:t>64,7</w:t>
            </w:r>
          </w:p>
        </w:tc>
        <w:tc>
          <w:tcPr>
            <w:tcW w:w="365" w:type="pct"/>
            <w:shd w:val="clear" w:color="auto" w:fill="C6D9F1"/>
            <w:noWrap/>
            <w:hideMark/>
          </w:tcPr>
          <w:p w14:paraId="382D682F" w14:textId="77777777" w:rsidR="00881780" w:rsidRPr="00A71C8E" w:rsidRDefault="00881780" w:rsidP="006F4D8F">
            <w:pPr>
              <w:spacing w:before="0" w:line="240" w:lineRule="auto"/>
              <w:rPr>
                <w:sz w:val="18"/>
                <w:szCs w:val="18"/>
              </w:rPr>
            </w:pPr>
            <w:r w:rsidRPr="00A71C8E">
              <w:rPr>
                <w:sz w:val="18"/>
                <w:szCs w:val="18"/>
              </w:rPr>
              <w:t>48,2</w:t>
            </w:r>
          </w:p>
        </w:tc>
        <w:tc>
          <w:tcPr>
            <w:tcW w:w="365" w:type="pct"/>
            <w:shd w:val="clear" w:color="auto" w:fill="C6D9F1"/>
            <w:noWrap/>
            <w:hideMark/>
          </w:tcPr>
          <w:p w14:paraId="4102B814" w14:textId="77777777" w:rsidR="00881780" w:rsidRPr="00A71C8E" w:rsidRDefault="00881780" w:rsidP="006F4D8F">
            <w:pPr>
              <w:spacing w:before="0" w:line="240" w:lineRule="auto"/>
              <w:rPr>
                <w:sz w:val="18"/>
                <w:szCs w:val="18"/>
              </w:rPr>
            </w:pPr>
            <w:r w:rsidRPr="00A71C8E">
              <w:rPr>
                <w:sz w:val="18"/>
                <w:szCs w:val="18"/>
              </w:rPr>
              <w:t>47,3</w:t>
            </w:r>
          </w:p>
        </w:tc>
        <w:tc>
          <w:tcPr>
            <w:tcW w:w="365" w:type="pct"/>
            <w:shd w:val="clear" w:color="auto" w:fill="C6D9F1"/>
            <w:noWrap/>
            <w:hideMark/>
          </w:tcPr>
          <w:p w14:paraId="205CAB6A" w14:textId="77777777" w:rsidR="00881780" w:rsidRPr="00A71C8E" w:rsidRDefault="00881780" w:rsidP="006F4D8F">
            <w:pPr>
              <w:spacing w:before="0" w:line="240" w:lineRule="auto"/>
              <w:rPr>
                <w:sz w:val="18"/>
                <w:szCs w:val="18"/>
              </w:rPr>
            </w:pPr>
            <w:r w:rsidRPr="00A71C8E">
              <w:rPr>
                <w:sz w:val="18"/>
                <w:szCs w:val="18"/>
              </w:rPr>
              <w:t>46,9</w:t>
            </w:r>
          </w:p>
        </w:tc>
        <w:tc>
          <w:tcPr>
            <w:tcW w:w="365" w:type="pct"/>
            <w:shd w:val="clear" w:color="auto" w:fill="C6D9F1"/>
            <w:noWrap/>
            <w:hideMark/>
          </w:tcPr>
          <w:p w14:paraId="1E28B450" w14:textId="77777777" w:rsidR="00881780" w:rsidRPr="00A71C8E" w:rsidRDefault="00881780" w:rsidP="006F4D8F">
            <w:pPr>
              <w:spacing w:before="0" w:line="240" w:lineRule="auto"/>
              <w:rPr>
                <w:sz w:val="18"/>
                <w:szCs w:val="18"/>
              </w:rPr>
            </w:pPr>
            <w:r w:rsidRPr="00A71C8E">
              <w:rPr>
                <w:sz w:val="18"/>
                <w:szCs w:val="18"/>
              </w:rPr>
              <w:t>46,8</w:t>
            </w:r>
          </w:p>
        </w:tc>
        <w:tc>
          <w:tcPr>
            <w:tcW w:w="365" w:type="pct"/>
            <w:shd w:val="clear" w:color="auto" w:fill="C6D9F1"/>
            <w:noWrap/>
            <w:hideMark/>
          </w:tcPr>
          <w:p w14:paraId="1A9A1A63" w14:textId="77777777" w:rsidR="00881780" w:rsidRPr="00A71C8E" w:rsidRDefault="00881780" w:rsidP="006F4D8F">
            <w:pPr>
              <w:spacing w:before="0" w:line="240" w:lineRule="auto"/>
              <w:rPr>
                <w:sz w:val="18"/>
                <w:szCs w:val="18"/>
              </w:rPr>
            </w:pPr>
            <w:r w:rsidRPr="00A71C8E">
              <w:rPr>
                <w:sz w:val="18"/>
                <w:szCs w:val="18"/>
              </w:rPr>
              <w:t>46,6</w:t>
            </w:r>
          </w:p>
        </w:tc>
        <w:tc>
          <w:tcPr>
            <w:tcW w:w="365" w:type="pct"/>
            <w:shd w:val="clear" w:color="auto" w:fill="C6D9F1"/>
            <w:noWrap/>
            <w:hideMark/>
          </w:tcPr>
          <w:p w14:paraId="24F2F9B8" w14:textId="77777777" w:rsidR="00881780" w:rsidRPr="00A71C8E" w:rsidRDefault="00881780" w:rsidP="006F4D8F">
            <w:pPr>
              <w:spacing w:before="0" w:line="240" w:lineRule="auto"/>
              <w:rPr>
                <w:sz w:val="18"/>
                <w:szCs w:val="18"/>
              </w:rPr>
            </w:pPr>
            <w:r w:rsidRPr="00A71C8E">
              <w:rPr>
                <w:sz w:val="18"/>
                <w:szCs w:val="18"/>
              </w:rPr>
              <w:t>45,7</w:t>
            </w:r>
          </w:p>
        </w:tc>
      </w:tr>
      <w:tr w:rsidR="00881780" w:rsidRPr="00A71C8E" w14:paraId="6BEEAA31" w14:textId="77777777" w:rsidTr="006F4D8F">
        <w:trPr>
          <w:trHeight w:val="300"/>
        </w:trPr>
        <w:tc>
          <w:tcPr>
            <w:tcW w:w="623" w:type="pct"/>
            <w:noWrap/>
            <w:hideMark/>
          </w:tcPr>
          <w:p w14:paraId="2239E21D" w14:textId="77777777" w:rsidR="00881780" w:rsidRPr="00A71C8E" w:rsidRDefault="00881780" w:rsidP="006F4D8F">
            <w:pPr>
              <w:spacing w:before="0" w:line="240" w:lineRule="auto"/>
              <w:rPr>
                <w:sz w:val="18"/>
                <w:szCs w:val="18"/>
              </w:rPr>
            </w:pPr>
            <w:r w:rsidRPr="00A71C8E">
              <w:rPr>
                <w:sz w:val="18"/>
                <w:szCs w:val="18"/>
              </w:rPr>
              <w:t>Lubelskie</w:t>
            </w:r>
          </w:p>
        </w:tc>
        <w:tc>
          <w:tcPr>
            <w:tcW w:w="365" w:type="pct"/>
            <w:noWrap/>
            <w:hideMark/>
          </w:tcPr>
          <w:p w14:paraId="21A43825" w14:textId="77777777" w:rsidR="00881780" w:rsidRPr="00A71C8E" w:rsidRDefault="00881780" w:rsidP="006F4D8F">
            <w:pPr>
              <w:spacing w:before="0" w:line="240" w:lineRule="auto"/>
              <w:rPr>
                <w:sz w:val="18"/>
                <w:szCs w:val="18"/>
              </w:rPr>
            </w:pPr>
            <w:r w:rsidRPr="00A71C8E">
              <w:rPr>
                <w:sz w:val="18"/>
                <w:szCs w:val="18"/>
              </w:rPr>
              <w:t>64,5</w:t>
            </w:r>
          </w:p>
        </w:tc>
        <w:tc>
          <w:tcPr>
            <w:tcW w:w="365" w:type="pct"/>
            <w:noWrap/>
            <w:hideMark/>
          </w:tcPr>
          <w:p w14:paraId="340AB377" w14:textId="77777777" w:rsidR="00881780" w:rsidRPr="00A71C8E" w:rsidRDefault="00881780" w:rsidP="006F4D8F">
            <w:pPr>
              <w:spacing w:before="0" w:line="240" w:lineRule="auto"/>
              <w:rPr>
                <w:sz w:val="18"/>
                <w:szCs w:val="18"/>
              </w:rPr>
            </w:pPr>
            <w:r w:rsidRPr="00A71C8E">
              <w:rPr>
                <w:sz w:val="18"/>
                <w:szCs w:val="18"/>
              </w:rPr>
              <w:t>64,7</w:t>
            </w:r>
          </w:p>
        </w:tc>
        <w:tc>
          <w:tcPr>
            <w:tcW w:w="365" w:type="pct"/>
            <w:noWrap/>
            <w:hideMark/>
          </w:tcPr>
          <w:p w14:paraId="1993B5C6" w14:textId="77777777" w:rsidR="00881780" w:rsidRPr="00A71C8E" w:rsidRDefault="00881780" w:rsidP="006F4D8F">
            <w:pPr>
              <w:spacing w:before="0" w:line="240" w:lineRule="auto"/>
              <w:rPr>
                <w:sz w:val="18"/>
                <w:szCs w:val="18"/>
              </w:rPr>
            </w:pPr>
            <w:r w:rsidRPr="00A71C8E">
              <w:rPr>
                <w:sz w:val="18"/>
                <w:szCs w:val="18"/>
              </w:rPr>
              <w:t>63,4</w:t>
            </w:r>
          </w:p>
        </w:tc>
        <w:tc>
          <w:tcPr>
            <w:tcW w:w="365" w:type="pct"/>
            <w:noWrap/>
            <w:hideMark/>
          </w:tcPr>
          <w:p w14:paraId="52B122BA" w14:textId="77777777" w:rsidR="00881780" w:rsidRPr="00A71C8E" w:rsidRDefault="00881780" w:rsidP="006F4D8F">
            <w:pPr>
              <w:spacing w:before="0" w:line="240" w:lineRule="auto"/>
              <w:rPr>
                <w:sz w:val="18"/>
                <w:szCs w:val="18"/>
              </w:rPr>
            </w:pPr>
            <w:r w:rsidRPr="00A71C8E">
              <w:rPr>
                <w:sz w:val="18"/>
                <w:szCs w:val="18"/>
              </w:rPr>
              <w:t>63,3</w:t>
            </w:r>
          </w:p>
        </w:tc>
        <w:tc>
          <w:tcPr>
            <w:tcW w:w="365" w:type="pct"/>
            <w:noWrap/>
            <w:hideMark/>
          </w:tcPr>
          <w:p w14:paraId="708E2371" w14:textId="77777777" w:rsidR="00881780" w:rsidRPr="00A71C8E" w:rsidRDefault="00881780" w:rsidP="006F4D8F">
            <w:pPr>
              <w:spacing w:before="0" w:line="240" w:lineRule="auto"/>
              <w:rPr>
                <w:sz w:val="18"/>
                <w:szCs w:val="18"/>
              </w:rPr>
            </w:pPr>
            <w:r w:rsidRPr="00A71C8E">
              <w:rPr>
                <w:sz w:val="18"/>
                <w:szCs w:val="18"/>
              </w:rPr>
              <w:t>63,7</w:t>
            </w:r>
          </w:p>
        </w:tc>
        <w:tc>
          <w:tcPr>
            <w:tcW w:w="365" w:type="pct"/>
            <w:noWrap/>
            <w:hideMark/>
          </w:tcPr>
          <w:p w14:paraId="17F29925" w14:textId="77777777" w:rsidR="00881780" w:rsidRPr="00A71C8E" w:rsidRDefault="00881780" w:rsidP="006F4D8F">
            <w:pPr>
              <w:spacing w:before="0" w:line="240" w:lineRule="auto"/>
              <w:rPr>
                <w:sz w:val="18"/>
                <w:szCs w:val="18"/>
              </w:rPr>
            </w:pPr>
            <w:r w:rsidRPr="00A71C8E">
              <w:rPr>
                <w:sz w:val="18"/>
                <w:szCs w:val="18"/>
              </w:rPr>
              <w:t>64,0</w:t>
            </w:r>
          </w:p>
        </w:tc>
        <w:tc>
          <w:tcPr>
            <w:tcW w:w="365" w:type="pct"/>
            <w:shd w:val="clear" w:color="auto" w:fill="C6D9F1"/>
            <w:noWrap/>
            <w:hideMark/>
          </w:tcPr>
          <w:p w14:paraId="50E9D3EB" w14:textId="77777777" w:rsidR="00881780" w:rsidRPr="00A71C8E" w:rsidRDefault="00881780" w:rsidP="006F4D8F">
            <w:pPr>
              <w:spacing w:before="0" w:line="240" w:lineRule="auto"/>
              <w:rPr>
                <w:sz w:val="18"/>
                <w:szCs w:val="18"/>
              </w:rPr>
            </w:pPr>
            <w:r w:rsidRPr="00A71C8E">
              <w:rPr>
                <w:sz w:val="18"/>
                <w:szCs w:val="18"/>
              </w:rPr>
              <w:t>49,1</w:t>
            </w:r>
          </w:p>
        </w:tc>
        <w:tc>
          <w:tcPr>
            <w:tcW w:w="365" w:type="pct"/>
            <w:shd w:val="clear" w:color="auto" w:fill="C6D9F1"/>
            <w:noWrap/>
            <w:hideMark/>
          </w:tcPr>
          <w:p w14:paraId="3573B00B" w14:textId="77777777" w:rsidR="00881780" w:rsidRPr="00A71C8E" w:rsidRDefault="00881780" w:rsidP="006F4D8F">
            <w:pPr>
              <w:spacing w:before="0" w:line="240" w:lineRule="auto"/>
              <w:rPr>
                <w:sz w:val="18"/>
                <w:szCs w:val="18"/>
              </w:rPr>
            </w:pPr>
            <w:r w:rsidRPr="00A71C8E">
              <w:rPr>
                <w:sz w:val="18"/>
                <w:szCs w:val="18"/>
              </w:rPr>
              <w:t>49,1</w:t>
            </w:r>
          </w:p>
        </w:tc>
        <w:tc>
          <w:tcPr>
            <w:tcW w:w="365" w:type="pct"/>
            <w:shd w:val="clear" w:color="auto" w:fill="C6D9F1"/>
            <w:noWrap/>
            <w:hideMark/>
          </w:tcPr>
          <w:p w14:paraId="32356F63" w14:textId="77777777" w:rsidR="00881780" w:rsidRPr="00A71C8E" w:rsidRDefault="00881780" w:rsidP="006F4D8F">
            <w:pPr>
              <w:spacing w:before="0" w:line="240" w:lineRule="auto"/>
              <w:rPr>
                <w:sz w:val="18"/>
                <w:szCs w:val="18"/>
              </w:rPr>
            </w:pPr>
            <w:r w:rsidRPr="00A71C8E">
              <w:rPr>
                <w:sz w:val="18"/>
                <w:szCs w:val="18"/>
              </w:rPr>
              <w:t>49,7</w:t>
            </w:r>
          </w:p>
        </w:tc>
        <w:tc>
          <w:tcPr>
            <w:tcW w:w="365" w:type="pct"/>
            <w:shd w:val="clear" w:color="auto" w:fill="C6D9F1"/>
            <w:noWrap/>
            <w:hideMark/>
          </w:tcPr>
          <w:p w14:paraId="46FEF731" w14:textId="77777777" w:rsidR="00881780" w:rsidRPr="00A71C8E" w:rsidRDefault="00881780" w:rsidP="006F4D8F">
            <w:pPr>
              <w:spacing w:before="0" w:line="240" w:lineRule="auto"/>
              <w:rPr>
                <w:sz w:val="18"/>
                <w:szCs w:val="18"/>
              </w:rPr>
            </w:pPr>
            <w:r w:rsidRPr="00A71C8E">
              <w:rPr>
                <w:sz w:val="18"/>
                <w:szCs w:val="18"/>
              </w:rPr>
              <w:t>48,9</w:t>
            </w:r>
          </w:p>
        </w:tc>
        <w:tc>
          <w:tcPr>
            <w:tcW w:w="365" w:type="pct"/>
            <w:shd w:val="clear" w:color="auto" w:fill="C6D9F1"/>
            <w:noWrap/>
            <w:hideMark/>
          </w:tcPr>
          <w:p w14:paraId="3E5DDE8E" w14:textId="77777777" w:rsidR="00881780" w:rsidRPr="00A71C8E" w:rsidRDefault="00881780" w:rsidP="006F4D8F">
            <w:pPr>
              <w:spacing w:before="0" w:line="240" w:lineRule="auto"/>
              <w:rPr>
                <w:sz w:val="18"/>
                <w:szCs w:val="18"/>
              </w:rPr>
            </w:pPr>
            <w:r w:rsidRPr="00A71C8E">
              <w:rPr>
                <w:sz w:val="18"/>
                <w:szCs w:val="18"/>
              </w:rPr>
              <w:t>47,0</w:t>
            </w:r>
          </w:p>
        </w:tc>
        <w:tc>
          <w:tcPr>
            <w:tcW w:w="365" w:type="pct"/>
            <w:shd w:val="clear" w:color="auto" w:fill="C6D9F1"/>
            <w:noWrap/>
            <w:hideMark/>
          </w:tcPr>
          <w:p w14:paraId="322FB990" w14:textId="77777777" w:rsidR="00881780" w:rsidRPr="00A71C8E" w:rsidRDefault="00881780" w:rsidP="006F4D8F">
            <w:pPr>
              <w:spacing w:before="0" w:line="240" w:lineRule="auto"/>
              <w:rPr>
                <w:sz w:val="18"/>
                <w:szCs w:val="18"/>
              </w:rPr>
            </w:pPr>
            <w:r w:rsidRPr="00A71C8E">
              <w:rPr>
                <w:sz w:val="18"/>
                <w:szCs w:val="18"/>
              </w:rPr>
              <w:t>46,6</w:t>
            </w:r>
          </w:p>
        </w:tc>
      </w:tr>
      <w:tr w:rsidR="00881780" w:rsidRPr="00A71C8E" w14:paraId="091C0C84" w14:textId="77777777" w:rsidTr="006F4D8F">
        <w:trPr>
          <w:trHeight w:val="300"/>
        </w:trPr>
        <w:tc>
          <w:tcPr>
            <w:tcW w:w="623" w:type="pct"/>
            <w:noWrap/>
            <w:hideMark/>
          </w:tcPr>
          <w:p w14:paraId="3E0414AF" w14:textId="77777777" w:rsidR="00881780" w:rsidRPr="00A71C8E" w:rsidRDefault="00881780" w:rsidP="006F4D8F">
            <w:pPr>
              <w:spacing w:before="0" w:line="240" w:lineRule="auto"/>
              <w:rPr>
                <w:sz w:val="18"/>
                <w:szCs w:val="18"/>
              </w:rPr>
            </w:pPr>
            <w:r w:rsidRPr="00A71C8E">
              <w:rPr>
                <w:sz w:val="18"/>
                <w:szCs w:val="18"/>
              </w:rPr>
              <w:t>Lubuskie</w:t>
            </w:r>
          </w:p>
        </w:tc>
        <w:tc>
          <w:tcPr>
            <w:tcW w:w="365" w:type="pct"/>
            <w:noWrap/>
            <w:hideMark/>
          </w:tcPr>
          <w:p w14:paraId="3D9A5338" w14:textId="77777777" w:rsidR="00881780" w:rsidRPr="00A71C8E" w:rsidRDefault="00881780" w:rsidP="006F4D8F">
            <w:pPr>
              <w:spacing w:before="0" w:line="240" w:lineRule="auto"/>
              <w:rPr>
                <w:sz w:val="18"/>
                <w:szCs w:val="18"/>
              </w:rPr>
            </w:pPr>
            <w:r w:rsidRPr="00A71C8E">
              <w:rPr>
                <w:sz w:val="18"/>
                <w:szCs w:val="18"/>
              </w:rPr>
              <w:t>61,6</w:t>
            </w:r>
          </w:p>
        </w:tc>
        <w:tc>
          <w:tcPr>
            <w:tcW w:w="365" w:type="pct"/>
            <w:noWrap/>
            <w:hideMark/>
          </w:tcPr>
          <w:p w14:paraId="6477566C" w14:textId="77777777" w:rsidR="00881780" w:rsidRPr="00A71C8E" w:rsidRDefault="00881780" w:rsidP="006F4D8F">
            <w:pPr>
              <w:spacing w:before="0" w:line="240" w:lineRule="auto"/>
              <w:rPr>
                <w:sz w:val="18"/>
                <w:szCs w:val="18"/>
              </w:rPr>
            </w:pPr>
            <w:r w:rsidRPr="00A71C8E">
              <w:rPr>
                <w:sz w:val="18"/>
                <w:szCs w:val="18"/>
              </w:rPr>
              <w:t>63,1</w:t>
            </w:r>
          </w:p>
        </w:tc>
        <w:tc>
          <w:tcPr>
            <w:tcW w:w="365" w:type="pct"/>
            <w:noWrap/>
            <w:hideMark/>
          </w:tcPr>
          <w:p w14:paraId="513B4739" w14:textId="77777777" w:rsidR="00881780" w:rsidRPr="00A71C8E" w:rsidRDefault="00881780" w:rsidP="006F4D8F">
            <w:pPr>
              <w:spacing w:before="0" w:line="240" w:lineRule="auto"/>
              <w:rPr>
                <w:sz w:val="18"/>
                <w:szCs w:val="18"/>
              </w:rPr>
            </w:pPr>
            <w:r w:rsidRPr="00A71C8E">
              <w:rPr>
                <w:sz w:val="18"/>
                <w:szCs w:val="18"/>
              </w:rPr>
              <w:t>62,1</w:t>
            </w:r>
          </w:p>
        </w:tc>
        <w:tc>
          <w:tcPr>
            <w:tcW w:w="365" w:type="pct"/>
            <w:noWrap/>
            <w:hideMark/>
          </w:tcPr>
          <w:p w14:paraId="6A283550" w14:textId="77777777" w:rsidR="00881780" w:rsidRPr="00A71C8E" w:rsidRDefault="00881780" w:rsidP="006F4D8F">
            <w:pPr>
              <w:spacing w:before="0" w:line="240" w:lineRule="auto"/>
              <w:rPr>
                <w:sz w:val="18"/>
                <w:szCs w:val="18"/>
              </w:rPr>
            </w:pPr>
            <w:r w:rsidRPr="00A71C8E">
              <w:rPr>
                <w:sz w:val="18"/>
                <w:szCs w:val="18"/>
              </w:rPr>
              <w:t>62,4</w:t>
            </w:r>
          </w:p>
        </w:tc>
        <w:tc>
          <w:tcPr>
            <w:tcW w:w="365" w:type="pct"/>
            <w:noWrap/>
            <w:hideMark/>
          </w:tcPr>
          <w:p w14:paraId="23923593" w14:textId="77777777" w:rsidR="00881780" w:rsidRPr="00A71C8E" w:rsidRDefault="00881780" w:rsidP="006F4D8F">
            <w:pPr>
              <w:spacing w:before="0" w:line="240" w:lineRule="auto"/>
              <w:rPr>
                <w:sz w:val="18"/>
                <w:szCs w:val="18"/>
              </w:rPr>
            </w:pPr>
            <w:r w:rsidRPr="00A71C8E">
              <w:rPr>
                <w:sz w:val="18"/>
                <w:szCs w:val="18"/>
              </w:rPr>
              <w:t>63,9</w:t>
            </w:r>
          </w:p>
        </w:tc>
        <w:tc>
          <w:tcPr>
            <w:tcW w:w="365" w:type="pct"/>
            <w:noWrap/>
            <w:hideMark/>
          </w:tcPr>
          <w:p w14:paraId="3B1E1761" w14:textId="77777777" w:rsidR="00881780" w:rsidRPr="00A71C8E" w:rsidRDefault="00881780" w:rsidP="006F4D8F">
            <w:pPr>
              <w:spacing w:before="0" w:line="240" w:lineRule="auto"/>
              <w:rPr>
                <w:sz w:val="18"/>
                <w:szCs w:val="18"/>
              </w:rPr>
            </w:pPr>
            <w:r w:rsidRPr="00A71C8E">
              <w:rPr>
                <w:sz w:val="18"/>
                <w:szCs w:val="18"/>
              </w:rPr>
              <w:t>64,5</w:t>
            </w:r>
          </w:p>
        </w:tc>
        <w:tc>
          <w:tcPr>
            <w:tcW w:w="365" w:type="pct"/>
            <w:shd w:val="clear" w:color="auto" w:fill="C6D9F1"/>
            <w:noWrap/>
            <w:hideMark/>
          </w:tcPr>
          <w:p w14:paraId="0C73A8F3" w14:textId="77777777" w:rsidR="00881780" w:rsidRPr="00A71C8E" w:rsidRDefault="00881780" w:rsidP="006F4D8F">
            <w:pPr>
              <w:spacing w:before="0" w:line="240" w:lineRule="auto"/>
              <w:rPr>
                <w:sz w:val="18"/>
                <w:szCs w:val="18"/>
              </w:rPr>
            </w:pPr>
            <w:r w:rsidRPr="00A71C8E">
              <w:rPr>
                <w:sz w:val="18"/>
                <w:szCs w:val="18"/>
              </w:rPr>
              <w:t>46,5</w:t>
            </w:r>
          </w:p>
        </w:tc>
        <w:tc>
          <w:tcPr>
            <w:tcW w:w="365" w:type="pct"/>
            <w:shd w:val="clear" w:color="auto" w:fill="C6D9F1"/>
            <w:noWrap/>
            <w:hideMark/>
          </w:tcPr>
          <w:p w14:paraId="4C253B68" w14:textId="77777777" w:rsidR="00881780" w:rsidRPr="00A71C8E" w:rsidRDefault="00881780" w:rsidP="006F4D8F">
            <w:pPr>
              <w:spacing w:before="0" w:line="240" w:lineRule="auto"/>
              <w:rPr>
                <w:sz w:val="18"/>
                <w:szCs w:val="18"/>
              </w:rPr>
            </w:pPr>
            <w:r w:rsidRPr="00A71C8E">
              <w:rPr>
                <w:sz w:val="18"/>
                <w:szCs w:val="18"/>
              </w:rPr>
              <w:t>46,4</w:t>
            </w:r>
          </w:p>
        </w:tc>
        <w:tc>
          <w:tcPr>
            <w:tcW w:w="365" w:type="pct"/>
            <w:shd w:val="clear" w:color="auto" w:fill="C6D9F1"/>
            <w:noWrap/>
            <w:hideMark/>
          </w:tcPr>
          <w:p w14:paraId="4B64E969" w14:textId="77777777" w:rsidR="00881780" w:rsidRPr="00A71C8E" w:rsidRDefault="00881780" w:rsidP="006F4D8F">
            <w:pPr>
              <w:spacing w:before="0" w:line="240" w:lineRule="auto"/>
              <w:rPr>
                <w:sz w:val="18"/>
                <w:szCs w:val="18"/>
              </w:rPr>
            </w:pPr>
            <w:r w:rsidRPr="00A71C8E">
              <w:rPr>
                <w:sz w:val="18"/>
                <w:szCs w:val="18"/>
              </w:rPr>
              <w:t>46,6</w:t>
            </w:r>
          </w:p>
        </w:tc>
        <w:tc>
          <w:tcPr>
            <w:tcW w:w="365" w:type="pct"/>
            <w:shd w:val="clear" w:color="auto" w:fill="C6D9F1"/>
            <w:noWrap/>
            <w:hideMark/>
          </w:tcPr>
          <w:p w14:paraId="795B38CF" w14:textId="77777777" w:rsidR="00881780" w:rsidRPr="00A71C8E" w:rsidRDefault="00881780" w:rsidP="006F4D8F">
            <w:pPr>
              <w:spacing w:before="0" w:line="240" w:lineRule="auto"/>
              <w:rPr>
                <w:sz w:val="18"/>
                <w:szCs w:val="18"/>
              </w:rPr>
            </w:pPr>
            <w:r w:rsidRPr="00A71C8E">
              <w:rPr>
                <w:sz w:val="18"/>
                <w:szCs w:val="18"/>
              </w:rPr>
              <w:t>47,5</w:t>
            </w:r>
          </w:p>
        </w:tc>
        <w:tc>
          <w:tcPr>
            <w:tcW w:w="365" w:type="pct"/>
            <w:shd w:val="clear" w:color="auto" w:fill="C6D9F1"/>
            <w:noWrap/>
            <w:hideMark/>
          </w:tcPr>
          <w:p w14:paraId="3B9F4AF8" w14:textId="77777777" w:rsidR="00881780" w:rsidRPr="00A71C8E" w:rsidRDefault="00881780" w:rsidP="006F4D8F">
            <w:pPr>
              <w:spacing w:before="0" w:line="240" w:lineRule="auto"/>
              <w:rPr>
                <w:sz w:val="18"/>
                <w:szCs w:val="18"/>
              </w:rPr>
            </w:pPr>
            <w:r w:rsidRPr="00A71C8E">
              <w:rPr>
                <w:sz w:val="18"/>
                <w:szCs w:val="18"/>
              </w:rPr>
              <w:t>48,0</w:t>
            </w:r>
          </w:p>
        </w:tc>
        <w:tc>
          <w:tcPr>
            <w:tcW w:w="365" w:type="pct"/>
            <w:shd w:val="clear" w:color="auto" w:fill="C6D9F1"/>
            <w:noWrap/>
            <w:hideMark/>
          </w:tcPr>
          <w:p w14:paraId="690BE9FA" w14:textId="77777777" w:rsidR="00881780" w:rsidRPr="00A71C8E" w:rsidRDefault="00881780" w:rsidP="006F4D8F">
            <w:pPr>
              <w:spacing w:before="0" w:line="240" w:lineRule="auto"/>
              <w:rPr>
                <w:sz w:val="18"/>
                <w:szCs w:val="18"/>
              </w:rPr>
            </w:pPr>
            <w:r w:rsidRPr="00A71C8E">
              <w:rPr>
                <w:sz w:val="18"/>
                <w:szCs w:val="18"/>
              </w:rPr>
              <w:t>47,1</w:t>
            </w:r>
          </w:p>
        </w:tc>
      </w:tr>
      <w:tr w:rsidR="00881780" w:rsidRPr="00A71C8E" w14:paraId="6A5FD810" w14:textId="77777777" w:rsidTr="006F4D8F">
        <w:trPr>
          <w:trHeight w:val="300"/>
        </w:trPr>
        <w:tc>
          <w:tcPr>
            <w:tcW w:w="623" w:type="pct"/>
            <w:noWrap/>
            <w:hideMark/>
          </w:tcPr>
          <w:p w14:paraId="1418DEA0" w14:textId="77777777" w:rsidR="00881780" w:rsidRPr="00A71C8E" w:rsidRDefault="00881780" w:rsidP="006F4D8F">
            <w:pPr>
              <w:spacing w:before="0" w:line="240" w:lineRule="auto"/>
              <w:rPr>
                <w:sz w:val="18"/>
                <w:szCs w:val="18"/>
              </w:rPr>
            </w:pPr>
            <w:r w:rsidRPr="00A71C8E">
              <w:rPr>
                <w:sz w:val="18"/>
                <w:szCs w:val="18"/>
              </w:rPr>
              <w:t>Łódzkie</w:t>
            </w:r>
          </w:p>
        </w:tc>
        <w:tc>
          <w:tcPr>
            <w:tcW w:w="365" w:type="pct"/>
            <w:noWrap/>
            <w:hideMark/>
          </w:tcPr>
          <w:p w14:paraId="19215C38" w14:textId="77777777" w:rsidR="00881780" w:rsidRPr="00A71C8E" w:rsidRDefault="00881780" w:rsidP="006F4D8F">
            <w:pPr>
              <w:spacing w:before="0" w:line="240" w:lineRule="auto"/>
              <w:rPr>
                <w:sz w:val="18"/>
                <w:szCs w:val="18"/>
              </w:rPr>
            </w:pPr>
            <w:r w:rsidRPr="00A71C8E">
              <w:rPr>
                <w:sz w:val="18"/>
                <w:szCs w:val="18"/>
              </w:rPr>
              <w:t>65,6</w:t>
            </w:r>
          </w:p>
        </w:tc>
        <w:tc>
          <w:tcPr>
            <w:tcW w:w="365" w:type="pct"/>
            <w:noWrap/>
            <w:hideMark/>
          </w:tcPr>
          <w:p w14:paraId="2FDB9DBF" w14:textId="77777777" w:rsidR="00881780" w:rsidRPr="00A71C8E" w:rsidRDefault="00881780" w:rsidP="006F4D8F">
            <w:pPr>
              <w:spacing w:before="0" w:line="240" w:lineRule="auto"/>
              <w:rPr>
                <w:sz w:val="18"/>
                <w:szCs w:val="18"/>
              </w:rPr>
            </w:pPr>
            <w:r w:rsidRPr="00A71C8E">
              <w:rPr>
                <w:sz w:val="18"/>
                <w:szCs w:val="18"/>
              </w:rPr>
              <w:t>66,0</w:t>
            </w:r>
          </w:p>
        </w:tc>
        <w:tc>
          <w:tcPr>
            <w:tcW w:w="365" w:type="pct"/>
            <w:noWrap/>
            <w:hideMark/>
          </w:tcPr>
          <w:p w14:paraId="173F7438" w14:textId="77777777" w:rsidR="00881780" w:rsidRPr="00A71C8E" w:rsidRDefault="00881780" w:rsidP="006F4D8F">
            <w:pPr>
              <w:spacing w:before="0" w:line="240" w:lineRule="auto"/>
              <w:rPr>
                <w:sz w:val="18"/>
                <w:szCs w:val="18"/>
              </w:rPr>
            </w:pPr>
            <w:r w:rsidRPr="00A71C8E">
              <w:rPr>
                <w:sz w:val="18"/>
                <w:szCs w:val="18"/>
              </w:rPr>
              <w:t>66,9</w:t>
            </w:r>
          </w:p>
        </w:tc>
        <w:tc>
          <w:tcPr>
            <w:tcW w:w="365" w:type="pct"/>
            <w:noWrap/>
            <w:hideMark/>
          </w:tcPr>
          <w:p w14:paraId="785A34EC" w14:textId="77777777" w:rsidR="00881780" w:rsidRPr="00A71C8E" w:rsidRDefault="00881780" w:rsidP="006F4D8F">
            <w:pPr>
              <w:spacing w:before="0" w:line="240" w:lineRule="auto"/>
              <w:rPr>
                <w:sz w:val="18"/>
                <w:szCs w:val="18"/>
              </w:rPr>
            </w:pPr>
            <w:r w:rsidRPr="00A71C8E">
              <w:rPr>
                <w:sz w:val="18"/>
                <w:szCs w:val="18"/>
              </w:rPr>
              <w:t>65,6</w:t>
            </w:r>
          </w:p>
        </w:tc>
        <w:tc>
          <w:tcPr>
            <w:tcW w:w="365" w:type="pct"/>
            <w:noWrap/>
            <w:hideMark/>
          </w:tcPr>
          <w:p w14:paraId="37AD44DC" w14:textId="77777777" w:rsidR="00881780" w:rsidRPr="00A71C8E" w:rsidRDefault="00881780" w:rsidP="006F4D8F">
            <w:pPr>
              <w:spacing w:before="0" w:line="240" w:lineRule="auto"/>
              <w:rPr>
                <w:sz w:val="18"/>
                <w:szCs w:val="18"/>
              </w:rPr>
            </w:pPr>
            <w:r w:rsidRPr="00A71C8E">
              <w:rPr>
                <w:sz w:val="18"/>
                <w:szCs w:val="18"/>
              </w:rPr>
              <w:t>65,2</w:t>
            </w:r>
          </w:p>
        </w:tc>
        <w:tc>
          <w:tcPr>
            <w:tcW w:w="365" w:type="pct"/>
            <w:noWrap/>
            <w:hideMark/>
          </w:tcPr>
          <w:p w14:paraId="0D3780F8" w14:textId="77777777" w:rsidR="00881780" w:rsidRPr="00A71C8E" w:rsidRDefault="00881780" w:rsidP="006F4D8F">
            <w:pPr>
              <w:spacing w:before="0" w:line="240" w:lineRule="auto"/>
              <w:rPr>
                <w:sz w:val="18"/>
                <w:szCs w:val="18"/>
              </w:rPr>
            </w:pPr>
            <w:r w:rsidRPr="00A71C8E">
              <w:rPr>
                <w:sz w:val="18"/>
                <w:szCs w:val="18"/>
              </w:rPr>
              <w:t>66,6</w:t>
            </w:r>
          </w:p>
        </w:tc>
        <w:tc>
          <w:tcPr>
            <w:tcW w:w="365" w:type="pct"/>
            <w:shd w:val="clear" w:color="auto" w:fill="C6D9F1"/>
            <w:noWrap/>
            <w:hideMark/>
          </w:tcPr>
          <w:p w14:paraId="255B63CA" w14:textId="77777777" w:rsidR="00881780" w:rsidRPr="00A71C8E" w:rsidRDefault="00881780" w:rsidP="006F4D8F">
            <w:pPr>
              <w:spacing w:before="0" w:line="240" w:lineRule="auto"/>
              <w:rPr>
                <w:sz w:val="18"/>
                <w:szCs w:val="18"/>
              </w:rPr>
            </w:pPr>
            <w:r w:rsidRPr="00A71C8E">
              <w:rPr>
                <w:sz w:val="18"/>
                <w:szCs w:val="18"/>
              </w:rPr>
              <w:t>48,7</w:t>
            </w:r>
          </w:p>
        </w:tc>
        <w:tc>
          <w:tcPr>
            <w:tcW w:w="365" w:type="pct"/>
            <w:shd w:val="clear" w:color="auto" w:fill="C6D9F1"/>
            <w:noWrap/>
            <w:hideMark/>
          </w:tcPr>
          <w:p w14:paraId="3E1010FA" w14:textId="77777777" w:rsidR="00881780" w:rsidRPr="00A71C8E" w:rsidRDefault="00881780" w:rsidP="006F4D8F">
            <w:pPr>
              <w:spacing w:before="0" w:line="240" w:lineRule="auto"/>
              <w:rPr>
                <w:sz w:val="18"/>
                <w:szCs w:val="18"/>
              </w:rPr>
            </w:pPr>
            <w:r w:rsidRPr="00A71C8E">
              <w:rPr>
                <w:sz w:val="18"/>
                <w:szCs w:val="18"/>
              </w:rPr>
              <w:t>50,0</w:t>
            </w:r>
          </w:p>
        </w:tc>
        <w:tc>
          <w:tcPr>
            <w:tcW w:w="365" w:type="pct"/>
            <w:shd w:val="clear" w:color="auto" w:fill="C6D9F1"/>
            <w:noWrap/>
            <w:hideMark/>
          </w:tcPr>
          <w:p w14:paraId="0968236F" w14:textId="77777777" w:rsidR="00881780" w:rsidRPr="00A71C8E" w:rsidRDefault="00881780" w:rsidP="006F4D8F">
            <w:pPr>
              <w:spacing w:before="0" w:line="240" w:lineRule="auto"/>
              <w:rPr>
                <w:sz w:val="18"/>
                <w:szCs w:val="18"/>
              </w:rPr>
            </w:pPr>
            <w:r w:rsidRPr="00A71C8E">
              <w:rPr>
                <w:sz w:val="18"/>
                <w:szCs w:val="18"/>
              </w:rPr>
              <w:t>50,6</w:t>
            </w:r>
          </w:p>
        </w:tc>
        <w:tc>
          <w:tcPr>
            <w:tcW w:w="365" w:type="pct"/>
            <w:shd w:val="clear" w:color="auto" w:fill="C6D9F1"/>
            <w:noWrap/>
            <w:hideMark/>
          </w:tcPr>
          <w:p w14:paraId="7B242047" w14:textId="77777777" w:rsidR="00881780" w:rsidRPr="00A71C8E" w:rsidRDefault="00881780" w:rsidP="006F4D8F">
            <w:pPr>
              <w:spacing w:before="0" w:line="240" w:lineRule="auto"/>
              <w:rPr>
                <w:sz w:val="18"/>
                <w:szCs w:val="18"/>
              </w:rPr>
            </w:pPr>
            <w:r w:rsidRPr="00A71C8E">
              <w:rPr>
                <w:sz w:val="18"/>
                <w:szCs w:val="18"/>
              </w:rPr>
              <w:t>49,8</w:t>
            </w:r>
          </w:p>
        </w:tc>
        <w:tc>
          <w:tcPr>
            <w:tcW w:w="365" w:type="pct"/>
            <w:shd w:val="clear" w:color="auto" w:fill="C6D9F1"/>
            <w:noWrap/>
            <w:hideMark/>
          </w:tcPr>
          <w:p w14:paraId="33F74485" w14:textId="77777777" w:rsidR="00881780" w:rsidRPr="00A71C8E" w:rsidRDefault="00881780" w:rsidP="006F4D8F">
            <w:pPr>
              <w:spacing w:before="0" w:line="240" w:lineRule="auto"/>
              <w:rPr>
                <w:sz w:val="18"/>
                <w:szCs w:val="18"/>
              </w:rPr>
            </w:pPr>
            <w:r w:rsidRPr="00A71C8E">
              <w:rPr>
                <w:sz w:val="18"/>
                <w:szCs w:val="18"/>
              </w:rPr>
              <w:t>49,0</w:t>
            </w:r>
          </w:p>
        </w:tc>
        <w:tc>
          <w:tcPr>
            <w:tcW w:w="365" w:type="pct"/>
            <w:shd w:val="clear" w:color="auto" w:fill="C6D9F1"/>
            <w:noWrap/>
            <w:hideMark/>
          </w:tcPr>
          <w:p w14:paraId="300C7E8E" w14:textId="77777777" w:rsidR="00881780" w:rsidRPr="00A71C8E" w:rsidRDefault="00881780" w:rsidP="006F4D8F">
            <w:pPr>
              <w:spacing w:before="0" w:line="240" w:lineRule="auto"/>
              <w:rPr>
                <w:sz w:val="18"/>
                <w:szCs w:val="18"/>
              </w:rPr>
            </w:pPr>
            <w:r w:rsidRPr="00A71C8E">
              <w:rPr>
                <w:sz w:val="18"/>
                <w:szCs w:val="18"/>
              </w:rPr>
              <w:t>49,1</w:t>
            </w:r>
          </w:p>
        </w:tc>
      </w:tr>
      <w:tr w:rsidR="00881780" w:rsidRPr="00A71C8E" w14:paraId="13E8E593" w14:textId="77777777" w:rsidTr="006F4D8F">
        <w:trPr>
          <w:trHeight w:val="300"/>
        </w:trPr>
        <w:tc>
          <w:tcPr>
            <w:tcW w:w="623" w:type="pct"/>
            <w:noWrap/>
            <w:hideMark/>
          </w:tcPr>
          <w:p w14:paraId="79F0CCC7" w14:textId="77777777" w:rsidR="00881780" w:rsidRPr="00A71C8E" w:rsidRDefault="00881780" w:rsidP="006F4D8F">
            <w:pPr>
              <w:spacing w:before="0" w:line="240" w:lineRule="auto"/>
              <w:rPr>
                <w:sz w:val="18"/>
                <w:szCs w:val="18"/>
              </w:rPr>
            </w:pPr>
            <w:r w:rsidRPr="00A71C8E">
              <w:rPr>
                <w:sz w:val="18"/>
                <w:szCs w:val="18"/>
              </w:rPr>
              <w:t>Małopolskie</w:t>
            </w:r>
          </w:p>
        </w:tc>
        <w:tc>
          <w:tcPr>
            <w:tcW w:w="365" w:type="pct"/>
            <w:noWrap/>
            <w:hideMark/>
          </w:tcPr>
          <w:p w14:paraId="25ECEEDF" w14:textId="77777777" w:rsidR="00881780" w:rsidRPr="00A71C8E" w:rsidRDefault="00881780" w:rsidP="006F4D8F">
            <w:pPr>
              <w:spacing w:before="0" w:line="240" w:lineRule="auto"/>
              <w:rPr>
                <w:sz w:val="18"/>
                <w:szCs w:val="18"/>
              </w:rPr>
            </w:pPr>
            <w:r w:rsidRPr="00A71C8E">
              <w:rPr>
                <w:sz w:val="18"/>
                <w:szCs w:val="18"/>
              </w:rPr>
              <w:t>63,1</w:t>
            </w:r>
          </w:p>
        </w:tc>
        <w:tc>
          <w:tcPr>
            <w:tcW w:w="365" w:type="pct"/>
            <w:noWrap/>
            <w:hideMark/>
          </w:tcPr>
          <w:p w14:paraId="0D94AF2A" w14:textId="77777777" w:rsidR="00881780" w:rsidRPr="00A71C8E" w:rsidRDefault="00881780" w:rsidP="006F4D8F">
            <w:pPr>
              <w:spacing w:before="0" w:line="240" w:lineRule="auto"/>
              <w:rPr>
                <w:sz w:val="18"/>
                <w:szCs w:val="18"/>
              </w:rPr>
            </w:pPr>
            <w:r w:rsidRPr="00A71C8E">
              <w:rPr>
                <w:sz w:val="18"/>
                <w:szCs w:val="18"/>
              </w:rPr>
              <w:t>64,3</w:t>
            </w:r>
          </w:p>
        </w:tc>
        <w:tc>
          <w:tcPr>
            <w:tcW w:w="365" w:type="pct"/>
            <w:noWrap/>
            <w:hideMark/>
          </w:tcPr>
          <w:p w14:paraId="1C10A30B" w14:textId="77777777" w:rsidR="00881780" w:rsidRPr="00A71C8E" w:rsidRDefault="00881780" w:rsidP="006F4D8F">
            <w:pPr>
              <w:spacing w:before="0" w:line="240" w:lineRule="auto"/>
              <w:rPr>
                <w:sz w:val="18"/>
                <w:szCs w:val="18"/>
              </w:rPr>
            </w:pPr>
            <w:r w:rsidRPr="00A71C8E">
              <w:rPr>
                <w:sz w:val="18"/>
                <w:szCs w:val="18"/>
              </w:rPr>
              <w:t>63,6</w:t>
            </w:r>
          </w:p>
        </w:tc>
        <w:tc>
          <w:tcPr>
            <w:tcW w:w="365" w:type="pct"/>
            <w:noWrap/>
            <w:hideMark/>
          </w:tcPr>
          <w:p w14:paraId="454BAD18" w14:textId="77777777" w:rsidR="00881780" w:rsidRPr="00A71C8E" w:rsidRDefault="00881780" w:rsidP="006F4D8F">
            <w:pPr>
              <w:spacing w:before="0" w:line="240" w:lineRule="auto"/>
              <w:rPr>
                <w:sz w:val="18"/>
                <w:szCs w:val="18"/>
              </w:rPr>
            </w:pPr>
            <w:r w:rsidRPr="00A71C8E">
              <w:rPr>
                <w:sz w:val="18"/>
                <w:szCs w:val="18"/>
              </w:rPr>
              <w:t>63,6</w:t>
            </w:r>
          </w:p>
        </w:tc>
        <w:tc>
          <w:tcPr>
            <w:tcW w:w="365" w:type="pct"/>
            <w:noWrap/>
            <w:hideMark/>
          </w:tcPr>
          <w:p w14:paraId="033C523B" w14:textId="77777777" w:rsidR="00881780" w:rsidRPr="00A71C8E" w:rsidRDefault="00881780" w:rsidP="006F4D8F">
            <w:pPr>
              <w:spacing w:before="0" w:line="240" w:lineRule="auto"/>
              <w:rPr>
                <w:sz w:val="18"/>
                <w:szCs w:val="18"/>
              </w:rPr>
            </w:pPr>
            <w:r w:rsidRPr="00A71C8E">
              <w:rPr>
                <w:sz w:val="18"/>
                <w:szCs w:val="18"/>
              </w:rPr>
              <w:t>64,4</w:t>
            </w:r>
          </w:p>
        </w:tc>
        <w:tc>
          <w:tcPr>
            <w:tcW w:w="365" w:type="pct"/>
            <w:noWrap/>
            <w:hideMark/>
          </w:tcPr>
          <w:p w14:paraId="3C2B531D" w14:textId="77777777" w:rsidR="00881780" w:rsidRPr="00A71C8E" w:rsidRDefault="00881780" w:rsidP="006F4D8F">
            <w:pPr>
              <w:spacing w:before="0" w:line="240" w:lineRule="auto"/>
              <w:rPr>
                <w:sz w:val="18"/>
                <w:szCs w:val="18"/>
              </w:rPr>
            </w:pPr>
            <w:r w:rsidRPr="00A71C8E">
              <w:rPr>
                <w:sz w:val="18"/>
                <w:szCs w:val="18"/>
              </w:rPr>
              <w:t>64,4</w:t>
            </w:r>
          </w:p>
        </w:tc>
        <w:tc>
          <w:tcPr>
            <w:tcW w:w="365" w:type="pct"/>
            <w:shd w:val="clear" w:color="auto" w:fill="C6D9F1"/>
            <w:noWrap/>
            <w:hideMark/>
          </w:tcPr>
          <w:p w14:paraId="6520436C" w14:textId="77777777" w:rsidR="00881780" w:rsidRPr="00A71C8E" w:rsidRDefault="00881780" w:rsidP="006F4D8F">
            <w:pPr>
              <w:spacing w:before="0" w:line="240" w:lineRule="auto"/>
              <w:rPr>
                <w:sz w:val="18"/>
                <w:szCs w:val="18"/>
              </w:rPr>
            </w:pPr>
            <w:r w:rsidRPr="00A71C8E">
              <w:rPr>
                <w:sz w:val="18"/>
                <w:szCs w:val="18"/>
              </w:rPr>
              <w:t>48,1</w:t>
            </w:r>
          </w:p>
        </w:tc>
        <w:tc>
          <w:tcPr>
            <w:tcW w:w="365" w:type="pct"/>
            <w:shd w:val="clear" w:color="auto" w:fill="C6D9F1"/>
            <w:noWrap/>
            <w:hideMark/>
          </w:tcPr>
          <w:p w14:paraId="21C76672" w14:textId="77777777" w:rsidR="00881780" w:rsidRPr="00A71C8E" w:rsidRDefault="00881780" w:rsidP="006F4D8F">
            <w:pPr>
              <w:spacing w:before="0" w:line="240" w:lineRule="auto"/>
              <w:rPr>
                <w:sz w:val="18"/>
                <w:szCs w:val="18"/>
              </w:rPr>
            </w:pPr>
            <w:r w:rsidRPr="00A71C8E">
              <w:rPr>
                <w:sz w:val="18"/>
                <w:szCs w:val="18"/>
              </w:rPr>
              <w:t>47,9</w:t>
            </w:r>
          </w:p>
        </w:tc>
        <w:tc>
          <w:tcPr>
            <w:tcW w:w="365" w:type="pct"/>
            <w:shd w:val="clear" w:color="auto" w:fill="C6D9F1"/>
            <w:noWrap/>
            <w:hideMark/>
          </w:tcPr>
          <w:p w14:paraId="79B1DF94" w14:textId="77777777" w:rsidR="00881780" w:rsidRPr="00A71C8E" w:rsidRDefault="00881780" w:rsidP="006F4D8F">
            <w:pPr>
              <w:spacing w:before="0" w:line="240" w:lineRule="auto"/>
              <w:rPr>
                <w:sz w:val="18"/>
                <w:szCs w:val="18"/>
              </w:rPr>
            </w:pPr>
            <w:r w:rsidRPr="00A71C8E">
              <w:rPr>
                <w:sz w:val="18"/>
                <w:szCs w:val="18"/>
              </w:rPr>
              <w:t>48,7</w:t>
            </w:r>
          </w:p>
        </w:tc>
        <w:tc>
          <w:tcPr>
            <w:tcW w:w="365" w:type="pct"/>
            <w:shd w:val="clear" w:color="auto" w:fill="C6D9F1"/>
            <w:noWrap/>
            <w:hideMark/>
          </w:tcPr>
          <w:p w14:paraId="37DB2B80" w14:textId="77777777" w:rsidR="00881780" w:rsidRPr="00A71C8E" w:rsidRDefault="00881780" w:rsidP="006F4D8F">
            <w:pPr>
              <w:spacing w:before="0" w:line="240" w:lineRule="auto"/>
              <w:rPr>
                <w:sz w:val="18"/>
                <w:szCs w:val="18"/>
              </w:rPr>
            </w:pPr>
            <w:r w:rsidRPr="00A71C8E">
              <w:rPr>
                <w:sz w:val="18"/>
                <w:szCs w:val="18"/>
              </w:rPr>
              <w:t>48,1</w:t>
            </w:r>
          </w:p>
        </w:tc>
        <w:tc>
          <w:tcPr>
            <w:tcW w:w="365" w:type="pct"/>
            <w:shd w:val="clear" w:color="auto" w:fill="C6D9F1"/>
            <w:noWrap/>
            <w:hideMark/>
          </w:tcPr>
          <w:p w14:paraId="6E20955B" w14:textId="77777777" w:rsidR="00881780" w:rsidRPr="00A71C8E" w:rsidRDefault="00881780" w:rsidP="006F4D8F">
            <w:pPr>
              <w:spacing w:before="0" w:line="240" w:lineRule="auto"/>
              <w:rPr>
                <w:sz w:val="18"/>
                <w:szCs w:val="18"/>
              </w:rPr>
            </w:pPr>
            <w:r w:rsidRPr="00A71C8E">
              <w:rPr>
                <w:sz w:val="18"/>
                <w:szCs w:val="18"/>
              </w:rPr>
              <w:t>48,1</w:t>
            </w:r>
          </w:p>
        </w:tc>
        <w:tc>
          <w:tcPr>
            <w:tcW w:w="365" w:type="pct"/>
            <w:shd w:val="clear" w:color="auto" w:fill="C6D9F1"/>
            <w:noWrap/>
            <w:hideMark/>
          </w:tcPr>
          <w:p w14:paraId="730EA550" w14:textId="77777777" w:rsidR="00881780" w:rsidRPr="00A71C8E" w:rsidRDefault="00881780" w:rsidP="006F4D8F">
            <w:pPr>
              <w:spacing w:before="0" w:line="240" w:lineRule="auto"/>
              <w:rPr>
                <w:sz w:val="18"/>
                <w:szCs w:val="18"/>
              </w:rPr>
            </w:pPr>
            <w:r w:rsidRPr="00A71C8E">
              <w:rPr>
                <w:sz w:val="18"/>
                <w:szCs w:val="18"/>
              </w:rPr>
              <w:t>48,5</w:t>
            </w:r>
          </w:p>
        </w:tc>
      </w:tr>
      <w:tr w:rsidR="00881780" w:rsidRPr="00A71C8E" w14:paraId="2F067EFF" w14:textId="77777777" w:rsidTr="006F4D8F">
        <w:trPr>
          <w:trHeight w:val="300"/>
        </w:trPr>
        <w:tc>
          <w:tcPr>
            <w:tcW w:w="623" w:type="pct"/>
            <w:noWrap/>
            <w:hideMark/>
          </w:tcPr>
          <w:p w14:paraId="68BC0773" w14:textId="77777777" w:rsidR="00881780" w:rsidRPr="00A71C8E" w:rsidRDefault="00881780" w:rsidP="006F4D8F">
            <w:pPr>
              <w:spacing w:before="0" w:line="240" w:lineRule="auto"/>
              <w:rPr>
                <w:sz w:val="18"/>
                <w:szCs w:val="18"/>
              </w:rPr>
            </w:pPr>
            <w:r w:rsidRPr="00A71C8E">
              <w:rPr>
                <w:sz w:val="18"/>
                <w:szCs w:val="18"/>
              </w:rPr>
              <w:t>Mazowieckie</w:t>
            </w:r>
          </w:p>
        </w:tc>
        <w:tc>
          <w:tcPr>
            <w:tcW w:w="365" w:type="pct"/>
            <w:noWrap/>
            <w:hideMark/>
          </w:tcPr>
          <w:p w14:paraId="1076B8D2" w14:textId="77777777" w:rsidR="00881780" w:rsidRPr="00A71C8E" w:rsidRDefault="00881780" w:rsidP="006F4D8F">
            <w:pPr>
              <w:spacing w:before="0" w:line="240" w:lineRule="auto"/>
              <w:rPr>
                <w:sz w:val="18"/>
                <w:szCs w:val="18"/>
              </w:rPr>
            </w:pPr>
            <w:r w:rsidRPr="00A71C8E">
              <w:rPr>
                <w:sz w:val="18"/>
                <w:szCs w:val="18"/>
              </w:rPr>
              <w:t>68,8</w:t>
            </w:r>
          </w:p>
        </w:tc>
        <w:tc>
          <w:tcPr>
            <w:tcW w:w="365" w:type="pct"/>
            <w:noWrap/>
            <w:hideMark/>
          </w:tcPr>
          <w:p w14:paraId="359D154D" w14:textId="77777777" w:rsidR="00881780" w:rsidRPr="00A71C8E" w:rsidRDefault="00881780" w:rsidP="006F4D8F">
            <w:pPr>
              <w:spacing w:before="0" w:line="240" w:lineRule="auto"/>
              <w:rPr>
                <w:sz w:val="18"/>
                <w:szCs w:val="18"/>
              </w:rPr>
            </w:pPr>
            <w:r w:rsidRPr="00A71C8E">
              <w:rPr>
                <w:sz w:val="18"/>
                <w:szCs w:val="18"/>
              </w:rPr>
              <w:t>67,7</w:t>
            </w:r>
          </w:p>
        </w:tc>
        <w:tc>
          <w:tcPr>
            <w:tcW w:w="365" w:type="pct"/>
            <w:noWrap/>
            <w:hideMark/>
          </w:tcPr>
          <w:p w14:paraId="6646E99C" w14:textId="77777777" w:rsidR="00881780" w:rsidRPr="00A71C8E" w:rsidRDefault="00881780" w:rsidP="006F4D8F">
            <w:pPr>
              <w:spacing w:before="0" w:line="240" w:lineRule="auto"/>
              <w:rPr>
                <w:sz w:val="18"/>
                <w:szCs w:val="18"/>
              </w:rPr>
            </w:pPr>
            <w:r w:rsidRPr="00A71C8E">
              <w:rPr>
                <w:sz w:val="18"/>
                <w:szCs w:val="18"/>
              </w:rPr>
              <w:t>69,6</w:t>
            </w:r>
          </w:p>
        </w:tc>
        <w:tc>
          <w:tcPr>
            <w:tcW w:w="365" w:type="pct"/>
            <w:noWrap/>
            <w:hideMark/>
          </w:tcPr>
          <w:p w14:paraId="497D002E" w14:textId="77777777" w:rsidR="00881780" w:rsidRPr="00A71C8E" w:rsidRDefault="00881780" w:rsidP="006F4D8F">
            <w:pPr>
              <w:spacing w:before="0" w:line="240" w:lineRule="auto"/>
              <w:rPr>
                <w:sz w:val="18"/>
                <w:szCs w:val="18"/>
              </w:rPr>
            </w:pPr>
            <w:r w:rsidRPr="00A71C8E">
              <w:rPr>
                <w:sz w:val="18"/>
                <w:szCs w:val="18"/>
              </w:rPr>
              <w:t>69,3</w:t>
            </w:r>
          </w:p>
        </w:tc>
        <w:tc>
          <w:tcPr>
            <w:tcW w:w="365" w:type="pct"/>
            <w:noWrap/>
            <w:hideMark/>
          </w:tcPr>
          <w:p w14:paraId="5B7CBDE0" w14:textId="77777777" w:rsidR="00881780" w:rsidRPr="00A71C8E" w:rsidRDefault="00881780" w:rsidP="006F4D8F">
            <w:pPr>
              <w:spacing w:before="0" w:line="240" w:lineRule="auto"/>
              <w:rPr>
                <w:sz w:val="18"/>
                <w:szCs w:val="18"/>
              </w:rPr>
            </w:pPr>
            <w:r w:rsidRPr="00A71C8E">
              <w:rPr>
                <w:sz w:val="18"/>
                <w:szCs w:val="18"/>
              </w:rPr>
              <w:t>67,7</w:t>
            </w:r>
          </w:p>
        </w:tc>
        <w:tc>
          <w:tcPr>
            <w:tcW w:w="365" w:type="pct"/>
            <w:noWrap/>
            <w:hideMark/>
          </w:tcPr>
          <w:p w14:paraId="5B8D1A0F" w14:textId="77777777" w:rsidR="00881780" w:rsidRPr="00A71C8E" w:rsidRDefault="00881780" w:rsidP="006F4D8F">
            <w:pPr>
              <w:spacing w:before="0" w:line="240" w:lineRule="auto"/>
              <w:rPr>
                <w:sz w:val="18"/>
                <w:szCs w:val="18"/>
              </w:rPr>
            </w:pPr>
            <w:r w:rsidRPr="00A71C8E">
              <w:rPr>
                <w:sz w:val="18"/>
                <w:szCs w:val="18"/>
              </w:rPr>
              <w:t>68,4</w:t>
            </w:r>
          </w:p>
        </w:tc>
        <w:tc>
          <w:tcPr>
            <w:tcW w:w="365" w:type="pct"/>
            <w:shd w:val="clear" w:color="auto" w:fill="C6D9F1"/>
            <w:noWrap/>
            <w:hideMark/>
          </w:tcPr>
          <w:p w14:paraId="4F2D8990" w14:textId="77777777" w:rsidR="00881780" w:rsidRPr="00A71C8E" w:rsidRDefault="00881780" w:rsidP="006F4D8F">
            <w:pPr>
              <w:spacing w:before="0" w:line="240" w:lineRule="auto"/>
              <w:rPr>
                <w:sz w:val="18"/>
                <w:szCs w:val="18"/>
              </w:rPr>
            </w:pPr>
            <w:r w:rsidRPr="00A71C8E">
              <w:rPr>
                <w:sz w:val="18"/>
                <w:szCs w:val="18"/>
              </w:rPr>
              <w:t>52,6</w:t>
            </w:r>
          </w:p>
        </w:tc>
        <w:tc>
          <w:tcPr>
            <w:tcW w:w="365" w:type="pct"/>
            <w:shd w:val="clear" w:color="auto" w:fill="C6D9F1"/>
            <w:noWrap/>
            <w:hideMark/>
          </w:tcPr>
          <w:p w14:paraId="21034A88" w14:textId="77777777" w:rsidR="00881780" w:rsidRPr="00A71C8E" w:rsidRDefault="00881780" w:rsidP="006F4D8F">
            <w:pPr>
              <w:spacing w:before="0" w:line="240" w:lineRule="auto"/>
              <w:rPr>
                <w:sz w:val="18"/>
                <w:szCs w:val="18"/>
              </w:rPr>
            </w:pPr>
            <w:r w:rsidRPr="00A71C8E">
              <w:rPr>
                <w:sz w:val="18"/>
                <w:szCs w:val="18"/>
              </w:rPr>
              <w:t>52,4</w:t>
            </w:r>
          </w:p>
        </w:tc>
        <w:tc>
          <w:tcPr>
            <w:tcW w:w="365" w:type="pct"/>
            <w:shd w:val="clear" w:color="auto" w:fill="C6D9F1"/>
            <w:noWrap/>
            <w:hideMark/>
          </w:tcPr>
          <w:p w14:paraId="164F087E" w14:textId="77777777" w:rsidR="00881780" w:rsidRPr="00A71C8E" w:rsidRDefault="00881780" w:rsidP="006F4D8F">
            <w:pPr>
              <w:spacing w:before="0" w:line="240" w:lineRule="auto"/>
              <w:rPr>
                <w:sz w:val="18"/>
                <w:szCs w:val="18"/>
              </w:rPr>
            </w:pPr>
            <w:r w:rsidRPr="00A71C8E">
              <w:rPr>
                <w:sz w:val="18"/>
                <w:szCs w:val="18"/>
              </w:rPr>
              <w:t>54,2</w:t>
            </w:r>
          </w:p>
        </w:tc>
        <w:tc>
          <w:tcPr>
            <w:tcW w:w="365" w:type="pct"/>
            <w:shd w:val="clear" w:color="auto" w:fill="C6D9F1"/>
            <w:noWrap/>
            <w:hideMark/>
          </w:tcPr>
          <w:p w14:paraId="71058F61" w14:textId="77777777" w:rsidR="00881780" w:rsidRPr="00A71C8E" w:rsidRDefault="00881780" w:rsidP="006F4D8F">
            <w:pPr>
              <w:spacing w:before="0" w:line="240" w:lineRule="auto"/>
              <w:rPr>
                <w:sz w:val="18"/>
                <w:szCs w:val="18"/>
              </w:rPr>
            </w:pPr>
            <w:r w:rsidRPr="00A71C8E">
              <w:rPr>
                <w:sz w:val="18"/>
                <w:szCs w:val="18"/>
              </w:rPr>
              <w:t>53,8</w:t>
            </w:r>
          </w:p>
        </w:tc>
        <w:tc>
          <w:tcPr>
            <w:tcW w:w="365" w:type="pct"/>
            <w:shd w:val="clear" w:color="auto" w:fill="C6D9F1"/>
            <w:noWrap/>
            <w:hideMark/>
          </w:tcPr>
          <w:p w14:paraId="7D5A729F" w14:textId="77777777" w:rsidR="00881780" w:rsidRPr="00A71C8E" w:rsidRDefault="00881780" w:rsidP="006F4D8F">
            <w:pPr>
              <w:spacing w:before="0" w:line="240" w:lineRule="auto"/>
              <w:rPr>
                <w:sz w:val="18"/>
                <w:szCs w:val="18"/>
              </w:rPr>
            </w:pPr>
            <w:r w:rsidRPr="00A71C8E">
              <w:rPr>
                <w:sz w:val="18"/>
                <w:szCs w:val="18"/>
              </w:rPr>
              <w:t>52,9</w:t>
            </w:r>
          </w:p>
        </w:tc>
        <w:tc>
          <w:tcPr>
            <w:tcW w:w="365" w:type="pct"/>
            <w:shd w:val="clear" w:color="auto" w:fill="C6D9F1"/>
            <w:noWrap/>
            <w:hideMark/>
          </w:tcPr>
          <w:p w14:paraId="11EC3DAB" w14:textId="77777777" w:rsidR="00881780" w:rsidRPr="00A71C8E" w:rsidRDefault="00881780" w:rsidP="006F4D8F">
            <w:pPr>
              <w:spacing w:before="0" w:line="240" w:lineRule="auto"/>
              <w:rPr>
                <w:sz w:val="18"/>
                <w:szCs w:val="18"/>
              </w:rPr>
            </w:pPr>
            <w:r w:rsidRPr="00A71C8E">
              <w:rPr>
                <w:sz w:val="18"/>
                <w:szCs w:val="18"/>
              </w:rPr>
              <w:t>52,7</w:t>
            </w:r>
          </w:p>
        </w:tc>
      </w:tr>
      <w:tr w:rsidR="00881780" w:rsidRPr="00A71C8E" w14:paraId="205AF7F4" w14:textId="77777777" w:rsidTr="006F4D8F">
        <w:trPr>
          <w:trHeight w:val="300"/>
        </w:trPr>
        <w:tc>
          <w:tcPr>
            <w:tcW w:w="623" w:type="pct"/>
            <w:noWrap/>
            <w:hideMark/>
          </w:tcPr>
          <w:p w14:paraId="2742C71E" w14:textId="77777777" w:rsidR="00881780" w:rsidRPr="00A71C8E" w:rsidRDefault="00881780" w:rsidP="006F4D8F">
            <w:pPr>
              <w:spacing w:before="0" w:line="240" w:lineRule="auto"/>
              <w:rPr>
                <w:sz w:val="18"/>
                <w:szCs w:val="18"/>
              </w:rPr>
            </w:pPr>
            <w:r w:rsidRPr="00A71C8E">
              <w:rPr>
                <w:sz w:val="18"/>
                <w:szCs w:val="18"/>
              </w:rPr>
              <w:t>Opolskie</w:t>
            </w:r>
          </w:p>
        </w:tc>
        <w:tc>
          <w:tcPr>
            <w:tcW w:w="365" w:type="pct"/>
            <w:noWrap/>
            <w:hideMark/>
          </w:tcPr>
          <w:p w14:paraId="47DD9281" w14:textId="77777777" w:rsidR="00881780" w:rsidRPr="00A71C8E" w:rsidRDefault="00881780" w:rsidP="006F4D8F">
            <w:pPr>
              <w:spacing w:before="0" w:line="240" w:lineRule="auto"/>
              <w:rPr>
                <w:sz w:val="18"/>
                <w:szCs w:val="18"/>
              </w:rPr>
            </w:pPr>
            <w:r w:rsidRPr="00A71C8E">
              <w:rPr>
                <w:sz w:val="18"/>
                <w:szCs w:val="18"/>
              </w:rPr>
              <w:t>65,2</w:t>
            </w:r>
          </w:p>
        </w:tc>
        <w:tc>
          <w:tcPr>
            <w:tcW w:w="365" w:type="pct"/>
            <w:noWrap/>
            <w:hideMark/>
          </w:tcPr>
          <w:p w14:paraId="1A4A3914" w14:textId="77777777" w:rsidR="00881780" w:rsidRPr="00A71C8E" w:rsidRDefault="00881780" w:rsidP="006F4D8F">
            <w:pPr>
              <w:spacing w:before="0" w:line="240" w:lineRule="auto"/>
              <w:rPr>
                <w:sz w:val="18"/>
                <w:szCs w:val="18"/>
              </w:rPr>
            </w:pPr>
            <w:r w:rsidRPr="00A71C8E">
              <w:rPr>
                <w:sz w:val="18"/>
                <w:szCs w:val="18"/>
              </w:rPr>
              <w:t>64,1</w:t>
            </w:r>
          </w:p>
        </w:tc>
        <w:tc>
          <w:tcPr>
            <w:tcW w:w="365" w:type="pct"/>
            <w:noWrap/>
            <w:hideMark/>
          </w:tcPr>
          <w:p w14:paraId="2C7C826B" w14:textId="77777777" w:rsidR="00881780" w:rsidRPr="00A71C8E" w:rsidRDefault="00881780" w:rsidP="006F4D8F">
            <w:pPr>
              <w:spacing w:before="0" w:line="240" w:lineRule="auto"/>
              <w:rPr>
                <w:sz w:val="18"/>
                <w:szCs w:val="18"/>
              </w:rPr>
            </w:pPr>
            <w:r w:rsidRPr="00A71C8E">
              <w:rPr>
                <w:sz w:val="18"/>
                <w:szCs w:val="18"/>
              </w:rPr>
              <w:t>63,2</w:t>
            </w:r>
          </w:p>
        </w:tc>
        <w:tc>
          <w:tcPr>
            <w:tcW w:w="365" w:type="pct"/>
            <w:noWrap/>
            <w:hideMark/>
          </w:tcPr>
          <w:p w14:paraId="3FA407A8" w14:textId="77777777" w:rsidR="00881780" w:rsidRPr="00A71C8E" w:rsidRDefault="00881780" w:rsidP="006F4D8F">
            <w:pPr>
              <w:spacing w:before="0" w:line="240" w:lineRule="auto"/>
              <w:rPr>
                <w:sz w:val="18"/>
                <w:szCs w:val="18"/>
              </w:rPr>
            </w:pPr>
            <w:r w:rsidRPr="00A71C8E">
              <w:rPr>
                <w:sz w:val="18"/>
                <w:szCs w:val="18"/>
              </w:rPr>
              <w:t>63,2</w:t>
            </w:r>
          </w:p>
        </w:tc>
        <w:tc>
          <w:tcPr>
            <w:tcW w:w="365" w:type="pct"/>
            <w:noWrap/>
            <w:hideMark/>
          </w:tcPr>
          <w:p w14:paraId="12C68822" w14:textId="77777777" w:rsidR="00881780" w:rsidRPr="00A71C8E" w:rsidRDefault="00881780" w:rsidP="006F4D8F">
            <w:pPr>
              <w:spacing w:before="0" w:line="240" w:lineRule="auto"/>
              <w:rPr>
                <w:sz w:val="18"/>
                <w:szCs w:val="18"/>
              </w:rPr>
            </w:pPr>
            <w:r w:rsidRPr="00A71C8E">
              <w:rPr>
                <w:sz w:val="18"/>
                <w:szCs w:val="18"/>
              </w:rPr>
              <w:t>65,2</w:t>
            </w:r>
          </w:p>
        </w:tc>
        <w:tc>
          <w:tcPr>
            <w:tcW w:w="365" w:type="pct"/>
            <w:noWrap/>
            <w:hideMark/>
          </w:tcPr>
          <w:p w14:paraId="65613A7E" w14:textId="77777777" w:rsidR="00881780" w:rsidRPr="00A71C8E" w:rsidRDefault="00881780" w:rsidP="006F4D8F">
            <w:pPr>
              <w:spacing w:before="0" w:line="240" w:lineRule="auto"/>
              <w:rPr>
                <w:sz w:val="18"/>
                <w:szCs w:val="18"/>
              </w:rPr>
            </w:pPr>
            <w:r w:rsidRPr="00A71C8E">
              <w:rPr>
                <w:sz w:val="18"/>
                <w:szCs w:val="18"/>
              </w:rPr>
              <w:t>66,8</w:t>
            </w:r>
          </w:p>
        </w:tc>
        <w:tc>
          <w:tcPr>
            <w:tcW w:w="365" w:type="pct"/>
            <w:shd w:val="clear" w:color="auto" w:fill="C6D9F1"/>
            <w:noWrap/>
            <w:hideMark/>
          </w:tcPr>
          <w:p w14:paraId="5E0DF22D" w14:textId="77777777" w:rsidR="00881780" w:rsidRPr="00A71C8E" w:rsidRDefault="00881780" w:rsidP="006F4D8F">
            <w:pPr>
              <w:spacing w:before="0" w:line="240" w:lineRule="auto"/>
              <w:rPr>
                <w:sz w:val="18"/>
                <w:szCs w:val="18"/>
              </w:rPr>
            </w:pPr>
            <w:r w:rsidRPr="00A71C8E">
              <w:rPr>
                <w:sz w:val="18"/>
                <w:szCs w:val="18"/>
              </w:rPr>
              <w:t>44,7</w:t>
            </w:r>
          </w:p>
        </w:tc>
        <w:tc>
          <w:tcPr>
            <w:tcW w:w="365" w:type="pct"/>
            <w:shd w:val="clear" w:color="auto" w:fill="C6D9F1"/>
            <w:noWrap/>
            <w:hideMark/>
          </w:tcPr>
          <w:p w14:paraId="58109298" w14:textId="77777777" w:rsidR="00881780" w:rsidRPr="00A71C8E" w:rsidRDefault="00881780" w:rsidP="006F4D8F">
            <w:pPr>
              <w:spacing w:before="0" w:line="240" w:lineRule="auto"/>
              <w:rPr>
                <w:sz w:val="18"/>
                <w:szCs w:val="18"/>
              </w:rPr>
            </w:pPr>
            <w:r w:rsidRPr="00A71C8E">
              <w:rPr>
                <w:sz w:val="18"/>
                <w:szCs w:val="18"/>
              </w:rPr>
              <w:t>44,4</w:t>
            </w:r>
          </w:p>
        </w:tc>
        <w:tc>
          <w:tcPr>
            <w:tcW w:w="365" w:type="pct"/>
            <w:shd w:val="clear" w:color="auto" w:fill="C6D9F1"/>
            <w:noWrap/>
            <w:hideMark/>
          </w:tcPr>
          <w:p w14:paraId="0ED4C0CA" w14:textId="77777777" w:rsidR="00881780" w:rsidRPr="00A71C8E" w:rsidRDefault="00881780" w:rsidP="006F4D8F">
            <w:pPr>
              <w:spacing w:before="0" w:line="240" w:lineRule="auto"/>
              <w:rPr>
                <w:sz w:val="18"/>
                <w:szCs w:val="18"/>
              </w:rPr>
            </w:pPr>
            <w:r w:rsidRPr="00A71C8E">
              <w:rPr>
                <w:sz w:val="18"/>
                <w:szCs w:val="18"/>
              </w:rPr>
              <w:t>46,0</w:t>
            </w:r>
          </w:p>
        </w:tc>
        <w:tc>
          <w:tcPr>
            <w:tcW w:w="365" w:type="pct"/>
            <w:shd w:val="clear" w:color="auto" w:fill="C6D9F1"/>
            <w:noWrap/>
            <w:hideMark/>
          </w:tcPr>
          <w:p w14:paraId="12F4CA9F" w14:textId="77777777" w:rsidR="00881780" w:rsidRPr="00A71C8E" w:rsidRDefault="00881780" w:rsidP="006F4D8F">
            <w:pPr>
              <w:spacing w:before="0" w:line="240" w:lineRule="auto"/>
              <w:rPr>
                <w:sz w:val="18"/>
                <w:szCs w:val="18"/>
              </w:rPr>
            </w:pPr>
            <w:r w:rsidRPr="00A71C8E">
              <w:rPr>
                <w:sz w:val="18"/>
                <w:szCs w:val="18"/>
              </w:rPr>
              <w:t>46,2</w:t>
            </w:r>
          </w:p>
        </w:tc>
        <w:tc>
          <w:tcPr>
            <w:tcW w:w="365" w:type="pct"/>
            <w:shd w:val="clear" w:color="auto" w:fill="C6D9F1"/>
            <w:noWrap/>
            <w:hideMark/>
          </w:tcPr>
          <w:p w14:paraId="540DE2F1" w14:textId="77777777" w:rsidR="00881780" w:rsidRPr="00A71C8E" w:rsidRDefault="00881780" w:rsidP="006F4D8F">
            <w:pPr>
              <w:spacing w:before="0" w:line="240" w:lineRule="auto"/>
              <w:rPr>
                <w:sz w:val="18"/>
                <w:szCs w:val="18"/>
              </w:rPr>
            </w:pPr>
            <w:r w:rsidRPr="00A71C8E">
              <w:rPr>
                <w:sz w:val="18"/>
                <w:szCs w:val="18"/>
              </w:rPr>
              <w:t>45,0</w:t>
            </w:r>
          </w:p>
        </w:tc>
        <w:tc>
          <w:tcPr>
            <w:tcW w:w="365" w:type="pct"/>
            <w:shd w:val="clear" w:color="auto" w:fill="C6D9F1"/>
            <w:noWrap/>
            <w:hideMark/>
          </w:tcPr>
          <w:p w14:paraId="33C825B2" w14:textId="77777777" w:rsidR="00881780" w:rsidRPr="00A71C8E" w:rsidRDefault="00881780" w:rsidP="006F4D8F">
            <w:pPr>
              <w:spacing w:before="0" w:line="240" w:lineRule="auto"/>
              <w:rPr>
                <w:sz w:val="18"/>
                <w:szCs w:val="18"/>
              </w:rPr>
            </w:pPr>
            <w:r w:rsidRPr="00A71C8E">
              <w:rPr>
                <w:sz w:val="18"/>
                <w:szCs w:val="18"/>
              </w:rPr>
              <w:t>45,4</w:t>
            </w:r>
          </w:p>
        </w:tc>
      </w:tr>
      <w:tr w:rsidR="00881780" w:rsidRPr="00A71C8E" w14:paraId="663D7FFC" w14:textId="77777777" w:rsidTr="006F4D8F">
        <w:trPr>
          <w:trHeight w:val="300"/>
        </w:trPr>
        <w:tc>
          <w:tcPr>
            <w:tcW w:w="623" w:type="pct"/>
            <w:noWrap/>
            <w:hideMark/>
          </w:tcPr>
          <w:p w14:paraId="5CE720C2" w14:textId="77777777" w:rsidR="00881780" w:rsidRPr="00A71C8E" w:rsidRDefault="00881780" w:rsidP="006F4D8F">
            <w:pPr>
              <w:spacing w:before="0" w:line="240" w:lineRule="auto"/>
              <w:rPr>
                <w:sz w:val="18"/>
                <w:szCs w:val="18"/>
              </w:rPr>
            </w:pPr>
            <w:r w:rsidRPr="00A71C8E">
              <w:rPr>
                <w:sz w:val="18"/>
                <w:szCs w:val="18"/>
              </w:rPr>
              <w:t>Podkarpackie</w:t>
            </w:r>
          </w:p>
        </w:tc>
        <w:tc>
          <w:tcPr>
            <w:tcW w:w="365" w:type="pct"/>
            <w:noWrap/>
            <w:hideMark/>
          </w:tcPr>
          <w:p w14:paraId="29E09981" w14:textId="77777777" w:rsidR="00881780" w:rsidRPr="00A71C8E" w:rsidRDefault="00881780" w:rsidP="006F4D8F">
            <w:pPr>
              <w:spacing w:before="0" w:line="240" w:lineRule="auto"/>
              <w:rPr>
                <w:sz w:val="18"/>
                <w:szCs w:val="18"/>
              </w:rPr>
            </w:pPr>
            <w:r w:rsidRPr="00A71C8E">
              <w:rPr>
                <w:sz w:val="18"/>
                <w:szCs w:val="18"/>
              </w:rPr>
              <w:t>63,3</w:t>
            </w:r>
          </w:p>
        </w:tc>
        <w:tc>
          <w:tcPr>
            <w:tcW w:w="365" w:type="pct"/>
            <w:noWrap/>
            <w:hideMark/>
          </w:tcPr>
          <w:p w14:paraId="286DBA57" w14:textId="77777777" w:rsidR="00881780" w:rsidRPr="00A71C8E" w:rsidRDefault="00881780" w:rsidP="006F4D8F">
            <w:pPr>
              <w:spacing w:before="0" w:line="240" w:lineRule="auto"/>
              <w:rPr>
                <w:sz w:val="18"/>
                <w:szCs w:val="18"/>
              </w:rPr>
            </w:pPr>
            <w:r w:rsidRPr="00A71C8E">
              <w:rPr>
                <w:sz w:val="18"/>
                <w:szCs w:val="18"/>
              </w:rPr>
              <w:t>64,3</w:t>
            </w:r>
          </w:p>
        </w:tc>
        <w:tc>
          <w:tcPr>
            <w:tcW w:w="365" w:type="pct"/>
            <w:noWrap/>
            <w:hideMark/>
          </w:tcPr>
          <w:p w14:paraId="1492523B" w14:textId="77777777" w:rsidR="00881780" w:rsidRPr="00A71C8E" w:rsidRDefault="00881780" w:rsidP="006F4D8F">
            <w:pPr>
              <w:spacing w:before="0" w:line="240" w:lineRule="auto"/>
              <w:rPr>
                <w:sz w:val="18"/>
                <w:szCs w:val="18"/>
              </w:rPr>
            </w:pPr>
            <w:r w:rsidRPr="00A71C8E">
              <w:rPr>
                <w:sz w:val="18"/>
                <w:szCs w:val="18"/>
              </w:rPr>
              <w:t>63,1</w:t>
            </w:r>
          </w:p>
        </w:tc>
        <w:tc>
          <w:tcPr>
            <w:tcW w:w="365" w:type="pct"/>
            <w:noWrap/>
            <w:hideMark/>
          </w:tcPr>
          <w:p w14:paraId="4C6964DE" w14:textId="77777777" w:rsidR="00881780" w:rsidRPr="00A71C8E" w:rsidRDefault="00881780" w:rsidP="006F4D8F">
            <w:pPr>
              <w:spacing w:before="0" w:line="240" w:lineRule="auto"/>
              <w:rPr>
                <w:sz w:val="18"/>
                <w:szCs w:val="18"/>
              </w:rPr>
            </w:pPr>
            <w:r w:rsidRPr="00A71C8E">
              <w:rPr>
                <w:sz w:val="18"/>
                <w:szCs w:val="18"/>
              </w:rPr>
              <w:t>62,4</w:t>
            </w:r>
          </w:p>
        </w:tc>
        <w:tc>
          <w:tcPr>
            <w:tcW w:w="365" w:type="pct"/>
            <w:noWrap/>
            <w:hideMark/>
          </w:tcPr>
          <w:p w14:paraId="024F84C6" w14:textId="77777777" w:rsidR="00881780" w:rsidRPr="00A71C8E" w:rsidRDefault="00881780" w:rsidP="006F4D8F">
            <w:pPr>
              <w:spacing w:before="0" w:line="240" w:lineRule="auto"/>
              <w:rPr>
                <w:sz w:val="18"/>
                <w:szCs w:val="18"/>
              </w:rPr>
            </w:pPr>
            <w:r w:rsidRPr="00A71C8E">
              <w:rPr>
                <w:sz w:val="18"/>
                <w:szCs w:val="18"/>
              </w:rPr>
              <w:t>64,9</w:t>
            </w:r>
          </w:p>
        </w:tc>
        <w:tc>
          <w:tcPr>
            <w:tcW w:w="365" w:type="pct"/>
            <w:noWrap/>
            <w:hideMark/>
          </w:tcPr>
          <w:p w14:paraId="3FA55787" w14:textId="77777777" w:rsidR="00881780" w:rsidRPr="00A71C8E" w:rsidRDefault="00881780" w:rsidP="006F4D8F">
            <w:pPr>
              <w:spacing w:before="0" w:line="240" w:lineRule="auto"/>
              <w:rPr>
                <w:sz w:val="18"/>
                <w:szCs w:val="18"/>
              </w:rPr>
            </w:pPr>
            <w:r w:rsidRPr="00A71C8E">
              <w:rPr>
                <w:sz w:val="18"/>
                <w:szCs w:val="18"/>
              </w:rPr>
              <w:t>64,9</w:t>
            </w:r>
          </w:p>
        </w:tc>
        <w:tc>
          <w:tcPr>
            <w:tcW w:w="365" w:type="pct"/>
            <w:shd w:val="clear" w:color="auto" w:fill="C6D9F1"/>
            <w:noWrap/>
            <w:hideMark/>
          </w:tcPr>
          <w:p w14:paraId="451BA758" w14:textId="77777777" w:rsidR="00881780" w:rsidRPr="00A71C8E" w:rsidRDefault="00881780" w:rsidP="006F4D8F">
            <w:pPr>
              <w:spacing w:before="0" w:line="240" w:lineRule="auto"/>
              <w:rPr>
                <w:sz w:val="18"/>
                <w:szCs w:val="18"/>
              </w:rPr>
            </w:pPr>
            <w:r w:rsidRPr="00A71C8E">
              <w:rPr>
                <w:sz w:val="18"/>
                <w:szCs w:val="18"/>
              </w:rPr>
              <w:t>49,4</w:t>
            </w:r>
          </w:p>
        </w:tc>
        <w:tc>
          <w:tcPr>
            <w:tcW w:w="365" w:type="pct"/>
            <w:shd w:val="clear" w:color="auto" w:fill="C6D9F1"/>
            <w:noWrap/>
            <w:hideMark/>
          </w:tcPr>
          <w:p w14:paraId="50EFA885" w14:textId="77777777" w:rsidR="00881780" w:rsidRPr="00A71C8E" w:rsidRDefault="00881780" w:rsidP="006F4D8F">
            <w:pPr>
              <w:spacing w:before="0" w:line="240" w:lineRule="auto"/>
              <w:rPr>
                <w:sz w:val="18"/>
                <w:szCs w:val="18"/>
              </w:rPr>
            </w:pPr>
            <w:r w:rsidRPr="00A71C8E">
              <w:rPr>
                <w:sz w:val="18"/>
                <w:szCs w:val="18"/>
              </w:rPr>
              <w:t>48,5</w:t>
            </w:r>
          </w:p>
        </w:tc>
        <w:tc>
          <w:tcPr>
            <w:tcW w:w="365" w:type="pct"/>
            <w:shd w:val="clear" w:color="auto" w:fill="C6D9F1"/>
            <w:noWrap/>
            <w:hideMark/>
          </w:tcPr>
          <w:p w14:paraId="1520D015" w14:textId="77777777" w:rsidR="00881780" w:rsidRPr="00A71C8E" w:rsidRDefault="00881780" w:rsidP="006F4D8F">
            <w:pPr>
              <w:spacing w:before="0" w:line="240" w:lineRule="auto"/>
              <w:rPr>
                <w:sz w:val="18"/>
                <w:szCs w:val="18"/>
              </w:rPr>
            </w:pPr>
            <w:r w:rsidRPr="00A71C8E">
              <w:rPr>
                <w:sz w:val="18"/>
                <w:szCs w:val="18"/>
              </w:rPr>
              <w:t>46,4</w:t>
            </w:r>
          </w:p>
        </w:tc>
        <w:tc>
          <w:tcPr>
            <w:tcW w:w="365" w:type="pct"/>
            <w:shd w:val="clear" w:color="auto" w:fill="C6D9F1"/>
            <w:noWrap/>
            <w:hideMark/>
          </w:tcPr>
          <w:p w14:paraId="26DB8056" w14:textId="77777777" w:rsidR="00881780" w:rsidRPr="00A71C8E" w:rsidRDefault="00881780" w:rsidP="006F4D8F">
            <w:pPr>
              <w:spacing w:before="0" w:line="240" w:lineRule="auto"/>
              <w:rPr>
                <w:sz w:val="18"/>
                <w:szCs w:val="18"/>
              </w:rPr>
            </w:pPr>
            <w:r w:rsidRPr="00A71C8E">
              <w:rPr>
                <w:sz w:val="18"/>
                <w:szCs w:val="18"/>
              </w:rPr>
              <w:t>46,5</w:t>
            </w:r>
          </w:p>
        </w:tc>
        <w:tc>
          <w:tcPr>
            <w:tcW w:w="365" w:type="pct"/>
            <w:shd w:val="clear" w:color="auto" w:fill="C6D9F1"/>
            <w:noWrap/>
            <w:hideMark/>
          </w:tcPr>
          <w:p w14:paraId="4DD71A64" w14:textId="77777777" w:rsidR="00881780" w:rsidRPr="00A71C8E" w:rsidRDefault="00881780" w:rsidP="006F4D8F">
            <w:pPr>
              <w:spacing w:before="0" w:line="240" w:lineRule="auto"/>
              <w:rPr>
                <w:sz w:val="18"/>
                <w:szCs w:val="18"/>
              </w:rPr>
            </w:pPr>
            <w:r w:rsidRPr="00A71C8E">
              <w:rPr>
                <w:sz w:val="18"/>
                <w:szCs w:val="18"/>
              </w:rPr>
              <w:t>47,4</w:t>
            </w:r>
          </w:p>
        </w:tc>
        <w:tc>
          <w:tcPr>
            <w:tcW w:w="365" w:type="pct"/>
            <w:shd w:val="clear" w:color="auto" w:fill="C6D9F1"/>
            <w:noWrap/>
            <w:hideMark/>
          </w:tcPr>
          <w:p w14:paraId="501C3C2E" w14:textId="77777777" w:rsidR="00881780" w:rsidRPr="00A71C8E" w:rsidRDefault="00881780" w:rsidP="006F4D8F">
            <w:pPr>
              <w:spacing w:before="0" w:line="240" w:lineRule="auto"/>
              <w:rPr>
                <w:sz w:val="18"/>
                <w:szCs w:val="18"/>
              </w:rPr>
            </w:pPr>
            <w:r w:rsidRPr="00A71C8E">
              <w:rPr>
                <w:sz w:val="18"/>
                <w:szCs w:val="18"/>
              </w:rPr>
              <w:t>48,5</w:t>
            </w:r>
          </w:p>
        </w:tc>
      </w:tr>
      <w:tr w:rsidR="00881780" w:rsidRPr="00A71C8E" w14:paraId="68078E73" w14:textId="77777777" w:rsidTr="006F4D8F">
        <w:trPr>
          <w:trHeight w:val="300"/>
        </w:trPr>
        <w:tc>
          <w:tcPr>
            <w:tcW w:w="623" w:type="pct"/>
            <w:noWrap/>
            <w:hideMark/>
          </w:tcPr>
          <w:p w14:paraId="6063C721" w14:textId="77777777" w:rsidR="00881780" w:rsidRPr="00A71C8E" w:rsidRDefault="00881780" w:rsidP="006F4D8F">
            <w:pPr>
              <w:spacing w:before="0" w:line="240" w:lineRule="auto"/>
              <w:rPr>
                <w:sz w:val="18"/>
                <w:szCs w:val="18"/>
              </w:rPr>
            </w:pPr>
            <w:r w:rsidRPr="00A71C8E">
              <w:rPr>
                <w:sz w:val="18"/>
                <w:szCs w:val="18"/>
              </w:rPr>
              <w:t>Podlaskie</w:t>
            </w:r>
          </w:p>
        </w:tc>
        <w:tc>
          <w:tcPr>
            <w:tcW w:w="365" w:type="pct"/>
            <w:noWrap/>
            <w:hideMark/>
          </w:tcPr>
          <w:p w14:paraId="6EDB1BFF" w14:textId="77777777" w:rsidR="00881780" w:rsidRPr="00A71C8E" w:rsidRDefault="00881780" w:rsidP="006F4D8F">
            <w:pPr>
              <w:spacing w:before="0" w:line="240" w:lineRule="auto"/>
              <w:rPr>
                <w:sz w:val="18"/>
                <w:szCs w:val="18"/>
              </w:rPr>
            </w:pPr>
            <w:r w:rsidRPr="00A71C8E">
              <w:rPr>
                <w:sz w:val="18"/>
                <w:szCs w:val="18"/>
              </w:rPr>
              <w:t>63,7</w:t>
            </w:r>
          </w:p>
        </w:tc>
        <w:tc>
          <w:tcPr>
            <w:tcW w:w="365" w:type="pct"/>
            <w:noWrap/>
            <w:hideMark/>
          </w:tcPr>
          <w:p w14:paraId="66CDEBC3" w14:textId="77777777" w:rsidR="00881780" w:rsidRPr="00A71C8E" w:rsidRDefault="00881780" w:rsidP="006F4D8F">
            <w:pPr>
              <w:spacing w:before="0" w:line="240" w:lineRule="auto"/>
              <w:rPr>
                <w:sz w:val="18"/>
                <w:szCs w:val="18"/>
              </w:rPr>
            </w:pPr>
            <w:r w:rsidRPr="00A71C8E">
              <w:rPr>
                <w:sz w:val="18"/>
                <w:szCs w:val="18"/>
              </w:rPr>
              <w:t>63,4</w:t>
            </w:r>
          </w:p>
        </w:tc>
        <w:tc>
          <w:tcPr>
            <w:tcW w:w="365" w:type="pct"/>
            <w:noWrap/>
            <w:hideMark/>
          </w:tcPr>
          <w:p w14:paraId="04DA87DD" w14:textId="77777777" w:rsidR="00881780" w:rsidRPr="00A71C8E" w:rsidRDefault="00881780" w:rsidP="006F4D8F">
            <w:pPr>
              <w:spacing w:before="0" w:line="240" w:lineRule="auto"/>
              <w:rPr>
                <w:sz w:val="18"/>
                <w:szCs w:val="18"/>
              </w:rPr>
            </w:pPr>
            <w:r w:rsidRPr="00A71C8E">
              <w:rPr>
                <w:sz w:val="18"/>
                <w:szCs w:val="18"/>
              </w:rPr>
              <w:t>63,9</w:t>
            </w:r>
          </w:p>
        </w:tc>
        <w:tc>
          <w:tcPr>
            <w:tcW w:w="365" w:type="pct"/>
            <w:noWrap/>
            <w:hideMark/>
          </w:tcPr>
          <w:p w14:paraId="4E9ACB9A" w14:textId="77777777" w:rsidR="00881780" w:rsidRPr="00A71C8E" w:rsidRDefault="00881780" w:rsidP="006F4D8F">
            <w:pPr>
              <w:spacing w:before="0" w:line="240" w:lineRule="auto"/>
              <w:rPr>
                <w:sz w:val="18"/>
                <w:szCs w:val="18"/>
              </w:rPr>
            </w:pPr>
            <w:r w:rsidRPr="00A71C8E">
              <w:rPr>
                <w:sz w:val="18"/>
                <w:szCs w:val="18"/>
              </w:rPr>
              <w:t>63,8</w:t>
            </w:r>
          </w:p>
        </w:tc>
        <w:tc>
          <w:tcPr>
            <w:tcW w:w="365" w:type="pct"/>
            <w:noWrap/>
            <w:hideMark/>
          </w:tcPr>
          <w:p w14:paraId="2381B421" w14:textId="77777777" w:rsidR="00881780" w:rsidRPr="00A71C8E" w:rsidRDefault="00881780" w:rsidP="006F4D8F">
            <w:pPr>
              <w:spacing w:before="0" w:line="240" w:lineRule="auto"/>
              <w:rPr>
                <w:sz w:val="18"/>
                <w:szCs w:val="18"/>
              </w:rPr>
            </w:pPr>
            <w:r w:rsidRPr="00A71C8E">
              <w:rPr>
                <w:sz w:val="18"/>
                <w:szCs w:val="18"/>
              </w:rPr>
              <w:t>64,8</w:t>
            </w:r>
          </w:p>
        </w:tc>
        <w:tc>
          <w:tcPr>
            <w:tcW w:w="365" w:type="pct"/>
            <w:noWrap/>
            <w:hideMark/>
          </w:tcPr>
          <w:p w14:paraId="41E82005" w14:textId="77777777" w:rsidR="00881780" w:rsidRPr="00A71C8E" w:rsidRDefault="00881780" w:rsidP="006F4D8F">
            <w:pPr>
              <w:spacing w:before="0" w:line="240" w:lineRule="auto"/>
              <w:rPr>
                <w:sz w:val="18"/>
                <w:szCs w:val="18"/>
              </w:rPr>
            </w:pPr>
            <w:r w:rsidRPr="00A71C8E">
              <w:rPr>
                <w:sz w:val="18"/>
                <w:szCs w:val="18"/>
              </w:rPr>
              <w:t>63,8</w:t>
            </w:r>
          </w:p>
        </w:tc>
        <w:tc>
          <w:tcPr>
            <w:tcW w:w="365" w:type="pct"/>
            <w:shd w:val="clear" w:color="auto" w:fill="C6D9F1"/>
            <w:noWrap/>
            <w:hideMark/>
          </w:tcPr>
          <w:p w14:paraId="012124FB" w14:textId="77777777" w:rsidR="00881780" w:rsidRPr="00A71C8E" w:rsidRDefault="00881780" w:rsidP="006F4D8F">
            <w:pPr>
              <w:spacing w:before="0" w:line="240" w:lineRule="auto"/>
              <w:rPr>
                <w:sz w:val="18"/>
                <w:szCs w:val="18"/>
              </w:rPr>
            </w:pPr>
            <w:r w:rsidRPr="00A71C8E">
              <w:rPr>
                <w:sz w:val="18"/>
                <w:szCs w:val="18"/>
              </w:rPr>
              <w:t>48,3</w:t>
            </w:r>
          </w:p>
        </w:tc>
        <w:tc>
          <w:tcPr>
            <w:tcW w:w="365" w:type="pct"/>
            <w:shd w:val="clear" w:color="auto" w:fill="C6D9F1"/>
            <w:noWrap/>
            <w:hideMark/>
          </w:tcPr>
          <w:p w14:paraId="6F945765" w14:textId="77777777" w:rsidR="00881780" w:rsidRPr="00A71C8E" w:rsidRDefault="00881780" w:rsidP="006F4D8F">
            <w:pPr>
              <w:spacing w:before="0" w:line="240" w:lineRule="auto"/>
              <w:rPr>
                <w:sz w:val="18"/>
                <w:szCs w:val="18"/>
              </w:rPr>
            </w:pPr>
            <w:r w:rsidRPr="00A71C8E">
              <w:rPr>
                <w:sz w:val="18"/>
                <w:szCs w:val="18"/>
              </w:rPr>
              <w:t>48,1</w:t>
            </w:r>
          </w:p>
        </w:tc>
        <w:tc>
          <w:tcPr>
            <w:tcW w:w="365" w:type="pct"/>
            <w:shd w:val="clear" w:color="auto" w:fill="C6D9F1"/>
            <w:noWrap/>
            <w:hideMark/>
          </w:tcPr>
          <w:p w14:paraId="28E9AFF6" w14:textId="77777777" w:rsidR="00881780" w:rsidRPr="00A71C8E" w:rsidRDefault="00881780" w:rsidP="006F4D8F">
            <w:pPr>
              <w:spacing w:before="0" w:line="240" w:lineRule="auto"/>
              <w:rPr>
                <w:sz w:val="18"/>
                <w:szCs w:val="18"/>
              </w:rPr>
            </w:pPr>
            <w:r w:rsidRPr="00A71C8E">
              <w:rPr>
                <w:sz w:val="18"/>
                <w:szCs w:val="18"/>
              </w:rPr>
              <w:t>48,5</w:t>
            </w:r>
          </w:p>
        </w:tc>
        <w:tc>
          <w:tcPr>
            <w:tcW w:w="365" w:type="pct"/>
            <w:shd w:val="clear" w:color="auto" w:fill="C6D9F1"/>
            <w:noWrap/>
            <w:hideMark/>
          </w:tcPr>
          <w:p w14:paraId="28102F89" w14:textId="77777777" w:rsidR="00881780" w:rsidRPr="00A71C8E" w:rsidRDefault="00881780" w:rsidP="006F4D8F">
            <w:pPr>
              <w:spacing w:before="0" w:line="240" w:lineRule="auto"/>
              <w:rPr>
                <w:sz w:val="18"/>
                <w:szCs w:val="18"/>
              </w:rPr>
            </w:pPr>
            <w:r w:rsidRPr="00A71C8E">
              <w:rPr>
                <w:sz w:val="18"/>
                <w:szCs w:val="18"/>
              </w:rPr>
              <w:t>48,7</w:t>
            </w:r>
          </w:p>
        </w:tc>
        <w:tc>
          <w:tcPr>
            <w:tcW w:w="365" w:type="pct"/>
            <w:shd w:val="clear" w:color="auto" w:fill="C6D9F1"/>
            <w:noWrap/>
            <w:hideMark/>
          </w:tcPr>
          <w:p w14:paraId="0FFC52F8" w14:textId="77777777" w:rsidR="00881780" w:rsidRPr="00A71C8E" w:rsidRDefault="00881780" w:rsidP="006F4D8F">
            <w:pPr>
              <w:spacing w:before="0" w:line="240" w:lineRule="auto"/>
              <w:rPr>
                <w:sz w:val="18"/>
                <w:szCs w:val="18"/>
              </w:rPr>
            </w:pPr>
            <w:r w:rsidRPr="00A71C8E">
              <w:rPr>
                <w:sz w:val="18"/>
                <w:szCs w:val="18"/>
              </w:rPr>
              <w:t>48,0</w:t>
            </w:r>
          </w:p>
        </w:tc>
        <w:tc>
          <w:tcPr>
            <w:tcW w:w="365" w:type="pct"/>
            <w:shd w:val="clear" w:color="auto" w:fill="C6D9F1"/>
            <w:noWrap/>
            <w:hideMark/>
          </w:tcPr>
          <w:p w14:paraId="5E07B069" w14:textId="77777777" w:rsidR="00881780" w:rsidRPr="00A71C8E" w:rsidRDefault="00881780" w:rsidP="006F4D8F">
            <w:pPr>
              <w:spacing w:before="0" w:line="240" w:lineRule="auto"/>
              <w:rPr>
                <w:sz w:val="18"/>
                <w:szCs w:val="18"/>
              </w:rPr>
            </w:pPr>
            <w:r w:rsidRPr="00A71C8E">
              <w:rPr>
                <w:sz w:val="18"/>
                <w:szCs w:val="18"/>
              </w:rPr>
              <w:t>48,0</w:t>
            </w:r>
          </w:p>
        </w:tc>
      </w:tr>
      <w:tr w:rsidR="00881780" w:rsidRPr="00A71C8E" w14:paraId="06E7F3E2" w14:textId="77777777" w:rsidTr="006F4D8F">
        <w:trPr>
          <w:trHeight w:val="300"/>
        </w:trPr>
        <w:tc>
          <w:tcPr>
            <w:tcW w:w="623" w:type="pct"/>
            <w:noWrap/>
            <w:hideMark/>
          </w:tcPr>
          <w:p w14:paraId="04F0B79C" w14:textId="77777777" w:rsidR="00881780" w:rsidRPr="00A71C8E" w:rsidRDefault="00881780" w:rsidP="006F4D8F">
            <w:pPr>
              <w:spacing w:before="0" w:line="240" w:lineRule="auto"/>
              <w:rPr>
                <w:sz w:val="18"/>
                <w:szCs w:val="18"/>
              </w:rPr>
            </w:pPr>
            <w:r w:rsidRPr="00A71C8E">
              <w:rPr>
                <w:sz w:val="18"/>
                <w:szCs w:val="18"/>
              </w:rPr>
              <w:t>Pomorskie</w:t>
            </w:r>
          </w:p>
        </w:tc>
        <w:tc>
          <w:tcPr>
            <w:tcW w:w="365" w:type="pct"/>
            <w:noWrap/>
            <w:hideMark/>
          </w:tcPr>
          <w:p w14:paraId="21C08961" w14:textId="77777777" w:rsidR="00881780" w:rsidRPr="00A71C8E" w:rsidRDefault="00881780" w:rsidP="006F4D8F">
            <w:pPr>
              <w:spacing w:before="0" w:line="240" w:lineRule="auto"/>
              <w:rPr>
                <w:sz w:val="18"/>
                <w:szCs w:val="18"/>
              </w:rPr>
            </w:pPr>
            <w:r w:rsidRPr="00A71C8E">
              <w:rPr>
                <w:sz w:val="18"/>
                <w:szCs w:val="18"/>
              </w:rPr>
              <w:t>64,1</w:t>
            </w:r>
          </w:p>
        </w:tc>
        <w:tc>
          <w:tcPr>
            <w:tcW w:w="365" w:type="pct"/>
            <w:noWrap/>
            <w:hideMark/>
          </w:tcPr>
          <w:p w14:paraId="7263206F" w14:textId="77777777" w:rsidR="00881780" w:rsidRPr="00A71C8E" w:rsidRDefault="00881780" w:rsidP="006F4D8F">
            <w:pPr>
              <w:spacing w:before="0" w:line="240" w:lineRule="auto"/>
              <w:rPr>
                <w:sz w:val="18"/>
                <w:szCs w:val="18"/>
              </w:rPr>
            </w:pPr>
            <w:r w:rsidRPr="00A71C8E">
              <w:rPr>
                <w:sz w:val="18"/>
                <w:szCs w:val="18"/>
              </w:rPr>
              <w:t>64,8</w:t>
            </w:r>
          </w:p>
        </w:tc>
        <w:tc>
          <w:tcPr>
            <w:tcW w:w="365" w:type="pct"/>
            <w:noWrap/>
            <w:hideMark/>
          </w:tcPr>
          <w:p w14:paraId="5FE02621" w14:textId="77777777" w:rsidR="00881780" w:rsidRPr="00A71C8E" w:rsidRDefault="00881780" w:rsidP="006F4D8F">
            <w:pPr>
              <w:spacing w:before="0" w:line="240" w:lineRule="auto"/>
              <w:rPr>
                <w:sz w:val="18"/>
                <w:szCs w:val="18"/>
              </w:rPr>
            </w:pPr>
            <w:r w:rsidRPr="00A71C8E">
              <w:rPr>
                <w:sz w:val="18"/>
                <w:szCs w:val="18"/>
              </w:rPr>
              <w:t>65,2</w:t>
            </w:r>
          </w:p>
        </w:tc>
        <w:tc>
          <w:tcPr>
            <w:tcW w:w="365" w:type="pct"/>
            <w:noWrap/>
            <w:hideMark/>
          </w:tcPr>
          <w:p w14:paraId="352397BB" w14:textId="77777777" w:rsidR="00881780" w:rsidRPr="00A71C8E" w:rsidRDefault="00881780" w:rsidP="006F4D8F">
            <w:pPr>
              <w:spacing w:before="0" w:line="240" w:lineRule="auto"/>
              <w:rPr>
                <w:sz w:val="18"/>
                <w:szCs w:val="18"/>
              </w:rPr>
            </w:pPr>
            <w:r w:rsidRPr="00A71C8E">
              <w:rPr>
                <w:sz w:val="18"/>
                <w:szCs w:val="18"/>
              </w:rPr>
              <w:t>67,0</w:t>
            </w:r>
          </w:p>
        </w:tc>
        <w:tc>
          <w:tcPr>
            <w:tcW w:w="365" w:type="pct"/>
            <w:noWrap/>
            <w:hideMark/>
          </w:tcPr>
          <w:p w14:paraId="3180AF4F" w14:textId="77777777" w:rsidR="00881780" w:rsidRPr="00A71C8E" w:rsidRDefault="00881780" w:rsidP="006F4D8F">
            <w:pPr>
              <w:spacing w:before="0" w:line="240" w:lineRule="auto"/>
              <w:rPr>
                <w:sz w:val="18"/>
                <w:szCs w:val="18"/>
              </w:rPr>
            </w:pPr>
            <w:r w:rsidRPr="00A71C8E">
              <w:rPr>
                <w:sz w:val="18"/>
                <w:szCs w:val="18"/>
              </w:rPr>
              <w:t>67,1</w:t>
            </w:r>
          </w:p>
        </w:tc>
        <w:tc>
          <w:tcPr>
            <w:tcW w:w="365" w:type="pct"/>
            <w:noWrap/>
            <w:hideMark/>
          </w:tcPr>
          <w:p w14:paraId="30D24364" w14:textId="77777777" w:rsidR="00881780" w:rsidRPr="00A71C8E" w:rsidRDefault="00881780" w:rsidP="006F4D8F">
            <w:pPr>
              <w:spacing w:before="0" w:line="240" w:lineRule="auto"/>
              <w:rPr>
                <w:sz w:val="18"/>
                <w:szCs w:val="18"/>
              </w:rPr>
            </w:pPr>
            <w:r w:rsidRPr="00A71C8E">
              <w:rPr>
                <w:sz w:val="18"/>
                <w:szCs w:val="18"/>
              </w:rPr>
              <w:t>67,5</w:t>
            </w:r>
          </w:p>
        </w:tc>
        <w:tc>
          <w:tcPr>
            <w:tcW w:w="365" w:type="pct"/>
            <w:shd w:val="clear" w:color="auto" w:fill="C6D9F1"/>
            <w:noWrap/>
            <w:hideMark/>
          </w:tcPr>
          <w:p w14:paraId="0D701711" w14:textId="77777777" w:rsidR="00881780" w:rsidRPr="00A71C8E" w:rsidRDefault="00881780" w:rsidP="006F4D8F">
            <w:pPr>
              <w:spacing w:before="0" w:line="240" w:lineRule="auto"/>
              <w:rPr>
                <w:sz w:val="18"/>
                <w:szCs w:val="18"/>
              </w:rPr>
            </w:pPr>
            <w:r w:rsidRPr="00A71C8E">
              <w:rPr>
                <w:sz w:val="18"/>
                <w:szCs w:val="18"/>
              </w:rPr>
              <w:t>47,5</w:t>
            </w:r>
          </w:p>
        </w:tc>
        <w:tc>
          <w:tcPr>
            <w:tcW w:w="365" w:type="pct"/>
            <w:shd w:val="clear" w:color="auto" w:fill="C6D9F1"/>
            <w:noWrap/>
            <w:hideMark/>
          </w:tcPr>
          <w:p w14:paraId="2031A272" w14:textId="77777777" w:rsidR="00881780" w:rsidRPr="00A71C8E" w:rsidRDefault="00881780" w:rsidP="006F4D8F">
            <w:pPr>
              <w:spacing w:before="0" w:line="240" w:lineRule="auto"/>
              <w:rPr>
                <w:sz w:val="18"/>
                <w:szCs w:val="18"/>
              </w:rPr>
            </w:pPr>
            <w:r w:rsidRPr="00A71C8E">
              <w:rPr>
                <w:sz w:val="18"/>
                <w:szCs w:val="18"/>
              </w:rPr>
              <w:t>47,5</w:t>
            </w:r>
          </w:p>
        </w:tc>
        <w:tc>
          <w:tcPr>
            <w:tcW w:w="365" w:type="pct"/>
            <w:shd w:val="clear" w:color="auto" w:fill="C6D9F1"/>
            <w:noWrap/>
            <w:hideMark/>
          </w:tcPr>
          <w:p w14:paraId="2B31BCE4" w14:textId="77777777" w:rsidR="00881780" w:rsidRPr="00A71C8E" w:rsidRDefault="00881780" w:rsidP="006F4D8F">
            <w:pPr>
              <w:spacing w:before="0" w:line="240" w:lineRule="auto"/>
              <w:rPr>
                <w:sz w:val="18"/>
                <w:szCs w:val="18"/>
              </w:rPr>
            </w:pPr>
            <w:r w:rsidRPr="00A71C8E">
              <w:rPr>
                <w:sz w:val="18"/>
                <w:szCs w:val="18"/>
              </w:rPr>
              <w:t>46,8</w:t>
            </w:r>
          </w:p>
        </w:tc>
        <w:tc>
          <w:tcPr>
            <w:tcW w:w="365" w:type="pct"/>
            <w:shd w:val="clear" w:color="auto" w:fill="C6D9F1"/>
            <w:noWrap/>
            <w:hideMark/>
          </w:tcPr>
          <w:p w14:paraId="2E2849A0" w14:textId="77777777" w:rsidR="00881780" w:rsidRPr="00A71C8E" w:rsidRDefault="00881780" w:rsidP="006F4D8F">
            <w:pPr>
              <w:spacing w:before="0" w:line="240" w:lineRule="auto"/>
              <w:rPr>
                <w:sz w:val="18"/>
                <w:szCs w:val="18"/>
              </w:rPr>
            </w:pPr>
            <w:r w:rsidRPr="00A71C8E">
              <w:rPr>
                <w:sz w:val="18"/>
                <w:szCs w:val="18"/>
              </w:rPr>
              <w:t>48,6</w:t>
            </w:r>
          </w:p>
        </w:tc>
        <w:tc>
          <w:tcPr>
            <w:tcW w:w="365" w:type="pct"/>
            <w:shd w:val="clear" w:color="auto" w:fill="C6D9F1"/>
            <w:noWrap/>
            <w:hideMark/>
          </w:tcPr>
          <w:p w14:paraId="5A9D4DF3" w14:textId="77777777" w:rsidR="00881780" w:rsidRPr="00A71C8E" w:rsidRDefault="00881780" w:rsidP="006F4D8F">
            <w:pPr>
              <w:spacing w:before="0" w:line="240" w:lineRule="auto"/>
              <w:rPr>
                <w:sz w:val="18"/>
                <w:szCs w:val="18"/>
              </w:rPr>
            </w:pPr>
            <w:r w:rsidRPr="00A71C8E">
              <w:rPr>
                <w:sz w:val="18"/>
                <w:szCs w:val="18"/>
              </w:rPr>
              <w:t>49,4</w:t>
            </w:r>
          </w:p>
        </w:tc>
        <w:tc>
          <w:tcPr>
            <w:tcW w:w="365" w:type="pct"/>
            <w:shd w:val="clear" w:color="auto" w:fill="C6D9F1"/>
            <w:noWrap/>
            <w:hideMark/>
          </w:tcPr>
          <w:p w14:paraId="5FC44069" w14:textId="77777777" w:rsidR="00881780" w:rsidRPr="00A71C8E" w:rsidRDefault="00881780" w:rsidP="006F4D8F">
            <w:pPr>
              <w:spacing w:before="0" w:line="240" w:lineRule="auto"/>
              <w:rPr>
                <w:sz w:val="18"/>
                <w:szCs w:val="18"/>
              </w:rPr>
            </w:pPr>
            <w:r w:rsidRPr="00A71C8E">
              <w:rPr>
                <w:sz w:val="18"/>
                <w:szCs w:val="18"/>
              </w:rPr>
              <w:t>49,6</w:t>
            </w:r>
          </w:p>
        </w:tc>
      </w:tr>
      <w:tr w:rsidR="00881780" w:rsidRPr="00A71C8E" w14:paraId="4C03CCCB" w14:textId="77777777" w:rsidTr="006F4D8F">
        <w:trPr>
          <w:trHeight w:val="300"/>
        </w:trPr>
        <w:tc>
          <w:tcPr>
            <w:tcW w:w="623" w:type="pct"/>
            <w:noWrap/>
            <w:hideMark/>
          </w:tcPr>
          <w:p w14:paraId="0B83E29F" w14:textId="77777777" w:rsidR="00881780" w:rsidRPr="00A71C8E" w:rsidRDefault="00881780" w:rsidP="006F4D8F">
            <w:pPr>
              <w:spacing w:before="0" w:line="240" w:lineRule="auto"/>
              <w:rPr>
                <w:sz w:val="18"/>
                <w:szCs w:val="18"/>
              </w:rPr>
            </w:pPr>
            <w:r w:rsidRPr="00A71C8E">
              <w:rPr>
                <w:sz w:val="18"/>
                <w:szCs w:val="18"/>
              </w:rPr>
              <w:t>Śląskie</w:t>
            </w:r>
          </w:p>
        </w:tc>
        <w:tc>
          <w:tcPr>
            <w:tcW w:w="365" w:type="pct"/>
            <w:noWrap/>
            <w:hideMark/>
          </w:tcPr>
          <w:p w14:paraId="5D99A61B" w14:textId="77777777" w:rsidR="00881780" w:rsidRPr="00A71C8E" w:rsidRDefault="00881780" w:rsidP="006F4D8F">
            <w:pPr>
              <w:spacing w:before="0" w:line="240" w:lineRule="auto"/>
              <w:rPr>
                <w:sz w:val="18"/>
                <w:szCs w:val="18"/>
              </w:rPr>
            </w:pPr>
            <w:r w:rsidRPr="00A71C8E">
              <w:rPr>
                <w:sz w:val="18"/>
                <w:szCs w:val="18"/>
              </w:rPr>
              <w:t>61,1</w:t>
            </w:r>
          </w:p>
        </w:tc>
        <w:tc>
          <w:tcPr>
            <w:tcW w:w="365" w:type="pct"/>
            <w:noWrap/>
            <w:hideMark/>
          </w:tcPr>
          <w:p w14:paraId="6A864A6C" w14:textId="77777777" w:rsidR="00881780" w:rsidRPr="00A71C8E" w:rsidRDefault="00881780" w:rsidP="006F4D8F">
            <w:pPr>
              <w:spacing w:before="0" w:line="240" w:lineRule="auto"/>
              <w:rPr>
                <w:sz w:val="18"/>
                <w:szCs w:val="18"/>
              </w:rPr>
            </w:pPr>
            <w:r w:rsidRPr="00A71C8E">
              <w:rPr>
                <w:sz w:val="18"/>
                <w:szCs w:val="18"/>
              </w:rPr>
              <w:t>60,8</w:t>
            </w:r>
          </w:p>
        </w:tc>
        <w:tc>
          <w:tcPr>
            <w:tcW w:w="365" w:type="pct"/>
            <w:noWrap/>
            <w:hideMark/>
          </w:tcPr>
          <w:p w14:paraId="3CE211A9" w14:textId="77777777" w:rsidR="00881780" w:rsidRPr="00A71C8E" w:rsidRDefault="00881780" w:rsidP="006F4D8F">
            <w:pPr>
              <w:spacing w:before="0" w:line="240" w:lineRule="auto"/>
              <w:rPr>
                <w:sz w:val="18"/>
                <w:szCs w:val="18"/>
              </w:rPr>
            </w:pPr>
            <w:r w:rsidRPr="00A71C8E">
              <w:rPr>
                <w:sz w:val="18"/>
                <w:szCs w:val="18"/>
              </w:rPr>
              <w:t>61,6</w:t>
            </w:r>
          </w:p>
        </w:tc>
        <w:tc>
          <w:tcPr>
            <w:tcW w:w="365" w:type="pct"/>
            <w:noWrap/>
            <w:hideMark/>
          </w:tcPr>
          <w:p w14:paraId="47CC66F9" w14:textId="77777777" w:rsidR="00881780" w:rsidRPr="00A71C8E" w:rsidRDefault="00881780" w:rsidP="006F4D8F">
            <w:pPr>
              <w:spacing w:before="0" w:line="240" w:lineRule="auto"/>
              <w:rPr>
                <w:sz w:val="18"/>
                <w:szCs w:val="18"/>
              </w:rPr>
            </w:pPr>
            <w:r w:rsidRPr="00A71C8E">
              <w:rPr>
                <w:sz w:val="18"/>
                <w:szCs w:val="18"/>
              </w:rPr>
              <w:t>61,2</w:t>
            </w:r>
          </w:p>
        </w:tc>
        <w:tc>
          <w:tcPr>
            <w:tcW w:w="365" w:type="pct"/>
            <w:noWrap/>
            <w:hideMark/>
          </w:tcPr>
          <w:p w14:paraId="07972B7D" w14:textId="77777777" w:rsidR="00881780" w:rsidRPr="00A71C8E" w:rsidRDefault="00881780" w:rsidP="006F4D8F">
            <w:pPr>
              <w:spacing w:before="0" w:line="240" w:lineRule="auto"/>
              <w:rPr>
                <w:sz w:val="18"/>
                <w:szCs w:val="18"/>
              </w:rPr>
            </w:pPr>
            <w:r w:rsidRPr="00A71C8E">
              <w:rPr>
                <w:sz w:val="18"/>
                <w:szCs w:val="18"/>
              </w:rPr>
              <w:t>60,6</w:t>
            </w:r>
          </w:p>
        </w:tc>
        <w:tc>
          <w:tcPr>
            <w:tcW w:w="365" w:type="pct"/>
            <w:noWrap/>
            <w:hideMark/>
          </w:tcPr>
          <w:p w14:paraId="4D6C0365" w14:textId="77777777" w:rsidR="00881780" w:rsidRPr="00A71C8E" w:rsidRDefault="00881780" w:rsidP="006F4D8F">
            <w:pPr>
              <w:spacing w:before="0" w:line="240" w:lineRule="auto"/>
              <w:rPr>
                <w:sz w:val="18"/>
                <w:szCs w:val="18"/>
              </w:rPr>
            </w:pPr>
            <w:r w:rsidRPr="00A71C8E">
              <w:rPr>
                <w:sz w:val="18"/>
                <w:szCs w:val="18"/>
              </w:rPr>
              <w:t>60,7</w:t>
            </w:r>
          </w:p>
        </w:tc>
        <w:tc>
          <w:tcPr>
            <w:tcW w:w="365" w:type="pct"/>
            <w:shd w:val="clear" w:color="auto" w:fill="C6D9F1"/>
            <w:noWrap/>
            <w:hideMark/>
          </w:tcPr>
          <w:p w14:paraId="43CB213E" w14:textId="77777777" w:rsidR="00881780" w:rsidRPr="00A71C8E" w:rsidRDefault="00881780" w:rsidP="006F4D8F">
            <w:pPr>
              <w:spacing w:before="0" w:line="240" w:lineRule="auto"/>
              <w:rPr>
                <w:sz w:val="18"/>
                <w:szCs w:val="18"/>
              </w:rPr>
            </w:pPr>
            <w:r w:rsidRPr="00A71C8E">
              <w:rPr>
                <w:sz w:val="18"/>
                <w:szCs w:val="18"/>
              </w:rPr>
              <w:t>46,3</w:t>
            </w:r>
          </w:p>
        </w:tc>
        <w:tc>
          <w:tcPr>
            <w:tcW w:w="365" w:type="pct"/>
            <w:shd w:val="clear" w:color="auto" w:fill="C6D9F1"/>
            <w:noWrap/>
            <w:hideMark/>
          </w:tcPr>
          <w:p w14:paraId="62C72269" w14:textId="77777777" w:rsidR="00881780" w:rsidRPr="00A71C8E" w:rsidRDefault="00881780" w:rsidP="006F4D8F">
            <w:pPr>
              <w:spacing w:before="0" w:line="240" w:lineRule="auto"/>
              <w:rPr>
                <w:sz w:val="18"/>
                <w:szCs w:val="18"/>
              </w:rPr>
            </w:pPr>
            <w:r w:rsidRPr="00A71C8E">
              <w:rPr>
                <w:sz w:val="18"/>
                <w:szCs w:val="18"/>
              </w:rPr>
              <w:t>46,6</w:t>
            </w:r>
          </w:p>
        </w:tc>
        <w:tc>
          <w:tcPr>
            <w:tcW w:w="365" w:type="pct"/>
            <w:shd w:val="clear" w:color="auto" w:fill="C6D9F1"/>
            <w:noWrap/>
            <w:hideMark/>
          </w:tcPr>
          <w:p w14:paraId="0C7FFCA6" w14:textId="77777777" w:rsidR="00881780" w:rsidRPr="00A71C8E" w:rsidRDefault="00881780" w:rsidP="006F4D8F">
            <w:pPr>
              <w:spacing w:before="0" w:line="240" w:lineRule="auto"/>
              <w:rPr>
                <w:sz w:val="18"/>
                <w:szCs w:val="18"/>
              </w:rPr>
            </w:pPr>
            <w:r w:rsidRPr="00A71C8E">
              <w:rPr>
                <w:sz w:val="18"/>
                <w:szCs w:val="18"/>
              </w:rPr>
              <w:t>46,7</w:t>
            </w:r>
          </w:p>
        </w:tc>
        <w:tc>
          <w:tcPr>
            <w:tcW w:w="365" w:type="pct"/>
            <w:shd w:val="clear" w:color="auto" w:fill="C6D9F1"/>
            <w:noWrap/>
            <w:hideMark/>
          </w:tcPr>
          <w:p w14:paraId="250C325D" w14:textId="77777777" w:rsidR="00881780" w:rsidRPr="00A71C8E" w:rsidRDefault="00881780" w:rsidP="006F4D8F">
            <w:pPr>
              <w:spacing w:before="0" w:line="240" w:lineRule="auto"/>
              <w:rPr>
                <w:sz w:val="18"/>
                <w:szCs w:val="18"/>
              </w:rPr>
            </w:pPr>
            <w:r w:rsidRPr="00A71C8E">
              <w:rPr>
                <w:sz w:val="18"/>
                <w:szCs w:val="18"/>
              </w:rPr>
              <w:t>45,8</w:t>
            </w:r>
          </w:p>
        </w:tc>
        <w:tc>
          <w:tcPr>
            <w:tcW w:w="365" w:type="pct"/>
            <w:shd w:val="clear" w:color="auto" w:fill="C6D9F1"/>
            <w:noWrap/>
            <w:hideMark/>
          </w:tcPr>
          <w:p w14:paraId="5FF4ED41" w14:textId="77777777" w:rsidR="00881780" w:rsidRPr="00A71C8E" w:rsidRDefault="00881780" w:rsidP="006F4D8F">
            <w:pPr>
              <w:spacing w:before="0" w:line="240" w:lineRule="auto"/>
              <w:rPr>
                <w:sz w:val="18"/>
                <w:szCs w:val="18"/>
              </w:rPr>
            </w:pPr>
            <w:r w:rsidRPr="00A71C8E">
              <w:rPr>
                <w:sz w:val="18"/>
                <w:szCs w:val="18"/>
              </w:rPr>
              <w:t>46,8</w:t>
            </w:r>
          </w:p>
        </w:tc>
        <w:tc>
          <w:tcPr>
            <w:tcW w:w="365" w:type="pct"/>
            <w:shd w:val="clear" w:color="auto" w:fill="C6D9F1"/>
            <w:noWrap/>
            <w:hideMark/>
          </w:tcPr>
          <w:p w14:paraId="523EBDCA" w14:textId="77777777" w:rsidR="00881780" w:rsidRPr="00A71C8E" w:rsidRDefault="00881780" w:rsidP="006F4D8F">
            <w:pPr>
              <w:spacing w:before="0" w:line="240" w:lineRule="auto"/>
              <w:rPr>
                <w:sz w:val="18"/>
                <w:szCs w:val="18"/>
              </w:rPr>
            </w:pPr>
            <w:r w:rsidRPr="00A71C8E">
              <w:rPr>
                <w:sz w:val="18"/>
                <w:szCs w:val="18"/>
              </w:rPr>
              <w:t>46,7</w:t>
            </w:r>
          </w:p>
        </w:tc>
      </w:tr>
      <w:tr w:rsidR="00881780" w:rsidRPr="00A71C8E" w14:paraId="21D5B151" w14:textId="77777777" w:rsidTr="006F4D8F">
        <w:trPr>
          <w:trHeight w:val="300"/>
        </w:trPr>
        <w:tc>
          <w:tcPr>
            <w:tcW w:w="623" w:type="pct"/>
            <w:noWrap/>
            <w:hideMark/>
          </w:tcPr>
          <w:p w14:paraId="48D45C7D" w14:textId="77777777" w:rsidR="00881780" w:rsidRPr="00A71C8E" w:rsidRDefault="00881780" w:rsidP="006F4D8F">
            <w:pPr>
              <w:spacing w:before="0" w:line="240" w:lineRule="auto"/>
              <w:rPr>
                <w:sz w:val="18"/>
                <w:szCs w:val="18"/>
              </w:rPr>
            </w:pPr>
            <w:r w:rsidRPr="00A71C8E">
              <w:rPr>
                <w:sz w:val="18"/>
                <w:szCs w:val="18"/>
              </w:rPr>
              <w:t>Świętokrzyskie</w:t>
            </w:r>
          </w:p>
        </w:tc>
        <w:tc>
          <w:tcPr>
            <w:tcW w:w="365" w:type="pct"/>
            <w:noWrap/>
            <w:hideMark/>
          </w:tcPr>
          <w:p w14:paraId="15ED11F6" w14:textId="77777777" w:rsidR="00881780" w:rsidRPr="00A71C8E" w:rsidRDefault="00881780" w:rsidP="006F4D8F">
            <w:pPr>
              <w:spacing w:before="0" w:line="240" w:lineRule="auto"/>
              <w:rPr>
                <w:sz w:val="18"/>
                <w:szCs w:val="18"/>
              </w:rPr>
            </w:pPr>
            <w:r w:rsidRPr="00A71C8E">
              <w:rPr>
                <w:sz w:val="18"/>
                <w:szCs w:val="18"/>
              </w:rPr>
              <w:t>65,3</w:t>
            </w:r>
          </w:p>
        </w:tc>
        <w:tc>
          <w:tcPr>
            <w:tcW w:w="365" w:type="pct"/>
            <w:noWrap/>
            <w:hideMark/>
          </w:tcPr>
          <w:p w14:paraId="42D6C915" w14:textId="77777777" w:rsidR="00881780" w:rsidRPr="00A71C8E" w:rsidRDefault="00881780" w:rsidP="006F4D8F">
            <w:pPr>
              <w:spacing w:before="0" w:line="240" w:lineRule="auto"/>
              <w:rPr>
                <w:sz w:val="18"/>
                <w:szCs w:val="18"/>
              </w:rPr>
            </w:pPr>
            <w:r w:rsidRPr="00A71C8E">
              <w:rPr>
                <w:sz w:val="18"/>
                <w:szCs w:val="18"/>
              </w:rPr>
              <w:t>63,6</w:t>
            </w:r>
          </w:p>
        </w:tc>
        <w:tc>
          <w:tcPr>
            <w:tcW w:w="365" w:type="pct"/>
            <w:noWrap/>
            <w:hideMark/>
          </w:tcPr>
          <w:p w14:paraId="44ED05BE" w14:textId="77777777" w:rsidR="00881780" w:rsidRPr="00A71C8E" w:rsidRDefault="00881780" w:rsidP="006F4D8F">
            <w:pPr>
              <w:spacing w:before="0" w:line="240" w:lineRule="auto"/>
              <w:rPr>
                <w:sz w:val="18"/>
                <w:szCs w:val="18"/>
              </w:rPr>
            </w:pPr>
            <w:r w:rsidRPr="00A71C8E">
              <w:rPr>
                <w:sz w:val="18"/>
                <w:szCs w:val="18"/>
              </w:rPr>
              <w:t>63,3</w:t>
            </w:r>
          </w:p>
        </w:tc>
        <w:tc>
          <w:tcPr>
            <w:tcW w:w="365" w:type="pct"/>
            <w:noWrap/>
            <w:hideMark/>
          </w:tcPr>
          <w:p w14:paraId="54021F11" w14:textId="77777777" w:rsidR="00881780" w:rsidRPr="00A71C8E" w:rsidRDefault="00881780" w:rsidP="006F4D8F">
            <w:pPr>
              <w:spacing w:before="0" w:line="240" w:lineRule="auto"/>
              <w:rPr>
                <w:sz w:val="18"/>
                <w:szCs w:val="18"/>
              </w:rPr>
            </w:pPr>
            <w:r w:rsidRPr="00A71C8E">
              <w:rPr>
                <w:sz w:val="18"/>
                <w:szCs w:val="18"/>
              </w:rPr>
              <w:t>64,0</w:t>
            </w:r>
          </w:p>
        </w:tc>
        <w:tc>
          <w:tcPr>
            <w:tcW w:w="365" w:type="pct"/>
            <w:noWrap/>
            <w:hideMark/>
          </w:tcPr>
          <w:p w14:paraId="706EAF3B" w14:textId="77777777" w:rsidR="00881780" w:rsidRPr="00A71C8E" w:rsidRDefault="00881780" w:rsidP="006F4D8F">
            <w:pPr>
              <w:spacing w:before="0" w:line="240" w:lineRule="auto"/>
              <w:rPr>
                <w:sz w:val="18"/>
                <w:szCs w:val="18"/>
              </w:rPr>
            </w:pPr>
            <w:r w:rsidRPr="00A71C8E">
              <w:rPr>
                <w:sz w:val="18"/>
                <w:szCs w:val="18"/>
              </w:rPr>
              <w:t>64,0</w:t>
            </w:r>
          </w:p>
        </w:tc>
        <w:tc>
          <w:tcPr>
            <w:tcW w:w="365" w:type="pct"/>
            <w:noWrap/>
            <w:hideMark/>
          </w:tcPr>
          <w:p w14:paraId="61456564" w14:textId="77777777" w:rsidR="00881780" w:rsidRPr="00A71C8E" w:rsidRDefault="00881780" w:rsidP="006F4D8F">
            <w:pPr>
              <w:spacing w:before="0" w:line="240" w:lineRule="auto"/>
              <w:rPr>
                <w:sz w:val="18"/>
                <w:szCs w:val="18"/>
              </w:rPr>
            </w:pPr>
            <w:r w:rsidRPr="00A71C8E">
              <w:rPr>
                <w:sz w:val="18"/>
                <w:szCs w:val="18"/>
              </w:rPr>
              <w:t>63,7</w:t>
            </w:r>
          </w:p>
        </w:tc>
        <w:tc>
          <w:tcPr>
            <w:tcW w:w="365" w:type="pct"/>
            <w:shd w:val="clear" w:color="auto" w:fill="C6D9F1"/>
            <w:noWrap/>
            <w:hideMark/>
          </w:tcPr>
          <w:p w14:paraId="3E4F8A04" w14:textId="77777777" w:rsidR="00881780" w:rsidRPr="00A71C8E" w:rsidRDefault="00881780" w:rsidP="006F4D8F">
            <w:pPr>
              <w:spacing w:before="0" w:line="240" w:lineRule="auto"/>
              <w:rPr>
                <w:sz w:val="18"/>
                <w:szCs w:val="18"/>
              </w:rPr>
            </w:pPr>
            <w:r w:rsidRPr="00A71C8E">
              <w:rPr>
                <w:sz w:val="18"/>
                <w:szCs w:val="18"/>
              </w:rPr>
              <w:t>49,1</w:t>
            </w:r>
          </w:p>
        </w:tc>
        <w:tc>
          <w:tcPr>
            <w:tcW w:w="365" w:type="pct"/>
            <w:shd w:val="clear" w:color="auto" w:fill="C6D9F1"/>
            <w:noWrap/>
            <w:hideMark/>
          </w:tcPr>
          <w:p w14:paraId="0C6E8962" w14:textId="77777777" w:rsidR="00881780" w:rsidRPr="00A71C8E" w:rsidRDefault="00881780" w:rsidP="006F4D8F">
            <w:pPr>
              <w:spacing w:before="0" w:line="240" w:lineRule="auto"/>
              <w:rPr>
                <w:sz w:val="18"/>
                <w:szCs w:val="18"/>
              </w:rPr>
            </w:pPr>
            <w:r w:rsidRPr="00A71C8E">
              <w:rPr>
                <w:sz w:val="18"/>
                <w:szCs w:val="18"/>
              </w:rPr>
              <w:t>47,3</w:t>
            </w:r>
          </w:p>
        </w:tc>
        <w:tc>
          <w:tcPr>
            <w:tcW w:w="365" w:type="pct"/>
            <w:shd w:val="clear" w:color="auto" w:fill="C6D9F1"/>
            <w:noWrap/>
            <w:hideMark/>
          </w:tcPr>
          <w:p w14:paraId="0799247C" w14:textId="77777777" w:rsidR="00881780" w:rsidRPr="00A71C8E" w:rsidRDefault="00881780" w:rsidP="006F4D8F">
            <w:pPr>
              <w:spacing w:before="0" w:line="240" w:lineRule="auto"/>
              <w:rPr>
                <w:sz w:val="18"/>
                <w:szCs w:val="18"/>
              </w:rPr>
            </w:pPr>
            <w:r w:rsidRPr="00A71C8E">
              <w:rPr>
                <w:sz w:val="18"/>
                <w:szCs w:val="18"/>
              </w:rPr>
              <w:t>47,5</w:t>
            </w:r>
          </w:p>
        </w:tc>
        <w:tc>
          <w:tcPr>
            <w:tcW w:w="365" w:type="pct"/>
            <w:shd w:val="clear" w:color="auto" w:fill="C6D9F1"/>
            <w:noWrap/>
            <w:hideMark/>
          </w:tcPr>
          <w:p w14:paraId="19195F26" w14:textId="77777777" w:rsidR="00881780" w:rsidRPr="00A71C8E" w:rsidRDefault="00881780" w:rsidP="006F4D8F">
            <w:pPr>
              <w:spacing w:before="0" w:line="240" w:lineRule="auto"/>
              <w:rPr>
                <w:sz w:val="18"/>
                <w:szCs w:val="18"/>
              </w:rPr>
            </w:pPr>
            <w:r w:rsidRPr="00A71C8E">
              <w:rPr>
                <w:sz w:val="18"/>
                <w:szCs w:val="18"/>
              </w:rPr>
              <w:t>48,3</w:t>
            </w:r>
          </w:p>
        </w:tc>
        <w:tc>
          <w:tcPr>
            <w:tcW w:w="365" w:type="pct"/>
            <w:shd w:val="clear" w:color="auto" w:fill="C6D9F1"/>
            <w:noWrap/>
            <w:hideMark/>
          </w:tcPr>
          <w:p w14:paraId="7D63EDD2" w14:textId="77777777" w:rsidR="00881780" w:rsidRPr="00A71C8E" w:rsidRDefault="00881780" w:rsidP="006F4D8F">
            <w:pPr>
              <w:spacing w:before="0" w:line="240" w:lineRule="auto"/>
              <w:rPr>
                <w:sz w:val="18"/>
                <w:szCs w:val="18"/>
              </w:rPr>
            </w:pPr>
            <w:r w:rsidRPr="00A71C8E">
              <w:rPr>
                <w:sz w:val="18"/>
                <w:szCs w:val="18"/>
              </w:rPr>
              <w:t>46,8</w:t>
            </w:r>
          </w:p>
        </w:tc>
        <w:tc>
          <w:tcPr>
            <w:tcW w:w="365" w:type="pct"/>
            <w:shd w:val="clear" w:color="auto" w:fill="C6D9F1"/>
            <w:noWrap/>
            <w:hideMark/>
          </w:tcPr>
          <w:p w14:paraId="7DA79A41" w14:textId="77777777" w:rsidR="00881780" w:rsidRPr="00A71C8E" w:rsidRDefault="00881780" w:rsidP="006F4D8F">
            <w:pPr>
              <w:spacing w:before="0" w:line="240" w:lineRule="auto"/>
              <w:rPr>
                <w:sz w:val="18"/>
                <w:szCs w:val="18"/>
              </w:rPr>
            </w:pPr>
            <w:r w:rsidRPr="00A71C8E">
              <w:rPr>
                <w:sz w:val="18"/>
                <w:szCs w:val="18"/>
              </w:rPr>
              <w:t>46,7</w:t>
            </w:r>
          </w:p>
        </w:tc>
      </w:tr>
      <w:tr w:rsidR="00881780" w:rsidRPr="00A71C8E" w14:paraId="77840816" w14:textId="77777777" w:rsidTr="006F4D8F">
        <w:trPr>
          <w:trHeight w:val="300"/>
        </w:trPr>
        <w:tc>
          <w:tcPr>
            <w:tcW w:w="623" w:type="pct"/>
            <w:noWrap/>
            <w:hideMark/>
          </w:tcPr>
          <w:p w14:paraId="1E003417" w14:textId="77777777" w:rsidR="00881780" w:rsidRPr="00A71C8E" w:rsidRDefault="00881780" w:rsidP="006F4D8F">
            <w:pPr>
              <w:spacing w:before="0" w:line="240" w:lineRule="auto"/>
              <w:rPr>
                <w:sz w:val="18"/>
                <w:szCs w:val="18"/>
              </w:rPr>
            </w:pPr>
            <w:r w:rsidRPr="00A71C8E">
              <w:rPr>
                <w:sz w:val="18"/>
                <w:szCs w:val="18"/>
              </w:rPr>
              <w:t>Warmińsko-mazurskie</w:t>
            </w:r>
          </w:p>
        </w:tc>
        <w:tc>
          <w:tcPr>
            <w:tcW w:w="365" w:type="pct"/>
            <w:noWrap/>
            <w:hideMark/>
          </w:tcPr>
          <w:p w14:paraId="08DB0AA9" w14:textId="77777777" w:rsidR="00881780" w:rsidRPr="00A71C8E" w:rsidRDefault="00881780" w:rsidP="006F4D8F">
            <w:pPr>
              <w:spacing w:before="0" w:line="240" w:lineRule="auto"/>
              <w:rPr>
                <w:sz w:val="18"/>
                <w:szCs w:val="18"/>
              </w:rPr>
            </w:pPr>
            <w:r w:rsidRPr="00A71C8E">
              <w:rPr>
                <w:sz w:val="18"/>
                <w:szCs w:val="18"/>
              </w:rPr>
              <w:t>59,6</w:t>
            </w:r>
          </w:p>
        </w:tc>
        <w:tc>
          <w:tcPr>
            <w:tcW w:w="365" w:type="pct"/>
            <w:noWrap/>
            <w:hideMark/>
          </w:tcPr>
          <w:p w14:paraId="5634A0A1" w14:textId="77777777" w:rsidR="00881780" w:rsidRPr="00A71C8E" w:rsidRDefault="00881780" w:rsidP="006F4D8F">
            <w:pPr>
              <w:spacing w:before="0" w:line="240" w:lineRule="auto"/>
              <w:rPr>
                <w:sz w:val="18"/>
                <w:szCs w:val="18"/>
              </w:rPr>
            </w:pPr>
            <w:r w:rsidRPr="00A71C8E">
              <w:rPr>
                <w:sz w:val="18"/>
                <w:szCs w:val="18"/>
              </w:rPr>
              <w:t>59,7</w:t>
            </w:r>
          </w:p>
        </w:tc>
        <w:tc>
          <w:tcPr>
            <w:tcW w:w="365" w:type="pct"/>
            <w:noWrap/>
            <w:hideMark/>
          </w:tcPr>
          <w:p w14:paraId="3C0312E9" w14:textId="77777777" w:rsidR="00881780" w:rsidRPr="00A71C8E" w:rsidRDefault="00881780" w:rsidP="006F4D8F">
            <w:pPr>
              <w:spacing w:before="0" w:line="240" w:lineRule="auto"/>
              <w:rPr>
                <w:sz w:val="18"/>
                <w:szCs w:val="18"/>
              </w:rPr>
            </w:pPr>
            <w:r w:rsidRPr="00A71C8E">
              <w:rPr>
                <w:sz w:val="18"/>
                <w:szCs w:val="18"/>
              </w:rPr>
              <w:t>59,4</w:t>
            </w:r>
          </w:p>
        </w:tc>
        <w:tc>
          <w:tcPr>
            <w:tcW w:w="365" w:type="pct"/>
            <w:noWrap/>
            <w:hideMark/>
          </w:tcPr>
          <w:p w14:paraId="5CF946FD" w14:textId="77777777" w:rsidR="00881780" w:rsidRPr="00A71C8E" w:rsidRDefault="00881780" w:rsidP="006F4D8F">
            <w:pPr>
              <w:spacing w:before="0" w:line="240" w:lineRule="auto"/>
              <w:rPr>
                <w:sz w:val="18"/>
                <w:szCs w:val="18"/>
              </w:rPr>
            </w:pPr>
            <w:r w:rsidRPr="00A71C8E">
              <w:rPr>
                <w:sz w:val="18"/>
                <w:szCs w:val="18"/>
              </w:rPr>
              <w:t>60,0</w:t>
            </w:r>
          </w:p>
        </w:tc>
        <w:tc>
          <w:tcPr>
            <w:tcW w:w="365" w:type="pct"/>
            <w:noWrap/>
            <w:hideMark/>
          </w:tcPr>
          <w:p w14:paraId="622549A6" w14:textId="77777777" w:rsidR="00881780" w:rsidRPr="00A71C8E" w:rsidRDefault="00881780" w:rsidP="006F4D8F">
            <w:pPr>
              <w:spacing w:before="0" w:line="240" w:lineRule="auto"/>
              <w:rPr>
                <w:sz w:val="18"/>
                <w:szCs w:val="18"/>
              </w:rPr>
            </w:pPr>
            <w:r w:rsidRPr="00A71C8E">
              <w:rPr>
                <w:sz w:val="18"/>
                <w:szCs w:val="18"/>
              </w:rPr>
              <w:t>63,1</w:t>
            </w:r>
          </w:p>
        </w:tc>
        <w:tc>
          <w:tcPr>
            <w:tcW w:w="365" w:type="pct"/>
            <w:noWrap/>
            <w:hideMark/>
          </w:tcPr>
          <w:p w14:paraId="4B875B2B" w14:textId="77777777" w:rsidR="00881780" w:rsidRPr="00A71C8E" w:rsidRDefault="00881780" w:rsidP="006F4D8F">
            <w:pPr>
              <w:spacing w:before="0" w:line="240" w:lineRule="auto"/>
              <w:rPr>
                <w:sz w:val="18"/>
                <w:szCs w:val="18"/>
              </w:rPr>
            </w:pPr>
            <w:r w:rsidRPr="00A71C8E">
              <w:rPr>
                <w:sz w:val="18"/>
                <w:szCs w:val="18"/>
              </w:rPr>
              <w:t>63,5</w:t>
            </w:r>
          </w:p>
        </w:tc>
        <w:tc>
          <w:tcPr>
            <w:tcW w:w="365" w:type="pct"/>
            <w:shd w:val="clear" w:color="auto" w:fill="C6D9F1"/>
            <w:noWrap/>
            <w:hideMark/>
          </w:tcPr>
          <w:p w14:paraId="22C14FBF" w14:textId="77777777" w:rsidR="00881780" w:rsidRPr="00A71C8E" w:rsidRDefault="00881780" w:rsidP="006F4D8F">
            <w:pPr>
              <w:spacing w:before="0" w:line="240" w:lineRule="auto"/>
              <w:rPr>
                <w:sz w:val="18"/>
                <w:szCs w:val="18"/>
              </w:rPr>
            </w:pPr>
            <w:r w:rsidRPr="00A71C8E">
              <w:rPr>
                <w:sz w:val="18"/>
                <w:szCs w:val="18"/>
              </w:rPr>
              <w:t>43,6</w:t>
            </w:r>
          </w:p>
        </w:tc>
        <w:tc>
          <w:tcPr>
            <w:tcW w:w="365" w:type="pct"/>
            <w:shd w:val="clear" w:color="auto" w:fill="C6D9F1"/>
            <w:noWrap/>
            <w:hideMark/>
          </w:tcPr>
          <w:p w14:paraId="6D1D2508" w14:textId="77777777" w:rsidR="00881780" w:rsidRPr="00A71C8E" w:rsidRDefault="00881780" w:rsidP="006F4D8F">
            <w:pPr>
              <w:spacing w:before="0" w:line="240" w:lineRule="auto"/>
              <w:rPr>
                <w:sz w:val="18"/>
                <w:szCs w:val="18"/>
              </w:rPr>
            </w:pPr>
            <w:r w:rsidRPr="00A71C8E">
              <w:rPr>
                <w:sz w:val="18"/>
                <w:szCs w:val="18"/>
              </w:rPr>
              <w:t>44,7</w:t>
            </w:r>
          </w:p>
        </w:tc>
        <w:tc>
          <w:tcPr>
            <w:tcW w:w="365" w:type="pct"/>
            <w:shd w:val="clear" w:color="auto" w:fill="C6D9F1"/>
            <w:noWrap/>
            <w:hideMark/>
          </w:tcPr>
          <w:p w14:paraId="12228B29" w14:textId="77777777" w:rsidR="00881780" w:rsidRPr="00A71C8E" w:rsidRDefault="00881780" w:rsidP="006F4D8F">
            <w:pPr>
              <w:spacing w:before="0" w:line="240" w:lineRule="auto"/>
              <w:rPr>
                <w:sz w:val="18"/>
                <w:szCs w:val="18"/>
              </w:rPr>
            </w:pPr>
            <w:r w:rsidRPr="00A71C8E">
              <w:rPr>
                <w:sz w:val="18"/>
                <w:szCs w:val="18"/>
              </w:rPr>
              <w:t>43,6</w:t>
            </w:r>
          </w:p>
        </w:tc>
        <w:tc>
          <w:tcPr>
            <w:tcW w:w="365" w:type="pct"/>
            <w:shd w:val="clear" w:color="auto" w:fill="C6D9F1"/>
            <w:noWrap/>
            <w:hideMark/>
          </w:tcPr>
          <w:p w14:paraId="5241630F" w14:textId="77777777" w:rsidR="00881780" w:rsidRPr="00A71C8E" w:rsidRDefault="00881780" w:rsidP="006F4D8F">
            <w:pPr>
              <w:spacing w:before="0" w:line="240" w:lineRule="auto"/>
              <w:rPr>
                <w:sz w:val="18"/>
                <w:szCs w:val="18"/>
              </w:rPr>
            </w:pPr>
            <w:r w:rsidRPr="00A71C8E">
              <w:rPr>
                <w:sz w:val="18"/>
                <w:szCs w:val="18"/>
              </w:rPr>
              <w:t>44,7</w:t>
            </w:r>
          </w:p>
        </w:tc>
        <w:tc>
          <w:tcPr>
            <w:tcW w:w="365" w:type="pct"/>
            <w:shd w:val="clear" w:color="auto" w:fill="C6D9F1"/>
            <w:noWrap/>
            <w:hideMark/>
          </w:tcPr>
          <w:p w14:paraId="31821503" w14:textId="77777777" w:rsidR="00881780" w:rsidRPr="00A71C8E" w:rsidRDefault="00881780" w:rsidP="006F4D8F">
            <w:pPr>
              <w:spacing w:before="0" w:line="240" w:lineRule="auto"/>
              <w:rPr>
                <w:sz w:val="18"/>
                <w:szCs w:val="18"/>
              </w:rPr>
            </w:pPr>
            <w:r w:rsidRPr="00A71C8E">
              <w:rPr>
                <w:sz w:val="18"/>
                <w:szCs w:val="18"/>
              </w:rPr>
              <w:t>44,7</w:t>
            </w:r>
          </w:p>
        </w:tc>
        <w:tc>
          <w:tcPr>
            <w:tcW w:w="365" w:type="pct"/>
            <w:shd w:val="clear" w:color="auto" w:fill="C6D9F1"/>
            <w:noWrap/>
            <w:hideMark/>
          </w:tcPr>
          <w:p w14:paraId="666CD068" w14:textId="77777777" w:rsidR="00881780" w:rsidRPr="00A71C8E" w:rsidRDefault="00881780" w:rsidP="006F4D8F">
            <w:pPr>
              <w:spacing w:before="0" w:line="240" w:lineRule="auto"/>
              <w:rPr>
                <w:sz w:val="18"/>
                <w:szCs w:val="18"/>
              </w:rPr>
            </w:pPr>
            <w:r w:rsidRPr="00A71C8E">
              <w:rPr>
                <w:sz w:val="18"/>
                <w:szCs w:val="18"/>
              </w:rPr>
              <w:t>45,3</w:t>
            </w:r>
          </w:p>
        </w:tc>
      </w:tr>
      <w:tr w:rsidR="00881780" w:rsidRPr="00A71C8E" w14:paraId="46D878E0" w14:textId="77777777" w:rsidTr="006F4D8F">
        <w:trPr>
          <w:trHeight w:val="300"/>
        </w:trPr>
        <w:tc>
          <w:tcPr>
            <w:tcW w:w="623" w:type="pct"/>
            <w:noWrap/>
            <w:hideMark/>
          </w:tcPr>
          <w:p w14:paraId="1F3719D2" w14:textId="77777777" w:rsidR="00881780" w:rsidRPr="00A71C8E" w:rsidRDefault="00881780" w:rsidP="006F4D8F">
            <w:pPr>
              <w:spacing w:before="0" w:line="240" w:lineRule="auto"/>
              <w:rPr>
                <w:sz w:val="18"/>
                <w:szCs w:val="18"/>
              </w:rPr>
            </w:pPr>
            <w:r w:rsidRPr="00A71C8E">
              <w:rPr>
                <w:sz w:val="18"/>
                <w:szCs w:val="18"/>
              </w:rPr>
              <w:t>Wielkopolskie</w:t>
            </w:r>
          </w:p>
        </w:tc>
        <w:tc>
          <w:tcPr>
            <w:tcW w:w="365" w:type="pct"/>
            <w:noWrap/>
            <w:hideMark/>
          </w:tcPr>
          <w:p w14:paraId="1FE66170" w14:textId="77777777" w:rsidR="00881780" w:rsidRPr="00A71C8E" w:rsidRDefault="00881780" w:rsidP="006F4D8F">
            <w:pPr>
              <w:spacing w:before="0" w:line="240" w:lineRule="auto"/>
              <w:rPr>
                <w:sz w:val="18"/>
                <w:szCs w:val="18"/>
              </w:rPr>
            </w:pPr>
            <w:r w:rsidRPr="00A71C8E">
              <w:rPr>
                <w:sz w:val="18"/>
                <w:szCs w:val="18"/>
              </w:rPr>
              <w:t>67,1</w:t>
            </w:r>
          </w:p>
        </w:tc>
        <w:tc>
          <w:tcPr>
            <w:tcW w:w="365" w:type="pct"/>
            <w:noWrap/>
            <w:hideMark/>
          </w:tcPr>
          <w:p w14:paraId="6434B87D" w14:textId="77777777" w:rsidR="00881780" w:rsidRPr="00A71C8E" w:rsidRDefault="00881780" w:rsidP="006F4D8F">
            <w:pPr>
              <w:spacing w:before="0" w:line="240" w:lineRule="auto"/>
              <w:rPr>
                <w:sz w:val="18"/>
                <w:szCs w:val="18"/>
              </w:rPr>
            </w:pPr>
            <w:r w:rsidRPr="00A71C8E">
              <w:rPr>
                <w:sz w:val="18"/>
                <w:szCs w:val="18"/>
              </w:rPr>
              <w:t>68,1</w:t>
            </w:r>
          </w:p>
        </w:tc>
        <w:tc>
          <w:tcPr>
            <w:tcW w:w="365" w:type="pct"/>
            <w:noWrap/>
            <w:hideMark/>
          </w:tcPr>
          <w:p w14:paraId="55967318" w14:textId="77777777" w:rsidR="00881780" w:rsidRPr="00A71C8E" w:rsidRDefault="00881780" w:rsidP="006F4D8F">
            <w:pPr>
              <w:spacing w:before="0" w:line="240" w:lineRule="auto"/>
              <w:rPr>
                <w:sz w:val="18"/>
                <w:szCs w:val="18"/>
              </w:rPr>
            </w:pPr>
            <w:r w:rsidRPr="00A71C8E">
              <w:rPr>
                <w:sz w:val="18"/>
                <w:szCs w:val="18"/>
              </w:rPr>
              <w:t>67,8</w:t>
            </w:r>
          </w:p>
        </w:tc>
        <w:tc>
          <w:tcPr>
            <w:tcW w:w="365" w:type="pct"/>
            <w:noWrap/>
            <w:hideMark/>
          </w:tcPr>
          <w:p w14:paraId="07CA37D7" w14:textId="77777777" w:rsidR="00881780" w:rsidRPr="00A71C8E" w:rsidRDefault="00881780" w:rsidP="006F4D8F">
            <w:pPr>
              <w:spacing w:before="0" w:line="240" w:lineRule="auto"/>
              <w:rPr>
                <w:sz w:val="18"/>
                <w:szCs w:val="18"/>
              </w:rPr>
            </w:pPr>
            <w:r w:rsidRPr="00A71C8E">
              <w:rPr>
                <w:sz w:val="18"/>
                <w:szCs w:val="18"/>
              </w:rPr>
              <w:t>67,0</w:t>
            </w:r>
          </w:p>
        </w:tc>
        <w:tc>
          <w:tcPr>
            <w:tcW w:w="365" w:type="pct"/>
            <w:noWrap/>
            <w:hideMark/>
          </w:tcPr>
          <w:p w14:paraId="73CCD798" w14:textId="77777777" w:rsidR="00881780" w:rsidRPr="00A71C8E" w:rsidRDefault="00881780" w:rsidP="006F4D8F">
            <w:pPr>
              <w:spacing w:before="0" w:line="240" w:lineRule="auto"/>
              <w:rPr>
                <w:sz w:val="18"/>
                <w:szCs w:val="18"/>
              </w:rPr>
            </w:pPr>
            <w:r w:rsidRPr="00A71C8E">
              <w:rPr>
                <w:sz w:val="18"/>
                <w:szCs w:val="18"/>
              </w:rPr>
              <w:t>67,8</w:t>
            </w:r>
          </w:p>
        </w:tc>
        <w:tc>
          <w:tcPr>
            <w:tcW w:w="365" w:type="pct"/>
            <w:noWrap/>
            <w:hideMark/>
          </w:tcPr>
          <w:p w14:paraId="1477CDAB" w14:textId="77777777" w:rsidR="00881780" w:rsidRPr="00A71C8E" w:rsidRDefault="00881780" w:rsidP="006F4D8F">
            <w:pPr>
              <w:spacing w:before="0" w:line="240" w:lineRule="auto"/>
              <w:rPr>
                <w:sz w:val="18"/>
                <w:szCs w:val="18"/>
              </w:rPr>
            </w:pPr>
            <w:r w:rsidRPr="00A71C8E">
              <w:rPr>
                <w:sz w:val="18"/>
                <w:szCs w:val="18"/>
              </w:rPr>
              <w:t>69,1</w:t>
            </w:r>
          </w:p>
        </w:tc>
        <w:tc>
          <w:tcPr>
            <w:tcW w:w="365" w:type="pct"/>
            <w:shd w:val="clear" w:color="auto" w:fill="C6D9F1"/>
            <w:noWrap/>
            <w:hideMark/>
          </w:tcPr>
          <w:p w14:paraId="5319DEE1" w14:textId="77777777" w:rsidR="00881780" w:rsidRPr="00A71C8E" w:rsidRDefault="00881780" w:rsidP="006F4D8F">
            <w:pPr>
              <w:spacing w:before="0" w:line="240" w:lineRule="auto"/>
              <w:rPr>
                <w:sz w:val="18"/>
                <w:szCs w:val="18"/>
              </w:rPr>
            </w:pPr>
            <w:r w:rsidRPr="00A71C8E">
              <w:rPr>
                <w:sz w:val="18"/>
                <w:szCs w:val="18"/>
              </w:rPr>
              <w:t>48,2</w:t>
            </w:r>
          </w:p>
        </w:tc>
        <w:tc>
          <w:tcPr>
            <w:tcW w:w="365" w:type="pct"/>
            <w:shd w:val="clear" w:color="auto" w:fill="C6D9F1"/>
            <w:noWrap/>
            <w:hideMark/>
          </w:tcPr>
          <w:p w14:paraId="22883BB3" w14:textId="77777777" w:rsidR="00881780" w:rsidRPr="00A71C8E" w:rsidRDefault="00881780" w:rsidP="006F4D8F">
            <w:pPr>
              <w:spacing w:before="0" w:line="240" w:lineRule="auto"/>
              <w:rPr>
                <w:sz w:val="18"/>
                <w:szCs w:val="18"/>
              </w:rPr>
            </w:pPr>
            <w:r w:rsidRPr="00A71C8E">
              <w:rPr>
                <w:sz w:val="18"/>
                <w:szCs w:val="18"/>
              </w:rPr>
              <w:t>49,0</w:t>
            </w:r>
          </w:p>
        </w:tc>
        <w:tc>
          <w:tcPr>
            <w:tcW w:w="365" w:type="pct"/>
            <w:shd w:val="clear" w:color="auto" w:fill="C6D9F1"/>
            <w:noWrap/>
            <w:hideMark/>
          </w:tcPr>
          <w:p w14:paraId="5F671353" w14:textId="77777777" w:rsidR="00881780" w:rsidRPr="00A71C8E" w:rsidRDefault="00881780" w:rsidP="006F4D8F">
            <w:pPr>
              <w:spacing w:before="0" w:line="240" w:lineRule="auto"/>
              <w:rPr>
                <w:sz w:val="18"/>
                <w:szCs w:val="18"/>
              </w:rPr>
            </w:pPr>
            <w:r w:rsidRPr="00A71C8E">
              <w:rPr>
                <w:sz w:val="18"/>
                <w:szCs w:val="18"/>
              </w:rPr>
              <w:t>48,5</w:t>
            </w:r>
          </w:p>
        </w:tc>
        <w:tc>
          <w:tcPr>
            <w:tcW w:w="365" w:type="pct"/>
            <w:shd w:val="clear" w:color="auto" w:fill="C6D9F1"/>
            <w:noWrap/>
            <w:hideMark/>
          </w:tcPr>
          <w:p w14:paraId="105D3411" w14:textId="77777777" w:rsidR="00881780" w:rsidRPr="00A71C8E" w:rsidRDefault="00881780" w:rsidP="006F4D8F">
            <w:pPr>
              <w:spacing w:before="0" w:line="240" w:lineRule="auto"/>
              <w:rPr>
                <w:sz w:val="18"/>
                <w:szCs w:val="18"/>
              </w:rPr>
            </w:pPr>
            <w:r w:rsidRPr="00A71C8E">
              <w:rPr>
                <w:sz w:val="18"/>
                <w:szCs w:val="18"/>
              </w:rPr>
              <w:t>48,8</w:t>
            </w:r>
          </w:p>
        </w:tc>
        <w:tc>
          <w:tcPr>
            <w:tcW w:w="365" w:type="pct"/>
            <w:shd w:val="clear" w:color="auto" w:fill="C6D9F1"/>
            <w:noWrap/>
            <w:hideMark/>
          </w:tcPr>
          <w:p w14:paraId="62A32CA4" w14:textId="77777777" w:rsidR="00881780" w:rsidRPr="00A71C8E" w:rsidRDefault="00881780" w:rsidP="006F4D8F">
            <w:pPr>
              <w:spacing w:before="0" w:line="240" w:lineRule="auto"/>
              <w:rPr>
                <w:sz w:val="18"/>
                <w:szCs w:val="18"/>
              </w:rPr>
            </w:pPr>
            <w:r w:rsidRPr="00A71C8E">
              <w:rPr>
                <w:sz w:val="18"/>
                <w:szCs w:val="18"/>
              </w:rPr>
              <w:t>49,2</w:t>
            </w:r>
          </w:p>
        </w:tc>
        <w:tc>
          <w:tcPr>
            <w:tcW w:w="365" w:type="pct"/>
            <w:shd w:val="clear" w:color="auto" w:fill="C6D9F1"/>
            <w:noWrap/>
            <w:hideMark/>
          </w:tcPr>
          <w:p w14:paraId="28F47FD3" w14:textId="77777777" w:rsidR="00881780" w:rsidRPr="00A71C8E" w:rsidRDefault="00881780" w:rsidP="006F4D8F">
            <w:pPr>
              <w:spacing w:before="0" w:line="240" w:lineRule="auto"/>
              <w:rPr>
                <w:sz w:val="18"/>
                <w:szCs w:val="18"/>
              </w:rPr>
            </w:pPr>
            <w:r w:rsidRPr="00A71C8E">
              <w:rPr>
                <w:sz w:val="18"/>
                <w:szCs w:val="18"/>
              </w:rPr>
              <w:t>49,5</w:t>
            </w:r>
          </w:p>
        </w:tc>
      </w:tr>
      <w:tr w:rsidR="00881780" w:rsidRPr="00A71C8E" w14:paraId="06AD5A74" w14:textId="77777777" w:rsidTr="006F4D8F">
        <w:trPr>
          <w:trHeight w:val="300"/>
        </w:trPr>
        <w:tc>
          <w:tcPr>
            <w:tcW w:w="623" w:type="pct"/>
            <w:noWrap/>
            <w:hideMark/>
          </w:tcPr>
          <w:p w14:paraId="79A1FE31" w14:textId="77777777" w:rsidR="00881780" w:rsidRPr="00A71C8E" w:rsidRDefault="00881780" w:rsidP="006F4D8F">
            <w:pPr>
              <w:spacing w:before="0" w:line="240" w:lineRule="auto"/>
              <w:rPr>
                <w:b/>
                <w:sz w:val="18"/>
                <w:szCs w:val="18"/>
              </w:rPr>
            </w:pPr>
            <w:r w:rsidRPr="00A71C8E">
              <w:rPr>
                <w:b/>
                <w:sz w:val="18"/>
                <w:szCs w:val="18"/>
              </w:rPr>
              <w:t>Zachodniopomorskie</w:t>
            </w:r>
          </w:p>
        </w:tc>
        <w:tc>
          <w:tcPr>
            <w:tcW w:w="365" w:type="pct"/>
            <w:noWrap/>
            <w:hideMark/>
          </w:tcPr>
          <w:p w14:paraId="56A18F51" w14:textId="77777777" w:rsidR="00881780" w:rsidRPr="00A71C8E" w:rsidRDefault="00881780" w:rsidP="006F4D8F">
            <w:pPr>
              <w:spacing w:before="0" w:line="240" w:lineRule="auto"/>
              <w:rPr>
                <w:b/>
                <w:sz w:val="18"/>
                <w:szCs w:val="18"/>
              </w:rPr>
            </w:pPr>
            <w:r w:rsidRPr="00A71C8E">
              <w:rPr>
                <w:b/>
                <w:sz w:val="18"/>
                <w:szCs w:val="18"/>
              </w:rPr>
              <w:t>61,4</w:t>
            </w:r>
          </w:p>
        </w:tc>
        <w:tc>
          <w:tcPr>
            <w:tcW w:w="365" w:type="pct"/>
            <w:noWrap/>
            <w:hideMark/>
          </w:tcPr>
          <w:p w14:paraId="0F03F776" w14:textId="77777777" w:rsidR="00881780" w:rsidRPr="00A71C8E" w:rsidRDefault="00881780" w:rsidP="006F4D8F">
            <w:pPr>
              <w:spacing w:before="0" w:line="240" w:lineRule="auto"/>
              <w:rPr>
                <w:b/>
                <w:sz w:val="18"/>
                <w:szCs w:val="18"/>
              </w:rPr>
            </w:pPr>
            <w:r w:rsidRPr="00A71C8E">
              <w:rPr>
                <w:b/>
                <w:sz w:val="18"/>
                <w:szCs w:val="18"/>
              </w:rPr>
              <w:t>61,7</w:t>
            </w:r>
          </w:p>
        </w:tc>
        <w:tc>
          <w:tcPr>
            <w:tcW w:w="365" w:type="pct"/>
            <w:noWrap/>
            <w:hideMark/>
          </w:tcPr>
          <w:p w14:paraId="263925F6" w14:textId="77777777" w:rsidR="00881780" w:rsidRPr="00A71C8E" w:rsidRDefault="00881780" w:rsidP="006F4D8F">
            <w:pPr>
              <w:spacing w:before="0" w:line="240" w:lineRule="auto"/>
              <w:rPr>
                <w:b/>
                <w:sz w:val="18"/>
                <w:szCs w:val="18"/>
              </w:rPr>
            </w:pPr>
            <w:r w:rsidRPr="00A71C8E">
              <w:rPr>
                <w:b/>
                <w:sz w:val="18"/>
                <w:szCs w:val="18"/>
              </w:rPr>
              <w:t>61,7</w:t>
            </w:r>
          </w:p>
        </w:tc>
        <w:tc>
          <w:tcPr>
            <w:tcW w:w="365" w:type="pct"/>
            <w:noWrap/>
            <w:hideMark/>
          </w:tcPr>
          <w:p w14:paraId="79721BC4" w14:textId="77777777" w:rsidR="00881780" w:rsidRPr="00A71C8E" w:rsidRDefault="00881780" w:rsidP="006F4D8F">
            <w:pPr>
              <w:spacing w:before="0" w:line="240" w:lineRule="auto"/>
              <w:rPr>
                <w:b/>
                <w:sz w:val="18"/>
                <w:szCs w:val="18"/>
              </w:rPr>
            </w:pPr>
            <w:r w:rsidRPr="00A71C8E">
              <w:rPr>
                <w:b/>
                <w:sz w:val="18"/>
                <w:szCs w:val="18"/>
              </w:rPr>
              <w:t>60,7</w:t>
            </w:r>
          </w:p>
        </w:tc>
        <w:tc>
          <w:tcPr>
            <w:tcW w:w="365" w:type="pct"/>
            <w:noWrap/>
            <w:hideMark/>
          </w:tcPr>
          <w:p w14:paraId="29A02065" w14:textId="77777777" w:rsidR="00881780" w:rsidRPr="00A71C8E" w:rsidRDefault="00881780" w:rsidP="006F4D8F">
            <w:pPr>
              <w:spacing w:before="0" w:line="240" w:lineRule="auto"/>
              <w:rPr>
                <w:b/>
                <w:sz w:val="18"/>
                <w:szCs w:val="18"/>
              </w:rPr>
            </w:pPr>
            <w:r w:rsidRPr="00A71C8E">
              <w:rPr>
                <w:b/>
                <w:sz w:val="18"/>
                <w:szCs w:val="18"/>
              </w:rPr>
              <w:t>61,6</w:t>
            </w:r>
          </w:p>
        </w:tc>
        <w:tc>
          <w:tcPr>
            <w:tcW w:w="365" w:type="pct"/>
            <w:noWrap/>
            <w:hideMark/>
          </w:tcPr>
          <w:p w14:paraId="7F0795A2" w14:textId="77777777" w:rsidR="00881780" w:rsidRPr="00A71C8E" w:rsidRDefault="00881780" w:rsidP="006F4D8F">
            <w:pPr>
              <w:spacing w:before="0" w:line="240" w:lineRule="auto"/>
              <w:rPr>
                <w:b/>
                <w:sz w:val="18"/>
                <w:szCs w:val="18"/>
              </w:rPr>
            </w:pPr>
            <w:r w:rsidRPr="00A71C8E">
              <w:rPr>
                <w:b/>
                <w:sz w:val="18"/>
                <w:szCs w:val="18"/>
              </w:rPr>
              <w:t>61,6</w:t>
            </w:r>
          </w:p>
        </w:tc>
        <w:tc>
          <w:tcPr>
            <w:tcW w:w="365" w:type="pct"/>
            <w:shd w:val="clear" w:color="auto" w:fill="C6D9F1"/>
            <w:noWrap/>
            <w:hideMark/>
          </w:tcPr>
          <w:p w14:paraId="61046AF9" w14:textId="77777777" w:rsidR="00881780" w:rsidRPr="00A71C8E" w:rsidRDefault="00881780" w:rsidP="006F4D8F">
            <w:pPr>
              <w:spacing w:before="0" w:line="240" w:lineRule="auto"/>
              <w:rPr>
                <w:b/>
                <w:sz w:val="18"/>
                <w:szCs w:val="18"/>
              </w:rPr>
            </w:pPr>
            <w:r w:rsidRPr="00A71C8E">
              <w:rPr>
                <w:b/>
                <w:sz w:val="18"/>
                <w:szCs w:val="18"/>
              </w:rPr>
              <w:t>43,8</w:t>
            </w:r>
          </w:p>
        </w:tc>
        <w:tc>
          <w:tcPr>
            <w:tcW w:w="365" w:type="pct"/>
            <w:shd w:val="clear" w:color="auto" w:fill="C6D9F1"/>
            <w:noWrap/>
            <w:hideMark/>
          </w:tcPr>
          <w:p w14:paraId="0188CDDE" w14:textId="77777777" w:rsidR="00881780" w:rsidRPr="00A71C8E" w:rsidRDefault="00881780" w:rsidP="006F4D8F">
            <w:pPr>
              <w:spacing w:before="0" w:line="240" w:lineRule="auto"/>
              <w:rPr>
                <w:b/>
                <w:sz w:val="18"/>
                <w:szCs w:val="18"/>
              </w:rPr>
            </w:pPr>
            <w:r w:rsidRPr="00A71C8E">
              <w:rPr>
                <w:b/>
                <w:sz w:val="18"/>
                <w:szCs w:val="18"/>
              </w:rPr>
              <w:t>44,2</w:t>
            </w:r>
          </w:p>
        </w:tc>
        <w:tc>
          <w:tcPr>
            <w:tcW w:w="365" w:type="pct"/>
            <w:shd w:val="clear" w:color="auto" w:fill="C6D9F1"/>
            <w:noWrap/>
            <w:hideMark/>
          </w:tcPr>
          <w:p w14:paraId="784E7757" w14:textId="77777777" w:rsidR="00881780" w:rsidRPr="00A71C8E" w:rsidRDefault="00881780" w:rsidP="006F4D8F">
            <w:pPr>
              <w:spacing w:before="0" w:line="240" w:lineRule="auto"/>
              <w:rPr>
                <w:b/>
                <w:sz w:val="18"/>
                <w:szCs w:val="18"/>
              </w:rPr>
            </w:pPr>
            <w:r w:rsidRPr="00A71C8E">
              <w:rPr>
                <w:b/>
                <w:sz w:val="18"/>
                <w:szCs w:val="18"/>
              </w:rPr>
              <w:t>44,7</w:t>
            </w:r>
          </w:p>
        </w:tc>
        <w:tc>
          <w:tcPr>
            <w:tcW w:w="365" w:type="pct"/>
            <w:shd w:val="clear" w:color="auto" w:fill="C6D9F1"/>
            <w:noWrap/>
            <w:hideMark/>
          </w:tcPr>
          <w:p w14:paraId="75453F90" w14:textId="77777777" w:rsidR="00881780" w:rsidRPr="00A71C8E" w:rsidRDefault="00881780" w:rsidP="006F4D8F">
            <w:pPr>
              <w:spacing w:before="0" w:line="240" w:lineRule="auto"/>
              <w:rPr>
                <w:b/>
                <w:sz w:val="18"/>
                <w:szCs w:val="18"/>
              </w:rPr>
            </w:pPr>
            <w:r w:rsidRPr="00A71C8E">
              <w:rPr>
                <w:b/>
                <w:sz w:val="18"/>
                <w:szCs w:val="18"/>
              </w:rPr>
              <w:t>44,3</w:t>
            </w:r>
          </w:p>
        </w:tc>
        <w:tc>
          <w:tcPr>
            <w:tcW w:w="365" w:type="pct"/>
            <w:shd w:val="clear" w:color="auto" w:fill="C6D9F1"/>
            <w:noWrap/>
            <w:hideMark/>
          </w:tcPr>
          <w:p w14:paraId="7CA45F89" w14:textId="77777777" w:rsidR="00881780" w:rsidRPr="00A71C8E" w:rsidRDefault="00881780" w:rsidP="006F4D8F">
            <w:pPr>
              <w:spacing w:before="0" w:line="240" w:lineRule="auto"/>
              <w:rPr>
                <w:b/>
                <w:sz w:val="18"/>
                <w:szCs w:val="18"/>
              </w:rPr>
            </w:pPr>
            <w:r w:rsidRPr="00A71C8E">
              <w:rPr>
                <w:b/>
                <w:sz w:val="18"/>
                <w:szCs w:val="18"/>
              </w:rPr>
              <w:t>45,5</w:t>
            </w:r>
          </w:p>
        </w:tc>
        <w:tc>
          <w:tcPr>
            <w:tcW w:w="365" w:type="pct"/>
            <w:shd w:val="clear" w:color="auto" w:fill="C6D9F1"/>
            <w:noWrap/>
            <w:hideMark/>
          </w:tcPr>
          <w:p w14:paraId="48F1FE15" w14:textId="77777777" w:rsidR="00881780" w:rsidRPr="00A71C8E" w:rsidRDefault="00881780" w:rsidP="006F4D8F">
            <w:pPr>
              <w:spacing w:before="0" w:line="240" w:lineRule="auto"/>
              <w:rPr>
                <w:b/>
                <w:sz w:val="18"/>
                <w:szCs w:val="18"/>
              </w:rPr>
            </w:pPr>
            <w:r w:rsidRPr="00A71C8E">
              <w:rPr>
                <w:b/>
                <w:sz w:val="18"/>
                <w:szCs w:val="18"/>
              </w:rPr>
              <w:t>46,2</w:t>
            </w:r>
          </w:p>
        </w:tc>
      </w:tr>
    </w:tbl>
    <w:p w14:paraId="4373BA0E" w14:textId="7A2828E9" w:rsidR="00881780" w:rsidRPr="00EE66C6" w:rsidRDefault="00881780" w:rsidP="005A06CB">
      <w:pPr>
        <w:spacing w:before="0"/>
        <w:rPr>
          <w:i/>
          <w:sz w:val="18"/>
          <w:szCs w:val="20"/>
        </w:rPr>
      </w:pPr>
      <w:r w:rsidRPr="00EE66C6">
        <w:rPr>
          <w:i/>
          <w:sz w:val="18"/>
          <w:szCs w:val="20"/>
        </w:rPr>
        <w:t>Źródło: opracowanie własne na podstawie danych BDL/GUS</w:t>
      </w:r>
      <w:r w:rsidR="00AA6879">
        <w:rPr>
          <w:i/>
          <w:sz w:val="18"/>
          <w:szCs w:val="20"/>
        </w:rPr>
        <w:t>.</w:t>
      </w:r>
    </w:p>
    <w:p w14:paraId="49B5817A" w14:textId="77777777" w:rsidR="00881780" w:rsidRPr="00A67214" w:rsidRDefault="00881780" w:rsidP="005A06CB">
      <w:pPr>
        <w:pStyle w:val="Legenda"/>
        <w:spacing w:after="0"/>
      </w:pPr>
      <w:bookmarkStart w:id="213" w:name="_Toc8824214"/>
      <w:bookmarkEnd w:id="210"/>
      <w:r w:rsidRPr="00432E11">
        <w:t xml:space="preserve">Tabela </w:t>
      </w:r>
      <w:r>
        <w:rPr>
          <w:noProof/>
        </w:rPr>
        <w:fldChar w:fldCharType="begin"/>
      </w:r>
      <w:r>
        <w:rPr>
          <w:noProof/>
        </w:rPr>
        <w:instrText xml:space="preserve"> SEQ Tabela \* ARABIC </w:instrText>
      </w:r>
      <w:r>
        <w:rPr>
          <w:noProof/>
        </w:rPr>
        <w:fldChar w:fldCharType="separate"/>
      </w:r>
      <w:r w:rsidR="00763345">
        <w:rPr>
          <w:noProof/>
        </w:rPr>
        <w:t>103</w:t>
      </w:r>
      <w:r>
        <w:rPr>
          <w:noProof/>
        </w:rPr>
        <w:fldChar w:fldCharType="end"/>
      </w:r>
      <w:r w:rsidRPr="00432E11">
        <w:t xml:space="preserve"> </w:t>
      </w:r>
      <w:r>
        <w:t>Wskaźnik zatrudnienia według płci</w:t>
      </w:r>
      <w:r w:rsidRPr="00432E11">
        <w:t>; Polska</w:t>
      </w:r>
      <w:r w:rsidR="00E66B89">
        <w:t xml:space="preserve"> i </w:t>
      </w:r>
      <w:r w:rsidRPr="00432E11">
        <w:t>województwa</w:t>
      </w:r>
      <w:r>
        <w:t xml:space="preserve"> (dane za IV kwartał)</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4"/>
        <w:gridCol w:w="522"/>
        <w:gridCol w:w="522"/>
        <w:gridCol w:w="522"/>
        <w:gridCol w:w="522"/>
        <w:gridCol w:w="522"/>
        <w:gridCol w:w="522"/>
        <w:gridCol w:w="522"/>
        <w:gridCol w:w="522"/>
        <w:gridCol w:w="522"/>
        <w:gridCol w:w="522"/>
        <w:gridCol w:w="522"/>
        <w:gridCol w:w="522"/>
        <w:gridCol w:w="522"/>
        <w:gridCol w:w="522"/>
      </w:tblGrid>
      <w:tr w:rsidR="00881780" w:rsidRPr="00A71C8E" w14:paraId="2A3292E7" w14:textId="77777777" w:rsidTr="00C22C26">
        <w:trPr>
          <w:trHeight w:val="300"/>
          <w:tblHeader/>
        </w:trPr>
        <w:tc>
          <w:tcPr>
            <w:tcW w:w="1105" w:type="pct"/>
            <w:vMerge w:val="restart"/>
            <w:shd w:val="clear" w:color="auto" w:fill="auto"/>
            <w:vAlign w:val="center"/>
            <w:hideMark/>
          </w:tcPr>
          <w:p w14:paraId="53350FB8" w14:textId="77777777" w:rsidR="00881780" w:rsidRPr="00A71C8E" w:rsidRDefault="00881780" w:rsidP="006F4D8F">
            <w:pPr>
              <w:spacing w:before="0" w:line="240" w:lineRule="auto"/>
              <w:rPr>
                <w:b/>
                <w:color w:val="000000"/>
                <w:sz w:val="18"/>
                <w:szCs w:val="18"/>
              </w:rPr>
            </w:pPr>
            <w:r w:rsidRPr="00A71C8E">
              <w:rPr>
                <w:b/>
                <w:color w:val="000000"/>
                <w:sz w:val="18"/>
                <w:szCs w:val="18"/>
              </w:rPr>
              <w:t>Wskaźnik zatrudnienia</w:t>
            </w:r>
          </w:p>
        </w:tc>
        <w:tc>
          <w:tcPr>
            <w:tcW w:w="3895" w:type="pct"/>
            <w:gridSpan w:val="14"/>
            <w:shd w:val="clear" w:color="auto" w:fill="auto"/>
            <w:vAlign w:val="center"/>
          </w:tcPr>
          <w:p w14:paraId="35A8DCFC" w14:textId="77777777" w:rsidR="00881780" w:rsidRPr="00A71C8E" w:rsidRDefault="00881780" w:rsidP="006F4D8F">
            <w:pPr>
              <w:spacing w:before="0" w:line="240" w:lineRule="auto"/>
              <w:rPr>
                <w:b/>
                <w:color w:val="000000"/>
                <w:sz w:val="18"/>
                <w:szCs w:val="18"/>
              </w:rPr>
            </w:pPr>
            <w:r w:rsidRPr="00A71C8E">
              <w:rPr>
                <w:b/>
                <w:color w:val="000000"/>
                <w:sz w:val="18"/>
                <w:szCs w:val="18"/>
              </w:rPr>
              <w:t>Ludność</w:t>
            </w:r>
            <w:r w:rsidR="00E66B89" w:rsidRPr="00A71C8E">
              <w:rPr>
                <w:b/>
                <w:color w:val="000000"/>
                <w:sz w:val="18"/>
                <w:szCs w:val="18"/>
              </w:rPr>
              <w:t xml:space="preserve"> w </w:t>
            </w:r>
            <w:r w:rsidRPr="00A71C8E">
              <w:rPr>
                <w:b/>
                <w:color w:val="000000"/>
                <w:sz w:val="18"/>
                <w:szCs w:val="18"/>
              </w:rPr>
              <w:t>wieku 20-64 lata</w:t>
            </w:r>
          </w:p>
        </w:tc>
      </w:tr>
      <w:tr w:rsidR="00881780" w:rsidRPr="00A71C8E" w14:paraId="58882575" w14:textId="77777777" w:rsidTr="00C22C26">
        <w:trPr>
          <w:trHeight w:val="300"/>
          <w:tblHeader/>
        </w:trPr>
        <w:tc>
          <w:tcPr>
            <w:tcW w:w="1105" w:type="pct"/>
            <w:vMerge/>
            <w:shd w:val="clear" w:color="auto" w:fill="auto"/>
          </w:tcPr>
          <w:p w14:paraId="713A7C36" w14:textId="77777777" w:rsidR="00881780" w:rsidRPr="00A71C8E" w:rsidRDefault="00881780" w:rsidP="006F4D8F">
            <w:pPr>
              <w:spacing w:before="0" w:line="240" w:lineRule="auto"/>
              <w:rPr>
                <w:b/>
                <w:color w:val="000000"/>
                <w:sz w:val="18"/>
                <w:szCs w:val="18"/>
              </w:rPr>
            </w:pPr>
          </w:p>
        </w:tc>
        <w:tc>
          <w:tcPr>
            <w:tcW w:w="1944" w:type="pct"/>
            <w:gridSpan w:val="7"/>
            <w:shd w:val="clear" w:color="auto" w:fill="auto"/>
          </w:tcPr>
          <w:p w14:paraId="6BBC0AB7" w14:textId="77777777" w:rsidR="00881780" w:rsidRPr="00A71C8E" w:rsidRDefault="00881780" w:rsidP="006F4D8F">
            <w:pPr>
              <w:spacing w:before="0" w:line="240" w:lineRule="auto"/>
              <w:rPr>
                <w:b/>
                <w:color w:val="000000"/>
                <w:sz w:val="18"/>
                <w:szCs w:val="18"/>
              </w:rPr>
            </w:pPr>
            <w:r w:rsidRPr="00A71C8E">
              <w:rPr>
                <w:b/>
                <w:color w:val="000000"/>
                <w:sz w:val="18"/>
                <w:szCs w:val="18"/>
              </w:rPr>
              <w:t>Mężczyźni</w:t>
            </w:r>
          </w:p>
        </w:tc>
        <w:tc>
          <w:tcPr>
            <w:tcW w:w="1951" w:type="pct"/>
            <w:gridSpan w:val="7"/>
            <w:shd w:val="clear" w:color="auto" w:fill="C6D9F1"/>
          </w:tcPr>
          <w:p w14:paraId="27F40C49" w14:textId="77777777" w:rsidR="00881780" w:rsidRPr="00A71C8E" w:rsidRDefault="00881780" w:rsidP="006F4D8F">
            <w:pPr>
              <w:spacing w:before="0" w:line="240" w:lineRule="auto"/>
              <w:rPr>
                <w:b/>
                <w:color w:val="000000"/>
                <w:sz w:val="18"/>
                <w:szCs w:val="18"/>
              </w:rPr>
            </w:pPr>
            <w:r w:rsidRPr="00A71C8E">
              <w:rPr>
                <w:b/>
                <w:color w:val="000000"/>
                <w:sz w:val="18"/>
                <w:szCs w:val="18"/>
              </w:rPr>
              <w:t>Kobiety</w:t>
            </w:r>
          </w:p>
        </w:tc>
      </w:tr>
      <w:tr w:rsidR="00881780" w:rsidRPr="00A71C8E" w14:paraId="3B134360" w14:textId="77777777" w:rsidTr="006F4D8F">
        <w:trPr>
          <w:trHeight w:val="300"/>
        </w:trPr>
        <w:tc>
          <w:tcPr>
            <w:tcW w:w="1105" w:type="pct"/>
            <w:hideMark/>
          </w:tcPr>
          <w:p w14:paraId="7A11EAA4" w14:textId="77777777" w:rsidR="00881780" w:rsidRPr="00A71C8E" w:rsidRDefault="00881780" w:rsidP="006F4D8F">
            <w:pPr>
              <w:spacing w:before="0" w:line="240" w:lineRule="auto"/>
              <w:rPr>
                <w:color w:val="000000"/>
                <w:sz w:val="18"/>
                <w:szCs w:val="18"/>
              </w:rPr>
            </w:pPr>
            <w:r w:rsidRPr="00A71C8E">
              <w:rPr>
                <w:color w:val="000000"/>
                <w:sz w:val="18"/>
                <w:szCs w:val="18"/>
              </w:rPr>
              <w:t>Rok</w:t>
            </w:r>
          </w:p>
        </w:tc>
        <w:tc>
          <w:tcPr>
            <w:tcW w:w="274" w:type="pct"/>
            <w:hideMark/>
          </w:tcPr>
          <w:p w14:paraId="1C63A06C" w14:textId="77777777" w:rsidR="00881780" w:rsidRPr="00A71C8E" w:rsidRDefault="00881780" w:rsidP="006F4D8F">
            <w:pPr>
              <w:spacing w:before="0" w:line="240" w:lineRule="auto"/>
              <w:rPr>
                <w:color w:val="000000"/>
                <w:sz w:val="18"/>
                <w:szCs w:val="18"/>
              </w:rPr>
            </w:pPr>
            <w:r w:rsidRPr="00A71C8E">
              <w:rPr>
                <w:color w:val="000000"/>
                <w:sz w:val="18"/>
                <w:szCs w:val="18"/>
              </w:rPr>
              <w:t>2012</w:t>
            </w:r>
          </w:p>
        </w:tc>
        <w:tc>
          <w:tcPr>
            <w:tcW w:w="278" w:type="pct"/>
            <w:hideMark/>
          </w:tcPr>
          <w:p w14:paraId="350E190A" w14:textId="77777777" w:rsidR="00881780" w:rsidRPr="00A71C8E" w:rsidRDefault="00881780" w:rsidP="006F4D8F">
            <w:pPr>
              <w:spacing w:before="0" w:line="240" w:lineRule="auto"/>
              <w:rPr>
                <w:color w:val="000000"/>
                <w:sz w:val="18"/>
                <w:szCs w:val="18"/>
              </w:rPr>
            </w:pPr>
            <w:r w:rsidRPr="00A71C8E">
              <w:rPr>
                <w:color w:val="000000"/>
                <w:sz w:val="18"/>
                <w:szCs w:val="18"/>
              </w:rPr>
              <w:t>2013</w:t>
            </w:r>
          </w:p>
        </w:tc>
        <w:tc>
          <w:tcPr>
            <w:tcW w:w="278" w:type="pct"/>
            <w:hideMark/>
          </w:tcPr>
          <w:p w14:paraId="78E36B3F" w14:textId="77777777" w:rsidR="00881780" w:rsidRPr="00A71C8E" w:rsidRDefault="00881780" w:rsidP="006F4D8F">
            <w:pPr>
              <w:spacing w:before="0" w:line="240" w:lineRule="auto"/>
              <w:rPr>
                <w:color w:val="000000"/>
                <w:sz w:val="18"/>
                <w:szCs w:val="18"/>
              </w:rPr>
            </w:pPr>
            <w:r w:rsidRPr="00A71C8E">
              <w:rPr>
                <w:color w:val="000000"/>
                <w:sz w:val="18"/>
                <w:szCs w:val="18"/>
              </w:rPr>
              <w:t>2014</w:t>
            </w:r>
          </w:p>
        </w:tc>
        <w:tc>
          <w:tcPr>
            <w:tcW w:w="278" w:type="pct"/>
            <w:hideMark/>
          </w:tcPr>
          <w:p w14:paraId="47964F31" w14:textId="77777777" w:rsidR="00881780" w:rsidRPr="00A71C8E" w:rsidRDefault="00881780" w:rsidP="006F4D8F">
            <w:pPr>
              <w:spacing w:before="0" w:line="240" w:lineRule="auto"/>
              <w:rPr>
                <w:color w:val="000000"/>
                <w:sz w:val="18"/>
                <w:szCs w:val="18"/>
              </w:rPr>
            </w:pPr>
            <w:r w:rsidRPr="00A71C8E">
              <w:rPr>
                <w:color w:val="000000"/>
                <w:sz w:val="18"/>
                <w:szCs w:val="18"/>
              </w:rPr>
              <w:t>2015</w:t>
            </w:r>
          </w:p>
        </w:tc>
        <w:tc>
          <w:tcPr>
            <w:tcW w:w="279" w:type="pct"/>
            <w:hideMark/>
          </w:tcPr>
          <w:p w14:paraId="6C68D5A7" w14:textId="77777777" w:rsidR="00881780" w:rsidRPr="00A71C8E" w:rsidRDefault="00881780" w:rsidP="006F4D8F">
            <w:pPr>
              <w:spacing w:before="0" w:line="240" w:lineRule="auto"/>
              <w:rPr>
                <w:color w:val="000000"/>
                <w:sz w:val="18"/>
                <w:szCs w:val="18"/>
              </w:rPr>
            </w:pPr>
            <w:r w:rsidRPr="00A71C8E">
              <w:rPr>
                <w:color w:val="000000"/>
                <w:sz w:val="18"/>
                <w:szCs w:val="18"/>
              </w:rPr>
              <w:t>2016</w:t>
            </w:r>
          </w:p>
        </w:tc>
        <w:tc>
          <w:tcPr>
            <w:tcW w:w="279" w:type="pct"/>
            <w:hideMark/>
          </w:tcPr>
          <w:p w14:paraId="0CD9531E" w14:textId="77777777" w:rsidR="00881780" w:rsidRPr="00A71C8E" w:rsidRDefault="00881780" w:rsidP="006F4D8F">
            <w:pPr>
              <w:spacing w:before="0" w:line="240" w:lineRule="auto"/>
              <w:rPr>
                <w:color w:val="000000"/>
                <w:sz w:val="18"/>
                <w:szCs w:val="18"/>
              </w:rPr>
            </w:pPr>
            <w:r w:rsidRPr="00A71C8E">
              <w:rPr>
                <w:color w:val="000000"/>
                <w:sz w:val="18"/>
                <w:szCs w:val="18"/>
              </w:rPr>
              <w:t>2017</w:t>
            </w:r>
          </w:p>
        </w:tc>
        <w:tc>
          <w:tcPr>
            <w:tcW w:w="279" w:type="pct"/>
            <w:hideMark/>
          </w:tcPr>
          <w:p w14:paraId="08566BA9" w14:textId="77777777" w:rsidR="00881780" w:rsidRPr="00A71C8E" w:rsidRDefault="00881780" w:rsidP="006F4D8F">
            <w:pPr>
              <w:spacing w:before="0" w:line="240" w:lineRule="auto"/>
              <w:rPr>
                <w:color w:val="000000"/>
                <w:sz w:val="18"/>
                <w:szCs w:val="18"/>
              </w:rPr>
            </w:pPr>
            <w:r w:rsidRPr="00A71C8E">
              <w:rPr>
                <w:color w:val="000000"/>
                <w:sz w:val="18"/>
                <w:szCs w:val="18"/>
              </w:rPr>
              <w:t>2018</w:t>
            </w:r>
          </w:p>
        </w:tc>
        <w:tc>
          <w:tcPr>
            <w:tcW w:w="279" w:type="pct"/>
            <w:shd w:val="clear" w:color="auto" w:fill="C6D9F1"/>
            <w:hideMark/>
          </w:tcPr>
          <w:p w14:paraId="766CE9FD" w14:textId="77777777" w:rsidR="00881780" w:rsidRPr="00A71C8E" w:rsidRDefault="00881780" w:rsidP="006F4D8F">
            <w:pPr>
              <w:spacing w:before="0" w:line="240" w:lineRule="auto"/>
              <w:rPr>
                <w:color w:val="000000"/>
                <w:sz w:val="18"/>
                <w:szCs w:val="18"/>
              </w:rPr>
            </w:pPr>
            <w:r w:rsidRPr="00A71C8E">
              <w:rPr>
                <w:color w:val="000000"/>
                <w:sz w:val="18"/>
                <w:szCs w:val="18"/>
              </w:rPr>
              <w:t>2012</w:t>
            </w:r>
          </w:p>
        </w:tc>
        <w:tc>
          <w:tcPr>
            <w:tcW w:w="279" w:type="pct"/>
            <w:shd w:val="clear" w:color="auto" w:fill="C6D9F1"/>
            <w:hideMark/>
          </w:tcPr>
          <w:p w14:paraId="4B598692" w14:textId="77777777" w:rsidR="00881780" w:rsidRPr="00A71C8E" w:rsidRDefault="00881780" w:rsidP="006F4D8F">
            <w:pPr>
              <w:spacing w:before="0" w:line="240" w:lineRule="auto"/>
              <w:rPr>
                <w:color w:val="000000"/>
                <w:sz w:val="18"/>
                <w:szCs w:val="18"/>
              </w:rPr>
            </w:pPr>
            <w:r w:rsidRPr="00A71C8E">
              <w:rPr>
                <w:color w:val="000000"/>
                <w:sz w:val="18"/>
                <w:szCs w:val="18"/>
              </w:rPr>
              <w:t>2013</w:t>
            </w:r>
          </w:p>
        </w:tc>
        <w:tc>
          <w:tcPr>
            <w:tcW w:w="279" w:type="pct"/>
            <w:shd w:val="clear" w:color="auto" w:fill="C6D9F1"/>
            <w:hideMark/>
          </w:tcPr>
          <w:p w14:paraId="448C6C06" w14:textId="77777777" w:rsidR="00881780" w:rsidRPr="00A71C8E" w:rsidRDefault="00881780" w:rsidP="006F4D8F">
            <w:pPr>
              <w:spacing w:before="0" w:line="240" w:lineRule="auto"/>
              <w:rPr>
                <w:color w:val="000000"/>
                <w:sz w:val="18"/>
                <w:szCs w:val="18"/>
              </w:rPr>
            </w:pPr>
            <w:r w:rsidRPr="00A71C8E">
              <w:rPr>
                <w:color w:val="000000"/>
                <w:sz w:val="18"/>
                <w:szCs w:val="18"/>
              </w:rPr>
              <w:t>2014</w:t>
            </w:r>
          </w:p>
        </w:tc>
        <w:tc>
          <w:tcPr>
            <w:tcW w:w="279" w:type="pct"/>
            <w:shd w:val="clear" w:color="auto" w:fill="C6D9F1"/>
            <w:hideMark/>
          </w:tcPr>
          <w:p w14:paraId="5A190BFA" w14:textId="77777777" w:rsidR="00881780" w:rsidRPr="00A71C8E" w:rsidRDefault="00881780" w:rsidP="006F4D8F">
            <w:pPr>
              <w:spacing w:before="0" w:line="240" w:lineRule="auto"/>
              <w:rPr>
                <w:color w:val="000000"/>
                <w:sz w:val="18"/>
                <w:szCs w:val="18"/>
              </w:rPr>
            </w:pPr>
            <w:r w:rsidRPr="00A71C8E">
              <w:rPr>
                <w:color w:val="000000"/>
                <w:sz w:val="18"/>
                <w:szCs w:val="18"/>
              </w:rPr>
              <w:t>2015</w:t>
            </w:r>
          </w:p>
        </w:tc>
        <w:tc>
          <w:tcPr>
            <w:tcW w:w="279" w:type="pct"/>
            <w:shd w:val="clear" w:color="auto" w:fill="C6D9F1"/>
            <w:hideMark/>
          </w:tcPr>
          <w:p w14:paraId="0DED61F2" w14:textId="77777777" w:rsidR="00881780" w:rsidRPr="00A71C8E" w:rsidRDefault="00881780" w:rsidP="006F4D8F">
            <w:pPr>
              <w:spacing w:before="0" w:line="240" w:lineRule="auto"/>
              <w:rPr>
                <w:color w:val="000000"/>
                <w:sz w:val="18"/>
                <w:szCs w:val="18"/>
              </w:rPr>
            </w:pPr>
            <w:r w:rsidRPr="00A71C8E">
              <w:rPr>
                <w:color w:val="000000"/>
                <w:sz w:val="18"/>
                <w:szCs w:val="18"/>
              </w:rPr>
              <w:t>2016</w:t>
            </w:r>
          </w:p>
        </w:tc>
        <w:tc>
          <w:tcPr>
            <w:tcW w:w="279" w:type="pct"/>
            <w:shd w:val="clear" w:color="auto" w:fill="C6D9F1"/>
            <w:hideMark/>
          </w:tcPr>
          <w:p w14:paraId="66D33882" w14:textId="77777777" w:rsidR="00881780" w:rsidRPr="00A71C8E" w:rsidRDefault="00881780" w:rsidP="006F4D8F">
            <w:pPr>
              <w:spacing w:before="0" w:line="240" w:lineRule="auto"/>
              <w:rPr>
                <w:color w:val="000000"/>
                <w:sz w:val="18"/>
                <w:szCs w:val="18"/>
              </w:rPr>
            </w:pPr>
            <w:r w:rsidRPr="00A71C8E">
              <w:rPr>
                <w:color w:val="000000"/>
                <w:sz w:val="18"/>
                <w:szCs w:val="18"/>
              </w:rPr>
              <w:t>2017</w:t>
            </w:r>
          </w:p>
        </w:tc>
        <w:tc>
          <w:tcPr>
            <w:tcW w:w="276" w:type="pct"/>
            <w:shd w:val="clear" w:color="auto" w:fill="C6D9F1"/>
            <w:hideMark/>
          </w:tcPr>
          <w:p w14:paraId="502BCAE3" w14:textId="77777777" w:rsidR="00881780" w:rsidRPr="00A71C8E" w:rsidRDefault="00881780" w:rsidP="006F4D8F">
            <w:pPr>
              <w:spacing w:before="0" w:line="240" w:lineRule="auto"/>
              <w:rPr>
                <w:color w:val="000000"/>
                <w:sz w:val="18"/>
                <w:szCs w:val="18"/>
              </w:rPr>
            </w:pPr>
            <w:r w:rsidRPr="00A71C8E">
              <w:rPr>
                <w:color w:val="000000"/>
                <w:sz w:val="18"/>
                <w:szCs w:val="18"/>
              </w:rPr>
              <w:t>2018</w:t>
            </w:r>
          </w:p>
        </w:tc>
      </w:tr>
      <w:tr w:rsidR="00881780" w:rsidRPr="00A71C8E" w14:paraId="5CC24BAA" w14:textId="77777777" w:rsidTr="006F4D8F">
        <w:trPr>
          <w:trHeight w:val="300"/>
        </w:trPr>
        <w:tc>
          <w:tcPr>
            <w:tcW w:w="1105" w:type="pct"/>
            <w:hideMark/>
          </w:tcPr>
          <w:p w14:paraId="6D0C9CB4" w14:textId="77777777" w:rsidR="00881780" w:rsidRPr="00A71C8E" w:rsidRDefault="00881780" w:rsidP="006F4D8F">
            <w:pPr>
              <w:spacing w:before="0" w:line="240" w:lineRule="auto"/>
              <w:rPr>
                <w:color w:val="000000"/>
                <w:sz w:val="18"/>
                <w:szCs w:val="18"/>
              </w:rPr>
            </w:pPr>
            <w:r w:rsidRPr="00A71C8E">
              <w:rPr>
                <w:color w:val="000000"/>
                <w:sz w:val="18"/>
                <w:szCs w:val="18"/>
              </w:rPr>
              <w:t>Wyszczególnienie</w:t>
            </w:r>
          </w:p>
        </w:tc>
        <w:tc>
          <w:tcPr>
            <w:tcW w:w="274" w:type="pct"/>
            <w:hideMark/>
          </w:tcPr>
          <w:p w14:paraId="17E495A3"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8" w:type="pct"/>
            <w:hideMark/>
          </w:tcPr>
          <w:p w14:paraId="374D4596"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8" w:type="pct"/>
            <w:hideMark/>
          </w:tcPr>
          <w:p w14:paraId="2A736E40"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8" w:type="pct"/>
            <w:hideMark/>
          </w:tcPr>
          <w:p w14:paraId="2959502A"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hideMark/>
          </w:tcPr>
          <w:p w14:paraId="62651699"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hideMark/>
          </w:tcPr>
          <w:p w14:paraId="5B20E663"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hideMark/>
          </w:tcPr>
          <w:p w14:paraId="18335901"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04EA4A91"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2B3B4FEE"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1D761A3B"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56D908D2"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5F3453C1"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9" w:type="pct"/>
            <w:shd w:val="clear" w:color="auto" w:fill="C6D9F1"/>
            <w:hideMark/>
          </w:tcPr>
          <w:p w14:paraId="757DE96E"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c>
          <w:tcPr>
            <w:tcW w:w="276" w:type="pct"/>
            <w:shd w:val="clear" w:color="auto" w:fill="C6D9F1"/>
            <w:hideMark/>
          </w:tcPr>
          <w:p w14:paraId="7A710463" w14:textId="77777777" w:rsidR="00881780" w:rsidRPr="00A71C8E" w:rsidRDefault="00881780" w:rsidP="006F4D8F">
            <w:pPr>
              <w:spacing w:before="0" w:line="240" w:lineRule="auto"/>
              <w:rPr>
                <w:color w:val="000000"/>
                <w:sz w:val="18"/>
                <w:szCs w:val="18"/>
              </w:rPr>
            </w:pPr>
            <w:r w:rsidRPr="00A71C8E">
              <w:rPr>
                <w:color w:val="000000"/>
                <w:sz w:val="18"/>
                <w:szCs w:val="18"/>
              </w:rPr>
              <w:t>[%]</w:t>
            </w:r>
          </w:p>
        </w:tc>
      </w:tr>
      <w:tr w:rsidR="00881780" w:rsidRPr="00A71C8E" w14:paraId="545FFDC5" w14:textId="77777777" w:rsidTr="006F4D8F">
        <w:trPr>
          <w:trHeight w:val="300"/>
        </w:trPr>
        <w:tc>
          <w:tcPr>
            <w:tcW w:w="1105" w:type="pct"/>
            <w:noWrap/>
            <w:hideMark/>
          </w:tcPr>
          <w:p w14:paraId="24DDA2C9" w14:textId="77777777" w:rsidR="00881780" w:rsidRPr="00A71C8E" w:rsidRDefault="00881780" w:rsidP="006F4D8F">
            <w:pPr>
              <w:spacing w:before="0" w:line="240" w:lineRule="auto"/>
              <w:rPr>
                <w:sz w:val="18"/>
                <w:szCs w:val="18"/>
              </w:rPr>
            </w:pPr>
            <w:r w:rsidRPr="00A71C8E">
              <w:rPr>
                <w:sz w:val="18"/>
                <w:szCs w:val="18"/>
              </w:rPr>
              <w:t>Polska</w:t>
            </w:r>
          </w:p>
        </w:tc>
        <w:tc>
          <w:tcPr>
            <w:tcW w:w="274" w:type="pct"/>
            <w:noWrap/>
            <w:hideMark/>
          </w:tcPr>
          <w:p w14:paraId="65BAAD51" w14:textId="77777777" w:rsidR="00881780" w:rsidRPr="00A71C8E" w:rsidRDefault="00881780" w:rsidP="006F4D8F">
            <w:pPr>
              <w:spacing w:before="0" w:line="240" w:lineRule="auto"/>
              <w:jc w:val="right"/>
              <w:rPr>
                <w:sz w:val="18"/>
                <w:szCs w:val="18"/>
              </w:rPr>
            </w:pPr>
            <w:r w:rsidRPr="00A71C8E">
              <w:rPr>
                <w:sz w:val="18"/>
                <w:szCs w:val="18"/>
              </w:rPr>
              <w:t>72,3</w:t>
            </w:r>
          </w:p>
        </w:tc>
        <w:tc>
          <w:tcPr>
            <w:tcW w:w="278" w:type="pct"/>
            <w:noWrap/>
            <w:hideMark/>
          </w:tcPr>
          <w:p w14:paraId="4597F463" w14:textId="77777777" w:rsidR="00881780" w:rsidRPr="00A71C8E" w:rsidRDefault="00881780" w:rsidP="006F4D8F">
            <w:pPr>
              <w:spacing w:before="0" w:line="240" w:lineRule="auto"/>
              <w:jc w:val="right"/>
              <w:rPr>
                <w:sz w:val="18"/>
                <w:szCs w:val="18"/>
              </w:rPr>
            </w:pPr>
            <w:r w:rsidRPr="00A71C8E">
              <w:rPr>
                <w:sz w:val="18"/>
                <w:szCs w:val="18"/>
              </w:rPr>
              <w:t>72,7</w:t>
            </w:r>
          </w:p>
        </w:tc>
        <w:tc>
          <w:tcPr>
            <w:tcW w:w="278" w:type="pct"/>
            <w:noWrap/>
            <w:hideMark/>
          </w:tcPr>
          <w:p w14:paraId="71874C62" w14:textId="77777777" w:rsidR="00881780" w:rsidRPr="00A71C8E" w:rsidRDefault="00881780" w:rsidP="006F4D8F">
            <w:pPr>
              <w:spacing w:before="0" w:line="240" w:lineRule="auto"/>
              <w:jc w:val="right"/>
              <w:rPr>
                <w:sz w:val="18"/>
                <w:szCs w:val="18"/>
              </w:rPr>
            </w:pPr>
            <w:r w:rsidRPr="00A71C8E">
              <w:rPr>
                <w:sz w:val="18"/>
                <w:szCs w:val="18"/>
              </w:rPr>
              <w:t>74,6</w:t>
            </w:r>
          </w:p>
        </w:tc>
        <w:tc>
          <w:tcPr>
            <w:tcW w:w="278" w:type="pct"/>
            <w:noWrap/>
            <w:hideMark/>
          </w:tcPr>
          <w:p w14:paraId="6E8A444F" w14:textId="77777777" w:rsidR="00881780" w:rsidRPr="00A71C8E" w:rsidRDefault="00881780" w:rsidP="006F4D8F">
            <w:pPr>
              <w:spacing w:before="0" w:line="240" w:lineRule="auto"/>
              <w:jc w:val="right"/>
              <w:rPr>
                <w:sz w:val="18"/>
                <w:szCs w:val="18"/>
              </w:rPr>
            </w:pPr>
            <w:r w:rsidRPr="00A71C8E">
              <w:rPr>
                <w:sz w:val="18"/>
                <w:szCs w:val="18"/>
              </w:rPr>
              <w:t>75,6</w:t>
            </w:r>
          </w:p>
        </w:tc>
        <w:tc>
          <w:tcPr>
            <w:tcW w:w="279" w:type="pct"/>
            <w:noWrap/>
            <w:hideMark/>
          </w:tcPr>
          <w:p w14:paraId="496B7C84" w14:textId="77777777" w:rsidR="00881780" w:rsidRPr="00A71C8E" w:rsidRDefault="00881780" w:rsidP="006F4D8F">
            <w:pPr>
              <w:spacing w:before="0" w:line="240" w:lineRule="auto"/>
              <w:jc w:val="right"/>
              <w:rPr>
                <w:sz w:val="18"/>
                <w:szCs w:val="18"/>
              </w:rPr>
            </w:pPr>
            <w:r w:rsidRPr="00A71C8E">
              <w:rPr>
                <w:sz w:val="18"/>
                <w:szCs w:val="18"/>
              </w:rPr>
              <w:t>77,3</w:t>
            </w:r>
          </w:p>
        </w:tc>
        <w:tc>
          <w:tcPr>
            <w:tcW w:w="279" w:type="pct"/>
            <w:noWrap/>
            <w:hideMark/>
          </w:tcPr>
          <w:p w14:paraId="3B94AA7F" w14:textId="77777777" w:rsidR="00881780" w:rsidRPr="00A71C8E" w:rsidRDefault="00881780" w:rsidP="006F4D8F">
            <w:pPr>
              <w:spacing w:before="0" w:line="240" w:lineRule="auto"/>
              <w:jc w:val="right"/>
              <w:rPr>
                <w:sz w:val="18"/>
                <w:szCs w:val="18"/>
              </w:rPr>
            </w:pPr>
            <w:r w:rsidRPr="00A71C8E">
              <w:rPr>
                <w:sz w:val="18"/>
                <w:szCs w:val="18"/>
              </w:rPr>
              <w:t>78,8</w:t>
            </w:r>
          </w:p>
        </w:tc>
        <w:tc>
          <w:tcPr>
            <w:tcW w:w="279" w:type="pct"/>
            <w:noWrap/>
            <w:hideMark/>
          </w:tcPr>
          <w:p w14:paraId="515D9C1C" w14:textId="77777777" w:rsidR="00881780" w:rsidRPr="00A71C8E" w:rsidRDefault="00881780" w:rsidP="006F4D8F">
            <w:pPr>
              <w:spacing w:before="0" w:line="240" w:lineRule="auto"/>
              <w:jc w:val="right"/>
              <w:rPr>
                <w:sz w:val="18"/>
                <w:szCs w:val="18"/>
              </w:rPr>
            </w:pPr>
            <w:r w:rsidRPr="00A71C8E">
              <w:rPr>
                <w:sz w:val="18"/>
                <w:szCs w:val="18"/>
              </w:rPr>
              <w:t>79,8</w:t>
            </w:r>
          </w:p>
        </w:tc>
        <w:tc>
          <w:tcPr>
            <w:tcW w:w="279" w:type="pct"/>
            <w:shd w:val="clear" w:color="auto" w:fill="C6D9F1"/>
            <w:noWrap/>
            <w:hideMark/>
          </w:tcPr>
          <w:p w14:paraId="0F3AAD13" w14:textId="77777777" w:rsidR="00881780" w:rsidRPr="00A71C8E" w:rsidRDefault="00881780" w:rsidP="006F4D8F">
            <w:pPr>
              <w:spacing w:before="0" w:line="240" w:lineRule="auto"/>
              <w:jc w:val="right"/>
              <w:rPr>
                <w:sz w:val="18"/>
                <w:szCs w:val="18"/>
              </w:rPr>
            </w:pPr>
            <w:r w:rsidRPr="00A71C8E">
              <w:rPr>
                <w:sz w:val="18"/>
                <w:szCs w:val="18"/>
              </w:rPr>
              <w:t>57,7</w:t>
            </w:r>
          </w:p>
        </w:tc>
        <w:tc>
          <w:tcPr>
            <w:tcW w:w="279" w:type="pct"/>
            <w:shd w:val="clear" w:color="auto" w:fill="C6D9F1"/>
            <w:noWrap/>
            <w:hideMark/>
          </w:tcPr>
          <w:p w14:paraId="590E6FA4" w14:textId="77777777" w:rsidR="00881780" w:rsidRPr="00A71C8E" w:rsidRDefault="00881780" w:rsidP="006F4D8F">
            <w:pPr>
              <w:spacing w:before="0" w:line="240" w:lineRule="auto"/>
              <w:jc w:val="right"/>
              <w:rPr>
                <w:sz w:val="18"/>
                <w:szCs w:val="18"/>
              </w:rPr>
            </w:pPr>
            <w:r w:rsidRPr="00A71C8E">
              <w:rPr>
                <w:sz w:val="18"/>
                <w:szCs w:val="18"/>
              </w:rPr>
              <w:t>58,6</w:t>
            </w:r>
          </w:p>
        </w:tc>
        <w:tc>
          <w:tcPr>
            <w:tcW w:w="279" w:type="pct"/>
            <w:shd w:val="clear" w:color="auto" w:fill="C6D9F1"/>
            <w:noWrap/>
            <w:hideMark/>
          </w:tcPr>
          <w:p w14:paraId="19DDDA32" w14:textId="77777777" w:rsidR="00881780" w:rsidRPr="00A71C8E" w:rsidRDefault="00881780" w:rsidP="006F4D8F">
            <w:pPr>
              <w:spacing w:before="0" w:line="240" w:lineRule="auto"/>
              <w:jc w:val="right"/>
              <w:rPr>
                <w:sz w:val="18"/>
                <w:szCs w:val="18"/>
              </w:rPr>
            </w:pPr>
            <w:r w:rsidRPr="00A71C8E">
              <w:rPr>
                <w:sz w:val="18"/>
                <w:szCs w:val="18"/>
              </w:rPr>
              <w:t>60,3</w:t>
            </w:r>
          </w:p>
        </w:tc>
        <w:tc>
          <w:tcPr>
            <w:tcW w:w="279" w:type="pct"/>
            <w:shd w:val="clear" w:color="auto" w:fill="C6D9F1"/>
            <w:noWrap/>
            <w:hideMark/>
          </w:tcPr>
          <w:p w14:paraId="6F086E0D" w14:textId="77777777" w:rsidR="00881780" w:rsidRPr="00A71C8E" w:rsidRDefault="00881780" w:rsidP="006F4D8F">
            <w:pPr>
              <w:spacing w:before="0" w:line="240" w:lineRule="auto"/>
              <w:jc w:val="right"/>
              <w:rPr>
                <w:sz w:val="18"/>
                <w:szCs w:val="18"/>
              </w:rPr>
            </w:pPr>
            <w:r w:rsidRPr="00A71C8E">
              <w:rPr>
                <w:sz w:val="18"/>
                <w:szCs w:val="18"/>
              </w:rPr>
              <w:t>61,6</w:t>
            </w:r>
          </w:p>
        </w:tc>
        <w:tc>
          <w:tcPr>
            <w:tcW w:w="279" w:type="pct"/>
            <w:shd w:val="clear" w:color="auto" w:fill="C6D9F1"/>
            <w:noWrap/>
            <w:hideMark/>
          </w:tcPr>
          <w:p w14:paraId="3172EA46" w14:textId="77777777" w:rsidR="00881780" w:rsidRPr="00A71C8E" w:rsidRDefault="00881780" w:rsidP="006F4D8F">
            <w:pPr>
              <w:spacing w:before="0" w:line="240" w:lineRule="auto"/>
              <w:jc w:val="right"/>
              <w:rPr>
                <w:sz w:val="18"/>
                <w:szCs w:val="18"/>
              </w:rPr>
            </w:pPr>
            <w:r w:rsidRPr="00A71C8E">
              <w:rPr>
                <w:sz w:val="18"/>
                <w:szCs w:val="18"/>
              </w:rPr>
              <w:t>62,6</w:t>
            </w:r>
          </w:p>
        </w:tc>
        <w:tc>
          <w:tcPr>
            <w:tcW w:w="279" w:type="pct"/>
            <w:shd w:val="clear" w:color="auto" w:fill="C6D9F1"/>
            <w:noWrap/>
            <w:hideMark/>
          </w:tcPr>
          <w:p w14:paraId="20925B85" w14:textId="77777777" w:rsidR="00881780" w:rsidRPr="00A71C8E" w:rsidRDefault="00881780" w:rsidP="006F4D8F">
            <w:pPr>
              <w:spacing w:before="0" w:line="240" w:lineRule="auto"/>
              <w:jc w:val="right"/>
              <w:rPr>
                <w:sz w:val="18"/>
                <w:szCs w:val="18"/>
              </w:rPr>
            </w:pPr>
            <w:r w:rsidRPr="00A71C8E">
              <w:rPr>
                <w:sz w:val="18"/>
                <w:szCs w:val="18"/>
              </w:rPr>
              <w:t>63,5</w:t>
            </w:r>
          </w:p>
        </w:tc>
        <w:tc>
          <w:tcPr>
            <w:tcW w:w="276" w:type="pct"/>
            <w:shd w:val="clear" w:color="auto" w:fill="C6D9F1"/>
            <w:noWrap/>
            <w:hideMark/>
          </w:tcPr>
          <w:p w14:paraId="29CDB9DC" w14:textId="77777777" w:rsidR="00881780" w:rsidRPr="00A71C8E" w:rsidRDefault="00881780" w:rsidP="006F4D8F">
            <w:pPr>
              <w:spacing w:before="0" w:line="240" w:lineRule="auto"/>
              <w:jc w:val="right"/>
              <w:rPr>
                <w:sz w:val="18"/>
                <w:szCs w:val="18"/>
              </w:rPr>
            </w:pPr>
            <w:r w:rsidRPr="00A71C8E">
              <w:rPr>
                <w:sz w:val="18"/>
                <w:szCs w:val="18"/>
              </w:rPr>
              <w:t>64,5</w:t>
            </w:r>
          </w:p>
        </w:tc>
      </w:tr>
      <w:tr w:rsidR="00881780" w:rsidRPr="00A71C8E" w14:paraId="04ABF236" w14:textId="77777777" w:rsidTr="006F4D8F">
        <w:trPr>
          <w:trHeight w:val="300"/>
        </w:trPr>
        <w:tc>
          <w:tcPr>
            <w:tcW w:w="1105" w:type="pct"/>
            <w:noWrap/>
            <w:hideMark/>
          </w:tcPr>
          <w:p w14:paraId="01974809" w14:textId="77777777" w:rsidR="00881780" w:rsidRPr="00A71C8E" w:rsidRDefault="00881780" w:rsidP="006F4D8F">
            <w:pPr>
              <w:spacing w:before="0" w:line="240" w:lineRule="auto"/>
              <w:rPr>
                <w:sz w:val="18"/>
                <w:szCs w:val="18"/>
              </w:rPr>
            </w:pPr>
            <w:r w:rsidRPr="00A71C8E">
              <w:rPr>
                <w:sz w:val="18"/>
                <w:szCs w:val="18"/>
              </w:rPr>
              <w:t>Dolnośląskie</w:t>
            </w:r>
          </w:p>
        </w:tc>
        <w:tc>
          <w:tcPr>
            <w:tcW w:w="274" w:type="pct"/>
            <w:noWrap/>
            <w:hideMark/>
          </w:tcPr>
          <w:p w14:paraId="23B3301A" w14:textId="77777777" w:rsidR="00881780" w:rsidRPr="00A71C8E" w:rsidRDefault="00881780" w:rsidP="006F4D8F">
            <w:pPr>
              <w:spacing w:before="0" w:line="240" w:lineRule="auto"/>
              <w:jc w:val="right"/>
              <w:rPr>
                <w:sz w:val="18"/>
                <w:szCs w:val="18"/>
              </w:rPr>
            </w:pPr>
            <w:r w:rsidRPr="00A71C8E">
              <w:rPr>
                <w:sz w:val="18"/>
                <w:szCs w:val="18"/>
              </w:rPr>
              <w:t>70,2</w:t>
            </w:r>
          </w:p>
        </w:tc>
        <w:tc>
          <w:tcPr>
            <w:tcW w:w="278" w:type="pct"/>
            <w:noWrap/>
            <w:hideMark/>
          </w:tcPr>
          <w:p w14:paraId="2C491D14" w14:textId="77777777" w:rsidR="00881780" w:rsidRPr="00A71C8E" w:rsidRDefault="00881780" w:rsidP="006F4D8F">
            <w:pPr>
              <w:spacing w:before="0" w:line="240" w:lineRule="auto"/>
              <w:jc w:val="right"/>
              <w:rPr>
                <w:sz w:val="18"/>
                <w:szCs w:val="18"/>
              </w:rPr>
            </w:pPr>
            <w:r w:rsidRPr="00A71C8E">
              <w:rPr>
                <w:sz w:val="18"/>
                <w:szCs w:val="18"/>
              </w:rPr>
              <w:t>71,1</w:t>
            </w:r>
          </w:p>
        </w:tc>
        <w:tc>
          <w:tcPr>
            <w:tcW w:w="278" w:type="pct"/>
            <w:noWrap/>
            <w:hideMark/>
          </w:tcPr>
          <w:p w14:paraId="0BED601F" w14:textId="77777777" w:rsidR="00881780" w:rsidRPr="00A71C8E" w:rsidRDefault="00881780" w:rsidP="006F4D8F">
            <w:pPr>
              <w:spacing w:before="0" w:line="240" w:lineRule="auto"/>
              <w:jc w:val="right"/>
              <w:rPr>
                <w:sz w:val="18"/>
                <w:szCs w:val="18"/>
              </w:rPr>
            </w:pPr>
            <w:r w:rsidRPr="00A71C8E">
              <w:rPr>
                <w:sz w:val="18"/>
                <w:szCs w:val="18"/>
              </w:rPr>
              <w:t>72,4</w:t>
            </w:r>
          </w:p>
        </w:tc>
        <w:tc>
          <w:tcPr>
            <w:tcW w:w="278" w:type="pct"/>
            <w:noWrap/>
            <w:hideMark/>
          </w:tcPr>
          <w:p w14:paraId="2C8D4AE9" w14:textId="77777777" w:rsidR="00881780" w:rsidRPr="00A71C8E" w:rsidRDefault="00881780" w:rsidP="006F4D8F">
            <w:pPr>
              <w:spacing w:before="0" w:line="240" w:lineRule="auto"/>
              <w:jc w:val="right"/>
              <w:rPr>
                <w:sz w:val="18"/>
                <w:szCs w:val="18"/>
              </w:rPr>
            </w:pPr>
            <w:r w:rsidRPr="00A71C8E">
              <w:rPr>
                <w:sz w:val="18"/>
                <w:szCs w:val="18"/>
              </w:rPr>
              <w:t>78,0</w:t>
            </w:r>
          </w:p>
        </w:tc>
        <w:tc>
          <w:tcPr>
            <w:tcW w:w="279" w:type="pct"/>
            <w:noWrap/>
            <w:hideMark/>
          </w:tcPr>
          <w:p w14:paraId="437F8CF8" w14:textId="77777777" w:rsidR="00881780" w:rsidRPr="00A71C8E" w:rsidRDefault="00881780" w:rsidP="006F4D8F">
            <w:pPr>
              <w:spacing w:before="0" w:line="240" w:lineRule="auto"/>
              <w:jc w:val="right"/>
              <w:rPr>
                <w:sz w:val="18"/>
                <w:szCs w:val="18"/>
              </w:rPr>
            </w:pPr>
            <w:r w:rsidRPr="00A71C8E">
              <w:rPr>
                <w:sz w:val="18"/>
                <w:szCs w:val="18"/>
              </w:rPr>
              <w:t>79,2</w:t>
            </w:r>
          </w:p>
        </w:tc>
        <w:tc>
          <w:tcPr>
            <w:tcW w:w="279" w:type="pct"/>
            <w:noWrap/>
            <w:hideMark/>
          </w:tcPr>
          <w:p w14:paraId="0F4FF0C2" w14:textId="77777777" w:rsidR="00881780" w:rsidRPr="00A71C8E" w:rsidRDefault="00881780" w:rsidP="006F4D8F">
            <w:pPr>
              <w:spacing w:before="0" w:line="240" w:lineRule="auto"/>
              <w:jc w:val="right"/>
              <w:rPr>
                <w:sz w:val="18"/>
                <w:szCs w:val="18"/>
              </w:rPr>
            </w:pPr>
            <w:r w:rsidRPr="00A71C8E">
              <w:rPr>
                <w:sz w:val="18"/>
                <w:szCs w:val="18"/>
              </w:rPr>
              <w:t>80,7</w:t>
            </w:r>
          </w:p>
        </w:tc>
        <w:tc>
          <w:tcPr>
            <w:tcW w:w="279" w:type="pct"/>
            <w:noWrap/>
            <w:hideMark/>
          </w:tcPr>
          <w:p w14:paraId="08D3F86E" w14:textId="77777777" w:rsidR="00881780" w:rsidRPr="00A71C8E" w:rsidRDefault="00881780" w:rsidP="006F4D8F">
            <w:pPr>
              <w:spacing w:before="0" w:line="240" w:lineRule="auto"/>
              <w:jc w:val="right"/>
              <w:rPr>
                <w:sz w:val="18"/>
                <w:szCs w:val="18"/>
              </w:rPr>
            </w:pPr>
            <w:r w:rsidRPr="00A71C8E">
              <w:rPr>
                <w:sz w:val="18"/>
                <w:szCs w:val="18"/>
              </w:rPr>
              <w:t>80,1</w:t>
            </w:r>
          </w:p>
        </w:tc>
        <w:tc>
          <w:tcPr>
            <w:tcW w:w="279" w:type="pct"/>
            <w:shd w:val="clear" w:color="auto" w:fill="C6D9F1"/>
            <w:noWrap/>
            <w:hideMark/>
          </w:tcPr>
          <w:p w14:paraId="46EE3F0B" w14:textId="77777777" w:rsidR="00881780" w:rsidRPr="00A71C8E" w:rsidRDefault="00881780" w:rsidP="006F4D8F">
            <w:pPr>
              <w:spacing w:before="0" w:line="240" w:lineRule="auto"/>
              <w:jc w:val="right"/>
              <w:rPr>
                <w:sz w:val="18"/>
                <w:szCs w:val="18"/>
              </w:rPr>
            </w:pPr>
            <w:r w:rsidRPr="00A71C8E">
              <w:rPr>
                <w:sz w:val="18"/>
                <w:szCs w:val="18"/>
              </w:rPr>
              <w:t>55,6</w:t>
            </w:r>
          </w:p>
        </w:tc>
        <w:tc>
          <w:tcPr>
            <w:tcW w:w="279" w:type="pct"/>
            <w:shd w:val="clear" w:color="auto" w:fill="C6D9F1"/>
            <w:noWrap/>
            <w:hideMark/>
          </w:tcPr>
          <w:p w14:paraId="3CF573D8" w14:textId="77777777" w:rsidR="00881780" w:rsidRPr="00A71C8E" w:rsidRDefault="00881780" w:rsidP="006F4D8F">
            <w:pPr>
              <w:spacing w:before="0" w:line="240" w:lineRule="auto"/>
              <w:jc w:val="right"/>
              <w:rPr>
                <w:sz w:val="18"/>
                <w:szCs w:val="18"/>
              </w:rPr>
            </w:pPr>
            <w:r w:rsidRPr="00A71C8E">
              <w:rPr>
                <w:sz w:val="18"/>
                <w:szCs w:val="18"/>
              </w:rPr>
              <w:t>57,4</w:t>
            </w:r>
          </w:p>
        </w:tc>
        <w:tc>
          <w:tcPr>
            <w:tcW w:w="279" w:type="pct"/>
            <w:shd w:val="clear" w:color="auto" w:fill="C6D9F1"/>
            <w:noWrap/>
            <w:hideMark/>
          </w:tcPr>
          <w:p w14:paraId="2F6A000F" w14:textId="77777777" w:rsidR="00881780" w:rsidRPr="00A71C8E" w:rsidRDefault="00881780" w:rsidP="006F4D8F">
            <w:pPr>
              <w:spacing w:before="0" w:line="240" w:lineRule="auto"/>
              <w:jc w:val="right"/>
              <w:rPr>
                <w:sz w:val="18"/>
                <w:szCs w:val="18"/>
              </w:rPr>
            </w:pPr>
            <w:r w:rsidRPr="00A71C8E">
              <w:rPr>
                <w:sz w:val="18"/>
                <w:szCs w:val="18"/>
              </w:rPr>
              <w:t>57,5</w:t>
            </w:r>
          </w:p>
        </w:tc>
        <w:tc>
          <w:tcPr>
            <w:tcW w:w="279" w:type="pct"/>
            <w:shd w:val="clear" w:color="auto" w:fill="C6D9F1"/>
            <w:noWrap/>
            <w:hideMark/>
          </w:tcPr>
          <w:p w14:paraId="10910A15" w14:textId="77777777" w:rsidR="00881780" w:rsidRPr="00A71C8E" w:rsidRDefault="00881780" w:rsidP="006F4D8F">
            <w:pPr>
              <w:spacing w:before="0" w:line="240" w:lineRule="auto"/>
              <w:jc w:val="right"/>
              <w:rPr>
                <w:sz w:val="18"/>
                <w:szCs w:val="18"/>
              </w:rPr>
            </w:pPr>
            <w:r w:rsidRPr="00A71C8E">
              <w:rPr>
                <w:sz w:val="18"/>
                <w:szCs w:val="18"/>
              </w:rPr>
              <w:t>59,3</w:t>
            </w:r>
          </w:p>
        </w:tc>
        <w:tc>
          <w:tcPr>
            <w:tcW w:w="279" w:type="pct"/>
            <w:shd w:val="clear" w:color="auto" w:fill="C6D9F1"/>
            <w:noWrap/>
            <w:hideMark/>
          </w:tcPr>
          <w:p w14:paraId="273C77CF" w14:textId="77777777" w:rsidR="00881780" w:rsidRPr="00A71C8E" w:rsidRDefault="00881780" w:rsidP="006F4D8F">
            <w:pPr>
              <w:spacing w:before="0" w:line="240" w:lineRule="auto"/>
              <w:jc w:val="right"/>
              <w:rPr>
                <w:sz w:val="18"/>
                <w:szCs w:val="18"/>
              </w:rPr>
            </w:pPr>
            <w:r w:rsidRPr="00A71C8E">
              <w:rPr>
                <w:sz w:val="18"/>
                <w:szCs w:val="18"/>
              </w:rPr>
              <w:t>62,8</w:t>
            </w:r>
          </w:p>
        </w:tc>
        <w:tc>
          <w:tcPr>
            <w:tcW w:w="279" w:type="pct"/>
            <w:shd w:val="clear" w:color="auto" w:fill="C6D9F1"/>
            <w:noWrap/>
            <w:hideMark/>
          </w:tcPr>
          <w:p w14:paraId="55CD122B" w14:textId="77777777" w:rsidR="00881780" w:rsidRPr="00A71C8E" w:rsidRDefault="00881780" w:rsidP="006F4D8F">
            <w:pPr>
              <w:spacing w:before="0" w:line="240" w:lineRule="auto"/>
              <w:jc w:val="right"/>
              <w:rPr>
                <w:sz w:val="18"/>
                <w:szCs w:val="18"/>
              </w:rPr>
            </w:pPr>
            <w:r w:rsidRPr="00A71C8E">
              <w:rPr>
                <w:sz w:val="18"/>
                <w:szCs w:val="18"/>
              </w:rPr>
              <w:t>64,0</w:t>
            </w:r>
          </w:p>
        </w:tc>
        <w:tc>
          <w:tcPr>
            <w:tcW w:w="276" w:type="pct"/>
            <w:shd w:val="clear" w:color="auto" w:fill="C6D9F1"/>
            <w:noWrap/>
            <w:hideMark/>
          </w:tcPr>
          <w:p w14:paraId="373EF0E2" w14:textId="77777777" w:rsidR="00881780" w:rsidRPr="00A71C8E" w:rsidRDefault="00881780" w:rsidP="006F4D8F">
            <w:pPr>
              <w:spacing w:before="0" w:line="240" w:lineRule="auto"/>
              <w:jc w:val="right"/>
              <w:rPr>
                <w:sz w:val="18"/>
                <w:szCs w:val="18"/>
              </w:rPr>
            </w:pPr>
            <w:r w:rsidRPr="00A71C8E">
              <w:rPr>
                <w:sz w:val="18"/>
                <w:szCs w:val="18"/>
              </w:rPr>
              <w:t>68,4</w:t>
            </w:r>
          </w:p>
        </w:tc>
      </w:tr>
      <w:tr w:rsidR="00881780" w:rsidRPr="00A71C8E" w14:paraId="07B44D4B" w14:textId="77777777" w:rsidTr="006F4D8F">
        <w:trPr>
          <w:trHeight w:val="300"/>
        </w:trPr>
        <w:tc>
          <w:tcPr>
            <w:tcW w:w="1105" w:type="pct"/>
            <w:noWrap/>
            <w:hideMark/>
          </w:tcPr>
          <w:p w14:paraId="5377A881" w14:textId="77777777" w:rsidR="00881780" w:rsidRPr="00A71C8E" w:rsidRDefault="00881780" w:rsidP="006F4D8F">
            <w:pPr>
              <w:spacing w:before="0" w:line="240" w:lineRule="auto"/>
              <w:rPr>
                <w:sz w:val="18"/>
                <w:szCs w:val="18"/>
              </w:rPr>
            </w:pPr>
            <w:r w:rsidRPr="00A71C8E">
              <w:rPr>
                <w:sz w:val="18"/>
                <w:szCs w:val="18"/>
              </w:rPr>
              <w:t>Kujawsko-pomorskie</w:t>
            </w:r>
          </w:p>
        </w:tc>
        <w:tc>
          <w:tcPr>
            <w:tcW w:w="274" w:type="pct"/>
            <w:noWrap/>
            <w:hideMark/>
          </w:tcPr>
          <w:p w14:paraId="3088411E" w14:textId="77777777" w:rsidR="00881780" w:rsidRPr="00A71C8E" w:rsidRDefault="00881780" w:rsidP="006F4D8F">
            <w:pPr>
              <w:spacing w:before="0" w:line="240" w:lineRule="auto"/>
              <w:jc w:val="right"/>
              <w:rPr>
                <w:sz w:val="18"/>
                <w:szCs w:val="18"/>
              </w:rPr>
            </w:pPr>
            <w:r w:rsidRPr="00A71C8E">
              <w:rPr>
                <w:sz w:val="18"/>
                <w:szCs w:val="18"/>
              </w:rPr>
              <w:t>73,4</w:t>
            </w:r>
          </w:p>
        </w:tc>
        <w:tc>
          <w:tcPr>
            <w:tcW w:w="278" w:type="pct"/>
            <w:noWrap/>
            <w:hideMark/>
          </w:tcPr>
          <w:p w14:paraId="7636F715" w14:textId="77777777" w:rsidR="00881780" w:rsidRPr="00A71C8E" w:rsidRDefault="00881780" w:rsidP="006F4D8F">
            <w:pPr>
              <w:spacing w:before="0" w:line="240" w:lineRule="auto"/>
              <w:jc w:val="right"/>
              <w:rPr>
                <w:sz w:val="18"/>
                <w:szCs w:val="18"/>
              </w:rPr>
            </w:pPr>
            <w:r w:rsidRPr="00A71C8E">
              <w:rPr>
                <w:sz w:val="18"/>
                <w:szCs w:val="18"/>
              </w:rPr>
              <w:t>72,5</w:t>
            </w:r>
          </w:p>
        </w:tc>
        <w:tc>
          <w:tcPr>
            <w:tcW w:w="278" w:type="pct"/>
            <w:noWrap/>
            <w:hideMark/>
          </w:tcPr>
          <w:p w14:paraId="35B1E301" w14:textId="77777777" w:rsidR="00881780" w:rsidRPr="00A71C8E" w:rsidRDefault="00881780" w:rsidP="006F4D8F">
            <w:pPr>
              <w:spacing w:before="0" w:line="240" w:lineRule="auto"/>
              <w:jc w:val="right"/>
              <w:rPr>
                <w:sz w:val="18"/>
                <w:szCs w:val="18"/>
              </w:rPr>
            </w:pPr>
            <w:r w:rsidRPr="00A71C8E">
              <w:rPr>
                <w:sz w:val="18"/>
                <w:szCs w:val="18"/>
              </w:rPr>
              <w:t>74,5</w:t>
            </w:r>
          </w:p>
        </w:tc>
        <w:tc>
          <w:tcPr>
            <w:tcW w:w="278" w:type="pct"/>
            <w:noWrap/>
            <w:hideMark/>
          </w:tcPr>
          <w:p w14:paraId="045E794E" w14:textId="77777777" w:rsidR="00881780" w:rsidRPr="00A71C8E" w:rsidRDefault="00881780" w:rsidP="006F4D8F">
            <w:pPr>
              <w:spacing w:before="0" w:line="240" w:lineRule="auto"/>
              <w:jc w:val="right"/>
              <w:rPr>
                <w:sz w:val="18"/>
                <w:szCs w:val="18"/>
              </w:rPr>
            </w:pPr>
            <w:r w:rsidRPr="00A71C8E">
              <w:rPr>
                <w:sz w:val="18"/>
                <w:szCs w:val="18"/>
              </w:rPr>
              <w:t>74,8</w:t>
            </w:r>
          </w:p>
        </w:tc>
        <w:tc>
          <w:tcPr>
            <w:tcW w:w="279" w:type="pct"/>
            <w:noWrap/>
            <w:hideMark/>
          </w:tcPr>
          <w:p w14:paraId="376053F1" w14:textId="77777777" w:rsidR="00881780" w:rsidRPr="00A71C8E" w:rsidRDefault="00881780" w:rsidP="006F4D8F">
            <w:pPr>
              <w:spacing w:before="0" w:line="240" w:lineRule="auto"/>
              <w:jc w:val="right"/>
              <w:rPr>
                <w:sz w:val="18"/>
                <w:szCs w:val="18"/>
              </w:rPr>
            </w:pPr>
            <w:r w:rsidRPr="00A71C8E">
              <w:rPr>
                <w:sz w:val="18"/>
                <w:szCs w:val="18"/>
              </w:rPr>
              <w:t>74,6</w:t>
            </w:r>
          </w:p>
        </w:tc>
        <w:tc>
          <w:tcPr>
            <w:tcW w:w="279" w:type="pct"/>
            <w:noWrap/>
            <w:hideMark/>
          </w:tcPr>
          <w:p w14:paraId="05811DA5" w14:textId="77777777" w:rsidR="00881780" w:rsidRPr="00A71C8E" w:rsidRDefault="00881780" w:rsidP="006F4D8F">
            <w:pPr>
              <w:spacing w:before="0" w:line="240" w:lineRule="auto"/>
              <w:jc w:val="right"/>
              <w:rPr>
                <w:sz w:val="18"/>
                <w:szCs w:val="18"/>
              </w:rPr>
            </w:pPr>
            <w:r w:rsidRPr="00A71C8E">
              <w:rPr>
                <w:sz w:val="18"/>
                <w:szCs w:val="18"/>
              </w:rPr>
              <w:t>76,9</w:t>
            </w:r>
          </w:p>
        </w:tc>
        <w:tc>
          <w:tcPr>
            <w:tcW w:w="279" w:type="pct"/>
            <w:noWrap/>
            <w:hideMark/>
          </w:tcPr>
          <w:p w14:paraId="455AF54B" w14:textId="77777777" w:rsidR="00881780" w:rsidRPr="00A71C8E" w:rsidRDefault="00881780" w:rsidP="006F4D8F">
            <w:pPr>
              <w:spacing w:before="0" w:line="240" w:lineRule="auto"/>
              <w:jc w:val="right"/>
              <w:rPr>
                <w:sz w:val="18"/>
                <w:szCs w:val="18"/>
              </w:rPr>
            </w:pPr>
            <w:r w:rsidRPr="00A71C8E">
              <w:rPr>
                <w:sz w:val="18"/>
                <w:szCs w:val="18"/>
              </w:rPr>
              <w:t>78,9</w:t>
            </w:r>
          </w:p>
        </w:tc>
        <w:tc>
          <w:tcPr>
            <w:tcW w:w="279" w:type="pct"/>
            <w:shd w:val="clear" w:color="auto" w:fill="C6D9F1"/>
            <w:noWrap/>
            <w:hideMark/>
          </w:tcPr>
          <w:p w14:paraId="4D811A7B" w14:textId="77777777" w:rsidR="00881780" w:rsidRPr="00A71C8E" w:rsidRDefault="00881780" w:rsidP="006F4D8F">
            <w:pPr>
              <w:spacing w:before="0" w:line="240" w:lineRule="auto"/>
              <w:jc w:val="right"/>
              <w:rPr>
                <w:sz w:val="18"/>
                <w:szCs w:val="18"/>
              </w:rPr>
            </w:pPr>
            <w:r w:rsidRPr="00A71C8E">
              <w:rPr>
                <w:sz w:val="18"/>
                <w:szCs w:val="18"/>
              </w:rPr>
              <w:t>55,6</w:t>
            </w:r>
          </w:p>
        </w:tc>
        <w:tc>
          <w:tcPr>
            <w:tcW w:w="279" w:type="pct"/>
            <w:shd w:val="clear" w:color="auto" w:fill="C6D9F1"/>
            <w:noWrap/>
            <w:hideMark/>
          </w:tcPr>
          <w:p w14:paraId="6CE1D186" w14:textId="77777777" w:rsidR="00881780" w:rsidRPr="00A71C8E" w:rsidRDefault="00881780" w:rsidP="006F4D8F">
            <w:pPr>
              <w:spacing w:before="0" w:line="240" w:lineRule="auto"/>
              <w:jc w:val="right"/>
              <w:rPr>
                <w:sz w:val="18"/>
                <w:szCs w:val="18"/>
              </w:rPr>
            </w:pPr>
            <w:r w:rsidRPr="00A71C8E">
              <w:rPr>
                <w:sz w:val="18"/>
                <w:szCs w:val="18"/>
              </w:rPr>
              <w:t>53,8</w:t>
            </w:r>
          </w:p>
        </w:tc>
        <w:tc>
          <w:tcPr>
            <w:tcW w:w="279" w:type="pct"/>
            <w:shd w:val="clear" w:color="auto" w:fill="C6D9F1"/>
            <w:noWrap/>
            <w:hideMark/>
          </w:tcPr>
          <w:p w14:paraId="2E2FF0A6" w14:textId="77777777" w:rsidR="00881780" w:rsidRPr="00A71C8E" w:rsidRDefault="00881780" w:rsidP="006F4D8F">
            <w:pPr>
              <w:spacing w:before="0" w:line="240" w:lineRule="auto"/>
              <w:jc w:val="right"/>
              <w:rPr>
                <w:sz w:val="18"/>
                <w:szCs w:val="18"/>
              </w:rPr>
            </w:pPr>
            <w:r w:rsidRPr="00A71C8E">
              <w:rPr>
                <w:sz w:val="18"/>
                <w:szCs w:val="18"/>
              </w:rPr>
              <w:t>55,4</w:t>
            </w:r>
          </w:p>
        </w:tc>
        <w:tc>
          <w:tcPr>
            <w:tcW w:w="279" w:type="pct"/>
            <w:shd w:val="clear" w:color="auto" w:fill="C6D9F1"/>
            <w:noWrap/>
            <w:hideMark/>
          </w:tcPr>
          <w:p w14:paraId="002FEA99" w14:textId="77777777" w:rsidR="00881780" w:rsidRPr="00A71C8E" w:rsidRDefault="00881780" w:rsidP="006F4D8F">
            <w:pPr>
              <w:spacing w:before="0" w:line="240" w:lineRule="auto"/>
              <w:jc w:val="right"/>
              <w:rPr>
                <w:sz w:val="18"/>
                <w:szCs w:val="18"/>
              </w:rPr>
            </w:pPr>
            <w:r w:rsidRPr="00A71C8E">
              <w:rPr>
                <w:sz w:val="18"/>
                <w:szCs w:val="18"/>
              </w:rPr>
              <w:t>58,4</w:t>
            </w:r>
          </w:p>
        </w:tc>
        <w:tc>
          <w:tcPr>
            <w:tcW w:w="279" w:type="pct"/>
            <w:shd w:val="clear" w:color="auto" w:fill="C6D9F1"/>
            <w:noWrap/>
            <w:hideMark/>
          </w:tcPr>
          <w:p w14:paraId="49479E56" w14:textId="77777777" w:rsidR="00881780" w:rsidRPr="00A71C8E" w:rsidRDefault="00881780" w:rsidP="006F4D8F">
            <w:pPr>
              <w:spacing w:before="0" w:line="240" w:lineRule="auto"/>
              <w:jc w:val="right"/>
              <w:rPr>
                <w:sz w:val="18"/>
                <w:szCs w:val="18"/>
              </w:rPr>
            </w:pPr>
            <w:r w:rsidRPr="00A71C8E">
              <w:rPr>
                <w:sz w:val="18"/>
                <w:szCs w:val="18"/>
              </w:rPr>
              <w:t>58,5</w:t>
            </w:r>
          </w:p>
        </w:tc>
        <w:tc>
          <w:tcPr>
            <w:tcW w:w="279" w:type="pct"/>
            <w:shd w:val="clear" w:color="auto" w:fill="C6D9F1"/>
            <w:noWrap/>
            <w:hideMark/>
          </w:tcPr>
          <w:p w14:paraId="5B923045" w14:textId="77777777" w:rsidR="00881780" w:rsidRPr="00A71C8E" w:rsidRDefault="00881780" w:rsidP="006F4D8F">
            <w:pPr>
              <w:spacing w:before="0" w:line="240" w:lineRule="auto"/>
              <w:jc w:val="right"/>
              <w:rPr>
                <w:sz w:val="18"/>
                <w:szCs w:val="18"/>
              </w:rPr>
            </w:pPr>
            <w:r w:rsidRPr="00A71C8E">
              <w:rPr>
                <w:sz w:val="18"/>
                <w:szCs w:val="18"/>
              </w:rPr>
              <w:t>59,3</w:t>
            </w:r>
          </w:p>
        </w:tc>
        <w:tc>
          <w:tcPr>
            <w:tcW w:w="276" w:type="pct"/>
            <w:shd w:val="clear" w:color="auto" w:fill="C6D9F1"/>
            <w:noWrap/>
            <w:hideMark/>
          </w:tcPr>
          <w:p w14:paraId="1252A5EE" w14:textId="77777777" w:rsidR="00881780" w:rsidRPr="00A71C8E" w:rsidRDefault="00881780" w:rsidP="006F4D8F">
            <w:pPr>
              <w:spacing w:before="0" w:line="240" w:lineRule="auto"/>
              <w:jc w:val="right"/>
              <w:rPr>
                <w:sz w:val="18"/>
                <w:szCs w:val="18"/>
              </w:rPr>
            </w:pPr>
            <w:r w:rsidRPr="00A71C8E">
              <w:rPr>
                <w:sz w:val="18"/>
                <w:szCs w:val="18"/>
              </w:rPr>
              <w:t>59,5</w:t>
            </w:r>
          </w:p>
        </w:tc>
      </w:tr>
      <w:tr w:rsidR="00881780" w:rsidRPr="00A71C8E" w14:paraId="19FC0A86" w14:textId="77777777" w:rsidTr="006F4D8F">
        <w:trPr>
          <w:trHeight w:val="300"/>
        </w:trPr>
        <w:tc>
          <w:tcPr>
            <w:tcW w:w="1105" w:type="pct"/>
            <w:noWrap/>
            <w:hideMark/>
          </w:tcPr>
          <w:p w14:paraId="2B05E1B5" w14:textId="77777777" w:rsidR="00881780" w:rsidRPr="00A71C8E" w:rsidRDefault="00881780" w:rsidP="006F4D8F">
            <w:pPr>
              <w:spacing w:before="0" w:line="240" w:lineRule="auto"/>
              <w:rPr>
                <w:sz w:val="18"/>
                <w:szCs w:val="18"/>
              </w:rPr>
            </w:pPr>
            <w:r w:rsidRPr="00A71C8E">
              <w:rPr>
                <w:sz w:val="18"/>
                <w:szCs w:val="18"/>
              </w:rPr>
              <w:t>Lubelskie</w:t>
            </w:r>
          </w:p>
        </w:tc>
        <w:tc>
          <w:tcPr>
            <w:tcW w:w="274" w:type="pct"/>
            <w:noWrap/>
            <w:hideMark/>
          </w:tcPr>
          <w:p w14:paraId="1BB09DB8" w14:textId="77777777" w:rsidR="00881780" w:rsidRPr="00A71C8E" w:rsidRDefault="00881780" w:rsidP="006F4D8F">
            <w:pPr>
              <w:spacing w:before="0" w:line="240" w:lineRule="auto"/>
              <w:jc w:val="right"/>
              <w:rPr>
                <w:sz w:val="18"/>
                <w:szCs w:val="18"/>
              </w:rPr>
            </w:pPr>
            <w:r w:rsidRPr="00A71C8E">
              <w:rPr>
                <w:sz w:val="18"/>
                <w:szCs w:val="18"/>
              </w:rPr>
              <w:t>71,5</w:t>
            </w:r>
          </w:p>
        </w:tc>
        <w:tc>
          <w:tcPr>
            <w:tcW w:w="278" w:type="pct"/>
            <w:noWrap/>
            <w:hideMark/>
          </w:tcPr>
          <w:p w14:paraId="619F61D3" w14:textId="77777777" w:rsidR="00881780" w:rsidRPr="00A71C8E" w:rsidRDefault="00881780" w:rsidP="006F4D8F">
            <w:pPr>
              <w:spacing w:before="0" w:line="240" w:lineRule="auto"/>
              <w:jc w:val="right"/>
              <w:rPr>
                <w:sz w:val="18"/>
                <w:szCs w:val="18"/>
              </w:rPr>
            </w:pPr>
            <w:r w:rsidRPr="00A71C8E">
              <w:rPr>
                <w:sz w:val="18"/>
                <w:szCs w:val="18"/>
              </w:rPr>
              <w:t>71,8</w:t>
            </w:r>
          </w:p>
        </w:tc>
        <w:tc>
          <w:tcPr>
            <w:tcW w:w="278" w:type="pct"/>
            <w:noWrap/>
            <w:hideMark/>
          </w:tcPr>
          <w:p w14:paraId="3A78CE85" w14:textId="77777777" w:rsidR="00881780" w:rsidRPr="00A71C8E" w:rsidRDefault="00881780" w:rsidP="006F4D8F">
            <w:pPr>
              <w:spacing w:before="0" w:line="240" w:lineRule="auto"/>
              <w:jc w:val="right"/>
              <w:rPr>
                <w:sz w:val="18"/>
                <w:szCs w:val="18"/>
              </w:rPr>
            </w:pPr>
            <w:r w:rsidRPr="00A71C8E">
              <w:rPr>
                <w:sz w:val="18"/>
                <w:szCs w:val="18"/>
              </w:rPr>
              <w:t>72,2</w:t>
            </w:r>
          </w:p>
        </w:tc>
        <w:tc>
          <w:tcPr>
            <w:tcW w:w="278" w:type="pct"/>
            <w:noWrap/>
            <w:hideMark/>
          </w:tcPr>
          <w:p w14:paraId="47978940" w14:textId="77777777" w:rsidR="00881780" w:rsidRPr="00A71C8E" w:rsidRDefault="00881780" w:rsidP="006F4D8F">
            <w:pPr>
              <w:spacing w:before="0" w:line="240" w:lineRule="auto"/>
              <w:jc w:val="right"/>
              <w:rPr>
                <w:sz w:val="18"/>
                <w:szCs w:val="18"/>
              </w:rPr>
            </w:pPr>
            <w:r w:rsidRPr="00A71C8E">
              <w:rPr>
                <w:sz w:val="18"/>
                <w:szCs w:val="18"/>
              </w:rPr>
              <w:t>71,9</w:t>
            </w:r>
          </w:p>
        </w:tc>
        <w:tc>
          <w:tcPr>
            <w:tcW w:w="279" w:type="pct"/>
            <w:noWrap/>
            <w:hideMark/>
          </w:tcPr>
          <w:p w14:paraId="1B793A4A" w14:textId="77777777" w:rsidR="00881780" w:rsidRPr="00A71C8E" w:rsidRDefault="00881780" w:rsidP="006F4D8F">
            <w:pPr>
              <w:spacing w:before="0" w:line="240" w:lineRule="auto"/>
              <w:jc w:val="right"/>
              <w:rPr>
                <w:sz w:val="18"/>
                <w:szCs w:val="18"/>
              </w:rPr>
            </w:pPr>
            <w:r w:rsidRPr="00A71C8E">
              <w:rPr>
                <w:sz w:val="18"/>
                <w:szCs w:val="18"/>
              </w:rPr>
              <w:t>75,5</w:t>
            </w:r>
          </w:p>
        </w:tc>
        <w:tc>
          <w:tcPr>
            <w:tcW w:w="279" w:type="pct"/>
            <w:noWrap/>
            <w:hideMark/>
          </w:tcPr>
          <w:p w14:paraId="14BDDACA" w14:textId="77777777" w:rsidR="00881780" w:rsidRPr="00A71C8E" w:rsidRDefault="00881780" w:rsidP="006F4D8F">
            <w:pPr>
              <w:spacing w:before="0" w:line="240" w:lineRule="auto"/>
              <w:jc w:val="right"/>
              <w:rPr>
                <w:sz w:val="18"/>
                <w:szCs w:val="18"/>
              </w:rPr>
            </w:pPr>
            <w:r w:rsidRPr="00A71C8E">
              <w:rPr>
                <w:sz w:val="18"/>
                <w:szCs w:val="18"/>
              </w:rPr>
              <w:t>73,9</w:t>
            </w:r>
          </w:p>
        </w:tc>
        <w:tc>
          <w:tcPr>
            <w:tcW w:w="279" w:type="pct"/>
            <w:noWrap/>
            <w:hideMark/>
          </w:tcPr>
          <w:p w14:paraId="527F29CF" w14:textId="77777777" w:rsidR="00881780" w:rsidRPr="00A71C8E" w:rsidRDefault="00881780" w:rsidP="006F4D8F">
            <w:pPr>
              <w:spacing w:before="0" w:line="240" w:lineRule="auto"/>
              <w:jc w:val="right"/>
              <w:rPr>
                <w:sz w:val="18"/>
                <w:szCs w:val="18"/>
              </w:rPr>
            </w:pPr>
            <w:r w:rsidRPr="00A71C8E">
              <w:rPr>
                <w:sz w:val="18"/>
                <w:szCs w:val="18"/>
              </w:rPr>
              <w:t>75,6</w:t>
            </w:r>
          </w:p>
        </w:tc>
        <w:tc>
          <w:tcPr>
            <w:tcW w:w="279" w:type="pct"/>
            <w:shd w:val="clear" w:color="auto" w:fill="C6D9F1"/>
            <w:noWrap/>
            <w:hideMark/>
          </w:tcPr>
          <w:p w14:paraId="7373CD67" w14:textId="77777777" w:rsidR="00881780" w:rsidRPr="00A71C8E" w:rsidRDefault="00881780" w:rsidP="006F4D8F">
            <w:pPr>
              <w:spacing w:before="0" w:line="240" w:lineRule="auto"/>
              <w:jc w:val="right"/>
              <w:rPr>
                <w:sz w:val="18"/>
                <w:szCs w:val="18"/>
              </w:rPr>
            </w:pPr>
            <w:r w:rsidRPr="00A71C8E">
              <w:rPr>
                <w:sz w:val="18"/>
                <w:szCs w:val="18"/>
              </w:rPr>
              <w:t>61,1</w:t>
            </w:r>
          </w:p>
        </w:tc>
        <w:tc>
          <w:tcPr>
            <w:tcW w:w="279" w:type="pct"/>
            <w:shd w:val="clear" w:color="auto" w:fill="C6D9F1"/>
            <w:noWrap/>
            <w:hideMark/>
          </w:tcPr>
          <w:p w14:paraId="3C9BD524" w14:textId="77777777" w:rsidR="00881780" w:rsidRPr="00A71C8E" w:rsidRDefault="00881780" w:rsidP="006F4D8F">
            <w:pPr>
              <w:spacing w:before="0" w:line="240" w:lineRule="auto"/>
              <w:jc w:val="right"/>
              <w:rPr>
                <w:sz w:val="18"/>
                <w:szCs w:val="18"/>
              </w:rPr>
            </w:pPr>
            <w:r w:rsidRPr="00A71C8E">
              <w:rPr>
                <w:sz w:val="18"/>
                <w:szCs w:val="18"/>
              </w:rPr>
              <w:t>61,5</w:t>
            </w:r>
          </w:p>
        </w:tc>
        <w:tc>
          <w:tcPr>
            <w:tcW w:w="279" w:type="pct"/>
            <w:shd w:val="clear" w:color="auto" w:fill="C6D9F1"/>
            <w:noWrap/>
            <w:hideMark/>
          </w:tcPr>
          <w:p w14:paraId="414C8F22" w14:textId="77777777" w:rsidR="00881780" w:rsidRPr="00A71C8E" w:rsidRDefault="00881780" w:rsidP="006F4D8F">
            <w:pPr>
              <w:spacing w:before="0" w:line="240" w:lineRule="auto"/>
              <w:jc w:val="right"/>
              <w:rPr>
                <w:sz w:val="18"/>
                <w:szCs w:val="18"/>
              </w:rPr>
            </w:pPr>
            <w:r w:rsidRPr="00A71C8E">
              <w:rPr>
                <w:sz w:val="18"/>
                <w:szCs w:val="18"/>
              </w:rPr>
              <w:t>60,1</w:t>
            </w:r>
          </w:p>
        </w:tc>
        <w:tc>
          <w:tcPr>
            <w:tcW w:w="279" w:type="pct"/>
            <w:shd w:val="clear" w:color="auto" w:fill="C6D9F1"/>
            <w:noWrap/>
            <w:hideMark/>
          </w:tcPr>
          <w:p w14:paraId="311BE903" w14:textId="77777777" w:rsidR="00881780" w:rsidRPr="00A71C8E" w:rsidRDefault="00881780" w:rsidP="006F4D8F">
            <w:pPr>
              <w:spacing w:before="0" w:line="240" w:lineRule="auto"/>
              <w:jc w:val="right"/>
              <w:rPr>
                <w:sz w:val="18"/>
                <w:szCs w:val="18"/>
              </w:rPr>
            </w:pPr>
            <w:r w:rsidRPr="00A71C8E">
              <w:rPr>
                <w:sz w:val="18"/>
                <w:szCs w:val="18"/>
              </w:rPr>
              <w:t>61,9</w:t>
            </w:r>
          </w:p>
        </w:tc>
        <w:tc>
          <w:tcPr>
            <w:tcW w:w="279" w:type="pct"/>
            <w:shd w:val="clear" w:color="auto" w:fill="C6D9F1"/>
            <w:noWrap/>
            <w:hideMark/>
          </w:tcPr>
          <w:p w14:paraId="16C6F3E1" w14:textId="77777777" w:rsidR="00881780" w:rsidRPr="00A71C8E" w:rsidRDefault="00881780" w:rsidP="006F4D8F">
            <w:pPr>
              <w:spacing w:before="0" w:line="240" w:lineRule="auto"/>
              <w:jc w:val="right"/>
              <w:rPr>
                <w:sz w:val="18"/>
                <w:szCs w:val="18"/>
              </w:rPr>
            </w:pPr>
            <w:r w:rsidRPr="00A71C8E">
              <w:rPr>
                <w:sz w:val="18"/>
                <w:szCs w:val="18"/>
              </w:rPr>
              <w:t>60,5</w:t>
            </w:r>
          </w:p>
        </w:tc>
        <w:tc>
          <w:tcPr>
            <w:tcW w:w="279" w:type="pct"/>
            <w:shd w:val="clear" w:color="auto" w:fill="C6D9F1"/>
            <w:noWrap/>
            <w:hideMark/>
          </w:tcPr>
          <w:p w14:paraId="6986C5C5" w14:textId="77777777" w:rsidR="00881780" w:rsidRPr="00A71C8E" w:rsidRDefault="00881780" w:rsidP="006F4D8F">
            <w:pPr>
              <w:spacing w:before="0" w:line="240" w:lineRule="auto"/>
              <w:jc w:val="right"/>
              <w:rPr>
                <w:sz w:val="18"/>
                <w:szCs w:val="18"/>
              </w:rPr>
            </w:pPr>
            <w:r w:rsidRPr="00A71C8E">
              <w:rPr>
                <w:sz w:val="18"/>
                <w:szCs w:val="18"/>
              </w:rPr>
              <w:t>61,5</w:t>
            </w:r>
          </w:p>
        </w:tc>
        <w:tc>
          <w:tcPr>
            <w:tcW w:w="276" w:type="pct"/>
            <w:shd w:val="clear" w:color="auto" w:fill="C6D9F1"/>
            <w:noWrap/>
            <w:hideMark/>
          </w:tcPr>
          <w:p w14:paraId="725DF7E5" w14:textId="77777777" w:rsidR="00881780" w:rsidRPr="00A71C8E" w:rsidRDefault="00881780" w:rsidP="006F4D8F">
            <w:pPr>
              <w:spacing w:before="0" w:line="240" w:lineRule="auto"/>
              <w:jc w:val="right"/>
              <w:rPr>
                <w:sz w:val="18"/>
                <w:szCs w:val="18"/>
              </w:rPr>
            </w:pPr>
            <w:r w:rsidRPr="00A71C8E">
              <w:rPr>
                <w:sz w:val="18"/>
                <w:szCs w:val="18"/>
              </w:rPr>
              <w:t>62,9</w:t>
            </w:r>
          </w:p>
        </w:tc>
      </w:tr>
      <w:tr w:rsidR="00881780" w:rsidRPr="00A71C8E" w14:paraId="7B461274" w14:textId="77777777" w:rsidTr="006F4D8F">
        <w:trPr>
          <w:trHeight w:val="300"/>
        </w:trPr>
        <w:tc>
          <w:tcPr>
            <w:tcW w:w="1105" w:type="pct"/>
            <w:noWrap/>
            <w:hideMark/>
          </w:tcPr>
          <w:p w14:paraId="752C73BE" w14:textId="77777777" w:rsidR="00881780" w:rsidRPr="00A71C8E" w:rsidRDefault="00881780" w:rsidP="006F4D8F">
            <w:pPr>
              <w:spacing w:before="0" w:line="240" w:lineRule="auto"/>
              <w:rPr>
                <w:sz w:val="18"/>
                <w:szCs w:val="18"/>
              </w:rPr>
            </w:pPr>
            <w:r w:rsidRPr="00A71C8E">
              <w:rPr>
                <w:sz w:val="18"/>
                <w:szCs w:val="18"/>
              </w:rPr>
              <w:lastRenderedPageBreak/>
              <w:t>Lubuskie</w:t>
            </w:r>
          </w:p>
        </w:tc>
        <w:tc>
          <w:tcPr>
            <w:tcW w:w="274" w:type="pct"/>
            <w:noWrap/>
            <w:hideMark/>
          </w:tcPr>
          <w:p w14:paraId="456141A6" w14:textId="77777777" w:rsidR="00881780" w:rsidRPr="00A71C8E" w:rsidRDefault="00881780" w:rsidP="006F4D8F">
            <w:pPr>
              <w:spacing w:before="0" w:line="240" w:lineRule="auto"/>
              <w:jc w:val="right"/>
              <w:rPr>
                <w:sz w:val="18"/>
                <w:szCs w:val="18"/>
              </w:rPr>
            </w:pPr>
            <w:r w:rsidRPr="00A71C8E">
              <w:rPr>
                <w:sz w:val="18"/>
                <w:szCs w:val="18"/>
              </w:rPr>
              <w:t>69,0</w:t>
            </w:r>
          </w:p>
        </w:tc>
        <w:tc>
          <w:tcPr>
            <w:tcW w:w="278" w:type="pct"/>
            <w:noWrap/>
            <w:hideMark/>
          </w:tcPr>
          <w:p w14:paraId="3F20606F" w14:textId="77777777" w:rsidR="00881780" w:rsidRPr="00A71C8E" w:rsidRDefault="00881780" w:rsidP="006F4D8F">
            <w:pPr>
              <w:spacing w:before="0" w:line="240" w:lineRule="auto"/>
              <w:jc w:val="right"/>
              <w:rPr>
                <w:sz w:val="18"/>
                <w:szCs w:val="18"/>
              </w:rPr>
            </w:pPr>
            <w:r w:rsidRPr="00A71C8E">
              <w:rPr>
                <w:sz w:val="18"/>
                <w:szCs w:val="18"/>
              </w:rPr>
              <w:t>70,8</w:t>
            </w:r>
          </w:p>
        </w:tc>
        <w:tc>
          <w:tcPr>
            <w:tcW w:w="278" w:type="pct"/>
            <w:noWrap/>
            <w:hideMark/>
          </w:tcPr>
          <w:p w14:paraId="58206813" w14:textId="77777777" w:rsidR="00881780" w:rsidRPr="00A71C8E" w:rsidRDefault="00881780" w:rsidP="006F4D8F">
            <w:pPr>
              <w:spacing w:before="0" w:line="240" w:lineRule="auto"/>
              <w:jc w:val="right"/>
              <w:rPr>
                <w:sz w:val="18"/>
                <w:szCs w:val="18"/>
              </w:rPr>
            </w:pPr>
            <w:r w:rsidRPr="00A71C8E">
              <w:rPr>
                <w:sz w:val="18"/>
                <w:szCs w:val="18"/>
              </w:rPr>
              <w:t>73,4</w:t>
            </w:r>
          </w:p>
        </w:tc>
        <w:tc>
          <w:tcPr>
            <w:tcW w:w="278" w:type="pct"/>
            <w:noWrap/>
            <w:hideMark/>
          </w:tcPr>
          <w:p w14:paraId="6E45945D" w14:textId="77777777" w:rsidR="00881780" w:rsidRPr="00A71C8E" w:rsidRDefault="00881780" w:rsidP="006F4D8F">
            <w:pPr>
              <w:spacing w:before="0" w:line="240" w:lineRule="auto"/>
              <w:jc w:val="right"/>
              <w:rPr>
                <w:sz w:val="18"/>
                <w:szCs w:val="18"/>
              </w:rPr>
            </w:pPr>
            <w:r w:rsidRPr="00A71C8E">
              <w:rPr>
                <w:sz w:val="18"/>
                <w:szCs w:val="18"/>
              </w:rPr>
              <w:t>74,0</w:t>
            </w:r>
          </w:p>
        </w:tc>
        <w:tc>
          <w:tcPr>
            <w:tcW w:w="279" w:type="pct"/>
            <w:noWrap/>
            <w:hideMark/>
          </w:tcPr>
          <w:p w14:paraId="7E59B076" w14:textId="77777777" w:rsidR="00881780" w:rsidRPr="00A71C8E" w:rsidRDefault="00881780" w:rsidP="006F4D8F">
            <w:pPr>
              <w:spacing w:before="0" w:line="240" w:lineRule="auto"/>
              <w:jc w:val="right"/>
              <w:rPr>
                <w:sz w:val="18"/>
                <w:szCs w:val="18"/>
              </w:rPr>
            </w:pPr>
            <w:r w:rsidRPr="00A71C8E">
              <w:rPr>
                <w:sz w:val="18"/>
                <w:szCs w:val="18"/>
              </w:rPr>
              <w:t>75,7</w:t>
            </w:r>
          </w:p>
        </w:tc>
        <w:tc>
          <w:tcPr>
            <w:tcW w:w="279" w:type="pct"/>
            <w:noWrap/>
            <w:hideMark/>
          </w:tcPr>
          <w:p w14:paraId="51D3A8A9" w14:textId="77777777" w:rsidR="00881780" w:rsidRPr="00A71C8E" w:rsidRDefault="00881780" w:rsidP="006F4D8F">
            <w:pPr>
              <w:spacing w:before="0" w:line="240" w:lineRule="auto"/>
              <w:jc w:val="right"/>
              <w:rPr>
                <w:sz w:val="18"/>
                <w:szCs w:val="18"/>
              </w:rPr>
            </w:pPr>
            <w:r w:rsidRPr="00A71C8E">
              <w:rPr>
                <w:sz w:val="18"/>
                <w:szCs w:val="18"/>
              </w:rPr>
              <w:t>77,3</w:t>
            </w:r>
          </w:p>
        </w:tc>
        <w:tc>
          <w:tcPr>
            <w:tcW w:w="279" w:type="pct"/>
            <w:noWrap/>
            <w:hideMark/>
          </w:tcPr>
          <w:p w14:paraId="3FFA36BC" w14:textId="77777777" w:rsidR="00881780" w:rsidRPr="00A71C8E" w:rsidRDefault="00881780" w:rsidP="006F4D8F">
            <w:pPr>
              <w:spacing w:before="0" w:line="240" w:lineRule="auto"/>
              <w:jc w:val="right"/>
              <w:rPr>
                <w:sz w:val="18"/>
                <w:szCs w:val="18"/>
              </w:rPr>
            </w:pPr>
            <w:r w:rsidRPr="00A71C8E">
              <w:rPr>
                <w:sz w:val="18"/>
                <w:szCs w:val="18"/>
              </w:rPr>
              <w:t>78,8</w:t>
            </w:r>
          </w:p>
        </w:tc>
        <w:tc>
          <w:tcPr>
            <w:tcW w:w="279" w:type="pct"/>
            <w:shd w:val="clear" w:color="auto" w:fill="C6D9F1"/>
            <w:noWrap/>
            <w:hideMark/>
          </w:tcPr>
          <w:p w14:paraId="7D128DE1" w14:textId="77777777" w:rsidR="00881780" w:rsidRPr="00A71C8E" w:rsidRDefault="00881780" w:rsidP="006F4D8F">
            <w:pPr>
              <w:spacing w:before="0" w:line="240" w:lineRule="auto"/>
              <w:jc w:val="right"/>
              <w:rPr>
                <w:sz w:val="18"/>
                <w:szCs w:val="18"/>
              </w:rPr>
            </w:pPr>
            <w:r w:rsidRPr="00A71C8E">
              <w:rPr>
                <w:sz w:val="18"/>
                <w:szCs w:val="18"/>
              </w:rPr>
              <w:t>56,3</w:t>
            </w:r>
          </w:p>
        </w:tc>
        <w:tc>
          <w:tcPr>
            <w:tcW w:w="279" w:type="pct"/>
            <w:shd w:val="clear" w:color="auto" w:fill="C6D9F1"/>
            <w:noWrap/>
            <w:hideMark/>
          </w:tcPr>
          <w:p w14:paraId="4BD9EACC" w14:textId="77777777" w:rsidR="00881780" w:rsidRPr="00A71C8E" w:rsidRDefault="00881780" w:rsidP="006F4D8F">
            <w:pPr>
              <w:spacing w:before="0" w:line="240" w:lineRule="auto"/>
              <w:jc w:val="right"/>
              <w:rPr>
                <w:sz w:val="18"/>
                <w:szCs w:val="18"/>
              </w:rPr>
            </w:pPr>
            <w:r w:rsidRPr="00A71C8E">
              <w:rPr>
                <w:sz w:val="18"/>
                <w:szCs w:val="18"/>
              </w:rPr>
              <w:t>56,1</w:t>
            </w:r>
          </w:p>
        </w:tc>
        <w:tc>
          <w:tcPr>
            <w:tcW w:w="279" w:type="pct"/>
            <w:shd w:val="clear" w:color="auto" w:fill="C6D9F1"/>
            <w:noWrap/>
            <w:hideMark/>
          </w:tcPr>
          <w:p w14:paraId="021169E8" w14:textId="77777777" w:rsidR="00881780" w:rsidRPr="00A71C8E" w:rsidRDefault="00881780" w:rsidP="006F4D8F">
            <w:pPr>
              <w:spacing w:before="0" w:line="240" w:lineRule="auto"/>
              <w:jc w:val="right"/>
              <w:rPr>
                <w:sz w:val="18"/>
                <w:szCs w:val="18"/>
              </w:rPr>
            </w:pPr>
            <w:r w:rsidRPr="00A71C8E">
              <w:rPr>
                <w:sz w:val="18"/>
                <w:szCs w:val="18"/>
              </w:rPr>
              <w:t>60,2</w:t>
            </w:r>
          </w:p>
        </w:tc>
        <w:tc>
          <w:tcPr>
            <w:tcW w:w="279" w:type="pct"/>
            <w:shd w:val="clear" w:color="auto" w:fill="C6D9F1"/>
            <w:noWrap/>
            <w:hideMark/>
          </w:tcPr>
          <w:p w14:paraId="71189BEE" w14:textId="77777777" w:rsidR="00881780" w:rsidRPr="00A71C8E" w:rsidRDefault="00881780" w:rsidP="006F4D8F">
            <w:pPr>
              <w:spacing w:before="0" w:line="240" w:lineRule="auto"/>
              <w:jc w:val="right"/>
              <w:rPr>
                <w:sz w:val="18"/>
                <w:szCs w:val="18"/>
              </w:rPr>
            </w:pPr>
            <w:r w:rsidRPr="00A71C8E">
              <w:rPr>
                <w:sz w:val="18"/>
                <w:szCs w:val="18"/>
              </w:rPr>
              <w:t>61,6</w:t>
            </w:r>
          </w:p>
        </w:tc>
        <w:tc>
          <w:tcPr>
            <w:tcW w:w="279" w:type="pct"/>
            <w:shd w:val="clear" w:color="auto" w:fill="C6D9F1"/>
            <w:noWrap/>
            <w:hideMark/>
          </w:tcPr>
          <w:p w14:paraId="5822F192" w14:textId="77777777" w:rsidR="00881780" w:rsidRPr="00A71C8E" w:rsidRDefault="00881780" w:rsidP="006F4D8F">
            <w:pPr>
              <w:spacing w:before="0" w:line="240" w:lineRule="auto"/>
              <w:jc w:val="right"/>
              <w:rPr>
                <w:sz w:val="18"/>
                <w:szCs w:val="18"/>
              </w:rPr>
            </w:pPr>
            <w:r w:rsidRPr="00A71C8E">
              <w:rPr>
                <w:sz w:val="18"/>
                <w:szCs w:val="18"/>
              </w:rPr>
              <w:t>62,3</w:t>
            </w:r>
          </w:p>
        </w:tc>
        <w:tc>
          <w:tcPr>
            <w:tcW w:w="279" w:type="pct"/>
            <w:shd w:val="clear" w:color="auto" w:fill="C6D9F1"/>
            <w:noWrap/>
            <w:hideMark/>
          </w:tcPr>
          <w:p w14:paraId="4F9A6566" w14:textId="77777777" w:rsidR="00881780" w:rsidRPr="00A71C8E" w:rsidRDefault="00881780" w:rsidP="006F4D8F">
            <w:pPr>
              <w:spacing w:before="0" w:line="240" w:lineRule="auto"/>
              <w:jc w:val="right"/>
              <w:rPr>
                <w:sz w:val="18"/>
                <w:szCs w:val="18"/>
              </w:rPr>
            </w:pPr>
            <w:r w:rsidRPr="00A71C8E">
              <w:rPr>
                <w:sz w:val="18"/>
                <w:szCs w:val="18"/>
              </w:rPr>
              <w:t>63,2</w:t>
            </w:r>
          </w:p>
        </w:tc>
        <w:tc>
          <w:tcPr>
            <w:tcW w:w="276" w:type="pct"/>
            <w:shd w:val="clear" w:color="auto" w:fill="C6D9F1"/>
            <w:noWrap/>
            <w:hideMark/>
          </w:tcPr>
          <w:p w14:paraId="7130E174" w14:textId="77777777" w:rsidR="00881780" w:rsidRPr="00A71C8E" w:rsidRDefault="00881780" w:rsidP="006F4D8F">
            <w:pPr>
              <w:spacing w:before="0" w:line="240" w:lineRule="auto"/>
              <w:jc w:val="right"/>
              <w:rPr>
                <w:sz w:val="18"/>
                <w:szCs w:val="18"/>
              </w:rPr>
            </w:pPr>
            <w:r w:rsidRPr="00A71C8E">
              <w:rPr>
                <w:sz w:val="18"/>
                <w:szCs w:val="18"/>
              </w:rPr>
              <w:t>62,5</w:t>
            </w:r>
          </w:p>
        </w:tc>
      </w:tr>
      <w:tr w:rsidR="00881780" w:rsidRPr="00A71C8E" w14:paraId="0F3D98B9" w14:textId="77777777" w:rsidTr="006F4D8F">
        <w:trPr>
          <w:trHeight w:val="300"/>
        </w:trPr>
        <w:tc>
          <w:tcPr>
            <w:tcW w:w="1105" w:type="pct"/>
            <w:noWrap/>
            <w:hideMark/>
          </w:tcPr>
          <w:p w14:paraId="4A3EDAF6" w14:textId="77777777" w:rsidR="00881780" w:rsidRPr="00A71C8E" w:rsidRDefault="00881780" w:rsidP="006F4D8F">
            <w:pPr>
              <w:spacing w:before="0" w:line="240" w:lineRule="auto"/>
              <w:rPr>
                <w:sz w:val="18"/>
                <w:szCs w:val="18"/>
              </w:rPr>
            </w:pPr>
            <w:r w:rsidRPr="00A71C8E">
              <w:rPr>
                <w:sz w:val="18"/>
                <w:szCs w:val="18"/>
              </w:rPr>
              <w:t>Łódzkie</w:t>
            </w:r>
          </w:p>
        </w:tc>
        <w:tc>
          <w:tcPr>
            <w:tcW w:w="274" w:type="pct"/>
            <w:noWrap/>
            <w:hideMark/>
          </w:tcPr>
          <w:p w14:paraId="6862DBB8" w14:textId="77777777" w:rsidR="00881780" w:rsidRPr="00A71C8E" w:rsidRDefault="00881780" w:rsidP="006F4D8F">
            <w:pPr>
              <w:spacing w:before="0" w:line="240" w:lineRule="auto"/>
              <w:jc w:val="right"/>
              <w:rPr>
                <w:sz w:val="18"/>
                <w:szCs w:val="18"/>
              </w:rPr>
            </w:pPr>
            <w:r w:rsidRPr="00A71C8E">
              <w:rPr>
                <w:sz w:val="18"/>
                <w:szCs w:val="18"/>
              </w:rPr>
              <w:t>73,4</w:t>
            </w:r>
          </w:p>
        </w:tc>
        <w:tc>
          <w:tcPr>
            <w:tcW w:w="278" w:type="pct"/>
            <w:noWrap/>
            <w:hideMark/>
          </w:tcPr>
          <w:p w14:paraId="3393FF35" w14:textId="77777777" w:rsidR="00881780" w:rsidRPr="00A71C8E" w:rsidRDefault="00881780" w:rsidP="006F4D8F">
            <w:pPr>
              <w:spacing w:before="0" w:line="240" w:lineRule="auto"/>
              <w:jc w:val="right"/>
              <w:rPr>
                <w:sz w:val="18"/>
                <w:szCs w:val="18"/>
              </w:rPr>
            </w:pPr>
            <w:r w:rsidRPr="00A71C8E">
              <w:rPr>
                <w:sz w:val="18"/>
                <w:szCs w:val="18"/>
              </w:rPr>
              <w:t>74,8</w:t>
            </w:r>
          </w:p>
        </w:tc>
        <w:tc>
          <w:tcPr>
            <w:tcW w:w="278" w:type="pct"/>
            <w:noWrap/>
            <w:hideMark/>
          </w:tcPr>
          <w:p w14:paraId="4FB2542B" w14:textId="77777777" w:rsidR="00881780" w:rsidRPr="00A71C8E" w:rsidRDefault="00881780" w:rsidP="006F4D8F">
            <w:pPr>
              <w:spacing w:before="0" w:line="240" w:lineRule="auto"/>
              <w:jc w:val="right"/>
              <w:rPr>
                <w:sz w:val="18"/>
                <w:szCs w:val="18"/>
              </w:rPr>
            </w:pPr>
            <w:r w:rsidRPr="00A71C8E">
              <w:rPr>
                <w:sz w:val="18"/>
                <w:szCs w:val="18"/>
              </w:rPr>
              <w:t>76,5</w:t>
            </w:r>
          </w:p>
        </w:tc>
        <w:tc>
          <w:tcPr>
            <w:tcW w:w="278" w:type="pct"/>
            <w:noWrap/>
            <w:hideMark/>
          </w:tcPr>
          <w:p w14:paraId="0753CD24" w14:textId="77777777" w:rsidR="00881780" w:rsidRPr="00A71C8E" w:rsidRDefault="00881780" w:rsidP="006F4D8F">
            <w:pPr>
              <w:spacing w:before="0" w:line="240" w:lineRule="auto"/>
              <w:jc w:val="right"/>
              <w:rPr>
                <w:sz w:val="18"/>
                <w:szCs w:val="18"/>
              </w:rPr>
            </w:pPr>
            <w:r w:rsidRPr="00A71C8E">
              <w:rPr>
                <w:sz w:val="18"/>
                <w:szCs w:val="18"/>
              </w:rPr>
              <w:t>75,8</w:t>
            </w:r>
          </w:p>
        </w:tc>
        <w:tc>
          <w:tcPr>
            <w:tcW w:w="279" w:type="pct"/>
            <w:noWrap/>
            <w:hideMark/>
          </w:tcPr>
          <w:p w14:paraId="34F1978D" w14:textId="77777777" w:rsidR="00881780" w:rsidRPr="00A71C8E" w:rsidRDefault="00881780" w:rsidP="006F4D8F">
            <w:pPr>
              <w:spacing w:before="0" w:line="240" w:lineRule="auto"/>
              <w:jc w:val="right"/>
              <w:rPr>
                <w:sz w:val="18"/>
                <w:szCs w:val="18"/>
              </w:rPr>
            </w:pPr>
            <w:r w:rsidRPr="00A71C8E">
              <w:rPr>
                <w:sz w:val="18"/>
                <w:szCs w:val="18"/>
              </w:rPr>
              <w:t>79,8</w:t>
            </w:r>
          </w:p>
        </w:tc>
        <w:tc>
          <w:tcPr>
            <w:tcW w:w="279" w:type="pct"/>
            <w:noWrap/>
            <w:hideMark/>
          </w:tcPr>
          <w:p w14:paraId="334FBBEA" w14:textId="77777777" w:rsidR="00881780" w:rsidRPr="00A71C8E" w:rsidRDefault="00881780" w:rsidP="006F4D8F">
            <w:pPr>
              <w:spacing w:before="0" w:line="240" w:lineRule="auto"/>
              <w:jc w:val="right"/>
              <w:rPr>
                <w:sz w:val="18"/>
                <w:szCs w:val="18"/>
              </w:rPr>
            </w:pPr>
            <w:r w:rsidRPr="00A71C8E">
              <w:rPr>
                <w:sz w:val="18"/>
                <w:szCs w:val="18"/>
              </w:rPr>
              <w:t>82,7</w:t>
            </w:r>
          </w:p>
        </w:tc>
        <w:tc>
          <w:tcPr>
            <w:tcW w:w="279" w:type="pct"/>
            <w:noWrap/>
            <w:hideMark/>
          </w:tcPr>
          <w:p w14:paraId="14E8C29F" w14:textId="77777777" w:rsidR="00881780" w:rsidRPr="00A71C8E" w:rsidRDefault="00881780" w:rsidP="006F4D8F">
            <w:pPr>
              <w:spacing w:before="0" w:line="240" w:lineRule="auto"/>
              <w:jc w:val="right"/>
              <w:rPr>
                <w:sz w:val="18"/>
                <w:szCs w:val="18"/>
              </w:rPr>
            </w:pPr>
            <w:r w:rsidRPr="00A71C8E">
              <w:rPr>
                <w:sz w:val="18"/>
                <w:szCs w:val="18"/>
              </w:rPr>
              <w:t>82,6</w:t>
            </w:r>
          </w:p>
        </w:tc>
        <w:tc>
          <w:tcPr>
            <w:tcW w:w="279" w:type="pct"/>
            <w:shd w:val="clear" w:color="auto" w:fill="C6D9F1"/>
            <w:noWrap/>
            <w:hideMark/>
          </w:tcPr>
          <w:p w14:paraId="407F1398" w14:textId="77777777" w:rsidR="00881780" w:rsidRPr="00A71C8E" w:rsidRDefault="00881780" w:rsidP="006F4D8F">
            <w:pPr>
              <w:spacing w:before="0" w:line="240" w:lineRule="auto"/>
              <w:jc w:val="right"/>
              <w:rPr>
                <w:sz w:val="18"/>
                <w:szCs w:val="18"/>
              </w:rPr>
            </w:pPr>
            <w:r w:rsidRPr="00A71C8E">
              <w:rPr>
                <w:sz w:val="18"/>
                <w:szCs w:val="18"/>
              </w:rPr>
              <w:t>60,1</w:t>
            </w:r>
          </w:p>
        </w:tc>
        <w:tc>
          <w:tcPr>
            <w:tcW w:w="279" w:type="pct"/>
            <w:shd w:val="clear" w:color="auto" w:fill="C6D9F1"/>
            <w:noWrap/>
            <w:hideMark/>
          </w:tcPr>
          <w:p w14:paraId="661F9325" w14:textId="77777777" w:rsidR="00881780" w:rsidRPr="00A71C8E" w:rsidRDefault="00881780" w:rsidP="006F4D8F">
            <w:pPr>
              <w:spacing w:before="0" w:line="240" w:lineRule="auto"/>
              <w:jc w:val="right"/>
              <w:rPr>
                <w:sz w:val="18"/>
                <w:szCs w:val="18"/>
              </w:rPr>
            </w:pPr>
            <w:r w:rsidRPr="00A71C8E">
              <w:rPr>
                <w:sz w:val="18"/>
                <w:szCs w:val="18"/>
              </w:rPr>
              <w:t>60,9</w:t>
            </w:r>
          </w:p>
        </w:tc>
        <w:tc>
          <w:tcPr>
            <w:tcW w:w="279" w:type="pct"/>
            <w:shd w:val="clear" w:color="auto" w:fill="C6D9F1"/>
            <w:noWrap/>
            <w:hideMark/>
          </w:tcPr>
          <w:p w14:paraId="645CE5FB" w14:textId="77777777" w:rsidR="00881780" w:rsidRPr="00A71C8E" w:rsidRDefault="00881780" w:rsidP="006F4D8F">
            <w:pPr>
              <w:spacing w:before="0" w:line="240" w:lineRule="auto"/>
              <w:jc w:val="right"/>
              <w:rPr>
                <w:sz w:val="18"/>
                <w:szCs w:val="18"/>
              </w:rPr>
            </w:pPr>
            <w:r w:rsidRPr="00A71C8E">
              <w:rPr>
                <w:sz w:val="18"/>
                <w:szCs w:val="18"/>
              </w:rPr>
              <w:t>62,3</w:t>
            </w:r>
          </w:p>
        </w:tc>
        <w:tc>
          <w:tcPr>
            <w:tcW w:w="279" w:type="pct"/>
            <w:shd w:val="clear" w:color="auto" w:fill="C6D9F1"/>
            <w:noWrap/>
            <w:hideMark/>
          </w:tcPr>
          <w:p w14:paraId="5AEFAB78" w14:textId="77777777" w:rsidR="00881780" w:rsidRPr="00A71C8E" w:rsidRDefault="00881780" w:rsidP="006F4D8F">
            <w:pPr>
              <w:spacing w:before="0" w:line="240" w:lineRule="auto"/>
              <w:jc w:val="right"/>
              <w:rPr>
                <w:sz w:val="18"/>
                <w:szCs w:val="18"/>
              </w:rPr>
            </w:pPr>
            <w:r w:rsidRPr="00A71C8E">
              <w:rPr>
                <w:sz w:val="18"/>
                <w:szCs w:val="18"/>
              </w:rPr>
              <w:t>65,3</w:t>
            </w:r>
          </w:p>
        </w:tc>
        <w:tc>
          <w:tcPr>
            <w:tcW w:w="279" w:type="pct"/>
            <w:shd w:val="clear" w:color="auto" w:fill="C6D9F1"/>
            <w:noWrap/>
            <w:hideMark/>
          </w:tcPr>
          <w:p w14:paraId="3791F9E7" w14:textId="77777777" w:rsidR="00881780" w:rsidRPr="00A71C8E" w:rsidRDefault="00881780" w:rsidP="006F4D8F">
            <w:pPr>
              <w:spacing w:before="0" w:line="240" w:lineRule="auto"/>
              <w:jc w:val="right"/>
              <w:rPr>
                <w:sz w:val="18"/>
                <w:szCs w:val="18"/>
              </w:rPr>
            </w:pPr>
            <w:r w:rsidRPr="00A71C8E">
              <w:rPr>
                <w:sz w:val="18"/>
                <w:szCs w:val="18"/>
              </w:rPr>
              <w:t>66,2</w:t>
            </w:r>
          </w:p>
        </w:tc>
        <w:tc>
          <w:tcPr>
            <w:tcW w:w="279" w:type="pct"/>
            <w:shd w:val="clear" w:color="auto" w:fill="C6D9F1"/>
            <w:noWrap/>
            <w:hideMark/>
          </w:tcPr>
          <w:p w14:paraId="762CEE8D" w14:textId="77777777" w:rsidR="00881780" w:rsidRPr="00A71C8E" w:rsidRDefault="00881780" w:rsidP="006F4D8F">
            <w:pPr>
              <w:spacing w:before="0" w:line="240" w:lineRule="auto"/>
              <w:jc w:val="right"/>
              <w:rPr>
                <w:sz w:val="18"/>
                <w:szCs w:val="18"/>
              </w:rPr>
            </w:pPr>
            <w:r w:rsidRPr="00A71C8E">
              <w:rPr>
                <w:sz w:val="18"/>
                <w:szCs w:val="18"/>
              </w:rPr>
              <w:t>67,1</w:t>
            </w:r>
          </w:p>
        </w:tc>
        <w:tc>
          <w:tcPr>
            <w:tcW w:w="276" w:type="pct"/>
            <w:shd w:val="clear" w:color="auto" w:fill="C6D9F1"/>
            <w:noWrap/>
            <w:hideMark/>
          </w:tcPr>
          <w:p w14:paraId="34C89D0C" w14:textId="77777777" w:rsidR="00881780" w:rsidRPr="00A71C8E" w:rsidRDefault="00881780" w:rsidP="006F4D8F">
            <w:pPr>
              <w:spacing w:before="0" w:line="240" w:lineRule="auto"/>
              <w:jc w:val="right"/>
              <w:rPr>
                <w:sz w:val="18"/>
                <w:szCs w:val="18"/>
              </w:rPr>
            </w:pPr>
            <w:r w:rsidRPr="00A71C8E">
              <w:rPr>
                <w:sz w:val="18"/>
                <w:szCs w:val="18"/>
              </w:rPr>
              <w:t>67,2</w:t>
            </w:r>
          </w:p>
        </w:tc>
      </w:tr>
      <w:tr w:rsidR="00881780" w:rsidRPr="00A71C8E" w14:paraId="019C939F" w14:textId="77777777" w:rsidTr="006F4D8F">
        <w:trPr>
          <w:trHeight w:val="300"/>
        </w:trPr>
        <w:tc>
          <w:tcPr>
            <w:tcW w:w="1105" w:type="pct"/>
            <w:noWrap/>
            <w:hideMark/>
          </w:tcPr>
          <w:p w14:paraId="4918AFFF" w14:textId="77777777" w:rsidR="00881780" w:rsidRPr="00A71C8E" w:rsidRDefault="00881780" w:rsidP="006F4D8F">
            <w:pPr>
              <w:spacing w:before="0" w:line="240" w:lineRule="auto"/>
              <w:rPr>
                <w:sz w:val="18"/>
                <w:szCs w:val="18"/>
              </w:rPr>
            </w:pPr>
            <w:r w:rsidRPr="00A71C8E">
              <w:rPr>
                <w:sz w:val="18"/>
                <w:szCs w:val="18"/>
              </w:rPr>
              <w:t>Małopolskie</w:t>
            </w:r>
          </w:p>
        </w:tc>
        <w:tc>
          <w:tcPr>
            <w:tcW w:w="274" w:type="pct"/>
            <w:noWrap/>
            <w:hideMark/>
          </w:tcPr>
          <w:p w14:paraId="5324ABB8" w14:textId="77777777" w:rsidR="00881780" w:rsidRPr="00A71C8E" w:rsidRDefault="00881780" w:rsidP="006F4D8F">
            <w:pPr>
              <w:spacing w:before="0" w:line="240" w:lineRule="auto"/>
              <w:jc w:val="right"/>
              <w:rPr>
                <w:sz w:val="18"/>
                <w:szCs w:val="18"/>
              </w:rPr>
            </w:pPr>
            <w:r w:rsidRPr="00A71C8E">
              <w:rPr>
                <w:sz w:val="18"/>
                <w:szCs w:val="18"/>
              </w:rPr>
              <w:t>73,2</w:t>
            </w:r>
          </w:p>
        </w:tc>
        <w:tc>
          <w:tcPr>
            <w:tcW w:w="278" w:type="pct"/>
            <w:noWrap/>
            <w:hideMark/>
          </w:tcPr>
          <w:p w14:paraId="40DC82C4" w14:textId="77777777" w:rsidR="00881780" w:rsidRPr="00A71C8E" w:rsidRDefault="00881780" w:rsidP="006F4D8F">
            <w:pPr>
              <w:spacing w:before="0" w:line="240" w:lineRule="auto"/>
              <w:jc w:val="right"/>
              <w:rPr>
                <w:sz w:val="18"/>
                <w:szCs w:val="18"/>
              </w:rPr>
            </w:pPr>
            <w:r w:rsidRPr="00A71C8E">
              <w:rPr>
                <w:sz w:val="18"/>
                <w:szCs w:val="18"/>
              </w:rPr>
              <w:t>73,2</w:t>
            </w:r>
          </w:p>
        </w:tc>
        <w:tc>
          <w:tcPr>
            <w:tcW w:w="278" w:type="pct"/>
            <w:noWrap/>
            <w:hideMark/>
          </w:tcPr>
          <w:p w14:paraId="669179A2" w14:textId="77777777" w:rsidR="00881780" w:rsidRPr="00A71C8E" w:rsidRDefault="00881780" w:rsidP="006F4D8F">
            <w:pPr>
              <w:spacing w:before="0" w:line="240" w:lineRule="auto"/>
              <w:jc w:val="right"/>
              <w:rPr>
                <w:sz w:val="18"/>
                <w:szCs w:val="18"/>
              </w:rPr>
            </w:pPr>
            <w:r w:rsidRPr="00A71C8E">
              <w:rPr>
                <w:sz w:val="18"/>
                <w:szCs w:val="18"/>
              </w:rPr>
              <w:t>74,6</w:t>
            </w:r>
          </w:p>
        </w:tc>
        <w:tc>
          <w:tcPr>
            <w:tcW w:w="278" w:type="pct"/>
            <w:noWrap/>
            <w:hideMark/>
          </w:tcPr>
          <w:p w14:paraId="75F43349" w14:textId="77777777" w:rsidR="00881780" w:rsidRPr="00A71C8E" w:rsidRDefault="00881780" w:rsidP="006F4D8F">
            <w:pPr>
              <w:spacing w:before="0" w:line="240" w:lineRule="auto"/>
              <w:jc w:val="right"/>
              <w:rPr>
                <w:sz w:val="18"/>
                <w:szCs w:val="18"/>
              </w:rPr>
            </w:pPr>
            <w:r w:rsidRPr="00A71C8E">
              <w:rPr>
                <w:sz w:val="18"/>
                <w:szCs w:val="18"/>
              </w:rPr>
              <w:t>75,9</w:t>
            </w:r>
          </w:p>
        </w:tc>
        <w:tc>
          <w:tcPr>
            <w:tcW w:w="279" w:type="pct"/>
            <w:noWrap/>
            <w:hideMark/>
          </w:tcPr>
          <w:p w14:paraId="346065E4" w14:textId="77777777" w:rsidR="00881780" w:rsidRPr="00A71C8E" w:rsidRDefault="00881780" w:rsidP="006F4D8F">
            <w:pPr>
              <w:spacing w:before="0" w:line="240" w:lineRule="auto"/>
              <w:jc w:val="right"/>
              <w:rPr>
                <w:sz w:val="18"/>
                <w:szCs w:val="18"/>
              </w:rPr>
            </w:pPr>
            <w:r w:rsidRPr="00A71C8E">
              <w:rPr>
                <w:sz w:val="18"/>
                <w:szCs w:val="18"/>
              </w:rPr>
              <w:t>78,5</w:t>
            </w:r>
          </w:p>
        </w:tc>
        <w:tc>
          <w:tcPr>
            <w:tcW w:w="279" w:type="pct"/>
            <w:noWrap/>
            <w:hideMark/>
          </w:tcPr>
          <w:p w14:paraId="7131A4BB" w14:textId="77777777" w:rsidR="00881780" w:rsidRPr="00A71C8E" w:rsidRDefault="00881780" w:rsidP="006F4D8F">
            <w:pPr>
              <w:spacing w:before="0" w:line="240" w:lineRule="auto"/>
              <w:jc w:val="right"/>
              <w:rPr>
                <w:sz w:val="18"/>
                <w:szCs w:val="18"/>
              </w:rPr>
            </w:pPr>
            <w:r w:rsidRPr="00A71C8E">
              <w:rPr>
                <w:sz w:val="18"/>
                <w:szCs w:val="18"/>
              </w:rPr>
              <w:t>78,2</w:t>
            </w:r>
          </w:p>
        </w:tc>
        <w:tc>
          <w:tcPr>
            <w:tcW w:w="279" w:type="pct"/>
            <w:noWrap/>
            <w:hideMark/>
          </w:tcPr>
          <w:p w14:paraId="18899006" w14:textId="77777777" w:rsidR="00881780" w:rsidRPr="00A71C8E" w:rsidRDefault="00881780" w:rsidP="006F4D8F">
            <w:pPr>
              <w:spacing w:before="0" w:line="240" w:lineRule="auto"/>
              <w:jc w:val="right"/>
              <w:rPr>
                <w:sz w:val="18"/>
                <w:szCs w:val="18"/>
              </w:rPr>
            </w:pPr>
            <w:r w:rsidRPr="00A71C8E">
              <w:rPr>
                <w:sz w:val="18"/>
                <w:szCs w:val="18"/>
              </w:rPr>
              <w:t>78,2</w:t>
            </w:r>
          </w:p>
        </w:tc>
        <w:tc>
          <w:tcPr>
            <w:tcW w:w="279" w:type="pct"/>
            <w:shd w:val="clear" w:color="auto" w:fill="C6D9F1"/>
            <w:noWrap/>
            <w:hideMark/>
          </w:tcPr>
          <w:p w14:paraId="7066F3D8" w14:textId="77777777" w:rsidR="00881780" w:rsidRPr="00A71C8E" w:rsidRDefault="00881780" w:rsidP="006F4D8F">
            <w:pPr>
              <w:spacing w:before="0" w:line="240" w:lineRule="auto"/>
              <w:jc w:val="right"/>
              <w:rPr>
                <w:sz w:val="18"/>
                <w:szCs w:val="18"/>
              </w:rPr>
            </w:pPr>
            <w:r w:rsidRPr="00A71C8E">
              <w:rPr>
                <w:sz w:val="18"/>
                <w:szCs w:val="18"/>
              </w:rPr>
              <w:t>57,8</w:t>
            </w:r>
          </w:p>
        </w:tc>
        <w:tc>
          <w:tcPr>
            <w:tcW w:w="279" w:type="pct"/>
            <w:shd w:val="clear" w:color="auto" w:fill="C6D9F1"/>
            <w:noWrap/>
            <w:hideMark/>
          </w:tcPr>
          <w:p w14:paraId="38A5921E" w14:textId="77777777" w:rsidR="00881780" w:rsidRPr="00A71C8E" w:rsidRDefault="00881780" w:rsidP="006F4D8F">
            <w:pPr>
              <w:spacing w:before="0" w:line="240" w:lineRule="auto"/>
              <w:jc w:val="right"/>
              <w:rPr>
                <w:sz w:val="18"/>
                <w:szCs w:val="18"/>
              </w:rPr>
            </w:pPr>
            <w:r w:rsidRPr="00A71C8E">
              <w:rPr>
                <w:sz w:val="18"/>
                <w:szCs w:val="18"/>
              </w:rPr>
              <w:t>57,6</w:t>
            </w:r>
          </w:p>
        </w:tc>
        <w:tc>
          <w:tcPr>
            <w:tcW w:w="279" w:type="pct"/>
            <w:shd w:val="clear" w:color="auto" w:fill="C6D9F1"/>
            <w:noWrap/>
            <w:hideMark/>
          </w:tcPr>
          <w:p w14:paraId="42E34B0F" w14:textId="77777777" w:rsidR="00881780" w:rsidRPr="00A71C8E" w:rsidRDefault="00881780" w:rsidP="006F4D8F">
            <w:pPr>
              <w:spacing w:before="0" w:line="240" w:lineRule="auto"/>
              <w:jc w:val="right"/>
              <w:rPr>
                <w:sz w:val="18"/>
                <w:szCs w:val="18"/>
              </w:rPr>
            </w:pPr>
            <w:r w:rsidRPr="00A71C8E">
              <w:rPr>
                <w:sz w:val="18"/>
                <w:szCs w:val="18"/>
              </w:rPr>
              <w:t>60,7</w:t>
            </w:r>
          </w:p>
        </w:tc>
        <w:tc>
          <w:tcPr>
            <w:tcW w:w="279" w:type="pct"/>
            <w:shd w:val="clear" w:color="auto" w:fill="C6D9F1"/>
            <w:noWrap/>
            <w:hideMark/>
          </w:tcPr>
          <w:p w14:paraId="24C36733" w14:textId="77777777" w:rsidR="00881780" w:rsidRPr="00A71C8E" w:rsidRDefault="00881780" w:rsidP="006F4D8F">
            <w:pPr>
              <w:spacing w:before="0" w:line="240" w:lineRule="auto"/>
              <w:jc w:val="right"/>
              <w:rPr>
                <w:sz w:val="18"/>
                <w:szCs w:val="18"/>
              </w:rPr>
            </w:pPr>
            <w:r w:rsidRPr="00A71C8E">
              <w:rPr>
                <w:sz w:val="18"/>
                <w:szCs w:val="18"/>
              </w:rPr>
              <w:t>60,2</w:t>
            </w:r>
          </w:p>
        </w:tc>
        <w:tc>
          <w:tcPr>
            <w:tcW w:w="279" w:type="pct"/>
            <w:shd w:val="clear" w:color="auto" w:fill="C6D9F1"/>
            <w:noWrap/>
            <w:hideMark/>
          </w:tcPr>
          <w:p w14:paraId="775AE6D1" w14:textId="77777777" w:rsidR="00881780" w:rsidRPr="00A71C8E" w:rsidRDefault="00881780" w:rsidP="006F4D8F">
            <w:pPr>
              <w:spacing w:before="0" w:line="240" w:lineRule="auto"/>
              <w:jc w:val="right"/>
              <w:rPr>
                <w:sz w:val="18"/>
                <w:szCs w:val="18"/>
              </w:rPr>
            </w:pPr>
            <w:r w:rsidRPr="00A71C8E">
              <w:rPr>
                <w:sz w:val="18"/>
                <w:szCs w:val="18"/>
              </w:rPr>
              <w:t>64,6</w:t>
            </w:r>
          </w:p>
        </w:tc>
        <w:tc>
          <w:tcPr>
            <w:tcW w:w="279" w:type="pct"/>
            <w:shd w:val="clear" w:color="auto" w:fill="C6D9F1"/>
            <w:noWrap/>
            <w:hideMark/>
          </w:tcPr>
          <w:p w14:paraId="7555D137" w14:textId="77777777" w:rsidR="00881780" w:rsidRPr="00A71C8E" w:rsidRDefault="00881780" w:rsidP="006F4D8F">
            <w:pPr>
              <w:spacing w:before="0" w:line="240" w:lineRule="auto"/>
              <w:jc w:val="right"/>
              <w:rPr>
                <w:sz w:val="18"/>
                <w:szCs w:val="18"/>
              </w:rPr>
            </w:pPr>
            <w:r w:rsidRPr="00A71C8E">
              <w:rPr>
                <w:sz w:val="18"/>
                <w:szCs w:val="18"/>
              </w:rPr>
              <w:t>64,2</w:t>
            </w:r>
          </w:p>
        </w:tc>
        <w:tc>
          <w:tcPr>
            <w:tcW w:w="276" w:type="pct"/>
            <w:shd w:val="clear" w:color="auto" w:fill="C6D9F1"/>
            <w:noWrap/>
            <w:hideMark/>
          </w:tcPr>
          <w:p w14:paraId="78481D65" w14:textId="77777777" w:rsidR="00881780" w:rsidRPr="00A71C8E" w:rsidRDefault="00881780" w:rsidP="006F4D8F">
            <w:pPr>
              <w:spacing w:before="0" w:line="240" w:lineRule="auto"/>
              <w:jc w:val="right"/>
              <w:rPr>
                <w:sz w:val="18"/>
                <w:szCs w:val="18"/>
              </w:rPr>
            </w:pPr>
            <w:r w:rsidRPr="00A71C8E">
              <w:rPr>
                <w:sz w:val="18"/>
                <w:szCs w:val="18"/>
              </w:rPr>
              <w:t>61,9</w:t>
            </w:r>
          </w:p>
        </w:tc>
      </w:tr>
      <w:tr w:rsidR="00881780" w:rsidRPr="00A71C8E" w14:paraId="681968BA" w14:textId="77777777" w:rsidTr="006F4D8F">
        <w:trPr>
          <w:trHeight w:val="300"/>
        </w:trPr>
        <w:tc>
          <w:tcPr>
            <w:tcW w:w="1105" w:type="pct"/>
            <w:noWrap/>
            <w:hideMark/>
          </w:tcPr>
          <w:p w14:paraId="6ED7EBD6" w14:textId="77777777" w:rsidR="00881780" w:rsidRPr="00A71C8E" w:rsidRDefault="00881780" w:rsidP="006F4D8F">
            <w:pPr>
              <w:spacing w:before="0" w:line="240" w:lineRule="auto"/>
              <w:rPr>
                <w:sz w:val="18"/>
                <w:szCs w:val="18"/>
              </w:rPr>
            </w:pPr>
            <w:r w:rsidRPr="00A71C8E">
              <w:rPr>
                <w:sz w:val="18"/>
                <w:szCs w:val="18"/>
              </w:rPr>
              <w:t>Mazowieckie</w:t>
            </w:r>
          </w:p>
        </w:tc>
        <w:tc>
          <w:tcPr>
            <w:tcW w:w="274" w:type="pct"/>
            <w:noWrap/>
            <w:hideMark/>
          </w:tcPr>
          <w:p w14:paraId="6C7F6FF8" w14:textId="77777777" w:rsidR="00881780" w:rsidRPr="00A71C8E" w:rsidRDefault="00881780" w:rsidP="006F4D8F">
            <w:pPr>
              <w:spacing w:before="0" w:line="240" w:lineRule="auto"/>
              <w:jc w:val="right"/>
              <w:rPr>
                <w:sz w:val="18"/>
                <w:szCs w:val="18"/>
              </w:rPr>
            </w:pPr>
            <w:r w:rsidRPr="00A71C8E">
              <w:rPr>
                <w:sz w:val="18"/>
                <w:szCs w:val="18"/>
              </w:rPr>
              <w:t>77,8</w:t>
            </w:r>
          </w:p>
        </w:tc>
        <w:tc>
          <w:tcPr>
            <w:tcW w:w="278" w:type="pct"/>
            <w:noWrap/>
            <w:hideMark/>
          </w:tcPr>
          <w:p w14:paraId="6FF772CE" w14:textId="77777777" w:rsidR="00881780" w:rsidRPr="00A71C8E" w:rsidRDefault="00881780" w:rsidP="006F4D8F">
            <w:pPr>
              <w:spacing w:before="0" w:line="240" w:lineRule="auto"/>
              <w:jc w:val="right"/>
              <w:rPr>
                <w:sz w:val="18"/>
                <w:szCs w:val="18"/>
              </w:rPr>
            </w:pPr>
            <w:r w:rsidRPr="00A71C8E">
              <w:rPr>
                <w:sz w:val="18"/>
                <w:szCs w:val="18"/>
              </w:rPr>
              <w:t>77,0</w:t>
            </w:r>
          </w:p>
        </w:tc>
        <w:tc>
          <w:tcPr>
            <w:tcW w:w="278" w:type="pct"/>
            <w:noWrap/>
            <w:hideMark/>
          </w:tcPr>
          <w:p w14:paraId="02FC3077" w14:textId="77777777" w:rsidR="00881780" w:rsidRPr="00A71C8E" w:rsidRDefault="00881780" w:rsidP="006F4D8F">
            <w:pPr>
              <w:spacing w:before="0" w:line="240" w:lineRule="auto"/>
              <w:jc w:val="right"/>
              <w:rPr>
                <w:sz w:val="18"/>
                <w:szCs w:val="18"/>
              </w:rPr>
            </w:pPr>
            <w:r w:rsidRPr="00A71C8E">
              <w:rPr>
                <w:sz w:val="18"/>
                <w:szCs w:val="18"/>
              </w:rPr>
              <w:t>80,7</w:t>
            </w:r>
          </w:p>
        </w:tc>
        <w:tc>
          <w:tcPr>
            <w:tcW w:w="278" w:type="pct"/>
            <w:noWrap/>
            <w:hideMark/>
          </w:tcPr>
          <w:p w14:paraId="1FDC00CD" w14:textId="77777777" w:rsidR="00881780" w:rsidRPr="00A71C8E" w:rsidRDefault="00881780" w:rsidP="006F4D8F">
            <w:pPr>
              <w:spacing w:before="0" w:line="240" w:lineRule="auto"/>
              <w:jc w:val="right"/>
              <w:rPr>
                <w:sz w:val="18"/>
                <w:szCs w:val="18"/>
              </w:rPr>
            </w:pPr>
            <w:r w:rsidRPr="00A71C8E">
              <w:rPr>
                <w:sz w:val="18"/>
                <w:szCs w:val="18"/>
              </w:rPr>
              <w:t>79,8</w:t>
            </w:r>
          </w:p>
        </w:tc>
        <w:tc>
          <w:tcPr>
            <w:tcW w:w="279" w:type="pct"/>
            <w:noWrap/>
            <w:hideMark/>
          </w:tcPr>
          <w:p w14:paraId="56177B76" w14:textId="77777777" w:rsidR="00881780" w:rsidRPr="00A71C8E" w:rsidRDefault="00881780" w:rsidP="006F4D8F">
            <w:pPr>
              <w:spacing w:before="0" w:line="240" w:lineRule="auto"/>
              <w:jc w:val="right"/>
              <w:rPr>
                <w:sz w:val="18"/>
                <w:szCs w:val="18"/>
              </w:rPr>
            </w:pPr>
            <w:r w:rsidRPr="00A71C8E">
              <w:rPr>
                <w:sz w:val="18"/>
                <w:szCs w:val="18"/>
              </w:rPr>
              <w:t>80,4</w:t>
            </w:r>
          </w:p>
        </w:tc>
        <w:tc>
          <w:tcPr>
            <w:tcW w:w="279" w:type="pct"/>
            <w:noWrap/>
            <w:hideMark/>
          </w:tcPr>
          <w:p w14:paraId="5DE8372E" w14:textId="77777777" w:rsidR="00881780" w:rsidRPr="00A71C8E" w:rsidRDefault="00881780" w:rsidP="006F4D8F">
            <w:pPr>
              <w:spacing w:before="0" w:line="240" w:lineRule="auto"/>
              <w:jc w:val="right"/>
              <w:rPr>
                <w:sz w:val="18"/>
                <w:szCs w:val="18"/>
              </w:rPr>
            </w:pPr>
            <w:r w:rsidRPr="00A71C8E">
              <w:rPr>
                <w:sz w:val="18"/>
                <w:szCs w:val="18"/>
              </w:rPr>
              <w:t>82,3</w:t>
            </w:r>
          </w:p>
        </w:tc>
        <w:tc>
          <w:tcPr>
            <w:tcW w:w="279" w:type="pct"/>
            <w:noWrap/>
            <w:hideMark/>
          </w:tcPr>
          <w:p w14:paraId="3099CD55" w14:textId="77777777" w:rsidR="00881780" w:rsidRPr="00A71C8E" w:rsidRDefault="00881780" w:rsidP="006F4D8F">
            <w:pPr>
              <w:spacing w:before="0" w:line="240" w:lineRule="auto"/>
              <w:jc w:val="right"/>
              <w:rPr>
                <w:sz w:val="18"/>
                <w:szCs w:val="18"/>
              </w:rPr>
            </w:pPr>
            <w:r w:rsidRPr="00A71C8E">
              <w:rPr>
                <w:sz w:val="18"/>
                <w:szCs w:val="18"/>
              </w:rPr>
              <w:t>82,7</w:t>
            </w:r>
          </w:p>
        </w:tc>
        <w:tc>
          <w:tcPr>
            <w:tcW w:w="279" w:type="pct"/>
            <w:shd w:val="clear" w:color="auto" w:fill="C6D9F1"/>
            <w:noWrap/>
            <w:hideMark/>
          </w:tcPr>
          <w:p w14:paraId="176705C1" w14:textId="77777777" w:rsidR="00881780" w:rsidRPr="00A71C8E" w:rsidRDefault="00881780" w:rsidP="006F4D8F">
            <w:pPr>
              <w:spacing w:before="0" w:line="240" w:lineRule="auto"/>
              <w:jc w:val="right"/>
              <w:rPr>
                <w:sz w:val="18"/>
                <w:szCs w:val="18"/>
              </w:rPr>
            </w:pPr>
            <w:r w:rsidRPr="00A71C8E">
              <w:rPr>
                <w:sz w:val="18"/>
                <w:szCs w:val="18"/>
              </w:rPr>
              <w:t>64,6</w:t>
            </w:r>
          </w:p>
        </w:tc>
        <w:tc>
          <w:tcPr>
            <w:tcW w:w="279" w:type="pct"/>
            <w:shd w:val="clear" w:color="auto" w:fill="C6D9F1"/>
            <w:noWrap/>
            <w:hideMark/>
          </w:tcPr>
          <w:p w14:paraId="665488B7" w14:textId="77777777" w:rsidR="00881780" w:rsidRPr="00A71C8E" w:rsidRDefault="00881780" w:rsidP="006F4D8F">
            <w:pPr>
              <w:spacing w:before="0" w:line="240" w:lineRule="auto"/>
              <w:jc w:val="right"/>
              <w:rPr>
                <w:sz w:val="18"/>
                <w:szCs w:val="18"/>
              </w:rPr>
            </w:pPr>
            <w:r w:rsidRPr="00A71C8E">
              <w:rPr>
                <w:sz w:val="18"/>
                <w:szCs w:val="18"/>
              </w:rPr>
              <w:t>64,6</w:t>
            </w:r>
          </w:p>
        </w:tc>
        <w:tc>
          <w:tcPr>
            <w:tcW w:w="279" w:type="pct"/>
            <w:shd w:val="clear" w:color="auto" w:fill="C6D9F1"/>
            <w:noWrap/>
            <w:hideMark/>
          </w:tcPr>
          <w:p w14:paraId="540DB8E2" w14:textId="77777777" w:rsidR="00881780" w:rsidRPr="00A71C8E" w:rsidRDefault="00881780" w:rsidP="006F4D8F">
            <w:pPr>
              <w:spacing w:before="0" w:line="240" w:lineRule="auto"/>
              <w:jc w:val="right"/>
              <w:rPr>
                <w:sz w:val="18"/>
                <w:szCs w:val="18"/>
              </w:rPr>
            </w:pPr>
            <w:r w:rsidRPr="00A71C8E">
              <w:rPr>
                <w:sz w:val="18"/>
                <w:szCs w:val="18"/>
              </w:rPr>
              <w:t>67,6</w:t>
            </w:r>
          </w:p>
        </w:tc>
        <w:tc>
          <w:tcPr>
            <w:tcW w:w="279" w:type="pct"/>
            <w:shd w:val="clear" w:color="auto" w:fill="C6D9F1"/>
            <w:noWrap/>
            <w:hideMark/>
          </w:tcPr>
          <w:p w14:paraId="2D7A9F3A" w14:textId="77777777" w:rsidR="00881780" w:rsidRPr="00A71C8E" w:rsidRDefault="00881780" w:rsidP="006F4D8F">
            <w:pPr>
              <w:spacing w:before="0" w:line="240" w:lineRule="auto"/>
              <w:jc w:val="right"/>
              <w:rPr>
                <w:sz w:val="18"/>
                <w:szCs w:val="18"/>
              </w:rPr>
            </w:pPr>
            <w:r w:rsidRPr="00A71C8E">
              <w:rPr>
                <w:sz w:val="18"/>
                <w:szCs w:val="18"/>
              </w:rPr>
              <w:t>68,5</w:t>
            </w:r>
          </w:p>
        </w:tc>
        <w:tc>
          <w:tcPr>
            <w:tcW w:w="279" w:type="pct"/>
            <w:shd w:val="clear" w:color="auto" w:fill="C6D9F1"/>
            <w:noWrap/>
            <w:hideMark/>
          </w:tcPr>
          <w:p w14:paraId="543B47D7" w14:textId="77777777" w:rsidR="00881780" w:rsidRPr="00A71C8E" w:rsidRDefault="00881780" w:rsidP="006F4D8F">
            <w:pPr>
              <w:spacing w:before="0" w:line="240" w:lineRule="auto"/>
              <w:jc w:val="right"/>
              <w:rPr>
                <w:sz w:val="18"/>
                <w:szCs w:val="18"/>
              </w:rPr>
            </w:pPr>
            <w:r w:rsidRPr="00A71C8E">
              <w:rPr>
                <w:sz w:val="18"/>
                <w:szCs w:val="18"/>
              </w:rPr>
              <w:t>68,5</w:t>
            </w:r>
          </w:p>
        </w:tc>
        <w:tc>
          <w:tcPr>
            <w:tcW w:w="279" w:type="pct"/>
            <w:shd w:val="clear" w:color="auto" w:fill="C6D9F1"/>
            <w:noWrap/>
            <w:hideMark/>
          </w:tcPr>
          <w:p w14:paraId="013FDFCC" w14:textId="77777777" w:rsidR="00881780" w:rsidRPr="00A71C8E" w:rsidRDefault="00881780" w:rsidP="006F4D8F">
            <w:pPr>
              <w:spacing w:before="0" w:line="240" w:lineRule="auto"/>
              <w:jc w:val="right"/>
              <w:rPr>
                <w:sz w:val="18"/>
                <w:szCs w:val="18"/>
              </w:rPr>
            </w:pPr>
            <w:r w:rsidRPr="00A71C8E">
              <w:rPr>
                <w:sz w:val="18"/>
                <w:szCs w:val="18"/>
              </w:rPr>
              <w:t>68,6</w:t>
            </w:r>
          </w:p>
        </w:tc>
        <w:tc>
          <w:tcPr>
            <w:tcW w:w="276" w:type="pct"/>
            <w:shd w:val="clear" w:color="auto" w:fill="C6D9F1"/>
            <w:noWrap/>
            <w:hideMark/>
          </w:tcPr>
          <w:p w14:paraId="0A793CAD" w14:textId="77777777" w:rsidR="00881780" w:rsidRPr="00A71C8E" w:rsidRDefault="00881780" w:rsidP="006F4D8F">
            <w:pPr>
              <w:spacing w:before="0" w:line="240" w:lineRule="auto"/>
              <w:jc w:val="right"/>
              <w:rPr>
                <w:sz w:val="18"/>
                <w:szCs w:val="18"/>
              </w:rPr>
            </w:pPr>
            <w:r w:rsidRPr="00A71C8E">
              <w:rPr>
                <w:sz w:val="18"/>
                <w:szCs w:val="18"/>
              </w:rPr>
              <w:t>71,0</w:t>
            </w:r>
          </w:p>
        </w:tc>
      </w:tr>
      <w:tr w:rsidR="00881780" w:rsidRPr="00A71C8E" w14:paraId="61BCF22B" w14:textId="77777777" w:rsidTr="006F4D8F">
        <w:trPr>
          <w:trHeight w:val="300"/>
        </w:trPr>
        <w:tc>
          <w:tcPr>
            <w:tcW w:w="1105" w:type="pct"/>
            <w:noWrap/>
            <w:hideMark/>
          </w:tcPr>
          <w:p w14:paraId="31D38F89" w14:textId="77777777" w:rsidR="00881780" w:rsidRPr="00A71C8E" w:rsidRDefault="00881780" w:rsidP="006F4D8F">
            <w:pPr>
              <w:spacing w:before="0" w:line="240" w:lineRule="auto"/>
              <w:rPr>
                <w:sz w:val="18"/>
                <w:szCs w:val="18"/>
              </w:rPr>
            </w:pPr>
            <w:r w:rsidRPr="00A71C8E">
              <w:rPr>
                <w:sz w:val="18"/>
                <w:szCs w:val="18"/>
              </w:rPr>
              <w:t>Opolskie</w:t>
            </w:r>
          </w:p>
        </w:tc>
        <w:tc>
          <w:tcPr>
            <w:tcW w:w="274" w:type="pct"/>
            <w:noWrap/>
            <w:hideMark/>
          </w:tcPr>
          <w:p w14:paraId="1C364267" w14:textId="77777777" w:rsidR="00881780" w:rsidRPr="00A71C8E" w:rsidRDefault="00881780" w:rsidP="006F4D8F">
            <w:pPr>
              <w:spacing w:before="0" w:line="240" w:lineRule="auto"/>
              <w:jc w:val="right"/>
              <w:rPr>
                <w:sz w:val="18"/>
                <w:szCs w:val="18"/>
              </w:rPr>
            </w:pPr>
            <w:r w:rsidRPr="00A71C8E">
              <w:rPr>
                <w:sz w:val="18"/>
                <w:szCs w:val="18"/>
              </w:rPr>
              <w:t>72,5</w:t>
            </w:r>
          </w:p>
        </w:tc>
        <w:tc>
          <w:tcPr>
            <w:tcW w:w="278" w:type="pct"/>
            <w:noWrap/>
            <w:hideMark/>
          </w:tcPr>
          <w:p w14:paraId="689E35C5" w14:textId="77777777" w:rsidR="00881780" w:rsidRPr="00A71C8E" w:rsidRDefault="00881780" w:rsidP="006F4D8F">
            <w:pPr>
              <w:spacing w:before="0" w:line="240" w:lineRule="auto"/>
              <w:jc w:val="right"/>
              <w:rPr>
                <w:sz w:val="18"/>
                <w:szCs w:val="18"/>
              </w:rPr>
            </w:pPr>
            <w:r w:rsidRPr="00A71C8E">
              <w:rPr>
                <w:sz w:val="18"/>
                <w:szCs w:val="18"/>
              </w:rPr>
              <w:t>76,8</w:t>
            </w:r>
          </w:p>
        </w:tc>
        <w:tc>
          <w:tcPr>
            <w:tcW w:w="278" w:type="pct"/>
            <w:noWrap/>
            <w:hideMark/>
          </w:tcPr>
          <w:p w14:paraId="1881A3EE" w14:textId="77777777" w:rsidR="00881780" w:rsidRPr="00A71C8E" w:rsidRDefault="00881780" w:rsidP="006F4D8F">
            <w:pPr>
              <w:spacing w:before="0" w:line="240" w:lineRule="auto"/>
              <w:jc w:val="right"/>
              <w:rPr>
                <w:sz w:val="18"/>
                <w:szCs w:val="18"/>
              </w:rPr>
            </w:pPr>
            <w:r w:rsidRPr="00A71C8E">
              <w:rPr>
                <w:sz w:val="18"/>
                <w:szCs w:val="18"/>
              </w:rPr>
              <w:t>77,3</w:t>
            </w:r>
          </w:p>
        </w:tc>
        <w:tc>
          <w:tcPr>
            <w:tcW w:w="278" w:type="pct"/>
            <w:noWrap/>
            <w:hideMark/>
          </w:tcPr>
          <w:p w14:paraId="407AA160" w14:textId="77777777" w:rsidR="00881780" w:rsidRPr="00A71C8E" w:rsidRDefault="00881780" w:rsidP="006F4D8F">
            <w:pPr>
              <w:spacing w:before="0" w:line="240" w:lineRule="auto"/>
              <w:jc w:val="right"/>
              <w:rPr>
                <w:sz w:val="18"/>
                <w:szCs w:val="18"/>
              </w:rPr>
            </w:pPr>
            <w:r w:rsidRPr="00A71C8E">
              <w:rPr>
                <w:sz w:val="18"/>
                <w:szCs w:val="18"/>
              </w:rPr>
              <w:t>77,9</w:t>
            </w:r>
          </w:p>
        </w:tc>
        <w:tc>
          <w:tcPr>
            <w:tcW w:w="279" w:type="pct"/>
            <w:noWrap/>
            <w:hideMark/>
          </w:tcPr>
          <w:p w14:paraId="3B8DB764" w14:textId="77777777" w:rsidR="00881780" w:rsidRPr="00A71C8E" w:rsidRDefault="00881780" w:rsidP="006F4D8F">
            <w:pPr>
              <w:spacing w:before="0" w:line="240" w:lineRule="auto"/>
              <w:jc w:val="right"/>
              <w:rPr>
                <w:sz w:val="18"/>
                <w:szCs w:val="18"/>
              </w:rPr>
            </w:pPr>
            <w:r w:rsidRPr="00A71C8E">
              <w:rPr>
                <w:sz w:val="18"/>
                <w:szCs w:val="18"/>
              </w:rPr>
              <w:t>80,0</w:t>
            </w:r>
          </w:p>
        </w:tc>
        <w:tc>
          <w:tcPr>
            <w:tcW w:w="279" w:type="pct"/>
            <w:noWrap/>
            <w:hideMark/>
          </w:tcPr>
          <w:p w14:paraId="46C15729" w14:textId="77777777" w:rsidR="00881780" w:rsidRPr="00A71C8E" w:rsidRDefault="00881780" w:rsidP="006F4D8F">
            <w:pPr>
              <w:spacing w:before="0" w:line="240" w:lineRule="auto"/>
              <w:jc w:val="right"/>
              <w:rPr>
                <w:sz w:val="18"/>
                <w:szCs w:val="18"/>
              </w:rPr>
            </w:pPr>
            <w:r w:rsidRPr="00A71C8E">
              <w:rPr>
                <w:sz w:val="18"/>
                <w:szCs w:val="18"/>
              </w:rPr>
              <w:t>82,1</w:t>
            </w:r>
          </w:p>
        </w:tc>
        <w:tc>
          <w:tcPr>
            <w:tcW w:w="279" w:type="pct"/>
            <w:noWrap/>
            <w:hideMark/>
          </w:tcPr>
          <w:p w14:paraId="0239A5F3" w14:textId="77777777" w:rsidR="00881780" w:rsidRPr="00A71C8E" w:rsidRDefault="00881780" w:rsidP="006F4D8F">
            <w:pPr>
              <w:spacing w:before="0" w:line="240" w:lineRule="auto"/>
              <w:jc w:val="right"/>
              <w:rPr>
                <w:sz w:val="18"/>
                <w:szCs w:val="18"/>
              </w:rPr>
            </w:pPr>
            <w:r w:rsidRPr="00A71C8E">
              <w:rPr>
                <w:sz w:val="18"/>
                <w:szCs w:val="18"/>
              </w:rPr>
              <w:t>82,4</w:t>
            </w:r>
          </w:p>
        </w:tc>
        <w:tc>
          <w:tcPr>
            <w:tcW w:w="279" w:type="pct"/>
            <w:shd w:val="clear" w:color="auto" w:fill="C6D9F1"/>
            <w:noWrap/>
            <w:hideMark/>
          </w:tcPr>
          <w:p w14:paraId="78A01DE3" w14:textId="77777777" w:rsidR="00881780" w:rsidRPr="00A71C8E" w:rsidRDefault="00881780" w:rsidP="006F4D8F">
            <w:pPr>
              <w:spacing w:before="0" w:line="240" w:lineRule="auto"/>
              <w:jc w:val="right"/>
              <w:rPr>
                <w:sz w:val="18"/>
                <w:szCs w:val="18"/>
              </w:rPr>
            </w:pPr>
            <w:r w:rsidRPr="00A71C8E">
              <w:rPr>
                <w:sz w:val="18"/>
                <w:szCs w:val="18"/>
              </w:rPr>
              <w:t>54,8</w:t>
            </w:r>
          </w:p>
        </w:tc>
        <w:tc>
          <w:tcPr>
            <w:tcW w:w="279" w:type="pct"/>
            <w:shd w:val="clear" w:color="auto" w:fill="C6D9F1"/>
            <w:noWrap/>
            <w:hideMark/>
          </w:tcPr>
          <w:p w14:paraId="31A779AA" w14:textId="77777777" w:rsidR="00881780" w:rsidRPr="00A71C8E" w:rsidRDefault="00881780" w:rsidP="006F4D8F">
            <w:pPr>
              <w:spacing w:before="0" w:line="240" w:lineRule="auto"/>
              <w:jc w:val="right"/>
              <w:rPr>
                <w:sz w:val="18"/>
                <w:szCs w:val="18"/>
              </w:rPr>
            </w:pPr>
            <w:r w:rsidRPr="00A71C8E">
              <w:rPr>
                <w:sz w:val="18"/>
                <w:szCs w:val="18"/>
              </w:rPr>
              <w:t>55,8</w:t>
            </w:r>
          </w:p>
        </w:tc>
        <w:tc>
          <w:tcPr>
            <w:tcW w:w="279" w:type="pct"/>
            <w:shd w:val="clear" w:color="auto" w:fill="C6D9F1"/>
            <w:noWrap/>
            <w:hideMark/>
          </w:tcPr>
          <w:p w14:paraId="00F34468" w14:textId="77777777" w:rsidR="00881780" w:rsidRPr="00A71C8E" w:rsidRDefault="00881780" w:rsidP="006F4D8F">
            <w:pPr>
              <w:spacing w:before="0" w:line="240" w:lineRule="auto"/>
              <w:jc w:val="right"/>
              <w:rPr>
                <w:sz w:val="18"/>
                <w:szCs w:val="18"/>
              </w:rPr>
            </w:pPr>
            <w:r w:rsidRPr="00A71C8E">
              <w:rPr>
                <w:sz w:val="18"/>
                <w:szCs w:val="18"/>
              </w:rPr>
              <w:t>58,0</w:t>
            </w:r>
          </w:p>
        </w:tc>
        <w:tc>
          <w:tcPr>
            <w:tcW w:w="279" w:type="pct"/>
            <w:shd w:val="clear" w:color="auto" w:fill="C6D9F1"/>
            <w:noWrap/>
            <w:hideMark/>
          </w:tcPr>
          <w:p w14:paraId="0F93EE80" w14:textId="77777777" w:rsidR="00881780" w:rsidRPr="00A71C8E" w:rsidRDefault="00881780" w:rsidP="006F4D8F">
            <w:pPr>
              <w:spacing w:before="0" w:line="240" w:lineRule="auto"/>
              <w:jc w:val="right"/>
              <w:rPr>
                <w:sz w:val="18"/>
                <w:szCs w:val="18"/>
              </w:rPr>
            </w:pPr>
            <w:r w:rsidRPr="00A71C8E">
              <w:rPr>
                <w:sz w:val="18"/>
                <w:szCs w:val="18"/>
              </w:rPr>
              <w:t>60,5</w:t>
            </w:r>
          </w:p>
        </w:tc>
        <w:tc>
          <w:tcPr>
            <w:tcW w:w="279" w:type="pct"/>
            <w:shd w:val="clear" w:color="auto" w:fill="C6D9F1"/>
            <w:noWrap/>
            <w:hideMark/>
          </w:tcPr>
          <w:p w14:paraId="39315821" w14:textId="77777777" w:rsidR="00881780" w:rsidRPr="00A71C8E" w:rsidRDefault="00881780" w:rsidP="006F4D8F">
            <w:pPr>
              <w:spacing w:before="0" w:line="240" w:lineRule="auto"/>
              <w:jc w:val="right"/>
              <w:rPr>
                <w:sz w:val="18"/>
                <w:szCs w:val="18"/>
              </w:rPr>
            </w:pPr>
            <w:r w:rsidRPr="00A71C8E">
              <w:rPr>
                <w:sz w:val="18"/>
                <w:szCs w:val="18"/>
              </w:rPr>
              <w:t>60,6</w:t>
            </w:r>
          </w:p>
        </w:tc>
        <w:tc>
          <w:tcPr>
            <w:tcW w:w="279" w:type="pct"/>
            <w:shd w:val="clear" w:color="auto" w:fill="C6D9F1"/>
            <w:noWrap/>
            <w:hideMark/>
          </w:tcPr>
          <w:p w14:paraId="350EAEBC" w14:textId="77777777" w:rsidR="00881780" w:rsidRPr="00A71C8E" w:rsidRDefault="00881780" w:rsidP="006F4D8F">
            <w:pPr>
              <w:spacing w:before="0" w:line="240" w:lineRule="auto"/>
              <w:jc w:val="right"/>
              <w:rPr>
                <w:sz w:val="18"/>
                <w:szCs w:val="18"/>
              </w:rPr>
            </w:pPr>
            <w:r w:rsidRPr="00A71C8E">
              <w:rPr>
                <w:sz w:val="18"/>
                <w:szCs w:val="18"/>
              </w:rPr>
              <w:t>62,9</w:t>
            </w:r>
          </w:p>
        </w:tc>
        <w:tc>
          <w:tcPr>
            <w:tcW w:w="276" w:type="pct"/>
            <w:shd w:val="clear" w:color="auto" w:fill="C6D9F1"/>
            <w:noWrap/>
            <w:hideMark/>
          </w:tcPr>
          <w:p w14:paraId="0F52420F" w14:textId="77777777" w:rsidR="00881780" w:rsidRPr="00A71C8E" w:rsidRDefault="00881780" w:rsidP="006F4D8F">
            <w:pPr>
              <w:spacing w:before="0" w:line="240" w:lineRule="auto"/>
              <w:jc w:val="right"/>
              <w:rPr>
                <w:sz w:val="18"/>
                <w:szCs w:val="18"/>
              </w:rPr>
            </w:pPr>
            <w:r w:rsidRPr="00A71C8E">
              <w:rPr>
                <w:sz w:val="18"/>
                <w:szCs w:val="18"/>
              </w:rPr>
              <w:t>63,5</w:t>
            </w:r>
          </w:p>
        </w:tc>
      </w:tr>
      <w:tr w:rsidR="00881780" w:rsidRPr="00A71C8E" w14:paraId="68ED1500" w14:textId="77777777" w:rsidTr="006F4D8F">
        <w:trPr>
          <w:trHeight w:val="300"/>
        </w:trPr>
        <w:tc>
          <w:tcPr>
            <w:tcW w:w="1105" w:type="pct"/>
            <w:noWrap/>
            <w:hideMark/>
          </w:tcPr>
          <w:p w14:paraId="28A348B8" w14:textId="77777777" w:rsidR="00881780" w:rsidRPr="00A71C8E" w:rsidRDefault="00881780" w:rsidP="006F4D8F">
            <w:pPr>
              <w:spacing w:before="0" w:line="240" w:lineRule="auto"/>
              <w:rPr>
                <w:sz w:val="18"/>
                <w:szCs w:val="18"/>
              </w:rPr>
            </w:pPr>
            <w:r w:rsidRPr="00A71C8E">
              <w:rPr>
                <w:sz w:val="18"/>
                <w:szCs w:val="18"/>
              </w:rPr>
              <w:t>Podkarpackie</w:t>
            </w:r>
          </w:p>
        </w:tc>
        <w:tc>
          <w:tcPr>
            <w:tcW w:w="274" w:type="pct"/>
            <w:noWrap/>
            <w:hideMark/>
          </w:tcPr>
          <w:p w14:paraId="1B29804E" w14:textId="77777777" w:rsidR="00881780" w:rsidRPr="00A71C8E" w:rsidRDefault="00881780" w:rsidP="006F4D8F">
            <w:pPr>
              <w:spacing w:before="0" w:line="240" w:lineRule="auto"/>
              <w:jc w:val="right"/>
              <w:rPr>
                <w:sz w:val="18"/>
                <w:szCs w:val="18"/>
              </w:rPr>
            </w:pPr>
            <w:r w:rsidRPr="00A71C8E">
              <w:rPr>
                <w:sz w:val="18"/>
                <w:szCs w:val="18"/>
              </w:rPr>
              <w:t>67,8</w:t>
            </w:r>
          </w:p>
        </w:tc>
        <w:tc>
          <w:tcPr>
            <w:tcW w:w="278" w:type="pct"/>
            <w:noWrap/>
            <w:hideMark/>
          </w:tcPr>
          <w:p w14:paraId="222BF26D" w14:textId="77777777" w:rsidR="00881780" w:rsidRPr="00A71C8E" w:rsidRDefault="00881780" w:rsidP="006F4D8F">
            <w:pPr>
              <w:spacing w:before="0" w:line="240" w:lineRule="auto"/>
              <w:jc w:val="right"/>
              <w:rPr>
                <w:sz w:val="18"/>
                <w:szCs w:val="18"/>
              </w:rPr>
            </w:pPr>
            <w:r w:rsidRPr="00A71C8E">
              <w:rPr>
                <w:sz w:val="18"/>
                <w:szCs w:val="18"/>
              </w:rPr>
              <w:t>67,9</w:t>
            </w:r>
          </w:p>
        </w:tc>
        <w:tc>
          <w:tcPr>
            <w:tcW w:w="278" w:type="pct"/>
            <w:noWrap/>
            <w:hideMark/>
          </w:tcPr>
          <w:p w14:paraId="0AFFFB05" w14:textId="77777777" w:rsidR="00881780" w:rsidRPr="00A71C8E" w:rsidRDefault="00881780" w:rsidP="006F4D8F">
            <w:pPr>
              <w:spacing w:before="0" w:line="240" w:lineRule="auto"/>
              <w:jc w:val="right"/>
              <w:rPr>
                <w:sz w:val="18"/>
                <w:szCs w:val="18"/>
              </w:rPr>
            </w:pPr>
            <w:r w:rsidRPr="00A71C8E">
              <w:rPr>
                <w:sz w:val="18"/>
                <w:szCs w:val="18"/>
              </w:rPr>
              <w:t>69,6</w:t>
            </w:r>
          </w:p>
        </w:tc>
        <w:tc>
          <w:tcPr>
            <w:tcW w:w="278" w:type="pct"/>
            <w:noWrap/>
            <w:hideMark/>
          </w:tcPr>
          <w:p w14:paraId="194DA3DE" w14:textId="77777777" w:rsidR="00881780" w:rsidRPr="00A71C8E" w:rsidRDefault="00881780" w:rsidP="006F4D8F">
            <w:pPr>
              <w:spacing w:before="0" w:line="240" w:lineRule="auto"/>
              <w:jc w:val="right"/>
              <w:rPr>
                <w:sz w:val="18"/>
                <w:szCs w:val="18"/>
              </w:rPr>
            </w:pPr>
            <w:r w:rsidRPr="00A71C8E">
              <w:rPr>
                <w:sz w:val="18"/>
                <w:szCs w:val="18"/>
              </w:rPr>
              <w:t>71,3</w:t>
            </w:r>
          </w:p>
        </w:tc>
        <w:tc>
          <w:tcPr>
            <w:tcW w:w="279" w:type="pct"/>
            <w:noWrap/>
            <w:hideMark/>
          </w:tcPr>
          <w:p w14:paraId="52944634" w14:textId="77777777" w:rsidR="00881780" w:rsidRPr="00A71C8E" w:rsidRDefault="00881780" w:rsidP="006F4D8F">
            <w:pPr>
              <w:spacing w:before="0" w:line="240" w:lineRule="auto"/>
              <w:jc w:val="right"/>
              <w:rPr>
                <w:sz w:val="18"/>
                <w:szCs w:val="18"/>
              </w:rPr>
            </w:pPr>
            <w:r w:rsidRPr="00A71C8E">
              <w:rPr>
                <w:sz w:val="18"/>
                <w:szCs w:val="18"/>
              </w:rPr>
              <w:t>73,7</w:t>
            </w:r>
          </w:p>
        </w:tc>
        <w:tc>
          <w:tcPr>
            <w:tcW w:w="279" w:type="pct"/>
            <w:noWrap/>
            <w:hideMark/>
          </w:tcPr>
          <w:p w14:paraId="1D560878" w14:textId="77777777" w:rsidR="00881780" w:rsidRPr="00A71C8E" w:rsidRDefault="00881780" w:rsidP="006F4D8F">
            <w:pPr>
              <w:spacing w:before="0" w:line="240" w:lineRule="auto"/>
              <w:jc w:val="right"/>
              <w:rPr>
                <w:sz w:val="18"/>
                <w:szCs w:val="18"/>
              </w:rPr>
            </w:pPr>
            <w:r w:rsidRPr="00A71C8E">
              <w:rPr>
                <w:sz w:val="18"/>
                <w:szCs w:val="18"/>
              </w:rPr>
              <w:t>75,4</w:t>
            </w:r>
          </w:p>
        </w:tc>
        <w:tc>
          <w:tcPr>
            <w:tcW w:w="279" w:type="pct"/>
            <w:noWrap/>
            <w:hideMark/>
          </w:tcPr>
          <w:p w14:paraId="088F9354" w14:textId="77777777" w:rsidR="00881780" w:rsidRPr="00A71C8E" w:rsidRDefault="00881780" w:rsidP="006F4D8F">
            <w:pPr>
              <w:spacing w:before="0" w:line="240" w:lineRule="auto"/>
              <w:jc w:val="right"/>
              <w:rPr>
                <w:sz w:val="18"/>
                <w:szCs w:val="18"/>
              </w:rPr>
            </w:pPr>
            <w:r w:rsidRPr="00A71C8E">
              <w:rPr>
                <w:sz w:val="18"/>
                <w:szCs w:val="18"/>
              </w:rPr>
              <w:t>78,0</w:t>
            </w:r>
          </w:p>
        </w:tc>
        <w:tc>
          <w:tcPr>
            <w:tcW w:w="279" w:type="pct"/>
            <w:shd w:val="clear" w:color="auto" w:fill="C6D9F1"/>
            <w:noWrap/>
            <w:hideMark/>
          </w:tcPr>
          <w:p w14:paraId="0713A5AE" w14:textId="77777777" w:rsidR="00881780" w:rsidRPr="00A71C8E" w:rsidRDefault="00881780" w:rsidP="006F4D8F">
            <w:pPr>
              <w:spacing w:before="0" w:line="240" w:lineRule="auto"/>
              <w:jc w:val="right"/>
              <w:rPr>
                <w:sz w:val="18"/>
                <w:szCs w:val="18"/>
              </w:rPr>
            </w:pPr>
            <w:r w:rsidRPr="00A71C8E">
              <w:rPr>
                <w:sz w:val="18"/>
                <w:szCs w:val="18"/>
              </w:rPr>
              <w:t>57,3</w:t>
            </w:r>
          </w:p>
        </w:tc>
        <w:tc>
          <w:tcPr>
            <w:tcW w:w="279" w:type="pct"/>
            <w:shd w:val="clear" w:color="auto" w:fill="C6D9F1"/>
            <w:noWrap/>
            <w:hideMark/>
          </w:tcPr>
          <w:p w14:paraId="17C7C57A" w14:textId="77777777" w:rsidR="00881780" w:rsidRPr="00A71C8E" w:rsidRDefault="00881780" w:rsidP="006F4D8F">
            <w:pPr>
              <w:spacing w:before="0" w:line="240" w:lineRule="auto"/>
              <w:jc w:val="right"/>
              <w:rPr>
                <w:sz w:val="18"/>
                <w:szCs w:val="18"/>
              </w:rPr>
            </w:pPr>
            <w:r w:rsidRPr="00A71C8E">
              <w:rPr>
                <w:sz w:val="18"/>
                <w:szCs w:val="18"/>
              </w:rPr>
              <w:t>57,2</w:t>
            </w:r>
          </w:p>
        </w:tc>
        <w:tc>
          <w:tcPr>
            <w:tcW w:w="279" w:type="pct"/>
            <w:shd w:val="clear" w:color="auto" w:fill="C6D9F1"/>
            <w:noWrap/>
            <w:hideMark/>
          </w:tcPr>
          <w:p w14:paraId="65EF94D0" w14:textId="77777777" w:rsidR="00881780" w:rsidRPr="00A71C8E" w:rsidRDefault="00881780" w:rsidP="006F4D8F">
            <w:pPr>
              <w:spacing w:before="0" w:line="240" w:lineRule="auto"/>
              <w:jc w:val="right"/>
              <w:rPr>
                <w:sz w:val="18"/>
                <w:szCs w:val="18"/>
              </w:rPr>
            </w:pPr>
            <w:r w:rsidRPr="00A71C8E">
              <w:rPr>
                <w:sz w:val="18"/>
                <w:szCs w:val="18"/>
              </w:rPr>
              <w:t>56,1</w:t>
            </w:r>
          </w:p>
        </w:tc>
        <w:tc>
          <w:tcPr>
            <w:tcW w:w="279" w:type="pct"/>
            <w:shd w:val="clear" w:color="auto" w:fill="C6D9F1"/>
            <w:noWrap/>
            <w:hideMark/>
          </w:tcPr>
          <w:p w14:paraId="332CD1F2" w14:textId="77777777" w:rsidR="00881780" w:rsidRPr="00A71C8E" w:rsidRDefault="00881780" w:rsidP="006F4D8F">
            <w:pPr>
              <w:spacing w:before="0" w:line="240" w:lineRule="auto"/>
              <w:jc w:val="right"/>
              <w:rPr>
                <w:sz w:val="18"/>
                <w:szCs w:val="18"/>
              </w:rPr>
            </w:pPr>
            <w:r w:rsidRPr="00A71C8E">
              <w:rPr>
                <w:sz w:val="18"/>
                <w:szCs w:val="18"/>
              </w:rPr>
              <w:t>56,3</w:t>
            </w:r>
          </w:p>
        </w:tc>
        <w:tc>
          <w:tcPr>
            <w:tcW w:w="279" w:type="pct"/>
            <w:shd w:val="clear" w:color="auto" w:fill="C6D9F1"/>
            <w:noWrap/>
            <w:hideMark/>
          </w:tcPr>
          <w:p w14:paraId="597EF758" w14:textId="77777777" w:rsidR="00881780" w:rsidRPr="00A71C8E" w:rsidRDefault="00881780" w:rsidP="006F4D8F">
            <w:pPr>
              <w:spacing w:before="0" w:line="240" w:lineRule="auto"/>
              <w:jc w:val="right"/>
              <w:rPr>
                <w:sz w:val="18"/>
                <w:szCs w:val="18"/>
              </w:rPr>
            </w:pPr>
            <w:r w:rsidRPr="00A71C8E">
              <w:rPr>
                <w:sz w:val="18"/>
                <w:szCs w:val="18"/>
              </w:rPr>
              <w:t>60,0</w:t>
            </w:r>
          </w:p>
        </w:tc>
        <w:tc>
          <w:tcPr>
            <w:tcW w:w="279" w:type="pct"/>
            <w:shd w:val="clear" w:color="auto" w:fill="C6D9F1"/>
            <w:noWrap/>
            <w:hideMark/>
          </w:tcPr>
          <w:p w14:paraId="76E3E147" w14:textId="77777777" w:rsidR="00881780" w:rsidRPr="00A71C8E" w:rsidRDefault="00881780" w:rsidP="006F4D8F">
            <w:pPr>
              <w:spacing w:before="0" w:line="240" w:lineRule="auto"/>
              <w:jc w:val="right"/>
              <w:rPr>
                <w:sz w:val="18"/>
                <w:szCs w:val="18"/>
              </w:rPr>
            </w:pPr>
            <w:r w:rsidRPr="00A71C8E">
              <w:rPr>
                <w:sz w:val="18"/>
                <w:szCs w:val="18"/>
              </w:rPr>
              <w:t>63,3</w:t>
            </w:r>
          </w:p>
        </w:tc>
        <w:tc>
          <w:tcPr>
            <w:tcW w:w="276" w:type="pct"/>
            <w:shd w:val="clear" w:color="auto" w:fill="C6D9F1"/>
            <w:noWrap/>
            <w:hideMark/>
          </w:tcPr>
          <w:p w14:paraId="1F4659BB" w14:textId="77777777" w:rsidR="00881780" w:rsidRPr="00A71C8E" w:rsidRDefault="00881780" w:rsidP="006F4D8F">
            <w:pPr>
              <w:spacing w:before="0" w:line="240" w:lineRule="auto"/>
              <w:jc w:val="right"/>
              <w:rPr>
                <w:sz w:val="18"/>
                <w:szCs w:val="18"/>
              </w:rPr>
            </w:pPr>
            <w:r w:rsidRPr="00A71C8E">
              <w:rPr>
                <w:sz w:val="18"/>
                <w:szCs w:val="18"/>
              </w:rPr>
              <w:t>61,6</w:t>
            </w:r>
          </w:p>
        </w:tc>
      </w:tr>
      <w:tr w:rsidR="00881780" w:rsidRPr="00A71C8E" w14:paraId="7B5F1FE1" w14:textId="77777777" w:rsidTr="006F4D8F">
        <w:trPr>
          <w:trHeight w:val="300"/>
        </w:trPr>
        <w:tc>
          <w:tcPr>
            <w:tcW w:w="1105" w:type="pct"/>
            <w:noWrap/>
            <w:hideMark/>
          </w:tcPr>
          <w:p w14:paraId="6A4B986F" w14:textId="77777777" w:rsidR="00881780" w:rsidRPr="00A71C8E" w:rsidRDefault="00881780" w:rsidP="006F4D8F">
            <w:pPr>
              <w:spacing w:before="0" w:line="240" w:lineRule="auto"/>
              <w:rPr>
                <w:sz w:val="18"/>
                <w:szCs w:val="18"/>
              </w:rPr>
            </w:pPr>
            <w:r w:rsidRPr="00A71C8E">
              <w:rPr>
                <w:sz w:val="18"/>
                <w:szCs w:val="18"/>
              </w:rPr>
              <w:t>Podlaskie</w:t>
            </w:r>
          </w:p>
        </w:tc>
        <w:tc>
          <w:tcPr>
            <w:tcW w:w="274" w:type="pct"/>
            <w:noWrap/>
            <w:hideMark/>
          </w:tcPr>
          <w:p w14:paraId="7123C8B1" w14:textId="77777777" w:rsidR="00881780" w:rsidRPr="00A71C8E" w:rsidRDefault="00881780" w:rsidP="006F4D8F">
            <w:pPr>
              <w:spacing w:before="0" w:line="240" w:lineRule="auto"/>
              <w:jc w:val="right"/>
              <w:rPr>
                <w:sz w:val="18"/>
                <w:szCs w:val="18"/>
              </w:rPr>
            </w:pPr>
            <w:r w:rsidRPr="00A71C8E">
              <w:rPr>
                <w:sz w:val="18"/>
                <w:szCs w:val="18"/>
              </w:rPr>
              <w:t>72,5</w:t>
            </w:r>
          </w:p>
        </w:tc>
        <w:tc>
          <w:tcPr>
            <w:tcW w:w="278" w:type="pct"/>
            <w:noWrap/>
            <w:hideMark/>
          </w:tcPr>
          <w:p w14:paraId="04D71D80" w14:textId="77777777" w:rsidR="00881780" w:rsidRPr="00A71C8E" w:rsidRDefault="00881780" w:rsidP="006F4D8F">
            <w:pPr>
              <w:spacing w:before="0" w:line="240" w:lineRule="auto"/>
              <w:jc w:val="right"/>
              <w:rPr>
                <w:sz w:val="18"/>
                <w:szCs w:val="18"/>
              </w:rPr>
            </w:pPr>
            <w:r w:rsidRPr="00A71C8E">
              <w:rPr>
                <w:sz w:val="18"/>
                <w:szCs w:val="18"/>
              </w:rPr>
              <w:t>72,6</w:t>
            </w:r>
          </w:p>
        </w:tc>
        <w:tc>
          <w:tcPr>
            <w:tcW w:w="278" w:type="pct"/>
            <w:noWrap/>
            <w:hideMark/>
          </w:tcPr>
          <w:p w14:paraId="4B9359E4" w14:textId="77777777" w:rsidR="00881780" w:rsidRPr="00A71C8E" w:rsidRDefault="00881780" w:rsidP="006F4D8F">
            <w:pPr>
              <w:spacing w:before="0" w:line="240" w:lineRule="auto"/>
              <w:jc w:val="right"/>
              <w:rPr>
                <w:sz w:val="18"/>
                <w:szCs w:val="18"/>
              </w:rPr>
            </w:pPr>
            <w:r w:rsidRPr="00A71C8E">
              <w:rPr>
                <w:sz w:val="18"/>
                <w:szCs w:val="18"/>
              </w:rPr>
              <w:t>76,1</w:t>
            </w:r>
          </w:p>
        </w:tc>
        <w:tc>
          <w:tcPr>
            <w:tcW w:w="278" w:type="pct"/>
            <w:noWrap/>
            <w:hideMark/>
          </w:tcPr>
          <w:p w14:paraId="6EEC67FA" w14:textId="77777777" w:rsidR="00881780" w:rsidRPr="00A71C8E" w:rsidRDefault="00881780" w:rsidP="006F4D8F">
            <w:pPr>
              <w:spacing w:before="0" w:line="240" w:lineRule="auto"/>
              <w:jc w:val="right"/>
              <w:rPr>
                <w:sz w:val="18"/>
                <w:szCs w:val="18"/>
              </w:rPr>
            </w:pPr>
            <w:r w:rsidRPr="00A71C8E">
              <w:rPr>
                <w:sz w:val="18"/>
                <w:szCs w:val="18"/>
              </w:rPr>
              <w:t>74,6</w:t>
            </w:r>
          </w:p>
        </w:tc>
        <w:tc>
          <w:tcPr>
            <w:tcW w:w="279" w:type="pct"/>
            <w:noWrap/>
            <w:hideMark/>
          </w:tcPr>
          <w:p w14:paraId="7E5DCE17" w14:textId="77777777" w:rsidR="00881780" w:rsidRPr="00A71C8E" w:rsidRDefault="00881780" w:rsidP="006F4D8F">
            <w:pPr>
              <w:spacing w:before="0" w:line="240" w:lineRule="auto"/>
              <w:jc w:val="right"/>
              <w:rPr>
                <w:sz w:val="18"/>
                <w:szCs w:val="18"/>
              </w:rPr>
            </w:pPr>
            <w:r w:rsidRPr="00A71C8E">
              <w:rPr>
                <w:sz w:val="18"/>
                <w:szCs w:val="18"/>
              </w:rPr>
              <w:t>78,3</w:t>
            </w:r>
          </w:p>
        </w:tc>
        <w:tc>
          <w:tcPr>
            <w:tcW w:w="279" w:type="pct"/>
            <w:noWrap/>
            <w:hideMark/>
          </w:tcPr>
          <w:p w14:paraId="6FB83453" w14:textId="77777777" w:rsidR="00881780" w:rsidRPr="00A71C8E" w:rsidRDefault="00881780" w:rsidP="006F4D8F">
            <w:pPr>
              <w:spacing w:before="0" w:line="240" w:lineRule="auto"/>
              <w:jc w:val="right"/>
              <w:rPr>
                <w:sz w:val="18"/>
                <w:szCs w:val="18"/>
              </w:rPr>
            </w:pPr>
            <w:r w:rsidRPr="00A71C8E">
              <w:rPr>
                <w:sz w:val="18"/>
                <w:szCs w:val="18"/>
              </w:rPr>
              <w:t>78,9</w:t>
            </w:r>
          </w:p>
        </w:tc>
        <w:tc>
          <w:tcPr>
            <w:tcW w:w="279" w:type="pct"/>
            <w:noWrap/>
            <w:hideMark/>
          </w:tcPr>
          <w:p w14:paraId="08BC4A9E" w14:textId="77777777" w:rsidR="00881780" w:rsidRPr="00A71C8E" w:rsidRDefault="00881780" w:rsidP="006F4D8F">
            <w:pPr>
              <w:spacing w:before="0" w:line="240" w:lineRule="auto"/>
              <w:jc w:val="right"/>
              <w:rPr>
                <w:sz w:val="18"/>
                <w:szCs w:val="18"/>
              </w:rPr>
            </w:pPr>
            <w:r w:rsidRPr="00A71C8E">
              <w:rPr>
                <w:sz w:val="18"/>
                <w:szCs w:val="18"/>
              </w:rPr>
              <w:t>80,4</w:t>
            </w:r>
          </w:p>
        </w:tc>
        <w:tc>
          <w:tcPr>
            <w:tcW w:w="279" w:type="pct"/>
            <w:shd w:val="clear" w:color="auto" w:fill="C6D9F1"/>
            <w:noWrap/>
            <w:hideMark/>
          </w:tcPr>
          <w:p w14:paraId="3A87499E" w14:textId="77777777" w:rsidR="00881780" w:rsidRPr="00A71C8E" w:rsidRDefault="00881780" w:rsidP="006F4D8F">
            <w:pPr>
              <w:spacing w:before="0" w:line="240" w:lineRule="auto"/>
              <w:jc w:val="right"/>
              <w:rPr>
                <w:sz w:val="18"/>
                <w:szCs w:val="18"/>
              </w:rPr>
            </w:pPr>
            <w:r w:rsidRPr="00A71C8E">
              <w:rPr>
                <w:sz w:val="18"/>
                <w:szCs w:val="18"/>
              </w:rPr>
              <w:t>61,2</w:t>
            </w:r>
          </w:p>
        </w:tc>
        <w:tc>
          <w:tcPr>
            <w:tcW w:w="279" w:type="pct"/>
            <w:shd w:val="clear" w:color="auto" w:fill="C6D9F1"/>
            <w:noWrap/>
            <w:hideMark/>
          </w:tcPr>
          <w:p w14:paraId="73201168" w14:textId="77777777" w:rsidR="00881780" w:rsidRPr="00A71C8E" w:rsidRDefault="00881780" w:rsidP="006F4D8F">
            <w:pPr>
              <w:spacing w:before="0" w:line="240" w:lineRule="auto"/>
              <w:jc w:val="right"/>
              <w:rPr>
                <w:sz w:val="18"/>
                <w:szCs w:val="18"/>
              </w:rPr>
            </w:pPr>
            <w:r w:rsidRPr="00A71C8E">
              <w:rPr>
                <w:sz w:val="18"/>
                <w:szCs w:val="18"/>
              </w:rPr>
              <w:t>62,5</w:t>
            </w:r>
          </w:p>
        </w:tc>
        <w:tc>
          <w:tcPr>
            <w:tcW w:w="279" w:type="pct"/>
            <w:shd w:val="clear" w:color="auto" w:fill="C6D9F1"/>
            <w:noWrap/>
            <w:hideMark/>
          </w:tcPr>
          <w:p w14:paraId="3048A8E9" w14:textId="77777777" w:rsidR="00881780" w:rsidRPr="00A71C8E" w:rsidRDefault="00881780" w:rsidP="006F4D8F">
            <w:pPr>
              <w:spacing w:before="0" w:line="240" w:lineRule="auto"/>
              <w:jc w:val="right"/>
              <w:rPr>
                <w:sz w:val="18"/>
                <w:szCs w:val="18"/>
              </w:rPr>
            </w:pPr>
            <w:r w:rsidRPr="00A71C8E">
              <w:rPr>
                <w:sz w:val="18"/>
                <w:szCs w:val="18"/>
              </w:rPr>
              <w:t>64,1</w:t>
            </w:r>
          </w:p>
        </w:tc>
        <w:tc>
          <w:tcPr>
            <w:tcW w:w="279" w:type="pct"/>
            <w:shd w:val="clear" w:color="auto" w:fill="C6D9F1"/>
            <w:noWrap/>
            <w:hideMark/>
          </w:tcPr>
          <w:p w14:paraId="6E84BC4C" w14:textId="77777777" w:rsidR="00881780" w:rsidRPr="00A71C8E" w:rsidRDefault="00881780" w:rsidP="006F4D8F">
            <w:pPr>
              <w:spacing w:before="0" w:line="240" w:lineRule="auto"/>
              <w:jc w:val="right"/>
              <w:rPr>
                <w:sz w:val="18"/>
                <w:szCs w:val="18"/>
              </w:rPr>
            </w:pPr>
            <w:r w:rsidRPr="00A71C8E">
              <w:rPr>
                <w:sz w:val="18"/>
                <w:szCs w:val="18"/>
              </w:rPr>
              <w:t>63,6</w:t>
            </w:r>
          </w:p>
        </w:tc>
        <w:tc>
          <w:tcPr>
            <w:tcW w:w="279" w:type="pct"/>
            <w:shd w:val="clear" w:color="auto" w:fill="C6D9F1"/>
            <w:noWrap/>
            <w:hideMark/>
          </w:tcPr>
          <w:p w14:paraId="75389EA6" w14:textId="77777777" w:rsidR="00881780" w:rsidRPr="00A71C8E" w:rsidRDefault="00881780" w:rsidP="006F4D8F">
            <w:pPr>
              <w:spacing w:before="0" w:line="240" w:lineRule="auto"/>
              <w:jc w:val="right"/>
              <w:rPr>
                <w:sz w:val="18"/>
                <w:szCs w:val="18"/>
              </w:rPr>
            </w:pPr>
            <w:r w:rsidRPr="00A71C8E">
              <w:rPr>
                <w:sz w:val="18"/>
                <w:szCs w:val="18"/>
              </w:rPr>
              <w:t>62,3</w:t>
            </w:r>
          </w:p>
        </w:tc>
        <w:tc>
          <w:tcPr>
            <w:tcW w:w="279" w:type="pct"/>
            <w:shd w:val="clear" w:color="auto" w:fill="C6D9F1"/>
            <w:noWrap/>
            <w:hideMark/>
          </w:tcPr>
          <w:p w14:paraId="182B4E01" w14:textId="77777777" w:rsidR="00881780" w:rsidRPr="00A71C8E" w:rsidRDefault="00881780" w:rsidP="006F4D8F">
            <w:pPr>
              <w:spacing w:before="0" w:line="240" w:lineRule="auto"/>
              <w:jc w:val="right"/>
              <w:rPr>
                <w:sz w:val="18"/>
                <w:szCs w:val="18"/>
              </w:rPr>
            </w:pPr>
            <w:r w:rsidRPr="00A71C8E">
              <w:rPr>
                <w:sz w:val="18"/>
                <w:szCs w:val="18"/>
              </w:rPr>
              <w:t>61,9</w:t>
            </w:r>
          </w:p>
        </w:tc>
        <w:tc>
          <w:tcPr>
            <w:tcW w:w="276" w:type="pct"/>
            <w:shd w:val="clear" w:color="auto" w:fill="C6D9F1"/>
            <w:noWrap/>
            <w:hideMark/>
          </w:tcPr>
          <w:p w14:paraId="505C2E0A" w14:textId="77777777" w:rsidR="00881780" w:rsidRPr="00A71C8E" w:rsidRDefault="00881780" w:rsidP="006F4D8F">
            <w:pPr>
              <w:spacing w:before="0" w:line="240" w:lineRule="auto"/>
              <w:jc w:val="right"/>
              <w:rPr>
                <w:sz w:val="18"/>
                <w:szCs w:val="18"/>
              </w:rPr>
            </w:pPr>
            <w:r w:rsidRPr="00A71C8E">
              <w:rPr>
                <w:sz w:val="18"/>
                <w:szCs w:val="18"/>
              </w:rPr>
              <w:t>63,4</w:t>
            </w:r>
          </w:p>
        </w:tc>
      </w:tr>
      <w:tr w:rsidR="00881780" w:rsidRPr="00A71C8E" w14:paraId="66586809" w14:textId="77777777" w:rsidTr="006F4D8F">
        <w:trPr>
          <w:trHeight w:val="300"/>
        </w:trPr>
        <w:tc>
          <w:tcPr>
            <w:tcW w:w="1105" w:type="pct"/>
            <w:noWrap/>
            <w:hideMark/>
          </w:tcPr>
          <w:p w14:paraId="0B56EA4F" w14:textId="77777777" w:rsidR="00881780" w:rsidRPr="00A71C8E" w:rsidRDefault="00881780" w:rsidP="006F4D8F">
            <w:pPr>
              <w:spacing w:before="0" w:line="240" w:lineRule="auto"/>
              <w:rPr>
                <w:sz w:val="18"/>
                <w:szCs w:val="18"/>
              </w:rPr>
            </w:pPr>
            <w:r w:rsidRPr="00A71C8E">
              <w:rPr>
                <w:sz w:val="18"/>
                <w:szCs w:val="18"/>
              </w:rPr>
              <w:t>Pomorskie</w:t>
            </w:r>
          </w:p>
        </w:tc>
        <w:tc>
          <w:tcPr>
            <w:tcW w:w="274" w:type="pct"/>
            <w:noWrap/>
            <w:hideMark/>
          </w:tcPr>
          <w:p w14:paraId="20679E03" w14:textId="77777777" w:rsidR="00881780" w:rsidRPr="00A71C8E" w:rsidRDefault="00881780" w:rsidP="006F4D8F">
            <w:pPr>
              <w:spacing w:before="0" w:line="240" w:lineRule="auto"/>
              <w:jc w:val="right"/>
              <w:rPr>
                <w:sz w:val="18"/>
                <w:szCs w:val="18"/>
              </w:rPr>
            </w:pPr>
            <w:r w:rsidRPr="00A71C8E">
              <w:rPr>
                <w:sz w:val="18"/>
                <w:szCs w:val="18"/>
              </w:rPr>
              <w:t>73,4</w:t>
            </w:r>
          </w:p>
        </w:tc>
        <w:tc>
          <w:tcPr>
            <w:tcW w:w="278" w:type="pct"/>
            <w:noWrap/>
            <w:hideMark/>
          </w:tcPr>
          <w:p w14:paraId="42258D3D" w14:textId="77777777" w:rsidR="00881780" w:rsidRPr="00A71C8E" w:rsidRDefault="00881780" w:rsidP="006F4D8F">
            <w:pPr>
              <w:spacing w:before="0" w:line="240" w:lineRule="auto"/>
              <w:jc w:val="right"/>
              <w:rPr>
                <w:sz w:val="18"/>
                <w:szCs w:val="18"/>
              </w:rPr>
            </w:pPr>
            <w:r w:rsidRPr="00A71C8E">
              <w:rPr>
                <w:sz w:val="18"/>
                <w:szCs w:val="18"/>
              </w:rPr>
              <w:t>72,0</w:t>
            </w:r>
          </w:p>
        </w:tc>
        <w:tc>
          <w:tcPr>
            <w:tcW w:w="278" w:type="pct"/>
            <w:noWrap/>
            <w:hideMark/>
          </w:tcPr>
          <w:p w14:paraId="35A8472F" w14:textId="77777777" w:rsidR="00881780" w:rsidRPr="00A71C8E" w:rsidRDefault="00881780" w:rsidP="006F4D8F">
            <w:pPr>
              <w:spacing w:before="0" w:line="240" w:lineRule="auto"/>
              <w:jc w:val="right"/>
              <w:rPr>
                <w:sz w:val="18"/>
                <w:szCs w:val="18"/>
              </w:rPr>
            </w:pPr>
            <w:r w:rsidRPr="00A71C8E">
              <w:rPr>
                <w:sz w:val="18"/>
                <w:szCs w:val="18"/>
              </w:rPr>
              <w:t>74,9</w:t>
            </w:r>
          </w:p>
        </w:tc>
        <w:tc>
          <w:tcPr>
            <w:tcW w:w="278" w:type="pct"/>
            <w:noWrap/>
            <w:hideMark/>
          </w:tcPr>
          <w:p w14:paraId="13BFB0BE" w14:textId="77777777" w:rsidR="00881780" w:rsidRPr="00A71C8E" w:rsidRDefault="00881780" w:rsidP="006F4D8F">
            <w:pPr>
              <w:spacing w:before="0" w:line="240" w:lineRule="auto"/>
              <w:jc w:val="right"/>
              <w:rPr>
                <w:sz w:val="18"/>
                <w:szCs w:val="18"/>
              </w:rPr>
            </w:pPr>
            <w:r w:rsidRPr="00A71C8E">
              <w:rPr>
                <w:sz w:val="18"/>
                <w:szCs w:val="18"/>
              </w:rPr>
              <w:t>77,5</w:t>
            </w:r>
          </w:p>
        </w:tc>
        <w:tc>
          <w:tcPr>
            <w:tcW w:w="279" w:type="pct"/>
            <w:noWrap/>
            <w:hideMark/>
          </w:tcPr>
          <w:p w14:paraId="3BEC1442" w14:textId="77777777" w:rsidR="00881780" w:rsidRPr="00A71C8E" w:rsidRDefault="00881780" w:rsidP="006F4D8F">
            <w:pPr>
              <w:spacing w:before="0" w:line="240" w:lineRule="auto"/>
              <w:jc w:val="right"/>
              <w:rPr>
                <w:sz w:val="18"/>
                <w:szCs w:val="18"/>
              </w:rPr>
            </w:pPr>
            <w:r w:rsidRPr="00A71C8E">
              <w:rPr>
                <w:sz w:val="18"/>
                <w:szCs w:val="18"/>
              </w:rPr>
              <w:t>79,0</w:t>
            </w:r>
          </w:p>
        </w:tc>
        <w:tc>
          <w:tcPr>
            <w:tcW w:w="279" w:type="pct"/>
            <w:noWrap/>
            <w:hideMark/>
          </w:tcPr>
          <w:p w14:paraId="6AD1FA65" w14:textId="77777777" w:rsidR="00881780" w:rsidRPr="00A71C8E" w:rsidRDefault="00881780" w:rsidP="006F4D8F">
            <w:pPr>
              <w:spacing w:before="0" w:line="240" w:lineRule="auto"/>
              <w:jc w:val="right"/>
              <w:rPr>
                <w:sz w:val="18"/>
                <w:szCs w:val="18"/>
              </w:rPr>
            </w:pPr>
            <w:r w:rsidRPr="00A71C8E">
              <w:rPr>
                <w:sz w:val="18"/>
                <w:szCs w:val="18"/>
              </w:rPr>
              <w:t>80,9</w:t>
            </w:r>
          </w:p>
        </w:tc>
        <w:tc>
          <w:tcPr>
            <w:tcW w:w="279" w:type="pct"/>
            <w:noWrap/>
            <w:hideMark/>
          </w:tcPr>
          <w:p w14:paraId="147FED67" w14:textId="77777777" w:rsidR="00881780" w:rsidRPr="00A71C8E" w:rsidRDefault="00881780" w:rsidP="006F4D8F">
            <w:pPr>
              <w:spacing w:before="0" w:line="240" w:lineRule="auto"/>
              <w:jc w:val="right"/>
              <w:rPr>
                <w:sz w:val="18"/>
                <w:szCs w:val="18"/>
              </w:rPr>
            </w:pPr>
            <w:r w:rsidRPr="00A71C8E">
              <w:rPr>
                <w:sz w:val="18"/>
                <w:szCs w:val="18"/>
              </w:rPr>
              <w:t>84,2</w:t>
            </w:r>
          </w:p>
        </w:tc>
        <w:tc>
          <w:tcPr>
            <w:tcW w:w="279" w:type="pct"/>
            <w:shd w:val="clear" w:color="auto" w:fill="C6D9F1"/>
            <w:noWrap/>
            <w:hideMark/>
          </w:tcPr>
          <w:p w14:paraId="0AC353E0" w14:textId="77777777" w:rsidR="00881780" w:rsidRPr="00A71C8E" w:rsidRDefault="00881780" w:rsidP="006F4D8F">
            <w:pPr>
              <w:spacing w:before="0" w:line="240" w:lineRule="auto"/>
              <w:jc w:val="right"/>
              <w:rPr>
                <w:sz w:val="18"/>
                <w:szCs w:val="18"/>
              </w:rPr>
            </w:pPr>
            <w:r w:rsidRPr="00A71C8E">
              <w:rPr>
                <w:sz w:val="18"/>
                <w:szCs w:val="18"/>
              </w:rPr>
              <w:t>56,1</w:t>
            </w:r>
          </w:p>
        </w:tc>
        <w:tc>
          <w:tcPr>
            <w:tcW w:w="279" w:type="pct"/>
            <w:shd w:val="clear" w:color="auto" w:fill="C6D9F1"/>
            <w:noWrap/>
            <w:hideMark/>
          </w:tcPr>
          <w:p w14:paraId="0275687C" w14:textId="77777777" w:rsidR="00881780" w:rsidRPr="00A71C8E" w:rsidRDefault="00881780" w:rsidP="006F4D8F">
            <w:pPr>
              <w:spacing w:before="0" w:line="240" w:lineRule="auto"/>
              <w:jc w:val="right"/>
              <w:rPr>
                <w:sz w:val="18"/>
                <w:szCs w:val="18"/>
              </w:rPr>
            </w:pPr>
            <w:r w:rsidRPr="00A71C8E">
              <w:rPr>
                <w:sz w:val="18"/>
                <w:szCs w:val="18"/>
              </w:rPr>
              <w:t>58,4</w:t>
            </w:r>
          </w:p>
        </w:tc>
        <w:tc>
          <w:tcPr>
            <w:tcW w:w="279" w:type="pct"/>
            <w:shd w:val="clear" w:color="auto" w:fill="C6D9F1"/>
            <w:noWrap/>
            <w:hideMark/>
          </w:tcPr>
          <w:p w14:paraId="6D3601AF" w14:textId="77777777" w:rsidR="00881780" w:rsidRPr="00A71C8E" w:rsidRDefault="00881780" w:rsidP="006F4D8F">
            <w:pPr>
              <w:spacing w:before="0" w:line="240" w:lineRule="auto"/>
              <w:jc w:val="right"/>
              <w:rPr>
                <w:sz w:val="18"/>
                <w:szCs w:val="18"/>
              </w:rPr>
            </w:pPr>
            <w:r w:rsidRPr="00A71C8E">
              <w:rPr>
                <w:sz w:val="18"/>
                <w:szCs w:val="18"/>
              </w:rPr>
              <w:t>59,6</w:t>
            </w:r>
          </w:p>
        </w:tc>
        <w:tc>
          <w:tcPr>
            <w:tcW w:w="279" w:type="pct"/>
            <w:shd w:val="clear" w:color="auto" w:fill="C6D9F1"/>
            <w:noWrap/>
            <w:hideMark/>
          </w:tcPr>
          <w:p w14:paraId="4BEB8FF6" w14:textId="77777777" w:rsidR="00881780" w:rsidRPr="00A71C8E" w:rsidRDefault="00881780" w:rsidP="006F4D8F">
            <w:pPr>
              <w:spacing w:before="0" w:line="240" w:lineRule="auto"/>
              <w:jc w:val="right"/>
              <w:rPr>
                <w:sz w:val="18"/>
                <w:szCs w:val="18"/>
              </w:rPr>
            </w:pPr>
            <w:r w:rsidRPr="00A71C8E">
              <w:rPr>
                <w:sz w:val="18"/>
                <w:szCs w:val="18"/>
              </w:rPr>
              <w:t>62,0</w:t>
            </w:r>
          </w:p>
        </w:tc>
        <w:tc>
          <w:tcPr>
            <w:tcW w:w="279" w:type="pct"/>
            <w:shd w:val="clear" w:color="auto" w:fill="C6D9F1"/>
            <w:noWrap/>
            <w:hideMark/>
          </w:tcPr>
          <w:p w14:paraId="26FEA4D0" w14:textId="77777777" w:rsidR="00881780" w:rsidRPr="00A71C8E" w:rsidRDefault="00881780" w:rsidP="006F4D8F">
            <w:pPr>
              <w:spacing w:before="0" w:line="240" w:lineRule="auto"/>
              <w:jc w:val="right"/>
              <w:rPr>
                <w:sz w:val="18"/>
                <w:szCs w:val="18"/>
              </w:rPr>
            </w:pPr>
            <w:r w:rsidRPr="00A71C8E">
              <w:rPr>
                <w:sz w:val="18"/>
                <w:szCs w:val="18"/>
              </w:rPr>
              <w:t>62,5</w:t>
            </w:r>
          </w:p>
        </w:tc>
        <w:tc>
          <w:tcPr>
            <w:tcW w:w="279" w:type="pct"/>
            <w:shd w:val="clear" w:color="auto" w:fill="C6D9F1"/>
            <w:noWrap/>
            <w:hideMark/>
          </w:tcPr>
          <w:p w14:paraId="12058E3E" w14:textId="77777777" w:rsidR="00881780" w:rsidRPr="00A71C8E" w:rsidRDefault="00881780" w:rsidP="006F4D8F">
            <w:pPr>
              <w:spacing w:before="0" w:line="240" w:lineRule="auto"/>
              <w:jc w:val="right"/>
              <w:rPr>
                <w:sz w:val="18"/>
                <w:szCs w:val="18"/>
              </w:rPr>
            </w:pPr>
            <w:r w:rsidRPr="00A71C8E">
              <w:rPr>
                <w:sz w:val="18"/>
                <w:szCs w:val="18"/>
              </w:rPr>
              <w:t>64,6</w:t>
            </w:r>
          </w:p>
        </w:tc>
        <w:tc>
          <w:tcPr>
            <w:tcW w:w="276" w:type="pct"/>
            <w:shd w:val="clear" w:color="auto" w:fill="C6D9F1"/>
            <w:noWrap/>
            <w:hideMark/>
          </w:tcPr>
          <w:p w14:paraId="7A2E895B" w14:textId="77777777" w:rsidR="00881780" w:rsidRPr="00A71C8E" w:rsidRDefault="00881780" w:rsidP="006F4D8F">
            <w:pPr>
              <w:spacing w:before="0" w:line="240" w:lineRule="auto"/>
              <w:jc w:val="right"/>
              <w:rPr>
                <w:sz w:val="18"/>
                <w:szCs w:val="18"/>
              </w:rPr>
            </w:pPr>
            <w:r w:rsidRPr="00A71C8E">
              <w:rPr>
                <w:sz w:val="18"/>
                <w:szCs w:val="18"/>
              </w:rPr>
              <w:t>64,4</w:t>
            </w:r>
          </w:p>
        </w:tc>
      </w:tr>
      <w:tr w:rsidR="00881780" w:rsidRPr="00A71C8E" w14:paraId="781CB735" w14:textId="77777777" w:rsidTr="006F4D8F">
        <w:trPr>
          <w:trHeight w:val="300"/>
        </w:trPr>
        <w:tc>
          <w:tcPr>
            <w:tcW w:w="1105" w:type="pct"/>
            <w:noWrap/>
            <w:hideMark/>
          </w:tcPr>
          <w:p w14:paraId="689C0466" w14:textId="77777777" w:rsidR="00881780" w:rsidRPr="00A71C8E" w:rsidRDefault="00881780" w:rsidP="006F4D8F">
            <w:pPr>
              <w:spacing w:before="0" w:line="240" w:lineRule="auto"/>
              <w:rPr>
                <w:sz w:val="18"/>
                <w:szCs w:val="18"/>
              </w:rPr>
            </w:pPr>
            <w:r w:rsidRPr="00A71C8E">
              <w:rPr>
                <w:sz w:val="18"/>
                <w:szCs w:val="18"/>
              </w:rPr>
              <w:t>Śląskie</w:t>
            </w:r>
          </w:p>
        </w:tc>
        <w:tc>
          <w:tcPr>
            <w:tcW w:w="274" w:type="pct"/>
            <w:noWrap/>
            <w:hideMark/>
          </w:tcPr>
          <w:p w14:paraId="4461A2CF" w14:textId="77777777" w:rsidR="00881780" w:rsidRPr="00A71C8E" w:rsidRDefault="00881780" w:rsidP="006F4D8F">
            <w:pPr>
              <w:spacing w:before="0" w:line="240" w:lineRule="auto"/>
              <w:jc w:val="right"/>
              <w:rPr>
                <w:sz w:val="18"/>
                <w:szCs w:val="18"/>
              </w:rPr>
            </w:pPr>
            <w:r w:rsidRPr="00A71C8E">
              <w:rPr>
                <w:sz w:val="18"/>
                <w:szCs w:val="18"/>
              </w:rPr>
              <w:t>68,6</w:t>
            </w:r>
          </w:p>
        </w:tc>
        <w:tc>
          <w:tcPr>
            <w:tcW w:w="278" w:type="pct"/>
            <w:noWrap/>
            <w:hideMark/>
          </w:tcPr>
          <w:p w14:paraId="70AFAC4C" w14:textId="77777777" w:rsidR="00881780" w:rsidRPr="00A71C8E" w:rsidRDefault="00881780" w:rsidP="006F4D8F">
            <w:pPr>
              <w:spacing w:before="0" w:line="240" w:lineRule="auto"/>
              <w:jc w:val="right"/>
              <w:rPr>
                <w:sz w:val="18"/>
                <w:szCs w:val="18"/>
              </w:rPr>
            </w:pPr>
            <w:r w:rsidRPr="00A71C8E">
              <w:rPr>
                <w:sz w:val="18"/>
                <w:szCs w:val="18"/>
              </w:rPr>
              <w:t>68,7</w:t>
            </w:r>
          </w:p>
        </w:tc>
        <w:tc>
          <w:tcPr>
            <w:tcW w:w="278" w:type="pct"/>
            <w:noWrap/>
            <w:hideMark/>
          </w:tcPr>
          <w:p w14:paraId="1E71DC4B" w14:textId="77777777" w:rsidR="00881780" w:rsidRPr="00A71C8E" w:rsidRDefault="00881780" w:rsidP="006F4D8F">
            <w:pPr>
              <w:spacing w:before="0" w:line="240" w:lineRule="auto"/>
              <w:jc w:val="right"/>
              <w:rPr>
                <w:sz w:val="18"/>
                <w:szCs w:val="18"/>
              </w:rPr>
            </w:pPr>
            <w:r w:rsidRPr="00A71C8E">
              <w:rPr>
                <w:sz w:val="18"/>
                <w:szCs w:val="18"/>
              </w:rPr>
              <w:t>71,5</w:t>
            </w:r>
          </w:p>
        </w:tc>
        <w:tc>
          <w:tcPr>
            <w:tcW w:w="278" w:type="pct"/>
            <w:noWrap/>
            <w:hideMark/>
          </w:tcPr>
          <w:p w14:paraId="111CE651" w14:textId="77777777" w:rsidR="00881780" w:rsidRPr="00A71C8E" w:rsidRDefault="00881780" w:rsidP="006F4D8F">
            <w:pPr>
              <w:spacing w:before="0" w:line="240" w:lineRule="auto"/>
              <w:jc w:val="right"/>
              <w:rPr>
                <w:sz w:val="18"/>
                <w:szCs w:val="18"/>
              </w:rPr>
            </w:pPr>
            <w:r w:rsidRPr="00A71C8E">
              <w:rPr>
                <w:sz w:val="18"/>
                <w:szCs w:val="18"/>
              </w:rPr>
              <w:t>72,6</w:t>
            </w:r>
          </w:p>
        </w:tc>
        <w:tc>
          <w:tcPr>
            <w:tcW w:w="279" w:type="pct"/>
            <w:noWrap/>
            <w:hideMark/>
          </w:tcPr>
          <w:p w14:paraId="1CBC6654" w14:textId="77777777" w:rsidR="00881780" w:rsidRPr="00A71C8E" w:rsidRDefault="00881780" w:rsidP="006F4D8F">
            <w:pPr>
              <w:spacing w:before="0" w:line="240" w:lineRule="auto"/>
              <w:jc w:val="right"/>
              <w:rPr>
                <w:sz w:val="18"/>
                <w:szCs w:val="18"/>
              </w:rPr>
            </w:pPr>
            <w:r w:rsidRPr="00A71C8E">
              <w:rPr>
                <w:sz w:val="18"/>
                <w:szCs w:val="18"/>
              </w:rPr>
              <w:t>74,5</w:t>
            </w:r>
          </w:p>
        </w:tc>
        <w:tc>
          <w:tcPr>
            <w:tcW w:w="279" w:type="pct"/>
            <w:noWrap/>
            <w:hideMark/>
          </w:tcPr>
          <w:p w14:paraId="02AE6123" w14:textId="77777777" w:rsidR="00881780" w:rsidRPr="00A71C8E" w:rsidRDefault="00881780" w:rsidP="006F4D8F">
            <w:pPr>
              <w:spacing w:before="0" w:line="240" w:lineRule="auto"/>
              <w:jc w:val="right"/>
              <w:rPr>
                <w:sz w:val="18"/>
                <w:szCs w:val="18"/>
              </w:rPr>
            </w:pPr>
            <w:r w:rsidRPr="00A71C8E">
              <w:rPr>
                <w:sz w:val="18"/>
                <w:szCs w:val="18"/>
              </w:rPr>
              <w:t>75,5</w:t>
            </w:r>
          </w:p>
        </w:tc>
        <w:tc>
          <w:tcPr>
            <w:tcW w:w="279" w:type="pct"/>
            <w:noWrap/>
            <w:hideMark/>
          </w:tcPr>
          <w:p w14:paraId="76D12D2A" w14:textId="77777777" w:rsidR="00881780" w:rsidRPr="00A71C8E" w:rsidRDefault="00881780" w:rsidP="006F4D8F">
            <w:pPr>
              <w:spacing w:before="0" w:line="240" w:lineRule="auto"/>
              <w:jc w:val="right"/>
              <w:rPr>
                <w:sz w:val="18"/>
                <w:szCs w:val="18"/>
              </w:rPr>
            </w:pPr>
            <w:r w:rsidRPr="00A71C8E">
              <w:rPr>
                <w:sz w:val="18"/>
                <w:szCs w:val="18"/>
              </w:rPr>
              <w:t>75,4</w:t>
            </w:r>
          </w:p>
        </w:tc>
        <w:tc>
          <w:tcPr>
            <w:tcW w:w="279" w:type="pct"/>
            <w:shd w:val="clear" w:color="auto" w:fill="C6D9F1"/>
            <w:noWrap/>
            <w:hideMark/>
          </w:tcPr>
          <w:p w14:paraId="51BE9FF7" w14:textId="77777777" w:rsidR="00881780" w:rsidRPr="00A71C8E" w:rsidRDefault="00881780" w:rsidP="006F4D8F">
            <w:pPr>
              <w:spacing w:before="0" w:line="240" w:lineRule="auto"/>
              <w:jc w:val="right"/>
              <w:rPr>
                <w:sz w:val="18"/>
                <w:szCs w:val="18"/>
              </w:rPr>
            </w:pPr>
            <w:r w:rsidRPr="00A71C8E">
              <w:rPr>
                <w:sz w:val="18"/>
                <w:szCs w:val="18"/>
              </w:rPr>
              <w:t>55,2</w:t>
            </w:r>
          </w:p>
        </w:tc>
        <w:tc>
          <w:tcPr>
            <w:tcW w:w="279" w:type="pct"/>
            <w:shd w:val="clear" w:color="auto" w:fill="C6D9F1"/>
            <w:noWrap/>
            <w:hideMark/>
          </w:tcPr>
          <w:p w14:paraId="190BB34E" w14:textId="77777777" w:rsidR="00881780" w:rsidRPr="00A71C8E" w:rsidRDefault="00881780" w:rsidP="006F4D8F">
            <w:pPr>
              <w:spacing w:before="0" w:line="240" w:lineRule="auto"/>
              <w:jc w:val="right"/>
              <w:rPr>
                <w:sz w:val="18"/>
                <w:szCs w:val="18"/>
              </w:rPr>
            </w:pPr>
            <w:r w:rsidRPr="00A71C8E">
              <w:rPr>
                <w:sz w:val="18"/>
                <w:szCs w:val="18"/>
              </w:rPr>
              <w:t>57,1</w:t>
            </w:r>
          </w:p>
        </w:tc>
        <w:tc>
          <w:tcPr>
            <w:tcW w:w="279" w:type="pct"/>
            <w:shd w:val="clear" w:color="auto" w:fill="C6D9F1"/>
            <w:noWrap/>
            <w:hideMark/>
          </w:tcPr>
          <w:p w14:paraId="70EA7260" w14:textId="77777777" w:rsidR="00881780" w:rsidRPr="00A71C8E" w:rsidRDefault="00881780" w:rsidP="006F4D8F">
            <w:pPr>
              <w:spacing w:before="0" w:line="240" w:lineRule="auto"/>
              <w:jc w:val="right"/>
              <w:rPr>
                <w:sz w:val="18"/>
                <w:szCs w:val="18"/>
              </w:rPr>
            </w:pPr>
            <w:r w:rsidRPr="00A71C8E">
              <w:rPr>
                <w:sz w:val="18"/>
                <w:szCs w:val="18"/>
              </w:rPr>
              <w:t>58,6</w:t>
            </w:r>
          </w:p>
        </w:tc>
        <w:tc>
          <w:tcPr>
            <w:tcW w:w="279" w:type="pct"/>
            <w:shd w:val="clear" w:color="auto" w:fill="C6D9F1"/>
            <w:noWrap/>
            <w:hideMark/>
          </w:tcPr>
          <w:p w14:paraId="6D32D22C" w14:textId="77777777" w:rsidR="00881780" w:rsidRPr="00A71C8E" w:rsidRDefault="00881780" w:rsidP="006F4D8F">
            <w:pPr>
              <w:spacing w:before="0" w:line="240" w:lineRule="auto"/>
              <w:jc w:val="right"/>
              <w:rPr>
                <w:sz w:val="18"/>
                <w:szCs w:val="18"/>
              </w:rPr>
            </w:pPr>
            <w:r w:rsidRPr="00A71C8E">
              <w:rPr>
                <w:sz w:val="18"/>
                <w:szCs w:val="18"/>
              </w:rPr>
              <w:t>59,5</w:t>
            </w:r>
          </w:p>
        </w:tc>
        <w:tc>
          <w:tcPr>
            <w:tcW w:w="279" w:type="pct"/>
            <w:shd w:val="clear" w:color="auto" w:fill="C6D9F1"/>
            <w:noWrap/>
            <w:hideMark/>
          </w:tcPr>
          <w:p w14:paraId="51B5C138" w14:textId="77777777" w:rsidR="00881780" w:rsidRPr="00A71C8E" w:rsidRDefault="00881780" w:rsidP="006F4D8F">
            <w:pPr>
              <w:spacing w:before="0" w:line="240" w:lineRule="auto"/>
              <w:jc w:val="right"/>
              <w:rPr>
                <w:sz w:val="18"/>
                <w:szCs w:val="18"/>
              </w:rPr>
            </w:pPr>
            <w:r w:rsidRPr="00A71C8E">
              <w:rPr>
                <w:sz w:val="18"/>
                <w:szCs w:val="18"/>
              </w:rPr>
              <w:t>61,4</w:t>
            </w:r>
          </w:p>
        </w:tc>
        <w:tc>
          <w:tcPr>
            <w:tcW w:w="279" w:type="pct"/>
            <w:shd w:val="clear" w:color="auto" w:fill="C6D9F1"/>
            <w:noWrap/>
            <w:hideMark/>
          </w:tcPr>
          <w:p w14:paraId="44C25616" w14:textId="77777777" w:rsidR="00881780" w:rsidRPr="00A71C8E" w:rsidRDefault="00881780" w:rsidP="006F4D8F">
            <w:pPr>
              <w:spacing w:before="0" w:line="240" w:lineRule="auto"/>
              <w:jc w:val="right"/>
              <w:rPr>
                <w:sz w:val="18"/>
                <w:szCs w:val="18"/>
              </w:rPr>
            </w:pPr>
            <w:r w:rsidRPr="00A71C8E">
              <w:rPr>
                <w:sz w:val="18"/>
                <w:szCs w:val="18"/>
              </w:rPr>
              <w:t>62,0</w:t>
            </w:r>
          </w:p>
        </w:tc>
        <w:tc>
          <w:tcPr>
            <w:tcW w:w="276" w:type="pct"/>
            <w:shd w:val="clear" w:color="auto" w:fill="C6D9F1"/>
            <w:noWrap/>
            <w:hideMark/>
          </w:tcPr>
          <w:p w14:paraId="6E6D748A" w14:textId="77777777" w:rsidR="00881780" w:rsidRPr="00A71C8E" w:rsidRDefault="00881780" w:rsidP="006F4D8F">
            <w:pPr>
              <w:spacing w:before="0" w:line="240" w:lineRule="auto"/>
              <w:jc w:val="right"/>
              <w:rPr>
                <w:sz w:val="18"/>
                <w:szCs w:val="18"/>
              </w:rPr>
            </w:pPr>
            <w:r w:rsidRPr="00A71C8E">
              <w:rPr>
                <w:sz w:val="18"/>
                <w:szCs w:val="18"/>
              </w:rPr>
              <w:t>62,4</w:t>
            </w:r>
          </w:p>
        </w:tc>
      </w:tr>
      <w:tr w:rsidR="00881780" w:rsidRPr="00A71C8E" w14:paraId="46FE9C2D" w14:textId="77777777" w:rsidTr="006F4D8F">
        <w:trPr>
          <w:trHeight w:val="300"/>
        </w:trPr>
        <w:tc>
          <w:tcPr>
            <w:tcW w:w="1105" w:type="pct"/>
            <w:noWrap/>
            <w:hideMark/>
          </w:tcPr>
          <w:p w14:paraId="00AD6DCF" w14:textId="77777777" w:rsidR="00881780" w:rsidRPr="00A71C8E" w:rsidRDefault="00881780" w:rsidP="006F4D8F">
            <w:pPr>
              <w:spacing w:before="0" w:line="240" w:lineRule="auto"/>
              <w:rPr>
                <w:sz w:val="18"/>
                <w:szCs w:val="18"/>
              </w:rPr>
            </w:pPr>
            <w:r w:rsidRPr="00A71C8E">
              <w:rPr>
                <w:sz w:val="18"/>
                <w:szCs w:val="18"/>
              </w:rPr>
              <w:t>Świętokrzyskie</w:t>
            </w:r>
          </w:p>
        </w:tc>
        <w:tc>
          <w:tcPr>
            <w:tcW w:w="274" w:type="pct"/>
            <w:noWrap/>
            <w:hideMark/>
          </w:tcPr>
          <w:p w14:paraId="185A53ED" w14:textId="77777777" w:rsidR="00881780" w:rsidRPr="00A71C8E" w:rsidRDefault="00881780" w:rsidP="006F4D8F">
            <w:pPr>
              <w:spacing w:before="0" w:line="240" w:lineRule="auto"/>
              <w:jc w:val="right"/>
              <w:rPr>
                <w:sz w:val="18"/>
                <w:szCs w:val="18"/>
              </w:rPr>
            </w:pPr>
            <w:r w:rsidRPr="00A71C8E">
              <w:rPr>
                <w:sz w:val="18"/>
                <w:szCs w:val="18"/>
              </w:rPr>
              <w:t>71,4</w:t>
            </w:r>
          </w:p>
        </w:tc>
        <w:tc>
          <w:tcPr>
            <w:tcW w:w="278" w:type="pct"/>
            <w:noWrap/>
            <w:hideMark/>
          </w:tcPr>
          <w:p w14:paraId="5C5267A4" w14:textId="77777777" w:rsidR="00881780" w:rsidRPr="00A71C8E" w:rsidRDefault="00881780" w:rsidP="006F4D8F">
            <w:pPr>
              <w:spacing w:before="0" w:line="240" w:lineRule="auto"/>
              <w:jc w:val="right"/>
              <w:rPr>
                <w:sz w:val="18"/>
                <w:szCs w:val="18"/>
              </w:rPr>
            </w:pPr>
            <w:r w:rsidRPr="00A71C8E">
              <w:rPr>
                <w:sz w:val="18"/>
                <w:szCs w:val="18"/>
              </w:rPr>
              <w:t>71,5</w:t>
            </w:r>
          </w:p>
        </w:tc>
        <w:tc>
          <w:tcPr>
            <w:tcW w:w="278" w:type="pct"/>
            <w:noWrap/>
            <w:hideMark/>
          </w:tcPr>
          <w:p w14:paraId="605EDAED" w14:textId="77777777" w:rsidR="00881780" w:rsidRPr="00A71C8E" w:rsidRDefault="00881780" w:rsidP="006F4D8F">
            <w:pPr>
              <w:spacing w:before="0" w:line="240" w:lineRule="auto"/>
              <w:jc w:val="right"/>
              <w:rPr>
                <w:sz w:val="18"/>
                <w:szCs w:val="18"/>
              </w:rPr>
            </w:pPr>
            <w:r w:rsidRPr="00A71C8E">
              <w:rPr>
                <w:sz w:val="18"/>
                <w:szCs w:val="18"/>
              </w:rPr>
              <w:t>71,8</w:t>
            </w:r>
          </w:p>
        </w:tc>
        <w:tc>
          <w:tcPr>
            <w:tcW w:w="278" w:type="pct"/>
            <w:noWrap/>
            <w:hideMark/>
          </w:tcPr>
          <w:p w14:paraId="32019E40" w14:textId="77777777" w:rsidR="00881780" w:rsidRPr="00A71C8E" w:rsidRDefault="00881780" w:rsidP="006F4D8F">
            <w:pPr>
              <w:spacing w:before="0" w:line="240" w:lineRule="auto"/>
              <w:jc w:val="right"/>
              <w:rPr>
                <w:sz w:val="18"/>
                <w:szCs w:val="18"/>
              </w:rPr>
            </w:pPr>
            <w:r w:rsidRPr="00A71C8E">
              <w:rPr>
                <w:sz w:val="18"/>
                <w:szCs w:val="18"/>
              </w:rPr>
              <w:t>74,6</w:t>
            </w:r>
          </w:p>
        </w:tc>
        <w:tc>
          <w:tcPr>
            <w:tcW w:w="279" w:type="pct"/>
            <w:noWrap/>
            <w:hideMark/>
          </w:tcPr>
          <w:p w14:paraId="0320C32A" w14:textId="77777777" w:rsidR="00881780" w:rsidRPr="00A71C8E" w:rsidRDefault="00881780" w:rsidP="006F4D8F">
            <w:pPr>
              <w:spacing w:before="0" w:line="240" w:lineRule="auto"/>
              <w:jc w:val="right"/>
              <w:rPr>
                <w:sz w:val="18"/>
                <w:szCs w:val="18"/>
              </w:rPr>
            </w:pPr>
            <w:r w:rsidRPr="00A71C8E">
              <w:rPr>
                <w:sz w:val="18"/>
                <w:szCs w:val="18"/>
              </w:rPr>
              <w:t>74,8</w:t>
            </w:r>
          </w:p>
        </w:tc>
        <w:tc>
          <w:tcPr>
            <w:tcW w:w="279" w:type="pct"/>
            <w:noWrap/>
            <w:hideMark/>
          </w:tcPr>
          <w:p w14:paraId="1AEBC16E" w14:textId="77777777" w:rsidR="00881780" w:rsidRPr="00A71C8E" w:rsidRDefault="00881780" w:rsidP="006F4D8F">
            <w:pPr>
              <w:spacing w:before="0" w:line="240" w:lineRule="auto"/>
              <w:jc w:val="right"/>
              <w:rPr>
                <w:sz w:val="18"/>
                <w:szCs w:val="18"/>
              </w:rPr>
            </w:pPr>
            <w:r w:rsidRPr="00A71C8E">
              <w:rPr>
                <w:sz w:val="18"/>
                <w:szCs w:val="18"/>
              </w:rPr>
              <w:t>75,5</w:t>
            </w:r>
          </w:p>
        </w:tc>
        <w:tc>
          <w:tcPr>
            <w:tcW w:w="279" w:type="pct"/>
            <w:noWrap/>
            <w:hideMark/>
          </w:tcPr>
          <w:p w14:paraId="61686204" w14:textId="77777777" w:rsidR="00881780" w:rsidRPr="00A71C8E" w:rsidRDefault="00881780" w:rsidP="006F4D8F">
            <w:pPr>
              <w:spacing w:before="0" w:line="240" w:lineRule="auto"/>
              <w:jc w:val="right"/>
              <w:rPr>
                <w:sz w:val="18"/>
                <w:szCs w:val="18"/>
              </w:rPr>
            </w:pPr>
            <w:r w:rsidRPr="00A71C8E">
              <w:rPr>
                <w:sz w:val="18"/>
                <w:szCs w:val="18"/>
              </w:rPr>
              <w:t>75,9</w:t>
            </w:r>
          </w:p>
        </w:tc>
        <w:tc>
          <w:tcPr>
            <w:tcW w:w="279" w:type="pct"/>
            <w:shd w:val="clear" w:color="auto" w:fill="C6D9F1"/>
            <w:noWrap/>
            <w:hideMark/>
          </w:tcPr>
          <w:p w14:paraId="7C85281D" w14:textId="77777777" w:rsidR="00881780" w:rsidRPr="00A71C8E" w:rsidRDefault="00881780" w:rsidP="006F4D8F">
            <w:pPr>
              <w:spacing w:before="0" w:line="240" w:lineRule="auto"/>
              <w:jc w:val="right"/>
              <w:rPr>
                <w:sz w:val="18"/>
                <w:szCs w:val="18"/>
              </w:rPr>
            </w:pPr>
            <w:r w:rsidRPr="00A71C8E">
              <w:rPr>
                <w:sz w:val="18"/>
                <w:szCs w:val="18"/>
              </w:rPr>
              <w:t>56,3</w:t>
            </w:r>
          </w:p>
        </w:tc>
        <w:tc>
          <w:tcPr>
            <w:tcW w:w="279" w:type="pct"/>
            <w:shd w:val="clear" w:color="auto" w:fill="C6D9F1"/>
            <w:noWrap/>
            <w:hideMark/>
          </w:tcPr>
          <w:p w14:paraId="1B60D99F" w14:textId="77777777" w:rsidR="00881780" w:rsidRPr="00A71C8E" w:rsidRDefault="00881780" w:rsidP="006F4D8F">
            <w:pPr>
              <w:spacing w:before="0" w:line="240" w:lineRule="auto"/>
              <w:jc w:val="right"/>
              <w:rPr>
                <w:sz w:val="18"/>
                <w:szCs w:val="18"/>
              </w:rPr>
            </w:pPr>
            <w:r w:rsidRPr="00A71C8E">
              <w:rPr>
                <w:sz w:val="18"/>
                <w:szCs w:val="18"/>
              </w:rPr>
              <w:t>56,6</w:t>
            </w:r>
          </w:p>
        </w:tc>
        <w:tc>
          <w:tcPr>
            <w:tcW w:w="279" w:type="pct"/>
            <w:shd w:val="clear" w:color="auto" w:fill="C6D9F1"/>
            <w:noWrap/>
            <w:hideMark/>
          </w:tcPr>
          <w:p w14:paraId="6D89709E" w14:textId="77777777" w:rsidR="00881780" w:rsidRPr="00A71C8E" w:rsidRDefault="00881780" w:rsidP="006F4D8F">
            <w:pPr>
              <w:spacing w:before="0" w:line="240" w:lineRule="auto"/>
              <w:jc w:val="right"/>
              <w:rPr>
                <w:sz w:val="18"/>
                <w:szCs w:val="18"/>
              </w:rPr>
            </w:pPr>
            <w:r w:rsidRPr="00A71C8E">
              <w:rPr>
                <w:sz w:val="18"/>
                <w:szCs w:val="18"/>
              </w:rPr>
              <w:t>59,9</w:t>
            </w:r>
          </w:p>
        </w:tc>
        <w:tc>
          <w:tcPr>
            <w:tcW w:w="279" w:type="pct"/>
            <w:shd w:val="clear" w:color="auto" w:fill="C6D9F1"/>
            <w:noWrap/>
            <w:hideMark/>
          </w:tcPr>
          <w:p w14:paraId="4CB23EA8" w14:textId="77777777" w:rsidR="00881780" w:rsidRPr="00A71C8E" w:rsidRDefault="00881780" w:rsidP="006F4D8F">
            <w:pPr>
              <w:spacing w:before="0" w:line="240" w:lineRule="auto"/>
              <w:jc w:val="right"/>
              <w:rPr>
                <w:sz w:val="18"/>
                <w:szCs w:val="18"/>
              </w:rPr>
            </w:pPr>
            <w:r w:rsidRPr="00A71C8E">
              <w:rPr>
                <w:sz w:val="18"/>
                <w:szCs w:val="18"/>
              </w:rPr>
              <w:t>61,8</w:t>
            </w:r>
          </w:p>
        </w:tc>
        <w:tc>
          <w:tcPr>
            <w:tcW w:w="279" w:type="pct"/>
            <w:shd w:val="clear" w:color="auto" w:fill="C6D9F1"/>
            <w:noWrap/>
            <w:hideMark/>
          </w:tcPr>
          <w:p w14:paraId="6D1A842D" w14:textId="77777777" w:rsidR="00881780" w:rsidRPr="00A71C8E" w:rsidRDefault="00881780" w:rsidP="006F4D8F">
            <w:pPr>
              <w:spacing w:before="0" w:line="240" w:lineRule="auto"/>
              <w:jc w:val="right"/>
              <w:rPr>
                <w:sz w:val="18"/>
                <w:szCs w:val="18"/>
              </w:rPr>
            </w:pPr>
            <w:r w:rsidRPr="00A71C8E">
              <w:rPr>
                <w:sz w:val="18"/>
                <w:szCs w:val="18"/>
              </w:rPr>
              <w:t>59,1</w:t>
            </w:r>
          </w:p>
        </w:tc>
        <w:tc>
          <w:tcPr>
            <w:tcW w:w="279" w:type="pct"/>
            <w:shd w:val="clear" w:color="auto" w:fill="C6D9F1"/>
            <w:noWrap/>
            <w:hideMark/>
          </w:tcPr>
          <w:p w14:paraId="2D4DA7B0" w14:textId="77777777" w:rsidR="00881780" w:rsidRPr="00A71C8E" w:rsidRDefault="00881780" w:rsidP="006F4D8F">
            <w:pPr>
              <w:spacing w:before="0" w:line="240" w:lineRule="auto"/>
              <w:jc w:val="right"/>
              <w:rPr>
                <w:sz w:val="18"/>
                <w:szCs w:val="18"/>
              </w:rPr>
            </w:pPr>
            <w:r w:rsidRPr="00A71C8E">
              <w:rPr>
                <w:sz w:val="18"/>
                <w:szCs w:val="18"/>
              </w:rPr>
              <w:t>60,8</w:t>
            </w:r>
          </w:p>
        </w:tc>
        <w:tc>
          <w:tcPr>
            <w:tcW w:w="276" w:type="pct"/>
            <w:shd w:val="clear" w:color="auto" w:fill="C6D9F1"/>
            <w:noWrap/>
            <w:hideMark/>
          </w:tcPr>
          <w:p w14:paraId="1726CFCD" w14:textId="77777777" w:rsidR="00881780" w:rsidRPr="00A71C8E" w:rsidRDefault="00881780" w:rsidP="006F4D8F">
            <w:pPr>
              <w:spacing w:before="0" w:line="240" w:lineRule="auto"/>
              <w:jc w:val="right"/>
              <w:rPr>
                <w:sz w:val="18"/>
                <w:szCs w:val="18"/>
              </w:rPr>
            </w:pPr>
            <w:r w:rsidRPr="00A71C8E">
              <w:rPr>
                <w:sz w:val="18"/>
                <w:szCs w:val="18"/>
              </w:rPr>
              <w:t>60,7</w:t>
            </w:r>
          </w:p>
        </w:tc>
      </w:tr>
      <w:tr w:rsidR="00881780" w:rsidRPr="00A71C8E" w14:paraId="03C94A34" w14:textId="77777777" w:rsidTr="006F4D8F">
        <w:trPr>
          <w:trHeight w:val="300"/>
        </w:trPr>
        <w:tc>
          <w:tcPr>
            <w:tcW w:w="1105" w:type="pct"/>
            <w:noWrap/>
            <w:hideMark/>
          </w:tcPr>
          <w:p w14:paraId="30BA46BC" w14:textId="77777777" w:rsidR="00881780" w:rsidRPr="00A71C8E" w:rsidRDefault="00881780" w:rsidP="006F4D8F">
            <w:pPr>
              <w:spacing w:before="0" w:line="240" w:lineRule="auto"/>
              <w:rPr>
                <w:sz w:val="18"/>
                <w:szCs w:val="18"/>
              </w:rPr>
            </w:pPr>
            <w:r w:rsidRPr="00A71C8E">
              <w:rPr>
                <w:sz w:val="18"/>
                <w:szCs w:val="18"/>
              </w:rPr>
              <w:t>Warmińsko-mazurskie</w:t>
            </w:r>
          </w:p>
        </w:tc>
        <w:tc>
          <w:tcPr>
            <w:tcW w:w="274" w:type="pct"/>
            <w:noWrap/>
            <w:hideMark/>
          </w:tcPr>
          <w:p w14:paraId="753872B6" w14:textId="77777777" w:rsidR="00881780" w:rsidRPr="00A71C8E" w:rsidRDefault="00881780" w:rsidP="006F4D8F">
            <w:pPr>
              <w:spacing w:before="0" w:line="240" w:lineRule="auto"/>
              <w:jc w:val="right"/>
              <w:rPr>
                <w:sz w:val="18"/>
                <w:szCs w:val="18"/>
              </w:rPr>
            </w:pPr>
            <w:r w:rsidRPr="00A71C8E">
              <w:rPr>
                <w:sz w:val="18"/>
                <w:szCs w:val="18"/>
              </w:rPr>
              <w:t>66,1</w:t>
            </w:r>
          </w:p>
        </w:tc>
        <w:tc>
          <w:tcPr>
            <w:tcW w:w="278" w:type="pct"/>
            <w:noWrap/>
            <w:hideMark/>
          </w:tcPr>
          <w:p w14:paraId="119596D9" w14:textId="77777777" w:rsidR="00881780" w:rsidRPr="00A71C8E" w:rsidRDefault="00881780" w:rsidP="006F4D8F">
            <w:pPr>
              <w:spacing w:before="0" w:line="240" w:lineRule="auto"/>
              <w:jc w:val="right"/>
              <w:rPr>
                <w:sz w:val="18"/>
                <w:szCs w:val="18"/>
              </w:rPr>
            </w:pPr>
            <w:r w:rsidRPr="00A71C8E">
              <w:rPr>
                <w:sz w:val="18"/>
                <w:szCs w:val="18"/>
              </w:rPr>
              <w:t>67,3</w:t>
            </w:r>
          </w:p>
        </w:tc>
        <w:tc>
          <w:tcPr>
            <w:tcW w:w="278" w:type="pct"/>
            <w:noWrap/>
            <w:hideMark/>
          </w:tcPr>
          <w:p w14:paraId="32C8B782" w14:textId="77777777" w:rsidR="00881780" w:rsidRPr="00A71C8E" w:rsidRDefault="00881780" w:rsidP="006F4D8F">
            <w:pPr>
              <w:spacing w:before="0" w:line="240" w:lineRule="auto"/>
              <w:jc w:val="right"/>
              <w:rPr>
                <w:sz w:val="18"/>
                <w:szCs w:val="18"/>
              </w:rPr>
            </w:pPr>
            <w:r w:rsidRPr="00A71C8E">
              <w:rPr>
                <w:sz w:val="18"/>
                <w:szCs w:val="18"/>
              </w:rPr>
              <w:t>69,0</w:t>
            </w:r>
          </w:p>
        </w:tc>
        <w:tc>
          <w:tcPr>
            <w:tcW w:w="278" w:type="pct"/>
            <w:noWrap/>
            <w:hideMark/>
          </w:tcPr>
          <w:p w14:paraId="5934C44D" w14:textId="77777777" w:rsidR="00881780" w:rsidRPr="00A71C8E" w:rsidRDefault="00881780" w:rsidP="006F4D8F">
            <w:pPr>
              <w:spacing w:before="0" w:line="240" w:lineRule="auto"/>
              <w:jc w:val="right"/>
              <w:rPr>
                <w:sz w:val="18"/>
                <w:szCs w:val="18"/>
              </w:rPr>
            </w:pPr>
            <w:r w:rsidRPr="00A71C8E">
              <w:rPr>
                <w:sz w:val="18"/>
                <w:szCs w:val="18"/>
              </w:rPr>
              <w:t>71,1</w:t>
            </w:r>
          </w:p>
        </w:tc>
        <w:tc>
          <w:tcPr>
            <w:tcW w:w="279" w:type="pct"/>
            <w:noWrap/>
            <w:hideMark/>
          </w:tcPr>
          <w:p w14:paraId="585BA227" w14:textId="77777777" w:rsidR="00881780" w:rsidRPr="00A71C8E" w:rsidRDefault="00881780" w:rsidP="006F4D8F">
            <w:pPr>
              <w:spacing w:before="0" w:line="240" w:lineRule="auto"/>
              <w:jc w:val="right"/>
              <w:rPr>
                <w:sz w:val="18"/>
                <w:szCs w:val="18"/>
              </w:rPr>
            </w:pPr>
            <w:r w:rsidRPr="00A71C8E">
              <w:rPr>
                <w:sz w:val="18"/>
                <w:szCs w:val="18"/>
              </w:rPr>
              <w:t>72,9</w:t>
            </w:r>
          </w:p>
        </w:tc>
        <w:tc>
          <w:tcPr>
            <w:tcW w:w="279" w:type="pct"/>
            <w:noWrap/>
            <w:hideMark/>
          </w:tcPr>
          <w:p w14:paraId="4E688663" w14:textId="77777777" w:rsidR="00881780" w:rsidRPr="00A71C8E" w:rsidRDefault="00881780" w:rsidP="006F4D8F">
            <w:pPr>
              <w:spacing w:before="0" w:line="240" w:lineRule="auto"/>
              <w:jc w:val="right"/>
              <w:rPr>
                <w:sz w:val="18"/>
                <w:szCs w:val="18"/>
              </w:rPr>
            </w:pPr>
            <w:r w:rsidRPr="00A71C8E">
              <w:rPr>
                <w:sz w:val="18"/>
                <w:szCs w:val="18"/>
              </w:rPr>
              <w:t>74,9</w:t>
            </w:r>
          </w:p>
        </w:tc>
        <w:tc>
          <w:tcPr>
            <w:tcW w:w="279" w:type="pct"/>
            <w:noWrap/>
            <w:hideMark/>
          </w:tcPr>
          <w:p w14:paraId="1AF8641A" w14:textId="77777777" w:rsidR="00881780" w:rsidRPr="00A71C8E" w:rsidRDefault="00881780" w:rsidP="006F4D8F">
            <w:pPr>
              <w:spacing w:before="0" w:line="240" w:lineRule="auto"/>
              <w:jc w:val="right"/>
              <w:rPr>
                <w:sz w:val="18"/>
                <w:szCs w:val="18"/>
              </w:rPr>
            </w:pPr>
            <w:r w:rsidRPr="00A71C8E">
              <w:rPr>
                <w:sz w:val="18"/>
                <w:szCs w:val="18"/>
              </w:rPr>
              <w:t>73,0</w:t>
            </w:r>
          </w:p>
        </w:tc>
        <w:tc>
          <w:tcPr>
            <w:tcW w:w="279" w:type="pct"/>
            <w:shd w:val="clear" w:color="auto" w:fill="C6D9F1"/>
            <w:noWrap/>
            <w:hideMark/>
          </w:tcPr>
          <w:p w14:paraId="4624EEA5" w14:textId="77777777" w:rsidR="00881780" w:rsidRPr="00A71C8E" w:rsidRDefault="00881780" w:rsidP="006F4D8F">
            <w:pPr>
              <w:spacing w:before="0" w:line="240" w:lineRule="auto"/>
              <w:jc w:val="right"/>
              <w:rPr>
                <w:sz w:val="18"/>
                <w:szCs w:val="18"/>
              </w:rPr>
            </w:pPr>
            <w:r w:rsidRPr="00A71C8E">
              <w:rPr>
                <w:sz w:val="18"/>
                <w:szCs w:val="18"/>
              </w:rPr>
              <w:t>50,9</w:t>
            </w:r>
          </w:p>
        </w:tc>
        <w:tc>
          <w:tcPr>
            <w:tcW w:w="279" w:type="pct"/>
            <w:shd w:val="clear" w:color="auto" w:fill="C6D9F1"/>
            <w:noWrap/>
            <w:hideMark/>
          </w:tcPr>
          <w:p w14:paraId="11E4086F" w14:textId="77777777" w:rsidR="00881780" w:rsidRPr="00A71C8E" w:rsidRDefault="00881780" w:rsidP="006F4D8F">
            <w:pPr>
              <w:spacing w:before="0" w:line="240" w:lineRule="auto"/>
              <w:jc w:val="right"/>
              <w:rPr>
                <w:sz w:val="18"/>
                <w:szCs w:val="18"/>
              </w:rPr>
            </w:pPr>
            <w:r w:rsidRPr="00A71C8E">
              <w:rPr>
                <w:sz w:val="18"/>
                <w:szCs w:val="18"/>
              </w:rPr>
              <w:t>54,5</w:t>
            </w:r>
          </w:p>
        </w:tc>
        <w:tc>
          <w:tcPr>
            <w:tcW w:w="279" w:type="pct"/>
            <w:shd w:val="clear" w:color="auto" w:fill="C6D9F1"/>
            <w:noWrap/>
            <w:hideMark/>
          </w:tcPr>
          <w:p w14:paraId="742451A7" w14:textId="77777777" w:rsidR="00881780" w:rsidRPr="00A71C8E" w:rsidRDefault="00881780" w:rsidP="006F4D8F">
            <w:pPr>
              <w:spacing w:before="0" w:line="240" w:lineRule="auto"/>
              <w:jc w:val="right"/>
              <w:rPr>
                <w:sz w:val="18"/>
                <w:szCs w:val="18"/>
              </w:rPr>
            </w:pPr>
            <w:r w:rsidRPr="00A71C8E">
              <w:rPr>
                <w:sz w:val="18"/>
                <w:szCs w:val="18"/>
              </w:rPr>
              <w:t>56,1</w:t>
            </w:r>
          </w:p>
        </w:tc>
        <w:tc>
          <w:tcPr>
            <w:tcW w:w="279" w:type="pct"/>
            <w:shd w:val="clear" w:color="auto" w:fill="C6D9F1"/>
            <w:noWrap/>
            <w:hideMark/>
          </w:tcPr>
          <w:p w14:paraId="305D70E0" w14:textId="77777777" w:rsidR="00881780" w:rsidRPr="00A71C8E" w:rsidRDefault="00881780" w:rsidP="006F4D8F">
            <w:pPr>
              <w:spacing w:before="0" w:line="240" w:lineRule="auto"/>
              <w:jc w:val="right"/>
              <w:rPr>
                <w:sz w:val="18"/>
                <w:szCs w:val="18"/>
              </w:rPr>
            </w:pPr>
            <w:r w:rsidRPr="00A71C8E">
              <w:rPr>
                <w:sz w:val="18"/>
                <w:szCs w:val="18"/>
              </w:rPr>
              <w:t>54,5</w:t>
            </w:r>
          </w:p>
        </w:tc>
        <w:tc>
          <w:tcPr>
            <w:tcW w:w="279" w:type="pct"/>
            <w:shd w:val="clear" w:color="auto" w:fill="C6D9F1"/>
            <w:noWrap/>
            <w:hideMark/>
          </w:tcPr>
          <w:p w14:paraId="0BC008EF" w14:textId="77777777" w:rsidR="00881780" w:rsidRPr="00A71C8E" w:rsidRDefault="00881780" w:rsidP="006F4D8F">
            <w:pPr>
              <w:spacing w:before="0" w:line="240" w:lineRule="auto"/>
              <w:jc w:val="right"/>
              <w:rPr>
                <w:sz w:val="18"/>
                <w:szCs w:val="18"/>
              </w:rPr>
            </w:pPr>
            <w:r w:rsidRPr="00A71C8E">
              <w:rPr>
                <w:sz w:val="18"/>
                <w:szCs w:val="18"/>
              </w:rPr>
              <w:t>56,0</w:t>
            </w:r>
          </w:p>
        </w:tc>
        <w:tc>
          <w:tcPr>
            <w:tcW w:w="279" w:type="pct"/>
            <w:shd w:val="clear" w:color="auto" w:fill="C6D9F1"/>
            <w:noWrap/>
            <w:hideMark/>
          </w:tcPr>
          <w:p w14:paraId="61237E35" w14:textId="77777777" w:rsidR="00881780" w:rsidRPr="00A71C8E" w:rsidRDefault="00881780" w:rsidP="006F4D8F">
            <w:pPr>
              <w:spacing w:before="0" w:line="240" w:lineRule="auto"/>
              <w:jc w:val="right"/>
              <w:rPr>
                <w:sz w:val="18"/>
                <w:szCs w:val="18"/>
              </w:rPr>
            </w:pPr>
            <w:r w:rsidRPr="00A71C8E">
              <w:rPr>
                <w:sz w:val="18"/>
                <w:szCs w:val="18"/>
              </w:rPr>
              <w:t>57,4</w:t>
            </w:r>
          </w:p>
        </w:tc>
        <w:tc>
          <w:tcPr>
            <w:tcW w:w="276" w:type="pct"/>
            <w:shd w:val="clear" w:color="auto" w:fill="C6D9F1"/>
            <w:noWrap/>
            <w:hideMark/>
          </w:tcPr>
          <w:p w14:paraId="29AD98BD" w14:textId="77777777" w:rsidR="00881780" w:rsidRPr="00A71C8E" w:rsidRDefault="00881780" w:rsidP="006F4D8F">
            <w:pPr>
              <w:spacing w:before="0" w:line="240" w:lineRule="auto"/>
              <w:jc w:val="right"/>
              <w:rPr>
                <w:sz w:val="18"/>
                <w:szCs w:val="18"/>
              </w:rPr>
            </w:pPr>
            <w:r w:rsidRPr="00A71C8E">
              <w:rPr>
                <w:sz w:val="18"/>
                <w:szCs w:val="18"/>
              </w:rPr>
              <w:t>57,7</w:t>
            </w:r>
          </w:p>
        </w:tc>
      </w:tr>
      <w:tr w:rsidR="00881780" w:rsidRPr="00A71C8E" w14:paraId="6CE9D4E2" w14:textId="77777777" w:rsidTr="006F4D8F">
        <w:trPr>
          <w:trHeight w:val="300"/>
        </w:trPr>
        <w:tc>
          <w:tcPr>
            <w:tcW w:w="1105" w:type="pct"/>
            <w:noWrap/>
            <w:hideMark/>
          </w:tcPr>
          <w:p w14:paraId="5C306190" w14:textId="77777777" w:rsidR="00881780" w:rsidRPr="00A71C8E" w:rsidRDefault="00881780" w:rsidP="006F4D8F">
            <w:pPr>
              <w:spacing w:before="0" w:line="240" w:lineRule="auto"/>
              <w:rPr>
                <w:sz w:val="18"/>
                <w:szCs w:val="18"/>
              </w:rPr>
            </w:pPr>
            <w:r w:rsidRPr="00A71C8E">
              <w:rPr>
                <w:sz w:val="18"/>
                <w:szCs w:val="18"/>
              </w:rPr>
              <w:t>Wielkopolskie</w:t>
            </w:r>
          </w:p>
        </w:tc>
        <w:tc>
          <w:tcPr>
            <w:tcW w:w="274" w:type="pct"/>
            <w:noWrap/>
            <w:hideMark/>
          </w:tcPr>
          <w:p w14:paraId="471BC5C0" w14:textId="77777777" w:rsidR="00881780" w:rsidRPr="00A71C8E" w:rsidRDefault="00881780" w:rsidP="006F4D8F">
            <w:pPr>
              <w:spacing w:before="0" w:line="240" w:lineRule="auto"/>
              <w:jc w:val="right"/>
              <w:rPr>
                <w:sz w:val="18"/>
                <w:szCs w:val="18"/>
              </w:rPr>
            </w:pPr>
            <w:r w:rsidRPr="00A71C8E">
              <w:rPr>
                <w:sz w:val="18"/>
                <w:szCs w:val="18"/>
              </w:rPr>
              <w:t>76,5</w:t>
            </w:r>
          </w:p>
        </w:tc>
        <w:tc>
          <w:tcPr>
            <w:tcW w:w="278" w:type="pct"/>
            <w:noWrap/>
            <w:hideMark/>
          </w:tcPr>
          <w:p w14:paraId="0F7E3AEF" w14:textId="77777777" w:rsidR="00881780" w:rsidRPr="00A71C8E" w:rsidRDefault="00881780" w:rsidP="006F4D8F">
            <w:pPr>
              <w:spacing w:before="0" w:line="240" w:lineRule="auto"/>
              <w:jc w:val="right"/>
              <w:rPr>
                <w:sz w:val="18"/>
                <w:szCs w:val="18"/>
              </w:rPr>
            </w:pPr>
            <w:r w:rsidRPr="00A71C8E">
              <w:rPr>
                <w:sz w:val="18"/>
                <w:szCs w:val="18"/>
              </w:rPr>
              <w:t>78,4</w:t>
            </w:r>
          </w:p>
        </w:tc>
        <w:tc>
          <w:tcPr>
            <w:tcW w:w="278" w:type="pct"/>
            <w:noWrap/>
            <w:hideMark/>
          </w:tcPr>
          <w:p w14:paraId="78A790AD" w14:textId="77777777" w:rsidR="00881780" w:rsidRPr="00A71C8E" w:rsidRDefault="00881780" w:rsidP="006F4D8F">
            <w:pPr>
              <w:spacing w:before="0" w:line="240" w:lineRule="auto"/>
              <w:jc w:val="right"/>
              <w:rPr>
                <w:sz w:val="18"/>
                <w:szCs w:val="18"/>
              </w:rPr>
            </w:pPr>
            <w:r w:rsidRPr="00A71C8E">
              <w:rPr>
                <w:sz w:val="18"/>
                <w:szCs w:val="18"/>
              </w:rPr>
              <w:t>78,1</w:t>
            </w:r>
          </w:p>
        </w:tc>
        <w:tc>
          <w:tcPr>
            <w:tcW w:w="278" w:type="pct"/>
            <w:noWrap/>
            <w:hideMark/>
          </w:tcPr>
          <w:p w14:paraId="4F664358" w14:textId="77777777" w:rsidR="00881780" w:rsidRPr="00A71C8E" w:rsidRDefault="00881780" w:rsidP="006F4D8F">
            <w:pPr>
              <w:spacing w:before="0" w:line="240" w:lineRule="auto"/>
              <w:jc w:val="right"/>
              <w:rPr>
                <w:sz w:val="18"/>
                <w:szCs w:val="18"/>
              </w:rPr>
            </w:pPr>
            <w:r w:rsidRPr="00A71C8E">
              <w:rPr>
                <w:sz w:val="18"/>
                <w:szCs w:val="18"/>
              </w:rPr>
              <w:t>78,2</w:t>
            </w:r>
          </w:p>
        </w:tc>
        <w:tc>
          <w:tcPr>
            <w:tcW w:w="279" w:type="pct"/>
            <w:noWrap/>
            <w:hideMark/>
          </w:tcPr>
          <w:p w14:paraId="2132629C" w14:textId="77777777" w:rsidR="00881780" w:rsidRPr="00A71C8E" w:rsidRDefault="00881780" w:rsidP="006F4D8F">
            <w:pPr>
              <w:spacing w:before="0" w:line="240" w:lineRule="auto"/>
              <w:jc w:val="right"/>
              <w:rPr>
                <w:sz w:val="18"/>
                <w:szCs w:val="18"/>
              </w:rPr>
            </w:pPr>
            <w:r w:rsidRPr="00A71C8E">
              <w:rPr>
                <w:sz w:val="18"/>
                <w:szCs w:val="18"/>
              </w:rPr>
              <w:t>80,6</w:t>
            </w:r>
          </w:p>
        </w:tc>
        <w:tc>
          <w:tcPr>
            <w:tcW w:w="279" w:type="pct"/>
            <w:noWrap/>
            <w:hideMark/>
          </w:tcPr>
          <w:p w14:paraId="24FDB3C5" w14:textId="77777777" w:rsidR="00881780" w:rsidRPr="00A71C8E" w:rsidRDefault="00881780" w:rsidP="006F4D8F">
            <w:pPr>
              <w:spacing w:before="0" w:line="240" w:lineRule="auto"/>
              <w:jc w:val="right"/>
              <w:rPr>
                <w:sz w:val="18"/>
                <w:szCs w:val="18"/>
              </w:rPr>
            </w:pPr>
            <w:r w:rsidRPr="00A71C8E">
              <w:rPr>
                <w:sz w:val="18"/>
                <w:szCs w:val="18"/>
              </w:rPr>
              <w:t>82,0</w:t>
            </w:r>
          </w:p>
        </w:tc>
        <w:tc>
          <w:tcPr>
            <w:tcW w:w="279" w:type="pct"/>
            <w:noWrap/>
            <w:hideMark/>
          </w:tcPr>
          <w:p w14:paraId="33E64FC7" w14:textId="77777777" w:rsidR="00881780" w:rsidRPr="00A71C8E" w:rsidRDefault="00881780" w:rsidP="006F4D8F">
            <w:pPr>
              <w:spacing w:before="0" w:line="240" w:lineRule="auto"/>
              <w:jc w:val="right"/>
              <w:rPr>
                <w:sz w:val="18"/>
                <w:szCs w:val="18"/>
              </w:rPr>
            </w:pPr>
            <w:r w:rsidRPr="00A71C8E">
              <w:rPr>
                <w:sz w:val="18"/>
                <w:szCs w:val="18"/>
              </w:rPr>
              <w:t>84,2</w:t>
            </w:r>
          </w:p>
        </w:tc>
        <w:tc>
          <w:tcPr>
            <w:tcW w:w="279" w:type="pct"/>
            <w:shd w:val="clear" w:color="auto" w:fill="C6D9F1"/>
            <w:noWrap/>
            <w:hideMark/>
          </w:tcPr>
          <w:p w14:paraId="258F5C83" w14:textId="77777777" w:rsidR="00881780" w:rsidRPr="00A71C8E" w:rsidRDefault="00881780" w:rsidP="006F4D8F">
            <w:pPr>
              <w:spacing w:before="0" w:line="240" w:lineRule="auto"/>
              <w:jc w:val="right"/>
              <w:rPr>
                <w:sz w:val="18"/>
                <w:szCs w:val="18"/>
              </w:rPr>
            </w:pPr>
            <w:r w:rsidRPr="00A71C8E">
              <w:rPr>
                <w:sz w:val="18"/>
                <w:szCs w:val="18"/>
              </w:rPr>
              <w:t>56,6</w:t>
            </w:r>
          </w:p>
        </w:tc>
        <w:tc>
          <w:tcPr>
            <w:tcW w:w="279" w:type="pct"/>
            <w:shd w:val="clear" w:color="auto" w:fill="C6D9F1"/>
            <w:noWrap/>
            <w:hideMark/>
          </w:tcPr>
          <w:p w14:paraId="07DCD18E" w14:textId="77777777" w:rsidR="00881780" w:rsidRPr="00A71C8E" w:rsidRDefault="00881780" w:rsidP="006F4D8F">
            <w:pPr>
              <w:spacing w:before="0" w:line="240" w:lineRule="auto"/>
              <w:jc w:val="right"/>
              <w:rPr>
                <w:sz w:val="18"/>
                <w:szCs w:val="18"/>
              </w:rPr>
            </w:pPr>
            <w:r w:rsidRPr="00A71C8E">
              <w:rPr>
                <w:sz w:val="18"/>
                <w:szCs w:val="18"/>
              </w:rPr>
              <w:t>57,3</w:t>
            </w:r>
          </w:p>
        </w:tc>
        <w:tc>
          <w:tcPr>
            <w:tcW w:w="279" w:type="pct"/>
            <w:shd w:val="clear" w:color="auto" w:fill="C6D9F1"/>
            <w:noWrap/>
            <w:hideMark/>
          </w:tcPr>
          <w:p w14:paraId="3D5FDE65" w14:textId="77777777" w:rsidR="00881780" w:rsidRPr="00A71C8E" w:rsidRDefault="00881780" w:rsidP="006F4D8F">
            <w:pPr>
              <w:spacing w:before="0" w:line="240" w:lineRule="auto"/>
              <w:jc w:val="right"/>
              <w:rPr>
                <w:sz w:val="18"/>
                <w:szCs w:val="18"/>
              </w:rPr>
            </w:pPr>
            <w:r w:rsidRPr="00A71C8E">
              <w:rPr>
                <w:sz w:val="18"/>
                <w:szCs w:val="18"/>
              </w:rPr>
              <w:t>58,2</w:t>
            </w:r>
          </w:p>
        </w:tc>
        <w:tc>
          <w:tcPr>
            <w:tcW w:w="279" w:type="pct"/>
            <w:shd w:val="clear" w:color="auto" w:fill="C6D9F1"/>
            <w:noWrap/>
            <w:hideMark/>
          </w:tcPr>
          <w:p w14:paraId="21E3B02B" w14:textId="77777777" w:rsidR="00881780" w:rsidRPr="00A71C8E" w:rsidRDefault="00881780" w:rsidP="006F4D8F">
            <w:pPr>
              <w:spacing w:before="0" w:line="240" w:lineRule="auto"/>
              <w:jc w:val="right"/>
              <w:rPr>
                <w:sz w:val="18"/>
                <w:szCs w:val="18"/>
              </w:rPr>
            </w:pPr>
            <w:r w:rsidRPr="00A71C8E">
              <w:rPr>
                <w:sz w:val="18"/>
                <w:szCs w:val="18"/>
              </w:rPr>
              <w:t>61,4</w:t>
            </w:r>
          </w:p>
        </w:tc>
        <w:tc>
          <w:tcPr>
            <w:tcW w:w="279" w:type="pct"/>
            <w:shd w:val="clear" w:color="auto" w:fill="C6D9F1"/>
            <w:noWrap/>
            <w:hideMark/>
          </w:tcPr>
          <w:p w14:paraId="36EA358B" w14:textId="77777777" w:rsidR="00881780" w:rsidRPr="00A71C8E" w:rsidRDefault="00881780" w:rsidP="006F4D8F">
            <w:pPr>
              <w:spacing w:before="0" w:line="240" w:lineRule="auto"/>
              <w:jc w:val="right"/>
              <w:rPr>
                <w:sz w:val="18"/>
                <w:szCs w:val="18"/>
              </w:rPr>
            </w:pPr>
            <w:r w:rsidRPr="00A71C8E">
              <w:rPr>
                <w:sz w:val="18"/>
                <w:szCs w:val="18"/>
              </w:rPr>
              <w:t>62,7</w:t>
            </w:r>
          </w:p>
        </w:tc>
        <w:tc>
          <w:tcPr>
            <w:tcW w:w="279" w:type="pct"/>
            <w:shd w:val="clear" w:color="auto" w:fill="C6D9F1"/>
            <w:noWrap/>
            <w:hideMark/>
          </w:tcPr>
          <w:p w14:paraId="5214D9C1" w14:textId="77777777" w:rsidR="00881780" w:rsidRPr="00A71C8E" w:rsidRDefault="00881780" w:rsidP="006F4D8F">
            <w:pPr>
              <w:spacing w:before="0" w:line="240" w:lineRule="auto"/>
              <w:jc w:val="right"/>
              <w:rPr>
                <w:sz w:val="18"/>
                <w:szCs w:val="18"/>
              </w:rPr>
            </w:pPr>
            <w:r w:rsidRPr="00A71C8E">
              <w:rPr>
                <w:sz w:val="18"/>
                <w:szCs w:val="18"/>
              </w:rPr>
              <w:t>61,5</w:t>
            </w:r>
          </w:p>
        </w:tc>
        <w:tc>
          <w:tcPr>
            <w:tcW w:w="276" w:type="pct"/>
            <w:shd w:val="clear" w:color="auto" w:fill="C6D9F1"/>
            <w:noWrap/>
            <w:hideMark/>
          </w:tcPr>
          <w:p w14:paraId="04F2AD2A" w14:textId="77777777" w:rsidR="00881780" w:rsidRPr="00A71C8E" w:rsidRDefault="00881780" w:rsidP="006F4D8F">
            <w:pPr>
              <w:spacing w:before="0" w:line="240" w:lineRule="auto"/>
              <w:jc w:val="right"/>
              <w:rPr>
                <w:sz w:val="18"/>
                <w:szCs w:val="18"/>
              </w:rPr>
            </w:pPr>
            <w:r w:rsidRPr="00A71C8E">
              <w:rPr>
                <w:sz w:val="18"/>
                <w:szCs w:val="18"/>
              </w:rPr>
              <w:t>65,5</w:t>
            </w:r>
          </w:p>
        </w:tc>
      </w:tr>
      <w:tr w:rsidR="00881780" w:rsidRPr="00A71C8E" w14:paraId="480393FB" w14:textId="77777777" w:rsidTr="006F4D8F">
        <w:trPr>
          <w:trHeight w:val="300"/>
        </w:trPr>
        <w:tc>
          <w:tcPr>
            <w:tcW w:w="1105" w:type="pct"/>
            <w:noWrap/>
            <w:hideMark/>
          </w:tcPr>
          <w:p w14:paraId="6198DDE2" w14:textId="77777777" w:rsidR="00881780" w:rsidRPr="00A71C8E" w:rsidRDefault="00881780" w:rsidP="006F4D8F">
            <w:pPr>
              <w:spacing w:before="0" w:line="240" w:lineRule="auto"/>
              <w:rPr>
                <w:sz w:val="18"/>
                <w:szCs w:val="18"/>
              </w:rPr>
            </w:pPr>
            <w:r w:rsidRPr="00A71C8E">
              <w:rPr>
                <w:sz w:val="18"/>
                <w:szCs w:val="18"/>
              </w:rPr>
              <w:t>Zachodniopomorskie</w:t>
            </w:r>
          </w:p>
        </w:tc>
        <w:tc>
          <w:tcPr>
            <w:tcW w:w="274" w:type="pct"/>
            <w:noWrap/>
            <w:hideMark/>
          </w:tcPr>
          <w:p w14:paraId="408503A3" w14:textId="77777777" w:rsidR="00881780" w:rsidRPr="00A71C8E" w:rsidRDefault="00881780" w:rsidP="006F4D8F">
            <w:pPr>
              <w:spacing w:before="0" w:line="240" w:lineRule="auto"/>
              <w:jc w:val="right"/>
              <w:rPr>
                <w:sz w:val="18"/>
                <w:szCs w:val="18"/>
              </w:rPr>
            </w:pPr>
            <w:r w:rsidRPr="00A71C8E">
              <w:rPr>
                <w:sz w:val="18"/>
                <w:szCs w:val="18"/>
              </w:rPr>
              <w:t>67,3</w:t>
            </w:r>
          </w:p>
        </w:tc>
        <w:tc>
          <w:tcPr>
            <w:tcW w:w="278" w:type="pct"/>
            <w:noWrap/>
            <w:hideMark/>
          </w:tcPr>
          <w:p w14:paraId="49E96A91" w14:textId="77777777" w:rsidR="00881780" w:rsidRPr="00A71C8E" w:rsidRDefault="00881780" w:rsidP="006F4D8F">
            <w:pPr>
              <w:spacing w:before="0" w:line="240" w:lineRule="auto"/>
              <w:jc w:val="right"/>
              <w:rPr>
                <w:sz w:val="18"/>
                <w:szCs w:val="18"/>
              </w:rPr>
            </w:pPr>
            <w:r w:rsidRPr="00A71C8E">
              <w:rPr>
                <w:sz w:val="18"/>
                <w:szCs w:val="18"/>
              </w:rPr>
              <w:t>70,4</w:t>
            </w:r>
          </w:p>
        </w:tc>
        <w:tc>
          <w:tcPr>
            <w:tcW w:w="278" w:type="pct"/>
            <w:noWrap/>
            <w:hideMark/>
          </w:tcPr>
          <w:p w14:paraId="1AAA1B2A" w14:textId="77777777" w:rsidR="00881780" w:rsidRPr="00A71C8E" w:rsidRDefault="00881780" w:rsidP="006F4D8F">
            <w:pPr>
              <w:spacing w:before="0" w:line="240" w:lineRule="auto"/>
              <w:jc w:val="right"/>
              <w:rPr>
                <w:sz w:val="18"/>
                <w:szCs w:val="18"/>
              </w:rPr>
            </w:pPr>
            <w:r w:rsidRPr="00A71C8E">
              <w:rPr>
                <w:sz w:val="18"/>
                <w:szCs w:val="18"/>
              </w:rPr>
              <w:t>70,6</w:t>
            </w:r>
          </w:p>
        </w:tc>
        <w:tc>
          <w:tcPr>
            <w:tcW w:w="278" w:type="pct"/>
            <w:noWrap/>
            <w:hideMark/>
          </w:tcPr>
          <w:p w14:paraId="0AE0CF9C" w14:textId="77777777" w:rsidR="00881780" w:rsidRPr="00A71C8E" w:rsidRDefault="00881780" w:rsidP="006F4D8F">
            <w:pPr>
              <w:spacing w:before="0" w:line="240" w:lineRule="auto"/>
              <w:jc w:val="right"/>
              <w:rPr>
                <w:sz w:val="18"/>
                <w:szCs w:val="18"/>
              </w:rPr>
            </w:pPr>
            <w:r w:rsidRPr="00A71C8E">
              <w:rPr>
                <w:sz w:val="18"/>
                <w:szCs w:val="18"/>
              </w:rPr>
              <w:t>73,0</w:t>
            </w:r>
          </w:p>
        </w:tc>
        <w:tc>
          <w:tcPr>
            <w:tcW w:w="279" w:type="pct"/>
            <w:noWrap/>
            <w:hideMark/>
          </w:tcPr>
          <w:p w14:paraId="6D8953BC" w14:textId="77777777" w:rsidR="00881780" w:rsidRPr="00A71C8E" w:rsidRDefault="00881780" w:rsidP="006F4D8F">
            <w:pPr>
              <w:spacing w:before="0" w:line="240" w:lineRule="auto"/>
              <w:jc w:val="right"/>
              <w:rPr>
                <w:sz w:val="18"/>
                <w:szCs w:val="18"/>
              </w:rPr>
            </w:pPr>
            <w:r w:rsidRPr="00A71C8E">
              <w:rPr>
                <w:sz w:val="18"/>
                <w:szCs w:val="18"/>
              </w:rPr>
              <w:t>71,1</w:t>
            </w:r>
          </w:p>
        </w:tc>
        <w:tc>
          <w:tcPr>
            <w:tcW w:w="279" w:type="pct"/>
            <w:noWrap/>
            <w:hideMark/>
          </w:tcPr>
          <w:p w14:paraId="485E38C0" w14:textId="77777777" w:rsidR="00881780" w:rsidRPr="00A71C8E" w:rsidRDefault="00881780" w:rsidP="006F4D8F">
            <w:pPr>
              <w:spacing w:before="0" w:line="240" w:lineRule="auto"/>
              <w:jc w:val="right"/>
              <w:rPr>
                <w:sz w:val="18"/>
                <w:szCs w:val="18"/>
              </w:rPr>
            </w:pPr>
            <w:r w:rsidRPr="00A71C8E">
              <w:rPr>
                <w:sz w:val="18"/>
                <w:szCs w:val="18"/>
              </w:rPr>
              <w:t>76,0</w:t>
            </w:r>
          </w:p>
        </w:tc>
        <w:tc>
          <w:tcPr>
            <w:tcW w:w="279" w:type="pct"/>
            <w:noWrap/>
            <w:hideMark/>
          </w:tcPr>
          <w:p w14:paraId="61B3F57D" w14:textId="77777777" w:rsidR="00881780" w:rsidRPr="00A71C8E" w:rsidRDefault="00881780" w:rsidP="006F4D8F">
            <w:pPr>
              <w:spacing w:before="0" w:line="240" w:lineRule="auto"/>
              <w:jc w:val="right"/>
              <w:rPr>
                <w:sz w:val="18"/>
                <w:szCs w:val="18"/>
              </w:rPr>
            </w:pPr>
            <w:r w:rsidRPr="00A71C8E">
              <w:rPr>
                <w:sz w:val="18"/>
                <w:szCs w:val="18"/>
              </w:rPr>
              <w:t>80,9</w:t>
            </w:r>
          </w:p>
        </w:tc>
        <w:tc>
          <w:tcPr>
            <w:tcW w:w="279" w:type="pct"/>
            <w:shd w:val="clear" w:color="auto" w:fill="C6D9F1"/>
            <w:noWrap/>
            <w:hideMark/>
          </w:tcPr>
          <w:p w14:paraId="4FDDB126" w14:textId="77777777" w:rsidR="00881780" w:rsidRPr="00A71C8E" w:rsidRDefault="00881780" w:rsidP="006F4D8F">
            <w:pPr>
              <w:spacing w:before="0" w:line="240" w:lineRule="auto"/>
              <w:jc w:val="right"/>
              <w:rPr>
                <w:sz w:val="18"/>
                <w:szCs w:val="18"/>
              </w:rPr>
            </w:pPr>
            <w:r w:rsidRPr="00A71C8E">
              <w:rPr>
                <w:sz w:val="18"/>
                <w:szCs w:val="18"/>
              </w:rPr>
              <w:t>52,7</w:t>
            </w:r>
          </w:p>
        </w:tc>
        <w:tc>
          <w:tcPr>
            <w:tcW w:w="279" w:type="pct"/>
            <w:shd w:val="clear" w:color="auto" w:fill="C6D9F1"/>
            <w:noWrap/>
            <w:hideMark/>
          </w:tcPr>
          <w:p w14:paraId="06E1D87F" w14:textId="77777777" w:rsidR="00881780" w:rsidRPr="00A71C8E" w:rsidRDefault="00881780" w:rsidP="006F4D8F">
            <w:pPr>
              <w:spacing w:before="0" w:line="240" w:lineRule="auto"/>
              <w:jc w:val="right"/>
              <w:rPr>
                <w:sz w:val="18"/>
                <w:szCs w:val="18"/>
              </w:rPr>
            </w:pPr>
            <w:r w:rsidRPr="00A71C8E">
              <w:rPr>
                <w:sz w:val="18"/>
                <w:szCs w:val="18"/>
              </w:rPr>
              <w:t>55,3</w:t>
            </w:r>
          </w:p>
        </w:tc>
        <w:tc>
          <w:tcPr>
            <w:tcW w:w="279" w:type="pct"/>
            <w:shd w:val="clear" w:color="auto" w:fill="C6D9F1"/>
            <w:noWrap/>
            <w:hideMark/>
          </w:tcPr>
          <w:p w14:paraId="213B43E0" w14:textId="77777777" w:rsidR="00881780" w:rsidRPr="00A71C8E" w:rsidRDefault="00881780" w:rsidP="006F4D8F">
            <w:pPr>
              <w:spacing w:before="0" w:line="240" w:lineRule="auto"/>
              <w:jc w:val="right"/>
              <w:rPr>
                <w:sz w:val="18"/>
                <w:szCs w:val="18"/>
              </w:rPr>
            </w:pPr>
            <w:r w:rsidRPr="00A71C8E">
              <w:rPr>
                <w:sz w:val="18"/>
                <w:szCs w:val="18"/>
              </w:rPr>
              <w:t>57,3</w:t>
            </w:r>
          </w:p>
        </w:tc>
        <w:tc>
          <w:tcPr>
            <w:tcW w:w="279" w:type="pct"/>
            <w:shd w:val="clear" w:color="auto" w:fill="C6D9F1"/>
            <w:noWrap/>
            <w:hideMark/>
          </w:tcPr>
          <w:p w14:paraId="79A7A3A4" w14:textId="77777777" w:rsidR="00881780" w:rsidRPr="00A71C8E" w:rsidRDefault="00881780" w:rsidP="006F4D8F">
            <w:pPr>
              <w:spacing w:before="0" w:line="240" w:lineRule="auto"/>
              <w:jc w:val="right"/>
              <w:rPr>
                <w:sz w:val="18"/>
                <w:szCs w:val="18"/>
              </w:rPr>
            </w:pPr>
            <w:r w:rsidRPr="00A71C8E">
              <w:rPr>
                <w:sz w:val="18"/>
                <w:szCs w:val="18"/>
              </w:rPr>
              <w:t>56,8</w:t>
            </w:r>
          </w:p>
        </w:tc>
        <w:tc>
          <w:tcPr>
            <w:tcW w:w="279" w:type="pct"/>
            <w:shd w:val="clear" w:color="auto" w:fill="C6D9F1"/>
            <w:noWrap/>
            <w:hideMark/>
          </w:tcPr>
          <w:p w14:paraId="2F3DBE6B" w14:textId="77777777" w:rsidR="00881780" w:rsidRPr="00A71C8E" w:rsidRDefault="00881780" w:rsidP="006F4D8F">
            <w:pPr>
              <w:spacing w:before="0" w:line="240" w:lineRule="auto"/>
              <w:jc w:val="right"/>
              <w:rPr>
                <w:sz w:val="18"/>
                <w:szCs w:val="18"/>
              </w:rPr>
            </w:pPr>
            <w:r w:rsidRPr="00A71C8E">
              <w:rPr>
                <w:sz w:val="18"/>
                <w:szCs w:val="18"/>
              </w:rPr>
              <w:t>58,5</w:t>
            </w:r>
          </w:p>
        </w:tc>
        <w:tc>
          <w:tcPr>
            <w:tcW w:w="279" w:type="pct"/>
            <w:shd w:val="clear" w:color="auto" w:fill="C6D9F1"/>
            <w:noWrap/>
            <w:hideMark/>
          </w:tcPr>
          <w:p w14:paraId="6EBEE1D0" w14:textId="77777777" w:rsidR="00881780" w:rsidRPr="00A71C8E" w:rsidRDefault="00881780" w:rsidP="006F4D8F">
            <w:pPr>
              <w:spacing w:before="0" w:line="240" w:lineRule="auto"/>
              <w:jc w:val="right"/>
              <w:rPr>
                <w:sz w:val="18"/>
                <w:szCs w:val="18"/>
              </w:rPr>
            </w:pPr>
            <w:r w:rsidRPr="00A71C8E">
              <w:rPr>
                <w:sz w:val="18"/>
                <w:szCs w:val="18"/>
              </w:rPr>
              <w:t>62,4</w:t>
            </w:r>
          </w:p>
        </w:tc>
        <w:tc>
          <w:tcPr>
            <w:tcW w:w="276" w:type="pct"/>
            <w:shd w:val="clear" w:color="auto" w:fill="C6D9F1"/>
            <w:noWrap/>
            <w:hideMark/>
          </w:tcPr>
          <w:p w14:paraId="2BE9EBB0" w14:textId="77777777" w:rsidR="00881780" w:rsidRPr="00A71C8E" w:rsidRDefault="00881780" w:rsidP="006F4D8F">
            <w:pPr>
              <w:spacing w:before="0" w:line="240" w:lineRule="auto"/>
              <w:jc w:val="right"/>
              <w:rPr>
                <w:sz w:val="18"/>
                <w:szCs w:val="18"/>
              </w:rPr>
            </w:pPr>
            <w:r w:rsidRPr="00A71C8E">
              <w:rPr>
                <w:sz w:val="18"/>
                <w:szCs w:val="18"/>
              </w:rPr>
              <w:t>63,2</w:t>
            </w:r>
          </w:p>
        </w:tc>
      </w:tr>
    </w:tbl>
    <w:p w14:paraId="4A7372D0" w14:textId="40D49205" w:rsidR="005A06CB" w:rsidRPr="00EE66C6" w:rsidRDefault="00881780" w:rsidP="005A06CB">
      <w:pPr>
        <w:spacing w:before="0"/>
        <w:rPr>
          <w:i/>
          <w:sz w:val="18"/>
          <w:szCs w:val="20"/>
        </w:rPr>
      </w:pPr>
      <w:r w:rsidRPr="00EE66C6">
        <w:rPr>
          <w:i/>
          <w:sz w:val="18"/>
          <w:szCs w:val="20"/>
        </w:rPr>
        <w:t>Źródło: opracowanie własne na podstawie danych BDL/GUS</w:t>
      </w:r>
      <w:r w:rsidR="005A06CB" w:rsidRPr="00EE66C6">
        <w:rPr>
          <w:i/>
          <w:sz w:val="18"/>
          <w:szCs w:val="20"/>
        </w:rPr>
        <w:t>.</w:t>
      </w:r>
    </w:p>
    <w:p w14:paraId="5650F31E" w14:textId="77777777" w:rsidR="00881780" w:rsidRPr="003575C0" w:rsidRDefault="00881780" w:rsidP="00881780">
      <w:pPr>
        <w:autoSpaceDE w:val="0"/>
        <w:autoSpaceDN w:val="0"/>
        <w:adjustRightInd w:val="0"/>
        <w:spacing w:line="276" w:lineRule="auto"/>
        <w:rPr>
          <w:rFonts w:cs="Arial"/>
          <w:bCs/>
          <w:szCs w:val="20"/>
        </w:rPr>
      </w:pPr>
      <w:r w:rsidRPr="003575C0">
        <w:rPr>
          <w:rFonts w:cs="Arial"/>
          <w:bCs/>
          <w:szCs w:val="20"/>
        </w:rPr>
        <w:t xml:space="preserve">W świetle zaprezentowanych danych należy </w:t>
      </w:r>
      <w:r>
        <w:rPr>
          <w:rFonts w:cs="Arial"/>
          <w:bCs/>
          <w:szCs w:val="20"/>
        </w:rPr>
        <w:t>kontynuować działania polegające na</w:t>
      </w:r>
      <w:r w:rsidRPr="003575C0">
        <w:rPr>
          <w:rFonts w:cs="Arial"/>
          <w:bCs/>
          <w:szCs w:val="20"/>
        </w:rPr>
        <w:t xml:space="preserve"> zapewnieni</w:t>
      </w:r>
      <w:r>
        <w:rPr>
          <w:rFonts w:cs="Arial"/>
          <w:bCs/>
          <w:szCs w:val="20"/>
        </w:rPr>
        <w:t>u</w:t>
      </w:r>
      <w:r w:rsidRPr="003575C0">
        <w:rPr>
          <w:rFonts w:cs="Arial"/>
          <w:bCs/>
          <w:szCs w:val="20"/>
        </w:rPr>
        <w:t xml:space="preserve"> </w:t>
      </w:r>
      <w:r>
        <w:rPr>
          <w:rFonts w:cs="Arial"/>
          <w:bCs/>
          <w:szCs w:val="20"/>
        </w:rPr>
        <w:t>zintegrowanego</w:t>
      </w:r>
      <w:r w:rsidRPr="003575C0">
        <w:rPr>
          <w:rFonts w:cs="Arial"/>
          <w:bCs/>
          <w:szCs w:val="20"/>
        </w:rPr>
        <w:t xml:space="preserve"> wsparcia</w:t>
      </w:r>
      <w:r w:rsidR="00E66B89">
        <w:rPr>
          <w:rFonts w:cs="Arial"/>
          <w:bCs/>
          <w:szCs w:val="20"/>
        </w:rPr>
        <w:t xml:space="preserve"> w </w:t>
      </w:r>
      <w:r>
        <w:rPr>
          <w:rFonts w:cs="Arial"/>
          <w:bCs/>
          <w:szCs w:val="20"/>
        </w:rPr>
        <w:t xml:space="preserve">zakresie opieki nad osobami zależnymi, </w:t>
      </w:r>
      <w:r w:rsidRPr="003575C0">
        <w:rPr>
          <w:rFonts w:cs="Arial"/>
          <w:bCs/>
          <w:szCs w:val="20"/>
        </w:rPr>
        <w:t>poprzez utworzenie</w:t>
      </w:r>
      <w:r w:rsidR="00E66B89">
        <w:rPr>
          <w:rFonts w:cs="Arial"/>
          <w:bCs/>
          <w:szCs w:val="20"/>
        </w:rPr>
        <w:t xml:space="preserve"> w </w:t>
      </w:r>
      <w:r>
        <w:rPr>
          <w:rFonts w:cs="Arial"/>
          <w:bCs/>
          <w:szCs w:val="20"/>
        </w:rPr>
        <w:t xml:space="preserve">regionie </w:t>
      </w:r>
      <w:r w:rsidRPr="003575C0">
        <w:rPr>
          <w:rFonts w:cs="Arial"/>
          <w:bCs/>
          <w:szCs w:val="20"/>
        </w:rPr>
        <w:t>miejsc opieki nad dziećmi</w:t>
      </w:r>
      <w:r w:rsidR="00E66B89">
        <w:rPr>
          <w:rFonts w:cs="Arial"/>
          <w:bCs/>
          <w:szCs w:val="20"/>
        </w:rPr>
        <w:t xml:space="preserve"> w </w:t>
      </w:r>
      <w:r w:rsidRPr="003575C0">
        <w:rPr>
          <w:rFonts w:cs="Arial"/>
          <w:bCs/>
          <w:szCs w:val="20"/>
        </w:rPr>
        <w:t xml:space="preserve">wieku do lat 3 oraz </w:t>
      </w:r>
      <w:r>
        <w:rPr>
          <w:rFonts w:cs="Arial"/>
          <w:bCs/>
          <w:szCs w:val="20"/>
        </w:rPr>
        <w:t>realizację</w:t>
      </w:r>
      <w:r w:rsidRPr="003575C0">
        <w:rPr>
          <w:rFonts w:cs="Arial"/>
          <w:bCs/>
          <w:szCs w:val="20"/>
        </w:rPr>
        <w:t xml:space="preserve"> działań aktywizujących zawodowo osoby sprawujące opiekę nad dziećmi.</w:t>
      </w:r>
    </w:p>
    <w:p w14:paraId="6162E2BE" w14:textId="08D502B0" w:rsidR="005A06CB" w:rsidRPr="005A06CB" w:rsidRDefault="00881780" w:rsidP="005A06CB">
      <w:pPr>
        <w:autoSpaceDE w:val="0"/>
        <w:autoSpaceDN w:val="0"/>
        <w:adjustRightInd w:val="0"/>
        <w:spacing w:line="276" w:lineRule="auto"/>
        <w:rPr>
          <w:rFonts w:cs="Arial"/>
          <w:bCs/>
          <w:szCs w:val="20"/>
        </w:rPr>
      </w:pPr>
      <w:r w:rsidRPr="003575C0">
        <w:rPr>
          <w:rFonts w:cs="Arial"/>
          <w:bCs/>
          <w:szCs w:val="20"/>
        </w:rPr>
        <w:t>Województwo zachodniopomorskie należało</w:t>
      </w:r>
      <w:r>
        <w:rPr>
          <w:rFonts w:cs="Arial"/>
          <w:bCs/>
          <w:szCs w:val="20"/>
        </w:rPr>
        <w:t>/ należy</w:t>
      </w:r>
      <w:r w:rsidRPr="003575C0">
        <w:rPr>
          <w:rFonts w:cs="Arial"/>
          <w:bCs/>
          <w:szCs w:val="20"/>
        </w:rPr>
        <w:t xml:space="preserve"> do obszarów</w:t>
      </w:r>
      <w:r w:rsidR="00E66B89">
        <w:rPr>
          <w:rFonts w:cs="Arial"/>
          <w:bCs/>
          <w:szCs w:val="20"/>
        </w:rPr>
        <w:t xml:space="preserve"> z </w:t>
      </w:r>
      <w:r w:rsidRPr="003575C0">
        <w:rPr>
          <w:rFonts w:cs="Arial"/>
          <w:bCs/>
          <w:szCs w:val="20"/>
        </w:rPr>
        <w:t>nasileniem problemów demograficznych związanych</w:t>
      </w:r>
      <w:r w:rsidR="00E66B89">
        <w:rPr>
          <w:rFonts w:cs="Arial"/>
          <w:bCs/>
          <w:szCs w:val="20"/>
        </w:rPr>
        <w:t xml:space="preserve"> z </w:t>
      </w:r>
      <w:r w:rsidRPr="003575C0">
        <w:rPr>
          <w:rFonts w:cs="Arial"/>
          <w:bCs/>
          <w:szCs w:val="20"/>
        </w:rPr>
        <w:t>procesem starzenia się ludności</w:t>
      </w:r>
      <w:r w:rsidR="00E66B89">
        <w:rPr>
          <w:rFonts w:cs="Arial"/>
          <w:bCs/>
          <w:szCs w:val="20"/>
        </w:rPr>
        <w:t xml:space="preserve"> w </w:t>
      </w:r>
      <w:r w:rsidRPr="003575C0">
        <w:rPr>
          <w:rFonts w:cs="Arial"/>
          <w:bCs/>
          <w:szCs w:val="20"/>
        </w:rPr>
        <w:t>regionie, zmniejszaniem się liczby osób</w:t>
      </w:r>
      <w:r w:rsidR="00E66B89">
        <w:rPr>
          <w:rFonts w:cs="Arial"/>
          <w:bCs/>
          <w:szCs w:val="20"/>
        </w:rPr>
        <w:t xml:space="preserve"> w </w:t>
      </w:r>
      <w:r w:rsidRPr="003575C0">
        <w:rPr>
          <w:rFonts w:cs="Arial"/>
          <w:bCs/>
          <w:szCs w:val="20"/>
        </w:rPr>
        <w:t>wieku przedprodukcyjnym</w:t>
      </w:r>
      <w:r w:rsidR="00E66B89">
        <w:rPr>
          <w:rFonts w:cs="Arial"/>
          <w:bCs/>
          <w:szCs w:val="20"/>
        </w:rPr>
        <w:t xml:space="preserve"> i </w:t>
      </w:r>
      <w:r w:rsidRPr="003575C0">
        <w:rPr>
          <w:rFonts w:cs="Arial"/>
          <w:bCs/>
          <w:szCs w:val="20"/>
        </w:rPr>
        <w:t>wzrostem</w:t>
      </w:r>
      <w:r w:rsidR="00E66B89">
        <w:rPr>
          <w:rFonts w:cs="Arial"/>
          <w:bCs/>
          <w:szCs w:val="20"/>
        </w:rPr>
        <w:t xml:space="preserve"> w </w:t>
      </w:r>
      <w:r w:rsidRPr="003575C0">
        <w:rPr>
          <w:rFonts w:cs="Arial"/>
          <w:bCs/>
          <w:szCs w:val="20"/>
        </w:rPr>
        <w:t>wieku poprodukcyjnym.</w:t>
      </w:r>
      <w:r w:rsidR="00E66B89">
        <w:rPr>
          <w:rFonts w:cs="Arial"/>
          <w:bCs/>
          <w:szCs w:val="20"/>
        </w:rPr>
        <w:t xml:space="preserve"> W </w:t>
      </w:r>
      <w:r w:rsidRPr="003575C0">
        <w:rPr>
          <w:rFonts w:cs="Arial"/>
          <w:bCs/>
          <w:szCs w:val="20"/>
        </w:rPr>
        <w:t>regionie notuje się jeden</w:t>
      </w:r>
      <w:r w:rsidR="00E66B89">
        <w:rPr>
          <w:rFonts w:cs="Arial"/>
          <w:bCs/>
          <w:szCs w:val="20"/>
        </w:rPr>
        <w:t xml:space="preserve"> z </w:t>
      </w:r>
      <w:r w:rsidRPr="003575C0">
        <w:rPr>
          <w:rFonts w:cs="Arial"/>
          <w:bCs/>
          <w:szCs w:val="20"/>
        </w:rPr>
        <w:t>najniższych</w:t>
      </w:r>
      <w:r w:rsidR="00E66B89">
        <w:rPr>
          <w:rFonts w:cs="Arial"/>
          <w:bCs/>
          <w:szCs w:val="20"/>
        </w:rPr>
        <w:t xml:space="preserve"> w </w:t>
      </w:r>
      <w:r w:rsidRPr="003575C0">
        <w:rPr>
          <w:rFonts w:cs="Arial"/>
          <w:bCs/>
          <w:szCs w:val="20"/>
        </w:rPr>
        <w:t>kraju wynik</w:t>
      </w:r>
      <w:r w:rsidR="00E66B89">
        <w:rPr>
          <w:rFonts w:cs="Arial"/>
          <w:bCs/>
          <w:szCs w:val="20"/>
        </w:rPr>
        <w:t xml:space="preserve"> w </w:t>
      </w:r>
      <w:r w:rsidRPr="003575C0">
        <w:rPr>
          <w:rFonts w:cs="Arial"/>
          <w:bCs/>
          <w:szCs w:val="20"/>
        </w:rPr>
        <w:t>zakresie odsetka ludności</w:t>
      </w:r>
      <w:r w:rsidR="00E66B89">
        <w:rPr>
          <w:rFonts w:cs="Arial"/>
          <w:bCs/>
          <w:szCs w:val="20"/>
        </w:rPr>
        <w:t xml:space="preserve"> w </w:t>
      </w:r>
      <w:r w:rsidRPr="003575C0">
        <w:rPr>
          <w:rFonts w:cs="Arial"/>
          <w:bCs/>
          <w:szCs w:val="20"/>
        </w:rPr>
        <w:t>wieku przedprodukcyjnym oraz jeden</w:t>
      </w:r>
      <w:r w:rsidR="00E66B89">
        <w:rPr>
          <w:rFonts w:cs="Arial"/>
          <w:bCs/>
          <w:szCs w:val="20"/>
        </w:rPr>
        <w:t xml:space="preserve"> z </w:t>
      </w:r>
      <w:r w:rsidRPr="003575C0">
        <w:rPr>
          <w:rFonts w:cs="Arial"/>
          <w:bCs/>
          <w:szCs w:val="20"/>
        </w:rPr>
        <w:t>wyższych</w:t>
      </w:r>
      <w:r w:rsidR="00E66B89">
        <w:rPr>
          <w:rFonts w:cs="Arial"/>
          <w:bCs/>
          <w:szCs w:val="20"/>
        </w:rPr>
        <w:t xml:space="preserve"> w </w:t>
      </w:r>
      <w:r w:rsidRPr="003575C0">
        <w:rPr>
          <w:rFonts w:cs="Arial"/>
          <w:bCs/>
          <w:szCs w:val="20"/>
        </w:rPr>
        <w:t>zakresie odsetka ludności</w:t>
      </w:r>
      <w:r w:rsidR="00E66B89">
        <w:rPr>
          <w:rFonts w:cs="Arial"/>
          <w:bCs/>
          <w:szCs w:val="20"/>
        </w:rPr>
        <w:t xml:space="preserve"> w </w:t>
      </w:r>
      <w:r w:rsidRPr="003575C0">
        <w:rPr>
          <w:rFonts w:cs="Arial"/>
          <w:bCs/>
          <w:szCs w:val="20"/>
        </w:rPr>
        <w:t>wieku poprodukcyjnym. Zmiany obserwowane</w:t>
      </w:r>
      <w:r w:rsidR="00E66B89">
        <w:rPr>
          <w:rFonts w:cs="Arial"/>
          <w:bCs/>
          <w:szCs w:val="20"/>
        </w:rPr>
        <w:t xml:space="preserve"> w </w:t>
      </w:r>
      <w:r w:rsidRPr="003575C0">
        <w:rPr>
          <w:rFonts w:cs="Arial"/>
          <w:bCs/>
          <w:szCs w:val="20"/>
        </w:rPr>
        <w:t>regionie</w:t>
      </w:r>
      <w:r w:rsidR="00E66B89">
        <w:rPr>
          <w:rFonts w:cs="Arial"/>
          <w:bCs/>
          <w:szCs w:val="20"/>
        </w:rPr>
        <w:t xml:space="preserve"> w </w:t>
      </w:r>
      <w:r w:rsidRPr="003575C0">
        <w:rPr>
          <w:rFonts w:cs="Arial"/>
          <w:bCs/>
          <w:szCs w:val="20"/>
        </w:rPr>
        <w:t>strukturze wieku grup ekonomicznych ludności mogą mieć poważne konsekwencje dla rozwoju gospodarczego regionu</w:t>
      </w:r>
      <w:r w:rsidR="00E66B89">
        <w:rPr>
          <w:rFonts w:cs="Arial"/>
          <w:bCs/>
          <w:szCs w:val="20"/>
        </w:rPr>
        <w:t xml:space="preserve"> w </w:t>
      </w:r>
      <w:r w:rsidRPr="003575C0">
        <w:rPr>
          <w:rFonts w:cs="Arial"/>
          <w:bCs/>
          <w:szCs w:val="20"/>
        </w:rPr>
        <w:t>szczególności związane</w:t>
      </w:r>
      <w:r w:rsidR="00E66B89">
        <w:rPr>
          <w:rFonts w:cs="Arial"/>
          <w:bCs/>
          <w:szCs w:val="20"/>
        </w:rPr>
        <w:t xml:space="preserve"> z </w:t>
      </w:r>
      <w:bookmarkStart w:id="214" w:name="_Toc3896855"/>
      <w:r w:rsidR="005A06CB">
        <w:rPr>
          <w:rFonts w:cs="Arial"/>
          <w:bCs/>
          <w:szCs w:val="20"/>
        </w:rPr>
        <w:t>ograniczaniem zasobów pracy.</w:t>
      </w:r>
    </w:p>
    <w:p w14:paraId="59E6428C" w14:textId="77777777" w:rsidR="00881780" w:rsidRPr="00432E11" w:rsidRDefault="00881780" w:rsidP="00754ED4">
      <w:pPr>
        <w:pStyle w:val="Legenda"/>
        <w:spacing w:after="0"/>
      </w:pPr>
      <w:bookmarkStart w:id="215" w:name="_Toc8824215"/>
      <w:r w:rsidRPr="00432E11">
        <w:t xml:space="preserve">Tabela </w:t>
      </w:r>
      <w:r>
        <w:fldChar w:fldCharType="begin"/>
      </w:r>
      <w:r>
        <w:instrText xml:space="preserve"> SEQ Tabela \* ARABIC </w:instrText>
      </w:r>
      <w:r>
        <w:fldChar w:fldCharType="separate"/>
      </w:r>
      <w:r w:rsidR="00763345">
        <w:rPr>
          <w:noProof/>
        </w:rPr>
        <w:t>104</w:t>
      </w:r>
      <w:r>
        <w:fldChar w:fldCharType="end"/>
      </w:r>
      <w:r w:rsidRPr="00432E11">
        <w:t xml:space="preserve"> Udział ludności wg ekonomicznych grup wieku</w:t>
      </w:r>
      <w:r w:rsidR="00E66B89">
        <w:t xml:space="preserve"> w </w:t>
      </w:r>
      <w:r w:rsidRPr="00432E11">
        <w:t>% ludności ogółem; Polska</w:t>
      </w:r>
      <w:r w:rsidR="00E66B89">
        <w:t xml:space="preserve"> i </w:t>
      </w:r>
      <w:r w:rsidRPr="00432E11">
        <w:t>województwa</w:t>
      </w:r>
      <w:bookmarkEnd w:id="214"/>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472"/>
        <w:gridCol w:w="472"/>
        <w:gridCol w:w="471"/>
        <w:gridCol w:w="471"/>
        <w:gridCol w:w="475"/>
        <w:gridCol w:w="480"/>
        <w:gridCol w:w="471"/>
        <w:gridCol w:w="471"/>
        <w:gridCol w:w="475"/>
        <w:gridCol w:w="471"/>
        <w:gridCol w:w="471"/>
        <w:gridCol w:w="471"/>
        <w:gridCol w:w="471"/>
        <w:gridCol w:w="473"/>
        <w:gridCol w:w="471"/>
        <w:gridCol w:w="471"/>
        <w:gridCol w:w="471"/>
        <w:gridCol w:w="468"/>
      </w:tblGrid>
      <w:tr w:rsidR="00881780" w:rsidRPr="00A71C8E" w14:paraId="5B9DA291" w14:textId="77777777" w:rsidTr="00C22C26">
        <w:trPr>
          <w:trHeight w:val="300"/>
          <w:tblHeader/>
        </w:trPr>
        <w:tc>
          <w:tcPr>
            <w:tcW w:w="312" w:type="pct"/>
            <w:shd w:val="clear" w:color="auto" w:fill="auto"/>
            <w:vAlign w:val="center"/>
          </w:tcPr>
          <w:p w14:paraId="7193CF4C" w14:textId="77777777" w:rsidR="00881780" w:rsidRPr="00A71C8E" w:rsidRDefault="00881780" w:rsidP="006F4D8F">
            <w:pPr>
              <w:spacing w:before="0" w:line="240" w:lineRule="auto"/>
              <w:jc w:val="left"/>
              <w:rPr>
                <w:color w:val="000000"/>
                <w:sz w:val="18"/>
                <w:szCs w:val="18"/>
              </w:rPr>
            </w:pPr>
            <w:r w:rsidRPr="00A71C8E">
              <w:rPr>
                <w:color w:val="000000"/>
                <w:sz w:val="18"/>
                <w:szCs w:val="18"/>
              </w:rPr>
              <w:t>Grupa</w:t>
            </w:r>
          </w:p>
        </w:tc>
        <w:tc>
          <w:tcPr>
            <w:tcW w:w="1567" w:type="pct"/>
            <w:gridSpan w:val="6"/>
            <w:shd w:val="clear" w:color="auto" w:fill="auto"/>
            <w:vAlign w:val="center"/>
          </w:tcPr>
          <w:p w14:paraId="4E8479AA"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w wieku przedprodukcyjnym</w:t>
            </w:r>
          </w:p>
        </w:tc>
        <w:tc>
          <w:tcPr>
            <w:tcW w:w="1561" w:type="pct"/>
            <w:gridSpan w:val="6"/>
            <w:shd w:val="clear" w:color="auto" w:fill="auto"/>
            <w:vAlign w:val="center"/>
          </w:tcPr>
          <w:p w14:paraId="4B3C4DB1"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w wieku produkcyjnym</w:t>
            </w:r>
          </w:p>
        </w:tc>
        <w:tc>
          <w:tcPr>
            <w:tcW w:w="1559" w:type="pct"/>
            <w:gridSpan w:val="6"/>
            <w:shd w:val="clear" w:color="auto" w:fill="auto"/>
            <w:vAlign w:val="center"/>
          </w:tcPr>
          <w:p w14:paraId="637D5E75" w14:textId="77777777" w:rsidR="00881780" w:rsidRPr="00A71C8E" w:rsidRDefault="00881780" w:rsidP="006F4D8F">
            <w:pPr>
              <w:spacing w:before="0" w:line="240" w:lineRule="auto"/>
              <w:jc w:val="left"/>
              <w:rPr>
                <w:b/>
                <w:color w:val="000000"/>
                <w:sz w:val="18"/>
                <w:szCs w:val="18"/>
              </w:rPr>
            </w:pPr>
            <w:r w:rsidRPr="00A71C8E">
              <w:rPr>
                <w:b/>
                <w:color w:val="000000"/>
                <w:sz w:val="18"/>
                <w:szCs w:val="18"/>
              </w:rPr>
              <w:t>w wieku poprodukcyjnym</w:t>
            </w:r>
          </w:p>
        </w:tc>
      </w:tr>
      <w:tr w:rsidR="00881780" w:rsidRPr="00A71C8E" w14:paraId="42C02F69" w14:textId="77777777" w:rsidTr="00C22C26">
        <w:trPr>
          <w:trHeight w:val="300"/>
          <w:tblHeader/>
        </w:trPr>
        <w:tc>
          <w:tcPr>
            <w:tcW w:w="312" w:type="pct"/>
            <w:shd w:val="clear" w:color="auto" w:fill="auto"/>
            <w:vAlign w:val="center"/>
          </w:tcPr>
          <w:p w14:paraId="49727C60" w14:textId="77777777" w:rsidR="00881780" w:rsidRPr="00A71C8E" w:rsidRDefault="00881780" w:rsidP="006F4D8F">
            <w:pPr>
              <w:spacing w:before="0" w:line="240" w:lineRule="auto"/>
              <w:jc w:val="left"/>
              <w:rPr>
                <w:color w:val="000000"/>
                <w:sz w:val="18"/>
                <w:szCs w:val="18"/>
              </w:rPr>
            </w:pPr>
            <w:r w:rsidRPr="00A71C8E">
              <w:rPr>
                <w:color w:val="000000"/>
                <w:sz w:val="18"/>
                <w:szCs w:val="18"/>
              </w:rPr>
              <w:t>Rok</w:t>
            </w:r>
          </w:p>
        </w:tc>
        <w:tc>
          <w:tcPr>
            <w:tcW w:w="260" w:type="pct"/>
            <w:shd w:val="clear" w:color="auto" w:fill="auto"/>
            <w:vAlign w:val="center"/>
          </w:tcPr>
          <w:p w14:paraId="481A57B3"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2012</w:t>
            </w:r>
          </w:p>
        </w:tc>
        <w:tc>
          <w:tcPr>
            <w:tcW w:w="260" w:type="pct"/>
            <w:shd w:val="clear" w:color="auto" w:fill="auto"/>
            <w:vAlign w:val="center"/>
          </w:tcPr>
          <w:p w14:paraId="35A34C4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2013</w:t>
            </w:r>
          </w:p>
        </w:tc>
        <w:tc>
          <w:tcPr>
            <w:tcW w:w="260" w:type="pct"/>
            <w:shd w:val="clear" w:color="auto" w:fill="auto"/>
            <w:vAlign w:val="center"/>
          </w:tcPr>
          <w:p w14:paraId="54B279B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2014</w:t>
            </w:r>
          </w:p>
        </w:tc>
        <w:tc>
          <w:tcPr>
            <w:tcW w:w="260" w:type="pct"/>
            <w:shd w:val="clear" w:color="auto" w:fill="auto"/>
            <w:vAlign w:val="center"/>
          </w:tcPr>
          <w:p w14:paraId="5DF347B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2015</w:t>
            </w:r>
          </w:p>
        </w:tc>
        <w:tc>
          <w:tcPr>
            <w:tcW w:w="262" w:type="pct"/>
            <w:shd w:val="clear" w:color="auto" w:fill="auto"/>
            <w:vAlign w:val="center"/>
          </w:tcPr>
          <w:p w14:paraId="59138EE6"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2016</w:t>
            </w:r>
          </w:p>
        </w:tc>
        <w:tc>
          <w:tcPr>
            <w:tcW w:w="264" w:type="pct"/>
            <w:shd w:val="clear" w:color="auto" w:fill="auto"/>
            <w:vAlign w:val="center"/>
          </w:tcPr>
          <w:p w14:paraId="5E5DEFB6"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2017</w:t>
            </w:r>
          </w:p>
        </w:tc>
        <w:tc>
          <w:tcPr>
            <w:tcW w:w="260" w:type="pct"/>
            <w:shd w:val="clear" w:color="auto" w:fill="auto"/>
            <w:vAlign w:val="center"/>
          </w:tcPr>
          <w:p w14:paraId="54C1F102"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2012</w:t>
            </w:r>
          </w:p>
        </w:tc>
        <w:tc>
          <w:tcPr>
            <w:tcW w:w="260" w:type="pct"/>
            <w:shd w:val="clear" w:color="auto" w:fill="auto"/>
            <w:vAlign w:val="center"/>
          </w:tcPr>
          <w:p w14:paraId="2F47B60A"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2013</w:t>
            </w:r>
          </w:p>
        </w:tc>
        <w:tc>
          <w:tcPr>
            <w:tcW w:w="262" w:type="pct"/>
            <w:shd w:val="clear" w:color="auto" w:fill="auto"/>
            <w:vAlign w:val="center"/>
          </w:tcPr>
          <w:p w14:paraId="6D1F6F1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2014</w:t>
            </w:r>
          </w:p>
        </w:tc>
        <w:tc>
          <w:tcPr>
            <w:tcW w:w="260" w:type="pct"/>
            <w:shd w:val="clear" w:color="auto" w:fill="auto"/>
            <w:vAlign w:val="center"/>
          </w:tcPr>
          <w:p w14:paraId="69F53D1C"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2015</w:t>
            </w:r>
          </w:p>
        </w:tc>
        <w:tc>
          <w:tcPr>
            <w:tcW w:w="260" w:type="pct"/>
            <w:shd w:val="clear" w:color="auto" w:fill="auto"/>
            <w:vAlign w:val="center"/>
          </w:tcPr>
          <w:p w14:paraId="00365C47"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2016</w:t>
            </w:r>
          </w:p>
        </w:tc>
        <w:tc>
          <w:tcPr>
            <w:tcW w:w="260" w:type="pct"/>
            <w:shd w:val="clear" w:color="auto" w:fill="auto"/>
            <w:vAlign w:val="center"/>
          </w:tcPr>
          <w:p w14:paraId="407EC1FF"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2017</w:t>
            </w:r>
          </w:p>
        </w:tc>
        <w:tc>
          <w:tcPr>
            <w:tcW w:w="260" w:type="pct"/>
            <w:shd w:val="clear" w:color="auto" w:fill="auto"/>
            <w:vAlign w:val="center"/>
          </w:tcPr>
          <w:p w14:paraId="59E521F0"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2012</w:t>
            </w:r>
          </w:p>
        </w:tc>
        <w:tc>
          <w:tcPr>
            <w:tcW w:w="261" w:type="pct"/>
            <w:shd w:val="clear" w:color="auto" w:fill="auto"/>
            <w:vAlign w:val="center"/>
          </w:tcPr>
          <w:p w14:paraId="4653D54B"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2013</w:t>
            </w:r>
          </w:p>
        </w:tc>
        <w:tc>
          <w:tcPr>
            <w:tcW w:w="260" w:type="pct"/>
            <w:shd w:val="clear" w:color="auto" w:fill="auto"/>
            <w:vAlign w:val="center"/>
          </w:tcPr>
          <w:p w14:paraId="192A87AC"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2014</w:t>
            </w:r>
          </w:p>
        </w:tc>
        <w:tc>
          <w:tcPr>
            <w:tcW w:w="260" w:type="pct"/>
            <w:shd w:val="clear" w:color="auto" w:fill="auto"/>
            <w:vAlign w:val="center"/>
          </w:tcPr>
          <w:p w14:paraId="0FA39AC4"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2015</w:t>
            </w:r>
          </w:p>
        </w:tc>
        <w:tc>
          <w:tcPr>
            <w:tcW w:w="260" w:type="pct"/>
            <w:shd w:val="clear" w:color="auto" w:fill="auto"/>
            <w:vAlign w:val="center"/>
          </w:tcPr>
          <w:p w14:paraId="12751D69"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2016</w:t>
            </w:r>
          </w:p>
        </w:tc>
        <w:tc>
          <w:tcPr>
            <w:tcW w:w="259" w:type="pct"/>
            <w:shd w:val="clear" w:color="auto" w:fill="auto"/>
            <w:vAlign w:val="center"/>
          </w:tcPr>
          <w:p w14:paraId="31F5EE35" w14:textId="77777777" w:rsidR="00881780" w:rsidRPr="00A71C8E" w:rsidRDefault="00881780" w:rsidP="006F4D8F">
            <w:pPr>
              <w:spacing w:before="0" w:line="240" w:lineRule="auto"/>
              <w:jc w:val="left"/>
              <w:rPr>
                <w:color w:val="000000"/>
                <w:sz w:val="18"/>
                <w:szCs w:val="18"/>
              </w:rPr>
            </w:pPr>
            <w:r w:rsidRPr="00A71C8E">
              <w:rPr>
                <w:color w:val="000000"/>
                <w:sz w:val="18"/>
                <w:szCs w:val="18"/>
              </w:rPr>
              <w:t>2017</w:t>
            </w:r>
          </w:p>
        </w:tc>
      </w:tr>
      <w:tr w:rsidR="00881780" w:rsidRPr="00A71C8E" w14:paraId="2A8BC623" w14:textId="77777777" w:rsidTr="006F4D8F">
        <w:trPr>
          <w:trHeight w:val="300"/>
        </w:trPr>
        <w:tc>
          <w:tcPr>
            <w:tcW w:w="312" w:type="pct"/>
            <w:noWrap/>
            <w:hideMark/>
          </w:tcPr>
          <w:p w14:paraId="61E7A5E9" w14:textId="77777777" w:rsidR="00881780" w:rsidRPr="00A71C8E" w:rsidRDefault="00881780" w:rsidP="006F4D8F">
            <w:pPr>
              <w:spacing w:before="0" w:line="240" w:lineRule="auto"/>
              <w:jc w:val="left"/>
              <w:rPr>
                <w:sz w:val="18"/>
                <w:szCs w:val="18"/>
              </w:rPr>
            </w:pPr>
          </w:p>
        </w:tc>
        <w:tc>
          <w:tcPr>
            <w:tcW w:w="260" w:type="pct"/>
            <w:shd w:val="clear" w:color="auto" w:fill="C6D9F1"/>
            <w:noWrap/>
            <w:hideMark/>
          </w:tcPr>
          <w:p w14:paraId="0ED4C286"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C6D9F1"/>
            <w:noWrap/>
            <w:hideMark/>
          </w:tcPr>
          <w:p w14:paraId="13375138"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C6D9F1"/>
            <w:noWrap/>
            <w:hideMark/>
          </w:tcPr>
          <w:p w14:paraId="4C339035"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C6D9F1"/>
            <w:noWrap/>
            <w:hideMark/>
          </w:tcPr>
          <w:p w14:paraId="71302A4D"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2" w:type="pct"/>
            <w:shd w:val="clear" w:color="auto" w:fill="C6D9F1"/>
            <w:noWrap/>
            <w:hideMark/>
          </w:tcPr>
          <w:p w14:paraId="5FD3BF23"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4" w:type="pct"/>
            <w:shd w:val="clear" w:color="auto" w:fill="C6D9F1"/>
            <w:noWrap/>
            <w:hideMark/>
          </w:tcPr>
          <w:p w14:paraId="59588299"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BE5F1"/>
            <w:noWrap/>
            <w:hideMark/>
          </w:tcPr>
          <w:p w14:paraId="3396FC1A"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BE5F1"/>
            <w:noWrap/>
            <w:hideMark/>
          </w:tcPr>
          <w:p w14:paraId="42524717"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2" w:type="pct"/>
            <w:shd w:val="clear" w:color="auto" w:fill="DBE5F1"/>
            <w:noWrap/>
            <w:hideMark/>
          </w:tcPr>
          <w:p w14:paraId="697E086E"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BE5F1"/>
            <w:noWrap/>
            <w:hideMark/>
          </w:tcPr>
          <w:p w14:paraId="2316645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BE5F1"/>
            <w:noWrap/>
            <w:hideMark/>
          </w:tcPr>
          <w:p w14:paraId="2D1330AC"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BE5F1"/>
            <w:noWrap/>
            <w:hideMark/>
          </w:tcPr>
          <w:p w14:paraId="543F07A1"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9D9D9"/>
            <w:noWrap/>
            <w:hideMark/>
          </w:tcPr>
          <w:p w14:paraId="1114A0D4"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1" w:type="pct"/>
            <w:shd w:val="clear" w:color="auto" w:fill="D9D9D9"/>
            <w:noWrap/>
            <w:hideMark/>
          </w:tcPr>
          <w:p w14:paraId="5F6AA9B9"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9D9D9"/>
            <w:noWrap/>
            <w:hideMark/>
          </w:tcPr>
          <w:p w14:paraId="19FE0DB4"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9D9D9"/>
            <w:noWrap/>
            <w:hideMark/>
          </w:tcPr>
          <w:p w14:paraId="426070A8"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60" w:type="pct"/>
            <w:shd w:val="clear" w:color="auto" w:fill="D9D9D9"/>
            <w:noWrap/>
            <w:hideMark/>
          </w:tcPr>
          <w:p w14:paraId="08CEB4B3"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c>
          <w:tcPr>
            <w:tcW w:w="259" w:type="pct"/>
            <w:shd w:val="clear" w:color="auto" w:fill="D9D9D9"/>
            <w:noWrap/>
            <w:hideMark/>
          </w:tcPr>
          <w:p w14:paraId="7CF6FE6E" w14:textId="77777777" w:rsidR="00881780" w:rsidRPr="00A71C8E" w:rsidRDefault="00881780" w:rsidP="006F4D8F">
            <w:pPr>
              <w:spacing w:before="0" w:line="240" w:lineRule="auto"/>
              <w:jc w:val="left"/>
              <w:rPr>
                <w:color w:val="000000"/>
                <w:sz w:val="18"/>
                <w:szCs w:val="18"/>
              </w:rPr>
            </w:pPr>
            <w:r w:rsidRPr="00A71C8E">
              <w:rPr>
                <w:color w:val="000000"/>
                <w:sz w:val="18"/>
                <w:szCs w:val="18"/>
              </w:rPr>
              <w:t>[%]</w:t>
            </w:r>
          </w:p>
        </w:tc>
      </w:tr>
      <w:tr w:rsidR="00881780" w:rsidRPr="00A71C8E" w14:paraId="5BE17BBF" w14:textId="77777777" w:rsidTr="006F4D8F">
        <w:trPr>
          <w:trHeight w:val="300"/>
        </w:trPr>
        <w:tc>
          <w:tcPr>
            <w:tcW w:w="312" w:type="pct"/>
            <w:noWrap/>
          </w:tcPr>
          <w:p w14:paraId="4F3CF013" w14:textId="77777777" w:rsidR="00881780" w:rsidRPr="00A71C8E" w:rsidRDefault="00881780" w:rsidP="006F4D8F">
            <w:pPr>
              <w:spacing w:before="0" w:line="240" w:lineRule="auto"/>
              <w:jc w:val="left"/>
              <w:rPr>
                <w:sz w:val="18"/>
                <w:szCs w:val="18"/>
              </w:rPr>
            </w:pPr>
            <w:r w:rsidRPr="00A71C8E">
              <w:rPr>
                <w:sz w:val="18"/>
                <w:szCs w:val="18"/>
              </w:rPr>
              <w:t>Polska</w:t>
            </w:r>
          </w:p>
        </w:tc>
        <w:tc>
          <w:tcPr>
            <w:tcW w:w="260" w:type="pct"/>
            <w:shd w:val="clear" w:color="auto" w:fill="C6D9F1"/>
            <w:noWrap/>
          </w:tcPr>
          <w:p w14:paraId="6FD2EE0E" w14:textId="77777777" w:rsidR="00881780" w:rsidRPr="00A71C8E" w:rsidRDefault="00881780" w:rsidP="006F4D8F">
            <w:pPr>
              <w:spacing w:before="0" w:line="240" w:lineRule="auto"/>
              <w:jc w:val="left"/>
              <w:rPr>
                <w:sz w:val="18"/>
                <w:szCs w:val="18"/>
              </w:rPr>
            </w:pPr>
            <w:r w:rsidRPr="00A71C8E">
              <w:rPr>
                <w:sz w:val="18"/>
                <w:szCs w:val="18"/>
              </w:rPr>
              <w:t>18,3</w:t>
            </w:r>
          </w:p>
        </w:tc>
        <w:tc>
          <w:tcPr>
            <w:tcW w:w="260" w:type="pct"/>
            <w:shd w:val="clear" w:color="auto" w:fill="C6D9F1"/>
            <w:noWrap/>
          </w:tcPr>
          <w:p w14:paraId="0A03712C" w14:textId="77777777" w:rsidR="00881780" w:rsidRPr="00A71C8E" w:rsidRDefault="00881780" w:rsidP="006F4D8F">
            <w:pPr>
              <w:spacing w:before="0" w:line="240" w:lineRule="auto"/>
              <w:jc w:val="left"/>
              <w:rPr>
                <w:sz w:val="18"/>
                <w:szCs w:val="18"/>
              </w:rPr>
            </w:pPr>
            <w:r w:rsidRPr="00A71C8E">
              <w:rPr>
                <w:sz w:val="18"/>
                <w:szCs w:val="18"/>
              </w:rPr>
              <w:t>18,2</w:t>
            </w:r>
          </w:p>
        </w:tc>
        <w:tc>
          <w:tcPr>
            <w:tcW w:w="260" w:type="pct"/>
            <w:shd w:val="clear" w:color="auto" w:fill="C6D9F1"/>
            <w:noWrap/>
          </w:tcPr>
          <w:p w14:paraId="41194F9E" w14:textId="77777777" w:rsidR="00881780" w:rsidRPr="00A71C8E" w:rsidRDefault="00881780" w:rsidP="006F4D8F">
            <w:pPr>
              <w:spacing w:before="0" w:line="240" w:lineRule="auto"/>
              <w:jc w:val="left"/>
              <w:rPr>
                <w:sz w:val="18"/>
                <w:szCs w:val="18"/>
              </w:rPr>
            </w:pPr>
            <w:r w:rsidRPr="00A71C8E">
              <w:rPr>
                <w:sz w:val="18"/>
                <w:szCs w:val="18"/>
              </w:rPr>
              <w:t>18,0</w:t>
            </w:r>
          </w:p>
        </w:tc>
        <w:tc>
          <w:tcPr>
            <w:tcW w:w="260" w:type="pct"/>
            <w:shd w:val="clear" w:color="auto" w:fill="C6D9F1"/>
            <w:noWrap/>
          </w:tcPr>
          <w:p w14:paraId="031047CE" w14:textId="77777777" w:rsidR="00881780" w:rsidRPr="00A71C8E" w:rsidRDefault="00881780" w:rsidP="006F4D8F">
            <w:pPr>
              <w:spacing w:before="0" w:line="240" w:lineRule="auto"/>
              <w:jc w:val="left"/>
              <w:rPr>
                <w:sz w:val="18"/>
                <w:szCs w:val="18"/>
              </w:rPr>
            </w:pPr>
            <w:r w:rsidRPr="00A71C8E">
              <w:rPr>
                <w:sz w:val="18"/>
                <w:szCs w:val="18"/>
              </w:rPr>
              <w:t>18,0</w:t>
            </w:r>
          </w:p>
        </w:tc>
        <w:tc>
          <w:tcPr>
            <w:tcW w:w="262" w:type="pct"/>
            <w:shd w:val="clear" w:color="auto" w:fill="C6D9F1"/>
            <w:noWrap/>
          </w:tcPr>
          <w:p w14:paraId="229F506D" w14:textId="77777777" w:rsidR="00881780" w:rsidRPr="00A71C8E" w:rsidRDefault="00881780" w:rsidP="006F4D8F">
            <w:pPr>
              <w:spacing w:before="0" w:line="240" w:lineRule="auto"/>
              <w:jc w:val="left"/>
              <w:rPr>
                <w:sz w:val="18"/>
                <w:szCs w:val="18"/>
              </w:rPr>
            </w:pPr>
            <w:r w:rsidRPr="00A71C8E">
              <w:rPr>
                <w:sz w:val="18"/>
                <w:szCs w:val="18"/>
              </w:rPr>
              <w:t>17,9</w:t>
            </w:r>
          </w:p>
        </w:tc>
        <w:tc>
          <w:tcPr>
            <w:tcW w:w="264" w:type="pct"/>
            <w:shd w:val="clear" w:color="auto" w:fill="C6D9F1"/>
            <w:noWrap/>
          </w:tcPr>
          <w:p w14:paraId="54DD2DFB" w14:textId="77777777" w:rsidR="00881780" w:rsidRPr="00A71C8E" w:rsidRDefault="00881780" w:rsidP="006F4D8F">
            <w:pPr>
              <w:spacing w:before="0" w:line="240" w:lineRule="auto"/>
              <w:jc w:val="left"/>
              <w:rPr>
                <w:sz w:val="18"/>
                <w:szCs w:val="18"/>
              </w:rPr>
            </w:pPr>
            <w:r w:rsidRPr="00A71C8E">
              <w:rPr>
                <w:sz w:val="18"/>
                <w:szCs w:val="18"/>
              </w:rPr>
              <w:t>18,0</w:t>
            </w:r>
          </w:p>
        </w:tc>
        <w:tc>
          <w:tcPr>
            <w:tcW w:w="260" w:type="pct"/>
            <w:shd w:val="clear" w:color="auto" w:fill="DBE5F1"/>
            <w:noWrap/>
          </w:tcPr>
          <w:p w14:paraId="4439D27F" w14:textId="77777777" w:rsidR="00881780" w:rsidRPr="00A71C8E" w:rsidRDefault="00881780" w:rsidP="006F4D8F">
            <w:pPr>
              <w:spacing w:before="0" w:line="240" w:lineRule="auto"/>
              <w:jc w:val="left"/>
              <w:rPr>
                <w:sz w:val="18"/>
                <w:szCs w:val="18"/>
              </w:rPr>
            </w:pPr>
            <w:r w:rsidRPr="00A71C8E">
              <w:rPr>
                <w:sz w:val="18"/>
                <w:szCs w:val="18"/>
              </w:rPr>
              <w:t>63,9</w:t>
            </w:r>
          </w:p>
        </w:tc>
        <w:tc>
          <w:tcPr>
            <w:tcW w:w="260" w:type="pct"/>
            <w:shd w:val="clear" w:color="auto" w:fill="DBE5F1"/>
            <w:noWrap/>
          </w:tcPr>
          <w:p w14:paraId="794D2395" w14:textId="77777777" w:rsidR="00881780" w:rsidRPr="00A71C8E" w:rsidRDefault="00881780" w:rsidP="006F4D8F">
            <w:pPr>
              <w:spacing w:before="0" w:line="240" w:lineRule="auto"/>
              <w:jc w:val="left"/>
              <w:rPr>
                <w:sz w:val="18"/>
                <w:szCs w:val="18"/>
              </w:rPr>
            </w:pPr>
            <w:r w:rsidRPr="00A71C8E">
              <w:rPr>
                <w:sz w:val="18"/>
                <w:szCs w:val="18"/>
              </w:rPr>
              <w:t>63,4</w:t>
            </w:r>
          </w:p>
        </w:tc>
        <w:tc>
          <w:tcPr>
            <w:tcW w:w="262" w:type="pct"/>
            <w:shd w:val="clear" w:color="auto" w:fill="DBE5F1"/>
            <w:noWrap/>
          </w:tcPr>
          <w:p w14:paraId="1F5AF5FB" w14:textId="77777777" w:rsidR="00881780" w:rsidRPr="00A71C8E" w:rsidRDefault="00881780" w:rsidP="006F4D8F">
            <w:pPr>
              <w:spacing w:before="0" w:line="240" w:lineRule="auto"/>
              <w:jc w:val="left"/>
              <w:rPr>
                <w:sz w:val="18"/>
                <w:szCs w:val="18"/>
              </w:rPr>
            </w:pPr>
            <w:r w:rsidRPr="00A71C8E">
              <w:rPr>
                <w:sz w:val="18"/>
                <w:szCs w:val="18"/>
              </w:rPr>
              <w:t>63,0</w:t>
            </w:r>
          </w:p>
        </w:tc>
        <w:tc>
          <w:tcPr>
            <w:tcW w:w="260" w:type="pct"/>
            <w:shd w:val="clear" w:color="auto" w:fill="DBE5F1"/>
            <w:noWrap/>
          </w:tcPr>
          <w:p w14:paraId="7F9B528E" w14:textId="77777777" w:rsidR="00881780" w:rsidRPr="00A71C8E" w:rsidRDefault="00881780" w:rsidP="006F4D8F">
            <w:pPr>
              <w:spacing w:before="0" w:line="240" w:lineRule="auto"/>
              <w:jc w:val="left"/>
              <w:rPr>
                <w:sz w:val="18"/>
                <w:szCs w:val="18"/>
              </w:rPr>
            </w:pPr>
            <w:r w:rsidRPr="00A71C8E">
              <w:rPr>
                <w:sz w:val="18"/>
                <w:szCs w:val="18"/>
              </w:rPr>
              <w:t>62,4</w:t>
            </w:r>
          </w:p>
        </w:tc>
        <w:tc>
          <w:tcPr>
            <w:tcW w:w="260" w:type="pct"/>
            <w:shd w:val="clear" w:color="auto" w:fill="DBE5F1"/>
            <w:noWrap/>
          </w:tcPr>
          <w:p w14:paraId="04BB1085" w14:textId="77777777" w:rsidR="00881780" w:rsidRPr="00A71C8E" w:rsidRDefault="00881780" w:rsidP="006F4D8F">
            <w:pPr>
              <w:spacing w:before="0" w:line="240" w:lineRule="auto"/>
              <w:jc w:val="left"/>
              <w:rPr>
                <w:sz w:val="18"/>
                <w:szCs w:val="18"/>
              </w:rPr>
            </w:pPr>
            <w:r w:rsidRPr="00A71C8E">
              <w:rPr>
                <w:sz w:val="18"/>
                <w:szCs w:val="18"/>
              </w:rPr>
              <w:t>61,8</w:t>
            </w:r>
          </w:p>
        </w:tc>
        <w:tc>
          <w:tcPr>
            <w:tcW w:w="260" w:type="pct"/>
            <w:shd w:val="clear" w:color="auto" w:fill="DBE5F1"/>
            <w:noWrap/>
          </w:tcPr>
          <w:p w14:paraId="17756668" w14:textId="77777777" w:rsidR="00881780" w:rsidRPr="00A71C8E" w:rsidRDefault="00881780" w:rsidP="006F4D8F">
            <w:pPr>
              <w:spacing w:before="0" w:line="240" w:lineRule="auto"/>
              <w:jc w:val="left"/>
              <w:rPr>
                <w:sz w:val="18"/>
                <w:szCs w:val="18"/>
              </w:rPr>
            </w:pPr>
            <w:r w:rsidRPr="00A71C8E">
              <w:rPr>
                <w:sz w:val="18"/>
                <w:szCs w:val="18"/>
              </w:rPr>
              <w:t>61,2</w:t>
            </w:r>
          </w:p>
        </w:tc>
        <w:tc>
          <w:tcPr>
            <w:tcW w:w="260" w:type="pct"/>
            <w:shd w:val="clear" w:color="auto" w:fill="D9D9D9"/>
            <w:noWrap/>
          </w:tcPr>
          <w:p w14:paraId="0DE65E14" w14:textId="77777777" w:rsidR="00881780" w:rsidRPr="00A71C8E" w:rsidRDefault="00881780" w:rsidP="006F4D8F">
            <w:pPr>
              <w:spacing w:before="0" w:line="240" w:lineRule="auto"/>
              <w:jc w:val="left"/>
              <w:rPr>
                <w:sz w:val="18"/>
                <w:szCs w:val="18"/>
              </w:rPr>
            </w:pPr>
            <w:r w:rsidRPr="00A71C8E">
              <w:rPr>
                <w:sz w:val="18"/>
                <w:szCs w:val="18"/>
              </w:rPr>
              <w:t>17,8</w:t>
            </w:r>
          </w:p>
        </w:tc>
        <w:tc>
          <w:tcPr>
            <w:tcW w:w="261" w:type="pct"/>
            <w:shd w:val="clear" w:color="auto" w:fill="D9D9D9"/>
            <w:noWrap/>
          </w:tcPr>
          <w:p w14:paraId="59B3E4E1" w14:textId="77777777" w:rsidR="00881780" w:rsidRPr="00A71C8E" w:rsidRDefault="00881780" w:rsidP="006F4D8F">
            <w:pPr>
              <w:spacing w:before="0" w:line="240" w:lineRule="auto"/>
              <w:jc w:val="left"/>
              <w:rPr>
                <w:sz w:val="18"/>
                <w:szCs w:val="18"/>
              </w:rPr>
            </w:pPr>
            <w:r w:rsidRPr="00A71C8E">
              <w:rPr>
                <w:sz w:val="18"/>
                <w:szCs w:val="18"/>
              </w:rPr>
              <w:t>18,4</w:t>
            </w:r>
          </w:p>
        </w:tc>
        <w:tc>
          <w:tcPr>
            <w:tcW w:w="260" w:type="pct"/>
            <w:shd w:val="clear" w:color="auto" w:fill="D9D9D9"/>
            <w:noWrap/>
          </w:tcPr>
          <w:p w14:paraId="65606DBE"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D9D9D9"/>
            <w:noWrap/>
          </w:tcPr>
          <w:p w14:paraId="3F5F0257" w14:textId="77777777" w:rsidR="00881780" w:rsidRPr="00A71C8E" w:rsidRDefault="00881780" w:rsidP="006F4D8F">
            <w:pPr>
              <w:spacing w:before="0" w:line="240" w:lineRule="auto"/>
              <w:jc w:val="left"/>
              <w:rPr>
                <w:sz w:val="18"/>
                <w:szCs w:val="18"/>
              </w:rPr>
            </w:pPr>
            <w:r w:rsidRPr="00A71C8E">
              <w:rPr>
                <w:sz w:val="18"/>
                <w:szCs w:val="18"/>
              </w:rPr>
              <w:t>19,6</w:t>
            </w:r>
          </w:p>
        </w:tc>
        <w:tc>
          <w:tcPr>
            <w:tcW w:w="260" w:type="pct"/>
            <w:shd w:val="clear" w:color="auto" w:fill="D9D9D9"/>
            <w:noWrap/>
          </w:tcPr>
          <w:p w14:paraId="3AE9A829" w14:textId="77777777" w:rsidR="00881780" w:rsidRPr="00A71C8E" w:rsidRDefault="00881780" w:rsidP="006F4D8F">
            <w:pPr>
              <w:spacing w:before="0" w:line="240" w:lineRule="auto"/>
              <w:jc w:val="left"/>
              <w:rPr>
                <w:sz w:val="18"/>
                <w:szCs w:val="18"/>
              </w:rPr>
            </w:pPr>
            <w:r w:rsidRPr="00A71C8E">
              <w:rPr>
                <w:sz w:val="18"/>
                <w:szCs w:val="18"/>
              </w:rPr>
              <w:t>20,2</w:t>
            </w:r>
          </w:p>
        </w:tc>
        <w:tc>
          <w:tcPr>
            <w:tcW w:w="259" w:type="pct"/>
            <w:shd w:val="clear" w:color="auto" w:fill="D9D9D9"/>
            <w:noWrap/>
          </w:tcPr>
          <w:p w14:paraId="30E4FD98" w14:textId="77777777" w:rsidR="00881780" w:rsidRPr="00A71C8E" w:rsidRDefault="00881780" w:rsidP="006F4D8F">
            <w:pPr>
              <w:spacing w:before="0" w:line="240" w:lineRule="auto"/>
              <w:jc w:val="left"/>
              <w:rPr>
                <w:sz w:val="18"/>
                <w:szCs w:val="18"/>
              </w:rPr>
            </w:pPr>
            <w:r w:rsidRPr="00A71C8E">
              <w:rPr>
                <w:sz w:val="18"/>
                <w:szCs w:val="18"/>
              </w:rPr>
              <w:t>20,8</w:t>
            </w:r>
          </w:p>
        </w:tc>
      </w:tr>
      <w:tr w:rsidR="00881780" w:rsidRPr="00A71C8E" w14:paraId="2EDF01FE" w14:textId="77777777" w:rsidTr="006F4D8F">
        <w:trPr>
          <w:trHeight w:val="300"/>
        </w:trPr>
        <w:tc>
          <w:tcPr>
            <w:tcW w:w="312" w:type="pct"/>
            <w:noWrap/>
            <w:hideMark/>
          </w:tcPr>
          <w:p w14:paraId="74552BD2" w14:textId="77777777" w:rsidR="00881780" w:rsidRPr="00A71C8E" w:rsidRDefault="00881780" w:rsidP="006F4D8F">
            <w:pPr>
              <w:spacing w:before="0" w:line="240" w:lineRule="auto"/>
              <w:jc w:val="left"/>
              <w:rPr>
                <w:sz w:val="18"/>
                <w:szCs w:val="18"/>
              </w:rPr>
            </w:pPr>
            <w:r w:rsidRPr="00A71C8E">
              <w:rPr>
                <w:sz w:val="18"/>
                <w:szCs w:val="18"/>
              </w:rPr>
              <w:t>Dolnośląskie</w:t>
            </w:r>
          </w:p>
        </w:tc>
        <w:tc>
          <w:tcPr>
            <w:tcW w:w="260" w:type="pct"/>
            <w:shd w:val="clear" w:color="auto" w:fill="C6D9F1"/>
            <w:noWrap/>
            <w:hideMark/>
          </w:tcPr>
          <w:p w14:paraId="027F048A" w14:textId="77777777" w:rsidR="00881780" w:rsidRPr="00A71C8E" w:rsidRDefault="00881780" w:rsidP="006F4D8F">
            <w:pPr>
              <w:spacing w:before="0" w:line="240" w:lineRule="auto"/>
              <w:jc w:val="left"/>
              <w:rPr>
                <w:sz w:val="18"/>
                <w:szCs w:val="18"/>
              </w:rPr>
            </w:pPr>
            <w:r w:rsidRPr="00A71C8E">
              <w:rPr>
                <w:sz w:val="18"/>
                <w:szCs w:val="18"/>
              </w:rPr>
              <w:t>17,0</w:t>
            </w:r>
          </w:p>
        </w:tc>
        <w:tc>
          <w:tcPr>
            <w:tcW w:w="260" w:type="pct"/>
            <w:shd w:val="clear" w:color="auto" w:fill="C6D9F1"/>
            <w:noWrap/>
            <w:hideMark/>
          </w:tcPr>
          <w:p w14:paraId="5DDDCF50"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C6D9F1"/>
            <w:noWrap/>
            <w:hideMark/>
          </w:tcPr>
          <w:p w14:paraId="21671E36" w14:textId="77777777" w:rsidR="00881780" w:rsidRPr="00A71C8E" w:rsidRDefault="00881780" w:rsidP="006F4D8F">
            <w:pPr>
              <w:spacing w:before="0" w:line="240" w:lineRule="auto"/>
              <w:jc w:val="left"/>
              <w:rPr>
                <w:sz w:val="18"/>
                <w:szCs w:val="18"/>
              </w:rPr>
            </w:pPr>
            <w:r w:rsidRPr="00A71C8E">
              <w:rPr>
                <w:sz w:val="18"/>
                <w:szCs w:val="18"/>
              </w:rPr>
              <w:t>16,8</w:t>
            </w:r>
          </w:p>
        </w:tc>
        <w:tc>
          <w:tcPr>
            <w:tcW w:w="260" w:type="pct"/>
            <w:shd w:val="clear" w:color="auto" w:fill="C6D9F1"/>
            <w:noWrap/>
            <w:hideMark/>
          </w:tcPr>
          <w:p w14:paraId="0BFEC88D" w14:textId="77777777" w:rsidR="00881780" w:rsidRPr="00A71C8E" w:rsidRDefault="00881780" w:rsidP="006F4D8F">
            <w:pPr>
              <w:spacing w:before="0" w:line="240" w:lineRule="auto"/>
              <w:jc w:val="left"/>
              <w:rPr>
                <w:sz w:val="18"/>
                <w:szCs w:val="18"/>
              </w:rPr>
            </w:pPr>
            <w:r w:rsidRPr="00A71C8E">
              <w:rPr>
                <w:sz w:val="18"/>
                <w:szCs w:val="18"/>
              </w:rPr>
              <w:t>16,8</w:t>
            </w:r>
          </w:p>
        </w:tc>
        <w:tc>
          <w:tcPr>
            <w:tcW w:w="262" w:type="pct"/>
            <w:shd w:val="clear" w:color="auto" w:fill="C6D9F1"/>
            <w:noWrap/>
            <w:hideMark/>
          </w:tcPr>
          <w:p w14:paraId="48606EE9" w14:textId="77777777" w:rsidR="00881780" w:rsidRPr="00A71C8E" w:rsidRDefault="00881780" w:rsidP="006F4D8F">
            <w:pPr>
              <w:spacing w:before="0" w:line="240" w:lineRule="auto"/>
              <w:jc w:val="left"/>
              <w:rPr>
                <w:sz w:val="18"/>
                <w:szCs w:val="18"/>
              </w:rPr>
            </w:pPr>
            <w:r w:rsidRPr="00A71C8E">
              <w:rPr>
                <w:sz w:val="18"/>
                <w:szCs w:val="18"/>
              </w:rPr>
              <w:t>16,8</w:t>
            </w:r>
          </w:p>
        </w:tc>
        <w:tc>
          <w:tcPr>
            <w:tcW w:w="264" w:type="pct"/>
            <w:shd w:val="clear" w:color="auto" w:fill="C6D9F1"/>
            <w:noWrap/>
            <w:hideMark/>
          </w:tcPr>
          <w:p w14:paraId="368BC87F"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DBE5F1"/>
            <w:noWrap/>
            <w:hideMark/>
          </w:tcPr>
          <w:p w14:paraId="2B978089" w14:textId="77777777" w:rsidR="00881780" w:rsidRPr="00A71C8E" w:rsidRDefault="00881780" w:rsidP="006F4D8F">
            <w:pPr>
              <w:spacing w:before="0" w:line="240" w:lineRule="auto"/>
              <w:jc w:val="left"/>
              <w:rPr>
                <w:sz w:val="18"/>
                <w:szCs w:val="18"/>
              </w:rPr>
            </w:pPr>
            <w:r w:rsidRPr="00A71C8E">
              <w:rPr>
                <w:sz w:val="18"/>
                <w:szCs w:val="18"/>
              </w:rPr>
              <w:t>64,8</w:t>
            </w:r>
          </w:p>
        </w:tc>
        <w:tc>
          <w:tcPr>
            <w:tcW w:w="260" w:type="pct"/>
            <w:shd w:val="clear" w:color="auto" w:fill="DBE5F1"/>
            <w:noWrap/>
            <w:hideMark/>
          </w:tcPr>
          <w:p w14:paraId="6E2ADDC9" w14:textId="77777777" w:rsidR="00881780" w:rsidRPr="00A71C8E" w:rsidRDefault="00881780" w:rsidP="006F4D8F">
            <w:pPr>
              <w:spacing w:before="0" w:line="240" w:lineRule="auto"/>
              <w:jc w:val="left"/>
              <w:rPr>
                <w:sz w:val="18"/>
                <w:szCs w:val="18"/>
              </w:rPr>
            </w:pPr>
            <w:r w:rsidRPr="00A71C8E">
              <w:rPr>
                <w:sz w:val="18"/>
                <w:szCs w:val="18"/>
              </w:rPr>
              <w:t>64,2</w:t>
            </w:r>
          </w:p>
        </w:tc>
        <w:tc>
          <w:tcPr>
            <w:tcW w:w="262" w:type="pct"/>
            <w:shd w:val="clear" w:color="auto" w:fill="DBE5F1"/>
            <w:noWrap/>
            <w:hideMark/>
          </w:tcPr>
          <w:p w14:paraId="7D8B55F0" w14:textId="77777777" w:rsidR="00881780" w:rsidRPr="00A71C8E" w:rsidRDefault="00881780" w:rsidP="006F4D8F">
            <w:pPr>
              <w:spacing w:before="0" w:line="240" w:lineRule="auto"/>
              <w:jc w:val="left"/>
              <w:rPr>
                <w:sz w:val="18"/>
                <w:szCs w:val="18"/>
              </w:rPr>
            </w:pPr>
            <w:r w:rsidRPr="00A71C8E">
              <w:rPr>
                <w:sz w:val="18"/>
                <w:szCs w:val="18"/>
              </w:rPr>
              <w:t>63,5</w:t>
            </w:r>
          </w:p>
        </w:tc>
        <w:tc>
          <w:tcPr>
            <w:tcW w:w="260" w:type="pct"/>
            <w:shd w:val="clear" w:color="auto" w:fill="DBE5F1"/>
            <w:noWrap/>
            <w:hideMark/>
          </w:tcPr>
          <w:p w14:paraId="656CC402" w14:textId="77777777" w:rsidR="00881780" w:rsidRPr="00A71C8E" w:rsidRDefault="00881780" w:rsidP="006F4D8F">
            <w:pPr>
              <w:spacing w:before="0" w:line="240" w:lineRule="auto"/>
              <w:jc w:val="left"/>
              <w:rPr>
                <w:sz w:val="18"/>
                <w:szCs w:val="18"/>
              </w:rPr>
            </w:pPr>
            <w:r w:rsidRPr="00A71C8E">
              <w:rPr>
                <w:sz w:val="18"/>
                <w:szCs w:val="18"/>
              </w:rPr>
              <w:t>62,8</w:t>
            </w:r>
          </w:p>
        </w:tc>
        <w:tc>
          <w:tcPr>
            <w:tcW w:w="260" w:type="pct"/>
            <w:shd w:val="clear" w:color="auto" w:fill="DBE5F1"/>
            <w:noWrap/>
            <w:hideMark/>
          </w:tcPr>
          <w:p w14:paraId="18A86941" w14:textId="77777777" w:rsidR="00881780" w:rsidRPr="00A71C8E" w:rsidRDefault="00881780" w:rsidP="006F4D8F">
            <w:pPr>
              <w:spacing w:before="0" w:line="240" w:lineRule="auto"/>
              <w:jc w:val="left"/>
              <w:rPr>
                <w:sz w:val="18"/>
                <w:szCs w:val="18"/>
              </w:rPr>
            </w:pPr>
            <w:r w:rsidRPr="00A71C8E">
              <w:rPr>
                <w:sz w:val="18"/>
                <w:szCs w:val="18"/>
              </w:rPr>
              <w:t>62,0</w:t>
            </w:r>
          </w:p>
        </w:tc>
        <w:tc>
          <w:tcPr>
            <w:tcW w:w="260" w:type="pct"/>
            <w:shd w:val="clear" w:color="auto" w:fill="DBE5F1"/>
            <w:noWrap/>
            <w:hideMark/>
          </w:tcPr>
          <w:p w14:paraId="0FDAA501" w14:textId="77777777" w:rsidR="00881780" w:rsidRPr="00A71C8E" w:rsidRDefault="00881780" w:rsidP="006F4D8F">
            <w:pPr>
              <w:spacing w:before="0" w:line="240" w:lineRule="auto"/>
              <w:jc w:val="left"/>
              <w:rPr>
                <w:sz w:val="18"/>
                <w:szCs w:val="18"/>
              </w:rPr>
            </w:pPr>
            <w:r w:rsidRPr="00A71C8E">
              <w:rPr>
                <w:sz w:val="18"/>
                <w:szCs w:val="18"/>
              </w:rPr>
              <w:t>61,2</w:t>
            </w:r>
          </w:p>
        </w:tc>
        <w:tc>
          <w:tcPr>
            <w:tcW w:w="260" w:type="pct"/>
            <w:shd w:val="clear" w:color="auto" w:fill="D9D9D9"/>
            <w:noWrap/>
            <w:hideMark/>
          </w:tcPr>
          <w:p w14:paraId="51F8C84A" w14:textId="77777777" w:rsidR="00881780" w:rsidRPr="00A71C8E" w:rsidRDefault="00881780" w:rsidP="006F4D8F">
            <w:pPr>
              <w:spacing w:before="0" w:line="240" w:lineRule="auto"/>
              <w:jc w:val="left"/>
              <w:rPr>
                <w:sz w:val="18"/>
                <w:szCs w:val="18"/>
              </w:rPr>
            </w:pPr>
            <w:r w:rsidRPr="00A71C8E">
              <w:rPr>
                <w:sz w:val="18"/>
                <w:szCs w:val="18"/>
              </w:rPr>
              <w:t>18,2</w:t>
            </w:r>
          </w:p>
        </w:tc>
        <w:tc>
          <w:tcPr>
            <w:tcW w:w="261" w:type="pct"/>
            <w:shd w:val="clear" w:color="auto" w:fill="D9D9D9"/>
            <w:noWrap/>
            <w:hideMark/>
          </w:tcPr>
          <w:p w14:paraId="5028B02C"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D9D9D9"/>
            <w:noWrap/>
            <w:hideMark/>
          </w:tcPr>
          <w:p w14:paraId="43FB7A66" w14:textId="77777777" w:rsidR="00881780" w:rsidRPr="00A71C8E" w:rsidRDefault="00881780" w:rsidP="006F4D8F">
            <w:pPr>
              <w:spacing w:before="0" w:line="240" w:lineRule="auto"/>
              <w:jc w:val="left"/>
              <w:rPr>
                <w:sz w:val="18"/>
                <w:szCs w:val="18"/>
              </w:rPr>
            </w:pPr>
            <w:r w:rsidRPr="00A71C8E">
              <w:rPr>
                <w:sz w:val="18"/>
                <w:szCs w:val="18"/>
              </w:rPr>
              <w:t>19,7</w:t>
            </w:r>
          </w:p>
        </w:tc>
        <w:tc>
          <w:tcPr>
            <w:tcW w:w="260" w:type="pct"/>
            <w:shd w:val="clear" w:color="auto" w:fill="D9D9D9"/>
            <w:noWrap/>
            <w:hideMark/>
          </w:tcPr>
          <w:p w14:paraId="219382E8" w14:textId="77777777" w:rsidR="00881780" w:rsidRPr="00A71C8E" w:rsidRDefault="00881780" w:rsidP="006F4D8F">
            <w:pPr>
              <w:spacing w:before="0" w:line="240" w:lineRule="auto"/>
              <w:jc w:val="left"/>
              <w:rPr>
                <w:sz w:val="18"/>
                <w:szCs w:val="18"/>
              </w:rPr>
            </w:pPr>
            <w:r w:rsidRPr="00A71C8E">
              <w:rPr>
                <w:sz w:val="18"/>
                <w:szCs w:val="18"/>
              </w:rPr>
              <w:t>20,5</w:t>
            </w:r>
          </w:p>
        </w:tc>
        <w:tc>
          <w:tcPr>
            <w:tcW w:w="260" w:type="pct"/>
            <w:shd w:val="clear" w:color="auto" w:fill="D9D9D9"/>
            <w:noWrap/>
            <w:hideMark/>
          </w:tcPr>
          <w:p w14:paraId="3311CEAE" w14:textId="77777777" w:rsidR="00881780" w:rsidRPr="00A71C8E" w:rsidRDefault="00881780" w:rsidP="006F4D8F">
            <w:pPr>
              <w:spacing w:before="0" w:line="240" w:lineRule="auto"/>
              <w:jc w:val="left"/>
              <w:rPr>
                <w:sz w:val="18"/>
                <w:szCs w:val="18"/>
              </w:rPr>
            </w:pPr>
            <w:r w:rsidRPr="00A71C8E">
              <w:rPr>
                <w:sz w:val="18"/>
                <w:szCs w:val="18"/>
              </w:rPr>
              <w:t>21,2</w:t>
            </w:r>
          </w:p>
        </w:tc>
        <w:tc>
          <w:tcPr>
            <w:tcW w:w="259" w:type="pct"/>
            <w:shd w:val="clear" w:color="auto" w:fill="D9D9D9"/>
            <w:noWrap/>
            <w:hideMark/>
          </w:tcPr>
          <w:p w14:paraId="4D32BF3A" w14:textId="77777777" w:rsidR="00881780" w:rsidRPr="00A71C8E" w:rsidRDefault="00881780" w:rsidP="006F4D8F">
            <w:pPr>
              <w:spacing w:before="0" w:line="240" w:lineRule="auto"/>
              <w:jc w:val="left"/>
              <w:rPr>
                <w:sz w:val="18"/>
                <w:szCs w:val="18"/>
              </w:rPr>
            </w:pPr>
            <w:r w:rsidRPr="00A71C8E">
              <w:rPr>
                <w:sz w:val="18"/>
                <w:szCs w:val="18"/>
              </w:rPr>
              <w:t>21,9</w:t>
            </w:r>
          </w:p>
        </w:tc>
      </w:tr>
      <w:tr w:rsidR="00881780" w:rsidRPr="00A71C8E" w14:paraId="4E05388A" w14:textId="77777777" w:rsidTr="006F4D8F">
        <w:trPr>
          <w:trHeight w:val="300"/>
        </w:trPr>
        <w:tc>
          <w:tcPr>
            <w:tcW w:w="312" w:type="pct"/>
            <w:noWrap/>
            <w:hideMark/>
          </w:tcPr>
          <w:p w14:paraId="3C5C32A8" w14:textId="77777777" w:rsidR="00881780" w:rsidRPr="00A71C8E" w:rsidRDefault="00881780" w:rsidP="006F4D8F">
            <w:pPr>
              <w:spacing w:before="0" w:line="240" w:lineRule="auto"/>
              <w:jc w:val="left"/>
              <w:rPr>
                <w:sz w:val="18"/>
                <w:szCs w:val="18"/>
              </w:rPr>
            </w:pPr>
            <w:r w:rsidRPr="00A71C8E">
              <w:rPr>
                <w:sz w:val="18"/>
                <w:szCs w:val="18"/>
              </w:rPr>
              <w:t>Kujawsko-pomorskie</w:t>
            </w:r>
          </w:p>
        </w:tc>
        <w:tc>
          <w:tcPr>
            <w:tcW w:w="260" w:type="pct"/>
            <w:shd w:val="clear" w:color="auto" w:fill="C6D9F1"/>
            <w:noWrap/>
            <w:hideMark/>
          </w:tcPr>
          <w:p w14:paraId="38103884" w14:textId="77777777" w:rsidR="00881780" w:rsidRPr="00A71C8E" w:rsidRDefault="00881780" w:rsidP="006F4D8F">
            <w:pPr>
              <w:spacing w:before="0" w:line="240" w:lineRule="auto"/>
              <w:jc w:val="left"/>
              <w:rPr>
                <w:sz w:val="18"/>
                <w:szCs w:val="18"/>
              </w:rPr>
            </w:pPr>
            <w:r w:rsidRPr="00A71C8E">
              <w:rPr>
                <w:sz w:val="18"/>
                <w:szCs w:val="18"/>
              </w:rPr>
              <w:t>18,8</w:t>
            </w:r>
          </w:p>
        </w:tc>
        <w:tc>
          <w:tcPr>
            <w:tcW w:w="260" w:type="pct"/>
            <w:shd w:val="clear" w:color="auto" w:fill="C6D9F1"/>
            <w:noWrap/>
            <w:hideMark/>
          </w:tcPr>
          <w:p w14:paraId="6154DF7E" w14:textId="77777777" w:rsidR="00881780" w:rsidRPr="00A71C8E" w:rsidRDefault="00881780" w:rsidP="006F4D8F">
            <w:pPr>
              <w:spacing w:before="0" w:line="240" w:lineRule="auto"/>
              <w:jc w:val="left"/>
              <w:rPr>
                <w:sz w:val="18"/>
                <w:szCs w:val="18"/>
              </w:rPr>
            </w:pPr>
            <w:r w:rsidRPr="00A71C8E">
              <w:rPr>
                <w:sz w:val="18"/>
                <w:szCs w:val="18"/>
              </w:rPr>
              <w:t>18,5</w:t>
            </w:r>
          </w:p>
        </w:tc>
        <w:tc>
          <w:tcPr>
            <w:tcW w:w="260" w:type="pct"/>
            <w:shd w:val="clear" w:color="auto" w:fill="C6D9F1"/>
            <w:noWrap/>
            <w:hideMark/>
          </w:tcPr>
          <w:p w14:paraId="100EBFD1" w14:textId="77777777" w:rsidR="00881780" w:rsidRPr="00A71C8E" w:rsidRDefault="00881780" w:rsidP="006F4D8F">
            <w:pPr>
              <w:spacing w:before="0" w:line="240" w:lineRule="auto"/>
              <w:jc w:val="left"/>
              <w:rPr>
                <w:sz w:val="18"/>
                <w:szCs w:val="18"/>
              </w:rPr>
            </w:pPr>
            <w:r w:rsidRPr="00A71C8E">
              <w:rPr>
                <w:sz w:val="18"/>
                <w:szCs w:val="18"/>
              </w:rPr>
              <w:t>18,3</w:t>
            </w:r>
          </w:p>
        </w:tc>
        <w:tc>
          <w:tcPr>
            <w:tcW w:w="260" w:type="pct"/>
            <w:shd w:val="clear" w:color="auto" w:fill="C6D9F1"/>
            <w:noWrap/>
            <w:hideMark/>
          </w:tcPr>
          <w:p w14:paraId="20E15CA4" w14:textId="77777777" w:rsidR="00881780" w:rsidRPr="00A71C8E" w:rsidRDefault="00881780" w:rsidP="006F4D8F">
            <w:pPr>
              <w:spacing w:before="0" w:line="240" w:lineRule="auto"/>
              <w:jc w:val="left"/>
              <w:rPr>
                <w:sz w:val="18"/>
                <w:szCs w:val="18"/>
              </w:rPr>
            </w:pPr>
            <w:r w:rsidRPr="00A71C8E">
              <w:rPr>
                <w:sz w:val="18"/>
                <w:szCs w:val="18"/>
              </w:rPr>
              <w:t>18,2</w:t>
            </w:r>
          </w:p>
        </w:tc>
        <w:tc>
          <w:tcPr>
            <w:tcW w:w="262" w:type="pct"/>
            <w:shd w:val="clear" w:color="auto" w:fill="C6D9F1"/>
            <w:noWrap/>
            <w:hideMark/>
          </w:tcPr>
          <w:p w14:paraId="00ABBD66" w14:textId="77777777" w:rsidR="00881780" w:rsidRPr="00A71C8E" w:rsidRDefault="00881780" w:rsidP="006F4D8F">
            <w:pPr>
              <w:spacing w:before="0" w:line="240" w:lineRule="auto"/>
              <w:jc w:val="left"/>
              <w:rPr>
                <w:sz w:val="18"/>
                <w:szCs w:val="18"/>
              </w:rPr>
            </w:pPr>
            <w:r w:rsidRPr="00A71C8E">
              <w:rPr>
                <w:sz w:val="18"/>
                <w:szCs w:val="18"/>
              </w:rPr>
              <w:t>18,1</w:t>
            </w:r>
          </w:p>
        </w:tc>
        <w:tc>
          <w:tcPr>
            <w:tcW w:w="264" w:type="pct"/>
            <w:shd w:val="clear" w:color="auto" w:fill="C6D9F1"/>
            <w:noWrap/>
            <w:hideMark/>
          </w:tcPr>
          <w:p w14:paraId="578D9FE9" w14:textId="77777777" w:rsidR="00881780" w:rsidRPr="00A71C8E" w:rsidRDefault="00881780" w:rsidP="006F4D8F">
            <w:pPr>
              <w:spacing w:before="0" w:line="240" w:lineRule="auto"/>
              <w:jc w:val="left"/>
              <w:rPr>
                <w:sz w:val="18"/>
                <w:szCs w:val="18"/>
              </w:rPr>
            </w:pPr>
            <w:r w:rsidRPr="00A71C8E">
              <w:rPr>
                <w:sz w:val="18"/>
                <w:szCs w:val="18"/>
              </w:rPr>
              <w:t>18,1</w:t>
            </w:r>
          </w:p>
        </w:tc>
        <w:tc>
          <w:tcPr>
            <w:tcW w:w="260" w:type="pct"/>
            <w:shd w:val="clear" w:color="auto" w:fill="DBE5F1"/>
            <w:noWrap/>
            <w:hideMark/>
          </w:tcPr>
          <w:p w14:paraId="6F3C8DC7" w14:textId="77777777" w:rsidR="00881780" w:rsidRPr="00A71C8E" w:rsidRDefault="00881780" w:rsidP="006F4D8F">
            <w:pPr>
              <w:spacing w:before="0" w:line="240" w:lineRule="auto"/>
              <w:jc w:val="left"/>
              <w:rPr>
                <w:sz w:val="18"/>
                <w:szCs w:val="18"/>
              </w:rPr>
            </w:pPr>
            <w:r w:rsidRPr="00A71C8E">
              <w:rPr>
                <w:sz w:val="18"/>
                <w:szCs w:val="18"/>
              </w:rPr>
              <w:t>64,1</w:t>
            </w:r>
          </w:p>
        </w:tc>
        <w:tc>
          <w:tcPr>
            <w:tcW w:w="260" w:type="pct"/>
            <w:shd w:val="clear" w:color="auto" w:fill="DBE5F1"/>
            <w:noWrap/>
            <w:hideMark/>
          </w:tcPr>
          <w:p w14:paraId="0117F253" w14:textId="77777777" w:rsidR="00881780" w:rsidRPr="00A71C8E" w:rsidRDefault="00881780" w:rsidP="006F4D8F">
            <w:pPr>
              <w:spacing w:before="0" w:line="240" w:lineRule="auto"/>
              <w:jc w:val="left"/>
              <w:rPr>
                <w:sz w:val="18"/>
                <w:szCs w:val="18"/>
              </w:rPr>
            </w:pPr>
            <w:r w:rsidRPr="00A71C8E">
              <w:rPr>
                <w:sz w:val="18"/>
                <w:szCs w:val="18"/>
              </w:rPr>
              <w:t>63,7</w:t>
            </w:r>
          </w:p>
        </w:tc>
        <w:tc>
          <w:tcPr>
            <w:tcW w:w="262" w:type="pct"/>
            <w:shd w:val="clear" w:color="auto" w:fill="DBE5F1"/>
            <w:noWrap/>
            <w:hideMark/>
          </w:tcPr>
          <w:p w14:paraId="0EB80457" w14:textId="77777777" w:rsidR="00881780" w:rsidRPr="00A71C8E" w:rsidRDefault="00881780" w:rsidP="006F4D8F">
            <w:pPr>
              <w:spacing w:before="0" w:line="240" w:lineRule="auto"/>
              <w:jc w:val="left"/>
              <w:rPr>
                <w:sz w:val="18"/>
                <w:szCs w:val="18"/>
              </w:rPr>
            </w:pPr>
            <w:r w:rsidRPr="00A71C8E">
              <w:rPr>
                <w:sz w:val="18"/>
                <w:szCs w:val="18"/>
              </w:rPr>
              <w:t>63,3</w:t>
            </w:r>
          </w:p>
        </w:tc>
        <w:tc>
          <w:tcPr>
            <w:tcW w:w="260" w:type="pct"/>
            <w:shd w:val="clear" w:color="auto" w:fill="DBE5F1"/>
            <w:noWrap/>
            <w:hideMark/>
          </w:tcPr>
          <w:p w14:paraId="448B3B33" w14:textId="77777777" w:rsidR="00881780" w:rsidRPr="00A71C8E" w:rsidRDefault="00881780" w:rsidP="006F4D8F">
            <w:pPr>
              <w:spacing w:before="0" w:line="240" w:lineRule="auto"/>
              <w:jc w:val="left"/>
              <w:rPr>
                <w:sz w:val="18"/>
                <w:szCs w:val="18"/>
              </w:rPr>
            </w:pPr>
            <w:r w:rsidRPr="00A71C8E">
              <w:rPr>
                <w:sz w:val="18"/>
                <w:szCs w:val="18"/>
              </w:rPr>
              <w:t>62,7</w:t>
            </w:r>
          </w:p>
        </w:tc>
        <w:tc>
          <w:tcPr>
            <w:tcW w:w="260" w:type="pct"/>
            <w:shd w:val="clear" w:color="auto" w:fill="DBE5F1"/>
            <w:noWrap/>
            <w:hideMark/>
          </w:tcPr>
          <w:p w14:paraId="2C6ADE58" w14:textId="77777777" w:rsidR="00881780" w:rsidRPr="00A71C8E" w:rsidRDefault="00881780" w:rsidP="006F4D8F">
            <w:pPr>
              <w:spacing w:before="0" w:line="240" w:lineRule="auto"/>
              <w:jc w:val="left"/>
              <w:rPr>
                <w:sz w:val="18"/>
                <w:szCs w:val="18"/>
              </w:rPr>
            </w:pPr>
            <w:r w:rsidRPr="00A71C8E">
              <w:rPr>
                <w:sz w:val="18"/>
                <w:szCs w:val="18"/>
              </w:rPr>
              <w:t>62,2</w:t>
            </w:r>
          </w:p>
        </w:tc>
        <w:tc>
          <w:tcPr>
            <w:tcW w:w="260" w:type="pct"/>
            <w:shd w:val="clear" w:color="auto" w:fill="DBE5F1"/>
            <w:noWrap/>
            <w:hideMark/>
          </w:tcPr>
          <w:p w14:paraId="1AE0AACA" w14:textId="77777777" w:rsidR="00881780" w:rsidRPr="00A71C8E" w:rsidRDefault="00881780" w:rsidP="006F4D8F">
            <w:pPr>
              <w:spacing w:before="0" w:line="240" w:lineRule="auto"/>
              <w:jc w:val="left"/>
              <w:rPr>
                <w:sz w:val="18"/>
                <w:szCs w:val="18"/>
              </w:rPr>
            </w:pPr>
            <w:r w:rsidRPr="00A71C8E">
              <w:rPr>
                <w:sz w:val="18"/>
                <w:szCs w:val="18"/>
              </w:rPr>
              <w:t>61,5</w:t>
            </w:r>
          </w:p>
        </w:tc>
        <w:tc>
          <w:tcPr>
            <w:tcW w:w="260" w:type="pct"/>
            <w:shd w:val="clear" w:color="auto" w:fill="D9D9D9"/>
            <w:noWrap/>
            <w:hideMark/>
          </w:tcPr>
          <w:p w14:paraId="3804D289" w14:textId="77777777" w:rsidR="00881780" w:rsidRPr="00A71C8E" w:rsidRDefault="00881780" w:rsidP="006F4D8F">
            <w:pPr>
              <w:spacing w:before="0" w:line="240" w:lineRule="auto"/>
              <w:jc w:val="left"/>
              <w:rPr>
                <w:sz w:val="18"/>
                <w:szCs w:val="18"/>
              </w:rPr>
            </w:pPr>
            <w:r w:rsidRPr="00A71C8E">
              <w:rPr>
                <w:sz w:val="18"/>
                <w:szCs w:val="18"/>
              </w:rPr>
              <w:t>17,1</w:t>
            </w:r>
          </w:p>
        </w:tc>
        <w:tc>
          <w:tcPr>
            <w:tcW w:w="261" w:type="pct"/>
            <w:shd w:val="clear" w:color="auto" w:fill="D9D9D9"/>
            <w:noWrap/>
            <w:hideMark/>
          </w:tcPr>
          <w:p w14:paraId="2C0DB2BA" w14:textId="77777777" w:rsidR="00881780" w:rsidRPr="00A71C8E" w:rsidRDefault="00881780" w:rsidP="006F4D8F">
            <w:pPr>
              <w:spacing w:before="0" w:line="240" w:lineRule="auto"/>
              <w:jc w:val="left"/>
              <w:rPr>
                <w:sz w:val="18"/>
                <w:szCs w:val="18"/>
              </w:rPr>
            </w:pPr>
            <w:r w:rsidRPr="00A71C8E">
              <w:rPr>
                <w:sz w:val="18"/>
                <w:szCs w:val="18"/>
              </w:rPr>
              <w:t>17,8</w:t>
            </w:r>
          </w:p>
        </w:tc>
        <w:tc>
          <w:tcPr>
            <w:tcW w:w="260" w:type="pct"/>
            <w:shd w:val="clear" w:color="auto" w:fill="D9D9D9"/>
            <w:noWrap/>
            <w:hideMark/>
          </w:tcPr>
          <w:p w14:paraId="248E650F" w14:textId="77777777" w:rsidR="00881780" w:rsidRPr="00A71C8E" w:rsidRDefault="00881780" w:rsidP="006F4D8F">
            <w:pPr>
              <w:spacing w:before="0" w:line="240" w:lineRule="auto"/>
              <w:jc w:val="left"/>
              <w:rPr>
                <w:sz w:val="18"/>
                <w:szCs w:val="18"/>
              </w:rPr>
            </w:pPr>
            <w:r w:rsidRPr="00A71C8E">
              <w:rPr>
                <w:sz w:val="18"/>
                <w:szCs w:val="18"/>
              </w:rPr>
              <w:t>18,4</w:t>
            </w:r>
          </w:p>
        </w:tc>
        <w:tc>
          <w:tcPr>
            <w:tcW w:w="260" w:type="pct"/>
            <w:shd w:val="clear" w:color="auto" w:fill="D9D9D9"/>
            <w:noWrap/>
            <w:hideMark/>
          </w:tcPr>
          <w:p w14:paraId="05C7C1FA" w14:textId="77777777" w:rsidR="00881780" w:rsidRPr="00A71C8E" w:rsidRDefault="00881780" w:rsidP="006F4D8F">
            <w:pPr>
              <w:spacing w:before="0" w:line="240" w:lineRule="auto"/>
              <w:jc w:val="left"/>
              <w:rPr>
                <w:sz w:val="18"/>
                <w:szCs w:val="18"/>
              </w:rPr>
            </w:pPr>
            <w:r w:rsidRPr="00A71C8E">
              <w:rPr>
                <w:sz w:val="18"/>
                <w:szCs w:val="18"/>
              </w:rPr>
              <w:t>19,1</w:t>
            </w:r>
          </w:p>
        </w:tc>
        <w:tc>
          <w:tcPr>
            <w:tcW w:w="260" w:type="pct"/>
            <w:shd w:val="clear" w:color="auto" w:fill="D9D9D9"/>
            <w:noWrap/>
            <w:hideMark/>
          </w:tcPr>
          <w:p w14:paraId="5B6938E9" w14:textId="77777777" w:rsidR="00881780" w:rsidRPr="00A71C8E" w:rsidRDefault="00881780" w:rsidP="006F4D8F">
            <w:pPr>
              <w:spacing w:before="0" w:line="240" w:lineRule="auto"/>
              <w:jc w:val="left"/>
              <w:rPr>
                <w:sz w:val="18"/>
                <w:szCs w:val="18"/>
              </w:rPr>
            </w:pPr>
            <w:r w:rsidRPr="00A71C8E">
              <w:rPr>
                <w:sz w:val="18"/>
                <w:szCs w:val="18"/>
              </w:rPr>
              <w:t>19,8</w:t>
            </w:r>
          </w:p>
        </w:tc>
        <w:tc>
          <w:tcPr>
            <w:tcW w:w="259" w:type="pct"/>
            <w:shd w:val="clear" w:color="auto" w:fill="D9D9D9"/>
            <w:noWrap/>
            <w:hideMark/>
          </w:tcPr>
          <w:p w14:paraId="6EB9191C" w14:textId="77777777" w:rsidR="00881780" w:rsidRPr="00A71C8E" w:rsidRDefault="00881780" w:rsidP="006F4D8F">
            <w:pPr>
              <w:spacing w:before="0" w:line="240" w:lineRule="auto"/>
              <w:jc w:val="left"/>
              <w:rPr>
                <w:sz w:val="18"/>
                <w:szCs w:val="18"/>
              </w:rPr>
            </w:pPr>
            <w:r w:rsidRPr="00A71C8E">
              <w:rPr>
                <w:sz w:val="18"/>
                <w:szCs w:val="18"/>
              </w:rPr>
              <w:t>20,4</w:t>
            </w:r>
          </w:p>
        </w:tc>
      </w:tr>
      <w:tr w:rsidR="00881780" w:rsidRPr="00A71C8E" w14:paraId="00E0EB17" w14:textId="77777777" w:rsidTr="006F4D8F">
        <w:trPr>
          <w:trHeight w:val="300"/>
        </w:trPr>
        <w:tc>
          <w:tcPr>
            <w:tcW w:w="312" w:type="pct"/>
            <w:noWrap/>
            <w:hideMark/>
          </w:tcPr>
          <w:p w14:paraId="3956D93B" w14:textId="77777777" w:rsidR="00881780" w:rsidRPr="00A71C8E" w:rsidRDefault="00881780" w:rsidP="006F4D8F">
            <w:pPr>
              <w:spacing w:before="0" w:line="240" w:lineRule="auto"/>
              <w:jc w:val="left"/>
              <w:rPr>
                <w:sz w:val="18"/>
                <w:szCs w:val="18"/>
              </w:rPr>
            </w:pPr>
            <w:r w:rsidRPr="00A71C8E">
              <w:rPr>
                <w:sz w:val="18"/>
                <w:szCs w:val="18"/>
              </w:rPr>
              <w:lastRenderedPageBreak/>
              <w:t>Lubelskie</w:t>
            </w:r>
          </w:p>
        </w:tc>
        <w:tc>
          <w:tcPr>
            <w:tcW w:w="260" w:type="pct"/>
            <w:shd w:val="clear" w:color="auto" w:fill="C6D9F1"/>
            <w:noWrap/>
            <w:hideMark/>
          </w:tcPr>
          <w:p w14:paraId="53D870C4" w14:textId="77777777" w:rsidR="00881780" w:rsidRPr="00A71C8E" w:rsidRDefault="00881780" w:rsidP="006F4D8F">
            <w:pPr>
              <w:spacing w:before="0" w:line="240" w:lineRule="auto"/>
              <w:jc w:val="left"/>
              <w:rPr>
                <w:sz w:val="18"/>
                <w:szCs w:val="18"/>
              </w:rPr>
            </w:pPr>
            <w:r w:rsidRPr="00A71C8E">
              <w:rPr>
                <w:sz w:val="18"/>
                <w:szCs w:val="18"/>
              </w:rPr>
              <w:t>18,6</w:t>
            </w:r>
          </w:p>
        </w:tc>
        <w:tc>
          <w:tcPr>
            <w:tcW w:w="260" w:type="pct"/>
            <w:shd w:val="clear" w:color="auto" w:fill="C6D9F1"/>
            <w:noWrap/>
            <w:hideMark/>
          </w:tcPr>
          <w:p w14:paraId="316B0238" w14:textId="77777777" w:rsidR="00881780" w:rsidRPr="00A71C8E" w:rsidRDefault="00881780" w:rsidP="006F4D8F">
            <w:pPr>
              <w:spacing w:before="0" w:line="240" w:lineRule="auto"/>
              <w:jc w:val="left"/>
              <w:rPr>
                <w:sz w:val="18"/>
                <w:szCs w:val="18"/>
              </w:rPr>
            </w:pPr>
            <w:r w:rsidRPr="00A71C8E">
              <w:rPr>
                <w:sz w:val="18"/>
                <w:szCs w:val="18"/>
              </w:rPr>
              <w:t>18,3</w:t>
            </w:r>
          </w:p>
        </w:tc>
        <w:tc>
          <w:tcPr>
            <w:tcW w:w="260" w:type="pct"/>
            <w:shd w:val="clear" w:color="auto" w:fill="C6D9F1"/>
            <w:noWrap/>
            <w:hideMark/>
          </w:tcPr>
          <w:p w14:paraId="7140F136" w14:textId="77777777" w:rsidR="00881780" w:rsidRPr="00A71C8E" w:rsidRDefault="00881780" w:rsidP="006F4D8F">
            <w:pPr>
              <w:spacing w:before="0" w:line="240" w:lineRule="auto"/>
              <w:jc w:val="left"/>
              <w:rPr>
                <w:sz w:val="18"/>
                <w:szCs w:val="18"/>
              </w:rPr>
            </w:pPr>
            <w:r w:rsidRPr="00A71C8E">
              <w:rPr>
                <w:sz w:val="18"/>
                <w:szCs w:val="18"/>
              </w:rPr>
              <w:t>18,1</w:t>
            </w:r>
          </w:p>
        </w:tc>
        <w:tc>
          <w:tcPr>
            <w:tcW w:w="260" w:type="pct"/>
            <w:shd w:val="clear" w:color="auto" w:fill="C6D9F1"/>
            <w:noWrap/>
            <w:hideMark/>
          </w:tcPr>
          <w:p w14:paraId="6372A0C6" w14:textId="77777777" w:rsidR="00881780" w:rsidRPr="00A71C8E" w:rsidRDefault="00881780" w:rsidP="006F4D8F">
            <w:pPr>
              <w:spacing w:before="0" w:line="240" w:lineRule="auto"/>
              <w:jc w:val="left"/>
              <w:rPr>
                <w:sz w:val="18"/>
                <w:szCs w:val="18"/>
              </w:rPr>
            </w:pPr>
            <w:r w:rsidRPr="00A71C8E">
              <w:rPr>
                <w:sz w:val="18"/>
                <w:szCs w:val="18"/>
              </w:rPr>
              <w:t>17,9</w:t>
            </w:r>
          </w:p>
        </w:tc>
        <w:tc>
          <w:tcPr>
            <w:tcW w:w="262" w:type="pct"/>
            <w:shd w:val="clear" w:color="auto" w:fill="C6D9F1"/>
            <w:noWrap/>
            <w:hideMark/>
          </w:tcPr>
          <w:p w14:paraId="3F8EA505" w14:textId="77777777" w:rsidR="00881780" w:rsidRPr="00A71C8E" w:rsidRDefault="00881780" w:rsidP="006F4D8F">
            <w:pPr>
              <w:spacing w:before="0" w:line="240" w:lineRule="auto"/>
              <w:jc w:val="left"/>
              <w:rPr>
                <w:sz w:val="18"/>
                <w:szCs w:val="18"/>
              </w:rPr>
            </w:pPr>
            <w:r w:rsidRPr="00A71C8E">
              <w:rPr>
                <w:sz w:val="18"/>
                <w:szCs w:val="18"/>
              </w:rPr>
              <w:t>17,7</w:t>
            </w:r>
          </w:p>
        </w:tc>
        <w:tc>
          <w:tcPr>
            <w:tcW w:w="264" w:type="pct"/>
            <w:shd w:val="clear" w:color="auto" w:fill="C6D9F1"/>
            <w:noWrap/>
            <w:hideMark/>
          </w:tcPr>
          <w:p w14:paraId="5E5D8988"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BE5F1"/>
            <w:noWrap/>
            <w:hideMark/>
          </w:tcPr>
          <w:p w14:paraId="457202A5" w14:textId="77777777" w:rsidR="00881780" w:rsidRPr="00A71C8E" w:rsidRDefault="00881780" w:rsidP="006F4D8F">
            <w:pPr>
              <w:spacing w:before="0" w:line="240" w:lineRule="auto"/>
              <w:jc w:val="left"/>
              <w:rPr>
                <w:sz w:val="18"/>
                <w:szCs w:val="18"/>
              </w:rPr>
            </w:pPr>
            <w:r w:rsidRPr="00A71C8E">
              <w:rPr>
                <w:sz w:val="18"/>
                <w:szCs w:val="18"/>
              </w:rPr>
              <w:t>63,0</w:t>
            </w:r>
          </w:p>
        </w:tc>
        <w:tc>
          <w:tcPr>
            <w:tcW w:w="260" w:type="pct"/>
            <w:shd w:val="clear" w:color="auto" w:fill="DBE5F1"/>
            <w:noWrap/>
            <w:hideMark/>
          </w:tcPr>
          <w:p w14:paraId="41DC3E6C" w14:textId="77777777" w:rsidR="00881780" w:rsidRPr="00A71C8E" w:rsidRDefault="00881780" w:rsidP="006F4D8F">
            <w:pPr>
              <w:spacing w:before="0" w:line="240" w:lineRule="auto"/>
              <w:jc w:val="left"/>
              <w:rPr>
                <w:sz w:val="18"/>
                <w:szCs w:val="18"/>
              </w:rPr>
            </w:pPr>
            <w:r w:rsidRPr="00A71C8E">
              <w:rPr>
                <w:sz w:val="18"/>
                <w:szCs w:val="18"/>
              </w:rPr>
              <w:t>62,7</w:t>
            </w:r>
          </w:p>
        </w:tc>
        <w:tc>
          <w:tcPr>
            <w:tcW w:w="262" w:type="pct"/>
            <w:shd w:val="clear" w:color="auto" w:fill="DBE5F1"/>
            <w:noWrap/>
            <w:hideMark/>
          </w:tcPr>
          <w:p w14:paraId="39537DD7" w14:textId="77777777" w:rsidR="00881780" w:rsidRPr="00A71C8E" w:rsidRDefault="00881780" w:rsidP="006F4D8F">
            <w:pPr>
              <w:spacing w:before="0" w:line="240" w:lineRule="auto"/>
              <w:jc w:val="left"/>
              <w:rPr>
                <w:sz w:val="18"/>
                <w:szCs w:val="18"/>
              </w:rPr>
            </w:pPr>
            <w:r w:rsidRPr="00A71C8E">
              <w:rPr>
                <w:sz w:val="18"/>
                <w:szCs w:val="18"/>
              </w:rPr>
              <w:t>62,4</w:t>
            </w:r>
          </w:p>
        </w:tc>
        <w:tc>
          <w:tcPr>
            <w:tcW w:w="260" w:type="pct"/>
            <w:shd w:val="clear" w:color="auto" w:fill="DBE5F1"/>
            <w:noWrap/>
            <w:hideMark/>
          </w:tcPr>
          <w:p w14:paraId="530F7B51" w14:textId="77777777" w:rsidR="00881780" w:rsidRPr="00A71C8E" w:rsidRDefault="00881780" w:rsidP="006F4D8F">
            <w:pPr>
              <w:spacing w:before="0" w:line="240" w:lineRule="auto"/>
              <w:jc w:val="left"/>
              <w:rPr>
                <w:sz w:val="18"/>
                <w:szCs w:val="18"/>
              </w:rPr>
            </w:pPr>
            <w:r w:rsidRPr="00A71C8E">
              <w:rPr>
                <w:sz w:val="18"/>
                <w:szCs w:val="18"/>
              </w:rPr>
              <w:t>62,1</w:t>
            </w:r>
          </w:p>
        </w:tc>
        <w:tc>
          <w:tcPr>
            <w:tcW w:w="260" w:type="pct"/>
            <w:shd w:val="clear" w:color="auto" w:fill="DBE5F1"/>
            <w:noWrap/>
            <w:hideMark/>
          </w:tcPr>
          <w:p w14:paraId="13FAC6F1" w14:textId="77777777" w:rsidR="00881780" w:rsidRPr="00A71C8E" w:rsidRDefault="00881780" w:rsidP="006F4D8F">
            <w:pPr>
              <w:spacing w:before="0" w:line="240" w:lineRule="auto"/>
              <w:jc w:val="left"/>
              <w:rPr>
                <w:sz w:val="18"/>
                <w:szCs w:val="18"/>
              </w:rPr>
            </w:pPr>
            <w:r w:rsidRPr="00A71C8E">
              <w:rPr>
                <w:sz w:val="18"/>
                <w:szCs w:val="18"/>
              </w:rPr>
              <w:t>61,6</w:t>
            </w:r>
          </w:p>
        </w:tc>
        <w:tc>
          <w:tcPr>
            <w:tcW w:w="260" w:type="pct"/>
            <w:shd w:val="clear" w:color="auto" w:fill="DBE5F1"/>
            <w:noWrap/>
            <w:hideMark/>
          </w:tcPr>
          <w:p w14:paraId="16AED056" w14:textId="77777777" w:rsidR="00881780" w:rsidRPr="00A71C8E" w:rsidRDefault="00881780" w:rsidP="006F4D8F">
            <w:pPr>
              <w:spacing w:before="0" w:line="240" w:lineRule="auto"/>
              <w:jc w:val="left"/>
              <w:rPr>
                <w:sz w:val="18"/>
                <w:szCs w:val="18"/>
              </w:rPr>
            </w:pPr>
            <w:r w:rsidRPr="00A71C8E">
              <w:rPr>
                <w:sz w:val="18"/>
                <w:szCs w:val="18"/>
              </w:rPr>
              <w:t>61,1</w:t>
            </w:r>
          </w:p>
        </w:tc>
        <w:tc>
          <w:tcPr>
            <w:tcW w:w="260" w:type="pct"/>
            <w:shd w:val="clear" w:color="auto" w:fill="D9D9D9"/>
            <w:noWrap/>
            <w:hideMark/>
          </w:tcPr>
          <w:p w14:paraId="4B7B4357" w14:textId="77777777" w:rsidR="00881780" w:rsidRPr="00A71C8E" w:rsidRDefault="00881780" w:rsidP="006F4D8F">
            <w:pPr>
              <w:spacing w:before="0" w:line="240" w:lineRule="auto"/>
              <w:jc w:val="left"/>
              <w:rPr>
                <w:sz w:val="18"/>
                <w:szCs w:val="18"/>
              </w:rPr>
            </w:pPr>
            <w:r w:rsidRPr="00A71C8E">
              <w:rPr>
                <w:sz w:val="18"/>
                <w:szCs w:val="18"/>
              </w:rPr>
              <w:t>18,4</w:t>
            </w:r>
          </w:p>
        </w:tc>
        <w:tc>
          <w:tcPr>
            <w:tcW w:w="261" w:type="pct"/>
            <w:shd w:val="clear" w:color="auto" w:fill="D9D9D9"/>
            <w:noWrap/>
            <w:hideMark/>
          </w:tcPr>
          <w:p w14:paraId="52D3411D" w14:textId="77777777" w:rsidR="00881780" w:rsidRPr="00A71C8E" w:rsidRDefault="00881780" w:rsidP="006F4D8F">
            <w:pPr>
              <w:spacing w:before="0" w:line="240" w:lineRule="auto"/>
              <w:jc w:val="left"/>
              <w:rPr>
                <w:sz w:val="18"/>
                <w:szCs w:val="18"/>
              </w:rPr>
            </w:pPr>
            <w:r w:rsidRPr="00A71C8E">
              <w:rPr>
                <w:sz w:val="18"/>
                <w:szCs w:val="18"/>
              </w:rPr>
              <w:t>18,9</w:t>
            </w:r>
          </w:p>
        </w:tc>
        <w:tc>
          <w:tcPr>
            <w:tcW w:w="260" w:type="pct"/>
            <w:shd w:val="clear" w:color="auto" w:fill="D9D9D9"/>
            <w:noWrap/>
            <w:hideMark/>
          </w:tcPr>
          <w:p w14:paraId="0D75CD94" w14:textId="77777777" w:rsidR="00881780" w:rsidRPr="00A71C8E" w:rsidRDefault="00881780" w:rsidP="006F4D8F">
            <w:pPr>
              <w:spacing w:before="0" w:line="240" w:lineRule="auto"/>
              <w:jc w:val="left"/>
              <w:rPr>
                <w:sz w:val="18"/>
                <w:szCs w:val="18"/>
              </w:rPr>
            </w:pPr>
            <w:r w:rsidRPr="00A71C8E">
              <w:rPr>
                <w:sz w:val="18"/>
                <w:szCs w:val="18"/>
              </w:rPr>
              <w:t>19,5</w:t>
            </w:r>
          </w:p>
        </w:tc>
        <w:tc>
          <w:tcPr>
            <w:tcW w:w="260" w:type="pct"/>
            <w:shd w:val="clear" w:color="auto" w:fill="D9D9D9"/>
            <w:noWrap/>
            <w:hideMark/>
          </w:tcPr>
          <w:p w14:paraId="7B5C6AA6" w14:textId="77777777" w:rsidR="00881780" w:rsidRPr="00A71C8E" w:rsidRDefault="00881780" w:rsidP="006F4D8F">
            <w:pPr>
              <w:spacing w:before="0" w:line="240" w:lineRule="auto"/>
              <w:jc w:val="left"/>
              <w:rPr>
                <w:sz w:val="18"/>
                <w:szCs w:val="18"/>
              </w:rPr>
            </w:pPr>
            <w:r w:rsidRPr="00A71C8E">
              <w:rPr>
                <w:sz w:val="18"/>
                <w:szCs w:val="18"/>
              </w:rPr>
              <w:t>20,0</w:t>
            </w:r>
          </w:p>
        </w:tc>
        <w:tc>
          <w:tcPr>
            <w:tcW w:w="260" w:type="pct"/>
            <w:shd w:val="clear" w:color="auto" w:fill="D9D9D9"/>
            <w:noWrap/>
            <w:hideMark/>
          </w:tcPr>
          <w:p w14:paraId="237451E0" w14:textId="77777777" w:rsidR="00881780" w:rsidRPr="00A71C8E" w:rsidRDefault="00881780" w:rsidP="006F4D8F">
            <w:pPr>
              <w:spacing w:before="0" w:line="240" w:lineRule="auto"/>
              <w:jc w:val="left"/>
              <w:rPr>
                <w:sz w:val="18"/>
                <w:szCs w:val="18"/>
              </w:rPr>
            </w:pPr>
            <w:r w:rsidRPr="00A71C8E">
              <w:rPr>
                <w:sz w:val="18"/>
                <w:szCs w:val="18"/>
              </w:rPr>
              <w:t>20,6</w:t>
            </w:r>
          </w:p>
        </w:tc>
        <w:tc>
          <w:tcPr>
            <w:tcW w:w="259" w:type="pct"/>
            <w:shd w:val="clear" w:color="auto" w:fill="D9D9D9"/>
            <w:noWrap/>
            <w:hideMark/>
          </w:tcPr>
          <w:p w14:paraId="4075C3AF" w14:textId="77777777" w:rsidR="00881780" w:rsidRPr="00A71C8E" w:rsidRDefault="00881780" w:rsidP="006F4D8F">
            <w:pPr>
              <w:spacing w:before="0" w:line="240" w:lineRule="auto"/>
              <w:jc w:val="left"/>
              <w:rPr>
                <w:sz w:val="18"/>
                <w:szCs w:val="18"/>
              </w:rPr>
            </w:pPr>
            <w:r w:rsidRPr="00A71C8E">
              <w:rPr>
                <w:sz w:val="18"/>
                <w:szCs w:val="18"/>
              </w:rPr>
              <w:t>21,2</w:t>
            </w:r>
          </w:p>
        </w:tc>
      </w:tr>
      <w:tr w:rsidR="00881780" w:rsidRPr="00A71C8E" w14:paraId="515C1548" w14:textId="77777777" w:rsidTr="006F4D8F">
        <w:trPr>
          <w:trHeight w:val="300"/>
        </w:trPr>
        <w:tc>
          <w:tcPr>
            <w:tcW w:w="312" w:type="pct"/>
            <w:noWrap/>
            <w:hideMark/>
          </w:tcPr>
          <w:p w14:paraId="4FA79504" w14:textId="77777777" w:rsidR="00881780" w:rsidRPr="00A71C8E" w:rsidRDefault="00881780" w:rsidP="006F4D8F">
            <w:pPr>
              <w:spacing w:before="0" w:line="240" w:lineRule="auto"/>
              <w:jc w:val="left"/>
              <w:rPr>
                <w:sz w:val="18"/>
                <w:szCs w:val="18"/>
              </w:rPr>
            </w:pPr>
            <w:r w:rsidRPr="00A71C8E">
              <w:rPr>
                <w:sz w:val="18"/>
                <w:szCs w:val="18"/>
              </w:rPr>
              <w:t>Lubuskie</w:t>
            </w:r>
          </w:p>
        </w:tc>
        <w:tc>
          <w:tcPr>
            <w:tcW w:w="260" w:type="pct"/>
            <w:shd w:val="clear" w:color="auto" w:fill="C6D9F1"/>
            <w:noWrap/>
            <w:hideMark/>
          </w:tcPr>
          <w:p w14:paraId="6B0C951D" w14:textId="77777777" w:rsidR="00881780" w:rsidRPr="00A71C8E" w:rsidRDefault="00881780" w:rsidP="006F4D8F">
            <w:pPr>
              <w:spacing w:before="0" w:line="240" w:lineRule="auto"/>
              <w:jc w:val="left"/>
              <w:rPr>
                <w:sz w:val="18"/>
                <w:szCs w:val="18"/>
              </w:rPr>
            </w:pPr>
            <w:r w:rsidRPr="00A71C8E">
              <w:rPr>
                <w:sz w:val="18"/>
                <w:szCs w:val="18"/>
              </w:rPr>
              <w:t>18,6</w:t>
            </w:r>
          </w:p>
        </w:tc>
        <w:tc>
          <w:tcPr>
            <w:tcW w:w="260" w:type="pct"/>
            <w:shd w:val="clear" w:color="auto" w:fill="C6D9F1"/>
            <w:noWrap/>
            <w:hideMark/>
          </w:tcPr>
          <w:p w14:paraId="5CC17CF5" w14:textId="77777777" w:rsidR="00881780" w:rsidRPr="00A71C8E" w:rsidRDefault="00881780" w:rsidP="006F4D8F">
            <w:pPr>
              <w:spacing w:before="0" w:line="240" w:lineRule="auto"/>
              <w:jc w:val="left"/>
              <w:rPr>
                <w:sz w:val="18"/>
                <w:szCs w:val="18"/>
              </w:rPr>
            </w:pPr>
            <w:r w:rsidRPr="00A71C8E">
              <w:rPr>
                <w:sz w:val="18"/>
                <w:szCs w:val="18"/>
              </w:rPr>
              <w:t>18,4</w:t>
            </w:r>
          </w:p>
        </w:tc>
        <w:tc>
          <w:tcPr>
            <w:tcW w:w="260" w:type="pct"/>
            <w:shd w:val="clear" w:color="auto" w:fill="C6D9F1"/>
            <w:noWrap/>
            <w:hideMark/>
          </w:tcPr>
          <w:p w14:paraId="05E3B3ED" w14:textId="77777777" w:rsidR="00881780" w:rsidRPr="00A71C8E" w:rsidRDefault="00881780" w:rsidP="006F4D8F">
            <w:pPr>
              <w:spacing w:before="0" w:line="240" w:lineRule="auto"/>
              <w:jc w:val="left"/>
              <w:rPr>
                <w:sz w:val="18"/>
                <w:szCs w:val="18"/>
              </w:rPr>
            </w:pPr>
            <w:r w:rsidRPr="00A71C8E">
              <w:rPr>
                <w:sz w:val="18"/>
                <w:szCs w:val="18"/>
              </w:rPr>
              <w:t>18,3</w:t>
            </w:r>
          </w:p>
        </w:tc>
        <w:tc>
          <w:tcPr>
            <w:tcW w:w="260" w:type="pct"/>
            <w:shd w:val="clear" w:color="auto" w:fill="C6D9F1"/>
            <w:noWrap/>
            <w:hideMark/>
          </w:tcPr>
          <w:p w14:paraId="0B7A3450" w14:textId="77777777" w:rsidR="00881780" w:rsidRPr="00A71C8E" w:rsidRDefault="00881780" w:rsidP="006F4D8F">
            <w:pPr>
              <w:spacing w:before="0" w:line="240" w:lineRule="auto"/>
              <w:jc w:val="left"/>
              <w:rPr>
                <w:sz w:val="18"/>
                <w:szCs w:val="18"/>
              </w:rPr>
            </w:pPr>
            <w:r w:rsidRPr="00A71C8E">
              <w:rPr>
                <w:sz w:val="18"/>
                <w:szCs w:val="18"/>
              </w:rPr>
              <w:t>18,1</w:t>
            </w:r>
          </w:p>
        </w:tc>
        <w:tc>
          <w:tcPr>
            <w:tcW w:w="262" w:type="pct"/>
            <w:shd w:val="clear" w:color="auto" w:fill="C6D9F1"/>
            <w:noWrap/>
            <w:hideMark/>
          </w:tcPr>
          <w:p w14:paraId="6A3590CA" w14:textId="77777777" w:rsidR="00881780" w:rsidRPr="00A71C8E" w:rsidRDefault="00881780" w:rsidP="006F4D8F">
            <w:pPr>
              <w:spacing w:before="0" w:line="240" w:lineRule="auto"/>
              <w:jc w:val="left"/>
              <w:rPr>
                <w:sz w:val="18"/>
                <w:szCs w:val="18"/>
              </w:rPr>
            </w:pPr>
            <w:r w:rsidRPr="00A71C8E">
              <w:rPr>
                <w:sz w:val="18"/>
                <w:szCs w:val="18"/>
              </w:rPr>
              <w:t>18,1</w:t>
            </w:r>
          </w:p>
        </w:tc>
        <w:tc>
          <w:tcPr>
            <w:tcW w:w="264" w:type="pct"/>
            <w:shd w:val="clear" w:color="auto" w:fill="C6D9F1"/>
            <w:noWrap/>
            <w:hideMark/>
          </w:tcPr>
          <w:p w14:paraId="24008A46" w14:textId="77777777" w:rsidR="00881780" w:rsidRPr="00A71C8E" w:rsidRDefault="00881780" w:rsidP="006F4D8F">
            <w:pPr>
              <w:spacing w:before="0" w:line="240" w:lineRule="auto"/>
              <w:jc w:val="left"/>
              <w:rPr>
                <w:sz w:val="18"/>
                <w:szCs w:val="18"/>
              </w:rPr>
            </w:pPr>
            <w:r w:rsidRPr="00A71C8E">
              <w:rPr>
                <w:sz w:val="18"/>
                <w:szCs w:val="18"/>
              </w:rPr>
              <w:t>18,1</w:t>
            </w:r>
          </w:p>
        </w:tc>
        <w:tc>
          <w:tcPr>
            <w:tcW w:w="260" w:type="pct"/>
            <w:shd w:val="clear" w:color="auto" w:fill="DBE5F1"/>
            <w:noWrap/>
            <w:hideMark/>
          </w:tcPr>
          <w:p w14:paraId="43C560B1" w14:textId="77777777" w:rsidR="00881780" w:rsidRPr="00A71C8E" w:rsidRDefault="00881780" w:rsidP="006F4D8F">
            <w:pPr>
              <w:spacing w:before="0" w:line="240" w:lineRule="auto"/>
              <w:jc w:val="left"/>
              <w:rPr>
                <w:sz w:val="18"/>
                <w:szCs w:val="18"/>
              </w:rPr>
            </w:pPr>
            <w:r w:rsidRPr="00A71C8E">
              <w:rPr>
                <w:sz w:val="18"/>
                <w:szCs w:val="18"/>
              </w:rPr>
              <w:t>64,9</w:t>
            </w:r>
          </w:p>
        </w:tc>
        <w:tc>
          <w:tcPr>
            <w:tcW w:w="260" w:type="pct"/>
            <w:shd w:val="clear" w:color="auto" w:fill="DBE5F1"/>
            <w:noWrap/>
            <w:hideMark/>
          </w:tcPr>
          <w:p w14:paraId="061B4829" w14:textId="77777777" w:rsidR="00881780" w:rsidRPr="00A71C8E" w:rsidRDefault="00881780" w:rsidP="006F4D8F">
            <w:pPr>
              <w:spacing w:before="0" w:line="240" w:lineRule="auto"/>
              <w:jc w:val="left"/>
              <w:rPr>
                <w:sz w:val="18"/>
                <w:szCs w:val="18"/>
              </w:rPr>
            </w:pPr>
            <w:r w:rsidRPr="00A71C8E">
              <w:rPr>
                <w:sz w:val="18"/>
                <w:szCs w:val="18"/>
              </w:rPr>
              <w:t>64,4</w:t>
            </w:r>
          </w:p>
        </w:tc>
        <w:tc>
          <w:tcPr>
            <w:tcW w:w="262" w:type="pct"/>
            <w:shd w:val="clear" w:color="auto" w:fill="DBE5F1"/>
            <w:noWrap/>
            <w:hideMark/>
          </w:tcPr>
          <w:p w14:paraId="5FAC08E9" w14:textId="77777777" w:rsidR="00881780" w:rsidRPr="00A71C8E" w:rsidRDefault="00881780" w:rsidP="006F4D8F">
            <w:pPr>
              <w:spacing w:before="0" w:line="240" w:lineRule="auto"/>
              <w:jc w:val="left"/>
              <w:rPr>
                <w:sz w:val="18"/>
                <w:szCs w:val="18"/>
              </w:rPr>
            </w:pPr>
            <w:r w:rsidRPr="00A71C8E">
              <w:rPr>
                <w:sz w:val="18"/>
                <w:szCs w:val="18"/>
              </w:rPr>
              <w:t>63,8</w:t>
            </w:r>
          </w:p>
        </w:tc>
        <w:tc>
          <w:tcPr>
            <w:tcW w:w="260" w:type="pct"/>
            <w:shd w:val="clear" w:color="auto" w:fill="DBE5F1"/>
            <w:noWrap/>
            <w:hideMark/>
          </w:tcPr>
          <w:p w14:paraId="65DEBF70" w14:textId="77777777" w:rsidR="00881780" w:rsidRPr="00A71C8E" w:rsidRDefault="00881780" w:rsidP="006F4D8F">
            <w:pPr>
              <w:spacing w:before="0" w:line="240" w:lineRule="auto"/>
              <w:jc w:val="left"/>
              <w:rPr>
                <w:sz w:val="18"/>
                <w:szCs w:val="18"/>
              </w:rPr>
            </w:pPr>
            <w:r w:rsidRPr="00A71C8E">
              <w:rPr>
                <w:sz w:val="18"/>
                <w:szCs w:val="18"/>
              </w:rPr>
              <w:t>63,1</w:t>
            </w:r>
          </w:p>
        </w:tc>
        <w:tc>
          <w:tcPr>
            <w:tcW w:w="260" w:type="pct"/>
            <w:shd w:val="clear" w:color="auto" w:fill="DBE5F1"/>
            <w:noWrap/>
            <w:hideMark/>
          </w:tcPr>
          <w:p w14:paraId="2D632200" w14:textId="77777777" w:rsidR="00881780" w:rsidRPr="00A71C8E" w:rsidRDefault="00881780" w:rsidP="006F4D8F">
            <w:pPr>
              <w:spacing w:before="0" w:line="240" w:lineRule="auto"/>
              <w:jc w:val="left"/>
              <w:rPr>
                <w:sz w:val="18"/>
                <w:szCs w:val="18"/>
              </w:rPr>
            </w:pPr>
            <w:r w:rsidRPr="00A71C8E">
              <w:rPr>
                <w:sz w:val="18"/>
                <w:szCs w:val="18"/>
              </w:rPr>
              <w:t>62,4</w:t>
            </w:r>
          </w:p>
        </w:tc>
        <w:tc>
          <w:tcPr>
            <w:tcW w:w="260" w:type="pct"/>
            <w:shd w:val="clear" w:color="auto" w:fill="DBE5F1"/>
            <w:noWrap/>
            <w:hideMark/>
          </w:tcPr>
          <w:p w14:paraId="4F1C2C92" w14:textId="77777777" w:rsidR="00881780" w:rsidRPr="00A71C8E" w:rsidRDefault="00881780" w:rsidP="006F4D8F">
            <w:pPr>
              <w:spacing w:before="0" w:line="240" w:lineRule="auto"/>
              <w:jc w:val="left"/>
              <w:rPr>
                <w:sz w:val="18"/>
                <w:szCs w:val="18"/>
              </w:rPr>
            </w:pPr>
            <w:r w:rsidRPr="00A71C8E">
              <w:rPr>
                <w:sz w:val="18"/>
                <w:szCs w:val="18"/>
              </w:rPr>
              <w:t>61,7</w:t>
            </w:r>
          </w:p>
        </w:tc>
        <w:tc>
          <w:tcPr>
            <w:tcW w:w="260" w:type="pct"/>
            <w:shd w:val="clear" w:color="auto" w:fill="D9D9D9"/>
            <w:noWrap/>
            <w:hideMark/>
          </w:tcPr>
          <w:p w14:paraId="06E6BD53" w14:textId="77777777" w:rsidR="00881780" w:rsidRPr="00A71C8E" w:rsidRDefault="00881780" w:rsidP="006F4D8F">
            <w:pPr>
              <w:spacing w:before="0" w:line="240" w:lineRule="auto"/>
              <w:jc w:val="left"/>
              <w:rPr>
                <w:sz w:val="18"/>
                <w:szCs w:val="18"/>
              </w:rPr>
            </w:pPr>
            <w:r w:rsidRPr="00A71C8E">
              <w:rPr>
                <w:sz w:val="18"/>
                <w:szCs w:val="18"/>
              </w:rPr>
              <w:t>16,4</w:t>
            </w:r>
          </w:p>
        </w:tc>
        <w:tc>
          <w:tcPr>
            <w:tcW w:w="261" w:type="pct"/>
            <w:shd w:val="clear" w:color="auto" w:fill="D9D9D9"/>
            <w:noWrap/>
            <w:hideMark/>
          </w:tcPr>
          <w:p w14:paraId="5CF9DC49" w14:textId="77777777" w:rsidR="00881780" w:rsidRPr="00A71C8E" w:rsidRDefault="00881780" w:rsidP="006F4D8F">
            <w:pPr>
              <w:spacing w:before="0" w:line="240" w:lineRule="auto"/>
              <w:jc w:val="left"/>
              <w:rPr>
                <w:sz w:val="18"/>
                <w:szCs w:val="18"/>
              </w:rPr>
            </w:pPr>
            <w:r w:rsidRPr="00A71C8E">
              <w:rPr>
                <w:sz w:val="18"/>
                <w:szCs w:val="18"/>
              </w:rPr>
              <w:t>17,2</w:t>
            </w:r>
          </w:p>
        </w:tc>
        <w:tc>
          <w:tcPr>
            <w:tcW w:w="260" w:type="pct"/>
            <w:shd w:val="clear" w:color="auto" w:fill="D9D9D9"/>
            <w:noWrap/>
            <w:hideMark/>
          </w:tcPr>
          <w:p w14:paraId="7884D321" w14:textId="77777777" w:rsidR="00881780" w:rsidRPr="00A71C8E" w:rsidRDefault="00881780" w:rsidP="006F4D8F">
            <w:pPr>
              <w:spacing w:before="0" w:line="240" w:lineRule="auto"/>
              <w:jc w:val="left"/>
              <w:rPr>
                <w:sz w:val="18"/>
                <w:szCs w:val="18"/>
              </w:rPr>
            </w:pPr>
            <w:r w:rsidRPr="00A71C8E">
              <w:rPr>
                <w:sz w:val="18"/>
                <w:szCs w:val="18"/>
              </w:rPr>
              <w:t>18,0</w:t>
            </w:r>
          </w:p>
        </w:tc>
        <w:tc>
          <w:tcPr>
            <w:tcW w:w="260" w:type="pct"/>
            <w:shd w:val="clear" w:color="auto" w:fill="D9D9D9"/>
            <w:noWrap/>
            <w:hideMark/>
          </w:tcPr>
          <w:p w14:paraId="1AA4876F" w14:textId="77777777" w:rsidR="00881780" w:rsidRPr="00A71C8E" w:rsidRDefault="00881780" w:rsidP="006F4D8F">
            <w:pPr>
              <w:spacing w:before="0" w:line="240" w:lineRule="auto"/>
              <w:jc w:val="left"/>
              <w:rPr>
                <w:sz w:val="18"/>
                <w:szCs w:val="18"/>
              </w:rPr>
            </w:pPr>
            <w:r w:rsidRPr="00A71C8E">
              <w:rPr>
                <w:sz w:val="18"/>
                <w:szCs w:val="18"/>
              </w:rPr>
              <w:t>18,8</w:t>
            </w:r>
          </w:p>
        </w:tc>
        <w:tc>
          <w:tcPr>
            <w:tcW w:w="260" w:type="pct"/>
            <w:shd w:val="clear" w:color="auto" w:fill="D9D9D9"/>
            <w:noWrap/>
            <w:hideMark/>
          </w:tcPr>
          <w:p w14:paraId="34EC7D46" w14:textId="77777777" w:rsidR="00881780" w:rsidRPr="00A71C8E" w:rsidRDefault="00881780" w:rsidP="006F4D8F">
            <w:pPr>
              <w:spacing w:before="0" w:line="240" w:lineRule="auto"/>
              <w:jc w:val="left"/>
              <w:rPr>
                <w:sz w:val="18"/>
                <w:szCs w:val="18"/>
              </w:rPr>
            </w:pPr>
            <w:r w:rsidRPr="00A71C8E">
              <w:rPr>
                <w:sz w:val="18"/>
                <w:szCs w:val="18"/>
              </w:rPr>
              <w:t>19,5</w:t>
            </w:r>
          </w:p>
        </w:tc>
        <w:tc>
          <w:tcPr>
            <w:tcW w:w="259" w:type="pct"/>
            <w:shd w:val="clear" w:color="auto" w:fill="D9D9D9"/>
            <w:noWrap/>
            <w:hideMark/>
          </w:tcPr>
          <w:p w14:paraId="6F8EB900" w14:textId="77777777" w:rsidR="00881780" w:rsidRPr="00A71C8E" w:rsidRDefault="00881780" w:rsidP="006F4D8F">
            <w:pPr>
              <w:spacing w:before="0" w:line="240" w:lineRule="auto"/>
              <w:jc w:val="left"/>
              <w:rPr>
                <w:sz w:val="18"/>
                <w:szCs w:val="18"/>
              </w:rPr>
            </w:pPr>
            <w:r w:rsidRPr="00A71C8E">
              <w:rPr>
                <w:sz w:val="18"/>
                <w:szCs w:val="18"/>
              </w:rPr>
              <w:t>20,3</w:t>
            </w:r>
          </w:p>
        </w:tc>
      </w:tr>
      <w:tr w:rsidR="00881780" w:rsidRPr="00A71C8E" w14:paraId="4AE7168A" w14:textId="77777777" w:rsidTr="006F4D8F">
        <w:trPr>
          <w:trHeight w:val="300"/>
        </w:trPr>
        <w:tc>
          <w:tcPr>
            <w:tcW w:w="312" w:type="pct"/>
            <w:noWrap/>
            <w:hideMark/>
          </w:tcPr>
          <w:p w14:paraId="54A954BB" w14:textId="77777777" w:rsidR="00881780" w:rsidRPr="00A71C8E" w:rsidRDefault="00881780" w:rsidP="006F4D8F">
            <w:pPr>
              <w:spacing w:before="0" w:line="240" w:lineRule="auto"/>
              <w:jc w:val="left"/>
              <w:rPr>
                <w:sz w:val="18"/>
                <w:szCs w:val="18"/>
              </w:rPr>
            </w:pPr>
            <w:r w:rsidRPr="00A71C8E">
              <w:rPr>
                <w:sz w:val="18"/>
                <w:szCs w:val="18"/>
              </w:rPr>
              <w:t>Łódzkie</w:t>
            </w:r>
          </w:p>
        </w:tc>
        <w:tc>
          <w:tcPr>
            <w:tcW w:w="260" w:type="pct"/>
            <w:shd w:val="clear" w:color="auto" w:fill="C6D9F1"/>
            <w:noWrap/>
            <w:hideMark/>
          </w:tcPr>
          <w:p w14:paraId="7F246126" w14:textId="77777777" w:rsidR="00881780" w:rsidRPr="00A71C8E" w:rsidRDefault="00881780" w:rsidP="006F4D8F">
            <w:pPr>
              <w:spacing w:before="0" w:line="240" w:lineRule="auto"/>
              <w:jc w:val="left"/>
              <w:rPr>
                <w:sz w:val="18"/>
                <w:szCs w:val="18"/>
              </w:rPr>
            </w:pPr>
            <w:r w:rsidRPr="00A71C8E">
              <w:rPr>
                <w:sz w:val="18"/>
                <w:szCs w:val="18"/>
              </w:rPr>
              <w:t>17,1</w:t>
            </w:r>
          </w:p>
        </w:tc>
        <w:tc>
          <w:tcPr>
            <w:tcW w:w="260" w:type="pct"/>
            <w:shd w:val="clear" w:color="auto" w:fill="C6D9F1"/>
            <w:noWrap/>
            <w:hideMark/>
          </w:tcPr>
          <w:p w14:paraId="31AFD921" w14:textId="77777777" w:rsidR="00881780" w:rsidRPr="00A71C8E" w:rsidRDefault="00881780" w:rsidP="006F4D8F">
            <w:pPr>
              <w:spacing w:before="0" w:line="240" w:lineRule="auto"/>
              <w:jc w:val="left"/>
              <w:rPr>
                <w:sz w:val="18"/>
                <w:szCs w:val="18"/>
              </w:rPr>
            </w:pPr>
            <w:r w:rsidRPr="00A71C8E">
              <w:rPr>
                <w:sz w:val="18"/>
                <w:szCs w:val="18"/>
              </w:rPr>
              <w:t>17,0</w:t>
            </w:r>
          </w:p>
        </w:tc>
        <w:tc>
          <w:tcPr>
            <w:tcW w:w="260" w:type="pct"/>
            <w:shd w:val="clear" w:color="auto" w:fill="C6D9F1"/>
            <w:noWrap/>
            <w:hideMark/>
          </w:tcPr>
          <w:p w14:paraId="4229973D"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C6D9F1"/>
            <w:noWrap/>
            <w:hideMark/>
          </w:tcPr>
          <w:p w14:paraId="509BC73E" w14:textId="77777777" w:rsidR="00881780" w:rsidRPr="00A71C8E" w:rsidRDefault="00881780" w:rsidP="006F4D8F">
            <w:pPr>
              <w:spacing w:before="0" w:line="240" w:lineRule="auto"/>
              <w:jc w:val="left"/>
              <w:rPr>
                <w:sz w:val="18"/>
                <w:szCs w:val="18"/>
              </w:rPr>
            </w:pPr>
            <w:r w:rsidRPr="00A71C8E">
              <w:rPr>
                <w:sz w:val="18"/>
                <w:szCs w:val="18"/>
              </w:rPr>
              <w:t>16,8</w:t>
            </w:r>
          </w:p>
        </w:tc>
        <w:tc>
          <w:tcPr>
            <w:tcW w:w="262" w:type="pct"/>
            <w:shd w:val="clear" w:color="auto" w:fill="C6D9F1"/>
            <w:noWrap/>
            <w:hideMark/>
          </w:tcPr>
          <w:p w14:paraId="03376553" w14:textId="77777777" w:rsidR="00881780" w:rsidRPr="00A71C8E" w:rsidRDefault="00881780" w:rsidP="006F4D8F">
            <w:pPr>
              <w:spacing w:before="0" w:line="240" w:lineRule="auto"/>
              <w:jc w:val="left"/>
              <w:rPr>
                <w:sz w:val="18"/>
                <w:szCs w:val="18"/>
              </w:rPr>
            </w:pPr>
            <w:r w:rsidRPr="00A71C8E">
              <w:rPr>
                <w:sz w:val="18"/>
                <w:szCs w:val="18"/>
              </w:rPr>
              <w:t>16,8</w:t>
            </w:r>
          </w:p>
        </w:tc>
        <w:tc>
          <w:tcPr>
            <w:tcW w:w="264" w:type="pct"/>
            <w:shd w:val="clear" w:color="auto" w:fill="C6D9F1"/>
            <w:noWrap/>
            <w:hideMark/>
          </w:tcPr>
          <w:p w14:paraId="7F36E5C8"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DBE5F1"/>
            <w:noWrap/>
            <w:hideMark/>
          </w:tcPr>
          <w:p w14:paraId="781A388B" w14:textId="77777777" w:rsidR="00881780" w:rsidRPr="00A71C8E" w:rsidRDefault="00881780" w:rsidP="006F4D8F">
            <w:pPr>
              <w:spacing w:before="0" w:line="240" w:lineRule="auto"/>
              <w:jc w:val="left"/>
              <w:rPr>
                <w:sz w:val="18"/>
                <w:szCs w:val="18"/>
              </w:rPr>
            </w:pPr>
            <w:r w:rsidRPr="00A71C8E">
              <w:rPr>
                <w:sz w:val="18"/>
                <w:szCs w:val="18"/>
              </w:rPr>
              <w:t>62,9</w:t>
            </w:r>
          </w:p>
        </w:tc>
        <w:tc>
          <w:tcPr>
            <w:tcW w:w="260" w:type="pct"/>
            <w:shd w:val="clear" w:color="auto" w:fill="DBE5F1"/>
            <w:noWrap/>
            <w:hideMark/>
          </w:tcPr>
          <w:p w14:paraId="20F82C40" w14:textId="77777777" w:rsidR="00881780" w:rsidRPr="00A71C8E" w:rsidRDefault="00881780" w:rsidP="006F4D8F">
            <w:pPr>
              <w:spacing w:before="0" w:line="240" w:lineRule="auto"/>
              <w:jc w:val="left"/>
              <w:rPr>
                <w:sz w:val="18"/>
                <w:szCs w:val="18"/>
              </w:rPr>
            </w:pPr>
            <w:r w:rsidRPr="00A71C8E">
              <w:rPr>
                <w:sz w:val="18"/>
                <w:szCs w:val="18"/>
              </w:rPr>
              <w:t>62,4</w:t>
            </w:r>
          </w:p>
        </w:tc>
        <w:tc>
          <w:tcPr>
            <w:tcW w:w="262" w:type="pct"/>
            <w:shd w:val="clear" w:color="auto" w:fill="DBE5F1"/>
            <w:noWrap/>
            <w:hideMark/>
          </w:tcPr>
          <w:p w14:paraId="6BC6618C" w14:textId="77777777" w:rsidR="00881780" w:rsidRPr="00A71C8E" w:rsidRDefault="00881780" w:rsidP="006F4D8F">
            <w:pPr>
              <w:spacing w:before="0" w:line="240" w:lineRule="auto"/>
              <w:jc w:val="left"/>
              <w:rPr>
                <w:sz w:val="18"/>
                <w:szCs w:val="18"/>
              </w:rPr>
            </w:pPr>
            <w:r w:rsidRPr="00A71C8E">
              <w:rPr>
                <w:sz w:val="18"/>
                <w:szCs w:val="18"/>
              </w:rPr>
              <w:t>61,9</w:t>
            </w:r>
          </w:p>
        </w:tc>
        <w:tc>
          <w:tcPr>
            <w:tcW w:w="260" w:type="pct"/>
            <w:shd w:val="clear" w:color="auto" w:fill="DBE5F1"/>
            <w:noWrap/>
            <w:hideMark/>
          </w:tcPr>
          <w:p w14:paraId="349930F2" w14:textId="77777777" w:rsidR="00881780" w:rsidRPr="00A71C8E" w:rsidRDefault="00881780" w:rsidP="006F4D8F">
            <w:pPr>
              <w:spacing w:before="0" w:line="240" w:lineRule="auto"/>
              <w:jc w:val="left"/>
              <w:rPr>
                <w:sz w:val="18"/>
                <w:szCs w:val="18"/>
              </w:rPr>
            </w:pPr>
            <w:r w:rsidRPr="00A71C8E">
              <w:rPr>
                <w:sz w:val="18"/>
                <w:szCs w:val="18"/>
              </w:rPr>
              <w:t>61,4</w:t>
            </w:r>
          </w:p>
        </w:tc>
        <w:tc>
          <w:tcPr>
            <w:tcW w:w="260" w:type="pct"/>
            <w:shd w:val="clear" w:color="auto" w:fill="DBE5F1"/>
            <w:noWrap/>
            <w:hideMark/>
          </w:tcPr>
          <w:p w14:paraId="73F77BC4" w14:textId="77777777" w:rsidR="00881780" w:rsidRPr="00A71C8E" w:rsidRDefault="00881780" w:rsidP="006F4D8F">
            <w:pPr>
              <w:spacing w:before="0" w:line="240" w:lineRule="auto"/>
              <w:jc w:val="left"/>
              <w:rPr>
                <w:sz w:val="18"/>
                <w:szCs w:val="18"/>
              </w:rPr>
            </w:pPr>
            <w:r w:rsidRPr="00A71C8E">
              <w:rPr>
                <w:sz w:val="18"/>
                <w:szCs w:val="18"/>
              </w:rPr>
              <w:t>60,7</w:t>
            </w:r>
          </w:p>
        </w:tc>
        <w:tc>
          <w:tcPr>
            <w:tcW w:w="260" w:type="pct"/>
            <w:shd w:val="clear" w:color="auto" w:fill="DBE5F1"/>
            <w:noWrap/>
            <w:hideMark/>
          </w:tcPr>
          <w:p w14:paraId="785415D2" w14:textId="77777777" w:rsidR="00881780" w:rsidRPr="00A71C8E" w:rsidRDefault="00881780" w:rsidP="006F4D8F">
            <w:pPr>
              <w:spacing w:before="0" w:line="240" w:lineRule="auto"/>
              <w:jc w:val="left"/>
              <w:rPr>
                <w:sz w:val="18"/>
                <w:szCs w:val="18"/>
              </w:rPr>
            </w:pPr>
            <w:r w:rsidRPr="00A71C8E">
              <w:rPr>
                <w:sz w:val="18"/>
                <w:szCs w:val="18"/>
              </w:rPr>
              <w:t>60,0</w:t>
            </w:r>
          </w:p>
        </w:tc>
        <w:tc>
          <w:tcPr>
            <w:tcW w:w="260" w:type="pct"/>
            <w:shd w:val="clear" w:color="auto" w:fill="D9D9D9"/>
            <w:noWrap/>
            <w:hideMark/>
          </w:tcPr>
          <w:p w14:paraId="4CD610CD" w14:textId="77777777" w:rsidR="00881780" w:rsidRPr="00A71C8E" w:rsidRDefault="00881780" w:rsidP="006F4D8F">
            <w:pPr>
              <w:spacing w:before="0" w:line="240" w:lineRule="auto"/>
              <w:jc w:val="left"/>
              <w:rPr>
                <w:sz w:val="18"/>
                <w:szCs w:val="18"/>
              </w:rPr>
            </w:pPr>
            <w:r w:rsidRPr="00A71C8E">
              <w:rPr>
                <w:sz w:val="18"/>
                <w:szCs w:val="18"/>
              </w:rPr>
              <w:t>20,0</w:t>
            </w:r>
          </w:p>
        </w:tc>
        <w:tc>
          <w:tcPr>
            <w:tcW w:w="261" w:type="pct"/>
            <w:shd w:val="clear" w:color="auto" w:fill="D9D9D9"/>
            <w:noWrap/>
            <w:hideMark/>
          </w:tcPr>
          <w:p w14:paraId="4B4F5786" w14:textId="77777777" w:rsidR="00881780" w:rsidRPr="00A71C8E" w:rsidRDefault="00881780" w:rsidP="006F4D8F">
            <w:pPr>
              <w:spacing w:before="0" w:line="240" w:lineRule="auto"/>
              <w:jc w:val="left"/>
              <w:rPr>
                <w:sz w:val="18"/>
                <w:szCs w:val="18"/>
              </w:rPr>
            </w:pPr>
            <w:r w:rsidRPr="00A71C8E">
              <w:rPr>
                <w:sz w:val="18"/>
                <w:szCs w:val="18"/>
              </w:rPr>
              <w:t>20,6</w:t>
            </w:r>
          </w:p>
        </w:tc>
        <w:tc>
          <w:tcPr>
            <w:tcW w:w="260" w:type="pct"/>
            <w:shd w:val="clear" w:color="auto" w:fill="D9D9D9"/>
            <w:noWrap/>
            <w:hideMark/>
          </w:tcPr>
          <w:p w14:paraId="3DDD7B5C" w14:textId="77777777" w:rsidR="00881780" w:rsidRPr="00A71C8E" w:rsidRDefault="00881780" w:rsidP="006F4D8F">
            <w:pPr>
              <w:spacing w:before="0" w:line="240" w:lineRule="auto"/>
              <w:jc w:val="left"/>
              <w:rPr>
                <w:sz w:val="18"/>
                <w:szCs w:val="18"/>
              </w:rPr>
            </w:pPr>
            <w:r w:rsidRPr="00A71C8E">
              <w:rPr>
                <w:sz w:val="18"/>
                <w:szCs w:val="18"/>
              </w:rPr>
              <w:t>21,2</w:t>
            </w:r>
          </w:p>
        </w:tc>
        <w:tc>
          <w:tcPr>
            <w:tcW w:w="260" w:type="pct"/>
            <w:shd w:val="clear" w:color="auto" w:fill="D9D9D9"/>
            <w:noWrap/>
            <w:hideMark/>
          </w:tcPr>
          <w:p w14:paraId="74D23D6E" w14:textId="77777777" w:rsidR="00881780" w:rsidRPr="00A71C8E" w:rsidRDefault="00881780" w:rsidP="006F4D8F">
            <w:pPr>
              <w:spacing w:before="0" w:line="240" w:lineRule="auto"/>
              <w:jc w:val="left"/>
              <w:rPr>
                <w:sz w:val="18"/>
                <w:szCs w:val="18"/>
              </w:rPr>
            </w:pPr>
            <w:r w:rsidRPr="00A71C8E">
              <w:rPr>
                <w:sz w:val="18"/>
                <w:szCs w:val="18"/>
              </w:rPr>
              <w:t>21,8</w:t>
            </w:r>
          </w:p>
        </w:tc>
        <w:tc>
          <w:tcPr>
            <w:tcW w:w="260" w:type="pct"/>
            <w:shd w:val="clear" w:color="auto" w:fill="D9D9D9"/>
            <w:noWrap/>
            <w:hideMark/>
          </w:tcPr>
          <w:p w14:paraId="408B89F7" w14:textId="77777777" w:rsidR="00881780" w:rsidRPr="00A71C8E" w:rsidRDefault="00881780" w:rsidP="006F4D8F">
            <w:pPr>
              <w:spacing w:before="0" w:line="240" w:lineRule="auto"/>
              <w:jc w:val="left"/>
              <w:rPr>
                <w:sz w:val="18"/>
                <w:szCs w:val="18"/>
              </w:rPr>
            </w:pPr>
            <w:r w:rsidRPr="00A71C8E">
              <w:rPr>
                <w:sz w:val="18"/>
                <w:szCs w:val="18"/>
              </w:rPr>
              <w:t>22,5</w:t>
            </w:r>
          </w:p>
        </w:tc>
        <w:tc>
          <w:tcPr>
            <w:tcW w:w="259" w:type="pct"/>
            <w:shd w:val="clear" w:color="auto" w:fill="D9D9D9"/>
            <w:noWrap/>
            <w:hideMark/>
          </w:tcPr>
          <w:p w14:paraId="44389CE0" w14:textId="77777777" w:rsidR="00881780" w:rsidRPr="00A71C8E" w:rsidRDefault="00881780" w:rsidP="006F4D8F">
            <w:pPr>
              <w:spacing w:before="0" w:line="240" w:lineRule="auto"/>
              <w:jc w:val="left"/>
              <w:rPr>
                <w:sz w:val="18"/>
                <w:szCs w:val="18"/>
              </w:rPr>
            </w:pPr>
            <w:r w:rsidRPr="00A71C8E">
              <w:rPr>
                <w:sz w:val="18"/>
                <w:szCs w:val="18"/>
              </w:rPr>
              <w:t>23,1</w:t>
            </w:r>
          </w:p>
        </w:tc>
      </w:tr>
      <w:tr w:rsidR="00881780" w:rsidRPr="00A71C8E" w14:paraId="0C843295" w14:textId="77777777" w:rsidTr="006F4D8F">
        <w:trPr>
          <w:trHeight w:val="300"/>
        </w:trPr>
        <w:tc>
          <w:tcPr>
            <w:tcW w:w="312" w:type="pct"/>
            <w:noWrap/>
            <w:hideMark/>
          </w:tcPr>
          <w:p w14:paraId="1E588BD2" w14:textId="77777777" w:rsidR="00881780" w:rsidRPr="00A71C8E" w:rsidRDefault="00881780" w:rsidP="006F4D8F">
            <w:pPr>
              <w:spacing w:before="0" w:line="240" w:lineRule="auto"/>
              <w:jc w:val="left"/>
              <w:rPr>
                <w:sz w:val="18"/>
                <w:szCs w:val="18"/>
              </w:rPr>
            </w:pPr>
            <w:r w:rsidRPr="00A71C8E">
              <w:rPr>
                <w:sz w:val="18"/>
                <w:szCs w:val="18"/>
              </w:rPr>
              <w:t>Małopolskie</w:t>
            </w:r>
          </w:p>
        </w:tc>
        <w:tc>
          <w:tcPr>
            <w:tcW w:w="260" w:type="pct"/>
            <w:shd w:val="clear" w:color="auto" w:fill="C6D9F1"/>
            <w:noWrap/>
            <w:hideMark/>
          </w:tcPr>
          <w:p w14:paraId="45F8A90B" w14:textId="77777777" w:rsidR="00881780" w:rsidRPr="00A71C8E" w:rsidRDefault="00881780" w:rsidP="006F4D8F">
            <w:pPr>
              <w:spacing w:before="0" w:line="240" w:lineRule="auto"/>
              <w:jc w:val="left"/>
              <w:rPr>
                <w:sz w:val="18"/>
                <w:szCs w:val="18"/>
              </w:rPr>
            </w:pPr>
            <w:r w:rsidRPr="00A71C8E">
              <w:rPr>
                <w:sz w:val="18"/>
                <w:szCs w:val="18"/>
              </w:rPr>
              <w:t>19,4</w:t>
            </w:r>
          </w:p>
        </w:tc>
        <w:tc>
          <w:tcPr>
            <w:tcW w:w="260" w:type="pct"/>
            <w:shd w:val="clear" w:color="auto" w:fill="C6D9F1"/>
            <w:noWrap/>
            <w:hideMark/>
          </w:tcPr>
          <w:p w14:paraId="6F79D5D9" w14:textId="77777777" w:rsidR="00881780" w:rsidRPr="00A71C8E" w:rsidRDefault="00881780" w:rsidP="006F4D8F">
            <w:pPr>
              <w:spacing w:before="0" w:line="240" w:lineRule="auto"/>
              <w:jc w:val="left"/>
              <w:rPr>
                <w:sz w:val="18"/>
                <w:szCs w:val="18"/>
              </w:rPr>
            </w:pPr>
            <w:r w:rsidRPr="00A71C8E">
              <w:rPr>
                <w:sz w:val="18"/>
                <w:szCs w:val="18"/>
              </w:rPr>
              <w:t>19,2</w:t>
            </w:r>
          </w:p>
        </w:tc>
        <w:tc>
          <w:tcPr>
            <w:tcW w:w="260" w:type="pct"/>
            <w:shd w:val="clear" w:color="auto" w:fill="C6D9F1"/>
            <w:noWrap/>
            <w:hideMark/>
          </w:tcPr>
          <w:p w14:paraId="300DD148"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C6D9F1"/>
            <w:noWrap/>
            <w:hideMark/>
          </w:tcPr>
          <w:p w14:paraId="1D227CEB" w14:textId="77777777" w:rsidR="00881780" w:rsidRPr="00A71C8E" w:rsidRDefault="00881780" w:rsidP="006F4D8F">
            <w:pPr>
              <w:spacing w:before="0" w:line="240" w:lineRule="auto"/>
              <w:jc w:val="left"/>
              <w:rPr>
                <w:sz w:val="18"/>
                <w:szCs w:val="18"/>
              </w:rPr>
            </w:pPr>
            <w:r w:rsidRPr="00A71C8E">
              <w:rPr>
                <w:sz w:val="18"/>
                <w:szCs w:val="18"/>
              </w:rPr>
              <w:t>18,9</w:t>
            </w:r>
          </w:p>
        </w:tc>
        <w:tc>
          <w:tcPr>
            <w:tcW w:w="262" w:type="pct"/>
            <w:shd w:val="clear" w:color="auto" w:fill="C6D9F1"/>
            <w:noWrap/>
            <w:hideMark/>
          </w:tcPr>
          <w:p w14:paraId="4F1EFAF8" w14:textId="77777777" w:rsidR="00881780" w:rsidRPr="00A71C8E" w:rsidRDefault="00881780" w:rsidP="006F4D8F">
            <w:pPr>
              <w:spacing w:before="0" w:line="240" w:lineRule="auto"/>
              <w:jc w:val="left"/>
              <w:rPr>
                <w:sz w:val="18"/>
                <w:szCs w:val="18"/>
              </w:rPr>
            </w:pPr>
            <w:r w:rsidRPr="00A71C8E">
              <w:rPr>
                <w:sz w:val="18"/>
                <w:szCs w:val="18"/>
              </w:rPr>
              <w:t>18,9</w:t>
            </w:r>
          </w:p>
        </w:tc>
        <w:tc>
          <w:tcPr>
            <w:tcW w:w="264" w:type="pct"/>
            <w:shd w:val="clear" w:color="auto" w:fill="C6D9F1"/>
            <w:noWrap/>
            <w:hideMark/>
          </w:tcPr>
          <w:p w14:paraId="728ECD63" w14:textId="77777777" w:rsidR="00881780" w:rsidRPr="00A71C8E" w:rsidRDefault="00881780" w:rsidP="006F4D8F">
            <w:pPr>
              <w:spacing w:before="0" w:line="240" w:lineRule="auto"/>
              <w:jc w:val="left"/>
              <w:rPr>
                <w:sz w:val="18"/>
                <w:szCs w:val="18"/>
              </w:rPr>
            </w:pPr>
            <w:r w:rsidRPr="00A71C8E">
              <w:rPr>
                <w:sz w:val="18"/>
                <w:szCs w:val="18"/>
              </w:rPr>
              <w:t>18,9</w:t>
            </w:r>
          </w:p>
        </w:tc>
        <w:tc>
          <w:tcPr>
            <w:tcW w:w="260" w:type="pct"/>
            <w:shd w:val="clear" w:color="auto" w:fill="DBE5F1"/>
            <w:noWrap/>
            <w:hideMark/>
          </w:tcPr>
          <w:p w14:paraId="6B6A523D" w14:textId="77777777" w:rsidR="00881780" w:rsidRPr="00A71C8E" w:rsidRDefault="00881780" w:rsidP="006F4D8F">
            <w:pPr>
              <w:spacing w:before="0" w:line="240" w:lineRule="auto"/>
              <w:jc w:val="left"/>
              <w:rPr>
                <w:sz w:val="18"/>
                <w:szCs w:val="18"/>
              </w:rPr>
            </w:pPr>
            <w:r w:rsidRPr="00A71C8E">
              <w:rPr>
                <w:sz w:val="18"/>
                <w:szCs w:val="18"/>
              </w:rPr>
              <w:t>63,4</w:t>
            </w:r>
          </w:p>
        </w:tc>
        <w:tc>
          <w:tcPr>
            <w:tcW w:w="260" w:type="pct"/>
            <w:shd w:val="clear" w:color="auto" w:fill="DBE5F1"/>
            <w:noWrap/>
            <w:hideMark/>
          </w:tcPr>
          <w:p w14:paraId="68E1D0FD" w14:textId="77777777" w:rsidR="00881780" w:rsidRPr="00A71C8E" w:rsidRDefault="00881780" w:rsidP="006F4D8F">
            <w:pPr>
              <w:spacing w:before="0" w:line="240" w:lineRule="auto"/>
              <w:jc w:val="left"/>
              <w:rPr>
                <w:sz w:val="18"/>
                <w:szCs w:val="18"/>
              </w:rPr>
            </w:pPr>
            <w:r w:rsidRPr="00A71C8E">
              <w:rPr>
                <w:sz w:val="18"/>
                <w:szCs w:val="18"/>
              </w:rPr>
              <w:t>63,1</w:t>
            </w:r>
          </w:p>
        </w:tc>
        <w:tc>
          <w:tcPr>
            <w:tcW w:w="262" w:type="pct"/>
            <w:shd w:val="clear" w:color="auto" w:fill="DBE5F1"/>
            <w:noWrap/>
            <w:hideMark/>
          </w:tcPr>
          <w:p w14:paraId="3A1B6A3A" w14:textId="77777777" w:rsidR="00881780" w:rsidRPr="00A71C8E" w:rsidRDefault="00881780" w:rsidP="006F4D8F">
            <w:pPr>
              <w:spacing w:before="0" w:line="240" w:lineRule="auto"/>
              <w:jc w:val="left"/>
              <w:rPr>
                <w:sz w:val="18"/>
                <w:szCs w:val="18"/>
              </w:rPr>
            </w:pPr>
            <w:r w:rsidRPr="00A71C8E">
              <w:rPr>
                <w:sz w:val="18"/>
                <w:szCs w:val="18"/>
              </w:rPr>
              <w:t>62,8</w:t>
            </w:r>
          </w:p>
        </w:tc>
        <w:tc>
          <w:tcPr>
            <w:tcW w:w="260" w:type="pct"/>
            <w:shd w:val="clear" w:color="auto" w:fill="DBE5F1"/>
            <w:noWrap/>
            <w:hideMark/>
          </w:tcPr>
          <w:p w14:paraId="48C717A0" w14:textId="77777777" w:rsidR="00881780" w:rsidRPr="00A71C8E" w:rsidRDefault="00881780" w:rsidP="006F4D8F">
            <w:pPr>
              <w:spacing w:before="0" w:line="240" w:lineRule="auto"/>
              <w:jc w:val="left"/>
              <w:rPr>
                <w:sz w:val="18"/>
                <w:szCs w:val="18"/>
              </w:rPr>
            </w:pPr>
            <w:r w:rsidRPr="00A71C8E">
              <w:rPr>
                <w:sz w:val="18"/>
                <w:szCs w:val="18"/>
              </w:rPr>
              <w:t>62,4</w:t>
            </w:r>
          </w:p>
        </w:tc>
        <w:tc>
          <w:tcPr>
            <w:tcW w:w="260" w:type="pct"/>
            <w:shd w:val="clear" w:color="auto" w:fill="DBE5F1"/>
            <w:noWrap/>
            <w:hideMark/>
          </w:tcPr>
          <w:p w14:paraId="18E225D3" w14:textId="77777777" w:rsidR="00881780" w:rsidRPr="00A71C8E" w:rsidRDefault="00881780" w:rsidP="006F4D8F">
            <w:pPr>
              <w:spacing w:before="0" w:line="240" w:lineRule="auto"/>
              <w:jc w:val="left"/>
              <w:rPr>
                <w:sz w:val="18"/>
                <w:szCs w:val="18"/>
              </w:rPr>
            </w:pPr>
            <w:r w:rsidRPr="00A71C8E">
              <w:rPr>
                <w:sz w:val="18"/>
                <w:szCs w:val="18"/>
              </w:rPr>
              <w:t>62,0</w:t>
            </w:r>
          </w:p>
        </w:tc>
        <w:tc>
          <w:tcPr>
            <w:tcW w:w="260" w:type="pct"/>
            <w:shd w:val="clear" w:color="auto" w:fill="DBE5F1"/>
            <w:noWrap/>
            <w:hideMark/>
          </w:tcPr>
          <w:p w14:paraId="36D1DB2E" w14:textId="77777777" w:rsidR="00881780" w:rsidRPr="00A71C8E" w:rsidRDefault="00881780" w:rsidP="006F4D8F">
            <w:pPr>
              <w:spacing w:before="0" w:line="240" w:lineRule="auto"/>
              <w:jc w:val="left"/>
              <w:rPr>
                <w:sz w:val="18"/>
                <w:szCs w:val="18"/>
              </w:rPr>
            </w:pPr>
            <w:r w:rsidRPr="00A71C8E">
              <w:rPr>
                <w:sz w:val="18"/>
                <w:szCs w:val="18"/>
              </w:rPr>
              <w:t>61,5</w:t>
            </w:r>
          </w:p>
        </w:tc>
        <w:tc>
          <w:tcPr>
            <w:tcW w:w="260" w:type="pct"/>
            <w:shd w:val="clear" w:color="auto" w:fill="D9D9D9"/>
            <w:noWrap/>
            <w:hideMark/>
          </w:tcPr>
          <w:p w14:paraId="2BD25126" w14:textId="77777777" w:rsidR="00881780" w:rsidRPr="00A71C8E" w:rsidRDefault="00881780" w:rsidP="006F4D8F">
            <w:pPr>
              <w:spacing w:before="0" w:line="240" w:lineRule="auto"/>
              <w:jc w:val="left"/>
              <w:rPr>
                <w:sz w:val="18"/>
                <w:szCs w:val="18"/>
              </w:rPr>
            </w:pPr>
            <w:r w:rsidRPr="00A71C8E">
              <w:rPr>
                <w:sz w:val="18"/>
                <w:szCs w:val="18"/>
              </w:rPr>
              <w:t>17,3</w:t>
            </w:r>
          </w:p>
        </w:tc>
        <w:tc>
          <w:tcPr>
            <w:tcW w:w="261" w:type="pct"/>
            <w:shd w:val="clear" w:color="auto" w:fill="D9D9D9"/>
            <w:noWrap/>
            <w:hideMark/>
          </w:tcPr>
          <w:p w14:paraId="3E7FE5B0"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9D9D9"/>
            <w:noWrap/>
            <w:hideMark/>
          </w:tcPr>
          <w:p w14:paraId="4B9B6455" w14:textId="77777777" w:rsidR="00881780" w:rsidRPr="00A71C8E" w:rsidRDefault="00881780" w:rsidP="006F4D8F">
            <w:pPr>
              <w:spacing w:before="0" w:line="240" w:lineRule="auto"/>
              <w:jc w:val="left"/>
              <w:rPr>
                <w:sz w:val="18"/>
                <w:szCs w:val="18"/>
              </w:rPr>
            </w:pPr>
            <w:r w:rsidRPr="00A71C8E">
              <w:rPr>
                <w:sz w:val="18"/>
                <w:szCs w:val="18"/>
              </w:rPr>
              <w:t>18,2</w:t>
            </w:r>
          </w:p>
        </w:tc>
        <w:tc>
          <w:tcPr>
            <w:tcW w:w="260" w:type="pct"/>
            <w:shd w:val="clear" w:color="auto" w:fill="D9D9D9"/>
            <w:noWrap/>
            <w:hideMark/>
          </w:tcPr>
          <w:p w14:paraId="2364F117" w14:textId="77777777" w:rsidR="00881780" w:rsidRPr="00A71C8E" w:rsidRDefault="00881780" w:rsidP="006F4D8F">
            <w:pPr>
              <w:spacing w:before="0" w:line="240" w:lineRule="auto"/>
              <w:jc w:val="left"/>
              <w:rPr>
                <w:sz w:val="18"/>
                <w:szCs w:val="18"/>
              </w:rPr>
            </w:pPr>
            <w:r w:rsidRPr="00A71C8E">
              <w:rPr>
                <w:sz w:val="18"/>
                <w:szCs w:val="18"/>
              </w:rPr>
              <w:t>18,6</w:t>
            </w:r>
          </w:p>
        </w:tc>
        <w:tc>
          <w:tcPr>
            <w:tcW w:w="260" w:type="pct"/>
            <w:shd w:val="clear" w:color="auto" w:fill="D9D9D9"/>
            <w:noWrap/>
            <w:hideMark/>
          </w:tcPr>
          <w:p w14:paraId="7281BB85" w14:textId="77777777" w:rsidR="00881780" w:rsidRPr="00A71C8E" w:rsidRDefault="00881780" w:rsidP="006F4D8F">
            <w:pPr>
              <w:spacing w:before="0" w:line="240" w:lineRule="auto"/>
              <w:jc w:val="left"/>
              <w:rPr>
                <w:sz w:val="18"/>
                <w:szCs w:val="18"/>
              </w:rPr>
            </w:pPr>
            <w:r w:rsidRPr="00A71C8E">
              <w:rPr>
                <w:sz w:val="18"/>
                <w:szCs w:val="18"/>
              </w:rPr>
              <w:t>19,1</w:t>
            </w:r>
          </w:p>
        </w:tc>
        <w:tc>
          <w:tcPr>
            <w:tcW w:w="259" w:type="pct"/>
            <w:shd w:val="clear" w:color="auto" w:fill="D9D9D9"/>
            <w:noWrap/>
            <w:hideMark/>
          </w:tcPr>
          <w:p w14:paraId="7603D80C" w14:textId="77777777" w:rsidR="00881780" w:rsidRPr="00A71C8E" w:rsidRDefault="00881780" w:rsidP="006F4D8F">
            <w:pPr>
              <w:spacing w:before="0" w:line="240" w:lineRule="auto"/>
              <w:jc w:val="left"/>
              <w:rPr>
                <w:sz w:val="18"/>
                <w:szCs w:val="18"/>
              </w:rPr>
            </w:pPr>
            <w:r w:rsidRPr="00A71C8E">
              <w:rPr>
                <w:sz w:val="18"/>
                <w:szCs w:val="18"/>
              </w:rPr>
              <w:t>19,5</w:t>
            </w:r>
          </w:p>
        </w:tc>
      </w:tr>
      <w:tr w:rsidR="00881780" w:rsidRPr="00A71C8E" w14:paraId="51A7A3DA" w14:textId="77777777" w:rsidTr="006F4D8F">
        <w:trPr>
          <w:trHeight w:val="300"/>
        </w:trPr>
        <w:tc>
          <w:tcPr>
            <w:tcW w:w="312" w:type="pct"/>
            <w:noWrap/>
            <w:hideMark/>
          </w:tcPr>
          <w:p w14:paraId="46953919" w14:textId="77777777" w:rsidR="00881780" w:rsidRPr="00A71C8E" w:rsidRDefault="00881780" w:rsidP="006F4D8F">
            <w:pPr>
              <w:spacing w:before="0" w:line="240" w:lineRule="auto"/>
              <w:jc w:val="left"/>
              <w:rPr>
                <w:sz w:val="18"/>
                <w:szCs w:val="18"/>
              </w:rPr>
            </w:pPr>
            <w:r w:rsidRPr="00A71C8E">
              <w:rPr>
                <w:sz w:val="18"/>
                <w:szCs w:val="18"/>
              </w:rPr>
              <w:t>Mazowieckie</w:t>
            </w:r>
          </w:p>
        </w:tc>
        <w:tc>
          <w:tcPr>
            <w:tcW w:w="260" w:type="pct"/>
            <w:shd w:val="clear" w:color="auto" w:fill="C6D9F1"/>
            <w:noWrap/>
            <w:hideMark/>
          </w:tcPr>
          <w:p w14:paraId="65BC4C0C" w14:textId="77777777" w:rsidR="00881780" w:rsidRPr="00A71C8E" w:rsidRDefault="00881780" w:rsidP="006F4D8F">
            <w:pPr>
              <w:spacing w:before="0" w:line="240" w:lineRule="auto"/>
              <w:jc w:val="left"/>
              <w:rPr>
                <w:sz w:val="18"/>
                <w:szCs w:val="18"/>
              </w:rPr>
            </w:pPr>
            <w:r w:rsidRPr="00A71C8E">
              <w:rPr>
                <w:sz w:val="18"/>
                <w:szCs w:val="18"/>
              </w:rPr>
              <w:t>18,6</w:t>
            </w:r>
          </w:p>
        </w:tc>
        <w:tc>
          <w:tcPr>
            <w:tcW w:w="260" w:type="pct"/>
            <w:shd w:val="clear" w:color="auto" w:fill="C6D9F1"/>
            <w:noWrap/>
            <w:hideMark/>
          </w:tcPr>
          <w:p w14:paraId="03BE4BA5" w14:textId="77777777" w:rsidR="00881780" w:rsidRPr="00A71C8E" w:rsidRDefault="00881780" w:rsidP="006F4D8F">
            <w:pPr>
              <w:spacing w:before="0" w:line="240" w:lineRule="auto"/>
              <w:jc w:val="left"/>
              <w:rPr>
                <w:sz w:val="18"/>
                <w:szCs w:val="18"/>
              </w:rPr>
            </w:pPr>
            <w:r w:rsidRPr="00A71C8E">
              <w:rPr>
                <w:sz w:val="18"/>
                <w:szCs w:val="18"/>
              </w:rPr>
              <w:t>18,5</w:t>
            </w:r>
          </w:p>
        </w:tc>
        <w:tc>
          <w:tcPr>
            <w:tcW w:w="260" w:type="pct"/>
            <w:shd w:val="clear" w:color="auto" w:fill="C6D9F1"/>
            <w:noWrap/>
            <w:hideMark/>
          </w:tcPr>
          <w:p w14:paraId="36689FE8" w14:textId="77777777" w:rsidR="00881780" w:rsidRPr="00A71C8E" w:rsidRDefault="00881780" w:rsidP="006F4D8F">
            <w:pPr>
              <w:spacing w:before="0" w:line="240" w:lineRule="auto"/>
              <w:jc w:val="left"/>
              <w:rPr>
                <w:sz w:val="18"/>
                <w:szCs w:val="18"/>
              </w:rPr>
            </w:pPr>
            <w:r w:rsidRPr="00A71C8E">
              <w:rPr>
                <w:sz w:val="18"/>
                <w:szCs w:val="18"/>
              </w:rPr>
              <w:t>18,5</w:t>
            </w:r>
          </w:p>
        </w:tc>
        <w:tc>
          <w:tcPr>
            <w:tcW w:w="260" w:type="pct"/>
            <w:shd w:val="clear" w:color="auto" w:fill="C6D9F1"/>
            <w:noWrap/>
            <w:hideMark/>
          </w:tcPr>
          <w:p w14:paraId="66CB4C23" w14:textId="77777777" w:rsidR="00881780" w:rsidRPr="00A71C8E" w:rsidRDefault="00881780" w:rsidP="006F4D8F">
            <w:pPr>
              <w:spacing w:before="0" w:line="240" w:lineRule="auto"/>
              <w:jc w:val="left"/>
              <w:rPr>
                <w:sz w:val="18"/>
                <w:szCs w:val="18"/>
              </w:rPr>
            </w:pPr>
            <w:r w:rsidRPr="00A71C8E">
              <w:rPr>
                <w:sz w:val="18"/>
                <w:szCs w:val="18"/>
              </w:rPr>
              <w:t>18,6</w:t>
            </w:r>
          </w:p>
        </w:tc>
        <w:tc>
          <w:tcPr>
            <w:tcW w:w="262" w:type="pct"/>
            <w:shd w:val="clear" w:color="auto" w:fill="C6D9F1"/>
            <w:noWrap/>
            <w:hideMark/>
          </w:tcPr>
          <w:p w14:paraId="2034D826" w14:textId="77777777" w:rsidR="00881780" w:rsidRPr="00A71C8E" w:rsidRDefault="00881780" w:rsidP="006F4D8F">
            <w:pPr>
              <w:spacing w:before="0" w:line="240" w:lineRule="auto"/>
              <w:jc w:val="left"/>
              <w:rPr>
                <w:sz w:val="18"/>
                <w:szCs w:val="18"/>
              </w:rPr>
            </w:pPr>
            <w:r w:rsidRPr="00A71C8E">
              <w:rPr>
                <w:sz w:val="18"/>
                <w:szCs w:val="18"/>
              </w:rPr>
              <w:t>18,7</w:t>
            </w:r>
          </w:p>
        </w:tc>
        <w:tc>
          <w:tcPr>
            <w:tcW w:w="264" w:type="pct"/>
            <w:shd w:val="clear" w:color="auto" w:fill="C6D9F1"/>
            <w:noWrap/>
            <w:hideMark/>
          </w:tcPr>
          <w:p w14:paraId="2654DFD4" w14:textId="77777777" w:rsidR="00881780" w:rsidRPr="00A71C8E" w:rsidRDefault="00881780" w:rsidP="006F4D8F">
            <w:pPr>
              <w:spacing w:before="0" w:line="240" w:lineRule="auto"/>
              <w:jc w:val="left"/>
              <w:rPr>
                <w:sz w:val="18"/>
                <w:szCs w:val="18"/>
              </w:rPr>
            </w:pPr>
            <w:r w:rsidRPr="00A71C8E">
              <w:rPr>
                <w:sz w:val="18"/>
                <w:szCs w:val="18"/>
              </w:rPr>
              <w:t>18,9</w:t>
            </w:r>
          </w:p>
        </w:tc>
        <w:tc>
          <w:tcPr>
            <w:tcW w:w="260" w:type="pct"/>
            <w:shd w:val="clear" w:color="auto" w:fill="DBE5F1"/>
            <w:noWrap/>
            <w:hideMark/>
          </w:tcPr>
          <w:p w14:paraId="211BA06F" w14:textId="77777777" w:rsidR="00881780" w:rsidRPr="00A71C8E" w:rsidRDefault="00881780" w:rsidP="006F4D8F">
            <w:pPr>
              <w:spacing w:before="0" w:line="240" w:lineRule="auto"/>
              <w:jc w:val="left"/>
              <w:rPr>
                <w:sz w:val="18"/>
                <w:szCs w:val="18"/>
              </w:rPr>
            </w:pPr>
            <w:r w:rsidRPr="00A71C8E">
              <w:rPr>
                <w:sz w:val="18"/>
                <w:szCs w:val="18"/>
              </w:rPr>
              <w:t>62,9</w:t>
            </w:r>
          </w:p>
        </w:tc>
        <w:tc>
          <w:tcPr>
            <w:tcW w:w="260" w:type="pct"/>
            <w:shd w:val="clear" w:color="auto" w:fill="DBE5F1"/>
            <w:noWrap/>
            <w:hideMark/>
          </w:tcPr>
          <w:p w14:paraId="3BE682B0" w14:textId="77777777" w:rsidR="00881780" w:rsidRPr="00A71C8E" w:rsidRDefault="00881780" w:rsidP="006F4D8F">
            <w:pPr>
              <w:spacing w:before="0" w:line="240" w:lineRule="auto"/>
              <w:jc w:val="left"/>
              <w:rPr>
                <w:sz w:val="18"/>
                <w:szCs w:val="18"/>
              </w:rPr>
            </w:pPr>
            <w:r w:rsidRPr="00A71C8E">
              <w:rPr>
                <w:sz w:val="18"/>
                <w:szCs w:val="18"/>
              </w:rPr>
              <w:t>62,4</w:t>
            </w:r>
          </w:p>
        </w:tc>
        <w:tc>
          <w:tcPr>
            <w:tcW w:w="262" w:type="pct"/>
            <w:shd w:val="clear" w:color="auto" w:fill="DBE5F1"/>
            <w:noWrap/>
            <w:hideMark/>
          </w:tcPr>
          <w:p w14:paraId="153074E7" w14:textId="77777777" w:rsidR="00881780" w:rsidRPr="00A71C8E" w:rsidRDefault="00881780" w:rsidP="006F4D8F">
            <w:pPr>
              <w:spacing w:before="0" w:line="240" w:lineRule="auto"/>
              <w:jc w:val="left"/>
              <w:rPr>
                <w:sz w:val="18"/>
                <w:szCs w:val="18"/>
              </w:rPr>
            </w:pPr>
            <w:r w:rsidRPr="00A71C8E">
              <w:rPr>
                <w:sz w:val="18"/>
                <w:szCs w:val="18"/>
              </w:rPr>
              <w:t>62,0</w:t>
            </w:r>
          </w:p>
        </w:tc>
        <w:tc>
          <w:tcPr>
            <w:tcW w:w="260" w:type="pct"/>
            <w:shd w:val="clear" w:color="auto" w:fill="DBE5F1"/>
            <w:noWrap/>
            <w:hideMark/>
          </w:tcPr>
          <w:p w14:paraId="7F018905" w14:textId="77777777" w:rsidR="00881780" w:rsidRPr="00A71C8E" w:rsidRDefault="00881780" w:rsidP="006F4D8F">
            <w:pPr>
              <w:spacing w:before="0" w:line="240" w:lineRule="auto"/>
              <w:jc w:val="left"/>
              <w:rPr>
                <w:sz w:val="18"/>
                <w:szCs w:val="18"/>
              </w:rPr>
            </w:pPr>
            <w:r w:rsidRPr="00A71C8E">
              <w:rPr>
                <w:sz w:val="18"/>
                <w:szCs w:val="18"/>
              </w:rPr>
              <w:t>61,4</w:t>
            </w:r>
          </w:p>
        </w:tc>
        <w:tc>
          <w:tcPr>
            <w:tcW w:w="260" w:type="pct"/>
            <w:shd w:val="clear" w:color="auto" w:fill="DBE5F1"/>
            <w:noWrap/>
            <w:hideMark/>
          </w:tcPr>
          <w:p w14:paraId="78F2937A" w14:textId="77777777" w:rsidR="00881780" w:rsidRPr="00A71C8E" w:rsidRDefault="00881780" w:rsidP="006F4D8F">
            <w:pPr>
              <w:spacing w:before="0" w:line="240" w:lineRule="auto"/>
              <w:jc w:val="left"/>
              <w:rPr>
                <w:sz w:val="18"/>
                <w:szCs w:val="18"/>
              </w:rPr>
            </w:pPr>
            <w:r w:rsidRPr="00A71C8E">
              <w:rPr>
                <w:sz w:val="18"/>
                <w:szCs w:val="18"/>
              </w:rPr>
              <w:t>60,7</w:t>
            </w:r>
          </w:p>
        </w:tc>
        <w:tc>
          <w:tcPr>
            <w:tcW w:w="260" w:type="pct"/>
            <w:shd w:val="clear" w:color="auto" w:fill="DBE5F1"/>
            <w:noWrap/>
            <w:hideMark/>
          </w:tcPr>
          <w:p w14:paraId="0D10A988" w14:textId="77777777" w:rsidR="00881780" w:rsidRPr="00A71C8E" w:rsidRDefault="00881780" w:rsidP="006F4D8F">
            <w:pPr>
              <w:spacing w:before="0" w:line="240" w:lineRule="auto"/>
              <w:jc w:val="left"/>
              <w:rPr>
                <w:sz w:val="18"/>
                <w:szCs w:val="18"/>
              </w:rPr>
            </w:pPr>
            <w:r w:rsidRPr="00A71C8E">
              <w:rPr>
                <w:sz w:val="18"/>
                <w:szCs w:val="18"/>
              </w:rPr>
              <w:t>60,1</w:t>
            </w:r>
          </w:p>
        </w:tc>
        <w:tc>
          <w:tcPr>
            <w:tcW w:w="260" w:type="pct"/>
            <w:shd w:val="clear" w:color="auto" w:fill="D9D9D9"/>
            <w:noWrap/>
            <w:hideMark/>
          </w:tcPr>
          <w:p w14:paraId="534483C6" w14:textId="77777777" w:rsidR="00881780" w:rsidRPr="00A71C8E" w:rsidRDefault="00881780" w:rsidP="006F4D8F">
            <w:pPr>
              <w:spacing w:before="0" w:line="240" w:lineRule="auto"/>
              <w:jc w:val="left"/>
              <w:rPr>
                <w:sz w:val="18"/>
                <w:szCs w:val="18"/>
              </w:rPr>
            </w:pPr>
            <w:r w:rsidRPr="00A71C8E">
              <w:rPr>
                <w:sz w:val="18"/>
                <w:szCs w:val="18"/>
              </w:rPr>
              <w:t>18,6</w:t>
            </w:r>
          </w:p>
        </w:tc>
        <w:tc>
          <w:tcPr>
            <w:tcW w:w="261" w:type="pct"/>
            <w:shd w:val="clear" w:color="auto" w:fill="D9D9D9"/>
            <w:noWrap/>
            <w:hideMark/>
          </w:tcPr>
          <w:p w14:paraId="068013B5"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D9D9D9"/>
            <w:noWrap/>
            <w:hideMark/>
          </w:tcPr>
          <w:p w14:paraId="7A80B2E2" w14:textId="77777777" w:rsidR="00881780" w:rsidRPr="00A71C8E" w:rsidRDefault="00881780" w:rsidP="006F4D8F">
            <w:pPr>
              <w:spacing w:before="0" w:line="240" w:lineRule="auto"/>
              <w:jc w:val="left"/>
              <w:rPr>
                <w:sz w:val="18"/>
                <w:szCs w:val="18"/>
              </w:rPr>
            </w:pPr>
            <w:r w:rsidRPr="00A71C8E">
              <w:rPr>
                <w:sz w:val="18"/>
                <w:szCs w:val="18"/>
              </w:rPr>
              <w:t>19,5</w:t>
            </w:r>
          </w:p>
        </w:tc>
        <w:tc>
          <w:tcPr>
            <w:tcW w:w="260" w:type="pct"/>
            <w:shd w:val="clear" w:color="auto" w:fill="D9D9D9"/>
            <w:noWrap/>
            <w:hideMark/>
          </w:tcPr>
          <w:p w14:paraId="365B87C8" w14:textId="77777777" w:rsidR="00881780" w:rsidRPr="00A71C8E" w:rsidRDefault="00881780" w:rsidP="006F4D8F">
            <w:pPr>
              <w:spacing w:before="0" w:line="240" w:lineRule="auto"/>
              <w:jc w:val="left"/>
              <w:rPr>
                <w:sz w:val="18"/>
                <w:szCs w:val="18"/>
              </w:rPr>
            </w:pPr>
            <w:r w:rsidRPr="00A71C8E">
              <w:rPr>
                <w:sz w:val="18"/>
                <w:szCs w:val="18"/>
              </w:rPr>
              <w:t>20,0</w:t>
            </w:r>
          </w:p>
        </w:tc>
        <w:tc>
          <w:tcPr>
            <w:tcW w:w="260" w:type="pct"/>
            <w:shd w:val="clear" w:color="auto" w:fill="D9D9D9"/>
            <w:noWrap/>
            <w:hideMark/>
          </w:tcPr>
          <w:p w14:paraId="7074CAE9" w14:textId="77777777" w:rsidR="00881780" w:rsidRPr="00A71C8E" w:rsidRDefault="00881780" w:rsidP="006F4D8F">
            <w:pPr>
              <w:spacing w:before="0" w:line="240" w:lineRule="auto"/>
              <w:jc w:val="left"/>
              <w:rPr>
                <w:sz w:val="18"/>
                <w:szCs w:val="18"/>
              </w:rPr>
            </w:pPr>
            <w:r w:rsidRPr="00A71C8E">
              <w:rPr>
                <w:sz w:val="18"/>
                <w:szCs w:val="18"/>
              </w:rPr>
              <w:t>20,6</w:t>
            </w:r>
          </w:p>
        </w:tc>
        <w:tc>
          <w:tcPr>
            <w:tcW w:w="259" w:type="pct"/>
            <w:shd w:val="clear" w:color="auto" w:fill="D9D9D9"/>
            <w:noWrap/>
            <w:hideMark/>
          </w:tcPr>
          <w:p w14:paraId="4B9942E2" w14:textId="77777777" w:rsidR="00881780" w:rsidRPr="00A71C8E" w:rsidRDefault="00881780" w:rsidP="006F4D8F">
            <w:pPr>
              <w:spacing w:before="0" w:line="240" w:lineRule="auto"/>
              <w:jc w:val="left"/>
              <w:rPr>
                <w:sz w:val="18"/>
                <w:szCs w:val="18"/>
              </w:rPr>
            </w:pPr>
            <w:r w:rsidRPr="00A71C8E">
              <w:rPr>
                <w:sz w:val="18"/>
                <w:szCs w:val="18"/>
              </w:rPr>
              <w:t>21,0</w:t>
            </w:r>
          </w:p>
        </w:tc>
      </w:tr>
      <w:tr w:rsidR="00881780" w:rsidRPr="00A71C8E" w14:paraId="62B35F81" w14:textId="77777777" w:rsidTr="006F4D8F">
        <w:trPr>
          <w:trHeight w:val="300"/>
        </w:trPr>
        <w:tc>
          <w:tcPr>
            <w:tcW w:w="312" w:type="pct"/>
            <w:noWrap/>
            <w:hideMark/>
          </w:tcPr>
          <w:p w14:paraId="2745D48A" w14:textId="77777777" w:rsidR="00881780" w:rsidRPr="00A71C8E" w:rsidRDefault="00881780" w:rsidP="006F4D8F">
            <w:pPr>
              <w:spacing w:before="0" w:line="240" w:lineRule="auto"/>
              <w:jc w:val="left"/>
              <w:rPr>
                <w:sz w:val="18"/>
                <w:szCs w:val="18"/>
              </w:rPr>
            </w:pPr>
            <w:r w:rsidRPr="00A71C8E">
              <w:rPr>
                <w:sz w:val="18"/>
                <w:szCs w:val="18"/>
              </w:rPr>
              <w:t>Opolskie</w:t>
            </w:r>
          </w:p>
        </w:tc>
        <w:tc>
          <w:tcPr>
            <w:tcW w:w="260" w:type="pct"/>
            <w:shd w:val="clear" w:color="auto" w:fill="C6D9F1"/>
            <w:noWrap/>
            <w:hideMark/>
          </w:tcPr>
          <w:p w14:paraId="3CF76CA7" w14:textId="77777777" w:rsidR="00881780" w:rsidRPr="00A71C8E" w:rsidRDefault="00881780" w:rsidP="006F4D8F">
            <w:pPr>
              <w:spacing w:before="0" w:line="240" w:lineRule="auto"/>
              <w:jc w:val="left"/>
              <w:rPr>
                <w:sz w:val="18"/>
                <w:szCs w:val="18"/>
              </w:rPr>
            </w:pPr>
            <w:r w:rsidRPr="00A71C8E">
              <w:rPr>
                <w:sz w:val="18"/>
                <w:szCs w:val="18"/>
              </w:rPr>
              <w:t>16,6</w:t>
            </w:r>
          </w:p>
        </w:tc>
        <w:tc>
          <w:tcPr>
            <w:tcW w:w="260" w:type="pct"/>
            <w:shd w:val="clear" w:color="auto" w:fill="C6D9F1"/>
            <w:noWrap/>
            <w:hideMark/>
          </w:tcPr>
          <w:p w14:paraId="7B10172F" w14:textId="77777777" w:rsidR="00881780" w:rsidRPr="00A71C8E" w:rsidRDefault="00881780" w:rsidP="006F4D8F">
            <w:pPr>
              <w:spacing w:before="0" w:line="240" w:lineRule="auto"/>
              <w:jc w:val="left"/>
              <w:rPr>
                <w:sz w:val="18"/>
                <w:szCs w:val="18"/>
              </w:rPr>
            </w:pPr>
            <w:r w:rsidRPr="00A71C8E">
              <w:rPr>
                <w:sz w:val="18"/>
                <w:szCs w:val="18"/>
              </w:rPr>
              <w:t>16,3</w:t>
            </w:r>
          </w:p>
        </w:tc>
        <w:tc>
          <w:tcPr>
            <w:tcW w:w="260" w:type="pct"/>
            <w:shd w:val="clear" w:color="auto" w:fill="C6D9F1"/>
            <w:noWrap/>
            <w:hideMark/>
          </w:tcPr>
          <w:p w14:paraId="33566215" w14:textId="77777777" w:rsidR="00881780" w:rsidRPr="00A71C8E" w:rsidRDefault="00881780" w:rsidP="006F4D8F">
            <w:pPr>
              <w:spacing w:before="0" w:line="240" w:lineRule="auto"/>
              <w:jc w:val="left"/>
              <w:rPr>
                <w:sz w:val="18"/>
                <w:szCs w:val="18"/>
              </w:rPr>
            </w:pPr>
            <w:r w:rsidRPr="00A71C8E">
              <w:rPr>
                <w:sz w:val="18"/>
                <w:szCs w:val="18"/>
              </w:rPr>
              <w:t>16,2</w:t>
            </w:r>
          </w:p>
        </w:tc>
        <w:tc>
          <w:tcPr>
            <w:tcW w:w="260" w:type="pct"/>
            <w:shd w:val="clear" w:color="auto" w:fill="C6D9F1"/>
            <w:noWrap/>
            <w:hideMark/>
          </w:tcPr>
          <w:p w14:paraId="13FD8AC9" w14:textId="77777777" w:rsidR="00881780" w:rsidRPr="00A71C8E" w:rsidRDefault="00881780" w:rsidP="006F4D8F">
            <w:pPr>
              <w:spacing w:before="0" w:line="240" w:lineRule="auto"/>
              <w:jc w:val="left"/>
              <w:rPr>
                <w:sz w:val="18"/>
                <w:szCs w:val="18"/>
              </w:rPr>
            </w:pPr>
            <w:r w:rsidRPr="00A71C8E">
              <w:rPr>
                <w:sz w:val="18"/>
                <w:szCs w:val="18"/>
              </w:rPr>
              <w:t>16,0</w:t>
            </w:r>
          </w:p>
        </w:tc>
        <w:tc>
          <w:tcPr>
            <w:tcW w:w="262" w:type="pct"/>
            <w:shd w:val="clear" w:color="auto" w:fill="C6D9F1"/>
            <w:noWrap/>
            <w:hideMark/>
          </w:tcPr>
          <w:p w14:paraId="00C1FB9E" w14:textId="77777777" w:rsidR="00881780" w:rsidRPr="00A71C8E" w:rsidRDefault="00881780" w:rsidP="006F4D8F">
            <w:pPr>
              <w:spacing w:before="0" w:line="240" w:lineRule="auto"/>
              <w:jc w:val="left"/>
              <w:rPr>
                <w:sz w:val="18"/>
                <w:szCs w:val="18"/>
              </w:rPr>
            </w:pPr>
            <w:r w:rsidRPr="00A71C8E">
              <w:rPr>
                <w:sz w:val="18"/>
                <w:szCs w:val="18"/>
              </w:rPr>
              <w:t>15,9</w:t>
            </w:r>
          </w:p>
        </w:tc>
        <w:tc>
          <w:tcPr>
            <w:tcW w:w="264" w:type="pct"/>
            <w:shd w:val="clear" w:color="auto" w:fill="C6D9F1"/>
            <w:noWrap/>
            <w:hideMark/>
          </w:tcPr>
          <w:p w14:paraId="2CDE9186" w14:textId="77777777" w:rsidR="00881780" w:rsidRPr="00A71C8E" w:rsidRDefault="00881780" w:rsidP="006F4D8F">
            <w:pPr>
              <w:spacing w:before="0" w:line="240" w:lineRule="auto"/>
              <w:jc w:val="left"/>
              <w:rPr>
                <w:sz w:val="18"/>
                <w:szCs w:val="18"/>
              </w:rPr>
            </w:pPr>
            <w:r w:rsidRPr="00A71C8E">
              <w:rPr>
                <w:sz w:val="18"/>
                <w:szCs w:val="18"/>
              </w:rPr>
              <w:t>15,9</w:t>
            </w:r>
          </w:p>
        </w:tc>
        <w:tc>
          <w:tcPr>
            <w:tcW w:w="260" w:type="pct"/>
            <w:shd w:val="clear" w:color="auto" w:fill="DBE5F1"/>
            <w:noWrap/>
            <w:hideMark/>
          </w:tcPr>
          <w:p w14:paraId="71819333" w14:textId="77777777" w:rsidR="00881780" w:rsidRPr="00A71C8E" w:rsidRDefault="00881780" w:rsidP="006F4D8F">
            <w:pPr>
              <w:spacing w:before="0" w:line="240" w:lineRule="auto"/>
              <w:jc w:val="left"/>
              <w:rPr>
                <w:sz w:val="18"/>
                <w:szCs w:val="18"/>
              </w:rPr>
            </w:pPr>
            <w:r w:rsidRPr="00A71C8E">
              <w:rPr>
                <w:sz w:val="18"/>
                <w:szCs w:val="18"/>
              </w:rPr>
              <w:t>65,1</w:t>
            </w:r>
          </w:p>
        </w:tc>
        <w:tc>
          <w:tcPr>
            <w:tcW w:w="260" w:type="pct"/>
            <w:shd w:val="clear" w:color="auto" w:fill="DBE5F1"/>
            <w:noWrap/>
            <w:hideMark/>
          </w:tcPr>
          <w:p w14:paraId="12F908D9" w14:textId="77777777" w:rsidR="00881780" w:rsidRPr="00A71C8E" w:rsidRDefault="00881780" w:rsidP="006F4D8F">
            <w:pPr>
              <w:spacing w:before="0" w:line="240" w:lineRule="auto"/>
              <w:jc w:val="left"/>
              <w:rPr>
                <w:sz w:val="18"/>
                <w:szCs w:val="18"/>
              </w:rPr>
            </w:pPr>
            <w:r w:rsidRPr="00A71C8E">
              <w:rPr>
                <w:sz w:val="18"/>
                <w:szCs w:val="18"/>
              </w:rPr>
              <w:t>64,7</w:t>
            </w:r>
          </w:p>
        </w:tc>
        <w:tc>
          <w:tcPr>
            <w:tcW w:w="262" w:type="pct"/>
            <w:shd w:val="clear" w:color="auto" w:fill="DBE5F1"/>
            <w:noWrap/>
            <w:hideMark/>
          </w:tcPr>
          <w:p w14:paraId="76D52BB2" w14:textId="77777777" w:rsidR="00881780" w:rsidRPr="00A71C8E" w:rsidRDefault="00881780" w:rsidP="006F4D8F">
            <w:pPr>
              <w:spacing w:before="0" w:line="240" w:lineRule="auto"/>
              <w:jc w:val="left"/>
              <w:rPr>
                <w:sz w:val="18"/>
                <w:szCs w:val="18"/>
              </w:rPr>
            </w:pPr>
            <w:r w:rsidRPr="00A71C8E">
              <w:rPr>
                <w:sz w:val="18"/>
                <w:szCs w:val="18"/>
              </w:rPr>
              <w:t>64,3</w:t>
            </w:r>
          </w:p>
        </w:tc>
        <w:tc>
          <w:tcPr>
            <w:tcW w:w="260" w:type="pct"/>
            <w:shd w:val="clear" w:color="auto" w:fill="DBE5F1"/>
            <w:noWrap/>
            <w:hideMark/>
          </w:tcPr>
          <w:p w14:paraId="6AFA34B6" w14:textId="77777777" w:rsidR="00881780" w:rsidRPr="00A71C8E" w:rsidRDefault="00881780" w:rsidP="006F4D8F">
            <w:pPr>
              <w:spacing w:before="0" w:line="240" w:lineRule="auto"/>
              <w:jc w:val="left"/>
              <w:rPr>
                <w:sz w:val="18"/>
                <w:szCs w:val="18"/>
              </w:rPr>
            </w:pPr>
            <w:r w:rsidRPr="00A71C8E">
              <w:rPr>
                <w:sz w:val="18"/>
                <w:szCs w:val="18"/>
              </w:rPr>
              <w:t>63,8</w:t>
            </w:r>
          </w:p>
        </w:tc>
        <w:tc>
          <w:tcPr>
            <w:tcW w:w="260" w:type="pct"/>
            <w:shd w:val="clear" w:color="auto" w:fill="DBE5F1"/>
            <w:noWrap/>
            <w:hideMark/>
          </w:tcPr>
          <w:p w14:paraId="1BC51D6F" w14:textId="77777777" w:rsidR="00881780" w:rsidRPr="00A71C8E" w:rsidRDefault="00881780" w:rsidP="006F4D8F">
            <w:pPr>
              <w:spacing w:before="0" w:line="240" w:lineRule="auto"/>
              <w:jc w:val="left"/>
              <w:rPr>
                <w:sz w:val="18"/>
                <w:szCs w:val="18"/>
              </w:rPr>
            </w:pPr>
            <w:r w:rsidRPr="00A71C8E">
              <w:rPr>
                <w:sz w:val="18"/>
                <w:szCs w:val="18"/>
              </w:rPr>
              <w:t>63,2</w:t>
            </w:r>
          </w:p>
        </w:tc>
        <w:tc>
          <w:tcPr>
            <w:tcW w:w="260" w:type="pct"/>
            <w:shd w:val="clear" w:color="auto" w:fill="DBE5F1"/>
            <w:noWrap/>
            <w:hideMark/>
          </w:tcPr>
          <w:p w14:paraId="7406F3C7" w14:textId="77777777" w:rsidR="00881780" w:rsidRPr="00A71C8E" w:rsidRDefault="00881780" w:rsidP="006F4D8F">
            <w:pPr>
              <w:spacing w:before="0" w:line="240" w:lineRule="auto"/>
              <w:jc w:val="left"/>
              <w:rPr>
                <w:sz w:val="18"/>
                <w:szCs w:val="18"/>
              </w:rPr>
            </w:pPr>
            <w:r w:rsidRPr="00A71C8E">
              <w:rPr>
                <w:sz w:val="18"/>
                <w:szCs w:val="18"/>
              </w:rPr>
              <w:t>62,6</w:t>
            </w:r>
          </w:p>
        </w:tc>
        <w:tc>
          <w:tcPr>
            <w:tcW w:w="260" w:type="pct"/>
            <w:shd w:val="clear" w:color="auto" w:fill="D9D9D9"/>
            <w:noWrap/>
            <w:hideMark/>
          </w:tcPr>
          <w:p w14:paraId="49C30BEF" w14:textId="77777777" w:rsidR="00881780" w:rsidRPr="00A71C8E" w:rsidRDefault="00881780" w:rsidP="006F4D8F">
            <w:pPr>
              <w:spacing w:before="0" w:line="240" w:lineRule="auto"/>
              <w:jc w:val="left"/>
              <w:rPr>
                <w:sz w:val="18"/>
                <w:szCs w:val="18"/>
              </w:rPr>
            </w:pPr>
            <w:r w:rsidRPr="00A71C8E">
              <w:rPr>
                <w:sz w:val="18"/>
                <w:szCs w:val="18"/>
              </w:rPr>
              <w:t>18,3</w:t>
            </w:r>
          </w:p>
        </w:tc>
        <w:tc>
          <w:tcPr>
            <w:tcW w:w="261" w:type="pct"/>
            <w:shd w:val="clear" w:color="auto" w:fill="D9D9D9"/>
            <w:noWrap/>
            <w:hideMark/>
          </w:tcPr>
          <w:p w14:paraId="5AADA65D" w14:textId="77777777" w:rsidR="00881780" w:rsidRPr="00A71C8E" w:rsidRDefault="00881780" w:rsidP="006F4D8F">
            <w:pPr>
              <w:spacing w:before="0" w:line="240" w:lineRule="auto"/>
              <w:jc w:val="left"/>
              <w:rPr>
                <w:sz w:val="18"/>
                <w:szCs w:val="18"/>
              </w:rPr>
            </w:pPr>
            <w:r w:rsidRPr="00A71C8E">
              <w:rPr>
                <w:sz w:val="18"/>
                <w:szCs w:val="18"/>
              </w:rPr>
              <w:t>18,9</w:t>
            </w:r>
          </w:p>
        </w:tc>
        <w:tc>
          <w:tcPr>
            <w:tcW w:w="260" w:type="pct"/>
            <w:shd w:val="clear" w:color="auto" w:fill="D9D9D9"/>
            <w:noWrap/>
            <w:hideMark/>
          </w:tcPr>
          <w:p w14:paraId="52D4361F" w14:textId="77777777" w:rsidR="00881780" w:rsidRPr="00A71C8E" w:rsidRDefault="00881780" w:rsidP="006F4D8F">
            <w:pPr>
              <w:spacing w:before="0" w:line="240" w:lineRule="auto"/>
              <w:jc w:val="left"/>
              <w:rPr>
                <w:sz w:val="18"/>
                <w:szCs w:val="18"/>
              </w:rPr>
            </w:pPr>
            <w:r w:rsidRPr="00A71C8E">
              <w:rPr>
                <w:sz w:val="18"/>
                <w:szCs w:val="18"/>
              </w:rPr>
              <w:t>19,6</w:t>
            </w:r>
          </w:p>
        </w:tc>
        <w:tc>
          <w:tcPr>
            <w:tcW w:w="260" w:type="pct"/>
            <w:shd w:val="clear" w:color="auto" w:fill="D9D9D9"/>
            <w:noWrap/>
            <w:hideMark/>
          </w:tcPr>
          <w:p w14:paraId="322D122A" w14:textId="77777777" w:rsidR="00881780" w:rsidRPr="00A71C8E" w:rsidRDefault="00881780" w:rsidP="006F4D8F">
            <w:pPr>
              <w:spacing w:before="0" w:line="240" w:lineRule="auto"/>
              <w:jc w:val="left"/>
              <w:rPr>
                <w:sz w:val="18"/>
                <w:szCs w:val="18"/>
              </w:rPr>
            </w:pPr>
            <w:r w:rsidRPr="00A71C8E">
              <w:rPr>
                <w:sz w:val="18"/>
                <w:szCs w:val="18"/>
              </w:rPr>
              <w:t>20,2</w:t>
            </w:r>
          </w:p>
        </w:tc>
        <w:tc>
          <w:tcPr>
            <w:tcW w:w="260" w:type="pct"/>
            <w:shd w:val="clear" w:color="auto" w:fill="D9D9D9"/>
            <w:noWrap/>
            <w:hideMark/>
          </w:tcPr>
          <w:p w14:paraId="061E9301" w14:textId="77777777" w:rsidR="00881780" w:rsidRPr="00A71C8E" w:rsidRDefault="00881780" w:rsidP="006F4D8F">
            <w:pPr>
              <w:spacing w:before="0" w:line="240" w:lineRule="auto"/>
              <w:jc w:val="left"/>
              <w:rPr>
                <w:sz w:val="18"/>
                <w:szCs w:val="18"/>
              </w:rPr>
            </w:pPr>
            <w:r w:rsidRPr="00A71C8E">
              <w:rPr>
                <w:sz w:val="18"/>
                <w:szCs w:val="18"/>
              </w:rPr>
              <w:t>20,9</w:t>
            </w:r>
          </w:p>
        </w:tc>
        <w:tc>
          <w:tcPr>
            <w:tcW w:w="259" w:type="pct"/>
            <w:shd w:val="clear" w:color="auto" w:fill="D9D9D9"/>
            <w:noWrap/>
            <w:hideMark/>
          </w:tcPr>
          <w:p w14:paraId="5DFA3440" w14:textId="77777777" w:rsidR="00881780" w:rsidRPr="00A71C8E" w:rsidRDefault="00881780" w:rsidP="006F4D8F">
            <w:pPr>
              <w:spacing w:before="0" w:line="240" w:lineRule="auto"/>
              <w:jc w:val="left"/>
              <w:rPr>
                <w:sz w:val="18"/>
                <w:szCs w:val="18"/>
              </w:rPr>
            </w:pPr>
            <w:r w:rsidRPr="00A71C8E">
              <w:rPr>
                <w:sz w:val="18"/>
                <w:szCs w:val="18"/>
              </w:rPr>
              <w:t>21,4</w:t>
            </w:r>
          </w:p>
        </w:tc>
      </w:tr>
      <w:tr w:rsidR="00881780" w:rsidRPr="00A71C8E" w14:paraId="194B05C6" w14:textId="77777777" w:rsidTr="006F4D8F">
        <w:trPr>
          <w:trHeight w:val="300"/>
        </w:trPr>
        <w:tc>
          <w:tcPr>
            <w:tcW w:w="312" w:type="pct"/>
            <w:noWrap/>
            <w:hideMark/>
          </w:tcPr>
          <w:p w14:paraId="1663B30E" w14:textId="77777777" w:rsidR="00881780" w:rsidRPr="00A71C8E" w:rsidRDefault="00881780" w:rsidP="006F4D8F">
            <w:pPr>
              <w:spacing w:before="0" w:line="240" w:lineRule="auto"/>
              <w:jc w:val="left"/>
              <w:rPr>
                <w:sz w:val="18"/>
                <w:szCs w:val="18"/>
              </w:rPr>
            </w:pPr>
            <w:r w:rsidRPr="00A71C8E">
              <w:rPr>
                <w:sz w:val="18"/>
                <w:szCs w:val="18"/>
              </w:rPr>
              <w:t>Podkarpackie</w:t>
            </w:r>
          </w:p>
        </w:tc>
        <w:tc>
          <w:tcPr>
            <w:tcW w:w="260" w:type="pct"/>
            <w:shd w:val="clear" w:color="auto" w:fill="C6D9F1"/>
            <w:noWrap/>
            <w:hideMark/>
          </w:tcPr>
          <w:p w14:paraId="09D8D5BD" w14:textId="77777777" w:rsidR="00881780" w:rsidRPr="00A71C8E" w:rsidRDefault="00881780" w:rsidP="006F4D8F">
            <w:pPr>
              <w:spacing w:before="0" w:line="240" w:lineRule="auto"/>
              <w:jc w:val="left"/>
              <w:rPr>
                <w:sz w:val="18"/>
                <w:szCs w:val="18"/>
              </w:rPr>
            </w:pPr>
            <w:r w:rsidRPr="00A71C8E">
              <w:rPr>
                <w:sz w:val="18"/>
                <w:szCs w:val="18"/>
              </w:rPr>
              <w:t>19,5</w:t>
            </w:r>
          </w:p>
        </w:tc>
        <w:tc>
          <w:tcPr>
            <w:tcW w:w="260" w:type="pct"/>
            <w:shd w:val="clear" w:color="auto" w:fill="C6D9F1"/>
            <w:noWrap/>
            <w:hideMark/>
          </w:tcPr>
          <w:p w14:paraId="5E8C693B" w14:textId="77777777" w:rsidR="00881780" w:rsidRPr="00A71C8E" w:rsidRDefault="00881780" w:rsidP="006F4D8F">
            <w:pPr>
              <w:spacing w:before="0" w:line="240" w:lineRule="auto"/>
              <w:jc w:val="left"/>
              <w:rPr>
                <w:sz w:val="18"/>
                <w:szCs w:val="18"/>
              </w:rPr>
            </w:pPr>
            <w:r w:rsidRPr="00A71C8E">
              <w:rPr>
                <w:sz w:val="18"/>
                <w:szCs w:val="18"/>
              </w:rPr>
              <w:t>19,1</w:t>
            </w:r>
          </w:p>
        </w:tc>
        <w:tc>
          <w:tcPr>
            <w:tcW w:w="260" w:type="pct"/>
            <w:shd w:val="clear" w:color="auto" w:fill="C6D9F1"/>
            <w:noWrap/>
            <w:hideMark/>
          </w:tcPr>
          <w:p w14:paraId="4BADF7C4" w14:textId="77777777" w:rsidR="00881780" w:rsidRPr="00A71C8E" w:rsidRDefault="00881780" w:rsidP="006F4D8F">
            <w:pPr>
              <w:spacing w:before="0" w:line="240" w:lineRule="auto"/>
              <w:jc w:val="left"/>
              <w:rPr>
                <w:sz w:val="18"/>
                <w:szCs w:val="18"/>
              </w:rPr>
            </w:pPr>
            <w:r w:rsidRPr="00A71C8E">
              <w:rPr>
                <w:sz w:val="18"/>
                <w:szCs w:val="18"/>
              </w:rPr>
              <w:t>18,8</w:t>
            </w:r>
          </w:p>
        </w:tc>
        <w:tc>
          <w:tcPr>
            <w:tcW w:w="260" w:type="pct"/>
            <w:shd w:val="clear" w:color="auto" w:fill="C6D9F1"/>
            <w:noWrap/>
            <w:hideMark/>
          </w:tcPr>
          <w:p w14:paraId="6C06F34A" w14:textId="77777777" w:rsidR="00881780" w:rsidRPr="00A71C8E" w:rsidRDefault="00881780" w:rsidP="006F4D8F">
            <w:pPr>
              <w:spacing w:before="0" w:line="240" w:lineRule="auto"/>
              <w:jc w:val="left"/>
              <w:rPr>
                <w:sz w:val="18"/>
                <w:szCs w:val="18"/>
              </w:rPr>
            </w:pPr>
            <w:r w:rsidRPr="00A71C8E">
              <w:rPr>
                <w:sz w:val="18"/>
                <w:szCs w:val="18"/>
              </w:rPr>
              <w:t>18,5</w:t>
            </w:r>
          </w:p>
        </w:tc>
        <w:tc>
          <w:tcPr>
            <w:tcW w:w="262" w:type="pct"/>
            <w:shd w:val="clear" w:color="auto" w:fill="C6D9F1"/>
            <w:noWrap/>
            <w:hideMark/>
          </w:tcPr>
          <w:p w14:paraId="61B05CF6" w14:textId="77777777" w:rsidR="00881780" w:rsidRPr="00A71C8E" w:rsidRDefault="00881780" w:rsidP="006F4D8F">
            <w:pPr>
              <w:spacing w:before="0" w:line="240" w:lineRule="auto"/>
              <w:jc w:val="left"/>
              <w:rPr>
                <w:sz w:val="18"/>
                <w:szCs w:val="18"/>
              </w:rPr>
            </w:pPr>
            <w:r w:rsidRPr="00A71C8E">
              <w:rPr>
                <w:sz w:val="18"/>
                <w:szCs w:val="18"/>
              </w:rPr>
              <w:t>18,4</w:t>
            </w:r>
          </w:p>
        </w:tc>
        <w:tc>
          <w:tcPr>
            <w:tcW w:w="264" w:type="pct"/>
            <w:shd w:val="clear" w:color="auto" w:fill="C6D9F1"/>
            <w:noWrap/>
            <w:hideMark/>
          </w:tcPr>
          <w:p w14:paraId="45EB259B" w14:textId="77777777" w:rsidR="00881780" w:rsidRPr="00A71C8E" w:rsidRDefault="00881780" w:rsidP="006F4D8F">
            <w:pPr>
              <w:spacing w:before="0" w:line="240" w:lineRule="auto"/>
              <w:jc w:val="left"/>
              <w:rPr>
                <w:sz w:val="18"/>
                <w:szCs w:val="18"/>
              </w:rPr>
            </w:pPr>
            <w:r w:rsidRPr="00A71C8E">
              <w:rPr>
                <w:sz w:val="18"/>
                <w:szCs w:val="18"/>
              </w:rPr>
              <w:t>18,3</w:t>
            </w:r>
          </w:p>
        </w:tc>
        <w:tc>
          <w:tcPr>
            <w:tcW w:w="260" w:type="pct"/>
            <w:shd w:val="clear" w:color="auto" w:fill="DBE5F1"/>
            <w:noWrap/>
            <w:hideMark/>
          </w:tcPr>
          <w:p w14:paraId="690E75C9" w14:textId="77777777" w:rsidR="00881780" w:rsidRPr="00A71C8E" w:rsidRDefault="00881780" w:rsidP="006F4D8F">
            <w:pPr>
              <w:spacing w:before="0" w:line="240" w:lineRule="auto"/>
              <w:jc w:val="left"/>
              <w:rPr>
                <w:sz w:val="18"/>
                <w:szCs w:val="18"/>
              </w:rPr>
            </w:pPr>
            <w:r w:rsidRPr="00A71C8E">
              <w:rPr>
                <w:sz w:val="18"/>
                <w:szCs w:val="18"/>
              </w:rPr>
              <w:t>63,8</w:t>
            </w:r>
          </w:p>
        </w:tc>
        <w:tc>
          <w:tcPr>
            <w:tcW w:w="260" w:type="pct"/>
            <w:shd w:val="clear" w:color="auto" w:fill="DBE5F1"/>
            <w:noWrap/>
            <w:hideMark/>
          </w:tcPr>
          <w:p w14:paraId="6AC98EFC" w14:textId="77777777" w:rsidR="00881780" w:rsidRPr="00A71C8E" w:rsidRDefault="00881780" w:rsidP="006F4D8F">
            <w:pPr>
              <w:spacing w:before="0" w:line="240" w:lineRule="auto"/>
              <w:jc w:val="left"/>
              <w:rPr>
                <w:sz w:val="18"/>
                <w:szCs w:val="18"/>
              </w:rPr>
            </w:pPr>
            <w:r w:rsidRPr="00A71C8E">
              <w:rPr>
                <w:sz w:val="18"/>
                <w:szCs w:val="18"/>
              </w:rPr>
              <w:t>63,7</w:t>
            </w:r>
          </w:p>
        </w:tc>
        <w:tc>
          <w:tcPr>
            <w:tcW w:w="262" w:type="pct"/>
            <w:shd w:val="clear" w:color="auto" w:fill="DBE5F1"/>
            <w:noWrap/>
            <w:hideMark/>
          </w:tcPr>
          <w:p w14:paraId="517F5A20" w14:textId="77777777" w:rsidR="00881780" w:rsidRPr="00A71C8E" w:rsidRDefault="00881780" w:rsidP="006F4D8F">
            <w:pPr>
              <w:spacing w:before="0" w:line="240" w:lineRule="auto"/>
              <w:jc w:val="left"/>
              <w:rPr>
                <w:sz w:val="18"/>
                <w:szCs w:val="18"/>
              </w:rPr>
            </w:pPr>
            <w:r w:rsidRPr="00A71C8E">
              <w:rPr>
                <w:sz w:val="18"/>
                <w:szCs w:val="18"/>
              </w:rPr>
              <w:t>63,5</w:t>
            </w:r>
          </w:p>
        </w:tc>
        <w:tc>
          <w:tcPr>
            <w:tcW w:w="260" w:type="pct"/>
            <w:shd w:val="clear" w:color="auto" w:fill="DBE5F1"/>
            <w:noWrap/>
            <w:hideMark/>
          </w:tcPr>
          <w:p w14:paraId="1DB14BC7" w14:textId="77777777" w:rsidR="00881780" w:rsidRPr="00A71C8E" w:rsidRDefault="00881780" w:rsidP="006F4D8F">
            <w:pPr>
              <w:spacing w:before="0" w:line="240" w:lineRule="auto"/>
              <w:jc w:val="left"/>
              <w:rPr>
                <w:sz w:val="18"/>
                <w:szCs w:val="18"/>
              </w:rPr>
            </w:pPr>
            <w:r w:rsidRPr="00A71C8E">
              <w:rPr>
                <w:sz w:val="18"/>
                <w:szCs w:val="18"/>
              </w:rPr>
              <w:t>63,2</w:t>
            </w:r>
          </w:p>
        </w:tc>
        <w:tc>
          <w:tcPr>
            <w:tcW w:w="260" w:type="pct"/>
            <w:shd w:val="clear" w:color="auto" w:fill="DBE5F1"/>
            <w:noWrap/>
            <w:hideMark/>
          </w:tcPr>
          <w:p w14:paraId="35B4D614" w14:textId="77777777" w:rsidR="00881780" w:rsidRPr="00A71C8E" w:rsidRDefault="00881780" w:rsidP="006F4D8F">
            <w:pPr>
              <w:spacing w:before="0" w:line="240" w:lineRule="auto"/>
              <w:jc w:val="left"/>
              <w:rPr>
                <w:sz w:val="18"/>
                <w:szCs w:val="18"/>
              </w:rPr>
            </w:pPr>
            <w:r w:rsidRPr="00A71C8E">
              <w:rPr>
                <w:sz w:val="18"/>
                <w:szCs w:val="18"/>
              </w:rPr>
              <w:t>62,9</w:t>
            </w:r>
          </w:p>
        </w:tc>
        <w:tc>
          <w:tcPr>
            <w:tcW w:w="260" w:type="pct"/>
            <w:shd w:val="clear" w:color="auto" w:fill="DBE5F1"/>
            <w:noWrap/>
            <w:hideMark/>
          </w:tcPr>
          <w:p w14:paraId="75858D5C" w14:textId="77777777" w:rsidR="00881780" w:rsidRPr="00A71C8E" w:rsidRDefault="00881780" w:rsidP="006F4D8F">
            <w:pPr>
              <w:spacing w:before="0" w:line="240" w:lineRule="auto"/>
              <w:jc w:val="left"/>
              <w:rPr>
                <w:sz w:val="18"/>
                <w:szCs w:val="18"/>
              </w:rPr>
            </w:pPr>
            <w:r w:rsidRPr="00A71C8E">
              <w:rPr>
                <w:sz w:val="18"/>
                <w:szCs w:val="18"/>
              </w:rPr>
              <w:t>62,4</w:t>
            </w:r>
          </w:p>
        </w:tc>
        <w:tc>
          <w:tcPr>
            <w:tcW w:w="260" w:type="pct"/>
            <w:shd w:val="clear" w:color="auto" w:fill="D9D9D9"/>
            <w:noWrap/>
            <w:hideMark/>
          </w:tcPr>
          <w:p w14:paraId="1F8D094C" w14:textId="77777777" w:rsidR="00881780" w:rsidRPr="00A71C8E" w:rsidRDefault="00881780" w:rsidP="006F4D8F">
            <w:pPr>
              <w:spacing w:before="0" w:line="240" w:lineRule="auto"/>
              <w:jc w:val="left"/>
              <w:rPr>
                <w:sz w:val="18"/>
                <w:szCs w:val="18"/>
              </w:rPr>
            </w:pPr>
            <w:r w:rsidRPr="00A71C8E">
              <w:rPr>
                <w:sz w:val="18"/>
                <w:szCs w:val="18"/>
              </w:rPr>
              <w:t>16,7</w:t>
            </w:r>
          </w:p>
        </w:tc>
        <w:tc>
          <w:tcPr>
            <w:tcW w:w="261" w:type="pct"/>
            <w:shd w:val="clear" w:color="auto" w:fill="D9D9D9"/>
            <w:noWrap/>
            <w:hideMark/>
          </w:tcPr>
          <w:p w14:paraId="00AA5A4B" w14:textId="77777777" w:rsidR="00881780" w:rsidRPr="00A71C8E" w:rsidRDefault="00881780" w:rsidP="006F4D8F">
            <w:pPr>
              <w:spacing w:before="0" w:line="240" w:lineRule="auto"/>
              <w:jc w:val="left"/>
              <w:rPr>
                <w:sz w:val="18"/>
                <w:szCs w:val="18"/>
              </w:rPr>
            </w:pPr>
            <w:r w:rsidRPr="00A71C8E">
              <w:rPr>
                <w:sz w:val="18"/>
                <w:szCs w:val="18"/>
              </w:rPr>
              <w:t>17,2</w:t>
            </w:r>
          </w:p>
        </w:tc>
        <w:tc>
          <w:tcPr>
            <w:tcW w:w="260" w:type="pct"/>
            <w:shd w:val="clear" w:color="auto" w:fill="D9D9D9"/>
            <w:noWrap/>
            <w:hideMark/>
          </w:tcPr>
          <w:p w14:paraId="22568CC5"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9D9D9"/>
            <w:noWrap/>
            <w:hideMark/>
          </w:tcPr>
          <w:p w14:paraId="6D632AC5" w14:textId="77777777" w:rsidR="00881780" w:rsidRPr="00A71C8E" w:rsidRDefault="00881780" w:rsidP="006F4D8F">
            <w:pPr>
              <w:spacing w:before="0" w:line="240" w:lineRule="auto"/>
              <w:jc w:val="left"/>
              <w:rPr>
                <w:sz w:val="18"/>
                <w:szCs w:val="18"/>
              </w:rPr>
            </w:pPr>
            <w:r w:rsidRPr="00A71C8E">
              <w:rPr>
                <w:sz w:val="18"/>
                <w:szCs w:val="18"/>
              </w:rPr>
              <w:t>18,2</w:t>
            </w:r>
          </w:p>
        </w:tc>
        <w:tc>
          <w:tcPr>
            <w:tcW w:w="260" w:type="pct"/>
            <w:shd w:val="clear" w:color="auto" w:fill="D9D9D9"/>
            <w:noWrap/>
            <w:hideMark/>
          </w:tcPr>
          <w:p w14:paraId="106CBEAB" w14:textId="77777777" w:rsidR="00881780" w:rsidRPr="00A71C8E" w:rsidRDefault="00881780" w:rsidP="006F4D8F">
            <w:pPr>
              <w:spacing w:before="0" w:line="240" w:lineRule="auto"/>
              <w:jc w:val="left"/>
              <w:rPr>
                <w:sz w:val="18"/>
                <w:szCs w:val="18"/>
              </w:rPr>
            </w:pPr>
            <w:r w:rsidRPr="00A71C8E">
              <w:rPr>
                <w:sz w:val="18"/>
                <w:szCs w:val="18"/>
              </w:rPr>
              <w:t>18,8</w:t>
            </w:r>
          </w:p>
        </w:tc>
        <w:tc>
          <w:tcPr>
            <w:tcW w:w="259" w:type="pct"/>
            <w:shd w:val="clear" w:color="auto" w:fill="D9D9D9"/>
            <w:noWrap/>
            <w:hideMark/>
          </w:tcPr>
          <w:p w14:paraId="36DB61FD" w14:textId="77777777" w:rsidR="00881780" w:rsidRPr="00A71C8E" w:rsidRDefault="00881780" w:rsidP="006F4D8F">
            <w:pPr>
              <w:spacing w:before="0" w:line="240" w:lineRule="auto"/>
              <w:jc w:val="left"/>
              <w:rPr>
                <w:sz w:val="18"/>
                <w:szCs w:val="18"/>
              </w:rPr>
            </w:pPr>
            <w:r w:rsidRPr="00A71C8E">
              <w:rPr>
                <w:sz w:val="18"/>
                <w:szCs w:val="18"/>
              </w:rPr>
              <w:t>19,3</w:t>
            </w:r>
          </w:p>
        </w:tc>
      </w:tr>
      <w:tr w:rsidR="00881780" w:rsidRPr="00A71C8E" w14:paraId="0920FFFF" w14:textId="77777777" w:rsidTr="006F4D8F">
        <w:trPr>
          <w:trHeight w:val="300"/>
        </w:trPr>
        <w:tc>
          <w:tcPr>
            <w:tcW w:w="312" w:type="pct"/>
            <w:noWrap/>
            <w:hideMark/>
          </w:tcPr>
          <w:p w14:paraId="6E292EC1" w14:textId="77777777" w:rsidR="00881780" w:rsidRPr="00A71C8E" w:rsidRDefault="00881780" w:rsidP="006F4D8F">
            <w:pPr>
              <w:spacing w:before="0" w:line="240" w:lineRule="auto"/>
              <w:jc w:val="left"/>
              <w:rPr>
                <w:sz w:val="18"/>
                <w:szCs w:val="18"/>
              </w:rPr>
            </w:pPr>
            <w:r w:rsidRPr="00A71C8E">
              <w:rPr>
                <w:sz w:val="18"/>
                <w:szCs w:val="18"/>
              </w:rPr>
              <w:t>Podlaskie</w:t>
            </w:r>
          </w:p>
        </w:tc>
        <w:tc>
          <w:tcPr>
            <w:tcW w:w="260" w:type="pct"/>
            <w:shd w:val="clear" w:color="auto" w:fill="C6D9F1"/>
            <w:noWrap/>
            <w:hideMark/>
          </w:tcPr>
          <w:p w14:paraId="3CF39A4C" w14:textId="77777777" w:rsidR="00881780" w:rsidRPr="00A71C8E" w:rsidRDefault="00881780" w:rsidP="006F4D8F">
            <w:pPr>
              <w:spacing w:before="0" w:line="240" w:lineRule="auto"/>
              <w:jc w:val="left"/>
              <w:rPr>
                <w:sz w:val="18"/>
                <w:szCs w:val="18"/>
              </w:rPr>
            </w:pPr>
            <w:r w:rsidRPr="00A71C8E">
              <w:rPr>
                <w:sz w:val="18"/>
                <w:szCs w:val="18"/>
              </w:rPr>
              <w:t>18,2</w:t>
            </w:r>
          </w:p>
        </w:tc>
        <w:tc>
          <w:tcPr>
            <w:tcW w:w="260" w:type="pct"/>
            <w:shd w:val="clear" w:color="auto" w:fill="C6D9F1"/>
            <w:noWrap/>
            <w:hideMark/>
          </w:tcPr>
          <w:p w14:paraId="68733CEF" w14:textId="77777777" w:rsidR="00881780" w:rsidRPr="00A71C8E" w:rsidRDefault="00881780" w:rsidP="006F4D8F">
            <w:pPr>
              <w:spacing w:before="0" w:line="240" w:lineRule="auto"/>
              <w:jc w:val="left"/>
              <w:rPr>
                <w:sz w:val="18"/>
                <w:szCs w:val="18"/>
              </w:rPr>
            </w:pPr>
            <w:r w:rsidRPr="00A71C8E">
              <w:rPr>
                <w:sz w:val="18"/>
                <w:szCs w:val="18"/>
              </w:rPr>
              <w:t>17,9</w:t>
            </w:r>
          </w:p>
        </w:tc>
        <w:tc>
          <w:tcPr>
            <w:tcW w:w="260" w:type="pct"/>
            <w:shd w:val="clear" w:color="auto" w:fill="C6D9F1"/>
            <w:noWrap/>
            <w:hideMark/>
          </w:tcPr>
          <w:p w14:paraId="27F5892C"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C6D9F1"/>
            <w:noWrap/>
            <w:hideMark/>
          </w:tcPr>
          <w:p w14:paraId="119C297D" w14:textId="77777777" w:rsidR="00881780" w:rsidRPr="00A71C8E" w:rsidRDefault="00881780" w:rsidP="006F4D8F">
            <w:pPr>
              <w:spacing w:before="0" w:line="240" w:lineRule="auto"/>
              <w:jc w:val="left"/>
              <w:rPr>
                <w:sz w:val="18"/>
                <w:szCs w:val="18"/>
              </w:rPr>
            </w:pPr>
            <w:r w:rsidRPr="00A71C8E">
              <w:rPr>
                <w:sz w:val="18"/>
                <w:szCs w:val="18"/>
              </w:rPr>
              <w:t>17,4</w:t>
            </w:r>
          </w:p>
        </w:tc>
        <w:tc>
          <w:tcPr>
            <w:tcW w:w="262" w:type="pct"/>
            <w:shd w:val="clear" w:color="auto" w:fill="C6D9F1"/>
            <w:noWrap/>
            <w:hideMark/>
          </w:tcPr>
          <w:p w14:paraId="2EF06558" w14:textId="77777777" w:rsidR="00881780" w:rsidRPr="00A71C8E" w:rsidRDefault="00881780" w:rsidP="006F4D8F">
            <w:pPr>
              <w:spacing w:before="0" w:line="240" w:lineRule="auto"/>
              <w:jc w:val="left"/>
              <w:rPr>
                <w:sz w:val="18"/>
                <w:szCs w:val="18"/>
              </w:rPr>
            </w:pPr>
            <w:r w:rsidRPr="00A71C8E">
              <w:rPr>
                <w:sz w:val="18"/>
                <w:szCs w:val="18"/>
              </w:rPr>
              <w:t>17,4</w:t>
            </w:r>
          </w:p>
        </w:tc>
        <w:tc>
          <w:tcPr>
            <w:tcW w:w="264" w:type="pct"/>
            <w:shd w:val="clear" w:color="auto" w:fill="C6D9F1"/>
            <w:noWrap/>
            <w:hideMark/>
          </w:tcPr>
          <w:p w14:paraId="576CBF01" w14:textId="77777777" w:rsidR="00881780" w:rsidRPr="00A71C8E" w:rsidRDefault="00881780" w:rsidP="006F4D8F">
            <w:pPr>
              <w:spacing w:before="0" w:line="240" w:lineRule="auto"/>
              <w:jc w:val="left"/>
              <w:rPr>
                <w:sz w:val="18"/>
                <w:szCs w:val="18"/>
              </w:rPr>
            </w:pPr>
            <w:r w:rsidRPr="00A71C8E">
              <w:rPr>
                <w:sz w:val="18"/>
                <w:szCs w:val="18"/>
              </w:rPr>
              <w:t>17,4</w:t>
            </w:r>
          </w:p>
        </w:tc>
        <w:tc>
          <w:tcPr>
            <w:tcW w:w="260" w:type="pct"/>
            <w:shd w:val="clear" w:color="auto" w:fill="DBE5F1"/>
            <w:noWrap/>
            <w:hideMark/>
          </w:tcPr>
          <w:p w14:paraId="01E861A2" w14:textId="77777777" w:rsidR="00881780" w:rsidRPr="00A71C8E" w:rsidRDefault="00881780" w:rsidP="006F4D8F">
            <w:pPr>
              <w:spacing w:before="0" w:line="240" w:lineRule="auto"/>
              <w:jc w:val="left"/>
              <w:rPr>
                <w:sz w:val="18"/>
                <w:szCs w:val="18"/>
              </w:rPr>
            </w:pPr>
            <w:r w:rsidRPr="00A71C8E">
              <w:rPr>
                <w:sz w:val="18"/>
                <w:szCs w:val="18"/>
              </w:rPr>
              <w:t>63,7</w:t>
            </w:r>
          </w:p>
        </w:tc>
        <w:tc>
          <w:tcPr>
            <w:tcW w:w="260" w:type="pct"/>
            <w:shd w:val="clear" w:color="auto" w:fill="DBE5F1"/>
            <w:noWrap/>
            <w:hideMark/>
          </w:tcPr>
          <w:p w14:paraId="4AF63647" w14:textId="77777777" w:rsidR="00881780" w:rsidRPr="00A71C8E" w:rsidRDefault="00881780" w:rsidP="006F4D8F">
            <w:pPr>
              <w:spacing w:before="0" w:line="240" w:lineRule="auto"/>
              <w:jc w:val="left"/>
              <w:rPr>
                <w:sz w:val="18"/>
                <w:szCs w:val="18"/>
              </w:rPr>
            </w:pPr>
            <w:r w:rsidRPr="00A71C8E">
              <w:rPr>
                <w:sz w:val="18"/>
                <w:szCs w:val="18"/>
              </w:rPr>
              <w:t>63,6</w:t>
            </w:r>
          </w:p>
        </w:tc>
        <w:tc>
          <w:tcPr>
            <w:tcW w:w="262" w:type="pct"/>
            <w:shd w:val="clear" w:color="auto" w:fill="DBE5F1"/>
            <w:noWrap/>
            <w:hideMark/>
          </w:tcPr>
          <w:p w14:paraId="628D2500" w14:textId="77777777" w:rsidR="00881780" w:rsidRPr="00A71C8E" w:rsidRDefault="00881780" w:rsidP="006F4D8F">
            <w:pPr>
              <w:spacing w:before="0" w:line="240" w:lineRule="auto"/>
              <w:jc w:val="left"/>
              <w:rPr>
                <w:sz w:val="18"/>
                <w:szCs w:val="18"/>
              </w:rPr>
            </w:pPr>
            <w:r w:rsidRPr="00A71C8E">
              <w:rPr>
                <w:sz w:val="18"/>
                <w:szCs w:val="18"/>
              </w:rPr>
              <w:t>63,4</w:t>
            </w:r>
          </w:p>
        </w:tc>
        <w:tc>
          <w:tcPr>
            <w:tcW w:w="260" w:type="pct"/>
            <w:shd w:val="clear" w:color="auto" w:fill="DBE5F1"/>
            <w:noWrap/>
            <w:hideMark/>
          </w:tcPr>
          <w:p w14:paraId="5BD14E5C" w14:textId="77777777" w:rsidR="00881780" w:rsidRPr="00A71C8E" w:rsidRDefault="00881780" w:rsidP="006F4D8F">
            <w:pPr>
              <w:spacing w:before="0" w:line="240" w:lineRule="auto"/>
              <w:jc w:val="left"/>
              <w:rPr>
                <w:sz w:val="18"/>
                <w:szCs w:val="18"/>
              </w:rPr>
            </w:pPr>
            <w:r w:rsidRPr="00A71C8E">
              <w:rPr>
                <w:sz w:val="18"/>
                <w:szCs w:val="18"/>
              </w:rPr>
              <w:t>63,1</w:t>
            </w:r>
          </w:p>
        </w:tc>
        <w:tc>
          <w:tcPr>
            <w:tcW w:w="260" w:type="pct"/>
            <w:shd w:val="clear" w:color="auto" w:fill="DBE5F1"/>
            <w:noWrap/>
            <w:hideMark/>
          </w:tcPr>
          <w:p w14:paraId="07B805B4" w14:textId="77777777" w:rsidR="00881780" w:rsidRPr="00A71C8E" w:rsidRDefault="00881780" w:rsidP="006F4D8F">
            <w:pPr>
              <w:spacing w:before="0" w:line="240" w:lineRule="auto"/>
              <w:jc w:val="left"/>
              <w:rPr>
                <w:sz w:val="18"/>
                <w:szCs w:val="18"/>
              </w:rPr>
            </w:pPr>
            <w:r w:rsidRPr="00A71C8E">
              <w:rPr>
                <w:sz w:val="18"/>
                <w:szCs w:val="18"/>
              </w:rPr>
              <w:t>62,7</w:t>
            </w:r>
          </w:p>
        </w:tc>
        <w:tc>
          <w:tcPr>
            <w:tcW w:w="260" w:type="pct"/>
            <w:shd w:val="clear" w:color="auto" w:fill="DBE5F1"/>
            <w:noWrap/>
            <w:hideMark/>
          </w:tcPr>
          <w:p w14:paraId="39BF7B8B" w14:textId="77777777" w:rsidR="00881780" w:rsidRPr="00A71C8E" w:rsidRDefault="00881780" w:rsidP="006F4D8F">
            <w:pPr>
              <w:spacing w:before="0" w:line="240" w:lineRule="auto"/>
              <w:jc w:val="left"/>
              <w:rPr>
                <w:sz w:val="18"/>
                <w:szCs w:val="18"/>
              </w:rPr>
            </w:pPr>
            <w:r w:rsidRPr="00A71C8E">
              <w:rPr>
                <w:sz w:val="18"/>
                <w:szCs w:val="18"/>
              </w:rPr>
              <w:t>62,2</w:t>
            </w:r>
          </w:p>
        </w:tc>
        <w:tc>
          <w:tcPr>
            <w:tcW w:w="260" w:type="pct"/>
            <w:shd w:val="clear" w:color="auto" w:fill="D9D9D9"/>
            <w:noWrap/>
            <w:hideMark/>
          </w:tcPr>
          <w:p w14:paraId="01F36355" w14:textId="77777777" w:rsidR="00881780" w:rsidRPr="00A71C8E" w:rsidRDefault="00881780" w:rsidP="006F4D8F">
            <w:pPr>
              <w:spacing w:before="0" w:line="240" w:lineRule="auto"/>
              <w:jc w:val="left"/>
              <w:rPr>
                <w:sz w:val="18"/>
                <w:szCs w:val="18"/>
              </w:rPr>
            </w:pPr>
            <w:r w:rsidRPr="00A71C8E">
              <w:rPr>
                <w:sz w:val="18"/>
                <w:szCs w:val="18"/>
              </w:rPr>
              <w:t>18,1</w:t>
            </w:r>
          </w:p>
        </w:tc>
        <w:tc>
          <w:tcPr>
            <w:tcW w:w="261" w:type="pct"/>
            <w:shd w:val="clear" w:color="auto" w:fill="D9D9D9"/>
            <w:noWrap/>
            <w:hideMark/>
          </w:tcPr>
          <w:p w14:paraId="71367391" w14:textId="77777777" w:rsidR="00881780" w:rsidRPr="00A71C8E" w:rsidRDefault="00881780" w:rsidP="006F4D8F">
            <w:pPr>
              <w:spacing w:before="0" w:line="240" w:lineRule="auto"/>
              <w:jc w:val="left"/>
              <w:rPr>
                <w:sz w:val="18"/>
                <w:szCs w:val="18"/>
              </w:rPr>
            </w:pPr>
            <w:r w:rsidRPr="00A71C8E">
              <w:rPr>
                <w:sz w:val="18"/>
                <w:szCs w:val="18"/>
              </w:rPr>
              <w:t>18,5</w:t>
            </w:r>
          </w:p>
        </w:tc>
        <w:tc>
          <w:tcPr>
            <w:tcW w:w="260" w:type="pct"/>
            <w:shd w:val="clear" w:color="auto" w:fill="D9D9D9"/>
            <w:noWrap/>
            <w:hideMark/>
          </w:tcPr>
          <w:p w14:paraId="50FC6AA7"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D9D9D9"/>
            <w:noWrap/>
            <w:hideMark/>
          </w:tcPr>
          <w:p w14:paraId="7E946580" w14:textId="77777777" w:rsidR="00881780" w:rsidRPr="00A71C8E" w:rsidRDefault="00881780" w:rsidP="006F4D8F">
            <w:pPr>
              <w:spacing w:before="0" w:line="240" w:lineRule="auto"/>
              <w:jc w:val="left"/>
              <w:rPr>
                <w:sz w:val="18"/>
                <w:szCs w:val="18"/>
              </w:rPr>
            </w:pPr>
            <w:r w:rsidRPr="00A71C8E">
              <w:rPr>
                <w:sz w:val="18"/>
                <w:szCs w:val="18"/>
              </w:rPr>
              <w:t>19,4</w:t>
            </w:r>
          </w:p>
        </w:tc>
        <w:tc>
          <w:tcPr>
            <w:tcW w:w="260" w:type="pct"/>
            <w:shd w:val="clear" w:color="auto" w:fill="D9D9D9"/>
            <w:noWrap/>
            <w:hideMark/>
          </w:tcPr>
          <w:p w14:paraId="1E06E1BA" w14:textId="77777777" w:rsidR="00881780" w:rsidRPr="00A71C8E" w:rsidRDefault="00881780" w:rsidP="006F4D8F">
            <w:pPr>
              <w:spacing w:before="0" w:line="240" w:lineRule="auto"/>
              <w:jc w:val="left"/>
              <w:rPr>
                <w:sz w:val="18"/>
                <w:szCs w:val="18"/>
              </w:rPr>
            </w:pPr>
            <w:r w:rsidRPr="00A71C8E">
              <w:rPr>
                <w:sz w:val="18"/>
                <w:szCs w:val="18"/>
              </w:rPr>
              <w:t>19,9</w:t>
            </w:r>
          </w:p>
        </w:tc>
        <w:tc>
          <w:tcPr>
            <w:tcW w:w="259" w:type="pct"/>
            <w:shd w:val="clear" w:color="auto" w:fill="D9D9D9"/>
            <w:noWrap/>
            <w:hideMark/>
          </w:tcPr>
          <w:p w14:paraId="090E6AB9" w14:textId="77777777" w:rsidR="00881780" w:rsidRPr="00A71C8E" w:rsidRDefault="00881780" w:rsidP="006F4D8F">
            <w:pPr>
              <w:spacing w:before="0" w:line="240" w:lineRule="auto"/>
              <w:jc w:val="left"/>
              <w:rPr>
                <w:sz w:val="18"/>
                <w:szCs w:val="18"/>
              </w:rPr>
            </w:pPr>
            <w:r w:rsidRPr="00A71C8E">
              <w:rPr>
                <w:sz w:val="18"/>
                <w:szCs w:val="18"/>
              </w:rPr>
              <w:t>20,4</w:t>
            </w:r>
          </w:p>
        </w:tc>
      </w:tr>
      <w:tr w:rsidR="00881780" w:rsidRPr="00A71C8E" w14:paraId="54AF17C3" w14:textId="77777777" w:rsidTr="006F4D8F">
        <w:trPr>
          <w:trHeight w:val="300"/>
        </w:trPr>
        <w:tc>
          <w:tcPr>
            <w:tcW w:w="312" w:type="pct"/>
            <w:noWrap/>
            <w:hideMark/>
          </w:tcPr>
          <w:p w14:paraId="5209835F" w14:textId="77777777" w:rsidR="00881780" w:rsidRPr="00A71C8E" w:rsidRDefault="00881780" w:rsidP="006F4D8F">
            <w:pPr>
              <w:spacing w:before="0" w:line="240" w:lineRule="auto"/>
              <w:jc w:val="left"/>
              <w:rPr>
                <w:sz w:val="18"/>
                <w:szCs w:val="18"/>
              </w:rPr>
            </w:pPr>
            <w:r w:rsidRPr="00A71C8E">
              <w:rPr>
                <w:sz w:val="18"/>
                <w:szCs w:val="18"/>
              </w:rPr>
              <w:t>Pomorskie</w:t>
            </w:r>
          </w:p>
        </w:tc>
        <w:tc>
          <w:tcPr>
            <w:tcW w:w="260" w:type="pct"/>
            <w:shd w:val="clear" w:color="auto" w:fill="C6D9F1"/>
            <w:noWrap/>
            <w:hideMark/>
          </w:tcPr>
          <w:p w14:paraId="5201B405" w14:textId="77777777" w:rsidR="00881780" w:rsidRPr="00A71C8E" w:rsidRDefault="00881780" w:rsidP="006F4D8F">
            <w:pPr>
              <w:spacing w:before="0" w:line="240" w:lineRule="auto"/>
              <w:jc w:val="left"/>
              <w:rPr>
                <w:sz w:val="18"/>
                <w:szCs w:val="18"/>
              </w:rPr>
            </w:pPr>
            <w:r w:rsidRPr="00A71C8E">
              <w:rPr>
                <w:sz w:val="18"/>
                <w:szCs w:val="18"/>
              </w:rPr>
              <w:t>19,7</w:t>
            </w:r>
          </w:p>
        </w:tc>
        <w:tc>
          <w:tcPr>
            <w:tcW w:w="260" w:type="pct"/>
            <w:shd w:val="clear" w:color="auto" w:fill="C6D9F1"/>
            <w:noWrap/>
            <w:hideMark/>
          </w:tcPr>
          <w:p w14:paraId="2663FBDC" w14:textId="77777777" w:rsidR="00881780" w:rsidRPr="00A71C8E" w:rsidRDefault="00881780" w:rsidP="006F4D8F">
            <w:pPr>
              <w:spacing w:before="0" w:line="240" w:lineRule="auto"/>
              <w:jc w:val="left"/>
              <w:rPr>
                <w:sz w:val="18"/>
                <w:szCs w:val="18"/>
              </w:rPr>
            </w:pPr>
            <w:r w:rsidRPr="00A71C8E">
              <w:rPr>
                <w:sz w:val="18"/>
                <w:szCs w:val="18"/>
              </w:rPr>
              <w:t>19,6</w:t>
            </w:r>
          </w:p>
        </w:tc>
        <w:tc>
          <w:tcPr>
            <w:tcW w:w="260" w:type="pct"/>
            <w:shd w:val="clear" w:color="auto" w:fill="C6D9F1"/>
            <w:noWrap/>
            <w:hideMark/>
          </w:tcPr>
          <w:p w14:paraId="64C1EACE" w14:textId="77777777" w:rsidR="00881780" w:rsidRPr="00A71C8E" w:rsidRDefault="00881780" w:rsidP="006F4D8F">
            <w:pPr>
              <w:spacing w:before="0" w:line="240" w:lineRule="auto"/>
              <w:jc w:val="left"/>
              <w:rPr>
                <w:sz w:val="18"/>
                <w:szCs w:val="18"/>
              </w:rPr>
            </w:pPr>
            <w:r w:rsidRPr="00A71C8E">
              <w:rPr>
                <w:sz w:val="18"/>
                <w:szCs w:val="18"/>
              </w:rPr>
              <w:t>19,5</w:t>
            </w:r>
          </w:p>
        </w:tc>
        <w:tc>
          <w:tcPr>
            <w:tcW w:w="260" w:type="pct"/>
            <w:shd w:val="clear" w:color="auto" w:fill="C6D9F1"/>
            <w:noWrap/>
            <w:hideMark/>
          </w:tcPr>
          <w:p w14:paraId="7E59D067" w14:textId="77777777" w:rsidR="00881780" w:rsidRPr="00A71C8E" w:rsidRDefault="00881780" w:rsidP="006F4D8F">
            <w:pPr>
              <w:spacing w:before="0" w:line="240" w:lineRule="auto"/>
              <w:jc w:val="left"/>
              <w:rPr>
                <w:sz w:val="18"/>
                <w:szCs w:val="18"/>
              </w:rPr>
            </w:pPr>
            <w:r w:rsidRPr="00A71C8E">
              <w:rPr>
                <w:sz w:val="18"/>
                <w:szCs w:val="18"/>
              </w:rPr>
              <w:t>19,4</w:t>
            </w:r>
          </w:p>
        </w:tc>
        <w:tc>
          <w:tcPr>
            <w:tcW w:w="262" w:type="pct"/>
            <w:shd w:val="clear" w:color="auto" w:fill="C6D9F1"/>
            <w:noWrap/>
            <w:hideMark/>
          </w:tcPr>
          <w:p w14:paraId="569CEB04" w14:textId="77777777" w:rsidR="00881780" w:rsidRPr="00A71C8E" w:rsidRDefault="00881780" w:rsidP="006F4D8F">
            <w:pPr>
              <w:spacing w:before="0" w:line="240" w:lineRule="auto"/>
              <w:jc w:val="left"/>
              <w:rPr>
                <w:sz w:val="18"/>
                <w:szCs w:val="18"/>
              </w:rPr>
            </w:pPr>
            <w:r w:rsidRPr="00A71C8E">
              <w:rPr>
                <w:sz w:val="18"/>
                <w:szCs w:val="18"/>
              </w:rPr>
              <w:t>19,4</w:t>
            </w:r>
          </w:p>
        </w:tc>
        <w:tc>
          <w:tcPr>
            <w:tcW w:w="264" w:type="pct"/>
            <w:shd w:val="clear" w:color="auto" w:fill="C6D9F1"/>
            <w:noWrap/>
            <w:hideMark/>
          </w:tcPr>
          <w:p w14:paraId="5CF0CBFF" w14:textId="77777777" w:rsidR="00881780" w:rsidRPr="00A71C8E" w:rsidRDefault="00881780" w:rsidP="006F4D8F">
            <w:pPr>
              <w:spacing w:before="0" w:line="240" w:lineRule="auto"/>
              <w:jc w:val="left"/>
              <w:rPr>
                <w:sz w:val="18"/>
                <w:szCs w:val="18"/>
              </w:rPr>
            </w:pPr>
            <w:r w:rsidRPr="00A71C8E">
              <w:rPr>
                <w:sz w:val="18"/>
                <w:szCs w:val="18"/>
              </w:rPr>
              <w:t>19,6</w:t>
            </w:r>
          </w:p>
        </w:tc>
        <w:tc>
          <w:tcPr>
            <w:tcW w:w="260" w:type="pct"/>
            <w:shd w:val="clear" w:color="auto" w:fill="DBE5F1"/>
            <w:noWrap/>
            <w:hideMark/>
          </w:tcPr>
          <w:p w14:paraId="1CCEE3C9" w14:textId="77777777" w:rsidR="00881780" w:rsidRPr="00A71C8E" w:rsidRDefault="00881780" w:rsidP="006F4D8F">
            <w:pPr>
              <w:spacing w:before="0" w:line="240" w:lineRule="auto"/>
              <w:jc w:val="left"/>
              <w:rPr>
                <w:sz w:val="18"/>
                <w:szCs w:val="18"/>
              </w:rPr>
            </w:pPr>
            <w:r w:rsidRPr="00A71C8E">
              <w:rPr>
                <w:sz w:val="18"/>
                <w:szCs w:val="18"/>
              </w:rPr>
              <w:t>63,8</w:t>
            </w:r>
          </w:p>
        </w:tc>
        <w:tc>
          <w:tcPr>
            <w:tcW w:w="260" w:type="pct"/>
            <w:shd w:val="clear" w:color="auto" w:fill="DBE5F1"/>
            <w:noWrap/>
            <w:hideMark/>
          </w:tcPr>
          <w:p w14:paraId="480549F2" w14:textId="77777777" w:rsidR="00881780" w:rsidRPr="00A71C8E" w:rsidRDefault="00881780" w:rsidP="006F4D8F">
            <w:pPr>
              <w:spacing w:before="0" w:line="240" w:lineRule="auto"/>
              <w:jc w:val="left"/>
              <w:rPr>
                <w:sz w:val="18"/>
                <w:szCs w:val="18"/>
              </w:rPr>
            </w:pPr>
            <w:r w:rsidRPr="00A71C8E">
              <w:rPr>
                <w:sz w:val="18"/>
                <w:szCs w:val="18"/>
              </w:rPr>
              <w:t>63,4</w:t>
            </w:r>
          </w:p>
        </w:tc>
        <w:tc>
          <w:tcPr>
            <w:tcW w:w="262" w:type="pct"/>
            <w:shd w:val="clear" w:color="auto" w:fill="DBE5F1"/>
            <w:noWrap/>
            <w:hideMark/>
          </w:tcPr>
          <w:p w14:paraId="0DF29E09" w14:textId="77777777" w:rsidR="00881780" w:rsidRPr="00A71C8E" w:rsidRDefault="00881780" w:rsidP="006F4D8F">
            <w:pPr>
              <w:spacing w:before="0" w:line="240" w:lineRule="auto"/>
              <w:jc w:val="left"/>
              <w:rPr>
                <w:sz w:val="18"/>
                <w:szCs w:val="18"/>
              </w:rPr>
            </w:pPr>
            <w:r w:rsidRPr="00A71C8E">
              <w:rPr>
                <w:sz w:val="18"/>
                <w:szCs w:val="18"/>
              </w:rPr>
              <w:t>62,8</w:t>
            </w:r>
          </w:p>
        </w:tc>
        <w:tc>
          <w:tcPr>
            <w:tcW w:w="260" w:type="pct"/>
            <w:shd w:val="clear" w:color="auto" w:fill="DBE5F1"/>
            <w:noWrap/>
            <w:hideMark/>
          </w:tcPr>
          <w:p w14:paraId="2FA57FEF" w14:textId="77777777" w:rsidR="00881780" w:rsidRPr="00A71C8E" w:rsidRDefault="00881780" w:rsidP="006F4D8F">
            <w:pPr>
              <w:spacing w:before="0" w:line="240" w:lineRule="auto"/>
              <w:jc w:val="left"/>
              <w:rPr>
                <w:sz w:val="18"/>
                <w:szCs w:val="18"/>
              </w:rPr>
            </w:pPr>
            <w:r w:rsidRPr="00A71C8E">
              <w:rPr>
                <w:sz w:val="18"/>
                <w:szCs w:val="18"/>
              </w:rPr>
              <w:t>62,2</w:t>
            </w:r>
          </w:p>
        </w:tc>
        <w:tc>
          <w:tcPr>
            <w:tcW w:w="260" w:type="pct"/>
            <w:shd w:val="clear" w:color="auto" w:fill="DBE5F1"/>
            <w:noWrap/>
            <w:hideMark/>
          </w:tcPr>
          <w:p w14:paraId="7B29C44B" w14:textId="77777777" w:rsidR="00881780" w:rsidRPr="00A71C8E" w:rsidRDefault="00881780" w:rsidP="006F4D8F">
            <w:pPr>
              <w:spacing w:before="0" w:line="240" w:lineRule="auto"/>
              <w:jc w:val="left"/>
              <w:rPr>
                <w:sz w:val="18"/>
                <w:szCs w:val="18"/>
              </w:rPr>
            </w:pPr>
            <w:r w:rsidRPr="00A71C8E">
              <w:rPr>
                <w:sz w:val="18"/>
                <w:szCs w:val="18"/>
              </w:rPr>
              <w:t>61,6</w:t>
            </w:r>
          </w:p>
        </w:tc>
        <w:tc>
          <w:tcPr>
            <w:tcW w:w="260" w:type="pct"/>
            <w:shd w:val="clear" w:color="auto" w:fill="DBE5F1"/>
            <w:noWrap/>
            <w:hideMark/>
          </w:tcPr>
          <w:p w14:paraId="0C5C7499" w14:textId="77777777" w:rsidR="00881780" w:rsidRPr="00A71C8E" w:rsidRDefault="00881780" w:rsidP="006F4D8F">
            <w:pPr>
              <w:spacing w:before="0" w:line="240" w:lineRule="auto"/>
              <w:jc w:val="left"/>
              <w:rPr>
                <w:sz w:val="18"/>
                <w:szCs w:val="18"/>
              </w:rPr>
            </w:pPr>
            <w:r w:rsidRPr="00A71C8E">
              <w:rPr>
                <w:sz w:val="18"/>
                <w:szCs w:val="18"/>
              </w:rPr>
              <w:t>60,9</w:t>
            </w:r>
          </w:p>
        </w:tc>
        <w:tc>
          <w:tcPr>
            <w:tcW w:w="260" w:type="pct"/>
            <w:shd w:val="clear" w:color="auto" w:fill="D9D9D9"/>
            <w:noWrap/>
            <w:hideMark/>
          </w:tcPr>
          <w:p w14:paraId="51F1D517" w14:textId="77777777" w:rsidR="00881780" w:rsidRPr="00A71C8E" w:rsidRDefault="00881780" w:rsidP="006F4D8F">
            <w:pPr>
              <w:spacing w:before="0" w:line="240" w:lineRule="auto"/>
              <w:jc w:val="left"/>
              <w:rPr>
                <w:sz w:val="18"/>
                <w:szCs w:val="18"/>
              </w:rPr>
            </w:pPr>
            <w:r w:rsidRPr="00A71C8E">
              <w:rPr>
                <w:sz w:val="18"/>
                <w:szCs w:val="18"/>
              </w:rPr>
              <w:t>16,4</w:t>
            </w:r>
          </w:p>
        </w:tc>
        <w:tc>
          <w:tcPr>
            <w:tcW w:w="261" w:type="pct"/>
            <w:shd w:val="clear" w:color="auto" w:fill="D9D9D9"/>
            <w:noWrap/>
            <w:hideMark/>
          </w:tcPr>
          <w:p w14:paraId="4588C672" w14:textId="77777777" w:rsidR="00881780" w:rsidRPr="00A71C8E" w:rsidRDefault="00881780" w:rsidP="006F4D8F">
            <w:pPr>
              <w:spacing w:before="0" w:line="240" w:lineRule="auto"/>
              <w:jc w:val="left"/>
              <w:rPr>
                <w:sz w:val="18"/>
                <w:szCs w:val="18"/>
              </w:rPr>
            </w:pPr>
            <w:r w:rsidRPr="00A71C8E">
              <w:rPr>
                <w:sz w:val="18"/>
                <w:szCs w:val="18"/>
              </w:rPr>
              <w:t>17,1</w:t>
            </w:r>
          </w:p>
        </w:tc>
        <w:tc>
          <w:tcPr>
            <w:tcW w:w="260" w:type="pct"/>
            <w:shd w:val="clear" w:color="auto" w:fill="D9D9D9"/>
            <w:noWrap/>
            <w:hideMark/>
          </w:tcPr>
          <w:p w14:paraId="2B31DD41"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9D9D9"/>
            <w:noWrap/>
            <w:hideMark/>
          </w:tcPr>
          <w:p w14:paraId="3301D849" w14:textId="77777777" w:rsidR="00881780" w:rsidRPr="00A71C8E" w:rsidRDefault="00881780" w:rsidP="006F4D8F">
            <w:pPr>
              <w:spacing w:before="0" w:line="240" w:lineRule="auto"/>
              <w:jc w:val="left"/>
              <w:rPr>
                <w:sz w:val="18"/>
                <w:szCs w:val="18"/>
              </w:rPr>
            </w:pPr>
            <w:r w:rsidRPr="00A71C8E">
              <w:rPr>
                <w:sz w:val="18"/>
                <w:szCs w:val="18"/>
              </w:rPr>
              <w:t>18,4</w:t>
            </w:r>
          </w:p>
        </w:tc>
        <w:tc>
          <w:tcPr>
            <w:tcW w:w="260" w:type="pct"/>
            <w:shd w:val="clear" w:color="auto" w:fill="D9D9D9"/>
            <w:noWrap/>
            <w:hideMark/>
          </w:tcPr>
          <w:p w14:paraId="68D341E8" w14:textId="77777777" w:rsidR="00881780" w:rsidRPr="00A71C8E" w:rsidRDefault="00881780" w:rsidP="006F4D8F">
            <w:pPr>
              <w:spacing w:before="0" w:line="240" w:lineRule="auto"/>
              <w:jc w:val="left"/>
              <w:rPr>
                <w:sz w:val="18"/>
                <w:szCs w:val="18"/>
              </w:rPr>
            </w:pPr>
            <w:r w:rsidRPr="00A71C8E">
              <w:rPr>
                <w:sz w:val="18"/>
                <w:szCs w:val="18"/>
              </w:rPr>
              <w:t>19,0</w:t>
            </w:r>
          </w:p>
        </w:tc>
        <w:tc>
          <w:tcPr>
            <w:tcW w:w="259" w:type="pct"/>
            <w:shd w:val="clear" w:color="auto" w:fill="D9D9D9"/>
            <w:noWrap/>
            <w:hideMark/>
          </w:tcPr>
          <w:p w14:paraId="0B9455E0" w14:textId="77777777" w:rsidR="00881780" w:rsidRPr="00A71C8E" w:rsidRDefault="00881780" w:rsidP="006F4D8F">
            <w:pPr>
              <w:spacing w:before="0" w:line="240" w:lineRule="auto"/>
              <w:jc w:val="left"/>
              <w:rPr>
                <w:sz w:val="18"/>
                <w:szCs w:val="18"/>
              </w:rPr>
            </w:pPr>
            <w:r w:rsidRPr="00A71C8E">
              <w:rPr>
                <w:sz w:val="18"/>
                <w:szCs w:val="18"/>
              </w:rPr>
              <w:t>19,5</w:t>
            </w:r>
          </w:p>
        </w:tc>
      </w:tr>
      <w:tr w:rsidR="00881780" w:rsidRPr="00A71C8E" w14:paraId="2CF1B7F2" w14:textId="77777777" w:rsidTr="006F4D8F">
        <w:trPr>
          <w:trHeight w:val="300"/>
        </w:trPr>
        <w:tc>
          <w:tcPr>
            <w:tcW w:w="312" w:type="pct"/>
            <w:noWrap/>
            <w:hideMark/>
          </w:tcPr>
          <w:p w14:paraId="5C2F862E" w14:textId="77777777" w:rsidR="00881780" w:rsidRPr="00A71C8E" w:rsidRDefault="00881780" w:rsidP="006F4D8F">
            <w:pPr>
              <w:spacing w:before="0" w:line="240" w:lineRule="auto"/>
              <w:jc w:val="left"/>
              <w:rPr>
                <w:sz w:val="18"/>
                <w:szCs w:val="18"/>
              </w:rPr>
            </w:pPr>
            <w:r w:rsidRPr="00A71C8E">
              <w:rPr>
                <w:sz w:val="18"/>
                <w:szCs w:val="18"/>
              </w:rPr>
              <w:t>Śląskie</w:t>
            </w:r>
          </w:p>
        </w:tc>
        <w:tc>
          <w:tcPr>
            <w:tcW w:w="260" w:type="pct"/>
            <w:shd w:val="clear" w:color="auto" w:fill="C6D9F1"/>
            <w:noWrap/>
            <w:hideMark/>
          </w:tcPr>
          <w:p w14:paraId="263B7398" w14:textId="77777777" w:rsidR="00881780" w:rsidRPr="00A71C8E" w:rsidRDefault="00881780" w:rsidP="006F4D8F">
            <w:pPr>
              <w:spacing w:before="0" w:line="240" w:lineRule="auto"/>
              <w:jc w:val="left"/>
              <w:rPr>
                <w:sz w:val="18"/>
                <w:szCs w:val="18"/>
              </w:rPr>
            </w:pPr>
            <w:r w:rsidRPr="00A71C8E">
              <w:rPr>
                <w:sz w:val="18"/>
                <w:szCs w:val="18"/>
              </w:rPr>
              <w:t>17,0</w:t>
            </w:r>
          </w:p>
        </w:tc>
        <w:tc>
          <w:tcPr>
            <w:tcW w:w="260" w:type="pct"/>
            <w:shd w:val="clear" w:color="auto" w:fill="C6D9F1"/>
            <w:noWrap/>
            <w:hideMark/>
          </w:tcPr>
          <w:p w14:paraId="51CE62BD"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C6D9F1"/>
            <w:noWrap/>
            <w:hideMark/>
          </w:tcPr>
          <w:p w14:paraId="75AEC24D" w14:textId="77777777" w:rsidR="00881780" w:rsidRPr="00A71C8E" w:rsidRDefault="00881780" w:rsidP="006F4D8F">
            <w:pPr>
              <w:spacing w:before="0" w:line="240" w:lineRule="auto"/>
              <w:jc w:val="left"/>
              <w:rPr>
                <w:sz w:val="18"/>
                <w:szCs w:val="18"/>
              </w:rPr>
            </w:pPr>
            <w:r w:rsidRPr="00A71C8E">
              <w:rPr>
                <w:sz w:val="18"/>
                <w:szCs w:val="18"/>
              </w:rPr>
              <w:t>16,8</w:t>
            </w:r>
          </w:p>
        </w:tc>
        <w:tc>
          <w:tcPr>
            <w:tcW w:w="260" w:type="pct"/>
            <w:shd w:val="clear" w:color="auto" w:fill="C6D9F1"/>
            <w:noWrap/>
            <w:hideMark/>
          </w:tcPr>
          <w:p w14:paraId="4C60F56A" w14:textId="77777777" w:rsidR="00881780" w:rsidRPr="00A71C8E" w:rsidRDefault="00881780" w:rsidP="006F4D8F">
            <w:pPr>
              <w:spacing w:before="0" w:line="240" w:lineRule="auto"/>
              <w:jc w:val="left"/>
              <w:rPr>
                <w:sz w:val="18"/>
                <w:szCs w:val="18"/>
              </w:rPr>
            </w:pPr>
            <w:r w:rsidRPr="00A71C8E">
              <w:rPr>
                <w:sz w:val="18"/>
                <w:szCs w:val="18"/>
              </w:rPr>
              <w:t>16,8</w:t>
            </w:r>
          </w:p>
        </w:tc>
        <w:tc>
          <w:tcPr>
            <w:tcW w:w="262" w:type="pct"/>
            <w:shd w:val="clear" w:color="auto" w:fill="C6D9F1"/>
            <w:noWrap/>
            <w:hideMark/>
          </w:tcPr>
          <w:p w14:paraId="3EB3BDA6" w14:textId="77777777" w:rsidR="00881780" w:rsidRPr="00A71C8E" w:rsidRDefault="00881780" w:rsidP="006F4D8F">
            <w:pPr>
              <w:spacing w:before="0" w:line="240" w:lineRule="auto"/>
              <w:jc w:val="left"/>
              <w:rPr>
                <w:sz w:val="18"/>
                <w:szCs w:val="18"/>
              </w:rPr>
            </w:pPr>
            <w:r w:rsidRPr="00A71C8E">
              <w:rPr>
                <w:sz w:val="18"/>
                <w:szCs w:val="18"/>
              </w:rPr>
              <w:t>16,8</w:t>
            </w:r>
          </w:p>
        </w:tc>
        <w:tc>
          <w:tcPr>
            <w:tcW w:w="264" w:type="pct"/>
            <w:shd w:val="clear" w:color="auto" w:fill="C6D9F1"/>
            <w:noWrap/>
            <w:hideMark/>
          </w:tcPr>
          <w:p w14:paraId="107F507D" w14:textId="77777777" w:rsidR="00881780" w:rsidRPr="00A71C8E" w:rsidRDefault="00881780" w:rsidP="006F4D8F">
            <w:pPr>
              <w:spacing w:before="0" w:line="240" w:lineRule="auto"/>
              <w:jc w:val="left"/>
              <w:rPr>
                <w:sz w:val="18"/>
                <w:szCs w:val="18"/>
              </w:rPr>
            </w:pPr>
            <w:r w:rsidRPr="00A71C8E">
              <w:rPr>
                <w:sz w:val="18"/>
                <w:szCs w:val="18"/>
              </w:rPr>
              <w:t>16,9</w:t>
            </w:r>
          </w:p>
        </w:tc>
        <w:tc>
          <w:tcPr>
            <w:tcW w:w="260" w:type="pct"/>
            <w:shd w:val="clear" w:color="auto" w:fill="DBE5F1"/>
            <w:noWrap/>
            <w:hideMark/>
          </w:tcPr>
          <w:p w14:paraId="7F3F9450" w14:textId="77777777" w:rsidR="00881780" w:rsidRPr="00A71C8E" w:rsidRDefault="00881780" w:rsidP="006F4D8F">
            <w:pPr>
              <w:spacing w:before="0" w:line="240" w:lineRule="auto"/>
              <w:jc w:val="left"/>
              <w:rPr>
                <w:sz w:val="18"/>
                <w:szCs w:val="18"/>
              </w:rPr>
            </w:pPr>
            <w:r w:rsidRPr="00A71C8E">
              <w:rPr>
                <w:sz w:val="18"/>
                <w:szCs w:val="18"/>
              </w:rPr>
              <w:t>64,3</w:t>
            </w:r>
          </w:p>
        </w:tc>
        <w:tc>
          <w:tcPr>
            <w:tcW w:w="260" w:type="pct"/>
            <w:shd w:val="clear" w:color="auto" w:fill="DBE5F1"/>
            <w:noWrap/>
            <w:hideMark/>
          </w:tcPr>
          <w:p w14:paraId="4529B726" w14:textId="77777777" w:rsidR="00881780" w:rsidRPr="00A71C8E" w:rsidRDefault="00881780" w:rsidP="006F4D8F">
            <w:pPr>
              <w:spacing w:before="0" w:line="240" w:lineRule="auto"/>
              <w:jc w:val="left"/>
              <w:rPr>
                <w:sz w:val="18"/>
                <w:szCs w:val="18"/>
              </w:rPr>
            </w:pPr>
            <w:r w:rsidRPr="00A71C8E">
              <w:rPr>
                <w:sz w:val="18"/>
                <w:szCs w:val="18"/>
              </w:rPr>
              <w:t>63,8</w:t>
            </w:r>
          </w:p>
        </w:tc>
        <w:tc>
          <w:tcPr>
            <w:tcW w:w="262" w:type="pct"/>
            <w:shd w:val="clear" w:color="auto" w:fill="DBE5F1"/>
            <w:noWrap/>
            <w:hideMark/>
          </w:tcPr>
          <w:p w14:paraId="6C6410D5" w14:textId="77777777" w:rsidR="00881780" w:rsidRPr="00A71C8E" w:rsidRDefault="00881780" w:rsidP="006F4D8F">
            <w:pPr>
              <w:spacing w:before="0" w:line="240" w:lineRule="auto"/>
              <w:jc w:val="left"/>
              <w:rPr>
                <w:sz w:val="18"/>
                <w:szCs w:val="18"/>
              </w:rPr>
            </w:pPr>
            <w:r w:rsidRPr="00A71C8E">
              <w:rPr>
                <w:sz w:val="18"/>
                <w:szCs w:val="18"/>
              </w:rPr>
              <w:t>63,2</w:t>
            </w:r>
          </w:p>
        </w:tc>
        <w:tc>
          <w:tcPr>
            <w:tcW w:w="260" w:type="pct"/>
            <w:shd w:val="clear" w:color="auto" w:fill="DBE5F1"/>
            <w:noWrap/>
            <w:hideMark/>
          </w:tcPr>
          <w:p w14:paraId="55E6A806" w14:textId="77777777" w:rsidR="00881780" w:rsidRPr="00A71C8E" w:rsidRDefault="00881780" w:rsidP="006F4D8F">
            <w:pPr>
              <w:spacing w:before="0" w:line="240" w:lineRule="auto"/>
              <w:jc w:val="left"/>
              <w:rPr>
                <w:sz w:val="18"/>
                <w:szCs w:val="18"/>
              </w:rPr>
            </w:pPr>
            <w:r w:rsidRPr="00A71C8E">
              <w:rPr>
                <w:sz w:val="18"/>
                <w:szCs w:val="18"/>
              </w:rPr>
              <w:t>62,5</w:t>
            </w:r>
          </w:p>
        </w:tc>
        <w:tc>
          <w:tcPr>
            <w:tcW w:w="260" w:type="pct"/>
            <w:shd w:val="clear" w:color="auto" w:fill="DBE5F1"/>
            <w:noWrap/>
            <w:hideMark/>
          </w:tcPr>
          <w:p w14:paraId="0CC8D6B5" w14:textId="77777777" w:rsidR="00881780" w:rsidRPr="00A71C8E" w:rsidRDefault="00881780" w:rsidP="006F4D8F">
            <w:pPr>
              <w:spacing w:before="0" w:line="240" w:lineRule="auto"/>
              <w:jc w:val="left"/>
              <w:rPr>
                <w:sz w:val="18"/>
                <w:szCs w:val="18"/>
              </w:rPr>
            </w:pPr>
            <w:r w:rsidRPr="00A71C8E">
              <w:rPr>
                <w:sz w:val="18"/>
                <w:szCs w:val="18"/>
              </w:rPr>
              <w:t>61,8</w:t>
            </w:r>
          </w:p>
        </w:tc>
        <w:tc>
          <w:tcPr>
            <w:tcW w:w="260" w:type="pct"/>
            <w:shd w:val="clear" w:color="auto" w:fill="DBE5F1"/>
            <w:noWrap/>
            <w:hideMark/>
          </w:tcPr>
          <w:p w14:paraId="0FE1A025" w14:textId="77777777" w:rsidR="00881780" w:rsidRPr="00A71C8E" w:rsidRDefault="00881780" w:rsidP="006F4D8F">
            <w:pPr>
              <w:spacing w:before="0" w:line="240" w:lineRule="auto"/>
              <w:jc w:val="left"/>
              <w:rPr>
                <w:sz w:val="18"/>
                <w:szCs w:val="18"/>
              </w:rPr>
            </w:pPr>
            <w:r w:rsidRPr="00A71C8E">
              <w:rPr>
                <w:sz w:val="18"/>
                <w:szCs w:val="18"/>
              </w:rPr>
              <w:t>61,1</w:t>
            </w:r>
          </w:p>
        </w:tc>
        <w:tc>
          <w:tcPr>
            <w:tcW w:w="260" w:type="pct"/>
            <w:shd w:val="clear" w:color="auto" w:fill="D9D9D9"/>
            <w:noWrap/>
            <w:hideMark/>
          </w:tcPr>
          <w:p w14:paraId="5DC95C5E" w14:textId="77777777" w:rsidR="00881780" w:rsidRPr="00A71C8E" w:rsidRDefault="00881780" w:rsidP="006F4D8F">
            <w:pPr>
              <w:spacing w:before="0" w:line="240" w:lineRule="auto"/>
              <w:jc w:val="left"/>
              <w:rPr>
                <w:sz w:val="18"/>
                <w:szCs w:val="18"/>
              </w:rPr>
            </w:pPr>
            <w:r w:rsidRPr="00A71C8E">
              <w:rPr>
                <w:sz w:val="18"/>
                <w:szCs w:val="18"/>
              </w:rPr>
              <w:t>18,7</w:t>
            </w:r>
          </w:p>
        </w:tc>
        <w:tc>
          <w:tcPr>
            <w:tcW w:w="261" w:type="pct"/>
            <w:shd w:val="clear" w:color="auto" w:fill="D9D9D9"/>
            <w:noWrap/>
            <w:hideMark/>
          </w:tcPr>
          <w:p w14:paraId="10E97371" w14:textId="77777777" w:rsidR="00881780" w:rsidRPr="00A71C8E" w:rsidRDefault="00881780" w:rsidP="006F4D8F">
            <w:pPr>
              <w:spacing w:before="0" w:line="240" w:lineRule="auto"/>
              <w:jc w:val="left"/>
              <w:rPr>
                <w:sz w:val="18"/>
                <w:szCs w:val="18"/>
              </w:rPr>
            </w:pPr>
            <w:r w:rsidRPr="00A71C8E">
              <w:rPr>
                <w:sz w:val="18"/>
                <w:szCs w:val="18"/>
              </w:rPr>
              <w:t>19,3</w:t>
            </w:r>
          </w:p>
        </w:tc>
        <w:tc>
          <w:tcPr>
            <w:tcW w:w="260" w:type="pct"/>
            <w:shd w:val="clear" w:color="auto" w:fill="D9D9D9"/>
            <w:noWrap/>
            <w:hideMark/>
          </w:tcPr>
          <w:p w14:paraId="66FE821A" w14:textId="77777777" w:rsidR="00881780" w:rsidRPr="00A71C8E" w:rsidRDefault="00881780" w:rsidP="006F4D8F">
            <w:pPr>
              <w:spacing w:before="0" w:line="240" w:lineRule="auto"/>
              <w:jc w:val="left"/>
              <w:rPr>
                <w:sz w:val="18"/>
                <w:szCs w:val="18"/>
              </w:rPr>
            </w:pPr>
            <w:r w:rsidRPr="00A71C8E">
              <w:rPr>
                <w:sz w:val="18"/>
                <w:szCs w:val="18"/>
              </w:rPr>
              <w:t>20,0</w:t>
            </w:r>
          </w:p>
        </w:tc>
        <w:tc>
          <w:tcPr>
            <w:tcW w:w="260" w:type="pct"/>
            <w:shd w:val="clear" w:color="auto" w:fill="D9D9D9"/>
            <w:noWrap/>
            <w:hideMark/>
          </w:tcPr>
          <w:p w14:paraId="4CD2074C" w14:textId="77777777" w:rsidR="00881780" w:rsidRPr="00A71C8E" w:rsidRDefault="00881780" w:rsidP="006F4D8F">
            <w:pPr>
              <w:spacing w:before="0" w:line="240" w:lineRule="auto"/>
              <w:jc w:val="left"/>
              <w:rPr>
                <w:sz w:val="18"/>
                <w:szCs w:val="18"/>
              </w:rPr>
            </w:pPr>
            <w:r w:rsidRPr="00A71C8E">
              <w:rPr>
                <w:sz w:val="18"/>
                <w:szCs w:val="18"/>
              </w:rPr>
              <w:t>20,7</w:t>
            </w:r>
          </w:p>
        </w:tc>
        <w:tc>
          <w:tcPr>
            <w:tcW w:w="260" w:type="pct"/>
            <w:shd w:val="clear" w:color="auto" w:fill="D9D9D9"/>
            <w:noWrap/>
            <w:hideMark/>
          </w:tcPr>
          <w:p w14:paraId="306EBF02" w14:textId="77777777" w:rsidR="00881780" w:rsidRPr="00A71C8E" w:rsidRDefault="00881780" w:rsidP="006F4D8F">
            <w:pPr>
              <w:spacing w:before="0" w:line="240" w:lineRule="auto"/>
              <w:jc w:val="left"/>
              <w:rPr>
                <w:sz w:val="18"/>
                <w:szCs w:val="18"/>
              </w:rPr>
            </w:pPr>
            <w:r w:rsidRPr="00A71C8E">
              <w:rPr>
                <w:sz w:val="18"/>
                <w:szCs w:val="18"/>
              </w:rPr>
              <w:t>21,4</w:t>
            </w:r>
          </w:p>
        </w:tc>
        <w:tc>
          <w:tcPr>
            <w:tcW w:w="259" w:type="pct"/>
            <w:shd w:val="clear" w:color="auto" w:fill="D9D9D9"/>
            <w:noWrap/>
            <w:hideMark/>
          </w:tcPr>
          <w:p w14:paraId="23A285BF" w14:textId="77777777" w:rsidR="00881780" w:rsidRPr="00A71C8E" w:rsidRDefault="00881780" w:rsidP="006F4D8F">
            <w:pPr>
              <w:spacing w:before="0" w:line="240" w:lineRule="auto"/>
              <w:jc w:val="left"/>
              <w:rPr>
                <w:sz w:val="18"/>
                <w:szCs w:val="18"/>
              </w:rPr>
            </w:pPr>
            <w:r w:rsidRPr="00A71C8E">
              <w:rPr>
                <w:sz w:val="18"/>
                <w:szCs w:val="18"/>
              </w:rPr>
              <w:t>22,0</w:t>
            </w:r>
          </w:p>
        </w:tc>
      </w:tr>
      <w:tr w:rsidR="00881780" w:rsidRPr="00A71C8E" w14:paraId="738BF151" w14:textId="77777777" w:rsidTr="006F4D8F">
        <w:trPr>
          <w:trHeight w:val="300"/>
        </w:trPr>
        <w:tc>
          <w:tcPr>
            <w:tcW w:w="312" w:type="pct"/>
            <w:noWrap/>
            <w:hideMark/>
          </w:tcPr>
          <w:p w14:paraId="502A844C" w14:textId="77777777" w:rsidR="00881780" w:rsidRPr="00A71C8E" w:rsidRDefault="00881780" w:rsidP="006F4D8F">
            <w:pPr>
              <w:spacing w:before="0" w:line="240" w:lineRule="auto"/>
              <w:jc w:val="left"/>
              <w:rPr>
                <w:sz w:val="18"/>
                <w:szCs w:val="18"/>
              </w:rPr>
            </w:pPr>
            <w:r w:rsidRPr="00A71C8E">
              <w:rPr>
                <w:sz w:val="18"/>
                <w:szCs w:val="18"/>
              </w:rPr>
              <w:t>Świętokrzyskie</w:t>
            </w:r>
          </w:p>
        </w:tc>
        <w:tc>
          <w:tcPr>
            <w:tcW w:w="260" w:type="pct"/>
            <w:shd w:val="clear" w:color="auto" w:fill="C6D9F1"/>
            <w:noWrap/>
            <w:hideMark/>
          </w:tcPr>
          <w:p w14:paraId="0A223918" w14:textId="77777777" w:rsidR="00881780" w:rsidRPr="00A71C8E" w:rsidRDefault="00881780" w:rsidP="006F4D8F">
            <w:pPr>
              <w:spacing w:before="0" w:line="240" w:lineRule="auto"/>
              <w:jc w:val="left"/>
              <w:rPr>
                <w:sz w:val="18"/>
                <w:szCs w:val="18"/>
              </w:rPr>
            </w:pPr>
            <w:r w:rsidRPr="00A71C8E">
              <w:rPr>
                <w:sz w:val="18"/>
                <w:szCs w:val="18"/>
              </w:rPr>
              <w:t>17,6</w:t>
            </w:r>
          </w:p>
        </w:tc>
        <w:tc>
          <w:tcPr>
            <w:tcW w:w="260" w:type="pct"/>
            <w:shd w:val="clear" w:color="auto" w:fill="C6D9F1"/>
            <w:noWrap/>
            <w:hideMark/>
          </w:tcPr>
          <w:p w14:paraId="5DF50D42" w14:textId="77777777" w:rsidR="00881780" w:rsidRPr="00A71C8E" w:rsidRDefault="00881780" w:rsidP="006F4D8F">
            <w:pPr>
              <w:spacing w:before="0" w:line="240" w:lineRule="auto"/>
              <w:jc w:val="left"/>
              <w:rPr>
                <w:sz w:val="18"/>
                <w:szCs w:val="18"/>
              </w:rPr>
            </w:pPr>
            <w:r w:rsidRPr="00A71C8E">
              <w:rPr>
                <w:sz w:val="18"/>
                <w:szCs w:val="18"/>
              </w:rPr>
              <w:t>17,3</w:t>
            </w:r>
          </w:p>
        </w:tc>
        <w:tc>
          <w:tcPr>
            <w:tcW w:w="260" w:type="pct"/>
            <w:shd w:val="clear" w:color="auto" w:fill="C6D9F1"/>
            <w:noWrap/>
            <w:hideMark/>
          </w:tcPr>
          <w:p w14:paraId="1D0A7804" w14:textId="77777777" w:rsidR="00881780" w:rsidRPr="00A71C8E" w:rsidRDefault="00881780" w:rsidP="006F4D8F">
            <w:pPr>
              <w:spacing w:before="0" w:line="240" w:lineRule="auto"/>
              <w:jc w:val="left"/>
              <w:rPr>
                <w:sz w:val="18"/>
                <w:szCs w:val="18"/>
              </w:rPr>
            </w:pPr>
            <w:r w:rsidRPr="00A71C8E">
              <w:rPr>
                <w:sz w:val="18"/>
                <w:szCs w:val="18"/>
              </w:rPr>
              <w:t>17,0</w:t>
            </w:r>
          </w:p>
        </w:tc>
        <w:tc>
          <w:tcPr>
            <w:tcW w:w="260" w:type="pct"/>
            <w:shd w:val="clear" w:color="auto" w:fill="C6D9F1"/>
            <w:noWrap/>
            <w:hideMark/>
          </w:tcPr>
          <w:p w14:paraId="35AAFF88" w14:textId="77777777" w:rsidR="00881780" w:rsidRPr="00A71C8E" w:rsidRDefault="00881780" w:rsidP="006F4D8F">
            <w:pPr>
              <w:spacing w:before="0" w:line="240" w:lineRule="auto"/>
              <w:jc w:val="left"/>
              <w:rPr>
                <w:sz w:val="18"/>
                <w:szCs w:val="18"/>
              </w:rPr>
            </w:pPr>
            <w:r w:rsidRPr="00A71C8E">
              <w:rPr>
                <w:sz w:val="18"/>
                <w:szCs w:val="18"/>
              </w:rPr>
              <w:t>16,8</w:t>
            </w:r>
          </w:p>
        </w:tc>
        <w:tc>
          <w:tcPr>
            <w:tcW w:w="262" w:type="pct"/>
            <w:shd w:val="clear" w:color="auto" w:fill="C6D9F1"/>
            <w:noWrap/>
            <w:hideMark/>
          </w:tcPr>
          <w:p w14:paraId="7C19C238" w14:textId="77777777" w:rsidR="00881780" w:rsidRPr="00A71C8E" w:rsidRDefault="00881780" w:rsidP="006F4D8F">
            <w:pPr>
              <w:spacing w:before="0" w:line="240" w:lineRule="auto"/>
              <w:jc w:val="left"/>
              <w:rPr>
                <w:sz w:val="18"/>
                <w:szCs w:val="18"/>
              </w:rPr>
            </w:pPr>
            <w:r w:rsidRPr="00A71C8E">
              <w:rPr>
                <w:sz w:val="18"/>
                <w:szCs w:val="18"/>
              </w:rPr>
              <w:t>16,7</w:t>
            </w:r>
          </w:p>
        </w:tc>
        <w:tc>
          <w:tcPr>
            <w:tcW w:w="264" w:type="pct"/>
            <w:shd w:val="clear" w:color="auto" w:fill="C6D9F1"/>
            <w:noWrap/>
            <w:hideMark/>
          </w:tcPr>
          <w:p w14:paraId="033CD8EE" w14:textId="77777777" w:rsidR="00881780" w:rsidRPr="00A71C8E" w:rsidRDefault="00881780" w:rsidP="006F4D8F">
            <w:pPr>
              <w:spacing w:before="0" w:line="240" w:lineRule="auto"/>
              <w:jc w:val="left"/>
              <w:rPr>
                <w:sz w:val="18"/>
                <w:szCs w:val="18"/>
              </w:rPr>
            </w:pPr>
            <w:r w:rsidRPr="00A71C8E">
              <w:rPr>
                <w:sz w:val="18"/>
                <w:szCs w:val="18"/>
              </w:rPr>
              <w:t>16,6</w:t>
            </w:r>
          </w:p>
        </w:tc>
        <w:tc>
          <w:tcPr>
            <w:tcW w:w="260" w:type="pct"/>
            <w:shd w:val="clear" w:color="auto" w:fill="DBE5F1"/>
            <w:noWrap/>
            <w:hideMark/>
          </w:tcPr>
          <w:p w14:paraId="505ADC3B" w14:textId="77777777" w:rsidR="00881780" w:rsidRPr="00A71C8E" w:rsidRDefault="00881780" w:rsidP="006F4D8F">
            <w:pPr>
              <w:spacing w:before="0" w:line="240" w:lineRule="auto"/>
              <w:jc w:val="left"/>
              <w:rPr>
                <w:sz w:val="18"/>
                <w:szCs w:val="18"/>
              </w:rPr>
            </w:pPr>
            <w:r w:rsidRPr="00A71C8E">
              <w:rPr>
                <w:sz w:val="18"/>
                <w:szCs w:val="18"/>
              </w:rPr>
              <w:t>63,2</w:t>
            </w:r>
          </w:p>
        </w:tc>
        <w:tc>
          <w:tcPr>
            <w:tcW w:w="260" w:type="pct"/>
            <w:shd w:val="clear" w:color="auto" w:fill="DBE5F1"/>
            <w:noWrap/>
            <w:hideMark/>
          </w:tcPr>
          <w:p w14:paraId="48BF9F00" w14:textId="77777777" w:rsidR="00881780" w:rsidRPr="00A71C8E" w:rsidRDefault="00881780" w:rsidP="006F4D8F">
            <w:pPr>
              <w:spacing w:before="0" w:line="240" w:lineRule="auto"/>
              <w:jc w:val="left"/>
              <w:rPr>
                <w:sz w:val="18"/>
                <w:szCs w:val="18"/>
              </w:rPr>
            </w:pPr>
            <w:r w:rsidRPr="00A71C8E">
              <w:rPr>
                <w:sz w:val="18"/>
                <w:szCs w:val="18"/>
              </w:rPr>
              <w:t>62,9</w:t>
            </w:r>
          </w:p>
        </w:tc>
        <w:tc>
          <w:tcPr>
            <w:tcW w:w="262" w:type="pct"/>
            <w:shd w:val="clear" w:color="auto" w:fill="DBE5F1"/>
            <w:noWrap/>
            <w:hideMark/>
          </w:tcPr>
          <w:p w14:paraId="7A438C20" w14:textId="77777777" w:rsidR="00881780" w:rsidRPr="00A71C8E" w:rsidRDefault="00881780" w:rsidP="006F4D8F">
            <w:pPr>
              <w:spacing w:before="0" w:line="240" w:lineRule="auto"/>
              <w:jc w:val="left"/>
              <w:rPr>
                <w:sz w:val="18"/>
                <w:szCs w:val="18"/>
              </w:rPr>
            </w:pPr>
            <w:r w:rsidRPr="00A71C8E">
              <w:rPr>
                <w:sz w:val="18"/>
                <w:szCs w:val="18"/>
              </w:rPr>
              <w:t>62,6</w:t>
            </w:r>
          </w:p>
        </w:tc>
        <w:tc>
          <w:tcPr>
            <w:tcW w:w="260" w:type="pct"/>
            <w:shd w:val="clear" w:color="auto" w:fill="DBE5F1"/>
            <w:noWrap/>
            <w:hideMark/>
          </w:tcPr>
          <w:p w14:paraId="0C63B29F" w14:textId="77777777" w:rsidR="00881780" w:rsidRPr="00A71C8E" w:rsidRDefault="00881780" w:rsidP="006F4D8F">
            <w:pPr>
              <w:spacing w:before="0" w:line="240" w:lineRule="auto"/>
              <w:jc w:val="left"/>
              <w:rPr>
                <w:sz w:val="18"/>
                <w:szCs w:val="18"/>
              </w:rPr>
            </w:pPr>
            <w:r w:rsidRPr="00A71C8E">
              <w:rPr>
                <w:sz w:val="18"/>
                <w:szCs w:val="18"/>
              </w:rPr>
              <w:t>62,1</w:t>
            </w:r>
          </w:p>
        </w:tc>
        <w:tc>
          <w:tcPr>
            <w:tcW w:w="260" w:type="pct"/>
            <w:shd w:val="clear" w:color="auto" w:fill="DBE5F1"/>
            <w:noWrap/>
            <w:hideMark/>
          </w:tcPr>
          <w:p w14:paraId="67C82F23" w14:textId="77777777" w:rsidR="00881780" w:rsidRPr="00A71C8E" w:rsidRDefault="00881780" w:rsidP="006F4D8F">
            <w:pPr>
              <w:spacing w:before="0" w:line="240" w:lineRule="auto"/>
              <w:jc w:val="left"/>
              <w:rPr>
                <w:sz w:val="18"/>
                <w:szCs w:val="18"/>
              </w:rPr>
            </w:pPr>
            <w:r w:rsidRPr="00A71C8E">
              <w:rPr>
                <w:sz w:val="18"/>
                <w:szCs w:val="18"/>
              </w:rPr>
              <w:t>61,6</w:t>
            </w:r>
          </w:p>
        </w:tc>
        <w:tc>
          <w:tcPr>
            <w:tcW w:w="260" w:type="pct"/>
            <w:shd w:val="clear" w:color="auto" w:fill="DBE5F1"/>
            <w:noWrap/>
            <w:hideMark/>
          </w:tcPr>
          <w:p w14:paraId="05C54675" w14:textId="77777777" w:rsidR="00881780" w:rsidRPr="00A71C8E" w:rsidRDefault="00881780" w:rsidP="006F4D8F">
            <w:pPr>
              <w:spacing w:before="0" w:line="240" w:lineRule="auto"/>
              <w:jc w:val="left"/>
              <w:rPr>
                <w:sz w:val="18"/>
                <w:szCs w:val="18"/>
              </w:rPr>
            </w:pPr>
            <w:r w:rsidRPr="00A71C8E">
              <w:rPr>
                <w:sz w:val="18"/>
                <w:szCs w:val="18"/>
              </w:rPr>
              <w:t>61,1</w:t>
            </w:r>
          </w:p>
        </w:tc>
        <w:tc>
          <w:tcPr>
            <w:tcW w:w="260" w:type="pct"/>
            <w:shd w:val="clear" w:color="auto" w:fill="D9D9D9"/>
            <w:noWrap/>
            <w:hideMark/>
          </w:tcPr>
          <w:p w14:paraId="7C2CA9D4" w14:textId="77777777" w:rsidR="00881780" w:rsidRPr="00A71C8E" w:rsidRDefault="00881780" w:rsidP="006F4D8F">
            <w:pPr>
              <w:spacing w:before="0" w:line="240" w:lineRule="auto"/>
              <w:jc w:val="left"/>
              <w:rPr>
                <w:sz w:val="18"/>
                <w:szCs w:val="18"/>
              </w:rPr>
            </w:pPr>
            <w:r w:rsidRPr="00A71C8E">
              <w:rPr>
                <w:sz w:val="18"/>
                <w:szCs w:val="18"/>
              </w:rPr>
              <w:t>19,2</w:t>
            </w:r>
          </w:p>
        </w:tc>
        <w:tc>
          <w:tcPr>
            <w:tcW w:w="261" w:type="pct"/>
            <w:shd w:val="clear" w:color="auto" w:fill="D9D9D9"/>
            <w:noWrap/>
            <w:hideMark/>
          </w:tcPr>
          <w:p w14:paraId="587C141D" w14:textId="77777777" w:rsidR="00881780" w:rsidRPr="00A71C8E" w:rsidRDefault="00881780" w:rsidP="006F4D8F">
            <w:pPr>
              <w:spacing w:before="0" w:line="240" w:lineRule="auto"/>
              <w:jc w:val="left"/>
              <w:rPr>
                <w:sz w:val="18"/>
                <w:szCs w:val="18"/>
              </w:rPr>
            </w:pPr>
            <w:r w:rsidRPr="00A71C8E">
              <w:rPr>
                <w:sz w:val="18"/>
                <w:szCs w:val="18"/>
              </w:rPr>
              <w:t>19,8</w:t>
            </w:r>
          </w:p>
        </w:tc>
        <w:tc>
          <w:tcPr>
            <w:tcW w:w="260" w:type="pct"/>
            <w:shd w:val="clear" w:color="auto" w:fill="D9D9D9"/>
            <w:noWrap/>
            <w:hideMark/>
          </w:tcPr>
          <w:p w14:paraId="2B1C7E2B" w14:textId="77777777" w:rsidR="00881780" w:rsidRPr="00A71C8E" w:rsidRDefault="00881780" w:rsidP="006F4D8F">
            <w:pPr>
              <w:spacing w:before="0" w:line="240" w:lineRule="auto"/>
              <w:jc w:val="left"/>
              <w:rPr>
                <w:sz w:val="18"/>
                <w:szCs w:val="18"/>
              </w:rPr>
            </w:pPr>
            <w:r w:rsidRPr="00A71C8E">
              <w:rPr>
                <w:sz w:val="18"/>
                <w:szCs w:val="18"/>
              </w:rPr>
              <w:t>20,4</w:t>
            </w:r>
          </w:p>
        </w:tc>
        <w:tc>
          <w:tcPr>
            <w:tcW w:w="260" w:type="pct"/>
            <w:shd w:val="clear" w:color="auto" w:fill="D9D9D9"/>
            <w:noWrap/>
            <w:hideMark/>
          </w:tcPr>
          <w:p w14:paraId="7F210518" w14:textId="77777777" w:rsidR="00881780" w:rsidRPr="00A71C8E" w:rsidRDefault="00881780" w:rsidP="006F4D8F">
            <w:pPr>
              <w:spacing w:before="0" w:line="240" w:lineRule="auto"/>
              <w:jc w:val="left"/>
              <w:rPr>
                <w:sz w:val="18"/>
                <w:szCs w:val="18"/>
              </w:rPr>
            </w:pPr>
            <w:r w:rsidRPr="00A71C8E">
              <w:rPr>
                <w:sz w:val="18"/>
                <w:szCs w:val="18"/>
              </w:rPr>
              <w:t>21,0</w:t>
            </w:r>
          </w:p>
        </w:tc>
        <w:tc>
          <w:tcPr>
            <w:tcW w:w="260" w:type="pct"/>
            <w:shd w:val="clear" w:color="auto" w:fill="D9D9D9"/>
            <w:noWrap/>
            <w:hideMark/>
          </w:tcPr>
          <w:p w14:paraId="30CD62E1" w14:textId="77777777" w:rsidR="00881780" w:rsidRPr="00A71C8E" w:rsidRDefault="00881780" w:rsidP="006F4D8F">
            <w:pPr>
              <w:spacing w:before="0" w:line="240" w:lineRule="auto"/>
              <w:jc w:val="left"/>
              <w:rPr>
                <w:sz w:val="18"/>
                <w:szCs w:val="18"/>
              </w:rPr>
            </w:pPr>
            <w:r w:rsidRPr="00A71C8E">
              <w:rPr>
                <w:sz w:val="18"/>
                <w:szCs w:val="18"/>
              </w:rPr>
              <w:t>21,7</w:t>
            </w:r>
          </w:p>
        </w:tc>
        <w:tc>
          <w:tcPr>
            <w:tcW w:w="259" w:type="pct"/>
            <w:shd w:val="clear" w:color="auto" w:fill="D9D9D9"/>
            <w:noWrap/>
            <w:hideMark/>
          </w:tcPr>
          <w:p w14:paraId="525720A3" w14:textId="77777777" w:rsidR="00881780" w:rsidRPr="00A71C8E" w:rsidRDefault="00881780" w:rsidP="006F4D8F">
            <w:pPr>
              <w:spacing w:before="0" w:line="240" w:lineRule="auto"/>
              <w:jc w:val="left"/>
              <w:rPr>
                <w:sz w:val="18"/>
                <w:szCs w:val="18"/>
              </w:rPr>
            </w:pPr>
            <w:r w:rsidRPr="00A71C8E">
              <w:rPr>
                <w:sz w:val="18"/>
                <w:szCs w:val="18"/>
              </w:rPr>
              <w:t>22,3</w:t>
            </w:r>
          </w:p>
        </w:tc>
      </w:tr>
      <w:tr w:rsidR="00881780" w:rsidRPr="00A71C8E" w14:paraId="093DD548" w14:textId="77777777" w:rsidTr="006F4D8F">
        <w:trPr>
          <w:trHeight w:val="300"/>
        </w:trPr>
        <w:tc>
          <w:tcPr>
            <w:tcW w:w="312" w:type="pct"/>
            <w:noWrap/>
            <w:hideMark/>
          </w:tcPr>
          <w:p w14:paraId="5AB5A40A" w14:textId="77777777" w:rsidR="00881780" w:rsidRPr="00A71C8E" w:rsidRDefault="00881780" w:rsidP="006F4D8F">
            <w:pPr>
              <w:spacing w:before="0" w:line="240" w:lineRule="auto"/>
              <w:jc w:val="left"/>
              <w:rPr>
                <w:sz w:val="18"/>
                <w:szCs w:val="18"/>
              </w:rPr>
            </w:pPr>
            <w:r w:rsidRPr="00A71C8E">
              <w:rPr>
                <w:sz w:val="18"/>
                <w:szCs w:val="18"/>
              </w:rPr>
              <w:t>Warmińsko-mazurskie</w:t>
            </w:r>
          </w:p>
        </w:tc>
        <w:tc>
          <w:tcPr>
            <w:tcW w:w="260" w:type="pct"/>
            <w:shd w:val="clear" w:color="auto" w:fill="C6D9F1"/>
            <w:noWrap/>
            <w:hideMark/>
          </w:tcPr>
          <w:p w14:paraId="0562F7F7" w14:textId="77777777" w:rsidR="00881780" w:rsidRPr="00A71C8E" w:rsidRDefault="00881780" w:rsidP="006F4D8F">
            <w:pPr>
              <w:spacing w:before="0" w:line="240" w:lineRule="auto"/>
              <w:jc w:val="left"/>
              <w:rPr>
                <w:sz w:val="18"/>
                <w:szCs w:val="18"/>
              </w:rPr>
            </w:pPr>
            <w:r w:rsidRPr="00A71C8E">
              <w:rPr>
                <w:sz w:val="18"/>
                <w:szCs w:val="18"/>
              </w:rPr>
              <w:t>19,3</w:t>
            </w:r>
          </w:p>
        </w:tc>
        <w:tc>
          <w:tcPr>
            <w:tcW w:w="260" w:type="pct"/>
            <w:shd w:val="clear" w:color="auto" w:fill="C6D9F1"/>
            <w:noWrap/>
            <w:hideMark/>
          </w:tcPr>
          <w:p w14:paraId="40CF7A86" w14:textId="77777777" w:rsidR="00881780" w:rsidRPr="00A71C8E" w:rsidRDefault="00881780" w:rsidP="006F4D8F">
            <w:pPr>
              <w:spacing w:before="0" w:line="240" w:lineRule="auto"/>
              <w:jc w:val="left"/>
              <w:rPr>
                <w:sz w:val="18"/>
                <w:szCs w:val="18"/>
              </w:rPr>
            </w:pPr>
            <w:r w:rsidRPr="00A71C8E">
              <w:rPr>
                <w:sz w:val="18"/>
                <w:szCs w:val="18"/>
              </w:rPr>
              <w:t>19,0</w:t>
            </w:r>
          </w:p>
        </w:tc>
        <w:tc>
          <w:tcPr>
            <w:tcW w:w="260" w:type="pct"/>
            <w:shd w:val="clear" w:color="auto" w:fill="C6D9F1"/>
            <w:noWrap/>
            <w:hideMark/>
          </w:tcPr>
          <w:p w14:paraId="729C3E91" w14:textId="77777777" w:rsidR="00881780" w:rsidRPr="00A71C8E" w:rsidRDefault="00881780" w:rsidP="006F4D8F">
            <w:pPr>
              <w:spacing w:before="0" w:line="240" w:lineRule="auto"/>
              <w:jc w:val="left"/>
              <w:rPr>
                <w:sz w:val="18"/>
                <w:szCs w:val="18"/>
              </w:rPr>
            </w:pPr>
            <w:r w:rsidRPr="00A71C8E">
              <w:rPr>
                <w:sz w:val="18"/>
                <w:szCs w:val="18"/>
              </w:rPr>
              <w:t>18,8</w:t>
            </w:r>
          </w:p>
        </w:tc>
        <w:tc>
          <w:tcPr>
            <w:tcW w:w="260" w:type="pct"/>
            <w:shd w:val="clear" w:color="auto" w:fill="C6D9F1"/>
            <w:noWrap/>
            <w:hideMark/>
          </w:tcPr>
          <w:p w14:paraId="6F194359" w14:textId="77777777" w:rsidR="00881780" w:rsidRPr="00A71C8E" w:rsidRDefault="00881780" w:rsidP="006F4D8F">
            <w:pPr>
              <w:spacing w:before="0" w:line="240" w:lineRule="auto"/>
              <w:jc w:val="left"/>
              <w:rPr>
                <w:sz w:val="18"/>
                <w:szCs w:val="18"/>
              </w:rPr>
            </w:pPr>
            <w:r w:rsidRPr="00A71C8E">
              <w:rPr>
                <w:sz w:val="18"/>
                <w:szCs w:val="18"/>
              </w:rPr>
              <w:t>18,5</w:t>
            </w:r>
          </w:p>
        </w:tc>
        <w:tc>
          <w:tcPr>
            <w:tcW w:w="262" w:type="pct"/>
            <w:shd w:val="clear" w:color="auto" w:fill="C6D9F1"/>
            <w:noWrap/>
            <w:hideMark/>
          </w:tcPr>
          <w:p w14:paraId="3739A525" w14:textId="77777777" w:rsidR="00881780" w:rsidRPr="00A71C8E" w:rsidRDefault="00881780" w:rsidP="006F4D8F">
            <w:pPr>
              <w:spacing w:before="0" w:line="240" w:lineRule="auto"/>
              <w:jc w:val="left"/>
              <w:rPr>
                <w:sz w:val="18"/>
                <w:szCs w:val="18"/>
              </w:rPr>
            </w:pPr>
            <w:r w:rsidRPr="00A71C8E">
              <w:rPr>
                <w:sz w:val="18"/>
                <w:szCs w:val="18"/>
              </w:rPr>
              <w:t>18,4</w:t>
            </w:r>
          </w:p>
        </w:tc>
        <w:tc>
          <w:tcPr>
            <w:tcW w:w="264" w:type="pct"/>
            <w:shd w:val="clear" w:color="auto" w:fill="C6D9F1"/>
            <w:noWrap/>
            <w:hideMark/>
          </w:tcPr>
          <w:p w14:paraId="39814100" w14:textId="77777777" w:rsidR="00881780" w:rsidRPr="00A71C8E" w:rsidRDefault="00881780" w:rsidP="006F4D8F">
            <w:pPr>
              <w:spacing w:before="0" w:line="240" w:lineRule="auto"/>
              <w:jc w:val="left"/>
              <w:rPr>
                <w:sz w:val="18"/>
                <w:szCs w:val="18"/>
              </w:rPr>
            </w:pPr>
            <w:r w:rsidRPr="00A71C8E">
              <w:rPr>
                <w:sz w:val="18"/>
                <w:szCs w:val="18"/>
              </w:rPr>
              <w:t>18,4</w:t>
            </w:r>
          </w:p>
        </w:tc>
        <w:tc>
          <w:tcPr>
            <w:tcW w:w="260" w:type="pct"/>
            <w:shd w:val="clear" w:color="auto" w:fill="DBE5F1"/>
            <w:noWrap/>
            <w:hideMark/>
          </w:tcPr>
          <w:p w14:paraId="2EA77E8F" w14:textId="77777777" w:rsidR="00881780" w:rsidRPr="00A71C8E" w:rsidRDefault="00881780" w:rsidP="006F4D8F">
            <w:pPr>
              <w:spacing w:before="0" w:line="240" w:lineRule="auto"/>
              <w:jc w:val="left"/>
              <w:rPr>
                <w:sz w:val="18"/>
                <w:szCs w:val="18"/>
              </w:rPr>
            </w:pPr>
            <w:r w:rsidRPr="00A71C8E">
              <w:rPr>
                <w:sz w:val="18"/>
                <w:szCs w:val="18"/>
              </w:rPr>
              <w:t>65,0</w:t>
            </w:r>
          </w:p>
        </w:tc>
        <w:tc>
          <w:tcPr>
            <w:tcW w:w="260" w:type="pct"/>
            <w:shd w:val="clear" w:color="auto" w:fill="DBE5F1"/>
            <w:noWrap/>
            <w:hideMark/>
          </w:tcPr>
          <w:p w14:paraId="6AAEFA74" w14:textId="77777777" w:rsidR="00881780" w:rsidRPr="00A71C8E" w:rsidRDefault="00881780" w:rsidP="006F4D8F">
            <w:pPr>
              <w:spacing w:before="0" w:line="240" w:lineRule="auto"/>
              <w:jc w:val="left"/>
              <w:rPr>
                <w:sz w:val="18"/>
                <w:szCs w:val="18"/>
              </w:rPr>
            </w:pPr>
            <w:r w:rsidRPr="00A71C8E">
              <w:rPr>
                <w:sz w:val="18"/>
                <w:szCs w:val="18"/>
              </w:rPr>
              <w:t>64,7</w:t>
            </w:r>
          </w:p>
        </w:tc>
        <w:tc>
          <w:tcPr>
            <w:tcW w:w="262" w:type="pct"/>
            <w:shd w:val="clear" w:color="auto" w:fill="DBE5F1"/>
            <w:noWrap/>
            <w:hideMark/>
          </w:tcPr>
          <w:p w14:paraId="55CB316B" w14:textId="77777777" w:rsidR="00881780" w:rsidRPr="00A71C8E" w:rsidRDefault="00881780" w:rsidP="006F4D8F">
            <w:pPr>
              <w:spacing w:before="0" w:line="240" w:lineRule="auto"/>
              <w:jc w:val="left"/>
              <w:rPr>
                <w:sz w:val="18"/>
                <w:szCs w:val="18"/>
              </w:rPr>
            </w:pPr>
            <w:r w:rsidRPr="00A71C8E">
              <w:rPr>
                <w:sz w:val="18"/>
                <w:szCs w:val="18"/>
              </w:rPr>
              <w:t>64,2</w:t>
            </w:r>
          </w:p>
        </w:tc>
        <w:tc>
          <w:tcPr>
            <w:tcW w:w="260" w:type="pct"/>
            <w:shd w:val="clear" w:color="auto" w:fill="DBE5F1"/>
            <w:noWrap/>
            <w:hideMark/>
          </w:tcPr>
          <w:p w14:paraId="6F33CAAF" w14:textId="77777777" w:rsidR="00881780" w:rsidRPr="00A71C8E" w:rsidRDefault="00881780" w:rsidP="006F4D8F">
            <w:pPr>
              <w:spacing w:before="0" w:line="240" w:lineRule="auto"/>
              <w:jc w:val="left"/>
              <w:rPr>
                <w:sz w:val="18"/>
                <w:szCs w:val="18"/>
              </w:rPr>
            </w:pPr>
            <w:r w:rsidRPr="00A71C8E">
              <w:rPr>
                <w:sz w:val="18"/>
                <w:szCs w:val="18"/>
              </w:rPr>
              <w:t>63,7</w:t>
            </w:r>
          </w:p>
        </w:tc>
        <w:tc>
          <w:tcPr>
            <w:tcW w:w="260" w:type="pct"/>
            <w:shd w:val="clear" w:color="auto" w:fill="DBE5F1"/>
            <w:noWrap/>
            <w:hideMark/>
          </w:tcPr>
          <w:p w14:paraId="30F37C3C" w14:textId="77777777" w:rsidR="00881780" w:rsidRPr="00A71C8E" w:rsidRDefault="00881780" w:rsidP="006F4D8F">
            <w:pPr>
              <w:spacing w:before="0" w:line="240" w:lineRule="auto"/>
              <w:jc w:val="left"/>
              <w:rPr>
                <w:sz w:val="18"/>
                <w:szCs w:val="18"/>
              </w:rPr>
            </w:pPr>
            <w:r w:rsidRPr="00A71C8E">
              <w:rPr>
                <w:sz w:val="18"/>
                <w:szCs w:val="18"/>
              </w:rPr>
              <w:t>63,1</w:t>
            </w:r>
          </w:p>
        </w:tc>
        <w:tc>
          <w:tcPr>
            <w:tcW w:w="260" w:type="pct"/>
            <w:shd w:val="clear" w:color="auto" w:fill="DBE5F1"/>
            <w:noWrap/>
            <w:hideMark/>
          </w:tcPr>
          <w:p w14:paraId="07F1C991" w14:textId="77777777" w:rsidR="00881780" w:rsidRPr="00A71C8E" w:rsidRDefault="00881780" w:rsidP="006F4D8F">
            <w:pPr>
              <w:spacing w:before="0" w:line="240" w:lineRule="auto"/>
              <w:jc w:val="left"/>
              <w:rPr>
                <w:sz w:val="18"/>
                <w:szCs w:val="18"/>
              </w:rPr>
            </w:pPr>
            <w:r w:rsidRPr="00A71C8E">
              <w:rPr>
                <w:sz w:val="18"/>
                <w:szCs w:val="18"/>
              </w:rPr>
              <w:t>62,5</w:t>
            </w:r>
          </w:p>
        </w:tc>
        <w:tc>
          <w:tcPr>
            <w:tcW w:w="260" w:type="pct"/>
            <w:shd w:val="clear" w:color="auto" w:fill="D9D9D9"/>
            <w:noWrap/>
            <w:hideMark/>
          </w:tcPr>
          <w:p w14:paraId="61CE62E4" w14:textId="77777777" w:rsidR="00881780" w:rsidRPr="00A71C8E" w:rsidRDefault="00881780" w:rsidP="006F4D8F">
            <w:pPr>
              <w:spacing w:before="0" w:line="240" w:lineRule="auto"/>
              <w:jc w:val="left"/>
              <w:rPr>
                <w:sz w:val="18"/>
                <w:szCs w:val="18"/>
              </w:rPr>
            </w:pPr>
            <w:r w:rsidRPr="00A71C8E">
              <w:rPr>
                <w:sz w:val="18"/>
                <w:szCs w:val="18"/>
              </w:rPr>
              <w:t>15,7</w:t>
            </w:r>
          </w:p>
        </w:tc>
        <w:tc>
          <w:tcPr>
            <w:tcW w:w="261" w:type="pct"/>
            <w:shd w:val="clear" w:color="auto" w:fill="D9D9D9"/>
            <w:noWrap/>
            <w:hideMark/>
          </w:tcPr>
          <w:p w14:paraId="45B4ACE7" w14:textId="77777777" w:rsidR="00881780" w:rsidRPr="00A71C8E" w:rsidRDefault="00881780" w:rsidP="006F4D8F">
            <w:pPr>
              <w:spacing w:before="0" w:line="240" w:lineRule="auto"/>
              <w:jc w:val="left"/>
              <w:rPr>
                <w:sz w:val="18"/>
                <w:szCs w:val="18"/>
              </w:rPr>
            </w:pPr>
            <w:r w:rsidRPr="00A71C8E">
              <w:rPr>
                <w:sz w:val="18"/>
                <w:szCs w:val="18"/>
              </w:rPr>
              <w:t>16,3</w:t>
            </w:r>
          </w:p>
        </w:tc>
        <w:tc>
          <w:tcPr>
            <w:tcW w:w="260" w:type="pct"/>
            <w:shd w:val="clear" w:color="auto" w:fill="D9D9D9"/>
            <w:noWrap/>
            <w:hideMark/>
          </w:tcPr>
          <w:p w14:paraId="3F59FF39" w14:textId="77777777" w:rsidR="00881780" w:rsidRPr="00A71C8E" w:rsidRDefault="00881780" w:rsidP="006F4D8F">
            <w:pPr>
              <w:spacing w:before="0" w:line="240" w:lineRule="auto"/>
              <w:jc w:val="left"/>
              <w:rPr>
                <w:sz w:val="18"/>
                <w:szCs w:val="18"/>
              </w:rPr>
            </w:pPr>
            <w:r w:rsidRPr="00A71C8E">
              <w:rPr>
                <w:sz w:val="18"/>
                <w:szCs w:val="18"/>
              </w:rPr>
              <w:t>17,0</w:t>
            </w:r>
          </w:p>
        </w:tc>
        <w:tc>
          <w:tcPr>
            <w:tcW w:w="260" w:type="pct"/>
            <w:shd w:val="clear" w:color="auto" w:fill="D9D9D9"/>
            <w:noWrap/>
            <w:hideMark/>
          </w:tcPr>
          <w:p w14:paraId="7AA0F75C"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9D9D9"/>
            <w:noWrap/>
            <w:hideMark/>
          </w:tcPr>
          <w:p w14:paraId="0C3E7378" w14:textId="77777777" w:rsidR="00881780" w:rsidRPr="00A71C8E" w:rsidRDefault="00881780" w:rsidP="006F4D8F">
            <w:pPr>
              <w:spacing w:before="0" w:line="240" w:lineRule="auto"/>
              <w:jc w:val="left"/>
              <w:rPr>
                <w:sz w:val="18"/>
                <w:szCs w:val="18"/>
              </w:rPr>
            </w:pPr>
            <w:r w:rsidRPr="00A71C8E">
              <w:rPr>
                <w:sz w:val="18"/>
                <w:szCs w:val="18"/>
              </w:rPr>
              <w:t>18,5</w:t>
            </w:r>
          </w:p>
        </w:tc>
        <w:tc>
          <w:tcPr>
            <w:tcW w:w="259" w:type="pct"/>
            <w:shd w:val="clear" w:color="auto" w:fill="D9D9D9"/>
            <w:noWrap/>
            <w:hideMark/>
          </w:tcPr>
          <w:p w14:paraId="52E07D90" w14:textId="77777777" w:rsidR="00881780" w:rsidRPr="00A71C8E" w:rsidRDefault="00881780" w:rsidP="006F4D8F">
            <w:pPr>
              <w:spacing w:before="0" w:line="240" w:lineRule="auto"/>
              <w:jc w:val="left"/>
              <w:rPr>
                <w:sz w:val="18"/>
                <w:szCs w:val="18"/>
              </w:rPr>
            </w:pPr>
            <w:r w:rsidRPr="00A71C8E">
              <w:rPr>
                <w:sz w:val="18"/>
                <w:szCs w:val="18"/>
              </w:rPr>
              <w:t>19,1</w:t>
            </w:r>
          </w:p>
        </w:tc>
      </w:tr>
      <w:tr w:rsidR="00881780" w:rsidRPr="00A71C8E" w14:paraId="372E8AFE" w14:textId="77777777" w:rsidTr="006F4D8F">
        <w:trPr>
          <w:trHeight w:val="300"/>
        </w:trPr>
        <w:tc>
          <w:tcPr>
            <w:tcW w:w="312" w:type="pct"/>
            <w:noWrap/>
            <w:hideMark/>
          </w:tcPr>
          <w:p w14:paraId="242BE813" w14:textId="77777777" w:rsidR="00881780" w:rsidRPr="00A71C8E" w:rsidRDefault="00881780" w:rsidP="006F4D8F">
            <w:pPr>
              <w:spacing w:before="0" w:line="240" w:lineRule="auto"/>
              <w:jc w:val="left"/>
              <w:rPr>
                <w:sz w:val="18"/>
                <w:szCs w:val="18"/>
              </w:rPr>
            </w:pPr>
            <w:r w:rsidRPr="00A71C8E">
              <w:rPr>
                <w:sz w:val="18"/>
                <w:szCs w:val="18"/>
              </w:rPr>
              <w:t>Wielkopolskie</w:t>
            </w:r>
          </w:p>
        </w:tc>
        <w:tc>
          <w:tcPr>
            <w:tcW w:w="260" w:type="pct"/>
            <w:shd w:val="clear" w:color="auto" w:fill="C6D9F1"/>
            <w:noWrap/>
            <w:hideMark/>
          </w:tcPr>
          <w:p w14:paraId="4372EE3A" w14:textId="77777777" w:rsidR="00881780" w:rsidRPr="00A71C8E" w:rsidRDefault="00881780" w:rsidP="006F4D8F">
            <w:pPr>
              <w:spacing w:before="0" w:line="240" w:lineRule="auto"/>
              <w:jc w:val="left"/>
              <w:rPr>
                <w:sz w:val="18"/>
                <w:szCs w:val="18"/>
              </w:rPr>
            </w:pPr>
            <w:r w:rsidRPr="00A71C8E">
              <w:rPr>
                <w:sz w:val="18"/>
                <w:szCs w:val="18"/>
              </w:rPr>
              <w:t>19,4</w:t>
            </w:r>
          </w:p>
        </w:tc>
        <w:tc>
          <w:tcPr>
            <w:tcW w:w="260" w:type="pct"/>
            <w:shd w:val="clear" w:color="auto" w:fill="C6D9F1"/>
            <w:noWrap/>
            <w:hideMark/>
          </w:tcPr>
          <w:p w14:paraId="2B2A124B" w14:textId="77777777" w:rsidR="00881780" w:rsidRPr="00A71C8E" w:rsidRDefault="00881780" w:rsidP="006F4D8F">
            <w:pPr>
              <w:spacing w:before="0" w:line="240" w:lineRule="auto"/>
              <w:jc w:val="left"/>
              <w:rPr>
                <w:sz w:val="18"/>
                <w:szCs w:val="18"/>
              </w:rPr>
            </w:pPr>
            <w:r w:rsidRPr="00A71C8E">
              <w:rPr>
                <w:sz w:val="18"/>
                <w:szCs w:val="18"/>
              </w:rPr>
              <w:t>19,3</w:t>
            </w:r>
          </w:p>
        </w:tc>
        <w:tc>
          <w:tcPr>
            <w:tcW w:w="260" w:type="pct"/>
            <w:shd w:val="clear" w:color="auto" w:fill="C6D9F1"/>
            <w:noWrap/>
            <w:hideMark/>
          </w:tcPr>
          <w:p w14:paraId="080C9E51" w14:textId="77777777" w:rsidR="00881780" w:rsidRPr="00A71C8E" w:rsidRDefault="00881780" w:rsidP="006F4D8F">
            <w:pPr>
              <w:spacing w:before="0" w:line="240" w:lineRule="auto"/>
              <w:jc w:val="left"/>
              <w:rPr>
                <w:sz w:val="18"/>
                <w:szCs w:val="18"/>
              </w:rPr>
            </w:pPr>
            <w:r w:rsidRPr="00A71C8E">
              <w:rPr>
                <w:sz w:val="18"/>
                <w:szCs w:val="18"/>
              </w:rPr>
              <w:t>19,2</w:t>
            </w:r>
          </w:p>
        </w:tc>
        <w:tc>
          <w:tcPr>
            <w:tcW w:w="260" w:type="pct"/>
            <w:shd w:val="clear" w:color="auto" w:fill="C6D9F1"/>
            <w:noWrap/>
            <w:hideMark/>
          </w:tcPr>
          <w:p w14:paraId="67223F72" w14:textId="77777777" w:rsidR="00881780" w:rsidRPr="00A71C8E" w:rsidRDefault="00881780" w:rsidP="006F4D8F">
            <w:pPr>
              <w:spacing w:before="0" w:line="240" w:lineRule="auto"/>
              <w:jc w:val="left"/>
              <w:rPr>
                <w:sz w:val="18"/>
                <w:szCs w:val="18"/>
              </w:rPr>
            </w:pPr>
            <w:r w:rsidRPr="00A71C8E">
              <w:rPr>
                <w:sz w:val="18"/>
                <w:szCs w:val="18"/>
              </w:rPr>
              <w:t>19,2</w:t>
            </w:r>
          </w:p>
        </w:tc>
        <w:tc>
          <w:tcPr>
            <w:tcW w:w="262" w:type="pct"/>
            <w:shd w:val="clear" w:color="auto" w:fill="C6D9F1"/>
            <w:noWrap/>
            <w:hideMark/>
          </w:tcPr>
          <w:p w14:paraId="27E8F732" w14:textId="77777777" w:rsidR="00881780" w:rsidRPr="00A71C8E" w:rsidRDefault="00881780" w:rsidP="006F4D8F">
            <w:pPr>
              <w:spacing w:before="0" w:line="240" w:lineRule="auto"/>
              <w:jc w:val="left"/>
              <w:rPr>
                <w:sz w:val="18"/>
                <w:szCs w:val="18"/>
              </w:rPr>
            </w:pPr>
            <w:r w:rsidRPr="00A71C8E">
              <w:rPr>
                <w:sz w:val="18"/>
                <w:szCs w:val="18"/>
              </w:rPr>
              <w:t>19,2</w:t>
            </w:r>
          </w:p>
        </w:tc>
        <w:tc>
          <w:tcPr>
            <w:tcW w:w="264" w:type="pct"/>
            <w:shd w:val="clear" w:color="auto" w:fill="C6D9F1"/>
            <w:noWrap/>
            <w:hideMark/>
          </w:tcPr>
          <w:p w14:paraId="2F5FF987" w14:textId="77777777" w:rsidR="00881780" w:rsidRPr="00A71C8E" w:rsidRDefault="00881780" w:rsidP="006F4D8F">
            <w:pPr>
              <w:spacing w:before="0" w:line="240" w:lineRule="auto"/>
              <w:jc w:val="left"/>
              <w:rPr>
                <w:sz w:val="18"/>
                <w:szCs w:val="18"/>
              </w:rPr>
            </w:pPr>
            <w:r w:rsidRPr="00A71C8E">
              <w:rPr>
                <w:sz w:val="18"/>
                <w:szCs w:val="18"/>
              </w:rPr>
              <w:t>19,3</w:t>
            </w:r>
          </w:p>
        </w:tc>
        <w:tc>
          <w:tcPr>
            <w:tcW w:w="260" w:type="pct"/>
            <w:shd w:val="clear" w:color="auto" w:fill="DBE5F1"/>
            <w:noWrap/>
            <w:hideMark/>
          </w:tcPr>
          <w:p w14:paraId="0FF48B02" w14:textId="77777777" w:rsidR="00881780" w:rsidRPr="00A71C8E" w:rsidRDefault="00881780" w:rsidP="006F4D8F">
            <w:pPr>
              <w:spacing w:before="0" w:line="240" w:lineRule="auto"/>
              <w:jc w:val="left"/>
              <w:rPr>
                <w:sz w:val="18"/>
                <w:szCs w:val="18"/>
              </w:rPr>
            </w:pPr>
            <w:r w:rsidRPr="00A71C8E">
              <w:rPr>
                <w:sz w:val="18"/>
                <w:szCs w:val="18"/>
              </w:rPr>
              <w:t>64,1</w:t>
            </w:r>
          </w:p>
        </w:tc>
        <w:tc>
          <w:tcPr>
            <w:tcW w:w="260" w:type="pct"/>
            <w:shd w:val="clear" w:color="auto" w:fill="DBE5F1"/>
            <w:noWrap/>
            <w:hideMark/>
          </w:tcPr>
          <w:p w14:paraId="338592D6" w14:textId="77777777" w:rsidR="00881780" w:rsidRPr="00A71C8E" w:rsidRDefault="00881780" w:rsidP="006F4D8F">
            <w:pPr>
              <w:spacing w:before="0" w:line="240" w:lineRule="auto"/>
              <w:jc w:val="left"/>
              <w:rPr>
                <w:sz w:val="18"/>
                <w:szCs w:val="18"/>
              </w:rPr>
            </w:pPr>
            <w:r w:rsidRPr="00A71C8E">
              <w:rPr>
                <w:sz w:val="18"/>
                <w:szCs w:val="18"/>
              </w:rPr>
              <w:t>63,6</w:t>
            </w:r>
          </w:p>
        </w:tc>
        <w:tc>
          <w:tcPr>
            <w:tcW w:w="262" w:type="pct"/>
            <w:shd w:val="clear" w:color="auto" w:fill="DBE5F1"/>
            <w:noWrap/>
            <w:hideMark/>
          </w:tcPr>
          <w:p w14:paraId="265EDDAE" w14:textId="77777777" w:rsidR="00881780" w:rsidRPr="00A71C8E" w:rsidRDefault="00881780" w:rsidP="006F4D8F">
            <w:pPr>
              <w:spacing w:before="0" w:line="240" w:lineRule="auto"/>
              <w:jc w:val="left"/>
              <w:rPr>
                <w:sz w:val="18"/>
                <w:szCs w:val="18"/>
              </w:rPr>
            </w:pPr>
            <w:r w:rsidRPr="00A71C8E">
              <w:rPr>
                <w:sz w:val="18"/>
                <w:szCs w:val="18"/>
              </w:rPr>
              <w:t>63,1</w:t>
            </w:r>
          </w:p>
        </w:tc>
        <w:tc>
          <w:tcPr>
            <w:tcW w:w="260" w:type="pct"/>
            <w:shd w:val="clear" w:color="auto" w:fill="DBE5F1"/>
            <w:noWrap/>
            <w:hideMark/>
          </w:tcPr>
          <w:p w14:paraId="206B300F" w14:textId="77777777" w:rsidR="00881780" w:rsidRPr="00A71C8E" w:rsidRDefault="00881780" w:rsidP="006F4D8F">
            <w:pPr>
              <w:spacing w:before="0" w:line="240" w:lineRule="auto"/>
              <w:jc w:val="left"/>
              <w:rPr>
                <w:sz w:val="18"/>
                <w:szCs w:val="18"/>
              </w:rPr>
            </w:pPr>
            <w:r w:rsidRPr="00A71C8E">
              <w:rPr>
                <w:sz w:val="18"/>
                <w:szCs w:val="18"/>
              </w:rPr>
              <w:t>62,6</w:t>
            </w:r>
          </w:p>
        </w:tc>
        <w:tc>
          <w:tcPr>
            <w:tcW w:w="260" w:type="pct"/>
            <w:shd w:val="clear" w:color="auto" w:fill="DBE5F1"/>
            <w:noWrap/>
            <w:hideMark/>
          </w:tcPr>
          <w:p w14:paraId="4B1F6CBD" w14:textId="77777777" w:rsidR="00881780" w:rsidRPr="00A71C8E" w:rsidRDefault="00881780" w:rsidP="006F4D8F">
            <w:pPr>
              <w:spacing w:before="0" w:line="240" w:lineRule="auto"/>
              <w:jc w:val="left"/>
              <w:rPr>
                <w:sz w:val="18"/>
                <w:szCs w:val="18"/>
              </w:rPr>
            </w:pPr>
            <w:r w:rsidRPr="00A71C8E">
              <w:rPr>
                <w:sz w:val="18"/>
                <w:szCs w:val="18"/>
              </w:rPr>
              <w:t>62,0</w:t>
            </w:r>
          </w:p>
        </w:tc>
        <w:tc>
          <w:tcPr>
            <w:tcW w:w="260" w:type="pct"/>
            <w:shd w:val="clear" w:color="auto" w:fill="DBE5F1"/>
            <w:noWrap/>
            <w:hideMark/>
          </w:tcPr>
          <w:p w14:paraId="0F9B7ED5" w14:textId="77777777" w:rsidR="00881780" w:rsidRPr="00A71C8E" w:rsidRDefault="00881780" w:rsidP="006F4D8F">
            <w:pPr>
              <w:spacing w:before="0" w:line="240" w:lineRule="auto"/>
              <w:jc w:val="left"/>
              <w:rPr>
                <w:sz w:val="18"/>
                <w:szCs w:val="18"/>
              </w:rPr>
            </w:pPr>
            <w:r w:rsidRPr="00A71C8E">
              <w:rPr>
                <w:sz w:val="18"/>
                <w:szCs w:val="18"/>
              </w:rPr>
              <w:t>61,3</w:t>
            </w:r>
          </w:p>
        </w:tc>
        <w:tc>
          <w:tcPr>
            <w:tcW w:w="260" w:type="pct"/>
            <w:shd w:val="clear" w:color="auto" w:fill="D9D9D9"/>
            <w:noWrap/>
            <w:hideMark/>
          </w:tcPr>
          <w:p w14:paraId="5B5D61A2" w14:textId="77777777" w:rsidR="00881780" w:rsidRPr="00A71C8E" w:rsidRDefault="00881780" w:rsidP="006F4D8F">
            <w:pPr>
              <w:spacing w:before="0" w:line="240" w:lineRule="auto"/>
              <w:jc w:val="left"/>
              <w:rPr>
                <w:sz w:val="18"/>
                <w:szCs w:val="18"/>
              </w:rPr>
            </w:pPr>
            <w:r w:rsidRPr="00A71C8E">
              <w:rPr>
                <w:sz w:val="18"/>
                <w:szCs w:val="18"/>
              </w:rPr>
              <w:t>16,5</w:t>
            </w:r>
          </w:p>
        </w:tc>
        <w:tc>
          <w:tcPr>
            <w:tcW w:w="261" w:type="pct"/>
            <w:shd w:val="clear" w:color="auto" w:fill="D9D9D9"/>
            <w:noWrap/>
            <w:hideMark/>
          </w:tcPr>
          <w:p w14:paraId="28775CCB" w14:textId="77777777" w:rsidR="00881780" w:rsidRPr="00A71C8E" w:rsidRDefault="00881780" w:rsidP="006F4D8F">
            <w:pPr>
              <w:spacing w:before="0" w:line="240" w:lineRule="auto"/>
              <w:jc w:val="left"/>
              <w:rPr>
                <w:sz w:val="18"/>
                <w:szCs w:val="18"/>
              </w:rPr>
            </w:pPr>
            <w:r w:rsidRPr="00A71C8E">
              <w:rPr>
                <w:sz w:val="18"/>
                <w:szCs w:val="18"/>
              </w:rPr>
              <w:t>17,1</w:t>
            </w:r>
          </w:p>
        </w:tc>
        <w:tc>
          <w:tcPr>
            <w:tcW w:w="260" w:type="pct"/>
            <w:shd w:val="clear" w:color="auto" w:fill="D9D9D9"/>
            <w:noWrap/>
            <w:hideMark/>
          </w:tcPr>
          <w:p w14:paraId="062FA287" w14:textId="77777777" w:rsidR="00881780" w:rsidRPr="00A71C8E" w:rsidRDefault="00881780" w:rsidP="006F4D8F">
            <w:pPr>
              <w:spacing w:before="0" w:line="240" w:lineRule="auto"/>
              <w:jc w:val="left"/>
              <w:rPr>
                <w:sz w:val="18"/>
                <w:szCs w:val="18"/>
              </w:rPr>
            </w:pPr>
            <w:r w:rsidRPr="00A71C8E">
              <w:rPr>
                <w:sz w:val="18"/>
                <w:szCs w:val="18"/>
              </w:rPr>
              <w:t>17,7</w:t>
            </w:r>
          </w:p>
        </w:tc>
        <w:tc>
          <w:tcPr>
            <w:tcW w:w="260" w:type="pct"/>
            <w:shd w:val="clear" w:color="auto" w:fill="D9D9D9"/>
            <w:noWrap/>
            <w:hideMark/>
          </w:tcPr>
          <w:p w14:paraId="6C7AD328" w14:textId="77777777" w:rsidR="00881780" w:rsidRPr="00A71C8E" w:rsidRDefault="00881780" w:rsidP="006F4D8F">
            <w:pPr>
              <w:spacing w:before="0" w:line="240" w:lineRule="auto"/>
              <w:jc w:val="left"/>
              <w:rPr>
                <w:sz w:val="18"/>
                <w:szCs w:val="18"/>
              </w:rPr>
            </w:pPr>
            <w:r w:rsidRPr="00A71C8E">
              <w:rPr>
                <w:sz w:val="18"/>
                <w:szCs w:val="18"/>
              </w:rPr>
              <w:t>18,2</w:t>
            </w:r>
          </w:p>
        </w:tc>
        <w:tc>
          <w:tcPr>
            <w:tcW w:w="260" w:type="pct"/>
            <w:shd w:val="clear" w:color="auto" w:fill="D9D9D9"/>
            <w:noWrap/>
            <w:hideMark/>
          </w:tcPr>
          <w:p w14:paraId="3F0395A0" w14:textId="77777777" w:rsidR="00881780" w:rsidRPr="00A71C8E" w:rsidRDefault="00881780" w:rsidP="006F4D8F">
            <w:pPr>
              <w:spacing w:before="0" w:line="240" w:lineRule="auto"/>
              <w:jc w:val="left"/>
              <w:rPr>
                <w:sz w:val="18"/>
                <w:szCs w:val="18"/>
              </w:rPr>
            </w:pPr>
            <w:r w:rsidRPr="00A71C8E">
              <w:rPr>
                <w:sz w:val="18"/>
                <w:szCs w:val="18"/>
              </w:rPr>
              <w:t>18,8</w:t>
            </w:r>
          </w:p>
        </w:tc>
        <w:tc>
          <w:tcPr>
            <w:tcW w:w="259" w:type="pct"/>
            <w:shd w:val="clear" w:color="auto" w:fill="D9D9D9"/>
            <w:noWrap/>
            <w:hideMark/>
          </w:tcPr>
          <w:p w14:paraId="078FEAC7" w14:textId="77777777" w:rsidR="00881780" w:rsidRPr="00A71C8E" w:rsidRDefault="00881780" w:rsidP="006F4D8F">
            <w:pPr>
              <w:spacing w:before="0" w:line="240" w:lineRule="auto"/>
              <w:jc w:val="left"/>
              <w:rPr>
                <w:sz w:val="18"/>
                <w:szCs w:val="18"/>
              </w:rPr>
            </w:pPr>
            <w:r w:rsidRPr="00A71C8E">
              <w:rPr>
                <w:sz w:val="18"/>
                <w:szCs w:val="18"/>
              </w:rPr>
              <w:t>19,4</w:t>
            </w:r>
          </w:p>
        </w:tc>
      </w:tr>
      <w:tr w:rsidR="00881780" w:rsidRPr="00A71C8E" w14:paraId="0430018A" w14:textId="77777777" w:rsidTr="006F4D8F">
        <w:trPr>
          <w:trHeight w:val="300"/>
        </w:trPr>
        <w:tc>
          <w:tcPr>
            <w:tcW w:w="312" w:type="pct"/>
            <w:noWrap/>
            <w:hideMark/>
          </w:tcPr>
          <w:p w14:paraId="0F96FCAE" w14:textId="77777777" w:rsidR="00881780" w:rsidRPr="00A71C8E" w:rsidRDefault="00881780" w:rsidP="006F4D8F">
            <w:pPr>
              <w:spacing w:before="0" w:line="240" w:lineRule="auto"/>
              <w:jc w:val="left"/>
              <w:rPr>
                <w:b/>
                <w:sz w:val="18"/>
                <w:szCs w:val="18"/>
              </w:rPr>
            </w:pPr>
            <w:r w:rsidRPr="00A71C8E">
              <w:rPr>
                <w:b/>
                <w:sz w:val="18"/>
                <w:szCs w:val="18"/>
              </w:rPr>
              <w:t>Zachodniopomorskie</w:t>
            </w:r>
          </w:p>
        </w:tc>
        <w:tc>
          <w:tcPr>
            <w:tcW w:w="260" w:type="pct"/>
            <w:shd w:val="clear" w:color="auto" w:fill="C6D9F1"/>
            <w:noWrap/>
            <w:hideMark/>
          </w:tcPr>
          <w:p w14:paraId="2E6860D9" w14:textId="77777777" w:rsidR="00881780" w:rsidRPr="00A71C8E" w:rsidRDefault="00881780" w:rsidP="006F4D8F">
            <w:pPr>
              <w:spacing w:before="0" w:line="240" w:lineRule="auto"/>
              <w:jc w:val="left"/>
              <w:rPr>
                <w:b/>
                <w:sz w:val="18"/>
                <w:szCs w:val="18"/>
              </w:rPr>
            </w:pPr>
            <w:r w:rsidRPr="00A71C8E">
              <w:rPr>
                <w:b/>
                <w:sz w:val="18"/>
                <w:szCs w:val="18"/>
              </w:rPr>
              <w:t>17,9</w:t>
            </w:r>
          </w:p>
        </w:tc>
        <w:tc>
          <w:tcPr>
            <w:tcW w:w="260" w:type="pct"/>
            <w:shd w:val="clear" w:color="auto" w:fill="C6D9F1"/>
            <w:noWrap/>
            <w:hideMark/>
          </w:tcPr>
          <w:p w14:paraId="7558432A" w14:textId="77777777" w:rsidR="00881780" w:rsidRPr="00A71C8E" w:rsidRDefault="00881780" w:rsidP="006F4D8F">
            <w:pPr>
              <w:spacing w:before="0" w:line="240" w:lineRule="auto"/>
              <w:jc w:val="left"/>
              <w:rPr>
                <w:b/>
                <w:sz w:val="18"/>
                <w:szCs w:val="18"/>
              </w:rPr>
            </w:pPr>
            <w:r w:rsidRPr="00A71C8E">
              <w:rPr>
                <w:b/>
                <w:sz w:val="18"/>
                <w:szCs w:val="18"/>
              </w:rPr>
              <w:t>17,7</w:t>
            </w:r>
          </w:p>
        </w:tc>
        <w:tc>
          <w:tcPr>
            <w:tcW w:w="260" w:type="pct"/>
            <w:shd w:val="clear" w:color="auto" w:fill="C6D9F1"/>
            <w:noWrap/>
            <w:hideMark/>
          </w:tcPr>
          <w:p w14:paraId="56159665" w14:textId="77777777" w:rsidR="00881780" w:rsidRPr="00A71C8E" w:rsidRDefault="00881780" w:rsidP="006F4D8F">
            <w:pPr>
              <w:spacing w:before="0" w:line="240" w:lineRule="auto"/>
              <w:jc w:val="left"/>
              <w:rPr>
                <w:b/>
                <w:sz w:val="18"/>
                <w:szCs w:val="18"/>
              </w:rPr>
            </w:pPr>
            <w:r w:rsidRPr="00A71C8E">
              <w:rPr>
                <w:b/>
                <w:sz w:val="18"/>
                <w:szCs w:val="18"/>
              </w:rPr>
              <w:t>17,5</w:t>
            </w:r>
          </w:p>
        </w:tc>
        <w:tc>
          <w:tcPr>
            <w:tcW w:w="260" w:type="pct"/>
            <w:shd w:val="clear" w:color="auto" w:fill="C6D9F1"/>
            <w:noWrap/>
            <w:hideMark/>
          </w:tcPr>
          <w:p w14:paraId="15378F83" w14:textId="77777777" w:rsidR="00881780" w:rsidRPr="00A71C8E" w:rsidRDefault="00881780" w:rsidP="006F4D8F">
            <w:pPr>
              <w:spacing w:before="0" w:line="240" w:lineRule="auto"/>
              <w:jc w:val="left"/>
              <w:rPr>
                <w:b/>
                <w:sz w:val="18"/>
                <w:szCs w:val="18"/>
              </w:rPr>
            </w:pPr>
            <w:r w:rsidRPr="00A71C8E">
              <w:rPr>
                <w:b/>
                <w:sz w:val="18"/>
                <w:szCs w:val="18"/>
              </w:rPr>
              <w:t>17,3</w:t>
            </w:r>
          </w:p>
        </w:tc>
        <w:tc>
          <w:tcPr>
            <w:tcW w:w="262" w:type="pct"/>
            <w:shd w:val="clear" w:color="auto" w:fill="C6D9F1"/>
            <w:noWrap/>
            <w:hideMark/>
          </w:tcPr>
          <w:p w14:paraId="0F8960DF" w14:textId="77777777" w:rsidR="00881780" w:rsidRPr="00A71C8E" w:rsidRDefault="00881780" w:rsidP="006F4D8F">
            <w:pPr>
              <w:spacing w:before="0" w:line="240" w:lineRule="auto"/>
              <w:jc w:val="left"/>
              <w:rPr>
                <w:b/>
                <w:sz w:val="18"/>
                <w:szCs w:val="18"/>
              </w:rPr>
            </w:pPr>
            <w:r w:rsidRPr="00A71C8E">
              <w:rPr>
                <w:b/>
                <w:sz w:val="18"/>
                <w:szCs w:val="18"/>
              </w:rPr>
              <w:t>17,3</w:t>
            </w:r>
          </w:p>
        </w:tc>
        <w:tc>
          <w:tcPr>
            <w:tcW w:w="264" w:type="pct"/>
            <w:shd w:val="clear" w:color="auto" w:fill="C6D9F1"/>
            <w:noWrap/>
            <w:hideMark/>
          </w:tcPr>
          <w:p w14:paraId="2455FB0B" w14:textId="77777777" w:rsidR="00881780" w:rsidRPr="00A71C8E" w:rsidRDefault="00881780" w:rsidP="006F4D8F">
            <w:pPr>
              <w:spacing w:before="0" w:line="240" w:lineRule="auto"/>
              <w:jc w:val="left"/>
              <w:rPr>
                <w:b/>
                <w:sz w:val="18"/>
                <w:szCs w:val="18"/>
              </w:rPr>
            </w:pPr>
            <w:r w:rsidRPr="00A71C8E">
              <w:rPr>
                <w:b/>
                <w:sz w:val="18"/>
                <w:szCs w:val="18"/>
              </w:rPr>
              <w:t>17,3</w:t>
            </w:r>
          </w:p>
        </w:tc>
        <w:tc>
          <w:tcPr>
            <w:tcW w:w="260" w:type="pct"/>
            <w:shd w:val="clear" w:color="auto" w:fill="DBE5F1"/>
            <w:noWrap/>
            <w:hideMark/>
          </w:tcPr>
          <w:p w14:paraId="118C9909" w14:textId="77777777" w:rsidR="00881780" w:rsidRPr="00A71C8E" w:rsidRDefault="00881780" w:rsidP="006F4D8F">
            <w:pPr>
              <w:spacing w:before="0" w:line="240" w:lineRule="auto"/>
              <w:jc w:val="left"/>
              <w:rPr>
                <w:b/>
                <w:sz w:val="18"/>
                <w:szCs w:val="18"/>
              </w:rPr>
            </w:pPr>
            <w:r w:rsidRPr="00A71C8E">
              <w:rPr>
                <w:b/>
                <w:sz w:val="18"/>
                <w:szCs w:val="18"/>
              </w:rPr>
              <w:t>65,0</w:t>
            </w:r>
          </w:p>
        </w:tc>
        <w:tc>
          <w:tcPr>
            <w:tcW w:w="260" w:type="pct"/>
            <w:shd w:val="clear" w:color="auto" w:fill="DBE5F1"/>
            <w:noWrap/>
            <w:hideMark/>
          </w:tcPr>
          <w:p w14:paraId="59D79F0C" w14:textId="77777777" w:rsidR="00881780" w:rsidRPr="00A71C8E" w:rsidRDefault="00881780" w:rsidP="006F4D8F">
            <w:pPr>
              <w:spacing w:before="0" w:line="240" w:lineRule="auto"/>
              <w:jc w:val="left"/>
              <w:rPr>
                <w:b/>
                <w:sz w:val="18"/>
                <w:szCs w:val="18"/>
              </w:rPr>
            </w:pPr>
            <w:r w:rsidRPr="00A71C8E">
              <w:rPr>
                <w:b/>
                <w:sz w:val="18"/>
                <w:szCs w:val="18"/>
              </w:rPr>
              <w:t>64,5</w:t>
            </w:r>
          </w:p>
        </w:tc>
        <w:tc>
          <w:tcPr>
            <w:tcW w:w="262" w:type="pct"/>
            <w:shd w:val="clear" w:color="auto" w:fill="DBE5F1"/>
            <w:noWrap/>
            <w:hideMark/>
          </w:tcPr>
          <w:p w14:paraId="3FFD72B7" w14:textId="77777777" w:rsidR="00881780" w:rsidRPr="00A71C8E" w:rsidRDefault="00881780" w:rsidP="006F4D8F">
            <w:pPr>
              <w:spacing w:before="0" w:line="240" w:lineRule="auto"/>
              <w:jc w:val="left"/>
              <w:rPr>
                <w:b/>
                <w:sz w:val="18"/>
                <w:szCs w:val="18"/>
              </w:rPr>
            </w:pPr>
            <w:r w:rsidRPr="00A71C8E">
              <w:rPr>
                <w:b/>
                <w:sz w:val="18"/>
                <w:szCs w:val="18"/>
              </w:rPr>
              <w:t>63,8</w:t>
            </w:r>
          </w:p>
        </w:tc>
        <w:tc>
          <w:tcPr>
            <w:tcW w:w="260" w:type="pct"/>
            <w:shd w:val="clear" w:color="auto" w:fill="DBE5F1"/>
            <w:noWrap/>
            <w:hideMark/>
          </w:tcPr>
          <w:p w14:paraId="7926AAC6" w14:textId="77777777" w:rsidR="00881780" w:rsidRPr="00A71C8E" w:rsidRDefault="00881780" w:rsidP="006F4D8F">
            <w:pPr>
              <w:spacing w:before="0" w:line="240" w:lineRule="auto"/>
              <w:jc w:val="left"/>
              <w:rPr>
                <w:b/>
                <w:sz w:val="18"/>
                <w:szCs w:val="18"/>
              </w:rPr>
            </w:pPr>
            <w:r w:rsidRPr="00A71C8E">
              <w:rPr>
                <w:b/>
                <w:sz w:val="18"/>
                <w:szCs w:val="18"/>
              </w:rPr>
              <w:t>63,1</w:t>
            </w:r>
          </w:p>
        </w:tc>
        <w:tc>
          <w:tcPr>
            <w:tcW w:w="260" w:type="pct"/>
            <w:shd w:val="clear" w:color="auto" w:fill="DBE5F1"/>
            <w:noWrap/>
            <w:hideMark/>
          </w:tcPr>
          <w:p w14:paraId="5B725508" w14:textId="77777777" w:rsidR="00881780" w:rsidRPr="00A71C8E" w:rsidRDefault="00881780" w:rsidP="006F4D8F">
            <w:pPr>
              <w:spacing w:before="0" w:line="240" w:lineRule="auto"/>
              <w:jc w:val="left"/>
              <w:rPr>
                <w:b/>
                <w:sz w:val="18"/>
                <w:szCs w:val="18"/>
              </w:rPr>
            </w:pPr>
            <w:r w:rsidRPr="00A71C8E">
              <w:rPr>
                <w:b/>
                <w:sz w:val="18"/>
                <w:szCs w:val="18"/>
              </w:rPr>
              <w:t>62,3</w:t>
            </w:r>
          </w:p>
        </w:tc>
        <w:tc>
          <w:tcPr>
            <w:tcW w:w="260" w:type="pct"/>
            <w:shd w:val="clear" w:color="auto" w:fill="DBE5F1"/>
            <w:noWrap/>
            <w:hideMark/>
          </w:tcPr>
          <w:p w14:paraId="4C34EB59" w14:textId="77777777" w:rsidR="00881780" w:rsidRPr="00A71C8E" w:rsidRDefault="00881780" w:rsidP="006F4D8F">
            <w:pPr>
              <w:spacing w:before="0" w:line="240" w:lineRule="auto"/>
              <w:jc w:val="left"/>
              <w:rPr>
                <w:b/>
                <w:sz w:val="18"/>
                <w:szCs w:val="18"/>
              </w:rPr>
            </w:pPr>
            <w:r w:rsidRPr="00A71C8E">
              <w:rPr>
                <w:b/>
                <w:sz w:val="18"/>
                <w:szCs w:val="18"/>
              </w:rPr>
              <w:t>61,5</w:t>
            </w:r>
          </w:p>
        </w:tc>
        <w:tc>
          <w:tcPr>
            <w:tcW w:w="260" w:type="pct"/>
            <w:shd w:val="clear" w:color="auto" w:fill="D9D9D9"/>
            <w:noWrap/>
            <w:hideMark/>
          </w:tcPr>
          <w:p w14:paraId="25358E33" w14:textId="77777777" w:rsidR="00881780" w:rsidRPr="00A71C8E" w:rsidRDefault="00881780" w:rsidP="006F4D8F">
            <w:pPr>
              <w:spacing w:before="0" w:line="240" w:lineRule="auto"/>
              <w:jc w:val="left"/>
              <w:rPr>
                <w:b/>
                <w:sz w:val="18"/>
                <w:szCs w:val="18"/>
              </w:rPr>
            </w:pPr>
            <w:r w:rsidRPr="00A71C8E">
              <w:rPr>
                <w:b/>
                <w:sz w:val="18"/>
                <w:szCs w:val="18"/>
              </w:rPr>
              <w:t>17,1</w:t>
            </w:r>
          </w:p>
        </w:tc>
        <w:tc>
          <w:tcPr>
            <w:tcW w:w="261" w:type="pct"/>
            <w:shd w:val="clear" w:color="auto" w:fill="D9D9D9"/>
            <w:noWrap/>
            <w:hideMark/>
          </w:tcPr>
          <w:p w14:paraId="129CFE57" w14:textId="77777777" w:rsidR="00881780" w:rsidRPr="00A71C8E" w:rsidRDefault="00881780" w:rsidP="006F4D8F">
            <w:pPr>
              <w:spacing w:before="0" w:line="240" w:lineRule="auto"/>
              <w:jc w:val="left"/>
              <w:rPr>
                <w:b/>
                <w:sz w:val="18"/>
                <w:szCs w:val="18"/>
              </w:rPr>
            </w:pPr>
            <w:r w:rsidRPr="00A71C8E">
              <w:rPr>
                <w:b/>
                <w:sz w:val="18"/>
                <w:szCs w:val="18"/>
              </w:rPr>
              <w:t>17,9</w:t>
            </w:r>
          </w:p>
        </w:tc>
        <w:tc>
          <w:tcPr>
            <w:tcW w:w="260" w:type="pct"/>
            <w:shd w:val="clear" w:color="auto" w:fill="D9D9D9"/>
            <w:noWrap/>
            <w:hideMark/>
          </w:tcPr>
          <w:p w14:paraId="2BD611D8" w14:textId="77777777" w:rsidR="00881780" w:rsidRPr="00A71C8E" w:rsidRDefault="00881780" w:rsidP="006F4D8F">
            <w:pPr>
              <w:spacing w:before="0" w:line="240" w:lineRule="auto"/>
              <w:jc w:val="left"/>
              <w:rPr>
                <w:b/>
                <w:sz w:val="18"/>
                <w:szCs w:val="18"/>
              </w:rPr>
            </w:pPr>
            <w:r w:rsidRPr="00A71C8E">
              <w:rPr>
                <w:b/>
                <w:sz w:val="18"/>
                <w:szCs w:val="18"/>
              </w:rPr>
              <w:t>18,7</w:t>
            </w:r>
          </w:p>
        </w:tc>
        <w:tc>
          <w:tcPr>
            <w:tcW w:w="260" w:type="pct"/>
            <w:shd w:val="clear" w:color="auto" w:fill="D9D9D9"/>
            <w:noWrap/>
            <w:hideMark/>
          </w:tcPr>
          <w:p w14:paraId="4E7754D3" w14:textId="77777777" w:rsidR="00881780" w:rsidRPr="00A71C8E" w:rsidRDefault="00881780" w:rsidP="006F4D8F">
            <w:pPr>
              <w:spacing w:before="0" w:line="240" w:lineRule="auto"/>
              <w:jc w:val="left"/>
              <w:rPr>
                <w:b/>
                <w:sz w:val="18"/>
                <w:szCs w:val="18"/>
              </w:rPr>
            </w:pPr>
            <w:r w:rsidRPr="00A71C8E">
              <w:rPr>
                <w:b/>
                <w:sz w:val="18"/>
                <w:szCs w:val="18"/>
              </w:rPr>
              <w:t>19,5</w:t>
            </w:r>
          </w:p>
        </w:tc>
        <w:tc>
          <w:tcPr>
            <w:tcW w:w="260" w:type="pct"/>
            <w:shd w:val="clear" w:color="auto" w:fill="D9D9D9"/>
            <w:noWrap/>
            <w:hideMark/>
          </w:tcPr>
          <w:p w14:paraId="52FDF5D2" w14:textId="77777777" w:rsidR="00881780" w:rsidRPr="00A71C8E" w:rsidRDefault="00881780" w:rsidP="006F4D8F">
            <w:pPr>
              <w:spacing w:before="0" w:line="240" w:lineRule="auto"/>
              <w:jc w:val="left"/>
              <w:rPr>
                <w:b/>
                <w:sz w:val="18"/>
                <w:szCs w:val="18"/>
              </w:rPr>
            </w:pPr>
            <w:r w:rsidRPr="00A71C8E">
              <w:rPr>
                <w:b/>
                <w:sz w:val="18"/>
                <w:szCs w:val="18"/>
              </w:rPr>
              <w:t>20,4</w:t>
            </w:r>
          </w:p>
        </w:tc>
        <w:tc>
          <w:tcPr>
            <w:tcW w:w="259" w:type="pct"/>
            <w:shd w:val="clear" w:color="auto" w:fill="D9D9D9"/>
            <w:noWrap/>
            <w:hideMark/>
          </w:tcPr>
          <w:p w14:paraId="73CC6AF4" w14:textId="77777777" w:rsidR="00881780" w:rsidRPr="00A71C8E" w:rsidRDefault="00881780" w:rsidP="006F4D8F">
            <w:pPr>
              <w:spacing w:before="0" w:line="240" w:lineRule="auto"/>
              <w:jc w:val="left"/>
              <w:rPr>
                <w:b/>
                <w:sz w:val="18"/>
                <w:szCs w:val="18"/>
              </w:rPr>
            </w:pPr>
            <w:r w:rsidRPr="00A71C8E">
              <w:rPr>
                <w:b/>
                <w:sz w:val="18"/>
                <w:szCs w:val="18"/>
              </w:rPr>
              <w:t>21,2</w:t>
            </w:r>
          </w:p>
        </w:tc>
      </w:tr>
    </w:tbl>
    <w:p w14:paraId="40B7B804" w14:textId="71B66342" w:rsidR="00881780" w:rsidRPr="00EE66C6" w:rsidRDefault="00881780" w:rsidP="005A06CB">
      <w:pPr>
        <w:spacing w:before="0"/>
        <w:rPr>
          <w:i/>
          <w:sz w:val="18"/>
          <w:szCs w:val="20"/>
        </w:rPr>
      </w:pPr>
      <w:r w:rsidRPr="00EE66C6">
        <w:rPr>
          <w:i/>
          <w:sz w:val="18"/>
          <w:szCs w:val="20"/>
        </w:rPr>
        <w:t>Źródło: opracowanie własne na podstawie danych BDL/GUS</w:t>
      </w:r>
      <w:r w:rsidR="00AA6879">
        <w:rPr>
          <w:i/>
          <w:sz w:val="18"/>
          <w:szCs w:val="20"/>
        </w:rPr>
        <w:t>.</w:t>
      </w:r>
    </w:p>
    <w:p w14:paraId="631B43B9" w14:textId="77777777" w:rsidR="00881780" w:rsidRDefault="00881780" w:rsidP="00881780">
      <w:pPr>
        <w:spacing w:line="276" w:lineRule="auto"/>
        <w:rPr>
          <w:szCs w:val="20"/>
        </w:rPr>
      </w:pPr>
      <w:r w:rsidRPr="003575C0">
        <w:rPr>
          <w:szCs w:val="20"/>
        </w:rPr>
        <w:t>Co istotne ograniczanie zasobów pracy</w:t>
      </w:r>
      <w:r w:rsidR="00E66B89">
        <w:rPr>
          <w:szCs w:val="20"/>
        </w:rPr>
        <w:t xml:space="preserve"> w </w:t>
      </w:r>
      <w:r w:rsidRPr="003575C0">
        <w:rPr>
          <w:szCs w:val="20"/>
        </w:rPr>
        <w:t>regionie spowodowane jest zbyt wczesnym wychodzeniem</w:t>
      </w:r>
      <w:r w:rsidR="00E66B89">
        <w:rPr>
          <w:szCs w:val="20"/>
        </w:rPr>
        <w:t xml:space="preserve"> z </w:t>
      </w:r>
      <w:r w:rsidRPr="003575C0">
        <w:rPr>
          <w:szCs w:val="20"/>
        </w:rPr>
        <w:t xml:space="preserve">rynku pracy. </w:t>
      </w:r>
      <w:r>
        <w:rPr>
          <w:szCs w:val="20"/>
        </w:rPr>
        <w:t>Z</w:t>
      </w:r>
      <w:r w:rsidRPr="003575C0">
        <w:rPr>
          <w:szCs w:val="20"/>
        </w:rPr>
        <w:t>mniejszenie okresów dezaktywacji zawodowej osób</w:t>
      </w:r>
      <w:r w:rsidR="00E66B89">
        <w:rPr>
          <w:szCs w:val="20"/>
        </w:rPr>
        <w:t xml:space="preserve"> w </w:t>
      </w:r>
      <w:r w:rsidRPr="003575C0">
        <w:rPr>
          <w:szCs w:val="20"/>
        </w:rPr>
        <w:t>wieku aktywności zawodowej</w:t>
      </w:r>
      <w:r w:rsidR="00E66B89">
        <w:rPr>
          <w:szCs w:val="20"/>
        </w:rPr>
        <w:t xml:space="preserve"> z </w:t>
      </w:r>
      <w:r w:rsidRPr="003575C0">
        <w:rPr>
          <w:szCs w:val="20"/>
        </w:rPr>
        <w:t>przyczyn zdrowotnych stanowi ciągle aktualn</w:t>
      </w:r>
      <w:r>
        <w:rPr>
          <w:szCs w:val="20"/>
        </w:rPr>
        <w:t>e</w:t>
      </w:r>
      <w:r w:rsidRPr="003575C0">
        <w:rPr>
          <w:szCs w:val="20"/>
        </w:rPr>
        <w:t xml:space="preserve"> </w:t>
      </w:r>
      <w:r>
        <w:rPr>
          <w:szCs w:val="20"/>
        </w:rPr>
        <w:t xml:space="preserve">wyzwanie, gdyż </w:t>
      </w:r>
      <w:r w:rsidRPr="00BC47D3">
        <w:rPr>
          <w:szCs w:val="20"/>
        </w:rPr>
        <w:t xml:space="preserve">na tle </w:t>
      </w:r>
      <w:r>
        <w:rPr>
          <w:szCs w:val="20"/>
        </w:rPr>
        <w:t>kraju</w:t>
      </w:r>
      <w:r w:rsidR="00E66B89">
        <w:rPr>
          <w:szCs w:val="20"/>
        </w:rPr>
        <w:t xml:space="preserve"> w </w:t>
      </w:r>
      <w:r w:rsidRPr="00BC47D3">
        <w:rPr>
          <w:szCs w:val="20"/>
        </w:rPr>
        <w:t xml:space="preserve">województwie </w:t>
      </w:r>
      <w:r>
        <w:rPr>
          <w:szCs w:val="20"/>
        </w:rPr>
        <w:t>zachodniopomorskim</w:t>
      </w:r>
      <w:r w:rsidRPr="00BC47D3">
        <w:rPr>
          <w:szCs w:val="20"/>
        </w:rPr>
        <w:t xml:space="preserve"> odnotowuje się na przestrzeni lat wysoki odsetek osób biernych zawodowo</w:t>
      </w:r>
      <w:r w:rsidR="00E66B89">
        <w:rPr>
          <w:szCs w:val="20"/>
        </w:rPr>
        <w:t xml:space="preserve"> z </w:t>
      </w:r>
      <w:r w:rsidRPr="00BC47D3">
        <w:rPr>
          <w:szCs w:val="20"/>
        </w:rPr>
        <w:t>powodu choroby lub niepełnosprawności</w:t>
      </w:r>
      <w:r>
        <w:rPr>
          <w:szCs w:val="20"/>
        </w:rPr>
        <w:t>.</w:t>
      </w:r>
    </w:p>
    <w:p w14:paraId="2801FAFB" w14:textId="77777777" w:rsidR="00881780" w:rsidRPr="00432E11" w:rsidRDefault="00881780" w:rsidP="00754ED4">
      <w:pPr>
        <w:pStyle w:val="Legenda"/>
        <w:spacing w:after="0"/>
      </w:pPr>
      <w:bookmarkStart w:id="216" w:name="_Toc3896856"/>
      <w:bookmarkStart w:id="217" w:name="_Toc8824216"/>
      <w:r w:rsidRPr="00432E11">
        <w:lastRenderedPageBreak/>
        <w:t xml:space="preserve">Tabela </w:t>
      </w:r>
      <w:r>
        <w:fldChar w:fldCharType="begin"/>
      </w:r>
      <w:r>
        <w:instrText xml:space="preserve"> SEQ Tabela \* ARABIC </w:instrText>
      </w:r>
      <w:r>
        <w:fldChar w:fldCharType="separate"/>
      </w:r>
      <w:r w:rsidR="00763345">
        <w:rPr>
          <w:noProof/>
        </w:rPr>
        <w:t>105</w:t>
      </w:r>
      <w:r>
        <w:fldChar w:fldCharType="end"/>
      </w:r>
      <w:r w:rsidRPr="00432E11">
        <w:t xml:space="preserve"> Odsetek osób biernych zawodowo</w:t>
      </w:r>
      <w:r w:rsidR="00E66B89">
        <w:t xml:space="preserve"> z </w:t>
      </w:r>
      <w:r w:rsidRPr="00432E11">
        <w:t>powodu choroby lub niepełnosprawności; Polska</w:t>
      </w:r>
      <w:r w:rsidR="00E66B89">
        <w:t xml:space="preserve"> i </w:t>
      </w:r>
      <w:r w:rsidRPr="00432E11">
        <w:t>województwo zachodniopomorskie</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4"/>
        <w:gridCol w:w="991"/>
        <w:gridCol w:w="993"/>
        <w:gridCol w:w="932"/>
        <w:gridCol w:w="1294"/>
        <w:gridCol w:w="1296"/>
        <w:gridCol w:w="1292"/>
      </w:tblGrid>
      <w:tr w:rsidR="00881780" w:rsidRPr="001D1CE9" w14:paraId="5E3DA796" w14:textId="77777777" w:rsidTr="005F04FC">
        <w:trPr>
          <w:trHeight w:val="308"/>
          <w:tblHeader/>
        </w:trPr>
        <w:tc>
          <w:tcPr>
            <w:tcW w:w="5000" w:type="pct"/>
            <w:gridSpan w:val="7"/>
            <w:shd w:val="clear" w:color="auto" w:fill="DBE5F1"/>
            <w:noWrap/>
            <w:vAlign w:val="center"/>
            <w:hideMark/>
          </w:tcPr>
          <w:p w14:paraId="6F0642CD"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Odsetek osób biernych zawodowo</w:t>
            </w:r>
            <w:r w:rsidR="00E66B89" w:rsidRPr="001D1CE9">
              <w:rPr>
                <w:rFonts w:cs="Arial"/>
                <w:b/>
                <w:bCs/>
                <w:color w:val="000000"/>
                <w:sz w:val="18"/>
                <w:szCs w:val="18"/>
              </w:rPr>
              <w:t xml:space="preserve"> z </w:t>
            </w:r>
            <w:r w:rsidRPr="001D1CE9">
              <w:rPr>
                <w:rFonts w:cs="Arial"/>
                <w:b/>
                <w:bCs/>
                <w:color w:val="000000"/>
                <w:sz w:val="18"/>
                <w:szCs w:val="18"/>
              </w:rPr>
              <w:t>powodu choroby lub niepełnosprawności</w:t>
            </w:r>
          </w:p>
        </w:tc>
      </w:tr>
      <w:tr w:rsidR="00881780" w:rsidRPr="001D1CE9" w14:paraId="072CDDC7" w14:textId="77777777" w:rsidTr="00C22C26">
        <w:trPr>
          <w:trHeight w:val="308"/>
          <w:tblHeader/>
        </w:trPr>
        <w:tc>
          <w:tcPr>
            <w:tcW w:w="1249" w:type="pct"/>
            <w:shd w:val="clear" w:color="auto" w:fill="auto"/>
            <w:noWrap/>
            <w:vAlign w:val="center"/>
            <w:hideMark/>
          </w:tcPr>
          <w:p w14:paraId="7E52FBBB"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Rok</w:t>
            </w:r>
          </w:p>
        </w:tc>
        <w:tc>
          <w:tcPr>
            <w:tcW w:w="547" w:type="pct"/>
            <w:shd w:val="clear" w:color="auto" w:fill="auto"/>
            <w:noWrap/>
            <w:vAlign w:val="center"/>
            <w:hideMark/>
          </w:tcPr>
          <w:p w14:paraId="509037C2"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2012</w:t>
            </w:r>
          </w:p>
        </w:tc>
        <w:tc>
          <w:tcPr>
            <w:tcW w:w="548" w:type="pct"/>
            <w:shd w:val="clear" w:color="auto" w:fill="auto"/>
            <w:noWrap/>
            <w:vAlign w:val="center"/>
            <w:hideMark/>
          </w:tcPr>
          <w:p w14:paraId="47B7ED03"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2013</w:t>
            </w:r>
          </w:p>
        </w:tc>
        <w:tc>
          <w:tcPr>
            <w:tcW w:w="514" w:type="pct"/>
            <w:shd w:val="clear" w:color="auto" w:fill="auto"/>
            <w:noWrap/>
            <w:vAlign w:val="center"/>
            <w:hideMark/>
          </w:tcPr>
          <w:p w14:paraId="760C5644"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2014</w:t>
            </w:r>
          </w:p>
        </w:tc>
        <w:tc>
          <w:tcPr>
            <w:tcW w:w="714" w:type="pct"/>
            <w:shd w:val="clear" w:color="auto" w:fill="auto"/>
            <w:noWrap/>
            <w:vAlign w:val="center"/>
            <w:hideMark/>
          </w:tcPr>
          <w:p w14:paraId="52566829"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2015</w:t>
            </w:r>
          </w:p>
        </w:tc>
        <w:tc>
          <w:tcPr>
            <w:tcW w:w="715" w:type="pct"/>
            <w:shd w:val="clear" w:color="auto" w:fill="auto"/>
            <w:noWrap/>
            <w:vAlign w:val="center"/>
            <w:hideMark/>
          </w:tcPr>
          <w:p w14:paraId="57E6D7AB"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2016</w:t>
            </w:r>
          </w:p>
        </w:tc>
        <w:tc>
          <w:tcPr>
            <w:tcW w:w="713" w:type="pct"/>
            <w:shd w:val="clear" w:color="auto" w:fill="auto"/>
            <w:noWrap/>
            <w:vAlign w:val="center"/>
            <w:hideMark/>
          </w:tcPr>
          <w:p w14:paraId="4DEC8EBE"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2017</w:t>
            </w:r>
          </w:p>
        </w:tc>
      </w:tr>
      <w:tr w:rsidR="00881780" w:rsidRPr="001D1CE9" w14:paraId="69768F6D" w14:textId="77777777" w:rsidTr="006F4D8F">
        <w:trPr>
          <w:trHeight w:val="308"/>
        </w:trPr>
        <w:tc>
          <w:tcPr>
            <w:tcW w:w="1249" w:type="pct"/>
            <w:shd w:val="clear" w:color="auto" w:fill="auto"/>
            <w:noWrap/>
            <w:vAlign w:val="center"/>
            <w:hideMark/>
          </w:tcPr>
          <w:p w14:paraId="5F44CB18"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Polska (%)</w:t>
            </w:r>
          </w:p>
        </w:tc>
        <w:tc>
          <w:tcPr>
            <w:tcW w:w="547" w:type="pct"/>
            <w:shd w:val="clear" w:color="auto" w:fill="auto"/>
            <w:noWrap/>
            <w:vAlign w:val="center"/>
            <w:hideMark/>
          </w:tcPr>
          <w:p w14:paraId="6D305393"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14,23</w:t>
            </w:r>
          </w:p>
        </w:tc>
        <w:tc>
          <w:tcPr>
            <w:tcW w:w="548" w:type="pct"/>
            <w:shd w:val="clear" w:color="auto" w:fill="auto"/>
            <w:noWrap/>
            <w:vAlign w:val="center"/>
            <w:hideMark/>
          </w:tcPr>
          <w:p w14:paraId="720311E8"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13,92</w:t>
            </w:r>
          </w:p>
        </w:tc>
        <w:tc>
          <w:tcPr>
            <w:tcW w:w="514" w:type="pct"/>
            <w:shd w:val="clear" w:color="auto" w:fill="auto"/>
            <w:noWrap/>
            <w:vAlign w:val="center"/>
            <w:hideMark/>
          </w:tcPr>
          <w:p w14:paraId="7AD2D382"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13,84</w:t>
            </w:r>
          </w:p>
        </w:tc>
        <w:tc>
          <w:tcPr>
            <w:tcW w:w="714" w:type="pct"/>
            <w:shd w:val="clear" w:color="auto" w:fill="auto"/>
            <w:noWrap/>
            <w:vAlign w:val="center"/>
            <w:hideMark/>
          </w:tcPr>
          <w:p w14:paraId="05092787"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13,70</w:t>
            </w:r>
          </w:p>
        </w:tc>
        <w:tc>
          <w:tcPr>
            <w:tcW w:w="715" w:type="pct"/>
            <w:shd w:val="clear" w:color="auto" w:fill="auto"/>
            <w:noWrap/>
            <w:vAlign w:val="center"/>
            <w:hideMark/>
          </w:tcPr>
          <w:p w14:paraId="4B3E1EEA"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13,55</w:t>
            </w:r>
          </w:p>
        </w:tc>
        <w:tc>
          <w:tcPr>
            <w:tcW w:w="713" w:type="pct"/>
            <w:shd w:val="clear" w:color="auto" w:fill="auto"/>
            <w:noWrap/>
            <w:vAlign w:val="center"/>
            <w:hideMark/>
          </w:tcPr>
          <w:p w14:paraId="2934CBAE"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12,90</w:t>
            </w:r>
          </w:p>
        </w:tc>
      </w:tr>
      <w:tr w:rsidR="00881780" w:rsidRPr="001D1CE9" w14:paraId="6BBE09FA" w14:textId="77777777" w:rsidTr="006F4D8F">
        <w:trPr>
          <w:trHeight w:val="315"/>
        </w:trPr>
        <w:tc>
          <w:tcPr>
            <w:tcW w:w="1249" w:type="pct"/>
            <w:shd w:val="clear" w:color="auto" w:fill="auto"/>
            <w:noWrap/>
            <w:vAlign w:val="center"/>
            <w:hideMark/>
          </w:tcPr>
          <w:p w14:paraId="046931CD"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Zachodniopomorskie (%)</w:t>
            </w:r>
          </w:p>
        </w:tc>
        <w:tc>
          <w:tcPr>
            <w:tcW w:w="547" w:type="pct"/>
            <w:shd w:val="clear" w:color="auto" w:fill="auto"/>
            <w:noWrap/>
            <w:vAlign w:val="center"/>
            <w:hideMark/>
          </w:tcPr>
          <w:p w14:paraId="52A839D9"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15,22</w:t>
            </w:r>
          </w:p>
        </w:tc>
        <w:tc>
          <w:tcPr>
            <w:tcW w:w="548" w:type="pct"/>
            <w:shd w:val="clear" w:color="auto" w:fill="auto"/>
            <w:noWrap/>
            <w:vAlign w:val="center"/>
            <w:hideMark/>
          </w:tcPr>
          <w:p w14:paraId="1AC01266"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14,78</w:t>
            </w:r>
          </w:p>
        </w:tc>
        <w:tc>
          <w:tcPr>
            <w:tcW w:w="514" w:type="pct"/>
            <w:shd w:val="clear" w:color="auto" w:fill="auto"/>
            <w:noWrap/>
            <w:vAlign w:val="center"/>
            <w:hideMark/>
          </w:tcPr>
          <w:p w14:paraId="558EA15B"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15,63</w:t>
            </w:r>
          </w:p>
        </w:tc>
        <w:tc>
          <w:tcPr>
            <w:tcW w:w="714" w:type="pct"/>
            <w:shd w:val="clear" w:color="auto" w:fill="auto"/>
            <w:noWrap/>
            <w:vAlign w:val="center"/>
            <w:hideMark/>
          </w:tcPr>
          <w:p w14:paraId="5BD0F2C7"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16,40</w:t>
            </w:r>
          </w:p>
        </w:tc>
        <w:tc>
          <w:tcPr>
            <w:tcW w:w="715" w:type="pct"/>
            <w:shd w:val="clear" w:color="auto" w:fill="auto"/>
            <w:noWrap/>
            <w:vAlign w:val="center"/>
            <w:hideMark/>
          </w:tcPr>
          <w:p w14:paraId="79FEAA82"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15,28</w:t>
            </w:r>
          </w:p>
        </w:tc>
        <w:tc>
          <w:tcPr>
            <w:tcW w:w="713" w:type="pct"/>
            <w:shd w:val="clear" w:color="auto" w:fill="auto"/>
            <w:noWrap/>
            <w:vAlign w:val="center"/>
            <w:hideMark/>
          </w:tcPr>
          <w:p w14:paraId="39E044D9"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13,69</w:t>
            </w:r>
          </w:p>
        </w:tc>
      </w:tr>
    </w:tbl>
    <w:p w14:paraId="7491B128" w14:textId="7D0ADB7A" w:rsidR="00881780" w:rsidRPr="00EE66C6" w:rsidRDefault="00881780" w:rsidP="001245CE">
      <w:pPr>
        <w:spacing w:before="0"/>
        <w:rPr>
          <w:i/>
          <w:sz w:val="18"/>
          <w:szCs w:val="20"/>
        </w:rPr>
      </w:pPr>
      <w:r w:rsidRPr="00EE66C6">
        <w:rPr>
          <w:i/>
          <w:sz w:val="18"/>
          <w:szCs w:val="20"/>
        </w:rPr>
        <w:t>Źródło: opracowanie własne na podstawie danych BDL/GUS</w:t>
      </w:r>
      <w:r w:rsidR="00AA6879">
        <w:rPr>
          <w:i/>
          <w:sz w:val="18"/>
          <w:szCs w:val="20"/>
        </w:rPr>
        <w:t>.</w:t>
      </w:r>
    </w:p>
    <w:p w14:paraId="144636C2" w14:textId="77777777" w:rsidR="00881780" w:rsidRDefault="00881780" w:rsidP="00881780">
      <w:pPr>
        <w:spacing w:line="276" w:lineRule="auto"/>
        <w:rPr>
          <w:rFonts w:cs="Arial"/>
          <w:bCs/>
          <w:color w:val="000000"/>
          <w:szCs w:val="20"/>
        </w:rPr>
      </w:pPr>
      <w:r w:rsidRPr="00032528">
        <w:rPr>
          <w:rFonts w:cs="Arial"/>
          <w:bCs/>
          <w:szCs w:val="20"/>
        </w:rPr>
        <w:t>W okresie programowania z</w:t>
      </w:r>
      <w:r>
        <w:rPr>
          <w:rFonts w:cs="Arial"/>
          <w:bCs/>
          <w:szCs w:val="20"/>
        </w:rPr>
        <w:t>wrócono uwagę na</w:t>
      </w:r>
      <w:r w:rsidRPr="00032528">
        <w:rPr>
          <w:rFonts w:cs="Arial"/>
          <w:bCs/>
          <w:szCs w:val="20"/>
        </w:rPr>
        <w:t xml:space="preserve"> problem wzrostu zachorowalności na choroby układu krążenia</w:t>
      </w:r>
      <w:r w:rsidR="00E66B89">
        <w:rPr>
          <w:rFonts w:cs="Arial"/>
          <w:bCs/>
          <w:szCs w:val="20"/>
        </w:rPr>
        <w:t xml:space="preserve"> i </w:t>
      </w:r>
      <w:r w:rsidRPr="00032528">
        <w:rPr>
          <w:rFonts w:cs="Arial"/>
          <w:bCs/>
          <w:szCs w:val="20"/>
        </w:rPr>
        <w:t xml:space="preserve">nowotwory. Na wysokim poziomie </w:t>
      </w:r>
      <w:r>
        <w:rPr>
          <w:rFonts w:cs="Arial"/>
          <w:bCs/>
          <w:szCs w:val="20"/>
        </w:rPr>
        <w:t xml:space="preserve">– wyższym niż wynik dla kraju </w:t>
      </w:r>
      <w:r>
        <w:rPr>
          <w:rFonts w:cs="Arial"/>
          <w:bCs/>
          <w:szCs w:val="20"/>
        </w:rPr>
        <w:noBreakHyphen/>
        <w:t xml:space="preserve"> </w:t>
      </w:r>
      <w:r w:rsidRPr="00032528">
        <w:rPr>
          <w:rFonts w:cs="Arial"/>
          <w:bCs/>
          <w:szCs w:val="20"/>
        </w:rPr>
        <w:t>utrzymuje się odsetek zgonów</w:t>
      </w:r>
      <w:r w:rsidR="00E66B89">
        <w:rPr>
          <w:rFonts w:cs="Arial"/>
          <w:bCs/>
          <w:szCs w:val="20"/>
        </w:rPr>
        <w:t xml:space="preserve"> z </w:t>
      </w:r>
      <w:r w:rsidRPr="00032528">
        <w:rPr>
          <w:rFonts w:cs="Arial"/>
          <w:bCs/>
          <w:color w:val="000000"/>
          <w:szCs w:val="20"/>
        </w:rPr>
        <w:t xml:space="preserve">powodu </w:t>
      </w:r>
      <w:r>
        <w:rPr>
          <w:rFonts w:cs="Arial"/>
          <w:bCs/>
          <w:color w:val="000000"/>
          <w:szCs w:val="20"/>
        </w:rPr>
        <w:t xml:space="preserve">wyżej wymienionych </w:t>
      </w:r>
      <w:r w:rsidRPr="00032528">
        <w:rPr>
          <w:rFonts w:cs="Arial"/>
          <w:bCs/>
          <w:color w:val="000000"/>
          <w:szCs w:val="20"/>
        </w:rPr>
        <w:t>chorób</w:t>
      </w:r>
      <w:r w:rsidR="00E66B89">
        <w:rPr>
          <w:rFonts w:cs="Arial"/>
          <w:bCs/>
          <w:color w:val="000000"/>
          <w:szCs w:val="20"/>
        </w:rPr>
        <w:t xml:space="preserve"> i </w:t>
      </w:r>
      <w:r w:rsidRPr="00032528">
        <w:rPr>
          <w:rFonts w:cs="Arial"/>
          <w:bCs/>
          <w:color w:val="000000"/>
          <w:szCs w:val="20"/>
        </w:rPr>
        <w:t xml:space="preserve">jest </w:t>
      </w:r>
      <w:r>
        <w:rPr>
          <w:rFonts w:cs="Arial"/>
          <w:bCs/>
          <w:color w:val="000000"/>
          <w:szCs w:val="20"/>
        </w:rPr>
        <w:t xml:space="preserve">on </w:t>
      </w:r>
      <w:r w:rsidRPr="00032528">
        <w:rPr>
          <w:rFonts w:cs="Arial"/>
          <w:bCs/>
          <w:color w:val="000000"/>
          <w:szCs w:val="20"/>
        </w:rPr>
        <w:t xml:space="preserve">wyższy od </w:t>
      </w:r>
      <w:r>
        <w:rPr>
          <w:rFonts w:cs="Arial"/>
          <w:bCs/>
          <w:color w:val="000000"/>
          <w:szCs w:val="20"/>
        </w:rPr>
        <w:t>wyniku</w:t>
      </w:r>
      <w:r w:rsidRPr="00032528">
        <w:rPr>
          <w:rFonts w:cs="Arial"/>
          <w:bCs/>
          <w:color w:val="000000"/>
          <w:szCs w:val="20"/>
        </w:rPr>
        <w:t xml:space="preserve"> </w:t>
      </w:r>
      <w:r>
        <w:rPr>
          <w:rFonts w:cs="Arial"/>
          <w:bCs/>
          <w:color w:val="000000"/>
          <w:szCs w:val="20"/>
        </w:rPr>
        <w:t>dla</w:t>
      </w:r>
      <w:r w:rsidRPr="00032528">
        <w:rPr>
          <w:rFonts w:cs="Arial"/>
          <w:bCs/>
          <w:color w:val="000000"/>
          <w:szCs w:val="20"/>
        </w:rPr>
        <w:t xml:space="preserve"> kraju.</w:t>
      </w:r>
    </w:p>
    <w:p w14:paraId="64AF6141" w14:textId="77777777" w:rsidR="00881780" w:rsidRPr="001E0773" w:rsidRDefault="00881780" w:rsidP="00754ED4">
      <w:pPr>
        <w:pStyle w:val="Legenda"/>
        <w:spacing w:after="0"/>
      </w:pPr>
      <w:bookmarkStart w:id="218" w:name="_Toc8824217"/>
      <w:r w:rsidRPr="00432E11">
        <w:t xml:space="preserve">Tabela </w:t>
      </w:r>
      <w:r>
        <w:fldChar w:fldCharType="begin"/>
      </w:r>
      <w:r>
        <w:instrText xml:space="preserve"> SEQ Tabela \* ARABIC </w:instrText>
      </w:r>
      <w:r>
        <w:fldChar w:fldCharType="separate"/>
      </w:r>
      <w:r w:rsidR="00763345">
        <w:rPr>
          <w:noProof/>
        </w:rPr>
        <w:t>106</w:t>
      </w:r>
      <w:r>
        <w:fldChar w:fldCharType="end"/>
      </w:r>
      <w:r w:rsidRPr="00432E11">
        <w:t xml:space="preserve"> </w:t>
      </w:r>
      <w:r>
        <w:t>Z</w:t>
      </w:r>
      <w:r w:rsidRPr="001E0773">
        <w:t>gon</w:t>
      </w:r>
      <w:r>
        <w:t>y</w:t>
      </w:r>
      <w:r w:rsidR="00E66B89">
        <w:t xml:space="preserve"> z </w:t>
      </w:r>
      <w:r w:rsidRPr="001E0773">
        <w:t>powodu chorób układu krążenia</w:t>
      </w:r>
      <w:r>
        <w:t xml:space="preserve"> oraz</w:t>
      </w:r>
      <w:r w:rsidR="00E66B89">
        <w:t xml:space="preserve"> z </w:t>
      </w:r>
      <w:r>
        <w:t>powodu nowotworów złośliwych na 100 tys. ludności</w:t>
      </w:r>
      <w:r w:rsidRPr="00432E11">
        <w:t>; Polska</w:t>
      </w:r>
      <w:r w:rsidR="00E66B89">
        <w:t xml:space="preserve"> i </w:t>
      </w:r>
      <w:r w:rsidRPr="00432E11">
        <w:t>województwo zachodniopomorskie</w:t>
      </w:r>
      <w:bookmarkEnd w:id="218"/>
    </w:p>
    <w:tbl>
      <w:tblPr>
        <w:tblW w:w="5000" w:type="pct"/>
        <w:tblCellMar>
          <w:left w:w="70" w:type="dxa"/>
          <w:right w:w="70" w:type="dxa"/>
        </w:tblCellMar>
        <w:tblLook w:val="04A0" w:firstRow="1" w:lastRow="0" w:firstColumn="1" w:lastColumn="0" w:noHBand="0" w:noVBand="1"/>
      </w:tblPr>
      <w:tblGrid>
        <w:gridCol w:w="3540"/>
        <w:gridCol w:w="991"/>
        <w:gridCol w:w="993"/>
        <w:gridCol w:w="850"/>
        <w:gridCol w:w="850"/>
        <w:gridCol w:w="852"/>
        <w:gridCol w:w="986"/>
      </w:tblGrid>
      <w:tr w:rsidR="00881780" w:rsidRPr="001D1CE9" w14:paraId="357A4764" w14:textId="77777777" w:rsidTr="006F4D8F">
        <w:trPr>
          <w:trHeight w:val="30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DDF8" w14:textId="77777777" w:rsidR="00881780" w:rsidRPr="001D1CE9" w:rsidRDefault="00881780" w:rsidP="006F4D8F">
            <w:pPr>
              <w:spacing w:before="0" w:line="240" w:lineRule="auto"/>
              <w:rPr>
                <w:rFonts w:cs="Arial"/>
                <w:b/>
                <w:bCs/>
                <w:color w:val="000000"/>
                <w:sz w:val="18"/>
                <w:szCs w:val="18"/>
              </w:rPr>
            </w:pPr>
            <w:bookmarkStart w:id="219" w:name="_Hlk5217815"/>
            <w:r w:rsidRPr="001D1CE9">
              <w:rPr>
                <w:rFonts w:cs="Arial"/>
                <w:b/>
                <w:bCs/>
                <w:color w:val="000000"/>
                <w:sz w:val="18"/>
                <w:szCs w:val="18"/>
              </w:rPr>
              <w:t>Zgony</w:t>
            </w:r>
            <w:r w:rsidR="00E66B89" w:rsidRPr="001D1CE9">
              <w:rPr>
                <w:rFonts w:cs="Arial"/>
                <w:b/>
                <w:bCs/>
                <w:color w:val="000000"/>
                <w:sz w:val="18"/>
                <w:szCs w:val="18"/>
              </w:rPr>
              <w:t xml:space="preserve"> z </w:t>
            </w:r>
            <w:r w:rsidRPr="001D1CE9">
              <w:rPr>
                <w:rFonts w:cs="Arial"/>
                <w:b/>
                <w:bCs/>
                <w:color w:val="000000"/>
                <w:sz w:val="18"/>
                <w:szCs w:val="18"/>
              </w:rPr>
              <w:t>powodu chorób układu krążenia</w:t>
            </w:r>
            <w:bookmarkEnd w:id="219"/>
          </w:p>
        </w:tc>
      </w:tr>
      <w:tr w:rsidR="00881780" w:rsidRPr="001D1CE9" w14:paraId="661B61B1" w14:textId="77777777" w:rsidTr="006F4D8F">
        <w:trPr>
          <w:trHeight w:val="308"/>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8811"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Rok</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4E9DCB9E"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2012</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16994544"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2013</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11030584"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2014</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3BF75B31"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1B723028"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2016</w:t>
            </w:r>
          </w:p>
        </w:tc>
        <w:tc>
          <w:tcPr>
            <w:tcW w:w="544" w:type="pct"/>
            <w:tcBorders>
              <w:top w:val="single" w:sz="4" w:space="0" w:color="auto"/>
              <w:left w:val="nil"/>
              <w:bottom w:val="single" w:sz="4" w:space="0" w:color="auto"/>
              <w:right w:val="single" w:sz="4" w:space="0" w:color="auto"/>
            </w:tcBorders>
          </w:tcPr>
          <w:p w14:paraId="06AE41B5" w14:textId="77777777" w:rsidR="00881780" w:rsidRPr="001D1CE9" w:rsidRDefault="00881780" w:rsidP="006F4D8F">
            <w:pPr>
              <w:spacing w:before="0" w:line="240" w:lineRule="auto"/>
              <w:rPr>
                <w:rFonts w:cs="Arial"/>
                <w:b/>
                <w:bCs/>
                <w:color w:val="000000"/>
                <w:sz w:val="18"/>
                <w:szCs w:val="18"/>
              </w:rPr>
            </w:pPr>
            <w:r w:rsidRPr="001D1CE9">
              <w:rPr>
                <w:rFonts w:cs="Arial"/>
                <w:b/>
                <w:bCs/>
                <w:color w:val="000000"/>
                <w:sz w:val="18"/>
                <w:szCs w:val="18"/>
              </w:rPr>
              <w:t>2017</w:t>
            </w:r>
          </w:p>
        </w:tc>
      </w:tr>
      <w:tr w:rsidR="00881780" w:rsidRPr="001D1CE9" w14:paraId="7F1DDCB1" w14:textId="77777777" w:rsidTr="006F4D8F">
        <w:trPr>
          <w:trHeight w:val="308"/>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B232"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Polska</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14E3FB6A"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460,8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0930BD6B"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460,8</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2DDF7648"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441,1</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70C97BC6"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469,0</w:t>
            </w:r>
          </w:p>
        </w:tc>
        <w:tc>
          <w:tcPr>
            <w:tcW w:w="470" w:type="pct"/>
            <w:tcBorders>
              <w:top w:val="single" w:sz="4" w:space="0" w:color="auto"/>
              <w:left w:val="nil"/>
              <w:bottom w:val="single" w:sz="4" w:space="0" w:color="auto"/>
              <w:right w:val="single" w:sz="4" w:space="0" w:color="auto"/>
            </w:tcBorders>
            <w:shd w:val="clear" w:color="auto" w:fill="auto"/>
            <w:noWrap/>
            <w:vAlign w:val="center"/>
          </w:tcPr>
          <w:p w14:paraId="7C9E500A"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437,1</w:t>
            </w:r>
          </w:p>
        </w:tc>
        <w:tc>
          <w:tcPr>
            <w:tcW w:w="544" w:type="pct"/>
            <w:tcBorders>
              <w:top w:val="single" w:sz="4" w:space="0" w:color="auto"/>
              <w:left w:val="nil"/>
              <w:bottom w:val="single" w:sz="4" w:space="0" w:color="auto"/>
              <w:right w:val="single" w:sz="4" w:space="0" w:color="auto"/>
            </w:tcBorders>
          </w:tcPr>
          <w:p w14:paraId="60718C3D" w14:textId="77777777" w:rsidR="00881780" w:rsidRPr="001D1CE9" w:rsidDel="003A14B8" w:rsidRDefault="00881780" w:rsidP="006F4D8F">
            <w:pPr>
              <w:spacing w:before="0" w:line="240" w:lineRule="auto"/>
              <w:rPr>
                <w:rFonts w:cs="Arial"/>
                <w:color w:val="000000"/>
                <w:sz w:val="18"/>
                <w:szCs w:val="18"/>
              </w:rPr>
            </w:pPr>
            <w:r w:rsidRPr="001D1CE9">
              <w:rPr>
                <w:rFonts w:cs="Arial"/>
                <w:color w:val="000000"/>
                <w:sz w:val="18"/>
                <w:szCs w:val="18"/>
              </w:rPr>
              <w:t>434,8</w:t>
            </w:r>
          </w:p>
        </w:tc>
      </w:tr>
      <w:tr w:rsidR="00881780" w:rsidRPr="001D1CE9" w14:paraId="3CFAAF9B" w14:textId="77777777" w:rsidTr="006F4D8F">
        <w:trPr>
          <w:trHeight w:val="315"/>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7F04"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Zachodniopomorskie</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561D9B16"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434,5</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8D384A4"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448,9</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759465C3"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431,8</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5910D00A"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460,5</w:t>
            </w:r>
          </w:p>
        </w:tc>
        <w:tc>
          <w:tcPr>
            <w:tcW w:w="470" w:type="pct"/>
            <w:tcBorders>
              <w:top w:val="single" w:sz="4" w:space="0" w:color="auto"/>
              <w:left w:val="nil"/>
              <w:bottom w:val="single" w:sz="4" w:space="0" w:color="auto"/>
              <w:right w:val="single" w:sz="4" w:space="0" w:color="auto"/>
            </w:tcBorders>
            <w:shd w:val="clear" w:color="auto" w:fill="auto"/>
            <w:noWrap/>
            <w:vAlign w:val="center"/>
          </w:tcPr>
          <w:p w14:paraId="750A068B"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450,4</w:t>
            </w:r>
          </w:p>
        </w:tc>
        <w:tc>
          <w:tcPr>
            <w:tcW w:w="544" w:type="pct"/>
            <w:tcBorders>
              <w:top w:val="single" w:sz="4" w:space="0" w:color="auto"/>
              <w:left w:val="nil"/>
              <w:bottom w:val="single" w:sz="4" w:space="0" w:color="auto"/>
              <w:right w:val="single" w:sz="4" w:space="0" w:color="auto"/>
            </w:tcBorders>
          </w:tcPr>
          <w:p w14:paraId="1CA9E674" w14:textId="77777777" w:rsidR="00881780" w:rsidRPr="001D1CE9" w:rsidDel="003A14B8" w:rsidRDefault="00881780" w:rsidP="006F4D8F">
            <w:pPr>
              <w:spacing w:before="0" w:line="240" w:lineRule="auto"/>
              <w:rPr>
                <w:rFonts w:cs="Arial"/>
                <w:color w:val="000000"/>
                <w:sz w:val="18"/>
                <w:szCs w:val="18"/>
              </w:rPr>
            </w:pPr>
            <w:r w:rsidRPr="001D1CE9">
              <w:rPr>
                <w:rFonts w:cs="Arial"/>
                <w:color w:val="000000"/>
                <w:sz w:val="18"/>
                <w:szCs w:val="18"/>
              </w:rPr>
              <w:t>454,1</w:t>
            </w:r>
          </w:p>
        </w:tc>
      </w:tr>
      <w:tr w:rsidR="00881780" w:rsidRPr="001D1CE9" w14:paraId="29D1FE35" w14:textId="77777777" w:rsidTr="006F4D8F">
        <w:trPr>
          <w:trHeight w:val="308"/>
        </w:trPr>
        <w:tc>
          <w:tcPr>
            <w:tcW w:w="445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FA160" w14:textId="77777777" w:rsidR="00881780" w:rsidRPr="001D1CE9" w:rsidRDefault="00881780" w:rsidP="006F4D8F">
            <w:pPr>
              <w:autoSpaceDE w:val="0"/>
              <w:autoSpaceDN w:val="0"/>
              <w:adjustRightInd w:val="0"/>
              <w:spacing w:before="0" w:line="240" w:lineRule="auto"/>
              <w:rPr>
                <w:rFonts w:cs="Arial"/>
                <w:b/>
                <w:bCs/>
                <w:sz w:val="18"/>
                <w:szCs w:val="18"/>
              </w:rPr>
            </w:pPr>
            <w:r w:rsidRPr="001D1CE9">
              <w:rPr>
                <w:rFonts w:cs="Arial"/>
                <w:b/>
                <w:bCs/>
                <w:sz w:val="18"/>
                <w:szCs w:val="18"/>
              </w:rPr>
              <w:t>Zgony</w:t>
            </w:r>
            <w:r w:rsidR="00E66B89" w:rsidRPr="001D1CE9">
              <w:rPr>
                <w:rFonts w:cs="Arial"/>
                <w:b/>
                <w:bCs/>
                <w:sz w:val="18"/>
                <w:szCs w:val="18"/>
              </w:rPr>
              <w:t xml:space="preserve"> z </w:t>
            </w:r>
            <w:r w:rsidRPr="001D1CE9">
              <w:rPr>
                <w:rFonts w:cs="Arial"/>
                <w:b/>
                <w:bCs/>
                <w:sz w:val="18"/>
                <w:szCs w:val="18"/>
              </w:rPr>
              <w:t>powodu nowotworów złośliwych</w:t>
            </w:r>
          </w:p>
        </w:tc>
        <w:tc>
          <w:tcPr>
            <w:tcW w:w="544" w:type="pct"/>
            <w:tcBorders>
              <w:top w:val="single" w:sz="4" w:space="0" w:color="auto"/>
              <w:left w:val="single" w:sz="4" w:space="0" w:color="auto"/>
              <w:bottom w:val="single" w:sz="4" w:space="0" w:color="auto"/>
              <w:right w:val="single" w:sz="4" w:space="0" w:color="auto"/>
            </w:tcBorders>
          </w:tcPr>
          <w:p w14:paraId="564ED86F" w14:textId="77777777" w:rsidR="00881780" w:rsidRPr="001D1CE9" w:rsidRDefault="00881780" w:rsidP="006F4D8F">
            <w:pPr>
              <w:autoSpaceDE w:val="0"/>
              <w:autoSpaceDN w:val="0"/>
              <w:adjustRightInd w:val="0"/>
              <w:spacing w:before="0" w:line="240" w:lineRule="auto"/>
              <w:rPr>
                <w:rFonts w:cs="Arial"/>
                <w:bCs/>
                <w:sz w:val="18"/>
                <w:szCs w:val="18"/>
              </w:rPr>
            </w:pPr>
          </w:p>
        </w:tc>
      </w:tr>
      <w:tr w:rsidR="00881780" w:rsidRPr="001D1CE9" w14:paraId="62B94EA7" w14:textId="77777777" w:rsidTr="006F4D8F">
        <w:trPr>
          <w:trHeight w:val="308"/>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1EF99"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Polska</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6321B133"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245,9</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E97CBAB"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244,4</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406D264E"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248,3</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3663473E"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261,6</w:t>
            </w:r>
          </w:p>
        </w:tc>
        <w:tc>
          <w:tcPr>
            <w:tcW w:w="470" w:type="pct"/>
            <w:tcBorders>
              <w:top w:val="single" w:sz="4" w:space="0" w:color="auto"/>
              <w:left w:val="nil"/>
              <w:bottom w:val="single" w:sz="4" w:space="0" w:color="auto"/>
              <w:right w:val="single" w:sz="4" w:space="0" w:color="auto"/>
            </w:tcBorders>
            <w:shd w:val="clear" w:color="auto" w:fill="auto"/>
            <w:noWrap/>
            <w:vAlign w:val="center"/>
          </w:tcPr>
          <w:p w14:paraId="19B0E540"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260,1</w:t>
            </w:r>
          </w:p>
        </w:tc>
        <w:tc>
          <w:tcPr>
            <w:tcW w:w="544" w:type="pct"/>
            <w:tcBorders>
              <w:top w:val="single" w:sz="4" w:space="0" w:color="auto"/>
              <w:left w:val="nil"/>
              <w:bottom w:val="single" w:sz="4" w:space="0" w:color="auto"/>
              <w:right w:val="single" w:sz="4" w:space="0" w:color="auto"/>
            </w:tcBorders>
          </w:tcPr>
          <w:p w14:paraId="325785EB" w14:textId="77777777" w:rsidR="00881780" w:rsidRPr="001D1CE9" w:rsidDel="003A14B8" w:rsidRDefault="00881780" w:rsidP="006F4D8F">
            <w:pPr>
              <w:spacing w:before="0" w:line="240" w:lineRule="auto"/>
              <w:rPr>
                <w:rFonts w:cs="Arial"/>
                <w:color w:val="000000"/>
                <w:sz w:val="18"/>
                <w:szCs w:val="18"/>
              </w:rPr>
            </w:pPr>
            <w:r w:rsidRPr="001D1CE9">
              <w:rPr>
                <w:rFonts w:cs="Arial"/>
                <w:color w:val="000000"/>
                <w:sz w:val="18"/>
                <w:szCs w:val="18"/>
              </w:rPr>
              <w:t>259,3</w:t>
            </w:r>
          </w:p>
        </w:tc>
      </w:tr>
      <w:tr w:rsidR="00881780" w:rsidRPr="001D1CE9" w14:paraId="35D5390B" w14:textId="77777777" w:rsidTr="006F4D8F">
        <w:trPr>
          <w:trHeight w:val="315"/>
        </w:trPr>
        <w:tc>
          <w:tcPr>
            <w:tcW w:w="1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450A" w14:textId="77777777" w:rsidR="00881780" w:rsidRPr="001D1CE9" w:rsidRDefault="00881780" w:rsidP="006F4D8F">
            <w:pPr>
              <w:spacing w:before="0" w:line="240" w:lineRule="auto"/>
              <w:rPr>
                <w:rFonts w:cs="Arial"/>
                <w:color w:val="000000"/>
                <w:sz w:val="18"/>
                <w:szCs w:val="18"/>
              </w:rPr>
            </w:pPr>
            <w:r w:rsidRPr="001D1CE9">
              <w:rPr>
                <w:rFonts w:cs="Arial"/>
                <w:bCs/>
                <w:color w:val="000000"/>
                <w:sz w:val="18"/>
                <w:szCs w:val="18"/>
              </w:rPr>
              <w:t>Zachodniopomorskie</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1D6491D0"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257,2</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63A91BC"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259,1</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7FF5A379"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261,2</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0D8D526B"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273,9</w:t>
            </w:r>
          </w:p>
        </w:tc>
        <w:tc>
          <w:tcPr>
            <w:tcW w:w="470" w:type="pct"/>
            <w:tcBorders>
              <w:top w:val="single" w:sz="4" w:space="0" w:color="auto"/>
              <w:left w:val="nil"/>
              <w:bottom w:val="single" w:sz="4" w:space="0" w:color="auto"/>
              <w:right w:val="single" w:sz="4" w:space="0" w:color="auto"/>
            </w:tcBorders>
            <w:shd w:val="clear" w:color="auto" w:fill="auto"/>
            <w:noWrap/>
            <w:vAlign w:val="center"/>
          </w:tcPr>
          <w:p w14:paraId="019F9749" w14:textId="77777777" w:rsidR="00881780" w:rsidRPr="001D1CE9" w:rsidRDefault="00881780" w:rsidP="006F4D8F">
            <w:pPr>
              <w:spacing w:before="0" w:line="240" w:lineRule="auto"/>
              <w:rPr>
                <w:rFonts w:cs="Arial"/>
                <w:color w:val="000000"/>
                <w:sz w:val="18"/>
                <w:szCs w:val="18"/>
              </w:rPr>
            </w:pPr>
            <w:r w:rsidRPr="001D1CE9">
              <w:rPr>
                <w:rFonts w:cs="Arial"/>
                <w:color w:val="000000"/>
                <w:sz w:val="18"/>
                <w:szCs w:val="18"/>
              </w:rPr>
              <w:t>268,2</w:t>
            </w:r>
          </w:p>
        </w:tc>
        <w:tc>
          <w:tcPr>
            <w:tcW w:w="544" w:type="pct"/>
            <w:tcBorders>
              <w:top w:val="single" w:sz="4" w:space="0" w:color="auto"/>
              <w:left w:val="nil"/>
              <w:bottom w:val="single" w:sz="4" w:space="0" w:color="auto"/>
              <w:right w:val="single" w:sz="4" w:space="0" w:color="auto"/>
            </w:tcBorders>
          </w:tcPr>
          <w:p w14:paraId="627B78C6" w14:textId="77777777" w:rsidR="00881780" w:rsidRPr="001D1CE9" w:rsidDel="003A14B8" w:rsidRDefault="00881780" w:rsidP="006F4D8F">
            <w:pPr>
              <w:spacing w:before="0" w:line="240" w:lineRule="auto"/>
              <w:rPr>
                <w:rFonts w:cs="Arial"/>
                <w:color w:val="000000"/>
                <w:sz w:val="18"/>
                <w:szCs w:val="18"/>
              </w:rPr>
            </w:pPr>
            <w:r w:rsidRPr="001D1CE9">
              <w:rPr>
                <w:rFonts w:cs="Arial"/>
                <w:color w:val="000000"/>
                <w:sz w:val="18"/>
                <w:szCs w:val="18"/>
              </w:rPr>
              <w:t>271,8</w:t>
            </w:r>
          </w:p>
        </w:tc>
      </w:tr>
    </w:tbl>
    <w:p w14:paraId="4FFA3CA1" w14:textId="2492C4F1" w:rsidR="00881780" w:rsidRPr="00EE66C6" w:rsidRDefault="00881780" w:rsidP="001245CE">
      <w:pPr>
        <w:spacing w:before="0"/>
        <w:rPr>
          <w:i/>
          <w:sz w:val="18"/>
          <w:szCs w:val="20"/>
        </w:rPr>
      </w:pPr>
      <w:r w:rsidRPr="00EE66C6">
        <w:rPr>
          <w:i/>
          <w:sz w:val="18"/>
          <w:szCs w:val="20"/>
        </w:rPr>
        <w:t>Źródło: opracowanie własne na podstawie danych BDL/GUS</w:t>
      </w:r>
      <w:r w:rsidR="00AA6879">
        <w:rPr>
          <w:i/>
          <w:sz w:val="18"/>
          <w:szCs w:val="20"/>
        </w:rPr>
        <w:t>.</w:t>
      </w:r>
    </w:p>
    <w:p w14:paraId="4DF4B9F7" w14:textId="77777777" w:rsidR="00881780" w:rsidRPr="00216F79" w:rsidRDefault="00881780" w:rsidP="00881780">
      <w:pPr>
        <w:autoSpaceDE w:val="0"/>
        <w:autoSpaceDN w:val="0"/>
        <w:adjustRightInd w:val="0"/>
        <w:spacing w:line="276" w:lineRule="auto"/>
        <w:rPr>
          <w:rFonts w:cs="Arial"/>
          <w:b/>
          <w:bCs/>
          <w:szCs w:val="20"/>
        </w:rPr>
      </w:pPr>
      <w:r w:rsidRPr="001960C1">
        <w:rPr>
          <w:rFonts w:cs="Arial"/>
          <w:bCs/>
          <w:szCs w:val="20"/>
        </w:rPr>
        <w:t>Analiza problemów stanowiących punkt wyjścia dla programowania wsparcia na lata 2014-2020 pokazuje, że nadal większość</w:t>
      </w:r>
      <w:r w:rsidR="00E66B89">
        <w:rPr>
          <w:rFonts w:cs="Arial"/>
          <w:bCs/>
          <w:szCs w:val="20"/>
        </w:rPr>
        <w:t xml:space="preserve"> z </w:t>
      </w:r>
      <w:r w:rsidRPr="001960C1">
        <w:rPr>
          <w:rFonts w:cs="Arial"/>
          <w:bCs/>
          <w:szCs w:val="20"/>
        </w:rPr>
        <w:t>nich jest aktualna, przede wszystkim</w:t>
      </w:r>
      <w:r w:rsidR="00E66B89">
        <w:rPr>
          <w:rFonts w:cs="Arial"/>
          <w:bCs/>
          <w:szCs w:val="20"/>
        </w:rPr>
        <w:t xml:space="preserve"> w </w:t>
      </w:r>
      <w:r w:rsidRPr="001960C1">
        <w:rPr>
          <w:rFonts w:cs="Arial"/>
          <w:bCs/>
          <w:szCs w:val="20"/>
        </w:rPr>
        <w:t>obszarze wspierania rozwoju miejsc pracy, przedsiębiorczości, przeciwdziałania dezaktywacji zawodowej zwłaszcza</w:t>
      </w:r>
      <w:r w:rsidR="00E66B89">
        <w:rPr>
          <w:rFonts w:cs="Arial"/>
          <w:bCs/>
          <w:szCs w:val="20"/>
        </w:rPr>
        <w:t xml:space="preserve"> z </w:t>
      </w:r>
      <w:r w:rsidRPr="001960C1">
        <w:rPr>
          <w:rFonts w:cs="Arial"/>
          <w:bCs/>
          <w:szCs w:val="20"/>
        </w:rPr>
        <w:t>powodu choroby – osiągniecie założeń programu nie powinno być zagrożone</w:t>
      </w:r>
      <w:r w:rsidR="00E66B89">
        <w:rPr>
          <w:rFonts w:cs="Arial"/>
          <w:bCs/>
          <w:szCs w:val="20"/>
        </w:rPr>
        <w:t xml:space="preserve"> w </w:t>
      </w:r>
      <w:r w:rsidRPr="001960C1">
        <w:rPr>
          <w:rFonts w:cs="Arial"/>
          <w:bCs/>
          <w:szCs w:val="20"/>
        </w:rPr>
        <w:t>tym zakresie. Zrewidowania wymagają cele rozwojowe bezpośrednio odnoszące się do przeciwdziałania bezrobociu</w:t>
      </w:r>
      <w:r w:rsidR="00E66B89">
        <w:rPr>
          <w:rFonts w:cs="Arial"/>
          <w:bCs/>
          <w:szCs w:val="20"/>
        </w:rPr>
        <w:t xml:space="preserve"> z </w:t>
      </w:r>
      <w:r w:rsidRPr="001960C1">
        <w:rPr>
          <w:rFonts w:cs="Arial"/>
          <w:bCs/>
          <w:szCs w:val="20"/>
        </w:rPr>
        <w:t>uwagi na spadek liczby osób bezrobotnych</w:t>
      </w:r>
      <w:r w:rsidR="00E66B89">
        <w:rPr>
          <w:rFonts w:cs="Arial"/>
          <w:bCs/>
          <w:szCs w:val="20"/>
        </w:rPr>
        <w:t xml:space="preserve"> i </w:t>
      </w:r>
      <w:r w:rsidRPr="001960C1">
        <w:rPr>
          <w:rFonts w:cs="Arial"/>
          <w:bCs/>
          <w:szCs w:val="20"/>
        </w:rPr>
        <w:t>stopy bezrobocia</w:t>
      </w:r>
      <w:r w:rsidR="00E66B89">
        <w:rPr>
          <w:rFonts w:cs="Arial"/>
          <w:bCs/>
          <w:szCs w:val="20"/>
        </w:rPr>
        <w:t xml:space="preserve"> w </w:t>
      </w:r>
      <w:r w:rsidRPr="001960C1">
        <w:rPr>
          <w:rFonts w:cs="Arial"/>
          <w:bCs/>
          <w:szCs w:val="20"/>
        </w:rPr>
        <w:t>regionie.</w:t>
      </w:r>
    </w:p>
    <w:p w14:paraId="408F0B87" w14:textId="77777777" w:rsidR="00881780" w:rsidRDefault="00881780" w:rsidP="00881780">
      <w:pPr>
        <w:pStyle w:val="Nagwek3"/>
      </w:pPr>
      <w:r w:rsidRPr="00FE43CD">
        <w:t>Realizacja Ram Wykonania</w:t>
      </w:r>
      <w:r w:rsidR="00E66B89">
        <w:t xml:space="preserve"> w </w:t>
      </w:r>
      <w:r w:rsidRPr="00FE43CD">
        <w:t xml:space="preserve">OP </w:t>
      </w:r>
      <w:r>
        <w:t>V</w:t>
      </w:r>
      <w:r w:rsidRPr="00FE43CD">
        <w:t>I</w:t>
      </w:r>
    </w:p>
    <w:p w14:paraId="4ABA08DE" w14:textId="77777777" w:rsidR="00881780" w:rsidRPr="00FE43CD" w:rsidRDefault="00881780" w:rsidP="00754ED4">
      <w:pPr>
        <w:pStyle w:val="Legenda"/>
        <w:spacing w:after="0"/>
      </w:pPr>
      <w:bookmarkStart w:id="220" w:name="_Toc8824218"/>
      <w:r w:rsidRPr="00FE43CD">
        <w:t xml:space="preserve">Tabela </w:t>
      </w:r>
      <w:r>
        <w:fldChar w:fldCharType="begin"/>
      </w:r>
      <w:r>
        <w:instrText xml:space="preserve"> SEQ Tabela \* ARABIC </w:instrText>
      </w:r>
      <w:r>
        <w:fldChar w:fldCharType="separate"/>
      </w:r>
      <w:r w:rsidR="00763345">
        <w:rPr>
          <w:noProof/>
        </w:rPr>
        <w:t>107</w:t>
      </w:r>
      <w:r>
        <w:fldChar w:fldCharType="end"/>
      </w:r>
      <w:r w:rsidRPr="00FE43CD">
        <w:t xml:space="preserve"> Wskaźniki wybrane do Ram Wykonania – stopień osiągnięcia wartości pośrednich</w:t>
      </w:r>
      <w:r w:rsidR="00E66B89">
        <w:t xml:space="preserve"> i </w:t>
      </w:r>
      <w:r w:rsidRPr="00FE43CD">
        <w:t xml:space="preserve">docelowych – OP </w:t>
      </w:r>
      <w:r>
        <w:t>V</w:t>
      </w:r>
      <w:r w:rsidRPr="00FE43CD">
        <w:t>I</w:t>
      </w:r>
      <w:bookmarkEnd w:id="220"/>
      <w:r w:rsidRPr="00FE43CD">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874"/>
        <w:gridCol w:w="1494"/>
        <w:gridCol w:w="671"/>
        <w:gridCol w:w="906"/>
        <w:gridCol w:w="905"/>
        <w:gridCol w:w="1037"/>
        <w:gridCol w:w="872"/>
        <w:gridCol w:w="810"/>
        <w:gridCol w:w="901"/>
      </w:tblGrid>
      <w:tr w:rsidR="00881780" w:rsidRPr="003E46F9" w14:paraId="0684E761" w14:textId="77777777" w:rsidTr="00C22C26">
        <w:trPr>
          <w:tblHeader/>
        </w:trPr>
        <w:tc>
          <w:tcPr>
            <w:tcW w:w="327" w:type="pct"/>
            <w:shd w:val="clear" w:color="auto" w:fill="DBE5F1"/>
          </w:tcPr>
          <w:p w14:paraId="5DF309C8"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PI</w:t>
            </w:r>
          </w:p>
        </w:tc>
        <w:tc>
          <w:tcPr>
            <w:tcW w:w="482" w:type="pct"/>
            <w:shd w:val="clear" w:color="auto" w:fill="DBE5F1"/>
          </w:tcPr>
          <w:p w14:paraId="4FCB3564"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Typ wskaźnika</w:t>
            </w:r>
          </w:p>
        </w:tc>
        <w:tc>
          <w:tcPr>
            <w:tcW w:w="824" w:type="pct"/>
            <w:shd w:val="clear" w:color="auto" w:fill="DBE5F1"/>
          </w:tcPr>
          <w:p w14:paraId="41CC2135" w14:textId="77777777" w:rsidR="00881780" w:rsidRPr="00404DA5" w:rsidRDefault="00881780" w:rsidP="006F4D8F">
            <w:pPr>
              <w:keepNext/>
              <w:spacing w:line="276" w:lineRule="auto"/>
              <w:rPr>
                <w:rFonts w:cs="Calibri"/>
                <w:sz w:val="18"/>
                <w:szCs w:val="18"/>
              </w:rPr>
            </w:pPr>
            <w:r w:rsidRPr="00404DA5">
              <w:rPr>
                <w:rFonts w:cs="Calibri"/>
                <w:sz w:val="18"/>
                <w:szCs w:val="18"/>
              </w:rPr>
              <w:t>Wskaźnik lub KEW</w:t>
            </w:r>
          </w:p>
        </w:tc>
        <w:tc>
          <w:tcPr>
            <w:tcW w:w="370" w:type="pct"/>
            <w:shd w:val="clear" w:color="auto" w:fill="DBE5F1"/>
          </w:tcPr>
          <w:p w14:paraId="4F22CCF6"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Jednostka pomiaru</w:t>
            </w:r>
          </w:p>
        </w:tc>
        <w:tc>
          <w:tcPr>
            <w:tcW w:w="500" w:type="pct"/>
            <w:shd w:val="clear" w:color="auto" w:fill="DBE5F1"/>
          </w:tcPr>
          <w:p w14:paraId="051DE9FD" w14:textId="77777777" w:rsidR="00881780" w:rsidRPr="00404DA5" w:rsidRDefault="00881780" w:rsidP="006F4D8F">
            <w:pPr>
              <w:keepNext/>
              <w:spacing w:line="276" w:lineRule="auto"/>
              <w:jc w:val="center"/>
              <w:rPr>
                <w:rFonts w:cs="Calibri"/>
                <w:sz w:val="18"/>
                <w:szCs w:val="18"/>
              </w:rPr>
            </w:pPr>
            <w:r w:rsidRPr="00CE4130">
              <w:rPr>
                <w:rFonts w:cs="Calibri"/>
                <w:sz w:val="18"/>
                <w:szCs w:val="18"/>
              </w:rPr>
              <w:t>Wartość kumulatywna</w:t>
            </w:r>
          </w:p>
        </w:tc>
        <w:tc>
          <w:tcPr>
            <w:tcW w:w="499" w:type="pct"/>
            <w:shd w:val="clear" w:color="auto" w:fill="DBE5F1"/>
          </w:tcPr>
          <w:p w14:paraId="67A6429C"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Cel pośredni na 2018 r.</w:t>
            </w:r>
          </w:p>
        </w:tc>
        <w:tc>
          <w:tcPr>
            <w:tcW w:w="572" w:type="pct"/>
            <w:shd w:val="clear" w:color="auto" w:fill="DBE5F1"/>
          </w:tcPr>
          <w:p w14:paraId="7056413F"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 realizacji celu pośredniego</w:t>
            </w:r>
          </w:p>
        </w:tc>
        <w:tc>
          <w:tcPr>
            <w:tcW w:w="481" w:type="pct"/>
            <w:shd w:val="clear" w:color="auto" w:fill="DBE5F1"/>
          </w:tcPr>
          <w:p w14:paraId="38120147"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Wartość docelowa na koniec 2023 r.</w:t>
            </w:r>
          </w:p>
        </w:tc>
        <w:tc>
          <w:tcPr>
            <w:tcW w:w="447" w:type="pct"/>
            <w:shd w:val="clear" w:color="auto" w:fill="DBE5F1"/>
          </w:tcPr>
          <w:p w14:paraId="25C7D025"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 xml:space="preserve">% realizacji wartości docelowej </w:t>
            </w:r>
            <w:r w:rsidRPr="0013771A">
              <w:rPr>
                <w:rFonts w:cs="Calibri"/>
                <w:sz w:val="18"/>
                <w:szCs w:val="18"/>
              </w:rPr>
              <w:t>wg WoP</w:t>
            </w:r>
          </w:p>
        </w:tc>
        <w:tc>
          <w:tcPr>
            <w:tcW w:w="497" w:type="pct"/>
            <w:shd w:val="clear" w:color="auto" w:fill="DBE5F1"/>
          </w:tcPr>
          <w:p w14:paraId="7D88DCA0" w14:textId="77777777" w:rsidR="00881780" w:rsidRPr="00404DA5" w:rsidRDefault="00881780" w:rsidP="006F4D8F">
            <w:pPr>
              <w:keepNext/>
              <w:spacing w:line="276" w:lineRule="auto"/>
              <w:jc w:val="center"/>
              <w:rPr>
                <w:rFonts w:cs="Calibri"/>
                <w:sz w:val="18"/>
                <w:szCs w:val="18"/>
              </w:rPr>
            </w:pPr>
            <w:r w:rsidRPr="00404DA5">
              <w:rPr>
                <w:rFonts w:cs="Calibri"/>
                <w:sz w:val="18"/>
                <w:szCs w:val="18"/>
              </w:rPr>
              <w:t xml:space="preserve">% realizacji wartości docelowej </w:t>
            </w:r>
            <w:r w:rsidRPr="0013771A">
              <w:rPr>
                <w:rFonts w:cs="Calibri"/>
                <w:sz w:val="18"/>
                <w:szCs w:val="18"/>
              </w:rPr>
              <w:t>wg UoD</w:t>
            </w:r>
          </w:p>
        </w:tc>
      </w:tr>
      <w:tr w:rsidR="00881780" w:rsidRPr="003E46F9" w14:paraId="591C64F0" w14:textId="77777777" w:rsidTr="006F4D8F">
        <w:tc>
          <w:tcPr>
            <w:tcW w:w="327" w:type="pct"/>
            <w:shd w:val="clear" w:color="auto" w:fill="auto"/>
            <w:vAlign w:val="center"/>
          </w:tcPr>
          <w:p w14:paraId="33AD3474"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 xml:space="preserve">08i </w:t>
            </w:r>
          </w:p>
        </w:tc>
        <w:tc>
          <w:tcPr>
            <w:tcW w:w="482" w:type="pct"/>
            <w:shd w:val="clear" w:color="auto" w:fill="auto"/>
            <w:vAlign w:val="center"/>
          </w:tcPr>
          <w:p w14:paraId="16C2132B"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wskaźnik produktu</w:t>
            </w:r>
          </w:p>
        </w:tc>
        <w:tc>
          <w:tcPr>
            <w:tcW w:w="824" w:type="pct"/>
            <w:shd w:val="clear" w:color="auto" w:fill="auto"/>
            <w:vAlign w:val="center"/>
          </w:tcPr>
          <w:p w14:paraId="2E6627F9" w14:textId="77777777" w:rsidR="00881780" w:rsidRPr="00404DA5" w:rsidRDefault="00881780" w:rsidP="006F4D8F">
            <w:pPr>
              <w:spacing w:line="276" w:lineRule="auto"/>
              <w:rPr>
                <w:rFonts w:cs="Calibri"/>
                <w:sz w:val="18"/>
                <w:szCs w:val="18"/>
              </w:rPr>
            </w:pPr>
            <w:r w:rsidRPr="00404DA5">
              <w:rPr>
                <w:rFonts w:cs="Calibri"/>
                <w:color w:val="000000"/>
                <w:sz w:val="18"/>
                <w:szCs w:val="18"/>
              </w:rPr>
              <w:t>Liczba osób bezrobotnych (łącznie</w:t>
            </w:r>
            <w:r w:rsidR="00E66B89">
              <w:rPr>
                <w:rFonts w:cs="Calibri"/>
                <w:color w:val="000000"/>
                <w:sz w:val="18"/>
                <w:szCs w:val="18"/>
              </w:rPr>
              <w:t xml:space="preserve"> z </w:t>
            </w:r>
            <w:r w:rsidRPr="00404DA5">
              <w:rPr>
                <w:rFonts w:cs="Calibri"/>
                <w:color w:val="000000"/>
                <w:sz w:val="18"/>
                <w:szCs w:val="18"/>
              </w:rPr>
              <w:t>długotrwale bezrobotnymi) objętych wsparciem</w:t>
            </w:r>
            <w:r w:rsidR="00E66B89">
              <w:rPr>
                <w:rFonts w:cs="Calibri"/>
                <w:color w:val="000000"/>
                <w:sz w:val="18"/>
                <w:szCs w:val="18"/>
              </w:rPr>
              <w:t xml:space="preserve"> w </w:t>
            </w:r>
            <w:r w:rsidRPr="00404DA5">
              <w:rPr>
                <w:rFonts w:cs="Calibri"/>
                <w:color w:val="000000"/>
                <w:sz w:val="18"/>
                <w:szCs w:val="18"/>
              </w:rPr>
              <w:t>programie</w:t>
            </w:r>
          </w:p>
        </w:tc>
        <w:tc>
          <w:tcPr>
            <w:tcW w:w="370" w:type="pct"/>
            <w:shd w:val="clear" w:color="auto" w:fill="auto"/>
            <w:vAlign w:val="center"/>
          </w:tcPr>
          <w:p w14:paraId="20183CA6"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osoby</w:t>
            </w:r>
          </w:p>
        </w:tc>
        <w:tc>
          <w:tcPr>
            <w:tcW w:w="500" w:type="pct"/>
            <w:vAlign w:val="center"/>
          </w:tcPr>
          <w:p w14:paraId="5CDB60D4" w14:textId="77777777" w:rsidR="00881780" w:rsidRPr="00404DA5" w:rsidRDefault="00881780" w:rsidP="006F4D8F">
            <w:pPr>
              <w:spacing w:line="276" w:lineRule="auto"/>
              <w:jc w:val="center"/>
              <w:rPr>
                <w:rFonts w:cs="Calibri"/>
                <w:color w:val="000000"/>
                <w:sz w:val="18"/>
                <w:szCs w:val="18"/>
              </w:rPr>
            </w:pPr>
            <w:r w:rsidRPr="00CE4130">
              <w:rPr>
                <w:rFonts w:cs="Calibri"/>
                <w:color w:val="000000"/>
                <w:sz w:val="18"/>
                <w:szCs w:val="18"/>
              </w:rPr>
              <w:t>12 943</w:t>
            </w:r>
          </w:p>
        </w:tc>
        <w:tc>
          <w:tcPr>
            <w:tcW w:w="499" w:type="pct"/>
            <w:shd w:val="clear" w:color="auto" w:fill="auto"/>
            <w:vAlign w:val="center"/>
          </w:tcPr>
          <w:p w14:paraId="671E8B84"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8 877</w:t>
            </w:r>
          </w:p>
        </w:tc>
        <w:tc>
          <w:tcPr>
            <w:tcW w:w="572" w:type="pct"/>
            <w:shd w:val="clear" w:color="auto" w:fill="auto"/>
            <w:vAlign w:val="center"/>
          </w:tcPr>
          <w:p w14:paraId="19DB3361"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145,8%</w:t>
            </w:r>
          </w:p>
        </w:tc>
        <w:tc>
          <w:tcPr>
            <w:tcW w:w="481" w:type="pct"/>
            <w:shd w:val="clear" w:color="auto" w:fill="auto"/>
            <w:vAlign w:val="center"/>
          </w:tcPr>
          <w:p w14:paraId="094EBD59" w14:textId="77777777" w:rsidR="00881780" w:rsidRPr="00404DA5" w:rsidRDefault="00881780" w:rsidP="006F4D8F">
            <w:pPr>
              <w:spacing w:line="276" w:lineRule="auto"/>
              <w:jc w:val="center"/>
              <w:rPr>
                <w:rFonts w:eastAsia="Calibri" w:cs="Calibri"/>
                <w:sz w:val="18"/>
                <w:szCs w:val="18"/>
              </w:rPr>
            </w:pPr>
            <w:r w:rsidRPr="00404DA5">
              <w:rPr>
                <w:rFonts w:cs="Calibri"/>
                <w:sz w:val="18"/>
                <w:szCs w:val="18"/>
              </w:rPr>
              <w:t>19 727</w:t>
            </w:r>
          </w:p>
        </w:tc>
        <w:tc>
          <w:tcPr>
            <w:tcW w:w="447" w:type="pct"/>
            <w:shd w:val="clear" w:color="auto" w:fill="auto"/>
            <w:vAlign w:val="center"/>
          </w:tcPr>
          <w:p w14:paraId="2CC2C026" w14:textId="77777777" w:rsidR="00881780" w:rsidRPr="00404DA5" w:rsidRDefault="00881780" w:rsidP="006F4D8F">
            <w:pPr>
              <w:spacing w:line="276" w:lineRule="auto"/>
              <w:jc w:val="center"/>
              <w:rPr>
                <w:rFonts w:eastAsia="Calibri" w:cs="Calibri"/>
                <w:sz w:val="18"/>
                <w:szCs w:val="18"/>
              </w:rPr>
            </w:pPr>
            <w:r w:rsidRPr="00404DA5">
              <w:rPr>
                <w:rFonts w:eastAsia="Calibri" w:cs="Calibri"/>
                <w:sz w:val="18"/>
                <w:szCs w:val="18"/>
              </w:rPr>
              <w:t>65,6%</w:t>
            </w:r>
          </w:p>
        </w:tc>
        <w:tc>
          <w:tcPr>
            <w:tcW w:w="497" w:type="pct"/>
            <w:shd w:val="clear" w:color="auto" w:fill="auto"/>
            <w:vAlign w:val="center"/>
          </w:tcPr>
          <w:p w14:paraId="465229DA" w14:textId="77777777" w:rsidR="00881780" w:rsidRPr="00404DA5" w:rsidRDefault="00881780" w:rsidP="006F4D8F">
            <w:pPr>
              <w:spacing w:line="276" w:lineRule="auto"/>
              <w:jc w:val="center"/>
              <w:rPr>
                <w:rFonts w:eastAsia="Calibri" w:cs="Calibri"/>
                <w:sz w:val="18"/>
                <w:szCs w:val="18"/>
              </w:rPr>
            </w:pPr>
            <w:r w:rsidRPr="00404DA5">
              <w:rPr>
                <w:rFonts w:eastAsia="Calibri" w:cs="Calibri"/>
                <w:sz w:val="18"/>
                <w:szCs w:val="18"/>
              </w:rPr>
              <w:t>71,1%</w:t>
            </w:r>
          </w:p>
        </w:tc>
      </w:tr>
      <w:tr w:rsidR="00881780" w:rsidRPr="003E46F9" w14:paraId="4984F1D7" w14:textId="77777777" w:rsidTr="006F4D8F">
        <w:tc>
          <w:tcPr>
            <w:tcW w:w="327" w:type="pct"/>
            <w:shd w:val="clear" w:color="auto" w:fill="auto"/>
            <w:vAlign w:val="center"/>
          </w:tcPr>
          <w:p w14:paraId="315935BD" w14:textId="77777777" w:rsidR="00881780" w:rsidRPr="00404DA5" w:rsidRDefault="00881780" w:rsidP="006F4D8F">
            <w:pPr>
              <w:keepNext/>
              <w:spacing w:line="276" w:lineRule="auto"/>
              <w:jc w:val="center"/>
              <w:rPr>
                <w:rFonts w:cs="Calibri"/>
                <w:sz w:val="18"/>
                <w:szCs w:val="18"/>
              </w:rPr>
            </w:pPr>
            <w:r w:rsidRPr="00404DA5">
              <w:rPr>
                <w:rFonts w:cs="Calibri"/>
                <w:color w:val="000000"/>
                <w:sz w:val="18"/>
                <w:szCs w:val="18"/>
              </w:rPr>
              <w:lastRenderedPageBreak/>
              <w:t>08i</w:t>
            </w:r>
          </w:p>
        </w:tc>
        <w:tc>
          <w:tcPr>
            <w:tcW w:w="482" w:type="pct"/>
            <w:shd w:val="clear" w:color="auto" w:fill="auto"/>
            <w:vAlign w:val="center"/>
          </w:tcPr>
          <w:p w14:paraId="466F5260" w14:textId="77777777" w:rsidR="00881780" w:rsidRPr="00404DA5" w:rsidRDefault="00881780" w:rsidP="006F4D8F">
            <w:pPr>
              <w:keepNext/>
              <w:spacing w:line="276" w:lineRule="auto"/>
              <w:jc w:val="center"/>
              <w:rPr>
                <w:rFonts w:cs="Calibri"/>
                <w:sz w:val="18"/>
                <w:szCs w:val="18"/>
              </w:rPr>
            </w:pPr>
            <w:r w:rsidRPr="00404DA5">
              <w:rPr>
                <w:rFonts w:cs="Calibri"/>
                <w:color w:val="000000"/>
                <w:sz w:val="18"/>
                <w:szCs w:val="18"/>
              </w:rPr>
              <w:t>wskaźnik produktu</w:t>
            </w:r>
          </w:p>
        </w:tc>
        <w:tc>
          <w:tcPr>
            <w:tcW w:w="824" w:type="pct"/>
            <w:shd w:val="clear" w:color="auto" w:fill="auto"/>
            <w:vAlign w:val="center"/>
          </w:tcPr>
          <w:p w14:paraId="37B807FD" w14:textId="77777777" w:rsidR="00881780" w:rsidRPr="00404DA5" w:rsidRDefault="00881780" w:rsidP="006F4D8F">
            <w:pPr>
              <w:keepNext/>
              <w:spacing w:line="276" w:lineRule="auto"/>
              <w:rPr>
                <w:rFonts w:cs="Calibri"/>
                <w:sz w:val="18"/>
                <w:szCs w:val="18"/>
              </w:rPr>
            </w:pPr>
            <w:r w:rsidRPr="00404DA5">
              <w:rPr>
                <w:rFonts w:cs="Calibri"/>
                <w:color w:val="000000"/>
                <w:sz w:val="18"/>
                <w:szCs w:val="18"/>
              </w:rPr>
              <w:t>Liczba osób, które otrzymały bezzwrotne środki na podjęcie działalności gospodarczej</w:t>
            </w:r>
            <w:r w:rsidR="00E66B89">
              <w:rPr>
                <w:rFonts w:cs="Calibri"/>
                <w:color w:val="000000"/>
                <w:sz w:val="18"/>
                <w:szCs w:val="18"/>
              </w:rPr>
              <w:t xml:space="preserve"> w </w:t>
            </w:r>
            <w:r w:rsidRPr="00404DA5">
              <w:rPr>
                <w:rFonts w:cs="Calibri"/>
                <w:color w:val="000000"/>
                <w:sz w:val="18"/>
                <w:szCs w:val="18"/>
              </w:rPr>
              <w:t>programie</w:t>
            </w:r>
          </w:p>
        </w:tc>
        <w:tc>
          <w:tcPr>
            <w:tcW w:w="370" w:type="pct"/>
            <w:shd w:val="clear" w:color="auto" w:fill="auto"/>
            <w:vAlign w:val="center"/>
          </w:tcPr>
          <w:p w14:paraId="2A1749F5"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osoby</w:t>
            </w:r>
          </w:p>
        </w:tc>
        <w:tc>
          <w:tcPr>
            <w:tcW w:w="500" w:type="pct"/>
            <w:vAlign w:val="center"/>
          </w:tcPr>
          <w:p w14:paraId="5A7CF5B3" w14:textId="77777777" w:rsidR="00881780" w:rsidRPr="00404DA5" w:rsidRDefault="00881780" w:rsidP="006F4D8F">
            <w:pPr>
              <w:spacing w:line="276" w:lineRule="auto"/>
              <w:jc w:val="center"/>
              <w:rPr>
                <w:rFonts w:cs="Calibri"/>
                <w:color w:val="000000"/>
                <w:sz w:val="18"/>
                <w:szCs w:val="18"/>
              </w:rPr>
            </w:pPr>
            <w:r w:rsidRPr="00CE4130">
              <w:rPr>
                <w:rFonts w:cs="Calibri"/>
                <w:color w:val="000000"/>
                <w:sz w:val="18"/>
                <w:szCs w:val="18"/>
              </w:rPr>
              <w:t>2 217</w:t>
            </w:r>
          </w:p>
        </w:tc>
        <w:tc>
          <w:tcPr>
            <w:tcW w:w="499" w:type="pct"/>
            <w:shd w:val="clear" w:color="auto" w:fill="auto"/>
            <w:vAlign w:val="center"/>
          </w:tcPr>
          <w:p w14:paraId="06EAA8A0"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1 322</w:t>
            </w:r>
          </w:p>
        </w:tc>
        <w:tc>
          <w:tcPr>
            <w:tcW w:w="572" w:type="pct"/>
            <w:shd w:val="clear" w:color="auto" w:fill="auto"/>
            <w:vAlign w:val="center"/>
          </w:tcPr>
          <w:p w14:paraId="7353B85F" w14:textId="77777777" w:rsidR="00881780" w:rsidRPr="00404DA5" w:rsidRDefault="00881780" w:rsidP="006F4D8F">
            <w:pPr>
              <w:spacing w:line="276" w:lineRule="auto"/>
              <w:jc w:val="center"/>
              <w:rPr>
                <w:rFonts w:eastAsia="Calibri" w:cs="Calibri"/>
                <w:sz w:val="18"/>
                <w:szCs w:val="18"/>
              </w:rPr>
            </w:pPr>
            <w:r w:rsidRPr="00404DA5">
              <w:rPr>
                <w:rFonts w:cs="Calibri"/>
                <w:color w:val="000000"/>
                <w:sz w:val="18"/>
                <w:szCs w:val="18"/>
              </w:rPr>
              <w:t>167,7%</w:t>
            </w:r>
          </w:p>
        </w:tc>
        <w:tc>
          <w:tcPr>
            <w:tcW w:w="481" w:type="pct"/>
            <w:shd w:val="clear" w:color="auto" w:fill="auto"/>
            <w:vAlign w:val="center"/>
          </w:tcPr>
          <w:p w14:paraId="6DD501D4" w14:textId="77777777" w:rsidR="00881780" w:rsidRPr="00404DA5" w:rsidRDefault="00881780" w:rsidP="006F4D8F">
            <w:pPr>
              <w:spacing w:line="276" w:lineRule="auto"/>
              <w:jc w:val="center"/>
              <w:rPr>
                <w:rFonts w:eastAsia="Calibri" w:cs="Calibri"/>
                <w:sz w:val="18"/>
                <w:szCs w:val="18"/>
              </w:rPr>
            </w:pPr>
            <w:r w:rsidRPr="00404DA5">
              <w:rPr>
                <w:rFonts w:cs="Calibri"/>
                <w:sz w:val="18"/>
                <w:szCs w:val="18"/>
              </w:rPr>
              <w:t>2 938</w:t>
            </w:r>
          </w:p>
        </w:tc>
        <w:tc>
          <w:tcPr>
            <w:tcW w:w="447" w:type="pct"/>
            <w:shd w:val="clear" w:color="auto" w:fill="auto"/>
            <w:vAlign w:val="center"/>
          </w:tcPr>
          <w:p w14:paraId="1FB422D2" w14:textId="77777777" w:rsidR="00881780" w:rsidRPr="00404DA5" w:rsidRDefault="00881780" w:rsidP="006F4D8F">
            <w:pPr>
              <w:spacing w:line="276" w:lineRule="auto"/>
              <w:jc w:val="center"/>
              <w:rPr>
                <w:rFonts w:eastAsia="Calibri" w:cs="Calibri"/>
                <w:sz w:val="18"/>
                <w:szCs w:val="18"/>
              </w:rPr>
            </w:pPr>
            <w:r w:rsidRPr="00404DA5">
              <w:rPr>
                <w:rFonts w:eastAsia="Calibri" w:cs="Calibri"/>
                <w:sz w:val="18"/>
                <w:szCs w:val="18"/>
              </w:rPr>
              <w:t>75,5%</w:t>
            </w:r>
          </w:p>
        </w:tc>
        <w:tc>
          <w:tcPr>
            <w:tcW w:w="497" w:type="pct"/>
            <w:shd w:val="clear" w:color="auto" w:fill="auto"/>
            <w:vAlign w:val="center"/>
          </w:tcPr>
          <w:p w14:paraId="5CA88F0E" w14:textId="77777777" w:rsidR="00881780" w:rsidRPr="00404DA5" w:rsidRDefault="00881780" w:rsidP="006F4D8F">
            <w:pPr>
              <w:spacing w:line="276" w:lineRule="auto"/>
              <w:jc w:val="center"/>
              <w:rPr>
                <w:rFonts w:eastAsia="Calibri" w:cs="Calibri"/>
                <w:sz w:val="18"/>
                <w:szCs w:val="18"/>
              </w:rPr>
            </w:pPr>
            <w:r w:rsidRPr="00404DA5">
              <w:rPr>
                <w:rFonts w:eastAsia="Calibri" w:cs="Calibri"/>
                <w:sz w:val="18"/>
                <w:szCs w:val="18"/>
              </w:rPr>
              <w:t>83,9%</w:t>
            </w:r>
          </w:p>
        </w:tc>
      </w:tr>
      <w:tr w:rsidR="00881780" w:rsidRPr="003E46F9" w14:paraId="0555EAD6" w14:textId="77777777" w:rsidTr="006F4D8F">
        <w:tc>
          <w:tcPr>
            <w:tcW w:w="327" w:type="pct"/>
            <w:shd w:val="clear" w:color="auto" w:fill="auto"/>
            <w:vAlign w:val="center"/>
          </w:tcPr>
          <w:p w14:paraId="0C3E9236"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08v</w:t>
            </w:r>
          </w:p>
        </w:tc>
        <w:tc>
          <w:tcPr>
            <w:tcW w:w="482" w:type="pct"/>
            <w:shd w:val="clear" w:color="auto" w:fill="auto"/>
            <w:vAlign w:val="center"/>
          </w:tcPr>
          <w:p w14:paraId="577BD192"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wskaźnik produktu</w:t>
            </w:r>
          </w:p>
        </w:tc>
        <w:tc>
          <w:tcPr>
            <w:tcW w:w="824" w:type="pct"/>
            <w:shd w:val="clear" w:color="auto" w:fill="auto"/>
            <w:vAlign w:val="center"/>
          </w:tcPr>
          <w:p w14:paraId="4423B178" w14:textId="77777777" w:rsidR="00881780" w:rsidRPr="00404DA5" w:rsidRDefault="00881780" w:rsidP="006F4D8F">
            <w:pPr>
              <w:spacing w:line="276" w:lineRule="auto"/>
              <w:rPr>
                <w:rFonts w:cs="Calibri"/>
                <w:sz w:val="18"/>
                <w:szCs w:val="18"/>
              </w:rPr>
            </w:pPr>
            <w:r w:rsidRPr="00404DA5">
              <w:rPr>
                <w:rFonts w:cs="Calibri"/>
                <w:color w:val="000000"/>
                <w:sz w:val="18"/>
                <w:szCs w:val="18"/>
              </w:rPr>
              <w:t>Liczba osób pracujących objętych wsparciem</w:t>
            </w:r>
            <w:r w:rsidR="00E66B89">
              <w:rPr>
                <w:rFonts w:cs="Calibri"/>
                <w:color w:val="000000"/>
                <w:sz w:val="18"/>
                <w:szCs w:val="18"/>
              </w:rPr>
              <w:t xml:space="preserve"> w </w:t>
            </w:r>
            <w:r w:rsidRPr="00404DA5">
              <w:rPr>
                <w:rFonts w:cs="Calibri"/>
                <w:color w:val="000000"/>
                <w:sz w:val="18"/>
                <w:szCs w:val="18"/>
              </w:rPr>
              <w:t>programie (łącznie</w:t>
            </w:r>
            <w:r w:rsidR="00E66B89">
              <w:rPr>
                <w:rFonts w:cs="Calibri"/>
                <w:color w:val="000000"/>
                <w:sz w:val="18"/>
                <w:szCs w:val="18"/>
              </w:rPr>
              <w:t xml:space="preserve"> z </w:t>
            </w:r>
            <w:r w:rsidRPr="00404DA5">
              <w:rPr>
                <w:rFonts w:cs="Calibri"/>
                <w:color w:val="000000"/>
                <w:sz w:val="18"/>
                <w:szCs w:val="18"/>
              </w:rPr>
              <w:t>pracującymi na własny rachunek)</w:t>
            </w:r>
          </w:p>
        </w:tc>
        <w:tc>
          <w:tcPr>
            <w:tcW w:w="370" w:type="pct"/>
            <w:shd w:val="clear" w:color="auto" w:fill="auto"/>
            <w:vAlign w:val="center"/>
          </w:tcPr>
          <w:p w14:paraId="285C23DC"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osoby</w:t>
            </w:r>
          </w:p>
        </w:tc>
        <w:tc>
          <w:tcPr>
            <w:tcW w:w="500" w:type="pct"/>
            <w:vAlign w:val="center"/>
          </w:tcPr>
          <w:p w14:paraId="71D86B89" w14:textId="77777777" w:rsidR="00881780" w:rsidRPr="00404DA5" w:rsidRDefault="00881780" w:rsidP="006F4D8F">
            <w:pPr>
              <w:spacing w:line="276" w:lineRule="auto"/>
              <w:jc w:val="center"/>
              <w:rPr>
                <w:rFonts w:cs="Calibri"/>
                <w:color w:val="000000"/>
                <w:sz w:val="18"/>
                <w:szCs w:val="18"/>
              </w:rPr>
            </w:pPr>
            <w:r w:rsidRPr="00CE4130">
              <w:rPr>
                <w:rFonts w:cs="Calibri"/>
                <w:color w:val="000000"/>
                <w:sz w:val="18"/>
                <w:szCs w:val="18"/>
              </w:rPr>
              <w:t>4 726</w:t>
            </w:r>
          </w:p>
        </w:tc>
        <w:tc>
          <w:tcPr>
            <w:tcW w:w="499" w:type="pct"/>
            <w:shd w:val="clear" w:color="auto" w:fill="auto"/>
            <w:vAlign w:val="center"/>
          </w:tcPr>
          <w:p w14:paraId="16A264F4"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2 020</w:t>
            </w:r>
          </w:p>
        </w:tc>
        <w:tc>
          <w:tcPr>
            <w:tcW w:w="572" w:type="pct"/>
            <w:shd w:val="clear" w:color="auto" w:fill="auto"/>
            <w:vAlign w:val="center"/>
          </w:tcPr>
          <w:p w14:paraId="6F07939E"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233,9%</w:t>
            </w:r>
          </w:p>
        </w:tc>
        <w:tc>
          <w:tcPr>
            <w:tcW w:w="481" w:type="pct"/>
            <w:shd w:val="clear" w:color="auto" w:fill="auto"/>
            <w:vAlign w:val="center"/>
          </w:tcPr>
          <w:p w14:paraId="10B71055" w14:textId="77777777" w:rsidR="00881780" w:rsidRPr="00404DA5" w:rsidRDefault="00881780" w:rsidP="006F4D8F">
            <w:pPr>
              <w:spacing w:line="276" w:lineRule="auto"/>
              <w:jc w:val="center"/>
              <w:rPr>
                <w:rFonts w:cs="Calibri"/>
                <w:sz w:val="18"/>
                <w:szCs w:val="18"/>
              </w:rPr>
            </w:pPr>
            <w:r w:rsidRPr="00404DA5">
              <w:rPr>
                <w:rFonts w:cs="Calibri"/>
                <w:sz w:val="18"/>
                <w:szCs w:val="18"/>
              </w:rPr>
              <w:t>17 061</w:t>
            </w:r>
          </w:p>
        </w:tc>
        <w:tc>
          <w:tcPr>
            <w:tcW w:w="447" w:type="pct"/>
            <w:shd w:val="clear" w:color="auto" w:fill="auto"/>
            <w:vAlign w:val="center"/>
          </w:tcPr>
          <w:p w14:paraId="59FA5123" w14:textId="77777777" w:rsidR="00881780" w:rsidRPr="00404DA5" w:rsidRDefault="00881780" w:rsidP="006F4D8F">
            <w:pPr>
              <w:spacing w:line="276" w:lineRule="auto"/>
              <w:jc w:val="center"/>
              <w:rPr>
                <w:rFonts w:cs="Calibri"/>
                <w:sz w:val="18"/>
                <w:szCs w:val="18"/>
              </w:rPr>
            </w:pPr>
            <w:r w:rsidRPr="00404DA5">
              <w:rPr>
                <w:rFonts w:cs="Calibri"/>
                <w:sz w:val="18"/>
                <w:szCs w:val="18"/>
              </w:rPr>
              <w:t>27,6%</w:t>
            </w:r>
          </w:p>
        </w:tc>
        <w:tc>
          <w:tcPr>
            <w:tcW w:w="497" w:type="pct"/>
            <w:shd w:val="clear" w:color="auto" w:fill="auto"/>
            <w:vAlign w:val="center"/>
          </w:tcPr>
          <w:p w14:paraId="730797C2" w14:textId="77777777" w:rsidR="00881780" w:rsidRPr="00404DA5" w:rsidRDefault="00881780" w:rsidP="006F4D8F">
            <w:pPr>
              <w:spacing w:line="276" w:lineRule="auto"/>
              <w:jc w:val="center"/>
              <w:rPr>
                <w:rFonts w:cs="Calibri"/>
                <w:sz w:val="18"/>
                <w:szCs w:val="18"/>
              </w:rPr>
            </w:pPr>
            <w:r w:rsidRPr="00404DA5">
              <w:rPr>
                <w:rFonts w:cs="Calibri"/>
                <w:sz w:val="18"/>
                <w:szCs w:val="18"/>
              </w:rPr>
              <w:t>92,7%</w:t>
            </w:r>
          </w:p>
        </w:tc>
      </w:tr>
      <w:tr w:rsidR="00881780" w:rsidRPr="003E46F9" w14:paraId="0461415C" w14:textId="77777777" w:rsidTr="006F4D8F">
        <w:tc>
          <w:tcPr>
            <w:tcW w:w="327" w:type="pct"/>
            <w:shd w:val="clear" w:color="auto" w:fill="auto"/>
            <w:vAlign w:val="center"/>
          </w:tcPr>
          <w:p w14:paraId="4C1EC2DF"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08i, 08iii, 08iv, 08v, 08vi</w:t>
            </w:r>
          </w:p>
        </w:tc>
        <w:tc>
          <w:tcPr>
            <w:tcW w:w="482" w:type="pct"/>
            <w:shd w:val="clear" w:color="auto" w:fill="auto"/>
            <w:vAlign w:val="center"/>
          </w:tcPr>
          <w:p w14:paraId="5326C884"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wskaźnik postępu finansowego</w:t>
            </w:r>
          </w:p>
        </w:tc>
        <w:tc>
          <w:tcPr>
            <w:tcW w:w="824" w:type="pct"/>
            <w:shd w:val="clear" w:color="auto" w:fill="auto"/>
            <w:vAlign w:val="center"/>
          </w:tcPr>
          <w:p w14:paraId="11E75230" w14:textId="77777777" w:rsidR="00881780" w:rsidRPr="00404DA5" w:rsidRDefault="00881780" w:rsidP="006F4D8F">
            <w:pPr>
              <w:spacing w:line="276" w:lineRule="auto"/>
              <w:rPr>
                <w:rFonts w:cs="Calibri"/>
                <w:sz w:val="18"/>
                <w:szCs w:val="18"/>
              </w:rPr>
            </w:pPr>
            <w:r w:rsidRPr="00404DA5">
              <w:rPr>
                <w:rFonts w:cs="Calibri"/>
                <w:color w:val="000000"/>
                <w:sz w:val="18"/>
                <w:szCs w:val="18"/>
              </w:rPr>
              <w:t>Całkowita kwota certyfikowanych wydatków kwalifikowanych</w:t>
            </w:r>
          </w:p>
        </w:tc>
        <w:tc>
          <w:tcPr>
            <w:tcW w:w="370" w:type="pct"/>
            <w:shd w:val="clear" w:color="auto" w:fill="auto"/>
            <w:vAlign w:val="center"/>
          </w:tcPr>
          <w:p w14:paraId="7248B3EE"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EUR</w:t>
            </w:r>
          </w:p>
        </w:tc>
        <w:tc>
          <w:tcPr>
            <w:tcW w:w="500" w:type="pct"/>
            <w:vAlign w:val="center"/>
          </w:tcPr>
          <w:p w14:paraId="6A2BB003" w14:textId="77777777" w:rsidR="00881780" w:rsidRPr="00404DA5" w:rsidRDefault="00881780" w:rsidP="006F4D8F">
            <w:pPr>
              <w:spacing w:line="276" w:lineRule="auto"/>
              <w:jc w:val="center"/>
              <w:rPr>
                <w:rFonts w:cs="Calibri"/>
                <w:color w:val="000000"/>
                <w:sz w:val="18"/>
                <w:szCs w:val="18"/>
              </w:rPr>
            </w:pPr>
            <w:r w:rsidRPr="00CE4130">
              <w:rPr>
                <w:rFonts w:cs="Calibri"/>
                <w:color w:val="000000"/>
                <w:sz w:val="18"/>
                <w:szCs w:val="18"/>
              </w:rPr>
              <w:t>39 928 024</w:t>
            </w:r>
          </w:p>
        </w:tc>
        <w:tc>
          <w:tcPr>
            <w:tcW w:w="499" w:type="pct"/>
            <w:shd w:val="clear" w:color="auto" w:fill="auto"/>
            <w:vAlign w:val="center"/>
          </w:tcPr>
          <w:p w14:paraId="290C5B5A"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28 249 412</w:t>
            </w:r>
          </w:p>
        </w:tc>
        <w:tc>
          <w:tcPr>
            <w:tcW w:w="572" w:type="pct"/>
            <w:shd w:val="clear" w:color="auto" w:fill="auto"/>
            <w:vAlign w:val="center"/>
          </w:tcPr>
          <w:p w14:paraId="5A1953A0" w14:textId="77777777" w:rsidR="00881780" w:rsidRPr="00404DA5" w:rsidRDefault="00881780" w:rsidP="006F4D8F">
            <w:pPr>
              <w:spacing w:line="276" w:lineRule="auto"/>
              <w:jc w:val="center"/>
              <w:rPr>
                <w:rFonts w:cs="Calibri"/>
                <w:sz w:val="18"/>
                <w:szCs w:val="18"/>
              </w:rPr>
            </w:pPr>
            <w:r w:rsidRPr="00404DA5">
              <w:rPr>
                <w:rFonts w:cs="Calibri"/>
                <w:color w:val="000000"/>
                <w:sz w:val="18"/>
                <w:szCs w:val="18"/>
              </w:rPr>
              <w:t>141,3%</w:t>
            </w:r>
          </w:p>
        </w:tc>
        <w:tc>
          <w:tcPr>
            <w:tcW w:w="481" w:type="pct"/>
            <w:shd w:val="clear" w:color="auto" w:fill="auto"/>
            <w:vAlign w:val="center"/>
          </w:tcPr>
          <w:p w14:paraId="18AA095A" w14:textId="77777777" w:rsidR="00881780" w:rsidRPr="00404DA5" w:rsidRDefault="00881780" w:rsidP="006F4D8F">
            <w:pPr>
              <w:spacing w:line="276" w:lineRule="auto"/>
              <w:jc w:val="center"/>
              <w:rPr>
                <w:rFonts w:cs="Calibri"/>
                <w:sz w:val="18"/>
                <w:szCs w:val="18"/>
              </w:rPr>
            </w:pPr>
            <w:r>
              <w:rPr>
                <w:rFonts w:cs="Calibri"/>
                <w:sz w:val="18"/>
                <w:szCs w:val="18"/>
              </w:rPr>
              <w:t>204 705 833</w:t>
            </w:r>
          </w:p>
        </w:tc>
        <w:tc>
          <w:tcPr>
            <w:tcW w:w="447" w:type="pct"/>
            <w:shd w:val="clear" w:color="auto" w:fill="auto"/>
            <w:vAlign w:val="center"/>
          </w:tcPr>
          <w:p w14:paraId="4E358E92" w14:textId="77777777" w:rsidR="00881780" w:rsidRPr="00404DA5" w:rsidRDefault="00881780" w:rsidP="006F4D8F">
            <w:pPr>
              <w:spacing w:line="276" w:lineRule="auto"/>
              <w:jc w:val="center"/>
              <w:rPr>
                <w:rFonts w:cs="Calibri"/>
                <w:sz w:val="18"/>
                <w:szCs w:val="18"/>
              </w:rPr>
            </w:pPr>
            <w:r>
              <w:rPr>
                <w:rFonts w:cs="Calibri"/>
                <w:sz w:val="18"/>
                <w:szCs w:val="18"/>
              </w:rPr>
              <w:t>19,5%</w:t>
            </w:r>
          </w:p>
        </w:tc>
        <w:tc>
          <w:tcPr>
            <w:tcW w:w="497" w:type="pct"/>
            <w:shd w:val="clear" w:color="auto" w:fill="auto"/>
            <w:vAlign w:val="center"/>
          </w:tcPr>
          <w:p w14:paraId="77AB5ED0" w14:textId="77777777" w:rsidR="00881780" w:rsidRPr="00404DA5" w:rsidRDefault="00881780" w:rsidP="006F4D8F">
            <w:pPr>
              <w:spacing w:line="276" w:lineRule="auto"/>
              <w:jc w:val="center"/>
              <w:rPr>
                <w:rFonts w:cs="Calibri"/>
                <w:sz w:val="18"/>
                <w:szCs w:val="18"/>
              </w:rPr>
            </w:pPr>
            <w:r>
              <w:rPr>
                <w:rFonts w:cs="Calibri"/>
                <w:sz w:val="18"/>
                <w:szCs w:val="18"/>
              </w:rPr>
              <w:t>48,6%</w:t>
            </w:r>
          </w:p>
        </w:tc>
      </w:tr>
    </w:tbl>
    <w:p w14:paraId="22151A33"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informacja kwartalna za IV kw. 2018 r., obliczenia % realizacji wartości docelowej RW na podstawie danych SL2014</w:t>
      </w:r>
      <w:r w:rsidR="00E66B89" w:rsidRPr="00EE66C6">
        <w:rPr>
          <w:i/>
          <w:sz w:val="18"/>
          <w:szCs w:val="20"/>
        </w:rPr>
        <w:t xml:space="preserve"> z </w:t>
      </w:r>
      <w:r w:rsidRPr="00EE66C6">
        <w:rPr>
          <w:i/>
          <w:sz w:val="18"/>
          <w:szCs w:val="20"/>
        </w:rPr>
        <w:t>dnia 07.01.2019 r.</w:t>
      </w:r>
    </w:p>
    <w:p w14:paraId="1E9ADDB6" w14:textId="77777777" w:rsidR="00881780" w:rsidRPr="00404DA5" w:rsidRDefault="00881780" w:rsidP="00881780">
      <w:pPr>
        <w:spacing w:line="276" w:lineRule="auto"/>
        <w:rPr>
          <w:rFonts w:eastAsia="Calibri" w:cs="Calibri"/>
          <w:i/>
          <w:szCs w:val="20"/>
          <w:lang w:eastAsia="en-US"/>
        </w:rPr>
      </w:pPr>
      <w:r w:rsidRPr="00404DA5">
        <w:rPr>
          <w:rFonts w:eastAsia="Calibri" w:cs="Calibri"/>
          <w:i/>
          <w:szCs w:val="20"/>
          <w:lang w:eastAsia="en-US"/>
        </w:rPr>
        <w:t xml:space="preserve">Wskaźnik Całkowita kwota certyfikowanych wydatków kwalifikowalnych </w:t>
      </w:r>
    </w:p>
    <w:p w14:paraId="36385806" w14:textId="77777777" w:rsidR="00881780" w:rsidRPr="00D421E1" w:rsidRDefault="00881780" w:rsidP="00881780">
      <w:pPr>
        <w:spacing w:line="276" w:lineRule="auto"/>
        <w:rPr>
          <w:rFonts w:cs="Calibri"/>
          <w:i/>
          <w:szCs w:val="20"/>
        </w:rPr>
      </w:pPr>
      <w:bookmarkStart w:id="221" w:name="_Hlk3325854"/>
      <w:r w:rsidRPr="00404DA5">
        <w:rPr>
          <w:rFonts w:eastAsia="Calibri" w:cs="Calibri"/>
          <w:szCs w:val="20"/>
          <w:u w:val="single"/>
          <w:lang w:eastAsia="en-US"/>
        </w:rPr>
        <w:t>Wskaźnik postępu finansowego</w:t>
      </w:r>
      <w:r w:rsidRPr="00404DA5">
        <w:rPr>
          <w:rFonts w:eastAsia="Calibri" w:cs="Calibri"/>
          <w:szCs w:val="20"/>
          <w:lang w:eastAsia="en-US"/>
        </w:rPr>
        <w:t xml:space="preserve"> dla PI 8i, 8iii, 8iv, 8v, 8vi,</w:t>
      </w:r>
      <w:r w:rsidR="00E66B89">
        <w:rPr>
          <w:rFonts w:eastAsia="Calibri" w:cs="Calibri"/>
          <w:szCs w:val="20"/>
          <w:lang w:eastAsia="en-US"/>
        </w:rPr>
        <w:t xml:space="preserve"> w </w:t>
      </w:r>
      <w:r w:rsidRPr="00404DA5">
        <w:rPr>
          <w:rFonts w:eastAsia="Calibri" w:cs="Calibri"/>
          <w:szCs w:val="20"/>
          <w:lang w:eastAsia="en-US"/>
        </w:rPr>
        <w:t xml:space="preserve">odniesieniu </w:t>
      </w:r>
      <w:r w:rsidRPr="00404DA5">
        <w:rPr>
          <w:rFonts w:eastAsia="Calibri" w:cs="Calibri"/>
          <w:szCs w:val="20"/>
          <w:u w:val="single"/>
          <w:lang w:eastAsia="en-US"/>
        </w:rPr>
        <w:t>do wartości pośredniej</w:t>
      </w:r>
      <w:r w:rsidRPr="00404DA5">
        <w:rPr>
          <w:rFonts w:eastAsia="Calibri" w:cs="Calibri"/>
          <w:szCs w:val="20"/>
          <w:lang w:eastAsia="en-US"/>
        </w:rPr>
        <w:t xml:space="preserve"> wyznaczonej na rok 2018, został osiągnięty na poziomie 141,3%. Odnosząc ten wynik </w:t>
      </w:r>
      <w:r w:rsidRPr="00404DA5">
        <w:rPr>
          <w:rFonts w:eastAsia="Calibri" w:cs="Calibri"/>
          <w:szCs w:val="20"/>
          <w:u w:val="single"/>
          <w:lang w:eastAsia="en-US"/>
        </w:rPr>
        <w:t>do postępu rzeczowego</w:t>
      </w:r>
      <w:r w:rsidR="00E66B89">
        <w:rPr>
          <w:rFonts w:eastAsia="Calibri" w:cs="Calibri"/>
          <w:szCs w:val="20"/>
          <w:u w:val="single"/>
          <w:lang w:eastAsia="en-US"/>
        </w:rPr>
        <w:t xml:space="preserve"> w </w:t>
      </w:r>
      <w:r w:rsidRPr="00404DA5">
        <w:rPr>
          <w:rFonts w:eastAsia="Calibri" w:cs="Calibri"/>
          <w:szCs w:val="20"/>
          <w:u w:val="single"/>
          <w:lang w:eastAsia="en-US"/>
        </w:rPr>
        <w:t>zakresie realizacji celu pośredniego</w:t>
      </w:r>
      <w:r w:rsidRPr="00404DA5">
        <w:rPr>
          <w:rFonts w:eastAsia="Calibri" w:cs="Calibri"/>
          <w:szCs w:val="20"/>
          <w:lang w:eastAsia="en-US"/>
        </w:rPr>
        <w:t xml:space="preserve"> mierzonego wskaźnikami </w:t>
      </w:r>
      <w:bookmarkEnd w:id="221"/>
      <w:r w:rsidRPr="00404DA5">
        <w:rPr>
          <w:rFonts w:eastAsia="Calibri" w:cs="Calibri"/>
          <w:szCs w:val="20"/>
          <w:lang w:eastAsia="en-US"/>
        </w:rPr>
        <w:t xml:space="preserve">produktu: </w:t>
      </w:r>
      <w:bookmarkStart w:id="222" w:name="_Hlk536373482"/>
      <w:r w:rsidRPr="00404DA5">
        <w:rPr>
          <w:rFonts w:eastAsia="Calibri" w:cs="Calibri"/>
          <w:i/>
          <w:szCs w:val="20"/>
          <w:lang w:eastAsia="en-US"/>
        </w:rPr>
        <w:t>Liczba osób bezrobotnych (łącznie</w:t>
      </w:r>
      <w:r w:rsidR="00E66B89">
        <w:rPr>
          <w:rFonts w:eastAsia="Calibri" w:cs="Calibri"/>
          <w:i/>
          <w:szCs w:val="20"/>
          <w:lang w:eastAsia="en-US"/>
        </w:rPr>
        <w:t xml:space="preserve"> z </w:t>
      </w:r>
      <w:r w:rsidRPr="00404DA5">
        <w:rPr>
          <w:rFonts w:eastAsia="Calibri" w:cs="Calibri"/>
          <w:i/>
          <w:szCs w:val="20"/>
          <w:lang w:eastAsia="en-US"/>
        </w:rPr>
        <w:t>długotrwale bezrobotnymi) objętych wsparciem</w:t>
      </w:r>
      <w:r w:rsidR="00E66B89">
        <w:rPr>
          <w:rFonts w:eastAsia="Calibri" w:cs="Calibri"/>
          <w:i/>
          <w:szCs w:val="20"/>
          <w:lang w:eastAsia="en-US"/>
        </w:rPr>
        <w:t xml:space="preserve"> w </w:t>
      </w:r>
      <w:r w:rsidRPr="00404DA5">
        <w:rPr>
          <w:rFonts w:eastAsia="Calibri" w:cs="Calibri"/>
          <w:i/>
          <w:szCs w:val="20"/>
          <w:lang w:eastAsia="en-US"/>
        </w:rPr>
        <w:t>programie</w:t>
      </w:r>
      <w:r w:rsidRPr="00404DA5">
        <w:rPr>
          <w:rFonts w:eastAsia="Calibri" w:cs="Calibri"/>
          <w:szCs w:val="20"/>
          <w:lang w:eastAsia="en-US"/>
        </w:rPr>
        <w:t xml:space="preserve"> </w:t>
      </w:r>
      <w:bookmarkStart w:id="223" w:name="_Hlk3326835"/>
      <w:bookmarkEnd w:id="222"/>
      <w:r w:rsidRPr="00404DA5">
        <w:rPr>
          <w:rFonts w:eastAsia="Calibri" w:cs="Calibri"/>
          <w:szCs w:val="20"/>
          <w:lang w:eastAsia="en-US"/>
        </w:rPr>
        <w:t xml:space="preserve">oraz </w:t>
      </w:r>
      <w:r w:rsidRPr="00404DA5">
        <w:rPr>
          <w:rFonts w:eastAsia="Calibri" w:cs="Calibri"/>
          <w:i/>
          <w:szCs w:val="20"/>
          <w:lang w:eastAsia="en-US"/>
        </w:rPr>
        <w:t>Liczba osób, które otrzymały bezzwrotne środki na podjęcie działalności gospodarczej</w:t>
      </w:r>
      <w:r w:rsidR="00E66B89">
        <w:rPr>
          <w:rFonts w:eastAsia="Calibri" w:cs="Calibri"/>
          <w:i/>
          <w:szCs w:val="20"/>
          <w:lang w:eastAsia="en-US"/>
        </w:rPr>
        <w:t xml:space="preserve"> w </w:t>
      </w:r>
      <w:r w:rsidRPr="00404DA5">
        <w:rPr>
          <w:rFonts w:eastAsia="Calibri" w:cs="Calibri"/>
          <w:i/>
          <w:szCs w:val="20"/>
          <w:lang w:eastAsia="en-US"/>
        </w:rPr>
        <w:t xml:space="preserve">programie </w:t>
      </w:r>
      <w:bookmarkEnd w:id="223"/>
      <w:r w:rsidRPr="00404DA5">
        <w:rPr>
          <w:rFonts w:eastAsia="Calibri" w:cs="Calibri"/>
          <w:szCs w:val="20"/>
          <w:lang w:eastAsia="en-US"/>
        </w:rPr>
        <w:noBreakHyphen/>
        <w:t xml:space="preserve"> należy wnioskować</w:t>
      </w:r>
      <w:r w:rsidR="00E66B89">
        <w:rPr>
          <w:rFonts w:eastAsia="Calibri" w:cs="Calibri"/>
          <w:szCs w:val="20"/>
          <w:lang w:eastAsia="en-US"/>
        </w:rPr>
        <w:t xml:space="preserve"> o </w:t>
      </w:r>
      <w:r w:rsidRPr="00404DA5">
        <w:rPr>
          <w:rFonts w:eastAsia="Calibri" w:cs="Calibri"/>
          <w:szCs w:val="20"/>
          <w:lang w:eastAsia="en-US"/>
        </w:rPr>
        <w:t>adekwatności postępu rzeczowego do finansowego (</w:t>
      </w:r>
      <w:r w:rsidRPr="00D421E1">
        <w:rPr>
          <w:rFonts w:cs="Calibri"/>
          <w:szCs w:val="20"/>
        </w:rPr>
        <w:t xml:space="preserve">poziom osiągnięcia wskaźnika finansowego należy uznać za analogiczny do poziomu realizacji wskaźnika produktu </w:t>
      </w:r>
      <w:r w:rsidRPr="00D421E1">
        <w:rPr>
          <w:rFonts w:cs="Calibri"/>
          <w:i/>
          <w:szCs w:val="20"/>
        </w:rPr>
        <w:t>Liczba osób bezrobotnych (łącznie</w:t>
      </w:r>
      <w:r w:rsidR="00E66B89">
        <w:rPr>
          <w:rFonts w:cs="Calibri"/>
          <w:i/>
          <w:szCs w:val="20"/>
        </w:rPr>
        <w:t xml:space="preserve"> z </w:t>
      </w:r>
      <w:r w:rsidRPr="00D421E1">
        <w:rPr>
          <w:rFonts w:cs="Calibri"/>
          <w:i/>
          <w:szCs w:val="20"/>
        </w:rPr>
        <w:t>długotrwale bezrobotnymi) objętych wsparciem</w:t>
      </w:r>
      <w:r w:rsidR="00E66B89">
        <w:rPr>
          <w:rFonts w:cs="Calibri"/>
          <w:i/>
          <w:szCs w:val="20"/>
        </w:rPr>
        <w:t xml:space="preserve"> w </w:t>
      </w:r>
      <w:r w:rsidRPr="00D421E1">
        <w:rPr>
          <w:rFonts w:cs="Calibri"/>
          <w:i/>
          <w:szCs w:val="20"/>
        </w:rPr>
        <w:t>programie</w:t>
      </w:r>
      <w:r w:rsidRPr="00D421E1">
        <w:rPr>
          <w:rFonts w:cs="Calibri"/>
          <w:szCs w:val="20"/>
        </w:rPr>
        <w:t xml:space="preserve">; na zbliżonym poziomie kształtuje się </w:t>
      </w:r>
      <w:r>
        <w:rPr>
          <w:rFonts w:cs="Calibri"/>
          <w:szCs w:val="20"/>
        </w:rPr>
        <w:t>osiągnięta wartość</w:t>
      </w:r>
      <w:r w:rsidRPr="00D421E1">
        <w:rPr>
          <w:rFonts w:cs="Calibri"/>
          <w:szCs w:val="20"/>
        </w:rPr>
        <w:t xml:space="preserve"> wskaźnika finansowego oraz wskaźnika produktu </w:t>
      </w:r>
      <w:r w:rsidRPr="00D421E1">
        <w:rPr>
          <w:rFonts w:cs="Calibri"/>
          <w:i/>
          <w:szCs w:val="20"/>
        </w:rPr>
        <w:t>Liczba osób, które otrzymały bezzwrotne środki na podjęcie działalności gospodarczej</w:t>
      </w:r>
      <w:r w:rsidR="00E66B89">
        <w:rPr>
          <w:rFonts w:cs="Calibri"/>
          <w:i/>
          <w:szCs w:val="20"/>
        </w:rPr>
        <w:t xml:space="preserve"> w </w:t>
      </w:r>
      <w:r w:rsidRPr="00D421E1">
        <w:rPr>
          <w:rFonts w:cs="Calibri"/>
          <w:i/>
          <w:szCs w:val="20"/>
        </w:rPr>
        <w:t>programie).</w:t>
      </w:r>
    </w:p>
    <w:p w14:paraId="2A95ADE8" w14:textId="77777777" w:rsidR="00881780" w:rsidRPr="00404DA5" w:rsidRDefault="00881780" w:rsidP="00881780">
      <w:pPr>
        <w:spacing w:line="276" w:lineRule="auto"/>
        <w:rPr>
          <w:rFonts w:eastAsia="Calibri" w:cs="Calibri"/>
          <w:szCs w:val="20"/>
          <w:lang w:eastAsia="en-US"/>
        </w:rPr>
      </w:pPr>
      <w:r w:rsidRPr="00404DA5">
        <w:rPr>
          <w:rFonts w:eastAsia="Calibri" w:cs="Calibri"/>
          <w:szCs w:val="20"/>
          <w:lang w:eastAsia="en-US"/>
        </w:rPr>
        <w:t xml:space="preserve">W przypadku wskaźnika produktu: </w:t>
      </w:r>
      <w:r w:rsidRPr="00404DA5">
        <w:rPr>
          <w:rFonts w:eastAsia="Calibri" w:cs="Calibri"/>
          <w:i/>
          <w:szCs w:val="20"/>
          <w:lang w:eastAsia="en-US"/>
        </w:rPr>
        <w:t>Liczba osób pracujących objętych wsparciem</w:t>
      </w:r>
      <w:r w:rsidR="00E66B89">
        <w:rPr>
          <w:rFonts w:eastAsia="Calibri" w:cs="Calibri"/>
          <w:i/>
          <w:szCs w:val="20"/>
          <w:lang w:eastAsia="en-US"/>
        </w:rPr>
        <w:t xml:space="preserve"> w </w:t>
      </w:r>
      <w:r w:rsidRPr="00404DA5">
        <w:rPr>
          <w:rFonts w:eastAsia="Calibri" w:cs="Calibri"/>
          <w:i/>
          <w:szCs w:val="20"/>
          <w:lang w:eastAsia="en-US"/>
        </w:rPr>
        <w:t>programie (łącznie</w:t>
      </w:r>
      <w:r w:rsidR="00E66B89">
        <w:rPr>
          <w:rFonts w:eastAsia="Calibri" w:cs="Calibri"/>
          <w:i/>
          <w:szCs w:val="20"/>
          <w:lang w:eastAsia="en-US"/>
        </w:rPr>
        <w:t xml:space="preserve"> z </w:t>
      </w:r>
      <w:r w:rsidRPr="00404DA5">
        <w:rPr>
          <w:rFonts w:eastAsia="Calibri" w:cs="Calibri"/>
          <w:i/>
          <w:szCs w:val="20"/>
          <w:lang w:eastAsia="en-US"/>
        </w:rPr>
        <w:t>pracującymi na własny rachunek)</w:t>
      </w:r>
      <w:r w:rsidRPr="00404DA5">
        <w:rPr>
          <w:rFonts w:eastAsia="Calibri" w:cs="Calibri"/>
          <w:szCs w:val="20"/>
          <w:lang w:eastAsia="en-US"/>
        </w:rPr>
        <w:t xml:space="preserve"> obserwujemy wyraźnie wyższy – niż dla wskaźnika finansowego </w:t>
      </w:r>
      <w:r w:rsidRPr="00404DA5">
        <w:rPr>
          <w:rFonts w:eastAsia="Calibri" w:cs="Calibri"/>
          <w:szCs w:val="20"/>
          <w:lang w:eastAsia="en-US"/>
        </w:rPr>
        <w:noBreakHyphen/>
        <w:t xml:space="preserve"> poziom jego realizacji. Wartość wskaźnika (określona na rok 2018) została osiągnięta przy </w:t>
      </w:r>
      <w:r w:rsidRPr="00404DA5">
        <w:rPr>
          <w:rFonts w:eastAsia="Calibri" w:cs="Calibri"/>
          <w:szCs w:val="20"/>
          <w:lang w:eastAsia="en-US"/>
        </w:rPr>
        <w:lastRenderedPageBreak/>
        <w:t>kosztach niższych niż pierwotnie zakładano, realizacja celu pośredniego przekracza założoną wartość wskaźnika ponad dwukrotnie, podczas gdy wskaźnik finansowy nie został przekroczony tak wyraźnie.</w:t>
      </w:r>
    </w:p>
    <w:p w14:paraId="4B3D5AF2" w14:textId="77777777" w:rsidR="00881780" w:rsidRPr="00D421E1" w:rsidRDefault="00881780" w:rsidP="00881780">
      <w:pPr>
        <w:spacing w:line="276" w:lineRule="auto"/>
        <w:rPr>
          <w:rFonts w:cs="Calibri"/>
          <w:szCs w:val="20"/>
        </w:rPr>
      </w:pPr>
      <w:r w:rsidRPr="00404DA5">
        <w:rPr>
          <w:rFonts w:eastAsia="Calibri" w:cs="Calibri"/>
          <w:szCs w:val="20"/>
          <w:lang w:eastAsia="en-US"/>
        </w:rPr>
        <w:t>Wskaźnik postępu finansowego</w:t>
      </w:r>
      <w:r w:rsidR="00E66B89">
        <w:rPr>
          <w:rFonts w:eastAsia="Calibri" w:cs="Calibri"/>
          <w:szCs w:val="20"/>
          <w:lang w:eastAsia="en-US"/>
        </w:rPr>
        <w:t xml:space="preserve"> w </w:t>
      </w:r>
      <w:r w:rsidRPr="00404DA5">
        <w:rPr>
          <w:rFonts w:eastAsia="Calibri" w:cs="Calibri"/>
          <w:szCs w:val="20"/>
          <w:lang w:eastAsia="en-US"/>
        </w:rPr>
        <w:t xml:space="preserve">odniesieniu </w:t>
      </w:r>
      <w:r w:rsidRPr="00404DA5">
        <w:rPr>
          <w:rFonts w:eastAsia="Calibri" w:cs="Calibri"/>
          <w:szCs w:val="20"/>
          <w:u w:val="single"/>
          <w:lang w:eastAsia="en-US"/>
        </w:rPr>
        <w:t>do wartości końcowej wyznaczonej na rok 2023</w:t>
      </w:r>
      <w:r w:rsidRPr="00404DA5">
        <w:rPr>
          <w:rFonts w:eastAsia="Calibri" w:cs="Calibri"/>
          <w:szCs w:val="20"/>
          <w:lang w:eastAsia="en-US"/>
        </w:rPr>
        <w:t xml:space="preserve">, został osiągnięty na poziomie </w:t>
      </w:r>
      <w:r>
        <w:rPr>
          <w:rFonts w:eastAsia="Calibri" w:cs="Calibri"/>
          <w:szCs w:val="20"/>
          <w:lang w:eastAsia="en-US"/>
        </w:rPr>
        <w:t>48,6</w:t>
      </w:r>
      <w:r w:rsidRPr="00404DA5">
        <w:rPr>
          <w:rFonts w:eastAsia="Calibri" w:cs="Calibri"/>
          <w:szCs w:val="20"/>
          <w:lang w:eastAsia="en-US"/>
        </w:rPr>
        <w:t xml:space="preserve">%. Odnosząc ten wynik </w:t>
      </w:r>
      <w:r w:rsidRPr="00404DA5">
        <w:rPr>
          <w:rFonts w:eastAsia="Calibri" w:cs="Calibri"/>
          <w:szCs w:val="20"/>
          <w:u w:val="single"/>
          <w:lang w:eastAsia="en-US"/>
        </w:rPr>
        <w:t>do postępu rzeczowego</w:t>
      </w:r>
      <w:r w:rsidR="00E66B89">
        <w:rPr>
          <w:rFonts w:eastAsia="Calibri" w:cs="Calibri"/>
          <w:szCs w:val="20"/>
          <w:u w:val="single"/>
          <w:lang w:eastAsia="en-US"/>
        </w:rPr>
        <w:t xml:space="preserve"> w </w:t>
      </w:r>
      <w:r w:rsidRPr="00404DA5">
        <w:rPr>
          <w:rFonts w:eastAsia="Calibri" w:cs="Calibri"/>
          <w:szCs w:val="20"/>
          <w:u w:val="single"/>
          <w:lang w:eastAsia="en-US"/>
        </w:rPr>
        <w:t>zakresie realizacji rzeczowych celów końcowych Programu</w:t>
      </w:r>
      <w:r w:rsidRPr="00404DA5">
        <w:rPr>
          <w:rFonts w:eastAsia="Calibri" w:cs="Calibri"/>
          <w:szCs w:val="20"/>
          <w:lang w:eastAsia="en-US"/>
        </w:rPr>
        <w:t xml:space="preserve">, ponownie obserwujemy względną zgodność między poziomem </w:t>
      </w:r>
      <w:r w:rsidRPr="00D421E1">
        <w:rPr>
          <w:rFonts w:cs="Calibri"/>
          <w:szCs w:val="20"/>
        </w:rPr>
        <w:t>wykonania wskaźnika finansowego</w:t>
      </w:r>
      <w:r w:rsidR="00E66B89">
        <w:rPr>
          <w:rFonts w:cs="Calibri"/>
          <w:szCs w:val="20"/>
        </w:rPr>
        <w:t xml:space="preserve"> a </w:t>
      </w:r>
      <w:r w:rsidRPr="00D421E1">
        <w:rPr>
          <w:rFonts w:cs="Calibri"/>
          <w:szCs w:val="20"/>
        </w:rPr>
        <w:t xml:space="preserve">prognozowanym (wg UoD) poziomem </w:t>
      </w:r>
      <w:r>
        <w:rPr>
          <w:rFonts w:cs="Calibri"/>
          <w:szCs w:val="20"/>
        </w:rPr>
        <w:t>osiągnięcia wartości</w:t>
      </w:r>
      <w:r w:rsidRPr="00D421E1">
        <w:rPr>
          <w:rFonts w:cs="Calibri"/>
          <w:szCs w:val="20"/>
        </w:rPr>
        <w:t xml:space="preserve"> wskaźnik</w:t>
      </w:r>
      <w:r>
        <w:rPr>
          <w:rFonts w:cs="Calibri"/>
          <w:szCs w:val="20"/>
        </w:rPr>
        <w:t>a</w:t>
      </w:r>
      <w:r w:rsidRPr="00D421E1">
        <w:rPr>
          <w:rFonts w:cs="Calibri"/>
          <w:szCs w:val="20"/>
        </w:rPr>
        <w:t xml:space="preserve"> produktu: </w:t>
      </w:r>
      <w:r w:rsidRPr="00D421E1">
        <w:rPr>
          <w:rFonts w:cs="Calibri"/>
          <w:i/>
          <w:szCs w:val="20"/>
        </w:rPr>
        <w:t>Liczba osób bezrobotnych (łącznie</w:t>
      </w:r>
      <w:r w:rsidR="00E66B89">
        <w:rPr>
          <w:rFonts w:cs="Calibri"/>
          <w:i/>
          <w:szCs w:val="20"/>
        </w:rPr>
        <w:t xml:space="preserve"> z </w:t>
      </w:r>
      <w:r w:rsidRPr="00D421E1">
        <w:rPr>
          <w:rFonts w:cs="Calibri"/>
          <w:i/>
          <w:szCs w:val="20"/>
        </w:rPr>
        <w:t>długotrwale bezrobotnymi) objętych wsparciem</w:t>
      </w:r>
      <w:r w:rsidR="00E66B89">
        <w:rPr>
          <w:rFonts w:cs="Calibri"/>
          <w:i/>
          <w:szCs w:val="20"/>
        </w:rPr>
        <w:t xml:space="preserve"> w </w:t>
      </w:r>
      <w:r w:rsidRPr="00D421E1">
        <w:rPr>
          <w:rFonts w:cs="Calibri"/>
          <w:i/>
          <w:szCs w:val="20"/>
        </w:rPr>
        <w:t xml:space="preserve">programie </w:t>
      </w:r>
      <w:r w:rsidRPr="00D421E1">
        <w:rPr>
          <w:rFonts w:cs="Calibri"/>
          <w:szCs w:val="20"/>
        </w:rPr>
        <w:t>(71,1% wg UoD).</w:t>
      </w:r>
      <w:r>
        <w:rPr>
          <w:rFonts w:cs="Calibri"/>
          <w:szCs w:val="20"/>
        </w:rPr>
        <w:t xml:space="preserve"> </w:t>
      </w:r>
    </w:p>
    <w:p w14:paraId="0BD6E290" w14:textId="77777777" w:rsidR="00881780" w:rsidRPr="00D421E1" w:rsidRDefault="00881780" w:rsidP="00881780">
      <w:pPr>
        <w:spacing w:line="276" w:lineRule="auto"/>
        <w:rPr>
          <w:rFonts w:cs="Calibri"/>
          <w:szCs w:val="20"/>
        </w:rPr>
      </w:pPr>
      <w:r w:rsidRPr="00D421E1">
        <w:rPr>
          <w:rFonts w:cs="Calibri"/>
          <w:szCs w:val="20"/>
        </w:rPr>
        <w:t>Natomiast dla wskaźnik</w:t>
      </w:r>
      <w:r>
        <w:rPr>
          <w:rFonts w:cs="Calibri"/>
          <w:szCs w:val="20"/>
        </w:rPr>
        <w:t>ów</w:t>
      </w:r>
      <w:r w:rsidRPr="00D421E1">
        <w:rPr>
          <w:rFonts w:cs="Calibri"/>
          <w:szCs w:val="20"/>
        </w:rPr>
        <w:t xml:space="preserve"> produktu: </w:t>
      </w:r>
      <w:r w:rsidRPr="00A555F5">
        <w:rPr>
          <w:rFonts w:cs="Calibri"/>
          <w:i/>
          <w:szCs w:val="20"/>
        </w:rPr>
        <w:t>Liczba osób, które otrzymały bezzwrotne środki na podjęcie działalności gospodarczej</w:t>
      </w:r>
      <w:r w:rsidR="00E66B89">
        <w:rPr>
          <w:rFonts w:cs="Calibri"/>
          <w:i/>
          <w:szCs w:val="20"/>
        </w:rPr>
        <w:t xml:space="preserve"> w </w:t>
      </w:r>
      <w:r w:rsidRPr="00A555F5">
        <w:rPr>
          <w:rFonts w:cs="Calibri"/>
          <w:i/>
          <w:szCs w:val="20"/>
        </w:rPr>
        <w:t>programie</w:t>
      </w:r>
      <w:r w:rsidRPr="00A555F5">
        <w:rPr>
          <w:rFonts w:cs="Calibri"/>
          <w:szCs w:val="20"/>
        </w:rPr>
        <w:t xml:space="preserve"> (83,9%) </w:t>
      </w:r>
      <w:r>
        <w:rPr>
          <w:rFonts w:cs="Calibri"/>
          <w:szCs w:val="20"/>
        </w:rPr>
        <w:t xml:space="preserve">oraz </w:t>
      </w:r>
      <w:r w:rsidRPr="00D421E1">
        <w:rPr>
          <w:rFonts w:cs="Calibri"/>
          <w:i/>
          <w:szCs w:val="20"/>
        </w:rPr>
        <w:t>Liczba osób pracujących objętych wsparciem</w:t>
      </w:r>
      <w:r w:rsidR="00E66B89">
        <w:rPr>
          <w:rFonts w:cs="Calibri"/>
          <w:i/>
          <w:szCs w:val="20"/>
        </w:rPr>
        <w:t xml:space="preserve"> w </w:t>
      </w:r>
      <w:r w:rsidRPr="00D421E1">
        <w:rPr>
          <w:rFonts w:cs="Calibri"/>
          <w:i/>
          <w:szCs w:val="20"/>
        </w:rPr>
        <w:t>programie (łącznie</w:t>
      </w:r>
      <w:r w:rsidR="00E66B89">
        <w:rPr>
          <w:rFonts w:cs="Calibri"/>
          <w:i/>
          <w:szCs w:val="20"/>
        </w:rPr>
        <w:t xml:space="preserve"> z </w:t>
      </w:r>
      <w:r w:rsidRPr="00D421E1">
        <w:rPr>
          <w:rFonts w:cs="Calibri"/>
          <w:i/>
          <w:szCs w:val="20"/>
        </w:rPr>
        <w:t>pracującymi na własny rachunek</w:t>
      </w:r>
      <w:r>
        <w:rPr>
          <w:rFonts w:cs="Calibri"/>
          <w:i/>
          <w:szCs w:val="20"/>
        </w:rPr>
        <w:t xml:space="preserve"> </w:t>
      </w:r>
      <w:r w:rsidRPr="00A555F5">
        <w:rPr>
          <w:rFonts w:cs="Calibri"/>
          <w:szCs w:val="20"/>
        </w:rPr>
        <w:t>(92,7%)</w:t>
      </w:r>
      <w:r w:rsidRPr="00D421E1">
        <w:rPr>
          <w:rFonts w:cs="Calibri"/>
          <w:szCs w:val="20"/>
        </w:rPr>
        <w:t xml:space="preserve"> ponownie odnotowujemy wyższy – niż dla wskaźnika finansowego </w:t>
      </w:r>
      <w:r w:rsidRPr="00D421E1">
        <w:rPr>
          <w:rFonts w:cs="Calibri"/>
          <w:szCs w:val="20"/>
        </w:rPr>
        <w:noBreakHyphen/>
        <w:t xml:space="preserve"> stopień jego realizacji. Wartość wskaźnik</w:t>
      </w:r>
      <w:r>
        <w:rPr>
          <w:rFonts w:cs="Calibri"/>
          <w:szCs w:val="20"/>
        </w:rPr>
        <w:t>ów</w:t>
      </w:r>
      <w:r w:rsidRPr="00D421E1">
        <w:rPr>
          <w:rFonts w:cs="Calibri"/>
          <w:szCs w:val="20"/>
        </w:rPr>
        <w:t xml:space="preserve"> (określoną na rok 2023) Beneficjenci konsekwentnie osiągają i/lub planują osiągnąć przy kosztach niższych niż pierwotnie zakładano.</w:t>
      </w:r>
    </w:p>
    <w:p w14:paraId="4DBE7053" w14:textId="77777777" w:rsidR="00881780" w:rsidRPr="00404DA5" w:rsidRDefault="00881780" w:rsidP="00881780">
      <w:pPr>
        <w:spacing w:line="276" w:lineRule="auto"/>
        <w:rPr>
          <w:rFonts w:eastAsia="Calibri" w:cs="Calibri"/>
          <w:szCs w:val="20"/>
          <w:lang w:eastAsia="en-US"/>
        </w:rPr>
      </w:pPr>
      <w:r w:rsidRPr="00404DA5">
        <w:rPr>
          <w:rFonts w:eastAsia="Calibri" w:cs="Calibri"/>
          <w:szCs w:val="20"/>
          <w:lang w:eastAsia="en-US"/>
        </w:rPr>
        <w:t xml:space="preserve">Należy również wspomnieć, że </w:t>
      </w:r>
      <w:bookmarkStart w:id="224" w:name="_Hlk5145155"/>
      <w:r w:rsidRPr="00404DA5">
        <w:rPr>
          <w:rFonts w:eastAsia="Calibri" w:cs="Calibri"/>
          <w:szCs w:val="20"/>
          <w:lang w:eastAsia="en-US"/>
        </w:rPr>
        <w:t>zgodnie</w:t>
      </w:r>
      <w:r w:rsidR="00E66B89">
        <w:rPr>
          <w:rFonts w:eastAsia="Calibri" w:cs="Calibri"/>
          <w:szCs w:val="20"/>
          <w:lang w:eastAsia="en-US"/>
        </w:rPr>
        <w:t xml:space="preserve"> z </w:t>
      </w:r>
      <w:r w:rsidRPr="00404DA5">
        <w:rPr>
          <w:rFonts w:eastAsia="Calibri" w:cs="Calibri"/>
          <w:i/>
          <w:szCs w:val="20"/>
          <w:lang w:eastAsia="en-US"/>
        </w:rPr>
        <w:t>Aneksem 1 do RPO WZ 2014-2020</w:t>
      </w:r>
      <w:r w:rsidR="00E66B89">
        <w:rPr>
          <w:rFonts w:eastAsia="Calibri" w:cs="Calibri"/>
          <w:i/>
          <w:szCs w:val="20"/>
          <w:lang w:eastAsia="en-US"/>
        </w:rPr>
        <w:t xml:space="preserve"> w </w:t>
      </w:r>
      <w:r>
        <w:rPr>
          <w:rFonts w:eastAsia="Calibri" w:cs="Calibri"/>
          <w:i/>
          <w:szCs w:val="20"/>
          <w:lang w:eastAsia="en-US"/>
        </w:rPr>
        <w:t>zakresie zmiany wskaźników do Ram W</w:t>
      </w:r>
      <w:r w:rsidRPr="00404DA5">
        <w:rPr>
          <w:rFonts w:eastAsia="Calibri" w:cs="Calibri"/>
          <w:i/>
          <w:szCs w:val="20"/>
          <w:lang w:eastAsia="en-US"/>
        </w:rPr>
        <w:t xml:space="preserve">ykonania oraz metodologii szacowania wskaźników, </w:t>
      </w:r>
      <w:r w:rsidRPr="00404DA5">
        <w:rPr>
          <w:rFonts w:eastAsia="Calibri" w:cs="Calibri"/>
          <w:szCs w:val="20"/>
          <w:lang w:eastAsia="en-US"/>
        </w:rPr>
        <w:t>ze względu na nową metodologię obliczania wartości N+3 zawartą</w:t>
      </w:r>
      <w:r w:rsidR="00E66B89">
        <w:rPr>
          <w:rFonts w:eastAsia="Calibri" w:cs="Calibri"/>
          <w:szCs w:val="20"/>
          <w:lang w:eastAsia="en-US"/>
        </w:rPr>
        <w:t xml:space="preserve"> w </w:t>
      </w:r>
      <w:r w:rsidRPr="00404DA5">
        <w:rPr>
          <w:rFonts w:eastAsia="Calibri" w:cs="Calibri"/>
          <w:szCs w:val="20"/>
          <w:lang w:eastAsia="en-US"/>
        </w:rPr>
        <w:t>nocie EGESIF</w:t>
      </w:r>
      <w:r w:rsidR="00E66B89">
        <w:rPr>
          <w:rFonts w:eastAsia="Calibri" w:cs="Calibri"/>
          <w:szCs w:val="20"/>
          <w:lang w:eastAsia="en-US"/>
        </w:rPr>
        <w:t xml:space="preserve"> z </w:t>
      </w:r>
      <w:r w:rsidRPr="00404DA5">
        <w:rPr>
          <w:rFonts w:eastAsia="Calibri" w:cs="Calibri"/>
          <w:szCs w:val="20"/>
          <w:lang w:eastAsia="en-US"/>
        </w:rPr>
        <w:t xml:space="preserve">28 czerwca 2017 r. (EGESIF_17-0012-00) </w:t>
      </w:r>
      <w:r w:rsidRPr="00404DA5">
        <w:rPr>
          <w:rFonts w:eastAsia="Calibri" w:cs="Calibri"/>
          <w:szCs w:val="20"/>
          <w:lang w:eastAsia="en-US"/>
        </w:rPr>
        <w:noBreakHyphen/>
        <w:t xml:space="preserve"> wartość wskaźnika finansowego F.01 </w:t>
      </w:r>
      <w:r w:rsidRPr="0013771A">
        <w:rPr>
          <w:rFonts w:eastAsia="Calibri" w:cs="Calibri"/>
          <w:i/>
          <w:szCs w:val="20"/>
          <w:lang w:eastAsia="en-US"/>
        </w:rPr>
        <w:t>„całkowita kwota certyfikowanych wydatków kwalifikowanych”</w:t>
      </w:r>
      <w:r w:rsidR="00E66B89">
        <w:rPr>
          <w:rFonts w:eastAsia="Calibri" w:cs="Calibri"/>
          <w:szCs w:val="20"/>
          <w:lang w:eastAsia="en-US"/>
        </w:rPr>
        <w:t xml:space="preserve"> w </w:t>
      </w:r>
      <w:r w:rsidRPr="00404DA5">
        <w:rPr>
          <w:rFonts w:eastAsia="Calibri" w:cs="Calibri"/>
          <w:szCs w:val="20"/>
          <w:lang w:eastAsia="en-US"/>
        </w:rPr>
        <w:t>OP VI została obniżona. Wartość wskaźnika finansowego pomniejszono</w:t>
      </w:r>
      <w:r w:rsidR="00E66B89">
        <w:rPr>
          <w:rFonts w:eastAsia="Calibri" w:cs="Calibri"/>
          <w:szCs w:val="20"/>
          <w:lang w:eastAsia="en-US"/>
        </w:rPr>
        <w:t xml:space="preserve"> o </w:t>
      </w:r>
      <w:r w:rsidRPr="00404DA5">
        <w:rPr>
          <w:rFonts w:eastAsia="Calibri" w:cs="Calibri"/>
          <w:szCs w:val="20"/>
          <w:lang w:eastAsia="en-US"/>
        </w:rPr>
        <w:t>kwotę przeznaczoną na pomoc techniczną. Zgodnie ustaleniami poczynionymi podczas negocjacji</w:t>
      </w:r>
      <w:r w:rsidR="00E66B89">
        <w:rPr>
          <w:rFonts w:eastAsia="Calibri" w:cs="Calibri"/>
          <w:szCs w:val="20"/>
          <w:lang w:eastAsia="en-US"/>
        </w:rPr>
        <w:t xml:space="preserve"> z </w:t>
      </w:r>
      <w:r w:rsidRPr="00404DA5">
        <w:rPr>
          <w:rFonts w:eastAsia="Calibri" w:cs="Calibri"/>
          <w:szCs w:val="20"/>
          <w:lang w:eastAsia="en-US"/>
        </w:rPr>
        <w:t>Komisją Europejską jako wartość pośrednią dla roku 2018 przyjęto wartość stanowiącą 13,8% alokacji docelowej na OP, co wprost wynika</w:t>
      </w:r>
      <w:r w:rsidR="00E66B89">
        <w:rPr>
          <w:rFonts w:eastAsia="Calibri" w:cs="Calibri"/>
          <w:szCs w:val="20"/>
          <w:lang w:eastAsia="en-US"/>
        </w:rPr>
        <w:t xml:space="preserve"> z </w:t>
      </w:r>
      <w:r w:rsidRPr="00404DA5">
        <w:rPr>
          <w:rFonts w:eastAsia="Calibri" w:cs="Calibri"/>
          <w:szCs w:val="20"/>
          <w:lang w:eastAsia="en-US"/>
        </w:rPr>
        <w:t xml:space="preserve">zasady N+3. Wartość wskaźnika </w:t>
      </w:r>
      <w:r w:rsidRPr="0013771A">
        <w:rPr>
          <w:rFonts w:eastAsia="Calibri" w:cs="Calibri"/>
          <w:i/>
          <w:szCs w:val="20"/>
          <w:lang w:eastAsia="en-US"/>
        </w:rPr>
        <w:t>„całkowita kwota certyfikowanych wydatków kwalifikowanych”</w:t>
      </w:r>
      <w:r w:rsidR="00E66B89">
        <w:rPr>
          <w:rFonts w:eastAsia="Calibri" w:cs="Calibri"/>
          <w:szCs w:val="20"/>
          <w:lang w:eastAsia="en-US"/>
        </w:rPr>
        <w:t xml:space="preserve"> w </w:t>
      </w:r>
      <w:r w:rsidRPr="00404DA5">
        <w:rPr>
          <w:rFonts w:eastAsia="Calibri" w:cs="Calibri"/>
          <w:szCs w:val="20"/>
          <w:lang w:eastAsia="en-US"/>
        </w:rPr>
        <w:t>OP VI (CT 8) wyniosła 28 249 412 euro (204 705 883 euro x 13,8%). Wartość pierwotnie</w:t>
      </w:r>
      <w:r w:rsidRPr="00404DA5">
        <w:rPr>
          <w:rFonts w:eastAsia="Calibri"/>
          <w:szCs w:val="20"/>
          <w:lang w:eastAsia="en-US"/>
        </w:rPr>
        <w:t xml:space="preserve"> </w:t>
      </w:r>
      <w:r w:rsidRPr="00404DA5">
        <w:rPr>
          <w:rFonts w:eastAsia="Calibri" w:cs="Calibri"/>
          <w:szCs w:val="20"/>
          <w:lang w:eastAsia="en-US"/>
        </w:rPr>
        <w:t>zapisana</w:t>
      </w:r>
      <w:r w:rsidR="00E66B89">
        <w:rPr>
          <w:rFonts w:eastAsia="Calibri" w:cs="Calibri"/>
          <w:szCs w:val="20"/>
          <w:lang w:eastAsia="en-US"/>
        </w:rPr>
        <w:t xml:space="preserve"> w </w:t>
      </w:r>
      <w:r w:rsidRPr="00404DA5">
        <w:rPr>
          <w:rFonts w:eastAsia="Calibri" w:cs="Calibri"/>
          <w:szCs w:val="20"/>
          <w:lang w:eastAsia="en-US"/>
        </w:rPr>
        <w:t>programie wynosiła 67 941 177 euro</w:t>
      </w:r>
      <w:r w:rsidRPr="00404DA5">
        <w:rPr>
          <w:rFonts w:eastAsia="Calibri"/>
          <w:szCs w:val="20"/>
          <w:vertAlign w:val="superscript"/>
          <w:lang w:eastAsia="en-US"/>
        </w:rPr>
        <w:footnoteReference w:id="56"/>
      </w:r>
      <w:r w:rsidRPr="00404DA5">
        <w:rPr>
          <w:rFonts w:eastAsia="Calibri" w:cs="Calibri"/>
          <w:szCs w:val="20"/>
          <w:lang w:eastAsia="en-US"/>
        </w:rPr>
        <w:t xml:space="preserve"> (całkowita kwota certyfikowanych wydatków kwalifikowalnych została pomniejszona</w:t>
      </w:r>
      <w:r w:rsidR="00E66B89">
        <w:rPr>
          <w:rFonts w:eastAsia="Calibri" w:cs="Calibri"/>
          <w:szCs w:val="20"/>
          <w:lang w:eastAsia="en-US"/>
        </w:rPr>
        <w:t xml:space="preserve"> o </w:t>
      </w:r>
      <w:r w:rsidRPr="00404DA5">
        <w:rPr>
          <w:rFonts w:eastAsia="Calibri" w:cs="Calibri"/>
          <w:szCs w:val="20"/>
          <w:lang w:eastAsia="en-US"/>
        </w:rPr>
        <w:t>39 691 765 euro).</w:t>
      </w:r>
    </w:p>
    <w:bookmarkEnd w:id="224"/>
    <w:p w14:paraId="1DE7FAF8" w14:textId="77777777" w:rsidR="00881780" w:rsidRPr="00404DA5" w:rsidRDefault="00881780" w:rsidP="00881780">
      <w:pPr>
        <w:spacing w:line="276" w:lineRule="auto"/>
        <w:rPr>
          <w:rFonts w:eastAsia="Calibri" w:cs="Calibri"/>
          <w:i/>
          <w:szCs w:val="20"/>
          <w:lang w:eastAsia="en-US"/>
        </w:rPr>
      </w:pPr>
      <w:r w:rsidRPr="00404DA5">
        <w:rPr>
          <w:rFonts w:eastAsia="Calibri" w:cs="Calibri"/>
          <w:i/>
          <w:szCs w:val="20"/>
          <w:lang w:eastAsia="en-US"/>
        </w:rPr>
        <w:t>Wskaźnik Liczba osób bezrobotnych (łącznie</w:t>
      </w:r>
      <w:r w:rsidR="00E66B89">
        <w:rPr>
          <w:rFonts w:eastAsia="Calibri" w:cs="Calibri"/>
          <w:i/>
          <w:szCs w:val="20"/>
          <w:lang w:eastAsia="en-US"/>
        </w:rPr>
        <w:t xml:space="preserve"> z </w:t>
      </w:r>
      <w:r w:rsidRPr="00404DA5">
        <w:rPr>
          <w:rFonts w:eastAsia="Calibri" w:cs="Calibri"/>
          <w:i/>
          <w:szCs w:val="20"/>
          <w:lang w:eastAsia="en-US"/>
        </w:rPr>
        <w:t>długotrwale bezrobotnymi) objętych wsparciem</w:t>
      </w:r>
      <w:r w:rsidR="00E66B89">
        <w:rPr>
          <w:rFonts w:eastAsia="Calibri" w:cs="Calibri"/>
          <w:i/>
          <w:szCs w:val="20"/>
          <w:lang w:eastAsia="en-US"/>
        </w:rPr>
        <w:t xml:space="preserve"> w </w:t>
      </w:r>
      <w:r w:rsidRPr="00404DA5">
        <w:rPr>
          <w:rFonts w:eastAsia="Calibri" w:cs="Calibri"/>
          <w:i/>
          <w:szCs w:val="20"/>
          <w:lang w:eastAsia="en-US"/>
        </w:rPr>
        <w:t>programie</w:t>
      </w:r>
    </w:p>
    <w:p w14:paraId="6793B543" w14:textId="77777777" w:rsidR="00881780" w:rsidRPr="00404DA5" w:rsidRDefault="00881780" w:rsidP="00881780">
      <w:pPr>
        <w:spacing w:line="276" w:lineRule="auto"/>
        <w:rPr>
          <w:rFonts w:eastAsia="Calibri"/>
          <w:szCs w:val="20"/>
          <w:lang w:eastAsia="en-US"/>
        </w:rPr>
      </w:pPr>
      <w:r w:rsidRPr="00404DA5">
        <w:rPr>
          <w:rFonts w:eastAsia="Calibri"/>
          <w:szCs w:val="20"/>
          <w:lang w:eastAsia="en-US"/>
        </w:rPr>
        <w:t>Zgodnie</w:t>
      </w:r>
      <w:r w:rsidR="00E66B89">
        <w:rPr>
          <w:rFonts w:eastAsia="Calibri"/>
          <w:szCs w:val="20"/>
          <w:lang w:eastAsia="en-US"/>
        </w:rPr>
        <w:t xml:space="preserve"> z </w:t>
      </w:r>
      <w:r w:rsidRPr="00404DA5">
        <w:rPr>
          <w:rFonts w:eastAsia="Calibri"/>
          <w:szCs w:val="20"/>
          <w:lang w:eastAsia="en-US"/>
        </w:rPr>
        <w:t>danymi przedstawionymi</w:t>
      </w:r>
      <w:r w:rsidR="00E66B89">
        <w:rPr>
          <w:rFonts w:eastAsia="Calibri"/>
          <w:szCs w:val="20"/>
          <w:lang w:eastAsia="en-US"/>
        </w:rPr>
        <w:t xml:space="preserve"> w </w:t>
      </w:r>
      <w:r w:rsidRPr="00404DA5">
        <w:rPr>
          <w:rFonts w:eastAsia="Calibri"/>
          <w:szCs w:val="20"/>
          <w:lang w:eastAsia="en-US"/>
        </w:rPr>
        <w:t>tabeli powyżej rzeczowy cel pośredni (na 2018 rok) został zrealizowany na poziomie 145,8% / 12 943 osoby objęte wsparciem</w:t>
      </w:r>
      <w:r w:rsidR="00E66B89">
        <w:rPr>
          <w:rFonts w:eastAsia="Calibri"/>
          <w:szCs w:val="20"/>
          <w:lang w:eastAsia="en-US"/>
        </w:rPr>
        <w:t xml:space="preserve"> w </w:t>
      </w:r>
      <w:r w:rsidRPr="00404DA5">
        <w:rPr>
          <w:rFonts w:eastAsia="Calibri"/>
          <w:szCs w:val="20"/>
          <w:lang w:eastAsia="en-US"/>
        </w:rPr>
        <w:t>programie (wartość osiągnięta</w:t>
      </w:r>
      <w:r w:rsidR="00E66B89">
        <w:rPr>
          <w:rFonts w:eastAsia="Calibri"/>
          <w:szCs w:val="20"/>
          <w:lang w:eastAsia="en-US"/>
        </w:rPr>
        <w:t xml:space="preserve"> w </w:t>
      </w:r>
      <w:r w:rsidRPr="00404DA5">
        <w:rPr>
          <w:rFonts w:eastAsia="Calibri"/>
          <w:szCs w:val="20"/>
          <w:lang w:eastAsia="en-US"/>
        </w:rPr>
        <w:t>projektach na podstawie WoP). Stopień wykonania celu na 2023 r</w:t>
      </w:r>
      <w:r>
        <w:rPr>
          <w:rFonts w:eastAsia="Calibri"/>
          <w:szCs w:val="20"/>
          <w:lang w:eastAsia="en-US"/>
        </w:rPr>
        <w:t>ok</w:t>
      </w:r>
      <w:r w:rsidRPr="00404DA5">
        <w:rPr>
          <w:rFonts w:eastAsia="Calibri"/>
          <w:szCs w:val="20"/>
          <w:lang w:eastAsia="en-US"/>
        </w:rPr>
        <w:t xml:space="preserve"> według WoP wynosi 65,6%; natomiast wartość zadeklarowana</w:t>
      </w:r>
      <w:r w:rsidR="00E66B89">
        <w:rPr>
          <w:rFonts w:eastAsia="Calibri"/>
          <w:szCs w:val="20"/>
          <w:lang w:eastAsia="en-US"/>
        </w:rPr>
        <w:t xml:space="preserve"> w </w:t>
      </w:r>
      <w:r w:rsidRPr="00404DA5">
        <w:rPr>
          <w:rFonts w:eastAsia="Calibri"/>
          <w:szCs w:val="20"/>
          <w:lang w:eastAsia="en-US"/>
        </w:rPr>
        <w:t>UoD / szacowana przez Beneficjentów jako możliwa do osiągnięcia stanowi aż 71.1% zakładanej wartości docelowej wskaźnika (14 026 osób planowanych do objęcia wsparciem</w:t>
      </w:r>
      <w:r w:rsidRPr="00404DA5">
        <w:rPr>
          <w:rFonts w:eastAsia="Calibri"/>
          <w:szCs w:val="20"/>
          <w:vertAlign w:val="superscript"/>
          <w:lang w:eastAsia="en-US"/>
        </w:rPr>
        <w:footnoteReference w:id="57"/>
      </w:r>
      <w:r w:rsidRPr="00404DA5">
        <w:rPr>
          <w:rFonts w:eastAsia="Calibri"/>
          <w:szCs w:val="20"/>
          <w:lang w:eastAsia="en-US"/>
        </w:rPr>
        <w:t>).</w:t>
      </w:r>
    </w:p>
    <w:p w14:paraId="289DBBE2" w14:textId="77777777" w:rsidR="00881780" w:rsidRPr="00404DA5" w:rsidRDefault="00881780" w:rsidP="00881780">
      <w:pPr>
        <w:spacing w:line="276" w:lineRule="auto"/>
        <w:rPr>
          <w:rFonts w:eastAsia="Calibri"/>
          <w:szCs w:val="20"/>
          <w:lang w:eastAsia="en-US"/>
        </w:rPr>
      </w:pPr>
      <w:r w:rsidRPr="00404DA5">
        <w:rPr>
          <w:rFonts w:eastAsia="Calibri"/>
          <w:szCs w:val="20"/>
          <w:lang w:eastAsia="en-US"/>
        </w:rPr>
        <w:t>Wskaźnik jest osiągany</w:t>
      </w:r>
      <w:r w:rsidR="00E66B89">
        <w:rPr>
          <w:rFonts w:eastAsia="Calibri"/>
          <w:szCs w:val="20"/>
          <w:lang w:eastAsia="en-US"/>
        </w:rPr>
        <w:t xml:space="preserve"> w </w:t>
      </w:r>
      <w:r w:rsidRPr="00404DA5">
        <w:rPr>
          <w:rFonts w:eastAsia="Calibri"/>
          <w:szCs w:val="20"/>
          <w:lang w:eastAsia="en-US"/>
        </w:rPr>
        <w:t>projektach realizowanych</w:t>
      </w:r>
      <w:r w:rsidR="00E66B89">
        <w:rPr>
          <w:rFonts w:eastAsia="Calibri"/>
          <w:szCs w:val="20"/>
          <w:lang w:eastAsia="en-US"/>
        </w:rPr>
        <w:t xml:space="preserve"> w </w:t>
      </w:r>
      <w:r w:rsidRPr="00404DA5">
        <w:rPr>
          <w:rFonts w:eastAsia="Calibri"/>
          <w:szCs w:val="20"/>
          <w:lang w:eastAsia="en-US"/>
        </w:rPr>
        <w:t xml:space="preserve">ramach Działania 6.5 </w:t>
      </w:r>
      <w:r w:rsidRPr="00404DA5">
        <w:rPr>
          <w:rFonts w:eastAsia="Calibri"/>
          <w:i/>
          <w:szCs w:val="20"/>
          <w:lang w:eastAsia="en-US"/>
        </w:rPr>
        <w:t>Kompleksowe wsparcie głównie dla osób bezrobotnych, biernych zawodowo zwłaszcza znajdujących się</w:t>
      </w:r>
      <w:r w:rsidR="00E66B89">
        <w:rPr>
          <w:rFonts w:eastAsia="Calibri"/>
          <w:i/>
          <w:szCs w:val="20"/>
          <w:lang w:eastAsia="en-US"/>
        </w:rPr>
        <w:t xml:space="preserve"> w </w:t>
      </w:r>
      <w:r w:rsidRPr="00404DA5">
        <w:rPr>
          <w:rFonts w:eastAsia="Calibri"/>
          <w:i/>
          <w:szCs w:val="20"/>
          <w:lang w:eastAsia="en-US"/>
        </w:rPr>
        <w:t>szczególnie trudnej sytuacji na rynku pracy obejmujące pomoc</w:t>
      </w:r>
      <w:r w:rsidR="00E66B89">
        <w:rPr>
          <w:rFonts w:eastAsia="Calibri"/>
          <w:i/>
          <w:szCs w:val="20"/>
          <w:lang w:eastAsia="en-US"/>
        </w:rPr>
        <w:t xml:space="preserve"> w </w:t>
      </w:r>
      <w:r w:rsidRPr="00404DA5">
        <w:rPr>
          <w:rFonts w:eastAsia="Calibri"/>
          <w:i/>
          <w:szCs w:val="20"/>
          <w:lang w:eastAsia="en-US"/>
        </w:rPr>
        <w:t>aktywnym poszukiwaniu pracy oraz działania na rzecz podnoszenia kwalifikacji zawodowych</w:t>
      </w:r>
      <w:bookmarkStart w:id="225" w:name="_Hlk536471253"/>
      <w:r w:rsidRPr="00404DA5">
        <w:rPr>
          <w:rFonts w:eastAsia="Calibri"/>
          <w:i/>
          <w:szCs w:val="20"/>
          <w:lang w:eastAsia="en-US"/>
        </w:rPr>
        <w:t xml:space="preserve"> </w:t>
      </w:r>
      <w:r w:rsidRPr="00404DA5">
        <w:rPr>
          <w:rFonts w:eastAsia="Calibri"/>
          <w:szCs w:val="20"/>
          <w:lang w:eastAsia="en-US"/>
        </w:rPr>
        <w:t>(PI 8i).</w:t>
      </w:r>
      <w:bookmarkEnd w:id="225"/>
      <w:r w:rsidRPr="00404DA5">
        <w:rPr>
          <w:rFonts w:eastAsia="Calibri"/>
          <w:i/>
          <w:szCs w:val="20"/>
          <w:lang w:eastAsia="en-US"/>
        </w:rPr>
        <w:t xml:space="preserve"> </w:t>
      </w:r>
      <w:r w:rsidRPr="00404DA5">
        <w:rPr>
          <w:rFonts w:eastAsia="Calibri"/>
          <w:szCs w:val="20"/>
          <w:lang w:eastAsia="en-US"/>
        </w:rPr>
        <w:t>Według stanu na</w:t>
      </w:r>
      <w:r w:rsidRPr="00404DA5">
        <w:rPr>
          <w:rFonts w:eastAsia="Calibri"/>
          <w:i/>
          <w:szCs w:val="20"/>
          <w:lang w:eastAsia="en-US"/>
        </w:rPr>
        <w:t xml:space="preserve"> </w:t>
      </w:r>
      <w:r w:rsidRPr="00404DA5">
        <w:rPr>
          <w:rFonts w:eastAsia="Calibri"/>
          <w:szCs w:val="20"/>
          <w:lang w:eastAsia="en-US"/>
        </w:rPr>
        <w:t>07.01.2019 r.</w:t>
      </w:r>
      <w:r w:rsidR="00E66B89">
        <w:rPr>
          <w:rFonts w:eastAsia="Calibri"/>
          <w:szCs w:val="20"/>
          <w:lang w:eastAsia="en-US"/>
        </w:rPr>
        <w:t xml:space="preserve"> w </w:t>
      </w:r>
      <w:r w:rsidRPr="00404DA5">
        <w:rPr>
          <w:rFonts w:eastAsia="Calibri"/>
          <w:szCs w:val="20"/>
          <w:lang w:eastAsia="en-US"/>
        </w:rPr>
        <w:t>ramach Działania 6.5 zawarto 116 UoD. Wartość wszystkich projektów realizowanych</w:t>
      </w:r>
      <w:r w:rsidR="00E66B89">
        <w:rPr>
          <w:rFonts w:eastAsia="Calibri"/>
          <w:szCs w:val="20"/>
          <w:lang w:eastAsia="en-US"/>
        </w:rPr>
        <w:t xml:space="preserve"> w </w:t>
      </w:r>
      <w:r w:rsidRPr="00404DA5">
        <w:rPr>
          <w:rFonts w:eastAsia="Calibri"/>
          <w:szCs w:val="20"/>
          <w:lang w:eastAsia="en-US"/>
        </w:rPr>
        <w:t>Działaniu wyniosła 191 192 564,12 zł.,</w:t>
      </w:r>
      <w:r w:rsidR="00E66B89">
        <w:rPr>
          <w:rFonts w:eastAsia="Calibri"/>
          <w:szCs w:val="20"/>
          <w:lang w:eastAsia="en-US"/>
        </w:rPr>
        <w:t xml:space="preserve"> w </w:t>
      </w:r>
      <w:r w:rsidRPr="00404DA5">
        <w:rPr>
          <w:rFonts w:eastAsia="Calibri"/>
          <w:szCs w:val="20"/>
          <w:lang w:eastAsia="en-US"/>
        </w:rPr>
        <w:t>tym wkład UE: 162 513 680,13 zł.; oznacza to 43,4% zakontraktowania alokacji UE ogółem (z RW) przeznaczonej na Działanie</w:t>
      </w:r>
      <w:r w:rsidRPr="00404DA5">
        <w:rPr>
          <w:rFonts w:eastAsia="Calibri"/>
          <w:szCs w:val="20"/>
          <w:vertAlign w:val="superscript"/>
          <w:lang w:eastAsia="en-US"/>
        </w:rPr>
        <w:footnoteReference w:id="58"/>
      </w:r>
      <w:r w:rsidRPr="00404DA5">
        <w:rPr>
          <w:rFonts w:eastAsia="Calibri"/>
          <w:szCs w:val="20"/>
          <w:lang w:eastAsia="en-US"/>
        </w:rPr>
        <w:t xml:space="preserve"> oraz 46.7% alokacji bez RW (stan na 07.01.2019 r.). Analizowany wskaźnik nie był planowany do osiągnięcia, zatem również nie był osiągany</w:t>
      </w:r>
      <w:r w:rsidR="00E66B89">
        <w:rPr>
          <w:rFonts w:eastAsia="Calibri"/>
          <w:szCs w:val="20"/>
          <w:lang w:eastAsia="en-US"/>
        </w:rPr>
        <w:t xml:space="preserve"> w </w:t>
      </w:r>
      <w:r w:rsidRPr="00404DA5">
        <w:rPr>
          <w:rFonts w:eastAsia="Calibri"/>
          <w:szCs w:val="20"/>
          <w:lang w:eastAsia="en-US"/>
        </w:rPr>
        <w:t>ramach każdej UoD zawartej</w:t>
      </w:r>
      <w:r w:rsidR="00E66B89">
        <w:rPr>
          <w:rFonts w:eastAsia="Calibri"/>
          <w:szCs w:val="20"/>
          <w:lang w:eastAsia="en-US"/>
        </w:rPr>
        <w:t xml:space="preserve"> w </w:t>
      </w:r>
      <w:r w:rsidRPr="00404DA5">
        <w:rPr>
          <w:rFonts w:eastAsia="Calibri"/>
          <w:szCs w:val="20"/>
          <w:lang w:eastAsia="en-US"/>
        </w:rPr>
        <w:t>Działaniu</w:t>
      </w:r>
      <w:bookmarkStart w:id="226" w:name="_Hlk1476742"/>
      <w:r w:rsidRPr="00404DA5">
        <w:rPr>
          <w:rFonts w:eastAsia="Calibri"/>
          <w:szCs w:val="20"/>
          <w:lang w:eastAsia="en-US"/>
        </w:rPr>
        <w:t>. Jak wynika</w:t>
      </w:r>
      <w:r w:rsidR="00E66B89">
        <w:rPr>
          <w:rFonts w:eastAsia="Calibri"/>
          <w:szCs w:val="20"/>
          <w:lang w:eastAsia="en-US"/>
        </w:rPr>
        <w:t xml:space="preserve"> z </w:t>
      </w:r>
      <w:r w:rsidRPr="00404DA5">
        <w:rPr>
          <w:rFonts w:eastAsia="Calibri"/>
          <w:szCs w:val="20"/>
          <w:lang w:eastAsia="en-US"/>
        </w:rPr>
        <w:t>przeprowadzonych przez Wykonawcę analiz poszczególnych UoD</w:t>
      </w:r>
      <w:r w:rsidRPr="00404DA5">
        <w:rPr>
          <w:rFonts w:eastAsia="Calibri"/>
          <w:szCs w:val="20"/>
          <w:vertAlign w:val="superscript"/>
          <w:lang w:eastAsia="en-US"/>
        </w:rPr>
        <w:footnoteReference w:id="59"/>
      </w:r>
      <w:r w:rsidRPr="00404DA5">
        <w:rPr>
          <w:rFonts w:eastAsia="Calibri"/>
          <w:szCs w:val="20"/>
          <w:lang w:eastAsia="en-US"/>
        </w:rPr>
        <w:t xml:space="preserve"> </w:t>
      </w:r>
      <w:bookmarkEnd w:id="226"/>
      <w:r w:rsidRPr="00404DA5">
        <w:rPr>
          <w:rFonts w:eastAsia="Calibri"/>
          <w:szCs w:val="20"/>
          <w:lang w:eastAsia="en-US"/>
        </w:rPr>
        <w:t>wskaźnik był osiągany</w:t>
      </w:r>
      <w:r w:rsidR="00E66B89">
        <w:rPr>
          <w:rFonts w:eastAsia="Calibri"/>
          <w:szCs w:val="20"/>
          <w:lang w:eastAsia="en-US"/>
        </w:rPr>
        <w:t xml:space="preserve"> </w:t>
      </w:r>
      <w:r w:rsidR="00E66B89">
        <w:rPr>
          <w:rFonts w:eastAsia="Calibri"/>
          <w:szCs w:val="20"/>
          <w:lang w:eastAsia="en-US"/>
        </w:rPr>
        <w:lastRenderedPageBreak/>
        <w:t>w </w:t>
      </w:r>
      <w:r w:rsidRPr="00404DA5">
        <w:rPr>
          <w:rFonts w:eastAsia="Calibri"/>
          <w:szCs w:val="20"/>
          <w:lang w:eastAsia="en-US"/>
        </w:rPr>
        <w:t>ramach 80 projektów/umów zawartych</w:t>
      </w:r>
      <w:r w:rsidR="00E66B89">
        <w:rPr>
          <w:rFonts w:eastAsia="Calibri"/>
          <w:szCs w:val="20"/>
          <w:lang w:eastAsia="en-US"/>
        </w:rPr>
        <w:t xml:space="preserve"> i </w:t>
      </w:r>
      <w:r w:rsidRPr="00404DA5">
        <w:rPr>
          <w:rFonts w:eastAsia="Calibri"/>
          <w:szCs w:val="20"/>
          <w:lang w:eastAsia="en-US"/>
        </w:rPr>
        <w:t>realizowanych</w:t>
      </w:r>
      <w:r w:rsidR="00E66B89">
        <w:rPr>
          <w:rFonts w:eastAsia="Calibri"/>
          <w:szCs w:val="20"/>
          <w:lang w:eastAsia="en-US"/>
        </w:rPr>
        <w:t xml:space="preserve"> w </w:t>
      </w:r>
      <w:r w:rsidRPr="00404DA5">
        <w:rPr>
          <w:rFonts w:eastAsia="Calibri"/>
          <w:szCs w:val="20"/>
          <w:lang w:eastAsia="en-US"/>
        </w:rPr>
        <w:t xml:space="preserve">Działaniu 6.5. </w:t>
      </w:r>
      <w:bookmarkStart w:id="227" w:name="_Hlk1481994"/>
      <w:r w:rsidRPr="00404DA5">
        <w:rPr>
          <w:rFonts w:eastAsia="Calibri"/>
          <w:szCs w:val="20"/>
          <w:lang w:eastAsia="en-US"/>
        </w:rPr>
        <w:t>Wartość dofinansowania UE projektów realizujących</w:t>
      </w:r>
      <w:r w:rsidR="00E66B89">
        <w:rPr>
          <w:rFonts w:eastAsia="Calibri"/>
          <w:szCs w:val="20"/>
          <w:lang w:eastAsia="en-US"/>
        </w:rPr>
        <w:t xml:space="preserve"> w </w:t>
      </w:r>
      <w:r w:rsidRPr="00404DA5">
        <w:rPr>
          <w:rFonts w:eastAsia="Calibri"/>
          <w:szCs w:val="20"/>
          <w:lang w:eastAsia="en-US"/>
        </w:rPr>
        <w:t>ramach Działania wyżej wymieniony wskaźnik wynosi 129 355 109,11 zł</w:t>
      </w:r>
      <w:r>
        <w:rPr>
          <w:rFonts w:eastAsia="Calibri"/>
          <w:szCs w:val="20"/>
          <w:lang w:eastAsia="en-US"/>
        </w:rPr>
        <w:t>,</w:t>
      </w:r>
      <w:r w:rsidRPr="00404DA5">
        <w:rPr>
          <w:rFonts w:eastAsia="Calibri"/>
          <w:szCs w:val="20"/>
          <w:lang w:eastAsia="en-US"/>
        </w:rPr>
        <w:t xml:space="preserve"> co stanowi nieco ponad </w:t>
      </w:r>
      <w:r w:rsidRPr="00404DA5">
        <w:rPr>
          <w:rFonts w:eastAsia="Calibri"/>
          <w:szCs w:val="20"/>
          <w:vertAlign w:val="superscript"/>
          <w:lang w:eastAsia="en-US"/>
        </w:rPr>
        <w:t>1</w:t>
      </w:r>
      <w:r w:rsidRPr="00404DA5">
        <w:rPr>
          <w:rFonts w:eastAsia="Calibri"/>
          <w:szCs w:val="20"/>
          <w:lang w:eastAsia="en-US"/>
        </w:rPr>
        <w:t>/</w:t>
      </w:r>
      <w:r w:rsidRPr="00404DA5">
        <w:rPr>
          <w:rFonts w:eastAsia="Calibri"/>
          <w:szCs w:val="20"/>
          <w:vertAlign w:val="subscript"/>
          <w:lang w:eastAsia="en-US"/>
        </w:rPr>
        <w:t>3</w:t>
      </w:r>
      <w:r w:rsidRPr="00404DA5">
        <w:rPr>
          <w:rFonts w:eastAsia="Calibri"/>
          <w:szCs w:val="20"/>
          <w:lang w:eastAsia="en-US"/>
        </w:rPr>
        <w:t xml:space="preserve"> (34,6%) kwoty alokacji UE ogółem (z RW) na Działanie</w:t>
      </w:r>
      <w:r w:rsidR="00E66B89">
        <w:rPr>
          <w:rFonts w:eastAsia="Calibri"/>
          <w:szCs w:val="20"/>
          <w:lang w:eastAsia="en-US"/>
        </w:rPr>
        <w:t xml:space="preserve"> i </w:t>
      </w:r>
      <w:r w:rsidRPr="00404DA5">
        <w:rPr>
          <w:rFonts w:eastAsia="Calibri"/>
          <w:szCs w:val="20"/>
          <w:lang w:eastAsia="en-US"/>
        </w:rPr>
        <w:t xml:space="preserve">29% alokacji bez RW. </w:t>
      </w:r>
      <w:bookmarkEnd w:id="227"/>
      <w:r w:rsidRPr="00404DA5">
        <w:rPr>
          <w:rFonts w:eastAsia="Calibri"/>
          <w:szCs w:val="20"/>
          <w:lang w:eastAsia="en-US"/>
        </w:rPr>
        <w:t xml:space="preserve">Średni koszt jednostkowy wskaźnika we wszystkich </w:t>
      </w:r>
      <w:r>
        <w:rPr>
          <w:rFonts w:eastAsia="Calibri"/>
          <w:szCs w:val="20"/>
          <w:lang w:eastAsia="en-US"/>
        </w:rPr>
        <w:t xml:space="preserve">dotychczasowych </w:t>
      </w:r>
      <w:r w:rsidRPr="00404DA5">
        <w:rPr>
          <w:rFonts w:eastAsia="Calibri"/>
          <w:szCs w:val="20"/>
          <w:lang w:eastAsia="en-US"/>
        </w:rPr>
        <w:t>UoD realizujących ten wskaźnik (trwających</w:t>
      </w:r>
      <w:r w:rsidR="00E66B89">
        <w:rPr>
          <w:rFonts w:eastAsia="Calibri"/>
          <w:szCs w:val="20"/>
          <w:lang w:eastAsia="en-US"/>
        </w:rPr>
        <w:t xml:space="preserve"> i </w:t>
      </w:r>
      <w:r w:rsidRPr="00404DA5">
        <w:rPr>
          <w:rFonts w:eastAsia="Calibri"/>
          <w:szCs w:val="20"/>
          <w:lang w:eastAsia="en-US"/>
        </w:rPr>
        <w:t>zakończonych) wg stanu na 07.01.2019 r., osiągnął wartość 9 224,50 zł/osoba</w:t>
      </w:r>
      <w:r w:rsidRPr="00404DA5">
        <w:rPr>
          <w:rFonts w:eastAsia="Calibri"/>
          <w:szCs w:val="20"/>
          <w:vertAlign w:val="superscript"/>
          <w:lang w:eastAsia="en-US"/>
        </w:rPr>
        <w:footnoteReference w:id="60"/>
      </w:r>
      <w:r>
        <w:rPr>
          <w:rFonts w:eastAsia="Calibri"/>
          <w:szCs w:val="20"/>
          <w:lang w:eastAsia="en-US"/>
        </w:rPr>
        <w:t xml:space="preserve"> </w:t>
      </w:r>
      <w:bookmarkStart w:id="228" w:name="_Hlk5208471"/>
      <w:r w:rsidR="0013771A">
        <w:rPr>
          <w:rFonts w:eastAsia="Calibri"/>
          <w:szCs w:val="20"/>
          <w:lang w:eastAsia="en-US"/>
        </w:rPr>
        <w:t>(</w:t>
      </w:r>
      <w:r>
        <w:rPr>
          <w:rFonts w:eastAsia="Calibri"/>
          <w:szCs w:val="20"/>
          <w:lang w:eastAsia="en-US"/>
        </w:rPr>
        <w:t>prognozowany na kolejne lata k</w:t>
      </w:r>
      <w:r w:rsidRPr="005B13F1">
        <w:rPr>
          <w:rFonts w:eastAsia="Calibri"/>
          <w:szCs w:val="20"/>
          <w:lang w:eastAsia="en-US"/>
        </w:rPr>
        <w:t>oszt jednostkowy wskaźnika uwzględniający wzrost cen (wsk</w:t>
      </w:r>
      <w:r>
        <w:rPr>
          <w:rFonts w:eastAsia="Calibri"/>
          <w:szCs w:val="20"/>
          <w:lang w:eastAsia="en-US"/>
        </w:rPr>
        <w:t>aźnik</w:t>
      </w:r>
      <w:r w:rsidRPr="005B13F1">
        <w:rPr>
          <w:rFonts w:eastAsia="Calibri"/>
          <w:szCs w:val="20"/>
          <w:lang w:eastAsia="en-US"/>
        </w:rPr>
        <w:t xml:space="preserve"> </w:t>
      </w:r>
      <w:r w:rsidRPr="00B16FE7">
        <w:rPr>
          <w:rFonts w:eastAsia="Calibri"/>
          <w:szCs w:val="20"/>
          <w:lang w:eastAsia="en-US"/>
        </w:rPr>
        <w:t>CPI – Consumer Price Index</w:t>
      </w:r>
      <w:r>
        <w:rPr>
          <w:rFonts w:eastAsia="Calibri"/>
          <w:szCs w:val="20"/>
          <w:lang w:eastAsia="en-US"/>
        </w:rPr>
        <w:t>:</w:t>
      </w:r>
      <w:r w:rsidRPr="005B13F1">
        <w:rPr>
          <w:rFonts w:eastAsia="Calibri"/>
          <w:szCs w:val="20"/>
          <w:lang w:eastAsia="en-US"/>
        </w:rPr>
        <w:t xml:space="preserve"> 104,3%) </w:t>
      </w:r>
      <w:r>
        <w:rPr>
          <w:rFonts w:eastAsia="Calibri"/>
          <w:szCs w:val="20"/>
          <w:lang w:eastAsia="en-US"/>
        </w:rPr>
        <w:t>wynosi 9 619,09 zł/osoba</w:t>
      </w:r>
      <w:bookmarkEnd w:id="228"/>
      <w:r w:rsidR="0013771A">
        <w:rPr>
          <w:rFonts w:eastAsia="Calibri"/>
          <w:szCs w:val="20"/>
          <w:lang w:eastAsia="en-US"/>
        </w:rPr>
        <w:t xml:space="preserve">). </w:t>
      </w:r>
      <w:r>
        <w:rPr>
          <w:rFonts w:eastAsia="Calibri"/>
          <w:szCs w:val="20"/>
          <w:lang w:eastAsia="en-US"/>
        </w:rPr>
        <w:t>Osiągnięty (rzeczywisty/ wynikający</w:t>
      </w:r>
      <w:r w:rsidR="00E66B89">
        <w:rPr>
          <w:rFonts w:eastAsia="Calibri"/>
          <w:szCs w:val="20"/>
          <w:lang w:eastAsia="en-US"/>
        </w:rPr>
        <w:t xml:space="preserve"> z </w:t>
      </w:r>
      <w:r>
        <w:rPr>
          <w:rFonts w:eastAsia="Calibri"/>
          <w:szCs w:val="20"/>
          <w:lang w:eastAsia="en-US"/>
        </w:rPr>
        <w:t>UoD) koszt jednostkowy wskaźnika jest wyższy niż zakładano na etapie przygotowania Programu</w:t>
      </w:r>
      <w:r w:rsidR="00E66B89">
        <w:rPr>
          <w:rFonts w:eastAsia="Calibri"/>
          <w:szCs w:val="20"/>
          <w:lang w:eastAsia="en-US"/>
        </w:rPr>
        <w:t xml:space="preserve"> i </w:t>
      </w:r>
      <w:r>
        <w:rPr>
          <w:rFonts w:eastAsia="Calibri"/>
          <w:szCs w:val="20"/>
          <w:lang w:eastAsia="en-US"/>
        </w:rPr>
        <w:t>ujęto</w:t>
      </w:r>
      <w:r w:rsidR="00E66B89">
        <w:rPr>
          <w:rFonts w:eastAsia="Calibri"/>
          <w:szCs w:val="20"/>
          <w:lang w:eastAsia="en-US"/>
        </w:rPr>
        <w:t xml:space="preserve"> w </w:t>
      </w:r>
      <w:r w:rsidRPr="00356C18">
        <w:rPr>
          <w:rFonts w:eastAsia="Calibri"/>
          <w:szCs w:val="20"/>
          <w:lang w:eastAsia="en-US"/>
        </w:rPr>
        <w:t>Metodologii szacowania wartości docelowych dla wskaźników wybranych do realizacji</w:t>
      </w:r>
      <w:r w:rsidR="00E66B89">
        <w:rPr>
          <w:rFonts w:eastAsia="Calibri"/>
          <w:szCs w:val="20"/>
          <w:lang w:eastAsia="en-US"/>
        </w:rPr>
        <w:t xml:space="preserve"> w </w:t>
      </w:r>
      <w:r w:rsidRPr="00356C18">
        <w:rPr>
          <w:rFonts w:eastAsia="Calibri"/>
          <w:szCs w:val="20"/>
          <w:lang w:eastAsia="en-US"/>
        </w:rPr>
        <w:t>RPO WZ 2014-2020</w:t>
      </w:r>
      <w:r>
        <w:rPr>
          <w:rStyle w:val="Odwoanieprzypisudolnego"/>
          <w:rFonts w:eastAsia="Calibri"/>
          <w:szCs w:val="20"/>
          <w:lang w:eastAsia="en-US"/>
        </w:rPr>
        <w:footnoteReference w:id="61"/>
      </w:r>
      <w:r>
        <w:rPr>
          <w:rFonts w:eastAsia="Calibri"/>
          <w:szCs w:val="20"/>
          <w:lang w:eastAsia="en-US"/>
        </w:rPr>
        <w:t>. Ko</w:t>
      </w:r>
      <w:r w:rsidRPr="00375267">
        <w:rPr>
          <w:rFonts w:eastAsia="Calibri"/>
          <w:szCs w:val="20"/>
          <w:lang w:eastAsia="en-US"/>
        </w:rPr>
        <w:t xml:space="preserve">szt jednostkowy działań aktywizacyjnych </w:t>
      </w:r>
      <w:r>
        <w:rPr>
          <w:rFonts w:eastAsia="Calibri"/>
          <w:szCs w:val="20"/>
          <w:lang w:eastAsia="en-US"/>
        </w:rPr>
        <w:t xml:space="preserve">oszacowano na </w:t>
      </w:r>
      <w:r w:rsidRPr="00375267">
        <w:rPr>
          <w:rFonts w:eastAsia="Calibri"/>
          <w:szCs w:val="20"/>
          <w:lang w:eastAsia="en-US"/>
        </w:rPr>
        <w:t>ok. 7</w:t>
      </w:r>
      <w:r>
        <w:rPr>
          <w:rFonts w:eastAsia="Calibri"/>
          <w:szCs w:val="20"/>
          <w:lang w:eastAsia="en-US"/>
        </w:rPr>
        <w:t> </w:t>
      </w:r>
      <w:r w:rsidRPr="00375267">
        <w:rPr>
          <w:rFonts w:eastAsia="Calibri"/>
          <w:szCs w:val="20"/>
          <w:lang w:eastAsia="en-US"/>
        </w:rPr>
        <w:t>000</w:t>
      </w:r>
      <w:r>
        <w:rPr>
          <w:rFonts w:eastAsia="Calibri"/>
          <w:szCs w:val="20"/>
          <w:lang w:eastAsia="en-US"/>
        </w:rPr>
        <w:t>,00</w:t>
      </w:r>
      <w:r w:rsidRPr="00375267">
        <w:rPr>
          <w:rFonts w:eastAsia="Calibri"/>
          <w:szCs w:val="20"/>
          <w:lang w:eastAsia="en-US"/>
        </w:rPr>
        <w:t xml:space="preserve"> zł</w:t>
      </w:r>
      <w:r>
        <w:rPr>
          <w:rFonts w:eastAsia="Calibri"/>
          <w:szCs w:val="20"/>
          <w:lang w:eastAsia="en-US"/>
        </w:rPr>
        <w:t xml:space="preserve">; </w:t>
      </w:r>
      <w:r w:rsidRPr="00375267">
        <w:rPr>
          <w:rFonts w:eastAsia="Calibri"/>
          <w:szCs w:val="20"/>
          <w:lang w:eastAsia="en-US"/>
        </w:rPr>
        <w:t xml:space="preserve">pod uwagę </w:t>
      </w:r>
      <w:r>
        <w:rPr>
          <w:rFonts w:eastAsia="Calibri"/>
          <w:szCs w:val="20"/>
          <w:lang w:eastAsia="en-US"/>
        </w:rPr>
        <w:t xml:space="preserve">wzięto </w:t>
      </w:r>
      <w:r w:rsidRPr="00375267">
        <w:rPr>
          <w:rFonts w:eastAsia="Calibri"/>
          <w:szCs w:val="20"/>
          <w:lang w:eastAsia="en-US"/>
        </w:rPr>
        <w:t xml:space="preserve">koszt </w:t>
      </w:r>
      <w:r>
        <w:rPr>
          <w:rFonts w:eastAsia="Calibri"/>
          <w:szCs w:val="20"/>
          <w:lang w:eastAsia="en-US"/>
        </w:rPr>
        <w:t>poniesiony na</w:t>
      </w:r>
      <w:r w:rsidRPr="00375267">
        <w:rPr>
          <w:rFonts w:eastAsia="Calibri"/>
          <w:szCs w:val="20"/>
          <w:lang w:eastAsia="en-US"/>
        </w:rPr>
        <w:t xml:space="preserve"> uczestnika</w:t>
      </w:r>
      <w:r w:rsidR="00E66B89">
        <w:rPr>
          <w:rFonts w:eastAsia="Calibri"/>
          <w:szCs w:val="20"/>
          <w:lang w:eastAsia="en-US"/>
        </w:rPr>
        <w:t xml:space="preserve"> w </w:t>
      </w:r>
      <w:r w:rsidRPr="00375267">
        <w:rPr>
          <w:rFonts w:eastAsia="Calibri"/>
          <w:szCs w:val="20"/>
          <w:lang w:eastAsia="en-US"/>
        </w:rPr>
        <w:t>projekt</w:t>
      </w:r>
      <w:r>
        <w:rPr>
          <w:rFonts w:eastAsia="Calibri"/>
          <w:szCs w:val="20"/>
          <w:lang w:eastAsia="en-US"/>
        </w:rPr>
        <w:t>ach</w:t>
      </w:r>
      <w:r w:rsidRPr="00375267">
        <w:rPr>
          <w:rFonts w:eastAsia="Calibri"/>
          <w:szCs w:val="20"/>
          <w:lang w:eastAsia="en-US"/>
        </w:rPr>
        <w:t xml:space="preserve"> </w:t>
      </w:r>
      <w:r>
        <w:rPr>
          <w:rFonts w:eastAsia="Calibri"/>
          <w:szCs w:val="20"/>
          <w:lang w:eastAsia="en-US"/>
        </w:rPr>
        <w:t>realizowanych</w:t>
      </w:r>
      <w:r w:rsidR="00E66B89">
        <w:rPr>
          <w:rFonts w:eastAsia="Calibri"/>
          <w:szCs w:val="20"/>
          <w:lang w:eastAsia="en-US"/>
        </w:rPr>
        <w:t xml:space="preserve"> w </w:t>
      </w:r>
      <w:r w:rsidRPr="00375267">
        <w:rPr>
          <w:rFonts w:eastAsia="Calibri"/>
          <w:szCs w:val="20"/>
          <w:lang w:eastAsia="en-US"/>
        </w:rPr>
        <w:t>latach 2010-2012</w:t>
      </w:r>
      <w:r>
        <w:rPr>
          <w:rFonts w:eastAsia="Calibri"/>
          <w:szCs w:val="20"/>
          <w:lang w:eastAsia="en-US"/>
        </w:rPr>
        <w:t xml:space="preserve"> </w:t>
      </w:r>
      <w:r w:rsidRPr="00375267">
        <w:rPr>
          <w:rFonts w:eastAsia="Calibri"/>
          <w:szCs w:val="20"/>
          <w:lang w:eastAsia="en-US"/>
        </w:rPr>
        <w:t>przez Powiatowe Urzędy Pracy</w:t>
      </w:r>
      <w:r>
        <w:rPr>
          <w:rFonts w:eastAsia="Calibri"/>
          <w:szCs w:val="20"/>
          <w:lang w:eastAsia="en-US"/>
        </w:rPr>
        <w:t>/ PUP</w:t>
      </w:r>
      <w:r w:rsidRPr="00375267">
        <w:rPr>
          <w:rFonts w:eastAsia="Calibri"/>
          <w:szCs w:val="20"/>
          <w:lang w:eastAsia="en-US"/>
        </w:rPr>
        <w:t xml:space="preserve"> woj</w:t>
      </w:r>
      <w:r>
        <w:rPr>
          <w:rFonts w:eastAsia="Calibri"/>
          <w:szCs w:val="20"/>
          <w:lang w:eastAsia="en-US"/>
        </w:rPr>
        <w:t>ewództwa</w:t>
      </w:r>
      <w:r w:rsidRPr="00375267">
        <w:rPr>
          <w:rFonts w:eastAsia="Calibri"/>
          <w:szCs w:val="20"/>
          <w:lang w:eastAsia="en-US"/>
        </w:rPr>
        <w:t xml:space="preserve"> zachodniopomorskiego</w:t>
      </w:r>
      <w:r w:rsidR="00E66B89">
        <w:rPr>
          <w:rFonts w:eastAsia="Calibri"/>
          <w:szCs w:val="20"/>
          <w:lang w:eastAsia="en-US"/>
        </w:rPr>
        <w:t xml:space="preserve"> w </w:t>
      </w:r>
      <w:r w:rsidRPr="00375267">
        <w:rPr>
          <w:rFonts w:eastAsia="Calibri"/>
          <w:szCs w:val="20"/>
          <w:lang w:eastAsia="en-US"/>
        </w:rPr>
        <w:t>ramach Poddziałania 6.1.3 P</w:t>
      </w:r>
      <w:r>
        <w:rPr>
          <w:rFonts w:eastAsia="Calibri"/>
          <w:szCs w:val="20"/>
          <w:lang w:eastAsia="en-US"/>
        </w:rPr>
        <w:t xml:space="preserve">rogramu </w:t>
      </w:r>
      <w:r w:rsidRPr="00375267">
        <w:rPr>
          <w:rFonts w:eastAsia="Calibri"/>
          <w:szCs w:val="20"/>
          <w:lang w:eastAsia="en-US"/>
        </w:rPr>
        <w:t>O</w:t>
      </w:r>
      <w:r>
        <w:rPr>
          <w:rFonts w:eastAsia="Calibri"/>
          <w:szCs w:val="20"/>
          <w:lang w:eastAsia="en-US"/>
        </w:rPr>
        <w:t>peracyjnego</w:t>
      </w:r>
      <w:r w:rsidRPr="00375267">
        <w:rPr>
          <w:rFonts w:eastAsia="Calibri"/>
          <w:szCs w:val="20"/>
          <w:lang w:eastAsia="en-US"/>
        </w:rPr>
        <w:t xml:space="preserve"> K</w:t>
      </w:r>
      <w:r>
        <w:rPr>
          <w:rFonts w:eastAsia="Calibri"/>
          <w:szCs w:val="20"/>
          <w:lang w:eastAsia="en-US"/>
        </w:rPr>
        <w:t xml:space="preserve">apitał </w:t>
      </w:r>
      <w:r w:rsidRPr="00375267">
        <w:rPr>
          <w:rFonts w:eastAsia="Calibri"/>
          <w:szCs w:val="20"/>
          <w:lang w:eastAsia="en-US"/>
        </w:rPr>
        <w:t>L</w:t>
      </w:r>
      <w:r>
        <w:rPr>
          <w:rFonts w:eastAsia="Calibri"/>
          <w:szCs w:val="20"/>
          <w:lang w:eastAsia="en-US"/>
        </w:rPr>
        <w:t>udzki/ PO KL</w:t>
      </w:r>
      <w:r w:rsidRPr="00375267">
        <w:rPr>
          <w:rFonts w:eastAsia="Calibri"/>
          <w:szCs w:val="20"/>
          <w:lang w:eastAsia="en-US"/>
        </w:rPr>
        <w:t>.</w:t>
      </w:r>
      <w:r>
        <w:rPr>
          <w:rFonts w:eastAsia="Calibri"/>
          <w:szCs w:val="20"/>
          <w:lang w:eastAsia="en-US"/>
        </w:rPr>
        <w:t xml:space="preserve"> </w:t>
      </w:r>
      <w:r w:rsidRPr="00375267">
        <w:rPr>
          <w:rFonts w:eastAsia="Calibri"/>
          <w:szCs w:val="20"/>
          <w:lang w:eastAsia="en-US"/>
        </w:rPr>
        <w:t xml:space="preserve">Zasadność </w:t>
      </w:r>
      <w:r>
        <w:rPr>
          <w:rFonts w:eastAsia="Calibri"/>
          <w:szCs w:val="20"/>
          <w:lang w:eastAsia="en-US"/>
        </w:rPr>
        <w:t>uwzględnienia</w:t>
      </w:r>
      <w:r w:rsidR="00E66B89">
        <w:rPr>
          <w:rFonts w:eastAsia="Calibri"/>
          <w:szCs w:val="20"/>
          <w:lang w:eastAsia="en-US"/>
        </w:rPr>
        <w:t xml:space="preserve"> w </w:t>
      </w:r>
      <w:r>
        <w:rPr>
          <w:rFonts w:eastAsia="Calibri"/>
          <w:szCs w:val="20"/>
          <w:lang w:eastAsia="en-US"/>
        </w:rPr>
        <w:t xml:space="preserve">oszacowaniu kosztu jednostkowego </w:t>
      </w:r>
      <w:r w:rsidRPr="00375267">
        <w:rPr>
          <w:rFonts w:eastAsia="Calibri"/>
          <w:szCs w:val="20"/>
          <w:lang w:eastAsia="en-US"/>
        </w:rPr>
        <w:t xml:space="preserve">projektów </w:t>
      </w:r>
      <w:r>
        <w:rPr>
          <w:rFonts w:eastAsia="Calibri"/>
          <w:szCs w:val="20"/>
          <w:lang w:eastAsia="en-US"/>
        </w:rPr>
        <w:t>wdrażanych</w:t>
      </w:r>
      <w:r w:rsidRPr="00375267">
        <w:rPr>
          <w:rFonts w:eastAsia="Calibri"/>
          <w:szCs w:val="20"/>
          <w:lang w:eastAsia="en-US"/>
        </w:rPr>
        <w:t xml:space="preserve"> przez </w:t>
      </w:r>
      <w:r>
        <w:rPr>
          <w:rFonts w:eastAsia="Calibri"/>
          <w:szCs w:val="20"/>
          <w:lang w:eastAsia="en-US"/>
        </w:rPr>
        <w:t>PUP</w:t>
      </w:r>
      <w:r w:rsidR="00E66B89">
        <w:rPr>
          <w:rFonts w:eastAsia="Calibri"/>
          <w:szCs w:val="20"/>
          <w:lang w:eastAsia="en-US"/>
        </w:rPr>
        <w:t xml:space="preserve"> w </w:t>
      </w:r>
      <w:r w:rsidRPr="00375267">
        <w:rPr>
          <w:rFonts w:eastAsia="Calibri"/>
          <w:szCs w:val="20"/>
          <w:lang w:eastAsia="en-US"/>
        </w:rPr>
        <w:t>ramach PO KL 2007-2013, wynika</w:t>
      </w:r>
      <w:r>
        <w:rPr>
          <w:rFonts w:eastAsia="Calibri"/>
          <w:szCs w:val="20"/>
          <w:lang w:eastAsia="en-US"/>
        </w:rPr>
        <w:t>ła</w:t>
      </w:r>
      <w:r w:rsidR="00E66B89">
        <w:rPr>
          <w:rFonts w:eastAsia="Calibri"/>
          <w:szCs w:val="20"/>
          <w:lang w:eastAsia="en-US"/>
        </w:rPr>
        <w:t xml:space="preserve"> z </w:t>
      </w:r>
      <w:r w:rsidRPr="00375267">
        <w:rPr>
          <w:rFonts w:eastAsia="Calibri"/>
          <w:szCs w:val="20"/>
          <w:lang w:eastAsia="en-US"/>
        </w:rPr>
        <w:t xml:space="preserve">realizacji </w:t>
      </w:r>
      <w:r>
        <w:rPr>
          <w:rFonts w:eastAsia="Calibri"/>
          <w:szCs w:val="20"/>
          <w:lang w:eastAsia="en-US"/>
        </w:rPr>
        <w:t xml:space="preserve">we wskazanych projektach </w:t>
      </w:r>
      <w:r w:rsidRPr="00375267">
        <w:rPr>
          <w:rFonts w:eastAsia="Calibri"/>
          <w:szCs w:val="20"/>
          <w:lang w:eastAsia="en-US"/>
        </w:rPr>
        <w:t>takiego samego zakresu wsparcia, który zaplanowano</w:t>
      </w:r>
      <w:r w:rsidR="00E66B89">
        <w:rPr>
          <w:rFonts w:eastAsia="Calibri"/>
          <w:szCs w:val="20"/>
          <w:lang w:eastAsia="en-US"/>
        </w:rPr>
        <w:t xml:space="preserve"> w </w:t>
      </w:r>
      <w:r w:rsidRPr="00375267">
        <w:rPr>
          <w:rFonts w:eastAsia="Calibri"/>
          <w:szCs w:val="20"/>
          <w:lang w:eastAsia="en-US"/>
        </w:rPr>
        <w:t>ramach PI 8i RPO WZ 2014-2020.</w:t>
      </w:r>
      <w:r>
        <w:rPr>
          <w:rFonts w:eastAsia="Calibri"/>
          <w:szCs w:val="20"/>
          <w:lang w:eastAsia="en-US"/>
        </w:rPr>
        <w:t xml:space="preserve"> Następnie, </w:t>
      </w:r>
      <w:r w:rsidRPr="00375267">
        <w:rPr>
          <w:rFonts w:eastAsia="Calibri"/>
          <w:szCs w:val="20"/>
          <w:lang w:eastAsia="en-US"/>
        </w:rPr>
        <w:t>koszt te</w:t>
      </w:r>
      <w:r>
        <w:rPr>
          <w:rFonts w:eastAsia="Calibri"/>
          <w:szCs w:val="20"/>
          <w:lang w:eastAsia="en-US"/>
        </w:rPr>
        <w:t>n</w:t>
      </w:r>
      <w:r w:rsidRPr="00375267">
        <w:rPr>
          <w:rFonts w:eastAsia="Calibri"/>
          <w:szCs w:val="20"/>
          <w:lang w:eastAsia="en-US"/>
        </w:rPr>
        <w:t xml:space="preserve"> został przeliczon</w:t>
      </w:r>
      <w:r>
        <w:rPr>
          <w:rFonts w:eastAsia="Calibri"/>
          <w:szCs w:val="20"/>
          <w:lang w:eastAsia="en-US"/>
        </w:rPr>
        <w:t>y</w:t>
      </w:r>
      <w:r w:rsidR="00E66B89">
        <w:rPr>
          <w:rFonts w:eastAsia="Calibri"/>
          <w:szCs w:val="20"/>
          <w:lang w:eastAsia="en-US"/>
        </w:rPr>
        <w:t xml:space="preserve"> z </w:t>
      </w:r>
      <w:r>
        <w:rPr>
          <w:rFonts w:eastAsia="Calibri"/>
          <w:szCs w:val="20"/>
          <w:lang w:eastAsia="en-US"/>
        </w:rPr>
        <w:t>ceny bieżącej na stałą (z </w:t>
      </w:r>
      <w:r w:rsidRPr="00375267">
        <w:rPr>
          <w:rFonts w:eastAsia="Calibri"/>
          <w:szCs w:val="20"/>
          <w:lang w:eastAsia="en-US"/>
        </w:rPr>
        <w:t>wykorzyst</w:t>
      </w:r>
      <w:r>
        <w:rPr>
          <w:rFonts w:eastAsia="Calibri"/>
          <w:szCs w:val="20"/>
          <w:lang w:eastAsia="en-US"/>
        </w:rPr>
        <w:t>aniem</w:t>
      </w:r>
      <w:r w:rsidRPr="00375267">
        <w:rPr>
          <w:rFonts w:eastAsia="Calibri"/>
          <w:szCs w:val="20"/>
          <w:lang w:eastAsia="en-US"/>
        </w:rPr>
        <w:t xml:space="preserve"> </w:t>
      </w:r>
      <w:r w:rsidRPr="00356C18">
        <w:rPr>
          <w:rFonts w:eastAsia="Calibri"/>
          <w:i/>
          <w:szCs w:val="20"/>
          <w:lang w:eastAsia="en-US"/>
        </w:rPr>
        <w:t>Modułu do przeliczania cen bieżących na ceny stałe na potrzeby szacowania wartości docelowych wskaźników produktu</w:t>
      </w:r>
      <w:r w:rsidR="00E66B89">
        <w:rPr>
          <w:rFonts w:eastAsia="Calibri"/>
          <w:i/>
          <w:szCs w:val="20"/>
          <w:lang w:eastAsia="en-US"/>
        </w:rPr>
        <w:t xml:space="preserve"> w </w:t>
      </w:r>
      <w:r w:rsidRPr="00356C18">
        <w:rPr>
          <w:rFonts w:eastAsia="Calibri"/>
          <w:i/>
          <w:szCs w:val="20"/>
          <w:lang w:eastAsia="en-US"/>
        </w:rPr>
        <w:t>programach operacyjnych na lata 2014-2020</w:t>
      </w:r>
      <w:r>
        <w:rPr>
          <w:rStyle w:val="Odwoanieprzypisudolnego"/>
          <w:rFonts w:eastAsia="Calibri"/>
          <w:szCs w:val="20"/>
          <w:lang w:eastAsia="en-US"/>
        </w:rPr>
        <w:footnoteReference w:id="62"/>
      </w:r>
      <w:r>
        <w:rPr>
          <w:rFonts w:eastAsia="Calibri"/>
          <w:szCs w:val="20"/>
          <w:lang w:eastAsia="en-US"/>
        </w:rPr>
        <w:t>), osiągając wartość 7 428 zł. Przyczyn uzyskania wyższego (niż szacowany) średniego kosztu jednostkowego wskaźnika należy</w:t>
      </w:r>
      <w:r w:rsidR="00E66B89">
        <w:rPr>
          <w:rFonts w:eastAsia="Calibri"/>
          <w:szCs w:val="20"/>
          <w:lang w:eastAsia="en-US"/>
        </w:rPr>
        <w:t xml:space="preserve"> w </w:t>
      </w:r>
      <w:r>
        <w:rPr>
          <w:rFonts w:eastAsia="Calibri"/>
          <w:szCs w:val="20"/>
          <w:lang w:eastAsia="en-US"/>
        </w:rPr>
        <w:t>szczególności upatrywać</w:t>
      </w:r>
      <w:r w:rsidR="00E66B89">
        <w:rPr>
          <w:rFonts w:eastAsia="Calibri"/>
          <w:szCs w:val="20"/>
          <w:lang w:eastAsia="en-US"/>
        </w:rPr>
        <w:t xml:space="preserve"> w </w:t>
      </w:r>
      <w:r>
        <w:rPr>
          <w:rFonts w:eastAsia="Calibri"/>
          <w:szCs w:val="20"/>
          <w:lang w:eastAsia="en-US"/>
        </w:rPr>
        <w:t>większych nakładach pracy, koniecznych do poniesienia przez Beneficjentów działających</w:t>
      </w:r>
      <w:r w:rsidR="00E66B89">
        <w:rPr>
          <w:rFonts w:eastAsia="Calibri"/>
          <w:szCs w:val="20"/>
          <w:lang w:eastAsia="en-US"/>
        </w:rPr>
        <w:t xml:space="preserve"> w </w:t>
      </w:r>
      <w:r>
        <w:rPr>
          <w:rFonts w:eastAsia="Calibri"/>
          <w:szCs w:val="20"/>
          <w:lang w:eastAsia="en-US"/>
        </w:rPr>
        <w:t>warunkach, diagnozowanej</w:t>
      </w:r>
      <w:r w:rsidR="00E66B89">
        <w:rPr>
          <w:rFonts w:eastAsia="Calibri"/>
          <w:szCs w:val="20"/>
          <w:lang w:eastAsia="en-US"/>
        </w:rPr>
        <w:t xml:space="preserve"> w </w:t>
      </w:r>
      <w:r w:rsidRPr="00633C69">
        <w:rPr>
          <w:rFonts w:eastAsia="Calibri"/>
          <w:szCs w:val="20"/>
          <w:lang w:eastAsia="en-US"/>
        </w:rPr>
        <w:t>okresie wdrażania Programu, popraw</w:t>
      </w:r>
      <w:r>
        <w:rPr>
          <w:rFonts w:eastAsia="Calibri"/>
          <w:szCs w:val="20"/>
          <w:lang w:eastAsia="en-US"/>
        </w:rPr>
        <w:t>y</w:t>
      </w:r>
      <w:r w:rsidRPr="00633C69">
        <w:rPr>
          <w:rFonts w:eastAsia="Calibri"/>
          <w:szCs w:val="20"/>
          <w:lang w:eastAsia="en-US"/>
        </w:rPr>
        <w:t xml:space="preserve"> sytuacji na rynku pracy, tj. wzrost</w:t>
      </w:r>
      <w:r>
        <w:rPr>
          <w:rFonts w:eastAsia="Calibri"/>
          <w:szCs w:val="20"/>
          <w:lang w:eastAsia="en-US"/>
        </w:rPr>
        <w:t>u</w:t>
      </w:r>
      <w:r w:rsidRPr="00633C69">
        <w:rPr>
          <w:rFonts w:eastAsia="Calibri"/>
          <w:szCs w:val="20"/>
          <w:lang w:eastAsia="en-US"/>
        </w:rPr>
        <w:t xml:space="preserve"> wskaźnika zatrudnienia, spójn</w:t>
      </w:r>
      <w:r>
        <w:rPr>
          <w:rFonts w:eastAsia="Calibri"/>
          <w:szCs w:val="20"/>
          <w:lang w:eastAsia="en-US"/>
        </w:rPr>
        <w:t>ego</w:t>
      </w:r>
      <w:r w:rsidR="00E66B89">
        <w:rPr>
          <w:rFonts w:eastAsia="Calibri"/>
          <w:szCs w:val="20"/>
          <w:lang w:eastAsia="en-US"/>
        </w:rPr>
        <w:t xml:space="preserve"> z </w:t>
      </w:r>
      <w:r w:rsidRPr="00633C69">
        <w:rPr>
          <w:rFonts w:eastAsia="Calibri"/>
          <w:szCs w:val="20"/>
          <w:lang w:eastAsia="en-US"/>
        </w:rPr>
        <w:t>tą tendencją spadk</w:t>
      </w:r>
      <w:r>
        <w:rPr>
          <w:rFonts w:eastAsia="Calibri"/>
          <w:szCs w:val="20"/>
          <w:lang w:eastAsia="en-US"/>
        </w:rPr>
        <w:t>u</w:t>
      </w:r>
      <w:r w:rsidRPr="00633C69">
        <w:rPr>
          <w:rFonts w:eastAsia="Calibri"/>
          <w:szCs w:val="20"/>
          <w:lang w:eastAsia="en-US"/>
        </w:rPr>
        <w:t xml:space="preserve"> rejestrowanego bezrobocia, powodują</w:t>
      </w:r>
      <w:r>
        <w:rPr>
          <w:rFonts w:eastAsia="Calibri"/>
          <w:szCs w:val="20"/>
          <w:lang w:eastAsia="en-US"/>
        </w:rPr>
        <w:t>cego</w:t>
      </w:r>
      <w:r w:rsidRPr="00633C69">
        <w:rPr>
          <w:rFonts w:eastAsia="Calibri"/>
          <w:szCs w:val="20"/>
          <w:lang w:eastAsia="en-US"/>
        </w:rPr>
        <w:t xml:space="preserve"> zmniejsz</w:t>
      </w:r>
      <w:r>
        <w:rPr>
          <w:rFonts w:eastAsia="Calibri"/>
          <w:szCs w:val="20"/>
          <w:lang w:eastAsia="en-US"/>
        </w:rPr>
        <w:t>a</w:t>
      </w:r>
      <w:r w:rsidRPr="00633C69">
        <w:rPr>
          <w:rFonts w:eastAsia="Calibri"/>
          <w:szCs w:val="20"/>
          <w:lang w:eastAsia="en-US"/>
        </w:rPr>
        <w:t xml:space="preserve">nie </w:t>
      </w:r>
      <w:r>
        <w:rPr>
          <w:rFonts w:eastAsia="Calibri"/>
          <w:szCs w:val="20"/>
          <w:lang w:eastAsia="en-US"/>
        </w:rPr>
        <w:t xml:space="preserve">się </w:t>
      </w:r>
      <w:r w:rsidRPr="00633C69">
        <w:rPr>
          <w:rFonts w:eastAsia="Calibri"/>
          <w:szCs w:val="20"/>
          <w:lang w:eastAsia="en-US"/>
        </w:rPr>
        <w:t>populacji odbiorców wsparcia</w:t>
      </w:r>
      <w:r>
        <w:rPr>
          <w:rFonts w:eastAsia="Calibri"/>
          <w:szCs w:val="20"/>
          <w:lang w:eastAsia="en-US"/>
        </w:rPr>
        <w:t xml:space="preserve"> / osób bezrobotnych</w:t>
      </w:r>
      <w:r w:rsidRPr="00633C69">
        <w:rPr>
          <w:rFonts w:eastAsia="Calibri"/>
          <w:szCs w:val="20"/>
          <w:lang w:eastAsia="en-US"/>
        </w:rPr>
        <w:t>.</w:t>
      </w:r>
      <w:r>
        <w:rPr>
          <w:rFonts w:eastAsia="Calibri"/>
          <w:szCs w:val="20"/>
          <w:lang w:eastAsia="en-US"/>
        </w:rPr>
        <w:t xml:space="preserve"> Warto podkreślić, że</w:t>
      </w:r>
      <w:r w:rsidR="00E66B89">
        <w:rPr>
          <w:rFonts w:eastAsia="Calibri"/>
          <w:szCs w:val="20"/>
          <w:lang w:eastAsia="en-US"/>
        </w:rPr>
        <w:t xml:space="preserve"> w </w:t>
      </w:r>
      <w:r w:rsidRPr="002A55DB">
        <w:rPr>
          <w:rFonts w:eastAsia="Calibri"/>
          <w:szCs w:val="20"/>
          <w:lang w:eastAsia="en-US"/>
        </w:rPr>
        <w:t xml:space="preserve">projektach </w:t>
      </w:r>
      <w:r>
        <w:rPr>
          <w:rFonts w:eastAsia="Calibri"/>
          <w:szCs w:val="20"/>
          <w:lang w:eastAsia="en-US"/>
        </w:rPr>
        <w:t>EFS („</w:t>
      </w:r>
      <w:r w:rsidRPr="002A55DB">
        <w:rPr>
          <w:rFonts w:eastAsia="Calibri"/>
          <w:szCs w:val="20"/>
          <w:lang w:eastAsia="en-US"/>
        </w:rPr>
        <w:t>miękkich</w:t>
      </w:r>
      <w:r>
        <w:rPr>
          <w:rFonts w:eastAsia="Calibri"/>
          <w:szCs w:val="20"/>
          <w:lang w:eastAsia="en-US"/>
        </w:rPr>
        <w:t>”)</w:t>
      </w:r>
      <w:r w:rsidRPr="002A55DB">
        <w:rPr>
          <w:rFonts w:eastAsia="Calibri"/>
          <w:szCs w:val="20"/>
          <w:lang w:eastAsia="en-US"/>
        </w:rPr>
        <w:t xml:space="preserve">, decydujące znaczenie </w:t>
      </w:r>
      <w:r>
        <w:rPr>
          <w:rFonts w:eastAsia="Calibri"/>
          <w:szCs w:val="20"/>
          <w:lang w:eastAsia="en-US"/>
        </w:rPr>
        <w:t xml:space="preserve">dla wysokości kosztu jednostkowego </w:t>
      </w:r>
      <w:r w:rsidRPr="002A55DB">
        <w:rPr>
          <w:rFonts w:eastAsia="Calibri"/>
          <w:szCs w:val="20"/>
          <w:lang w:eastAsia="en-US"/>
        </w:rPr>
        <w:t>ma</w:t>
      </w:r>
      <w:r>
        <w:rPr>
          <w:rFonts w:eastAsia="Calibri"/>
          <w:szCs w:val="20"/>
          <w:lang w:eastAsia="en-US"/>
        </w:rPr>
        <w:t xml:space="preserve"> praca (zatem</w:t>
      </w:r>
      <w:r w:rsidRPr="002A55DB">
        <w:rPr>
          <w:rFonts w:eastAsia="Calibri"/>
          <w:szCs w:val="20"/>
          <w:lang w:eastAsia="en-US"/>
        </w:rPr>
        <w:t xml:space="preserve"> wynagrodzenia</w:t>
      </w:r>
      <w:r>
        <w:rPr>
          <w:rFonts w:eastAsia="Calibri"/>
          <w:szCs w:val="20"/>
          <w:lang w:eastAsia="en-US"/>
        </w:rPr>
        <w:t>)</w:t>
      </w:r>
      <w:r w:rsidRPr="002A55DB">
        <w:rPr>
          <w:rFonts w:eastAsia="Calibri"/>
          <w:szCs w:val="20"/>
          <w:lang w:eastAsia="en-US"/>
        </w:rPr>
        <w:t xml:space="preserve"> </w:t>
      </w:r>
      <w:r>
        <w:rPr>
          <w:rFonts w:eastAsia="Calibri"/>
          <w:szCs w:val="20"/>
          <w:lang w:eastAsia="en-US"/>
        </w:rPr>
        <w:t xml:space="preserve">wykonywana przez </w:t>
      </w:r>
      <w:r w:rsidRPr="002A55DB">
        <w:rPr>
          <w:rFonts w:eastAsia="Calibri"/>
          <w:szCs w:val="20"/>
          <w:lang w:eastAsia="en-US"/>
        </w:rPr>
        <w:t>pracowników</w:t>
      </w:r>
      <w:r>
        <w:rPr>
          <w:rFonts w:eastAsia="Calibri"/>
          <w:szCs w:val="20"/>
          <w:lang w:eastAsia="en-US"/>
        </w:rPr>
        <w:t>-specjalistów realizujących projekt</w:t>
      </w:r>
      <w:r w:rsidRPr="002A55DB">
        <w:rPr>
          <w:rFonts w:eastAsia="Calibri"/>
          <w:szCs w:val="20"/>
          <w:lang w:eastAsia="en-US"/>
        </w:rPr>
        <w:t>.</w:t>
      </w:r>
    </w:p>
    <w:p w14:paraId="463DA032" w14:textId="77777777" w:rsidR="00881780" w:rsidRDefault="00881780" w:rsidP="00881780">
      <w:pPr>
        <w:spacing w:line="276" w:lineRule="auto"/>
        <w:rPr>
          <w:rFonts w:eastAsia="Calibri"/>
          <w:szCs w:val="20"/>
          <w:lang w:eastAsia="en-US"/>
        </w:rPr>
      </w:pPr>
      <w:r w:rsidRPr="00404DA5">
        <w:rPr>
          <w:rFonts w:eastAsia="Calibri"/>
          <w:szCs w:val="20"/>
          <w:lang w:eastAsia="en-US"/>
        </w:rPr>
        <w:t>Biorąc pod uwagę obserwowaną</w:t>
      </w:r>
      <w:r w:rsidR="00E66B89">
        <w:rPr>
          <w:rFonts w:eastAsia="Calibri"/>
          <w:szCs w:val="20"/>
          <w:lang w:eastAsia="en-US"/>
        </w:rPr>
        <w:t xml:space="preserve"> w </w:t>
      </w:r>
      <w:r w:rsidRPr="00404DA5">
        <w:rPr>
          <w:rFonts w:eastAsia="Calibri"/>
          <w:szCs w:val="20"/>
          <w:lang w:eastAsia="en-US"/>
        </w:rPr>
        <w:t>regionie,</w:t>
      </w:r>
      <w:r w:rsidR="00E66B89">
        <w:rPr>
          <w:rFonts w:eastAsia="Calibri"/>
          <w:szCs w:val="20"/>
          <w:lang w:eastAsia="en-US"/>
        </w:rPr>
        <w:t xml:space="preserve"> w </w:t>
      </w:r>
      <w:r w:rsidRPr="00404DA5">
        <w:rPr>
          <w:rFonts w:eastAsia="Calibri"/>
          <w:szCs w:val="20"/>
          <w:lang w:eastAsia="en-US"/>
        </w:rPr>
        <w:t xml:space="preserve">okresie wdrażania Programu zmianę wskaźników dotyczących rejestrowanego bezrobocia, poziom wykonania celu pośredniego (na 2018 rok) oraz celu końcowego (na 2023 rok) </w:t>
      </w:r>
      <w:r w:rsidRPr="00404DA5">
        <w:rPr>
          <w:rFonts w:eastAsia="Calibri"/>
          <w:szCs w:val="20"/>
          <w:lang w:eastAsia="en-US"/>
        </w:rPr>
        <w:noBreakHyphen/>
        <w:t xml:space="preserve"> należy uznać za bardzo dobry wynik. Prognozowany wg UoD stopień osiągnięcia wartości końcowej wskaźnika jest wysoki. Od roku 2012,</w:t>
      </w:r>
      <w:r w:rsidR="00E66B89">
        <w:rPr>
          <w:rFonts w:eastAsia="Calibri"/>
          <w:szCs w:val="20"/>
          <w:lang w:eastAsia="en-US"/>
        </w:rPr>
        <w:t xml:space="preserve"> w </w:t>
      </w:r>
      <w:r w:rsidRPr="00404DA5">
        <w:rPr>
          <w:rFonts w:eastAsia="Calibri"/>
          <w:szCs w:val="20"/>
          <w:lang w:eastAsia="en-US"/>
        </w:rPr>
        <w:t>którym zanotowano najwyższą</w:t>
      </w:r>
      <w:r w:rsidR="00E66B89">
        <w:rPr>
          <w:rFonts w:eastAsia="Calibri"/>
          <w:szCs w:val="20"/>
          <w:lang w:eastAsia="en-US"/>
        </w:rPr>
        <w:t xml:space="preserve"> w </w:t>
      </w:r>
      <w:r w:rsidRPr="00404DA5">
        <w:rPr>
          <w:rFonts w:eastAsia="Calibri"/>
          <w:szCs w:val="20"/>
          <w:lang w:eastAsia="en-US"/>
        </w:rPr>
        <w:t>województwie na przestrzeni dekady liczbę zarejestrowanych bezrobotnych</w:t>
      </w:r>
      <w:r w:rsidR="00E66B89">
        <w:rPr>
          <w:rFonts w:eastAsia="Calibri"/>
          <w:szCs w:val="20"/>
          <w:lang w:eastAsia="en-US"/>
        </w:rPr>
        <w:t xml:space="preserve"> i </w:t>
      </w:r>
      <w:r w:rsidRPr="00404DA5">
        <w:rPr>
          <w:rFonts w:eastAsia="Calibri"/>
          <w:szCs w:val="20"/>
          <w:lang w:eastAsia="en-US"/>
        </w:rPr>
        <w:t>stopę bezrobocia</w:t>
      </w:r>
      <w:r w:rsidRPr="00404DA5">
        <w:rPr>
          <w:rFonts w:eastAsia="Calibri"/>
          <w:szCs w:val="20"/>
          <w:vertAlign w:val="superscript"/>
          <w:lang w:eastAsia="en-US"/>
        </w:rPr>
        <w:footnoteReference w:id="63"/>
      </w:r>
      <w:r w:rsidRPr="00404DA5">
        <w:rPr>
          <w:rFonts w:eastAsia="Calibri"/>
          <w:szCs w:val="20"/>
          <w:lang w:eastAsia="en-US"/>
        </w:rPr>
        <w:t>, wskaźnik ten systematycznie spada, aczkolwiek nadal jest wyższy niż średnia dla kraju –</w:t>
      </w:r>
      <w:r w:rsidR="00E66B89">
        <w:rPr>
          <w:rFonts w:eastAsia="Calibri"/>
          <w:szCs w:val="20"/>
          <w:lang w:eastAsia="en-US"/>
        </w:rPr>
        <w:t xml:space="preserve"> o </w:t>
      </w:r>
      <w:r w:rsidRPr="00404DA5">
        <w:rPr>
          <w:rFonts w:eastAsia="Calibri"/>
          <w:szCs w:val="20"/>
          <w:lang w:eastAsia="en-US"/>
        </w:rPr>
        <w:t>4,</w:t>
      </w:r>
      <w:r>
        <w:rPr>
          <w:rFonts w:eastAsia="Calibri"/>
          <w:szCs w:val="20"/>
          <w:lang w:eastAsia="en-US"/>
        </w:rPr>
        <w:t>8</w:t>
      </w:r>
      <w:r w:rsidRPr="00404DA5">
        <w:rPr>
          <w:rFonts w:eastAsia="Calibri"/>
          <w:szCs w:val="20"/>
          <w:lang w:eastAsia="en-US"/>
        </w:rPr>
        <w:t xml:space="preserve"> pp.</w:t>
      </w:r>
      <w:r w:rsidR="00E66B89">
        <w:rPr>
          <w:rFonts w:eastAsia="Calibri"/>
          <w:szCs w:val="20"/>
          <w:lang w:eastAsia="en-US"/>
        </w:rPr>
        <w:t xml:space="preserve"> w </w:t>
      </w:r>
      <w:r w:rsidRPr="00404DA5">
        <w:rPr>
          <w:rFonts w:eastAsia="Calibri"/>
          <w:szCs w:val="20"/>
          <w:lang w:eastAsia="en-US"/>
        </w:rPr>
        <w:t>grudniu 2012 r.</w:t>
      </w:r>
      <w:r w:rsidR="00E66B89">
        <w:rPr>
          <w:rFonts w:eastAsia="Calibri"/>
          <w:szCs w:val="20"/>
          <w:lang w:eastAsia="en-US"/>
        </w:rPr>
        <w:t xml:space="preserve"> i </w:t>
      </w:r>
      <w:r w:rsidRPr="00404DA5">
        <w:rPr>
          <w:rFonts w:eastAsia="Calibri"/>
          <w:szCs w:val="20"/>
          <w:lang w:eastAsia="en-US"/>
        </w:rPr>
        <w:t>tylko 1,</w:t>
      </w:r>
      <w:r>
        <w:rPr>
          <w:rFonts w:eastAsia="Calibri"/>
          <w:szCs w:val="20"/>
          <w:lang w:eastAsia="en-US"/>
        </w:rPr>
        <w:t>7</w:t>
      </w:r>
      <w:r w:rsidRPr="00404DA5">
        <w:rPr>
          <w:rFonts w:eastAsia="Calibri"/>
          <w:szCs w:val="20"/>
          <w:lang w:eastAsia="en-US"/>
        </w:rPr>
        <w:t xml:space="preserve"> pp. na koniec </w:t>
      </w:r>
      <w:r>
        <w:rPr>
          <w:rFonts w:eastAsia="Calibri"/>
          <w:szCs w:val="20"/>
          <w:lang w:eastAsia="en-US"/>
        </w:rPr>
        <w:t xml:space="preserve">grudnia </w:t>
      </w:r>
      <w:r w:rsidRPr="00404DA5">
        <w:rPr>
          <w:rFonts w:eastAsia="Calibri"/>
          <w:szCs w:val="20"/>
          <w:lang w:eastAsia="en-US"/>
        </w:rPr>
        <w:t>2018 r. (w 2012 r. stopa bezrobocia</w:t>
      </w:r>
      <w:r w:rsidR="00E66B89">
        <w:rPr>
          <w:rFonts w:eastAsia="Calibri"/>
          <w:szCs w:val="20"/>
          <w:lang w:eastAsia="en-US"/>
        </w:rPr>
        <w:t xml:space="preserve"> w </w:t>
      </w:r>
      <w:r w:rsidRPr="00404DA5">
        <w:rPr>
          <w:rFonts w:eastAsia="Calibri"/>
          <w:szCs w:val="20"/>
          <w:lang w:eastAsia="en-US"/>
        </w:rPr>
        <w:t>regionie wynosiła 18,2%</w:t>
      </w:r>
      <w:r w:rsidR="00E66B89">
        <w:rPr>
          <w:rFonts w:eastAsia="Calibri"/>
          <w:szCs w:val="20"/>
          <w:lang w:eastAsia="en-US"/>
        </w:rPr>
        <w:t xml:space="preserve"> a </w:t>
      </w:r>
      <w:r w:rsidRPr="00404DA5">
        <w:rPr>
          <w:rFonts w:eastAsia="Calibri"/>
          <w:szCs w:val="20"/>
          <w:lang w:eastAsia="en-US"/>
        </w:rPr>
        <w:t>liczba zarejestrowanych bezrobotnych 112 521;</w:t>
      </w:r>
      <w:r w:rsidR="00E66B89">
        <w:rPr>
          <w:rFonts w:eastAsia="Calibri"/>
          <w:szCs w:val="20"/>
          <w:lang w:eastAsia="en-US"/>
        </w:rPr>
        <w:t xml:space="preserve"> w </w:t>
      </w:r>
      <w:r w:rsidRPr="00404DA5">
        <w:rPr>
          <w:rFonts w:eastAsia="Calibri"/>
          <w:szCs w:val="20"/>
          <w:lang w:eastAsia="en-US"/>
        </w:rPr>
        <w:t>2018 r. już tylko 7,4%</w:t>
      </w:r>
      <w:r w:rsidR="00E66B89">
        <w:rPr>
          <w:rFonts w:eastAsia="Calibri"/>
          <w:szCs w:val="20"/>
          <w:lang w:eastAsia="en-US"/>
        </w:rPr>
        <w:t xml:space="preserve"> i </w:t>
      </w:r>
      <w:r w:rsidRPr="00404DA5">
        <w:rPr>
          <w:rFonts w:eastAsia="Calibri"/>
          <w:szCs w:val="20"/>
          <w:lang w:eastAsia="en-US"/>
        </w:rPr>
        <w:t>46 002 osób bezrobotnych; stopa bezrobocia</w:t>
      </w:r>
      <w:r w:rsidR="00E66B89">
        <w:rPr>
          <w:rFonts w:eastAsia="Calibri"/>
          <w:szCs w:val="20"/>
          <w:lang w:eastAsia="en-US"/>
        </w:rPr>
        <w:t xml:space="preserve"> w </w:t>
      </w:r>
      <w:r w:rsidRPr="00404DA5">
        <w:rPr>
          <w:rFonts w:eastAsia="Calibri"/>
          <w:szCs w:val="20"/>
          <w:lang w:eastAsia="en-US"/>
        </w:rPr>
        <w:t>kraju: analogicznie – 13.4</w:t>
      </w:r>
      <w:r>
        <w:rPr>
          <w:rFonts w:eastAsia="Calibri"/>
          <w:szCs w:val="20"/>
          <w:lang w:eastAsia="en-US"/>
        </w:rPr>
        <w:t>%</w:t>
      </w:r>
      <w:r w:rsidR="00E66B89">
        <w:rPr>
          <w:rFonts w:eastAsia="Calibri"/>
          <w:szCs w:val="20"/>
          <w:lang w:eastAsia="en-US"/>
        </w:rPr>
        <w:t xml:space="preserve"> w </w:t>
      </w:r>
      <w:r w:rsidRPr="00404DA5">
        <w:rPr>
          <w:rFonts w:eastAsia="Calibri"/>
          <w:szCs w:val="20"/>
          <w:lang w:eastAsia="en-US"/>
        </w:rPr>
        <w:t>2012 r.; 5,8%</w:t>
      </w:r>
      <w:r w:rsidR="00E66B89">
        <w:rPr>
          <w:rFonts w:eastAsia="Calibri"/>
          <w:szCs w:val="20"/>
          <w:lang w:eastAsia="en-US"/>
        </w:rPr>
        <w:t xml:space="preserve"> w </w:t>
      </w:r>
      <w:r w:rsidRPr="00404DA5">
        <w:rPr>
          <w:rFonts w:eastAsia="Calibri"/>
          <w:szCs w:val="20"/>
          <w:lang w:eastAsia="en-US"/>
        </w:rPr>
        <w:t xml:space="preserve">2018 r.). </w:t>
      </w:r>
      <w:bookmarkStart w:id="229" w:name="_Hlk536437575"/>
      <w:bookmarkStart w:id="230" w:name="_Hlk536399235"/>
      <w:r w:rsidRPr="00D421E1">
        <w:rPr>
          <w:rFonts w:eastAsia="Calibri"/>
          <w:szCs w:val="20"/>
          <w:lang w:eastAsia="en-US"/>
        </w:rPr>
        <w:t>Znaczący spadek liczby osób bezrobotnych</w:t>
      </w:r>
      <w:r w:rsidR="00E66B89">
        <w:rPr>
          <w:rFonts w:eastAsia="Calibri"/>
          <w:szCs w:val="20"/>
          <w:lang w:eastAsia="en-US"/>
        </w:rPr>
        <w:t xml:space="preserve"> i </w:t>
      </w:r>
      <w:r w:rsidRPr="00D421E1">
        <w:rPr>
          <w:rFonts w:eastAsia="Calibri"/>
          <w:szCs w:val="20"/>
          <w:lang w:eastAsia="en-US"/>
        </w:rPr>
        <w:t>stopy bezrobocia</w:t>
      </w:r>
      <w:r w:rsidR="00E66B89">
        <w:rPr>
          <w:rFonts w:eastAsia="Calibri"/>
          <w:szCs w:val="20"/>
          <w:lang w:eastAsia="en-US"/>
        </w:rPr>
        <w:t xml:space="preserve"> w </w:t>
      </w:r>
      <w:r w:rsidRPr="00D421E1">
        <w:rPr>
          <w:rFonts w:eastAsia="Calibri"/>
          <w:szCs w:val="20"/>
          <w:lang w:eastAsia="en-US"/>
        </w:rPr>
        <w:t xml:space="preserve">ostatnich latach (w okresie wdrażania Programu), należy traktować jako istotny czynnik zewnętrzny mogący mieć wpływ na </w:t>
      </w:r>
      <w:r>
        <w:rPr>
          <w:rFonts w:eastAsia="Calibri"/>
          <w:szCs w:val="20"/>
          <w:lang w:eastAsia="en-US"/>
        </w:rPr>
        <w:t xml:space="preserve">dalsze </w:t>
      </w:r>
      <w:r w:rsidRPr="00D421E1">
        <w:rPr>
          <w:rFonts w:eastAsia="Calibri"/>
          <w:szCs w:val="20"/>
          <w:lang w:eastAsia="en-US"/>
        </w:rPr>
        <w:t xml:space="preserve">osiąganie wartości wskaźników założonych na 2023 rok. </w:t>
      </w:r>
      <w:bookmarkStart w:id="231" w:name="_Hlk536454271"/>
      <w:bookmarkEnd w:id="229"/>
      <w:r w:rsidRPr="00D421E1">
        <w:rPr>
          <w:rFonts w:eastAsia="Calibri"/>
          <w:szCs w:val="20"/>
          <w:lang w:eastAsia="en-US"/>
        </w:rPr>
        <w:t>Realizacja celu końcowego może być niepewna, maleje bowiem populacja odbiorców wsparcia zaadresowanego do ww</w:t>
      </w:r>
      <w:r>
        <w:rPr>
          <w:rFonts w:eastAsia="Calibri"/>
          <w:szCs w:val="20"/>
          <w:lang w:eastAsia="en-US"/>
        </w:rPr>
        <w:t>.</w:t>
      </w:r>
      <w:r w:rsidRPr="00D421E1">
        <w:rPr>
          <w:rFonts w:eastAsia="Calibri"/>
          <w:szCs w:val="20"/>
          <w:lang w:eastAsia="en-US"/>
        </w:rPr>
        <w:t xml:space="preserve"> grupy</w:t>
      </w:r>
      <w:r w:rsidR="00E66B89">
        <w:rPr>
          <w:rFonts w:eastAsia="Calibri"/>
          <w:szCs w:val="20"/>
          <w:lang w:eastAsia="en-US"/>
        </w:rPr>
        <w:t xml:space="preserve"> w </w:t>
      </w:r>
      <w:r w:rsidRPr="00D421E1">
        <w:rPr>
          <w:rFonts w:eastAsia="Calibri"/>
          <w:szCs w:val="20"/>
          <w:lang w:eastAsia="en-US"/>
        </w:rPr>
        <w:t>ramach Działania.</w:t>
      </w:r>
      <w:r w:rsidR="00E66B89">
        <w:rPr>
          <w:rFonts w:eastAsia="Calibri"/>
          <w:szCs w:val="20"/>
          <w:lang w:eastAsia="en-US"/>
        </w:rPr>
        <w:t xml:space="preserve"> W </w:t>
      </w:r>
      <w:r w:rsidRPr="00D421E1">
        <w:rPr>
          <w:rFonts w:eastAsia="Calibri"/>
          <w:szCs w:val="20"/>
          <w:lang w:eastAsia="en-US"/>
        </w:rPr>
        <w:t>kolejnych latach wdrażania Programu wskazane jest monitorowanie wyzwań rozwojowych sformułowanych</w:t>
      </w:r>
      <w:r w:rsidR="00E66B89">
        <w:rPr>
          <w:rFonts w:eastAsia="Calibri"/>
          <w:szCs w:val="20"/>
          <w:lang w:eastAsia="en-US"/>
        </w:rPr>
        <w:t xml:space="preserve"> w </w:t>
      </w:r>
      <w:r w:rsidRPr="00D421E1">
        <w:rPr>
          <w:rFonts w:eastAsia="Calibri"/>
          <w:szCs w:val="20"/>
          <w:lang w:eastAsia="en-US"/>
        </w:rPr>
        <w:t>tym zakresie na etapie przygotowania Programu</w:t>
      </w:r>
      <w:bookmarkEnd w:id="231"/>
      <w:r w:rsidRPr="00D421E1">
        <w:rPr>
          <w:rFonts w:eastAsia="Calibri"/>
          <w:szCs w:val="20"/>
          <w:lang w:eastAsia="en-US"/>
        </w:rPr>
        <w:t>.</w:t>
      </w:r>
    </w:p>
    <w:p w14:paraId="453788DD" w14:textId="77777777" w:rsidR="00881780" w:rsidRPr="00D421E1" w:rsidRDefault="00881780" w:rsidP="00881780">
      <w:pPr>
        <w:spacing w:line="276" w:lineRule="auto"/>
        <w:rPr>
          <w:rFonts w:eastAsia="Calibri"/>
          <w:szCs w:val="20"/>
          <w:lang w:eastAsia="en-US"/>
        </w:rPr>
      </w:pPr>
      <w:r w:rsidRPr="00D421E1">
        <w:rPr>
          <w:rFonts w:eastAsia="Calibri"/>
          <w:szCs w:val="20"/>
          <w:lang w:eastAsia="en-US"/>
        </w:rPr>
        <w:lastRenderedPageBreak/>
        <w:t>Co ważne, na przestrzeni lat (w okresie wdrażania Programu) nie zmieniła się natomiast struktura rejestrowanego bezrobocia</w:t>
      </w:r>
      <w:r w:rsidR="00E66B89">
        <w:rPr>
          <w:rFonts w:eastAsia="Calibri"/>
          <w:szCs w:val="20"/>
          <w:lang w:eastAsia="en-US"/>
        </w:rPr>
        <w:t xml:space="preserve"> w </w:t>
      </w:r>
      <w:r w:rsidRPr="00D421E1">
        <w:rPr>
          <w:rFonts w:eastAsia="Calibri"/>
          <w:szCs w:val="20"/>
          <w:lang w:eastAsia="en-US"/>
        </w:rPr>
        <w:t>regionie - nadal wśród bezrobotnych dominują osoby będące</w:t>
      </w:r>
      <w:r w:rsidR="00E66B89">
        <w:rPr>
          <w:rFonts w:eastAsia="Calibri"/>
          <w:szCs w:val="20"/>
          <w:lang w:eastAsia="en-US"/>
        </w:rPr>
        <w:t xml:space="preserve"> w </w:t>
      </w:r>
      <w:r w:rsidRPr="00D421E1">
        <w:rPr>
          <w:rFonts w:eastAsia="Calibri"/>
          <w:szCs w:val="20"/>
          <w:lang w:eastAsia="en-US"/>
        </w:rPr>
        <w:t>szczególnej sytuacji na rynku pracy</w:t>
      </w:r>
      <w:r w:rsidRPr="00D421E1">
        <w:rPr>
          <w:rFonts w:eastAsia="Calibri"/>
          <w:szCs w:val="20"/>
          <w:vertAlign w:val="superscript"/>
          <w:lang w:eastAsia="en-US"/>
        </w:rPr>
        <w:footnoteReference w:id="64"/>
      </w:r>
      <w:r w:rsidRPr="00D421E1">
        <w:rPr>
          <w:rFonts w:eastAsia="Calibri"/>
          <w:szCs w:val="20"/>
          <w:lang w:eastAsia="en-US"/>
        </w:rPr>
        <w:t>, przede wszystkim: osoby długotrwale bezrobotne (w 2012 r. stanowiły 51,4% wszystkich osób bezrobotnych zarejestrowanych</w:t>
      </w:r>
      <w:r w:rsidR="00E66B89">
        <w:rPr>
          <w:rFonts w:eastAsia="Calibri"/>
          <w:szCs w:val="20"/>
          <w:lang w:eastAsia="en-US"/>
        </w:rPr>
        <w:t xml:space="preserve"> w </w:t>
      </w:r>
      <w:r w:rsidRPr="00D421E1">
        <w:rPr>
          <w:rFonts w:eastAsia="Calibri"/>
          <w:szCs w:val="20"/>
          <w:lang w:eastAsia="en-US"/>
        </w:rPr>
        <w:t>regionie;</w:t>
      </w:r>
      <w:r w:rsidR="00E66B89">
        <w:rPr>
          <w:rFonts w:eastAsia="Calibri"/>
          <w:szCs w:val="20"/>
          <w:lang w:eastAsia="en-US"/>
        </w:rPr>
        <w:t xml:space="preserve"> w </w:t>
      </w:r>
      <w:r w:rsidRPr="00D421E1">
        <w:rPr>
          <w:rFonts w:eastAsia="Calibri"/>
          <w:szCs w:val="20"/>
          <w:lang w:eastAsia="en-US"/>
        </w:rPr>
        <w:t xml:space="preserve">2018 r. </w:t>
      </w:r>
      <w:r>
        <w:rPr>
          <w:rFonts w:eastAsia="Calibri"/>
          <w:szCs w:val="20"/>
          <w:lang w:eastAsia="en-US"/>
        </w:rPr>
        <w:t>–</w:t>
      </w:r>
      <w:r w:rsidRPr="00D421E1">
        <w:rPr>
          <w:rFonts w:eastAsia="Calibri"/>
          <w:szCs w:val="20"/>
          <w:lang w:eastAsia="en-US"/>
        </w:rPr>
        <w:t xml:space="preserve"> 5</w:t>
      </w:r>
      <w:r>
        <w:rPr>
          <w:rFonts w:eastAsia="Calibri"/>
          <w:szCs w:val="20"/>
          <w:lang w:eastAsia="en-US"/>
        </w:rPr>
        <w:t>1,6</w:t>
      </w:r>
      <w:r w:rsidRPr="00D421E1">
        <w:rPr>
          <w:rFonts w:eastAsia="Calibri"/>
          <w:szCs w:val="20"/>
          <w:lang w:eastAsia="en-US"/>
        </w:rPr>
        <w:t>%</w:t>
      </w:r>
      <w:r w:rsidRPr="00D421E1">
        <w:rPr>
          <w:rFonts w:eastAsia="Calibri"/>
          <w:szCs w:val="20"/>
          <w:vertAlign w:val="superscript"/>
          <w:lang w:eastAsia="en-US"/>
        </w:rPr>
        <w:footnoteReference w:id="65"/>
      </w:r>
      <w:r w:rsidRPr="00D421E1">
        <w:rPr>
          <w:rFonts w:eastAsia="Calibri"/>
          <w:szCs w:val="20"/>
          <w:lang w:eastAsia="en-US"/>
        </w:rPr>
        <w:t>), kobiety (procentowy udział kobiet</w:t>
      </w:r>
      <w:r w:rsidR="00E66B89">
        <w:rPr>
          <w:rFonts w:eastAsia="Calibri"/>
          <w:szCs w:val="20"/>
          <w:lang w:eastAsia="en-US"/>
        </w:rPr>
        <w:t xml:space="preserve"> w </w:t>
      </w:r>
      <w:r w:rsidRPr="00D421E1">
        <w:rPr>
          <w:rFonts w:eastAsia="Calibri"/>
          <w:szCs w:val="20"/>
          <w:lang w:eastAsia="en-US"/>
        </w:rPr>
        <w:t>populacji osób bezrobotnych stale rośnie</w:t>
      </w:r>
      <w:r>
        <w:rPr>
          <w:rFonts w:eastAsia="Calibri"/>
          <w:szCs w:val="20"/>
          <w:lang w:eastAsia="en-US"/>
        </w:rPr>
        <w:t>:</w:t>
      </w:r>
      <w:r w:rsidR="00E66B89">
        <w:rPr>
          <w:rFonts w:eastAsia="Calibri"/>
          <w:szCs w:val="20"/>
          <w:lang w:eastAsia="en-US"/>
        </w:rPr>
        <w:t xml:space="preserve"> z </w:t>
      </w:r>
      <w:r>
        <w:rPr>
          <w:rFonts w:eastAsia="Calibri"/>
          <w:szCs w:val="20"/>
          <w:lang w:eastAsia="en-US"/>
        </w:rPr>
        <w:t>51,7</w:t>
      </w:r>
      <w:r w:rsidR="00E66B89">
        <w:rPr>
          <w:rFonts w:eastAsia="Calibri"/>
          <w:szCs w:val="20"/>
          <w:lang w:eastAsia="en-US"/>
        </w:rPr>
        <w:t xml:space="preserve"> w </w:t>
      </w:r>
      <w:r>
        <w:rPr>
          <w:rFonts w:eastAsia="Calibri"/>
          <w:szCs w:val="20"/>
          <w:lang w:eastAsia="en-US"/>
        </w:rPr>
        <w:t>2012 r. do 60,5%</w:t>
      </w:r>
      <w:r w:rsidR="00E66B89">
        <w:rPr>
          <w:rFonts w:eastAsia="Calibri"/>
          <w:szCs w:val="20"/>
          <w:lang w:eastAsia="en-US"/>
        </w:rPr>
        <w:t xml:space="preserve"> w </w:t>
      </w:r>
      <w:r>
        <w:rPr>
          <w:rFonts w:eastAsia="Calibri"/>
          <w:szCs w:val="20"/>
          <w:lang w:eastAsia="en-US"/>
        </w:rPr>
        <w:t>2018 r.</w:t>
      </w:r>
      <w:r w:rsidRPr="00D421E1">
        <w:rPr>
          <w:rFonts w:eastAsia="Calibri"/>
          <w:szCs w:val="20"/>
          <w:lang w:eastAsia="en-US"/>
        </w:rPr>
        <w:t>)</w:t>
      </w:r>
      <w:r>
        <w:rPr>
          <w:rFonts w:eastAsia="Calibri"/>
          <w:szCs w:val="20"/>
          <w:lang w:eastAsia="en-US"/>
        </w:rPr>
        <w:t>;</w:t>
      </w:r>
      <w:r w:rsidRPr="00D421E1">
        <w:rPr>
          <w:rFonts w:eastAsia="Calibri"/>
          <w:szCs w:val="20"/>
          <w:lang w:eastAsia="en-US"/>
        </w:rPr>
        <w:t xml:space="preserve"> również osoby po 50. roku życia</w:t>
      </w:r>
      <w:r>
        <w:rPr>
          <w:rFonts w:eastAsia="Calibri"/>
          <w:szCs w:val="20"/>
          <w:lang w:eastAsia="en-US"/>
        </w:rPr>
        <w:t xml:space="preserve"> (w 2012 r. stanowiły 26,9% bezrobotnych ogółem,</w:t>
      </w:r>
      <w:r w:rsidR="00E66B89">
        <w:rPr>
          <w:rFonts w:eastAsia="Calibri"/>
          <w:szCs w:val="20"/>
          <w:lang w:eastAsia="en-US"/>
        </w:rPr>
        <w:t xml:space="preserve"> w </w:t>
      </w:r>
      <w:r>
        <w:rPr>
          <w:rFonts w:eastAsia="Calibri"/>
          <w:szCs w:val="20"/>
          <w:lang w:eastAsia="en-US"/>
        </w:rPr>
        <w:t>2018 r. już 29%)</w:t>
      </w:r>
      <w:r w:rsidRPr="00D421E1">
        <w:rPr>
          <w:rFonts w:eastAsia="Calibri"/>
          <w:szCs w:val="20"/>
          <w:lang w:eastAsia="en-US"/>
        </w:rPr>
        <w:t xml:space="preserve">, osoby </w:t>
      </w:r>
      <w:r>
        <w:rPr>
          <w:rFonts w:eastAsia="Calibri"/>
          <w:szCs w:val="20"/>
          <w:lang w:eastAsia="en-US"/>
        </w:rPr>
        <w:t>bez kwalifikacji (grupa ta</w:t>
      </w:r>
      <w:r w:rsidR="00E66B89">
        <w:rPr>
          <w:rFonts w:eastAsia="Calibri"/>
          <w:szCs w:val="20"/>
          <w:lang w:eastAsia="en-US"/>
        </w:rPr>
        <w:t xml:space="preserve"> w </w:t>
      </w:r>
      <w:r>
        <w:rPr>
          <w:rFonts w:eastAsia="Calibri"/>
          <w:szCs w:val="20"/>
          <w:lang w:eastAsia="en-US"/>
        </w:rPr>
        <w:t>kolejnych latach wdrażania programu jest trzecią co do wielkości</w:t>
      </w:r>
      <w:r w:rsidR="00E66B89">
        <w:rPr>
          <w:rFonts w:eastAsia="Calibri"/>
          <w:szCs w:val="20"/>
          <w:lang w:eastAsia="en-US"/>
        </w:rPr>
        <w:t xml:space="preserve"> w </w:t>
      </w:r>
      <w:r>
        <w:rPr>
          <w:rFonts w:eastAsia="Calibri"/>
          <w:szCs w:val="20"/>
          <w:lang w:eastAsia="en-US"/>
        </w:rPr>
        <w:t>strukturze bezrobocia); jak również osoby</w:t>
      </w:r>
      <w:r w:rsidR="00E66B89">
        <w:rPr>
          <w:rFonts w:eastAsia="Calibri"/>
          <w:szCs w:val="20"/>
          <w:lang w:eastAsia="en-US"/>
        </w:rPr>
        <w:t xml:space="preserve"> z </w:t>
      </w:r>
      <w:r w:rsidRPr="00D421E1">
        <w:rPr>
          <w:rFonts w:eastAsia="Calibri"/>
          <w:szCs w:val="20"/>
          <w:lang w:eastAsia="en-US"/>
        </w:rPr>
        <w:t>niepełnosprawnościami</w:t>
      </w:r>
      <w:r w:rsidR="00E66B89">
        <w:rPr>
          <w:rFonts w:eastAsia="Calibri"/>
          <w:szCs w:val="20"/>
          <w:lang w:eastAsia="en-US"/>
        </w:rPr>
        <w:t xml:space="preserve"> i </w:t>
      </w:r>
      <w:r w:rsidRPr="00D421E1">
        <w:rPr>
          <w:rFonts w:eastAsia="Calibri"/>
          <w:szCs w:val="20"/>
          <w:lang w:eastAsia="en-US"/>
        </w:rPr>
        <w:t>mieszkańcy obszarów wiejskich. Aktualnie diagnozowane problemy</w:t>
      </w:r>
      <w:r w:rsidR="00E66B89">
        <w:rPr>
          <w:rFonts w:eastAsia="Calibri"/>
          <w:szCs w:val="20"/>
          <w:lang w:eastAsia="en-US"/>
        </w:rPr>
        <w:t xml:space="preserve"> i </w:t>
      </w:r>
      <w:r w:rsidRPr="00D421E1">
        <w:rPr>
          <w:rFonts w:eastAsia="Calibri"/>
          <w:szCs w:val="20"/>
          <w:lang w:eastAsia="en-US"/>
        </w:rPr>
        <w:t>potrzeby województwa związane ze wsparciem wyżej wymienionych grup osób bezrobotnych należy uznać za zgodne</w:t>
      </w:r>
      <w:r w:rsidR="00E66B89">
        <w:rPr>
          <w:rFonts w:eastAsia="Calibri"/>
          <w:szCs w:val="20"/>
          <w:lang w:eastAsia="en-US"/>
        </w:rPr>
        <w:t xml:space="preserve"> z </w:t>
      </w:r>
      <w:r w:rsidRPr="00D421E1">
        <w:rPr>
          <w:rFonts w:eastAsia="Calibri"/>
          <w:szCs w:val="20"/>
          <w:lang w:eastAsia="en-US"/>
        </w:rPr>
        <w:t xml:space="preserve">potrzebami identyfikowanymi na etapie przygotowania interwencji. Biorąc pod uwagę wyliczony średni koszt jednostkowy wskaźnika </w:t>
      </w:r>
      <w:r w:rsidR="0013771A">
        <w:rPr>
          <w:rFonts w:eastAsia="Calibri"/>
          <w:szCs w:val="20"/>
          <w:lang w:eastAsia="en-US"/>
        </w:rPr>
        <w:t>(</w:t>
      </w:r>
      <w:r w:rsidRPr="00D421E1">
        <w:rPr>
          <w:rFonts w:eastAsia="Calibri"/>
          <w:szCs w:val="20"/>
          <w:lang w:eastAsia="en-US"/>
        </w:rPr>
        <w:t>9 224,50 zł/ osoba, we wszystkich dotychczas realizowanych UoD (trwających</w:t>
      </w:r>
      <w:r w:rsidR="00E66B89">
        <w:rPr>
          <w:rFonts w:eastAsia="Calibri"/>
          <w:szCs w:val="20"/>
          <w:lang w:eastAsia="en-US"/>
        </w:rPr>
        <w:t xml:space="preserve"> i </w:t>
      </w:r>
      <w:r w:rsidRPr="00D421E1">
        <w:rPr>
          <w:rFonts w:eastAsia="Calibri"/>
          <w:szCs w:val="20"/>
          <w:lang w:eastAsia="en-US"/>
        </w:rPr>
        <w:t>zakończonych)</w:t>
      </w:r>
      <w:r>
        <w:rPr>
          <w:rFonts w:eastAsia="Calibri"/>
          <w:szCs w:val="20"/>
          <w:lang w:eastAsia="en-US"/>
        </w:rPr>
        <w:t>;</w:t>
      </w:r>
      <w:r w:rsidR="00E66B89">
        <w:rPr>
          <w:rFonts w:eastAsia="Calibri"/>
          <w:szCs w:val="20"/>
          <w:lang w:eastAsia="en-US"/>
        </w:rPr>
        <w:t xml:space="preserve"> a </w:t>
      </w:r>
      <w:r>
        <w:rPr>
          <w:rFonts w:eastAsia="Calibri"/>
          <w:szCs w:val="20"/>
          <w:lang w:eastAsia="en-US"/>
        </w:rPr>
        <w:t xml:space="preserve">przede wszystkim koszt jednostkowy </w:t>
      </w:r>
      <w:r w:rsidRPr="003E4056">
        <w:rPr>
          <w:rFonts w:eastAsia="Calibri"/>
          <w:szCs w:val="20"/>
          <w:lang w:eastAsia="en-US"/>
        </w:rPr>
        <w:t>prognozowany na kolejne lata</w:t>
      </w:r>
      <w:r>
        <w:rPr>
          <w:rFonts w:eastAsia="Calibri"/>
          <w:szCs w:val="20"/>
          <w:lang w:eastAsia="en-US"/>
        </w:rPr>
        <w:t xml:space="preserve">, </w:t>
      </w:r>
      <w:r w:rsidRPr="003E4056">
        <w:rPr>
          <w:rFonts w:eastAsia="Calibri"/>
          <w:szCs w:val="20"/>
          <w:lang w:eastAsia="en-US"/>
        </w:rPr>
        <w:t>uwzględniający wzrost cen (wskaźnik CPI – Consumer Price Index: 104,3%)</w:t>
      </w:r>
      <w:r>
        <w:rPr>
          <w:rFonts w:eastAsia="Calibri"/>
          <w:szCs w:val="20"/>
          <w:lang w:eastAsia="en-US"/>
        </w:rPr>
        <w:t>:</w:t>
      </w:r>
      <w:r w:rsidRPr="003E4056">
        <w:rPr>
          <w:rFonts w:eastAsia="Calibri"/>
          <w:szCs w:val="20"/>
          <w:lang w:eastAsia="en-US"/>
        </w:rPr>
        <w:t xml:space="preserve"> 9 619,09 zł/osoba</w:t>
      </w:r>
      <w:r w:rsidR="0013771A">
        <w:rPr>
          <w:rFonts w:eastAsia="Calibri"/>
          <w:szCs w:val="20"/>
          <w:lang w:eastAsia="en-US"/>
        </w:rPr>
        <w:t xml:space="preserve">) </w:t>
      </w:r>
      <w:r w:rsidR="00E66B89">
        <w:rPr>
          <w:rFonts w:eastAsia="Calibri"/>
          <w:szCs w:val="20"/>
          <w:lang w:eastAsia="en-US"/>
        </w:rPr>
        <w:t>i </w:t>
      </w:r>
      <w:r w:rsidRPr="00D421E1">
        <w:rPr>
          <w:rFonts w:eastAsia="Calibri"/>
          <w:szCs w:val="20"/>
          <w:lang w:eastAsia="en-US"/>
        </w:rPr>
        <w:t>pozostałą</w:t>
      </w:r>
      <w:r w:rsidR="00E66B89">
        <w:rPr>
          <w:rFonts w:eastAsia="Calibri"/>
          <w:szCs w:val="20"/>
          <w:lang w:eastAsia="en-US"/>
        </w:rPr>
        <w:t xml:space="preserve"> w </w:t>
      </w:r>
      <w:r w:rsidRPr="00D421E1">
        <w:rPr>
          <w:rFonts w:eastAsia="Calibri"/>
          <w:szCs w:val="20"/>
          <w:lang w:eastAsia="en-US"/>
        </w:rPr>
        <w:t xml:space="preserve">Działaniu alokację (z RW: 211 829 919,87 zł, bez RW: 185 679 652,87), na tym etapie badania nie przewiduje się bardzo dużych zagrożeń dla realizacji wartości docelowej wskaźnika na 2023 rok, wynoszącej 19 727, choć osiągnięcie celu końcowego ze względu na </w:t>
      </w:r>
      <w:r>
        <w:rPr>
          <w:rFonts w:eastAsia="Calibri"/>
          <w:szCs w:val="20"/>
          <w:lang w:eastAsia="en-US"/>
        </w:rPr>
        <w:t>wskazane powyżej (również szczegółowo opisane</w:t>
      </w:r>
      <w:r w:rsidR="00E66B89">
        <w:rPr>
          <w:rFonts w:eastAsia="Calibri"/>
          <w:szCs w:val="20"/>
          <w:lang w:eastAsia="en-US"/>
        </w:rPr>
        <w:t xml:space="preserve"> w </w:t>
      </w:r>
      <w:r>
        <w:rPr>
          <w:rFonts w:eastAsia="Calibri"/>
          <w:szCs w:val="20"/>
          <w:lang w:eastAsia="en-US"/>
        </w:rPr>
        <w:t>rozdziale dotyczącym oceny zmian sytuacji społeczno-gospodarczej</w:t>
      </w:r>
      <w:r w:rsidR="00E66B89">
        <w:rPr>
          <w:rFonts w:eastAsia="Calibri"/>
          <w:szCs w:val="20"/>
          <w:lang w:eastAsia="en-US"/>
        </w:rPr>
        <w:t xml:space="preserve"> w </w:t>
      </w:r>
      <w:r>
        <w:rPr>
          <w:rFonts w:eastAsia="Calibri"/>
          <w:szCs w:val="20"/>
          <w:lang w:eastAsia="en-US"/>
        </w:rPr>
        <w:t xml:space="preserve">obszarze VI OP) </w:t>
      </w:r>
      <w:r w:rsidRPr="00D421E1">
        <w:rPr>
          <w:rFonts w:eastAsia="Calibri"/>
          <w:szCs w:val="20"/>
          <w:lang w:eastAsia="en-US"/>
        </w:rPr>
        <w:t xml:space="preserve">czynniki zewnętrzne może być niepewne. </w:t>
      </w:r>
    </w:p>
    <w:bookmarkEnd w:id="230"/>
    <w:p w14:paraId="7E8A52EF" w14:textId="77777777" w:rsidR="00881780" w:rsidRPr="00404DA5" w:rsidRDefault="00881780" w:rsidP="00881780">
      <w:pPr>
        <w:spacing w:line="276" w:lineRule="auto"/>
        <w:rPr>
          <w:rFonts w:eastAsia="Calibri" w:cs="Calibri"/>
          <w:i/>
          <w:szCs w:val="20"/>
          <w:lang w:eastAsia="en-US"/>
        </w:rPr>
      </w:pPr>
      <w:r w:rsidRPr="00404DA5">
        <w:rPr>
          <w:rFonts w:eastAsia="Calibri" w:cs="Calibri"/>
          <w:i/>
          <w:szCs w:val="20"/>
          <w:lang w:eastAsia="en-US"/>
        </w:rPr>
        <w:t>Wskaźnik Liczba osób, które otrzymały bezzwrotne środki na podjęcie działalności gospodarczej</w:t>
      </w:r>
      <w:r w:rsidR="00E66B89">
        <w:rPr>
          <w:rFonts w:eastAsia="Calibri" w:cs="Calibri"/>
          <w:i/>
          <w:szCs w:val="20"/>
          <w:lang w:eastAsia="en-US"/>
        </w:rPr>
        <w:t xml:space="preserve"> w </w:t>
      </w:r>
      <w:r w:rsidRPr="00404DA5">
        <w:rPr>
          <w:rFonts w:eastAsia="Calibri" w:cs="Calibri"/>
          <w:i/>
          <w:szCs w:val="20"/>
          <w:lang w:eastAsia="en-US"/>
        </w:rPr>
        <w:t>programie</w:t>
      </w:r>
    </w:p>
    <w:p w14:paraId="1B9C9410" w14:textId="77777777" w:rsidR="00881780" w:rsidRDefault="00881780" w:rsidP="00881780">
      <w:pPr>
        <w:spacing w:line="276" w:lineRule="auto"/>
        <w:rPr>
          <w:szCs w:val="20"/>
        </w:rPr>
      </w:pPr>
      <w:r w:rsidRPr="00D421E1">
        <w:rPr>
          <w:rFonts w:eastAsia="Calibri"/>
          <w:szCs w:val="20"/>
          <w:lang w:eastAsia="en-US"/>
        </w:rPr>
        <w:t>Zgodnie</w:t>
      </w:r>
      <w:r w:rsidR="00E66B89">
        <w:rPr>
          <w:rFonts w:eastAsia="Calibri"/>
          <w:szCs w:val="20"/>
          <w:lang w:eastAsia="en-US"/>
        </w:rPr>
        <w:t xml:space="preserve"> z </w:t>
      </w:r>
      <w:r w:rsidRPr="00D421E1">
        <w:rPr>
          <w:rFonts w:eastAsia="Calibri"/>
          <w:szCs w:val="20"/>
          <w:lang w:eastAsia="en-US"/>
        </w:rPr>
        <w:t>danymi przedstawionymi</w:t>
      </w:r>
      <w:r w:rsidR="00E66B89">
        <w:rPr>
          <w:rFonts w:eastAsia="Calibri"/>
          <w:szCs w:val="20"/>
          <w:lang w:eastAsia="en-US"/>
        </w:rPr>
        <w:t xml:space="preserve"> w </w:t>
      </w:r>
      <w:r w:rsidRPr="00D421E1">
        <w:rPr>
          <w:rFonts w:eastAsia="Calibri"/>
          <w:szCs w:val="20"/>
          <w:lang w:eastAsia="en-US"/>
        </w:rPr>
        <w:t>tabeli, cel pośredni (ustanowiony na koniec 2018 roku) został zrealizowany na poziomie 167,7% / 2 217 osób (wartość osiągnięta</w:t>
      </w:r>
      <w:r w:rsidR="00E66B89">
        <w:rPr>
          <w:rFonts w:eastAsia="Calibri"/>
          <w:szCs w:val="20"/>
          <w:lang w:eastAsia="en-US"/>
        </w:rPr>
        <w:t xml:space="preserve"> w </w:t>
      </w:r>
      <w:r w:rsidRPr="00D421E1">
        <w:rPr>
          <w:rFonts w:eastAsia="Calibri"/>
          <w:szCs w:val="20"/>
          <w:lang w:eastAsia="en-US"/>
        </w:rPr>
        <w:t xml:space="preserve">projektach na podstawie WoP). </w:t>
      </w:r>
      <w:r w:rsidRPr="00D421E1">
        <w:rPr>
          <w:szCs w:val="20"/>
        </w:rPr>
        <w:t>Realizacja wskaźnika odbiega od założeń, co sugeruje, że nie były one trafne</w:t>
      </w:r>
      <w:r w:rsidR="00E66B89">
        <w:rPr>
          <w:szCs w:val="20"/>
        </w:rPr>
        <w:t xml:space="preserve"> w </w:t>
      </w:r>
      <w:r w:rsidRPr="00D421E1">
        <w:rPr>
          <w:szCs w:val="20"/>
        </w:rPr>
        <w:t>odniesieniu do 2018 roku, niemniej jednak wynik ma wyraźnie pozytywny wpływ na realizację (ilościowych) celów końcowych Programu. Należy zauważyć, że osiągnięty cel pośredni (na 2018 rok) stanowi 75,5% wartości docelowej zakładanej na rok 2023</w:t>
      </w:r>
      <w:r w:rsidR="00E66B89">
        <w:rPr>
          <w:szCs w:val="20"/>
        </w:rPr>
        <w:t xml:space="preserve"> a </w:t>
      </w:r>
      <w:r w:rsidRPr="00D421E1">
        <w:rPr>
          <w:szCs w:val="20"/>
        </w:rPr>
        <w:t>zadeklarowany przez Beneficjentów</w:t>
      </w:r>
      <w:r w:rsidR="00E66B89">
        <w:rPr>
          <w:szCs w:val="20"/>
        </w:rPr>
        <w:t xml:space="preserve"> w </w:t>
      </w:r>
      <w:r w:rsidRPr="00D421E1">
        <w:rPr>
          <w:szCs w:val="20"/>
        </w:rPr>
        <w:t>UoD poziom osiągnięcia wartości końcowej wskaźnika</w:t>
      </w:r>
      <w:r w:rsidR="00E66B89">
        <w:rPr>
          <w:szCs w:val="20"/>
        </w:rPr>
        <w:t xml:space="preserve"> w </w:t>
      </w:r>
      <w:r w:rsidRPr="00D421E1">
        <w:rPr>
          <w:szCs w:val="20"/>
        </w:rPr>
        <w:t>Programie (na 2023 rok) wynosi aż 83,9% (wartość docelowa zakładana</w:t>
      </w:r>
      <w:r w:rsidR="00E66B89">
        <w:rPr>
          <w:szCs w:val="20"/>
        </w:rPr>
        <w:t xml:space="preserve"> w </w:t>
      </w:r>
      <w:r w:rsidRPr="00D421E1">
        <w:rPr>
          <w:szCs w:val="20"/>
        </w:rPr>
        <w:t>projektach mających podpisaną UoD to 2 465 osób</w:t>
      </w:r>
      <w:r w:rsidRPr="00D421E1">
        <w:rPr>
          <w:rFonts w:eastAsia="Calibri"/>
          <w:szCs w:val="20"/>
          <w:vertAlign w:val="superscript"/>
          <w:lang w:eastAsia="en-US"/>
        </w:rPr>
        <w:footnoteReference w:id="66"/>
      </w:r>
      <w:r w:rsidRPr="00D421E1">
        <w:rPr>
          <w:rFonts w:eastAsia="Calibri"/>
          <w:szCs w:val="20"/>
          <w:lang w:eastAsia="en-US"/>
        </w:rPr>
        <w:t>.</w:t>
      </w:r>
      <w:r w:rsidRPr="00D421E1">
        <w:rPr>
          <w:szCs w:val="20"/>
        </w:rPr>
        <w:t>).</w:t>
      </w:r>
    </w:p>
    <w:p w14:paraId="60E8D964" w14:textId="77777777" w:rsidR="00881780" w:rsidRDefault="00881780" w:rsidP="00881780">
      <w:pPr>
        <w:spacing w:line="276" w:lineRule="auto"/>
        <w:rPr>
          <w:szCs w:val="20"/>
        </w:rPr>
      </w:pPr>
      <w:r>
        <w:rPr>
          <w:szCs w:val="20"/>
        </w:rPr>
        <w:t>Wysoki poziom realizacji wskaźnika potwierdza/ pozytywnie weryfikuje wniosek (s</w:t>
      </w:r>
      <w:r w:rsidRPr="0056502A">
        <w:rPr>
          <w:szCs w:val="20"/>
        </w:rPr>
        <w:t>formułowany,</w:t>
      </w:r>
      <w:r w:rsidR="00E66B89">
        <w:rPr>
          <w:szCs w:val="20"/>
        </w:rPr>
        <w:t xml:space="preserve"> w </w:t>
      </w:r>
      <w:r w:rsidRPr="0056502A">
        <w:rPr>
          <w:szCs w:val="20"/>
        </w:rPr>
        <w:t>wyniku przeprowadzonej ewaluacji ex-ante RPO WZ 2014-2020</w:t>
      </w:r>
      <w:r>
        <w:rPr>
          <w:rStyle w:val="Odwoanieprzypisudolnego"/>
          <w:szCs w:val="20"/>
        </w:rPr>
        <w:footnoteReference w:id="67"/>
      </w:r>
      <w:r>
        <w:rPr>
          <w:szCs w:val="20"/>
        </w:rPr>
        <w:t>)</w:t>
      </w:r>
      <w:r w:rsidR="00E66B89">
        <w:rPr>
          <w:szCs w:val="20"/>
        </w:rPr>
        <w:t xml:space="preserve"> o </w:t>
      </w:r>
      <w:r w:rsidRPr="0056502A">
        <w:rPr>
          <w:szCs w:val="20"/>
        </w:rPr>
        <w:t>wysokiej trafności formy wsparcia</w:t>
      </w:r>
      <w:r w:rsidR="00E66B89">
        <w:rPr>
          <w:szCs w:val="20"/>
        </w:rPr>
        <w:t xml:space="preserve"> w </w:t>
      </w:r>
      <w:r w:rsidRPr="0056502A">
        <w:rPr>
          <w:szCs w:val="20"/>
        </w:rPr>
        <w:t>postaci dotacji bezzwrotnej skierowanej do osób bezrobotnych,</w:t>
      </w:r>
      <w:r w:rsidR="00E66B89">
        <w:rPr>
          <w:szCs w:val="20"/>
        </w:rPr>
        <w:t xml:space="preserve"> w </w:t>
      </w:r>
      <w:r w:rsidRPr="0056502A">
        <w:rPr>
          <w:szCs w:val="20"/>
        </w:rPr>
        <w:t>tym pozostających</w:t>
      </w:r>
      <w:r w:rsidR="00E66B89">
        <w:rPr>
          <w:szCs w:val="20"/>
        </w:rPr>
        <w:t xml:space="preserve"> w </w:t>
      </w:r>
      <w:r w:rsidRPr="0056502A">
        <w:rPr>
          <w:szCs w:val="20"/>
        </w:rPr>
        <w:t>sytuacji szczególnej na rynku pracy.</w:t>
      </w:r>
      <w:r>
        <w:rPr>
          <w:szCs w:val="20"/>
        </w:rPr>
        <w:t xml:space="preserve"> Z</w:t>
      </w:r>
      <w:r w:rsidRPr="0056502A">
        <w:rPr>
          <w:szCs w:val="20"/>
        </w:rPr>
        <w:t>godnie</w:t>
      </w:r>
      <w:r w:rsidR="00E66B89">
        <w:rPr>
          <w:szCs w:val="20"/>
        </w:rPr>
        <w:t xml:space="preserve"> z </w:t>
      </w:r>
      <w:r w:rsidRPr="0056502A">
        <w:rPr>
          <w:szCs w:val="20"/>
        </w:rPr>
        <w:t>założeniami przyjętymi na etapie przygotowania Programu wsparcie finansowe na rozpoczęcie działalności gospodarczej to</w:t>
      </w:r>
      <w:r w:rsidR="00E66B89">
        <w:rPr>
          <w:szCs w:val="20"/>
        </w:rPr>
        <w:t xml:space="preserve"> z </w:t>
      </w:r>
      <w:r w:rsidRPr="0056502A">
        <w:rPr>
          <w:szCs w:val="20"/>
        </w:rPr>
        <w:t>jednej strony skuteczna forma przeciwdziałania bezrobociu;</w:t>
      </w:r>
      <w:r w:rsidR="00E66B89">
        <w:rPr>
          <w:szCs w:val="20"/>
        </w:rPr>
        <w:t xml:space="preserve"> z </w:t>
      </w:r>
      <w:r w:rsidRPr="0056502A">
        <w:rPr>
          <w:szCs w:val="20"/>
        </w:rPr>
        <w:t>drugiej – impuls dla rozwoju przedsiębiorczości</w:t>
      </w:r>
      <w:r w:rsidR="00E66B89">
        <w:rPr>
          <w:szCs w:val="20"/>
        </w:rPr>
        <w:t xml:space="preserve"> w </w:t>
      </w:r>
      <w:r w:rsidRPr="0056502A">
        <w:rPr>
          <w:szCs w:val="20"/>
        </w:rPr>
        <w:t xml:space="preserve">regionie poprzez </w:t>
      </w:r>
      <w:r w:rsidRPr="0056502A">
        <w:rPr>
          <w:szCs w:val="20"/>
        </w:rPr>
        <w:lastRenderedPageBreak/>
        <w:t>zwiększenie liczby nowopowstałych przedsiębiorstw, zwiększenie liczby osób, które podjęły zatrudnienie oraz przyczynią się do utworzenia nowych miejsc pracy</w:t>
      </w:r>
      <w:r w:rsidR="00E66B89">
        <w:rPr>
          <w:szCs w:val="20"/>
        </w:rPr>
        <w:t xml:space="preserve"> w </w:t>
      </w:r>
      <w:r w:rsidRPr="0056502A">
        <w:rPr>
          <w:szCs w:val="20"/>
        </w:rPr>
        <w:t>województwie zachodniopomorskim.</w:t>
      </w:r>
    </w:p>
    <w:p w14:paraId="5FE8B847" w14:textId="77777777" w:rsidR="00881780" w:rsidRDefault="00881780" w:rsidP="00881780">
      <w:pPr>
        <w:spacing w:line="276" w:lineRule="auto"/>
        <w:rPr>
          <w:rFonts w:eastAsia="Calibri"/>
          <w:szCs w:val="20"/>
          <w:lang w:eastAsia="en-US"/>
        </w:rPr>
      </w:pPr>
      <w:r w:rsidRPr="00D421E1">
        <w:rPr>
          <w:rFonts w:eastAsia="Calibri"/>
          <w:szCs w:val="20"/>
          <w:lang w:eastAsia="en-US"/>
        </w:rPr>
        <w:t>Wskaźnik był osiągany</w:t>
      </w:r>
      <w:r w:rsidR="00E66B89">
        <w:rPr>
          <w:rFonts w:eastAsia="Calibri"/>
          <w:szCs w:val="20"/>
          <w:lang w:eastAsia="en-US"/>
        </w:rPr>
        <w:t xml:space="preserve"> w </w:t>
      </w:r>
      <w:r w:rsidRPr="00D421E1">
        <w:rPr>
          <w:rFonts w:eastAsia="Calibri"/>
          <w:szCs w:val="20"/>
          <w:lang w:eastAsia="en-US"/>
        </w:rPr>
        <w:t>projektach realizowanych</w:t>
      </w:r>
      <w:r w:rsidR="00E66B89">
        <w:rPr>
          <w:rFonts w:eastAsia="Calibri"/>
          <w:szCs w:val="20"/>
          <w:lang w:eastAsia="en-US"/>
        </w:rPr>
        <w:t xml:space="preserve"> w </w:t>
      </w:r>
      <w:r w:rsidRPr="00D421E1">
        <w:rPr>
          <w:rFonts w:eastAsia="Calibri"/>
          <w:szCs w:val="20"/>
          <w:lang w:eastAsia="en-US"/>
        </w:rPr>
        <w:t>Działaniu 6.5 (PI 8i). Według stanu na 07.01.2019 r.</w:t>
      </w:r>
      <w:r w:rsidR="00E66B89">
        <w:rPr>
          <w:rFonts w:eastAsia="Calibri"/>
          <w:szCs w:val="20"/>
          <w:lang w:eastAsia="en-US"/>
        </w:rPr>
        <w:t xml:space="preserve"> w </w:t>
      </w:r>
      <w:r w:rsidRPr="00D421E1">
        <w:rPr>
          <w:rFonts w:eastAsia="Calibri"/>
          <w:szCs w:val="20"/>
          <w:lang w:eastAsia="en-US"/>
        </w:rPr>
        <w:t>ramach Działania 6.5 zawarto 116 UoD; zgodnie</w:t>
      </w:r>
      <w:r w:rsidR="00E66B89">
        <w:rPr>
          <w:rFonts w:eastAsia="Calibri"/>
          <w:szCs w:val="20"/>
          <w:lang w:eastAsia="en-US"/>
        </w:rPr>
        <w:t xml:space="preserve"> z </w:t>
      </w:r>
      <w:r w:rsidRPr="00D421E1">
        <w:rPr>
          <w:rFonts w:eastAsia="Calibri"/>
          <w:szCs w:val="20"/>
          <w:lang w:eastAsia="en-US"/>
        </w:rPr>
        <w:t>przeprowadzonymi przez Wykonawcę analizami poszczególnych UoD</w:t>
      </w:r>
      <w:r w:rsidRPr="00D421E1">
        <w:rPr>
          <w:rFonts w:eastAsia="Calibri"/>
          <w:szCs w:val="20"/>
          <w:vertAlign w:val="superscript"/>
          <w:lang w:eastAsia="en-US"/>
        </w:rPr>
        <w:footnoteReference w:id="68"/>
      </w:r>
      <w:r w:rsidRPr="00D421E1">
        <w:rPr>
          <w:rFonts w:eastAsia="Calibri"/>
          <w:szCs w:val="20"/>
          <w:lang w:eastAsia="en-US"/>
        </w:rPr>
        <w:t xml:space="preserve"> ww. wskaźnik był osiągany</w:t>
      </w:r>
      <w:r w:rsidR="00E66B89">
        <w:rPr>
          <w:rFonts w:eastAsia="Calibri"/>
          <w:szCs w:val="20"/>
          <w:lang w:eastAsia="en-US"/>
        </w:rPr>
        <w:t xml:space="preserve"> w </w:t>
      </w:r>
      <w:r w:rsidRPr="00D421E1">
        <w:rPr>
          <w:rFonts w:eastAsia="Calibri"/>
          <w:szCs w:val="20"/>
          <w:lang w:eastAsia="en-US"/>
        </w:rPr>
        <w:t>ramach 76 projektów/UoD realizowanych</w:t>
      </w:r>
      <w:r w:rsidR="00E66B89">
        <w:rPr>
          <w:rFonts w:eastAsia="Calibri"/>
          <w:szCs w:val="20"/>
          <w:lang w:eastAsia="en-US"/>
        </w:rPr>
        <w:t xml:space="preserve"> w </w:t>
      </w:r>
      <w:r w:rsidRPr="00D421E1">
        <w:rPr>
          <w:rFonts w:eastAsia="Calibri"/>
          <w:szCs w:val="20"/>
          <w:lang w:eastAsia="en-US"/>
        </w:rPr>
        <w:t>Działaniu 6.5. Wartość wszystkich projektów</w:t>
      </w:r>
      <w:r w:rsidR="00E66B89">
        <w:rPr>
          <w:rFonts w:eastAsia="Calibri"/>
          <w:szCs w:val="20"/>
          <w:lang w:eastAsia="en-US"/>
        </w:rPr>
        <w:t xml:space="preserve"> w </w:t>
      </w:r>
      <w:r w:rsidRPr="00D421E1">
        <w:rPr>
          <w:rFonts w:eastAsia="Calibri"/>
          <w:szCs w:val="20"/>
          <w:lang w:eastAsia="en-US"/>
        </w:rPr>
        <w:t>ww. Działaniu wyniosła 191 192 564,12 zł. (wg stanu na 07.01.2019 r.);</w:t>
      </w:r>
      <w:r w:rsidR="00E66B89">
        <w:rPr>
          <w:rFonts w:eastAsia="Calibri"/>
          <w:szCs w:val="20"/>
          <w:lang w:eastAsia="en-US"/>
        </w:rPr>
        <w:t xml:space="preserve"> w </w:t>
      </w:r>
      <w:r w:rsidRPr="00D421E1">
        <w:rPr>
          <w:rFonts w:eastAsia="Calibri"/>
          <w:szCs w:val="20"/>
          <w:lang w:eastAsia="en-US"/>
        </w:rPr>
        <w:t>tym wkład UE: 162 513 680,13 zł; oznacza to 43,4% zakontraktowania alokacji UE ogółem przeznaczonej na Działanie</w:t>
      </w:r>
      <w:r w:rsidRPr="00D421E1">
        <w:rPr>
          <w:rFonts w:eastAsia="Calibri"/>
          <w:szCs w:val="20"/>
          <w:vertAlign w:val="superscript"/>
          <w:lang w:eastAsia="en-US"/>
        </w:rPr>
        <w:footnoteReference w:id="69"/>
      </w:r>
      <w:r w:rsidRPr="00D421E1">
        <w:rPr>
          <w:rFonts w:eastAsia="Calibri"/>
          <w:szCs w:val="20"/>
          <w:lang w:eastAsia="en-US"/>
        </w:rPr>
        <w:t xml:space="preserve"> oraz 46.7% alokacji bez RW (stan na 07.01.2019 r.). Przy czym (zgodnie</w:t>
      </w:r>
      <w:r w:rsidR="00E66B89">
        <w:rPr>
          <w:rFonts w:eastAsia="Calibri"/>
          <w:szCs w:val="20"/>
          <w:lang w:eastAsia="en-US"/>
        </w:rPr>
        <w:t xml:space="preserve"> z </w:t>
      </w:r>
      <w:r w:rsidRPr="00D421E1">
        <w:rPr>
          <w:rFonts w:eastAsia="Calibri"/>
          <w:szCs w:val="20"/>
          <w:lang w:eastAsia="en-US"/>
        </w:rPr>
        <w:t>wynikiem przeprowadzonych przez Wykonawcę analiz poszczególnych UoD</w:t>
      </w:r>
      <w:r w:rsidRPr="00D421E1">
        <w:rPr>
          <w:rFonts w:eastAsia="Calibri"/>
          <w:szCs w:val="20"/>
          <w:vertAlign w:val="superscript"/>
          <w:lang w:eastAsia="en-US"/>
        </w:rPr>
        <w:footnoteReference w:id="70"/>
      </w:r>
      <w:r w:rsidRPr="00D421E1">
        <w:rPr>
          <w:rFonts w:eastAsia="Calibri"/>
          <w:szCs w:val="20"/>
          <w:lang w:eastAsia="en-US"/>
        </w:rPr>
        <w:t>) wartość dofinansowania UE projektów realizujących</w:t>
      </w:r>
      <w:r w:rsidR="00E66B89">
        <w:rPr>
          <w:rFonts w:eastAsia="Calibri"/>
          <w:szCs w:val="20"/>
          <w:lang w:eastAsia="en-US"/>
        </w:rPr>
        <w:t xml:space="preserve"> w </w:t>
      </w:r>
      <w:r w:rsidRPr="00D421E1">
        <w:rPr>
          <w:rFonts w:eastAsia="Calibri"/>
          <w:szCs w:val="20"/>
          <w:lang w:eastAsia="en-US"/>
        </w:rPr>
        <w:t>ramach Działania 6.5 wyżej wymieniony wskaźnik wynosi 127 595 579,49 zł; co stanowi 34,1% alokacji UE ogółem (z RW)</w:t>
      </w:r>
      <w:r w:rsidR="00E66B89">
        <w:rPr>
          <w:rFonts w:eastAsia="Calibri"/>
          <w:szCs w:val="20"/>
          <w:lang w:eastAsia="en-US"/>
        </w:rPr>
        <w:t xml:space="preserve"> i </w:t>
      </w:r>
      <w:r w:rsidRPr="00D421E1">
        <w:rPr>
          <w:rFonts w:eastAsia="Calibri"/>
          <w:szCs w:val="20"/>
          <w:lang w:eastAsia="en-US"/>
        </w:rPr>
        <w:t>36,6 alokacji bez RW na Działanie 6.5.</w:t>
      </w:r>
      <w:r>
        <w:rPr>
          <w:rFonts w:eastAsia="Calibri"/>
          <w:szCs w:val="20"/>
          <w:lang w:eastAsia="en-US"/>
        </w:rPr>
        <w:t xml:space="preserve"> </w:t>
      </w:r>
      <w:r w:rsidRPr="00D421E1">
        <w:rPr>
          <w:rFonts w:eastAsia="Calibri"/>
          <w:szCs w:val="20"/>
          <w:lang w:eastAsia="en-US"/>
        </w:rPr>
        <w:t xml:space="preserve">Średni koszt jednostkowy wskaźnika we wszystkich </w:t>
      </w:r>
      <w:r>
        <w:rPr>
          <w:rFonts w:eastAsia="Calibri"/>
          <w:szCs w:val="20"/>
          <w:lang w:eastAsia="en-US"/>
        </w:rPr>
        <w:t xml:space="preserve">dotychczasowych </w:t>
      </w:r>
      <w:r w:rsidRPr="00D421E1">
        <w:rPr>
          <w:rFonts w:eastAsia="Calibri"/>
          <w:szCs w:val="20"/>
          <w:lang w:eastAsia="en-US"/>
        </w:rPr>
        <w:t>UoD (trwających</w:t>
      </w:r>
      <w:r w:rsidR="00E66B89">
        <w:rPr>
          <w:rFonts w:eastAsia="Calibri"/>
          <w:szCs w:val="20"/>
          <w:lang w:eastAsia="en-US"/>
        </w:rPr>
        <w:t xml:space="preserve"> i </w:t>
      </w:r>
      <w:r w:rsidRPr="00D421E1">
        <w:rPr>
          <w:rFonts w:eastAsia="Calibri"/>
          <w:szCs w:val="20"/>
          <w:lang w:eastAsia="en-US"/>
        </w:rPr>
        <w:t>zakończonych) realizujących analizowany wskaźnik osiągnął wartość: 51 762,91 zł/osoba</w:t>
      </w:r>
      <w:r w:rsidRPr="00D421E1">
        <w:rPr>
          <w:rFonts w:eastAsia="Calibri"/>
          <w:szCs w:val="20"/>
          <w:vertAlign w:val="superscript"/>
          <w:lang w:eastAsia="en-US"/>
        </w:rPr>
        <w:footnoteReference w:id="71"/>
      </w:r>
      <w:r>
        <w:rPr>
          <w:rFonts w:eastAsia="Calibri"/>
          <w:szCs w:val="20"/>
          <w:lang w:eastAsia="en-US"/>
        </w:rPr>
        <w:t xml:space="preserve"> </w:t>
      </w:r>
      <w:bookmarkStart w:id="233" w:name="_Hlk5227024"/>
      <w:r w:rsidR="0013771A">
        <w:rPr>
          <w:rFonts w:eastAsia="Calibri"/>
          <w:szCs w:val="20"/>
          <w:lang w:eastAsia="en-US"/>
        </w:rPr>
        <w:t>(</w:t>
      </w:r>
      <w:r>
        <w:rPr>
          <w:rFonts w:eastAsia="Calibri"/>
          <w:szCs w:val="20"/>
          <w:lang w:eastAsia="en-US"/>
        </w:rPr>
        <w:t>prognozowany na kolejne lata k</w:t>
      </w:r>
      <w:r w:rsidRPr="005B13F1">
        <w:rPr>
          <w:rFonts w:eastAsia="Calibri"/>
          <w:szCs w:val="20"/>
          <w:lang w:eastAsia="en-US"/>
        </w:rPr>
        <w:t>oszt jednostkowy wskaźnika uwzględniający wzrost cen (wsk</w:t>
      </w:r>
      <w:r>
        <w:rPr>
          <w:rFonts w:eastAsia="Calibri"/>
          <w:szCs w:val="20"/>
          <w:lang w:eastAsia="en-US"/>
        </w:rPr>
        <w:t>aźnik</w:t>
      </w:r>
      <w:r w:rsidRPr="005B13F1">
        <w:rPr>
          <w:rFonts w:eastAsia="Calibri"/>
          <w:szCs w:val="20"/>
          <w:lang w:eastAsia="en-US"/>
        </w:rPr>
        <w:t xml:space="preserve"> </w:t>
      </w:r>
      <w:r w:rsidRPr="00B16FE7">
        <w:rPr>
          <w:rFonts w:eastAsia="Calibri"/>
          <w:szCs w:val="20"/>
          <w:lang w:eastAsia="en-US"/>
        </w:rPr>
        <w:t>CPI – Consumer Price Index</w:t>
      </w:r>
      <w:r>
        <w:rPr>
          <w:rFonts w:eastAsia="Calibri"/>
          <w:szCs w:val="20"/>
          <w:lang w:eastAsia="en-US"/>
        </w:rPr>
        <w:t>:</w:t>
      </w:r>
      <w:r w:rsidRPr="005B13F1">
        <w:rPr>
          <w:rFonts w:eastAsia="Calibri"/>
          <w:szCs w:val="20"/>
          <w:lang w:eastAsia="en-US"/>
        </w:rPr>
        <w:t xml:space="preserve"> 104,3%) </w:t>
      </w:r>
      <w:r>
        <w:rPr>
          <w:rFonts w:eastAsia="Calibri"/>
          <w:szCs w:val="20"/>
          <w:lang w:eastAsia="en-US"/>
        </w:rPr>
        <w:t>wynosi 53 988,72 zł/osoba</w:t>
      </w:r>
      <w:bookmarkEnd w:id="233"/>
      <w:r w:rsidR="0013771A">
        <w:rPr>
          <w:rFonts w:eastAsia="Calibri"/>
          <w:szCs w:val="20"/>
          <w:lang w:eastAsia="en-US"/>
        </w:rPr>
        <w:t xml:space="preserve">). </w:t>
      </w:r>
      <w:r>
        <w:rPr>
          <w:rFonts w:eastAsia="Calibri"/>
          <w:szCs w:val="20"/>
          <w:lang w:eastAsia="en-US"/>
        </w:rPr>
        <w:t>Osiągnięty (rzeczywisty/ wynikający</w:t>
      </w:r>
      <w:r w:rsidR="00E66B89">
        <w:rPr>
          <w:rFonts w:eastAsia="Calibri"/>
          <w:szCs w:val="20"/>
          <w:lang w:eastAsia="en-US"/>
        </w:rPr>
        <w:t xml:space="preserve"> z </w:t>
      </w:r>
      <w:r>
        <w:rPr>
          <w:rFonts w:eastAsia="Calibri"/>
          <w:szCs w:val="20"/>
          <w:lang w:eastAsia="en-US"/>
        </w:rPr>
        <w:t>UoD) koszt jednostkowy wskaźnika jest wyższy niż zakładano na etapie przygotowania Programu</w:t>
      </w:r>
      <w:r w:rsidR="00E66B89">
        <w:rPr>
          <w:rFonts w:eastAsia="Calibri"/>
          <w:szCs w:val="20"/>
          <w:lang w:eastAsia="en-US"/>
        </w:rPr>
        <w:t xml:space="preserve"> i </w:t>
      </w:r>
      <w:r>
        <w:rPr>
          <w:rFonts w:eastAsia="Calibri"/>
          <w:szCs w:val="20"/>
          <w:lang w:eastAsia="en-US"/>
        </w:rPr>
        <w:t>ujęto</w:t>
      </w:r>
      <w:r w:rsidR="00E66B89">
        <w:rPr>
          <w:rFonts w:eastAsia="Calibri"/>
          <w:szCs w:val="20"/>
          <w:lang w:eastAsia="en-US"/>
        </w:rPr>
        <w:t xml:space="preserve"> w </w:t>
      </w:r>
      <w:r w:rsidRPr="00356C18">
        <w:rPr>
          <w:rFonts w:eastAsia="Calibri"/>
          <w:szCs w:val="20"/>
          <w:lang w:eastAsia="en-US"/>
        </w:rPr>
        <w:t>Metodologii szacowania wartości docelowych dla wskaźników wybranych do realizacji</w:t>
      </w:r>
      <w:r w:rsidR="00E66B89">
        <w:rPr>
          <w:rFonts w:eastAsia="Calibri"/>
          <w:szCs w:val="20"/>
          <w:lang w:eastAsia="en-US"/>
        </w:rPr>
        <w:t xml:space="preserve"> w </w:t>
      </w:r>
      <w:r w:rsidRPr="00356C18">
        <w:rPr>
          <w:rFonts w:eastAsia="Calibri"/>
          <w:szCs w:val="20"/>
          <w:lang w:eastAsia="en-US"/>
        </w:rPr>
        <w:t>RPO WZ 2014-2020</w:t>
      </w:r>
      <w:r>
        <w:rPr>
          <w:rStyle w:val="Odwoanieprzypisudolnego"/>
          <w:rFonts w:eastAsia="Calibri"/>
          <w:szCs w:val="20"/>
          <w:lang w:eastAsia="en-US"/>
        </w:rPr>
        <w:footnoteReference w:id="72"/>
      </w:r>
      <w:r>
        <w:rPr>
          <w:rFonts w:eastAsia="Calibri"/>
          <w:szCs w:val="20"/>
          <w:lang w:eastAsia="en-US"/>
        </w:rPr>
        <w:t>. Podstawą oszacowania ś</w:t>
      </w:r>
      <w:r w:rsidRPr="008D7D68">
        <w:rPr>
          <w:rFonts w:eastAsia="Calibri"/>
          <w:szCs w:val="20"/>
          <w:lang w:eastAsia="en-US"/>
        </w:rPr>
        <w:t>redni</w:t>
      </w:r>
      <w:r>
        <w:rPr>
          <w:rFonts w:eastAsia="Calibri"/>
          <w:szCs w:val="20"/>
          <w:lang w:eastAsia="en-US"/>
        </w:rPr>
        <w:t>ego</w:t>
      </w:r>
      <w:r w:rsidRPr="008D7D68">
        <w:rPr>
          <w:rFonts w:eastAsia="Calibri"/>
          <w:szCs w:val="20"/>
          <w:lang w:eastAsia="en-US"/>
        </w:rPr>
        <w:t xml:space="preserve"> koszt</w:t>
      </w:r>
      <w:r>
        <w:rPr>
          <w:rFonts w:eastAsia="Calibri"/>
          <w:szCs w:val="20"/>
          <w:lang w:eastAsia="en-US"/>
        </w:rPr>
        <w:t>u</w:t>
      </w:r>
      <w:r w:rsidRPr="008D7D68">
        <w:rPr>
          <w:rFonts w:eastAsia="Calibri"/>
          <w:szCs w:val="20"/>
          <w:lang w:eastAsia="en-US"/>
        </w:rPr>
        <w:t xml:space="preserve"> jednostkow</w:t>
      </w:r>
      <w:r>
        <w:rPr>
          <w:rFonts w:eastAsia="Calibri"/>
          <w:szCs w:val="20"/>
          <w:lang w:eastAsia="en-US"/>
        </w:rPr>
        <w:t>ego</w:t>
      </w:r>
      <w:r w:rsidRPr="008D7D68">
        <w:rPr>
          <w:rFonts w:eastAsia="Calibri"/>
          <w:szCs w:val="20"/>
          <w:lang w:eastAsia="en-US"/>
        </w:rPr>
        <w:t xml:space="preserve"> wsparcia na rozpoczęcie działalności gospodarczej </w:t>
      </w:r>
      <w:r>
        <w:rPr>
          <w:rFonts w:eastAsia="Calibri"/>
          <w:szCs w:val="20"/>
          <w:lang w:eastAsia="en-US"/>
        </w:rPr>
        <w:t xml:space="preserve">wynoszącego </w:t>
      </w:r>
      <w:r w:rsidRPr="008D7D68">
        <w:rPr>
          <w:rFonts w:eastAsia="Calibri"/>
          <w:szCs w:val="20"/>
          <w:lang w:eastAsia="en-US"/>
        </w:rPr>
        <w:t>20</w:t>
      </w:r>
      <w:r>
        <w:rPr>
          <w:rFonts w:eastAsia="Calibri"/>
          <w:szCs w:val="20"/>
          <w:lang w:eastAsia="en-US"/>
        </w:rPr>
        <w:t> </w:t>
      </w:r>
      <w:r w:rsidRPr="008D7D68">
        <w:rPr>
          <w:rFonts w:eastAsia="Calibri"/>
          <w:szCs w:val="20"/>
          <w:lang w:eastAsia="en-US"/>
        </w:rPr>
        <w:t>000</w:t>
      </w:r>
      <w:r>
        <w:rPr>
          <w:rFonts w:eastAsia="Calibri"/>
          <w:szCs w:val="20"/>
          <w:lang w:eastAsia="en-US"/>
        </w:rPr>
        <w:t xml:space="preserve">,00 </w:t>
      </w:r>
      <w:r w:rsidRPr="008D7D68">
        <w:rPr>
          <w:rFonts w:eastAsia="Calibri"/>
          <w:szCs w:val="20"/>
          <w:lang w:eastAsia="en-US"/>
        </w:rPr>
        <w:t xml:space="preserve">zł. </w:t>
      </w:r>
      <w:r>
        <w:rPr>
          <w:rFonts w:eastAsia="Calibri"/>
          <w:szCs w:val="20"/>
          <w:lang w:eastAsia="en-US"/>
        </w:rPr>
        <w:t>był</w:t>
      </w:r>
      <w:r w:rsidRPr="008D7D68">
        <w:rPr>
          <w:rFonts w:eastAsia="Calibri"/>
          <w:szCs w:val="20"/>
          <w:lang w:eastAsia="en-US"/>
        </w:rPr>
        <w:t xml:space="preserve"> art. 46, ust. 1, pkt. 2 ustawy</w:t>
      </w:r>
      <w:r w:rsidR="00E66B89">
        <w:rPr>
          <w:rFonts w:eastAsia="Calibri"/>
          <w:szCs w:val="20"/>
          <w:lang w:eastAsia="en-US"/>
        </w:rPr>
        <w:t xml:space="preserve"> z </w:t>
      </w:r>
      <w:r w:rsidRPr="008D7D68">
        <w:rPr>
          <w:rFonts w:eastAsia="Calibri"/>
          <w:szCs w:val="20"/>
          <w:lang w:eastAsia="en-US"/>
        </w:rPr>
        <w:t>dnia 20 kwietnia 2004 r.</w:t>
      </w:r>
      <w:r w:rsidR="00E66B89">
        <w:rPr>
          <w:rFonts w:eastAsia="Calibri"/>
          <w:szCs w:val="20"/>
          <w:lang w:eastAsia="en-US"/>
        </w:rPr>
        <w:t xml:space="preserve"> o </w:t>
      </w:r>
      <w:r w:rsidRPr="008D7D68">
        <w:rPr>
          <w:rFonts w:eastAsia="Calibri"/>
          <w:szCs w:val="20"/>
          <w:lang w:eastAsia="en-US"/>
        </w:rPr>
        <w:t>promocji zatrudnienia</w:t>
      </w:r>
      <w:r w:rsidR="00E66B89">
        <w:rPr>
          <w:rFonts w:eastAsia="Calibri"/>
          <w:szCs w:val="20"/>
          <w:lang w:eastAsia="en-US"/>
        </w:rPr>
        <w:t xml:space="preserve"> i </w:t>
      </w:r>
      <w:r w:rsidRPr="008D7D68">
        <w:rPr>
          <w:rFonts w:eastAsia="Calibri"/>
          <w:szCs w:val="20"/>
          <w:lang w:eastAsia="en-US"/>
        </w:rPr>
        <w:t>instytucjach rynku pracy (Dz. U.</w:t>
      </w:r>
      <w:r w:rsidR="00E66B89">
        <w:rPr>
          <w:rFonts w:eastAsia="Calibri"/>
          <w:szCs w:val="20"/>
          <w:lang w:eastAsia="en-US"/>
        </w:rPr>
        <w:t xml:space="preserve"> z </w:t>
      </w:r>
      <w:r w:rsidRPr="008D7D68">
        <w:rPr>
          <w:rFonts w:eastAsia="Calibri"/>
          <w:szCs w:val="20"/>
          <w:lang w:eastAsia="en-US"/>
        </w:rPr>
        <w:t>2008 r. Nr 69, poz. 415,</w:t>
      </w:r>
      <w:r w:rsidR="00E66B89">
        <w:rPr>
          <w:rFonts w:eastAsia="Calibri"/>
          <w:szCs w:val="20"/>
          <w:lang w:eastAsia="en-US"/>
        </w:rPr>
        <w:t xml:space="preserve"> z </w:t>
      </w:r>
      <w:r w:rsidRPr="008D7D68">
        <w:rPr>
          <w:rFonts w:eastAsia="Calibri"/>
          <w:szCs w:val="20"/>
          <w:lang w:eastAsia="en-US"/>
        </w:rPr>
        <w:t>późn. zm.).</w:t>
      </w:r>
      <w:r>
        <w:rPr>
          <w:rFonts w:eastAsia="Calibri"/>
          <w:szCs w:val="20"/>
          <w:lang w:eastAsia="en-US"/>
        </w:rPr>
        <w:t xml:space="preserve"> </w:t>
      </w:r>
      <w:r w:rsidRPr="00BA120C">
        <w:rPr>
          <w:rFonts w:eastAsia="Calibri"/>
          <w:szCs w:val="20"/>
          <w:lang w:eastAsia="en-US"/>
        </w:rPr>
        <w:t>Następnie, koszt ten został przeliczony</w:t>
      </w:r>
      <w:r w:rsidR="00E66B89">
        <w:rPr>
          <w:rFonts w:eastAsia="Calibri"/>
          <w:szCs w:val="20"/>
          <w:lang w:eastAsia="en-US"/>
        </w:rPr>
        <w:t xml:space="preserve"> z </w:t>
      </w:r>
      <w:r w:rsidRPr="00BA120C">
        <w:rPr>
          <w:rFonts w:eastAsia="Calibri"/>
          <w:szCs w:val="20"/>
          <w:lang w:eastAsia="en-US"/>
        </w:rPr>
        <w:t xml:space="preserve">ceny bieżącej na stałą (z wykorzystaniem </w:t>
      </w:r>
      <w:r w:rsidRPr="00DD73D1">
        <w:rPr>
          <w:rFonts w:eastAsia="Calibri"/>
          <w:i/>
          <w:szCs w:val="20"/>
          <w:lang w:eastAsia="en-US"/>
        </w:rPr>
        <w:t>Modułu do przeliczania cen bieżących na ceny stałe na potrzeby szacowania wartości docelowych wskaźników produktu</w:t>
      </w:r>
      <w:r w:rsidR="00E66B89">
        <w:rPr>
          <w:rFonts w:eastAsia="Calibri"/>
          <w:i/>
          <w:szCs w:val="20"/>
          <w:lang w:eastAsia="en-US"/>
        </w:rPr>
        <w:t xml:space="preserve"> w </w:t>
      </w:r>
      <w:r w:rsidRPr="00DD73D1">
        <w:rPr>
          <w:rFonts w:eastAsia="Calibri"/>
          <w:i/>
          <w:szCs w:val="20"/>
          <w:lang w:eastAsia="en-US"/>
        </w:rPr>
        <w:t>programach operacyjnych na lata 2014-2020</w:t>
      </w:r>
      <w:r w:rsidRPr="00BA120C">
        <w:rPr>
          <w:rFonts w:eastAsia="Calibri"/>
          <w:szCs w:val="20"/>
          <w:lang w:eastAsia="en-US"/>
        </w:rPr>
        <w:t>), osiągając wartość</w:t>
      </w:r>
      <w:r>
        <w:rPr>
          <w:rFonts w:eastAsia="Calibri"/>
          <w:szCs w:val="20"/>
          <w:lang w:eastAsia="en-US"/>
        </w:rPr>
        <w:t xml:space="preserve"> </w:t>
      </w:r>
      <w:r w:rsidRPr="008D7D68">
        <w:rPr>
          <w:rFonts w:eastAsia="Calibri"/>
          <w:szCs w:val="20"/>
          <w:lang w:eastAsia="en-US"/>
        </w:rPr>
        <w:t>21</w:t>
      </w:r>
      <w:r>
        <w:rPr>
          <w:rFonts w:eastAsia="Calibri"/>
          <w:szCs w:val="20"/>
          <w:lang w:eastAsia="en-US"/>
        </w:rPr>
        <w:t> </w:t>
      </w:r>
      <w:r w:rsidRPr="008D7D68">
        <w:rPr>
          <w:rFonts w:eastAsia="Calibri"/>
          <w:szCs w:val="20"/>
          <w:lang w:eastAsia="en-US"/>
        </w:rPr>
        <w:t>222</w:t>
      </w:r>
      <w:r>
        <w:rPr>
          <w:rFonts w:eastAsia="Calibri"/>
          <w:szCs w:val="20"/>
          <w:lang w:eastAsia="en-US"/>
        </w:rPr>
        <w:t>,00</w:t>
      </w:r>
      <w:r w:rsidRPr="008D7D68">
        <w:rPr>
          <w:rFonts w:eastAsia="Calibri"/>
          <w:szCs w:val="20"/>
          <w:lang w:eastAsia="en-US"/>
        </w:rPr>
        <w:t xml:space="preserve"> zł.</w:t>
      </w:r>
      <w:r>
        <w:rPr>
          <w:rFonts w:eastAsia="Calibri"/>
          <w:szCs w:val="20"/>
          <w:lang w:eastAsia="en-US"/>
        </w:rPr>
        <w:t xml:space="preserve"> </w:t>
      </w:r>
      <w:r w:rsidRPr="00653727">
        <w:rPr>
          <w:rFonts w:eastAsia="Calibri"/>
          <w:szCs w:val="20"/>
          <w:lang w:eastAsia="en-US"/>
        </w:rPr>
        <w:t>Przyczyn uzyskania wyższego (niż szacowany) średniego kosztu jednostkowego wskaźnika należy</w:t>
      </w:r>
      <w:r w:rsidR="00E66B89">
        <w:rPr>
          <w:rFonts w:eastAsia="Calibri"/>
          <w:szCs w:val="20"/>
          <w:lang w:eastAsia="en-US"/>
        </w:rPr>
        <w:t xml:space="preserve"> w </w:t>
      </w:r>
      <w:r>
        <w:rPr>
          <w:rFonts w:eastAsia="Calibri"/>
          <w:szCs w:val="20"/>
          <w:lang w:eastAsia="en-US"/>
        </w:rPr>
        <w:t xml:space="preserve">dużej mierze </w:t>
      </w:r>
      <w:r w:rsidRPr="00653727">
        <w:rPr>
          <w:rFonts w:eastAsia="Calibri"/>
          <w:szCs w:val="20"/>
          <w:lang w:eastAsia="en-US"/>
        </w:rPr>
        <w:t>upatrywać</w:t>
      </w:r>
      <w:r w:rsidR="00E66B89">
        <w:rPr>
          <w:rFonts w:eastAsia="Calibri"/>
          <w:szCs w:val="20"/>
          <w:lang w:eastAsia="en-US"/>
        </w:rPr>
        <w:t xml:space="preserve"> w </w:t>
      </w:r>
      <w:r>
        <w:rPr>
          <w:rFonts w:eastAsia="Calibri"/>
          <w:szCs w:val="20"/>
          <w:lang w:eastAsia="en-US"/>
        </w:rPr>
        <w:t xml:space="preserve">postanowieniach art. 46, </w:t>
      </w:r>
      <w:r w:rsidRPr="00653727">
        <w:rPr>
          <w:rFonts w:eastAsia="Calibri"/>
          <w:szCs w:val="20"/>
          <w:lang w:eastAsia="en-US"/>
        </w:rPr>
        <w:t xml:space="preserve">ust. 1, pkt. 2 </w:t>
      </w:r>
      <w:r>
        <w:rPr>
          <w:rFonts w:eastAsia="Calibri"/>
          <w:szCs w:val="20"/>
          <w:lang w:eastAsia="en-US"/>
        </w:rPr>
        <w:t xml:space="preserve">ww. </w:t>
      </w:r>
      <w:r w:rsidRPr="00653727">
        <w:rPr>
          <w:rFonts w:eastAsia="Calibri"/>
          <w:szCs w:val="20"/>
          <w:lang w:eastAsia="en-US"/>
        </w:rPr>
        <w:t>ustawy</w:t>
      </w:r>
      <w:r>
        <w:rPr>
          <w:rFonts w:eastAsia="Calibri"/>
          <w:szCs w:val="20"/>
          <w:lang w:eastAsia="en-US"/>
        </w:rPr>
        <w:t>,</w:t>
      </w:r>
      <w:r w:rsidR="00E66B89">
        <w:rPr>
          <w:rFonts w:eastAsia="Calibri"/>
          <w:szCs w:val="20"/>
          <w:lang w:eastAsia="en-US"/>
        </w:rPr>
        <w:t xml:space="preserve"> z </w:t>
      </w:r>
      <w:r>
        <w:rPr>
          <w:rFonts w:eastAsia="Calibri"/>
          <w:szCs w:val="20"/>
          <w:lang w:eastAsia="en-US"/>
        </w:rPr>
        <w:t xml:space="preserve">którego wprost wynikała/ wynika wysokość środków możliwa do przyznania osobie bezrobotnej </w:t>
      </w:r>
      <w:r w:rsidRPr="009C645B">
        <w:rPr>
          <w:rFonts w:eastAsia="Calibri"/>
          <w:szCs w:val="20"/>
          <w:lang w:eastAsia="en-US"/>
        </w:rPr>
        <w:t>na podjęcie działalności gospodarczej</w:t>
      </w:r>
      <w:r>
        <w:rPr>
          <w:rFonts w:eastAsia="Calibri"/>
          <w:szCs w:val="20"/>
          <w:lang w:eastAsia="en-US"/>
        </w:rPr>
        <w:t>.</w:t>
      </w:r>
      <w:r w:rsidRPr="009C645B">
        <w:rPr>
          <w:rFonts w:eastAsia="Calibri"/>
          <w:szCs w:val="20"/>
          <w:lang w:eastAsia="en-US"/>
        </w:rPr>
        <w:t xml:space="preserve"> </w:t>
      </w:r>
      <w:r w:rsidRPr="00653727">
        <w:rPr>
          <w:rFonts w:eastAsia="Calibri"/>
          <w:szCs w:val="20"/>
          <w:lang w:eastAsia="en-US"/>
        </w:rPr>
        <w:t>Starosta</w:t>
      </w:r>
      <w:r w:rsidR="00E66B89">
        <w:rPr>
          <w:rFonts w:eastAsia="Calibri"/>
          <w:szCs w:val="20"/>
          <w:lang w:eastAsia="en-US"/>
        </w:rPr>
        <w:t xml:space="preserve"> z </w:t>
      </w:r>
      <w:r w:rsidRPr="00653727">
        <w:rPr>
          <w:rFonts w:eastAsia="Calibri"/>
          <w:szCs w:val="20"/>
          <w:lang w:eastAsia="en-US"/>
        </w:rPr>
        <w:t>Funduszu Pracy może</w:t>
      </w:r>
      <w:r>
        <w:rPr>
          <w:rFonts w:eastAsia="Calibri"/>
          <w:szCs w:val="20"/>
          <w:lang w:eastAsia="en-US"/>
        </w:rPr>
        <w:t xml:space="preserve"> </w:t>
      </w:r>
      <w:r w:rsidRPr="00653727">
        <w:rPr>
          <w:rFonts w:eastAsia="Calibri"/>
          <w:szCs w:val="20"/>
          <w:lang w:eastAsia="en-US"/>
        </w:rPr>
        <w:t xml:space="preserve">przyznać </w:t>
      </w:r>
      <w:r>
        <w:rPr>
          <w:rFonts w:eastAsia="Calibri"/>
          <w:szCs w:val="20"/>
          <w:lang w:eastAsia="en-US"/>
        </w:rPr>
        <w:t xml:space="preserve">osobie </w:t>
      </w:r>
      <w:r w:rsidRPr="00653727">
        <w:rPr>
          <w:rFonts w:eastAsia="Calibri"/>
          <w:szCs w:val="20"/>
          <w:lang w:eastAsia="en-US"/>
        </w:rPr>
        <w:t>bezrobotne</w:t>
      </w:r>
      <w:r>
        <w:rPr>
          <w:rFonts w:eastAsia="Calibri"/>
          <w:szCs w:val="20"/>
          <w:lang w:eastAsia="en-US"/>
        </w:rPr>
        <w:t xml:space="preserve">j, </w:t>
      </w:r>
      <w:r w:rsidRPr="009C645B">
        <w:rPr>
          <w:rFonts w:eastAsia="Calibri"/>
          <w:szCs w:val="20"/>
          <w:lang w:eastAsia="en-US"/>
        </w:rPr>
        <w:t>jednorazowo</w:t>
      </w:r>
      <w:r>
        <w:rPr>
          <w:rFonts w:eastAsia="Calibri"/>
          <w:szCs w:val="20"/>
          <w:lang w:eastAsia="en-US"/>
        </w:rPr>
        <w:t>,</w:t>
      </w:r>
      <w:r w:rsidRPr="009C645B">
        <w:rPr>
          <w:rFonts w:eastAsia="Calibri"/>
          <w:szCs w:val="20"/>
          <w:lang w:eastAsia="en-US"/>
        </w:rPr>
        <w:t xml:space="preserve"> środki na podjęcie działalności gospodarczej</w:t>
      </w:r>
      <w:r w:rsidR="00E66B89">
        <w:rPr>
          <w:rFonts w:eastAsia="Calibri"/>
          <w:szCs w:val="20"/>
          <w:lang w:eastAsia="en-US"/>
        </w:rPr>
        <w:t xml:space="preserve"> w </w:t>
      </w:r>
      <w:r w:rsidRPr="009C645B">
        <w:rPr>
          <w:rFonts w:eastAsia="Calibri"/>
          <w:szCs w:val="20"/>
          <w:lang w:eastAsia="en-US"/>
        </w:rPr>
        <w:t>wysokości nie wyższej niż 6-krotn</w:t>
      </w:r>
      <w:r>
        <w:rPr>
          <w:rFonts w:eastAsia="Calibri"/>
          <w:szCs w:val="20"/>
          <w:lang w:eastAsia="en-US"/>
        </w:rPr>
        <w:t>ość</w:t>
      </w:r>
      <w:r w:rsidRPr="009C645B">
        <w:rPr>
          <w:rFonts w:eastAsia="Calibri"/>
          <w:szCs w:val="20"/>
          <w:lang w:eastAsia="en-US"/>
        </w:rPr>
        <w:t xml:space="preserve"> wysokości przeciętnego wynagrodzenia</w:t>
      </w:r>
      <w:r>
        <w:rPr>
          <w:rFonts w:eastAsia="Calibri"/>
          <w:szCs w:val="20"/>
          <w:lang w:eastAsia="en-US"/>
        </w:rPr>
        <w:t>. Na etapie przygotowania programu (w 2012 roku) przeciętne wynagrodzenie</w:t>
      </w:r>
      <w:r w:rsidR="00E66B89">
        <w:rPr>
          <w:rFonts w:eastAsia="Calibri"/>
          <w:szCs w:val="20"/>
          <w:lang w:eastAsia="en-US"/>
        </w:rPr>
        <w:t xml:space="preserve"> w </w:t>
      </w:r>
      <w:r>
        <w:rPr>
          <w:rFonts w:eastAsia="Calibri"/>
          <w:szCs w:val="20"/>
          <w:lang w:eastAsia="en-US"/>
        </w:rPr>
        <w:t>kraju wynosiło 3 521,67 zł</w:t>
      </w:r>
      <w:r>
        <w:rPr>
          <w:rStyle w:val="Odwoanieprzypisudolnego"/>
          <w:rFonts w:eastAsia="Calibri"/>
          <w:szCs w:val="20"/>
          <w:lang w:eastAsia="en-US"/>
        </w:rPr>
        <w:footnoteReference w:id="73"/>
      </w:r>
      <w:r>
        <w:rPr>
          <w:rFonts w:eastAsia="Calibri"/>
          <w:szCs w:val="20"/>
          <w:lang w:eastAsia="en-US"/>
        </w:rPr>
        <w:t>,</w:t>
      </w:r>
      <w:r w:rsidR="00E66B89">
        <w:rPr>
          <w:rFonts w:eastAsia="Calibri"/>
          <w:szCs w:val="20"/>
          <w:lang w:eastAsia="en-US"/>
        </w:rPr>
        <w:t xml:space="preserve"> i </w:t>
      </w:r>
      <w:r>
        <w:rPr>
          <w:rFonts w:eastAsia="Calibri"/>
          <w:szCs w:val="20"/>
          <w:lang w:eastAsia="en-US"/>
        </w:rPr>
        <w:t>systematycznie rosło</w:t>
      </w:r>
      <w:r w:rsidR="00E66B89">
        <w:rPr>
          <w:rFonts w:eastAsia="Calibri"/>
          <w:szCs w:val="20"/>
          <w:lang w:eastAsia="en-US"/>
        </w:rPr>
        <w:t xml:space="preserve"> w </w:t>
      </w:r>
      <w:r>
        <w:rPr>
          <w:rFonts w:eastAsia="Calibri"/>
          <w:szCs w:val="20"/>
          <w:lang w:eastAsia="en-US"/>
        </w:rPr>
        <w:t>okresie wdrażania Programu, osiągając</w:t>
      </w:r>
      <w:r w:rsidR="00E66B89">
        <w:rPr>
          <w:rFonts w:eastAsia="Calibri"/>
          <w:szCs w:val="20"/>
          <w:lang w:eastAsia="en-US"/>
        </w:rPr>
        <w:t xml:space="preserve"> w </w:t>
      </w:r>
      <w:r>
        <w:rPr>
          <w:rFonts w:eastAsia="Calibri"/>
          <w:szCs w:val="20"/>
          <w:lang w:eastAsia="en-US"/>
        </w:rPr>
        <w:t>2018 roku wartość 4 585,03 zł. Oznacza to że</w:t>
      </w:r>
      <w:r w:rsidR="00E66B89">
        <w:rPr>
          <w:rFonts w:eastAsia="Calibri"/>
          <w:szCs w:val="20"/>
          <w:lang w:eastAsia="en-US"/>
        </w:rPr>
        <w:t xml:space="preserve"> w </w:t>
      </w:r>
      <w:r>
        <w:rPr>
          <w:rFonts w:eastAsia="Calibri"/>
          <w:szCs w:val="20"/>
          <w:lang w:eastAsia="en-US"/>
        </w:rPr>
        <w:t>granicznym dla rozpoczęcia Programu 2014 roku maksymalna wysokość środków, które mogła otrzymać osoba bezrobotna wynosiła nieco ponad 22 tys. zł (22 700,76);</w:t>
      </w:r>
      <w:r w:rsidR="00E66B89">
        <w:rPr>
          <w:rFonts w:eastAsia="Calibri"/>
          <w:szCs w:val="20"/>
          <w:lang w:eastAsia="en-US"/>
        </w:rPr>
        <w:t xml:space="preserve"> w </w:t>
      </w:r>
      <w:r>
        <w:rPr>
          <w:rFonts w:eastAsia="Calibri"/>
          <w:szCs w:val="20"/>
          <w:lang w:eastAsia="en-US"/>
        </w:rPr>
        <w:t>2018 roku już</w:t>
      </w:r>
      <w:r w:rsidR="00E66B89">
        <w:rPr>
          <w:rFonts w:eastAsia="Calibri"/>
          <w:szCs w:val="20"/>
          <w:lang w:eastAsia="en-US"/>
        </w:rPr>
        <w:t xml:space="preserve"> o </w:t>
      </w:r>
      <w:r>
        <w:rPr>
          <w:rFonts w:eastAsia="Calibri"/>
          <w:szCs w:val="20"/>
          <w:lang w:eastAsia="en-US"/>
        </w:rPr>
        <w:t>21,2% więcej, tj. ponad 27 tys. zł. (27 510,18 zł). Należy również zauważyć, że wsparcie</w:t>
      </w:r>
      <w:r w:rsidR="00E66B89">
        <w:rPr>
          <w:rFonts w:eastAsia="Calibri"/>
          <w:szCs w:val="20"/>
          <w:lang w:eastAsia="en-US"/>
        </w:rPr>
        <w:t xml:space="preserve"> w </w:t>
      </w:r>
      <w:r>
        <w:rPr>
          <w:rFonts w:eastAsia="Calibri"/>
          <w:szCs w:val="20"/>
          <w:lang w:eastAsia="en-US"/>
        </w:rPr>
        <w:t>formie dotacji współwystępuje</w:t>
      </w:r>
      <w:r w:rsidR="00E66B89">
        <w:rPr>
          <w:rFonts w:eastAsia="Calibri"/>
          <w:szCs w:val="20"/>
          <w:lang w:eastAsia="en-US"/>
        </w:rPr>
        <w:t xml:space="preserve"> z </w:t>
      </w:r>
      <w:r>
        <w:rPr>
          <w:rFonts w:eastAsia="Calibri"/>
          <w:szCs w:val="20"/>
          <w:lang w:eastAsia="en-US"/>
        </w:rPr>
        <w:t xml:space="preserve">usługą </w:t>
      </w:r>
      <w:r w:rsidRPr="00200357">
        <w:rPr>
          <w:rFonts w:eastAsia="Calibri"/>
          <w:szCs w:val="20"/>
          <w:lang w:eastAsia="en-US"/>
        </w:rPr>
        <w:t>doradztw</w:t>
      </w:r>
      <w:r>
        <w:rPr>
          <w:rFonts w:eastAsia="Calibri"/>
          <w:szCs w:val="20"/>
          <w:lang w:eastAsia="en-US"/>
        </w:rPr>
        <w:t>a</w:t>
      </w:r>
      <w:r w:rsidR="00E66B89">
        <w:rPr>
          <w:rFonts w:eastAsia="Calibri"/>
          <w:szCs w:val="20"/>
          <w:lang w:eastAsia="en-US"/>
        </w:rPr>
        <w:t xml:space="preserve"> i </w:t>
      </w:r>
      <w:r w:rsidRPr="00200357">
        <w:rPr>
          <w:rFonts w:eastAsia="Calibri"/>
          <w:szCs w:val="20"/>
          <w:lang w:eastAsia="en-US"/>
        </w:rPr>
        <w:t>szkole</w:t>
      </w:r>
      <w:r>
        <w:rPr>
          <w:rFonts w:eastAsia="Calibri"/>
          <w:szCs w:val="20"/>
          <w:lang w:eastAsia="en-US"/>
        </w:rPr>
        <w:t>ń, które to usługi</w:t>
      </w:r>
      <w:r w:rsidRPr="00200357">
        <w:rPr>
          <w:rFonts w:eastAsia="Calibri"/>
          <w:szCs w:val="20"/>
          <w:lang w:eastAsia="en-US"/>
        </w:rPr>
        <w:t xml:space="preserve"> umożliwiają </w:t>
      </w:r>
      <w:r>
        <w:rPr>
          <w:rFonts w:eastAsia="Calibri"/>
          <w:szCs w:val="20"/>
          <w:lang w:eastAsia="en-US"/>
        </w:rPr>
        <w:t xml:space="preserve">odbiorcom </w:t>
      </w:r>
      <w:r w:rsidRPr="00200357">
        <w:rPr>
          <w:rFonts w:eastAsia="Calibri"/>
          <w:szCs w:val="20"/>
          <w:lang w:eastAsia="en-US"/>
        </w:rPr>
        <w:t>uzyskanie wiedzy</w:t>
      </w:r>
      <w:r w:rsidR="00E66B89">
        <w:rPr>
          <w:rFonts w:eastAsia="Calibri"/>
          <w:szCs w:val="20"/>
          <w:lang w:eastAsia="en-US"/>
        </w:rPr>
        <w:t xml:space="preserve"> i </w:t>
      </w:r>
      <w:r w:rsidRPr="00200357">
        <w:rPr>
          <w:rFonts w:eastAsia="Calibri"/>
          <w:szCs w:val="20"/>
          <w:lang w:eastAsia="en-US"/>
        </w:rPr>
        <w:t>umiejętności niezbędnych do podjęcia</w:t>
      </w:r>
      <w:r w:rsidR="00E66B89">
        <w:rPr>
          <w:rFonts w:eastAsia="Calibri"/>
          <w:szCs w:val="20"/>
          <w:lang w:eastAsia="en-US"/>
        </w:rPr>
        <w:t xml:space="preserve"> i </w:t>
      </w:r>
      <w:r w:rsidRPr="00200357">
        <w:rPr>
          <w:rFonts w:eastAsia="Calibri"/>
          <w:szCs w:val="20"/>
          <w:lang w:eastAsia="en-US"/>
        </w:rPr>
        <w:t>prowadzenia działalności gospodarczej.</w:t>
      </w:r>
      <w:r>
        <w:rPr>
          <w:rFonts w:eastAsia="Calibri"/>
          <w:szCs w:val="20"/>
          <w:lang w:eastAsia="en-US"/>
        </w:rPr>
        <w:t xml:space="preserve"> Ponieważ grupę docelową wsparcia stanowią osoby </w:t>
      </w:r>
      <w:r w:rsidRPr="006E1773">
        <w:rPr>
          <w:rFonts w:eastAsia="Calibri"/>
          <w:szCs w:val="20"/>
          <w:lang w:eastAsia="en-US"/>
        </w:rPr>
        <w:t>znajdujące się</w:t>
      </w:r>
      <w:r w:rsidR="00E66B89">
        <w:rPr>
          <w:rFonts w:eastAsia="Calibri"/>
          <w:szCs w:val="20"/>
          <w:lang w:eastAsia="en-US"/>
        </w:rPr>
        <w:t xml:space="preserve"> w </w:t>
      </w:r>
      <w:r w:rsidRPr="006E1773">
        <w:rPr>
          <w:rFonts w:eastAsia="Calibri"/>
          <w:szCs w:val="20"/>
          <w:lang w:eastAsia="en-US"/>
        </w:rPr>
        <w:t>szczególnej sytuacji na rynku pracy</w:t>
      </w:r>
      <w:r w:rsidR="00E66B89">
        <w:rPr>
          <w:rFonts w:eastAsia="Calibri"/>
          <w:szCs w:val="20"/>
          <w:lang w:eastAsia="en-US"/>
        </w:rPr>
        <w:t xml:space="preserve"> o </w:t>
      </w:r>
      <w:r>
        <w:rPr>
          <w:rFonts w:eastAsia="Calibri"/>
          <w:szCs w:val="20"/>
          <w:lang w:eastAsia="en-US"/>
        </w:rPr>
        <w:t>diagnozowanym znacznym stopniu oddalenia od rynku pracy</w:t>
      </w:r>
      <w:r w:rsidRPr="006E1773">
        <w:rPr>
          <w:rFonts w:eastAsia="Calibri"/>
          <w:szCs w:val="20"/>
          <w:lang w:eastAsia="en-US"/>
        </w:rPr>
        <w:t>,</w:t>
      </w:r>
      <w:r>
        <w:rPr>
          <w:rFonts w:eastAsia="Calibri"/>
          <w:szCs w:val="20"/>
          <w:lang w:eastAsia="en-US"/>
        </w:rPr>
        <w:t xml:space="preserve"> należy domniemywać, że zapewnienie wymaganej</w:t>
      </w:r>
      <w:r w:rsidR="00E66B89">
        <w:rPr>
          <w:rFonts w:eastAsia="Calibri"/>
          <w:szCs w:val="20"/>
          <w:lang w:eastAsia="en-US"/>
        </w:rPr>
        <w:t xml:space="preserve"> w </w:t>
      </w:r>
      <w:r>
        <w:rPr>
          <w:rFonts w:eastAsia="Calibri"/>
          <w:szCs w:val="20"/>
          <w:lang w:eastAsia="en-US"/>
        </w:rPr>
        <w:t>Programie skuteczności podejmowanych działań wsparcia, związane jest ze wzrostem bieżących nakładów pracy ponoszonych po stronie Beneficjentów</w:t>
      </w:r>
      <w:r w:rsidRPr="00200357">
        <w:rPr>
          <w:rFonts w:eastAsia="Calibri"/>
          <w:szCs w:val="20"/>
          <w:lang w:eastAsia="en-US"/>
        </w:rPr>
        <w:t>.</w:t>
      </w:r>
    </w:p>
    <w:p w14:paraId="7DF26BA8" w14:textId="77777777" w:rsidR="00881780" w:rsidRPr="001E0773" w:rsidRDefault="00881780" w:rsidP="00754ED4">
      <w:pPr>
        <w:pStyle w:val="Legenda"/>
        <w:spacing w:after="0"/>
      </w:pPr>
      <w:bookmarkStart w:id="234" w:name="_Toc8824219"/>
      <w:r w:rsidRPr="00432E11">
        <w:lastRenderedPageBreak/>
        <w:t xml:space="preserve">Tabela </w:t>
      </w:r>
      <w:r>
        <w:fldChar w:fldCharType="begin"/>
      </w:r>
      <w:r>
        <w:instrText xml:space="preserve"> SEQ Tabela \* ARABIC </w:instrText>
      </w:r>
      <w:r>
        <w:fldChar w:fldCharType="separate"/>
      </w:r>
      <w:r w:rsidR="00763345">
        <w:rPr>
          <w:noProof/>
        </w:rPr>
        <w:t>108</w:t>
      </w:r>
      <w:r>
        <w:fldChar w:fldCharType="end"/>
      </w:r>
      <w:r w:rsidRPr="00432E11">
        <w:t xml:space="preserve"> </w:t>
      </w:r>
      <w:r>
        <w:t>Przeciętne wynagrodzenie</w:t>
      </w:r>
      <w:r w:rsidR="00E66B89">
        <w:t xml:space="preserve"> w </w:t>
      </w:r>
      <w:r>
        <w:t>gospodarce narodowej; Polska</w:t>
      </w:r>
      <w:r w:rsidR="00E66B89">
        <w:t xml:space="preserve"> i </w:t>
      </w:r>
      <w:r>
        <w:t>województwo zachodniopomorskie</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9"/>
        <w:gridCol w:w="934"/>
        <w:gridCol w:w="933"/>
        <w:gridCol w:w="933"/>
        <w:gridCol w:w="933"/>
        <w:gridCol w:w="933"/>
        <w:gridCol w:w="933"/>
        <w:gridCol w:w="874"/>
      </w:tblGrid>
      <w:tr w:rsidR="00881780" w:rsidRPr="002E64AC" w14:paraId="382D28A0" w14:textId="77777777" w:rsidTr="006F4D8F">
        <w:trPr>
          <w:trHeight w:val="300"/>
        </w:trPr>
        <w:tc>
          <w:tcPr>
            <w:tcW w:w="1428" w:type="pct"/>
            <w:vMerge w:val="restart"/>
            <w:shd w:val="clear" w:color="auto" w:fill="auto"/>
            <w:vAlign w:val="center"/>
            <w:hideMark/>
          </w:tcPr>
          <w:p w14:paraId="58191380" w14:textId="77777777" w:rsidR="00881780" w:rsidRPr="002E64AC" w:rsidRDefault="00881780" w:rsidP="006F4D8F">
            <w:pPr>
              <w:spacing w:before="0" w:line="240" w:lineRule="auto"/>
              <w:jc w:val="left"/>
              <w:rPr>
                <w:color w:val="000000"/>
                <w:sz w:val="16"/>
                <w:szCs w:val="16"/>
              </w:rPr>
            </w:pPr>
            <w:r>
              <w:rPr>
                <w:color w:val="000000"/>
                <w:sz w:val="16"/>
                <w:szCs w:val="16"/>
              </w:rPr>
              <w:t>Rok</w:t>
            </w:r>
          </w:p>
        </w:tc>
        <w:tc>
          <w:tcPr>
            <w:tcW w:w="515" w:type="pct"/>
            <w:shd w:val="clear" w:color="auto" w:fill="auto"/>
            <w:vAlign w:val="center"/>
            <w:hideMark/>
          </w:tcPr>
          <w:p w14:paraId="550DFEEC"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2012</w:t>
            </w:r>
          </w:p>
        </w:tc>
        <w:tc>
          <w:tcPr>
            <w:tcW w:w="515" w:type="pct"/>
            <w:shd w:val="clear" w:color="auto" w:fill="auto"/>
            <w:vAlign w:val="center"/>
            <w:hideMark/>
          </w:tcPr>
          <w:p w14:paraId="14F99361"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2013</w:t>
            </w:r>
          </w:p>
        </w:tc>
        <w:tc>
          <w:tcPr>
            <w:tcW w:w="515" w:type="pct"/>
            <w:shd w:val="clear" w:color="auto" w:fill="auto"/>
            <w:vAlign w:val="center"/>
            <w:hideMark/>
          </w:tcPr>
          <w:p w14:paraId="4597BC71"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2014</w:t>
            </w:r>
          </w:p>
        </w:tc>
        <w:tc>
          <w:tcPr>
            <w:tcW w:w="515" w:type="pct"/>
            <w:shd w:val="clear" w:color="auto" w:fill="auto"/>
            <w:vAlign w:val="center"/>
            <w:hideMark/>
          </w:tcPr>
          <w:p w14:paraId="69250A79"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2015</w:t>
            </w:r>
          </w:p>
        </w:tc>
        <w:tc>
          <w:tcPr>
            <w:tcW w:w="515" w:type="pct"/>
            <w:shd w:val="clear" w:color="auto" w:fill="auto"/>
            <w:vAlign w:val="center"/>
            <w:hideMark/>
          </w:tcPr>
          <w:p w14:paraId="4D0FB27A"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2016</w:t>
            </w:r>
          </w:p>
        </w:tc>
        <w:tc>
          <w:tcPr>
            <w:tcW w:w="515" w:type="pct"/>
            <w:shd w:val="clear" w:color="auto" w:fill="auto"/>
            <w:vAlign w:val="center"/>
            <w:hideMark/>
          </w:tcPr>
          <w:p w14:paraId="6E3EC916"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2017</w:t>
            </w:r>
          </w:p>
        </w:tc>
        <w:tc>
          <w:tcPr>
            <w:tcW w:w="482" w:type="pct"/>
            <w:shd w:val="clear" w:color="auto" w:fill="auto"/>
            <w:vAlign w:val="center"/>
            <w:hideMark/>
          </w:tcPr>
          <w:p w14:paraId="79B537DE" w14:textId="77777777" w:rsidR="00881780" w:rsidRPr="002E64AC" w:rsidRDefault="00881780" w:rsidP="006F4D8F">
            <w:pPr>
              <w:spacing w:before="0" w:line="240" w:lineRule="auto"/>
              <w:jc w:val="left"/>
              <w:rPr>
                <w:color w:val="000000"/>
                <w:sz w:val="16"/>
                <w:szCs w:val="16"/>
              </w:rPr>
            </w:pPr>
            <w:r w:rsidRPr="002E64AC">
              <w:rPr>
                <w:color w:val="000000"/>
                <w:sz w:val="16"/>
                <w:szCs w:val="16"/>
              </w:rPr>
              <w:t>2018</w:t>
            </w:r>
          </w:p>
        </w:tc>
      </w:tr>
      <w:tr w:rsidR="00881780" w:rsidRPr="002E64AC" w14:paraId="52313C8A" w14:textId="77777777" w:rsidTr="006F4D8F">
        <w:trPr>
          <w:trHeight w:val="300"/>
        </w:trPr>
        <w:tc>
          <w:tcPr>
            <w:tcW w:w="1428" w:type="pct"/>
            <w:vMerge/>
            <w:shd w:val="clear" w:color="auto" w:fill="auto"/>
            <w:vAlign w:val="center"/>
            <w:hideMark/>
          </w:tcPr>
          <w:p w14:paraId="377C4809" w14:textId="77777777" w:rsidR="00881780" w:rsidRPr="002E64AC" w:rsidRDefault="00881780" w:rsidP="006F4D8F">
            <w:pPr>
              <w:spacing w:before="0" w:line="240" w:lineRule="auto"/>
              <w:jc w:val="left"/>
              <w:rPr>
                <w:color w:val="000000"/>
                <w:sz w:val="16"/>
                <w:szCs w:val="16"/>
              </w:rPr>
            </w:pPr>
          </w:p>
        </w:tc>
        <w:tc>
          <w:tcPr>
            <w:tcW w:w="515" w:type="pct"/>
            <w:shd w:val="clear" w:color="auto" w:fill="auto"/>
            <w:vAlign w:val="center"/>
            <w:hideMark/>
          </w:tcPr>
          <w:p w14:paraId="35E446CE"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515" w:type="pct"/>
            <w:shd w:val="clear" w:color="auto" w:fill="auto"/>
            <w:vAlign w:val="center"/>
            <w:hideMark/>
          </w:tcPr>
          <w:p w14:paraId="117D15E5"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515" w:type="pct"/>
            <w:shd w:val="clear" w:color="auto" w:fill="auto"/>
            <w:vAlign w:val="center"/>
            <w:hideMark/>
          </w:tcPr>
          <w:p w14:paraId="06BDA97E"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515" w:type="pct"/>
            <w:shd w:val="clear" w:color="auto" w:fill="auto"/>
            <w:vAlign w:val="center"/>
            <w:hideMark/>
          </w:tcPr>
          <w:p w14:paraId="351BFC33"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515" w:type="pct"/>
            <w:shd w:val="clear" w:color="auto" w:fill="auto"/>
            <w:vAlign w:val="center"/>
            <w:hideMark/>
          </w:tcPr>
          <w:p w14:paraId="0DA6F790"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515" w:type="pct"/>
            <w:shd w:val="clear" w:color="auto" w:fill="auto"/>
            <w:vAlign w:val="center"/>
            <w:hideMark/>
          </w:tcPr>
          <w:p w14:paraId="59740A48"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c>
          <w:tcPr>
            <w:tcW w:w="482" w:type="pct"/>
            <w:shd w:val="clear" w:color="auto" w:fill="auto"/>
            <w:vAlign w:val="center"/>
            <w:hideMark/>
          </w:tcPr>
          <w:p w14:paraId="53BB441F" w14:textId="77777777" w:rsidR="00881780" w:rsidRPr="002E64AC" w:rsidRDefault="00881780" w:rsidP="006F4D8F">
            <w:pPr>
              <w:spacing w:before="0" w:line="240" w:lineRule="auto"/>
              <w:jc w:val="left"/>
              <w:rPr>
                <w:color w:val="000000"/>
                <w:sz w:val="16"/>
                <w:szCs w:val="16"/>
              </w:rPr>
            </w:pPr>
            <w:r w:rsidRPr="002E64AC">
              <w:rPr>
                <w:color w:val="000000"/>
                <w:sz w:val="16"/>
                <w:szCs w:val="16"/>
              </w:rPr>
              <w:t>[zł]</w:t>
            </w:r>
          </w:p>
        </w:tc>
      </w:tr>
      <w:tr w:rsidR="00881780" w:rsidRPr="002E64AC" w14:paraId="7C485C58" w14:textId="77777777" w:rsidTr="006F4D8F">
        <w:trPr>
          <w:trHeight w:val="300"/>
        </w:trPr>
        <w:tc>
          <w:tcPr>
            <w:tcW w:w="1428" w:type="pct"/>
            <w:shd w:val="clear" w:color="auto" w:fill="auto"/>
            <w:noWrap/>
            <w:vAlign w:val="bottom"/>
            <w:hideMark/>
          </w:tcPr>
          <w:p w14:paraId="45EC6DD2" w14:textId="77777777" w:rsidR="00881780" w:rsidRPr="002E64AC" w:rsidRDefault="00881780" w:rsidP="006F4D8F">
            <w:pPr>
              <w:spacing w:before="0" w:line="240" w:lineRule="auto"/>
              <w:jc w:val="left"/>
              <w:rPr>
                <w:sz w:val="16"/>
                <w:szCs w:val="16"/>
              </w:rPr>
            </w:pPr>
            <w:r w:rsidRPr="002E64AC">
              <w:rPr>
                <w:sz w:val="16"/>
                <w:szCs w:val="16"/>
              </w:rPr>
              <w:t>P</w:t>
            </w:r>
            <w:r>
              <w:rPr>
                <w:sz w:val="16"/>
                <w:szCs w:val="16"/>
              </w:rPr>
              <w:t>olska</w:t>
            </w:r>
          </w:p>
        </w:tc>
        <w:tc>
          <w:tcPr>
            <w:tcW w:w="515" w:type="pct"/>
            <w:shd w:val="clear" w:color="auto" w:fill="auto"/>
            <w:noWrap/>
            <w:vAlign w:val="bottom"/>
            <w:hideMark/>
          </w:tcPr>
          <w:p w14:paraId="1A3DFC84" w14:textId="77777777" w:rsidR="00881780" w:rsidRPr="002E64AC" w:rsidRDefault="00881780" w:rsidP="006F4D8F">
            <w:pPr>
              <w:spacing w:before="0" w:line="240" w:lineRule="auto"/>
              <w:jc w:val="left"/>
              <w:rPr>
                <w:sz w:val="16"/>
                <w:szCs w:val="16"/>
              </w:rPr>
            </w:pPr>
            <w:r w:rsidRPr="002E64AC">
              <w:rPr>
                <w:sz w:val="16"/>
                <w:szCs w:val="16"/>
              </w:rPr>
              <w:t>3 521,67</w:t>
            </w:r>
          </w:p>
        </w:tc>
        <w:tc>
          <w:tcPr>
            <w:tcW w:w="515" w:type="pct"/>
            <w:shd w:val="clear" w:color="auto" w:fill="auto"/>
            <w:noWrap/>
            <w:vAlign w:val="bottom"/>
            <w:hideMark/>
          </w:tcPr>
          <w:p w14:paraId="570D04A8" w14:textId="77777777" w:rsidR="00881780" w:rsidRPr="002E64AC" w:rsidRDefault="00881780" w:rsidP="006F4D8F">
            <w:pPr>
              <w:spacing w:before="0" w:line="240" w:lineRule="auto"/>
              <w:jc w:val="left"/>
              <w:rPr>
                <w:sz w:val="16"/>
                <w:szCs w:val="16"/>
              </w:rPr>
            </w:pPr>
            <w:r w:rsidRPr="002E64AC">
              <w:rPr>
                <w:sz w:val="16"/>
                <w:szCs w:val="16"/>
              </w:rPr>
              <w:t>3 650,06</w:t>
            </w:r>
          </w:p>
        </w:tc>
        <w:tc>
          <w:tcPr>
            <w:tcW w:w="515" w:type="pct"/>
            <w:shd w:val="clear" w:color="auto" w:fill="auto"/>
            <w:noWrap/>
            <w:vAlign w:val="bottom"/>
            <w:hideMark/>
          </w:tcPr>
          <w:p w14:paraId="29787D6B" w14:textId="77777777" w:rsidR="00881780" w:rsidRPr="002E64AC" w:rsidRDefault="00881780" w:rsidP="006F4D8F">
            <w:pPr>
              <w:spacing w:before="0" w:line="240" w:lineRule="auto"/>
              <w:jc w:val="left"/>
              <w:rPr>
                <w:sz w:val="16"/>
                <w:szCs w:val="16"/>
              </w:rPr>
            </w:pPr>
            <w:r w:rsidRPr="002E64AC">
              <w:rPr>
                <w:sz w:val="16"/>
                <w:szCs w:val="16"/>
              </w:rPr>
              <w:t>3 783,46</w:t>
            </w:r>
          </w:p>
        </w:tc>
        <w:tc>
          <w:tcPr>
            <w:tcW w:w="515" w:type="pct"/>
            <w:shd w:val="clear" w:color="auto" w:fill="auto"/>
            <w:noWrap/>
            <w:vAlign w:val="bottom"/>
            <w:hideMark/>
          </w:tcPr>
          <w:p w14:paraId="0E704A4A" w14:textId="77777777" w:rsidR="00881780" w:rsidRPr="002E64AC" w:rsidRDefault="00881780" w:rsidP="006F4D8F">
            <w:pPr>
              <w:spacing w:before="0" w:line="240" w:lineRule="auto"/>
              <w:jc w:val="left"/>
              <w:rPr>
                <w:sz w:val="16"/>
                <w:szCs w:val="16"/>
              </w:rPr>
            </w:pPr>
            <w:r w:rsidRPr="002E64AC">
              <w:rPr>
                <w:sz w:val="16"/>
                <w:szCs w:val="16"/>
              </w:rPr>
              <w:t>3 899,78</w:t>
            </w:r>
          </w:p>
        </w:tc>
        <w:tc>
          <w:tcPr>
            <w:tcW w:w="515" w:type="pct"/>
            <w:shd w:val="clear" w:color="auto" w:fill="auto"/>
            <w:noWrap/>
            <w:vAlign w:val="bottom"/>
            <w:hideMark/>
          </w:tcPr>
          <w:p w14:paraId="04DEB940" w14:textId="77777777" w:rsidR="00881780" w:rsidRPr="002E64AC" w:rsidRDefault="00881780" w:rsidP="006F4D8F">
            <w:pPr>
              <w:spacing w:before="0" w:line="240" w:lineRule="auto"/>
              <w:jc w:val="left"/>
              <w:rPr>
                <w:sz w:val="16"/>
                <w:szCs w:val="16"/>
              </w:rPr>
            </w:pPr>
            <w:r w:rsidRPr="002E64AC">
              <w:rPr>
                <w:sz w:val="16"/>
                <w:szCs w:val="16"/>
              </w:rPr>
              <w:t>4 047,21</w:t>
            </w:r>
          </w:p>
        </w:tc>
        <w:tc>
          <w:tcPr>
            <w:tcW w:w="515" w:type="pct"/>
            <w:shd w:val="clear" w:color="auto" w:fill="auto"/>
            <w:noWrap/>
            <w:vAlign w:val="bottom"/>
            <w:hideMark/>
          </w:tcPr>
          <w:p w14:paraId="6F7580D9" w14:textId="77777777" w:rsidR="00881780" w:rsidRPr="002E64AC" w:rsidRDefault="00881780" w:rsidP="006F4D8F">
            <w:pPr>
              <w:spacing w:before="0" w:line="240" w:lineRule="auto"/>
              <w:jc w:val="left"/>
              <w:rPr>
                <w:sz w:val="16"/>
                <w:szCs w:val="16"/>
              </w:rPr>
            </w:pPr>
            <w:r w:rsidRPr="002E64AC">
              <w:rPr>
                <w:sz w:val="16"/>
                <w:szCs w:val="16"/>
              </w:rPr>
              <w:t>4 271,51</w:t>
            </w:r>
          </w:p>
        </w:tc>
        <w:tc>
          <w:tcPr>
            <w:tcW w:w="482" w:type="pct"/>
            <w:shd w:val="clear" w:color="auto" w:fill="auto"/>
            <w:noWrap/>
            <w:vAlign w:val="bottom"/>
            <w:hideMark/>
          </w:tcPr>
          <w:p w14:paraId="09DCF24E" w14:textId="77777777" w:rsidR="00881780" w:rsidRPr="002E64AC" w:rsidRDefault="00881780" w:rsidP="006F4D8F">
            <w:pPr>
              <w:spacing w:before="0" w:line="240" w:lineRule="auto"/>
              <w:jc w:val="left"/>
              <w:rPr>
                <w:sz w:val="16"/>
                <w:szCs w:val="16"/>
              </w:rPr>
            </w:pPr>
            <w:r w:rsidRPr="002E64AC">
              <w:rPr>
                <w:sz w:val="16"/>
                <w:szCs w:val="16"/>
              </w:rPr>
              <w:t>4585,03</w:t>
            </w:r>
          </w:p>
        </w:tc>
      </w:tr>
      <w:tr w:rsidR="00881780" w:rsidRPr="002E64AC" w14:paraId="3F9BCA9B" w14:textId="77777777" w:rsidTr="006F4D8F">
        <w:trPr>
          <w:trHeight w:val="300"/>
        </w:trPr>
        <w:tc>
          <w:tcPr>
            <w:tcW w:w="1428" w:type="pct"/>
            <w:shd w:val="clear" w:color="auto" w:fill="auto"/>
            <w:noWrap/>
            <w:vAlign w:val="bottom"/>
            <w:hideMark/>
          </w:tcPr>
          <w:p w14:paraId="7F0B9D24" w14:textId="77777777" w:rsidR="00881780" w:rsidRPr="002E64AC" w:rsidRDefault="00881780" w:rsidP="006F4D8F">
            <w:pPr>
              <w:spacing w:before="0" w:line="240" w:lineRule="auto"/>
              <w:jc w:val="left"/>
              <w:rPr>
                <w:sz w:val="16"/>
                <w:szCs w:val="16"/>
              </w:rPr>
            </w:pPr>
            <w:r w:rsidRPr="002E64AC">
              <w:rPr>
                <w:sz w:val="16"/>
                <w:szCs w:val="16"/>
              </w:rPr>
              <w:t>Z</w:t>
            </w:r>
            <w:r>
              <w:rPr>
                <w:sz w:val="16"/>
                <w:szCs w:val="16"/>
              </w:rPr>
              <w:t>achodniopomorskie</w:t>
            </w:r>
          </w:p>
        </w:tc>
        <w:tc>
          <w:tcPr>
            <w:tcW w:w="515" w:type="pct"/>
            <w:shd w:val="clear" w:color="auto" w:fill="auto"/>
            <w:noWrap/>
            <w:vAlign w:val="bottom"/>
            <w:hideMark/>
          </w:tcPr>
          <w:p w14:paraId="7B9873F9" w14:textId="77777777" w:rsidR="00881780" w:rsidRPr="002E64AC" w:rsidRDefault="00881780" w:rsidP="006F4D8F">
            <w:pPr>
              <w:spacing w:before="0" w:line="240" w:lineRule="auto"/>
              <w:jc w:val="left"/>
              <w:rPr>
                <w:sz w:val="16"/>
                <w:szCs w:val="16"/>
              </w:rPr>
            </w:pPr>
            <w:r w:rsidRPr="002E64AC">
              <w:rPr>
                <w:sz w:val="16"/>
                <w:szCs w:val="16"/>
              </w:rPr>
              <w:t>3</w:t>
            </w:r>
            <w:r>
              <w:rPr>
                <w:sz w:val="16"/>
                <w:szCs w:val="16"/>
              </w:rPr>
              <w:t xml:space="preserve"> </w:t>
            </w:r>
            <w:r w:rsidRPr="002E64AC">
              <w:rPr>
                <w:sz w:val="16"/>
                <w:szCs w:val="16"/>
              </w:rPr>
              <w:t>510,91</w:t>
            </w:r>
          </w:p>
        </w:tc>
        <w:tc>
          <w:tcPr>
            <w:tcW w:w="515" w:type="pct"/>
            <w:shd w:val="clear" w:color="auto" w:fill="auto"/>
            <w:noWrap/>
            <w:vAlign w:val="bottom"/>
            <w:hideMark/>
          </w:tcPr>
          <w:p w14:paraId="22A60814" w14:textId="77777777" w:rsidR="00881780" w:rsidRPr="002E64AC" w:rsidRDefault="00881780" w:rsidP="006F4D8F">
            <w:pPr>
              <w:spacing w:before="0" w:line="240" w:lineRule="auto"/>
              <w:jc w:val="left"/>
              <w:rPr>
                <w:sz w:val="16"/>
                <w:szCs w:val="16"/>
              </w:rPr>
            </w:pPr>
            <w:r w:rsidRPr="002E64AC">
              <w:rPr>
                <w:sz w:val="16"/>
                <w:szCs w:val="16"/>
              </w:rPr>
              <w:t>3</w:t>
            </w:r>
            <w:r>
              <w:rPr>
                <w:sz w:val="16"/>
                <w:szCs w:val="16"/>
              </w:rPr>
              <w:t xml:space="preserve"> </w:t>
            </w:r>
            <w:r w:rsidRPr="002E64AC">
              <w:rPr>
                <w:sz w:val="16"/>
                <w:szCs w:val="16"/>
              </w:rPr>
              <w:t>632,92</w:t>
            </w:r>
          </w:p>
        </w:tc>
        <w:tc>
          <w:tcPr>
            <w:tcW w:w="515" w:type="pct"/>
            <w:shd w:val="clear" w:color="auto" w:fill="auto"/>
            <w:noWrap/>
            <w:vAlign w:val="bottom"/>
            <w:hideMark/>
          </w:tcPr>
          <w:p w14:paraId="56909B0A" w14:textId="77777777" w:rsidR="00881780" w:rsidRPr="002E64AC" w:rsidRDefault="00881780" w:rsidP="006F4D8F">
            <w:pPr>
              <w:spacing w:before="0" w:line="240" w:lineRule="auto"/>
              <w:jc w:val="left"/>
              <w:rPr>
                <w:sz w:val="16"/>
                <w:szCs w:val="16"/>
              </w:rPr>
            </w:pPr>
            <w:r w:rsidRPr="002E64AC">
              <w:rPr>
                <w:sz w:val="16"/>
                <w:szCs w:val="16"/>
              </w:rPr>
              <w:t>3</w:t>
            </w:r>
            <w:r>
              <w:rPr>
                <w:sz w:val="16"/>
                <w:szCs w:val="16"/>
              </w:rPr>
              <w:t xml:space="preserve"> </w:t>
            </w:r>
            <w:r w:rsidRPr="002E64AC">
              <w:rPr>
                <w:sz w:val="16"/>
                <w:szCs w:val="16"/>
              </w:rPr>
              <w:t>753,8</w:t>
            </w:r>
          </w:p>
        </w:tc>
        <w:tc>
          <w:tcPr>
            <w:tcW w:w="515" w:type="pct"/>
            <w:shd w:val="clear" w:color="auto" w:fill="auto"/>
            <w:noWrap/>
            <w:vAlign w:val="bottom"/>
            <w:hideMark/>
          </w:tcPr>
          <w:p w14:paraId="0498BC2F" w14:textId="77777777" w:rsidR="00881780" w:rsidRPr="002E64AC" w:rsidRDefault="00881780" w:rsidP="006F4D8F">
            <w:pPr>
              <w:spacing w:before="0" w:line="240" w:lineRule="auto"/>
              <w:jc w:val="left"/>
              <w:rPr>
                <w:sz w:val="16"/>
                <w:szCs w:val="16"/>
              </w:rPr>
            </w:pPr>
            <w:r w:rsidRPr="002E64AC">
              <w:rPr>
                <w:sz w:val="16"/>
                <w:szCs w:val="16"/>
              </w:rPr>
              <w:t>3</w:t>
            </w:r>
            <w:r>
              <w:rPr>
                <w:sz w:val="16"/>
                <w:szCs w:val="16"/>
              </w:rPr>
              <w:t xml:space="preserve"> </w:t>
            </w:r>
            <w:r w:rsidRPr="002E64AC">
              <w:rPr>
                <w:sz w:val="16"/>
                <w:szCs w:val="16"/>
              </w:rPr>
              <w:t>898,33</w:t>
            </w:r>
          </w:p>
        </w:tc>
        <w:tc>
          <w:tcPr>
            <w:tcW w:w="515" w:type="pct"/>
            <w:shd w:val="clear" w:color="auto" w:fill="auto"/>
            <w:noWrap/>
            <w:vAlign w:val="bottom"/>
            <w:hideMark/>
          </w:tcPr>
          <w:p w14:paraId="7277F99D" w14:textId="77777777" w:rsidR="00881780" w:rsidRPr="002E64AC" w:rsidRDefault="00881780" w:rsidP="006F4D8F">
            <w:pPr>
              <w:spacing w:before="0" w:line="240" w:lineRule="auto"/>
              <w:jc w:val="left"/>
              <w:rPr>
                <w:sz w:val="16"/>
                <w:szCs w:val="16"/>
              </w:rPr>
            </w:pPr>
            <w:r w:rsidRPr="002E64AC">
              <w:rPr>
                <w:sz w:val="16"/>
                <w:szCs w:val="16"/>
              </w:rPr>
              <w:t>4</w:t>
            </w:r>
            <w:r>
              <w:rPr>
                <w:sz w:val="16"/>
                <w:szCs w:val="16"/>
              </w:rPr>
              <w:t xml:space="preserve"> </w:t>
            </w:r>
            <w:r w:rsidRPr="002E64AC">
              <w:rPr>
                <w:sz w:val="16"/>
                <w:szCs w:val="16"/>
              </w:rPr>
              <w:t>075,55</w:t>
            </w:r>
          </w:p>
        </w:tc>
        <w:tc>
          <w:tcPr>
            <w:tcW w:w="515" w:type="pct"/>
            <w:shd w:val="clear" w:color="auto" w:fill="auto"/>
            <w:noWrap/>
            <w:vAlign w:val="bottom"/>
            <w:hideMark/>
          </w:tcPr>
          <w:p w14:paraId="7FAFF21E" w14:textId="77777777" w:rsidR="00881780" w:rsidRPr="002E64AC" w:rsidRDefault="00881780" w:rsidP="006F4D8F">
            <w:pPr>
              <w:spacing w:before="0" w:line="240" w:lineRule="auto"/>
              <w:jc w:val="left"/>
              <w:rPr>
                <w:sz w:val="16"/>
                <w:szCs w:val="16"/>
              </w:rPr>
            </w:pPr>
            <w:r w:rsidRPr="002E64AC">
              <w:rPr>
                <w:sz w:val="16"/>
                <w:szCs w:val="16"/>
              </w:rPr>
              <w:t>4</w:t>
            </w:r>
            <w:r>
              <w:rPr>
                <w:sz w:val="16"/>
                <w:szCs w:val="16"/>
              </w:rPr>
              <w:t xml:space="preserve"> </w:t>
            </w:r>
            <w:r w:rsidRPr="002E64AC">
              <w:rPr>
                <w:sz w:val="16"/>
                <w:szCs w:val="16"/>
              </w:rPr>
              <w:t>273,99</w:t>
            </w:r>
          </w:p>
        </w:tc>
        <w:tc>
          <w:tcPr>
            <w:tcW w:w="482" w:type="pct"/>
            <w:shd w:val="clear" w:color="auto" w:fill="auto"/>
            <w:noWrap/>
            <w:vAlign w:val="bottom"/>
            <w:hideMark/>
          </w:tcPr>
          <w:p w14:paraId="1BE8734B" w14:textId="77777777" w:rsidR="00881780" w:rsidRPr="002E64AC" w:rsidRDefault="00881780" w:rsidP="006F4D8F">
            <w:pPr>
              <w:spacing w:before="0" w:line="240" w:lineRule="auto"/>
              <w:jc w:val="left"/>
              <w:rPr>
                <w:sz w:val="16"/>
                <w:szCs w:val="16"/>
              </w:rPr>
            </w:pPr>
            <w:r w:rsidRPr="002E64AC">
              <w:rPr>
                <w:sz w:val="16"/>
                <w:szCs w:val="16"/>
              </w:rPr>
              <w:t>4</w:t>
            </w:r>
            <w:r>
              <w:rPr>
                <w:sz w:val="16"/>
                <w:szCs w:val="16"/>
              </w:rPr>
              <w:t xml:space="preserve"> </w:t>
            </w:r>
            <w:r w:rsidRPr="002E64AC">
              <w:rPr>
                <w:sz w:val="16"/>
                <w:szCs w:val="16"/>
              </w:rPr>
              <w:t>509,15</w:t>
            </w:r>
            <w:r>
              <w:rPr>
                <w:sz w:val="16"/>
                <w:szCs w:val="16"/>
              </w:rPr>
              <w:t>*</w:t>
            </w:r>
          </w:p>
        </w:tc>
      </w:tr>
    </w:tbl>
    <w:p w14:paraId="56B8654A" w14:textId="2D9A2180" w:rsidR="00881780" w:rsidRPr="00EE66C6" w:rsidRDefault="00881780" w:rsidP="001245CE">
      <w:pPr>
        <w:spacing w:before="0"/>
        <w:rPr>
          <w:i/>
          <w:sz w:val="18"/>
          <w:szCs w:val="20"/>
        </w:rPr>
      </w:pPr>
      <w:r w:rsidRPr="00EE66C6">
        <w:rPr>
          <w:i/>
          <w:sz w:val="18"/>
          <w:szCs w:val="20"/>
        </w:rPr>
        <w:t>Źródło: opracowanie własne na podstawie danych BDL/GUS; „Dla woj. zachodniopomorskiego</w:t>
      </w:r>
      <w:r w:rsidR="00E66B89" w:rsidRPr="00EE66C6">
        <w:rPr>
          <w:i/>
          <w:sz w:val="18"/>
          <w:szCs w:val="20"/>
        </w:rPr>
        <w:t xml:space="preserve"> w </w:t>
      </w:r>
      <w:r w:rsidRPr="00EE66C6">
        <w:rPr>
          <w:i/>
          <w:sz w:val="18"/>
          <w:szCs w:val="20"/>
        </w:rPr>
        <w:t>2018 r. *Przeciętne miesięczne wynagrodzenie brutto</w:t>
      </w:r>
      <w:r w:rsidR="00E66B89" w:rsidRPr="00EE66C6">
        <w:rPr>
          <w:i/>
          <w:sz w:val="18"/>
          <w:szCs w:val="20"/>
        </w:rPr>
        <w:t xml:space="preserve"> w </w:t>
      </w:r>
      <w:r w:rsidRPr="00EE66C6">
        <w:rPr>
          <w:i/>
          <w:sz w:val="18"/>
          <w:szCs w:val="20"/>
        </w:rPr>
        <w:t>sektorze przedsiębiorstw</w:t>
      </w:r>
      <w:r w:rsidR="00AA6879">
        <w:rPr>
          <w:i/>
          <w:sz w:val="18"/>
          <w:szCs w:val="20"/>
        </w:rPr>
        <w:t>.</w:t>
      </w:r>
    </w:p>
    <w:p w14:paraId="7B129E92" w14:textId="77777777" w:rsidR="00881780" w:rsidRPr="00D421E1" w:rsidRDefault="00881780" w:rsidP="00881780">
      <w:pPr>
        <w:spacing w:line="276" w:lineRule="auto"/>
        <w:rPr>
          <w:rFonts w:eastAsia="Calibri"/>
          <w:szCs w:val="20"/>
          <w:lang w:eastAsia="en-US"/>
        </w:rPr>
      </w:pPr>
      <w:r w:rsidRPr="00D421E1">
        <w:rPr>
          <w:rFonts w:eastAsia="Calibri"/>
          <w:szCs w:val="20"/>
          <w:lang w:eastAsia="en-US"/>
        </w:rPr>
        <w:t>Udzielana pomoc bezzwrotna (dotacja) na utworzenie przedsiębiorstwa oraz doradztwo</w:t>
      </w:r>
      <w:r w:rsidR="00E66B89">
        <w:rPr>
          <w:rFonts w:eastAsia="Calibri"/>
          <w:szCs w:val="20"/>
          <w:lang w:eastAsia="en-US"/>
        </w:rPr>
        <w:t xml:space="preserve"> i </w:t>
      </w:r>
      <w:r w:rsidRPr="00D421E1">
        <w:rPr>
          <w:rFonts w:eastAsia="Calibri"/>
          <w:szCs w:val="20"/>
          <w:lang w:eastAsia="en-US"/>
        </w:rPr>
        <w:t>szkolenia umożliwiające uzyskanie wiedzy</w:t>
      </w:r>
      <w:r w:rsidR="00E66B89">
        <w:rPr>
          <w:rFonts w:eastAsia="Calibri"/>
          <w:szCs w:val="20"/>
          <w:lang w:eastAsia="en-US"/>
        </w:rPr>
        <w:t xml:space="preserve"> i </w:t>
      </w:r>
      <w:r w:rsidRPr="00D421E1">
        <w:rPr>
          <w:rFonts w:eastAsia="Calibri"/>
          <w:szCs w:val="20"/>
          <w:lang w:eastAsia="en-US"/>
        </w:rPr>
        <w:t>umiejętności niezbędnych do podjęcia</w:t>
      </w:r>
      <w:r w:rsidR="00E66B89">
        <w:rPr>
          <w:rFonts w:eastAsia="Calibri"/>
          <w:szCs w:val="20"/>
          <w:lang w:eastAsia="en-US"/>
        </w:rPr>
        <w:t xml:space="preserve"> i </w:t>
      </w:r>
      <w:r w:rsidRPr="00D421E1">
        <w:rPr>
          <w:rFonts w:eastAsia="Calibri"/>
          <w:szCs w:val="20"/>
          <w:lang w:eastAsia="en-US"/>
        </w:rPr>
        <w:t>prowadzenia działalności gospodarczej kierowane są przede wszystkim do osób bezrobotnych, pozostających</w:t>
      </w:r>
      <w:r w:rsidR="00E66B89">
        <w:rPr>
          <w:rFonts w:eastAsia="Calibri"/>
          <w:szCs w:val="20"/>
          <w:lang w:eastAsia="en-US"/>
        </w:rPr>
        <w:t xml:space="preserve"> w </w:t>
      </w:r>
      <w:r w:rsidRPr="00D421E1">
        <w:rPr>
          <w:rFonts w:eastAsia="Calibri"/>
          <w:szCs w:val="20"/>
          <w:lang w:eastAsia="en-US"/>
        </w:rPr>
        <w:t>szczególnej sytuacji na rynku pracy</w:t>
      </w:r>
      <w:r>
        <w:rPr>
          <w:rFonts w:eastAsia="Calibri"/>
          <w:szCs w:val="20"/>
          <w:lang w:eastAsia="en-US"/>
        </w:rPr>
        <w:t xml:space="preserve"> </w:t>
      </w:r>
      <w:r w:rsidRPr="006E1773">
        <w:rPr>
          <w:rFonts w:eastAsia="Calibri"/>
          <w:szCs w:val="20"/>
          <w:lang w:eastAsia="en-US"/>
        </w:rPr>
        <w:t>tj. os</w:t>
      </w:r>
      <w:r>
        <w:rPr>
          <w:rFonts w:eastAsia="Calibri"/>
          <w:szCs w:val="20"/>
          <w:lang w:eastAsia="en-US"/>
        </w:rPr>
        <w:t>ó</w:t>
      </w:r>
      <w:r w:rsidRPr="006E1773">
        <w:rPr>
          <w:rFonts w:eastAsia="Calibri"/>
          <w:szCs w:val="20"/>
          <w:lang w:eastAsia="en-US"/>
        </w:rPr>
        <w:t>b</w:t>
      </w:r>
      <w:r w:rsidR="00E66B89">
        <w:rPr>
          <w:rFonts w:eastAsia="Calibri"/>
          <w:szCs w:val="20"/>
          <w:lang w:eastAsia="en-US"/>
        </w:rPr>
        <w:t xml:space="preserve"> w </w:t>
      </w:r>
      <w:r w:rsidRPr="006E1773">
        <w:rPr>
          <w:rFonts w:eastAsia="Calibri"/>
          <w:szCs w:val="20"/>
          <w:lang w:eastAsia="en-US"/>
        </w:rPr>
        <w:t>wieku 50 lat</w:t>
      </w:r>
      <w:r w:rsidR="00E66B89">
        <w:rPr>
          <w:rFonts w:eastAsia="Calibri"/>
          <w:szCs w:val="20"/>
          <w:lang w:eastAsia="en-US"/>
        </w:rPr>
        <w:t xml:space="preserve"> i </w:t>
      </w:r>
      <w:r w:rsidRPr="006E1773">
        <w:rPr>
          <w:rFonts w:eastAsia="Calibri"/>
          <w:szCs w:val="20"/>
          <w:lang w:eastAsia="en-US"/>
        </w:rPr>
        <w:t>więcej, kobiet, os</w:t>
      </w:r>
      <w:r>
        <w:rPr>
          <w:rFonts w:eastAsia="Calibri"/>
          <w:szCs w:val="20"/>
          <w:lang w:eastAsia="en-US"/>
        </w:rPr>
        <w:t>ó</w:t>
      </w:r>
      <w:r w:rsidRPr="006E1773">
        <w:rPr>
          <w:rFonts w:eastAsia="Calibri"/>
          <w:szCs w:val="20"/>
          <w:lang w:eastAsia="en-US"/>
        </w:rPr>
        <w:t>b długotrwale bezrobotn</w:t>
      </w:r>
      <w:r>
        <w:rPr>
          <w:rFonts w:eastAsia="Calibri"/>
          <w:szCs w:val="20"/>
          <w:lang w:eastAsia="en-US"/>
        </w:rPr>
        <w:t xml:space="preserve">ych, </w:t>
      </w:r>
      <w:r w:rsidRPr="006E1773">
        <w:rPr>
          <w:rFonts w:eastAsia="Calibri"/>
          <w:szCs w:val="20"/>
          <w:lang w:eastAsia="en-US"/>
        </w:rPr>
        <w:t>os</w:t>
      </w:r>
      <w:r>
        <w:rPr>
          <w:rFonts w:eastAsia="Calibri"/>
          <w:szCs w:val="20"/>
          <w:lang w:eastAsia="en-US"/>
        </w:rPr>
        <w:t>ó</w:t>
      </w:r>
      <w:r w:rsidRPr="006E1773">
        <w:rPr>
          <w:rFonts w:eastAsia="Calibri"/>
          <w:szCs w:val="20"/>
          <w:lang w:eastAsia="en-US"/>
        </w:rPr>
        <w:t>b</w:t>
      </w:r>
      <w:r w:rsidR="00E66B89">
        <w:rPr>
          <w:rFonts w:eastAsia="Calibri"/>
          <w:szCs w:val="20"/>
          <w:lang w:eastAsia="en-US"/>
        </w:rPr>
        <w:t xml:space="preserve"> o </w:t>
      </w:r>
      <w:r w:rsidRPr="006E1773">
        <w:rPr>
          <w:rFonts w:eastAsia="Calibri"/>
          <w:szCs w:val="20"/>
          <w:lang w:eastAsia="en-US"/>
        </w:rPr>
        <w:t>niskich kwalifikacjach</w:t>
      </w:r>
      <w:r>
        <w:rPr>
          <w:rFonts w:eastAsia="Calibri"/>
          <w:szCs w:val="20"/>
          <w:lang w:eastAsia="en-US"/>
        </w:rPr>
        <w:t>,</w:t>
      </w:r>
      <w:r w:rsidRPr="006E1773">
        <w:rPr>
          <w:rFonts w:eastAsia="Calibri"/>
          <w:szCs w:val="20"/>
          <w:lang w:eastAsia="en-US"/>
        </w:rPr>
        <w:t xml:space="preserve"> os</w:t>
      </w:r>
      <w:r>
        <w:rPr>
          <w:rFonts w:eastAsia="Calibri"/>
          <w:szCs w:val="20"/>
          <w:lang w:eastAsia="en-US"/>
        </w:rPr>
        <w:t>ó</w:t>
      </w:r>
      <w:r w:rsidRPr="006E1773">
        <w:rPr>
          <w:rFonts w:eastAsia="Calibri"/>
          <w:szCs w:val="20"/>
          <w:lang w:eastAsia="en-US"/>
        </w:rPr>
        <w:t>b</w:t>
      </w:r>
      <w:r w:rsidR="00E66B89">
        <w:rPr>
          <w:rFonts w:eastAsia="Calibri"/>
          <w:szCs w:val="20"/>
          <w:lang w:eastAsia="en-US"/>
        </w:rPr>
        <w:t xml:space="preserve"> z </w:t>
      </w:r>
      <w:r w:rsidRPr="006E1773">
        <w:rPr>
          <w:rFonts w:eastAsia="Calibri"/>
          <w:szCs w:val="20"/>
          <w:lang w:eastAsia="en-US"/>
        </w:rPr>
        <w:t>niepełnosprawnościami</w:t>
      </w:r>
      <w:r w:rsidRPr="00D421E1">
        <w:rPr>
          <w:rFonts w:eastAsia="Calibri"/>
          <w:szCs w:val="20"/>
          <w:lang w:eastAsia="en-US"/>
        </w:rPr>
        <w:t>. Identyfikowany</w:t>
      </w:r>
      <w:r w:rsidR="00E66B89">
        <w:rPr>
          <w:rFonts w:eastAsia="Calibri"/>
          <w:szCs w:val="20"/>
          <w:lang w:eastAsia="en-US"/>
        </w:rPr>
        <w:t xml:space="preserve"> w </w:t>
      </w:r>
      <w:r w:rsidRPr="00D421E1">
        <w:rPr>
          <w:rFonts w:eastAsia="Calibri"/>
          <w:szCs w:val="20"/>
          <w:lang w:eastAsia="en-US"/>
        </w:rPr>
        <w:t>regionie znaczący spadek stopy bezrobocia</w:t>
      </w:r>
      <w:r w:rsidR="00E66B89">
        <w:rPr>
          <w:rFonts w:eastAsia="Calibri"/>
          <w:szCs w:val="20"/>
          <w:lang w:eastAsia="en-US"/>
        </w:rPr>
        <w:t xml:space="preserve"> w </w:t>
      </w:r>
      <w:r w:rsidRPr="00D421E1">
        <w:rPr>
          <w:rFonts w:eastAsia="Calibri"/>
          <w:szCs w:val="20"/>
          <w:lang w:eastAsia="en-US"/>
        </w:rPr>
        <w:t>ostatnich latach (w okresie wdrażania Programu), należy traktować jako istotny czynnik zewnętrzny mogący mieć wpływ na osiąganie wartości wskaźnika założonej na 2023 rok.</w:t>
      </w:r>
      <w:r w:rsidR="00E66B89">
        <w:rPr>
          <w:rFonts w:eastAsia="Calibri"/>
          <w:szCs w:val="20"/>
          <w:lang w:eastAsia="en-US"/>
        </w:rPr>
        <w:t xml:space="preserve"> Z </w:t>
      </w:r>
      <w:r w:rsidRPr="00D421E1">
        <w:rPr>
          <w:rFonts w:eastAsia="Calibri"/>
          <w:szCs w:val="20"/>
          <w:lang w:eastAsia="en-US"/>
        </w:rPr>
        <w:t>drugiej strony podkreśla się, że osoby bezrobotne pozostające</w:t>
      </w:r>
      <w:r w:rsidR="00E66B89">
        <w:rPr>
          <w:rFonts w:eastAsia="Calibri"/>
          <w:szCs w:val="20"/>
          <w:lang w:eastAsia="en-US"/>
        </w:rPr>
        <w:t xml:space="preserve"> w </w:t>
      </w:r>
      <w:r w:rsidRPr="00D421E1">
        <w:rPr>
          <w:rFonts w:eastAsia="Calibri"/>
          <w:szCs w:val="20"/>
          <w:lang w:eastAsia="en-US"/>
        </w:rPr>
        <w:t>szczególnej sytuacji na rynku pracy ze względu na swój status zawodowy mają ograniczony dostęp do kapitału finansowego; wobec braku zatrudnienia (braku ciągłości historii zawodowej), nieposiadania odpowiedniej zdolności kredytowej</w:t>
      </w:r>
      <w:r w:rsidR="00E66B89">
        <w:rPr>
          <w:rFonts w:eastAsia="Calibri"/>
          <w:szCs w:val="20"/>
          <w:lang w:eastAsia="en-US"/>
        </w:rPr>
        <w:t xml:space="preserve"> i </w:t>
      </w:r>
      <w:r w:rsidRPr="00D421E1">
        <w:rPr>
          <w:rFonts w:eastAsia="Calibri"/>
          <w:szCs w:val="20"/>
          <w:lang w:eastAsia="en-US"/>
        </w:rPr>
        <w:t>niedysponowania wystarczającymi zabezpieczeniami doświadczają trudności</w:t>
      </w:r>
      <w:r w:rsidR="00E66B89">
        <w:rPr>
          <w:rFonts w:eastAsia="Calibri"/>
          <w:szCs w:val="20"/>
          <w:lang w:eastAsia="en-US"/>
        </w:rPr>
        <w:t xml:space="preserve"> w </w:t>
      </w:r>
      <w:r w:rsidRPr="00D421E1">
        <w:rPr>
          <w:rFonts w:eastAsia="Calibri"/>
          <w:szCs w:val="20"/>
          <w:lang w:eastAsia="en-US"/>
        </w:rPr>
        <w:t>pozyskaniu środków finansowych na założeni</w:t>
      </w:r>
      <w:r>
        <w:rPr>
          <w:rFonts w:eastAsia="Calibri"/>
          <w:szCs w:val="20"/>
          <w:lang w:eastAsia="en-US"/>
        </w:rPr>
        <w:t>e</w:t>
      </w:r>
      <w:r w:rsidRPr="00D421E1">
        <w:rPr>
          <w:rFonts w:eastAsia="Calibri"/>
          <w:szCs w:val="20"/>
          <w:lang w:eastAsia="en-US"/>
        </w:rPr>
        <w:t xml:space="preserve"> własnej działalności gospodarczej ze źródeł komercyjnych. Jednocześnie, zauważa się, że dostęp do źródeł finansowania to jeden</w:t>
      </w:r>
      <w:r w:rsidR="00E66B89">
        <w:rPr>
          <w:rFonts w:eastAsia="Calibri"/>
          <w:szCs w:val="20"/>
          <w:lang w:eastAsia="en-US"/>
        </w:rPr>
        <w:t xml:space="preserve"> z </w:t>
      </w:r>
      <w:r w:rsidRPr="00D421E1">
        <w:rPr>
          <w:rFonts w:eastAsia="Calibri"/>
          <w:szCs w:val="20"/>
          <w:lang w:eastAsia="en-US"/>
        </w:rPr>
        <w:t>kluczowych elementów funkcjonowania</w:t>
      </w:r>
      <w:r w:rsidR="00E66B89">
        <w:rPr>
          <w:rFonts w:eastAsia="Calibri"/>
          <w:szCs w:val="20"/>
          <w:lang w:eastAsia="en-US"/>
        </w:rPr>
        <w:t xml:space="preserve"> i </w:t>
      </w:r>
      <w:r w:rsidRPr="00D421E1">
        <w:rPr>
          <w:rFonts w:eastAsia="Calibri"/>
          <w:szCs w:val="20"/>
          <w:lang w:eastAsia="en-US"/>
        </w:rPr>
        <w:t>rozwoju przedsiębiorstw działających</w:t>
      </w:r>
      <w:r w:rsidR="00E66B89">
        <w:rPr>
          <w:rFonts w:eastAsia="Calibri"/>
          <w:szCs w:val="20"/>
          <w:lang w:eastAsia="en-US"/>
        </w:rPr>
        <w:t xml:space="preserve"> w </w:t>
      </w:r>
      <w:r w:rsidRPr="00D421E1">
        <w:rPr>
          <w:rFonts w:eastAsia="Calibri"/>
          <w:szCs w:val="20"/>
          <w:lang w:eastAsia="en-US"/>
        </w:rPr>
        <w:t>systemach nowoczesnych gospodarek rynkowych; brak dostępności kapitału zewnętrznego często hamuje realne możliwości tworzenia</w:t>
      </w:r>
      <w:r w:rsidR="00E66B89">
        <w:rPr>
          <w:rFonts w:eastAsia="Calibri"/>
          <w:szCs w:val="20"/>
          <w:lang w:eastAsia="en-US"/>
        </w:rPr>
        <w:t xml:space="preserve"> i </w:t>
      </w:r>
      <w:r w:rsidRPr="00D421E1">
        <w:rPr>
          <w:rFonts w:eastAsia="Calibri"/>
          <w:szCs w:val="20"/>
          <w:lang w:eastAsia="en-US"/>
        </w:rPr>
        <w:t>rozwoju przedsiębiorstw</w:t>
      </w:r>
      <w:r w:rsidRPr="00D421E1">
        <w:rPr>
          <w:rFonts w:eastAsia="Calibri"/>
          <w:szCs w:val="20"/>
          <w:vertAlign w:val="superscript"/>
          <w:lang w:eastAsia="en-US"/>
        </w:rPr>
        <w:footnoteReference w:id="74"/>
      </w:r>
      <w:r w:rsidRPr="00D421E1">
        <w:rPr>
          <w:rFonts w:eastAsia="Calibri"/>
          <w:szCs w:val="20"/>
          <w:lang w:eastAsia="en-US"/>
        </w:rPr>
        <w:t>. Bezzwrotna dotacja na utworzenie przedsiębiorstwa oraz doradztwo</w:t>
      </w:r>
      <w:r w:rsidR="00E66B89">
        <w:rPr>
          <w:rFonts w:eastAsia="Calibri"/>
          <w:szCs w:val="20"/>
          <w:lang w:eastAsia="en-US"/>
        </w:rPr>
        <w:t xml:space="preserve"> i </w:t>
      </w:r>
      <w:r w:rsidRPr="00D421E1">
        <w:rPr>
          <w:rFonts w:eastAsia="Calibri"/>
          <w:szCs w:val="20"/>
          <w:lang w:eastAsia="en-US"/>
        </w:rPr>
        <w:t>szkolenia służące nabyciu kompetencji</w:t>
      </w:r>
      <w:r w:rsidR="00E66B89">
        <w:rPr>
          <w:rFonts w:eastAsia="Calibri"/>
          <w:szCs w:val="20"/>
          <w:lang w:eastAsia="en-US"/>
        </w:rPr>
        <w:t xml:space="preserve"> w </w:t>
      </w:r>
      <w:r w:rsidRPr="00D421E1">
        <w:rPr>
          <w:rFonts w:eastAsia="Calibri"/>
          <w:szCs w:val="20"/>
          <w:lang w:eastAsia="en-US"/>
        </w:rPr>
        <w:t>zakresie prowadzenia działalności gospodarczej, jako instrumenty</w:t>
      </w:r>
      <w:r w:rsidR="00E66B89">
        <w:rPr>
          <w:rFonts w:eastAsia="Calibri"/>
          <w:szCs w:val="20"/>
          <w:lang w:eastAsia="en-US"/>
        </w:rPr>
        <w:t xml:space="preserve"> i </w:t>
      </w:r>
      <w:r w:rsidRPr="00D421E1">
        <w:rPr>
          <w:rFonts w:eastAsia="Calibri"/>
          <w:szCs w:val="20"/>
          <w:lang w:eastAsia="en-US"/>
        </w:rPr>
        <w:t>usługi rynku pracy służące rozwojowi przedsiębiorczości</w:t>
      </w:r>
      <w:r w:rsidR="00E66B89">
        <w:rPr>
          <w:rFonts w:eastAsia="Calibri"/>
          <w:szCs w:val="20"/>
          <w:lang w:eastAsia="en-US"/>
        </w:rPr>
        <w:t xml:space="preserve"> i </w:t>
      </w:r>
      <w:r w:rsidRPr="00D421E1">
        <w:rPr>
          <w:rFonts w:eastAsia="Calibri"/>
          <w:szCs w:val="20"/>
          <w:lang w:eastAsia="en-US"/>
        </w:rPr>
        <w:t>samozatrudnienia poprzez wsparcie osób bezrobotnych</w:t>
      </w:r>
      <w:r w:rsidR="00E66B89">
        <w:rPr>
          <w:rFonts w:eastAsia="Calibri"/>
          <w:szCs w:val="20"/>
          <w:lang w:eastAsia="en-US"/>
        </w:rPr>
        <w:t xml:space="preserve"> w </w:t>
      </w:r>
      <w:r w:rsidRPr="00D421E1">
        <w:rPr>
          <w:rFonts w:eastAsia="Calibri"/>
          <w:szCs w:val="20"/>
          <w:lang w:eastAsia="en-US"/>
        </w:rPr>
        <w:t>zakładaniu</w:t>
      </w:r>
      <w:r w:rsidR="00E66B89">
        <w:rPr>
          <w:rFonts w:eastAsia="Calibri"/>
          <w:szCs w:val="20"/>
          <w:lang w:eastAsia="en-US"/>
        </w:rPr>
        <w:t xml:space="preserve"> i </w:t>
      </w:r>
      <w:r w:rsidRPr="00D421E1">
        <w:rPr>
          <w:rFonts w:eastAsia="Calibri"/>
          <w:szCs w:val="20"/>
          <w:lang w:eastAsia="en-US"/>
        </w:rPr>
        <w:t>prowadzeniu własnej działalności gospodarczej, to interwencja wdrażana przez Powiatowe Urzędy Pracy (w tym zakresie alokacja</w:t>
      </w:r>
      <w:r w:rsidR="00E66B89">
        <w:rPr>
          <w:rFonts w:eastAsia="Calibri"/>
          <w:szCs w:val="20"/>
          <w:lang w:eastAsia="en-US"/>
        </w:rPr>
        <w:t xml:space="preserve"> w </w:t>
      </w:r>
      <w:r w:rsidRPr="00D421E1">
        <w:rPr>
          <w:rFonts w:eastAsia="Calibri"/>
          <w:szCs w:val="20"/>
          <w:lang w:eastAsia="en-US"/>
        </w:rPr>
        <w:t>ramach PI 8i jest rozdysponowana</w:t>
      </w:r>
      <w:r w:rsidR="00E66B89">
        <w:rPr>
          <w:rFonts w:eastAsia="Calibri"/>
          <w:szCs w:val="20"/>
          <w:lang w:eastAsia="en-US"/>
        </w:rPr>
        <w:t xml:space="preserve"> w </w:t>
      </w:r>
      <w:r w:rsidRPr="00D421E1">
        <w:rPr>
          <w:rFonts w:eastAsia="Calibri"/>
          <w:szCs w:val="20"/>
          <w:lang w:eastAsia="en-US"/>
        </w:rPr>
        <w:t>trybie pozakonkursowym</w:t>
      </w:r>
      <w:r w:rsidR="00E66B89">
        <w:rPr>
          <w:rFonts w:eastAsia="Calibri"/>
          <w:szCs w:val="20"/>
          <w:lang w:eastAsia="en-US"/>
        </w:rPr>
        <w:t xml:space="preserve"> i </w:t>
      </w:r>
      <w:r w:rsidRPr="00D421E1">
        <w:rPr>
          <w:rFonts w:eastAsia="Calibri"/>
          <w:szCs w:val="20"/>
          <w:lang w:eastAsia="en-US"/>
        </w:rPr>
        <w:t>skierowana do PUP). Strategiczny dla statutowej działalności Powiatowych Urzędów Pracy charakter wsparcia oraz bezpośredni dostęp do potencjalnych odbiorców wsparcia (osób bezrobotnych, pozostających</w:t>
      </w:r>
      <w:r w:rsidR="00E66B89">
        <w:rPr>
          <w:rFonts w:eastAsia="Calibri"/>
          <w:szCs w:val="20"/>
          <w:lang w:eastAsia="en-US"/>
        </w:rPr>
        <w:t xml:space="preserve"> w </w:t>
      </w:r>
      <w:r w:rsidRPr="00D421E1">
        <w:rPr>
          <w:rFonts w:eastAsia="Calibri"/>
          <w:szCs w:val="20"/>
          <w:lang w:eastAsia="en-US"/>
        </w:rPr>
        <w:t xml:space="preserve">sytuacji szczególnej na rynku pracy) to czynniki zwiększające skuteczność podejmowanych przez PUP projektów. </w:t>
      </w:r>
    </w:p>
    <w:p w14:paraId="145A4D50" w14:textId="77777777" w:rsidR="00881780" w:rsidRPr="00404DA5" w:rsidRDefault="00881780" w:rsidP="00881780">
      <w:pPr>
        <w:spacing w:line="276" w:lineRule="auto"/>
        <w:rPr>
          <w:rFonts w:eastAsia="Calibri" w:cs="Calibri"/>
          <w:szCs w:val="20"/>
          <w:lang w:eastAsia="en-US"/>
        </w:rPr>
      </w:pPr>
      <w:r w:rsidRPr="00404DA5">
        <w:rPr>
          <w:rFonts w:eastAsia="Calibri" w:cs="Calibri"/>
          <w:szCs w:val="20"/>
          <w:lang w:eastAsia="en-US"/>
        </w:rPr>
        <w:t xml:space="preserve">Wskaźnik </w:t>
      </w:r>
      <w:r w:rsidRPr="00B011E7">
        <w:rPr>
          <w:rFonts w:eastAsia="Calibri" w:cs="Calibri"/>
          <w:i/>
          <w:szCs w:val="20"/>
          <w:lang w:eastAsia="en-US"/>
        </w:rPr>
        <w:t>Liczba osób pracujących objętych wsparciem</w:t>
      </w:r>
      <w:r w:rsidR="00E66B89">
        <w:rPr>
          <w:rFonts w:eastAsia="Calibri" w:cs="Calibri"/>
          <w:i/>
          <w:szCs w:val="20"/>
          <w:lang w:eastAsia="en-US"/>
        </w:rPr>
        <w:t xml:space="preserve"> w </w:t>
      </w:r>
      <w:r w:rsidRPr="00B011E7">
        <w:rPr>
          <w:rFonts w:eastAsia="Calibri" w:cs="Calibri"/>
          <w:i/>
          <w:szCs w:val="20"/>
          <w:lang w:eastAsia="en-US"/>
        </w:rPr>
        <w:t>programie (łącznie</w:t>
      </w:r>
      <w:r w:rsidR="00E66B89">
        <w:rPr>
          <w:rFonts w:eastAsia="Calibri" w:cs="Calibri"/>
          <w:i/>
          <w:szCs w:val="20"/>
          <w:lang w:eastAsia="en-US"/>
        </w:rPr>
        <w:t xml:space="preserve"> z </w:t>
      </w:r>
      <w:r w:rsidRPr="00B011E7">
        <w:rPr>
          <w:rFonts w:eastAsia="Calibri" w:cs="Calibri"/>
          <w:i/>
          <w:szCs w:val="20"/>
          <w:lang w:eastAsia="en-US"/>
        </w:rPr>
        <w:t>pracującymi na własny rachunek)</w:t>
      </w:r>
    </w:p>
    <w:p w14:paraId="6754BCB8" w14:textId="77777777" w:rsidR="00881780" w:rsidRPr="00404DA5" w:rsidRDefault="00881780" w:rsidP="00881780">
      <w:pPr>
        <w:spacing w:line="276" w:lineRule="auto"/>
        <w:rPr>
          <w:rFonts w:eastAsia="Calibri"/>
          <w:szCs w:val="20"/>
          <w:lang w:eastAsia="en-US"/>
        </w:rPr>
      </w:pPr>
      <w:r w:rsidRPr="00404DA5">
        <w:rPr>
          <w:rFonts w:eastAsia="Calibri"/>
          <w:szCs w:val="20"/>
          <w:lang w:eastAsia="en-US"/>
        </w:rPr>
        <w:t>Cel pośredni (na 2018 rok) został zrealizowany na poziomie 233,96% (234% po zaokrągleniu) / 4 726 osób objętych wsparciem (wartość osiągnięta</w:t>
      </w:r>
      <w:r w:rsidR="00E66B89">
        <w:rPr>
          <w:rFonts w:eastAsia="Calibri"/>
          <w:szCs w:val="20"/>
          <w:lang w:eastAsia="en-US"/>
        </w:rPr>
        <w:t xml:space="preserve"> w </w:t>
      </w:r>
      <w:r w:rsidRPr="00404DA5">
        <w:rPr>
          <w:rFonts w:eastAsia="Calibri"/>
          <w:szCs w:val="20"/>
          <w:lang w:eastAsia="en-US"/>
        </w:rPr>
        <w:t xml:space="preserve">projektach na podstawie WoP). </w:t>
      </w:r>
      <w:r w:rsidRPr="00D421E1">
        <w:rPr>
          <w:rFonts w:eastAsia="Calibri"/>
          <w:szCs w:val="20"/>
          <w:lang w:eastAsia="en-US"/>
        </w:rPr>
        <w:t>Na podstawie danych zawartych</w:t>
      </w:r>
      <w:r w:rsidR="00E66B89">
        <w:rPr>
          <w:rFonts w:eastAsia="Calibri"/>
          <w:szCs w:val="20"/>
          <w:lang w:eastAsia="en-US"/>
        </w:rPr>
        <w:t xml:space="preserve"> w </w:t>
      </w:r>
      <w:r w:rsidRPr="00D421E1">
        <w:rPr>
          <w:rFonts w:eastAsia="Calibri"/>
          <w:szCs w:val="20"/>
          <w:lang w:eastAsia="en-US"/>
        </w:rPr>
        <w:t>informacji kwartalnej za IV kwartał 2018 r. stopień osiągnięcia wartości wskaźnika na 2023 rok wg WoP wynosi 27,7%;</w:t>
      </w:r>
      <w:r w:rsidR="00E66B89">
        <w:rPr>
          <w:rFonts w:eastAsia="Calibri"/>
          <w:szCs w:val="20"/>
          <w:lang w:eastAsia="en-US"/>
        </w:rPr>
        <w:t xml:space="preserve"> z </w:t>
      </w:r>
      <w:r w:rsidRPr="00D421E1">
        <w:rPr>
          <w:rFonts w:eastAsia="Calibri"/>
          <w:szCs w:val="20"/>
          <w:lang w:eastAsia="en-US"/>
        </w:rPr>
        <w:t>kolei deklarowany przez Beneficjentów</w:t>
      </w:r>
      <w:r w:rsidR="00E66B89">
        <w:rPr>
          <w:rFonts w:eastAsia="Calibri"/>
          <w:szCs w:val="20"/>
          <w:lang w:eastAsia="en-US"/>
        </w:rPr>
        <w:t xml:space="preserve"> w </w:t>
      </w:r>
      <w:r w:rsidRPr="00D421E1">
        <w:rPr>
          <w:rFonts w:eastAsia="Calibri"/>
          <w:szCs w:val="20"/>
          <w:lang w:eastAsia="en-US"/>
        </w:rPr>
        <w:t>UoD stopień osiągnięcia wartości końcowej wskaźnika</w:t>
      </w:r>
      <w:r w:rsidR="00E66B89">
        <w:rPr>
          <w:rFonts w:eastAsia="Calibri"/>
          <w:szCs w:val="20"/>
          <w:lang w:eastAsia="en-US"/>
        </w:rPr>
        <w:t xml:space="preserve"> w </w:t>
      </w:r>
      <w:r w:rsidRPr="00D421E1">
        <w:rPr>
          <w:rFonts w:eastAsia="Calibri"/>
          <w:szCs w:val="20"/>
          <w:lang w:eastAsia="en-US"/>
        </w:rPr>
        <w:t xml:space="preserve">Programie (na 2023) wynosi </w:t>
      </w:r>
      <w:r>
        <w:rPr>
          <w:rFonts w:eastAsia="Calibri"/>
          <w:szCs w:val="20"/>
          <w:lang w:eastAsia="en-US"/>
        </w:rPr>
        <w:t xml:space="preserve">aż </w:t>
      </w:r>
      <w:r w:rsidRPr="00D421E1">
        <w:rPr>
          <w:rFonts w:eastAsia="Calibri"/>
          <w:szCs w:val="20"/>
          <w:lang w:eastAsia="en-US"/>
        </w:rPr>
        <w:t>92,7%</w:t>
      </w:r>
      <w:r w:rsidRPr="00D421E1">
        <w:rPr>
          <w:rFonts w:eastAsia="Calibri"/>
          <w:szCs w:val="20"/>
          <w:vertAlign w:val="superscript"/>
          <w:lang w:eastAsia="en-US"/>
        </w:rPr>
        <w:footnoteReference w:id="75"/>
      </w:r>
      <w:r w:rsidRPr="00D421E1">
        <w:rPr>
          <w:rFonts w:eastAsia="Calibri"/>
          <w:szCs w:val="20"/>
          <w:lang w:eastAsia="en-US"/>
        </w:rPr>
        <w:t xml:space="preserve">. </w:t>
      </w:r>
      <w:r w:rsidRPr="00404DA5">
        <w:rPr>
          <w:rFonts w:eastAsia="Calibri"/>
          <w:szCs w:val="20"/>
          <w:lang w:eastAsia="en-US"/>
        </w:rPr>
        <w:t>Wskaźnik był osiągany</w:t>
      </w:r>
      <w:r w:rsidR="00E66B89">
        <w:rPr>
          <w:rFonts w:eastAsia="Calibri"/>
          <w:szCs w:val="20"/>
          <w:lang w:eastAsia="en-US"/>
        </w:rPr>
        <w:t xml:space="preserve"> w </w:t>
      </w:r>
      <w:r w:rsidRPr="00404DA5">
        <w:rPr>
          <w:rFonts w:eastAsia="Calibri"/>
          <w:szCs w:val="20"/>
          <w:lang w:eastAsia="en-US"/>
        </w:rPr>
        <w:t>projektach realizowanych</w:t>
      </w:r>
      <w:r w:rsidR="00E66B89">
        <w:rPr>
          <w:rFonts w:eastAsia="Calibri"/>
          <w:szCs w:val="20"/>
          <w:lang w:eastAsia="en-US"/>
        </w:rPr>
        <w:t xml:space="preserve"> w </w:t>
      </w:r>
      <w:r w:rsidRPr="00404DA5">
        <w:rPr>
          <w:rFonts w:eastAsia="Calibri"/>
          <w:szCs w:val="20"/>
          <w:lang w:eastAsia="en-US"/>
        </w:rPr>
        <w:t xml:space="preserve">Działaniu 6.1 </w:t>
      </w:r>
      <w:r w:rsidRPr="00404DA5">
        <w:rPr>
          <w:rFonts w:eastAsia="Calibri"/>
          <w:i/>
          <w:szCs w:val="20"/>
          <w:lang w:eastAsia="en-US"/>
        </w:rPr>
        <w:t>Usługi rozwojowe skierowane do przedsiębiorców</w:t>
      </w:r>
      <w:r w:rsidR="00E66B89">
        <w:rPr>
          <w:rFonts w:eastAsia="Calibri"/>
          <w:i/>
          <w:szCs w:val="20"/>
          <w:lang w:eastAsia="en-US"/>
        </w:rPr>
        <w:t xml:space="preserve"> i </w:t>
      </w:r>
      <w:r w:rsidRPr="00404DA5">
        <w:rPr>
          <w:rFonts w:eastAsia="Calibri"/>
          <w:i/>
          <w:szCs w:val="20"/>
          <w:lang w:eastAsia="en-US"/>
        </w:rPr>
        <w:t xml:space="preserve">pracowników przedsiębiorstw na podstawie systemu popytowego </w:t>
      </w:r>
      <w:r w:rsidRPr="00404DA5">
        <w:rPr>
          <w:rFonts w:eastAsia="Calibri"/>
          <w:szCs w:val="20"/>
          <w:lang w:eastAsia="en-US"/>
        </w:rPr>
        <w:t>(PI 8v). Według stanu na 07.01.2019 r.</w:t>
      </w:r>
      <w:r w:rsidR="00E66B89">
        <w:rPr>
          <w:rFonts w:eastAsia="Calibri"/>
          <w:szCs w:val="20"/>
          <w:lang w:eastAsia="en-US"/>
        </w:rPr>
        <w:t xml:space="preserve"> w </w:t>
      </w:r>
      <w:r w:rsidRPr="00404DA5">
        <w:rPr>
          <w:rFonts w:eastAsia="Calibri"/>
          <w:szCs w:val="20"/>
          <w:lang w:eastAsia="en-US"/>
        </w:rPr>
        <w:t>ramach Działania 6.1 zawarto 3 UoD (zgodnie</w:t>
      </w:r>
      <w:r w:rsidR="00E66B89">
        <w:rPr>
          <w:rFonts w:eastAsia="Calibri"/>
          <w:szCs w:val="20"/>
          <w:lang w:eastAsia="en-US"/>
        </w:rPr>
        <w:t xml:space="preserve"> z </w:t>
      </w:r>
      <w:r w:rsidRPr="00404DA5">
        <w:rPr>
          <w:rFonts w:eastAsia="Calibri"/>
          <w:szCs w:val="20"/>
          <w:lang w:eastAsia="en-US"/>
        </w:rPr>
        <w:t>przeprowadzonymi przez Wykonawcę analizami ww. wskaźnik jest osiągany</w:t>
      </w:r>
      <w:r w:rsidR="00E66B89">
        <w:rPr>
          <w:rFonts w:eastAsia="Calibri"/>
          <w:szCs w:val="20"/>
          <w:lang w:eastAsia="en-US"/>
        </w:rPr>
        <w:t xml:space="preserve"> w </w:t>
      </w:r>
      <w:r w:rsidRPr="00404DA5">
        <w:rPr>
          <w:rFonts w:eastAsia="Calibri"/>
          <w:szCs w:val="20"/>
          <w:lang w:eastAsia="en-US"/>
        </w:rPr>
        <w:t>każdej</w:t>
      </w:r>
      <w:r w:rsidR="00E66B89">
        <w:rPr>
          <w:rFonts w:eastAsia="Calibri"/>
          <w:szCs w:val="20"/>
          <w:lang w:eastAsia="en-US"/>
        </w:rPr>
        <w:t xml:space="preserve"> z </w:t>
      </w:r>
      <w:r w:rsidRPr="00404DA5">
        <w:rPr>
          <w:rFonts w:eastAsia="Calibri"/>
          <w:szCs w:val="20"/>
          <w:lang w:eastAsia="en-US"/>
        </w:rPr>
        <w:t>zawartych UoD).</w:t>
      </w:r>
    </w:p>
    <w:p w14:paraId="38D8C3B3" w14:textId="77777777" w:rsidR="00881780" w:rsidRDefault="00881780" w:rsidP="00881780">
      <w:pPr>
        <w:spacing w:line="276" w:lineRule="auto"/>
        <w:rPr>
          <w:rFonts w:eastAsia="Calibri"/>
          <w:szCs w:val="20"/>
          <w:lang w:eastAsia="en-US"/>
        </w:rPr>
      </w:pPr>
      <w:r w:rsidRPr="00404DA5">
        <w:rPr>
          <w:rFonts w:eastAsia="Calibri"/>
          <w:szCs w:val="20"/>
          <w:lang w:eastAsia="en-US"/>
        </w:rPr>
        <w:lastRenderedPageBreak/>
        <w:t>Wartość trzech projektów realizowanych</w:t>
      </w:r>
      <w:r w:rsidR="00E66B89">
        <w:rPr>
          <w:rFonts w:eastAsia="Calibri"/>
          <w:szCs w:val="20"/>
          <w:lang w:eastAsia="en-US"/>
        </w:rPr>
        <w:t xml:space="preserve"> w </w:t>
      </w:r>
      <w:r w:rsidRPr="00404DA5">
        <w:rPr>
          <w:rFonts w:eastAsia="Calibri"/>
          <w:szCs w:val="20"/>
          <w:lang w:eastAsia="en-US"/>
        </w:rPr>
        <w:t>ww. Działaniu wyniosła 80 674 313,44 zł (wg stanu na 07.01.2019 r.);</w:t>
      </w:r>
      <w:r w:rsidR="00E66B89">
        <w:rPr>
          <w:rFonts w:eastAsia="Calibri"/>
          <w:szCs w:val="20"/>
          <w:lang w:eastAsia="en-US"/>
        </w:rPr>
        <w:t xml:space="preserve"> w </w:t>
      </w:r>
      <w:r w:rsidRPr="00404DA5">
        <w:rPr>
          <w:rFonts w:eastAsia="Calibri"/>
          <w:szCs w:val="20"/>
          <w:lang w:eastAsia="en-US"/>
        </w:rPr>
        <w:t xml:space="preserve">tym wkład UE: </w:t>
      </w:r>
      <w:bookmarkStart w:id="235" w:name="_Hlk1491430"/>
      <w:r w:rsidRPr="00404DA5">
        <w:rPr>
          <w:rFonts w:eastAsia="Calibri"/>
          <w:szCs w:val="20"/>
          <w:lang w:eastAsia="en-US"/>
        </w:rPr>
        <w:t>68 539 479,52 zł</w:t>
      </w:r>
      <w:bookmarkEnd w:id="235"/>
      <w:r w:rsidRPr="00404DA5">
        <w:rPr>
          <w:rFonts w:eastAsia="Calibri"/>
          <w:szCs w:val="20"/>
          <w:lang w:eastAsia="en-US"/>
        </w:rPr>
        <w:t>.; oznacza to 56,9% zakontraktowania alokacji UE ogółem (</w:t>
      </w:r>
      <w:r w:rsidR="0013771A">
        <w:rPr>
          <w:rFonts w:eastAsia="Calibri"/>
          <w:szCs w:val="20"/>
          <w:lang w:eastAsia="en-US"/>
        </w:rPr>
        <w:t>z</w:t>
      </w:r>
      <w:r w:rsidR="0013771A" w:rsidRPr="00404DA5">
        <w:rPr>
          <w:rFonts w:eastAsia="Calibri"/>
          <w:szCs w:val="20"/>
          <w:lang w:eastAsia="en-US"/>
        </w:rPr>
        <w:t xml:space="preserve"> </w:t>
      </w:r>
      <w:r w:rsidRPr="00404DA5">
        <w:rPr>
          <w:rFonts w:eastAsia="Calibri"/>
          <w:szCs w:val="20"/>
          <w:lang w:eastAsia="en-US"/>
        </w:rPr>
        <w:t>RW) przeznaczonej na Działanie</w:t>
      </w:r>
      <w:r w:rsidRPr="00404DA5">
        <w:rPr>
          <w:rFonts w:eastAsia="Calibri"/>
          <w:szCs w:val="20"/>
          <w:vertAlign w:val="superscript"/>
          <w:lang w:eastAsia="en-US"/>
        </w:rPr>
        <w:footnoteReference w:id="76"/>
      </w:r>
      <w:r w:rsidRPr="00404DA5">
        <w:rPr>
          <w:rFonts w:eastAsia="Calibri"/>
          <w:szCs w:val="20"/>
          <w:lang w:eastAsia="en-US"/>
        </w:rPr>
        <w:t>; oraz 61,2% alokacji bez RW. Wartość dofinansowania UE projektów realizujących</w:t>
      </w:r>
      <w:r w:rsidR="00E66B89">
        <w:rPr>
          <w:rFonts w:eastAsia="Calibri"/>
          <w:szCs w:val="20"/>
          <w:lang w:eastAsia="en-US"/>
        </w:rPr>
        <w:t xml:space="preserve"> w </w:t>
      </w:r>
      <w:r w:rsidRPr="00404DA5">
        <w:rPr>
          <w:rFonts w:eastAsia="Calibri"/>
          <w:szCs w:val="20"/>
          <w:lang w:eastAsia="en-US"/>
        </w:rPr>
        <w:t>ramach Działania wyżej wymieniony wskaźnik oczywiście odpowiada wartości dofinansowania UE wszystkich projektów</w:t>
      </w:r>
      <w:r w:rsidR="00E66B89">
        <w:rPr>
          <w:rFonts w:eastAsia="Calibri"/>
          <w:szCs w:val="20"/>
          <w:lang w:eastAsia="en-US"/>
        </w:rPr>
        <w:t xml:space="preserve"> w </w:t>
      </w:r>
      <w:r w:rsidRPr="00404DA5">
        <w:rPr>
          <w:rFonts w:eastAsia="Calibri"/>
          <w:szCs w:val="20"/>
          <w:lang w:eastAsia="en-US"/>
        </w:rPr>
        <w:t>Działaniu</w:t>
      </w:r>
      <w:r w:rsidR="00E66B89">
        <w:rPr>
          <w:rFonts w:eastAsia="Calibri"/>
          <w:szCs w:val="20"/>
          <w:lang w:eastAsia="en-US"/>
        </w:rPr>
        <w:t xml:space="preserve"> i </w:t>
      </w:r>
      <w:r w:rsidRPr="00404DA5">
        <w:rPr>
          <w:rFonts w:eastAsia="Calibri"/>
          <w:szCs w:val="20"/>
          <w:lang w:eastAsia="en-US"/>
        </w:rPr>
        <w:t xml:space="preserve">wynosi: 68 539 479,52 zł. </w:t>
      </w:r>
      <w:r w:rsidRPr="00D421E1">
        <w:rPr>
          <w:rFonts w:eastAsia="Calibri"/>
          <w:szCs w:val="20"/>
          <w:lang w:eastAsia="en-US"/>
        </w:rPr>
        <w:t xml:space="preserve">Średni koszt jednostkowy wskaźnika we wszystkich </w:t>
      </w:r>
      <w:r>
        <w:rPr>
          <w:rFonts w:eastAsia="Calibri"/>
          <w:szCs w:val="20"/>
          <w:lang w:eastAsia="en-US"/>
        </w:rPr>
        <w:t>(</w:t>
      </w:r>
      <w:r w:rsidRPr="00D421E1">
        <w:rPr>
          <w:rFonts w:eastAsia="Calibri"/>
          <w:szCs w:val="20"/>
          <w:lang w:eastAsia="en-US"/>
        </w:rPr>
        <w:t>trwających</w:t>
      </w:r>
      <w:r>
        <w:rPr>
          <w:rFonts w:eastAsia="Calibri"/>
          <w:szCs w:val="20"/>
          <w:lang w:eastAsia="en-US"/>
        </w:rPr>
        <w:t>)</w:t>
      </w:r>
      <w:r w:rsidRPr="00D421E1">
        <w:rPr>
          <w:rFonts w:eastAsia="Calibri"/>
          <w:szCs w:val="20"/>
          <w:lang w:eastAsia="en-US"/>
        </w:rPr>
        <w:t xml:space="preserve"> UoD</w:t>
      </w:r>
      <w:r>
        <w:rPr>
          <w:rFonts w:eastAsia="Calibri"/>
          <w:szCs w:val="20"/>
          <w:lang w:eastAsia="en-US"/>
        </w:rPr>
        <w:t xml:space="preserve"> </w:t>
      </w:r>
      <w:r w:rsidRPr="00D421E1">
        <w:rPr>
          <w:rFonts w:eastAsia="Calibri"/>
          <w:szCs w:val="20"/>
          <w:lang w:eastAsia="en-US"/>
        </w:rPr>
        <w:t>realizujących analizowany wskaźnik</w:t>
      </w:r>
      <w:r>
        <w:rPr>
          <w:rFonts w:eastAsia="Calibri"/>
          <w:szCs w:val="20"/>
          <w:lang w:eastAsia="en-US"/>
        </w:rPr>
        <w:t>,</w:t>
      </w:r>
      <w:r w:rsidRPr="00D421E1">
        <w:rPr>
          <w:rFonts w:eastAsia="Calibri"/>
          <w:szCs w:val="20"/>
          <w:lang w:eastAsia="en-US"/>
        </w:rPr>
        <w:t xml:space="preserve"> osiągnął wartość: 4 355,20 zł/osoba</w:t>
      </w:r>
      <w:r w:rsidRPr="00D421E1">
        <w:rPr>
          <w:rFonts w:eastAsia="Calibri"/>
          <w:szCs w:val="20"/>
          <w:vertAlign w:val="superscript"/>
          <w:lang w:eastAsia="en-US"/>
        </w:rPr>
        <w:footnoteReference w:id="77"/>
      </w:r>
      <w:r>
        <w:rPr>
          <w:rFonts w:eastAsia="Calibri"/>
          <w:szCs w:val="20"/>
          <w:lang w:eastAsia="en-US"/>
        </w:rPr>
        <w:t xml:space="preserve">, </w:t>
      </w:r>
      <w:r w:rsidR="0013771A">
        <w:rPr>
          <w:rFonts w:eastAsia="Calibri"/>
          <w:szCs w:val="20"/>
          <w:lang w:eastAsia="en-US"/>
        </w:rPr>
        <w:t>(</w:t>
      </w:r>
      <w:r>
        <w:rPr>
          <w:rFonts w:eastAsia="Calibri"/>
          <w:szCs w:val="20"/>
          <w:lang w:eastAsia="en-US"/>
        </w:rPr>
        <w:t>prognozowany na kolejne lata k</w:t>
      </w:r>
      <w:r w:rsidRPr="005B13F1">
        <w:rPr>
          <w:rFonts w:eastAsia="Calibri"/>
          <w:szCs w:val="20"/>
          <w:lang w:eastAsia="en-US"/>
        </w:rPr>
        <w:t>oszt jednostkowy wskaźnika uwzględniający wzrost cen (wsk</w:t>
      </w:r>
      <w:r>
        <w:rPr>
          <w:rFonts w:eastAsia="Calibri"/>
          <w:szCs w:val="20"/>
          <w:lang w:eastAsia="en-US"/>
        </w:rPr>
        <w:t>aźnik</w:t>
      </w:r>
      <w:r w:rsidRPr="005B13F1">
        <w:rPr>
          <w:rFonts w:eastAsia="Calibri"/>
          <w:szCs w:val="20"/>
          <w:lang w:eastAsia="en-US"/>
        </w:rPr>
        <w:t xml:space="preserve"> </w:t>
      </w:r>
      <w:r w:rsidRPr="00B16FE7">
        <w:rPr>
          <w:rFonts w:eastAsia="Calibri"/>
          <w:szCs w:val="20"/>
          <w:lang w:eastAsia="en-US"/>
        </w:rPr>
        <w:t>CPI – Consumer Price Index</w:t>
      </w:r>
      <w:r>
        <w:rPr>
          <w:rFonts w:eastAsia="Calibri"/>
          <w:szCs w:val="20"/>
          <w:lang w:eastAsia="en-US"/>
        </w:rPr>
        <w:t>:</w:t>
      </w:r>
      <w:r w:rsidRPr="005B13F1">
        <w:rPr>
          <w:rFonts w:eastAsia="Calibri"/>
          <w:szCs w:val="20"/>
          <w:lang w:eastAsia="en-US"/>
        </w:rPr>
        <w:t xml:space="preserve"> 104,3%) </w:t>
      </w:r>
      <w:r>
        <w:rPr>
          <w:rFonts w:eastAsia="Calibri"/>
          <w:szCs w:val="20"/>
          <w:lang w:eastAsia="en-US"/>
        </w:rPr>
        <w:t>wynosi 4 521,61 zł/osoba</w:t>
      </w:r>
      <w:r w:rsidR="0013771A">
        <w:rPr>
          <w:rFonts w:eastAsia="Calibri"/>
          <w:szCs w:val="20"/>
          <w:lang w:eastAsia="en-US"/>
        </w:rPr>
        <w:t>)</w:t>
      </w:r>
      <w:r w:rsidR="0013771A" w:rsidRPr="00D421E1">
        <w:rPr>
          <w:rFonts w:eastAsia="Calibri"/>
          <w:szCs w:val="20"/>
          <w:lang w:eastAsia="en-US"/>
        </w:rPr>
        <w:t>.</w:t>
      </w:r>
      <w:r w:rsidR="0013771A">
        <w:rPr>
          <w:rFonts w:eastAsia="Calibri"/>
          <w:szCs w:val="20"/>
          <w:lang w:eastAsia="en-US"/>
        </w:rPr>
        <w:t xml:space="preserve"> </w:t>
      </w:r>
      <w:r w:rsidRPr="00024810">
        <w:rPr>
          <w:rFonts w:eastAsia="Calibri"/>
          <w:szCs w:val="20"/>
          <w:lang w:eastAsia="en-US"/>
        </w:rPr>
        <w:t>Osiągnięty (rzeczywisty/ wynikający</w:t>
      </w:r>
      <w:r w:rsidR="00E66B89">
        <w:rPr>
          <w:rFonts w:eastAsia="Calibri"/>
          <w:szCs w:val="20"/>
          <w:lang w:eastAsia="en-US"/>
        </w:rPr>
        <w:t xml:space="preserve"> z </w:t>
      </w:r>
      <w:r w:rsidRPr="00024810">
        <w:rPr>
          <w:rFonts w:eastAsia="Calibri"/>
          <w:szCs w:val="20"/>
          <w:lang w:eastAsia="en-US"/>
        </w:rPr>
        <w:t>UoD)</w:t>
      </w:r>
      <w:r>
        <w:rPr>
          <w:rFonts w:eastAsia="Calibri"/>
          <w:szCs w:val="20"/>
          <w:lang w:eastAsia="en-US"/>
        </w:rPr>
        <w:t xml:space="preserve"> k</w:t>
      </w:r>
      <w:r w:rsidRPr="00024810">
        <w:rPr>
          <w:rFonts w:eastAsia="Calibri"/>
          <w:szCs w:val="20"/>
          <w:lang w:eastAsia="en-US"/>
        </w:rPr>
        <w:t xml:space="preserve">oszt jednostkowy wskaźnika jest </w:t>
      </w:r>
      <w:r>
        <w:rPr>
          <w:rFonts w:eastAsia="Calibri"/>
          <w:szCs w:val="20"/>
          <w:lang w:eastAsia="en-US"/>
        </w:rPr>
        <w:t>niższy</w:t>
      </w:r>
      <w:r w:rsidRPr="00024810">
        <w:rPr>
          <w:rFonts w:eastAsia="Calibri"/>
          <w:szCs w:val="20"/>
          <w:lang w:eastAsia="en-US"/>
        </w:rPr>
        <w:t xml:space="preserve"> niż zakładano na etapie przygotowania Programu</w:t>
      </w:r>
      <w:r w:rsidR="00E66B89">
        <w:rPr>
          <w:rFonts w:eastAsia="Calibri"/>
          <w:szCs w:val="20"/>
          <w:lang w:eastAsia="en-US"/>
        </w:rPr>
        <w:t xml:space="preserve"> i </w:t>
      </w:r>
      <w:r w:rsidRPr="00024810">
        <w:rPr>
          <w:rFonts w:eastAsia="Calibri"/>
          <w:szCs w:val="20"/>
          <w:lang w:eastAsia="en-US"/>
        </w:rPr>
        <w:t>ujęto</w:t>
      </w:r>
      <w:r w:rsidR="00E66B89">
        <w:rPr>
          <w:rFonts w:eastAsia="Calibri"/>
          <w:szCs w:val="20"/>
          <w:lang w:eastAsia="en-US"/>
        </w:rPr>
        <w:t xml:space="preserve"> w </w:t>
      </w:r>
      <w:r w:rsidRPr="00024810">
        <w:rPr>
          <w:rFonts w:eastAsia="Calibri"/>
          <w:szCs w:val="20"/>
          <w:lang w:eastAsia="en-US"/>
        </w:rPr>
        <w:t>Metodologii szacowania wartości docelowych dla wskaźników wybranych do realizacji</w:t>
      </w:r>
      <w:r w:rsidR="00E66B89">
        <w:rPr>
          <w:rFonts w:eastAsia="Calibri"/>
          <w:szCs w:val="20"/>
          <w:lang w:eastAsia="en-US"/>
        </w:rPr>
        <w:t xml:space="preserve"> w </w:t>
      </w:r>
      <w:r w:rsidRPr="00024810">
        <w:rPr>
          <w:rFonts w:eastAsia="Calibri"/>
          <w:szCs w:val="20"/>
          <w:lang w:eastAsia="en-US"/>
        </w:rPr>
        <w:t>RPO WZ 2014-2020.</w:t>
      </w:r>
      <w:r>
        <w:rPr>
          <w:rFonts w:eastAsia="Calibri"/>
          <w:szCs w:val="20"/>
          <w:lang w:eastAsia="en-US"/>
        </w:rPr>
        <w:t xml:space="preserve"> Ko</w:t>
      </w:r>
      <w:r w:rsidRPr="00375267">
        <w:rPr>
          <w:rFonts w:eastAsia="Calibri"/>
          <w:szCs w:val="20"/>
          <w:lang w:eastAsia="en-US"/>
        </w:rPr>
        <w:t xml:space="preserve">szt jednostkowy </w:t>
      </w:r>
      <w:r>
        <w:rPr>
          <w:rFonts w:eastAsia="Calibri"/>
          <w:szCs w:val="20"/>
          <w:lang w:eastAsia="en-US"/>
        </w:rPr>
        <w:t>wsparcia realizowanego</w:t>
      </w:r>
      <w:r w:rsidR="00E66B89">
        <w:rPr>
          <w:rFonts w:eastAsia="Calibri"/>
          <w:szCs w:val="20"/>
          <w:lang w:eastAsia="en-US"/>
        </w:rPr>
        <w:t xml:space="preserve"> w </w:t>
      </w:r>
      <w:r>
        <w:rPr>
          <w:rFonts w:eastAsia="Calibri"/>
          <w:szCs w:val="20"/>
          <w:lang w:eastAsia="en-US"/>
        </w:rPr>
        <w:t xml:space="preserve">formie </w:t>
      </w:r>
      <w:r w:rsidRPr="0049375C">
        <w:rPr>
          <w:rFonts w:eastAsia="Calibri"/>
          <w:szCs w:val="20"/>
          <w:lang w:eastAsia="en-US"/>
        </w:rPr>
        <w:t>usług szkoleniow</w:t>
      </w:r>
      <w:r>
        <w:rPr>
          <w:rFonts w:eastAsia="Calibri"/>
          <w:szCs w:val="20"/>
          <w:lang w:eastAsia="en-US"/>
        </w:rPr>
        <w:t xml:space="preserve">ych, </w:t>
      </w:r>
      <w:r w:rsidRPr="0049375C">
        <w:rPr>
          <w:rFonts w:eastAsia="Calibri"/>
          <w:szCs w:val="20"/>
          <w:lang w:eastAsia="en-US"/>
        </w:rPr>
        <w:t>usług</w:t>
      </w:r>
      <w:r>
        <w:rPr>
          <w:rFonts w:eastAsia="Calibri"/>
          <w:szCs w:val="20"/>
          <w:lang w:eastAsia="en-US"/>
        </w:rPr>
        <w:t xml:space="preserve"> </w:t>
      </w:r>
      <w:r w:rsidRPr="0049375C">
        <w:rPr>
          <w:rFonts w:eastAsia="Calibri"/>
          <w:szCs w:val="20"/>
          <w:lang w:eastAsia="en-US"/>
        </w:rPr>
        <w:t>rozwojow</w:t>
      </w:r>
      <w:r>
        <w:rPr>
          <w:rFonts w:eastAsia="Calibri"/>
          <w:szCs w:val="20"/>
          <w:lang w:eastAsia="en-US"/>
        </w:rPr>
        <w:t>ych</w:t>
      </w:r>
      <w:r w:rsidR="00E66B89">
        <w:rPr>
          <w:rFonts w:eastAsia="Calibri"/>
          <w:szCs w:val="20"/>
          <w:lang w:eastAsia="en-US"/>
        </w:rPr>
        <w:t xml:space="preserve"> o </w:t>
      </w:r>
      <w:r w:rsidRPr="0049375C">
        <w:rPr>
          <w:rFonts w:eastAsia="Calibri"/>
          <w:szCs w:val="20"/>
          <w:lang w:eastAsia="en-US"/>
        </w:rPr>
        <w:t>charakterze zawodowym,</w:t>
      </w:r>
      <w:r w:rsidR="00E66B89">
        <w:rPr>
          <w:rFonts w:eastAsia="Calibri"/>
          <w:szCs w:val="20"/>
          <w:lang w:eastAsia="en-US"/>
        </w:rPr>
        <w:t xml:space="preserve"> w </w:t>
      </w:r>
      <w:r w:rsidRPr="0049375C">
        <w:rPr>
          <w:rFonts w:eastAsia="Calibri"/>
          <w:szCs w:val="20"/>
          <w:lang w:eastAsia="en-US"/>
        </w:rPr>
        <w:t>tym m.in.: kwalifikacyjny</w:t>
      </w:r>
      <w:r>
        <w:rPr>
          <w:rFonts w:eastAsia="Calibri"/>
          <w:szCs w:val="20"/>
          <w:lang w:eastAsia="en-US"/>
        </w:rPr>
        <w:t>ch</w:t>
      </w:r>
      <w:r w:rsidRPr="0049375C">
        <w:rPr>
          <w:rFonts w:eastAsia="Calibri"/>
          <w:szCs w:val="20"/>
          <w:lang w:eastAsia="en-US"/>
        </w:rPr>
        <w:t xml:space="preserve"> kurs</w:t>
      </w:r>
      <w:r>
        <w:rPr>
          <w:rFonts w:eastAsia="Calibri"/>
          <w:szCs w:val="20"/>
          <w:lang w:eastAsia="en-US"/>
        </w:rPr>
        <w:t>ów</w:t>
      </w:r>
      <w:r w:rsidRPr="0049375C">
        <w:rPr>
          <w:rFonts w:eastAsia="Calibri"/>
          <w:szCs w:val="20"/>
          <w:lang w:eastAsia="en-US"/>
        </w:rPr>
        <w:t xml:space="preserve"> zawodowy</w:t>
      </w:r>
      <w:r>
        <w:rPr>
          <w:rFonts w:eastAsia="Calibri"/>
          <w:szCs w:val="20"/>
          <w:lang w:eastAsia="en-US"/>
        </w:rPr>
        <w:t>ch</w:t>
      </w:r>
      <w:r w:rsidRPr="0049375C">
        <w:rPr>
          <w:rFonts w:eastAsia="Calibri"/>
          <w:szCs w:val="20"/>
          <w:lang w:eastAsia="en-US"/>
        </w:rPr>
        <w:t>, kurs</w:t>
      </w:r>
      <w:r>
        <w:rPr>
          <w:rFonts w:eastAsia="Calibri"/>
          <w:szCs w:val="20"/>
          <w:lang w:eastAsia="en-US"/>
        </w:rPr>
        <w:t>ów</w:t>
      </w:r>
      <w:r w:rsidRPr="0049375C">
        <w:rPr>
          <w:rFonts w:eastAsia="Calibri"/>
          <w:szCs w:val="20"/>
          <w:lang w:eastAsia="en-US"/>
        </w:rPr>
        <w:t xml:space="preserve"> umiejętności zawodowych oraz inn</w:t>
      </w:r>
      <w:r>
        <w:rPr>
          <w:rFonts w:eastAsia="Calibri"/>
          <w:szCs w:val="20"/>
          <w:lang w:eastAsia="en-US"/>
        </w:rPr>
        <w:t>ych</w:t>
      </w:r>
      <w:r w:rsidRPr="0049375C">
        <w:rPr>
          <w:rFonts w:eastAsia="Calibri"/>
          <w:szCs w:val="20"/>
          <w:lang w:eastAsia="en-US"/>
        </w:rPr>
        <w:t>, które umożliwiają uzyskiwanie</w:t>
      </w:r>
      <w:r w:rsidR="00E66B89">
        <w:rPr>
          <w:rFonts w:eastAsia="Calibri"/>
          <w:szCs w:val="20"/>
          <w:lang w:eastAsia="en-US"/>
        </w:rPr>
        <w:t xml:space="preserve"> i </w:t>
      </w:r>
      <w:r w:rsidRPr="0049375C">
        <w:rPr>
          <w:rFonts w:eastAsia="Calibri"/>
          <w:szCs w:val="20"/>
          <w:lang w:eastAsia="en-US"/>
        </w:rPr>
        <w:t>uzupełnianie kwalifikacj</w:t>
      </w:r>
      <w:r>
        <w:rPr>
          <w:rFonts w:eastAsia="Calibri"/>
          <w:szCs w:val="20"/>
          <w:lang w:eastAsia="en-US"/>
        </w:rPr>
        <w:t>i</w:t>
      </w:r>
      <w:r w:rsidRPr="0049375C">
        <w:rPr>
          <w:rFonts w:eastAsia="Calibri"/>
          <w:szCs w:val="20"/>
          <w:lang w:eastAsia="en-US"/>
        </w:rPr>
        <w:t>,</w:t>
      </w:r>
      <w:r>
        <w:rPr>
          <w:rFonts w:eastAsia="Calibri"/>
          <w:szCs w:val="20"/>
          <w:lang w:eastAsia="en-US"/>
        </w:rPr>
        <w:t xml:space="preserve"> jak również, </w:t>
      </w:r>
      <w:r w:rsidRPr="0049375C">
        <w:rPr>
          <w:rFonts w:eastAsia="Calibri"/>
          <w:szCs w:val="20"/>
          <w:lang w:eastAsia="en-US"/>
        </w:rPr>
        <w:t>usług doradcz</w:t>
      </w:r>
      <w:r>
        <w:rPr>
          <w:rFonts w:eastAsia="Calibri"/>
          <w:szCs w:val="20"/>
          <w:lang w:eastAsia="en-US"/>
        </w:rPr>
        <w:t>ych</w:t>
      </w:r>
      <w:r w:rsidR="00E66B89">
        <w:rPr>
          <w:rFonts w:eastAsia="Calibri"/>
          <w:szCs w:val="20"/>
          <w:lang w:eastAsia="en-US"/>
        </w:rPr>
        <w:t xml:space="preserve"> i </w:t>
      </w:r>
      <w:r w:rsidRPr="0049375C">
        <w:rPr>
          <w:rFonts w:eastAsia="Calibri"/>
          <w:szCs w:val="20"/>
          <w:lang w:eastAsia="en-US"/>
        </w:rPr>
        <w:t>usług e-learningow</w:t>
      </w:r>
      <w:r>
        <w:rPr>
          <w:rFonts w:eastAsia="Calibri"/>
          <w:szCs w:val="20"/>
          <w:lang w:eastAsia="en-US"/>
        </w:rPr>
        <w:t xml:space="preserve">ych </w:t>
      </w:r>
      <w:r>
        <w:rPr>
          <w:rFonts w:eastAsia="Calibri"/>
          <w:szCs w:val="20"/>
          <w:lang w:eastAsia="en-US"/>
        </w:rPr>
        <w:noBreakHyphen/>
        <w:t xml:space="preserve"> oszacowano na </w:t>
      </w:r>
      <w:r w:rsidRPr="00375267">
        <w:rPr>
          <w:rFonts w:eastAsia="Calibri"/>
          <w:szCs w:val="20"/>
          <w:lang w:eastAsia="en-US"/>
        </w:rPr>
        <w:t xml:space="preserve">ok. </w:t>
      </w:r>
      <w:r>
        <w:rPr>
          <w:rFonts w:eastAsia="Calibri"/>
          <w:szCs w:val="20"/>
          <w:lang w:eastAsia="en-US"/>
        </w:rPr>
        <w:t>5 440,00</w:t>
      </w:r>
      <w:r w:rsidRPr="00375267">
        <w:rPr>
          <w:rFonts w:eastAsia="Calibri"/>
          <w:szCs w:val="20"/>
          <w:lang w:eastAsia="en-US"/>
        </w:rPr>
        <w:t xml:space="preserve"> zł.</w:t>
      </w:r>
      <w:r>
        <w:rPr>
          <w:rFonts w:eastAsia="Calibri"/>
          <w:szCs w:val="20"/>
          <w:lang w:eastAsia="en-US"/>
        </w:rPr>
        <w:t xml:space="preserve"> P</w:t>
      </w:r>
      <w:r w:rsidRPr="00375267">
        <w:rPr>
          <w:rFonts w:eastAsia="Calibri"/>
          <w:szCs w:val="20"/>
          <w:lang w:eastAsia="en-US"/>
        </w:rPr>
        <w:t xml:space="preserve">od uwagę </w:t>
      </w:r>
      <w:r>
        <w:rPr>
          <w:rFonts w:eastAsia="Calibri"/>
          <w:szCs w:val="20"/>
          <w:lang w:eastAsia="en-US"/>
        </w:rPr>
        <w:t xml:space="preserve">wzięto </w:t>
      </w:r>
      <w:r w:rsidRPr="00375267">
        <w:rPr>
          <w:rFonts w:eastAsia="Calibri"/>
          <w:szCs w:val="20"/>
          <w:lang w:eastAsia="en-US"/>
        </w:rPr>
        <w:t xml:space="preserve">koszt </w:t>
      </w:r>
      <w:r>
        <w:rPr>
          <w:rFonts w:eastAsia="Calibri"/>
          <w:szCs w:val="20"/>
          <w:lang w:eastAsia="en-US"/>
        </w:rPr>
        <w:t>na</w:t>
      </w:r>
      <w:r w:rsidRPr="00375267">
        <w:rPr>
          <w:rFonts w:eastAsia="Calibri"/>
          <w:szCs w:val="20"/>
          <w:lang w:eastAsia="en-US"/>
        </w:rPr>
        <w:t xml:space="preserve"> </w:t>
      </w:r>
      <w:r>
        <w:rPr>
          <w:rFonts w:eastAsia="Calibri"/>
          <w:szCs w:val="20"/>
          <w:lang w:eastAsia="en-US"/>
        </w:rPr>
        <w:t xml:space="preserve">jednego </w:t>
      </w:r>
      <w:r w:rsidRPr="00375267">
        <w:rPr>
          <w:rFonts w:eastAsia="Calibri"/>
          <w:szCs w:val="20"/>
          <w:lang w:eastAsia="en-US"/>
        </w:rPr>
        <w:t xml:space="preserve">uczestnika </w:t>
      </w:r>
      <w:r>
        <w:rPr>
          <w:rFonts w:eastAsia="Calibri"/>
          <w:szCs w:val="20"/>
          <w:lang w:eastAsia="en-US"/>
        </w:rPr>
        <w:t>wskazywany przez potencjalnych Beneficjentów we wnioskach</w:t>
      </w:r>
      <w:r w:rsidR="00E66B89">
        <w:rPr>
          <w:rFonts w:eastAsia="Calibri"/>
          <w:szCs w:val="20"/>
          <w:lang w:eastAsia="en-US"/>
        </w:rPr>
        <w:t xml:space="preserve"> o </w:t>
      </w:r>
      <w:r>
        <w:rPr>
          <w:rFonts w:eastAsia="Calibri"/>
          <w:szCs w:val="20"/>
          <w:lang w:eastAsia="en-US"/>
        </w:rPr>
        <w:t>dofinansowanie złożonych</w:t>
      </w:r>
      <w:r w:rsidR="00E66B89">
        <w:rPr>
          <w:rFonts w:eastAsia="Calibri"/>
          <w:szCs w:val="20"/>
          <w:lang w:eastAsia="en-US"/>
        </w:rPr>
        <w:t xml:space="preserve"> w </w:t>
      </w:r>
      <w:r>
        <w:rPr>
          <w:rFonts w:eastAsia="Calibri"/>
          <w:szCs w:val="20"/>
          <w:lang w:eastAsia="en-US"/>
        </w:rPr>
        <w:t>odpowiedzi na konkurs ogłoszony</w:t>
      </w:r>
      <w:r w:rsidR="00E66B89">
        <w:rPr>
          <w:rFonts w:eastAsia="Calibri"/>
          <w:szCs w:val="20"/>
          <w:lang w:eastAsia="en-US"/>
        </w:rPr>
        <w:t xml:space="preserve"> w </w:t>
      </w:r>
      <w:r>
        <w:rPr>
          <w:rFonts w:eastAsia="Calibri"/>
          <w:szCs w:val="20"/>
          <w:lang w:eastAsia="en-US"/>
        </w:rPr>
        <w:t>2013 r.</w:t>
      </w:r>
      <w:r w:rsidR="00E66B89">
        <w:rPr>
          <w:rFonts w:eastAsia="Calibri"/>
          <w:szCs w:val="20"/>
          <w:lang w:eastAsia="en-US"/>
        </w:rPr>
        <w:t xml:space="preserve"> w </w:t>
      </w:r>
      <w:r w:rsidRPr="00375267">
        <w:rPr>
          <w:rFonts w:eastAsia="Calibri"/>
          <w:szCs w:val="20"/>
          <w:lang w:eastAsia="en-US"/>
        </w:rPr>
        <w:t xml:space="preserve">ramach Poddziałania </w:t>
      </w:r>
      <w:r>
        <w:rPr>
          <w:rFonts w:eastAsia="Calibri"/>
          <w:szCs w:val="20"/>
          <w:lang w:eastAsia="en-US"/>
        </w:rPr>
        <w:t>8.1.1</w:t>
      </w:r>
      <w:r w:rsidRPr="00375267">
        <w:rPr>
          <w:rFonts w:eastAsia="Calibri"/>
          <w:szCs w:val="20"/>
          <w:lang w:eastAsia="en-US"/>
        </w:rPr>
        <w:t xml:space="preserve"> P</w:t>
      </w:r>
      <w:r>
        <w:rPr>
          <w:rFonts w:eastAsia="Calibri"/>
          <w:szCs w:val="20"/>
          <w:lang w:eastAsia="en-US"/>
        </w:rPr>
        <w:t xml:space="preserve">rogramu </w:t>
      </w:r>
      <w:r w:rsidRPr="00375267">
        <w:rPr>
          <w:rFonts w:eastAsia="Calibri"/>
          <w:szCs w:val="20"/>
          <w:lang w:eastAsia="en-US"/>
        </w:rPr>
        <w:t>O</w:t>
      </w:r>
      <w:r>
        <w:rPr>
          <w:rFonts w:eastAsia="Calibri"/>
          <w:szCs w:val="20"/>
          <w:lang w:eastAsia="en-US"/>
        </w:rPr>
        <w:t>peracyjnego</w:t>
      </w:r>
      <w:r w:rsidRPr="00375267">
        <w:rPr>
          <w:rFonts w:eastAsia="Calibri"/>
          <w:szCs w:val="20"/>
          <w:lang w:eastAsia="en-US"/>
        </w:rPr>
        <w:t xml:space="preserve"> K</w:t>
      </w:r>
      <w:r>
        <w:rPr>
          <w:rFonts w:eastAsia="Calibri"/>
          <w:szCs w:val="20"/>
          <w:lang w:eastAsia="en-US"/>
        </w:rPr>
        <w:t xml:space="preserve">apitał </w:t>
      </w:r>
      <w:r w:rsidRPr="00375267">
        <w:rPr>
          <w:rFonts w:eastAsia="Calibri"/>
          <w:szCs w:val="20"/>
          <w:lang w:eastAsia="en-US"/>
        </w:rPr>
        <w:t>L</w:t>
      </w:r>
      <w:r>
        <w:rPr>
          <w:rFonts w:eastAsia="Calibri"/>
          <w:szCs w:val="20"/>
          <w:lang w:eastAsia="en-US"/>
        </w:rPr>
        <w:t xml:space="preserve">udzki/ PO KL. </w:t>
      </w:r>
      <w:r w:rsidRPr="00375267">
        <w:rPr>
          <w:rFonts w:eastAsia="Calibri"/>
          <w:szCs w:val="20"/>
          <w:lang w:eastAsia="en-US"/>
        </w:rPr>
        <w:t xml:space="preserve">Zasadność </w:t>
      </w:r>
      <w:r>
        <w:rPr>
          <w:rFonts w:eastAsia="Calibri"/>
          <w:szCs w:val="20"/>
          <w:lang w:eastAsia="en-US"/>
        </w:rPr>
        <w:t>uwzględnienia</w:t>
      </w:r>
      <w:r w:rsidR="00E66B89">
        <w:rPr>
          <w:rFonts w:eastAsia="Calibri"/>
          <w:szCs w:val="20"/>
          <w:lang w:eastAsia="en-US"/>
        </w:rPr>
        <w:t xml:space="preserve"> w </w:t>
      </w:r>
      <w:r>
        <w:rPr>
          <w:rFonts w:eastAsia="Calibri"/>
          <w:szCs w:val="20"/>
          <w:lang w:eastAsia="en-US"/>
        </w:rPr>
        <w:t>oszacowaniu kosztu jednostkowego wniosków</w:t>
      </w:r>
      <w:r w:rsidR="00E66B89">
        <w:rPr>
          <w:rFonts w:eastAsia="Calibri"/>
          <w:szCs w:val="20"/>
          <w:lang w:eastAsia="en-US"/>
        </w:rPr>
        <w:t xml:space="preserve"> o </w:t>
      </w:r>
      <w:r>
        <w:rPr>
          <w:rFonts w:eastAsia="Calibri"/>
          <w:szCs w:val="20"/>
          <w:lang w:eastAsia="en-US"/>
        </w:rPr>
        <w:t>dofinansowanie</w:t>
      </w:r>
      <w:r w:rsidRPr="00375267">
        <w:rPr>
          <w:rFonts w:eastAsia="Calibri"/>
          <w:szCs w:val="20"/>
          <w:lang w:eastAsia="en-US"/>
        </w:rPr>
        <w:t xml:space="preserve"> ramach PO KL 2007-2013, wynika</w:t>
      </w:r>
      <w:r>
        <w:rPr>
          <w:rFonts w:eastAsia="Calibri"/>
          <w:szCs w:val="20"/>
          <w:lang w:eastAsia="en-US"/>
        </w:rPr>
        <w:t>ła</w:t>
      </w:r>
      <w:r w:rsidR="00E66B89">
        <w:rPr>
          <w:rFonts w:eastAsia="Calibri"/>
          <w:szCs w:val="20"/>
          <w:lang w:eastAsia="en-US"/>
        </w:rPr>
        <w:t xml:space="preserve"> z </w:t>
      </w:r>
      <w:r w:rsidRPr="00375267">
        <w:rPr>
          <w:rFonts w:eastAsia="Calibri"/>
          <w:szCs w:val="20"/>
          <w:lang w:eastAsia="en-US"/>
        </w:rPr>
        <w:t xml:space="preserve">realizacji </w:t>
      </w:r>
      <w:r>
        <w:rPr>
          <w:rFonts w:eastAsia="Calibri"/>
          <w:szCs w:val="20"/>
          <w:lang w:eastAsia="en-US"/>
        </w:rPr>
        <w:t xml:space="preserve">we wskazanych projektach </w:t>
      </w:r>
      <w:r w:rsidRPr="00375267">
        <w:rPr>
          <w:rFonts w:eastAsia="Calibri"/>
          <w:szCs w:val="20"/>
          <w:lang w:eastAsia="en-US"/>
        </w:rPr>
        <w:t>takiego samego zakresu wsparcia, który zaplanowano</w:t>
      </w:r>
      <w:r w:rsidR="00E66B89">
        <w:rPr>
          <w:rFonts w:eastAsia="Calibri"/>
          <w:szCs w:val="20"/>
          <w:lang w:eastAsia="en-US"/>
        </w:rPr>
        <w:t xml:space="preserve"> w </w:t>
      </w:r>
      <w:r w:rsidRPr="00375267">
        <w:rPr>
          <w:rFonts w:eastAsia="Calibri"/>
          <w:szCs w:val="20"/>
          <w:lang w:eastAsia="en-US"/>
        </w:rPr>
        <w:t>ramach PI 8</w:t>
      </w:r>
      <w:r>
        <w:rPr>
          <w:rFonts w:eastAsia="Calibri"/>
          <w:szCs w:val="20"/>
          <w:lang w:eastAsia="en-US"/>
        </w:rPr>
        <w:t>v</w:t>
      </w:r>
      <w:r w:rsidRPr="00375267">
        <w:rPr>
          <w:rFonts w:eastAsia="Calibri"/>
          <w:szCs w:val="20"/>
          <w:lang w:eastAsia="en-US"/>
        </w:rPr>
        <w:t xml:space="preserve"> RPO WZ 2014-2020.</w:t>
      </w:r>
      <w:r>
        <w:rPr>
          <w:rFonts w:eastAsia="Calibri"/>
          <w:szCs w:val="20"/>
          <w:lang w:eastAsia="en-US"/>
        </w:rPr>
        <w:t xml:space="preserve"> Następnie, </w:t>
      </w:r>
      <w:r w:rsidRPr="00375267">
        <w:rPr>
          <w:rFonts w:eastAsia="Calibri"/>
          <w:szCs w:val="20"/>
          <w:lang w:eastAsia="en-US"/>
        </w:rPr>
        <w:t>koszt te</w:t>
      </w:r>
      <w:r>
        <w:rPr>
          <w:rFonts w:eastAsia="Calibri"/>
          <w:szCs w:val="20"/>
          <w:lang w:eastAsia="en-US"/>
        </w:rPr>
        <w:t>n</w:t>
      </w:r>
      <w:r w:rsidRPr="00375267">
        <w:rPr>
          <w:rFonts w:eastAsia="Calibri"/>
          <w:szCs w:val="20"/>
          <w:lang w:eastAsia="en-US"/>
        </w:rPr>
        <w:t xml:space="preserve"> został przeliczon</w:t>
      </w:r>
      <w:r>
        <w:rPr>
          <w:rFonts w:eastAsia="Calibri"/>
          <w:szCs w:val="20"/>
          <w:lang w:eastAsia="en-US"/>
        </w:rPr>
        <w:t>y</w:t>
      </w:r>
      <w:r w:rsidR="00E66B89">
        <w:rPr>
          <w:rFonts w:eastAsia="Calibri"/>
          <w:szCs w:val="20"/>
          <w:lang w:eastAsia="en-US"/>
        </w:rPr>
        <w:t xml:space="preserve"> z </w:t>
      </w:r>
      <w:r>
        <w:rPr>
          <w:rFonts w:eastAsia="Calibri"/>
          <w:szCs w:val="20"/>
          <w:lang w:eastAsia="en-US"/>
        </w:rPr>
        <w:t>ceny bieżącej na stałą (z </w:t>
      </w:r>
      <w:r w:rsidRPr="00375267">
        <w:rPr>
          <w:rFonts w:eastAsia="Calibri"/>
          <w:szCs w:val="20"/>
          <w:lang w:eastAsia="en-US"/>
        </w:rPr>
        <w:t>wykorzyst</w:t>
      </w:r>
      <w:r>
        <w:rPr>
          <w:rFonts w:eastAsia="Calibri"/>
          <w:szCs w:val="20"/>
          <w:lang w:eastAsia="en-US"/>
        </w:rPr>
        <w:t>aniem</w:t>
      </w:r>
      <w:r w:rsidRPr="00375267">
        <w:rPr>
          <w:rFonts w:eastAsia="Calibri"/>
          <w:szCs w:val="20"/>
          <w:lang w:eastAsia="en-US"/>
        </w:rPr>
        <w:t xml:space="preserve"> </w:t>
      </w:r>
      <w:r w:rsidRPr="00356C18">
        <w:rPr>
          <w:rFonts w:eastAsia="Calibri"/>
          <w:i/>
          <w:szCs w:val="20"/>
          <w:lang w:eastAsia="en-US"/>
        </w:rPr>
        <w:t>Modułu do przeliczania cen bieżących na ceny stałe na potrzeby szacowania wartości docelowych wskaźników produktu</w:t>
      </w:r>
      <w:r w:rsidR="00E66B89">
        <w:rPr>
          <w:rFonts w:eastAsia="Calibri"/>
          <w:i/>
          <w:szCs w:val="20"/>
          <w:lang w:eastAsia="en-US"/>
        </w:rPr>
        <w:t xml:space="preserve"> w </w:t>
      </w:r>
      <w:r w:rsidRPr="00356C18">
        <w:rPr>
          <w:rFonts w:eastAsia="Calibri"/>
          <w:i/>
          <w:szCs w:val="20"/>
          <w:lang w:eastAsia="en-US"/>
        </w:rPr>
        <w:t>programach operacyjnych na lata 2014-2020</w:t>
      </w:r>
      <w:r>
        <w:rPr>
          <w:rStyle w:val="Odwoanieprzypisudolnego"/>
          <w:rFonts w:eastAsia="Calibri"/>
          <w:szCs w:val="20"/>
          <w:lang w:eastAsia="en-US"/>
        </w:rPr>
        <w:footnoteReference w:id="78"/>
      </w:r>
      <w:r>
        <w:rPr>
          <w:rFonts w:eastAsia="Calibri"/>
          <w:szCs w:val="20"/>
          <w:lang w:eastAsia="en-US"/>
        </w:rPr>
        <w:t>), osiągając wartość 5 772,00 zł. Przyczyn uzyskania (w projektach realizowanych</w:t>
      </w:r>
      <w:r w:rsidR="00E66B89">
        <w:rPr>
          <w:rFonts w:eastAsia="Calibri"/>
          <w:szCs w:val="20"/>
          <w:lang w:eastAsia="en-US"/>
        </w:rPr>
        <w:t xml:space="preserve"> w </w:t>
      </w:r>
      <w:r>
        <w:rPr>
          <w:rFonts w:eastAsia="Calibri"/>
          <w:szCs w:val="20"/>
          <w:lang w:eastAsia="en-US"/>
        </w:rPr>
        <w:t>ramach Działania 6.1) niższego (niż szacowany) średniego kosztu jednostkowego wskaźnika należy</w:t>
      </w:r>
      <w:r w:rsidR="00E66B89">
        <w:rPr>
          <w:rFonts w:eastAsia="Calibri"/>
          <w:szCs w:val="20"/>
          <w:lang w:eastAsia="en-US"/>
        </w:rPr>
        <w:t xml:space="preserve"> w </w:t>
      </w:r>
      <w:r>
        <w:rPr>
          <w:rFonts w:eastAsia="Calibri"/>
          <w:szCs w:val="20"/>
          <w:lang w:eastAsia="en-US"/>
        </w:rPr>
        <w:t>szczególności upatrywać</w:t>
      </w:r>
      <w:r w:rsidR="00E66B89">
        <w:rPr>
          <w:rFonts w:eastAsia="Calibri"/>
          <w:szCs w:val="20"/>
          <w:lang w:eastAsia="en-US"/>
        </w:rPr>
        <w:t xml:space="preserve"> w </w:t>
      </w:r>
      <w:r>
        <w:rPr>
          <w:rFonts w:eastAsia="Calibri"/>
          <w:szCs w:val="20"/>
          <w:lang w:eastAsia="en-US"/>
        </w:rPr>
        <w:t>niższych kosztach usług szkoleniowych</w:t>
      </w:r>
      <w:r w:rsidR="00E66B89">
        <w:rPr>
          <w:rFonts w:eastAsia="Calibri"/>
          <w:szCs w:val="20"/>
          <w:lang w:eastAsia="en-US"/>
        </w:rPr>
        <w:t xml:space="preserve"> i </w:t>
      </w:r>
      <w:r>
        <w:rPr>
          <w:rFonts w:eastAsia="Calibri"/>
          <w:szCs w:val="20"/>
          <w:lang w:eastAsia="en-US"/>
        </w:rPr>
        <w:t>doradczych występujących na rynku /</w:t>
      </w:r>
      <w:r w:rsidR="00E66B89">
        <w:rPr>
          <w:rFonts w:eastAsia="Calibri"/>
          <w:szCs w:val="20"/>
          <w:lang w:eastAsia="en-US"/>
        </w:rPr>
        <w:t xml:space="preserve"> w </w:t>
      </w:r>
      <w:r>
        <w:rPr>
          <w:rFonts w:eastAsia="Calibri"/>
          <w:szCs w:val="20"/>
          <w:lang w:eastAsia="en-US"/>
        </w:rPr>
        <w:t>Bazie Usług Rozwojowych/ BUR, co przede wszystkim wynika</w:t>
      </w:r>
      <w:r w:rsidR="00E66B89">
        <w:rPr>
          <w:rFonts w:eastAsia="Calibri"/>
          <w:szCs w:val="20"/>
          <w:lang w:eastAsia="en-US"/>
        </w:rPr>
        <w:t xml:space="preserve"> z </w:t>
      </w:r>
      <w:r>
        <w:rPr>
          <w:rFonts w:eastAsia="Calibri"/>
          <w:szCs w:val="20"/>
          <w:lang w:eastAsia="en-US"/>
        </w:rPr>
        <w:t>ich większej dostępności jak również większej standaryzacji</w:t>
      </w:r>
      <w:r w:rsidR="00E66B89">
        <w:rPr>
          <w:rFonts w:eastAsia="Calibri"/>
          <w:szCs w:val="20"/>
          <w:lang w:eastAsia="en-US"/>
        </w:rPr>
        <w:t xml:space="preserve"> w </w:t>
      </w:r>
      <w:r>
        <w:rPr>
          <w:rFonts w:eastAsia="Calibri"/>
          <w:szCs w:val="20"/>
          <w:lang w:eastAsia="en-US"/>
        </w:rPr>
        <w:t>zakresie warunków ich dostarczania do ostatecznego odbiorcy wsparcia (przedsiębiorcy).</w:t>
      </w:r>
    </w:p>
    <w:p w14:paraId="6ED8703C" w14:textId="77777777" w:rsidR="00881780" w:rsidRPr="00216F79" w:rsidRDefault="00881780" w:rsidP="00881780">
      <w:r w:rsidRPr="00D421E1">
        <w:rPr>
          <w:rFonts w:eastAsia="Calibri"/>
          <w:szCs w:val="20"/>
          <w:lang w:eastAsia="en-US"/>
        </w:rPr>
        <w:t>Zakładana</w:t>
      </w:r>
      <w:r w:rsidR="00E66B89">
        <w:rPr>
          <w:rFonts w:eastAsia="Calibri"/>
          <w:szCs w:val="20"/>
          <w:lang w:eastAsia="en-US"/>
        </w:rPr>
        <w:t xml:space="preserve"> w </w:t>
      </w:r>
      <w:r w:rsidRPr="00D421E1">
        <w:rPr>
          <w:rFonts w:eastAsia="Calibri"/>
          <w:szCs w:val="20"/>
          <w:lang w:eastAsia="en-US"/>
        </w:rPr>
        <w:t>UoD (szacowana jako możliwa do osiągnięcia) przez Beneficjentów wartość docelowa wskaźnika do 2023 r. jest dobrym predyktorem osiągania celów końcowych Programu. Na etapie przygotowania Programu diagnozowano dużą wrażliwość sektora MŚP na zmiany</w:t>
      </w:r>
      <w:r w:rsidR="00E66B89">
        <w:rPr>
          <w:rFonts w:eastAsia="Calibri"/>
          <w:szCs w:val="20"/>
          <w:lang w:eastAsia="en-US"/>
        </w:rPr>
        <w:t xml:space="preserve"> i </w:t>
      </w:r>
      <w:r w:rsidRPr="00D421E1">
        <w:rPr>
          <w:rFonts w:eastAsia="Calibri"/>
          <w:szCs w:val="20"/>
          <w:lang w:eastAsia="en-US"/>
        </w:rPr>
        <w:t>niekorzystne trendy</w:t>
      </w:r>
      <w:r w:rsidR="00E66B89">
        <w:rPr>
          <w:rFonts w:eastAsia="Calibri"/>
          <w:szCs w:val="20"/>
          <w:lang w:eastAsia="en-US"/>
        </w:rPr>
        <w:t xml:space="preserve"> w </w:t>
      </w:r>
      <w:r w:rsidRPr="00D421E1">
        <w:rPr>
          <w:rFonts w:eastAsia="Calibri"/>
          <w:szCs w:val="20"/>
          <w:lang w:eastAsia="en-US"/>
        </w:rPr>
        <w:t>gospodarce (m.in. związane</w:t>
      </w:r>
      <w:r w:rsidR="00E66B89">
        <w:rPr>
          <w:rFonts w:eastAsia="Calibri"/>
          <w:szCs w:val="20"/>
          <w:lang w:eastAsia="en-US"/>
        </w:rPr>
        <w:t xml:space="preserve"> z </w:t>
      </w:r>
      <w:r w:rsidRPr="00D421E1">
        <w:rPr>
          <w:rFonts w:eastAsia="Calibri"/>
          <w:szCs w:val="20"/>
          <w:lang w:eastAsia="en-US"/>
        </w:rPr>
        <w:t>przyrostem liczby nowych miejsc pracy oraz poziomem zatrudnienia</w:t>
      </w:r>
      <w:r w:rsidR="00E66B89">
        <w:rPr>
          <w:rFonts w:eastAsia="Calibri"/>
          <w:szCs w:val="20"/>
          <w:lang w:eastAsia="en-US"/>
        </w:rPr>
        <w:t xml:space="preserve"> w </w:t>
      </w:r>
      <w:r w:rsidRPr="00D421E1">
        <w:rPr>
          <w:rFonts w:eastAsia="Calibri"/>
          <w:szCs w:val="20"/>
          <w:lang w:eastAsia="en-US"/>
        </w:rPr>
        <w:t>poszczególnych sektorach gospodarki), co miało bezpośredni, negatywny wpływ na kondycję przedsiębiorstw</w:t>
      </w:r>
      <w:r w:rsidR="00E66B89">
        <w:rPr>
          <w:rFonts w:eastAsia="Calibri"/>
          <w:szCs w:val="20"/>
          <w:lang w:eastAsia="en-US"/>
        </w:rPr>
        <w:t xml:space="preserve"> i </w:t>
      </w:r>
      <w:r w:rsidRPr="00D421E1">
        <w:rPr>
          <w:rFonts w:eastAsia="Calibri"/>
          <w:szCs w:val="20"/>
          <w:lang w:eastAsia="en-US"/>
        </w:rPr>
        <w:t>sytuację pracowników. Ostatnie lata pokazują wzrost zatrudnienia</w:t>
      </w:r>
      <w:r w:rsidR="00E66B89">
        <w:rPr>
          <w:rFonts w:eastAsia="Calibri"/>
          <w:szCs w:val="20"/>
          <w:lang w:eastAsia="en-US"/>
        </w:rPr>
        <w:t xml:space="preserve"> w </w:t>
      </w:r>
      <w:r w:rsidRPr="00D421E1">
        <w:rPr>
          <w:rFonts w:eastAsia="Calibri"/>
          <w:szCs w:val="20"/>
          <w:lang w:eastAsia="en-US"/>
        </w:rPr>
        <w:t>województwie we wszystkich sektorach gospodarki,</w:t>
      </w:r>
      <w:r w:rsidR="00E66B89">
        <w:rPr>
          <w:rFonts w:eastAsia="Calibri"/>
          <w:szCs w:val="20"/>
          <w:lang w:eastAsia="en-US"/>
        </w:rPr>
        <w:t xml:space="preserve"> w </w:t>
      </w:r>
      <w:r w:rsidRPr="00D421E1">
        <w:rPr>
          <w:rFonts w:eastAsia="Calibri"/>
          <w:szCs w:val="20"/>
          <w:lang w:eastAsia="en-US"/>
        </w:rPr>
        <w:t>tym - wzrost odsetka pracowników zatrudnionych</w:t>
      </w:r>
      <w:r w:rsidR="00E66B89">
        <w:rPr>
          <w:rFonts w:eastAsia="Calibri"/>
          <w:szCs w:val="20"/>
          <w:lang w:eastAsia="en-US"/>
        </w:rPr>
        <w:t xml:space="preserve"> w </w:t>
      </w:r>
      <w:r w:rsidRPr="00D421E1">
        <w:rPr>
          <w:rFonts w:eastAsia="Calibri"/>
          <w:szCs w:val="20"/>
          <w:lang w:eastAsia="en-US"/>
        </w:rPr>
        <w:t>mikroprzedsiębiorstwach</w:t>
      </w:r>
      <w:r w:rsidR="00E66B89">
        <w:rPr>
          <w:rFonts w:eastAsia="Calibri"/>
          <w:szCs w:val="20"/>
          <w:lang w:eastAsia="en-US"/>
        </w:rPr>
        <w:t xml:space="preserve"> w </w:t>
      </w:r>
      <w:r w:rsidRPr="00D421E1">
        <w:rPr>
          <w:rFonts w:eastAsia="Calibri"/>
          <w:szCs w:val="20"/>
          <w:lang w:eastAsia="en-US"/>
        </w:rPr>
        <w:t>ramach umowy</w:t>
      </w:r>
      <w:r w:rsidR="00E66B89">
        <w:rPr>
          <w:rFonts w:eastAsia="Calibri"/>
          <w:szCs w:val="20"/>
          <w:lang w:eastAsia="en-US"/>
        </w:rPr>
        <w:t xml:space="preserve"> o </w:t>
      </w:r>
      <w:r w:rsidRPr="00D421E1">
        <w:rPr>
          <w:rFonts w:eastAsia="Calibri"/>
          <w:szCs w:val="20"/>
          <w:lang w:eastAsia="en-US"/>
        </w:rPr>
        <w:t>pracę (wg danych GUS odsetek pracowników zatrudnionych</w:t>
      </w:r>
      <w:r w:rsidR="00E66B89">
        <w:rPr>
          <w:rFonts w:eastAsia="Calibri"/>
          <w:szCs w:val="20"/>
          <w:lang w:eastAsia="en-US"/>
        </w:rPr>
        <w:t xml:space="preserve"> w </w:t>
      </w:r>
      <w:r w:rsidRPr="00D421E1">
        <w:rPr>
          <w:rFonts w:eastAsia="Calibri"/>
          <w:szCs w:val="20"/>
          <w:lang w:eastAsia="en-US"/>
        </w:rPr>
        <w:t>mikroprzedsiębiorstwach</w:t>
      </w:r>
      <w:r w:rsidR="00E66B89">
        <w:rPr>
          <w:rFonts w:eastAsia="Calibri"/>
          <w:szCs w:val="20"/>
          <w:lang w:eastAsia="en-US"/>
        </w:rPr>
        <w:t xml:space="preserve"> w </w:t>
      </w:r>
      <w:r w:rsidRPr="00D421E1">
        <w:rPr>
          <w:rFonts w:eastAsia="Calibri"/>
          <w:szCs w:val="20"/>
          <w:lang w:eastAsia="en-US"/>
        </w:rPr>
        <w:t>ramach umowy</w:t>
      </w:r>
      <w:r w:rsidR="00E66B89">
        <w:rPr>
          <w:rFonts w:eastAsia="Calibri"/>
          <w:szCs w:val="20"/>
          <w:lang w:eastAsia="en-US"/>
        </w:rPr>
        <w:t xml:space="preserve"> o </w:t>
      </w:r>
      <w:r w:rsidRPr="00D421E1">
        <w:rPr>
          <w:rFonts w:eastAsia="Calibri"/>
          <w:szCs w:val="20"/>
          <w:lang w:eastAsia="en-US"/>
        </w:rPr>
        <w:t>pracę wynosi:</w:t>
      </w:r>
      <w:r w:rsidR="00E66B89">
        <w:rPr>
          <w:rFonts w:eastAsia="Calibri"/>
          <w:szCs w:val="20"/>
          <w:lang w:eastAsia="en-US"/>
        </w:rPr>
        <w:t xml:space="preserve"> w </w:t>
      </w:r>
      <w:r w:rsidRPr="00D421E1">
        <w:rPr>
          <w:rFonts w:eastAsia="Calibri"/>
          <w:szCs w:val="20"/>
          <w:lang w:eastAsia="en-US"/>
        </w:rPr>
        <w:t>2013 r. – 38,28% region, 41,92% Polska;</w:t>
      </w:r>
      <w:r w:rsidR="00E66B89">
        <w:rPr>
          <w:rFonts w:eastAsia="Calibri"/>
          <w:szCs w:val="20"/>
          <w:lang w:eastAsia="en-US"/>
        </w:rPr>
        <w:t xml:space="preserve"> w </w:t>
      </w:r>
      <w:r w:rsidRPr="00D421E1">
        <w:rPr>
          <w:rFonts w:eastAsia="Calibri"/>
          <w:szCs w:val="20"/>
          <w:lang w:eastAsia="en-US"/>
        </w:rPr>
        <w:t>2016 r. 41,37% region, 43,78% Polska). Od 2013 roku wzrasta liczba nowopowstałych miejsc pracy</w:t>
      </w:r>
      <w:r w:rsidR="00E66B89">
        <w:rPr>
          <w:rFonts w:eastAsia="Calibri"/>
          <w:szCs w:val="20"/>
          <w:lang w:eastAsia="en-US"/>
        </w:rPr>
        <w:t xml:space="preserve"> w </w:t>
      </w:r>
      <w:r w:rsidRPr="00D421E1">
        <w:rPr>
          <w:rFonts w:eastAsia="Calibri"/>
          <w:szCs w:val="20"/>
          <w:lang w:eastAsia="en-US"/>
        </w:rPr>
        <w:t>przeliczeniu na 10 tys. ludności</w:t>
      </w:r>
      <w:r w:rsidR="00E66B89">
        <w:rPr>
          <w:rFonts w:eastAsia="Calibri"/>
          <w:szCs w:val="20"/>
          <w:lang w:eastAsia="en-US"/>
        </w:rPr>
        <w:t xml:space="preserve"> w </w:t>
      </w:r>
      <w:r w:rsidRPr="00D421E1">
        <w:rPr>
          <w:rFonts w:eastAsia="Calibri"/>
          <w:szCs w:val="20"/>
          <w:lang w:eastAsia="en-US"/>
        </w:rPr>
        <w:t>wieku produkcyjnym (wg. danych GUS liczba nowopowstałych miejsc pracy</w:t>
      </w:r>
      <w:r w:rsidR="00E66B89">
        <w:rPr>
          <w:rFonts w:eastAsia="Calibri"/>
          <w:szCs w:val="20"/>
          <w:lang w:eastAsia="en-US"/>
        </w:rPr>
        <w:t xml:space="preserve"> w </w:t>
      </w:r>
      <w:r w:rsidRPr="00D421E1">
        <w:rPr>
          <w:rFonts w:eastAsia="Calibri"/>
          <w:szCs w:val="20"/>
          <w:lang w:eastAsia="en-US"/>
        </w:rPr>
        <w:t>przeliczeniu na 10 tys. ludności</w:t>
      </w:r>
      <w:r w:rsidR="00E66B89">
        <w:rPr>
          <w:rFonts w:eastAsia="Calibri"/>
          <w:szCs w:val="20"/>
          <w:lang w:eastAsia="en-US"/>
        </w:rPr>
        <w:t xml:space="preserve"> w </w:t>
      </w:r>
      <w:r w:rsidRPr="00D421E1">
        <w:rPr>
          <w:rFonts w:eastAsia="Calibri"/>
          <w:szCs w:val="20"/>
          <w:lang w:eastAsia="en-US"/>
        </w:rPr>
        <w:t>wieku produkcyjnym wynosiła regionie</w:t>
      </w:r>
      <w:r w:rsidR="00E66B89">
        <w:rPr>
          <w:rFonts w:eastAsia="Calibri"/>
          <w:szCs w:val="20"/>
          <w:lang w:eastAsia="en-US"/>
        </w:rPr>
        <w:t xml:space="preserve"> w </w:t>
      </w:r>
      <w:r w:rsidRPr="00D421E1">
        <w:rPr>
          <w:rFonts w:eastAsia="Calibri"/>
          <w:szCs w:val="20"/>
          <w:lang w:eastAsia="en-US"/>
        </w:rPr>
        <w:t>2013 r. - 135,40;</w:t>
      </w:r>
      <w:r w:rsidR="00E66B89">
        <w:rPr>
          <w:rFonts w:eastAsia="Calibri"/>
          <w:szCs w:val="20"/>
          <w:lang w:eastAsia="en-US"/>
        </w:rPr>
        <w:t xml:space="preserve"> w </w:t>
      </w:r>
      <w:r w:rsidRPr="00D421E1">
        <w:rPr>
          <w:rFonts w:eastAsia="Calibri"/>
          <w:szCs w:val="20"/>
          <w:lang w:eastAsia="en-US"/>
        </w:rPr>
        <w:t>2018 r. 261,05). Jak wynika</w:t>
      </w:r>
      <w:r w:rsidR="00E66B89">
        <w:rPr>
          <w:rFonts w:eastAsia="Calibri"/>
          <w:szCs w:val="20"/>
          <w:lang w:eastAsia="en-US"/>
        </w:rPr>
        <w:t xml:space="preserve"> z </w:t>
      </w:r>
      <w:r w:rsidRPr="00D421E1">
        <w:rPr>
          <w:rFonts w:eastAsia="Calibri"/>
          <w:szCs w:val="20"/>
          <w:lang w:eastAsia="en-US"/>
        </w:rPr>
        <w:t>opinii przedstawicieli Instytucji Wdrażających Program zgromadzonych podczas wywiadów pogłębionych, nie zachodzi potrzeba modyfikowania wyzwań rozwojowych</w:t>
      </w:r>
      <w:r w:rsidR="00E66B89">
        <w:rPr>
          <w:rFonts w:eastAsia="Calibri"/>
          <w:szCs w:val="20"/>
          <w:lang w:eastAsia="en-US"/>
        </w:rPr>
        <w:t xml:space="preserve"> w </w:t>
      </w:r>
      <w:r w:rsidRPr="00D421E1">
        <w:rPr>
          <w:rFonts w:eastAsia="Calibri"/>
          <w:szCs w:val="20"/>
          <w:lang w:eastAsia="en-US"/>
        </w:rPr>
        <w:t>tym obszarze na kolejne lata wdrażania Programu.</w:t>
      </w:r>
    </w:p>
    <w:p w14:paraId="00568F35" w14:textId="77777777" w:rsidR="00881780" w:rsidRPr="00A556B2" w:rsidRDefault="00881780" w:rsidP="00881780">
      <w:pPr>
        <w:pStyle w:val="Nagwek3"/>
      </w:pPr>
      <w:r w:rsidRPr="00FE43CD">
        <w:lastRenderedPageBreak/>
        <w:t xml:space="preserve">Priorytet inwestycyjny nr </w:t>
      </w:r>
      <w:r>
        <w:t>8v</w:t>
      </w:r>
      <w:r w:rsidRPr="00FE43CD">
        <w:t xml:space="preserve"> (</w:t>
      </w:r>
      <w:r>
        <w:t xml:space="preserve">Działanie </w:t>
      </w:r>
      <w:r w:rsidRPr="0027113F">
        <w:t>6.1</w:t>
      </w:r>
      <w:r>
        <w:t xml:space="preserve">, </w:t>
      </w:r>
      <w:r w:rsidRPr="00892493">
        <w:t>6.2</w:t>
      </w:r>
      <w:r>
        <w:t xml:space="preserve">, </w:t>
      </w:r>
      <w:r w:rsidRPr="00892493">
        <w:t>6.3</w:t>
      </w:r>
      <w:r w:rsidRPr="00FE43CD">
        <w:t>)</w:t>
      </w:r>
    </w:p>
    <w:p w14:paraId="13C09CD4" w14:textId="77777777" w:rsidR="00881780" w:rsidRPr="00FE43CD" w:rsidRDefault="00881780" w:rsidP="00881780">
      <w:pPr>
        <w:pStyle w:val="Nagwek4"/>
        <w:numPr>
          <w:ilvl w:val="0"/>
          <w:numId w:val="0"/>
        </w:numPr>
        <w:ind w:left="864" w:hanging="864"/>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5F4D29D0" w14:textId="77777777" w:rsidR="00881780" w:rsidRPr="00FE43CD" w:rsidRDefault="00881780" w:rsidP="00D87AE8">
      <w:pPr>
        <w:pStyle w:val="Legenda"/>
        <w:spacing w:after="0"/>
      </w:pPr>
      <w:bookmarkStart w:id="236" w:name="_Toc8824220"/>
      <w:r w:rsidRPr="00FE43CD">
        <w:t xml:space="preserve">Tabela </w:t>
      </w:r>
      <w:r>
        <w:fldChar w:fldCharType="begin"/>
      </w:r>
      <w:r>
        <w:instrText xml:space="preserve"> SEQ Tabela \* ARABIC </w:instrText>
      </w:r>
      <w:r>
        <w:fldChar w:fldCharType="separate"/>
      </w:r>
      <w:r w:rsidR="00763345">
        <w:rPr>
          <w:noProof/>
        </w:rPr>
        <w:t>109</w:t>
      </w:r>
      <w:r>
        <w:fldChar w:fldCharType="end"/>
      </w:r>
      <w:r w:rsidRPr="00FE43CD">
        <w:t xml:space="preserve"> Wskaźniki produktu</w:t>
      </w:r>
      <w:r w:rsidR="00E66B89">
        <w:t xml:space="preserve"> i </w:t>
      </w:r>
      <w:r w:rsidRPr="00FE43CD">
        <w:t xml:space="preserve">rezultatu (PI </w:t>
      </w:r>
      <w:r>
        <w:t>8v</w:t>
      </w:r>
      <w:r w:rsidRPr="00FE43CD">
        <w:t>) – postęp rzeczowy</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2135"/>
        <w:gridCol w:w="836"/>
        <w:gridCol w:w="925"/>
        <w:gridCol w:w="961"/>
        <w:gridCol w:w="972"/>
        <w:gridCol w:w="961"/>
        <w:gridCol w:w="972"/>
      </w:tblGrid>
      <w:tr w:rsidR="00881780" w:rsidRPr="00FE43CD" w14:paraId="59F110DF" w14:textId="77777777" w:rsidTr="00C22C26">
        <w:trPr>
          <w:tblHeader/>
        </w:trPr>
        <w:tc>
          <w:tcPr>
            <w:tcW w:w="817" w:type="dxa"/>
            <w:shd w:val="clear" w:color="auto" w:fill="DBE5F1"/>
          </w:tcPr>
          <w:p w14:paraId="2E49ECA2" w14:textId="77777777" w:rsidR="00881780" w:rsidRPr="00404DA5" w:rsidRDefault="00881780" w:rsidP="006F4D8F">
            <w:pPr>
              <w:jc w:val="center"/>
              <w:rPr>
                <w:rFonts w:cs="Calibri"/>
                <w:sz w:val="18"/>
                <w:szCs w:val="18"/>
              </w:rPr>
            </w:pPr>
            <w:r w:rsidRPr="00404DA5">
              <w:rPr>
                <w:rFonts w:cs="Calibri"/>
                <w:sz w:val="18"/>
                <w:szCs w:val="18"/>
              </w:rPr>
              <w:t>Typ wskaźnika</w:t>
            </w:r>
          </w:p>
        </w:tc>
        <w:tc>
          <w:tcPr>
            <w:tcW w:w="709" w:type="dxa"/>
            <w:shd w:val="clear" w:color="auto" w:fill="DBE5F1"/>
          </w:tcPr>
          <w:p w14:paraId="6507C742" w14:textId="77777777" w:rsidR="00881780" w:rsidRPr="00404DA5" w:rsidRDefault="00881780" w:rsidP="006F4D8F">
            <w:pPr>
              <w:jc w:val="center"/>
              <w:rPr>
                <w:rFonts w:cs="Calibri"/>
                <w:sz w:val="18"/>
                <w:szCs w:val="18"/>
              </w:rPr>
            </w:pPr>
            <w:r w:rsidRPr="00404DA5">
              <w:rPr>
                <w:rFonts w:cs="Calibri"/>
                <w:sz w:val="18"/>
                <w:szCs w:val="18"/>
              </w:rPr>
              <w:t>Działania</w:t>
            </w:r>
          </w:p>
        </w:tc>
        <w:tc>
          <w:tcPr>
            <w:tcW w:w="2135" w:type="dxa"/>
            <w:shd w:val="clear" w:color="auto" w:fill="DBE5F1"/>
          </w:tcPr>
          <w:p w14:paraId="767428F5" w14:textId="77777777" w:rsidR="00881780" w:rsidRPr="00404DA5" w:rsidRDefault="00881780" w:rsidP="006F4D8F">
            <w:pPr>
              <w:rPr>
                <w:rFonts w:cs="Calibri"/>
                <w:sz w:val="18"/>
                <w:szCs w:val="18"/>
              </w:rPr>
            </w:pPr>
            <w:r w:rsidRPr="00404DA5">
              <w:rPr>
                <w:rFonts w:cs="Calibri"/>
                <w:sz w:val="18"/>
                <w:szCs w:val="18"/>
              </w:rPr>
              <w:t>Wskaźnik</w:t>
            </w:r>
          </w:p>
        </w:tc>
        <w:tc>
          <w:tcPr>
            <w:tcW w:w="836" w:type="dxa"/>
            <w:shd w:val="clear" w:color="auto" w:fill="DBE5F1"/>
          </w:tcPr>
          <w:p w14:paraId="6154341D" w14:textId="77777777" w:rsidR="00881780" w:rsidRPr="00404DA5" w:rsidRDefault="00881780" w:rsidP="006F4D8F">
            <w:pPr>
              <w:jc w:val="center"/>
              <w:rPr>
                <w:rFonts w:cs="Calibri"/>
                <w:sz w:val="18"/>
                <w:szCs w:val="18"/>
              </w:rPr>
            </w:pPr>
            <w:r w:rsidRPr="00404DA5">
              <w:rPr>
                <w:rFonts w:cs="Calibri"/>
                <w:sz w:val="18"/>
                <w:szCs w:val="18"/>
              </w:rPr>
              <w:t>Jedn. pomiaru</w:t>
            </w:r>
          </w:p>
        </w:tc>
        <w:tc>
          <w:tcPr>
            <w:tcW w:w="925" w:type="dxa"/>
            <w:shd w:val="clear" w:color="auto" w:fill="DBE5F1"/>
          </w:tcPr>
          <w:p w14:paraId="76603923" w14:textId="77777777" w:rsidR="00881780" w:rsidRPr="00404DA5" w:rsidRDefault="00881780" w:rsidP="006F4D8F">
            <w:pPr>
              <w:jc w:val="center"/>
              <w:rPr>
                <w:rFonts w:cs="Calibri"/>
                <w:sz w:val="18"/>
                <w:szCs w:val="18"/>
              </w:rPr>
            </w:pPr>
            <w:r w:rsidRPr="00404DA5">
              <w:rPr>
                <w:rFonts w:cs="Calibri"/>
                <w:sz w:val="18"/>
                <w:szCs w:val="18"/>
              </w:rPr>
              <w:t>Wartość docelowa (2023)</w:t>
            </w:r>
          </w:p>
        </w:tc>
        <w:tc>
          <w:tcPr>
            <w:tcW w:w="961" w:type="dxa"/>
            <w:shd w:val="clear" w:color="auto" w:fill="DBE5F1"/>
          </w:tcPr>
          <w:p w14:paraId="647CF68A" w14:textId="77777777" w:rsidR="00881780" w:rsidRPr="00404DA5" w:rsidRDefault="00881780" w:rsidP="006F4D8F">
            <w:pPr>
              <w:jc w:val="center"/>
              <w:rPr>
                <w:rFonts w:cs="Calibri"/>
                <w:sz w:val="18"/>
                <w:szCs w:val="18"/>
              </w:rPr>
            </w:pPr>
            <w:r w:rsidRPr="00404DA5">
              <w:rPr>
                <w:rFonts w:cs="Calibri"/>
                <w:sz w:val="18"/>
                <w:szCs w:val="18"/>
              </w:rPr>
              <w:t>Realizacja wskaźnika (wg UoD)</w:t>
            </w:r>
          </w:p>
        </w:tc>
        <w:tc>
          <w:tcPr>
            <w:tcW w:w="972" w:type="dxa"/>
            <w:shd w:val="clear" w:color="auto" w:fill="DBE5F1"/>
          </w:tcPr>
          <w:p w14:paraId="290AEBAB" w14:textId="77777777" w:rsidR="00881780" w:rsidRPr="00404DA5" w:rsidRDefault="00881780" w:rsidP="006F4D8F">
            <w:pPr>
              <w:jc w:val="center"/>
              <w:rPr>
                <w:rFonts w:cs="Calibri"/>
                <w:sz w:val="18"/>
                <w:szCs w:val="18"/>
              </w:rPr>
            </w:pPr>
            <w:r w:rsidRPr="00404DA5">
              <w:rPr>
                <w:rFonts w:cs="Calibri"/>
                <w:sz w:val="18"/>
                <w:szCs w:val="18"/>
              </w:rPr>
              <w:t>% realizacji wartości docelowej (wg UoD)</w:t>
            </w:r>
          </w:p>
        </w:tc>
        <w:tc>
          <w:tcPr>
            <w:tcW w:w="961" w:type="dxa"/>
            <w:shd w:val="clear" w:color="auto" w:fill="DBE5F1"/>
          </w:tcPr>
          <w:p w14:paraId="22FFC94D" w14:textId="77777777" w:rsidR="00881780" w:rsidRPr="00404DA5" w:rsidRDefault="00881780" w:rsidP="006F4D8F">
            <w:pPr>
              <w:jc w:val="center"/>
              <w:rPr>
                <w:rFonts w:cs="Calibri"/>
                <w:sz w:val="18"/>
                <w:szCs w:val="18"/>
              </w:rPr>
            </w:pPr>
            <w:r w:rsidRPr="00404DA5">
              <w:rPr>
                <w:rFonts w:cs="Calibri"/>
                <w:sz w:val="18"/>
                <w:szCs w:val="18"/>
              </w:rPr>
              <w:t>Realizacja wskaźnika (wg WoP)</w:t>
            </w:r>
          </w:p>
        </w:tc>
        <w:tc>
          <w:tcPr>
            <w:tcW w:w="972" w:type="dxa"/>
            <w:shd w:val="clear" w:color="auto" w:fill="DBE5F1"/>
          </w:tcPr>
          <w:p w14:paraId="49DA6211" w14:textId="77777777" w:rsidR="00881780" w:rsidRPr="00404DA5" w:rsidRDefault="00881780" w:rsidP="006F4D8F">
            <w:pPr>
              <w:jc w:val="center"/>
              <w:rPr>
                <w:rFonts w:cs="Calibri"/>
                <w:sz w:val="18"/>
                <w:szCs w:val="18"/>
              </w:rPr>
            </w:pPr>
            <w:r w:rsidRPr="00404DA5">
              <w:rPr>
                <w:rFonts w:cs="Calibri"/>
                <w:sz w:val="18"/>
                <w:szCs w:val="18"/>
              </w:rPr>
              <w:t>% realizacji wartości docelowej (wg WoP)</w:t>
            </w:r>
          </w:p>
        </w:tc>
      </w:tr>
      <w:tr w:rsidR="00881780" w:rsidRPr="00F20F6A" w14:paraId="0BD49851" w14:textId="77777777" w:rsidTr="006F4D8F">
        <w:tc>
          <w:tcPr>
            <w:tcW w:w="817" w:type="dxa"/>
            <w:shd w:val="clear" w:color="auto" w:fill="auto"/>
            <w:vAlign w:val="center"/>
          </w:tcPr>
          <w:p w14:paraId="10212E08" w14:textId="77777777" w:rsidR="00881780" w:rsidRPr="00404DA5" w:rsidRDefault="00881780" w:rsidP="006F4D8F">
            <w:pPr>
              <w:jc w:val="center"/>
              <w:rPr>
                <w:rFonts w:cs="Calibri"/>
                <w:sz w:val="18"/>
                <w:szCs w:val="18"/>
              </w:rPr>
            </w:pPr>
            <w:r w:rsidRPr="00404DA5">
              <w:rPr>
                <w:rFonts w:cs="Calibri"/>
                <w:sz w:val="18"/>
                <w:szCs w:val="18"/>
              </w:rPr>
              <w:t>WP</w:t>
            </w:r>
          </w:p>
        </w:tc>
        <w:tc>
          <w:tcPr>
            <w:tcW w:w="709" w:type="dxa"/>
            <w:shd w:val="clear" w:color="auto" w:fill="auto"/>
            <w:vAlign w:val="center"/>
          </w:tcPr>
          <w:p w14:paraId="63EF9569" w14:textId="77777777" w:rsidR="00881780" w:rsidRPr="00404DA5" w:rsidRDefault="00881780" w:rsidP="006F4D8F">
            <w:pPr>
              <w:jc w:val="center"/>
              <w:rPr>
                <w:rFonts w:cs="Calibri"/>
                <w:sz w:val="18"/>
                <w:szCs w:val="18"/>
              </w:rPr>
            </w:pPr>
            <w:r w:rsidRPr="00404DA5">
              <w:rPr>
                <w:rFonts w:cs="Calibri"/>
                <w:sz w:val="18"/>
                <w:szCs w:val="18"/>
              </w:rPr>
              <w:t>6.1</w:t>
            </w:r>
          </w:p>
          <w:p w14:paraId="7943D94C" w14:textId="77777777" w:rsidR="00881780" w:rsidRPr="00404DA5" w:rsidRDefault="00881780" w:rsidP="006F4D8F">
            <w:pPr>
              <w:jc w:val="center"/>
              <w:rPr>
                <w:rFonts w:cs="Calibri"/>
                <w:sz w:val="18"/>
                <w:szCs w:val="18"/>
              </w:rPr>
            </w:pPr>
            <w:r w:rsidRPr="00404DA5">
              <w:rPr>
                <w:rFonts w:cs="Calibri"/>
                <w:sz w:val="18"/>
                <w:szCs w:val="18"/>
              </w:rPr>
              <w:t>6.2</w:t>
            </w:r>
          </w:p>
        </w:tc>
        <w:tc>
          <w:tcPr>
            <w:tcW w:w="2135" w:type="dxa"/>
            <w:shd w:val="clear" w:color="auto" w:fill="auto"/>
            <w:vAlign w:val="center"/>
          </w:tcPr>
          <w:p w14:paraId="3AF437FD" w14:textId="77777777" w:rsidR="00881780" w:rsidRPr="00404DA5" w:rsidRDefault="00881780" w:rsidP="006F4D8F">
            <w:pPr>
              <w:rPr>
                <w:rFonts w:cs="Calibri"/>
                <w:sz w:val="18"/>
                <w:szCs w:val="18"/>
              </w:rPr>
            </w:pPr>
            <w:r w:rsidRPr="00404DA5">
              <w:rPr>
                <w:rFonts w:cs="Calibri"/>
                <w:sz w:val="18"/>
                <w:szCs w:val="18"/>
              </w:rPr>
              <w:t>Liczba osób pracujących objętych wsparciem</w:t>
            </w:r>
            <w:r w:rsidR="00E66B89">
              <w:rPr>
                <w:rFonts w:cs="Calibri"/>
                <w:sz w:val="18"/>
                <w:szCs w:val="18"/>
              </w:rPr>
              <w:t xml:space="preserve"> w </w:t>
            </w:r>
            <w:r w:rsidRPr="00404DA5">
              <w:rPr>
                <w:rFonts w:cs="Calibri"/>
                <w:sz w:val="18"/>
                <w:szCs w:val="18"/>
              </w:rPr>
              <w:t>programie (łącznie</w:t>
            </w:r>
            <w:r w:rsidR="00E66B89">
              <w:rPr>
                <w:rFonts w:cs="Calibri"/>
                <w:sz w:val="18"/>
                <w:szCs w:val="18"/>
              </w:rPr>
              <w:t xml:space="preserve"> z </w:t>
            </w:r>
            <w:r w:rsidRPr="00404DA5">
              <w:rPr>
                <w:rFonts w:cs="Calibri"/>
                <w:sz w:val="18"/>
                <w:szCs w:val="18"/>
              </w:rPr>
              <w:t xml:space="preserve">pracującymi na własny rachunek) (CI) </w:t>
            </w:r>
          </w:p>
        </w:tc>
        <w:tc>
          <w:tcPr>
            <w:tcW w:w="836" w:type="dxa"/>
            <w:shd w:val="clear" w:color="auto" w:fill="auto"/>
            <w:vAlign w:val="center"/>
          </w:tcPr>
          <w:p w14:paraId="4614B6A8" w14:textId="77777777" w:rsidR="00881780" w:rsidRPr="00404DA5" w:rsidRDefault="00881780" w:rsidP="006F4D8F">
            <w:pPr>
              <w:jc w:val="center"/>
              <w:rPr>
                <w:rFonts w:cs="Calibri"/>
                <w:sz w:val="18"/>
                <w:szCs w:val="18"/>
              </w:rPr>
            </w:pPr>
            <w:r w:rsidRPr="00404DA5">
              <w:rPr>
                <w:rFonts w:cs="Calibri"/>
                <w:sz w:val="18"/>
                <w:szCs w:val="18"/>
              </w:rPr>
              <w:t>osoby</w:t>
            </w:r>
          </w:p>
        </w:tc>
        <w:tc>
          <w:tcPr>
            <w:tcW w:w="925" w:type="dxa"/>
            <w:shd w:val="clear" w:color="auto" w:fill="auto"/>
            <w:vAlign w:val="center"/>
          </w:tcPr>
          <w:p w14:paraId="23B02B64" w14:textId="77777777" w:rsidR="00881780" w:rsidRPr="00404DA5" w:rsidRDefault="00881780" w:rsidP="006F4D8F">
            <w:pPr>
              <w:jc w:val="center"/>
              <w:rPr>
                <w:rFonts w:cs="Calibri"/>
                <w:sz w:val="18"/>
                <w:szCs w:val="18"/>
              </w:rPr>
            </w:pPr>
            <w:r w:rsidRPr="00404DA5">
              <w:rPr>
                <w:rFonts w:cs="Calibri"/>
                <w:sz w:val="18"/>
                <w:szCs w:val="18"/>
              </w:rPr>
              <w:t>17 061</w:t>
            </w:r>
          </w:p>
        </w:tc>
        <w:tc>
          <w:tcPr>
            <w:tcW w:w="961" w:type="dxa"/>
            <w:shd w:val="clear" w:color="auto" w:fill="auto"/>
            <w:vAlign w:val="center"/>
          </w:tcPr>
          <w:p w14:paraId="387D656F" w14:textId="77777777" w:rsidR="00881780" w:rsidRPr="00404DA5" w:rsidRDefault="00881780" w:rsidP="006F4D8F">
            <w:pPr>
              <w:jc w:val="center"/>
              <w:rPr>
                <w:rFonts w:cs="Calibri"/>
                <w:sz w:val="18"/>
                <w:szCs w:val="18"/>
              </w:rPr>
            </w:pPr>
            <w:r w:rsidRPr="00404DA5">
              <w:rPr>
                <w:rFonts w:cs="Calibri"/>
                <w:sz w:val="18"/>
                <w:szCs w:val="18"/>
              </w:rPr>
              <w:t>15 810</w:t>
            </w:r>
          </w:p>
        </w:tc>
        <w:tc>
          <w:tcPr>
            <w:tcW w:w="972" w:type="dxa"/>
            <w:shd w:val="clear" w:color="auto" w:fill="auto"/>
            <w:vAlign w:val="center"/>
          </w:tcPr>
          <w:p w14:paraId="3DA91F74" w14:textId="77777777" w:rsidR="00881780" w:rsidRPr="00404DA5" w:rsidRDefault="00881780" w:rsidP="006F4D8F">
            <w:pPr>
              <w:jc w:val="center"/>
              <w:rPr>
                <w:rFonts w:cs="Calibri"/>
                <w:sz w:val="18"/>
                <w:szCs w:val="18"/>
              </w:rPr>
            </w:pPr>
            <w:r w:rsidRPr="00404DA5">
              <w:rPr>
                <w:rFonts w:cs="Calibri"/>
                <w:sz w:val="18"/>
                <w:szCs w:val="18"/>
              </w:rPr>
              <w:t>93,0%</w:t>
            </w:r>
          </w:p>
        </w:tc>
        <w:tc>
          <w:tcPr>
            <w:tcW w:w="961" w:type="dxa"/>
            <w:shd w:val="clear" w:color="auto" w:fill="auto"/>
            <w:vAlign w:val="center"/>
          </w:tcPr>
          <w:p w14:paraId="1C286D99" w14:textId="77777777" w:rsidR="00881780" w:rsidRPr="00404DA5" w:rsidRDefault="00881780" w:rsidP="006F4D8F">
            <w:pPr>
              <w:jc w:val="center"/>
              <w:rPr>
                <w:rFonts w:cs="Calibri"/>
                <w:sz w:val="18"/>
                <w:szCs w:val="18"/>
              </w:rPr>
            </w:pPr>
            <w:r w:rsidRPr="00404DA5">
              <w:rPr>
                <w:rFonts w:cs="Calibri"/>
                <w:sz w:val="18"/>
                <w:szCs w:val="18"/>
              </w:rPr>
              <w:t>4 714</w:t>
            </w:r>
          </w:p>
        </w:tc>
        <w:tc>
          <w:tcPr>
            <w:tcW w:w="972" w:type="dxa"/>
            <w:shd w:val="clear" w:color="auto" w:fill="auto"/>
            <w:vAlign w:val="center"/>
          </w:tcPr>
          <w:p w14:paraId="560152DC" w14:textId="77777777" w:rsidR="00881780" w:rsidRPr="00404DA5" w:rsidRDefault="00881780" w:rsidP="006F4D8F">
            <w:pPr>
              <w:jc w:val="center"/>
              <w:rPr>
                <w:rFonts w:cs="Calibri"/>
                <w:sz w:val="18"/>
                <w:szCs w:val="18"/>
              </w:rPr>
            </w:pPr>
            <w:r w:rsidRPr="00404DA5">
              <w:rPr>
                <w:rFonts w:cs="Calibri"/>
                <w:sz w:val="18"/>
                <w:szCs w:val="18"/>
              </w:rPr>
              <w:t>28,0%</w:t>
            </w:r>
          </w:p>
        </w:tc>
      </w:tr>
      <w:tr w:rsidR="00881780" w:rsidRPr="00F20F6A" w14:paraId="1B2E489C" w14:textId="77777777" w:rsidTr="006F4D8F">
        <w:tc>
          <w:tcPr>
            <w:tcW w:w="817" w:type="dxa"/>
            <w:shd w:val="clear" w:color="auto" w:fill="auto"/>
            <w:vAlign w:val="center"/>
          </w:tcPr>
          <w:p w14:paraId="75E41F75" w14:textId="77777777" w:rsidR="00881780" w:rsidRPr="00404DA5" w:rsidRDefault="00881780" w:rsidP="006F4D8F">
            <w:pPr>
              <w:jc w:val="center"/>
              <w:rPr>
                <w:sz w:val="18"/>
                <w:szCs w:val="18"/>
              </w:rPr>
            </w:pPr>
            <w:r w:rsidRPr="00404DA5">
              <w:rPr>
                <w:rFonts w:cs="Calibri"/>
                <w:sz w:val="18"/>
                <w:szCs w:val="18"/>
              </w:rPr>
              <w:t>WP</w:t>
            </w:r>
          </w:p>
        </w:tc>
        <w:tc>
          <w:tcPr>
            <w:tcW w:w="709" w:type="dxa"/>
            <w:shd w:val="clear" w:color="auto" w:fill="auto"/>
            <w:vAlign w:val="center"/>
          </w:tcPr>
          <w:p w14:paraId="4B97C902" w14:textId="77777777" w:rsidR="00881780" w:rsidRPr="00404DA5" w:rsidRDefault="00881780" w:rsidP="006F4D8F">
            <w:pPr>
              <w:jc w:val="center"/>
              <w:rPr>
                <w:rFonts w:cs="Calibri"/>
                <w:sz w:val="18"/>
                <w:szCs w:val="18"/>
              </w:rPr>
            </w:pPr>
            <w:r w:rsidRPr="00404DA5">
              <w:rPr>
                <w:rFonts w:cs="Calibri"/>
                <w:sz w:val="18"/>
                <w:szCs w:val="18"/>
              </w:rPr>
              <w:t>6.1</w:t>
            </w:r>
          </w:p>
          <w:p w14:paraId="19073529" w14:textId="77777777" w:rsidR="00881780" w:rsidRPr="00404DA5" w:rsidRDefault="00881780" w:rsidP="006F4D8F">
            <w:pPr>
              <w:jc w:val="center"/>
              <w:rPr>
                <w:rFonts w:cs="Calibri"/>
                <w:sz w:val="18"/>
                <w:szCs w:val="18"/>
              </w:rPr>
            </w:pPr>
            <w:r w:rsidRPr="00404DA5">
              <w:rPr>
                <w:rFonts w:cs="Calibri"/>
                <w:sz w:val="18"/>
                <w:szCs w:val="18"/>
              </w:rPr>
              <w:t>6.2</w:t>
            </w:r>
          </w:p>
        </w:tc>
        <w:tc>
          <w:tcPr>
            <w:tcW w:w="2135" w:type="dxa"/>
            <w:shd w:val="clear" w:color="auto" w:fill="auto"/>
            <w:vAlign w:val="center"/>
          </w:tcPr>
          <w:p w14:paraId="448F1ACB" w14:textId="77777777" w:rsidR="00881780" w:rsidRPr="00404DA5" w:rsidRDefault="00881780" w:rsidP="006F4D8F">
            <w:pPr>
              <w:rPr>
                <w:rFonts w:cs="Calibri"/>
                <w:sz w:val="18"/>
                <w:szCs w:val="18"/>
              </w:rPr>
            </w:pPr>
            <w:r w:rsidRPr="00404DA5">
              <w:rPr>
                <w:rFonts w:cs="Calibri"/>
                <w:sz w:val="18"/>
                <w:szCs w:val="18"/>
              </w:rPr>
              <w:t>Liczba osób pracujących (łącznie</w:t>
            </w:r>
            <w:r w:rsidR="00E66B89">
              <w:rPr>
                <w:rFonts w:cs="Calibri"/>
                <w:sz w:val="18"/>
                <w:szCs w:val="18"/>
              </w:rPr>
              <w:t xml:space="preserve"> z </w:t>
            </w:r>
            <w:r w:rsidRPr="00404DA5">
              <w:rPr>
                <w:rFonts w:cs="Calibri"/>
                <w:sz w:val="18"/>
                <w:szCs w:val="18"/>
              </w:rPr>
              <w:t>pracującymi na własny rachunek)</w:t>
            </w:r>
            <w:r w:rsidR="00E66B89">
              <w:rPr>
                <w:rFonts w:cs="Calibri"/>
                <w:sz w:val="18"/>
                <w:szCs w:val="18"/>
              </w:rPr>
              <w:t xml:space="preserve"> w </w:t>
            </w:r>
            <w:r w:rsidRPr="00404DA5">
              <w:rPr>
                <w:rFonts w:cs="Calibri"/>
                <w:sz w:val="18"/>
                <w:szCs w:val="18"/>
              </w:rPr>
              <w:t>wieku 50 lat</w:t>
            </w:r>
            <w:r w:rsidR="00E66B89">
              <w:rPr>
                <w:rFonts w:cs="Calibri"/>
                <w:sz w:val="18"/>
                <w:szCs w:val="18"/>
              </w:rPr>
              <w:t xml:space="preserve"> i </w:t>
            </w:r>
            <w:r w:rsidRPr="00404DA5">
              <w:rPr>
                <w:rFonts w:cs="Calibri"/>
                <w:sz w:val="18"/>
                <w:szCs w:val="18"/>
              </w:rPr>
              <w:t>więcej objętych wsparciem</w:t>
            </w:r>
            <w:r w:rsidR="00E66B89">
              <w:rPr>
                <w:rFonts w:cs="Calibri"/>
                <w:sz w:val="18"/>
                <w:szCs w:val="18"/>
              </w:rPr>
              <w:t xml:space="preserve"> w </w:t>
            </w:r>
            <w:r w:rsidRPr="00404DA5">
              <w:rPr>
                <w:rFonts w:cs="Calibri"/>
                <w:sz w:val="18"/>
                <w:szCs w:val="18"/>
              </w:rPr>
              <w:t>programie</w:t>
            </w:r>
          </w:p>
        </w:tc>
        <w:tc>
          <w:tcPr>
            <w:tcW w:w="836" w:type="dxa"/>
            <w:shd w:val="clear" w:color="auto" w:fill="auto"/>
            <w:vAlign w:val="center"/>
          </w:tcPr>
          <w:p w14:paraId="4103C0BA" w14:textId="77777777" w:rsidR="00881780" w:rsidRPr="00404DA5" w:rsidRDefault="00881780" w:rsidP="006F4D8F">
            <w:pPr>
              <w:jc w:val="center"/>
              <w:rPr>
                <w:rFonts w:cs="Calibri"/>
                <w:sz w:val="18"/>
                <w:szCs w:val="18"/>
              </w:rPr>
            </w:pPr>
            <w:r w:rsidRPr="00404DA5">
              <w:rPr>
                <w:rFonts w:cs="Calibri"/>
                <w:sz w:val="18"/>
                <w:szCs w:val="18"/>
              </w:rPr>
              <w:t>osoby</w:t>
            </w:r>
          </w:p>
        </w:tc>
        <w:tc>
          <w:tcPr>
            <w:tcW w:w="925" w:type="dxa"/>
            <w:shd w:val="clear" w:color="auto" w:fill="auto"/>
            <w:vAlign w:val="center"/>
          </w:tcPr>
          <w:p w14:paraId="48057763" w14:textId="77777777" w:rsidR="00881780" w:rsidRPr="00404DA5" w:rsidRDefault="00881780" w:rsidP="006F4D8F">
            <w:pPr>
              <w:jc w:val="center"/>
              <w:rPr>
                <w:rFonts w:cs="Calibri"/>
                <w:sz w:val="18"/>
                <w:szCs w:val="18"/>
              </w:rPr>
            </w:pPr>
            <w:r w:rsidRPr="00404DA5">
              <w:rPr>
                <w:rFonts w:cs="Calibri"/>
                <w:sz w:val="18"/>
                <w:szCs w:val="18"/>
              </w:rPr>
              <w:t>4 265</w:t>
            </w:r>
          </w:p>
        </w:tc>
        <w:tc>
          <w:tcPr>
            <w:tcW w:w="961" w:type="dxa"/>
            <w:shd w:val="clear" w:color="auto" w:fill="auto"/>
            <w:vAlign w:val="center"/>
          </w:tcPr>
          <w:p w14:paraId="14C1E650" w14:textId="77777777" w:rsidR="00881780" w:rsidRPr="00404DA5" w:rsidRDefault="00881780" w:rsidP="006F4D8F">
            <w:pPr>
              <w:jc w:val="center"/>
              <w:rPr>
                <w:rFonts w:cs="Calibri"/>
                <w:sz w:val="18"/>
                <w:szCs w:val="18"/>
              </w:rPr>
            </w:pPr>
            <w:r w:rsidRPr="00404DA5">
              <w:rPr>
                <w:rFonts w:cs="Calibri"/>
                <w:sz w:val="18"/>
                <w:szCs w:val="18"/>
              </w:rPr>
              <w:t>1 818</w:t>
            </w:r>
          </w:p>
        </w:tc>
        <w:tc>
          <w:tcPr>
            <w:tcW w:w="972" w:type="dxa"/>
            <w:shd w:val="clear" w:color="auto" w:fill="auto"/>
            <w:vAlign w:val="center"/>
          </w:tcPr>
          <w:p w14:paraId="6DAD3A44" w14:textId="77777777" w:rsidR="00881780" w:rsidRPr="00404DA5" w:rsidRDefault="00881780" w:rsidP="006F4D8F">
            <w:pPr>
              <w:jc w:val="center"/>
              <w:rPr>
                <w:rFonts w:cs="Calibri"/>
                <w:sz w:val="18"/>
                <w:szCs w:val="18"/>
              </w:rPr>
            </w:pPr>
            <w:r w:rsidRPr="00404DA5">
              <w:rPr>
                <w:rFonts w:cs="Calibri"/>
                <w:sz w:val="18"/>
                <w:szCs w:val="18"/>
              </w:rPr>
              <w:t>43,0%</w:t>
            </w:r>
          </w:p>
        </w:tc>
        <w:tc>
          <w:tcPr>
            <w:tcW w:w="961" w:type="dxa"/>
            <w:shd w:val="clear" w:color="auto" w:fill="auto"/>
            <w:vAlign w:val="center"/>
          </w:tcPr>
          <w:p w14:paraId="29A12D2E" w14:textId="77777777" w:rsidR="00881780" w:rsidRPr="00404DA5" w:rsidRDefault="00881780" w:rsidP="006F4D8F">
            <w:pPr>
              <w:jc w:val="center"/>
              <w:rPr>
                <w:rFonts w:cs="Calibri"/>
                <w:sz w:val="18"/>
                <w:szCs w:val="18"/>
              </w:rPr>
            </w:pPr>
            <w:r w:rsidRPr="00404DA5">
              <w:rPr>
                <w:rFonts w:cs="Calibri"/>
                <w:sz w:val="18"/>
                <w:szCs w:val="18"/>
              </w:rPr>
              <w:t>744</w:t>
            </w:r>
          </w:p>
        </w:tc>
        <w:tc>
          <w:tcPr>
            <w:tcW w:w="972" w:type="dxa"/>
            <w:shd w:val="clear" w:color="auto" w:fill="auto"/>
            <w:vAlign w:val="center"/>
          </w:tcPr>
          <w:p w14:paraId="274EF589" w14:textId="77777777" w:rsidR="00881780" w:rsidRPr="00404DA5" w:rsidRDefault="00881780" w:rsidP="006F4D8F">
            <w:pPr>
              <w:jc w:val="center"/>
              <w:rPr>
                <w:rFonts w:cs="Calibri"/>
                <w:sz w:val="18"/>
                <w:szCs w:val="18"/>
              </w:rPr>
            </w:pPr>
            <w:r w:rsidRPr="00404DA5">
              <w:rPr>
                <w:rFonts w:cs="Calibri"/>
                <w:sz w:val="18"/>
                <w:szCs w:val="18"/>
              </w:rPr>
              <w:t>17,0%</w:t>
            </w:r>
          </w:p>
        </w:tc>
      </w:tr>
      <w:tr w:rsidR="00881780" w:rsidRPr="00F20F6A" w14:paraId="507AEECE" w14:textId="77777777" w:rsidTr="006F4D8F">
        <w:tc>
          <w:tcPr>
            <w:tcW w:w="817" w:type="dxa"/>
            <w:shd w:val="clear" w:color="auto" w:fill="auto"/>
            <w:vAlign w:val="center"/>
          </w:tcPr>
          <w:p w14:paraId="59A45938" w14:textId="77777777" w:rsidR="00881780" w:rsidRPr="00404DA5" w:rsidRDefault="00881780" w:rsidP="006F4D8F">
            <w:pPr>
              <w:jc w:val="center"/>
              <w:rPr>
                <w:sz w:val="18"/>
                <w:szCs w:val="18"/>
              </w:rPr>
            </w:pPr>
            <w:r w:rsidRPr="00404DA5">
              <w:rPr>
                <w:rFonts w:cs="Calibri"/>
                <w:sz w:val="18"/>
                <w:szCs w:val="18"/>
              </w:rPr>
              <w:t>WP</w:t>
            </w:r>
          </w:p>
        </w:tc>
        <w:tc>
          <w:tcPr>
            <w:tcW w:w="709" w:type="dxa"/>
            <w:shd w:val="clear" w:color="auto" w:fill="auto"/>
            <w:vAlign w:val="center"/>
          </w:tcPr>
          <w:p w14:paraId="10FF9D4D" w14:textId="77777777" w:rsidR="00881780" w:rsidRPr="00404DA5" w:rsidRDefault="00881780" w:rsidP="006F4D8F">
            <w:pPr>
              <w:jc w:val="center"/>
              <w:rPr>
                <w:rFonts w:cs="Calibri"/>
                <w:sz w:val="18"/>
                <w:szCs w:val="18"/>
              </w:rPr>
            </w:pPr>
            <w:r w:rsidRPr="00404DA5">
              <w:rPr>
                <w:rFonts w:cs="Calibri"/>
                <w:sz w:val="18"/>
                <w:szCs w:val="18"/>
              </w:rPr>
              <w:t>6.1</w:t>
            </w:r>
          </w:p>
          <w:p w14:paraId="3942524A" w14:textId="77777777" w:rsidR="00881780" w:rsidRPr="00404DA5" w:rsidRDefault="00881780" w:rsidP="006F4D8F">
            <w:pPr>
              <w:jc w:val="center"/>
              <w:rPr>
                <w:rFonts w:cs="Calibri"/>
                <w:bCs/>
                <w:sz w:val="18"/>
                <w:szCs w:val="18"/>
              </w:rPr>
            </w:pPr>
            <w:r w:rsidRPr="00404DA5">
              <w:rPr>
                <w:rFonts w:cs="Calibri"/>
                <w:sz w:val="18"/>
                <w:szCs w:val="18"/>
              </w:rPr>
              <w:t>6.2</w:t>
            </w:r>
          </w:p>
        </w:tc>
        <w:tc>
          <w:tcPr>
            <w:tcW w:w="2135" w:type="dxa"/>
            <w:shd w:val="clear" w:color="auto" w:fill="auto"/>
            <w:vAlign w:val="center"/>
          </w:tcPr>
          <w:p w14:paraId="405BA704" w14:textId="77777777" w:rsidR="00881780" w:rsidRPr="00404DA5" w:rsidRDefault="00881780" w:rsidP="006F4D8F">
            <w:pPr>
              <w:rPr>
                <w:rFonts w:cs="Calibri"/>
                <w:bCs/>
                <w:sz w:val="18"/>
                <w:szCs w:val="18"/>
              </w:rPr>
            </w:pPr>
            <w:r w:rsidRPr="00404DA5">
              <w:rPr>
                <w:rFonts w:cs="Calibri"/>
                <w:bCs/>
                <w:sz w:val="18"/>
                <w:szCs w:val="18"/>
              </w:rPr>
              <w:t>Liczba osób pracujących</w:t>
            </w:r>
            <w:r w:rsidR="00E66B89">
              <w:rPr>
                <w:rFonts w:cs="Calibri"/>
                <w:bCs/>
                <w:sz w:val="18"/>
                <w:szCs w:val="18"/>
              </w:rPr>
              <w:t xml:space="preserve"> o </w:t>
            </w:r>
            <w:r w:rsidRPr="00404DA5">
              <w:rPr>
                <w:rFonts w:cs="Calibri"/>
                <w:bCs/>
                <w:sz w:val="18"/>
                <w:szCs w:val="18"/>
              </w:rPr>
              <w:t>niskich kwalifikacjach objętych wsparciem</w:t>
            </w:r>
            <w:r w:rsidR="00E66B89">
              <w:rPr>
                <w:rFonts w:cs="Calibri"/>
                <w:bCs/>
                <w:sz w:val="18"/>
                <w:szCs w:val="18"/>
              </w:rPr>
              <w:t xml:space="preserve"> w </w:t>
            </w:r>
            <w:r w:rsidRPr="00404DA5">
              <w:rPr>
                <w:rFonts w:cs="Calibri"/>
                <w:bCs/>
                <w:sz w:val="18"/>
                <w:szCs w:val="18"/>
              </w:rPr>
              <w:t>programie</w:t>
            </w:r>
          </w:p>
        </w:tc>
        <w:tc>
          <w:tcPr>
            <w:tcW w:w="836" w:type="dxa"/>
            <w:shd w:val="clear" w:color="auto" w:fill="auto"/>
            <w:vAlign w:val="center"/>
          </w:tcPr>
          <w:p w14:paraId="17231EE5"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925" w:type="dxa"/>
            <w:shd w:val="clear" w:color="auto" w:fill="auto"/>
            <w:vAlign w:val="center"/>
          </w:tcPr>
          <w:p w14:paraId="3964F3E2" w14:textId="77777777" w:rsidR="00881780" w:rsidRPr="00404DA5" w:rsidRDefault="00881780" w:rsidP="006F4D8F">
            <w:pPr>
              <w:jc w:val="center"/>
              <w:rPr>
                <w:rFonts w:cs="Calibri"/>
                <w:sz w:val="18"/>
                <w:szCs w:val="18"/>
              </w:rPr>
            </w:pPr>
            <w:r w:rsidRPr="00404DA5">
              <w:rPr>
                <w:rFonts w:cs="Calibri"/>
                <w:sz w:val="18"/>
                <w:szCs w:val="18"/>
              </w:rPr>
              <w:t>5 118</w:t>
            </w:r>
          </w:p>
        </w:tc>
        <w:tc>
          <w:tcPr>
            <w:tcW w:w="961" w:type="dxa"/>
            <w:shd w:val="clear" w:color="auto" w:fill="auto"/>
            <w:vAlign w:val="center"/>
          </w:tcPr>
          <w:p w14:paraId="70ED03E2" w14:textId="77777777" w:rsidR="00881780" w:rsidRPr="00404DA5" w:rsidRDefault="00881780" w:rsidP="006F4D8F">
            <w:pPr>
              <w:jc w:val="center"/>
              <w:rPr>
                <w:rFonts w:cs="Calibri"/>
                <w:sz w:val="18"/>
                <w:szCs w:val="18"/>
              </w:rPr>
            </w:pPr>
            <w:r w:rsidRPr="00404DA5">
              <w:rPr>
                <w:rFonts w:cs="Calibri"/>
                <w:sz w:val="18"/>
                <w:szCs w:val="18"/>
              </w:rPr>
              <w:t>1 521</w:t>
            </w:r>
          </w:p>
        </w:tc>
        <w:tc>
          <w:tcPr>
            <w:tcW w:w="972" w:type="dxa"/>
            <w:shd w:val="clear" w:color="auto" w:fill="auto"/>
            <w:vAlign w:val="center"/>
          </w:tcPr>
          <w:p w14:paraId="4FBAECB0" w14:textId="77777777" w:rsidR="00881780" w:rsidRPr="00404DA5" w:rsidRDefault="00881780" w:rsidP="006F4D8F">
            <w:pPr>
              <w:jc w:val="center"/>
              <w:rPr>
                <w:rFonts w:cs="Calibri"/>
                <w:sz w:val="18"/>
                <w:szCs w:val="18"/>
              </w:rPr>
            </w:pPr>
            <w:r w:rsidRPr="00404DA5">
              <w:rPr>
                <w:rFonts w:cs="Calibri"/>
                <w:sz w:val="18"/>
                <w:szCs w:val="18"/>
              </w:rPr>
              <w:t>30%</w:t>
            </w:r>
          </w:p>
        </w:tc>
        <w:tc>
          <w:tcPr>
            <w:tcW w:w="961" w:type="dxa"/>
            <w:shd w:val="clear" w:color="auto" w:fill="auto"/>
            <w:vAlign w:val="center"/>
          </w:tcPr>
          <w:p w14:paraId="5116F1E1" w14:textId="77777777" w:rsidR="00881780" w:rsidRPr="00404DA5" w:rsidRDefault="00881780" w:rsidP="006F4D8F">
            <w:pPr>
              <w:jc w:val="center"/>
              <w:rPr>
                <w:rFonts w:cs="Calibri"/>
                <w:sz w:val="18"/>
                <w:szCs w:val="18"/>
              </w:rPr>
            </w:pPr>
            <w:r w:rsidRPr="00404DA5">
              <w:rPr>
                <w:rFonts w:cs="Calibri"/>
                <w:sz w:val="18"/>
                <w:szCs w:val="18"/>
              </w:rPr>
              <w:t>1 592</w:t>
            </w:r>
          </w:p>
        </w:tc>
        <w:tc>
          <w:tcPr>
            <w:tcW w:w="972" w:type="dxa"/>
            <w:shd w:val="clear" w:color="auto" w:fill="auto"/>
            <w:vAlign w:val="center"/>
          </w:tcPr>
          <w:p w14:paraId="784A2BB0" w14:textId="77777777" w:rsidR="00881780" w:rsidRPr="00404DA5" w:rsidRDefault="00881780" w:rsidP="006F4D8F">
            <w:pPr>
              <w:jc w:val="center"/>
              <w:rPr>
                <w:rFonts w:cs="Calibri"/>
                <w:sz w:val="18"/>
                <w:szCs w:val="18"/>
              </w:rPr>
            </w:pPr>
            <w:r w:rsidRPr="00404DA5">
              <w:rPr>
                <w:rFonts w:cs="Calibri"/>
                <w:sz w:val="18"/>
                <w:szCs w:val="18"/>
              </w:rPr>
              <w:t>31%</w:t>
            </w:r>
          </w:p>
        </w:tc>
      </w:tr>
      <w:tr w:rsidR="00881780" w:rsidRPr="00F20F6A" w14:paraId="15DBDE0C" w14:textId="77777777" w:rsidTr="006F4D8F">
        <w:tc>
          <w:tcPr>
            <w:tcW w:w="817" w:type="dxa"/>
            <w:shd w:val="clear" w:color="auto" w:fill="auto"/>
            <w:vAlign w:val="center"/>
          </w:tcPr>
          <w:p w14:paraId="17283605" w14:textId="77777777" w:rsidR="00881780" w:rsidRPr="00404DA5" w:rsidRDefault="00881780" w:rsidP="006F4D8F">
            <w:pPr>
              <w:jc w:val="center"/>
              <w:rPr>
                <w:sz w:val="18"/>
                <w:szCs w:val="18"/>
              </w:rPr>
            </w:pPr>
            <w:r w:rsidRPr="00404DA5">
              <w:rPr>
                <w:sz w:val="18"/>
                <w:szCs w:val="18"/>
              </w:rPr>
              <w:t>WP</w:t>
            </w:r>
          </w:p>
        </w:tc>
        <w:tc>
          <w:tcPr>
            <w:tcW w:w="709" w:type="dxa"/>
            <w:shd w:val="clear" w:color="auto" w:fill="auto"/>
            <w:vAlign w:val="center"/>
          </w:tcPr>
          <w:p w14:paraId="7CAD27D8" w14:textId="77777777" w:rsidR="00881780" w:rsidRPr="00404DA5" w:rsidRDefault="00881780" w:rsidP="006F4D8F">
            <w:pPr>
              <w:jc w:val="center"/>
              <w:rPr>
                <w:rFonts w:cs="Calibri"/>
                <w:sz w:val="18"/>
                <w:szCs w:val="18"/>
              </w:rPr>
            </w:pPr>
            <w:r w:rsidRPr="00404DA5">
              <w:rPr>
                <w:rFonts w:cs="Calibri"/>
                <w:sz w:val="18"/>
                <w:szCs w:val="18"/>
              </w:rPr>
              <w:t>6.1</w:t>
            </w:r>
          </w:p>
        </w:tc>
        <w:tc>
          <w:tcPr>
            <w:tcW w:w="2135" w:type="dxa"/>
            <w:shd w:val="clear" w:color="auto" w:fill="auto"/>
            <w:vAlign w:val="center"/>
          </w:tcPr>
          <w:p w14:paraId="19DE74FE" w14:textId="77777777" w:rsidR="00881780" w:rsidRPr="00404DA5" w:rsidRDefault="00881780" w:rsidP="006F4D8F">
            <w:pPr>
              <w:rPr>
                <w:rFonts w:cs="Calibri"/>
                <w:sz w:val="18"/>
                <w:szCs w:val="18"/>
              </w:rPr>
            </w:pPr>
            <w:r w:rsidRPr="00404DA5">
              <w:rPr>
                <w:rFonts w:cs="Calibri"/>
                <w:sz w:val="18"/>
                <w:szCs w:val="18"/>
              </w:rPr>
              <w:t>Liczba mikroprzedsiębiorstw oraz małych</w:t>
            </w:r>
            <w:r w:rsidR="00E66B89">
              <w:rPr>
                <w:rFonts w:cs="Calibri"/>
                <w:sz w:val="18"/>
                <w:szCs w:val="18"/>
              </w:rPr>
              <w:t xml:space="preserve"> i </w:t>
            </w:r>
            <w:r w:rsidRPr="00404DA5">
              <w:rPr>
                <w:rFonts w:cs="Calibri"/>
                <w:sz w:val="18"/>
                <w:szCs w:val="18"/>
              </w:rPr>
              <w:t>średnich przedsiębiorstw objętych usługami rozwojowymi</w:t>
            </w:r>
            <w:r w:rsidR="00E66B89">
              <w:rPr>
                <w:rFonts w:cs="Calibri"/>
                <w:sz w:val="18"/>
                <w:szCs w:val="18"/>
              </w:rPr>
              <w:t xml:space="preserve"> w </w:t>
            </w:r>
            <w:r w:rsidRPr="00404DA5">
              <w:rPr>
                <w:rFonts w:cs="Calibri"/>
                <w:sz w:val="18"/>
                <w:szCs w:val="18"/>
              </w:rPr>
              <w:t>programie</w:t>
            </w:r>
          </w:p>
        </w:tc>
        <w:tc>
          <w:tcPr>
            <w:tcW w:w="836" w:type="dxa"/>
            <w:shd w:val="clear" w:color="auto" w:fill="auto"/>
            <w:vAlign w:val="center"/>
          </w:tcPr>
          <w:p w14:paraId="063B00EE" w14:textId="77777777" w:rsidR="00881780" w:rsidRPr="00404DA5" w:rsidRDefault="00881780" w:rsidP="006F4D8F">
            <w:pPr>
              <w:jc w:val="center"/>
              <w:rPr>
                <w:rFonts w:cs="Calibri"/>
                <w:sz w:val="18"/>
                <w:szCs w:val="18"/>
              </w:rPr>
            </w:pPr>
            <w:r w:rsidRPr="00404DA5">
              <w:rPr>
                <w:rFonts w:cs="Calibri"/>
                <w:sz w:val="18"/>
                <w:szCs w:val="18"/>
              </w:rPr>
              <w:t>szt.</w:t>
            </w:r>
          </w:p>
        </w:tc>
        <w:tc>
          <w:tcPr>
            <w:tcW w:w="925" w:type="dxa"/>
            <w:shd w:val="clear" w:color="auto" w:fill="auto"/>
            <w:vAlign w:val="center"/>
          </w:tcPr>
          <w:p w14:paraId="209F56F8" w14:textId="77777777" w:rsidR="00881780" w:rsidRPr="00404DA5" w:rsidRDefault="00881780" w:rsidP="006F4D8F">
            <w:pPr>
              <w:jc w:val="center"/>
              <w:rPr>
                <w:rFonts w:cs="Calibri"/>
                <w:sz w:val="18"/>
                <w:szCs w:val="18"/>
              </w:rPr>
            </w:pPr>
            <w:r w:rsidRPr="00404DA5">
              <w:rPr>
                <w:rFonts w:cs="Calibri"/>
                <w:sz w:val="18"/>
                <w:szCs w:val="18"/>
              </w:rPr>
              <w:t>5 687</w:t>
            </w:r>
          </w:p>
        </w:tc>
        <w:tc>
          <w:tcPr>
            <w:tcW w:w="961" w:type="dxa"/>
            <w:shd w:val="clear" w:color="auto" w:fill="auto"/>
            <w:vAlign w:val="center"/>
          </w:tcPr>
          <w:p w14:paraId="1BD83DE4" w14:textId="77777777" w:rsidR="00881780" w:rsidRPr="00404DA5" w:rsidRDefault="00881780" w:rsidP="006F4D8F">
            <w:pPr>
              <w:jc w:val="center"/>
              <w:rPr>
                <w:rFonts w:cs="Calibri"/>
                <w:sz w:val="18"/>
                <w:szCs w:val="18"/>
              </w:rPr>
            </w:pPr>
            <w:r w:rsidRPr="00404DA5">
              <w:rPr>
                <w:rFonts w:cs="Calibri"/>
                <w:sz w:val="18"/>
                <w:szCs w:val="18"/>
              </w:rPr>
              <w:t>2 679</w:t>
            </w:r>
          </w:p>
        </w:tc>
        <w:tc>
          <w:tcPr>
            <w:tcW w:w="972" w:type="dxa"/>
            <w:shd w:val="clear" w:color="auto" w:fill="auto"/>
            <w:vAlign w:val="center"/>
          </w:tcPr>
          <w:p w14:paraId="51CB067B" w14:textId="77777777" w:rsidR="00881780" w:rsidRPr="00404DA5" w:rsidRDefault="00881780" w:rsidP="006F4D8F">
            <w:pPr>
              <w:jc w:val="center"/>
              <w:rPr>
                <w:rFonts w:cs="Calibri"/>
                <w:sz w:val="18"/>
                <w:szCs w:val="18"/>
              </w:rPr>
            </w:pPr>
            <w:r w:rsidRPr="00404DA5">
              <w:rPr>
                <w:rFonts w:cs="Calibri"/>
                <w:sz w:val="18"/>
                <w:szCs w:val="18"/>
              </w:rPr>
              <w:t>47%</w:t>
            </w:r>
          </w:p>
        </w:tc>
        <w:tc>
          <w:tcPr>
            <w:tcW w:w="961" w:type="dxa"/>
            <w:shd w:val="clear" w:color="auto" w:fill="auto"/>
            <w:vAlign w:val="center"/>
          </w:tcPr>
          <w:p w14:paraId="74C46E6D" w14:textId="77777777" w:rsidR="00881780" w:rsidRPr="00404DA5" w:rsidRDefault="00881780" w:rsidP="006F4D8F">
            <w:pPr>
              <w:jc w:val="center"/>
              <w:rPr>
                <w:rFonts w:cs="Calibri"/>
                <w:sz w:val="18"/>
                <w:szCs w:val="18"/>
              </w:rPr>
            </w:pPr>
            <w:r w:rsidRPr="00404DA5">
              <w:rPr>
                <w:rFonts w:cs="Calibri"/>
                <w:sz w:val="18"/>
                <w:szCs w:val="18"/>
              </w:rPr>
              <w:t>1 352</w:t>
            </w:r>
          </w:p>
        </w:tc>
        <w:tc>
          <w:tcPr>
            <w:tcW w:w="972" w:type="dxa"/>
            <w:shd w:val="clear" w:color="auto" w:fill="auto"/>
            <w:vAlign w:val="center"/>
          </w:tcPr>
          <w:p w14:paraId="2ECD5252" w14:textId="77777777" w:rsidR="00881780" w:rsidRPr="00404DA5" w:rsidRDefault="00881780" w:rsidP="006F4D8F">
            <w:pPr>
              <w:jc w:val="center"/>
              <w:rPr>
                <w:rFonts w:cs="Calibri"/>
                <w:sz w:val="18"/>
                <w:szCs w:val="18"/>
              </w:rPr>
            </w:pPr>
            <w:r w:rsidRPr="00404DA5">
              <w:rPr>
                <w:rFonts w:cs="Calibri"/>
                <w:sz w:val="18"/>
                <w:szCs w:val="18"/>
              </w:rPr>
              <w:t>24,0%</w:t>
            </w:r>
          </w:p>
        </w:tc>
      </w:tr>
      <w:tr w:rsidR="00881780" w:rsidRPr="00F20F6A" w14:paraId="6B474398" w14:textId="77777777" w:rsidTr="006F4D8F">
        <w:tc>
          <w:tcPr>
            <w:tcW w:w="817" w:type="dxa"/>
            <w:shd w:val="clear" w:color="auto" w:fill="auto"/>
            <w:vAlign w:val="center"/>
          </w:tcPr>
          <w:p w14:paraId="2EE22610" w14:textId="77777777" w:rsidR="00881780" w:rsidRPr="00404DA5" w:rsidRDefault="00881780" w:rsidP="006F4D8F">
            <w:pPr>
              <w:jc w:val="center"/>
              <w:rPr>
                <w:sz w:val="18"/>
                <w:szCs w:val="18"/>
              </w:rPr>
            </w:pPr>
            <w:r w:rsidRPr="00404DA5">
              <w:rPr>
                <w:sz w:val="18"/>
                <w:szCs w:val="18"/>
              </w:rPr>
              <w:t>WP</w:t>
            </w:r>
          </w:p>
        </w:tc>
        <w:tc>
          <w:tcPr>
            <w:tcW w:w="709" w:type="dxa"/>
            <w:shd w:val="clear" w:color="auto" w:fill="auto"/>
            <w:vAlign w:val="center"/>
          </w:tcPr>
          <w:p w14:paraId="34DAF407" w14:textId="77777777" w:rsidR="00881780" w:rsidRPr="00404DA5" w:rsidRDefault="00881780" w:rsidP="006F4D8F">
            <w:pPr>
              <w:jc w:val="center"/>
              <w:rPr>
                <w:rFonts w:cs="Calibri"/>
                <w:sz w:val="18"/>
                <w:szCs w:val="18"/>
              </w:rPr>
            </w:pPr>
            <w:r w:rsidRPr="00404DA5">
              <w:rPr>
                <w:rFonts w:cs="Calibri"/>
                <w:sz w:val="18"/>
                <w:szCs w:val="18"/>
              </w:rPr>
              <w:t>6.3</w:t>
            </w:r>
          </w:p>
        </w:tc>
        <w:tc>
          <w:tcPr>
            <w:tcW w:w="2135" w:type="dxa"/>
            <w:shd w:val="clear" w:color="auto" w:fill="auto"/>
            <w:vAlign w:val="center"/>
          </w:tcPr>
          <w:p w14:paraId="4ED07D92" w14:textId="77777777" w:rsidR="00881780" w:rsidRPr="00404DA5" w:rsidRDefault="00881780" w:rsidP="006F4D8F">
            <w:pPr>
              <w:rPr>
                <w:rFonts w:cs="Calibri"/>
                <w:sz w:val="18"/>
                <w:szCs w:val="18"/>
              </w:rPr>
            </w:pPr>
            <w:r w:rsidRPr="00404DA5">
              <w:rPr>
                <w:rFonts w:cs="Calibri"/>
                <w:sz w:val="18"/>
                <w:szCs w:val="18"/>
              </w:rPr>
              <w:t xml:space="preserve">Liczba pracowników </w:t>
            </w:r>
            <w:bookmarkStart w:id="237" w:name="_Hlk3420324"/>
            <w:r w:rsidRPr="00404DA5">
              <w:rPr>
                <w:rFonts w:cs="Calibri"/>
                <w:sz w:val="18"/>
                <w:szCs w:val="18"/>
              </w:rPr>
              <w:t>zagrożonych zwolnieniem</w:t>
            </w:r>
            <w:r w:rsidR="00E66B89">
              <w:rPr>
                <w:rFonts w:cs="Calibri"/>
                <w:sz w:val="18"/>
                <w:szCs w:val="18"/>
              </w:rPr>
              <w:t xml:space="preserve"> z </w:t>
            </w:r>
            <w:r w:rsidRPr="00404DA5">
              <w:rPr>
                <w:rFonts w:cs="Calibri"/>
                <w:sz w:val="18"/>
                <w:szCs w:val="18"/>
              </w:rPr>
              <w:t xml:space="preserve">pracy </w:t>
            </w:r>
            <w:bookmarkEnd w:id="237"/>
            <w:r w:rsidRPr="00404DA5">
              <w:rPr>
                <w:rFonts w:cs="Calibri"/>
                <w:sz w:val="18"/>
                <w:szCs w:val="18"/>
              </w:rPr>
              <w:t>oraz osób zwolnionych</w:t>
            </w:r>
            <w:r w:rsidR="00E66B89">
              <w:rPr>
                <w:rFonts w:cs="Calibri"/>
                <w:sz w:val="18"/>
                <w:szCs w:val="18"/>
              </w:rPr>
              <w:t xml:space="preserve"> z </w:t>
            </w:r>
            <w:r w:rsidRPr="00404DA5">
              <w:rPr>
                <w:rFonts w:cs="Calibri"/>
                <w:sz w:val="18"/>
                <w:szCs w:val="18"/>
              </w:rPr>
              <w:t>przyczyn dotyczących zakładu pracy objętych wsparciem</w:t>
            </w:r>
            <w:r w:rsidR="00E66B89">
              <w:rPr>
                <w:rFonts w:cs="Calibri"/>
                <w:sz w:val="18"/>
                <w:szCs w:val="18"/>
              </w:rPr>
              <w:t xml:space="preserve"> w </w:t>
            </w:r>
            <w:r w:rsidRPr="00404DA5">
              <w:rPr>
                <w:rFonts w:cs="Calibri"/>
                <w:sz w:val="18"/>
                <w:szCs w:val="18"/>
              </w:rPr>
              <w:t>programie</w:t>
            </w:r>
          </w:p>
        </w:tc>
        <w:tc>
          <w:tcPr>
            <w:tcW w:w="836" w:type="dxa"/>
            <w:shd w:val="clear" w:color="auto" w:fill="auto"/>
            <w:vAlign w:val="center"/>
          </w:tcPr>
          <w:p w14:paraId="2F6E1964" w14:textId="77777777" w:rsidR="00881780" w:rsidRPr="00404DA5" w:rsidRDefault="00881780" w:rsidP="006F4D8F">
            <w:pPr>
              <w:jc w:val="center"/>
              <w:rPr>
                <w:rFonts w:cs="Calibri"/>
                <w:sz w:val="18"/>
                <w:szCs w:val="18"/>
              </w:rPr>
            </w:pPr>
            <w:r w:rsidRPr="00404DA5">
              <w:rPr>
                <w:rFonts w:cs="Calibri"/>
                <w:sz w:val="18"/>
                <w:szCs w:val="18"/>
              </w:rPr>
              <w:t>osoby</w:t>
            </w:r>
          </w:p>
        </w:tc>
        <w:tc>
          <w:tcPr>
            <w:tcW w:w="925" w:type="dxa"/>
            <w:shd w:val="clear" w:color="auto" w:fill="auto"/>
            <w:vAlign w:val="center"/>
          </w:tcPr>
          <w:p w14:paraId="2DD0D284" w14:textId="77777777" w:rsidR="00881780" w:rsidRPr="00404DA5" w:rsidRDefault="00881780" w:rsidP="006F4D8F">
            <w:pPr>
              <w:jc w:val="center"/>
              <w:rPr>
                <w:rFonts w:cs="Calibri"/>
                <w:sz w:val="18"/>
                <w:szCs w:val="18"/>
              </w:rPr>
            </w:pPr>
            <w:r w:rsidRPr="00404DA5">
              <w:rPr>
                <w:rFonts w:cs="Calibri"/>
                <w:sz w:val="18"/>
                <w:szCs w:val="18"/>
              </w:rPr>
              <w:t>1 146</w:t>
            </w:r>
          </w:p>
        </w:tc>
        <w:tc>
          <w:tcPr>
            <w:tcW w:w="961" w:type="dxa"/>
            <w:shd w:val="clear" w:color="auto" w:fill="auto"/>
            <w:vAlign w:val="center"/>
          </w:tcPr>
          <w:p w14:paraId="3F28ECD7" w14:textId="77777777" w:rsidR="00881780" w:rsidRPr="00404DA5" w:rsidRDefault="00881780" w:rsidP="006F4D8F">
            <w:pPr>
              <w:jc w:val="center"/>
              <w:rPr>
                <w:rFonts w:cs="Calibri"/>
                <w:sz w:val="18"/>
                <w:szCs w:val="18"/>
              </w:rPr>
            </w:pPr>
            <w:r w:rsidRPr="00404DA5">
              <w:rPr>
                <w:rFonts w:cs="Calibri"/>
                <w:sz w:val="18"/>
                <w:szCs w:val="18"/>
              </w:rPr>
              <w:t>0</w:t>
            </w:r>
          </w:p>
        </w:tc>
        <w:tc>
          <w:tcPr>
            <w:tcW w:w="972" w:type="dxa"/>
            <w:shd w:val="clear" w:color="auto" w:fill="auto"/>
            <w:vAlign w:val="center"/>
          </w:tcPr>
          <w:p w14:paraId="2012DA9C" w14:textId="77777777" w:rsidR="00881780" w:rsidRPr="00404DA5" w:rsidRDefault="00881780" w:rsidP="006F4D8F">
            <w:pPr>
              <w:jc w:val="center"/>
              <w:rPr>
                <w:rFonts w:cs="Calibri"/>
                <w:sz w:val="18"/>
                <w:szCs w:val="18"/>
              </w:rPr>
            </w:pPr>
            <w:r w:rsidRPr="00404DA5">
              <w:rPr>
                <w:rFonts w:cs="Calibri"/>
                <w:sz w:val="18"/>
                <w:szCs w:val="18"/>
              </w:rPr>
              <w:t>0,0%</w:t>
            </w:r>
          </w:p>
        </w:tc>
        <w:tc>
          <w:tcPr>
            <w:tcW w:w="961" w:type="dxa"/>
            <w:shd w:val="clear" w:color="auto" w:fill="auto"/>
            <w:vAlign w:val="center"/>
          </w:tcPr>
          <w:p w14:paraId="0E5958BC" w14:textId="77777777" w:rsidR="00881780" w:rsidRPr="00404DA5" w:rsidRDefault="00881780" w:rsidP="006F4D8F">
            <w:pPr>
              <w:jc w:val="center"/>
              <w:rPr>
                <w:rFonts w:cs="Calibri"/>
                <w:sz w:val="18"/>
                <w:szCs w:val="18"/>
              </w:rPr>
            </w:pPr>
            <w:r w:rsidRPr="00404DA5">
              <w:rPr>
                <w:rFonts w:cs="Calibri"/>
                <w:sz w:val="18"/>
                <w:szCs w:val="18"/>
              </w:rPr>
              <w:t>0</w:t>
            </w:r>
          </w:p>
        </w:tc>
        <w:tc>
          <w:tcPr>
            <w:tcW w:w="972" w:type="dxa"/>
            <w:shd w:val="clear" w:color="auto" w:fill="auto"/>
            <w:vAlign w:val="center"/>
          </w:tcPr>
          <w:p w14:paraId="14ADD168" w14:textId="77777777" w:rsidR="00881780" w:rsidRPr="00404DA5" w:rsidRDefault="00881780" w:rsidP="006F4D8F">
            <w:pPr>
              <w:jc w:val="center"/>
              <w:rPr>
                <w:rFonts w:cs="Calibri"/>
                <w:sz w:val="18"/>
                <w:szCs w:val="18"/>
              </w:rPr>
            </w:pPr>
            <w:r w:rsidRPr="00404DA5">
              <w:rPr>
                <w:rFonts w:cs="Calibri"/>
                <w:sz w:val="18"/>
                <w:szCs w:val="18"/>
              </w:rPr>
              <w:t>0,0%</w:t>
            </w:r>
          </w:p>
        </w:tc>
      </w:tr>
      <w:tr w:rsidR="00881780" w:rsidRPr="00F20F6A" w14:paraId="1F896535" w14:textId="77777777" w:rsidTr="006F4D8F">
        <w:tc>
          <w:tcPr>
            <w:tcW w:w="817" w:type="dxa"/>
            <w:shd w:val="clear" w:color="auto" w:fill="auto"/>
            <w:vAlign w:val="center"/>
          </w:tcPr>
          <w:p w14:paraId="27F8FCA1" w14:textId="77777777" w:rsidR="00881780" w:rsidRPr="00404DA5" w:rsidRDefault="00881780" w:rsidP="006F4D8F">
            <w:pPr>
              <w:jc w:val="center"/>
              <w:rPr>
                <w:sz w:val="18"/>
                <w:szCs w:val="18"/>
              </w:rPr>
            </w:pPr>
            <w:r w:rsidRPr="00404DA5">
              <w:rPr>
                <w:sz w:val="18"/>
                <w:szCs w:val="18"/>
              </w:rPr>
              <w:t>WR</w:t>
            </w:r>
          </w:p>
        </w:tc>
        <w:tc>
          <w:tcPr>
            <w:tcW w:w="709" w:type="dxa"/>
            <w:shd w:val="clear" w:color="auto" w:fill="auto"/>
            <w:vAlign w:val="center"/>
          </w:tcPr>
          <w:p w14:paraId="1600813C" w14:textId="77777777" w:rsidR="00881780" w:rsidRPr="00404DA5" w:rsidRDefault="00881780" w:rsidP="006F4D8F">
            <w:pPr>
              <w:jc w:val="center"/>
              <w:rPr>
                <w:rFonts w:cs="Calibri"/>
                <w:sz w:val="18"/>
                <w:szCs w:val="18"/>
              </w:rPr>
            </w:pPr>
            <w:r w:rsidRPr="00404DA5">
              <w:rPr>
                <w:rFonts w:cs="Calibri"/>
                <w:sz w:val="18"/>
                <w:szCs w:val="18"/>
              </w:rPr>
              <w:t>6.1</w:t>
            </w:r>
          </w:p>
        </w:tc>
        <w:tc>
          <w:tcPr>
            <w:tcW w:w="2135" w:type="dxa"/>
            <w:shd w:val="clear" w:color="auto" w:fill="auto"/>
            <w:vAlign w:val="center"/>
          </w:tcPr>
          <w:p w14:paraId="2C6A9EFC" w14:textId="77777777" w:rsidR="00881780" w:rsidRPr="00404DA5" w:rsidRDefault="00881780" w:rsidP="006F4D8F">
            <w:pPr>
              <w:rPr>
                <w:rFonts w:cs="Calibri"/>
                <w:sz w:val="18"/>
                <w:szCs w:val="18"/>
              </w:rPr>
            </w:pPr>
            <w:r w:rsidRPr="00404DA5">
              <w:rPr>
                <w:rFonts w:cs="Calibri"/>
                <w:sz w:val="18"/>
                <w:szCs w:val="18"/>
              </w:rPr>
              <w:t>Liczba mikroprzedsiębiorstw oraz małych</w:t>
            </w:r>
            <w:r w:rsidR="00E66B89">
              <w:rPr>
                <w:rFonts w:cs="Calibri"/>
                <w:sz w:val="18"/>
                <w:szCs w:val="18"/>
              </w:rPr>
              <w:t xml:space="preserve"> i </w:t>
            </w:r>
            <w:r w:rsidRPr="00404DA5">
              <w:rPr>
                <w:rFonts w:cs="Calibri"/>
                <w:sz w:val="18"/>
                <w:szCs w:val="18"/>
              </w:rPr>
              <w:t>średnich przedsiębiorstw, które zrealizowały swój cel rozwojowy dzięki udziałowi</w:t>
            </w:r>
            <w:r w:rsidR="00E66B89">
              <w:rPr>
                <w:rFonts w:cs="Calibri"/>
                <w:sz w:val="18"/>
                <w:szCs w:val="18"/>
              </w:rPr>
              <w:t xml:space="preserve"> w </w:t>
            </w:r>
            <w:r w:rsidRPr="00404DA5">
              <w:rPr>
                <w:rFonts w:cs="Calibri"/>
                <w:sz w:val="18"/>
                <w:szCs w:val="18"/>
              </w:rPr>
              <w:t>programie</w:t>
            </w:r>
          </w:p>
        </w:tc>
        <w:tc>
          <w:tcPr>
            <w:tcW w:w="836" w:type="dxa"/>
            <w:shd w:val="clear" w:color="auto" w:fill="auto"/>
            <w:vAlign w:val="center"/>
          </w:tcPr>
          <w:p w14:paraId="1161E844" w14:textId="77777777" w:rsidR="00881780" w:rsidRPr="00404DA5" w:rsidRDefault="00881780" w:rsidP="006F4D8F">
            <w:pPr>
              <w:jc w:val="center"/>
              <w:rPr>
                <w:rFonts w:cs="Calibri"/>
                <w:sz w:val="18"/>
                <w:szCs w:val="18"/>
              </w:rPr>
            </w:pPr>
            <w:r w:rsidRPr="00404DA5">
              <w:rPr>
                <w:rFonts w:cs="Calibri"/>
                <w:sz w:val="18"/>
                <w:szCs w:val="18"/>
              </w:rPr>
              <w:t>%</w:t>
            </w:r>
          </w:p>
        </w:tc>
        <w:tc>
          <w:tcPr>
            <w:tcW w:w="925" w:type="dxa"/>
            <w:shd w:val="clear" w:color="auto" w:fill="auto"/>
            <w:vAlign w:val="center"/>
          </w:tcPr>
          <w:p w14:paraId="74182D73" w14:textId="77777777" w:rsidR="00881780" w:rsidRPr="00404DA5" w:rsidRDefault="00881780" w:rsidP="006F4D8F">
            <w:pPr>
              <w:jc w:val="center"/>
              <w:rPr>
                <w:rFonts w:cs="Calibri"/>
                <w:sz w:val="18"/>
                <w:szCs w:val="18"/>
              </w:rPr>
            </w:pPr>
            <w:r w:rsidRPr="00404DA5">
              <w:rPr>
                <w:rFonts w:cs="Calibri"/>
                <w:sz w:val="18"/>
                <w:szCs w:val="18"/>
              </w:rPr>
              <w:t>60%</w:t>
            </w:r>
          </w:p>
        </w:tc>
        <w:tc>
          <w:tcPr>
            <w:tcW w:w="961" w:type="dxa"/>
            <w:shd w:val="clear" w:color="auto" w:fill="auto"/>
            <w:vAlign w:val="center"/>
          </w:tcPr>
          <w:p w14:paraId="5E94902F" w14:textId="77777777" w:rsidR="00881780" w:rsidRPr="00404DA5" w:rsidRDefault="00881780" w:rsidP="006F4D8F">
            <w:pPr>
              <w:jc w:val="center"/>
              <w:rPr>
                <w:rFonts w:cs="Calibri"/>
                <w:sz w:val="18"/>
                <w:szCs w:val="18"/>
              </w:rPr>
            </w:pPr>
            <w:r>
              <w:rPr>
                <w:rFonts w:cs="Calibri"/>
                <w:sz w:val="18"/>
                <w:szCs w:val="18"/>
              </w:rPr>
              <w:t>71,2%</w:t>
            </w:r>
            <w:r>
              <w:rPr>
                <w:rFonts w:cs="Calibri"/>
                <w:sz w:val="18"/>
                <w:szCs w:val="18"/>
              </w:rPr>
              <w:br/>
              <w:t>(</w:t>
            </w:r>
            <w:r w:rsidRPr="00404DA5">
              <w:rPr>
                <w:rFonts w:cs="Calibri"/>
                <w:sz w:val="18"/>
                <w:szCs w:val="18"/>
              </w:rPr>
              <w:t>1 908</w:t>
            </w:r>
            <w:r>
              <w:rPr>
                <w:rFonts w:cs="Calibri"/>
                <w:sz w:val="18"/>
                <w:szCs w:val="18"/>
              </w:rPr>
              <w:t>)</w:t>
            </w:r>
          </w:p>
        </w:tc>
        <w:tc>
          <w:tcPr>
            <w:tcW w:w="972" w:type="dxa"/>
            <w:shd w:val="clear" w:color="auto" w:fill="auto"/>
            <w:vAlign w:val="center"/>
          </w:tcPr>
          <w:p w14:paraId="046C3B36" w14:textId="77777777" w:rsidR="00881780" w:rsidRPr="00404DA5" w:rsidRDefault="00881780" w:rsidP="006F4D8F">
            <w:pPr>
              <w:jc w:val="center"/>
              <w:rPr>
                <w:rFonts w:cs="Calibri"/>
                <w:sz w:val="18"/>
                <w:szCs w:val="18"/>
              </w:rPr>
            </w:pPr>
            <w:r w:rsidRPr="00404DA5">
              <w:rPr>
                <w:rFonts w:cs="Calibri"/>
                <w:sz w:val="18"/>
                <w:szCs w:val="18"/>
              </w:rPr>
              <w:t>119,0%</w:t>
            </w:r>
          </w:p>
        </w:tc>
        <w:tc>
          <w:tcPr>
            <w:tcW w:w="961" w:type="dxa"/>
            <w:shd w:val="clear" w:color="auto" w:fill="auto"/>
            <w:vAlign w:val="center"/>
          </w:tcPr>
          <w:p w14:paraId="47283BD1" w14:textId="77777777" w:rsidR="00881780" w:rsidRPr="00404DA5" w:rsidRDefault="00881780" w:rsidP="006F4D8F">
            <w:pPr>
              <w:jc w:val="center"/>
              <w:rPr>
                <w:rFonts w:cs="Calibri"/>
                <w:sz w:val="18"/>
                <w:szCs w:val="18"/>
              </w:rPr>
            </w:pPr>
            <w:r>
              <w:rPr>
                <w:rFonts w:cs="Calibri"/>
                <w:sz w:val="18"/>
                <w:szCs w:val="18"/>
              </w:rPr>
              <w:t>74,7%</w:t>
            </w:r>
            <w:r>
              <w:rPr>
                <w:rFonts w:cs="Calibri"/>
                <w:sz w:val="18"/>
                <w:szCs w:val="18"/>
              </w:rPr>
              <w:br/>
              <w:t>(</w:t>
            </w:r>
            <w:r w:rsidRPr="00404DA5">
              <w:rPr>
                <w:rFonts w:cs="Calibri"/>
                <w:sz w:val="18"/>
                <w:szCs w:val="18"/>
              </w:rPr>
              <w:t>1 013</w:t>
            </w:r>
            <w:r>
              <w:rPr>
                <w:rFonts w:cs="Calibri"/>
                <w:sz w:val="18"/>
                <w:szCs w:val="18"/>
              </w:rPr>
              <w:t>)</w:t>
            </w:r>
          </w:p>
        </w:tc>
        <w:tc>
          <w:tcPr>
            <w:tcW w:w="972" w:type="dxa"/>
            <w:shd w:val="clear" w:color="auto" w:fill="auto"/>
            <w:vAlign w:val="center"/>
          </w:tcPr>
          <w:p w14:paraId="6D8B996A" w14:textId="77777777" w:rsidR="00881780" w:rsidRPr="00404DA5" w:rsidRDefault="00881780" w:rsidP="006F4D8F">
            <w:pPr>
              <w:jc w:val="center"/>
              <w:rPr>
                <w:rFonts w:cs="Calibri"/>
                <w:sz w:val="18"/>
                <w:szCs w:val="18"/>
              </w:rPr>
            </w:pPr>
            <w:r w:rsidRPr="00404DA5">
              <w:rPr>
                <w:rFonts w:cs="Calibri"/>
                <w:sz w:val="18"/>
                <w:szCs w:val="18"/>
              </w:rPr>
              <w:t>125,0%</w:t>
            </w:r>
          </w:p>
        </w:tc>
      </w:tr>
      <w:tr w:rsidR="00881780" w:rsidRPr="00F20F6A" w14:paraId="2894E9A7" w14:textId="77777777" w:rsidTr="006F4D8F">
        <w:tc>
          <w:tcPr>
            <w:tcW w:w="817" w:type="dxa"/>
            <w:shd w:val="clear" w:color="auto" w:fill="auto"/>
            <w:vAlign w:val="center"/>
          </w:tcPr>
          <w:p w14:paraId="74FC52BB" w14:textId="77777777" w:rsidR="00881780" w:rsidRPr="00404DA5" w:rsidRDefault="00881780" w:rsidP="006F4D8F">
            <w:pPr>
              <w:jc w:val="center"/>
              <w:rPr>
                <w:sz w:val="18"/>
                <w:szCs w:val="18"/>
              </w:rPr>
            </w:pPr>
            <w:r w:rsidRPr="00404DA5">
              <w:rPr>
                <w:sz w:val="18"/>
                <w:szCs w:val="18"/>
              </w:rPr>
              <w:lastRenderedPageBreak/>
              <w:t>WR</w:t>
            </w:r>
          </w:p>
        </w:tc>
        <w:tc>
          <w:tcPr>
            <w:tcW w:w="709" w:type="dxa"/>
            <w:shd w:val="clear" w:color="auto" w:fill="auto"/>
            <w:vAlign w:val="center"/>
          </w:tcPr>
          <w:p w14:paraId="0EFEBDC8" w14:textId="77777777" w:rsidR="00881780" w:rsidRPr="00404DA5" w:rsidRDefault="00881780" w:rsidP="006F4D8F">
            <w:pPr>
              <w:jc w:val="center"/>
              <w:rPr>
                <w:rFonts w:cs="Calibri"/>
                <w:sz w:val="18"/>
                <w:szCs w:val="18"/>
              </w:rPr>
            </w:pPr>
            <w:r w:rsidRPr="00404DA5">
              <w:rPr>
                <w:rFonts w:cs="Calibri"/>
                <w:sz w:val="18"/>
                <w:szCs w:val="18"/>
              </w:rPr>
              <w:t>6.3</w:t>
            </w:r>
          </w:p>
        </w:tc>
        <w:tc>
          <w:tcPr>
            <w:tcW w:w="2135" w:type="dxa"/>
            <w:shd w:val="clear" w:color="auto" w:fill="auto"/>
            <w:vAlign w:val="center"/>
          </w:tcPr>
          <w:p w14:paraId="5DC36038" w14:textId="77777777" w:rsidR="00881780" w:rsidRPr="00404DA5" w:rsidRDefault="00881780" w:rsidP="006F4D8F">
            <w:pPr>
              <w:rPr>
                <w:rFonts w:cs="Calibri"/>
                <w:sz w:val="18"/>
                <w:szCs w:val="18"/>
              </w:rPr>
            </w:pPr>
            <w:r w:rsidRPr="00404DA5">
              <w:rPr>
                <w:rFonts w:cs="Calibri"/>
                <w:sz w:val="18"/>
                <w:szCs w:val="18"/>
              </w:rPr>
              <w:t>Liczba osób, które po opuszczeniu programu podjęły pracę lub kontynuowały zatrudnienie</w:t>
            </w:r>
          </w:p>
        </w:tc>
        <w:tc>
          <w:tcPr>
            <w:tcW w:w="836" w:type="dxa"/>
            <w:shd w:val="clear" w:color="auto" w:fill="auto"/>
            <w:vAlign w:val="center"/>
          </w:tcPr>
          <w:p w14:paraId="2B4F37E2" w14:textId="77777777" w:rsidR="00881780" w:rsidRPr="00404DA5" w:rsidRDefault="00881780" w:rsidP="006F4D8F">
            <w:pPr>
              <w:jc w:val="center"/>
              <w:rPr>
                <w:rFonts w:cs="Calibri"/>
                <w:sz w:val="18"/>
                <w:szCs w:val="18"/>
              </w:rPr>
            </w:pPr>
            <w:r w:rsidRPr="00404DA5">
              <w:rPr>
                <w:rFonts w:cs="Calibri"/>
                <w:sz w:val="18"/>
                <w:szCs w:val="18"/>
              </w:rPr>
              <w:t>%</w:t>
            </w:r>
          </w:p>
        </w:tc>
        <w:tc>
          <w:tcPr>
            <w:tcW w:w="925" w:type="dxa"/>
            <w:shd w:val="clear" w:color="auto" w:fill="auto"/>
            <w:vAlign w:val="center"/>
          </w:tcPr>
          <w:p w14:paraId="191FB664" w14:textId="77777777" w:rsidR="00881780" w:rsidRPr="00404DA5" w:rsidRDefault="00881780" w:rsidP="006F4D8F">
            <w:pPr>
              <w:jc w:val="center"/>
              <w:rPr>
                <w:rFonts w:cs="Calibri"/>
                <w:sz w:val="18"/>
                <w:szCs w:val="18"/>
              </w:rPr>
            </w:pPr>
            <w:r w:rsidRPr="00404DA5">
              <w:rPr>
                <w:rFonts w:cs="Calibri"/>
                <w:sz w:val="18"/>
                <w:szCs w:val="18"/>
              </w:rPr>
              <w:t>71%</w:t>
            </w:r>
          </w:p>
        </w:tc>
        <w:tc>
          <w:tcPr>
            <w:tcW w:w="961" w:type="dxa"/>
            <w:shd w:val="clear" w:color="auto" w:fill="auto"/>
            <w:vAlign w:val="center"/>
          </w:tcPr>
          <w:p w14:paraId="70A4D345" w14:textId="77777777" w:rsidR="00881780" w:rsidRPr="00404DA5" w:rsidRDefault="00881780" w:rsidP="006F4D8F">
            <w:pPr>
              <w:jc w:val="center"/>
              <w:rPr>
                <w:rFonts w:cs="Calibri"/>
                <w:sz w:val="18"/>
                <w:szCs w:val="18"/>
              </w:rPr>
            </w:pPr>
            <w:r w:rsidRPr="00404DA5">
              <w:rPr>
                <w:rFonts w:cs="Calibri"/>
                <w:sz w:val="18"/>
                <w:szCs w:val="18"/>
              </w:rPr>
              <w:t>0</w:t>
            </w:r>
          </w:p>
        </w:tc>
        <w:tc>
          <w:tcPr>
            <w:tcW w:w="972" w:type="dxa"/>
            <w:shd w:val="clear" w:color="auto" w:fill="auto"/>
            <w:vAlign w:val="center"/>
          </w:tcPr>
          <w:p w14:paraId="7E4A0010" w14:textId="77777777" w:rsidR="00881780" w:rsidRPr="00404DA5" w:rsidRDefault="00881780" w:rsidP="006F4D8F">
            <w:pPr>
              <w:jc w:val="center"/>
              <w:rPr>
                <w:rFonts w:cs="Calibri"/>
                <w:sz w:val="18"/>
                <w:szCs w:val="18"/>
              </w:rPr>
            </w:pPr>
            <w:r w:rsidRPr="00404DA5">
              <w:rPr>
                <w:rFonts w:cs="Calibri"/>
                <w:sz w:val="18"/>
                <w:szCs w:val="18"/>
              </w:rPr>
              <w:t>0,0%</w:t>
            </w:r>
          </w:p>
        </w:tc>
        <w:tc>
          <w:tcPr>
            <w:tcW w:w="961" w:type="dxa"/>
            <w:shd w:val="clear" w:color="auto" w:fill="auto"/>
            <w:vAlign w:val="center"/>
          </w:tcPr>
          <w:p w14:paraId="77F16BB5" w14:textId="77777777" w:rsidR="00881780" w:rsidRPr="00404DA5" w:rsidRDefault="00881780" w:rsidP="006F4D8F">
            <w:pPr>
              <w:jc w:val="center"/>
              <w:rPr>
                <w:rFonts w:cs="Calibri"/>
                <w:sz w:val="18"/>
                <w:szCs w:val="18"/>
              </w:rPr>
            </w:pPr>
            <w:r w:rsidRPr="00404DA5">
              <w:rPr>
                <w:rFonts w:cs="Calibri"/>
                <w:sz w:val="18"/>
                <w:szCs w:val="18"/>
              </w:rPr>
              <w:t>0</w:t>
            </w:r>
          </w:p>
        </w:tc>
        <w:tc>
          <w:tcPr>
            <w:tcW w:w="972" w:type="dxa"/>
            <w:shd w:val="clear" w:color="auto" w:fill="auto"/>
            <w:vAlign w:val="center"/>
          </w:tcPr>
          <w:p w14:paraId="03BDEF60" w14:textId="77777777" w:rsidR="00881780" w:rsidRPr="00404DA5" w:rsidRDefault="00881780" w:rsidP="006F4D8F">
            <w:pPr>
              <w:jc w:val="center"/>
              <w:rPr>
                <w:rFonts w:cs="Calibri"/>
                <w:sz w:val="18"/>
                <w:szCs w:val="18"/>
              </w:rPr>
            </w:pPr>
            <w:r w:rsidRPr="00404DA5">
              <w:rPr>
                <w:rFonts w:cs="Calibri"/>
                <w:sz w:val="18"/>
                <w:szCs w:val="18"/>
              </w:rPr>
              <w:t>0,0%</w:t>
            </w:r>
          </w:p>
        </w:tc>
      </w:tr>
      <w:tr w:rsidR="00881780" w:rsidRPr="00F20F6A" w14:paraId="4423C66D" w14:textId="77777777" w:rsidTr="006F4D8F">
        <w:tc>
          <w:tcPr>
            <w:tcW w:w="817" w:type="dxa"/>
            <w:shd w:val="clear" w:color="auto" w:fill="auto"/>
            <w:vAlign w:val="center"/>
          </w:tcPr>
          <w:p w14:paraId="73D472D9" w14:textId="77777777" w:rsidR="00881780" w:rsidRPr="00404DA5" w:rsidRDefault="00881780" w:rsidP="006F4D8F">
            <w:pPr>
              <w:jc w:val="center"/>
              <w:rPr>
                <w:sz w:val="18"/>
                <w:szCs w:val="18"/>
              </w:rPr>
            </w:pPr>
            <w:r w:rsidRPr="00404DA5">
              <w:rPr>
                <w:sz w:val="18"/>
                <w:szCs w:val="18"/>
              </w:rPr>
              <w:t>WR</w:t>
            </w:r>
          </w:p>
        </w:tc>
        <w:tc>
          <w:tcPr>
            <w:tcW w:w="709" w:type="dxa"/>
            <w:shd w:val="clear" w:color="auto" w:fill="auto"/>
            <w:vAlign w:val="center"/>
          </w:tcPr>
          <w:p w14:paraId="3846DE1A" w14:textId="77777777" w:rsidR="00881780" w:rsidRPr="00404DA5" w:rsidRDefault="00881780" w:rsidP="006F4D8F">
            <w:pPr>
              <w:jc w:val="center"/>
              <w:rPr>
                <w:rFonts w:cs="Calibri"/>
                <w:sz w:val="18"/>
                <w:szCs w:val="18"/>
              </w:rPr>
            </w:pPr>
            <w:r w:rsidRPr="00404DA5">
              <w:rPr>
                <w:rFonts w:cs="Calibri"/>
                <w:sz w:val="18"/>
                <w:szCs w:val="18"/>
              </w:rPr>
              <w:t>6.1</w:t>
            </w:r>
          </w:p>
          <w:p w14:paraId="11C35B3F" w14:textId="77777777" w:rsidR="00881780" w:rsidRPr="00404DA5" w:rsidRDefault="00881780" w:rsidP="006F4D8F">
            <w:pPr>
              <w:jc w:val="center"/>
              <w:rPr>
                <w:rFonts w:cs="Calibri"/>
                <w:sz w:val="18"/>
                <w:szCs w:val="18"/>
              </w:rPr>
            </w:pPr>
            <w:r w:rsidRPr="00404DA5">
              <w:rPr>
                <w:rFonts w:cs="Calibri"/>
                <w:sz w:val="18"/>
                <w:szCs w:val="18"/>
              </w:rPr>
              <w:t>6.2</w:t>
            </w:r>
          </w:p>
        </w:tc>
        <w:tc>
          <w:tcPr>
            <w:tcW w:w="2135" w:type="dxa"/>
            <w:shd w:val="clear" w:color="auto" w:fill="auto"/>
            <w:vAlign w:val="center"/>
          </w:tcPr>
          <w:p w14:paraId="0E904486" w14:textId="77777777" w:rsidR="00881780" w:rsidRPr="00404DA5" w:rsidRDefault="00881780" w:rsidP="006F4D8F">
            <w:pPr>
              <w:rPr>
                <w:rFonts w:cs="Calibri"/>
                <w:sz w:val="18"/>
                <w:szCs w:val="18"/>
              </w:rPr>
            </w:pPr>
            <w:r w:rsidRPr="00404DA5">
              <w:rPr>
                <w:rFonts w:cs="Calibri"/>
                <w:sz w:val="18"/>
                <w:szCs w:val="18"/>
              </w:rPr>
              <w:t>Liczba osób, które uzyskały kwalifikacje lub nabyły kompetencje po opuszczeniu programu</w:t>
            </w:r>
          </w:p>
        </w:tc>
        <w:tc>
          <w:tcPr>
            <w:tcW w:w="836" w:type="dxa"/>
            <w:shd w:val="clear" w:color="auto" w:fill="auto"/>
            <w:vAlign w:val="center"/>
          </w:tcPr>
          <w:p w14:paraId="4FA18AD7" w14:textId="77777777" w:rsidR="00881780" w:rsidRPr="00404DA5" w:rsidRDefault="00881780" w:rsidP="006F4D8F">
            <w:pPr>
              <w:jc w:val="center"/>
              <w:rPr>
                <w:rFonts w:cs="Calibri"/>
                <w:sz w:val="18"/>
                <w:szCs w:val="18"/>
              </w:rPr>
            </w:pPr>
            <w:r w:rsidRPr="00404DA5">
              <w:rPr>
                <w:rFonts w:cs="Calibri"/>
                <w:sz w:val="18"/>
                <w:szCs w:val="18"/>
              </w:rPr>
              <w:t>%</w:t>
            </w:r>
          </w:p>
        </w:tc>
        <w:tc>
          <w:tcPr>
            <w:tcW w:w="925" w:type="dxa"/>
            <w:shd w:val="clear" w:color="auto" w:fill="auto"/>
            <w:vAlign w:val="center"/>
          </w:tcPr>
          <w:p w14:paraId="035842DC" w14:textId="77777777" w:rsidR="00881780" w:rsidRPr="00404DA5" w:rsidRDefault="00881780" w:rsidP="006F4D8F">
            <w:pPr>
              <w:jc w:val="center"/>
              <w:rPr>
                <w:rFonts w:cs="Calibri"/>
                <w:sz w:val="18"/>
                <w:szCs w:val="18"/>
              </w:rPr>
            </w:pPr>
            <w:r w:rsidRPr="00404DA5">
              <w:rPr>
                <w:rFonts w:cs="Calibri"/>
                <w:sz w:val="18"/>
                <w:szCs w:val="18"/>
              </w:rPr>
              <w:t>80%</w:t>
            </w:r>
          </w:p>
        </w:tc>
        <w:tc>
          <w:tcPr>
            <w:tcW w:w="961" w:type="dxa"/>
            <w:shd w:val="clear" w:color="auto" w:fill="auto"/>
            <w:vAlign w:val="center"/>
          </w:tcPr>
          <w:p w14:paraId="6C09A2D9" w14:textId="77777777" w:rsidR="00881780" w:rsidRPr="00404DA5" w:rsidRDefault="00881780" w:rsidP="006F4D8F">
            <w:pPr>
              <w:jc w:val="center"/>
              <w:rPr>
                <w:rFonts w:cs="Calibri"/>
                <w:sz w:val="18"/>
                <w:szCs w:val="18"/>
              </w:rPr>
            </w:pPr>
            <w:r>
              <w:rPr>
                <w:rFonts w:cs="Calibri"/>
                <w:sz w:val="18"/>
                <w:szCs w:val="18"/>
              </w:rPr>
              <w:t>42,8%</w:t>
            </w:r>
            <w:r>
              <w:rPr>
                <w:rFonts w:cs="Calibri"/>
                <w:sz w:val="18"/>
                <w:szCs w:val="18"/>
              </w:rPr>
              <w:br/>
              <w:t>(</w:t>
            </w:r>
            <w:r w:rsidRPr="00404DA5">
              <w:rPr>
                <w:rFonts w:cs="Calibri"/>
                <w:sz w:val="18"/>
                <w:szCs w:val="18"/>
              </w:rPr>
              <w:t>6 761</w:t>
            </w:r>
            <w:r>
              <w:rPr>
                <w:rFonts w:cs="Calibri"/>
                <w:sz w:val="18"/>
                <w:szCs w:val="18"/>
              </w:rPr>
              <w:t>)</w:t>
            </w:r>
          </w:p>
        </w:tc>
        <w:tc>
          <w:tcPr>
            <w:tcW w:w="972" w:type="dxa"/>
            <w:shd w:val="clear" w:color="auto" w:fill="auto"/>
            <w:vAlign w:val="center"/>
          </w:tcPr>
          <w:p w14:paraId="48B95020" w14:textId="77777777" w:rsidR="00881780" w:rsidRPr="00404DA5" w:rsidRDefault="00881780" w:rsidP="006F4D8F">
            <w:pPr>
              <w:jc w:val="center"/>
              <w:rPr>
                <w:rFonts w:cs="Calibri"/>
                <w:sz w:val="18"/>
                <w:szCs w:val="18"/>
              </w:rPr>
            </w:pPr>
            <w:r w:rsidRPr="00404DA5">
              <w:rPr>
                <w:rFonts w:cs="Calibri"/>
                <w:sz w:val="18"/>
                <w:szCs w:val="18"/>
              </w:rPr>
              <w:t>53%</w:t>
            </w:r>
          </w:p>
        </w:tc>
        <w:tc>
          <w:tcPr>
            <w:tcW w:w="961" w:type="dxa"/>
            <w:shd w:val="clear" w:color="auto" w:fill="auto"/>
            <w:vAlign w:val="center"/>
          </w:tcPr>
          <w:p w14:paraId="0843A7AE" w14:textId="77777777" w:rsidR="00881780" w:rsidRPr="00404DA5" w:rsidRDefault="00881780" w:rsidP="006F4D8F">
            <w:pPr>
              <w:jc w:val="center"/>
              <w:rPr>
                <w:rFonts w:cs="Calibri"/>
                <w:sz w:val="18"/>
                <w:szCs w:val="18"/>
              </w:rPr>
            </w:pPr>
            <w:r>
              <w:rPr>
                <w:rFonts w:cs="Calibri"/>
                <w:sz w:val="18"/>
                <w:szCs w:val="18"/>
              </w:rPr>
              <w:t>52,2%</w:t>
            </w:r>
            <w:r>
              <w:rPr>
                <w:rFonts w:cs="Calibri"/>
                <w:sz w:val="18"/>
                <w:szCs w:val="18"/>
              </w:rPr>
              <w:br/>
              <w:t>(</w:t>
            </w:r>
            <w:r w:rsidRPr="00404DA5">
              <w:rPr>
                <w:rFonts w:cs="Calibri"/>
                <w:sz w:val="18"/>
                <w:szCs w:val="18"/>
              </w:rPr>
              <w:t>2</w:t>
            </w:r>
            <w:r>
              <w:rPr>
                <w:rFonts w:cs="Calibri"/>
                <w:sz w:val="18"/>
                <w:szCs w:val="18"/>
              </w:rPr>
              <w:t> </w:t>
            </w:r>
            <w:r w:rsidRPr="00404DA5">
              <w:rPr>
                <w:rFonts w:cs="Calibri"/>
                <w:sz w:val="18"/>
                <w:szCs w:val="18"/>
              </w:rPr>
              <w:t>459</w:t>
            </w:r>
            <w:r>
              <w:rPr>
                <w:rFonts w:cs="Calibri"/>
                <w:sz w:val="18"/>
                <w:szCs w:val="18"/>
              </w:rPr>
              <w:t>)</w:t>
            </w:r>
          </w:p>
        </w:tc>
        <w:tc>
          <w:tcPr>
            <w:tcW w:w="972" w:type="dxa"/>
            <w:shd w:val="clear" w:color="auto" w:fill="auto"/>
            <w:vAlign w:val="center"/>
          </w:tcPr>
          <w:p w14:paraId="26847FB3" w14:textId="77777777" w:rsidR="00881780" w:rsidRPr="00404DA5" w:rsidRDefault="00881780" w:rsidP="006F4D8F">
            <w:pPr>
              <w:jc w:val="center"/>
              <w:rPr>
                <w:rFonts w:cs="Calibri"/>
                <w:sz w:val="18"/>
                <w:szCs w:val="18"/>
              </w:rPr>
            </w:pPr>
            <w:r w:rsidRPr="00404DA5">
              <w:rPr>
                <w:rFonts w:cs="Calibri"/>
                <w:sz w:val="18"/>
                <w:szCs w:val="18"/>
              </w:rPr>
              <w:t>65%</w:t>
            </w:r>
          </w:p>
        </w:tc>
      </w:tr>
    </w:tbl>
    <w:p w14:paraId="2B80199E"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6C6389F4" w14:textId="77777777" w:rsidR="00881780" w:rsidRPr="00404DA5" w:rsidRDefault="00881780" w:rsidP="00881780">
      <w:pPr>
        <w:rPr>
          <w:rFonts w:cs="Calibri"/>
          <w:szCs w:val="20"/>
        </w:rPr>
      </w:pPr>
      <w:r w:rsidRPr="00404DA5">
        <w:rPr>
          <w:rFonts w:cs="Calibri"/>
          <w:szCs w:val="20"/>
        </w:rPr>
        <w:t>Na wsparcie realizowane</w:t>
      </w:r>
      <w:r w:rsidR="00E66B89">
        <w:rPr>
          <w:rFonts w:cs="Calibri"/>
          <w:szCs w:val="20"/>
        </w:rPr>
        <w:t xml:space="preserve"> w </w:t>
      </w:r>
      <w:r w:rsidRPr="00404DA5">
        <w:rPr>
          <w:rFonts w:cs="Calibri"/>
          <w:szCs w:val="20"/>
        </w:rPr>
        <w:t>ramach PI 8v przewidziano 35 100 000,00 EUR [alokacja UE ogółem (z RW)], tj. 151 028 280,00 zł</w:t>
      </w:r>
      <w:r>
        <w:rPr>
          <w:rStyle w:val="Odwoanieprzypisudolnego"/>
          <w:szCs w:val="20"/>
        </w:rPr>
        <w:footnoteReference w:id="79"/>
      </w:r>
      <w:r w:rsidRPr="00404DA5">
        <w:rPr>
          <w:rFonts w:cs="Calibri"/>
          <w:szCs w:val="20"/>
        </w:rPr>
        <w:t>; 32 648 043,00 EUR [alokacja główna UE (bez RW)], tj. 140 477 99, 42 zł</w:t>
      </w:r>
      <w:r>
        <w:rPr>
          <w:rStyle w:val="Odwoanieprzypisudolnego"/>
          <w:szCs w:val="20"/>
        </w:rPr>
        <w:footnoteReference w:id="80"/>
      </w:r>
      <w:r w:rsidRPr="00404DA5">
        <w:rPr>
          <w:rFonts w:cs="Calibri"/>
          <w:szCs w:val="20"/>
        </w:rPr>
        <w:t>,</w:t>
      </w:r>
      <w:r w:rsidR="00E66B89">
        <w:rPr>
          <w:rFonts w:cs="Calibri"/>
          <w:szCs w:val="20"/>
        </w:rPr>
        <w:t xml:space="preserve"> w </w:t>
      </w:r>
      <w:r w:rsidRPr="00404DA5">
        <w:rPr>
          <w:rFonts w:cs="Calibri"/>
          <w:szCs w:val="20"/>
        </w:rPr>
        <w:t>tym:</w:t>
      </w:r>
    </w:p>
    <w:p w14:paraId="41B04163" w14:textId="77777777" w:rsidR="00881780" w:rsidRPr="00404DA5" w:rsidRDefault="00881780" w:rsidP="0013771A">
      <w:pPr>
        <w:pStyle w:val="Akapitzlist"/>
        <w:numPr>
          <w:ilvl w:val="0"/>
          <w:numId w:val="63"/>
        </w:numPr>
        <w:spacing w:after="120" w:line="288" w:lineRule="auto"/>
        <w:contextualSpacing w:val="0"/>
        <w:rPr>
          <w:rFonts w:ascii="Lato" w:hAnsi="Lato" w:cs="Calibri"/>
          <w:sz w:val="20"/>
          <w:szCs w:val="20"/>
        </w:rPr>
      </w:pPr>
      <w:r w:rsidRPr="00404DA5">
        <w:rPr>
          <w:rFonts w:ascii="Lato" w:hAnsi="Lato" w:cs="Calibri"/>
          <w:sz w:val="20"/>
          <w:szCs w:val="20"/>
        </w:rPr>
        <w:t xml:space="preserve">na Działanie 6.1 </w:t>
      </w:r>
      <w:r w:rsidRPr="00404DA5">
        <w:rPr>
          <w:rFonts w:ascii="Lato" w:hAnsi="Lato" w:cs="Calibri"/>
          <w:sz w:val="20"/>
          <w:szCs w:val="20"/>
        </w:rPr>
        <w:noBreakHyphen/>
        <w:t xml:space="preserve"> 27 99 000,00 EUR </w:t>
      </w:r>
      <w:r w:rsidR="0013771A">
        <w:rPr>
          <w:rFonts w:ascii="Lato" w:hAnsi="Lato" w:cs="Calibri"/>
          <w:sz w:val="20"/>
          <w:szCs w:val="20"/>
        </w:rPr>
        <w:t>(</w:t>
      </w:r>
      <w:r w:rsidRPr="00404DA5">
        <w:rPr>
          <w:rFonts w:ascii="Lato" w:hAnsi="Lato" w:cs="Calibri"/>
          <w:sz w:val="20"/>
          <w:szCs w:val="20"/>
        </w:rPr>
        <w:t>alokacja UE ogółem (z RW) na Działanie po uwzględnieniu zmian</w:t>
      </w:r>
      <w:r w:rsidR="00E66B89">
        <w:rPr>
          <w:rFonts w:ascii="Lato" w:hAnsi="Lato" w:cs="Calibri"/>
          <w:sz w:val="20"/>
          <w:szCs w:val="20"/>
        </w:rPr>
        <w:t xml:space="preserve"> w </w:t>
      </w:r>
      <w:r w:rsidRPr="00404DA5">
        <w:rPr>
          <w:rFonts w:ascii="Lato" w:hAnsi="Lato" w:cs="Calibri"/>
          <w:sz w:val="20"/>
          <w:szCs w:val="20"/>
        </w:rPr>
        <w:t>Programie</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 xml:space="preserve">tj. 120 435 372,00 zł; 26 034 722,00 EUR </w:t>
      </w:r>
      <w:r w:rsidR="0013771A">
        <w:rPr>
          <w:rFonts w:ascii="Lato" w:hAnsi="Lato" w:cs="Calibri"/>
          <w:sz w:val="20"/>
          <w:szCs w:val="20"/>
        </w:rPr>
        <w:t>(</w:t>
      </w:r>
      <w:r w:rsidRPr="00404DA5">
        <w:rPr>
          <w:rFonts w:ascii="Lato" w:hAnsi="Lato" w:cs="Calibri"/>
          <w:sz w:val="20"/>
          <w:szCs w:val="20"/>
        </w:rPr>
        <w:t>alokacja główna UE (bez RW</w:t>
      </w:r>
      <w:r w:rsidR="0013771A" w:rsidRPr="00404DA5">
        <w:rPr>
          <w:rFonts w:ascii="Lato" w:hAnsi="Lato" w:cs="Calibri"/>
          <w:sz w:val="20"/>
          <w:szCs w:val="20"/>
        </w:rPr>
        <w:t>)</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tj. 112 022 201,82 zł</w:t>
      </w:r>
      <w:r>
        <w:rPr>
          <w:rFonts w:ascii="Lato" w:hAnsi="Lato" w:cs="Calibri"/>
          <w:sz w:val="20"/>
          <w:szCs w:val="20"/>
        </w:rPr>
        <w:t>;</w:t>
      </w:r>
    </w:p>
    <w:p w14:paraId="21C95499" w14:textId="77777777" w:rsidR="00881780" w:rsidRPr="00404DA5" w:rsidRDefault="00881780" w:rsidP="0013771A">
      <w:pPr>
        <w:pStyle w:val="Akapitzlist"/>
        <w:numPr>
          <w:ilvl w:val="0"/>
          <w:numId w:val="63"/>
        </w:numPr>
        <w:spacing w:after="120" w:line="288" w:lineRule="auto"/>
        <w:contextualSpacing w:val="0"/>
        <w:rPr>
          <w:rFonts w:ascii="Lato" w:hAnsi="Lato" w:cs="Calibri"/>
          <w:sz w:val="20"/>
          <w:szCs w:val="20"/>
        </w:rPr>
      </w:pPr>
      <w:r w:rsidRPr="00404DA5">
        <w:rPr>
          <w:rFonts w:ascii="Lato" w:hAnsi="Lato" w:cs="Calibri"/>
          <w:sz w:val="20"/>
          <w:szCs w:val="20"/>
        </w:rPr>
        <w:t xml:space="preserve">na Działanie 6.2 – 3 600 000,00 EUR </w:t>
      </w:r>
      <w:r w:rsidR="0013771A">
        <w:rPr>
          <w:rFonts w:ascii="Lato" w:hAnsi="Lato" w:cs="Calibri"/>
          <w:sz w:val="20"/>
          <w:szCs w:val="20"/>
        </w:rPr>
        <w:t>(</w:t>
      </w:r>
      <w:r w:rsidRPr="00404DA5">
        <w:rPr>
          <w:rFonts w:ascii="Lato" w:hAnsi="Lato" w:cs="Calibri"/>
          <w:sz w:val="20"/>
          <w:szCs w:val="20"/>
        </w:rPr>
        <w:t>alokacja UE ogółem (z RW) na Działanie po uwzględnieniu zmian</w:t>
      </w:r>
      <w:r w:rsidR="00E66B89">
        <w:rPr>
          <w:rFonts w:ascii="Lato" w:hAnsi="Lato" w:cs="Calibri"/>
          <w:sz w:val="20"/>
          <w:szCs w:val="20"/>
        </w:rPr>
        <w:t xml:space="preserve"> w </w:t>
      </w:r>
      <w:r w:rsidRPr="00404DA5">
        <w:rPr>
          <w:rFonts w:ascii="Lato" w:hAnsi="Lato" w:cs="Calibri"/>
          <w:sz w:val="20"/>
          <w:szCs w:val="20"/>
        </w:rPr>
        <w:t>Programie</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 xml:space="preserve">tj. 15 490 080,00 zł; 3 348 517,00 EUR </w:t>
      </w:r>
      <w:r w:rsidR="0013771A">
        <w:rPr>
          <w:rFonts w:ascii="Lato" w:hAnsi="Lato" w:cs="Calibri"/>
          <w:sz w:val="20"/>
          <w:szCs w:val="20"/>
        </w:rPr>
        <w:t>(</w:t>
      </w:r>
      <w:r w:rsidRPr="00404DA5">
        <w:rPr>
          <w:rFonts w:ascii="Lato" w:hAnsi="Lato" w:cs="Calibri"/>
          <w:sz w:val="20"/>
          <w:szCs w:val="20"/>
        </w:rPr>
        <w:t>alokacja główna UE bez (RW</w:t>
      </w:r>
      <w:r w:rsidR="0013771A" w:rsidRPr="00404DA5">
        <w:rPr>
          <w:rFonts w:ascii="Lato" w:hAnsi="Lato" w:cs="Calibri"/>
          <w:sz w:val="20"/>
          <w:szCs w:val="20"/>
        </w:rPr>
        <w:t>)</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tj. 14 407 998,95 zł</w:t>
      </w:r>
      <w:r>
        <w:rPr>
          <w:rFonts w:ascii="Lato" w:hAnsi="Lato" w:cs="Calibri"/>
          <w:sz w:val="20"/>
          <w:szCs w:val="20"/>
        </w:rPr>
        <w:t>;</w:t>
      </w:r>
    </w:p>
    <w:p w14:paraId="43BF3F0F" w14:textId="77777777" w:rsidR="00881780" w:rsidRPr="00404DA5" w:rsidRDefault="00881780" w:rsidP="0013771A">
      <w:pPr>
        <w:pStyle w:val="Akapitzlist"/>
        <w:numPr>
          <w:ilvl w:val="0"/>
          <w:numId w:val="64"/>
        </w:numPr>
        <w:spacing w:after="120" w:line="288" w:lineRule="auto"/>
        <w:contextualSpacing w:val="0"/>
        <w:rPr>
          <w:rFonts w:ascii="Lato" w:hAnsi="Lato" w:cs="Calibri"/>
          <w:sz w:val="20"/>
          <w:szCs w:val="20"/>
        </w:rPr>
      </w:pPr>
      <w:r w:rsidRPr="00404DA5">
        <w:rPr>
          <w:rFonts w:ascii="Lato" w:hAnsi="Lato" w:cs="Calibri"/>
          <w:sz w:val="20"/>
          <w:szCs w:val="20"/>
        </w:rPr>
        <w:t xml:space="preserve">na Działanie 6.3 </w:t>
      </w:r>
      <w:r w:rsidRPr="00404DA5">
        <w:rPr>
          <w:rFonts w:ascii="Lato" w:hAnsi="Lato" w:cs="Calibri"/>
          <w:sz w:val="20"/>
          <w:szCs w:val="20"/>
        </w:rPr>
        <w:noBreakHyphen/>
        <w:t xml:space="preserve"> 3 510 000,00 EUR </w:t>
      </w:r>
      <w:r w:rsidR="0013771A">
        <w:rPr>
          <w:rFonts w:ascii="Lato" w:hAnsi="Lato" w:cs="Calibri"/>
          <w:sz w:val="20"/>
          <w:szCs w:val="20"/>
        </w:rPr>
        <w:t>(</w:t>
      </w:r>
      <w:r w:rsidRPr="00404DA5">
        <w:rPr>
          <w:rFonts w:ascii="Lato" w:hAnsi="Lato" w:cs="Calibri"/>
          <w:sz w:val="20"/>
          <w:szCs w:val="20"/>
        </w:rPr>
        <w:t>alokacja UE ogółem (z RW) na Działanie po uwzględnieniu zmian</w:t>
      </w:r>
      <w:r w:rsidR="00E66B89">
        <w:rPr>
          <w:rFonts w:ascii="Lato" w:hAnsi="Lato" w:cs="Calibri"/>
          <w:sz w:val="20"/>
          <w:szCs w:val="20"/>
        </w:rPr>
        <w:t xml:space="preserve"> w </w:t>
      </w:r>
      <w:r w:rsidRPr="00404DA5">
        <w:rPr>
          <w:rFonts w:ascii="Lato" w:hAnsi="Lato" w:cs="Calibri"/>
          <w:sz w:val="20"/>
          <w:szCs w:val="20"/>
        </w:rPr>
        <w:t>Programie</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 xml:space="preserve">tj. 15 102 828,00 zł; 3 264 804,00 EUR </w:t>
      </w:r>
      <w:r w:rsidR="0013771A">
        <w:rPr>
          <w:rFonts w:ascii="Lato" w:hAnsi="Lato" w:cs="Calibri"/>
          <w:sz w:val="20"/>
          <w:szCs w:val="20"/>
        </w:rPr>
        <w:t>(</w:t>
      </w:r>
      <w:r w:rsidRPr="00404DA5">
        <w:rPr>
          <w:rFonts w:ascii="Lato" w:hAnsi="Lato" w:cs="Calibri"/>
          <w:sz w:val="20"/>
          <w:szCs w:val="20"/>
        </w:rPr>
        <w:t>alokacja główna UE bez (RW</w:t>
      </w:r>
      <w:r w:rsidR="0013771A" w:rsidRPr="00404DA5">
        <w:rPr>
          <w:rFonts w:ascii="Lato" w:hAnsi="Lato" w:cs="Calibri"/>
          <w:sz w:val="20"/>
          <w:szCs w:val="20"/>
        </w:rPr>
        <w:t>)</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tj. 14 047 798,65 zł</w:t>
      </w:r>
      <w:r>
        <w:rPr>
          <w:rFonts w:ascii="Lato" w:hAnsi="Lato" w:cs="Calibri"/>
          <w:sz w:val="20"/>
          <w:szCs w:val="20"/>
        </w:rPr>
        <w:t>.</w:t>
      </w:r>
    </w:p>
    <w:p w14:paraId="1AE2F53F" w14:textId="77777777" w:rsidR="00881780" w:rsidRPr="00404DA5" w:rsidRDefault="00881780" w:rsidP="00881780">
      <w:pPr>
        <w:rPr>
          <w:rFonts w:cs="Calibri"/>
          <w:szCs w:val="20"/>
        </w:rPr>
      </w:pPr>
      <w:bookmarkStart w:id="238" w:name="_Hlk3481572"/>
      <w:r w:rsidRPr="00404DA5">
        <w:rPr>
          <w:rFonts w:cs="Calibri"/>
          <w:szCs w:val="20"/>
        </w:rPr>
        <w:t>Począwszy do września 2016 r. do grudnia 2018 r.</w:t>
      </w:r>
      <w:r w:rsidR="00E66B89">
        <w:rPr>
          <w:rFonts w:cs="Calibri"/>
          <w:szCs w:val="20"/>
        </w:rPr>
        <w:t xml:space="preserve"> w </w:t>
      </w:r>
      <w:r w:rsidRPr="00404DA5">
        <w:rPr>
          <w:rFonts w:cs="Calibri"/>
          <w:szCs w:val="20"/>
        </w:rPr>
        <w:t>ramach PI 8v przeprowadzono jeden nabór wniosków</w:t>
      </w:r>
      <w:r w:rsidR="00E66B89">
        <w:rPr>
          <w:rFonts w:cs="Calibri"/>
          <w:szCs w:val="20"/>
        </w:rPr>
        <w:t xml:space="preserve"> o </w:t>
      </w:r>
      <w:r w:rsidRPr="00404DA5">
        <w:rPr>
          <w:rFonts w:cs="Calibri"/>
          <w:szCs w:val="20"/>
        </w:rPr>
        <w:t>dofinansowanie projektów (w Działaniu 6.1)</w:t>
      </w:r>
      <w:r w:rsidR="00E66B89">
        <w:rPr>
          <w:rFonts w:cs="Calibri"/>
          <w:szCs w:val="20"/>
        </w:rPr>
        <w:t xml:space="preserve"> w </w:t>
      </w:r>
      <w:r w:rsidRPr="00404DA5">
        <w:rPr>
          <w:rFonts w:cs="Calibri"/>
          <w:szCs w:val="20"/>
        </w:rPr>
        <w:t>wyniku, którego podpisano 3 umowy</w:t>
      </w:r>
      <w:r w:rsidR="00E66B89">
        <w:rPr>
          <w:rFonts w:cs="Calibri"/>
          <w:szCs w:val="20"/>
        </w:rPr>
        <w:t xml:space="preserve"> o </w:t>
      </w:r>
      <w:r w:rsidRPr="00404DA5">
        <w:rPr>
          <w:rFonts w:cs="Calibri"/>
          <w:szCs w:val="20"/>
        </w:rPr>
        <w:t>dofinansowanie projektów</w:t>
      </w:r>
      <w:r w:rsidR="00E66B89">
        <w:rPr>
          <w:rFonts w:cs="Calibri"/>
          <w:szCs w:val="20"/>
        </w:rPr>
        <w:t xml:space="preserve"> z </w:t>
      </w:r>
      <w:r w:rsidRPr="00404DA5">
        <w:rPr>
          <w:rFonts w:cs="Calibri"/>
          <w:szCs w:val="20"/>
        </w:rPr>
        <w:t>operatorami Zachodniopomorskiego Podmiotowego Systemu Finansowania/PSF: Polską Fundacją Przedsiębiorczości, Zachodniopomorską Agencją Rozwoju Regionalnego S.A, Koszalińską Agencją Rozwoju Regionalnego S.A. Wartość projektów ogółem to 80 674 313,44 zł, wkład EU wynosi 68 539 479,52 zł, co stanowi 56,9% alokacji UE ogółem (z RW) na Działanie 6.1., oraz 61,2% alokacji głównej (bez RW).</w:t>
      </w:r>
    </w:p>
    <w:p w14:paraId="0FE740B7" w14:textId="77777777" w:rsidR="00881780" w:rsidRPr="00404DA5" w:rsidRDefault="00881780" w:rsidP="00881780">
      <w:pPr>
        <w:rPr>
          <w:rFonts w:cs="Calibri"/>
          <w:szCs w:val="20"/>
        </w:rPr>
      </w:pPr>
      <w:r w:rsidRPr="00404DA5">
        <w:rPr>
          <w:rFonts w:cs="Calibri"/>
          <w:szCs w:val="20"/>
        </w:rPr>
        <w:t>Alokacja UE ogółem (z RW) pozostała / dostępna</w:t>
      </w:r>
      <w:r w:rsidR="00E66B89">
        <w:rPr>
          <w:rFonts w:cs="Calibri"/>
          <w:szCs w:val="20"/>
        </w:rPr>
        <w:t xml:space="preserve"> w </w:t>
      </w:r>
      <w:r w:rsidRPr="00404DA5">
        <w:rPr>
          <w:rFonts w:cs="Calibri"/>
          <w:szCs w:val="20"/>
        </w:rPr>
        <w:t xml:space="preserve">PI 8v wynosi łącznie </w:t>
      </w:r>
      <w:bookmarkStart w:id="239" w:name="_Hlk3422475"/>
      <w:r w:rsidRPr="00404DA5">
        <w:rPr>
          <w:rFonts w:cs="Calibri"/>
          <w:szCs w:val="20"/>
        </w:rPr>
        <w:t>82 488 800,48 zł</w:t>
      </w:r>
      <w:bookmarkEnd w:id="239"/>
      <w:r w:rsidRPr="00404DA5">
        <w:rPr>
          <w:rFonts w:cs="Calibri"/>
          <w:szCs w:val="20"/>
        </w:rPr>
        <w:t>,</w:t>
      </w:r>
      <w:r w:rsidR="00E66B89">
        <w:rPr>
          <w:rFonts w:cs="Calibri"/>
          <w:szCs w:val="20"/>
        </w:rPr>
        <w:t xml:space="preserve"> w </w:t>
      </w:r>
      <w:r w:rsidRPr="00404DA5">
        <w:rPr>
          <w:rFonts w:cs="Calibri"/>
          <w:szCs w:val="20"/>
        </w:rPr>
        <w:t>tym:</w:t>
      </w:r>
      <w:r w:rsidR="00E66B89">
        <w:rPr>
          <w:rFonts w:cs="Calibri"/>
          <w:szCs w:val="20"/>
        </w:rPr>
        <w:t xml:space="preserve"> w </w:t>
      </w:r>
      <w:r w:rsidRPr="00404DA5">
        <w:rPr>
          <w:rFonts w:cs="Calibri"/>
          <w:szCs w:val="20"/>
        </w:rPr>
        <w:t xml:space="preserve">Działaniu 6.1 </w:t>
      </w:r>
      <w:r w:rsidRPr="00404DA5">
        <w:rPr>
          <w:rFonts w:cs="Calibri"/>
          <w:szCs w:val="20"/>
        </w:rPr>
        <w:noBreakHyphen/>
        <w:t xml:space="preserve"> 51 895 892,48 zł,</w:t>
      </w:r>
      <w:r w:rsidR="00E66B89">
        <w:rPr>
          <w:rFonts w:cs="Calibri"/>
          <w:szCs w:val="20"/>
        </w:rPr>
        <w:t xml:space="preserve"> w </w:t>
      </w:r>
      <w:r w:rsidRPr="00404DA5">
        <w:rPr>
          <w:rFonts w:cs="Calibri"/>
          <w:szCs w:val="20"/>
        </w:rPr>
        <w:t xml:space="preserve">Działaniu 6.2 </w:t>
      </w:r>
      <w:r>
        <w:rPr>
          <w:rFonts w:cs="Calibri"/>
          <w:szCs w:val="20"/>
        </w:rPr>
        <w:noBreakHyphen/>
        <w:t xml:space="preserve"> </w:t>
      </w:r>
      <w:r w:rsidRPr="00404DA5">
        <w:rPr>
          <w:rFonts w:cs="Calibri"/>
          <w:szCs w:val="20"/>
        </w:rPr>
        <w:t>15 490 080,00 zł;</w:t>
      </w:r>
      <w:r w:rsidR="00E66B89">
        <w:rPr>
          <w:rFonts w:cs="Calibri"/>
          <w:szCs w:val="20"/>
        </w:rPr>
        <w:t xml:space="preserve"> w </w:t>
      </w:r>
      <w:r w:rsidRPr="00404DA5">
        <w:rPr>
          <w:rFonts w:cs="Calibri"/>
          <w:szCs w:val="20"/>
        </w:rPr>
        <w:t xml:space="preserve">Działaniu 6.3 </w:t>
      </w:r>
      <w:r w:rsidRPr="00404DA5">
        <w:rPr>
          <w:rFonts w:cs="Calibri"/>
          <w:szCs w:val="20"/>
        </w:rPr>
        <w:noBreakHyphen/>
        <w:t xml:space="preserve"> 15 102 828,00 zł.</w:t>
      </w:r>
    </w:p>
    <w:p w14:paraId="35AA6341" w14:textId="77777777" w:rsidR="00881780" w:rsidRPr="00404DA5" w:rsidRDefault="00881780" w:rsidP="00881780">
      <w:pPr>
        <w:rPr>
          <w:rFonts w:cs="Calibri"/>
          <w:szCs w:val="20"/>
        </w:rPr>
      </w:pPr>
      <w:r w:rsidRPr="00404DA5">
        <w:rPr>
          <w:rFonts w:cs="Calibri"/>
          <w:szCs w:val="20"/>
        </w:rPr>
        <w:t>Alokacja UE główna (bez RW) wynosi łącznie 71 938 519,90 zł,</w:t>
      </w:r>
      <w:r w:rsidR="00E66B89">
        <w:rPr>
          <w:rFonts w:cs="Calibri"/>
          <w:szCs w:val="20"/>
        </w:rPr>
        <w:t xml:space="preserve"> w </w:t>
      </w:r>
      <w:r w:rsidRPr="00404DA5">
        <w:rPr>
          <w:rFonts w:cs="Calibri"/>
          <w:szCs w:val="20"/>
        </w:rPr>
        <w:t>tym</w:t>
      </w:r>
      <w:r>
        <w:rPr>
          <w:rFonts w:cs="Calibri"/>
          <w:szCs w:val="20"/>
        </w:rPr>
        <w:t>:</w:t>
      </w:r>
      <w:r w:rsidR="00E66B89">
        <w:rPr>
          <w:rFonts w:cs="Calibri"/>
          <w:szCs w:val="20"/>
        </w:rPr>
        <w:t xml:space="preserve"> w </w:t>
      </w:r>
      <w:r w:rsidRPr="00404DA5">
        <w:rPr>
          <w:rFonts w:cs="Calibri"/>
          <w:szCs w:val="20"/>
        </w:rPr>
        <w:t xml:space="preserve">Działaniu 6.1 </w:t>
      </w:r>
      <w:r w:rsidRPr="00404DA5">
        <w:rPr>
          <w:rFonts w:cs="Calibri"/>
          <w:szCs w:val="20"/>
        </w:rPr>
        <w:noBreakHyphen/>
        <w:t xml:space="preserve"> 43 482 722,30 zł,</w:t>
      </w:r>
      <w:r w:rsidR="00E66B89">
        <w:rPr>
          <w:rFonts w:cs="Calibri"/>
          <w:szCs w:val="20"/>
        </w:rPr>
        <w:t xml:space="preserve"> w </w:t>
      </w:r>
      <w:r w:rsidRPr="00404DA5">
        <w:rPr>
          <w:rFonts w:cs="Calibri"/>
          <w:szCs w:val="20"/>
        </w:rPr>
        <w:t xml:space="preserve">Działaniu 6.2 </w:t>
      </w:r>
      <w:r w:rsidRPr="00404DA5">
        <w:rPr>
          <w:rFonts w:cs="Calibri"/>
          <w:szCs w:val="20"/>
        </w:rPr>
        <w:noBreakHyphen/>
        <w:t xml:space="preserve"> 14 407 998,95 zł;</w:t>
      </w:r>
      <w:r w:rsidR="00E66B89">
        <w:rPr>
          <w:rFonts w:cs="Calibri"/>
          <w:szCs w:val="20"/>
        </w:rPr>
        <w:t xml:space="preserve"> w </w:t>
      </w:r>
      <w:r w:rsidRPr="00404DA5">
        <w:rPr>
          <w:rFonts w:cs="Calibri"/>
          <w:szCs w:val="20"/>
        </w:rPr>
        <w:t xml:space="preserve">Działaniu 6.3 </w:t>
      </w:r>
      <w:r w:rsidRPr="00404DA5">
        <w:rPr>
          <w:rFonts w:cs="Calibri"/>
          <w:szCs w:val="20"/>
        </w:rPr>
        <w:noBreakHyphen/>
        <w:t xml:space="preserve"> 14 047 798,65 zł.</w:t>
      </w:r>
    </w:p>
    <w:bookmarkEnd w:id="238"/>
    <w:p w14:paraId="64AE85FC" w14:textId="77777777" w:rsidR="00881780" w:rsidRPr="00404DA5" w:rsidRDefault="00881780" w:rsidP="00881780">
      <w:pPr>
        <w:rPr>
          <w:rFonts w:cs="Calibri"/>
          <w:szCs w:val="20"/>
        </w:rPr>
      </w:pPr>
      <w:r w:rsidRPr="00404DA5">
        <w:rPr>
          <w:rFonts w:cs="Calibri"/>
          <w:szCs w:val="20"/>
        </w:rPr>
        <w:lastRenderedPageBreak/>
        <w:t>Zgodnie</w:t>
      </w:r>
      <w:r w:rsidR="00E66B89">
        <w:rPr>
          <w:rFonts w:cs="Calibri"/>
          <w:szCs w:val="20"/>
        </w:rPr>
        <w:t xml:space="preserve"> z </w:t>
      </w:r>
      <w:r w:rsidRPr="00404DA5">
        <w:rPr>
          <w:rFonts w:cs="Calibri"/>
          <w:szCs w:val="20"/>
        </w:rPr>
        <w:t>informacją zamieszczoną</w:t>
      </w:r>
      <w:r w:rsidR="00E66B89">
        <w:rPr>
          <w:rFonts w:cs="Calibri"/>
          <w:szCs w:val="20"/>
        </w:rPr>
        <w:t xml:space="preserve"> w </w:t>
      </w:r>
      <w:r w:rsidRPr="00404DA5">
        <w:rPr>
          <w:rFonts w:cs="Calibri"/>
          <w:szCs w:val="20"/>
        </w:rPr>
        <w:t>harmonogramie naborów wniosków</w:t>
      </w:r>
      <w:r w:rsidR="00E66B89">
        <w:rPr>
          <w:rFonts w:cs="Calibri"/>
          <w:szCs w:val="20"/>
        </w:rPr>
        <w:t xml:space="preserve"> o </w:t>
      </w:r>
      <w:r w:rsidRPr="00404DA5">
        <w:rPr>
          <w:rFonts w:cs="Calibri"/>
          <w:szCs w:val="20"/>
        </w:rPr>
        <w:t>dofinansowanie dla RPO WZ 2014-2020 na 2019 rok,</w:t>
      </w:r>
      <w:r w:rsidR="00E66B89">
        <w:rPr>
          <w:rFonts w:cs="Calibri"/>
          <w:szCs w:val="20"/>
        </w:rPr>
        <w:t xml:space="preserve"> w </w:t>
      </w:r>
      <w:r w:rsidRPr="00404DA5">
        <w:rPr>
          <w:rFonts w:cs="Calibri"/>
          <w:szCs w:val="20"/>
        </w:rPr>
        <w:t>pierwszej połowie II kwartału 2019 r. planowany jest nabór wniosków</w:t>
      </w:r>
      <w:r w:rsidR="00E66B89">
        <w:rPr>
          <w:rFonts w:cs="Calibri"/>
          <w:szCs w:val="20"/>
        </w:rPr>
        <w:t xml:space="preserve"> o </w:t>
      </w:r>
      <w:r w:rsidRPr="00404DA5">
        <w:rPr>
          <w:rFonts w:cs="Calibri"/>
          <w:szCs w:val="20"/>
        </w:rPr>
        <w:t>dofinansowanie projektów ramach Działania 6.1. Orientacyjna kwota przeznaczona na dofinansowanie projektów</w:t>
      </w:r>
      <w:r w:rsidR="00E66B89">
        <w:rPr>
          <w:rFonts w:cs="Calibri"/>
          <w:szCs w:val="20"/>
        </w:rPr>
        <w:t xml:space="preserve"> w </w:t>
      </w:r>
      <w:r w:rsidRPr="00404DA5">
        <w:rPr>
          <w:rFonts w:cs="Calibri"/>
          <w:szCs w:val="20"/>
        </w:rPr>
        <w:t>ramach konkursu wynosi: 16 959 224,00 EUR, tj. 72 927 149,03 zł. Skuteczne przeprowadzenie naboru wniosków</w:t>
      </w:r>
      <w:r w:rsidR="00E66B89">
        <w:rPr>
          <w:rFonts w:cs="Calibri"/>
          <w:szCs w:val="20"/>
        </w:rPr>
        <w:t xml:space="preserve"> o </w:t>
      </w:r>
      <w:r w:rsidRPr="00404DA5">
        <w:rPr>
          <w:rFonts w:cs="Calibri"/>
          <w:szCs w:val="20"/>
        </w:rPr>
        <w:t>dofinansowanie pozwoli zagospodarować na poziomie 88,5% pozostałą / dostępną</w:t>
      </w:r>
      <w:r w:rsidR="00E66B89">
        <w:rPr>
          <w:rFonts w:cs="Calibri"/>
          <w:szCs w:val="20"/>
        </w:rPr>
        <w:t xml:space="preserve"> w </w:t>
      </w:r>
      <w:r w:rsidRPr="00404DA5">
        <w:rPr>
          <w:rFonts w:cs="Calibri"/>
          <w:szCs w:val="20"/>
        </w:rPr>
        <w:t>PI 8v alokację</w:t>
      </w:r>
      <w:r w:rsidRPr="00FD4C08">
        <w:t xml:space="preserve"> </w:t>
      </w:r>
      <w:r w:rsidRPr="00404DA5">
        <w:rPr>
          <w:rFonts w:cs="Calibri"/>
          <w:szCs w:val="20"/>
        </w:rPr>
        <w:t>UE ogółem (z RW)</w:t>
      </w:r>
      <w:r w:rsidR="00E66B89">
        <w:rPr>
          <w:rFonts w:cs="Calibri"/>
          <w:szCs w:val="20"/>
        </w:rPr>
        <w:t xml:space="preserve"> i w </w:t>
      </w:r>
      <w:r w:rsidRPr="00404DA5">
        <w:rPr>
          <w:rFonts w:cs="Calibri"/>
          <w:szCs w:val="20"/>
        </w:rPr>
        <w:t>całości wykorzystać główną alokację UE (bez RW). Nie identyfikuje się zagrożenia dla wykorzystania całej alokacji przeznaczonej na Działanie.</w:t>
      </w:r>
    </w:p>
    <w:p w14:paraId="1656F86E" w14:textId="77777777" w:rsidR="00881780" w:rsidRPr="00404DA5" w:rsidRDefault="00881780" w:rsidP="00881780">
      <w:pPr>
        <w:rPr>
          <w:rFonts w:cs="Calibri"/>
          <w:szCs w:val="20"/>
        </w:rPr>
      </w:pPr>
      <w:r w:rsidRPr="00404DA5">
        <w:rPr>
          <w:rFonts w:cs="Calibri"/>
          <w:szCs w:val="20"/>
        </w:rPr>
        <w:t>Postęp rzeczowy</w:t>
      </w:r>
      <w:r w:rsidR="00E66B89">
        <w:rPr>
          <w:rFonts w:cs="Calibri"/>
          <w:szCs w:val="20"/>
        </w:rPr>
        <w:t xml:space="preserve"> w </w:t>
      </w:r>
      <w:r w:rsidRPr="00404DA5">
        <w:rPr>
          <w:rFonts w:cs="Calibri"/>
          <w:szCs w:val="20"/>
        </w:rPr>
        <w:t>ramach Pi 8v kształtuje się na zróżnicowanym poziomie. Osiągnięta został</w:t>
      </w:r>
      <w:r>
        <w:rPr>
          <w:rFonts w:cs="Calibri"/>
          <w:szCs w:val="20"/>
        </w:rPr>
        <w:t>a</w:t>
      </w:r>
      <w:r w:rsidRPr="00404DA5">
        <w:rPr>
          <w:rFonts w:cs="Calibri"/>
          <w:szCs w:val="20"/>
        </w:rPr>
        <w:t xml:space="preserve"> wartość końcowa (na 2023 r.) wskaźnika rezultatu </w:t>
      </w:r>
      <w:r w:rsidRPr="00404DA5">
        <w:rPr>
          <w:rFonts w:cs="Calibri"/>
          <w:i/>
          <w:szCs w:val="20"/>
        </w:rPr>
        <w:t>Liczba mikroprzedsiębiorstw oraz małych</w:t>
      </w:r>
      <w:r w:rsidR="00E66B89">
        <w:rPr>
          <w:rFonts w:cs="Calibri"/>
          <w:i/>
          <w:szCs w:val="20"/>
        </w:rPr>
        <w:t xml:space="preserve"> i </w:t>
      </w:r>
      <w:r w:rsidRPr="00404DA5">
        <w:rPr>
          <w:rFonts w:cs="Calibri"/>
          <w:i/>
          <w:szCs w:val="20"/>
        </w:rPr>
        <w:t>średnich przedsiębiorstw, które zrealizowały swój cel rozwojowy dzięki udziałowi</w:t>
      </w:r>
      <w:r w:rsidR="00E66B89">
        <w:rPr>
          <w:rFonts w:cs="Calibri"/>
          <w:i/>
          <w:szCs w:val="20"/>
        </w:rPr>
        <w:t xml:space="preserve"> w </w:t>
      </w:r>
      <w:r w:rsidRPr="00404DA5">
        <w:rPr>
          <w:rFonts w:cs="Calibri"/>
          <w:i/>
          <w:szCs w:val="20"/>
        </w:rPr>
        <w:t xml:space="preserve">programie. </w:t>
      </w:r>
      <w:r w:rsidRPr="00404DA5">
        <w:rPr>
          <w:rFonts w:cs="Calibri"/>
          <w:szCs w:val="20"/>
        </w:rPr>
        <w:t xml:space="preserve">Dla wskaźnika </w:t>
      </w:r>
      <w:r w:rsidRPr="00404DA5">
        <w:rPr>
          <w:rFonts w:cs="Calibri"/>
          <w:i/>
          <w:szCs w:val="20"/>
        </w:rPr>
        <w:t>Liczba osób pracujących objętych wsparciem</w:t>
      </w:r>
      <w:r w:rsidR="00E66B89">
        <w:rPr>
          <w:rFonts w:cs="Calibri"/>
          <w:i/>
          <w:szCs w:val="20"/>
        </w:rPr>
        <w:t xml:space="preserve"> w </w:t>
      </w:r>
      <w:r w:rsidRPr="00404DA5">
        <w:rPr>
          <w:rFonts w:cs="Calibri"/>
          <w:i/>
          <w:szCs w:val="20"/>
        </w:rPr>
        <w:t>programie (łącznie</w:t>
      </w:r>
      <w:r w:rsidR="00E66B89">
        <w:rPr>
          <w:rFonts w:cs="Calibri"/>
          <w:i/>
          <w:szCs w:val="20"/>
        </w:rPr>
        <w:t xml:space="preserve"> z </w:t>
      </w:r>
      <w:r w:rsidRPr="00404DA5">
        <w:rPr>
          <w:rFonts w:cs="Calibri"/>
          <w:i/>
          <w:szCs w:val="20"/>
        </w:rPr>
        <w:t>pracującymi na własny rachunek)</w:t>
      </w:r>
      <w:r w:rsidRPr="00404DA5">
        <w:rPr>
          <w:rFonts w:cs="Calibri"/>
          <w:szCs w:val="20"/>
        </w:rPr>
        <w:t xml:space="preserve"> deklarowany przez Beneficjentów</w:t>
      </w:r>
      <w:r w:rsidR="00E66B89">
        <w:rPr>
          <w:rFonts w:cs="Calibri"/>
          <w:szCs w:val="20"/>
        </w:rPr>
        <w:t xml:space="preserve"> w </w:t>
      </w:r>
      <w:r w:rsidRPr="00404DA5">
        <w:rPr>
          <w:rFonts w:cs="Calibri"/>
          <w:szCs w:val="20"/>
        </w:rPr>
        <w:t>UoD poziom wykonania wynosi 93%</w:t>
      </w:r>
      <w:r>
        <w:rPr>
          <w:rFonts w:cs="Calibri"/>
          <w:szCs w:val="20"/>
        </w:rPr>
        <w:t xml:space="preserve"> (28,0% wg WoP)</w:t>
      </w:r>
      <w:r w:rsidRPr="00404DA5">
        <w:rPr>
          <w:rFonts w:cs="Calibri"/>
          <w:szCs w:val="20"/>
        </w:rPr>
        <w:t>; osiągnięcie wartości docelowej wskaźnika uzależnione jest od skutecznej realizacji zobowiązań wynikających</w:t>
      </w:r>
      <w:r w:rsidR="00E66B89">
        <w:rPr>
          <w:rFonts w:cs="Calibri"/>
          <w:szCs w:val="20"/>
        </w:rPr>
        <w:t xml:space="preserve"> z </w:t>
      </w:r>
      <w:r w:rsidRPr="00404DA5">
        <w:rPr>
          <w:rFonts w:cs="Calibri"/>
          <w:szCs w:val="20"/>
        </w:rPr>
        <w:t xml:space="preserve">zawartych UoD. Dla wskaźnika </w:t>
      </w:r>
      <w:r w:rsidRPr="00404DA5">
        <w:rPr>
          <w:rFonts w:cs="Calibri"/>
          <w:i/>
          <w:szCs w:val="20"/>
        </w:rPr>
        <w:t>Liczba osób, które uzyskały kwalifikacje lub nabyły kompetencje po opuszczeniu programu –</w:t>
      </w:r>
      <w:r>
        <w:rPr>
          <w:rFonts w:cs="Calibri"/>
          <w:i/>
          <w:szCs w:val="20"/>
        </w:rPr>
        <w:t xml:space="preserve"> </w:t>
      </w:r>
      <w:r w:rsidRPr="00404DA5">
        <w:rPr>
          <w:rFonts w:cs="Calibri"/>
          <w:szCs w:val="20"/>
        </w:rPr>
        <w:t>poziom wykonania (wg WoP) wynosi 65%.</w:t>
      </w:r>
    </w:p>
    <w:p w14:paraId="21854C4F" w14:textId="77777777" w:rsidR="00881780" w:rsidRPr="00404DA5" w:rsidRDefault="00881780" w:rsidP="00881780">
      <w:pPr>
        <w:rPr>
          <w:rFonts w:cs="Calibri"/>
          <w:szCs w:val="20"/>
        </w:rPr>
      </w:pPr>
      <w:r w:rsidRPr="00404DA5">
        <w:rPr>
          <w:rFonts w:cs="Calibri"/>
          <w:szCs w:val="20"/>
        </w:rPr>
        <w:t>Zgodnie</w:t>
      </w:r>
      <w:r w:rsidR="00E66B89">
        <w:rPr>
          <w:rFonts w:cs="Calibri"/>
          <w:szCs w:val="20"/>
        </w:rPr>
        <w:t xml:space="preserve"> z </w:t>
      </w:r>
      <w:r w:rsidR="0013771A" w:rsidRPr="00404DA5">
        <w:rPr>
          <w:rFonts w:cs="Calibri"/>
          <w:szCs w:val="20"/>
        </w:rPr>
        <w:t>informacj</w:t>
      </w:r>
      <w:r w:rsidR="0013771A">
        <w:rPr>
          <w:rFonts w:cs="Calibri"/>
          <w:szCs w:val="20"/>
        </w:rPr>
        <w:t>ą</w:t>
      </w:r>
      <w:r w:rsidR="0013771A" w:rsidRPr="00404DA5">
        <w:rPr>
          <w:rFonts w:cs="Calibri"/>
          <w:szCs w:val="20"/>
        </w:rPr>
        <w:t xml:space="preserve"> </w:t>
      </w:r>
      <w:r w:rsidRPr="00404DA5">
        <w:rPr>
          <w:rFonts w:cs="Calibri"/>
          <w:szCs w:val="20"/>
        </w:rPr>
        <w:t>kwartalną za IV kw</w:t>
      </w:r>
      <w:r>
        <w:rPr>
          <w:rFonts w:cs="Calibri"/>
          <w:szCs w:val="20"/>
        </w:rPr>
        <w:t>artał</w:t>
      </w:r>
      <w:r w:rsidRPr="00404DA5">
        <w:rPr>
          <w:rFonts w:cs="Calibri"/>
          <w:szCs w:val="20"/>
        </w:rPr>
        <w:t xml:space="preserve"> 2018 r. zwiększeniu ulegnie wartość wskaźnika: </w:t>
      </w:r>
      <w:r w:rsidRPr="00404DA5">
        <w:rPr>
          <w:rFonts w:cs="Calibri"/>
          <w:i/>
          <w:szCs w:val="20"/>
        </w:rPr>
        <w:t>Liczba osób pracujących</w:t>
      </w:r>
      <w:r w:rsidR="00E66B89">
        <w:rPr>
          <w:rFonts w:cs="Calibri"/>
          <w:i/>
          <w:szCs w:val="20"/>
        </w:rPr>
        <w:t xml:space="preserve"> o </w:t>
      </w:r>
      <w:r w:rsidRPr="00404DA5">
        <w:rPr>
          <w:rFonts w:cs="Calibri"/>
          <w:i/>
          <w:szCs w:val="20"/>
        </w:rPr>
        <w:t>niskich kwalifikacjach objętych wsparciem</w:t>
      </w:r>
      <w:r w:rsidR="00E66B89">
        <w:rPr>
          <w:rFonts w:cs="Calibri"/>
          <w:i/>
          <w:szCs w:val="20"/>
        </w:rPr>
        <w:t xml:space="preserve"> w </w:t>
      </w:r>
      <w:r w:rsidRPr="00404DA5">
        <w:rPr>
          <w:rFonts w:cs="Calibri"/>
          <w:i/>
          <w:szCs w:val="20"/>
        </w:rPr>
        <w:t>programie</w:t>
      </w:r>
      <w:r>
        <w:rPr>
          <w:rFonts w:cs="Calibri"/>
          <w:szCs w:val="20"/>
        </w:rPr>
        <w:t>. Należy założyć, że wartość wskaźnika może ulec zwiększeniu</w:t>
      </w:r>
      <w:r w:rsidR="00E66B89">
        <w:rPr>
          <w:rFonts w:cs="Calibri"/>
          <w:szCs w:val="20"/>
        </w:rPr>
        <w:t xml:space="preserve"> w </w:t>
      </w:r>
      <w:r>
        <w:rPr>
          <w:rFonts w:cs="Calibri"/>
          <w:szCs w:val="20"/>
        </w:rPr>
        <w:t>wyniku realizacji projektów wybranych do dofinansowania</w:t>
      </w:r>
      <w:r w:rsidR="00E66B89">
        <w:rPr>
          <w:rFonts w:cs="Calibri"/>
          <w:szCs w:val="20"/>
        </w:rPr>
        <w:t xml:space="preserve"> w </w:t>
      </w:r>
      <w:r>
        <w:rPr>
          <w:rFonts w:cs="Calibri"/>
          <w:szCs w:val="20"/>
        </w:rPr>
        <w:t>ramach konkursu zaplanowanego do przeprowadzenia</w:t>
      </w:r>
      <w:r w:rsidR="00E66B89">
        <w:rPr>
          <w:rFonts w:cs="Calibri"/>
          <w:szCs w:val="20"/>
        </w:rPr>
        <w:t xml:space="preserve"> w </w:t>
      </w:r>
      <w:r>
        <w:rPr>
          <w:rFonts w:cs="Calibri"/>
          <w:szCs w:val="20"/>
        </w:rPr>
        <w:t>2019 roku.</w:t>
      </w:r>
    </w:p>
    <w:p w14:paraId="11CD3CF5" w14:textId="77777777" w:rsidR="00881780" w:rsidRPr="00404DA5" w:rsidRDefault="00881780" w:rsidP="00881780">
      <w:pPr>
        <w:rPr>
          <w:rFonts w:cs="Calibri"/>
          <w:szCs w:val="20"/>
        </w:rPr>
      </w:pPr>
      <w:r w:rsidRPr="00404DA5">
        <w:rPr>
          <w:rFonts w:cs="Calibri"/>
          <w:szCs w:val="20"/>
        </w:rPr>
        <w:t xml:space="preserve">W Ramach analizowanego PI nie są osiągane dwa wskaźniki: </w:t>
      </w:r>
      <w:r w:rsidRPr="00404DA5">
        <w:rPr>
          <w:rFonts w:cs="Calibri"/>
          <w:i/>
          <w:szCs w:val="20"/>
        </w:rPr>
        <w:t>Liczba pracowników zagrożonych zwolnieniem</w:t>
      </w:r>
      <w:r w:rsidR="00E66B89">
        <w:rPr>
          <w:rFonts w:cs="Calibri"/>
          <w:i/>
          <w:szCs w:val="20"/>
        </w:rPr>
        <w:t xml:space="preserve"> z </w:t>
      </w:r>
      <w:r w:rsidRPr="00404DA5">
        <w:rPr>
          <w:rFonts w:cs="Calibri"/>
          <w:i/>
          <w:szCs w:val="20"/>
        </w:rPr>
        <w:t>pracy oraz osób zwolnionych</w:t>
      </w:r>
      <w:r w:rsidR="00E66B89">
        <w:rPr>
          <w:rFonts w:cs="Calibri"/>
          <w:i/>
          <w:szCs w:val="20"/>
        </w:rPr>
        <w:t xml:space="preserve"> z </w:t>
      </w:r>
      <w:r w:rsidRPr="00404DA5">
        <w:rPr>
          <w:rFonts w:cs="Calibri"/>
          <w:i/>
          <w:szCs w:val="20"/>
        </w:rPr>
        <w:t>przyczyn dotyczących zakładu pracy objętych wsparciem</w:t>
      </w:r>
      <w:r w:rsidRPr="00404DA5">
        <w:rPr>
          <w:rFonts w:cs="Calibri"/>
          <w:szCs w:val="20"/>
        </w:rPr>
        <w:t xml:space="preserve"> oraz </w:t>
      </w:r>
      <w:r w:rsidRPr="00404DA5">
        <w:rPr>
          <w:rFonts w:cs="Calibri"/>
          <w:i/>
          <w:szCs w:val="20"/>
        </w:rPr>
        <w:t>Liczba osób, które po opuszczeniu programu podjęły pracę lub kontynuowały zatrudnienie</w:t>
      </w:r>
      <w:r w:rsidRPr="00404DA5">
        <w:rPr>
          <w:rFonts w:cs="Calibri"/>
          <w:szCs w:val="20"/>
        </w:rPr>
        <w:t xml:space="preserve"> (informacja za IV kwartał 201</w:t>
      </w:r>
      <w:r>
        <w:rPr>
          <w:rFonts w:cs="Calibri"/>
          <w:szCs w:val="20"/>
        </w:rPr>
        <w:t>8</w:t>
      </w:r>
      <w:r w:rsidRPr="00404DA5">
        <w:rPr>
          <w:rFonts w:cs="Calibri"/>
          <w:szCs w:val="20"/>
        </w:rPr>
        <w:t xml:space="preserve"> r. zawiera notatkę</w:t>
      </w:r>
      <w:r w:rsidR="00E66B89">
        <w:rPr>
          <w:rFonts w:cs="Calibri"/>
          <w:szCs w:val="20"/>
        </w:rPr>
        <w:t xml:space="preserve"> o </w:t>
      </w:r>
      <w:r w:rsidRPr="00404DA5">
        <w:rPr>
          <w:rFonts w:cs="Calibri"/>
          <w:szCs w:val="20"/>
        </w:rPr>
        <w:t>zmianie ww. wskaźników Programu). Źródeł tej sytuacji należy upatrywać</w:t>
      </w:r>
      <w:r w:rsidR="00E66B89">
        <w:rPr>
          <w:rFonts w:cs="Calibri"/>
          <w:szCs w:val="20"/>
        </w:rPr>
        <w:t xml:space="preserve"> w </w:t>
      </w:r>
      <w:r w:rsidRPr="00404DA5">
        <w:rPr>
          <w:rFonts w:cs="Calibri"/>
          <w:szCs w:val="20"/>
        </w:rPr>
        <w:t>zmniejszającej się</w:t>
      </w:r>
      <w:r w:rsidR="00E66B89">
        <w:rPr>
          <w:rFonts w:cs="Calibri"/>
          <w:szCs w:val="20"/>
        </w:rPr>
        <w:t xml:space="preserve"> w </w:t>
      </w:r>
      <w:r w:rsidRPr="00404DA5">
        <w:rPr>
          <w:rFonts w:cs="Calibri"/>
          <w:szCs w:val="20"/>
        </w:rPr>
        <w:t>okresie wdrażania Programu grupie osób kwalifikujących się do wsparcia</w:t>
      </w:r>
      <w:bookmarkStart w:id="240" w:name="_Hlk3419893"/>
      <w:r w:rsidRPr="00404DA5">
        <w:rPr>
          <w:rFonts w:cs="Calibri"/>
          <w:szCs w:val="20"/>
        </w:rPr>
        <w:t>, tj. pracowników zagrożonych zwolnieniem</w:t>
      </w:r>
      <w:r w:rsidR="00E66B89">
        <w:rPr>
          <w:rFonts w:cs="Calibri"/>
          <w:szCs w:val="20"/>
        </w:rPr>
        <w:t xml:space="preserve"> z </w:t>
      </w:r>
      <w:r w:rsidRPr="00404DA5">
        <w:rPr>
          <w:rFonts w:cs="Calibri"/>
          <w:szCs w:val="20"/>
        </w:rPr>
        <w:t>pracy i/lub osób zwolnionych</w:t>
      </w:r>
      <w:r w:rsidR="00E66B89">
        <w:rPr>
          <w:rFonts w:cs="Calibri"/>
          <w:szCs w:val="20"/>
        </w:rPr>
        <w:t xml:space="preserve"> z </w:t>
      </w:r>
      <w:r w:rsidRPr="00404DA5">
        <w:rPr>
          <w:rFonts w:cs="Calibri"/>
          <w:szCs w:val="20"/>
        </w:rPr>
        <w:t>przyczyn dotyczących zakładu pracy</w:t>
      </w:r>
      <w:bookmarkEnd w:id="240"/>
      <w:r w:rsidRPr="00404DA5">
        <w:rPr>
          <w:rFonts w:cs="Calibri"/>
          <w:szCs w:val="20"/>
        </w:rPr>
        <w:t xml:space="preserve"> </w:t>
      </w:r>
      <w:r w:rsidRPr="00404DA5">
        <w:rPr>
          <w:rFonts w:cs="Calibri"/>
          <w:szCs w:val="20"/>
        </w:rPr>
        <w:noBreakHyphen/>
        <w:t xml:space="preserve"> na etapie przygotowania Programu (w 2012 roku)</w:t>
      </w:r>
      <w:r w:rsidR="00E66B89">
        <w:rPr>
          <w:rFonts w:cs="Calibri"/>
          <w:szCs w:val="20"/>
        </w:rPr>
        <w:t xml:space="preserve"> w </w:t>
      </w:r>
      <w:r w:rsidRPr="00404DA5">
        <w:rPr>
          <w:rFonts w:cs="Calibri"/>
          <w:szCs w:val="20"/>
        </w:rPr>
        <w:t>wyniku zwolnień</w:t>
      </w:r>
      <w:r w:rsidR="00E66B89">
        <w:rPr>
          <w:rFonts w:cs="Calibri"/>
          <w:szCs w:val="20"/>
        </w:rPr>
        <w:t xml:space="preserve"> z </w:t>
      </w:r>
      <w:r w:rsidRPr="00404DA5">
        <w:rPr>
          <w:rFonts w:cs="Calibri"/>
          <w:szCs w:val="20"/>
        </w:rPr>
        <w:t>przyczyn dotyczących zakładu pracy</w:t>
      </w:r>
      <w:r w:rsidR="00E66B89">
        <w:rPr>
          <w:rFonts w:cs="Calibri"/>
          <w:szCs w:val="20"/>
        </w:rPr>
        <w:t xml:space="preserve"> w </w:t>
      </w:r>
      <w:r w:rsidRPr="00404DA5">
        <w:rPr>
          <w:rFonts w:cs="Calibri"/>
          <w:szCs w:val="20"/>
        </w:rPr>
        <w:t>powiatowych urzędach pracy zarejestrowanych było 3 310 osób,</w:t>
      </w:r>
      <w:r w:rsidR="00E66B89">
        <w:rPr>
          <w:rFonts w:cs="Calibri"/>
          <w:szCs w:val="20"/>
        </w:rPr>
        <w:t xml:space="preserve"> w </w:t>
      </w:r>
      <w:r w:rsidRPr="00404DA5">
        <w:rPr>
          <w:rFonts w:cs="Calibri"/>
          <w:szCs w:val="20"/>
        </w:rPr>
        <w:t>roku 2018 – 1351 osób (a więc już</w:t>
      </w:r>
      <w:r w:rsidR="00E66B89">
        <w:rPr>
          <w:rFonts w:cs="Calibri"/>
          <w:szCs w:val="20"/>
        </w:rPr>
        <w:t xml:space="preserve"> o </w:t>
      </w:r>
      <w:r w:rsidRPr="00404DA5">
        <w:rPr>
          <w:rFonts w:cs="Calibri"/>
          <w:szCs w:val="20"/>
        </w:rPr>
        <w:t>60%/1 959 osób mniej); województwo</w:t>
      </w:r>
      <w:r w:rsidR="00E66B89">
        <w:rPr>
          <w:rFonts w:cs="Calibri"/>
          <w:szCs w:val="20"/>
        </w:rPr>
        <w:t xml:space="preserve"> w </w:t>
      </w:r>
      <w:r w:rsidRPr="00404DA5">
        <w:rPr>
          <w:rFonts w:cs="Calibri"/>
          <w:szCs w:val="20"/>
        </w:rPr>
        <w:t>analizowanym zakresie pozytywnie wyróżnia się na tle innych regionów Polski.</w:t>
      </w:r>
    </w:p>
    <w:p w14:paraId="09A836B5" w14:textId="77777777" w:rsidR="00881780" w:rsidRPr="00FE43CD" w:rsidRDefault="00881780" w:rsidP="00881780">
      <w:pPr>
        <w:pStyle w:val="Nagwek4"/>
        <w:numPr>
          <w:ilvl w:val="0"/>
          <w:numId w:val="0"/>
        </w:numPr>
        <w:ind w:left="864" w:hanging="864"/>
        <w:rPr>
          <w:rFonts w:ascii="Lato" w:eastAsia="Calibri" w:hAnsi="Lato"/>
        </w:rPr>
      </w:pPr>
      <w:r w:rsidRPr="00FE43CD">
        <w:rPr>
          <w:rFonts w:ascii="Lato" w:eastAsia="Calibri" w:hAnsi="Lato"/>
        </w:rPr>
        <w:t xml:space="preserve">Ocena potencjału absorpcyjnego </w:t>
      </w:r>
    </w:p>
    <w:p w14:paraId="15477DF8" w14:textId="77777777" w:rsidR="00881780" w:rsidRDefault="00881780" w:rsidP="00881780">
      <w:pPr>
        <w:rPr>
          <w:rFonts w:cs="Calibri"/>
          <w:szCs w:val="20"/>
        </w:rPr>
      </w:pPr>
      <w:r w:rsidRPr="00177828">
        <w:rPr>
          <w:rFonts w:cs="Calibri"/>
          <w:szCs w:val="20"/>
        </w:rPr>
        <w:t>W obszarze interwencji rozpoznaje się</w:t>
      </w:r>
      <w:r>
        <w:rPr>
          <w:rFonts w:cs="Calibri"/>
          <w:szCs w:val="20"/>
        </w:rPr>
        <w:t xml:space="preserve"> </w:t>
      </w:r>
      <w:r w:rsidRPr="00177828">
        <w:rPr>
          <w:rFonts w:cs="Calibri"/>
          <w:szCs w:val="20"/>
        </w:rPr>
        <w:t>ograniczony potencjał</w:t>
      </w:r>
      <w:r w:rsidR="00E66B89">
        <w:rPr>
          <w:rFonts w:cs="Calibri"/>
          <w:szCs w:val="20"/>
        </w:rPr>
        <w:t xml:space="preserve"> w </w:t>
      </w:r>
      <w:r w:rsidRPr="00177828">
        <w:rPr>
          <w:rFonts w:cs="Calibri"/>
          <w:szCs w:val="20"/>
        </w:rPr>
        <w:t>zakresie dalszej absorpcji środków</w:t>
      </w:r>
      <w:r w:rsidR="00E66B89">
        <w:rPr>
          <w:rFonts w:cs="Calibri"/>
          <w:szCs w:val="20"/>
        </w:rPr>
        <w:t xml:space="preserve"> w </w:t>
      </w:r>
      <w:r>
        <w:rPr>
          <w:rFonts w:cs="Calibri"/>
          <w:szCs w:val="20"/>
        </w:rPr>
        <w:t>szczególności</w:t>
      </w:r>
      <w:r w:rsidR="00E66B89">
        <w:rPr>
          <w:rFonts w:cs="Calibri"/>
          <w:szCs w:val="20"/>
        </w:rPr>
        <w:t xml:space="preserve"> w </w:t>
      </w:r>
      <w:r>
        <w:rPr>
          <w:rFonts w:cs="Calibri"/>
          <w:szCs w:val="20"/>
        </w:rPr>
        <w:t>Działaniu 6.2</w:t>
      </w:r>
      <w:r w:rsidR="00E66B89">
        <w:rPr>
          <w:rFonts w:cs="Calibri"/>
          <w:szCs w:val="20"/>
        </w:rPr>
        <w:t xml:space="preserve"> i </w:t>
      </w:r>
      <w:r>
        <w:rPr>
          <w:rFonts w:cs="Calibri"/>
          <w:szCs w:val="20"/>
        </w:rPr>
        <w:t>6.3</w:t>
      </w:r>
      <w:r w:rsidRPr="00177828">
        <w:rPr>
          <w:rFonts w:cs="Calibri"/>
          <w:szCs w:val="20"/>
        </w:rPr>
        <w:t>.</w:t>
      </w:r>
      <w:r>
        <w:rPr>
          <w:rFonts w:cs="Calibri"/>
          <w:szCs w:val="20"/>
        </w:rPr>
        <w:t xml:space="preserve"> </w:t>
      </w:r>
    </w:p>
    <w:p w14:paraId="72B8601E" w14:textId="77777777" w:rsidR="00881780" w:rsidRDefault="00881780" w:rsidP="00881780">
      <w:pPr>
        <w:rPr>
          <w:rFonts w:cs="Calibri"/>
          <w:szCs w:val="20"/>
        </w:rPr>
      </w:pPr>
      <w:r w:rsidRPr="00177828">
        <w:rPr>
          <w:rFonts w:cs="Calibri"/>
          <w:szCs w:val="20"/>
        </w:rPr>
        <w:t>W odniesieniu do przedsiębiorców, na etapie przygotowania Programu, diagnozowano</w:t>
      </w:r>
      <w:r w:rsidR="00E66B89">
        <w:rPr>
          <w:rFonts w:cs="Calibri"/>
          <w:szCs w:val="20"/>
        </w:rPr>
        <w:t xml:space="preserve"> w </w:t>
      </w:r>
      <w:r w:rsidRPr="00177828">
        <w:rPr>
          <w:rFonts w:cs="Calibri"/>
          <w:szCs w:val="20"/>
        </w:rPr>
        <w:t>województwie brak kapitału finansowego na rozwój firm,</w:t>
      </w:r>
      <w:r w:rsidR="00E66B89">
        <w:rPr>
          <w:rFonts w:cs="Calibri"/>
          <w:szCs w:val="20"/>
        </w:rPr>
        <w:t xml:space="preserve"> w </w:t>
      </w:r>
      <w:r w:rsidRPr="00177828">
        <w:rPr>
          <w:rFonts w:cs="Calibri"/>
          <w:szCs w:val="20"/>
        </w:rPr>
        <w:t>szczególności na inwestycje</w:t>
      </w:r>
      <w:r w:rsidR="00E66B89">
        <w:rPr>
          <w:rFonts w:cs="Calibri"/>
          <w:szCs w:val="20"/>
        </w:rPr>
        <w:t xml:space="preserve"> w </w:t>
      </w:r>
      <w:r w:rsidRPr="00177828">
        <w:rPr>
          <w:rFonts w:cs="Calibri"/>
          <w:szCs w:val="20"/>
        </w:rPr>
        <w:t>podnoszenie jakości kapitału intelektualnego</w:t>
      </w:r>
      <w:r w:rsidR="00E66B89">
        <w:rPr>
          <w:rFonts w:cs="Calibri"/>
          <w:szCs w:val="20"/>
        </w:rPr>
        <w:t xml:space="preserve"> w </w:t>
      </w:r>
      <w:r w:rsidRPr="00177828">
        <w:rPr>
          <w:rFonts w:cs="Calibri"/>
          <w:szCs w:val="20"/>
        </w:rPr>
        <w:t xml:space="preserve">przedsiębiorstwach </w:t>
      </w:r>
      <w:r>
        <w:rPr>
          <w:rFonts w:cs="Calibri"/>
          <w:szCs w:val="20"/>
        </w:rPr>
        <w:t>poprzez</w:t>
      </w:r>
      <w:r w:rsidRPr="00177828">
        <w:rPr>
          <w:rFonts w:cs="Calibri"/>
          <w:szCs w:val="20"/>
        </w:rPr>
        <w:t xml:space="preserve"> szkolenie kadr, jak również </w:t>
      </w:r>
      <w:r>
        <w:rPr>
          <w:rFonts w:cs="Calibri"/>
          <w:szCs w:val="20"/>
        </w:rPr>
        <w:t>na podejmowanie działań zwiększających dostosowanie się przedsiębiorstw</w:t>
      </w:r>
      <w:r w:rsidR="00E66B89">
        <w:rPr>
          <w:rFonts w:cs="Calibri"/>
          <w:szCs w:val="20"/>
        </w:rPr>
        <w:t xml:space="preserve"> i </w:t>
      </w:r>
      <w:r>
        <w:rPr>
          <w:rFonts w:cs="Calibri"/>
          <w:szCs w:val="20"/>
        </w:rPr>
        <w:t>ich pracowników do zmian zachodzących</w:t>
      </w:r>
      <w:r w:rsidR="00E66B89">
        <w:rPr>
          <w:rFonts w:cs="Calibri"/>
          <w:szCs w:val="20"/>
        </w:rPr>
        <w:t xml:space="preserve"> w </w:t>
      </w:r>
      <w:r>
        <w:rPr>
          <w:rFonts w:cs="Calibri"/>
          <w:szCs w:val="20"/>
        </w:rPr>
        <w:t>gospodarce</w:t>
      </w:r>
      <w:r w:rsidRPr="00177828">
        <w:rPr>
          <w:rFonts w:cs="Calibri"/>
          <w:szCs w:val="20"/>
        </w:rPr>
        <w:t xml:space="preserve">. Jednocześnie zwracano uwagę, że pracownicy przedsiębiorstw posiadali niejednokrotnie niskie, dezaktualizujące się kompetencje i/lub kwalifikacje. </w:t>
      </w:r>
      <w:r>
        <w:rPr>
          <w:rFonts w:cs="Calibri"/>
          <w:szCs w:val="20"/>
        </w:rPr>
        <w:t>Rozpoznano</w:t>
      </w:r>
      <w:r w:rsidRPr="00177828">
        <w:rPr>
          <w:rFonts w:cs="Calibri"/>
          <w:szCs w:val="20"/>
        </w:rPr>
        <w:t xml:space="preserve"> również, że system dotychczasowego wsparcia </w:t>
      </w:r>
      <w:r>
        <w:rPr>
          <w:rFonts w:cs="Calibri"/>
          <w:szCs w:val="20"/>
        </w:rPr>
        <w:t xml:space="preserve">doradczo-szkoleniowego </w:t>
      </w:r>
      <w:r w:rsidRPr="00177828">
        <w:rPr>
          <w:rFonts w:cs="Calibri"/>
          <w:szCs w:val="20"/>
        </w:rPr>
        <w:t>przedsiębiorców</w:t>
      </w:r>
      <w:r w:rsidR="00E66B89">
        <w:rPr>
          <w:rFonts w:cs="Calibri"/>
          <w:szCs w:val="20"/>
        </w:rPr>
        <w:t xml:space="preserve"> i </w:t>
      </w:r>
      <w:r>
        <w:rPr>
          <w:rFonts w:cs="Calibri"/>
          <w:szCs w:val="20"/>
        </w:rPr>
        <w:t>pracowników przedsiębiorstw</w:t>
      </w:r>
      <w:r w:rsidRPr="00177828">
        <w:rPr>
          <w:rFonts w:cs="Calibri"/>
          <w:szCs w:val="20"/>
        </w:rPr>
        <w:t xml:space="preserve"> był niedostosowany do faktycznych potrzeb odbiorców - ograniczał ich wpływ na oferowane przez rynek formy wsparcia (na tematykę szkoleń czy zakres doradztwa).</w:t>
      </w:r>
      <w:r>
        <w:rPr>
          <w:rFonts w:cs="Calibri"/>
          <w:szCs w:val="20"/>
        </w:rPr>
        <w:t xml:space="preserve"> </w:t>
      </w:r>
      <w:r w:rsidRPr="00177828">
        <w:rPr>
          <w:rFonts w:cs="Calibri"/>
          <w:szCs w:val="20"/>
        </w:rPr>
        <w:t>Aktualne są potrzeby związane</w:t>
      </w:r>
      <w:r>
        <w:rPr>
          <w:rFonts w:cs="Calibri"/>
          <w:szCs w:val="20"/>
        </w:rPr>
        <w:t xml:space="preserve"> ze </w:t>
      </w:r>
      <w:r w:rsidRPr="00177828">
        <w:rPr>
          <w:rFonts w:cs="Calibri"/>
          <w:szCs w:val="20"/>
        </w:rPr>
        <w:t xml:space="preserve">wsparciem </w:t>
      </w:r>
      <w:r>
        <w:rPr>
          <w:rFonts w:cs="Calibri"/>
          <w:szCs w:val="20"/>
        </w:rPr>
        <w:t>rozwoju</w:t>
      </w:r>
      <w:r w:rsidR="00E66B89">
        <w:rPr>
          <w:rFonts w:cs="Calibri"/>
          <w:szCs w:val="20"/>
        </w:rPr>
        <w:t xml:space="preserve"> i </w:t>
      </w:r>
      <w:r>
        <w:rPr>
          <w:rFonts w:cs="Calibri"/>
          <w:szCs w:val="20"/>
        </w:rPr>
        <w:t>doskonaleniem</w:t>
      </w:r>
      <w:r w:rsidRPr="00177828">
        <w:rPr>
          <w:rFonts w:cs="Calibri"/>
          <w:szCs w:val="20"/>
        </w:rPr>
        <w:t xml:space="preserve"> </w:t>
      </w:r>
      <w:r>
        <w:rPr>
          <w:rFonts w:cs="Calibri"/>
          <w:szCs w:val="20"/>
        </w:rPr>
        <w:t>kwalifikacji</w:t>
      </w:r>
      <w:r w:rsidRPr="00177828">
        <w:rPr>
          <w:rFonts w:cs="Calibri"/>
          <w:szCs w:val="20"/>
        </w:rPr>
        <w:t xml:space="preserve"> pracowników </w:t>
      </w:r>
      <w:r>
        <w:rPr>
          <w:rFonts w:cs="Calibri"/>
          <w:szCs w:val="20"/>
        </w:rPr>
        <w:t>przedsiębiorstw</w:t>
      </w:r>
      <w:r w:rsidRPr="00177828">
        <w:rPr>
          <w:rFonts w:cs="Calibri"/>
          <w:szCs w:val="20"/>
        </w:rPr>
        <w:t xml:space="preserve">. Mimo to, poziom wykonania </w:t>
      </w:r>
      <w:r>
        <w:rPr>
          <w:rFonts w:cs="Calibri"/>
          <w:szCs w:val="20"/>
        </w:rPr>
        <w:t xml:space="preserve">wybranych </w:t>
      </w:r>
      <w:r w:rsidRPr="00177828">
        <w:rPr>
          <w:rFonts w:cs="Calibri"/>
          <w:szCs w:val="20"/>
        </w:rPr>
        <w:t xml:space="preserve">wskaźników (wg WoP) jest </w:t>
      </w:r>
      <w:r>
        <w:rPr>
          <w:rFonts w:cs="Calibri"/>
          <w:szCs w:val="20"/>
        </w:rPr>
        <w:t xml:space="preserve">relatywnie </w:t>
      </w:r>
      <w:r w:rsidRPr="00177828">
        <w:rPr>
          <w:rFonts w:cs="Calibri"/>
          <w:szCs w:val="20"/>
        </w:rPr>
        <w:t>niski. Na niski stopień realizacji wskaźników miała przede wszystkim wpływ</w:t>
      </w:r>
      <w:r>
        <w:rPr>
          <w:rFonts w:cs="Calibri"/>
          <w:szCs w:val="20"/>
        </w:rPr>
        <w:t>:</w:t>
      </w:r>
    </w:p>
    <w:p w14:paraId="264C549D" w14:textId="77777777" w:rsidR="00881780" w:rsidRPr="00B65C97" w:rsidRDefault="00881780" w:rsidP="00093E14">
      <w:pPr>
        <w:pStyle w:val="Akapitzlist"/>
        <w:numPr>
          <w:ilvl w:val="0"/>
          <w:numId w:val="48"/>
        </w:numPr>
        <w:rPr>
          <w:rFonts w:ascii="Lato" w:hAnsi="Lato"/>
          <w:sz w:val="20"/>
        </w:rPr>
      </w:pPr>
      <w:r w:rsidRPr="00B65C97">
        <w:rPr>
          <w:rFonts w:ascii="Lato" w:hAnsi="Lato"/>
          <w:sz w:val="20"/>
        </w:rPr>
        <w:lastRenderedPageBreak/>
        <w:t>długotrwała procedura ustalania trybu wdrażania Podmiotowego Systemu Finansowania Usług Rozwojowych;</w:t>
      </w:r>
    </w:p>
    <w:p w14:paraId="5956CC4C" w14:textId="77777777" w:rsidR="00881780" w:rsidRPr="00B65C97" w:rsidRDefault="00881780" w:rsidP="00093E14">
      <w:pPr>
        <w:pStyle w:val="Akapitzlist"/>
        <w:numPr>
          <w:ilvl w:val="0"/>
          <w:numId w:val="48"/>
        </w:numPr>
        <w:rPr>
          <w:rFonts w:ascii="Lato" w:hAnsi="Lato"/>
          <w:sz w:val="20"/>
        </w:rPr>
      </w:pPr>
      <w:r w:rsidRPr="00B65C97">
        <w:rPr>
          <w:rFonts w:ascii="Lato" w:hAnsi="Lato"/>
          <w:sz w:val="20"/>
        </w:rPr>
        <w:t>problemy związane</w:t>
      </w:r>
      <w:r w:rsidR="00E66B89">
        <w:rPr>
          <w:rFonts w:ascii="Lato" w:hAnsi="Lato"/>
          <w:sz w:val="20"/>
        </w:rPr>
        <w:t xml:space="preserve"> z </w:t>
      </w:r>
      <w:r w:rsidRPr="00B65C97">
        <w:rPr>
          <w:rFonts w:ascii="Lato" w:hAnsi="Lato"/>
          <w:sz w:val="20"/>
        </w:rPr>
        <w:t>uruchomieniem/ funkcjonalnością Bazy Usług Rozwojowych (internetowej bazy ofert usług rozwojowych, szkoleniowych</w:t>
      </w:r>
      <w:r w:rsidR="00E66B89">
        <w:rPr>
          <w:rFonts w:ascii="Lato" w:hAnsi="Lato"/>
          <w:sz w:val="20"/>
        </w:rPr>
        <w:t xml:space="preserve"> i </w:t>
      </w:r>
      <w:r w:rsidRPr="00B65C97">
        <w:rPr>
          <w:rFonts w:ascii="Lato" w:hAnsi="Lato"/>
          <w:sz w:val="20"/>
        </w:rPr>
        <w:t>doradczych), przygotowanej</w:t>
      </w:r>
      <w:r w:rsidR="00E66B89">
        <w:rPr>
          <w:rFonts w:ascii="Lato" w:hAnsi="Lato"/>
          <w:sz w:val="20"/>
        </w:rPr>
        <w:t xml:space="preserve"> w </w:t>
      </w:r>
      <w:r w:rsidRPr="00B65C97">
        <w:rPr>
          <w:rFonts w:ascii="Lato" w:hAnsi="Lato"/>
          <w:sz w:val="20"/>
        </w:rPr>
        <w:t>ramach projektu Polskiej Agencji Rozwoju Przedsiębiorczości pn. „Rozwój</w:t>
      </w:r>
      <w:r w:rsidR="00E66B89">
        <w:rPr>
          <w:rFonts w:ascii="Lato" w:hAnsi="Lato"/>
          <w:sz w:val="20"/>
        </w:rPr>
        <w:t xml:space="preserve"> i </w:t>
      </w:r>
      <w:r w:rsidRPr="00B65C97">
        <w:rPr>
          <w:rFonts w:ascii="Lato" w:hAnsi="Lato"/>
          <w:sz w:val="20"/>
        </w:rPr>
        <w:t>utrzymanie ogólnopolskiego Rejestru Usług Rozwojowych (RUR)”, finansowego ze środków POWER;</w:t>
      </w:r>
    </w:p>
    <w:p w14:paraId="71E86177" w14:textId="77777777" w:rsidR="00881780" w:rsidRPr="00B65C97" w:rsidRDefault="00881780" w:rsidP="00093E14">
      <w:pPr>
        <w:pStyle w:val="Akapitzlist"/>
        <w:numPr>
          <w:ilvl w:val="0"/>
          <w:numId w:val="48"/>
        </w:numPr>
        <w:rPr>
          <w:rFonts w:ascii="Lato" w:hAnsi="Lato"/>
          <w:sz w:val="20"/>
        </w:rPr>
      </w:pPr>
      <w:r w:rsidRPr="00B65C97">
        <w:rPr>
          <w:rFonts w:ascii="Lato" w:hAnsi="Lato"/>
          <w:sz w:val="20"/>
        </w:rPr>
        <w:t>niski –</w:t>
      </w:r>
      <w:r w:rsidR="00E66B89">
        <w:rPr>
          <w:rFonts w:ascii="Lato" w:hAnsi="Lato"/>
          <w:sz w:val="20"/>
        </w:rPr>
        <w:t xml:space="preserve"> w </w:t>
      </w:r>
      <w:r w:rsidRPr="00B65C97">
        <w:rPr>
          <w:rFonts w:ascii="Lato" w:hAnsi="Lato"/>
          <w:sz w:val="20"/>
        </w:rPr>
        <w:t xml:space="preserve">początkowym okresie funkcjonowania Bazy (lata 2015-2016) </w:t>
      </w:r>
      <w:r w:rsidRPr="00B65C97">
        <w:rPr>
          <w:rFonts w:ascii="Lato" w:hAnsi="Lato"/>
          <w:sz w:val="20"/>
        </w:rPr>
        <w:noBreakHyphen/>
        <w:t xml:space="preserve"> stopień jej nasycenia ofertami usług publikowanymi przez usługodawców.</w:t>
      </w:r>
    </w:p>
    <w:p w14:paraId="7AEFF49C" w14:textId="77777777" w:rsidR="00881780" w:rsidRDefault="00881780" w:rsidP="00881780">
      <w:pPr>
        <w:rPr>
          <w:rFonts w:cs="Calibri"/>
          <w:szCs w:val="20"/>
        </w:rPr>
      </w:pPr>
      <w:r>
        <w:rPr>
          <w:rFonts w:cs="Calibri"/>
          <w:szCs w:val="20"/>
        </w:rPr>
        <w:t>Uruchomienie r</w:t>
      </w:r>
      <w:r w:rsidRPr="00000FD8">
        <w:rPr>
          <w:rFonts w:cs="Calibri"/>
          <w:szCs w:val="20"/>
        </w:rPr>
        <w:t>ejestracj</w:t>
      </w:r>
      <w:r>
        <w:rPr>
          <w:rFonts w:cs="Calibri"/>
          <w:szCs w:val="20"/>
        </w:rPr>
        <w:t>i</w:t>
      </w:r>
      <w:r w:rsidRPr="00000FD8">
        <w:rPr>
          <w:rFonts w:cs="Calibri"/>
          <w:szCs w:val="20"/>
        </w:rPr>
        <w:t xml:space="preserve"> podmiotów świadczących usługi rozwojowe</w:t>
      </w:r>
      <w:r w:rsidR="00E66B89">
        <w:rPr>
          <w:rFonts w:cs="Calibri"/>
          <w:szCs w:val="20"/>
        </w:rPr>
        <w:t xml:space="preserve"> w </w:t>
      </w:r>
      <w:r w:rsidRPr="00000FD8">
        <w:rPr>
          <w:rFonts w:cs="Calibri"/>
          <w:szCs w:val="20"/>
        </w:rPr>
        <w:t>Rejestrze Usług Rozwojowych (RUR)</w:t>
      </w:r>
      <w:r>
        <w:rPr>
          <w:rFonts w:cs="Calibri"/>
          <w:szCs w:val="20"/>
        </w:rPr>
        <w:t xml:space="preserve"> miało miejsce</w:t>
      </w:r>
      <w:r w:rsidR="00E66B89">
        <w:rPr>
          <w:rFonts w:cs="Calibri"/>
          <w:szCs w:val="20"/>
        </w:rPr>
        <w:t xml:space="preserve"> w </w:t>
      </w:r>
      <w:r>
        <w:rPr>
          <w:rFonts w:cs="Calibri"/>
          <w:szCs w:val="20"/>
        </w:rPr>
        <w:t>IV kwartale 2015 roku.</w:t>
      </w:r>
      <w:r w:rsidR="00E66B89">
        <w:rPr>
          <w:rFonts w:cs="Calibri"/>
          <w:szCs w:val="20"/>
        </w:rPr>
        <w:t xml:space="preserve"> W </w:t>
      </w:r>
      <w:r>
        <w:rPr>
          <w:rFonts w:cs="Calibri"/>
          <w:szCs w:val="20"/>
        </w:rPr>
        <w:t>tym czasie konsultowane były</w:t>
      </w:r>
      <w:r w:rsidR="00E66B89">
        <w:rPr>
          <w:rFonts w:cs="Calibri"/>
          <w:szCs w:val="20"/>
        </w:rPr>
        <w:t xml:space="preserve"> z </w:t>
      </w:r>
      <w:r>
        <w:rPr>
          <w:rFonts w:cs="Calibri"/>
          <w:szCs w:val="20"/>
        </w:rPr>
        <w:t xml:space="preserve">Komisją Europejską </w:t>
      </w:r>
      <w:r w:rsidRPr="00142588">
        <w:rPr>
          <w:rFonts w:cs="Calibri"/>
          <w:szCs w:val="20"/>
        </w:rPr>
        <w:t>kryteri</w:t>
      </w:r>
      <w:r>
        <w:rPr>
          <w:rFonts w:cs="Calibri"/>
          <w:szCs w:val="20"/>
        </w:rPr>
        <w:t>a jakości</w:t>
      </w:r>
      <w:r w:rsidRPr="00142588">
        <w:rPr>
          <w:rFonts w:cs="Calibri"/>
          <w:szCs w:val="20"/>
        </w:rPr>
        <w:t xml:space="preserve"> warunkując</w:t>
      </w:r>
      <w:r>
        <w:rPr>
          <w:rFonts w:cs="Calibri"/>
          <w:szCs w:val="20"/>
        </w:rPr>
        <w:t>e</w:t>
      </w:r>
      <w:r w:rsidRPr="00142588">
        <w:rPr>
          <w:rFonts w:cs="Calibri"/>
          <w:szCs w:val="20"/>
        </w:rPr>
        <w:t xml:space="preserve"> uzyskanie wpisu do RUR</w:t>
      </w:r>
      <w:r w:rsidR="00E66B89">
        <w:rPr>
          <w:rFonts w:cs="Calibri"/>
          <w:szCs w:val="20"/>
        </w:rPr>
        <w:t xml:space="preserve"> i </w:t>
      </w:r>
      <w:r>
        <w:rPr>
          <w:rFonts w:cs="Calibri"/>
          <w:szCs w:val="20"/>
        </w:rPr>
        <w:t>świadczenie usług rozwojowych</w:t>
      </w:r>
      <w:r w:rsidRPr="00142588">
        <w:rPr>
          <w:rFonts w:cs="Calibri"/>
          <w:szCs w:val="20"/>
        </w:rPr>
        <w:t>.</w:t>
      </w:r>
      <w:r>
        <w:rPr>
          <w:rFonts w:cs="Calibri"/>
          <w:szCs w:val="20"/>
        </w:rPr>
        <w:t xml:space="preserve"> </w:t>
      </w:r>
      <w:r w:rsidRPr="00142588">
        <w:rPr>
          <w:rFonts w:cs="Calibri"/>
          <w:szCs w:val="20"/>
        </w:rPr>
        <w:t>10</w:t>
      </w:r>
      <w:r>
        <w:rPr>
          <w:rFonts w:cs="Calibri"/>
          <w:szCs w:val="20"/>
        </w:rPr>
        <w:t> </w:t>
      </w:r>
      <w:r w:rsidRPr="00142588">
        <w:rPr>
          <w:rFonts w:cs="Calibri"/>
          <w:szCs w:val="20"/>
        </w:rPr>
        <w:t>lutego 2016</w:t>
      </w:r>
      <w:r>
        <w:rPr>
          <w:rFonts w:cs="Calibri"/>
          <w:szCs w:val="20"/>
        </w:rPr>
        <w:t> </w:t>
      </w:r>
      <w:r w:rsidRPr="00142588">
        <w:rPr>
          <w:rFonts w:cs="Calibri"/>
          <w:szCs w:val="20"/>
        </w:rPr>
        <w:t xml:space="preserve">r. Komitet Monitorujący Program Operacyjny Wiedza Edukacja Rozwój podjął uchwałę </w:t>
      </w:r>
      <w:r>
        <w:rPr>
          <w:rFonts w:cs="Calibri"/>
          <w:szCs w:val="20"/>
        </w:rPr>
        <w:t>dotyczącą</w:t>
      </w:r>
      <w:r w:rsidRPr="00142588">
        <w:rPr>
          <w:rFonts w:cs="Calibri"/>
          <w:szCs w:val="20"/>
        </w:rPr>
        <w:t xml:space="preserve"> </w:t>
      </w:r>
      <w:r>
        <w:rPr>
          <w:rFonts w:cs="Calibri"/>
          <w:szCs w:val="20"/>
        </w:rPr>
        <w:t xml:space="preserve">procedury </w:t>
      </w:r>
      <w:r w:rsidRPr="00142588">
        <w:rPr>
          <w:rFonts w:cs="Calibri"/>
          <w:szCs w:val="20"/>
        </w:rPr>
        <w:t>weryfik</w:t>
      </w:r>
      <w:r>
        <w:rPr>
          <w:rFonts w:cs="Calibri"/>
          <w:szCs w:val="20"/>
        </w:rPr>
        <w:t>owania</w:t>
      </w:r>
      <w:r w:rsidRPr="00142588">
        <w:rPr>
          <w:rFonts w:cs="Calibri"/>
          <w:szCs w:val="20"/>
        </w:rPr>
        <w:t xml:space="preserve"> jakości usług świadczonych za pośrednictwem </w:t>
      </w:r>
      <w:r>
        <w:rPr>
          <w:rFonts w:cs="Calibri"/>
          <w:szCs w:val="20"/>
        </w:rPr>
        <w:t>RUR, co wiązało się</w:t>
      </w:r>
      <w:r w:rsidR="00E66B89">
        <w:rPr>
          <w:rFonts w:cs="Calibri"/>
          <w:szCs w:val="20"/>
        </w:rPr>
        <w:t xml:space="preserve"> z </w:t>
      </w:r>
      <w:r w:rsidRPr="005A0E87">
        <w:rPr>
          <w:rFonts w:cs="Calibri"/>
          <w:szCs w:val="20"/>
        </w:rPr>
        <w:t>koniecznoś</w:t>
      </w:r>
      <w:r>
        <w:rPr>
          <w:rFonts w:cs="Calibri"/>
          <w:szCs w:val="20"/>
        </w:rPr>
        <w:t>cią</w:t>
      </w:r>
      <w:r w:rsidRPr="005A0E87">
        <w:rPr>
          <w:rFonts w:cs="Calibri"/>
          <w:szCs w:val="20"/>
        </w:rPr>
        <w:t xml:space="preserve"> nowelizacji rozporządzenia Ministra Gospodarki</w:t>
      </w:r>
      <w:r w:rsidR="00E66B89">
        <w:rPr>
          <w:rFonts w:cs="Calibri"/>
          <w:szCs w:val="20"/>
        </w:rPr>
        <w:t xml:space="preserve"> z </w:t>
      </w:r>
      <w:r w:rsidRPr="005A0E87">
        <w:rPr>
          <w:rFonts w:cs="Calibri"/>
          <w:szCs w:val="20"/>
        </w:rPr>
        <w:t>dnia 24 maja 2011 r.</w:t>
      </w:r>
      <w:r w:rsidR="00E66B89">
        <w:rPr>
          <w:rFonts w:cs="Calibri"/>
          <w:szCs w:val="20"/>
        </w:rPr>
        <w:t xml:space="preserve"> w </w:t>
      </w:r>
      <w:r w:rsidRPr="005A0E87">
        <w:rPr>
          <w:rFonts w:cs="Calibri"/>
          <w:szCs w:val="20"/>
        </w:rPr>
        <w:t>sprawie Krajowego Systemu Usług</w:t>
      </w:r>
      <w:r>
        <w:rPr>
          <w:rFonts w:cs="Calibri"/>
          <w:szCs w:val="20"/>
        </w:rPr>
        <w:t xml:space="preserve"> (KSU)</w:t>
      </w:r>
      <w:r w:rsidRPr="005A0E87">
        <w:rPr>
          <w:rFonts w:cs="Calibri"/>
          <w:szCs w:val="20"/>
        </w:rPr>
        <w:t xml:space="preserve"> dla Małych</w:t>
      </w:r>
      <w:r w:rsidR="00E66B89">
        <w:rPr>
          <w:rFonts w:cs="Calibri"/>
          <w:szCs w:val="20"/>
        </w:rPr>
        <w:t xml:space="preserve"> i </w:t>
      </w:r>
      <w:r w:rsidRPr="005A0E87">
        <w:rPr>
          <w:rFonts w:cs="Calibri"/>
          <w:szCs w:val="20"/>
        </w:rPr>
        <w:t>Średnich Przedsiębiorstw</w:t>
      </w:r>
      <w:r>
        <w:rPr>
          <w:rStyle w:val="Odwoanieprzypisudolnego"/>
          <w:rFonts w:cs="Calibri"/>
          <w:szCs w:val="20"/>
        </w:rPr>
        <w:footnoteReference w:id="81"/>
      </w:r>
      <w:r w:rsidRPr="005A0E87">
        <w:rPr>
          <w:rFonts w:cs="Calibri"/>
          <w:szCs w:val="20"/>
        </w:rPr>
        <w:t>.</w:t>
      </w:r>
      <w:r>
        <w:rPr>
          <w:rFonts w:cs="Calibri"/>
          <w:szCs w:val="20"/>
        </w:rPr>
        <w:t xml:space="preserve"> Proces </w:t>
      </w:r>
      <w:r w:rsidRPr="005A0E87">
        <w:rPr>
          <w:rFonts w:cs="Calibri"/>
          <w:szCs w:val="20"/>
        </w:rPr>
        <w:t>weryfikacji</w:t>
      </w:r>
      <w:r>
        <w:rPr>
          <w:rFonts w:cs="Calibri"/>
          <w:szCs w:val="20"/>
        </w:rPr>
        <w:t xml:space="preserve"> </w:t>
      </w:r>
      <w:r w:rsidRPr="00C5514E">
        <w:rPr>
          <w:rFonts w:cs="Calibri"/>
          <w:szCs w:val="20"/>
        </w:rPr>
        <w:t>certyfikatów</w:t>
      </w:r>
      <w:r>
        <w:rPr>
          <w:rFonts w:cs="Calibri"/>
          <w:szCs w:val="20"/>
        </w:rPr>
        <w:t>,</w:t>
      </w:r>
      <w:r w:rsidRPr="00C5514E">
        <w:rPr>
          <w:rFonts w:cs="Calibri"/>
          <w:szCs w:val="20"/>
        </w:rPr>
        <w:t xml:space="preserve"> akredytacji</w:t>
      </w:r>
      <w:r>
        <w:rPr>
          <w:rFonts w:cs="Calibri"/>
          <w:szCs w:val="20"/>
        </w:rPr>
        <w:t>, spełniania</w:t>
      </w:r>
      <w:r w:rsidRPr="00C5514E">
        <w:rPr>
          <w:rFonts w:cs="Calibri"/>
          <w:szCs w:val="20"/>
        </w:rPr>
        <w:t xml:space="preserve"> standardów świadczenia usług rozwojowych</w:t>
      </w:r>
      <w:r w:rsidR="00E66B89">
        <w:rPr>
          <w:rFonts w:cs="Calibri"/>
          <w:szCs w:val="20"/>
        </w:rPr>
        <w:t xml:space="preserve"> i </w:t>
      </w:r>
      <w:r>
        <w:rPr>
          <w:rFonts w:cs="Calibri"/>
          <w:szCs w:val="20"/>
        </w:rPr>
        <w:t>rejestracji podmiotów</w:t>
      </w:r>
      <w:r w:rsidR="00E66B89">
        <w:rPr>
          <w:rFonts w:cs="Calibri"/>
          <w:szCs w:val="20"/>
        </w:rPr>
        <w:t xml:space="preserve"> w </w:t>
      </w:r>
      <w:r>
        <w:rPr>
          <w:rFonts w:cs="Calibri"/>
          <w:szCs w:val="20"/>
        </w:rPr>
        <w:t>bazie został wstrzymany</w:t>
      </w:r>
      <w:r w:rsidRPr="005A0E87">
        <w:rPr>
          <w:rFonts w:cs="Calibri"/>
          <w:szCs w:val="20"/>
        </w:rPr>
        <w:t>.</w:t>
      </w:r>
      <w:r>
        <w:rPr>
          <w:rFonts w:cs="Calibri"/>
          <w:szCs w:val="20"/>
        </w:rPr>
        <w:t xml:space="preserve"> </w:t>
      </w:r>
      <w:r w:rsidRPr="00C5514E">
        <w:rPr>
          <w:rFonts w:cs="Calibri"/>
          <w:szCs w:val="20"/>
        </w:rPr>
        <w:t xml:space="preserve">28 lipca </w:t>
      </w:r>
      <w:r>
        <w:rPr>
          <w:rFonts w:cs="Calibri"/>
          <w:szCs w:val="20"/>
        </w:rPr>
        <w:t>2016 r.</w:t>
      </w:r>
      <w:r w:rsidRPr="00C5514E">
        <w:rPr>
          <w:rFonts w:cs="Calibri"/>
          <w:szCs w:val="20"/>
        </w:rPr>
        <w:t xml:space="preserve"> opublikowan</w:t>
      </w:r>
      <w:r>
        <w:rPr>
          <w:rFonts w:cs="Calibri"/>
          <w:szCs w:val="20"/>
        </w:rPr>
        <w:t>o</w:t>
      </w:r>
      <w:r w:rsidRPr="00C5514E">
        <w:rPr>
          <w:rFonts w:cs="Calibri"/>
          <w:szCs w:val="20"/>
        </w:rPr>
        <w:t xml:space="preserve"> rozporządzenie Ministra Rozwoju zmieniające rozporządzenie</w:t>
      </w:r>
      <w:r w:rsidR="00E66B89">
        <w:rPr>
          <w:rFonts w:cs="Calibri"/>
          <w:szCs w:val="20"/>
        </w:rPr>
        <w:t xml:space="preserve"> w </w:t>
      </w:r>
      <w:r w:rsidRPr="00C5514E">
        <w:rPr>
          <w:rFonts w:cs="Calibri"/>
          <w:szCs w:val="20"/>
        </w:rPr>
        <w:t xml:space="preserve">sprawie </w:t>
      </w:r>
      <w:r>
        <w:rPr>
          <w:rFonts w:cs="Calibri"/>
          <w:szCs w:val="20"/>
        </w:rPr>
        <w:t>KSU</w:t>
      </w:r>
      <w:r w:rsidRPr="00C5514E">
        <w:rPr>
          <w:rFonts w:cs="Calibri"/>
          <w:szCs w:val="20"/>
        </w:rPr>
        <w:t xml:space="preserve"> dla Małych</w:t>
      </w:r>
      <w:r w:rsidR="00E66B89">
        <w:rPr>
          <w:rFonts w:cs="Calibri"/>
          <w:szCs w:val="20"/>
        </w:rPr>
        <w:t xml:space="preserve"> i </w:t>
      </w:r>
      <w:r w:rsidRPr="00C5514E">
        <w:rPr>
          <w:rFonts w:cs="Calibri"/>
          <w:szCs w:val="20"/>
        </w:rPr>
        <w:t>Średnich Przedsiębiorstw.</w:t>
      </w:r>
      <w:r>
        <w:rPr>
          <w:rStyle w:val="Odwoanieprzypisudolnego"/>
          <w:rFonts w:cs="Calibri"/>
          <w:szCs w:val="20"/>
        </w:rPr>
        <w:footnoteReference w:id="82"/>
      </w:r>
      <w:r w:rsidR="00E66B89">
        <w:rPr>
          <w:rFonts w:cs="Calibri"/>
          <w:szCs w:val="20"/>
        </w:rPr>
        <w:t xml:space="preserve"> W </w:t>
      </w:r>
      <w:r>
        <w:rPr>
          <w:rFonts w:cs="Calibri"/>
          <w:szCs w:val="20"/>
        </w:rPr>
        <w:t>sierpniu 2016 r. na mocy rozporządzenia</w:t>
      </w:r>
      <w:r w:rsidR="00E66B89">
        <w:rPr>
          <w:rFonts w:cs="Calibri"/>
          <w:szCs w:val="20"/>
        </w:rPr>
        <w:t xml:space="preserve"> z </w:t>
      </w:r>
      <w:r>
        <w:rPr>
          <w:rFonts w:cs="Calibri"/>
          <w:szCs w:val="20"/>
        </w:rPr>
        <w:t>dnia 15.07.2016 r.</w:t>
      </w:r>
      <w:r w:rsidR="00E66B89">
        <w:rPr>
          <w:rFonts w:cs="Calibri"/>
          <w:szCs w:val="20"/>
        </w:rPr>
        <w:t xml:space="preserve"> w </w:t>
      </w:r>
      <w:r>
        <w:rPr>
          <w:rFonts w:cs="Calibri"/>
          <w:szCs w:val="20"/>
        </w:rPr>
        <w:t xml:space="preserve">sprawie KSU, </w:t>
      </w:r>
      <w:r w:rsidRPr="00D22D10">
        <w:rPr>
          <w:rFonts w:cs="Calibri"/>
          <w:szCs w:val="20"/>
        </w:rPr>
        <w:t>Rejestr Usług Rozwojowych został przekształcony</w:t>
      </w:r>
      <w:r w:rsidR="00E66B89">
        <w:rPr>
          <w:rFonts w:cs="Calibri"/>
          <w:szCs w:val="20"/>
        </w:rPr>
        <w:t xml:space="preserve"> w </w:t>
      </w:r>
      <w:r w:rsidRPr="00D22D10">
        <w:rPr>
          <w:rFonts w:cs="Calibri"/>
          <w:szCs w:val="20"/>
        </w:rPr>
        <w:t>Bazę Usług Rozwojowych</w:t>
      </w:r>
      <w:r>
        <w:rPr>
          <w:rFonts w:cs="Calibri"/>
          <w:szCs w:val="20"/>
        </w:rPr>
        <w:t xml:space="preserve"> (BUR)</w:t>
      </w:r>
      <w:r w:rsidRPr="00D22D10">
        <w:rPr>
          <w:rFonts w:cs="Calibri"/>
          <w:szCs w:val="20"/>
        </w:rPr>
        <w:t>.</w:t>
      </w:r>
      <w:r>
        <w:rPr>
          <w:rFonts w:cs="Calibri"/>
          <w:szCs w:val="20"/>
        </w:rPr>
        <w:t xml:space="preserve"> </w:t>
      </w:r>
      <w:r w:rsidRPr="00D22D10">
        <w:rPr>
          <w:rFonts w:cs="Calibri"/>
          <w:szCs w:val="20"/>
        </w:rPr>
        <w:t>Podmioty dotychczas zarejestrowane</w:t>
      </w:r>
      <w:r w:rsidR="00E66B89">
        <w:rPr>
          <w:rFonts w:cs="Calibri"/>
          <w:szCs w:val="20"/>
        </w:rPr>
        <w:t xml:space="preserve"> w </w:t>
      </w:r>
      <w:r w:rsidRPr="00D22D10">
        <w:rPr>
          <w:rFonts w:cs="Calibri"/>
          <w:szCs w:val="20"/>
        </w:rPr>
        <w:t xml:space="preserve">RUR </w:t>
      </w:r>
      <w:r>
        <w:rPr>
          <w:rFonts w:cs="Calibri"/>
          <w:szCs w:val="20"/>
        </w:rPr>
        <w:t>mogły aktualizować</w:t>
      </w:r>
      <w:r w:rsidRPr="00D22D10">
        <w:rPr>
          <w:rFonts w:cs="Calibri"/>
          <w:szCs w:val="20"/>
        </w:rPr>
        <w:t xml:space="preserve"> swo</w:t>
      </w:r>
      <w:r>
        <w:rPr>
          <w:rFonts w:cs="Calibri"/>
          <w:szCs w:val="20"/>
        </w:rPr>
        <w:t xml:space="preserve">je </w:t>
      </w:r>
      <w:r w:rsidRPr="00D22D10">
        <w:rPr>
          <w:rFonts w:cs="Calibri"/>
          <w:szCs w:val="20"/>
        </w:rPr>
        <w:t>dan</w:t>
      </w:r>
      <w:r>
        <w:rPr>
          <w:rFonts w:cs="Calibri"/>
          <w:szCs w:val="20"/>
        </w:rPr>
        <w:t>e</w:t>
      </w:r>
      <w:r w:rsidR="00E66B89">
        <w:rPr>
          <w:rFonts w:cs="Calibri"/>
          <w:szCs w:val="20"/>
        </w:rPr>
        <w:t xml:space="preserve"> w </w:t>
      </w:r>
      <w:r w:rsidRPr="00D22D10">
        <w:rPr>
          <w:rFonts w:cs="Calibri"/>
          <w:szCs w:val="20"/>
        </w:rPr>
        <w:t xml:space="preserve">systemie, </w:t>
      </w:r>
      <w:r>
        <w:rPr>
          <w:rFonts w:cs="Calibri"/>
          <w:szCs w:val="20"/>
        </w:rPr>
        <w:t>jednocześnie</w:t>
      </w:r>
      <w:r w:rsidRPr="00D22D10">
        <w:rPr>
          <w:rFonts w:cs="Calibri"/>
          <w:szCs w:val="20"/>
        </w:rPr>
        <w:t xml:space="preserve"> potwierdz</w:t>
      </w:r>
      <w:r>
        <w:rPr>
          <w:rFonts w:cs="Calibri"/>
          <w:szCs w:val="20"/>
        </w:rPr>
        <w:t>ać</w:t>
      </w:r>
      <w:r w:rsidRPr="00D22D10">
        <w:rPr>
          <w:rFonts w:cs="Calibri"/>
          <w:szCs w:val="20"/>
        </w:rPr>
        <w:t xml:space="preserve"> spełniani</w:t>
      </w:r>
      <w:r>
        <w:rPr>
          <w:rFonts w:cs="Calibri"/>
          <w:szCs w:val="20"/>
        </w:rPr>
        <w:t>e</w:t>
      </w:r>
      <w:r w:rsidRPr="00D22D10">
        <w:rPr>
          <w:rFonts w:cs="Calibri"/>
          <w:szCs w:val="20"/>
        </w:rPr>
        <w:t xml:space="preserve"> </w:t>
      </w:r>
      <w:r>
        <w:rPr>
          <w:rFonts w:cs="Calibri"/>
          <w:szCs w:val="20"/>
        </w:rPr>
        <w:t>ustanowionych</w:t>
      </w:r>
      <w:r w:rsidRPr="00D22D10">
        <w:rPr>
          <w:rFonts w:cs="Calibri"/>
          <w:szCs w:val="20"/>
        </w:rPr>
        <w:t xml:space="preserve"> </w:t>
      </w:r>
      <w:r>
        <w:rPr>
          <w:rFonts w:cs="Calibri"/>
          <w:szCs w:val="20"/>
        </w:rPr>
        <w:t>standardów</w:t>
      </w:r>
      <w:r w:rsidRPr="00D22D10">
        <w:rPr>
          <w:rFonts w:cs="Calibri"/>
          <w:szCs w:val="20"/>
        </w:rPr>
        <w:t xml:space="preserve"> </w:t>
      </w:r>
      <w:r>
        <w:rPr>
          <w:rFonts w:cs="Calibri"/>
          <w:szCs w:val="20"/>
        </w:rPr>
        <w:t>jakości</w:t>
      </w:r>
      <w:r w:rsidRPr="00D22D10">
        <w:rPr>
          <w:rFonts w:cs="Calibri"/>
          <w:szCs w:val="20"/>
        </w:rPr>
        <w:t>.</w:t>
      </w:r>
      <w:r>
        <w:rPr>
          <w:rFonts w:cs="Calibri"/>
          <w:szCs w:val="20"/>
        </w:rPr>
        <w:t xml:space="preserve"> K</w:t>
      </w:r>
      <w:r w:rsidRPr="00177828">
        <w:rPr>
          <w:rFonts w:cs="Calibri"/>
          <w:szCs w:val="20"/>
        </w:rPr>
        <w:t>onsekwencj</w:t>
      </w:r>
      <w:r>
        <w:rPr>
          <w:rFonts w:cs="Calibri"/>
          <w:szCs w:val="20"/>
        </w:rPr>
        <w:t xml:space="preserve">ą opisanych działań było </w:t>
      </w:r>
      <w:r w:rsidRPr="00177828">
        <w:rPr>
          <w:rFonts w:cs="Calibri"/>
          <w:szCs w:val="20"/>
        </w:rPr>
        <w:t>późne uruchomienie pierwszego naboru na Operator</w:t>
      </w:r>
      <w:r>
        <w:rPr>
          <w:rFonts w:cs="Calibri"/>
          <w:szCs w:val="20"/>
        </w:rPr>
        <w:t>ów</w:t>
      </w:r>
      <w:r w:rsidRPr="00177828">
        <w:rPr>
          <w:rFonts w:cs="Calibri"/>
          <w:szCs w:val="20"/>
        </w:rPr>
        <w:t xml:space="preserve"> Systemu Popytowego</w:t>
      </w:r>
      <w:r>
        <w:rPr>
          <w:rFonts w:cs="Calibri"/>
          <w:szCs w:val="20"/>
        </w:rPr>
        <w:t xml:space="preserve">, </w:t>
      </w:r>
      <w:r w:rsidRPr="008812E9">
        <w:rPr>
          <w:rFonts w:cs="Calibri"/>
          <w:szCs w:val="20"/>
        </w:rPr>
        <w:t>któr</w:t>
      </w:r>
      <w:r>
        <w:rPr>
          <w:rFonts w:cs="Calibri"/>
          <w:szCs w:val="20"/>
        </w:rPr>
        <w:t>ym</w:t>
      </w:r>
      <w:r w:rsidRPr="008812E9">
        <w:rPr>
          <w:rFonts w:cs="Calibri"/>
          <w:szCs w:val="20"/>
        </w:rPr>
        <w:t xml:space="preserve"> zosta</w:t>
      </w:r>
      <w:r>
        <w:rPr>
          <w:rFonts w:cs="Calibri"/>
          <w:szCs w:val="20"/>
        </w:rPr>
        <w:t>ło</w:t>
      </w:r>
      <w:r w:rsidRPr="008812E9">
        <w:rPr>
          <w:rFonts w:cs="Calibri"/>
          <w:szCs w:val="20"/>
        </w:rPr>
        <w:t xml:space="preserve"> powierzone zadanie związane</w:t>
      </w:r>
      <w:r w:rsidR="00E66B89">
        <w:rPr>
          <w:rFonts w:cs="Calibri"/>
          <w:szCs w:val="20"/>
        </w:rPr>
        <w:t xml:space="preserve"> z </w:t>
      </w:r>
      <w:r w:rsidRPr="008812E9">
        <w:rPr>
          <w:rFonts w:cs="Calibri"/>
          <w:szCs w:val="20"/>
        </w:rPr>
        <w:t xml:space="preserve">obsługą MŚP oraz dystrybucją dofinansowania na usługi rozwojowe. Pierwsze środki dla przedsiębiorców </w:t>
      </w:r>
      <w:r>
        <w:rPr>
          <w:rFonts w:cs="Calibri"/>
          <w:szCs w:val="20"/>
        </w:rPr>
        <w:t>były</w:t>
      </w:r>
      <w:r w:rsidRPr="008812E9">
        <w:rPr>
          <w:rFonts w:cs="Calibri"/>
          <w:szCs w:val="20"/>
        </w:rPr>
        <w:t xml:space="preserve"> dostępne </w:t>
      </w:r>
      <w:r>
        <w:rPr>
          <w:rFonts w:cs="Calibri"/>
          <w:szCs w:val="20"/>
        </w:rPr>
        <w:t>pod koniec 2017 roku – konkurs rozstrzygnięto</w:t>
      </w:r>
      <w:r w:rsidR="00E66B89">
        <w:rPr>
          <w:rFonts w:cs="Calibri"/>
          <w:szCs w:val="20"/>
        </w:rPr>
        <w:t xml:space="preserve"> w I </w:t>
      </w:r>
      <w:r>
        <w:rPr>
          <w:rFonts w:cs="Calibri"/>
          <w:szCs w:val="20"/>
        </w:rPr>
        <w:t>kwartale 2017 roku</w:t>
      </w:r>
      <w:r w:rsidRPr="00177828">
        <w:rPr>
          <w:rFonts w:cs="Calibri"/>
          <w:szCs w:val="20"/>
        </w:rPr>
        <w:t>.</w:t>
      </w:r>
      <w:r>
        <w:rPr>
          <w:rFonts w:cs="Calibri"/>
          <w:szCs w:val="20"/>
        </w:rPr>
        <w:t xml:space="preserve"> </w:t>
      </w:r>
    </w:p>
    <w:p w14:paraId="6287F18A" w14:textId="77777777" w:rsidR="00881780" w:rsidRDefault="00881780" w:rsidP="00881780">
      <w:pPr>
        <w:rPr>
          <w:rFonts w:cs="Calibri"/>
          <w:szCs w:val="20"/>
        </w:rPr>
      </w:pPr>
      <w:r>
        <w:rPr>
          <w:rFonts w:cs="Calibri"/>
          <w:szCs w:val="20"/>
        </w:rPr>
        <w:t>Na aktualności / trafności</w:t>
      </w:r>
      <w:r w:rsidR="00E66B89">
        <w:rPr>
          <w:rFonts w:cs="Calibri"/>
          <w:szCs w:val="20"/>
        </w:rPr>
        <w:t xml:space="preserve"> w </w:t>
      </w:r>
      <w:r>
        <w:rPr>
          <w:rFonts w:cs="Calibri"/>
          <w:szCs w:val="20"/>
        </w:rPr>
        <w:t>stosunku do potrzeb</w:t>
      </w:r>
      <w:r w:rsidR="00E66B89">
        <w:rPr>
          <w:rFonts w:cs="Calibri"/>
          <w:szCs w:val="20"/>
        </w:rPr>
        <w:t xml:space="preserve"> w </w:t>
      </w:r>
      <w:r>
        <w:rPr>
          <w:rFonts w:cs="Calibri"/>
          <w:szCs w:val="20"/>
        </w:rPr>
        <w:t xml:space="preserve">regionie (co wynika ze zmian na regionalnym rynku pracy) straciła interwencja skierowana do </w:t>
      </w:r>
      <w:r w:rsidRPr="00C411CE">
        <w:rPr>
          <w:rFonts w:cs="Calibri"/>
          <w:szCs w:val="20"/>
        </w:rPr>
        <w:t>pracowników zagrożonych zwolnieniem</w:t>
      </w:r>
      <w:r w:rsidR="00E66B89">
        <w:rPr>
          <w:rFonts w:cs="Calibri"/>
          <w:szCs w:val="20"/>
        </w:rPr>
        <w:t xml:space="preserve"> z </w:t>
      </w:r>
      <w:r w:rsidRPr="00C411CE">
        <w:rPr>
          <w:rFonts w:cs="Calibri"/>
          <w:szCs w:val="20"/>
        </w:rPr>
        <w:t>pracy i/lub osób zwolnionych</w:t>
      </w:r>
      <w:r w:rsidR="00E66B89">
        <w:rPr>
          <w:rFonts w:cs="Calibri"/>
          <w:szCs w:val="20"/>
        </w:rPr>
        <w:t xml:space="preserve"> z </w:t>
      </w:r>
      <w:r w:rsidRPr="00C411CE">
        <w:rPr>
          <w:rFonts w:cs="Calibri"/>
          <w:szCs w:val="20"/>
        </w:rPr>
        <w:t>przyczyn dotyczących zakładu pracy</w:t>
      </w:r>
      <w:r>
        <w:rPr>
          <w:rFonts w:cs="Calibri"/>
          <w:szCs w:val="20"/>
        </w:rPr>
        <w:t xml:space="preserve"> oraz </w:t>
      </w:r>
      <w:r w:rsidRPr="00CD1BBF">
        <w:rPr>
          <w:rFonts w:cs="Calibri"/>
          <w:szCs w:val="20"/>
        </w:rPr>
        <w:t>przedsiębiorstw odczuwających negatywne skutki zmian gospodarczych</w:t>
      </w:r>
      <w:r>
        <w:rPr>
          <w:rFonts w:cs="Calibri"/>
          <w:szCs w:val="20"/>
        </w:rPr>
        <w:t>.</w:t>
      </w:r>
    </w:p>
    <w:p w14:paraId="144A387E" w14:textId="77777777" w:rsidR="00881780" w:rsidRDefault="00881780" w:rsidP="00881780">
      <w:pPr>
        <w:rPr>
          <w:rFonts w:cs="Calibri"/>
          <w:szCs w:val="20"/>
        </w:rPr>
      </w:pPr>
      <w:r>
        <w:rPr>
          <w:rFonts w:cs="Calibri"/>
          <w:szCs w:val="20"/>
        </w:rPr>
        <w:t>Mimo iż p</w:t>
      </w:r>
      <w:r w:rsidRPr="009020AB">
        <w:rPr>
          <w:rFonts w:cs="Calibri"/>
          <w:szCs w:val="20"/>
        </w:rPr>
        <w:t xml:space="preserve">roblem </w:t>
      </w:r>
      <w:r>
        <w:rPr>
          <w:rFonts w:cs="Calibri"/>
          <w:szCs w:val="20"/>
        </w:rPr>
        <w:t>niedopasowania</w:t>
      </w:r>
      <w:r w:rsidR="00E66B89">
        <w:rPr>
          <w:rFonts w:cs="Calibri"/>
          <w:szCs w:val="20"/>
        </w:rPr>
        <w:t xml:space="preserve"> w </w:t>
      </w:r>
      <w:r>
        <w:rPr>
          <w:rFonts w:cs="Calibri"/>
          <w:szCs w:val="20"/>
        </w:rPr>
        <w:t xml:space="preserve">regionie </w:t>
      </w:r>
      <w:r w:rsidRPr="009020AB">
        <w:rPr>
          <w:rFonts w:cs="Calibri"/>
          <w:szCs w:val="20"/>
        </w:rPr>
        <w:t>struktury podaży pracy</w:t>
      </w:r>
      <w:r w:rsidR="00E66B89">
        <w:rPr>
          <w:rFonts w:cs="Calibri"/>
          <w:szCs w:val="20"/>
        </w:rPr>
        <w:t xml:space="preserve"> i </w:t>
      </w:r>
      <w:r w:rsidRPr="009020AB">
        <w:rPr>
          <w:rFonts w:cs="Calibri"/>
          <w:szCs w:val="20"/>
        </w:rPr>
        <w:t xml:space="preserve">popytu na pracę jest nadal aktualny, </w:t>
      </w:r>
      <w:r>
        <w:rPr>
          <w:rFonts w:cs="Calibri"/>
          <w:szCs w:val="20"/>
        </w:rPr>
        <w:t xml:space="preserve">to </w:t>
      </w:r>
      <w:r w:rsidRPr="009020AB">
        <w:rPr>
          <w:rFonts w:cs="Calibri"/>
          <w:szCs w:val="20"/>
        </w:rPr>
        <w:t>z</w:t>
      </w:r>
      <w:r>
        <w:rPr>
          <w:rFonts w:cs="Calibri"/>
          <w:szCs w:val="20"/>
        </w:rPr>
        <w:t>e</w:t>
      </w:r>
      <w:r w:rsidRPr="009020AB">
        <w:rPr>
          <w:rFonts w:cs="Calibri"/>
          <w:szCs w:val="20"/>
        </w:rPr>
        <w:t xml:space="preserve"> </w:t>
      </w:r>
      <w:r>
        <w:rPr>
          <w:rFonts w:cs="Calibri"/>
          <w:szCs w:val="20"/>
        </w:rPr>
        <w:t>względu</w:t>
      </w:r>
      <w:r w:rsidRPr="009020AB">
        <w:rPr>
          <w:rFonts w:cs="Calibri"/>
          <w:szCs w:val="20"/>
        </w:rPr>
        <w:t xml:space="preserve"> na </w:t>
      </w:r>
      <w:r>
        <w:rPr>
          <w:rFonts w:cs="Calibri"/>
          <w:szCs w:val="20"/>
        </w:rPr>
        <w:t>rozpoznawaną</w:t>
      </w:r>
      <w:r w:rsidRPr="009020AB">
        <w:rPr>
          <w:rFonts w:cs="Calibri"/>
          <w:szCs w:val="20"/>
        </w:rPr>
        <w:t xml:space="preserve"> </w:t>
      </w:r>
      <w:r>
        <w:rPr>
          <w:rFonts w:cs="Calibri"/>
          <w:szCs w:val="20"/>
        </w:rPr>
        <w:t>tendencję do zmiany „rynku pracodawcy”</w:t>
      </w:r>
      <w:r w:rsidR="00E66B89">
        <w:rPr>
          <w:rFonts w:cs="Calibri"/>
          <w:szCs w:val="20"/>
        </w:rPr>
        <w:t xml:space="preserve"> w </w:t>
      </w:r>
      <w:r>
        <w:rPr>
          <w:rFonts w:cs="Calibri"/>
          <w:szCs w:val="20"/>
        </w:rPr>
        <w:t>kierunku</w:t>
      </w:r>
      <w:r w:rsidRPr="009020AB">
        <w:rPr>
          <w:rFonts w:cs="Calibri"/>
          <w:szCs w:val="20"/>
        </w:rPr>
        <w:t xml:space="preserve"> „rynku pracownika” </w:t>
      </w:r>
      <w:r>
        <w:rPr>
          <w:rFonts w:cs="Calibri"/>
          <w:szCs w:val="20"/>
        </w:rPr>
        <w:t>posiada inną (niż na etapie przygotowania Programu)</w:t>
      </w:r>
      <w:r w:rsidRPr="009020AB">
        <w:rPr>
          <w:rFonts w:cs="Calibri"/>
          <w:szCs w:val="20"/>
        </w:rPr>
        <w:t xml:space="preserve"> charakterystykę</w:t>
      </w:r>
      <w:r>
        <w:rPr>
          <w:rFonts w:cs="Calibri"/>
          <w:szCs w:val="20"/>
        </w:rPr>
        <w:t xml:space="preserve"> </w:t>
      </w:r>
      <w:r>
        <w:rPr>
          <w:rFonts w:cs="Calibri"/>
          <w:szCs w:val="20"/>
        </w:rPr>
        <w:noBreakHyphen/>
        <w:t xml:space="preserve"> kandydaci do pracy</w:t>
      </w:r>
      <w:r w:rsidR="00E66B89">
        <w:rPr>
          <w:rFonts w:cs="Calibri"/>
          <w:szCs w:val="20"/>
        </w:rPr>
        <w:t xml:space="preserve"> i </w:t>
      </w:r>
      <w:r w:rsidRPr="009020AB">
        <w:rPr>
          <w:rFonts w:cs="Calibri"/>
          <w:szCs w:val="20"/>
        </w:rPr>
        <w:t>pracownicy zaczęli być bardziej wymagający</w:t>
      </w:r>
      <w:r>
        <w:rPr>
          <w:rFonts w:cs="Calibri"/>
          <w:szCs w:val="20"/>
        </w:rPr>
        <w:t>.</w:t>
      </w:r>
      <w:r w:rsidRPr="009020AB">
        <w:rPr>
          <w:rFonts w:cs="Calibri"/>
          <w:szCs w:val="20"/>
        </w:rPr>
        <w:t xml:space="preserve"> Inwestycja</w:t>
      </w:r>
      <w:r w:rsidR="00E66B89">
        <w:rPr>
          <w:rFonts w:cs="Calibri"/>
          <w:szCs w:val="20"/>
        </w:rPr>
        <w:t xml:space="preserve"> w </w:t>
      </w:r>
      <w:r w:rsidRPr="009020AB">
        <w:rPr>
          <w:rFonts w:cs="Calibri"/>
          <w:szCs w:val="20"/>
        </w:rPr>
        <w:t xml:space="preserve">kwalifikacje pracowników </w:t>
      </w:r>
      <w:r>
        <w:rPr>
          <w:rFonts w:cs="Calibri"/>
          <w:szCs w:val="20"/>
        </w:rPr>
        <w:t>–</w:t>
      </w:r>
      <w:r w:rsidR="00E66B89">
        <w:rPr>
          <w:rFonts w:cs="Calibri"/>
          <w:szCs w:val="20"/>
        </w:rPr>
        <w:t xml:space="preserve"> w </w:t>
      </w:r>
      <w:r>
        <w:rPr>
          <w:rFonts w:cs="Calibri"/>
          <w:szCs w:val="20"/>
        </w:rPr>
        <w:t>ocenie pracodawcy – może być</w:t>
      </w:r>
      <w:r w:rsidR="00E66B89">
        <w:rPr>
          <w:rFonts w:cs="Calibri"/>
          <w:szCs w:val="20"/>
        </w:rPr>
        <w:t xml:space="preserve"> w </w:t>
      </w:r>
      <w:r w:rsidRPr="009020AB">
        <w:rPr>
          <w:rFonts w:cs="Calibri"/>
          <w:szCs w:val="20"/>
        </w:rPr>
        <w:t>takich okolicznościach inwestycją ryzykowną</w:t>
      </w:r>
      <w:r w:rsidR="00E66B89">
        <w:rPr>
          <w:rFonts w:cs="Calibri"/>
          <w:szCs w:val="20"/>
        </w:rPr>
        <w:t xml:space="preserve"> z </w:t>
      </w:r>
      <w:r w:rsidRPr="009020AB">
        <w:rPr>
          <w:rFonts w:cs="Calibri"/>
          <w:szCs w:val="20"/>
        </w:rPr>
        <w:t>niepewnym zwrotem.</w:t>
      </w:r>
    </w:p>
    <w:p w14:paraId="7E65E8D3" w14:textId="77777777" w:rsidR="00881780" w:rsidRPr="00FE43CD" w:rsidRDefault="00881780" w:rsidP="00881780">
      <w:pPr>
        <w:pStyle w:val="Nagwek4"/>
        <w:numPr>
          <w:ilvl w:val="0"/>
          <w:numId w:val="0"/>
        </w:numPr>
        <w:ind w:left="864" w:hanging="864"/>
        <w:rPr>
          <w:rFonts w:ascii="Lato" w:eastAsia="Calibri" w:hAnsi="Lato"/>
        </w:rPr>
      </w:pPr>
      <w:r w:rsidRPr="00FE43CD">
        <w:rPr>
          <w:rFonts w:ascii="Lato" w:eastAsia="Calibri" w:hAnsi="Lato"/>
        </w:rPr>
        <w:t>Prognozy osiągnięcia celów zakładanych na 2023 rok</w:t>
      </w:r>
    </w:p>
    <w:p w14:paraId="26A1E98E" w14:textId="77777777" w:rsidR="00881780" w:rsidRPr="00404DA5" w:rsidRDefault="00881780" w:rsidP="00881780">
      <w:pPr>
        <w:rPr>
          <w:rFonts w:cs="Calibri"/>
          <w:szCs w:val="20"/>
        </w:rPr>
      </w:pPr>
      <w:r w:rsidRPr="00404DA5">
        <w:rPr>
          <w:rFonts w:cs="Calibri"/>
          <w:szCs w:val="20"/>
        </w:rPr>
        <w:t>Biorąc pod uwagę zaplanowany</w:t>
      </w:r>
      <w:r w:rsidR="00E66B89">
        <w:rPr>
          <w:rFonts w:cs="Calibri"/>
          <w:szCs w:val="20"/>
        </w:rPr>
        <w:t xml:space="preserve"> w </w:t>
      </w:r>
      <w:r w:rsidRPr="00404DA5">
        <w:rPr>
          <w:rFonts w:cs="Calibri"/>
          <w:szCs w:val="20"/>
        </w:rPr>
        <w:t>ramach Działania 6.1</w:t>
      </w:r>
      <w:r w:rsidR="00E66B89">
        <w:rPr>
          <w:szCs w:val="20"/>
        </w:rPr>
        <w:t xml:space="preserve"> w </w:t>
      </w:r>
      <w:r w:rsidRPr="00404DA5">
        <w:rPr>
          <w:rFonts w:cs="Calibri"/>
          <w:szCs w:val="20"/>
        </w:rPr>
        <w:t>pierwszej połowie II kwartału 2019 r. nabór wniosków</w:t>
      </w:r>
      <w:r w:rsidR="00E66B89">
        <w:rPr>
          <w:rFonts w:cs="Calibri"/>
          <w:szCs w:val="20"/>
        </w:rPr>
        <w:t xml:space="preserve"> o </w:t>
      </w:r>
      <w:r w:rsidRPr="00404DA5">
        <w:rPr>
          <w:rFonts w:cs="Calibri"/>
          <w:szCs w:val="20"/>
        </w:rPr>
        <w:t>dofinansowanie projektów (polegających na wsparciu przedsiębiorców</w:t>
      </w:r>
      <w:r w:rsidR="00E66B89">
        <w:rPr>
          <w:rFonts w:cs="Calibri"/>
          <w:szCs w:val="20"/>
        </w:rPr>
        <w:t xml:space="preserve"> z </w:t>
      </w:r>
      <w:r w:rsidRPr="00404DA5">
        <w:rPr>
          <w:rFonts w:cs="Calibri"/>
          <w:szCs w:val="20"/>
        </w:rPr>
        <w:t>sektora mikro, małych</w:t>
      </w:r>
      <w:r w:rsidR="00E66B89">
        <w:rPr>
          <w:rFonts w:cs="Calibri"/>
          <w:szCs w:val="20"/>
        </w:rPr>
        <w:t xml:space="preserve"> i </w:t>
      </w:r>
      <w:r w:rsidRPr="00404DA5">
        <w:rPr>
          <w:rFonts w:cs="Calibri"/>
          <w:szCs w:val="20"/>
        </w:rPr>
        <w:t>średnich przedsiębiorstw oraz ich pracowników</w:t>
      </w:r>
      <w:r w:rsidR="00E66B89">
        <w:rPr>
          <w:rFonts w:cs="Calibri"/>
          <w:szCs w:val="20"/>
        </w:rPr>
        <w:t xml:space="preserve"> w </w:t>
      </w:r>
      <w:r w:rsidRPr="00404DA5">
        <w:rPr>
          <w:rFonts w:cs="Calibri"/>
          <w:szCs w:val="20"/>
        </w:rPr>
        <w:t>ramach Podmiotowego Systemu Finansowania usług rozwojowych), przygotowano prognozę pozwalającą – dla alokacji pozostałej / dostępnej</w:t>
      </w:r>
      <w:r w:rsidR="00E66B89">
        <w:rPr>
          <w:rFonts w:cs="Calibri"/>
          <w:szCs w:val="20"/>
        </w:rPr>
        <w:t xml:space="preserve"> w </w:t>
      </w:r>
      <w:r w:rsidRPr="00404DA5">
        <w:rPr>
          <w:rFonts w:cs="Calibri"/>
          <w:szCs w:val="20"/>
        </w:rPr>
        <w:t>PI 8v (82 488 800, 48 zł</w:t>
      </w:r>
      <w:r w:rsidR="00E66B89">
        <w:rPr>
          <w:rFonts w:cs="Calibri"/>
          <w:szCs w:val="20"/>
        </w:rPr>
        <w:t xml:space="preserve"> z </w:t>
      </w:r>
      <w:r w:rsidRPr="00404DA5">
        <w:rPr>
          <w:rFonts w:cs="Calibri"/>
          <w:szCs w:val="20"/>
        </w:rPr>
        <w:t>RW; 71 938 519,90 zł bez RW) – ocenić maksymalną, możliwą do osiągnięcia wartość wybranego wskaźnika realizowanego</w:t>
      </w:r>
      <w:r w:rsidR="00E66B89">
        <w:rPr>
          <w:rFonts w:cs="Calibri"/>
          <w:szCs w:val="20"/>
        </w:rPr>
        <w:t xml:space="preserve"> w </w:t>
      </w:r>
      <w:r w:rsidRPr="00404DA5">
        <w:rPr>
          <w:rFonts w:cs="Calibri"/>
          <w:szCs w:val="20"/>
        </w:rPr>
        <w:t>projektach</w:t>
      </w:r>
      <w:r w:rsidR="00E66B89">
        <w:rPr>
          <w:rFonts w:cs="Calibri"/>
          <w:szCs w:val="20"/>
        </w:rPr>
        <w:t xml:space="preserve"> o </w:t>
      </w:r>
      <w:r w:rsidRPr="00404DA5">
        <w:rPr>
          <w:rFonts w:cs="Calibri"/>
          <w:szCs w:val="20"/>
        </w:rPr>
        <w:t>największym potencjale</w:t>
      </w:r>
      <w:r w:rsidR="00E66B89">
        <w:rPr>
          <w:rFonts w:cs="Calibri"/>
          <w:szCs w:val="20"/>
        </w:rPr>
        <w:t xml:space="preserve"> w </w:t>
      </w:r>
      <w:r w:rsidRPr="00404DA5">
        <w:rPr>
          <w:rFonts w:cs="Calibri"/>
          <w:szCs w:val="20"/>
        </w:rPr>
        <w:t>zakresie absorpcji</w:t>
      </w:r>
      <w:r w:rsidR="00E66B89">
        <w:rPr>
          <w:rFonts w:cs="Calibri"/>
          <w:szCs w:val="20"/>
        </w:rPr>
        <w:t xml:space="preserve"> w </w:t>
      </w:r>
      <w:r w:rsidRPr="00404DA5">
        <w:rPr>
          <w:rFonts w:cs="Calibri"/>
          <w:szCs w:val="20"/>
        </w:rPr>
        <w:t>ramach PI 8v.</w:t>
      </w:r>
    </w:p>
    <w:p w14:paraId="2C89ACA7" w14:textId="77777777" w:rsidR="00881780" w:rsidRPr="00D87AE8" w:rsidRDefault="00881780" w:rsidP="00D87AE8">
      <w:pPr>
        <w:pStyle w:val="Legenda"/>
        <w:spacing w:after="0"/>
      </w:pPr>
      <w:bookmarkStart w:id="241" w:name="_Toc8824221"/>
      <w:r w:rsidRPr="00404DA5">
        <w:lastRenderedPageBreak/>
        <w:t xml:space="preserve">Tabela </w:t>
      </w:r>
      <w:r>
        <w:fldChar w:fldCharType="begin"/>
      </w:r>
      <w:r>
        <w:instrText xml:space="preserve"> SEQ Tabela \* ARABIC </w:instrText>
      </w:r>
      <w:r>
        <w:fldChar w:fldCharType="separate"/>
      </w:r>
      <w:r w:rsidR="00763345">
        <w:rPr>
          <w:noProof/>
        </w:rPr>
        <w:t>110</w:t>
      </w:r>
      <w:r>
        <w:fldChar w:fldCharType="end"/>
      </w:r>
      <w:r w:rsidRPr="00404DA5">
        <w:t xml:space="preserve"> Prognozowany poziom realizacji wskaźników produktu</w:t>
      </w:r>
      <w:r w:rsidR="00E66B89">
        <w:t xml:space="preserve"> i </w:t>
      </w:r>
      <w:r w:rsidRPr="00404DA5">
        <w:t>rezultatu bezpośredniego na rok 2023 – PI 8v</w:t>
      </w:r>
      <w:bookmarkEnd w:id="241"/>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662"/>
        <w:gridCol w:w="1397"/>
        <w:gridCol w:w="1974"/>
        <w:gridCol w:w="1980"/>
      </w:tblGrid>
      <w:tr w:rsidR="00881780" w:rsidRPr="00FE43CD" w14:paraId="08B13C0F" w14:textId="77777777" w:rsidTr="00C22C26">
        <w:trPr>
          <w:trHeight w:val="811"/>
          <w:tblHeader/>
        </w:trPr>
        <w:tc>
          <w:tcPr>
            <w:tcW w:w="478" w:type="pct"/>
            <w:shd w:val="clear" w:color="auto" w:fill="DBE5F1"/>
          </w:tcPr>
          <w:p w14:paraId="38B141C2" w14:textId="77777777" w:rsidR="00881780" w:rsidRPr="00404DA5" w:rsidRDefault="00881780" w:rsidP="006F4D8F">
            <w:pPr>
              <w:spacing w:line="240" w:lineRule="auto"/>
              <w:jc w:val="center"/>
              <w:rPr>
                <w:rFonts w:cs="Calibri"/>
                <w:sz w:val="16"/>
                <w:szCs w:val="18"/>
              </w:rPr>
            </w:pPr>
            <w:r w:rsidRPr="00404DA5">
              <w:rPr>
                <w:rFonts w:cs="Calibri"/>
                <w:sz w:val="16"/>
                <w:szCs w:val="18"/>
              </w:rPr>
              <w:t>Typ wskaźnika</w:t>
            </w:r>
          </w:p>
        </w:tc>
        <w:tc>
          <w:tcPr>
            <w:tcW w:w="1499" w:type="pct"/>
            <w:shd w:val="clear" w:color="auto" w:fill="DBE5F1"/>
          </w:tcPr>
          <w:p w14:paraId="03348712" w14:textId="77777777" w:rsidR="00881780" w:rsidRPr="00404DA5" w:rsidRDefault="00881780" w:rsidP="006F4D8F">
            <w:pPr>
              <w:spacing w:line="240" w:lineRule="auto"/>
              <w:jc w:val="center"/>
              <w:rPr>
                <w:rFonts w:cs="Calibri"/>
                <w:sz w:val="16"/>
                <w:szCs w:val="18"/>
              </w:rPr>
            </w:pPr>
            <w:r w:rsidRPr="00404DA5">
              <w:rPr>
                <w:rFonts w:cs="Calibri"/>
                <w:sz w:val="16"/>
                <w:szCs w:val="18"/>
              </w:rPr>
              <w:t>Wskaźnik</w:t>
            </w:r>
          </w:p>
        </w:tc>
        <w:tc>
          <w:tcPr>
            <w:tcW w:w="792" w:type="pct"/>
            <w:shd w:val="clear" w:color="auto" w:fill="DBE5F1"/>
          </w:tcPr>
          <w:p w14:paraId="112E7DFB" w14:textId="77777777" w:rsidR="00881780" w:rsidRPr="00404DA5" w:rsidRDefault="00881780" w:rsidP="006F4D8F">
            <w:pPr>
              <w:spacing w:line="240" w:lineRule="auto"/>
              <w:jc w:val="center"/>
              <w:rPr>
                <w:rFonts w:cs="Calibri"/>
                <w:sz w:val="16"/>
                <w:szCs w:val="18"/>
              </w:rPr>
            </w:pPr>
            <w:r w:rsidRPr="00404DA5">
              <w:rPr>
                <w:rFonts w:cs="Calibri"/>
                <w:sz w:val="16"/>
                <w:szCs w:val="18"/>
              </w:rPr>
              <w:t>Wartość docelowa określona na 2023 rok</w:t>
            </w:r>
          </w:p>
        </w:tc>
        <w:tc>
          <w:tcPr>
            <w:tcW w:w="1114" w:type="pct"/>
            <w:shd w:val="clear" w:color="auto" w:fill="DBE5F1"/>
          </w:tcPr>
          <w:p w14:paraId="3FA3C1C1" w14:textId="77777777" w:rsidR="00881780" w:rsidRPr="00404DA5" w:rsidRDefault="00881780" w:rsidP="006F4D8F">
            <w:pPr>
              <w:spacing w:line="240" w:lineRule="auto"/>
              <w:jc w:val="center"/>
              <w:rPr>
                <w:rFonts w:cs="Calibri"/>
                <w:sz w:val="16"/>
                <w:szCs w:val="18"/>
              </w:rPr>
            </w:pPr>
            <w:r w:rsidRPr="00404DA5">
              <w:rPr>
                <w:rFonts w:cs="Calibri"/>
                <w:sz w:val="16"/>
                <w:szCs w:val="18"/>
              </w:rPr>
              <w:t xml:space="preserve">Prognozowana całkowita wartość wskaźnika </w:t>
            </w:r>
          </w:p>
        </w:tc>
        <w:tc>
          <w:tcPr>
            <w:tcW w:w="1117" w:type="pct"/>
            <w:shd w:val="clear" w:color="auto" w:fill="DBE5F1"/>
          </w:tcPr>
          <w:p w14:paraId="084CE31B" w14:textId="77777777" w:rsidR="00881780" w:rsidRPr="00404DA5" w:rsidRDefault="00881780" w:rsidP="006F4D8F">
            <w:pPr>
              <w:spacing w:line="240" w:lineRule="auto"/>
              <w:jc w:val="center"/>
              <w:rPr>
                <w:rFonts w:cs="Calibri"/>
                <w:sz w:val="16"/>
                <w:szCs w:val="18"/>
              </w:rPr>
            </w:pPr>
            <w:r w:rsidRPr="00404DA5">
              <w:rPr>
                <w:rFonts w:cs="Calibri"/>
                <w:sz w:val="16"/>
                <w:szCs w:val="18"/>
              </w:rPr>
              <w:t>Prognozowany % realizacji wartości docelowej</w:t>
            </w:r>
          </w:p>
        </w:tc>
      </w:tr>
      <w:tr w:rsidR="00881780" w:rsidRPr="00FE43CD" w14:paraId="29712B7A" w14:textId="77777777" w:rsidTr="006F4D8F">
        <w:trPr>
          <w:trHeight w:val="657"/>
        </w:trPr>
        <w:tc>
          <w:tcPr>
            <w:tcW w:w="478" w:type="pct"/>
            <w:shd w:val="clear" w:color="auto" w:fill="auto"/>
            <w:vAlign w:val="center"/>
          </w:tcPr>
          <w:p w14:paraId="1259B63D" w14:textId="77777777" w:rsidR="00881780" w:rsidRPr="00404DA5" w:rsidRDefault="00881780" w:rsidP="006F4D8F">
            <w:pPr>
              <w:spacing w:line="240" w:lineRule="auto"/>
              <w:rPr>
                <w:rFonts w:cs="Calibri"/>
                <w:sz w:val="18"/>
                <w:szCs w:val="18"/>
              </w:rPr>
            </w:pPr>
            <w:r w:rsidRPr="00404DA5">
              <w:rPr>
                <w:rFonts w:cs="Calibri"/>
                <w:sz w:val="18"/>
                <w:szCs w:val="18"/>
              </w:rPr>
              <w:t>WP</w:t>
            </w:r>
          </w:p>
        </w:tc>
        <w:tc>
          <w:tcPr>
            <w:tcW w:w="1499" w:type="pct"/>
            <w:shd w:val="clear" w:color="auto" w:fill="auto"/>
            <w:vAlign w:val="center"/>
          </w:tcPr>
          <w:p w14:paraId="16B0EAC6" w14:textId="77777777" w:rsidR="00881780" w:rsidRPr="00404DA5" w:rsidRDefault="00881780" w:rsidP="006F4D8F">
            <w:pPr>
              <w:spacing w:line="240" w:lineRule="auto"/>
              <w:rPr>
                <w:rFonts w:cs="Calibri"/>
                <w:sz w:val="18"/>
                <w:szCs w:val="18"/>
              </w:rPr>
            </w:pPr>
            <w:r w:rsidRPr="00404DA5">
              <w:rPr>
                <w:rFonts w:cs="Calibri"/>
                <w:sz w:val="18"/>
                <w:szCs w:val="18"/>
              </w:rPr>
              <w:t>Liczba osób pracujących objętych wsparciem</w:t>
            </w:r>
            <w:r w:rsidR="00E66B89">
              <w:rPr>
                <w:rFonts w:cs="Calibri"/>
                <w:sz w:val="18"/>
                <w:szCs w:val="18"/>
              </w:rPr>
              <w:t xml:space="preserve"> w </w:t>
            </w:r>
            <w:r w:rsidRPr="00404DA5">
              <w:rPr>
                <w:rFonts w:cs="Calibri"/>
                <w:sz w:val="18"/>
                <w:szCs w:val="18"/>
              </w:rPr>
              <w:t>programie (łącznie</w:t>
            </w:r>
            <w:r w:rsidR="00E66B89">
              <w:rPr>
                <w:rFonts w:cs="Calibri"/>
                <w:sz w:val="18"/>
                <w:szCs w:val="18"/>
              </w:rPr>
              <w:t xml:space="preserve"> z </w:t>
            </w:r>
            <w:r w:rsidRPr="00404DA5">
              <w:rPr>
                <w:rFonts w:cs="Calibri"/>
                <w:sz w:val="18"/>
                <w:szCs w:val="18"/>
              </w:rPr>
              <w:t xml:space="preserve">pracującymi na własny rachunek) (CI) </w:t>
            </w:r>
          </w:p>
        </w:tc>
        <w:tc>
          <w:tcPr>
            <w:tcW w:w="792" w:type="pct"/>
            <w:shd w:val="clear" w:color="auto" w:fill="auto"/>
            <w:vAlign w:val="center"/>
          </w:tcPr>
          <w:p w14:paraId="1C2B72A4" w14:textId="77777777" w:rsidR="00881780" w:rsidRPr="00404DA5" w:rsidRDefault="00881780" w:rsidP="006F4D8F">
            <w:pPr>
              <w:spacing w:line="240" w:lineRule="auto"/>
              <w:jc w:val="center"/>
              <w:rPr>
                <w:rFonts w:cs="Calibri"/>
                <w:sz w:val="18"/>
                <w:szCs w:val="18"/>
              </w:rPr>
            </w:pPr>
            <w:r w:rsidRPr="00404DA5">
              <w:rPr>
                <w:rFonts w:cs="Calibri"/>
                <w:sz w:val="18"/>
                <w:szCs w:val="18"/>
              </w:rPr>
              <w:t>17 061</w:t>
            </w:r>
          </w:p>
        </w:tc>
        <w:tc>
          <w:tcPr>
            <w:tcW w:w="1114" w:type="pct"/>
            <w:shd w:val="clear" w:color="auto" w:fill="auto"/>
            <w:vAlign w:val="center"/>
          </w:tcPr>
          <w:p w14:paraId="49D9C6B5" w14:textId="77777777" w:rsidR="00881780" w:rsidRPr="00404DA5" w:rsidRDefault="00881780" w:rsidP="006F4D8F">
            <w:pPr>
              <w:spacing w:line="240" w:lineRule="auto"/>
              <w:jc w:val="center"/>
              <w:rPr>
                <w:rFonts w:cs="Calibri"/>
                <w:sz w:val="18"/>
                <w:szCs w:val="18"/>
              </w:rPr>
            </w:pPr>
            <w:r w:rsidRPr="00404DA5">
              <w:rPr>
                <w:rFonts w:cs="Calibri"/>
                <w:sz w:val="18"/>
                <w:szCs w:val="18"/>
              </w:rPr>
              <w:t>34 053,23</w:t>
            </w:r>
            <w:r w:rsidRPr="00404DA5">
              <w:rPr>
                <w:rStyle w:val="Odwoanieprzypisudolnego"/>
                <w:sz w:val="18"/>
                <w:szCs w:val="18"/>
              </w:rPr>
              <w:footnoteReference w:id="83"/>
            </w:r>
          </w:p>
          <w:p w14:paraId="42A8F262" w14:textId="77777777" w:rsidR="00881780" w:rsidRPr="00404DA5" w:rsidRDefault="00881780" w:rsidP="006F4D8F">
            <w:pPr>
              <w:spacing w:line="240" w:lineRule="auto"/>
              <w:jc w:val="center"/>
              <w:rPr>
                <w:rFonts w:cs="Calibri"/>
                <w:sz w:val="18"/>
                <w:szCs w:val="18"/>
              </w:rPr>
            </w:pPr>
            <w:r w:rsidRPr="00404DA5">
              <w:rPr>
                <w:rFonts w:cs="Calibri"/>
                <w:sz w:val="18"/>
                <w:szCs w:val="18"/>
              </w:rPr>
              <w:t>18 243,23</w:t>
            </w:r>
            <w:r w:rsidRPr="00404DA5">
              <w:rPr>
                <w:rStyle w:val="Odwoanieprzypisudolnego"/>
                <w:sz w:val="18"/>
                <w:szCs w:val="18"/>
              </w:rPr>
              <w:footnoteReference w:id="84"/>
            </w:r>
          </w:p>
        </w:tc>
        <w:tc>
          <w:tcPr>
            <w:tcW w:w="1117" w:type="pct"/>
            <w:shd w:val="clear" w:color="auto" w:fill="auto"/>
            <w:vAlign w:val="center"/>
          </w:tcPr>
          <w:p w14:paraId="66677144" w14:textId="77777777" w:rsidR="00881780" w:rsidRPr="00404DA5" w:rsidRDefault="00881780" w:rsidP="006F4D8F">
            <w:pPr>
              <w:spacing w:line="240" w:lineRule="auto"/>
              <w:jc w:val="center"/>
              <w:rPr>
                <w:rFonts w:cs="Calibri"/>
                <w:sz w:val="18"/>
                <w:szCs w:val="18"/>
              </w:rPr>
            </w:pPr>
            <w:r w:rsidRPr="00404DA5">
              <w:rPr>
                <w:rFonts w:cs="Calibri"/>
                <w:sz w:val="18"/>
                <w:szCs w:val="18"/>
              </w:rPr>
              <w:t>200%</w:t>
            </w:r>
            <w:r w:rsidRPr="00404DA5">
              <w:rPr>
                <w:rStyle w:val="Odwoanieprzypisudolnego"/>
                <w:sz w:val="18"/>
                <w:szCs w:val="18"/>
              </w:rPr>
              <w:footnoteReference w:id="85"/>
            </w:r>
          </w:p>
        </w:tc>
      </w:tr>
    </w:tbl>
    <w:p w14:paraId="759D9EC4"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zawartych UoD na dzień 07.01.2019 r., obliczenia</w:t>
      </w:r>
      <w:r w:rsidR="00E66B89" w:rsidRPr="00EE66C6">
        <w:rPr>
          <w:i/>
          <w:sz w:val="18"/>
          <w:szCs w:val="20"/>
        </w:rPr>
        <w:t xml:space="preserve"> i </w:t>
      </w:r>
      <w:r w:rsidRPr="00EE66C6">
        <w:rPr>
          <w:i/>
          <w:sz w:val="18"/>
          <w:szCs w:val="20"/>
        </w:rPr>
        <w:t xml:space="preserve">analizy własne. </w:t>
      </w:r>
    </w:p>
    <w:p w14:paraId="3AE0AEED" w14:textId="77777777" w:rsidR="00881780" w:rsidRPr="00404DA5" w:rsidRDefault="00881780" w:rsidP="00881780">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 xml:space="preserve">przeprowadzoną prognozą </w:t>
      </w:r>
      <w:bookmarkStart w:id="242" w:name="_Hlk3460900"/>
      <w:r w:rsidRPr="00404DA5">
        <w:rPr>
          <w:rFonts w:cs="Calibri"/>
          <w:szCs w:val="20"/>
        </w:rPr>
        <w:t>przy obliczonym koszcie jednostkowym wskaźnika uwzględniającym wzrost cen (indeks CPI 104,3%)</w:t>
      </w:r>
      <w:r w:rsidR="00E66B89">
        <w:rPr>
          <w:rFonts w:cs="Calibri"/>
          <w:szCs w:val="20"/>
        </w:rPr>
        <w:t xml:space="preserve"> i </w:t>
      </w:r>
      <w:r w:rsidRPr="00404DA5">
        <w:rPr>
          <w:rFonts w:cs="Calibri"/>
          <w:szCs w:val="20"/>
        </w:rPr>
        <w:t>wynoszącym 4 52</w:t>
      </w:r>
      <w:r>
        <w:rPr>
          <w:rFonts w:cs="Calibri"/>
          <w:szCs w:val="20"/>
        </w:rPr>
        <w:t>1</w:t>
      </w:r>
      <w:r w:rsidRPr="00404DA5">
        <w:rPr>
          <w:rFonts w:cs="Calibri"/>
          <w:szCs w:val="20"/>
        </w:rPr>
        <w:t>,61 zł, alokacja pozostała</w:t>
      </w:r>
      <w:r w:rsidR="00E66B89">
        <w:rPr>
          <w:rFonts w:cs="Calibri"/>
          <w:szCs w:val="20"/>
        </w:rPr>
        <w:t xml:space="preserve"> w </w:t>
      </w:r>
      <w:r w:rsidRPr="00404DA5">
        <w:rPr>
          <w:rFonts w:cs="Calibri"/>
          <w:szCs w:val="20"/>
        </w:rPr>
        <w:t>PI 8v umożliwi objęcie wsparciem jeszcze 18 243,23 osób, co – łącznie</w:t>
      </w:r>
      <w:r w:rsidR="00E66B89">
        <w:rPr>
          <w:rFonts w:cs="Calibri"/>
          <w:szCs w:val="20"/>
        </w:rPr>
        <w:t xml:space="preserve"> z </w:t>
      </w:r>
      <w:r w:rsidRPr="00404DA5">
        <w:rPr>
          <w:rFonts w:cs="Calibri"/>
          <w:szCs w:val="20"/>
        </w:rPr>
        <w:t>wartością wskaźnika wg. UoD (15 810 osób) – oznacza całkowitą prognozowaną wartość wskaźnika do osiągnięcia na poziomie 200% (razem 34 053,23 osoby objęte wsparciem).</w:t>
      </w:r>
    </w:p>
    <w:bookmarkEnd w:id="242"/>
    <w:p w14:paraId="58A39F53" w14:textId="77777777" w:rsidR="00881780" w:rsidRPr="00404DA5" w:rsidRDefault="00881780" w:rsidP="00881780">
      <w:pPr>
        <w:rPr>
          <w:rFonts w:cs="Calibri"/>
          <w:szCs w:val="20"/>
        </w:rPr>
      </w:pPr>
      <w:r w:rsidRPr="00404DA5">
        <w:rPr>
          <w:rFonts w:cs="Calibri"/>
          <w:szCs w:val="20"/>
        </w:rPr>
        <w:t>Przeprowadzenie drugiego naboru wniosków</w:t>
      </w:r>
      <w:r w:rsidR="00E66B89">
        <w:rPr>
          <w:rFonts w:cs="Calibri"/>
          <w:szCs w:val="20"/>
        </w:rPr>
        <w:t xml:space="preserve"> o </w:t>
      </w:r>
      <w:r w:rsidRPr="00404DA5">
        <w:rPr>
          <w:rFonts w:cs="Calibri"/>
          <w:szCs w:val="20"/>
        </w:rPr>
        <w:t>dofinansowanie projektów</w:t>
      </w:r>
      <w:r w:rsidR="00E66B89">
        <w:rPr>
          <w:rFonts w:cs="Calibri"/>
          <w:szCs w:val="20"/>
        </w:rPr>
        <w:t xml:space="preserve"> z </w:t>
      </w:r>
      <w:r w:rsidRPr="00404DA5">
        <w:rPr>
          <w:rFonts w:cs="Calibri"/>
          <w:szCs w:val="20"/>
        </w:rPr>
        <w:t xml:space="preserve">dużym prawdopodobieństwem zapewni realizację wartości docelowych wskaźników określonych na rok 2023 (nie dotyczy wskaźnika: </w:t>
      </w:r>
      <w:r w:rsidRPr="00404DA5">
        <w:rPr>
          <w:rFonts w:cs="Calibri"/>
          <w:i/>
          <w:szCs w:val="20"/>
        </w:rPr>
        <w:t>Liczba pracowników zagrożonych zwolnieniem</w:t>
      </w:r>
      <w:r w:rsidR="00E66B89">
        <w:rPr>
          <w:rFonts w:cs="Calibri"/>
          <w:i/>
          <w:szCs w:val="20"/>
        </w:rPr>
        <w:t xml:space="preserve"> z </w:t>
      </w:r>
      <w:r w:rsidRPr="00404DA5">
        <w:rPr>
          <w:rFonts w:cs="Calibri"/>
          <w:i/>
          <w:szCs w:val="20"/>
        </w:rPr>
        <w:t>pracy oraz osób zwolnionych</w:t>
      </w:r>
      <w:r w:rsidR="00E66B89">
        <w:rPr>
          <w:rFonts w:cs="Calibri"/>
          <w:i/>
          <w:szCs w:val="20"/>
        </w:rPr>
        <w:t xml:space="preserve"> z </w:t>
      </w:r>
      <w:r w:rsidRPr="00404DA5">
        <w:rPr>
          <w:rFonts w:cs="Calibri"/>
          <w:i/>
          <w:szCs w:val="20"/>
        </w:rPr>
        <w:t>przyczyn dotyczących zakładu pracy objętych wsparciem</w:t>
      </w:r>
      <w:r w:rsidR="00E66B89">
        <w:rPr>
          <w:rFonts w:cs="Calibri"/>
          <w:i/>
          <w:szCs w:val="20"/>
        </w:rPr>
        <w:t xml:space="preserve"> w </w:t>
      </w:r>
      <w:r w:rsidRPr="00404DA5">
        <w:rPr>
          <w:rFonts w:cs="Calibri"/>
          <w:i/>
          <w:szCs w:val="20"/>
        </w:rPr>
        <w:t>programie</w:t>
      </w:r>
      <w:r w:rsidRPr="00404DA5">
        <w:rPr>
          <w:rFonts w:cs="Calibri"/>
          <w:szCs w:val="20"/>
        </w:rPr>
        <w:t xml:space="preserve"> oraz wskaźnika </w:t>
      </w:r>
      <w:r w:rsidRPr="00404DA5">
        <w:rPr>
          <w:rFonts w:cs="Calibri"/>
          <w:i/>
          <w:szCs w:val="20"/>
        </w:rPr>
        <w:t xml:space="preserve">Liczba osób, które po opuszczeniu programu podjęły pracę lub kontynuowały zatrudnienie). </w:t>
      </w:r>
      <w:r w:rsidRPr="00404DA5">
        <w:rPr>
          <w:rFonts w:cs="Calibri"/>
          <w:szCs w:val="20"/>
        </w:rPr>
        <w:t>Wartość środków finansowych przeznaczonych na PI 8v jest wystarczająca do realizacji pozostałych zobowiązań wskaźnikowych na lata 2014-2020.</w:t>
      </w:r>
    </w:p>
    <w:p w14:paraId="18241C34" w14:textId="77777777" w:rsidR="00881780" w:rsidRPr="00FE43CD" w:rsidRDefault="00881780" w:rsidP="00881780">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01123E1D" w14:textId="6B8494E6" w:rsidR="00881780" w:rsidRPr="00807CA9" w:rsidRDefault="00881780" w:rsidP="00881780">
      <w:pPr>
        <w:spacing w:before="240"/>
        <w:rPr>
          <w:rFonts w:cs="Calibri"/>
          <w:szCs w:val="20"/>
        </w:rPr>
      </w:pPr>
      <w:r>
        <w:rPr>
          <w:rFonts w:cs="Calibri"/>
          <w:szCs w:val="20"/>
        </w:rPr>
        <w:t>Ze względu na niską trafność</w:t>
      </w:r>
      <w:r w:rsidR="00E66B89">
        <w:rPr>
          <w:rFonts w:cs="Calibri"/>
          <w:szCs w:val="20"/>
        </w:rPr>
        <w:t xml:space="preserve"> w </w:t>
      </w:r>
      <w:r w:rsidRPr="00127913">
        <w:rPr>
          <w:rFonts w:cs="Calibri"/>
          <w:szCs w:val="20"/>
        </w:rPr>
        <w:t>stosunku do potrzeb</w:t>
      </w:r>
      <w:r w:rsidR="00E66B89">
        <w:rPr>
          <w:rFonts w:cs="Calibri"/>
          <w:szCs w:val="20"/>
        </w:rPr>
        <w:t xml:space="preserve"> w </w:t>
      </w:r>
      <w:r w:rsidRPr="00127913">
        <w:rPr>
          <w:rFonts w:cs="Calibri"/>
          <w:szCs w:val="20"/>
        </w:rPr>
        <w:t>regionie (co wynika ze zmian na regionalnym rynku pracy) interwencj</w:t>
      </w:r>
      <w:r>
        <w:rPr>
          <w:rFonts w:cs="Calibri"/>
          <w:szCs w:val="20"/>
        </w:rPr>
        <w:t>i</w:t>
      </w:r>
      <w:r w:rsidRPr="00127913">
        <w:rPr>
          <w:rFonts w:cs="Calibri"/>
          <w:szCs w:val="20"/>
        </w:rPr>
        <w:t xml:space="preserve"> skierowan</w:t>
      </w:r>
      <w:r>
        <w:rPr>
          <w:rFonts w:cs="Calibri"/>
          <w:szCs w:val="20"/>
        </w:rPr>
        <w:t>ej</w:t>
      </w:r>
      <w:r w:rsidRPr="00127913">
        <w:rPr>
          <w:rFonts w:cs="Calibri"/>
          <w:szCs w:val="20"/>
        </w:rPr>
        <w:t xml:space="preserve"> do pracowników zagrożonych zwolnieniem</w:t>
      </w:r>
      <w:r w:rsidR="00E66B89">
        <w:rPr>
          <w:rFonts w:cs="Calibri"/>
          <w:szCs w:val="20"/>
        </w:rPr>
        <w:t xml:space="preserve"> z </w:t>
      </w:r>
      <w:r w:rsidRPr="00127913">
        <w:rPr>
          <w:rFonts w:cs="Calibri"/>
          <w:szCs w:val="20"/>
        </w:rPr>
        <w:t>pracy i/lub osób zwolnionych</w:t>
      </w:r>
      <w:r w:rsidR="00E66B89">
        <w:rPr>
          <w:rFonts w:cs="Calibri"/>
          <w:szCs w:val="20"/>
        </w:rPr>
        <w:t xml:space="preserve"> z </w:t>
      </w:r>
      <w:r w:rsidRPr="00127913">
        <w:rPr>
          <w:rFonts w:cs="Calibri"/>
          <w:szCs w:val="20"/>
        </w:rPr>
        <w:t>przyczyn dotyczących zakładu pracy oraz przedsiębiorstw odczuwających negatywne skutki zmian gospodarczych</w:t>
      </w:r>
      <w:r>
        <w:rPr>
          <w:rFonts w:cs="Calibri"/>
          <w:szCs w:val="20"/>
        </w:rPr>
        <w:t xml:space="preserve"> n</w:t>
      </w:r>
      <w:r w:rsidRPr="00404DA5">
        <w:rPr>
          <w:rFonts w:cs="Calibri"/>
          <w:szCs w:val="20"/>
        </w:rPr>
        <w:t>ależy rozważyć przesunięcie alokacji UE ogółem (z RW)</w:t>
      </w:r>
      <w:r w:rsidR="00E66B89">
        <w:rPr>
          <w:rFonts w:cs="Calibri"/>
          <w:szCs w:val="20"/>
        </w:rPr>
        <w:t xml:space="preserve"> z </w:t>
      </w:r>
      <w:r w:rsidRPr="00404DA5">
        <w:rPr>
          <w:rFonts w:cs="Calibri"/>
          <w:szCs w:val="20"/>
        </w:rPr>
        <w:t>Działania 6.2</w:t>
      </w:r>
      <w:r w:rsidR="00E66B89">
        <w:rPr>
          <w:rFonts w:cs="Calibri"/>
          <w:szCs w:val="20"/>
        </w:rPr>
        <w:t xml:space="preserve"> i </w:t>
      </w:r>
      <w:r w:rsidRPr="00404DA5">
        <w:rPr>
          <w:rFonts w:cs="Calibri"/>
          <w:szCs w:val="20"/>
        </w:rPr>
        <w:t>6.3 (wspomagania procesów adaptacyjnych przedsiębiorstw oraz wdrażanie programów typu outplacement)</w:t>
      </w:r>
      <w:r w:rsidR="00E66B89">
        <w:rPr>
          <w:rFonts w:cs="Calibri"/>
          <w:szCs w:val="20"/>
        </w:rPr>
        <w:t xml:space="preserve"> w </w:t>
      </w:r>
      <w:r w:rsidRPr="00404DA5">
        <w:rPr>
          <w:rFonts w:cs="Calibri"/>
          <w:szCs w:val="20"/>
        </w:rPr>
        <w:t xml:space="preserve">łącznej wysokości 7 110 000,00 EUR; 28 455 797,60 zł </w:t>
      </w:r>
      <w:r w:rsidRPr="00404DA5">
        <w:rPr>
          <w:rFonts w:cs="Calibri"/>
          <w:szCs w:val="20"/>
        </w:rPr>
        <w:noBreakHyphen/>
        <w:t xml:space="preserve"> na działanie 6.1 (wsparcie</w:t>
      </w:r>
      <w:r w:rsidR="00E66B89">
        <w:rPr>
          <w:rFonts w:cs="Calibri"/>
          <w:szCs w:val="20"/>
        </w:rPr>
        <w:t xml:space="preserve"> w </w:t>
      </w:r>
      <w:r w:rsidRPr="00404DA5">
        <w:rPr>
          <w:rFonts w:cs="Calibri"/>
          <w:szCs w:val="20"/>
        </w:rPr>
        <w:t>zakresie usług rozwojowych).</w:t>
      </w:r>
      <w:r w:rsidR="00807CA9">
        <w:rPr>
          <w:rFonts w:cs="Calibri"/>
          <w:szCs w:val="20"/>
        </w:rPr>
        <w:t xml:space="preserve"> </w:t>
      </w:r>
      <w:r>
        <w:rPr>
          <w:szCs w:val="20"/>
        </w:rPr>
        <w:t>Jednocześnie</w:t>
      </w:r>
      <w:r w:rsidRPr="00966900">
        <w:rPr>
          <w:szCs w:val="20"/>
        </w:rPr>
        <w:t xml:space="preserve"> </w:t>
      </w:r>
      <w:r>
        <w:rPr>
          <w:szCs w:val="20"/>
        </w:rPr>
        <w:t>ze względu na planowany do realizacji</w:t>
      </w:r>
      <w:r w:rsidR="00E66B89">
        <w:rPr>
          <w:szCs w:val="20"/>
        </w:rPr>
        <w:t xml:space="preserve"> w </w:t>
      </w:r>
      <w:r w:rsidRPr="00966900">
        <w:rPr>
          <w:szCs w:val="20"/>
        </w:rPr>
        <w:t xml:space="preserve">pierwszej połowie II kwartału 2019 r. </w:t>
      </w:r>
      <w:r>
        <w:rPr>
          <w:szCs w:val="20"/>
        </w:rPr>
        <w:t xml:space="preserve">drugi </w:t>
      </w:r>
      <w:r w:rsidRPr="00966900">
        <w:rPr>
          <w:szCs w:val="20"/>
        </w:rPr>
        <w:t>nabór wniosków</w:t>
      </w:r>
      <w:r w:rsidR="00E66B89">
        <w:rPr>
          <w:szCs w:val="20"/>
        </w:rPr>
        <w:t xml:space="preserve"> o </w:t>
      </w:r>
      <w:r w:rsidRPr="00966900">
        <w:rPr>
          <w:szCs w:val="20"/>
        </w:rPr>
        <w:t xml:space="preserve">dofinansowanie projektów ramach Działania 6.1. </w:t>
      </w:r>
      <w:r>
        <w:rPr>
          <w:szCs w:val="20"/>
        </w:rPr>
        <w:t xml:space="preserve">należy </w:t>
      </w:r>
      <w:r w:rsidRPr="00966900">
        <w:rPr>
          <w:szCs w:val="20"/>
        </w:rPr>
        <w:t xml:space="preserve">rozważyć </w:t>
      </w:r>
      <w:r>
        <w:rPr>
          <w:szCs w:val="20"/>
        </w:rPr>
        <w:t>za</w:t>
      </w:r>
      <w:r w:rsidRPr="00966900">
        <w:rPr>
          <w:szCs w:val="20"/>
        </w:rPr>
        <w:t>stosowanie kryteriów premiujących projekty zakładające większy udział wśród odbiorców wsparcia</w:t>
      </w:r>
      <w:r>
        <w:rPr>
          <w:szCs w:val="20"/>
        </w:rPr>
        <w:t xml:space="preserve"> osób pracujących</w:t>
      </w:r>
      <w:r w:rsidR="00E66B89">
        <w:rPr>
          <w:szCs w:val="20"/>
        </w:rPr>
        <w:t xml:space="preserve"> w </w:t>
      </w:r>
      <w:r>
        <w:rPr>
          <w:szCs w:val="20"/>
        </w:rPr>
        <w:t>wieku 50 lat</w:t>
      </w:r>
      <w:r w:rsidR="00E66B89">
        <w:rPr>
          <w:szCs w:val="20"/>
        </w:rPr>
        <w:t xml:space="preserve"> i </w:t>
      </w:r>
      <w:r>
        <w:rPr>
          <w:szCs w:val="20"/>
        </w:rPr>
        <w:t>więcej, jak również osób</w:t>
      </w:r>
      <w:r w:rsidR="00E66B89">
        <w:rPr>
          <w:szCs w:val="20"/>
        </w:rPr>
        <w:t xml:space="preserve"> o </w:t>
      </w:r>
      <w:r>
        <w:rPr>
          <w:szCs w:val="20"/>
        </w:rPr>
        <w:t>niskich kwalifikacjach.</w:t>
      </w:r>
    </w:p>
    <w:p w14:paraId="33E585B9" w14:textId="77777777" w:rsidR="00881780" w:rsidRPr="00A556B2" w:rsidRDefault="00881780" w:rsidP="00881780">
      <w:pPr>
        <w:pStyle w:val="Nagwek3"/>
      </w:pPr>
      <w:r w:rsidRPr="00FE43CD">
        <w:lastRenderedPageBreak/>
        <w:t xml:space="preserve">Priorytet inwestycyjny nr </w:t>
      </w:r>
      <w:r>
        <w:t>8iii</w:t>
      </w:r>
      <w:r w:rsidRPr="00FE43CD">
        <w:t xml:space="preserve"> </w:t>
      </w:r>
      <w:bookmarkStart w:id="243" w:name="_Hlk6349366"/>
      <w:r w:rsidRPr="00FE43CD">
        <w:t>(</w:t>
      </w:r>
      <w:r>
        <w:t xml:space="preserve">Działanie </w:t>
      </w:r>
      <w:r w:rsidRPr="00726F87">
        <w:t>6.4</w:t>
      </w:r>
      <w:r w:rsidRPr="00FE43CD">
        <w:t>)</w:t>
      </w:r>
      <w:bookmarkEnd w:id="243"/>
    </w:p>
    <w:p w14:paraId="0747E3FA" w14:textId="77777777" w:rsidR="00881780" w:rsidRPr="00FE43CD" w:rsidRDefault="00881780" w:rsidP="00881780">
      <w:pPr>
        <w:pStyle w:val="Nagwek4"/>
        <w:numPr>
          <w:ilvl w:val="0"/>
          <w:numId w:val="0"/>
        </w:numPr>
        <w:ind w:left="864" w:hanging="864"/>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6C019DA9" w14:textId="77777777" w:rsidR="00881780" w:rsidRPr="00FE43CD" w:rsidRDefault="00881780" w:rsidP="00D87AE8">
      <w:pPr>
        <w:pStyle w:val="Legenda"/>
        <w:spacing w:after="0"/>
      </w:pPr>
      <w:bookmarkStart w:id="244" w:name="_Toc8824222"/>
      <w:r w:rsidRPr="00FE43CD">
        <w:t xml:space="preserve">Tabela </w:t>
      </w:r>
      <w:r>
        <w:fldChar w:fldCharType="begin"/>
      </w:r>
      <w:r>
        <w:instrText xml:space="preserve"> SEQ Tabela \* ARABIC </w:instrText>
      </w:r>
      <w:r>
        <w:fldChar w:fldCharType="separate"/>
      </w:r>
      <w:r w:rsidR="00763345">
        <w:rPr>
          <w:noProof/>
        </w:rPr>
        <w:t>111</w:t>
      </w:r>
      <w:r>
        <w:fldChar w:fldCharType="end"/>
      </w:r>
      <w:r w:rsidRPr="00FE43CD">
        <w:t xml:space="preserve"> Wskaźniki produktu</w:t>
      </w:r>
      <w:r w:rsidR="00E66B89">
        <w:t xml:space="preserve"> i </w:t>
      </w:r>
      <w:r w:rsidRPr="00FE43CD">
        <w:t xml:space="preserve">rezultatu (PI </w:t>
      </w:r>
      <w:r>
        <w:t>8iii</w:t>
      </w:r>
      <w:r w:rsidRPr="00FE43CD">
        <w:t>) – postęp rzeczowy</w:t>
      </w:r>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1985"/>
        <w:gridCol w:w="759"/>
        <w:gridCol w:w="1032"/>
        <w:gridCol w:w="1032"/>
        <w:gridCol w:w="1032"/>
        <w:gridCol w:w="1032"/>
        <w:gridCol w:w="1032"/>
      </w:tblGrid>
      <w:tr w:rsidR="00881780" w:rsidRPr="00FE43CD" w14:paraId="6D7DAD1B" w14:textId="77777777" w:rsidTr="00C22C26">
        <w:trPr>
          <w:tblHeader/>
        </w:trPr>
        <w:tc>
          <w:tcPr>
            <w:tcW w:w="675" w:type="dxa"/>
            <w:shd w:val="clear" w:color="auto" w:fill="DBE5F1"/>
          </w:tcPr>
          <w:p w14:paraId="150A488E" w14:textId="77777777" w:rsidR="00881780" w:rsidRPr="00404DA5" w:rsidRDefault="00881780" w:rsidP="006F4D8F">
            <w:pPr>
              <w:jc w:val="center"/>
              <w:rPr>
                <w:rFonts w:cs="Calibri"/>
                <w:sz w:val="18"/>
                <w:szCs w:val="18"/>
              </w:rPr>
            </w:pPr>
            <w:r w:rsidRPr="00404DA5">
              <w:rPr>
                <w:rFonts w:cs="Calibri"/>
                <w:sz w:val="18"/>
                <w:szCs w:val="18"/>
              </w:rPr>
              <w:t>Typ wskaźnika</w:t>
            </w:r>
          </w:p>
        </w:tc>
        <w:tc>
          <w:tcPr>
            <w:tcW w:w="709" w:type="dxa"/>
            <w:shd w:val="clear" w:color="auto" w:fill="DBE5F1"/>
          </w:tcPr>
          <w:p w14:paraId="468E3DE3" w14:textId="77777777" w:rsidR="00881780" w:rsidRPr="00404DA5" w:rsidRDefault="00881780" w:rsidP="006F4D8F">
            <w:pPr>
              <w:jc w:val="center"/>
              <w:rPr>
                <w:rFonts w:cs="Calibri"/>
                <w:sz w:val="18"/>
                <w:szCs w:val="18"/>
              </w:rPr>
            </w:pPr>
            <w:r w:rsidRPr="00404DA5">
              <w:rPr>
                <w:rFonts w:cs="Calibri"/>
                <w:sz w:val="18"/>
                <w:szCs w:val="18"/>
              </w:rPr>
              <w:t>Działania</w:t>
            </w:r>
          </w:p>
        </w:tc>
        <w:tc>
          <w:tcPr>
            <w:tcW w:w="1985" w:type="dxa"/>
            <w:shd w:val="clear" w:color="auto" w:fill="DBE5F1"/>
          </w:tcPr>
          <w:p w14:paraId="59E9002F" w14:textId="77777777" w:rsidR="00881780" w:rsidRPr="00404DA5" w:rsidRDefault="00881780" w:rsidP="006F4D8F">
            <w:pPr>
              <w:jc w:val="center"/>
              <w:rPr>
                <w:rFonts w:cs="Calibri"/>
                <w:sz w:val="18"/>
                <w:szCs w:val="18"/>
              </w:rPr>
            </w:pPr>
            <w:r w:rsidRPr="00404DA5">
              <w:rPr>
                <w:rFonts w:cs="Calibri"/>
                <w:sz w:val="18"/>
                <w:szCs w:val="18"/>
              </w:rPr>
              <w:t>Wskaźnik</w:t>
            </w:r>
          </w:p>
        </w:tc>
        <w:tc>
          <w:tcPr>
            <w:tcW w:w="759" w:type="dxa"/>
            <w:shd w:val="clear" w:color="auto" w:fill="DBE5F1"/>
          </w:tcPr>
          <w:p w14:paraId="5AB8F94B" w14:textId="77777777" w:rsidR="00881780" w:rsidRPr="00404DA5" w:rsidRDefault="00881780" w:rsidP="006F4D8F">
            <w:pPr>
              <w:jc w:val="center"/>
              <w:rPr>
                <w:rFonts w:cs="Calibri"/>
                <w:sz w:val="18"/>
                <w:szCs w:val="18"/>
              </w:rPr>
            </w:pPr>
            <w:r w:rsidRPr="00404DA5">
              <w:rPr>
                <w:rFonts w:cs="Calibri"/>
                <w:sz w:val="18"/>
                <w:szCs w:val="18"/>
              </w:rPr>
              <w:t>Jedn. pomiaru</w:t>
            </w:r>
          </w:p>
        </w:tc>
        <w:tc>
          <w:tcPr>
            <w:tcW w:w="1032" w:type="dxa"/>
            <w:shd w:val="clear" w:color="auto" w:fill="DBE5F1"/>
          </w:tcPr>
          <w:p w14:paraId="05409382" w14:textId="77777777" w:rsidR="00881780" w:rsidRPr="00404DA5" w:rsidRDefault="00881780" w:rsidP="006F4D8F">
            <w:pPr>
              <w:jc w:val="center"/>
              <w:rPr>
                <w:rFonts w:cs="Calibri"/>
                <w:sz w:val="18"/>
                <w:szCs w:val="18"/>
              </w:rPr>
            </w:pPr>
            <w:r w:rsidRPr="00404DA5">
              <w:rPr>
                <w:rFonts w:cs="Calibri"/>
                <w:sz w:val="18"/>
                <w:szCs w:val="18"/>
              </w:rPr>
              <w:t>Wartość docelowa (2023)</w:t>
            </w:r>
          </w:p>
        </w:tc>
        <w:tc>
          <w:tcPr>
            <w:tcW w:w="1032" w:type="dxa"/>
            <w:shd w:val="clear" w:color="auto" w:fill="DBE5F1"/>
          </w:tcPr>
          <w:p w14:paraId="19678CDD" w14:textId="77777777" w:rsidR="00881780" w:rsidRPr="00404DA5" w:rsidRDefault="00881780" w:rsidP="006F4D8F">
            <w:pPr>
              <w:jc w:val="center"/>
              <w:rPr>
                <w:rFonts w:cs="Calibri"/>
                <w:sz w:val="18"/>
                <w:szCs w:val="18"/>
              </w:rPr>
            </w:pPr>
            <w:r w:rsidRPr="00404DA5">
              <w:rPr>
                <w:rFonts w:cs="Calibri"/>
                <w:sz w:val="18"/>
                <w:szCs w:val="18"/>
              </w:rPr>
              <w:t>Realizacja wskaźnika (wg UoD)</w:t>
            </w:r>
          </w:p>
        </w:tc>
        <w:tc>
          <w:tcPr>
            <w:tcW w:w="1032" w:type="dxa"/>
            <w:shd w:val="clear" w:color="auto" w:fill="DBE5F1"/>
          </w:tcPr>
          <w:p w14:paraId="3493BB53" w14:textId="77777777" w:rsidR="00881780" w:rsidRPr="00404DA5" w:rsidRDefault="00881780" w:rsidP="006F4D8F">
            <w:pPr>
              <w:jc w:val="center"/>
              <w:rPr>
                <w:rFonts w:cs="Calibri"/>
                <w:sz w:val="18"/>
                <w:szCs w:val="18"/>
              </w:rPr>
            </w:pPr>
            <w:r w:rsidRPr="00404DA5">
              <w:rPr>
                <w:rFonts w:cs="Calibri"/>
                <w:sz w:val="18"/>
                <w:szCs w:val="18"/>
              </w:rPr>
              <w:t>% realizacji wartości docelowej (wg UoD)</w:t>
            </w:r>
          </w:p>
        </w:tc>
        <w:tc>
          <w:tcPr>
            <w:tcW w:w="1032" w:type="dxa"/>
            <w:shd w:val="clear" w:color="auto" w:fill="DBE5F1"/>
          </w:tcPr>
          <w:p w14:paraId="22862C1B" w14:textId="77777777" w:rsidR="00881780" w:rsidRPr="00404DA5" w:rsidRDefault="00881780" w:rsidP="006F4D8F">
            <w:pPr>
              <w:jc w:val="center"/>
              <w:rPr>
                <w:rFonts w:cs="Calibri"/>
                <w:sz w:val="18"/>
                <w:szCs w:val="18"/>
              </w:rPr>
            </w:pPr>
            <w:r w:rsidRPr="00404DA5">
              <w:rPr>
                <w:rFonts w:cs="Calibri"/>
                <w:sz w:val="18"/>
                <w:szCs w:val="18"/>
              </w:rPr>
              <w:t>Realizacja wskaźnika (wg WoP)</w:t>
            </w:r>
          </w:p>
        </w:tc>
        <w:tc>
          <w:tcPr>
            <w:tcW w:w="1032" w:type="dxa"/>
            <w:shd w:val="clear" w:color="auto" w:fill="DBE5F1"/>
          </w:tcPr>
          <w:p w14:paraId="1056D031" w14:textId="77777777" w:rsidR="00881780" w:rsidRPr="00404DA5" w:rsidRDefault="00881780" w:rsidP="006F4D8F">
            <w:pPr>
              <w:jc w:val="center"/>
              <w:rPr>
                <w:rFonts w:cs="Calibri"/>
                <w:sz w:val="18"/>
                <w:szCs w:val="18"/>
              </w:rPr>
            </w:pPr>
            <w:r w:rsidRPr="00404DA5">
              <w:rPr>
                <w:rFonts w:cs="Calibri"/>
                <w:sz w:val="18"/>
                <w:szCs w:val="18"/>
              </w:rPr>
              <w:t>% realizacji wartości docelowej (wg WoP)</w:t>
            </w:r>
          </w:p>
        </w:tc>
      </w:tr>
      <w:tr w:rsidR="00881780" w:rsidRPr="00FE43CD" w14:paraId="337839D9" w14:textId="77777777" w:rsidTr="006F4D8F">
        <w:tc>
          <w:tcPr>
            <w:tcW w:w="675" w:type="dxa"/>
            <w:shd w:val="clear" w:color="auto" w:fill="auto"/>
            <w:vAlign w:val="center"/>
          </w:tcPr>
          <w:p w14:paraId="0966E5B0" w14:textId="77777777" w:rsidR="00881780" w:rsidRPr="00404DA5" w:rsidRDefault="00881780" w:rsidP="006F4D8F">
            <w:pPr>
              <w:jc w:val="center"/>
              <w:rPr>
                <w:rFonts w:cs="Calibri"/>
                <w:sz w:val="18"/>
                <w:szCs w:val="18"/>
              </w:rPr>
            </w:pPr>
            <w:r w:rsidRPr="00404DA5">
              <w:rPr>
                <w:rFonts w:cs="Calibri"/>
                <w:sz w:val="18"/>
                <w:szCs w:val="18"/>
              </w:rPr>
              <w:t>WP</w:t>
            </w:r>
          </w:p>
        </w:tc>
        <w:tc>
          <w:tcPr>
            <w:tcW w:w="709" w:type="dxa"/>
            <w:shd w:val="clear" w:color="auto" w:fill="auto"/>
            <w:vAlign w:val="center"/>
          </w:tcPr>
          <w:p w14:paraId="4B865499" w14:textId="77777777" w:rsidR="00881780" w:rsidRPr="00404DA5" w:rsidRDefault="00881780" w:rsidP="006F4D8F">
            <w:pPr>
              <w:jc w:val="center"/>
              <w:rPr>
                <w:rFonts w:cs="Calibri"/>
                <w:sz w:val="18"/>
                <w:szCs w:val="18"/>
              </w:rPr>
            </w:pPr>
            <w:r w:rsidRPr="00404DA5">
              <w:rPr>
                <w:rFonts w:cs="Calibri"/>
                <w:sz w:val="18"/>
                <w:szCs w:val="18"/>
              </w:rPr>
              <w:t>6.4</w:t>
            </w:r>
          </w:p>
        </w:tc>
        <w:tc>
          <w:tcPr>
            <w:tcW w:w="1985" w:type="dxa"/>
            <w:shd w:val="clear" w:color="auto" w:fill="auto"/>
            <w:vAlign w:val="center"/>
          </w:tcPr>
          <w:p w14:paraId="7B684C3E" w14:textId="77777777" w:rsidR="00881780" w:rsidRPr="00404DA5" w:rsidRDefault="00881780" w:rsidP="006F4D8F">
            <w:pPr>
              <w:rPr>
                <w:rFonts w:cs="Calibri"/>
                <w:sz w:val="18"/>
                <w:szCs w:val="18"/>
              </w:rPr>
            </w:pPr>
            <w:r w:rsidRPr="00404DA5">
              <w:rPr>
                <w:rFonts w:cs="Calibri"/>
                <w:sz w:val="18"/>
                <w:szCs w:val="18"/>
              </w:rPr>
              <w:t>Liczba osób pozostających bez pracy, które otrzymały bezzwrotne środki na podjęcie działalności gospodarczej</w:t>
            </w:r>
            <w:r w:rsidR="00E66B89">
              <w:rPr>
                <w:rFonts w:cs="Calibri"/>
                <w:sz w:val="18"/>
                <w:szCs w:val="18"/>
              </w:rPr>
              <w:t xml:space="preserve"> w </w:t>
            </w:r>
            <w:r w:rsidRPr="00404DA5">
              <w:rPr>
                <w:rFonts w:cs="Calibri"/>
                <w:sz w:val="18"/>
                <w:szCs w:val="18"/>
              </w:rPr>
              <w:t>programie</w:t>
            </w:r>
          </w:p>
        </w:tc>
        <w:tc>
          <w:tcPr>
            <w:tcW w:w="759" w:type="dxa"/>
            <w:shd w:val="clear" w:color="auto" w:fill="auto"/>
            <w:vAlign w:val="center"/>
          </w:tcPr>
          <w:p w14:paraId="6B41DE7B" w14:textId="77777777" w:rsidR="00881780" w:rsidRPr="00404DA5" w:rsidRDefault="00881780" w:rsidP="006F4D8F">
            <w:pPr>
              <w:jc w:val="center"/>
              <w:rPr>
                <w:rFonts w:cs="Calibri"/>
                <w:sz w:val="18"/>
                <w:szCs w:val="18"/>
              </w:rPr>
            </w:pPr>
            <w:r w:rsidRPr="00404DA5">
              <w:rPr>
                <w:rFonts w:cs="Calibri"/>
                <w:sz w:val="18"/>
                <w:szCs w:val="18"/>
              </w:rPr>
              <w:t>osoby</w:t>
            </w:r>
          </w:p>
        </w:tc>
        <w:tc>
          <w:tcPr>
            <w:tcW w:w="1032" w:type="dxa"/>
            <w:shd w:val="clear" w:color="auto" w:fill="auto"/>
            <w:vAlign w:val="center"/>
          </w:tcPr>
          <w:p w14:paraId="59010D8B" w14:textId="77777777" w:rsidR="00881780" w:rsidRPr="00404DA5" w:rsidRDefault="00881780" w:rsidP="006F4D8F">
            <w:pPr>
              <w:jc w:val="center"/>
              <w:rPr>
                <w:rFonts w:cs="Calibri"/>
                <w:sz w:val="18"/>
                <w:szCs w:val="18"/>
              </w:rPr>
            </w:pPr>
            <w:r w:rsidRPr="00404DA5">
              <w:rPr>
                <w:rFonts w:cs="Calibri"/>
                <w:sz w:val="18"/>
                <w:szCs w:val="18"/>
              </w:rPr>
              <w:t>198</w:t>
            </w:r>
          </w:p>
        </w:tc>
        <w:tc>
          <w:tcPr>
            <w:tcW w:w="1032" w:type="dxa"/>
            <w:shd w:val="clear" w:color="auto" w:fill="auto"/>
            <w:vAlign w:val="center"/>
          </w:tcPr>
          <w:p w14:paraId="187166E3" w14:textId="77777777" w:rsidR="00881780" w:rsidRPr="00404DA5" w:rsidRDefault="00881780" w:rsidP="006F4D8F">
            <w:pPr>
              <w:jc w:val="center"/>
              <w:rPr>
                <w:rFonts w:cs="Calibri"/>
                <w:sz w:val="18"/>
                <w:szCs w:val="18"/>
              </w:rPr>
            </w:pPr>
            <w:r w:rsidRPr="00404DA5">
              <w:rPr>
                <w:rFonts w:cs="Calibri"/>
                <w:sz w:val="18"/>
                <w:szCs w:val="18"/>
              </w:rPr>
              <w:t>0</w:t>
            </w:r>
          </w:p>
        </w:tc>
        <w:tc>
          <w:tcPr>
            <w:tcW w:w="1032" w:type="dxa"/>
            <w:shd w:val="clear" w:color="auto" w:fill="auto"/>
            <w:vAlign w:val="center"/>
          </w:tcPr>
          <w:p w14:paraId="5184E0B0" w14:textId="77777777" w:rsidR="00881780" w:rsidRPr="00404DA5" w:rsidRDefault="00881780" w:rsidP="006F4D8F">
            <w:pPr>
              <w:jc w:val="center"/>
              <w:rPr>
                <w:rFonts w:cs="Calibri"/>
                <w:sz w:val="18"/>
                <w:szCs w:val="18"/>
              </w:rPr>
            </w:pPr>
            <w:r w:rsidRPr="00404DA5">
              <w:rPr>
                <w:rFonts w:cs="Calibri"/>
                <w:sz w:val="18"/>
                <w:szCs w:val="18"/>
              </w:rPr>
              <w:t>0,0%</w:t>
            </w:r>
          </w:p>
        </w:tc>
        <w:tc>
          <w:tcPr>
            <w:tcW w:w="1032" w:type="dxa"/>
            <w:shd w:val="clear" w:color="auto" w:fill="auto"/>
            <w:vAlign w:val="center"/>
          </w:tcPr>
          <w:p w14:paraId="71ACB20D" w14:textId="77777777" w:rsidR="00881780" w:rsidRPr="00404DA5" w:rsidRDefault="00881780" w:rsidP="006F4D8F">
            <w:pPr>
              <w:jc w:val="center"/>
              <w:rPr>
                <w:rFonts w:cs="Calibri"/>
                <w:sz w:val="18"/>
                <w:szCs w:val="18"/>
              </w:rPr>
            </w:pPr>
            <w:r w:rsidRPr="00404DA5">
              <w:rPr>
                <w:rFonts w:cs="Calibri"/>
                <w:sz w:val="18"/>
                <w:szCs w:val="18"/>
              </w:rPr>
              <w:t>0</w:t>
            </w:r>
          </w:p>
        </w:tc>
        <w:tc>
          <w:tcPr>
            <w:tcW w:w="1032" w:type="dxa"/>
            <w:shd w:val="clear" w:color="auto" w:fill="auto"/>
            <w:vAlign w:val="center"/>
          </w:tcPr>
          <w:p w14:paraId="09378F11" w14:textId="77777777" w:rsidR="00881780" w:rsidRPr="00404DA5" w:rsidRDefault="00881780" w:rsidP="006F4D8F">
            <w:pPr>
              <w:jc w:val="center"/>
              <w:rPr>
                <w:rFonts w:cs="Calibri"/>
                <w:sz w:val="18"/>
                <w:szCs w:val="18"/>
              </w:rPr>
            </w:pPr>
            <w:r w:rsidRPr="00404DA5">
              <w:rPr>
                <w:rFonts w:cs="Calibri"/>
                <w:sz w:val="18"/>
                <w:szCs w:val="18"/>
              </w:rPr>
              <w:t>0,0%</w:t>
            </w:r>
          </w:p>
        </w:tc>
      </w:tr>
      <w:tr w:rsidR="00881780" w:rsidRPr="00FE43CD" w14:paraId="386DF6EC" w14:textId="77777777" w:rsidTr="006F4D8F">
        <w:tc>
          <w:tcPr>
            <w:tcW w:w="675" w:type="dxa"/>
            <w:shd w:val="clear" w:color="auto" w:fill="auto"/>
            <w:vAlign w:val="center"/>
          </w:tcPr>
          <w:p w14:paraId="264FF5ED" w14:textId="77777777" w:rsidR="00881780" w:rsidRPr="00404DA5" w:rsidRDefault="00881780" w:rsidP="006F4D8F">
            <w:pPr>
              <w:jc w:val="center"/>
              <w:rPr>
                <w:sz w:val="18"/>
                <w:szCs w:val="18"/>
              </w:rPr>
            </w:pPr>
            <w:bookmarkStart w:id="245" w:name="_Hlk6363623"/>
            <w:r w:rsidRPr="00404DA5">
              <w:rPr>
                <w:sz w:val="18"/>
                <w:szCs w:val="18"/>
              </w:rPr>
              <w:t>WP</w:t>
            </w:r>
          </w:p>
        </w:tc>
        <w:tc>
          <w:tcPr>
            <w:tcW w:w="709" w:type="dxa"/>
            <w:shd w:val="clear" w:color="auto" w:fill="auto"/>
            <w:vAlign w:val="center"/>
          </w:tcPr>
          <w:p w14:paraId="649A527F" w14:textId="77777777" w:rsidR="00881780" w:rsidRPr="00404DA5" w:rsidRDefault="00881780" w:rsidP="006F4D8F">
            <w:pPr>
              <w:jc w:val="center"/>
              <w:rPr>
                <w:rFonts w:cs="Calibri"/>
                <w:sz w:val="18"/>
                <w:szCs w:val="18"/>
              </w:rPr>
            </w:pPr>
            <w:r w:rsidRPr="00404DA5">
              <w:rPr>
                <w:rFonts w:cs="Calibri"/>
                <w:sz w:val="18"/>
                <w:szCs w:val="18"/>
              </w:rPr>
              <w:t>6.4</w:t>
            </w:r>
          </w:p>
        </w:tc>
        <w:tc>
          <w:tcPr>
            <w:tcW w:w="1985" w:type="dxa"/>
            <w:shd w:val="clear" w:color="auto" w:fill="auto"/>
            <w:vAlign w:val="center"/>
          </w:tcPr>
          <w:p w14:paraId="0F5BC455" w14:textId="77777777" w:rsidR="00881780" w:rsidRPr="00404DA5" w:rsidRDefault="00881780" w:rsidP="006F4D8F">
            <w:pPr>
              <w:rPr>
                <w:rFonts w:cs="Calibri"/>
                <w:sz w:val="18"/>
                <w:szCs w:val="18"/>
              </w:rPr>
            </w:pPr>
            <w:bookmarkStart w:id="246" w:name="_Hlk6355143"/>
            <w:r w:rsidRPr="00404DA5">
              <w:rPr>
                <w:rFonts w:cs="Calibri"/>
                <w:sz w:val="18"/>
                <w:szCs w:val="18"/>
              </w:rPr>
              <w:t>Liczba osób pozostających bez pracy, które skorzystały</w:t>
            </w:r>
            <w:r w:rsidR="00E66B89">
              <w:rPr>
                <w:rFonts w:cs="Calibri"/>
                <w:sz w:val="18"/>
                <w:szCs w:val="18"/>
              </w:rPr>
              <w:t xml:space="preserve"> z </w:t>
            </w:r>
            <w:r w:rsidRPr="00404DA5">
              <w:rPr>
                <w:rFonts w:cs="Calibri"/>
                <w:sz w:val="18"/>
                <w:szCs w:val="18"/>
              </w:rPr>
              <w:t>instrumentów zwrotnych na podjęcie działalności gospodarczej</w:t>
            </w:r>
            <w:r w:rsidR="00E66B89">
              <w:rPr>
                <w:rFonts w:cs="Calibri"/>
                <w:sz w:val="18"/>
                <w:szCs w:val="18"/>
              </w:rPr>
              <w:t xml:space="preserve"> w </w:t>
            </w:r>
            <w:r w:rsidRPr="00404DA5">
              <w:rPr>
                <w:rFonts w:cs="Calibri"/>
                <w:sz w:val="18"/>
                <w:szCs w:val="18"/>
              </w:rPr>
              <w:t>programie</w:t>
            </w:r>
            <w:bookmarkEnd w:id="246"/>
          </w:p>
        </w:tc>
        <w:tc>
          <w:tcPr>
            <w:tcW w:w="759" w:type="dxa"/>
            <w:shd w:val="clear" w:color="auto" w:fill="auto"/>
            <w:vAlign w:val="center"/>
          </w:tcPr>
          <w:p w14:paraId="4E879D76" w14:textId="77777777" w:rsidR="00881780" w:rsidRPr="00404DA5" w:rsidRDefault="00881780" w:rsidP="006F4D8F">
            <w:pPr>
              <w:jc w:val="center"/>
              <w:rPr>
                <w:rFonts w:cs="Calibri"/>
                <w:sz w:val="18"/>
                <w:szCs w:val="18"/>
              </w:rPr>
            </w:pPr>
            <w:r w:rsidRPr="00404DA5">
              <w:rPr>
                <w:rFonts w:cs="Calibri"/>
                <w:sz w:val="18"/>
                <w:szCs w:val="18"/>
              </w:rPr>
              <w:t>osoby</w:t>
            </w:r>
          </w:p>
        </w:tc>
        <w:tc>
          <w:tcPr>
            <w:tcW w:w="1032" w:type="dxa"/>
            <w:shd w:val="clear" w:color="auto" w:fill="auto"/>
            <w:vAlign w:val="center"/>
          </w:tcPr>
          <w:p w14:paraId="43B094A1" w14:textId="77777777" w:rsidR="00881780" w:rsidRPr="00404DA5" w:rsidRDefault="00881780" w:rsidP="006F4D8F">
            <w:pPr>
              <w:jc w:val="center"/>
              <w:rPr>
                <w:rFonts w:cs="Calibri"/>
                <w:sz w:val="18"/>
                <w:szCs w:val="18"/>
              </w:rPr>
            </w:pPr>
            <w:r w:rsidRPr="00404DA5">
              <w:rPr>
                <w:rFonts w:cs="Calibri"/>
                <w:sz w:val="18"/>
                <w:szCs w:val="18"/>
              </w:rPr>
              <w:t>974</w:t>
            </w:r>
          </w:p>
        </w:tc>
        <w:tc>
          <w:tcPr>
            <w:tcW w:w="1032" w:type="dxa"/>
            <w:shd w:val="clear" w:color="auto" w:fill="auto"/>
            <w:vAlign w:val="center"/>
          </w:tcPr>
          <w:p w14:paraId="6842B961" w14:textId="77777777" w:rsidR="00881780" w:rsidRPr="00404DA5" w:rsidRDefault="00881780" w:rsidP="006F4D8F">
            <w:pPr>
              <w:jc w:val="center"/>
              <w:rPr>
                <w:rFonts w:cs="Calibri"/>
                <w:sz w:val="18"/>
                <w:szCs w:val="18"/>
              </w:rPr>
            </w:pPr>
            <w:r w:rsidRPr="00404DA5">
              <w:rPr>
                <w:rFonts w:cs="Calibri"/>
                <w:sz w:val="18"/>
                <w:szCs w:val="18"/>
              </w:rPr>
              <w:t>974</w:t>
            </w:r>
          </w:p>
        </w:tc>
        <w:tc>
          <w:tcPr>
            <w:tcW w:w="1032" w:type="dxa"/>
            <w:shd w:val="clear" w:color="auto" w:fill="auto"/>
            <w:vAlign w:val="center"/>
          </w:tcPr>
          <w:p w14:paraId="62CEB6B9" w14:textId="77777777" w:rsidR="00881780" w:rsidRPr="00404DA5" w:rsidRDefault="00881780" w:rsidP="006F4D8F">
            <w:pPr>
              <w:jc w:val="center"/>
              <w:rPr>
                <w:rFonts w:cs="Calibri"/>
                <w:sz w:val="18"/>
                <w:szCs w:val="18"/>
              </w:rPr>
            </w:pPr>
            <w:r w:rsidRPr="00404DA5">
              <w:rPr>
                <w:rFonts w:cs="Calibri"/>
                <w:sz w:val="18"/>
                <w:szCs w:val="18"/>
              </w:rPr>
              <w:t>100%</w:t>
            </w:r>
          </w:p>
        </w:tc>
        <w:tc>
          <w:tcPr>
            <w:tcW w:w="1032" w:type="dxa"/>
            <w:shd w:val="clear" w:color="auto" w:fill="auto"/>
            <w:vAlign w:val="center"/>
          </w:tcPr>
          <w:p w14:paraId="2F44B40B" w14:textId="77777777" w:rsidR="00881780" w:rsidRPr="00404DA5" w:rsidRDefault="00881780" w:rsidP="006F4D8F">
            <w:pPr>
              <w:jc w:val="center"/>
              <w:rPr>
                <w:rFonts w:cs="Calibri"/>
                <w:sz w:val="18"/>
                <w:szCs w:val="18"/>
              </w:rPr>
            </w:pPr>
            <w:r w:rsidRPr="00404DA5">
              <w:rPr>
                <w:rFonts w:cs="Calibri"/>
                <w:sz w:val="18"/>
                <w:szCs w:val="18"/>
              </w:rPr>
              <w:t>0</w:t>
            </w:r>
          </w:p>
        </w:tc>
        <w:tc>
          <w:tcPr>
            <w:tcW w:w="1032" w:type="dxa"/>
            <w:shd w:val="clear" w:color="auto" w:fill="auto"/>
            <w:vAlign w:val="center"/>
          </w:tcPr>
          <w:p w14:paraId="79BBE5DB" w14:textId="77777777" w:rsidR="00881780" w:rsidRPr="00404DA5" w:rsidRDefault="00881780" w:rsidP="006F4D8F">
            <w:pPr>
              <w:jc w:val="center"/>
              <w:rPr>
                <w:rFonts w:cs="Calibri"/>
                <w:sz w:val="18"/>
                <w:szCs w:val="18"/>
              </w:rPr>
            </w:pPr>
            <w:r w:rsidRPr="00404DA5">
              <w:rPr>
                <w:rFonts w:cs="Calibri"/>
                <w:sz w:val="18"/>
                <w:szCs w:val="18"/>
              </w:rPr>
              <w:t>0,0%</w:t>
            </w:r>
          </w:p>
        </w:tc>
      </w:tr>
      <w:bookmarkEnd w:id="245"/>
      <w:tr w:rsidR="00881780" w:rsidRPr="00FE43CD" w14:paraId="69546352" w14:textId="77777777" w:rsidTr="006F4D8F">
        <w:tc>
          <w:tcPr>
            <w:tcW w:w="675" w:type="dxa"/>
            <w:shd w:val="clear" w:color="auto" w:fill="auto"/>
            <w:vAlign w:val="center"/>
          </w:tcPr>
          <w:p w14:paraId="6DA69905" w14:textId="77777777" w:rsidR="00881780" w:rsidRPr="00404DA5" w:rsidRDefault="00881780" w:rsidP="006F4D8F">
            <w:pPr>
              <w:jc w:val="center"/>
              <w:rPr>
                <w:sz w:val="18"/>
                <w:szCs w:val="18"/>
              </w:rPr>
            </w:pPr>
            <w:r w:rsidRPr="00404DA5">
              <w:rPr>
                <w:sz w:val="18"/>
                <w:szCs w:val="18"/>
              </w:rPr>
              <w:t>WR</w:t>
            </w:r>
          </w:p>
        </w:tc>
        <w:tc>
          <w:tcPr>
            <w:tcW w:w="709" w:type="dxa"/>
            <w:shd w:val="clear" w:color="auto" w:fill="auto"/>
            <w:vAlign w:val="center"/>
          </w:tcPr>
          <w:p w14:paraId="2B493420" w14:textId="77777777" w:rsidR="00881780" w:rsidRPr="00404DA5" w:rsidRDefault="00881780" w:rsidP="006F4D8F">
            <w:pPr>
              <w:jc w:val="center"/>
              <w:rPr>
                <w:rFonts w:cs="Calibri"/>
                <w:bCs/>
                <w:sz w:val="18"/>
                <w:szCs w:val="18"/>
              </w:rPr>
            </w:pPr>
            <w:r w:rsidRPr="00404DA5">
              <w:rPr>
                <w:rFonts w:cs="Calibri"/>
                <w:bCs/>
                <w:sz w:val="18"/>
                <w:szCs w:val="18"/>
              </w:rPr>
              <w:t>6.4</w:t>
            </w:r>
          </w:p>
        </w:tc>
        <w:tc>
          <w:tcPr>
            <w:tcW w:w="1985" w:type="dxa"/>
            <w:shd w:val="clear" w:color="auto" w:fill="auto"/>
            <w:vAlign w:val="center"/>
          </w:tcPr>
          <w:p w14:paraId="32618B43" w14:textId="77777777" w:rsidR="00881780" w:rsidRPr="00404DA5" w:rsidRDefault="00881780" w:rsidP="006F4D8F">
            <w:pPr>
              <w:rPr>
                <w:rFonts w:cs="Calibri"/>
                <w:bCs/>
                <w:sz w:val="18"/>
                <w:szCs w:val="18"/>
              </w:rPr>
            </w:pPr>
            <w:r w:rsidRPr="00404DA5">
              <w:rPr>
                <w:rFonts w:cs="Calibri"/>
                <w:bCs/>
                <w:sz w:val="18"/>
                <w:szCs w:val="18"/>
              </w:rPr>
              <w:t>Liczba utworzonych miejsc pracy</w:t>
            </w:r>
            <w:r w:rsidR="00E66B89">
              <w:rPr>
                <w:rFonts w:cs="Calibri"/>
                <w:bCs/>
                <w:sz w:val="18"/>
                <w:szCs w:val="18"/>
              </w:rPr>
              <w:t xml:space="preserve"> w </w:t>
            </w:r>
            <w:r w:rsidRPr="00404DA5">
              <w:rPr>
                <w:rFonts w:cs="Calibri"/>
                <w:bCs/>
                <w:sz w:val="18"/>
                <w:szCs w:val="18"/>
              </w:rPr>
              <w:t>ramach udzielonych</w:t>
            </w:r>
            <w:r w:rsidR="00E66B89">
              <w:rPr>
                <w:rFonts w:cs="Calibri"/>
                <w:bCs/>
                <w:sz w:val="18"/>
                <w:szCs w:val="18"/>
              </w:rPr>
              <w:t xml:space="preserve"> z </w:t>
            </w:r>
            <w:r w:rsidRPr="00404DA5">
              <w:rPr>
                <w:rFonts w:cs="Calibri"/>
                <w:bCs/>
                <w:sz w:val="18"/>
                <w:szCs w:val="18"/>
              </w:rPr>
              <w:t>EFS środków na podjęcie działalności gospodarczej</w:t>
            </w:r>
          </w:p>
        </w:tc>
        <w:tc>
          <w:tcPr>
            <w:tcW w:w="759" w:type="dxa"/>
            <w:shd w:val="clear" w:color="auto" w:fill="auto"/>
            <w:vAlign w:val="center"/>
          </w:tcPr>
          <w:p w14:paraId="632868CC" w14:textId="77777777" w:rsidR="00881780" w:rsidRPr="00404DA5" w:rsidRDefault="00881780" w:rsidP="006F4D8F">
            <w:pPr>
              <w:jc w:val="center"/>
              <w:rPr>
                <w:rFonts w:cs="Calibri"/>
                <w:bCs/>
                <w:sz w:val="18"/>
                <w:szCs w:val="18"/>
              </w:rPr>
            </w:pPr>
            <w:r w:rsidRPr="00404DA5">
              <w:rPr>
                <w:rFonts w:cs="Calibri"/>
                <w:bCs/>
                <w:sz w:val="18"/>
                <w:szCs w:val="18"/>
              </w:rPr>
              <w:t>szt.</w:t>
            </w:r>
          </w:p>
        </w:tc>
        <w:tc>
          <w:tcPr>
            <w:tcW w:w="1032" w:type="dxa"/>
            <w:shd w:val="clear" w:color="auto" w:fill="auto"/>
            <w:vAlign w:val="center"/>
          </w:tcPr>
          <w:p w14:paraId="204943B0" w14:textId="77777777" w:rsidR="00881780" w:rsidRPr="00404DA5" w:rsidRDefault="00881780" w:rsidP="006F4D8F">
            <w:pPr>
              <w:jc w:val="center"/>
              <w:rPr>
                <w:rFonts w:cs="Calibri"/>
                <w:sz w:val="18"/>
                <w:szCs w:val="18"/>
              </w:rPr>
            </w:pPr>
            <w:r w:rsidRPr="00404DA5">
              <w:rPr>
                <w:rFonts w:cs="Calibri"/>
                <w:sz w:val="18"/>
                <w:szCs w:val="18"/>
              </w:rPr>
              <w:t>1 336</w:t>
            </w:r>
          </w:p>
        </w:tc>
        <w:tc>
          <w:tcPr>
            <w:tcW w:w="1032" w:type="dxa"/>
            <w:shd w:val="clear" w:color="auto" w:fill="auto"/>
            <w:vAlign w:val="center"/>
          </w:tcPr>
          <w:p w14:paraId="35B667CB" w14:textId="77777777" w:rsidR="00881780" w:rsidRPr="00404DA5" w:rsidRDefault="00881780" w:rsidP="006F4D8F">
            <w:pPr>
              <w:jc w:val="center"/>
              <w:rPr>
                <w:rFonts w:cs="Calibri"/>
                <w:sz w:val="18"/>
                <w:szCs w:val="18"/>
              </w:rPr>
            </w:pPr>
            <w:r w:rsidRPr="00404DA5">
              <w:rPr>
                <w:rFonts w:cs="Calibri"/>
                <w:sz w:val="18"/>
                <w:szCs w:val="18"/>
              </w:rPr>
              <w:t>1 110</w:t>
            </w:r>
          </w:p>
        </w:tc>
        <w:tc>
          <w:tcPr>
            <w:tcW w:w="1032" w:type="dxa"/>
            <w:shd w:val="clear" w:color="auto" w:fill="auto"/>
            <w:vAlign w:val="center"/>
          </w:tcPr>
          <w:p w14:paraId="31B89AB5" w14:textId="77777777" w:rsidR="00881780" w:rsidRPr="00404DA5" w:rsidRDefault="00881780" w:rsidP="006F4D8F">
            <w:pPr>
              <w:jc w:val="center"/>
              <w:rPr>
                <w:rFonts w:cs="Calibri"/>
                <w:sz w:val="18"/>
                <w:szCs w:val="18"/>
              </w:rPr>
            </w:pPr>
            <w:r w:rsidRPr="00404DA5">
              <w:rPr>
                <w:rFonts w:cs="Calibri"/>
                <w:sz w:val="18"/>
                <w:szCs w:val="18"/>
              </w:rPr>
              <w:t>83,1%</w:t>
            </w:r>
          </w:p>
        </w:tc>
        <w:tc>
          <w:tcPr>
            <w:tcW w:w="1032" w:type="dxa"/>
            <w:shd w:val="clear" w:color="auto" w:fill="auto"/>
            <w:vAlign w:val="center"/>
          </w:tcPr>
          <w:p w14:paraId="1213E1EE" w14:textId="77777777" w:rsidR="00881780" w:rsidRPr="00404DA5" w:rsidRDefault="00881780" w:rsidP="006F4D8F">
            <w:pPr>
              <w:jc w:val="center"/>
              <w:rPr>
                <w:rFonts w:cs="Calibri"/>
                <w:sz w:val="18"/>
                <w:szCs w:val="18"/>
              </w:rPr>
            </w:pPr>
            <w:r w:rsidRPr="00404DA5">
              <w:rPr>
                <w:rFonts w:cs="Calibri"/>
                <w:sz w:val="18"/>
                <w:szCs w:val="18"/>
              </w:rPr>
              <w:t>0</w:t>
            </w:r>
          </w:p>
        </w:tc>
        <w:tc>
          <w:tcPr>
            <w:tcW w:w="1032" w:type="dxa"/>
            <w:shd w:val="clear" w:color="auto" w:fill="auto"/>
            <w:vAlign w:val="center"/>
          </w:tcPr>
          <w:p w14:paraId="1FCF2893" w14:textId="77777777" w:rsidR="00881780" w:rsidRPr="00404DA5" w:rsidRDefault="00881780" w:rsidP="006F4D8F">
            <w:pPr>
              <w:jc w:val="center"/>
              <w:rPr>
                <w:rFonts w:cs="Calibri"/>
                <w:sz w:val="18"/>
                <w:szCs w:val="18"/>
              </w:rPr>
            </w:pPr>
            <w:r w:rsidRPr="00404DA5">
              <w:rPr>
                <w:rFonts w:cs="Calibri"/>
                <w:sz w:val="18"/>
                <w:szCs w:val="18"/>
              </w:rPr>
              <w:t>0,0%</w:t>
            </w:r>
          </w:p>
        </w:tc>
      </w:tr>
    </w:tbl>
    <w:p w14:paraId="65732B69"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0E554732" w14:textId="77777777" w:rsidR="00881780" w:rsidRPr="00404DA5" w:rsidRDefault="00881780" w:rsidP="00881780">
      <w:pPr>
        <w:rPr>
          <w:rFonts w:cs="Calibri"/>
          <w:szCs w:val="20"/>
        </w:rPr>
      </w:pPr>
      <w:r w:rsidRPr="00404DA5">
        <w:rPr>
          <w:rFonts w:cs="Calibri"/>
          <w:szCs w:val="20"/>
        </w:rPr>
        <w:t>Interwencja realizuje cele związane ze wsparciem osób zamierzających rozpocząć prowadzenie działalności gospodarczej poprzez: (typ projektu 1) przyznanie pożyczki na utworzenie działalności gospodarczej oraz przyznanie pożyczki na utworzenie dodatkowego miejsca pracy</w:t>
      </w:r>
      <w:r w:rsidR="00E66B89">
        <w:rPr>
          <w:rFonts w:cs="Calibri"/>
          <w:szCs w:val="20"/>
        </w:rPr>
        <w:t xml:space="preserve"> w </w:t>
      </w:r>
      <w:r w:rsidRPr="00404DA5">
        <w:rPr>
          <w:rFonts w:cs="Calibri"/>
          <w:szCs w:val="20"/>
        </w:rPr>
        <w:t>ramach założonej działalności gospodarczej (wyłącznie dla osób, które rozpoczęły działalność</w:t>
      </w:r>
      <w:r w:rsidR="00E66B89">
        <w:rPr>
          <w:rFonts w:cs="Calibri"/>
          <w:szCs w:val="20"/>
        </w:rPr>
        <w:t xml:space="preserve"> w </w:t>
      </w:r>
      <w:r w:rsidRPr="00404DA5">
        <w:rPr>
          <w:rFonts w:cs="Calibri"/>
          <w:szCs w:val="20"/>
        </w:rPr>
        <w:t>ramach danego projektu); jak również, (typ projektu 2) udzielenie pomocy</w:t>
      </w:r>
      <w:r w:rsidR="00E66B89">
        <w:rPr>
          <w:rFonts w:cs="Calibri"/>
          <w:szCs w:val="20"/>
        </w:rPr>
        <w:t xml:space="preserve"> w </w:t>
      </w:r>
      <w:r w:rsidRPr="00404DA5">
        <w:rPr>
          <w:rFonts w:cs="Calibri"/>
          <w:szCs w:val="20"/>
        </w:rPr>
        <w:t>formie bezzwrotnej (dotacji) na utworzenie działalności gospodarczej oraz doradztwo</w:t>
      </w:r>
      <w:r w:rsidR="00E66B89">
        <w:rPr>
          <w:rFonts w:cs="Calibri"/>
          <w:szCs w:val="20"/>
        </w:rPr>
        <w:t xml:space="preserve"> i </w:t>
      </w:r>
      <w:r w:rsidRPr="00404DA5">
        <w:rPr>
          <w:rFonts w:cs="Calibri"/>
          <w:szCs w:val="20"/>
        </w:rPr>
        <w:t>szkolenia umożliwiające uzyskanie wiedzy</w:t>
      </w:r>
      <w:r w:rsidR="00E66B89">
        <w:rPr>
          <w:rFonts w:cs="Calibri"/>
          <w:szCs w:val="20"/>
        </w:rPr>
        <w:t xml:space="preserve"> i </w:t>
      </w:r>
      <w:r w:rsidRPr="00404DA5">
        <w:rPr>
          <w:rFonts w:cs="Calibri"/>
          <w:szCs w:val="20"/>
        </w:rPr>
        <w:t>umiejętności niezbędnych do podjęcia</w:t>
      </w:r>
      <w:r w:rsidR="00E66B89">
        <w:rPr>
          <w:rFonts w:cs="Calibri"/>
          <w:szCs w:val="20"/>
        </w:rPr>
        <w:t xml:space="preserve"> i </w:t>
      </w:r>
      <w:r w:rsidRPr="00404DA5">
        <w:rPr>
          <w:rFonts w:cs="Calibri"/>
          <w:szCs w:val="20"/>
        </w:rPr>
        <w:t>prowadzenia działalności gospodarczej,</w:t>
      </w:r>
      <w:r w:rsidR="00E66B89">
        <w:rPr>
          <w:rFonts w:cs="Calibri"/>
          <w:szCs w:val="20"/>
        </w:rPr>
        <w:t xml:space="preserve"> a </w:t>
      </w:r>
      <w:r w:rsidRPr="00404DA5">
        <w:rPr>
          <w:rFonts w:cs="Calibri"/>
          <w:szCs w:val="20"/>
        </w:rPr>
        <w:t>także wsparcie pomostowe przez okres od 6 do 12 miesięcy od dnia rozpoczęcia działalności gospodarczej; oraz (typ projektu 3) zapewnienie specjalistycznych usług szkoleniowo-doradczych.</w:t>
      </w:r>
    </w:p>
    <w:p w14:paraId="7898F9CA" w14:textId="77777777" w:rsidR="00881780" w:rsidRPr="00404DA5" w:rsidRDefault="00881780" w:rsidP="00881780">
      <w:pPr>
        <w:rPr>
          <w:rFonts w:cs="Calibri"/>
          <w:szCs w:val="20"/>
        </w:rPr>
      </w:pPr>
      <w:r w:rsidRPr="00404DA5">
        <w:rPr>
          <w:rFonts w:cs="Calibri"/>
          <w:szCs w:val="20"/>
        </w:rPr>
        <w:t>Na wsparcie realizowane</w:t>
      </w:r>
      <w:r w:rsidR="00E66B89">
        <w:rPr>
          <w:rFonts w:cs="Calibri"/>
          <w:szCs w:val="20"/>
        </w:rPr>
        <w:t xml:space="preserve"> w </w:t>
      </w:r>
      <w:r w:rsidRPr="00404DA5">
        <w:rPr>
          <w:rFonts w:cs="Calibri"/>
          <w:szCs w:val="20"/>
        </w:rPr>
        <w:t xml:space="preserve">ramach PI 8iii przewidziano 18 000 000,00 EUR </w:t>
      </w:r>
      <w:r w:rsidR="0013771A">
        <w:rPr>
          <w:rFonts w:cs="Calibri"/>
          <w:szCs w:val="20"/>
        </w:rPr>
        <w:t>(</w:t>
      </w:r>
      <w:r w:rsidRPr="00404DA5">
        <w:rPr>
          <w:rFonts w:cs="Calibri"/>
          <w:szCs w:val="20"/>
        </w:rPr>
        <w:t>alokacja UE ogółem (z RW</w:t>
      </w:r>
      <w:r w:rsidR="0013771A" w:rsidRPr="00404DA5">
        <w:rPr>
          <w:rFonts w:cs="Calibri"/>
          <w:szCs w:val="20"/>
        </w:rPr>
        <w:t>)</w:t>
      </w:r>
      <w:r w:rsidR="0013771A">
        <w:rPr>
          <w:rFonts w:cs="Calibri"/>
          <w:szCs w:val="20"/>
        </w:rPr>
        <w:t>)</w:t>
      </w:r>
      <w:r w:rsidR="0013771A" w:rsidRPr="00404DA5">
        <w:rPr>
          <w:rFonts w:cs="Calibri"/>
          <w:szCs w:val="20"/>
        </w:rPr>
        <w:t xml:space="preserve">, </w:t>
      </w:r>
      <w:r w:rsidRPr="00404DA5">
        <w:rPr>
          <w:rFonts w:cs="Calibri"/>
          <w:szCs w:val="20"/>
        </w:rPr>
        <w:t>tj. 77 450 400,00 zł</w:t>
      </w:r>
      <w:r>
        <w:rPr>
          <w:rStyle w:val="Odwoanieprzypisudolnego"/>
          <w:szCs w:val="20"/>
        </w:rPr>
        <w:footnoteReference w:id="86"/>
      </w:r>
      <w:r w:rsidRPr="00404DA5">
        <w:rPr>
          <w:rFonts w:cs="Calibri"/>
          <w:szCs w:val="20"/>
        </w:rPr>
        <w:t xml:space="preserve">; 16 742 586,00 EUR </w:t>
      </w:r>
      <w:r w:rsidR="0013771A">
        <w:rPr>
          <w:rFonts w:cs="Calibri"/>
          <w:szCs w:val="20"/>
        </w:rPr>
        <w:t>(</w:t>
      </w:r>
      <w:r w:rsidRPr="00404DA5">
        <w:rPr>
          <w:rFonts w:cs="Calibri"/>
          <w:szCs w:val="20"/>
        </w:rPr>
        <w:t>alokacja główna UE (bez RW)], tj. 72 039 999,04 zł</w:t>
      </w:r>
      <w:r w:rsidR="0013771A">
        <w:rPr>
          <w:rStyle w:val="Odwoanieprzypisudolnego"/>
          <w:szCs w:val="20"/>
        </w:rPr>
        <w:footnoteReference w:id="87"/>
      </w:r>
      <w:r w:rsidR="0013771A">
        <w:rPr>
          <w:rFonts w:cs="Calibri"/>
          <w:szCs w:val="20"/>
        </w:rPr>
        <w:t>)</w:t>
      </w:r>
      <w:r w:rsidR="0013771A" w:rsidRPr="00404DA5">
        <w:rPr>
          <w:rFonts w:cs="Calibri"/>
          <w:szCs w:val="20"/>
        </w:rPr>
        <w:t>.</w:t>
      </w:r>
    </w:p>
    <w:p w14:paraId="1FB3B62B" w14:textId="77777777" w:rsidR="00881780" w:rsidRPr="00404DA5" w:rsidRDefault="00881780" w:rsidP="00881780">
      <w:pPr>
        <w:rPr>
          <w:rFonts w:cs="Calibri"/>
          <w:szCs w:val="20"/>
        </w:rPr>
      </w:pPr>
      <w:bookmarkStart w:id="247" w:name="_Hlk3466130"/>
      <w:r w:rsidRPr="00404DA5">
        <w:rPr>
          <w:rFonts w:cs="Calibri"/>
          <w:szCs w:val="20"/>
        </w:rPr>
        <w:lastRenderedPageBreak/>
        <w:t>W ramach PI 8iii Działanie 6.4 dofinansowano realizację jednego projektu (typ 1) „Wspieranie przedsiębiorczości poprzez Fundusz Funduszy Pomorza Zachodniego Jeremie 2” wdrażanego przez podmiot wybrany</w:t>
      </w:r>
      <w:r w:rsidR="00E66B89">
        <w:rPr>
          <w:rFonts w:cs="Calibri"/>
          <w:szCs w:val="20"/>
        </w:rPr>
        <w:t xml:space="preserve"> w </w:t>
      </w:r>
      <w:r w:rsidRPr="00404DA5">
        <w:rPr>
          <w:rFonts w:cs="Calibri"/>
          <w:szCs w:val="20"/>
        </w:rPr>
        <w:t>trybie pozakonkursowym: Bank Gospodarstwa Krajowego / BGK. Wartość projektu ogółem to 73 876 647,06 zł, wkład EU wynosi 62 795 150,00 zł, co stanowi 81,1%% alokacji UE ogółem (z RW) na PI 8iii Działanie 6.4., oraz 87,2% alokacji głównej (bez RW).</w:t>
      </w:r>
    </w:p>
    <w:p w14:paraId="4C6045CB" w14:textId="77777777" w:rsidR="00881780" w:rsidRPr="00404DA5" w:rsidRDefault="00881780" w:rsidP="00881780">
      <w:pPr>
        <w:rPr>
          <w:rFonts w:cs="Calibri"/>
          <w:szCs w:val="20"/>
        </w:rPr>
      </w:pPr>
      <w:r w:rsidRPr="00404DA5">
        <w:rPr>
          <w:rFonts w:cs="Calibri"/>
          <w:szCs w:val="20"/>
        </w:rPr>
        <w:t xml:space="preserve">Alokacja </w:t>
      </w:r>
      <w:bookmarkStart w:id="248" w:name="_Hlk3460208"/>
      <w:r w:rsidRPr="00404DA5">
        <w:rPr>
          <w:rFonts w:cs="Calibri"/>
          <w:szCs w:val="20"/>
        </w:rPr>
        <w:t xml:space="preserve">UE ogółem (z RW) </w:t>
      </w:r>
      <w:bookmarkEnd w:id="248"/>
      <w:r w:rsidRPr="00404DA5">
        <w:rPr>
          <w:rFonts w:cs="Calibri"/>
          <w:szCs w:val="20"/>
        </w:rPr>
        <w:t>pozostała / dostępna</w:t>
      </w:r>
      <w:r w:rsidR="00E66B89">
        <w:rPr>
          <w:rFonts w:cs="Calibri"/>
          <w:szCs w:val="20"/>
        </w:rPr>
        <w:t xml:space="preserve"> w </w:t>
      </w:r>
      <w:r w:rsidRPr="00404DA5">
        <w:rPr>
          <w:rFonts w:cs="Calibri"/>
          <w:szCs w:val="20"/>
        </w:rPr>
        <w:t>PI 8iii wynosi 14 655 250,00 zł. Pozostała / dostępna alokacja UE główna (bez RW) wynosi 9 244,849,04 zł.</w:t>
      </w:r>
    </w:p>
    <w:bookmarkEnd w:id="247"/>
    <w:p w14:paraId="2462631A" w14:textId="77777777" w:rsidR="00881780" w:rsidRPr="00404DA5" w:rsidRDefault="00881780" w:rsidP="00881780">
      <w:pPr>
        <w:rPr>
          <w:rFonts w:cs="Calibri"/>
          <w:szCs w:val="20"/>
        </w:rPr>
      </w:pPr>
      <w:r w:rsidRPr="00404DA5">
        <w:rPr>
          <w:rFonts w:cs="Calibri"/>
          <w:szCs w:val="20"/>
        </w:rPr>
        <w:t>Według stanu na 07.01.2019 r. stopień osiągnięcia wartości docelowych (na 2023 rok) wskaźników określonych dla Pi 8iii Działanie 6.4 wynosi 0% (wg WoP)</w:t>
      </w:r>
      <w:r w:rsidR="00E66B89">
        <w:rPr>
          <w:rFonts w:cs="Calibri"/>
          <w:szCs w:val="20"/>
        </w:rPr>
        <w:t xml:space="preserve"> i </w:t>
      </w:r>
      <w:r w:rsidRPr="00404DA5">
        <w:rPr>
          <w:rFonts w:cs="Calibri"/>
          <w:szCs w:val="20"/>
        </w:rPr>
        <w:t xml:space="preserve">&gt; 83% wg UoD. Nierealizowana jest wartość wskaźnika produktu </w:t>
      </w:r>
      <w:r w:rsidRPr="0013771A">
        <w:rPr>
          <w:rFonts w:cs="Calibri"/>
          <w:i/>
          <w:szCs w:val="20"/>
        </w:rPr>
        <w:t>Liczba osób pozostających bez pracy, które otrzymały bezzwrotne środki na podjęcie działalności gospodarczej</w:t>
      </w:r>
      <w:r w:rsidR="00E66B89" w:rsidRPr="0013771A">
        <w:rPr>
          <w:rFonts w:cs="Calibri"/>
          <w:i/>
          <w:szCs w:val="20"/>
        </w:rPr>
        <w:t xml:space="preserve"> w </w:t>
      </w:r>
      <w:r w:rsidRPr="0013771A">
        <w:rPr>
          <w:rFonts w:cs="Calibri"/>
          <w:i/>
          <w:szCs w:val="20"/>
        </w:rPr>
        <w:t>programie</w:t>
      </w:r>
      <w:r w:rsidRPr="00404DA5">
        <w:rPr>
          <w:rFonts w:cs="Calibri"/>
          <w:szCs w:val="20"/>
        </w:rPr>
        <w:t xml:space="preserve"> (0% wg. UoD).</w:t>
      </w:r>
    </w:p>
    <w:p w14:paraId="6D809490" w14:textId="77777777" w:rsidR="00881780" w:rsidRDefault="00881780" w:rsidP="00881780">
      <w:pPr>
        <w:rPr>
          <w:rFonts w:cs="Calibri"/>
          <w:szCs w:val="20"/>
        </w:rPr>
      </w:pPr>
      <w:r w:rsidRPr="00404DA5">
        <w:rPr>
          <w:rFonts w:cs="Calibri"/>
          <w:szCs w:val="20"/>
        </w:rPr>
        <w:t>Przyczyną tej sytuacji są trudności związane</w:t>
      </w:r>
      <w:r w:rsidR="00E66B89">
        <w:rPr>
          <w:rFonts w:cs="Calibri"/>
          <w:szCs w:val="20"/>
        </w:rPr>
        <w:t xml:space="preserve"> z </w:t>
      </w:r>
      <w:r w:rsidRPr="00404DA5">
        <w:rPr>
          <w:rFonts w:cs="Calibri"/>
          <w:szCs w:val="20"/>
        </w:rPr>
        <w:t>wdrażaniem wsparcia przez Bank Gospodarstwa Krajowego.</w:t>
      </w:r>
      <w:r>
        <w:rPr>
          <w:rFonts w:cs="Calibri"/>
          <w:szCs w:val="20"/>
        </w:rPr>
        <w:t xml:space="preserve"> </w:t>
      </w:r>
      <w:bookmarkStart w:id="249" w:name="_Hlk6354027"/>
      <w:r>
        <w:rPr>
          <w:rFonts w:cs="Calibri"/>
          <w:szCs w:val="20"/>
        </w:rPr>
        <w:t xml:space="preserve">Czynnikiem utrudniającym </w:t>
      </w:r>
      <w:r w:rsidRPr="00D7248B">
        <w:rPr>
          <w:rFonts w:cs="Calibri"/>
          <w:szCs w:val="20"/>
        </w:rPr>
        <w:t>realizacj</w:t>
      </w:r>
      <w:r>
        <w:rPr>
          <w:rFonts w:cs="Calibri"/>
          <w:szCs w:val="20"/>
        </w:rPr>
        <w:t>ę</w:t>
      </w:r>
      <w:r w:rsidRPr="00D7248B">
        <w:rPr>
          <w:rFonts w:cs="Calibri"/>
          <w:szCs w:val="20"/>
        </w:rPr>
        <w:t xml:space="preserve"> celów związanych ze wsparciem</w:t>
      </w:r>
      <w:r w:rsidR="00E66B89">
        <w:rPr>
          <w:rFonts w:cs="Calibri"/>
          <w:szCs w:val="20"/>
        </w:rPr>
        <w:t xml:space="preserve"> w </w:t>
      </w:r>
      <w:r w:rsidRPr="00D7248B">
        <w:rPr>
          <w:rFonts w:cs="Calibri"/>
          <w:szCs w:val="20"/>
        </w:rPr>
        <w:t xml:space="preserve">formie zwrotnych instrumentów finansowych </w:t>
      </w:r>
      <w:r>
        <w:rPr>
          <w:rFonts w:cs="Calibri"/>
          <w:szCs w:val="20"/>
        </w:rPr>
        <w:noBreakHyphen/>
        <w:t xml:space="preserve"> poza opisanym poniżej problemem związanym</w:t>
      </w:r>
      <w:r w:rsidR="00E66B89">
        <w:rPr>
          <w:rFonts w:cs="Calibri"/>
          <w:szCs w:val="20"/>
        </w:rPr>
        <w:t xml:space="preserve"> z </w:t>
      </w:r>
      <w:r>
        <w:rPr>
          <w:rFonts w:cs="Calibri"/>
          <w:szCs w:val="20"/>
        </w:rPr>
        <w:t xml:space="preserve">naborem pośredników finansowych </w:t>
      </w:r>
      <w:r>
        <w:rPr>
          <w:rFonts w:cs="Calibri"/>
          <w:szCs w:val="20"/>
        </w:rPr>
        <w:noBreakHyphen/>
        <w:t xml:space="preserve"> </w:t>
      </w:r>
      <w:r w:rsidRPr="00D7248B">
        <w:rPr>
          <w:rFonts w:cs="Calibri"/>
          <w:szCs w:val="20"/>
        </w:rPr>
        <w:t>może być fakt, że</w:t>
      </w:r>
      <w:r w:rsidR="00E66B89">
        <w:rPr>
          <w:rFonts w:cs="Calibri"/>
          <w:szCs w:val="20"/>
        </w:rPr>
        <w:t xml:space="preserve"> w </w:t>
      </w:r>
      <w:r w:rsidRPr="00D7248B">
        <w:rPr>
          <w:rFonts w:cs="Calibri"/>
          <w:szCs w:val="20"/>
        </w:rPr>
        <w:t>grupie docelowej Działania 6.4 znajdują się</w:t>
      </w:r>
      <w:r>
        <w:rPr>
          <w:rFonts w:cs="Calibri"/>
          <w:szCs w:val="20"/>
        </w:rPr>
        <w:t>:</w:t>
      </w:r>
    </w:p>
    <w:p w14:paraId="78D05A63" w14:textId="77777777" w:rsidR="00881780" w:rsidRPr="00584E69" w:rsidRDefault="00881780" w:rsidP="00093E14">
      <w:pPr>
        <w:pStyle w:val="Akapitzlist"/>
        <w:numPr>
          <w:ilvl w:val="0"/>
          <w:numId w:val="49"/>
        </w:numPr>
        <w:spacing w:after="120"/>
        <w:contextualSpacing w:val="0"/>
        <w:rPr>
          <w:rFonts w:ascii="Lato" w:hAnsi="Lato" w:cs="Calibri"/>
          <w:sz w:val="20"/>
          <w:szCs w:val="20"/>
        </w:rPr>
      </w:pPr>
      <w:r w:rsidRPr="00584E69">
        <w:rPr>
          <w:rFonts w:ascii="Lato" w:hAnsi="Lato" w:cs="Calibri"/>
          <w:sz w:val="20"/>
          <w:szCs w:val="20"/>
        </w:rPr>
        <w:t>osoby bezrobotne, bierne zawodowo, zwłaszcza te, które znajdują się</w:t>
      </w:r>
      <w:r w:rsidR="00E66B89">
        <w:rPr>
          <w:rFonts w:ascii="Lato" w:hAnsi="Lato" w:cs="Calibri"/>
          <w:sz w:val="20"/>
          <w:szCs w:val="20"/>
        </w:rPr>
        <w:t xml:space="preserve"> w </w:t>
      </w:r>
      <w:r w:rsidRPr="00584E69">
        <w:rPr>
          <w:rFonts w:ascii="Lato" w:hAnsi="Lato" w:cs="Calibri"/>
          <w:sz w:val="20"/>
          <w:szCs w:val="20"/>
        </w:rPr>
        <w:t>sytuacji szczególnej na rynku pracy tj.: osoby</w:t>
      </w:r>
      <w:r w:rsidR="00E66B89">
        <w:rPr>
          <w:rFonts w:ascii="Lato" w:hAnsi="Lato" w:cs="Calibri"/>
          <w:sz w:val="20"/>
          <w:szCs w:val="20"/>
        </w:rPr>
        <w:t xml:space="preserve"> w </w:t>
      </w:r>
      <w:r w:rsidRPr="00584E69">
        <w:rPr>
          <w:rFonts w:ascii="Lato" w:hAnsi="Lato" w:cs="Calibri"/>
          <w:sz w:val="20"/>
          <w:szCs w:val="20"/>
        </w:rPr>
        <w:t>wieku 50 lat</w:t>
      </w:r>
      <w:r w:rsidR="00E66B89">
        <w:rPr>
          <w:rFonts w:ascii="Lato" w:hAnsi="Lato" w:cs="Calibri"/>
          <w:sz w:val="20"/>
          <w:szCs w:val="20"/>
        </w:rPr>
        <w:t xml:space="preserve"> i </w:t>
      </w:r>
      <w:r w:rsidRPr="00584E69">
        <w:rPr>
          <w:rFonts w:ascii="Lato" w:hAnsi="Lato" w:cs="Calibri"/>
          <w:sz w:val="20"/>
          <w:szCs w:val="20"/>
        </w:rPr>
        <w:t>więcej, kobiety, osoby</w:t>
      </w:r>
      <w:r w:rsidR="00E66B89">
        <w:rPr>
          <w:rFonts w:ascii="Lato" w:hAnsi="Lato" w:cs="Calibri"/>
          <w:sz w:val="20"/>
          <w:szCs w:val="20"/>
        </w:rPr>
        <w:t xml:space="preserve"> z </w:t>
      </w:r>
      <w:r w:rsidRPr="00584E69">
        <w:rPr>
          <w:rFonts w:ascii="Lato" w:hAnsi="Lato" w:cs="Calibri"/>
          <w:sz w:val="20"/>
          <w:szCs w:val="20"/>
        </w:rPr>
        <w:t>niepełnosprawnościami, osoby długotrwale bezrobotne, osoby</w:t>
      </w:r>
      <w:r w:rsidR="00E66B89">
        <w:rPr>
          <w:rFonts w:ascii="Lato" w:hAnsi="Lato" w:cs="Calibri"/>
          <w:sz w:val="20"/>
          <w:szCs w:val="20"/>
        </w:rPr>
        <w:t xml:space="preserve"> o </w:t>
      </w:r>
      <w:r w:rsidRPr="00584E69">
        <w:rPr>
          <w:rFonts w:ascii="Lato" w:hAnsi="Lato" w:cs="Calibri"/>
          <w:sz w:val="20"/>
          <w:szCs w:val="20"/>
        </w:rPr>
        <w:t>niskich kwalifikacjach,</w:t>
      </w:r>
    </w:p>
    <w:p w14:paraId="6C286E64" w14:textId="77777777" w:rsidR="00881780" w:rsidRPr="00584E69" w:rsidRDefault="00881780" w:rsidP="00093E14">
      <w:pPr>
        <w:pStyle w:val="Akapitzlist"/>
        <w:numPr>
          <w:ilvl w:val="0"/>
          <w:numId w:val="49"/>
        </w:numPr>
        <w:spacing w:after="120"/>
        <w:contextualSpacing w:val="0"/>
        <w:rPr>
          <w:rFonts w:ascii="Lato" w:hAnsi="Lato" w:cs="Calibri"/>
          <w:sz w:val="20"/>
          <w:szCs w:val="20"/>
        </w:rPr>
      </w:pPr>
      <w:r w:rsidRPr="00584E69">
        <w:rPr>
          <w:rFonts w:ascii="Lato" w:hAnsi="Lato" w:cs="Calibri"/>
          <w:sz w:val="20"/>
          <w:szCs w:val="20"/>
        </w:rPr>
        <w:t>osoby odchodzące</w:t>
      </w:r>
      <w:r w:rsidR="00E66B89">
        <w:rPr>
          <w:rFonts w:ascii="Lato" w:hAnsi="Lato" w:cs="Calibri"/>
          <w:sz w:val="20"/>
          <w:szCs w:val="20"/>
        </w:rPr>
        <w:t xml:space="preserve"> z </w:t>
      </w:r>
      <w:r w:rsidRPr="00584E69">
        <w:rPr>
          <w:rFonts w:ascii="Lato" w:hAnsi="Lato" w:cs="Calibri"/>
          <w:sz w:val="20"/>
          <w:szCs w:val="20"/>
        </w:rPr>
        <w:t>rolnictwa</w:t>
      </w:r>
      <w:r w:rsidR="00E66B89">
        <w:rPr>
          <w:rFonts w:ascii="Lato" w:hAnsi="Lato" w:cs="Calibri"/>
          <w:sz w:val="20"/>
          <w:szCs w:val="20"/>
        </w:rPr>
        <w:t xml:space="preserve"> i </w:t>
      </w:r>
      <w:r w:rsidRPr="00584E69">
        <w:rPr>
          <w:rFonts w:ascii="Lato" w:hAnsi="Lato" w:cs="Calibri"/>
          <w:sz w:val="20"/>
          <w:szCs w:val="20"/>
        </w:rPr>
        <w:t>ich rodziny,</w:t>
      </w:r>
    </w:p>
    <w:p w14:paraId="661FD7DB" w14:textId="77777777" w:rsidR="00881780" w:rsidRPr="00584E69" w:rsidRDefault="00881780" w:rsidP="00093E14">
      <w:pPr>
        <w:pStyle w:val="Akapitzlist"/>
        <w:numPr>
          <w:ilvl w:val="0"/>
          <w:numId w:val="49"/>
        </w:numPr>
        <w:spacing w:after="120"/>
        <w:contextualSpacing w:val="0"/>
        <w:rPr>
          <w:rFonts w:ascii="Lato" w:hAnsi="Lato" w:cs="Calibri"/>
          <w:sz w:val="20"/>
          <w:szCs w:val="20"/>
        </w:rPr>
      </w:pPr>
      <w:r w:rsidRPr="00584E69">
        <w:rPr>
          <w:rFonts w:ascii="Lato" w:hAnsi="Lato" w:cs="Calibri"/>
          <w:sz w:val="20"/>
          <w:szCs w:val="20"/>
        </w:rPr>
        <w:t>osoby</w:t>
      </w:r>
      <w:r w:rsidR="00E66B89">
        <w:rPr>
          <w:rFonts w:ascii="Lato" w:hAnsi="Lato" w:cs="Calibri"/>
          <w:sz w:val="20"/>
          <w:szCs w:val="20"/>
        </w:rPr>
        <w:t xml:space="preserve"> o </w:t>
      </w:r>
      <w:r w:rsidRPr="00584E69">
        <w:rPr>
          <w:rFonts w:ascii="Lato" w:hAnsi="Lato" w:cs="Calibri"/>
          <w:sz w:val="20"/>
          <w:szCs w:val="20"/>
        </w:rPr>
        <w:t>statusie ubogich pracujących,</w:t>
      </w:r>
    </w:p>
    <w:p w14:paraId="6EA8CB31" w14:textId="77777777" w:rsidR="00881780" w:rsidRDefault="00881780" w:rsidP="00881780">
      <w:pPr>
        <w:rPr>
          <w:rFonts w:cs="Calibri"/>
          <w:szCs w:val="20"/>
        </w:rPr>
      </w:pPr>
      <w:r w:rsidRPr="00D7248B">
        <w:rPr>
          <w:rFonts w:cs="Calibri"/>
          <w:szCs w:val="20"/>
        </w:rPr>
        <w:t xml:space="preserve">dla których </w:t>
      </w:r>
      <w:r>
        <w:rPr>
          <w:rFonts w:cs="Calibri"/>
          <w:szCs w:val="20"/>
        </w:rPr>
        <w:t xml:space="preserve">sama </w:t>
      </w:r>
      <w:r w:rsidRPr="00D7248B">
        <w:rPr>
          <w:rFonts w:cs="Calibri"/>
          <w:szCs w:val="20"/>
        </w:rPr>
        <w:t>idea instrumentu zwrotnego jest barierą</w:t>
      </w:r>
      <w:r w:rsidR="00E66B89">
        <w:rPr>
          <w:rFonts w:cs="Calibri"/>
          <w:szCs w:val="20"/>
        </w:rPr>
        <w:t xml:space="preserve"> w </w:t>
      </w:r>
      <w:r w:rsidRPr="00D7248B">
        <w:rPr>
          <w:rFonts w:cs="Calibri"/>
          <w:szCs w:val="20"/>
        </w:rPr>
        <w:t>podejmowaniu decyzji</w:t>
      </w:r>
      <w:r w:rsidR="00E66B89">
        <w:rPr>
          <w:rFonts w:cs="Calibri"/>
          <w:szCs w:val="20"/>
        </w:rPr>
        <w:t xml:space="preserve"> o </w:t>
      </w:r>
      <w:r w:rsidRPr="00D7248B">
        <w:rPr>
          <w:rFonts w:cs="Calibri"/>
          <w:szCs w:val="20"/>
        </w:rPr>
        <w:t xml:space="preserve">przystąpieniu do </w:t>
      </w:r>
      <w:r>
        <w:rPr>
          <w:rFonts w:cs="Calibri"/>
          <w:szCs w:val="20"/>
        </w:rPr>
        <w:t>projektu</w:t>
      </w:r>
      <w:r w:rsidRPr="00D7248B">
        <w:rPr>
          <w:rFonts w:cs="Calibri"/>
          <w:szCs w:val="20"/>
        </w:rPr>
        <w:t>. Fakt, że trudność we wdrażaniu Działania 6.4 jest związana</w:t>
      </w:r>
      <w:r w:rsidR="00E66B89">
        <w:rPr>
          <w:rFonts w:cs="Calibri"/>
          <w:szCs w:val="20"/>
        </w:rPr>
        <w:t xml:space="preserve"> z </w:t>
      </w:r>
      <w:r w:rsidRPr="00D7248B">
        <w:rPr>
          <w:rFonts w:cs="Calibri"/>
          <w:szCs w:val="20"/>
        </w:rPr>
        <w:t>grup</w:t>
      </w:r>
      <w:r>
        <w:rPr>
          <w:rFonts w:cs="Calibri"/>
          <w:szCs w:val="20"/>
        </w:rPr>
        <w:t>ą</w:t>
      </w:r>
      <w:r w:rsidRPr="00D7248B">
        <w:rPr>
          <w:rFonts w:cs="Calibri"/>
          <w:szCs w:val="20"/>
        </w:rPr>
        <w:t xml:space="preserve"> docelową został również podkreślony podczas wywiadu przez przedstawiciela </w:t>
      </w:r>
      <w:r>
        <w:rPr>
          <w:rFonts w:cs="Calibri"/>
          <w:szCs w:val="20"/>
        </w:rPr>
        <w:t>I</w:t>
      </w:r>
      <w:r w:rsidRPr="00D7248B">
        <w:rPr>
          <w:rFonts w:cs="Calibri"/>
          <w:szCs w:val="20"/>
        </w:rPr>
        <w:t xml:space="preserve">nstytucji </w:t>
      </w:r>
      <w:r>
        <w:rPr>
          <w:rFonts w:cs="Calibri"/>
          <w:szCs w:val="20"/>
        </w:rPr>
        <w:t>W</w:t>
      </w:r>
      <w:r w:rsidRPr="00D7248B">
        <w:rPr>
          <w:rFonts w:cs="Calibri"/>
          <w:szCs w:val="20"/>
        </w:rPr>
        <w:t>drażającej Program.</w:t>
      </w:r>
      <w:r w:rsidR="00E66B89">
        <w:rPr>
          <w:rFonts w:cs="Calibri"/>
          <w:szCs w:val="20"/>
        </w:rPr>
        <w:t xml:space="preserve"> W </w:t>
      </w:r>
      <w:r w:rsidRPr="00D7248B">
        <w:rPr>
          <w:rFonts w:cs="Calibri"/>
          <w:szCs w:val="20"/>
        </w:rPr>
        <w:t>opinii osoby uczestniczącej</w:t>
      </w:r>
      <w:r w:rsidR="00E66B89">
        <w:rPr>
          <w:rFonts w:cs="Calibri"/>
          <w:szCs w:val="20"/>
        </w:rPr>
        <w:t xml:space="preserve"> w </w:t>
      </w:r>
      <w:r w:rsidRPr="00D7248B">
        <w:rPr>
          <w:rFonts w:cs="Calibri"/>
          <w:szCs w:val="20"/>
        </w:rPr>
        <w:t>badaniu (udzielającej wywiadu), nawet przy preferencyjnym oprocentowaniu zwrotnego instrumentu finansowego</w:t>
      </w:r>
      <w:r>
        <w:rPr>
          <w:rFonts w:cs="Calibri"/>
          <w:szCs w:val="20"/>
        </w:rPr>
        <w:t>,</w:t>
      </w:r>
      <w:r w:rsidRPr="00D7248B">
        <w:rPr>
          <w:rFonts w:cs="Calibri"/>
          <w:szCs w:val="20"/>
        </w:rPr>
        <w:t xml:space="preserve"> </w:t>
      </w:r>
      <w:r>
        <w:rPr>
          <w:rFonts w:cs="Calibri"/>
          <w:szCs w:val="20"/>
        </w:rPr>
        <w:t>barierą może być</w:t>
      </w:r>
      <w:r w:rsidRPr="00D7248B">
        <w:rPr>
          <w:rFonts w:cs="Calibri"/>
          <w:szCs w:val="20"/>
        </w:rPr>
        <w:t xml:space="preserve"> sama idea </w:t>
      </w:r>
      <w:r>
        <w:rPr>
          <w:rFonts w:cs="Calibri"/>
          <w:szCs w:val="20"/>
        </w:rPr>
        <w:t>spłacania</w:t>
      </w:r>
      <w:r w:rsidRPr="00D7248B">
        <w:rPr>
          <w:rFonts w:cs="Calibri"/>
          <w:szCs w:val="20"/>
        </w:rPr>
        <w:t xml:space="preserve"> dofinansowania </w:t>
      </w:r>
      <w:r>
        <w:rPr>
          <w:rFonts w:cs="Calibri"/>
          <w:szCs w:val="20"/>
        </w:rPr>
        <w:t xml:space="preserve">najczęściej </w:t>
      </w:r>
      <w:r w:rsidRPr="00D7248B">
        <w:rPr>
          <w:rFonts w:cs="Calibri"/>
          <w:szCs w:val="20"/>
        </w:rPr>
        <w:t>współwystępująca</w:t>
      </w:r>
      <w:r w:rsidR="00E66B89">
        <w:rPr>
          <w:rFonts w:cs="Calibri"/>
          <w:szCs w:val="20"/>
        </w:rPr>
        <w:t xml:space="preserve"> z </w:t>
      </w:r>
      <w:r w:rsidRPr="00D7248B">
        <w:rPr>
          <w:rFonts w:cs="Calibri"/>
          <w:szCs w:val="20"/>
        </w:rPr>
        <w:t>niską świadomością</w:t>
      </w:r>
      <w:r w:rsidR="00E66B89">
        <w:rPr>
          <w:rFonts w:cs="Calibri"/>
          <w:szCs w:val="20"/>
        </w:rPr>
        <w:t xml:space="preserve"> u </w:t>
      </w:r>
      <w:r>
        <w:rPr>
          <w:rFonts w:cs="Calibri"/>
          <w:szCs w:val="20"/>
        </w:rPr>
        <w:t xml:space="preserve">potencjalnych odbiorców wsparcia i deficytem informacji </w:t>
      </w:r>
      <w:r w:rsidRPr="00D7248B">
        <w:rPr>
          <w:rFonts w:cs="Calibri"/>
          <w:szCs w:val="20"/>
        </w:rPr>
        <w:t>na temat preferencyjnych warunków pozyskania pożyczki/</w:t>
      </w:r>
      <w:r>
        <w:rPr>
          <w:rFonts w:cs="Calibri"/>
          <w:szCs w:val="20"/>
        </w:rPr>
        <w:t xml:space="preserve"> </w:t>
      </w:r>
      <w:r w:rsidRPr="00D7248B">
        <w:rPr>
          <w:rFonts w:cs="Calibri"/>
          <w:szCs w:val="20"/>
        </w:rPr>
        <w:t>skorzystania ze wsparcia.</w:t>
      </w:r>
    </w:p>
    <w:bookmarkEnd w:id="249"/>
    <w:p w14:paraId="5C880073" w14:textId="77777777" w:rsidR="00881780" w:rsidRPr="00C22C26" w:rsidRDefault="00881780" w:rsidP="00881780">
      <w:pPr>
        <w:rPr>
          <w:rFonts w:cs="Calibri"/>
          <w:b/>
          <w:szCs w:val="20"/>
        </w:rPr>
      </w:pPr>
      <w:r>
        <w:rPr>
          <w:rFonts w:cs="Calibri"/>
          <w:szCs w:val="20"/>
        </w:rPr>
        <w:t xml:space="preserve">Ponadto, </w:t>
      </w:r>
      <w:r w:rsidRPr="00921E5B">
        <w:rPr>
          <w:rFonts w:cs="Calibri"/>
          <w:szCs w:val="20"/>
        </w:rPr>
        <w:t xml:space="preserve">warto </w:t>
      </w:r>
      <w:r>
        <w:rPr>
          <w:rFonts w:cs="Calibri"/>
          <w:szCs w:val="20"/>
        </w:rPr>
        <w:t>zaznaczyć,</w:t>
      </w:r>
      <w:r w:rsidRPr="00921E5B">
        <w:rPr>
          <w:rFonts w:cs="Calibri"/>
          <w:szCs w:val="20"/>
        </w:rPr>
        <w:t xml:space="preserve"> </w:t>
      </w:r>
      <w:r>
        <w:rPr>
          <w:rFonts w:cs="Calibri"/>
          <w:szCs w:val="20"/>
        </w:rPr>
        <w:t>że wdrażana</w:t>
      </w:r>
      <w:r w:rsidR="00E66B89">
        <w:rPr>
          <w:rFonts w:cs="Calibri"/>
          <w:szCs w:val="20"/>
        </w:rPr>
        <w:t xml:space="preserve"> w </w:t>
      </w:r>
      <w:r>
        <w:rPr>
          <w:rFonts w:cs="Calibri"/>
          <w:szCs w:val="20"/>
        </w:rPr>
        <w:t>ramach Programu i</w:t>
      </w:r>
      <w:r w:rsidRPr="00921E5B">
        <w:rPr>
          <w:rFonts w:cs="Calibri"/>
          <w:szCs w:val="20"/>
        </w:rPr>
        <w:t xml:space="preserve">nterwencja </w:t>
      </w:r>
      <w:r>
        <w:rPr>
          <w:rFonts w:cs="Calibri"/>
          <w:szCs w:val="20"/>
        </w:rPr>
        <w:t>polegająca na wsparciu</w:t>
      </w:r>
      <w:r w:rsidR="00E66B89">
        <w:rPr>
          <w:rFonts w:cs="Calibri"/>
          <w:szCs w:val="20"/>
        </w:rPr>
        <w:t xml:space="preserve"> w </w:t>
      </w:r>
      <w:r>
        <w:rPr>
          <w:rFonts w:cs="Calibri"/>
          <w:szCs w:val="20"/>
        </w:rPr>
        <w:t xml:space="preserve">formie finansowych instrumentów zwrotnych (pożyczek) </w:t>
      </w:r>
      <w:r w:rsidRPr="00921E5B">
        <w:rPr>
          <w:rFonts w:cs="Calibri"/>
          <w:szCs w:val="20"/>
        </w:rPr>
        <w:t xml:space="preserve">powinna </w:t>
      </w:r>
      <w:r>
        <w:rPr>
          <w:rFonts w:cs="Calibri"/>
          <w:szCs w:val="20"/>
        </w:rPr>
        <w:t>pojawiać się na rynku / występować</w:t>
      </w:r>
      <w:r w:rsidR="00E66B89">
        <w:rPr>
          <w:rFonts w:cs="Calibri"/>
          <w:szCs w:val="20"/>
        </w:rPr>
        <w:t xml:space="preserve"> w </w:t>
      </w:r>
      <w:r w:rsidRPr="00921E5B">
        <w:rPr>
          <w:rFonts w:cs="Calibri"/>
          <w:szCs w:val="20"/>
        </w:rPr>
        <w:t>sytuacjach,</w:t>
      </w:r>
      <w:r w:rsidR="00E66B89">
        <w:rPr>
          <w:rFonts w:cs="Calibri"/>
          <w:szCs w:val="20"/>
        </w:rPr>
        <w:t xml:space="preserve"> w </w:t>
      </w:r>
      <w:r w:rsidRPr="00921E5B">
        <w:rPr>
          <w:rFonts w:cs="Calibri"/>
          <w:szCs w:val="20"/>
        </w:rPr>
        <w:t>których ma</w:t>
      </w:r>
      <w:r>
        <w:rPr>
          <w:rFonts w:cs="Calibri"/>
          <w:szCs w:val="20"/>
        </w:rPr>
        <w:t xml:space="preserve"> </w:t>
      </w:r>
      <w:r w:rsidRPr="00921E5B">
        <w:rPr>
          <w:rFonts w:cs="Calibri"/>
          <w:szCs w:val="20"/>
        </w:rPr>
        <w:t>miejsce luka finansowa</w:t>
      </w:r>
      <w:r>
        <w:rPr>
          <w:rFonts w:cs="Calibri"/>
          <w:szCs w:val="20"/>
        </w:rPr>
        <w:t>, tj. gdy występująca wśród potencjalnych odbiorców wsparcia motywacja do</w:t>
      </w:r>
      <w:r w:rsidRPr="00921E5B">
        <w:rPr>
          <w:rFonts w:cs="Calibri"/>
          <w:szCs w:val="20"/>
        </w:rPr>
        <w:t xml:space="preserve"> podjęcia działalności gospodarczej </w:t>
      </w:r>
      <w:r>
        <w:rPr>
          <w:rFonts w:cs="Calibri"/>
          <w:szCs w:val="20"/>
        </w:rPr>
        <w:t>zderza się</w:t>
      </w:r>
      <w:r w:rsidR="00E66B89">
        <w:rPr>
          <w:rFonts w:cs="Calibri"/>
          <w:szCs w:val="20"/>
        </w:rPr>
        <w:t xml:space="preserve"> z </w:t>
      </w:r>
      <w:r w:rsidRPr="00921E5B">
        <w:rPr>
          <w:rFonts w:cs="Calibri"/>
          <w:szCs w:val="20"/>
        </w:rPr>
        <w:t>brak</w:t>
      </w:r>
      <w:r>
        <w:rPr>
          <w:rFonts w:cs="Calibri"/>
          <w:szCs w:val="20"/>
        </w:rPr>
        <w:t>iem</w:t>
      </w:r>
      <w:r w:rsidRPr="00921E5B">
        <w:rPr>
          <w:rFonts w:cs="Calibri"/>
          <w:szCs w:val="20"/>
        </w:rPr>
        <w:t xml:space="preserve"> możliwości</w:t>
      </w:r>
      <w:r>
        <w:rPr>
          <w:rFonts w:cs="Calibri"/>
          <w:szCs w:val="20"/>
        </w:rPr>
        <w:t xml:space="preserve"> </w:t>
      </w:r>
      <w:r w:rsidRPr="00921E5B">
        <w:rPr>
          <w:rFonts w:cs="Calibri"/>
          <w:szCs w:val="20"/>
        </w:rPr>
        <w:t xml:space="preserve">sfinansowania </w:t>
      </w:r>
      <w:r>
        <w:rPr>
          <w:rFonts w:cs="Calibri"/>
          <w:szCs w:val="20"/>
        </w:rPr>
        <w:t>tego typu aktywności</w:t>
      </w:r>
      <w:r w:rsidR="00E66B89">
        <w:rPr>
          <w:rFonts w:cs="Calibri"/>
          <w:szCs w:val="20"/>
        </w:rPr>
        <w:t xml:space="preserve"> w </w:t>
      </w:r>
      <w:r>
        <w:rPr>
          <w:rFonts w:cs="Calibri"/>
          <w:szCs w:val="20"/>
        </w:rPr>
        <w:t>ramach dostępnych na rynku źródeł finansowania. Obserwacja ta jest zgodna</w:t>
      </w:r>
      <w:r w:rsidR="00E66B89">
        <w:rPr>
          <w:rFonts w:cs="Calibri"/>
          <w:szCs w:val="20"/>
        </w:rPr>
        <w:t xml:space="preserve"> z </w:t>
      </w:r>
      <w:r>
        <w:rPr>
          <w:rFonts w:cs="Calibri"/>
          <w:szCs w:val="20"/>
        </w:rPr>
        <w:t>wnioskami płynącymi</w:t>
      </w:r>
      <w:r w:rsidR="00E66B89">
        <w:rPr>
          <w:rFonts w:cs="Calibri"/>
          <w:szCs w:val="20"/>
        </w:rPr>
        <w:t xml:space="preserve"> z </w:t>
      </w:r>
      <w:r>
        <w:rPr>
          <w:rFonts w:cs="Calibri"/>
          <w:szCs w:val="20"/>
        </w:rPr>
        <w:t>przeprowadzonej</w:t>
      </w:r>
      <w:r w:rsidR="00E66B89">
        <w:rPr>
          <w:rFonts w:cs="Calibri"/>
          <w:szCs w:val="20"/>
        </w:rPr>
        <w:t xml:space="preserve"> w </w:t>
      </w:r>
      <w:r>
        <w:rPr>
          <w:rFonts w:cs="Calibri"/>
          <w:szCs w:val="20"/>
        </w:rPr>
        <w:t>regionie ewaluacji ex-ante instrumentów finansowych.</w:t>
      </w:r>
      <w:r>
        <w:rPr>
          <w:rStyle w:val="Odwoanieprzypisudolnego"/>
          <w:rFonts w:cs="Calibri"/>
          <w:szCs w:val="20"/>
        </w:rPr>
        <w:footnoteReference w:id="88"/>
      </w:r>
      <w:r>
        <w:rPr>
          <w:rFonts w:cs="Calibri"/>
          <w:szCs w:val="20"/>
        </w:rPr>
        <w:t xml:space="preserve"> Jeśli</w:t>
      </w:r>
      <w:r w:rsidR="00E66B89">
        <w:rPr>
          <w:rFonts w:cs="Calibri"/>
          <w:szCs w:val="20"/>
        </w:rPr>
        <w:t xml:space="preserve"> w </w:t>
      </w:r>
      <w:r>
        <w:rPr>
          <w:rFonts w:cs="Calibri"/>
          <w:szCs w:val="20"/>
        </w:rPr>
        <w:t>tym samym czasie dostępne będzie uwzględnione</w:t>
      </w:r>
      <w:r w:rsidR="00E66B89">
        <w:rPr>
          <w:rFonts w:cs="Calibri"/>
          <w:szCs w:val="20"/>
        </w:rPr>
        <w:t xml:space="preserve"> w </w:t>
      </w:r>
      <w:r>
        <w:rPr>
          <w:rFonts w:cs="Calibri"/>
          <w:szCs w:val="20"/>
        </w:rPr>
        <w:t>Programie wsparcie finansowe</w:t>
      </w:r>
      <w:r w:rsidR="00E66B89">
        <w:rPr>
          <w:rFonts w:cs="Calibri"/>
          <w:szCs w:val="20"/>
        </w:rPr>
        <w:t xml:space="preserve"> w </w:t>
      </w:r>
      <w:r>
        <w:rPr>
          <w:rFonts w:cs="Calibri"/>
          <w:szCs w:val="20"/>
        </w:rPr>
        <w:t>formie dotacji (występujące</w:t>
      </w:r>
      <w:r w:rsidR="00E66B89">
        <w:rPr>
          <w:rFonts w:cs="Calibri"/>
          <w:szCs w:val="20"/>
        </w:rPr>
        <w:t xml:space="preserve"> w </w:t>
      </w:r>
      <w:r>
        <w:rPr>
          <w:rFonts w:cs="Calibri"/>
          <w:szCs w:val="20"/>
        </w:rPr>
        <w:t xml:space="preserve">projektach </w:t>
      </w:r>
      <w:r w:rsidRPr="00404DA5">
        <w:rPr>
          <w:rFonts w:cs="Calibri"/>
          <w:szCs w:val="20"/>
        </w:rPr>
        <w:t>typu 2</w:t>
      </w:r>
      <w:r w:rsidR="00E66B89">
        <w:rPr>
          <w:rFonts w:cs="Calibri"/>
          <w:szCs w:val="20"/>
        </w:rPr>
        <w:t xml:space="preserve"> w </w:t>
      </w:r>
      <w:r w:rsidRPr="00404DA5">
        <w:rPr>
          <w:rFonts w:cs="Calibri"/>
          <w:szCs w:val="20"/>
        </w:rPr>
        <w:t>Działaniu 6.4</w:t>
      </w:r>
      <w:r>
        <w:rPr>
          <w:rFonts w:cs="Calibri"/>
          <w:szCs w:val="20"/>
        </w:rPr>
        <w:t>, jak również</w:t>
      </w:r>
      <w:r w:rsidR="00E66B89">
        <w:rPr>
          <w:rFonts w:cs="Calibri"/>
          <w:szCs w:val="20"/>
        </w:rPr>
        <w:t xml:space="preserve"> w </w:t>
      </w:r>
      <w:r>
        <w:rPr>
          <w:rFonts w:cs="Calibri"/>
          <w:szCs w:val="20"/>
        </w:rPr>
        <w:t>Działaniu 6.5) skierowane do tej samej grupy docelowej,</w:t>
      </w:r>
      <w:r w:rsidRPr="00404DA5">
        <w:rPr>
          <w:rFonts w:cs="Calibri"/>
          <w:szCs w:val="20"/>
        </w:rPr>
        <w:t xml:space="preserve"> </w:t>
      </w:r>
      <w:r>
        <w:rPr>
          <w:rFonts w:cs="Calibri"/>
          <w:szCs w:val="20"/>
        </w:rPr>
        <w:t>to oferowane</w:t>
      </w:r>
      <w:r w:rsidR="00E66B89">
        <w:rPr>
          <w:rFonts w:cs="Calibri"/>
          <w:szCs w:val="20"/>
        </w:rPr>
        <w:t xml:space="preserve"> w </w:t>
      </w:r>
      <w:r>
        <w:rPr>
          <w:rFonts w:cs="Calibri"/>
          <w:szCs w:val="20"/>
        </w:rPr>
        <w:t>Programie produkty</w:t>
      </w:r>
      <w:r w:rsidR="00E66B89">
        <w:rPr>
          <w:rFonts w:cs="Calibri"/>
          <w:szCs w:val="20"/>
        </w:rPr>
        <w:t xml:space="preserve"> i </w:t>
      </w:r>
      <w:r>
        <w:rPr>
          <w:rFonts w:cs="Calibri"/>
          <w:szCs w:val="20"/>
        </w:rPr>
        <w:t>usługi będą</w:t>
      </w:r>
      <w:r w:rsidRPr="00404DA5">
        <w:rPr>
          <w:rFonts w:cs="Calibri"/>
          <w:szCs w:val="20"/>
        </w:rPr>
        <w:t xml:space="preserve"> konkurować ze </w:t>
      </w:r>
      <w:r>
        <w:rPr>
          <w:rFonts w:cs="Calibri"/>
          <w:szCs w:val="20"/>
        </w:rPr>
        <w:t>sobą</w:t>
      </w:r>
      <w:r w:rsidRPr="00404DA5">
        <w:rPr>
          <w:rFonts w:cs="Calibri"/>
          <w:szCs w:val="20"/>
        </w:rPr>
        <w:t>. „Kanibalizacja” produktów</w:t>
      </w:r>
      <w:r w:rsidR="00E66B89">
        <w:rPr>
          <w:rFonts w:cs="Calibri"/>
          <w:szCs w:val="20"/>
        </w:rPr>
        <w:t xml:space="preserve"> w </w:t>
      </w:r>
      <w:r w:rsidRPr="00404DA5">
        <w:rPr>
          <w:rFonts w:cs="Calibri"/>
          <w:szCs w:val="20"/>
        </w:rPr>
        <w:t>Programie (w ramach tej samej OP) to czynnik stanowiący zagrożeni</w:t>
      </w:r>
      <w:r>
        <w:rPr>
          <w:rFonts w:cs="Calibri"/>
          <w:szCs w:val="20"/>
        </w:rPr>
        <w:t>e</w:t>
      </w:r>
      <w:r w:rsidRPr="00404DA5">
        <w:rPr>
          <w:rFonts w:cs="Calibri"/>
          <w:szCs w:val="20"/>
        </w:rPr>
        <w:t xml:space="preserve"> dla wykorzystania całej alokacji przewidzianej na Działanie oraz dla osiągnięcia zakładanej wartości docelowej wskaźnik</w:t>
      </w:r>
      <w:r>
        <w:rPr>
          <w:rFonts w:cs="Calibri"/>
          <w:szCs w:val="20"/>
        </w:rPr>
        <w:t>ów</w:t>
      </w:r>
      <w:r w:rsidRPr="00404DA5">
        <w:rPr>
          <w:rFonts w:cs="Calibri"/>
          <w:szCs w:val="20"/>
        </w:rPr>
        <w:t xml:space="preserve"> określon</w:t>
      </w:r>
      <w:r>
        <w:rPr>
          <w:rFonts w:cs="Calibri"/>
          <w:szCs w:val="20"/>
        </w:rPr>
        <w:t>ych</w:t>
      </w:r>
      <w:r w:rsidR="00E66B89">
        <w:rPr>
          <w:rFonts w:cs="Calibri"/>
          <w:szCs w:val="20"/>
        </w:rPr>
        <w:t xml:space="preserve"> w </w:t>
      </w:r>
      <w:r w:rsidRPr="00404DA5">
        <w:rPr>
          <w:rFonts w:cs="Calibri"/>
          <w:szCs w:val="20"/>
        </w:rPr>
        <w:t>PI 8iii.</w:t>
      </w:r>
      <w:r>
        <w:rPr>
          <w:rFonts w:cs="Calibri"/>
          <w:szCs w:val="20"/>
        </w:rPr>
        <w:t xml:space="preserve"> </w:t>
      </w:r>
      <w:r w:rsidRPr="00964B2D">
        <w:rPr>
          <w:rFonts w:cs="Calibri"/>
          <w:szCs w:val="20"/>
        </w:rPr>
        <w:t>Demarkacja wsparcia to istotny czynnik powodzenia realizacji celów interwencji.</w:t>
      </w:r>
      <w:r>
        <w:rPr>
          <w:rFonts w:cs="Calibri"/>
          <w:szCs w:val="20"/>
        </w:rPr>
        <w:t xml:space="preserve"> </w:t>
      </w:r>
      <w:r w:rsidRPr="00C22C26">
        <w:rPr>
          <w:rFonts w:cs="Calibri"/>
          <w:b/>
          <w:szCs w:val="20"/>
        </w:rPr>
        <w:t>Należy podkreślić, że</w:t>
      </w:r>
      <w:r w:rsidR="00E66B89">
        <w:rPr>
          <w:rFonts w:cs="Calibri"/>
          <w:b/>
          <w:szCs w:val="20"/>
        </w:rPr>
        <w:t xml:space="preserve"> w </w:t>
      </w:r>
      <w:r w:rsidRPr="00C22C26">
        <w:rPr>
          <w:rFonts w:cs="Calibri"/>
          <w:b/>
          <w:szCs w:val="20"/>
        </w:rPr>
        <w:t>wyniku rozmów</w:t>
      </w:r>
      <w:r w:rsidR="00E66B89">
        <w:rPr>
          <w:rFonts w:cs="Calibri"/>
          <w:b/>
          <w:szCs w:val="20"/>
        </w:rPr>
        <w:t xml:space="preserve"> z </w:t>
      </w:r>
      <w:r w:rsidRPr="00C22C26">
        <w:rPr>
          <w:rFonts w:cs="Calibri"/>
          <w:b/>
          <w:szCs w:val="20"/>
        </w:rPr>
        <w:t>przedstawicielami IP</w:t>
      </w:r>
      <w:r w:rsidR="00E66B89">
        <w:rPr>
          <w:rFonts w:cs="Calibri"/>
          <w:b/>
          <w:szCs w:val="20"/>
        </w:rPr>
        <w:t xml:space="preserve"> i </w:t>
      </w:r>
      <w:r w:rsidRPr="00C22C26">
        <w:rPr>
          <w:rFonts w:cs="Calibri"/>
          <w:b/>
          <w:szCs w:val="20"/>
        </w:rPr>
        <w:t>IZ potwierdzono</w:t>
      </w:r>
      <w:r w:rsidR="0013771A">
        <w:rPr>
          <w:rFonts w:cs="Calibri"/>
          <w:b/>
          <w:szCs w:val="20"/>
        </w:rPr>
        <w:t>,</w:t>
      </w:r>
      <w:r w:rsidRPr="00C22C26">
        <w:rPr>
          <w:rFonts w:cs="Calibri"/>
          <w:b/>
          <w:szCs w:val="20"/>
        </w:rPr>
        <w:t xml:space="preserve"> że</w:t>
      </w:r>
      <w:r w:rsidR="00E66B89">
        <w:rPr>
          <w:rFonts w:cs="Calibri"/>
          <w:b/>
          <w:szCs w:val="20"/>
        </w:rPr>
        <w:t xml:space="preserve"> w </w:t>
      </w:r>
      <w:r w:rsidRPr="00C22C26">
        <w:rPr>
          <w:rFonts w:cs="Calibri"/>
          <w:b/>
          <w:szCs w:val="20"/>
        </w:rPr>
        <w:t xml:space="preserve">sytuacji ewentualnego uruchomienia wsparcia </w:t>
      </w:r>
      <w:r w:rsidRPr="00C22C26">
        <w:rPr>
          <w:rFonts w:cs="Calibri"/>
          <w:b/>
          <w:szCs w:val="20"/>
        </w:rPr>
        <w:lastRenderedPageBreak/>
        <w:t>dotacyjnego (projekty typu 2) zostanie ono skierowane do innej grupy docelowej od objętej wsparciem</w:t>
      </w:r>
      <w:r w:rsidR="00E66B89">
        <w:rPr>
          <w:rFonts w:cs="Calibri"/>
          <w:b/>
          <w:szCs w:val="20"/>
        </w:rPr>
        <w:t xml:space="preserve"> w </w:t>
      </w:r>
      <w:r w:rsidRPr="00C22C26">
        <w:rPr>
          <w:rFonts w:cs="Calibri"/>
          <w:b/>
          <w:szCs w:val="20"/>
        </w:rPr>
        <w:t>postaci zwrotnych instrumentów finansowych.</w:t>
      </w:r>
    </w:p>
    <w:p w14:paraId="68861A1C" w14:textId="77777777" w:rsidR="00881780" w:rsidRPr="00404DA5" w:rsidRDefault="00881780" w:rsidP="00881780">
      <w:pPr>
        <w:rPr>
          <w:rFonts w:eastAsia="Calibri"/>
          <w:b/>
          <w:bCs/>
          <w:i/>
          <w:iCs/>
          <w:color w:val="4F81BD"/>
        </w:rPr>
      </w:pPr>
      <w:r w:rsidRPr="00404DA5">
        <w:rPr>
          <w:rFonts w:eastAsia="Calibri"/>
          <w:b/>
          <w:bCs/>
          <w:i/>
          <w:iCs/>
          <w:color w:val="4F81BD"/>
        </w:rPr>
        <w:t xml:space="preserve">Ocena potencjału absorpcyjnego </w:t>
      </w:r>
    </w:p>
    <w:p w14:paraId="7BA4984F" w14:textId="77777777" w:rsidR="00881780" w:rsidRPr="00404DA5" w:rsidRDefault="00881780" w:rsidP="00881780">
      <w:pPr>
        <w:rPr>
          <w:rFonts w:cs="Calibri"/>
          <w:szCs w:val="20"/>
        </w:rPr>
      </w:pPr>
      <w:bookmarkStart w:id="251" w:name="_Hlk3472381"/>
      <w:r w:rsidRPr="00404DA5">
        <w:rPr>
          <w:rFonts w:cs="Calibri"/>
          <w:szCs w:val="20"/>
        </w:rPr>
        <w:t xml:space="preserve">W </w:t>
      </w:r>
      <w:r>
        <w:rPr>
          <w:rFonts w:cs="Calibri"/>
          <w:szCs w:val="20"/>
        </w:rPr>
        <w:t>wyniku opisanych powyżej czynników determinujących osiąganie celów wsparcia,</w:t>
      </w:r>
      <w:r w:rsidR="00E66B89">
        <w:rPr>
          <w:rFonts w:cs="Calibri"/>
          <w:szCs w:val="20"/>
        </w:rPr>
        <w:t xml:space="preserve"> w </w:t>
      </w:r>
      <w:r w:rsidRPr="00404DA5">
        <w:rPr>
          <w:rFonts w:cs="Calibri"/>
          <w:szCs w:val="20"/>
        </w:rPr>
        <w:t>obszarze interwencji rozpoznaje się mały potencjał</w:t>
      </w:r>
      <w:r w:rsidR="00E66B89">
        <w:rPr>
          <w:rFonts w:cs="Calibri"/>
          <w:szCs w:val="20"/>
        </w:rPr>
        <w:t xml:space="preserve"> w </w:t>
      </w:r>
      <w:r w:rsidRPr="00404DA5">
        <w:rPr>
          <w:rFonts w:cs="Calibri"/>
          <w:szCs w:val="20"/>
        </w:rPr>
        <w:t>zakresie dalszej absorpcji środków.</w:t>
      </w:r>
      <w:r>
        <w:rPr>
          <w:rFonts w:cs="Calibri"/>
          <w:szCs w:val="20"/>
        </w:rPr>
        <w:t xml:space="preserve"> </w:t>
      </w:r>
      <w:bookmarkStart w:id="252" w:name="_Hlk6354317"/>
      <w:r>
        <w:rPr>
          <w:rFonts w:cs="Calibri"/>
          <w:szCs w:val="20"/>
        </w:rPr>
        <w:t>Biorąc pod uwagę poprawę sytuacji na rynku pracy, opisany wyżej czynnik związany ze specyfiką grupy docelowej, ewentualną konkurencję ze strony atrakcyjnego wsparcia</w:t>
      </w:r>
      <w:r w:rsidR="00E66B89">
        <w:rPr>
          <w:rFonts w:cs="Calibri"/>
          <w:szCs w:val="20"/>
        </w:rPr>
        <w:t xml:space="preserve"> w </w:t>
      </w:r>
      <w:r>
        <w:rPr>
          <w:rFonts w:cs="Calibri"/>
          <w:szCs w:val="20"/>
        </w:rPr>
        <w:t xml:space="preserve">formie dotacji, wydaje się że skala wsparcia (974 </w:t>
      </w:r>
      <w:r w:rsidRPr="00FF6C64">
        <w:rPr>
          <w:rFonts w:cs="Calibri"/>
          <w:szCs w:val="20"/>
        </w:rPr>
        <w:t>os</w:t>
      </w:r>
      <w:r>
        <w:rPr>
          <w:rFonts w:cs="Calibri"/>
          <w:szCs w:val="20"/>
        </w:rPr>
        <w:t>oby</w:t>
      </w:r>
      <w:r w:rsidRPr="00FF6C64">
        <w:rPr>
          <w:rFonts w:cs="Calibri"/>
          <w:szCs w:val="20"/>
        </w:rPr>
        <w:t xml:space="preserve"> pozostając</w:t>
      </w:r>
      <w:r>
        <w:rPr>
          <w:rFonts w:cs="Calibri"/>
          <w:szCs w:val="20"/>
        </w:rPr>
        <w:t>e</w:t>
      </w:r>
      <w:r w:rsidRPr="00FF6C64">
        <w:rPr>
          <w:rFonts w:cs="Calibri"/>
          <w:szCs w:val="20"/>
        </w:rPr>
        <w:t xml:space="preserve"> bez pracy, które skorzystały</w:t>
      </w:r>
      <w:r w:rsidR="00E66B89">
        <w:rPr>
          <w:rFonts w:cs="Calibri"/>
          <w:szCs w:val="20"/>
        </w:rPr>
        <w:t xml:space="preserve"> z </w:t>
      </w:r>
      <w:r w:rsidRPr="00FF6C64">
        <w:rPr>
          <w:rFonts w:cs="Calibri"/>
          <w:szCs w:val="20"/>
        </w:rPr>
        <w:t>instrumentów zwrotnych na podjęcie działalności</w:t>
      </w:r>
      <w:r>
        <w:rPr>
          <w:rFonts w:cs="Calibri"/>
          <w:szCs w:val="20"/>
        </w:rPr>
        <w:t>)</w:t>
      </w:r>
      <w:r w:rsidRPr="00FF6C64">
        <w:rPr>
          <w:rFonts w:cs="Calibri"/>
          <w:szCs w:val="20"/>
        </w:rPr>
        <w:t xml:space="preserve"> </w:t>
      </w:r>
      <w:r>
        <w:rPr>
          <w:rFonts w:cs="Calibri"/>
          <w:szCs w:val="20"/>
        </w:rPr>
        <w:t>pozostaje aktualnie na zbyt wysokim poziomie, trudnym do osiągnięcia ze względu na identyfikowane czynniki. Na obecnym etapie realizacji interwencji być może nie należy jednak ostatecznie przesądzać</w:t>
      </w:r>
      <w:r w:rsidR="00E66B89">
        <w:rPr>
          <w:rFonts w:cs="Calibri"/>
          <w:szCs w:val="20"/>
        </w:rPr>
        <w:t xml:space="preserve"> o </w:t>
      </w:r>
      <w:r>
        <w:rPr>
          <w:rFonts w:cs="Calibri"/>
          <w:szCs w:val="20"/>
        </w:rPr>
        <w:t xml:space="preserve">trafności tej formy wsparcia, zwłaszcza że </w:t>
      </w:r>
      <w:r w:rsidRPr="00FF6C64">
        <w:rPr>
          <w:rFonts w:cs="Calibri"/>
          <w:szCs w:val="20"/>
        </w:rPr>
        <w:t>Bank Gospodarstwa Krajowego</w:t>
      </w:r>
      <w:r>
        <w:rPr>
          <w:rFonts w:cs="Calibri"/>
          <w:szCs w:val="20"/>
        </w:rPr>
        <w:t xml:space="preserve"> podejmuje starania związane</w:t>
      </w:r>
      <w:r w:rsidR="00E66B89">
        <w:rPr>
          <w:rFonts w:cs="Calibri"/>
          <w:szCs w:val="20"/>
        </w:rPr>
        <w:t xml:space="preserve"> z </w:t>
      </w:r>
      <w:r>
        <w:rPr>
          <w:rFonts w:cs="Calibri"/>
          <w:szCs w:val="20"/>
        </w:rPr>
        <w:t>osiągnięciem zakładanej wartości końcowej wskaźnika.</w:t>
      </w:r>
    </w:p>
    <w:bookmarkEnd w:id="251"/>
    <w:bookmarkEnd w:id="252"/>
    <w:p w14:paraId="7473FD5E" w14:textId="77777777" w:rsidR="00881780" w:rsidRPr="00404DA5" w:rsidRDefault="00881780" w:rsidP="00881780">
      <w:pPr>
        <w:rPr>
          <w:rFonts w:cs="Calibri"/>
          <w:szCs w:val="20"/>
        </w:rPr>
      </w:pPr>
      <w:r w:rsidRPr="00404DA5">
        <w:rPr>
          <w:rFonts w:cs="Calibri"/>
          <w:szCs w:val="20"/>
        </w:rPr>
        <w:t>W ramach wsparcia przewidzianego</w:t>
      </w:r>
      <w:r w:rsidR="00E66B89">
        <w:rPr>
          <w:rFonts w:cs="Calibri"/>
          <w:szCs w:val="20"/>
        </w:rPr>
        <w:t xml:space="preserve"> w </w:t>
      </w:r>
      <w:r w:rsidRPr="00404DA5">
        <w:rPr>
          <w:rFonts w:cs="Calibri"/>
          <w:szCs w:val="20"/>
        </w:rPr>
        <w:t>PI 8iii Działania 6.4,</w:t>
      </w:r>
      <w:r w:rsidR="00E66B89">
        <w:rPr>
          <w:rFonts w:cs="Calibri"/>
          <w:szCs w:val="20"/>
        </w:rPr>
        <w:t xml:space="preserve"> w </w:t>
      </w:r>
      <w:r w:rsidRPr="00404DA5">
        <w:rPr>
          <w:rFonts w:cs="Calibri"/>
          <w:szCs w:val="20"/>
        </w:rPr>
        <w:t>III kwartale 2018 roku Bank Gospodarstwa Krajowego rozwiązał umowę</w:t>
      </w:r>
      <w:r w:rsidR="00E66B89">
        <w:rPr>
          <w:rFonts w:cs="Calibri"/>
          <w:szCs w:val="20"/>
        </w:rPr>
        <w:t xml:space="preserve"> z </w:t>
      </w:r>
      <w:r w:rsidRPr="00404DA5">
        <w:rPr>
          <w:rFonts w:cs="Calibri"/>
          <w:szCs w:val="20"/>
        </w:rPr>
        <w:t xml:space="preserve">pośrednikiem finansowym </w:t>
      </w:r>
      <w:r w:rsidRPr="00404DA5">
        <w:rPr>
          <w:rFonts w:cs="Calibri"/>
          <w:szCs w:val="20"/>
        </w:rPr>
        <w:noBreakHyphen/>
        <w:t xml:space="preserve"> konsorcjum ECDF, które nie wywiązywało się</w:t>
      </w:r>
      <w:r w:rsidR="00E66B89">
        <w:rPr>
          <w:rFonts w:cs="Calibri"/>
          <w:szCs w:val="20"/>
        </w:rPr>
        <w:t xml:space="preserve"> z </w:t>
      </w:r>
      <w:r w:rsidRPr="00404DA5">
        <w:rPr>
          <w:rFonts w:cs="Calibri"/>
          <w:szCs w:val="20"/>
        </w:rPr>
        <w:t>z</w:t>
      </w:r>
      <w:r>
        <w:rPr>
          <w:rFonts w:cs="Calibri"/>
          <w:szCs w:val="20"/>
        </w:rPr>
        <w:t>a</w:t>
      </w:r>
      <w:r w:rsidRPr="00404DA5">
        <w:rPr>
          <w:rFonts w:cs="Calibri"/>
          <w:szCs w:val="20"/>
        </w:rPr>
        <w:t>wartych</w:t>
      </w:r>
      <w:r w:rsidR="00E66B89">
        <w:rPr>
          <w:rFonts w:cs="Calibri"/>
          <w:szCs w:val="20"/>
        </w:rPr>
        <w:t xml:space="preserve"> w </w:t>
      </w:r>
      <w:r w:rsidRPr="00404DA5">
        <w:rPr>
          <w:rFonts w:cs="Calibri"/>
          <w:szCs w:val="20"/>
        </w:rPr>
        <w:t>umowie zobowiązań (niezrealizowanie założonych działań). Następnie, podjęty został przez BGK (trwający</w:t>
      </w:r>
      <w:r w:rsidR="00E66B89">
        <w:rPr>
          <w:rFonts w:cs="Calibri"/>
          <w:szCs w:val="20"/>
        </w:rPr>
        <w:t xml:space="preserve"> w </w:t>
      </w:r>
      <w:r w:rsidRPr="00404DA5">
        <w:rPr>
          <w:rFonts w:cs="Calibri"/>
          <w:szCs w:val="20"/>
        </w:rPr>
        <w:t>czasie) proces naboru kolejnych pośredników finansowych.</w:t>
      </w:r>
      <w:r w:rsidR="00E66B89">
        <w:rPr>
          <w:rFonts w:cs="Calibri"/>
          <w:szCs w:val="20"/>
        </w:rPr>
        <w:t xml:space="preserve"> W </w:t>
      </w:r>
      <w:r w:rsidRPr="00404DA5">
        <w:rPr>
          <w:rFonts w:cs="Calibri"/>
          <w:szCs w:val="20"/>
        </w:rPr>
        <w:t>jego efekcie</w:t>
      </w:r>
      <w:r w:rsidR="00E66B89">
        <w:rPr>
          <w:rFonts w:cs="Calibri"/>
          <w:szCs w:val="20"/>
        </w:rPr>
        <w:t xml:space="preserve"> w </w:t>
      </w:r>
      <w:r w:rsidRPr="00404DA5">
        <w:rPr>
          <w:rFonts w:cs="Calibri"/>
          <w:szCs w:val="20"/>
        </w:rPr>
        <w:t>IV kwartale 2018 roku podpisano dwie umowy</w:t>
      </w:r>
      <w:r w:rsidR="00E66B89">
        <w:rPr>
          <w:rFonts w:cs="Calibri"/>
          <w:szCs w:val="20"/>
        </w:rPr>
        <w:t xml:space="preserve"> z </w:t>
      </w:r>
      <w:r w:rsidRPr="00404DA5">
        <w:rPr>
          <w:rFonts w:cs="Calibri"/>
          <w:szCs w:val="20"/>
        </w:rPr>
        <w:t>kolejnym pośrednikiem finansowym, jednakże</w:t>
      </w:r>
      <w:r w:rsidR="00E66B89">
        <w:rPr>
          <w:rFonts w:cs="Calibri"/>
          <w:szCs w:val="20"/>
        </w:rPr>
        <w:t xml:space="preserve"> o </w:t>
      </w:r>
      <w:r w:rsidRPr="00404DA5">
        <w:rPr>
          <w:rFonts w:cs="Calibri"/>
          <w:szCs w:val="20"/>
        </w:rPr>
        <w:t xml:space="preserve">niskiej wartość </w:t>
      </w:r>
      <w:r w:rsidRPr="00404DA5">
        <w:rPr>
          <w:rFonts w:cs="Calibri"/>
          <w:szCs w:val="20"/>
        </w:rPr>
        <w:noBreakHyphen/>
        <w:t xml:space="preserve"> zaledwie 3,8 mln zł. Ciągle brakuje pośredników finansowych do dystrybucji pozostałych środków finansowych przekazanych</w:t>
      </w:r>
      <w:r w:rsidR="00E66B89">
        <w:rPr>
          <w:rFonts w:cs="Calibri"/>
          <w:szCs w:val="20"/>
        </w:rPr>
        <w:t xml:space="preserve"> w </w:t>
      </w:r>
      <w:r w:rsidRPr="00404DA5">
        <w:rPr>
          <w:rFonts w:cs="Calibri"/>
          <w:szCs w:val="20"/>
        </w:rPr>
        <w:t>ramach umowy do BGK.</w:t>
      </w:r>
    </w:p>
    <w:p w14:paraId="20CBE3EE" w14:textId="77777777" w:rsidR="00881780" w:rsidRPr="00404DA5" w:rsidRDefault="00881780" w:rsidP="00881780">
      <w:pPr>
        <w:rPr>
          <w:rFonts w:cs="Calibri"/>
          <w:szCs w:val="20"/>
        </w:rPr>
      </w:pPr>
      <w:r w:rsidRPr="00404DA5">
        <w:rPr>
          <w:rFonts w:cs="Calibri"/>
          <w:szCs w:val="20"/>
        </w:rPr>
        <w:t>We współpracy Banku Gospodarstwa Krajowego</w:t>
      </w:r>
      <w:r w:rsidR="00E66B89">
        <w:rPr>
          <w:rFonts w:cs="Calibri"/>
          <w:szCs w:val="20"/>
        </w:rPr>
        <w:t xml:space="preserve"> z </w:t>
      </w:r>
      <w:r w:rsidRPr="00404DA5">
        <w:rPr>
          <w:rFonts w:cs="Calibri"/>
          <w:szCs w:val="20"/>
        </w:rPr>
        <w:t>instytucjami wdrażającymi Program</w:t>
      </w:r>
      <w:r w:rsidR="00E66B89">
        <w:rPr>
          <w:rFonts w:cs="Calibri"/>
          <w:szCs w:val="20"/>
        </w:rPr>
        <w:t xml:space="preserve"> i </w:t>
      </w:r>
      <w:r w:rsidRPr="00404DA5">
        <w:rPr>
          <w:rFonts w:cs="Calibri"/>
          <w:szCs w:val="20"/>
        </w:rPr>
        <w:t>reprezentującymi województwo (WUP, UM WZ) opracowany został plan działania, mający na celu wybór kolejnych pośredników finansowych. Plan zakłada: skuteczne przeprowadzenie kolejnej procedury naboru pośredników finansowych, zawarcie umów</w:t>
      </w:r>
      <w:r w:rsidR="00E66B89">
        <w:rPr>
          <w:rFonts w:cs="Calibri"/>
          <w:szCs w:val="20"/>
        </w:rPr>
        <w:t xml:space="preserve"> z </w:t>
      </w:r>
      <w:r w:rsidRPr="00404DA5">
        <w:rPr>
          <w:rFonts w:cs="Calibri"/>
          <w:szCs w:val="20"/>
        </w:rPr>
        <w:t>pośrednikami wyłonionymi</w:t>
      </w:r>
      <w:r w:rsidR="00E66B89">
        <w:rPr>
          <w:rFonts w:cs="Calibri"/>
          <w:szCs w:val="20"/>
        </w:rPr>
        <w:t xml:space="preserve"> w </w:t>
      </w:r>
      <w:r w:rsidRPr="00404DA5">
        <w:rPr>
          <w:rFonts w:cs="Calibri"/>
          <w:szCs w:val="20"/>
        </w:rPr>
        <w:t>naborze, uruchomianie / kontynuację udzielania wsparcia</w:t>
      </w:r>
      <w:r w:rsidR="00E66B89">
        <w:rPr>
          <w:rFonts w:cs="Calibri"/>
          <w:szCs w:val="20"/>
        </w:rPr>
        <w:t xml:space="preserve"> w </w:t>
      </w:r>
      <w:r w:rsidRPr="00404DA5">
        <w:rPr>
          <w:rFonts w:cs="Calibri"/>
          <w:szCs w:val="20"/>
        </w:rPr>
        <w:t>ramach Działania 6.4.</w:t>
      </w:r>
    </w:p>
    <w:p w14:paraId="48F3E0C6"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Prognozy osiągnięcia celów zakładanych na 2023 rok</w:t>
      </w:r>
    </w:p>
    <w:p w14:paraId="4F02F86D" w14:textId="77777777" w:rsidR="00881780" w:rsidRDefault="00881780" w:rsidP="00881780">
      <w:pPr>
        <w:rPr>
          <w:rFonts w:cs="Calibri"/>
          <w:szCs w:val="20"/>
        </w:rPr>
      </w:pPr>
      <w:r w:rsidRPr="00404DA5">
        <w:rPr>
          <w:rFonts w:cs="Calibri"/>
          <w:szCs w:val="20"/>
        </w:rPr>
        <w:t>Osiągnięcie docelowych wartości wskaźników zależy od realizacji zobowiązań wynikających</w:t>
      </w:r>
      <w:r w:rsidR="00E66B89">
        <w:rPr>
          <w:rFonts w:cs="Calibri"/>
          <w:szCs w:val="20"/>
        </w:rPr>
        <w:t xml:space="preserve"> z </w:t>
      </w:r>
      <w:r w:rsidRPr="00404DA5">
        <w:rPr>
          <w:rFonts w:cs="Calibri"/>
          <w:szCs w:val="20"/>
        </w:rPr>
        <w:t>umowy zawartej</w:t>
      </w:r>
      <w:r w:rsidR="00E66B89">
        <w:rPr>
          <w:rFonts w:cs="Calibri"/>
          <w:szCs w:val="20"/>
        </w:rPr>
        <w:t xml:space="preserve"> z </w:t>
      </w:r>
      <w:r w:rsidRPr="00404DA5">
        <w:rPr>
          <w:rFonts w:cs="Calibri"/>
          <w:szCs w:val="20"/>
        </w:rPr>
        <w:t>Bankiem Gospodarstwa Krajowego</w:t>
      </w:r>
      <w:r w:rsidR="00E66B89">
        <w:rPr>
          <w:rFonts w:cs="Calibri"/>
          <w:szCs w:val="20"/>
        </w:rPr>
        <w:t xml:space="preserve"> i </w:t>
      </w:r>
      <w:r>
        <w:rPr>
          <w:rFonts w:cs="Calibri"/>
          <w:szCs w:val="20"/>
        </w:rPr>
        <w:t>podejmowanych przez BGK działań towarzyszących wdrażaniu interwencji</w:t>
      </w:r>
      <w:r w:rsidRPr="00404DA5">
        <w:rPr>
          <w:rFonts w:cs="Calibri"/>
          <w:szCs w:val="20"/>
        </w:rPr>
        <w:t>.</w:t>
      </w:r>
      <w:r>
        <w:rPr>
          <w:rFonts w:cs="Calibri"/>
          <w:szCs w:val="20"/>
        </w:rPr>
        <w:t xml:space="preserve"> Warto podkreślić, że region</w:t>
      </w:r>
      <w:r w:rsidRPr="00C00B02">
        <w:rPr>
          <w:rFonts w:cs="Calibri"/>
          <w:szCs w:val="20"/>
        </w:rPr>
        <w:t xml:space="preserve"> </w:t>
      </w:r>
      <w:r>
        <w:rPr>
          <w:rFonts w:cs="Calibri"/>
          <w:szCs w:val="20"/>
        </w:rPr>
        <w:t>posiada</w:t>
      </w:r>
      <w:r w:rsidRPr="00C00B02">
        <w:rPr>
          <w:rFonts w:cs="Calibri"/>
          <w:szCs w:val="20"/>
        </w:rPr>
        <w:t xml:space="preserve"> duże doświadczenia we wdrażaniu instrumentów inżynierii</w:t>
      </w:r>
      <w:r>
        <w:rPr>
          <w:rFonts w:cs="Calibri"/>
          <w:szCs w:val="20"/>
        </w:rPr>
        <w:t xml:space="preserve"> </w:t>
      </w:r>
      <w:r w:rsidRPr="00C00B02">
        <w:rPr>
          <w:rFonts w:cs="Calibri"/>
          <w:szCs w:val="20"/>
        </w:rPr>
        <w:t>finansowej, dysponuje też znaczną siecią mocnych pośredników finansowych, częściowo</w:t>
      </w:r>
      <w:r>
        <w:rPr>
          <w:rFonts w:cs="Calibri"/>
          <w:szCs w:val="20"/>
        </w:rPr>
        <w:t xml:space="preserve"> </w:t>
      </w:r>
      <w:r w:rsidRPr="00C00B02">
        <w:rPr>
          <w:rFonts w:cs="Calibri"/>
          <w:szCs w:val="20"/>
        </w:rPr>
        <w:t>prowadzących działalność także poza granicami samego regionu.</w:t>
      </w:r>
      <w:r>
        <w:rPr>
          <w:rStyle w:val="Odwoanieprzypisudolnego"/>
          <w:rFonts w:cs="Calibri"/>
          <w:szCs w:val="20"/>
        </w:rPr>
        <w:footnoteReference w:id="89"/>
      </w:r>
    </w:p>
    <w:p w14:paraId="40014809" w14:textId="77777777" w:rsidR="00881780" w:rsidRPr="00FD33A8" w:rsidRDefault="00881780" w:rsidP="00881780">
      <w:pPr>
        <w:rPr>
          <w:rFonts w:cs="Calibri"/>
          <w:b/>
          <w:szCs w:val="20"/>
        </w:rPr>
      </w:pPr>
      <w:bookmarkStart w:id="253" w:name="_Hlk6511445"/>
      <w:r w:rsidRPr="00FD33A8">
        <w:rPr>
          <w:rFonts w:cs="Calibri"/>
          <w:szCs w:val="20"/>
        </w:rPr>
        <w:t xml:space="preserve">Jednocześnie, </w:t>
      </w:r>
      <w:r>
        <w:rPr>
          <w:rFonts w:cs="Calibri"/>
          <w:szCs w:val="20"/>
        </w:rPr>
        <w:t xml:space="preserve">ewaluator </w:t>
      </w:r>
      <w:r w:rsidRPr="00FD33A8">
        <w:rPr>
          <w:rFonts w:cs="Calibri"/>
          <w:szCs w:val="20"/>
        </w:rPr>
        <w:t>przygotowa</w:t>
      </w:r>
      <w:r>
        <w:rPr>
          <w:rFonts w:cs="Calibri"/>
          <w:szCs w:val="20"/>
        </w:rPr>
        <w:t>ł</w:t>
      </w:r>
      <w:r w:rsidRPr="00FD33A8">
        <w:rPr>
          <w:rFonts w:cs="Calibri"/>
          <w:szCs w:val="20"/>
        </w:rPr>
        <w:t xml:space="preserve"> prognozę pozwalającą ocenić wysokość środków niezbędnych do osiągnięcia docelowej (na 2023 rok) wartości wskaźnika </w:t>
      </w:r>
      <w:r w:rsidRPr="00FD33A8">
        <w:rPr>
          <w:rFonts w:cs="Calibri"/>
          <w:i/>
          <w:szCs w:val="20"/>
        </w:rPr>
        <w:t>Liczba osób pozostających bez pracy, które otrzymały bezzwrotne środki na podjęcie działalności gospodarczej</w:t>
      </w:r>
      <w:r w:rsidR="00E66B89">
        <w:rPr>
          <w:rFonts w:cs="Calibri"/>
          <w:i/>
          <w:szCs w:val="20"/>
        </w:rPr>
        <w:t xml:space="preserve"> w </w:t>
      </w:r>
      <w:r w:rsidRPr="00FD33A8">
        <w:rPr>
          <w:rFonts w:cs="Calibri"/>
          <w:i/>
          <w:szCs w:val="20"/>
        </w:rPr>
        <w:t xml:space="preserve">programie. </w:t>
      </w:r>
      <w:r w:rsidRPr="00FD33A8">
        <w:rPr>
          <w:rFonts w:cs="Calibri"/>
          <w:szCs w:val="20"/>
        </w:rPr>
        <w:t>Przy obliczonym (wskazanym</w:t>
      </w:r>
      <w:r w:rsidR="00E66B89">
        <w:rPr>
          <w:rFonts w:cs="Calibri"/>
          <w:szCs w:val="20"/>
        </w:rPr>
        <w:t xml:space="preserve"> w </w:t>
      </w:r>
      <w:r w:rsidRPr="00FD33A8">
        <w:rPr>
          <w:rFonts w:cs="Calibri"/>
          <w:szCs w:val="20"/>
        </w:rPr>
        <w:t>metodologii szacowania wartości wskaźników) koszcie jednostkowym wskaźnika uwzględniającym wzrost cen (indeks CPI 104,3%) wynoszącym 21 222,00 zł, środki konieczne do osiągnięcia wartości wskaźnika tj. objęcia wsparciem 198 osób to 4 201 956 zł. Alokacja pozostała</w:t>
      </w:r>
      <w:r w:rsidR="00E66B89">
        <w:rPr>
          <w:rFonts w:cs="Calibri"/>
          <w:szCs w:val="20"/>
        </w:rPr>
        <w:t xml:space="preserve"> w </w:t>
      </w:r>
      <w:r w:rsidRPr="00FD33A8">
        <w:rPr>
          <w:rFonts w:cs="Calibri"/>
          <w:szCs w:val="20"/>
        </w:rPr>
        <w:t xml:space="preserve">Działaniu </w:t>
      </w:r>
      <w:r>
        <w:rPr>
          <w:rFonts w:cs="Calibri"/>
          <w:szCs w:val="20"/>
        </w:rPr>
        <w:t xml:space="preserve">6.4 </w:t>
      </w:r>
      <w:r w:rsidRPr="00FD33A8">
        <w:rPr>
          <w:rFonts w:cs="Calibri"/>
          <w:szCs w:val="20"/>
        </w:rPr>
        <w:t xml:space="preserve">jest wystarczająca do osiągnięcia takiej wartości wskaźnika. </w:t>
      </w:r>
      <w:r w:rsidRPr="00FD33A8">
        <w:rPr>
          <w:rFonts w:cs="Calibri"/>
          <w:b/>
          <w:szCs w:val="20"/>
        </w:rPr>
        <w:t>REKOMENDACJA:</w:t>
      </w:r>
      <w:r>
        <w:rPr>
          <w:rFonts w:cs="Calibri"/>
          <w:szCs w:val="20"/>
        </w:rPr>
        <w:t xml:space="preserve"> </w:t>
      </w:r>
      <w:r w:rsidRPr="00FD33A8">
        <w:rPr>
          <w:rFonts w:cs="Calibri"/>
          <w:b/>
          <w:szCs w:val="20"/>
        </w:rPr>
        <w:t>Aby osiągnąć zakładan</w:t>
      </w:r>
      <w:r>
        <w:rPr>
          <w:rFonts w:cs="Calibri"/>
          <w:b/>
          <w:szCs w:val="20"/>
        </w:rPr>
        <w:t>ą</w:t>
      </w:r>
      <w:r w:rsidRPr="00FD33A8">
        <w:rPr>
          <w:rFonts w:cs="Calibri"/>
          <w:b/>
          <w:szCs w:val="20"/>
        </w:rPr>
        <w:t xml:space="preserve"> wartość wskaźnika </w:t>
      </w:r>
      <w:bookmarkStart w:id="254" w:name="_Hlk6499150"/>
      <w:r w:rsidRPr="00FD33A8">
        <w:rPr>
          <w:rFonts w:cs="Calibri"/>
          <w:b/>
          <w:i/>
          <w:szCs w:val="20"/>
        </w:rPr>
        <w:t>Liczba osób pozostających bez pracy, które otrzymały bezzwrotne środki na podjęcie działalności gospodarczej</w:t>
      </w:r>
      <w:r w:rsidR="00E66B89">
        <w:rPr>
          <w:rFonts w:cs="Calibri"/>
          <w:b/>
          <w:i/>
          <w:szCs w:val="20"/>
        </w:rPr>
        <w:t xml:space="preserve"> w </w:t>
      </w:r>
      <w:r w:rsidRPr="00FD33A8">
        <w:rPr>
          <w:rFonts w:cs="Calibri"/>
          <w:b/>
          <w:i/>
          <w:szCs w:val="20"/>
        </w:rPr>
        <w:t>programie</w:t>
      </w:r>
      <w:r w:rsidRPr="00FD33A8">
        <w:rPr>
          <w:rFonts w:cs="Calibri"/>
          <w:b/>
          <w:szCs w:val="20"/>
        </w:rPr>
        <w:t xml:space="preserve"> </w:t>
      </w:r>
      <w:bookmarkEnd w:id="254"/>
      <w:r w:rsidRPr="00FD33A8">
        <w:rPr>
          <w:rFonts w:cs="Calibri"/>
          <w:b/>
          <w:szCs w:val="20"/>
        </w:rPr>
        <w:t>(198 osób) wskazane byłoby skierowanie wsparcia do maksymalnie szerokiej grupy docelowej (odbiorców wsparcia) określonej dla Działania</w:t>
      </w:r>
      <w:r>
        <w:rPr>
          <w:rFonts w:cs="Calibri"/>
          <w:b/>
          <w:szCs w:val="20"/>
        </w:rPr>
        <w:t xml:space="preserve"> 6.4</w:t>
      </w:r>
      <w:r w:rsidRPr="00FD33A8">
        <w:rPr>
          <w:rFonts w:cs="Calibri"/>
          <w:b/>
          <w:szCs w:val="20"/>
        </w:rPr>
        <w:t xml:space="preserve"> (z zachowaniem demarkacji wsparcia</w:t>
      </w:r>
      <w:r w:rsidR="00E66B89">
        <w:rPr>
          <w:rFonts w:cs="Calibri"/>
          <w:b/>
          <w:szCs w:val="20"/>
        </w:rPr>
        <w:t xml:space="preserve"> w </w:t>
      </w:r>
      <w:r w:rsidRPr="00FD33A8">
        <w:rPr>
          <w:rFonts w:cs="Calibri"/>
          <w:b/>
          <w:szCs w:val="20"/>
        </w:rPr>
        <w:t>zakresie kryterium grupy docelowej</w:t>
      </w:r>
      <w:r>
        <w:rPr>
          <w:rFonts w:cs="Calibri"/>
          <w:b/>
          <w:szCs w:val="20"/>
        </w:rPr>
        <w:t xml:space="preserve"> do której skierowane są instrumenty zwrotne</w:t>
      </w:r>
      <w:r w:rsidRPr="00FD33A8">
        <w:rPr>
          <w:rFonts w:cs="Calibri"/>
          <w:b/>
          <w:szCs w:val="20"/>
        </w:rPr>
        <w:t>).</w:t>
      </w:r>
    </w:p>
    <w:p w14:paraId="0C356454" w14:textId="77777777" w:rsidR="00881780" w:rsidRPr="00404DA5" w:rsidRDefault="00881780" w:rsidP="00881780">
      <w:pPr>
        <w:rPr>
          <w:rFonts w:cs="Calibri"/>
          <w:szCs w:val="20"/>
        </w:rPr>
      </w:pPr>
      <w:r>
        <w:rPr>
          <w:rFonts w:cs="Calibri"/>
          <w:szCs w:val="20"/>
        </w:rPr>
        <w:lastRenderedPageBreak/>
        <w:t>Dodatkowo</w:t>
      </w:r>
      <w:r w:rsidRPr="00404DA5">
        <w:rPr>
          <w:rFonts w:cs="Calibri"/>
          <w:szCs w:val="20"/>
        </w:rPr>
        <w:t xml:space="preserve"> sprawdzono</w:t>
      </w:r>
      <w:r>
        <w:rPr>
          <w:rFonts w:cs="Calibri"/>
          <w:szCs w:val="20"/>
        </w:rPr>
        <w:t>,</w:t>
      </w:r>
      <w:r w:rsidRPr="00404DA5">
        <w:rPr>
          <w:rFonts w:cs="Calibri"/>
          <w:szCs w:val="20"/>
        </w:rPr>
        <w:t xml:space="preserve"> jak będzie zachowywał się wskaźnik, jeśli cała pozostała</w:t>
      </w:r>
      <w:r w:rsidR="00E66B89">
        <w:rPr>
          <w:rFonts w:cs="Calibri"/>
          <w:szCs w:val="20"/>
        </w:rPr>
        <w:t xml:space="preserve"> w </w:t>
      </w:r>
      <w:r w:rsidRPr="00404DA5">
        <w:rPr>
          <w:rFonts w:cs="Calibri"/>
          <w:szCs w:val="20"/>
        </w:rPr>
        <w:t>Działaniu alokacja 14 655 250,00 zł byłaby przeznaczona na jego realizację. Przy obliczonym (wskazanym</w:t>
      </w:r>
      <w:r w:rsidR="00E66B89">
        <w:rPr>
          <w:rFonts w:cs="Calibri"/>
          <w:szCs w:val="20"/>
        </w:rPr>
        <w:t xml:space="preserve"> w </w:t>
      </w:r>
      <w:r w:rsidRPr="00404DA5">
        <w:rPr>
          <w:rFonts w:cs="Calibri"/>
          <w:szCs w:val="20"/>
        </w:rPr>
        <w:t>metodologii szacowania wartości wskaźników) koszcie jednostkowym wskaźnika uwzględniającym wzrost cen (indeks CPI 104,3%) wynoszącym 21 222,00 zł</w:t>
      </w:r>
      <w:r w:rsidR="00E66B89">
        <w:rPr>
          <w:rFonts w:cs="Calibri"/>
          <w:szCs w:val="20"/>
        </w:rPr>
        <w:t xml:space="preserve"> i </w:t>
      </w:r>
      <w:r w:rsidRPr="00404DA5">
        <w:rPr>
          <w:rFonts w:cs="Calibri"/>
          <w:szCs w:val="20"/>
        </w:rPr>
        <w:t>pozostałą</w:t>
      </w:r>
      <w:r w:rsidR="00E66B89">
        <w:rPr>
          <w:rFonts w:cs="Calibri"/>
          <w:szCs w:val="20"/>
        </w:rPr>
        <w:t xml:space="preserve"> w </w:t>
      </w:r>
      <w:r w:rsidRPr="00404DA5">
        <w:rPr>
          <w:rFonts w:cs="Calibri"/>
          <w:szCs w:val="20"/>
        </w:rPr>
        <w:t xml:space="preserve">Działaniu alokację możliwe jest zrealizowanie wartości analizowanego wskaźnika </w:t>
      </w:r>
      <w:r w:rsidRPr="00C22C26">
        <w:rPr>
          <w:rFonts w:cs="Calibri"/>
          <w:i/>
          <w:szCs w:val="20"/>
        </w:rPr>
        <w:t>Liczba osób pozostających bez pracy, które otrzymały bezzwrotne środki na podjęcie działalności gospodarczej</w:t>
      </w:r>
      <w:r w:rsidR="00E66B89">
        <w:rPr>
          <w:rFonts w:cs="Calibri"/>
          <w:i/>
          <w:szCs w:val="20"/>
        </w:rPr>
        <w:t xml:space="preserve"> w </w:t>
      </w:r>
      <w:r w:rsidRPr="00C22C26">
        <w:rPr>
          <w:rFonts w:cs="Calibri"/>
          <w:i/>
          <w:szCs w:val="20"/>
        </w:rPr>
        <w:t>programie</w:t>
      </w:r>
      <w:r w:rsidRPr="00475805">
        <w:rPr>
          <w:rFonts w:cs="Calibri"/>
          <w:szCs w:val="20"/>
        </w:rPr>
        <w:t xml:space="preserve"> </w:t>
      </w:r>
      <w:r w:rsidRPr="00404DA5">
        <w:rPr>
          <w:rFonts w:cs="Calibri"/>
          <w:szCs w:val="20"/>
        </w:rPr>
        <w:t xml:space="preserve">na </w:t>
      </w:r>
      <w:r>
        <w:rPr>
          <w:rFonts w:cs="Calibri"/>
          <w:szCs w:val="20"/>
        </w:rPr>
        <w:t xml:space="preserve">bardzo wysokim </w:t>
      </w:r>
      <w:r w:rsidRPr="00404DA5">
        <w:rPr>
          <w:rFonts w:cs="Calibri"/>
          <w:szCs w:val="20"/>
        </w:rPr>
        <w:t>poziomie 349%</w:t>
      </w:r>
      <w:r>
        <w:rPr>
          <w:rFonts w:cs="Calibri"/>
          <w:szCs w:val="20"/>
        </w:rPr>
        <w:t xml:space="preserve">; </w:t>
      </w:r>
      <w:r w:rsidRPr="00404DA5">
        <w:rPr>
          <w:rFonts w:cs="Calibri"/>
          <w:szCs w:val="20"/>
        </w:rPr>
        <w:t xml:space="preserve">co oznacza </w:t>
      </w:r>
      <w:r>
        <w:rPr>
          <w:rFonts w:cs="Calibri"/>
          <w:szCs w:val="20"/>
        </w:rPr>
        <w:t xml:space="preserve">możliwość </w:t>
      </w:r>
      <w:r w:rsidRPr="00404DA5">
        <w:rPr>
          <w:rFonts w:cs="Calibri"/>
          <w:szCs w:val="20"/>
        </w:rPr>
        <w:t>objęci</w:t>
      </w:r>
      <w:r>
        <w:rPr>
          <w:rFonts w:cs="Calibri"/>
          <w:szCs w:val="20"/>
        </w:rPr>
        <w:t>a</w:t>
      </w:r>
      <w:r w:rsidRPr="00404DA5">
        <w:rPr>
          <w:rFonts w:cs="Calibri"/>
          <w:szCs w:val="20"/>
        </w:rPr>
        <w:t xml:space="preserve"> wsparciem 690 osób</w:t>
      </w:r>
      <w:r>
        <w:rPr>
          <w:rFonts w:cs="Calibri"/>
          <w:szCs w:val="20"/>
        </w:rPr>
        <w:t>. Zaleca się jednak ostrożne podejście do wykorzystania alokacji dostępnej</w:t>
      </w:r>
      <w:r w:rsidR="00E66B89">
        <w:rPr>
          <w:rFonts w:cs="Calibri"/>
          <w:szCs w:val="20"/>
        </w:rPr>
        <w:t xml:space="preserve"> w </w:t>
      </w:r>
      <w:r>
        <w:rPr>
          <w:rFonts w:cs="Calibri"/>
          <w:szCs w:val="20"/>
        </w:rPr>
        <w:t xml:space="preserve">Działaniu </w:t>
      </w:r>
      <w:r>
        <w:rPr>
          <w:rFonts w:cs="Calibri"/>
          <w:szCs w:val="20"/>
        </w:rPr>
        <w:noBreakHyphen/>
        <w:t xml:space="preserve"> ewaluator </w:t>
      </w:r>
      <w:r w:rsidRPr="00404DA5">
        <w:rPr>
          <w:rFonts w:cs="Calibri"/>
          <w:szCs w:val="20"/>
        </w:rPr>
        <w:t>nie rekomenduje rozwiązania polegającego na wykorzystaniu całej dostępnej alokacji na realizację ww. wskaźnika. Liczba osób do objęcia</w:t>
      </w:r>
      <w:r>
        <w:rPr>
          <w:rFonts w:cs="Calibri"/>
          <w:szCs w:val="20"/>
        </w:rPr>
        <w:t xml:space="preserve"> </w:t>
      </w:r>
      <w:r w:rsidRPr="00404DA5">
        <w:rPr>
          <w:rFonts w:cs="Calibri"/>
          <w:szCs w:val="20"/>
        </w:rPr>
        <w:t>wsparcie</w:t>
      </w:r>
      <w:r>
        <w:rPr>
          <w:rFonts w:cs="Calibri"/>
          <w:szCs w:val="20"/>
        </w:rPr>
        <w:t>m</w:t>
      </w:r>
      <w:r w:rsidRPr="00404DA5">
        <w:rPr>
          <w:rFonts w:cs="Calibri"/>
          <w:szCs w:val="20"/>
        </w:rPr>
        <w:t xml:space="preserve"> jest duża.</w:t>
      </w:r>
    </w:p>
    <w:p w14:paraId="7756A2EF" w14:textId="77777777" w:rsidR="00881780" w:rsidRPr="00D87AE8" w:rsidRDefault="00881780" w:rsidP="00D87AE8">
      <w:pPr>
        <w:pStyle w:val="Legenda"/>
        <w:spacing w:after="0"/>
      </w:pPr>
      <w:bookmarkStart w:id="255" w:name="_Toc8824223"/>
      <w:bookmarkEnd w:id="253"/>
      <w:r w:rsidRPr="00404DA5">
        <w:t xml:space="preserve">Tabela </w:t>
      </w:r>
      <w:r>
        <w:fldChar w:fldCharType="begin"/>
      </w:r>
      <w:r>
        <w:instrText xml:space="preserve"> SEQ Tabela \* ARABIC </w:instrText>
      </w:r>
      <w:r>
        <w:fldChar w:fldCharType="separate"/>
      </w:r>
      <w:r w:rsidR="00763345">
        <w:rPr>
          <w:noProof/>
        </w:rPr>
        <w:t>112</w:t>
      </w:r>
      <w:r>
        <w:fldChar w:fldCharType="end"/>
      </w:r>
      <w:r w:rsidRPr="00404DA5">
        <w:t xml:space="preserve"> Prognozowany poziom realizacji wskaźników produktu</w:t>
      </w:r>
      <w:r w:rsidR="00E66B89">
        <w:t xml:space="preserve"> i </w:t>
      </w:r>
      <w:r w:rsidRPr="00404DA5">
        <w:t>rezultatu bezpośredniego na rok 2023 – PI 8iii</w:t>
      </w:r>
      <w:bookmarkEnd w:id="255"/>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24"/>
        <w:gridCol w:w="963"/>
        <w:gridCol w:w="2365"/>
        <w:gridCol w:w="2921"/>
      </w:tblGrid>
      <w:tr w:rsidR="00881780" w:rsidRPr="00FE43CD" w14:paraId="6BF6603E" w14:textId="77777777" w:rsidTr="00C22C26">
        <w:trPr>
          <w:trHeight w:val="1835"/>
          <w:tblHeader/>
        </w:trPr>
        <w:tc>
          <w:tcPr>
            <w:tcW w:w="508" w:type="pct"/>
            <w:shd w:val="clear" w:color="auto" w:fill="DBE5F1"/>
          </w:tcPr>
          <w:p w14:paraId="51B5A269" w14:textId="77777777" w:rsidR="00881780" w:rsidRPr="00404DA5" w:rsidRDefault="00881780" w:rsidP="006F4D8F">
            <w:pPr>
              <w:jc w:val="center"/>
              <w:rPr>
                <w:rFonts w:cs="Calibri"/>
                <w:sz w:val="16"/>
                <w:szCs w:val="18"/>
              </w:rPr>
            </w:pPr>
            <w:r w:rsidRPr="00404DA5">
              <w:rPr>
                <w:rFonts w:cs="Calibri"/>
                <w:sz w:val="16"/>
                <w:szCs w:val="18"/>
              </w:rPr>
              <w:t>Typ wskaźnika</w:t>
            </w:r>
          </w:p>
        </w:tc>
        <w:tc>
          <w:tcPr>
            <w:tcW w:w="1099" w:type="pct"/>
            <w:shd w:val="clear" w:color="auto" w:fill="DBE5F1"/>
          </w:tcPr>
          <w:p w14:paraId="40246C16" w14:textId="77777777" w:rsidR="00881780" w:rsidRPr="00404DA5" w:rsidRDefault="00881780" w:rsidP="006F4D8F">
            <w:pPr>
              <w:jc w:val="center"/>
              <w:rPr>
                <w:rFonts w:cs="Calibri"/>
                <w:sz w:val="16"/>
                <w:szCs w:val="18"/>
              </w:rPr>
            </w:pPr>
            <w:r w:rsidRPr="00404DA5">
              <w:rPr>
                <w:rFonts w:cs="Calibri"/>
                <w:sz w:val="16"/>
                <w:szCs w:val="18"/>
              </w:rPr>
              <w:t>Wskaźnik</w:t>
            </w:r>
          </w:p>
        </w:tc>
        <w:tc>
          <w:tcPr>
            <w:tcW w:w="523" w:type="pct"/>
            <w:shd w:val="clear" w:color="auto" w:fill="DBE5F1"/>
          </w:tcPr>
          <w:p w14:paraId="50536EF1" w14:textId="77777777" w:rsidR="00881780" w:rsidRPr="00404DA5" w:rsidRDefault="00881780" w:rsidP="006F4D8F">
            <w:pPr>
              <w:jc w:val="center"/>
              <w:rPr>
                <w:rFonts w:cs="Calibri"/>
                <w:sz w:val="16"/>
                <w:szCs w:val="18"/>
              </w:rPr>
            </w:pPr>
            <w:r w:rsidRPr="00404DA5">
              <w:rPr>
                <w:rFonts w:cs="Calibri"/>
                <w:sz w:val="16"/>
                <w:szCs w:val="18"/>
              </w:rPr>
              <w:t>Wartość docelowa określona na 2023 rok</w:t>
            </w:r>
          </w:p>
        </w:tc>
        <w:tc>
          <w:tcPr>
            <w:tcW w:w="1284" w:type="pct"/>
            <w:shd w:val="clear" w:color="auto" w:fill="DBE5F1"/>
          </w:tcPr>
          <w:p w14:paraId="2BD4036C" w14:textId="77777777" w:rsidR="00881780" w:rsidRPr="00404DA5" w:rsidRDefault="00881780" w:rsidP="006F4D8F">
            <w:pPr>
              <w:jc w:val="center"/>
              <w:rPr>
                <w:rFonts w:cs="Calibri"/>
                <w:sz w:val="16"/>
                <w:szCs w:val="18"/>
              </w:rPr>
            </w:pPr>
            <w:r w:rsidRPr="00404DA5">
              <w:rPr>
                <w:rFonts w:cs="Calibri"/>
                <w:sz w:val="16"/>
                <w:szCs w:val="18"/>
              </w:rPr>
              <w:t xml:space="preserve">Prognozowana całkowita wartość wskaźnika </w:t>
            </w:r>
          </w:p>
        </w:tc>
        <w:tc>
          <w:tcPr>
            <w:tcW w:w="1586" w:type="pct"/>
            <w:shd w:val="clear" w:color="auto" w:fill="DBE5F1"/>
          </w:tcPr>
          <w:p w14:paraId="7F9400F9" w14:textId="77777777" w:rsidR="00881780" w:rsidRPr="00404DA5" w:rsidRDefault="00881780" w:rsidP="006F4D8F">
            <w:pPr>
              <w:jc w:val="center"/>
              <w:rPr>
                <w:rFonts w:cs="Calibri"/>
                <w:sz w:val="16"/>
                <w:szCs w:val="18"/>
              </w:rPr>
            </w:pPr>
            <w:r w:rsidRPr="00404DA5">
              <w:rPr>
                <w:rFonts w:cs="Calibri"/>
                <w:sz w:val="16"/>
                <w:szCs w:val="18"/>
              </w:rPr>
              <w:t>Prognozowany % realizacji wartości docelowej</w:t>
            </w:r>
          </w:p>
        </w:tc>
      </w:tr>
      <w:tr w:rsidR="00881780" w:rsidRPr="00FE43CD" w14:paraId="3B6239BC" w14:textId="77777777" w:rsidTr="006F4D8F">
        <w:trPr>
          <w:trHeight w:val="657"/>
        </w:trPr>
        <w:tc>
          <w:tcPr>
            <w:tcW w:w="508" w:type="pct"/>
            <w:shd w:val="clear" w:color="auto" w:fill="auto"/>
            <w:vAlign w:val="center"/>
          </w:tcPr>
          <w:p w14:paraId="65D71A3D" w14:textId="77777777" w:rsidR="00881780" w:rsidRPr="00404DA5" w:rsidRDefault="00881780" w:rsidP="006F4D8F">
            <w:pPr>
              <w:rPr>
                <w:rFonts w:cs="Calibri"/>
                <w:sz w:val="18"/>
                <w:szCs w:val="18"/>
              </w:rPr>
            </w:pPr>
            <w:r w:rsidRPr="00404DA5">
              <w:rPr>
                <w:rFonts w:cs="Calibri"/>
                <w:sz w:val="18"/>
                <w:szCs w:val="18"/>
              </w:rPr>
              <w:t>WP</w:t>
            </w:r>
          </w:p>
        </w:tc>
        <w:tc>
          <w:tcPr>
            <w:tcW w:w="1099" w:type="pct"/>
            <w:shd w:val="clear" w:color="auto" w:fill="auto"/>
            <w:vAlign w:val="center"/>
          </w:tcPr>
          <w:p w14:paraId="08168FC6" w14:textId="77777777" w:rsidR="00881780" w:rsidRPr="00404DA5" w:rsidRDefault="00881780" w:rsidP="006F4D8F">
            <w:pPr>
              <w:rPr>
                <w:rFonts w:cs="Calibri"/>
                <w:sz w:val="18"/>
                <w:szCs w:val="18"/>
              </w:rPr>
            </w:pPr>
            <w:r w:rsidRPr="00404DA5">
              <w:rPr>
                <w:rFonts w:cs="Calibri"/>
                <w:sz w:val="18"/>
                <w:szCs w:val="18"/>
              </w:rPr>
              <w:t>Liczba osób pozostających bez pracy, które otrzymały bezzwrotne środki na podjęcie działalności gospodarczej</w:t>
            </w:r>
            <w:r w:rsidR="00E66B89">
              <w:rPr>
                <w:rFonts w:cs="Calibri"/>
                <w:sz w:val="18"/>
                <w:szCs w:val="18"/>
              </w:rPr>
              <w:t xml:space="preserve"> w </w:t>
            </w:r>
            <w:r w:rsidRPr="00404DA5">
              <w:rPr>
                <w:rFonts w:cs="Calibri"/>
                <w:sz w:val="18"/>
                <w:szCs w:val="18"/>
              </w:rPr>
              <w:t>programie</w:t>
            </w:r>
          </w:p>
        </w:tc>
        <w:tc>
          <w:tcPr>
            <w:tcW w:w="523" w:type="pct"/>
            <w:shd w:val="clear" w:color="auto" w:fill="auto"/>
            <w:vAlign w:val="center"/>
          </w:tcPr>
          <w:p w14:paraId="64964AD6" w14:textId="77777777" w:rsidR="00881780" w:rsidRPr="00404DA5" w:rsidRDefault="00881780" w:rsidP="006F4D8F">
            <w:pPr>
              <w:jc w:val="center"/>
              <w:rPr>
                <w:rFonts w:cs="Calibri"/>
                <w:sz w:val="18"/>
                <w:szCs w:val="18"/>
              </w:rPr>
            </w:pPr>
            <w:r w:rsidRPr="00404DA5">
              <w:rPr>
                <w:rFonts w:cs="Calibri"/>
                <w:sz w:val="18"/>
                <w:szCs w:val="18"/>
              </w:rPr>
              <w:t>198</w:t>
            </w:r>
          </w:p>
        </w:tc>
        <w:tc>
          <w:tcPr>
            <w:tcW w:w="1284" w:type="pct"/>
            <w:shd w:val="clear" w:color="auto" w:fill="auto"/>
            <w:vAlign w:val="center"/>
          </w:tcPr>
          <w:p w14:paraId="74C1DE83" w14:textId="77777777" w:rsidR="00881780" w:rsidRPr="00404DA5" w:rsidRDefault="00881780" w:rsidP="006F4D8F">
            <w:pPr>
              <w:jc w:val="center"/>
              <w:rPr>
                <w:rFonts w:cs="Calibri"/>
                <w:sz w:val="18"/>
                <w:szCs w:val="18"/>
              </w:rPr>
            </w:pPr>
            <w:r w:rsidRPr="00404DA5">
              <w:rPr>
                <w:rFonts w:cs="Calibri"/>
                <w:sz w:val="18"/>
                <w:szCs w:val="18"/>
              </w:rPr>
              <w:t>690</w:t>
            </w:r>
          </w:p>
          <w:p w14:paraId="4C824193" w14:textId="77777777" w:rsidR="00881780" w:rsidRPr="00404DA5" w:rsidRDefault="00881780" w:rsidP="006F4D8F">
            <w:pPr>
              <w:jc w:val="center"/>
              <w:rPr>
                <w:rFonts w:cs="Calibri"/>
                <w:sz w:val="18"/>
                <w:szCs w:val="18"/>
              </w:rPr>
            </w:pPr>
            <w:r w:rsidRPr="00404DA5">
              <w:rPr>
                <w:rFonts w:cs="Calibri"/>
                <w:sz w:val="18"/>
                <w:szCs w:val="18"/>
              </w:rPr>
              <w:t>(Prognozowana całkowita wartość wskaźnika przy danym koszcie jednostkowym</w:t>
            </w:r>
            <w:r w:rsidR="00E66B89">
              <w:rPr>
                <w:rFonts w:cs="Calibri"/>
                <w:sz w:val="18"/>
                <w:szCs w:val="18"/>
              </w:rPr>
              <w:t xml:space="preserve"> i </w:t>
            </w:r>
            <w:r w:rsidRPr="00404DA5">
              <w:rPr>
                <w:rFonts w:cs="Calibri"/>
                <w:sz w:val="18"/>
                <w:szCs w:val="18"/>
              </w:rPr>
              <w:t>pozostałej alokacji)</w:t>
            </w:r>
          </w:p>
        </w:tc>
        <w:tc>
          <w:tcPr>
            <w:tcW w:w="1586" w:type="pct"/>
            <w:shd w:val="clear" w:color="auto" w:fill="auto"/>
            <w:vAlign w:val="center"/>
          </w:tcPr>
          <w:p w14:paraId="3C1A7327" w14:textId="77777777" w:rsidR="00881780" w:rsidRPr="00404DA5" w:rsidRDefault="00881780" w:rsidP="006F4D8F">
            <w:pPr>
              <w:jc w:val="center"/>
              <w:rPr>
                <w:rFonts w:cs="Calibri"/>
                <w:sz w:val="18"/>
                <w:szCs w:val="18"/>
              </w:rPr>
            </w:pPr>
            <w:r w:rsidRPr="00404DA5">
              <w:rPr>
                <w:rFonts w:cs="Calibri"/>
                <w:sz w:val="18"/>
                <w:szCs w:val="18"/>
              </w:rPr>
              <w:t>349%</w:t>
            </w:r>
          </w:p>
          <w:p w14:paraId="5DC07556" w14:textId="77777777" w:rsidR="00881780" w:rsidRPr="00404DA5" w:rsidRDefault="00881780" w:rsidP="006F4D8F">
            <w:pPr>
              <w:jc w:val="center"/>
              <w:rPr>
                <w:rFonts w:cs="Calibri"/>
                <w:sz w:val="18"/>
                <w:szCs w:val="18"/>
              </w:rPr>
            </w:pPr>
            <w:r w:rsidRPr="00404DA5">
              <w:rPr>
                <w:rFonts w:cs="Calibri"/>
                <w:sz w:val="18"/>
                <w:szCs w:val="18"/>
              </w:rPr>
              <w:t>(Prognozowany % osiągnięcia wartości wskaźnika</w:t>
            </w:r>
            <w:r w:rsidR="00E66B89">
              <w:rPr>
                <w:rFonts w:cs="Calibri"/>
                <w:sz w:val="18"/>
                <w:szCs w:val="18"/>
              </w:rPr>
              <w:t xml:space="preserve"> w </w:t>
            </w:r>
            <w:r w:rsidRPr="00404DA5">
              <w:rPr>
                <w:rFonts w:cs="Calibri"/>
                <w:sz w:val="18"/>
                <w:szCs w:val="18"/>
              </w:rPr>
              <w:t>Programie (Całkowita prognozowana wartość wskaźnika do osiągnięcia/ Zakładana wartość</w:t>
            </w:r>
            <w:r w:rsidR="00E66B89">
              <w:rPr>
                <w:rFonts w:cs="Calibri"/>
                <w:sz w:val="18"/>
                <w:szCs w:val="18"/>
              </w:rPr>
              <w:t xml:space="preserve"> w </w:t>
            </w:r>
            <w:r w:rsidRPr="00404DA5">
              <w:rPr>
                <w:rFonts w:cs="Calibri"/>
                <w:sz w:val="18"/>
                <w:szCs w:val="18"/>
              </w:rPr>
              <w:t>Programie)</w:t>
            </w:r>
          </w:p>
        </w:tc>
      </w:tr>
    </w:tbl>
    <w:p w14:paraId="424DC4CD"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zawartych UoD na dzień 07.01.2019 r., obliczenia</w:t>
      </w:r>
      <w:r w:rsidR="00E66B89" w:rsidRPr="00EE66C6">
        <w:rPr>
          <w:i/>
          <w:sz w:val="18"/>
          <w:szCs w:val="20"/>
        </w:rPr>
        <w:t xml:space="preserve"> i </w:t>
      </w:r>
      <w:r w:rsidRPr="00EE66C6">
        <w:rPr>
          <w:i/>
          <w:sz w:val="18"/>
          <w:szCs w:val="20"/>
        </w:rPr>
        <w:t>analizy własne.</w:t>
      </w:r>
    </w:p>
    <w:p w14:paraId="3C83CEB4"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Możliwości zarządzania środkami rezerwy wykonania</w:t>
      </w:r>
      <w:r w:rsidR="00E66B89">
        <w:rPr>
          <w:rFonts w:eastAsia="Calibri"/>
          <w:b/>
          <w:bCs/>
          <w:i/>
          <w:iCs/>
          <w:color w:val="4F81BD"/>
        </w:rPr>
        <w:t xml:space="preserve"> i </w:t>
      </w:r>
      <w:r w:rsidRPr="00404DA5">
        <w:rPr>
          <w:rFonts w:eastAsia="Calibri"/>
          <w:b/>
          <w:bCs/>
          <w:i/>
          <w:iCs/>
          <w:color w:val="4F81BD"/>
        </w:rPr>
        <w:t>identyfikacja obszarów wymagających interwencji - podsumowanie</w:t>
      </w:r>
    </w:p>
    <w:p w14:paraId="279DAE40" w14:textId="77777777" w:rsidR="00881780" w:rsidRDefault="00881780" w:rsidP="00881780">
      <w:pPr>
        <w:rPr>
          <w:rFonts w:cs="Calibri"/>
          <w:szCs w:val="20"/>
        </w:rPr>
      </w:pPr>
      <w:bookmarkStart w:id="256" w:name="_Hlk6354373"/>
      <w:r w:rsidRPr="00475805">
        <w:rPr>
          <w:rFonts w:cs="Calibri"/>
          <w:b/>
          <w:szCs w:val="20"/>
        </w:rPr>
        <w:t>REKOMENDACJA:</w:t>
      </w:r>
      <w:r w:rsidR="00E66B89">
        <w:rPr>
          <w:rFonts w:cs="Calibri"/>
          <w:szCs w:val="20"/>
        </w:rPr>
        <w:t xml:space="preserve"> W </w:t>
      </w:r>
      <w:r w:rsidRPr="00840E77">
        <w:rPr>
          <w:rFonts w:cs="Calibri"/>
          <w:b/>
          <w:szCs w:val="20"/>
        </w:rPr>
        <w:t>związku</w:t>
      </w:r>
      <w:r w:rsidR="00E66B89">
        <w:rPr>
          <w:rFonts w:cs="Calibri"/>
          <w:b/>
          <w:szCs w:val="20"/>
        </w:rPr>
        <w:t xml:space="preserve"> z </w:t>
      </w:r>
      <w:r w:rsidRPr="00840E77">
        <w:rPr>
          <w:rFonts w:cs="Calibri"/>
          <w:b/>
          <w:szCs w:val="20"/>
        </w:rPr>
        <w:t>diagnozowanymi barierami realizacji celów interwencji, związanymi</w:t>
      </w:r>
      <w:r w:rsidR="00E66B89">
        <w:rPr>
          <w:rFonts w:cs="Calibri"/>
          <w:b/>
          <w:szCs w:val="20"/>
        </w:rPr>
        <w:t xml:space="preserve"> z </w:t>
      </w:r>
      <w:r w:rsidRPr="00840E77">
        <w:rPr>
          <w:rFonts w:cs="Calibri"/>
          <w:b/>
          <w:szCs w:val="20"/>
        </w:rPr>
        <w:t>samą ideą spłacania dofinansowania, najczęściej współwystępującymi</w:t>
      </w:r>
      <w:r w:rsidR="00E66B89">
        <w:rPr>
          <w:rFonts w:cs="Calibri"/>
          <w:b/>
          <w:szCs w:val="20"/>
        </w:rPr>
        <w:t xml:space="preserve"> z </w:t>
      </w:r>
      <w:r w:rsidRPr="00840E77">
        <w:rPr>
          <w:rFonts w:cs="Calibri"/>
          <w:b/>
          <w:szCs w:val="20"/>
        </w:rPr>
        <w:t>niską świadomością (konsekwencją braku informacji</w:t>
      </w:r>
      <w:r w:rsidR="00E66B89">
        <w:rPr>
          <w:rFonts w:cs="Calibri"/>
          <w:b/>
          <w:szCs w:val="20"/>
        </w:rPr>
        <w:t xml:space="preserve"> i </w:t>
      </w:r>
      <w:r w:rsidRPr="00840E77">
        <w:rPr>
          <w:rFonts w:cs="Calibri"/>
          <w:b/>
          <w:szCs w:val="20"/>
        </w:rPr>
        <w:t>wiedzy)</w:t>
      </w:r>
      <w:r w:rsidR="00E66B89">
        <w:rPr>
          <w:rFonts w:cs="Calibri"/>
          <w:b/>
          <w:szCs w:val="20"/>
        </w:rPr>
        <w:t xml:space="preserve"> w </w:t>
      </w:r>
      <w:r w:rsidRPr="00840E77">
        <w:rPr>
          <w:rFonts w:cs="Calibri"/>
          <w:b/>
          <w:szCs w:val="20"/>
        </w:rPr>
        <w:t>zakresie preferencyjnych warunków pozyskania pożyczki, interwencji realizowanej przez BGK</w:t>
      </w:r>
      <w:r w:rsidR="00E66B89">
        <w:rPr>
          <w:rFonts w:cs="Calibri"/>
          <w:b/>
          <w:szCs w:val="20"/>
        </w:rPr>
        <w:t xml:space="preserve"> w </w:t>
      </w:r>
      <w:r w:rsidRPr="00840E77">
        <w:rPr>
          <w:rFonts w:cs="Calibri"/>
          <w:b/>
          <w:szCs w:val="20"/>
        </w:rPr>
        <w:t>formule zwrotnych instrumentów finansowych powinny towarzyszyć intensywne działania informacyjno-promocyjne skierowane do potencjalnych odbiorców wsparcia,</w:t>
      </w:r>
      <w:r w:rsidR="00E66B89">
        <w:rPr>
          <w:rFonts w:cs="Calibri"/>
          <w:b/>
          <w:szCs w:val="20"/>
        </w:rPr>
        <w:t xml:space="preserve"> o </w:t>
      </w:r>
      <w:r w:rsidRPr="00840E77">
        <w:rPr>
          <w:rFonts w:cs="Calibri"/>
          <w:b/>
          <w:szCs w:val="20"/>
        </w:rPr>
        <w:t>charakterze ciągłym (nie punktowym), tj. wdrażane</w:t>
      </w:r>
      <w:r w:rsidR="00E66B89">
        <w:rPr>
          <w:rFonts w:cs="Calibri"/>
          <w:b/>
          <w:szCs w:val="20"/>
        </w:rPr>
        <w:t xml:space="preserve"> w </w:t>
      </w:r>
      <w:r w:rsidRPr="00840E77">
        <w:rPr>
          <w:rFonts w:cs="Calibri"/>
          <w:b/>
          <w:szCs w:val="20"/>
        </w:rPr>
        <w:t>całym okresie,</w:t>
      </w:r>
      <w:r w:rsidR="00E66B89">
        <w:rPr>
          <w:rFonts w:cs="Calibri"/>
          <w:b/>
          <w:szCs w:val="20"/>
        </w:rPr>
        <w:t xml:space="preserve"> w </w:t>
      </w:r>
      <w:r w:rsidRPr="00840E77">
        <w:rPr>
          <w:rFonts w:cs="Calibri"/>
          <w:b/>
          <w:szCs w:val="20"/>
        </w:rPr>
        <w:t>którym planuje się realizować wsparcie. Działania te,</w:t>
      </w:r>
      <w:r w:rsidR="00E66B89">
        <w:rPr>
          <w:rFonts w:cs="Calibri"/>
          <w:b/>
          <w:szCs w:val="20"/>
        </w:rPr>
        <w:t xml:space="preserve"> w </w:t>
      </w:r>
      <w:r w:rsidRPr="00840E77">
        <w:rPr>
          <w:rFonts w:cs="Calibri"/>
          <w:b/>
          <w:szCs w:val="20"/>
        </w:rPr>
        <w:t>dużym stopniu powinny zakładać bezpośredni kontakt</w:t>
      </w:r>
      <w:r w:rsidR="00E66B89">
        <w:rPr>
          <w:rFonts w:cs="Calibri"/>
          <w:b/>
          <w:szCs w:val="20"/>
        </w:rPr>
        <w:t xml:space="preserve"> z </w:t>
      </w:r>
      <w:r w:rsidRPr="00840E77">
        <w:rPr>
          <w:rFonts w:cs="Calibri"/>
          <w:b/>
          <w:szCs w:val="20"/>
        </w:rPr>
        <w:t>osobami</w:t>
      </w:r>
      <w:r w:rsidR="00E66B89">
        <w:rPr>
          <w:rFonts w:cs="Calibri"/>
          <w:b/>
          <w:szCs w:val="20"/>
        </w:rPr>
        <w:t xml:space="preserve"> z </w:t>
      </w:r>
      <w:r w:rsidRPr="00840E77">
        <w:rPr>
          <w:rFonts w:cs="Calibri"/>
          <w:b/>
          <w:szCs w:val="20"/>
        </w:rPr>
        <w:t>grup docelowych. Zestaw działań komunikacyjnych powinien zatem uwzględniać grupowe lub indywidualne spotkania</w:t>
      </w:r>
      <w:r w:rsidR="00E66B89">
        <w:rPr>
          <w:rFonts w:cs="Calibri"/>
          <w:b/>
          <w:szCs w:val="20"/>
        </w:rPr>
        <w:t xml:space="preserve"> z </w:t>
      </w:r>
      <w:r w:rsidRPr="00840E77">
        <w:rPr>
          <w:rFonts w:cs="Calibri"/>
          <w:b/>
          <w:szCs w:val="20"/>
        </w:rPr>
        <w:t>odbiorcami wsparcia, uruchomienie infolinii, stacjonarnego lub zdalnego punktu informacyjnego</w:t>
      </w:r>
      <w:r w:rsidR="00E66B89">
        <w:rPr>
          <w:rFonts w:cs="Calibri"/>
          <w:b/>
          <w:szCs w:val="20"/>
        </w:rPr>
        <w:t xml:space="preserve"> z </w:t>
      </w:r>
      <w:r w:rsidRPr="00840E77">
        <w:rPr>
          <w:rFonts w:cs="Calibri"/>
          <w:b/>
          <w:szCs w:val="20"/>
        </w:rPr>
        <w:t>dostępnym doradcą / konsultantem.</w:t>
      </w:r>
      <w:r>
        <w:rPr>
          <w:rFonts w:cs="Calibri"/>
          <w:szCs w:val="20"/>
        </w:rPr>
        <w:t xml:space="preserve"> Podejmowane działania komunikacyjne p</w:t>
      </w:r>
      <w:r w:rsidRPr="00246F8C">
        <w:rPr>
          <w:rFonts w:cs="Calibri"/>
          <w:szCs w:val="20"/>
        </w:rPr>
        <w:t xml:space="preserve">owinny </w:t>
      </w:r>
      <w:r>
        <w:rPr>
          <w:rFonts w:cs="Calibri"/>
          <w:szCs w:val="20"/>
        </w:rPr>
        <w:t>realizować cel związany</w:t>
      </w:r>
      <w:r w:rsidR="00E66B89">
        <w:rPr>
          <w:rFonts w:cs="Calibri"/>
          <w:szCs w:val="20"/>
        </w:rPr>
        <w:t xml:space="preserve"> z </w:t>
      </w:r>
      <w:r>
        <w:rPr>
          <w:rFonts w:cs="Calibri"/>
          <w:szCs w:val="20"/>
        </w:rPr>
        <w:t>dotarciem do odbiorców wsparcia (tj.</w:t>
      </w:r>
      <w:r w:rsidR="00E66B89">
        <w:rPr>
          <w:rFonts w:cs="Calibri"/>
          <w:szCs w:val="20"/>
        </w:rPr>
        <w:t xml:space="preserve"> z </w:t>
      </w:r>
      <w:r>
        <w:rPr>
          <w:rFonts w:cs="Calibri"/>
          <w:szCs w:val="20"/>
        </w:rPr>
        <w:t xml:space="preserve">ich rekrutacją do projektu), jednocześnie </w:t>
      </w:r>
      <w:r w:rsidRPr="00246F8C">
        <w:rPr>
          <w:rFonts w:cs="Calibri"/>
          <w:szCs w:val="20"/>
        </w:rPr>
        <w:t>służyć wzrostowi wiedzy</w:t>
      </w:r>
      <w:r w:rsidR="00E66B89">
        <w:rPr>
          <w:rFonts w:cs="Calibri"/>
          <w:szCs w:val="20"/>
        </w:rPr>
        <w:t xml:space="preserve"> o </w:t>
      </w:r>
      <w:r w:rsidRPr="00246F8C">
        <w:rPr>
          <w:rFonts w:cs="Calibri"/>
          <w:szCs w:val="20"/>
        </w:rPr>
        <w:t>oferowanych (korzystnych) warunkach kredytowania</w:t>
      </w:r>
      <w:r w:rsidR="0013771A">
        <w:rPr>
          <w:rFonts w:cs="Calibri"/>
          <w:szCs w:val="20"/>
        </w:rPr>
        <w:t>,</w:t>
      </w:r>
      <w:r w:rsidRPr="00246F8C">
        <w:rPr>
          <w:rFonts w:cs="Calibri"/>
          <w:szCs w:val="20"/>
        </w:rPr>
        <w:t xml:space="preserve"> jak również akcentować możliwości wykorzystania na rynku pracy (w dłuższej perspektywie czasu) wiedzy, umiejętności</w:t>
      </w:r>
      <w:r w:rsidR="00E66B89">
        <w:rPr>
          <w:rFonts w:cs="Calibri"/>
          <w:szCs w:val="20"/>
        </w:rPr>
        <w:t xml:space="preserve"> i </w:t>
      </w:r>
      <w:r w:rsidRPr="00246F8C">
        <w:rPr>
          <w:rFonts w:cs="Calibri"/>
          <w:szCs w:val="20"/>
        </w:rPr>
        <w:t>doświadczeń nabytych dzięki skorzystaniu ze wsparcia</w:t>
      </w:r>
      <w:r w:rsidR="00E66B89">
        <w:rPr>
          <w:rFonts w:cs="Calibri"/>
          <w:szCs w:val="20"/>
        </w:rPr>
        <w:t xml:space="preserve"> i </w:t>
      </w:r>
      <w:r w:rsidRPr="00246F8C">
        <w:rPr>
          <w:rFonts w:cs="Calibri"/>
          <w:szCs w:val="20"/>
        </w:rPr>
        <w:t>podjęciu aktywności</w:t>
      </w:r>
      <w:r w:rsidR="00E66B89">
        <w:rPr>
          <w:rFonts w:cs="Calibri"/>
          <w:szCs w:val="20"/>
        </w:rPr>
        <w:t xml:space="preserve"> w </w:t>
      </w:r>
      <w:r w:rsidRPr="00246F8C">
        <w:rPr>
          <w:rFonts w:cs="Calibri"/>
          <w:szCs w:val="20"/>
        </w:rPr>
        <w:t>celu założenia</w:t>
      </w:r>
      <w:r w:rsidR="00E66B89">
        <w:rPr>
          <w:rFonts w:cs="Calibri"/>
          <w:szCs w:val="20"/>
        </w:rPr>
        <w:t xml:space="preserve"> i </w:t>
      </w:r>
      <w:r w:rsidRPr="00246F8C">
        <w:rPr>
          <w:rFonts w:cs="Calibri"/>
          <w:szCs w:val="20"/>
        </w:rPr>
        <w:t>prowadzenia działalności gospodarczej.</w:t>
      </w:r>
      <w:r>
        <w:rPr>
          <w:rFonts w:cs="Calibri"/>
          <w:szCs w:val="20"/>
        </w:rPr>
        <w:t xml:space="preserve"> Również</w:t>
      </w:r>
      <w:r w:rsidR="00E66B89">
        <w:rPr>
          <w:rFonts w:cs="Calibri"/>
          <w:szCs w:val="20"/>
        </w:rPr>
        <w:t xml:space="preserve"> z </w:t>
      </w:r>
      <w:r>
        <w:rPr>
          <w:rFonts w:cs="Calibri"/>
          <w:szCs w:val="20"/>
        </w:rPr>
        <w:t>tego powodu wsparcie</w:t>
      </w:r>
      <w:r w:rsidR="00E66B89">
        <w:rPr>
          <w:rFonts w:cs="Calibri"/>
          <w:szCs w:val="20"/>
        </w:rPr>
        <w:t xml:space="preserve"> w </w:t>
      </w:r>
      <w:r>
        <w:rPr>
          <w:rFonts w:cs="Calibri"/>
          <w:szCs w:val="20"/>
        </w:rPr>
        <w:t>postaci zwrotnego</w:t>
      </w:r>
      <w:r w:rsidRPr="00C00B02">
        <w:rPr>
          <w:rFonts w:cs="Calibri"/>
          <w:szCs w:val="20"/>
        </w:rPr>
        <w:t xml:space="preserve"> instrument</w:t>
      </w:r>
      <w:r>
        <w:rPr>
          <w:rFonts w:cs="Calibri"/>
          <w:szCs w:val="20"/>
        </w:rPr>
        <w:t>u</w:t>
      </w:r>
      <w:r w:rsidRPr="00C00B02">
        <w:rPr>
          <w:rFonts w:cs="Calibri"/>
          <w:szCs w:val="20"/>
        </w:rPr>
        <w:t xml:space="preserve"> finansow</w:t>
      </w:r>
      <w:r>
        <w:rPr>
          <w:rFonts w:cs="Calibri"/>
          <w:szCs w:val="20"/>
        </w:rPr>
        <w:t>ego</w:t>
      </w:r>
      <w:r w:rsidRPr="00C00B02">
        <w:rPr>
          <w:rFonts w:cs="Calibri"/>
          <w:szCs w:val="20"/>
        </w:rPr>
        <w:t xml:space="preserve"> nie powin</w:t>
      </w:r>
      <w:r>
        <w:rPr>
          <w:rFonts w:cs="Calibri"/>
          <w:szCs w:val="20"/>
        </w:rPr>
        <w:t>no</w:t>
      </w:r>
      <w:r w:rsidRPr="00C00B02">
        <w:rPr>
          <w:rFonts w:cs="Calibri"/>
          <w:szCs w:val="20"/>
        </w:rPr>
        <w:t xml:space="preserve"> funkcjonować </w:t>
      </w:r>
      <w:r>
        <w:rPr>
          <w:rFonts w:cs="Calibri"/>
          <w:szCs w:val="20"/>
        </w:rPr>
        <w:t>niezależnie,</w:t>
      </w:r>
      <w:r w:rsidR="00E66B89">
        <w:rPr>
          <w:rFonts w:cs="Calibri"/>
          <w:szCs w:val="20"/>
        </w:rPr>
        <w:t xml:space="preserve"> a </w:t>
      </w:r>
      <w:r>
        <w:rPr>
          <w:rFonts w:cs="Calibri"/>
          <w:szCs w:val="20"/>
        </w:rPr>
        <w:t xml:space="preserve">raczej </w:t>
      </w:r>
      <w:r w:rsidRPr="00C00B02">
        <w:rPr>
          <w:rFonts w:cs="Calibri"/>
          <w:szCs w:val="20"/>
        </w:rPr>
        <w:t xml:space="preserve">być </w:t>
      </w:r>
      <w:r>
        <w:rPr>
          <w:rFonts w:cs="Calibri"/>
          <w:szCs w:val="20"/>
        </w:rPr>
        <w:t>częścią wsparcia skorelowanego (zintegrowanego) – wsparcie finansowe łącznie</w:t>
      </w:r>
      <w:r w:rsidR="00E66B89">
        <w:rPr>
          <w:rFonts w:cs="Calibri"/>
          <w:szCs w:val="20"/>
        </w:rPr>
        <w:t xml:space="preserve"> z </w:t>
      </w:r>
      <w:r>
        <w:rPr>
          <w:rFonts w:cs="Calibri"/>
          <w:szCs w:val="20"/>
        </w:rPr>
        <w:t>towarzyszącym wsparciem</w:t>
      </w:r>
      <w:r w:rsidR="00E66B89">
        <w:rPr>
          <w:rFonts w:cs="Calibri"/>
          <w:szCs w:val="20"/>
        </w:rPr>
        <w:t xml:space="preserve"> w </w:t>
      </w:r>
      <w:r>
        <w:rPr>
          <w:rFonts w:cs="Calibri"/>
          <w:szCs w:val="20"/>
        </w:rPr>
        <w:t>postaci szkoleń</w:t>
      </w:r>
      <w:r w:rsidR="00E66B89">
        <w:rPr>
          <w:rFonts w:cs="Calibri"/>
          <w:szCs w:val="20"/>
        </w:rPr>
        <w:t xml:space="preserve"> i </w:t>
      </w:r>
      <w:r w:rsidRPr="00C00B02">
        <w:rPr>
          <w:rFonts w:cs="Calibri"/>
          <w:szCs w:val="20"/>
        </w:rPr>
        <w:t>doradztwa</w:t>
      </w:r>
      <w:r w:rsidR="00E66B89">
        <w:rPr>
          <w:rFonts w:cs="Calibri"/>
          <w:szCs w:val="20"/>
        </w:rPr>
        <w:t xml:space="preserve"> w </w:t>
      </w:r>
      <w:r w:rsidRPr="00C00B02">
        <w:rPr>
          <w:rFonts w:cs="Calibri"/>
          <w:szCs w:val="20"/>
        </w:rPr>
        <w:t xml:space="preserve">zakresie </w:t>
      </w:r>
      <w:r>
        <w:rPr>
          <w:rFonts w:cs="Calibri"/>
          <w:szCs w:val="20"/>
        </w:rPr>
        <w:t>zakładania</w:t>
      </w:r>
      <w:r w:rsidR="00E66B89">
        <w:rPr>
          <w:rFonts w:cs="Calibri"/>
          <w:szCs w:val="20"/>
        </w:rPr>
        <w:t xml:space="preserve"> i </w:t>
      </w:r>
      <w:r>
        <w:rPr>
          <w:rFonts w:cs="Calibri"/>
          <w:szCs w:val="20"/>
        </w:rPr>
        <w:t>prowadzenia</w:t>
      </w:r>
      <w:r w:rsidRPr="00C00B02">
        <w:rPr>
          <w:rFonts w:cs="Calibri"/>
          <w:szCs w:val="20"/>
        </w:rPr>
        <w:t xml:space="preserve"> </w:t>
      </w:r>
      <w:r>
        <w:rPr>
          <w:rFonts w:cs="Calibri"/>
          <w:szCs w:val="20"/>
        </w:rPr>
        <w:t xml:space="preserve">indywidualnej </w:t>
      </w:r>
      <w:r w:rsidRPr="00C00B02">
        <w:rPr>
          <w:rFonts w:cs="Calibri"/>
          <w:szCs w:val="20"/>
        </w:rPr>
        <w:t>działalności</w:t>
      </w:r>
      <w:r>
        <w:rPr>
          <w:rFonts w:cs="Calibri"/>
          <w:szCs w:val="20"/>
        </w:rPr>
        <w:t xml:space="preserve"> </w:t>
      </w:r>
      <w:r>
        <w:rPr>
          <w:rFonts w:cs="Calibri"/>
          <w:szCs w:val="20"/>
        </w:rPr>
        <w:lastRenderedPageBreak/>
        <w:t>gospodarczej</w:t>
      </w:r>
      <w:r w:rsidRPr="00C00B02">
        <w:rPr>
          <w:rFonts w:cs="Calibri"/>
          <w:szCs w:val="20"/>
        </w:rPr>
        <w:t xml:space="preserve">. </w:t>
      </w:r>
      <w:r>
        <w:rPr>
          <w:rFonts w:cs="Calibri"/>
          <w:szCs w:val="20"/>
        </w:rPr>
        <w:t>Działania</w:t>
      </w:r>
      <w:r w:rsidRPr="00C00B02">
        <w:rPr>
          <w:rFonts w:cs="Calibri"/>
          <w:szCs w:val="20"/>
        </w:rPr>
        <w:t xml:space="preserve"> doradcz</w:t>
      </w:r>
      <w:r>
        <w:rPr>
          <w:rFonts w:cs="Calibri"/>
          <w:szCs w:val="20"/>
        </w:rPr>
        <w:t>e</w:t>
      </w:r>
      <w:r w:rsidR="00E66B89">
        <w:rPr>
          <w:rFonts w:cs="Calibri"/>
          <w:szCs w:val="20"/>
        </w:rPr>
        <w:t xml:space="preserve"> i </w:t>
      </w:r>
      <w:r w:rsidRPr="00C00B02">
        <w:rPr>
          <w:rFonts w:cs="Calibri"/>
          <w:szCs w:val="20"/>
        </w:rPr>
        <w:t>szkoleniow</w:t>
      </w:r>
      <w:r>
        <w:rPr>
          <w:rFonts w:cs="Calibri"/>
          <w:szCs w:val="20"/>
        </w:rPr>
        <w:t>e mogłyby być</w:t>
      </w:r>
      <w:r w:rsidRPr="00C00B02">
        <w:rPr>
          <w:rFonts w:cs="Calibri"/>
          <w:szCs w:val="20"/>
        </w:rPr>
        <w:t xml:space="preserve"> </w:t>
      </w:r>
      <w:r>
        <w:rPr>
          <w:rFonts w:cs="Calibri"/>
          <w:szCs w:val="20"/>
        </w:rPr>
        <w:t>realizowane</w:t>
      </w:r>
      <w:r w:rsidRPr="00C00B02">
        <w:rPr>
          <w:rFonts w:cs="Calibri"/>
          <w:szCs w:val="20"/>
        </w:rPr>
        <w:t xml:space="preserve"> albo przez samych pośredników</w:t>
      </w:r>
      <w:r>
        <w:rPr>
          <w:rFonts w:cs="Calibri"/>
          <w:szCs w:val="20"/>
        </w:rPr>
        <w:t xml:space="preserve"> finansowych</w:t>
      </w:r>
      <w:r w:rsidRPr="00C00B02">
        <w:rPr>
          <w:rFonts w:cs="Calibri"/>
          <w:szCs w:val="20"/>
        </w:rPr>
        <w:t>, albo przez inne podmioty.</w:t>
      </w:r>
      <w:r>
        <w:rPr>
          <w:rFonts w:cs="Calibri"/>
          <w:szCs w:val="20"/>
        </w:rPr>
        <w:t xml:space="preserve"> Zalecenie to jest zgodne</w:t>
      </w:r>
      <w:r w:rsidR="00E66B89">
        <w:rPr>
          <w:rFonts w:cs="Calibri"/>
          <w:szCs w:val="20"/>
        </w:rPr>
        <w:t xml:space="preserve"> z </w:t>
      </w:r>
      <w:r>
        <w:rPr>
          <w:rFonts w:cs="Calibri"/>
          <w:szCs w:val="20"/>
        </w:rPr>
        <w:t>wnioskiem płynącym</w:t>
      </w:r>
      <w:r w:rsidR="00E66B89">
        <w:rPr>
          <w:rFonts w:cs="Calibri"/>
          <w:szCs w:val="20"/>
        </w:rPr>
        <w:t xml:space="preserve"> z </w:t>
      </w:r>
      <w:r>
        <w:rPr>
          <w:rFonts w:cs="Calibri"/>
          <w:szCs w:val="20"/>
        </w:rPr>
        <w:t xml:space="preserve">ewaluacji ex-ante </w:t>
      </w:r>
      <w:r w:rsidRPr="005A6C23">
        <w:rPr>
          <w:rFonts w:cs="Calibri"/>
          <w:szCs w:val="20"/>
        </w:rPr>
        <w:t>instrumentów finansowych wdrażanych</w:t>
      </w:r>
      <w:r w:rsidR="00E66B89">
        <w:rPr>
          <w:rFonts w:cs="Calibri"/>
          <w:szCs w:val="20"/>
        </w:rPr>
        <w:t xml:space="preserve"> w </w:t>
      </w:r>
      <w:r w:rsidRPr="005A6C23">
        <w:rPr>
          <w:rFonts w:cs="Calibri"/>
          <w:szCs w:val="20"/>
        </w:rPr>
        <w:t>województwie zachodniopomorskim</w:t>
      </w:r>
      <w:r w:rsidR="00E66B89">
        <w:rPr>
          <w:rFonts w:cs="Calibri"/>
          <w:szCs w:val="20"/>
        </w:rPr>
        <w:t xml:space="preserve"> w </w:t>
      </w:r>
      <w:r w:rsidRPr="005A6C23">
        <w:rPr>
          <w:rFonts w:cs="Calibri"/>
          <w:szCs w:val="20"/>
        </w:rPr>
        <w:t>latach 2014-2020</w:t>
      </w:r>
      <w:r>
        <w:rPr>
          <w:rStyle w:val="Odwoanieprzypisudolnego"/>
          <w:rFonts w:cs="Calibri"/>
          <w:szCs w:val="20"/>
        </w:rPr>
        <w:footnoteReference w:id="90"/>
      </w:r>
      <w:r>
        <w:rPr>
          <w:rFonts w:cs="Calibri"/>
          <w:szCs w:val="20"/>
        </w:rPr>
        <w:t>. Instytucja Pośrednicząca (WUP) podjęła</w:t>
      </w:r>
      <w:r w:rsidR="00E66B89">
        <w:rPr>
          <w:rFonts w:cs="Calibri"/>
          <w:szCs w:val="20"/>
        </w:rPr>
        <w:t xml:space="preserve"> w </w:t>
      </w:r>
      <w:r>
        <w:rPr>
          <w:rFonts w:cs="Calibri"/>
          <w:szCs w:val="20"/>
        </w:rPr>
        <w:t>tym celu odpowiednie działanie – uruchamiając</w:t>
      </w:r>
      <w:r w:rsidR="00E66B89">
        <w:rPr>
          <w:rFonts w:cs="Calibri"/>
          <w:szCs w:val="20"/>
        </w:rPr>
        <w:t xml:space="preserve"> w </w:t>
      </w:r>
      <w:r w:rsidRPr="00201E10">
        <w:rPr>
          <w:rFonts w:cs="Calibri"/>
          <w:szCs w:val="20"/>
        </w:rPr>
        <w:t>IV kw</w:t>
      </w:r>
      <w:r>
        <w:rPr>
          <w:rFonts w:cs="Calibri"/>
          <w:szCs w:val="20"/>
        </w:rPr>
        <w:t>artale</w:t>
      </w:r>
      <w:r w:rsidRPr="00201E10">
        <w:rPr>
          <w:rFonts w:cs="Calibri"/>
          <w:szCs w:val="20"/>
        </w:rPr>
        <w:t xml:space="preserve"> 2017 r. nabór wniosków</w:t>
      </w:r>
      <w:r w:rsidR="00E66B89">
        <w:rPr>
          <w:rFonts w:cs="Calibri"/>
          <w:szCs w:val="20"/>
        </w:rPr>
        <w:t xml:space="preserve"> o </w:t>
      </w:r>
      <w:r w:rsidRPr="00201E10">
        <w:rPr>
          <w:rFonts w:cs="Calibri"/>
          <w:szCs w:val="20"/>
        </w:rPr>
        <w:t>dofinansowanie projektów</w:t>
      </w:r>
      <w:r w:rsidR="00E66B89">
        <w:rPr>
          <w:rFonts w:cs="Calibri"/>
          <w:szCs w:val="20"/>
        </w:rPr>
        <w:t xml:space="preserve"> w </w:t>
      </w:r>
      <w:r w:rsidRPr="00201E10">
        <w:rPr>
          <w:rFonts w:cs="Calibri"/>
          <w:szCs w:val="20"/>
        </w:rPr>
        <w:t xml:space="preserve">trybie konkursowym dla Działania 6.4 </w:t>
      </w:r>
      <w:r w:rsidRPr="00B71A84">
        <w:rPr>
          <w:rFonts w:cs="Calibri"/>
          <w:i/>
          <w:szCs w:val="20"/>
        </w:rPr>
        <w:t>Wsparcie przedsiębiorczości, samozatrudnienia oraz tworzenia nowych miejsc pracy, poprzez środki finansowe na rozpoczęcie działalności gospodarczej oraz wsparcie doradczo-szkoleniowe</w:t>
      </w:r>
      <w:r w:rsidRPr="00201E10">
        <w:rPr>
          <w:rFonts w:cs="Calibri"/>
          <w:szCs w:val="20"/>
        </w:rPr>
        <w:t xml:space="preserve"> </w:t>
      </w:r>
      <w:r>
        <w:rPr>
          <w:rFonts w:cs="Calibri"/>
          <w:szCs w:val="20"/>
        </w:rPr>
        <w:t>(n</w:t>
      </w:r>
      <w:r w:rsidRPr="00201E10">
        <w:rPr>
          <w:rFonts w:cs="Calibri"/>
          <w:szCs w:val="20"/>
        </w:rPr>
        <w:t>umer naboru: RPZP.06.04.00-IP.02-32-K30/17</w:t>
      </w:r>
      <w:r>
        <w:rPr>
          <w:rFonts w:cs="Calibri"/>
          <w:szCs w:val="20"/>
        </w:rPr>
        <w:t>). Należy jednak podkreślić, że</w:t>
      </w:r>
      <w:r w:rsidR="00E66B89">
        <w:rPr>
          <w:rFonts w:cs="Calibri"/>
          <w:szCs w:val="20"/>
        </w:rPr>
        <w:t xml:space="preserve"> w </w:t>
      </w:r>
      <w:r>
        <w:rPr>
          <w:rFonts w:cs="Calibri"/>
          <w:szCs w:val="20"/>
        </w:rPr>
        <w:t>ramach</w:t>
      </w:r>
      <w:r w:rsidRPr="00201E10">
        <w:rPr>
          <w:rFonts w:cs="Calibri"/>
          <w:szCs w:val="20"/>
        </w:rPr>
        <w:t xml:space="preserve"> </w:t>
      </w:r>
      <w:r>
        <w:rPr>
          <w:rFonts w:cs="Calibri"/>
          <w:szCs w:val="20"/>
        </w:rPr>
        <w:t xml:space="preserve">naboru </w:t>
      </w:r>
      <w:r w:rsidRPr="00201E10">
        <w:rPr>
          <w:rFonts w:cs="Calibri"/>
          <w:szCs w:val="20"/>
        </w:rPr>
        <w:t>nie został złożony żaden wniosek</w:t>
      </w:r>
      <w:r w:rsidR="00E66B89">
        <w:rPr>
          <w:rFonts w:cs="Calibri"/>
          <w:szCs w:val="20"/>
        </w:rPr>
        <w:t xml:space="preserve"> o </w:t>
      </w:r>
      <w:r w:rsidRPr="00201E10">
        <w:rPr>
          <w:rFonts w:cs="Calibri"/>
          <w:szCs w:val="20"/>
        </w:rPr>
        <w:t xml:space="preserve">dofinansowanie. </w:t>
      </w:r>
      <w:r>
        <w:rPr>
          <w:rFonts w:cs="Calibri"/>
          <w:szCs w:val="20"/>
        </w:rPr>
        <w:t>B</w:t>
      </w:r>
      <w:r w:rsidRPr="00201E10">
        <w:rPr>
          <w:rFonts w:cs="Calibri"/>
          <w:szCs w:val="20"/>
        </w:rPr>
        <w:t xml:space="preserve">rak reakcji ze strony potencjalnych Beneficjentów mogących świadczyć tego typu wsparcie, </w:t>
      </w:r>
      <w:r>
        <w:rPr>
          <w:rFonts w:cs="Calibri"/>
          <w:szCs w:val="20"/>
        </w:rPr>
        <w:t xml:space="preserve">należy </w:t>
      </w:r>
      <w:r w:rsidRPr="00201E10">
        <w:rPr>
          <w:rFonts w:cs="Calibri"/>
          <w:szCs w:val="20"/>
        </w:rPr>
        <w:t>uznać za czynnik diagnostyczny</w:t>
      </w:r>
      <w:r>
        <w:rPr>
          <w:rFonts w:cs="Calibri"/>
          <w:szCs w:val="20"/>
        </w:rPr>
        <w:t xml:space="preserve">, </w:t>
      </w:r>
      <w:r w:rsidRPr="00201E10">
        <w:rPr>
          <w:rFonts w:cs="Calibri"/>
          <w:szCs w:val="20"/>
        </w:rPr>
        <w:t>informujący</w:t>
      </w:r>
      <w:r w:rsidR="00E66B89">
        <w:rPr>
          <w:rFonts w:cs="Calibri"/>
          <w:szCs w:val="20"/>
        </w:rPr>
        <w:t xml:space="preserve"> o </w:t>
      </w:r>
      <w:r w:rsidR="0013771A" w:rsidRPr="00201E10">
        <w:rPr>
          <w:rFonts w:cs="Calibri"/>
          <w:szCs w:val="20"/>
        </w:rPr>
        <w:t>niski</w:t>
      </w:r>
      <w:r w:rsidR="0013771A">
        <w:rPr>
          <w:rFonts w:cs="Calibri"/>
          <w:szCs w:val="20"/>
        </w:rPr>
        <w:t>m</w:t>
      </w:r>
      <w:r w:rsidR="0013771A" w:rsidRPr="00201E10">
        <w:rPr>
          <w:rFonts w:cs="Calibri"/>
          <w:szCs w:val="20"/>
        </w:rPr>
        <w:t xml:space="preserve"> </w:t>
      </w:r>
      <w:r w:rsidRPr="00201E10">
        <w:rPr>
          <w:rFonts w:cs="Calibri"/>
          <w:szCs w:val="20"/>
        </w:rPr>
        <w:t>potencjale rynku</w:t>
      </w:r>
      <w:r>
        <w:rPr>
          <w:rFonts w:cs="Calibri"/>
          <w:szCs w:val="20"/>
        </w:rPr>
        <w:t xml:space="preserve"> / niskiej gotowości podmiotów do świadczenia tak skonstruowanej usługi wsparcia</w:t>
      </w:r>
      <w:r w:rsidRPr="00201E10">
        <w:rPr>
          <w:rFonts w:cs="Calibri"/>
          <w:szCs w:val="20"/>
        </w:rPr>
        <w:t>.</w:t>
      </w:r>
    </w:p>
    <w:p w14:paraId="6732A570" w14:textId="77777777" w:rsidR="00881780" w:rsidRDefault="00881780" w:rsidP="00881780">
      <w:pPr>
        <w:rPr>
          <w:rFonts w:cs="Calibri"/>
          <w:szCs w:val="20"/>
        </w:rPr>
      </w:pPr>
      <w:bookmarkStart w:id="257" w:name="_Hlk6353546"/>
      <w:bookmarkStart w:id="258" w:name="_Hlk6350182"/>
      <w:bookmarkEnd w:id="256"/>
      <w:r>
        <w:rPr>
          <w:rFonts w:cs="Calibri"/>
          <w:szCs w:val="20"/>
        </w:rPr>
        <w:t>Istotnym</w:t>
      </w:r>
      <w:r w:rsidRPr="00C00B02">
        <w:rPr>
          <w:rFonts w:cs="Calibri"/>
          <w:szCs w:val="20"/>
        </w:rPr>
        <w:t xml:space="preserve"> </w:t>
      </w:r>
      <w:r>
        <w:rPr>
          <w:rFonts w:cs="Calibri"/>
          <w:szCs w:val="20"/>
        </w:rPr>
        <w:t>argumentem dla potencjalnych odbiorców wsparcia, który może przesądzać</w:t>
      </w:r>
      <w:r w:rsidR="00E66B89">
        <w:rPr>
          <w:rFonts w:cs="Calibri"/>
          <w:szCs w:val="20"/>
        </w:rPr>
        <w:t xml:space="preserve"> o </w:t>
      </w:r>
      <w:r>
        <w:rPr>
          <w:rFonts w:cs="Calibri"/>
          <w:szCs w:val="20"/>
        </w:rPr>
        <w:t>gotowości skorzystania</w:t>
      </w:r>
      <w:r w:rsidR="00E66B89">
        <w:rPr>
          <w:rFonts w:cs="Calibri"/>
          <w:szCs w:val="20"/>
        </w:rPr>
        <w:t xml:space="preserve"> z </w:t>
      </w:r>
      <w:r>
        <w:rPr>
          <w:rFonts w:cs="Calibri"/>
          <w:szCs w:val="20"/>
        </w:rPr>
        <w:t>instrumentu jest</w:t>
      </w:r>
      <w:r w:rsidRPr="00C00B02">
        <w:rPr>
          <w:rFonts w:cs="Calibri"/>
          <w:szCs w:val="20"/>
        </w:rPr>
        <w:t xml:space="preserve"> uproszczenie </w:t>
      </w:r>
      <w:r>
        <w:rPr>
          <w:rFonts w:cs="Calibri"/>
          <w:szCs w:val="20"/>
        </w:rPr>
        <w:t>procedury</w:t>
      </w:r>
      <w:r w:rsidRPr="00C00B02">
        <w:rPr>
          <w:rFonts w:cs="Calibri"/>
          <w:szCs w:val="20"/>
        </w:rPr>
        <w:t xml:space="preserve"> ubiegania się</w:t>
      </w:r>
      <w:r w:rsidR="00E66B89">
        <w:rPr>
          <w:rFonts w:cs="Calibri"/>
          <w:szCs w:val="20"/>
        </w:rPr>
        <w:t xml:space="preserve"> o </w:t>
      </w:r>
      <w:r w:rsidRPr="00C00B02">
        <w:rPr>
          <w:rFonts w:cs="Calibri"/>
          <w:szCs w:val="20"/>
        </w:rPr>
        <w:t>wsparcie</w:t>
      </w:r>
      <w:r>
        <w:rPr>
          <w:rFonts w:cs="Calibri"/>
          <w:szCs w:val="20"/>
        </w:rPr>
        <w:t xml:space="preserve"> – zastosowanie uproszczeń dotyczy </w:t>
      </w:r>
      <w:r w:rsidRPr="00C21996">
        <w:rPr>
          <w:rFonts w:cs="Calibri"/>
          <w:szCs w:val="20"/>
        </w:rPr>
        <w:t>ułatwie</w:t>
      </w:r>
      <w:r>
        <w:rPr>
          <w:rFonts w:cs="Calibri"/>
          <w:szCs w:val="20"/>
        </w:rPr>
        <w:t>ń</w:t>
      </w:r>
      <w:r w:rsidR="00E66B89">
        <w:rPr>
          <w:rFonts w:cs="Calibri"/>
          <w:szCs w:val="20"/>
        </w:rPr>
        <w:t xml:space="preserve"> w </w:t>
      </w:r>
      <w:r w:rsidRPr="00C21996">
        <w:rPr>
          <w:rFonts w:cs="Calibri"/>
          <w:szCs w:val="20"/>
        </w:rPr>
        <w:t>proces</w:t>
      </w:r>
      <w:r>
        <w:rPr>
          <w:rFonts w:cs="Calibri"/>
          <w:szCs w:val="20"/>
        </w:rPr>
        <w:t>ie</w:t>
      </w:r>
      <w:r w:rsidRPr="00C21996">
        <w:rPr>
          <w:rFonts w:cs="Calibri"/>
          <w:szCs w:val="20"/>
        </w:rPr>
        <w:t xml:space="preserve"> aplikowania</w:t>
      </w:r>
      <w:r w:rsidR="00E66B89">
        <w:rPr>
          <w:rFonts w:cs="Calibri"/>
          <w:szCs w:val="20"/>
        </w:rPr>
        <w:t xml:space="preserve"> o </w:t>
      </w:r>
      <w:r w:rsidRPr="00C21996">
        <w:rPr>
          <w:rFonts w:cs="Calibri"/>
          <w:szCs w:val="20"/>
        </w:rPr>
        <w:t xml:space="preserve">pożyczkę. Pierwszym takim uproszczeniem może być – analogicznie do rozwiązania mezzanine dla Działania 1.9 – utworzenie </w:t>
      </w:r>
      <w:r>
        <w:rPr>
          <w:rFonts w:cs="Calibri"/>
          <w:szCs w:val="20"/>
        </w:rPr>
        <w:t xml:space="preserve">stanowiska </w:t>
      </w:r>
      <w:r w:rsidRPr="00C21996">
        <w:rPr>
          <w:rFonts w:cs="Calibri"/>
          <w:szCs w:val="20"/>
        </w:rPr>
        <w:t>/</w:t>
      </w:r>
      <w:r>
        <w:rPr>
          <w:rFonts w:cs="Calibri"/>
          <w:szCs w:val="20"/>
        </w:rPr>
        <w:t xml:space="preserve"> ustanowienie funkcji doradcy</w:t>
      </w:r>
      <w:r w:rsidRPr="00C21996">
        <w:rPr>
          <w:rFonts w:cs="Calibri"/>
          <w:szCs w:val="20"/>
        </w:rPr>
        <w:t>, które</w:t>
      </w:r>
      <w:r>
        <w:rPr>
          <w:rFonts w:cs="Calibri"/>
          <w:szCs w:val="20"/>
        </w:rPr>
        <w:t>go</w:t>
      </w:r>
      <w:r w:rsidRPr="00C21996">
        <w:rPr>
          <w:rFonts w:cs="Calibri"/>
          <w:szCs w:val="20"/>
        </w:rPr>
        <w:t xml:space="preserve"> celem byłoby wyjaśnienie osobie składającej wniosek wszystkich elementów finansowych</w:t>
      </w:r>
      <w:r w:rsidR="00E66B89">
        <w:rPr>
          <w:rFonts w:cs="Calibri"/>
          <w:szCs w:val="20"/>
        </w:rPr>
        <w:t xml:space="preserve"> i </w:t>
      </w:r>
      <w:r w:rsidRPr="00C21996">
        <w:rPr>
          <w:rFonts w:cs="Calibri"/>
          <w:szCs w:val="20"/>
        </w:rPr>
        <w:t>prawnych zawartych</w:t>
      </w:r>
      <w:r w:rsidR="00E66B89">
        <w:rPr>
          <w:rFonts w:cs="Calibri"/>
          <w:szCs w:val="20"/>
        </w:rPr>
        <w:t xml:space="preserve"> w </w:t>
      </w:r>
      <w:r w:rsidRPr="00C21996">
        <w:rPr>
          <w:rFonts w:cs="Calibri"/>
          <w:szCs w:val="20"/>
        </w:rPr>
        <w:t>umowie. Wniosek ten pokrywa się</w:t>
      </w:r>
      <w:r w:rsidR="00E66B89">
        <w:rPr>
          <w:rFonts w:cs="Calibri"/>
          <w:szCs w:val="20"/>
        </w:rPr>
        <w:t xml:space="preserve"> z </w:t>
      </w:r>
      <w:r w:rsidRPr="00C21996">
        <w:rPr>
          <w:rFonts w:cs="Calibri"/>
          <w:szCs w:val="20"/>
        </w:rPr>
        <w:t>sugestią zawartą</w:t>
      </w:r>
      <w:r w:rsidR="00E66B89">
        <w:rPr>
          <w:rFonts w:cs="Calibri"/>
          <w:szCs w:val="20"/>
        </w:rPr>
        <w:t xml:space="preserve"> w </w:t>
      </w:r>
      <w:r w:rsidRPr="00C21996">
        <w:rPr>
          <w:rFonts w:cs="Calibri"/>
          <w:szCs w:val="20"/>
        </w:rPr>
        <w:t>ewaluacji ex-ante instrumentów finansowych</w:t>
      </w:r>
      <w:r>
        <w:rPr>
          <w:rFonts w:cs="Calibri"/>
          <w:szCs w:val="20"/>
        </w:rPr>
        <w:t xml:space="preserve"> RPO WZ 2014-2020</w:t>
      </w:r>
      <w:r w:rsidRPr="00C21996">
        <w:rPr>
          <w:rFonts w:cs="Calibri"/>
          <w:szCs w:val="20"/>
        </w:rPr>
        <w:t>. Drugim potencjalnym rozwiązaniem jest uproszczenie języka komunikacji pomiędzy wnioskodawcą</w:t>
      </w:r>
      <w:r w:rsidR="00E66B89">
        <w:rPr>
          <w:rFonts w:cs="Calibri"/>
          <w:szCs w:val="20"/>
        </w:rPr>
        <w:t xml:space="preserve"> i </w:t>
      </w:r>
      <w:r w:rsidRPr="00C21996">
        <w:rPr>
          <w:rFonts w:cs="Calibri"/>
          <w:szCs w:val="20"/>
        </w:rPr>
        <w:t xml:space="preserve">pośrednikiem finansowym, </w:t>
      </w:r>
      <w:r>
        <w:rPr>
          <w:rFonts w:cs="Calibri"/>
          <w:szCs w:val="20"/>
        </w:rPr>
        <w:t>tj.</w:t>
      </w:r>
      <w:r w:rsidRPr="00C21996">
        <w:rPr>
          <w:rFonts w:cs="Calibri"/>
          <w:szCs w:val="20"/>
        </w:rPr>
        <w:t xml:space="preserve"> organicznie </w:t>
      </w:r>
      <w:r>
        <w:rPr>
          <w:rFonts w:cs="Calibri"/>
          <w:szCs w:val="20"/>
        </w:rPr>
        <w:t>stosowania specjalistycznego języka (</w:t>
      </w:r>
      <w:r w:rsidRPr="00C21996">
        <w:rPr>
          <w:rFonts w:cs="Calibri"/>
          <w:szCs w:val="20"/>
        </w:rPr>
        <w:t>żargonu branżowego</w:t>
      </w:r>
      <w:r>
        <w:rPr>
          <w:rFonts w:cs="Calibri"/>
          <w:szCs w:val="20"/>
        </w:rPr>
        <w:t>)</w:t>
      </w:r>
      <w:r w:rsidRPr="00C21996">
        <w:rPr>
          <w:rFonts w:cs="Calibri"/>
          <w:szCs w:val="20"/>
        </w:rPr>
        <w:t>.</w:t>
      </w:r>
    </w:p>
    <w:p w14:paraId="1D01B1E0" w14:textId="77777777" w:rsidR="00881780" w:rsidRPr="00EF0A49" w:rsidRDefault="00881780" w:rsidP="00881780">
      <w:pPr>
        <w:rPr>
          <w:rFonts w:cs="Calibri"/>
          <w:szCs w:val="20"/>
        </w:rPr>
      </w:pPr>
      <w:r>
        <w:rPr>
          <w:rFonts w:cs="Calibri"/>
          <w:szCs w:val="20"/>
        </w:rPr>
        <w:t xml:space="preserve">Ponadto, realizacja operacyjnych </w:t>
      </w:r>
      <w:r w:rsidRPr="00A6667E">
        <w:rPr>
          <w:rFonts w:cs="Calibri"/>
          <w:szCs w:val="20"/>
        </w:rPr>
        <w:t>cel</w:t>
      </w:r>
      <w:r>
        <w:rPr>
          <w:rFonts w:cs="Calibri"/>
          <w:szCs w:val="20"/>
        </w:rPr>
        <w:t>ów interwencji</w:t>
      </w:r>
      <w:r w:rsidRPr="00A6667E">
        <w:rPr>
          <w:rFonts w:cs="Calibri"/>
          <w:szCs w:val="20"/>
        </w:rPr>
        <w:t xml:space="preserve"> (tj. eliminacj</w:t>
      </w:r>
      <w:r>
        <w:rPr>
          <w:rFonts w:cs="Calibri"/>
          <w:szCs w:val="20"/>
        </w:rPr>
        <w:t>a</w:t>
      </w:r>
      <w:r w:rsidRPr="00A6667E">
        <w:rPr>
          <w:rFonts w:cs="Calibri"/>
          <w:szCs w:val="20"/>
        </w:rPr>
        <w:t xml:space="preserve"> luki finansowej</w:t>
      </w:r>
      <w:r>
        <w:rPr>
          <w:rFonts w:cs="Calibri"/>
          <w:szCs w:val="20"/>
        </w:rPr>
        <w:t>) powinna współistnieć</w:t>
      </w:r>
      <w:r w:rsidR="00E66B89">
        <w:rPr>
          <w:rFonts w:cs="Calibri"/>
          <w:szCs w:val="20"/>
        </w:rPr>
        <w:t xml:space="preserve"> z </w:t>
      </w:r>
      <w:r w:rsidRPr="00A6667E">
        <w:rPr>
          <w:rFonts w:cs="Calibri"/>
          <w:szCs w:val="20"/>
        </w:rPr>
        <w:t>tworzenie</w:t>
      </w:r>
      <w:r>
        <w:rPr>
          <w:rFonts w:cs="Calibri"/>
          <w:szCs w:val="20"/>
        </w:rPr>
        <w:t>m</w:t>
      </w:r>
      <w:r w:rsidRPr="00A6667E">
        <w:rPr>
          <w:rFonts w:cs="Calibri"/>
          <w:szCs w:val="20"/>
        </w:rPr>
        <w:t xml:space="preserve"> </w:t>
      </w:r>
      <w:r>
        <w:rPr>
          <w:rFonts w:cs="Calibri"/>
          <w:szCs w:val="20"/>
        </w:rPr>
        <w:t xml:space="preserve">dodatkowych </w:t>
      </w:r>
      <w:r w:rsidRPr="00A6667E">
        <w:rPr>
          <w:rFonts w:cs="Calibri"/>
          <w:szCs w:val="20"/>
        </w:rPr>
        <w:t>zachęt</w:t>
      </w:r>
      <w:r>
        <w:rPr>
          <w:rFonts w:cs="Calibri"/>
          <w:szCs w:val="20"/>
        </w:rPr>
        <w:t xml:space="preserve"> dla odbiorców wsparcia</w:t>
      </w:r>
      <w:bookmarkStart w:id="259" w:name="_Hlk6364513"/>
      <w:bookmarkEnd w:id="257"/>
      <w:r>
        <w:rPr>
          <w:rFonts w:cs="Calibri"/>
          <w:szCs w:val="20"/>
        </w:rPr>
        <w:t>. Należy do nich zaliczyć: preferencyjne oprocentowanie, wydłużenie maksymalnego okresu spłaty, uwzględnienie opcji karencji</w:t>
      </w:r>
      <w:r w:rsidR="00E66B89">
        <w:rPr>
          <w:rFonts w:cs="Calibri"/>
          <w:szCs w:val="20"/>
        </w:rPr>
        <w:t xml:space="preserve"> w </w:t>
      </w:r>
      <w:r>
        <w:rPr>
          <w:rFonts w:cs="Calibri"/>
          <w:szCs w:val="20"/>
        </w:rPr>
        <w:t xml:space="preserve">spłacie, wakacji kredytowych. Poza pożyczką – zaoferowanie odbiorcom wsparcia możliwość </w:t>
      </w:r>
      <w:r w:rsidRPr="00237C77">
        <w:rPr>
          <w:rFonts w:cs="Calibri"/>
          <w:szCs w:val="20"/>
        </w:rPr>
        <w:t>skorzysta</w:t>
      </w:r>
      <w:r>
        <w:rPr>
          <w:rFonts w:cs="Calibri"/>
          <w:szCs w:val="20"/>
        </w:rPr>
        <w:t>nia</w:t>
      </w:r>
      <w:r w:rsidR="00E66B89">
        <w:rPr>
          <w:rFonts w:cs="Calibri"/>
          <w:szCs w:val="20"/>
        </w:rPr>
        <w:t xml:space="preserve"> z </w:t>
      </w:r>
      <w:r>
        <w:rPr>
          <w:rFonts w:cs="Calibri"/>
          <w:szCs w:val="20"/>
        </w:rPr>
        <w:t xml:space="preserve">wysokiej jakości </w:t>
      </w:r>
      <w:r w:rsidRPr="00237C77">
        <w:rPr>
          <w:rFonts w:cs="Calibri"/>
          <w:szCs w:val="20"/>
        </w:rPr>
        <w:t>bezpłatnych</w:t>
      </w:r>
      <w:r>
        <w:rPr>
          <w:rFonts w:cs="Calibri"/>
          <w:szCs w:val="20"/>
        </w:rPr>
        <w:t>,</w:t>
      </w:r>
      <w:r w:rsidRPr="00237C77">
        <w:rPr>
          <w:rFonts w:cs="Calibri"/>
          <w:szCs w:val="20"/>
        </w:rPr>
        <w:t xml:space="preserve"> specjalistycznych szkoleń wspierających</w:t>
      </w:r>
      <w:r w:rsidR="00E66B89">
        <w:rPr>
          <w:rFonts w:cs="Calibri"/>
          <w:szCs w:val="20"/>
        </w:rPr>
        <w:t xml:space="preserve"> w </w:t>
      </w:r>
      <w:r>
        <w:rPr>
          <w:rFonts w:cs="Calibri"/>
          <w:szCs w:val="20"/>
        </w:rPr>
        <w:t xml:space="preserve">procesie </w:t>
      </w:r>
      <w:r w:rsidRPr="00237C77">
        <w:rPr>
          <w:rFonts w:cs="Calibri"/>
          <w:szCs w:val="20"/>
        </w:rPr>
        <w:t>zakładani</w:t>
      </w:r>
      <w:r>
        <w:rPr>
          <w:rFonts w:cs="Calibri"/>
          <w:szCs w:val="20"/>
        </w:rPr>
        <w:t>a</w:t>
      </w:r>
      <w:r w:rsidR="00E66B89">
        <w:rPr>
          <w:rFonts w:cs="Calibri"/>
          <w:szCs w:val="20"/>
        </w:rPr>
        <w:t xml:space="preserve"> i </w:t>
      </w:r>
      <w:r w:rsidRPr="00237C77">
        <w:rPr>
          <w:rFonts w:cs="Calibri"/>
          <w:szCs w:val="20"/>
        </w:rPr>
        <w:t>prowadzeni</w:t>
      </w:r>
      <w:r>
        <w:rPr>
          <w:rFonts w:cs="Calibri"/>
          <w:szCs w:val="20"/>
        </w:rPr>
        <w:t>a</w:t>
      </w:r>
      <w:r w:rsidRPr="00237C77">
        <w:rPr>
          <w:rFonts w:cs="Calibri"/>
          <w:szCs w:val="20"/>
        </w:rPr>
        <w:t xml:space="preserve"> działalności</w:t>
      </w:r>
      <w:r>
        <w:rPr>
          <w:rFonts w:cs="Calibri"/>
          <w:szCs w:val="20"/>
        </w:rPr>
        <w:t xml:space="preserve"> </w:t>
      </w:r>
      <w:r w:rsidRPr="00237C77">
        <w:rPr>
          <w:rFonts w:cs="Calibri"/>
          <w:szCs w:val="20"/>
        </w:rPr>
        <w:t>gospodarczej</w:t>
      </w:r>
      <w:r>
        <w:rPr>
          <w:rFonts w:cs="Calibri"/>
          <w:szCs w:val="20"/>
        </w:rPr>
        <w:t>, jak również możliwość</w:t>
      </w:r>
      <w:r w:rsidRPr="00237C77">
        <w:rPr>
          <w:rFonts w:cs="Calibri"/>
          <w:szCs w:val="20"/>
        </w:rPr>
        <w:t xml:space="preserve"> </w:t>
      </w:r>
      <w:r>
        <w:rPr>
          <w:rFonts w:cs="Calibri"/>
          <w:szCs w:val="20"/>
        </w:rPr>
        <w:t>skorzystania</w:t>
      </w:r>
      <w:r w:rsidR="00E66B89">
        <w:rPr>
          <w:rFonts w:cs="Calibri"/>
          <w:szCs w:val="20"/>
        </w:rPr>
        <w:t xml:space="preserve"> z </w:t>
      </w:r>
      <w:r w:rsidRPr="00237C77">
        <w:rPr>
          <w:rFonts w:cs="Calibri"/>
          <w:szCs w:val="20"/>
        </w:rPr>
        <w:t xml:space="preserve">usług </w:t>
      </w:r>
      <w:r>
        <w:rPr>
          <w:rFonts w:cs="Calibri"/>
          <w:szCs w:val="20"/>
        </w:rPr>
        <w:t>rozwojowych</w:t>
      </w:r>
      <w:r w:rsidR="00E66B89">
        <w:rPr>
          <w:rFonts w:cs="Calibri"/>
          <w:szCs w:val="20"/>
        </w:rPr>
        <w:t xml:space="preserve"> w </w:t>
      </w:r>
      <w:r>
        <w:rPr>
          <w:rFonts w:cs="Calibri"/>
          <w:szCs w:val="20"/>
        </w:rPr>
        <w:t>tym zakresie (doradztwo, mentoring, coaching jako wsparcie</w:t>
      </w:r>
      <w:r w:rsidR="00E66B89">
        <w:rPr>
          <w:rFonts w:cs="Calibri"/>
          <w:szCs w:val="20"/>
        </w:rPr>
        <w:t xml:space="preserve"> w </w:t>
      </w:r>
      <w:r>
        <w:rPr>
          <w:rFonts w:cs="Calibri"/>
          <w:szCs w:val="20"/>
        </w:rPr>
        <w:t>przygotowaniu do prowadzenia działalności gospodarczej</w:t>
      </w:r>
      <w:bookmarkEnd w:id="259"/>
      <w:r>
        <w:rPr>
          <w:rStyle w:val="Odwoanieprzypisudolnego"/>
          <w:rFonts w:cs="Calibri"/>
          <w:szCs w:val="20"/>
        </w:rPr>
        <w:footnoteReference w:id="91"/>
      </w:r>
      <w:r w:rsidRPr="00A6667E">
        <w:rPr>
          <w:rFonts w:cs="Calibri"/>
          <w:szCs w:val="20"/>
        </w:rPr>
        <w:t>.</w:t>
      </w:r>
      <w:bookmarkEnd w:id="258"/>
      <w:r>
        <w:rPr>
          <w:rFonts w:cs="Calibri"/>
          <w:szCs w:val="20"/>
        </w:rPr>
        <w:t xml:space="preserve"> </w:t>
      </w:r>
      <w:r>
        <w:t>Innymi słowy, kluczowe jest by beneficjenci traktowali instrument finansowy zwrotny jako zobowiązanie, ale by nie było ono postrzegane jako bariera</w:t>
      </w:r>
      <w:r w:rsidR="00E66B89">
        <w:t xml:space="preserve"> w </w:t>
      </w:r>
      <w:r>
        <w:t xml:space="preserve">dalszym działaniu. </w:t>
      </w:r>
    </w:p>
    <w:p w14:paraId="65119F56" w14:textId="77777777" w:rsidR="00881780" w:rsidRDefault="00881780" w:rsidP="00881780">
      <w:pPr>
        <w:rPr>
          <w:rFonts w:cs="Calibri"/>
          <w:b/>
          <w:szCs w:val="20"/>
        </w:rPr>
      </w:pPr>
      <w:bookmarkStart w:id="260" w:name="_Hlk6352428"/>
      <w:bookmarkStart w:id="261" w:name="_Hlk6352392"/>
      <w:r>
        <w:rPr>
          <w:rFonts w:cs="Calibri"/>
          <w:szCs w:val="20"/>
        </w:rPr>
        <w:t>Można również brać pod uwagę r</w:t>
      </w:r>
      <w:r w:rsidRPr="00404DA5">
        <w:rPr>
          <w:rFonts w:cs="Calibri"/>
          <w:szCs w:val="20"/>
        </w:rPr>
        <w:t>ealokowanie alokacji UE ogółem (z RW) pozostałej / dostępnej</w:t>
      </w:r>
      <w:r w:rsidR="00E66B89">
        <w:rPr>
          <w:rFonts w:cs="Calibri"/>
          <w:szCs w:val="20"/>
        </w:rPr>
        <w:t xml:space="preserve"> w </w:t>
      </w:r>
      <w:r w:rsidRPr="00404DA5">
        <w:rPr>
          <w:rFonts w:cs="Calibri"/>
          <w:szCs w:val="20"/>
        </w:rPr>
        <w:t>Działaniu 6.4 wynoszącej 14 655 250,00 zł. na inne Działania OP VI</w:t>
      </w:r>
      <w:bookmarkEnd w:id="260"/>
      <w:r w:rsidRPr="00404DA5">
        <w:rPr>
          <w:rFonts w:cs="Calibri"/>
          <w:szCs w:val="20"/>
        </w:rPr>
        <w:t>.</w:t>
      </w:r>
      <w:r>
        <w:rPr>
          <w:rFonts w:cs="Calibri"/>
          <w:szCs w:val="20"/>
        </w:rPr>
        <w:t xml:space="preserve"> </w:t>
      </w:r>
      <w:bookmarkStart w:id="262" w:name="_Hlk6352599"/>
      <w:bookmarkStart w:id="263" w:name="_Hlk6358081"/>
      <w:bookmarkEnd w:id="261"/>
      <w:r w:rsidRPr="00AB4AD3">
        <w:rPr>
          <w:rFonts w:cs="Calibri"/>
          <w:b/>
          <w:szCs w:val="20"/>
        </w:rPr>
        <w:t xml:space="preserve">REKOMENDACJA: Należy </w:t>
      </w:r>
      <w:r>
        <w:rPr>
          <w:rFonts w:cs="Calibri"/>
          <w:b/>
          <w:szCs w:val="20"/>
        </w:rPr>
        <w:t>jednak przede wszystkim</w:t>
      </w:r>
      <w:r w:rsidRPr="00AB4AD3">
        <w:rPr>
          <w:rFonts w:cs="Calibri"/>
          <w:b/>
          <w:szCs w:val="20"/>
        </w:rPr>
        <w:t xml:space="preserve"> rozważyć możliwość pozostawienia niewykorzystanej kwoty alokacji</w:t>
      </w:r>
      <w:r w:rsidR="00E66B89">
        <w:rPr>
          <w:rFonts w:cs="Calibri"/>
          <w:b/>
          <w:szCs w:val="20"/>
        </w:rPr>
        <w:t xml:space="preserve"> w </w:t>
      </w:r>
      <w:r w:rsidRPr="00AB4AD3">
        <w:rPr>
          <w:rFonts w:cs="Calibri"/>
          <w:b/>
          <w:szCs w:val="20"/>
        </w:rPr>
        <w:t>Działaniu 6.4</w:t>
      </w:r>
      <w:r w:rsidR="00E66B89">
        <w:rPr>
          <w:rFonts w:cs="Calibri"/>
          <w:b/>
          <w:szCs w:val="20"/>
        </w:rPr>
        <w:t xml:space="preserve"> i </w:t>
      </w:r>
      <w:r w:rsidRPr="00AB4AD3">
        <w:rPr>
          <w:rFonts w:cs="Calibri"/>
          <w:b/>
          <w:szCs w:val="20"/>
        </w:rPr>
        <w:t>uruchomienie naborów na realizację projektów typu 2 polegających na wsparciu osób zamierzających rozpocząć prowadzenie działalności gospodarczej</w:t>
      </w:r>
      <w:r w:rsidR="00E66B89">
        <w:rPr>
          <w:rFonts w:cs="Calibri"/>
          <w:b/>
          <w:szCs w:val="20"/>
        </w:rPr>
        <w:t xml:space="preserve"> w </w:t>
      </w:r>
      <w:r w:rsidRPr="00AB4AD3">
        <w:rPr>
          <w:rFonts w:cs="Calibri"/>
          <w:b/>
          <w:szCs w:val="20"/>
        </w:rPr>
        <w:t>jej zakładaniu</w:t>
      </w:r>
      <w:r w:rsidR="00E66B89">
        <w:rPr>
          <w:rFonts w:cs="Calibri"/>
          <w:b/>
          <w:szCs w:val="20"/>
        </w:rPr>
        <w:t xml:space="preserve"> i </w:t>
      </w:r>
      <w:r w:rsidRPr="00AB4AD3">
        <w:rPr>
          <w:rFonts w:cs="Calibri"/>
          <w:b/>
          <w:szCs w:val="20"/>
        </w:rPr>
        <w:t>prowadzeniu poprzez udzielenie pomocy</w:t>
      </w:r>
      <w:r w:rsidR="00E66B89">
        <w:rPr>
          <w:rFonts w:cs="Calibri"/>
          <w:b/>
          <w:szCs w:val="20"/>
        </w:rPr>
        <w:t xml:space="preserve"> w </w:t>
      </w:r>
      <w:r w:rsidRPr="00AB4AD3">
        <w:rPr>
          <w:rFonts w:cs="Calibri"/>
          <w:b/>
          <w:szCs w:val="20"/>
        </w:rPr>
        <w:t>formie bezzwrotnej (dotacji) na utworzenie działalności gospodarczej oraz doradztwo</w:t>
      </w:r>
      <w:r w:rsidR="00E66B89">
        <w:rPr>
          <w:rFonts w:cs="Calibri"/>
          <w:b/>
          <w:szCs w:val="20"/>
        </w:rPr>
        <w:t xml:space="preserve"> i </w:t>
      </w:r>
      <w:r w:rsidRPr="00AB4AD3">
        <w:rPr>
          <w:rFonts w:cs="Calibri"/>
          <w:b/>
          <w:szCs w:val="20"/>
        </w:rPr>
        <w:t>szkolenia umożliwiające uzyskanie wiedzy</w:t>
      </w:r>
      <w:r w:rsidR="00E66B89">
        <w:rPr>
          <w:rFonts w:cs="Calibri"/>
          <w:b/>
          <w:szCs w:val="20"/>
        </w:rPr>
        <w:t xml:space="preserve"> i </w:t>
      </w:r>
      <w:r w:rsidRPr="00AB4AD3">
        <w:rPr>
          <w:rFonts w:cs="Calibri"/>
          <w:b/>
          <w:szCs w:val="20"/>
        </w:rPr>
        <w:t>umiejętności niezbędnych do podjęcia</w:t>
      </w:r>
      <w:r w:rsidR="00E66B89">
        <w:rPr>
          <w:rFonts w:cs="Calibri"/>
          <w:b/>
          <w:szCs w:val="20"/>
        </w:rPr>
        <w:t xml:space="preserve"> i </w:t>
      </w:r>
      <w:r w:rsidRPr="00AB4AD3">
        <w:rPr>
          <w:rFonts w:cs="Calibri"/>
          <w:b/>
          <w:szCs w:val="20"/>
        </w:rPr>
        <w:t>prowadzenia działalności gospodarczej.</w:t>
      </w:r>
    </w:p>
    <w:p w14:paraId="701A9296" w14:textId="77777777" w:rsidR="00881780" w:rsidRPr="00A556B2" w:rsidRDefault="00881780" w:rsidP="00881780">
      <w:pPr>
        <w:pStyle w:val="Nagwek3"/>
      </w:pPr>
      <w:r w:rsidRPr="003056E2">
        <w:lastRenderedPageBreak/>
        <w:t xml:space="preserve"> </w:t>
      </w:r>
      <w:bookmarkEnd w:id="262"/>
      <w:bookmarkEnd w:id="263"/>
      <w:r w:rsidRPr="00FE43CD">
        <w:t xml:space="preserve">Priorytet inwestycyjny nr </w:t>
      </w:r>
      <w:r>
        <w:t>8i</w:t>
      </w:r>
      <w:r w:rsidRPr="00FE43CD">
        <w:t xml:space="preserve"> (Działani</w:t>
      </w:r>
      <w:r>
        <w:t>e</w:t>
      </w:r>
      <w:r w:rsidRPr="00FE43CD">
        <w:t xml:space="preserve"> </w:t>
      </w:r>
      <w:r w:rsidRPr="004E5466">
        <w:t>6.5</w:t>
      </w:r>
      <w:r w:rsidRPr="00FE43CD">
        <w:t>)</w:t>
      </w:r>
    </w:p>
    <w:p w14:paraId="4676775B" w14:textId="77777777" w:rsidR="00881780" w:rsidRPr="00FE43CD" w:rsidRDefault="00881780" w:rsidP="00881780">
      <w:pPr>
        <w:pStyle w:val="Nagwek4"/>
        <w:numPr>
          <w:ilvl w:val="0"/>
          <w:numId w:val="0"/>
        </w:numPr>
        <w:ind w:left="864" w:hanging="864"/>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49CDC96E" w14:textId="77777777" w:rsidR="00881780" w:rsidRPr="00FE43CD" w:rsidRDefault="00881780" w:rsidP="00D87AE8">
      <w:pPr>
        <w:pStyle w:val="Legenda"/>
        <w:spacing w:after="0"/>
      </w:pPr>
      <w:bookmarkStart w:id="264" w:name="_Toc8824224"/>
      <w:r w:rsidRPr="00FE43CD">
        <w:t xml:space="preserve">Tabela </w:t>
      </w:r>
      <w:r>
        <w:fldChar w:fldCharType="begin"/>
      </w:r>
      <w:r>
        <w:instrText xml:space="preserve"> SEQ Tabela \* ARABIC </w:instrText>
      </w:r>
      <w:r>
        <w:fldChar w:fldCharType="separate"/>
      </w:r>
      <w:r w:rsidR="00763345">
        <w:rPr>
          <w:noProof/>
        </w:rPr>
        <w:t>113</w:t>
      </w:r>
      <w:r>
        <w:fldChar w:fldCharType="end"/>
      </w:r>
      <w:r w:rsidRPr="00FE43CD">
        <w:t xml:space="preserve"> Wskaźniki produktu</w:t>
      </w:r>
      <w:r w:rsidR="00E66B89">
        <w:t xml:space="preserve"> i </w:t>
      </w:r>
      <w:r w:rsidRPr="00FE43CD">
        <w:t xml:space="preserve">rezultatu (PI </w:t>
      </w:r>
      <w:r>
        <w:t>8i</w:t>
      </w:r>
      <w:r w:rsidRPr="00FE43CD">
        <w:t>) – postęp rzeczowy</w:t>
      </w:r>
      <w:bookmarkEnd w:id="264"/>
    </w:p>
    <w:tbl>
      <w:tblPr>
        <w:tblW w:w="9288" w:type="dxa"/>
        <w:tblLayout w:type="fixed"/>
        <w:tblLook w:val="04A0" w:firstRow="1" w:lastRow="0" w:firstColumn="1" w:lastColumn="0" w:noHBand="0" w:noVBand="1"/>
      </w:tblPr>
      <w:tblGrid>
        <w:gridCol w:w="817"/>
        <w:gridCol w:w="992"/>
        <w:gridCol w:w="2127"/>
        <w:gridCol w:w="708"/>
        <w:gridCol w:w="880"/>
        <w:gridCol w:w="902"/>
        <w:gridCol w:w="957"/>
        <w:gridCol w:w="948"/>
        <w:gridCol w:w="957"/>
      </w:tblGrid>
      <w:tr w:rsidR="00881780" w:rsidRPr="0031587A" w14:paraId="22221289" w14:textId="77777777" w:rsidTr="006F4D8F">
        <w:trPr>
          <w:tblHeader/>
        </w:trPr>
        <w:tc>
          <w:tcPr>
            <w:tcW w:w="817" w:type="dxa"/>
            <w:tcBorders>
              <w:top w:val="single" w:sz="4" w:space="0" w:color="auto"/>
              <w:left w:val="single" w:sz="4" w:space="0" w:color="auto"/>
              <w:bottom w:val="single" w:sz="4" w:space="0" w:color="auto"/>
              <w:right w:val="single" w:sz="4" w:space="0" w:color="auto"/>
            </w:tcBorders>
            <w:shd w:val="clear" w:color="auto" w:fill="DBE5F1"/>
          </w:tcPr>
          <w:p w14:paraId="76B565F6" w14:textId="77777777" w:rsidR="00881780" w:rsidRPr="00404DA5" w:rsidRDefault="00881780" w:rsidP="006F4D8F">
            <w:pPr>
              <w:jc w:val="center"/>
              <w:rPr>
                <w:rFonts w:cs="Calibri"/>
                <w:sz w:val="18"/>
                <w:szCs w:val="18"/>
              </w:rPr>
            </w:pPr>
            <w:r w:rsidRPr="00404DA5">
              <w:rPr>
                <w:rFonts w:cs="Calibri"/>
                <w:sz w:val="18"/>
                <w:szCs w:val="18"/>
              </w:rPr>
              <w:t>Typ wskaźnika</w:t>
            </w:r>
          </w:p>
        </w:tc>
        <w:tc>
          <w:tcPr>
            <w:tcW w:w="992" w:type="dxa"/>
            <w:tcBorders>
              <w:top w:val="single" w:sz="4" w:space="0" w:color="auto"/>
              <w:left w:val="single" w:sz="4" w:space="0" w:color="auto"/>
              <w:bottom w:val="single" w:sz="4" w:space="0" w:color="auto"/>
              <w:right w:val="single" w:sz="4" w:space="0" w:color="auto"/>
            </w:tcBorders>
            <w:shd w:val="clear" w:color="auto" w:fill="DBE5F1"/>
          </w:tcPr>
          <w:p w14:paraId="281588E0" w14:textId="77777777" w:rsidR="00881780" w:rsidRPr="00404DA5" w:rsidRDefault="00881780" w:rsidP="006F4D8F">
            <w:pPr>
              <w:jc w:val="center"/>
              <w:rPr>
                <w:rFonts w:cs="Calibri"/>
                <w:sz w:val="18"/>
                <w:szCs w:val="18"/>
              </w:rPr>
            </w:pPr>
            <w:r w:rsidRPr="00404DA5">
              <w:rPr>
                <w:rFonts w:cs="Calibri"/>
                <w:sz w:val="18"/>
                <w:szCs w:val="18"/>
              </w:rPr>
              <w:t>Działania</w:t>
            </w:r>
          </w:p>
        </w:tc>
        <w:tc>
          <w:tcPr>
            <w:tcW w:w="2127" w:type="dxa"/>
            <w:tcBorders>
              <w:top w:val="single" w:sz="4" w:space="0" w:color="auto"/>
              <w:left w:val="single" w:sz="4" w:space="0" w:color="auto"/>
              <w:bottom w:val="single" w:sz="4" w:space="0" w:color="auto"/>
              <w:right w:val="single" w:sz="4" w:space="0" w:color="auto"/>
            </w:tcBorders>
            <w:shd w:val="clear" w:color="auto" w:fill="DBE5F1"/>
          </w:tcPr>
          <w:p w14:paraId="5D30D29D" w14:textId="77777777" w:rsidR="00881780" w:rsidRPr="00404DA5" w:rsidRDefault="00881780" w:rsidP="006F4D8F">
            <w:pPr>
              <w:jc w:val="center"/>
              <w:rPr>
                <w:rFonts w:cs="Calibri"/>
                <w:sz w:val="18"/>
                <w:szCs w:val="18"/>
              </w:rPr>
            </w:pPr>
            <w:r w:rsidRPr="00404DA5">
              <w:rPr>
                <w:rFonts w:cs="Calibri"/>
                <w:sz w:val="18"/>
                <w:szCs w:val="18"/>
              </w:rPr>
              <w:t>Wskaźnik</w:t>
            </w:r>
          </w:p>
        </w:tc>
        <w:tc>
          <w:tcPr>
            <w:tcW w:w="708" w:type="dxa"/>
            <w:tcBorders>
              <w:top w:val="single" w:sz="4" w:space="0" w:color="auto"/>
              <w:left w:val="single" w:sz="4" w:space="0" w:color="auto"/>
              <w:bottom w:val="single" w:sz="4" w:space="0" w:color="auto"/>
              <w:right w:val="single" w:sz="4" w:space="0" w:color="auto"/>
            </w:tcBorders>
            <w:shd w:val="clear" w:color="auto" w:fill="DBE5F1"/>
          </w:tcPr>
          <w:p w14:paraId="350CB7B0" w14:textId="77777777" w:rsidR="00881780" w:rsidRPr="00404DA5" w:rsidRDefault="00881780" w:rsidP="006F4D8F">
            <w:pPr>
              <w:jc w:val="center"/>
              <w:rPr>
                <w:rFonts w:cs="Calibri"/>
                <w:sz w:val="18"/>
                <w:szCs w:val="18"/>
              </w:rPr>
            </w:pPr>
            <w:r w:rsidRPr="00404DA5">
              <w:rPr>
                <w:rFonts w:cs="Calibri"/>
                <w:sz w:val="18"/>
                <w:szCs w:val="18"/>
              </w:rPr>
              <w:t>Jedn. pomiaru</w:t>
            </w:r>
          </w:p>
        </w:tc>
        <w:tc>
          <w:tcPr>
            <w:tcW w:w="880" w:type="dxa"/>
            <w:tcBorders>
              <w:top w:val="single" w:sz="4" w:space="0" w:color="auto"/>
              <w:left w:val="single" w:sz="4" w:space="0" w:color="auto"/>
              <w:bottom w:val="single" w:sz="4" w:space="0" w:color="auto"/>
              <w:right w:val="single" w:sz="4" w:space="0" w:color="auto"/>
            </w:tcBorders>
            <w:shd w:val="clear" w:color="auto" w:fill="DBE5F1"/>
          </w:tcPr>
          <w:p w14:paraId="43EFAEEF" w14:textId="77777777" w:rsidR="00881780" w:rsidRPr="00404DA5" w:rsidRDefault="00881780" w:rsidP="006F4D8F">
            <w:pPr>
              <w:jc w:val="center"/>
              <w:rPr>
                <w:rFonts w:cs="Calibri"/>
                <w:sz w:val="18"/>
                <w:szCs w:val="18"/>
              </w:rPr>
            </w:pPr>
            <w:r w:rsidRPr="00404DA5">
              <w:rPr>
                <w:rFonts w:cs="Calibri"/>
                <w:sz w:val="18"/>
                <w:szCs w:val="18"/>
              </w:rPr>
              <w:t>Wartość docelowa (2023)</w:t>
            </w:r>
          </w:p>
        </w:tc>
        <w:tc>
          <w:tcPr>
            <w:tcW w:w="902" w:type="dxa"/>
            <w:tcBorders>
              <w:top w:val="single" w:sz="4" w:space="0" w:color="auto"/>
              <w:left w:val="single" w:sz="4" w:space="0" w:color="auto"/>
              <w:bottom w:val="single" w:sz="4" w:space="0" w:color="auto"/>
              <w:right w:val="single" w:sz="4" w:space="0" w:color="auto"/>
            </w:tcBorders>
            <w:shd w:val="clear" w:color="auto" w:fill="DBE5F1"/>
          </w:tcPr>
          <w:p w14:paraId="5D16D20D" w14:textId="77777777" w:rsidR="00881780" w:rsidRPr="00404DA5" w:rsidRDefault="00881780" w:rsidP="006F4D8F">
            <w:pPr>
              <w:jc w:val="center"/>
              <w:rPr>
                <w:rFonts w:cs="Calibri"/>
                <w:sz w:val="18"/>
                <w:szCs w:val="18"/>
              </w:rPr>
            </w:pPr>
            <w:r w:rsidRPr="00404DA5">
              <w:rPr>
                <w:rFonts w:cs="Calibri"/>
                <w:sz w:val="18"/>
                <w:szCs w:val="18"/>
              </w:rPr>
              <w:t>Realizacja wskaźnika (wg UoD)</w:t>
            </w:r>
          </w:p>
        </w:tc>
        <w:tc>
          <w:tcPr>
            <w:tcW w:w="957" w:type="dxa"/>
            <w:tcBorders>
              <w:top w:val="single" w:sz="4" w:space="0" w:color="auto"/>
              <w:left w:val="single" w:sz="4" w:space="0" w:color="auto"/>
              <w:bottom w:val="single" w:sz="4" w:space="0" w:color="auto"/>
              <w:right w:val="single" w:sz="4" w:space="0" w:color="auto"/>
            </w:tcBorders>
            <w:shd w:val="clear" w:color="auto" w:fill="DBE5F1"/>
          </w:tcPr>
          <w:p w14:paraId="4F8524A6" w14:textId="77777777" w:rsidR="00881780" w:rsidRPr="00404DA5" w:rsidRDefault="00881780" w:rsidP="006F4D8F">
            <w:pPr>
              <w:jc w:val="center"/>
              <w:rPr>
                <w:rFonts w:cs="Calibri"/>
                <w:sz w:val="18"/>
                <w:szCs w:val="18"/>
              </w:rPr>
            </w:pPr>
            <w:r w:rsidRPr="00404DA5">
              <w:rPr>
                <w:rFonts w:cs="Calibri"/>
                <w:sz w:val="18"/>
                <w:szCs w:val="18"/>
              </w:rPr>
              <w:t>% realizacji wartości docelowej (wg UoD)</w:t>
            </w:r>
          </w:p>
        </w:tc>
        <w:tc>
          <w:tcPr>
            <w:tcW w:w="948" w:type="dxa"/>
            <w:tcBorders>
              <w:top w:val="single" w:sz="4" w:space="0" w:color="auto"/>
              <w:left w:val="single" w:sz="4" w:space="0" w:color="auto"/>
              <w:bottom w:val="single" w:sz="4" w:space="0" w:color="auto"/>
              <w:right w:val="single" w:sz="4" w:space="0" w:color="auto"/>
            </w:tcBorders>
            <w:shd w:val="clear" w:color="auto" w:fill="DBE5F1"/>
          </w:tcPr>
          <w:p w14:paraId="41DBCBAC" w14:textId="77777777" w:rsidR="00881780" w:rsidRPr="00404DA5" w:rsidRDefault="00881780" w:rsidP="006F4D8F">
            <w:pPr>
              <w:jc w:val="center"/>
              <w:rPr>
                <w:rFonts w:cs="Calibri"/>
                <w:sz w:val="18"/>
                <w:szCs w:val="18"/>
              </w:rPr>
            </w:pPr>
            <w:r w:rsidRPr="00404DA5">
              <w:rPr>
                <w:rFonts w:cs="Calibri"/>
                <w:sz w:val="18"/>
                <w:szCs w:val="18"/>
              </w:rPr>
              <w:t>Realizacja wskaźnika (wg WoP)</w:t>
            </w:r>
          </w:p>
        </w:tc>
        <w:tc>
          <w:tcPr>
            <w:tcW w:w="957" w:type="dxa"/>
            <w:tcBorders>
              <w:top w:val="single" w:sz="4" w:space="0" w:color="auto"/>
              <w:left w:val="single" w:sz="4" w:space="0" w:color="auto"/>
              <w:bottom w:val="single" w:sz="4" w:space="0" w:color="auto"/>
              <w:right w:val="single" w:sz="4" w:space="0" w:color="auto"/>
            </w:tcBorders>
            <w:shd w:val="clear" w:color="auto" w:fill="DBE5F1"/>
          </w:tcPr>
          <w:p w14:paraId="28215762" w14:textId="77777777" w:rsidR="00881780" w:rsidRPr="00404DA5" w:rsidRDefault="00881780" w:rsidP="006F4D8F">
            <w:pPr>
              <w:jc w:val="center"/>
              <w:rPr>
                <w:rFonts w:cs="Calibri"/>
                <w:sz w:val="18"/>
                <w:szCs w:val="18"/>
              </w:rPr>
            </w:pPr>
            <w:r w:rsidRPr="00404DA5">
              <w:rPr>
                <w:rFonts w:cs="Calibri"/>
                <w:sz w:val="18"/>
                <w:szCs w:val="18"/>
              </w:rPr>
              <w:t>% realizacji wartości docelowej (wg WoP)</w:t>
            </w:r>
          </w:p>
        </w:tc>
      </w:tr>
      <w:tr w:rsidR="00881780" w:rsidRPr="0031587A" w14:paraId="166367B8"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single" w:sz="4" w:space="0" w:color="auto"/>
            </w:tcBorders>
            <w:shd w:val="clear" w:color="auto" w:fill="auto"/>
            <w:vAlign w:val="center"/>
          </w:tcPr>
          <w:p w14:paraId="102DD3A2" w14:textId="77777777" w:rsidR="00881780" w:rsidRPr="00404DA5" w:rsidRDefault="00881780" w:rsidP="006F4D8F">
            <w:pPr>
              <w:jc w:val="center"/>
              <w:rPr>
                <w:rFonts w:cs="Calibri"/>
                <w:sz w:val="18"/>
                <w:szCs w:val="18"/>
              </w:rPr>
            </w:pPr>
            <w:r w:rsidRPr="00404DA5">
              <w:rPr>
                <w:rFonts w:cs="Calibri"/>
                <w:sz w:val="18"/>
                <w:szCs w:val="18"/>
              </w:rPr>
              <w:t>WP</w:t>
            </w:r>
          </w:p>
        </w:tc>
        <w:tc>
          <w:tcPr>
            <w:tcW w:w="992" w:type="dxa"/>
            <w:tcBorders>
              <w:top w:val="single" w:sz="4" w:space="0" w:color="auto"/>
            </w:tcBorders>
            <w:shd w:val="clear" w:color="auto" w:fill="auto"/>
            <w:vAlign w:val="center"/>
          </w:tcPr>
          <w:p w14:paraId="491CBABA" w14:textId="77777777" w:rsidR="00881780" w:rsidRPr="00404DA5" w:rsidRDefault="00881780" w:rsidP="006F4D8F">
            <w:pPr>
              <w:jc w:val="center"/>
              <w:rPr>
                <w:rFonts w:cs="Calibri"/>
                <w:sz w:val="18"/>
                <w:szCs w:val="18"/>
              </w:rPr>
            </w:pPr>
            <w:r w:rsidRPr="00404DA5">
              <w:rPr>
                <w:rFonts w:cs="Calibri"/>
                <w:sz w:val="18"/>
                <w:szCs w:val="18"/>
              </w:rPr>
              <w:t>6.5</w:t>
            </w:r>
          </w:p>
        </w:tc>
        <w:tc>
          <w:tcPr>
            <w:tcW w:w="2127" w:type="dxa"/>
            <w:tcBorders>
              <w:top w:val="single" w:sz="4" w:space="0" w:color="auto"/>
            </w:tcBorders>
            <w:shd w:val="clear" w:color="auto" w:fill="auto"/>
            <w:vAlign w:val="center"/>
          </w:tcPr>
          <w:p w14:paraId="6E345958" w14:textId="77777777" w:rsidR="00881780" w:rsidRPr="00404DA5" w:rsidRDefault="00881780" w:rsidP="006F4D8F">
            <w:pPr>
              <w:rPr>
                <w:rFonts w:cs="Calibri"/>
                <w:sz w:val="18"/>
                <w:szCs w:val="18"/>
              </w:rPr>
            </w:pPr>
            <w:r w:rsidRPr="00404DA5">
              <w:rPr>
                <w:rFonts w:cs="Calibri"/>
                <w:sz w:val="18"/>
                <w:szCs w:val="18"/>
              </w:rPr>
              <w:t>Liczba osób bezrobotnych (łącznie</w:t>
            </w:r>
            <w:r w:rsidR="00E66B89">
              <w:rPr>
                <w:rFonts w:cs="Calibri"/>
                <w:sz w:val="18"/>
                <w:szCs w:val="18"/>
              </w:rPr>
              <w:t xml:space="preserve"> z </w:t>
            </w:r>
            <w:r w:rsidRPr="00404DA5">
              <w:rPr>
                <w:rFonts w:cs="Calibri"/>
                <w:sz w:val="18"/>
                <w:szCs w:val="18"/>
              </w:rPr>
              <w:t>długotrwale bezrobotnymi) objętych wsparciem</w:t>
            </w:r>
            <w:r w:rsidR="00E66B89">
              <w:rPr>
                <w:rFonts w:cs="Calibri"/>
                <w:sz w:val="18"/>
                <w:szCs w:val="18"/>
              </w:rPr>
              <w:t xml:space="preserve"> w </w:t>
            </w:r>
            <w:r w:rsidRPr="00404DA5">
              <w:rPr>
                <w:rFonts w:cs="Calibri"/>
                <w:sz w:val="18"/>
                <w:szCs w:val="18"/>
              </w:rPr>
              <w:t>programie(C)</w:t>
            </w:r>
          </w:p>
        </w:tc>
        <w:tc>
          <w:tcPr>
            <w:tcW w:w="708" w:type="dxa"/>
            <w:tcBorders>
              <w:top w:val="single" w:sz="4" w:space="0" w:color="auto"/>
            </w:tcBorders>
            <w:shd w:val="clear" w:color="auto" w:fill="auto"/>
            <w:vAlign w:val="center"/>
          </w:tcPr>
          <w:p w14:paraId="695474C2" w14:textId="77777777" w:rsidR="00881780" w:rsidRPr="00404DA5" w:rsidRDefault="00881780" w:rsidP="006F4D8F">
            <w:pPr>
              <w:jc w:val="center"/>
              <w:rPr>
                <w:rFonts w:cs="Calibri"/>
                <w:sz w:val="18"/>
                <w:szCs w:val="18"/>
              </w:rPr>
            </w:pPr>
            <w:r w:rsidRPr="00404DA5">
              <w:rPr>
                <w:rFonts w:cs="Calibri"/>
                <w:sz w:val="18"/>
                <w:szCs w:val="18"/>
              </w:rPr>
              <w:t>osoby</w:t>
            </w:r>
          </w:p>
        </w:tc>
        <w:tc>
          <w:tcPr>
            <w:tcW w:w="880" w:type="dxa"/>
            <w:tcBorders>
              <w:top w:val="single" w:sz="4" w:space="0" w:color="auto"/>
            </w:tcBorders>
            <w:shd w:val="clear" w:color="auto" w:fill="auto"/>
            <w:vAlign w:val="center"/>
          </w:tcPr>
          <w:p w14:paraId="681036FA" w14:textId="77777777" w:rsidR="00881780" w:rsidRPr="00404DA5" w:rsidRDefault="00881780" w:rsidP="006F4D8F">
            <w:pPr>
              <w:jc w:val="center"/>
              <w:rPr>
                <w:rFonts w:cs="Calibri"/>
                <w:sz w:val="18"/>
                <w:szCs w:val="18"/>
              </w:rPr>
            </w:pPr>
            <w:r w:rsidRPr="00404DA5">
              <w:rPr>
                <w:rFonts w:cs="Calibri"/>
                <w:sz w:val="18"/>
                <w:szCs w:val="18"/>
              </w:rPr>
              <w:t>19 727</w:t>
            </w:r>
          </w:p>
        </w:tc>
        <w:tc>
          <w:tcPr>
            <w:tcW w:w="902" w:type="dxa"/>
            <w:tcBorders>
              <w:top w:val="single" w:sz="4" w:space="0" w:color="auto"/>
            </w:tcBorders>
            <w:shd w:val="clear" w:color="auto" w:fill="auto"/>
            <w:vAlign w:val="center"/>
          </w:tcPr>
          <w:p w14:paraId="511A025D" w14:textId="77777777" w:rsidR="00881780" w:rsidRPr="00404DA5" w:rsidRDefault="00881780" w:rsidP="006F4D8F">
            <w:pPr>
              <w:jc w:val="center"/>
              <w:rPr>
                <w:rFonts w:cs="Calibri"/>
                <w:sz w:val="18"/>
                <w:szCs w:val="18"/>
              </w:rPr>
            </w:pPr>
            <w:r w:rsidRPr="00404DA5">
              <w:rPr>
                <w:rFonts w:cs="Calibri"/>
                <w:sz w:val="18"/>
                <w:szCs w:val="18"/>
              </w:rPr>
              <w:t>14 026</w:t>
            </w:r>
          </w:p>
        </w:tc>
        <w:tc>
          <w:tcPr>
            <w:tcW w:w="957" w:type="dxa"/>
            <w:tcBorders>
              <w:top w:val="single" w:sz="4" w:space="0" w:color="auto"/>
            </w:tcBorders>
            <w:shd w:val="clear" w:color="auto" w:fill="auto"/>
            <w:vAlign w:val="center"/>
          </w:tcPr>
          <w:p w14:paraId="6DD9990D" w14:textId="77777777" w:rsidR="00881780" w:rsidRPr="00404DA5" w:rsidRDefault="00881780" w:rsidP="006F4D8F">
            <w:pPr>
              <w:jc w:val="center"/>
              <w:rPr>
                <w:rFonts w:cs="Calibri"/>
                <w:sz w:val="18"/>
                <w:szCs w:val="18"/>
              </w:rPr>
            </w:pPr>
            <w:r w:rsidRPr="00404DA5">
              <w:rPr>
                <w:rFonts w:cs="Calibri"/>
                <w:sz w:val="18"/>
                <w:szCs w:val="18"/>
              </w:rPr>
              <w:t>71%</w:t>
            </w:r>
          </w:p>
        </w:tc>
        <w:tc>
          <w:tcPr>
            <w:tcW w:w="948" w:type="dxa"/>
            <w:tcBorders>
              <w:top w:val="single" w:sz="4" w:space="0" w:color="auto"/>
            </w:tcBorders>
            <w:shd w:val="clear" w:color="auto" w:fill="auto"/>
            <w:vAlign w:val="center"/>
          </w:tcPr>
          <w:p w14:paraId="4FD17DCF" w14:textId="77777777" w:rsidR="00881780" w:rsidRPr="00404DA5" w:rsidRDefault="00881780" w:rsidP="006F4D8F">
            <w:pPr>
              <w:jc w:val="center"/>
              <w:rPr>
                <w:rFonts w:cs="Calibri"/>
                <w:sz w:val="18"/>
                <w:szCs w:val="18"/>
              </w:rPr>
            </w:pPr>
            <w:r w:rsidRPr="00404DA5">
              <w:rPr>
                <w:rFonts w:cs="Calibri"/>
                <w:sz w:val="18"/>
                <w:szCs w:val="18"/>
              </w:rPr>
              <w:t>12 943</w:t>
            </w:r>
          </w:p>
        </w:tc>
        <w:tc>
          <w:tcPr>
            <w:tcW w:w="957" w:type="dxa"/>
            <w:tcBorders>
              <w:top w:val="single" w:sz="4" w:space="0" w:color="auto"/>
            </w:tcBorders>
            <w:shd w:val="clear" w:color="auto" w:fill="auto"/>
            <w:vAlign w:val="center"/>
          </w:tcPr>
          <w:p w14:paraId="32D4523B" w14:textId="77777777" w:rsidR="00881780" w:rsidRPr="00404DA5" w:rsidRDefault="00881780" w:rsidP="006F4D8F">
            <w:pPr>
              <w:jc w:val="center"/>
              <w:rPr>
                <w:rFonts w:cs="Calibri"/>
                <w:sz w:val="18"/>
                <w:szCs w:val="18"/>
              </w:rPr>
            </w:pPr>
            <w:r w:rsidRPr="00404DA5">
              <w:rPr>
                <w:rFonts w:cs="Calibri"/>
                <w:sz w:val="18"/>
                <w:szCs w:val="18"/>
              </w:rPr>
              <w:t>66%</w:t>
            </w:r>
          </w:p>
        </w:tc>
      </w:tr>
      <w:tr w:rsidR="00881780" w:rsidRPr="0031587A" w14:paraId="3DAA8E05"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7E8EBFDA" w14:textId="77777777" w:rsidR="00881780" w:rsidRPr="00404DA5" w:rsidRDefault="00881780" w:rsidP="006F4D8F">
            <w:pPr>
              <w:jc w:val="center"/>
              <w:rPr>
                <w:sz w:val="18"/>
                <w:szCs w:val="18"/>
              </w:rPr>
            </w:pPr>
            <w:r w:rsidRPr="00404DA5">
              <w:rPr>
                <w:sz w:val="18"/>
                <w:szCs w:val="18"/>
              </w:rPr>
              <w:t>WP</w:t>
            </w:r>
          </w:p>
        </w:tc>
        <w:tc>
          <w:tcPr>
            <w:tcW w:w="992" w:type="dxa"/>
            <w:shd w:val="clear" w:color="auto" w:fill="auto"/>
            <w:vAlign w:val="center"/>
          </w:tcPr>
          <w:p w14:paraId="45630F5F" w14:textId="77777777" w:rsidR="00881780" w:rsidRPr="00404DA5" w:rsidRDefault="00881780" w:rsidP="006F4D8F">
            <w:pPr>
              <w:jc w:val="center"/>
              <w:rPr>
                <w:rFonts w:cs="Calibri"/>
                <w:sz w:val="18"/>
                <w:szCs w:val="18"/>
              </w:rPr>
            </w:pPr>
            <w:r w:rsidRPr="00404DA5">
              <w:rPr>
                <w:rFonts w:cs="Calibri"/>
                <w:sz w:val="18"/>
                <w:szCs w:val="18"/>
              </w:rPr>
              <w:t>6.5</w:t>
            </w:r>
          </w:p>
        </w:tc>
        <w:tc>
          <w:tcPr>
            <w:tcW w:w="2127" w:type="dxa"/>
            <w:shd w:val="clear" w:color="auto" w:fill="auto"/>
            <w:vAlign w:val="center"/>
          </w:tcPr>
          <w:p w14:paraId="04518F0D" w14:textId="77777777" w:rsidR="00881780" w:rsidRPr="00404DA5" w:rsidRDefault="00881780" w:rsidP="006F4D8F">
            <w:pPr>
              <w:rPr>
                <w:rFonts w:cs="Calibri"/>
                <w:sz w:val="18"/>
                <w:szCs w:val="18"/>
              </w:rPr>
            </w:pPr>
            <w:r w:rsidRPr="00404DA5">
              <w:rPr>
                <w:rFonts w:cs="Calibri"/>
                <w:sz w:val="18"/>
                <w:szCs w:val="18"/>
              </w:rPr>
              <w:t>Liczba osób długotrwale bezrobotnych objętych wsparciem</w:t>
            </w:r>
            <w:r w:rsidR="00E66B89">
              <w:rPr>
                <w:rFonts w:cs="Calibri"/>
                <w:sz w:val="18"/>
                <w:szCs w:val="18"/>
              </w:rPr>
              <w:t xml:space="preserve"> w </w:t>
            </w:r>
            <w:r w:rsidRPr="00404DA5">
              <w:rPr>
                <w:rFonts w:cs="Calibri"/>
                <w:sz w:val="18"/>
                <w:szCs w:val="18"/>
              </w:rPr>
              <w:t>programie (C)</w:t>
            </w:r>
          </w:p>
        </w:tc>
        <w:tc>
          <w:tcPr>
            <w:tcW w:w="708" w:type="dxa"/>
            <w:shd w:val="clear" w:color="auto" w:fill="auto"/>
            <w:vAlign w:val="center"/>
          </w:tcPr>
          <w:p w14:paraId="47E9898A" w14:textId="77777777" w:rsidR="00881780" w:rsidRPr="00404DA5" w:rsidRDefault="00881780" w:rsidP="006F4D8F">
            <w:pPr>
              <w:jc w:val="center"/>
              <w:rPr>
                <w:rFonts w:cs="Calibri"/>
                <w:sz w:val="18"/>
                <w:szCs w:val="18"/>
              </w:rPr>
            </w:pPr>
            <w:r w:rsidRPr="00404DA5">
              <w:rPr>
                <w:rFonts w:cs="Calibri"/>
                <w:sz w:val="18"/>
                <w:szCs w:val="18"/>
              </w:rPr>
              <w:t>osoby</w:t>
            </w:r>
          </w:p>
        </w:tc>
        <w:tc>
          <w:tcPr>
            <w:tcW w:w="880" w:type="dxa"/>
            <w:shd w:val="clear" w:color="auto" w:fill="auto"/>
            <w:vAlign w:val="center"/>
          </w:tcPr>
          <w:p w14:paraId="654E463A" w14:textId="77777777" w:rsidR="00881780" w:rsidRPr="00404DA5" w:rsidRDefault="00881780" w:rsidP="006F4D8F">
            <w:pPr>
              <w:jc w:val="center"/>
              <w:rPr>
                <w:rFonts w:cs="Calibri"/>
                <w:sz w:val="18"/>
                <w:szCs w:val="18"/>
              </w:rPr>
            </w:pPr>
            <w:r w:rsidRPr="00404DA5">
              <w:rPr>
                <w:rFonts w:cs="Calibri"/>
                <w:sz w:val="18"/>
                <w:szCs w:val="18"/>
              </w:rPr>
              <w:t>10 850</w:t>
            </w:r>
          </w:p>
        </w:tc>
        <w:tc>
          <w:tcPr>
            <w:tcW w:w="902" w:type="dxa"/>
            <w:shd w:val="clear" w:color="auto" w:fill="auto"/>
            <w:vAlign w:val="center"/>
          </w:tcPr>
          <w:p w14:paraId="06E909C6" w14:textId="77777777" w:rsidR="00881780" w:rsidRPr="00404DA5" w:rsidRDefault="00881780" w:rsidP="006F4D8F">
            <w:pPr>
              <w:jc w:val="center"/>
              <w:rPr>
                <w:rFonts w:cs="Calibri"/>
                <w:sz w:val="18"/>
                <w:szCs w:val="18"/>
              </w:rPr>
            </w:pPr>
            <w:r w:rsidRPr="00404DA5">
              <w:rPr>
                <w:rFonts w:cs="Calibri"/>
                <w:sz w:val="18"/>
                <w:szCs w:val="18"/>
              </w:rPr>
              <w:t>4 073</w:t>
            </w:r>
          </w:p>
        </w:tc>
        <w:tc>
          <w:tcPr>
            <w:tcW w:w="957" w:type="dxa"/>
            <w:shd w:val="clear" w:color="auto" w:fill="auto"/>
            <w:vAlign w:val="center"/>
          </w:tcPr>
          <w:p w14:paraId="35289738" w14:textId="77777777" w:rsidR="00881780" w:rsidRPr="00404DA5" w:rsidRDefault="00881780" w:rsidP="006F4D8F">
            <w:pPr>
              <w:jc w:val="center"/>
              <w:rPr>
                <w:rFonts w:cs="Calibri"/>
                <w:sz w:val="18"/>
                <w:szCs w:val="18"/>
              </w:rPr>
            </w:pPr>
            <w:r w:rsidRPr="00404DA5">
              <w:rPr>
                <w:rFonts w:cs="Calibri"/>
                <w:sz w:val="18"/>
                <w:szCs w:val="18"/>
              </w:rPr>
              <w:t>38%</w:t>
            </w:r>
          </w:p>
        </w:tc>
        <w:tc>
          <w:tcPr>
            <w:tcW w:w="948" w:type="dxa"/>
            <w:shd w:val="clear" w:color="auto" w:fill="auto"/>
            <w:vAlign w:val="center"/>
          </w:tcPr>
          <w:p w14:paraId="713E1236" w14:textId="77777777" w:rsidR="00881780" w:rsidRPr="00404DA5" w:rsidRDefault="00881780" w:rsidP="006F4D8F">
            <w:pPr>
              <w:jc w:val="center"/>
              <w:rPr>
                <w:rFonts w:cs="Calibri"/>
                <w:sz w:val="18"/>
                <w:szCs w:val="18"/>
              </w:rPr>
            </w:pPr>
            <w:r w:rsidRPr="00404DA5">
              <w:rPr>
                <w:rFonts w:cs="Calibri"/>
                <w:sz w:val="18"/>
                <w:szCs w:val="18"/>
              </w:rPr>
              <w:t>5 286</w:t>
            </w:r>
          </w:p>
        </w:tc>
        <w:tc>
          <w:tcPr>
            <w:tcW w:w="957" w:type="dxa"/>
            <w:shd w:val="clear" w:color="auto" w:fill="auto"/>
            <w:vAlign w:val="center"/>
          </w:tcPr>
          <w:p w14:paraId="754D9DC5" w14:textId="77777777" w:rsidR="00881780" w:rsidRPr="00404DA5" w:rsidRDefault="00881780" w:rsidP="006F4D8F">
            <w:pPr>
              <w:jc w:val="center"/>
              <w:rPr>
                <w:rFonts w:cs="Calibri"/>
                <w:sz w:val="18"/>
                <w:szCs w:val="18"/>
              </w:rPr>
            </w:pPr>
            <w:r w:rsidRPr="00404DA5">
              <w:rPr>
                <w:rFonts w:cs="Calibri"/>
                <w:sz w:val="18"/>
                <w:szCs w:val="18"/>
              </w:rPr>
              <w:t>49%</w:t>
            </w:r>
          </w:p>
        </w:tc>
      </w:tr>
      <w:tr w:rsidR="00881780" w:rsidRPr="0031587A" w14:paraId="58545158"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53172E9B" w14:textId="77777777" w:rsidR="00881780" w:rsidRPr="00404DA5" w:rsidRDefault="00881780" w:rsidP="006F4D8F">
            <w:pPr>
              <w:jc w:val="center"/>
              <w:rPr>
                <w:sz w:val="18"/>
                <w:szCs w:val="18"/>
              </w:rPr>
            </w:pPr>
            <w:r w:rsidRPr="00404DA5">
              <w:rPr>
                <w:sz w:val="18"/>
                <w:szCs w:val="18"/>
              </w:rPr>
              <w:t>WR</w:t>
            </w:r>
          </w:p>
        </w:tc>
        <w:tc>
          <w:tcPr>
            <w:tcW w:w="992" w:type="dxa"/>
            <w:shd w:val="clear" w:color="auto" w:fill="auto"/>
            <w:vAlign w:val="center"/>
          </w:tcPr>
          <w:p w14:paraId="3B63D384"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shd w:val="clear" w:color="auto" w:fill="auto"/>
            <w:vAlign w:val="center"/>
          </w:tcPr>
          <w:p w14:paraId="7FB6354F" w14:textId="77777777" w:rsidR="00881780" w:rsidRPr="00404DA5" w:rsidRDefault="00881780" w:rsidP="006F4D8F">
            <w:pPr>
              <w:rPr>
                <w:rFonts w:cs="Calibri"/>
                <w:bCs/>
                <w:sz w:val="18"/>
                <w:szCs w:val="18"/>
              </w:rPr>
            </w:pPr>
            <w:r w:rsidRPr="00404DA5">
              <w:rPr>
                <w:rFonts w:cs="Calibri"/>
                <w:bCs/>
                <w:sz w:val="18"/>
                <w:szCs w:val="18"/>
              </w:rPr>
              <w:t>Liczba osób biernych zawodowo objętych wsparciem</w:t>
            </w:r>
            <w:r w:rsidR="00E66B89">
              <w:rPr>
                <w:rFonts w:cs="Calibri"/>
                <w:bCs/>
                <w:sz w:val="18"/>
                <w:szCs w:val="18"/>
              </w:rPr>
              <w:t xml:space="preserve"> w </w:t>
            </w:r>
            <w:r w:rsidRPr="00404DA5">
              <w:rPr>
                <w:rFonts w:cs="Calibri"/>
                <w:bCs/>
                <w:sz w:val="18"/>
                <w:szCs w:val="18"/>
              </w:rPr>
              <w:t>programie (C)</w:t>
            </w:r>
          </w:p>
        </w:tc>
        <w:tc>
          <w:tcPr>
            <w:tcW w:w="708" w:type="dxa"/>
            <w:shd w:val="clear" w:color="auto" w:fill="auto"/>
            <w:vAlign w:val="center"/>
          </w:tcPr>
          <w:p w14:paraId="0C28070C"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880" w:type="dxa"/>
            <w:shd w:val="clear" w:color="auto" w:fill="auto"/>
            <w:vAlign w:val="center"/>
          </w:tcPr>
          <w:p w14:paraId="76A307D6" w14:textId="77777777" w:rsidR="00881780" w:rsidRPr="00404DA5" w:rsidRDefault="00881780" w:rsidP="006F4D8F">
            <w:pPr>
              <w:jc w:val="center"/>
              <w:rPr>
                <w:rFonts w:cs="Calibri"/>
                <w:sz w:val="18"/>
                <w:szCs w:val="18"/>
              </w:rPr>
            </w:pPr>
            <w:r w:rsidRPr="00404DA5">
              <w:rPr>
                <w:rFonts w:cs="Calibri"/>
                <w:sz w:val="18"/>
                <w:szCs w:val="18"/>
              </w:rPr>
              <w:t>4 300</w:t>
            </w:r>
          </w:p>
        </w:tc>
        <w:tc>
          <w:tcPr>
            <w:tcW w:w="902" w:type="dxa"/>
            <w:shd w:val="clear" w:color="auto" w:fill="auto"/>
            <w:vAlign w:val="center"/>
          </w:tcPr>
          <w:p w14:paraId="67708A96" w14:textId="77777777" w:rsidR="00881780" w:rsidRPr="00404DA5" w:rsidRDefault="00881780" w:rsidP="006F4D8F">
            <w:pPr>
              <w:jc w:val="center"/>
              <w:rPr>
                <w:rFonts w:cs="Calibri"/>
                <w:sz w:val="18"/>
                <w:szCs w:val="18"/>
              </w:rPr>
            </w:pPr>
            <w:r w:rsidRPr="00404DA5">
              <w:rPr>
                <w:rFonts w:cs="Calibri"/>
                <w:sz w:val="18"/>
                <w:szCs w:val="18"/>
              </w:rPr>
              <w:t>2 837</w:t>
            </w:r>
          </w:p>
        </w:tc>
        <w:tc>
          <w:tcPr>
            <w:tcW w:w="957" w:type="dxa"/>
            <w:shd w:val="clear" w:color="auto" w:fill="auto"/>
            <w:vAlign w:val="center"/>
          </w:tcPr>
          <w:p w14:paraId="6381816B" w14:textId="77777777" w:rsidR="00881780" w:rsidRPr="00404DA5" w:rsidRDefault="00881780" w:rsidP="006F4D8F">
            <w:pPr>
              <w:jc w:val="center"/>
              <w:rPr>
                <w:rFonts w:cs="Calibri"/>
                <w:sz w:val="18"/>
                <w:szCs w:val="18"/>
              </w:rPr>
            </w:pPr>
            <w:r w:rsidRPr="00404DA5">
              <w:rPr>
                <w:rFonts w:cs="Calibri"/>
                <w:sz w:val="18"/>
                <w:szCs w:val="18"/>
              </w:rPr>
              <w:t>66%</w:t>
            </w:r>
          </w:p>
        </w:tc>
        <w:tc>
          <w:tcPr>
            <w:tcW w:w="948" w:type="dxa"/>
            <w:shd w:val="clear" w:color="auto" w:fill="auto"/>
            <w:vAlign w:val="center"/>
          </w:tcPr>
          <w:p w14:paraId="7A4ED968" w14:textId="77777777" w:rsidR="00881780" w:rsidRPr="00404DA5" w:rsidRDefault="00881780" w:rsidP="006F4D8F">
            <w:pPr>
              <w:jc w:val="center"/>
              <w:rPr>
                <w:rFonts w:cs="Calibri"/>
                <w:sz w:val="18"/>
                <w:szCs w:val="18"/>
              </w:rPr>
            </w:pPr>
            <w:r w:rsidRPr="00404DA5">
              <w:rPr>
                <w:rFonts w:cs="Calibri"/>
                <w:sz w:val="18"/>
                <w:szCs w:val="18"/>
              </w:rPr>
              <w:t>1 968</w:t>
            </w:r>
          </w:p>
        </w:tc>
        <w:tc>
          <w:tcPr>
            <w:tcW w:w="957" w:type="dxa"/>
            <w:shd w:val="clear" w:color="auto" w:fill="auto"/>
            <w:vAlign w:val="center"/>
          </w:tcPr>
          <w:p w14:paraId="3DF76E6E" w14:textId="77777777" w:rsidR="00881780" w:rsidRPr="00404DA5" w:rsidRDefault="00881780" w:rsidP="006F4D8F">
            <w:pPr>
              <w:jc w:val="center"/>
              <w:rPr>
                <w:rFonts w:cs="Calibri"/>
                <w:sz w:val="18"/>
                <w:szCs w:val="18"/>
              </w:rPr>
            </w:pPr>
            <w:r w:rsidRPr="00404DA5">
              <w:rPr>
                <w:rFonts w:cs="Calibri"/>
                <w:sz w:val="18"/>
                <w:szCs w:val="18"/>
              </w:rPr>
              <w:t>46%</w:t>
            </w:r>
          </w:p>
        </w:tc>
      </w:tr>
      <w:tr w:rsidR="00881780" w:rsidRPr="0031587A" w14:paraId="4525B605"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35C17F93" w14:textId="77777777" w:rsidR="00881780" w:rsidRPr="00404DA5" w:rsidRDefault="00881780" w:rsidP="006F4D8F">
            <w:pPr>
              <w:jc w:val="center"/>
              <w:rPr>
                <w:sz w:val="18"/>
                <w:szCs w:val="18"/>
              </w:rPr>
            </w:pPr>
            <w:r w:rsidRPr="00404DA5">
              <w:rPr>
                <w:sz w:val="18"/>
                <w:szCs w:val="18"/>
              </w:rPr>
              <w:t>WP</w:t>
            </w:r>
          </w:p>
        </w:tc>
        <w:tc>
          <w:tcPr>
            <w:tcW w:w="992" w:type="dxa"/>
            <w:shd w:val="clear" w:color="auto" w:fill="auto"/>
            <w:vAlign w:val="center"/>
          </w:tcPr>
          <w:p w14:paraId="5B4805BD"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shd w:val="clear" w:color="auto" w:fill="auto"/>
            <w:vAlign w:val="center"/>
          </w:tcPr>
          <w:p w14:paraId="75110D9B" w14:textId="77777777" w:rsidR="00881780" w:rsidRPr="00404DA5" w:rsidRDefault="00881780" w:rsidP="006F4D8F">
            <w:pPr>
              <w:rPr>
                <w:rFonts w:cs="Calibri"/>
                <w:bCs/>
                <w:sz w:val="18"/>
                <w:szCs w:val="18"/>
              </w:rPr>
            </w:pPr>
            <w:r w:rsidRPr="00404DA5">
              <w:rPr>
                <w:rFonts w:cs="Calibri"/>
                <w:bCs/>
                <w:sz w:val="18"/>
                <w:szCs w:val="18"/>
              </w:rPr>
              <w:t>Liczba osób</w:t>
            </w:r>
            <w:r w:rsidR="00E66B89">
              <w:rPr>
                <w:rFonts w:cs="Calibri"/>
                <w:bCs/>
                <w:sz w:val="18"/>
                <w:szCs w:val="18"/>
              </w:rPr>
              <w:t xml:space="preserve"> z </w:t>
            </w:r>
            <w:r w:rsidRPr="00404DA5">
              <w:rPr>
                <w:rFonts w:cs="Calibri"/>
                <w:bCs/>
                <w:sz w:val="18"/>
                <w:szCs w:val="18"/>
              </w:rPr>
              <w:t>niepełnosprawnościami objętych wsparciem</w:t>
            </w:r>
            <w:r w:rsidR="00E66B89">
              <w:rPr>
                <w:rFonts w:cs="Calibri"/>
                <w:bCs/>
                <w:sz w:val="18"/>
                <w:szCs w:val="18"/>
              </w:rPr>
              <w:t xml:space="preserve"> w </w:t>
            </w:r>
            <w:r w:rsidRPr="00404DA5">
              <w:rPr>
                <w:rFonts w:cs="Calibri"/>
                <w:bCs/>
                <w:sz w:val="18"/>
                <w:szCs w:val="18"/>
              </w:rPr>
              <w:t>programie (C)</w:t>
            </w:r>
          </w:p>
        </w:tc>
        <w:tc>
          <w:tcPr>
            <w:tcW w:w="708" w:type="dxa"/>
            <w:shd w:val="clear" w:color="auto" w:fill="auto"/>
            <w:vAlign w:val="center"/>
          </w:tcPr>
          <w:p w14:paraId="2A43ED5E"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880" w:type="dxa"/>
            <w:shd w:val="clear" w:color="auto" w:fill="auto"/>
            <w:vAlign w:val="center"/>
          </w:tcPr>
          <w:p w14:paraId="0AF604F2" w14:textId="77777777" w:rsidR="00881780" w:rsidRPr="00404DA5" w:rsidRDefault="00881780" w:rsidP="006F4D8F">
            <w:pPr>
              <w:jc w:val="center"/>
              <w:rPr>
                <w:rFonts w:cs="Calibri"/>
                <w:sz w:val="18"/>
                <w:szCs w:val="18"/>
              </w:rPr>
            </w:pPr>
            <w:r w:rsidRPr="00404DA5">
              <w:rPr>
                <w:rFonts w:cs="Calibri"/>
                <w:sz w:val="18"/>
                <w:szCs w:val="18"/>
              </w:rPr>
              <w:t>1 406</w:t>
            </w:r>
          </w:p>
        </w:tc>
        <w:tc>
          <w:tcPr>
            <w:tcW w:w="902" w:type="dxa"/>
            <w:shd w:val="clear" w:color="auto" w:fill="auto"/>
            <w:vAlign w:val="center"/>
          </w:tcPr>
          <w:p w14:paraId="1B286A91" w14:textId="77777777" w:rsidR="00881780" w:rsidRPr="00404DA5" w:rsidRDefault="00881780" w:rsidP="006F4D8F">
            <w:pPr>
              <w:jc w:val="center"/>
              <w:rPr>
                <w:rFonts w:cs="Calibri"/>
                <w:sz w:val="18"/>
                <w:szCs w:val="18"/>
              </w:rPr>
            </w:pPr>
            <w:r w:rsidRPr="00404DA5">
              <w:rPr>
                <w:rFonts w:cs="Calibri"/>
                <w:sz w:val="18"/>
                <w:szCs w:val="18"/>
              </w:rPr>
              <w:t>1 150</w:t>
            </w:r>
          </w:p>
        </w:tc>
        <w:tc>
          <w:tcPr>
            <w:tcW w:w="957" w:type="dxa"/>
            <w:shd w:val="clear" w:color="auto" w:fill="auto"/>
            <w:vAlign w:val="center"/>
          </w:tcPr>
          <w:p w14:paraId="788D0E6B" w14:textId="77777777" w:rsidR="00881780" w:rsidRPr="00404DA5" w:rsidRDefault="00881780" w:rsidP="006F4D8F">
            <w:pPr>
              <w:jc w:val="center"/>
              <w:rPr>
                <w:rFonts w:cs="Calibri"/>
                <w:sz w:val="18"/>
                <w:szCs w:val="18"/>
              </w:rPr>
            </w:pPr>
            <w:r w:rsidRPr="00404DA5">
              <w:rPr>
                <w:rFonts w:cs="Calibri"/>
                <w:sz w:val="18"/>
                <w:szCs w:val="18"/>
              </w:rPr>
              <w:t>82%</w:t>
            </w:r>
          </w:p>
        </w:tc>
        <w:tc>
          <w:tcPr>
            <w:tcW w:w="948" w:type="dxa"/>
            <w:shd w:val="clear" w:color="auto" w:fill="auto"/>
            <w:vAlign w:val="center"/>
          </w:tcPr>
          <w:p w14:paraId="566F2597" w14:textId="77777777" w:rsidR="00881780" w:rsidRPr="00404DA5" w:rsidRDefault="00881780" w:rsidP="006F4D8F">
            <w:pPr>
              <w:jc w:val="center"/>
              <w:rPr>
                <w:rFonts w:cs="Calibri"/>
                <w:sz w:val="18"/>
                <w:szCs w:val="18"/>
              </w:rPr>
            </w:pPr>
            <w:r w:rsidRPr="00404DA5">
              <w:rPr>
                <w:rFonts w:cs="Calibri"/>
                <w:sz w:val="18"/>
                <w:szCs w:val="18"/>
              </w:rPr>
              <w:t>1 094</w:t>
            </w:r>
          </w:p>
        </w:tc>
        <w:tc>
          <w:tcPr>
            <w:tcW w:w="957" w:type="dxa"/>
            <w:shd w:val="clear" w:color="auto" w:fill="auto"/>
            <w:vAlign w:val="center"/>
          </w:tcPr>
          <w:p w14:paraId="0102027A" w14:textId="77777777" w:rsidR="00881780" w:rsidRPr="00404DA5" w:rsidRDefault="00881780" w:rsidP="006F4D8F">
            <w:pPr>
              <w:jc w:val="center"/>
              <w:rPr>
                <w:rFonts w:cs="Calibri"/>
                <w:sz w:val="18"/>
                <w:szCs w:val="18"/>
              </w:rPr>
            </w:pPr>
            <w:r w:rsidRPr="00404DA5">
              <w:rPr>
                <w:rFonts w:cs="Calibri"/>
                <w:sz w:val="18"/>
                <w:szCs w:val="18"/>
              </w:rPr>
              <w:t>78%</w:t>
            </w:r>
          </w:p>
        </w:tc>
      </w:tr>
      <w:tr w:rsidR="00881780" w:rsidRPr="0031587A" w14:paraId="38B9641D"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52C4C465" w14:textId="77777777" w:rsidR="00881780" w:rsidRPr="00404DA5" w:rsidRDefault="00881780" w:rsidP="006F4D8F">
            <w:pPr>
              <w:jc w:val="center"/>
              <w:rPr>
                <w:sz w:val="18"/>
                <w:szCs w:val="18"/>
              </w:rPr>
            </w:pPr>
            <w:r w:rsidRPr="00404DA5">
              <w:rPr>
                <w:sz w:val="18"/>
                <w:szCs w:val="18"/>
              </w:rPr>
              <w:t>WP</w:t>
            </w:r>
          </w:p>
        </w:tc>
        <w:tc>
          <w:tcPr>
            <w:tcW w:w="992" w:type="dxa"/>
            <w:shd w:val="clear" w:color="auto" w:fill="auto"/>
            <w:vAlign w:val="center"/>
          </w:tcPr>
          <w:p w14:paraId="61AF2F2E"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shd w:val="clear" w:color="auto" w:fill="auto"/>
            <w:vAlign w:val="center"/>
          </w:tcPr>
          <w:p w14:paraId="18B1E569" w14:textId="77777777" w:rsidR="00881780" w:rsidRPr="00404DA5" w:rsidRDefault="00881780" w:rsidP="006F4D8F">
            <w:pPr>
              <w:rPr>
                <w:rFonts w:cs="Calibri"/>
                <w:bCs/>
                <w:sz w:val="18"/>
                <w:szCs w:val="18"/>
              </w:rPr>
            </w:pPr>
            <w:r w:rsidRPr="00404DA5">
              <w:rPr>
                <w:rFonts w:cs="Calibri"/>
                <w:bCs/>
                <w:sz w:val="18"/>
                <w:szCs w:val="18"/>
              </w:rPr>
              <w:t>Liczba osób</w:t>
            </w:r>
            <w:r w:rsidR="00E66B89">
              <w:rPr>
                <w:rFonts w:cs="Calibri"/>
                <w:bCs/>
                <w:sz w:val="18"/>
                <w:szCs w:val="18"/>
              </w:rPr>
              <w:t xml:space="preserve"> w </w:t>
            </w:r>
            <w:r w:rsidRPr="00404DA5">
              <w:rPr>
                <w:rFonts w:cs="Calibri"/>
                <w:bCs/>
                <w:sz w:val="18"/>
                <w:szCs w:val="18"/>
              </w:rPr>
              <w:t>wieku 50 lat</w:t>
            </w:r>
            <w:r w:rsidR="00E66B89">
              <w:rPr>
                <w:rFonts w:cs="Calibri"/>
                <w:bCs/>
                <w:sz w:val="18"/>
                <w:szCs w:val="18"/>
              </w:rPr>
              <w:t xml:space="preserve"> i </w:t>
            </w:r>
            <w:r w:rsidRPr="00404DA5">
              <w:rPr>
                <w:rFonts w:cs="Calibri"/>
                <w:bCs/>
                <w:sz w:val="18"/>
                <w:szCs w:val="18"/>
              </w:rPr>
              <w:t>więcej objętych wsparciem</w:t>
            </w:r>
            <w:r w:rsidR="00E66B89">
              <w:rPr>
                <w:rFonts w:cs="Calibri"/>
                <w:bCs/>
                <w:sz w:val="18"/>
                <w:szCs w:val="18"/>
              </w:rPr>
              <w:t xml:space="preserve"> w </w:t>
            </w:r>
            <w:r w:rsidRPr="00404DA5">
              <w:rPr>
                <w:rFonts w:cs="Calibri"/>
                <w:bCs/>
                <w:sz w:val="18"/>
                <w:szCs w:val="18"/>
              </w:rPr>
              <w:t>programie</w:t>
            </w:r>
          </w:p>
        </w:tc>
        <w:tc>
          <w:tcPr>
            <w:tcW w:w="708" w:type="dxa"/>
            <w:shd w:val="clear" w:color="auto" w:fill="auto"/>
            <w:vAlign w:val="center"/>
          </w:tcPr>
          <w:p w14:paraId="7BBA9D9F"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880" w:type="dxa"/>
            <w:shd w:val="clear" w:color="auto" w:fill="auto"/>
            <w:vAlign w:val="center"/>
          </w:tcPr>
          <w:p w14:paraId="413DCA9B" w14:textId="77777777" w:rsidR="00881780" w:rsidRPr="00404DA5" w:rsidRDefault="00881780" w:rsidP="006F4D8F">
            <w:pPr>
              <w:jc w:val="center"/>
              <w:rPr>
                <w:rFonts w:cs="Calibri"/>
                <w:sz w:val="18"/>
                <w:szCs w:val="18"/>
              </w:rPr>
            </w:pPr>
            <w:r w:rsidRPr="00404DA5">
              <w:rPr>
                <w:rFonts w:cs="Calibri"/>
                <w:sz w:val="18"/>
                <w:szCs w:val="18"/>
              </w:rPr>
              <w:t>7 874</w:t>
            </w:r>
          </w:p>
        </w:tc>
        <w:tc>
          <w:tcPr>
            <w:tcW w:w="902" w:type="dxa"/>
            <w:shd w:val="clear" w:color="auto" w:fill="auto"/>
            <w:vAlign w:val="center"/>
          </w:tcPr>
          <w:p w14:paraId="7A92813C" w14:textId="77777777" w:rsidR="00881780" w:rsidRPr="00404DA5" w:rsidRDefault="00881780" w:rsidP="006F4D8F">
            <w:pPr>
              <w:jc w:val="center"/>
              <w:rPr>
                <w:rFonts w:cs="Calibri"/>
                <w:sz w:val="18"/>
                <w:szCs w:val="18"/>
              </w:rPr>
            </w:pPr>
            <w:r w:rsidRPr="00404DA5">
              <w:rPr>
                <w:rFonts w:cs="Calibri"/>
                <w:sz w:val="18"/>
                <w:szCs w:val="18"/>
              </w:rPr>
              <w:t>3 336</w:t>
            </w:r>
          </w:p>
        </w:tc>
        <w:tc>
          <w:tcPr>
            <w:tcW w:w="957" w:type="dxa"/>
            <w:shd w:val="clear" w:color="auto" w:fill="auto"/>
            <w:vAlign w:val="center"/>
          </w:tcPr>
          <w:p w14:paraId="6174CE56" w14:textId="77777777" w:rsidR="00881780" w:rsidRPr="00404DA5" w:rsidRDefault="00881780" w:rsidP="006F4D8F">
            <w:pPr>
              <w:jc w:val="center"/>
              <w:rPr>
                <w:rFonts w:cs="Calibri"/>
                <w:sz w:val="18"/>
                <w:szCs w:val="18"/>
              </w:rPr>
            </w:pPr>
            <w:r w:rsidRPr="00404DA5">
              <w:rPr>
                <w:rFonts w:cs="Calibri"/>
                <w:sz w:val="18"/>
                <w:szCs w:val="18"/>
              </w:rPr>
              <w:t>42%</w:t>
            </w:r>
          </w:p>
        </w:tc>
        <w:tc>
          <w:tcPr>
            <w:tcW w:w="948" w:type="dxa"/>
            <w:shd w:val="clear" w:color="auto" w:fill="auto"/>
            <w:vAlign w:val="center"/>
          </w:tcPr>
          <w:p w14:paraId="591C96AD" w14:textId="77777777" w:rsidR="00881780" w:rsidRPr="00404DA5" w:rsidRDefault="00881780" w:rsidP="006F4D8F">
            <w:pPr>
              <w:jc w:val="center"/>
              <w:rPr>
                <w:rFonts w:cs="Calibri"/>
                <w:sz w:val="18"/>
                <w:szCs w:val="18"/>
              </w:rPr>
            </w:pPr>
            <w:r w:rsidRPr="00404DA5">
              <w:rPr>
                <w:rFonts w:cs="Calibri"/>
                <w:sz w:val="18"/>
                <w:szCs w:val="18"/>
              </w:rPr>
              <w:t>4 411</w:t>
            </w:r>
          </w:p>
        </w:tc>
        <w:tc>
          <w:tcPr>
            <w:tcW w:w="957" w:type="dxa"/>
            <w:shd w:val="clear" w:color="auto" w:fill="auto"/>
            <w:vAlign w:val="center"/>
          </w:tcPr>
          <w:p w14:paraId="38CD5818" w14:textId="77777777" w:rsidR="00881780" w:rsidRPr="00404DA5" w:rsidRDefault="00881780" w:rsidP="006F4D8F">
            <w:pPr>
              <w:jc w:val="center"/>
              <w:rPr>
                <w:rFonts w:cs="Calibri"/>
                <w:sz w:val="18"/>
                <w:szCs w:val="18"/>
              </w:rPr>
            </w:pPr>
            <w:r w:rsidRPr="00404DA5">
              <w:rPr>
                <w:rFonts w:cs="Calibri"/>
                <w:sz w:val="18"/>
                <w:szCs w:val="18"/>
              </w:rPr>
              <w:t>56%</w:t>
            </w:r>
          </w:p>
        </w:tc>
      </w:tr>
      <w:tr w:rsidR="00881780" w:rsidRPr="0031587A" w14:paraId="4CBE7262"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3B428CBE" w14:textId="77777777" w:rsidR="00881780" w:rsidRPr="00404DA5" w:rsidRDefault="00881780" w:rsidP="006F4D8F">
            <w:pPr>
              <w:jc w:val="center"/>
              <w:rPr>
                <w:sz w:val="18"/>
                <w:szCs w:val="18"/>
              </w:rPr>
            </w:pPr>
            <w:r w:rsidRPr="00404DA5">
              <w:rPr>
                <w:sz w:val="18"/>
                <w:szCs w:val="18"/>
              </w:rPr>
              <w:t>WP</w:t>
            </w:r>
          </w:p>
        </w:tc>
        <w:tc>
          <w:tcPr>
            <w:tcW w:w="992" w:type="dxa"/>
            <w:shd w:val="clear" w:color="auto" w:fill="auto"/>
            <w:vAlign w:val="center"/>
          </w:tcPr>
          <w:p w14:paraId="031E378F"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shd w:val="clear" w:color="auto" w:fill="auto"/>
            <w:vAlign w:val="center"/>
          </w:tcPr>
          <w:p w14:paraId="394616F5" w14:textId="77777777" w:rsidR="00881780" w:rsidRPr="00404DA5" w:rsidRDefault="00881780" w:rsidP="006F4D8F">
            <w:pPr>
              <w:rPr>
                <w:rFonts w:cs="Calibri"/>
                <w:bCs/>
                <w:sz w:val="18"/>
                <w:szCs w:val="18"/>
              </w:rPr>
            </w:pPr>
            <w:r w:rsidRPr="00404DA5">
              <w:rPr>
                <w:rFonts w:cs="Calibri"/>
                <w:bCs/>
                <w:sz w:val="18"/>
                <w:szCs w:val="18"/>
              </w:rPr>
              <w:t>Liczba osób</w:t>
            </w:r>
            <w:r w:rsidR="00E66B89">
              <w:rPr>
                <w:rFonts w:cs="Calibri"/>
                <w:bCs/>
                <w:sz w:val="18"/>
                <w:szCs w:val="18"/>
              </w:rPr>
              <w:t xml:space="preserve"> o </w:t>
            </w:r>
            <w:r w:rsidRPr="00404DA5">
              <w:rPr>
                <w:rFonts w:cs="Calibri"/>
                <w:bCs/>
                <w:sz w:val="18"/>
                <w:szCs w:val="18"/>
              </w:rPr>
              <w:t>niskich kwalifikacjach objętych wsparciem</w:t>
            </w:r>
            <w:r w:rsidR="00E66B89">
              <w:rPr>
                <w:rFonts w:cs="Calibri"/>
                <w:bCs/>
                <w:sz w:val="18"/>
                <w:szCs w:val="18"/>
              </w:rPr>
              <w:t xml:space="preserve"> w </w:t>
            </w:r>
            <w:r w:rsidRPr="00404DA5">
              <w:rPr>
                <w:rFonts w:cs="Calibri"/>
                <w:bCs/>
                <w:sz w:val="18"/>
                <w:szCs w:val="18"/>
              </w:rPr>
              <w:t>programie</w:t>
            </w:r>
          </w:p>
        </w:tc>
        <w:tc>
          <w:tcPr>
            <w:tcW w:w="708" w:type="dxa"/>
            <w:shd w:val="clear" w:color="auto" w:fill="auto"/>
            <w:vAlign w:val="center"/>
          </w:tcPr>
          <w:p w14:paraId="50EB7CB6"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880" w:type="dxa"/>
            <w:shd w:val="clear" w:color="auto" w:fill="auto"/>
            <w:vAlign w:val="center"/>
          </w:tcPr>
          <w:p w14:paraId="751C3C70" w14:textId="77777777" w:rsidR="00881780" w:rsidRPr="00404DA5" w:rsidRDefault="00881780" w:rsidP="006F4D8F">
            <w:pPr>
              <w:jc w:val="center"/>
              <w:rPr>
                <w:rFonts w:cs="Calibri"/>
                <w:sz w:val="18"/>
                <w:szCs w:val="18"/>
              </w:rPr>
            </w:pPr>
            <w:r w:rsidRPr="00404DA5">
              <w:rPr>
                <w:rFonts w:cs="Calibri"/>
                <w:sz w:val="18"/>
                <w:szCs w:val="18"/>
              </w:rPr>
              <w:t>12 373</w:t>
            </w:r>
          </w:p>
        </w:tc>
        <w:tc>
          <w:tcPr>
            <w:tcW w:w="902" w:type="dxa"/>
            <w:shd w:val="clear" w:color="auto" w:fill="auto"/>
            <w:vAlign w:val="center"/>
          </w:tcPr>
          <w:p w14:paraId="57478B39" w14:textId="77777777" w:rsidR="00881780" w:rsidRPr="00404DA5" w:rsidRDefault="00881780" w:rsidP="006F4D8F">
            <w:pPr>
              <w:jc w:val="center"/>
              <w:rPr>
                <w:rFonts w:cs="Calibri"/>
                <w:sz w:val="18"/>
                <w:szCs w:val="18"/>
              </w:rPr>
            </w:pPr>
            <w:r w:rsidRPr="00404DA5">
              <w:rPr>
                <w:rFonts w:cs="Calibri"/>
                <w:sz w:val="18"/>
                <w:szCs w:val="18"/>
              </w:rPr>
              <w:t>8 438</w:t>
            </w:r>
          </w:p>
        </w:tc>
        <w:tc>
          <w:tcPr>
            <w:tcW w:w="957" w:type="dxa"/>
            <w:shd w:val="clear" w:color="auto" w:fill="auto"/>
            <w:vAlign w:val="center"/>
          </w:tcPr>
          <w:p w14:paraId="6EB4F155" w14:textId="77777777" w:rsidR="00881780" w:rsidRPr="00404DA5" w:rsidRDefault="00881780" w:rsidP="006F4D8F">
            <w:pPr>
              <w:jc w:val="center"/>
              <w:rPr>
                <w:rFonts w:cs="Calibri"/>
                <w:sz w:val="18"/>
                <w:szCs w:val="18"/>
              </w:rPr>
            </w:pPr>
            <w:r w:rsidRPr="00404DA5">
              <w:rPr>
                <w:rFonts w:cs="Calibri"/>
                <w:sz w:val="18"/>
                <w:szCs w:val="18"/>
              </w:rPr>
              <w:t>68%</w:t>
            </w:r>
          </w:p>
        </w:tc>
        <w:tc>
          <w:tcPr>
            <w:tcW w:w="948" w:type="dxa"/>
            <w:shd w:val="clear" w:color="auto" w:fill="auto"/>
            <w:vAlign w:val="center"/>
          </w:tcPr>
          <w:p w14:paraId="2E9B2BBD" w14:textId="77777777" w:rsidR="00881780" w:rsidRPr="00404DA5" w:rsidRDefault="00881780" w:rsidP="006F4D8F">
            <w:pPr>
              <w:jc w:val="center"/>
              <w:rPr>
                <w:rFonts w:cs="Calibri"/>
                <w:sz w:val="18"/>
                <w:szCs w:val="18"/>
              </w:rPr>
            </w:pPr>
            <w:r w:rsidRPr="00404DA5">
              <w:rPr>
                <w:rFonts w:cs="Calibri"/>
                <w:sz w:val="18"/>
                <w:szCs w:val="18"/>
              </w:rPr>
              <w:t>12 323</w:t>
            </w:r>
          </w:p>
        </w:tc>
        <w:tc>
          <w:tcPr>
            <w:tcW w:w="957" w:type="dxa"/>
            <w:shd w:val="clear" w:color="auto" w:fill="auto"/>
            <w:vAlign w:val="center"/>
          </w:tcPr>
          <w:p w14:paraId="11E9ADD5" w14:textId="77777777" w:rsidR="00881780" w:rsidRPr="00404DA5" w:rsidRDefault="00881780" w:rsidP="006F4D8F">
            <w:pPr>
              <w:jc w:val="center"/>
              <w:rPr>
                <w:rFonts w:cs="Calibri"/>
                <w:sz w:val="18"/>
                <w:szCs w:val="18"/>
              </w:rPr>
            </w:pPr>
            <w:r w:rsidRPr="00404DA5">
              <w:rPr>
                <w:rFonts w:cs="Calibri"/>
                <w:sz w:val="18"/>
                <w:szCs w:val="18"/>
              </w:rPr>
              <w:t>100%</w:t>
            </w:r>
          </w:p>
        </w:tc>
      </w:tr>
      <w:tr w:rsidR="00881780" w:rsidRPr="0031587A" w14:paraId="3441621B"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413707AC" w14:textId="77777777" w:rsidR="00881780" w:rsidRPr="00404DA5" w:rsidRDefault="00881780" w:rsidP="006F4D8F">
            <w:pPr>
              <w:jc w:val="center"/>
              <w:rPr>
                <w:sz w:val="18"/>
                <w:szCs w:val="18"/>
              </w:rPr>
            </w:pPr>
            <w:r w:rsidRPr="00404DA5">
              <w:rPr>
                <w:sz w:val="18"/>
                <w:szCs w:val="18"/>
              </w:rPr>
              <w:t>WP</w:t>
            </w:r>
          </w:p>
        </w:tc>
        <w:tc>
          <w:tcPr>
            <w:tcW w:w="992" w:type="dxa"/>
            <w:shd w:val="clear" w:color="auto" w:fill="auto"/>
            <w:vAlign w:val="center"/>
          </w:tcPr>
          <w:p w14:paraId="772E24CD"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shd w:val="clear" w:color="auto" w:fill="auto"/>
            <w:vAlign w:val="center"/>
          </w:tcPr>
          <w:p w14:paraId="4046CC13" w14:textId="77777777" w:rsidR="00881780" w:rsidRPr="00404DA5" w:rsidRDefault="00881780" w:rsidP="006F4D8F">
            <w:pPr>
              <w:rPr>
                <w:rFonts w:cs="Calibri"/>
                <w:bCs/>
                <w:sz w:val="18"/>
                <w:szCs w:val="18"/>
              </w:rPr>
            </w:pPr>
            <w:r w:rsidRPr="00404DA5">
              <w:rPr>
                <w:rFonts w:cs="Calibri"/>
                <w:bCs/>
                <w:sz w:val="18"/>
                <w:szCs w:val="18"/>
              </w:rPr>
              <w:t>Liczba osób, które otrzymały bezzwrotne środki na podjęcie działalności gospodarczej</w:t>
            </w:r>
            <w:r w:rsidR="00E66B89">
              <w:rPr>
                <w:rFonts w:cs="Calibri"/>
                <w:bCs/>
                <w:sz w:val="18"/>
                <w:szCs w:val="18"/>
              </w:rPr>
              <w:t xml:space="preserve"> w </w:t>
            </w:r>
            <w:r w:rsidRPr="00404DA5">
              <w:rPr>
                <w:rFonts w:cs="Calibri"/>
                <w:bCs/>
                <w:sz w:val="18"/>
                <w:szCs w:val="18"/>
              </w:rPr>
              <w:t>programie</w:t>
            </w:r>
          </w:p>
        </w:tc>
        <w:tc>
          <w:tcPr>
            <w:tcW w:w="708" w:type="dxa"/>
            <w:shd w:val="clear" w:color="auto" w:fill="auto"/>
            <w:vAlign w:val="center"/>
          </w:tcPr>
          <w:p w14:paraId="770FDBA0" w14:textId="77777777" w:rsidR="00881780" w:rsidRPr="00404DA5" w:rsidRDefault="00881780" w:rsidP="006F4D8F">
            <w:pPr>
              <w:jc w:val="center"/>
              <w:rPr>
                <w:rFonts w:cs="Calibri"/>
                <w:bCs/>
                <w:sz w:val="18"/>
                <w:szCs w:val="18"/>
              </w:rPr>
            </w:pPr>
            <w:r w:rsidRPr="00404DA5">
              <w:rPr>
                <w:rFonts w:cs="Calibri"/>
                <w:bCs/>
                <w:sz w:val="18"/>
                <w:szCs w:val="18"/>
              </w:rPr>
              <w:t>osoby</w:t>
            </w:r>
          </w:p>
        </w:tc>
        <w:tc>
          <w:tcPr>
            <w:tcW w:w="880" w:type="dxa"/>
            <w:shd w:val="clear" w:color="auto" w:fill="auto"/>
            <w:vAlign w:val="center"/>
          </w:tcPr>
          <w:p w14:paraId="36698A74" w14:textId="77777777" w:rsidR="00881780" w:rsidRPr="00404DA5" w:rsidRDefault="00881780" w:rsidP="006F4D8F">
            <w:pPr>
              <w:jc w:val="center"/>
              <w:rPr>
                <w:rFonts w:cs="Calibri"/>
                <w:sz w:val="18"/>
                <w:szCs w:val="18"/>
              </w:rPr>
            </w:pPr>
            <w:r w:rsidRPr="00404DA5">
              <w:rPr>
                <w:rFonts w:cs="Calibri"/>
                <w:sz w:val="18"/>
                <w:szCs w:val="18"/>
              </w:rPr>
              <w:t>2 938</w:t>
            </w:r>
          </w:p>
        </w:tc>
        <w:tc>
          <w:tcPr>
            <w:tcW w:w="902" w:type="dxa"/>
            <w:shd w:val="clear" w:color="auto" w:fill="auto"/>
            <w:vAlign w:val="center"/>
          </w:tcPr>
          <w:p w14:paraId="09F14B67" w14:textId="77777777" w:rsidR="00881780" w:rsidRPr="00404DA5" w:rsidRDefault="00881780" w:rsidP="006F4D8F">
            <w:pPr>
              <w:jc w:val="center"/>
              <w:rPr>
                <w:rFonts w:cs="Calibri"/>
                <w:sz w:val="18"/>
                <w:szCs w:val="18"/>
              </w:rPr>
            </w:pPr>
            <w:r w:rsidRPr="00404DA5">
              <w:rPr>
                <w:rFonts w:cs="Calibri"/>
                <w:sz w:val="18"/>
                <w:szCs w:val="18"/>
              </w:rPr>
              <w:t>2 465</w:t>
            </w:r>
          </w:p>
        </w:tc>
        <w:tc>
          <w:tcPr>
            <w:tcW w:w="957" w:type="dxa"/>
            <w:shd w:val="clear" w:color="auto" w:fill="auto"/>
            <w:vAlign w:val="center"/>
          </w:tcPr>
          <w:p w14:paraId="08E657EF" w14:textId="77777777" w:rsidR="00881780" w:rsidRPr="00404DA5" w:rsidRDefault="00881780" w:rsidP="006F4D8F">
            <w:pPr>
              <w:jc w:val="center"/>
              <w:rPr>
                <w:rFonts w:cs="Calibri"/>
                <w:sz w:val="18"/>
                <w:szCs w:val="18"/>
              </w:rPr>
            </w:pPr>
            <w:r w:rsidRPr="00404DA5">
              <w:rPr>
                <w:rFonts w:cs="Calibri"/>
                <w:sz w:val="18"/>
                <w:szCs w:val="18"/>
              </w:rPr>
              <w:t>84%</w:t>
            </w:r>
          </w:p>
        </w:tc>
        <w:tc>
          <w:tcPr>
            <w:tcW w:w="948" w:type="dxa"/>
            <w:shd w:val="clear" w:color="auto" w:fill="auto"/>
            <w:vAlign w:val="center"/>
          </w:tcPr>
          <w:p w14:paraId="07C81111" w14:textId="77777777" w:rsidR="00881780" w:rsidRPr="00404DA5" w:rsidRDefault="00881780" w:rsidP="006F4D8F">
            <w:pPr>
              <w:jc w:val="center"/>
              <w:rPr>
                <w:rFonts w:cs="Calibri"/>
                <w:sz w:val="18"/>
                <w:szCs w:val="18"/>
              </w:rPr>
            </w:pPr>
            <w:r w:rsidRPr="00404DA5">
              <w:rPr>
                <w:rFonts w:cs="Calibri"/>
                <w:sz w:val="18"/>
                <w:szCs w:val="18"/>
              </w:rPr>
              <w:t>2 215</w:t>
            </w:r>
          </w:p>
        </w:tc>
        <w:tc>
          <w:tcPr>
            <w:tcW w:w="957" w:type="dxa"/>
            <w:shd w:val="clear" w:color="auto" w:fill="auto"/>
            <w:vAlign w:val="center"/>
          </w:tcPr>
          <w:p w14:paraId="21437738" w14:textId="77777777" w:rsidR="00881780" w:rsidRPr="00404DA5" w:rsidRDefault="00881780" w:rsidP="006F4D8F">
            <w:pPr>
              <w:jc w:val="center"/>
              <w:rPr>
                <w:rFonts w:cs="Calibri"/>
                <w:sz w:val="18"/>
                <w:szCs w:val="18"/>
              </w:rPr>
            </w:pPr>
            <w:r w:rsidRPr="00404DA5">
              <w:rPr>
                <w:rFonts w:cs="Calibri"/>
                <w:sz w:val="18"/>
                <w:szCs w:val="18"/>
              </w:rPr>
              <w:t>75%</w:t>
            </w:r>
          </w:p>
        </w:tc>
      </w:tr>
      <w:tr w:rsidR="00881780" w:rsidRPr="0031587A" w14:paraId="54A68639"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bottom w:val="single" w:sz="4" w:space="0" w:color="auto"/>
            </w:tcBorders>
            <w:shd w:val="clear" w:color="auto" w:fill="auto"/>
            <w:vAlign w:val="center"/>
          </w:tcPr>
          <w:p w14:paraId="4B5D7994" w14:textId="77777777" w:rsidR="00881780" w:rsidRPr="00404DA5" w:rsidRDefault="00881780" w:rsidP="006F4D8F">
            <w:pPr>
              <w:jc w:val="center"/>
              <w:rPr>
                <w:sz w:val="18"/>
                <w:szCs w:val="18"/>
              </w:rPr>
            </w:pPr>
            <w:r w:rsidRPr="00404DA5">
              <w:rPr>
                <w:sz w:val="18"/>
                <w:szCs w:val="18"/>
              </w:rPr>
              <w:t>WR</w:t>
            </w:r>
          </w:p>
        </w:tc>
        <w:tc>
          <w:tcPr>
            <w:tcW w:w="992" w:type="dxa"/>
            <w:tcBorders>
              <w:bottom w:val="single" w:sz="4" w:space="0" w:color="auto"/>
            </w:tcBorders>
            <w:shd w:val="clear" w:color="auto" w:fill="auto"/>
            <w:vAlign w:val="center"/>
          </w:tcPr>
          <w:p w14:paraId="5C0DFF73"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0DD311" w14:textId="77777777" w:rsidR="00881780" w:rsidRPr="00404DA5" w:rsidRDefault="00881780" w:rsidP="006F4D8F">
            <w:pPr>
              <w:rPr>
                <w:rFonts w:cs="Calibri"/>
                <w:bCs/>
                <w:sz w:val="18"/>
                <w:szCs w:val="18"/>
              </w:rPr>
            </w:pPr>
            <w:r w:rsidRPr="00404DA5">
              <w:rPr>
                <w:color w:val="000000"/>
                <w:sz w:val="18"/>
                <w:szCs w:val="18"/>
              </w:rPr>
              <w:t>Liczba osób pracujących, łącznie</w:t>
            </w:r>
            <w:r w:rsidR="00E66B89">
              <w:rPr>
                <w:color w:val="000000"/>
                <w:sz w:val="18"/>
                <w:szCs w:val="18"/>
              </w:rPr>
              <w:t xml:space="preserve"> z </w:t>
            </w:r>
            <w:r w:rsidRPr="00404DA5">
              <w:rPr>
                <w:color w:val="000000"/>
                <w:sz w:val="18"/>
                <w:szCs w:val="18"/>
              </w:rPr>
              <w:t xml:space="preserve">prowadzącymi działalność na własny rachunek, po </w:t>
            </w:r>
            <w:r w:rsidRPr="00404DA5">
              <w:rPr>
                <w:color w:val="000000"/>
                <w:sz w:val="18"/>
                <w:szCs w:val="18"/>
              </w:rPr>
              <w:lastRenderedPageBreak/>
              <w:t>opuszczeniu programu - bezrobotni</w:t>
            </w:r>
          </w:p>
        </w:tc>
        <w:tc>
          <w:tcPr>
            <w:tcW w:w="708" w:type="dxa"/>
            <w:tcBorders>
              <w:bottom w:val="single" w:sz="4" w:space="0" w:color="auto"/>
            </w:tcBorders>
            <w:shd w:val="clear" w:color="auto" w:fill="auto"/>
            <w:vAlign w:val="center"/>
          </w:tcPr>
          <w:p w14:paraId="4D67096B" w14:textId="77777777" w:rsidR="00881780" w:rsidRPr="00404DA5" w:rsidRDefault="00881780" w:rsidP="006F4D8F">
            <w:pPr>
              <w:jc w:val="center"/>
              <w:rPr>
                <w:rFonts w:cs="Calibri"/>
                <w:bCs/>
                <w:sz w:val="18"/>
                <w:szCs w:val="18"/>
              </w:rPr>
            </w:pPr>
            <w:r w:rsidRPr="00404DA5">
              <w:rPr>
                <w:rFonts w:cs="Calibri"/>
                <w:bCs/>
                <w:sz w:val="18"/>
                <w:szCs w:val="18"/>
              </w:rPr>
              <w:lastRenderedPageBreak/>
              <w:t>%</w:t>
            </w:r>
          </w:p>
        </w:tc>
        <w:tc>
          <w:tcPr>
            <w:tcW w:w="880" w:type="dxa"/>
            <w:tcBorders>
              <w:bottom w:val="single" w:sz="4" w:space="0" w:color="auto"/>
            </w:tcBorders>
            <w:shd w:val="clear" w:color="auto" w:fill="auto"/>
            <w:vAlign w:val="center"/>
          </w:tcPr>
          <w:p w14:paraId="04E12A56" w14:textId="77777777" w:rsidR="00881780" w:rsidRPr="00404DA5" w:rsidRDefault="00881780" w:rsidP="006F4D8F">
            <w:pPr>
              <w:jc w:val="center"/>
              <w:rPr>
                <w:rFonts w:cs="Calibri"/>
                <w:sz w:val="18"/>
                <w:szCs w:val="18"/>
              </w:rPr>
            </w:pPr>
            <w:r w:rsidRPr="00404DA5">
              <w:rPr>
                <w:rFonts w:cs="Calibri"/>
                <w:sz w:val="18"/>
                <w:szCs w:val="18"/>
              </w:rPr>
              <w:t>45%</w:t>
            </w:r>
          </w:p>
        </w:tc>
        <w:tc>
          <w:tcPr>
            <w:tcW w:w="902" w:type="dxa"/>
            <w:tcBorders>
              <w:bottom w:val="single" w:sz="4" w:space="0" w:color="auto"/>
            </w:tcBorders>
            <w:shd w:val="clear" w:color="auto" w:fill="auto"/>
            <w:vAlign w:val="center"/>
          </w:tcPr>
          <w:p w14:paraId="4D21DE43"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275892F3"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C0A2941" w14:textId="77777777" w:rsidR="00881780" w:rsidRPr="00404DA5" w:rsidRDefault="00881780" w:rsidP="006F4D8F">
            <w:pPr>
              <w:jc w:val="center"/>
              <w:rPr>
                <w:rFonts w:cs="Calibri"/>
                <w:sz w:val="18"/>
                <w:szCs w:val="18"/>
              </w:rPr>
            </w:pPr>
            <w:r w:rsidRPr="00404DA5">
              <w:rPr>
                <w:rFonts w:ascii="Calibri" w:hAnsi="Calibri"/>
                <w:color w:val="000000"/>
                <w:sz w:val="18"/>
                <w:szCs w:val="18"/>
              </w:rPr>
              <w:t>69,1%</w:t>
            </w:r>
          </w:p>
        </w:tc>
        <w:tc>
          <w:tcPr>
            <w:tcW w:w="957" w:type="dxa"/>
            <w:tcBorders>
              <w:bottom w:val="single" w:sz="4" w:space="0" w:color="auto"/>
            </w:tcBorders>
            <w:shd w:val="clear" w:color="auto" w:fill="auto"/>
            <w:vAlign w:val="center"/>
          </w:tcPr>
          <w:p w14:paraId="7CDD6632" w14:textId="77777777" w:rsidR="00881780" w:rsidRPr="00404DA5" w:rsidRDefault="00881780" w:rsidP="006F4D8F">
            <w:pPr>
              <w:jc w:val="center"/>
              <w:rPr>
                <w:rFonts w:cs="Calibri"/>
                <w:sz w:val="18"/>
                <w:szCs w:val="18"/>
              </w:rPr>
            </w:pPr>
            <w:r w:rsidRPr="00404DA5">
              <w:rPr>
                <w:rFonts w:cs="Calibri"/>
                <w:sz w:val="18"/>
                <w:szCs w:val="18"/>
              </w:rPr>
              <w:t>153%</w:t>
            </w:r>
          </w:p>
        </w:tc>
      </w:tr>
      <w:tr w:rsidR="00881780" w:rsidRPr="0031587A" w14:paraId="467E2184"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3780E81" w14:textId="77777777" w:rsidR="00881780" w:rsidRPr="00404DA5" w:rsidRDefault="00881780" w:rsidP="006F4D8F">
            <w:pPr>
              <w:jc w:val="center"/>
              <w:rPr>
                <w:sz w:val="18"/>
                <w:szCs w:val="18"/>
              </w:rPr>
            </w:pPr>
            <w:r w:rsidRPr="00404DA5">
              <w:rPr>
                <w:sz w:val="18"/>
                <w:szCs w:val="18"/>
              </w:rPr>
              <w:t>WR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D11D83"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46622B4" w14:textId="77777777" w:rsidR="00881780" w:rsidRPr="00404DA5" w:rsidRDefault="00881780" w:rsidP="006F4D8F">
            <w:pPr>
              <w:rPr>
                <w:rFonts w:cs="Calibri"/>
                <w:bCs/>
                <w:sz w:val="18"/>
                <w:szCs w:val="18"/>
              </w:rPr>
            </w:pPr>
            <w:r w:rsidRPr="00404DA5">
              <w:rPr>
                <w:color w:val="000000"/>
                <w:sz w:val="18"/>
                <w:szCs w:val="18"/>
              </w:rPr>
              <w:t>Liczba osób pracujących, łącznie</w:t>
            </w:r>
            <w:r w:rsidR="00E66B89">
              <w:rPr>
                <w:color w:val="000000"/>
                <w:sz w:val="18"/>
                <w:szCs w:val="18"/>
              </w:rPr>
              <w:t xml:space="preserve"> z </w:t>
            </w:r>
            <w:r w:rsidRPr="00404DA5">
              <w:rPr>
                <w:color w:val="000000"/>
                <w:sz w:val="18"/>
                <w:szCs w:val="18"/>
              </w:rPr>
              <w:t>prowadzącymi działalność na własny rachunek, po opuszczeniu programu - długotrwale bezrobotni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4E0D76"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66738F1" w14:textId="77777777" w:rsidR="00881780" w:rsidRPr="00404DA5" w:rsidRDefault="00881780" w:rsidP="006F4D8F">
            <w:pPr>
              <w:jc w:val="center"/>
              <w:rPr>
                <w:rFonts w:cs="Calibri"/>
                <w:sz w:val="18"/>
                <w:szCs w:val="18"/>
              </w:rPr>
            </w:pPr>
            <w:r w:rsidRPr="00404DA5">
              <w:rPr>
                <w:rFonts w:cs="Calibri"/>
                <w:sz w:val="18"/>
                <w:szCs w:val="18"/>
              </w:rPr>
              <w:t>40%</w:t>
            </w:r>
          </w:p>
        </w:tc>
        <w:tc>
          <w:tcPr>
            <w:tcW w:w="902" w:type="dxa"/>
            <w:tcBorders>
              <w:bottom w:val="single" w:sz="4" w:space="0" w:color="auto"/>
            </w:tcBorders>
            <w:shd w:val="clear" w:color="auto" w:fill="auto"/>
            <w:vAlign w:val="center"/>
          </w:tcPr>
          <w:p w14:paraId="61003D8E"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61465FC7"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3D54469" w14:textId="77777777" w:rsidR="00881780" w:rsidRPr="00404DA5" w:rsidRDefault="00881780" w:rsidP="006F4D8F">
            <w:pPr>
              <w:jc w:val="center"/>
              <w:rPr>
                <w:rFonts w:cs="Calibri"/>
                <w:sz w:val="18"/>
                <w:szCs w:val="18"/>
              </w:rPr>
            </w:pPr>
            <w:r w:rsidRPr="00404DA5">
              <w:rPr>
                <w:rFonts w:ascii="Calibri" w:hAnsi="Calibri"/>
                <w:color w:val="000000"/>
                <w:sz w:val="18"/>
                <w:szCs w:val="18"/>
              </w:rPr>
              <w:t>66,9%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7AE584C" w14:textId="77777777" w:rsidR="00881780" w:rsidRPr="00404DA5" w:rsidRDefault="00881780" w:rsidP="006F4D8F">
            <w:pPr>
              <w:jc w:val="center"/>
              <w:rPr>
                <w:rFonts w:cs="Calibri"/>
                <w:sz w:val="18"/>
                <w:szCs w:val="18"/>
              </w:rPr>
            </w:pPr>
            <w:r w:rsidRPr="00404DA5">
              <w:rPr>
                <w:rFonts w:cs="Calibri"/>
                <w:sz w:val="18"/>
                <w:szCs w:val="18"/>
              </w:rPr>
              <w:t>167,2%</w:t>
            </w:r>
          </w:p>
        </w:tc>
      </w:tr>
      <w:tr w:rsidR="00881780" w:rsidRPr="0031587A" w14:paraId="1420914C"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single" w:sz="4" w:space="0" w:color="auto"/>
            </w:tcBorders>
            <w:shd w:val="clear" w:color="auto" w:fill="auto"/>
            <w:vAlign w:val="center"/>
          </w:tcPr>
          <w:p w14:paraId="6FD8B0D9" w14:textId="77777777" w:rsidR="00881780" w:rsidRPr="00404DA5" w:rsidRDefault="00881780" w:rsidP="006F4D8F">
            <w:pPr>
              <w:jc w:val="center"/>
              <w:rPr>
                <w:sz w:val="18"/>
                <w:szCs w:val="18"/>
              </w:rPr>
            </w:pPr>
            <w:r w:rsidRPr="00404DA5">
              <w:rPr>
                <w:sz w:val="18"/>
                <w:szCs w:val="18"/>
              </w:rPr>
              <w:t>WR</w:t>
            </w:r>
          </w:p>
        </w:tc>
        <w:tc>
          <w:tcPr>
            <w:tcW w:w="992" w:type="dxa"/>
            <w:tcBorders>
              <w:top w:val="single" w:sz="4" w:space="0" w:color="auto"/>
            </w:tcBorders>
            <w:shd w:val="clear" w:color="auto" w:fill="auto"/>
            <w:vAlign w:val="center"/>
          </w:tcPr>
          <w:p w14:paraId="67056440"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4E3C8FC" w14:textId="77777777" w:rsidR="00881780" w:rsidRPr="00404DA5" w:rsidRDefault="00881780" w:rsidP="006F4D8F">
            <w:pPr>
              <w:rPr>
                <w:rFonts w:cs="Calibri"/>
                <w:bCs/>
                <w:sz w:val="18"/>
                <w:szCs w:val="18"/>
              </w:rPr>
            </w:pPr>
            <w:r w:rsidRPr="00404DA5">
              <w:rPr>
                <w:color w:val="000000"/>
                <w:sz w:val="18"/>
                <w:szCs w:val="18"/>
              </w:rPr>
              <w:t>Liczba osób pracujących, łącznie</w:t>
            </w:r>
            <w:r w:rsidR="00E66B89">
              <w:rPr>
                <w:color w:val="000000"/>
                <w:sz w:val="18"/>
                <w:szCs w:val="18"/>
              </w:rPr>
              <w:t xml:space="preserve"> z </w:t>
            </w:r>
            <w:r w:rsidRPr="00404DA5">
              <w:rPr>
                <w:color w:val="000000"/>
                <w:sz w:val="18"/>
                <w:szCs w:val="18"/>
              </w:rPr>
              <w:t>prowadzącymi działalność na własny rachunek, po opuszczeniu programu - bierni zawodowo</w:t>
            </w:r>
          </w:p>
        </w:tc>
        <w:tc>
          <w:tcPr>
            <w:tcW w:w="708" w:type="dxa"/>
            <w:tcBorders>
              <w:top w:val="single" w:sz="4" w:space="0" w:color="auto"/>
            </w:tcBorders>
            <w:shd w:val="clear" w:color="auto" w:fill="auto"/>
            <w:vAlign w:val="center"/>
          </w:tcPr>
          <w:p w14:paraId="41A24E4D"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tcBorders>
              <w:top w:val="single" w:sz="4" w:space="0" w:color="auto"/>
            </w:tcBorders>
            <w:shd w:val="clear" w:color="auto" w:fill="auto"/>
            <w:vAlign w:val="center"/>
          </w:tcPr>
          <w:p w14:paraId="0AA2C940" w14:textId="77777777" w:rsidR="00881780" w:rsidRPr="00404DA5" w:rsidRDefault="00881780" w:rsidP="006F4D8F">
            <w:pPr>
              <w:jc w:val="center"/>
              <w:rPr>
                <w:rFonts w:cs="Calibri"/>
                <w:sz w:val="18"/>
                <w:szCs w:val="18"/>
              </w:rPr>
            </w:pPr>
            <w:r w:rsidRPr="00404DA5">
              <w:rPr>
                <w:rFonts w:cs="Calibri"/>
                <w:sz w:val="18"/>
                <w:szCs w:val="18"/>
              </w:rPr>
              <w:t>15%</w:t>
            </w:r>
          </w:p>
        </w:tc>
        <w:tc>
          <w:tcPr>
            <w:tcW w:w="902" w:type="dxa"/>
            <w:tcBorders>
              <w:bottom w:val="single" w:sz="4" w:space="0" w:color="auto"/>
            </w:tcBorders>
            <w:shd w:val="clear" w:color="auto" w:fill="auto"/>
            <w:vAlign w:val="center"/>
          </w:tcPr>
          <w:p w14:paraId="220F5798"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41A036AA"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A5DE66F" w14:textId="77777777" w:rsidR="00881780" w:rsidRPr="00404DA5" w:rsidRDefault="00881780" w:rsidP="006F4D8F">
            <w:pPr>
              <w:jc w:val="center"/>
              <w:rPr>
                <w:rFonts w:cs="Calibri"/>
                <w:sz w:val="18"/>
                <w:szCs w:val="18"/>
              </w:rPr>
            </w:pPr>
            <w:r w:rsidRPr="00404DA5">
              <w:rPr>
                <w:rFonts w:ascii="Calibri" w:hAnsi="Calibri"/>
                <w:color w:val="000000"/>
                <w:sz w:val="18"/>
                <w:szCs w:val="18"/>
              </w:rPr>
              <w:t>24,0%</w:t>
            </w:r>
          </w:p>
        </w:tc>
        <w:tc>
          <w:tcPr>
            <w:tcW w:w="957" w:type="dxa"/>
            <w:tcBorders>
              <w:top w:val="single" w:sz="4" w:space="0" w:color="auto"/>
            </w:tcBorders>
            <w:shd w:val="clear" w:color="auto" w:fill="auto"/>
            <w:vAlign w:val="center"/>
          </w:tcPr>
          <w:p w14:paraId="3F5DFF86" w14:textId="77777777" w:rsidR="00881780" w:rsidRPr="00404DA5" w:rsidRDefault="00881780" w:rsidP="006F4D8F">
            <w:pPr>
              <w:jc w:val="center"/>
              <w:rPr>
                <w:rFonts w:cs="Calibri"/>
                <w:sz w:val="18"/>
                <w:szCs w:val="18"/>
              </w:rPr>
            </w:pPr>
            <w:r w:rsidRPr="00404DA5">
              <w:rPr>
                <w:rFonts w:cs="Calibri"/>
                <w:sz w:val="18"/>
                <w:szCs w:val="18"/>
              </w:rPr>
              <w:t>159,8%</w:t>
            </w:r>
          </w:p>
        </w:tc>
      </w:tr>
      <w:tr w:rsidR="00881780" w:rsidRPr="0031587A" w14:paraId="051A1D65"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4072CD60" w14:textId="77777777" w:rsidR="00881780" w:rsidRPr="00404DA5" w:rsidRDefault="00881780" w:rsidP="006F4D8F">
            <w:pPr>
              <w:jc w:val="center"/>
              <w:rPr>
                <w:sz w:val="18"/>
                <w:szCs w:val="18"/>
              </w:rPr>
            </w:pPr>
            <w:r w:rsidRPr="00404DA5">
              <w:rPr>
                <w:sz w:val="18"/>
                <w:szCs w:val="18"/>
              </w:rPr>
              <w:t>WR</w:t>
            </w:r>
          </w:p>
        </w:tc>
        <w:tc>
          <w:tcPr>
            <w:tcW w:w="992" w:type="dxa"/>
            <w:shd w:val="clear" w:color="auto" w:fill="auto"/>
            <w:vAlign w:val="center"/>
          </w:tcPr>
          <w:p w14:paraId="0F3DC1A2"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F3A0A97" w14:textId="77777777" w:rsidR="00881780" w:rsidRPr="00404DA5" w:rsidRDefault="00881780" w:rsidP="006F4D8F">
            <w:pPr>
              <w:rPr>
                <w:rFonts w:cs="Calibri"/>
                <w:bCs/>
                <w:sz w:val="18"/>
                <w:szCs w:val="18"/>
              </w:rPr>
            </w:pPr>
            <w:r w:rsidRPr="00404DA5">
              <w:rPr>
                <w:color w:val="000000"/>
                <w:sz w:val="18"/>
                <w:szCs w:val="18"/>
              </w:rPr>
              <w:t>Liczba osób pracujących, łącznie</w:t>
            </w:r>
            <w:r w:rsidR="00E66B89">
              <w:rPr>
                <w:color w:val="000000"/>
                <w:sz w:val="18"/>
                <w:szCs w:val="18"/>
              </w:rPr>
              <w:t xml:space="preserve"> z </w:t>
            </w:r>
            <w:r w:rsidRPr="00404DA5">
              <w:rPr>
                <w:color w:val="000000"/>
                <w:sz w:val="18"/>
                <w:szCs w:val="18"/>
              </w:rPr>
              <w:t>prowadzącymi działalność na własny rachunek, po opuszczeniu programu - osoby</w:t>
            </w:r>
            <w:r w:rsidR="00E66B89">
              <w:rPr>
                <w:color w:val="000000"/>
                <w:sz w:val="18"/>
                <w:szCs w:val="18"/>
              </w:rPr>
              <w:t xml:space="preserve"> z </w:t>
            </w:r>
            <w:r w:rsidRPr="00404DA5">
              <w:rPr>
                <w:color w:val="000000"/>
                <w:sz w:val="18"/>
                <w:szCs w:val="18"/>
              </w:rPr>
              <w:t>niepełnosprawnościami</w:t>
            </w:r>
          </w:p>
        </w:tc>
        <w:tc>
          <w:tcPr>
            <w:tcW w:w="708" w:type="dxa"/>
            <w:shd w:val="clear" w:color="auto" w:fill="auto"/>
            <w:vAlign w:val="center"/>
          </w:tcPr>
          <w:p w14:paraId="00B5192D"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shd w:val="clear" w:color="auto" w:fill="auto"/>
            <w:vAlign w:val="center"/>
          </w:tcPr>
          <w:p w14:paraId="3E93906A" w14:textId="77777777" w:rsidR="00881780" w:rsidRPr="00404DA5" w:rsidRDefault="00881780" w:rsidP="006F4D8F">
            <w:pPr>
              <w:jc w:val="center"/>
              <w:rPr>
                <w:rFonts w:cs="Calibri"/>
                <w:sz w:val="18"/>
                <w:szCs w:val="18"/>
              </w:rPr>
            </w:pPr>
            <w:r w:rsidRPr="00404DA5">
              <w:rPr>
                <w:rFonts w:cs="Calibri"/>
                <w:sz w:val="18"/>
                <w:szCs w:val="18"/>
              </w:rPr>
              <w:t>20%</w:t>
            </w:r>
          </w:p>
        </w:tc>
        <w:tc>
          <w:tcPr>
            <w:tcW w:w="902" w:type="dxa"/>
            <w:tcBorders>
              <w:bottom w:val="single" w:sz="4" w:space="0" w:color="auto"/>
            </w:tcBorders>
            <w:shd w:val="clear" w:color="auto" w:fill="auto"/>
            <w:vAlign w:val="center"/>
          </w:tcPr>
          <w:p w14:paraId="3E180DC6"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3BD52D03"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nil"/>
              <w:left w:val="single" w:sz="4" w:space="0" w:color="auto"/>
              <w:bottom w:val="single" w:sz="4" w:space="0" w:color="auto"/>
              <w:right w:val="single" w:sz="4" w:space="0" w:color="auto"/>
            </w:tcBorders>
            <w:shd w:val="clear" w:color="auto" w:fill="auto"/>
            <w:vAlign w:val="center"/>
          </w:tcPr>
          <w:p w14:paraId="7C2C9BE3" w14:textId="77777777" w:rsidR="00881780" w:rsidRPr="00404DA5" w:rsidRDefault="00881780" w:rsidP="006F4D8F">
            <w:pPr>
              <w:jc w:val="center"/>
              <w:rPr>
                <w:rFonts w:cs="Calibri"/>
                <w:sz w:val="18"/>
                <w:szCs w:val="18"/>
              </w:rPr>
            </w:pPr>
            <w:r w:rsidRPr="00404DA5">
              <w:rPr>
                <w:rFonts w:ascii="Calibri" w:hAnsi="Calibri"/>
                <w:color w:val="000000"/>
                <w:sz w:val="18"/>
                <w:szCs w:val="18"/>
              </w:rPr>
              <w:t>46,1%</w:t>
            </w:r>
          </w:p>
        </w:tc>
        <w:tc>
          <w:tcPr>
            <w:tcW w:w="957" w:type="dxa"/>
            <w:shd w:val="clear" w:color="auto" w:fill="auto"/>
            <w:vAlign w:val="center"/>
          </w:tcPr>
          <w:p w14:paraId="56653E76" w14:textId="77777777" w:rsidR="00881780" w:rsidRPr="00404DA5" w:rsidRDefault="00881780" w:rsidP="006F4D8F">
            <w:pPr>
              <w:jc w:val="center"/>
              <w:rPr>
                <w:rFonts w:cs="Calibri"/>
                <w:sz w:val="18"/>
                <w:szCs w:val="18"/>
              </w:rPr>
            </w:pPr>
            <w:r w:rsidRPr="00404DA5">
              <w:rPr>
                <w:rFonts w:cs="Calibri"/>
                <w:sz w:val="18"/>
                <w:szCs w:val="18"/>
              </w:rPr>
              <w:t>230,6%</w:t>
            </w:r>
          </w:p>
        </w:tc>
      </w:tr>
      <w:tr w:rsidR="00881780" w:rsidRPr="0031587A" w14:paraId="0EFBB870"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55E66E14" w14:textId="77777777" w:rsidR="00881780" w:rsidRPr="00404DA5" w:rsidRDefault="00881780" w:rsidP="006F4D8F">
            <w:pPr>
              <w:jc w:val="center"/>
              <w:rPr>
                <w:sz w:val="18"/>
                <w:szCs w:val="18"/>
              </w:rPr>
            </w:pPr>
            <w:r w:rsidRPr="00404DA5">
              <w:rPr>
                <w:sz w:val="18"/>
                <w:szCs w:val="18"/>
              </w:rPr>
              <w:t>WR</w:t>
            </w:r>
          </w:p>
        </w:tc>
        <w:tc>
          <w:tcPr>
            <w:tcW w:w="992" w:type="dxa"/>
            <w:shd w:val="clear" w:color="auto" w:fill="auto"/>
            <w:vAlign w:val="center"/>
          </w:tcPr>
          <w:p w14:paraId="0419CC90"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CC954E0" w14:textId="77777777" w:rsidR="00881780" w:rsidRPr="00404DA5" w:rsidRDefault="00881780" w:rsidP="006F4D8F">
            <w:pPr>
              <w:rPr>
                <w:color w:val="000000"/>
                <w:sz w:val="18"/>
                <w:szCs w:val="18"/>
              </w:rPr>
            </w:pPr>
            <w:r w:rsidRPr="00404DA5">
              <w:rPr>
                <w:rFonts w:ascii="Calibri" w:hAnsi="Calibri"/>
                <w:color w:val="000000"/>
                <w:sz w:val="18"/>
                <w:szCs w:val="18"/>
              </w:rPr>
              <w:t>Liczba osób, które uzyskały kwalifikacje po opuszczeniu programu - bezrobotni</w:t>
            </w:r>
          </w:p>
        </w:tc>
        <w:tc>
          <w:tcPr>
            <w:tcW w:w="708" w:type="dxa"/>
            <w:shd w:val="clear" w:color="auto" w:fill="auto"/>
            <w:vAlign w:val="center"/>
          </w:tcPr>
          <w:p w14:paraId="02CA07CB"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shd w:val="clear" w:color="auto" w:fill="auto"/>
            <w:vAlign w:val="center"/>
          </w:tcPr>
          <w:p w14:paraId="1B99B850" w14:textId="77777777" w:rsidR="00881780" w:rsidRPr="00404DA5" w:rsidRDefault="00881780" w:rsidP="006F4D8F">
            <w:pPr>
              <w:jc w:val="center"/>
              <w:rPr>
                <w:rFonts w:cs="Calibri"/>
                <w:sz w:val="18"/>
                <w:szCs w:val="18"/>
              </w:rPr>
            </w:pPr>
            <w:r w:rsidRPr="00404DA5">
              <w:rPr>
                <w:rFonts w:cs="Calibri"/>
                <w:sz w:val="18"/>
                <w:szCs w:val="18"/>
              </w:rPr>
              <w:t>`31%</w:t>
            </w:r>
          </w:p>
        </w:tc>
        <w:tc>
          <w:tcPr>
            <w:tcW w:w="902" w:type="dxa"/>
            <w:tcBorders>
              <w:bottom w:val="single" w:sz="4" w:space="0" w:color="auto"/>
            </w:tcBorders>
            <w:shd w:val="clear" w:color="auto" w:fill="auto"/>
            <w:vAlign w:val="center"/>
          </w:tcPr>
          <w:p w14:paraId="73408611"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0D642314"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5A27521" w14:textId="77777777" w:rsidR="00881780" w:rsidRPr="00404DA5" w:rsidRDefault="00881780" w:rsidP="006F4D8F">
            <w:pPr>
              <w:jc w:val="center"/>
              <w:rPr>
                <w:rFonts w:cs="Calibri"/>
                <w:sz w:val="18"/>
                <w:szCs w:val="18"/>
              </w:rPr>
            </w:pPr>
            <w:r w:rsidRPr="00404DA5">
              <w:rPr>
                <w:rFonts w:ascii="Calibri" w:hAnsi="Calibri"/>
                <w:color w:val="000000"/>
                <w:sz w:val="18"/>
                <w:szCs w:val="18"/>
              </w:rPr>
              <w:t>7,4%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4745C09" w14:textId="77777777" w:rsidR="00881780" w:rsidRPr="00404DA5" w:rsidRDefault="00881780" w:rsidP="006F4D8F">
            <w:pPr>
              <w:jc w:val="center"/>
              <w:rPr>
                <w:rFonts w:cs="Calibri"/>
                <w:sz w:val="18"/>
                <w:szCs w:val="18"/>
              </w:rPr>
            </w:pPr>
            <w:r w:rsidRPr="00404DA5">
              <w:rPr>
                <w:rFonts w:ascii="Calibri" w:hAnsi="Calibri"/>
                <w:color w:val="000000"/>
                <w:sz w:val="18"/>
                <w:szCs w:val="18"/>
              </w:rPr>
              <w:t>24,0%</w:t>
            </w:r>
          </w:p>
        </w:tc>
      </w:tr>
      <w:tr w:rsidR="00881780" w:rsidRPr="0031587A" w14:paraId="184AA566"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shd w:val="clear" w:color="auto" w:fill="auto"/>
            <w:vAlign w:val="center"/>
          </w:tcPr>
          <w:p w14:paraId="69DF5B21" w14:textId="77777777" w:rsidR="00881780" w:rsidRPr="00404DA5" w:rsidRDefault="00881780" w:rsidP="006F4D8F">
            <w:pPr>
              <w:jc w:val="center"/>
              <w:rPr>
                <w:sz w:val="18"/>
                <w:szCs w:val="18"/>
              </w:rPr>
            </w:pPr>
            <w:r w:rsidRPr="00404DA5">
              <w:rPr>
                <w:sz w:val="18"/>
                <w:szCs w:val="18"/>
              </w:rPr>
              <w:t>WR</w:t>
            </w:r>
          </w:p>
        </w:tc>
        <w:tc>
          <w:tcPr>
            <w:tcW w:w="992" w:type="dxa"/>
            <w:shd w:val="clear" w:color="auto" w:fill="auto"/>
            <w:vAlign w:val="center"/>
          </w:tcPr>
          <w:p w14:paraId="38B7F4E7"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nil"/>
              <w:left w:val="single" w:sz="4" w:space="0" w:color="auto"/>
              <w:bottom w:val="single" w:sz="4" w:space="0" w:color="auto"/>
              <w:right w:val="single" w:sz="4" w:space="0" w:color="auto"/>
            </w:tcBorders>
            <w:shd w:val="clear" w:color="auto" w:fill="auto"/>
            <w:vAlign w:val="center"/>
          </w:tcPr>
          <w:p w14:paraId="043B1BB0" w14:textId="77777777" w:rsidR="00881780" w:rsidRPr="00404DA5" w:rsidRDefault="00881780" w:rsidP="006F4D8F">
            <w:pPr>
              <w:rPr>
                <w:color w:val="000000"/>
                <w:sz w:val="18"/>
                <w:szCs w:val="18"/>
              </w:rPr>
            </w:pPr>
            <w:r w:rsidRPr="00404DA5">
              <w:rPr>
                <w:rFonts w:ascii="Calibri" w:hAnsi="Calibri"/>
                <w:color w:val="000000"/>
                <w:sz w:val="18"/>
                <w:szCs w:val="18"/>
              </w:rPr>
              <w:t>Liczba osób, które uzyskały kwalifikacje po opuszczeniu programu - długotrwale bezrobotni</w:t>
            </w:r>
          </w:p>
        </w:tc>
        <w:tc>
          <w:tcPr>
            <w:tcW w:w="708" w:type="dxa"/>
            <w:shd w:val="clear" w:color="auto" w:fill="auto"/>
            <w:vAlign w:val="center"/>
          </w:tcPr>
          <w:p w14:paraId="6AA1D347"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shd w:val="clear" w:color="auto" w:fill="auto"/>
            <w:vAlign w:val="center"/>
          </w:tcPr>
          <w:p w14:paraId="5D33284D" w14:textId="77777777" w:rsidR="00881780" w:rsidRPr="00404DA5" w:rsidRDefault="00881780" w:rsidP="006F4D8F">
            <w:pPr>
              <w:jc w:val="center"/>
              <w:rPr>
                <w:rFonts w:cs="Calibri"/>
                <w:sz w:val="18"/>
                <w:szCs w:val="18"/>
              </w:rPr>
            </w:pPr>
            <w:r w:rsidRPr="00404DA5">
              <w:rPr>
                <w:rFonts w:cs="Calibri"/>
                <w:sz w:val="18"/>
                <w:szCs w:val="18"/>
              </w:rPr>
              <w:t>31%</w:t>
            </w:r>
          </w:p>
        </w:tc>
        <w:tc>
          <w:tcPr>
            <w:tcW w:w="902" w:type="dxa"/>
            <w:tcBorders>
              <w:bottom w:val="single" w:sz="4" w:space="0" w:color="auto"/>
            </w:tcBorders>
            <w:shd w:val="clear" w:color="auto" w:fill="auto"/>
            <w:vAlign w:val="center"/>
          </w:tcPr>
          <w:p w14:paraId="0E9E0631"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5F602EB6"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nil"/>
              <w:left w:val="single" w:sz="4" w:space="0" w:color="auto"/>
              <w:bottom w:val="single" w:sz="4" w:space="0" w:color="auto"/>
              <w:right w:val="single" w:sz="4" w:space="0" w:color="auto"/>
            </w:tcBorders>
            <w:shd w:val="clear" w:color="auto" w:fill="auto"/>
            <w:vAlign w:val="center"/>
          </w:tcPr>
          <w:p w14:paraId="07ECDCB4" w14:textId="77777777" w:rsidR="00881780" w:rsidRPr="00404DA5" w:rsidRDefault="00881780" w:rsidP="006F4D8F">
            <w:pPr>
              <w:jc w:val="center"/>
              <w:rPr>
                <w:rFonts w:cs="Calibri"/>
                <w:sz w:val="18"/>
                <w:szCs w:val="18"/>
              </w:rPr>
            </w:pPr>
            <w:r w:rsidRPr="00404DA5">
              <w:rPr>
                <w:rFonts w:ascii="Calibri" w:hAnsi="Calibri"/>
                <w:color w:val="000000"/>
                <w:sz w:val="18"/>
                <w:szCs w:val="18"/>
              </w:rPr>
              <w:t>6,5%</w:t>
            </w:r>
          </w:p>
        </w:tc>
        <w:tc>
          <w:tcPr>
            <w:tcW w:w="957" w:type="dxa"/>
            <w:tcBorders>
              <w:top w:val="nil"/>
              <w:left w:val="single" w:sz="4" w:space="0" w:color="auto"/>
              <w:bottom w:val="single" w:sz="4" w:space="0" w:color="auto"/>
              <w:right w:val="single" w:sz="4" w:space="0" w:color="auto"/>
            </w:tcBorders>
            <w:shd w:val="clear" w:color="auto" w:fill="auto"/>
            <w:vAlign w:val="center"/>
          </w:tcPr>
          <w:p w14:paraId="24DB9E0A" w14:textId="77777777" w:rsidR="00881780" w:rsidRPr="00404DA5" w:rsidRDefault="00881780" w:rsidP="006F4D8F">
            <w:pPr>
              <w:jc w:val="center"/>
              <w:rPr>
                <w:rFonts w:cs="Calibri"/>
                <w:sz w:val="18"/>
                <w:szCs w:val="18"/>
              </w:rPr>
            </w:pPr>
            <w:r w:rsidRPr="00404DA5">
              <w:rPr>
                <w:rFonts w:ascii="Calibri" w:hAnsi="Calibri"/>
                <w:color w:val="000000"/>
                <w:sz w:val="18"/>
                <w:szCs w:val="18"/>
              </w:rPr>
              <w:t>21,1%</w:t>
            </w:r>
          </w:p>
        </w:tc>
      </w:tr>
      <w:tr w:rsidR="00881780" w:rsidRPr="0031587A" w14:paraId="45FEDF7D"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bottom w:val="single" w:sz="4" w:space="0" w:color="auto"/>
            </w:tcBorders>
            <w:shd w:val="clear" w:color="auto" w:fill="auto"/>
            <w:vAlign w:val="center"/>
          </w:tcPr>
          <w:p w14:paraId="02B803A3" w14:textId="77777777" w:rsidR="00881780" w:rsidRPr="00404DA5" w:rsidRDefault="00881780" w:rsidP="006F4D8F">
            <w:pPr>
              <w:jc w:val="center"/>
              <w:rPr>
                <w:sz w:val="18"/>
                <w:szCs w:val="18"/>
              </w:rPr>
            </w:pPr>
            <w:r w:rsidRPr="00404DA5">
              <w:rPr>
                <w:sz w:val="18"/>
                <w:szCs w:val="18"/>
              </w:rPr>
              <w:t>WR</w:t>
            </w:r>
          </w:p>
        </w:tc>
        <w:tc>
          <w:tcPr>
            <w:tcW w:w="992" w:type="dxa"/>
            <w:tcBorders>
              <w:bottom w:val="single" w:sz="4" w:space="0" w:color="auto"/>
            </w:tcBorders>
            <w:shd w:val="clear" w:color="auto" w:fill="auto"/>
            <w:vAlign w:val="center"/>
          </w:tcPr>
          <w:p w14:paraId="687045ED"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nil"/>
              <w:left w:val="single" w:sz="4" w:space="0" w:color="auto"/>
              <w:bottom w:val="single" w:sz="4" w:space="0" w:color="auto"/>
              <w:right w:val="single" w:sz="4" w:space="0" w:color="auto"/>
            </w:tcBorders>
            <w:shd w:val="clear" w:color="auto" w:fill="auto"/>
            <w:vAlign w:val="center"/>
          </w:tcPr>
          <w:p w14:paraId="36377A67" w14:textId="77777777" w:rsidR="00881780" w:rsidRPr="00404DA5" w:rsidRDefault="00881780" w:rsidP="006F4D8F">
            <w:pPr>
              <w:rPr>
                <w:color w:val="000000"/>
                <w:sz w:val="18"/>
                <w:szCs w:val="18"/>
              </w:rPr>
            </w:pPr>
            <w:r w:rsidRPr="00404DA5">
              <w:rPr>
                <w:rFonts w:ascii="Calibri" w:hAnsi="Calibri"/>
                <w:color w:val="000000"/>
                <w:sz w:val="18"/>
                <w:szCs w:val="18"/>
              </w:rPr>
              <w:t>Liczba osób, które uzyskały kwalifikacje po opuszczeniu programu - bierni zawodowo</w:t>
            </w:r>
          </w:p>
        </w:tc>
        <w:tc>
          <w:tcPr>
            <w:tcW w:w="708" w:type="dxa"/>
            <w:tcBorders>
              <w:bottom w:val="single" w:sz="4" w:space="0" w:color="auto"/>
            </w:tcBorders>
            <w:shd w:val="clear" w:color="auto" w:fill="auto"/>
            <w:vAlign w:val="center"/>
          </w:tcPr>
          <w:p w14:paraId="095FA214" w14:textId="77777777" w:rsidR="00881780" w:rsidRPr="00404DA5" w:rsidRDefault="00881780" w:rsidP="006F4D8F">
            <w:pPr>
              <w:jc w:val="center"/>
              <w:rPr>
                <w:rFonts w:cs="Calibri"/>
                <w:bCs/>
                <w:sz w:val="18"/>
                <w:szCs w:val="18"/>
              </w:rPr>
            </w:pPr>
            <w:r w:rsidRPr="00404DA5">
              <w:rPr>
                <w:rFonts w:cs="Calibri"/>
                <w:bCs/>
                <w:sz w:val="18"/>
                <w:szCs w:val="18"/>
              </w:rPr>
              <w:t>%</w:t>
            </w:r>
          </w:p>
        </w:tc>
        <w:tc>
          <w:tcPr>
            <w:tcW w:w="880" w:type="dxa"/>
            <w:tcBorders>
              <w:bottom w:val="single" w:sz="4" w:space="0" w:color="auto"/>
            </w:tcBorders>
            <w:shd w:val="clear" w:color="auto" w:fill="auto"/>
            <w:vAlign w:val="center"/>
          </w:tcPr>
          <w:p w14:paraId="34D998E1" w14:textId="77777777" w:rsidR="00881780" w:rsidRPr="00404DA5" w:rsidRDefault="00881780" w:rsidP="006F4D8F">
            <w:pPr>
              <w:jc w:val="center"/>
              <w:rPr>
                <w:rFonts w:cs="Calibri"/>
                <w:sz w:val="18"/>
                <w:szCs w:val="18"/>
              </w:rPr>
            </w:pPr>
            <w:r w:rsidRPr="00404DA5">
              <w:rPr>
                <w:rFonts w:cs="Calibri"/>
                <w:sz w:val="18"/>
                <w:szCs w:val="18"/>
              </w:rPr>
              <w:t>31%</w:t>
            </w:r>
          </w:p>
        </w:tc>
        <w:tc>
          <w:tcPr>
            <w:tcW w:w="902" w:type="dxa"/>
            <w:tcBorders>
              <w:bottom w:val="single" w:sz="4" w:space="0" w:color="auto"/>
            </w:tcBorders>
            <w:shd w:val="clear" w:color="auto" w:fill="auto"/>
            <w:vAlign w:val="center"/>
          </w:tcPr>
          <w:p w14:paraId="1ACAD1BF"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bottom w:val="single" w:sz="4" w:space="0" w:color="auto"/>
            </w:tcBorders>
            <w:shd w:val="clear" w:color="auto" w:fill="auto"/>
            <w:vAlign w:val="center"/>
          </w:tcPr>
          <w:p w14:paraId="71DD5657"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nil"/>
              <w:left w:val="single" w:sz="4" w:space="0" w:color="auto"/>
              <w:bottom w:val="single" w:sz="4" w:space="0" w:color="auto"/>
              <w:right w:val="single" w:sz="4" w:space="0" w:color="auto"/>
            </w:tcBorders>
            <w:shd w:val="clear" w:color="auto" w:fill="auto"/>
            <w:vAlign w:val="center"/>
          </w:tcPr>
          <w:p w14:paraId="53462C29" w14:textId="77777777" w:rsidR="00881780" w:rsidRPr="00404DA5" w:rsidRDefault="00881780" w:rsidP="006F4D8F">
            <w:pPr>
              <w:jc w:val="center"/>
              <w:rPr>
                <w:rFonts w:cs="Calibri"/>
                <w:sz w:val="18"/>
                <w:szCs w:val="18"/>
              </w:rPr>
            </w:pPr>
            <w:r w:rsidRPr="00404DA5">
              <w:rPr>
                <w:rFonts w:ascii="Calibri" w:hAnsi="Calibri"/>
                <w:color w:val="000000"/>
                <w:sz w:val="18"/>
                <w:szCs w:val="18"/>
              </w:rPr>
              <w:t>29,8%</w:t>
            </w:r>
          </w:p>
        </w:tc>
        <w:tc>
          <w:tcPr>
            <w:tcW w:w="957" w:type="dxa"/>
            <w:tcBorders>
              <w:top w:val="nil"/>
              <w:left w:val="single" w:sz="4" w:space="0" w:color="auto"/>
              <w:bottom w:val="single" w:sz="4" w:space="0" w:color="auto"/>
              <w:right w:val="single" w:sz="4" w:space="0" w:color="auto"/>
            </w:tcBorders>
            <w:shd w:val="clear" w:color="auto" w:fill="auto"/>
            <w:vAlign w:val="center"/>
          </w:tcPr>
          <w:p w14:paraId="4618F1BE" w14:textId="77777777" w:rsidR="00881780" w:rsidRPr="00404DA5" w:rsidRDefault="00881780" w:rsidP="006F4D8F">
            <w:pPr>
              <w:jc w:val="center"/>
              <w:rPr>
                <w:rFonts w:cs="Calibri"/>
                <w:sz w:val="18"/>
                <w:szCs w:val="18"/>
              </w:rPr>
            </w:pPr>
            <w:r w:rsidRPr="00404DA5">
              <w:rPr>
                <w:rFonts w:ascii="Calibri" w:hAnsi="Calibri"/>
                <w:color w:val="000000"/>
                <w:sz w:val="18"/>
                <w:szCs w:val="18"/>
              </w:rPr>
              <w:t>96,2%</w:t>
            </w:r>
          </w:p>
        </w:tc>
      </w:tr>
      <w:tr w:rsidR="00881780" w:rsidRPr="0031587A" w14:paraId="22E32674"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DD0939A" w14:textId="77777777" w:rsidR="00881780" w:rsidRPr="00404DA5" w:rsidRDefault="00881780" w:rsidP="006F4D8F">
            <w:pPr>
              <w:jc w:val="center"/>
              <w:rPr>
                <w:sz w:val="18"/>
                <w:szCs w:val="18"/>
              </w:rPr>
            </w:pPr>
            <w:r w:rsidRPr="00404DA5">
              <w:rPr>
                <w:sz w:val="18"/>
                <w:szCs w:val="18"/>
              </w:rPr>
              <w:t>WR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BB68F1" w14:textId="77777777" w:rsidR="00881780" w:rsidRPr="00404DA5" w:rsidRDefault="00881780" w:rsidP="006F4D8F">
            <w:pPr>
              <w:jc w:val="center"/>
              <w:rPr>
                <w:rFonts w:cs="Calibri"/>
                <w:bCs/>
                <w:sz w:val="18"/>
                <w:szCs w:val="18"/>
              </w:rPr>
            </w:pPr>
            <w:r w:rsidRPr="00404DA5">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B5B1E8" w14:textId="77777777" w:rsidR="00881780" w:rsidRPr="00404DA5" w:rsidRDefault="00881780" w:rsidP="006F4D8F">
            <w:pPr>
              <w:rPr>
                <w:color w:val="000000"/>
                <w:sz w:val="18"/>
                <w:szCs w:val="18"/>
              </w:rPr>
            </w:pPr>
            <w:r w:rsidRPr="00404DA5">
              <w:rPr>
                <w:rFonts w:ascii="Calibri" w:hAnsi="Calibri"/>
                <w:color w:val="000000"/>
                <w:sz w:val="18"/>
                <w:szCs w:val="18"/>
              </w:rPr>
              <w:t xml:space="preserve">Liczba osób, które uzyskały kwalifikacje po </w:t>
            </w:r>
            <w:r w:rsidRPr="00404DA5">
              <w:rPr>
                <w:rFonts w:ascii="Calibri" w:hAnsi="Calibri"/>
                <w:color w:val="000000"/>
                <w:sz w:val="18"/>
                <w:szCs w:val="18"/>
              </w:rPr>
              <w:lastRenderedPageBreak/>
              <w:t>opuszczeniu programu - osoby</w:t>
            </w:r>
            <w:r w:rsidR="00E66B89">
              <w:rPr>
                <w:rFonts w:ascii="Calibri" w:hAnsi="Calibri"/>
                <w:color w:val="000000"/>
                <w:sz w:val="18"/>
                <w:szCs w:val="18"/>
              </w:rPr>
              <w:t xml:space="preserve"> z </w:t>
            </w:r>
            <w:r w:rsidRPr="00404DA5">
              <w:rPr>
                <w:rFonts w:ascii="Calibri" w:hAnsi="Calibri"/>
                <w:color w:val="000000"/>
                <w:sz w:val="18"/>
                <w:szCs w:val="18"/>
              </w:rPr>
              <w:t>niepełnosprawnościami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276C847" w14:textId="77777777" w:rsidR="00881780" w:rsidRPr="00404DA5" w:rsidRDefault="00881780" w:rsidP="006F4D8F">
            <w:pPr>
              <w:jc w:val="center"/>
              <w:rPr>
                <w:rFonts w:cs="Calibri"/>
                <w:bCs/>
                <w:sz w:val="18"/>
                <w:szCs w:val="18"/>
              </w:rPr>
            </w:pPr>
            <w:r w:rsidRPr="00404DA5">
              <w:rPr>
                <w:rFonts w:cs="Calibri"/>
                <w:bCs/>
                <w:sz w:val="18"/>
                <w:szCs w:val="18"/>
              </w:rPr>
              <w:lastRenderedPageBreak/>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1EE3212" w14:textId="77777777" w:rsidR="00881780" w:rsidRPr="00404DA5" w:rsidRDefault="00881780" w:rsidP="006F4D8F">
            <w:pPr>
              <w:jc w:val="center"/>
              <w:rPr>
                <w:rFonts w:cs="Calibri"/>
                <w:sz w:val="18"/>
                <w:szCs w:val="18"/>
              </w:rPr>
            </w:pPr>
            <w:r w:rsidRPr="00404DA5">
              <w:rPr>
                <w:rFonts w:cs="Calibri"/>
                <w:sz w:val="18"/>
                <w:szCs w:val="18"/>
              </w:rPr>
              <w:t>31%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A03B40F" w14:textId="77777777" w:rsidR="00881780" w:rsidRPr="00404DA5" w:rsidRDefault="00881780" w:rsidP="006F4D8F">
            <w:pPr>
              <w:jc w:val="center"/>
              <w:rPr>
                <w:rFonts w:cs="Calibri"/>
                <w:sz w:val="18"/>
                <w:szCs w:val="18"/>
              </w:rPr>
            </w:pPr>
            <w:r w:rsidRPr="00404DA5">
              <w:rPr>
                <w:rFonts w:cs="Calibri"/>
                <w:sz w:val="18"/>
                <w:szCs w:val="18"/>
              </w:rPr>
              <w:t>n/d</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B1F5CEC" w14:textId="77777777" w:rsidR="00881780" w:rsidRPr="00404DA5" w:rsidRDefault="00881780" w:rsidP="006F4D8F">
            <w:pPr>
              <w:jc w:val="center"/>
              <w:rPr>
                <w:rFonts w:cs="Calibri"/>
                <w:sz w:val="18"/>
                <w:szCs w:val="18"/>
              </w:rPr>
            </w:pPr>
            <w:r w:rsidRPr="00404DA5">
              <w:rPr>
                <w:rFonts w:cs="Calibri"/>
                <w:sz w:val="18"/>
                <w:szCs w:val="18"/>
              </w:rPr>
              <w:t>n/d</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3C896D" w14:textId="77777777" w:rsidR="00881780" w:rsidRPr="00404DA5" w:rsidRDefault="00881780" w:rsidP="006F4D8F">
            <w:pPr>
              <w:jc w:val="center"/>
              <w:rPr>
                <w:rFonts w:cs="Calibri"/>
                <w:sz w:val="18"/>
                <w:szCs w:val="18"/>
              </w:rPr>
            </w:pPr>
            <w:r w:rsidRPr="00404DA5">
              <w:rPr>
                <w:rFonts w:ascii="Calibri" w:hAnsi="Calibri"/>
                <w:color w:val="000000"/>
                <w:sz w:val="18"/>
                <w:szCs w:val="18"/>
              </w:rPr>
              <w:t>13,3%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670DD36" w14:textId="77777777" w:rsidR="00881780" w:rsidRPr="00404DA5" w:rsidRDefault="00881780" w:rsidP="006F4D8F">
            <w:pPr>
              <w:jc w:val="center"/>
              <w:rPr>
                <w:rFonts w:cs="Calibri"/>
                <w:sz w:val="18"/>
                <w:szCs w:val="18"/>
              </w:rPr>
            </w:pPr>
            <w:r w:rsidRPr="00404DA5">
              <w:rPr>
                <w:rFonts w:ascii="Calibri" w:hAnsi="Calibri"/>
                <w:color w:val="000000"/>
                <w:sz w:val="18"/>
                <w:szCs w:val="18"/>
              </w:rPr>
              <w:t>43,0%</w:t>
            </w:r>
          </w:p>
        </w:tc>
      </w:tr>
      <w:tr w:rsidR="00881780" w:rsidRPr="0031587A" w14:paraId="56A342EC" w14:textId="77777777" w:rsidTr="006F4D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F46EEB4" w14:textId="77777777" w:rsidR="00881780" w:rsidRPr="00404DA5" w:rsidRDefault="00881780" w:rsidP="006F4D8F">
            <w:pPr>
              <w:jc w:val="center"/>
              <w:rPr>
                <w:sz w:val="18"/>
                <w:szCs w:val="18"/>
              </w:rPr>
            </w:pPr>
            <w:r>
              <w:rPr>
                <w:sz w:val="18"/>
                <w:szCs w:val="18"/>
              </w:rPr>
              <w:t>WR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4062EE" w14:textId="77777777" w:rsidR="00881780" w:rsidRPr="00404DA5" w:rsidRDefault="00881780" w:rsidP="006F4D8F">
            <w:pPr>
              <w:jc w:val="center"/>
              <w:rPr>
                <w:rFonts w:cs="Calibri"/>
                <w:bCs/>
                <w:sz w:val="18"/>
                <w:szCs w:val="18"/>
              </w:rPr>
            </w:pPr>
            <w:r>
              <w:rPr>
                <w:rFonts w:cs="Calibri"/>
                <w:bCs/>
                <w:sz w:val="18"/>
                <w:szCs w:val="18"/>
              </w:rPr>
              <w:t>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42021E6" w14:textId="77777777" w:rsidR="00881780" w:rsidRPr="00404DA5" w:rsidRDefault="00881780" w:rsidP="006F4D8F">
            <w:pPr>
              <w:rPr>
                <w:rFonts w:ascii="Calibri" w:hAnsi="Calibri"/>
                <w:color w:val="000000"/>
                <w:sz w:val="18"/>
                <w:szCs w:val="18"/>
              </w:rPr>
            </w:pPr>
            <w:r>
              <w:rPr>
                <w:rFonts w:ascii="Calibri" w:hAnsi="Calibri"/>
                <w:color w:val="000000"/>
                <w:sz w:val="18"/>
                <w:szCs w:val="18"/>
              </w:rPr>
              <w:t>Liczba utworzonych miejsc pracy</w:t>
            </w:r>
            <w:r w:rsidR="00E66B89">
              <w:rPr>
                <w:rFonts w:ascii="Calibri" w:hAnsi="Calibri"/>
                <w:color w:val="000000"/>
                <w:sz w:val="18"/>
                <w:szCs w:val="18"/>
              </w:rPr>
              <w:t xml:space="preserve"> w </w:t>
            </w:r>
            <w:r>
              <w:rPr>
                <w:rFonts w:ascii="Calibri" w:hAnsi="Calibri"/>
                <w:color w:val="000000"/>
                <w:sz w:val="18"/>
                <w:szCs w:val="18"/>
              </w:rPr>
              <w:t>ramach udzielonych</w:t>
            </w:r>
            <w:r w:rsidR="00E66B89">
              <w:rPr>
                <w:rFonts w:ascii="Calibri" w:hAnsi="Calibri"/>
                <w:color w:val="000000"/>
                <w:sz w:val="18"/>
                <w:szCs w:val="18"/>
              </w:rPr>
              <w:t xml:space="preserve"> z </w:t>
            </w:r>
            <w:r>
              <w:rPr>
                <w:rFonts w:ascii="Calibri" w:hAnsi="Calibri"/>
                <w:color w:val="000000"/>
                <w:sz w:val="18"/>
                <w:szCs w:val="18"/>
              </w:rPr>
              <w:t>EFS środków na podjęcie działalności gospodarczej</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C13B70" w14:textId="77777777" w:rsidR="00881780" w:rsidRPr="00404DA5" w:rsidRDefault="00881780" w:rsidP="006F4D8F">
            <w:pPr>
              <w:jc w:val="center"/>
              <w:rPr>
                <w:rFonts w:cs="Calibri"/>
                <w:bCs/>
                <w:sz w:val="18"/>
                <w:szCs w:val="18"/>
              </w:rPr>
            </w:pPr>
            <w:r>
              <w:rPr>
                <w:rFonts w:cs="Calibri"/>
                <w:bCs/>
                <w:sz w:val="18"/>
                <w:szCs w:val="18"/>
              </w:rPr>
              <w:t>szt.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3120B15" w14:textId="77777777" w:rsidR="00881780" w:rsidRPr="00404DA5" w:rsidRDefault="00881780" w:rsidP="006F4D8F">
            <w:pPr>
              <w:jc w:val="center"/>
              <w:rPr>
                <w:rFonts w:cs="Calibri"/>
                <w:sz w:val="18"/>
                <w:szCs w:val="18"/>
              </w:rPr>
            </w:pPr>
            <w:r w:rsidRPr="00811CF7">
              <w:rPr>
                <w:rFonts w:cs="Calibri"/>
                <w:sz w:val="18"/>
                <w:szCs w:val="18"/>
              </w:rPr>
              <w:t>3 261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764004D5" w14:textId="77777777" w:rsidR="00881780" w:rsidRPr="00404DA5" w:rsidRDefault="00881780" w:rsidP="006F4D8F">
            <w:pPr>
              <w:jc w:val="center"/>
              <w:rPr>
                <w:rFonts w:cs="Calibri"/>
                <w:sz w:val="18"/>
                <w:szCs w:val="18"/>
              </w:rPr>
            </w:pPr>
            <w:r w:rsidRPr="00811CF7">
              <w:rPr>
                <w:rFonts w:cs="Calibri"/>
                <w:sz w:val="18"/>
                <w:szCs w:val="18"/>
              </w:rPr>
              <w:t>2 467,00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1066847" w14:textId="77777777" w:rsidR="00881780" w:rsidRPr="00404DA5" w:rsidRDefault="00881780" w:rsidP="006F4D8F">
            <w:pPr>
              <w:jc w:val="center"/>
              <w:rPr>
                <w:rFonts w:cs="Calibri"/>
                <w:sz w:val="18"/>
                <w:szCs w:val="18"/>
              </w:rPr>
            </w:pPr>
            <w:r>
              <w:rPr>
                <w:rFonts w:cs="Calibri"/>
                <w:sz w:val="18"/>
                <w:szCs w:val="18"/>
              </w:rPr>
              <w:t>76%</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DDB19E0" w14:textId="77777777" w:rsidR="00881780" w:rsidRPr="00404DA5" w:rsidRDefault="00881780" w:rsidP="006F4D8F">
            <w:pPr>
              <w:jc w:val="center"/>
              <w:rPr>
                <w:rFonts w:ascii="Calibri" w:hAnsi="Calibri"/>
                <w:color w:val="000000"/>
                <w:sz w:val="18"/>
                <w:szCs w:val="18"/>
              </w:rPr>
            </w:pPr>
            <w:r w:rsidRPr="00811CF7">
              <w:rPr>
                <w:rFonts w:ascii="Calibri" w:hAnsi="Calibri"/>
                <w:color w:val="000000"/>
                <w:sz w:val="18"/>
                <w:szCs w:val="18"/>
              </w:rPr>
              <w:t>2 171,00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97C750D" w14:textId="77777777" w:rsidR="00881780" w:rsidRPr="00404DA5" w:rsidRDefault="00881780" w:rsidP="006F4D8F">
            <w:pPr>
              <w:jc w:val="center"/>
              <w:rPr>
                <w:rFonts w:ascii="Calibri" w:hAnsi="Calibri"/>
                <w:color w:val="000000"/>
                <w:sz w:val="18"/>
                <w:szCs w:val="18"/>
              </w:rPr>
            </w:pPr>
            <w:r>
              <w:rPr>
                <w:rFonts w:ascii="Calibri" w:hAnsi="Calibri"/>
                <w:color w:val="000000"/>
                <w:sz w:val="18"/>
                <w:szCs w:val="18"/>
              </w:rPr>
              <w:t>67%</w:t>
            </w:r>
          </w:p>
        </w:tc>
      </w:tr>
    </w:tbl>
    <w:p w14:paraId="504B3159"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6FB10676" w14:textId="77777777" w:rsidR="00881780" w:rsidRPr="00404DA5" w:rsidRDefault="00881780" w:rsidP="00881780">
      <w:pPr>
        <w:rPr>
          <w:rFonts w:cs="Calibri"/>
          <w:szCs w:val="20"/>
        </w:rPr>
      </w:pPr>
      <w:bookmarkStart w:id="265" w:name="_Hlk3480294"/>
      <w:r w:rsidRPr="00404DA5">
        <w:rPr>
          <w:rFonts w:cs="Calibri"/>
          <w:szCs w:val="20"/>
        </w:rPr>
        <w:t>Na wsparcie realizowane</w:t>
      </w:r>
      <w:r w:rsidR="00E66B89">
        <w:rPr>
          <w:rFonts w:cs="Calibri"/>
          <w:szCs w:val="20"/>
        </w:rPr>
        <w:t xml:space="preserve"> w </w:t>
      </w:r>
      <w:r w:rsidRPr="00404DA5">
        <w:rPr>
          <w:rFonts w:cs="Calibri"/>
          <w:szCs w:val="20"/>
        </w:rPr>
        <w:t>ramach PI 8i przewidziano 87 000 000,00 EUR (alokacja UE ogółem</w:t>
      </w:r>
      <w:r w:rsidR="00E66B89">
        <w:rPr>
          <w:rFonts w:cs="Calibri"/>
          <w:szCs w:val="20"/>
        </w:rPr>
        <w:t xml:space="preserve"> z </w:t>
      </w:r>
      <w:r w:rsidRPr="00404DA5">
        <w:rPr>
          <w:rFonts w:cs="Calibri"/>
          <w:szCs w:val="20"/>
        </w:rPr>
        <w:t>Rezerwą Wykonania/RW), tj. 374 343 600,00 zł</w:t>
      </w:r>
      <w:r>
        <w:rPr>
          <w:rStyle w:val="Odwoanieprzypisudolnego"/>
          <w:szCs w:val="20"/>
        </w:rPr>
        <w:footnoteReference w:id="92"/>
      </w:r>
      <w:r w:rsidRPr="00404DA5">
        <w:rPr>
          <w:rFonts w:cs="Calibri"/>
          <w:szCs w:val="20"/>
        </w:rPr>
        <w:t>; 80 922 500,00 EUR (alokacja główna UE bez RW), tj. 348 193 333,00 zł</w:t>
      </w:r>
      <w:r>
        <w:rPr>
          <w:rStyle w:val="Odwoanieprzypisudolnego"/>
          <w:szCs w:val="20"/>
        </w:rPr>
        <w:footnoteReference w:id="93"/>
      </w:r>
      <w:r w:rsidRPr="00404DA5">
        <w:rPr>
          <w:rFonts w:cs="Calibri"/>
          <w:szCs w:val="20"/>
        </w:rPr>
        <w:t>.</w:t>
      </w:r>
    </w:p>
    <w:bookmarkEnd w:id="265"/>
    <w:p w14:paraId="7551C29E" w14:textId="77777777" w:rsidR="00881780" w:rsidRPr="00404DA5" w:rsidRDefault="00881780" w:rsidP="00881780">
      <w:pPr>
        <w:rPr>
          <w:rFonts w:cs="Calibri"/>
          <w:szCs w:val="20"/>
        </w:rPr>
      </w:pPr>
      <w:r w:rsidRPr="00404DA5">
        <w:rPr>
          <w:rFonts w:cs="Calibri"/>
          <w:szCs w:val="20"/>
        </w:rPr>
        <w:t>Począwszy do grudnia 2015 r. do grudnia 2018 r.</w:t>
      </w:r>
      <w:r w:rsidR="00E66B89">
        <w:rPr>
          <w:rFonts w:cs="Calibri"/>
          <w:szCs w:val="20"/>
        </w:rPr>
        <w:t xml:space="preserve"> w </w:t>
      </w:r>
      <w:r w:rsidRPr="00404DA5">
        <w:rPr>
          <w:rFonts w:cs="Calibri"/>
          <w:szCs w:val="20"/>
        </w:rPr>
        <w:t>ramach PI 8i przeprowadzono cztery nabory wniosków</w:t>
      </w:r>
      <w:r w:rsidR="00E66B89">
        <w:rPr>
          <w:rFonts w:cs="Calibri"/>
          <w:szCs w:val="20"/>
        </w:rPr>
        <w:t xml:space="preserve"> o </w:t>
      </w:r>
      <w:r w:rsidRPr="00404DA5">
        <w:rPr>
          <w:rFonts w:cs="Calibri"/>
          <w:szCs w:val="20"/>
        </w:rPr>
        <w:t>dofinansowanie projektów typu 2</w:t>
      </w:r>
      <w:r w:rsidR="00E66B89">
        <w:rPr>
          <w:rFonts w:cs="Calibri"/>
          <w:szCs w:val="20"/>
        </w:rPr>
        <w:t xml:space="preserve"> i </w:t>
      </w:r>
      <w:r w:rsidRPr="00404DA5">
        <w:rPr>
          <w:rFonts w:cs="Calibri"/>
          <w:szCs w:val="20"/>
        </w:rPr>
        <w:t>3</w:t>
      </w:r>
      <w:r w:rsidR="00E66B89">
        <w:rPr>
          <w:rFonts w:cs="Calibri"/>
          <w:szCs w:val="20"/>
        </w:rPr>
        <w:t xml:space="preserve"> w </w:t>
      </w:r>
      <w:r w:rsidRPr="00404DA5">
        <w:rPr>
          <w:rFonts w:cs="Calibri"/>
          <w:szCs w:val="20"/>
        </w:rPr>
        <w:t>trybie konkursowym.</w:t>
      </w:r>
      <w:r w:rsidR="00E66B89">
        <w:rPr>
          <w:rFonts w:cs="Calibri"/>
          <w:szCs w:val="20"/>
        </w:rPr>
        <w:t xml:space="preserve"> W </w:t>
      </w:r>
      <w:r w:rsidRPr="00404DA5">
        <w:rPr>
          <w:rFonts w:cs="Calibri"/>
          <w:szCs w:val="20"/>
        </w:rPr>
        <w:t>ramach Działania 6.5 realizowane są również projekty powiatowych urzędów pracy/ PUP (typ 1 projektów dofinansowywanych</w:t>
      </w:r>
      <w:r w:rsidR="00E66B89">
        <w:rPr>
          <w:rFonts w:cs="Calibri"/>
          <w:szCs w:val="20"/>
        </w:rPr>
        <w:t xml:space="preserve"> w </w:t>
      </w:r>
      <w:r w:rsidRPr="00404DA5">
        <w:rPr>
          <w:rFonts w:cs="Calibri"/>
          <w:szCs w:val="20"/>
        </w:rPr>
        <w:t>trybie pozakonkursowym).</w:t>
      </w:r>
      <w:r w:rsidR="00E66B89">
        <w:rPr>
          <w:rFonts w:cs="Calibri"/>
          <w:szCs w:val="20"/>
        </w:rPr>
        <w:t xml:space="preserve"> W </w:t>
      </w:r>
      <w:r w:rsidRPr="00404DA5">
        <w:rPr>
          <w:rFonts w:cs="Calibri"/>
          <w:szCs w:val="20"/>
        </w:rPr>
        <w:t>Działaniu łącznie zawarto 116 umów</w:t>
      </w:r>
      <w:r w:rsidR="00E66B89">
        <w:rPr>
          <w:rFonts w:cs="Calibri"/>
          <w:szCs w:val="20"/>
        </w:rPr>
        <w:t xml:space="preserve"> o </w:t>
      </w:r>
      <w:r w:rsidRPr="00404DA5">
        <w:rPr>
          <w:rFonts w:cs="Calibri"/>
          <w:szCs w:val="20"/>
        </w:rPr>
        <w:t>dofinansowanie projektów (z tego ponad połowa to projekty realizowane przez PUP). Wartość projektów ogółem to 191 192 564,12 zł, wkład EU wynosi 162 513 680,13 zł, co stanowi 43,4% alokacji UE ogółem (z RW) na PI 8i Działanie 6.5., oraz 46,7% alokacji głównej (bez RW).</w:t>
      </w:r>
    </w:p>
    <w:p w14:paraId="5CA41B03" w14:textId="77777777" w:rsidR="00881780" w:rsidRPr="00404DA5" w:rsidRDefault="00881780" w:rsidP="00881780">
      <w:pPr>
        <w:rPr>
          <w:rFonts w:cs="Calibri"/>
          <w:szCs w:val="20"/>
        </w:rPr>
      </w:pPr>
      <w:r w:rsidRPr="00404DA5">
        <w:rPr>
          <w:rFonts w:cs="Calibri"/>
          <w:szCs w:val="20"/>
        </w:rPr>
        <w:t>Alokacja UE ogółem (z RW) pozostała / dostępna</w:t>
      </w:r>
      <w:r w:rsidR="00E66B89">
        <w:rPr>
          <w:rFonts w:cs="Calibri"/>
          <w:szCs w:val="20"/>
        </w:rPr>
        <w:t xml:space="preserve"> w </w:t>
      </w:r>
      <w:r w:rsidRPr="00404DA5">
        <w:rPr>
          <w:rFonts w:cs="Calibri"/>
          <w:szCs w:val="20"/>
        </w:rPr>
        <w:t>PI 8i wynosi 211 829 919,87 zł. Pozostała / dostępna alokacja UE główna (bez RW) wynosi 186 679 652,87 zł.</w:t>
      </w:r>
    </w:p>
    <w:p w14:paraId="1EAD266C" w14:textId="77777777" w:rsidR="00881780" w:rsidRPr="00404DA5" w:rsidRDefault="00881780" w:rsidP="00881780">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informacją zamieszczoną</w:t>
      </w:r>
      <w:r w:rsidR="00E66B89">
        <w:rPr>
          <w:rFonts w:cs="Calibri"/>
          <w:szCs w:val="20"/>
        </w:rPr>
        <w:t xml:space="preserve"> w </w:t>
      </w:r>
      <w:r w:rsidRPr="00404DA5">
        <w:rPr>
          <w:rFonts w:cs="Calibri"/>
          <w:szCs w:val="20"/>
        </w:rPr>
        <w:t>harmonogramie naborów wniosków</w:t>
      </w:r>
      <w:r w:rsidR="00E66B89">
        <w:rPr>
          <w:rFonts w:cs="Calibri"/>
          <w:szCs w:val="20"/>
        </w:rPr>
        <w:t xml:space="preserve"> o </w:t>
      </w:r>
      <w:r w:rsidRPr="00404DA5">
        <w:rPr>
          <w:rFonts w:cs="Calibri"/>
          <w:szCs w:val="20"/>
        </w:rPr>
        <w:t>dofinansowanie dla RPO WZ 2014-2020 na 2019 rok,</w:t>
      </w:r>
      <w:r w:rsidR="00E66B89">
        <w:rPr>
          <w:rFonts w:cs="Calibri"/>
          <w:szCs w:val="20"/>
        </w:rPr>
        <w:t xml:space="preserve"> w </w:t>
      </w:r>
      <w:r w:rsidRPr="00404DA5">
        <w:rPr>
          <w:rFonts w:cs="Calibri"/>
          <w:szCs w:val="20"/>
        </w:rPr>
        <w:t>drugiej połowie II kwartału 2019 r. planowany jest piąty nabór wniosków</w:t>
      </w:r>
      <w:r w:rsidR="00E66B89">
        <w:rPr>
          <w:rFonts w:cs="Calibri"/>
          <w:szCs w:val="20"/>
        </w:rPr>
        <w:t xml:space="preserve"> o </w:t>
      </w:r>
      <w:r w:rsidRPr="00404DA5">
        <w:rPr>
          <w:rFonts w:cs="Calibri"/>
          <w:szCs w:val="20"/>
        </w:rPr>
        <w:t>dofinansowanie projektów ramach Działania 6.5. Dofinansowanie będą mogły uzyskać typy projektów 2</w:t>
      </w:r>
      <w:r w:rsidR="00E66B89">
        <w:rPr>
          <w:rFonts w:cs="Calibri"/>
          <w:szCs w:val="20"/>
        </w:rPr>
        <w:t xml:space="preserve"> i </w:t>
      </w:r>
      <w:r w:rsidRPr="00404DA5">
        <w:rPr>
          <w:rFonts w:cs="Calibri"/>
          <w:szCs w:val="20"/>
        </w:rPr>
        <w:t>3, (typ 2: Wsparcie indywidualnej</w:t>
      </w:r>
      <w:r w:rsidR="00E66B89">
        <w:rPr>
          <w:rFonts w:cs="Calibri"/>
          <w:szCs w:val="20"/>
        </w:rPr>
        <w:t xml:space="preserve"> i </w:t>
      </w:r>
      <w:r w:rsidRPr="00404DA5">
        <w:rPr>
          <w:rFonts w:cs="Calibri"/>
          <w:szCs w:val="20"/>
        </w:rPr>
        <w:t>kompleksowej aktywizacji zawodowej osób biernych zawodowo lub bezrobotnych niezarejestrowanych</w:t>
      </w:r>
      <w:r w:rsidR="00E66B89">
        <w:rPr>
          <w:rFonts w:cs="Calibri"/>
          <w:szCs w:val="20"/>
        </w:rPr>
        <w:t xml:space="preserve"> w </w:t>
      </w:r>
      <w:r w:rsidRPr="00404DA5">
        <w:rPr>
          <w:rFonts w:cs="Calibri"/>
          <w:szCs w:val="20"/>
        </w:rPr>
        <w:t>PUP znajdujących się</w:t>
      </w:r>
      <w:r w:rsidR="00E66B89">
        <w:rPr>
          <w:rFonts w:cs="Calibri"/>
          <w:szCs w:val="20"/>
        </w:rPr>
        <w:t xml:space="preserve"> w </w:t>
      </w:r>
      <w:r w:rsidRPr="00404DA5">
        <w:rPr>
          <w:rFonts w:cs="Calibri"/>
          <w:szCs w:val="20"/>
        </w:rPr>
        <w:t>szczególnie trudnej sytuacji na rynku pracy; typ 3: Kompleksowe wsparcie</w:t>
      </w:r>
      <w:r w:rsidR="00E66B89">
        <w:rPr>
          <w:rFonts w:cs="Calibri"/>
          <w:szCs w:val="20"/>
        </w:rPr>
        <w:t xml:space="preserve"> i </w:t>
      </w:r>
      <w:r w:rsidRPr="00404DA5">
        <w:rPr>
          <w:rFonts w:cs="Calibri"/>
          <w:szCs w:val="20"/>
        </w:rPr>
        <w:t>indywidua</w:t>
      </w:r>
      <w:r>
        <w:rPr>
          <w:rFonts w:cs="Calibri"/>
          <w:szCs w:val="20"/>
        </w:rPr>
        <w:t>l</w:t>
      </w:r>
      <w:r w:rsidRPr="00404DA5">
        <w:rPr>
          <w:rFonts w:cs="Calibri"/>
          <w:szCs w:val="20"/>
        </w:rPr>
        <w:t>na pomoc realizowana zgodnie</w:t>
      </w:r>
      <w:r w:rsidR="00E66B89">
        <w:rPr>
          <w:rFonts w:cs="Calibri"/>
          <w:szCs w:val="20"/>
        </w:rPr>
        <w:t xml:space="preserve"> z </w:t>
      </w:r>
      <w:r w:rsidRPr="00404DA5">
        <w:rPr>
          <w:rFonts w:cs="Calibri"/>
          <w:szCs w:val="20"/>
        </w:rPr>
        <w:t>zaplanowaną ścieżką wsparcia, osób</w:t>
      </w:r>
      <w:r w:rsidR="00E66B89">
        <w:rPr>
          <w:rFonts w:cs="Calibri"/>
          <w:szCs w:val="20"/>
        </w:rPr>
        <w:t xml:space="preserve"> o </w:t>
      </w:r>
      <w:r w:rsidRPr="00404DA5">
        <w:rPr>
          <w:rFonts w:cs="Calibri"/>
          <w:szCs w:val="20"/>
        </w:rPr>
        <w:t>statusie ubogich pracujących, odchodzących</w:t>
      </w:r>
      <w:r w:rsidR="00E66B89">
        <w:rPr>
          <w:rFonts w:cs="Calibri"/>
          <w:szCs w:val="20"/>
        </w:rPr>
        <w:t xml:space="preserve"> z </w:t>
      </w:r>
      <w:r w:rsidRPr="00404DA5">
        <w:rPr>
          <w:rFonts w:cs="Calibri"/>
          <w:szCs w:val="20"/>
        </w:rPr>
        <w:t>rolnictwa, zatrudnionych na umowach krótkoterminowych</w:t>
      </w:r>
      <w:r w:rsidR="00E66B89">
        <w:rPr>
          <w:rFonts w:cs="Calibri"/>
          <w:szCs w:val="20"/>
        </w:rPr>
        <w:t xml:space="preserve"> i </w:t>
      </w:r>
      <w:r w:rsidRPr="00404DA5">
        <w:rPr>
          <w:rFonts w:cs="Calibri"/>
          <w:szCs w:val="20"/>
        </w:rPr>
        <w:t>cywilno-prawnych)</w:t>
      </w:r>
      <w:r>
        <w:rPr>
          <w:rFonts w:cs="Calibri"/>
          <w:szCs w:val="20"/>
        </w:rPr>
        <w:t>.</w:t>
      </w:r>
    </w:p>
    <w:p w14:paraId="73A7B906" w14:textId="77777777" w:rsidR="00881780" w:rsidRPr="00404DA5" w:rsidRDefault="00881780" w:rsidP="00881780">
      <w:pPr>
        <w:rPr>
          <w:rFonts w:cs="Calibri"/>
          <w:szCs w:val="20"/>
        </w:rPr>
      </w:pPr>
      <w:r w:rsidRPr="00404DA5">
        <w:rPr>
          <w:rFonts w:cs="Calibri"/>
          <w:szCs w:val="20"/>
        </w:rPr>
        <w:t>Postęp rzeczowy</w:t>
      </w:r>
      <w:r w:rsidR="00E66B89">
        <w:rPr>
          <w:rFonts w:cs="Calibri"/>
          <w:szCs w:val="20"/>
        </w:rPr>
        <w:t xml:space="preserve"> w </w:t>
      </w:r>
      <w:r w:rsidRPr="00404DA5">
        <w:rPr>
          <w:rFonts w:cs="Calibri"/>
          <w:szCs w:val="20"/>
        </w:rPr>
        <w:t xml:space="preserve">ramach Pi 8i kształtuje się na zróżnicowanym poziomie. Osiągnięta została docelowa wartość wskaźnika produktu: </w:t>
      </w:r>
      <w:r w:rsidRPr="00404DA5">
        <w:rPr>
          <w:rFonts w:cs="Calibri"/>
          <w:i/>
          <w:szCs w:val="20"/>
        </w:rPr>
        <w:t>Liczba osób</w:t>
      </w:r>
      <w:r w:rsidR="00E66B89">
        <w:rPr>
          <w:rFonts w:cs="Calibri"/>
          <w:i/>
          <w:szCs w:val="20"/>
        </w:rPr>
        <w:t xml:space="preserve"> o </w:t>
      </w:r>
      <w:r w:rsidRPr="00404DA5">
        <w:rPr>
          <w:rFonts w:cs="Calibri"/>
          <w:i/>
          <w:szCs w:val="20"/>
        </w:rPr>
        <w:t>niskich kwalifikacjach objętych wsparciem</w:t>
      </w:r>
      <w:r w:rsidR="00E66B89">
        <w:rPr>
          <w:rFonts w:cs="Calibri"/>
          <w:i/>
          <w:szCs w:val="20"/>
        </w:rPr>
        <w:t xml:space="preserve"> w </w:t>
      </w:r>
      <w:r w:rsidRPr="00404DA5">
        <w:rPr>
          <w:rFonts w:cs="Calibri"/>
          <w:i/>
          <w:szCs w:val="20"/>
        </w:rPr>
        <w:t>programie</w:t>
      </w:r>
      <w:r w:rsidRPr="00404DA5">
        <w:rPr>
          <w:rFonts w:cs="Calibri"/>
          <w:szCs w:val="20"/>
        </w:rPr>
        <w:t xml:space="preserve"> (100% wg. WoP). Nie prognozuje się zagrożeń związanych</w:t>
      </w:r>
      <w:r w:rsidR="00E66B89">
        <w:rPr>
          <w:rFonts w:cs="Calibri"/>
          <w:szCs w:val="20"/>
        </w:rPr>
        <w:t xml:space="preserve"> z </w:t>
      </w:r>
      <w:r w:rsidRPr="00404DA5">
        <w:rPr>
          <w:rFonts w:cs="Calibri"/>
          <w:szCs w:val="20"/>
        </w:rPr>
        <w:t>osiągnięciem wartości końcowej wskaźnika:</w:t>
      </w:r>
    </w:p>
    <w:p w14:paraId="04721970" w14:textId="77777777" w:rsidR="00881780" w:rsidRPr="00404DA5" w:rsidRDefault="00881780" w:rsidP="0013771A">
      <w:pPr>
        <w:pStyle w:val="Akapitzlist"/>
        <w:numPr>
          <w:ilvl w:val="0"/>
          <w:numId w:val="65"/>
        </w:numPr>
        <w:spacing w:after="120" w:line="288" w:lineRule="auto"/>
        <w:rPr>
          <w:rFonts w:ascii="Lato" w:hAnsi="Lato" w:cs="Calibri"/>
          <w:sz w:val="20"/>
          <w:szCs w:val="20"/>
        </w:rPr>
      </w:pPr>
      <w:r w:rsidRPr="00404DA5">
        <w:rPr>
          <w:rFonts w:ascii="Lato" w:hAnsi="Lato" w:cs="Calibri"/>
          <w:i/>
          <w:sz w:val="20"/>
          <w:szCs w:val="20"/>
        </w:rPr>
        <w:t>Liczba osób, które otrzymały bezzwrotne środki na podjęcie działalności gospodarczej</w:t>
      </w:r>
      <w:r w:rsidR="00E66B89">
        <w:rPr>
          <w:rFonts w:ascii="Lato" w:hAnsi="Lato" w:cs="Calibri"/>
          <w:i/>
          <w:sz w:val="20"/>
          <w:szCs w:val="20"/>
        </w:rPr>
        <w:t xml:space="preserve"> w </w:t>
      </w:r>
      <w:r w:rsidRPr="00404DA5">
        <w:rPr>
          <w:rFonts w:ascii="Lato" w:hAnsi="Lato" w:cs="Calibri"/>
          <w:i/>
          <w:sz w:val="20"/>
          <w:szCs w:val="20"/>
        </w:rPr>
        <w:t>programie</w:t>
      </w:r>
      <w:r w:rsidRPr="00404DA5">
        <w:rPr>
          <w:rFonts w:ascii="Lato" w:hAnsi="Lato" w:cs="Calibri"/>
          <w:sz w:val="20"/>
          <w:szCs w:val="20"/>
        </w:rPr>
        <w:t xml:space="preserve"> (poziom wykonania: 75% wg. WoP; 84% wg UoD)</w:t>
      </w:r>
      <w:r>
        <w:rPr>
          <w:rFonts w:ascii="Lato" w:hAnsi="Lato" w:cs="Calibri"/>
          <w:sz w:val="20"/>
          <w:szCs w:val="20"/>
        </w:rPr>
        <w:t>;</w:t>
      </w:r>
    </w:p>
    <w:p w14:paraId="284693B6" w14:textId="77777777" w:rsidR="00881780" w:rsidRPr="00404DA5" w:rsidRDefault="00881780" w:rsidP="0013771A">
      <w:pPr>
        <w:pStyle w:val="Akapitzlist"/>
        <w:numPr>
          <w:ilvl w:val="0"/>
          <w:numId w:val="65"/>
        </w:numPr>
        <w:spacing w:before="0"/>
        <w:rPr>
          <w:rFonts w:ascii="Lato" w:hAnsi="Lato" w:cs="Calibri"/>
          <w:sz w:val="20"/>
          <w:szCs w:val="20"/>
        </w:rPr>
      </w:pPr>
      <w:r w:rsidRPr="00404DA5">
        <w:rPr>
          <w:rFonts w:ascii="Lato" w:hAnsi="Lato" w:cs="Calibri"/>
          <w:i/>
          <w:sz w:val="20"/>
          <w:szCs w:val="20"/>
        </w:rPr>
        <w:lastRenderedPageBreak/>
        <w:t>Liczba osób</w:t>
      </w:r>
      <w:r w:rsidR="00E66B89">
        <w:rPr>
          <w:rFonts w:ascii="Lato" w:hAnsi="Lato" w:cs="Calibri"/>
          <w:i/>
          <w:sz w:val="20"/>
          <w:szCs w:val="20"/>
        </w:rPr>
        <w:t xml:space="preserve"> z </w:t>
      </w:r>
      <w:r w:rsidRPr="00404DA5">
        <w:rPr>
          <w:rFonts w:ascii="Lato" w:hAnsi="Lato" w:cs="Calibri"/>
          <w:i/>
          <w:sz w:val="20"/>
          <w:szCs w:val="20"/>
        </w:rPr>
        <w:t>niepełnosprawnościami objętych wsparciem</w:t>
      </w:r>
      <w:r w:rsidR="00E66B89">
        <w:rPr>
          <w:rFonts w:ascii="Lato" w:hAnsi="Lato" w:cs="Calibri"/>
          <w:i/>
          <w:sz w:val="20"/>
          <w:szCs w:val="20"/>
        </w:rPr>
        <w:t xml:space="preserve"> w </w:t>
      </w:r>
      <w:r w:rsidRPr="00404DA5">
        <w:rPr>
          <w:rFonts w:ascii="Lato" w:hAnsi="Lato" w:cs="Calibri"/>
          <w:i/>
          <w:sz w:val="20"/>
          <w:szCs w:val="20"/>
        </w:rPr>
        <w:t xml:space="preserve">programie </w:t>
      </w:r>
      <w:r w:rsidRPr="00404DA5">
        <w:rPr>
          <w:rFonts w:ascii="Lato" w:hAnsi="Lato" w:cs="Calibri"/>
          <w:sz w:val="20"/>
          <w:szCs w:val="20"/>
        </w:rPr>
        <w:t>(poziom wykonania: 78% wg. WoP; 82% wg UoD)</w:t>
      </w:r>
      <w:r>
        <w:rPr>
          <w:rFonts w:ascii="Lato" w:hAnsi="Lato" w:cs="Calibri"/>
          <w:sz w:val="20"/>
          <w:szCs w:val="20"/>
        </w:rPr>
        <w:t>.</w:t>
      </w:r>
    </w:p>
    <w:p w14:paraId="369D8589" w14:textId="77777777" w:rsidR="00881780" w:rsidRDefault="00881780" w:rsidP="00881780">
      <w:pPr>
        <w:rPr>
          <w:rFonts w:cs="Calibri"/>
          <w:szCs w:val="20"/>
        </w:rPr>
      </w:pPr>
      <w:r>
        <w:rPr>
          <w:rFonts w:cs="Calibri"/>
          <w:szCs w:val="20"/>
        </w:rPr>
        <w:t xml:space="preserve">Wskaźnik </w:t>
      </w:r>
      <w:r w:rsidRPr="00766F22">
        <w:rPr>
          <w:rFonts w:cs="Calibri"/>
          <w:i/>
          <w:szCs w:val="20"/>
        </w:rPr>
        <w:t>Liczba osób bezrobotnych (łącznie</w:t>
      </w:r>
      <w:r w:rsidR="00E66B89">
        <w:rPr>
          <w:rFonts w:cs="Calibri"/>
          <w:i/>
          <w:szCs w:val="20"/>
        </w:rPr>
        <w:t xml:space="preserve"> z </w:t>
      </w:r>
      <w:r w:rsidRPr="00766F22">
        <w:rPr>
          <w:rFonts w:cs="Calibri"/>
          <w:i/>
          <w:szCs w:val="20"/>
        </w:rPr>
        <w:t>długotrwale bezrobotnymi) objętych wsparciem</w:t>
      </w:r>
      <w:r w:rsidR="00E66B89">
        <w:rPr>
          <w:rFonts w:cs="Calibri"/>
          <w:i/>
          <w:szCs w:val="20"/>
        </w:rPr>
        <w:t xml:space="preserve"> w </w:t>
      </w:r>
      <w:r w:rsidRPr="00766F22">
        <w:rPr>
          <w:rFonts w:cs="Calibri"/>
          <w:i/>
          <w:szCs w:val="20"/>
        </w:rPr>
        <w:t>programie(C)</w:t>
      </w:r>
      <w:r w:rsidRPr="00766F22">
        <w:rPr>
          <w:rFonts w:cs="Calibri"/>
          <w:szCs w:val="20"/>
        </w:rPr>
        <w:t xml:space="preserve"> –</w:t>
      </w:r>
      <w:r>
        <w:rPr>
          <w:rFonts w:cs="Calibri"/>
          <w:szCs w:val="20"/>
        </w:rPr>
        <w:t xml:space="preserve"> </w:t>
      </w:r>
      <w:r w:rsidRPr="00766F22">
        <w:rPr>
          <w:rFonts w:cs="Calibri"/>
          <w:szCs w:val="20"/>
        </w:rPr>
        <w:t xml:space="preserve">wykazuje się relatywnie wysokim </w:t>
      </w:r>
      <w:r>
        <w:rPr>
          <w:rFonts w:cs="Calibri"/>
          <w:szCs w:val="20"/>
        </w:rPr>
        <w:t>stopniem osiągnięcia</w:t>
      </w:r>
      <w:r w:rsidRPr="00766F22">
        <w:rPr>
          <w:rFonts w:cs="Calibri"/>
          <w:szCs w:val="20"/>
        </w:rPr>
        <w:t xml:space="preserve"> wartości docelowej: 71% wg UoD;</w:t>
      </w:r>
      <w:r>
        <w:rPr>
          <w:rFonts w:cs="Calibri"/>
          <w:szCs w:val="20"/>
        </w:rPr>
        <w:t xml:space="preserve"> 66% wg WoP.</w:t>
      </w:r>
      <w:r w:rsidR="00E66B89">
        <w:rPr>
          <w:rFonts w:cs="Calibri"/>
          <w:szCs w:val="20"/>
        </w:rPr>
        <w:t xml:space="preserve"> W </w:t>
      </w:r>
      <w:r>
        <w:rPr>
          <w:rFonts w:cs="Calibri"/>
          <w:szCs w:val="20"/>
        </w:rPr>
        <w:t>wyniku naboru wniosków</w:t>
      </w:r>
      <w:r w:rsidR="00E66B89">
        <w:rPr>
          <w:rFonts w:cs="Calibri"/>
          <w:szCs w:val="20"/>
        </w:rPr>
        <w:t xml:space="preserve"> o </w:t>
      </w:r>
      <w:r>
        <w:rPr>
          <w:rFonts w:cs="Calibri"/>
          <w:szCs w:val="20"/>
        </w:rPr>
        <w:t>dofinansowanie projektów</w:t>
      </w:r>
      <w:r w:rsidR="00E66B89">
        <w:rPr>
          <w:rFonts w:cs="Calibri"/>
          <w:szCs w:val="20"/>
        </w:rPr>
        <w:t xml:space="preserve"> w </w:t>
      </w:r>
      <w:r>
        <w:rPr>
          <w:rFonts w:cs="Calibri"/>
          <w:szCs w:val="20"/>
        </w:rPr>
        <w:t>trybie pozakonkursowym (mającym miejsce</w:t>
      </w:r>
      <w:r w:rsidR="00E66B89">
        <w:rPr>
          <w:rFonts w:cs="Calibri"/>
          <w:szCs w:val="20"/>
        </w:rPr>
        <w:t xml:space="preserve"> w </w:t>
      </w:r>
      <w:r>
        <w:rPr>
          <w:rFonts w:cs="Calibri"/>
          <w:szCs w:val="20"/>
        </w:rPr>
        <w:t>2019 roku) szacuje się, że osiągnięta zostanie wartość</w:t>
      </w:r>
      <w:r w:rsidRPr="00766F22">
        <w:rPr>
          <w:rFonts w:cs="Calibri"/>
          <w:szCs w:val="20"/>
        </w:rPr>
        <w:t xml:space="preserve"> wskaźnika </w:t>
      </w:r>
      <w:r>
        <w:rPr>
          <w:rFonts w:cs="Calibri"/>
          <w:szCs w:val="20"/>
        </w:rPr>
        <w:t xml:space="preserve">wynosząca </w:t>
      </w:r>
      <w:r w:rsidRPr="00766F22">
        <w:rPr>
          <w:rFonts w:cs="Calibri"/>
          <w:szCs w:val="20"/>
        </w:rPr>
        <w:t>2</w:t>
      </w:r>
      <w:r>
        <w:rPr>
          <w:rFonts w:cs="Calibri"/>
          <w:szCs w:val="20"/>
        </w:rPr>
        <w:t xml:space="preserve"> </w:t>
      </w:r>
      <w:r w:rsidRPr="00766F22">
        <w:rPr>
          <w:rFonts w:cs="Calibri"/>
          <w:szCs w:val="20"/>
        </w:rPr>
        <w:t>931 osób</w:t>
      </w:r>
      <w:r>
        <w:rPr>
          <w:rFonts w:cs="Calibri"/>
          <w:szCs w:val="20"/>
        </w:rPr>
        <w:t xml:space="preserve">. </w:t>
      </w:r>
      <w:r w:rsidRPr="00AA4E6F">
        <w:rPr>
          <w:rFonts w:cs="Calibri"/>
          <w:szCs w:val="20"/>
        </w:rPr>
        <w:t xml:space="preserve">Całkowita prognozowana wartość wskaźnika </w:t>
      </w:r>
      <w:r>
        <w:rPr>
          <w:rFonts w:cs="Calibri"/>
          <w:szCs w:val="20"/>
        </w:rPr>
        <w:t xml:space="preserve">wyniesie wówczas 16 957 osób </w:t>
      </w:r>
      <w:r w:rsidRPr="00AA4E6F">
        <w:rPr>
          <w:rFonts w:cs="Calibri"/>
          <w:szCs w:val="20"/>
        </w:rPr>
        <w:t>(wartość docelowa</w:t>
      </w:r>
      <w:r w:rsidR="00E66B89">
        <w:rPr>
          <w:rFonts w:cs="Calibri"/>
          <w:szCs w:val="20"/>
        </w:rPr>
        <w:t xml:space="preserve"> w </w:t>
      </w:r>
      <w:r w:rsidRPr="00AA4E6F">
        <w:rPr>
          <w:rFonts w:cs="Calibri"/>
          <w:szCs w:val="20"/>
        </w:rPr>
        <w:t>UoD</w:t>
      </w:r>
      <w:r>
        <w:rPr>
          <w:rFonts w:cs="Calibri"/>
          <w:szCs w:val="20"/>
        </w:rPr>
        <w:t>: 14 026 osób</w:t>
      </w:r>
      <w:r w:rsidRPr="00AA4E6F">
        <w:rPr>
          <w:rFonts w:cs="Calibri"/>
          <w:szCs w:val="20"/>
        </w:rPr>
        <w:t xml:space="preserve"> </w:t>
      </w:r>
      <w:r>
        <w:rPr>
          <w:rFonts w:cs="Calibri"/>
          <w:szCs w:val="20"/>
        </w:rPr>
        <w:t>łącznie</w:t>
      </w:r>
      <w:r w:rsidR="00E66B89">
        <w:rPr>
          <w:rFonts w:cs="Calibri"/>
          <w:szCs w:val="20"/>
        </w:rPr>
        <w:t xml:space="preserve"> z </w:t>
      </w:r>
      <w:r w:rsidRPr="00AA4E6F">
        <w:rPr>
          <w:rFonts w:cs="Calibri"/>
          <w:szCs w:val="20"/>
        </w:rPr>
        <w:t>prognozowan</w:t>
      </w:r>
      <w:r>
        <w:rPr>
          <w:rFonts w:cs="Calibri"/>
          <w:szCs w:val="20"/>
        </w:rPr>
        <w:t>ą:</w:t>
      </w:r>
      <w:r w:rsidRPr="00AA4E6F">
        <w:rPr>
          <w:rFonts w:cs="Calibri"/>
          <w:szCs w:val="20"/>
        </w:rPr>
        <w:t xml:space="preserve"> </w:t>
      </w:r>
      <w:r>
        <w:rPr>
          <w:rFonts w:cs="Calibri"/>
          <w:szCs w:val="20"/>
        </w:rPr>
        <w:t>2 931 osób</w:t>
      </w:r>
      <w:r w:rsidRPr="00AA4E6F">
        <w:rPr>
          <w:rFonts w:cs="Calibri"/>
          <w:szCs w:val="20"/>
        </w:rPr>
        <w:t>)</w:t>
      </w:r>
      <w:r>
        <w:rPr>
          <w:rFonts w:cs="Calibri"/>
          <w:szCs w:val="20"/>
        </w:rPr>
        <w:t>, co będzie stanowiło 85,9% wartości docelowej wskaźnika (na 2023 rok).</w:t>
      </w:r>
      <w:r w:rsidR="00E66B89">
        <w:rPr>
          <w:rFonts w:cs="Calibri"/>
          <w:szCs w:val="20"/>
        </w:rPr>
        <w:t xml:space="preserve"> W </w:t>
      </w:r>
      <w:r>
        <w:rPr>
          <w:rFonts w:cs="Calibri"/>
          <w:szCs w:val="20"/>
        </w:rPr>
        <w:t>kolejnych latach również planowane są nabory wniosków</w:t>
      </w:r>
      <w:r w:rsidR="00E66B89">
        <w:rPr>
          <w:rFonts w:cs="Calibri"/>
          <w:szCs w:val="20"/>
        </w:rPr>
        <w:t xml:space="preserve"> o </w:t>
      </w:r>
      <w:r>
        <w:rPr>
          <w:rFonts w:cs="Calibri"/>
          <w:szCs w:val="20"/>
        </w:rPr>
        <w:t>dofinansowanie projektów</w:t>
      </w:r>
      <w:r w:rsidR="00E66B89">
        <w:rPr>
          <w:rFonts w:cs="Calibri"/>
          <w:szCs w:val="20"/>
        </w:rPr>
        <w:t xml:space="preserve"> w </w:t>
      </w:r>
      <w:r>
        <w:rPr>
          <w:rFonts w:cs="Calibri"/>
          <w:szCs w:val="20"/>
        </w:rPr>
        <w:t>trybie pozakonkursowym, które</w:t>
      </w:r>
      <w:r w:rsidR="00E66B89">
        <w:rPr>
          <w:rFonts w:cs="Calibri"/>
          <w:szCs w:val="20"/>
        </w:rPr>
        <w:t xml:space="preserve"> w </w:t>
      </w:r>
      <w:r>
        <w:rPr>
          <w:rFonts w:cs="Calibri"/>
          <w:szCs w:val="20"/>
        </w:rPr>
        <w:t>ocenie instytucji odpowiedzialnej za wdrażanie powinny zabezpieczyć realizację celu końcowego. Warto podkreślić, że s</w:t>
      </w:r>
      <w:r w:rsidRPr="00E72B27">
        <w:rPr>
          <w:rFonts w:cs="Calibri"/>
          <w:szCs w:val="20"/>
        </w:rPr>
        <w:t>trategiczny dla statutowej działalności Powiatowych Urzędów Pracy charakter wsparcia oraz bezpośredni dostęp do potencjalnych odbiorców wsparcia (osób bezrobotnych, pozostających</w:t>
      </w:r>
      <w:r w:rsidR="00E66B89">
        <w:rPr>
          <w:rFonts w:cs="Calibri"/>
          <w:szCs w:val="20"/>
        </w:rPr>
        <w:t xml:space="preserve"> w </w:t>
      </w:r>
      <w:r w:rsidRPr="00E72B27">
        <w:rPr>
          <w:rFonts w:cs="Calibri"/>
          <w:szCs w:val="20"/>
        </w:rPr>
        <w:t>sytuacji szczególnej na rynku pracy) to czynniki zwiększające skuteczność podejmowanych przez PUP projektów.</w:t>
      </w:r>
    </w:p>
    <w:p w14:paraId="54189922" w14:textId="77777777" w:rsidR="00881780" w:rsidRDefault="00881780" w:rsidP="00881780">
      <w:pPr>
        <w:rPr>
          <w:rFonts w:cs="Calibri"/>
          <w:szCs w:val="20"/>
        </w:rPr>
      </w:pPr>
      <w:r>
        <w:rPr>
          <w:rFonts w:cs="Calibri"/>
          <w:szCs w:val="20"/>
        </w:rPr>
        <w:t xml:space="preserve">Wskaźnik </w:t>
      </w:r>
      <w:r w:rsidRPr="009A2CCB">
        <w:rPr>
          <w:rFonts w:cs="Calibri"/>
          <w:i/>
          <w:szCs w:val="20"/>
        </w:rPr>
        <w:t>Liczba osób biernych zawodowo objętych wsparciem</w:t>
      </w:r>
      <w:r w:rsidR="00E66B89">
        <w:rPr>
          <w:rFonts w:cs="Calibri"/>
          <w:i/>
          <w:szCs w:val="20"/>
        </w:rPr>
        <w:t xml:space="preserve"> w </w:t>
      </w:r>
      <w:r w:rsidRPr="009A2CCB">
        <w:rPr>
          <w:rFonts w:cs="Calibri"/>
          <w:i/>
          <w:szCs w:val="20"/>
        </w:rPr>
        <w:t xml:space="preserve">programie (C) </w:t>
      </w:r>
      <w:r w:rsidRPr="009A2CCB">
        <w:rPr>
          <w:rFonts w:cs="Calibri"/>
          <w:szCs w:val="20"/>
        </w:rPr>
        <w:t>wykazuje się umiarkowanie wysokim poziomem szacowanej do osiągnięcia wartości docelowej: 66% wg UoD</w:t>
      </w:r>
      <w:r>
        <w:rPr>
          <w:rFonts w:cs="Calibri"/>
          <w:szCs w:val="20"/>
        </w:rPr>
        <w:t>; 46% wg. WoP.</w:t>
      </w:r>
      <w:r w:rsidR="00E66B89">
        <w:rPr>
          <w:rFonts w:cs="Calibri"/>
          <w:szCs w:val="20"/>
        </w:rPr>
        <w:t xml:space="preserve"> W I </w:t>
      </w:r>
      <w:r>
        <w:rPr>
          <w:rFonts w:cs="Calibri"/>
          <w:szCs w:val="20"/>
        </w:rPr>
        <w:t>kwartale 2018 roku zakończono (prowadzony</w:t>
      </w:r>
      <w:r w:rsidR="00E66B89">
        <w:rPr>
          <w:rFonts w:cs="Calibri"/>
          <w:szCs w:val="20"/>
        </w:rPr>
        <w:t xml:space="preserve"> w </w:t>
      </w:r>
      <w:r w:rsidRPr="00A87AEC">
        <w:rPr>
          <w:rFonts w:cs="Calibri"/>
          <w:szCs w:val="20"/>
        </w:rPr>
        <w:t>ramach konkursu nr RPZP.06.05.00-IP.02-32-K40/18</w:t>
      </w:r>
      <w:r>
        <w:rPr>
          <w:rFonts w:cs="Calibri"/>
          <w:szCs w:val="20"/>
        </w:rPr>
        <w:t xml:space="preserve"> „</w:t>
      </w:r>
      <w:r w:rsidRPr="00ED3382">
        <w:rPr>
          <w:rFonts w:cs="Calibri"/>
          <w:szCs w:val="20"/>
        </w:rPr>
        <w:t>Kompleksowe wsparcie</w:t>
      </w:r>
      <w:r>
        <w:rPr>
          <w:rFonts w:cs="Calibri"/>
          <w:szCs w:val="20"/>
        </w:rPr>
        <w:t xml:space="preserve"> </w:t>
      </w:r>
      <w:r w:rsidRPr="00ED3382">
        <w:rPr>
          <w:rFonts w:cs="Calibri"/>
          <w:szCs w:val="20"/>
        </w:rPr>
        <w:t>głównie dla osób bezrobotnych, biernych zawodowo zwłaszcza znajdujących się</w:t>
      </w:r>
      <w:r w:rsidR="00E66B89">
        <w:rPr>
          <w:rFonts w:cs="Calibri"/>
          <w:szCs w:val="20"/>
        </w:rPr>
        <w:t xml:space="preserve"> w </w:t>
      </w:r>
      <w:r w:rsidRPr="00ED3382">
        <w:rPr>
          <w:rFonts w:cs="Calibri"/>
          <w:szCs w:val="20"/>
        </w:rPr>
        <w:t>szczególnie trudnej sytuacji na rynku pracy</w:t>
      </w:r>
      <w:r>
        <w:rPr>
          <w:rFonts w:cs="Calibri"/>
          <w:szCs w:val="20"/>
        </w:rPr>
        <w:t xml:space="preserve"> </w:t>
      </w:r>
      <w:r w:rsidRPr="00ED3382">
        <w:rPr>
          <w:rFonts w:cs="Calibri"/>
          <w:szCs w:val="20"/>
        </w:rPr>
        <w:t>obejmujące pomoc</w:t>
      </w:r>
      <w:r w:rsidR="00E66B89">
        <w:rPr>
          <w:rFonts w:cs="Calibri"/>
          <w:szCs w:val="20"/>
        </w:rPr>
        <w:t xml:space="preserve"> w </w:t>
      </w:r>
      <w:r w:rsidRPr="00ED3382">
        <w:rPr>
          <w:rFonts w:cs="Calibri"/>
          <w:szCs w:val="20"/>
        </w:rPr>
        <w:t>aktywnym poszukiwaniu pracy oraz działania na rzecz podnoszenia kwalifikacji zawodowych</w:t>
      </w:r>
      <w:r>
        <w:rPr>
          <w:rFonts w:cs="Calibri"/>
          <w:szCs w:val="20"/>
        </w:rPr>
        <w:t xml:space="preserve">”) proces formalnej </w:t>
      </w:r>
      <w:r w:rsidRPr="00A87AEC">
        <w:rPr>
          <w:rFonts w:cs="Calibri"/>
          <w:szCs w:val="20"/>
        </w:rPr>
        <w:t xml:space="preserve">oceny wniosków pod kątem </w:t>
      </w:r>
      <w:r>
        <w:rPr>
          <w:rFonts w:cs="Calibri"/>
          <w:szCs w:val="20"/>
        </w:rPr>
        <w:t xml:space="preserve">spełniania </w:t>
      </w:r>
      <w:r w:rsidRPr="00A87AEC">
        <w:rPr>
          <w:rFonts w:cs="Calibri"/>
          <w:szCs w:val="20"/>
        </w:rPr>
        <w:t>warunków formalnych</w:t>
      </w:r>
      <w:r>
        <w:rPr>
          <w:rFonts w:cs="Calibri"/>
          <w:szCs w:val="20"/>
        </w:rPr>
        <w:t>. D</w:t>
      </w:r>
      <w:r w:rsidRPr="00ED3382">
        <w:rPr>
          <w:rFonts w:cs="Calibri"/>
          <w:szCs w:val="20"/>
        </w:rPr>
        <w:t>o</w:t>
      </w:r>
      <w:r w:rsidR="00E66B89">
        <w:rPr>
          <w:rFonts w:cs="Calibri"/>
          <w:szCs w:val="20"/>
        </w:rPr>
        <w:t xml:space="preserve"> I </w:t>
      </w:r>
      <w:r w:rsidRPr="00ED3382">
        <w:rPr>
          <w:rFonts w:cs="Calibri"/>
          <w:szCs w:val="20"/>
        </w:rPr>
        <w:t>fazy oceny merytorycznej zakwalifikowan</w:t>
      </w:r>
      <w:r>
        <w:rPr>
          <w:rFonts w:cs="Calibri"/>
          <w:szCs w:val="20"/>
        </w:rPr>
        <w:t>e zostały 82 wnioski</w:t>
      </w:r>
      <w:r w:rsidR="00E66B89">
        <w:rPr>
          <w:rFonts w:cs="Calibri"/>
          <w:szCs w:val="20"/>
        </w:rPr>
        <w:t xml:space="preserve"> o </w:t>
      </w:r>
      <w:r>
        <w:rPr>
          <w:rFonts w:cs="Calibri"/>
          <w:szCs w:val="20"/>
        </w:rPr>
        <w:t>dofinansowanie.</w:t>
      </w:r>
      <w:r w:rsidR="00E66B89">
        <w:rPr>
          <w:rFonts w:cs="Calibri"/>
          <w:szCs w:val="20"/>
        </w:rPr>
        <w:t xml:space="preserve"> W </w:t>
      </w:r>
      <w:r w:rsidRPr="00ED3382">
        <w:rPr>
          <w:rFonts w:cs="Calibri"/>
          <w:szCs w:val="20"/>
        </w:rPr>
        <w:t>ocenie</w:t>
      </w:r>
      <w:r w:rsidR="00E66B89">
        <w:rPr>
          <w:rFonts w:cs="Calibri"/>
          <w:szCs w:val="20"/>
        </w:rPr>
        <w:t> </w:t>
      </w:r>
      <w:r>
        <w:rPr>
          <w:rFonts w:cs="Calibri"/>
          <w:szCs w:val="20"/>
        </w:rPr>
        <w:t>instytucji odpowiedzialnej za wdrażanie</w:t>
      </w:r>
      <w:r w:rsidRPr="00ED3382">
        <w:rPr>
          <w:rFonts w:cs="Calibri"/>
          <w:szCs w:val="20"/>
        </w:rPr>
        <w:t xml:space="preserve"> </w:t>
      </w:r>
      <w:r>
        <w:rPr>
          <w:rFonts w:cs="Calibri"/>
          <w:szCs w:val="20"/>
        </w:rPr>
        <w:t xml:space="preserve">wnioski przyjęte do dofinansowania </w:t>
      </w:r>
      <w:r w:rsidRPr="00ED3382">
        <w:rPr>
          <w:rFonts w:cs="Calibri"/>
          <w:szCs w:val="20"/>
        </w:rPr>
        <w:t xml:space="preserve">powinny zabezpieczyć </w:t>
      </w:r>
      <w:r>
        <w:rPr>
          <w:rFonts w:cs="Calibri"/>
          <w:szCs w:val="20"/>
        </w:rPr>
        <w:t>zakładaną do osiągnięcia wartość końcową wskaźnika</w:t>
      </w:r>
      <w:r w:rsidRPr="00ED3382">
        <w:rPr>
          <w:rFonts w:cs="Calibri"/>
          <w:szCs w:val="20"/>
        </w:rPr>
        <w:t>.</w:t>
      </w:r>
    </w:p>
    <w:p w14:paraId="4EB78850" w14:textId="77777777" w:rsidR="00881780" w:rsidRPr="00404DA5" w:rsidRDefault="00881780" w:rsidP="00881780">
      <w:pPr>
        <w:rPr>
          <w:rFonts w:cs="Calibri"/>
          <w:szCs w:val="20"/>
        </w:rPr>
      </w:pPr>
      <w:r w:rsidRPr="00404DA5">
        <w:rPr>
          <w:rFonts w:cs="Calibri"/>
          <w:szCs w:val="20"/>
        </w:rPr>
        <w:t>Dla wskazanych poniżej wskaźników rezultatu przyczyną znacznego przekroczenia wartości są nietrafne założenia co do liczby osób pracujących –</w:t>
      </w:r>
      <w:r w:rsidR="00E66B89">
        <w:rPr>
          <w:rFonts w:cs="Calibri"/>
          <w:szCs w:val="20"/>
        </w:rPr>
        <w:t xml:space="preserve"> w </w:t>
      </w:r>
      <w:r w:rsidRPr="00404DA5">
        <w:rPr>
          <w:rFonts w:cs="Calibri"/>
          <w:szCs w:val="20"/>
        </w:rPr>
        <w:t>efekcie wsparcia większa liczba osób pracuje po opuszczeniu programu niż pierwotnie zakładano.</w:t>
      </w:r>
    </w:p>
    <w:p w14:paraId="71F55288" w14:textId="77777777" w:rsidR="00881780" w:rsidRPr="00404DA5" w:rsidRDefault="00881780" w:rsidP="0013771A">
      <w:pPr>
        <w:pStyle w:val="Akapitzlist"/>
        <w:numPr>
          <w:ilvl w:val="0"/>
          <w:numId w:val="66"/>
        </w:numPr>
        <w:spacing w:after="120" w:line="288" w:lineRule="auto"/>
        <w:rPr>
          <w:rFonts w:ascii="Lato" w:hAnsi="Lato" w:cs="Calibri"/>
          <w:i/>
          <w:sz w:val="20"/>
          <w:szCs w:val="20"/>
        </w:rPr>
      </w:pPr>
      <w:r w:rsidRPr="00404DA5">
        <w:rPr>
          <w:rFonts w:ascii="Lato" w:hAnsi="Lato" w:cs="Calibri"/>
          <w:i/>
          <w:sz w:val="20"/>
          <w:szCs w:val="20"/>
        </w:rPr>
        <w:t>Liczba osób pracujących, łącznie</w:t>
      </w:r>
      <w:r w:rsidR="00E66B89">
        <w:rPr>
          <w:rFonts w:ascii="Lato" w:hAnsi="Lato" w:cs="Calibri"/>
          <w:i/>
          <w:sz w:val="20"/>
          <w:szCs w:val="20"/>
        </w:rPr>
        <w:t xml:space="preserve"> z </w:t>
      </w:r>
      <w:r w:rsidRPr="00404DA5">
        <w:rPr>
          <w:rFonts w:ascii="Lato" w:hAnsi="Lato" w:cs="Calibri"/>
          <w:i/>
          <w:sz w:val="20"/>
          <w:szCs w:val="20"/>
        </w:rPr>
        <w:t>prowadzącymi działalność na własny rachunek, po opuszczeniu programu – bezrobotni</w:t>
      </w:r>
      <w:r>
        <w:rPr>
          <w:rFonts w:ascii="Lato" w:hAnsi="Lato" w:cs="Calibri"/>
          <w:i/>
          <w:sz w:val="20"/>
          <w:szCs w:val="20"/>
        </w:rPr>
        <w:t>;</w:t>
      </w:r>
      <w:r w:rsidRPr="00404DA5">
        <w:rPr>
          <w:rFonts w:ascii="Lato" w:hAnsi="Lato" w:cs="Calibri"/>
          <w:i/>
          <w:sz w:val="20"/>
          <w:szCs w:val="20"/>
        </w:rPr>
        <w:t xml:space="preserve"> </w:t>
      </w:r>
    </w:p>
    <w:p w14:paraId="6B6C13B4" w14:textId="77777777" w:rsidR="00881780" w:rsidRPr="00404DA5" w:rsidRDefault="00881780" w:rsidP="0013771A">
      <w:pPr>
        <w:pStyle w:val="Akapitzlist"/>
        <w:numPr>
          <w:ilvl w:val="0"/>
          <w:numId w:val="66"/>
        </w:numPr>
        <w:spacing w:after="120" w:line="288" w:lineRule="auto"/>
        <w:rPr>
          <w:rFonts w:ascii="Lato" w:hAnsi="Lato" w:cs="Calibri"/>
          <w:i/>
          <w:sz w:val="20"/>
          <w:szCs w:val="20"/>
        </w:rPr>
      </w:pPr>
      <w:r w:rsidRPr="00404DA5">
        <w:rPr>
          <w:rFonts w:ascii="Lato" w:hAnsi="Lato" w:cs="Calibri"/>
          <w:i/>
          <w:sz w:val="20"/>
          <w:szCs w:val="20"/>
        </w:rPr>
        <w:t>Liczba osób pracujących, łącznie</w:t>
      </w:r>
      <w:r w:rsidR="00E66B89">
        <w:rPr>
          <w:rFonts w:ascii="Lato" w:hAnsi="Lato" w:cs="Calibri"/>
          <w:i/>
          <w:sz w:val="20"/>
          <w:szCs w:val="20"/>
        </w:rPr>
        <w:t xml:space="preserve"> z </w:t>
      </w:r>
      <w:r w:rsidRPr="00404DA5">
        <w:rPr>
          <w:rFonts w:ascii="Lato" w:hAnsi="Lato" w:cs="Calibri"/>
          <w:i/>
          <w:sz w:val="20"/>
          <w:szCs w:val="20"/>
        </w:rPr>
        <w:t>prowadzącymi działalność na własny rachunek, po opuszczeniu programu - długotrwale bezrobotni</w:t>
      </w:r>
      <w:r>
        <w:rPr>
          <w:rFonts w:ascii="Lato" w:hAnsi="Lato" w:cs="Calibri"/>
          <w:i/>
          <w:sz w:val="20"/>
          <w:szCs w:val="20"/>
        </w:rPr>
        <w:t>;</w:t>
      </w:r>
    </w:p>
    <w:p w14:paraId="2C3CDA9A" w14:textId="77777777" w:rsidR="00881780" w:rsidRPr="00404DA5" w:rsidRDefault="00881780" w:rsidP="0013771A">
      <w:pPr>
        <w:pStyle w:val="Akapitzlist"/>
        <w:numPr>
          <w:ilvl w:val="0"/>
          <w:numId w:val="66"/>
        </w:numPr>
        <w:spacing w:after="120" w:line="288" w:lineRule="auto"/>
        <w:rPr>
          <w:rFonts w:ascii="Lato" w:hAnsi="Lato" w:cs="Calibri"/>
          <w:i/>
          <w:sz w:val="20"/>
          <w:szCs w:val="20"/>
        </w:rPr>
      </w:pPr>
      <w:r w:rsidRPr="00404DA5">
        <w:rPr>
          <w:rFonts w:ascii="Lato" w:hAnsi="Lato" w:cs="Calibri"/>
          <w:i/>
          <w:sz w:val="20"/>
          <w:szCs w:val="20"/>
        </w:rPr>
        <w:t>Liczba osób pracujących, łącznie</w:t>
      </w:r>
      <w:r w:rsidR="00E66B89">
        <w:rPr>
          <w:rFonts w:ascii="Lato" w:hAnsi="Lato" w:cs="Calibri"/>
          <w:i/>
          <w:sz w:val="20"/>
          <w:szCs w:val="20"/>
        </w:rPr>
        <w:t xml:space="preserve"> z </w:t>
      </w:r>
      <w:r w:rsidRPr="00404DA5">
        <w:rPr>
          <w:rFonts w:ascii="Lato" w:hAnsi="Lato" w:cs="Calibri"/>
          <w:i/>
          <w:sz w:val="20"/>
          <w:szCs w:val="20"/>
        </w:rPr>
        <w:t>prowadzącymi działalność na własny rachunek, po opuszczeniu programu - bierni zawodowo</w:t>
      </w:r>
      <w:r>
        <w:rPr>
          <w:rFonts w:ascii="Lato" w:hAnsi="Lato" w:cs="Calibri"/>
          <w:i/>
          <w:sz w:val="20"/>
          <w:szCs w:val="20"/>
        </w:rPr>
        <w:t>;</w:t>
      </w:r>
    </w:p>
    <w:p w14:paraId="359B0350" w14:textId="77777777" w:rsidR="00881780" w:rsidRPr="00404DA5" w:rsidRDefault="00881780" w:rsidP="0013771A">
      <w:pPr>
        <w:pStyle w:val="Akapitzlist"/>
        <w:numPr>
          <w:ilvl w:val="0"/>
          <w:numId w:val="66"/>
        </w:numPr>
        <w:spacing w:after="120" w:line="288" w:lineRule="auto"/>
        <w:rPr>
          <w:rFonts w:ascii="Lato" w:hAnsi="Lato" w:cs="Calibri"/>
          <w:i/>
          <w:sz w:val="20"/>
          <w:szCs w:val="20"/>
        </w:rPr>
      </w:pPr>
      <w:r w:rsidRPr="00404DA5">
        <w:rPr>
          <w:rFonts w:ascii="Lato" w:hAnsi="Lato" w:cs="Calibri"/>
          <w:i/>
          <w:sz w:val="20"/>
          <w:szCs w:val="20"/>
        </w:rPr>
        <w:t>Liczba osób pracujących, łącznie</w:t>
      </w:r>
      <w:r w:rsidR="00E66B89">
        <w:rPr>
          <w:rFonts w:ascii="Lato" w:hAnsi="Lato" w:cs="Calibri"/>
          <w:i/>
          <w:sz w:val="20"/>
          <w:szCs w:val="20"/>
        </w:rPr>
        <w:t xml:space="preserve"> z </w:t>
      </w:r>
      <w:r w:rsidRPr="00404DA5">
        <w:rPr>
          <w:rFonts w:ascii="Lato" w:hAnsi="Lato" w:cs="Calibri"/>
          <w:i/>
          <w:sz w:val="20"/>
          <w:szCs w:val="20"/>
        </w:rPr>
        <w:t>prowadzącymi działalność na własny rachunek, po opuszczeniu programu - osoby</w:t>
      </w:r>
      <w:r w:rsidR="00E66B89">
        <w:rPr>
          <w:rFonts w:ascii="Lato" w:hAnsi="Lato" w:cs="Calibri"/>
          <w:i/>
          <w:sz w:val="20"/>
          <w:szCs w:val="20"/>
        </w:rPr>
        <w:t xml:space="preserve"> z </w:t>
      </w:r>
      <w:r w:rsidRPr="00404DA5">
        <w:rPr>
          <w:rFonts w:ascii="Lato" w:hAnsi="Lato" w:cs="Calibri"/>
          <w:i/>
          <w:sz w:val="20"/>
          <w:szCs w:val="20"/>
        </w:rPr>
        <w:t>niepełnosprawnościami</w:t>
      </w:r>
      <w:r>
        <w:rPr>
          <w:rFonts w:ascii="Lato" w:hAnsi="Lato" w:cs="Calibri"/>
          <w:i/>
          <w:sz w:val="20"/>
          <w:szCs w:val="20"/>
        </w:rPr>
        <w:t>.</w:t>
      </w:r>
    </w:p>
    <w:p w14:paraId="16DAE4D7" w14:textId="77777777" w:rsidR="00881780" w:rsidRPr="00404DA5" w:rsidRDefault="00881780" w:rsidP="00881780">
      <w:pPr>
        <w:rPr>
          <w:rFonts w:cs="Calibri"/>
          <w:szCs w:val="20"/>
        </w:rPr>
      </w:pPr>
      <w:r w:rsidRPr="00404DA5">
        <w:rPr>
          <w:rFonts w:cs="Calibri"/>
          <w:szCs w:val="20"/>
        </w:rPr>
        <w:t>Ze względu na występowanie pożądanych, korzystnych procesów na regionalnym rynku pracy, przede wszystkim związanych</w:t>
      </w:r>
      <w:r w:rsidR="00E66B89">
        <w:rPr>
          <w:rFonts w:cs="Calibri"/>
          <w:szCs w:val="20"/>
        </w:rPr>
        <w:t xml:space="preserve"> z </w:t>
      </w:r>
      <w:r w:rsidRPr="00404DA5">
        <w:rPr>
          <w:rFonts w:cs="Calibri"/>
          <w:szCs w:val="20"/>
        </w:rPr>
        <w:t>diagnozowanym</w:t>
      </w:r>
      <w:r w:rsidR="00E66B89">
        <w:rPr>
          <w:rFonts w:cs="Calibri"/>
          <w:szCs w:val="20"/>
        </w:rPr>
        <w:t xml:space="preserve"> w </w:t>
      </w:r>
      <w:r w:rsidRPr="00404DA5">
        <w:rPr>
          <w:rFonts w:cs="Calibri"/>
          <w:szCs w:val="20"/>
        </w:rPr>
        <w:t>województwie spadkiem stopy bezrobocia oraz liczby zarejestrowanych bezrobotnych</w:t>
      </w:r>
      <w:r w:rsidR="00E66B89">
        <w:rPr>
          <w:rFonts w:cs="Calibri"/>
          <w:szCs w:val="20"/>
        </w:rPr>
        <w:t xml:space="preserve"> i </w:t>
      </w:r>
      <w:r w:rsidRPr="00404DA5">
        <w:rPr>
          <w:rFonts w:cs="Calibri"/>
          <w:szCs w:val="20"/>
        </w:rPr>
        <w:t>spójnym</w:t>
      </w:r>
      <w:r w:rsidR="00E66B89">
        <w:rPr>
          <w:rFonts w:cs="Calibri"/>
          <w:szCs w:val="20"/>
        </w:rPr>
        <w:t xml:space="preserve"> z </w:t>
      </w:r>
      <w:r w:rsidRPr="00404DA5">
        <w:rPr>
          <w:rFonts w:cs="Calibri"/>
          <w:szCs w:val="20"/>
        </w:rPr>
        <w:t>tą tendencją wzrostem wskaźnika zatrudnienia, problematyczna może być dalsza (do roku 2023) realizacja wskaźników związanych</w:t>
      </w:r>
      <w:r w:rsidR="00E66B89">
        <w:rPr>
          <w:rFonts w:cs="Calibri"/>
          <w:szCs w:val="20"/>
        </w:rPr>
        <w:t xml:space="preserve"> z </w:t>
      </w:r>
      <w:r w:rsidRPr="00404DA5">
        <w:rPr>
          <w:rFonts w:cs="Calibri"/>
          <w:szCs w:val="20"/>
        </w:rPr>
        <w:t>wsparciem</w:t>
      </w:r>
      <w:r w:rsidR="00E66B89">
        <w:rPr>
          <w:rFonts w:cs="Calibri"/>
          <w:szCs w:val="20"/>
        </w:rPr>
        <w:t xml:space="preserve"> w </w:t>
      </w:r>
      <w:r w:rsidRPr="00404DA5">
        <w:rPr>
          <w:rFonts w:cs="Calibri"/>
          <w:szCs w:val="20"/>
        </w:rPr>
        <w:t xml:space="preserve">ramach RPO WZ 2014-2020 osób </w:t>
      </w:r>
      <w:r>
        <w:rPr>
          <w:rFonts w:cs="Calibri"/>
          <w:szCs w:val="20"/>
        </w:rPr>
        <w:t xml:space="preserve">długotrwale </w:t>
      </w:r>
      <w:r w:rsidRPr="00404DA5">
        <w:rPr>
          <w:rFonts w:cs="Calibri"/>
          <w:szCs w:val="20"/>
        </w:rPr>
        <w:t>bezrobotnych,</w:t>
      </w:r>
      <w:r w:rsidR="00E66B89">
        <w:rPr>
          <w:rFonts w:cs="Calibri"/>
          <w:szCs w:val="20"/>
        </w:rPr>
        <w:t xml:space="preserve"> w </w:t>
      </w:r>
      <w:r w:rsidRPr="00404DA5">
        <w:rPr>
          <w:rFonts w:cs="Calibri"/>
          <w:szCs w:val="20"/>
        </w:rPr>
        <w:t>wieku 50 lat</w:t>
      </w:r>
      <w:r w:rsidR="00E66B89">
        <w:rPr>
          <w:rFonts w:cs="Calibri"/>
          <w:szCs w:val="20"/>
        </w:rPr>
        <w:t xml:space="preserve"> i </w:t>
      </w:r>
      <w:r w:rsidRPr="00404DA5">
        <w:rPr>
          <w:rFonts w:cs="Calibri"/>
          <w:szCs w:val="20"/>
        </w:rPr>
        <w:t xml:space="preserve">więcej. </w:t>
      </w:r>
      <w:r>
        <w:rPr>
          <w:rFonts w:cs="Calibri"/>
          <w:szCs w:val="20"/>
        </w:rPr>
        <w:t>Z</w:t>
      </w:r>
      <w:r w:rsidRPr="00404DA5">
        <w:rPr>
          <w:rFonts w:cs="Calibri"/>
          <w:szCs w:val="20"/>
        </w:rPr>
        <w:t>mniejszeniu uległa bowiem populacja potencjalnych odbiorców wsparcia adresowanego do tej grupy</w:t>
      </w:r>
      <w:r w:rsidR="00E66B89">
        <w:rPr>
          <w:rFonts w:cs="Calibri"/>
          <w:szCs w:val="20"/>
        </w:rPr>
        <w:t xml:space="preserve"> w </w:t>
      </w:r>
      <w:r w:rsidRPr="00404DA5">
        <w:rPr>
          <w:rFonts w:cs="Calibri"/>
          <w:szCs w:val="20"/>
        </w:rPr>
        <w:t>ramach interwencji, chodzi</w:t>
      </w:r>
      <w:r w:rsidR="00E66B89">
        <w:rPr>
          <w:rFonts w:cs="Calibri"/>
          <w:szCs w:val="20"/>
        </w:rPr>
        <w:t xml:space="preserve"> o </w:t>
      </w:r>
      <w:r w:rsidRPr="00404DA5">
        <w:rPr>
          <w:rFonts w:cs="Calibri"/>
          <w:szCs w:val="20"/>
        </w:rPr>
        <w:t>następujące wskaźniki:</w:t>
      </w:r>
    </w:p>
    <w:p w14:paraId="6689B83C" w14:textId="77777777" w:rsidR="00881780" w:rsidRPr="00404DA5" w:rsidRDefault="00881780" w:rsidP="0013771A">
      <w:pPr>
        <w:pStyle w:val="Akapitzlist"/>
        <w:numPr>
          <w:ilvl w:val="0"/>
          <w:numId w:val="67"/>
        </w:numPr>
        <w:spacing w:after="120" w:line="288" w:lineRule="auto"/>
        <w:contextualSpacing w:val="0"/>
        <w:rPr>
          <w:rFonts w:ascii="Lato" w:hAnsi="Lato" w:cs="Calibri"/>
          <w:sz w:val="20"/>
          <w:szCs w:val="20"/>
        </w:rPr>
      </w:pPr>
      <w:r w:rsidRPr="00404DA5">
        <w:rPr>
          <w:rFonts w:ascii="Lato" w:hAnsi="Lato" w:cs="Calibri"/>
          <w:i/>
          <w:sz w:val="20"/>
          <w:szCs w:val="20"/>
        </w:rPr>
        <w:t>Liczba osób długotrwale bezrobotnych objętych wsparciem</w:t>
      </w:r>
      <w:r w:rsidR="00E66B89">
        <w:rPr>
          <w:rFonts w:ascii="Lato" w:hAnsi="Lato" w:cs="Calibri"/>
          <w:i/>
          <w:sz w:val="20"/>
          <w:szCs w:val="20"/>
        </w:rPr>
        <w:t xml:space="preserve"> w </w:t>
      </w:r>
      <w:r w:rsidRPr="00404DA5">
        <w:rPr>
          <w:rFonts w:ascii="Lato" w:hAnsi="Lato" w:cs="Calibri"/>
          <w:i/>
          <w:sz w:val="20"/>
          <w:szCs w:val="20"/>
        </w:rPr>
        <w:t xml:space="preserve">programie (C) – </w:t>
      </w:r>
      <w:r w:rsidRPr="00404DA5">
        <w:rPr>
          <w:rFonts w:ascii="Lato" w:hAnsi="Lato" w:cs="Calibri"/>
          <w:sz w:val="20"/>
          <w:szCs w:val="20"/>
        </w:rPr>
        <w:t>Uwaga! Beneficjenci osiągnęli wyższą wartość wskaźnika niż założyli</w:t>
      </w:r>
      <w:r w:rsidR="00E66B89">
        <w:rPr>
          <w:rFonts w:ascii="Lato" w:hAnsi="Lato" w:cs="Calibri"/>
          <w:sz w:val="20"/>
          <w:szCs w:val="20"/>
        </w:rPr>
        <w:t xml:space="preserve"> w </w:t>
      </w:r>
      <w:r w:rsidRPr="00404DA5">
        <w:rPr>
          <w:rFonts w:ascii="Lato" w:hAnsi="Lato" w:cs="Calibri"/>
          <w:sz w:val="20"/>
          <w:szCs w:val="20"/>
        </w:rPr>
        <w:t>umowach; jest to dobry predyktor realizacji zakładanej wartości końcowej wskaźnika</w:t>
      </w:r>
      <w:r>
        <w:rPr>
          <w:rFonts w:ascii="Lato" w:hAnsi="Lato" w:cs="Calibri"/>
          <w:sz w:val="20"/>
          <w:szCs w:val="20"/>
        </w:rPr>
        <w:t>;</w:t>
      </w:r>
    </w:p>
    <w:p w14:paraId="4C6DD579" w14:textId="77777777" w:rsidR="00881780" w:rsidRPr="00766F22" w:rsidRDefault="00881780" w:rsidP="0013771A">
      <w:pPr>
        <w:pStyle w:val="Akapitzlist"/>
        <w:numPr>
          <w:ilvl w:val="0"/>
          <w:numId w:val="67"/>
        </w:numPr>
        <w:spacing w:before="0"/>
        <w:rPr>
          <w:rFonts w:ascii="Lato" w:hAnsi="Lato" w:cs="Calibri"/>
          <w:sz w:val="20"/>
          <w:szCs w:val="20"/>
        </w:rPr>
      </w:pPr>
      <w:r w:rsidRPr="00404DA5">
        <w:rPr>
          <w:rFonts w:ascii="Lato" w:hAnsi="Lato" w:cs="Calibri"/>
          <w:i/>
          <w:sz w:val="20"/>
          <w:szCs w:val="20"/>
        </w:rPr>
        <w:lastRenderedPageBreak/>
        <w:t>Liczba osób</w:t>
      </w:r>
      <w:r w:rsidR="00E66B89">
        <w:rPr>
          <w:rFonts w:ascii="Lato" w:hAnsi="Lato" w:cs="Calibri"/>
          <w:i/>
          <w:sz w:val="20"/>
          <w:szCs w:val="20"/>
        </w:rPr>
        <w:t xml:space="preserve"> w </w:t>
      </w:r>
      <w:r w:rsidRPr="00404DA5">
        <w:rPr>
          <w:rFonts w:ascii="Lato" w:hAnsi="Lato" w:cs="Calibri"/>
          <w:i/>
          <w:sz w:val="20"/>
          <w:szCs w:val="20"/>
        </w:rPr>
        <w:t>wieku 50 lat</w:t>
      </w:r>
      <w:r w:rsidR="00E66B89">
        <w:rPr>
          <w:rFonts w:ascii="Lato" w:hAnsi="Lato" w:cs="Calibri"/>
          <w:i/>
          <w:sz w:val="20"/>
          <w:szCs w:val="20"/>
        </w:rPr>
        <w:t xml:space="preserve"> i </w:t>
      </w:r>
      <w:r w:rsidRPr="00404DA5">
        <w:rPr>
          <w:rFonts w:ascii="Lato" w:hAnsi="Lato" w:cs="Calibri"/>
          <w:i/>
          <w:sz w:val="20"/>
          <w:szCs w:val="20"/>
        </w:rPr>
        <w:t>więcej objętych wsparciem</w:t>
      </w:r>
      <w:r w:rsidR="00E66B89">
        <w:rPr>
          <w:rFonts w:ascii="Lato" w:hAnsi="Lato" w:cs="Calibri"/>
          <w:i/>
          <w:sz w:val="20"/>
          <w:szCs w:val="20"/>
        </w:rPr>
        <w:t xml:space="preserve"> w </w:t>
      </w:r>
      <w:r w:rsidRPr="00404DA5">
        <w:rPr>
          <w:rFonts w:ascii="Lato" w:hAnsi="Lato" w:cs="Calibri"/>
          <w:i/>
          <w:sz w:val="20"/>
          <w:szCs w:val="20"/>
        </w:rPr>
        <w:t xml:space="preserve">programie </w:t>
      </w:r>
      <w:r w:rsidRPr="00404DA5">
        <w:rPr>
          <w:rFonts w:ascii="Lato" w:hAnsi="Lato" w:cs="Calibri"/>
          <w:i/>
          <w:sz w:val="20"/>
          <w:szCs w:val="20"/>
        </w:rPr>
        <w:noBreakHyphen/>
        <w:t xml:space="preserve"> </w:t>
      </w:r>
      <w:r w:rsidRPr="00404DA5">
        <w:rPr>
          <w:rFonts w:ascii="Lato" w:hAnsi="Lato" w:cs="Calibri"/>
          <w:sz w:val="20"/>
          <w:szCs w:val="20"/>
        </w:rPr>
        <w:t>Uwaga! Beneficjenci osiągnęli wyższą wartość wskaźnika niż założyli</w:t>
      </w:r>
      <w:r w:rsidR="00E66B89">
        <w:rPr>
          <w:rFonts w:ascii="Lato" w:hAnsi="Lato" w:cs="Calibri"/>
          <w:sz w:val="20"/>
          <w:szCs w:val="20"/>
        </w:rPr>
        <w:t xml:space="preserve"> w </w:t>
      </w:r>
      <w:r w:rsidRPr="00404DA5">
        <w:rPr>
          <w:rFonts w:ascii="Lato" w:hAnsi="Lato" w:cs="Calibri"/>
          <w:sz w:val="20"/>
          <w:szCs w:val="20"/>
        </w:rPr>
        <w:t>umowach; jest to dobry predyktor realizacji zakładanej wartości końcowej wskaźnika</w:t>
      </w:r>
      <w:r>
        <w:rPr>
          <w:rFonts w:ascii="Lato" w:hAnsi="Lato" w:cs="Calibri"/>
          <w:sz w:val="20"/>
          <w:szCs w:val="20"/>
        </w:rPr>
        <w:t>.</w:t>
      </w:r>
    </w:p>
    <w:p w14:paraId="2CA37094"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 xml:space="preserve">Ocena potencjału absorpcyjnego </w:t>
      </w:r>
    </w:p>
    <w:p w14:paraId="1522ADA4" w14:textId="77777777" w:rsidR="00881780" w:rsidRDefault="00881780" w:rsidP="00881780">
      <w:pPr>
        <w:rPr>
          <w:rFonts w:cs="Calibri"/>
          <w:szCs w:val="20"/>
        </w:rPr>
      </w:pPr>
      <w:r>
        <w:rPr>
          <w:rFonts w:cs="Calibri"/>
          <w:szCs w:val="20"/>
        </w:rPr>
        <w:t xml:space="preserve">W szczególności za sprawą </w:t>
      </w:r>
      <w:r w:rsidRPr="00972702">
        <w:rPr>
          <w:rFonts w:cs="Calibri"/>
          <w:szCs w:val="20"/>
        </w:rPr>
        <w:t xml:space="preserve">korzystnych procesów </w:t>
      </w:r>
      <w:r>
        <w:rPr>
          <w:rFonts w:cs="Calibri"/>
          <w:szCs w:val="20"/>
        </w:rPr>
        <w:t xml:space="preserve">zachodzących </w:t>
      </w:r>
      <w:r w:rsidRPr="00972702">
        <w:rPr>
          <w:rFonts w:cs="Calibri"/>
          <w:szCs w:val="20"/>
        </w:rPr>
        <w:t>na regionalnym rynku pracy</w:t>
      </w:r>
      <w:r w:rsidR="00E66B89">
        <w:rPr>
          <w:rFonts w:cs="Calibri"/>
          <w:szCs w:val="20"/>
        </w:rPr>
        <w:t xml:space="preserve"> w </w:t>
      </w:r>
      <w:r w:rsidRPr="006E000A">
        <w:rPr>
          <w:rFonts w:cs="Calibri"/>
          <w:szCs w:val="20"/>
        </w:rPr>
        <w:t>obszarze interwencji rozpoznaje się mały potencjał</w:t>
      </w:r>
      <w:r w:rsidR="00E66B89">
        <w:rPr>
          <w:rFonts w:cs="Calibri"/>
          <w:szCs w:val="20"/>
        </w:rPr>
        <w:t xml:space="preserve"> w </w:t>
      </w:r>
      <w:r w:rsidRPr="006E000A">
        <w:rPr>
          <w:rFonts w:cs="Calibri"/>
          <w:szCs w:val="20"/>
        </w:rPr>
        <w:t>zakresie dalszej absorpcji środków.</w:t>
      </w:r>
      <w:r>
        <w:rPr>
          <w:rFonts w:cs="Calibri"/>
          <w:szCs w:val="20"/>
        </w:rPr>
        <w:t xml:space="preserve"> Beneficjenci projektów informują</w:t>
      </w:r>
      <w:r w:rsidR="00E66B89">
        <w:rPr>
          <w:rFonts w:cs="Calibri"/>
          <w:szCs w:val="20"/>
        </w:rPr>
        <w:t xml:space="preserve"> o </w:t>
      </w:r>
      <w:r>
        <w:rPr>
          <w:rFonts w:cs="Calibri"/>
          <w:szCs w:val="20"/>
        </w:rPr>
        <w:t xml:space="preserve">sytuacjach częstego przerywania </w:t>
      </w:r>
      <w:r w:rsidRPr="00972702">
        <w:rPr>
          <w:rFonts w:cs="Calibri"/>
          <w:szCs w:val="20"/>
        </w:rPr>
        <w:t>udział</w:t>
      </w:r>
      <w:r>
        <w:rPr>
          <w:rFonts w:cs="Calibri"/>
          <w:szCs w:val="20"/>
        </w:rPr>
        <w:t>u</w:t>
      </w:r>
      <w:r w:rsidR="00E66B89">
        <w:rPr>
          <w:rFonts w:cs="Calibri"/>
          <w:szCs w:val="20"/>
        </w:rPr>
        <w:t xml:space="preserve"> w </w:t>
      </w:r>
      <w:r w:rsidRPr="00972702">
        <w:rPr>
          <w:rFonts w:cs="Calibri"/>
          <w:szCs w:val="20"/>
        </w:rPr>
        <w:t>projekcie</w:t>
      </w:r>
      <w:r>
        <w:rPr>
          <w:rFonts w:cs="Calibri"/>
          <w:szCs w:val="20"/>
        </w:rPr>
        <w:t xml:space="preserve"> przez odbiorców wsparcia najbardziej oddalonych od rynku pracy</w:t>
      </w:r>
      <w:r w:rsidRPr="00972702">
        <w:rPr>
          <w:rFonts w:cs="Calibri"/>
          <w:szCs w:val="20"/>
        </w:rPr>
        <w:t>.</w:t>
      </w:r>
      <w:r>
        <w:rPr>
          <w:rFonts w:cs="Calibri"/>
          <w:szCs w:val="20"/>
        </w:rPr>
        <w:t xml:space="preserve"> Wskazywanym powodem jest brak motywacji lub labilna motywacja odbiorców wsparcia do udziału</w:t>
      </w:r>
      <w:r w:rsidR="00E66B89">
        <w:rPr>
          <w:rFonts w:cs="Calibri"/>
          <w:szCs w:val="20"/>
        </w:rPr>
        <w:t xml:space="preserve"> w </w:t>
      </w:r>
      <w:r>
        <w:rPr>
          <w:rFonts w:cs="Calibri"/>
          <w:szCs w:val="20"/>
        </w:rPr>
        <w:t>projekcie.</w:t>
      </w:r>
    </w:p>
    <w:p w14:paraId="6E6C382E"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Prognozy osiągnięcia celów zakładanych na 2023 rok</w:t>
      </w:r>
    </w:p>
    <w:p w14:paraId="48B4211D" w14:textId="77777777" w:rsidR="00881780" w:rsidRDefault="00881780" w:rsidP="00881780">
      <w:pPr>
        <w:rPr>
          <w:rFonts w:cs="Calibri"/>
          <w:szCs w:val="20"/>
        </w:rPr>
      </w:pPr>
      <w:r w:rsidRPr="00404DA5">
        <w:rPr>
          <w:rFonts w:cs="Calibri"/>
          <w:szCs w:val="20"/>
        </w:rPr>
        <w:t>Osiągnięcie docelowych wartości zagrożonych wskaźników zależ</w:t>
      </w:r>
      <w:r>
        <w:rPr>
          <w:rFonts w:cs="Calibri"/>
          <w:szCs w:val="20"/>
        </w:rPr>
        <w:t>y</w:t>
      </w:r>
      <w:r w:rsidRPr="00404DA5">
        <w:rPr>
          <w:rFonts w:cs="Calibri"/>
          <w:szCs w:val="20"/>
        </w:rPr>
        <w:t xml:space="preserve"> zarówno od realizacji zobowiązań wynikających</w:t>
      </w:r>
      <w:r w:rsidR="00E66B89">
        <w:rPr>
          <w:rFonts w:cs="Calibri"/>
          <w:szCs w:val="20"/>
        </w:rPr>
        <w:t xml:space="preserve"> z </w:t>
      </w:r>
      <w:r w:rsidRPr="00404DA5">
        <w:rPr>
          <w:rFonts w:cs="Calibri"/>
          <w:szCs w:val="20"/>
        </w:rPr>
        <w:t>dotychczas zawartych umów</w:t>
      </w:r>
      <w:r w:rsidR="00E66B89">
        <w:rPr>
          <w:rFonts w:cs="Calibri"/>
          <w:szCs w:val="20"/>
        </w:rPr>
        <w:t xml:space="preserve"> o </w:t>
      </w:r>
      <w:r w:rsidRPr="00404DA5">
        <w:rPr>
          <w:rFonts w:cs="Calibri"/>
          <w:szCs w:val="20"/>
        </w:rPr>
        <w:t xml:space="preserve">dofinansowanie, jak również wyników </w:t>
      </w:r>
      <w:r>
        <w:rPr>
          <w:rFonts w:cs="Calibri"/>
          <w:szCs w:val="20"/>
        </w:rPr>
        <w:t>trwających</w:t>
      </w:r>
      <w:r w:rsidR="00E66B89">
        <w:rPr>
          <w:rFonts w:cs="Calibri"/>
          <w:szCs w:val="20"/>
        </w:rPr>
        <w:t xml:space="preserve"> w </w:t>
      </w:r>
      <w:r>
        <w:rPr>
          <w:rFonts w:cs="Calibri"/>
          <w:szCs w:val="20"/>
        </w:rPr>
        <w:t>momencie badania</w:t>
      </w:r>
      <w:r w:rsidR="00E66B89">
        <w:rPr>
          <w:rFonts w:cs="Calibri"/>
          <w:szCs w:val="20"/>
        </w:rPr>
        <w:t xml:space="preserve"> i </w:t>
      </w:r>
      <w:r>
        <w:rPr>
          <w:rFonts w:cs="Calibri"/>
          <w:szCs w:val="20"/>
        </w:rPr>
        <w:t>planowanych</w:t>
      </w:r>
      <w:r w:rsidR="00E66B89">
        <w:rPr>
          <w:rFonts w:cs="Calibri"/>
          <w:szCs w:val="20"/>
        </w:rPr>
        <w:t xml:space="preserve"> w </w:t>
      </w:r>
      <w:r>
        <w:rPr>
          <w:rFonts w:cs="Calibri"/>
          <w:szCs w:val="20"/>
        </w:rPr>
        <w:t xml:space="preserve">kolejnych latach </w:t>
      </w:r>
      <w:r w:rsidRPr="00404DA5">
        <w:rPr>
          <w:rFonts w:cs="Calibri"/>
          <w:szCs w:val="20"/>
        </w:rPr>
        <w:t>nabor</w:t>
      </w:r>
      <w:r>
        <w:rPr>
          <w:rFonts w:cs="Calibri"/>
          <w:szCs w:val="20"/>
        </w:rPr>
        <w:t>ów</w:t>
      </w:r>
      <w:r w:rsidRPr="00404DA5">
        <w:rPr>
          <w:rFonts w:cs="Calibri"/>
          <w:szCs w:val="20"/>
        </w:rPr>
        <w:t xml:space="preserve"> wniosków</w:t>
      </w:r>
      <w:r w:rsidR="00E66B89">
        <w:rPr>
          <w:rFonts w:cs="Calibri"/>
          <w:szCs w:val="20"/>
        </w:rPr>
        <w:t xml:space="preserve"> o </w:t>
      </w:r>
      <w:r w:rsidRPr="00404DA5">
        <w:rPr>
          <w:rFonts w:cs="Calibri"/>
          <w:szCs w:val="20"/>
        </w:rPr>
        <w:t>dofinansowanie projektów.</w:t>
      </w:r>
      <w:r>
        <w:rPr>
          <w:rFonts w:cs="Calibri"/>
          <w:szCs w:val="20"/>
        </w:rPr>
        <w:t xml:space="preserve"> </w:t>
      </w:r>
      <w:r>
        <w:t xml:space="preserve">Pod uwagę należy brać zmniejszenie wartości wskaźnika </w:t>
      </w:r>
      <w:r w:rsidRPr="00A105DB">
        <w:rPr>
          <w:i/>
        </w:rPr>
        <w:t>Liczba osób długotrwale bezrobotnych objętych wsparciem</w:t>
      </w:r>
      <w:r w:rsidR="00E66B89">
        <w:rPr>
          <w:i/>
        </w:rPr>
        <w:t xml:space="preserve"> w </w:t>
      </w:r>
      <w:r w:rsidRPr="00A105DB">
        <w:rPr>
          <w:i/>
        </w:rPr>
        <w:t>programie</w:t>
      </w:r>
      <w:r>
        <w:t xml:space="preserve"> </w:t>
      </w:r>
      <w:r>
        <w:rPr>
          <w:rFonts w:cs="Calibri"/>
          <w:szCs w:val="20"/>
        </w:rPr>
        <w:t>do wartości wykazanej</w:t>
      </w:r>
      <w:r w:rsidR="00E66B89">
        <w:rPr>
          <w:rFonts w:cs="Calibri"/>
          <w:szCs w:val="20"/>
        </w:rPr>
        <w:t xml:space="preserve"> w </w:t>
      </w:r>
      <w:r>
        <w:rPr>
          <w:rFonts w:cs="Calibri"/>
          <w:szCs w:val="20"/>
        </w:rPr>
        <w:t>WoP.</w:t>
      </w:r>
    </w:p>
    <w:p w14:paraId="41673EA9" w14:textId="77777777" w:rsidR="00881780" w:rsidRPr="00BD237B" w:rsidRDefault="00881780" w:rsidP="00881780">
      <w:pPr>
        <w:rPr>
          <w:rFonts w:cs="Calibri"/>
          <w:b/>
          <w:szCs w:val="20"/>
        </w:rPr>
      </w:pPr>
      <w:r w:rsidRPr="00BD237B">
        <w:rPr>
          <w:rFonts w:cs="Calibri"/>
          <w:b/>
          <w:szCs w:val="20"/>
        </w:rPr>
        <w:t xml:space="preserve">REKOMENDACJA: Jednocześnie warto rozpatrywać zwiększenie wartości wskaźnika </w:t>
      </w:r>
      <w:r w:rsidRPr="00BD237B">
        <w:rPr>
          <w:rFonts w:cs="Calibri"/>
          <w:b/>
          <w:i/>
          <w:szCs w:val="20"/>
        </w:rPr>
        <w:t>Liczba osób, które otrzymały bezzwrotne środki na podjęcie działalności gospodarczej</w:t>
      </w:r>
      <w:r w:rsidR="00E66B89">
        <w:rPr>
          <w:rFonts w:cs="Calibri"/>
          <w:b/>
          <w:i/>
          <w:szCs w:val="20"/>
        </w:rPr>
        <w:t xml:space="preserve"> w </w:t>
      </w:r>
      <w:r w:rsidRPr="00BD237B">
        <w:rPr>
          <w:rFonts w:cs="Calibri"/>
          <w:b/>
          <w:i/>
          <w:szCs w:val="20"/>
        </w:rPr>
        <w:t>programie</w:t>
      </w:r>
      <w:r w:rsidR="00E66B89">
        <w:rPr>
          <w:rFonts w:cs="Calibri"/>
          <w:b/>
          <w:szCs w:val="20"/>
        </w:rPr>
        <w:t xml:space="preserve"> o </w:t>
      </w:r>
      <w:r w:rsidRPr="00BD237B">
        <w:rPr>
          <w:rFonts w:cs="Calibri"/>
          <w:b/>
          <w:szCs w:val="20"/>
        </w:rPr>
        <w:t>20% / 587 dodatkowych osób objętych wsparciem. Prognozowana całkowita wartość wskaźnika będzie wówczas wynosiła 3 525 osób.</w:t>
      </w:r>
      <w:r w:rsidR="00E66B89">
        <w:rPr>
          <w:rFonts w:cs="Calibri"/>
          <w:b/>
          <w:szCs w:val="20"/>
        </w:rPr>
        <w:t xml:space="preserve"> W </w:t>
      </w:r>
      <w:r w:rsidRPr="00BD237B">
        <w:rPr>
          <w:rFonts w:cs="Calibri"/>
          <w:b/>
          <w:szCs w:val="20"/>
        </w:rPr>
        <w:t>tym celu przygotowano prognozę pozwalającą ocenić wysokość środków niezbędnych do osiągnięcia zwiększonej wartości wskaźnika.</w:t>
      </w:r>
    </w:p>
    <w:p w14:paraId="30DBAD2A" w14:textId="77777777" w:rsidR="00881780" w:rsidRPr="00404DA5" w:rsidRDefault="00881780" w:rsidP="00881780">
      <w:pPr>
        <w:rPr>
          <w:rFonts w:cs="Calibri"/>
          <w:szCs w:val="20"/>
        </w:rPr>
      </w:pPr>
      <w:r w:rsidRPr="00404DA5">
        <w:rPr>
          <w:rFonts w:cs="Calibri"/>
          <w:szCs w:val="20"/>
        </w:rPr>
        <w:t>Przy obliczonym koszcie jednostkowym wskaźnika uwzględniającym wzrost cen (indeks CPI 104,3%) wynoszącym 53 988,72 zł środki konieczne do osiągnięcia wartości wskaźnika tj. objęcia wsparciem dodatkowych 587 osób to 31 691 378,64 zł. Alokacja UE ogółem (z RW) pozostała</w:t>
      </w:r>
      <w:r w:rsidR="00E66B89">
        <w:rPr>
          <w:rFonts w:cs="Calibri"/>
          <w:szCs w:val="20"/>
        </w:rPr>
        <w:t xml:space="preserve"> w </w:t>
      </w:r>
      <w:r w:rsidRPr="00404DA5">
        <w:rPr>
          <w:rFonts w:cs="Calibri"/>
          <w:szCs w:val="20"/>
        </w:rPr>
        <w:t>Działaniu jest wystarczająca do osiągnięcia takiej wartości wskaźnika. Kwota ta pomniejszy pozostałą</w:t>
      </w:r>
      <w:r w:rsidR="00E66B89">
        <w:rPr>
          <w:rFonts w:cs="Calibri"/>
          <w:szCs w:val="20"/>
        </w:rPr>
        <w:t xml:space="preserve"> w </w:t>
      </w:r>
      <w:r w:rsidRPr="00404DA5">
        <w:rPr>
          <w:rFonts w:cs="Calibri"/>
          <w:szCs w:val="20"/>
        </w:rPr>
        <w:t>Działaniu alokację.</w:t>
      </w:r>
    </w:p>
    <w:p w14:paraId="768F00F1" w14:textId="77777777" w:rsidR="00881780" w:rsidRPr="00404DA5" w:rsidRDefault="00881780" w:rsidP="00D87AE8">
      <w:pPr>
        <w:pStyle w:val="Legenda"/>
        <w:spacing w:after="0"/>
      </w:pPr>
      <w:bookmarkStart w:id="266" w:name="_Toc8824225"/>
      <w:r w:rsidRPr="00404DA5">
        <w:t xml:space="preserve">Tabela </w:t>
      </w:r>
      <w:r>
        <w:fldChar w:fldCharType="begin"/>
      </w:r>
      <w:r>
        <w:instrText xml:space="preserve"> SEQ Tabela \* ARABIC </w:instrText>
      </w:r>
      <w:r>
        <w:fldChar w:fldCharType="separate"/>
      </w:r>
      <w:r w:rsidR="00763345">
        <w:rPr>
          <w:noProof/>
        </w:rPr>
        <w:t>114</w:t>
      </w:r>
      <w:r>
        <w:fldChar w:fldCharType="end"/>
      </w:r>
      <w:r w:rsidRPr="00404DA5">
        <w:t xml:space="preserve"> Wskaźniki wymagające zmiany wartości – PI 8i</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538"/>
        <w:gridCol w:w="926"/>
        <w:gridCol w:w="1146"/>
        <w:gridCol w:w="2519"/>
      </w:tblGrid>
      <w:tr w:rsidR="00881780" w:rsidRPr="00256CEB" w14:paraId="7EDF6234" w14:textId="77777777" w:rsidTr="00C22C26">
        <w:trPr>
          <w:tblHeader/>
        </w:trPr>
        <w:tc>
          <w:tcPr>
            <w:tcW w:w="0" w:type="auto"/>
            <w:shd w:val="clear" w:color="auto" w:fill="DBE5F1"/>
          </w:tcPr>
          <w:p w14:paraId="672411D6" w14:textId="77777777" w:rsidR="00881780" w:rsidRPr="00404DA5" w:rsidRDefault="00881780" w:rsidP="006F4D8F">
            <w:pPr>
              <w:jc w:val="center"/>
              <w:rPr>
                <w:rFonts w:cs="Calibri"/>
                <w:sz w:val="16"/>
                <w:szCs w:val="16"/>
              </w:rPr>
            </w:pPr>
            <w:r w:rsidRPr="00404DA5">
              <w:rPr>
                <w:rFonts w:cs="Calibri"/>
                <w:sz w:val="16"/>
                <w:szCs w:val="16"/>
              </w:rPr>
              <w:t>Typ wskaźnika</w:t>
            </w:r>
          </w:p>
        </w:tc>
        <w:tc>
          <w:tcPr>
            <w:tcW w:w="3538" w:type="dxa"/>
            <w:shd w:val="clear" w:color="auto" w:fill="DBE5F1"/>
          </w:tcPr>
          <w:p w14:paraId="6DCD3B58" w14:textId="77777777" w:rsidR="00881780" w:rsidRPr="00404DA5" w:rsidRDefault="00881780" w:rsidP="006F4D8F">
            <w:pPr>
              <w:jc w:val="center"/>
              <w:rPr>
                <w:rFonts w:cs="Calibri"/>
                <w:sz w:val="16"/>
                <w:szCs w:val="16"/>
              </w:rPr>
            </w:pPr>
            <w:r w:rsidRPr="00404DA5">
              <w:rPr>
                <w:rFonts w:cs="Calibri"/>
                <w:sz w:val="16"/>
                <w:szCs w:val="16"/>
              </w:rPr>
              <w:t>Wskaźnik</w:t>
            </w:r>
          </w:p>
        </w:tc>
        <w:tc>
          <w:tcPr>
            <w:tcW w:w="926" w:type="dxa"/>
            <w:shd w:val="clear" w:color="auto" w:fill="DBE5F1"/>
          </w:tcPr>
          <w:p w14:paraId="756AA1CA" w14:textId="77777777" w:rsidR="00881780" w:rsidRPr="00404DA5" w:rsidRDefault="00881780" w:rsidP="006F4D8F">
            <w:pPr>
              <w:jc w:val="center"/>
              <w:rPr>
                <w:rFonts w:cs="Calibri"/>
                <w:sz w:val="16"/>
                <w:szCs w:val="16"/>
              </w:rPr>
            </w:pPr>
            <w:r w:rsidRPr="00404DA5">
              <w:rPr>
                <w:rFonts w:cs="Calibri"/>
                <w:sz w:val="16"/>
                <w:szCs w:val="16"/>
              </w:rPr>
              <w:t>Jednostka pomiaru</w:t>
            </w:r>
          </w:p>
        </w:tc>
        <w:tc>
          <w:tcPr>
            <w:tcW w:w="1146" w:type="dxa"/>
            <w:shd w:val="clear" w:color="auto" w:fill="DBE5F1"/>
          </w:tcPr>
          <w:p w14:paraId="16CDC848" w14:textId="77777777" w:rsidR="00881780" w:rsidRPr="00404DA5" w:rsidRDefault="00881780" w:rsidP="006F4D8F">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2519" w:type="dxa"/>
            <w:shd w:val="clear" w:color="auto" w:fill="DBE5F1"/>
          </w:tcPr>
          <w:p w14:paraId="6F893C68" w14:textId="77777777" w:rsidR="00881780" w:rsidRPr="00404DA5" w:rsidRDefault="00881780" w:rsidP="006F4D8F">
            <w:pPr>
              <w:jc w:val="center"/>
              <w:rPr>
                <w:rFonts w:cs="Calibri"/>
                <w:sz w:val="16"/>
                <w:szCs w:val="16"/>
              </w:rPr>
            </w:pPr>
            <w:r>
              <w:rPr>
                <w:rFonts w:cs="Calibri"/>
                <w:sz w:val="16"/>
                <w:szCs w:val="16"/>
              </w:rPr>
              <w:t>Proponowana w</w:t>
            </w:r>
            <w:r w:rsidRPr="00404DA5">
              <w:rPr>
                <w:rFonts w:cs="Calibri"/>
                <w:sz w:val="16"/>
                <w:szCs w:val="16"/>
              </w:rPr>
              <w:t>artość docelowa na koniec 2023 r.</w:t>
            </w:r>
          </w:p>
        </w:tc>
      </w:tr>
      <w:tr w:rsidR="00881780" w:rsidRPr="00256CEB" w14:paraId="2B3EC510" w14:textId="77777777" w:rsidTr="006F4D8F">
        <w:tc>
          <w:tcPr>
            <w:tcW w:w="0" w:type="auto"/>
            <w:shd w:val="clear" w:color="auto" w:fill="auto"/>
            <w:vAlign w:val="center"/>
          </w:tcPr>
          <w:p w14:paraId="5AC771FB" w14:textId="77777777" w:rsidR="00881780" w:rsidRPr="00404DA5" w:rsidRDefault="00881780" w:rsidP="006F4D8F">
            <w:pPr>
              <w:jc w:val="center"/>
              <w:rPr>
                <w:rFonts w:eastAsia="Calibri" w:cs="Calibri"/>
                <w:sz w:val="18"/>
                <w:szCs w:val="18"/>
              </w:rPr>
            </w:pPr>
            <w:r w:rsidRPr="00404DA5">
              <w:rPr>
                <w:rFonts w:eastAsia="Calibri" w:cs="Calibri"/>
                <w:sz w:val="18"/>
                <w:szCs w:val="18"/>
              </w:rPr>
              <w:t>WP</w:t>
            </w:r>
          </w:p>
        </w:tc>
        <w:tc>
          <w:tcPr>
            <w:tcW w:w="3538" w:type="dxa"/>
            <w:shd w:val="clear" w:color="auto" w:fill="auto"/>
            <w:vAlign w:val="center"/>
          </w:tcPr>
          <w:p w14:paraId="306C8539" w14:textId="77777777" w:rsidR="00881780" w:rsidRPr="00404DA5" w:rsidRDefault="00881780" w:rsidP="006F4D8F">
            <w:pPr>
              <w:rPr>
                <w:rFonts w:eastAsia="Calibri" w:cs="Calibri"/>
                <w:sz w:val="18"/>
                <w:szCs w:val="18"/>
              </w:rPr>
            </w:pPr>
            <w:r w:rsidRPr="00404DA5">
              <w:rPr>
                <w:rFonts w:eastAsia="Calibri" w:cs="Calibri"/>
                <w:sz w:val="18"/>
                <w:szCs w:val="18"/>
              </w:rPr>
              <w:t xml:space="preserve">Liczba osób </w:t>
            </w:r>
            <w:r>
              <w:rPr>
                <w:rFonts w:eastAsia="Calibri" w:cs="Calibri"/>
                <w:sz w:val="18"/>
                <w:szCs w:val="18"/>
              </w:rPr>
              <w:t xml:space="preserve">długotrwale </w:t>
            </w:r>
            <w:r w:rsidRPr="00404DA5">
              <w:rPr>
                <w:rFonts w:eastAsia="Calibri" w:cs="Calibri"/>
                <w:sz w:val="18"/>
                <w:szCs w:val="18"/>
              </w:rPr>
              <w:t>bezrobotnych objętych wsparciem</w:t>
            </w:r>
            <w:r w:rsidR="00E66B89">
              <w:rPr>
                <w:rFonts w:eastAsia="Calibri" w:cs="Calibri"/>
                <w:sz w:val="18"/>
                <w:szCs w:val="18"/>
              </w:rPr>
              <w:t xml:space="preserve"> w </w:t>
            </w:r>
            <w:r w:rsidRPr="00404DA5">
              <w:rPr>
                <w:rFonts w:eastAsia="Calibri" w:cs="Calibri"/>
                <w:sz w:val="18"/>
                <w:szCs w:val="18"/>
              </w:rPr>
              <w:t xml:space="preserve">programie(C) </w:t>
            </w:r>
          </w:p>
        </w:tc>
        <w:tc>
          <w:tcPr>
            <w:tcW w:w="926" w:type="dxa"/>
            <w:shd w:val="clear" w:color="auto" w:fill="auto"/>
            <w:vAlign w:val="center"/>
          </w:tcPr>
          <w:p w14:paraId="4E3FA9C8" w14:textId="77777777" w:rsidR="00881780" w:rsidRPr="00404DA5" w:rsidRDefault="00881780" w:rsidP="006F4D8F">
            <w:pPr>
              <w:jc w:val="center"/>
              <w:rPr>
                <w:rFonts w:eastAsia="Calibri" w:cs="Calibri"/>
                <w:sz w:val="18"/>
                <w:szCs w:val="18"/>
              </w:rPr>
            </w:pPr>
            <w:r w:rsidRPr="00404DA5">
              <w:rPr>
                <w:rFonts w:eastAsia="Calibri" w:cs="Calibri"/>
                <w:sz w:val="18"/>
                <w:szCs w:val="18"/>
              </w:rPr>
              <w:t>osoby</w:t>
            </w:r>
          </w:p>
        </w:tc>
        <w:tc>
          <w:tcPr>
            <w:tcW w:w="1146" w:type="dxa"/>
            <w:shd w:val="clear" w:color="auto" w:fill="auto"/>
            <w:vAlign w:val="center"/>
          </w:tcPr>
          <w:p w14:paraId="7B6141D5" w14:textId="77777777" w:rsidR="00881780" w:rsidRPr="00404DA5" w:rsidRDefault="00881780" w:rsidP="006F4D8F">
            <w:pPr>
              <w:jc w:val="center"/>
              <w:rPr>
                <w:rFonts w:eastAsia="Calibri" w:cs="Calibri"/>
                <w:sz w:val="18"/>
                <w:szCs w:val="18"/>
              </w:rPr>
            </w:pPr>
            <w:r>
              <w:rPr>
                <w:rFonts w:eastAsia="Calibri" w:cs="Calibri"/>
                <w:sz w:val="18"/>
                <w:szCs w:val="18"/>
              </w:rPr>
              <w:t>10 850</w:t>
            </w:r>
          </w:p>
        </w:tc>
        <w:tc>
          <w:tcPr>
            <w:tcW w:w="2519" w:type="dxa"/>
            <w:shd w:val="clear" w:color="auto" w:fill="auto"/>
            <w:vAlign w:val="center"/>
          </w:tcPr>
          <w:p w14:paraId="5D2782F6" w14:textId="77777777" w:rsidR="00881780" w:rsidRPr="00404DA5" w:rsidRDefault="00881780" w:rsidP="006F4D8F">
            <w:pPr>
              <w:jc w:val="center"/>
              <w:rPr>
                <w:rFonts w:eastAsia="Calibri" w:cs="Calibri"/>
                <w:sz w:val="18"/>
                <w:szCs w:val="18"/>
              </w:rPr>
            </w:pPr>
            <w:r>
              <w:rPr>
                <w:rFonts w:eastAsia="Calibri" w:cs="Calibri"/>
                <w:sz w:val="18"/>
                <w:szCs w:val="18"/>
              </w:rPr>
              <w:t>Ewentualne z</w:t>
            </w:r>
            <w:r w:rsidRPr="00404DA5">
              <w:rPr>
                <w:rFonts w:eastAsia="Calibri" w:cs="Calibri"/>
                <w:sz w:val="18"/>
                <w:szCs w:val="18"/>
              </w:rPr>
              <w:t>mniejszenie wartości wskaźnika do poziomu</w:t>
            </w:r>
            <w:r w:rsidR="00E66B89">
              <w:rPr>
                <w:rFonts w:eastAsia="Calibri" w:cs="Calibri"/>
                <w:sz w:val="18"/>
                <w:szCs w:val="18"/>
              </w:rPr>
              <w:t xml:space="preserve"> w </w:t>
            </w:r>
            <w:r>
              <w:rPr>
                <w:rFonts w:eastAsia="Calibri" w:cs="Calibri"/>
                <w:sz w:val="18"/>
                <w:szCs w:val="18"/>
              </w:rPr>
              <w:t>W</w:t>
            </w:r>
            <w:r w:rsidRPr="00404DA5">
              <w:rPr>
                <w:rFonts w:eastAsia="Calibri" w:cs="Calibri"/>
                <w:sz w:val="18"/>
                <w:szCs w:val="18"/>
              </w:rPr>
              <w:t>oD</w:t>
            </w:r>
          </w:p>
          <w:p w14:paraId="4FD7F780" w14:textId="77777777" w:rsidR="00881780" w:rsidRPr="00404DA5" w:rsidRDefault="00881780" w:rsidP="006F4D8F">
            <w:pPr>
              <w:jc w:val="center"/>
              <w:rPr>
                <w:rFonts w:eastAsia="Calibri" w:cs="Calibri"/>
                <w:sz w:val="18"/>
                <w:szCs w:val="18"/>
              </w:rPr>
            </w:pPr>
            <w:r w:rsidRPr="00404DA5">
              <w:rPr>
                <w:rFonts w:eastAsia="Calibri" w:cs="Calibri"/>
                <w:sz w:val="18"/>
                <w:szCs w:val="18"/>
              </w:rPr>
              <w:t>(</w:t>
            </w:r>
            <w:r>
              <w:rPr>
                <w:rFonts w:eastAsia="Calibri" w:cs="Calibri"/>
                <w:sz w:val="18"/>
                <w:szCs w:val="18"/>
              </w:rPr>
              <w:t>5 286</w:t>
            </w:r>
            <w:r w:rsidRPr="00404DA5">
              <w:rPr>
                <w:rFonts w:eastAsia="Calibri" w:cs="Calibri"/>
                <w:sz w:val="18"/>
                <w:szCs w:val="18"/>
              </w:rPr>
              <w:t xml:space="preserve"> osób)</w:t>
            </w:r>
          </w:p>
        </w:tc>
      </w:tr>
      <w:tr w:rsidR="00881780" w:rsidRPr="00256CEB" w14:paraId="2092E5FB" w14:textId="77777777" w:rsidTr="006F4D8F">
        <w:tc>
          <w:tcPr>
            <w:tcW w:w="0" w:type="auto"/>
            <w:shd w:val="clear" w:color="auto" w:fill="auto"/>
            <w:vAlign w:val="center"/>
          </w:tcPr>
          <w:p w14:paraId="221ACF4E" w14:textId="77777777" w:rsidR="00881780" w:rsidRPr="00404DA5" w:rsidRDefault="00881780" w:rsidP="006F4D8F">
            <w:pPr>
              <w:jc w:val="center"/>
              <w:rPr>
                <w:rFonts w:eastAsia="Calibri" w:cs="Calibri"/>
                <w:sz w:val="16"/>
                <w:szCs w:val="16"/>
              </w:rPr>
            </w:pPr>
            <w:r w:rsidRPr="00404DA5">
              <w:rPr>
                <w:rFonts w:eastAsia="Calibri" w:cs="Calibri"/>
                <w:sz w:val="16"/>
                <w:szCs w:val="16"/>
              </w:rPr>
              <w:t>WP</w:t>
            </w:r>
          </w:p>
        </w:tc>
        <w:tc>
          <w:tcPr>
            <w:tcW w:w="3538" w:type="dxa"/>
            <w:shd w:val="clear" w:color="auto" w:fill="auto"/>
            <w:vAlign w:val="center"/>
          </w:tcPr>
          <w:p w14:paraId="798FAAAA" w14:textId="77777777" w:rsidR="00881780" w:rsidRPr="00404DA5" w:rsidRDefault="00881780" w:rsidP="006F4D8F">
            <w:pPr>
              <w:rPr>
                <w:rFonts w:eastAsia="Calibri" w:cs="Calibri"/>
                <w:sz w:val="18"/>
                <w:szCs w:val="18"/>
              </w:rPr>
            </w:pPr>
            <w:r w:rsidRPr="00404DA5">
              <w:rPr>
                <w:rFonts w:eastAsia="Calibri" w:cs="Calibri"/>
                <w:sz w:val="18"/>
                <w:szCs w:val="18"/>
              </w:rPr>
              <w:t>Liczba osób, które otrzymały bezzwrotne środki na podjęcie działalności gospodarczej</w:t>
            </w:r>
            <w:r w:rsidR="00E66B89">
              <w:rPr>
                <w:rFonts w:eastAsia="Calibri" w:cs="Calibri"/>
                <w:sz w:val="18"/>
                <w:szCs w:val="18"/>
              </w:rPr>
              <w:t xml:space="preserve"> w </w:t>
            </w:r>
            <w:r w:rsidRPr="00404DA5">
              <w:rPr>
                <w:rFonts w:eastAsia="Calibri" w:cs="Calibri"/>
                <w:sz w:val="18"/>
                <w:szCs w:val="18"/>
              </w:rPr>
              <w:t>programie</w:t>
            </w:r>
          </w:p>
        </w:tc>
        <w:tc>
          <w:tcPr>
            <w:tcW w:w="926" w:type="dxa"/>
            <w:shd w:val="clear" w:color="auto" w:fill="auto"/>
            <w:vAlign w:val="center"/>
          </w:tcPr>
          <w:p w14:paraId="179338F7" w14:textId="77777777" w:rsidR="00881780" w:rsidRPr="00404DA5" w:rsidRDefault="00881780" w:rsidP="006F4D8F">
            <w:pPr>
              <w:jc w:val="center"/>
              <w:rPr>
                <w:rFonts w:eastAsia="Calibri" w:cs="Calibri"/>
                <w:sz w:val="18"/>
                <w:szCs w:val="18"/>
              </w:rPr>
            </w:pPr>
            <w:r w:rsidRPr="00404DA5">
              <w:rPr>
                <w:rFonts w:eastAsia="Calibri" w:cs="Calibri"/>
                <w:sz w:val="18"/>
                <w:szCs w:val="18"/>
              </w:rPr>
              <w:t xml:space="preserve">osoby </w:t>
            </w:r>
          </w:p>
        </w:tc>
        <w:tc>
          <w:tcPr>
            <w:tcW w:w="1146" w:type="dxa"/>
            <w:shd w:val="clear" w:color="auto" w:fill="auto"/>
            <w:vAlign w:val="center"/>
          </w:tcPr>
          <w:p w14:paraId="05FD234A" w14:textId="77777777" w:rsidR="00881780" w:rsidRPr="00404DA5" w:rsidRDefault="00881780" w:rsidP="006F4D8F">
            <w:pPr>
              <w:jc w:val="center"/>
              <w:rPr>
                <w:rFonts w:eastAsia="Calibri" w:cs="Calibri"/>
                <w:sz w:val="18"/>
                <w:szCs w:val="18"/>
              </w:rPr>
            </w:pPr>
            <w:r w:rsidRPr="00404DA5">
              <w:rPr>
                <w:rFonts w:eastAsia="Calibri" w:cs="Calibri"/>
                <w:sz w:val="18"/>
                <w:szCs w:val="18"/>
              </w:rPr>
              <w:t>2 938</w:t>
            </w:r>
          </w:p>
        </w:tc>
        <w:tc>
          <w:tcPr>
            <w:tcW w:w="2519" w:type="dxa"/>
            <w:shd w:val="clear" w:color="auto" w:fill="auto"/>
            <w:vAlign w:val="center"/>
          </w:tcPr>
          <w:p w14:paraId="5B3F9344" w14:textId="77777777" w:rsidR="00881780" w:rsidRPr="00404DA5" w:rsidRDefault="00881780" w:rsidP="006F4D8F">
            <w:pPr>
              <w:jc w:val="center"/>
              <w:rPr>
                <w:rFonts w:eastAsia="Calibri" w:cs="Calibri"/>
                <w:sz w:val="18"/>
                <w:szCs w:val="18"/>
              </w:rPr>
            </w:pPr>
            <w:r w:rsidRPr="00404DA5">
              <w:rPr>
                <w:rFonts w:eastAsia="Calibri" w:cs="Calibri"/>
                <w:sz w:val="18"/>
                <w:szCs w:val="18"/>
              </w:rPr>
              <w:t>Zwiększenie wartości wskaźnika</w:t>
            </w:r>
            <w:r w:rsidR="00E66B89">
              <w:rPr>
                <w:rFonts w:eastAsia="Calibri" w:cs="Calibri"/>
                <w:sz w:val="18"/>
                <w:szCs w:val="18"/>
              </w:rPr>
              <w:t xml:space="preserve"> o </w:t>
            </w:r>
            <w:r w:rsidRPr="00404DA5">
              <w:rPr>
                <w:rFonts w:eastAsia="Calibri" w:cs="Calibri"/>
                <w:sz w:val="18"/>
                <w:szCs w:val="18"/>
              </w:rPr>
              <w:t>20% / 587 osób</w:t>
            </w:r>
          </w:p>
          <w:p w14:paraId="31017930" w14:textId="77777777" w:rsidR="00881780" w:rsidRPr="00404DA5" w:rsidRDefault="00881780" w:rsidP="006F4D8F">
            <w:pPr>
              <w:jc w:val="center"/>
              <w:rPr>
                <w:rFonts w:eastAsia="Calibri" w:cs="Calibri"/>
                <w:sz w:val="18"/>
                <w:szCs w:val="18"/>
              </w:rPr>
            </w:pPr>
            <w:r w:rsidRPr="00404DA5">
              <w:rPr>
                <w:rFonts w:eastAsia="Calibri" w:cs="Calibri"/>
                <w:sz w:val="18"/>
                <w:szCs w:val="18"/>
              </w:rPr>
              <w:t>Prognozowana całkowita wartość wskaźnika przy danym koszcie jednostkowym to 3 525 osób</w:t>
            </w:r>
          </w:p>
        </w:tc>
      </w:tr>
    </w:tbl>
    <w:p w14:paraId="3E8D82DC"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analizy własne.</w:t>
      </w:r>
    </w:p>
    <w:p w14:paraId="55E1FFFF" w14:textId="77777777" w:rsidR="00881780" w:rsidRPr="00A105DB" w:rsidRDefault="00881780" w:rsidP="00881780">
      <w:pPr>
        <w:keepNext/>
        <w:keepLines/>
        <w:spacing w:before="200"/>
        <w:outlineLvl w:val="3"/>
        <w:rPr>
          <w:rFonts w:eastAsia="Calibri"/>
          <w:b/>
          <w:i/>
          <w:color w:val="4F81BD"/>
        </w:rPr>
      </w:pPr>
      <w:r w:rsidRPr="00A105DB">
        <w:rPr>
          <w:rFonts w:eastAsia="Calibri"/>
          <w:b/>
          <w:i/>
          <w:color w:val="4F81BD"/>
        </w:rPr>
        <w:lastRenderedPageBreak/>
        <w:t>Możliwości zarządzania środkami rezerwy wykonania</w:t>
      </w:r>
      <w:r w:rsidR="00E66B89">
        <w:rPr>
          <w:rFonts w:eastAsia="Calibri"/>
          <w:b/>
          <w:i/>
          <w:color w:val="4F81BD"/>
        </w:rPr>
        <w:t xml:space="preserve"> i </w:t>
      </w:r>
      <w:r w:rsidRPr="00A105DB">
        <w:rPr>
          <w:rFonts w:eastAsia="Calibri"/>
          <w:b/>
          <w:i/>
          <w:color w:val="4F81BD"/>
        </w:rPr>
        <w:t>identyfikacja obszarów wymagających interwencji - podsumowanie</w:t>
      </w:r>
    </w:p>
    <w:p w14:paraId="5A26BDD1" w14:textId="77777777" w:rsidR="00881780" w:rsidRDefault="00881780" w:rsidP="00881780">
      <w:pPr>
        <w:rPr>
          <w:rFonts w:cs="Calibri"/>
          <w:szCs w:val="20"/>
        </w:rPr>
      </w:pPr>
      <w:r w:rsidRPr="00406B46">
        <w:rPr>
          <w:rFonts w:cs="Calibri"/>
          <w:szCs w:val="20"/>
        </w:rPr>
        <w:t>Aloka</w:t>
      </w:r>
      <w:r w:rsidRPr="00404DA5">
        <w:rPr>
          <w:rFonts w:cs="Calibri"/>
          <w:szCs w:val="20"/>
        </w:rPr>
        <w:t>cja UE ogółem (z RW) pozostała / dostępna</w:t>
      </w:r>
      <w:r w:rsidR="00E66B89">
        <w:rPr>
          <w:rFonts w:cs="Calibri"/>
          <w:szCs w:val="20"/>
        </w:rPr>
        <w:t xml:space="preserve"> w </w:t>
      </w:r>
      <w:r w:rsidRPr="00404DA5">
        <w:rPr>
          <w:rFonts w:cs="Calibri"/>
          <w:szCs w:val="20"/>
        </w:rPr>
        <w:t>PI 8i wynosi 211 829 919,87 zł. Pozostała / dostępna alokacja główna UE (bez RW) wynosi 186 679 652,87 zł.</w:t>
      </w:r>
      <w:r>
        <w:rPr>
          <w:rFonts w:cs="Calibri"/>
          <w:szCs w:val="20"/>
        </w:rPr>
        <w:t xml:space="preserve"> </w:t>
      </w:r>
      <w:r w:rsidRPr="00404DA5">
        <w:rPr>
          <w:rFonts w:cs="Calibri"/>
          <w:szCs w:val="20"/>
        </w:rPr>
        <w:t>Orientacyjna kwota przeznaczona na dofinansowanie projektów wyłonionych</w:t>
      </w:r>
      <w:r w:rsidR="00E66B89">
        <w:rPr>
          <w:rFonts w:cs="Calibri"/>
          <w:szCs w:val="20"/>
        </w:rPr>
        <w:t xml:space="preserve"> w </w:t>
      </w:r>
      <w:r w:rsidRPr="00404DA5">
        <w:rPr>
          <w:rFonts w:cs="Calibri"/>
          <w:szCs w:val="20"/>
        </w:rPr>
        <w:t>ramach piątego naboru/ konkursu wynosi: 6 191 000,00 EUR, tj. 26 638 634,80 zł. Skuteczne przeprowadzenie naboru wniosków</w:t>
      </w:r>
      <w:r w:rsidR="00E66B89">
        <w:rPr>
          <w:rFonts w:cs="Calibri"/>
          <w:szCs w:val="20"/>
        </w:rPr>
        <w:t xml:space="preserve"> o </w:t>
      </w:r>
      <w:r w:rsidRPr="00404DA5">
        <w:rPr>
          <w:rFonts w:cs="Calibri"/>
          <w:szCs w:val="20"/>
        </w:rPr>
        <w:t>dofinansowanie pozwoli zagospodarować na poziomie 12,6% pozostałą / dostępną</w:t>
      </w:r>
      <w:r w:rsidR="00E66B89">
        <w:rPr>
          <w:rFonts w:cs="Calibri"/>
          <w:szCs w:val="20"/>
        </w:rPr>
        <w:t xml:space="preserve"> w </w:t>
      </w:r>
      <w:r w:rsidRPr="00404DA5">
        <w:rPr>
          <w:rFonts w:cs="Calibri"/>
          <w:szCs w:val="20"/>
        </w:rPr>
        <w:t>PI 8i alokację</w:t>
      </w:r>
      <w:r w:rsidRPr="00FD4C08">
        <w:t xml:space="preserve"> </w:t>
      </w:r>
      <w:r w:rsidRPr="00404DA5">
        <w:rPr>
          <w:rFonts w:cs="Calibri"/>
          <w:szCs w:val="20"/>
        </w:rPr>
        <w:t>UE ogółem (z RW)</w:t>
      </w:r>
      <w:r>
        <w:rPr>
          <w:rFonts w:cs="Calibri"/>
          <w:szCs w:val="20"/>
        </w:rPr>
        <w:t>;</w:t>
      </w:r>
      <w:r w:rsidRPr="00404DA5">
        <w:rPr>
          <w:rFonts w:cs="Calibri"/>
          <w:szCs w:val="20"/>
        </w:rPr>
        <w:t xml:space="preserve"> oraz na poziomie 14,3% główną alokację UE (bez RW). Oznacza to, że</w:t>
      </w:r>
      <w:r w:rsidR="00E66B89">
        <w:rPr>
          <w:rFonts w:cs="Calibri"/>
          <w:szCs w:val="20"/>
        </w:rPr>
        <w:t xml:space="preserve"> w </w:t>
      </w:r>
      <w:r w:rsidRPr="00404DA5">
        <w:rPr>
          <w:rFonts w:cs="Calibri"/>
          <w:szCs w:val="20"/>
        </w:rPr>
        <w:t>wyniku dofinansowania projektów wyłonionych</w:t>
      </w:r>
      <w:r w:rsidR="00E66B89">
        <w:rPr>
          <w:rFonts w:cs="Calibri"/>
          <w:szCs w:val="20"/>
        </w:rPr>
        <w:t xml:space="preserve"> w </w:t>
      </w:r>
      <w:r w:rsidRPr="00404DA5">
        <w:rPr>
          <w:rFonts w:cs="Calibri"/>
          <w:szCs w:val="20"/>
        </w:rPr>
        <w:t>piątym naborze pozostała</w:t>
      </w:r>
      <w:r w:rsidR="00E66B89">
        <w:rPr>
          <w:rFonts w:cs="Calibri"/>
          <w:szCs w:val="20"/>
        </w:rPr>
        <w:t xml:space="preserve"> w </w:t>
      </w:r>
      <w:r w:rsidRPr="00404DA5">
        <w:rPr>
          <w:rFonts w:cs="Calibri"/>
          <w:szCs w:val="20"/>
        </w:rPr>
        <w:t xml:space="preserve">Działaniu alokacja UE ogółem może wynosić około </w:t>
      </w:r>
      <w:r w:rsidRPr="00BD237B">
        <w:rPr>
          <w:rFonts w:cs="Calibri"/>
          <w:b/>
          <w:szCs w:val="20"/>
        </w:rPr>
        <w:t>185 mln zł</w:t>
      </w:r>
      <w:r w:rsidRPr="00404DA5">
        <w:rPr>
          <w:rFonts w:cs="Calibri"/>
          <w:szCs w:val="20"/>
        </w:rPr>
        <w:t xml:space="preserve"> (185 191 285,07 zł).</w:t>
      </w:r>
    </w:p>
    <w:p w14:paraId="1B4CCF26" w14:textId="77777777" w:rsidR="00881780" w:rsidRDefault="00881780" w:rsidP="00881780">
      <w:pPr>
        <w:rPr>
          <w:rFonts w:cs="Calibri"/>
          <w:szCs w:val="20"/>
        </w:rPr>
      </w:pPr>
      <w:r>
        <w:rPr>
          <w:rFonts w:cs="Calibri"/>
          <w:szCs w:val="20"/>
        </w:rPr>
        <w:t xml:space="preserve">Jeśli dodatkowo brać pod uwagę środki, które mogłyby być przeznaczone na osiągnięcie zwiększonej wartości wskaźnika </w:t>
      </w:r>
      <w:r w:rsidRPr="00BD237B">
        <w:rPr>
          <w:rFonts w:cs="Calibri"/>
          <w:i/>
          <w:szCs w:val="20"/>
        </w:rPr>
        <w:t>Liczba osób, które otrzymały bezzwrotne środki na podjęcie działalności gospodarczej</w:t>
      </w:r>
      <w:r w:rsidR="00E66B89">
        <w:rPr>
          <w:rFonts w:cs="Calibri"/>
          <w:i/>
          <w:szCs w:val="20"/>
        </w:rPr>
        <w:t xml:space="preserve"> w </w:t>
      </w:r>
      <w:r w:rsidRPr="00BD237B">
        <w:rPr>
          <w:rFonts w:cs="Calibri"/>
          <w:i/>
          <w:szCs w:val="20"/>
        </w:rPr>
        <w:t>programie</w:t>
      </w:r>
      <w:r>
        <w:rPr>
          <w:rFonts w:cs="Calibri"/>
          <w:szCs w:val="20"/>
        </w:rPr>
        <w:t>,</w:t>
      </w:r>
      <w:r w:rsidR="00E66B89">
        <w:rPr>
          <w:rFonts w:cs="Calibri"/>
          <w:szCs w:val="20"/>
        </w:rPr>
        <w:t xml:space="preserve"> w </w:t>
      </w:r>
      <w:r>
        <w:rPr>
          <w:rFonts w:cs="Calibri"/>
          <w:szCs w:val="20"/>
        </w:rPr>
        <w:t xml:space="preserve">wysokości </w:t>
      </w:r>
      <w:r w:rsidRPr="00BD237B">
        <w:rPr>
          <w:rFonts w:cs="Calibri"/>
          <w:szCs w:val="20"/>
        </w:rPr>
        <w:t>31 691 378,64 zł.</w:t>
      </w:r>
      <w:r>
        <w:rPr>
          <w:rFonts w:cs="Calibri"/>
          <w:szCs w:val="20"/>
        </w:rPr>
        <w:t xml:space="preserve"> (zgodnie</w:t>
      </w:r>
      <w:r w:rsidR="00E66B89">
        <w:rPr>
          <w:rFonts w:cs="Calibri"/>
          <w:szCs w:val="20"/>
        </w:rPr>
        <w:t xml:space="preserve"> z </w:t>
      </w:r>
      <w:r>
        <w:rPr>
          <w:rFonts w:cs="Calibri"/>
          <w:szCs w:val="20"/>
        </w:rPr>
        <w:t>prognozą zaprezentowaną powyżej) alokacja pozostała</w:t>
      </w:r>
      <w:r w:rsidR="00E66B89">
        <w:rPr>
          <w:rFonts w:cs="Calibri"/>
          <w:szCs w:val="20"/>
        </w:rPr>
        <w:t xml:space="preserve"> w </w:t>
      </w:r>
      <w:r>
        <w:rPr>
          <w:rFonts w:cs="Calibri"/>
          <w:szCs w:val="20"/>
        </w:rPr>
        <w:t>Działaniu wynosząca ok 185 mln zł zostanie pomniejszona</w:t>
      </w:r>
      <w:r w:rsidR="00E66B89">
        <w:rPr>
          <w:rFonts w:cs="Calibri"/>
          <w:szCs w:val="20"/>
        </w:rPr>
        <w:t xml:space="preserve"> i </w:t>
      </w:r>
      <w:r>
        <w:rPr>
          <w:rFonts w:cs="Calibri"/>
          <w:szCs w:val="20"/>
        </w:rPr>
        <w:t>pozostanie na poziomie ok. 154 mln. zł.</w:t>
      </w:r>
    </w:p>
    <w:p w14:paraId="6CB39E92" w14:textId="77777777" w:rsidR="00881780" w:rsidRPr="00404DA5" w:rsidRDefault="00881780" w:rsidP="00881780">
      <w:pPr>
        <w:rPr>
          <w:rFonts w:cs="Calibri"/>
          <w:szCs w:val="20"/>
        </w:rPr>
      </w:pPr>
      <w:r w:rsidRPr="00404DA5">
        <w:rPr>
          <w:rFonts w:cs="Calibri"/>
          <w:szCs w:val="20"/>
        </w:rPr>
        <w:t>Identyfikuje się poważne zagrożenie dla wykorzystania całej alokacji przeznaczonej na Działanie 6.5. Należy rozważyć „uwolnienie” części środków pozostających</w:t>
      </w:r>
      <w:r w:rsidR="00E66B89">
        <w:rPr>
          <w:rFonts w:cs="Calibri"/>
          <w:szCs w:val="20"/>
        </w:rPr>
        <w:t xml:space="preserve"> w </w:t>
      </w:r>
      <w:r w:rsidRPr="00404DA5">
        <w:rPr>
          <w:rFonts w:cs="Calibri"/>
          <w:szCs w:val="20"/>
        </w:rPr>
        <w:t>alokacji, zwłaszcza że –</w:t>
      </w:r>
      <w:r w:rsidR="00E66B89">
        <w:rPr>
          <w:rFonts w:cs="Calibri"/>
          <w:szCs w:val="20"/>
        </w:rPr>
        <w:t xml:space="preserve"> w </w:t>
      </w:r>
      <w:r w:rsidRPr="00404DA5">
        <w:rPr>
          <w:rFonts w:cs="Calibri"/>
          <w:szCs w:val="20"/>
        </w:rPr>
        <w:t>świetle opisanych uwarunkowań realizacji projektów</w:t>
      </w:r>
      <w:r w:rsidR="00E66B89">
        <w:rPr>
          <w:rFonts w:cs="Calibri"/>
          <w:szCs w:val="20"/>
        </w:rPr>
        <w:t xml:space="preserve"> w </w:t>
      </w:r>
      <w:r w:rsidRPr="00404DA5">
        <w:rPr>
          <w:rFonts w:cs="Calibri"/>
          <w:szCs w:val="20"/>
        </w:rPr>
        <w:t>ramach PI 8i – rekomenduje się zmniejszenie wartości docelow</w:t>
      </w:r>
      <w:r>
        <w:rPr>
          <w:rFonts w:cs="Calibri"/>
          <w:szCs w:val="20"/>
        </w:rPr>
        <w:t>ej</w:t>
      </w:r>
      <w:r w:rsidRPr="00404DA5">
        <w:rPr>
          <w:rFonts w:cs="Calibri"/>
          <w:szCs w:val="20"/>
        </w:rPr>
        <w:t xml:space="preserve"> </w:t>
      </w:r>
      <w:r>
        <w:rPr>
          <w:rFonts w:cs="Calibri"/>
          <w:szCs w:val="20"/>
        </w:rPr>
        <w:t>jednego</w:t>
      </w:r>
      <w:r w:rsidRPr="00404DA5">
        <w:rPr>
          <w:rFonts w:cs="Calibri"/>
          <w:szCs w:val="20"/>
        </w:rPr>
        <w:t xml:space="preserve"> wskaźnik</w:t>
      </w:r>
      <w:r>
        <w:rPr>
          <w:rFonts w:cs="Calibri"/>
          <w:szCs w:val="20"/>
        </w:rPr>
        <w:t>a</w:t>
      </w:r>
      <w:r w:rsidRPr="00404DA5">
        <w:rPr>
          <w:rFonts w:cs="Calibri"/>
          <w:szCs w:val="20"/>
        </w:rPr>
        <w:t xml:space="preserve"> (tabela </w:t>
      </w:r>
      <w:r>
        <w:rPr>
          <w:rFonts w:cs="Calibri"/>
          <w:szCs w:val="20"/>
        </w:rPr>
        <w:t>powyżej</w:t>
      </w:r>
      <w:r w:rsidRPr="00404DA5">
        <w:rPr>
          <w:rFonts w:cs="Calibri"/>
          <w:szCs w:val="20"/>
        </w:rPr>
        <w:t>).</w:t>
      </w:r>
    </w:p>
    <w:p w14:paraId="41D748F7" w14:textId="77777777" w:rsidR="00881780" w:rsidRPr="008E2DC8" w:rsidRDefault="00881780" w:rsidP="00881780">
      <w:pPr>
        <w:spacing w:before="240"/>
        <w:rPr>
          <w:rFonts w:cs="Calibri"/>
          <w:b/>
          <w:szCs w:val="20"/>
        </w:rPr>
      </w:pPr>
      <w:r>
        <w:rPr>
          <w:rFonts w:cs="Calibri"/>
          <w:b/>
          <w:szCs w:val="20"/>
        </w:rPr>
        <w:t>REKOMENDACJA:</w:t>
      </w:r>
      <w:r w:rsidR="00E66B89">
        <w:rPr>
          <w:rFonts w:cs="Calibri"/>
          <w:b/>
          <w:szCs w:val="20"/>
        </w:rPr>
        <w:t xml:space="preserve"> W </w:t>
      </w:r>
      <w:r w:rsidRPr="008E2DC8">
        <w:rPr>
          <w:rFonts w:cs="Calibri"/>
          <w:b/>
          <w:szCs w:val="20"/>
        </w:rPr>
        <w:t>kolejnych latach wdrażania Programu</w:t>
      </w:r>
      <w:r w:rsidR="00E66B89">
        <w:rPr>
          <w:rFonts w:cs="Calibri"/>
          <w:b/>
          <w:szCs w:val="20"/>
        </w:rPr>
        <w:t xml:space="preserve"> w </w:t>
      </w:r>
      <w:r w:rsidRPr="008E2DC8">
        <w:rPr>
          <w:rFonts w:cs="Calibri"/>
          <w:b/>
          <w:szCs w:val="20"/>
        </w:rPr>
        <w:t>obszarze wsparcia osób bezrobotnych warto rozważyć stosowanie kryteriów premiujących projekty ukierunkowane na powiaty</w:t>
      </w:r>
      <w:r w:rsidR="00E66B89">
        <w:rPr>
          <w:rFonts w:cs="Calibri"/>
          <w:b/>
          <w:szCs w:val="20"/>
        </w:rPr>
        <w:t xml:space="preserve"> o </w:t>
      </w:r>
      <w:r w:rsidRPr="008E2DC8">
        <w:rPr>
          <w:rFonts w:cs="Calibri"/>
          <w:b/>
          <w:szCs w:val="20"/>
        </w:rPr>
        <w:t>najwyższych wskaźnikach bezrobocia. Istotne jest lepsze dopasowanie wsparcia tej grupy / lepsza integracja wsparcia</w:t>
      </w:r>
      <w:r w:rsidR="00E66B89">
        <w:rPr>
          <w:rFonts w:cs="Calibri"/>
          <w:b/>
          <w:szCs w:val="20"/>
        </w:rPr>
        <w:t xml:space="preserve"> z </w:t>
      </w:r>
      <w:r w:rsidRPr="008E2DC8">
        <w:rPr>
          <w:rFonts w:cs="Calibri"/>
          <w:b/>
          <w:szCs w:val="20"/>
        </w:rPr>
        <w:t>preferencjami</w:t>
      </w:r>
      <w:r w:rsidR="00E66B89">
        <w:rPr>
          <w:rFonts w:cs="Calibri"/>
          <w:b/>
          <w:szCs w:val="20"/>
        </w:rPr>
        <w:t xml:space="preserve"> i </w:t>
      </w:r>
      <w:r w:rsidRPr="008E2DC8">
        <w:rPr>
          <w:rFonts w:cs="Calibri"/>
          <w:b/>
          <w:szCs w:val="20"/>
        </w:rPr>
        <w:t>rzeczywistymi potrzebami pracodawców działających na lokalnym (powiatowym) rynku pracy. Powyższe oznacza konieczność różnicowania instrumentów wsparcia ze względu na potrzeby powiatów</w:t>
      </w:r>
      <w:r w:rsidR="00E66B89">
        <w:rPr>
          <w:rFonts w:cs="Calibri"/>
          <w:b/>
          <w:szCs w:val="20"/>
        </w:rPr>
        <w:t xml:space="preserve"> i </w:t>
      </w:r>
      <w:r w:rsidRPr="008E2DC8">
        <w:rPr>
          <w:rFonts w:cs="Calibri"/>
          <w:b/>
          <w:szCs w:val="20"/>
        </w:rPr>
        <w:t>pracodawców.</w:t>
      </w:r>
    </w:p>
    <w:p w14:paraId="7B17045E" w14:textId="77777777" w:rsidR="00881780" w:rsidRPr="008E2DC8" w:rsidRDefault="00881780" w:rsidP="00881780">
      <w:pPr>
        <w:spacing w:before="240"/>
        <w:rPr>
          <w:rFonts w:cs="Calibri"/>
          <w:b/>
          <w:szCs w:val="20"/>
        </w:rPr>
      </w:pPr>
      <w:r>
        <w:rPr>
          <w:rFonts w:cs="Calibri"/>
          <w:b/>
          <w:szCs w:val="20"/>
        </w:rPr>
        <w:t xml:space="preserve">REKOMENDACJA: </w:t>
      </w:r>
      <w:r w:rsidRPr="008E2DC8">
        <w:rPr>
          <w:rFonts w:cs="Calibri"/>
          <w:b/>
          <w:szCs w:val="20"/>
        </w:rPr>
        <w:t>Ze względu na utrzymującą się</w:t>
      </w:r>
      <w:r w:rsidR="00E66B89">
        <w:rPr>
          <w:rFonts w:cs="Calibri"/>
          <w:b/>
          <w:szCs w:val="20"/>
        </w:rPr>
        <w:t xml:space="preserve"> w </w:t>
      </w:r>
      <w:r w:rsidRPr="008E2DC8">
        <w:rPr>
          <w:rFonts w:cs="Calibri"/>
          <w:b/>
          <w:szCs w:val="20"/>
        </w:rPr>
        <w:t>czasie wzrostową tendencję odsetka długotrwale bezrobotnych kontynuowane być powinny działania służące wsparciu tej grupy osób. Ze względu na czas, pozostawania bez pracy</w:t>
      </w:r>
      <w:r w:rsidR="00E66B89">
        <w:rPr>
          <w:rFonts w:cs="Calibri"/>
          <w:b/>
          <w:szCs w:val="20"/>
        </w:rPr>
        <w:t xml:space="preserve"> i </w:t>
      </w:r>
      <w:r w:rsidRPr="008E2DC8">
        <w:rPr>
          <w:rFonts w:cs="Calibri"/>
          <w:b/>
          <w:szCs w:val="20"/>
        </w:rPr>
        <w:t>stopień oddalenia od rynku pracy, istotne wydaje się podejmowanie interwencji nakierowanych zarówno na: (1) rozpoznanie barier utrudniających tej grupie osób (re)start na rynku pracy</w:t>
      </w:r>
      <w:r w:rsidR="00E66B89">
        <w:rPr>
          <w:rFonts w:cs="Calibri"/>
          <w:b/>
          <w:szCs w:val="20"/>
        </w:rPr>
        <w:t xml:space="preserve"> i </w:t>
      </w:r>
      <w:r w:rsidRPr="008E2DC8">
        <w:rPr>
          <w:rFonts w:cs="Calibri"/>
          <w:b/>
          <w:szCs w:val="20"/>
        </w:rPr>
        <w:t>podjęcie zatrudnienia; jak również – (2) niwelowanie rozpoznanych barier (w tym pomoc</w:t>
      </w:r>
      <w:r w:rsidR="00E66B89">
        <w:rPr>
          <w:rFonts w:cs="Calibri"/>
          <w:b/>
          <w:szCs w:val="20"/>
        </w:rPr>
        <w:t xml:space="preserve"> w </w:t>
      </w:r>
      <w:r w:rsidRPr="008E2DC8">
        <w:rPr>
          <w:rFonts w:cs="Calibri"/>
          <w:b/>
          <w:szCs w:val="20"/>
        </w:rPr>
        <w:t>przygotowaniu indywidu</w:t>
      </w:r>
      <w:r w:rsidR="0013771A">
        <w:rPr>
          <w:rFonts w:cs="Calibri"/>
          <w:b/>
          <w:szCs w:val="20"/>
        </w:rPr>
        <w:t>a</w:t>
      </w:r>
      <w:r w:rsidRPr="008E2DC8">
        <w:rPr>
          <w:rFonts w:cs="Calibri"/>
          <w:b/>
          <w:szCs w:val="20"/>
        </w:rPr>
        <w:t>lnego planu działania). Należy zapewnić trafność interwencji skierowanej do osób długotrwale bezrobotnych poprzez indywidualizację</w:t>
      </w:r>
      <w:r w:rsidR="00E66B89">
        <w:rPr>
          <w:rFonts w:cs="Calibri"/>
          <w:b/>
          <w:szCs w:val="20"/>
        </w:rPr>
        <w:t xml:space="preserve"> i </w:t>
      </w:r>
      <w:r w:rsidRPr="008E2DC8">
        <w:rPr>
          <w:rFonts w:cs="Calibri"/>
          <w:b/>
          <w:szCs w:val="20"/>
        </w:rPr>
        <w:t>kompleksowość wsparcia (stosowanie -</w:t>
      </w:r>
      <w:r w:rsidR="00E66B89">
        <w:rPr>
          <w:rFonts w:cs="Calibri"/>
          <w:b/>
          <w:szCs w:val="20"/>
        </w:rPr>
        <w:t xml:space="preserve"> w </w:t>
      </w:r>
      <w:r w:rsidRPr="008E2DC8">
        <w:rPr>
          <w:rFonts w:cs="Calibri"/>
          <w:b/>
          <w:szCs w:val="20"/>
        </w:rPr>
        <w:t xml:space="preserve">zależności od diagnozowanych potrzeb </w:t>
      </w:r>
      <w:r w:rsidRPr="008E2DC8">
        <w:rPr>
          <w:rFonts w:cs="Calibri"/>
          <w:b/>
          <w:szCs w:val="20"/>
        </w:rPr>
        <w:noBreakHyphen/>
        <w:t xml:space="preserve"> różnorodnych instrumentów</w:t>
      </w:r>
      <w:r w:rsidR="00E66B89">
        <w:rPr>
          <w:rFonts w:cs="Calibri"/>
          <w:b/>
          <w:szCs w:val="20"/>
        </w:rPr>
        <w:t xml:space="preserve"> i </w:t>
      </w:r>
      <w:r w:rsidRPr="008E2DC8">
        <w:rPr>
          <w:rFonts w:cs="Calibri"/>
          <w:b/>
          <w:szCs w:val="20"/>
        </w:rPr>
        <w:t>usług rynku pracy, m.in. służących aktualizacji</w:t>
      </w:r>
      <w:r w:rsidR="00E66B89">
        <w:rPr>
          <w:rFonts w:cs="Calibri"/>
          <w:b/>
          <w:szCs w:val="20"/>
        </w:rPr>
        <w:t xml:space="preserve"> i </w:t>
      </w:r>
      <w:r w:rsidRPr="008E2DC8">
        <w:rPr>
          <w:rFonts w:cs="Calibri"/>
          <w:b/>
          <w:szCs w:val="20"/>
        </w:rPr>
        <w:t>nabyciu nowych kwalifikacji czy zdobyciu doświadczenia zawodowego</w:t>
      </w:r>
      <w:r w:rsidR="00E66B89">
        <w:rPr>
          <w:rFonts w:cs="Calibri"/>
          <w:b/>
          <w:szCs w:val="20"/>
        </w:rPr>
        <w:t xml:space="preserve"> w </w:t>
      </w:r>
      <w:r w:rsidRPr="008E2DC8">
        <w:rPr>
          <w:rFonts w:cs="Calibri"/>
          <w:b/>
          <w:szCs w:val="20"/>
        </w:rPr>
        <w:t>miejscu pracy).</w:t>
      </w:r>
    </w:p>
    <w:p w14:paraId="3D0F85C8" w14:textId="77777777" w:rsidR="00881780" w:rsidRPr="008E2DC8" w:rsidRDefault="00881780" w:rsidP="00881780">
      <w:pPr>
        <w:spacing w:before="240"/>
        <w:rPr>
          <w:rFonts w:cs="Calibri"/>
          <w:b/>
          <w:szCs w:val="20"/>
        </w:rPr>
      </w:pPr>
      <w:r>
        <w:rPr>
          <w:rFonts w:cs="Calibri"/>
          <w:b/>
          <w:szCs w:val="20"/>
        </w:rPr>
        <w:t xml:space="preserve">REKOMENDACJA: </w:t>
      </w:r>
      <w:r w:rsidRPr="008E2DC8">
        <w:rPr>
          <w:rFonts w:cs="Calibri"/>
          <w:b/>
          <w:szCs w:val="20"/>
        </w:rPr>
        <w:t>Ponieważ to kobiety dominują</w:t>
      </w:r>
      <w:r w:rsidR="00E66B89">
        <w:rPr>
          <w:rFonts w:cs="Calibri"/>
          <w:b/>
          <w:szCs w:val="20"/>
        </w:rPr>
        <w:t xml:space="preserve"> w </w:t>
      </w:r>
      <w:r w:rsidRPr="008E2DC8">
        <w:rPr>
          <w:rFonts w:cs="Calibri"/>
          <w:b/>
          <w:szCs w:val="20"/>
        </w:rPr>
        <w:t>zbiorowości osób bezrobotnych,</w:t>
      </w:r>
      <w:r w:rsidR="00E66B89">
        <w:rPr>
          <w:rFonts w:cs="Calibri"/>
          <w:b/>
          <w:szCs w:val="20"/>
        </w:rPr>
        <w:t xml:space="preserve"> w </w:t>
      </w:r>
      <w:r w:rsidRPr="008E2DC8">
        <w:rPr>
          <w:rFonts w:cs="Calibri"/>
          <w:b/>
          <w:szCs w:val="20"/>
        </w:rPr>
        <w:t>tym</w:t>
      </w:r>
      <w:r w:rsidR="00E66B89">
        <w:rPr>
          <w:rFonts w:cs="Calibri"/>
          <w:b/>
          <w:szCs w:val="20"/>
        </w:rPr>
        <w:t xml:space="preserve"> w </w:t>
      </w:r>
      <w:r w:rsidRPr="008E2DC8">
        <w:rPr>
          <w:rFonts w:cs="Calibri"/>
          <w:b/>
          <w:szCs w:val="20"/>
        </w:rPr>
        <w:t>grupie osób będących</w:t>
      </w:r>
      <w:r w:rsidR="00E66B89">
        <w:rPr>
          <w:rFonts w:cs="Calibri"/>
          <w:b/>
          <w:szCs w:val="20"/>
        </w:rPr>
        <w:t xml:space="preserve"> w </w:t>
      </w:r>
      <w:r w:rsidRPr="008E2DC8">
        <w:rPr>
          <w:rFonts w:cs="Calibri"/>
          <w:b/>
          <w:szCs w:val="20"/>
        </w:rPr>
        <w:t>sytuacji szczególnej na rynku pracy</w:t>
      </w:r>
      <w:r w:rsidR="00E66B89">
        <w:rPr>
          <w:rFonts w:cs="Calibri"/>
          <w:b/>
          <w:szCs w:val="20"/>
        </w:rPr>
        <w:t xml:space="preserve"> i </w:t>
      </w:r>
      <w:r w:rsidRPr="008E2DC8">
        <w:rPr>
          <w:rFonts w:cs="Calibri"/>
          <w:b/>
          <w:szCs w:val="20"/>
        </w:rPr>
        <w:t>długotrwale bezrobotnych, należy rozważyć możliwość kierowania</w:t>
      </w:r>
      <w:r w:rsidR="00E66B89">
        <w:rPr>
          <w:rFonts w:cs="Calibri"/>
          <w:b/>
          <w:szCs w:val="20"/>
        </w:rPr>
        <w:t xml:space="preserve"> w </w:t>
      </w:r>
      <w:r w:rsidRPr="008E2DC8">
        <w:rPr>
          <w:rFonts w:cs="Calibri"/>
          <w:b/>
          <w:szCs w:val="20"/>
        </w:rPr>
        <w:t>kolejnych latach wsparcia</w:t>
      </w:r>
      <w:r w:rsidR="00E66B89">
        <w:rPr>
          <w:rFonts w:cs="Calibri"/>
          <w:b/>
          <w:szCs w:val="20"/>
        </w:rPr>
        <w:t xml:space="preserve"> w </w:t>
      </w:r>
      <w:r w:rsidRPr="008E2DC8">
        <w:rPr>
          <w:rFonts w:cs="Calibri"/>
          <w:b/>
          <w:szCs w:val="20"/>
        </w:rPr>
        <w:t>Programie do tej grupy osób bezrobotnych. Warto rozważyć stosowanie kryteriów premiujących projekty zakładające większy udział kobiet wśród odbiorców wsparcia. Działania wsparcia powinny być poprzedzone pogłębioną analizą przyczyn, dla których kobiety częściej</w:t>
      </w:r>
      <w:r w:rsidR="00E66B89">
        <w:rPr>
          <w:rFonts w:cs="Calibri"/>
          <w:b/>
          <w:szCs w:val="20"/>
        </w:rPr>
        <w:t xml:space="preserve"> i </w:t>
      </w:r>
      <w:r w:rsidRPr="008E2DC8">
        <w:rPr>
          <w:rFonts w:cs="Calibri"/>
          <w:b/>
          <w:szCs w:val="20"/>
        </w:rPr>
        <w:t>dłużej niż mężczyźni pozostają poza regionalnym rynkiem pracy oraz analizą pozwalająca zidentyfikować adekwatne formy wsparcia do sytuacji</w:t>
      </w:r>
      <w:r w:rsidR="00E66B89">
        <w:rPr>
          <w:rFonts w:cs="Calibri"/>
          <w:b/>
          <w:szCs w:val="20"/>
        </w:rPr>
        <w:t xml:space="preserve"> i </w:t>
      </w:r>
      <w:r w:rsidRPr="008E2DC8">
        <w:rPr>
          <w:rFonts w:cs="Calibri"/>
          <w:b/>
          <w:szCs w:val="20"/>
        </w:rPr>
        <w:t>potrzeb kobiet</w:t>
      </w:r>
      <w:r w:rsidR="00E66B89">
        <w:rPr>
          <w:rFonts w:cs="Calibri"/>
          <w:b/>
          <w:szCs w:val="20"/>
        </w:rPr>
        <w:t xml:space="preserve"> w </w:t>
      </w:r>
      <w:r w:rsidRPr="008E2DC8">
        <w:rPr>
          <w:rFonts w:cs="Calibri"/>
          <w:b/>
          <w:szCs w:val="20"/>
        </w:rPr>
        <w:t>regionie.</w:t>
      </w:r>
    </w:p>
    <w:p w14:paraId="178C1869" w14:textId="77777777" w:rsidR="00881780" w:rsidRPr="00A556B2" w:rsidRDefault="00881780" w:rsidP="00881780">
      <w:pPr>
        <w:pStyle w:val="Nagwek3"/>
      </w:pPr>
      <w:r w:rsidRPr="0015211F">
        <w:lastRenderedPageBreak/>
        <w:t>Priorytet inwestycyjny nr 8iv (Działanie 6.6</w:t>
      </w:r>
      <w:r>
        <w:t>,</w:t>
      </w:r>
      <w:r w:rsidRPr="0015211F">
        <w:t xml:space="preserve"> 6.7)</w:t>
      </w:r>
    </w:p>
    <w:p w14:paraId="749123F2"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Ocena postępów</w:t>
      </w:r>
      <w:r w:rsidR="00E66B89">
        <w:rPr>
          <w:rFonts w:eastAsia="Calibri"/>
          <w:b/>
          <w:bCs/>
          <w:i/>
          <w:iCs/>
          <w:color w:val="4F81BD"/>
        </w:rPr>
        <w:t xml:space="preserve"> w </w:t>
      </w:r>
      <w:r w:rsidRPr="00404DA5">
        <w:rPr>
          <w:rFonts w:eastAsia="Calibri"/>
          <w:b/>
          <w:bCs/>
          <w:i/>
          <w:iCs/>
          <w:color w:val="4F81BD"/>
        </w:rPr>
        <w:t xml:space="preserve">realizacji PI </w:t>
      </w:r>
    </w:p>
    <w:p w14:paraId="7F1CF6C4" w14:textId="77777777" w:rsidR="00881780" w:rsidRPr="00404DA5" w:rsidRDefault="00881780" w:rsidP="00D87AE8">
      <w:pPr>
        <w:pStyle w:val="Legenda"/>
        <w:spacing w:after="0"/>
      </w:pPr>
      <w:bookmarkStart w:id="267" w:name="_Toc8824226"/>
      <w:r w:rsidRPr="00404DA5">
        <w:t xml:space="preserve">Tabela </w:t>
      </w:r>
      <w:r>
        <w:fldChar w:fldCharType="begin"/>
      </w:r>
      <w:r>
        <w:instrText xml:space="preserve"> SEQ Tabela \* ARABIC </w:instrText>
      </w:r>
      <w:r>
        <w:fldChar w:fldCharType="separate"/>
      </w:r>
      <w:r w:rsidR="00763345">
        <w:rPr>
          <w:noProof/>
        </w:rPr>
        <w:t>115</w:t>
      </w:r>
      <w:r>
        <w:fldChar w:fldCharType="end"/>
      </w:r>
      <w:r w:rsidRPr="00404DA5">
        <w:t xml:space="preserve"> Wskaźniki produktu</w:t>
      </w:r>
      <w:r w:rsidR="00E66B89">
        <w:t xml:space="preserve"> i </w:t>
      </w:r>
      <w:r w:rsidRPr="00404DA5">
        <w:t>rezultatu (PI 8iv) – postęp rzeczowy</w:t>
      </w:r>
      <w:bookmarkEnd w:id="26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2126"/>
        <w:gridCol w:w="709"/>
        <w:gridCol w:w="941"/>
        <w:gridCol w:w="1032"/>
        <w:gridCol w:w="1032"/>
        <w:gridCol w:w="1032"/>
        <w:gridCol w:w="1032"/>
      </w:tblGrid>
      <w:tr w:rsidR="00881780" w:rsidRPr="006D01FC" w14:paraId="684A4C0E" w14:textId="77777777" w:rsidTr="00C22C26">
        <w:trPr>
          <w:tblHeader/>
        </w:trPr>
        <w:tc>
          <w:tcPr>
            <w:tcW w:w="675" w:type="dxa"/>
            <w:shd w:val="clear" w:color="auto" w:fill="DBE5F1"/>
          </w:tcPr>
          <w:p w14:paraId="1533C726" w14:textId="77777777" w:rsidR="00881780" w:rsidRPr="00404DA5" w:rsidRDefault="00881780" w:rsidP="006F4D8F">
            <w:pPr>
              <w:jc w:val="center"/>
              <w:rPr>
                <w:rFonts w:cs="Calibri"/>
                <w:sz w:val="18"/>
                <w:szCs w:val="18"/>
              </w:rPr>
            </w:pPr>
            <w:r w:rsidRPr="00404DA5">
              <w:rPr>
                <w:rFonts w:cs="Calibri"/>
                <w:sz w:val="18"/>
                <w:szCs w:val="18"/>
              </w:rPr>
              <w:t>Typ wskaźnika</w:t>
            </w:r>
          </w:p>
        </w:tc>
        <w:tc>
          <w:tcPr>
            <w:tcW w:w="709" w:type="dxa"/>
            <w:shd w:val="clear" w:color="auto" w:fill="DBE5F1"/>
          </w:tcPr>
          <w:p w14:paraId="7E6BBFB6" w14:textId="77777777" w:rsidR="00881780" w:rsidRPr="00404DA5" w:rsidRDefault="00881780" w:rsidP="006F4D8F">
            <w:pPr>
              <w:jc w:val="center"/>
              <w:rPr>
                <w:rFonts w:cs="Calibri"/>
                <w:sz w:val="18"/>
                <w:szCs w:val="18"/>
              </w:rPr>
            </w:pPr>
            <w:r w:rsidRPr="00404DA5">
              <w:rPr>
                <w:rFonts w:cs="Calibri"/>
                <w:sz w:val="18"/>
                <w:szCs w:val="18"/>
              </w:rPr>
              <w:t>Działania</w:t>
            </w:r>
          </w:p>
        </w:tc>
        <w:tc>
          <w:tcPr>
            <w:tcW w:w="2126" w:type="dxa"/>
            <w:shd w:val="clear" w:color="auto" w:fill="DBE5F1"/>
          </w:tcPr>
          <w:p w14:paraId="06A6B131" w14:textId="77777777" w:rsidR="00881780" w:rsidRPr="00404DA5" w:rsidRDefault="00881780" w:rsidP="006F4D8F">
            <w:pPr>
              <w:jc w:val="center"/>
              <w:rPr>
                <w:rFonts w:cs="Calibri"/>
                <w:sz w:val="18"/>
                <w:szCs w:val="18"/>
              </w:rPr>
            </w:pPr>
            <w:r w:rsidRPr="00404DA5">
              <w:rPr>
                <w:rFonts w:cs="Calibri"/>
                <w:sz w:val="18"/>
                <w:szCs w:val="18"/>
              </w:rPr>
              <w:t>Wskaźnik</w:t>
            </w:r>
          </w:p>
        </w:tc>
        <w:tc>
          <w:tcPr>
            <w:tcW w:w="709" w:type="dxa"/>
            <w:shd w:val="clear" w:color="auto" w:fill="DBE5F1"/>
          </w:tcPr>
          <w:p w14:paraId="43E852E2" w14:textId="77777777" w:rsidR="00881780" w:rsidRPr="00404DA5" w:rsidRDefault="00881780" w:rsidP="006F4D8F">
            <w:pPr>
              <w:jc w:val="center"/>
              <w:rPr>
                <w:rFonts w:cs="Calibri"/>
                <w:sz w:val="18"/>
                <w:szCs w:val="18"/>
              </w:rPr>
            </w:pPr>
            <w:r w:rsidRPr="00404DA5">
              <w:rPr>
                <w:rFonts w:cs="Calibri"/>
                <w:sz w:val="18"/>
                <w:szCs w:val="18"/>
              </w:rPr>
              <w:t>Jedn. pomiaru</w:t>
            </w:r>
          </w:p>
        </w:tc>
        <w:tc>
          <w:tcPr>
            <w:tcW w:w="941" w:type="dxa"/>
            <w:shd w:val="clear" w:color="auto" w:fill="DBE5F1"/>
          </w:tcPr>
          <w:p w14:paraId="42C076C7" w14:textId="77777777" w:rsidR="00881780" w:rsidRPr="00404DA5" w:rsidRDefault="00881780" w:rsidP="006F4D8F">
            <w:pPr>
              <w:jc w:val="center"/>
              <w:rPr>
                <w:rFonts w:cs="Calibri"/>
                <w:sz w:val="18"/>
                <w:szCs w:val="18"/>
              </w:rPr>
            </w:pPr>
            <w:r w:rsidRPr="00404DA5">
              <w:rPr>
                <w:rFonts w:cs="Calibri"/>
                <w:sz w:val="18"/>
                <w:szCs w:val="18"/>
              </w:rPr>
              <w:t>Wartość docelowa (2023)</w:t>
            </w:r>
          </w:p>
        </w:tc>
        <w:tc>
          <w:tcPr>
            <w:tcW w:w="1032" w:type="dxa"/>
            <w:shd w:val="clear" w:color="auto" w:fill="DBE5F1"/>
          </w:tcPr>
          <w:p w14:paraId="6C997F7D" w14:textId="77777777" w:rsidR="00881780" w:rsidRPr="00404DA5" w:rsidRDefault="00881780" w:rsidP="006F4D8F">
            <w:pPr>
              <w:jc w:val="center"/>
              <w:rPr>
                <w:rFonts w:cs="Calibri"/>
                <w:sz w:val="18"/>
                <w:szCs w:val="18"/>
              </w:rPr>
            </w:pPr>
            <w:r w:rsidRPr="00404DA5">
              <w:rPr>
                <w:rFonts w:cs="Calibri"/>
                <w:sz w:val="18"/>
                <w:szCs w:val="18"/>
              </w:rPr>
              <w:t>Realizacja wskaźnika (wg UoD)</w:t>
            </w:r>
          </w:p>
        </w:tc>
        <w:tc>
          <w:tcPr>
            <w:tcW w:w="1032" w:type="dxa"/>
            <w:shd w:val="clear" w:color="auto" w:fill="DBE5F1"/>
          </w:tcPr>
          <w:p w14:paraId="57BCDE63" w14:textId="77777777" w:rsidR="00881780" w:rsidRPr="00404DA5" w:rsidRDefault="00881780" w:rsidP="006F4D8F">
            <w:pPr>
              <w:jc w:val="center"/>
              <w:rPr>
                <w:rFonts w:cs="Calibri"/>
                <w:sz w:val="18"/>
                <w:szCs w:val="18"/>
              </w:rPr>
            </w:pPr>
            <w:r w:rsidRPr="00404DA5">
              <w:rPr>
                <w:rFonts w:cs="Calibri"/>
                <w:sz w:val="18"/>
                <w:szCs w:val="18"/>
              </w:rPr>
              <w:t>% realizacji wartości docelowej (wg UoD)</w:t>
            </w:r>
          </w:p>
        </w:tc>
        <w:tc>
          <w:tcPr>
            <w:tcW w:w="1032" w:type="dxa"/>
            <w:shd w:val="clear" w:color="auto" w:fill="DBE5F1"/>
          </w:tcPr>
          <w:p w14:paraId="03AC5F19" w14:textId="77777777" w:rsidR="00881780" w:rsidRPr="00404DA5" w:rsidRDefault="00881780" w:rsidP="006F4D8F">
            <w:pPr>
              <w:jc w:val="center"/>
              <w:rPr>
                <w:rFonts w:cs="Calibri"/>
                <w:sz w:val="18"/>
                <w:szCs w:val="18"/>
              </w:rPr>
            </w:pPr>
            <w:r w:rsidRPr="00404DA5">
              <w:rPr>
                <w:rFonts w:cs="Calibri"/>
                <w:sz w:val="18"/>
                <w:szCs w:val="18"/>
              </w:rPr>
              <w:t>Realizacja wskaźnika (wg WoP)</w:t>
            </w:r>
          </w:p>
        </w:tc>
        <w:tc>
          <w:tcPr>
            <w:tcW w:w="1032" w:type="dxa"/>
            <w:shd w:val="clear" w:color="auto" w:fill="DBE5F1"/>
          </w:tcPr>
          <w:p w14:paraId="06C9017A" w14:textId="77777777" w:rsidR="00881780" w:rsidRPr="00404DA5" w:rsidRDefault="00881780" w:rsidP="006F4D8F">
            <w:pPr>
              <w:jc w:val="center"/>
              <w:rPr>
                <w:rFonts w:cs="Calibri"/>
                <w:sz w:val="18"/>
                <w:szCs w:val="18"/>
              </w:rPr>
            </w:pPr>
            <w:r w:rsidRPr="00404DA5">
              <w:rPr>
                <w:rFonts w:cs="Calibri"/>
                <w:sz w:val="18"/>
                <w:szCs w:val="18"/>
              </w:rPr>
              <w:t>% realizacji wartości docelowej (wg WoP)</w:t>
            </w:r>
          </w:p>
        </w:tc>
      </w:tr>
      <w:tr w:rsidR="00881780" w:rsidRPr="006D01FC" w14:paraId="4BF98CE6" w14:textId="77777777" w:rsidTr="006F4D8F">
        <w:tc>
          <w:tcPr>
            <w:tcW w:w="675" w:type="dxa"/>
            <w:shd w:val="clear" w:color="auto" w:fill="auto"/>
            <w:vAlign w:val="center"/>
          </w:tcPr>
          <w:p w14:paraId="0554B1C5" w14:textId="77777777" w:rsidR="00881780" w:rsidRPr="00805F59" w:rsidRDefault="00881780" w:rsidP="006F4D8F">
            <w:pPr>
              <w:jc w:val="center"/>
              <w:rPr>
                <w:rFonts w:cs="Calibri"/>
                <w:sz w:val="18"/>
                <w:szCs w:val="18"/>
              </w:rPr>
            </w:pPr>
            <w:r w:rsidRPr="00805F59">
              <w:rPr>
                <w:rFonts w:cs="Calibri"/>
                <w:sz w:val="18"/>
                <w:szCs w:val="18"/>
              </w:rPr>
              <w:t>WP</w:t>
            </w:r>
          </w:p>
        </w:tc>
        <w:tc>
          <w:tcPr>
            <w:tcW w:w="709" w:type="dxa"/>
            <w:shd w:val="clear" w:color="auto" w:fill="auto"/>
            <w:vAlign w:val="center"/>
          </w:tcPr>
          <w:p w14:paraId="1D348FA3" w14:textId="77777777" w:rsidR="00881780" w:rsidRPr="00805F59" w:rsidRDefault="00881780" w:rsidP="006F4D8F">
            <w:pPr>
              <w:jc w:val="center"/>
              <w:rPr>
                <w:rFonts w:cs="Calibri"/>
                <w:sz w:val="18"/>
                <w:szCs w:val="18"/>
              </w:rPr>
            </w:pPr>
            <w:r w:rsidRPr="00805F59">
              <w:rPr>
                <w:rFonts w:cs="Calibri"/>
                <w:sz w:val="18"/>
                <w:szCs w:val="18"/>
              </w:rPr>
              <w:t>6.6</w:t>
            </w:r>
          </w:p>
          <w:p w14:paraId="0477151E" w14:textId="77777777" w:rsidR="00881780" w:rsidRPr="00805F59" w:rsidRDefault="00881780" w:rsidP="006F4D8F">
            <w:pPr>
              <w:jc w:val="center"/>
              <w:rPr>
                <w:rFonts w:cs="Calibri"/>
                <w:sz w:val="18"/>
                <w:szCs w:val="18"/>
              </w:rPr>
            </w:pPr>
            <w:r w:rsidRPr="00805F59">
              <w:rPr>
                <w:rFonts w:cs="Calibri"/>
                <w:sz w:val="18"/>
                <w:szCs w:val="18"/>
              </w:rPr>
              <w:t>6.7</w:t>
            </w:r>
          </w:p>
        </w:tc>
        <w:tc>
          <w:tcPr>
            <w:tcW w:w="2126" w:type="dxa"/>
            <w:shd w:val="clear" w:color="auto" w:fill="auto"/>
            <w:vAlign w:val="center"/>
          </w:tcPr>
          <w:p w14:paraId="6771DC83" w14:textId="77777777" w:rsidR="00881780" w:rsidRPr="00805F59" w:rsidRDefault="00881780" w:rsidP="006F4D8F">
            <w:pPr>
              <w:rPr>
                <w:rFonts w:cs="Calibri"/>
                <w:sz w:val="18"/>
                <w:szCs w:val="18"/>
              </w:rPr>
            </w:pPr>
            <w:r w:rsidRPr="00805F59">
              <w:rPr>
                <w:rFonts w:cs="Calibri"/>
                <w:sz w:val="18"/>
                <w:szCs w:val="18"/>
              </w:rPr>
              <w:t>Liczba osób opiekujących się dziećmi</w:t>
            </w:r>
            <w:r w:rsidR="00E66B89">
              <w:rPr>
                <w:rFonts w:cs="Calibri"/>
                <w:sz w:val="18"/>
                <w:szCs w:val="18"/>
              </w:rPr>
              <w:t xml:space="preserve"> w </w:t>
            </w:r>
            <w:r w:rsidRPr="00805F59">
              <w:rPr>
                <w:rFonts w:cs="Calibri"/>
                <w:sz w:val="18"/>
                <w:szCs w:val="18"/>
              </w:rPr>
              <w:t>wieku do lat 3 objętych wsparciem</w:t>
            </w:r>
            <w:r w:rsidR="00E66B89">
              <w:rPr>
                <w:rFonts w:cs="Calibri"/>
                <w:sz w:val="18"/>
                <w:szCs w:val="18"/>
              </w:rPr>
              <w:t xml:space="preserve"> w </w:t>
            </w:r>
            <w:r w:rsidRPr="00805F59">
              <w:rPr>
                <w:rFonts w:cs="Calibri"/>
                <w:sz w:val="18"/>
                <w:szCs w:val="18"/>
              </w:rPr>
              <w:t>programie</w:t>
            </w:r>
          </w:p>
        </w:tc>
        <w:tc>
          <w:tcPr>
            <w:tcW w:w="709" w:type="dxa"/>
            <w:shd w:val="clear" w:color="auto" w:fill="auto"/>
            <w:vAlign w:val="center"/>
          </w:tcPr>
          <w:p w14:paraId="16258BC6" w14:textId="77777777" w:rsidR="00881780" w:rsidRPr="00805F59" w:rsidRDefault="00881780" w:rsidP="006F4D8F">
            <w:pPr>
              <w:jc w:val="center"/>
              <w:rPr>
                <w:rFonts w:cs="Calibri"/>
                <w:sz w:val="18"/>
                <w:szCs w:val="18"/>
              </w:rPr>
            </w:pPr>
            <w:r w:rsidRPr="00805F59">
              <w:rPr>
                <w:rFonts w:cs="Calibri"/>
                <w:sz w:val="18"/>
                <w:szCs w:val="18"/>
              </w:rPr>
              <w:t>osoby</w:t>
            </w:r>
          </w:p>
        </w:tc>
        <w:tc>
          <w:tcPr>
            <w:tcW w:w="941" w:type="dxa"/>
            <w:shd w:val="clear" w:color="auto" w:fill="auto"/>
            <w:vAlign w:val="center"/>
          </w:tcPr>
          <w:p w14:paraId="396FD9E9" w14:textId="77777777" w:rsidR="00881780" w:rsidRPr="00805F59" w:rsidRDefault="00881780" w:rsidP="006F4D8F">
            <w:pPr>
              <w:jc w:val="center"/>
              <w:rPr>
                <w:rFonts w:cs="Calibri"/>
                <w:sz w:val="18"/>
                <w:szCs w:val="18"/>
              </w:rPr>
            </w:pPr>
            <w:r w:rsidRPr="00805F59">
              <w:rPr>
                <w:rFonts w:cs="Calibri"/>
                <w:sz w:val="18"/>
                <w:szCs w:val="18"/>
              </w:rPr>
              <w:t>2 900</w:t>
            </w:r>
          </w:p>
        </w:tc>
        <w:tc>
          <w:tcPr>
            <w:tcW w:w="1032" w:type="dxa"/>
            <w:shd w:val="clear" w:color="auto" w:fill="auto"/>
            <w:vAlign w:val="center"/>
          </w:tcPr>
          <w:p w14:paraId="13079537" w14:textId="77777777" w:rsidR="00881780" w:rsidRPr="00805F59" w:rsidRDefault="00881780" w:rsidP="006F4D8F">
            <w:pPr>
              <w:jc w:val="center"/>
              <w:rPr>
                <w:rFonts w:cs="Calibri"/>
                <w:sz w:val="18"/>
                <w:szCs w:val="18"/>
              </w:rPr>
            </w:pPr>
            <w:r w:rsidRPr="00805F59">
              <w:rPr>
                <w:rFonts w:cs="Calibri"/>
                <w:sz w:val="18"/>
                <w:szCs w:val="18"/>
              </w:rPr>
              <w:t>2 244</w:t>
            </w:r>
          </w:p>
        </w:tc>
        <w:tc>
          <w:tcPr>
            <w:tcW w:w="1032" w:type="dxa"/>
            <w:shd w:val="clear" w:color="auto" w:fill="auto"/>
            <w:vAlign w:val="center"/>
          </w:tcPr>
          <w:p w14:paraId="24F42318" w14:textId="77777777" w:rsidR="00881780" w:rsidRPr="00805F59" w:rsidRDefault="00881780" w:rsidP="006F4D8F">
            <w:pPr>
              <w:jc w:val="center"/>
              <w:rPr>
                <w:rFonts w:cs="Calibri"/>
                <w:sz w:val="18"/>
                <w:szCs w:val="18"/>
              </w:rPr>
            </w:pPr>
            <w:r w:rsidRPr="00805F59">
              <w:rPr>
                <w:rFonts w:cs="Calibri"/>
                <w:sz w:val="18"/>
                <w:szCs w:val="18"/>
              </w:rPr>
              <w:t>77%</w:t>
            </w:r>
          </w:p>
        </w:tc>
        <w:tc>
          <w:tcPr>
            <w:tcW w:w="1032" w:type="dxa"/>
            <w:shd w:val="clear" w:color="auto" w:fill="auto"/>
            <w:vAlign w:val="center"/>
          </w:tcPr>
          <w:p w14:paraId="44F30777" w14:textId="77777777" w:rsidR="00881780" w:rsidRPr="00805F59" w:rsidRDefault="00881780" w:rsidP="006F4D8F">
            <w:pPr>
              <w:jc w:val="center"/>
              <w:rPr>
                <w:rFonts w:cs="Calibri"/>
                <w:sz w:val="18"/>
                <w:szCs w:val="18"/>
              </w:rPr>
            </w:pPr>
            <w:r w:rsidRPr="00805F59">
              <w:rPr>
                <w:rFonts w:cs="Calibri"/>
                <w:sz w:val="18"/>
                <w:szCs w:val="18"/>
              </w:rPr>
              <w:t>709</w:t>
            </w:r>
          </w:p>
        </w:tc>
        <w:tc>
          <w:tcPr>
            <w:tcW w:w="1032" w:type="dxa"/>
            <w:shd w:val="clear" w:color="auto" w:fill="auto"/>
            <w:vAlign w:val="center"/>
          </w:tcPr>
          <w:p w14:paraId="3A723F77" w14:textId="77777777" w:rsidR="00881780" w:rsidRPr="00805F59" w:rsidRDefault="00881780" w:rsidP="006F4D8F">
            <w:pPr>
              <w:jc w:val="center"/>
              <w:rPr>
                <w:rFonts w:cs="Calibri"/>
                <w:sz w:val="18"/>
                <w:szCs w:val="18"/>
              </w:rPr>
            </w:pPr>
            <w:r w:rsidRPr="00805F59">
              <w:rPr>
                <w:rFonts w:cs="Calibri"/>
                <w:sz w:val="18"/>
                <w:szCs w:val="18"/>
              </w:rPr>
              <w:t>24%</w:t>
            </w:r>
          </w:p>
        </w:tc>
      </w:tr>
      <w:tr w:rsidR="00881780" w:rsidRPr="006D01FC" w14:paraId="1F5B4B44" w14:textId="77777777" w:rsidTr="006F4D8F">
        <w:tc>
          <w:tcPr>
            <w:tcW w:w="675" w:type="dxa"/>
            <w:shd w:val="clear" w:color="auto" w:fill="auto"/>
            <w:vAlign w:val="center"/>
          </w:tcPr>
          <w:p w14:paraId="3F9F3722" w14:textId="77777777" w:rsidR="00881780" w:rsidRPr="00805F59" w:rsidRDefault="00881780" w:rsidP="006F4D8F">
            <w:pPr>
              <w:jc w:val="center"/>
              <w:rPr>
                <w:sz w:val="18"/>
                <w:szCs w:val="18"/>
              </w:rPr>
            </w:pPr>
            <w:r w:rsidRPr="00805F59">
              <w:rPr>
                <w:rFonts w:cs="Calibri"/>
                <w:sz w:val="18"/>
                <w:szCs w:val="18"/>
              </w:rPr>
              <w:t>WP</w:t>
            </w:r>
          </w:p>
        </w:tc>
        <w:tc>
          <w:tcPr>
            <w:tcW w:w="709" w:type="dxa"/>
            <w:shd w:val="clear" w:color="auto" w:fill="auto"/>
            <w:vAlign w:val="center"/>
          </w:tcPr>
          <w:p w14:paraId="5A12FC8D" w14:textId="77777777" w:rsidR="00881780" w:rsidRPr="00805F59" w:rsidRDefault="00881780" w:rsidP="006F4D8F">
            <w:pPr>
              <w:jc w:val="center"/>
              <w:rPr>
                <w:rFonts w:cs="Calibri"/>
                <w:sz w:val="18"/>
                <w:szCs w:val="18"/>
              </w:rPr>
            </w:pPr>
            <w:r w:rsidRPr="00805F59">
              <w:rPr>
                <w:rFonts w:cs="Calibri"/>
                <w:sz w:val="18"/>
                <w:szCs w:val="18"/>
              </w:rPr>
              <w:t>6.6</w:t>
            </w:r>
          </w:p>
          <w:p w14:paraId="256F87F6" w14:textId="77777777" w:rsidR="00881780" w:rsidRPr="00805F59" w:rsidRDefault="00881780" w:rsidP="006F4D8F">
            <w:pPr>
              <w:jc w:val="center"/>
              <w:rPr>
                <w:rFonts w:cs="Calibri"/>
                <w:sz w:val="18"/>
                <w:szCs w:val="18"/>
              </w:rPr>
            </w:pPr>
            <w:r w:rsidRPr="00805F59">
              <w:rPr>
                <w:rFonts w:cs="Calibri"/>
                <w:sz w:val="18"/>
                <w:szCs w:val="18"/>
              </w:rPr>
              <w:t>6.7</w:t>
            </w:r>
          </w:p>
        </w:tc>
        <w:tc>
          <w:tcPr>
            <w:tcW w:w="2126" w:type="dxa"/>
            <w:shd w:val="clear" w:color="auto" w:fill="auto"/>
            <w:vAlign w:val="center"/>
          </w:tcPr>
          <w:p w14:paraId="42BFC0EF" w14:textId="77777777" w:rsidR="00881780" w:rsidRPr="00805F59" w:rsidRDefault="00881780" w:rsidP="006F4D8F">
            <w:pPr>
              <w:rPr>
                <w:rFonts w:cs="Calibri"/>
                <w:sz w:val="18"/>
                <w:szCs w:val="18"/>
              </w:rPr>
            </w:pPr>
            <w:r w:rsidRPr="00805F59">
              <w:rPr>
                <w:rFonts w:cs="Calibri"/>
                <w:sz w:val="18"/>
                <w:szCs w:val="18"/>
              </w:rPr>
              <w:t>Liczba utworzonych miejsc opieki nad dziećmi</w:t>
            </w:r>
            <w:r w:rsidR="00E66B89">
              <w:rPr>
                <w:rFonts w:cs="Calibri"/>
                <w:sz w:val="18"/>
                <w:szCs w:val="18"/>
              </w:rPr>
              <w:t xml:space="preserve"> w </w:t>
            </w:r>
            <w:r w:rsidRPr="00805F59">
              <w:rPr>
                <w:rFonts w:cs="Calibri"/>
                <w:sz w:val="18"/>
                <w:szCs w:val="18"/>
              </w:rPr>
              <w:t>wieku do lat 3</w:t>
            </w:r>
          </w:p>
        </w:tc>
        <w:tc>
          <w:tcPr>
            <w:tcW w:w="709" w:type="dxa"/>
            <w:shd w:val="clear" w:color="auto" w:fill="auto"/>
            <w:vAlign w:val="center"/>
          </w:tcPr>
          <w:p w14:paraId="51595F20" w14:textId="77777777" w:rsidR="00881780" w:rsidRPr="00805F59" w:rsidRDefault="00881780" w:rsidP="006F4D8F">
            <w:pPr>
              <w:jc w:val="center"/>
              <w:rPr>
                <w:rFonts w:cs="Calibri"/>
                <w:sz w:val="18"/>
                <w:szCs w:val="18"/>
              </w:rPr>
            </w:pPr>
            <w:r w:rsidRPr="00805F59">
              <w:rPr>
                <w:rFonts w:cs="Calibri"/>
                <w:sz w:val="18"/>
                <w:szCs w:val="18"/>
              </w:rPr>
              <w:t>szt.</w:t>
            </w:r>
          </w:p>
        </w:tc>
        <w:tc>
          <w:tcPr>
            <w:tcW w:w="941" w:type="dxa"/>
            <w:shd w:val="clear" w:color="auto" w:fill="auto"/>
            <w:vAlign w:val="center"/>
          </w:tcPr>
          <w:p w14:paraId="6CA32158" w14:textId="77777777" w:rsidR="00881780" w:rsidRPr="00805F59" w:rsidRDefault="00881780" w:rsidP="006F4D8F">
            <w:pPr>
              <w:jc w:val="center"/>
              <w:rPr>
                <w:rFonts w:cs="Calibri"/>
                <w:sz w:val="18"/>
                <w:szCs w:val="18"/>
              </w:rPr>
            </w:pPr>
            <w:r w:rsidRPr="00805F59">
              <w:rPr>
                <w:rFonts w:cs="Calibri"/>
                <w:sz w:val="18"/>
                <w:szCs w:val="18"/>
              </w:rPr>
              <w:t>2 900</w:t>
            </w:r>
          </w:p>
        </w:tc>
        <w:tc>
          <w:tcPr>
            <w:tcW w:w="1032" w:type="dxa"/>
            <w:shd w:val="clear" w:color="auto" w:fill="auto"/>
            <w:vAlign w:val="center"/>
          </w:tcPr>
          <w:p w14:paraId="49431B30" w14:textId="77777777" w:rsidR="00881780" w:rsidRPr="00805F59" w:rsidRDefault="00881780" w:rsidP="006F4D8F">
            <w:pPr>
              <w:jc w:val="center"/>
              <w:rPr>
                <w:rFonts w:cs="Calibri"/>
                <w:sz w:val="18"/>
                <w:szCs w:val="18"/>
              </w:rPr>
            </w:pPr>
            <w:r w:rsidRPr="00805F59">
              <w:rPr>
                <w:rFonts w:cs="Calibri"/>
                <w:sz w:val="18"/>
                <w:szCs w:val="18"/>
              </w:rPr>
              <w:t>1 226</w:t>
            </w:r>
          </w:p>
        </w:tc>
        <w:tc>
          <w:tcPr>
            <w:tcW w:w="1032" w:type="dxa"/>
            <w:shd w:val="clear" w:color="auto" w:fill="auto"/>
            <w:vAlign w:val="center"/>
          </w:tcPr>
          <w:p w14:paraId="2E76E1C5" w14:textId="77777777" w:rsidR="00881780" w:rsidRPr="00805F59" w:rsidRDefault="00881780" w:rsidP="006F4D8F">
            <w:pPr>
              <w:jc w:val="center"/>
              <w:rPr>
                <w:rFonts w:cs="Calibri"/>
                <w:sz w:val="18"/>
                <w:szCs w:val="18"/>
              </w:rPr>
            </w:pPr>
            <w:r w:rsidRPr="00805F59">
              <w:rPr>
                <w:rFonts w:cs="Calibri"/>
                <w:sz w:val="18"/>
                <w:szCs w:val="18"/>
              </w:rPr>
              <w:t>42%</w:t>
            </w:r>
          </w:p>
        </w:tc>
        <w:tc>
          <w:tcPr>
            <w:tcW w:w="1032" w:type="dxa"/>
            <w:shd w:val="clear" w:color="auto" w:fill="auto"/>
            <w:vAlign w:val="center"/>
          </w:tcPr>
          <w:p w14:paraId="21C01A89" w14:textId="77777777" w:rsidR="00881780" w:rsidRPr="00805F59" w:rsidRDefault="00881780" w:rsidP="006F4D8F">
            <w:pPr>
              <w:jc w:val="center"/>
              <w:rPr>
                <w:rFonts w:cs="Calibri"/>
                <w:sz w:val="18"/>
                <w:szCs w:val="18"/>
              </w:rPr>
            </w:pPr>
            <w:r w:rsidRPr="00805F59">
              <w:rPr>
                <w:rFonts w:cs="Calibri"/>
                <w:sz w:val="18"/>
                <w:szCs w:val="18"/>
              </w:rPr>
              <w:t>400</w:t>
            </w:r>
          </w:p>
        </w:tc>
        <w:tc>
          <w:tcPr>
            <w:tcW w:w="1032" w:type="dxa"/>
            <w:shd w:val="clear" w:color="auto" w:fill="auto"/>
            <w:vAlign w:val="center"/>
          </w:tcPr>
          <w:p w14:paraId="61C6B6AF" w14:textId="77777777" w:rsidR="00881780" w:rsidRPr="00805F59" w:rsidRDefault="00881780" w:rsidP="006F4D8F">
            <w:pPr>
              <w:jc w:val="center"/>
              <w:rPr>
                <w:rFonts w:cs="Calibri"/>
                <w:sz w:val="18"/>
                <w:szCs w:val="18"/>
              </w:rPr>
            </w:pPr>
            <w:r w:rsidRPr="00805F59">
              <w:rPr>
                <w:rFonts w:cs="Calibri"/>
                <w:sz w:val="18"/>
                <w:szCs w:val="18"/>
              </w:rPr>
              <w:t>14%</w:t>
            </w:r>
          </w:p>
        </w:tc>
      </w:tr>
      <w:tr w:rsidR="00881780" w:rsidRPr="006D01FC" w14:paraId="64CE9ABC" w14:textId="77777777" w:rsidTr="006F4D8F">
        <w:tc>
          <w:tcPr>
            <w:tcW w:w="675" w:type="dxa"/>
            <w:shd w:val="clear" w:color="auto" w:fill="auto"/>
            <w:vAlign w:val="center"/>
          </w:tcPr>
          <w:p w14:paraId="0C633491" w14:textId="77777777" w:rsidR="00881780" w:rsidRPr="00805F59" w:rsidRDefault="00881780" w:rsidP="006F4D8F">
            <w:pPr>
              <w:jc w:val="center"/>
              <w:rPr>
                <w:sz w:val="18"/>
                <w:szCs w:val="18"/>
              </w:rPr>
            </w:pPr>
            <w:r w:rsidRPr="00805F59">
              <w:rPr>
                <w:rFonts w:cs="Calibri"/>
                <w:sz w:val="18"/>
                <w:szCs w:val="18"/>
              </w:rPr>
              <w:t>WR</w:t>
            </w:r>
          </w:p>
        </w:tc>
        <w:tc>
          <w:tcPr>
            <w:tcW w:w="709" w:type="dxa"/>
            <w:shd w:val="clear" w:color="auto" w:fill="auto"/>
            <w:vAlign w:val="center"/>
          </w:tcPr>
          <w:p w14:paraId="54E44F61" w14:textId="77777777" w:rsidR="00881780" w:rsidRPr="00805F59" w:rsidRDefault="00881780" w:rsidP="006F4D8F">
            <w:pPr>
              <w:jc w:val="center"/>
              <w:rPr>
                <w:rFonts w:cs="Calibri"/>
                <w:sz w:val="18"/>
                <w:szCs w:val="18"/>
              </w:rPr>
            </w:pPr>
            <w:r w:rsidRPr="00805F59">
              <w:rPr>
                <w:rFonts w:cs="Calibri"/>
                <w:sz w:val="18"/>
                <w:szCs w:val="18"/>
              </w:rPr>
              <w:t>6.6</w:t>
            </w:r>
          </w:p>
          <w:p w14:paraId="55C618A0" w14:textId="77777777" w:rsidR="00881780" w:rsidRPr="00805F59" w:rsidRDefault="00881780" w:rsidP="006F4D8F">
            <w:pPr>
              <w:jc w:val="center"/>
              <w:rPr>
                <w:rFonts w:cs="Calibri"/>
                <w:bCs/>
                <w:sz w:val="18"/>
                <w:szCs w:val="18"/>
              </w:rPr>
            </w:pPr>
            <w:r w:rsidRPr="00805F59">
              <w:rPr>
                <w:rFonts w:cs="Calibri"/>
                <w:sz w:val="18"/>
                <w:szCs w:val="18"/>
              </w:rPr>
              <w:t>6.7</w:t>
            </w:r>
          </w:p>
        </w:tc>
        <w:tc>
          <w:tcPr>
            <w:tcW w:w="2126" w:type="dxa"/>
            <w:shd w:val="clear" w:color="auto" w:fill="auto"/>
            <w:vAlign w:val="center"/>
          </w:tcPr>
          <w:p w14:paraId="2BAB8A8B" w14:textId="77777777" w:rsidR="00881780" w:rsidRPr="00805F59" w:rsidRDefault="00881780" w:rsidP="006F4D8F">
            <w:pPr>
              <w:rPr>
                <w:rFonts w:cs="Calibri"/>
                <w:bCs/>
                <w:sz w:val="18"/>
                <w:szCs w:val="18"/>
              </w:rPr>
            </w:pPr>
            <w:r w:rsidRPr="00805F59">
              <w:rPr>
                <w:rFonts w:cs="Calibri"/>
                <w:bCs/>
                <w:sz w:val="18"/>
                <w:szCs w:val="18"/>
              </w:rPr>
              <w:t>Liczba osób, które powróciły na rynek pracy po przerwie związanej</w:t>
            </w:r>
            <w:r w:rsidR="00E66B89">
              <w:rPr>
                <w:rFonts w:cs="Calibri"/>
                <w:bCs/>
                <w:sz w:val="18"/>
                <w:szCs w:val="18"/>
              </w:rPr>
              <w:t xml:space="preserve"> z </w:t>
            </w:r>
            <w:r w:rsidRPr="00805F59">
              <w:rPr>
                <w:rFonts w:cs="Calibri"/>
                <w:bCs/>
                <w:sz w:val="18"/>
                <w:szCs w:val="18"/>
              </w:rPr>
              <w:t>urodzeniem/ wychowaniem dziecka lub utrzymały zatrudnienie, po opuszczeniu programu</w:t>
            </w:r>
          </w:p>
        </w:tc>
        <w:tc>
          <w:tcPr>
            <w:tcW w:w="709" w:type="dxa"/>
            <w:shd w:val="clear" w:color="auto" w:fill="auto"/>
            <w:vAlign w:val="center"/>
          </w:tcPr>
          <w:p w14:paraId="6EEEB6DB" w14:textId="77777777" w:rsidR="00881780" w:rsidRPr="00805F59" w:rsidRDefault="00881780" w:rsidP="006F4D8F">
            <w:pPr>
              <w:jc w:val="center"/>
              <w:rPr>
                <w:rFonts w:cs="Calibri"/>
                <w:bCs/>
                <w:sz w:val="18"/>
                <w:szCs w:val="18"/>
              </w:rPr>
            </w:pPr>
            <w:r w:rsidRPr="00805F59">
              <w:rPr>
                <w:rFonts w:cs="Calibri"/>
                <w:bCs/>
                <w:sz w:val="18"/>
                <w:szCs w:val="18"/>
              </w:rPr>
              <w:t>%</w:t>
            </w:r>
          </w:p>
        </w:tc>
        <w:tc>
          <w:tcPr>
            <w:tcW w:w="941" w:type="dxa"/>
            <w:shd w:val="clear" w:color="auto" w:fill="auto"/>
            <w:vAlign w:val="center"/>
          </w:tcPr>
          <w:p w14:paraId="56E9F0E2" w14:textId="77777777" w:rsidR="00881780" w:rsidRPr="00805F59" w:rsidRDefault="00881780" w:rsidP="006F4D8F">
            <w:pPr>
              <w:jc w:val="center"/>
              <w:rPr>
                <w:rFonts w:cs="Calibri"/>
                <w:sz w:val="18"/>
                <w:szCs w:val="18"/>
              </w:rPr>
            </w:pPr>
            <w:r w:rsidRPr="00805F59">
              <w:rPr>
                <w:rFonts w:cs="Calibri"/>
                <w:sz w:val="18"/>
                <w:szCs w:val="18"/>
              </w:rPr>
              <w:t>80</w:t>
            </w:r>
          </w:p>
        </w:tc>
        <w:tc>
          <w:tcPr>
            <w:tcW w:w="1032" w:type="dxa"/>
            <w:shd w:val="clear" w:color="auto" w:fill="auto"/>
            <w:vAlign w:val="center"/>
          </w:tcPr>
          <w:p w14:paraId="67CAFBB8" w14:textId="77777777" w:rsidR="00881780" w:rsidRPr="00805F59" w:rsidRDefault="00881780" w:rsidP="006F4D8F">
            <w:pPr>
              <w:jc w:val="center"/>
              <w:rPr>
                <w:rFonts w:cs="Calibri"/>
                <w:sz w:val="18"/>
                <w:szCs w:val="18"/>
              </w:rPr>
            </w:pPr>
            <w:r w:rsidRPr="00805F59">
              <w:rPr>
                <w:rFonts w:cs="Calibri"/>
                <w:sz w:val="18"/>
                <w:szCs w:val="18"/>
              </w:rPr>
              <w:t>66,2%</w:t>
            </w:r>
            <w:r w:rsidRPr="00805F59">
              <w:rPr>
                <w:rFonts w:cs="Calibri"/>
                <w:sz w:val="18"/>
                <w:szCs w:val="18"/>
              </w:rPr>
              <w:br/>
              <w:t>(1 485)</w:t>
            </w:r>
          </w:p>
        </w:tc>
        <w:tc>
          <w:tcPr>
            <w:tcW w:w="1032" w:type="dxa"/>
            <w:shd w:val="clear" w:color="auto" w:fill="auto"/>
            <w:vAlign w:val="center"/>
          </w:tcPr>
          <w:p w14:paraId="7127B814" w14:textId="77777777" w:rsidR="00881780" w:rsidRPr="00805F59" w:rsidRDefault="00881780" w:rsidP="006F4D8F">
            <w:pPr>
              <w:jc w:val="center"/>
              <w:rPr>
                <w:rFonts w:cs="Calibri"/>
                <w:sz w:val="18"/>
                <w:szCs w:val="18"/>
              </w:rPr>
            </w:pPr>
            <w:r w:rsidRPr="00805F59">
              <w:rPr>
                <w:rFonts w:cs="Calibri"/>
                <w:sz w:val="18"/>
                <w:szCs w:val="18"/>
              </w:rPr>
              <w:t>83%</w:t>
            </w:r>
          </w:p>
        </w:tc>
        <w:tc>
          <w:tcPr>
            <w:tcW w:w="1032" w:type="dxa"/>
            <w:shd w:val="clear" w:color="auto" w:fill="auto"/>
            <w:vAlign w:val="center"/>
          </w:tcPr>
          <w:p w14:paraId="1BCDC93C" w14:textId="77777777" w:rsidR="00881780" w:rsidRPr="00805F59" w:rsidRDefault="00881780" w:rsidP="006F4D8F">
            <w:pPr>
              <w:jc w:val="center"/>
              <w:rPr>
                <w:rFonts w:cs="Calibri"/>
                <w:sz w:val="18"/>
                <w:szCs w:val="18"/>
              </w:rPr>
            </w:pPr>
            <w:r w:rsidRPr="00805F59">
              <w:rPr>
                <w:rFonts w:cs="Calibri"/>
                <w:sz w:val="18"/>
                <w:szCs w:val="18"/>
              </w:rPr>
              <w:t>7,9%</w:t>
            </w:r>
            <w:r w:rsidRPr="00805F59">
              <w:rPr>
                <w:rFonts w:cs="Calibri"/>
                <w:sz w:val="18"/>
                <w:szCs w:val="18"/>
              </w:rPr>
              <w:br/>
              <w:t>(56)</w:t>
            </w:r>
          </w:p>
        </w:tc>
        <w:tc>
          <w:tcPr>
            <w:tcW w:w="1032" w:type="dxa"/>
            <w:shd w:val="clear" w:color="auto" w:fill="auto"/>
            <w:vAlign w:val="center"/>
          </w:tcPr>
          <w:p w14:paraId="40ADC0EA" w14:textId="77777777" w:rsidR="00881780" w:rsidRPr="00805F59" w:rsidRDefault="00881780" w:rsidP="006F4D8F">
            <w:pPr>
              <w:jc w:val="center"/>
              <w:rPr>
                <w:rFonts w:cs="Calibri"/>
                <w:sz w:val="18"/>
                <w:szCs w:val="18"/>
              </w:rPr>
            </w:pPr>
            <w:r w:rsidRPr="00805F59">
              <w:rPr>
                <w:rFonts w:cs="Calibri"/>
                <w:sz w:val="18"/>
                <w:szCs w:val="18"/>
              </w:rPr>
              <w:t>10%</w:t>
            </w:r>
          </w:p>
        </w:tc>
      </w:tr>
      <w:tr w:rsidR="00881780" w:rsidRPr="006D01FC" w14:paraId="40270480" w14:textId="77777777" w:rsidTr="006F4D8F">
        <w:tc>
          <w:tcPr>
            <w:tcW w:w="675" w:type="dxa"/>
            <w:shd w:val="clear" w:color="auto" w:fill="auto"/>
            <w:vAlign w:val="center"/>
          </w:tcPr>
          <w:p w14:paraId="6513144F" w14:textId="77777777" w:rsidR="00881780" w:rsidRPr="00805F59" w:rsidRDefault="00881780" w:rsidP="006F4D8F">
            <w:pPr>
              <w:jc w:val="center"/>
              <w:rPr>
                <w:sz w:val="18"/>
                <w:szCs w:val="18"/>
              </w:rPr>
            </w:pPr>
            <w:r w:rsidRPr="00805F59">
              <w:rPr>
                <w:sz w:val="18"/>
                <w:szCs w:val="18"/>
              </w:rPr>
              <w:t>WR</w:t>
            </w:r>
          </w:p>
        </w:tc>
        <w:tc>
          <w:tcPr>
            <w:tcW w:w="709" w:type="dxa"/>
            <w:shd w:val="clear" w:color="auto" w:fill="auto"/>
            <w:vAlign w:val="center"/>
          </w:tcPr>
          <w:p w14:paraId="27FEF7C3" w14:textId="77777777" w:rsidR="00881780" w:rsidRPr="00805F59" w:rsidRDefault="00881780" w:rsidP="006F4D8F">
            <w:pPr>
              <w:jc w:val="center"/>
              <w:rPr>
                <w:rFonts w:cs="Calibri"/>
                <w:sz w:val="18"/>
                <w:szCs w:val="18"/>
              </w:rPr>
            </w:pPr>
            <w:r w:rsidRPr="00805F59">
              <w:rPr>
                <w:rFonts w:cs="Calibri"/>
                <w:sz w:val="18"/>
                <w:szCs w:val="18"/>
              </w:rPr>
              <w:t>6.6</w:t>
            </w:r>
          </w:p>
          <w:p w14:paraId="7B73BE3E" w14:textId="77777777" w:rsidR="00881780" w:rsidRPr="00805F59" w:rsidRDefault="00881780" w:rsidP="006F4D8F">
            <w:pPr>
              <w:jc w:val="center"/>
              <w:rPr>
                <w:rFonts w:cs="Calibri"/>
                <w:sz w:val="18"/>
                <w:szCs w:val="18"/>
              </w:rPr>
            </w:pPr>
            <w:r w:rsidRPr="00805F59">
              <w:rPr>
                <w:rFonts w:cs="Calibri"/>
                <w:sz w:val="18"/>
                <w:szCs w:val="18"/>
              </w:rPr>
              <w:t>6.7</w:t>
            </w:r>
          </w:p>
        </w:tc>
        <w:tc>
          <w:tcPr>
            <w:tcW w:w="2126" w:type="dxa"/>
            <w:shd w:val="clear" w:color="auto" w:fill="auto"/>
            <w:vAlign w:val="center"/>
          </w:tcPr>
          <w:p w14:paraId="22563887" w14:textId="77777777" w:rsidR="00881780" w:rsidRPr="00805F59" w:rsidRDefault="00881780" w:rsidP="006F4D8F">
            <w:pPr>
              <w:rPr>
                <w:rFonts w:cs="Calibri"/>
                <w:sz w:val="18"/>
                <w:szCs w:val="18"/>
              </w:rPr>
            </w:pPr>
            <w:r w:rsidRPr="00805F59">
              <w:rPr>
                <w:rFonts w:cs="Calibri"/>
                <w:sz w:val="18"/>
                <w:szCs w:val="18"/>
              </w:rPr>
              <w:t>Liczba osób pozostających bez pracy, które znalazły pracę lub poszukują pracy po opuszczeniu programu</w:t>
            </w:r>
          </w:p>
        </w:tc>
        <w:tc>
          <w:tcPr>
            <w:tcW w:w="709" w:type="dxa"/>
            <w:shd w:val="clear" w:color="auto" w:fill="auto"/>
            <w:vAlign w:val="center"/>
          </w:tcPr>
          <w:p w14:paraId="60C34B03" w14:textId="77777777" w:rsidR="00881780" w:rsidRPr="00805F59" w:rsidRDefault="00881780" w:rsidP="006F4D8F">
            <w:pPr>
              <w:jc w:val="center"/>
              <w:rPr>
                <w:rFonts w:cs="Calibri"/>
                <w:sz w:val="18"/>
                <w:szCs w:val="18"/>
              </w:rPr>
            </w:pPr>
            <w:r w:rsidRPr="00805F59">
              <w:rPr>
                <w:rFonts w:cs="Calibri"/>
                <w:sz w:val="18"/>
                <w:szCs w:val="18"/>
              </w:rPr>
              <w:t>%</w:t>
            </w:r>
          </w:p>
        </w:tc>
        <w:tc>
          <w:tcPr>
            <w:tcW w:w="941" w:type="dxa"/>
            <w:shd w:val="clear" w:color="auto" w:fill="auto"/>
            <w:vAlign w:val="center"/>
          </w:tcPr>
          <w:p w14:paraId="3F21A63B" w14:textId="77777777" w:rsidR="00881780" w:rsidRPr="00805F59" w:rsidRDefault="00881780" w:rsidP="006F4D8F">
            <w:pPr>
              <w:jc w:val="center"/>
              <w:rPr>
                <w:rFonts w:cs="Calibri"/>
                <w:sz w:val="18"/>
                <w:szCs w:val="18"/>
              </w:rPr>
            </w:pPr>
            <w:r w:rsidRPr="00805F59">
              <w:rPr>
                <w:rFonts w:cs="Calibri"/>
                <w:sz w:val="18"/>
                <w:szCs w:val="18"/>
              </w:rPr>
              <w:t>20</w:t>
            </w:r>
          </w:p>
        </w:tc>
        <w:tc>
          <w:tcPr>
            <w:tcW w:w="1032" w:type="dxa"/>
            <w:shd w:val="clear" w:color="auto" w:fill="auto"/>
            <w:vAlign w:val="center"/>
          </w:tcPr>
          <w:p w14:paraId="08F2EDBE" w14:textId="77777777" w:rsidR="00881780" w:rsidRPr="00805F59" w:rsidRDefault="00881780" w:rsidP="006F4D8F">
            <w:pPr>
              <w:jc w:val="center"/>
              <w:rPr>
                <w:rFonts w:cs="Calibri"/>
                <w:sz w:val="18"/>
                <w:szCs w:val="18"/>
              </w:rPr>
            </w:pPr>
            <w:r>
              <w:rPr>
                <w:rFonts w:cs="Calibri"/>
                <w:sz w:val="18"/>
                <w:szCs w:val="18"/>
              </w:rPr>
              <w:t>32,4%</w:t>
            </w:r>
            <w:r>
              <w:rPr>
                <w:rFonts w:cs="Calibri"/>
                <w:sz w:val="18"/>
                <w:szCs w:val="18"/>
              </w:rPr>
              <w:br/>
              <w:t>(</w:t>
            </w:r>
            <w:r w:rsidRPr="00805F59">
              <w:rPr>
                <w:rFonts w:cs="Calibri"/>
                <w:sz w:val="18"/>
                <w:szCs w:val="18"/>
              </w:rPr>
              <w:t>727</w:t>
            </w:r>
            <w:r>
              <w:rPr>
                <w:rFonts w:cs="Calibri"/>
                <w:sz w:val="18"/>
                <w:szCs w:val="18"/>
              </w:rPr>
              <w:t>)</w:t>
            </w:r>
          </w:p>
        </w:tc>
        <w:tc>
          <w:tcPr>
            <w:tcW w:w="1032" w:type="dxa"/>
            <w:shd w:val="clear" w:color="auto" w:fill="auto"/>
            <w:vAlign w:val="center"/>
          </w:tcPr>
          <w:p w14:paraId="6A97505D" w14:textId="77777777" w:rsidR="00881780" w:rsidRPr="00805F59" w:rsidRDefault="00881780" w:rsidP="006F4D8F">
            <w:pPr>
              <w:jc w:val="center"/>
              <w:rPr>
                <w:rFonts w:cs="Calibri"/>
                <w:sz w:val="18"/>
                <w:szCs w:val="18"/>
              </w:rPr>
            </w:pPr>
            <w:r w:rsidRPr="00805F59">
              <w:rPr>
                <w:rFonts w:cs="Calibri"/>
                <w:sz w:val="18"/>
                <w:szCs w:val="18"/>
              </w:rPr>
              <w:t>162%</w:t>
            </w:r>
          </w:p>
        </w:tc>
        <w:tc>
          <w:tcPr>
            <w:tcW w:w="1032" w:type="dxa"/>
            <w:shd w:val="clear" w:color="auto" w:fill="auto"/>
            <w:vAlign w:val="center"/>
          </w:tcPr>
          <w:p w14:paraId="49F2DE6B" w14:textId="77777777" w:rsidR="00881780" w:rsidRPr="00805F59" w:rsidRDefault="00881780" w:rsidP="006F4D8F">
            <w:pPr>
              <w:jc w:val="center"/>
              <w:rPr>
                <w:rFonts w:cs="Calibri"/>
                <w:sz w:val="18"/>
                <w:szCs w:val="18"/>
              </w:rPr>
            </w:pPr>
            <w:r>
              <w:rPr>
                <w:rFonts w:cs="Calibri"/>
                <w:sz w:val="18"/>
                <w:szCs w:val="18"/>
              </w:rPr>
              <w:t>11,6%</w:t>
            </w:r>
            <w:r>
              <w:rPr>
                <w:rFonts w:cs="Calibri"/>
                <w:sz w:val="18"/>
                <w:szCs w:val="18"/>
              </w:rPr>
              <w:br/>
              <w:t>(</w:t>
            </w:r>
            <w:r w:rsidRPr="00805F59">
              <w:rPr>
                <w:rFonts w:cs="Calibri"/>
                <w:sz w:val="18"/>
                <w:szCs w:val="18"/>
              </w:rPr>
              <w:t>82</w:t>
            </w:r>
            <w:r>
              <w:rPr>
                <w:rFonts w:cs="Calibri"/>
                <w:sz w:val="18"/>
                <w:szCs w:val="18"/>
              </w:rPr>
              <w:t>)</w:t>
            </w:r>
          </w:p>
        </w:tc>
        <w:tc>
          <w:tcPr>
            <w:tcW w:w="1032" w:type="dxa"/>
            <w:shd w:val="clear" w:color="auto" w:fill="auto"/>
            <w:vAlign w:val="center"/>
          </w:tcPr>
          <w:p w14:paraId="054B9886" w14:textId="77777777" w:rsidR="00881780" w:rsidRPr="00805F59" w:rsidRDefault="00881780" w:rsidP="006F4D8F">
            <w:pPr>
              <w:jc w:val="center"/>
              <w:rPr>
                <w:rFonts w:cs="Calibri"/>
                <w:sz w:val="18"/>
                <w:szCs w:val="18"/>
              </w:rPr>
            </w:pPr>
            <w:r w:rsidRPr="00805F59">
              <w:rPr>
                <w:rFonts w:cs="Calibri"/>
                <w:sz w:val="18"/>
                <w:szCs w:val="18"/>
              </w:rPr>
              <w:t>58%</w:t>
            </w:r>
          </w:p>
        </w:tc>
      </w:tr>
    </w:tbl>
    <w:p w14:paraId="33E488B4"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615D31F0" w14:textId="77777777" w:rsidR="00881780" w:rsidRPr="00404DA5" w:rsidRDefault="00881780" w:rsidP="00881780">
      <w:pPr>
        <w:rPr>
          <w:rFonts w:cs="Calibri"/>
          <w:szCs w:val="20"/>
        </w:rPr>
      </w:pPr>
      <w:r w:rsidRPr="00E86F3F">
        <w:rPr>
          <w:rFonts w:cs="Calibri"/>
          <w:szCs w:val="20"/>
        </w:rPr>
        <w:t>Na wsparcie realizowane</w:t>
      </w:r>
      <w:r w:rsidR="00E66B89">
        <w:rPr>
          <w:rFonts w:cs="Calibri"/>
          <w:szCs w:val="20"/>
        </w:rPr>
        <w:t xml:space="preserve"> w </w:t>
      </w:r>
      <w:r w:rsidRPr="00E86F3F">
        <w:rPr>
          <w:rFonts w:cs="Calibri"/>
          <w:szCs w:val="20"/>
        </w:rPr>
        <w:t>ramach PI 8i</w:t>
      </w:r>
      <w:r>
        <w:rPr>
          <w:rFonts w:cs="Calibri"/>
          <w:szCs w:val="20"/>
        </w:rPr>
        <w:t>v</w:t>
      </w:r>
      <w:r w:rsidRPr="00E86F3F">
        <w:rPr>
          <w:rFonts w:cs="Calibri"/>
          <w:szCs w:val="20"/>
        </w:rPr>
        <w:t xml:space="preserve"> przewidziano </w:t>
      </w:r>
      <w:r>
        <w:rPr>
          <w:rFonts w:cs="Calibri"/>
          <w:szCs w:val="20"/>
        </w:rPr>
        <w:t xml:space="preserve">26 900 000,00 </w:t>
      </w:r>
      <w:r w:rsidRPr="00E86F3F">
        <w:rPr>
          <w:rFonts w:cs="Calibri"/>
          <w:szCs w:val="20"/>
        </w:rPr>
        <w:t xml:space="preserve">EUR </w:t>
      </w:r>
      <w:r w:rsidR="0013771A">
        <w:rPr>
          <w:rFonts w:cs="Calibri"/>
          <w:szCs w:val="20"/>
        </w:rPr>
        <w:t>(</w:t>
      </w:r>
      <w:r w:rsidRPr="00E86F3F">
        <w:rPr>
          <w:rFonts w:cs="Calibri"/>
          <w:szCs w:val="20"/>
        </w:rPr>
        <w:t xml:space="preserve">alokacja UE ogółem </w:t>
      </w:r>
      <w:r>
        <w:rPr>
          <w:rFonts w:cs="Calibri"/>
          <w:szCs w:val="20"/>
        </w:rPr>
        <w:t>(</w:t>
      </w:r>
      <w:r w:rsidRPr="00E86F3F">
        <w:rPr>
          <w:rFonts w:cs="Calibri"/>
          <w:szCs w:val="20"/>
        </w:rPr>
        <w:t>z RW</w:t>
      </w:r>
      <w:r w:rsidR="0013771A" w:rsidRPr="00E86F3F">
        <w:rPr>
          <w:rFonts w:cs="Calibri"/>
          <w:szCs w:val="20"/>
        </w:rPr>
        <w:t>)</w:t>
      </w:r>
      <w:r w:rsidR="0013771A">
        <w:rPr>
          <w:rFonts w:cs="Calibri"/>
          <w:szCs w:val="20"/>
        </w:rPr>
        <w:t>)</w:t>
      </w:r>
      <w:r w:rsidR="0013771A" w:rsidRPr="00E86F3F">
        <w:rPr>
          <w:rFonts w:cs="Calibri"/>
          <w:szCs w:val="20"/>
        </w:rPr>
        <w:t xml:space="preserve">, </w:t>
      </w:r>
      <w:r w:rsidRPr="00E86F3F">
        <w:rPr>
          <w:rFonts w:cs="Calibri"/>
          <w:szCs w:val="20"/>
        </w:rPr>
        <w:t>tj.</w:t>
      </w:r>
      <w:r>
        <w:rPr>
          <w:rFonts w:cs="Calibri"/>
          <w:szCs w:val="20"/>
        </w:rPr>
        <w:t> 115 745 320,00</w:t>
      </w:r>
      <w:r w:rsidRPr="00E86F3F">
        <w:rPr>
          <w:rFonts w:cs="Calibri"/>
          <w:szCs w:val="20"/>
        </w:rPr>
        <w:t xml:space="preserve"> zł; </w:t>
      </w:r>
      <w:r>
        <w:rPr>
          <w:rFonts w:cs="Calibri"/>
          <w:szCs w:val="20"/>
        </w:rPr>
        <w:t>25 020 865,00</w:t>
      </w:r>
      <w:r w:rsidRPr="00E86F3F">
        <w:rPr>
          <w:rFonts w:cs="Calibri"/>
          <w:szCs w:val="20"/>
        </w:rPr>
        <w:t xml:space="preserve"> EUR </w:t>
      </w:r>
      <w:r w:rsidR="0013771A">
        <w:rPr>
          <w:rFonts w:cs="Calibri"/>
          <w:szCs w:val="20"/>
        </w:rPr>
        <w:t>(</w:t>
      </w:r>
      <w:r w:rsidRPr="00E86F3F">
        <w:rPr>
          <w:rFonts w:cs="Calibri"/>
          <w:szCs w:val="20"/>
        </w:rPr>
        <w:t xml:space="preserve">alokacja główna UE </w:t>
      </w:r>
      <w:r>
        <w:rPr>
          <w:rFonts w:cs="Calibri"/>
          <w:szCs w:val="20"/>
        </w:rPr>
        <w:t>(</w:t>
      </w:r>
      <w:r w:rsidRPr="00E86F3F">
        <w:rPr>
          <w:rFonts w:cs="Calibri"/>
          <w:szCs w:val="20"/>
        </w:rPr>
        <w:t>bez RW</w:t>
      </w:r>
      <w:r w:rsidR="0013771A" w:rsidRPr="00E86F3F">
        <w:rPr>
          <w:rFonts w:cs="Calibri"/>
          <w:szCs w:val="20"/>
        </w:rPr>
        <w:t>)</w:t>
      </w:r>
      <w:r w:rsidR="0013771A">
        <w:rPr>
          <w:rFonts w:cs="Calibri"/>
          <w:szCs w:val="20"/>
        </w:rPr>
        <w:t>)</w:t>
      </w:r>
      <w:r w:rsidR="0013771A" w:rsidRPr="00E86F3F">
        <w:rPr>
          <w:rFonts w:cs="Calibri"/>
          <w:szCs w:val="20"/>
        </w:rPr>
        <w:t xml:space="preserve">, </w:t>
      </w:r>
      <w:r w:rsidRPr="00E86F3F">
        <w:rPr>
          <w:rFonts w:cs="Calibri"/>
          <w:szCs w:val="20"/>
        </w:rPr>
        <w:t xml:space="preserve">tj. </w:t>
      </w:r>
      <w:r>
        <w:rPr>
          <w:rFonts w:cs="Calibri"/>
          <w:szCs w:val="20"/>
        </w:rPr>
        <w:t>107 659 777,92</w:t>
      </w:r>
      <w:r w:rsidRPr="00E86F3F">
        <w:rPr>
          <w:rFonts w:cs="Calibri"/>
          <w:szCs w:val="20"/>
        </w:rPr>
        <w:t xml:space="preserve"> zł.</w:t>
      </w:r>
      <w:r w:rsidR="00E66B89">
        <w:rPr>
          <w:rFonts w:cs="Calibri"/>
          <w:szCs w:val="20"/>
        </w:rPr>
        <w:t xml:space="preserve"> w </w:t>
      </w:r>
      <w:r w:rsidRPr="00404DA5">
        <w:rPr>
          <w:rFonts w:cs="Calibri"/>
          <w:szCs w:val="20"/>
        </w:rPr>
        <w:t>tym:</w:t>
      </w:r>
    </w:p>
    <w:p w14:paraId="4F51A824" w14:textId="77777777" w:rsidR="00881780" w:rsidRPr="00404DA5" w:rsidRDefault="00881780" w:rsidP="0013771A">
      <w:pPr>
        <w:pStyle w:val="Akapitzlist"/>
        <w:numPr>
          <w:ilvl w:val="0"/>
          <w:numId w:val="68"/>
        </w:numPr>
        <w:spacing w:after="120" w:line="288" w:lineRule="auto"/>
        <w:contextualSpacing w:val="0"/>
        <w:rPr>
          <w:rFonts w:ascii="Lato" w:hAnsi="Lato" w:cs="Calibri"/>
          <w:sz w:val="20"/>
          <w:szCs w:val="20"/>
        </w:rPr>
      </w:pPr>
      <w:r w:rsidRPr="00404DA5">
        <w:rPr>
          <w:rFonts w:ascii="Lato" w:hAnsi="Lato" w:cs="Calibri"/>
          <w:sz w:val="20"/>
          <w:szCs w:val="20"/>
        </w:rPr>
        <w:t xml:space="preserve">na Działanie 6.6 – 21 900 000,00 EUR </w:t>
      </w:r>
      <w:r w:rsidR="0013771A">
        <w:rPr>
          <w:rFonts w:ascii="Lato" w:hAnsi="Lato" w:cs="Calibri"/>
          <w:sz w:val="20"/>
          <w:szCs w:val="20"/>
        </w:rPr>
        <w:t>(</w:t>
      </w:r>
      <w:r w:rsidRPr="00404DA5">
        <w:rPr>
          <w:rFonts w:ascii="Lato" w:hAnsi="Lato" w:cs="Calibri"/>
          <w:sz w:val="20"/>
          <w:szCs w:val="20"/>
        </w:rPr>
        <w:t>alokacja UE ogółem (z RW) na Działanie po uwzględnieniu zmian</w:t>
      </w:r>
      <w:r w:rsidR="00E66B89">
        <w:rPr>
          <w:rFonts w:ascii="Lato" w:hAnsi="Lato" w:cs="Calibri"/>
          <w:sz w:val="20"/>
          <w:szCs w:val="20"/>
        </w:rPr>
        <w:t xml:space="preserve"> w </w:t>
      </w:r>
      <w:r w:rsidRPr="00404DA5">
        <w:rPr>
          <w:rFonts w:ascii="Lato" w:hAnsi="Lato" w:cs="Calibri"/>
          <w:sz w:val="20"/>
          <w:szCs w:val="20"/>
        </w:rPr>
        <w:t>Programie</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 xml:space="preserve">tj. 94 231 320,00 zł; 20 370 147,00 EUR </w:t>
      </w:r>
      <w:r w:rsidR="0013771A">
        <w:rPr>
          <w:rFonts w:ascii="Lato" w:hAnsi="Lato" w:cs="Calibri"/>
          <w:sz w:val="20"/>
          <w:szCs w:val="20"/>
        </w:rPr>
        <w:t>(</w:t>
      </w:r>
      <w:r w:rsidRPr="00404DA5">
        <w:rPr>
          <w:rFonts w:ascii="Lato" w:hAnsi="Lato" w:cs="Calibri"/>
          <w:sz w:val="20"/>
          <w:szCs w:val="20"/>
        </w:rPr>
        <w:t>alokacja główna UE (bez RW</w:t>
      </w:r>
      <w:r w:rsidR="0013771A" w:rsidRPr="00404DA5">
        <w:rPr>
          <w:rFonts w:ascii="Lato" w:hAnsi="Lato" w:cs="Calibri"/>
          <w:sz w:val="20"/>
          <w:szCs w:val="20"/>
        </w:rPr>
        <w:t>)</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tj. 87 648 668,51 zł</w:t>
      </w:r>
      <w:r>
        <w:rPr>
          <w:rFonts w:ascii="Lato" w:hAnsi="Lato" w:cs="Calibri"/>
          <w:sz w:val="20"/>
          <w:szCs w:val="20"/>
        </w:rPr>
        <w:t>;</w:t>
      </w:r>
    </w:p>
    <w:p w14:paraId="0AAC52C2" w14:textId="77777777" w:rsidR="00881780" w:rsidRPr="00404DA5" w:rsidRDefault="00881780" w:rsidP="0013771A">
      <w:pPr>
        <w:pStyle w:val="Akapitzlist"/>
        <w:numPr>
          <w:ilvl w:val="0"/>
          <w:numId w:val="68"/>
        </w:numPr>
        <w:spacing w:before="0"/>
        <w:rPr>
          <w:rFonts w:ascii="Lato" w:hAnsi="Lato" w:cs="Calibri"/>
          <w:sz w:val="20"/>
          <w:szCs w:val="20"/>
        </w:rPr>
      </w:pPr>
      <w:r w:rsidRPr="00404DA5">
        <w:rPr>
          <w:rFonts w:ascii="Lato" w:hAnsi="Lato" w:cs="Calibri"/>
          <w:sz w:val="20"/>
          <w:szCs w:val="20"/>
        </w:rPr>
        <w:t xml:space="preserve">na Działanie 6.7 – 5 000 000,00 EUR </w:t>
      </w:r>
      <w:r w:rsidR="0013771A">
        <w:rPr>
          <w:rFonts w:ascii="Lato" w:hAnsi="Lato" w:cs="Calibri"/>
          <w:sz w:val="20"/>
          <w:szCs w:val="20"/>
        </w:rPr>
        <w:t>(</w:t>
      </w:r>
      <w:r w:rsidRPr="00404DA5">
        <w:rPr>
          <w:rFonts w:ascii="Lato" w:hAnsi="Lato" w:cs="Calibri"/>
          <w:sz w:val="20"/>
          <w:szCs w:val="20"/>
        </w:rPr>
        <w:t>alokacja UE ogółem (z RW) na Działanie po uwzględnieniu zmian</w:t>
      </w:r>
      <w:r w:rsidR="00E66B89">
        <w:rPr>
          <w:rFonts w:ascii="Lato" w:hAnsi="Lato" w:cs="Calibri"/>
          <w:sz w:val="20"/>
          <w:szCs w:val="20"/>
        </w:rPr>
        <w:t xml:space="preserve"> w </w:t>
      </w:r>
      <w:r w:rsidRPr="00404DA5">
        <w:rPr>
          <w:rFonts w:ascii="Lato" w:hAnsi="Lato" w:cs="Calibri"/>
          <w:sz w:val="20"/>
          <w:szCs w:val="20"/>
        </w:rPr>
        <w:t>Programie</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 xml:space="preserve">tj. 21 514 000,00 zł; 4650 718,00 EUR </w:t>
      </w:r>
      <w:r w:rsidR="0013771A">
        <w:rPr>
          <w:rFonts w:ascii="Lato" w:hAnsi="Lato" w:cs="Calibri"/>
          <w:sz w:val="20"/>
          <w:szCs w:val="20"/>
        </w:rPr>
        <w:t>(</w:t>
      </w:r>
      <w:r w:rsidRPr="00404DA5">
        <w:rPr>
          <w:rFonts w:ascii="Lato" w:hAnsi="Lato" w:cs="Calibri"/>
          <w:sz w:val="20"/>
          <w:szCs w:val="20"/>
        </w:rPr>
        <w:t>alokacja główna UE (bez RW</w:t>
      </w:r>
      <w:r w:rsidR="0013771A" w:rsidRPr="00404DA5">
        <w:rPr>
          <w:rFonts w:ascii="Lato" w:hAnsi="Lato" w:cs="Calibri"/>
          <w:sz w:val="20"/>
          <w:szCs w:val="20"/>
        </w:rPr>
        <w:t>)</w:t>
      </w:r>
      <w:r w:rsidR="0013771A">
        <w:rPr>
          <w:rFonts w:ascii="Lato" w:hAnsi="Lato" w:cs="Calibri"/>
          <w:sz w:val="20"/>
          <w:szCs w:val="20"/>
        </w:rPr>
        <w:t>)</w:t>
      </w:r>
      <w:r w:rsidR="0013771A" w:rsidRPr="00404DA5">
        <w:rPr>
          <w:rFonts w:ascii="Lato" w:hAnsi="Lato" w:cs="Calibri"/>
          <w:sz w:val="20"/>
          <w:szCs w:val="20"/>
        </w:rPr>
        <w:t xml:space="preserve">, </w:t>
      </w:r>
      <w:r w:rsidRPr="00404DA5">
        <w:rPr>
          <w:rFonts w:ascii="Lato" w:hAnsi="Lato" w:cs="Calibri"/>
          <w:sz w:val="20"/>
          <w:szCs w:val="20"/>
        </w:rPr>
        <w:t>tj. 20 011 109,41 zł</w:t>
      </w:r>
      <w:r>
        <w:rPr>
          <w:rFonts w:ascii="Lato" w:hAnsi="Lato" w:cs="Calibri"/>
          <w:sz w:val="20"/>
          <w:szCs w:val="20"/>
        </w:rPr>
        <w:t>.</w:t>
      </w:r>
    </w:p>
    <w:p w14:paraId="0FEFA29D" w14:textId="77777777" w:rsidR="00881780" w:rsidRPr="00404DA5" w:rsidRDefault="00881780" w:rsidP="00881780">
      <w:pPr>
        <w:rPr>
          <w:rFonts w:cs="Calibri"/>
          <w:szCs w:val="20"/>
        </w:rPr>
      </w:pPr>
      <w:r w:rsidRPr="00404DA5">
        <w:rPr>
          <w:rFonts w:cs="Calibri"/>
          <w:szCs w:val="20"/>
        </w:rPr>
        <w:t xml:space="preserve">Począwszy </w:t>
      </w:r>
      <w:r>
        <w:rPr>
          <w:rFonts w:cs="Calibri"/>
          <w:szCs w:val="20"/>
        </w:rPr>
        <w:t xml:space="preserve">od </w:t>
      </w:r>
      <w:r w:rsidRPr="00404DA5">
        <w:rPr>
          <w:rFonts w:cs="Calibri"/>
          <w:szCs w:val="20"/>
        </w:rPr>
        <w:t>września 2015 r. do grudnia 2018 r.</w:t>
      </w:r>
      <w:r w:rsidR="00E66B89">
        <w:rPr>
          <w:rFonts w:cs="Calibri"/>
          <w:szCs w:val="20"/>
        </w:rPr>
        <w:t xml:space="preserve"> w </w:t>
      </w:r>
      <w:r w:rsidRPr="00404DA5">
        <w:rPr>
          <w:rFonts w:cs="Calibri"/>
          <w:szCs w:val="20"/>
        </w:rPr>
        <w:t>ramach PI 8iv łącznie przeprowadzono pięć naborów wniosków</w:t>
      </w:r>
      <w:r w:rsidR="00E66B89">
        <w:rPr>
          <w:rFonts w:cs="Calibri"/>
          <w:szCs w:val="20"/>
        </w:rPr>
        <w:t xml:space="preserve"> o </w:t>
      </w:r>
      <w:r w:rsidRPr="00404DA5">
        <w:rPr>
          <w:rFonts w:cs="Calibri"/>
          <w:szCs w:val="20"/>
        </w:rPr>
        <w:t>dofinansowanie projektów (w Działaniu 6.6 cztery nabory;</w:t>
      </w:r>
      <w:r w:rsidR="00E66B89">
        <w:rPr>
          <w:rFonts w:cs="Calibri"/>
          <w:szCs w:val="20"/>
        </w:rPr>
        <w:t xml:space="preserve"> w </w:t>
      </w:r>
      <w:r w:rsidRPr="00404DA5">
        <w:rPr>
          <w:rFonts w:cs="Calibri"/>
          <w:szCs w:val="20"/>
        </w:rPr>
        <w:t>Działaniu 6.7 jeden nabór).</w:t>
      </w:r>
      <w:r w:rsidR="00E66B89">
        <w:rPr>
          <w:rFonts w:cs="Calibri"/>
          <w:szCs w:val="20"/>
        </w:rPr>
        <w:t xml:space="preserve"> W </w:t>
      </w:r>
      <w:r w:rsidRPr="00404DA5">
        <w:rPr>
          <w:rFonts w:cs="Calibri"/>
          <w:szCs w:val="20"/>
        </w:rPr>
        <w:t>wyniku, przeprowadzonych naborów łącznie podpisano 38 umów</w:t>
      </w:r>
      <w:r w:rsidR="00E66B89">
        <w:rPr>
          <w:rFonts w:cs="Calibri"/>
          <w:szCs w:val="20"/>
        </w:rPr>
        <w:t xml:space="preserve"> o </w:t>
      </w:r>
      <w:r w:rsidRPr="00404DA5">
        <w:rPr>
          <w:rFonts w:cs="Calibri"/>
          <w:szCs w:val="20"/>
        </w:rPr>
        <w:t>dofinansowanie projektów (w</w:t>
      </w:r>
      <w:r>
        <w:rPr>
          <w:rFonts w:cs="Calibri"/>
          <w:szCs w:val="20"/>
        </w:rPr>
        <w:t> </w:t>
      </w:r>
      <w:r w:rsidRPr="00404DA5">
        <w:rPr>
          <w:rFonts w:cs="Calibri"/>
          <w:szCs w:val="20"/>
        </w:rPr>
        <w:t>Działaniu 6.6 – 35 UoD;</w:t>
      </w:r>
      <w:r w:rsidR="00E66B89">
        <w:rPr>
          <w:rFonts w:cs="Calibri"/>
          <w:szCs w:val="20"/>
        </w:rPr>
        <w:t xml:space="preserve"> w </w:t>
      </w:r>
      <w:r w:rsidRPr="00404DA5">
        <w:rPr>
          <w:rFonts w:cs="Calibri"/>
          <w:szCs w:val="20"/>
        </w:rPr>
        <w:t>Działaniu 6.7 – 3 UoD).</w:t>
      </w:r>
    </w:p>
    <w:p w14:paraId="773E151B" w14:textId="77777777" w:rsidR="00881780" w:rsidRPr="00404DA5" w:rsidRDefault="00881780" w:rsidP="00881780">
      <w:pPr>
        <w:rPr>
          <w:rFonts w:cs="Calibri"/>
          <w:szCs w:val="20"/>
        </w:rPr>
      </w:pPr>
      <w:r w:rsidRPr="00404DA5">
        <w:rPr>
          <w:rFonts w:cs="Calibri"/>
          <w:szCs w:val="20"/>
        </w:rPr>
        <w:lastRenderedPageBreak/>
        <w:t>Wartość projektów ogółem to 63 981 105,32 zł, wkład EU wynosi 54 353 604,56 zł, co stanowi 47% alokacji UE ogółem (z RW) na PI 8iv, oraz 51% alokacji głównej (bez RW);</w:t>
      </w:r>
      <w:r w:rsidR="00E66B89">
        <w:rPr>
          <w:rFonts w:cs="Calibri"/>
          <w:szCs w:val="20"/>
        </w:rPr>
        <w:t xml:space="preserve"> w </w:t>
      </w:r>
      <w:r w:rsidRPr="00404DA5">
        <w:rPr>
          <w:rFonts w:cs="Calibri"/>
          <w:szCs w:val="20"/>
        </w:rPr>
        <w:t>tym:</w:t>
      </w:r>
    </w:p>
    <w:p w14:paraId="23BCB63B" w14:textId="77777777" w:rsidR="00881780" w:rsidRPr="00404DA5" w:rsidRDefault="00881780" w:rsidP="0013771A">
      <w:pPr>
        <w:pStyle w:val="Akapitzlist"/>
        <w:numPr>
          <w:ilvl w:val="0"/>
          <w:numId w:val="69"/>
        </w:numPr>
        <w:spacing w:after="120" w:line="288" w:lineRule="auto"/>
        <w:contextualSpacing w:val="0"/>
        <w:rPr>
          <w:rFonts w:ascii="Lato" w:hAnsi="Lato" w:cs="Calibri"/>
          <w:sz w:val="20"/>
          <w:szCs w:val="20"/>
        </w:rPr>
      </w:pPr>
      <w:r w:rsidRPr="00404DA5">
        <w:rPr>
          <w:rFonts w:ascii="Lato" w:hAnsi="Lato" w:cs="Calibri"/>
          <w:sz w:val="20"/>
          <w:szCs w:val="20"/>
        </w:rPr>
        <w:t>wartość projektów</w:t>
      </w:r>
      <w:r w:rsidR="00E66B89">
        <w:rPr>
          <w:rFonts w:ascii="Lato" w:hAnsi="Lato" w:cs="Calibri"/>
          <w:sz w:val="20"/>
          <w:szCs w:val="20"/>
        </w:rPr>
        <w:t xml:space="preserve"> w </w:t>
      </w:r>
      <w:r w:rsidRPr="00404DA5">
        <w:rPr>
          <w:rFonts w:ascii="Lato" w:hAnsi="Lato" w:cs="Calibri"/>
          <w:sz w:val="20"/>
          <w:szCs w:val="20"/>
        </w:rPr>
        <w:t>Działaniu 6.6 to 59 934 645,18 zł, wkład EU 50 914 113,46 zł, co stanowi 54% alokacji UE ogółem (z RW) na Działanie 6.6, oraz 58,1% alokacji głównej (bez RW)</w:t>
      </w:r>
      <w:r>
        <w:rPr>
          <w:rFonts w:ascii="Lato" w:hAnsi="Lato" w:cs="Calibri"/>
          <w:sz w:val="20"/>
          <w:szCs w:val="20"/>
        </w:rPr>
        <w:t>;</w:t>
      </w:r>
    </w:p>
    <w:p w14:paraId="19A7AE02" w14:textId="77777777" w:rsidR="00881780" w:rsidRPr="00404DA5" w:rsidRDefault="00881780" w:rsidP="0013771A">
      <w:pPr>
        <w:pStyle w:val="Akapitzlist"/>
        <w:numPr>
          <w:ilvl w:val="0"/>
          <w:numId w:val="69"/>
        </w:numPr>
        <w:spacing w:after="120" w:line="288" w:lineRule="auto"/>
        <w:contextualSpacing w:val="0"/>
        <w:rPr>
          <w:rFonts w:ascii="Lato" w:hAnsi="Lato" w:cs="Calibri"/>
          <w:sz w:val="20"/>
          <w:szCs w:val="20"/>
        </w:rPr>
      </w:pPr>
      <w:r w:rsidRPr="00404DA5">
        <w:rPr>
          <w:rFonts w:ascii="Lato" w:hAnsi="Lato" w:cs="Calibri"/>
          <w:sz w:val="20"/>
          <w:szCs w:val="20"/>
        </w:rPr>
        <w:t>wartość projektów</w:t>
      </w:r>
      <w:r w:rsidR="00E66B89">
        <w:rPr>
          <w:rFonts w:ascii="Lato" w:hAnsi="Lato" w:cs="Calibri"/>
          <w:sz w:val="20"/>
          <w:szCs w:val="20"/>
        </w:rPr>
        <w:t xml:space="preserve"> w </w:t>
      </w:r>
      <w:r w:rsidRPr="00404DA5">
        <w:rPr>
          <w:rFonts w:ascii="Lato" w:hAnsi="Lato" w:cs="Calibri"/>
          <w:sz w:val="20"/>
          <w:szCs w:val="20"/>
        </w:rPr>
        <w:t>Działaniu 6.7 to 4 046 460,14 zł, wkład EU 3 439 491,10 zł, co stanowi 16% alokacji UE ogółem (z RW) na Działanie 6.6, oraz 17,2% alokacji głównej (bez RW)</w:t>
      </w:r>
      <w:r>
        <w:rPr>
          <w:rFonts w:ascii="Lato" w:hAnsi="Lato" w:cs="Calibri"/>
          <w:sz w:val="20"/>
          <w:szCs w:val="20"/>
        </w:rPr>
        <w:t>.</w:t>
      </w:r>
    </w:p>
    <w:p w14:paraId="50CB3B86" w14:textId="77777777" w:rsidR="00881780" w:rsidRDefault="00881780" w:rsidP="00881780">
      <w:pPr>
        <w:rPr>
          <w:rFonts w:cs="Calibri"/>
          <w:szCs w:val="20"/>
        </w:rPr>
      </w:pPr>
      <w:r>
        <w:rPr>
          <w:rFonts w:cs="Calibri"/>
          <w:szCs w:val="20"/>
        </w:rPr>
        <w:t>Poziom realizacji wartości docelowych wskaźników (na rok 2023)</w:t>
      </w:r>
      <w:r w:rsidR="00E66B89">
        <w:rPr>
          <w:rFonts w:cs="Calibri"/>
          <w:szCs w:val="20"/>
        </w:rPr>
        <w:t xml:space="preserve"> w </w:t>
      </w:r>
      <w:r w:rsidRPr="00713D2D">
        <w:rPr>
          <w:rFonts w:cs="Calibri"/>
          <w:szCs w:val="20"/>
        </w:rPr>
        <w:t>ramach Pi 8i</w:t>
      </w:r>
      <w:r>
        <w:rPr>
          <w:rFonts w:cs="Calibri"/>
          <w:szCs w:val="20"/>
        </w:rPr>
        <w:t>v</w:t>
      </w:r>
      <w:r w:rsidRPr="00713D2D">
        <w:rPr>
          <w:rFonts w:cs="Calibri"/>
          <w:szCs w:val="20"/>
        </w:rPr>
        <w:t xml:space="preserve"> </w:t>
      </w:r>
      <w:r>
        <w:rPr>
          <w:rFonts w:cs="Calibri"/>
          <w:szCs w:val="20"/>
        </w:rPr>
        <w:t>widoczny</w:t>
      </w:r>
      <w:r w:rsidR="00E66B89">
        <w:rPr>
          <w:rFonts w:cs="Calibri"/>
          <w:szCs w:val="20"/>
        </w:rPr>
        <w:t xml:space="preserve"> w </w:t>
      </w:r>
      <w:r>
        <w:rPr>
          <w:rFonts w:cs="Calibri"/>
          <w:szCs w:val="20"/>
        </w:rPr>
        <w:t>umowach</w:t>
      </w:r>
      <w:r w:rsidR="00E66B89">
        <w:rPr>
          <w:rFonts w:cs="Calibri"/>
          <w:szCs w:val="20"/>
        </w:rPr>
        <w:t xml:space="preserve"> o </w:t>
      </w:r>
      <w:r>
        <w:rPr>
          <w:rFonts w:cs="Calibri"/>
          <w:szCs w:val="20"/>
        </w:rPr>
        <w:t>dofinansowanie (wg UoD) należy uznać za zadawalający (gorzej przedstawia się sytuacja związana</w:t>
      </w:r>
      <w:r w:rsidR="00E66B89">
        <w:rPr>
          <w:rFonts w:cs="Calibri"/>
          <w:szCs w:val="20"/>
        </w:rPr>
        <w:t xml:space="preserve"> z </w:t>
      </w:r>
      <w:r>
        <w:rPr>
          <w:rFonts w:cs="Calibri"/>
          <w:szCs w:val="20"/>
        </w:rPr>
        <w:t xml:space="preserve">rzeczywistym wykonaniem celów założonych przez Beneficjentów). </w:t>
      </w:r>
    </w:p>
    <w:p w14:paraId="1FB75162" w14:textId="77777777" w:rsidR="00881780" w:rsidRDefault="00881780" w:rsidP="00881780">
      <w:pPr>
        <w:rPr>
          <w:rFonts w:cs="Calibri"/>
          <w:szCs w:val="20"/>
        </w:rPr>
      </w:pPr>
      <w:r>
        <w:rPr>
          <w:rFonts w:cs="Calibri"/>
          <w:szCs w:val="20"/>
        </w:rPr>
        <w:t xml:space="preserve">W przypadku wskaźnika </w:t>
      </w:r>
      <w:r w:rsidRPr="00FD1109">
        <w:rPr>
          <w:rFonts w:cs="Calibri"/>
          <w:i/>
          <w:szCs w:val="20"/>
        </w:rPr>
        <w:t>Liczba osób, które powróciły na rynek pracy po przerwie związanej</w:t>
      </w:r>
      <w:r w:rsidR="00E66B89">
        <w:rPr>
          <w:rFonts w:cs="Calibri"/>
          <w:i/>
          <w:szCs w:val="20"/>
        </w:rPr>
        <w:t xml:space="preserve"> z </w:t>
      </w:r>
      <w:r w:rsidRPr="00FD1109">
        <w:rPr>
          <w:rFonts w:cs="Calibri"/>
          <w:i/>
          <w:szCs w:val="20"/>
        </w:rPr>
        <w:t>urodzeniem/ wychowaniem dziecka lub utrzymały zatrudnienie, po opuszczeniu programu</w:t>
      </w:r>
      <w:r>
        <w:rPr>
          <w:rFonts w:cs="Calibri"/>
          <w:szCs w:val="20"/>
        </w:rPr>
        <w:t xml:space="preserve"> – niski poziom jego</w:t>
      </w:r>
      <w:r w:rsidRPr="00FD1109">
        <w:rPr>
          <w:rFonts w:cs="Calibri"/>
          <w:szCs w:val="20"/>
        </w:rPr>
        <w:t xml:space="preserve"> realizacji wiąże się</w:t>
      </w:r>
      <w:r w:rsidR="00E66B89">
        <w:rPr>
          <w:rFonts w:cs="Calibri"/>
          <w:szCs w:val="20"/>
        </w:rPr>
        <w:t xml:space="preserve"> z </w:t>
      </w:r>
      <w:r w:rsidRPr="00FD1109">
        <w:rPr>
          <w:rFonts w:cs="Calibri"/>
          <w:szCs w:val="20"/>
        </w:rPr>
        <w:t>większym wzrostem liczby osób pracujących objętych wsparciem</w:t>
      </w:r>
      <w:r w:rsidR="00E66B89">
        <w:rPr>
          <w:rFonts w:cs="Calibri"/>
          <w:szCs w:val="20"/>
        </w:rPr>
        <w:t xml:space="preserve"> w </w:t>
      </w:r>
      <w:r w:rsidRPr="00FD1109">
        <w:rPr>
          <w:rFonts w:cs="Calibri"/>
          <w:szCs w:val="20"/>
        </w:rPr>
        <w:t>programie - mianownik wskaźnika, niż liczby osób, które powróciły na rynek pracy po przerwie związanej</w:t>
      </w:r>
      <w:r w:rsidR="00E66B89">
        <w:rPr>
          <w:rFonts w:cs="Calibri"/>
          <w:szCs w:val="20"/>
        </w:rPr>
        <w:t xml:space="preserve"> z </w:t>
      </w:r>
      <w:r w:rsidRPr="00FD1109">
        <w:rPr>
          <w:rFonts w:cs="Calibri"/>
          <w:szCs w:val="20"/>
        </w:rPr>
        <w:t>urodzeniem / wychowaniem dziecka lub utrzymały zatrudnienie po opuszczeniu programu (licznik wskaźnika).</w:t>
      </w:r>
    </w:p>
    <w:p w14:paraId="56B9DDF0"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 xml:space="preserve">Ocena potencjału absorpcyjnego </w:t>
      </w:r>
    </w:p>
    <w:p w14:paraId="33842903" w14:textId="77777777" w:rsidR="00881780" w:rsidRDefault="00881780" w:rsidP="00881780">
      <w:pPr>
        <w:rPr>
          <w:rFonts w:cs="Calibri"/>
          <w:szCs w:val="20"/>
        </w:rPr>
      </w:pPr>
      <w:r w:rsidRPr="00AC76DB">
        <w:rPr>
          <w:rFonts w:cs="Calibri"/>
          <w:szCs w:val="20"/>
        </w:rPr>
        <w:t xml:space="preserve">Działanie </w:t>
      </w:r>
      <w:r>
        <w:rPr>
          <w:rFonts w:cs="Calibri"/>
          <w:szCs w:val="20"/>
        </w:rPr>
        <w:t>6.6.</w:t>
      </w:r>
      <w:r w:rsidR="00E66B89">
        <w:rPr>
          <w:rFonts w:cs="Calibri"/>
          <w:szCs w:val="20"/>
        </w:rPr>
        <w:t xml:space="preserve"> w </w:t>
      </w:r>
      <w:r>
        <w:rPr>
          <w:rFonts w:cs="Calibri"/>
          <w:szCs w:val="20"/>
        </w:rPr>
        <w:t>ramach Pi 8iv cieszy się zainteresowaniem wśród podmiotów uprawnionych do ubiegania się</w:t>
      </w:r>
      <w:r w:rsidR="00E66B89">
        <w:rPr>
          <w:rFonts w:cs="Calibri"/>
          <w:szCs w:val="20"/>
        </w:rPr>
        <w:t xml:space="preserve"> o </w:t>
      </w:r>
      <w:r>
        <w:rPr>
          <w:rFonts w:cs="Calibri"/>
          <w:szCs w:val="20"/>
        </w:rPr>
        <w:t>dofinansowanie projektów (relatywnie wysoki potencjał</w:t>
      </w:r>
      <w:r w:rsidR="00E66B89">
        <w:rPr>
          <w:rFonts w:cs="Calibri"/>
          <w:szCs w:val="20"/>
        </w:rPr>
        <w:t xml:space="preserve"> w </w:t>
      </w:r>
      <w:r>
        <w:rPr>
          <w:rFonts w:cs="Calibri"/>
          <w:szCs w:val="20"/>
        </w:rPr>
        <w:t>zakresie absorpcji środków pozostałych</w:t>
      </w:r>
      <w:r w:rsidR="00E66B89">
        <w:rPr>
          <w:rFonts w:cs="Calibri"/>
          <w:szCs w:val="20"/>
        </w:rPr>
        <w:t xml:space="preserve"> w </w:t>
      </w:r>
      <w:r>
        <w:rPr>
          <w:rFonts w:cs="Calibri"/>
          <w:szCs w:val="20"/>
        </w:rPr>
        <w:t>Działaniu). Dla Działania 6.7 odnotowano nieco niższy poziom zainteresowania ubieganiem się</w:t>
      </w:r>
      <w:r w:rsidR="00E66B89">
        <w:rPr>
          <w:rFonts w:cs="Calibri"/>
          <w:szCs w:val="20"/>
        </w:rPr>
        <w:t xml:space="preserve"> o </w:t>
      </w:r>
      <w:r>
        <w:rPr>
          <w:rFonts w:cs="Calibri"/>
          <w:szCs w:val="20"/>
        </w:rPr>
        <w:t>dofinansowanie projektów wśród uprawnionych podmiotów (w ramach pierwszego naboru, wnioski</w:t>
      </w:r>
      <w:r w:rsidR="00E66B89">
        <w:rPr>
          <w:rFonts w:cs="Calibri"/>
          <w:szCs w:val="20"/>
        </w:rPr>
        <w:t xml:space="preserve"> o </w:t>
      </w:r>
      <w:r>
        <w:rPr>
          <w:rFonts w:cs="Calibri"/>
          <w:szCs w:val="20"/>
        </w:rPr>
        <w:t>dofinansowanie projektów złożyły tylko cztery gminy: Węgorzyno, Złocieniec, Pełczyce, Wałcz,</w:t>
      </w:r>
      <w:r w:rsidR="00E66B89">
        <w:rPr>
          <w:rFonts w:cs="Calibri"/>
          <w:szCs w:val="20"/>
        </w:rPr>
        <w:t xml:space="preserve"> z </w:t>
      </w:r>
      <w:r>
        <w:rPr>
          <w:rFonts w:cs="Calibri"/>
          <w:szCs w:val="20"/>
        </w:rPr>
        <w:t xml:space="preserve">czego do dofinansowania wybrano trzy projekty). </w:t>
      </w:r>
      <w:bookmarkStart w:id="268" w:name="_Hlk5265864"/>
      <w:r>
        <w:rPr>
          <w:rFonts w:cs="Calibri"/>
          <w:szCs w:val="20"/>
        </w:rPr>
        <w:t>Przyczyny niskiego potencjału</w:t>
      </w:r>
      <w:r w:rsidR="00E66B89">
        <w:rPr>
          <w:rFonts w:cs="Calibri"/>
          <w:szCs w:val="20"/>
        </w:rPr>
        <w:t xml:space="preserve"> w </w:t>
      </w:r>
      <w:r>
        <w:rPr>
          <w:rFonts w:cs="Calibri"/>
          <w:szCs w:val="20"/>
        </w:rPr>
        <w:t>zakresie</w:t>
      </w:r>
      <w:r w:rsidRPr="009F6570">
        <w:rPr>
          <w:rFonts w:cs="Calibri"/>
          <w:szCs w:val="20"/>
        </w:rPr>
        <w:t xml:space="preserve"> absorpc</w:t>
      </w:r>
      <w:r>
        <w:rPr>
          <w:rFonts w:cs="Calibri"/>
          <w:szCs w:val="20"/>
        </w:rPr>
        <w:t>ji</w:t>
      </w:r>
      <w:r w:rsidRPr="009F6570">
        <w:rPr>
          <w:rFonts w:cs="Calibri"/>
          <w:szCs w:val="20"/>
        </w:rPr>
        <w:t xml:space="preserve"> </w:t>
      </w:r>
      <w:r>
        <w:rPr>
          <w:rFonts w:cs="Calibri"/>
          <w:szCs w:val="20"/>
        </w:rPr>
        <w:t>środków przeznaczonych na Działanie 6.7 związane są</w:t>
      </w:r>
      <w:r w:rsidR="00E66B89">
        <w:rPr>
          <w:rFonts w:cs="Calibri"/>
          <w:szCs w:val="20"/>
        </w:rPr>
        <w:t xml:space="preserve"> z </w:t>
      </w:r>
      <w:r w:rsidRPr="009F6570">
        <w:rPr>
          <w:rFonts w:cs="Calibri"/>
          <w:szCs w:val="20"/>
        </w:rPr>
        <w:t>samą formułą K</w:t>
      </w:r>
      <w:r>
        <w:rPr>
          <w:rFonts w:cs="Calibri"/>
          <w:szCs w:val="20"/>
        </w:rPr>
        <w:t xml:space="preserve">ontraktów </w:t>
      </w:r>
      <w:r w:rsidRPr="009F6570">
        <w:rPr>
          <w:rFonts w:cs="Calibri"/>
          <w:szCs w:val="20"/>
        </w:rPr>
        <w:t>S</w:t>
      </w:r>
      <w:r>
        <w:rPr>
          <w:rFonts w:cs="Calibri"/>
          <w:szCs w:val="20"/>
        </w:rPr>
        <w:t>amorządowych</w:t>
      </w:r>
      <w:r w:rsidRPr="009F6570">
        <w:rPr>
          <w:rFonts w:cs="Calibri"/>
          <w:szCs w:val="20"/>
        </w:rPr>
        <w:t xml:space="preserve"> polegającą na wspólnej realizacji projektu przez kilka samorządów terytorialnych oraz</w:t>
      </w:r>
      <w:r w:rsidR="00E66B89">
        <w:rPr>
          <w:rFonts w:cs="Calibri"/>
          <w:szCs w:val="20"/>
        </w:rPr>
        <w:t xml:space="preserve"> w </w:t>
      </w:r>
      <w:r w:rsidRPr="009F6570">
        <w:rPr>
          <w:rFonts w:cs="Calibri"/>
          <w:szCs w:val="20"/>
        </w:rPr>
        <w:t>występujących</w:t>
      </w:r>
      <w:r w:rsidR="00E66B89">
        <w:rPr>
          <w:rFonts w:cs="Calibri"/>
          <w:szCs w:val="20"/>
        </w:rPr>
        <w:t xml:space="preserve"> z </w:t>
      </w:r>
      <w:r w:rsidRPr="009F6570">
        <w:rPr>
          <w:rFonts w:cs="Calibri"/>
          <w:szCs w:val="20"/>
        </w:rPr>
        <w:t>tego tytułu dodatkowych obciążeniach</w:t>
      </w:r>
      <w:r w:rsidR="00E66B89">
        <w:rPr>
          <w:rFonts w:cs="Calibri"/>
          <w:szCs w:val="20"/>
        </w:rPr>
        <w:t xml:space="preserve"> w </w:t>
      </w:r>
      <w:r w:rsidRPr="009F6570">
        <w:rPr>
          <w:rFonts w:cs="Calibri"/>
          <w:szCs w:val="20"/>
        </w:rPr>
        <w:t xml:space="preserve">realizacji projektów. Diagnozowane </w:t>
      </w:r>
      <w:r>
        <w:rPr>
          <w:rFonts w:cs="Calibri"/>
          <w:szCs w:val="20"/>
        </w:rPr>
        <w:t>bariery mają również swoje źródło</w:t>
      </w:r>
      <w:r w:rsidR="00E66B89">
        <w:rPr>
          <w:rFonts w:cs="Calibri"/>
          <w:szCs w:val="20"/>
        </w:rPr>
        <w:t xml:space="preserve"> w </w:t>
      </w:r>
      <w:r>
        <w:rPr>
          <w:rFonts w:cs="Calibri"/>
          <w:szCs w:val="20"/>
        </w:rPr>
        <w:t>uwarunkowaniach formalno-prawnych związanych</w:t>
      </w:r>
      <w:r w:rsidR="00E66B89">
        <w:rPr>
          <w:rFonts w:cs="Calibri"/>
          <w:szCs w:val="20"/>
        </w:rPr>
        <w:t xml:space="preserve"> z </w:t>
      </w:r>
      <w:r>
        <w:rPr>
          <w:rFonts w:cs="Calibri"/>
          <w:szCs w:val="20"/>
        </w:rPr>
        <w:t>utworzeniem miejsca opieki nad dziećmi do lat 3.</w:t>
      </w:r>
      <w:r w:rsidR="00E66B89">
        <w:rPr>
          <w:rFonts w:cs="Calibri"/>
          <w:szCs w:val="20"/>
        </w:rPr>
        <w:t xml:space="preserve"> W </w:t>
      </w:r>
      <w:r>
        <w:rPr>
          <w:rFonts w:cs="Calibri"/>
          <w:szCs w:val="20"/>
        </w:rPr>
        <w:t>projektach konieczne jest</w:t>
      </w:r>
      <w:r w:rsidRPr="009F6570">
        <w:rPr>
          <w:rFonts w:cs="Calibri"/>
          <w:szCs w:val="20"/>
        </w:rPr>
        <w:t xml:space="preserve"> zapewnienia trwałości</w:t>
      </w:r>
      <w:r>
        <w:rPr>
          <w:rFonts w:cs="Calibri"/>
          <w:szCs w:val="20"/>
        </w:rPr>
        <w:t xml:space="preserve"> utworzonego miejsca opieki</w:t>
      </w:r>
      <w:r w:rsidRPr="009F6570">
        <w:rPr>
          <w:rFonts w:cs="Calibri"/>
          <w:szCs w:val="20"/>
        </w:rPr>
        <w:t xml:space="preserve">, co </w:t>
      </w:r>
      <w:r>
        <w:rPr>
          <w:rFonts w:cs="Calibri"/>
          <w:szCs w:val="20"/>
        </w:rPr>
        <w:t>– przy dynamicznie zmieniającej się sytuacji społeczno-gospodarczej</w:t>
      </w:r>
      <w:r w:rsidR="00E66B89">
        <w:rPr>
          <w:rFonts w:cs="Calibri"/>
          <w:szCs w:val="20"/>
        </w:rPr>
        <w:t xml:space="preserve"> i </w:t>
      </w:r>
      <w:r>
        <w:rPr>
          <w:rFonts w:cs="Calibri"/>
          <w:szCs w:val="20"/>
        </w:rPr>
        <w:t xml:space="preserve">zależnych od niej decyzjach prokreacyjnych </w:t>
      </w:r>
      <w:r>
        <w:rPr>
          <w:rFonts w:cs="Calibri"/>
          <w:szCs w:val="20"/>
        </w:rPr>
        <w:noBreakHyphen/>
        <w:t xml:space="preserve"> jest</w:t>
      </w:r>
      <w:r w:rsidRPr="009F6570">
        <w:rPr>
          <w:rFonts w:cs="Calibri"/>
          <w:szCs w:val="20"/>
        </w:rPr>
        <w:t xml:space="preserve"> </w:t>
      </w:r>
      <w:r>
        <w:rPr>
          <w:rFonts w:cs="Calibri"/>
          <w:szCs w:val="20"/>
        </w:rPr>
        <w:t xml:space="preserve">istotnym </w:t>
      </w:r>
      <w:r w:rsidRPr="009F6570">
        <w:rPr>
          <w:rFonts w:cs="Calibri"/>
          <w:szCs w:val="20"/>
        </w:rPr>
        <w:t>czynnik</w:t>
      </w:r>
      <w:r>
        <w:rPr>
          <w:rFonts w:cs="Calibri"/>
          <w:szCs w:val="20"/>
        </w:rPr>
        <w:t>iem</w:t>
      </w:r>
      <w:r w:rsidRPr="009F6570">
        <w:rPr>
          <w:rFonts w:cs="Calibri"/>
          <w:szCs w:val="20"/>
        </w:rPr>
        <w:t xml:space="preserve"> zniechęcających </w:t>
      </w:r>
      <w:r>
        <w:rPr>
          <w:rFonts w:cs="Calibri"/>
          <w:szCs w:val="20"/>
        </w:rPr>
        <w:t>jednostki samorządu terytorialnego do wspólnego ubiegania się</w:t>
      </w:r>
      <w:r w:rsidR="00E66B89">
        <w:rPr>
          <w:rFonts w:cs="Calibri"/>
          <w:szCs w:val="20"/>
        </w:rPr>
        <w:t xml:space="preserve"> o </w:t>
      </w:r>
      <w:r>
        <w:rPr>
          <w:rFonts w:cs="Calibri"/>
          <w:szCs w:val="20"/>
        </w:rPr>
        <w:t>środki.</w:t>
      </w:r>
      <w:bookmarkEnd w:id="268"/>
      <w:r>
        <w:rPr>
          <w:rFonts w:cs="Calibri"/>
          <w:szCs w:val="20"/>
        </w:rPr>
        <w:t xml:space="preserve"> Należy zauważyć, że realizacja projektów</w:t>
      </w:r>
      <w:r w:rsidR="00E66B89">
        <w:rPr>
          <w:rFonts w:cs="Calibri"/>
          <w:szCs w:val="20"/>
        </w:rPr>
        <w:t xml:space="preserve"> w </w:t>
      </w:r>
      <w:r>
        <w:rPr>
          <w:rFonts w:cs="Calibri"/>
          <w:szCs w:val="20"/>
        </w:rPr>
        <w:t xml:space="preserve">ramach PI 8iv </w:t>
      </w:r>
      <w:r>
        <w:rPr>
          <w:rFonts w:cs="Calibri"/>
          <w:szCs w:val="20"/>
        </w:rPr>
        <w:noBreakHyphen/>
        <w:t xml:space="preserve"> poza wydatkami związanymi</w:t>
      </w:r>
      <w:r w:rsidR="00E66B89">
        <w:rPr>
          <w:rFonts w:cs="Calibri"/>
          <w:szCs w:val="20"/>
        </w:rPr>
        <w:t xml:space="preserve"> z </w:t>
      </w:r>
      <w:r w:rsidRPr="0034238C">
        <w:rPr>
          <w:rFonts w:cs="Calibri"/>
          <w:szCs w:val="20"/>
        </w:rPr>
        <w:t>bieżącym funkcjonowaniem nowoutworzonego miejsca opieki żłobkowej</w:t>
      </w:r>
      <w:r>
        <w:rPr>
          <w:rFonts w:cs="Calibri"/>
          <w:szCs w:val="20"/>
        </w:rPr>
        <w:t xml:space="preserve"> </w:t>
      </w:r>
      <w:r>
        <w:rPr>
          <w:rFonts w:cs="Calibri"/>
          <w:szCs w:val="20"/>
        </w:rPr>
        <w:noBreakHyphen/>
        <w:t xml:space="preserve"> niejednokrotnie uwzględnia konieczność poniesienia </w:t>
      </w:r>
      <w:r w:rsidRPr="0034238C">
        <w:rPr>
          <w:rFonts w:cs="Calibri"/>
          <w:szCs w:val="20"/>
        </w:rPr>
        <w:t>wydatk</w:t>
      </w:r>
      <w:r>
        <w:rPr>
          <w:rFonts w:cs="Calibri"/>
          <w:szCs w:val="20"/>
        </w:rPr>
        <w:t>ów</w:t>
      </w:r>
      <w:r w:rsidRPr="0034238C">
        <w:rPr>
          <w:rFonts w:cs="Calibri"/>
          <w:szCs w:val="20"/>
        </w:rPr>
        <w:t xml:space="preserve"> inwestycyjn</w:t>
      </w:r>
      <w:r>
        <w:rPr>
          <w:rFonts w:cs="Calibri"/>
          <w:szCs w:val="20"/>
        </w:rPr>
        <w:t>ych, związanych</w:t>
      </w:r>
      <w:r w:rsidR="00E66B89">
        <w:rPr>
          <w:rFonts w:cs="Calibri"/>
          <w:szCs w:val="20"/>
        </w:rPr>
        <w:t xml:space="preserve"> z </w:t>
      </w:r>
      <w:r>
        <w:rPr>
          <w:rFonts w:cs="Calibri"/>
          <w:szCs w:val="20"/>
        </w:rPr>
        <w:t xml:space="preserve">przeprowadzeniem prac przygotowawczych, tj. adaptacji </w:t>
      </w:r>
      <w:r w:rsidRPr="0034238C">
        <w:rPr>
          <w:rFonts w:cs="Calibri"/>
          <w:szCs w:val="20"/>
        </w:rPr>
        <w:t>tworzon</w:t>
      </w:r>
      <w:r>
        <w:rPr>
          <w:rFonts w:cs="Calibri"/>
          <w:szCs w:val="20"/>
        </w:rPr>
        <w:t>ego</w:t>
      </w:r>
      <w:r w:rsidRPr="0034238C">
        <w:rPr>
          <w:rFonts w:cs="Calibri"/>
          <w:szCs w:val="20"/>
        </w:rPr>
        <w:t xml:space="preserve"> miejsc</w:t>
      </w:r>
      <w:r>
        <w:rPr>
          <w:rFonts w:cs="Calibri"/>
          <w:szCs w:val="20"/>
        </w:rPr>
        <w:t>a</w:t>
      </w:r>
      <w:r w:rsidRPr="0034238C">
        <w:rPr>
          <w:rFonts w:cs="Calibri"/>
          <w:szCs w:val="20"/>
        </w:rPr>
        <w:t xml:space="preserve"> opieki nad dziećmi</w:t>
      </w:r>
      <w:r w:rsidR="00E66B89">
        <w:rPr>
          <w:rFonts w:cs="Calibri"/>
          <w:szCs w:val="20"/>
        </w:rPr>
        <w:t xml:space="preserve"> w </w:t>
      </w:r>
      <w:r w:rsidRPr="0034238C">
        <w:rPr>
          <w:rFonts w:cs="Calibri"/>
          <w:szCs w:val="20"/>
        </w:rPr>
        <w:t>wieku do lat 3</w:t>
      </w:r>
      <w:r>
        <w:rPr>
          <w:rFonts w:cs="Calibri"/>
          <w:szCs w:val="20"/>
        </w:rPr>
        <w:t>.</w:t>
      </w:r>
      <w:r w:rsidR="00E66B89">
        <w:rPr>
          <w:rFonts w:cs="Calibri"/>
          <w:szCs w:val="20"/>
        </w:rPr>
        <w:t xml:space="preserve"> W </w:t>
      </w:r>
      <w:r>
        <w:rPr>
          <w:rFonts w:cs="Calibri"/>
          <w:szCs w:val="20"/>
        </w:rPr>
        <w:t>tym celu Beneficjenci muszą pozyskać (stosując postanowienia Ustawy Prawo Zamówień Publicznych lub wytyczne</w:t>
      </w:r>
      <w:r w:rsidR="00E66B89">
        <w:rPr>
          <w:rFonts w:cs="Calibri"/>
          <w:szCs w:val="20"/>
        </w:rPr>
        <w:t xml:space="preserve"> w </w:t>
      </w:r>
      <w:r>
        <w:rPr>
          <w:rFonts w:cs="Calibri"/>
          <w:szCs w:val="20"/>
        </w:rPr>
        <w:t>zakresie prowadzenia postępowań zgodnych</w:t>
      </w:r>
      <w:r w:rsidR="00E66B89">
        <w:rPr>
          <w:rFonts w:cs="Calibri"/>
          <w:szCs w:val="20"/>
        </w:rPr>
        <w:t xml:space="preserve"> z </w:t>
      </w:r>
      <w:r>
        <w:rPr>
          <w:rFonts w:cs="Calibri"/>
          <w:szCs w:val="20"/>
        </w:rPr>
        <w:t>zasadą konkurencyjności) podwykonawców zdolnych takie prace przeprowadzić. Jak wynika</w:t>
      </w:r>
      <w:r w:rsidR="00E66B89">
        <w:rPr>
          <w:rFonts w:cs="Calibri"/>
          <w:szCs w:val="20"/>
        </w:rPr>
        <w:t xml:space="preserve"> z </w:t>
      </w:r>
      <w:r w:rsidRPr="00B0615D">
        <w:rPr>
          <w:rFonts w:cs="Calibri"/>
          <w:i/>
          <w:szCs w:val="20"/>
        </w:rPr>
        <w:t>Aneksu 1 do RPO WZ 2014-2020</w:t>
      </w:r>
      <w:r w:rsidR="00E66B89">
        <w:rPr>
          <w:rFonts w:cs="Calibri"/>
          <w:i/>
          <w:szCs w:val="20"/>
        </w:rPr>
        <w:t xml:space="preserve"> w </w:t>
      </w:r>
      <w:r w:rsidRPr="00B0615D">
        <w:rPr>
          <w:rFonts w:cs="Calibri"/>
          <w:i/>
          <w:szCs w:val="20"/>
        </w:rPr>
        <w:t>zakresie zmiany wskaźników do ram wykonania oraz metodologii szacowania wskaźników</w:t>
      </w:r>
      <w:r>
        <w:rPr>
          <w:rFonts w:cs="Calibri"/>
          <w:i/>
          <w:szCs w:val="20"/>
        </w:rPr>
        <w:t xml:space="preserve">, </w:t>
      </w:r>
      <w:r>
        <w:rPr>
          <w:rFonts w:cs="Calibri"/>
          <w:szCs w:val="20"/>
        </w:rPr>
        <w:t>zgodnie</w:t>
      </w:r>
      <w:r w:rsidR="00E66B89">
        <w:rPr>
          <w:rFonts w:cs="Calibri"/>
          <w:szCs w:val="20"/>
        </w:rPr>
        <w:t xml:space="preserve"> z </w:t>
      </w:r>
      <w:r w:rsidRPr="00B0615D">
        <w:rPr>
          <w:rFonts w:cs="Calibri"/>
          <w:szCs w:val="20"/>
        </w:rPr>
        <w:t>założeniami Resortowego Programu rozwoju instytucji opieki nad dziećmi</w:t>
      </w:r>
      <w:r w:rsidR="00E66B89">
        <w:rPr>
          <w:rFonts w:cs="Calibri"/>
          <w:szCs w:val="20"/>
        </w:rPr>
        <w:t xml:space="preserve"> w </w:t>
      </w:r>
      <w:r w:rsidRPr="00B0615D">
        <w:rPr>
          <w:rFonts w:cs="Calibri"/>
          <w:szCs w:val="20"/>
        </w:rPr>
        <w:t>wieku do lat 3 „MALUCH” (źródło: Resortowy program rozwoju instytucji opieki nad dziećmi</w:t>
      </w:r>
      <w:r w:rsidR="00E66B89">
        <w:rPr>
          <w:rFonts w:cs="Calibri"/>
          <w:szCs w:val="20"/>
        </w:rPr>
        <w:t xml:space="preserve"> w </w:t>
      </w:r>
      <w:r w:rsidRPr="00B0615D">
        <w:rPr>
          <w:rFonts w:cs="Calibri"/>
          <w:szCs w:val="20"/>
        </w:rPr>
        <w:t>wieku do lat 3 „Maluch - edycja 2014”, Warszawa, marzec 2014) określ</w:t>
      </w:r>
      <w:r>
        <w:rPr>
          <w:rFonts w:cs="Calibri"/>
          <w:szCs w:val="20"/>
        </w:rPr>
        <w:t>ony został</w:t>
      </w:r>
      <w:r w:rsidRPr="00B0615D">
        <w:rPr>
          <w:rFonts w:cs="Calibri"/>
          <w:szCs w:val="20"/>
        </w:rPr>
        <w:t xml:space="preserve"> maksymalny pułap wydatków inwestycyjnych na poziomie 40 tys. zł na 1</w:t>
      </w:r>
      <w:r>
        <w:rPr>
          <w:rFonts w:cs="Calibri"/>
          <w:szCs w:val="20"/>
        </w:rPr>
        <w:t> </w:t>
      </w:r>
      <w:r w:rsidRPr="00B0615D">
        <w:rPr>
          <w:rFonts w:cs="Calibri"/>
          <w:szCs w:val="20"/>
        </w:rPr>
        <w:t>utworzone miejsce.</w:t>
      </w:r>
      <w:r w:rsidR="00E66B89">
        <w:rPr>
          <w:rFonts w:cs="Calibri"/>
          <w:szCs w:val="20"/>
        </w:rPr>
        <w:t xml:space="preserve"> W </w:t>
      </w:r>
      <w:r>
        <w:rPr>
          <w:rFonts w:cs="Calibri"/>
          <w:szCs w:val="20"/>
        </w:rPr>
        <w:t>warunkach silnego ożywienia gospodarczego</w:t>
      </w:r>
      <w:r w:rsidR="00E66B89">
        <w:rPr>
          <w:rFonts w:cs="Calibri"/>
          <w:szCs w:val="20"/>
        </w:rPr>
        <w:t xml:space="preserve"> w </w:t>
      </w:r>
      <w:r>
        <w:rPr>
          <w:rFonts w:cs="Calibri"/>
          <w:szCs w:val="20"/>
        </w:rPr>
        <w:t>branży budowlanej, wysokiego popytu na takie usługi</w:t>
      </w:r>
      <w:r w:rsidR="00E66B89">
        <w:rPr>
          <w:rFonts w:cs="Calibri"/>
          <w:szCs w:val="20"/>
        </w:rPr>
        <w:t xml:space="preserve"> a </w:t>
      </w:r>
      <w:r>
        <w:rPr>
          <w:rFonts w:cs="Calibri"/>
          <w:szCs w:val="20"/>
        </w:rPr>
        <w:t>zatem mniejszej ich podaży na rynku wydaje się że proces poszukiwania takich podwykonawców może być dla (potencjalnych) Beneficjentów dodatkowym obciążeniem.</w:t>
      </w:r>
    </w:p>
    <w:p w14:paraId="70263659" w14:textId="77777777" w:rsidR="00881780" w:rsidRPr="00216863" w:rsidRDefault="00881780" w:rsidP="00881780">
      <w:pPr>
        <w:rPr>
          <w:rFonts w:cs="Calibri"/>
          <w:szCs w:val="20"/>
        </w:rPr>
      </w:pPr>
      <w:r>
        <w:rPr>
          <w:rFonts w:cs="Calibri"/>
          <w:szCs w:val="20"/>
        </w:rPr>
        <w:t xml:space="preserve">Przy tej okazji należy zwrócić uwagę na zgodność średniego kosztu jednostkowego </w:t>
      </w:r>
      <w:r w:rsidRPr="00216863">
        <w:rPr>
          <w:rFonts w:cs="Calibri"/>
          <w:szCs w:val="20"/>
        </w:rPr>
        <w:t xml:space="preserve">wskaźnika </w:t>
      </w:r>
      <w:r w:rsidRPr="00216863">
        <w:rPr>
          <w:rFonts w:cs="Calibri"/>
          <w:i/>
          <w:szCs w:val="20"/>
        </w:rPr>
        <w:t>Liczba utworzonych miejsc opieki nad dziećmi</w:t>
      </w:r>
      <w:r w:rsidR="00E66B89">
        <w:rPr>
          <w:rFonts w:cs="Calibri"/>
          <w:i/>
          <w:szCs w:val="20"/>
        </w:rPr>
        <w:t xml:space="preserve"> w </w:t>
      </w:r>
      <w:r w:rsidRPr="00216863">
        <w:rPr>
          <w:rFonts w:cs="Calibri"/>
          <w:i/>
          <w:szCs w:val="20"/>
        </w:rPr>
        <w:t>wieku do lat 3</w:t>
      </w:r>
      <w:r>
        <w:rPr>
          <w:rFonts w:cs="Calibri"/>
          <w:szCs w:val="20"/>
        </w:rPr>
        <w:t xml:space="preserve"> szacowanego przez Instytucję Zarządzającą</w:t>
      </w:r>
      <w:r w:rsidR="00E66B89">
        <w:rPr>
          <w:rFonts w:cs="Calibri"/>
          <w:szCs w:val="20"/>
        </w:rPr>
        <w:t xml:space="preserve"> </w:t>
      </w:r>
      <w:r w:rsidR="00E66B89">
        <w:rPr>
          <w:rFonts w:cs="Calibri"/>
          <w:szCs w:val="20"/>
        </w:rPr>
        <w:lastRenderedPageBreak/>
        <w:t>i </w:t>
      </w:r>
      <w:r>
        <w:rPr>
          <w:rFonts w:cs="Calibri"/>
          <w:szCs w:val="20"/>
        </w:rPr>
        <w:t>ujętego</w:t>
      </w:r>
      <w:r w:rsidR="00E66B89">
        <w:rPr>
          <w:rFonts w:cs="Calibri"/>
          <w:szCs w:val="20"/>
        </w:rPr>
        <w:t xml:space="preserve"> w </w:t>
      </w:r>
      <w:r>
        <w:rPr>
          <w:rFonts w:cs="Calibri"/>
          <w:szCs w:val="20"/>
        </w:rPr>
        <w:t>metodologii szacowania wskaźników (38 tys. zł)</w:t>
      </w:r>
      <w:r w:rsidR="00E66B89">
        <w:rPr>
          <w:rFonts w:cs="Calibri"/>
          <w:szCs w:val="20"/>
        </w:rPr>
        <w:t xml:space="preserve"> z </w:t>
      </w:r>
      <w:r>
        <w:rPr>
          <w:rFonts w:cs="Calibri"/>
          <w:szCs w:val="20"/>
        </w:rPr>
        <w:t>rzeczywistym kosztem jednostkowym osiąganym</w:t>
      </w:r>
      <w:r w:rsidR="00E66B89">
        <w:rPr>
          <w:rFonts w:cs="Calibri"/>
          <w:szCs w:val="20"/>
        </w:rPr>
        <w:t xml:space="preserve"> w </w:t>
      </w:r>
      <w:r>
        <w:rPr>
          <w:rFonts w:cs="Calibri"/>
          <w:szCs w:val="20"/>
        </w:rPr>
        <w:t>realizowanych projektach wynoszącym 34 952,57 zł. (przy założeniu że nie wszystkie realizowane projekty, związane są nakładami inwestycyjnymi).</w:t>
      </w:r>
    </w:p>
    <w:p w14:paraId="04FFE182" w14:textId="77777777" w:rsidR="00881780" w:rsidRDefault="00881780" w:rsidP="00881780">
      <w:pPr>
        <w:rPr>
          <w:rFonts w:cs="Calibri"/>
          <w:szCs w:val="20"/>
        </w:rPr>
      </w:pPr>
      <w:r>
        <w:rPr>
          <w:rFonts w:cs="Calibri"/>
          <w:szCs w:val="20"/>
        </w:rPr>
        <w:t>Nie bez znaczenia dla powodzenia realizacji interwencji</w:t>
      </w:r>
      <w:r w:rsidR="00E66B89">
        <w:rPr>
          <w:rFonts w:cs="Calibri"/>
          <w:szCs w:val="20"/>
        </w:rPr>
        <w:t xml:space="preserve"> w </w:t>
      </w:r>
      <w:r>
        <w:rPr>
          <w:rFonts w:cs="Calibri"/>
          <w:szCs w:val="20"/>
        </w:rPr>
        <w:t>ramach PI 8iv jest obecność na rynku –</w:t>
      </w:r>
      <w:r w:rsidR="00E66B89">
        <w:rPr>
          <w:rFonts w:cs="Calibri"/>
          <w:szCs w:val="20"/>
        </w:rPr>
        <w:t xml:space="preserve"> w </w:t>
      </w:r>
      <w:r>
        <w:rPr>
          <w:rFonts w:cs="Calibri"/>
          <w:szCs w:val="20"/>
        </w:rPr>
        <w:t xml:space="preserve">okresie wdrożenia RPO WZ 2014-2020 </w:t>
      </w:r>
      <w:r>
        <w:rPr>
          <w:rFonts w:cs="Calibri"/>
          <w:szCs w:val="20"/>
        </w:rPr>
        <w:noBreakHyphen/>
        <w:t xml:space="preserve"> rządowego programu wsparcia rodziny </w:t>
      </w:r>
      <w:r w:rsidRPr="00A17064">
        <w:rPr>
          <w:rFonts w:cs="Calibri"/>
          <w:szCs w:val="20"/>
        </w:rPr>
        <w:t>"Maluch+"</w:t>
      </w:r>
      <w:r>
        <w:rPr>
          <w:rFonts w:cs="Calibri"/>
          <w:szCs w:val="20"/>
        </w:rPr>
        <w:t>, który</w:t>
      </w:r>
      <w:r w:rsidRPr="00A17064">
        <w:rPr>
          <w:rFonts w:cs="Calibri"/>
          <w:szCs w:val="20"/>
        </w:rPr>
        <w:t xml:space="preserve"> </w:t>
      </w:r>
      <w:r>
        <w:rPr>
          <w:rFonts w:cs="Calibri"/>
          <w:szCs w:val="20"/>
        </w:rPr>
        <w:t xml:space="preserve">to Program </w:t>
      </w:r>
      <w:r w:rsidRPr="00A17064">
        <w:rPr>
          <w:rFonts w:cs="Calibri"/>
          <w:szCs w:val="20"/>
        </w:rPr>
        <w:t>wspiera rozwój instytucji opieki nad dziećmi</w:t>
      </w:r>
      <w:r w:rsidR="00E66B89">
        <w:rPr>
          <w:rFonts w:cs="Calibri"/>
          <w:szCs w:val="20"/>
        </w:rPr>
        <w:t xml:space="preserve"> w </w:t>
      </w:r>
      <w:r w:rsidRPr="00A17064">
        <w:rPr>
          <w:rFonts w:cs="Calibri"/>
          <w:szCs w:val="20"/>
        </w:rPr>
        <w:t xml:space="preserve">wieku do lat 3 </w:t>
      </w:r>
      <w:r>
        <w:rPr>
          <w:rFonts w:cs="Calibri"/>
          <w:szCs w:val="20"/>
        </w:rPr>
        <w:t>(</w:t>
      </w:r>
      <w:r w:rsidRPr="00A17064">
        <w:rPr>
          <w:rFonts w:cs="Calibri"/>
          <w:szCs w:val="20"/>
        </w:rPr>
        <w:t>żłobków, klubów dziecięcych</w:t>
      </w:r>
      <w:r w:rsidR="00E66B89">
        <w:rPr>
          <w:rFonts w:cs="Calibri"/>
          <w:szCs w:val="20"/>
        </w:rPr>
        <w:t xml:space="preserve"> i </w:t>
      </w:r>
      <w:r w:rsidRPr="00A17064">
        <w:rPr>
          <w:rFonts w:cs="Calibri"/>
          <w:szCs w:val="20"/>
        </w:rPr>
        <w:t>dziennych opiekunów</w:t>
      </w:r>
      <w:r>
        <w:rPr>
          <w:rFonts w:cs="Calibri"/>
          <w:szCs w:val="20"/>
        </w:rPr>
        <w:t>)</w:t>
      </w:r>
      <w:r w:rsidRPr="00A17064">
        <w:rPr>
          <w:rFonts w:cs="Calibri"/>
          <w:szCs w:val="20"/>
        </w:rPr>
        <w:t>. Beneficjenci programu mogą otrzymać dofinansowanie do tworzenia</w:t>
      </w:r>
      <w:r w:rsidR="00E66B89">
        <w:rPr>
          <w:rFonts w:cs="Calibri"/>
          <w:szCs w:val="20"/>
        </w:rPr>
        <w:t xml:space="preserve"> i </w:t>
      </w:r>
      <w:r w:rsidRPr="00A17064">
        <w:rPr>
          <w:rFonts w:cs="Calibri"/>
          <w:szCs w:val="20"/>
        </w:rPr>
        <w:t>funkcjonowania miejsc opieki. "Maluch+" jest programem rocznym.</w:t>
      </w:r>
      <w:r>
        <w:rPr>
          <w:rFonts w:cs="Calibri"/>
          <w:szCs w:val="20"/>
        </w:rPr>
        <w:t xml:space="preserve"> Ponadto,</w:t>
      </w:r>
      <w:r w:rsidR="00E66B89">
        <w:rPr>
          <w:rFonts w:cs="Calibri"/>
          <w:szCs w:val="20"/>
        </w:rPr>
        <w:t xml:space="preserve"> z </w:t>
      </w:r>
      <w:r>
        <w:rPr>
          <w:rFonts w:cs="Calibri"/>
          <w:szCs w:val="20"/>
        </w:rPr>
        <w:t>przeprowadzonej przez ewaluatora jakościowej analizy uwarunkowań wdrażania projektów</w:t>
      </w:r>
      <w:r w:rsidR="00E66B89">
        <w:rPr>
          <w:rFonts w:cs="Calibri"/>
          <w:szCs w:val="20"/>
        </w:rPr>
        <w:t xml:space="preserve"> w </w:t>
      </w:r>
      <w:r>
        <w:rPr>
          <w:rFonts w:cs="Calibri"/>
          <w:szCs w:val="20"/>
        </w:rPr>
        <w:t>ramach PI 8iv wynika, że istotną barierą realizacji projektów nakierowanych na zapewnianie</w:t>
      </w:r>
      <w:r w:rsidR="00E66B89">
        <w:rPr>
          <w:rFonts w:cs="Calibri"/>
          <w:szCs w:val="20"/>
        </w:rPr>
        <w:t xml:space="preserve"> i </w:t>
      </w:r>
      <w:r>
        <w:rPr>
          <w:rFonts w:cs="Calibri"/>
          <w:szCs w:val="20"/>
        </w:rPr>
        <w:t>zwiększanie dostępu do opieki nad dziećmi do lat 3 jest duża rotacja personelu mogącego sprawować opiekę</w:t>
      </w:r>
      <w:r w:rsidR="00E66B89">
        <w:rPr>
          <w:rFonts w:cs="Calibri"/>
          <w:szCs w:val="20"/>
        </w:rPr>
        <w:t xml:space="preserve"> w </w:t>
      </w:r>
      <w:r>
        <w:rPr>
          <w:rFonts w:cs="Calibri"/>
          <w:szCs w:val="20"/>
        </w:rPr>
        <w:t>nowoutworzonych miejscach, oraz kwalifikacje kadry. Na dostępność wykwalifikowanej kadry przede wszystkim wpływają ciągle zbyt niskie wynagrodzenia</w:t>
      </w:r>
      <w:r w:rsidR="00E66B89">
        <w:rPr>
          <w:rFonts w:cs="Calibri"/>
          <w:szCs w:val="20"/>
        </w:rPr>
        <w:t xml:space="preserve"> w </w:t>
      </w:r>
      <w:r>
        <w:rPr>
          <w:rFonts w:cs="Calibri"/>
          <w:szCs w:val="20"/>
        </w:rPr>
        <w:t>przedmiotowym obszarze współwystępujące</w:t>
      </w:r>
      <w:r w:rsidR="00E66B89">
        <w:rPr>
          <w:rFonts w:cs="Calibri"/>
          <w:szCs w:val="20"/>
        </w:rPr>
        <w:t xml:space="preserve"> z </w:t>
      </w:r>
      <w:r>
        <w:rPr>
          <w:rFonts w:cs="Calibri"/>
          <w:szCs w:val="20"/>
        </w:rPr>
        <w:t>diagnozowanymi, korzystnymi zmianami na rynku pracy (zmiana</w:t>
      </w:r>
      <w:r w:rsidR="00E66B89">
        <w:rPr>
          <w:rFonts w:cs="Calibri"/>
          <w:szCs w:val="20"/>
        </w:rPr>
        <w:t xml:space="preserve"> w </w:t>
      </w:r>
      <w:r>
        <w:rPr>
          <w:rFonts w:cs="Calibri"/>
          <w:szCs w:val="20"/>
        </w:rPr>
        <w:t>kierunku „rynku pracownika”), co pozwala / ułatwia zmianę zatrudnienia. Zauważa się również że potrzeby związane</w:t>
      </w:r>
      <w:r w:rsidR="00E66B89">
        <w:rPr>
          <w:rFonts w:cs="Calibri"/>
          <w:szCs w:val="20"/>
        </w:rPr>
        <w:t xml:space="preserve"> z </w:t>
      </w:r>
      <w:r>
        <w:rPr>
          <w:rFonts w:cs="Calibri"/>
          <w:szCs w:val="20"/>
        </w:rPr>
        <w:t>opieką nad dziećmi ewoluują</w:t>
      </w:r>
      <w:r w:rsidR="00E66B89">
        <w:rPr>
          <w:rFonts w:cs="Calibri"/>
          <w:szCs w:val="20"/>
        </w:rPr>
        <w:t xml:space="preserve"> w </w:t>
      </w:r>
      <w:r>
        <w:rPr>
          <w:rFonts w:cs="Calibri"/>
          <w:szCs w:val="20"/>
        </w:rPr>
        <w:t>stronę podnoszenia ich jakości przy zmniejszających się barierach związanych</w:t>
      </w:r>
      <w:r w:rsidR="00E66B89">
        <w:rPr>
          <w:rFonts w:cs="Calibri"/>
          <w:szCs w:val="20"/>
        </w:rPr>
        <w:t xml:space="preserve"> z </w:t>
      </w:r>
      <w:r>
        <w:rPr>
          <w:rFonts w:cs="Calibri"/>
          <w:szCs w:val="20"/>
        </w:rPr>
        <w:t>dostępnością (infrastrukturą).</w:t>
      </w:r>
    </w:p>
    <w:p w14:paraId="677ADE5D" w14:textId="77777777" w:rsidR="00881780" w:rsidRDefault="00881780" w:rsidP="00881780">
      <w:pPr>
        <w:rPr>
          <w:rFonts w:cs="Calibri"/>
          <w:szCs w:val="20"/>
        </w:rPr>
      </w:pPr>
      <w:r>
        <w:rPr>
          <w:rFonts w:cs="Calibri"/>
          <w:szCs w:val="20"/>
        </w:rPr>
        <w:t>Warto również</w:t>
      </w:r>
      <w:r w:rsidR="00E66B89">
        <w:rPr>
          <w:rFonts w:cs="Calibri"/>
          <w:szCs w:val="20"/>
        </w:rPr>
        <w:t xml:space="preserve"> w </w:t>
      </w:r>
      <w:r>
        <w:rPr>
          <w:rFonts w:cs="Calibri"/>
          <w:szCs w:val="20"/>
        </w:rPr>
        <w:t>tym miejscu przywołać wnioski płynące</w:t>
      </w:r>
      <w:r w:rsidR="00E66B89">
        <w:rPr>
          <w:rFonts w:cs="Calibri"/>
          <w:szCs w:val="20"/>
        </w:rPr>
        <w:t xml:space="preserve"> z </w:t>
      </w:r>
      <w:r>
        <w:rPr>
          <w:rFonts w:cs="Calibri"/>
          <w:szCs w:val="20"/>
        </w:rPr>
        <w:t>oceny skuteczności mechanizmów terytorialnych zastosowanych</w:t>
      </w:r>
      <w:r w:rsidR="00E66B89">
        <w:rPr>
          <w:rFonts w:cs="Calibri"/>
          <w:szCs w:val="20"/>
        </w:rPr>
        <w:t xml:space="preserve"> w </w:t>
      </w:r>
      <w:r>
        <w:rPr>
          <w:rFonts w:cs="Calibri"/>
          <w:szCs w:val="20"/>
        </w:rPr>
        <w:t>Programie,</w:t>
      </w:r>
      <w:r w:rsidR="00E66B89">
        <w:rPr>
          <w:rFonts w:cs="Calibri"/>
          <w:szCs w:val="20"/>
        </w:rPr>
        <w:t xml:space="preserve"> z </w:t>
      </w:r>
      <w:r>
        <w:rPr>
          <w:rFonts w:cs="Calibri"/>
          <w:szCs w:val="20"/>
        </w:rPr>
        <w:t>której między innymi wynika, że</w:t>
      </w:r>
      <w:r w:rsidRPr="00A17064">
        <w:rPr>
          <w:rFonts w:cs="Calibri"/>
          <w:szCs w:val="20"/>
        </w:rPr>
        <w:t xml:space="preserve"> dla większości gmin objętych K</w:t>
      </w:r>
      <w:r>
        <w:rPr>
          <w:rFonts w:cs="Calibri"/>
          <w:szCs w:val="20"/>
        </w:rPr>
        <w:t xml:space="preserve">ontraktem </w:t>
      </w:r>
      <w:r w:rsidRPr="00A17064">
        <w:rPr>
          <w:rFonts w:cs="Calibri"/>
          <w:szCs w:val="20"/>
        </w:rPr>
        <w:t>S</w:t>
      </w:r>
      <w:r>
        <w:rPr>
          <w:rFonts w:cs="Calibri"/>
          <w:szCs w:val="20"/>
        </w:rPr>
        <w:t>amorządowym (w ramach dedykowanego działania 6.7)</w:t>
      </w:r>
      <w:r w:rsidRPr="00A17064">
        <w:rPr>
          <w:rFonts w:cs="Calibri"/>
          <w:szCs w:val="20"/>
        </w:rPr>
        <w:t xml:space="preserve"> </w:t>
      </w:r>
      <w:r>
        <w:rPr>
          <w:rFonts w:cs="Calibri"/>
          <w:szCs w:val="20"/>
        </w:rPr>
        <w:t>alternatywnym</w:t>
      </w:r>
      <w:r w:rsidRPr="00A17064">
        <w:rPr>
          <w:rFonts w:cs="Calibri"/>
          <w:szCs w:val="20"/>
        </w:rPr>
        <w:t xml:space="preserve"> źródłem finansowania przedsięwzięć określonych dla PI 8iv jest Działanie 6.6</w:t>
      </w:r>
      <w:r>
        <w:rPr>
          <w:rFonts w:cs="Calibri"/>
          <w:szCs w:val="20"/>
        </w:rPr>
        <w:t>.</w:t>
      </w:r>
    </w:p>
    <w:p w14:paraId="6FB18114"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Prognozy osiągnięcia celów zakładanych na 2023 rok</w:t>
      </w:r>
    </w:p>
    <w:p w14:paraId="07B1E0AB" w14:textId="77777777" w:rsidR="00881780" w:rsidRDefault="00881780" w:rsidP="00881780">
      <w:pPr>
        <w:rPr>
          <w:rFonts w:cs="Calibri"/>
          <w:szCs w:val="20"/>
        </w:rPr>
      </w:pPr>
      <w:r w:rsidRPr="00404DA5">
        <w:rPr>
          <w:rFonts w:cs="Calibri"/>
          <w:szCs w:val="20"/>
        </w:rPr>
        <w:t>Osiągnięcie docelowych wartości wszystkich wskaźników określonych dla PI 8iv zależy zarówno od realizacji zobowiązań wynikających</w:t>
      </w:r>
      <w:r w:rsidR="00E66B89">
        <w:rPr>
          <w:rFonts w:cs="Calibri"/>
          <w:szCs w:val="20"/>
        </w:rPr>
        <w:t xml:space="preserve"> z </w:t>
      </w:r>
      <w:r w:rsidRPr="00404DA5">
        <w:rPr>
          <w:rFonts w:cs="Calibri"/>
          <w:szCs w:val="20"/>
        </w:rPr>
        <w:t>dotychczas zawartych umów</w:t>
      </w:r>
      <w:r w:rsidR="00E66B89">
        <w:rPr>
          <w:rFonts w:cs="Calibri"/>
          <w:szCs w:val="20"/>
        </w:rPr>
        <w:t xml:space="preserve"> o </w:t>
      </w:r>
      <w:r w:rsidRPr="00404DA5">
        <w:rPr>
          <w:rFonts w:cs="Calibri"/>
          <w:szCs w:val="20"/>
        </w:rPr>
        <w:t>dofinansowanie, jak również wyników piątego naboru wniosków</w:t>
      </w:r>
      <w:r w:rsidR="00E66B89">
        <w:rPr>
          <w:rFonts w:cs="Calibri"/>
          <w:szCs w:val="20"/>
        </w:rPr>
        <w:t xml:space="preserve"> o </w:t>
      </w:r>
      <w:r w:rsidRPr="00404DA5">
        <w:rPr>
          <w:rFonts w:cs="Calibri"/>
          <w:szCs w:val="20"/>
        </w:rPr>
        <w:t xml:space="preserve">dofinansowanie projektów zaplanowanego na </w:t>
      </w:r>
      <w:r>
        <w:rPr>
          <w:rFonts w:cs="Calibri"/>
          <w:szCs w:val="20"/>
        </w:rPr>
        <w:t>I</w:t>
      </w:r>
      <w:r w:rsidRPr="00404DA5">
        <w:rPr>
          <w:rFonts w:cs="Calibri"/>
          <w:szCs w:val="20"/>
        </w:rPr>
        <w:t>II kwartał 2019 r.</w:t>
      </w:r>
    </w:p>
    <w:p w14:paraId="4E04B219"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Możliwości zarządzania środkami rezerwy wykonania</w:t>
      </w:r>
      <w:r w:rsidR="00E66B89">
        <w:rPr>
          <w:rFonts w:eastAsia="Calibri"/>
          <w:b/>
          <w:bCs/>
          <w:i/>
          <w:iCs/>
          <w:color w:val="4F81BD"/>
        </w:rPr>
        <w:t xml:space="preserve"> i </w:t>
      </w:r>
      <w:r w:rsidRPr="00404DA5">
        <w:rPr>
          <w:rFonts w:eastAsia="Calibri"/>
          <w:b/>
          <w:bCs/>
          <w:i/>
          <w:iCs/>
          <w:color w:val="4F81BD"/>
        </w:rPr>
        <w:t>identyfikacja obszarów wymagających interwencji – podsumowanie</w:t>
      </w:r>
    </w:p>
    <w:p w14:paraId="253148D8" w14:textId="77777777" w:rsidR="00881780" w:rsidRPr="00404DA5" w:rsidRDefault="00881780" w:rsidP="00881780">
      <w:pPr>
        <w:rPr>
          <w:rFonts w:cs="Calibri"/>
          <w:szCs w:val="20"/>
        </w:rPr>
      </w:pPr>
      <w:r w:rsidRPr="00404DA5">
        <w:rPr>
          <w:rFonts w:cs="Calibri"/>
          <w:szCs w:val="20"/>
        </w:rPr>
        <w:t>Alokacja UE ogółem (z RW) pozostała / dostępna</w:t>
      </w:r>
      <w:r w:rsidR="00E66B89">
        <w:rPr>
          <w:rFonts w:cs="Calibri"/>
          <w:szCs w:val="20"/>
        </w:rPr>
        <w:t xml:space="preserve"> w </w:t>
      </w:r>
      <w:r w:rsidRPr="00404DA5">
        <w:rPr>
          <w:rFonts w:cs="Calibri"/>
          <w:szCs w:val="20"/>
        </w:rPr>
        <w:t>PI 8iv wynosi łącznie 61 391 715,44 zł,</w:t>
      </w:r>
      <w:r w:rsidR="00E66B89">
        <w:rPr>
          <w:rFonts w:cs="Calibri"/>
          <w:szCs w:val="20"/>
        </w:rPr>
        <w:t xml:space="preserve"> w </w:t>
      </w:r>
      <w:r w:rsidRPr="00404DA5">
        <w:rPr>
          <w:rFonts w:cs="Calibri"/>
          <w:szCs w:val="20"/>
        </w:rPr>
        <w:t>tym:</w:t>
      </w:r>
      <w:r w:rsidR="00E66B89">
        <w:rPr>
          <w:rFonts w:cs="Calibri"/>
          <w:szCs w:val="20"/>
        </w:rPr>
        <w:t xml:space="preserve"> w </w:t>
      </w:r>
      <w:r w:rsidRPr="00404DA5">
        <w:rPr>
          <w:rFonts w:cs="Calibri"/>
          <w:szCs w:val="20"/>
        </w:rPr>
        <w:t>Działaniu 6.6 – 43 317 206,54 zł,</w:t>
      </w:r>
      <w:r w:rsidR="00E66B89">
        <w:rPr>
          <w:rFonts w:cs="Calibri"/>
          <w:szCs w:val="20"/>
        </w:rPr>
        <w:t xml:space="preserve"> w </w:t>
      </w:r>
      <w:r w:rsidRPr="00404DA5">
        <w:rPr>
          <w:rFonts w:cs="Calibri"/>
          <w:szCs w:val="20"/>
        </w:rPr>
        <w:t xml:space="preserve">Działaniu 6.7 </w:t>
      </w:r>
      <w:r w:rsidRPr="00404DA5">
        <w:rPr>
          <w:rFonts w:cs="Calibri"/>
          <w:szCs w:val="20"/>
        </w:rPr>
        <w:noBreakHyphen/>
        <w:t xml:space="preserve"> 18 074 508,90 zł.</w:t>
      </w:r>
    </w:p>
    <w:p w14:paraId="6EC43F30" w14:textId="77777777" w:rsidR="00881780" w:rsidRPr="00404DA5" w:rsidRDefault="00881780" w:rsidP="00881780">
      <w:pPr>
        <w:rPr>
          <w:rFonts w:cs="Calibri"/>
          <w:szCs w:val="20"/>
        </w:rPr>
      </w:pPr>
      <w:r w:rsidRPr="00404DA5">
        <w:rPr>
          <w:rFonts w:cs="Calibri"/>
          <w:szCs w:val="20"/>
        </w:rPr>
        <w:t>Alokacja UE główna (bez RW) wynosi łącznie 53 306 173,36 zł,</w:t>
      </w:r>
      <w:r w:rsidR="00E66B89">
        <w:rPr>
          <w:rFonts w:cs="Calibri"/>
          <w:szCs w:val="20"/>
        </w:rPr>
        <w:t xml:space="preserve"> w </w:t>
      </w:r>
      <w:r w:rsidRPr="00404DA5">
        <w:rPr>
          <w:rFonts w:cs="Calibri"/>
          <w:szCs w:val="20"/>
        </w:rPr>
        <w:t>tym</w:t>
      </w:r>
      <w:r>
        <w:rPr>
          <w:rFonts w:cs="Calibri"/>
          <w:szCs w:val="20"/>
        </w:rPr>
        <w:t>:</w:t>
      </w:r>
      <w:r w:rsidR="00E66B89">
        <w:rPr>
          <w:rFonts w:cs="Calibri"/>
          <w:szCs w:val="20"/>
        </w:rPr>
        <w:t xml:space="preserve"> w </w:t>
      </w:r>
      <w:r w:rsidRPr="00404DA5">
        <w:rPr>
          <w:rFonts w:cs="Calibri"/>
          <w:szCs w:val="20"/>
        </w:rPr>
        <w:t xml:space="preserve">Działaniu 6.6 </w:t>
      </w:r>
      <w:r w:rsidRPr="00404DA5">
        <w:rPr>
          <w:rFonts w:cs="Calibri"/>
          <w:szCs w:val="20"/>
        </w:rPr>
        <w:noBreakHyphen/>
        <w:t xml:space="preserve"> 36 734 555,05 zł;</w:t>
      </w:r>
      <w:r w:rsidR="00E66B89">
        <w:rPr>
          <w:rFonts w:cs="Calibri"/>
          <w:szCs w:val="20"/>
        </w:rPr>
        <w:t xml:space="preserve"> w </w:t>
      </w:r>
      <w:r w:rsidRPr="00404DA5">
        <w:rPr>
          <w:rFonts w:cs="Calibri"/>
          <w:szCs w:val="20"/>
        </w:rPr>
        <w:t xml:space="preserve">Działaniu 6.7 </w:t>
      </w:r>
      <w:r w:rsidRPr="00404DA5">
        <w:rPr>
          <w:rFonts w:cs="Calibri"/>
          <w:szCs w:val="20"/>
        </w:rPr>
        <w:noBreakHyphen/>
        <w:t xml:space="preserve"> 16 571 618,31 zł.</w:t>
      </w:r>
    </w:p>
    <w:p w14:paraId="79B90188" w14:textId="77777777" w:rsidR="00881780" w:rsidRPr="00404DA5" w:rsidRDefault="00881780" w:rsidP="00881780">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informacją zamieszczoną</w:t>
      </w:r>
      <w:r w:rsidR="00E66B89">
        <w:rPr>
          <w:rFonts w:cs="Calibri"/>
          <w:szCs w:val="20"/>
        </w:rPr>
        <w:t xml:space="preserve"> w </w:t>
      </w:r>
      <w:r w:rsidRPr="00404DA5">
        <w:rPr>
          <w:rFonts w:cs="Calibri"/>
          <w:szCs w:val="20"/>
        </w:rPr>
        <w:t>harmonogramie naborów wniosków</w:t>
      </w:r>
      <w:r w:rsidR="00E66B89">
        <w:rPr>
          <w:rFonts w:cs="Calibri"/>
          <w:szCs w:val="20"/>
        </w:rPr>
        <w:t xml:space="preserve"> o </w:t>
      </w:r>
      <w:r w:rsidRPr="00404DA5">
        <w:rPr>
          <w:rFonts w:cs="Calibri"/>
          <w:szCs w:val="20"/>
        </w:rPr>
        <w:t>dofinansowanie dla RPO WZ 2014-2020 na 2019 rok</w:t>
      </w:r>
      <w:r w:rsidR="00E66B89">
        <w:rPr>
          <w:rFonts w:cs="Calibri"/>
          <w:szCs w:val="20"/>
        </w:rPr>
        <w:t xml:space="preserve"> w </w:t>
      </w:r>
      <w:r w:rsidRPr="00404DA5">
        <w:rPr>
          <w:rFonts w:cs="Calibri"/>
          <w:szCs w:val="20"/>
        </w:rPr>
        <w:t>III kwartale 2019 r. planowany jest nabór wniosków</w:t>
      </w:r>
      <w:r w:rsidR="00E66B89">
        <w:rPr>
          <w:rFonts w:cs="Calibri"/>
          <w:szCs w:val="20"/>
        </w:rPr>
        <w:t xml:space="preserve"> o </w:t>
      </w:r>
      <w:r w:rsidRPr="00404DA5">
        <w:rPr>
          <w:rFonts w:cs="Calibri"/>
          <w:szCs w:val="20"/>
        </w:rPr>
        <w:t>dofinansowanie projektów (typ 1</w:t>
      </w:r>
      <w:r w:rsidR="00E66B89">
        <w:rPr>
          <w:rFonts w:cs="Calibri"/>
          <w:szCs w:val="20"/>
        </w:rPr>
        <w:t xml:space="preserve"> i </w:t>
      </w:r>
      <w:r w:rsidRPr="00404DA5">
        <w:rPr>
          <w:rFonts w:cs="Calibri"/>
          <w:szCs w:val="20"/>
        </w:rPr>
        <w:t>2)</w:t>
      </w:r>
      <w:r w:rsidR="00E66B89">
        <w:rPr>
          <w:rFonts w:cs="Calibri"/>
          <w:szCs w:val="20"/>
        </w:rPr>
        <w:t xml:space="preserve"> w </w:t>
      </w:r>
      <w:r w:rsidRPr="00404DA5">
        <w:rPr>
          <w:rFonts w:cs="Calibri"/>
          <w:szCs w:val="20"/>
        </w:rPr>
        <w:t>ramach Działania 6.6. Orientacyjna kwota przeznaczona na dofinansowanie projektów</w:t>
      </w:r>
      <w:r w:rsidR="00E66B89">
        <w:rPr>
          <w:rFonts w:cs="Calibri"/>
          <w:szCs w:val="20"/>
        </w:rPr>
        <w:t xml:space="preserve"> w </w:t>
      </w:r>
      <w:r w:rsidRPr="00404DA5">
        <w:rPr>
          <w:rFonts w:cs="Calibri"/>
          <w:szCs w:val="20"/>
        </w:rPr>
        <w:t>ramach konkursu wynosi: 6 666 666,00 EUR, tj. 28 685 330,46 zł. Skuteczne przeprowadzenie naboru wniosków</w:t>
      </w:r>
      <w:r w:rsidR="00E66B89">
        <w:rPr>
          <w:rFonts w:cs="Calibri"/>
          <w:szCs w:val="20"/>
        </w:rPr>
        <w:t xml:space="preserve"> o </w:t>
      </w:r>
      <w:r w:rsidRPr="00404DA5">
        <w:rPr>
          <w:rFonts w:cs="Calibri"/>
          <w:szCs w:val="20"/>
        </w:rPr>
        <w:t>dofinansowanie pozwoli zagospodarować:</w:t>
      </w:r>
    </w:p>
    <w:p w14:paraId="497CAA3A" w14:textId="77777777" w:rsidR="00881780" w:rsidRPr="00404DA5" w:rsidRDefault="00881780" w:rsidP="0013771A">
      <w:pPr>
        <w:pStyle w:val="Akapitzlist"/>
        <w:numPr>
          <w:ilvl w:val="0"/>
          <w:numId w:val="70"/>
        </w:numPr>
        <w:spacing w:after="120" w:line="288" w:lineRule="auto"/>
        <w:contextualSpacing w:val="0"/>
        <w:rPr>
          <w:rFonts w:ascii="Lato" w:hAnsi="Lato" w:cs="Calibri"/>
          <w:sz w:val="20"/>
          <w:szCs w:val="20"/>
        </w:rPr>
      </w:pPr>
      <w:r w:rsidRPr="00404DA5">
        <w:rPr>
          <w:rFonts w:ascii="Lato" w:hAnsi="Lato" w:cs="Calibri"/>
          <w:sz w:val="20"/>
          <w:szCs w:val="20"/>
        </w:rPr>
        <w:t>na poziomie 47,6% pozostałą / dostępną</w:t>
      </w:r>
      <w:r w:rsidR="00E66B89">
        <w:rPr>
          <w:rFonts w:ascii="Lato" w:hAnsi="Lato" w:cs="Calibri"/>
          <w:sz w:val="20"/>
          <w:szCs w:val="20"/>
        </w:rPr>
        <w:t xml:space="preserve"> w </w:t>
      </w:r>
      <w:r w:rsidRPr="00404DA5">
        <w:rPr>
          <w:rFonts w:ascii="Lato" w:hAnsi="Lato" w:cs="Calibri"/>
          <w:sz w:val="20"/>
          <w:szCs w:val="20"/>
        </w:rPr>
        <w:t>PI 8iv alokację</w:t>
      </w:r>
      <w:r w:rsidRPr="00FD4C08">
        <w:t xml:space="preserve"> </w:t>
      </w:r>
      <w:r w:rsidRPr="00404DA5">
        <w:rPr>
          <w:rFonts w:ascii="Lato" w:hAnsi="Lato" w:cs="Calibri"/>
          <w:sz w:val="20"/>
          <w:szCs w:val="20"/>
        </w:rPr>
        <w:t>UE ogółem (z RW)</w:t>
      </w:r>
      <w:r w:rsidR="00E66B89">
        <w:rPr>
          <w:rFonts w:ascii="Lato" w:hAnsi="Lato" w:cs="Calibri"/>
          <w:sz w:val="20"/>
          <w:szCs w:val="20"/>
        </w:rPr>
        <w:t xml:space="preserve"> i </w:t>
      </w:r>
      <w:r w:rsidRPr="00404DA5">
        <w:rPr>
          <w:rFonts w:ascii="Lato" w:hAnsi="Lato" w:cs="Calibri"/>
          <w:sz w:val="20"/>
          <w:szCs w:val="20"/>
        </w:rPr>
        <w:t>na poziomie 53,8% alokację główną UE (bez RW). .</w:t>
      </w:r>
    </w:p>
    <w:p w14:paraId="4E9B5B98" w14:textId="77777777" w:rsidR="00881780" w:rsidRDefault="00881780" w:rsidP="0013771A">
      <w:pPr>
        <w:pStyle w:val="Akapitzlist"/>
        <w:numPr>
          <w:ilvl w:val="0"/>
          <w:numId w:val="70"/>
        </w:numPr>
        <w:spacing w:after="120" w:line="288" w:lineRule="auto"/>
        <w:contextualSpacing w:val="0"/>
        <w:rPr>
          <w:rFonts w:ascii="Lato" w:hAnsi="Lato" w:cs="Calibri"/>
          <w:sz w:val="20"/>
          <w:szCs w:val="20"/>
        </w:rPr>
      </w:pPr>
      <w:r w:rsidRPr="00404DA5">
        <w:rPr>
          <w:rFonts w:ascii="Lato" w:hAnsi="Lato" w:cs="Calibri"/>
          <w:sz w:val="20"/>
          <w:szCs w:val="20"/>
        </w:rPr>
        <w:t>na poziomie 66,2% pozostałą / dostępną</w:t>
      </w:r>
      <w:r w:rsidR="00E66B89">
        <w:rPr>
          <w:rFonts w:ascii="Lato" w:hAnsi="Lato" w:cs="Calibri"/>
          <w:sz w:val="20"/>
          <w:szCs w:val="20"/>
        </w:rPr>
        <w:t xml:space="preserve"> w </w:t>
      </w:r>
      <w:r w:rsidRPr="00404DA5">
        <w:rPr>
          <w:rFonts w:ascii="Lato" w:hAnsi="Lato" w:cs="Calibri"/>
          <w:sz w:val="20"/>
          <w:szCs w:val="20"/>
        </w:rPr>
        <w:t>Działaniu 6.6 alokację UE ogółem (z RW)</w:t>
      </w:r>
      <w:r w:rsidR="00E66B89">
        <w:rPr>
          <w:rFonts w:ascii="Lato" w:hAnsi="Lato" w:cs="Calibri"/>
          <w:sz w:val="20"/>
          <w:szCs w:val="20"/>
        </w:rPr>
        <w:t xml:space="preserve"> i </w:t>
      </w:r>
      <w:r w:rsidRPr="00404DA5">
        <w:rPr>
          <w:rFonts w:ascii="Lato" w:hAnsi="Lato" w:cs="Calibri"/>
          <w:sz w:val="20"/>
          <w:szCs w:val="20"/>
        </w:rPr>
        <w:t xml:space="preserve">na poziomie 78,1% alokację główną UE (bez RW) dla Działania 6.6. </w:t>
      </w:r>
      <w:r w:rsidRPr="007B6052">
        <w:rPr>
          <w:rFonts w:ascii="Lato" w:hAnsi="Lato" w:cs="Calibri"/>
          <w:sz w:val="20"/>
          <w:szCs w:val="20"/>
        </w:rPr>
        <w:t xml:space="preserve">Nie identyfikuje się zagrożenia dla wykorzystania całej alokacji przeznaczonej na </w:t>
      </w:r>
      <w:r>
        <w:rPr>
          <w:rFonts w:ascii="Lato" w:hAnsi="Lato" w:cs="Calibri"/>
          <w:sz w:val="20"/>
          <w:szCs w:val="20"/>
        </w:rPr>
        <w:t xml:space="preserve">ww. </w:t>
      </w:r>
      <w:r w:rsidRPr="007B6052">
        <w:rPr>
          <w:rFonts w:ascii="Lato" w:hAnsi="Lato" w:cs="Calibri"/>
          <w:sz w:val="20"/>
          <w:szCs w:val="20"/>
        </w:rPr>
        <w:t>Działanie</w:t>
      </w:r>
      <w:r>
        <w:rPr>
          <w:rFonts w:ascii="Lato" w:hAnsi="Lato" w:cs="Calibri"/>
          <w:sz w:val="20"/>
          <w:szCs w:val="20"/>
        </w:rPr>
        <w:t>.</w:t>
      </w:r>
    </w:p>
    <w:p w14:paraId="3915BEF8" w14:textId="77777777" w:rsidR="00881780" w:rsidRPr="00653C55" w:rsidRDefault="00881780" w:rsidP="00881780">
      <w:pPr>
        <w:rPr>
          <w:rFonts w:cs="Calibri"/>
          <w:szCs w:val="20"/>
        </w:rPr>
      </w:pPr>
      <w:r>
        <w:rPr>
          <w:rFonts w:cs="Calibri"/>
          <w:szCs w:val="20"/>
        </w:rPr>
        <w:t>P</w:t>
      </w:r>
      <w:r w:rsidRPr="00751444">
        <w:rPr>
          <w:rFonts w:cs="Calibri"/>
          <w:szCs w:val="20"/>
        </w:rPr>
        <w:t>ozostała</w:t>
      </w:r>
      <w:r w:rsidR="00E66B89">
        <w:rPr>
          <w:rFonts w:cs="Calibri"/>
          <w:szCs w:val="20"/>
        </w:rPr>
        <w:t xml:space="preserve"> w </w:t>
      </w:r>
      <w:r w:rsidRPr="00751444">
        <w:rPr>
          <w:rFonts w:cs="Calibri"/>
          <w:szCs w:val="20"/>
        </w:rPr>
        <w:t>działaniu alokacja ogółem UE (z RW) pomniejszona</w:t>
      </w:r>
      <w:r w:rsidR="00E66B89">
        <w:rPr>
          <w:rFonts w:cs="Calibri"/>
          <w:szCs w:val="20"/>
        </w:rPr>
        <w:t xml:space="preserve"> o </w:t>
      </w:r>
      <w:r w:rsidRPr="00751444">
        <w:rPr>
          <w:rFonts w:cs="Calibri"/>
          <w:szCs w:val="20"/>
        </w:rPr>
        <w:t>kwotę</w:t>
      </w:r>
      <w:r>
        <w:rPr>
          <w:rFonts w:cs="Calibri"/>
          <w:szCs w:val="20"/>
        </w:rPr>
        <w:t xml:space="preserve"> </w:t>
      </w:r>
      <w:r w:rsidRPr="00751444">
        <w:rPr>
          <w:rFonts w:cs="Calibri"/>
          <w:szCs w:val="20"/>
        </w:rPr>
        <w:t xml:space="preserve">28 685 330,46 </w:t>
      </w:r>
      <w:r>
        <w:rPr>
          <w:rFonts w:cs="Calibri"/>
          <w:szCs w:val="20"/>
        </w:rPr>
        <w:t xml:space="preserve">zł </w:t>
      </w:r>
      <w:r w:rsidRPr="008E2DC8">
        <w:rPr>
          <w:color w:val="000000"/>
        </w:rPr>
        <w:t>przeznaczoną na dofinansowanie projektów</w:t>
      </w:r>
      <w:r w:rsidR="00E66B89">
        <w:rPr>
          <w:color w:val="000000"/>
        </w:rPr>
        <w:t xml:space="preserve"> w </w:t>
      </w:r>
      <w:r w:rsidRPr="008E2DC8">
        <w:rPr>
          <w:color w:val="000000"/>
        </w:rPr>
        <w:t>naborze wniosków</w:t>
      </w:r>
      <w:r w:rsidR="00E66B89">
        <w:rPr>
          <w:color w:val="000000"/>
        </w:rPr>
        <w:t xml:space="preserve"> w </w:t>
      </w:r>
      <w:r w:rsidRPr="008E2DC8">
        <w:rPr>
          <w:color w:val="000000"/>
        </w:rPr>
        <w:t>2019 r. będzie wynosiła 32 706 384,98 zł</w:t>
      </w:r>
    </w:p>
    <w:p w14:paraId="124C0763" w14:textId="77777777" w:rsidR="00881780" w:rsidRPr="00A556B2" w:rsidRDefault="00881780" w:rsidP="00881780">
      <w:pPr>
        <w:pStyle w:val="Nagwek3"/>
      </w:pPr>
      <w:r w:rsidRPr="0015211F">
        <w:lastRenderedPageBreak/>
        <w:t xml:space="preserve">Priorytet inwestycyjny </w:t>
      </w:r>
      <w:r w:rsidRPr="006D01FC">
        <w:t xml:space="preserve">nr </w:t>
      </w:r>
      <w:r>
        <w:t>8vi</w:t>
      </w:r>
      <w:r w:rsidRPr="006D01FC">
        <w:t xml:space="preserve"> (</w:t>
      </w:r>
      <w:r>
        <w:t xml:space="preserve">Działanie </w:t>
      </w:r>
      <w:r w:rsidRPr="00653F2F">
        <w:t>6.8</w:t>
      </w:r>
      <w:r w:rsidRPr="006D01FC">
        <w:t>)</w:t>
      </w:r>
    </w:p>
    <w:p w14:paraId="09C42BE6"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Ocena postępów</w:t>
      </w:r>
      <w:r w:rsidR="00E66B89">
        <w:rPr>
          <w:rFonts w:eastAsia="Calibri"/>
          <w:b/>
          <w:bCs/>
          <w:i/>
          <w:iCs/>
          <w:color w:val="4F81BD"/>
        </w:rPr>
        <w:t xml:space="preserve"> w </w:t>
      </w:r>
      <w:r w:rsidRPr="00404DA5">
        <w:rPr>
          <w:rFonts w:eastAsia="Calibri"/>
          <w:b/>
          <w:bCs/>
          <w:i/>
          <w:iCs/>
          <w:color w:val="4F81BD"/>
        </w:rPr>
        <w:t xml:space="preserve">realizacji PI </w:t>
      </w:r>
    </w:p>
    <w:p w14:paraId="45D4BC3E" w14:textId="77777777" w:rsidR="00881780" w:rsidRPr="00404DA5" w:rsidRDefault="00881780" w:rsidP="00D87AE8">
      <w:pPr>
        <w:pStyle w:val="Legenda"/>
        <w:spacing w:after="0"/>
      </w:pPr>
      <w:bookmarkStart w:id="269" w:name="_Toc8824227"/>
      <w:r w:rsidRPr="00404DA5">
        <w:t xml:space="preserve">Tabela </w:t>
      </w:r>
      <w:r>
        <w:fldChar w:fldCharType="begin"/>
      </w:r>
      <w:r>
        <w:instrText xml:space="preserve"> SEQ Tabela \* ARABIC </w:instrText>
      </w:r>
      <w:r>
        <w:fldChar w:fldCharType="separate"/>
      </w:r>
      <w:r w:rsidR="00763345">
        <w:rPr>
          <w:noProof/>
        </w:rPr>
        <w:t>116</w:t>
      </w:r>
      <w:r>
        <w:fldChar w:fldCharType="end"/>
      </w:r>
      <w:r w:rsidRPr="00404DA5">
        <w:t xml:space="preserve"> Wskaźniki produktu</w:t>
      </w:r>
      <w:r w:rsidR="00E66B89">
        <w:t xml:space="preserve"> i </w:t>
      </w:r>
      <w:r w:rsidRPr="00404DA5">
        <w:t>rezultatu (PI 8vi) – postęp rzeczowy</w:t>
      </w:r>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926"/>
        <w:gridCol w:w="1320"/>
        <w:gridCol w:w="849"/>
        <w:gridCol w:w="956"/>
        <w:gridCol w:w="1002"/>
        <w:gridCol w:w="1003"/>
        <w:gridCol w:w="1002"/>
        <w:gridCol w:w="1003"/>
      </w:tblGrid>
      <w:tr w:rsidR="00881780" w:rsidRPr="006D01FC" w14:paraId="39723825" w14:textId="77777777" w:rsidTr="00C22C26">
        <w:trPr>
          <w:tblHeader/>
        </w:trPr>
        <w:tc>
          <w:tcPr>
            <w:tcW w:w="0" w:type="auto"/>
            <w:shd w:val="clear" w:color="auto" w:fill="DBE5F1"/>
          </w:tcPr>
          <w:p w14:paraId="0D467E61" w14:textId="77777777" w:rsidR="00881780" w:rsidRPr="00404DA5" w:rsidRDefault="00881780" w:rsidP="006F4D8F">
            <w:pPr>
              <w:jc w:val="center"/>
              <w:rPr>
                <w:rFonts w:cs="Calibri"/>
                <w:sz w:val="18"/>
                <w:szCs w:val="18"/>
              </w:rPr>
            </w:pPr>
            <w:r w:rsidRPr="00404DA5">
              <w:rPr>
                <w:rFonts w:cs="Calibri"/>
                <w:sz w:val="18"/>
                <w:szCs w:val="18"/>
              </w:rPr>
              <w:t>Typ wskaźnika</w:t>
            </w:r>
          </w:p>
        </w:tc>
        <w:tc>
          <w:tcPr>
            <w:tcW w:w="0" w:type="auto"/>
            <w:shd w:val="clear" w:color="auto" w:fill="DBE5F1"/>
          </w:tcPr>
          <w:p w14:paraId="646AF945" w14:textId="77777777" w:rsidR="00881780" w:rsidRPr="00404DA5" w:rsidRDefault="00881780" w:rsidP="006F4D8F">
            <w:pPr>
              <w:jc w:val="center"/>
              <w:rPr>
                <w:rFonts w:cs="Calibri"/>
                <w:sz w:val="18"/>
                <w:szCs w:val="18"/>
              </w:rPr>
            </w:pPr>
            <w:r w:rsidRPr="00404DA5">
              <w:rPr>
                <w:rFonts w:cs="Calibri"/>
                <w:sz w:val="18"/>
                <w:szCs w:val="18"/>
              </w:rPr>
              <w:t>Działania</w:t>
            </w:r>
          </w:p>
        </w:tc>
        <w:tc>
          <w:tcPr>
            <w:tcW w:w="0" w:type="auto"/>
            <w:shd w:val="clear" w:color="auto" w:fill="DBE5F1"/>
          </w:tcPr>
          <w:p w14:paraId="76E9C872" w14:textId="77777777" w:rsidR="00881780" w:rsidRPr="00404DA5" w:rsidRDefault="00881780" w:rsidP="006F4D8F">
            <w:pPr>
              <w:jc w:val="center"/>
              <w:rPr>
                <w:rFonts w:cs="Calibri"/>
                <w:sz w:val="18"/>
                <w:szCs w:val="18"/>
              </w:rPr>
            </w:pPr>
            <w:r w:rsidRPr="00404DA5">
              <w:rPr>
                <w:rFonts w:cs="Calibri"/>
                <w:sz w:val="18"/>
                <w:szCs w:val="18"/>
              </w:rPr>
              <w:t>Wskaźnik</w:t>
            </w:r>
          </w:p>
        </w:tc>
        <w:tc>
          <w:tcPr>
            <w:tcW w:w="0" w:type="auto"/>
            <w:shd w:val="clear" w:color="auto" w:fill="DBE5F1"/>
          </w:tcPr>
          <w:p w14:paraId="01BBAB57" w14:textId="77777777" w:rsidR="00881780" w:rsidRPr="00404DA5" w:rsidRDefault="00881780" w:rsidP="006F4D8F">
            <w:pPr>
              <w:jc w:val="center"/>
              <w:rPr>
                <w:rFonts w:cs="Calibri"/>
                <w:sz w:val="18"/>
                <w:szCs w:val="18"/>
              </w:rPr>
            </w:pPr>
            <w:r w:rsidRPr="00404DA5">
              <w:rPr>
                <w:rFonts w:cs="Calibri"/>
                <w:sz w:val="18"/>
                <w:szCs w:val="18"/>
              </w:rPr>
              <w:t>Jedn. pomiaru</w:t>
            </w:r>
          </w:p>
        </w:tc>
        <w:tc>
          <w:tcPr>
            <w:tcW w:w="0" w:type="auto"/>
            <w:shd w:val="clear" w:color="auto" w:fill="DBE5F1"/>
          </w:tcPr>
          <w:p w14:paraId="17A8C7B4" w14:textId="77777777" w:rsidR="00881780" w:rsidRPr="00404DA5" w:rsidRDefault="00881780" w:rsidP="006F4D8F">
            <w:pPr>
              <w:jc w:val="center"/>
              <w:rPr>
                <w:rFonts w:cs="Calibri"/>
                <w:sz w:val="18"/>
                <w:szCs w:val="18"/>
              </w:rPr>
            </w:pPr>
            <w:r w:rsidRPr="00404DA5">
              <w:rPr>
                <w:rFonts w:cs="Calibri"/>
                <w:sz w:val="18"/>
                <w:szCs w:val="18"/>
              </w:rPr>
              <w:t>Wartość docelowa (2023)</w:t>
            </w:r>
          </w:p>
        </w:tc>
        <w:tc>
          <w:tcPr>
            <w:tcW w:w="0" w:type="auto"/>
            <w:shd w:val="clear" w:color="auto" w:fill="DBE5F1"/>
          </w:tcPr>
          <w:p w14:paraId="4102067B" w14:textId="77777777" w:rsidR="00881780" w:rsidRPr="00404DA5" w:rsidRDefault="00881780" w:rsidP="006F4D8F">
            <w:pPr>
              <w:jc w:val="center"/>
              <w:rPr>
                <w:rFonts w:cs="Calibri"/>
                <w:sz w:val="18"/>
                <w:szCs w:val="18"/>
              </w:rPr>
            </w:pPr>
            <w:r w:rsidRPr="00404DA5">
              <w:rPr>
                <w:rFonts w:cs="Calibri"/>
                <w:sz w:val="18"/>
                <w:szCs w:val="18"/>
              </w:rPr>
              <w:t>Realizacja wskaźnika (wg UoD)</w:t>
            </w:r>
          </w:p>
        </w:tc>
        <w:tc>
          <w:tcPr>
            <w:tcW w:w="0" w:type="auto"/>
            <w:shd w:val="clear" w:color="auto" w:fill="DBE5F1"/>
          </w:tcPr>
          <w:p w14:paraId="05BF6F1C" w14:textId="77777777" w:rsidR="00881780" w:rsidRPr="00404DA5" w:rsidRDefault="00881780" w:rsidP="006F4D8F">
            <w:pPr>
              <w:jc w:val="center"/>
              <w:rPr>
                <w:rFonts w:cs="Calibri"/>
                <w:sz w:val="18"/>
                <w:szCs w:val="18"/>
              </w:rPr>
            </w:pPr>
            <w:r w:rsidRPr="00404DA5">
              <w:rPr>
                <w:rFonts w:cs="Calibri"/>
                <w:sz w:val="18"/>
                <w:szCs w:val="18"/>
              </w:rPr>
              <w:t>% realizacji wartości docelowej (wg UoD)</w:t>
            </w:r>
          </w:p>
        </w:tc>
        <w:tc>
          <w:tcPr>
            <w:tcW w:w="0" w:type="auto"/>
            <w:shd w:val="clear" w:color="auto" w:fill="DBE5F1"/>
          </w:tcPr>
          <w:p w14:paraId="1C163128" w14:textId="77777777" w:rsidR="00881780" w:rsidRPr="00404DA5" w:rsidRDefault="00881780" w:rsidP="006F4D8F">
            <w:pPr>
              <w:jc w:val="center"/>
              <w:rPr>
                <w:rFonts w:cs="Calibri"/>
                <w:sz w:val="18"/>
                <w:szCs w:val="18"/>
              </w:rPr>
            </w:pPr>
            <w:r w:rsidRPr="00404DA5">
              <w:rPr>
                <w:rFonts w:cs="Calibri"/>
                <w:sz w:val="18"/>
                <w:szCs w:val="18"/>
              </w:rPr>
              <w:t>Realizacja wskaźnika (wg WoP)</w:t>
            </w:r>
          </w:p>
        </w:tc>
        <w:tc>
          <w:tcPr>
            <w:tcW w:w="0" w:type="auto"/>
            <w:shd w:val="clear" w:color="auto" w:fill="DBE5F1"/>
          </w:tcPr>
          <w:p w14:paraId="1A6896E9" w14:textId="77777777" w:rsidR="00881780" w:rsidRPr="00404DA5" w:rsidRDefault="00881780" w:rsidP="006F4D8F">
            <w:pPr>
              <w:jc w:val="center"/>
              <w:rPr>
                <w:rFonts w:cs="Calibri"/>
                <w:sz w:val="18"/>
                <w:szCs w:val="18"/>
              </w:rPr>
            </w:pPr>
            <w:r w:rsidRPr="00404DA5">
              <w:rPr>
                <w:rFonts w:cs="Calibri"/>
                <w:sz w:val="18"/>
                <w:szCs w:val="18"/>
              </w:rPr>
              <w:t>% realizacji wartości docelowej (wg WoP)</w:t>
            </w:r>
          </w:p>
        </w:tc>
      </w:tr>
      <w:tr w:rsidR="00881780" w:rsidRPr="00653F2F" w14:paraId="28A3B584" w14:textId="77777777" w:rsidTr="006F4D8F">
        <w:tc>
          <w:tcPr>
            <w:tcW w:w="0" w:type="auto"/>
            <w:shd w:val="clear" w:color="auto" w:fill="auto"/>
            <w:vAlign w:val="center"/>
          </w:tcPr>
          <w:p w14:paraId="6DE0B290" w14:textId="77777777" w:rsidR="00881780" w:rsidRPr="00404DA5" w:rsidRDefault="00881780" w:rsidP="006F4D8F">
            <w:pPr>
              <w:jc w:val="center"/>
              <w:rPr>
                <w:rFonts w:cs="Calibri"/>
                <w:sz w:val="18"/>
                <w:szCs w:val="18"/>
              </w:rPr>
            </w:pPr>
            <w:r w:rsidRPr="00404DA5">
              <w:rPr>
                <w:sz w:val="18"/>
                <w:szCs w:val="18"/>
              </w:rPr>
              <w:t>WP</w:t>
            </w:r>
          </w:p>
        </w:tc>
        <w:tc>
          <w:tcPr>
            <w:tcW w:w="0" w:type="auto"/>
            <w:shd w:val="clear" w:color="auto" w:fill="auto"/>
            <w:vAlign w:val="center"/>
          </w:tcPr>
          <w:p w14:paraId="602F3752" w14:textId="77777777" w:rsidR="00881780" w:rsidRPr="00404DA5" w:rsidRDefault="00881780" w:rsidP="006F4D8F">
            <w:pPr>
              <w:jc w:val="center"/>
              <w:rPr>
                <w:rFonts w:cs="Calibri"/>
                <w:sz w:val="18"/>
                <w:szCs w:val="18"/>
              </w:rPr>
            </w:pPr>
            <w:r w:rsidRPr="00404DA5">
              <w:rPr>
                <w:rFonts w:cs="Calibri"/>
                <w:sz w:val="18"/>
                <w:szCs w:val="18"/>
              </w:rPr>
              <w:t>6.8</w:t>
            </w:r>
          </w:p>
        </w:tc>
        <w:tc>
          <w:tcPr>
            <w:tcW w:w="0" w:type="auto"/>
            <w:shd w:val="clear" w:color="auto" w:fill="auto"/>
            <w:vAlign w:val="center"/>
          </w:tcPr>
          <w:p w14:paraId="0E6A2C1E" w14:textId="77777777" w:rsidR="00881780" w:rsidRPr="00404DA5" w:rsidRDefault="00881780" w:rsidP="006F4D8F">
            <w:pPr>
              <w:rPr>
                <w:rFonts w:cs="Calibri"/>
                <w:sz w:val="18"/>
                <w:szCs w:val="18"/>
              </w:rPr>
            </w:pPr>
            <w:r w:rsidRPr="00404DA5">
              <w:rPr>
                <w:rFonts w:cs="Calibri"/>
                <w:sz w:val="18"/>
                <w:szCs w:val="18"/>
              </w:rPr>
              <w:t xml:space="preserve">Liczba osób objętych programem zdrowotnym dzięki EFS </w:t>
            </w:r>
          </w:p>
        </w:tc>
        <w:tc>
          <w:tcPr>
            <w:tcW w:w="0" w:type="auto"/>
            <w:shd w:val="clear" w:color="auto" w:fill="auto"/>
            <w:vAlign w:val="center"/>
          </w:tcPr>
          <w:p w14:paraId="1A2B40E2" w14:textId="77777777" w:rsidR="00881780" w:rsidRPr="00404DA5" w:rsidRDefault="00881780" w:rsidP="006F4D8F">
            <w:pPr>
              <w:jc w:val="center"/>
              <w:rPr>
                <w:rFonts w:cs="Calibri"/>
                <w:sz w:val="18"/>
                <w:szCs w:val="18"/>
              </w:rPr>
            </w:pPr>
            <w:r w:rsidRPr="00404DA5">
              <w:rPr>
                <w:rFonts w:cs="Calibri"/>
                <w:sz w:val="18"/>
                <w:szCs w:val="18"/>
              </w:rPr>
              <w:t>osoby</w:t>
            </w:r>
          </w:p>
        </w:tc>
        <w:tc>
          <w:tcPr>
            <w:tcW w:w="0" w:type="auto"/>
            <w:shd w:val="clear" w:color="auto" w:fill="auto"/>
            <w:vAlign w:val="center"/>
          </w:tcPr>
          <w:p w14:paraId="0864EA9B" w14:textId="77777777" w:rsidR="00881780" w:rsidRPr="00404DA5" w:rsidRDefault="00881780" w:rsidP="006F4D8F">
            <w:pPr>
              <w:jc w:val="center"/>
              <w:rPr>
                <w:rFonts w:cs="Calibri"/>
                <w:sz w:val="18"/>
                <w:szCs w:val="18"/>
              </w:rPr>
            </w:pPr>
            <w:r w:rsidRPr="00404DA5">
              <w:rPr>
                <w:rFonts w:cs="Calibri"/>
                <w:sz w:val="18"/>
                <w:szCs w:val="18"/>
              </w:rPr>
              <w:t>30 000</w:t>
            </w:r>
          </w:p>
        </w:tc>
        <w:tc>
          <w:tcPr>
            <w:tcW w:w="0" w:type="auto"/>
            <w:shd w:val="clear" w:color="auto" w:fill="auto"/>
            <w:vAlign w:val="center"/>
          </w:tcPr>
          <w:p w14:paraId="2289013F" w14:textId="77777777" w:rsidR="00881780" w:rsidRPr="00404DA5" w:rsidRDefault="00881780" w:rsidP="006F4D8F">
            <w:pPr>
              <w:jc w:val="center"/>
              <w:rPr>
                <w:rFonts w:cs="Calibri"/>
                <w:sz w:val="18"/>
                <w:szCs w:val="18"/>
              </w:rPr>
            </w:pPr>
            <w:r w:rsidRPr="00404DA5">
              <w:rPr>
                <w:rFonts w:cs="Calibri"/>
                <w:sz w:val="18"/>
                <w:szCs w:val="18"/>
              </w:rPr>
              <w:t>47</w:t>
            </w:r>
            <w:r>
              <w:rPr>
                <w:rFonts w:cs="Calibri"/>
                <w:sz w:val="18"/>
                <w:szCs w:val="18"/>
              </w:rPr>
              <w:t> </w:t>
            </w:r>
            <w:r w:rsidRPr="00404DA5">
              <w:rPr>
                <w:rFonts w:cs="Calibri"/>
                <w:sz w:val="18"/>
                <w:szCs w:val="18"/>
              </w:rPr>
              <w:t>628</w:t>
            </w:r>
          </w:p>
        </w:tc>
        <w:tc>
          <w:tcPr>
            <w:tcW w:w="0" w:type="auto"/>
            <w:shd w:val="clear" w:color="auto" w:fill="auto"/>
            <w:vAlign w:val="center"/>
          </w:tcPr>
          <w:p w14:paraId="7D01858E" w14:textId="77777777" w:rsidR="00881780" w:rsidRPr="00404DA5" w:rsidRDefault="00881780" w:rsidP="006F4D8F">
            <w:pPr>
              <w:jc w:val="center"/>
              <w:rPr>
                <w:rFonts w:cs="Calibri"/>
                <w:sz w:val="18"/>
                <w:szCs w:val="18"/>
              </w:rPr>
            </w:pPr>
            <w:r w:rsidRPr="00404DA5">
              <w:rPr>
                <w:rFonts w:cs="Calibri"/>
                <w:sz w:val="18"/>
                <w:szCs w:val="18"/>
              </w:rPr>
              <w:t>159%</w:t>
            </w:r>
          </w:p>
        </w:tc>
        <w:tc>
          <w:tcPr>
            <w:tcW w:w="0" w:type="auto"/>
            <w:shd w:val="clear" w:color="auto" w:fill="auto"/>
            <w:vAlign w:val="center"/>
          </w:tcPr>
          <w:p w14:paraId="3E6D9737" w14:textId="77777777" w:rsidR="00881780" w:rsidRPr="00404DA5" w:rsidRDefault="00881780" w:rsidP="006F4D8F">
            <w:pPr>
              <w:jc w:val="center"/>
              <w:rPr>
                <w:rFonts w:cs="Calibri"/>
                <w:sz w:val="18"/>
                <w:szCs w:val="18"/>
              </w:rPr>
            </w:pPr>
            <w:r w:rsidRPr="00404DA5">
              <w:rPr>
                <w:rFonts w:cs="Calibri"/>
                <w:sz w:val="18"/>
                <w:szCs w:val="18"/>
              </w:rPr>
              <w:t>1</w:t>
            </w:r>
            <w:r>
              <w:rPr>
                <w:rFonts w:cs="Calibri"/>
                <w:sz w:val="18"/>
                <w:szCs w:val="18"/>
              </w:rPr>
              <w:t> </w:t>
            </w:r>
            <w:r w:rsidRPr="00404DA5">
              <w:rPr>
                <w:rFonts w:cs="Calibri"/>
                <w:sz w:val="18"/>
                <w:szCs w:val="18"/>
              </w:rPr>
              <w:t>805</w:t>
            </w:r>
          </w:p>
        </w:tc>
        <w:tc>
          <w:tcPr>
            <w:tcW w:w="0" w:type="auto"/>
            <w:shd w:val="clear" w:color="auto" w:fill="auto"/>
            <w:vAlign w:val="center"/>
          </w:tcPr>
          <w:p w14:paraId="0D4EF1EC" w14:textId="77777777" w:rsidR="00881780" w:rsidRPr="00404DA5" w:rsidRDefault="00881780" w:rsidP="006F4D8F">
            <w:pPr>
              <w:jc w:val="center"/>
              <w:rPr>
                <w:rFonts w:cs="Calibri"/>
                <w:sz w:val="18"/>
                <w:szCs w:val="18"/>
              </w:rPr>
            </w:pPr>
            <w:r w:rsidRPr="00404DA5">
              <w:rPr>
                <w:rFonts w:cs="Calibri"/>
                <w:sz w:val="18"/>
                <w:szCs w:val="18"/>
              </w:rPr>
              <w:t>6%</w:t>
            </w:r>
          </w:p>
        </w:tc>
      </w:tr>
      <w:tr w:rsidR="00881780" w:rsidRPr="00653F2F" w14:paraId="005D91E6" w14:textId="77777777" w:rsidTr="006F4D8F">
        <w:tc>
          <w:tcPr>
            <w:tcW w:w="0" w:type="auto"/>
            <w:shd w:val="clear" w:color="auto" w:fill="auto"/>
            <w:vAlign w:val="center"/>
          </w:tcPr>
          <w:p w14:paraId="2B774712" w14:textId="77777777" w:rsidR="00881780" w:rsidRPr="00404DA5" w:rsidRDefault="00881780" w:rsidP="006F4D8F">
            <w:pPr>
              <w:jc w:val="center"/>
              <w:rPr>
                <w:sz w:val="18"/>
                <w:szCs w:val="18"/>
              </w:rPr>
            </w:pPr>
            <w:r w:rsidRPr="00404DA5">
              <w:rPr>
                <w:rFonts w:cs="Calibri"/>
                <w:sz w:val="18"/>
                <w:szCs w:val="18"/>
              </w:rPr>
              <w:t>WR</w:t>
            </w:r>
          </w:p>
        </w:tc>
        <w:tc>
          <w:tcPr>
            <w:tcW w:w="0" w:type="auto"/>
            <w:shd w:val="clear" w:color="auto" w:fill="auto"/>
            <w:vAlign w:val="center"/>
          </w:tcPr>
          <w:p w14:paraId="19EE4745" w14:textId="77777777" w:rsidR="00881780" w:rsidRPr="00404DA5" w:rsidRDefault="00881780" w:rsidP="006F4D8F">
            <w:pPr>
              <w:jc w:val="center"/>
              <w:rPr>
                <w:rFonts w:cs="Calibri"/>
                <w:sz w:val="18"/>
                <w:szCs w:val="18"/>
              </w:rPr>
            </w:pPr>
            <w:r w:rsidRPr="00404DA5">
              <w:rPr>
                <w:rFonts w:cs="Calibri"/>
                <w:sz w:val="18"/>
                <w:szCs w:val="18"/>
              </w:rPr>
              <w:t>6.8</w:t>
            </w:r>
          </w:p>
        </w:tc>
        <w:tc>
          <w:tcPr>
            <w:tcW w:w="0" w:type="auto"/>
            <w:shd w:val="clear" w:color="auto" w:fill="auto"/>
            <w:vAlign w:val="center"/>
          </w:tcPr>
          <w:p w14:paraId="6530F1B7" w14:textId="77777777" w:rsidR="00881780" w:rsidRPr="00404DA5" w:rsidRDefault="00881780" w:rsidP="006F4D8F">
            <w:pPr>
              <w:rPr>
                <w:rFonts w:cs="Calibri"/>
                <w:sz w:val="18"/>
                <w:szCs w:val="18"/>
              </w:rPr>
            </w:pPr>
            <w:r w:rsidRPr="00404DA5">
              <w:rPr>
                <w:rFonts w:cs="Calibri"/>
                <w:bCs/>
                <w:sz w:val="18"/>
                <w:szCs w:val="18"/>
              </w:rPr>
              <w:t>Liczba osób, które dzięki interwencji EFS zgłosiły się na badanie profilaktyczne</w:t>
            </w:r>
          </w:p>
        </w:tc>
        <w:tc>
          <w:tcPr>
            <w:tcW w:w="0" w:type="auto"/>
            <w:shd w:val="clear" w:color="auto" w:fill="auto"/>
            <w:vAlign w:val="center"/>
          </w:tcPr>
          <w:p w14:paraId="21B5D68B" w14:textId="77777777" w:rsidR="00881780" w:rsidRPr="00404DA5" w:rsidRDefault="00881780" w:rsidP="006F4D8F">
            <w:pPr>
              <w:jc w:val="center"/>
              <w:rPr>
                <w:rFonts w:cs="Calibri"/>
                <w:sz w:val="18"/>
                <w:szCs w:val="18"/>
              </w:rPr>
            </w:pPr>
            <w:r w:rsidRPr="00404DA5">
              <w:rPr>
                <w:rFonts w:cs="Calibri"/>
                <w:sz w:val="18"/>
                <w:szCs w:val="18"/>
              </w:rPr>
              <w:t>%</w:t>
            </w:r>
          </w:p>
        </w:tc>
        <w:tc>
          <w:tcPr>
            <w:tcW w:w="0" w:type="auto"/>
            <w:shd w:val="clear" w:color="auto" w:fill="auto"/>
            <w:vAlign w:val="center"/>
          </w:tcPr>
          <w:p w14:paraId="57F45CE6" w14:textId="77777777" w:rsidR="00881780" w:rsidRPr="00404DA5" w:rsidRDefault="00881780" w:rsidP="006F4D8F">
            <w:pPr>
              <w:jc w:val="center"/>
              <w:rPr>
                <w:rFonts w:cs="Calibri"/>
                <w:sz w:val="18"/>
                <w:szCs w:val="18"/>
              </w:rPr>
            </w:pPr>
            <w:r w:rsidRPr="00404DA5">
              <w:rPr>
                <w:rFonts w:cs="Calibri"/>
                <w:sz w:val="18"/>
                <w:szCs w:val="18"/>
              </w:rPr>
              <w:t>60</w:t>
            </w:r>
          </w:p>
        </w:tc>
        <w:tc>
          <w:tcPr>
            <w:tcW w:w="0" w:type="auto"/>
            <w:shd w:val="clear" w:color="auto" w:fill="auto"/>
            <w:vAlign w:val="center"/>
          </w:tcPr>
          <w:p w14:paraId="549CCB8E" w14:textId="77777777" w:rsidR="00881780" w:rsidRPr="00404DA5" w:rsidRDefault="00881780" w:rsidP="006F4D8F">
            <w:pPr>
              <w:jc w:val="center"/>
              <w:rPr>
                <w:rFonts w:cs="Calibri"/>
                <w:sz w:val="18"/>
                <w:szCs w:val="18"/>
              </w:rPr>
            </w:pPr>
            <w:r>
              <w:rPr>
                <w:rFonts w:cs="Calibri"/>
                <w:sz w:val="18"/>
                <w:szCs w:val="18"/>
              </w:rPr>
              <w:t>92%</w:t>
            </w:r>
            <w:r>
              <w:rPr>
                <w:rFonts w:cs="Calibri"/>
                <w:sz w:val="18"/>
                <w:szCs w:val="18"/>
              </w:rPr>
              <w:br/>
              <w:t>(</w:t>
            </w:r>
            <w:r w:rsidRPr="00404DA5">
              <w:rPr>
                <w:rFonts w:cs="Calibri"/>
                <w:sz w:val="18"/>
                <w:szCs w:val="18"/>
              </w:rPr>
              <w:t>43</w:t>
            </w:r>
            <w:r>
              <w:rPr>
                <w:rFonts w:cs="Calibri"/>
                <w:sz w:val="18"/>
                <w:szCs w:val="18"/>
              </w:rPr>
              <w:t xml:space="preserve"> </w:t>
            </w:r>
            <w:r w:rsidRPr="00404DA5">
              <w:rPr>
                <w:rFonts w:cs="Calibri"/>
                <w:sz w:val="18"/>
                <w:szCs w:val="18"/>
              </w:rPr>
              <w:t>798</w:t>
            </w:r>
            <w:r>
              <w:rPr>
                <w:rFonts w:cs="Calibri"/>
                <w:sz w:val="18"/>
                <w:szCs w:val="18"/>
              </w:rPr>
              <w:t>)</w:t>
            </w:r>
          </w:p>
        </w:tc>
        <w:tc>
          <w:tcPr>
            <w:tcW w:w="0" w:type="auto"/>
            <w:shd w:val="clear" w:color="auto" w:fill="auto"/>
            <w:vAlign w:val="center"/>
          </w:tcPr>
          <w:p w14:paraId="1E39E4EC" w14:textId="77777777" w:rsidR="00881780" w:rsidRPr="00404DA5" w:rsidRDefault="00881780" w:rsidP="006F4D8F">
            <w:pPr>
              <w:jc w:val="center"/>
              <w:rPr>
                <w:rFonts w:cs="Calibri"/>
                <w:sz w:val="18"/>
                <w:szCs w:val="18"/>
              </w:rPr>
            </w:pPr>
            <w:r w:rsidRPr="00404DA5">
              <w:rPr>
                <w:rFonts w:cs="Calibri"/>
                <w:sz w:val="18"/>
                <w:szCs w:val="18"/>
              </w:rPr>
              <w:t>153%</w:t>
            </w:r>
          </w:p>
        </w:tc>
        <w:tc>
          <w:tcPr>
            <w:tcW w:w="0" w:type="auto"/>
            <w:shd w:val="clear" w:color="auto" w:fill="auto"/>
            <w:vAlign w:val="center"/>
          </w:tcPr>
          <w:p w14:paraId="2E0FFF83" w14:textId="77777777" w:rsidR="00881780" w:rsidRPr="00404DA5" w:rsidRDefault="00881780" w:rsidP="006F4D8F">
            <w:pPr>
              <w:jc w:val="center"/>
              <w:rPr>
                <w:rFonts w:cs="Calibri"/>
                <w:sz w:val="18"/>
                <w:szCs w:val="18"/>
              </w:rPr>
            </w:pPr>
            <w:r>
              <w:rPr>
                <w:rFonts w:cs="Calibri"/>
                <w:sz w:val="18"/>
                <w:szCs w:val="18"/>
              </w:rPr>
              <w:t>99,1%</w:t>
            </w:r>
            <w:r>
              <w:rPr>
                <w:rFonts w:cs="Calibri"/>
                <w:sz w:val="18"/>
                <w:szCs w:val="18"/>
              </w:rPr>
              <w:br/>
            </w:r>
            <w:r w:rsidRPr="00404DA5">
              <w:rPr>
                <w:rFonts w:cs="Calibri"/>
                <w:sz w:val="18"/>
                <w:szCs w:val="18"/>
              </w:rPr>
              <w:t>1 789</w:t>
            </w:r>
          </w:p>
        </w:tc>
        <w:tc>
          <w:tcPr>
            <w:tcW w:w="0" w:type="auto"/>
            <w:shd w:val="clear" w:color="auto" w:fill="auto"/>
            <w:vAlign w:val="center"/>
          </w:tcPr>
          <w:p w14:paraId="36CA0CE6" w14:textId="77777777" w:rsidR="00881780" w:rsidRPr="00404DA5" w:rsidRDefault="00881780" w:rsidP="006F4D8F">
            <w:pPr>
              <w:jc w:val="center"/>
              <w:rPr>
                <w:rFonts w:cs="Calibri"/>
                <w:sz w:val="18"/>
                <w:szCs w:val="18"/>
              </w:rPr>
            </w:pPr>
            <w:r w:rsidRPr="00404DA5">
              <w:rPr>
                <w:rFonts w:cs="Calibri"/>
                <w:sz w:val="18"/>
                <w:szCs w:val="18"/>
              </w:rPr>
              <w:t>166%</w:t>
            </w:r>
          </w:p>
        </w:tc>
      </w:tr>
      <w:tr w:rsidR="00881780" w:rsidRPr="00653F2F" w14:paraId="3564379D" w14:textId="77777777" w:rsidTr="006F4D8F">
        <w:tc>
          <w:tcPr>
            <w:tcW w:w="0" w:type="auto"/>
            <w:shd w:val="clear" w:color="auto" w:fill="auto"/>
            <w:vAlign w:val="center"/>
          </w:tcPr>
          <w:p w14:paraId="20B2DCD4" w14:textId="77777777" w:rsidR="00881780" w:rsidRPr="00404DA5" w:rsidRDefault="00881780" w:rsidP="006F4D8F">
            <w:pPr>
              <w:jc w:val="center"/>
              <w:rPr>
                <w:sz w:val="18"/>
                <w:szCs w:val="18"/>
              </w:rPr>
            </w:pPr>
            <w:r w:rsidRPr="00404DA5">
              <w:rPr>
                <w:sz w:val="18"/>
                <w:szCs w:val="18"/>
              </w:rPr>
              <w:t>WR</w:t>
            </w:r>
          </w:p>
        </w:tc>
        <w:tc>
          <w:tcPr>
            <w:tcW w:w="0" w:type="auto"/>
            <w:shd w:val="clear" w:color="auto" w:fill="auto"/>
            <w:vAlign w:val="center"/>
          </w:tcPr>
          <w:p w14:paraId="08CE744E" w14:textId="77777777" w:rsidR="00881780" w:rsidRPr="00404DA5" w:rsidRDefault="00881780" w:rsidP="006F4D8F">
            <w:pPr>
              <w:jc w:val="center"/>
              <w:rPr>
                <w:rFonts w:cs="Calibri"/>
                <w:sz w:val="18"/>
                <w:szCs w:val="18"/>
              </w:rPr>
            </w:pPr>
            <w:r w:rsidRPr="00404DA5">
              <w:rPr>
                <w:rFonts w:cs="Calibri"/>
                <w:sz w:val="18"/>
                <w:szCs w:val="18"/>
              </w:rPr>
              <w:t>6.8</w:t>
            </w:r>
          </w:p>
        </w:tc>
        <w:tc>
          <w:tcPr>
            <w:tcW w:w="0" w:type="auto"/>
            <w:shd w:val="clear" w:color="auto" w:fill="auto"/>
            <w:vAlign w:val="center"/>
          </w:tcPr>
          <w:p w14:paraId="73509A8A" w14:textId="77777777" w:rsidR="00881780" w:rsidRPr="00404DA5" w:rsidRDefault="00881780" w:rsidP="006F4D8F">
            <w:pPr>
              <w:rPr>
                <w:rFonts w:cs="Calibri"/>
                <w:sz w:val="18"/>
                <w:szCs w:val="18"/>
              </w:rPr>
            </w:pPr>
            <w:r w:rsidRPr="00404DA5">
              <w:rPr>
                <w:rFonts w:cs="Calibri"/>
                <w:sz w:val="18"/>
                <w:szCs w:val="18"/>
              </w:rPr>
              <w:t>Liczba osób, które po opuszczeniu programu podjęły pracę lub kontynuowały zatrudnienie</w:t>
            </w:r>
          </w:p>
        </w:tc>
        <w:tc>
          <w:tcPr>
            <w:tcW w:w="0" w:type="auto"/>
            <w:shd w:val="clear" w:color="auto" w:fill="auto"/>
            <w:vAlign w:val="center"/>
          </w:tcPr>
          <w:p w14:paraId="7645A7E6" w14:textId="77777777" w:rsidR="00881780" w:rsidRPr="00404DA5" w:rsidRDefault="00881780" w:rsidP="006F4D8F">
            <w:pPr>
              <w:jc w:val="center"/>
              <w:rPr>
                <w:rFonts w:cs="Calibri"/>
                <w:sz w:val="18"/>
                <w:szCs w:val="18"/>
              </w:rPr>
            </w:pPr>
            <w:r w:rsidRPr="00404DA5">
              <w:rPr>
                <w:rFonts w:cs="Calibri"/>
                <w:sz w:val="18"/>
                <w:szCs w:val="18"/>
              </w:rPr>
              <w:t>%</w:t>
            </w:r>
          </w:p>
        </w:tc>
        <w:tc>
          <w:tcPr>
            <w:tcW w:w="0" w:type="auto"/>
            <w:shd w:val="clear" w:color="auto" w:fill="auto"/>
            <w:vAlign w:val="center"/>
          </w:tcPr>
          <w:p w14:paraId="694727DA" w14:textId="77777777" w:rsidR="00881780" w:rsidRPr="00404DA5" w:rsidRDefault="00881780" w:rsidP="006F4D8F">
            <w:pPr>
              <w:jc w:val="center"/>
              <w:rPr>
                <w:rFonts w:cs="Calibri"/>
                <w:sz w:val="18"/>
                <w:szCs w:val="18"/>
              </w:rPr>
            </w:pPr>
            <w:r w:rsidRPr="00404DA5">
              <w:rPr>
                <w:rFonts w:cs="Calibri"/>
                <w:sz w:val="18"/>
                <w:szCs w:val="18"/>
              </w:rPr>
              <w:t>60</w:t>
            </w:r>
          </w:p>
        </w:tc>
        <w:tc>
          <w:tcPr>
            <w:tcW w:w="0" w:type="auto"/>
            <w:shd w:val="clear" w:color="auto" w:fill="auto"/>
            <w:vAlign w:val="center"/>
          </w:tcPr>
          <w:p w14:paraId="69D0B56D" w14:textId="77777777" w:rsidR="00881780" w:rsidRPr="00404DA5" w:rsidRDefault="00881780" w:rsidP="006F4D8F">
            <w:pPr>
              <w:jc w:val="center"/>
              <w:rPr>
                <w:rFonts w:cs="Calibri"/>
                <w:sz w:val="18"/>
                <w:szCs w:val="18"/>
              </w:rPr>
            </w:pPr>
            <w:r w:rsidRPr="00404DA5">
              <w:rPr>
                <w:rFonts w:cs="Calibri"/>
                <w:sz w:val="18"/>
                <w:szCs w:val="18"/>
              </w:rPr>
              <w:t>0</w:t>
            </w:r>
            <w:r>
              <w:rPr>
                <w:rFonts w:cs="Calibri"/>
                <w:sz w:val="18"/>
                <w:szCs w:val="18"/>
              </w:rPr>
              <w:t>,0%</w:t>
            </w:r>
          </w:p>
        </w:tc>
        <w:tc>
          <w:tcPr>
            <w:tcW w:w="0" w:type="auto"/>
            <w:shd w:val="clear" w:color="auto" w:fill="auto"/>
            <w:vAlign w:val="center"/>
          </w:tcPr>
          <w:p w14:paraId="06CD11A2" w14:textId="77777777" w:rsidR="00881780" w:rsidRPr="00404DA5" w:rsidRDefault="00881780" w:rsidP="006F4D8F">
            <w:pPr>
              <w:jc w:val="center"/>
              <w:rPr>
                <w:rFonts w:cs="Calibri"/>
                <w:sz w:val="18"/>
                <w:szCs w:val="18"/>
              </w:rPr>
            </w:pPr>
            <w:r w:rsidRPr="00404DA5">
              <w:rPr>
                <w:rFonts w:cs="Calibri"/>
                <w:sz w:val="18"/>
                <w:szCs w:val="18"/>
              </w:rPr>
              <w:t>0</w:t>
            </w:r>
            <w:r>
              <w:rPr>
                <w:rFonts w:cs="Calibri"/>
                <w:sz w:val="18"/>
                <w:szCs w:val="18"/>
              </w:rPr>
              <w:t>,0</w:t>
            </w:r>
            <w:r w:rsidRPr="00404DA5">
              <w:rPr>
                <w:rFonts w:cs="Calibri"/>
                <w:sz w:val="18"/>
                <w:szCs w:val="18"/>
              </w:rPr>
              <w:t>%</w:t>
            </w:r>
          </w:p>
        </w:tc>
        <w:tc>
          <w:tcPr>
            <w:tcW w:w="0" w:type="auto"/>
            <w:shd w:val="clear" w:color="auto" w:fill="auto"/>
            <w:vAlign w:val="center"/>
          </w:tcPr>
          <w:p w14:paraId="042A3112" w14:textId="77777777" w:rsidR="00881780" w:rsidRPr="00404DA5" w:rsidRDefault="00881780" w:rsidP="006F4D8F">
            <w:pPr>
              <w:jc w:val="center"/>
              <w:rPr>
                <w:rFonts w:cs="Calibri"/>
                <w:sz w:val="18"/>
                <w:szCs w:val="18"/>
              </w:rPr>
            </w:pPr>
            <w:r>
              <w:rPr>
                <w:rFonts w:cs="Calibri"/>
                <w:sz w:val="18"/>
                <w:szCs w:val="18"/>
              </w:rPr>
              <w:t>1,9%</w:t>
            </w:r>
            <w:r>
              <w:rPr>
                <w:rFonts w:cs="Calibri"/>
                <w:sz w:val="18"/>
                <w:szCs w:val="18"/>
              </w:rPr>
              <w:br/>
              <w:t>(</w:t>
            </w:r>
            <w:r w:rsidRPr="00404DA5">
              <w:rPr>
                <w:rFonts w:cs="Calibri"/>
                <w:sz w:val="18"/>
                <w:szCs w:val="18"/>
              </w:rPr>
              <w:t>35</w:t>
            </w:r>
            <w:r>
              <w:rPr>
                <w:rFonts w:cs="Calibri"/>
                <w:sz w:val="18"/>
                <w:szCs w:val="18"/>
              </w:rPr>
              <w:t>)</w:t>
            </w:r>
          </w:p>
        </w:tc>
        <w:tc>
          <w:tcPr>
            <w:tcW w:w="0" w:type="auto"/>
            <w:shd w:val="clear" w:color="auto" w:fill="auto"/>
            <w:vAlign w:val="center"/>
          </w:tcPr>
          <w:p w14:paraId="61A94260" w14:textId="77777777" w:rsidR="00881780" w:rsidRPr="00404DA5" w:rsidRDefault="00881780" w:rsidP="006F4D8F">
            <w:pPr>
              <w:jc w:val="center"/>
              <w:rPr>
                <w:rFonts w:cs="Calibri"/>
                <w:sz w:val="18"/>
                <w:szCs w:val="18"/>
              </w:rPr>
            </w:pPr>
            <w:r w:rsidRPr="00404DA5">
              <w:rPr>
                <w:rFonts w:cs="Calibri"/>
                <w:sz w:val="18"/>
                <w:szCs w:val="18"/>
              </w:rPr>
              <w:t>3%</w:t>
            </w:r>
          </w:p>
        </w:tc>
      </w:tr>
    </w:tbl>
    <w:p w14:paraId="60B65A99" w14:textId="77777777" w:rsidR="00881780" w:rsidRPr="00EE66C6" w:rsidRDefault="00881780"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4EBE943F" w14:textId="77777777" w:rsidR="00881780" w:rsidRPr="00404DA5" w:rsidRDefault="00881780" w:rsidP="00881780">
      <w:pPr>
        <w:rPr>
          <w:rFonts w:cs="Calibri"/>
          <w:szCs w:val="20"/>
        </w:rPr>
      </w:pPr>
      <w:r w:rsidRPr="00404DA5">
        <w:rPr>
          <w:rFonts w:cs="Calibri"/>
          <w:szCs w:val="20"/>
        </w:rPr>
        <w:t>Na wsparcie realizowane</w:t>
      </w:r>
      <w:r w:rsidR="00E66B89">
        <w:rPr>
          <w:rFonts w:cs="Calibri"/>
          <w:szCs w:val="20"/>
        </w:rPr>
        <w:t xml:space="preserve"> w </w:t>
      </w:r>
      <w:r w:rsidRPr="00404DA5">
        <w:rPr>
          <w:rFonts w:cs="Calibri"/>
          <w:szCs w:val="20"/>
        </w:rPr>
        <w:t>ramach PI 8vi przewidziano 7 000 000,00 EUR (alokacja UE ogółem</w:t>
      </w:r>
      <w:r w:rsidR="00E66B89">
        <w:rPr>
          <w:rFonts w:cs="Calibri"/>
          <w:szCs w:val="20"/>
        </w:rPr>
        <w:t xml:space="preserve"> z </w:t>
      </w:r>
      <w:r w:rsidRPr="00404DA5">
        <w:rPr>
          <w:rFonts w:cs="Calibri"/>
          <w:szCs w:val="20"/>
        </w:rPr>
        <w:t>Rezerwą Wykonania/RW), tj. 30 119 600,00zł</w:t>
      </w:r>
      <w:r>
        <w:rPr>
          <w:rStyle w:val="Odwoanieprzypisudolnego"/>
          <w:szCs w:val="20"/>
        </w:rPr>
        <w:footnoteReference w:id="94"/>
      </w:r>
      <w:r w:rsidRPr="00404DA5">
        <w:rPr>
          <w:rFonts w:cs="Calibri"/>
          <w:szCs w:val="20"/>
        </w:rPr>
        <w:t>; 6 511 006,00 EUR (alokacja główna UE bez RW), tj. 28 015 556,62 zł</w:t>
      </w:r>
      <w:r>
        <w:rPr>
          <w:rStyle w:val="Odwoanieprzypisudolnego"/>
          <w:szCs w:val="20"/>
        </w:rPr>
        <w:footnoteReference w:id="95"/>
      </w:r>
      <w:r w:rsidRPr="00404DA5">
        <w:rPr>
          <w:rFonts w:cs="Calibri"/>
          <w:szCs w:val="20"/>
        </w:rPr>
        <w:t>.</w:t>
      </w:r>
    </w:p>
    <w:p w14:paraId="004A079D" w14:textId="77777777" w:rsidR="00881780" w:rsidRPr="00404DA5" w:rsidRDefault="00881780" w:rsidP="00881780">
      <w:pPr>
        <w:rPr>
          <w:rFonts w:cs="Calibri"/>
          <w:szCs w:val="20"/>
        </w:rPr>
      </w:pPr>
      <w:r w:rsidRPr="00404DA5">
        <w:rPr>
          <w:rFonts w:cs="Calibri"/>
          <w:szCs w:val="20"/>
        </w:rPr>
        <w:t xml:space="preserve">Począwszy </w:t>
      </w:r>
      <w:r>
        <w:rPr>
          <w:rFonts w:cs="Calibri"/>
          <w:szCs w:val="20"/>
        </w:rPr>
        <w:t>od</w:t>
      </w:r>
      <w:r w:rsidRPr="00404DA5">
        <w:rPr>
          <w:rFonts w:cs="Calibri"/>
          <w:szCs w:val="20"/>
        </w:rPr>
        <w:t xml:space="preserve"> października 2017 r. do grudnia 2018 r.</w:t>
      </w:r>
      <w:r>
        <w:rPr>
          <w:rFonts w:cs="Calibri"/>
          <w:szCs w:val="20"/>
        </w:rPr>
        <w:t>,</w:t>
      </w:r>
      <w:r w:rsidR="00E66B89">
        <w:rPr>
          <w:rFonts w:cs="Calibri"/>
          <w:szCs w:val="20"/>
        </w:rPr>
        <w:t xml:space="preserve"> w </w:t>
      </w:r>
      <w:r w:rsidRPr="00404DA5">
        <w:rPr>
          <w:rFonts w:cs="Calibri"/>
          <w:szCs w:val="20"/>
        </w:rPr>
        <w:t>ramach PI 8vi przeprowadzono dwa nabory wniosków</w:t>
      </w:r>
      <w:r w:rsidR="00E66B89">
        <w:rPr>
          <w:rFonts w:cs="Calibri"/>
          <w:szCs w:val="20"/>
        </w:rPr>
        <w:t xml:space="preserve"> o </w:t>
      </w:r>
      <w:r w:rsidRPr="00404DA5">
        <w:rPr>
          <w:rFonts w:cs="Calibri"/>
          <w:szCs w:val="20"/>
        </w:rPr>
        <w:t>dofinansowanie projektów, przy czym na moment przygotowania niniejszego raportu</w:t>
      </w:r>
      <w:r w:rsidR="00E66B89">
        <w:rPr>
          <w:rFonts w:cs="Calibri"/>
          <w:szCs w:val="20"/>
        </w:rPr>
        <w:t xml:space="preserve"> w </w:t>
      </w:r>
      <w:r w:rsidRPr="00404DA5">
        <w:rPr>
          <w:rFonts w:cs="Calibri"/>
          <w:szCs w:val="20"/>
        </w:rPr>
        <w:t>ocenie znajdują się wnioski złożone</w:t>
      </w:r>
      <w:r w:rsidR="00E66B89">
        <w:rPr>
          <w:rFonts w:cs="Calibri"/>
          <w:szCs w:val="20"/>
        </w:rPr>
        <w:t xml:space="preserve"> w </w:t>
      </w:r>
      <w:r w:rsidRPr="00404DA5">
        <w:rPr>
          <w:rFonts w:cs="Calibri"/>
          <w:szCs w:val="20"/>
        </w:rPr>
        <w:t>drugim naborze.</w:t>
      </w:r>
      <w:r w:rsidR="00E66B89">
        <w:rPr>
          <w:rFonts w:cs="Calibri"/>
          <w:szCs w:val="20"/>
        </w:rPr>
        <w:t xml:space="preserve"> W </w:t>
      </w:r>
      <w:r w:rsidRPr="00404DA5">
        <w:rPr>
          <w:rFonts w:cs="Calibri"/>
          <w:szCs w:val="20"/>
        </w:rPr>
        <w:t>Działaniu zawarto 8 umów</w:t>
      </w:r>
      <w:r w:rsidR="00E66B89">
        <w:rPr>
          <w:rFonts w:cs="Calibri"/>
          <w:szCs w:val="20"/>
        </w:rPr>
        <w:t xml:space="preserve"> o </w:t>
      </w:r>
      <w:r w:rsidRPr="00404DA5">
        <w:rPr>
          <w:rFonts w:cs="Calibri"/>
          <w:szCs w:val="20"/>
        </w:rPr>
        <w:t>dofinansowanie projektów (wynik pierwszego naboru wniosków). Wartość projektów ogółem to 18 695 795,11 zł, wkład EU wynosi 14 587 971,08 zł, co stanowi 48,4% alokacji UE ogółem (z RW) na PI 8vi Działanie 6.8., oraz 52,1% alokacji głównej (bez RW).</w:t>
      </w:r>
    </w:p>
    <w:p w14:paraId="3312B387" w14:textId="77777777" w:rsidR="00881780" w:rsidRPr="00404DA5" w:rsidRDefault="00881780" w:rsidP="00881780">
      <w:pPr>
        <w:rPr>
          <w:rFonts w:cs="Calibri"/>
          <w:szCs w:val="20"/>
        </w:rPr>
      </w:pPr>
      <w:r w:rsidRPr="00404DA5">
        <w:rPr>
          <w:rFonts w:cs="Calibri"/>
          <w:szCs w:val="20"/>
        </w:rPr>
        <w:t>Alokacja UE ogółem (z RW) pozostała / dostępna</w:t>
      </w:r>
      <w:r w:rsidR="00E66B89">
        <w:rPr>
          <w:rFonts w:cs="Calibri"/>
          <w:szCs w:val="20"/>
        </w:rPr>
        <w:t xml:space="preserve"> w </w:t>
      </w:r>
      <w:r w:rsidRPr="00404DA5">
        <w:rPr>
          <w:rFonts w:cs="Calibri"/>
          <w:szCs w:val="20"/>
        </w:rPr>
        <w:t>PI 8vi wynosi 15 531 628,92 zł. Pozostała / dostępna alokacja główna UE (bez RW) wynosi 13 427 585,54 zł.</w:t>
      </w:r>
    </w:p>
    <w:p w14:paraId="6F7E234C" w14:textId="77777777" w:rsidR="00881780" w:rsidRPr="00EF4719" w:rsidRDefault="00881780" w:rsidP="00881780">
      <w:pPr>
        <w:rPr>
          <w:rFonts w:cs="Calibri"/>
          <w:szCs w:val="20"/>
        </w:rPr>
      </w:pPr>
      <w:r w:rsidRPr="00EA7C17">
        <w:rPr>
          <w:rFonts w:cs="Calibri"/>
          <w:szCs w:val="20"/>
        </w:rPr>
        <w:lastRenderedPageBreak/>
        <w:t>Poziom realizacji wartości docelowych wskaźników (na rok 2023)</w:t>
      </w:r>
      <w:r w:rsidR="00E66B89">
        <w:rPr>
          <w:rFonts w:cs="Calibri"/>
          <w:szCs w:val="20"/>
        </w:rPr>
        <w:t xml:space="preserve"> w </w:t>
      </w:r>
      <w:r w:rsidRPr="00EA7C17">
        <w:rPr>
          <w:rFonts w:cs="Calibri"/>
          <w:szCs w:val="20"/>
        </w:rPr>
        <w:t>ramach Pi 8v</w:t>
      </w:r>
      <w:r>
        <w:rPr>
          <w:rFonts w:cs="Calibri"/>
          <w:szCs w:val="20"/>
        </w:rPr>
        <w:t>i</w:t>
      </w:r>
      <w:r w:rsidRPr="00EA7C17">
        <w:rPr>
          <w:rFonts w:cs="Calibri"/>
          <w:szCs w:val="20"/>
        </w:rPr>
        <w:t xml:space="preserve"> widoczny</w:t>
      </w:r>
      <w:r w:rsidR="00E66B89">
        <w:rPr>
          <w:rFonts w:cs="Calibri"/>
          <w:szCs w:val="20"/>
        </w:rPr>
        <w:t xml:space="preserve"> w </w:t>
      </w:r>
      <w:r w:rsidRPr="00EA7C17">
        <w:rPr>
          <w:rFonts w:cs="Calibri"/>
          <w:szCs w:val="20"/>
        </w:rPr>
        <w:t>umowach</w:t>
      </w:r>
      <w:r w:rsidR="00E66B89">
        <w:rPr>
          <w:rFonts w:cs="Calibri"/>
          <w:szCs w:val="20"/>
        </w:rPr>
        <w:t xml:space="preserve"> o </w:t>
      </w:r>
      <w:r w:rsidRPr="00EA7C17">
        <w:rPr>
          <w:rFonts w:cs="Calibri"/>
          <w:szCs w:val="20"/>
        </w:rPr>
        <w:t>dofinansowanie (wg. UoD) należy uznać za zadawalający</w:t>
      </w:r>
      <w:r>
        <w:rPr>
          <w:rFonts w:cs="Calibri"/>
          <w:szCs w:val="20"/>
        </w:rPr>
        <w:t>.</w:t>
      </w:r>
    </w:p>
    <w:p w14:paraId="551D205B" w14:textId="77777777" w:rsidR="00881780" w:rsidRPr="00404DA5" w:rsidRDefault="00881780" w:rsidP="00881780">
      <w:pPr>
        <w:keepNext/>
        <w:keepLines/>
        <w:spacing w:before="200"/>
        <w:outlineLvl w:val="3"/>
        <w:rPr>
          <w:rFonts w:eastAsia="Calibri"/>
          <w:b/>
          <w:bCs/>
          <w:i/>
          <w:iCs/>
          <w:color w:val="4F81BD"/>
        </w:rPr>
      </w:pPr>
      <w:r w:rsidRPr="00404DA5">
        <w:rPr>
          <w:rFonts w:eastAsia="Calibri"/>
          <w:b/>
          <w:bCs/>
          <w:i/>
          <w:iCs/>
          <w:color w:val="4F81BD"/>
        </w:rPr>
        <w:t xml:space="preserve">Ocena potencjału absorpcyjnego </w:t>
      </w:r>
    </w:p>
    <w:p w14:paraId="596F25BD" w14:textId="77777777" w:rsidR="00881780" w:rsidRDefault="00881780" w:rsidP="00881780">
      <w:pPr>
        <w:rPr>
          <w:rFonts w:cs="Calibri"/>
          <w:szCs w:val="20"/>
        </w:rPr>
      </w:pPr>
      <w:r w:rsidRPr="00F770C5">
        <w:rPr>
          <w:rFonts w:cs="Calibri"/>
          <w:szCs w:val="20"/>
        </w:rPr>
        <w:t>Pomimo nie tracących na aktualności potrzeb związanych</w:t>
      </w:r>
      <w:r w:rsidR="00E66B89">
        <w:rPr>
          <w:rFonts w:cs="Calibri"/>
          <w:szCs w:val="20"/>
        </w:rPr>
        <w:t xml:space="preserve"> z </w:t>
      </w:r>
      <w:r w:rsidRPr="00F770C5">
        <w:rPr>
          <w:rFonts w:cs="Calibri"/>
          <w:szCs w:val="20"/>
        </w:rPr>
        <w:t>wdrożeniem interwencji nakierowanej na utrzymanie</w:t>
      </w:r>
      <w:r w:rsidR="00E66B89">
        <w:rPr>
          <w:rFonts w:cs="Calibri"/>
          <w:szCs w:val="20"/>
        </w:rPr>
        <w:t xml:space="preserve"> i </w:t>
      </w:r>
      <w:r w:rsidRPr="00F770C5">
        <w:rPr>
          <w:rFonts w:cs="Calibri"/>
          <w:szCs w:val="20"/>
        </w:rPr>
        <w:t xml:space="preserve">przedłużenie aktywności zawodowej mieszkańców województwa </w:t>
      </w:r>
      <w:r>
        <w:rPr>
          <w:rFonts w:cs="Calibri"/>
          <w:szCs w:val="20"/>
        </w:rPr>
        <w:t>postęp (wg WoP)</w:t>
      </w:r>
      <w:r w:rsidR="00E66B89">
        <w:rPr>
          <w:rFonts w:cs="Calibri"/>
          <w:szCs w:val="20"/>
        </w:rPr>
        <w:t xml:space="preserve"> w </w:t>
      </w:r>
      <w:r>
        <w:rPr>
          <w:rFonts w:cs="Calibri"/>
          <w:szCs w:val="20"/>
        </w:rPr>
        <w:t>osiąganiu wartości końcowych wskaźników jest niezadawalający</w:t>
      </w:r>
      <w:r w:rsidRPr="00F770C5">
        <w:rPr>
          <w:rFonts w:cs="Calibri"/>
          <w:szCs w:val="20"/>
        </w:rPr>
        <w:t>. Źródeł niskiej zgłaszalności na badania profilaktyczne</w:t>
      </w:r>
      <w:r w:rsidR="00E66B89">
        <w:rPr>
          <w:rFonts w:cs="Calibri"/>
          <w:szCs w:val="20"/>
        </w:rPr>
        <w:t xml:space="preserve"> a </w:t>
      </w:r>
      <w:r w:rsidRPr="00F770C5">
        <w:rPr>
          <w:rFonts w:cs="Calibri"/>
          <w:szCs w:val="20"/>
        </w:rPr>
        <w:t>zatem ryzyk</w:t>
      </w:r>
      <w:r w:rsidR="00E66B89">
        <w:rPr>
          <w:rFonts w:cs="Calibri"/>
          <w:szCs w:val="20"/>
        </w:rPr>
        <w:t xml:space="preserve"> w </w:t>
      </w:r>
      <w:r w:rsidRPr="00F770C5">
        <w:rPr>
          <w:rFonts w:cs="Calibri"/>
          <w:szCs w:val="20"/>
        </w:rPr>
        <w:t>osiąganiu celów końcowych Programu upatruje się</w:t>
      </w:r>
      <w:r w:rsidR="00E66B89">
        <w:rPr>
          <w:rFonts w:cs="Calibri"/>
          <w:szCs w:val="20"/>
        </w:rPr>
        <w:t xml:space="preserve"> w </w:t>
      </w:r>
      <w:r w:rsidRPr="00F770C5">
        <w:rPr>
          <w:rFonts w:cs="Calibri"/>
          <w:szCs w:val="20"/>
        </w:rPr>
        <w:t xml:space="preserve">niezmiennie niskiej </w:t>
      </w:r>
      <w:r w:rsidR="0013771A" w:rsidRPr="00F770C5">
        <w:rPr>
          <w:rFonts w:cs="Calibri"/>
          <w:szCs w:val="20"/>
        </w:rPr>
        <w:t>świadomoś</w:t>
      </w:r>
      <w:r w:rsidR="0013771A">
        <w:rPr>
          <w:rFonts w:cs="Calibri"/>
          <w:szCs w:val="20"/>
        </w:rPr>
        <w:t>ci</w:t>
      </w:r>
      <w:r w:rsidR="0013771A" w:rsidRPr="00F770C5">
        <w:rPr>
          <w:rFonts w:cs="Calibri"/>
          <w:szCs w:val="20"/>
        </w:rPr>
        <w:t xml:space="preserve"> </w:t>
      </w:r>
      <w:r w:rsidRPr="00F770C5">
        <w:rPr>
          <w:rFonts w:cs="Calibri"/>
          <w:szCs w:val="20"/>
        </w:rPr>
        <w:t>zdrowotnej społeczeństwa</w:t>
      </w:r>
      <w:r>
        <w:rPr>
          <w:rFonts w:cs="Calibri"/>
          <w:szCs w:val="20"/>
        </w:rPr>
        <w:t>, tym samy</w:t>
      </w:r>
      <w:r w:rsidR="0013771A">
        <w:rPr>
          <w:rFonts w:cs="Calibri"/>
          <w:szCs w:val="20"/>
        </w:rPr>
        <w:t>m</w:t>
      </w:r>
      <w:r>
        <w:rPr>
          <w:rFonts w:cs="Calibri"/>
          <w:szCs w:val="20"/>
        </w:rPr>
        <w:t xml:space="preserve"> </w:t>
      </w:r>
      <w:r w:rsidRPr="009410DF">
        <w:rPr>
          <w:rFonts w:cs="Calibri"/>
          <w:szCs w:val="20"/>
        </w:rPr>
        <w:t>wykrywalnoś</w:t>
      </w:r>
      <w:r>
        <w:rPr>
          <w:rFonts w:cs="Calibri"/>
          <w:szCs w:val="20"/>
        </w:rPr>
        <w:t xml:space="preserve">ci </w:t>
      </w:r>
      <w:r w:rsidRPr="009410DF">
        <w:rPr>
          <w:rFonts w:cs="Calibri"/>
          <w:szCs w:val="20"/>
        </w:rPr>
        <w:t>chorób</w:t>
      </w:r>
      <w:r w:rsidR="00E66B89">
        <w:rPr>
          <w:rFonts w:cs="Calibri"/>
          <w:szCs w:val="20"/>
        </w:rPr>
        <w:t xml:space="preserve"> w </w:t>
      </w:r>
      <w:r w:rsidRPr="009410DF">
        <w:rPr>
          <w:rFonts w:cs="Calibri"/>
          <w:szCs w:val="20"/>
        </w:rPr>
        <w:t>zaawansowanych stadiach rozwojowych, co znacznie zmniejsza szanse na całkowite wyleczenie</w:t>
      </w:r>
      <w:r>
        <w:rPr>
          <w:rStyle w:val="Odwoanieprzypisudolnego"/>
          <w:rFonts w:cs="Calibri"/>
          <w:szCs w:val="20"/>
        </w:rPr>
        <w:footnoteReference w:id="96"/>
      </w:r>
      <w:r w:rsidR="00C22C26">
        <w:rPr>
          <w:rFonts w:cs="Calibri"/>
          <w:szCs w:val="20"/>
        </w:rPr>
        <w:t xml:space="preserve"> </w:t>
      </w:r>
      <w:r>
        <w:rPr>
          <w:rFonts w:cs="Calibri"/>
          <w:szCs w:val="20"/>
        </w:rPr>
        <w:t>(uważa się, że g</w:t>
      </w:r>
      <w:r w:rsidRPr="00D65DCC">
        <w:rPr>
          <w:rFonts w:cs="Calibri"/>
          <w:szCs w:val="20"/>
        </w:rPr>
        <w:t>łównym wyznacznikiem skuteczności funkcjonowania systemu ochrony zdrowia jest oczywiście jego zdolność do poprawy stanu zdrowia populacji</w:t>
      </w:r>
      <w:r>
        <w:rPr>
          <w:rFonts w:cs="Calibri"/>
          <w:szCs w:val="20"/>
        </w:rPr>
        <w:t>;</w:t>
      </w:r>
      <w:r w:rsidRPr="00D65DCC">
        <w:rPr>
          <w:rFonts w:cs="Calibri"/>
          <w:szCs w:val="20"/>
        </w:rPr>
        <w:t xml:space="preserve"> </w:t>
      </w:r>
      <w:r>
        <w:rPr>
          <w:rFonts w:cs="Calibri"/>
          <w:szCs w:val="20"/>
        </w:rPr>
        <w:t>s</w:t>
      </w:r>
      <w:r w:rsidRPr="00D65DCC">
        <w:rPr>
          <w:rFonts w:cs="Calibri"/>
          <w:szCs w:val="20"/>
        </w:rPr>
        <w:t>tan ten warunkuje jednak szereg czynników</w:t>
      </w:r>
      <w:r>
        <w:rPr>
          <w:rFonts w:cs="Calibri"/>
          <w:szCs w:val="20"/>
        </w:rPr>
        <w:t xml:space="preserve">; </w:t>
      </w:r>
      <w:r w:rsidRPr="00D65DCC">
        <w:rPr>
          <w:rFonts w:cs="Calibri"/>
          <w:szCs w:val="20"/>
        </w:rPr>
        <w:t>opieka zdrowotna determinuje ten stan</w:t>
      </w:r>
      <w:r w:rsidR="00E66B89">
        <w:rPr>
          <w:rFonts w:cs="Calibri"/>
          <w:szCs w:val="20"/>
        </w:rPr>
        <w:t xml:space="preserve"> w </w:t>
      </w:r>
      <w:r w:rsidRPr="00D65DCC">
        <w:rPr>
          <w:rFonts w:cs="Calibri"/>
          <w:szCs w:val="20"/>
        </w:rPr>
        <w:t>dużo mniejszym stopniu niż czynniki świadomościowe składające się na styl życia.</w:t>
      </w:r>
      <w:r>
        <w:rPr>
          <w:rStyle w:val="Odwoanieprzypisudolnego"/>
          <w:rFonts w:cs="Calibri"/>
          <w:szCs w:val="20"/>
        </w:rPr>
        <w:footnoteReference w:id="97"/>
      </w:r>
      <w:r>
        <w:rPr>
          <w:rFonts w:cs="Calibri"/>
          <w:szCs w:val="20"/>
        </w:rPr>
        <w:t>)</w:t>
      </w:r>
    </w:p>
    <w:p w14:paraId="1807A5F8" w14:textId="77777777" w:rsidR="00881780" w:rsidRDefault="00881780" w:rsidP="00881780">
      <w:pPr>
        <w:rPr>
          <w:rFonts w:cs="Calibri"/>
          <w:szCs w:val="20"/>
        </w:rPr>
      </w:pPr>
      <w:r>
        <w:rPr>
          <w:rFonts w:cs="Calibri"/>
          <w:szCs w:val="20"/>
        </w:rPr>
        <w:t>Rozpoznawaną barierą</w:t>
      </w:r>
      <w:r w:rsidR="00E66B89">
        <w:rPr>
          <w:rFonts w:cs="Calibri"/>
          <w:szCs w:val="20"/>
        </w:rPr>
        <w:t xml:space="preserve"> w </w:t>
      </w:r>
      <w:r>
        <w:rPr>
          <w:rFonts w:cs="Calibri"/>
          <w:szCs w:val="20"/>
        </w:rPr>
        <w:t>osiąganiu celów interwencji mogło być również</w:t>
      </w:r>
      <w:r w:rsidRPr="00DA0539">
        <w:rPr>
          <w:rFonts w:cs="Calibri"/>
          <w:szCs w:val="20"/>
        </w:rPr>
        <w:t xml:space="preserve"> wdrażanie programów zdrowotnych</w:t>
      </w:r>
      <w:r w:rsidR="00E66B89">
        <w:rPr>
          <w:rFonts w:cs="Calibri"/>
          <w:szCs w:val="20"/>
        </w:rPr>
        <w:t xml:space="preserve"> o </w:t>
      </w:r>
      <w:r>
        <w:rPr>
          <w:rFonts w:cs="Calibri"/>
          <w:szCs w:val="20"/>
        </w:rPr>
        <w:t xml:space="preserve">tożsamym charakterze </w:t>
      </w:r>
      <w:r w:rsidRPr="00DA0539">
        <w:rPr>
          <w:rFonts w:cs="Calibri"/>
          <w:szCs w:val="20"/>
        </w:rPr>
        <w:t>na poz</w:t>
      </w:r>
      <w:r>
        <w:rPr>
          <w:rFonts w:cs="Calibri"/>
          <w:szCs w:val="20"/>
        </w:rPr>
        <w:t>i</w:t>
      </w:r>
      <w:r w:rsidRPr="00DA0539">
        <w:rPr>
          <w:rFonts w:cs="Calibri"/>
          <w:szCs w:val="20"/>
        </w:rPr>
        <w:t>omie kraju</w:t>
      </w:r>
      <w:r>
        <w:rPr>
          <w:rFonts w:cs="Calibri"/>
          <w:szCs w:val="20"/>
        </w:rPr>
        <w:t>.</w:t>
      </w:r>
      <w:r w:rsidR="00E66B89">
        <w:rPr>
          <w:rFonts w:cs="Calibri"/>
          <w:szCs w:val="20"/>
        </w:rPr>
        <w:t xml:space="preserve"> W </w:t>
      </w:r>
      <w:r>
        <w:rPr>
          <w:rFonts w:cs="Calibri"/>
          <w:szCs w:val="20"/>
        </w:rPr>
        <w:t>okresie wdrażania RPO WZ 2014-2020 realizowane są programy</w:t>
      </w:r>
      <w:r w:rsidRPr="000C7383">
        <w:rPr>
          <w:rFonts w:cs="Calibri"/>
          <w:szCs w:val="20"/>
        </w:rPr>
        <w:t xml:space="preserve"> polityki zdrowotnej opracowan</w:t>
      </w:r>
      <w:r>
        <w:rPr>
          <w:rFonts w:cs="Calibri"/>
          <w:szCs w:val="20"/>
        </w:rPr>
        <w:t>e</w:t>
      </w:r>
      <w:r w:rsidR="00E66B89">
        <w:rPr>
          <w:rFonts w:cs="Calibri"/>
          <w:szCs w:val="20"/>
        </w:rPr>
        <w:t xml:space="preserve"> w </w:t>
      </w:r>
      <w:r w:rsidRPr="000C7383">
        <w:rPr>
          <w:rFonts w:cs="Calibri"/>
          <w:szCs w:val="20"/>
        </w:rPr>
        <w:t>Ministerstwie Zdrowia</w:t>
      </w:r>
      <w:r w:rsidR="00E66B89">
        <w:rPr>
          <w:rFonts w:cs="Calibri"/>
          <w:szCs w:val="20"/>
        </w:rPr>
        <w:t xml:space="preserve"> w </w:t>
      </w:r>
      <w:r w:rsidRPr="000C7383">
        <w:rPr>
          <w:rFonts w:cs="Calibri"/>
          <w:szCs w:val="20"/>
        </w:rPr>
        <w:t>ramach</w:t>
      </w:r>
      <w:r>
        <w:rPr>
          <w:rFonts w:cs="Calibri"/>
          <w:szCs w:val="20"/>
        </w:rPr>
        <w:t xml:space="preserve"> </w:t>
      </w:r>
      <w:r w:rsidRPr="000C7383">
        <w:rPr>
          <w:rFonts w:cs="Calibri"/>
          <w:szCs w:val="20"/>
        </w:rPr>
        <w:t>Narodowego programu zwalczania chorób nowotworowych</w:t>
      </w:r>
      <w:r>
        <w:rPr>
          <w:rFonts w:cs="Calibri"/>
          <w:szCs w:val="20"/>
        </w:rPr>
        <w:t>. Programy</w:t>
      </w:r>
      <w:r w:rsidRPr="000C7383">
        <w:rPr>
          <w:rFonts w:cs="Calibri"/>
          <w:szCs w:val="20"/>
        </w:rPr>
        <w:t xml:space="preserve"> koordyn</w:t>
      </w:r>
      <w:r>
        <w:rPr>
          <w:rFonts w:cs="Calibri"/>
          <w:szCs w:val="20"/>
        </w:rPr>
        <w:t xml:space="preserve">uje </w:t>
      </w:r>
      <w:r w:rsidRPr="000C7383">
        <w:rPr>
          <w:rFonts w:cs="Calibri"/>
          <w:szCs w:val="20"/>
        </w:rPr>
        <w:t>COK</w:t>
      </w:r>
      <w:r>
        <w:rPr>
          <w:rFonts w:cs="Calibri"/>
          <w:szCs w:val="20"/>
        </w:rPr>
        <w:t xml:space="preserve"> (</w:t>
      </w:r>
      <w:r w:rsidRPr="00196EE4">
        <w:rPr>
          <w:rFonts w:cs="Calibri"/>
          <w:szCs w:val="20"/>
        </w:rPr>
        <w:t>Centralny Ośrodek Koordynujący</w:t>
      </w:r>
      <w:r>
        <w:rPr>
          <w:rFonts w:cs="Calibri"/>
          <w:szCs w:val="20"/>
        </w:rPr>
        <w:t xml:space="preserve"> p</w:t>
      </w:r>
      <w:r w:rsidRPr="00196EE4">
        <w:rPr>
          <w:rFonts w:cs="Calibri"/>
          <w:szCs w:val="20"/>
        </w:rPr>
        <w:t>opulacyjne programy</w:t>
      </w:r>
      <w:r>
        <w:rPr>
          <w:rFonts w:cs="Calibri"/>
          <w:szCs w:val="20"/>
        </w:rPr>
        <w:t xml:space="preserve"> </w:t>
      </w:r>
      <w:r w:rsidRPr="00196EE4">
        <w:rPr>
          <w:rFonts w:cs="Calibri"/>
          <w:szCs w:val="20"/>
        </w:rPr>
        <w:t>wczesnego wykrywania raka piersi oraz profilaktyki</w:t>
      </w:r>
      <w:r w:rsidR="00E66B89">
        <w:rPr>
          <w:rFonts w:cs="Calibri"/>
          <w:szCs w:val="20"/>
        </w:rPr>
        <w:t xml:space="preserve"> i </w:t>
      </w:r>
      <w:r w:rsidRPr="00196EE4">
        <w:rPr>
          <w:rFonts w:cs="Calibri"/>
          <w:szCs w:val="20"/>
        </w:rPr>
        <w:t>wczesnego wykrywania</w:t>
      </w:r>
      <w:r>
        <w:rPr>
          <w:rFonts w:cs="Calibri"/>
          <w:szCs w:val="20"/>
        </w:rPr>
        <w:t xml:space="preserve"> </w:t>
      </w:r>
      <w:r w:rsidRPr="00196EE4">
        <w:rPr>
          <w:rFonts w:cs="Calibri"/>
          <w:szCs w:val="20"/>
        </w:rPr>
        <w:t xml:space="preserve">raka szyjki macicy, </w:t>
      </w:r>
      <w:r>
        <w:rPr>
          <w:rFonts w:cs="Calibri"/>
          <w:szCs w:val="20"/>
        </w:rPr>
        <w:t>jak również p</w:t>
      </w:r>
      <w:r w:rsidRPr="00196EE4">
        <w:rPr>
          <w:rFonts w:cs="Calibri"/>
          <w:szCs w:val="20"/>
        </w:rPr>
        <w:t>rogram badań</w:t>
      </w:r>
      <w:r>
        <w:rPr>
          <w:rFonts w:cs="Calibri"/>
          <w:szCs w:val="20"/>
        </w:rPr>
        <w:t xml:space="preserve"> </w:t>
      </w:r>
      <w:r w:rsidRPr="00196EE4">
        <w:rPr>
          <w:rFonts w:cs="Calibri"/>
          <w:szCs w:val="20"/>
        </w:rPr>
        <w:t>przesiewowych</w:t>
      </w:r>
      <w:r w:rsidR="00E66B89">
        <w:rPr>
          <w:rFonts w:cs="Calibri"/>
          <w:szCs w:val="20"/>
        </w:rPr>
        <w:t xml:space="preserve"> w </w:t>
      </w:r>
      <w:r w:rsidRPr="00196EE4">
        <w:rPr>
          <w:rFonts w:cs="Calibri"/>
          <w:szCs w:val="20"/>
        </w:rPr>
        <w:t>kierunku</w:t>
      </w:r>
      <w:r>
        <w:rPr>
          <w:rFonts w:cs="Calibri"/>
          <w:szCs w:val="20"/>
        </w:rPr>
        <w:t xml:space="preserve"> </w:t>
      </w:r>
      <w:r w:rsidRPr="00196EE4">
        <w:rPr>
          <w:rFonts w:cs="Calibri"/>
          <w:szCs w:val="20"/>
        </w:rPr>
        <w:t>wczesnego</w:t>
      </w:r>
      <w:r>
        <w:rPr>
          <w:rFonts w:cs="Calibri"/>
          <w:szCs w:val="20"/>
        </w:rPr>
        <w:t xml:space="preserve"> </w:t>
      </w:r>
      <w:r w:rsidRPr="00196EE4">
        <w:rPr>
          <w:rFonts w:cs="Calibri"/>
          <w:szCs w:val="20"/>
        </w:rPr>
        <w:t>wykrywania raka</w:t>
      </w:r>
      <w:r>
        <w:rPr>
          <w:rFonts w:cs="Calibri"/>
          <w:szCs w:val="20"/>
        </w:rPr>
        <w:t xml:space="preserve"> </w:t>
      </w:r>
      <w:r w:rsidRPr="00196EE4">
        <w:rPr>
          <w:rFonts w:cs="Calibri"/>
          <w:szCs w:val="20"/>
        </w:rPr>
        <w:t>jelita grubego</w:t>
      </w:r>
      <w:r>
        <w:rPr>
          <w:rFonts w:cs="Calibri"/>
          <w:szCs w:val="20"/>
        </w:rPr>
        <w:t xml:space="preserve"> </w:t>
      </w:r>
      <w:r>
        <w:rPr>
          <w:rFonts w:cs="Calibri"/>
          <w:szCs w:val="20"/>
        </w:rPr>
        <w:noBreakHyphen/>
        <w:t xml:space="preserve"> </w:t>
      </w:r>
      <w:r w:rsidRPr="00196EE4">
        <w:rPr>
          <w:rFonts w:cs="Calibri"/>
          <w:szCs w:val="20"/>
        </w:rPr>
        <w:t>działający</w:t>
      </w:r>
      <w:r w:rsidR="00E66B89">
        <w:rPr>
          <w:rFonts w:cs="Calibri"/>
          <w:szCs w:val="20"/>
        </w:rPr>
        <w:t xml:space="preserve"> w </w:t>
      </w:r>
      <w:r w:rsidRPr="00196EE4">
        <w:rPr>
          <w:rFonts w:cs="Calibri"/>
          <w:szCs w:val="20"/>
        </w:rPr>
        <w:t>strukturze Centrum Onkologii – Instytutu</w:t>
      </w:r>
      <w:r>
        <w:rPr>
          <w:rFonts w:cs="Calibri"/>
          <w:szCs w:val="20"/>
        </w:rPr>
        <w:t xml:space="preserve"> </w:t>
      </w:r>
      <w:r w:rsidRPr="00196EE4">
        <w:rPr>
          <w:rFonts w:cs="Calibri"/>
          <w:szCs w:val="20"/>
        </w:rPr>
        <w:t>im. Marii Curie-Skłodowskiej</w:t>
      </w:r>
      <w:r>
        <w:rPr>
          <w:rFonts w:cs="Calibri"/>
          <w:szCs w:val="20"/>
        </w:rPr>
        <w:t>/ COI</w:t>
      </w:r>
      <w:r w:rsidR="00E66B89">
        <w:rPr>
          <w:rFonts w:cs="Calibri"/>
          <w:szCs w:val="20"/>
        </w:rPr>
        <w:t xml:space="preserve"> w </w:t>
      </w:r>
      <w:r w:rsidRPr="00196EE4">
        <w:rPr>
          <w:rFonts w:cs="Calibri"/>
          <w:szCs w:val="20"/>
        </w:rPr>
        <w:t>Warszawie</w:t>
      </w:r>
      <w:r>
        <w:rPr>
          <w:rFonts w:cs="Calibri"/>
          <w:szCs w:val="20"/>
        </w:rPr>
        <w:t>)</w:t>
      </w:r>
      <w:r w:rsidRPr="000C7383">
        <w:rPr>
          <w:rFonts w:cs="Calibri"/>
          <w:szCs w:val="20"/>
        </w:rPr>
        <w:t xml:space="preserve"> </w:t>
      </w:r>
      <w:r>
        <w:rPr>
          <w:rFonts w:cs="Calibri"/>
          <w:szCs w:val="20"/>
        </w:rPr>
        <w:t>oraz</w:t>
      </w:r>
      <w:r w:rsidRPr="000C7383">
        <w:rPr>
          <w:rFonts w:cs="Calibri"/>
          <w:szCs w:val="20"/>
        </w:rPr>
        <w:t xml:space="preserve"> WOK-i</w:t>
      </w:r>
      <w:r>
        <w:rPr>
          <w:rFonts w:cs="Calibri"/>
          <w:szCs w:val="20"/>
        </w:rPr>
        <w:t xml:space="preserve"> (</w:t>
      </w:r>
      <w:r w:rsidRPr="00196EE4">
        <w:rPr>
          <w:rFonts w:cs="Calibri"/>
          <w:szCs w:val="20"/>
        </w:rPr>
        <w:t>Wojewódzkie Ośrodki Koordynujące, istniejące do 31 grudnia 2015 r.</w:t>
      </w:r>
      <w:r>
        <w:rPr>
          <w:rFonts w:cs="Calibri"/>
          <w:szCs w:val="20"/>
        </w:rPr>
        <w:t>).</w:t>
      </w:r>
    </w:p>
    <w:p w14:paraId="7876DA8E" w14:textId="77777777" w:rsidR="00881780" w:rsidRDefault="00881780" w:rsidP="00881780">
      <w:pPr>
        <w:rPr>
          <w:rFonts w:cs="Calibri"/>
          <w:szCs w:val="20"/>
        </w:rPr>
      </w:pPr>
      <w:r>
        <w:rPr>
          <w:rFonts w:cs="Calibri"/>
          <w:szCs w:val="20"/>
        </w:rPr>
        <w:t xml:space="preserve">W wyniku wdrażania krajowych </w:t>
      </w:r>
      <w:r w:rsidRPr="00196EE4">
        <w:rPr>
          <w:rFonts w:cs="Calibri"/>
          <w:szCs w:val="20"/>
        </w:rPr>
        <w:t>progr</w:t>
      </w:r>
      <w:r>
        <w:rPr>
          <w:rFonts w:cs="Calibri"/>
          <w:szCs w:val="20"/>
        </w:rPr>
        <w:t>amów</w:t>
      </w:r>
      <w:r w:rsidRPr="00196EE4">
        <w:rPr>
          <w:rFonts w:cs="Calibri"/>
          <w:szCs w:val="20"/>
        </w:rPr>
        <w:t xml:space="preserve"> polityki zdrowotnej </w:t>
      </w:r>
      <w:r w:rsidRPr="009410DF">
        <w:rPr>
          <w:rFonts w:eastAsia="Calibri"/>
          <w:bCs/>
          <w:iCs/>
        </w:rPr>
        <w:t>realizacj</w:t>
      </w:r>
      <w:r>
        <w:rPr>
          <w:rFonts w:eastAsia="Calibri"/>
          <w:bCs/>
          <w:iCs/>
        </w:rPr>
        <w:t>a</w:t>
      </w:r>
      <w:r w:rsidR="00E66B89">
        <w:rPr>
          <w:rFonts w:eastAsia="Calibri"/>
          <w:bCs/>
          <w:iCs/>
        </w:rPr>
        <w:t xml:space="preserve"> w </w:t>
      </w:r>
      <w:r>
        <w:rPr>
          <w:rFonts w:eastAsia="Calibri"/>
          <w:bCs/>
          <w:iCs/>
        </w:rPr>
        <w:t xml:space="preserve">regionie </w:t>
      </w:r>
      <w:r w:rsidRPr="009410DF">
        <w:rPr>
          <w:rFonts w:eastAsia="Calibri"/>
          <w:bCs/>
          <w:iCs/>
        </w:rPr>
        <w:t>wsparcia</w:t>
      </w:r>
      <w:r w:rsidR="00E66B89">
        <w:rPr>
          <w:rFonts w:eastAsia="Calibri"/>
          <w:bCs/>
          <w:iCs/>
        </w:rPr>
        <w:t xml:space="preserve"> w </w:t>
      </w:r>
      <w:r w:rsidRPr="009410DF">
        <w:rPr>
          <w:rFonts w:eastAsia="Calibri"/>
          <w:bCs/>
          <w:iCs/>
        </w:rPr>
        <w:t>obszarze profilaktyki nowotworu jelita grubego</w:t>
      </w:r>
      <w:r w:rsidR="00E66B89">
        <w:rPr>
          <w:rFonts w:eastAsia="Calibri"/>
          <w:bCs/>
          <w:iCs/>
        </w:rPr>
        <w:t xml:space="preserve"> w </w:t>
      </w:r>
      <w:r w:rsidRPr="009410DF">
        <w:rPr>
          <w:rFonts w:eastAsia="Calibri"/>
          <w:bCs/>
          <w:iCs/>
        </w:rPr>
        <w:t>oparciu</w:t>
      </w:r>
      <w:r w:rsidR="00E66B89">
        <w:rPr>
          <w:rFonts w:eastAsia="Calibri"/>
          <w:bCs/>
          <w:iCs/>
        </w:rPr>
        <w:t xml:space="preserve"> o </w:t>
      </w:r>
      <w:r w:rsidRPr="009410DF">
        <w:rPr>
          <w:rFonts w:eastAsia="Calibri"/>
          <w:bCs/>
          <w:iCs/>
        </w:rPr>
        <w:t xml:space="preserve">system zapraszany </w:t>
      </w:r>
      <w:r>
        <w:rPr>
          <w:rFonts w:eastAsia="Calibri"/>
          <w:bCs/>
          <w:iCs/>
        </w:rPr>
        <w:t xml:space="preserve">była utrudniona ze względu na </w:t>
      </w:r>
      <w:r w:rsidRPr="009410DF">
        <w:rPr>
          <w:rFonts w:eastAsia="Calibri"/>
          <w:bCs/>
          <w:iCs/>
        </w:rPr>
        <w:t>brak dostępu do rejestrów populacyjnych.</w:t>
      </w:r>
      <w:r>
        <w:rPr>
          <w:rFonts w:eastAsia="Calibri"/>
          <w:bCs/>
          <w:iCs/>
        </w:rPr>
        <w:t xml:space="preserve"> </w:t>
      </w:r>
      <w:r w:rsidRPr="00D65DCC">
        <w:rPr>
          <w:rFonts w:eastAsia="Calibri"/>
          <w:bCs/>
          <w:iCs/>
        </w:rPr>
        <w:t>Zgodnie</w:t>
      </w:r>
      <w:r w:rsidR="00E66B89">
        <w:rPr>
          <w:rFonts w:eastAsia="Calibri"/>
          <w:bCs/>
          <w:iCs/>
        </w:rPr>
        <w:t xml:space="preserve"> z </w:t>
      </w:r>
      <w:r w:rsidRPr="00D65DCC">
        <w:rPr>
          <w:rFonts w:eastAsia="Calibri"/>
          <w:bCs/>
          <w:iCs/>
        </w:rPr>
        <w:t>zapisami pierwszej wersji Wytycznych ds. zdrowia</w:t>
      </w:r>
      <w:r w:rsidR="00E66B89">
        <w:rPr>
          <w:rFonts w:eastAsia="Calibri"/>
          <w:bCs/>
          <w:iCs/>
        </w:rPr>
        <w:t xml:space="preserve"> w </w:t>
      </w:r>
      <w:r w:rsidRPr="00D65DCC">
        <w:rPr>
          <w:rFonts w:eastAsia="Calibri"/>
          <w:bCs/>
          <w:iCs/>
        </w:rPr>
        <w:t>RPO WZ 2014 - 2020 zaplanowano udzielanie wsparcia dla profilaktyki nowotworu jelita grubego</w:t>
      </w:r>
      <w:r w:rsidR="00E66B89">
        <w:rPr>
          <w:rFonts w:eastAsia="Calibri"/>
          <w:bCs/>
          <w:iCs/>
        </w:rPr>
        <w:t xml:space="preserve"> w </w:t>
      </w:r>
      <w:r w:rsidRPr="00D65DCC">
        <w:rPr>
          <w:rFonts w:eastAsia="Calibri"/>
          <w:bCs/>
          <w:iCs/>
        </w:rPr>
        <w:t>oparciu</w:t>
      </w:r>
      <w:r w:rsidR="00E66B89">
        <w:rPr>
          <w:rFonts w:eastAsia="Calibri"/>
          <w:bCs/>
          <w:iCs/>
        </w:rPr>
        <w:t xml:space="preserve"> o </w:t>
      </w:r>
      <w:r w:rsidRPr="00D65DCC">
        <w:rPr>
          <w:rFonts w:eastAsia="Calibri"/>
          <w:bCs/>
          <w:iCs/>
        </w:rPr>
        <w:t>system zapraszany. Ministerstwo Inwestycji</w:t>
      </w:r>
      <w:r w:rsidR="00E66B89">
        <w:rPr>
          <w:rFonts w:eastAsia="Calibri"/>
          <w:bCs/>
          <w:iCs/>
        </w:rPr>
        <w:t xml:space="preserve"> i </w:t>
      </w:r>
      <w:r w:rsidRPr="00D65DCC">
        <w:rPr>
          <w:rFonts w:eastAsia="Calibri"/>
          <w:bCs/>
          <w:iCs/>
        </w:rPr>
        <w:t>Rozwoju zmieniło jednak Wytyczne, usuwając załącznik wskazujący na właściwy sposób wdrażania wsparcia, nakładając, jednakże na IZ RPO obowiązek realizacji wsparcia zgodnie</w:t>
      </w:r>
      <w:r w:rsidR="00E66B89">
        <w:rPr>
          <w:rFonts w:eastAsia="Calibri"/>
          <w:bCs/>
          <w:iCs/>
        </w:rPr>
        <w:t xml:space="preserve"> z </w:t>
      </w:r>
      <w:r w:rsidRPr="00D65DCC">
        <w:rPr>
          <w:rFonts w:eastAsia="Calibri"/>
          <w:bCs/>
          <w:iCs/>
        </w:rPr>
        <w:t>programami profilaktyki krajowej. Po wyłonieniu wykonawców (Beneficjentów Działania 6.8)</w:t>
      </w:r>
      <w:r w:rsidR="00E66B89">
        <w:rPr>
          <w:rFonts w:eastAsia="Calibri"/>
          <w:bCs/>
          <w:iCs/>
        </w:rPr>
        <w:t xml:space="preserve"> w </w:t>
      </w:r>
      <w:r w:rsidRPr="00D65DCC">
        <w:rPr>
          <w:rFonts w:eastAsia="Calibri"/>
          <w:bCs/>
          <w:iCs/>
        </w:rPr>
        <w:t>oparciu</w:t>
      </w:r>
      <w:r w:rsidR="00E66B89">
        <w:rPr>
          <w:rFonts w:eastAsia="Calibri"/>
          <w:bCs/>
          <w:iCs/>
        </w:rPr>
        <w:t xml:space="preserve"> o </w:t>
      </w:r>
      <w:r w:rsidRPr="00D65DCC">
        <w:rPr>
          <w:rFonts w:eastAsia="Calibri"/>
          <w:bCs/>
          <w:iCs/>
        </w:rPr>
        <w:t>system zapraszany okazało się, że decyzją COI oraz Ministerstwa Zdrowia system zapraszany</w:t>
      </w:r>
      <w:r w:rsidR="00E66B89">
        <w:rPr>
          <w:rFonts w:eastAsia="Calibri"/>
          <w:bCs/>
          <w:iCs/>
        </w:rPr>
        <w:t xml:space="preserve"> w </w:t>
      </w:r>
      <w:r w:rsidRPr="00D65DCC">
        <w:rPr>
          <w:rFonts w:eastAsia="Calibri"/>
          <w:bCs/>
          <w:iCs/>
        </w:rPr>
        <w:t>profilaktyce nowotworowej może być realizowany wyłącznie</w:t>
      </w:r>
      <w:r w:rsidR="00E66B89">
        <w:rPr>
          <w:rFonts w:eastAsia="Calibri"/>
          <w:bCs/>
          <w:iCs/>
        </w:rPr>
        <w:t xml:space="preserve"> w </w:t>
      </w:r>
      <w:r w:rsidRPr="00D65DCC">
        <w:rPr>
          <w:rFonts w:eastAsia="Calibri"/>
          <w:bCs/>
          <w:iCs/>
        </w:rPr>
        <w:t xml:space="preserve">projektach krajowych, zaś projekty regionalne mają być realizowane na bazie systemu oportunistycznego. Tym samym </w:t>
      </w:r>
      <w:r>
        <w:rPr>
          <w:rFonts w:eastAsia="Calibri"/>
          <w:bCs/>
          <w:iCs/>
        </w:rPr>
        <w:t>B</w:t>
      </w:r>
      <w:r w:rsidRPr="00D65DCC">
        <w:rPr>
          <w:rFonts w:eastAsia="Calibri"/>
          <w:bCs/>
          <w:iCs/>
        </w:rPr>
        <w:t>eneficjenci nie mają pełnej możliwości realizacji wsparcia na bazie dostępnych</w:t>
      </w:r>
      <w:r w:rsidR="00E66B89">
        <w:rPr>
          <w:rFonts w:eastAsia="Calibri"/>
          <w:bCs/>
          <w:iCs/>
        </w:rPr>
        <w:t xml:space="preserve"> w </w:t>
      </w:r>
      <w:r w:rsidRPr="00D65DCC">
        <w:rPr>
          <w:rFonts w:eastAsia="Calibri"/>
          <w:bCs/>
          <w:iCs/>
        </w:rPr>
        <w:t>kraju rejestrów populacyjnych, zgodnie ze wskazanym</w:t>
      </w:r>
      <w:r w:rsidR="00E66B89">
        <w:rPr>
          <w:rFonts w:eastAsia="Calibri"/>
          <w:bCs/>
          <w:iCs/>
        </w:rPr>
        <w:t xml:space="preserve"> w </w:t>
      </w:r>
      <w:r w:rsidRPr="00D65DCC">
        <w:rPr>
          <w:rFonts w:eastAsia="Calibri"/>
          <w:bCs/>
          <w:iCs/>
        </w:rPr>
        <w:t>konkursie systemem zapraszanym.</w:t>
      </w:r>
      <w:r>
        <w:rPr>
          <w:rFonts w:eastAsia="Calibri"/>
          <w:bCs/>
          <w:iCs/>
        </w:rPr>
        <w:t xml:space="preserve"> Pomimo to, jak zauważają przedstawiciele Instytucji Zarządzającej RPO WZ 2014-2020, po stronie (potencjalnych) Beneficjentów obserwuje się zainteresowanie realizacją projektów (przede wszystkim dotyczących profilaktyki raka jelita grubego), co</w:t>
      </w:r>
      <w:r w:rsidR="00E66B89">
        <w:rPr>
          <w:rFonts w:eastAsia="Calibri"/>
          <w:bCs/>
          <w:iCs/>
        </w:rPr>
        <w:t xml:space="preserve"> z </w:t>
      </w:r>
      <w:r>
        <w:rPr>
          <w:rFonts w:eastAsia="Calibri"/>
          <w:bCs/>
          <w:iCs/>
        </w:rPr>
        <w:t xml:space="preserve">kolei pozwala zapewnić osiągnięcie zakładanych wartości wskaźników przy jednoczesnej realizacji postulatu / założenia by programy profilaktyki zdrowotnej wdrażane na poziomie regionu stanowiły uzupełnienie programów wdrażanych na poziomie kraju. Jest to między innymi efekt zastosowanych przez IZ środków zaradczych. </w:t>
      </w:r>
      <w:r w:rsidRPr="00D65DCC">
        <w:rPr>
          <w:rFonts w:eastAsia="Calibri"/>
          <w:bCs/>
          <w:iCs/>
        </w:rPr>
        <w:t>IZ podjęła działania mające na celu wypracowanie</w:t>
      </w:r>
      <w:r w:rsidR="00E66B89">
        <w:rPr>
          <w:rFonts w:eastAsia="Calibri"/>
          <w:bCs/>
          <w:iCs/>
        </w:rPr>
        <w:t xml:space="preserve"> z </w:t>
      </w:r>
      <w:r w:rsidRPr="00D65DCC">
        <w:rPr>
          <w:rFonts w:eastAsia="Calibri"/>
          <w:bCs/>
          <w:iCs/>
        </w:rPr>
        <w:t xml:space="preserve">Beneficjentami nowych form realizacji projektów bez dostępu </w:t>
      </w:r>
      <w:r w:rsidRPr="00D65DCC">
        <w:rPr>
          <w:rFonts w:eastAsia="Calibri"/>
          <w:bCs/>
          <w:iCs/>
        </w:rPr>
        <w:lastRenderedPageBreak/>
        <w:t>do rejestrów populacyjnych (np.</w:t>
      </w:r>
      <w:r w:rsidR="00E66B89">
        <w:rPr>
          <w:rFonts w:eastAsia="Calibri"/>
          <w:bCs/>
          <w:iCs/>
        </w:rPr>
        <w:t xml:space="preserve"> w </w:t>
      </w:r>
      <w:r w:rsidRPr="00D65DCC">
        <w:rPr>
          <w:rFonts w:eastAsia="Calibri"/>
          <w:bCs/>
          <w:iCs/>
        </w:rPr>
        <w:t>oparciu</w:t>
      </w:r>
      <w:r w:rsidR="00E66B89">
        <w:rPr>
          <w:rFonts w:eastAsia="Calibri"/>
          <w:bCs/>
          <w:iCs/>
        </w:rPr>
        <w:t xml:space="preserve"> o </w:t>
      </w:r>
      <w:r w:rsidRPr="00D65DCC">
        <w:rPr>
          <w:rFonts w:eastAsia="Calibri"/>
          <w:bCs/>
          <w:iCs/>
        </w:rPr>
        <w:t>własne bazy pacjentów lub inne formy zapr</w:t>
      </w:r>
      <w:r>
        <w:rPr>
          <w:rFonts w:eastAsia="Calibri"/>
          <w:bCs/>
          <w:iCs/>
        </w:rPr>
        <w:t>a</w:t>
      </w:r>
      <w:r w:rsidRPr="00D65DCC">
        <w:rPr>
          <w:rFonts w:eastAsia="Calibri"/>
          <w:bCs/>
          <w:iCs/>
        </w:rPr>
        <w:t>sz</w:t>
      </w:r>
      <w:r>
        <w:rPr>
          <w:rFonts w:eastAsia="Calibri"/>
          <w:bCs/>
          <w:iCs/>
        </w:rPr>
        <w:t>ania</w:t>
      </w:r>
      <w:r w:rsidRPr="00D65DCC">
        <w:rPr>
          <w:rFonts w:eastAsia="Calibri"/>
          <w:bCs/>
          <w:iCs/>
        </w:rPr>
        <w:t xml:space="preserve"> potencjalnych </w:t>
      </w:r>
      <w:r>
        <w:rPr>
          <w:rFonts w:eastAsia="Calibri"/>
          <w:bCs/>
          <w:iCs/>
        </w:rPr>
        <w:t>odbiorców wsparcia do udziału</w:t>
      </w:r>
      <w:r w:rsidR="00E66B89">
        <w:rPr>
          <w:rFonts w:eastAsia="Calibri"/>
          <w:bCs/>
          <w:iCs/>
        </w:rPr>
        <w:t xml:space="preserve"> w </w:t>
      </w:r>
      <w:r>
        <w:rPr>
          <w:rFonts w:eastAsia="Calibri"/>
          <w:bCs/>
          <w:iCs/>
        </w:rPr>
        <w:t>projektach</w:t>
      </w:r>
      <w:r w:rsidRPr="00D65DCC">
        <w:rPr>
          <w:rFonts w:eastAsia="Calibri"/>
          <w:bCs/>
          <w:iCs/>
        </w:rPr>
        <w:t>). Rezultatem podjętych działań było zaproponowanie Beneficjentom Działania 6.8 wsparcia MIiR</w:t>
      </w:r>
      <w:r w:rsidR="00E66B89">
        <w:rPr>
          <w:rFonts w:eastAsia="Calibri"/>
          <w:bCs/>
          <w:iCs/>
        </w:rPr>
        <w:t xml:space="preserve"> i </w:t>
      </w:r>
      <w:r w:rsidRPr="00D65DCC">
        <w:rPr>
          <w:rFonts w:eastAsia="Calibri"/>
          <w:bCs/>
          <w:iCs/>
        </w:rPr>
        <w:t>MZ</w:t>
      </w:r>
      <w:r w:rsidR="00E66B89">
        <w:rPr>
          <w:rFonts w:eastAsia="Calibri"/>
          <w:bCs/>
          <w:iCs/>
        </w:rPr>
        <w:t xml:space="preserve"> w </w:t>
      </w:r>
      <w:r w:rsidRPr="00D65DCC">
        <w:rPr>
          <w:rFonts w:eastAsia="Calibri"/>
          <w:bCs/>
          <w:iCs/>
        </w:rPr>
        <w:t>celu uzyskania dostępu do bazy PESEL</w:t>
      </w:r>
      <w:r>
        <w:rPr>
          <w:rFonts w:cs="Calibri"/>
          <w:szCs w:val="20"/>
        </w:rPr>
        <w:t>.</w:t>
      </w:r>
    </w:p>
    <w:p w14:paraId="02AB7406" w14:textId="77777777" w:rsidR="00881780" w:rsidRDefault="00881780" w:rsidP="00881780">
      <w:pPr>
        <w:rPr>
          <w:rFonts w:eastAsia="Calibri"/>
          <w:bCs/>
          <w:iCs/>
        </w:rPr>
      </w:pPr>
      <w:r>
        <w:rPr>
          <w:rFonts w:eastAsia="Calibri"/>
          <w:bCs/>
          <w:iCs/>
        </w:rPr>
        <w:t>Potencjał do dalszej absorpcji środków pozostałych</w:t>
      </w:r>
      <w:r w:rsidR="00E66B89">
        <w:rPr>
          <w:rFonts w:eastAsia="Calibri"/>
          <w:bCs/>
          <w:iCs/>
        </w:rPr>
        <w:t xml:space="preserve"> w </w:t>
      </w:r>
      <w:r>
        <w:rPr>
          <w:rFonts w:eastAsia="Calibri"/>
          <w:bCs/>
          <w:iCs/>
        </w:rPr>
        <w:t xml:space="preserve">PI – mimo zmiany warunków wdrażania interwencji </w:t>
      </w:r>
      <w:r>
        <w:rPr>
          <w:rFonts w:eastAsia="Calibri"/>
          <w:bCs/>
          <w:iCs/>
        </w:rPr>
        <w:noBreakHyphen/>
        <w:t xml:space="preserve"> można ocenić jako rokujący.</w:t>
      </w:r>
    </w:p>
    <w:p w14:paraId="068EB62B" w14:textId="77777777" w:rsidR="00881780" w:rsidRPr="00404DA5" w:rsidRDefault="00881780" w:rsidP="00C22C26">
      <w:pPr>
        <w:rPr>
          <w:rFonts w:eastAsia="Calibri"/>
          <w:b/>
          <w:bCs/>
          <w:i/>
          <w:iCs/>
          <w:color w:val="4F81BD"/>
        </w:rPr>
      </w:pPr>
      <w:r>
        <w:rPr>
          <w:rFonts w:cs="Calibri"/>
          <w:szCs w:val="20"/>
        </w:rPr>
        <w:t xml:space="preserve"> </w:t>
      </w:r>
      <w:r w:rsidRPr="00404DA5">
        <w:rPr>
          <w:rFonts w:eastAsia="Calibri"/>
          <w:b/>
          <w:bCs/>
          <w:i/>
          <w:iCs/>
          <w:color w:val="4F81BD"/>
        </w:rPr>
        <w:t>Prognozy osiągnięcia celów zakładanych na 2023 rok</w:t>
      </w:r>
    </w:p>
    <w:p w14:paraId="2BEF34A4" w14:textId="77777777" w:rsidR="00881780" w:rsidRDefault="00881780" w:rsidP="00881780">
      <w:pPr>
        <w:rPr>
          <w:rFonts w:cs="Calibri"/>
          <w:szCs w:val="20"/>
        </w:rPr>
      </w:pPr>
      <w:r w:rsidRPr="00404DA5">
        <w:rPr>
          <w:rFonts w:cs="Calibri"/>
          <w:szCs w:val="20"/>
        </w:rPr>
        <w:t>Osiągnięcie docelowych wartości wszystkich wskaźników określonych dla PI 8vi zależy zarówno od realizacji zobowiązań wynikających</w:t>
      </w:r>
      <w:r w:rsidR="00E66B89">
        <w:rPr>
          <w:rFonts w:cs="Calibri"/>
          <w:szCs w:val="20"/>
        </w:rPr>
        <w:t xml:space="preserve"> z </w:t>
      </w:r>
      <w:r w:rsidRPr="00404DA5">
        <w:rPr>
          <w:rFonts w:cs="Calibri"/>
          <w:szCs w:val="20"/>
        </w:rPr>
        <w:t>dotychczas zawartych umów</w:t>
      </w:r>
      <w:r w:rsidR="00E66B89">
        <w:rPr>
          <w:rFonts w:cs="Calibri"/>
          <w:szCs w:val="20"/>
        </w:rPr>
        <w:t xml:space="preserve"> o </w:t>
      </w:r>
      <w:r w:rsidRPr="00404DA5">
        <w:rPr>
          <w:rFonts w:cs="Calibri"/>
          <w:szCs w:val="20"/>
        </w:rPr>
        <w:t>dofinansowanie, jak również wyników trwającego</w:t>
      </w:r>
      <w:r w:rsidR="00E66B89">
        <w:rPr>
          <w:rFonts w:cs="Calibri"/>
          <w:szCs w:val="20"/>
        </w:rPr>
        <w:t xml:space="preserve"> i </w:t>
      </w:r>
      <w:r w:rsidRPr="00404DA5">
        <w:rPr>
          <w:rFonts w:cs="Calibri"/>
          <w:szCs w:val="20"/>
        </w:rPr>
        <w:t>planowanych do przeprowadzenia naboru wniosków</w:t>
      </w:r>
      <w:r w:rsidR="00E66B89">
        <w:rPr>
          <w:rFonts w:cs="Calibri"/>
          <w:szCs w:val="20"/>
        </w:rPr>
        <w:t xml:space="preserve"> o </w:t>
      </w:r>
      <w:r w:rsidRPr="00404DA5">
        <w:rPr>
          <w:rFonts w:cs="Calibri"/>
          <w:szCs w:val="20"/>
        </w:rPr>
        <w:t>dofinansowanie projektów.</w:t>
      </w:r>
    </w:p>
    <w:p w14:paraId="12C337B6" w14:textId="77777777" w:rsidR="00881780" w:rsidRDefault="00881780" w:rsidP="00881780">
      <w:pPr>
        <w:rPr>
          <w:rFonts w:cs="Calibri"/>
          <w:szCs w:val="20"/>
        </w:rPr>
      </w:pPr>
      <w:r>
        <w:rPr>
          <w:rFonts w:cs="Calibri"/>
          <w:szCs w:val="20"/>
        </w:rPr>
        <w:t>E</w:t>
      </w:r>
      <w:r w:rsidRPr="008842F5">
        <w:rPr>
          <w:rFonts w:cs="Calibri"/>
          <w:szCs w:val="20"/>
        </w:rPr>
        <w:t xml:space="preserve">waluator przygotował prognozę </w:t>
      </w:r>
      <w:r>
        <w:rPr>
          <w:rFonts w:cs="Calibri"/>
          <w:szCs w:val="20"/>
        </w:rPr>
        <w:t>s</w:t>
      </w:r>
      <w:r w:rsidRPr="008842F5">
        <w:rPr>
          <w:rFonts w:cs="Calibri"/>
          <w:szCs w:val="20"/>
        </w:rPr>
        <w:t>prawdz</w:t>
      </w:r>
      <w:r>
        <w:rPr>
          <w:rFonts w:cs="Calibri"/>
          <w:szCs w:val="20"/>
        </w:rPr>
        <w:t>ającą</w:t>
      </w:r>
      <w:r w:rsidRPr="008842F5">
        <w:rPr>
          <w:rFonts w:cs="Calibri"/>
          <w:szCs w:val="20"/>
        </w:rPr>
        <w:t>, jak będ</w:t>
      </w:r>
      <w:r>
        <w:rPr>
          <w:rFonts w:cs="Calibri"/>
          <w:szCs w:val="20"/>
        </w:rPr>
        <w:t>ą</w:t>
      </w:r>
      <w:r w:rsidRPr="008842F5">
        <w:rPr>
          <w:rFonts w:cs="Calibri"/>
          <w:szCs w:val="20"/>
        </w:rPr>
        <w:t xml:space="preserve"> zachowywa</w:t>
      </w:r>
      <w:r>
        <w:rPr>
          <w:rFonts w:cs="Calibri"/>
          <w:szCs w:val="20"/>
        </w:rPr>
        <w:t>ć</w:t>
      </w:r>
      <w:r w:rsidRPr="008842F5">
        <w:rPr>
          <w:rFonts w:cs="Calibri"/>
          <w:szCs w:val="20"/>
        </w:rPr>
        <w:t xml:space="preserve"> się wskaźnik</w:t>
      </w:r>
      <w:r>
        <w:rPr>
          <w:rFonts w:cs="Calibri"/>
          <w:szCs w:val="20"/>
        </w:rPr>
        <w:t>i określone dla PI</w:t>
      </w:r>
      <w:r w:rsidRPr="008842F5">
        <w:rPr>
          <w:rFonts w:cs="Calibri"/>
          <w:szCs w:val="20"/>
        </w:rPr>
        <w:t>, jeśli cała pozostała</w:t>
      </w:r>
      <w:r w:rsidR="00E66B89">
        <w:rPr>
          <w:rFonts w:cs="Calibri"/>
          <w:szCs w:val="20"/>
        </w:rPr>
        <w:t xml:space="preserve"> w </w:t>
      </w:r>
      <w:r w:rsidRPr="008842F5">
        <w:rPr>
          <w:rFonts w:cs="Calibri"/>
          <w:szCs w:val="20"/>
        </w:rPr>
        <w:t xml:space="preserve">Działaniu alokacja </w:t>
      </w:r>
      <w:r>
        <w:rPr>
          <w:rFonts w:cs="Calibri"/>
          <w:szCs w:val="20"/>
        </w:rPr>
        <w:t xml:space="preserve">(z RW) </w:t>
      </w:r>
      <w:r w:rsidRPr="00E72C20">
        <w:rPr>
          <w:rFonts w:cs="Calibri"/>
          <w:szCs w:val="20"/>
        </w:rPr>
        <w:t xml:space="preserve">15 531 628,92 </w:t>
      </w:r>
      <w:r w:rsidRPr="008842F5">
        <w:rPr>
          <w:rFonts w:cs="Calibri"/>
          <w:szCs w:val="20"/>
        </w:rPr>
        <w:t>zł byłaby przeznaczona na realizację</w:t>
      </w:r>
      <w:r>
        <w:rPr>
          <w:rFonts w:cs="Calibri"/>
          <w:szCs w:val="20"/>
        </w:rPr>
        <w:t xml:space="preserve"> danego wskaźnika</w:t>
      </w:r>
      <w:r w:rsidRPr="008842F5">
        <w:rPr>
          <w:rFonts w:cs="Calibri"/>
          <w:szCs w:val="20"/>
        </w:rPr>
        <w:t>.</w:t>
      </w:r>
    </w:p>
    <w:p w14:paraId="663CF7ED" w14:textId="77777777" w:rsidR="00881780" w:rsidRDefault="00881780" w:rsidP="00881780">
      <w:pPr>
        <w:rPr>
          <w:rFonts w:cs="Calibri"/>
          <w:szCs w:val="20"/>
        </w:rPr>
      </w:pPr>
      <w:bookmarkStart w:id="270" w:name="_Hlk6512353"/>
      <w:r w:rsidRPr="008842F5">
        <w:rPr>
          <w:rFonts w:cs="Calibri"/>
          <w:szCs w:val="20"/>
        </w:rPr>
        <w:t xml:space="preserve">Przy obliczonym </w:t>
      </w:r>
      <w:r>
        <w:rPr>
          <w:rFonts w:cs="Calibri"/>
          <w:szCs w:val="20"/>
        </w:rPr>
        <w:t xml:space="preserve">średnim </w:t>
      </w:r>
      <w:r w:rsidRPr="008842F5">
        <w:rPr>
          <w:rFonts w:cs="Calibri"/>
          <w:szCs w:val="20"/>
        </w:rPr>
        <w:t xml:space="preserve">koszcie jednostkowym wskaźnika </w:t>
      </w:r>
      <w:r w:rsidRPr="00C22C26">
        <w:rPr>
          <w:rFonts w:cs="Calibri"/>
          <w:i/>
          <w:szCs w:val="20"/>
        </w:rPr>
        <w:t xml:space="preserve">Liczba osób objętych programem zdrowotnym dzięki EFS </w:t>
      </w:r>
      <w:r w:rsidRPr="008842F5">
        <w:rPr>
          <w:rFonts w:cs="Calibri"/>
          <w:szCs w:val="20"/>
        </w:rPr>
        <w:t xml:space="preserve">uwzględniającym wzrost cen (indeks CPI 104,3%) wynoszącym </w:t>
      </w:r>
      <w:r>
        <w:rPr>
          <w:rFonts w:cs="Calibri"/>
          <w:szCs w:val="20"/>
        </w:rPr>
        <w:t>319, 46 zł</w:t>
      </w:r>
      <w:r w:rsidR="00E66B89">
        <w:rPr>
          <w:rFonts w:cs="Calibri"/>
          <w:szCs w:val="20"/>
        </w:rPr>
        <w:t xml:space="preserve"> i </w:t>
      </w:r>
      <w:r w:rsidRPr="008842F5">
        <w:rPr>
          <w:rFonts w:cs="Calibri"/>
          <w:szCs w:val="20"/>
        </w:rPr>
        <w:t>pozostałą</w:t>
      </w:r>
      <w:r w:rsidR="00E66B89">
        <w:rPr>
          <w:rFonts w:cs="Calibri"/>
          <w:szCs w:val="20"/>
        </w:rPr>
        <w:t xml:space="preserve"> w </w:t>
      </w:r>
      <w:r w:rsidRPr="008842F5">
        <w:rPr>
          <w:rFonts w:cs="Calibri"/>
          <w:szCs w:val="20"/>
        </w:rPr>
        <w:t>Działaniu alokację</w:t>
      </w:r>
      <w:r>
        <w:rPr>
          <w:rFonts w:cs="Calibri"/>
          <w:szCs w:val="20"/>
        </w:rPr>
        <w:t>,</w:t>
      </w:r>
      <w:r w:rsidRPr="008842F5">
        <w:rPr>
          <w:rFonts w:cs="Calibri"/>
          <w:szCs w:val="20"/>
        </w:rPr>
        <w:t xml:space="preserve"> możliwe jest zrealizowanie wartości analizowanego wskaźnika na bardzo wysokim poziomie </w:t>
      </w:r>
      <w:r>
        <w:rPr>
          <w:rFonts w:cs="Calibri"/>
          <w:szCs w:val="20"/>
        </w:rPr>
        <w:t>wynoszącym 321</w:t>
      </w:r>
      <w:r w:rsidRPr="008842F5">
        <w:rPr>
          <w:rFonts w:cs="Calibri"/>
          <w:szCs w:val="20"/>
        </w:rPr>
        <w:t xml:space="preserve">%; co oznacza możliwość objęcia wsparciem </w:t>
      </w:r>
      <w:r>
        <w:rPr>
          <w:rFonts w:cs="Calibri"/>
          <w:szCs w:val="20"/>
        </w:rPr>
        <w:t>jeszcze około 48 tys. osób</w:t>
      </w:r>
      <w:r w:rsidRPr="008842F5">
        <w:rPr>
          <w:rFonts w:cs="Calibri"/>
          <w:szCs w:val="20"/>
        </w:rPr>
        <w:t>.</w:t>
      </w:r>
      <w:r>
        <w:rPr>
          <w:rFonts w:cs="Calibri"/>
          <w:szCs w:val="20"/>
        </w:rPr>
        <w:t xml:space="preserve"> </w:t>
      </w:r>
      <w:r w:rsidRPr="007D1CD6">
        <w:rPr>
          <w:rFonts w:cs="Calibri"/>
          <w:szCs w:val="20"/>
        </w:rPr>
        <w:t>Całkowita prognozowana wartość wskaźnika do osiągnięcia (wartość docelowa</w:t>
      </w:r>
      <w:r w:rsidR="00E66B89">
        <w:rPr>
          <w:rFonts w:cs="Calibri"/>
          <w:szCs w:val="20"/>
        </w:rPr>
        <w:t xml:space="preserve"> w </w:t>
      </w:r>
      <w:r w:rsidRPr="007D1CD6">
        <w:rPr>
          <w:rFonts w:cs="Calibri"/>
          <w:szCs w:val="20"/>
        </w:rPr>
        <w:t>UoD + prognozowana</w:t>
      </w:r>
      <w:r w:rsidR="00E66B89">
        <w:rPr>
          <w:rFonts w:cs="Calibri"/>
          <w:szCs w:val="20"/>
        </w:rPr>
        <w:t xml:space="preserve"> z </w:t>
      </w:r>
      <w:r w:rsidRPr="007D1CD6">
        <w:rPr>
          <w:rFonts w:cs="Calibri"/>
          <w:szCs w:val="20"/>
        </w:rPr>
        <w:t>kosztu jednostkowego</w:t>
      </w:r>
      <w:r w:rsidR="00E66B89">
        <w:rPr>
          <w:rFonts w:cs="Calibri"/>
          <w:szCs w:val="20"/>
        </w:rPr>
        <w:t xml:space="preserve"> w </w:t>
      </w:r>
      <w:r w:rsidRPr="007D1CD6">
        <w:rPr>
          <w:rFonts w:cs="Calibri"/>
          <w:szCs w:val="20"/>
        </w:rPr>
        <w:t>UoD)</w:t>
      </w:r>
      <w:r>
        <w:rPr>
          <w:rFonts w:cs="Calibri"/>
          <w:szCs w:val="20"/>
        </w:rPr>
        <w:t xml:space="preserve"> wynosiłaby wówczas oko 98 tys. osób objętych wsparciem.</w:t>
      </w:r>
    </w:p>
    <w:bookmarkEnd w:id="270"/>
    <w:p w14:paraId="4C002723" w14:textId="77777777" w:rsidR="00881780" w:rsidRPr="00404DA5" w:rsidRDefault="00881780" w:rsidP="00881780">
      <w:pPr>
        <w:rPr>
          <w:rFonts w:cs="Calibri"/>
          <w:szCs w:val="20"/>
        </w:rPr>
      </w:pPr>
      <w:r w:rsidRPr="007D1CD6">
        <w:rPr>
          <w:rFonts w:cs="Calibri"/>
          <w:szCs w:val="20"/>
        </w:rPr>
        <w:t xml:space="preserve">Przy obliczonym </w:t>
      </w:r>
      <w:r>
        <w:rPr>
          <w:rFonts w:cs="Calibri"/>
          <w:szCs w:val="20"/>
        </w:rPr>
        <w:t xml:space="preserve">średnim </w:t>
      </w:r>
      <w:r w:rsidRPr="007D1CD6">
        <w:rPr>
          <w:rFonts w:cs="Calibri"/>
          <w:szCs w:val="20"/>
        </w:rPr>
        <w:t xml:space="preserve">koszcie jednostkowym wskaźnika </w:t>
      </w:r>
      <w:r w:rsidRPr="00C22C26">
        <w:rPr>
          <w:rFonts w:cs="Calibri"/>
          <w:i/>
          <w:szCs w:val="20"/>
        </w:rPr>
        <w:t>Liczba osób, które dzięki interwencji EFS zgłosiły się na badanie profilaktyczne</w:t>
      </w:r>
      <w:r w:rsidRPr="007D1CD6">
        <w:rPr>
          <w:rFonts w:cs="Calibri"/>
          <w:szCs w:val="20"/>
        </w:rPr>
        <w:t xml:space="preserve"> uwzględniającym wzrost cen (indeks CPI 104,3%) wynoszącym </w:t>
      </w:r>
      <w:r>
        <w:rPr>
          <w:rFonts w:cs="Calibri"/>
          <w:szCs w:val="20"/>
        </w:rPr>
        <w:t>347,40</w:t>
      </w:r>
      <w:r w:rsidRPr="007D1CD6">
        <w:rPr>
          <w:rFonts w:cs="Calibri"/>
          <w:szCs w:val="20"/>
        </w:rPr>
        <w:t xml:space="preserve"> zł</w:t>
      </w:r>
      <w:r w:rsidR="00E66B89">
        <w:rPr>
          <w:rFonts w:cs="Calibri"/>
          <w:szCs w:val="20"/>
        </w:rPr>
        <w:t xml:space="preserve"> i </w:t>
      </w:r>
      <w:r w:rsidRPr="007D1CD6">
        <w:rPr>
          <w:rFonts w:cs="Calibri"/>
          <w:szCs w:val="20"/>
        </w:rPr>
        <w:t>pozostałą</w:t>
      </w:r>
      <w:r w:rsidR="00E66B89">
        <w:rPr>
          <w:rFonts w:cs="Calibri"/>
          <w:szCs w:val="20"/>
        </w:rPr>
        <w:t xml:space="preserve"> w </w:t>
      </w:r>
      <w:r w:rsidRPr="007D1CD6">
        <w:rPr>
          <w:rFonts w:cs="Calibri"/>
          <w:szCs w:val="20"/>
        </w:rPr>
        <w:t xml:space="preserve">Działaniu alokację, możliwe jest zrealizowanie wartości analizowanego wskaźnika na wysokim poziomie wynoszącym </w:t>
      </w:r>
      <w:r>
        <w:rPr>
          <w:rFonts w:cs="Calibri"/>
          <w:szCs w:val="20"/>
        </w:rPr>
        <w:t>nieco powyżej 150</w:t>
      </w:r>
      <w:r w:rsidRPr="007D1CD6">
        <w:rPr>
          <w:rFonts w:cs="Calibri"/>
          <w:szCs w:val="20"/>
        </w:rPr>
        <w:t>%; co oznacza możliwość objęcia wsparciem jeszcze około 4</w:t>
      </w:r>
      <w:r>
        <w:rPr>
          <w:rFonts w:cs="Calibri"/>
          <w:szCs w:val="20"/>
        </w:rPr>
        <w:t>4</w:t>
      </w:r>
      <w:r w:rsidRPr="007D1CD6">
        <w:rPr>
          <w:rFonts w:cs="Calibri"/>
          <w:szCs w:val="20"/>
        </w:rPr>
        <w:t xml:space="preserve"> tys. osób. Całkowita prognozowana wartość wskaźnika do osiągnięcia (wartość docelowa</w:t>
      </w:r>
      <w:r w:rsidR="00E66B89">
        <w:rPr>
          <w:rFonts w:cs="Calibri"/>
          <w:szCs w:val="20"/>
        </w:rPr>
        <w:t xml:space="preserve"> w </w:t>
      </w:r>
      <w:r w:rsidRPr="007D1CD6">
        <w:rPr>
          <w:rFonts w:cs="Calibri"/>
          <w:szCs w:val="20"/>
        </w:rPr>
        <w:t>UoD + prognozowana</w:t>
      </w:r>
      <w:r w:rsidR="00E66B89">
        <w:rPr>
          <w:rFonts w:cs="Calibri"/>
          <w:szCs w:val="20"/>
        </w:rPr>
        <w:t xml:space="preserve"> z </w:t>
      </w:r>
      <w:r w:rsidRPr="007D1CD6">
        <w:rPr>
          <w:rFonts w:cs="Calibri"/>
          <w:szCs w:val="20"/>
        </w:rPr>
        <w:t>kosztu jednostkowego</w:t>
      </w:r>
      <w:r w:rsidR="00E66B89">
        <w:rPr>
          <w:rFonts w:cs="Calibri"/>
          <w:szCs w:val="20"/>
        </w:rPr>
        <w:t xml:space="preserve"> w </w:t>
      </w:r>
      <w:r w:rsidRPr="007D1CD6">
        <w:rPr>
          <w:rFonts w:cs="Calibri"/>
          <w:szCs w:val="20"/>
        </w:rPr>
        <w:t xml:space="preserve">UoD) wynosiłaby wówczas oko </w:t>
      </w:r>
      <w:r>
        <w:rPr>
          <w:rFonts w:cs="Calibri"/>
          <w:szCs w:val="20"/>
        </w:rPr>
        <w:t>88,5</w:t>
      </w:r>
      <w:r w:rsidRPr="007D1CD6">
        <w:rPr>
          <w:rFonts w:cs="Calibri"/>
          <w:szCs w:val="20"/>
        </w:rPr>
        <w:t xml:space="preserve"> tys. osób objętych wsparciem.</w:t>
      </w:r>
    </w:p>
    <w:p w14:paraId="3CEA3864" w14:textId="77777777" w:rsidR="00881780" w:rsidRPr="00404DA5" w:rsidRDefault="00881780" w:rsidP="00881780">
      <w:pPr>
        <w:keepNext/>
        <w:keepLines/>
        <w:spacing w:before="200"/>
        <w:outlineLvl w:val="3"/>
        <w:rPr>
          <w:rFonts w:cs="Calibri"/>
          <w:color w:val="FF0000"/>
          <w:szCs w:val="20"/>
        </w:rPr>
      </w:pPr>
      <w:r w:rsidRPr="00404DA5">
        <w:rPr>
          <w:rFonts w:eastAsia="Calibri"/>
          <w:b/>
          <w:bCs/>
          <w:i/>
          <w:iCs/>
          <w:color w:val="4F81BD"/>
        </w:rPr>
        <w:t>Możliwości zarządzania środkami rezerwy wykonania</w:t>
      </w:r>
      <w:r w:rsidR="00E66B89">
        <w:rPr>
          <w:rFonts w:eastAsia="Calibri"/>
          <w:b/>
          <w:bCs/>
          <w:i/>
          <w:iCs/>
          <w:color w:val="4F81BD"/>
        </w:rPr>
        <w:t xml:space="preserve"> i </w:t>
      </w:r>
      <w:r w:rsidRPr="00404DA5">
        <w:rPr>
          <w:rFonts w:eastAsia="Calibri"/>
          <w:b/>
          <w:bCs/>
          <w:i/>
          <w:iCs/>
          <w:color w:val="4F81BD"/>
        </w:rPr>
        <w:t>identyfikacja obszarów wymagających interwencji - podsumowanie</w:t>
      </w:r>
    </w:p>
    <w:p w14:paraId="00822388" w14:textId="77777777" w:rsidR="00881780" w:rsidRDefault="00881780" w:rsidP="00881780">
      <w:pPr>
        <w:rPr>
          <w:rFonts w:cs="Calibri"/>
          <w:szCs w:val="20"/>
        </w:rPr>
      </w:pPr>
      <w:r w:rsidRPr="00C731BD">
        <w:rPr>
          <w:rFonts w:cs="Calibri"/>
          <w:szCs w:val="20"/>
        </w:rPr>
        <w:t>Zgodnie</w:t>
      </w:r>
      <w:r w:rsidR="00E66B89">
        <w:rPr>
          <w:rFonts w:cs="Calibri"/>
          <w:szCs w:val="20"/>
        </w:rPr>
        <w:t xml:space="preserve"> z </w:t>
      </w:r>
      <w:r w:rsidRPr="00C731BD">
        <w:rPr>
          <w:rFonts w:cs="Calibri"/>
          <w:szCs w:val="20"/>
        </w:rPr>
        <w:t>informacją zamieszczoną</w:t>
      </w:r>
      <w:r w:rsidR="00E66B89">
        <w:rPr>
          <w:rFonts w:cs="Calibri"/>
          <w:szCs w:val="20"/>
        </w:rPr>
        <w:t xml:space="preserve"> w </w:t>
      </w:r>
      <w:r w:rsidRPr="00C731BD">
        <w:rPr>
          <w:rFonts w:cs="Calibri"/>
          <w:szCs w:val="20"/>
        </w:rPr>
        <w:t>harmonogramie naborów wniosków</w:t>
      </w:r>
      <w:r w:rsidR="00E66B89">
        <w:rPr>
          <w:rFonts w:cs="Calibri"/>
          <w:szCs w:val="20"/>
        </w:rPr>
        <w:t xml:space="preserve"> o </w:t>
      </w:r>
      <w:r w:rsidRPr="00C731BD">
        <w:rPr>
          <w:rFonts w:cs="Calibri"/>
          <w:szCs w:val="20"/>
        </w:rPr>
        <w:t>dofinansowanie dla RPO WZ 2014-2020 na 2019 rok,</w:t>
      </w:r>
      <w:r w:rsidR="00E66B89">
        <w:rPr>
          <w:rFonts w:cs="Calibri"/>
          <w:szCs w:val="20"/>
        </w:rPr>
        <w:t xml:space="preserve"> w </w:t>
      </w:r>
      <w:r>
        <w:rPr>
          <w:rFonts w:cs="Calibri"/>
          <w:szCs w:val="20"/>
        </w:rPr>
        <w:t>I</w:t>
      </w:r>
      <w:r w:rsidRPr="00C731BD">
        <w:rPr>
          <w:rFonts w:cs="Calibri"/>
          <w:szCs w:val="20"/>
        </w:rPr>
        <w:t>II</w:t>
      </w:r>
      <w:r w:rsidR="00E66B89">
        <w:rPr>
          <w:rFonts w:cs="Calibri"/>
          <w:szCs w:val="20"/>
        </w:rPr>
        <w:t xml:space="preserve"> i </w:t>
      </w:r>
      <w:r>
        <w:rPr>
          <w:rFonts w:cs="Calibri"/>
          <w:szCs w:val="20"/>
        </w:rPr>
        <w:t xml:space="preserve">IV </w:t>
      </w:r>
      <w:r w:rsidRPr="00C731BD">
        <w:rPr>
          <w:rFonts w:cs="Calibri"/>
          <w:szCs w:val="20"/>
        </w:rPr>
        <w:t>kwarta</w:t>
      </w:r>
      <w:r>
        <w:rPr>
          <w:rFonts w:cs="Calibri"/>
          <w:szCs w:val="20"/>
        </w:rPr>
        <w:t>le</w:t>
      </w:r>
      <w:r w:rsidRPr="00C731BD">
        <w:rPr>
          <w:rFonts w:cs="Calibri"/>
          <w:szCs w:val="20"/>
        </w:rPr>
        <w:t xml:space="preserve"> 2019 r. planowan</w:t>
      </w:r>
      <w:r>
        <w:rPr>
          <w:rFonts w:cs="Calibri"/>
          <w:szCs w:val="20"/>
        </w:rPr>
        <w:t xml:space="preserve">e jest przeprowadzenie trzech </w:t>
      </w:r>
      <w:r w:rsidRPr="00C731BD">
        <w:rPr>
          <w:rFonts w:cs="Calibri"/>
          <w:szCs w:val="20"/>
        </w:rPr>
        <w:t>nab</w:t>
      </w:r>
      <w:r>
        <w:rPr>
          <w:rFonts w:cs="Calibri"/>
          <w:szCs w:val="20"/>
        </w:rPr>
        <w:t>orów</w:t>
      </w:r>
      <w:r w:rsidRPr="00C731BD">
        <w:rPr>
          <w:rFonts w:cs="Calibri"/>
          <w:szCs w:val="20"/>
        </w:rPr>
        <w:t xml:space="preserve"> wniosków</w:t>
      </w:r>
      <w:r w:rsidR="00E66B89">
        <w:rPr>
          <w:rFonts w:cs="Calibri"/>
          <w:szCs w:val="20"/>
        </w:rPr>
        <w:t xml:space="preserve"> o </w:t>
      </w:r>
      <w:r w:rsidRPr="00C731BD">
        <w:rPr>
          <w:rFonts w:cs="Calibri"/>
          <w:szCs w:val="20"/>
        </w:rPr>
        <w:t>dofinansowanie projektów ramach Działania 6.</w:t>
      </w:r>
      <w:r>
        <w:rPr>
          <w:rFonts w:cs="Calibri"/>
          <w:szCs w:val="20"/>
        </w:rPr>
        <w:t>8</w:t>
      </w:r>
      <w:r w:rsidRPr="00C731BD">
        <w:rPr>
          <w:rFonts w:cs="Calibri"/>
          <w:szCs w:val="20"/>
        </w:rPr>
        <w:t>. Dofinansowanie będą mogły uzyskać projekt</w:t>
      </w:r>
      <w:r>
        <w:rPr>
          <w:rFonts w:cs="Calibri"/>
          <w:szCs w:val="20"/>
        </w:rPr>
        <w:t>y</w:t>
      </w:r>
      <w:r w:rsidR="00E66B89">
        <w:rPr>
          <w:rFonts w:cs="Calibri"/>
          <w:szCs w:val="20"/>
        </w:rPr>
        <w:t xml:space="preserve"> w </w:t>
      </w:r>
      <w:r>
        <w:rPr>
          <w:rFonts w:cs="Calibri"/>
          <w:szCs w:val="20"/>
        </w:rPr>
        <w:t xml:space="preserve">typie 2: </w:t>
      </w:r>
      <w:r w:rsidRPr="00877381">
        <w:rPr>
          <w:rFonts w:cs="Calibri"/>
          <w:szCs w:val="20"/>
        </w:rPr>
        <w:t>Rehabilitacja medyczna</w:t>
      </w:r>
      <w:r>
        <w:rPr>
          <w:rFonts w:cs="Calibri"/>
          <w:szCs w:val="20"/>
        </w:rPr>
        <w:t xml:space="preserve"> </w:t>
      </w:r>
      <w:r w:rsidRPr="00877381">
        <w:rPr>
          <w:rFonts w:cs="Calibri"/>
          <w:szCs w:val="20"/>
        </w:rPr>
        <w:t>po przebytym udarze mózgowym</w:t>
      </w:r>
      <w:r>
        <w:rPr>
          <w:rFonts w:cs="Calibri"/>
          <w:szCs w:val="20"/>
        </w:rPr>
        <w:t xml:space="preserve"> oraz </w:t>
      </w:r>
      <w:r w:rsidRPr="00877381">
        <w:rPr>
          <w:rFonts w:cs="Calibri"/>
          <w:szCs w:val="20"/>
        </w:rPr>
        <w:t>Rehabilitacja medyczna osób</w:t>
      </w:r>
      <w:r w:rsidR="00E66B89">
        <w:rPr>
          <w:rFonts w:cs="Calibri"/>
          <w:szCs w:val="20"/>
        </w:rPr>
        <w:t xml:space="preserve"> w </w:t>
      </w:r>
      <w:r w:rsidRPr="00877381">
        <w:rPr>
          <w:rFonts w:cs="Calibri"/>
          <w:szCs w:val="20"/>
        </w:rPr>
        <w:t>wieku aktywności zawodowej ze schorzeniami bólowymi układu kostno-stawowego</w:t>
      </w:r>
      <w:r w:rsidR="00E66B89">
        <w:rPr>
          <w:rFonts w:cs="Calibri"/>
          <w:szCs w:val="20"/>
        </w:rPr>
        <w:t xml:space="preserve"> i </w:t>
      </w:r>
      <w:r w:rsidRPr="00877381">
        <w:rPr>
          <w:rFonts w:cs="Calibri"/>
          <w:szCs w:val="20"/>
        </w:rPr>
        <w:t>mięśniowego</w:t>
      </w:r>
      <w:r>
        <w:rPr>
          <w:rFonts w:cs="Calibri"/>
          <w:szCs w:val="20"/>
        </w:rPr>
        <w:t>, jak również</w:t>
      </w:r>
      <w:r w:rsidR="00E66B89">
        <w:rPr>
          <w:rFonts w:cs="Calibri"/>
          <w:szCs w:val="20"/>
        </w:rPr>
        <w:t xml:space="preserve"> w </w:t>
      </w:r>
      <w:r w:rsidRPr="00877381">
        <w:rPr>
          <w:rFonts w:cs="Calibri"/>
          <w:szCs w:val="20"/>
        </w:rPr>
        <w:t>typ</w:t>
      </w:r>
      <w:r>
        <w:rPr>
          <w:rFonts w:cs="Calibri"/>
          <w:szCs w:val="20"/>
        </w:rPr>
        <w:t>ie </w:t>
      </w:r>
      <w:r w:rsidRPr="00877381">
        <w:rPr>
          <w:rFonts w:cs="Calibri"/>
          <w:szCs w:val="20"/>
        </w:rPr>
        <w:t>3</w:t>
      </w:r>
      <w:r>
        <w:rPr>
          <w:rFonts w:cs="Calibri"/>
          <w:szCs w:val="20"/>
        </w:rPr>
        <w:t>.</w:t>
      </w:r>
    </w:p>
    <w:p w14:paraId="1B99CBA9" w14:textId="77777777" w:rsidR="0005182A" w:rsidRPr="00801DB4" w:rsidRDefault="00881780" w:rsidP="00881780">
      <w:pPr>
        <w:spacing w:before="240"/>
        <w:rPr>
          <w:b/>
          <w:szCs w:val="20"/>
        </w:rPr>
      </w:pPr>
      <w:r w:rsidRPr="00404DA5">
        <w:rPr>
          <w:rFonts w:cs="Calibri"/>
          <w:szCs w:val="20"/>
        </w:rPr>
        <w:t>Orientacyjna kwota przeznaczona na dofinansowanie projektów wyłonionych</w:t>
      </w:r>
      <w:r w:rsidR="00E66B89">
        <w:rPr>
          <w:rFonts w:cs="Calibri"/>
          <w:szCs w:val="20"/>
        </w:rPr>
        <w:t xml:space="preserve"> w </w:t>
      </w:r>
      <w:r w:rsidRPr="00404DA5">
        <w:rPr>
          <w:rFonts w:cs="Calibri"/>
          <w:szCs w:val="20"/>
        </w:rPr>
        <w:t>ramach piątego naboru/ konkursu wynosi: 3 967 958,19 EUR; 17 073 330,50zł. Skuteczne przeprowadzenie naboru wniosków</w:t>
      </w:r>
      <w:r w:rsidR="00E66B89">
        <w:rPr>
          <w:rFonts w:cs="Calibri"/>
          <w:szCs w:val="20"/>
        </w:rPr>
        <w:t xml:space="preserve"> o </w:t>
      </w:r>
      <w:r w:rsidRPr="00404DA5">
        <w:rPr>
          <w:rFonts w:cs="Calibri"/>
          <w:szCs w:val="20"/>
        </w:rPr>
        <w:t>dofinansowanie pozwoli</w:t>
      </w:r>
      <w:r w:rsidR="00E66B89">
        <w:rPr>
          <w:rFonts w:cs="Calibri"/>
          <w:szCs w:val="20"/>
        </w:rPr>
        <w:t xml:space="preserve"> w </w:t>
      </w:r>
      <w:r w:rsidRPr="00404DA5">
        <w:rPr>
          <w:rFonts w:cs="Calibri"/>
          <w:szCs w:val="20"/>
        </w:rPr>
        <w:t>całości zagospodarować pozostałą / dostępną</w:t>
      </w:r>
      <w:r w:rsidR="00E66B89">
        <w:rPr>
          <w:rFonts w:cs="Calibri"/>
          <w:szCs w:val="20"/>
        </w:rPr>
        <w:t xml:space="preserve"> w </w:t>
      </w:r>
      <w:r w:rsidRPr="00404DA5">
        <w:rPr>
          <w:rFonts w:cs="Calibri"/>
          <w:szCs w:val="20"/>
        </w:rPr>
        <w:t>PI 8</w:t>
      </w:r>
      <w:r>
        <w:rPr>
          <w:rFonts w:cs="Calibri"/>
          <w:szCs w:val="20"/>
        </w:rPr>
        <w:t>v</w:t>
      </w:r>
      <w:r w:rsidRPr="00404DA5">
        <w:rPr>
          <w:rFonts w:cs="Calibri"/>
          <w:szCs w:val="20"/>
        </w:rPr>
        <w:t>i alokację</w:t>
      </w:r>
      <w:r w:rsidRPr="00FD4C08">
        <w:t xml:space="preserve"> </w:t>
      </w:r>
      <w:r w:rsidRPr="00404DA5">
        <w:rPr>
          <w:rFonts w:cs="Calibri"/>
          <w:szCs w:val="20"/>
        </w:rPr>
        <w:t>UE ogółem (z RW). Należy również pamiętać</w:t>
      </w:r>
      <w:r w:rsidR="00E66B89">
        <w:rPr>
          <w:rFonts w:cs="Calibri"/>
          <w:szCs w:val="20"/>
        </w:rPr>
        <w:t xml:space="preserve"> o </w:t>
      </w:r>
      <w:r w:rsidRPr="00404DA5">
        <w:rPr>
          <w:rFonts w:cs="Calibri"/>
          <w:szCs w:val="20"/>
        </w:rPr>
        <w:t>dwóch projektach, które</w:t>
      </w:r>
      <w:r w:rsidR="00E66B89">
        <w:rPr>
          <w:rFonts w:cs="Calibri"/>
          <w:szCs w:val="20"/>
        </w:rPr>
        <w:t xml:space="preserve"> w </w:t>
      </w:r>
      <w:r w:rsidRPr="00404DA5">
        <w:rPr>
          <w:rFonts w:cs="Calibri"/>
          <w:szCs w:val="20"/>
        </w:rPr>
        <w:t>wynik</w:t>
      </w:r>
      <w:r>
        <w:rPr>
          <w:rFonts w:cs="Calibri"/>
          <w:szCs w:val="20"/>
        </w:rPr>
        <w:t>u</w:t>
      </w:r>
      <w:r w:rsidRPr="00404DA5">
        <w:rPr>
          <w:rFonts w:cs="Calibri"/>
          <w:szCs w:val="20"/>
        </w:rPr>
        <w:t xml:space="preserve"> drugiego naboru zostały pozytywnie zweryfikowane pod względem warunków formalnych</w:t>
      </w:r>
      <w:r w:rsidR="00E66B89">
        <w:rPr>
          <w:rFonts w:cs="Calibri"/>
          <w:szCs w:val="20"/>
        </w:rPr>
        <w:t xml:space="preserve"> i </w:t>
      </w:r>
      <w:r w:rsidRPr="00404DA5">
        <w:rPr>
          <w:rFonts w:cs="Calibri"/>
          <w:szCs w:val="20"/>
        </w:rPr>
        <w:t>tym samym skierowane do</w:t>
      </w:r>
      <w:r w:rsidR="00E66B89">
        <w:rPr>
          <w:rFonts w:cs="Calibri"/>
          <w:szCs w:val="20"/>
        </w:rPr>
        <w:t xml:space="preserve"> I </w:t>
      </w:r>
      <w:r w:rsidRPr="00404DA5">
        <w:rPr>
          <w:rFonts w:cs="Calibri"/>
          <w:szCs w:val="20"/>
        </w:rPr>
        <w:t>fazy oceny merytorycznej</w:t>
      </w:r>
      <w:r w:rsidR="00E66B89">
        <w:rPr>
          <w:rFonts w:cs="Calibri"/>
          <w:szCs w:val="20"/>
        </w:rPr>
        <w:t xml:space="preserve"> w </w:t>
      </w:r>
      <w:r w:rsidRPr="00404DA5">
        <w:rPr>
          <w:rFonts w:cs="Calibri"/>
          <w:szCs w:val="20"/>
        </w:rPr>
        <w:t xml:space="preserve">ramach konkursu nr RPZP.06.08.00-IP.02-32-K42/18. Ogólna pula środków przeznaczona na dofinansowanie projektów wynosi: 1 173 529,00 zł. </w:t>
      </w:r>
      <w:r w:rsidRPr="006673D0">
        <w:rPr>
          <w:rFonts w:cs="Calibri"/>
          <w:szCs w:val="20"/>
        </w:rPr>
        <w:t>Nie identyfikuje się zagrożenia dla wykorzystania całej alokacji przeznaczonej na Działanie.</w:t>
      </w:r>
    </w:p>
    <w:p w14:paraId="7626CF29" w14:textId="77777777" w:rsidR="009F2535" w:rsidRPr="00801DB4" w:rsidRDefault="009F2535" w:rsidP="00D45914">
      <w:pPr>
        <w:pStyle w:val="Nagwek2"/>
      </w:pPr>
      <w:bookmarkStart w:id="271" w:name="_Toc6523751"/>
      <w:r w:rsidRPr="00801DB4">
        <w:lastRenderedPageBreak/>
        <w:t>Oś priorytetowa VII Włączenie społeczne</w:t>
      </w:r>
      <w:bookmarkEnd w:id="271"/>
      <w:r w:rsidRPr="00801DB4">
        <w:t xml:space="preserve"> </w:t>
      </w:r>
    </w:p>
    <w:p w14:paraId="49E64926" w14:textId="77777777" w:rsidR="009D3A39" w:rsidRPr="00FE43CD" w:rsidRDefault="009D3A39" w:rsidP="009D3A39">
      <w:pPr>
        <w:pStyle w:val="Nagwek3"/>
      </w:pPr>
      <w:r w:rsidRPr="00FE43CD">
        <w:t>Ocena zmian sytuacji społeczno-gospodarczej</w:t>
      </w:r>
      <w:r w:rsidR="00E66B89">
        <w:t xml:space="preserve"> w </w:t>
      </w:r>
      <w:r w:rsidRPr="00FE43CD">
        <w:t xml:space="preserve">obszarze OP </w:t>
      </w:r>
      <w:r>
        <w:t>VII</w:t>
      </w:r>
    </w:p>
    <w:p w14:paraId="22911298" w14:textId="77777777" w:rsidR="009D3A39" w:rsidRPr="00404DA5" w:rsidRDefault="009D3A39" w:rsidP="009D3A39">
      <w:pPr>
        <w:rPr>
          <w:rFonts w:eastAsia="Calibri"/>
          <w:szCs w:val="20"/>
          <w:lang w:eastAsia="en-US"/>
        </w:rPr>
      </w:pPr>
      <w:r w:rsidRPr="00404DA5">
        <w:rPr>
          <w:rFonts w:eastAsia="Calibri"/>
          <w:szCs w:val="20"/>
          <w:lang w:eastAsia="en-US"/>
        </w:rPr>
        <w:t>Na przełomie ostatnich 6 lat</w:t>
      </w:r>
      <w:r w:rsidR="00E66B89">
        <w:rPr>
          <w:rFonts w:eastAsia="Calibri"/>
          <w:szCs w:val="20"/>
          <w:lang w:eastAsia="en-US"/>
        </w:rPr>
        <w:t xml:space="preserve"> w </w:t>
      </w:r>
      <w:r w:rsidRPr="00404DA5">
        <w:rPr>
          <w:rFonts w:eastAsia="Calibri"/>
          <w:szCs w:val="20"/>
          <w:lang w:eastAsia="en-US"/>
        </w:rPr>
        <w:t>regionie nastąpiły zmiany</w:t>
      </w:r>
      <w:r w:rsidR="00E66B89">
        <w:rPr>
          <w:rFonts w:eastAsia="Calibri"/>
          <w:szCs w:val="20"/>
          <w:lang w:eastAsia="en-US"/>
        </w:rPr>
        <w:t xml:space="preserve"> w </w:t>
      </w:r>
      <w:r w:rsidRPr="00404DA5">
        <w:rPr>
          <w:rFonts w:eastAsia="Calibri"/>
          <w:szCs w:val="20"/>
          <w:lang w:eastAsia="en-US"/>
        </w:rPr>
        <w:t>sytuacji demograficznej</w:t>
      </w:r>
      <w:r>
        <w:rPr>
          <w:rFonts w:eastAsia="Calibri"/>
          <w:szCs w:val="20"/>
          <w:lang w:eastAsia="en-US"/>
        </w:rPr>
        <w:t xml:space="preserve"> oraz</w:t>
      </w:r>
      <w:r w:rsidRPr="00404DA5">
        <w:rPr>
          <w:rFonts w:eastAsia="Calibri"/>
          <w:szCs w:val="20"/>
          <w:lang w:eastAsia="en-US"/>
        </w:rPr>
        <w:t xml:space="preserve"> społeczno-gospodarczej, które sprawiły, że wyzwania</w:t>
      </w:r>
      <w:r w:rsidR="00E66B89">
        <w:rPr>
          <w:rFonts w:eastAsia="Calibri"/>
          <w:szCs w:val="20"/>
          <w:lang w:eastAsia="en-US"/>
        </w:rPr>
        <w:t xml:space="preserve"> i </w:t>
      </w:r>
      <w:r w:rsidRPr="00404DA5">
        <w:rPr>
          <w:rFonts w:eastAsia="Calibri"/>
          <w:szCs w:val="20"/>
          <w:lang w:eastAsia="en-US"/>
        </w:rPr>
        <w:t>potrzeby wskazane</w:t>
      </w:r>
      <w:r w:rsidR="00E66B89">
        <w:rPr>
          <w:rFonts w:eastAsia="Calibri"/>
          <w:szCs w:val="20"/>
          <w:lang w:eastAsia="en-US"/>
        </w:rPr>
        <w:t xml:space="preserve"> w </w:t>
      </w:r>
      <w:r w:rsidRPr="00404DA5">
        <w:rPr>
          <w:rFonts w:eastAsia="Calibri"/>
          <w:szCs w:val="20"/>
          <w:lang w:eastAsia="en-US"/>
        </w:rPr>
        <w:t>RPO WZ 2014-2020 zmieniły się. Spadek bezrobocia, starzenie się społeczeństwa</w:t>
      </w:r>
      <w:r>
        <w:rPr>
          <w:rFonts w:eastAsia="Calibri"/>
          <w:szCs w:val="20"/>
          <w:lang w:eastAsia="en-US"/>
        </w:rPr>
        <w:t xml:space="preserve"> oraz</w:t>
      </w:r>
      <w:r w:rsidRPr="00404DA5">
        <w:rPr>
          <w:rFonts w:eastAsia="Calibri"/>
          <w:szCs w:val="20"/>
          <w:lang w:eastAsia="en-US"/>
        </w:rPr>
        <w:t xml:space="preserve"> ogólne zmniejszenie skali ubóstwa wymuszają konieczność zmiany początkowych założeń Programu. Zmiany, szczególnie zachodzące</w:t>
      </w:r>
      <w:r w:rsidR="00E66B89">
        <w:rPr>
          <w:rFonts w:eastAsia="Calibri"/>
          <w:szCs w:val="20"/>
          <w:lang w:eastAsia="en-US"/>
        </w:rPr>
        <w:t xml:space="preserve"> w </w:t>
      </w:r>
      <w:r w:rsidRPr="00404DA5">
        <w:rPr>
          <w:rFonts w:eastAsia="Calibri"/>
          <w:szCs w:val="20"/>
          <w:lang w:eastAsia="en-US"/>
        </w:rPr>
        <w:t>obrębie rynku pracy</w:t>
      </w:r>
      <w:r>
        <w:rPr>
          <w:rFonts w:eastAsia="Calibri"/>
          <w:szCs w:val="20"/>
          <w:lang w:eastAsia="en-US"/>
        </w:rPr>
        <w:t>,</w:t>
      </w:r>
      <w:r w:rsidRPr="00404DA5">
        <w:rPr>
          <w:rFonts w:eastAsia="Calibri"/>
          <w:szCs w:val="20"/>
          <w:lang w:eastAsia="en-US"/>
        </w:rPr>
        <w:t xml:space="preserve"> miały wpływ na skuteczność wdrażania RPO WZ 2014-2020</w:t>
      </w:r>
      <w:r>
        <w:rPr>
          <w:rFonts w:eastAsia="Calibri"/>
          <w:szCs w:val="20"/>
          <w:lang w:eastAsia="en-US"/>
        </w:rPr>
        <w:t xml:space="preserve"> -</w:t>
      </w:r>
      <w:r w:rsidRPr="00404DA5">
        <w:rPr>
          <w:rFonts w:eastAsia="Calibri"/>
          <w:szCs w:val="20"/>
          <w:lang w:eastAsia="en-US"/>
        </w:rPr>
        <w:t xml:space="preserve"> powodując m.in. niskie zainteresowanie aplikowaniem</w:t>
      </w:r>
      <w:r w:rsidR="00E66B89">
        <w:rPr>
          <w:rFonts w:eastAsia="Calibri"/>
          <w:szCs w:val="20"/>
          <w:lang w:eastAsia="en-US"/>
        </w:rPr>
        <w:t xml:space="preserve"> o </w:t>
      </w:r>
      <w:r w:rsidRPr="00404DA5">
        <w:rPr>
          <w:rFonts w:eastAsia="Calibri"/>
          <w:szCs w:val="20"/>
          <w:lang w:eastAsia="en-US"/>
        </w:rPr>
        <w:t>środki wśród OPS</w:t>
      </w:r>
      <w:r w:rsidR="00E66B89">
        <w:rPr>
          <w:rFonts w:eastAsia="Calibri"/>
          <w:szCs w:val="20"/>
          <w:lang w:eastAsia="en-US"/>
        </w:rPr>
        <w:t xml:space="preserve"> i </w:t>
      </w:r>
      <w:r w:rsidRPr="00404DA5">
        <w:rPr>
          <w:rFonts w:eastAsia="Calibri"/>
          <w:szCs w:val="20"/>
          <w:lang w:eastAsia="en-US"/>
        </w:rPr>
        <w:t>PCPR oraz trudności</w:t>
      </w:r>
      <w:r w:rsidR="00E66B89">
        <w:rPr>
          <w:rFonts w:eastAsia="Calibri"/>
          <w:szCs w:val="20"/>
          <w:lang w:eastAsia="en-US"/>
        </w:rPr>
        <w:t xml:space="preserve"> w </w:t>
      </w:r>
      <w:r w:rsidRPr="00404DA5">
        <w:rPr>
          <w:rFonts w:eastAsia="Calibri"/>
          <w:szCs w:val="20"/>
          <w:lang w:eastAsia="en-US"/>
        </w:rPr>
        <w:t>rekrutacji uczestników do projektów realizowanych</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 xml:space="preserve">9i. </w:t>
      </w:r>
    </w:p>
    <w:p w14:paraId="32831840" w14:textId="77777777" w:rsidR="009D3A39" w:rsidRPr="00404DA5" w:rsidRDefault="009D3A39" w:rsidP="009D3A39">
      <w:pPr>
        <w:rPr>
          <w:rFonts w:eastAsia="Calibri"/>
          <w:b/>
          <w:szCs w:val="20"/>
          <w:lang w:eastAsia="en-US"/>
        </w:rPr>
      </w:pPr>
      <w:r w:rsidRPr="004D674A">
        <w:rPr>
          <w:rFonts w:eastAsia="Calibri"/>
          <w:b/>
          <w:i/>
          <w:color w:val="4F81BD"/>
          <w:szCs w:val="20"/>
          <w:lang w:eastAsia="en-US"/>
        </w:rPr>
        <w:t>PI 9i</w:t>
      </w:r>
    </w:p>
    <w:p w14:paraId="6A463094" w14:textId="77777777" w:rsidR="009D3A39" w:rsidRPr="00404DA5" w:rsidRDefault="009D3A39" w:rsidP="009D3A39">
      <w:pPr>
        <w:rPr>
          <w:rFonts w:eastAsia="Calibri"/>
          <w:szCs w:val="20"/>
          <w:lang w:eastAsia="en-US"/>
        </w:rPr>
      </w:pPr>
      <w:r w:rsidRPr="00404DA5">
        <w:rPr>
          <w:rFonts w:eastAsia="Calibri"/>
          <w:szCs w:val="20"/>
          <w:lang w:eastAsia="en-US"/>
        </w:rPr>
        <w:t>W realizacji zamierzeń RPO WZ</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 xml:space="preserve">9i dużą rolę odgrywa spadający wskaźnik bezrobocia oraz zmniejszająca się liczba osób zagrożonych ubóstwem i/lub wykluczeniem społecznym. </w:t>
      </w:r>
    </w:p>
    <w:p w14:paraId="21C29C19" w14:textId="77777777" w:rsidR="009D3A39" w:rsidRDefault="009D3A39" w:rsidP="00D87AE8">
      <w:pPr>
        <w:pStyle w:val="Legenda"/>
        <w:spacing w:after="0"/>
      </w:pPr>
      <w:bookmarkStart w:id="272" w:name="_Toc5311886"/>
      <w:r>
        <w:t xml:space="preserve">Wykres </w:t>
      </w:r>
      <w:r>
        <w:fldChar w:fldCharType="begin"/>
      </w:r>
      <w:r>
        <w:instrText xml:space="preserve"> SEQ Wykres \* ARABIC </w:instrText>
      </w:r>
      <w:r>
        <w:fldChar w:fldCharType="separate"/>
      </w:r>
      <w:r w:rsidR="00763345">
        <w:rPr>
          <w:noProof/>
        </w:rPr>
        <w:t>20</w:t>
      </w:r>
      <w:r>
        <w:fldChar w:fldCharType="end"/>
      </w:r>
      <w:r>
        <w:t xml:space="preserve"> Stopa bezrobocia rejestrowanego</w:t>
      </w:r>
      <w:r w:rsidR="00E66B89">
        <w:t xml:space="preserve"> w </w:t>
      </w:r>
      <w:r>
        <w:t>województwie zachodniopomorskim [%]</w:t>
      </w:r>
      <w:bookmarkEnd w:id="272"/>
    </w:p>
    <w:p w14:paraId="41EB2800" w14:textId="5270B576" w:rsidR="009D3A39" w:rsidRPr="00404DA5" w:rsidRDefault="00C35619" w:rsidP="00CF71F2">
      <w:pPr>
        <w:spacing w:before="0" w:after="0" w:line="276" w:lineRule="auto"/>
        <w:rPr>
          <w:rFonts w:eastAsia="Calibri"/>
          <w:color w:val="FF0000"/>
          <w:szCs w:val="20"/>
          <w:lang w:eastAsia="en-US"/>
        </w:rPr>
      </w:pPr>
      <w:r w:rsidRPr="005F04FC">
        <w:rPr>
          <w:rFonts w:eastAsia="Calibri"/>
          <w:noProof/>
          <w:szCs w:val="20"/>
        </w:rPr>
        <w:drawing>
          <wp:inline distT="0" distB="0" distL="0" distR="0" wp14:anchorId="3E257467" wp14:editId="0B8A4473">
            <wp:extent cx="5720715" cy="1637030"/>
            <wp:effectExtent l="0" t="0" r="13335" b="1270"/>
            <wp:docPr id="43" name="Wykres 18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6A5553" w14:textId="0D03FE13" w:rsidR="009D3A39" w:rsidRPr="00EE66C6" w:rsidRDefault="009D3A39" w:rsidP="001245CE">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DE0A94" w:rsidRPr="00EE66C6">
        <w:rPr>
          <w:i/>
          <w:sz w:val="18"/>
          <w:szCs w:val="20"/>
        </w:rPr>
        <w:t xml:space="preserve">Polityki </w:t>
      </w:r>
      <w:r w:rsidRPr="00EE66C6">
        <w:rPr>
          <w:i/>
          <w:sz w:val="18"/>
          <w:szCs w:val="20"/>
        </w:rPr>
        <w:t>Społecznej</w:t>
      </w:r>
      <w:r w:rsidR="00AA6879">
        <w:rPr>
          <w:i/>
          <w:sz w:val="18"/>
          <w:szCs w:val="20"/>
        </w:rPr>
        <w:t>.</w:t>
      </w:r>
    </w:p>
    <w:p w14:paraId="0B583C61" w14:textId="77777777" w:rsidR="009D3A39" w:rsidRPr="00404DA5" w:rsidRDefault="009D3A39" w:rsidP="009D3A39">
      <w:pPr>
        <w:spacing w:after="200"/>
        <w:rPr>
          <w:rFonts w:eastAsia="Calibri"/>
          <w:szCs w:val="20"/>
          <w:lang w:eastAsia="en-US"/>
        </w:rPr>
      </w:pPr>
      <w:r w:rsidRPr="00404DA5">
        <w:rPr>
          <w:rFonts w:eastAsia="Calibri"/>
          <w:szCs w:val="20"/>
          <w:lang w:eastAsia="en-US"/>
        </w:rPr>
        <w:t>Stopa bezrobocia</w:t>
      </w:r>
      <w:r w:rsidR="00E66B89">
        <w:rPr>
          <w:rFonts w:eastAsia="Calibri"/>
          <w:szCs w:val="20"/>
          <w:lang w:eastAsia="en-US"/>
        </w:rPr>
        <w:t xml:space="preserve"> w </w:t>
      </w:r>
      <w:r w:rsidRPr="00404DA5">
        <w:rPr>
          <w:rFonts w:eastAsia="Calibri"/>
          <w:szCs w:val="20"/>
          <w:lang w:eastAsia="en-US"/>
        </w:rPr>
        <w:t>województwie zachodniopomorskim, podobnie jak</w:t>
      </w:r>
      <w:r w:rsidR="00E66B89">
        <w:rPr>
          <w:rFonts w:eastAsia="Calibri"/>
          <w:szCs w:val="20"/>
          <w:lang w:eastAsia="en-US"/>
        </w:rPr>
        <w:t xml:space="preserve"> w </w:t>
      </w:r>
      <w:r w:rsidRPr="00404DA5">
        <w:rPr>
          <w:rFonts w:eastAsia="Calibri"/>
          <w:szCs w:val="20"/>
          <w:lang w:eastAsia="en-US"/>
        </w:rPr>
        <w:t>całym kraju, znacząco zmalała od okresu programowania. Obecnie jest ona nieco wyższa (8,5%)</w:t>
      </w:r>
      <w:r>
        <w:rPr>
          <w:rFonts w:eastAsia="Calibri"/>
          <w:szCs w:val="20"/>
          <w:lang w:eastAsia="en-US"/>
        </w:rPr>
        <w:t xml:space="preserve"> od</w:t>
      </w:r>
      <w:r w:rsidRPr="00404DA5">
        <w:rPr>
          <w:rFonts w:eastAsia="Calibri"/>
          <w:szCs w:val="20"/>
          <w:lang w:eastAsia="en-US"/>
        </w:rPr>
        <w:t xml:space="preserve"> średni</w:t>
      </w:r>
      <w:r>
        <w:rPr>
          <w:rFonts w:eastAsia="Calibri"/>
          <w:szCs w:val="20"/>
          <w:lang w:eastAsia="en-US"/>
        </w:rPr>
        <w:t>ej dla</w:t>
      </w:r>
      <w:r w:rsidRPr="00404DA5">
        <w:rPr>
          <w:rFonts w:eastAsia="Calibri"/>
          <w:szCs w:val="20"/>
          <w:lang w:eastAsia="en-US"/>
        </w:rPr>
        <w:t xml:space="preserve"> kraj</w:t>
      </w:r>
      <w:r>
        <w:rPr>
          <w:rFonts w:eastAsia="Calibri"/>
          <w:szCs w:val="20"/>
          <w:lang w:eastAsia="en-US"/>
        </w:rPr>
        <w:t>u</w:t>
      </w:r>
      <w:r w:rsidRPr="00404DA5">
        <w:rPr>
          <w:rFonts w:eastAsia="Calibri"/>
          <w:szCs w:val="20"/>
          <w:lang w:eastAsia="en-US"/>
        </w:rPr>
        <w:t xml:space="preserve">, która wynosi 6,5%. </w:t>
      </w:r>
    </w:p>
    <w:p w14:paraId="53110604" w14:textId="77777777" w:rsidR="009D3A39" w:rsidRDefault="009D3A39" w:rsidP="00D87AE8">
      <w:pPr>
        <w:pStyle w:val="Legenda"/>
        <w:spacing w:after="0"/>
      </w:pPr>
      <w:bookmarkStart w:id="273" w:name="_Toc5311887"/>
      <w:r>
        <w:t xml:space="preserve">Wykres </w:t>
      </w:r>
      <w:r>
        <w:fldChar w:fldCharType="begin"/>
      </w:r>
      <w:r>
        <w:instrText xml:space="preserve"> SEQ Wykres \* ARABIC </w:instrText>
      </w:r>
      <w:r>
        <w:fldChar w:fldCharType="separate"/>
      </w:r>
      <w:r w:rsidR="00763345">
        <w:rPr>
          <w:noProof/>
        </w:rPr>
        <w:t>21</w:t>
      </w:r>
      <w:r>
        <w:fldChar w:fldCharType="end"/>
      </w:r>
      <w:r>
        <w:t xml:space="preserve"> Wskaźnik zatrudnienia osób niepełnosprawnych</w:t>
      </w:r>
      <w:r w:rsidR="00E66B89">
        <w:t xml:space="preserve"> w </w:t>
      </w:r>
      <w:r>
        <w:t>wieku 16-64 lata [%]</w:t>
      </w:r>
      <w:r w:rsidR="00E66B89">
        <w:t xml:space="preserve"> w </w:t>
      </w:r>
      <w:r>
        <w:t>województwie zachodniopomorskim</w:t>
      </w:r>
      <w:bookmarkEnd w:id="273"/>
    </w:p>
    <w:p w14:paraId="4F20AACF" w14:textId="1F2B3E6E" w:rsidR="009D3A39" w:rsidRPr="00404DA5" w:rsidRDefault="00C35619" w:rsidP="00CF71F2">
      <w:pPr>
        <w:spacing w:before="0" w:after="0" w:line="276" w:lineRule="auto"/>
        <w:rPr>
          <w:rFonts w:eastAsia="Calibri"/>
          <w:color w:val="FF0000"/>
          <w:szCs w:val="20"/>
          <w:lang w:eastAsia="en-US"/>
        </w:rPr>
      </w:pPr>
      <w:r w:rsidRPr="005F04FC">
        <w:rPr>
          <w:rFonts w:eastAsia="Calibri"/>
          <w:noProof/>
          <w:szCs w:val="20"/>
        </w:rPr>
        <w:drawing>
          <wp:inline distT="0" distB="0" distL="0" distR="0" wp14:anchorId="3DEF6FCE" wp14:editId="4C5CCCD7">
            <wp:extent cx="5805805" cy="1616075"/>
            <wp:effectExtent l="0" t="0" r="4445" b="3175"/>
            <wp:docPr id="44" name="Wykres 18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59B7F" w14:textId="6D36D8D2" w:rsidR="009D3A39" w:rsidRPr="00EE66C6" w:rsidRDefault="009D3A39" w:rsidP="001245CE">
      <w:pPr>
        <w:spacing w:before="0"/>
        <w:rPr>
          <w:i/>
          <w:sz w:val="18"/>
          <w:szCs w:val="20"/>
        </w:rPr>
      </w:pPr>
      <w:r w:rsidRPr="00EE66C6">
        <w:rPr>
          <w:i/>
          <w:sz w:val="18"/>
          <w:szCs w:val="20"/>
        </w:rPr>
        <w:t>Źródło: GUS BDL</w:t>
      </w:r>
      <w:r w:rsidR="00AA6879">
        <w:rPr>
          <w:i/>
          <w:sz w:val="18"/>
          <w:szCs w:val="20"/>
        </w:rPr>
        <w:t>.</w:t>
      </w:r>
    </w:p>
    <w:p w14:paraId="106B17E1" w14:textId="77777777" w:rsidR="009D3A39" w:rsidRPr="00404DA5" w:rsidRDefault="009D3A39" w:rsidP="009D3A39">
      <w:pPr>
        <w:spacing w:after="200"/>
        <w:rPr>
          <w:rFonts w:eastAsia="Calibri"/>
          <w:szCs w:val="20"/>
          <w:lang w:eastAsia="en-US"/>
        </w:rPr>
      </w:pPr>
      <w:r w:rsidRPr="00404DA5">
        <w:rPr>
          <w:rFonts w:eastAsia="Calibri"/>
          <w:szCs w:val="20"/>
          <w:lang w:eastAsia="en-US"/>
        </w:rPr>
        <w:t>Równie pozytywnym zjawiskiem jest wzrost zatrudnienia osób</w:t>
      </w:r>
      <w:r w:rsidR="00E66B89">
        <w:rPr>
          <w:rFonts w:eastAsia="Calibri"/>
          <w:szCs w:val="20"/>
          <w:lang w:eastAsia="en-US"/>
        </w:rPr>
        <w:t xml:space="preserve"> z </w:t>
      </w:r>
      <w:r w:rsidRPr="00404DA5">
        <w:rPr>
          <w:rFonts w:eastAsia="Calibri"/>
          <w:szCs w:val="20"/>
          <w:lang w:eastAsia="en-US"/>
        </w:rPr>
        <w:t>niepełnosprawnościami.</w:t>
      </w:r>
      <w:r w:rsidR="00E66B89">
        <w:rPr>
          <w:rFonts w:eastAsia="Calibri"/>
          <w:szCs w:val="20"/>
          <w:lang w:eastAsia="en-US"/>
        </w:rPr>
        <w:t xml:space="preserve"> W </w:t>
      </w:r>
      <w:r w:rsidRPr="00404DA5">
        <w:rPr>
          <w:rFonts w:eastAsia="Calibri"/>
          <w:szCs w:val="20"/>
          <w:lang w:eastAsia="en-US"/>
        </w:rPr>
        <w:t>województwie zachodniopomorskim wskaźnik zatrudnienia osób niepełnosprawnych</w:t>
      </w:r>
      <w:r w:rsidR="00E66B89">
        <w:rPr>
          <w:rFonts w:eastAsia="Calibri"/>
          <w:szCs w:val="20"/>
          <w:lang w:eastAsia="en-US"/>
        </w:rPr>
        <w:t xml:space="preserve"> w </w:t>
      </w:r>
      <w:r w:rsidRPr="00404DA5">
        <w:rPr>
          <w:rFonts w:eastAsia="Calibri"/>
          <w:szCs w:val="20"/>
          <w:lang w:eastAsia="en-US"/>
        </w:rPr>
        <w:t>wieku 16-64 lata, podobnie jak</w:t>
      </w:r>
      <w:r w:rsidR="00E66B89">
        <w:rPr>
          <w:rFonts w:eastAsia="Calibri"/>
          <w:szCs w:val="20"/>
          <w:lang w:eastAsia="en-US"/>
        </w:rPr>
        <w:t xml:space="preserve"> w </w:t>
      </w:r>
      <w:r w:rsidRPr="00404DA5">
        <w:rPr>
          <w:rFonts w:eastAsia="Calibri"/>
          <w:szCs w:val="20"/>
          <w:lang w:eastAsia="en-US"/>
        </w:rPr>
        <w:t>całej Polsce</w:t>
      </w:r>
      <w:r>
        <w:rPr>
          <w:rFonts w:eastAsia="Calibri"/>
          <w:szCs w:val="20"/>
          <w:lang w:eastAsia="en-US"/>
        </w:rPr>
        <w:t>,</w:t>
      </w:r>
      <w:r w:rsidRPr="00404DA5">
        <w:rPr>
          <w:rFonts w:eastAsia="Calibri"/>
          <w:szCs w:val="20"/>
          <w:lang w:eastAsia="en-US"/>
        </w:rPr>
        <w:t xml:space="preserve"> zwiększył się</w:t>
      </w:r>
      <w:r w:rsidR="00E66B89">
        <w:rPr>
          <w:rFonts w:eastAsia="Calibri"/>
          <w:szCs w:val="20"/>
          <w:lang w:eastAsia="en-US"/>
        </w:rPr>
        <w:t xml:space="preserve"> w </w:t>
      </w:r>
      <w:r w:rsidRPr="00404DA5">
        <w:rPr>
          <w:rFonts w:eastAsia="Calibri"/>
          <w:szCs w:val="20"/>
          <w:lang w:eastAsia="en-US"/>
        </w:rPr>
        <w:t>stosunku do roku 2012 (o 3,7 p</w:t>
      </w:r>
      <w:r>
        <w:rPr>
          <w:rFonts w:eastAsia="Calibri"/>
          <w:szCs w:val="20"/>
          <w:lang w:eastAsia="en-US"/>
        </w:rPr>
        <w:t>.</w:t>
      </w:r>
      <w:r w:rsidRPr="00404DA5">
        <w:rPr>
          <w:rFonts w:eastAsia="Calibri"/>
          <w:szCs w:val="20"/>
          <w:lang w:eastAsia="en-US"/>
        </w:rPr>
        <w:t>p.)</w:t>
      </w:r>
      <w:r w:rsidR="00E66B89">
        <w:rPr>
          <w:rFonts w:eastAsia="Calibri"/>
          <w:szCs w:val="20"/>
          <w:lang w:eastAsia="en-US"/>
        </w:rPr>
        <w:t xml:space="preserve"> i </w:t>
      </w:r>
      <w:r w:rsidRPr="00404DA5">
        <w:rPr>
          <w:rFonts w:eastAsia="Calibri"/>
          <w:szCs w:val="20"/>
          <w:lang w:eastAsia="en-US"/>
        </w:rPr>
        <w:t>obecnie wynosi 18,9%. Procent osób niepełnosprawnych zatrudnionych rósł systematycznie do 2014 roku, kiedy osiągnął najwyższą wartość 20%. Następnie, zmalał</w:t>
      </w:r>
      <w:r w:rsidR="00E66B89">
        <w:rPr>
          <w:rFonts w:eastAsia="Calibri"/>
          <w:szCs w:val="20"/>
          <w:lang w:eastAsia="en-US"/>
        </w:rPr>
        <w:t xml:space="preserve"> o </w:t>
      </w:r>
      <w:r w:rsidRPr="00404DA5">
        <w:rPr>
          <w:rFonts w:eastAsia="Calibri"/>
          <w:szCs w:val="20"/>
          <w:lang w:eastAsia="en-US"/>
        </w:rPr>
        <w:t>4 p</w:t>
      </w:r>
      <w:r>
        <w:rPr>
          <w:rFonts w:eastAsia="Calibri"/>
          <w:szCs w:val="20"/>
          <w:lang w:eastAsia="en-US"/>
        </w:rPr>
        <w:t>.</w:t>
      </w:r>
      <w:r w:rsidRPr="00404DA5">
        <w:rPr>
          <w:rFonts w:eastAsia="Calibri"/>
          <w:szCs w:val="20"/>
          <w:lang w:eastAsia="en-US"/>
        </w:rPr>
        <w:t>p.</w:t>
      </w:r>
      <w:r w:rsidR="00E66B89">
        <w:rPr>
          <w:rFonts w:eastAsia="Calibri"/>
          <w:szCs w:val="20"/>
          <w:lang w:eastAsia="en-US"/>
        </w:rPr>
        <w:t xml:space="preserve"> w </w:t>
      </w:r>
      <w:r w:rsidRPr="00404DA5">
        <w:rPr>
          <w:rFonts w:eastAsia="Calibri"/>
          <w:szCs w:val="20"/>
          <w:lang w:eastAsia="en-US"/>
        </w:rPr>
        <w:t>2015 roku. Pomimo tendencji wzrostowej, obecnie</w:t>
      </w:r>
      <w:r>
        <w:rPr>
          <w:rFonts w:eastAsia="Calibri"/>
          <w:szCs w:val="20"/>
          <w:lang w:eastAsia="en-US"/>
        </w:rPr>
        <w:t xml:space="preserve"> -</w:t>
      </w:r>
      <w:r w:rsidRPr="00404DA5">
        <w:rPr>
          <w:rFonts w:eastAsia="Calibri"/>
          <w:szCs w:val="20"/>
          <w:lang w:eastAsia="en-US"/>
        </w:rPr>
        <w:t xml:space="preserve"> zaraz po województwie podlaskim</w:t>
      </w:r>
      <w:r>
        <w:rPr>
          <w:rFonts w:eastAsia="Calibri"/>
          <w:szCs w:val="20"/>
          <w:lang w:eastAsia="en-US"/>
        </w:rPr>
        <w:t xml:space="preserve"> -</w:t>
      </w:r>
      <w:r w:rsidRPr="00404DA5">
        <w:rPr>
          <w:rFonts w:eastAsia="Calibri"/>
          <w:szCs w:val="20"/>
          <w:lang w:eastAsia="en-US"/>
        </w:rPr>
        <w:t xml:space="preserve"> jest to najniższy wynik</w:t>
      </w:r>
      <w:r w:rsidR="00E66B89">
        <w:rPr>
          <w:rFonts w:eastAsia="Calibri"/>
          <w:szCs w:val="20"/>
          <w:lang w:eastAsia="en-US"/>
        </w:rPr>
        <w:t xml:space="preserve"> w </w:t>
      </w:r>
      <w:r w:rsidRPr="00404DA5">
        <w:rPr>
          <w:rFonts w:eastAsia="Calibri"/>
          <w:szCs w:val="20"/>
          <w:lang w:eastAsia="en-US"/>
        </w:rPr>
        <w:t xml:space="preserve">Polsce. </w:t>
      </w:r>
    </w:p>
    <w:p w14:paraId="7B8801CA" w14:textId="4E13743B" w:rsidR="009D3A39" w:rsidRPr="00D87AE8" w:rsidRDefault="009D3A39" w:rsidP="00D87AE8">
      <w:pPr>
        <w:pStyle w:val="Legenda"/>
        <w:spacing w:after="0"/>
      </w:pPr>
      <w:bookmarkStart w:id="274" w:name="_Toc5311888"/>
      <w:r>
        <w:lastRenderedPageBreak/>
        <w:t xml:space="preserve">Wykres </w:t>
      </w:r>
      <w:r>
        <w:fldChar w:fldCharType="begin"/>
      </w:r>
      <w:r>
        <w:instrText xml:space="preserve"> SEQ Wykres \* ARABIC </w:instrText>
      </w:r>
      <w:r>
        <w:fldChar w:fldCharType="separate"/>
      </w:r>
      <w:r w:rsidR="00763345">
        <w:rPr>
          <w:noProof/>
        </w:rPr>
        <w:t>22</w:t>
      </w:r>
      <w:r>
        <w:fldChar w:fldCharType="end"/>
      </w:r>
      <w:r w:rsidRPr="00D87AE8">
        <w:t xml:space="preserve"> </w:t>
      </w:r>
      <w:r w:rsidRPr="00D47A80">
        <w:t>Udział osób pozostających bez pracy powyżej dwunastu miesięcy</w:t>
      </w:r>
      <w:r w:rsidR="00E66B89">
        <w:t xml:space="preserve"> w </w:t>
      </w:r>
      <w:r w:rsidRPr="00D47A80">
        <w:t>ogólnej liczbie osób bezrobotnych zarejestrowanych</w:t>
      </w:r>
      <w:r w:rsidR="00E66B89">
        <w:t xml:space="preserve"> w </w:t>
      </w:r>
      <w:r>
        <w:t>województwie zachodniopomorskim</w:t>
      </w:r>
      <w:r w:rsidRPr="00D47A80">
        <w:t xml:space="preserve"> [%]</w:t>
      </w:r>
      <w:bookmarkEnd w:id="274"/>
    </w:p>
    <w:p w14:paraId="2BB98CB5" w14:textId="4ADF1B27" w:rsidR="009D3A39" w:rsidRDefault="00C35619" w:rsidP="00CF71F2">
      <w:pPr>
        <w:spacing w:before="0" w:after="0"/>
        <w:rPr>
          <w:rFonts w:cs="Calibri"/>
          <w:i/>
          <w:sz w:val="18"/>
          <w:szCs w:val="20"/>
        </w:rPr>
      </w:pPr>
      <w:r w:rsidRPr="00D508B6">
        <w:rPr>
          <w:noProof/>
        </w:rPr>
        <w:drawing>
          <wp:inline distT="0" distB="0" distL="0" distR="0" wp14:anchorId="25A115B8" wp14:editId="43E1DCC4">
            <wp:extent cx="5762625" cy="1752600"/>
            <wp:effectExtent l="0" t="0" r="0" b="0"/>
            <wp:docPr id="4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57CC01" w14:textId="77777777" w:rsidR="009D3A39" w:rsidRPr="00EE66C6" w:rsidRDefault="009D3A39" w:rsidP="001245CE">
      <w:pPr>
        <w:spacing w:before="0"/>
        <w:rPr>
          <w:i/>
          <w:sz w:val="18"/>
          <w:szCs w:val="20"/>
        </w:rPr>
      </w:pPr>
      <w:r w:rsidRPr="00EE66C6">
        <w:rPr>
          <w:i/>
          <w:sz w:val="18"/>
          <w:szCs w:val="20"/>
        </w:rPr>
        <w:t>Źródło: opracowanie własne na podstawie danych dot. bezrobocia rejestrowanego</w:t>
      </w:r>
      <w:r w:rsidR="00E66B89" w:rsidRPr="00EE66C6">
        <w:rPr>
          <w:i/>
          <w:sz w:val="18"/>
          <w:szCs w:val="20"/>
        </w:rPr>
        <w:t xml:space="preserve"> w </w:t>
      </w:r>
      <w:r w:rsidRPr="00EE66C6">
        <w:rPr>
          <w:i/>
          <w:sz w:val="18"/>
          <w:szCs w:val="20"/>
        </w:rPr>
        <w:t>Polsce, Ministerstwo Rodziny, Pracy</w:t>
      </w:r>
      <w:r w:rsidR="00E66B89" w:rsidRPr="00EE66C6">
        <w:rPr>
          <w:i/>
          <w:sz w:val="18"/>
          <w:szCs w:val="20"/>
        </w:rPr>
        <w:t xml:space="preserve"> i </w:t>
      </w:r>
      <w:r w:rsidR="00DE0A94" w:rsidRPr="00EE66C6">
        <w:rPr>
          <w:i/>
          <w:sz w:val="18"/>
          <w:szCs w:val="20"/>
        </w:rPr>
        <w:t xml:space="preserve">Polityki </w:t>
      </w:r>
      <w:r w:rsidRPr="00EE66C6">
        <w:rPr>
          <w:i/>
          <w:sz w:val="18"/>
          <w:szCs w:val="20"/>
        </w:rPr>
        <w:t>Społecznej.</w:t>
      </w:r>
    </w:p>
    <w:p w14:paraId="2B3A0A72" w14:textId="77777777" w:rsidR="009D3A39" w:rsidRPr="00404DA5" w:rsidRDefault="009D3A39" w:rsidP="009D3A39">
      <w:pPr>
        <w:spacing w:after="200"/>
        <w:rPr>
          <w:rFonts w:eastAsia="Calibri"/>
          <w:szCs w:val="20"/>
          <w:lang w:eastAsia="en-US"/>
        </w:rPr>
      </w:pPr>
      <w:r>
        <w:rPr>
          <w:rFonts w:eastAsia="Calibri"/>
          <w:szCs w:val="20"/>
          <w:lang w:eastAsia="en-US"/>
        </w:rPr>
        <w:t>Istotny</w:t>
      </w:r>
      <w:r w:rsidRPr="00404DA5">
        <w:rPr>
          <w:rFonts w:eastAsia="Calibri"/>
          <w:szCs w:val="20"/>
          <w:lang w:eastAsia="en-US"/>
        </w:rPr>
        <w:t xml:space="preserve"> dla realizacji działań</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 jest wzrastający udział osób pozostających bez pracy powyżej dwunastu miesięcy</w:t>
      </w:r>
      <w:r w:rsidR="00E66B89">
        <w:rPr>
          <w:rFonts w:eastAsia="Calibri"/>
          <w:szCs w:val="20"/>
          <w:lang w:eastAsia="en-US"/>
        </w:rPr>
        <w:t xml:space="preserve"> w </w:t>
      </w:r>
      <w:r w:rsidRPr="00404DA5">
        <w:rPr>
          <w:rFonts w:eastAsia="Calibri"/>
          <w:szCs w:val="20"/>
          <w:lang w:eastAsia="en-US"/>
        </w:rPr>
        <w:t>liczbie osób bezrobotnych zarejestrowanych. Oznacza to, że</w:t>
      </w:r>
      <w:r w:rsidR="00E66B89">
        <w:rPr>
          <w:rFonts w:eastAsia="Calibri"/>
          <w:szCs w:val="20"/>
          <w:lang w:eastAsia="en-US"/>
        </w:rPr>
        <w:t xml:space="preserve"> z </w:t>
      </w:r>
      <w:r w:rsidRPr="00404DA5">
        <w:rPr>
          <w:rFonts w:eastAsia="Calibri"/>
          <w:szCs w:val="20"/>
          <w:lang w:eastAsia="en-US"/>
        </w:rPr>
        <w:t>jednej strony zmniejsza się liczba osób bezrobotnych,</w:t>
      </w:r>
      <w:r w:rsidR="00E66B89">
        <w:rPr>
          <w:rFonts w:eastAsia="Calibri"/>
          <w:szCs w:val="20"/>
          <w:lang w:eastAsia="en-US"/>
        </w:rPr>
        <w:t xml:space="preserve"> a z </w:t>
      </w:r>
      <w:r w:rsidRPr="00404DA5">
        <w:rPr>
          <w:rFonts w:eastAsia="Calibri"/>
          <w:szCs w:val="20"/>
          <w:lang w:eastAsia="en-US"/>
        </w:rPr>
        <w:t>drugiej</w:t>
      </w:r>
      <w:r w:rsidR="00E66B89">
        <w:rPr>
          <w:rFonts w:eastAsia="Calibri"/>
          <w:szCs w:val="20"/>
          <w:lang w:eastAsia="en-US"/>
        </w:rPr>
        <w:t xml:space="preserve"> w </w:t>
      </w:r>
      <w:r w:rsidRPr="00404DA5">
        <w:rPr>
          <w:rFonts w:eastAsia="Calibri"/>
          <w:szCs w:val="20"/>
          <w:lang w:eastAsia="en-US"/>
        </w:rPr>
        <w:t>obszarze aktywizacji społeczno-zawodowej pozostają osoby szczególnie wykluczone lub zagrożone wykluczeniem społecznym. Ponadto drugą, co do wielkości grupę</w:t>
      </w:r>
      <w:r>
        <w:rPr>
          <w:rFonts w:eastAsia="Calibri"/>
          <w:szCs w:val="20"/>
          <w:lang w:eastAsia="en-US"/>
        </w:rPr>
        <w:t xml:space="preserve"> -</w:t>
      </w:r>
      <w:r w:rsidRPr="00404DA5">
        <w:rPr>
          <w:rFonts w:eastAsia="Calibri"/>
          <w:szCs w:val="20"/>
          <w:lang w:eastAsia="en-US"/>
        </w:rPr>
        <w:t xml:space="preserve"> wśród osób bezrobotnych znajdujących się</w:t>
      </w:r>
      <w:r w:rsidR="00E66B89">
        <w:rPr>
          <w:rFonts w:eastAsia="Calibri"/>
          <w:szCs w:val="20"/>
          <w:lang w:eastAsia="en-US"/>
        </w:rPr>
        <w:t xml:space="preserve"> w </w:t>
      </w:r>
      <w:r w:rsidRPr="00404DA5">
        <w:rPr>
          <w:rFonts w:eastAsia="Calibri"/>
          <w:szCs w:val="20"/>
          <w:lang w:eastAsia="en-US"/>
        </w:rPr>
        <w:t>szczególnej sytuacji na rynku pracy</w:t>
      </w:r>
      <w:r>
        <w:rPr>
          <w:rFonts w:eastAsia="Calibri"/>
          <w:szCs w:val="20"/>
          <w:lang w:eastAsia="en-US"/>
        </w:rPr>
        <w:t xml:space="preserve"> -</w:t>
      </w:r>
      <w:r w:rsidRPr="00404DA5">
        <w:rPr>
          <w:rFonts w:eastAsia="Calibri"/>
          <w:szCs w:val="20"/>
          <w:lang w:eastAsia="en-US"/>
        </w:rPr>
        <w:t xml:space="preserve"> stanowią osoby powyżej 50 roku życia.</w:t>
      </w:r>
      <w:r w:rsidR="00E66B89">
        <w:rPr>
          <w:rFonts w:eastAsia="Calibri"/>
          <w:szCs w:val="20"/>
          <w:lang w:eastAsia="en-US"/>
        </w:rPr>
        <w:t xml:space="preserve"> W </w:t>
      </w:r>
      <w:r w:rsidRPr="00404DA5">
        <w:rPr>
          <w:rFonts w:eastAsia="Calibri"/>
          <w:szCs w:val="20"/>
          <w:lang w:eastAsia="en-US"/>
        </w:rPr>
        <w:t>związku ze zmieniającą się strukturą wiekową społeczeństwa, szczególny nacisk należy kłaść na aktywizację osób</w:t>
      </w:r>
      <w:r w:rsidR="00E66B89">
        <w:rPr>
          <w:rFonts w:eastAsia="Calibri"/>
          <w:szCs w:val="20"/>
          <w:lang w:eastAsia="en-US"/>
        </w:rPr>
        <w:t xml:space="preserve"> w </w:t>
      </w:r>
      <w:r w:rsidRPr="00404DA5">
        <w:rPr>
          <w:rFonts w:eastAsia="Calibri"/>
          <w:szCs w:val="20"/>
          <w:lang w:eastAsia="en-US"/>
        </w:rPr>
        <w:t>wieku powyżej 50 lat. Jest to przede wszystkim zadanie realizowane</w:t>
      </w:r>
      <w:r w:rsidR="00E66B89">
        <w:rPr>
          <w:rFonts w:eastAsia="Calibri"/>
          <w:szCs w:val="20"/>
          <w:lang w:eastAsia="en-US"/>
        </w:rPr>
        <w:t xml:space="preserve"> w </w:t>
      </w:r>
      <w:r w:rsidRPr="00404DA5">
        <w:rPr>
          <w:rFonts w:eastAsia="Calibri"/>
          <w:szCs w:val="20"/>
          <w:lang w:eastAsia="en-US"/>
        </w:rPr>
        <w:t>ramach OP VI, niemniej jednak działania</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 mogą wesprzeć realizację tego celu. Należy mieć na uwadze, że osoby powyżej 50 roku życia są bardziej narażone na wykluczenie społeczne</w:t>
      </w:r>
      <w:r>
        <w:rPr>
          <w:rFonts w:eastAsia="Calibri"/>
          <w:szCs w:val="20"/>
          <w:lang w:eastAsia="en-US"/>
        </w:rPr>
        <w:t xml:space="preserve"> -</w:t>
      </w:r>
      <w:r w:rsidRPr="00404DA5">
        <w:rPr>
          <w:rFonts w:eastAsia="Calibri"/>
          <w:szCs w:val="20"/>
          <w:lang w:eastAsia="en-US"/>
        </w:rPr>
        <w:t xml:space="preserve"> zwłaszcza, jeśli nie podejmują pracy. Biorąc pod uwagę, że osoby</w:t>
      </w:r>
      <w:r w:rsidR="00E66B89">
        <w:rPr>
          <w:rFonts w:eastAsia="Calibri"/>
          <w:szCs w:val="20"/>
          <w:lang w:eastAsia="en-US"/>
        </w:rPr>
        <w:t xml:space="preserve"> w </w:t>
      </w:r>
      <w:r w:rsidRPr="00404DA5">
        <w:rPr>
          <w:rFonts w:eastAsia="Calibri"/>
          <w:szCs w:val="20"/>
          <w:lang w:eastAsia="en-US"/>
        </w:rPr>
        <w:t>wieku poprodukcyjnym są coraz częstszymi klientami pomocy społecznej, to właśnie ta grupa</w:t>
      </w:r>
      <w:r w:rsidR="00E66B89">
        <w:rPr>
          <w:rFonts w:eastAsia="Calibri"/>
          <w:szCs w:val="20"/>
          <w:lang w:eastAsia="en-US"/>
        </w:rPr>
        <w:t xml:space="preserve"> w </w:t>
      </w:r>
      <w:r w:rsidRPr="00404DA5">
        <w:rPr>
          <w:rFonts w:eastAsia="Calibri"/>
          <w:szCs w:val="20"/>
          <w:lang w:eastAsia="en-US"/>
        </w:rPr>
        <w:t>najbliższym czasie powinna stać się grupą docelową projektów realizowanych</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 Poziom zatrudnienia osób</w:t>
      </w:r>
      <w:r w:rsidR="00E66B89">
        <w:rPr>
          <w:rFonts w:eastAsia="Calibri"/>
          <w:szCs w:val="20"/>
          <w:lang w:eastAsia="en-US"/>
        </w:rPr>
        <w:t xml:space="preserve"> w </w:t>
      </w:r>
      <w:r w:rsidRPr="00404DA5">
        <w:rPr>
          <w:rFonts w:eastAsia="Calibri"/>
          <w:szCs w:val="20"/>
          <w:lang w:eastAsia="en-US"/>
        </w:rPr>
        <w:t>wieku 55-64 lat</w:t>
      </w:r>
      <w:r w:rsidR="00E66B89">
        <w:rPr>
          <w:rFonts w:eastAsia="Calibri"/>
          <w:szCs w:val="20"/>
          <w:lang w:eastAsia="en-US"/>
        </w:rPr>
        <w:t xml:space="preserve"> w </w:t>
      </w:r>
      <w:r w:rsidRPr="00404DA5">
        <w:rPr>
          <w:rFonts w:eastAsia="Calibri"/>
          <w:szCs w:val="20"/>
          <w:lang w:eastAsia="en-US"/>
        </w:rPr>
        <w:t>201</w:t>
      </w:r>
      <w:r>
        <w:rPr>
          <w:rFonts w:eastAsia="Calibri"/>
          <w:szCs w:val="20"/>
          <w:lang w:eastAsia="en-US"/>
        </w:rPr>
        <w:t>4</w:t>
      </w:r>
      <w:r w:rsidRPr="00404DA5">
        <w:rPr>
          <w:rFonts w:eastAsia="Calibri"/>
          <w:szCs w:val="20"/>
          <w:lang w:eastAsia="en-US"/>
        </w:rPr>
        <w:t xml:space="preserve"> roku wynosił </w:t>
      </w:r>
      <w:r>
        <w:rPr>
          <w:rFonts w:eastAsia="Calibri"/>
          <w:szCs w:val="20"/>
          <w:lang w:eastAsia="en-US"/>
        </w:rPr>
        <w:t>41,3</w:t>
      </w:r>
      <w:r w:rsidRPr="00404DA5">
        <w:rPr>
          <w:rFonts w:eastAsia="Calibri"/>
          <w:szCs w:val="20"/>
          <w:lang w:eastAsia="en-US"/>
        </w:rPr>
        <w:t>%, natomiast</w:t>
      </w:r>
      <w:r w:rsidR="00E66B89">
        <w:rPr>
          <w:rFonts w:eastAsia="Calibri"/>
          <w:szCs w:val="20"/>
          <w:lang w:eastAsia="en-US"/>
        </w:rPr>
        <w:t xml:space="preserve"> w </w:t>
      </w:r>
      <w:r w:rsidRPr="00404DA5">
        <w:rPr>
          <w:rFonts w:eastAsia="Calibri"/>
          <w:szCs w:val="20"/>
          <w:lang w:eastAsia="en-US"/>
        </w:rPr>
        <w:t>2018 roku</w:t>
      </w:r>
      <w:r>
        <w:rPr>
          <w:rFonts w:eastAsia="Calibri"/>
          <w:szCs w:val="20"/>
          <w:lang w:eastAsia="en-US"/>
        </w:rPr>
        <w:t xml:space="preserve"> -</w:t>
      </w:r>
      <w:r w:rsidRPr="00404DA5">
        <w:rPr>
          <w:rFonts w:eastAsia="Calibri"/>
          <w:szCs w:val="20"/>
          <w:lang w:eastAsia="en-US"/>
        </w:rPr>
        <w:t xml:space="preserve"> 48,6%. Niemniej jednak</w:t>
      </w:r>
      <w:r>
        <w:rPr>
          <w:rFonts w:eastAsia="Calibri"/>
          <w:szCs w:val="20"/>
          <w:lang w:eastAsia="en-US"/>
        </w:rPr>
        <w:t>,</w:t>
      </w:r>
      <w:r w:rsidRPr="00404DA5">
        <w:rPr>
          <w:rFonts w:eastAsia="Calibri"/>
          <w:szCs w:val="20"/>
          <w:lang w:eastAsia="en-US"/>
        </w:rPr>
        <w:t xml:space="preserve"> wciąż </w:t>
      </w:r>
      <w:r>
        <w:rPr>
          <w:rFonts w:eastAsia="Calibri"/>
          <w:szCs w:val="20"/>
          <w:lang w:eastAsia="en-US"/>
        </w:rPr>
        <w:t>ponad</w:t>
      </w:r>
      <w:r w:rsidRPr="00404DA5">
        <w:rPr>
          <w:rFonts w:eastAsia="Calibri"/>
          <w:szCs w:val="20"/>
          <w:lang w:eastAsia="en-US"/>
        </w:rPr>
        <w:t xml:space="preserve"> połowa osób</w:t>
      </w:r>
      <w:r w:rsidR="00E66B89">
        <w:rPr>
          <w:rFonts w:eastAsia="Calibri"/>
          <w:szCs w:val="20"/>
          <w:lang w:eastAsia="en-US"/>
        </w:rPr>
        <w:t xml:space="preserve"> w </w:t>
      </w:r>
      <w:r w:rsidRPr="00404DA5">
        <w:rPr>
          <w:rFonts w:eastAsia="Calibri"/>
          <w:szCs w:val="20"/>
          <w:lang w:eastAsia="en-US"/>
        </w:rPr>
        <w:t>wieku 55-64 lat jest nieaktywna zawodowo. Należałoby zdiagnozować dokładniej przyczyny braku aktywności</w:t>
      </w:r>
      <w:r>
        <w:rPr>
          <w:rFonts w:eastAsia="Calibri"/>
          <w:szCs w:val="20"/>
          <w:lang w:eastAsia="en-US"/>
        </w:rPr>
        <w:t xml:space="preserve"> -</w:t>
      </w:r>
      <w:r w:rsidRPr="00404DA5">
        <w:rPr>
          <w:rFonts w:eastAsia="Calibri"/>
          <w:szCs w:val="20"/>
          <w:lang w:eastAsia="en-US"/>
        </w:rPr>
        <w:t xml:space="preserve"> co pozwoliłoby na oszacowanie, na ile grupa ta kwalifikuje się do wsparcia</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 Takie opracowania mogłyby zostać uwzględnione</w:t>
      </w:r>
      <w:r w:rsidR="00E66B89">
        <w:rPr>
          <w:rFonts w:eastAsia="Calibri"/>
          <w:szCs w:val="20"/>
          <w:lang w:eastAsia="en-US"/>
        </w:rPr>
        <w:t xml:space="preserve"> w </w:t>
      </w:r>
      <w:r w:rsidRPr="00404DA5">
        <w:rPr>
          <w:rFonts w:eastAsia="Calibri"/>
          <w:szCs w:val="20"/>
          <w:lang w:eastAsia="en-US"/>
        </w:rPr>
        <w:t>diagnozie prowadzonej przez potencjalnych beneficjentów. Malejące bezrobocie jest czynnikiem, który negatywnie wpływa na realizację Programu tj. powoduje trudności</w:t>
      </w:r>
      <w:r w:rsidR="00E66B89">
        <w:rPr>
          <w:rFonts w:eastAsia="Calibri"/>
          <w:szCs w:val="20"/>
          <w:lang w:eastAsia="en-US"/>
        </w:rPr>
        <w:t xml:space="preserve"> w </w:t>
      </w:r>
      <w:r w:rsidRPr="00404DA5">
        <w:rPr>
          <w:rFonts w:eastAsia="Calibri"/>
          <w:szCs w:val="20"/>
          <w:lang w:eastAsia="en-US"/>
        </w:rPr>
        <w:t xml:space="preserve">rekrutacji. Niemniej jednak dla grupy 50+ jest to czynnik, który może sprzyjać aktywizacji. Wraz ze zmniejszaniem się bezrobocia, maleje też podaż pracowników na rynku pracy, zatem przedsiębiorcy będą bardziej skłonni </w:t>
      </w:r>
      <w:r w:rsidR="00DE0A94">
        <w:rPr>
          <w:rFonts w:eastAsia="Calibri"/>
          <w:szCs w:val="20"/>
          <w:lang w:eastAsia="en-US"/>
        </w:rPr>
        <w:t>d</w:t>
      </w:r>
      <w:r w:rsidR="00DE0A94" w:rsidRPr="00404DA5">
        <w:rPr>
          <w:rFonts w:eastAsia="Calibri"/>
          <w:szCs w:val="20"/>
          <w:lang w:eastAsia="en-US"/>
        </w:rPr>
        <w:t xml:space="preserve">o </w:t>
      </w:r>
      <w:r w:rsidRPr="00404DA5">
        <w:rPr>
          <w:rFonts w:eastAsia="Calibri"/>
          <w:szCs w:val="20"/>
          <w:lang w:eastAsia="en-US"/>
        </w:rPr>
        <w:t xml:space="preserve">zatrudniania osób 50+. </w:t>
      </w:r>
    </w:p>
    <w:p w14:paraId="6CAF8736" w14:textId="77777777" w:rsidR="009D3A39" w:rsidRPr="00404DA5" w:rsidRDefault="009D3A39" w:rsidP="009D3A39">
      <w:pPr>
        <w:spacing w:after="200"/>
        <w:rPr>
          <w:rFonts w:eastAsia="Calibri"/>
          <w:szCs w:val="20"/>
          <w:lang w:eastAsia="en-US"/>
        </w:rPr>
      </w:pPr>
      <w:r w:rsidRPr="00404DA5">
        <w:rPr>
          <w:rFonts w:eastAsia="Calibri"/>
          <w:szCs w:val="20"/>
          <w:lang w:eastAsia="en-US"/>
        </w:rPr>
        <w:t>Wśród osób, które korzystają</w:t>
      </w:r>
      <w:r w:rsidR="00E66B89">
        <w:rPr>
          <w:rFonts w:eastAsia="Calibri"/>
          <w:szCs w:val="20"/>
          <w:lang w:eastAsia="en-US"/>
        </w:rPr>
        <w:t xml:space="preserve"> z </w:t>
      </w:r>
      <w:r w:rsidRPr="00404DA5">
        <w:rPr>
          <w:rFonts w:eastAsia="Calibri"/>
          <w:szCs w:val="20"/>
          <w:lang w:eastAsia="en-US"/>
        </w:rPr>
        <w:t>pomocy społecznej</w:t>
      </w:r>
      <w:r>
        <w:rPr>
          <w:rFonts w:eastAsia="Calibri"/>
          <w:szCs w:val="20"/>
          <w:lang w:eastAsia="en-US"/>
        </w:rPr>
        <w:t xml:space="preserve"> -</w:t>
      </w:r>
      <w:r w:rsidRPr="00404DA5">
        <w:rPr>
          <w:rFonts w:eastAsia="Calibri"/>
          <w:szCs w:val="20"/>
          <w:lang w:eastAsia="en-US"/>
        </w:rPr>
        <w:t xml:space="preserve"> niezmiennie od lat</w:t>
      </w:r>
      <w:r>
        <w:rPr>
          <w:rFonts w:eastAsia="Calibri"/>
          <w:szCs w:val="20"/>
          <w:lang w:eastAsia="en-US"/>
        </w:rPr>
        <w:t xml:space="preserve"> -</w:t>
      </w:r>
      <w:r w:rsidRPr="00404DA5">
        <w:rPr>
          <w:rFonts w:eastAsia="Calibri"/>
          <w:szCs w:val="20"/>
          <w:lang w:eastAsia="en-US"/>
        </w:rPr>
        <w:t xml:space="preserve"> najwięcej jest osób bezrobotnych</w:t>
      </w:r>
      <w:r w:rsidR="00E66B89">
        <w:rPr>
          <w:rFonts w:eastAsia="Calibri"/>
          <w:szCs w:val="20"/>
          <w:lang w:eastAsia="en-US"/>
        </w:rPr>
        <w:t xml:space="preserve"> i </w:t>
      </w:r>
      <w:r w:rsidRPr="00404DA5">
        <w:rPr>
          <w:rFonts w:eastAsia="Calibri"/>
          <w:szCs w:val="20"/>
          <w:lang w:eastAsia="en-US"/>
        </w:rPr>
        <w:t>ubogich.</w:t>
      </w:r>
      <w:r w:rsidR="00E66B89">
        <w:rPr>
          <w:rFonts w:eastAsia="Calibri"/>
          <w:szCs w:val="20"/>
          <w:lang w:eastAsia="en-US"/>
        </w:rPr>
        <w:t xml:space="preserve"> W </w:t>
      </w:r>
      <w:r w:rsidRPr="00404DA5">
        <w:rPr>
          <w:rFonts w:eastAsia="Calibri"/>
          <w:szCs w:val="20"/>
          <w:lang w:eastAsia="en-US"/>
        </w:rPr>
        <w:t>większości gmin pomoc skupia się głównie na świadczeniach pieniężnych, co odzwierciedla</w:t>
      </w:r>
      <w:r w:rsidR="00E66B89">
        <w:rPr>
          <w:rFonts w:eastAsia="Calibri"/>
          <w:szCs w:val="20"/>
          <w:lang w:eastAsia="en-US"/>
        </w:rPr>
        <w:t xml:space="preserve"> w </w:t>
      </w:r>
      <w:r w:rsidRPr="00404DA5">
        <w:rPr>
          <w:rFonts w:eastAsia="Calibri"/>
          <w:szCs w:val="20"/>
          <w:lang w:eastAsia="en-US"/>
        </w:rPr>
        <w:t>pewnym sensie zidentyfikowany wcześniej niski potencjał aplikacyjny wśród PCPR</w:t>
      </w:r>
      <w:r w:rsidR="00E66B89">
        <w:rPr>
          <w:rFonts w:eastAsia="Calibri"/>
          <w:szCs w:val="20"/>
          <w:lang w:eastAsia="en-US"/>
        </w:rPr>
        <w:t xml:space="preserve"> i </w:t>
      </w:r>
      <w:r w:rsidRPr="00404DA5">
        <w:rPr>
          <w:rFonts w:eastAsia="Calibri"/>
          <w:szCs w:val="20"/>
          <w:lang w:eastAsia="en-US"/>
        </w:rPr>
        <w:t>OPS. Brakuje kompleksowych działań służących integracji</w:t>
      </w:r>
      <w:r w:rsidR="00E66B89">
        <w:rPr>
          <w:rFonts w:eastAsia="Calibri"/>
          <w:szCs w:val="20"/>
          <w:lang w:eastAsia="en-US"/>
        </w:rPr>
        <w:t xml:space="preserve"> i </w:t>
      </w:r>
      <w:r w:rsidRPr="00404DA5">
        <w:rPr>
          <w:rFonts w:eastAsia="Calibri"/>
          <w:szCs w:val="20"/>
          <w:lang w:eastAsia="en-US"/>
        </w:rPr>
        <w:t>aktywizacji społecznej. Największy udział osób korzystających</w:t>
      </w:r>
      <w:r w:rsidR="00E66B89">
        <w:rPr>
          <w:rFonts w:eastAsia="Calibri"/>
          <w:szCs w:val="20"/>
          <w:lang w:eastAsia="en-US"/>
        </w:rPr>
        <w:t xml:space="preserve"> z </w:t>
      </w:r>
      <w:r w:rsidRPr="00404DA5">
        <w:rPr>
          <w:rFonts w:eastAsia="Calibri"/>
          <w:szCs w:val="20"/>
          <w:lang w:eastAsia="en-US"/>
        </w:rPr>
        <w:t>pomocy społecznej występuje</w:t>
      </w:r>
      <w:r w:rsidR="00E66B89">
        <w:rPr>
          <w:rFonts w:eastAsia="Calibri"/>
          <w:szCs w:val="20"/>
          <w:lang w:eastAsia="en-US"/>
        </w:rPr>
        <w:t xml:space="preserve"> w </w:t>
      </w:r>
      <w:r w:rsidRPr="00404DA5">
        <w:rPr>
          <w:rFonts w:eastAsia="Calibri"/>
          <w:szCs w:val="20"/>
          <w:lang w:eastAsia="en-US"/>
        </w:rPr>
        <w:t>powiatach świdwińskim, białogardzkim oraz łobeskim. Powiaty te charakteryzuje m. in. wysok</w:t>
      </w:r>
      <w:r>
        <w:rPr>
          <w:rFonts w:eastAsia="Calibri"/>
          <w:szCs w:val="20"/>
          <w:lang w:eastAsia="en-US"/>
        </w:rPr>
        <w:t>a</w:t>
      </w:r>
      <w:r w:rsidRPr="00404DA5">
        <w:rPr>
          <w:rFonts w:eastAsia="Calibri"/>
          <w:szCs w:val="20"/>
          <w:lang w:eastAsia="en-US"/>
        </w:rPr>
        <w:t xml:space="preserve"> stopa bezrobocia.</w:t>
      </w:r>
    </w:p>
    <w:p w14:paraId="24E30D9E" w14:textId="77777777" w:rsidR="009D3A39" w:rsidRDefault="009D3A39" w:rsidP="00D87AE8">
      <w:pPr>
        <w:pStyle w:val="Legenda"/>
        <w:spacing w:after="0"/>
      </w:pPr>
      <w:bookmarkStart w:id="275" w:name="_Toc5311889"/>
      <w:r>
        <w:lastRenderedPageBreak/>
        <w:t xml:space="preserve">Wykres </w:t>
      </w:r>
      <w:r>
        <w:fldChar w:fldCharType="begin"/>
      </w:r>
      <w:r>
        <w:instrText xml:space="preserve"> SEQ Wykres \* ARABIC </w:instrText>
      </w:r>
      <w:r>
        <w:fldChar w:fldCharType="separate"/>
      </w:r>
      <w:r w:rsidR="00763345">
        <w:rPr>
          <w:noProof/>
        </w:rPr>
        <w:t>23</w:t>
      </w:r>
      <w:r>
        <w:fldChar w:fldCharType="end"/>
      </w:r>
      <w:r w:rsidRPr="00A73C62">
        <w:t xml:space="preserve"> Wskaźnik zagrożenia </w:t>
      </w:r>
      <w:r>
        <w:t>ubóstwem relatywnym</w:t>
      </w:r>
      <w:r w:rsidR="00E66B89">
        <w:t xml:space="preserve"> w </w:t>
      </w:r>
      <w:r>
        <w:t>województwie zachodniopomorskim</w:t>
      </w:r>
      <w:r w:rsidRPr="00A73C62">
        <w:t xml:space="preserve"> [%]</w:t>
      </w:r>
      <w:bookmarkEnd w:id="275"/>
    </w:p>
    <w:p w14:paraId="358E2890" w14:textId="49D96A28" w:rsidR="009D3A39" w:rsidRPr="00404DA5" w:rsidRDefault="00C35619" w:rsidP="00CF71F2">
      <w:pPr>
        <w:spacing w:before="0" w:after="0" w:line="276" w:lineRule="auto"/>
        <w:rPr>
          <w:rFonts w:eastAsia="Calibri"/>
          <w:szCs w:val="20"/>
          <w:lang w:eastAsia="en-US"/>
        </w:rPr>
      </w:pPr>
      <w:r w:rsidRPr="005F04FC">
        <w:rPr>
          <w:rFonts w:eastAsia="Calibri"/>
          <w:noProof/>
          <w:szCs w:val="20"/>
        </w:rPr>
        <w:drawing>
          <wp:inline distT="0" distB="0" distL="0" distR="0" wp14:anchorId="2FCAEC31" wp14:editId="3B8DCC0A">
            <wp:extent cx="5738495" cy="1637030"/>
            <wp:effectExtent l="0" t="0" r="14605" b="1270"/>
            <wp:docPr id="46" name="Wykres 18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B6DEB3" w14:textId="77777777" w:rsidR="009D3A39" w:rsidRPr="00EE66C6" w:rsidRDefault="009D3A39" w:rsidP="001245CE">
      <w:pPr>
        <w:spacing w:before="0"/>
        <w:rPr>
          <w:i/>
          <w:sz w:val="18"/>
          <w:szCs w:val="20"/>
        </w:rPr>
      </w:pPr>
      <w:r w:rsidRPr="00EE66C6">
        <w:rPr>
          <w:i/>
          <w:sz w:val="18"/>
          <w:szCs w:val="20"/>
        </w:rPr>
        <w:t>Źródło: GUS BDL.</w:t>
      </w:r>
    </w:p>
    <w:p w14:paraId="678A5051" w14:textId="77777777" w:rsidR="009D3A39" w:rsidRPr="00404DA5" w:rsidRDefault="009D3A39" w:rsidP="009D3A39">
      <w:pPr>
        <w:rPr>
          <w:rFonts w:eastAsia="Calibri"/>
          <w:szCs w:val="20"/>
          <w:lang w:eastAsia="en-US"/>
        </w:rPr>
      </w:pPr>
      <w:r w:rsidRPr="00404DA5">
        <w:rPr>
          <w:rFonts w:eastAsia="Calibri"/>
          <w:szCs w:val="20"/>
          <w:lang w:eastAsia="en-US"/>
        </w:rPr>
        <w:t>Od 201</w:t>
      </w:r>
      <w:r>
        <w:rPr>
          <w:rFonts w:eastAsia="Calibri"/>
          <w:szCs w:val="20"/>
          <w:lang w:eastAsia="en-US"/>
        </w:rPr>
        <w:t>4</w:t>
      </w:r>
      <w:r w:rsidRPr="00404DA5">
        <w:rPr>
          <w:rFonts w:eastAsia="Calibri"/>
          <w:szCs w:val="20"/>
          <w:lang w:eastAsia="en-US"/>
        </w:rPr>
        <w:t xml:space="preserve"> roku procent osób zagrożonych ubóstwem relatywnym</w:t>
      </w:r>
      <w:r w:rsidR="00E66B89">
        <w:rPr>
          <w:rFonts w:eastAsia="Calibri"/>
          <w:szCs w:val="20"/>
          <w:lang w:eastAsia="en-US"/>
        </w:rPr>
        <w:t xml:space="preserve"> w </w:t>
      </w:r>
      <w:r>
        <w:rPr>
          <w:rFonts w:eastAsia="Calibri"/>
          <w:szCs w:val="20"/>
          <w:lang w:eastAsia="en-US"/>
        </w:rPr>
        <w:t>województwie zachodniopomorskim</w:t>
      </w:r>
      <w:r w:rsidRPr="00404DA5">
        <w:rPr>
          <w:rFonts w:eastAsia="Calibri"/>
          <w:szCs w:val="20"/>
          <w:lang w:eastAsia="en-US"/>
        </w:rPr>
        <w:t xml:space="preserve"> zmniejszył się</w:t>
      </w:r>
      <w:r w:rsidR="00E66B89">
        <w:rPr>
          <w:rFonts w:eastAsia="Calibri"/>
          <w:szCs w:val="20"/>
          <w:lang w:eastAsia="en-US"/>
        </w:rPr>
        <w:t xml:space="preserve"> z </w:t>
      </w:r>
      <w:r>
        <w:rPr>
          <w:rFonts w:eastAsia="Calibri"/>
          <w:szCs w:val="20"/>
          <w:lang w:eastAsia="en-US"/>
        </w:rPr>
        <w:t>15,3</w:t>
      </w:r>
      <w:r w:rsidRPr="00404DA5">
        <w:rPr>
          <w:rFonts w:eastAsia="Calibri"/>
          <w:szCs w:val="20"/>
          <w:lang w:eastAsia="en-US"/>
        </w:rPr>
        <w:t>% do 9,1%</w:t>
      </w:r>
      <w:r w:rsidR="00E66B89">
        <w:rPr>
          <w:rFonts w:eastAsia="Calibri"/>
          <w:szCs w:val="20"/>
          <w:lang w:eastAsia="en-US"/>
        </w:rPr>
        <w:t xml:space="preserve"> w </w:t>
      </w:r>
      <w:r w:rsidRPr="00404DA5">
        <w:rPr>
          <w:rFonts w:eastAsia="Calibri"/>
          <w:szCs w:val="20"/>
          <w:lang w:eastAsia="en-US"/>
        </w:rPr>
        <w:t>2017 roku</w:t>
      </w:r>
      <w:r w:rsidR="00E66B89">
        <w:rPr>
          <w:rFonts w:eastAsia="Calibri"/>
          <w:szCs w:val="20"/>
          <w:lang w:eastAsia="en-US"/>
        </w:rPr>
        <w:t xml:space="preserve"> i </w:t>
      </w:r>
      <w:r w:rsidRPr="00404DA5">
        <w:rPr>
          <w:rFonts w:eastAsia="Calibri"/>
          <w:szCs w:val="20"/>
          <w:lang w:eastAsia="en-US"/>
        </w:rPr>
        <w:t>był</w:t>
      </w:r>
      <w:r w:rsidR="00E66B89">
        <w:rPr>
          <w:rFonts w:eastAsia="Calibri"/>
          <w:szCs w:val="20"/>
          <w:lang w:eastAsia="en-US"/>
        </w:rPr>
        <w:t xml:space="preserve"> o </w:t>
      </w:r>
      <w:r w:rsidRPr="00404DA5">
        <w:rPr>
          <w:rFonts w:eastAsia="Calibri"/>
          <w:szCs w:val="20"/>
          <w:lang w:eastAsia="en-US"/>
        </w:rPr>
        <w:t>4 p</w:t>
      </w:r>
      <w:r>
        <w:rPr>
          <w:rFonts w:eastAsia="Calibri"/>
          <w:szCs w:val="20"/>
          <w:lang w:eastAsia="en-US"/>
        </w:rPr>
        <w:t>.</w:t>
      </w:r>
      <w:r w:rsidRPr="00404DA5">
        <w:rPr>
          <w:rFonts w:eastAsia="Calibri"/>
          <w:szCs w:val="20"/>
          <w:lang w:eastAsia="en-US"/>
        </w:rPr>
        <w:t>p</w:t>
      </w:r>
      <w:r>
        <w:rPr>
          <w:rFonts w:eastAsia="Calibri"/>
          <w:szCs w:val="20"/>
          <w:lang w:eastAsia="en-US"/>
        </w:rPr>
        <w:t>.</w:t>
      </w:r>
      <w:r w:rsidRPr="00404DA5">
        <w:rPr>
          <w:rFonts w:eastAsia="Calibri"/>
          <w:szCs w:val="20"/>
          <w:lang w:eastAsia="en-US"/>
        </w:rPr>
        <w:t xml:space="preserve"> niższy, niż średnia krajowa. Jest to obecnie jeden</w:t>
      </w:r>
      <w:r w:rsidR="00E66B89">
        <w:rPr>
          <w:rFonts w:eastAsia="Calibri"/>
          <w:szCs w:val="20"/>
          <w:lang w:eastAsia="en-US"/>
        </w:rPr>
        <w:t xml:space="preserve"> z </w:t>
      </w:r>
      <w:r w:rsidRPr="00404DA5">
        <w:rPr>
          <w:rFonts w:eastAsia="Calibri"/>
          <w:szCs w:val="20"/>
          <w:lang w:eastAsia="en-US"/>
        </w:rPr>
        <w:t>najlepszych wyników</w:t>
      </w:r>
      <w:r w:rsidR="00E66B89">
        <w:rPr>
          <w:rFonts w:eastAsia="Calibri"/>
          <w:szCs w:val="20"/>
          <w:lang w:eastAsia="en-US"/>
        </w:rPr>
        <w:t xml:space="preserve"> w </w:t>
      </w:r>
      <w:r w:rsidRPr="00404DA5">
        <w:rPr>
          <w:rFonts w:eastAsia="Calibri"/>
          <w:szCs w:val="20"/>
          <w:lang w:eastAsia="en-US"/>
        </w:rPr>
        <w:t xml:space="preserve">całym kraju. </w:t>
      </w:r>
    </w:p>
    <w:p w14:paraId="403824B8" w14:textId="77777777" w:rsidR="009D3A39" w:rsidRDefault="009D3A39" w:rsidP="00D87AE8">
      <w:pPr>
        <w:pStyle w:val="Legenda"/>
        <w:spacing w:after="0"/>
      </w:pPr>
      <w:bookmarkStart w:id="276" w:name="_Toc5311890"/>
      <w:r>
        <w:t xml:space="preserve">Wykres </w:t>
      </w:r>
      <w:r>
        <w:fldChar w:fldCharType="begin"/>
      </w:r>
      <w:r>
        <w:instrText xml:space="preserve"> SEQ Wykres \* ARABIC </w:instrText>
      </w:r>
      <w:r>
        <w:fldChar w:fldCharType="separate"/>
      </w:r>
      <w:r w:rsidR="00763345">
        <w:rPr>
          <w:noProof/>
        </w:rPr>
        <w:t>24</w:t>
      </w:r>
      <w:r>
        <w:fldChar w:fldCharType="end"/>
      </w:r>
      <w:r w:rsidRPr="006A3D85">
        <w:t xml:space="preserve"> </w:t>
      </w:r>
      <w:r>
        <w:t>P</w:t>
      </w:r>
      <w:r w:rsidRPr="006A3D85">
        <w:t>rzeciętny miesięczny dochód do dyspozycji na 1 osobę</w:t>
      </w:r>
      <w:r w:rsidR="00E66B89">
        <w:t xml:space="preserve"> w </w:t>
      </w:r>
      <w:r w:rsidRPr="006A3D85">
        <w:t>gospodarstwie domowym</w:t>
      </w:r>
      <w:r w:rsidR="00E66B89">
        <w:t xml:space="preserve"> w </w:t>
      </w:r>
      <w:r>
        <w:t>województwie zachodniopomorskim</w:t>
      </w:r>
      <w:bookmarkEnd w:id="276"/>
    </w:p>
    <w:p w14:paraId="44E572E5" w14:textId="7B95CC1B" w:rsidR="009D3A39" w:rsidRPr="00404DA5" w:rsidRDefault="00C35619" w:rsidP="00CF71F2">
      <w:pPr>
        <w:spacing w:before="0" w:after="0" w:line="276" w:lineRule="auto"/>
        <w:rPr>
          <w:rFonts w:eastAsia="Calibri"/>
          <w:szCs w:val="20"/>
          <w:lang w:eastAsia="en-US"/>
        </w:rPr>
      </w:pPr>
      <w:r w:rsidRPr="005F04FC">
        <w:rPr>
          <w:rFonts w:eastAsia="Calibri"/>
          <w:noProof/>
          <w:szCs w:val="20"/>
        </w:rPr>
        <w:drawing>
          <wp:inline distT="0" distB="0" distL="0" distR="0" wp14:anchorId="16D3DE0F" wp14:editId="47F420A9">
            <wp:extent cx="5738495" cy="1575435"/>
            <wp:effectExtent l="0" t="0" r="14605" b="5715"/>
            <wp:docPr id="47" name="Wykres 18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75A30B" w14:textId="77777777" w:rsidR="009D3A39" w:rsidRPr="00EE66C6" w:rsidRDefault="009D3A39" w:rsidP="001245CE">
      <w:pPr>
        <w:spacing w:before="0"/>
        <w:rPr>
          <w:i/>
          <w:sz w:val="18"/>
          <w:szCs w:val="20"/>
        </w:rPr>
      </w:pPr>
      <w:r w:rsidRPr="00EE66C6">
        <w:rPr>
          <w:i/>
          <w:sz w:val="18"/>
          <w:szCs w:val="20"/>
        </w:rPr>
        <w:t>Źródło: GUS BDL.</w:t>
      </w:r>
    </w:p>
    <w:p w14:paraId="08FCAD66" w14:textId="77777777" w:rsidR="009D3A39" w:rsidRPr="00404DA5" w:rsidRDefault="009D3A39" w:rsidP="009D3A39">
      <w:pPr>
        <w:rPr>
          <w:rFonts w:eastAsia="Calibri"/>
          <w:szCs w:val="20"/>
          <w:lang w:eastAsia="en-US"/>
        </w:rPr>
      </w:pPr>
      <w:r w:rsidRPr="00404DA5">
        <w:rPr>
          <w:rFonts w:eastAsia="Calibri"/>
          <w:szCs w:val="20"/>
          <w:lang w:eastAsia="en-US"/>
        </w:rPr>
        <w:t>Od 2012 roku znacząco wzrósł przeciętny miesięczny dochód do dyspozycji na 1 osobę</w:t>
      </w:r>
      <w:r w:rsidR="00E66B89">
        <w:rPr>
          <w:rFonts w:eastAsia="Calibri"/>
          <w:szCs w:val="20"/>
          <w:lang w:eastAsia="en-US"/>
        </w:rPr>
        <w:t xml:space="preserve"> w </w:t>
      </w:r>
      <w:r w:rsidRPr="00404DA5">
        <w:rPr>
          <w:rFonts w:eastAsia="Calibri"/>
          <w:szCs w:val="20"/>
          <w:lang w:eastAsia="en-US"/>
        </w:rPr>
        <w:t>gospodarstwie domowym. Dochód wynosi obecnie 1</w:t>
      </w:r>
      <w:r>
        <w:rPr>
          <w:rFonts w:eastAsia="Calibri"/>
          <w:szCs w:val="20"/>
          <w:lang w:eastAsia="en-US"/>
        </w:rPr>
        <w:t xml:space="preserve"> </w:t>
      </w:r>
      <w:r w:rsidRPr="00404DA5">
        <w:rPr>
          <w:rFonts w:eastAsia="Calibri"/>
          <w:szCs w:val="20"/>
          <w:lang w:eastAsia="en-US"/>
        </w:rPr>
        <w:t>603,9 zł</w:t>
      </w:r>
      <w:r w:rsidR="00E66B89">
        <w:rPr>
          <w:rFonts w:eastAsia="Calibri"/>
          <w:szCs w:val="20"/>
          <w:lang w:eastAsia="en-US"/>
        </w:rPr>
        <w:t xml:space="preserve"> i </w:t>
      </w:r>
      <w:r w:rsidRPr="00404DA5">
        <w:rPr>
          <w:rFonts w:eastAsia="Calibri"/>
          <w:szCs w:val="20"/>
          <w:lang w:eastAsia="en-US"/>
        </w:rPr>
        <w:t>przewyższa nieznacznie średnią krajową</w:t>
      </w:r>
      <w:r>
        <w:rPr>
          <w:rFonts w:eastAsia="Calibri"/>
          <w:szCs w:val="20"/>
          <w:lang w:eastAsia="en-US"/>
        </w:rPr>
        <w:t>,</w:t>
      </w:r>
      <w:r w:rsidRPr="00404DA5">
        <w:rPr>
          <w:rFonts w:eastAsia="Calibri"/>
          <w:szCs w:val="20"/>
          <w:lang w:eastAsia="en-US"/>
        </w:rPr>
        <w:t xml:space="preserve"> będąc tym samym drugim najwyższym dochodem wśród wszystkich województw. </w:t>
      </w:r>
    </w:p>
    <w:p w14:paraId="6094D1B5" w14:textId="77777777" w:rsidR="009D3A39" w:rsidRDefault="009D3A39" w:rsidP="00D87AE8">
      <w:pPr>
        <w:pStyle w:val="Legenda"/>
        <w:spacing w:after="0"/>
      </w:pPr>
      <w:bookmarkStart w:id="277" w:name="_Toc5311891"/>
      <w:r>
        <w:t xml:space="preserve">Wykres </w:t>
      </w:r>
      <w:r>
        <w:fldChar w:fldCharType="begin"/>
      </w:r>
      <w:r>
        <w:instrText xml:space="preserve"> SEQ Wykres \* ARABIC </w:instrText>
      </w:r>
      <w:r>
        <w:fldChar w:fldCharType="separate"/>
      </w:r>
      <w:r w:rsidR="00763345">
        <w:rPr>
          <w:noProof/>
        </w:rPr>
        <w:t>25</w:t>
      </w:r>
      <w:r>
        <w:fldChar w:fldCharType="end"/>
      </w:r>
      <w:r w:rsidRPr="009838D4">
        <w:t xml:space="preserve"> </w:t>
      </w:r>
      <w:r>
        <w:t>Li</w:t>
      </w:r>
      <w:r w:rsidRPr="009838D4">
        <w:t>czba osób korzystających ze świadczeń pomocy społecznej na 10 tys. ludności</w:t>
      </w:r>
      <w:r w:rsidR="00E66B89">
        <w:t xml:space="preserve"> w </w:t>
      </w:r>
      <w:r>
        <w:t>województwie zachodniopomorskim</w:t>
      </w:r>
      <w:bookmarkEnd w:id="277"/>
    </w:p>
    <w:p w14:paraId="483DFAAC" w14:textId="7D142F1B" w:rsidR="009D3A39" w:rsidRPr="00404DA5" w:rsidRDefault="00C35619" w:rsidP="00CF71F2">
      <w:pPr>
        <w:spacing w:before="0" w:after="0" w:line="276" w:lineRule="auto"/>
        <w:rPr>
          <w:rFonts w:eastAsia="Calibri"/>
          <w:szCs w:val="20"/>
          <w:lang w:eastAsia="en-US"/>
        </w:rPr>
      </w:pPr>
      <w:r w:rsidRPr="005F04FC">
        <w:rPr>
          <w:rFonts w:eastAsia="Calibri"/>
          <w:noProof/>
          <w:szCs w:val="20"/>
        </w:rPr>
        <w:drawing>
          <wp:inline distT="0" distB="0" distL="0" distR="0" wp14:anchorId="58FA9926" wp14:editId="6DAF6720">
            <wp:extent cx="5704205" cy="1530350"/>
            <wp:effectExtent l="0" t="0" r="10795" b="12700"/>
            <wp:docPr id="48" name="Wykres 18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C6843C" w14:textId="77777777" w:rsidR="009D3A39" w:rsidRPr="00EE66C6" w:rsidRDefault="009D3A39" w:rsidP="001245CE">
      <w:pPr>
        <w:spacing w:before="0"/>
        <w:rPr>
          <w:i/>
          <w:sz w:val="18"/>
          <w:szCs w:val="20"/>
        </w:rPr>
      </w:pPr>
      <w:r w:rsidRPr="00EE66C6">
        <w:rPr>
          <w:i/>
          <w:sz w:val="18"/>
          <w:szCs w:val="20"/>
        </w:rPr>
        <w:t>Źródło: GUS BDL.</w:t>
      </w:r>
    </w:p>
    <w:p w14:paraId="36CBACEB" w14:textId="77777777" w:rsidR="009D3A39" w:rsidRPr="00404DA5" w:rsidRDefault="009D3A39" w:rsidP="009D3A39">
      <w:pPr>
        <w:rPr>
          <w:rFonts w:eastAsia="Calibri"/>
          <w:szCs w:val="20"/>
          <w:lang w:eastAsia="en-US"/>
        </w:rPr>
      </w:pPr>
      <w:r w:rsidRPr="00404DA5">
        <w:rPr>
          <w:rFonts w:eastAsia="Calibri"/>
          <w:szCs w:val="20"/>
          <w:lang w:eastAsia="en-US"/>
        </w:rPr>
        <w:t>Od 201</w:t>
      </w:r>
      <w:r>
        <w:rPr>
          <w:rFonts w:eastAsia="Calibri"/>
          <w:szCs w:val="20"/>
          <w:lang w:eastAsia="en-US"/>
        </w:rPr>
        <w:t>4</w:t>
      </w:r>
      <w:r w:rsidRPr="00404DA5">
        <w:rPr>
          <w:rFonts w:eastAsia="Calibri"/>
          <w:szCs w:val="20"/>
          <w:lang w:eastAsia="en-US"/>
        </w:rPr>
        <w:t xml:space="preserve"> roku zmalała także liczba osób korzystających ze świadczeń pomocy społecznej na 10 tys. ludności, która wynosi obecnie 400 osób</w:t>
      </w:r>
      <w:r w:rsidR="00E66B89">
        <w:rPr>
          <w:rFonts w:eastAsia="Calibri"/>
          <w:szCs w:val="20"/>
          <w:lang w:eastAsia="en-US"/>
        </w:rPr>
        <w:t xml:space="preserve"> i </w:t>
      </w:r>
      <w:r w:rsidRPr="00404DA5">
        <w:rPr>
          <w:rFonts w:eastAsia="Calibri"/>
          <w:szCs w:val="20"/>
          <w:lang w:eastAsia="en-US"/>
        </w:rPr>
        <w:t>jest nieco wyższa od średniej krajowej (373). Spadła także liczba gospodarstw domowych korzystających ze środowiskowej pomocy społecznej –</w:t>
      </w:r>
      <w:r w:rsidR="00E66B89">
        <w:rPr>
          <w:rFonts w:eastAsia="Calibri"/>
          <w:szCs w:val="20"/>
          <w:lang w:eastAsia="en-US"/>
        </w:rPr>
        <w:t xml:space="preserve"> z </w:t>
      </w:r>
      <w:r w:rsidRPr="00404DA5">
        <w:rPr>
          <w:rFonts w:eastAsia="Calibri"/>
          <w:szCs w:val="20"/>
          <w:lang w:eastAsia="en-US"/>
        </w:rPr>
        <w:t>64 521</w:t>
      </w:r>
      <w:r w:rsidR="00E66B89">
        <w:rPr>
          <w:rFonts w:eastAsia="Calibri"/>
          <w:szCs w:val="20"/>
          <w:lang w:eastAsia="en-US"/>
        </w:rPr>
        <w:t xml:space="preserve"> w </w:t>
      </w:r>
      <w:r w:rsidRPr="00404DA5">
        <w:rPr>
          <w:rFonts w:eastAsia="Calibri"/>
          <w:szCs w:val="20"/>
          <w:lang w:eastAsia="en-US"/>
        </w:rPr>
        <w:t>2012 roku do 48</w:t>
      </w:r>
      <w:r w:rsidR="00E66B89">
        <w:rPr>
          <w:rFonts w:eastAsia="Calibri"/>
          <w:szCs w:val="20"/>
          <w:lang w:eastAsia="en-US"/>
        </w:rPr>
        <w:t xml:space="preserve"> w </w:t>
      </w:r>
      <w:r w:rsidRPr="00404DA5">
        <w:rPr>
          <w:rFonts w:eastAsia="Calibri"/>
          <w:szCs w:val="20"/>
          <w:lang w:eastAsia="en-US"/>
        </w:rPr>
        <w:t xml:space="preserve">2017 roku. </w:t>
      </w:r>
    </w:p>
    <w:p w14:paraId="3EB572E9" w14:textId="77777777" w:rsidR="009D3A39" w:rsidRPr="00404DA5" w:rsidRDefault="009D3A39" w:rsidP="009D3A39">
      <w:pPr>
        <w:rPr>
          <w:rFonts w:eastAsia="Calibri"/>
          <w:szCs w:val="20"/>
          <w:lang w:eastAsia="en-US"/>
        </w:rPr>
      </w:pPr>
      <w:r w:rsidRPr="00404DA5">
        <w:rPr>
          <w:rFonts w:eastAsia="Calibri"/>
          <w:szCs w:val="20"/>
          <w:lang w:eastAsia="en-US"/>
        </w:rPr>
        <w:t>Podsumowując</w:t>
      </w:r>
      <w:r w:rsidR="00E66B89">
        <w:rPr>
          <w:rFonts w:eastAsia="Calibri"/>
          <w:szCs w:val="20"/>
          <w:lang w:eastAsia="en-US"/>
        </w:rPr>
        <w:t xml:space="preserve"> w </w:t>
      </w:r>
      <w:r w:rsidRPr="00404DA5">
        <w:rPr>
          <w:rFonts w:eastAsia="Calibri"/>
          <w:szCs w:val="20"/>
          <w:lang w:eastAsia="en-US"/>
        </w:rPr>
        <w:t>sytuacj</w:t>
      </w:r>
      <w:r>
        <w:rPr>
          <w:rFonts w:eastAsia="Calibri"/>
          <w:szCs w:val="20"/>
          <w:lang w:eastAsia="en-US"/>
        </w:rPr>
        <w:t>i</w:t>
      </w:r>
      <w:r w:rsidRPr="00404DA5">
        <w:rPr>
          <w:rFonts w:eastAsia="Calibri"/>
          <w:szCs w:val="20"/>
          <w:lang w:eastAsia="en-US"/>
        </w:rPr>
        <w:t xml:space="preserve"> społeczno-gospodarcz</w:t>
      </w:r>
      <w:r>
        <w:rPr>
          <w:rFonts w:eastAsia="Calibri"/>
          <w:szCs w:val="20"/>
          <w:lang w:eastAsia="en-US"/>
        </w:rPr>
        <w:t>ej województwa zachodniopomorskiego</w:t>
      </w:r>
      <w:r w:rsidRPr="00404DA5">
        <w:rPr>
          <w:rFonts w:eastAsia="Calibri"/>
          <w:szCs w:val="20"/>
          <w:lang w:eastAsia="en-US"/>
        </w:rPr>
        <w:t xml:space="preserve"> </w:t>
      </w:r>
      <w:r>
        <w:rPr>
          <w:rFonts w:eastAsia="Calibri"/>
          <w:szCs w:val="20"/>
          <w:lang w:eastAsia="en-US"/>
        </w:rPr>
        <w:t>zaszły pozytywne zmiany</w:t>
      </w:r>
      <w:r w:rsidRPr="00404DA5">
        <w:rPr>
          <w:rFonts w:eastAsia="Calibri"/>
          <w:szCs w:val="20"/>
          <w:lang w:eastAsia="en-US"/>
        </w:rPr>
        <w:t>. Niemniej jednak jest to czynnik, który powoduje, że nie wszystkie wyzwania założone</w:t>
      </w:r>
      <w:r w:rsidR="00E66B89">
        <w:rPr>
          <w:rFonts w:eastAsia="Calibri"/>
          <w:szCs w:val="20"/>
          <w:lang w:eastAsia="en-US"/>
        </w:rPr>
        <w:t xml:space="preserve"> </w:t>
      </w:r>
      <w:r w:rsidR="00E66B89">
        <w:rPr>
          <w:rFonts w:eastAsia="Calibri"/>
          <w:szCs w:val="20"/>
          <w:lang w:eastAsia="en-US"/>
        </w:rPr>
        <w:lastRenderedPageBreak/>
        <w:t>w </w:t>
      </w:r>
      <w:r w:rsidRPr="00404DA5">
        <w:rPr>
          <w:rFonts w:eastAsia="Calibri"/>
          <w:szCs w:val="20"/>
          <w:lang w:eastAsia="en-US"/>
        </w:rPr>
        <w:t>ramach Programu są aktualne. Dotyczy to przede wszystkim dążenia do zatrudnienia osób wykluczonych. Część</w:t>
      </w:r>
      <w:r w:rsidR="00E66B89">
        <w:rPr>
          <w:rFonts w:eastAsia="Calibri"/>
          <w:szCs w:val="20"/>
          <w:lang w:eastAsia="en-US"/>
        </w:rPr>
        <w:t xml:space="preserve"> z </w:t>
      </w:r>
      <w:r w:rsidRPr="00404DA5">
        <w:rPr>
          <w:rFonts w:eastAsia="Calibri"/>
          <w:szCs w:val="20"/>
          <w:lang w:eastAsia="en-US"/>
        </w:rPr>
        <w:t xml:space="preserve">nich znalazła się już na rynku pracy, kolejna grupa znalazła się poza zasięgiem instytucji pomocowych – są to beneficjenci </w:t>
      </w:r>
      <w:r w:rsidR="00472EC3">
        <w:rPr>
          <w:rFonts w:eastAsia="Calibri"/>
          <w:szCs w:val="20"/>
          <w:lang w:eastAsia="en-US"/>
        </w:rPr>
        <w:t>p</w:t>
      </w:r>
      <w:r w:rsidRPr="00404DA5">
        <w:rPr>
          <w:rFonts w:eastAsia="Calibri"/>
          <w:szCs w:val="20"/>
          <w:lang w:eastAsia="en-US"/>
        </w:rPr>
        <w:t xml:space="preserve">rogramu </w:t>
      </w:r>
      <w:r w:rsidR="001C3974">
        <w:rPr>
          <w:rFonts w:eastAsia="Calibri"/>
          <w:szCs w:val="20"/>
          <w:lang w:eastAsia="en-US"/>
        </w:rPr>
        <w:t xml:space="preserve">Rodzina </w:t>
      </w:r>
      <w:r w:rsidRPr="00404DA5">
        <w:rPr>
          <w:rFonts w:eastAsia="Calibri"/>
          <w:szCs w:val="20"/>
          <w:lang w:eastAsia="en-US"/>
        </w:rPr>
        <w:t xml:space="preserve">500+. Niemniej jednak wśród osób, które kwalifikują się do wsparcia, potrzeby nadal pozostają aktualne. Zmniejszyła się natomiast ich skala. Jest to sytuacja, na którą IZ nie ma wpływu. </w:t>
      </w:r>
    </w:p>
    <w:p w14:paraId="52062FAE" w14:textId="77777777" w:rsidR="009D3A39" w:rsidRPr="00404DA5" w:rsidRDefault="004D674A" w:rsidP="009D3A39">
      <w:pPr>
        <w:rPr>
          <w:rFonts w:eastAsia="Calibri"/>
          <w:b/>
          <w:szCs w:val="20"/>
          <w:lang w:eastAsia="en-US"/>
        </w:rPr>
      </w:pPr>
      <w:r>
        <w:rPr>
          <w:rFonts w:eastAsia="Calibri"/>
          <w:b/>
          <w:i/>
          <w:color w:val="4F81BD"/>
          <w:szCs w:val="20"/>
          <w:lang w:eastAsia="en-US"/>
        </w:rPr>
        <w:t xml:space="preserve">PI </w:t>
      </w:r>
      <w:r w:rsidR="009D3A39" w:rsidRPr="004D674A">
        <w:rPr>
          <w:rFonts w:eastAsia="Calibri"/>
          <w:b/>
          <w:i/>
          <w:color w:val="4F81BD"/>
          <w:szCs w:val="20"/>
          <w:lang w:eastAsia="en-US"/>
        </w:rPr>
        <w:t>9v</w:t>
      </w:r>
    </w:p>
    <w:p w14:paraId="52601AA6" w14:textId="77777777" w:rsidR="009D3A39" w:rsidRPr="00404DA5" w:rsidRDefault="009D3A39" w:rsidP="009D3A39">
      <w:pPr>
        <w:rPr>
          <w:rFonts w:eastAsia="Calibri"/>
          <w:szCs w:val="20"/>
          <w:lang w:eastAsia="en-US"/>
        </w:rPr>
      </w:pPr>
      <w:r w:rsidRPr="00404DA5">
        <w:rPr>
          <w:rFonts w:eastAsia="Calibri"/>
          <w:szCs w:val="20"/>
          <w:lang w:eastAsia="en-US"/>
        </w:rPr>
        <w:t>W okresie programowania</w:t>
      </w:r>
      <w:r>
        <w:rPr>
          <w:rFonts w:eastAsia="Calibri"/>
          <w:szCs w:val="20"/>
          <w:lang w:eastAsia="en-US"/>
        </w:rPr>
        <w:t>,</w:t>
      </w:r>
      <w:r w:rsidR="00E66B89">
        <w:rPr>
          <w:rFonts w:eastAsia="Calibri"/>
          <w:szCs w:val="20"/>
          <w:lang w:eastAsia="en-US"/>
        </w:rPr>
        <w:t xml:space="preserve"> w </w:t>
      </w:r>
      <w:r w:rsidRPr="00404DA5">
        <w:rPr>
          <w:rFonts w:eastAsia="Calibri"/>
          <w:szCs w:val="20"/>
          <w:lang w:eastAsia="en-US"/>
        </w:rPr>
        <w:t>województwie zachodniopomorskim zauważono wzrost liczby podmiotów ekonomii społecznej</w:t>
      </w:r>
      <w:r>
        <w:rPr>
          <w:rFonts w:eastAsia="Calibri"/>
          <w:szCs w:val="20"/>
          <w:lang w:eastAsia="en-US"/>
        </w:rPr>
        <w:t>.</w:t>
      </w:r>
      <w:r w:rsidRPr="00404DA5">
        <w:rPr>
          <w:rFonts w:eastAsia="Calibri"/>
          <w:szCs w:val="20"/>
          <w:lang w:eastAsia="en-US"/>
        </w:rPr>
        <w:t xml:space="preserve"> </w:t>
      </w:r>
      <w:r>
        <w:rPr>
          <w:rFonts w:eastAsia="Calibri"/>
          <w:szCs w:val="20"/>
          <w:lang w:eastAsia="en-US"/>
        </w:rPr>
        <w:t>Przed rozpoczęciem interwencji</w:t>
      </w:r>
      <w:r w:rsidR="00E66B89">
        <w:rPr>
          <w:rFonts w:eastAsia="Calibri"/>
          <w:szCs w:val="20"/>
          <w:lang w:eastAsia="en-US"/>
        </w:rPr>
        <w:t xml:space="preserve"> w </w:t>
      </w:r>
      <w:r>
        <w:rPr>
          <w:rFonts w:eastAsia="Calibri"/>
          <w:szCs w:val="20"/>
          <w:lang w:eastAsia="en-US"/>
        </w:rPr>
        <w:t xml:space="preserve">ramach RPO WZ 2014-2020 </w:t>
      </w:r>
      <w:r w:rsidRPr="00404DA5">
        <w:rPr>
          <w:rFonts w:eastAsia="Calibri"/>
          <w:szCs w:val="20"/>
          <w:lang w:eastAsia="en-US"/>
        </w:rPr>
        <w:t>ich rozmieszczenie nie odpowiadało</w:t>
      </w:r>
      <w:r w:rsidRPr="009A73E5">
        <w:rPr>
          <w:rFonts w:eastAsia="Calibri"/>
          <w:szCs w:val="20"/>
          <w:lang w:eastAsia="en-US"/>
        </w:rPr>
        <w:t xml:space="preserve"> </w:t>
      </w:r>
      <w:r>
        <w:rPr>
          <w:rFonts w:eastAsia="Calibri"/>
          <w:szCs w:val="20"/>
          <w:lang w:eastAsia="en-US"/>
        </w:rPr>
        <w:t>jednak</w:t>
      </w:r>
      <w:r w:rsidRPr="00404DA5">
        <w:rPr>
          <w:rFonts w:eastAsia="Calibri"/>
          <w:szCs w:val="20"/>
          <w:lang w:eastAsia="en-US"/>
        </w:rPr>
        <w:t xml:space="preserve"> strukturze demograficznej</w:t>
      </w:r>
      <w:r w:rsidR="00E66B89">
        <w:rPr>
          <w:rFonts w:eastAsia="Calibri"/>
          <w:szCs w:val="20"/>
          <w:lang w:eastAsia="en-US"/>
        </w:rPr>
        <w:t xml:space="preserve"> i </w:t>
      </w:r>
      <w:r w:rsidRPr="00404DA5">
        <w:rPr>
          <w:rFonts w:eastAsia="Calibri"/>
          <w:szCs w:val="20"/>
          <w:lang w:eastAsia="en-US"/>
        </w:rPr>
        <w:t>rozpoznanym potrzebom społecznym</w:t>
      </w:r>
      <w:r w:rsidRPr="00404DA5">
        <w:rPr>
          <w:rFonts w:eastAsia="Calibri"/>
          <w:szCs w:val="20"/>
          <w:vertAlign w:val="superscript"/>
          <w:lang w:eastAsia="en-US"/>
        </w:rPr>
        <w:footnoteReference w:id="98"/>
      </w:r>
      <w:r w:rsidRPr="00404DA5">
        <w:rPr>
          <w:rFonts w:eastAsia="Calibri"/>
          <w:szCs w:val="20"/>
          <w:lang w:eastAsia="en-US"/>
        </w:rPr>
        <w:t>. Obecnie</w:t>
      </w:r>
      <w:r w:rsidRPr="00404DA5">
        <w:rPr>
          <w:rFonts w:eastAsia="Calibri"/>
          <w:szCs w:val="20"/>
          <w:vertAlign w:val="superscript"/>
          <w:lang w:eastAsia="en-US"/>
        </w:rPr>
        <w:footnoteReference w:id="99"/>
      </w:r>
      <w:r w:rsidR="00E66B89">
        <w:rPr>
          <w:rFonts w:eastAsia="Calibri"/>
          <w:szCs w:val="20"/>
          <w:lang w:eastAsia="en-US"/>
        </w:rPr>
        <w:t xml:space="preserve"> w </w:t>
      </w:r>
      <w:r w:rsidRPr="00404DA5">
        <w:rPr>
          <w:rFonts w:eastAsia="Calibri"/>
          <w:szCs w:val="20"/>
          <w:lang w:eastAsia="en-US"/>
        </w:rPr>
        <w:t>województwie działa 55 podmiotów ekonomii społecznej. Najwięcej PES skupionych jest wokół Szczecina oraz ogólnie</w:t>
      </w:r>
      <w:r w:rsidR="00E66B89">
        <w:rPr>
          <w:rFonts w:eastAsia="Calibri"/>
          <w:szCs w:val="20"/>
          <w:lang w:eastAsia="en-US"/>
        </w:rPr>
        <w:t xml:space="preserve"> w </w:t>
      </w:r>
      <w:r w:rsidRPr="00404DA5">
        <w:rPr>
          <w:rFonts w:eastAsia="Calibri"/>
          <w:szCs w:val="20"/>
          <w:lang w:eastAsia="en-US"/>
        </w:rPr>
        <w:t>zachodniej części województwa. Duża koncentracja występuje również</w:t>
      </w:r>
      <w:r w:rsidR="00E66B89">
        <w:rPr>
          <w:rFonts w:eastAsia="Calibri"/>
          <w:szCs w:val="20"/>
          <w:lang w:eastAsia="en-US"/>
        </w:rPr>
        <w:t xml:space="preserve"> w </w:t>
      </w:r>
      <w:r w:rsidRPr="00404DA5">
        <w:rPr>
          <w:rFonts w:eastAsia="Calibri"/>
          <w:szCs w:val="20"/>
          <w:lang w:eastAsia="en-US"/>
        </w:rPr>
        <w:t>okolicach Koszalina.</w:t>
      </w:r>
      <w:r w:rsidR="00E66B89">
        <w:rPr>
          <w:rFonts w:eastAsia="Calibri"/>
          <w:szCs w:val="20"/>
          <w:lang w:eastAsia="en-US"/>
        </w:rPr>
        <w:t xml:space="preserve"> W </w:t>
      </w:r>
      <w:r w:rsidRPr="00404DA5">
        <w:rPr>
          <w:rFonts w:eastAsia="Calibri"/>
          <w:szCs w:val="20"/>
          <w:lang w:eastAsia="en-US"/>
        </w:rPr>
        <w:t xml:space="preserve">powiatach </w:t>
      </w:r>
      <w:r>
        <w:rPr>
          <w:rFonts w:eastAsia="Calibri"/>
          <w:szCs w:val="20"/>
          <w:lang w:eastAsia="en-US"/>
        </w:rPr>
        <w:t xml:space="preserve">sławieńskim, </w:t>
      </w:r>
      <w:r w:rsidRPr="00404DA5">
        <w:rPr>
          <w:rFonts w:eastAsia="Calibri"/>
          <w:szCs w:val="20"/>
          <w:lang w:eastAsia="en-US"/>
        </w:rPr>
        <w:t>świdwińskim, białogardzkim oraz łobeskim</w:t>
      </w:r>
      <w:r>
        <w:rPr>
          <w:rFonts w:eastAsia="Calibri"/>
          <w:szCs w:val="20"/>
          <w:lang w:eastAsia="en-US"/>
        </w:rPr>
        <w:t xml:space="preserve"> -</w:t>
      </w:r>
      <w:r w:rsidRPr="00404DA5">
        <w:rPr>
          <w:rFonts w:eastAsia="Calibri"/>
          <w:szCs w:val="20"/>
          <w:lang w:eastAsia="en-US"/>
        </w:rPr>
        <w:t xml:space="preserve"> gdzie jest najwyższy odsetek osób korzystających</w:t>
      </w:r>
      <w:r w:rsidR="00E66B89">
        <w:rPr>
          <w:rFonts w:eastAsia="Calibri"/>
          <w:szCs w:val="20"/>
          <w:lang w:eastAsia="en-US"/>
        </w:rPr>
        <w:t xml:space="preserve"> z </w:t>
      </w:r>
      <w:r w:rsidRPr="00404DA5">
        <w:rPr>
          <w:rFonts w:eastAsia="Calibri"/>
          <w:szCs w:val="20"/>
          <w:lang w:eastAsia="en-US"/>
        </w:rPr>
        <w:t>pomocy społecznej</w:t>
      </w:r>
      <w:r>
        <w:rPr>
          <w:rFonts w:eastAsia="Calibri"/>
          <w:szCs w:val="20"/>
          <w:lang w:eastAsia="en-US"/>
        </w:rPr>
        <w:t xml:space="preserve"> -</w:t>
      </w:r>
      <w:r w:rsidRPr="00404DA5">
        <w:rPr>
          <w:rFonts w:eastAsia="Calibri"/>
          <w:szCs w:val="20"/>
          <w:lang w:eastAsia="en-US"/>
        </w:rPr>
        <w:t xml:space="preserve"> działają 1-2 PES.</w:t>
      </w:r>
      <w:r w:rsidR="00E66B89">
        <w:rPr>
          <w:rFonts w:eastAsia="Calibri"/>
          <w:szCs w:val="20"/>
          <w:lang w:eastAsia="en-US"/>
        </w:rPr>
        <w:t xml:space="preserve"> W </w:t>
      </w:r>
      <w:r w:rsidRPr="00404DA5">
        <w:rPr>
          <w:rFonts w:eastAsia="Calibri"/>
          <w:szCs w:val="20"/>
          <w:lang w:eastAsia="en-US"/>
        </w:rPr>
        <w:t xml:space="preserve">powiecie </w:t>
      </w:r>
      <w:r>
        <w:rPr>
          <w:rFonts w:eastAsia="Calibri"/>
          <w:szCs w:val="20"/>
          <w:lang w:eastAsia="en-US"/>
        </w:rPr>
        <w:t xml:space="preserve">białogardzkim </w:t>
      </w:r>
      <w:r w:rsidRPr="00404DA5">
        <w:rPr>
          <w:rFonts w:eastAsia="Calibri"/>
          <w:szCs w:val="20"/>
          <w:lang w:eastAsia="en-US"/>
        </w:rPr>
        <w:t>jedynie działające PES powstało już</w:t>
      </w:r>
      <w:r w:rsidR="00E66B89">
        <w:rPr>
          <w:rFonts w:eastAsia="Calibri"/>
          <w:szCs w:val="20"/>
          <w:lang w:eastAsia="en-US"/>
        </w:rPr>
        <w:t xml:space="preserve"> w </w:t>
      </w:r>
      <w:r w:rsidRPr="00404DA5">
        <w:rPr>
          <w:rFonts w:eastAsia="Calibri"/>
          <w:szCs w:val="20"/>
          <w:lang w:eastAsia="en-US"/>
        </w:rPr>
        <w:t xml:space="preserve">2012 roku. </w:t>
      </w:r>
    </w:p>
    <w:p w14:paraId="4BEB367C" w14:textId="77777777" w:rsidR="009D3A39" w:rsidRPr="00404DA5" w:rsidRDefault="009D3A39" w:rsidP="009D3A39">
      <w:pPr>
        <w:rPr>
          <w:rFonts w:eastAsia="Calibri"/>
          <w:b/>
          <w:szCs w:val="20"/>
          <w:lang w:eastAsia="en-US"/>
        </w:rPr>
      </w:pPr>
      <w:r w:rsidRPr="004D674A">
        <w:rPr>
          <w:rFonts w:eastAsia="Calibri"/>
          <w:b/>
          <w:i/>
          <w:color w:val="4F81BD"/>
          <w:szCs w:val="20"/>
          <w:lang w:eastAsia="en-US"/>
        </w:rPr>
        <w:t>PI</w:t>
      </w:r>
      <w:r w:rsidR="004D674A">
        <w:rPr>
          <w:rFonts w:eastAsia="Calibri"/>
          <w:b/>
          <w:i/>
          <w:color w:val="4F81BD"/>
          <w:szCs w:val="20"/>
          <w:lang w:eastAsia="en-US"/>
        </w:rPr>
        <w:t xml:space="preserve"> </w:t>
      </w:r>
      <w:r w:rsidRPr="004D674A">
        <w:rPr>
          <w:rFonts w:eastAsia="Calibri"/>
          <w:b/>
          <w:i/>
          <w:color w:val="4F81BD"/>
          <w:szCs w:val="20"/>
          <w:lang w:eastAsia="en-US"/>
        </w:rPr>
        <w:t>9iv</w:t>
      </w:r>
    </w:p>
    <w:p w14:paraId="19960745" w14:textId="77777777" w:rsidR="009D3A39" w:rsidRPr="00404DA5" w:rsidRDefault="009D3A39" w:rsidP="009D3A39">
      <w:pPr>
        <w:rPr>
          <w:rFonts w:eastAsia="Calibri"/>
          <w:szCs w:val="20"/>
          <w:lang w:eastAsia="en-US"/>
        </w:rPr>
      </w:pPr>
      <w:r w:rsidRPr="00404DA5">
        <w:rPr>
          <w:rFonts w:eastAsia="Calibri"/>
          <w:szCs w:val="20"/>
          <w:lang w:eastAsia="en-US"/>
        </w:rPr>
        <w:t>Od 201</w:t>
      </w:r>
      <w:r>
        <w:rPr>
          <w:rFonts w:eastAsia="Calibri"/>
          <w:szCs w:val="20"/>
          <w:lang w:eastAsia="en-US"/>
        </w:rPr>
        <w:t>4</w:t>
      </w:r>
      <w:r w:rsidRPr="00404DA5">
        <w:rPr>
          <w:rFonts w:eastAsia="Calibri"/>
          <w:szCs w:val="20"/>
          <w:lang w:eastAsia="en-US"/>
        </w:rPr>
        <w:t xml:space="preserve"> roku systematycznie spada liczba ludności województwa zachodniopomorskiego. Jednocześnie zmienia się struktura wiekowa – wzrasta liczba osób</w:t>
      </w:r>
      <w:r w:rsidR="00E66B89">
        <w:rPr>
          <w:rFonts w:eastAsia="Calibri"/>
          <w:szCs w:val="20"/>
          <w:lang w:eastAsia="en-US"/>
        </w:rPr>
        <w:t xml:space="preserve"> w </w:t>
      </w:r>
      <w:r w:rsidRPr="00404DA5">
        <w:rPr>
          <w:rFonts w:eastAsia="Calibri"/>
          <w:szCs w:val="20"/>
          <w:lang w:eastAsia="en-US"/>
        </w:rPr>
        <w:t>wieku poprodukcyjnym, maleje</w:t>
      </w:r>
      <w:r w:rsidR="00E66B89">
        <w:rPr>
          <w:rFonts w:eastAsia="Calibri"/>
          <w:szCs w:val="20"/>
          <w:lang w:eastAsia="en-US"/>
        </w:rPr>
        <w:t xml:space="preserve"> w </w:t>
      </w:r>
      <w:r w:rsidRPr="00404DA5">
        <w:rPr>
          <w:rFonts w:eastAsia="Calibri"/>
          <w:szCs w:val="20"/>
          <w:lang w:eastAsia="en-US"/>
        </w:rPr>
        <w:t>wieku produkcyjnym.</w:t>
      </w:r>
      <w:r w:rsidR="00E66B89">
        <w:rPr>
          <w:rFonts w:eastAsia="Calibri"/>
          <w:szCs w:val="20"/>
          <w:lang w:eastAsia="en-US"/>
        </w:rPr>
        <w:t xml:space="preserve"> W </w:t>
      </w:r>
      <w:r w:rsidRPr="00404DA5">
        <w:rPr>
          <w:rFonts w:eastAsia="Calibri"/>
          <w:szCs w:val="20"/>
          <w:lang w:eastAsia="en-US"/>
        </w:rPr>
        <w:t>tym samym czasie wydłużyła się średnia długość życia</w:t>
      </w:r>
      <w:r w:rsidR="00E66B89">
        <w:rPr>
          <w:rFonts w:eastAsia="Calibri"/>
          <w:szCs w:val="20"/>
          <w:lang w:eastAsia="en-US"/>
        </w:rPr>
        <w:t xml:space="preserve"> w </w:t>
      </w:r>
      <w:r w:rsidRPr="00404DA5">
        <w:rPr>
          <w:rFonts w:eastAsia="Calibri"/>
          <w:szCs w:val="20"/>
          <w:lang w:eastAsia="en-US"/>
        </w:rPr>
        <w:t>kraju – do 78 lat. Ponadto maleje współczynnik przyrostu naturalnego</w:t>
      </w:r>
      <w:r w:rsidRPr="00404DA5">
        <w:rPr>
          <w:rStyle w:val="Odwoanieprzypisudolnego"/>
          <w:rFonts w:eastAsia="Calibri"/>
          <w:szCs w:val="20"/>
          <w:lang w:eastAsia="en-US"/>
        </w:rPr>
        <w:footnoteReference w:id="100"/>
      </w:r>
      <w:r w:rsidRPr="00404DA5">
        <w:rPr>
          <w:rFonts w:eastAsia="Calibri"/>
          <w:szCs w:val="20"/>
          <w:lang w:eastAsia="en-US"/>
        </w:rPr>
        <w:t>. Sytuacja demograficzna ma wpływ przede wszystkim na realizację projektów</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9iv. Wraz ze starzeniem się społeczeństwa, zmieniają się obszary,</w:t>
      </w:r>
      <w:r w:rsidR="00E66B89">
        <w:rPr>
          <w:rFonts w:eastAsia="Calibri"/>
          <w:szCs w:val="20"/>
          <w:lang w:eastAsia="en-US"/>
        </w:rPr>
        <w:t xml:space="preserve"> w </w:t>
      </w:r>
      <w:r w:rsidRPr="00404DA5">
        <w:rPr>
          <w:rFonts w:eastAsia="Calibri"/>
          <w:szCs w:val="20"/>
          <w:lang w:eastAsia="en-US"/>
        </w:rPr>
        <w:t>których interwencje</w:t>
      </w:r>
      <w:r w:rsidR="00E66B89">
        <w:rPr>
          <w:rFonts w:eastAsia="Calibri"/>
          <w:szCs w:val="20"/>
          <w:lang w:eastAsia="en-US"/>
        </w:rPr>
        <w:t xml:space="preserve"> w </w:t>
      </w:r>
      <w:r w:rsidRPr="00404DA5">
        <w:rPr>
          <w:rFonts w:eastAsia="Calibri"/>
          <w:szCs w:val="20"/>
          <w:lang w:eastAsia="en-US"/>
        </w:rPr>
        <w:t>ramach EFS są najbardziej potrzebne</w:t>
      </w:r>
      <w:r w:rsidR="00E66B89">
        <w:rPr>
          <w:rFonts w:eastAsia="Calibri"/>
          <w:szCs w:val="20"/>
          <w:lang w:eastAsia="en-US"/>
        </w:rPr>
        <w:t xml:space="preserve"> i </w:t>
      </w:r>
      <w:r w:rsidRPr="00404DA5">
        <w:rPr>
          <w:rFonts w:eastAsia="Calibri"/>
          <w:szCs w:val="20"/>
          <w:lang w:eastAsia="en-US"/>
        </w:rPr>
        <w:t>na które należy skierować więcej środków.</w:t>
      </w:r>
      <w:r w:rsidR="00E66B89">
        <w:rPr>
          <w:rFonts w:eastAsia="Calibri"/>
          <w:szCs w:val="20"/>
          <w:lang w:eastAsia="en-US"/>
        </w:rPr>
        <w:t xml:space="preserve"> Z </w:t>
      </w:r>
      <w:r w:rsidRPr="00404DA5">
        <w:rPr>
          <w:rFonts w:eastAsia="Calibri"/>
          <w:szCs w:val="20"/>
          <w:lang w:eastAsia="en-US"/>
        </w:rPr>
        <w:t>jednej strony będzie coraz więcej osób wymagających wsparcia, chociażby</w:t>
      </w:r>
      <w:r w:rsidR="00E66B89">
        <w:rPr>
          <w:rFonts w:eastAsia="Calibri"/>
          <w:szCs w:val="20"/>
          <w:lang w:eastAsia="en-US"/>
        </w:rPr>
        <w:t xml:space="preserve"> z </w:t>
      </w:r>
      <w:r w:rsidRPr="00404DA5">
        <w:rPr>
          <w:rFonts w:eastAsia="Calibri"/>
          <w:szCs w:val="20"/>
          <w:lang w:eastAsia="en-US"/>
        </w:rPr>
        <w:t>uwagi na wchodzenie</w:t>
      </w:r>
      <w:r w:rsidR="00E66B89">
        <w:rPr>
          <w:rFonts w:eastAsia="Calibri"/>
          <w:szCs w:val="20"/>
          <w:lang w:eastAsia="en-US"/>
        </w:rPr>
        <w:t xml:space="preserve"> w </w:t>
      </w:r>
      <w:r w:rsidRPr="00404DA5">
        <w:rPr>
          <w:rFonts w:eastAsia="Calibri"/>
          <w:szCs w:val="20"/>
          <w:lang w:eastAsia="en-US"/>
        </w:rPr>
        <w:t>wiek emerytalny osób urodzonych</w:t>
      </w:r>
      <w:r w:rsidR="00E66B89">
        <w:rPr>
          <w:rFonts w:eastAsia="Calibri"/>
          <w:szCs w:val="20"/>
          <w:lang w:eastAsia="en-US"/>
        </w:rPr>
        <w:t xml:space="preserve"> w </w:t>
      </w:r>
      <w:r w:rsidRPr="00404DA5">
        <w:rPr>
          <w:rFonts w:eastAsia="Calibri"/>
          <w:szCs w:val="20"/>
          <w:lang w:eastAsia="en-US"/>
        </w:rPr>
        <w:t>czasie powojennego wyżu demograficznego. Jednocześnie będzie rosła liczba osób, które nie będą mogły podjąć pracy lub będą zmuszone do zrezygnowania</w:t>
      </w:r>
      <w:r w:rsidR="00E66B89">
        <w:rPr>
          <w:rFonts w:eastAsia="Calibri"/>
          <w:szCs w:val="20"/>
          <w:lang w:eastAsia="en-US"/>
        </w:rPr>
        <w:t xml:space="preserve"> z </w:t>
      </w:r>
      <w:r w:rsidRPr="00404DA5">
        <w:rPr>
          <w:rFonts w:eastAsia="Calibri"/>
          <w:szCs w:val="20"/>
          <w:lang w:eastAsia="en-US"/>
        </w:rPr>
        <w:t>zatrudnienia</w:t>
      </w:r>
      <w:r w:rsidR="00E66B89">
        <w:rPr>
          <w:rFonts w:eastAsia="Calibri"/>
          <w:szCs w:val="20"/>
          <w:lang w:eastAsia="en-US"/>
        </w:rPr>
        <w:t xml:space="preserve"> w </w:t>
      </w:r>
      <w:r w:rsidRPr="00404DA5">
        <w:rPr>
          <w:rFonts w:eastAsia="Calibri"/>
          <w:szCs w:val="20"/>
          <w:lang w:eastAsia="en-US"/>
        </w:rPr>
        <w:t>celu opieki nad osobą niesamodzielną. Ponadto zdiagnozowano, że wzrosły koszty prowadzenia domów opieki społecznej. Jednocześnie do DPS kierowane są osoby, dla których nie ma miejsc</w:t>
      </w:r>
      <w:r w:rsidR="00E66B89">
        <w:rPr>
          <w:rFonts w:eastAsia="Calibri"/>
          <w:szCs w:val="20"/>
          <w:lang w:eastAsia="en-US"/>
        </w:rPr>
        <w:t xml:space="preserve"> w </w:t>
      </w:r>
      <w:r w:rsidRPr="00404DA5">
        <w:rPr>
          <w:rFonts w:eastAsia="Calibri"/>
          <w:szCs w:val="20"/>
          <w:lang w:eastAsia="en-US"/>
        </w:rPr>
        <w:t>zakładach opiekuńczo-leczniczych lub są tuż po hospitalizacji. Liczba czekających na miejsce</w:t>
      </w:r>
      <w:r w:rsidR="00E66B89">
        <w:rPr>
          <w:rFonts w:eastAsia="Calibri"/>
          <w:szCs w:val="20"/>
          <w:lang w:eastAsia="en-US"/>
        </w:rPr>
        <w:t xml:space="preserve"> w </w:t>
      </w:r>
      <w:r w:rsidRPr="00404DA5">
        <w:rPr>
          <w:rFonts w:eastAsia="Calibri"/>
          <w:szCs w:val="20"/>
          <w:lang w:eastAsia="en-US"/>
        </w:rPr>
        <w:t>DPS to prawie 500 osób</w:t>
      </w:r>
      <w:r w:rsidRPr="00404DA5">
        <w:rPr>
          <w:rStyle w:val="Odwoanieprzypisudolnego"/>
          <w:rFonts w:eastAsia="Calibri"/>
          <w:szCs w:val="20"/>
          <w:lang w:eastAsia="en-US"/>
        </w:rPr>
        <w:footnoteReference w:id="101"/>
      </w:r>
      <w:r w:rsidRPr="00404DA5">
        <w:rPr>
          <w:rFonts w:eastAsia="Calibri"/>
          <w:szCs w:val="20"/>
          <w:lang w:eastAsia="en-US"/>
        </w:rPr>
        <w:t>.</w:t>
      </w:r>
      <w:r w:rsidR="00E66B89">
        <w:rPr>
          <w:rFonts w:eastAsia="Calibri"/>
          <w:szCs w:val="20"/>
          <w:lang w:eastAsia="en-US"/>
        </w:rPr>
        <w:t xml:space="preserve"> W </w:t>
      </w:r>
      <w:r w:rsidRPr="00404DA5">
        <w:rPr>
          <w:rFonts w:eastAsia="Calibri"/>
          <w:szCs w:val="20"/>
          <w:lang w:eastAsia="en-US"/>
        </w:rPr>
        <w:t>ostatnich</w:t>
      </w:r>
      <w:r>
        <w:rPr>
          <w:rFonts w:eastAsia="Calibri"/>
          <w:szCs w:val="20"/>
          <w:lang w:eastAsia="en-US"/>
        </w:rPr>
        <w:t xml:space="preserve"> </w:t>
      </w:r>
      <w:r w:rsidRPr="00404DA5">
        <w:rPr>
          <w:rFonts w:eastAsia="Calibri"/>
          <w:szCs w:val="20"/>
          <w:lang w:eastAsia="en-US"/>
        </w:rPr>
        <w:t>latach</w:t>
      </w:r>
      <w:r w:rsidR="00E66B89">
        <w:rPr>
          <w:rFonts w:eastAsia="Calibri"/>
          <w:szCs w:val="20"/>
          <w:lang w:eastAsia="en-US"/>
        </w:rPr>
        <w:t xml:space="preserve"> w </w:t>
      </w:r>
      <w:r>
        <w:rPr>
          <w:rFonts w:eastAsia="Calibri"/>
          <w:szCs w:val="20"/>
          <w:lang w:eastAsia="en-US"/>
        </w:rPr>
        <w:t xml:space="preserve">Polsce </w:t>
      </w:r>
      <w:r w:rsidRPr="00404DA5">
        <w:rPr>
          <w:rFonts w:eastAsia="Calibri"/>
          <w:szCs w:val="20"/>
          <w:lang w:eastAsia="en-US"/>
        </w:rPr>
        <w:t>liczba osób długotrwale lub ciężko chorych</w:t>
      </w:r>
      <w:r>
        <w:rPr>
          <w:rFonts w:eastAsia="Calibri"/>
          <w:szCs w:val="20"/>
          <w:lang w:eastAsia="en-US"/>
        </w:rPr>
        <w:t xml:space="preserve"> wzrosła</w:t>
      </w:r>
      <w:r w:rsidR="00E66B89">
        <w:rPr>
          <w:rFonts w:eastAsia="Calibri"/>
          <w:szCs w:val="20"/>
          <w:lang w:eastAsia="en-US"/>
        </w:rPr>
        <w:t xml:space="preserve"> o </w:t>
      </w:r>
      <w:r w:rsidRPr="00404DA5">
        <w:rPr>
          <w:rFonts w:eastAsia="Calibri"/>
          <w:szCs w:val="20"/>
          <w:lang w:eastAsia="en-US"/>
        </w:rPr>
        <w:t>800 tys. Potrzeba rozwijania zdeinstytucjonalizowanych form opieki jest nadal aktualna. Działania</w:t>
      </w:r>
      <w:r w:rsidR="00E66B89">
        <w:rPr>
          <w:rFonts w:eastAsia="Calibri"/>
          <w:szCs w:val="20"/>
          <w:lang w:eastAsia="en-US"/>
        </w:rPr>
        <w:t xml:space="preserve"> w </w:t>
      </w:r>
      <w:r w:rsidRPr="00404DA5">
        <w:rPr>
          <w:rFonts w:eastAsia="Calibri"/>
          <w:szCs w:val="20"/>
          <w:lang w:eastAsia="en-US"/>
        </w:rPr>
        <w:t>obszarze usług społecznych, głównie asystenckich oraz opiekuńczych będą</w:t>
      </w:r>
      <w:r w:rsidR="00E66B89">
        <w:rPr>
          <w:rFonts w:eastAsia="Calibri"/>
          <w:szCs w:val="20"/>
          <w:lang w:eastAsia="en-US"/>
        </w:rPr>
        <w:t xml:space="preserve"> w </w:t>
      </w:r>
      <w:r w:rsidRPr="00404DA5">
        <w:rPr>
          <w:rFonts w:eastAsia="Calibri"/>
          <w:szCs w:val="20"/>
          <w:lang w:eastAsia="en-US"/>
        </w:rPr>
        <w:t>najbliższych latach priorytetowe</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9iv.</w:t>
      </w:r>
      <w:r>
        <w:rPr>
          <w:rFonts w:eastAsia="Calibri"/>
          <w:szCs w:val="20"/>
          <w:lang w:eastAsia="en-US"/>
        </w:rPr>
        <w:t xml:space="preserve"> Podkreślali to również uczestnicy panelu eksperckiego, którzy zwrócili uwagę na konieczność monitorowania</w:t>
      </w:r>
      <w:r w:rsidR="00E66B89">
        <w:rPr>
          <w:rFonts w:eastAsia="Calibri"/>
          <w:szCs w:val="20"/>
          <w:lang w:eastAsia="en-US"/>
        </w:rPr>
        <w:t xml:space="preserve"> i </w:t>
      </w:r>
      <w:r>
        <w:rPr>
          <w:rFonts w:eastAsia="Calibri"/>
          <w:szCs w:val="20"/>
          <w:lang w:eastAsia="en-US"/>
        </w:rPr>
        <w:t>uwzględniania sytuacji demograficznej</w:t>
      </w:r>
      <w:r w:rsidR="00E66B89">
        <w:rPr>
          <w:rFonts w:eastAsia="Calibri"/>
          <w:szCs w:val="20"/>
          <w:lang w:eastAsia="en-US"/>
        </w:rPr>
        <w:t xml:space="preserve"> w </w:t>
      </w:r>
      <w:r>
        <w:rPr>
          <w:rFonts w:eastAsia="Calibri"/>
          <w:szCs w:val="20"/>
          <w:lang w:eastAsia="en-US"/>
        </w:rPr>
        <w:t>planowaniu wsparcia</w:t>
      </w:r>
      <w:r w:rsidR="00E66B89">
        <w:rPr>
          <w:rFonts w:eastAsia="Calibri"/>
          <w:szCs w:val="20"/>
          <w:lang w:eastAsia="en-US"/>
        </w:rPr>
        <w:t xml:space="preserve"> w </w:t>
      </w:r>
      <w:r>
        <w:rPr>
          <w:rFonts w:eastAsia="Calibri"/>
          <w:szCs w:val="20"/>
          <w:lang w:eastAsia="en-US"/>
        </w:rPr>
        <w:t>ramach RPO WZ 2014-2020.</w:t>
      </w:r>
      <w:r w:rsidRPr="00404DA5">
        <w:rPr>
          <w:rFonts w:eastAsia="Calibri"/>
          <w:szCs w:val="20"/>
          <w:lang w:eastAsia="en-US"/>
        </w:rPr>
        <w:t xml:space="preserve"> Jednocześnie zawody takie jak asystent lub opiekun osoby</w:t>
      </w:r>
      <w:r w:rsidR="00E66B89">
        <w:rPr>
          <w:rFonts w:eastAsia="Calibri"/>
          <w:szCs w:val="20"/>
          <w:lang w:eastAsia="en-US"/>
        </w:rPr>
        <w:t xml:space="preserve"> z </w:t>
      </w:r>
      <w:r w:rsidRPr="00404DA5">
        <w:rPr>
          <w:rFonts w:eastAsia="Calibri"/>
          <w:szCs w:val="20"/>
          <w:lang w:eastAsia="en-US"/>
        </w:rPr>
        <w:t>niepełnosprawnością znalazły się na liście zawodów deficytowych</w:t>
      </w:r>
      <w:r w:rsidR="00E66B89">
        <w:rPr>
          <w:rFonts w:eastAsia="Calibri"/>
          <w:szCs w:val="20"/>
          <w:lang w:eastAsia="en-US"/>
        </w:rPr>
        <w:t xml:space="preserve"> w </w:t>
      </w:r>
      <w:r w:rsidRPr="00404DA5">
        <w:rPr>
          <w:rFonts w:eastAsia="Calibri"/>
          <w:szCs w:val="20"/>
          <w:lang w:eastAsia="en-US"/>
        </w:rPr>
        <w:t>województwie</w:t>
      </w:r>
      <w:r w:rsidRPr="00404DA5">
        <w:rPr>
          <w:rStyle w:val="Odwoanieprzypisudolnego"/>
          <w:rFonts w:eastAsia="Calibri"/>
          <w:szCs w:val="20"/>
          <w:lang w:eastAsia="en-US"/>
        </w:rPr>
        <w:footnoteReference w:id="102"/>
      </w:r>
      <w:r w:rsidRPr="00404DA5">
        <w:rPr>
          <w:rFonts w:eastAsia="Calibri"/>
          <w:szCs w:val="20"/>
          <w:lang w:eastAsia="en-US"/>
        </w:rPr>
        <w:t>. Należy przede wszystkim zapewnić kadrę, która mogłaby objąć ww. stanowiska.</w:t>
      </w:r>
      <w:r w:rsidR="00E66B89">
        <w:rPr>
          <w:rFonts w:eastAsia="Calibri"/>
          <w:szCs w:val="20"/>
          <w:lang w:eastAsia="en-US"/>
        </w:rPr>
        <w:t xml:space="preserve"> W </w:t>
      </w:r>
      <w:r w:rsidRPr="00404DA5">
        <w:rPr>
          <w:rFonts w:eastAsia="Calibri"/>
          <w:szCs w:val="20"/>
          <w:lang w:eastAsia="en-US"/>
        </w:rPr>
        <w:t>tym celu zaleca się zapewnienie komplementarności</w:t>
      </w:r>
      <w:r w:rsidR="00E66B89">
        <w:rPr>
          <w:rFonts w:eastAsia="Calibri"/>
          <w:szCs w:val="20"/>
          <w:lang w:eastAsia="en-US"/>
        </w:rPr>
        <w:t xml:space="preserve"> w </w:t>
      </w:r>
      <w:r w:rsidRPr="00404DA5">
        <w:rPr>
          <w:rFonts w:eastAsia="Calibri"/>
          <w:szCs w:val="20"/>
          <w:lang w:eastAsia="en-US"/>
        </w:rPr>
        <w:t>ramach rekrutowania do projektów uczestników działań realizowanych</w:t>
      </w:r>
      <w:r w:rsidR="00E66B89">
        <w:rPr>
          <w:rFonts w:eastAsia="Calibri"/>
          <w:szCs w:val="20"/>
          <w:lang w:eastAsia="en-US"/>
        </w:rPr>
        <w:t xml:space="preserve"> w </w:t>
      </w:r>
      <w:r w:rsidRPr="00404DA5">
        <w:rPr>
          <w:rFonts w:eastAsia="Calibri"/>
          <w:szCs w:val="20"/>
          <w:lang w:eastAsia="en-US"/>
        </w:rPr>
        <w:t>PI</w:t>
      </w:r>
      <w:r>
        <w:rPr>
          <w:rFonts w:eastAsia="Calibri"/>
          <w:szCs w:val="20"/>
          <w:lang w:eastAsia="en-US"/>
        </w:rPr>
        <w:t xml:space="preserve"> </w:t>
      </w:r>
      <w:r w:rsidRPr="00404DA5">
        <w:rPr>
          <w:rFonts w:eastAsia="Calibri"/>
          <w:szCs w:val="20"/>
          <w:lang w:eastAsia="en-US"/>
        </w:rPr>
        <w:t>9i oraz PI</w:t>
      </w:r>
      <w:r>
        <w:rPr>
          <w:rFonts w:eastAsia="Calibri"/>
          <w:szCs w:val="20"/>
          <w:lang w:eastAsia="en-US"/>
        </w:rPr>
        <w:t xml:space="preserve"> </w:t>
      </w:r>
      <w:r w:rsidRPr="00404DA5">
        <w:rPr>
          <w:rFonts w:eastAsia="Calibri"/>
          <w:szCs w:val="20"/>
          <w:lang w:eastAsia="en-US"/>
        </w:rPr>
        <w:t>9iv. Dla części osób, które kwalifikują się do wsparcia</w:t>
      </w:r>
      <w:r w:rsidR="00E66B89">
        <w:rPr>
          <w:rFonts w:eastAsia="Calibri"/>
          <w:szCs w:val="20"/>
          <w:lang w:eastAsia="en-US"/>
        </w:rPr>
        <w:t xml:space="preserve"> w </w:t>
      </w:r>
      <w:r w:rsidRPr="00404DA5">
        <w:rPr>
          <w:rFonts w:eastAsia="Calibri"/>
          <w:szCs w:val="20"/>
          <w:lang w:eastAsia="en-US"/>
        </w:rPr>
        <w:t>ramach PI</w:t>
      </w:r>
      <w:r>
        <w:rPr>
          <w:rFonts w:eastAsia="Calibri"/>
          <w:szCs w:val="20"/>
          <w:lang w:eastAsia="en-US"/>
        </w:rPr>
        <w:t xml:space="preserve"> </w:t>
      </w:r>
      <w:r w:rsidRPr="00404DA5">
        <w:rPr>
          <w:rFonts w:eastAsia="Calibri"/>
          <w:szCs w:val="20"/>
          <w:lang w:eastAsia="en-US"/>
        </w:rPr>
        <w:t>9i można wytyczyć ścieżkę reintegracji dotyczącą przygotowania do zawodu asystenta lub opiekuna.</w:t>
      </w:r>
      <w:r w:rsidR="00E66B89">
        <w:rPr>
          <w:rFonts w:eastAsia="Calibri"/>
          <w:szCs w:val="20"/>
          <w:lang w:eastAsia="en-US"/>
        </w:rPr>
        <w:t xml:space="preserve"> W </w:t>
      </w:r>
      <w:r w:rsidRPr="00404DA5">
        <w:rPr>
          <w:rFonts w:eastAsia="Calibri"/>
          <w:szCs w:val="20"/>
          <w:lang w:eastAsia="en-US"/>
        </w:rPr>
        <w:t xml:space="preserve">rozwiązaniu sytuacji braku kadry nie bez znaczenia może okazać się wzrastający odsetek </w:t>
      </w:r>
      <w:r w:rsidRPr="00404DA5">
        <w:rPr>
          <w:rFonts w:eastAsia="Calibri"/>
          <w:szCs w:val="20"/>
          <w:lang w:eastAsia="en-US"/>
        </w:rPr>
        <w:lastRenderedPageBreak/>
        <w:t>migrantów osiedlających się na terenie województwa.</w:t>
      </w:r>
      <w:r w:rsidR="00E66B89">
        <w:rPr>
          <w:rFonts w:eastAsia="Calibri"/>
          <w:szCs w:val="20"/>
          <w:lang w:eastAsia="en-US"/>
        </w:rPr>
        <w:t xml:space="preserve"> W </w:t>
      </w:r>
      <w:r w:rsidRPr="00404DA5">
        <w:rPr>
          <w:rFonts w:eastAsia="Calibri"/>
          <w:szCs w:val="20"/>
          <w:lang w:eastAsia="en-US"/>
        </w:rPr>
        <w:t>ostatnich latach zwiększył się udział osób narodowości ukraińskiej</w:t>
      </w:r>
      <w:r w:rsidR="00E66B89">
        <w:rPr>
          <w:rFonts w:eastAsia="Calibri"/>
          <w:szCs w:val="20"/>
          <w:lang w:eastAsia="en-US"/>
        </w:rPr>
        <w:t xml:space="preserve"> w </w:t>
      </w:r>
      <w:r w:rsidRPr="00404DA5">
        <w:rPr>
          <w:rFonts w:eastAsia="Calibri"/>
          <w:szCs w:val="20"/>
          <w:lang w:eastAsia="en-US"/>
        </w:rPr>
        <w:t>strukturze cudzoziemców. Obecnie obywatele Ukrainy stanowią 40,7% wszystkich obcokrajowców posiadających prawo pobytu</w:t>
      </w:r>
      <w:r w:rsidR="00E66B89">
        <w:rPr>
          <w:rFonts w:eastAsia="Calibri"/>
          <w:szCs w:val="20"/>
          <w:lang w:eastAsia="en-US"/>
        </w:rPr>
        <w:t xml:space="preserve"> w </w:t>
      </w:r>
      <w:r>
        <w:rPr>
          <w:rFonts w:eastAsia="Calibri"/>
          <w:szCs w:val="20"/>
          <w:lang w:eastAsia="en-US"/>
        </w:rPr>
        <w:t>województwie zachodniopomorskim</w:t>
      </w:r>
      <w:r w:rsidRPr="00404DA5">
        <w:rPr>
          <w:rFonts w:eastAsia="Calibri"/>
          <w:szCs w:val="20"/>
          <w:lang w:eastAsia="en-US"/>
        </w:rPr>
        <w:t>, co przekłada się na 7 962 osób. Są to osoby, które potencjalnie mogłyby być zainteresowane zdobywaniem dodatkowych kwalifikacji</w:t>
      </w:r>
      <w:r w:rsidR="00E66B89">
        <w:rPr>
          <w:rFonts w:eastAsia="Calibri"/>
          <w:szCs w:val="20"/>
          <w:lang w:eastAsia="en-US"/>
        </w:rPr>
        <w:t xml:space="preserve"> w </w:t>
      </w:r>
      <w:r w:rsidRPr="00404DA5">
        <w:rPr>
          <w:rFonts w:eastAsia="Calibri"/>
          <w:szCs w:val="20"/>
          <w:lang w:eastAsia="en-US"/>
        </w:rPr>
        <w:t>Polsce</w:t>
      </w:r>
      <w:r w:rsidRPr="00404DA5">
        <w:rPr>
          <w:rStyle w:val="Odwoanieprzypisudolnego"/>
          <w:rFonts w:eastAsia="Calibri"/>
          <w:szCs w:val="20"/>
          <w:lang w:eastAsia="en-US"/>
        </w:rPr>
        <w:footnoteReference w:id="103"/>
      </w:r>
      <w:r w:rsidRPr="00404DA5">
        <w:rPr>
          <w:rFonts w:eastAsia="Calibri"/>
          <w:szCs w:val="20"/>
          <w:lang w:eastAsia="en-US"/>
        </w:rPr>
        <w:t>. Ponadto</w:t>
      </w:r>
      <w:r w:rsidR="00E66B89">
        <w:rPr>
          <w:rFonts w:eastAsia="Calibri"/>
          <w:szCs w:val="20"/>
          <w:lang w:eastAsia="en-US"/>
        </w:rPr>
        <w:t xml:space="preserve"> w </w:t>
      </w:r>
      <w:r w:rsidRPr="00404DA5">
        <w:rPr>
          <w:rFonts w:eastAsia="Calibri"/>
          <w:szCs w:val="20"/>
          <w:lang w:eastAsia="en-US"/>
        </w:rPr>
        <w:t>obszarze PI</w:t>
      </w:r>
      <w:r>
        <w:rPr>
          <w:rFonts w:eastAsia="Calibri"/>
          <w:szCs w:val="20"/>
          <w:lang w:eastAsia="en-US"/>
        </w:rPr>
        <w:t xml:space="preserve"> </w:t>
      </w:r>
      <w:r w:rsidRPr="00404DA5">
        <w:rPr>
          <w:rFonts w:eastAsia="Calibri"/>
          <w:szCs w:val="20"/>
          <w:lang w:eastAsia="en-US"/>
        </w:rPr>
        <w:t>9iv obserwuje się</w:t>
      </w:r>
      <w:r w:rsidR="00E66B89">
        <w:rPr>
          <w:rFonts w:eastAsia="Calibri"/>
          <w:szCs w:val="20"/>
          <w:lang w:eastAsia="en-US"/>
        </w:rPr>
        <w:t xml:space="preserve"> w </w:t>
      </w:r>
      <w:r w:rsidRPr="00404DA5">
        <w:rPr>
          <w:rFonts w:eastAsia="Calibri"/>
          <w:szCs w:val="20"/>
          <w:lang w:eastAsia="en-US"/>
        </w:rPr>
        <w:t>całym kraju wzrost potrzeb</w:t>
      </w:r>
      <w:r w:rsidR="00E66B89">
        <w:rPr>
          <w:rFonts w:eastAsia="Calibri"/>
          <w:szCs w:val="20"/>
          <w:lang w:eastAsia="en-US"/>
        </w:rPr>
        <w:t xml:space="preserve"> w </w:t>
      </w:r>
      <w:r w:rsidRPr="00404DA5">
        <w:rPr>
          <w:rFonts w:eastAsia="Calibri"/>
          <w:szCs w:val="20"/>
          <w:lang w:eastAsia="en-US"/>
        </w:rPr>
        <w:t>zakresie zdrowia psychicznego. Według danych GUS</w:t>
      </w:r>
      <w:r>
        <w:rPr>
          <w:rFonts w:eastAsia="Calibri"/>
          <w:szCs w:val="20"/>
          <w:lang w:eastAsia="en-US"/>
        </w:rPr>
        <w:t>,</w:t>
      </w:r>
      <w:r w:rsidRPr="00404DA5">
        <w:rPr>
          <w:rFonts w:eastAsia="Calibri"/>
          <w:szCs w:val="20"/>
          <w:lang w:eastAsia="en-US"/>
        </w:rPr>
        <w:t xml:space="preserve"> od 2012 do 2016 roku</w:t>
      </w:r>
      <w:r>
        <w:rPr>
          <w:rFonts w:eastAsia="Calibri"/>
          <w:szCs w:val="20"/>
          <w:lang w:eastAsia="en-US"/>
        </w:rPr>
        <w:t>,</w:t>
      </w:r>
      <w:r w:rsidR="00E66B89">
        <w:rPr>
          <w:rFonts w:eastAsia="Calibri"/>
          <w:szCs w:val="20"/>
          <w:lang w:eastAsia="en-US"/>
        </w:rPr>
        <w:t xml:space="preserve"> w </w:t>
      </w:r>
      <w:r w:rsidRPr="00404DA5">
        <w:rPr>
          <w:rFonts w:eastAsia="Calibri"/>
          <w:szCs w:val="20"/>
          <w:lang w:eastAsia="en-US"/>
        </w:rPr>
        <w:t>Polsce podwoił się wskaźnik zgonów</w:t>
      </w:r>
      <w:r w:rsidR="00E66B89">
        <w:rPr>
          <w:rFonts w:eastAsia="Calibri"/>
          <w:szCs w:val="20"/>
          <w:lang w:eastAsia="en-US"/>
        </w:rPr>
        <w:t xml:space="preserve"> z </w:t>
      </w:r>
      <w:r w:rsidRPr="00404DA5">
        <w:rPr>
          <w:rFonts w:eastAsia="Calibri"/>
          <w:szCs w:val="20"/>
          <w:lang w:eastAsia="en-US"/>
        </w:rPr>
        <w:t>powodu zaburzeń psychicznych</w:t>
      </w:r>
      <w:r w:rsidR="00E66B89">
        <w:rPr>
          <w:rFonts w:eastAsia="Calibri"/>
          <w:szCs w:val="20"/>
          <w:lang w:eastAsia="en-US"/>
        </w:rPr>
        <w:t xml:space="preserve"> i </w:t>
      </w:r>
      <w:r w:rsidRPr="00404DA5">
        <w:rPr>
          <w:rFonts w:eastAsia="Calibri"/>
          <w:szCs w:val="20"/>
          <w:lang w:eastAsia="en-US"/>
        </w:rPr>
        <w:t>zaburzeń zachowania na 100 tys. ludności [osoby] –</w:t>
      </w:r>
      <w:r w:rsidR="00E66B89">
        <w:rPr>
          <w:rFonts w:eastAsia="Calibri"/>
          <w:szCs w:val="20"/>
          <w:lang w:eastAsia="en-US"/>
        </w:rPr>
        <w:t xml:space="preserve"> z </w:t>
      </w:r>
      <w:r w:rsidRPr="00404DA5">
        <w:rPr>
          <w:rFonts w:eastAsia="Calibri"/>
          <w:szCs w:val="20"/>
          <w:lang w:eastAsia="en-US"/>
        </w:rPr>
        <w:t>4,4 do 8,3.</w:t>
      </w:r>
      <w:r w:rsidR="00E66B89">
        <w:rPr>
          <w:rFonts w:eastAsia="Calibri"/>
          <w:szCs w:val="20"/>
          <w:lang w:eastAsia="en-US"/>
        </w:rPr>
        <w:t xml:space="preserve"> W </w:t>
      </w:r>
      <w:r>
        <w:rPr>
          <w:rFonts w:eastAsia="Calibri"/>
          <w:szCs w:val="20"/>
          <w:lang w:eastAsia="en-US"/>
        </w:rPr>
        <w:t>województwie zachodniopomorskim</w:t>
      </w:r>
      <w:r w:rsidR="00E66B89">
        <w:rPr>
          <w:rFonts w:eastAsia="Calibri"/>
          <w:szCs w:val="20"/>
          <w:lang w:eastAsia="en-US"/>
        </w:rPr>
        <w:t xml:space="preserve"> w </w:t>
      </w:r>
      <w:r>
        <w:rPr>
          <w:rFonts w:eastAsia="Calibri"/>
          <w:szCs w:val="20"/>
          <w:lang w:eastAsia="en-US"/>
        </w:rPr>
        <w:t>2014 wskaźnik wyniósł 2,6, natomiast</w:t>
      </w:r>
      <w:r w:rsidR="00E66B89">
        <w:rPr>
          <w:rFonts w:eastAsia="Calibri"/>
          <w:szCs w:val="20"/>
          <w:lang w:eastAsia="en-US"/>
        </w:rPr>
        <w:t xml:space="preserve"> w </w:t>
      </w:r>
      <w:r>
        <w:rPr>
          <w:rFonts w:eastAsia="Calibri"/>
          <w:szCs w:val="20"/>
          <w:lang w:eastAsia="en-US"/>
        </w:rPr>
        <w:t>2017 r. - 6,2.</w:t>
      </w:r>
      <w:r w:rsidRPr="00404DA5">
        <w:rPr>
          <w:rFonts w:eastAsia="Calibri"/>
          <w:szCs w:val="20"/>
          <w:lang w:eastAsia="en-US"/>
        </w:rPr>
        <w:t xml:space="preserve"> Jest to kolejny obszar</w:t>
      </w:r>
      <w:r w:rsidR="00E66B89">
        <w:rPr>
          <w:rFonts w:eastAsia="Calibri"/>
          <w:szCs w:val="20"/>
          <w:lang w:eastAsia="en-US"/>
        </w:rPr>
        <w:t xml:space="preserve"> w </w:t>
      </w:r>
      <w:r w:rsidRPr="00404DA5">
        <w:rPr>
          <w:rFonts w:eastAsia="Calibri"/>
          <w:szCs w:val="20"/>
          <w:lang w:eastAsia="en-US"/>
        </w:rPr>
        <w:t xml:space="preserve">ramach którego powinno rozważyć się zwiększenie wsparcia. </w:t>
      </w:r>
      <w:r w:rsidRPr="00404DA5">
        <w:rPr>
          <w:rFonts w:ascii="Calibri" w:eastAsia="Calibri" w:hAnsi="Calibri"/>
          <w:sz w:val="22"/>
          <w:szCs w:val="22"/>
          <w:lang w:eastAsia="en-US"/>
        </w:rPr>
        <w:tab/>
      </w:r>
      <w:r w:rsidRPr="00404DA5">
        <w:rPr>
          <w:rFonts w:ascii="Calibri" w:eastAsia="Calibri" w:hAnsi="Calibri"/>
          <w:sz w:val="22"/>
          <w:szCs w:val="22"/>
          <w:lang w:eastAsia="en-US"/>
        </w:rPr>
        <w:tab/>
      </w:r>
    </w:p>
    <w:p w14:paraId="2BA19BD6" w14:textId="77777777" w:rsidR="009D3A39" w:rsidRPr="00FE43CD" w:rsidRDefault="009D3A39" w:rsidP="009D3A39">
      <w:pPr>
        <w:pStyle w:val="Nagwek3"/>
      </w:pPr>
      <w:r w:rsidRPr="00FE43CD">
        <w:t>Realizacja Ram Wykonania</w:t>
      </w:r>
      <w:r w:rsidR="00E66B89">
        <w:t xml:space="preserve"> w </w:t>
      </w:r>
      <w:r w:rsidRPr="00FE43CD">
        <w:t xml:space="preserve">OP </w:t>
      </w:r>
      <w:r>
        <w:t>VII</w:t>
      </w:r>
    </w:p>
    <w:p w14:paraId="71E43C4D" w14:textId="77777777" w:rsidR="009D3A39" w:rsidRPr="00BA5798" w:rsidRDefault="009D3A39" w:rsidP="00D87AE8">
      <w:pPr>
        <w:pStyle w:val="Legenda"/>
        <w:spacing w:after="0"/>
      </w:pPr>
      <w:bookmarkStart w:id="278" w:name="_Toc8824228"/>
      <w:r w:rsidRPr="00BA5798">
        <w:t xml:space="preserve">Tabela </w:t>
      </w:r>
      <w:r>
        <w:fldChar w:fldCharType="begin"/>
      </w:r>
      <w:r>
        <w:instrText xml:space="preserve"> SEQ Tabela \* ARABIC </w:instrText>
      </w:r>
      <w:r>
        <w:fldChar w:fldCharType="separate"/>
      </w:r>
      <w:r w:rsidR="00763345">
        <w:rPr>
          <w:noProof/>
        </w:rPr>
        <w:t>117</w:t>
      </w:r>
      <w:r>
        <w:fldChar w:fldCharType="end"/>
      </w:r>
      <w:r w:rsidRPr="00BA5798">
        <w:t xml:space="preserve"> Wskaźniki wybrane do Ram Wykonania – stopień osiągnięcia wartości pośrednich</w:t>
      </w:r>
      <w:r w:rsidR="00E66B89">
        <w:t xml:space="preserve"> i </w:t>
      </w:r>
      <w:r w:rsidRPr="00BA5798">
        <w:t>docelowych – OP VII Włączenie społeczne</w:t>
      </w:r>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025"/>
        <w:gridCol w:w="1273"/>
        <w:gridCol w:w="856"/>
        <w:gridCol w:w="1066"/>
        <w:gridCol w:w="766"/>
        <w:gridCol w:w="999"/>
        <w:gridCol w:w="825"/>
        <w:gridCol w:w="864"/>
        <w:gridCol w:w="864"/>
      </w:tblGrid>
      <w:tr w:rsidR="009D3A39" w:rsidRPr="00B84EEA" w14:paraId="35E5F517" w14:textId="77777777" w:rsidTr="00C22C26">
        <w:trPr>
          <w:tblHeader/>
        </w:trPr>
        <w:tc>
          <w:tcPr>
            <w:tcW w:w="0" w:type="auto"/>
            <w:shd w:val="clear" w:color="auto" w:fill="DBE5F1"/>
          </w:tcPr>
          <w:p w14:paraId="5BEA54D3" w14:textId="77777777" w:rsidR="009D3A39" w:rsidRPr="00B84EEA" w:rsidRDefault="009D3A39" w:rsidP="001C3974">
            <w:r w:rsidRPr="00404DA5">
              <w:rPr>
                <w:rFonts w:cs="Calibri"/>
                <w:sz w:val="18"/>
                <w:szCs w:val="18"/>
              </w:rPr>
              <w:t>PI</w:t>
            </w:r>
          </w:p>
        </w:tc>
        <w:tc>
          <w:tcPr>
            <w:tcW w:w="0" w:type="auto"/>
            <w:shd w:val="clear" w:color="auto" w:fill="DBE5F1"/>
          </w:tcPr>
          <w:p w14:paraId="47C5106C" w14:textId="77777777" w:rsidR="009D3A39" w:rsidRPr="00B84EEA" w:rsidRDefault="009D3A39" w:rsidP="001C3974">
            <w:r w:rsidRPr="00404DA5">
              <w:rPr>
                <w:rFonts w:cs="Calibri"/>
                <w:sz w:val="18"/>
                <w:szCs w:val="18"/>
              </w:rPr>
              <w:t>Typ wskaźnika</w:t>
            </w:r>
          </w:p>
        </w:tc>
        <w:tc>
          <w:tcPr>
            <w:tcW w:w="0" w:type="auto"/>
            <w:shd w:val="clear" w:color="auto" w:fill="DBE5F1"/>
          </w:tcPr>
          <w:p w14:paraId="6E13DD0B" w14:textId="77777777" w:rsidR="009D3A39" w:rsidRPr="00B84EEA" w:rsidRDefault="009D3A39" w:rsidP="001C3974">
            <w:r w:rsidRPr="00404DA5">
              <w:rPr>
                <w:rFonts w:cs="Calibri"/>
                <w:sz w:val="18"/>
                <w:szCs w:val="18"/>
              </w:rPr>
              <w:t>Wskaźnik lub KEW</w:t>
            </w:r>
          </w:p>
        </w:tc>
        <w:tc>
          <w:tcPr>
            <w:tcW w:w="0" w:type="auto"/>
            <w:shd w:val="clear" w:color="auto" w:fill="DBE5F1"/>
          </w:tcPr>
          <w:p w14:paraId="0B13D8B9" w14:textId="77777777" w:rsidR="009D3A39" w:rsidRPr="00B84EEA" w:rsidRDefault="009D3A39" w:rsidP="001C3974">
            <w:r w:rsidRPr="00404DA5">
              <w:rPr>
                <w:rFonts w:cs="Calibri"/>
                <w:sz w:val="18"/>
                <w:szCs w:val="18"/>
              </w:rPr>
              <w:t>Jednostka pomiaru</w:t>
            </w:r>
          </w:p>
        </w:tc>
        <w:tc>
          <w:tcPr>
            <w:tcW w:w="0" w:type="auto"/>
            <w:shd w:val="clear" w:color="auto" w:fill="DBE5F1"/>
          </w:tcPr>
          <w:p w14:paraId="136DF013" w14:textId="77777777" w:rsidR="009D3A39" w:rsidRPr="00B84EEA" w:rsidRDefault="009D3A39" w:rsidP="001C3974">
            <w:r w:rsidRPr="00404DA5">
              <w:rPr>
                <w:rFonts w:cs="Calibri"/>
                <w:sz w:val="18"/>
                <w:szCs w:val="18"/>
              </w:rPr>
              <w:t>Wartość kumulatywna</w:t>
            </w:r>
          </w:p>
        </w:tc>
        <w:tc>
          <w:tcPr>
            <w:tcW w:w="0" w:type="auto"/>
            <w:shd w:val="clear" w:color="auto" w:fill="DBE5F1"/>
          </w:tcPr>
          <w:p w14:paraId="7B9FCB96" w14:textId="77777777" w:rsidR="009D3A39" w:rsidRPr="00B84EEA" w:rsidRDefault="009D3A39" w:rsidP="001C3974">
            <w:r w:rsidRPr="00404DA5">
              <w:rPr>
                <w:rFonts w:cs="Calibri"/>
                <w:sz w:val="18"/>
                <w:szCs w:val="18"/>
              </w:rPr>
              <w:t>Cel pośredni na 2018 r.</w:t>
            </w:r>
          </w:p>
        </w:tc>
        <w:tc>
          <w:tcPr>
            <w:tcW w:w="0" w:type="auto"/>
            <w:shd w:val="clear" w:color="auto" w:fill="DBE5F1"/>
          </w:tcPr>
          <w:p w14:paraId="3C522CA8" w14:textId="77777777" w:rsidR="009D3A39" w:rsidRPr="00B84EEA" w:rsidRDefault="009D3A39" w:rsidP="001C3974">
            <w:r w:rsidRPr="00404DA5">
              <w:rPr>
                <w:rFonts w:cs="Calibri"/>
                <w:sz w:val="18"/>
                <w:szCs w:val="18"/>
              </w:rPr>
              <w:t>% realizacji celu pośredniego</w:t>
            </w:r>
          </w:p>
        </w:tc>
        <w:tc>
          <w:tcPr>
            <w:tcW w:w="0" w:type="auto"/>
            <w:shd w:val="clear" w:color="auto" w:fill="DBE5F1"/>
          </w:tcPr>
          <w:p w14:paraId="378809EA" w14:textId="77777777" w:rsidR="009D3A39" w:rsidRPr="00B84EEA" w:rsidRDefault="009D3A39" w:rsidP="001C3974">
            <w:r w:rsidRPr="00404DA5">
              <w:rPr>
                <w:rFonts w:cs="Calibri"/>
                <w:sz w:val="18"/>
                <w:szCs w:val="18"/>
              </w:rPr>
              <w:t>Wartość docelowa na koniec 2023 r.</w:t>
            </w:r>
          </w:p>
        </w:tc>
        <w:tc>
          <w:tcPr>
            <w:tcW w:w="0" w:type="auto"/>
            <w:shd w:val="clear" w:color="auto" w:fill="DBE5F1"/>
          </w:tcPr>
          <w:p w14:paraId="78F12A86" w14:textId="77777777" w:rsidR="009D3A39" w:rsidRPr="00404DA5" w:rsidRDefault="009D3A39" w:rsidP="001C3974">
            <w:pPr>
              <w:keepNext/>
              <w:spacing w:line="276" w:lineRule="auto"/>
              <w:jc w:val="center"/>
              <w:rPr>
                <w:rFonts w:cs="Calibri"/>
                <w:sz w:val="18"/>
                <w:szCs w:val="18"/>
              </w:rPr>
            </w:pPr>
            <w:r w:rsidRPr="00404DA5">
              <w:rPr>
                <w:rFonts w:cs="Calibri"/>
                <w:sz w:val="18"/>
                <w:szCs w:val="18"/>
              </w:rPr>
              <w:t xml:space="preserve">% realizacji wartości docelowej </w:t>
            </w:r>
            <w:r w:rsidRPr="00DE0A94">
              <w:rPr>
                <w:rFonts w:cs="Calibri"/>
                <w:sz w:val="18"/>
                <w:szCs w:val="18"/>
              </w:rPr>
              <w:t>wg WoP</w:t>
            </w:r>
          </w:p>
        </w:tc>
        <w:tc>
          <w:tcPr>
            <w:tcW w:w="0" w:type="auto"/>
            <w:shd w:val="clear" w:color="auto" w:fill="DBE5F1"/>
          </w:tcPr>
          <w:p w14:paraId="56F952AF" w14:textId="77777777" w:rsidR="009D3A39" w:rsidRPr="00404DA5" w:rsidRDefault="009D3A39" w:rsidP="001C3974">
            <w:pPr>
              <w:keepNext/>
              <w:spacing w:line="276" w:lineRule="auto"/>
              <w:jc w:val="center"/>
              <w:rPr>
                <w:rFonts w:cs="Calibri"/>
                <w:sz w:val="18"/>
                <w:szCs w:val="18"/>
              </w:rPr>
            </w:pPr>
            <w:r w:rsidRPr="00404DA5">
              <w:rPr>
                <w:rFonts w:cs="Calibri"/>
                <w:sz w:val="18"/>
                <w:szCs w:val="18"/>
              </w:rPr>
              <w:t xml:space="preserve">% realizacji wartości docelowej </w:t>
            </w:r>
            <w:r w:rsidRPr="00DE0A94">
              <w:rPr>
                <w:rFonts w:cs="Calibri"/>
                <w:sz w:val="18"/>
                <w:szCs w:val="18"/>
              </w:rPr>
              <w:t>wg UoD</w:t>
            </w:r>
          </w:p>
        </w:tc>
      </w:tr>
      <w:tr w:rsidR="009D3A39" w:rsidRPr="00B84EEA" w14:paraId="3920FBC0" w14:textId="77777777" w:rsidTr="001C3974">
        <w:tc>
          <w:tcPr>
            <w:tcW w:w="0" w:type="auto"/>
            <w:shd w:val="clear" w:color="auto" w:fill="auto"/>
            <w:vAlign w:val="center"/>
          </w:tcPr>
          <w:p w14:paraId="51F85450" w14:textId="77777777" w:rsidR="009D3A39" w:rsidRPr="00B84EEA" w:rsidRDefault="009D3A39" w:rsidP="001C3974">
            <w:r w:rsidRPr="00404DA5">
              <w:rPr>
                <w:rFonts w:cs="Calibri"/>
                <w:color w:val="000000"/>
                <w:sz w:val="18"/>
                <w:szCs w:val="18"/>
              </w:rPr>
              <w:t>09i, 09iv, 09v</w:t>
            </w:r>
          </w:p>
        </w:tc>
        <w:tc>
          <w:tcPr>
            <w:tcW w:w="0" w:type="auto"/>
            <w:shd w:val="clear" w:color="auto" w:fill="auto"/>
            <w:vAlign w:val="center"/>
          </w:tcPr>
          <w:p w14:paraId="3EC75C8D" w14:textId="77777777" w:rsidR="009D3A39" w:rsidRPr="00B84EEA" w:rsidRDefault="009D3A39" w:rsidP="001C3974">
            <w:r w:rsidRPr="00404DA5">
              <w:rPr>
                <w:rFonts w:cs="Calibri"/>
                <w:color w:val="000000"/>
                <w:sz w:val="18"/>
                <w:szCs w:val="18"/>
              </w:rPr>
              <w:t>wskaźnik produktu</w:t>
            </w:r>
          </w:p>
        </w:tc>
        <w:tc>
          <w:tcPr>
            <w:tcW w:w="0" w:type="auto"/>
            <w:shd w:val="clear" w:color="auto" w:fill="auto"/>
            <w:vAlign w:val="center"/>
          </w:tcPr>
          <w:p w14:paraId="01365EC0" w14:textId="77777777" w:rsidR="009D3A39" w:rsidRPr="00B84EEA" w:rsidRDefault="009D3A39" w:rsidP="001C3974">
            <w:r w:rsidRPr="00404DA5">
              <w:rPr>
                <w:rFonts w:cs="Calibri"/>
                <w:color w:val="000000"/>
                <w:sz w:val="18"/>
                <w:szCs w:val="18"/>
              </w:rPr>
              <w:t>Liczba osób zagrożonych ubóstwem lub wykluczeniem społecznym objętych wsparciem</w:t>
            </w:r>
            <w:r w:rsidR="00E66B89">
              <w:rPr>
                <w:rFonts w:cs="Calibri"/>
                <w:color w:val="000000"/>
                <w:sz w:val="18"/>
                <w:szCs w:val="18"/>
              </w:rPr>
              <w:t xml:space="preserve"> w </w:t>
            </w:r>
            <w:r w:rsidRPr="00404DA5">
              <w:rPr>
                <w:rFonts w:cs="Calibri"/>
                <w:color w:val="000000"/>
                <w:sz w:val="18"/>
                <w:szCs w:val="18"/>
              </w:rPr>
              <w:t>programie</w:t>
            </w:r>
          </w:p>
        </w:tc>
        <w:tc>
          <w:tcPr>
            <w:tcW w:w="0" w:type="auto"/>
            <w:shd w:val="clear" w:color="auto" w:fill="auto"/>
            <w:vAlign w:val="center"/>
          </w:tcPr>
          <w:p w14:paraId="1DDD90D8" w14:textId="77777777" w:rsidR="009D3A39" w:rsidRPr="00B84EEA" w:rsidRDefault="009D3A39" w:rsidP="001C3974">
            <w:r w:rsidRPr="00404DA5">
              <w:rPr>
                <w:rFonts w:cs="Calibri"/>
                <w:color w:val="000000"/>
                <w:sz w:val="18"/>
                <w:szCs w:val="18"/>
              </w:rPr>
              <w:t>osoby</w:t>
            </w:r>
          </w:p>
        </w:tc>
        <w:tc>
          <w:tcPr>
            <w:tcW w:w="0" w:type="auto"/>
            <w:shd w:val="clear" w:color="auto" w:fill="auto"/>
            <w:vAlign w:val="center"/>
          </w:tcPr>
          <w:p w14:paraId="580A5E93" w14:textId="77777777" w:rsidR="009D3A39" w:rsidRPr="00B84EEA" w:rsidRDefault="009D3A39" w:rsidP="001C3974">
            <w:r w:rsidRPr="00404DA5">
              <w:rPr>
                <w:rFonts w:cs="Calibri"/>
                <w:color w:val="000000"/>
                <w:sz w:val="18"/>
                <w:szCs w:val="18"/>
              </w:rPr>
              <w:t>11 529</w:t>
            </w:r>
          </w:p>
        </w:tc>
        <w:tc>
          <w:tcPr>
            <w:tcW w:w="0" w:type="auto"/>
            <w:shd w:val="clear" w:color="auto" w:fill="auto"/>
            <w:vAlign w:val="center"/>
          </w:tcPr>
          <w:p w14:paraId="20DB03E9" w14:textId="77777777" w:rsidR="009D3A39" w:rsidRPr="00B84EEA" w:rsidRDefault="009D3A39" w:rsidP="001C3974">
            <w:r w:rsidRPr="00404DA5">
              <w:rPr>
                <w:rFonts w:cs="Calibri"/>
                <w:color w:val="000000"/>
                <w:sz w:val="18"/>
                <w:szCs w:val="18"/>
              </w:rPr>
              <w:t>4 500</w:t>
            </w:r>
          </w:p>
        </w:tc>
        <w:tc>
          <w:tcPr>
            <w:tcW w:w="0" w:type="auto"/>
            <w:shd w:val="clear" w:color="auto" w:fill="auto"/>
            <w:vAlign w:val="center"/>
          </w:tcPr>
          <w:p w14:paraId="0D31BCFE" w14:textId="77777777" w:rsidR="009D3A39" w:rsidRPr="00B84EEA" w:rsidRDefault="009D3A39" w:rsidP="001C3974">
            <w:r w:rsidRPr="00404DA5">
              <w:rPr>
                <w:rFonts w:cs="Calibri"/>
                <w:color w:val="000000"/>
                <w:sz w:val="18"/>
                <w:szCs w:val="18"/>
              </w:rPr>
              <w:t>256,20%</w:t>
            </w:r>
          </w:p>
        </w:tc>
        <w:tc>
          <w:tcPr>
            <w:tcW w:w="0" w:type="auto"/>
            <w:shd w:val="clear" w:color="auto" w:fill="auto"/>
            <w:vAlign w:val="center"/>
          </w:tcPr>
          <w:p w14:paraId="482C0A5B" w14:textId="77777777" w:rsidR="009D3A39" w:rsidRPr="00B84EEA" w:rsidRDefault="009D3A39" w:rsidP="001C3974">
            <w:pPr>
              <w:jc w:val="center"/>
            </w:pPr>
            <w:r w:rsidRPr="00404DA5">
              <w:rPr>
                <w:rFonts w:cs="Calibri"/>
                <w:sz w:val="18"/>
                <w:szCs w:val="18"/>
              </w:rPr>
              <w:t>30406</w:t>
            </w:r>
            <w:r w:rsidRPr="00404DA5">
              <w:rPr>
                <w:rStyle w:val="Odwoanieprzypisudolnego"/>
                <w:sz w:val="18"/>
                <w:szCs w:val="18"/>
              </w:rPr>
              <w:footnoteReference w:id="104"/>
            </w:r>
          </w:p>
        </w:tc>
        <w:tc>
          <w:tcPr>
            <w:tcW w:w="0" w:type="auto"/>
            <w:shd w:val="clear" w:color="auto" w:fill="auto"/>
            <w:vAlign w:val="center"/>
          </w:tcPr>
          <w:p w14:paraId="5C9613BB" w14:textId="77777777" w:rsidR="009D3A39" w:rsidRPr="00404DA5" w:rsidRDefault="009D3A39" w:rsidP="001C3974">
            <w:pPr>
              <w:spacing w:line="276" w:lineRule="auto"/>
              <w:jc w:val="center"/>
              <w:rPr>
                <w:rFonts w:eastAsia="Calibri" w:cs="Calibri"/>
                <w:sz w:val="18"/>
                <w:szCs w:val="18"/>
              </w:rPr>
            </w:pPr>
            <w:r w:rsidRPr="00404DA5">
              <w:rPr>
                <w:rFonts w:eastAsia="Calibri" w:cs="Calibri"/>
                <w:sz w:val="18"/>
                <w:szCs w:val="18"/>
              </w:rPr>
              <w:t>37,9%</w:t>
            </w:r>
          </w:p>
        </w:tc>
        <w:tc>
          <w:tcPr>
            <w:tcW w:w="0" w:type="auto"/>
            <w:shd w:val="clear" w:color="auto" w:fill="auto"/>
            <w:vAlign w:val="center"/>
          </w:tcPr>
          <w:p w14:paraId="047FE280" w14:textId="77777777" w:rsidR="009D3A39" w:rsidRPr="00404DA5" w:rsidRDefault="009D3A39" w:rsidP="001C3974">
            <w:pPr>
              <w:spacing w:line="276" w:lineRule="auto"/>
              <w:jc w:val="center"/>
              <w:rPr>
                <w:rFonts w:eastAsia="Calibri" w:cs="Calibri"/>
                <w:sz w:val="18"/>
                <w:szCs w:val="18"/>
              </w:rPr>
            </w:pPr>
            <w:r w:rsidRPr="00404DA5">
              <w:rPr>
                <w:rFonts w:eastAsia="Calibri" w:cs="Calibri"/>
                <w:sz w:val="18"/>
                <w:szCs w:val="18"/>
              </w:rPr>
              <w:t>48,7%</w:t>
            </w:r>
          </w:p>
        </w:tc>
      </w:tr>
      <w:tr w:rsidR="009D3A39" w:rsidRPr="00B84EEA" w14:paraId="5D6E7888" w14:textId="77777777" w:rsidTr="001C3974">
        <w:tc>
          <w:tcPr>
            <w:tcW w:w="0" w:type="auto"/>
            <w:shd w:val="clear" w:color="auto" w:fill="auto"/>
            <w:vAlign w:val="center"/>
          </w:tcPr>
          <w:p w14:paraId="4166D7E1" w14:textId="77777777" w:rsidR="009D3A39" w:rsidRPr="00B84EEA" w:rsidRDefault="009D3A39" w:rsidP="001C3974">
            <w:r w:rsidRPr="00404DA5">
              <w:rPr>
                <w:rFonts w:cs="Calibri"/>
                <w:color w:val="000000"/>
                <w:sz w:val="18"/>
                <w:szCs w:val="18"/>
              </w:rPr>
              <w:t>09v</w:t>
            </w:r>
          </w:p>
        </w:tc>
        <w:tc>
          <w:tcPr>
            <w:tcW w:w="0" w:type="auto"/>
            <w:shd w:val="clear" w:color="auto" w:fill="auto"/>
            <w:vAlign w:val="center"/>
          </w:tcPr>
          <w:p w14:paraId="2174B87E" w14:textId="77777777" w:rsidR="009D3A39" w:rsidRPr="00B84EEA" w:rsidRDefault="009D3A39" w:rsidP="001C3974">
            <w:r w:rsidRPr="00404DA5">
              <w:rPr>
                <w:rFonts w:cs="Calibri"/>
                <w:color w:val="000000"/>
                <w:sz w:val="18"/>
                <w:szCs w:val="18"/>
              </w:rPr>
              <w:t>wskaźnik produktu</w:t>
            </w:r>
          </w:p>
        </w:tc>
        <w:tc>
          <w:tcPr>
            <w:tcW w:w="0" w:type="auto"/>
            <w:shd w:val="clear" w:color="auto" w:fill="auto"/>
            <w:vAlign w:val="center"/>
          </w:tcPr>
          <w:p w14:paraId="15D686E1" w14:textId="77777777" w:rsidR="009D3A39" w:rsidRPr="00B84EEA" w:rsidRDefault="009D3A39" w:rsidP="001C3974">
            <w:r w:rsidRPr="00404DA5">
              <w:rPr>
                <w:rFonts w:cs="Calibri"/>
                <w:color w:val="000000"/>
                <w:sz w:val="18"/>
                <w:szCs w:val="18"/>
              </w:rPr>
              <w:t>Liczba podmiotów ekonomii społecznej objętych wsparciem</w:t>
            </w:r>
          </w:p>
        </w:tc>
        <w:tc>
          <w:tcPr>
            <w:tcW w:w="0" w:type="auto"/>
            <w:shd w:val="clear" w:color="auto" w:fill="auto"/>
            <w:vAlign w:val="center"/>
          </w:tcPr>
          <w:p w14:paraId="620115B1" w14:textId="77777777" w:rsidR="009D3A39" w:rsidRPr="00B84EEA" w:rsidRDefault="009D3A39" w:rsidP="001C3974">
            <w:r w:rsidRPr="00404DA5">
              <w:rPr>
                <w:rFonts w:cs="Calibri"/>
                <w:color w:val="000000"/>
                <w:sz w:val="18"/>
                <w:szCs w:val="18"/>
              </w:rPr>
              <w:t>szt.</w:t>
            </w:r>
          </w:p>
        </w:tc>
        <w:tc>
          <w:tcPr>
            <w:tcW w:w="0" w:type="auto"/>
            <w:shd w:val="clear" w:color="auto" w:fill="auto"/>
            <w:vAlign w:val="center"/>
          </w:tcPr>
          <w:p w14:paraId="5EAA0ABB" w14:textId="77777777" w:rsidR="009D3A39" w:rsidRPr="00B84EEA" w:rsidRDefault="009D3A39" w:rsidP="001C3974">
            <w:r w:rsidRPr="00404DA5">
              <w:rPr>
                <w:rFonts w:cs="Calibri"/>
                <w:color w:val="000000"/>
                <w:sz w:val="18"/>
                <w:szCs w:val="18"/>
              </w:rPr>
              <w:t>538</w:t>
            </w:r>
          </w:p>
        </w:tc>
        <w:tc>
          <w:tcPr>
            <w:tcW w:w="0" w:type="auto"/>
            <w:shd w:val="clear" w:color="auto" w:fill="auto"/>
            <w:vAlign w:val="center"/>
          </w:tcPr>
          <w:p w14:paraId="3C6A8332" w14:textId="77777777" w:rsidR="009D3A39" w:rsidRPr="00B84EEA" w:rsidRDefault="009D3A39" w:rsidP="001C3974">
            <w:r w:rsidRPr="00404DA5">
              <w:rPr>
                <w:rFonts w:cs="Calibri"/>
                <w:color w:val="000000"/>
                <w:sz w:val="18"/>
                <w:szCs w:val="18"/>
              </w:rPr>
              <w:t>200</w:t>
            </w:r>
          </w:p>
        </w:tc>
        <w:tc>
          <w:tcPr>
            <w:tcW w:w="0" w:type="auto"/>
            <w:shd w:val="clear" w:color="auto" w:fill="auto"/>
            <w:vAlign w:val="center"/>
          </w:tcPr>
          <w:p w14:paraId="5D37F825" w14:textId="77777777" w:rsidR="009D3A39" w:rsidRPr="00B84EEA" w:rsidRDefault="009D3A39" w:rsidP="001C3974">
            <w:r w:rsidRPr="00404DA5">
              <w:rPr>
                <w:rFonts w:cs="Calibri"/>
                <w:color w:val="000000"/>
                <w:sz w:val="18"/>
                <w:szCs w:val="18"/>
              </w:rPr>
              <w:t>269,00%</w:t>
            </w:r>
          </w:p>
        </w:tc>
        <w:tc>
          <w:tcPr>
            <w:tcW w:w="0" w:type="auto"/>
            <w:shd w:val="clear" w:color="auto" w:fill="auto"/>
            <w:vAlign w:val="center"/>
          </w:tcPr>
          <w:p w14:paraId="47377B42" w14:textId="77777777" w:rsidR="009D3A39" w:rsidRPr="00B84EEA" w:rsidRDefault="009D3A39" w:rsidP="001C3974">
            <w:pPr>
              <w:jc w:val="center"/>
            </w:pPr>
            <w:r w:rsidRPr="00404DA5">
              <w:rPr>
                <w:rFonts w:cs="Calibri"/>
                <w:sz w:val="18"/>
                <w:szCs w:val="18"/>
              </w:rPr>
              <w:t>600</w:t>
            </w:r>
          </w:p>
        </w:tc>
        <w:tc>
          <w:tcPr>
            <w:tcW w:w="0" w:type="auto"/>
            <w:shd w:val="clear" w:color="auto" w:fill="auto"/>
            <w:vAlign w:val="center"/>
          </w:tcPr>
          <w:p w14:paraId="36806852" w14:textId="77777777" w:rsidR="009D3A39" w:rsidRPr="00404DA5" w:rsidRDefault="009D3A39" w:rsidP="001C3974">
            <w:pPr>
              <w:spacing w:line="276" w:lineRule="auto"/>
              <w:jc w:val="center"/>
              <w:rPr>
                <w:rFonts w:eastAsia="Calibri" w:cs="Calibri"/>
                <w:sz w:val="18"/>
                <w:szCs w:val="18"/>
              </w:rPr>
            </w:pPr>
            <w:r w:rsidRPr="00404DA5">
              <w:rPr>
                <w:rFonts w:eastAsia="Calibri" w:cs="Calibri"/>
                <w:sz w:val="18"/>
                <w:szCs w:val="18"/>
              </w:rPr>
              <w:t>89,2%</w:t>
            </w:r>
          </w:p>
        </w:tc>
        <w:tc>
          <w:tcPr>
            <w:tcW w:w="0" w:type="auto"/>
            <w:shd w:val="clear" w:color="auto" w:fill="auto"/>
            <w:vAlign w:val="center"/>
          </w:tcPr>
          <w:p w14:paraId="772EE75B" w14:textId="77777777" w:rsidR="009D3A39" w:rsidRPr="00404DA5" w:rsidRDefault="009D3A39" w:rsidP="001C3974">
            <w:pPr>
              <w:spacing w:line="276" w:lineRule="auto"/>
              <w:jc w:val="center"/>
              <w:rPr>
                <w:rFonts w:eastAsia="Calibri" w:cs="Calibri"/>
                <w:sz w:val="18"/>
                <w:szCs w:val="18"/>
              </w:rPr>
            </w:pPr>
            <w:r w:rsidRPr="00404DA5">
              <w:rPr>
                <w:rFonts w:eastAsia="Calibri" w:cs="Calibri"/>
                <w:sz w:val="18"/>
                <w:szCs w:val="18"/>
              </w:rPr>
              <w:t>153,8%</w:t>
            </w:r>
          </w:p>
        </w:tc>
      </w:tr>
      <w:tr w:rsidR="009D3A39" w:rsidRPr="00B84EEA" w14:paraId="3977BAD1" w14:textId="77777777" w:rsidTr="001C3974">
        <w:tc>
          <w:tcPr>
            <w:tcW w:w="0" w:type="auto"/>
            <w:shd w:val="clear" w:color="auto" w:fill="auto"/>
            <w:vAlign w:val="center"/>
          </w:tcPr>
          <w:p w14:paraId="7212D797" w14:textId="77777777" w:rsidR="009D3A39" w:rsidRPr="00B84EEA" w:rsidRDefault="009D3A39" w:rsidP="001C3974">
            <w:r w:rsidRPr="00404DA5">
              <w:rPr>
                <w:rFonts w:cs="Calibri"/>
                <w:color w:val="000000"/>
                <w:sz w:val="18"/>
                <w:szCs w:val="18"/>
              </w:rPr>
              <w:lastRenderedPageBreak/>
              <w:t>09i, 09iv, 09v</w:t>
            </w:r>
          </w:p>
        </w:tc>
        <w:tc>
          <w:tcPr>
            <w:tcW w:w="0" w:type="auto"/>
            <w:shd w:val="clear" w:color="auto" w:fill="auto"/>
            <w:vAlign w:val="center"/>
          </w:tcPr>
          <w:p w14:paraId="57E5A20E" w14:textId="77777777" w:rsidR="009D3A39" w:rsidRPr="00B84EEA" w:rsidRDefault="009D3A39" w:rsidP="001C3974">
            <w:r w:rsidRPr="00404DA5">
              <w:rPr>
                <w:rFonts w:cs="Calibri"/>
                <w:color w:val="000000"/>
                <w:sz w:val="18"/>
                <w:szCs w:val="18"/>
              </w:rPr>
              <w:t>wskaźnik postępu finansowego</w:t>
            </w:r>
          </w:p>
        </w:tc>
        <w:tc>
          <w:tcPr>
            <w:tcW w:w="0" w:type="auto"/>
            <w:shd w:val="clear" w:color="auto" w:fill="auto"/>
            <w:vAlign w:val="center"/>
          </w:tcPr>
          <w:p w14:paraId="1F86EA00" w14:textId="77777777" w:rsidR="009D3A39" w:rsidRPr="00B84EEA" w:rsidRDefault="009D3A39" w:rsidP="001C3974">
            <w:r w:rsidRPr="00404DA5">
              <w:rPr>
                <w:rFonts w:cs="Calibri"/>
                <w:color w:val="000000"/>
                <w:sz w:val="18"/>
                <w:szCs w:val="18"/>
              </w:rPr>
              <w:t>Całkowita kwota certyfikowanych wydatków kwalifikowanych</w:t>
            </w:r>
          </w:p>
        </w:tc>
        <w:tc>
          <w:tcPr>
            <w:tcW w:w="0" w:type="auto"/>
            <w:shd w:val="clear" w:color="auto" w:fill="auto"/>
            <w:vAlign w:val="center"/>
          </w:tcPr>
          <w:p w14:paraId="15CBBF98" w14:textId="77777777" w:rsidR="009D3A39" w:rsidRPr="00B84EEA" w:rsidRDefault="009D3A39" w:rsidP="001C3974">
            <w:r w:rsidRPr="00404DA5">
              <w:rPr>
                <w:rFonts w:cs="Calibri"/>
                <w:color w:val="000000"/>
                <w:sz w:val="18"/>
                <w:szCs w:val="18"/>
              </w:rPr>
              <w:t>EUR</w:t>
            </w:r>
          </w:p>
        </w:tc>
        <w:tc>
          <w:tcPr>
            <w:tcW w:w="0" w:type="auto"/>
            <w:shd w:val="clear" w:color="auto" w:fill="auto"/>
            <w:vAlign w:val="center"/>
          </w:tcPr>
          <w:p w14:paraId="4481E989" w14:textId="77777777" w:rsidR="009D3A39" w:rsidRPr="00B84EEA" w:rsidRDefault="009D3A39" w:rsidP="001C3974">
            <w:r w:rsidRPr="00404DA5">
              <w:rPr>
                <w:rFonts w:cs="Calibri"/>
                <w:color w:val="000000"/>
                <w:sz w:val="18"/>
                <w:szCs w:val="18"/>
              </w:rPr>
              <w:t>17 048 715</w:t>
            </w:r>
          </w:p>
        </w:tc>
        <w:tc>
          <w:tcPr>
            <w:tcW w:w="0" w:type="auto"/>
            <w:shd w:val="clear" w:color="auto" w:fill="auto"/>
            <w:vAlign w:val="center"/>
          </w:tcPr>
          <w:p w14:paraId="46E8F2E7" w14:textId="77777777" w:rsidR="009D3A39" w:rsidRPr="00B84EEA" w:rsidRDefault="009D3A39" w:rsidP="001C3974">
            <w:r w:rsidRPr="00404DA5">
              <w:rPr>
                <w:rFonts w:cs="Calibri"/>
                <w:color w:val="000000"/>
                <w:sz w:val="18"/>
                <w:szCs w:val="18"/>
              </w:rPr>
              <w:t>17 238 636</w:t>
            </w:r>
          </w:p>
        </w:tc>
        <w:tc>
          <w:tcPr>
            <w:tcW w:w="0" w:type="auto"/>
            <w:shd w:val="clear" w:color="auto" w:fill="auto"/>
            <w:vAlign w:val="center"/>
          </w:tcPr>
          <w:p w14:paraId="71BB625B" w14:textId="77777777" w:rsidR="009D3A39" w:rsidRPr="00B84EEA" w:rsidRDefault="009D3A39" w:rsidP="001C3974">
            <w:r w:rsidRPr="00404DA5">
              <w:rPr>
                <w:rFonts w:cs="Calibri"/>
                <w:color w:val="000000"/>
                <w:sz w:val="18"/>
                <w:szCs w:val="18"/>
              </w:rPr>
              <w:t>98,90%</w:t>
            </w:r>
          </w:p>
        </w:tc>
        <w:tc>
          <w:tcPr>
            <w:tcW w:w="0" w:type="auto"/>
            <w:shd w:val="clear" w:color="auto" w:fill="auto"/>
            <w:vAlign w:val="center"/>
          </w:tcPr>
          <w:p w14:paraId="3CB9201D" w14:textId="77777777" w:rsidR="009D3A39" w:rsidRPr="00404DA5" w:rsidRDefault="009D3A39" w:rsidP="001C3974">
            <w:pPr>
              <w:jc w:val="center"/>
              <w:rPr>
                <w:sz w:val="18"/>
              </w:rPr>
            </w:pPr>
            <w:r w:rsidRPr="00404DA5">
              <w:rPr>
                <w:sz w:val="18"/>
              </w:rPr>
              <w:t>124 917 647</w:t>
            </w:r>
          </w:p>
        </w:tc>
        <w:tc>
          <w:tcPr>
            <w:tcW w:w="0" w:type="auto"/>
            <w:shd w:val="clear" w:color="auto" w:fill="auto"/>
            <w:vAlign w:val="center"/>
          </w:tcPr>
          <w:p w14:paraId="2511D779" w14:textId="77777777" w:rsidR="009D3A39" w:rsidRPr="00404DA5" w:rsidRDefault="009D3A39" w:rsidP="001C3974">
            <w:pPr>
              <w:spacing w:line="276" w:lineRule="auto"/>
              <w:jc w:val="center"/>
              <w:rPr>
                <w:rFonts w:cs="Calibri"/>
                <w:sz w:val="18"/>
                <w:szCs w:val="18"/>
              </w:rPr>
            </w:pPr>
            <w:r>
              <w:t xml:space="preserve"> </w:t>
            </w:r>
            <w:r w:rsidRPr="004357A1">
              <w:rPr>
                <w:rFonts w:cs="Calibri"/>
                <w:sz w:val="18"/>
                <w:szCs w:val="18"/>
              </w:rPr>
              <w:t>13,6%</w:t>
            </w:r>
          </w:p>
        </w:tc>
        <w:tc>
          <w:tcPr>
            <w:tcW w:w="0" w:type="auto"/>
            <w:shd w:val="clear" w:color="auto" w:fill="auto"/>
            <w:vAlign w:val="center"/>
          </w:tcPr>
          <w:p w14:paraId="3883F5C1" w14:textId="77777777" w:rsidR="009D3A39" w:rsidRPr="00404DA5" w:rsidRDefault="009D3A39" w:rsidP="001C3974">
            <w:pPr>
              <w:spacing w:line="276" w:lineRule="auto"/>
              <w:jc w:val="center"/>
              <w:rPr>
                <w:rFonts w:cs="Calibri"/>
                <w:sz w:val="18"/>
                <w:szCs w:val="18"/>
              </w:rPr>
            </w:pPr>
            <w:r w:rsidRPr="004357A1">
              <w:rPr>
                <w:rFonts w:cs="Calibri"/>
                <w:sz w:val="18"/>
                <w:szCs w:val="18"/>
              </w:rPr>
              <w:t>49,9%</w:t>
            </w:r>
          </w:p>
        </w:tc>
      </w:tr>
    </w:tbl>
    <w:p w14:paraId="4146A543"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informacja kwartalna za IV kw. 2018 r., obliczenia % realizacji wartości docelowej RW na podstawie danych SL2014</w:t>
      </w:r>
      <w:r w:rsidR="00E66B89" w:rsidRPr="00EE66C6">
        <w:rPr>
          <w:i/>
          <w:sz w:val="18"/>
          <w:szCs w:val="20"/>
        </w:rPr>
        <w:t xml:space="preserve"> z </w:t>
      </w:r>
      <w:r w:rsidRPr="00EE66C6">
        <w:rPr>
          <w:i/>
          <w:sz w:val="18"/>
          <w:szCs w:val="20"/>
        </w:rPr>
        <w:t>dnia 07.01.2019 r.</w:t>
      </w:r>
    </w:p>
    <w:p w14:paraId="4E3EE42A" w14:textId="77777777" w:rsidR="009D3A39" w:rsidRPr="00404DA5" w:rsidRDefault="009D3A39" w:rsidP="009D3A39">
      <w:pPr>
        <w:rPr>
          <w:rFonts w:eastAsia="Calibri"/>
          <w:szCs w:val="20"/>
          <w:lang w:eastAsia="en-US"/>
        </w:rPr>
      </w:pPr>
      <w:r w:rsidRPr="00404DA5">
        <w:rPr>
          <w:rFonts w:eastAsia="Calibri"/>
          <w:szCs w:val="20"/>
          <w:lang w:eastAsia="en-US"/>
        </w:rPr>
        <w:t>Ocena dotycząca tego,</w:t>
      </w:r>
      <w:r w:rsidR="00E66B89">
        <w:rPr>
          <w:rFonts w:eastAsia="Calibri"/>
          <w:szCs w:val="20"/>
          <w:lang w:eastAsia="en-US"/>
        </w:rPr>
        <w:t xml:space="preserve"> w </w:t>
      </w:r>
      <w:r w:rsidRPr="00404DA5">
        <w:rPr>
          <w:rFonts w:eastAsia="Calibri"/>
          <w:szCs w:val="20"/>
          <w:lang w:eastAsia="en-US"/>
        </w:rPr>
        <w:t>jaki sposób powinny zostać zagospodarowane środki rezerwy wykonania została dokonana na podstawie analizy zamierzeń IZ co do realizacji kolejnych projektów dotyczących PI</w:t>
      </w:r>
      <w:r>
        <w:rPr>
          <w:rFonts w:eastAsia="Calibri"/>
          <w:szCs w:val="20"/>
          <w:lang w:eastAsia="en-US"/>
        </w:rPr>
        <w:t xml:space="preserve"> </w:t>
      </w:r>
      <w:r w:rsidRPr="00404DA5">
        <w:rPr>
          <w:rFonts w:eastAsia="Calibri"/>
          <w:szCs w:val="20"/>
          <w:lang w:eastAsia="en-US"/>
        </w:rPr>
        <w:t>9i, PI</w:t>
      </w:r>
      <w:r>
        <w:rPr>
          <w:rFonts w:eastAsia="Calibri"/>
          <w:szCs w:val="20"/>
          <w:lang w:eastAsia="en-US"/>
        </w:rPr>
        <w:t xml:space="preserve"> </w:t>
      </w:r>
      <w:r w:rsidRPr="00404DA5">
        <w:rPr>
          <w:rFonts w:eastAsia="Calibri"/>
          <w:szCs w:val="20"/>
          <w:lang w:eastAsia="en-US"/>
        </w:rPr>
        <w:t>9iv, PI</w:t>
      </w:r>
      <w:r>
        <w:rPr>
          <w:rFonts w:eastAsia="Calibri"/>
          <w:szCs w:val="20"/>
          <w:lang w:eastAsia="en-US"/>
        </w:rPr>
        <w:t xml:space="preserve"> </w:t>
      </w:r>
      <w:r w:rsidRPr="00404DA5">
        <w:rPr>
          <w:rFonts w:eastAsia="Calibri"/>
          <w:szCs w:val="20"/>
          <w:lang w:eastAsia="en-US"/>
        </w:rPr>
        <w:t>9v</w:t>
      </w:r>
      <w:r w:rsidR="00E66B89">
        <w:rPr>
          <w:rFonts w:eastAsia="Calibri"/>
          <w:szCs w:val="20"/>
          <w:lang w:eastAsia="en-US"/>
        </w:rPr>
        <w:t xml:space="preserve"> w </w:t>
      </w:r>
      <w:r w:rsidRPr="00404DA5">
        <w:rPr>
          <w:rFonts w:eastAsia="Calibri"/>
          <w:szCs w:val="20"/>
          <w:lang w:eastAsia="en-US"/>
        </w:rPr>
        <w:t>obecnej perspektywie finansowej.</w:t>
      </w:r>
      <w:r w:rsidR="00E66B89">
        <w:rPr>
          <w:rFonts w:eastAsia="Calibri"/>
          <w:szCs w:val="20"/>
          <w:lang w:eastAsia="en-US"/>
        </w:rPr>
        <w:t xml:space="preserve"> W </w:t>
      </w:r>
      <w:r w:rsidRPr="00404DA5">
        <w:rPr>
          <w:rFonts w:eastAsia="Calibri"/>
          <w:szCs w:val="20"/>
          <w:lang w:eastAsia="en-US"/>
        </w:rPr>
        <w:t>tym celu przeanalizowano informacje pochodzące</w:t>
      </w:r>
      <w:r w:rsidR="00E66B89">
        <w:rPr>
          <w:rFonts w:eastAsia="Calibri"/>
          <w:szCs w:val="20"/>
          <w:lang w:eastAsia="en-US"/>
        </w:rPr>
        <w:t xml:space="preserve"> z </w:t>
      </w:r>
      <w:r w:rsidRPr="00404DA5">
        <w:rPr>
          <w:rFonts w:eastAsia="Calibri"/>
          <w:szCs w:val="20"/>
          <w:lang w:eastAsia="en-US"/>
        </w:rPr>
        <w:t>wywiadów IDI</w:t>
      </w:r>
      <w:r w:rsidR="00E66B89">
        <w:rPr>
          <w:rFonts w:eastAsia="Calibri"/>
          <w:szCs w:val="20"/>
          <w:lang w:eastAsia="en-US"/>
        </w:rPr>
        <w:t xml:space="preserve"> z </w:t>
      </w:r>
      <w:r w:rsidRPr="00404DA5">
        <w:rPr>
          <w:rFonts w:eastAsia="Calibri"/>
          <w:szCs w:val="20"/>
          <w:lang w:eastAsia="en-US"/>
        </w:rPr>
        <w:t xml:space="preserve">przedstawicielami Instytucji oraz załącznik do RPO WZ </w:t>
      </w:r>
      <w:r w:rsidRPr="00C22C26">
        <w:rPr>
          <w:rFonts w:eastAsia="Calibri"/>
          <w:i/>
        </w:rPr>
        <w:t>Aneks 1 do RPO WZ 2014-2020</w:t>
      </w:r>
      <w:r w:rsidR="00E66B89">
        <w:rPr>
          <w:rFonts w:eastAsia="Calibri"/>
          <w:i/>
        </w:rPr>
        <w:t xml:space="preserve"> w </w:t>
      </w:r>
      <w:r w:rsidRPr="00C22C26">
        <w:rPr>
          <w:rFonts w:eastAsia="Calibri"/>
          <w:i/>
        </w:rPr>
        <w:t>zakresie zmiany wskaźników do Ram Wykonania oraz metodologii szacowania wskaźników</w:t>
      </w:r>
      <w:r w:rsidRPr="00404DA5">
        <w:rPr>
          <w:rFonts w:eastAsia="Calibri"/>
          <w:szCs w:val="20"/>
          <w:lang w:eastAsia="en-US"/>
        </w:rPr>
        <w:t xml:space="preserve">. Do dnia 31.12.2018 roku łącznie certyfikowano 17 048 715 euro, co stanowi 98,9% celu pośredniego. </w:t>
      </w:r>
      <w:r>
        <w:rPr>
          <w:rFonts w:eastAsia="Calibri"/>
          <w:szCs w:val="20"/>
          <w:lang w:eastAsia="en-US"/>
        </w:rPr>
        <w:t xml:space="preserve">Do końca 2018 roku zakontraktowano 49,9% wartości docelowej określonej na koniec roku 2023, natomiast rozliczono 13,6% wartości docelowej. </w:t>
      </w:r>
      <w:r w:rsidRPr="00404DA5">
        <w:rPr>
          <w:rFonts w:eastAsia="Calibri"/>
          <w:szCs w:val="20"/>
          <w:lang w:eastAsia="en-US"/>
        </w:rPr>
        <w:t>Niewielkie zainteresowanie potencjalnych beneficjentów</w:t>
      </w:r>
      <w:r w:rsidR="00E66B89">
        <w:rPr>
          <w:rFonts w:eastAsia="Calibri"/>
          <w:szCs w:val="20"/>
          <w:lang w:eastAsia="en-US"/>
        </w:rPr>
        <w:t xml:space="preserve"> w </w:t>
      </w:r>
      <w:r w:rsidRPr="00404DA5">
        <w:rPr>
          <w:rFonts w:eastAsia="Calibri"/>
          <w:szCs w:val="20"/>
          <w:lang w:eastAsia="en-US"/>
        </w:rPr>
        <w:t>postaci instytucji OPS</w:t>
      </w:r>
      <w:r w:rsidR="00E66B89">
        <w:rPr>
          <w:rFonts w:eastAsia="Calibri"/>
          <w:szCs w:val="20"/>
          <w:lang w:eastAsia="en-US"/>
        </w:rPr>
        <w:t xml:space="preserve"> i </w:t>
      </w:r>
      <w:r w:rsidRPr="00404DA5">
        <w:rPr>
          <w:rFonts w:eastAsia="Calibri"/>
          <w:szCs w:val="20"/>
          <w:lang w:eastAsia="en-US"/>
        </w:rPr>
        <w:t>PCPR niesie za sobą ryzyko niewykorzystania alokacji,</w:t>
      </w:r>
      <w:r w:rsidR="00E66B89">
        <w:rPr>
          <w:rFonts w:eastAsia="Calibri"/>
          <w:szCs w:val="20"/>
          <w:lang w:eastAsia="en-US"/>
        </w:rPr>
        <w:t xml:space="preserve"> w </w:t>
      </w:r>
      <w:r w:rsidRPr="00404DA5">
        <w:rPr>
          <w:rFonts w:eastAsia="Calibri"/>
          <w:szCs w:val="20"/>
          <w:lang w:eastAsia="en-US"/>
        </w:rPr>
        <w:t>szczególności na Działanie 7.1. Jak wynika</w:t>
      </w:r>
      <w:r w:rsidR="00E66B89">
        <w:rPr>
          <w:rFonts w:eastAsia="Calibri"/>
          <w:szCs w:val="20"/>
          <w:lang w:eastAsia="en-US"/>
        </w:rPr>
        <w:t xml:space="preserve"> z </w:t>
      </w:r>
      <w:r w:rsidRPr="00404DA5">
        <w:rPr>
          <w:rFonts w:eastAsia="Calibri"/>
          <w:szCs w:val="20"/>
          <w:lang w:eastAsia="en-US"/>
        </w:rPr>
        <w:t>analizy wywiadów pogłębionych, przyczyną niespełnienia zakładanego celu na rok 2018 są również problemy dotyczące zamówień publicznych,</w:t>
      </w:r>
      <w:r w:rsidR="00E66B89">
        <w:rPr>
          <w:rFonts w:eastAsia="Calibri"/>
          <w:szCs w:val="20"/>
          <w:lang w:eastAsia="en-US"/>
        </w:rPr>
        <w:t xml:space="preserve"> z </w:t>
      </w:r>
      <w:r w:rsidRPr="00404DA5">
        <w:rPr>
          <w:rFonts w:eastAsia="Calibri"/>
          <w:szCs w:val="20"/>
          <w:lang w:eastAsia="en-US"/>
        </w:rPr>
        <w:t>którymi borykają się beneficjenci, które spowodowały spowolnienie wydatkowania środków.</w:t>
      </w:r>
    </w:p>
    <w:p w14:paraId="5DC3FD84" w14:textId="77777777" w:rsidR="009D3A39" w:rsidRPr="00404DA5" w:rsidRDefault="009D3A39" w:rsidP="009D3A39">
      <w:pPr>
        <w:rPr>
          <w:rFonts w:eastAsia="Calibri"/>
          <w:szCs w:val="20"/>
          <w:lang w:eastAsia="en-US"/>
        </w:rPr>
      </w:pPr>
      <w:r w:rsidRPr="00825489">
        <w:rPr>
          <w:rFonts w:eastAsia="Calibri"/>
          <w:szCs w:val="20"/>
          <w:lang w:eastAsia="en-US"/>
        </w:rPr>
        <w:t>Realizacja wskaźnika rzeczowego</w:t>
      </w:r>
      <w:r>
        <w:rPr>
          <w:rFonts w:eastAsia="Calibri"/>
          <w:szCs w:val="20"/>
          <w:lang w:eastAsia="en-US"/>
        </w:rPr>
        <w:t xml:space="preserve"> </w:t>
      </w:r>
      <w:r w:rsidRPr="009219ED">
        <w:rPr>
          <w:rFonts w:eastAsia="Calibri"/>
          <w:i/>
          <w:szCs w:val="20"/>
          <w:lang w:eastAsia="en-US"/>
        </w:rPr>
        <w:t>Liczba osób zagrożonych ubóstwem lub wykluczeniem społecznym objętych wsparciem</w:t>
      </w:r>
      <w:r w:rsidR="00E66B89">
        <w:rPr>
          <w:rFonts w:eastAsia="Calibri"/>
          <w:i/>
          <w:szCs w:val="20"/>
          <w:lang w:eastAsia="en-US"/>
        </w:rPr>
        <w:t xml:space="preserve"> w </w:t>
      </w:r>
      <w:r w:rsidRPr="009219ED">
        <w:rPr>
          <w:rFonts w:eastAsia="Calibri"/>
          <w:i/>
          <w:szCs w:val="20"/>
          <w:lang w:eastAsia="en-US"/>
        </w:rPr>
        <w:t>programie</w:t>
      </w:r>
      <w:r w:rsidRPr="00825489">
        <w:rPr>
          <w:rFonts w:eastAsia="Calibri"/>
          <w:szCs w:val="20"/>
          <w:lang w:eastAsia="en-US"/>
        </w:rPr>
        <w:t xml:space="preserve"> odbiega od założeń, co wskazuje, że nie były one do końca trafne</w:t>
      </w:r>
      <w:r w:rsidR="00E66B89">
        <w:rPr>
          <w:rFonts w:eastAsia="Calibri"/>
          <w:szCs w:val="20"/>
          <w:lang w:eastAsia="en-US"/>
        </w:rPr>
        <w:t xml:space="preserve"> w </w:t>
      </w:r>
      <w:r w:rsidRPr="00825489">
        <w:rPr>
          <w:rFonts w:eastAsia="Calibri"/>
          <w:szCs w:val="20"/>
          <w:lang w:eastAsia="en-US"/>
        </w:rPr>
        <w:t>odniesieniu do 2018 r. Niemniej jednak efekt ma pozytywny wpływ na realizację Programu. Należy zwrócić uwagę na fakt, że cel na 2018 rok stanowi jedynie 15% wartości docelowej na rok 2023</w:t>
      </w:r>
      <w:r>
        <w:rPr>
          <w:rFonts w:eastAsia="Calibri"/>
          <w:szCs w:val="20"/>
          <w:lang w:eastAsia="en-US"/>
        </w:rPr>
        <w:t xml:space="preserve"> -</w:t>
      </w:r>
      <w:r w:rsidRPr="00825489">
        <w:rPr>
          <w:rFonts w:eastAsia="Calibri"/>
          <w:szCs w:val="20"/>
          <w:lang w:eastAsia="en-US"/>
        </w:rPr>
        <w:t xml:space="preserve"> biorąc pod uwagę, że</w:t>
      </w:r>
      <w:r w:rsidR="00E66B89">
        <w:rPr>
          <w:rFonts w:eastAsia="Calibri"/>
          <w:szCs w:val="20"/>
          <w:lang w:eastAsia="en-US"/>
        </w:rPr>
        <w:t xml:space="preserve"> w </w:t>
      </w:r>
      <w:r w:rsidRPr="00825489">
        <w:rPr>
          <w:rFonts w:eastAsia="Calibri"/>
          <w:szCs w:val="20"/>
          <w:lang w:eastAsia="en-US"/>
        </w:rPr>
        <w:t>RW uwzględniono sumę wartości wskaźników na rok 2023</w:t>
      </w:r>
      <w:r w:rsidR="00E66B89">
        <w:rPr>
          <w:rFonts w:eastAsia="Calibri"/>
          <w:szCs w:val="20"/>
          <w:lang w:eastAsia="en-US"/>
        </w:rPr>
        <w:t xml:space="preserve"> z </w:t>
      </w:r>
      <w:r w:rsidRPr="00825489">
        <w:rPr>
          <w:rFonts w:eastAsia="Calibri"/>
          <w:szCs w:val="20"/>
          <w:lang w:eastAsia="en-US"/>
        </w:rPr>
        <w:t>PI</w:t>
      </w:r>
      <w:r>
        <w:rPr>
          <w:rFonts w:eastAsia="Calibri"/>
          <w:szCs w:val="20"/>
          <w:lang w:eastAsia="en-US"/>
        </w:rPr>
        <w:t xml:space="preserve"> </w:t>
      </w:r>
      <w:r w:rsidRPr="00825489">
        <w:rPr>
          <w:rFonts w:eastAsia="Calibri"/>
          <w:szCs w:val="20"/>
          <w:lang w:eastAsia="en-US"/>
        </w:rPr>
        <w:t>9i, PI</w:t>
      </w:r>
      <w:r>
        <w:rPr>
          <w:rFonts w:eastAsia="Calibri"/>
          <w:szCs w:val="20"/>
          <w:lang w:eastAsia="en-US"/>
        </w:rPr>
        <w:t xml:space="preserve"> </w:t>
      </w:r>
      <w:r w:rsidRPr="00825489">
        <w:rPr>
          <w:rFonts w:eastAsia="Calibri"/>
          <w:szCs w:val="20"/>
          <w:lang w:eastAsia="en-US"/>
        </w:rPr>
        <w:t>9iv oraz PI</w:t>
      </w:r>
      <w:r>
        <w:rPr>
          <w:rFonts w:eastAsia="Calibri"/>
          <w:szCs w:val="20"/>
          <w:lang w:eastAsia="en-US"/>
        </w:rPr>
        <w:t xml:space="preserve"> </w:t>
      </w:r>
      <w:r w:rsidRPr="00825489">
        <w:rPr>
          <w:rFonts w:eastAsia="Calibri"/>
          <w:szCs w:val="20"/>
          <w:lang w:eastAsia="en-US"/>
        </w:rPr>
        <w:t>9v. Przyczyną założenia tak niskiego celu na rok 2018 mogą być doświadcz</w:t>
      </w:r>
      <w:r>
        <w:rPr>
          <w:rFonts w:eastAsia="Calibri"/>
          <w:szCs w:val="20"/>
          <w:lang w:eastAsia="en-US"/>
        </w:rPr>
        <w:t xml:space="preserve">one </w:t>
      </w:r>
      <w:r w:rsidRPr="00825489">
        <w:rPr>
          <w:rFonts w:eastAsia="Calibri"/>
          <w:szCs w:val="20"/>
          <w:lang w:eastAsia="en-US"/>
        </w:rPr>
        <w:t>trudności</w:t>
      </w:r>
      <w:r w:rsidR="00E66B89">
        <w:rPr>
          <w:rFonts w:eastAsia="Calibri"/>
          <w:szCs w:val="20"/>
          <w:lang w:eastAsia="en-US"/>
        </w:rPr>
        <w:t xml:space="preserve"> w </w:t>
      </w:r>
      <w:r w:rsidRPr="00825489">
        <w:rPr>
          <w:rFonts w:eastAsia="Calibri"/>
          <w:szCs w:val="20"/>
          <w:lang w:eastAsia="en-US"/>
        </w:rPr>
        <w:t>realizacji tego wskaźnika</w:t>
      </w:r>
      <w:r w:rsidR="00E66B89">
        <w:rPr>
          <w:rFonts w:eastAsia="Calibri"/>
          <w:szCs w:val="20"/>
          <w:lang w:eastAsia="en-US"/>
        </w:rPr>
        <w:t xml:space="preserve"> w </w:t>
      </w:r>
      <w:r w:rsidRPr="00825489">
        <w:rPr>
          <w:rFonts w:eastAsia="Calibri"/>
          <w:szCs w:val="20"/>
          <w:lang w:eastAsia="en-US"/>
        </w:rPr>
        <w:t>ramach PI 9i (Działania 7.1</w:t>
      </w:r>
      <w:r w:rsidR="00E66B89">
        <w:rPr>
          <w:rFonts w:eastAsia="Calibri"/>
          <w:szCs w:val="20"/>
          <w:lang w:eastAsia="en-US"/>
        </w:rPr>
        <w:t xml:space="preserve"> i </w:t>
      </w:r>
      <w:r w:rsidRPr="00825489">
        <w:rPr>
          <w:rFonts w:eastAsia="Calibri"/>
          <w:szCs w:val="20"/>
          <w:lang w:eastAsia="en-US"/>
        </w:rPr>
        <w:t>7.2). Jak wynika</w:t>
      </w:r>
      <w:r w:rsidR="00E66B89">
        <w:rPr>
          <w:rFonts w:eastAsia="Calibri"/>
          <w:szCs w:val="20"/>
          <w:lang w:eastAsia="en-US"/>
        </w:rPr>
        <w:t xml:space="preserve"> z </w:t>
      </w:r>
      <w:r w:rsidRPr="008B706B">
        <w:rPr>
          <w:rFonts w:eastAsia="Calibri"/>
          <w:i/>
          <w:szCs w:val="20"/>
          <w:lang w:eastAsia="en-US"/>
        </w:rPr>
        <w:t>Aneksu 1 do RPO WZ 2014-2020</w:t>
      </w:r>
      <w:r w:rsidR="00E66B89">
        <w:rPr>
          <w:rFonts w:eastAsia="Calibri"/>
          <w:i/>
          <w:szCs w:val="20"/>
          <w:lang w:eastAsia="en-US"/>
        </w:rPr>
        <w:t xml:space="preserve"> w </w:t>
      </w:r>
      <w:r w:rsidRPr="008B706B">
        <w:rPr>
          <w:rFonts w:eastAsia="Calibri"/>
          <w:i/>
          <w:szCs w:val="20"/>
          <w:lang w:eastAsia="en-US"/>
        </w:rPr>
        <w:t>zakresie zmiany wskaźników do Ram Wykonania oraz metodologii szacowania wskaźników</w:t>
      </w:r>
      <w:r w:rsidRPr="00825489">
        <w:rPr>
          <w:rFonts w:eastAsia="Calibri"/>
          <w:szCs w:val="20"/>
          <w:lang w:eastAsia="en-US"/>
        </w:rPr>
        <w:t xml:space="preserve"> wartość docelowa wskaźnika</w:t>
      </w:r>
      <w:r w:rsidR="00E66B89">
        <w:rPr>
          <w:rFonts w:eastAsia="Calibri"/>
          <w:szCs w:val="20"/>
          <w:lang w:eastAsia="en-US"/>
        </w:rPr>
        <w:t xml:space="preserve"> w </w:t>
      </w:r>
      <w:r w:rsidRPr="00825489">
        <w:rPr>
          <w:rFonts w:eastAsia="Calibri"/>
          <w:szCs w:val="20"/>
          <w:lang w:eastAsia="en-US"/>
        </w:rPr>
        <w:t>ramach PI 9i została obniżona</w:t>
      </w:r>
      <w:r w:rsidR="00E66B89">
        <w:rPr>
          <w:rFonts w:eastAsia="Calibri"/>
          <w:szCs w:val="20"/>
          <w:lang w:eastAsia="en-US"/>
        </w:rPr>
        <w:t xml:space="preserve"> w </w:t>
      </w:r>
      <w:r w:rsidRPr="00825489">
        <w:rPr>
          <w:rFonts w:eastAsia="Calibri"/>
          <w:szCs w:val="20"/>
          <w:lang w:eastAsia="en-US"/>
        </w:rPr>
        <w:t>stosunku do 2014 roku</w:t>
      </w:r>
      <w:r>
        <w:rPr>
          <w:rFonts w:eastAsia="Calibri"/>
          <w:szCs w:val="20"/>
          <w:lang w:eastAsia="en-US"/>
        </w:rPr>
        <w:t xml:space="preserve"> o </w:t>
      </w:r>
      <w:r w:rsidRPr="00825489">
        <w:rPr>
          <w:rFonts w:eastAsia="Calibri"/>
          <w:szCs w:val="20"/>
          <w:lang w:eastAsia="en-US"/>
        </w:rPr>
        <w:t>10 448</w:t>
      </w:r>
      <w:r w:rsidR="00E66B89">
        <w:rPr>
          <w:rFonts w:eastAsia="Calibri"/>
          <w:szCs w:val="20"/>
          <w:lang w:eastAsia="en-US"/>
        </w:rPr>
        <w:t xml:space="preserve"> z </w:t>
      </w:r>
      <w:r w:rsidRPr="00825489">
        <w:rPr>
          <w:rFonts w:eastAsia="Calibri"/>
          <w:szCs w:val="20"/>
          <w:lang w:eastAsia="en-US"/>
        </w:rPr>
        <w:t>uwagi na niskie zainteresowanie konkursami jednostek pomocy społecznej.</w:t>
      </w:r>
    </w:p>
    <w:p w14:paraId="42E19E20" w14:textId="77777777" w:rsidR="009D3A39" w:rsidRPr="00010101" w:rsidRDefault="009D3A39" w:rsidP="009D3A39">
      <w:pPr>
        <w:rPr>
          <w:rFonts w:eastAsia="Calibri"/>
          <w:szCs w:val="20"/>
          <w:lang w:eastAsia="en-US"/>
        </w:rPr>
      </w:pPr>
      <w:r>
        <w:rPr>
          <w:rFonts w:eastAsia="Calibri"/>
          <w:szCs w:val="20"/>
          <w:lang w:eastAsia="en-US"/>
        </w:rPr>
        <w:t xml:space="preserve">Wskaźnik </w:t>
      </w:r>
      <w:r w:rsidRPr="00B0098C">
        <w:rPr>
          <w:rFonts w:eastAsia="Calibri"/>
          <w:i/>
          <w:szCs w:val="20"/>
          <w:lang w:eastAsia="en-US"/>
        </w:rPr>
        <w:t>Liczba podmiotów ekonomii społecznej objętych wsparciem</w:t>
      </w:r>
      <w:r>
        <w:rPr>
          <w:rFonts w:eastAsia="Calibri"/>
          <w:i/>
          <w:szCs w:val="20"/>
          <w:lang w:eastAsia="en-US"/>
        </w:rPr>
        <w:t xml:space="preserve"> </w:t>
      </w:r>
      <w:r w:rsidRPr="00825489">
        <w:rPr>
          <w:rFonts w:eastAsia="Calibri"/>
          <w:szCs w:val="20"/>
          <w:lang w:eastAsia="en-US"/>
        </w:rPr>
        <w:t xml:space="preserve">zrealizowany </w:t>
      </w:r>
      <w:r>
        <w:rPr>
          <w:rFonts w:eastAsia="Calibri"/>
          <w:szCs w:val="20"/>
          <w:lang w:eastAsia="en-US"/>
        </w:rPr>
        <w:t xml:space="preserve">został </w:t>
      </w:r>
      <w:r w:rsidRPr="00825489">
        <w:rPr>
          <w:rFonts w:eastAsia="Calibri"/>
          <w:szCs w:val="20"/>
          <w:lang w:eastAsia="en-US"/>
        </w:rPr>
        <w:t>na poziomie 269% – objęto wsparciem 538 zamiast 200 planowanych podmiotów ekonomii społecznej. Realizacja wskaźnika rzeczowego odbiega od założeń, co wskazuje, że nie były one</w:t>
      </w:r>
      <w:r w:rsidR="00E66B89">
        <w:rPr>
          <w:rFonts w:eastAsia="Calibri"/>
          <w:szCs w:val="20"/>
          <w:lang w:eastAsia="en-US"/>
        </w:rPr>
        <w:t xml:space="preserve"> w </w:t>
      </w:r>
      <w:r w:rsidRPr="00825489">
        <w:rPr>
          <w:rFonts w:eastAsia="Calibri"/>
          <w:szCs w:val="20"/>
          <w:lang w:eastAsia="en-US"/>
        </w:rPr>
        <w:t>pełni trafne</w:t>
      </w:r>
      <w:r w:rsidR="00E66B89">
        <w:rPr>
          <w:rFonts w:eastAsia="Calibri"/>
          <w:szCs w:val="20"/>
          <w:lang w:eastAsia="en-US"/>
        </w:rPr>
        <w:t xml:space="preserve"> w </w:t>
      </w:r>
      <w:r w:rsidRPr="00825489">
        <w:rPr>
          <w:rFonts w:eastAsia="Calibri"/>
          <w:szCs w:val="20"/>
          <w:lang w:eastAsia="en-US"/>
        </w:rPr>
        <w:t xml:space="preserve">odniesieniu do 2018 r. Niemniej jednak efekt ma pozytywny wpływ na realizację </w:t>
      </w:r>
      <w:r>
        <w:rPr>
          <w:rFonts w:eastAsia="Calibri"/>
          <w:szCs w:val="20"/>
          <w:lang w:eastAsia="en-US"/>
        </w:rPr>
        <w:t>P</w:t>
      </w:r>
      <w:r w:rsidRPr="00825489">
        <w:rPr>
          <w:rFonts w:eastAsia="Calibri"/>
          <w:szCs w:val="20"/>
          <w:lang w:eastAsia="en-US"/>
        </w:rPr>
        <w:t>rogramu. Cel na 2018 rok stanowi 33% wartości docelowej na rok 2023.</w:t>
      </w:r>
      <w:r w:rsidR="00E66B89">
        <w:rPr>
          <w:rFonts w:eastAsia="Calibri"/>
          <w:szCs w:val="20"/>
          <w:lang w:eastAsia="en-US"/>
        </w:rPr>
        <w:t xml:space="preserve"> W </w:t>
      </w:r>
      <w:r w:rsidRPr="00825489">
        <w:rPr>
          <w:rFonts w:eastAsia="Calibri"/>
          <w:szCs w:val="20"/>
          <w:lang w:eastAsia="en-US"/>
        </w:rPr>
        <w:t>2017 roku podmiotów ekonomii społecznej było już nieco ponad 90 tys.</w:t>
      </w:r>
      <w:r w:rsidR="00E66B89">
        <w:rPr>
          <w:rFonts w:eastAsia="Calibri"/>
          <w:szCs w:val="20"/>
          <w:lang w:eastAsia="en-US"/>
        </w:rPr>
        <w:t xml:space="preserve"> w </w:t>
      </w:r>
      <w:r w:rsidRPr="00825489">
        <w:rPr>
          <w:rFonts w:eastAsia="Calibri"/>
          <w:szCs w:val="20"/>
          <w:lang w:eastAsia="en-US"/>
        </w:rPr>
        <w:t xml:space="preserve">całym kraju </w:t>
      </w:r>
      <w:r w:rsidR="00DE0A94">
        <w:rPr>
          <w:rFonts w:eastAsia="Calibri"/>
          <w:szCs w:val="20"/>
          <w:lang w:eastAsia="en-US"/>
        </w:rPr>
        <w:t>(</w:t>
      </w:r>
      <w:r w:rsidRPr="00825489">
        <w:rPr>
          <w:rFonts w:eastAsia="Calibri"/>
          <w:szCs w:val="20"/>
          <w:lang w:eastAsia="en-US"/>
        </w:rPr>
        <w:t>dane: Strateg</w:t>
      </w:r>
      <w:r w:rsidR="00DE0A94">
        <w:rPr>
          <w:rFonts w:eastAsia="Calibri"/>
          <w:szCs w:val="20"/>
          <w:lang w:eastAsia="en-US"/>
        </w:rPr>
        <w:t>)</w:t>
      </w:r>
      <w:r w:rsidR="00DE0A94" w:rsidRPr="00825489">
        <w:rPr>
          <w:rFonts w:eastAsia="Calibri"/>
          <w:szCs w:val="20"/>
          <w:lang w:eastAsia="en-US"/>
        </w:rPr>
        <w:t xml:space="preserve">, </w:t>
      </w:r>
      <w:r w:rsidRPr="00825489">
        <w:rPr>
          <w:rFonts w:eastAsia="Calibri"/>
          <w:szCs w:val="20"/>
          <w:lang w:eastAsia="en-US"/>
        </w:rPr>
        <w:t>zatem wskaźnik 600 podmiotów dla województwa zachodniopomorskieg</w:t>
      </w:r>
      <w:r>
        <w:rPr>
          <w:rFonts w:eastAsia="Calibri"/>
          <w:szCs w:val="20"/>
          <w:lang w:eastAsia="en-US"/>
        </w:rPr>
        <w:t>o nie wydaje się przeszacowany.</w:t>
      </w:r>
      <w:r w:rsidR="00E66B89">
        <w:rPr>
          <w:rFonts w:eastAsia="Calibri"/>
          <w:szCs w:val="20"/>
          <w:lang w:eastAsia="en-US"/>
        </w:rPr>
        <w:t xml:space="preserve"> W </w:t>
      </w:r>
      <w:r w:rsidRPr="00825489">
        <w:rPr>
          <w:rFonts w:eastAsia="Calibri"/>
          <w:szCs w:val="20"/>
          <w:lang w:eastAsia="en-US"/>
        </w:rPr>
        <w:t>trakcie realizacji POKL 2007-2013 okres przeżywalności podmiotów ekonomii społecznej był krótki, jednak</w:t>
      </w:r>
      <w:r w:rsidR="00E66B89">
        <w:rPr>
          <w:rFonts w:eastAsia="Calibri"/>
          <w:szCs w:val="20"/>
          <w:lang w:eastAsia="en-US"/>
        </w:rPr>
        <w:t xml:space="preserve"> w </w:t>
      </w:r>
      <w:r w:rsidRPr="00825489">
        <w:rPr>
          <w:rFonts w:eastAsia="Calibri"/>
          <w:szCs w:val="20"/>
          <w:lang w:eastAsia="en-US"/>
        </w:rPr>
        <w:t xml:space="preserve">toku realizacji </w:t>
      </w:r>
      <w:r>
        <w:rPr>
          <w:rFonts w:eastAsia="Calibri"/>
          <w:szCs w:val="20"/>
          <w:lang w:eastAsia="en-US"/>
        </w:rPr>
        <w:t>P</w:t>
      </w:r>
      <w:r w:rsidRPr="00825489">
        <w:rPr>
          <w:rFonts w:eastAsia="Calibri"/>
          <w:szCs w:val="20"/>
          <w:lang w:eastAsia="en-US"/>
        </w:rPr>
        <w:t xml:space="preserve">rogramu zebrano </w:t>
      </w:r>
      <w:r w:rsidRPr="00825489">
        <w:rPr>
          <w:rFonts w:eastAsia="Calibri"/>
          <w:szCs w:val="20"/>
          <w:lang w:eastAsia="en-US"/>
        </w:rPr>
        <w:lastRenderedPageBreak/>
        <w:t>wiedzę na temat przyczyn takiego stanu</w:t>
      </w:r>
      <w:r w:rsidR="00E66B89">
        <w:rPr>
          <w:rFonts w:eastAsia="Calibri"/>
          <w:szCs w:val="20"/>
          <w:lang w:eastAsia="en-US"/>
        </w:rPr>
        <w:t xml:space="preserve"> i </w:t>
      </w:r>
      <w:r w:rsidRPr="00825489">
        <w:rPr>
          <w:rFonts w:eastAsia="Calibri"/>
          <w:szCs w:val="20"/>
          <w:lang w:eastAsia="en-US"/>
        </w:rPr>
        <w:t>potrzeb tych podmiotów. Wiedza ta procentuje zwiększaniem liczby podmiotów oraz ich trwałością. Jak wynika</w:t>
      </w:r>
      <w:r w:rsidR="00E66B89">
        <w:rPr>
          <w:rFonts w:eastAsia="Calibri"/>
          <w:szCs w:val="20"/>
          <w:lang w:eastAsia="en-US"/>
        </w:rPr>
        <w:t xml:space="preserve"> z </w:t>
      </w:r>
      <w:r w:rsidRPr="008B706B">
        <w:rPr>
          <w:rFonts w:eastAsia="Calibri"/>
          <w:i/>
          <w:szCs w:val="20"/>
          <w:lang w:eastAsia="en-US"/>
        </w:rPr>
        <w:t>Aneksu 1 do RPO WZ 2014-2020</w:t>
      </w:r>
      <w:r w:rsidR="00E66B89">
        <w:rPr>
          <w:rFonts w:eastAsia="Calibri"/>
          <w:i/>
          <w:szCs w:val="20"/>
          <w:lang w:eastAsia="en-US"/>
        </w:rPr>
        <w:t xml:space="preserve"> w </w:t>
      </w:r>
      <w:r w:rsidRPr="008B706B">
        <w:rPr>
          <w:rFonts w:eastAsia="Calibri"/>
          <w:i/>
          <w:szCs w:val="20"/>
          <w:lang w:eastAsia="en-US"/>
        </w:rPr>
        <w:t>zakresie zmiany wskaźników do Ram Wykonania oraz metodologii szacowania wskaźników</w:t>
      </w:r>
      <w:r w:rsidRPr="00825489">
        <w:rPr>
          <w:rFonts w:eastAsia="Calibri"/>
          <w:szCs w:val="20"/>
          <w:lang w:eastAsia="en-US"/>
        </w:rPr>
        <w:t xml:space="preserve"> wskaźnik ten został</w:t>
      </w:r>
      <w:r w:rsidR="00E66B89">
        <w:rPr>
          <w:rFonts w:eastAsia="Calibri"/>
          <w:szCs w:val="20"/>
          <w:lang w:eastAsia="en-US"/>
        </w:rPr>
        <w:t xml:space="preserve"> w </w:t>
      </w:r>
      <w:r w:rsidRPr="00825489">
        <w:rPr>
          <w:rFonts w:eastAsia="Calibri"/>
          <w:szCs w:val="20"/>
          <w:lang w:eastAsia="en-US"/>
        </w:rPr>
        <w:t>2017 roku zwiększony do 600 na podstawie</w:t>
      </w:r>
      <w:r>
        <w:rPr>
          <w:rFonts w:eastAsia="Calibri"/>
          <w:szCs w:val="20"/>
          <w:lang w:eastAsia="en-US"/>
        </w:rPr>
        <w:t xml:space="preserve"> wartości</w:t>
      </w:r>
      <w:r w:rsidRPr="00825489">
        <w:rPr>
          <w:rFonts w:eastAsia="Calibri"/>
          <w:szCs w:val="20"/>
          <w:lang w:eastAsia="en-US"/>
        </w:rPr>
        <w:t xml:space="preserve"> założonych</w:t>
      </w:r>
      <w:r>
        <w:rPr>
          <w:rFonts w:eastAsia="Calibri"/>
          <w:szCs w:val="20"/>
          <w:lang w:eastAsia="en-US"/>
        </w:rPr>
        <w:t xml:space="preserve"> </w:t>
      </w:r>
      <w:r w:rsidRPr="00825489">
        <w:rPr>
          <w:rFonts w:eastAsia="Calibri"/>
          <w:szCs w:val="20"/>
          <w:lang w:eastAsia="en-US"/>
        </w:rPr>
        <w:t>przez beneficjentów</w:t>
      </w:r>
      <w:r w:rsidR="00E66B89">
        <w:rPr>
          <w:rFonts w:eastAsia="Calibri"/>
          <w:szCs w:val="20"/>
          <w:lang w:eastAsia="en-US"/>
        </w:rPr>
        <w:t xml:space="preserve"> w </w:t>
      </w:r>
      <w:r w:rsidRPr="00825489">
        <w:rPr>
          <w:rFonts w:eastAsia="Calibri"/>
          <w:szCs w:val="20"/>
          <w:lang w:eastAsia="en-US"/>
        </w:rPr>
        <w:t>WoD</w:t>
      </w:r>
      <w:r>
        <w:rPr>
          <w:rFonts w:eastAsia="Calibri"/>
          <w:szCs w:val="20"/>
          <w:lang w:eastAsia="en-US"/>
        </w:rPr>
        <w:t xml:space="preserve">. </w:t>
      </w:r>
    </w:p>
    <w:p w14:paraId="647BFE0D" w14:textId="77777777" w:rsidR="009D3A39" w:rsidRPr="00FE43CD" w:rsidRDefault="009D3A39" w:rsidP="009D3A39">
      <w:pPr>
        <w:pStyle w:val="Nagwek3"/>
      </w:pPr>
      <w:r w:rsidRPr="00FE43CD">
        <w:t xml:space="preserve">Priorytet inwestycyjny nr </w:t>
      </w:r>
      <w:r>
        <w:t>PI9i</w:t>
      </w:r>
      <w:r w:rsidRPr="00FE43CD">
        <w:t xml:space="preserve"> (Działania </w:t>
      </w:r>
      <w:r>
        <w:t>7.1,7.2</w:t>
      </w:r>
      <w:r w:rsidRPr="00FE43CD">
        <w:t>)</w:t>
      </w:r>
    </w:p>
    <w:p w14:paraId="03CE1D0E" w14:textId="77777777" w:rsidR="009D3A39" w:rsidRPr="00FE43CD" w:rsidRDefault="009D3A39" w:rsidP="009D3A39">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r>
        <w:rPr>
          <w:rFonts w:ascii="Lato" w:eastAsia="Calibri" w:hAnsi="Lato"/>
        </w:rPr>
        <w:t>9i</w:t>
      </w:r>
    </w:p>
    <w:p w14:paraId="153D5DE2" w14:textId="77777777" w:rsidR="009D3A39" w:rsidRPr="00E63BAC" w:rsidRDefault="009D3A39" w:rsidP="00D87AE8">
      <w:pPr>
        <w:pStyle w:val="Legenda"/>
        <w:spacing w:after="0"/>
      </w:pPr>
      <w:bookmarkStart w:id="279" w:name="_Toc8824229"/>
      <w:r w:rsidRPr="00E63BAC">
        <w:t xml:space="preserve">Tabela </w:t>
      </w:r>
      <w:r>
        <w:fldChar w:fldCharType="begin"/>
      </w:r>
      <w:r>
        <w:instrText xml:space="preserve"> SEQ Tabela \* ARABIC </w:instrText>
      </w:r>
      <w:r>
        <w:fldChar w:fldCharType="separate"/>
      </w:r>
      <w:r w:rsidR="00763345">
        <w:rPr>
          <w:noProof/>
        </w:rPr>
        <w:t>118</w:t>
      </w:r>
      <w:r>
        <w:fldChar w:fldCharType="end"/>
      </w:r>
      <w:r w:rsidRPr="00E63BAC">
        <w:t xml:space="preserve"> Wskaźniki produktu</w:t>
      </w:r>
      <w:r w:rsidR="00E66B89">
        <w:t xml:space="preserve"> i </w:t>
      </w:r>
      <w:r w:rsidRPr="00E63BAC">
        <w:t>rezultatu (PI 9i) – postęp rzeczowy</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2433"/>
        <w:gridCol w:w="801"/>
        <w:gridCol w:w="900"/>
        <w:gridCol w:w="942"/>
        <w:gridCol w:w="943"/>
        <w:gridCol w:w="942"/>
        <w:gridCol w:w="943"/>
      </w:tblGrid>
      <w:tr w:rsidR="009D3A39" w:rsidRPr="00E63BAC" w14:paraId="0E6781F4" w14:textId="77777777" w:rsidTr="00C22C26">
        <w:trPr>
          <w:tblHeader/>
        </w:trPr>
        <w:tc>
          <w:tcPr>
            <w:tcW w:w="675" w:type="dxa"/>
            <w:shd w:val="clear" w:color="auto" w:fill="DBE5F1"/>
          </w:tcPr>
          <w:p w14:paraId="6E4758A0" w14:textId="77777777" w:rsidR="009D3A39" w:rsidRPr="00404DA5" w:rsidRDefault="009D3A39" w:rsidP="001C3974">
            <w:pPr>
              <w:jc w:val="center"/>
              <w:rPr>
                <w:rFonts w:cs="Calibri"/>
                <w:sz w:val="18"/>
                <w:szCs w:val="18"/>
              </w:rPr>
            </w:pPr>
            <w:r w:rsidRPr="00404DA5">
              <w:rPr>
                <w:rFonts w:cs="Calibri"/>
                <w:sz w:val="18"/>
                <w:szCs w:val="18"/>
              </w:rPr>
              <w:t>Typ wskaźnika</w:t>
            </w:r>
          </w:p>
        </w:tc>
        <w:tc>
          <w:tcPr>
            <w:tcW w:w="709" w:type="dxa"/>
            <w:shd w:val="clear" w:color="auto" w:fill="DBE5F1"/>
          </w:tcPr>
          <w:p w14:paraId="421FF4CD" w14:textId="77777777" w:rsidR="009D3A39" w:rsidRPr="00404DA5" w:rsidRDefault="009D3A39" w:rsidP="001C3974">
            <w:pPr>
              <w:jc w:val="center"/>
              <w:rPr>
                <w:rFonts w:cs="Calibri"/>
                <w:sz w:val="18"/>
                <w:szCs w:val="18"/>
              </w:rPr>
            </w:pPr>
            <w:r w:rsidRPr="00404DA5">
              <w:rPr>
                <w:rFonts w:cs="Calibri"/>
                <w:sz w:val="18"/>
                <w:szCs w:val="18"/>
              </w:rPr>
              <w:t>Działania</w:t>
            </w:r>
          </w:p>
        </w:tc>
        <w:tc>
          <w:tcPr>
            <w:tcW w:w="2433" w:type="dxa"/>
            <w:shd w:val="clear" w:color="auto" w:fill="DBE5F1"/>
          </w:tcPr>
          <w:p w14:paraId="5EFF2DEB" w14:textId="77777777" w:rsidR="009D3A39" w:rsidRPr="00404DA5" w:rsidRDefault="009D3A39" w:rsidP="001C3974">
            <w:pPr>
              <w:jc w:val="center"/>
              <w:rPr>
                <w:rFonts w:cs="Calibri"/>
                <w:sz w:val="18"/>
                <w:szCs w:val="18"/>
              </w:rPr>
            </w:pPr>
            <w:r w:rsidRPr="00404DA5">
              <w:rPr>
                <w:rFonts w:cs="Calibri"/>
                <w:sz w:val="18"/>
                <w:szCs w:val="18"/>
              </w:rPr>
              <w:t>Wskaźnik</w:t>
            </w:r>
          </w:p>
        </w:tc>
        <w:tc>
          <w:tcPr>
            <w:tcW w:w="801" w:type="dxa"/>
            <w:shd w:val="clear" w:color="auto" w:fill="DBE5F1"/>
          </w:tcPr>
          <w:p w14:paraId="7E917B37" w14:textId="77777777" w:rsidR="009D3A39" w:rsidRPr="00404DA5" w:rsidRDefault="009D3A39" w:rsidP="001C3974">
            <w:pPr>
              <w:jc w:val="center"/>
              <w:rPr>
                <w:rFonts w:cs="Calibri"/>
                <w:sz w:val="18"/>
                <w:szCs w:val="18"/>
              </w:rPr>
            </w:pPr>
            <w:r w:rsidRPr="00404DA5">
              <w:rPr>
                <w:rFonts w:cs="Calibri"/>
                <w:sz w:val="18"/>
                <w:szCs w:val="18"/>
              </w:rPr>
              <w:t>Jedn. pomiaru</w:t>
            </w:r>
          </w:p>
        </w:tc>
        <w:tc>
          <w:tcPr>
            <w:tcW w:w="900" w:type="dxa"/>
            <w:shd w:val="clear" w:color="auto" w:fill="DBE5F1"/>
          </w:tcPr>
          <w:p w14:paraId="2E30EDEF" w14:textId="77777777" w:rsidR="009D3A39" w:rsidRPr="00404DA5" w:rsidRDefault="009D3A39" w:rsidP="001C3974">
            <w:pPr>
              <w:jc w:val="center"/>
              <w:rPr>
                <w:rFonts w:cs="Calibri"/>
                <w:sz w:val="18"/>
                <w:szCs w:val="18"/>
              </w:rPr>
            </w:pPr>
            <w:r w:rsidRPr="00404DA5">
              <w:rPr>
                <w:rFonts w:cs="Calibri"/>
                <w:sz w:val="18"/>
                <w:szCs w:val="18"/>
              </w:rPr>
              <w:t>Wartość docelowa (2023)</w:t>
            </w:r>
          </w:p>
        </w:tc>
        <w:tc>
          <w:tcPr>
            <w:tcW w:w="942" w:type="dxa"/>
            <w:shd w:val="clear" w:color="auto" w:fill="DBE5F1"/>
          </w:tcPr>
          <w:p w14:paraId="2624B488" w14:textId="77777777" w:rsidR="009D3A39" w:rsidRPr="00404DA5" w:rsidRDefault="009D3A39" w:rsidP="001C3974">
            <w:pPr>
              <w:jc w:val="center"/>
              <w:rPr>
                <w:rFonts w:cs="Calibri"/>
                <w:sz w:val="18"/>
                <w:szCs w:val="18"/>
              </w:rPr>
            </w:pPr>
            <w:r w:rsidRPr="00404DA5">
              <w:rPr>
                <w:rFonts w:cs="Calibri"/>
                <w:sz w:val="18"/>
                <w:szCs w:val="18"/>
              </w:rPr>
              <w:t>Realizacja wskaźnika (wg UoD)</w:t>
            </w:r>
          </w:p>
        </w:tc>
        <w:tc>
          <w:tcPr>
            <w:tcW w:w="943" w:type="dxa"/>
            <w:shd w:val="clear" w:color="auto" w:fill="DBE5F1"/>
          </w:tcPr>
          <w:p w14:paraId="692E7C8D" w14:textId="77777777" w:rsidR="009D3A39" w:rsidRPr="00404DA5" w:rsidRDefault="009D3A39" w:rsidP="001C3974">
            <w:pPr>
              <w:jc w:val="center"/>
              <w:rPr>
                <w:rFonts w:cs="Calibri"/>
                <w:sz w:val="18"/>
                <w:szCs w:val="18"/>
              </w:rPr>
            </w:pPr>
            <w:r w:rsidRPr="00404DA5">
              <w:rPr>
                <w:rFonts w:cs="Calibri"/>
                <w:sz w:val="18"/>
                <w:szCs w:val="18"/>
              </w:rPr>
              <w:t>% realizacji wartości docelowej (wg UoD)</w:t>
            </w:r>
          </w:p>
        </w:tc>
        <w:tc>
          <w:tcPr>
            <w:tcW w:w="942" w:type="dxa"/>
            <w:shd w:val="clear" w:color="auto" w:fill="DBE5F1"/>
          </w:tcPr>
          <w:p w14:paraId="376D2170" w14:textId="77777777" w:rsidR="009D3A39" w:rsidRPr="00404DA5" w:rsidRDefault="009D3A39" w:rsidP="001C3974">
            <w:pPr>
              <w:jc w:val="center"/>
              <w:rPr>
                <w:rFonts w:cs="Calibri"/>
                <w:sz w:val="18"/>
                <w:szCs w:val="18"/>
              </w:rPr>
            </w:pPr>
            <w:r w:rsidRPr="00404DA5">
              <w:rPr>
                <w:rFonts w:cs="Calibri"/>
                <w:sz w:val="18"/>
                <w:szCs w:val="18"/>
              </w:rPr>
              <w:t>Realizacja wskaźnika (wg WoP)</w:t>
            </w:r>
          </w:p>
        </w:tc>
        <w:tc>
          <w:tcPr>
            <w:tcW w:w="943" w:type="dxa"/>
            <w:shd w:val="clear" w:color="auto" w:fill="DBE5F1"/>
          </w:tcPr>
          <w:p w14:paraId="70A894F6" w14:textId="77777777" w:rsidR="009D3A39" w:rsidRPr="00404DA5" w:rsidRDefault="009D3A39" w:rsidP="001C3974">
            <w:pPr>
              <w:jc w:val="center"/>
              <w:rPr>
                <w:rFonts w:cs="Calibri"/>
                <w:sz w:val="18"/>
                <w:szCs w:val="18"/>
              </w:rPr>
            </w:pPr>
            <w:r w:rsidRPr="00404DA5">
              <w:rPr>
                <w:rFonts w:cs="Calibri"/>
                <w:sz w:val="18"/>
                <w:szCs w:val="18"/>
              </w:rPr>
              <w:t>% realizacji wartości docelowej (wg WoP)</w:t>
            </w:r>
          </w:p>
        </w:tc>
      </w:tr>
      <w:tr w:rsidR="009D3A39" w:rsidRPr="00E63BAC" w14:paraId="63B2835D" w14:textId="77777777" w:rsidTr="00C22C26">
        <w:tc>
          <w:tcPr>
            <w:tcW w:w="675" w:type="dxa"/>
            <w:shd w:val="clear" w:color="auto" w:fill="auto"/>
            <w:vAlign w:val="center"/>
          </w:tcPr>
          <w:p w14:paraId="33F1265D" w14:textId="77777777" w:rsidR="009D3A39" w:rsidRPr="00404DA5" w:rsidRDefault="009D3A39" w:rsidP="001C3974">
            <w:pPr>
              <w:jc w:val="center"/>
              <w:rPr>
                <w:rFonts w:cs="Calibri"/>
                <w:sz w:val="18"/>
                <w:szCs w:val="18"/>
              </w:rPr>
            </w:pPr>
            <w:r w:rsidRPr="00404DA5">
              <w:rPr>
                <w:rFonts w:cs="Calibri"/>
                <w:sz w:val="18"/>
                <w:szCs w:val="18"/>
              </w:rPr>
              <w:t>WP</w:t>
            </w:r>
          </w:p>
        </w:tc>
        <w:tc>
          <w:tcPr>
            <w:tcW w:w="709" w:type="dxa"/>
            <w:shd w:val="clear" w:color="auto" w:fill="auto"/>
            <w:vAlign w:val="center"/>
          </w:tcPr>
          <w:p w14:paraId="45598484" w14:textId="77777777" w:rsidR="009D3A39" w:rsidRPr="00404DA5" w:rsidRDefault="009D3A39" w:rsidP="001C3974">
            <w:pPr>
              <w:jc w:val="center"/>
              <w:rPr>
                <w:rFonts w:cs="Calibri"/>
                <w:sz w:val="18"/>
                <w:szCs w:val="18"/>
              </w:rPr>
            </w:pPr>
            <w:r w:rsidRPr="00404DA5">
              <w:rPr>
                <w:rFonts w:cs="Calibri"/>
                <w:sz w:val="18"/>
                <w:szCs w:val="18"/>
              </w:rPr>
              <w:t>7.1, 7.2</w:t>
            </w:r>
          </w:p>
        </w:tc>
        <w:tc>
          <w:tcPr>
            <w:tcW w:w="2433" w:type="dxa"/>
            <w:shd w:val="clear" w:color="auto" w:fill="auto"/>
            <w:vAlign w:val="center"/>
          </w:tcPr>
          <w:p w14:paraId="163DA7C7" w14:textId="77777777" w:rsidR="009D3A39" w:rsidRPr="00404DA5" w:rsidRDefault="009D3A39" w:rsidP="001C3974">
            <w:pPr>
              <w:jc w:val="left"/>
              <w:rPr>
                <w:rFonts w:cs="Calibri"/>
                <w:sz w:val="18"/>
                <w:szCs w:val="18"/>
              </w:rPr>
            </w:pPr>
            <w:r w:rsidRPr="00404DA5">
              <w:rPr>
                <w:rFonts w:cs="Calibri"/>
                <w:sz w:val="18"/>
                <w:szCs w:val="18"/>
              </w:rPr>
              <w:t>Liczba osób</w:t>
            </w:r>
            <w:r w:rsidR="00E66B89">
              <w:rPr>
                <w:rFonts w:cs="Calibri"/>
                <w:sz w:val="18"/>
                <w:szCs w:val="18"/>
              </w:rPr>
              <w:t xml:space="preserve"> z </w:t>
            </w:r>
            <w:r w:rsidRPr="00404DA5">
              <w:rPr>
                <w:rFonts w:cs="Calibri"/>
                <w:sz w:val="18"/>
                <w:szCs w:val="18"/>
              </w:rPr>
              <w:t>niepełnosprawnościami objętych wsparciem</w:t>
            </w:r>
            <w:r w:rsidR="00E66B89">
              <w:rPr>
                <w:rFonts w:cs="Calibri"/>
                <w:sz w:val="18"/>
                <w:szCs w:val="18"/>
              </w:rPr>
              <w:t xml:space="preserve"> w </w:t>
            </w:r>
            <w:r w:rsidRPr="00404DA5">
              <w:rPr>
                <w:rFonts w:cs="Calibri"/>
                <w:sz w:val="18"/>
                <w:szCs w:val="18"/>
              </w:rPr>
              <w:t xml:space="preserve">programie (C) </w:t>
            </w:r>
          </w:p>
        </w:tc>
        <w:tc>
          <w:tcPr>
            <w:tcW w:w="801" w:type="dxa"/>
            <w:shd w:val="clear" w:color="auto" w:fill="auto"/>
            <w:vAlign w:val="center"/>
          </w:tcPr>
          <w:p w14:paraId="565A3F61" w14:textId="77777777" w:rsidR="009D3A39" w:rsidRPr="00404DA5" w:rsidRDefault="009D3A39" w:rsidP="001C3974">
            <w:pPr>
              <w:jc w:val="center"/>
              <w:rPr>
                <w:rFonts w:cs="Calibri"/>
                <w:sz w:val="18"/>
                <w:szCs w:val="18"/>
              </w:rPr>
            </w:pPr>
            <w:r w:rsidRPr="00404DA5">
              <w:rPr>
                <w:rFonts w:cs="Calibri"/>
                <w:sz w:val="18"/>
                <w:szCs w:val="18"/>
              </w:rPr>
              <w:t>Os.</w:t>
            </w:r>
          </w:p>
        </w:tc>
        <w:tc>
          <w:tcPr>
            <w:tcW w:w="900" w:type="dxa"/>
            <w:shd w:val="clear" w:color="auto" w:fill="auto"/>
            <w:vAlign w:val="center"/>
          </w:tcPr>
          <w:p w14:paraId="5F3E4E05" w14:textId="77777777" w:rsidR="009D3A39" w:rsidRPr="00404DA5" w:rsidRDefault="009D3A39" w:rsidP="001C3974">
            <w:pPr>
              <w:jc w:val="center"/>
              <w:rPr>
                <w:rFonts w:cs="Calibri"/>
                <w:sz w:val="18"/>
                <w:szCs w:val="18"/>
              </w:rPr>
            </w:pPr>
            <w:r w:rsidRPr="00404DA5">
              <w:rPr>
                <w:rFonts w:cs="Calibri"/>
                <w:sz w:val="18"/>
                <w:szCs w:val="18"/>
              </w:rPr>
              <w:t>3504</w:t>
            </w:r>
          </w:p>
        </w:tc>
        <w:tc>
          <w:tcPr>
            <w:tcW w:w="942" w:type="dxa"/>
            <w:shd w:val="clear" w:color="auto" w:fill="auto"/>
            <w:vAlign w:val="center"/>
          </w:tcPr>
          <w:p w14:paraId="7443F13A" w14:textId="77777777" w:rsidR="009D3A39" w:rsidRPr="00404DA5" w:rsidRDefault="009D3A39" w:rsidP="001C3974">
            <w:pPr>
              <w:jc w:val="center"/>
              <w:rPr>
                <w:rFonts w:cs="Calibri"/>
                <w:sz w:val="18"/>
                <w:szCs w:val="18"/>
              </w:rPr>
            </w:pPr>
            <w:r w:rsidRPr="00404DA5">
              <w:rPr>
                <w:rFonts w:cs="Calibri"/>
                <w:sz w:val="18"/>
                <w:szCs w:val="18"/>
              </w:rPr>
              <w:t>2473</w:t>
            </w:r>
          </w:p>
        </w:tc>
        <w:tc>
          <w:tcPr>
            <w:tcW w:w="943" w:type="dxa"/>
            <w:shd w:val="clear" w:color="auto" w:fill="auto"/>
            <w:vAlign w:val="center"/>
          </w:tcPr>
          <w:p w14:paraId="6D8A2EFC" w14:textId="77777777" w:rsidR="009D3A39" w:rsidRPr="00404DA5" w:rsidRDefault="009D3A39" w:rsidP="001C3974">
            <w:pPr>
              <w:jc w:val="center"/>
              <w:rPr>
                <w:rFonts w:cs="Calibri"/>
                <w:sz w:val="18"/>
                <w:szCs w:val="18"/>
              </w:rPr>
            </w:pPr>
            <w:r w:rsidRPr="00404DA5">
              <w:rPr>
                <w:rFonts w:cs="Calibri"/>
                <w:sz w:val="18"/>
                <w:szCs w:val="18"/>
              </w:rPr>
              <w:t>71%</w:t>
            </w:r>
          </w:p>
        </w:tc>
        <w:tc>
          <w:tcPr>
            <w:tcW w:w="942" w:type="dxa"/>
            <w:shd w:val="clear" w:color="auto" w:fill="auto"/>
            <w:vAlign w:val="center"/>
          </w:tcPr>
          <w:p w14:paraId="69396F8F" w14:textId="77777777" w:rsidR="009D3A39" w:rsidRPr="00404DA5" w:rsidRDefault="009D3A39" w:rsidP="001C3974">
            <w:pPr>
              <w:jc w:val="center"/>
              <w:rPr>
                <w:rFonts w:cs="Calibri"/>
                <w:sz w:val="18"/>
                <w:szCs w:val="18"/>
              </w:rPr>
            </w:pPr>
            <w:r w:rsidRPr="00404DA5">
              <w:rPr>
                <w:rFonts w:cs="Calibri"/>
                <w:sz w:val="18"/>
                <w:szCs w:val="18"/>
              </w:rPr>
              <w:t>1569</w:t>
            </w:r>
          </w:p>
        </w:tc>
        <w:tc>
          <w:tcPr>
            <w:tcW w:w="943" w:type="dxa"/>
            <w:shd w:val="clear" w:color="auto" w:fill="auto"/>
            <w:vAlign w:val="center"/>
          </w:tcPr>
          <w:p w14:paraId="5B799E15" w14:textId="77777777" w:rsidR="009D3A39" w:rsidRPr="00404DA5" w:rsidRDefault="009D3A39" w:rsidP="001C3974">
            <w:pPr>
              <w:jc w:val="center"/>
              <w:rPr>
                <w:rFonts w:cs="Calibri"/>
                <w:sz w:val="18"/>
                <w:szCs w:val="18"/>
              </w:rPr>
            </w:pPr>
            <w:r w:rsidRPr="00404DA5">
              <w:rPr>
                <w:rFonts w:cs="Calibri"/>
                <w:sz w:val="18"/>
                <w:szCs w:val="18"/>
              </w:rPr>
              <w:t>45%</w:t>
            </w:r>
          </w:p>
        </w:tc>
      </w:tr>
      <w:tr w:rsidR="009D3A39" w:rsidRPr="00E63BAC" w14:paraId="37678A95" w14:textId="77777777" w:rsidTr="00C22C26">
        <w:tc>
          <w:tcPr>
            <w:tcW w:w="675" w:type="dxa"/>
            <w:shd w:val="clear" w:color="auto" w:fill="auto"/>
            <w:vAlign w:val="center"/>
          </w:tcPr>
          <w:p w14:paraId="52666AAA" w14:textId="77777777" w:rsidR="009D3A39" w:rsidRPr="00404DA5" w:rsidRDefault="009D3A39" w:rsidP="001C3974">
            <w:pPr>
              <w:jc w:val="center"/>
              <w:rPr>
                <w:sz w:val="18"/>
                <w:szCs w:val="18"/>
              </w:rPr>
            </w:pPr>
            <w:r w:rsidRPr="00404DA5">
              <w:rPr>
                <w:sz w:val="18"/>
                <w:szCs w:val="18"/>
              </w:rPr>
              <w:t>WP</w:t>
            </w:r>
          </w:p>
        </w:tc>
        <w:tc>
          <w:tcPr>
            <w:tcW w:w="709" w:type="dxa"/>
            <w:shd w:val="clear" w:color="auto" w:fill="auto"/>
            <w:vAlign w:val="center"/>
          </w:tcPr>
          <w:p w14:paraId="3E16DA78" w14:textId="77777777" w:rsidR="009D3A39" w:rsidRPr="00404DA5" w:rsidRDefault="009D3A39" w:rsidP="001C3974">
            <w:pPr>
              <w:jc w:val="center"/>
              <w:rPr>
                <w:rFonts w:cs="Calibri"/>
                <w:sz w:val="18"/>
                <w:szCs w:val="18"/>
              </w:rPr>
            </w:pPr>
            <w:r w:rsidRPr="00404DA5">
              <w:rPr>
                <w:rFonts w:cs="Calibri"/>
                <w:sz w:val="18"/>
                <w:szCs w:val="18"/>
              </w:rPr>
              <w:t>7.1, 7.2</w:t>
            </w:r>
          </w:p>
        </w:tc>
        <w:tc>
          <w:tcPr>
            <w:tcW w:w="2433" w:type="dxa"/>
            <w:shd w:val="clear" w:color="auto" w:fill="auto"/>
            <w:vAlign w:val="center"/>
          </w:tcPr>
          <w:p w14:paraId="0DC7F7DA" w14:textId="77777777" w:rsidR="009D3A39" w:rsidRPr="00404DA5" w:rsidRDefault="009D3A39" w:rsidP="001C3974">
            <w:pPr>
              <w:jc w:val="left"/>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 xml:space="preserve">programie </w:t>
            </w:r>
          </w:p>
        </w:tc>
        <w:tc>
          <w:tcPr>
            <w:tcW w:w="801" w:type="dxa"/>
            <w:shd w:val="clear" w:color="auto" w:fill="auto"/>
            <w:vAlign w:val="center"/>
          </w:tcPr>
          <w:p w14:paraId="4B7C19E5" w14:textId="77777777" w:rsidR="009D3A39" w:rsidRPr="00404DA5" w:rsidRDefault="009D3A39" w:rsidP="001C3974">
            <w:pPr>
              <w:jc w:val="center"/>
              <w:rPr>
                <w:rFonts w:cs="Calibri"/>
                <w:sz w:val="18"/>
                <w:szCs w:val="18"/>
              </w:rPr>
            </w:pPr>
            <w:r w:rsidRPr="00404DA5">
              <w:rPr>
                <w:rFonts w:cs="Calibri"/>
                <w:sz w:val="18"/>
                <w:szCs w:val="18"/>
              </w:rPr>
              <w:t>Os.</w:t>
            </w:r>
          </w:p>
        </w:tc>
        <w:tc>
          <w:tcPr>
            <w:tcW w:w="900" w:type="dxa"/>
            <w:shd w:val="clear" w:color="auto" w:fill="auto"/>
            <w:vAlign w:val="center"/>
          </w:tcPr>
          <w:p w14:paraId="72FA4CC4" w14:textId="77777777" w:rsidR="009D3A39" w:rsidRPr="00404DA5" w:rsidRDefault="009D3A39" w:rsidP="001C3974">
            <w:pPr>
              <w:jc w:val="center"/>
              <w:rPr>
                <w:rFonts w:cs="Calibri"/>
                <w:sz w:val="18"/>
                <w:szCs w:val="18"/>
              </w:rPr>
            </w:pPr>
            <w:r w:rsidRPr="00404DA5">
              <w:rPr>
                <w:rFonts w:cs="Calibri"/>
                <w:sz w:val="18"/>
                <w:szCs w:val="18"/>
              </w:rPr>
              <w:t>15230</w:t>
            </w:r>
          </w:p>
        </w:tc>
        <w:tc>
          <w:tcPr>
            <w:tcW w:w="942" w:type="dxa"/>
            <w:shd w:val="clear" w:color="auto" w:fill="auto"/>
            <w:vAlign w:val="center"/>
          </w:tcPr>
          <w:p w14:paraId="075FEE99" w14:textId="77777777" w:rsidR="009D3A39" w:rsidRPr="00404DA5" w:rsidRDefault="009D3A39" w:rsidP="001C3974">
            <w:pPr>
              <w:jc w:val="center"/>
              <w:rPr>
                <w:rFonts w:cs="Calibri"/>
                <w:sz w:val="18"/>
                <w:szCs w:val="18"/>
              </w:rPr>
            </w:pPr>
            <w:r w:rsidRPr="00404DA5">
              <w:rPr>
                <w:rFonts w:cs="Calibri"/>
                <w:sz w:val="18"/>
                <w:szCs w:val="18"/>
              </w:rPr>
              <w:t>8794</w:t>
            </w:r>
          </w:p>
        </w:tc>
        <w:tc>
          <w:tcPr>
            <w:tcW w:w="943" w:type="dxa"/>
            <w:shd w:val="clear" w:color="auto" w:fill="auto"/>
            <w:vAlign w:val="center"/>
          </w:tcPr>
          <w:p w14:paraId="06510C92" w14:textId="77777777" w:rsidR="009D3A39" w:rsidRPr="00404DA5" w:rsidRDefault="009D3A39" w:rsidP="001C3974">
            <w:pPr>
              <w:jc w:val="center"/>
              <w:rPr>
                <w:rFonts w:cs="Calibri"/>
                <w:sz w:val="18"/>
                <w:szCs w:val="18"/>
              </w:rPr>
            </w:pPr>
            <w:r w:rsidRPr="00404DA5">
              <w:rPr>
                <w:rFonts w:cs="Calibri"/>
                <w:sz w:val="18"/>
                <w:szCs w:val="18"/>
              </w:rPr>
              <w:t>58%</w:t>
            </w:r>
          </w:p>
        </w:tc>
        <w:tc>
          <w:tcPr>
            <w:tcW w:w="942" w:type="dxa"/>
            <w:shd w:val="clear" w:color="auto" w:fill="auto"/>
            <w:vAlign w:val="center"/>
          </w:tcPr>
          <w:p w14:paraId="6E5BFE39" w14:textId="77777777" w:rsidR="009D3A39" w:rsidRPr="00404DA5" w:rsidRDefault="009D3A39" w:rsidP="001C3974">
            <w:pPr>
              <w:jc w:val="center"/>
              <w:rPr>
                <w:rFonts w:cs="Calibri"/>
                <w:sz w:val="18"/>
                <w:szCs w:val="18"/>
              </w:rPr>
            </w:pPr>
            <w:r w:rsidRPr="00404DA5">
              <w:rPr>
                <w:rFonts w:cs="Calibri"/>
                <w:sz w:val="18"/>
                <w:szCs w:val="18"/>
              </w:rPr>
              <w:t>4240</w:t>
            </w:r>
          </w:p>
        </w:tc>
        <w:tc>
          <w:tcPr>
            <w:tcW w:w="943" w:type="dxa"/>
            <w:shd w:val="clear" w:color="auto" w:fill="auto"/>
            <w:vAlign w:val="center"/>
          </w:tcPr>
          <w:p w14:paraId="5A34D1F5" w14:textId="77777777" w:rsidR="009D3A39" w:rsidRPr="00404DA5" w:rsidRDefault="009D3A39" w:rsidP="001C3974">
            <w:pPr>
              <w:jc w:val="center"/>
              <w:rPr>
                <w:rFonts w:cs="Calibri"/>
                <w:sz w:val="18"/>
                <w:szCs w:val="18"/>
              </w:rPr>
            </w:pPr>
            <w:r w:rsidRPr="00404DA5">
              <w:rPr>
                <w:rFonts w:cs="Calibri"/>
                <w:sz w:val="18"/>
                <w:szCs w:val="18"/>
              </w:rPr>
              <w:t>28%</w:t>
            </w:r>
          </w:p>
        </w:tc>
      </w:tr>
      <w:tr w:rsidR="009D3A39" w:rsidRPr="00E63BAC" w14:paraId="61923917" w14:textId="77777777" w:rsidTr="00C22C26">
        <w:tc>
          <w:tcPr>
            <w:tcW w:w="675" w:type="dxa"/>
            <w:shd w:val="clear" w:color="auto" w:fill="auto"/>
            <w:vAlign w:val="center"/>
          </w:tcPr>
          <w:p w14:paraId="1A3C4328" w14:textId="77777777" w:rsidR="009D3A39" w:rsidRPr="00404DA5" w:rsidRDefault="009D3A39" w:rsidP="001C3974">
            <w:pPr>
              <w:jc w:val="center"/>
              <w:rPr>
                <w:sz w:val="18"/>
                <w:szCs w:val="18"/>
              </w:rPr>
            </w:pPr>
            <w:r w:rsidRPr="00404DA5">
              <w:rPr>
                <w:sz w:val="18"/>
                <w:szCs w:val="18"/>
              </w:rPr>
              <w:t>WR</w:t>
            </w:r>
          </w:p>
        </w:tc>
        <w:tc>
          <w:tcPr>
            <w:tcW w:w="709" w:type="dxa"/>
            <w:shd w:val="clear" w:color="auto" w:fill="auto"/>
            <w:vAlign w:val="center"/>
          </w:tcPr>
          <w:p w14:paraId="14E924E2" w14:textId="77777777" w:rsidR="009D3A39" w:rsidRPr="00404DA5" w:rsidRDefault="009D3A39" w:rsidP="001C3974">
            <w:pPr>
              <w:jc w:val="center"/>
              <w:rPr>
                <w:rFonts w:cs="Calibri"/>
                <w:bCs/>
                <w:sz w:val="18"/>
                <w:szCs w:val="18"/>
              </w:rPr>
            </w:pPr>
            <w:r w:rsidRPr="00404DA5">
              <w:rPr>
                <w:rFonts w:cs="Calibri"/>
                <w:sz w:val="18"/>
                <w:szCs w:val="18"/>
              </w:rPr>
              <w:t>7.1, 7.2</w:t>
            </w:r>
          </w:p>
        </w:tc>
        <w:tc>
          <w:tcPr>
            <w:tcW w:w="2433" w:type="dxa"/>
            <w:shd w:val="clear" w:color="auto" w:fill="auto"/>
            <w:vAlign w:val="center"/>
          </w:tcPr>
          <w:p w14:paraId="4F38B34A" w14:textId="77777777" w:rsidR="009D3A39" w:rsidRPr="00404DA5" w:rsidRDefault="009D3A39" w:rsidP="001C3974">
            <w:pPr>
              <w:jc w:val="left"/>
              <w:rPr>
                <w:rFonts w:cs="Calibri"/>
                <w:bCs/>
                <w:sz w:val="18"/>
                <w:szCs w:val="18"/>
              </w:rPr>
            </w:pPr>
            <w:r w:rsidRPr="00404DA5">
              <w:rPr>
                <w:rFonts w:cs="Calibri"/>
                <w:bCs/>
                <w:sz w:val="18"/>
                <w:szCs w:val="18"/>
              </w:rPr>
              <w:t xml:space="preserve">Liczba osób zagrożonych ubóstwem lub wykluczeniem społecznym poszukujących pracy po opuszczeniu programu </w:t>
            </w:r>
          </w:p>
        </w:tc>
        <w:tc>
          <w:tcPr>
            <w:tcW w:w="801" w:type="dxa"/>
            <w:shd w:val="clear" w:color="auto" w:fill="auto"/>
            <w:vAlign w:val="center"/>
          </w:tcPr>
          <w:p w14:paraId="4D42F8C5" w14:textId="77777777" w:rsidR="009D3A39" w:rsidRPr="00404DA5" w:rsidRDefault="009D3A39" w:rsidP="001C3974">
            <w:pPr>
              <w:jc w:val="center"/>
              <w:rPr>
                <w:rFonts w:cs="Calibri"/>
                <w:bCs/>
                <w:sz w:val="18"/>
                <w:szCs w:val="18"/>
              </w:rPr>
            </w:pPr>
            <w:r>
              <w:rPr>
                <w:rFonts w:cs="Calibri"/>
                <w:sz w:val="18"/>
                <w:szCs w:val="18"/>
              </w:rPr>
              <w:t>%</w:t>
            </w:r>
          </w:p>
        </w:tc>
        <w:tc>
          <w:tcPr>
            <w:tcW w:w="900" w:type="dxa"/>
            <w:shd w:val="clear" w:color="auto" w:fill="auto"/>
            <w:vAlign w:val="center"/>
          </w:tcPr>
          <w:p w14:paraId="1D4E8412" w14:textId="77777777" w:rsidR="009D3A39" w:rsidRPr="00404DA5" w:rsidRDefault="009D3A39" w:rsidP="001C3974">
            <w:pPr>
              <w:jc w:val="center"/>
              <w:rPr>
                <w:rFonts w:cs="Calibri"/>
                <w:sz w:val="18"/>
                <w:szCs w:val="18"/>
              </w:rPr>
            </w:pPr>
            <w:r w:rsidRPr="00404DA5">
              <w:rPr>
                <w:rFonts w:cs="Calibri"/>
                <w:sz w:val="18"/>
                <w:szCs w:val="18"/>
              </w:rPr>
              <w:t>25%</w:t>
            </w:r>
          </w:p>
        </w:tc>
        <w:tc>
          <w:tcPr>
            <w:tcW w:w="942" w:type="dxa"/>
            <w:shd w:val="clear" w:color="auto" w:fill="auto"/>
            <w:vAlign w:val="center"/>
          </w:tcPr>
          <w:p w14:paraId="682D6C98" w14:textId="77777777" w:rsidR="009D3A39" w:rsidRDefault="009D3A39" w:rsidP="001C3974">
            <w:pPr>
              <w:jc w:val="center"/>
              <w:rPr>
                <w:rFonts w:cs="Calibri"/>
                <w:sz w:val="18"/>
                <w:szCs w:val="18"/>
              </w:rPr>
            </w:pPr>
            <w:r>
              <w:rPr>
                <w:rFonts w:cs="Calibri"/>
                <w:sz w:val="18"/>
                <w:szCs w:val="18"/>
              </w:rPr>
              <w:t>20%</w:t>
            </w:r>
          </w:p>
          <w:p w14:paraId="31ABFD0E"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1761</w:t>
            </w:r>
            <w:r>
              <w:rPr>
                <w:rFonts w:cs="Calibri"/>
                <w:sz w:val="18"/>
                <w:szCs w:val="18"/>
              </w:rPr>
              <w:t>)</w:t>
            </w:r>
          </w:p>
        </w:tc>
        <w:tc>
          <w:tcPr>
            <w:tcW w:w="943" w:type="dxa"/>
            <w:shd w:val="clear" w:color="auto" w:fill="auto"/>
            <w:vAlign w:val="center"/>
          </w:tcPr>
          <w:p w14:paraId="2E17C2E6" w14:textId="77777777" w:rsidR="009D3A39" w:rsidRPr="00404DA5" w:rsidRDefault="009D3A39" w:rsidP="001C3974">
            <w:pPr>
              <w:jc w:val="center"/>
              <w:rPr>
                <w:rFonts w:cs="Calibri"/>
                <w:sz w:val="18"/>
                <w:szCs w:val="18"/>
              </w:rPr>
            </w:pPr>
            <w:r w:rsidRPr="00404DA5">
              <w:rPr>
                <w:rFonts w:cs="Calibri"/>
                <w:sz w:val="18"/>
                <w:szCs w:val="18"/>
              </w:rPr>
              <w:t>80%</w:t>
            </w:r>
          </w:p>
        </w:tc>
        <w:tc>
          <w:tcPr>
            <w:tcW w:w="942" w:type="dxa"/>
            <w:shd w:val="clear" w:color="auto" w:fill="auto"/>
            <w:vAlign w:val="center"/>
          </w:tcPr>
          <w:p w14:paraId="609CCFF6" w14:textId="77777777" w:rsidR="009D3A39" w:rsidRDefault="009D3A39" w:rsidP="001C3974">
            <w:pPr>
              <w:jc w:val="center"/>
              <w:rPr>
                <w:rFonts w:cs="Calibri"/>
                <w:sz w:val="18"/>
                <w:szCs w:val="18"/>
              </w:rPr>
            </w:pPr>
            <w:r>
              <w:rPr>
                <w:rFonts w:cs="Calibri"/>
                <w:sz w:val="18"/>
                <w:szCs w:val="18"/>
              </w:rPr>
              <w:t>9,2%</w:t>
            </w:r>
          </w:p>
          <w:p w14:paraId="7AE30B79"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390</w:t>
            </w:r>
            <w:r>
              <w:rPr>
                <w:rFonts w:cs="Calibri"/>
                <w:sz w:val="18"/>
                <w:szCs w:val="18"/>
              </w:rPr>
              <w:t>)</w:t>
            </w:r>
          </w:p>
        </w:tc>
        <w:tc>
          <w:tcPr>
            <w:tcW w:w="943" w:type="dxa"/>
            <w:shd w:val="clear" w:color="auto" w:fill="auto"/>
            <w:vAlign w:val="center"/>
          </w:tcPr>
          <w:p w14:paraId="733C0B81" w14:textId="77777777" w:rsidR="009D3A39" w:rsidRPr="00404DA5" w:rsidRDefault="009D3A39" w:rsidP="001C3974">
            <w:pPr>
              <w:jc w:val="center"/>
              <w:rPr>
                <w:rFonts w:cs="Calibri"/>
                <w:sz w:val="18"/>
                <w:szCs w:val="18"/>
              </w:rPr>
            </w:pPr>
            <w:r w:rsidRPr="00404DA5">
              <w:rPr>
                <w:rFonts w:cs="Calibri"/>
                <w:sz w:val="18"/>
                <w:szCs w:val="18"/>
              </w:rPr>
              <w:t>37%</w:t>
            </w:r>
          </w:p>
        </w:tc>
      </w:tr>
      <w:tr w:rsidR="009D3A39" w:rsidRPr="00E63BAC" w14:paraId="0B2CB52E" w14:textId="77777777" w:rsidTr="00C22C26">
        <w:tc>
          <w:tcPr>
            <w:tcW w:w="675" w:type="dxa"/>
            <w:shd w:val="clear" w:color="auto" w:fill="auto"/>
            <w:vAlign w:val="center"/>
          </w:tcPr>
          <w:p w14:paraId="41A5107B" w14:textId="77777777" w:rsidR="009D3A39" w:rsidRPr="00404DA5" w:rsidRDefault="009D3A39" w:rsidP="001C3974">
            <w:pPr>
              <w:jc w:val="center"/>
              <w:rPr>
                <w:sz w:val="18"/>
                <w:szCs w:val="18"/>
              </w:rPr>
            </w:pPr>
            <w:r w:rsidRPr="00404DA5">
              <w:rPr>
                <w:sz w:val="18"/>
                <w:szCs w:val="18"/>
              </w:rPr>
              <w:t>WR</w:t>
            </w:r>
          </w:p>
        </w:tc>
        <w:tc>
          <w:tcPr>
            <w:tcW w:w="709" w:type="dxa"/>
            <w:shd w:val="clear" w:color="auto" w:fill="auto"/>
            <w:vAlign w:val="center"/>
          </w:tcPr>
          <w:p w14:paraId="74761273" w14:textId="77777777" w:rsidR="009D3A39" w:rsidRPr="00404DA5" w:rsidRDefault="009D3A39" w:rsidP="001C3974">
            <w:pPr>
              <w:jc w:val="center"/>
              <w:rPr>
                <w:rFonts w:cs="Calibri"/>
                <w:sz w:val="18"/>
                <w:szCs w:val="18"/>
              </w:rPr>
            </w:pPr>
            <w:r w:rsidRPr="00404DA5">
              <w:rPr>
                <w:rFonts w:cs="Calibri"/>
                <w:sz w:val="18"/>
                <w:szCs w:val="18"/>
              </w:rPr>
              <w:t>7.1, 7.2</w:t>
            </w:r>
          </w:p>
        </w:tc>
        <w:tc>
          <w:tcPr>
            <w:tcW w:w="2433" w:type="dxa"/>
            <w:shd w:val="clear" w:color="auto" w:fill="auto"/>
            <w:vAlign w:val="center"/>
          </w:tcPr>
          <w:p w14:paraId="70AEC8D3" w14:textId="77777777" w:rsidR="009D3A39" w:rsidRPr="00404DA5" w:rsidRDefault="009D3A39" w:rsidP="001C3974">
            <w:pPr>
              <w:jc w:val="left"/>
              <w:rPr>
                <w:rFonts w:cs="Calibri"/>
                <w:sz w:val="18"/>
                <w:szCs w:val="18"/>
              </w:rPr>
            </w:pPr>
            <w:r w:rsidRPr="00404DA5">
              <w:rPr>
                <w:rFonts w:cs="Calibri"/>
                <w:sz w:val="18"/>
                <w:szCs w:val="18"/>
              </w:rPr>
              <w:t>Liczba osób zagrożonych ubóstwem lub wykluczeniem społecznym pracujących po opuszczeniu programu (łącznie</w:t>
            </w:r>
            <w:r w:rsidR="00E66B89">
              <w:rPr>
                <w:rFonts w:cs="Calibri"/>
                <w:sz w:val="18"/>
                <w:szCs w:val="18"/>
              </w:rPr>
              <w:t xml:space="preserve"> z </w:t>
            </w:r>
            <w:r w:rsidRPr="00404DA5">
              <w:rPr>
                <w:rFonts w:cs="Calibri"/>
                <w:sz w:val="18"/>
                <w:szCs w:val="18"/>
              </w:rPr>
              <w:t>pracującymi na własny rachunek)</w:t>
            </w:r>
          </w:p>
        </w:tc>
        <w:tc>
          <w:tcPr>
            <w:tcW w:w="801" w:type="dxa"/>
            <w:shd w:val="clear" w:color="auto" w:fill="auto"/>
            <w:vAlign w:val="center"/>
          </w:tcPr>
          <w:p w14:paraId="7C5B3B03" w14:textId="77777777" w:rsidR="009D3A39" w:rsidRPr="00404DA5" w:rsidRDefault="009D3A39" w:rsidP="001C3974">
            <w:pPr>
              <w:jc w:val="center"/>
              <w:rPr>
                <w:rFonts w:cs="Calibri"/>
                <w:sz w:val="18"/>
                <w:szCs w:val="18"/>
              </w:rPr>
            </w:pPr>
            <w:r>
              <w:rPr>
                <w:rFonts w:cs="Calibri"/>
                <w:sz w:val="18"/>
                <w:szCs w:val="18"/>
              </w:rPr>
              <w:t>%</w:t>
            </w:r>
          </w:p>
        </w:tc>
        <w:tc>
          <w:tcPr>
            <w:tcW w:w="900" w:type="dxa"/>
            <w:shd w:val="clear" w:color="auto" w:fill="auto"/>
            <w:vAlign w:val="center"/>
          </w:tcPr>
          <w:p w14:paraId="52F3E5BD" w14:textId="77777777" w:rsidR="009D3A39" w:rsidRPr="00404DA5" w:rsidRDefault="009D3A39" w:rsidP="001C3974">
            <w:pPr>
              <w:jc w:val="center"/>
              <w:rPr>
                <w:rFonts w:cs="Calibri"/>
                <w:sz w:val="18"/>
                <w:szCs w:val="18"/>
              </w:rPr>
            </w:pPr>
            <w:r w:rsidRPr="00404DA5">
              <w:rPr>
                <w:rFonts w:cs="Calibri"/>
                <w:sz w:val="18"/>
                <w:szCs w:val="18"/>
              </w:rPr>
              <w:t>15%</w:t>
            </w:r>
          </w:p>
        </w:tc>
        <w:tc>
          <w:tcPr>
            <w:tcW w:w="942" w:type="dxa"/>
            <w:shd w:val="clear" w:color="auto" w:fill="auto"/>
            <w:vAlign w:val="center"/>
          </w:tcPr>
          <w:p w14:paraId="71C1630B" w14:textId="77777777" w:rsidR="009D3A39" w:rsidRDefault="009D3A39" w:rsidP="001C3974">
            <w:pPr>
              <w:jc w:val="center"/>
              <w:rPr>
                <w:rFonts w:cs="Calibri"/>
                <w:sz w:val="18"/>
                <w:szCs w:val="18"/>
              </w:rPr>
            </w:pPr>
            <w:r>
              <w:rPr>
                <w:rFonts w:cs="Calibri"/>
                <w:sz w:val="18"/>
                <w:szCs w:val="18"/>
              </w:rPr>
              <w:t>16%</w:t>
            </w:r>
          </w:p>
          <w:p w14:paraId="23017F9B"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1408</w:t>
            </w:r>
            <w:r>
              <w:rPr>
                <w:rFonts w:cs="Calibri"/>
                <w:sz w:val="18"/>
                <w:szCs w:val="18"/>
              </w:rPr>
              <w:t>)</w:t>
            </w:r>
          </w:p>
        </w:tc>
        <w:tc>
          <w:tcPr>
            <w:tcW w:w="943" w:type="dxa"/>
            <w:shd w:val="clear" w:color="auto" w:fill="auto"/>
            <w:vAlign w:val="center"/>
          </w:tcPr>
          <w:p w14:paraId="0B891249" w14:textId="77777777" w:rsidR="009D3A39" w:rsidRPr="00404DA5" w:rsidRDefault="009D3A39" w:rsidP="001C3974">
            <w:pPr>
              <w:jc w:val="center"/>
              <w:rPr>
                <w:rFonts w:cs="Calibri"/>
                <w:sz w:val="18"/>
                <w:szCs w:val="18"/>
              </w:rPr>
            </w:pPr>
            <w:r w:rsidRPr="00404DA5">
              <w:rPr>
                <w:rFonts w:cs="Calibri"/>
                <w:sz w:val="18"/>
                <w:szCs w:val="18"/>
              </w:rPr>
              <w:t>107%</w:t>
            </w:r>
          </w:p>
        </w:tc>
        <w:tc>
          <w:tcPr>
            <w:tcW w:w="942" w:type="dxa"/>
            <w:shd w:val="clear" w:color="auto" w:fill="auto"/>
            <w:vAlign w:val="center"/>
          </w:tcPr>
          <w:p w14:paraId="248F3E1B" w14:textId="77777777" w:rsidR="009D3A39" w:rsidRDefault="009D3A39" w:rsidP="001C3974">
            <w:pPr>
              <w:jc w:val="center"/>
              <w:rPr>
                <w:rFonts w:cs="Calibri"/>
                <w:sz w:val="18"/>
                <w:szCs w:val="18"/>
              </w:rPr>
            </w:pPr>
            <w:r>
              <w:rPr>
                <w:rFonts w:cs="Calibri"/>
                <w:sz w:val="18"/>
                <w:szCs w:val="18"/>
              </w:rPr>
              <w:t>7,6%</w:t>
            </w:r>
          </w:p>
          <w:p w14:paraId="264E6581"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321</w:t>
            </w:r>
            <w:r>
              <w:rPr>
                <w:rFonts w:cs="Calibri"/>
                <w:sz w:val="18"/>
                <w:szCs w:val="18"/>
              </w:rPr>
              <w:t>)</w:t>
            </w:r>
          </w:p>
        </w:tc>
        <w:tc>
          <w:tcPr>
            <w:tcW w:w="943" w:type="dxa"/>
            <w:shd w:val="clear" w:color="auto" w:fill="auto"/>
            <w:vAlign w:val="center"/>
          </w:tcPr>
          <w:p w14:paraId="2898DB95" w14:textId="77777777" w:rsidR="009D3A39" w:rsidRPr="00404DA5" w:rsidRDefault="009D3A39" w:rsidP="001C3974">
            <w:pPr>
              <w:jc w:val="center"/>
              <w:rPr>
                <w:rFonts w:cs="Calibri"/>
                <w:sz w:val="18"/>
                <w:szCs w:val="18"/>
              </w:rPr>
            </w:pPr>
            <w:r w:rsidRPr="00404DA5">
              <w:rPr>
                <w:rFonts w:cs="Calibri"/>
                <w:sz w:val="18"/>
                <w:szCs w:val="18"/>
              </w:rPr>
              <w:t>50%</w:t>
            </w:r>
          </w:p>
        </w:tc>
      </w:tr>
      <w:tr w:rsidR="009D3A39" w:rsidRPr="00E63BAC" w14:paraId="1EDF317A" w14:textId="77777777" w:rsidTr="00C22C26">
        <w:tc>
          <w:tcPr>
            <w:tcW w:w="675" w:type="dxa"/>
            <w:shd w:val="clear" w:color="auto" w:fill="auto"/>
            <w:vAlign w:val="center"/>
          </w:tcPr>
          <w:p w14:paraId="4D2F5537" w14:textId="77777777" w:rsidR="009D3A39" w:rsidRPr="00404DA5" w:rsidRDefault="009D3A39" w:rsidP="001C3974">
            <w:pPr>
              <w:jc w:val="center"/>
              <w:rPr>
                <w:sz w:val="18"/>
                <w:szCs w:val="18"/>
              </w:rPr>
            </w:pPr>
            <w:r w:rsidRPr="00404DA5">
              <w:rPr>
                <w:sz w:val="18"/>
                <w:szCs w:val="18"/>
              </w:rPr>
              <w:t>WR</w:t>
            </w:r>
          </w:p>
        </w:tc>
        <w:tc>
          <w:tcPr>
            <w:tcW w:w="709" w:type="dxa"/>
            <w:shd w:val="clear" w:color="auto" w:fill="auto"/>
            <w:vAlign w:val="center"/>
          </w:tcPr>
          <w:p w14:paraId="2BE4FEF7" w14:textId="77777777" w:rsidR="009D3A39" w:rsidRPr="00404DA5" w:rsidRDefault="009D3A39" w:rsidP="001C3974">
            <w:pPr>
              <w:jc w:val="center"/>
              <w:rPr>
                <w:rFonts w:cs="Calibri"/>
                <w:sz w:val="18"/>
                <w:szCs w:val="18"/>
              </w:rPr>
            </w:pPr>
            <w:r w:rsidRPr="00404DA5">
              <w:rPr>
                <w:rFonts w:cs="Calibri"/>
                <w:sz w:val="18"/>
                <w:szCs w:val="18"/>
              </w:rPr>
              <w:t>7.1, 7.2</w:t>
            </w:r>
          </w:p>
        </w:tc>
        <w:tc>
          <w:tcPr>
            <w:tcW w:w="2433" w:type="dxa"/>
            <w:shd w:val="clear" w:color="auto" w:fill="auto"/>
            <w:vAlign w:val="center"/>
          </w:tcPr>
          <w:p w14:paraId="0B16175C" w14:textId="77777777" w:rsidR="009D3A39" w:rsidRPr="00404DA5" w:rsidRDefault="009D3A39" w:rsidP="001C3974">
            <w:pPr>
              <w:jc w:val="left"/>
              <w:rPr>
                <w:rFonts w:cs="Calibri"/>
                <w:sz w:val="18"/>
                <w:szCs w:val="18"/>
              </w:rPr>
            </w:pPr>
            <w:r w:rsidRPr="00404DA5">
              <w:rPr>
                <w:rFonts w:cs="Calibri"/>
                <w:sz w:val="18"/>
                <w:szCs w:val="18"/>
              </w:rPr>
              <w:t>Liczba osób zagrożonych ubóstwem lub wykluczeniem społecznym, które uzyskały kwalifikacje po opuszczeniu programu</w:t>
            </w:r>
          </w:p>
        </w:tc>
        <w:tc>
          <w:tcPr>
            <w:tcW w:w="801" w:type="dxa"/>
            <w:shd w:val="clear" w:color="auto" w:fill="auto"/>
            <w:vAlign w:val="center"/>
          </w:tcPr>
          <w:p w14:paraId="698ADECA" w14:textId="77777777" w:rsidR="009D3A39" w:rsidRPr="00404DA5" w:rsidRDefault="009D3A39" w:rsidP="001C3974">
            <w:pPr>
              <w:jc w:val="center"/>
              <w:rPr>
                <w:rFonts w:cs="Calibri"/>
                <w:sz w:val="18"/>
                <w:szCs w:val="18"/>
              </w:rPr>
            </w:pPr>
            <w:r>
              <w:rPr>
                <w:rFonts w:cs="Calibri"/>
                <w:sz w:val="18"/>
                <w:szCs w:val="18"/>
              </w:rPr>
              <w:t>%</w:t>
            </w:r>
          </w:p>
        </w:tc>
        <w:tc>
          <w:tcPr>
            <w:tcW w:w="900" w:type="dxa"/>
            <w:shd w:val="clear" w:color="auto" w:fill="auto"/>
            <w:vAlign w:val="center"/>
          </w:tcPr>
          <w:p w14:paraId="0F91D855" w14:textId="77777777" w:rsidR="009D3A39" w:rsidRPr="00404DA5" w:rsidRDefault="009D3A39" w:rsidP="001C3974">
            <w:pPr>
              <w:jc w:val="center"/>
              <w:rPr>
                <w:rFonts w:cs="Calibri"/>
                <w:sz w:val="18"/>
                <w:szCs w:val="18"/>
              </w:rPr>
            </w:pPr>
            <w:r w:rsidRPr="00404DA5">
              <w:rPr>
                <w:rFonts w:cs="Calibri"/>
                <w:sz w:val="18"/>
                <w:szCs w:val="18"/>
              </w:rPr>
              <w:t>31%</w:t>
            </w:r>
          </w:p>
        </w:tc>
        <w:tc>
          <w:tcPr>
            <w:tcW w:w="942" w:type="dxa"/>
            <w:shd w:val="clear" w:color="auto" w:fill="auto"/>
            <w:vAlign w:val="center"/>
          </w:tcPr>
          <w:p w14:paraId="6924EC66" w14:textId="77777777" w:rsidR="009D3A39" w:rsidRDefault="009D3A39" w:rsidP="001C3974">
            <w:pPr>
              <w:jc w:val="center"/>
              <w:rPr>
                <w:rFonts w:cs="Calibri"/>
                <w:sz w:val="18"/>
                <w:szCs w:val="18"/>
              </w:rPr>
            </w:pPr>
            <w:r>
              <w:rPr>
                <w:rFonts w:cs="Calibri"/>
                <w:sz w:val="18"/>
                <w:szCs w:val="18"/>
              </w:rPr>
              <w:t>19,2%</w:t>
            </w:r>
          </w:p>
          <w:p w14:paraId="488DF5BF"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1690</w:t>
            </w:r>
            <w:r>
              <w:rPr>
                <w:rFonts w:cs="Calibri"/>
                <w:sz w:val="18"/>
                <w:szCs w:val="18"/>
              </w:rPr>
              <w:t>)</w:t>
            </w:r>
          </w:p>
        </w:tc>
        <w:tc>
          <w:tcPr>
            <w:tcW w:w="943" w:type="dxa"/>
            <w:shd w:val="clear" w:color="auto" w:fill="auto"/>
            <w:vAlign w:val="center"/>
          </w:tcPr>
          <w:p w14:paraId="0919816C" w14:textId="77777777" w:rsidR="009D3A39" w:rsidRPr="00404DA5" w:rsidRDefault="009D3A39" w:rsidP="001C3974">
            <w:pPr>
              <w:jc w:val="center"/>
              <w:rPr>
                <w:rFonts w:cs="Calibri"/>
                <w:sz w:val="18"/>
                <w:szCs w:val="18"/>
              </w:rPr>
            </w:pPr>
            <w:r w:rsidRPr="00404DA5">
              <w:rPr>
                <w:rFonts w:cs="Calibri"/>
                <w:sz w:val="18"/>
                <w:szCs w:val="18"/>
              </w:rPr>
              <w:t>62%</w:t>
            </w:r>
          </w:p>
        </w:tc>
        <w:tc>
          <w:tcPr>
            <w:tcW w:w="942" w:type="dxa"/>
            <w:shd w:val="clear" w:color="auto" w:fill="auto"/>
            <w:vAlign w:val="center"/>
          </w:tcPr>
          <w:p w14:paraId="3286C854" w14:textId="77777777" w:rsidR="009D3A39" w:rsidRDefault="009D3A39" w:rsidP="001C3974">
            <w:pPr>
              <w:jc w:val="center"/>
              <w:rPr>
                <w:rFonts w:cs="Calibri"/>
                <w:sz w:val="18"/>
                <w:szCs w:val="18"/>
              </w:rPr>
            </w:pPr>
            <w:r>
              <w:rPr>
                <w:rFonts w:cs="Calibri"/>
                <w:sz w:val="18"/>
                <w:szCs w:val="18"/>
              </w:rPr>
              <w:t>8,6%</w:t>
            </w:r>
          </w:p>
          <w:p w14:paraId="77C00BEA"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366</w:t>
            </w:r>
            <w:r>
              <w:rPr>
                <w:rFonts w:cs="Calibri"/>
                <w:sz w:val="18"/>
                <w:szCs w:val="18"/>
              </w:rPr>
              <w:t>)</w:t>
            </w:r>
          </w:p>
        </w:tc>
        <w:tc>
          <w:tcPr>
            <w:tcW w:w="943" w:type="dxa"/>
            <w:shd w:val="clear" w:color="auto" w:fill="auto"/>
            <w:vAlign w:val="center"/>
          </w:tcPr>
          <w:p w14:paraId="1D960233" w14:textId="77777777" w:rsidR="009D3A39" w:rsidRPr="00404DA5" w:rsidRDefault="009D3A39" w:rsidP="001C3974">
            <w:pPr>
              <w:jc w:val="center"/>
              <w:rPr>
                <w:rFonts w:cs="Calibri"/>
                <w:sz w:val="18"/>
                <w:szCs w:val="18"/>
              </w:rPr>
            </w:pPr>
            <w:r w:rsidRPr="00404DA5">
              <w:rPr>
                <w:rFonts w:cs="Calibri"/>
                <w:sz w:val="18"/>
                <w:szCs w:val="18"/>
              </w:rPr>
              <w:t>28%</w:t>
            </w:r>
          </w:p>
        </w:tc>
      </w:tr>
    </w:tbl>
    <w:p w14:paraId="7379CBB7"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228926BD" w14:textId="77777777" w:rsidR="009D3A39" w:rsidRPr="00404DA5" w:rsidRDefault="009D3A39" w:rsidP="009D3A39">
      <w:pPr>
        <w:rPr>
          <w:rFonts w:cs="Calibri"/>
          <w:szCs w:val="20"/>
        </w:rPr>
      </w:pPr>
      <w:r w:rsidRPr="00404DA5">
        <w:rPr>
          <w:rFonts w:cs="Calibri"/>
          <w:szCs w:val="20"/>
        </w:rPr>
        <w:t>W ramach PI</w:t>
      </w:r>
      <w:r>
        <w:rPr>
          <w:rFonts w:cs="Calibri"/>
          <w:szCs w:val="20"/>
        </w:rPr>
        <w:t xml:space="preserve"> </w:t>
      </w:r>
      <w:r w:rsidRPr="00404DA5">
        <w:rPr>
          <w:rFonts w:cs="Calibri"/>
          <w:szCs w:val="20"/>
        </w:rPr>
        <w:t>9i postęp rzeczowy przebiega nieco szybciej, niż postęp finansowy. Poziom kontraktacji do dnia 7.01.2019 wyniósł 55,9% dla Działania 7.1 (uwzględniając rezerwę wykonania) oraz 50.9% dla Działania 7.2. Poziom osiągnięcia wskaźników zarówno</w:t>
      </w:r>
      <w:r w:rsidR="00E66B89">
        <w:rPr>
          <w:rFonts w:cs="Calibri"/>
          <w:szCs w:val="20"/>
        </w:rPr>
        <w:t xml:space="preserve"> w </w:t>
      </w:r>
      <w:r w:rsidRPr="00404DA5">
        <w:rPr>
          <w:rFonts w:cs="Calibri"/>
          <w:szCs w:val="20"/>
        </w:rPr>
        <w:t>stosunku do zakontraktowanych, jak</w:t>
      </w:r>
      <w:r w:rsidR="00E66B89">
        <w:rPr>
          <w:rFonts w:cs="Calibri"/>
          <w:szCs w:val="20"/>
        </w:rPr>
        <w:t xml:space="preserve"> i </w:t>
      </w:r>
      <w:r w:rsidRPr="00404DA5">
        <w:rPr>
          <w:rFonts w:cs="Calibri"/>
          <w:szCs w:val="20"/>
        </w:rPr>
        <w:t xml:space="preserve">rozliczonych środków najwyższy jest dla wskaźnika produktu </w:t>
      </w:r>
      <w:r w:rsidRPr="00404DA5">
        <w:rPr>
          <w:rFonts w:cs="Calibri"/>
          <w:i/>
          <w:szCs w:val="20"/>
        </w:rPr>
        <w:t>Liczba osób</w:t>
      </w:r>
      <w:r w:rsidR="00E66B89">
        <w:rPr>
          <w:rFonts w:cs="Calibri"/>
          <w:i/>
          <w:szCs w:val="20"/>
        </w:rPr>
        <w:t xml:space="preserve"> z </w:t>
      </w:r>
      <w:r w:rsidRPr="00404DA5">
        <w:rPr>
          <w:rFonts w:cs="Calibri"/>
          <w:i/>
          <w:szCs w:val="20"/>
        </w:rPr>
        <w:t xml:space="preserve">niepełnosprawnościami </w:t>
      </w:r>
      <w:r w:rsidRPr="00404DA5">
        <w:rPr>
          <w:rFonts w:cs="Calibri"/>
          <w:i/>
          <w:szCs w:val="20"/>
        </w:rPr>
        <w:lastRenderedPageBreak/>
        <w:t>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 xml:space="preserve">oraz wskaźnika rezultatu </w:t>
      </w:r>
      <w:r w:rsidRPr="00404DA5">
        <w:rPr>
          <w:rFonts w:cs="Calibri"/>
          <w:i/>
          <w:szCs w:val="20"/>
        </w:rPr>
        <w:t>Liczba osób zagrożonych ubóstwem lub wykluczeniem społecznym pracujących po opuszczeniu programu (łącznie</w:t>
      </w:r>
      <w:r w:rsidR="00E66B89">
        <w:rPr>
          <w:rFonts w:cs="Calibri"/>
          <w:i/>
          <w:szCs w:val="20"/>
        </w:rPr>
        <w:t xml:space="preserve"> z </w:t>
      </w:r>
      <w:r w:rsidRPr="00404DA5">
        <w:rPr>
          <w:rFonts w:cs="Calibri"/>
          <w:i/>
          <w:szCs w:val="20"/>
        </w:rPr>
        <w:t>pracującymi na własny rachunek).</w:t>
      </w:r>
      <w:r>
        <w:rPr>
          <w:rFonts w:cs="Calibri"/>
          <w:szCs w:val="20"/>
        </w:rPr>
        <w:t xml:space="preserve"> Drugi wymieniony wskaźnik jest jedynym wskaźnikiem rezultatu</w:t>
      </w:r>
      <w:r w:rsidR="00E66B89">
        <w:rPr>
          <w:rFonts w:cs="Calibri"/>
          <w:szCs w:val="20"/>
        </w:rPr>
        <w:t xml:space="preserve"> w </w:t>
      </w:r>
      <w:r>
        <w:rPr>
          <w:rFonts w:cs="Calibri"/>
          <w:szCs w:val="20"/>
        </w:rPr>
        <w:t xml:space="preserve">ramach PI 9i, który według UoD osiągnął swoją zakładaną wartość. </w:t>
      </w:r>
      <w:r w:rsidRPr="00404DA5">
        <w:rPr>
          <w:rFonts w:cs="Calibri"/>
          <w:szCs w:val="20"/>
        </w:rPr>
        <w:t>Do realizacji pierwszego</w:t>
      </w:r>
      <w:r w:rsidR="00E66B89">
        <w:rPr>
          <w:rFonts w:cs="Calibri"/>
          <w:szCs w:val="20"/>
        </w:rPr>
        <w:t xml:space="preserve"> z </w:t>
      </w:r>
      <w:r w:rsidRPr="00404DA5">
        <w:rPr>
          <w:rFonts w:cs="Calibri"/>
          <w:szCs w:val="20"/>
        </w:rPr>
        <w:t>wyżej wymienionych wskaźników przyczynia się</w:t>
      </w:r>
      <w:r w:rsidR="00E66B89">
        <w:rPr>
          <w:rFonts w:cs="Calibri"/>
          <w:szCs w:val="20"/>
        </w:rPr>
        <w:t xml:space="preserve"> w </w:t>
      </w:r>
      <w:r w:rsidRPr="00404DA5">
        <w:rPr>
          <w:rFonts w:cs="Calibri"/>
          <w:szCs w:val="20"/>
        </w:rPr>
        <w:t>największym stopniu Działanie 7.1. Wartość docelowa zakładana</w:t>
      </w:r>
      <w:r w:rsidR="00E66B89">
        <w:rPr>
          <w:rFonts w:cs="Calibri"/>
          <w:szCs w:val="20"/>
        </w:rPr>
        <w:t xml:space="preserve"> w </w:t>
      </w:r>
      <w:r w:rsidRPr="00404DA5">
        <w:rPr>
          <w:rFonts w:cs="Calibri"/>
          <w:szCs w:val="20"/>
        </w:rPr>
        <w:t>projektach mających podpisaną UoD dla tego wskaźnika stanowi 56% wartości docelowej na rok 2023. Jeśli chodzi</w:t>
      </w:r>
      <w:r w:rsidR="00E66B89">
        <w:rPr>
          <w:rFonts w:cs="Calibri"/>
          <w:szCs w:val="20"/>
        </w:rPr>
        <w:t xml:space="preserve"> o </w:t>
      </w:r>
      <w:r w:rsidRPr="00404DA5">
        <w:rPr>
          <w:rFonts w:cs="Calibri"/>
          <w:szCs w:val="20"/>
        </w:rPr>
        <w:t>poziom osiągnięcia wskaźnika</w:t>
      </w:r>
      <w:r w:rsidR="00E66B89">
        <w:rPr>
          <w:rFonts w:cs="Calibri"/>
          <w:szCs w:val="20"/>
        </w:rPr>
        <w:t xml:space="preserve"> w </w:t>
      </w:r>
      <w:r w:rsidRPr="00404DA5">
        <w:rPr>
          <w:rFonts w:cs="Calibri"/>
          <w:szCs w:val="20"/>
        </w:rPr>
        <w:t>stosunku do środków rozliczonych</w:t>
      </w:r>
      <w:r>
        <w:rPr>
          <w:rFonts w:cs="Calibri"/>
          <w:szCs w:val="20"/>
        </w:rPr>
        <w:t>,</w:t>
      </w:r>
      <w:r w:rsidRPr="00404DA5">
        <w:rPr>
          <w:rFonts w:cs="Calibri"/>
          <w:szCs w:val="20"/>
        </w:rPr>
        <w:t xml:space="preserve"> to jest on wyższy</w:t>
      </w:r>
      <w:r w:rsidR="00E66B89">
        <w:rPr>
          <w:rFonts w:cs="Calibri"/>
          <w:szCs w:val="20"/>
        </w:rPr>
        <w:t xml:space="preserve"> o </w:t>
      </w:r>
      <w:r w:rsidRPr="00404DA5">
        <w:rPr>
          <w:rFonts w:cs="Calibri"/>
          <w:szCs w:val="20"/>
        </w:rPr>
        <w:t>15 p</w:t>
      </w:r>
      <w:r>
        <w:rPr>
          <w:rFonts w:cs="Calibri"/>
          <w:szCs w:val="20"/>
        </w:rPr>
        <w:t>.</w:t>
      </w:r>
      <w:r w:rsidRPr="00404DA5">
        <w:rPr>
          <w:rFonts w:cs="Calibri"/>
          <w:szCs w:val="20"/>
        </w:rPr>
        <w:t>p. dla Działania 7.2</w:t>
      </w:r>
      <w:r w:rsidR="00E66B89">
        <w:rPr>
          <w:rFonts w:cs="Calibri"/>
          <w:szCs w:val="20"/>
        </w:rPr>
        <w:t xml:space="preserve"> i </w:t>
      </w:r>
      <w:r w:rsidRPr="00404DA5">
        <w:rPr>
          <w:rFonts w:cs="Calibri"/>
          <w:szCs w:val="20"/>
        </w:rPr>
        <w:t>wynosi 76% ( WoP/UoD). Podobnie wygląda sytuacja</w:t>
      </w:r>
      <w:r w:rsidR="00E66B89">
        <w:rPr>
          <w:rFonts w:cs="Calibri"/>
          <w:szCs w:val="20"/>
        </w:rPr>
        <w:t xml:space="preserve"> w </w:t>
      </w:r>
      <w:r w:rsidRPr="00404DA5">
        <w:rPr>
          <w:rFonts w:cs="Calibri"/>
          <w:szCs w:val="20"/>
        </w:rPr>
        <w:t xml:space="preserve">realizacji wskaźnika, który osiągnął najniższe wartości - </w:t>
      </w:r>
      <w:r w:rsidRPr="00404DA5">
        <w:rPr>
          <w:rFonts w:cs="Calibri"/>
          <w:i/>
          <w:szCs w:val="20"/>
        </w:rPr>
        <w:t>Liczba osób zagrożonych ubóstwem lub wykluczeniem społecznym 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Wartość docelowa zakładana</w:t>
      </w:r>
      <w:r w:rsidR="00E66B89">
        <w:rPr>
          <w:rFonts w:cs="Calibri"/>
          <w:szCs w:val="20"/>
        </w:rPr>
        <w:t xml:space="preserve"> w </w:t>
      </w:r>
      <w:r w:rsidRPr="00404DA5">
        <w:rPr>
          <w:rFonts w:cs="Calibri"/>
          <w:szCs w:val="20"/>
        </w:rPr>
        <w:t>projektach mających podpisaną UoD dla tego wskaźnika stanowi 51% wartości docelowej na rok 2023.</w:t>
      </w:r>
      <w:r w:rsidR="00E66B89">
        <w:rPr>
          <w:rFonts w:cs="Calibri"/>
          <w:szCs w:val="20"/>
        </w:rPr>
        <w:t xml:space="preserve"> Z </w:t>
      </w:r>
      <w:r w:rsidRPr="00404DA5">
        <w:rPr>
          <w:rFonts w:cs="Calibri"/>
          <w:szCs w:val="20"/>
        </w:rPr>
        <w:t>kolei procent osiągnięcia wskaźnika</w:t>
      </w:r>
      <w:r w:rsidR="00E66B89">
        <w:rPr>
          <w:rFonts w:cs="Calibri"/>
          <w:szCs w:val="20"/>
        </w:rPr>
        <w:t xml:space="preserve"> w </w:t>
      </w:r>
      <w:r w:rsidRPr="00404DA5">
        <w:rPr>
          <w:rFonts w:cs="Calibri"/>
          <w:szCs w:val="20"/>
        </w:rPr>
        <w:t>stosunku do środków rozliczonych jest niższy</w:t>
      </w:r>
      <w:r w:rsidR="00E66B89">
        <w:rPr>
          <w:rFonts w:cs="Calibri"/>
          <w:szCs w:val="20"/>
        </w:rPr>
        <w:t xml:space="preserve"> o </w:t>
      </w:r>
      <w:r w:rsidRPr="00404DA5">
        <w:rPr>
          <w:rFonts w:cs="Calibri"/>
          <w:szCs w:val="20"/>
        </w:rPr>
        <w:t>3 p</w:t>
      </w:r>
      <w:r>
        <w:rPr>
          <w:rFonts w:cs="Calibri"/>
          <w:szCs w:val="20"/>
        </w:rPr>
        <w:t>.</w:t>
      </w:r>
      <w:r w:rsidRPr="00404DA5">
        <w:rPr>
          <w:rFonts w:cs="Calibri"/>
          <w:szCs w:val="20"/>
        </w:rPr>
        <w:t>p</w:t>
      </w:r>
      <w:r>
        <w:rPr>
          <w:rFonts w:cs="Calibri"/>
          <w:szCs w:val="20"/>
        </w:rPr>
        <w:t>.</w:t>
      </w:r>
      <w:r w:rsidRPr="00404DA5">
        <w:rPr>
          <w:rFonts w:cs="Calibri"/>
          <w:szCs w:val="20"/>
        </w:rPr>
        <w:t>, niż</w:t>
      </w:r>
      <w:r w:rsidR="00E66B89">
        <w:rPr>
          <w:rFonts w:cs="Calibri"/>
          <w:szCs w:val="20"/>
        </w:rPr>
        <w:t xml:space="preserve"> w </w:t>
      </w:r>
      <w:r w:rsidRPr="00404DA5">
        <w:rPr>
          <w:rFonts w:cs="Calibri"/>
          <w:szCs w:val="20"/>
        </w:rPr>
        <w:t>Działaniu 7.2.</w:t>
      </w:r>
    </w:p>
    <w:p w14:paraId="029FF2DC" w14:textId="77777777" w:rsidR="009D3A39" w:rsidRPr="00404DA5" w:rsidRDefault="009D3A39" w:rsidP="009D3A39">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diagnozy sytuacji społeczno-gospodarczej</w:t>
      </w:r>
      <w:r>
        <w:rPr>
          <w:rFonts w:cs="Calibri"/>
          <w:szCs w:val="20"/>
        </w:rPr>
        <w:t>,</w:t>
      </w:r>
      <w:r w:rsidRPr="00404DA5">
        <w:rPr>
          <w:rFonts w:cs="Calibri"/>
          <w:szCs w:val="20"/>
        </w:rPr>
        <w:t xml:space="preserve"> wzrasta odsetek osób</w:t>
      </w:r>
      <w:r w:rsidR="00E66B89">
        <w:rPr>
          <w:rFonts w:cs="Calibri"/>
          <w:szCs w:val="20"/>
        </w:rPr>
        <w:t xml:space="preserve"> z </w:t>
      </w:r>
      <w:r w:rsidRPr="00404DA5">
        <w:rPr>
          <w:rFonts w:cs="Calibri"/>
          <w:szCs w:val="20"/>
        </w:rPr>
        <w:t>niepełnosprawnościami, które pozostają na rynku pracy. Jeśli główną przesłanką zakwalifikowania danej osoby do projektu jest jej trudna sytuacja ze względu na niepełnosprawność, to można uznać, że jest to grupa, którą łatwiej zaktywizować niż inne grupy docelowe</w:t>
      </w:r>
      <w:r w:rsidR="00E66B89">
        <w:rPr>
          <w:rFonts w:cs="Calibri"/>
          <w:szCs w:val="20"/>
        </w:rPr>
        <w:t xml:space="preserve"> w </w:t>
      </w:r>
      <w:r w:rsidRPr="00404DA5">
        <w:rPr>
          <w:rFonts w:cs="Calibri"/>
          <w:szCs w:val="20"/>
        </w:rPr>
        <w:t>ramach PI</w:t>
      </w:r>
      <w:r>
        <w:rPr>
          <w:rFonts w:cs="Calibri"/>
          <w:szCs w:val="20"/>
        </w:rPr>
        <w:t xml:space="preserve"> </w:t>
      </w:r>
      <w:r w:rsidRPr="00404DA5">
        <w:rPr>
          <w:rFonts w:cs="Calibri"/>
          <w:szCs w:val="20"/>
        </w:rPr>
        <w:t>9i. Na wysoką realizację tego wskaźnika może wpływać również skuteczne zastosowanie preferencji do objęcia wsparciem osób</w:t>
      </w:r>
      <w:r w:rsidR="00E66B89">
        <w:rPr>
          <w:rFonts w:cs="Calibri"/>
          <w:szCs w:val="20"/>
        </w:rPr>
        <w:t xml:space="preserve"> o </w:t>
      </w:r>
      <w:r w:rsidRPr="00404DA5">
        <w:rPr>
          <w:rFonts w:cs="Calibri"/>
          <w:szCs w:val="20"/>
        </w:rPr>
        <w:t>znacznym lub umiarkowanym stopniu niepełnosprawności oraz osób</w:t>
      </w:r>
      <w:r w:rsidR="00E66B89">
        <w:rPr>
          <w:rFonts w:cs="Calibri"/>
          <w:szCs w:val="20"/>
        </w:rPr>
        <w:t xml:space="preserve"> z </w:t>
      </w:r>
      <w:r w:rsidRPr="00404DA5">
        <w:rPr>
          <w:rFonts w:cs="Calibri"/>
          <w:szCs w:val="20"/>
        </w:rPr>
        <w:t>niepełnosprawnością sprzężoną oraz osób</w:t>
      </w:r>
      <w:r w:rsidR="00E66B89">
        <w:rPr>
          <w:rFonts w:cs="Calibri"/>
          <w:szCs w:val="20"/>
        </w:rPr>
        <w:t xml:space="preserve"> z </w:t>
      </w:r>
      <w:r w:rsidRPr="00404DA5">
        <w:rPr>
          <w:rFonts w:cs="Calibri"/>
          <w:szCs w:val="20"/>
        </w:rPr>
        <w:t>zaburzeniami psychicznymi,</w:t>
      </w:r>
      <w:r w:rsidR="00E66B89">
        <w:rPr>
          <w:rFonts w:cs="Calibri"/>
          <w:szCs w:val="20"/>
        </w:rPr>
        <w:t xml:space="preserve"> w </w:t>
      </w:r>
      <w:r w:rsidRPr="00404DA5">
        <w:rPr>
          <w:rFonts w:cs="Calibri"/>
          <w:szCs w:val="20"/>
        </w:rPr>
        <w:t>tym osób</w:t>
      </w:r>
      <w:r w:rsidR="00E66B89">
        <w:rPr>
          <w:rFonts w:cs="Calibri"/>
          <w:szCs w:val="20"/>
        </w:rPr>
        <w:t xml:space="preserve"> z </w:t>
      </w:r>
      <w:r w:rsidRPr="00404DA5">
        <w:rPr>
          <w:rFonts w:cs="Calibri"/>
          <w:szCs w:val="20"/>
        </w:rPr>
        <w:t>niepełnosprawnością intelektualną</w:t>
      </w:r>
      <w:r w:rsidR="00E66B89">
        <w:rPr>
          <w:rFonts w:cs="Calibri"/>
          <w:szCs w:val="20"/>
        </w:rPr>
        <w:t xml:space="preserve"> i </w:t>
      </w:r>
      <w:r w:rsidRPr="00404DA5">
        <w:rPr>
          <w:rFonts w:cs="Calibri"/>
          <w:szCs w:val="20"/>
        </w:rPr>
        <w:t>osób</w:t>
      </w:r>
      <w:r w:rsidR="00E66B89">
        <w:rPr>
          <w:rFonts w:cs="Calibri"/>
          <w:szCs w:val="20"/>
        </w:rPr>
        <w:t xml:space="preserve"> z </w:t>
      </w:r>
      <w:r w:rsidRPr="00404DA5">
        <w:rPr>
          <w:rFonts w:cs="Calibri"/>
          <w:szCs w:val="20"/>
        </w:rPr>
        <w:t>całościowymi zaburzeniami rozwojowymi. Druga preferencja dotycząca</w:t>
      </w:r>
      <w:r w:rsidRPr="00404DA5">
        <w:rPr>
          <w:rFonts w:cs="Calibri"/>
          <w:color w:val="0070C0"/>
          <w:szCs w:val="20"/>
        </w:rPr>
        <w:t xml:space="preserve"> </w:t>
      </w:r>
      <w:r w:rsidRPr="00404DA5">
        <w:rPr>
          <w:rFonts w:cs="Calibri"/>
          <w:szCs w:val="20"/>
        </w:rPr>
        <w:t>wsparcia osób lub rodzin zagrożonych ubóstwem lub wykluczeniem społecznym doświadczających wielokrotnego wykluczenia społecznego rozumianego jako wykluczenie</w:t>
      </w:r>
      <w:r w:rsidR="00E66B89">
        <w:rPr>
          <w:rFonts w:cs="Calibri"/>
          <w:szCs w:val="20"/>
        </w:rPr>
        <w:t xml:space="preserve"> z </w:t>
      </w:r>
      <w:r w:rsidRPr="00404DA5">
        <w:rPr>
          <w:rFonts w:cs="Calibri"/>
          <w:szCs w:val="20"/>
        </w:rPr>
        <w:t>powodu więcej niż jednej</w:t>
      </w:r>
      <w:r w:rsidR="00E66B89">
        <w:rPr>
          <w:rFonts w:cs="Calibri"/>
          <w:szCs w:val="20"/>
        </w:rPr>
        <w:t xml:space="preserve"> z </w:t>
      </w:r>
      <w:r w:rsidRPr="00404DA5">
        <w:rPr>
          <w:rFonts w:cs="Calibri"/>
          <w:szCs w:val="20"/>
        </w:rPr>
        <w:t>przesłanek jest trudniejsza do spełnienia.</w:t>
      </w:r>
      <w:r w:rsidR="00E66B89">
        <w:rPr>
          <w:rFonts w:cs="Calibri"/>
          <w:szCs w:val="20"/>
        </w:rPr>
        <w:t xml:space="preserve"> Z </w:t>
      </w:r>
      <w:r w:rsidRPr="00404DA5">
        <w:rPr>
          <w:rFonts w:cs="Calibri"/>
          <w:szCs w:val="20"/>
        </w:rPr>
        <w:t>jednej strony</w:t>
      </w:r>
      <w:r w:rsidR="00E66B89">
        <w:rPr>
          <w:rFonts w:cs="Calibri"/>
          <w:szCs w:val="20"/>
        </w:rPr>
        <w:t xml:space="preserve"> z </w:t>
      </w:r>
      <w:r w:rsidRPr="00404DA5">
        <w:rPr>
          <w:rFonts w:cs="Calibri"/>
          <w:szCs w:val="20"/>
        </w:rPr>
        <w:t>uwagi na zmniejszającą się grupę osób, które kwalifikowałyby się do wsparcia,</w:t>
      </w:r>
      <w:r w:rsidR="00E66B89">
        <w:rPr>
          <w:rFonts w:cs="Calibri"/>
          <w:szCs w:val="20"/>
        </w:rPr>
        <w:t xml:space="preserve"> z </w:t>
      </w:r>
      <w:r w:rsidRPr="00404DA5">
        <w:rPr>
          <w:rFonts w:cs="Calibri"/>
          <w:szCs w:val="20"/>
        </w:rPr>
        <w:t>drugiej na wymagane wysokie kompetencje</w:t>
      </w:r>
      <w:r w:rsidR="00E66B89">
        <w:rPr>
          <w:rFonts w:cs="Calibri"/>
          <w:szCs w:val="20"/>
        </w:rPr>
        <w:t xml:space="preserve"> i </w:t>
      </w:r>
      <w:r w:rsidRPr="00404DA5">
        <w:rPr>
          <w:rFonts w:cs="Calibri"/>
          <w:szCs w:val="20"/>
        </w:rPr>
        <w:t>doświadczenie, aby skutecznie zaktywizować tę grupę. Jak wynika</w:t>
      </w:r>
      <w:r w:rsidR="00E66B89">
        <w:rPr>
          <w:rFonts w:cs="Calibri"/>
          <w:szCs w:val="20"/>
        </w:rPr>
        <w:t xml:space="preserve"> z </w:t>
      </w:r>
      <w:r w:rsidRPr="00404DA5">
        <w:rPr>
          <w:rFonts w:cs="Calibri"/>
          <w:szCs w:val="20"/>
        </w:rPr>
        <w:t>wywiadów IDI oraz treści zawartych</w:t>
      </w:r>
      <w:r w:rsidR="00E66B89">
        <w:rPr>
          <w:rFonts w:cs="Calibri"/>
          <w:szCs w:val="20"/>
        </w:rPr>
        <w:t xml:space="preserve"> w </w:t>
      </w:r>
      <w:r w:rsidRPr="00404DA5">
        <w:rPr>
          <w:rFonts w:cs="Calibri"/>
          <w:szCs w:val="20"/>
        </w:rPr>
        <w:t>informacji kwartalnej</w:t>
      </w:r>
      <w:r>
        <w:rPr>
          <w:rFonts w:cs="Calibri"/>
          <w:szCs w:val="20"/>
        </w:rPr>
        <w:t>,</w:t>
      </w:r>
      <w:r w:rsidRPr="00404DA5">
        <w:rPr>
          <w:rFonts w:cs="Calibri"/>
          <w:szCs w:val="20"/>
        </w:rPr>
        <w:t xml:space="preserve"> beneficjenci</w:t>
      </w:r>
      <w:r>
        <w:rPr>
          <w:rFonts w:cs="Calibri"/>
          <w:szCs w:val="20"/>
        </w:rPr>
        <w:t xml:space="preserve"> -</w:t>
      </w:r>
      <w:r w:rsidR="00E66B89">
        <w:rPr>
          <w:rFonts w:cs="Calibri"/>
          <w:szCs w:val="20"/>
        </w:rPr>
        <w:t xml:space="preserve"> w </w:t>
      </w:r>
      <w:r w:rsidRPr="00404DA5">
        <w:rPr>
          <w:rFonts w:cs="Calibri"/>
          <w:szCs w:val="20"/>
        </w:rPr>
        <w:t>szczególności OPS</w:t>
      </w:r>
      <w:r w:rsidR="00E66B89">
        <w:rPr>
          <w:rFonts w:cs="Calibri"/>
          <w:szCs w:val="20"/>
        </w:rPr>
        <w:t xml:space="preserve"> i </w:t>
      </w:r>
      <w:r w:rsidRPr="00404DA5">
        <w:rPr>
          <w:rFonts w:cs="Calibri"/>
          <w:szCs w:val="20"/>
        </w:rPr>
        <w:t xml:space="preserve">PCPR </w:t>
      </w:r>
      <w:r>
        <w:rPr>
          <w:rFonts w:cs="Calibri"/>
          <w:szCs w:val="20"/>
        </w:rPr>
        <w:t xml:space="preserve">- </w:t>
      </w:r>
      <w:r w:rsidRPr="00404DA5">
        <w:rPr>
          <w:rFonts w:cs="Calibri"/>
          <w:szCs w:val="20"/>
        </w:rPr>
        <w:t>zgłaszali problem</w:t>
      </w:r>
      <w:r w:rsidR="00E66B89">
        <w:rPr>
          <w:rFonts w:cs="Calibri"/>
          <w:szCs w:val="20"/>
        </w:rPr>
        <w:t xml:space="preserve"> z </w:t>
      </w:r>
      <w:r w:rsidRPr="00404DA5">
        <w:rPr>
          <w:rFonts w:cs="Calibri"/>
          <w:szCs w:val="20"/>
        </w:rPr>
        <w:t>rekrutacją uczestników</w:t>
      </w:r>
      <w:r w:rsidR="00E66B89">
        <w:rPr>
          <w:rFonts w:cs="Calibri"/>
          <w:szCs w:val="20"/>
        </w:rPr>
        <w:t xml:space="preserve"> z </w:t>
      </w:r>
      <w:r w:rsidRPr="00404DA5">
        <w:rPr>
          <w:rFonts w:cs="Calibri"/>
          <w:szCs w:val="20"/>
        </w:rPr>
        <w:t xml:space="preserve">tej grupy. Dodatkowo na rekrutację uczestników wpływa także </w:t>
      </w:r>
      <w:r w:rsidR="00472EC3">
        <w:rPr>
          <w:rFonts w:cs="Calibri"/>
          <w:szCs w:val="20"/>
        </w:rPr>
        <w:t>p</w:t>
      </w:r>
      <w:r w:rsidRPr="00404DA5">
        <w:rPr>
          <w:rFonts w:cs="Calibri"/>
          <w:szCs w:val="20"/>
        </w:rPr>
        <w:t xml:space="preserve">rogram </w:t>
      </w:r>
      <w:r w:rsidR="00472EC3">
        <w:rPr>
          <w:rFonts w:cs="Calibri"/>
          <w:szCs w:val="20"/>
        </w:rPr>
        <w:t xml:space="preserve">Rodzina </w:t>
      </w:r>
      <w:r w:rsidRPr="00404DA5">
        <w:rPr>
          <w:rFonts w:cs="Calibri"/>
          <w:szCs w:val="20"/>
        </w:rPr>
        <w:t>500+, ponieważ osoby, które wcześniej były pod opieką OPS</w:t>
      </w:r>
      <w:r w:rsidR="00E66B89">
        <w:rPr>
          <w:rFonts w:cs="Calibri"/>
          <w:szCs w:val="20"/>
        </w:rPr>
        <w:t xml:space="preserve"> i </w:t>
      </w:r>
      <w:r w:rsidRPr="00404DA5">
        <w:rPr>
          <w:rFonts w:cs="Calibri"/>
          <w:szCs w:val="20"/>
        </w:rPr>
        <w:t>PCPR</w:t>
      </w:r>
      <w:r>
        <w:rPr>
          <w:rFonts w:cs="Calibri"/>
          <w:szCs w:val="20"/>
        </w:rPr>
        <w:t>,</w:t>
      </w:r>
      <w:r w:rsidRPr="00404DA5">
        <w:rPr>
          <w:rFonts w:cs="Calibri"/>
          <w:szCs w:val="20"/>
        </w:rPr>
        <w:t xml:space="preserve"> przestają korzystać</w:t>
      </w:r>
      <w:r w:rsidR="00E66B89">
        <w:rPr>
          <w:rFonts w:cs="Calibri"/>
          <w:szCs w:val="20"/>
        </w:rPr>
        <w:t xml:space="preserve"> z </w:t>
      </w:r>
      <w:r w:rsidRPr="00404DA5">
        <w:rPr>
          <w:rFonts w:cs="Calibri"/>
          <w:szCs w:val="20"/>
        </w:rPr>
        <w:t xml:space="preserve">ich usług. </w:t>
      </w:r>
      <w:r>
        <w:rPr>
          <w:rFonts w:cs="Calibri"/>
          <w:szCs w:val="20"/>
        </w:rPr>
        <w:t xml:space="preserve">Potwierdzili to uczestnicy panelu eksperckiego, wskazując na </w:t>
      </w:r>
      <w:r w:rsidR="00472EC3">
        <w:rPr>
          <w:rFonts w:cs="Calibri"/>
          <w:szCs w:val="20"/>
        </w:rPr>
        <w:t>p</w:t>
      </w:r>
      <w:r>
        <w:rPr>
          <w:rFonts w:cs="Calibri"/>
          <w:szCs w:val="20"/>
        </w:rPr>
        <w:t xml:space="preserve">rogram </w:t>
      </w:r>
      <w:r w:rsidR="00472EC3">
        <w:rPr>
          <w:rFonts w:cs="Calibri"/>
          <w:szCs w:val="20"/>
        </w:rPr>
        <w:t xml:space="preserve">Rodzina </w:t>
      </w:r>
      <w:r>
        <w:rPr>
          <w:rFonts w:cs="Calibri"/>
          <w:szCs w:val="20"/>
        </w:rPr>
        <w:t>500+ oraz inne świadczenia socjalne, jako czynnik, który zmniejsza motywację potencjalnych uczestników projektów do skorzystania ze wsparcia. Wynagrodzenia za potencjalną, dostępną dla tych osób pracę są często niższe lub nieznacznie wyższe od świadczeń, które otrzymują. Dodatkowo część osób</w:t>
      </w:r>
      <w:r w:rsidR="00E66B89">
        <w:rPr>
          <w:rFonts w:cs="Calibri"/>
          <w:szCs w:val="20"/>
        </w:rPr>
        <w:t xml:space="preserve"> z </w:t>
      </w:r>
      <w:r>
        <w:rPr>
          <w:rFonts w:cs="Calibri"/>
          <w:szCs w:val="20"/>
        </w:rPr>
        <w:t>uwagi na miejsce zamieszkania np. wieś, małe miasto – musiałaby pokryć koszty dojazdu do pracy.</w:t>
      </w:r>
      <w:r w:rsidR="00E66B89">
        <w:rPr>
          <w:rFonts w:cs="Calibri"/>
          <w:szCs w:val="20"/>
        </w:rPr>
        <w:t xml:space="preserve"> W </w:t>
      </w:r>
      <w:r>
        <w:rPr>
          <w:rFonts w:cs="Calibri"/>
          <w:szCs w:val="20"/>
        </w:rPr>
        <w:t>efekcie, część osób, która jest zagrożona wykluczeniem społecznym</w:t>
      </w:r>
      <w:r w:rsidR="00E66B89">
        <w:rPr>
          <w:rFonts w:cs="Calibri"/>
          <w:szCs w:val="20"/>
        </w:rPr>
        <w:t xml:space="preserve"> i </w:t>
      </w:r>
      <w:r>
        <w:rPr>
          <w:rFonts w:cs="Calibri"/>
          <w:szCs w:val="20"/>
        </w:rPr>
        <w:t>mogłaby wziąć udział</w:t>
      </w:r>
      <w:r w:rsidR="00E66B89">
        <w:rPr>
          <w:rFonts w:cs="Calibri"/>
          <w:szCs w:val="20"/>
        </w:rPr>
        <w:t xml:space="preserve"> w </w:t>
      </w:r>
      <w:r>
        <w:rPr>
          <w:rFonts w:cs="Calibri"/>
          <w:szCs w:val="20"/>
        </w:rPr>
        <w:t>projektach, nie robi tego</w:t>
      </w:r>
      <w:r w:rsidR="00E66B89">
        <w:rPr>
          <w:rFonts w:cs="Calibri"/>
          <w:szCs w:val="20"/>
        </w:rPr>
        <w:t xml:space="preserve"> z </w:t>
      </w:r>
      <w:r>
        <w:rPr>
          <w:rFonts w:cs="Calibri"/>
          <w:szCs w:val="20"/>
        </w:rPr>
        <w:t>uwagi na brak gotowości do podjęcia zatrudnienia.</w:t>
      </w:r>
    </w:p>
    <w:p w14:paraId="4D349F5D" w14:textId="77777777" w:rsidR="009D3A39" w:rsidRPr="00404DA5" w:rsidRDefault="009D3A39" w:rsidP="009D3A39">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analizy metodologii wyliczania kosztów jednostkowych, założono</w:t>
      </w:r>
      <w:r>
        <w:rPr>
          <w:rFonts w:cs="Calibri"/>
          <w:szCs w:val="20"/>
        </w:rPr>
        <w:t xml:space="preserve"> koszt</w:t>
      </w:r>
      <w:r w:rsidR="00E66B89">
        <w:rPr>
          <w:rFonts w:cs="Calibri"/>
          <w:szCs w:val="20"/>
        </w:rPr>
        <w:t xml:space="preserve"> w </w:t>
      </w:r>
      <w:r>
        <w:rPr>
          <w:rFonts w:cs="Calibri"/>
          <w:szCs w:val="20"/>
        </w:rPr>
        <w:t>wysokości</w:t>
      </w:r>
      <w:r w:rsidRPr="00404DA5">
        <w:rPr>
          <w:rFonts w:cs="Calibri"/>
          <w:szCs w:val="20"/>
        </w:rPr>
        <w:t xml:space="preserve"> 9</w:t>
      </w:r>
      <w:r>
        <w:rPr>
          <w:rFonts w:cs="Calibri"/>
          <w:szCs w:val="20"/>
        </w:rPr>
        <w:t xml:space="preserve"> </w:t>
      </w:r>
      <w:r w:rsidRPr="00404DA5">
        <w:rPr>
          <w:rFonts w:cs="Calibri"/>
          <w:szCs w:val="20"/>
        </w:rPr>
        <w:t>020 zł/os. Jest to koszt niższy</w:t>
      </w:r>
      <w:r>
        <w:rPr>
          <w:rFonts w:cs="Calibri"/>
          <w:szCs w:val="20"/>
        </w:rPr>
        <w:t xml:space="preserve"> od rzeczywistego</w:t>
      </w:r>
      <w:r w:rsidRPr="00404DA5">
        <w:rPr>
          <w:rFonts w:cs="Calibri"/>
          <w:szCs w:val="20"/>
        </w:rPr>
        <w:t>, gdyż pod uwagę wzięto doświadczenia POKL 2007-2013.</w:t>
      </w:r>
      <w:r w:rsidR="00E66B89">
        <w:rPr>
          <w:rFonts w:cs="Calibri"/>
          <w:szCs w:val="20"/>
        </w:rPr>
        <w:t xml:space="preserve"> Z </w:t>
      </w:r>
      <w:r w:rsidRPr="00404DA5">
        <w:rPr>
          <w:rFonts w:cs="Calibri"/>
          <w:szCs w:val="20"/>
        </w:rPr>
        <w:t>analizy kosztów projektów dotychczas realizowanych wynika, że koszt tego wskaźnika wynosi 11 783,06 zł dla Działania 7.1 oraz 26 166,07 zł dla Działania 7.2</w:t>
      </w:r>
      <w:r>
        <w:rPr>
          <w:rFonts w:cs="Calibri"/>
          <w:szCs w:val="20"/>
        </w:rPr>
        <w:t>.</w:t>
      </w:r>
      <w:r w:rsidRPr="00404DA5">
        <w:rPr>
          <w:rFonts w:cs="Calibri"/>
          <w:szCs w:val="20"/>
        </w:rPr>
        <w:t xml:space="preserve"> Różnica</w:t>
      </w:r>
      <w:r w:rsidR="00E66B89">
        <w:rPr>
          <w:rFonts w:cs="Calibri"/>
          <w:szCs w:val="20"/>
        </w:rPr>
        <w:t xml:space="preserve"> w </w:t>
      </w:r>
      <w:r w:rsidRPr="00404DA5">
        <w:rPr>
          <w:rFonts w:cs="Calibri"/>
          <w:szCs w:val="20"/>
        </w:rPr>
        <w:t>koszcie jednostkowym wynika</w:t>
      </w:r>
      <w:r w:rsidR="00E66B89">
        <w:rPr>
          <w:rFonts w:cs="Calibri"/>
          <w:szCs w:val="20"/>
        </w:rPr>
        <w:t xml:space="preserve"> z </w:t>
      </w:r>
      <w:r w:rsidRPr="00404DA5">
        <w:rPr>
          <w:rFonts w:cs="Calibri"/>
          <w:szCs w:val="20"/>
        </w:rPr>
        <w:t>typów beneficjentów dominujących</w:t>
      </w:r>
      <w:r w:rsidR="00E66B89">
        <w:rPr>
          <w:rFonts w:cs="Calibri"/>
          <w:szCs w:val="20"/>
        </w:rPr>
        <w:t xml:space="preserve"> w </w:t>
      </w:r>
      <w:r w:rsidRPr="00404DA5">
        <w:rPr>
          <w:rFonts w:cs="Calibri"/>
          <w:szCs w:val="20"/>
        </w:rPr>
        <w:t xml:space="preserve">danym </w:t>
      </w:r>
      <w:r>
        <w:rPr>
          <w:rFonts w:cs="Calibri"/>
          <w:szCs w:val="20"/>
        </w:rPr>
        <w:t>D</w:t>
      </w:r>
      <w:r w:rsidRPr="00404DA5">
        <w:rPr>
          <w:rFonts w:cs="Calibri"/>
          <w:szCs w:val="20"/>
        </w:rPr>
        <w:t>ziałaniu. Dla OPS</w:t>
      </w:r>
      <w:r w:rsidR="00E66B89">
        <w:rPr>
          <w:rFonts w:cs="Calibri"/>
          <w:szCs w:val="20"/>
        </w:rPr>
        <w:t xml:space="preserve"> i </w:t>
      </w:r>
      <w:r w:rsidRPr="00404DA5">
        <w:rPr>
          <w:rFonts w:cs="Calibri"/>
          <w:szCs w:val="20"/>
        </w:rPr>
        <w:t>PCPR koszt jest niższy, ponieważ nie ponoszą one kosztów pośrednich. Należy jednak zauważyć, że nie ma większej różnicy</w:t>
      </w:r>
      <w:r w:rsidR="00E66B89">
        <w:rPr>
          <w:rFonts w:cs="Calibri"/>
          <w:szCs w:val="20"/>
        </w:rPr>
        <w:t xml:space="preserve"> w </w:t>
      </w:r>
      <w:r w:rsidRPr="00404DA5">
        <w:rPr>
          <w:rFonts w:cs="Calibri"/>
          <w:szCs w:val="20"/>
        </w:rPr>
        <w:t>postępie finansowym</w:t>
      </w:r>
      <w:r w:rsidR="00E66B89">
        <w:rPr>
          <w:rFonts w:cs="Calibri"/>
          <w:szCs w:val="20"/>
        </w:rPr>
        <w:t xml:space="preserve"> i </w:t>
      </w:r>
      <w:r w:rsidRPr="00404DA5">
        <w:rPr>
          <w:rFonts w:cs="Calibri"/>
          <w:szCs w:val="20"/>
        </w:rPr>
        <w:t>rzeczowym</w:t>
      </w:r>
      <w:r w:rsidR="00E66B89">
        <w:rPr>
          <w:rFonts w:cs="Calibri"/>
          <w:szCs w:val="20"/>
        </w:rPr>
        <w:t xml:space="preserve"> w </w:t>
      </w:r>
      <w:r w:rsidRPr="00404DA5">
        <w:rPr>
          <w:rFonts w:cs="Calibri"/>
          <w:szCs w:val="20"/>
        </w:rPr>
        <w:t xml:space="preserve">ramach obu Działań. </w:t>
      </w:r>
    </w:p>
    <w:p w14:paraId="76D28A87" w14:textId="77777777" w:rsidR="009D3A39" w:rsidRDefault="009D3A39" w:rsidP="009D3A39">
      <w:pPr>
        <w:rPr>
          <w:rFonts w:cs="Calibri"/>
          <w:szCs w:val="20"/>
        </w:rPr>
      </w:pPr>
      <w:r w:rsidRPr="00404DA5">
        <w:rPr>
          <w:rFonts w:cs="Calibri"/>
          <w:szCs w:val="20"/>
        </w:rPr>
        <w:t xml:space="preserve">W celu </w:t>
      </w:r>
      <w:r>
        <w:rPr>
          <w:rFonts w:cs="Calibri"/>
          <w:szCs w:val="20"/>
        </w:rPr>
        <w:t>przezwyciężenia</w:t>
      </w:r>
      <w:r w:rsidRPr="00404DA5">
        <w:rPr>
          <w:rFonts w:cs="Calibri"/>
          <w:szCs w:val="20"/>
        </w:rPr>
        <w:t xml:space="preserve"> trudności</w:t>
      </w:r>
      <w:r w:rsidR="00E66B89">
        <w:rPr>
          <w:rFonts w:cs="Calibri"/>
          <w:szCs w:val="20"/>
        </w:rPr>
        <w:t xml:space="preserve"> z </w:t>
      </w:r>
      <w:r w:rsidRPr="00404DA5">
        <w:rPr>
          <w:rFonts w:cs="Calibri"/>
          <w:szCs w:val="20"/>
        </w:rPr>
        <w:t>rekrutacją beneficjentów podjęto działania zaradcze, które jednak nie przyniosły oczekiwanego skutku.</w:t>
      </w:r>
      <w:r>
        <w:rPr>
          <w:rFonts w:cs="Calibri"/>
          <w:szCs w:val="20"/>
        </w:rPr>
        <w:t xml:space="preserve"> Dla OPS oraz PCPR przeznaczono tryb pozakonkursowy, jednak początkowo nie wszystkie uprawnione jednostki złożyły wnioski</w:t>
      </w:r>
      <w:r w:rsidR="00E66B89">
        <w:rPr>
          <w:rFonts w:cs="Calibri"/>
          <w:szCs w:val="20"/>
        </w:rPr>
        <w:t xml:space="preserve"> o </w:t>
      </w:r>
      <w:r>
        <w:rPr>
          <w:rFonts w:cs="Calibri"/>
          <w:szCs w:val="20"/>
        </w:rPr>
        <w:t>dofinansowanie, co było warunkiem przeprowadzenia trybu pozakonkursowego.</w:t>
      </w:r>
      <w:r w:rsidRPr="00404DA5">
        <w:rPr>
          <w:rFonts w:cs="Calibri"/>
          <w:szCs w:val="20"/>
        </w:rPr>
        <w:t xml:space="preserve"> </w:t>
      </w:r>
      <w:r>
        <w:rPr>
          <w:rFonts w:cs="Calibri"/>
          <w:szCs w:val="20"/>
        </w:rPr>
        <w:t>Następnie zorganizowano nabór</w:t>
      </w:r>
      <w:r w:rsidR="00E66B89">
        <w:rPr>
          <w:rFonts w:cs="Calibri"/>
          <w:szCs w:val="20"/>
        </w:rPr>
        <w:t xml:space="preserve"> w </w:t>
      </w:r>
      <w:r>
        <w:rPr>
          <w:rFonts w:cs="Calibri"/>
          <w:szCs w:val="20"/>
        </w:rPr>
        <w:t xml:space="preserve">trybie konkursowym, który uzyskał niewielkie zainteresowanie potencjalnych beneficjentów. Kolejnym krokiem podjętym przez IZ </w:t>
      </w:r>
      <w:r w:rsidRPr="0001431E">
        <w:rPr>
          <w:rFonts w:cs="Calibri"/>
          <w:szCs w:val="20"/>
        </w:rPr>
        <w:t>(</w:t>
      </w:r>
      <w:r>
        <w:rPr>
          <w:rFonts w:cs="Calibri"/>
          <w:szCs w:val="20"/>
        </w:rPr>
        <w:t>po negocjacjach</w:t>
      </w:r>
      <w:r w:rsidR="00E66B89">
        <w:rPr>
          <w:rFonts w:cs="Calibri"/>
          <w:szCs w:val="20"/>
        </w:rPr>
        <w:t xml:space="preserve"> z </w:t>
      </w:r>
      <w:r>
        <w:rPr>
          <w:rFonts w:cs="Calibri"/>
          <w:szCs w:val="20"/>
        </w:rPr>
        <w:t xml:space="preserve">KE oraz MIiR) było obniżenie wartości docelowych wskaźników. Uzyskano </w:t>
      </w:r>
      <w:r>
        <w:rPr>
          <w:rFonts w:cs="Calibri"/>
          <w:szCs w:val="20"/>
        </w:rPr>
        <w:lastRenderedPageBreak/>
        <w:t>również zgodę na zastosowanie trybu pozakonkursowego</w:t>
      </w:r>
      <w:r w:rsidR="00E66B89">
        <w:rPr>
          <w:rFonts w:cs="Calibri"/>
          <w:szCs w:val="20"/>
        </w:rPr>
        <w:t xml:space="preserve"> w </w:t>
      </w:r>
      <w:r>
        <w:rPr>
          <w:rFonts w:cs="Calibri"/>
          <w:szCs w:val="20"/>
        </w:rPr>
        <w:t xml:space="preserve">warunkach, gdy wnioski składają nie wszystkie uprawnione podmioty. </w:t>
      </w:r>
      <w:r w:rsidRPr="00404DA5">
        <w:rPr>
          <w:rFonts w:cs="Calibri"/>
          <w:szCs w:val="20"/>
        </w:rPr>
        <w:t>Wspierano również jednostki pomocy społecznej</w:t>
      </w:r>
      <w:r w:rsidR="00E66B89">
        <w:rPr>
          <w:rFonts w:cs="Calibri"/>
          <w:szCs w:val="20"/>
        </w:rPr>
        <w:t xml:space="preserve"> w </w:t>
      </w:r>
      <w:r w:rsidRPr="00404DA5">
        <w:rPr>
          <w:rFonts w:cs="Calibri"/>
          <w:szCs w:val="20"/>
        </w:rPr>
        <w:t>przygotowywaniu wniosków</w:t>
      </w:r>
      <w:r w:rsidR="00E66B89">
        <w:rPr>
          <w:rFonts w:cs="Calibri"/>
          <w:szCs w:val="20"/>
        </w:rPr>
        <w:t xml:space="preserve"> o </w:t>
      </w:r>
      <w:r w:rsidRPr="00404DA5">
        <w:rPr>
          <w:rFonts w:cs="Calibri"/>
          <w:szCs w:val="20"/>
        </w:rPr>
        <w:t>dofinansowanie.</w:t>
      </w:r>
      <w:r>
        <w:rPr>
          <w:rFonts w:cs="Calibri"/>
          <w:szCs w:val="20"/>
        </w:rPr>
        <w:t xml:space="preserve"> Dla porównania - w województwie warmińsko-mazurskim zlecono badanie </w:t>
      </w:r>
      <w:r w:rsidRPr="008B706B">
        <w:rPr>
          <w:rFonts w:cs="Calibri"/>
          <w:i/>
          <w:szCs w:val="20"/>
        </w:rPr>
        <w:t>Wpływ programu Rodzina 500+ na aktywizację społeczną</w:t>
      </w:r>
      <w:r w:rsidR="00E66B89">
        <w:rPr>
          <w:rFonts w:cs="Calibri"/>
          <w:i/>
          <w:szCs w:val="20"/>
        </w:rPr>
        <w:t xml:space="preserve"> i </w:t>
      </w:r>
      <w:r w:rsidRPr="008B706B">
        <w:rPr>
          <w:rFonts w:cs="Calibri"/>
          <w:i/>
          <w:szCs w:val="20"/>
        </w:rPr>
        <w:t>zawodową</w:t>
      </w:r>
      <w:r w:rsidR="00E66B89">
        <w:rPr>
          <w:rFonts w:cs="Calibri"/>
          <w:i/>
          <w:szCs w:val="20"/>
        </w:rPr>
        <w:t xml:space="preserve"> w </w:t>
      </w:r>
      <w:r w:rsidRPr="008B706B">
        <w:rPr>
          <w:rFonts w:cs="Calibri"/>
          <w:i/>
          <w:szCs w:val="20"/>
        </w:rPr>
        <w:t>województwie warmińsko-mazurskim</w:t>
      </w:r>
      <w:r>
        <w:rPr>
          <w:rFonts w:cs="Calibri"/>
          <w:szCs w:val="20"/>
        </w:rPr>
        <w:t>, aby zdiagnozować na ile program Rodzina 500+ wpływa na skuteczność realizacji PI 9i. Być może zasadne byłoby przeprowadzenie takiego badania, ale na poziomie krajowym – obejmującym szczegółowo ten aspekt</w:t>
      </w:r>
      <w:r w:rsidR="00E66B89">
        <w:rPr>
          <w:rFonts w:cs="Calibri"/>
          <w:szCs w:val="20"/>
        </w:rPr>
        <w:t xml:space="preserve"> z </w:t>
      </w:r>
      <w:r>
        <w:rPr>
          <w:rFonts w:cs="Calibri"/>
          <w:szCs w:val="20"/>
        </w:rPr>
        <w:t>perspektywy wszystkich RPO. W RPO WZ,</w:t>
      </w:r>
      <w:r w:rsidR="00E66B89">
        <w:rPr>
          <w:rFonts w:cs="Calibri"/>
          <w:szCs w:val="20"/>
        </w:rPr>
        <w:t xml:space="preserve"> w </w:t>
      </w:r>
      <w:r w:rsidRPr="00404DA5">
        <w:rPr>
          <w:rFonts w:cs="Calibri"/>
          <w:szCs w:val="20"/>
        </w:rPr>
        <w:t>styczniu 2017 roku</w:t>
      </w:r>
      <w:r>
        <w:rPr>
          <w:rFonts w:cs="Calibri"/>
          <w:szCs w:val="20"/>
        </w:rPr>
        <w:t>,</w:t>
      </w:r>
      <w:r w:rsidR="00E66B89">
        <w:rPr>
          <w:rFonts w:cs="Calibri"/>
          <w:szCs w:val="20"/>
        </w:rPr>
        <w:t xml:space="preserve"> w </w:t>
      </w:r>
      <w:r w:rsidRPr="00404DA5">
        <w:rPr>
          <w:rFonts w:cs="Calibri"/>
          <w:szCs w:val="20"/>
        </w:rPr>
        <w:t>ramach Działania 7.2</w:t>
      </w:r>
      <w:r>
        <w:rPr>
          <w:rFonts w:cs="Calibri"/>
          <w:szCs w:val="20"/>
        </w:rPr>
        <w:t>,</w:t>
      </w:r>
      <w:r w:rsidRPr="00404DA5">
        <w:rPr>
          <w:rFonts w:cs="Calibri"/>
          <w:szCs w:val="20"/>
        </w:rPr>
        <w:t xml:space="preserve"> zmieniono sposób liczenia wskaźnika efektywności społeczno-zatrudnieniowej. Od marca 2018</w:t>
      </w:r>
      <w:r>
        <w:rPr>
          <w:rFonts w:cs="Calibri"/>
          <w:szCs w:val="20"/>
        </w:rPr>
        <w:t>,</w:t>
      </w:r>
      <w:r w:rsidRPr="00404DA5">
        <w:rPr>
          <w:rFonts w:cs="Calibri"/>
          <w:szCs w:val="20"/>
        </w:rPr>
        <w:t xml:space="preserve"> we wskaźnikach rezultatu bezpośredniego</w:t>
      </w:r>
      <w:r w:rsidR="00E66B89">
        <w:rPr>
          <w:rFonts w:cs="Calibri"/>
          <w:szCs w:val="20"/>
        </w:rPr>
        <w:t xml:space="preserve"> w </w:t>
      </w:r>
      <w:r w:rsidRPr="00404DA5">
        <w:rPr>
          <w:rFonts w:cs="Calibri"/>
          <w:szCs w:val="20"/>
        </w:rPr>
        <w:t>Działaniach 7.1</w:t>
      </w:r>
      <w:r w:rsidR="00E66B89">
        <w:rPr>
          <w:rFonts w:cs="Calibri"/>
          <w:szCs w:val="20"/>
        </w:rPr>
        <w:t xml:space="preserve"> i </w:t>
      </w:r>
      <w:r w:rsidRPr="00404DA5">
        <w:rPr>
          <w:rFonts w:cs="Calibri"/>
          <w:szCs w:val="20"/>
        </w:rPr>
        <w:t>7.2</w:t>
      </w:r>
      <w:r>
        <w:rPr>
          <w:rFonts w:cs="Calibri"/>
          <w:szCs w:val="20"/>
        </w:rPr>
        <w:t>,</w:t>
      </w:r>
      <w:r w:rsidRPr="00404DA5">
        <w:rPr>
          <w:rFonts w:cs="Calibri"/>
          <w:szCs w:val="20"/>
        </w:rPr>
        <w:t xml:space="preserve"> wartości wskaźników są wskazywane we wniosku na podstawie zapisów kryterium zgodności wsparcia. Ustalono, jaki poziom powinien osiągnąć wskaźnik dla efektywności społecznej</w:t>
      </w:r>
      <w:r w:rsidR="00E66B89">
        <w:rPr>
          <w:rFonts w:cs="Calibri"/>
          <w:szCs w:val="20"/>
        </w:rPr>
        <w:t xml:space="preserve"> i </w:t>
      </w:r>
      <w:r w:rsidRPr="00404DA5">
        <w:rPr>
          <w:rFonts w:cs="Calibri"/>
          <w:szCs w:val="20"/>
        </w:rPr>
        <w:t>dla efektywności zatrudnieniowej, przy czym wartość ta jest wyższa dla efektywności społecznej. Ta sytuacja</w:t>
      </w:r>
      <w:r>
        <w:rPr>
          <w:rFonts w:cs="Calibri"/>
          <w:szCs w:val="20"/>
        </w:rPr>
        <w:t xml:space="preserve"> powinna</w:t>
      </w:r>
      <w:r w:rsidRPr="00404DA5">
        <w:rPr>
          <w:rFonts w:cs="Calibri"/>
          <w:szCs w:val="20"/>
        </w:rPr>
        <w:t xml:space="preserve"> dodatkowo zachęca</w:t>
      </w:r>
      <w:r>
        <w:rPr>
          <w:rFonts w:cs="Calibri"/>
          <w:szCs w:val="20"/>
        </w:rPr>
        <w:t>ć</w:t>
      </w:r>
      <w:r w:rsidRPr="00404DA5">
        <w:rPr>
          <w:rFonts w:cs="Calibri"/>
          <w:szCs w:val="20"/>
        </w:rPr>
        <w:t xml:space="preserve"> instytucje do aplikowania, ponieważ</w:t>
      </w:r>
      <w:r w:rsidR="00E66B89">
        <w:rPr>
          <w:rFonts w:cs="Calibri"/>
          <w:szCs w:val="20"/>
        </w:rPr>
        <w:t xml:space="preserve"> w </w:t>
      </w:r>
      <w:r w:rsidRPr="00404DA5">
        <w:rPr>
          <w:rFonts w:cs="Calibri"/>
          <w:szCs w:val="20"/>
        </w:rPr>
        <w:t>toku realizacji poprzednich naborów OPS zgłaszały jako powód braku chęci aplikowania właśnie obawę przed nieosiągnięciem tego wskaźnika.</w:t>
      </w:r>
      <w:r>
        <w:rPr>
          <w:rFonts w:cs="Calibri"/>
          <w:szCs w:val="20"/>
        </w:rPr>
        <w:t xml:space="preserve"> Trudności</w:t>
      </w:r>
      <w:r w:rsidR="00E66B89">
        <w:rPr>
          <w:rFonts w:cs="Calibri"/>
          <w:szCs w:val="20"/>
        </w:rPr>
        <w:t xml:space="preserve"> w </w:t>
      </w:r>
      <w:r>
        <w:rPr>
          <w:rFonts w:cs="Calibri"/>
          <w:szCs w:val="20"/>
        </w:rPr>
        <w:t xml:space="preserve">osiągnięciu wskaźnika efektywności zatrudnieniowej są barierą dla potencjalnych beneficjentów PI 9i we wszystkich programach regionalnych. Wynika to ze zmian sytuacji społeczno-gospodarczej (m.in. malejące bezrobocie, spadająca liczba osób zagrożonych ubóstwem, wpływ programu </w:t>
      </w:r>
      <w:r w:rsidR="00472EC3">
        <w:rPr>
          <w:rFonts w:cs="Calibri"/>
          <w:szCs w:val="20"/>
        </w:rPr>
        <w:t xml:space="preserve">Rodzina </w:t>
      </w:r>
      <w:r>
        <w:rPr>
          <w:rFonts w:cs="Calibri"/>
          <w:szCs w:val="20"/>
        </w:rPr>
        <w:t>500+),</w:t>
      </w:r>
      <w:r w:rsidR="00E66B89">
        <w:rPr>
          <w:rFonts w:cs="Calibri"/>
          <w:szCs w:val="20"/>
        </w:rPr>
        <w:t xml:space="preserve"> a </w:t>
      </w:r>
      <w:r>
        <w:rPr>
          <w:rFonts w:cs="Calibri"/>
          <w:szCs w:val="20"/>
        </w:rPr>
        <w:t>tym samym trudności</w:t>
      </w:r>
      <w:r w:rsidR="00E66B89">
        <w:rPr>
          <w:rFonts w:cs="Calibri"/>
          <w:szCs w:val="20"/>
        </w:rPr>
        <w:t xml:space="preserve"> w </w:t>
      </w:r>
      <w:r>
        <w:rPr>
          <w:rFonts w:cs="Calibri"/>
          <w:szCs w:val="20"/>
        </w:rPr>
        <w:t>pozyskiwaniu uczestników do projektów, którzy spełniliby warunek efektywności zatrudnieniowej. Szansą na rozwiązanie tego problemu byłyby negocjacje</w:t>
      </w:r>
      <w:r w:rsidR="00E66B89">
        <w:rPr>
          <w:rFonts w:cs="Calibri"/>
          <w:szCs w:val="20"/>
        </w:rPr>
        <w:t xml:space="preserve"> z </w:t>
      </w:r>
      <w:r>
        <w:rPr>
          <w:rFonts w:cs="Calibri"/>
          <w:szCs w:val="20"/>
        </w:rPr>
        <w:t>KE podjęte przez MIiR</w:t>
      </w:r>
      <w:r w:rsidR="00E66B89">
        <w:rPr>
          <w:rFonts w:cs="Calibri"/>
          <w:szCs w:val="20"/>
        </w:rPr>
        <w:t xml:space="preserve"> w </w:t>
      </w:r>
      <w:r>
        <w:rPr>
          <w:rFonts w:cs="Calibri"/>
          <w:szCs w:val="20"/>
        </w:rPr>
        <w:t>celu zmiany logiki wsparcia</w:t>
      </w:r>
      <w:r w:rsidR="00E66B89">
        <w:rPr>
          <w:rFonts w:cs="Calibri"/>
          <w:szCs w:val="20"/>
        </w:rPr>
        <w:t xml:space="preserve"> w </w:t>
      </w:r>
      <w:r>
        <w:rPr>
          <w:rFonts w:cs="Calibri"/>
          <w:szCs w:val="20"/>
        </w:rPr>
        <w:t>ramach PI 9i – odejście od koncentracji na efekcie zatrudnienia na rzecz integracji społecznej. Oznaczałoby to rezygnację</w:t>
      </w:r>
      <w:r w:rsidR="00E66B89">
        <w:rPr>
          <w:rFonts w:cs="Calibri"/>
          <w:szCs w:val="20"/>
        </w:rPr>
        <w:t xml:space="preserve"> z </w:t>
      </w:r>
      <w:r>
        <w:rPr>
          <w:rFonts w:cs="Calibri"/>
          <w:szCs w:val="20"/>
        </w:rPr>
        <w:t>pomiaru efektywności zatrudnieniowej</w:t>
      </w:r>
      <w:r w:rsidR="00E66B89">
        <w:rPr>
          <w:rFonts w:cs="Calibri"/>
          <w:szCs w:val="20"/>
        </w:rPr>
        <w:t xml:space="preserve"> w </w:t>
      </w:r>
      <w:r>
        <w:rPr>
          <w:rFonts w:cs="Calibri"/>
          <w:szCs w:val="20"/>
        </w:rPr>
        <w:t>ramach PI 9i lub rezygnację</w:t>
      </w:r>
      <w:r w:rsidR="00E66B89">
        <w:rPr>
          <w:rFonts w:cs="Calibri"/>
          <w:szCs w:val="20"/>
        </w:rPr>
        <w:t xml:space="preserve"> z </w:t>
      </w:r>
      <w:r>
        <w:rPr>
          <w:rFonts w:cs="Calibri"/>
          <w:szCs w:val="20"/>
        </w:rPr>
        <w:t>obligatoryjności pomiaru tj. stosowanie wskaźnika tylko do wybranych grup, np. bardziej skłonnych do poddania się aktywizacji zawodowej. Istnieje zagrożenie, które dotyczy większości RPO, nie tylko RPO WZ, że wystąpi zjawisko creamingu, czyli beneficjenci będą rekrutować do projektów nie osoby najbardziej potrzebujące aktywizacji społeczno-zawodowej, ale takie, które na starcie rokują na przyczynienie się do osiągnięcia efektywności zatrudnieniowej</w:t>
      </w:r>
      <w:r w:rsidR="00E66B89">
        <w:rPr>
          <w:rFonts w:cs="Calibri"/>
          <w:szCs w:val="20"/>
        </w:rPr>
        <w:t xml:space="preserve"> w </w:t>
      </w:r>
      <w:r>
        <w:rPr>
          <w:rFonts w:cs="Calibri"/>
          <w:szCs w:val="20"/>
        </w:rPr>
        <w:t>projekcie. Rekomendację dla MIiR dotyczącą podjęcia negocjacji</w:t>
      </w:r>
      <w:r w:rsidR="00E66B89">
        <w:rPr>
          <w:rFonts w:cs="Calibri"/>
          <w:szCs w:val="20"/>
        </w:rPr>
        <w:t xml:space="preserve"> z </w:t>
      </w:r>
      <w:r>
        <w:rPr>
          <w:rFonts w:cs="Calibri"/>
          <w:szCs w:val="20"/>
        </w:rPr>
        <w:t>KE</w:t>
      </w:r>
      <w:r w:rsidR="00E66B89">
        <w:rPr>
          <w:rFonts w:cs="Calibri"/>
          <w:szCs w:val="20"/>
        </w:rPr>
        <w:t xml:space="preserve"> w </w:t>
      </w:r>
      <w:r>
        <w:rPr>
          <w:rFonts w:cs="Calibri"/>
          <w:szCs w:val="20"/>
        </w:rPr>
        <w:t>tym zakresie sformułowano już</w:t>
      </w:r>
      <w:r w:rsidR="00E66B89">
        <w:rPr>
          <w:rFonts w:cs="Calibri"/>
          <w:szCs w:val="20"/>
        </w:rPr>
        <w:t xml:space="preserve"> w </w:t>
      </w:r>
      <w:r>
        <w:rPr>
          <w:rFonts w:cs="Calibri"/>
          <w:szCs w:val="20"/>
        </w:rPr>
        <w:t>ramach innego realizowanego badania</w:t>
      </w:r>
      <w:r w:rsidR="00E66B89">
        <w:rPr>
          <w:rFonts w:cs="Calibri"/>
          <w:szCs w:val="20"/>
        </w:rPr>
        <w:t xml:space="preserve"> o </w:t>
      </w:r>
      <w:r>
        <w:rPr>
          <w:rFonts w:cs="Calibri"/>
          <w:szCs w:val="20"/>
        </w:rPr>
        <w:t xml:space="preserve">zasięgu krajowym. </w:t>
      </w:r>
    </w:p>
    <w:p w14:paraId="0619426D" w14:textId="77777777" w:rsidR="009D3A39" w:rsidRDefault="009D3A39" w:rsidP="009D3A39">
      <w:pPr>
        <w:rPr>
          <w:rFonts w:cs="Calibri"/>
          <w:szCs w:val="20"/>
        </w:rPr>
      </w:pPr>
      <w:r w:rsidRPr="00404DA5">
        <w:rPr>
          <w:rFonts w:cs="Calibri"/>
          <w:szCs w:val="20"/>
        </w:rPr>
        <w:t>Innymi powodami, które podają OPS</w:t>
      </w:r>
      <w:r w:rsidR="00E66B89">
        <w:rPr>
          <w:rFonts w:cs="Calibri"/>
          <w:szCs w:val="20"/>
        </w:rPr>
        <w:t xml:space="preserve"> i </w:t>
      </w:r>
      <w:r w:rsidRPr="00404DA5">
        <w:rPr>
          <w:rFonts w:cs="Calibri"/>
          <w:szCs w:val="20"/>
        </w:rPr>
        <w:t>PCPR jako niechęć do aplikowania jest m.in. obłożenie administracyjne</w:t>
      </w:r>
      <w:r w:rsidR="00E66B89">
        <w:rPr>
          <w:rFonts w:cs="Calibri"/>
          <w:szCs w:val="20"/>
        </w:rPr>
        <w:t xml:space="preserve"> i </w:t>
      </w:r>
      <w:r w:rsidRPr="00404DA5">
        <w:rPr>
          <w:rFonts w:cs="Calibri"/>
          <w:szCs w:val="20"/>
        </w:rPr>
        <w:t>nadmiar obowiązków ustawowych</w:t>
      </w:r>
      <w:r>
        <w:rPr>
          <w:rFonts w:cs="Calibri"/>
          <w:szCs w:val="20"/>
        </w:rPr>
        <w:t>.</w:t>
      </w:r>
      <w:r w:rsidRPr="00404DA5">
        <w:rPr>
          <w:rFonts w:cs="Calibri"/>
          <w:szCs w:val="20"/>
        </w:rPr>
        <w:t xml:space="preserve"> Zmieniająca się sytuacja społeczno-gospodarcza, która wpływa na potencjał aplikacyjny beneficjentów, może spowodować, że wskaźniki nie zostaną osiągnięte</w:t>
      </w:r>
      <w:r w:rsidR="00E66B89">
        <w:rPr>
          <w:rFonts w:cs="Calibri"/>
          <w:szCs w:val="20"/>
        </w:rPr>
        <w:t xml:space="preserve"> w </w:t>
      </w:r>
      <w:r w:rsidRPr="00404DA5">
        <w:rPr>
          <w:rFonts w:cs="Calibri"/>
          <w:szCs w:val="20"/>
        </w:rPr>
        <w:t>zakładanym kształcie. Nawet jeśli beneficjenci będą zainteresowani aplikowaniem</w:t>
      </w:r>
      <w:r w:rsidR="00E66B89">
        <w:rPr>
          <w:rFonts w:cs="Calibri"/>
          <w:szCs w:val="20"/>
        </w:rPr>
        <w:t xml:space="preserve"> o </w:t>
      </w:r>
      <w:r w:rsidRPr="00404DA5">
        <w:rPr>
          <w:rFonts w:cs="Calibri"/>
          <w:szCs w:val="20"/>
        </w:rPr>
        <w:t>środki</w:t>
      </w:r>
      <w:r>
        <w:rPr>
          <w:rFonts w:cs="Calibri"/>
          <w:szCs w:val="20"/>
        </w:rPr>
        <w:t xml:space="preserve">, </w:t>
      </w:r>
      <w:r w:rsidRPr="00404DA5">
        <w:rPr>
          <w:rFonts w:cs="Calibri"/>
          <w:szCs w:val="20"/>
        </w:rPr>
        <w:t>może nie udać im się zrekrutować grupy chętnej do aktywizacji.</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 xml:space="preserve">tym zasadne </w:t>
      </w:r>
      <w:r>
        <w:rPr>
          <w:rFonts w:cs="Calibri"/>
          <w:szCs w:val="20"/>
        </w:rPr>
        <w:t xml:space="preserve">jest </w:t>
      </w:r>
      <w:r w:rsidRPr="00404DA5">
        <w:rPr>
          <w:rFonts w:cs="Calibri"/>
          <w:szCs w:val="20"/>
        </w:rPr>
        <w:t>przesunięcie pozostałej alokacji przeznaczonej na działania OPS</w:t>
      </w:r>
      <w:r w:rsidR="00E66B89">
        <w:rPr>
          <w:rFonts w:cs="Calibri"/>
          <w:szCs w:val="20"/>
        </w:rPr>
        <w:t xml:space="preserve"> i </w:t>
      </w:r>
      <w:r w:rsidRPr="00404DA5">
        <w:rPr>
          <w:rFonts w:cs="Calibri"/>
          <w:szCs w:val="20"/>
        </w:rPr>
        <w:t>PCPR do działań</w:t>
      </w:r>
      <w:r w:rsidR="00E66B89">
        <w:rPr>
          <w:rFonts w:cs="Calibri"/>
          <w:szCs w:val="20"/>
        </w:rPr>
        <w:t xml:space="preserve"> w </w:t>
      </w:r>
      <w:r w:rsidRPr="00404DA5">
        <w:rPr>
          <w:rFonts w:cs="Calibri"/>
          <w:szCs w:val="20"/>
        </w:rPr>
        <w:t>ramach PI</w:t>
      </w:r>
      <w:r>
        <w:rPr>
          <w:rFonts w:cs="Calibri"/>
          <w:szCs w:val="20"/>
        </w:rPr>
        <w:t xml:space="preserve"> </w:t>
      </w:r>
      <w:r w:rsidRPr="00404DA5">
        <w:rPr>
          <w:rFonts w:cs="Calibri"/>
          <w:szCs w:val="20"/>
        </w:rPr>
        <w:t xml:space="preserve">9iv. </w:t>
      </w:r>
    </w:p>
    <w:p w14:paraId="1215F9EF" w14:textId="77777777" w:rsidR="009D3A39" w:rsidRDefault="009D3A39" w:rsidP="009D3A39">
      <w:pPr>
        <w:rPr>
          <w:rFonts w:cs="Calibri"/>
          <w:szCs w:val="20"/>
        </w:rPr>
      </w:pPr>
      <w:r>
        <w:rPr>
          <w:rFonts w:cs="Calibri"/>
          <w:szCs w:val="20"/>
        </w:rPr>
        <w:t>Analiza kosztów jednostkowych dowodzi, że PI 9i charakteryzuje się niższą, niż zakładano efektywnością kosztową. Niemniej jednak można ocenić, że interwencja - pomimo, iż prowadzona na mniejszą skalę, niż zakładano - jest skuteczna</w:t>
      </w:r>
      <w:r w:rsidR="00E66B89">
        <w:rPr>
          <w:rFonts w:cs="Calibri"/>
          <w:szCs w:val="20"/>
        </w:rPr>
        <w:t xml:space="preserve"> i </w:t>
      </w:r>
      <w:r>
        <w:rPr>
          <w:rFonts w:cs="Calibri"/>
          <w:szCs w:val="20"/>
        </w:rPr>
        <w:t xml:space="preserve">osiąga założone cele. </w:t>
      </w:r>
    </w:p>
    <w:p w14:paraId="70221159" w14:textId="77777777" w:rsidR="009D3A39" w:rsidRDefault="009D3A39" w:rsidP="009D3A39">
      <w:r>
        <w:rPr>
          <w:rFonts w:cs="Calibri"/>
          <w:szCs w:val="20"/>
        </w:rPr>
        <w:t>W celu poszukiwania rozwiązań, które mogłyby pozytywnie wpłynąć na realizację RPO WZ - częściowo</w:t>
      </w:r>
      <w:r w:rsidR="00E66B89">
        <w:rPr>
          <w:rFonts w:cs="Calibri"/>
          <w:szCs w:val="20"/>
        </w:rPr>
        <w:t xml:space="preserve"> w </w:t>
      </w:r>
      <w:r>
        <w:rPr>
          <w:rFonts w:cs="Calibri"/>
          <w:szCs w:val="20"/>
        </w:rPr>
        <w:t>obecnej, ale przede wszystkim przyszłej perspektywie finansowej - przeprowadzono benchmarking zagraniczny. Wybrano region,</w:t>
      </w:r>
      <w:r w:rsidR="00E66B89">
        <w:rPr>
          <w:rFonts w:cs="Calibri"/>
          <w:szCs w:val="20"/>
        </w:rPr>
        <w:t xml:space="preserve"> w </w:t>
      </w:r>
      <w:r>
        <w:rPr>
          <w:rFonts w:cs="Calibri"/>
          <w:szCs w:val="20"/>
        </w:rPr>
        <w:t>którym zakres interwencji jest zbieżny</w:t>
      </w:r>
      <w:r w:rsidR="00E66B89">
        <w:rPr>
          <w:rFonts w:cs="Calibri"/>
          <w:szCs w:val="20"/>
        </w:rPr>
        <w:t xml:space="preserve"> z </w:t>
      </w:r>
      <w:r>
        <w:rPr>
          <w:rFonts w:cs="Calibri"/>
          <w:szCs w:val="20"/>
        </w:rPr>
        <w:t>zakresem RPO WZ – Zachodnią Walię</w:t>
      </w:r>
      <w:r w:rsidR="00E66B89">
        <w:rPr>
          <w:rFonts w:cs="Calibri"/>
          <w:szCs w:val="20"/>
        </w:rPr>
        <w:t xml:space="preserve"> i </w:t>
      </w:r>
      <w:r>
        <w:rPr>
          <w:rFonts w:cs="Calibri"/>
          <w:szCs w:val="20"/>
        </w:rPr>
        <w:t>Doliny. Warto</w:t>
      </w:r>
      <w:r w:rsidR="00E66B89">
        <w:rPr>
          <w:rFonts w:cs="Calibri"/>
          <w:szCs w:val="20"/>
        </w:rPr>
        <w:t xml:space="preserve"> w </w:t>
      </w:r>
      <w:r>
        <w:rPr>
          <w:rFonts w:cs="Calibri"/>
          <w:szCs w:val="20"/>
        </w:rPr>
        <w:t>pierwszej kolejności nakreślić kontekst</w:t>
      </w:r>
      <w:r w:rsidR="00E66B89">
        <w:rPr>
          <w:rFonts w:cs="Calibri"/>
          <w:szCs w:val="20"/>
        </w:rPr>
        <w:t xml:space="preserve"> i </w:t>
      </w:r>
      <w:r>
        <w:rPr>
          <w:rFonts w:cs="Calibri"/>
          <w:szCs w:val="20"/>
        </w:rPr>
        <w:t>zasady realizacji EFS</w:t>
      </w:r>
      <w:r w:rsidR="00E66B89">
        <w:rPr>
          <w:rFonts w:cs="Calibri"/>
          <w:szCs w:val="20"/>
        </w:rPr>
        <w:t xml:space="preserve"> w </w:t>
      </w:r>
      <w:r>
        <w:rPr>
          <w:rFonts w:cs="Calibri"/>
          <w:szCs w:val="20"/>
        </w:rPr>
        <w:t>obszarze wykluczenia społecznego</w:t>
      </w:r>
      <w:r w:rsidR="00E66B89">
        <w:rPr>
          <w:rFonts w:cs="Calibri"/>
          <w:szCs w:val="20"/>
        </w:rPr>
        <w:t xml:space="preserve"> w </w:t>
      </w:r>
      <w:r>
        <w:rPr>
          <w:rFonts w:cs="Calibri"/>
          <w:szCs w:val="20"/>
        </w:rPr>
        <w:t xml:space="preserve">tym programie. </w:t>
      </w:r>
      <w:r>
        <w:t>Walia jest jednym</w:t>
      </w:r>
      <w:r w:rsidR="00E66B89">
        <w:t xml:space="preserve"> z </w:t>
      </w:r>
      <w:r>
        <w:t>regionów Wielkiej Brytanii,</w:t>
      </w:r>
      <w:r w:rsidR="00E66B89">
        <w:t xml:space="preserve"> w </w:t>
      </w:r>
      <w:r>
        <w:t>których ludność jest najbardziej zagrożona ubóstwem. Region zamieszkuje ok. 3 mln osób,</w:t>
      </w:r>
      <w:r w:rsidR="00E66B89">
        <w:t xml:space="preserve"> w </w:t>
      </w:r>
      <w:r>
        <w:t xml:space="preserve">tym większość południową jej część. Na terenie Walii realizowane są 4 programy operacyjne na które przeznaczono 2,4 mld euro, co stanowi 20% wszystkich środków UE przyznanych Wielkiej Brytanii. Program </w:t>
      </w:r>
      <w:r w:rsidRPr="007B231F">
        <w:t>EFS</w:t>
      </w:r>
      <w:r>
        <w:t xml:space="preserve"> (jak również EFRR) zarządzany</w:t>
      </w:r>
      <w:r w:rsidRPr="007B231F">
        <w:t xml:space="preserve"> </w:t>
      </w:r>
      <w:r>
        <w:t>jest</w:t>
      </w:r>
      <w:r w:rsidR="00E66B89">
        <w:t xml:space="preserve"> w </w:t>
      </w:r>
      <w:r>
        <w:t xml:space="preserve">tym rejonie </w:t>
      </w:r>
      <w:r w:rsidRPr="007B231F">
        <w:t xml:space="preserve">przez Welsh European Funding Office (WEFO), agencję utworzoną przez rząd Walii. Dla celów </w:t>
      </w:r>
      <w:r>
        <w:t xml:space="preserve">realizacji </w:t>
      </w:r>
      <w:r w:rsidRPr="007B231F">
        <w:t xml:space="preserve">unijnej polityki regionalnej </w:t>
      </w:r>
      <w:r>
        <w:t>obszar podzielony jest na</w:t>
      </w:r>
      <w:r w:rsidR="00C22C26">
        <w:t xml:space="preserve"> </w:t>
      </w:r>
      <w:r w:rsidRPr="007B231F">
        <w:t xml:space="preserve">dwa </w:t>
      </w:r>
      <w:r w:rsidRPr="007B231F">
        <w:lastRenderedPageBreak/>
        <w:t>regi</w:t>
      </w:r>
      <w:r>
        <w:t>ony 1) Zachodnia Walia</w:t>
      </w:r>
      <w:r w:rsidR="00E66B89">
        <w:t xml:space="preserve"> i </w:t>
      </w:r>
      <w:r>
        <w:t>Doliny</w:t>
      </w:r>
      <w:r w:rsidR="00E66B89">
        <w:t xml:space="preserve"> i </w:t>
      </w:r>
      <w:r w:rsidRPr="007B231F">
        <w:t>2) Wschodnia Walia. Region Zachodnia Walia</w:t>
      </w:r>
      <w:r w:rsidR="00E66B89">
        <w:t xml:space="preserve"> i </w:t>
      </w:r>
      <w:r w:rsidRPr="007B231F">
        <w:t>Doliny, za</w:t>
      </w:r>
      <w:r>
        <w:t>klasyfikowany jest do regionów słabiej rozwiniętych,</w:t>
      </w:r>
      <w:r w:rsidRPr="007B231F">
        <w:t xml:space="preserve"> gdzie PKB na osobę </w:t>
      </w:r>
      <w:r>
        <w:t>stanowi jedynie</w:t>
      </w:r>
      <w:r w:rsidRPr="007B231F">
        <w:t xml:space="preserve"> </w:t>
      </w:r>
      <w:r>
        <w:t>25</w:t>
      </w:r>
      <w:r w:rsidRPr="007B231F">
        <w:t>% średniej UE.</w:t>
      </w:r>
      <w:r>
        <w:t xml:space="preserve"> Problemy jakie zdiagnozowano na etapie przygotowywania interwencji to przede wszystkim: niska stopa zatrudnienia osób</w:t>
      </w:r>
      <w:r w:rsidR="00E66B89">
        <w:t xml:space="preserve"> w </w:t>
      </w:r>
      <w:r>
        <w:t>wieku 20-64 lata,</w:t>
      </w:r>
      <w:r w:rsidRPr="0006219F">
        <w:t xml:space="preserve"> </w:t>
      </w:r>
      <w:r>
        <w:t>niewystarczająca reprezentacja</w:t>
      </w:r>
      <w:r w:rsidR="00E66B89">
        <w:t xml:space="preserve"> w </w:t>
      </w:r>
      <w:r w:rsidRPr="0006219F">
        <w:t>zatrudnieniu kobiet, mniejszości etnicznych</w:t>
      </w:r>
      <w:r w:rsidR="00E66B89">
        <w:t xml:space="preserve"> i </w:t>
      </w:r>
      <w:r w:rsidRPr="0006219F">
        <w:t>osób</w:t>
      </w:r>
      <w:r w:rsidR="00E66B89">
        <w:t xml:space="preserve"> z </w:t>
      </w:r>
      <w:r>
        <w:t>niepełnosprawnościami</w:t>
      </w:r>
      <w:r w:rsidR="00E66B89">
        <w:t xml:space="preserve"> i </w:t>
      </w:r>
      <w:r>
        <w:t xml:space="preserve">wysoka stopa bezrobocia dla osób należących do tych grup. </w:t>
      </w:r>
      <w:r w:rsidRPr="0006219F">
        <w:t>Walia Zachodnia</w:t>
      </w:r>
      <w:r w:rsidR="00E66B89">
        <w:t xml:space="preserve"> i </w:t>
      </w:r>
      <w:r w:rsidRPr="0006219F">
        <w:t>Doliny korzysta</w:t>
      </w:r>
      <w:r w:rsidR="00E66B89">
        <w:t xml:space="preserve"> z </w:t>
      </w:r>
      <w:r w:rsidRPr="0006219F">
        <w:t>około 200 mln EUR</w:t>
      </w:r>
      <w:r w:rsidR="00E66B89">
        <w:t xml:space="preserve"> w </w:t>
      </w:r>
      <w:r>
        <w:t>ramach EFS. Program podzielono na trzy osie priorytetowe, które są jednocześnie priorytetami inwestycyjnymi. Pierwszym</w:t>
      </w:r>
      <w:r w:rsidR="00E66B89">
        <w:t xml:space="preserve"> z </w:t>
      </w:r>
      <w:r>
        <w:t>nich jest</w:t>
      </w:r>
      <w:r w:rsidR="00C22C26">
        <w:t xml:space="preserve"> </w:t>
      </w:r>
      <w:r w:rsidRPr="0006219F">
        <w:rPr>
          <w:i/>
        </w:rPr>
        <w:t>Zwalczanie ubóstwa poprzez zrównoważone zatrudnienie</w:t>
      </w:r>
      <w:r>
        <w:rPr>
          <w:i/>
        </w:rPr>
        <w:t>.</w:t>
      </w:r>
      <w:r>
        <w:t xml:space="preserve"> Celem PI jest przede wszystkim: 1) zwiększanie szans na zatrudnienie osób powyżej 25 roku życia znajdujących się najbliżej rynku pracy (pozostających bez pracy nie dłużej, niż rok, najbardziej zagrożonych ubóstwem; 2) zwiększanie szans na zatrudnienie osób bezrobotnych nieaktywnych ekonomicznie</w:t>
      </w:r>
      <w:r w:rsidR="00E66B89">
        <w:t xml:space="preserve"> i </w:t>
      </w:r>
      <w:r>
        <w:t>długotrwale bezrobotnych</w:t>
      </w:r>
      <w:r w:rsidR="00E66B89">
        <w:t xml:space="preserve"> w </w:t>
      </w:r>
      <w:r>
        <w:t>wieku 25 lat</w:t>
      </w:r>
      <w:r w:rsidR="00E66B89">
        <w:t xml:space="preserve"> i </w:t>
      </w:r>
      <w:r>
        <w:t>starszych, które doświadczają wielu różnego rodzaju barier</w:t>
      </w:r>
      <w:r w:rsidR="00E66B89">
        <w:t xml:space="preserve"> w </w:t>
      </w:r>
      <w:r>
        <w:t>podjęciu zatrudnienia; 3) redukcja stopy niedostatecznego zatrudnienia lub nieobecności</w:t>
      </w:r>
      <w:r w:rsidR="00E66B89">
        <w:t xml:space="preserve"> w </w:t>
      </w:r>
      <w:r>
        <w:t>pracy osób zatrudnionych ze stanem zdrowia ograniczającym wykonywanie pracy i/lub</w:t>
      </w:r>
      <w:r w:rsidR="00E66B89">
        <w:t xml:space="preserve"> z </w:t>
      </w:r>
      <w:r>
        <w:t>innymi barierami utrudniającymi trwałe zaangażowanie</w:t>
      </w:r>
      <w:r w:rsidR="00E66B89">
        <w:t xml:space="preserve"> w </w:t>
      </w:r>
      <w:r>
        <w:t xml:space="preserve">rynek pracy. </w:t>
      </w:r>
      <w:r w:rsidRPr="000A5C21">
        <w:t>Do końca 2017 roku 70% (137 mln EUR) funduszy UE dostępnych</w:t>
      </w:r>
      <w:r w:rsidR="00E66B89">
        <w:t xml:space="preserve"> w </w:t>
      </w:r>
      <w:r w:rsidRPr="000A5C21">
        <w:t xml:space="preserve">ramach tego priorytetu zostało </w:t>
      </w:r>
      <w:r>
        <w:t>zainwestowanych</w:t>
      </w:r>
      <w:r w:rsidR="00E66B89">
        <w:t xml:space="preserve"> w </w:t>
      </w:r>
      <w:r>
        <w:t>10 projektów. Do końca</w:t>
      </w:r>
      <w:r w:rsidRPr="00E0410B">
        <w:t xml:space="preserve"> roku</w:t>
      </w:r>
      <w:r>
        <w:t xml:space="preserve"> 2017</w:t>
      </w:r>
      <w:r w:rsidRPr="00E0410B">
        <w:t xml:space="preserve"> </w:t>
      </w:r>
      <w:r>
        <w:t>wsparto</w:t>
      </w:r>
      <w:r w:rsidR="00E66B89">
        <w:t xml:space="preserve"> w </w:t>
      </w:r>
      <w:r w:rsidRPr="00E0410B">
        <w:t xml:space="preserve">ramach tego priorytetu ponad 15 900 </w:t>
      </w:r>
      <w:r>
        <w:t>osób</w:t>
      </w:r>
      <w:r w:rsidRPr="00E0410B">
        <w:t>,</w:t>
      </w:r>
      <w:r w:rsidR="00E66B89">
        <w:t xml:space="preserve"> z </w:t>
      </w:r>
      <w:r w:rsidRPr="00E0410B">
        <w:t xml:space="preserve">czego ponad 2 400 uczestników </w:t>
      </w:r>
      <w:r>
        <w:t xml:space="preserve">projektów </w:t>
      </w:r>
      <w:r w:rsidRPr="00E0410B">
        <w:t>znalazło zatrudnienie.</w:t>
      </w:r>
      <w:r>
        <w:t xml:space="preserve"> </w:t>
      </w:r>
      <w:r w:rsidRPr="000A5C21">
        <w:t xml:space="preserve">Większość </w:t>
      </w:r>
      <w:r>
        <w:t>środków finansowych uzyskali dotychczasowi beneficjenci, których wnioski</w:t>
      </w:r>
      <w:r w:rsidR="00E66B89">
        <w:t xml:space="preserve"> o </w:t>
      </w:r>
      <w:r>
        <w:t>dofinansowanie skupiały się na</w:t>
      </w:r>
      <w:r w:rsidR="00C22C26">
        <w:t xml:space="preserve"> </w:t>
      </w:r>
      <w:r>
        <w:t>rozszerzeniu realizowanych już działań lub przedłużeniu</w:t>
      </w:r>
      <w:r w:rsidRPr="000A5C21">
        <w:t xml:space="preserve"> cyklu życia projektów.</w:t>
      </w:r>
      <w:r w:rsidR="00E66B89">
        <w:t xml:space="preserve"> W </w:t>
      </w:r>
      <w:r>
        <w:t>2018 roku wybrano do realizacji kolejne 10 projektów, które są kontynuacją poprzednich. Realizacja większości</w:t>
      </w:r>
      <w:r w:rsidR="00E66B89">
        <w:t xml:space="preserve"> z </w:t>
      </w:r>
      <w:r>
        <w:t>nich rozpoczęła się</w:t>
      </w:r>
      <w:r w:rsidR="00E66B89">
        <w:t xml:space="preserve"> w </w:t>
      </w:r>
      <w:r>
        <w:t>2015 roku, pozostałych</w:t>
      </w:r>
      <w:r w:rsidR="00E66B89">
        <w:t xml:space="preserve"> w </w:t>
      </w:r>
      <w:r>
        <w:t>2016. Są to projekty długoletnie, których zakończenie planowane jest</w:t>
      </w:r>
      <w:r w:rsidR="00E66B89">
        <w:t xml:space="preserve"> w </w:t>
      </w:r>
      <w:r>
        <w:t>latach 2019-2022. 5</w:t>
      </w:r>
      <w:r w:rsidR="00E66B89">
        <w:t xml:space="preserve"> z </w:t>
      </w:r>
      <w:r>
        <w:t>nich obejmuje zasięgiem całą Walię Zachodnią</w:t>
      </w:r>
      <w:r w:rsidR="00E66B89">
        <w:t xml:space="preserve"> i </w:t>
      </w:r>
      <w:r>
        <w:t>Doliny, natomiast 5 to</w:t>
      </w:r>
      <w:r w:rsidR="00C22C26">
        <w:t xml:space="preserve"> </w:t>
      </w:r>
      <w:r>
        <w:t>projekty</w:t>
      </w:r>
      <w:r w:rsidR="00E66B89">
        <w:t xml:space="preserve"> o </w:t>
      </w:r>
      <w:r>
        <w:t>zasięgu regionalnym. Projekty</w:t>
      </w:r>
      <w:r w:rsidR="00E66B89">
        <w:t xml:space="preserve"> o </w:t>
      </w:r>
      <w:r>
        <w:t>szerszym zasięgu realizowane są przez trzy różne departamenty rządu Walii, natomiast beneficjentami dla 5 pozostałych są 2 organizacje pozarządowe oraz 3 samorządy lokalne.</w:t>
      </w:r>
      <w:r w:rsidR="00E66B89">
        <w:t xml:space="preserve"> W </w:t>
      </w:r>
      <w:r>
        <w:t>projektach regionalnych partnerami, którzy realizują poszczególne elementy projektu są głównie małe gminy oraz organizacje pozarządowe. Projekty ogólnokrajowe, jeśli realizowane są</w:t>
      </w:r>
      <w:r w:rsidR="00E66B89">
        <w:t xml:space="preserve"> w </w:t>
      </w:r>
      <w:r>
        <w:t>partnerstwie to przy wsparciu uniwersytetów, firm prywatnych oraz organizacji pozarządowych. Przykładem projektu, który otrzymał dofinansowanie</w:t>
      </w:r>
      <w:r w:rsidR="00E66B89">
        <w:t xml:space="preserve"> w </w:t>
      </w:r>
      <w:r>
        <w:t>ramach EFS,</w:t>
      </w:r>
      <w:r w:rsidR="00E66B89">
        <w:t xml:space="preserve"> a </w:t>
      </w:r>
      <w:r>
        <w:t>jego działania rozpoczęły się jeszcze przed okresem programowania jest program zatrudnienia Workways+. Projekt</w:t>
      </w:r>
      <w:r w:rsidRPr="000A5C21">
        <w:t xml:space="preserve"> już wcześniej wspierał osoby długotrwale bezrobotne</w:t>
      </w:r>
      <w:r w:rsidR="00E66B89">
        <w:t xml:space="preserve"> i </w:t>
      </w:r>
      <w:r w:rsidRPr="000A5C21">
        <w:t>nieaktywne zawodowo</w:t>
      </w:r>
      <w:r w:rsidR="00E66B89">
        <w:t xml:space="preserve"> w </w:t>
      </w:r>
      <w:r w:rsidRPr="000A5C21">
        <w:t>całej południowo-zachodniej Walii,</w:t>
      </w:r>
      <w:r w:rsidR="00E66B89">
        <w:t xml:space="preserve"> a w </w:t>
      </w:r>
      <w:r w:rsidRPr="000A5C21">
        <w:t xml:space="preserve">celu zwiększenia skali </w:t>
      </w:r>
      <w:r>
        <w:t>otrzymał dodatkowe fundusze</w:t>
      </w:r>
      <w:r w:rsidR="00E66B89">
        <w:t xml:space="preserve"> z </w:t>
      </w:r>
      <w:r>
        <w:t>EFS, co umożliwiło wsparcie kolejnych 2 tys. osób</w:t>
      </w:r>
      <w:r w:rsidRPr="000A5C21">
        <w:t xml:space="preserve">. Program Workways+ </w:t>
      </w:r>
      <w:r>
        <w:t>wspiera osoby</w:t>
      </w:r>
      <w:r w:rsidR="00E66B89">
        <w:t xml:space="preserve"> w </w:t>
      </w:r>
      <w:r w:rsidRPr="000A5C21">
        <w:t>znalezieniu pracy poprzez zapewnienie szkoleń</w:t>
      </w:r>
      <w:r w:rsidR="00E66B89">
        <w:t xml:space="preserve"> i </w:t>
      </w:r>
      <w:r w:rsidRPr="000A5C21">
        <w:t>możliwości zdobycia płatnego doświadczenia zawodowego. Program oferuje</w:t>
      </w:r>
      <w:r>
        <w:t xml:space="preserve"> również </w:t>
      </w:r>
      <w:r w:rsidRPr="000A5C21">
        <w:t>indy</w:t>
      </w:r>
      <w:r>
        <w:t xml:space="preserve">widualne doradztwo (mentoring). </w:t>
      </w:r>
      <w:r w:rsidRPr="00295004">
        <w:t>Zasadą przewodnią wszystkich interwencji</w:t>
      </w:r>
      <w:r w:rsidR="00E66B89">
        <w:t xml:space="preserve"> w </w:t>
      </w:r>
      <w:r>
        <w:t xml:space="preserve">ramach </w:t>
      </w:r>
      <w:r w:rsidRPr="00A32F58">
        <w:t xml:space="preserve">PI1 </w:t>
      </w:r>
      <w:r w:rsidRPr="00295004">
        <w:t>jest wspieranie osoby indywidualnej</w:t>
      </w:r>
      <w:r w:rsidR="00E66B89">
        <w:t xml:space="preserve"> w </w:t>
      </w:r>
      <w:r w:rsidRPr="00295004">
        <w:t>zdobyciu</w:t>
      </w:r>
      <w:r w:rsidR="00E66B89">
        <w:t xml:space="preserve"> i </w:t>
      </w:r>
      <w:r w:rsidRPr="00295004">
        <w:t>utrzymaniu trwałego zatrudnienia</w:t>
      </w:r>
      <w:r>
        <w:t xml:space="preserve"> -</w:t>
      </w:r>
      <w:r w:rsidR="00E66B89">
        <w:t xml:space="preserve"> w </w:t>
      </w:r>
      <w:r w:rsidRPr="00295004">
        <w:t>tym samozatrudnienia, jako środka zwalczania ubóstwa</w:t>
      </w:r>
      <w:r>
        <w:t xml:space="preserve">. </w:t>
      </w:r>
    </w:p>
    <w:p w14:paraId="66008721" w14:textId="77777777" w:rsidR="004A04D4" w:rsidRDefault="009D3A39">
      <w:r>
        <w:t>Jednym</w:t>
      </w:r>
      <w:r w:rsidR="00E66B89">
        <w:t xml:space="preserve"> z </w:t>
      </w:r>
      <w:r>
        <w:t>czynników sukcesu programu jest realizacja długoletnich projektów. Beneficjenci dzięki temu mają szansę na podstawie swoich doświadczeń</w:t>
      </w:r>
      <w:r w:rsidR="00E66B89">
        <w:t xml:space="preserve"> w </w:t>
      </w:r>
      <w:r>
        <w:t>realizacji projektów dostosowywać - do zmieniających się warunków - metody</w:t>
      </w:r>
      <w:r w:rsidR="00E66B89">
        <w:t xml:space="preserve"> i </w:t>
      </w:r>
      <w:r>
        <w:t>narzędzia wsparcia, które okazały się skuteczne. Dodatkowo poprzez ciągły kontakt</w:t>
      </w:r>
      <w:r w:rsidR="00E66B89">
        <w:t xml:space="preserve"> i </w:t>
      </w:r>
      <w:r>
        <w:t>obserwację grupy docelowej oraz efektów swoich działań beneficjenci wypracowują nowe rozwiązania, które odpowiadają na napotkane</w:t>
      </w:r>
      <w:r w:rsidR="00E66B89">
        <w:t xml:space="preserve"> w </w:t>
      </w:r>
      <w:r>
        <w:t>trakcie realizacji interwencji trudności. Sposób organizacji wsparcia poprzez dofinansowywanie tych samych projektów zapewnia również trwałość interwencji. Kolejnym czynnikiem sukcesu jest tworzenie partnerstw</w:t>
      </w:r>
      <w:r w:rsidR="00E66B89">
        <w:t xml:space="preserve"> i </w:t>
      </w:r>
      <w:r>
        <w:t>zlecanie koordynacji projektów lokalnym organizacjom oraz samorządom. Gminy, czy małe organizacje pozarządowe nie mają obciążenia administracyjnego</w:t>
      </w:r>
      <w:r w:rsidR="00E66B89">
        <w:t xml:space="preserve"> w </w:t>
      </w:r>
      <w:r>
        <w:t>postaci rozliczania projektów, choć muszą monitorować</w:t>
      </w:r>
      <w:r w:rsidR="00E66B89">
        <w:t xml:space="preserve"> i </w:t>
      </w:r>
      <w:r>
        <w:t>wykazywać realizację wskaźników oraz wydatkowanie środków. Niemniej jednak główny ciężar tego zadania spoczywa na liderze projektu. Organizowane są spotkania partnerów</w:t>
      </w:r>
      <w:r w:rsidR="00E66B89">
        <w:t xml:space="preserve"> w </w:t>
      </w:r>
      <w:r>
        <w:t xml:space="preserve">celu ustalenia postępów realizacji oraz rozwiązywania trudności. Ważną kwestią jest współpraca międzysektorowa. Korzyścią jest zwiększenie </w:t>
      </w:r>
      <w:r>
        <w:lastRenderedPageBreak/>
        <w:t>zasięgu działań</w:t>
      </w:r>
      <w:r w:rsidR="00E66B89">
        <w:t xml:space="preserve"> i </w:t>
      </w:r>
      <w:r>
        <w:t>możliwość dotarcia do różnych grup potencjalnych uczestników poprzez różne zasoby, które mają poszczególne podmioty np. bazy danych, możliwość bezpośredniego kontaktu</w:t>
      </w:r>
      <w:r w:rsidR="00E66B89">
        <w:t xml:space="preserve"> z </w:t>
      </w:r>
      <w:r>
        <w:t>osobami zagrożonymi wykluczeniem, możliwości promocji projektów</w:t>
      </w:r>
      <w:r w:rsidR="00E66B89">
        <w:t xml:space="preserve"> i </w:t>
      </w:r>
      <w:r>
        <w:t>prowadzenia działań informacyjnych do potencjalnych uczestników, innowacyjne metody wsparcia, specjalistyczna wiedza, zasoby ludzkie (np. wolontariusze),</w:t>
      </w:r>
      <w:r w:rsidR="00E66B89">
        <w:t xml:space="preserve"> a </w:t>
      </w:r>
      <w:r>
        <w:t xml:space="preserve">czasem również dodatkowe środki finansowe. </w:t>
      </w:r>
    </w:p>
    <w:p w14:paraId="3D4CEA4F" w14:textId="77777777" w:rsidR="009D3A39" w:rsidRPr="00C22C26" w:rsidRDefault="004A04D4">
      <w:pPr>
        <w:rPr>
          <w:rFonts w:ascii="Times New Roman" w:hAnsi="Times New Roman"/>
        </w:rPr>
      </w:pPr>
      <w:r>
        <w:t>Analiza wskazuje, że nie jest możliwe, aby</w:t>
      </w:r>
      <w:r w:rsidR="00E66B89">
        <w:t xml:space="preserve"> w </w:t>
      </w:r>
      <w:r>
        <w:t>całości przenieść ten model wdrażania interwencji na grunt województwa zachodniopomorskiego. Wymagałoby to zapewne istotnych uzgodnień na poziomie krajowym oraz zmian organizacyjnych, by poszczególne komórki organizacyjne samorządu województwa mogły stać się beneficjentami projektów - jak</w:t>
      </w:r>
      <w:r w:rsidR="00E66B89">
        <w:t xml:space="preserve"> w </w:t>
      </w:r>
      <w:r>
        <w:t>przypadku rządu Walii lub też, aby część projektów realizowały instytucje rządowe. Niemniej jednak możliwe jest ograniczenie ilości naborów konkursowych</w:t>
      </w:r>
      <w:r w:rsidR="00E66B89">
        <w:t xml:space="preserve"> i </w:t>
      </w:r>
      <w:r>
        <w:t>skupienie się częściowo na realizacji projektów długoletnich. Takie rozwiązanie można jednak przyjąć, dopiero po odpowiednim przygotowaniu potencjalnych beneficjentów do tworzenia trwałych partnerstw.</w:t>
      </w:r>
      <w:r w:rsidR="00E66B89">
        <w:t xml:space="preserve"> W </w:t>
      </w:r>
      <w:r>
        <w:t>tym celu należałoby zidentyfikować obszary, gdzie takie partnerstwa mają szansę się utworzyć, np. tam, gdzie istnieje potencjał NGO</w:t>
      </w:r>
      <w:r w:rsidR="00E66B89">
        <w:t xml:space="preserve"> w </w:t>
      </w:r>
      <w:r>
        <w:t>zakresie wspierania osób wykluczonych, działają PES, OPS</w:t>
      </w:r>
      <w:r w:rsidR="00E66B89">
        <w:t xml:space="preserve"> i </w:t>
      </w:r>
      <w:r>
        <w:t>PCPR</w:t>
      </w:r>
      <w:r w:rsidR="00E66B89">
        <w:t xml:space="preserve"> i </w:t>
      </w:r>
      <w:r>
        <w:t>PUP mają już doświadczenia</w:t>
      </w:r>
      <w:r w:rsidR="00E66B89">
        <w:t xml:space="preserve"> w </w:t>
      </w:r>
      <w:r>
        <w:t>realizacji projektów. Należałoby skoordynować działania tych instytucji</w:t>
      </w:r>
      <w:r w:rsidR="00E66B89">
        <w:t xml:space="preserve"> w </w:t>
      </w:r>
      <w:r>
        <w:t>obszarze aktywizacji osób zagrożonych wykluczeniem. Dodatkowo atutem partnerstw byłoby zaangażowanie uczelni wyższych i/lub firm zajmujących się doradztwem zawodowym/szkoleniami pracowników. Niezbędna byłaby organizacja spotkań sieciujących dla przedstawicieli poszczególnych podmiotów</w:t>
      </w:r>
      <w:r w:rsidR="00E66B89">
        <w:t xml:space="preserve"> i </w:t>
      </w:r>
      <w:r>
        <w:t>wsparcie</w:t>
      </w:r>
      <w:r w:rsidR="00E66B89">
        <w:t xml:space="preserve"> w </w:t>
      </w:r>
      <w:r>
        <w:t xml:space="preserve">wypracowaniu modelu takiego partnerstwa. </w:t>
      </w:r>
    </w:p>
    <w:p w14:paraId="4AC5B310" w14:textId="77777777" w:rsidR="009D3A39" w:rsidRPr="00FE43CD" w:rsidRDefault="009D3A39" w:rsidP="009D3A39">
      <w:pPr>
        <w:pStyle w:val="Nagwek4"/>
        <w:numPr>
          <w:ilvl w:val="0"/>
          <w:numId w:val="0"/>
        </w:numPr>
        <w:spacing w:before="120"/>
        <w:rPr>
          <w:rFonts w:ascii="Lato" w:eastAsia="Calibri" w:hAnsi="Lato"/>
        </w:rPr>
      </w:pPr>
      <w:r w:rsidRPr="00FE43CD">
        <w:rPr>
          <w:rFonts w:ascii="Lato" w:eastAsia="Calibri" w:hAnsi="Lato"/>
        </w:rPr>
        <w:t xml:space="preserve">Ocena potencjału absorpcyjnego </w:t>
      </w:r>
    </w:p>
    <w:p w14:paraId="1D7348E7" w14:textId="77777777" w:rsidR="009D3A39" w:rsidRPr="00404DA5" w:rsidRDefault="009D3A39" w:rsidP="009D3A39">
      <w:pPr>
        <w:rPr>
          <w:rFonts w:cs="Calibri"/>
          <w:color w:val="000000"/>
          <w:szCs w:val="20"/>
        </w:rPr>
      </w:pPr>
      <w:r w:rsidRPr="00404DA5">
        <w:rPr>
          <w:rFonts w:cs="Calibri"/>
          <w:color w:val="000000"/>
          <w:szCs w:val="20"/>
        </w:rPr>
        <w:t xml:space="preserve">W </w:t>
      </w:r>
      <w:r>
        <w:rPr>
          <w:rFonts w:cs="Calibri"/>
          <w:color w:val="000000"/>
          <w:szCs w:val="20"/>
        </w:rPr>
        <w:t xml:space="preserve">PI </w:t>
      </w:r>
      <w:r w:rsidRPr="00404DA5">
        <w:rPr>
          <w:rFonts w:cs="Calibri"/>
          <w:color w:val="000000"/>
          <w:szCs w:val="20"/>
        </w:rPr>
        <w:t>9i wystąpił problem</w:t>
      </w:r>
      <w:r w:rsidR="00E66B89">
        <w:rPr>
          <w:rFonts w:cs="Calibri"/>
          <w:color w:val="000000"/>
          <w:szCs w:val="20"/>
        </w:rPr>
        <w:t xml:space="preserve"> z </w:t>
      </w:r>
      <w:r w:rsidRPr="00404DA5">
        <w:rPr>
          <w:rFonts w:cs="Calibri"/>
          <w:color w:val="000000"/>
          <w:szCs w:val="20"/>
        </w:rPr>
        <w:t>realizacją typu projektu</w:t>
      </w:r>
      <w:r>
        <w:rPr>
          <w:rFonts w:cs="Calibri"/>
          <w:color w:val="000000"/>
          <w:szCs w:val="20"/>
        </w:rPr>
        <w:t xml:space="preserve">: </w:t>
      </w:r>
      <w:r w:rsidRPr="008B706B">
        <w:rPr>
          <w:rFonts w:cs="Calibri"/>
          <w:i/>
          <w:color w:val="000000"/>
          <w:szCs w:val="20"/>
        </w:rPr>
        <w:t>1.</w:t>
      </w:r>
      <w:r>
        <w:rPr>
          <w:rFonts w:cs="Calibri"/>
          <w:color w:val="000000"/>
          <w:szCs w:val="20"/>
        </w:rPr>
        <w:t xml:space="preserve"> </w:t>
      </w:r>
      <w:r w:rsidRPr="008B706B">
        <w:rPr>
          <w:rFonts w:cs="Calibri"/>
          <w:i/>
          <w:color w:val="000000"/>
          <w:szCs w:val="20"/>
        </w:rPr>
        <w:t>Programy na rzecz integracji osób</w:t>
      </w:r>
      <w:r w:rsidR="00E66B89">
        <w:rPr>
          <w:rFonts w:cs="Calibri"/>
          <w:i/>
          <w:color w:val="000000"/>
          <w:szCs w:val="20"/>
        </w:rPr>
        <w:t xml:space="preserve"> i </w:t>
      </w:r>
      <w:r w:rsidRPr="008B706B">
        <w:rPr>
          <w:rFonts w:cs="Calibri"/>
          <w:i/>
          <w:color w:val="000000"/>
          <w:szCs w:val="20"/>
        </w:rPr>
        <w:t>rodzin zagrożonych ubóstwem i/lub wykluczeniem społecznym ukierunkowane na aktywizację społeczno-zawodową wykorzystującą instrumenty aktywizacji edukacyjnej, społecznej, zawodowej</w:t>
      </w:r>
      <w:r>
        <w:rPr>
          <w:rStyle w:val="Odwoanieprzypisudolnego"/>
          <w:rFonts w:cs="Calibri"/>
          <w:i/>
          <w:color w:val="000000"/>
          <w:szCs w:val="20"/>
        </w:rPr>
        <w:footnoteReference w:id="105"/>
      </w:r>
      <w:r w:rsidRPr="00404DA5">
        <w:rPr>
          <w:rFonts w:cs="Calibri"/>
          <w:color w:val="000000"/>
          <w:szCs w:val="20"/>
        </w:rPr>
        <w:t>. Jednostki pomocy społecznej charakteryzują się niskim potencjałem aplikacyjnym.</w:t>
      </w:r>
      <w:r w:rsidR="00E66B89">
        <w:rPr>
          <w:rFonts w:cs="Calibri"/>
          <w:color w:val="000000"/>
          <w:szCs w:val="20"/>
        </w:rPr>
        <w:t xml:space="preserve"> W </w:t>
      </w:r>
      <w:r w:rsidRPr="00404DA5">
        <w:rPr>
          <w:rFonts w:cs="Calibri"/>
          <w:color w:val="000000"/>
          <w:szCs w:val="20"/>
        </w:rPr>
        <w:t>ramach Działania 7.1</w:t>
      </w:r>
      <w:r>
        <w:rPr>
          <w:rFonts w:cs="Calibri"/>
          <w:color w:val="000000"/>
          <w:szCs w:val="20"/>
        </w:rPr>
        <w:t>,</w:t>
      </w:r>
      <w:r w:rsidR="00E66B89">
        <w:rPr>
          <w:rFonts w:cs="Calibri"/>
          <w:color w:val="000000"/>
          <w:szCs w:val="20"/>
        </w:rPr>
        <w:t xml:space="preserve"> w </w:t>
      </w:r>
      <w:r w:rsidRPr="00404DA5">
        <w:rPr>
          <w:rFonts w:cs="Calibri"/>
          <w:color w:val="000000"/>
          <w:szCs w:val="20"/>
        </w:rPr>
        <w:t>którym realizowane są projekty JST</w:t>
      </w:r>
      <w:r>
        <w:rPr>
          <w:rFonts w:cs="Calibri"/>
          <w:color w:val="000000"/>
          <w:szCs w:val="20"/>
        </w:rPr>
        <w:t>,</w:t>
      </w:r>
      <w:r w:rsidRPr="00404DA5">
        <w:rPr>
          <w:rFonts w:cs="Calibri"/>
          <w:color w:val="000000"/>
          <w:szCs w:val="20"/>
        </w:rPr>
        <w:t xml:space="preserve"> projekty innych podmiotów stanowią 60% wszystkich projektów.</w:t>
      </w:r>
      <w:r w:rsidR="00E66B89">
        <w:rPr>
          <w:rFonts w:cs="Calibri"/>
          <w:color w:val="000000"/>
          <w:szCs w:val="20"/>
        </w:rPr>
        <w:t xml:space="preserve"> W </w:t>
      </w:r>
      <w:r w:rsidRPr="00404DA5">
        <w:rPr>
          <w:rFonts w:cs="Calibri"/>
          <w:color w:val="000000"/>
          <w:szCs w:val="20"/>
        </w:rPr>
        <w:t>Działaniu 7.2 początkowo zauważono trudności</w:t>
      </w:r>
      <w:r w:rsidR="00E66B89">
        <w:rPr>
          <w:rFonts w:cs="Calibri"/>
          <w:color w:val="000000"/>
          <w:szCs w:val="20"/>
        </w:rPr>
        <w:t xml:space="preserve"> w </w:t>
      </w:r>
      <w:r w:rsidRPr="00404DA5">
        <w:rPr>
          <w:rFonts w:cs="Calibri"/>
          <w:color w:val="000000"/>
          <w:szCs w:val="20"/>
        </w:rPr>
        <w:t>aplikowaniu.</w:t>
      </w:r>
      <w:r w:rsidR="00E66B89">
        <w:rPr>
          <w:rFonts w:cs="Calibri"/>
          <w:color w:val="000000"/>
          <w:szCs w:val="20"/>
        </w:rPr>
        <w:t xml:space="preserve"> W </w:t>
      </w:r>
      <w:r w:rsidRPr="00404DA5">
        <w:rPr>
          <w:rFonts w:cs="Calibri"/>
          <w:color w:val="000000"/>
          <w:szCs w:val="20"/>
        </w:rPr>
        <w:t>naborze</w:t>
      </w:r>
      <w:r>
        <w:rPr>
          <w:rFonts w:cs="Calibri"/>
          <w:color w:val="000000"/>
          <w:szCs w:val="20"/>
        </w:rPr>
        <w:t>,</w:t>
      </w:r>
      <w:r w:rsidR="00E66B89">
        <w:rPr>
          <w:rFonts w:cs="Calibri"/>
          <w:color w:val="000000"/>
          <w:szCs w:val="20"/>
        </w:rPr>
        <w:t xml:space="preserve"> w </w:t>
      </w:r>
      <w:r w:rsidRPr="00404DA5">
        <w:rPr>
          <w:rFonts w:cs="Calibri"/>
          <w:color w:val="000000"/>
          <w:szCs w:val="20"/>
        </w:rPr>
        <w:t>2016 roku</w:t>
      </w:r>
      <w:r>
        <w:rPr>
          <w:rFonts w:cs="Calibri"/>
          <w:color w:val="000000"/>
          <w:szCs w:val="20"/>
        </w:rPr>
        <w:t>,</w:t>
      </w:r>
      <w:r w:rsidRPr="00404DA5">
        <w:rPr>
          <w:rFonts w:cs="Calibri"/>
          <w:color w:val="000000"/>
          <w:szCs w:val="20"/>
        </w:rPr>
        <w:t xml:space="preserve"> połowa zgłoszonych wniosków nie przeszła pozytywnie oceny pod kątem merytorycznym –</w:t>
      </w:r>
      <w:r w:rsidR="00E66B89">
        <w:rPr>
          <w:rFonts w:cs="Calibri"/>
          <w:color w:val="000000"/>
          <w:szCs w:val="20"/>
        </w:rPr>
        <w:t xml:space="preserve"> w </w:t>
      </w:r>
      <w:r>
        <w:rPr>
          <w:rFonts w:cs="Calibri"/>
          <w:color w:val="000000"/>
          <w:szCs w:val="20"/>
        </w:rPr>
        <w:t>tej grupie</w:t>
      </w:r>
      <w:r w:rsidRPr="00404DA5">
        <w:rPr>
          <w:rFonts w:cs="Calibri"/>
          <w:color w:val="000000"/>
          <w:szCs w:val="20"/>
        </w:rPr>
        <w:t xml:space="preserve"> znalazły się również projekty JST.</w:t>
      </w:r>
      <w:r w:rsidR="00E66B89">
        <w:rPr>
          <w:rFonts w:cs="Calibri"/>
          <w:color w:val="000000"/>
          <w:szCs w:val="20"/>
        </w:rPr>
        <w:t xml:space="preserve"> W </w:t>
      </w:r>
      <w:r w:rsidRPr="00404DA5">
        <w:rPr>
          <w:rFonts w:cs="Calibri"/>
          <w:color w:val="000000"/>
          <w:szCs w:val="20"/>
        </w:rPr>
        <w:t>2017 roku wniosków, które rozpatrzono pozytywnie było już 70% spośród wszystkich złożonych.</w:t>
      </w:r>
      <w:r w:rsidR="00E66B89">
        <w:rPr>
          <w:rFonts w:cs="Calibri"/>
          <w:color w:val="000000"/>
          <w:szCs w:val="20"/>
        </w:rPr>
        <w:t xml:space="preserve"> W </w:t>
      </w:r>
      <w:r w:rsidRPr="00404DA5">
        <w:rPr>
          <w:rFonts w:cs="Calibri"/>
          <w:color w:val="000000"/>
          <w:szCs w:val="20"/>
        </w:rPr>
        <w:t>2018 roku</w:t>
      </w:r>
      <w:r w:rsidR="00E66B89">
        <w:rPr>
          <w:rFonts w:cs="Calibri"/>
          <w:color w:val="000000"/>
          <w:szCs w:val="20"/>
        </w:rPr>
        <w:t xml:space="preserve"> z </w:t>
      </w:r>
      <w:r w:rsidRPr="00404DA5">
        <w:rPr>
          <w:rFonts w:cs="Calibri"/>
          <w:color w:val="000000"/>
          <w:szCs w:val="20"/>
        </w:rPr>
        <w:t>17 projektów, wybrano 5. Można powiedzieć, że potencjał aplikacyjny</w:t>
      </w:r>
      <w:r w:rsidR="00E66B89">
        <w:rPr>
          <w:rFonts w:cs="Calibri"/>
          <w:color w:val="000000"/>
          <w:szCs w:val="20"/>
        </w:rPr>
        <w:t xml:space="preserve"> w </w:t>
      </w:r>
      <w:r w:rsidRPr="00404DA5">
        <w:rPr>
          <w:rFonts w:cs="Calibri"/>
          <w:color w:val="000000"/>
          <w:szCs w:val="20"/>
        </w:rPr>
        <w:t>ramach Działania 7.2 wzrasta.</w:t>
      </w:r>
      <w:r w:rsidR="00E66B89">
        <w:rPr>
          <w:rFonts w:cs="Calibri"/>
          <w:color w:val="000000"/>
          <w:szCs w:val="20"/>
        </w:rPr>
        <w:t xml:space="preserve"> W </w:t>
      </w:r>
      <w:r w:rsidRPr="00404DA5">
        <w:rPr>
          <w:rFonts w:cs="Calibri"/>
          <w:color w:val="000000"/>
          <w:szCs w:val="20"/>
        </w:rPr>
        <w:t>całym PI 9i zdecydowanie wyższym potencjałem charakteryzują się podmioty prywatne oraz organizacje pozarządowe, których aktywnych</w:t>
      </w:r>
      <w:r w:rsidR="00E66B89">
        <w:rPr>
          <w:rFonts w:cs="Calibri"/>
          <w:color w:val="000000"/>
          <w:szCs w:val="20"/>
        </w:rPr>
        <w:t xml:space="preserve"> w </w:t>
      </w:r>
      <w:r w:rsidRPr="00404DA5">
        <w:rPr>
          <w:rFonts w:cs="Calibri"/>
          <w:color w:val="000000"/>
          <w:szCs w:val="20"/>
        </w:rPr>
        <w:t>regionie jest 3,9 tys</w:t>
      </w:r>
      <w:r w:rsidRPr="00404DA5">
        <w:rPr>
          <w:rStyle w:val="Odwoanieprzypisudolnego"/>
          <w:color w:val="000000"/>
          <w:szCs w:val="20"/>
        </w:rPr>
        <w:footnoteReference w:id="106"/>
      </w:r>
      <w:r w:rsidRPr="00404DA5">
        <w:rPr>
          <w:rFonts w:cs="Calibri"/>
          <w:color w:val="000000"/>
          <w:szCs w:val="20"/>
        </w:rPr>
        <w:t>. Potencjał aplikacyjny NGO</w:t>
      </w:r>
      <w:r w:rsidR="00E66B89">
        <w:rPr>
          <w:rFonts w:cs="Calibri"/>
          <w:color w:val="000000"/>
          <w:szCs w:val="20"/>
        </w:rPr>
        <w:t xml:space="preserve"> i </w:t>
      </w:r>
      <w:r w:rsidRPr="00404DA5">
        <w:rPr>
          <w:rFonts w:cs="Calibri"/>
          <w:color w:val="000000"/>
          <w:szCs w:val="20"/>
        </w:rPr>
        <w:t>przedsiębiorstw potwierdzają również wyniki badania ilościowego CAWI</w:t>
      </w:r>
      <w:r w:rsidR="00E66B89">
        <w:rPr>
          <w:rFonts w:cs="Calibri"/>
          <w:color w:val="000000"/>
          <w:szCs w:val="20"/>
        </w:rPr>
        <w:t xml:space="preserve"> z </w:t>
      </w:r>
      <w:r w:rsidRPr="00404DA5">
        <w:rPr>
          <w:rFonts w:cs="Calibri"/>
          <w:color w:val="000000"/>
          <w:szCs w:val="20"/>
        </w:rPr>
        <w:t>beneficjentami. Spośród 59 beneficjentów biorących udział</w:t>
      </w:r>
      <w:r w:rsidR="00E66B89">
        <w:rPr>
          <w:rFonts w:cs="Calibri"/>
          <w:color w:val="000000"/>
          <w:szCs w:val="20"/>
        </w:rPr>
        <w:t xml:space="preserve"> w </w:t>
      </w:r>
      <w:r w:rsidRPr="00404DA5">
        <w:rPr>
          <w:rFonts w:cs="Calibri"/>
          <w:color w:val="000000"/>
          <w:szCs w:val="20"/>
        </w:rPr>
        <w:t>badaniu, którzy chcieliby się ubiegać</w:t>
      </w:r>
      <w:r w:rsidR="00E66B89">
        <w:rPr>
          <w:rFonts w:cs="Calibri"/>
          <w:color w:val="000000"/>
          <w:szCs w:val="20"/>
        </w:rPr>
        <w:t xml:space="preserve"> o </w:t>
      </w:r>
      <w:r w:rsidRPr="00404DA5">
        <w:rPr>
          <w:rFonts w:cs="Calibri"/>
          <w:color w:val="000000"/>
          <w:szCs w:val="20"/>
        </w:rPr>
        <w:t>wsparcie</w:t>
      </w:r>
      <w:r w:rsidR="00E66B89">
        <w:rPr>
          <w:rFonts w:cs="Calibri"/>
          <w:color w:val="000000"/>
          <w:szCs w:val="20"/>
        </w:rPr>
        <w:t xml:space="preserve"> w </w:t>
      </w:r>
      <w:r w:rsidRPr="00404DA5">
        <w:rPr>
          <w:rFonts w:cs="Calibri"/>
          <w:color w:val="000000"/>
          <w:szCs w:val="20"/>
        </w:rPr>
        <w:t>ramach OP VII</w:t>
      </w:r>
      <w:r>
        <w:rPr>
          <w:rFonts w:cs="Calibri"/>
          <w:color w:val="000000"/>
          <w:szCs w:val="20"/>
        </w:rPr>
        <w:t>,</w:t>
      </w:r>
      <w:r w:rsidRPr="00404DA5">
        <w:rPr>
          <w:rFonts w:cs="Calibri"/>
          <w:color w:val="000000"/>
          <w:szCs w:val="20"/>
        </w:rPr>
        <w:t xml:space="preserve"> najwięcej jest NGO oraz przedsiębiorstw. Spośród nich</w:t>
      </w:r>
      <w:r>
        <w:rPr>
          <w:rFonts w:cs="Calibri"/>
          <w:color w:val="000000"/>
          <w:szCs w:val="20"/>
        </w:rPr>
        <w:t>:</w:t>
      </w:r>
      <w:r w:rsidRPr="00404DA5">
        <w:rPr>
          <w:rFonts w:cs="Calibri"/>
          <w:color w:val="000000"/>
          <w:szCs w:val="20"/>
        </w:rPr>
        <w:t xml:space="preserve"> 75% chciałoby się ubiegać</w:t>
      </w:r>
      <w:r w:rsidR="00E66B89">
        <w:rPr>
          <w:rFonts w:cs="Calibri"/>
          <w:color w:val="000000"/>
          <w:szCs w:val="20"/>
        </w:rPr>
        <w:t xml:space="preserve"> o </w:t>
      </w:r>
      <w:r w:rsidRPr="00404DA5">
        <w:rPr>
          <w:rFonts w:cs="Calibri"/>
          <w:color w:val="000000"/>
          <w:szCs w:val="20"/>
        </w:rPr>
        <w:t>wsparcie</w:t>
      </w:r>
      <w:r w:rsidR="00E66B89">
        <w:rPr>
          <w:rFonts w:cs="Calibri"/>
          <w:color w:val="000000"/>
          <w:szCs w:val="20"/>
        </w:rPr>
        <w:t xml:space="preserve"> w </w:t>
      </w:r>
      <w:r w:rsidRPr="00404DA5">
        <w:rPr>
          <w:rFonts w:cs="Calibri"/>
          <w:color w:val="000000"/>
          <w:szCs w:val="20"/>
        </w:rPr>
        <w:t>ramach programów na rzecz integracji osób</w:t>
      </w:r>
      <w:r w:rsidR="00E66B89">
        <w:rPr>
          <w:rFonts w:cs="Calibri"/>
          <w:color w:val="000000"/>
          <w:szCs w:val="20"/>
        </w:rPr>
        <w:t xml:space="preserve"> i </w:t>
      </w:r>
      <w:r w:rsidRPr="00404DA5">
        <w:rPr>
          <w:rFonts w:cs="Calibri"/>
          <w:color w:val="000000"/>
          <w:szCs w:val="20"/>
        </w:rPr>
        <w:t>rodzin zagrożonych ubóstwem i/lub wykluczeniem społecznym ukierunkowanych na aktywizację społeczno-zawodową wykorzystującą instrumenty aktywizacji edukacyjnej, społecznej, zawodowej</w:t>
      </w:r>
      <w:r>
        <w:rPr>
          <w:rFonts w:cs="Calibri"/>
          <w:color w:val="000000"/>
          <w:szCs w:val="20"/>
        </w:rPr>
        <w:t>;</w:t>
      </w:r>
      <w:r w:rsidRPr="00404DA5">
        <w:rPr>
          <w:rFonts w:cs="Calibri"/>
          <w:color w:val="000000"/>
          <w:szCs w:val="20"/>
        </w:rPr>
        <w:t xml:space="preserve"> natomiast 39% na wsparcie dla tworzenia podmiotów integracji społecznej oraz podmiotów działających na rzecz aktywizacji społeczno-zawodowej. NGO oraz inne podmioty niebędące JST widzą możliwość wsparcia osób znajdujących się</w:t>
      </w:r>
      <w:r w:rsidR="00E66B89">
        <w:rPr>
          <w:rFonts w:cs="Calibri"/>
          <w:color w:val="000000"/>
          <w:szCs w:val="20"/>
        </w:rPr>
        <w:t xml:space="preserve"> w </w:t>
      </w:r>
      <w:r w:rsidRPr="00404DA5">
        <w:rPr>
          <w:rFonts w:cs="Calibri"/>
          <w:color w:val="000000"/>
          <w:szCs w:val="20"/>
        </w:rPr>
        <w:t>najtrudniejszej sytuacji</w:t>
      </w:r>
      <w:r w:rsidR="00E66B89">
        <w:rPr>
          <w:rFonts w:cs="Calibri"/>
          <w:color w:val="000000"/>
          <w:szCs w:val="20"/>
        </w:rPr>
        <w:t xml:space="preserve"> i </w:t>
      </w:r>
      <w:r w:rsidRPr="00404DA5">
        <w:rPr>
          <w:rFonts w:cs="Calibri"/>
          <w:color w:val="000000"/>
          <w:szCs w:val="20"/>
        </w:rPr>
        <w:t>realizację działań</w:t>
      </w:r>
      <w:r w:rsidR="00E66B89">
        <w:rPr>
          <w:rFonts w:cs="Calibri"/>
          <w:color w:val="000000"/>
          <w:szCs w:val="20"/>
        </w:rPr>
        <w:t xml:space="preserve"> z </w:t>
      </w:r>
      <w:r w:rsidRPr="00404DA5">
        <w:rPr>
          <w:rFonts w:cs="Calibri"/>
          <w:color w:val="000000"/>
          <w:szCs w:val="20"/>
        </w:rPr>
        <w:t>zakresu aktywizacji społeczno-zawodowej. Podmioty te</w:t>
      </w:r>
      <w:r>
        <w:rPr>
          <w:rFonts w:cs="Calibri"/>
          <w:color w:val="000000"/>
          <w:szCs w:val="20"/>
        </w:rPr>
        <w:t xml:space="preserve"> -</w:t>
      </w:r>
      <w:r w:rsidR="00E66B89">
        <w:rPr>
          <w:rFonts w:cs="Calibri"/>
          <w:color w:val="000000"/>
          <w:szCs w:val="20"/>
        </w:rPr>
        <w:t xml:space="preserve"> z </w:t>
      </w:r>
      <w:r w:rsidRPr="00404DA5">
        <w:rPr>
          <w:rFonts w:cs="Calibri"/>
          <w:color w:val="000000"/>
          <w:szCs w:val="20"/>
        </w:rPr>
        <w:t>uwagi na brak obciążeń administracyjnych</w:t>
      </w:r>
      <w:r>
        <w:rPr>
          <w:rFonts w:cs="Calibri"/>
          <w:color w:val="000000"/>
          <w:szCs w:val="20"/>
        </w:rPr>
        <w:t xml:space="preserve"> -</w:t>
      </w:r>
      <w:r w:rsidRPr="00404DA5">
        <w:rPr>
          <w:rFonts w:cs="Calibri"/>
          <w:color w:val="000000"/>
          <w:szCs w:val="20"/>
        </w:rPr>
        <w:t xml:space="preserve"> są</w:t>
      </w:r>
      <w:r w:rsidR="00E66B89">
        <w:rPr>
          <w:rFonts w:cs="Calibri"/>
          <w:color w:val="000000"/>
          <w:szCs w:val="20"/>
        </w:rPr>
        <w:t xml:space="preserve"> w </w:t>
      </w:r>
      <w:r>
        <w:rPr>
          <w:rFonts w:cs="Calibri"/>
          <w:color w:val="000000"/>
          <w:szCs w:val="20"/>
        </w:rPr>
        <w:t xml:space="preserve">stanie szybciej przygotować się do realizacji projektów, niż </w:t>
      </w:r>
      <w:r w:rsidRPr="00404DA5">
        <w:rPr>
          <w:rFonts w:cs="Calibri"/>
          <w:color w:val="000000"/>
          <w:szCs w:val="20"/>
        </w:rPr>
        <w:t>OPS</w:t>
      </w:r>
      <w:r w:rsidR="00E66B89">
        <w:rPr>
          <w:rFonts w:cs="Calibri"/>
          <w:color w:val="000000"/>
          <w:szCs w:val="20"/>
        </w:rPr>
        <w:t xml:space="preserve"> i </w:t>
      </w:r>
      <w:r w:rsidRPr="00404DA5">
        <w:rPr>
          <w:rFonts w:cs="Calibri"/>
          <w:color w:val="000000"/>
          <w:szCs w:val="20"/>
        </w:rPr>
        <w:t>PCPR. Trudności,</w:t>
      </w:r>
      <w:r w:rsidR="00E66B89">
        <w:rPr>
          <w:rFonts w:cs="Calibri"/>
          <w:color w:val="000000"/>
          <w:szCs w:val="20"/>
        </w:rPr>
        <w:t xml:space="preserve"> z </w:t>
      </w:r>
      <w:r w:rsidRPr="00404DA5">
        <w:rPr>
          <w:rFonts w:cs="Calibri"/>
          <w:color w:val="000000"/>
          <w:szCs w:val="20"/>
        </w:rPr>
        <w:t>którymi się mierzą są podobne do trudności innych beneficjentów – diagnozuje się</w:t>
      </w:r>
      <w:r>
        <w:rPr>
          <w:rFonts w:cs="Calibri"/>
          <w:color w:val="000000"/>
          <w:szCs w:val="20"/>
        </w:rPr>
        <w:t xml:space="preserve"> tu również</w:t>
      </w:r>
      <w:r w:rsidRPr="00404DA5">
        <w:rPr>
          <w:rFonts w:cs="Calibri"/>
          <w:color w:val="000000"/>
          <w:szCs w:val="20"/>
        </w:rPr>
        <w:t xml:space="preserve"> problemy</w:t>
      </w:r>
      <w:r w:rsidR="00E66B89">
        <w:rPr>
          <w:rFonts w:cs="Calibri"/>
          <w:color w:val="000000"/>
          <w:szCs w:val="20"/>
        </w:rPr>
        <w:t xml:space="preserve"> w </w:t>
      </w:r>
      <w:r w:rsidRPr="00404DA5">
        <w:rPr>
          <w:rFonts w:cs="Calibri"/>
          <w:color w:val="000000"/>
          <w:szCs w:val="20"/>
        </w:rPr>
        <w:t>rekrutacji uczestników. Wynikają one</w:t>
      </w:r>
      <w:r w:rsidR="00E66B89">
        <w:rPr>
          <w:rFonts w:cs="Calibri"/>
          <w:color w:val="000000"/>
          <w:szCs w:val="20"/>
        </w:rPr>
        <w:t xml:space="preserve"> z </w:t>
      </w:r>
      <w:r w:rsidRPr="00404DA5">
        <w:rPr>
          <w:rFonts w:cs="Calibri"/>
          <w:color w:val="000000"/>
          <w:szCs w:val="20"/>
        </w:rPr>
        <w:t>braku bazy potencjalnych uczestników</w:t>
      </w:r>
      <w:r w:rsidR="00E66B89">
        <w:rPr>
          <w:rFonts w:cs="Calibri"/>
          <w:color w:val="000000"/>
          <w:szCs w:val="20"/>
        </w:rPr>
        <w:t xml:space="preserve"> i </w:t>
      </w:r>
      <w:r w:rsidRPr="00404DA5">
        <w:rPr>
          <w:rFonts w:cs="Calibri"/>
          <w:color w:val="000000"/>
          <w:szCs w:val="20"/>
        </w:rPr>
        <w:t xml:space="preserve">braku możliwości dotarcia do nich bezpośrednio. Pod tym </w:t>
      </w:r>
      <w:r w:rsidRPr="00404DA5">
        <w:rPr>
          <w:rFonts w:cs="Calibri"/>
          <w:color w:val="000000"/>
          <w:szCs w:val="20"/>
        </w:rPr>
        <w:lastRenderedPageBreak/>
        <w:t>względem niezwykle cenne dla działań realizowanych</w:t>
      </w:r>
      <w:r w:rsidR="00E66B89">
        <w:rPr>
          <w:rFonts w:cs="Calibri"/>
          <w:color w:val="000000"/>
          <w:szCs w:val="20"/>
        </w:rPr>
        <w:t xml:space="preserve"> w </w:t>
      </w:r>
      <w:r w:rsidRPr="00404DA5">
        <w:rPr>
          <w:rFonts w:cs="Calibri"/>
          <w:color w:val="000000"/>
          <w:szCs w:val="20"/>
        </w:rPr>
        <w:t>ramach PI</w:t>
      </w:r>
      <w:r>
        <w:rPr>
          <w:rFonts w:cs="Calibri"/>
          <w:color w:val="000000"/>
          <w:szCs w:val="20"/>
        </w:rPr>
        <w:t xml:space="preserve"> </w:t>
      </w:r>
      <w:r w:rsidRPr="00404DA5">
        <w:rPr>
          <w:rFonts w:cs="Calibri"/>
          <w:color w:val="000000"/>
          <w:szCs w:val="20"/>
        </w:rPr>
        <w:t>9i byłyby partnerstwa</w:t>
      </w:r>
      <w:r w:rsidR="00E66B89">
        <w:rPr>
          <w:rFonts w:cs="Calibri"/>
          <w:color w:val="000000"/>
          <w:szCs w:val="20"/>
        </w:rPr>
        <w:t xml:space="preserve"> z </w:t>
      </w:r>
      <w:r w:rsidRPr="00404DA5">
        <w:rPr>
          <w:rFonts w:cs="Calibri"/>
          <w:color w:val="000000"/>
          <w:szCs w:val="20"/>
        </w:rPr>
        <w:t>jednostkami pomocy społecznej. Działania, które mogłyby uskutecznić wspólne wnioskowanie</w:t>
      </w:r>
      <w:r w:rsidR="00E66B89">
        <w:rPr>
          <w:rFonts w:cs="Calibri"/>
          <w:color w:val="000000"/>
          <w:szCs w:val="20"/>
        </w:rPr>
        <w:t xml:space="preserve"> o </w:t>
      </w:r>
      <w:r w:rsidRPr="00404DA5">
        <w:rPr>
          <w:rFonts w:cs="Calibri"/>
          <w:color w:val="000000"/>
          <w:szCs w:val="20"/>
        </w:rPr>
        <w:t>środki to m.in. spotkania organizowane dla przedstawicieli NGO</w:t>
      </w:r>
      <w:r w:rsidR="00E66B89">
        <w:rPr>
          <w:rFonts w:cs="Calibri"/>
          <w:color w:val="000000"/>
          <w:szCs w:val="20"/>
        </w:rPr>
        <w:t xml:space="preserve"> i </w:t>
      </w:r>
      <w:r w:rsidRPr="00404DA5">
        <w:rPr>
          <w:rFonts w:cs="Calibri"/>
          <w:color w:val="000000"/>
          <w:szCs w:val="20"/>
        </w:rPr>
        <w:t>jednostek pomocy społecznej</w:t>
      </w:r>
      <w:r w:rsidR="00E66B89">
        <w:rPr>
          <w:rFonts w:cs="Calibri"/>
          <w:color w:val="000000"/>
          <w:szCs w:val="20"/>
        </w:rPr>
        <w:t xml:space="preserve"> z </w:t>
      </w:r>
      <w:r w:rsidRPr="00404DA5">
        <w:rPr>
          <w:rFonts w:cs="Calibri"/>
          <w:color w:val="000000"/>
          <w:szCs w:val="20"/>
        </w:rPr>
        <w:t>danego regionu.</w:t>
      </w:r>
      <w:r w:rsidR="00E66B89">
        <w:rPr>
          <w:rFonts w:cs="Calibri"/>
          <w:color w:val="000000"/>
          <w:szCs w:val="20"/>
        </w:rPr>
        <w:t xml:space="preserve"> W </w:t>
      </w:r>
      <w:r w:rsidRPr="00404DA5">
        <w:rPr>
          <w:rFonts w:cs="Calibri"/>
          <w:color w:val="000000"/>
          <w:szCs w:val="20"/>
        </w:rPr>
        <w:t>pierwszej kolejności należałoby skupić się na tych obszarach, gdzie diagnozuje się najwięcej osób zagrożonych ubóstwem</w:t>
      </w:r>
      <w:r w:rsidR="00E66B89">
        <w:rPr>
          <w:rFonts w:cs="Calibri"/>
          <w:color w:val="000000"/>
          <w:szCs w:val="20"/>
        </w:rPr>
        <w:t xml:space="preserve"> i </w:t>
      </w:r>
      <w:r w:rsidRPr="00404DA5">
        <w:rPr>
          <w:rFonts w:cs="Calibri"/>
          <w:color w:val="000000"/>
          <w:szCs w:val="20"/>
        </w:rPr>
        <w:t>wykluczeniem społecznym</w:t>
      </w:r>
      <w:r>
        <w:rPr>
          <w:rFonts w:cs="Calibri"/>
          <w:color w:val="000000"/>
          <w:szCs w:val="20"/>
        </w:rPr>
        <w:t xml:space="preserve"> -</w:t>
      </w:r>
      <w:r w:rsidR="00E66B89">
        <w:rPr>
          <w:rFonts w:cs="Calibri"/>
          <w:color w:val="000000"/>
          <w:szCs w:val="20"/>
        </w:rPr>
        <w:t xml:space="preserve"> a w </w:t>
      </w:r>
      <w:r w:rsidRPr="00404DA5">
        <w:rPr>
          <w:rFonts w:cs="Calibri"/>
          <w:color w:val="000000"/>
          <w:szCs w:val="20"/>
        </w:rPr>
        <w:t>szczególności tam, gdzie najwięcej jest osób głęboko wykluczonych. Przesłanką do preferencji takich obszarów mógłby być wysoki udział osób długotrwale bezrobotnych</w:t>
      </w:r>
      <w:r w:rsidR="00E66B89">
        <w:rPr>
          <w:rFonts w:cs="Calibri"/>
          <w:color w:val="000000"/>
          <w:szCs w:val="20"/>
        </w:rPr>
        <w:t xml:space="preserve"> w </w:t>
      </w:r>
      <w:r w:rsidRPr="00404DA5">
        <w:rPr>
          <w:rFonts w:cs="Calibri"/>
          <w:color w:val="000000"/>
          <w:szCs w:val="20"/>
        </w:rPr>
        <w:t>liczbie wszystkich bezrobotnych</w:t>
      </w:r>
      <w:r>
        <w:rPr>
          <w:rFonts w:cs="Calibri"/>
          <w:color w:val="000000"/>
          <w:szCs w:val="20"/>
        </w:rPr>
        <w:t xml:space="preserve"> oraz</w:t>
      </w:r>
      <w:r w:rsidRPr="00404DA5">
        <w:rPr>
          <w:rFonts w:cs="Calibri"/>
          <w:color w:val="000000"/>
          <w:szCs w:val="20"/>
        </w:rPr>
        <w:t xml:space="preserve"> ponadprzeciętna liczba osób korzystająca ze świadczeń pomocy społecznej. By działania były jeszcze bardziej efektywne</w:t>
      </w:r>
      <w:r>
        <w:rPr>
          <w:rFonts w:cs="Calibri"/>
          <w:color w:val="000000"/>
          <w:szCs w:val="20"/>
        </w:rPr>
        <w:t>,</w:t>
      </w:r>
      <w:r w:rsidRPr="00404DA5">
        <w:rPr>
          <w:rFonts w:cs="Calibri"/>
          <w:color w:val="000000"/>
          <w:szCs w:val="20"/>
        </w:rPr>
        <w:t xml:space="preserve"> zaleca się</w:t>
      </w:r>
      <w:r w:rsidR="00E66B89">
        <w:rPr>
          <w:rFonts w:cs="Calibri"/>
          <w:color w:val="000000"/>
          <w:szCs w:val="20"/>
        </w:rPr>
        <w:t xml:space="preserve"> w </w:t>
      </w:r>
      <w:r w:rsidRPr="00404DA5">
        <w:rPr>
          <w:rFonts w:cs="Calibri"/>
          <w:color w:val="000000"/>
          <w:szCs w:val="20"/>
        </w:rPr>
        <w:t>pierwszej kolejności promować partnerstwa</w:t>
      </w:r>
      <w:r w:rsidR="00E66B89">
        <w:rPr>
          <w:rFonts w:cs="Calibri"/>
          <w:color w:val="000000"/>
          <w:szCs w:val="20"/>
        </w:rPr>
        <w:t xml:space="preserve"> z </w:t>
      </w:r>
      <w:r w:rsidRPr="00404DA5">
        <w:rPr>
          <w:rFonts w:cs="Calibri"/>
          <w:color w:val="000000"/>
          <w:szCs w:val="20"/>
        </w:rPr>
        <w:t>PES</w:t>
      </w:r>
      <w:r w:rsidR="00E66B89">
        <w:rPr>
          <w:rFonts w:cs="Calibri"/>
          <w:color w:val="000000"/>
          <w:szCs w:val="20"/>
        </w:rPr>
        <w:t xml:space="preserve"> i </w:t>
      </w:r>
      <w:r w:rsidRPr="00404DA5">
        <w:rPr>
          <w:rFonts w:cs="Calibri"/>
          <w:color w:val="000000"/>
          <w:szCs w:val="20"/>
        </w:rPr>
        <w:t>kierować działania promocyjne bezpośrednio do nich. Partnerstwa mogłyby częściowo odciążyć OPS</w:t>
      </w:r>
      <w:r w:rsidR="00E66B89">
        <w:rPr>
          <w:rFonts w:cs="Calibri"/>
          <w:color w:val="000000"/>
          <w:szCs w:val="20"/>
        </w:rPr>
        <w:t xml:space="preserve"> i </w:t>
      </w:r>
      <w:r w:rsidRPr="00404DA5">
        <w:rPr>
          <w:rFonts w:cs="Calibri"/>
          <w:color w:val="000000"/>
          <w:szCs w:val="20"/>
        </w:rPr>
        <w:t>PCPR</w:t>
      </w:r>
      <w:r w:rsidR="00E66B89">
        <w:rPr>
          <w:rFonts w:cs="Calibri"/>
          <w:color w:val="000000"/>
          <w:szCs w:val="20"/>
        </w:rPr>
        <w:t xml:space="preserve"> w </w:t>
      </w:r>
      <w:r w:rsidRPr="00404DA5">
        <w:rPr>
          <w:rFonts w:cs="Calibri"/>
          <w:color w:val="000000"/>
          <w:szCs w:val="20"/>
        </w:rPr>
        <w:t>pracy administracyjnej, natomiast wesprzeć NGO</w:t>
      </w:r>
      <w:r w:rsidR="00E66B89">
        <w:rPr>
          <w:rFonts w:cs="Calibri"/>
          <w:color w:val="000000"/>
          <w:szCs w:val="20"/>
        </w:rPr>
        <w:t xml:space="preserve"> i </w:t>
      </w:r>
      <w:r w:rsidRPr="00404DA5">
        <w:rPr>
          <w:rFonts w:cs="Calibri"/>
          <w:color w:val="000000"/>
          <w:szCs w:val="20"/>
        </w:rPr>
        <w:t>inne podmioty</w:t>
      </w:r>
      <w:r w:rsidR="00E66B89">
        <w:rPr>
          <w:rFonts w:cs="Calibri"/>
          <w:color w:val="000000"/>
          <w:szCs w:val="20"/>
        </w:rPr>
        <w:t xml:space="preserve"> w </w:t>
      </w:r>
      <w:r w:rsidRPr="00404DA5">
        <w:rPr>
          <w:rFonts w:cs="Calibri"/>
          <w:color w:val="000000"/>
          <w:szCs w:val="20"/>
        </w:rPr>
        <w:t xml:space="preserve">dotarciu do uczestników. </w:t>
      </w:r>
    </w:p>
    <w:p w14:paraId="6AC08275" w14:textId="77777777" w:rsidR="009D3A39" w:rsidRPr="00DE1630" w:rsidRDefault="009D3A39" w:rsidP="009D3A39">
      <w:pPr>
        <w:pStyle w:val="Nagwek4"/>
        <w:numPr>
          <w:ilvl w:val="0"/>
          <w:numId w:val="0"/>
        </w:numPr>
        <w:spacing w:before="120"/>
        <w:rPr>
          <w:rFonts w:ascii="Lato" w:eastAsia="Calibri" w:hAnsi="Lato"/>
        </w:rPr>
      </w:pPr>
      <w:r w:rsidRPr="00FE43CD">
        <w:rPr>
          <w:rFonts w:ascii="Lato" w:eastAsia="Calibri" w:hAnsi="Lato"/>
        </w:rPr>
        <w:t>Prognozy osiągnięcia celów zakładanych na 2023 rok</w:t>
      </w:r>
    </w:p>
    <w:p w14:paraId="7659B9B6" w14:textId="77777777" w:rsidR="009D3A39" w:rsidRDefault="009D3A39" w:rsidP="009D3A39">
      <w:pPr>
        <w:rPr>
          <w:rFonts w:cs="Calibri"/>
          <w:szCs w:val="20"/>
        </w:rPr>
      </w:pPr>
      <w:r w:rsidRPr="00404DA5">
        <w:rPr>
          <w:rFonts w:cs="Calibri"/>
          <w:szCs w:val="20"/>
        </w:rPr>
        <w:t>Dostępna alokacja</w:t>
      </w:r>
      <w:r w:rsidR="00E66B89">
        <w:rPr>
          <w:rFonts w:cs="Calibri"/>
          <w:szCs w:val="20"/>
        </w:rPr>
        <w:t xml:space="preserve"> z </w:t>
      </w:r>
      <w:r w:rsidRPr="00404DA5">
        <w:rPr>
          <w:rFonts w:cs="Calibri"/>
          <w:szCs w:val="20"/>
        </w:rPr>
        <w:t>uwzględnieniem rezerwy wykonania</w:t>
      </w:r>
      <w:r w:rsidR="00E66B89">
        <w:rPr>
          <w:rFonts w:cs="Calibri"/>
          <w:szCs w:val="20"/>
        </w:rPr>
        <w:t xml:space="preserve"> w </w:t>
      </w:r>
      <w:r w:rsidRPr="00404DA5">
        <w:rPr>
          <w:rFonts w:cs="Calibri"/>
          <w:szCs w:val="20"/>
        </w:rPr>
        <w:t xml:space="preserve">dniu 7.01 wynosiła 98 969 557 zł. Gdyby </w:t>
      </w:r>
      <w:r>
        <w:rPr>
          <w:rFonts w:cs="Calibri"/>
          <w:szCs w:val="20"/>
        </w:rPr>
        <w:t>środki te</w:t>
      </w:r>
      <w:r w:rsidRPr="00404DA5">
        <w:rPr>
          <w:rFonts w:cs="Calibri"/>
          <w:szCs w:val="20"/>
        </w:rPr>
        <w:t xml:space="preserve"> skierowano na takie typy projektów jak dotychczas</w:t>
      </w:r>
      <w:r>
        <w:rPr>
          <w:rFonts w:cs="Calibri"/>
          <w:szCs w:val="20"/>
        </w:rPr>
        <w:t>,</w:t>
      </w:r>
      <w:r w:rsidRPr="00404DA5">
        <w:rPr>
          <w:rFonts w:cs="Calibri"/>
          <w:szCs w:val="20"/>
        </w:rPr>
        <w:t xml:space="preserve"> osiągnięto</w:t>
      </w:r>
      <w:r>
        <w:rPr>
          <w:rFonts w:cs="Calibri"/>
          <w:szCs w:val="20"/>
        </w:rPr>
        <w:t xml:space="preserve"> </w:t>
      </w:r>
      <w:r w:rsidRPr="00404DA5">
        <w:rPr>
          <w:rFonts w:cs="Calibri"/>
          <w:szCs w:val="20"/>
        </w:rPr>
        <w:t>by wskaźniki produktu na poziomie 124% wartości docelowej (</w:t>
      </w:r>
      <w:r w:rsidRPr="00404DA5">
        <w:rPr>
          <w:rFonts w:cs="Calibri"/>
          <w:i/>
          <w:szCs w:val="20"/>
        </w:rPr>
        <w:t>Liczba osób</w:t>
      </w:r>
      <w:r w:rsidR="00E66B89">
        <w:rPr>
          <w:rFonts w:cs="Calibri"/>
          <w:i/>
          <w:szCs w:val="20"/>
        </w:rPr>
        <w:t xml:space="preserve"> z </w:t>
      </w:r>
      <w:r w:rsidRPr="00404DA5">
        <w:rPr>
          <w:rFonts w:cs="Calibri"/>
          <w:i/>
          <w:szCs w:val="20"/>
        </w:rPr>
        <w:t>niepełnosprawnościami objętych wsparciem</w:t>
      </w:r>
      <w:r w:rsidR="00E66B89">
        <w:rPr>
          <w:rFonts w:cs="Calibri"/>
          <w:i/>
          <w:szCs w:val="20"/>
        </w:rPr>
        <w:t xml:space="preserve"> w </w:t>
      </w:r>
      <w:r w:rsidRPr="00404DA5">
        <w:rPr>
          <w:rFonts w:cs="Calibri"/>
          <w:i/>
          <w:szCs w:val="20"/>
        </w:rPr>
        <w:t>programie</w:t>
      </w:r>
      <w:r w:rsidRPr="00404DA5">
        <w:rPr>
          <w:rFonts w:cs="Calibri"/>
          <w:szCs w:val="20"/>
        </w:rPr>
        <w:t>) oraz 102% (</w:t>
      </w:r>
      <w:r w:rsidRPr="00404DA5">
        <w:rPr>
          <w:rFonts w:cs="Calibri"/>
          <w:i/>
          <w:szCs w:val="20"/>
        </w:rPr>
        <w:t>Liczba osób zagrożonych ubóstwem lub wykluczeniem społecznym objętych wsparciem</w:t>
      </w:r>
      <w:r w:rsidR="00E66B89">
        <w:rPr>
          <w:rFonts w:cs="Calibri"/>
          <w:i/>
          <w:szCs w:val="20"/>
        </w:rPr>
        <w:t xml:space="preserve"> w </w:t>
      </w:r>
      <w:r w:rsidRPr="00404DA5">
        <w:rPr>
          <w:rFonts w:cs="Calibri"/>
          <w:i/>
          <w:szCs w:val="20"/>
        </w:rPr>
        <w:t>programie</w:t>
      </w:r>
      <w:r w:rsidRPr="00404DA5">
        <w:rPr>
          <w:rFonts w:cs="Calibri"/>
          <w:szCs w:val="20"/>
        </w:rPr>
        <w:t xml:space="preserve">). Natomiast </w:t>
      </w:r>
      <w:r>
        <w:rPr>
          <w:rFonts w:cs="Calibri"/>
          <w:szCs w:val="20"/>
        </w:rPr>
        <w:t xml:space="preserve">ze wskaźników </w:t>
      </w:r>
      <w:r w:rsidRPr="00404DA5">
        <w:rPr>
          <w:rFonts w:cs="Calibri"/>
          <w:szCs w:val="20"/>
        </w:rPr>
        <w:t>rezultatu</w:t>
      </w:r>
      <w:r>
        <w:rPr>
          <w:rFonts w:cs="Calibri"/>
          <w:szCs w:val="20"/>
        </w:rPr>
        <w:t xml:space="preserve"> tylko wskaźnik</w:t>
      </w:r>
      <w:r w:rsidRPr="00404DA5">
        <w:rPr>
          <w:rFonts w:cs="Calibri"/>
          <w:szCs w:val="20"/>
        </w:rPr>
        <w:t xml:space="preserve"> </w:t>
      </w:r>
      <w:r w:rsidRPr="00404DA5">
        <w:rPr>
          <w:rFonts w:cs="Calibri"/>
          <w:i/>
          <w:szCs w:val="20"/>
        </w:rPr>
        <w:t>Liczba osób zagrożonych ubóstwem lub wykluczeniem społecznym pracujących po opuszczeniu programu</w:t>
      </w:r>
      <w:r w:rsidRPr="00404DA5">
        <w:rPr>
          <w:rFonts w:cs="Calibri"/>
          <w:szCs w:val="20"/>
        </w:rPr>
        <w:t xml:space="preserve"> osiągnąłby zakładaną wartość. Sytuacja wygląda inaczej, jeśli pod uwagę weźmie się plany IZ dotyczące realokowania środków oraz ogłaszania kolejnego naboru wniosków. Na typ projektów 1 planuje się przeznaczyć ok. 26 581 569,60 zł. Obecnie nie ma żadnych projektów</w:t>
      </w:r>
      <w:r w:rsidR="00E66B89">
        <w:rPr>
          <w:rFonts w:cs="Calibri"/>
          <w:szCs w:val="20"/>
        </w:rPr>
        <w:t xml:space="preserve"> w </w:t>
      </w:r>
      <w:r w:rsidRPr="00404DA5">
        <w:rPr>
          <w:rFonts w:cs="Calibri"/>
          <w:szCs w:val="20"/>
        </w:rPr>
        <w:t>trakcie oceny lub czekających na podpisanie umowy. Planowana jest</w:t>
      </w:r>
      <w:r>
        <w:rPr>
          <w:rFonts w:cs="Calibri"/>
          <w:szCs w:val="20"/>
        </w:rPr>
        <w:t xml:space="preserve"> wstępnie </w:t>
      </w:r>
      <w:r w:rsidRPr="00404DA5">
        <w:rPr>
          <w:rFonts w:cs="Calibri"/>
          <w:szCs w:val="20"/>
        </w:rPr>
        <w:t>realokacja do PI</w:t>
      </w:r>
      <w:r>
        <w:rPr>
          <w:rFonts w:cs="Calibri"/>
          <w:szCs w:val="20"/>
        </w:rPr>
        <w:t xml:space="preserve"> </w:t>
      </w:r>
      <w:r w:rsidRPr="00404DA5">
        <w:rPr>
          <w:rFonts w:cs="Calibri"/>
          <w:szCs w:val="20"/>
        </w:rPr>
        <w:t>9iv</w:t>
      </w:r>
      <w:r w:rsidR="00E66B89">
        <w:rPr>
          <w:rFonts w:cs="Calibri"/>
          <w:szCs w:val="20"/>
        </w:rPr>
        <w:t xml:space="preserve"> w </w:t>
      </w:r>
      <w:r w:rsidRPr="00404DA5">
        <w:rPr>
          <w:rFonts w:cs="Calibri"/>
          <w:szCs w:val="20"/>
        </w:rPr>
        <w:t>wysokości ok. 55 988 400 zł. Za koszt jednostkowy przyjmuje się</w:t>
      </w:r>
      <w:r>
        <w:rPr>
          <w:rFonts w:cs="Calibri"/>
          <w:szCs w:val="20"/>
        </w:rPr>
        <w:t>,</w:t>
      </w:r>
      <w:r w:rsidRPr="00404DA5">
        <w:rPr>
          <w:rFonts w:cs="Calibri"/>
          <w:szCs w:val="20"/>
        </w:rPr>
        <w:t xml:space="preserve"> </w:t>
      </w:r>
      <w:r>
        <w:rPr>
          <w:rFonts w:cs="Calibri"/>
          <w:szCs w:val="20"/>
        </w:rPr>
        <w:t>zaktualizowaną</w:t>
      </w:r>
      <w:r w:rsidR="00E66B89">
        <w:rPr>
          <w:rFonts w:cs="Calibri"/>
          <w:szCs w:val="20"/>
        </w:rPr>
        <w:t xml:space="preserve"> o </w:t>
      </w:r>
      <w:r>
        <w:rPr>
          <w:rFonts w:cs="Calibri"/>
          <w:szCs w:val="20"/>
        </w:rPr>
        <w:t xml:space="preserve">odpowiedni indeks, </w:t>
      </w:r>
      <w:r w:rsidRPr="00404DA5">
        <w:rPr>
          <w:rFonts w:cs="Calibri"/>
          <w:szCs w:val="20"/>
        </w:rPr>
        <w:t>wartość na lata 2019-2023. Szacuje się, że jeśli powyższe plany zostałyby zrealizowane, osiągnięto by wartości wskaźników produktu na poziomie 78-64%, co pokazuje tabela poniżej.</w:t>
      </w:r>
      <w:r w:rsidR="00E66B89">
        <w:rPr>
          <w:rFonts w:cs="Calibri"/>
          <w:szCs w:val="20"/>
        </w:rPr>
        <w:t xml:space="preserve"> W </w:t>
      </w:r>
      <w:r w:rsidRPr="00404DA5">
        <w:rPr>
          <w:rFonts w:cs="Calibri"/>
          <w:szCs w:val="20"/>
        </w:rPr>
        <w:t>tym przypadku należałoby obniżyć wartości docelowe wskaźników do wskazanych</w:t>
      </w:r>
      <w:r w:rsidR="00E66B89">
        <w:rPr>
          <w:rFonts w:cs="Calibri"/>
          <w:szCs w:val="20"/>
        </w:rPr>
        <w:t xml:space="preserve"> w </w:t>
      </w:r>
      <w:r w:rsidRPr="00404DA5">
        <w:rPr>
          <w:rFonts w:cs="Calibri"/>
          <w:szCs w:val="20"/>
        </w:rPr>
        <w:t xml:space="preserve">tabeli. Wyjątkiem jest wskaźnik </w:t>
      </w:r>
      <w:r w:rsidRPr="00404DA5">
        <w:rPr>
          <w:rFonts w:cs="Calibri"/>
          <w:i/>
          <w:szCs w:val="20"/>
        </w:rPr>
        <w:t>Liczba osób zagrożonych ubóstwem lub wykluczeniem społecznym pracujących po opuszczeniu programu (łącznie</w:t>
      </w:r>
      <w:r w:rsidR="00E66B89">
        <w:rPr>
          <w:rFonts w:cs="Calibri"/>
          <w:i/>
          <w:szCs w:val="20"/>
        </w:rPr>
        <w:t xml:space="preserve"> z </w:t>
      </w:r>
      <w:r w:rsidRPr="00404DA5">
        <w:rPr>
          <w:rFonts w:cs="Calibri"/>
          <w:i/>
          <w:szCs w:val="20"/>
        </w:rPr>
        <w:t xml:space="preserve">pracującymi na własny rachunek), </w:t>
      </w:r>
      <w:r w:rsidRPr="00404DA5">
        <w:rPr>
          <w:rFonts w:cs="Calibri"/>
          <w:szCs w:val="20"/>
        </w:rPr>
        <w:t xml:space="preserve">którego wartość docelowa prawdopodobnie zostanie osiągnięta. </w:t>
      </w:r>
    </w:p>
    <w:p w14:paraId="6B367AF1" w14:textId="77777777" w:rsidR="009D3A39" w:rsidRPr="00404DA5" w:rsidRDefault="009D3A39" w:rsidP="009D3A39">
      <w:pPr>
        <w:rPr>
          <w:rFonts w:cs="Calibri"/>
          <w:szCs w:val="20"/>
        </w:rPr>
      </w:pPr>
      <w:r>
        <w:rPr>
          <w:rFonts w:cs="Calibri"/>
          <w:szCs w:val="20"/>
        </w:rPr>
        <w:t>W ramach PI9i nie identyfikuje się obszaru,</w:t>
      </w:r>
      <w:r w:rsidR="00E66B89">
        <w:rPr>
          <w:rFonts w:cs="Calibri"/>
          <w:szCs w:val="20"/>
        </w:rPr>
        <w:t xml:space="preserve"> w </w:t>
      </w:r>
      <w:r>
        <w:rPr>
          <w:rFonts w:cs="Calibri"/>
          <w:szCs w:val="20"/>
        </w:rPr>
        <w:t xml:space="preserve">którym dostępna alokacja byłaby niewystarczająca. </w:t>
      </w:r>
    </w:p>
    <w:p w14:paraId="24176B42" w14:textId="77777777" w:rsidR="009D3A39" w:rsidRPr="00D87AE8" w:rsidRDefault="009D3A39" w:rsidP="00D87AE8">
      <w:pPr>
        <w:pStyle w:val="Legenda"/>
        <w:spacing w:after="0"/>
      </w:pPr>
      <w:bookmarkStart w:id="280" w:name="_Toc8824230"/>
      <w:r w:rsidRPr="00404DA5">
        <w:t xml:space="preserve">Tabela </w:t>
      </w:r>
      <w:r>
        <w:fldChar w:fldCharType="begin"/>
      </w:r>
      <w:r>
        <w:instrText xml:space="preserve"> SEQ Tabela \* ARABIC </w:instrText>
      </w:r>
      <w:r>
        <w:fldChar w:fldCharType="separate"/>
      </w:r>
      <w:r w:rsidR="00763345">
        <w:rPr>
          <w:noProof/>
        </w:rPr>
        <w:t>119</w:t>
      </w:r>
      <w:r>
        <w:fldChar w:fldCharType="end"/>
      </w:r>
      <w:r w:rsidRPr="00404DA5">
        <w:t xml:space="preserve"> Prognozowany poziom realizacji wskaźników produktu</w:t>
      </w:r>
      <w:r w:rsidR="00E66B89">
        <w:t xml:space="preserve"> i </w:t>
      </w:r>
      <w:r w:rsidRPr="00404DA5">
        <w:t>rezultatu bezpośredniego na rok 2023 – PI 9i</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3674"/>
        <w:gridCol w:w="1236"/>
        <w:gridCol w:w="1574"/>
        <w:gridCol w:w="1598"/>
      </w:tblGrid>
      <w:tr w:rsidR="009D3A39" w:rsidRPr="00FE43CD" w14:paraId="07B7FBD0" w14:textId="77777777" w:rsidTr="00C22C26">
        <w:trPr>
          <w:tblHeader/>
        </w:trPr>
        <w:tc>
          <w:tcPr>
            <w:tcW w:w="0" w:type="auto"/>
            <w:shd w:val="clear" w:color="auto" w:fill="DBE5F1"/>
          </w:tcPr>
          <w:p w14:paraId="317A989F" w14:textId="77777777" w:rsidR="009D3A39" w:rsidRPr="00404DA5" w:rsidRDefault="009D3A39" w:rsidP="001C3974">
            <w:pPr>
              <w:jc w:val="center"/>
              <w:rPr>
                <w:rFonts w:cs="Calibri"/>
                <w:sz w:val="16"/>
                <w:szCs w:val="18"/>
              </w:rPr>
            </w:pPr>
            <w:r w:rsidRPr="00404DA5">
              <w:rPr>
                <w:rFonts w:cs="Calibri"/>
                <w:sz w:val="16"/>
                <w:szCs w:val="18"/>
              </w:rPr>
              <w:t>Typ wskaźnika</w:t>
            </w:r>
          </w:p>
        </w:tc>
        <w:tc>
          <w:tcPr>
            <w:tcW w:w="0" w:type="auto"/>
            <w:shd w:val="clear" w:color="auto" w:fill="DBE5F1"/>
          </w:tcPr>
          <w:p w14:paraId="473DD6D7" w14:textId="77777777" w:rsidR="009D3A39" w:rsidRPr="00404DA5" w:rsidRDefault="009D3A39" w:rsidP="001C3974">
            <w:pPr>
              <w:jc w:val="center"/>
              <w:rPr>
                <w:rFonts w:cs="Calibri"/>
                <w:sz w:val="16"/>
                <w:szCs w:val="18"/>
              </w:rPr>
            </w:pPr>
            <w:r w:rsidRPr="00404DA5">
              <w:rPr>
                <w:rFonts w:cs="Calibri"/>
                <w:sz w:val="16"/>
                <w:szCs w:val="18"/>
              </w:rPr>
              <w:t>Wskaźnik</w:t>
            </w:r>
          </w:p>
        </w:tc>
        <w:tc>
          <w:tcPr>
            <w:tcW w:w="0" w:type="auto"/>
            <w:shd w:val="clear" w:color="auto" w:fill="DBE5F1"/>
          </w:tcPr>
          <w:p w14:paraId="2A67D019" w14:textId="77777777" w:rsidR="009D3A39" w:rsidRPr="00404DA5" w:rsidRDefault="009D3A39" w:rsidP="001C3974">
            <w:pPr>
              <w:jc w:val="center"/>
              <w:rPr>
                <w:rFonts w:cs="Calibri"/>
                <w:sz w:val="16"/>
                <w:szCs w:val="18"/>
              </w:rPr>
            </w:pPr>
            <w:r w:rsidRPr="00404DA5">
              <w:rPr>
                <w:rFonts w:cs="Calibri"/>
                <w:sz w:val="16"/>
                <w:szCs w:val="18"/>
              </w:rPr>
              <w:t>Wartość docelowa określona na 2023 rok</w:t>
            </w:r>
          </w:p>
        </w:tc>
        <w:tc>
          <w:tcPr>
            <w:tcW w:w="0" w:type="auto"/>
            <w:shd w:val="clear" w:color="auto" w:fill="DBE5F1"/>
          </w:tcPr>
          <w:p w14:paraId="6BA70853" w14:textId="77777777" w:rsidR="009D3A39" w:rsidRPr="00404DA5" w:rsidRDefault="009D3A39" w:rsidP="001C3974">
            <w:pPr>
              <w:jc w:val="center"/>
              <w:rPr>
                <w:rFonts w:cs="Calibri"/>
                <w:sz w:val="16"/>
                <w:szCs w:val="18"/>
              </w:rPr>
            </w:pPr>
            <w:r w:rsidRPr="00404DA5">
              <w:rPr>
                <w:rFonts w:cs="Calibri"/>
                <w:sz w:val="16"/>
                <w:szCs w:val="18"/>
              </w:rPr>
              <w:t xml:space="preserve">Prognozowana całkowita wartość wskaźnika </w:t>
            </w:r>
          </w:p>
        </w:tc>
        <w:tc>
          <w:tcPr>
            <w:tcW w:w="0" w:type="auto"/>
            <w:shd w:val="clear" w:color="auto" w:fill="DBE5F1"/>
          </w:tcPr>
          <w:p w14:paraId="01F74FAB" w14:textId="77777777" w:rsidR="009D3A39" w:rsidRPr="00404DA5" w:rsidRDefault="009D3A39" w:rsidP="001C3974">
            <w:pPr>
              <w:jc w:val="center"/>
              <w:rPr>
                <w:rFonts w:cs="Calibri"/>
                <w:sz w:val="16"/>
                <w:szCs w:val="18"/>
              </w:rPr>
            </w:pPr>
            <w:r w:rsidRPr="00404DA5">
              <w:rPr>
                <w:rFonts w:cs="Calibri"/>
                <w:sz w:val="16"/>
                <w:szCs w:val="18"/>
              </w:rPr>
              <w:t>Prognozowany % realizacji wartości docelowej</w:t>
            </w:r>
          </w:p>
        </w:tc>
      </w:tr>
      <w:tr w:rsidR="009D3A39" w:rsidRPr="00FE43CD" w14:paraId="30CA743B" w14:textId="77777777" w:rsidTr="001C3974">
        <w:tc>
          <w:tcPr>
            <w:tcW w:w="0" w:type="auto"/>
            <w:shd w:val="clear" w:color="auto" w:fill="auto"/>
            <w:vAlign w:val="center"/>
          </w:tcPr>
          <w:p w14:paraId="3843FFE1" w14:textId="77777777" w:rsidR="009D3A39" w:rsidRPr="00404DA5" w:rsidRDefault="009D3A39" w:rsidP="00DE0A94">
            <w:pPr>
              <w:jc w:val="center"/>
              <w:rPr>
                <w:rFonts w:cs="Calibri"/>
                <w:sz w:val="18"/>
                <w:szCs w:val="18"/>
              </w:rPr>
            </w:pPr>
            <w:r w:rsidRPr="00404DA5">
              <w:rPr>
                <w:rFonts w:cs="Calibri"/>
                <w:sz w:val="18"/>
                <w:szCs w:val="18"/>
              </w:rPr>
              <w:t>WP</w:t>
            </w:r>
          </w:p>
        </w:tc>
        <w:tc>
          <w:tcPr>
            <w:tcW w:w="0" w:type="auto"/>
            <w:shd w:val="clear" w:color="auto" w:fill="auto"/>
          </w:tcPr>
          <w:p w14:paraId="23BC36BE" w14:textId="77777777" w:rsidR="009D3A39" w:rsidRPr="00404DA5" w:rsidRDefault="009D3A39" w:rsidP="001C3974">
            <w:pPr>
              <w:rPr>
                <w:rFonts w:cs="Calibri"/>
                <w:sz w:val="18"/>
                <w:szCs w:val="18"/>
              </w:rPr>
            </w:pPr>
            <w:r w:rsidRPr="00404DA5">
              <w:rPr>
                <w:rFonts w:cs="Calibri"/>
                <w:sz w:val="18"/>
                <w:szCs w:val="18"/>
              </w:rPr>
              <w:t>Liczba osób</w:t>
            </w:r>
            <w:r w:rsidR="00E66B89">
              <w:rPr>
                <w:rFonts w:cs="Calibri"/>
                <w:sz w:val="18"/>
                <w:szCs w:val="18"/>
              </w:rPr>
              <w:t xml:space="preserve"> z </w:t>
            </w:r>
            <w:r w:rsidRPr="00404DA5">
              <w:rPr>
                <w:rFonts w:cs="Calibri"/>
                <w:sz w:val="18"/>
                <w:szCs w:val="18"/>
              </w:rPr>
              <w:t>niepełnosprawnościami objętych wsparciem</w:t>
            </w:r>
            <w:r w:rsidR="00E66B89">
              <w:rPr>
                <w:rFonts w:cs="Calibri"/>
                <w:sz w:val="18"/>
                <w:szCs w:val="18"/>
              </w:rPr>
              <w:t xml:space="preserve"> w </w:t>
            </w:r>
            <w:r w:rsidRPr="00404DA5">
              <w:rPr>
                <w:rFonts w:cs="Calibri"/>
                <w:sz w:val="18"/>
                <w:szCs w:val="18"/>
              </w:rPr>
              <w:t xml:space="preserve">programie (C) </w:t>
            </w:r>
          </w:p>
        </w:tc>
        <w:tc>
          <w:tcPr>
            <w:tcW w:w="0" w:type="auto"/>
            <w:shd w:val="clear" w:color="auto" w:fill="auto"/>
            <w:vAlign w:val="center"/>
          </w:tcPr>
          <w:p w14:paraId="068CE3AE" w14:textId="77777777" w:rsidR="009D3A39" w:rsidRPr="00404DA5" w:rsidRDefault="009D3A39" w:rsidP="001C3974">
            <w:pPr>
              <w:jc w:val="center"/>
              <w:rPr>
                <w:rFonts w:cs="Calibri"/>
                <w:sz w:val="18"/>
                <w:szCs w:val="18"/>
              </w:rPr>
            </w:pPr>
            <w:r w:rsidRPr="00404DA5">
              <w:rPr>
                <w:rFonts w:cs="Calibri"/>
                <w:sz w:val="18"/>
                <w:szCs w:val="18"/>
              </w:rPr>
              <w:t>3504</w:t>
            </w:r>
          </w:p>
        </w:tc>
        <w:tc>
          <w:tcPr>
            <w:tcW w:w="0" w:type="auto"/>
            <w:shd w:val="clear" w:color="auto" w:fill="auto"/>
            <w:vAlign w:val="center"/>
          </w:tcPr>
          <w:p w14:paraId="660736B7" w14:textId="77777777" w:rsidR="009D3A39" w:rsidRPr="00404DA5" w:rsidRDefault="009D3A39" w:rsidP="001C3974">
            <w:pPr>
              <w:jc w:val="center"/>
              <w:rPr>
                <w:rFonts w:cs="Calibri"/>
                <w:sz w:val="18"/>
                <w:szCs w:val="18"/>
              </w:rPr>
            </w:pPr>
            <w:r w:rsidRPr="00404DA5">
              <w:rPr>
                <w:rFonts w:cs="Calibri"/>
                <w:sz w:val="18"/>
                <w:szCs w:val="18"/>
              </w:rPr>
              <w:t>2735</w:t>
            </w:r>
          </w:p>
        </w:tc>
        <w:tc>
          <w:tcPr>
            <w:tcW w:w="0" w:type="auto"/>
            <w:shd w:val="clear" w:color="auto" w:fill="auto"/>
            <w:vAlign w:val="center"/>
          </w:tcPr>
          <w:p w14:paraId="3DCB06A3" w14:textId="77777777" w:rsidR="009D3A39" w:rsidRPr="00404DA5" w:rsidRDefault="009D3A39" w:rsidP="001C3974">
            <w:pPr>
              <w:jc w:val="center"/>
              <w:rPr>
                <w:rFonts w:cs="Calibri"/>
                <w:sz w:val="18"/>
                <w:szCs w:val="18"/>
              </w:rPr>
            </w:pPr>
            <w:r w:rsidRPr="00404DA5">
              <w:rPr>
                <w:rFonts w:cs="Calibri"/>
                <w:sz w:val="18"/>
                <w:szCs w:val="18"/>
              </w:rPr>
              <w:t>78%</w:t>
            </w:r>
          </w:p>
        </w:tc>
      </w:tr>
      <w:tr w:rsidR="009D3A39" w:rsidRPr="00FE43CD" w14:paraId="0B5EDEAE" w14:textId="77777777" w:rsidTr="001C3974">
        <w:tc>
          <w:tcPr>
            <w:tcW w:w="0" w:type="auto"/>
            <w:shd w:val="clear" w:color="auto" w:fill="auto"/>
            <w:vAlign w:val="center"/>
          </w:tcPr>
          <w:p w14:paraId="61D9CD2E" w14:textId="77777777" w:rsidR="009D3A39" w:rsidRPr="00404DA5" w:rsidRDefault="009D3A39" w:rsidP="00DE0A94">
            <w:pPr>
              <w:jc w:val="center"/>
              <w:rPr>
                <w:rFonts w:cs="Calibri"/>
                <w:sz w:val="18"/>
                <w:szCs w:val="18"/>
              </w:rPr>
            </w:pPr>
            <w:r w:rsidRPr="00404DA5">
              <w:rPr>
                <w:rFonts w:cs="Calibri"/>
                <w:sz w:val="18"/>
                <w:szCs w:val="18"/>
              </w:rPr>
              <w:t>WP</w:t>
            </w:r>
          </w:p>
        </w:tc>
        <w:tc>
          <w:tcPr>
            <w:tcW w:w="0" w:type="auto"/>
            <w:shd w:val="clear" w:color="auto" w:fill="auto"/>
          </w:tcPr>
          <w:p w14:paraId="7BA13E11" w14:textId="77777777" w:rsidR="009D3A39" w:rsidRPr="00404DA5" w:rsidRDefault="009D3A39" w:rsidP="001C3974">
            <w:pPr>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 xml:space="preserve">programie </w:t>
            </w:r>
          </w:p>
        </w:tc>
        <w:tc>
          <w:tcPr>
            <w:tcW w:w="0" w:type="auto"/>
            <w:shd w:val="clear" w:color="auto" w:fill="auto"/>
            <w:vAlign w:val="center"/>
          </w:tcPr>
          <w:p w14:paraId="73D702A4" w14:textId="77777777" w:rsidR="009D3A39" w:rsidRPr="00404DA5" w:rsidRDefault="009D3A39" w:rsidP="001C3974">
            <w:pPr>
              <w:jc w:val="center"/>
              <w:rPr>
                <w:rFonts w:cs="Calibri"/>
                <w:sz w:val="18"/>
                <w:szCs w:val="18"/>
              </w:rPr>
            </w:pPr>
            <w:r w:rsidRPr="00404DA5">
              <w:rPr>
                <w:rFonts w:cs="Calibri"/>
                <w:sz w:val="18"/>
                <w:szCs w:val="18"/>
              </w:rPr>
              <w:t>15230</w:t>
            </w:r>
          </w:p>
        </w:tc>
        <w:tc>
          <w:tcPr>
            <w:tcW w:w="0" w:type="auto"/>
            <w:shd w:val="clear" w:color="auto" w:fill="auto"/>
            <w:vAlign w:val="center"/>
          </w:tcPr>
          <w:p w14:paraId="1A8D4025" w14:textId="77777777" w:rsidR="009D3A39" w:rsidRPr="00404DA5" w:rsidRDefault="009D3A39" w:rsidP="001C3974">
            <w:pPr>
              <w:jc w:val="center"/>
              <w:rPr>
                <w:rFonts w:cs="Calibri"/>
                <w:sz w:val="18"/>
                <w:szCs w:val="18"/>
              </w:rPr>
            </w:pPr>
            <w:r w:rsidRPr="00404DA5">
              <w:rPr>
                <w:rFonts w:cs="Calibri"/>
                <w:sz w:val="18"/>
                <w:szCs w:val="18"/>
              </w:rPr>
              <w:t>9727</w:t>
            </w:r>
          </w:p>
        </w:tc>
        <w:tc>
          <w:tcPr>
            <w:tcW w:w="0" w:type="auto"/>
            <w:shd w:val="clear" w:color="auto" w:fill="auto"/>
            <w:vAlign w:val="center"/>
          </w:tcPr>
          <w:p w14:paraId="37E29AF1" w14:textId="77777777" w:rsidR="009D3A39" w:rsidRPr="00404DA5" w:rsidRDefault="009D3A39" w:rsidP="001C3974">
            <w:pPr>
              <w:jc w:val="center"/>
              <w:rPr>
                <w:rFonts w:cs="Calibri"/>
                <w:sz w:val="18"/>
                <w:szCs w:val="18"/>
              </w:rPr>
            </w:pPr>
            <w:r w:rsidRPr="00404DA5">
              <w:rPr>
                <w:rFonts w:cs="Calibri"/>
                <w:sz w:val="18"/>
                <w:szCs w:val="18"/>
              </w:rPr>
              <w:t>64%</w:t>
            </w:r>
          </w:p>
        </w:tc>
      </w:tr>
      <w:tr w:rsidR="009D3A39" w:rsidRPr="00FE43CD" w14:paraId="1615BCED" w14:textId="77777777" w:rsidTr="001C3974">
        <w:tc>
          <w:tcPr>
            <w:tcW w:w="0" w:type="auto"/>
            <w:shd w:val="clear" w:color="auto" w:fill="auto"/>
            <w:vAlign w:val="center"/>
          </w:tcPr>
          <w:p w14:paraId="5191657E" w14:textId="77777777" w:rsidR="009D3A39" w:rsidRPr="00404DA5" w:rsidRDefault="009D3A39" w:rsidP="00DE0A94">
            <w:pPr>
              <w:jc w:val="center"/>
              <w:rPr>
                <w:rFonts w:cs="Calibri"/>
                <w:sz w:val="18"/>
                <w:szCs w:val="18"/>
              </w:rPr>
            </w:pPr>
            <w:r w:rsidRPr="00404DA5">
              <w:rPr>
                <w:rFonts w:cs="Calibri"/>
                <w:sz w:val="18"/>
                <w:szCs w:val="18"/>
              </w:rPr>
              <w:t>WR</w:t>
            </w:r>
          </w:p>
        </w:tc>
        <w:tc>
          <w:tcPr>
            <w:tcW w:w="0" w:type="auto"/>
            <w:shd w:val="clear" w:color="auto" w:fill="auto"/>
          </w:tcPr>
          <w:p w14:paraId="51EF7A06" w14:textId="77777777" w:rsidR="009D3A39" w:rsidRPr="00404DA5" w:rsidRDefault="009D3A39" w:rsidP="001C3974">
            <w:pPr>
              <w:rPr>
                <w:rFonts w:cs="Calibri"/>
                <w:sz w:val="18"/>
                <w:szCs w:val="18"/>
              </w:rPr>
            </w:pPr>
            <w:r w:rsidRPr="00404DA5">
              <w:rPr>
                <w:rFonts w:cs="Calibri"/>
                <w:sz w:val="18"/>
                <w:szCs w:val="18"/>
              </w:rPr>
              <w:t xml:space="preserve">Liczba osób zagrożonych ubóstwem lub wykluczeniem społecznym poszukujących pracy po opuszczeniu programu </w:t>
            </w:r>
          </w:p>
        </w:tc>
        <w:tc>
          <w:tcPr>
            <w:tcW w:w="0" w:type="auto"/>
            <w:shd w:val="clear" w:color="auto" w:fill="auto"/>
            <w:vAlign w:val="center"/>
          </w:tcPr>
          <w:p w14:paraId="6B291D8E" w14:textId="77777777" w:rsidR="009D3A39" w:rsidRPr="00404DA5" w:rsidRDefault="009D3A39" w:rsidP="001C3974">
            <w:pPr>
              <w:jc w:val="center"/>
              <w:rPr>
                <w:rFonts w:cs="Calibri"/>
                <w:sz w:val="18"/>
                <w:szCs w:val="18"/>
              </w:rPr>
            </w:pPr>
            <w:r w:rsidRPr="00404DA5">
              <w:rPr>
                <w:rFonts w:cs="Calibri"/>
                <w:sz w:val="18"/>
                <w:szCs w:val="18"/>
              </w:rPr>
              <w:t>25%</w:t>
            </w:r>
          </w:p>
        </w:tc>
        <w:tc>
          <w:tcPr>
            <w:tcW w:w="0" w:type="auto"/>
            <w:shd w:val="clear" w:color="auto" w:fill="auto"/>
            <w:vAlign w:val="center"/>
          </w:tcPr>
          <w:p w14:paraId="235FC793" w14:textId="77777777" w:rsidR="009D3A39" w:rsidRPr="00404DA5" w:rsidRDefault="009D3A39" w:rsidP="001C3974">
            <w:pPr>
              <w:jc w:val="center"/>
              <w:rPr>
                <w:rFonts w:cs="Calibri"/>
                <w:sz w:val="18"/>
                <w:szCs w:val="18"/>
              </w:rPr>
            </w:pPr>
            <w:r>
              <w:rPr>
                <w:rFonts w:cs="Calibri"/>
                <w:sz w:val="18"/>
                <w:szCs w:val="18"/>
              </w:rPr>
              <w:t xml:space="preserve">23% </w:t>
            </w:r>
            <w:r>
              <w:rPr>
                <w:rFonts w:cs="Calibri"/>
                <w:sz w:val="18"/>
                <w:szCs w:val="18"/>
              </w:rPr>
              <w:br/>
              <w:t>(</w:t>
            </w:r>
            <w:r w:rsidRPr="00404DA5">
              <w:rPr>
                <w:rFonts w:cs="Calibri"/>
                <w:sz w:val="18"/>
                <w:szCs w:val="18"/>
              </w:rPr>
              <w:t>2250</w:t>
            </w:r>
            <w:r>
              <w:rPr>
                <w:rFonts w:cs="Calibri"/>
                <w:sz w:val="18"/>
                <w:szCs w:val="18"/>
              </w:rPr>
              <w:t>)</w:t>
            </w:r>
          </w:p>
        </w:tc>
        <w:tc>
          <w:tcPr>
            <w:tcW w:w="0" w:type="auto"/>
            <w:shd w:val="clear" w:color="auto" w:fill="auto"/>
            <w:vAlign w:val="center"/>
          </w:tcPr>
          <w:p w14:paraId="2C7816F7" w14:textId="77777777" w:rsidR="009D3A39" w:rsidRPr="00404DA5" w:rsidRDefault="009D3A39" w:rsidP="001C3974">
            <w:pPr>
              <w:jc w:val="center"/>
              <w:rPr>
                <w:rFonts w:cs="Calibri"/>
                <w:sz w:val="18"/>
                <w:szCs w:val="18"/>
              </w:rPr>
            </w:pPr>
            <w:r w:rsidRPr="00404DA5">
              <w:rPr>
                <w:rFonts w:cs="Calibri"/>
                <w:sz w:val="18"/>
                <w:szCs w:val="18"/>
              </w:rPr>
              <w:t>80%</w:t>
            </w:r>
          </w:p>
        </w:tc>
      </w:tr>
      <w:tr w:rsidR="009D3A39" w:rsidRPr="00FE43CD" w14:paraId="2771F8D6" w14:textId="77777777" w:rsidTr="001C3974">
        <w:tc>
          <w:tcPr>
            <w:tcW w:w="0" w:type="auto"/>
            <w:shd w:val="clear" w:color="auto" w:fill="auto"/>
            <w:vAlign w:val="center"/>
          </w:tcPr>
          <w:p w14:paraId="5AFD969B" w14:textId="77777777" w:rsidR="009D3A39" w:rsidRPr="00404DA5" w:rsidRDefault="009D3A39" w:rsidP="00DE0A94">
            <w:pPr>
              <w:jc w:val="center"/>
              <w:rPr>
                <w:rFonts w:cs="Calibri"/>
                <w:sz w:val="18"/>
                <w:szCs w:val="18"/>
              </w:rPr>
            </w:pPr>
            <w:r w:rsidRPr="00404DA5">
              <w:rPr>
                <w:rFonts w:cs="Calibri"/>
                <w:sz w:val="18"/>
                <w:szCs w:val="18"/>
              </w:rPr>
              <w:lastRenderedPageBreak/>
              <w:t>WR</w:t>
            </w:r>
          </w:p>
        </w:tc>
        <w:tc>
          <w:tcPr>
            <w:tcW w:w="0" w:type="auto"/>
            <w:shd w:val="clear" w:color="auto" w:fill="auto"/>
          </w:tcPr>
          <w:p w14:paraId="4D878F3A" w14:textId="77777777" w:rsidR="009D3A39" w:rsidRPr="00404DA5" w:rsidRDefault="009D3A39" w:rsidP="001C3974">
            <w:pPr>
              <w:rPr>
                <w:rFonts w:cs="Calibri"/>
                <w:sz w:val="18"/>
                <w:szCs w:val="18"/>
              </w:rPr>
            </w:pPr>
            <w:r w:rsidRPr="00404DA5">
              <w:rPr>
                <w:rFonts w:cs="Calibri"/>
                <w:sz w:val="18"/>
                <w:szCs w:val="18"/>
              </w:rPr>
              <w:t>Liczba osób zagrożonych ubóstwem lub wykluczeniem społecznym pracujących po opuszczeniu programu (łącznie</w:t>
            </w:r>
            <w:r w:rsidR="00E66B89">
              <w:rPr>
                <w:rFonts w:cs="Calibri"/>
                <w:sz w:val="18"/>
                <w:szCs w:val="18"/>
              </w:rPr>
              <w:t xml:space="preserve"> z </w:t>
            </w:r>
            <w:r w:rsidRPr="00404DA5">
              <w:rPr>
                <w:rFonts w:cs="Calibri"/>
                <w:sz w:val="18"/>
                <w:szCs w:val="18"/>
              </w:rPr>
              <w:t xml:space="preserve">pracującymi na własny rachunek) </w:t>
            </w:r>
          </w:p>
        </w:tc>
        <w:tc>
          <w:tcPr>
            <w:tcW w:w="0" w:type="auto"/>
            <w:shd w:val="clear" w:color="auto" w:fill="auto"/>
            <w:vAlign w:val="center"/>
          </w:tcPr>
          <w:p w14:paraId="648E7285" w14:textId="77777777" w:rsidR="009D3A39" w:rsidRPr="00404DA5" w:rsidRDefault="009D3A39" w:rsidP="001C3974">
            <w:pPr>
              <w:jc w:val="center"/>
              <w:rPr>
                <w:rFonts w:cs="Calibri"/>
                <w:sz w:val="18"/>
                <w:szCs w:val="18"/>
              </w:rPr>
            </w:pPr>
            <w:r w:rsidRPr="00404DA5">
              <w:rPr>
                <w:rFonts w:cs="Calibri"/>
                <w:sz w:val="18"/>
                <w:szCs w:val="18"/>
              </w:rPr>
              <w:t>15%</w:t>
            </w:r>
          </w:p>
        </w:tc>
        <w:tc>
          <w:tcPr>
            <w:tcW w:w="0" w:type="auto"/>
            <w:shd w:val="clear" w:color="auto" w:fill="auto"/>
            <w:vAlign w:val="center"/>
          </w:tcPr>
          <w:p w14:paraId="47CC38F9" w14:textId="77777777" w:rsidR="009D3A39" w:rsidRDefault="009D3A39" w:rsidP="001C3974">
            <w:pPr>
              <w:jc w:val="center"/>
              <w:rPr>
                <w:rFonts w:cs="Calibri"/>
                <w:sz w:val="18"/>
                <w:szCs w:val="18"/>
              </w:rPr>
            </w:pPr>
            <w:r>
              <w:rPr>
                <w:rFonts w:cs="Calibri"/>
                <w:sz w:val="18"/>
                <w:szCs w:val="18"/>
              </w:rPr>
              <w:t>18%</w:t>
            </w:r>
          </w:p>
          <w:p w14:paraId="00B28E70"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1799</w:t>
            </w:r>
            <w:r>
              <w:rPr>
                <w:rFonts w:cs="Calibri"/>
                <w:sz w:val="18"/>
                <w:szCs w:val="18"/>
              </w:rPr>
              <w:t>)</w:t>
            </w:r>
          </w:p>
        </w:tc>
        <w:tc>
          <w:tcPr>
            <w:tcW w:w="0" w:type="auto"/>
            <w:shd w:val="clear" w:color="auto" w:fill="auto"/>
            <w:vAlign w:val="center"/>
          </w:tcPr>
          <w:p w14:paraId="5D0F1A54" w14:textId="77777777" w:rsidR="009D3A39" w:rsidRPr="00404DA5" w:rsidRDefault="009D3A39" w:rsidP="001C3974">
            <w:pPr>
              <w:jc w:val="center"/>
              <w:rPr>
                <w:rFonts w:cs="Calibri"/>
                <w:sz w:val="18"/>
                <w:szCs w:val="18"/>
              </w:rPr>
            </w:pPr>
            <w:r w:rsidRPr="00404DA5">
              <w:rPr>
                <w:rFonts w:cs="Calibri"/>
                <w:sz w:val="18"/>
                <w:szCs w:val="18"/>
              </w:rPr>
              <w:t>107%</w:t>
            </w:r>
          </w:p>
        </w:tc>
      </w:tr>
      <w:tr w:rsidR="009D3A39" w:rsidRPr="00FE43CD" w14:paraId="01675070" w14:textId="77777777" w:rsidTr="001C3974">
        <w:tc>
          <w:tcPr>
            <w:tcW w:w="0" w:type="auto"/>
            <w:shd w:val="clear" w:color="auto" w:fill="auto"/>
            <w:vAlign w:val="center"/>
          </w:tcPr>
          <w:p w14:paraId="5A63F365" w14:textId="77777777" w:rsidR="009D3A39" w:rsidRPr="00404DA5" w:rsidRDefault="009D3A39" w:rsidP="00DE0A94">
            <w:pPr>
              <w:jc w:val="center"/>
              <w:rPr>
                <w:rFonts w:cs="Calibri"/>
                <w:sz w:val="18"/>
                <w:szCs w:val="18"/>
              </w:rPr>
            </w:pPr>
            <w:r w:rsidRPr="00404DA5">
              <w:rPr>
                <w:rFonts w:cs="Calibri"/>
                <w:sz w:val="18"/>
                <w:szCs w:val="18"/>
              </w:rPr>
              <w:t>WR</w:t>
            </w:r>
          </w:p>
        </w:tc>
        <w:tc>
          <w:tcPr>
            <w:tcW w:w="0" w:type="auto"/>
            <w:shd w:val="clear" w:color="auto" w:fill="auto"/>
          </w:tcPr>
          <w:p w14:paraId="477D58BC" w14:textId="77777777" w:rsidR="009D3A39" w:rsidRPr="00404DA5" w:rsidRDefault="009D3A39" w:rsidP="001C3974">
            <w:pPr>
              <w:rPr>
                <w:rFonts w:cs="Calibri"/>
                <w:sz w:val="18"/>
                <w:szCs w:val="18"/>
              </w:rPr>
            </w:pPr>
            <w:r w:rsidRPr="00404DA5">
              <w:rPr>
                <w:rFonts w:cs="Calibri"/>
                <w:sz w:val="18"/>
                <w:szCs w:val="18"/>
              </w:rPr>
              <w:t xml:space="preserve">Liczba osób zagrożonych ubóstwem lub wykluczeniem społecznym, które uzyskały kwalifikacje po opuszczeniu programu </w:t>
            </w:r>
          </w:p>
        </w:tc>
        <w:tc>
          <w:tcPr>
            <w:tcW w:w="0" w:type="auto"/>
            <w:shd w:val="clear" w:color="auto" w:fill="auto"/>
            <w:vAlign w:val="center"/>
          </w:tcPr>
          <w:p w14:paraId="2EC2057B" w14:textId="77777777" w:rsidR="009D3A39" w:rsidRPr="00404DA5" w:rsidRDefault="009D3A39" w:rsidP="001C3974">
            <w:pPr>
              <w:jc w:val="center"/>
              <w:rPr>
                <w:rFonts w:cs="Calibri"/>
                <w:sz w:val="18"/>
                <w:szCs w:val="18"/>
              </w:rPr>
            </w:pPr>
            <w:r w:rsidRPr="00404DA5">
              <w:rPr>
                <w:rFonts w:cs="Calibri"/>
                <w:sz w:val="18"/>
                <w:szCs w:val="18"/>
              </w:rPr>
              <w:t>31%</w:t>
            </w:r>
          </w:p>
        </w:tc>
        <w:tc>
          <w:tcPr>
            <w:tcW w:w="0" w:type="auto"/>
            <w:shd w:val="clear" w:color="auto" w:fill="auto"/>
            <w:vAlign w:val="center"/>
          </w:tcPr>
          <w:p w14:paraId="645909B6" w14:textId="77777777" w:rsidR="009D3A39" w:rsidRDefault="009D3A39" w:rsidP="001C3974">
            <w:pPr>
              <w:jc w:val="center"/>
              <w:rPr>
                <w:rFonts w:cs="Calibri"/>
                <w:sz w:val="18"/>
                <w:szCs w:val="18"/>
              </w:rPr>
            </w:pPr>
            <w:r>
              <w:rPr>
                <w:rFonts w:cs="Calibri"/>
                <w:sz w:val="18"/>
                <w:szCs w:val="18"/>
              </w:rPr>
              <w:t>22%</w:t>
            </w:r>
          </w:p>
          <w:p w14:paraId="46D676A4"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2159</w:t>
            </w:r>
            <w:r>
              <w:rPr>
                <w:rFonts w:cs="Calibri"/>
                <w:sz w:val="18"/>
                <w:szCs w:val="18"/>
              </w:rPr>
              <w:t>)</w:t>
            </w:r>
          </w:p>
        </w:tc>
        <w:tc>
          <w:tcPr>
            <w:tcW w:w="0" w:type="auto"/>
            <w:shd w:val="clear" w:color="auto" w:fill="auto"/>
            <w:vAlign w:val="center"/>
          </w:tcPr>
          <w:p w14:paraId="2C923E28" w14:textId="77777777" w:rsidR="009D3A39" w:rsidRPr="00404DA5" w:rsidRDefault="009D3A39" w:rsidP="001C3974">
            <w:pPr>
              <w:jc w:val="center"/>
              <w:rPr>
                <w:rFonts w:cs="Calibri"/>
                <w:sz w:val="18"/>
                <w:szCs w:val="18"/>
              </w:rPr>
            </w:pPr>
            <w:r w:rsidRPr="00404DA5">
              <w:rPr>
                <w:rFonts w:cs="Calibri"/>
                <w:sz w:val="18"/>
                <w:szCs w:val="18"/>
              </w:rPr>
              <w:t>62%</w:t>
            </w:r>
          </w:p>
        </w:tc>
      </w:tr>
    </w:tbl>
    <w:p w14:paraId="73858C3C"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6561D8CD" w14:textId="77777777" w:rsidR="009D3A39" w:rsidRPr="00404DA5" w:rsidRDefault="009D3A39" w:rsidP="009D3A39">
      <w:pPr>
        <w:rPr>
          <w:rFonts w:cs="Calibri"/>
          <w:color w:val="FF0000"/>
          <w:szCs w:val="20"/>
        </w:rPr>
      </w:pPr>
      <w:r w:rsidRPr="00404DA5">
        <w:rPr>
          <w:rFonts w:cs="Calibri"/>
          <w:szCs w:val="20"/>
        </w:rPr>
        <w:t>W przypadku braku zmiany</w:t>
      </w:r>
      <w:r w:rsidR="00E66B89">
        <w:rPr>
          <w:rFonts w:cs="Calibri"/>
          <w:szCs w:val="20"/>
        </w:rPr>
        <w:t xml:space="preserve"> w </w:t>
      </w:r>
      <w:r w:rsidRPr="00404DA5">
        <w:rPr>
          <w:rFonts w:cs="Calibri"/>
          <w:szCs w:val="20"/>
        </w:rPr>
        <w:t>alokacji, możliwe byłoby osiągnięcie zakładanych wartości docelowych. Niemniej jednak</w:t>
      </w:r>
      <w:r w:rsidR="00E66B89">
        <w:rPr>
          <w:rFonts w:cs="Calibri"/>
          <w:szCs w:val="20"/>
        </w:rPr>
        <w:t xml:space="preserve"> w </w:t>
      </w:r>
      <w:r w:rsidRPr="00404DA5">
        <w:rPr>
          <w:rFonts w:cs="Calibri"/>
          <w:szCs w:val="20"/>
        </w:rPr>
        <w:t>przypadku PI</w:t>
      </w:r>
      <w:r>
        <w:rPr>
          <w:rFonts w:cs="Calibri"/>
          <w:szCs w:val="20"/>
        </w:rPr>
        <w:t xml:space="preserve"> </w:t>
      </w:r>
      <w:r w:rsidRPr="00404DA5">
        <w:rPr>
          <w:rFonts w:cs="Calibri"/>
          <w:szCs w:val="20"/>
        </w:rPr>
        <w:t>9i</w:t>
      </w:r>
      <w:r w:rsidR="00E66B89">
        <w:rPr>
          <w:rFonts w:cs="Calibri"/>
          <w:szCs w:val="20"/>
        </w:rPr>
        <w:t xml:space="preserve"> z </w:t>
      </w:r>
      <w:r w:rsidRPr="00404DA5">
        <w:rPr>
          <w:rFonts w:cs="Calibri"/>
          <w:szCs w:val="20"/>
        </w:rPr>
        <w:t>przyczyn opisanych we wcześniejszych rozdziałach m.in. niski</w:t>
      </w:r>
      <w:r>
        <w:rPr>
          <w:rFonts w:cs="Calibri"/>
          <w:szCs w:val="20"/>
        </w:rPr>
        <w:t>ego</w:t>
      </w:r>
      <w:r w:rsidRPr="00404DA5">
        <w:rPr>
          <w:rFonts w:cs="Calibri"/>
          <w:szCs w:val="20"/>
        </w:rPr>
        <w:t xml:space="preserve"> potencja</w:t>
      </w:r>
      <w:r>
        <w:rPr>
          <w:rFonts w:cs="Calibri"/>
          <w:szCs w:val="20"/>
        </w:rPr>
        <w:t>łu</w:t>
      </w:r>
      <w:r w:rsidRPr="00404DA5">
        <w:rPr>
          <w:rFonts w:cs="Calibri"/>
          <w:szCs w:val="20"/>
        </w:rPr>
        <w:t xml:space="preserve"> aplikacyjn</w:t>
      </w:r>
      <w:r>
        <w:rPr>
          <w:rFonts w:cs="Calibri"/>
          <w:szCs w:val="20"/>
        </w:rPr>
        <w:t>ego</w:t>
      </w:r>
      <w:r w:rsidRPr="00404DA5">
        <w:rPr>
          <w:rFonts w:cs="Calibri"/>
          <w:szCs w:val="20"/>
        </w:rPr>
        <w:t xml:space="preserve"> OPS</w:t>
      </w:r>
      <w:r w:rsidR="00E66B89">
        <w:rPr>
          <w:rFonts w:cs="Calibri"/>
          <w:szCs w:val="20"/>
        </w:rPr>
        <w:t xml:space="preserve"> i </w:t>
      </w:r>
      <w:r w:rsidRPr="00404DA5">
        <w:rPr>
          <w:rFonts w:cs="Calibri"/>
          <w:szCs w:val="20"/>
        </w:rPr>
        <w:t>PCPR oraz zmieniającej się sytuacji społeczno-gospodarczej, przesunięcie środków na PI</w:t>
      </w:r>
      <w:r>
        <w:rPr>
          <w:rFonts w:cs="Calibri"/>
          <w:szCs w:val="20"/>
        </w:rPr>
        <w:t xml:space="preserve"> </w:t>
      </w:r>
      <w:r w:rsidRPr="00404DA5">
        <w:rPr>
          <w:rFonts w:cs="Calibri"/>
          <w:szCs w:val="20"/>
        </w:rPr>
        <w:t>9iv</w:t>
      </w:r>
      <w:r w:rsidR="00E66B89">
        <w:rPr>
          <w:rFonts w:cs="Calibri"/>
          <w:szCs w:val="20"/>
        </w:rPr>
        <w:t xml:space="preserve"> i </w:t>
      </w:r>
      <w:r w:rsidRPr="00404DA5">
        <w:rPr>
          <w:rFonts w:cs="Calibri"/>
          <w:szCs w:val="20"/>
        </w:rPr>
        <w:t>obniżenie wartości docelowych wskaźników dla PI</w:t>
      </w:r>
      <w:r>
        <w:rPr>
          <w:rFonts w:cs="Calibri"/>
          <w:szCs w:val="20"/>
        </w:rPr>
        <w:t xml:space="preserve"> </w:t>
      </w:r>
      <w:r w:rsidRPr="00404DA5">
        <w:rPr>
          <w:rFonts w:cs="Calibri"/>
          <w:szCs w:val="20"/>
        </w:rPr>
        <w:t xml:space="preserve">9i wydaje się być </w:t>
      </w:r>
      <w:r>
        <w:rPr>
          <w:rFonts w:cs="Calibri"/>
          <w:szCs w:val="20"/>
        </w:rPr>
        <w:t xml:space="preserve">najbardziej </w:t>
      </w:r>
      <w:r w:rsidRPr="00404DA5">
        <w:rPr>
          <w:rFonts w:cs="Calibri"/>
          <w:szCs w:val="20"/>
        </w:rPr>
        <w:t>zasadnym rozwiązaniem</w:t>
      </w:r>
      <w:r w:rsidRPr="008B706B">
        <w:rPr>
          <w:rFonts w:cs="Calibri"/>
          <w:szCs w:val="20"/>
        </w:rPr>
        <w:t>.</w:t>
      </w:r>
      <w:r w:rsidRPr="00404DA5">
        <w:rPr>
          <w:rFonts w:cs="Calibri"/>
          <w:color w:val="FF0000"/>
          <w:szCs w:val="20"/>
        </w:rPr>
        <w:t xml:space="preserve"> </w:t>
      </w:r>
    </w:p>
    <w:p w14:paraId="75C7115A" w14:textId="77777777" w:rsidR="009D3A39" w:rsidRPr="00FE43CD" w:rsidRDefault="009D3A39" w:rsidP="009D3A39">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70F1A493" w14:textId="77777777" w:rsidR="009D3A39" w:rsidRPr="00404DA5" w:rsidRDefault="009D3A39" w:rsidP="009D3A39">
      <w:pPr>
        <w:rPr>
          <w:rFonts w:cs="Calibri"/>
          <w:szCs w:val="20"/>
        </w:rPr>
      </w:pPr>
      <w:r w:rsidRPr="00404DA5">
        <w:rPr>
          <w:rFonts w:cs="Calibri"/>
          <w:szCs w:val="20"/>
        </w:rPr>
        <w:t>Zidentyfikowane trudności</w:t>
      </w:r>
      <w:r w:rsidR="00E66B89">
        <w:rPr>
          <w:rFonts w:cs="Calibri"/>
          <w:szCs w:val="20"/>
        </w:rPr>
        <w:t xml:space="preserve"> z </w:t>
      </w:r>
      <w:r w:rsidRPr="00404DA5">
        <w:rPr>
          <w:rFonts w:cs="Calibri"/>
          <w:szCs w:val="20"/>
        </w:rPr>
        <w:t>rekrutacją uczestników oraz brak potencjału aplikacyjnego wśród OPS</w:t>
      </w:r>
      <w:r w:rsidR="00E66B89">
        <w:rPr>
          <w:rFonts w:cs="Calibri"/>
          <w:szCs w:val="20"/>
        </w:rPr>
        <w:t xml:space="preserve"> i </w:t>
      </w:r>
      <w:r w:rsidRPr="00404DA5">
        <w:rPr>
          <w:rFonts w:cs="Calibri"/>
          <w:szCs w:val="20"/>
        </w:rPr>
        <w:t>PCPR wynikają</w:t>
      </w:r>
      <w:r w:rsidR="00E66B89">
        <w:rPr>
          <w:rFonts w:cs="Calibri"/>
          <w:szCs w:val="20"/>
        </w:rPr>
        <w:t xml:space="preserve"> z </w:t>
      </w:r>
      <w:r w:rsidRPr="00404DA5">
        <w:rPr>
          <w:rFonts w:cs="Calibri"/>
          <w:szCs w:val="20"/>
        </w:rPr>
        <w:t>czynników zewnętrznych</w:t>
      </w:r>
      <w:r w:rsidR="00E66B89">
        <w:rPr>
          <w:rFonts w:cs="Calibri"/>
          <w:szCs w:val="20"/>
        </w:rPr>
        <w:t xml:space="preserve"> i </w:t>
      </w:r>
      <w:r w:rsidRPr="00404DA5">
        <w:rPr>
          <w:rFonts w:cs="Calibri"/>
          <w:szCs w:val="20"/>
        </w:rPr>
        <w:t xml:space="preserve">niezależnych od </w:t>
      </w:r>
      <w:r>
        <w:rPr>
          <w:rFonts w:cs="Calibri"/>
          <w:szCs w:val="20"/>
        </w:rPr>
        <w:t>IZ,</w:t>
      </w:r>
      <w:r w:rsidRPr="00404DA5">
        <w:rPr>
          <w:rFonts w:cs="Calibri"/>
          <w:szCs w:val="20"/>
        </w:rPr>
        <w:t xml:space="preserve"> tj. malejącego bezrobocia, </w:t>
      </w:r>
      <w:r>
        <w:rPr>
          <w:rFonts w:cs="Calibri"/>
          <w:szCs w:val="20"/>
        </w:rPr>
        <w:t>s</w:t>
      </w:r>
      <w:r w:rsidRPr="00404DA5">
        <w:rPr>
          <w:rFonts w:cs="Calibri"/>
          <w:szCs w:val="20"/>
        </w:rPr>
        <w:t>padającego ubóstwa relatywnego oraz wprowadzenia dodatkowego świadczenia</w:t>
      </w:r>
      <w:r w:rsidR="00E66B89">
        <w:rPr>
          <w:rFonts w:cs="Calibri"/>
          <w:szCs w:val="20"/>
        </w:rPr>
        <w:t xml:space="preserve"> z </w:t>
      </w:r>
      <w:r w:rsidR="00472EC3">
        <w:rPr>
          <w:rFonts w:cs="Calibri"/>
          <w:szCs w:val="20"/>
        </w:rPr>
        <w:t xml:space="preserve">programu Rodzina </w:t>
      </w:r>
      <w:r w:rsidRPr="00404DA5">
        <w:rPr>
          <w:rFonts w:cs="Calibri"/>
          <w:szCs w:val="20"/>
        </w:rPr>
        <w:t>500+. Świadczą</w:t>
      </w:r>
      <w:r w:rsidR="00E66B89">
        <w:rPr>
          <w:rFonts w:cs="Calibri"/>
          <w:szCs w:val="20"/>
        </w:rPr>
        <w:t xml:space="preserve"> o </w:t>
      </w:r>
      <w:r w:rsidRPr="00404DA5">
        <w:rPr>
          <w:rFonts w:cs="Calibri"/>
          <w:szCs w:val="20"/>
        </w:rPr>
        <w:t>tym między innymi działania IZ podejmowane</w:t>
      </w:r>
      <w:r w:rsidR="00E66B89">
        <w:rPr>
          <w:rFonts w:cs="Calibri"/>
          <w:szCs w:val="20"/>
        </w:rPr>
        <w:t xml:space="preserve"> w </w:t>
      </w:r>
      <w:r w:rsidRPr="00404DA5">
        <w:rPr>
          <w:rFonts w:cs="Calibri"/>
          <w:szCs w:val="20"/>
        </w:rPr>
        <w:t xml:space="preserve">celu wzmocnienia potencjału aplikacyjnego beneficjentów, które pomimo trafnych założeń, nie przyniosły oczekiwanych rezultatów. Bez </w:t>
      </w:r>
      <w:r>
        <w:rPr>
          <w:rFonts w:cs="Calibri"/>
          <w:szCs w:val="20"/>
        </w:rPr>
        <w:t>re</w:t>
      </w:r>
      <w:r w:rsidRPr="00404DA5">
        <w:rPr>
          <w:rFonts w:cs="Calibri"/>
          <w:szCs w:val="20"/>
        </w:rPr>
        <w:t xml:space="preserve">alokacji </w:t>
      </w:r>
      <w:r>
        <w:rPr>
          <w:rFonts w:cs="Calibri"/>
          <w:szCs w:val="20"/>
        </w:rPr>
        <w:t xml:space="preserve">części </w:t>
      </w:r>
      <w:r w:rsidRPr="00404DA5">
        <w:rPr>
          <w:rFonts w:cs="Calibri"/>
          <w:szCs w:val="20"/>
        </w:rPr>
        <w:t>środków</w:t>
      </w:r>
      <w:r>
        <w:rPr>
          <w:rFonts w:cs="Calibri"/>
          <w:szCs w:val="20"/>
        </w:rPr>
        <w:t xml:space="preserve"> osiągnięcie założeń Programu może być zagrożone</w:t>
      </w:r>
      <w:r w:rsidRPr="00404DA5">
        <w:rPr>
          <w:rFonts w:cs="Calibri"/>
          <w:szCs w:val="20"/>
        </w:rPr>
        <w:t>.</w:t>
      </w:r>
      <w:r w:rsidR="00E66B89">
        <w:rPr>
          <w:rFonts w:cs="Calibri"/>
          <w:szCs w:val="20"/>
        </w:rPr>
        <w:t xml:space="preserve"> W </w:t>
      </w:r>
      <w:r>
        <w:rPr>
          <w:rFonts w:cs="Calibri"/>
          <w:szCs w:val="20"/>
        </w:rPr>
        <w:t>przypadku podjęcia przez IZ decyzji dotyczącej wdrożenia planu realokacji, p</w:t>
      </w:r>
      <w:r w:rsidRPr="00404DA5">
        <w:rPr>
          <w:rFonts w:cs="Calibri"/>
          <w:szCs w:val="20"/>
        </w:rPr>
        <w:t>roponuje się obniżenie wartości wskaźników do wartości prognozowanych na podstawie umów</w:t>
      </w:r>
      <w:r w:rsidR="00E66B89">
        <w:rPr>
          <w:rFonts w:cs="Calibri"/>
          <w:szCs w:val="20"/>
        </w:rPr>
        <w:t xml:space="preserve"> o </w:t>
      </w:r>
      <w:r w:rsidRPr="00404DA5">
        <w:rPr>
          <w:rFonts w:cs="Calibri"/>
          <w:szCs w:val="20"/>
        </w:rPr>
        <w:t xml:space="preserve">dofinansowanie oraz kosztu jednostkowego obliczonego na podstawie dotychczasowych projektów mających podpisaną UoD. </w:t>
      </w:r>
    </w:p>
    <w:p w14:paraId="0143976A" w14:textId="77777777" w:rsidR="009D3A39" w:rsidRPr="00FE43CD" w:rsidRDefault="009D3A39" w:rsidP="00D87AE8">
      <w:pPr>
        <w:pStyle w:val="Legenda"/>
        <w:spacing w:after="0"/>
      </w:pPr>
      <w:bookmarkStart w:id="281" w:name="_Toc8824231"/>
      <w:r w:rsidRPr="00FE43CD">
        <w:t xml:space="preserve">Tabela </w:t>
      </w:r>
      <w:r>
        <w:fldChar w:fldCharType="begin"/>
      </w:r>
      <w:r>
        <w:instrText xml:space="preserve"> SEQ Tabela \* ARABIC </w:instrText>
      </w:r>
      <w:r>
        <w:fldChar w:fldCharType="separate"/>
      </w:r>
      <w:r w:rsidR="00763345">
        <w:rPr>
          <w:noProof/>
        </w:rPr>
        <w:t>120</w:t>
      </w:r>
      <w:r>
        <w:fldChar w:fldCharType="end"/>
      </w:r>
      <w:r w:rsidRPr="00FE43CD">
        <w:t xml:space="preserve"> Wskaźniki wymagające zmiany wartości – PI </w:t>
      </w:r>
      <w:r>
        <w:t>9i</w:t>
      </w:r>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3595"/>
        <w:gridCol w:w="1040"/>
        <w:gridCol w:w="1768"/>
        <w:gridCol w:w="1670"/>
      </w:tblGrid>
      <w:tr w:rsidR="009D3A39" w:rsidRPr="00FE43CD" w14:paraId="62A3B0B5" w14:textId="77777777" w:rsidTr="00C22C26">
        <w:trPr>
          <w:tblHeader/>
        </w:trPr>
        <w:tc>
          <w:tcPr>
            <w:tcW w:w="0" w:type="auto"/>
            <w:shd w:val="clear" w:color="auto" w:fill="DBE5F1"/>
          </w:tcPr>
          <w:p w14:paraId="1914624D" w14:textId="77777777" w:rsidR="009D3A39" w:rsidRPr="00404DA5" w:rsidRDefault="009D3A39" w:rsidP="001C3974">
            <w:pPr>
              <w:jc w:val="center"/>
              <w:rPr>
                <w:rFonts w:cs="Calibri"/>
                <w:sz w:val="16"/>
                <w:szCs w:val="16"/>
              </w:rPr>
            </w:pPr>
            <w:r w:rsidRPr="00404DA5">
              <w:rPr>
                <w:rFonts w:cs="Calibri"/>
                <w:sz w:val="16"/>
                <w:szCs w:val="16"/>
              </w:rPr>
              <w:t>Typ wskaźnika</w:t>
            </w:r>
          </w:p>
        </w:tc>
        <w:tc>
          <w:tcPr>
            <w:tcW w:w="0" w:type="auto"/>
            <w:shd w:val="clear" w:color="auto" w:fill="DBE5F1"/>
          </w:tcPr>
          <w:p w14:paraId="3E0BDE91" w14:textId="77777777" w:rsidR="009D3A39" w:rsidRPr="00404DA5" w:rsidRDefault="009D3A39" w:rsidP="001C3974">
            <w:pPr>
              <w:jc w:val="center"/>
              <w:rPr>
                <w:rFonts w:cs="Calibri"/>
                <w:sz w:val="16"/>
                <w:szCs w:val="16"/>
              </w:rPr>
            </w:pPr>
            <w:r w:rsidRPr="00404DA5">
              <w:rPr>
                <w:rFonts w:cs="Calibri"/>
                <w:sz w:val="16"/>
                <w:szCs w:val="16"/>
              </w:rPr>
              <w:t>Wskaźnik</w:t>
            </w:r>
          </w:p>
        </w:tc>
        <w:tc>
          <w:tcPr>
            <w:tcW w:w="0" w:type="auto"/>
            <w:shd w:val="clear" w:color="auto" w:fill="DBE5F1"/>
          </w:tcPr>
          <w:p w14:paraId="686647AA" w14:textId="77777777" w:rsidR="009D3A39" w:rsidRPr="00404DA5" w:rsidRDefault="009D3A39" w:rsidP="001C3974">
            <w:pPr>
              <w:jc w:val="center"/>
              <w:rPr>
                <w:rFonts w:cs="Calibri"/>
                <w:sz w:val="16"/>
                <w:szCs w:val="16"/>
              </w:rPr>
            </w:pPr>
            <w:r w:rsidRPr="00404DA5">
              <w:rPr>
                <w:rFonts w:cs="Calibri"/>
                <w:sz w:val="16"/>
                <w:szCs w:val="16"/>
              </w:rPr>
              <w:t>Jednostka pomiaru</w:t>
            </w:r>
          </w:p>
        </w:tc>
        <w:tc>
          <w:tcPr>
            <w:tcW w:w="0" w:type="auto"/>
            <w:shd w:val="clear" w:color="auto" w:fill="DBE5F1"/>
          </w:tcPr>
          <w:p w14:paraId="36D824F7" w14:textId="77777777" w:rsidR="009D3A39" w:rsidRPr="00404DA5" w:rsidRDefault="009D3A39" w:rsidP="001C3974">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tcPr>
          <w:p w14:paraId="1D0EFA43" w14:textId="77777777" w:rsidR="009D3A39" w:rsidRPr="00404DA5" w:rsidRDefault="009D3A39" w:rsidP="001C3974">
            <w:pPr>
              <w:jc w:val="center"/>
              <w:rPr>
                <w:rFonts w:cs="Calibri"/>
                <w:sz w:val="16"/>
                <w:szCs w:val="16"/>
              </w:rPr>
            </w:pPr>
            <w:r>
              <w:rPr>
                <w:rFonts w:cs="Calibri"/>
                <w:sz w:val="16"/>
                <w:szCs w:val="16"/>
              </w:rPr>
              <w:t>Proponowana w</w:t>
            </w:r>
            <w:r w:rsidRPr="00404DA5">
              <w:rPr>
                <w:rFonts w:cs="Calibri"/>
                <w:sz w:val="16"/>
                <w:szCs w:val="16"/>
              </w:rPr>
              <w:t>artość docelowa na koniec 2023 r.</w:t>
            </w:r>
          </w:p>
        </w:tc>
      </w:tr>
      <w:tr w:rsidR="009D3A39" w:rsidRPr="00FE43CD" w14:paraId="06D06777" w14:textId="77777777" w:rsidTr="001C3974">
        <w:tc>
          <w:tcPr>
            <w:tcW w:w="0" w:type="auto"/>
            <w:shd w:val="clear" w:color="auto" w:fill="auto"/>
            <w:vAlign w:val="center"/>
          </w:tcPr>
          <w:p w14:paraId="3CBEFDD3" w14:textId="77777777" w:rsidR="009D3A39" w:rsidRPr="00404DA5" w:rsidRDefault="009D3A39" w:rsidP="001C3974">
            <w:pPr>
              <w:jc w:val="center"/>
              <w:rPr>
                <w:rFonts w:eastAsia="Calibri" w:cs="Calibri"/>
                <w:sz w:val="16"/>
                <w:szCs w:val="16"/>
              </w:rPr>
            </w:pPr>
            <w:r w:rsidRPr="00404DA5">
              <w:rPr>
                <w:rFonts w:cs="Calibri"/>
                <w:sz w:val="18"/>
                <w:szCs w:val="18"/>
              </w:rPr>
              <w:t>WP</w:t>
            </w:r>
          </w:p>
        </w:tc>
        <w:tc>
          <w:tcPr>
            <w:tcW w:w="0" w:type="auto"/>
            <w:shd w:val="clear" w:color="auto" w:fill="auto"/>
          </w:tcPr>
          <w:p w14:paraId="061C5AFA" w14:textId="77777777" w:rsidR="009D3A39" w:rsidRPr="00404DA5" w:rsidRDefault="009D3A39" w:rsidP="001C3974">
            <w:pPr>
              <w:jc w:val="center"/>
              <w:rPr>
                <w:rFonts w:eastAsia="Calibri" w:cs="Calibri"/>
                <w:sz w:val="16"/>
                <w:szCs w:val="16"/>
              </w:rPr>
            </w:pPr>
            <w:r w:rsidRPr="00404DA5">
              <w:rPr>
                <w:rFonts w:cs="Calibri"/>
                <w:sz w:val="18"/>
                <w:szCs w:val="18"/>
              </w:rPr>
              <w:t>Liczba osób</w:t>
            </w:r>
            <w:r w:rsidR="00E66B89">
              <w:rPr>
                <w:rFonts w:cs="Calibri"/>
                <w:sz w:val="18"/>
                <w:szCs w:val="18"/>
              </w:rPr>
              <w:t xml:space="preserve"> z </w:t>
            </w:r>
            <w:r w:rsidRPr="00404DA5">
              <w:rPr>
                <w:rFonts w:cs="Calibri"/>
                <w:sz w:val="18"/>
                <w:szCs w:val="18"/>
              </w:rPr>
              <w:t>niepełnosprawnościami objętych wsparciem</w:t>
            </w:r>
            <w:r w:rsidR="00E66B89">
              <w:rPr>
                <w:rFonts w:cs="Calibri"/>
                <w:sz w:val="18"/>
                <w:szCs w:val="18"/>
              </w:rPr>
              <w:t xml:space="preserve"> w </w:t>
            </w:r>
            <w:r w:rsidRPr="00404DA5">
              <w:rPr>
                <w:rFonts w:cs="Calibri"/>
                <w:sz w:val="18"/>
                <w:szCs w:val="18"/>
              </w:rPr>
              <w:t xml:space="preserve">programie (C) </w:t>
            </w:r>
          </w:p>
        </w:tc>
        <w:tc>
          <w:tcPr>
            <w:tcW w:w="0" w:type="auto"/>
            <w:shd w:val="clear" w:color="auto" w:fill="auto"/>
            <w:vAlign w:val="center"/>
          </w:tcPr>
          <w:p w14:paraId="08DADBB3" w14:textId="77777777" w:rsidR="009D3A39" w:rsidRPr="00404DA5" w:rsidRDefault="009D3A39" w:rsidP="001C3974">
            <w:pPr>
              <w:jc w:val="center"/>
              <w:rPr>
                <w:rFonts w:eastAsia="Calibri" w:cs="Calibri"/>
                <w:sz w:val="16"/>
                <w:szCs w:val="16"/>
              </w:rPr>
            </w:pPr>
            <w:r w:rsidRPr="00404DA5">
              <w:rPr>
                <w:rFonts w:eastAsia="Calibri" w:cs="Calibri"/>
                <w:sz w:val="16"/>
                <w:szCs w:val="16"/>
              </w:rPr>
              <w:t>osoba</w:t>
            </w:r>
          </w:p>
        </w:tc>
        <w:tc>
          <w:tcPr>
            <w:tcW w:w="0" w:type="auto"/>
            <w:shd w:val="clear" w:color="auto" w:fill="auto"/>
            <w:vAlign w:val="center"/>
          </w:tcPr>
          <w:p w14:paraId="4F2B2251" w14:textId="77777777" w:rsidR="009D3A39" w:rsidRPr="00404DA5" w:rsidRDefault="009D3A39" w:rsidP="001C3974">
            <w:pPr>
              <w:jc w:val="center"/>
              <w:rPr>
                <w:rFonts w:eastAsia="Calibri" w:cs="Calibri"/>
                <w:sz w:val="16"/>
                <w:szCs w:val="16"/>
              </w:rPr>
            </w:pPr>
            <w:r w:rsidRPr="00404DA5">
              <w:rPr>
                <w:rFonts w:cs="Calibri"/>
                <w:sz w:val="18"/>
                <w:szCs w:val="18"/>
              </w:rPr>
              <w:t>3504</w:t>
            </w:r>
          </w:p>
        </w:tc>
        <w:tc>
          <w:tcPr>
            <w:tcW w:w="0" w:type="auto"/>
            <w:shd w:val="clear" w:color="auto" w:fill="auto"/>
            <w:vAlign w:val="center"/>
          </w:tcPr>
          <w:p w14:paraId="44D0516C" w14:textId="77777777" w:rsidR="009D3A39" w:rsidRPr="00404DA5" w:rsidRDefault="009D3A39" w:rsidP="001C3974">
            <w:pPr>
              <w:jc w:val="center"/>
              <w:rPr>
                <w:rFonts w:eastAsia="Calibri" w:cs="Calibri"/>
                <w:sz w:val="16"/>
                <w:szCs w:val="16"/>
              </w:rPr>
            </w:pPr>
            <w:r w:rsidRPr="00404DA5">
              <w:rPr>
                <w:rFonts w:cs="Calibri"/>
                <w:sz w:val="18"/>
                <w:szCs w:val="18"/>
              </w:rPr>
              <w:t>2735</w:t>
            </w:r>
          </w:p>
        </w:tc>
      </w:tr>
      <w:tr w:rsidR="009D3A39" w:rsidRPr="00FE43CD" w14:paraId="712EA1FB" w14:textId="77777777" w:rsidTr="001C3974">
        <w:tc>
          <w:tcPr>
            <w:tcW w:w="0" w:type="auto"/>
            <w:shd w:val="clear" w:color="auto" w:fill="auto"/>
            <w:vAlign w:val="center"/>
          </w:tcPr>
          <w:p w14:paraId="041E01CC" w14:textId="77777777" w:rsidR="009D3A39" w:rsidRPr="00404DA5" w:rsidRDefault="009D3A39" w:rsidP="001C3974">
            <w:pPr>
              <w:jc w:val="center"/>
              <w:rPr>
                <w:rFonts w:eastAsia="Calibri" w:cs="Calibri"/>
                <w:sz w:val="16"/>
                <w:szCs w:val="16"/>
              </w:rPr>
            </w:pPr>
            <w:r w:rsidRPr="00404DA5">
              <w:rPr>
                <w:rFonts w:cs="Calibri"/>
                <w:sz w:val="18"/>
                <w:szCs w:val="18"/>
              </w:rPr>
              <w:t>WP</w:t>
            </w:r>
          </w:p>
        </w:tc>
        <w:tc>
          <w:tcPr>
            <w:tcW w:w="0" w:type="auto"/>
            <w:shd w:val="clear" w:color="auto" w:fill="auto"/>
          </w:tcPr>
          <w:p w14:paraId="0E37A01E" w14:textId="77777777" w:rsidR="009D3A39" w:rsidRPr="00404DA5" w:rsidRDefault="009D3A39" w:rsidP="001C3974">
            <w:pPr>
              <w:jc w:val="center"/>
              <w:rPr>
                <w:rFonts w:eastAsia="Calibri" w:cs="Calibri"/>
                <w:sz w:val="16"/>
                <w:szCs w:val="16"/>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 xml:space="preserve">programie </w:t>
            </w:r>
          </w:p>
        </w:tc>
        <w:tc>
          <w:tcPr>
            <w:tcW w:w="0" w:type="auto"/>
            <w:shd w:val="clear" w:color="auto" w:fill="auto"/>
            <w:vAlign w:val="center"/>
          </w:tcPr>
          <w:p w14:paraId="07064A70" w14:textId="77777777" w:rsidR="009D3A39" w:rsidRPr="00404DA5" w:rsidRDefault="009D3A39" w:rsidP="001C3974">
            <w:pPr>
              <w:jc w:val="center"/>
              <w:rPr>
                <w:rFonts w:eastAsia="Calibri" w:cs="Calibri"/>
                <w:sz w:val="16"/>
                <w:szCs w:val="16"/>
              </w:rPr>
            </w:pPr>
            <w:r w:rsidRPr="00404DA5">
              <w:rPr>
                <w:rFonts w:eastAsia="Calibri" w:cs="Calibri"/>
                <w:sz w:val="16"/>
                <w:szCs w:val="16"/>
              </w:rPr>
              <w:t>osoba</w:t>
            </w:r>
          </w:p>
        </w:tc>
        <w:tc>
          <w:tcPr>
            <w:tcW w:w="0" w:type="auto"/>
            <w:shd w:val="clear" w:color="auto" w:fill="auto"/>
            <w:vAlign w:val="center"/>
          </w:tcPr>
          <w:p w14:paraId="17624C42" w14:textId="77777777" w:rsidR="009D3A39" w:rsidRPr="00404DA5" w:rsidRDefault="009D3A39" w:rsidP="001C3974">
            <w:pPr>
              <w:jc w:val="center"/>
              <w:rPr>
                <w:rFonts w:eastAsia="Calibri" w:cs="Calibri"/>
                <w:sz w:val="16"/>
                <w:szCs w:val="16"/>
              </w:rPr>
            </w:pPr>
            <w:r w:rsidRPr="00404DA5">
              <w:rPr>
                <w:rFonts w:cs="Calibri"/>
                <w:sz w:val="18"/>
                <w:szCs w:val="18"/>
              </w:rPr>
              <w:t>15230</w:t>
            </w:r>
          </w:p>
        </w:tc>
        <w:tc>
          <w:tcPr>
            <w:tcW w:w="0" w:type="auto"/>
            <w:shd w:val="clear" w:color="auto" w:fill="auto"/>
            <w:vAlign w:val="center"/>
          </w:tcPr>
          <w:p w14:paraId="311441D7" w14:textId="77777777" w:rsidR="009D3A39" w:rsidRPr="00404DA5" w:rsidRDefault="009D3A39" w:rsidP="001C3974">
            <w:pPr>
              <w:jc w:val="center"/>
              <w:rPr>
                <w:rFonts w:eastAsia="Calibri" w:cs="Calibri"/>
                <w:sz w:val="16"/>
                <w:szCs w:val="16"/>
              </w:rPr>
            </w:pPr>
            <w:r w:rsidRPr="00404DA5">
              <w:rPr>
                <w:rFonts w:cs="Calibri"/>
                <w:sz w:val="18"/>
                <w:szCs w:val="18"/>
              </w:rPr>
              <w:t>9727</w:t>
            </w:r>
          </w:p>
        </w:tc>
      </w:tr>
      <w:tr w:rsidR="009D3A39" w:rsidRPr="00FE43CD" w14:paraId="3CDBBA87" w14:textId="77777777" w:rsidTr="001C3974">
        <w:tc>
          <w:tcPr>
            <w:tcW w:w="0" w:type="auto"/>
            <w:shd w:val="clear" w:color="auto" w:fill="auto"/>
            <w:vAlign w:val="center"/>
          </w:tcPr>
          <w:p w14:paraId="250901F6" w14:textId="77777777" w:rsidR="009D3A39" w:rsidRPr="00404DA5" w:rsidRDefault="009D3A39" w:rsidP="001C3974">
            <w:pPr>
              <w:jc w:val="center"/>
              <w:rPr>
                <w:rFonts w:cs="Calibri"/>
                <w:sz w:val="18"/>
                <w:szCs w:val="18"/>
              </w:rPr>
            </w:pPr>
            <w:r w:rsidRPr="00404DA5">
              <w:rPr>
                <w:rFonts w:cs="Calibri"/>
                <w:sz w:val="18"/>
                <w:szCs w:val="18"/>
              </w:rPr>
              <w:t>WR</w:t>
            </w:r>
          </w:p>
        </w:tc>
        <w:tc>
          <w:tcPr>
            <w:tcW w:w="0" w:type="auto"/>
            <w:shd w:val="clear" w:color="auto" w:fill="auto"/>
          </w:tcPr>
          <w:p w14:paraId="659D03DF" w14:textId="77777777" w:rsidR="009D3A39" w:rsidRPr="00404DA5" w:rsidRDefault="009D3A39" w:rsidP="001C3974">
            <w:pPr>
              <w:jc w:val="center"/>
              <w:rPr>
                <w:rFonts w:cs="Calibri"/>
                <w:sz w:val="18"/>
                <w:szCs w:val="18"/>
              </w:rPr>
            </w:pPr>
            <w:r w:rsidRPr="00404DA5">
              <w:rPr>
                <w:rFonts w:cs="Calibri"/>
                <w:sz w:val="18"/>
                <w:szCs w:val="18"/>
              </w:rPr>
              <w:t xml:space="preserve">Liczba osób zagrożonych ubóstwem lub wykluczeniem społecznym poszukujących pracy po opuszczeniu programu </w:t>
            </w:r>
          </w:p>
        </w:tc>
        <w:tc>
          <w:tcPr>
            <w:tcW w:w="0" w:type="auto"/>
            <w:shd w:val="clear" w:color="auto" w:fill="auto"/>
            <w:vAlign w:val="center"/>
          </w:tcPr>
          <w:p w14:paraId="53AA631E" w14:textId="77777777" w:rsidR="009D3A39" w:rsidRPr="00404DA5" w:rsidRDefault="009D3A39" w:rsidP="001C3974">
            <w:pPr>
              <w:jc w:val="center"/>
              <w:rPr>
                <w:rFonts w:eastAsia="Calibri" w:cs="Calibri"/>
                <w:sz w:val="16"/>
                <w:szCs w:val="16"/>
              </w:rPr>
            </w:pPr>
            <w:r w:rsidRPr="00404DA5">
              <w:rPr>
                <w:rFonts w:eastAsia="Calibri" w:cs="Calibri"/>
                <w:sz w:val="16"/>
                <w:szCs w:val="16"/>
              </w:rPr>
              <w:t>osoba</w:t>
            </w:r>
          </w:p>
        </w:tc>
        <w:tc>
          <w:tcPr>
            <w:tcW w:w="0" w:type="auto"/>
            <w:shd w:val="clear" w:color="auto" w:fill="auto"/>
            <w:vAlign w:val="center"/>
          </w:tcPr>
          <w:p w14:paraId="4AA95F52" w14:textId="77777777" w:rsidR="009D3A39" w:rsidRPr="00404DA5" w:rsidRDefault="009D3A39" w:rsidP="001C3974">
            <w:pPr>
              <w:jc w:val="center"/>
              <w:rPr>
                <w:rFonts w:eastAsia="Calibri" w:cs="Calibri"/>
                <w:sz w:val="16"/>
                <w:szCs w:val="16"/>
              </w:rPr>
            </w:pPr>
            <w:r w:rsidRPr="00404DA5">
              <w:rPr>
                <w:rFonts w:cs="Calibri"/>
                <w:sz w:val="18"/>
                <w:szCs w:val="18"/>
              </w:rPr>
              <w:t>25%</w:t>
            </w:r>
          </w:p>
        </w:tc>
        <w:tc>
          <w:tcPr>
            <w:tcW w:w="0" w:type="auto"/>
            <w:shd w:val="clear" w:color="auto" w:fill="auto"/>
            <w:vAlign w:val="center"/>
          </w:tcPr>
          <w:p w14:paraId="5EBABC6E" w14:textId="77777777" w:rsidR="009D3A39" w:rsidRPr="00C22C26" w:rsidRDefault="009D3A39" w:rsidP="001C3974">
            <w:pPr>
              <w:jc w:val="center"/>
              <w:rPr>
                <w:rFonts w:eastAsia="Calibri"/>
                <w:sz w:val="18"/>
              </w:rPr>
            </w:pPr>
            <w:r w:rsidRPr="00C22C26">
              <w:rPr>
                <w:rFonts w:eastAsia="Calibri"/>
                <w:sz w:val="18"/>
              </w:rPr>
              <w:t>18%</w:t>
            </w:r>
          </w:p>
        </w:tc>
      </w:tr>
      <w:tr w:rsidR="009D3A39" w:rsidRPr="00FE43CD" w14:paraId="24FD183D" w14:textId="77777777" w:rsidTr="001C3974">
        <w:tc>
          <w:tcPr>
            <w:tcW w:w="0" w:type="auto"/>
            <w:shd w:val="clear" w:color="auto" w:fill="auto"/>
            <w:vAlign w:val="center"/>
          </w:tcPr>
          <w:p w14:paraId="548F9C77" w14:textId="77777777" w:rsidR="009D3A39" w:rsidRPr="00404DA5" w:rsidRDefault="009D3A39" w:rsidP="001C3974">
            <w:pPr>
              <w:jc w:val="center"/>
              <w:rPr>
                <w:rFonts w:cs="Calibri"/>
                <w:sz w:val="18"/>
                <w:szCs w:val="18"/>
              </w:rPr>
            </w:pPr>
            <w:r w:rsidRPr="00404DA5">
              <w:rPr>
                <w:rFonts w:cs="Calibri"/>
                <w:sz w:val="18"/>
                <w:szCs w:val="18"/>
              </w:rPr>
              <w:lastRenderedPageBreak/>
              <w:t>WR</w:t>
            </w:r>
          </w:p>
        </w:tc>
        <w:tc>
          <w:tcPr>
            <w:tcW w:w="0" w:type="auto"/>
            <w:shd w:val="clear" w:color="auto" w:fill="auto"/>
          </w:tcPr>
          <w:p w14:paraId="24726FC0" w14:textId="77777777" w:rsidR="009D3A39" w:rsidRPr="00404DA5" w:rsidRDefault="009D3A39" w:rsidP="001C3974">
            <w:pPr>
              <w:jc w:val="center"/>
              <w:rPr>
                <w:rFonts w:cs="Calibri"/>
                <w:color w:val="FF0000"/>
                <w:sz w:val="18"/>
                <w:szCs w:val="18"/>
              </w:rPr>
            </w:pPr>
            <w:r w:rsidRPr="00404DA5">
              <w:rPr>
                <w:rFonts w:cs="Calibri"/>
                <w:sz w:val="18"/>
                <w:szCs w:val="18"/>
              </w:rPr>
              <w:t xml:space="preserve">Liczba osób zagrożonych ubóstwem lub wykluczeniem społecznym, które uzyskały kwalifikacje po opuszczeniu programu </w:t>
            </w:r>
          </w:p>
        </w:tc>
        <w:tc>
          <w:tcPr>
            <w:tcW w:w="0" w:type="auto"/>
            <w:shd w:val="clear" w:color="auto" w:fill="auto"/>
            <w:vAlign w:val="center"/>
          </w:tcPr>
          <w:p w14:paraId="5535EF84" w14:textId="77777777" w:rsidR="009D3A39" w:rsidRPr="00404DA5" w:rsidRDefault="009D3A39" w:rsidP="001C3974">
            <w:pPr>
              <w:jc w:val="center"/>
              <w:rPr>
                <w:rFonts w:eastAsia="Calibri" w:cs="Calibri"/>
                <w:sz w:val="16"/>
                <w:szCs w:val="16"/>
              </w:rPr>
            </w:pPr>
            <w:r w:rsidRPr="00404DA5">
              <w:rPr>
                <w:rFonts w:eastAsia="Calibri" w:cs="Calibri"/>
                <w:sz w:val="16"/>
                <w:szCs w:val="16"/>
              </w:rPr>
              <w:t>osoba</w:t>
            </w:r>
          </w:p>
        </w:tc>
        <w:tc>
          <w:tcPr>
            <w:tcW w:w="0" w:type="auto"/>
            <w:shd w:val="clear" w:color="auto" w:fill="auto"/>
            <w:vAlign w:val="center"/>
          </w:tcPr>
          <w:p w14:paraId="113281D5" w14:textId="77777777" w:rsidR="009D3A39" w:rsidRPr="00404DA5" w:rsidRDefault="009D3A39" w:rsidP="001C3974">
            <w:pPr>
              <w:jc w:val="center"/>
              <w:rPr>
                <w:rFonts w:eastAsia="Calibri" w:cs="Calibri"/>
                <w:sz w:val="16"/>
                <w:szCs w:val="16"/>
              </w:rPr>
            </w:pPr>
            <w:r w:rsidRPr="00404DA5">
              <w:rPr>
                <w:rFonts w:cs="Calibri"/>
                <w:sz w:val="18"/>
                <w:szCs w:val="18"/>
              </w:rPr>
              <w:t>31%</w:t>
            </w:r>
          </w:p>
        </w:tc>
        <w:tc>
          <w:tcPr>
            <w:tcW w:w="0" w:type="auto"/>
            <w:shd w:val="clear" w:color="auto" w:fill="auto"/>
            <w:vAlign w:val="center"/>
          </w:tcPr>
          <w:p w14:paraId="59AB8AEA" w14:textId="77777777" w:rsidR="009D3A39" w:rsidRPr="00C22C26" w:rsidRDefault="009D3A39" w:rsidP="001C3974">
            <w:pPr>
              <w:jc w:val="center"/>
              <w:rPr>
                <w:rFonts w:eastAsia="Calibri"/>
                <w:sz w:val="18"/>
              </w:rPr>
            </w:pPr>
            <w:r w:rsidRPr="00C22C26">
              <w:rPr>
                <w:rFonts w:eastAsia="Calibri"/>
                <w:sz w:val="18"/>
              </w:rPr>
              <w:t>22%</w:t>
            </w:r>
          </w:p>
        </w:tc>
      </w:tr>
    </w:tbl>
    <w:p w14:paraId="1C979ED9"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analizy własne.</w:t>
      </w:r>
    </w:p>
    <w:p w14:paraId="7FB5B7A1" w14:textId="77777777" w:rsidR="009D3A39" w:rsidRPr="00FE43CD" w:rsidRDefault="009D3A39" w:rsidP="009D3A39">
      <w:pPr>
        <w:pStyle w:val="Nagwek3"/>
      </w:pPr>
      <w:r w:rsidRPr="00FE43CD">
        <w:t xml:space="preserve">Priorytet inwestycyjny nr </w:t>
      </w:r>
      <w:r>
        <w:t>9iv</w:t>
      </w:r>
      <w:r w:rsidRPr="00FE43CD">
        <w:t xml:space="preserve"> (Działani</w:t>
      </w:r>
      <w:r>
        <w:t>e 7.6, 7.7</w:t>
      </w:r>
      <w:r w:rsidRPr="00FE43CD">
        <w:t>)</w:t>
      </w:r>
    </w:p>
    <w:p w14:paraId="7952A2A8"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Ocena postępów</w:t>
      </w:r>
      <w:r w:rsidR="00E66B89">
        <w:rPr>
          <w:rFonts w:ascii="Lato" w:eastAsia="Calibri" w:hAnsi="Lato"/>
          <w:szCs w:val="20"/>
        </w:rPr>
        <w:t xml:space="preserve"> w </w:t>
      </w:r>
      <w:r w:rsidRPr="00801DB4">
        <w:rPr>
          <w:rFonts w:ascii="Lato" w:eastAsia="Calibri" w:hAnsi="Lato"/>
          <w:szCs w:val="20"/>
        </w:rPr>
        <w:t xml:space="preserve">realizacji PI </w:t>
      </w:r>
    </w:p>
    <w:p w14:paraId="7236FAF1" w14:textId="77777777" w:rsidR="009D3A39" w:rsidRPr="00BA0217" w:rsidRDefault="009D3A39" w:rsidP="00D87AE8">
      <w:pPr>
        <w:pStyle w:val="Legenda"/>
        <w:spacing w:after="0"/>
      </w:pPr>
      <w:bookmarkStart w:id="282" w:name="_Toc8824232"/>
      <w:r w:rsidRPr="00BA0217">
        <w:t xml:space="preserve">Tabela </w:t>
      </w:r>
      <w:r>
        <w:fldChar w:fldCharType="begin"/>
      </w:r>
      <w:r>
        <w:instrText xml:space="preserve"> SEQ Tabela \* ARABIC </w:instrText>
      </w:r>
      <w:r>
        <w:fldChar w:fldCharType="separate"/>
      </w:r>
      <w:r w:rsidR="00763345">
        <w:rPr>
          <w:noProof/>
        </w:rPr>
        <w:t>121</w:t>
      </w:r>
      <w:r>
        <w:fldChar w:fldCharType="end"/>
      </w:r>
      <w:r w:rsidRPr="00BA0217">
        <w:t xml:space="preserve"> Wskaźniki produktu</w:t>
      </w:r>
      <w:r w:rsidR="00E66B89">
        <w:t xml:space="preserve"> i </w:t>
      </w:r>
      <w:r w:rsidRPr="00BA0217">
        <w:t xml:space="preserve">rezultatu (PI </w:t>
      </w:r>
      <w:r>
        <w:t xml:space="preserve">9iv) </w:t>
      </w:r>
      <w:r w:rsidRPr="00BA0217">
        <w:t>– postęp rzeczowy</w:t>
      </w:r>
      <w:bookmarkEnd w:id="282"/>
    </w:p>
    <w:tbl>
      <w:tblPr>
        <w:tblW w:w="0" w:type="auto"/>
        <w:tblLook w:val="04A0" w:firstRow="1" w:lastRow="0" w:firstColumn="1" w:lastColumn="0" w:noHBand="0" w:noVBand="1"/>
      </w:tblPr>
      <w:tblGrid>
        <w:gridCol w:w="988"/>
        <w:gridCol w:w="914"/>
        <w:gridCol w:w="1431"/>
        <w:gridCol w:w="837"/>
        <w:gridCol w:w="942"/>
        <w:gridCol w:w="987"/>
        <w:gridCol w:w="988"/>
        <w:gridCol w:w="987"/>
        <w:gridCol w:w="988"/>
      </w:tblGrid>
      <w:tr w:rsidR="009D3A39" w:rsidRPr="0069584C" w14:paraId="4006E3B6" w14:textId="77777777" w:rsidTr="00C22C26">
        <w:trPr>
          <w:tblHeader/>
        </w:trPr>
        <w:tc>
          <w:tcPr>
            <w:tcW w:w="0" w:type="auto"/>
            <w:tcBorders>
              <w:top w:val="single" w:sz="4" w:space="0" w:color="auto"/>
              <w:left w:val="single" w:sz="4" w:space="0" w:color="auto"/>
              <w:bottom w:val="single" w:sz="4" w:space="0" w:color="auto"/>
              <w:right w:val="single" w:sz="4" w:space="0" w:color="auto"/>
            </w:tcBorders>
            <w:shd w:val="clear" w:color="auto" w:fill="DBE5F1"/>
          </w:tcPr>
          <w:p w14:paraId="4245EFC1" w14:textId="77777777" w:rsidR="009D3A39" w:rsidRPr="00404DA5" w:rsidRDefault="009D3A39" w:rsidP="001C3974">
            <w:pPr>
              <w:jc w:val="center"/>
              <w:rPr>
                <w:rFonts w:cs="Calibri"/>
                <w:sz w:val="18"/>
                <w:szCs w:val="18"/>
              </w:rPr>
            </w:pPr>
            <w:r w:rsidRPr="00404DA5">
              <w:rPr>
                <w:rFonts w:cs="Calibri"/>
                <w:sz w:val="18"/>
                <w:szCs w:val="18"/>
              </w:rPr>
              <w:t>Typ wskaźnika</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100B90DD" w14:textId="77777777" w:rsidR="009D3A39" w:rsidRPr="00404DA5" w:rsidRDefault="009D3A39" w:rsidP="001C3974">
            <w:pPr>
              <w:jc w:val="center"/>
              <w:rPr>
                <w:rFonts w:cs="Calibri"/>
                <w:sz w:val="18"/>
                <w:szCs w:val="18"/>
              </w:rPr>
            </w:pPr>
            <w:r w:rsidRPr="00404DA5">
              <w:rPr>
                <w:rFonts w:cs="Calibri"/>
                <w:sz w:val="18"/>
                <w:szCs w:val="18"/>
              </w:rPr>
              <w:t>Działania</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26C12848" w14:textId="77777777" w:rsidR="009D3A39" w:rsidRPr="00404DA5" w:rsidRDefault="009D3A39" w:rsidP="001C3974">
            <w:pPr>
              <w:jc w:val="center"/>
              <w:rPr>
                <w:rFonts w:cs="Calibri"/>
                <w:sz w:val="18"/>
                <w:szCs w:val="18"/>
              </w:rPr>
            </w:pPr>
            <w:r w:rsidRPr="00404DA5">
              <w:rPr>
                <w:rFonts w:cs="Calibri"/>
                <w:sz w:val="18"/>
                <w:szCs w:val="18"/>
              </w:rPr>
              <w:t>Wskaźnik</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5B331C42" w14:textId="77777777" w:rsidR="009D3A39" w:rsidRPr="00404DA5" w:rsidRDefault="009D3A39" w:rsidP="001C3974">
            <w:pPr>
              <w:jc w:val="center"/>
              <w:rPr>
                <w:rFonts w:cs="Calibri"/>
                <w:sz w:val="18"/>
                <w:szCs w:val="18"/>
              </w:rPr>
            </w:pPr>
            <w:r w:rsidRPr="00404DA5">
              <w:rPr>
                <w:rFonts w:cs="Calibri"/>
                <w:sz w:val="18"/>
                <w:szCs w:val="18"/>
              </w:rPr>
              <w:t>Jedn. pomiaru</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52D00277" w14:textId="77777777" w:rsidR="009D3A39" w:rsidRPr="00404DA5" w:rsidRDefault="009D3A39" w:rsidP="001C3974">
            <w:pPr>
              <w:jc w:val="center"/>
              <w:rPr>
                <w:rFonts w:cs="Calibri"/>
                <w:sz w:val="18"/>
                <w:szCs w:val="18"/>
              </w:rPr>
            </w:pPr>
            <w:r w:rsidRPr="00404DA5">
              <w:rPr>
                <w:rFonts w:cs="Calibri"/>
                <w:sz w:val="18"/>
                <w:szCs w:val="18"/>
              </w:rPr>
              <w:t>Wartość docelowa (2023)</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10FB7E0D" w14:textId="77777777" w:rsidR="009D3A39" w:rsidRPr="00404DA5" w:rsidRDefault="009D3A39" w:rsidP="001C3974">
            <w:pPr>
              <w:jc w:val="center"/>
              <w:rPr>
                <w:rFonts w:cs="Calibri"/>
                <w:sz w:val="18"/>
                <w:szCs w:val="18"/>
              </w:rPr>
            </w:pPr>
            <w:r w:rsidRPr="00404DA5">
              <w:rPr>
                <w:rFonts w:cs="Calibri"/>
                <w:sz w:val="18"/>
                <w:szCs w:val="18"/>
              </w:rPr>
              <w:t>Realizacja wskaźnika (wg UoD)</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1B1F8501" w14:textId="77777777" w:rsidR="009D3A39" w:rsidRPr="00404DA5" w:rsidRDefault="009D3A39" w:rsidP="001C3974">
            <w:pPr>
              <w:jc w:val="center"/>
              <w:rPr>
                <w:rFonts w:cs="Calibri"/>
                <w:sz w:val="18"/>
                <w:szCs w:val="18"/>
              </w:rPr>
            </w:pPr>
            <w:r w:rsidRPr="00404DA5">
              <w:rPr>
                <w:rFonts w:cs="Calibri"/>
                <w:sz w:val="18"/>
                <w:szCs w:val="18"/>
              </w:rPr>
              <w:t>% realizacji wartości docelowej (wg UoD)</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233E2765" w14:textId="77777777" w:rsidR="009D3A39" w:rsidRPr="00404DA5" w:rsidRDefault="009D3A39" w:rsidP="001C3974">
            <w:pPr>
              <w:jc w:val="center"/>
              <w:rPr>
                <w:rFonts w:cs="Calibri"/>
                <w:sz w:val="18"/>
                <w:szCs w:val="18"/>
              </w:rPr>
            </w:pPr>
            <w:r w:rsidRPr="00404DA5">
              <w:rPr>
                <w:rFonts w:cs="Calibri"/>
                <w:sz w:val="18"/>
                <w:szCs w:val="18"/>
              </w:rPr>
              <w:t>Realizacja wskaźnika (wg WoP)</w:t>
            </w:r>
          </w:p>
        </w:tc>
        <w:tc>
          <w:tcPr>
            <w:tcW w:w="0" w:type="auto"/>
            <w:tcBorders>
              <w:top w:val="single" w:sz="4" w:space="0" w:color="auto"/>
              <w:left w:val="single" w:sz="4" w:space="0" w:color="auto"/>
              <w:bottom w:val="single" w:sz="4" w:space="0" w:color="auto"/>
              <w:right w:val="single" w:sz="4" w:space="0" w:color="auto"/>
            </w:tcBorders>
            <w:shd w:val="clear" w:color="auto" w:fill="DBE5F1"/>
          </w:tcPr>
          <w:p w14:paraId="227A11BA" w14:textId="77777777" w:rsidR="009D3A39" w:rsidRPr="00404DA5" w:rsidRDefault="009D3A39" w:rsidP="001C3974">
            <w:pPr>
              <w:jc w:val="center"/>
              <w:rPr>
                <w:rFonts w:cs="Calibri"/>
                <w:sz w:val="18"/>
                <w:szCs w:val="18"/>
              </w:rPr>
            </w:pPr>
            <w:r w:rsidRPr="00404DA5">
              <w:rPr>
                <w:rFonts w:cs="Calibri"/>
                <w:sz w:val="18"/>
                <w:szCs w:val="18"/>
              </w:rPr>
              <w:t>% realizacji wartości docelowej (wg WoP)</w:t>
            </w:r>
          </w:p>
        </w:tc>
      </w:tr>
      <w:tr w:rsidR="009D3A39" w:rsidRPr="0069584C" w14:paraId="064CF2B0" w14:textId="77777777" w:rsidTr="00C22C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auto"/>
            </w:tcBorders>
            <w:shd w:val="clear" w:color="auto" w:fill="auto"/>
            <w:vAlign w:val="center"/>
          </w:tcPr>
          <w:p w14:paraId="635AA078" w14:textId="77777777" w:rsidR="009D3A39" w:rsidRPr="00404DA5" w:rsidRDefault="009D3A39" w:rsidP="001C3974">
            <w:pPr>
              <w:jc w:val="center"/>
              <w:rPr>
                <w:rFonts w:cs="Calibri"/>
                <w:sz w:val="18"/>
                <w:szCs w:val="18"/>
              </w:rPr>
            </w:pPr>
            <w:r w:rsidRPr="00404DA5">
              <w:rPr>
                <w:rFonts w:cs="Calibri"/>
                <w:sz w:val="18"/>
                <w:szCs w:val="18"/>
              </w:rPr>
              <w:t>WP</w:t>
            </w:r>
          </w:p>
        </w:tc>
        <w:tc>
          <w:tcPr>
            <w:tcW w:w="0" w:type="auto"/>
            <w:tcBorders>
              <w:top w:val="single" w:sz="4" w:space="0" w:color="auto"/>
            </w:tcBorders>
            <w:shd w:val="clear" w:color="auto" w:fill="auto"/>
            <w:vAlign w:val="center"/>
          </w:tcPr>
          <w:p w14:paraId="26CB1641" w14:textId="77777777" w:rsidR="009D3A39" w:rsidRPr="00404DA5" w:rsidRDefault="009D3A39" w:rsidP="001C3974">
            <w:pPr>
              <w:jc w:val="center"/>
              <w:rPr>
                <w:rFonts w:cs="Calibri"/>
                <w:sz w:val="18"/>
                <w:szCs w:val="18"/>
              </w:rPr>
            </w:pPr>
            <w:r w:rsidRPr="00404DA5">
              <w:rPr>
                <w:rFonts w:cs="Calibri"/>
                <w:sz w:val="18"/>
                <w:szCs w:val="18"/>
              </w:rPr>
              <w:t>7.6, 7.7</w:t>
            </w:r>
          </w:p>
        </w:tc>
        <w:tc>
          <w:tcPr>
            <w:tcW w:w="0" w:type="auto"/>
            <w:tcBorders>
              <w:top w:val="single" w:sz="4" w:space="0" w:color="auto"/>
            </w:tcBorders>
            <w:shd w:val="clear" w:color="auto" w:fill="auto"/>
            <w:vAlign w:val="center"/>
          </w:tcPr>
          <w:p w14:paraId="58217C5A" w14:textId="77777777" w:rsidR="009D3A39" w:rsidRPr="00404DA5" w:rsidRDefault="009D3A39" w:rsidP="001C3974">
            <w:pPr>
              <w:jc w:val="center"/>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 xml:space="preserve">programie </w:t>
            </w:r>
          </w:p>
        </w:tc>
        <w:tc>
          <w:tcPr>
            <w:tcW w:w="0" w:type="auto"/>
            <w:tcBorders>
              <w:top w:val="single" w:sz="4" w:space="0" w:color="auto"/>
            </w:tcBorders>
            <w:shd w:val="clear" w:color="auto" w:fill="auto"/>
            <w:vAlign w:val="center"/>
          </w:tcPr>
          <w:p w14:paraId="17AC6024" w14:textId="77777777" w:rsidR="009D3A39" w:rsidRPr="00404DA5" w:rsidRDefault="009D3A39" w:rsidP="001C3974">
            <w:pPr>
              <w:jc w:val="center"/>
              <w:rPr>
                <w:rFonts w:cs="Calibri"/>
                <w:sz w:val="18"/>
                <w:szCs w:val="18"/>
              </w:rPr>
            </w:pPr>
            <w:r w:rsidRPr="00404DA5">
              <w:rPr>
                <w:rFonts w:cs="Calibri"/>
                <w:sz w:val="18"/>
                <w:szCs w:val="18"/>
              </w:rPr>
              <w:t>Os.</w:t>
            </w:r>
          </w:p>
        </w:tc>
        <w:tc>
          <w:tcPr>
            <w:tcW w:w="0" w:type="auto"/>
            <w:tcBorders>
              <w:top w:val="single" w:sz="4" w:space="0" w:color="auto"/>
            </w:tcBorders>
            <w:shd w:val="clear" w:color="auto" w:fill="auto"/>
            <w:vAlign w:val="center"/>
          </w:tcPr>
          <w:p w14:paraId="4AF0F794" w14:textId="77777777" w:rsidR="009D3A39" w:rsidRPr="00404DA5" w:rsidRDefault="009D3A39" w:rsidP="001C3974">
            <w:pPr>
              <w:jc w:val="center"/>
              <w:rPr>
                <w:rFonts w:cs="Calibri"/>
                <w:sz w:val="18"/>
                <w:szCs w:val="18"/>
              </w:rPr>
            </w:pPr>
            <w:r w:rsidRPr="00404DA5">
              <w:rPr>
                <w:rFonts w:cs="Calibri"/>
                <w:sz w:val="18"/>
                <w:szCs w:val="18"/>
              </w:rPr>
              <w:t>10887</w:t>
            </w:r>
          </w:p>
        </w:tc>
        <w:tc>
          <w:tcPr>
            <w:tcW w:w="0" w:type="auto"/>
            <w:tcBorders>
              <w:top w:val="single" w:sz="4" w:space="0" w:color="auto"/>
            </w:tcBorders>
            <w:shd w:val="clear" w:color="auto" w:fill="auto"/>
            <w:vAlign w:val="center"/>
          </w:tcPr>
          <w:p w14:paraId="1956D2F1" w14:textId="77777777" w:rsidR="009D3A39" w:rsidRPr="00404DA5" w:rsidRDefault="009D3A39" w:rsidP="001C3974">
            <w:pPr>
              <w:jc w:val="center"/>
              <w:rPr>
                <w:rFonts w:cs="Calibri"/>
                <w:sz w:val="18"/>
                <w:szCs w:val="18"/>
              </w:rPr>
            </w:pPr>
            <w:r w:rsidRPr="00404DA5">
              <w:rPr>
                <w:rFonts w:cs="Calibri"/>
                <w:sz w:val="18"/>
                <w:szCs w:val="18"/>
              </w:rPr>
              <w:t>3597</w:t>
            </w:r>
          </w:p>
        </w:tc>
        <w:tc>
          <w:tcPr>
            <w:tcW w:w="0" w:type="auto"/>
            <w:tcBorders>
              <w:top w:val="single" w:sz="4" w:space="0" w:color="auto"/>
            </w:tcBorders>
            <w:shd w:val="clear" w:color="auto" w:fill="auto"/>
            <w:vAlign w:val="center"/>
          </w:tcPr>
          <w:p w14:paraId="32E729CA" w14:textId="77777777" w:rsidR="009D3A39" w:rsidRPr="00404DA5" w:rsidRDefault="009D3A39" w:rsidP="001C3974">
            <w:pPr>
              <w:jc w:val="center"/>
              <w:rPr>
                <w:rFonts w:cs="Calibri"/>
                <w:sz w:val="18"/>
                <w:szCs w:val="18"/>
              </w:rPr>
            </w:pPr>
            <w:r w:rsidRPr="00404DA5">
              <w:rPr>
                <w:rFonts w:cs="Calibri"/>
                <w:sz w:val="18"/>
                <w:szCs w:val="18"/>
              </w:rPr>
              <w:t>33%</w:t>
            </w:r>
          </w:p>
        </w:tc>
        <w:tc>
          <w:tcPr>
            <w:tcW w:w="0" w:type="auto"/>
            <w:tcBorders>
              <w:top w:val="single" w:sz="4" w:space="0" w:color="auto"/>
            </w:tcBorders>
            <w:shd w:val="clear" w:color="auto" w:fill="auto"/>
            <w:vAlign w:val="center"/>
          </w:tcPr>
          <w:p w14:paraId="693AF3BC" w14:textId="77777777" w:rsidR="009D3A39" w:rsidRPr="00404DA5" w:rsidRDefault="009D3A39" w:rsidP="001C3974">
            <w:pPr>
              <w:jc w:val="center"/>
              <w:rPr>
                <w:rFonts w:cs="Calibri"/>
                <w:sz w:val="18"/>
                <w:szCs w:val="18"/>
              </w:rPr>
            </w:pPr>
            <w:r w:rsidRPr="00404DA5">
              <w:rPr>
                <w:rFonts w:cs="Calibri"/>
                <w:sz w:val="18"/>
                <w:szCs w:val="18"/>
              </w:rPr>
              <w:t>5281</w:t>
            </w:r>
          </w:p>
        </w:tc>
        <w:tc>
          <w:tcPr>
            <w:tcW w:w="0" w:type="auto"/>
            <w:tcBorders>
              <w:top w:val="single" w:sz="4" w:space="0" w:color="auto"/>
            </w:tcBorders>
            <w:shd w:val="clear" w:color="auto" w:fill="auto"/>
            <w:vAlign w:val="center"/>
          </w:tcPr>
          <w:p w14:paraId="15A56CD5" w14:textId="77777777" w:rsidR="009D3A39" w:rsidRPr="00404DA5" w:rsidRDefault="009D3A39" w:rsidP="001C3974">
            <w:pPr>
              <w:jc w:val="center"/>
              <w:rPr>
                <w:rFonts w:cs="Calibri"/>
                <w:sz w:val="18"/>
                <w:szCs w:val="18"/>
              </w:rPr>
            </w:pPr>
            <w:r w:rsidRPr="00404DA5">
              <w:rPr>
                <w:rFonts w:cs="Calibri"/>
                <w:sz w:val="18"/>
                <w:szCs w:val="18"/>
              </w:rPr>
              <w:t>49%</w:t>
            </w:r>
          </w:p>
        </w:tc>
      </w:tr>
      <w:tr w:rsidR="009D3A39" w:rsidRPr="0069584C" w14:paraId="1A03CFD2" w14:textId="77777777" w:rsidTr="001C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auto"/>
            <w:vAlign w:val="center"/>
          </w:tcPr>
          <w:p w14:paraId="5106EC1B" w14:textId="77777777" w:rsidR="009D3A39" w:rsidRPr="00404DA5" w:rsidRDefault="009D3A39" w:rsidP="001C3974">
            <w:pPr>
              <w:jc w:val="center"/>
              <w:rPr>
                <w:sz w:val="18"/>
                <w:szCs w:val="18"/>
              </w:rPr>
            </w:pPr>
            <w:r w:rsidRPr="00404DA5">
              <w:rPr>
                <w:sz w:val="18"/>
                <w:szCs w:val="18"/>
              </w:rPr>
              <w:t>WP</w:t>
            </w:r>
          </w:p>
        </w:tc>
        <w:tc>
          <w:tcPr>
            <w:tcW w:w="0" w:type="auto"/>
            <w:shd w:val="clear" w:color="auto" w:fill="auto"/>
            <w:vAlign w:val="center"/>
          </w:tcPr>
          <w:p w14:paraId="119C9B0F" w14:textId="77777777" w:rsidR="009D3A39" w:rsidRPr="00404DA5" w:rsidRDefault="009D3A39" w:rsidP="001C3974">
            <w:pPr>
              <w:jc w:val="center"/>
              <w:rPr>
                <w:rFonts w:cs="Calibri"/>
                <w:sz w:val="18"/>
                <w:szCs w:val="18"/>
              </w:rPr>
            </w:pPr>
            <w:r w:rsidRPr="00404DA5">
              <w:rPr>
                <w:rFonts w:cs="Calibri"/>
                <w:sz w:val="18"/>
                <w:szCs w:val="18"/>
              </w:rPr>
              <w:t>7.6</w:t>
            </w:r>
          </w:p>
        </w:tc>
        <w:tc>
          <w:tcPr>
            <w:tcW w:w="0" w:type="auto"/>
            <w:shd w:val="clear" w:color="auto" w:fill="auto"/>
            <w:vAlign w:val="center"/>
          </w:tcPr>
          <w:p w14:paraId="3FF53A5C" w14:textId="77777777" w:rsidR="009D3A39" w:rsidRPr="00404DA5" w:rsidRDefault="009D3A39" w:rsidP="001C3974">
            <w:pPr>
              <w:jc w:val="center"/>
              <w:rPr>
                <w:rFonts w:cs="Calibri"/>
                <w:sz w:val="18"/>
                <w:szCs w:val="18"/>
              </w:rPr>
            </w:pPr>
            <w:r w:rsidRPr="00404DA5">
              <w:rPr>
                <w:rFonts w:cs="Calibri"/>
                <w:sz w:val="18"/>
                <w:szCs w:val="18"/>
              </w:rPr>
              <w:t>Liczba osób zagrożonych ubóstwem lub wykluczeniem społecznym objętych usługami społecznymi świadczonymi</w:t>
            </w:r>
            <w:r w:rsidR="00E66B89">
              <w:rPr>
                <w:rFonts w:cs="Calibri"/>
                <w:sz w:val="18"/>
                <w:szCs w:val="18"/>
              </w:rPr>
              <w:t xml:space="preserve"> w </w:t>
            </w:r>
            <w:r w:rsidRPr="00404DA5">
              <w:rPr>
                <w:rFonts w:cs="Calibri"/>
                <w:sz w:val="18"/>
                <w:szCs w:val="18"/>
              </w:rPr>
              <w:t>interesie ogólnym</w:t>
            </w:r>
            <w:r w:rsidR="00E66B89">
              <w:rPr>
                <w:rFonts w:cs="Calibri"/>
                <w:sz w:val="18"/>
                <w:szCs w:val="18"/>
              </w:rPr>
              <w:t xml:space="preserve"> w </w:t>
            </w:r>
            <w:r w:rsidRPr="00404DA5">
              <w:rPr>
                <w:rFonts w:cs="Calibri"/>
                <w:sz w:val="18"/>
                <w:szCs w:val="18"/>
              </w:rPr>
              <w:t xml:space="preserve">programie </w:t>
            </w:r>
          </w:p>
        </w:tc>
        <w:tc>
          <w:tcPr>
            <w:tcW w:w="0" w:type="auto"/>
            <w:shd w:val="clear" w:color="auto" w:fill="auto"/>
            <w:vAlign w:val="center"/>
          </w:tcPr>
          <w:p w14:paraId="3DCC9FD5" w14:textId="77777777" w:rsidR="009D3A39" w:rsidRPr="00404DA5" w:rsidRDefault="009D3A39" w:rsidP="001C3974">
            <w:pPr>
              <w:jc w:val="center"/>
              <w:rPr>
                <w:rFonts w:cs="Calibri"/>
                <w:sz w:val="18"/>
                <w:szCs w:val="18"/>
              </w:rPr>
            </w:pPr>
            <w:r w:rsidRPr="00404DA5">
              <w:rPr>
                <w:rFonts w:cs="Calibri"/>
                <w:sz w:val="18"/>
                <w:szCs w:val="18"/>
              </w:rPr>
              <w:t>Os.</w:t>
            </w:r>
          </w:p>
        </w:tc>
        <w:tc>
          <w:tcPr>
            <w:tcW w:w="0" w:type="auto"/>
            <w:shd w:val="clear" w:color="auto" w:fill="auto"/>
            <w:vAlign w:val="center"/>
          </w:tcPr>
          <w:p w14:paraId="6E1C81FF" w14:textId="77777777" w:rsidR="009D3A39" w:rsidRPr="00404DA5" w:rsidRDefault="009D3A39" w:rsidP="001C3974">
            <w:pPr>
              <w:jc w:val="center"/>
              <w:rPr>
                <w:rFonts w:cs="Calibri"/>
                <w:sz w:val="18"/>
                <w:szCs w:val="18"/>
              </w:rPr>
            </w:pPr>
            <w:r w:rsidRPr="00404DA5">
              <w:rPr>
                <w:rFonts w:cs="Calibri"/>
                <w:sz w:val="18"/>
                <w:szCs w:val="18"/>
              </w:rPr>
              <w:t>8260</w:t>
            </w:r>
          </w:p>
        </w:tc>
        <w:tc>
          <w:tcPr>
            <w:tcW w:w="0" w:type="auto"/>
            <w:shd w:val="clear" w:color="auto" w:fill="auto"/>
            <w:vAlign w:val="center"/>
          </w:tcPr>
          <w:p w14:paraId="56B408C0" w14:textId="77777777" w:rsidR="009D3A39" w:rsidRPr="00404DA5" w:rsidRDefault="009D3A39" w:rsidP="001C3974">
            <w:pPr>
              <w:jc w:val="center"/>
              <w:rPr>
                <w:rFonts w:cs="Calibri"/>
                <w:sz w:val="18"/>
                <w:szCs w:val="18"/>
              </w:rPr>
            </w:pPr>
            <w:r w:rsidRPr="00404DA5">
              <w:rPr>
                <w:rFonts w:cs="Calibri"/>
                <w:sz w:val="18"/>
                <w:szCs w:val="18"/>
              </w:rPr>
              <w:t>5972</w:t>
            </w:r>
          </w:p>
        </w:tc>
        <w:tc>
          <w:tcPr>
            <w:tcW w:w="0" w:type="auto"/>
            <w:shd w:val="clear" w:color="auto" w:fill="auto"/>
            <w:vAlign w:val="center"/>
          </w:tcPr>
          <w:p w14:paraId="53C083FE" w14:textId="77777777" w:rsidR="009D3A39" w:rsidRPr="00404DA5" w:rsidRDefault="009D3A39" w:rsidP="001C3974">
            <w:pPr>
              <w:jc w:val="center"/>
              <w:rPr>
                <w:rFonts w:cs="Calibri"/>
                <w:sz w:val="18"/>
                <w:szCs w:val="18"/>
              </w:rPr>
            </w:pPr>
            <w:r w:rsidRPr="00404DA5">
              <w:rPr>
                <w:rFonts w:cs="Calibri"/>
                <w:sz w:val="18"/>
                <w:szCs w:val="18"/>
              </w:rPr>
              <w:t>72%</w:t>
            </w:r>
          </w:p>
        </w:tc>
        <w:tc>
          <w:tcPr>
            <w:tcW w:w="0" w:type="auto"/>
            <w:shd w:val="clear" w:color="auto" w:fill="auto"/>
            <w:vAlign w:val="center"/>
          </w:tcPr>
          <w:p w14:paraId="1B9483BD" w14:textId="77777777" w:rsidR="009D3A39" w:rsidRPr="00404DA5" w:rsidRDefault="009D3A39" w:rsidP="001C3974">
            <w:pPr>
              <w:jc w:val="center"/>
              <w:rPr>
                <w:rFonts w:cs="Calibri"/>
                <w:sz w:val="18"/>
                <w:szCs w:val="18"/>
              </w:rPr>
            </w:pPr>
            <w:r w:rsidRPr="00404DA5">
              <w:rPr>
                <w:rFonts w:cs="Calibri"/>
                <w:sz w:val="18"/>
                <w:szCs w:val="18"/>
              </w:rPr>
              <w:t>5221</w:t>
            </w:r>
          </w:p>
        </w:tc>
        <w:tc>
          <w:tcPr>
            <w:tcW w:w="0" w:type="auto"/>
            <w:shd w:val="clear" w:color="auto" w:fill="auto"/>
            <w:vAlign w:val="center"/>
          </w:tcPr>
          <w:p w14:paraId="2B8EA2AF" w14:textId="77777777" w:rsidR="009D3A39" w:rsidRPr="00404DA5" w:rsidRDefault="009D3A39" w:rsidP="001C3974">
            <w:pPr>
              <w:jc w:val="center"/>
              <w:rPr>
                <w:rFonts w:cs="Calibri"/>
                <w:sz w:val="18"/>
                <w:szCs w:val="18"/>
              </w:rPr>
            </w:pPr>
            <w:r w:rsidRPr="00404DA5">
              <w:rPr>
                <w:rFonts w:cs="Calibri"/>
                <w:sz w:val="18"/>
                <w:szCs w:val="18"/>
              </w:rPr>
              <w:t>63%</w:t>
            </w:r>
          </w:p>
        </w:tc>
      </w:tr>
      <w:tr w:rsidR="009D3A39" w:rsidRPr="0069584C" w14:paraId="53A92959" w14:textId="77777777" w:rsidTr="001C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auto"/>
            <w:vAlign w:val="center"/>
          </w:tcPr>
          <w:p w14:paraId="1F486044" w14:textId="77777777" w:rsidR="009D3A39" w:rsidRPr="00404DA5" w:rsidRDefault="009D3A39" w:rsidP="001C3974">
            <w:pPr>
              <w:jc w:val="center"/>
              <w:rPr>
                <w:sz w:val="18"/>
                <w:szCs w:val="18"/>
              </w:rPr>
            </w:pPr>
            <w:r w:rsidRPr="00404DA5">
              <w:rPr>
                <w:sz w:val="18"/>
                <w:szCs w:val="18"/>
              </w:rPr>
              <w:t>WR</w:t>
            </w:r>
          </w:p>
        </w:tc>
        <w:tc>
          <w:tcPr>
            <w:tcW w:w="0" w:type="auto"/>
            <w:shd w:val="clear" w:color="auto" w:fill="auto"/>
            <w:vAlign w:val="center"/>
          </w:tcPr>
          <w:p w14:paraId="36A1D44A" w14:textId="77777777" w:rsidR="009D3A39" w:rsidRPr="00404DA5" w:rsidRDefault="009D3A39" w:rsidP="001C3974">
            <w:pPr>
              <w:jc w:val="center"/>
              <w:rPr>
                <w:rFonts w:cs="Calibri"/>
                <w:bCs/>
                <w:sz w:val="18"/>
                <w:szCs w:val="18"/>
              </w:rPr>
            </w:pPr>
            <w:r w:rsidRPr="00404DA5">
              <w:rPr>
                <w:rFonts w:cs="Calibri"/>
                <w:bCs/>
                <w:sz w:val="18"/>
                <w:szCs w:val="18"/>
              </w:rPr>
              <w:t>7.6</w:t>
            </w:r>
          </w:p>
        </w:tc>
        <w:tc>
          <w:tcPr>
            <w:tcW w:w="0" w:type="auto"/>
            <w:shd w:val="clear" w:color="auto" w:fill="auto"/>
            <w:vAlign w:val="center"/>
          </w:tcPr>
          <w:p w14:paraId="7959EE93" w14:textId="77777777" w:rsidR="009D3A39" w:rsidRPr="00404DA5" w:rsidRDefault="009D3A39" w:rsidP="001C3974">
            <w:pPr>
              <w:jc w:val="center"/>
              <w:rPr>
                <w:rFonts w:cs="Calibri"/>
                <w:bCs/>
                <w:sz w:val="18"/>
                <w:szCs w:val="18"/>
              </w:rPr>
            </w:pPr>
            <w:r w:rsidRPr="00404DA5">
              <w:rPr>
                <w:rFonts w:cs="Calibri"/>
                <w:bCs/>
                <w:sz w:val="18"/>
                <w:szCs w:val="18"/>
              </w:rPr>
              <w:t>Liczba osób zagrożonych ubóstwem lub wykluczeniem społecznym poszukujących pracy, uczestniczących</w:t>
            </w:r>
            <w:r w:rsidR="00E66B89">
              <w:rPr>
                <w:rFonts w:cs="Calibri"/>
                <w:bCs/>
                <w:sz w:val="18"/>
                <w:szCs w:val="18"/>
              </w:rPr>
              <w:t xml:space="preserve"> </w:t>
            </w:r>
            <w:r w:rsidR="00E66B89">
              <w:rPr>
                <w:rFonts w:cs="Calibri"/>
                <w:bCs/>
                <w:sz w:val="18"/>
                <w:szCs w:val="18"/>
              </w:rPr>
              <w:lastRenderedPageBreak/>
              <w:t>w </w:t>
            </w:r>
            <w:r w:rsidRPr="00404DA5">
              <w:rPr>
                <w:rFonts w:cs="Calibri"/>
                <w:bCs/>
                <w:sz w:val="18"/>
                <w:szCs w:val="18"/>
              </w:rPr>
              <w:t>kształceniu lub szkoleniu, zdobywających kwalifikacje, pracujących (łącznie</w:t>
            </w:r>
            <w:r w:rsidR="00E66B89">
              <w:rPr>
                <w:rFonts w:cs="Calibri"/>
                <w:bCs/>
                <w:sz w:val="18"/>
                <w:szCs w:val="18"/>
              </w:rPr>
              <w:t xml:space="preserve"> z </w:t>
            </w:r>
            <w:r w:rsidRPr="00404DA5">
              <w:rPr>
                <w:rFonts w:cs="Calibri"/>
                <w:bCs/>
                <w:sz w:val="18"/>
                <w:szCs w:val="18"/>
              </w:rPr>
              <w:t>prowadzącymi działalność na własny rachunek) po opuszczeniu programu</w:t>
            </w:r>
          </w:p>
        </w:tc>
        <w:tc>
          <w:tcPr>
            <w:tcW w:w="0" w:type="auto"/>
            <w:shd w:val="clear" w:color="auto" w:fill="auto"/>
            <w:vAlign w:val="center"/>
          </w:tcPr>
          <w:p w14:paraId="0A22797D" w14:textId="77777777" w:rsidR="009D3A39" w:rsidRPr="00404DA5" w:rsidRDefault="009D3A39" w:rsidP="001C3974">
            <w:pPr>
              <w:jc w:val="center"/>
              <w:rPr>
                <w:rFonts w:cs="Calibri"/>
                <w:bCs/>
                <w:sz w:val="18"/>
                <w:szCs w:val="18"/>
              </w:rPr>
            </w:pPr>
            <w:r w:rsidRPr="00404DA5">
              <w:rPr>
                <w:rFonts w:cs="Calibri"/>
                <w:bCs/>
                <w:sz w:val="18"/>
                <w:szCs w:val="18"/>
              </w:rPr>
              <w:lastRenderedPageBreak/>
              <w:t>%</w:t>
            </w:r>
          </w:p>
        </w:tc>
        <w:tc>
          <w:tcPr>
            <w:tcW w:w="0" w:type="auto"/>
            <w:shd w:val="clear" w:color="auto" w:fill="auto"/>
            <w:vAlign w:val="center"/>
          </w:tcPr>
          <w:p w14:paraId="679B5C17" w14:textId="77777777" w:rsidR="009D3A39" w:rsidRPr="00404DA5" w:rsidRDefault="009D3A39" w:rsidP="001C3974">
            <w:pPr>
              <w:jc w:val="center"/>
              <w:rPr>
                <w:rFonts w:cs="Calibri"/>
                <w:sz w:val="18"/>
                <w:szCs w:val="18"/>
              </w:rPr>
            </w:pPr>
            <w:r w:rsidRPr="00404DA5">
              <w:rPr>
                <w:rFonts w:cs="Calibri"/>
                <w:sz w:val="18"/>
                <w:szCs w:val="18"/>
              </w:rPr>
              <w:t>30%</w:t>
            </w:r>
          </w:p>
        </w:tc>
        <w:tc>
          <w:tcPr>
            <w:tcW w:w="0" w:type="auto"/>
            <w:shd w:val="clear" w:color="auto" w:fill="auto"/>
            <w:vAlign w:val="center"/>
          </w:tcPr>
          <w:p w14:paraId="4E28DA96" w14:textId="77777777" w:rsidR="009D3A39" w:rsidRDefault="009D3A39" w:rsidP="001C3974">
            <w:pPr>
              <w:jc w:val="center"/>
              <w:rPr>
                <w:rFonts w:cs="Calibri"/>
                <w:sz w:val="18"/>
                <w:szCs w:val="18"/>
              </w:rPr>
            </w:pPr>
            <w:r>
              <w:rPr>
                <w:rFonts w:cs="Calibri"/>
                <w:sz w:val="18"/>
                <w:szCs w:val="18"/>
              </w:rPr>
              <w:t xml:space="preserve">1,7% </w:t>
            </w:r>
          </w:p>
          <w:p w14:paraId="10568C7B"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103</w:t>
            </w:r>
            <w:r>
              <w:rPr>
                <w:rFonts w:cs="Calibri"/>
                <w:sz w:val="18"/>
                <w:szCs w:val="18"/>
              </w:rPr>
              <w:t>)</w:t>
            </w:r>
          </w:p>
        </w:tc>
        <w:tc>
          <w:tcPr>
            <w:tcW w:w="0" w:type="auto"/>
            <w:shd w:val="clear" w:color="auto" w:fill="auto"/>
            <w:vAlign w:val="center"/>
          </w:tcPr>
          <w:p w14:paraId="6357F1F2" w14:textId="77777777" w:rsidR="009D3A39" w:rsidRPr="00404DA5" w:rsidRDefault="009D3A39" w:rsidP="001C3974">
            <w:pPr>
              <w:jc w:val="center"/>
              <w:rPr>
                <w:rFonts w:cs="Calibri"/>
                <w:sz w:val="18"/>
                <w:szCs w:val="18"/>
              </w:rPr>
            </w:pPr>
            <w:r w:rsidRPr="00404DA5">
              <w:rPr>
                <w:rFonts w:cs="Calibri"/>
                <w:sz w:val="18"/>
                <w:szCs w:val="18"/>
              </w:rPr>
              <w:t>6%</w:t>
            </w:r>
          </w:p>
        </w:tc>
        <w:tc>
          <w:tcPr>
            <w:tcW w:w="0" w:type="auto"/>
            <w:shd w:val="clear" w:color="auto" w:fill="auto"/>
            <w:vAlign w:val="center"/>
          </w:tcPr>
          <w:p w14:paraId="3FE9B1A6" w14:textId="77777777" w:rsidR="009D3A39" w:rsidRPr="00404DA5" w:rsidRDefault="009D3A39" w:rsidP="001C3974">
            <w:pPr>
              <w:jc w:val="center"/>
              <w:rPr>
                <w:rFonts w:cs="Calibri"/>
                <w:sz w:val="18"/>
                <w:szCs w:val="18"/>
              </w:rPr>
            </w:pPr>
            <w:r w:rsidRPr="00404DA5">
              <w:rPr>
                <w:rFonts w:cs="Calibri"/>
                <w:sz w:val="18"/>
                <w:szCs w:val="18"/>
              </w:rPr>
              <w:t>1</w:t>
            </w:r>
          </w:p>
        </w:tc>
        <w:tc>
          <w:tcPr>
            <w:tcW w:w="0" w:type="auto"/>
            <w:shd w:val="clear" w:color="auto" w:fill="auto"/>
            <w:vAlign w:val="center"/>
          </w:tcPr>
          <w:p w14:paraId="0350F3E4" w14:textId="77777777" w:rsidR="009D3A39" w:rsidRPr="00404DA5" w:rsidRDefault="009D3A39" w:rsidP="001C3974">
            <w:pPr>
              <w:jc w:val="center"/>
              <w:rPr>
                <w:rFonts w:cs="Calibri"/>
                <w:sz w:val="18"/>
                <w:szCs w:val="18"/>
              </w:rPr>
            </w:pPr>
            <w:r w:rsidRPr="00404DA5">
              <w:rPr>
                <w:rFonts w:cs="Calibri"/>
                <w:sz w:val="18"/>
                <w:szCs w:val="18"/>
              </w:rPr>
              <w:t>0%</w:t>
            </w:r>
          </w:p>
        </w:tc>
      </w:tr>
      <w:tr w:rsidR="009D3A39" w:rsidRPr="0069584C" w14:paraId="26919C80" w14:textId="77777777" w:rsidTr="001C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auto"/>
            <w:vAlign w:val="center"/>
          </w:tcPr>
          <w:p w14:paraId="1BA42C07" w14:textId="77777777" w:rsidR="009D3A39" w:rsidRPr="00404DA5" w:rsidRDefault="009D3A39" w:rsidP="001C3974">
            <w:pPr>
              <w:jc w:val="center"/>
              <w:rPr>
                <w:sz w:val="18"/>
                <w:szCs w:val="18"/>
              </w:rPr>
            </w:pPr>
            <w:r w:rsidRPr="00404DA5">
              <w:rPr>
                <w:sz w:val="18"/>
                <w:szCs w:val="18"/>
              </w:rPr>
              <w:t>WR</w:t>
            </w:r>
          </w:p>
        </w:tc>
        <w:tc>
          <w:tcPr>
            <w:tcW w:w="0" w:type="auto"/>
            <w:shd w:val="clear" w:color="auto" w:fill="auto"/>
            <w:vAlign w:val="center"/>
          </w:tcPr>
          <w:p w14:paraId="0439DA38" w14:textId="77777777" w:rsidR="009D3A39" w:rsidRPr="00404DA5" w:rsidRDefault="009D3A39" w:rsidP="001C3974">
            <w:pPr>
              <w:jc w:val="center"/>
              <w:rPr>
                <w:rFonts w:cs="Calibri"/>
                <w:sz w:val="18"/>
                <w:szCs w:val="18"/>
              </w:rPr>
            </w:pPr>
            <w:r w:rsidRPr="00404DA5">
              <w:rPr>
                <w:rFonts w:cs="Calibri"/>
                <w:bCs/>
                <w:sz w:val="18"/>
                <w:szCs w:val="18"/>
              </w:rPr>
              <w:t>7.6</w:t>
            </w:r>
          </w:p>
        </w:tc>
        <w:tc>
          <w:tcPr>
            <w:tcW w:w="0" w:type="auto"/>
            <w:shd w:val="clear" w:color="auto" w:fill="auto"/>
            <w:vAlign w:val="center"/>
          </w:tcPr>
          <w:p w14:paraId="3A75495F" w14:textId="77777777" w:rsidR="009D3A39" w:rsidRPr="00404DA5" w:rsidRDefault="009D3A39" w:rsidP="001C3974">
            <w:pPr>
              <w:jc w:val="center"/>
              <w:rPr>
                <w:rFonts w:cs="Calibri"/>
                <w:sz w:val="18"/>
                <w:szCs w:val="18"/>
              </w:rPr>
            </w:pPr>
            <w:r w:rsidRPr="00404DA5">
              <w:rPr>
                <w:rFonts w:cs="Calibri"/>
                <w:sz w:val="18"/>
                <w:szCs w:val="18"/>
              </w:rPr>
              <w:t>Liczba wspartych</w:t>
            </w:r>
            <w:r w:rsidR="00E66B89">
              <w:rPr>
                <w:rFonts w:cs="Calibri"/>
                <w:sz w:val="18"/>
                <w:szCs w:val="18"/>
              </w:rPr>
              <w:t xml:space="preserve"> w </w:t>
            </w:r>
            <w:r w:rsidRPr="00404DA5">
              <w:rPr>
                <w:rFonts w:cs="Calibri"/>
                <w:sz w:val="18"/>
                <w:szCs w:val="18"/>
              </w:rPr>
              <w:t xml:space="preserve">programie miejsc świadczenia usług społecznych, istniejących po zakończeniu projektu </w:t>
            </w:r>
          </w:p>
        </w:tc>
        <w:tc>
          <w:tcPr>
            <w:tcW w:w="0" w:type="auto"/>
            <w:shd w:val="clear" w:color="auto" w:fill="auto"/>
            <w:vAlign w:val="center"/>
          </w:tcPr>
          <w:p w14:paraId="408C8FBD" w14:textId="77777777" w:rsidR="009D3A39" w:rsidRPr="00404DA5" w:rsidRDefault="009D3A39" w:rsidP="001C3974">
            <w:pPr>
              <w:jc w:val="center"/>
              <w:rPr>
                <w:rFonts w:cs="Calibri"/>
                <w:sz w:val="18"/>
                <w:szCs w:val="18"/>
              </w:rPr>
            </w:pPr>
            <w:r w:rsidRPr="00404DA5">
              <w:rPr>
                <w:rFonts w:cs="Calibri"/>
                <w:sz w:val="18"/>
                <w:szCs w:val="18"/>
              </w:rPr>
              <w:t>Szt.</w:t>
            </w:r>
          </w:p>
        </w:tc>
        <w:tc>
          <w:tcPr>
            <w:tcW w:w="0" w:type="auto"/>
            <w:shd w:val="clear" w:color="auto" w:fill="auto"/>
            <w:vAlign w:val="center"/>
          </w:tcPr>
          <w:p w14:paraId="6B731169" w14:textId="77777777" w:rsidR="009D3A39" w:rsidRPr="00404DA5" w:rsidRDefault="009D3A39" w:rsidP="001C3974">
            <w:pPr>
              <w:jc w:val="center"/>
              <w:rPr>
                <w:rFonts w:cs="Calibri"/>
                <w:sz w:val="18"/>
                <w:szCs w:val="18"/>
              </w:rPr>
            </w:pPr>
            <w:r w:rsidRPr="00404DA5">
              <w:rPr>
                <w:rFonts w:cs="Calibri"/>
                <w:sz w:val="18"/>
                <w:szCs w:val="18"/>
              </w:rPr>
              <w:t>3960</w:t>
            </w:r>
          </w:p>
        </w:tc>
        <w:tc>
          <w:tcPr>
            <w:tcW w:w="0" w:type="auto"/>
            <w:shd w:val="clear" w:color="auto" w:fill="auto"/>
            <w:vAlign w:val="center"/>
          </w:tcPr>
          <w:p w14:paraId="386FDB7C" w14:textId="77777777" w:rsidR="009D3A39" w:rsidRPr="00404DA5" w:rsidRDefault="009D3A39" w:rsidP="001C3974">
            <w:pPr>
              <w:jc w:val="center"/>
              <w:rPr>
                <w:rFonts w:cs="Calibri"/>
                <w:sz w:val="18"/>
                <w:szCs w:val="18"/>
              </w:rPr>
            </w:pPr>
            <w:r w:rsidRPr="00404DA5">
              <w:rPr>
                <w:rFonts w:cs="Calibri"/>
                <w:sz w:val="18"/>
                <w:szCs w:val="18"/>
              </w:rPr>
              <w:t>5969</w:t>
            </w:r>
          </w:p>
        </w:tc>
        <w:tc>
          <w:tcPr>
            <w:tcW w:w="0" w:type="auto"/>
            <w:shd w:val="clear" w:color="auto" w:fill="auto"/>
            <w:vAlign w:val="center"/>
          </w:tcPr>
          <w:p w14:paraId="36440514" w14:textId="77777777" w:rsidR="009D3A39" w:rsidRPr="00404DA5" w:rsidRDefault="009D3A39" w:rsidP="001C3974">
            <w:pPr>
              <w:jc w:val="center"/>
              <w:rPr>
                <w:rFonts w:cs="Calibri"/>
                <w:sz w:val="18"/>
                <w:szCs w:val="18"/>
              </w:rPr>
            </w:pPr>
            <w:r w:rsidRPr="00404DA5">
              <w:rPr>
                <w:rFonts w:cs="Calibri"/>
                <w:sz w:val="18"/>
                <w:szCs w:val="18"/>
              </w:rPr>
              <w:t>151%</w:t>
            </w:r>
          </w:p>
        </w:tc>
        <w:tc>
          <w:tcPr>
            <w:tcW w:w="0" w:type="auto"/>
            <w:shd w:val="clear" w:color="auto" w:fill="auto"/>
            <w:vAlign w:val="center"/>
          </w:tcPr>
          <w:p w14:paraId="6A83B2B8"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596C309B" w14:textId="77777777" w:rsidR="009D3A39" w:rsidRPr="00404DA5" w:rsidRDefault="009D3A39" w:rsidP="001C3974">
            <w:pPr>
              <w:jc w:val="center"/>
              <w:rPr>
                <w:rFonts w:cs="Calibri"/>
                <w:sz w:val="18"/>
                <w:szCs w:val="18"/>
              </w:rPr>
            </w:pPr>
            <w:r w:rsidRPr="00404DA5">
              <w:rPr>
                <w:rFonts w:cs="Calibri"/>
                <w:sz w:val="18"/>
                <w:szCs w:val="18"/>
              </w:rPr>
              <w:t>0%</w:t>
            </w:r>
          </w:p>
        </w:tc>
      </w:tr>
      <w:tr w:rsidR="009D3A39" w:rsidRPr="0069584C" w14:paraId="33828F7F" w14:textId="77777777" w:rsidTr="001C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auto"/>
            <w:vAlign w:val="center"/>
          </w:tcPr>
          <w:p w14:paraId="3B2DAD72" w14:textId="77777777" w:rsidR="009D3A39" w:rsidRPr="00404DA5" w:rsidRDefault="009D3A39" w:rsidP="001C3974">
            <w:pPr>
              <w:jc w:val="center"/>
              <w:rPr>
                <w:sz w:val="18"/>
                <w:szCs w:val="18"/>
              </w:rPr>
            </w:pPr>
            <w:r w:rsidRPr="00404DA5">
              <w:rPr>
                <w:sz w:val="18"/>
                <w:szCs w:val="18"/>
              </w:rPr>
              <w:t>WP</w:t>
            </w:r>
          </w:p>
        </w:tc>
        <w:tc>
          <w:tcPr>
            <w:tcW w:w="0" w:type="auto"/>
            <w:shd w:val="clear" w:color="auto" w:fill="auto"/>
            <w:vAlign w:val="center"/>
          </w:tcPr>
          <w:p w14:paraId="6263CB2C" w14:textId="77777777" w:rsidR="009D3A39" w:rsidRPr="00404DA5" w:rsidRDefault="009D3A39" w:rsidP="001C3974">
            <w:pPr>
              <w:jc w:val="center"/>
              <w:rPr>
                <w:rFonts w:cs="Calibri"/>
                <w:sz w:val="18"/>
                <w:szCs w:val="18"/>
              </w:rPr>
            </w:pPr>
            <w:r w:rsidRPr="00404DA5">
              <w:rPr>
                <w:rFonts w:cs="Calibri"/>
                <w:sz w:val="18"/>
                <w:szCs w:val="18"/>
              </w:rPr>
              <w:t>7.7</w:t>
            </w:r>
          </w:p>
        </w:tc>
        <w:tc>
          <w:tcPr>
            <w:tcW w:w="0" w:type="auto"/>
            <w:shd w:val="clear" w:color="auto" w:fill="auto"/>
            <w:vAlign w:val="center"/>
          </w:tcPr>
          <w:p w14:paraId="2976523E" w14:textId="77777777" w:rsidR="009D3A39" w:rsidRPr="00404DA5" w:rsidRDefault="009D3A39" w:rsidP="001C3974">
            <w:pPr>
              <w:jc w:val="center"/>
              <w:rPr>
                <w:rFonts w:cs="Calibri"/>
                <w:sz w:val="18"/>
                <w:szCs w:val="18"/>
              </w:rPr>
            </w:pPr>
            <w:r w:rsidRPr="00404DA5">
              <w:rPr>
                <w:rFonts w:cs="Calibri"/>
                <w:sz w:val="18"/>
                <w:szCs w:val="18"/>
              </w:rPr>
              <w:t>Liczba osób zagrożonych ubóstwem lub wykluczeniem społecznym objętych usługami zdrowotnymi</w:t>
            </w:r>
            <w:r w:rsidR="00E66B89">
              <w:rPr>
                <w:rFonts w:cs="Calibri"/>
                <w:sz w:val="18"/>
                <w:szCs w:val="18"/>
              </w:rPr>
              <w:t xml:space="preserve"> w </w:t>
            </w:r>
            <w:r w:rsidRPr="00404DA5">
              <w:rPr>
                <w:rFonts w:cs="Calibri"/>
                <w:sz w:val="18"/>
                <w:szCs w:val="18"/>
              </w:rPr>
              <w:t xml:space="preserve">programie </w:t>
            </w:r>
          </w:p>
        </w:tc>
        <w:tc>
          <w:tcPr>
            <w:tcW w:w="0" w:type="auto"/>
            <w:shd w:val="clear" w:color="auto" w:fill="auto"/>
            <w:vAlign w:val="center"/>
          </w:tcPr>
          <w:p w14:paraId="3B3DE6A5" w14:textId="77777777" w:rsidR="009D3A39" w:rsidRPr="00404DA5" w:rsidRDefault="009D3A39" w:rsidP="001C3974">
            <w:pPr>
              <w:jc w:val="center"/>
              <w:rPr>
                <w:rFonts w:cs="Calibri"/>
                <w:sz w:val="18"/>
                <w:szCs w:val="18"/>
              </w:rPr>
            </w:pPr>
            <w:r w:rsidRPr="00404DA5">
              <w:rPr>
                <w:rFonts w:cs="Calibri"/>
                <w:sz w:val="18"/>
                <w:szCs w:val="18"/>
              </w:rPr>
              <w:t>Os.</w:t>
            </w:r>
          </w:p>
        </w:tc>
        <w:tc>
          <w:tcPr>
            <w:tcW w:w="0" w:type="auto"/>
            <w:shd w:val="clear" w:color="auto" w:fill="auto"/>
            <w:vAlign w:val="center"/>
          </w:tcPr>
          <w:p w14:paraId="50C624C7" w14:textId="77777777" w:rsidR="009D3A39" w:rsidRPr="00404DA5" w:rsidRDefault="009D3A39" w:rsidP="001C3974">
            <w:pPr>
              <w:jc w:val="center"/>
              <w:rPr>
                <w:rFonts w:cs="Calibri"/>
                <w:sz w:val="18"/>
                <w:szCs w:val="18"/>
              </w:rPr>
            </w:pPr>
            <w:r w:rsidRPr="00404DA5">
              <w:rPr>
                <w:rFonts w:cs="Calibri"/>
                <w:sz w:val="18"/>
                <w:szCs w:val="18"/>
              </w:rPr>
              <w:t>2627</w:t>
            </w:r>
          </w:p>
        </w:tc>
        <w:tc>
          <w:tcPr>
            <w:tcW w:w="0" w:type="auto"/>
            <w:shd w:val="clear" w:color="auto" w:fill="auto"/>
            <w:vAlign w:val="center"/>
          </w:tcPr>
          <w:p w14:paraId="5C7DC227"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5F8E4688"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7034AC9D"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2FCF01BD" w14:textId="77777777" w:rsidR="009D3A39" w:rsidRPr="00404DA5" w:rsidRDefault="009D3A39" w:rsidP="001C3974">
            <w:pPr>
              <w:jc w:val="center"/>
              <w:rPr>
                <w:rFonts w:cs="Calibri"/>
                <w:sz w:val="18"/>
                <w:szCs w:val="18"/>
              </w:rPr>
            </w:pPr>
            <w:r w:rsidRPr="00404DA5">
              <w:rPr>
                <w:rFonts w:cs="Calibri"/>
                <w:sz w:val="18"/>
                <w:szCs w:val="18"/>
              </w:rPr>
              <w:t>0%</w:t>
            </w:r>
          </w:p>
        </w:tc>
      </w:tr>
      <w:tr w:rsidR="009D3A39" w:rsidRPr="0069584C" w14:paraId="4D0A5108" w14:textId="77777777" w:rsidTr="001C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auto"/>
            <w:vAlign w:val="center"/>
          </w:tcPr>
          <w:p w14:paraId="32C7BAD4" w14:textId="77777777" w:rsidR="009D3A39" w:rsidRPr="00404DA5" w:rsidRDefault="009D3A39" w:rsidP="001C3974">
            <w:pPr>
              <w:jc w:val="center"/>
              <w:rPr>
                <w:sz w:val="18"/>
                <w:szCs w:val="18"/>
              </w:rPr>
            </w:pPr>
            <w:r w:rsidRPr="00404DA5">
              <w:rPr>
                <w:sz w:val="18"/>
                <w:szCs w:val="18"/>
              </w:rPr>
              <w:t>WR</w:t>
            </w:r>
          </w:p>
        </w:tc>
        <w:tc>
          <w:tcPr>
            <w:tcW w:w="0" w:type="auto"/>
            <w:shd w:val="clear" w:color="auto" w:fill="auto"/>
            <w:vAlign w:val="center"/>
          </w:tcPr>
          <w:p w14:paraId="335719A1" w14:textId="77777777" w:rsidR="009D3A39" w:rsidRPr="00404DA5" w:rsidRDefault="009D3A39" w:rsidP="001C3974">
            <w:pPr>
              <w:jc w:val="center"/>
              <w:rPr>
                <w:rFonts w:cs="Calibri"/>
                <w:sz w:val="18"/>
                <w:szCs w:val="18"/>
              </w:rPr>
            </w:pPr>
            <w:r w:rsidRPr="00404DA5">
              <w:rPr>
                <w:rFonts w:cs="Calibri"/>
                <w:sz w:val="18"/>
                <w:szCs w:val="18"/>
              </w:rPr>
              <w:t>7.7</w:t>
            </w:r>
          </w:p>
        </w:tc>
        <w:tc>
          <w:tcPr>
            <w:tcW w:w="0" w:type="auto"/>
            <w:shd w:val="clear" w:color="auto" w:fill="auto"/>
            <w:vAlign w:val="center"/>
          </w:tcPr>
          <w:p w14:paraId="2F7EFB53" w14:textId="77777777" w:rsidR="009D3A39" w:rsidRPr="00404DA5" w:rsidRDefault="009D3A39" w:rsidP="001C3974">
            <w:pPr>
              <w:jc w:val="center"/>
              <w:rPr>
                <w:rFonts w:cs="Calibri"/>
                <w:sz w:val="18"/>
                <w:szCs w:val="18"/>
              </w:rPr>
            </w:pPr>
            <w:r w:rsidRPr="00404DA5">
              <w:rPr>
                <w:rFonts w:cs="Calibri"/>
                <w:sz w:val="18"/>
                <w:szCs w:val="18"/>
              </w:rPr>
              <w:t>Liczba wspartych</w:t>
            </w:r>
            <w:r w:rsidR="00E66B89">
              <w:rPr>
                <w:rFonts w:cs="Calibri"/>
                <w:sz w:val="18"/>
                <w:szCs w:val="18"/>
              </w:rPr>
              <w:t xml:space="preserve"> w </w:t>
            </w:r>
            <w:r w:rsidRPr="00404DA5">
              <w:rPr>
                <w:rFonts w:cs="Calibri"/>
                <w:sz w:val="18"/>
                <w:szCs w:val="18"/>
              </w:rPr>
              <w:t xml:space="preserve">programie miejsc świadczenia usług zdrowotnych, istniejących po zakończeniu projektu </w:t>
            </w:r>
          </w:p>
        </w:tc>
        <w:tc>
          <w:tcPr>
            <w:tcW w:w="0" w:type="auto"/>
            <w:shd w:val="clear" w:color="auto" w:fill="auto"/>
            <w:vAlign w:val="center"/>
          </w:tcPr>
          <w:p w14:paraId="357C5DB8" w14:textId="77777777" w:rsidR="009D3A39" w:rsidRPr="00404DA5" w:rsidRDefault="009D3A39" w:rsidP="001C3974">
            <w:pPr>
              <w:jc w:val="center"/>
              <w:rPr>
                <w:rFonts w:cs="Calibri"/>
                <w:sz w:val="18"/>
                <w:szCs w:val="18"/>
              </w:rPr>
            </w:pPr>
            <w:r w:rsidRPr="00404DA5">
              <w:rPr>
                <w:rFonts w:cs="Calibri"/>
                <w:sz w:val="18"/>
                <w:szCs w:val="18"/>
              </w:rPr>
              <w:t>Szt.</w:t>
            </w:r>
          </w:p>
        </w:tc>
        <w:tc>
          <w:tcPr>
            <w:tcW w:w="0" w:type="auto"/>
            <w:shd w:val="clear" w:color="auto" w:fill="auto"/>
            <w:vAlign w:val="center"/>
          </w:tcPr>
          <w:p w14:paraId="7F242904" w14:textId="77777777" w:rsidR="009D3A39" w:rsidRPr="00404DA5" w:rsidRDefault="009D3A39" w:rsidP="001C3974">
            <w:pPr>
              <w:jc w:val="center"/>
              <w:rPr>
                <w:rFonts w:cs="Calibri"/>
                <w:sz w:val="18"/>
                <w:szCs w:val="18"/>
              </w:rPr>
            </w:pPr>
            <w:r w:rsidRPr="00404DA5">
              <w:rPr>
                <w:rFonts w:cs="Calibri"/>
                <w:sz w:val="18"/>
                <w:szCs w:val="18"/>
              </w:rPr>
              <w:t>30</w:t>
            </w:r>
          </w:p>
        </w:tc>
        <w:tc>
          <w:tcPr>
            <w:tcW w:w="0" w:type="auto"/>
            <w:shd w:val="clear" w:color="auto" w:fill="auto"/>
            <w:vAlign w:val="center"/>
          </w:tcPr>
          <w:p w14:paraId="2946821B"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10F9FED5"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61B1ED9F" w14:textId="77777777" w:rsidR="009D3A39" w:rsidRPr="00404DA5" w:rsidRDefault="009D3A39" w:rsidP="001C3974">
            <w:pPr>
              <w:jc w:val="center"/>
              <w:rPr>
                <w:rFonts w:cs="Calibri"/>
                <w:sz w:val="18"/>
                <w:szCs w:val="18"/>
              </w:rPr>
            </w:pPr>
            <w:r w:rsidRPr="00404DA5">
              <w:rPr>
                <w:rFonts w:cs="Calibri"/>
                <w:sz w:val="18"/>
                <w:szCs w:val="18"/>
              </w:rPr>
              <w:t>0</w:t>
            </w:r>
          </w:p>
        </w:tc>
        <w:tc>
          <w:tcPr>
            <w:tcW w:w="0" w:type="auto"/>
            <w:shd w:val="clear" w:color="auto" w:fill="auto"/>
            <w:vAlign w:val="center"/>
          </w:tcPr>
          <w:p w14:paraId="01F5C81A" w14:textId="77777777" w:rsidR="009D3A39" w:rsidRPr="00404DA5" w:rsidRDefault="009D3A39" w:rsidP="001C3974">
            <w:pPr>
              <w:jc w:val="center"/>
              <w:rPr>
                <w:rFonts w:cs="Calibri"/>
                <w:sz w:val="18"/>
                <w:szCs w:val="18"/>
              </w:rPr>
            </w:pPr>
            <w:r w:rsidRPr="00404DA5">
              <w:rPr>
                <w:rFonts w:cs="Calibri"/>
                <w:sz w:val="18"/>
                <w:szCs w:val="18"/>
              </w:rPr>
              <w:t>0%</w:t>
            </w:r>
          </w:p>
        </w:tc>
      </w:tr>
    </w:tbl>
    <w:p w14:paraId="1FD3739B"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0E06C7AB" w14:textId="77777777" w:rsidR="009D3A39" w:rsidRDefault="009D3A39" w:rsidP="009D3A39">
      <w:pPr>
        <w:spacing w:after="160" w:line="259" w:lineRule="auto"/>
        <w:rPr>
          <w:szCs w:val="20"/>
        </w:rPr>
      </w:pPr>
      <w:r>
        <w:rPr>
          <w:szCs w:val="20"/>
        </w:rPr>
        <w:lastRenderedPageBreak/>
        <w:t>W ramach PI 9iv wskaźniki, wedle stanu na 7.01.2019, realizowane były jedynie przez Działanie 7.6. Nabory na projekty</w:t>
      </w:r>
      <w:r w:rsidR="00E66B89">
        <w:rPr>
          <w:szCs w:val="20"/>
        </w:rPr>
        <w:t xml:space="preserve"> w </w:t>
      </w:r>
      <w:r>
        <w:rPr>
          <w:szCs w:val="20"/>
        </w:rPr>
        <w:t>ramach Działania 7.7 ogłoszono 21.01.2019 roku.</w:t>
      </w:r>
      <w:r w:rsidR="00E66B89">
        <w:rPr>
          <w:szCs w:val="20"/>
        </w:rPr>
        <w:t xml:space="preserve"> W </w:t>
      </w:r>
      <w:r>
        <w:rPr>
          <w:szCs w:val="20"/>
        </w:rPr>
        <w:t>ramach konkursu</w:t>
      </w:r>
      <w:r w:rsidRPr="006519BA">
        <w:t xml:space="preserve"> </w:t>
      </w:r>
      <w:r>
        <w:rPr>
          <w:szCs w:val="20"/>
        </w:rPr>
        <w:t>na</w:t>
      </w:r>
      <w:r w:rsidRPr="006519BA">
        <w:rPr>
          <w:szCs w:val="20"/>
        </w:rPr>
        <w:t xml:space="preserve"> </w:t>
      </w:r>
      <w:r w:rsidRPr="006519BA">
        <w:rPr>
          <w:i/>
          <w:szCs w:val="20"/>
        </w:rPr>
        <w:t>Wdrożenie programów wczesnego wykrywania wad rozwojowych</w:t>
      </w:r>
      <w:r w:rsidR="00E66B89">
        <w:rPr>
          <w:i/>
          <w:szCs w:val="20"/>
        </w:rPr>
        <w:t xml:space="preserve"> i </w:t>
      </w:r>
      <w:r w:rsidRPr="006519BA">
        <w:rPr>
          <w:i/>
          <w:szCs w:val="20"/>
        </w:rPr>
        <w:t>rehabilitacji dzieci</w:t>
      </w:r>
      <w:r w:rsidR="00E66B89">
        <w:rPr>
          <w:i/>
          <w:szCs w:val="20"/>
        </w:rPr>
        <w:t xml:space="preserve"> z </w:t>
      </w:r>
      <w:r w:rsidRPr="006519BA">
        <w:rPr>
          <w:i/>
          <w:szCs w:val="20"/>
        </w:rPr>
        <w:t>niepełnosprawnościami oraz zagrożonych niepełnosprawnością - system badań przesiewowych wzroku</w:t>
      </w:r>
      <w:r>
        <w:rPr>
          <w:i/>
          <w:szCs w:val="20"/>
        </w:rPr>
        <w:t xml:space="preserve"> </w:t>
      </w:r>
      <w:r>
        <w:rPr>
          <w:szCs w:val="20"/>
        </w:rPr>
        <w:t>zaplanowano dofinansowanie</w:t>
      </w:r>
      <w:r w:rsidR="00E66B89">
        <w:rPr>
          <w:szCs w:val="20"/>
        </w:rPr>
        <w:t xml:space="preserve"> w </w:t>
      </w:r>
      <w:r>
        <w:rPr>
          <w:szCs w:val="20"/>
        </w:rPr>
        <w:t xml:space="preserve">wysokości </w:t>
      </w:r>
      <w:r w:rsidRPr="006519BA">
        <w:rPr>
          <w:szCs w:val="20"/>
        </w:rPr>
        <w:t>6 783 000,00 zł</w:t>
      </w:r>
      <w:r>
        <w:rPr>
          <w:szCs w:val="20"/>
        </w:rPr>
        <w:t>.</w:t>
      </w:r>
      <w:r w:rsidR="00E66B89">
        <w:rPr>
          <w:szCs w:val="20"/>
        </w:rPr>
        <w:t xml:space="preserve"> W </w:t>
      </w:r>
      <w:r>
        <w:rPr>
          <w:szCs w:val="20"/>
        </w:rPr>
        <w:t>odpowiedzi na ogłoszenie wpłynął jeden wniosek</w:t>
      </w:r>
      <w:r w:rsidR="00E66B89">
        <w:rPr>
          <w:szCs w:val="20"/>
        </w:rPr>
        <w:t xml:space="preserve"> o </w:t>
      </w:r>
      <w:r>
        <w:rPr>
          <w:szCs w:val="20"/>
        </w:rPr>
        <w:t xml:space="preserve">wnioskowanej wartości dofinansowania </w:t>
      </w:r>
      <w:r w:rsidRPr="00160545">
        <w:rPr>
          <w:szCs w:val="20"/>
        </w:rPr>
        <w:t>6 509 484,64</w:t>
      </w:r>
      <w:r>
        <w:rPr>
          <w:szCs w:val="20"/>
        </w:rPr>
        <w:t xml:space="preserve"> zł, co stanowiło 89% zaplanowanej kwoty do dofinansowania</w:t>
      </w:r>
      <w:r w:rsidR="00E66B89">
        <w:rPr>
          <w:szCs w:val="20"/>
        </w:rPr>
        <w:t xml:space="preserve"> w </w:t>
      </w:r>
      <w:r>
        <w:rPr>
          <w:szCs w:val="20"/>
        </w:rPr>
        <w:t>ramach tego konkursu.</w:t>
      </w:r>
      <w:r w:rsidR="00E66B89">
        <w:rPr>
          <w:szCs w:val="20"/>
        </w:rPr>
        <w:t xml:space="preserve"> W </w:t>
      </w:r>
      <w:r>
        <w:rPr>
          <w:szCs w:val="20"/>
        </w:rPr>
        <w:t>ramach drugiego konkursu</w:t>
      </w:r>
      <w:r w:rsidR="00E66B89">
        <w:rPr>
          <w:szCs w:val="20"/>
        </w:rPr>
        <w:t xml:space="preserve"> w </w:t>
      </w:r>
      <w:r>
        <w:rPr>
          <w:szCs w:val="20"/>
        </w:rPr>
        <w:t xml:space="preserve">Działaniu 7.7 dotyczącego </w:t>
      </w:r>
      <w:r>
        <w:rPr>
          <w:i/>
          <w:szCs w:val="20"/>
        </w:rPr>
        <w:t>Wdrożenia</w:t>
      </w:r>
      <w:r w:rsidRPr="00281567">
        <w:rPr>
          <w:i/>
          <w:szCs w:val="20"/>
        </w:rPr>
        <w:t xml:space="preserve"> programów wczesnego wykrywania wad rozwojowych</w:t>
      </w:r>
      <w:r w:rsidR="00E66B89">
        <w:rPr>
          <w:i/>
          <w:szCs w:val="20"/>
        </w:rPr>
        <w:t xml:space="preserve"> i </w:t>
      </w:r>
      <w:r w:rsidRPr="00281567">
        <w:rPr>
          <w:i/>
          <w:szCs w:val="20"/>
        </w:rPr>
        <w:t>rehabilitacji dzieci</w:t>
      </w:r>
      <w:r w:rsidR="00E66B89">
        <w:rPr>
          <w:i/>
          <w:szCs w:val="20"/>
        </w:rPr>
        <w:t xml:space="preserve"> z </w:t>
      </w:r>
      <w:r w:rsidRPr="00281567">
        <w:rPr>
          <w:i/>
          <w:szCs w:val="20"/>
        </w:rPr>
        <w:t>niepełnosprawnościami oraz zagrożonych niepełnosprawnością - system badań przesiewowych słuchu</w:t>
      </w:r>
      <w:r w:rsidR="00E66B89">
        <w:rPr>
          <w:i/>
          <w:szCs w:val="20"/>
        </w:rPr>
        <w:t xml:space="preserve"> i </w:t>
      </w:r>
      <w:r w:rsidRPr="00281567">
        <w:rPr>
          <w:i/>
          <w:szCs w:val="20"/>
        </w:rPr>
        <w:t>mowy</w:t>
      </w:r>
      <w:r>
        <w:rPr>
          <w:i/>
          <w:szCs w:val="20"/>
        </w:rPr>
        <w:t xml:space="preserve"> </w:t>
      </w:r>
      <w:r>
        <w:rPr>
          <w:szCs w:val="20"/>
        </w:rPr>
        <w:t>nie złożono żadnego wniosku</w:t>
      </w:r>
      <w:r w:rsidR="00E66B89">
        <w:rPr>
          <w:szCs w:val="20"/>
        </w:rPr>
        <w:t xml:space="preserve"> o </w:t>
      </w:r>
      <w:r>
        <w:rPr>
          <w:szCs w:val="20"/>
        </w:rPr>
        <w:t>dofinansowanie. Pula środków przeznaczonych na dofinansowanie</w:t>
      </w:r>
      <w:r w:rsidR="00E66B89">
        <w:rPr>
          <w:szCs w:val="20"/>
        </w:rPr>
        <w:t xml:space="preserve"> w </w:t>
      </w:r>
      <w:r>
        <w:rPr>
          <w:szCs w:val="20"/>
        </w:rPr>
        <w:t xml:space="preserve">ramach tego konkursu wyniosła </w:t>
      </w:r>
      <w:r w:rsidRPr="00281567">
        <w:rPr>
          <w:szCs w:val="20"/>
        </w:rPr>
        <w:t xml:space="preserve">7 599 999,60 </w:t>
      </w:r>
      <w:r>
        <w:rPr>
          <w:szCs w:val="20"/>
        </w:rPr>
        <w:t xml:space="preserve">zł. Alokacja dostępna na to Działanie wynosi </w:t>
      </w:r>
      <w:r w:rsidRPr="00CD0AFC">
        <w:rPr>
          <w:szCs w:val="20"/>
        </w:rPr>
        <w:t>32</w:t>
      </w:r>
      <w:r>
        <w:rPr>
          <w:szCs w:val="20"/>
        </w:rPr>
        <w:t xml:space="preserve"> </w:t>
      </w:r>
      <w:r w:rsidRPr="00CD0AFC">
        <w:rPr>
          <w:szCs w:val="20"/>
        </w:rPr>
        <w:t>701</w:t>
      </w:r>
      <w:r>
        <w:rPr>
          <w:szCs w:val="20"/>
        </w:rPr>
        <w:t xml:space="preserve"> </w:t>
      </w:r>
      <w:r w:rsidRPr="00CD0AFC">
        <w:rPr>
          <w:szCs w:val="20"/>
        </w:rPr>
        <w:t>280</w:t>
      </w:r>
      <w:r>
        <w:rPr>
          <w:szCs w:val="20"/>
        </w:rPr>
        <w:t xml:space="preserve"> zł, natomiast zakładając, że zgłoszony wniosek zostanie pozytywnie rozpatrzony – 26 191 795,4 zł. Działanie 7.7 jak na razie charakteryzuje się niewielkim potencjałem aplikacyjnym. Niemniej jednak jest za wcześnie, aby ocenić czy uda się zrealizować sformułowane</w:t>
      </w:r>
      <w:r w:rsidR="00E66B89">
        <w:rPr>
          <w:szCs w:val="20"/>
        </w:rPr>
        <w:t xml:space="preserve"> w </w:t>
      </w:r>
      <w:r>
        <w:rPr>
          <w:szCs w:val="20"/>
        </w:rPr>
        <w:t xml:space="preserve">Programie założenia dla tego Działania. </w:t>
      </w:r>
    </w:p>
    <w:p w14:paraId="3526B41A" w14:textId="77777777" w:rsidR="009D3A39" w:rsidRPr="00994446" w:rsidRDefault="009D3A39" w:rsidP="009D3A39">
      <w:pPr>
        <w:spacing w:after="160" w:line="259" w:lineRule="auto"/>
        <w:rPr>
          <w:szCs w:val="20"/>
        </w:rPr>
      </w:pPr>
      <w:r>
        <w:rPr>
          <w:szCs w:val="20"/>
        </w:rPr>
        <w:t>Jak wynika</w:t>
      </w:r>
      <w:r w:rsidR="00E66B89">
        <w:rPr>
          <w:szCs w:val="20"/>
        </w:rPr>
        <w:t xml:space="preserve"> z </w:t>
      </w:r>
      <w:r>
        <w:rPr>
          <w:szCs w:val="20"/>
        </w:rPr>
        <w:t xml:space="preserve">WoP wskaźnik </w:t>
      </w:r>
      <w:r w:rsidRPr="009E337F">
        <w:rPr>
          <w:i/>
          <w:szCs w:val="20"/>
        </w:rPr>
        <w:t>Liczba osób zagrożonych ubóstwem lub wykluczeniem społecznym objętych wsparciem</w:t>
      </w:r>
      <w:r w:rsidR="00E66B89">
        <w:rPr>
          <w:i/>
          <w:szCs w:val="20"/>
        </w:rPr>
        <w:t xml:space="preserve"> w </w:t>
      </w:r>
      <w:r w:rsidRPr="009E337F">
        <w:rPr>
          <w:i/>
          <w:szCs w:val="20"/>
        </w:rPr>
        <w:t>programie</w:t>
      </w:r>
      <w:r>
        <w:rPr>
          <w:i/>
          <w:szCs w:val="20"/>
        </w:rPr>
        <w:t xml:space="preserve"> </w:t>
      </w:r>
      <w:r>
        <w:rPr>
          <w:szCs w:val="20"/>
        </w:rPr>
        <w:t>został osiągnięty</w:t>
      </w:r>
      <w:r w:rsidR="00E66B89">
        <w:rPr>
          <w:szCs w:val="20"/>
        </w:rPr>
        <w:t xml:space="preserve"> w </w:t>
      </w:r>
      <w:r>
        <w:rPr>
          <w:szCs w:val="20"/>
        </w:rPr>
        <w:t>wyższym - niż zakładano</w:t>
      </w:r>
      <w:r w:rsidR="00E66B89">
        <w:rPr>
          <w:szCs w:val="20"/>
        </w:rPr>
        <w:t xml:space="preserve"> w </w:t>
      </w:r>
      <w:r>
        <w:rPr>
          <w:szCs w:val="20"/>
        </w:rPr>
        <w:t>UoD - stopniu. Jego wartość osiągnięta przewyższa wartość zakładaną</w:t>
      </w:r>
      <w:r w:rsidR="00E66B89">
        <w:rPr>
          <w:szCs w:val="20"/>
        </w:rPr>
        <w:t xml:space="preserve"> w </w:t>
      </w:r>
      <w:r>
        <w:rPr>
          <w:szCs w:val="20"/>
        </w:rPr>
        <w:t>UoD</w:t>
      </w:r>
      <w:r w:rsidR="00E66B89">
        <w:rPr>
          <w:szCs w:val="20"/>
        </w:rPr>
        <w:t xml:space="preserve"> o </w:t>
      </w:r>
      <w:r>
        <w:rPr>
          <w:szCs w:val="20"/>
        </w:rPr>
        <w:t>1 684 osoby. Postęp rzeczowy dla tego wskaźnika jest adekwatny do postępu finansowego.</w:t>
      </w:r>
      <w:r w:rsidR="00E66B89">
        <w:rPr>
          <w:szCs w:val="20"/>
        </w:rPr>
        <w:t xml:space="preserve"> W </w:t>
      </w:r>
      <w:r>
        <w:rPr>
          <w:szCs w:val="20"/>
        </w:rPr>
        <w:t>ramach tego Działania zakontraktowano 46,3% dostępnej alokacji. Wskaźnik ten do dnia 7.01.2019r. realizowało 35 projektów,</w:t>
      </w:r>
      <w:r w:rsidR="00E66B89">
        <w:rPr>
          <w:szCs w:val="20"/>
        </w:rPr>
        <w:t xml:space="preserve"> a </w:t>
      </w:r>
      <w:r>
        <w:rPr>
          <w:szCs w:val="20"/>
        </w:rPr>
        <w:t xml:space="preserve">jego koszt jednostkowy wyniósł </w:t>
      </w:r>
      <w:r w:rsidRPr="00C97C8E">
        <w:rPr>
          <w:szCs w:val="20"/>
        </w:rPr>
        <w:t>15 290,57</w:t>
      </w:r>
      <w:r>
        <w:rPr>
          <w:szCs w:val="20"/>
        </w:rPr>
        <w:t xml:space="preserve"> zł.</w:t>
      </w:r>
      <w:r w:rsidR="00E66B89">
        <w:rPr>
          <w:szCs w:val="20"/>
        </w:rPr>
        <w:t xml:space="preserve"> W </w:t>
      </w:r>
      <w:r>
        <w:rPr>
          <w:szCs w:val="20"/>
        </w:rPr>
        <w:t>marcu 2019 r. rozstrzygnięty został konkurs</w:t>
      </w:r>
      <w:r w:rsidR="00E66B89">
        <w:rPr>
          <w:szCs w:val="20"/>
        </w:rPr>
        <w:t xml:space="preserve"> w </w:t>
      </w:r>
      <w:r>
        <w:rPr>
          <w:szCs w:val="20"/>
        </w:rPr>
        <w:t xml:space="preserve">ramach Działania 7.6, w którym planowane dofinansowanie na </w:t>
      </w:r>
      <w:r w:rsidRPr="008162AC">
        <w:rPr>
          <w:i/>
          <w:szCs w:val="20"/>
        </w:rPr>
        <w:t>działania wspierające rozwój usług wspierania rodziny</w:t>
      </w:r>
      <w:r w:rsidR="00E66B89">
        <w:rPr>
          <w:i/>
          <w:szCs w:val="20"/>
        </w:rPr>
        <w:t xml:space="preserve"> i </w:t>
      </w:r>
      <w:r w:rsidRPr="008162AC">
        <w:rPr>
          <w:i/>
          <w:szCs w:val="20"/>
        </w:rPr>
        <w:t>pieczy zastępczej</w:t>
      </w:r>
      <w:r>
        <w:rPr>
          <w:i/>
          <w:szCs w:val="20"/>
        </w:rPr>
        <w:t xml:space="preserve"> </w:t>
      </w:r>
      <w:r>
        <w:rPr>
          <w:szCs w:val="20"/>
        </w:rPr>
        <w:t xml:space="preserve">wynosiło </w:t>
      </w:r>
      <w:r w:rsidRPr="00776BE5">
        <w:rPr>
          <w:szCs w:val="20"/>
        </w:rPr>
        <w:t>20 412 531,32 zł</w:t>
      </w:r>
      <w:r>
        <w:rPr>
          <w:szCs w:val="20"/>
        </w:rPr>
        <w:t>. Do dofinansowania wybrano 11 projektów. Zdecydowano</w:t>
      </w:r>
      <w:r w:rsidR="00E66B89">
        <w:rPr>
          <w:szCs w:val="20"/>
        </w:rPr>
        <w:t xml:space="preserve"> o </w:t>
      </w:r>
      <w:r>
        <w:rPr>
          <w:szCs w:val="20"/>
        </w:rPr>
        <w:t>dofinansowaniu 9 projektów</w:t>
      </w:r>
      <w:r w:rsidR="00E66B89">
        <w:rPr>
          <w:szCs w:val="20"/>
        </w:rPr>
        <w:t xml:space="preserve"> z </w:t>
      </w:r>
      <w:r>
        <w:rPr>
          <w:szCs w:val="20"/>
        </w:rPr>
        <w:t>uwagi na ograniczoną ilość środków. Warto zaznaczyć, że decyzją</w:t>
      </w:r>
      <w:r w:rsidRPr="0032331A">
        <w:rPr>
          <w:szCs w:val="20"/>
        </w:rPr>
        <w:t xml:space="preserve"> Zarządu Województwa Zachodniopomorskiego zwiększono kwotę środków przeznaczonych na konkurs</w:t>
      </w:r>
      <w:r>
        <w:rPr>
          <w:szCs w:val="20"/>
        </w:rPr>
        <w:t xml:space="preserve">. Kwota dofinansowania wynosi </w:t>
      </w:r>
      <w:r w:rsidRPr="0032331A">
        <w:rPr>
          <w:szCs w:val="20"/>
        </w:rPr>
        <w:t>32 418 929,27</w:t>
      </w:r>
      <w:r>
        <w:rPr>
          <w:szCs w:val="20"/>
        </w:rPr>
        <w:t xml:space="preserve"> zł.</w:t>
      </w:r>
      <w:r w:rsidR="00C22C26">
        <w:rPr>
          <w:szCs w:val="20"/>
        </w:rPr>
        <w:t xml:space="preserve"> </w:t>
      </w:r>
      <w:r>
        <w:rPr>
          <w:szCs w:val="20"/>
        </w:rPr>
        <w:t>Kolejny konkurs ogłoszono 22.02.2019 r., jego rozstrzygnięcie planowane jest</w:t>
      </w:r>
      <w:r w:rsidR="00E66B89">
        <w:rPr>
          <w:szCs w:val="20"/>
        </w:rPr>
        <w:t xml:space="preserve"> w </w:t>
      </w:r>
      <w:r>
        <w:rPr>
          <w:szCs w:val="20"/>
        </w:rPr>
        <w:t>czerwcu,</w:t>
      </w:r>
      <w:r w:rsidR="00E66B89">
        <w:rPr>
          <w:szCs w:val="20"/>
        </w:rPr>
        <w:t xml:space="preserve"> a </w:t>
      </w:r>
      <w:r>
        <w:rPr>
          <w:szCs w:val="20"/>
        </w:rPr>
        <w:t xml:space="preserve">kwota przeznaczona na dofinansowanie wynosi </w:t>
      </w:r>
      <w:r w:rsidRPr="00AF2F3B">
        <w:rPr>
          <w:szCs w:val="20"/>
        </w:rPr>
        <w:t>11 292 040,52 zł</w:t>
      </w:r>
      <w:r>
        <w:rPr>
          <w:szCs w:val="20"/>
        </w:rPr>
        <w:t>. Zakładając, że projekty wybrane do dofinansowania</w:t>
      </w:r>
      <w:r w:rsidR="00E66B89">
        <w:rPr>
          <w:szCs w:val="20"/>
        </w:rPr>
        <w:t xml:space="preserve"> w </w:t>
      </w:r>
      <w:r>
        <w:rPr>
          <w:szCs w:val="20"/>
        </w:rPr>
        <w:t>tym konkursie będą odpowiadały wartości planowanych do wydania środków,</w:t>
      </w:r>
      <w:r w:rsidR="00E66B89">
        <w:rPr>
          <w:szCs w:val="20"/>
        </w:rPr>
        <w:t xml:space="preserve"> w </w:t>
      </w:r>
      <w:r>
        <w:rPr>
          <w:szCs w:val="20"/>
        </w:rPr>
        <w:t xml:space="preserve">Działaniu 7.6 pozostanie </w:t>
      </w:r>
      <w:r w:rsidRPr="00994446">
        <w:rPr>
          <w:szCs w:val="20"/>
        </w:rPr>
        <w:t xml:space="preserve">do </w:t>
      </w:r>
      <w:r>
        <w:rPr>
          <w:szCs w:val="20"/>
        </w:rPr>
        <w:t>alokowania</w:t>
      </w:r>
      <w:r w:rsidRPr="00994446">
        <w:rPr>
          <w:szCs w:val="20"/>
        </w:rPr>
        <w:t xml:space="preserve"> </w:t>
      </w:r>
      <w:r>
        <w:rPr>
          <w:szCs w:val="20"/>
        </w:rPr>
        <w:t>20 774 043,3</w:t>
      </w:r>
      <w:r w:rsidRPr="00994446">
        <w:rPr>
          <w:szCs w:val="20"/>
        </w:rPr>
        <w:t xml:space="preserve"> zł. </w:t>
      </w:r>
    </w:p>
    <w:p w14:paraId="28D82024" w14:textId="77777777" w:rsidR="009D3A39" w:rsidRDefault="009D3A39" w:rsidP="009D3A39">
      <w:pPr>
        <w:spacing w:after="160" w:line="259" w:lineRule="auto"/>
        <w:rPr>
          <w:szCs w:val="20"/>
        </w:rPr>
      </w:pPr>
      <w:r w:rsidRPr="00994446">
        <w:rPr>
          <w:szCs w:val="20"/>
        </w:rPr>
        <w:t>Realizacja projektów rozpoczęła się później, niż</w:t>
      </w:r>
      <w:r w:rsidR="00E66B89">
        <w:rPr>
          <w:szCs w:val="20"/>
        </w:rPr>
        <w:t xml:space="preserve"> w </w:t>
      </w:r>
      <w:r w:rsidRPr="00994446">
        <w:rPr>
          <w:szCs w:val="20"/>
        </w:rPr>
        <w:t>ramach PI</w:t>
      </w:r>
      <w:r>
        <w:rPr>
          <w:szCs w:val="20"/>
        </w:rPr>
        <w:t xml:space="preserve"> </w:t>
      </w:r>
      <w:r w:rsidRPr="00994446">
        <w:rPr>
          <w:szCs w:val="20"/>
        </w:rPr>
        <w:t>9i.</w:t>
      </w:r>
      <w:r w:rsidR="00E66B89">
        <w:rPr>
          <w:szCs w:val="20"/>
        </w:rPr>
        <w:t xml:space="preserve"> W </w:t>
      </w:r>
      <w:r w:rsidRPr="00994446">
        <w:rPr>
          <w:szCs w:val="20"/>
        </w:rPr>
        <w:t>żadnym projekcie nie zakończono jeszcze działań. Poza jedną osobą, żaden uczestnik nie opuścił jeszcze programu</w:t>
      </w:r>
      <w:r>
        <w:rPr>
          <w:szCs w:val="20"/>
        </w:rPr>
        <w:t>, stąd wskaźniki rezultatu są niemożliwe do zmierzenia na tym etapie realizacji projektów</w:t>
      </w:r>
      <w:r w:rsidRPr="00994446">
        <w:rPr>
          <w:szCs w:val="20"/>
        </w:rPr>
        <w:t xml:space="preserve">. </w:t>
      </w:r>
    </w:p>
    <w:p w14:paraId="0655BEA0" w14:textId="77777777" w:rsidR="009D3A39" w:rsidRDefault="009D3A39" w:rsidP="009D3A39">
      <w:pPr>
        <w:spacing w:after="160" w:line="259" w:lineRule="auto"/>
        <w:rPr>
          <w:szCs w:val="20"/>
        </w:rPr>
      </w:pPr>
      <w:r>
        <w:rPr>
          <w:szCs w:val="20"/>
        </w:rPr>
        <w:t>Trudno jest ocenić efektywność kosztową dla PI 9iv, ponieważ</w:t>
      </w:r>
      <w:r w:rsidR="00E66B89">
        <w:rPr>
          <w:szCs w:val="20"/>
        </w:rPr>
        <w:t xml:space="preserve"> w </w:t>
      </w:r>
      <w:r>
        <w:rPr>
          <w:szCs w:val="20"/>
        </w:rPr>
        <w:t>przypadku niektórych wskaźników nieznane są koszty realne, bowiem nie zostały one jeszcze poniesione. Postęp rzeczowy można ocenić jako adekwatny do postępu finansowego. Zdiagnozowano, że</w:t>
      </w:r>
      <w:r w:rsidR="00E66B89">
        <w:rPr>
          <w:szCs w:val="20"/>
        </w:rPr>
        <w:t xml:space="preserve"> w </w:t>
      </w:r>
      <w:r>
        <w:rPr>
          <w:szCs w:val="20"/>
        </w:rPr>
        <w:t>trakcie realizacji Programu koszt jednostkowy dla wsparcia osoby zagrożonej ubóstwem lub wykluczeniem społecznym przewyższył koszt założony</w:t>
      </w:r>
      <w:r w:rsidR="00E66B89">
        <w:rPr>
          <w:szCs w:val="20"/>
        </w:rPr>
        <w:t xml:space="preserve"> w </w:t>
      </w:r>
      <w:r>
        <w:rPr>
          <w:szCs w:val="20"/>
        </w:rPr>
        <w:t>metodologii. Można ocenić zatem, że</w:t>
      </w:r>
      <w:r w:rsidR="00E66B89">
        <w:rPr>
          <w:szCs w:val="20"/>
        </w:rPr>
        <w:t xml:space="preserve"> w </w:t>
      </w:r>
      <w:r>
        <w:rPr>
          <w:szCs w:val="20"/>
        </w:rPr>
        <w:t xml:space="preserve">przypadku jednego wskaźnika efektywność jest nieco niższa, niż oczekiwano. </w:t>
      </w:r>
    </w:p>
    <w:p w14:paraId="227EC6C9" w14:textId="77777777" w:rsidR="009D3A39" w:rsidRPr="00DB48C7" w:rsidRDefault="009D3A39" w:rsidP="009D3A39">
      <w:pPr>
        <w:spacing w:after="160" w:line="259" w:lineRule="auto"/>
        <w:rPr>
          <w:szCs w:val="20"/>
        </w:rPr>
      </w:pPr>
      <w:r>
        <w:rPr>
          <w:szCs w:val="20"/>
        </w:rPr>
        <w:t>Biorąc pod uwagę powyższe dane – działania</w:t>
      </w:r>
      <w:r w:rsidR="00E66B89">
        <w:rPr>
          <w:szCs w:val="20"/>
        </w:rPr>
        <w:t xml:space="preserve"> w </w:t>
      </w:r>
      <w:r>
        <w:rPr>
          <w:szCs w:val="20"/>
        </w:rPr>
        <w:t>ramach PI 9iv charakteryzują się wysoką skutecznością.</w:t>
      </w:r>
      <w:r w:rsidR="00E66B89">
        <w:rPr>
          <w:szCs w:val="20"/>
        </w:rPr>
        <w:t xml:space="preserve"> W </w:t>
      </w:r>
      <w:r>
        <w:rPr>
          <w:szCs w:val="20"/>
        </w:rPr>
        <w:t>szczególności dotyczy to interwencji</w:t>
      </w:r>
      <w:r w:rsidR="00E66B89">
        <w:rPr>
          <w:szCs w:val="20"/>
        </w:rPr>
        <w:t xml:space="preserve"> w </w:t>
      </w:r>
      <w:r>
        <w:rPr>
          <w:szCs w:val="20"/>
        </w:rPr>
        <w:t>obszarze usług społecznych. Pełną skuteczność interwencji</w:t>
      </w:r>
      <w:r w:rsidR="00E66B89">
        <w:rPr>
          <w:szCs w:val="20"/>
        </w:rPr>
        <w:t xml:space="preserve"> w </w:t>
      </w:r>
      <w:r>
        <w:rPr>
          <w:szCs w:val="20"/>
        </w:rPr>
        <w:t>obszarze PI 9iv będzie można ocenić, gdy do realizacji trafią projekty</w:t>
      </w:r>
      <w:r w:rsidR="00E66B89">
        <w:rPr>
          <w:szCs w:val="20"/>
        </w:rPr>
        <w:t xml:space="preserve"> w </w:t>
      </w:r>
      <w:r>
        <w:rPr>
          <w:szCs w:val="20"/>
        </w:rPr>
        <w:t>ramach Działania 7.7.</w:t>
      </w:r>
    </w:p>
    <w:p w14:paraId="749CCB82"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 xml:space="preserve">Ocena potencjału absorpcyjnego </w:t>
      </w:r>
    </w:p>
    <w:p w14:paraId="3E3826CC" w14:textId="77777777" w:rsidR="009D3A39" w:rsidRPr="00404DA5" w:rsidRDefault="009D3A39" w:rsidP="009D3A39">
      <w:pPr>
        <w:rPr>
          <w:rFonts w:cs="Calibri"/>
          <w:color w:val="000000"/>
          <w:szCs w:val="20"/>
        </w:rPr>
      </w:pPr>
      <w:r w:rsidRPr="00404DA5">
        <w:rPr>
          <w:rFonts w:cs="Calibri"/>
          <w:color w:val="000000"/>
          <w:szCs w:val="20"/>
        </w:rPr>
        <w:t>W ramach tego priorytetu obserwuje się wysoki potencjał aplikacyjny oraz wysoką jakość merytoryczną składanych wniosków. Świadczą</w:t>
      </w:r>
      <w:r w:rsidR="00E66B89">
        <w:rPr>
          <w:rFonts w:cs="Calibri"/>
          <w:color w:val="000000"/>
          <w:szCs w:val="20"/>
        </w:rPr>
        <w:t xml:space="preserve"> o </w:t>
      </w:r>
      <w:r w:rsidRPr="00404DA5">
        <w:rPr>
          <w:rFonts w:cs="Calibri"/>
          <w:color w:val="000000"/>
          <w:szCs w:val="20"/>
        </w:rPr>
        <w:t>tym m.in. dane pochodzące</w:t>
      </w:r>
      <w:r w:rsidR="00E66B89">
        <w:rPr>
          <w:rFonts w:cs="Calibri"/>
          <w:color w:val="000000"/>
          <w:szCs w:val="20"/>
        </w:rPr>
        <w:t xml:space="preserve"> z </w:t>
      </w:r>
      <w:r w:rsidRPr="00404DA5">
        <w:rPr>
          <w:rFonts w:cs="Calibri"/>
          <w:color w:val="000000"/>
          <w:szCs w:val="20"/>
        </w:rPr>
        <w:t>naborów.</w:t>
      </w:r>
      <w:r w:rsidR="00E66B89">
        <w:rPr>
          <w:rFonts w:cs="Calibri"/>
          <w:color w:val="000000"/>
          <w:szCs w:val="20"/>
        </w:rPr>
        <w:t xml:space="preserve"> W I </w:t>
      </w:r>
      <w:r w:rsidRPr="00404DA5">
        <w:rPr>
          <w:rFonts w:cs="Calibri"/>
          <w:color w:val="000000"/>
          <w:szCs w:val="20"/>
        </w:rPr>
        <w:t>konkursie</w:t>
      </w:r>
      <w:r w:rsidR="00E66B89">
        <w:rPr>
          <w:rFonts w:cs="Calibri"/>
          <w:color w:val="000000"/>
          <w:szCs w:val="20"/>
        </w:rPr>
        <w:t xml:space="preserve"> w </w:t>
      </w:r>
      <w:r w:rsidRPr="00404DA5">
        <w:rPr>
          <w:rFonts w:cs="Calibri"/>
          <w:color w:val="000000"/>
          <w:szCs w:val="20"/>
        </w:rPr>
        <w:t>2016 roku</w:t>
      </w:r>
      <w:r w:rsidR="00E66B89">
        <w:rPr>
          <w:rFonts w:cs="Calibri"/>
          <w:color w:val="000000"/>
          <w:szCs w:val="20"/>
        </w:rPr>
        <w:t xml:space="preserve"> z </w:t>
      </w:r>
      <w:r w:rsidRPr="00404DA5">
        <w:rPr>
          <w:rFonts w:cs="Calibri"/>
          <w:color w:val="000000"/>
          <w:szCs w:val="20"/>
        </w:rPr>
        <w:t>37 wniosków przekazanych do oceny merytorycznej wybrano 14</w:t>
      </w:r>
      <w:r>
        <w:rPr>
          <w:rFonts w:cs="Calibri"/>
          <w:color w:val="000000"/>
          <w:szCs w:val="20"/>
        </w:rPr>
        <w:t>.</w:t>
      </w:r>
      <w:r w:rsidR="00E66B89">
        <w:rPr>
          <w:rFonts w:cs="Calibri"/>
          <w:color w:val="000000"/>
          <w:szCs w:val="20"/>
        </w:rPr>
        <w:t xml:space="preserve"> W </w:t>
      </w:r>
      <w:r w:rsidRPr="00404DA5">
        <w:rPr>
          <w:rFonts w:cs="Calibri"/>
          <w:color w:val="000000"/>
          <w:szCs w:val="20"/>
        </w:rPr>
        <w:t>II konkursie na działania typu 1</w:t>
      </w:r>
      <w:r w:rsidR="00E66B89">
        <w:rPr>
          <w:rFonts w:cs="Calibri"/>
          <w:color w:val="000000"/>
          <w:szCs w:val="20"/>
        </w:rPr>
        <w:t xml:space="preserve"> i </w:t>
      </w:r>
      <w:r w:rsidRPr="00404DA5">
        <w:rPr>
          <w:rFonts w:cs="Calibri"/>
          <w:color w:val="000000"/>
          <w:szCs w:val="20"/>
        </w:rPr>
        <w:t xml:space="preserve">3 </w:t>
      </w:r>
      <w:r>
        <w:rPr>
          <w:rFonts w:cs="Calibri"/>
          <w:color w:val="000000"/>
          <w:szCs w:val="20"/>
        </w:rPr>
        <w:t xml:space="preserve">do oceny merytorycznej </w:t>
      </w:r>
      <w:r w:rsidRPr="00404DA5">
        <w:rPr>
          <w:rFonts w:cs="Calibri"/>
          <w:color w:val="000000"/>
          <w:szCs w:val="20"/>
        </w:rPr>
        <w:t>przekazano 9 na 9 złożonych</w:t>
      </w:r>
      <w:r>
        <w:rPr>
          <w:rFonts w:cs="Calibri"/>
          <w:color w:val="000000"/>
          <w:szCs w:val="20"/>
        </w:rPr>
        <w:t>,</w:t>
      </w:r>
      <w:r w:rsidR="00E66B89">
        <w:rPr>
          <w:rFonts w:cs="Calibri"/>
          <w:color w:val="000000"/>
          <w:szCs w:val="20"/>
        </w:rPr>
        <w:t xml:space="preserve"> a w </w:t>
      </w:r>
      <w:r w:rsidRPr="00404DA5">
        <w:rPr>
          <w:rFonts w:cs="Calibri"/>
          <w:color w:val="000000"/>
          <w:szCs w:val="20"/>
        </w:rPr>
        <w:t>ramach typu 2 przekazano 14 na 14 złożonych wniosków.</w:t>
      </w:r>
      <w:r w:rsidR="00E66B89">
        <w:rPr>
          <w:rFonts w:cs="Calibri"/>
          <w:color w:val="000000"/>
          <w:szCs w:val="20"/>
        </w:rPr>
        <w:t xml:space="preserve"> W </w:t>
      </w:r>
      <w:r>
        <w:rPr>
          <w:rFonts w:cs="Calibri"/>
          <w:color w:val="000000"/>
          <w:szCs w:val="20"/>
        </w:rPr>
        <w:t>rozstrzygniętym</w:t>
      </w:r>
      <w:r w:rsidR="00E66B89">
        <w:rPr>
          <w:rFonts w:cs="Calibri"/>
          <w:color w:val="000000"/>
          <w:szCs w:val="20"/>
        </w:rPr>
        <w:t xml:space="preserve"> w </w:t>
      </w:r>
      <w:r>
        <w:rPr>
          <w:rFonts w:cs="Calibri"/>
          <w:color w:val="000000"/>
          <w:szCs w:val="20"/>
        </w:rPr>
        <w:t>marcu 2019</w:t>
      </w:r>
      <w:r w:rsidRPr="00404DA5">
        <w:rPr>
          <w:rFonts w:cs="Calibri"/>
          <w:color w:val="000000"/>
          <w:szCs w:val="20"/>
        </w:rPr>
        <w:t xml:space="preserve"> roku</w:t>
      </w:r>
      <w:r>
        <w:rPr>
          <w:rFonts w:cs="Calibri"/>
          <w:color w:val="000000"/>
          <w:szCs w:val="20"/>
        </w:rPr>
        <w:t xml:space="preserve"> konkursie</w:t>
      </w:r>
      <w:r w:rsidRPr="00404DA5">
        <w:rPr>
          <w:rFonts w:cs="Calibri"/>
          <w:color w:val="000000"/>
          <w:szCs w:val="20"/>
        </w:rPr>
        <w:t xml:space="preserve"> do oceny merytorycznej trafiło 15 wniosków.</w:t>
      </w:r>
      <w:r>
        <w:rPr>
          <w:rFonts w:cs="Calibri"/>
          <w:color w:val="000000"/>
          <w:szCs w:val="20"/>
        </w:rPr>
        <w:t xml:space="preserve"> Do dofinansowania wybrano 11,</w:t>
      </w:r>
      <w:r w:rsidR="00E66B89">
        <w:rPr>
          <w:rFonts w:cs="Calibri"/>
          <w:color w:val="000000"/>
          <w:szCs w:val="20"/>
        </w:rPr>
        <w:t xml:space="preserve"> z </w:t>
      </w:r>
      <w:r>
        <w:rPr>
          <w:rFonts w:cs="Calibri"/>
          <w:color w:val="000000"/>
          <w:szCs w:val="20"/>
        </w:rPr>
        <w:t xml:space="preserve">czego ostatecznie - pomimo zwiększenia środków na konkurs - 9 dofinansowano. Dwa wnioski uzyskały dostateczną liczbę punktów, ale zaplanowana, </w:t>
      </w:r>
      <w:r>
        <w:rPr>
          <w:rFonts w:cs="Calibri"/>
          <w:color w:val="000000"/>
          <w:szCs w:val="20"/>
        </w:rPr>
        <w:lastRenderedPageBreak/>
        <w:t>zwiększona już suma przeznaczona na konkurs</w:t>
      </w:r>
      <w:r w:rsidR="00E66B89">
        <w:rPr>
          <w:rFonts w:cs="Calibri"/>
          <w:color w:val="000000"/>
          <w:szCs w:val="20"/>
        </w:rPr>
        <w:t xml:space="preserve"> i </w:t>
      </w:r>
      <w:r>
        <w:rPr>
          <w:rFonts w:cs="Calibri"/>
          <w:color w:val="000000"/>
          <w:szCs w:val="20"/>
        </w:rPr>
        <w:t>tak nie była wystarczająca, aby je dofinansować.</w:t>
      </w:r>
      <w:r w:rsidR="00C22C26">
        <w:rPr>
          <w:rFonts w:cs="Calibri"/>
          <w:color w:val="000000"/>
          <w:szCs w:val="20"/>
        </w:rPr>
        <w:t xml:space="preserve"> </w:t>
      </w:r>
      <w:r>
        <w:rPr>
          <w:rFonts w:cs="Calibri"/>
          <w:color w:val="000000"/>
          <w:szCs w:val="20"/>
        </w:rPr>
        <w:t>Z </w:t>
      </w:r>
      <w:r w:rsidRPr="00404DA5">
        <w:rPr>
          <w:rFonts w:cs="Calibri"/>
          <w:color w:val="000000"/>
          <w:szCs w:val="20"/>
        </w:rPr>
        <w:t>analizy wynika, że typ 2 projektów cieszy się większą popularnością wśród beneficjentów.</w:t>
      </w:r>
      <w:r w:rsidR="00E66B89">
        <w:rPr>
          <w:rFonts w:cs="Calibri"/>
          <w:color w:val="000000"/>
          <w:szCs w:val="20"/>
        </w:rPr>
        <w:t xml:space="preserve"> Z </w:t>
      </w:r>
      <w:r w:rsidRPr="00404DA5">
        <w:rPr>
          <w:rFonts w:cs="Calibri"/>
          <w:color w:val="000000"/>
          <w:szCs w:val="20"/>
        </w:rPr>
        <w:t>punktu widzenia celów Programu oraz wzrastających potrzeb</w:t>
      </w:r>
      <w:r w:rsidR="00E66B89">
        <w:rPr>
          <w:rFonts w:cs="Calibri"/>
          <w:color w:val="000000"/>
          <w:szCs w:val="20"/>
        </w:rPr>
        <w:t xml:space="preserve"> w </w:t>
      </w:r>
      <w:r w:rsidRPr="00404DA5">
        <w:rPr>
          <w:rFonts w:cs="Calibri"/>
          <w:color w:val="000000"/>
          <w:szCs w:val="20"/>
        </w:rPr>
        <w:t>obszarze usług społecznych, zaleca się</w:t>
      </w:r>
      <w:r w:rsidR="00E66B89">
        <w:rPr>
          <w:rFonts w:cs="Calibri"/>
          <w:color w:val="000000"/>
          <w:szCs w:val="20"/>
        </w:rPr>
        <w:t xml:space="preserve"> w </w:t>
      </w:r>
      <w:r w:rsidRPr="00404DA5">
        <w:rPr>
          <w:rFonts w:cs="Calibri"/>
          <w:color w:val="000000"/>
          <w:szCs w:val="20"/>
        </w:rPr>
        <w:t>pierwszej kolejności realizację działań</w:t>
      </w:r>
      <w:r w:rsidR="00E66B89">
        <w:rPr>
          <w:rFonts w:cs="Calibri"/>
          <w:color w:val="000000"/>
          <w:szCs w:val="20"/>
        </w:rPr>
        <w:t xml:space="preserve"> w </w:t>
      </w:r>
      <w:r w:rsidRPr="00404DA5">
        <w:rPr>
          <w:rFonts w:cs="Calibri"/>
          <w:color w:val="000000"/>
          <w:szCs w:val="20"/>
        </w:rPr>
        <w:t xml:space="preserve">ramach typu 1: </w:t>
      </w:r>
      <w:r w:rsidRPr="00404DA5">
        <w:rPr>
          <w:rFonts w:cs="Calibri"/>
          <w:i/>
          <w:color w:val="000000"/>
          <w:szCs w:val="20"/>
        </w:rPr>
        <w:t>Rozwój usług asystenckich (skierowanych do osób</w:t>
      </w:r>
      <w:r w:rsidR="00E66B89">
        <w:rPr>
          <w:rFonts w:cs="Calibri"/>
          <w:i/>
          <w:color w:val="000000"/>
          <w:szCs w:val="20"/>
        </w:rPr>
        <w:t xml:space="preserve"> z </w:t>
      </w:r>
      <w:r w:rsidRPr="00404DA5">
        <w:rPr>
          <w:rFonts w:cs="Calibri"/>
          <w:i/>
          <w:color w:val="000000"/>
          <w:szCs w:val="20"/>
        </w:rPr>
        <w:t>niepełnosprawnościami)</w:t>
      </w:r>
      <w:r w:rsidR="00E66B89">
        <w:rPr>
          <w:rFonts w:cs="Calibri"/>
          <w:i/>
          <w:color w:val="000000"/>
          <w:szCs w:val="20"/>
        </w:rPr>
        <w:t xml:space="preserve"> i </w:t>
      </w:r>
      <w:r w:rsidRPr="00404DA5">
        <w:rPr>
          <w:rFonts w:cs="Calibri"/>
          <w:i/>
          <w:color w:val="000000"/>
          <w:szCs w:val="20"/>
        </w:rPr>
        <w:t>opiekuńczych(skierowanych do osób niesamodzielnych)</w:t>
      </w:r>
      <w:r w:rsidRPr="00404DA5">
        <w:rPr>
          <w:rFonts w:cs="Calibri"/>
          <w:color w:val="000000"/>
          <w:szCs w:val="20"/>
        </w:rPr>
        <w:t>. Jak wynika</w:t>
      </w:r>
      <w:r w:rsidR="00E66B89">
        <w:rPr>
          <w:rFonts w:cs="Calibri"/>
          <w:color w:val="000000"/>
          <w:szCs w:val="20"/>
        </w:rPr>
        <w:t xml:space="preserve"> z </w:t>
      </w:r>
      <w:r w:rsidRPr="00404DA5">
        <w:rPr>
          <w:rFonts w:cs="Calibri"/>
          <w:color w:val="000000"/>
          <w:szCs w:val="20"/>
        </w:rPr>
        <w:t>badania CAWI</w:t>
      </w:r>
      <w:r>
        <w:rPr>
          <w:rFonts w:cs="Calibri"/>
          <w:color w:val="000000"/>
          <w:szCs w:val="20"/>
        </w:rPr>
        <w:t>,</w:t>
      </w:r>
      <w:r w:rsidRPr="00404DA5">
        <w:rPr>
          <w:rFonts w:cs="Calibri"/>
          <w:color w:val="000000"/>
          <w:szCs w:val="20"/>
        </w:rPr>
        <w:t xml:space="preserve"> 23 beneficjentów</w:t>
      </w:r>
      <w:r>
        <w:rPr>
          <w:rFonts w:cs="Calibri"/>
          <w:color w:val="000000"/>
          <w:szCs w:val="20"/>
        </w:rPr>
        <w:t xml:space="preserve"> - deklarujących</w:t>
      </w:r>
      <w:r w:rsidRPr="00404DA5">
        <w:rPr>
          <w:rFonts w:cs="Calibri"/>
          <w:color w:val="000000"/>
          <w:szCs w:val="20"/>
        </w:rPr>
        <w:t>, że chci</w:t>
      </w:r>
      <w:r>
        <w:rPr>
          <w:rFonts w:cs="Calibri"/>
          <w:color w:val="000000"/>
          <w:szCs w:val="20"/>
        </w:rPr>
        <w:t xml:space="preserve">ałoby </w:t>
      </w:r>
      <w:r w:rsidRPr="00404DA5">
        <w:rPr>
          <w:rFonts w:cs="Calibri"/>
          <w:color w:val="000000"/>
          <w:szCs w:val="20"/>
        </w:rPr>
        <w:t>ubiegać się</w:t>
      </w:r>
      <w:r w:rsidR="00E66B89">
        <w:rPr>
          <w:rFonts w:cs="Calibri"/>
          <w:color w:val="000000"/>
          <w:szCs w:val="20"/>
        </w:rPr>
        <w:t xml:space="preserve"> o </w:t>
      </w:r>
      <w:r w:rsidRPr="00404DA5">
        <w:rPr>
          <w:rFonts w:cs="Calibri"/>
          <w:color w:val="000000"/>
          <w:szCs w:val="20"/>
        </w:rPr>
        <w:t>wsparcie</w:t>
      </w:r>
      <w:r w:rsidR="00E66B89">
        <w:rPr>
          <w:rFonts w:cs="Calibri"/>
          <w:color w:val="000000"/>
          <w:szCs w:val="20"/>
        </w:rPr>
        <w:t xml:space="preserve"> w </w:t>
      </w:r>
      <w:r w:rsidRPr="00404DA5">
        <w:rPr>
          <w:rFonts w:cs="Calibri"/>
          <w:color w:val="000000"/>
          <w:szCs w:val="20"/>
        </w:rPr>
        <w:t>ramach OP VI</w:t>
      </w:r>
      <w:r>
        <w:rPr>
          <w:rFonts w:cs="Calibri"/>
          <w:color w:val="000000"/>
          <w:szCs w:val="20"/>
        </w:rPr>
        <w:t>I -</w:t>
      </w:r>
      <w:r w:rsidRPr="00404DA5">
        <w:rPr>
          <w:rFonts w:cs="Calibri"/>
          <w:color w:val="000000"/>
          <w:szCs w:val="20"/>
        </w:rPr>
        <w:t xml:space="preserve"> </w:t>
      </w:r>
      <w:r>
        <w:rPr>
          <w:rFonts w:cs="Calibri"/>
          <w:color w:val="000000"/>
          <w:szCs w:val="20"/>
        </w:rPr>
        <w:t>wskazało</w:t>
      </w:r>
      <w:r w:rsidRPr="00404DA5">
        <w:rPr>
          <w:rFonts w:cs="Calibri"/>
          <w:color w:val="000000"/>
          <w:szCs w:val="20"/>
        </w:rPr>
        <w:t>, że chciałoby</w:t>
      </w:r>
      <w:r w:rsidR="00E66B89">
        <w:rPr>
          <w:rFonts w:cs="Calibri"/>
          <w:color w:val="000000"/>
          <w:szCs w:val="20"/>
        </w:rPr>
        <w:t xml:space="preserve"> w </w:t>
      </w:r>
      <w:r w:rsidRPr="00404DA5">
        <w:rPr>
          <w:rFonts w:cs="Calibri"/>
          <w:color w:val="000000"/>
          <w:szCs w:val="20"/>
        </w:rPr>
        <w:t>następnych latach realizować projekty</w:t>
      </w:r>
      <w:r w:rsidR="00E66B89">
        <w:rPr>
          <w:rFonts w:cs="Calibri"/>
          <w:color w:val="000000"/>
          <w:szCs w:val="20"/>
        </w:rPr>
        <w:t xml:space="preserve"> w </w:t>
      </w:r>
      <w:r w:rsidRPr="00404DA5">
        <w:rPr>
          <w:rFonts w:cs="Calibri"/>
          <w:color w:val="000000"/>
          <w:szCs w:val="20"/>
        </w:rPr>
        <w:t xml:space="preserve">ramach </w:t>
      </w:r>
      <w:r w:rsidRPr="00404DA5">
        <w:rPr>
          <w:rFonts w:cs="Calibri"/>
          <w:i/>
          <w:color w:val="000000"/>
          <w:szCs w:val="20"/>
        </w:rPr>
        <w:t>Wsparcia rozwoju usług społecznych świadczonych</w:t>
      </w:r>
      <w:r w:rsidR="00E66B89">
        <w:rPr>
          <w:rFonts w:cs="Calibri"/>
          <w:i/>
          <w:color w:val="000000"/>
          <w:szCs w:val="20"/>
        </w:rPr>
        <w:t xml:space="preserve"> w </w:t>
      </w:r>
      <w:r w:rsidRPr="00404DA5">
        <w:rPr>
          <w:rFonts w:cs="Calibri"/>
          <w:i/>
          <w:color w:val="000000"/>
          <w:szCs w:val="20"/>
        </w:rPr>
        <w:t xml:space="preserve">interesie ogólnym. </w:t>
      </w:r>
      <w:r>
        <w:rPr>
          <w:rFonts w:cs="Calibri"/>
          <w:color w:val="000000"/>
          <w:szCs w:val="20"/>
        </w:rPr>
        <w:t>W</w:t>
      </w:r>
      <w:r w:rsidRPr="00404DA5">
        <w:rPr>
          <w:rFonts w:cs="Calibri"/>
          <w:color w:val="000000"/>
          <w:szCs w:val="20"/>
        </w:rPr>
        <w:t xml:space="preserve">drożeniem </w:t>
      </w:r>
      <w:r w:rsidRPr="00C22C26">
        <w:rPr>
          <w:rFonts w:cs="Calibri"/>
          <w:i/>
          <w:color w:val="000000"/>
          <w:szCs w:val="20"/>
        </w:rPr>
        <w:t>programów wczesnego wykrywania wad rozwojowych</w:t>
      </w:r>
      <w:r w:rsidR="00E66B89">
        <w:rPr>
          <w:rFonts w:cs="Calibri"/>
          <w:i/>
          <w:color w:val="000000"/>
          <w:szCs w:val="20"/>
        </w:rPr>
        <w:t xml:space="preserve"> i </w:t>
      </w:r>
      <w:r w:rsidRPr="00C22C26">
        <w:rPr>
          <w:rFonts w:cs="Calibri"/>
          <w:i/>
          <w:color w:val="000000"/>
          <w:szCs w:val="20"/>
        </w:rPr>
        <w:t>rehabilitacji dzieci</w:t>
      </w:r>
      <w:r w:rsidR="00E66B89">
        <w:rPr>
          <w:rFonts w:cs="Calibri"/>
          <w:i/>
          <w:color w:val="000000"/>
          <w:szCs w:val="20"/>
        </w:rPr>
        <w:t xml:space="preserve"> z </w:t>
      </w:r>
      <w:r w:rsidRPr="00C22C26">
        <w:rPr>
          <w:rFonts w:cs="Calibri"/>
          <w:i/>
          <w:color w:val="000000"/>
          <w:szCs w:val="20"/>
        </w:rPr>
        <w:t>niepełnosprawnościami oraz zagrożonych niepełnosprawnością</w:t>
      </w:r>
      <w:r w:rsidRPr="00404DA5">
        <w:rPr>
          <w:rFonts w:cs="Calibri"/>
          <w:color w:val="000000"/>
          <w:szCs w:val="20"/>
        </w:rPr>
        <w:t xml:space="preserve"> zainteresowanych jest 8 podmiotów. Wysoki potencjał aplikacyjny dla obu typów działań wykazują organizacje pozarządowe.</w:t>
      </w:r>
    </w:p>
    <w:p w14:paraId="0B354198"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Prognozy osiągnięcia celów zakładanych na 2023 rok</w:t>
      </w:r>
    </w:p>
    <w:p w14:paraId="152223C3" w14:textId="77777777" w:rsidR="009D3A39" w:rsidRDefault="009D3A39" w:rsidP="009D3A39">
      <w:pPr>
        <w:rPr>
          <w:szCs w:val="20"/>
        </w:rPr>
      </w:pPr>
      <w:r w:rsidRPr="00224D80">
        <w:rPr>
          <w:szCs w:val="20"/>
        </w:rPr>
        <w:t>Dostępna alokacja</w:t>
      </w:r>
      <w:r w:rsidR="00E66B89">
        <w:rPr>
          <w:szCs w:val="20"/>
        </w:rPr>
        <w:t xml:space="preserve"> z </w:t>
      </w:r>
      <w:r w:rsidRPr="00224D80">
        <w:rPr>
          <w:szCs w:val="20"/>
        </w:rPr>
        <w:t>uwzględnieniem rezerwy wykonania</w:t>
      </w:r>
      <w:r w:rsidR="00E66B89">
        <w:rPr>
          <w:szCs w:val="20"/>
        </w:rPr>
        <w:t xml:space="preserve"> w </w:t>
      </w:r>
      <w:r w:rsidRPr="00224D80">
        <w:rPr>
          <w:szCs w:val="20"/>
        </w:rPr>
        <w:t>dniu 7.01</w:t>
      </w:r>
      <w:r>
        <w:rPr>
          <w:szCs w:val="20"/>
        </w:rPr>
        <w:t>. 2019 r.</w:t>
      </w:r>
      <w:r w:rsidRPr="00224D80">
        <w:rPr>
          <w:szCs w:val="20"/>
        </w:rPr>
        <w:t xml:space="preserve"> wynosiła </w:t>
      </w:r>
      <w:r>
        <w:rPr>
          <w:szCs w:val="20"/>
        </w:rPr>
        <w:t>97 186 293,26</w:t>
      </w:r>
      <w:r w:rsidRPr="00224D80">
        <w:rPr>
          <w:szCs w:val="20"/>
        </w:rPr>
        <w:t xml:space="preserve"> zł. Gdyby pozostałą alokację skierowano na takie typy projektów jak dotychczas</w:t>
      </w:r>
      <w:r>
        <w:rPr>
          <w:szCs w:val="20"/>
        </w:rPr>
        <w:t>,</w:t>
      </w:r>
      <w:r w:rsidRPr="00224D80">
        <w:rPr>
          <w:szCs w:val="20"/>
        </w:rPr>
        <w:t xml:space="preserve"> osiągnięto</w:t>
      </w:r>
      <w:r>
        <w:rPr>
          <w:szCs w:val="20"/>
        </w:rPr>
        <w:t xml:space="preserve"> </w:t>
      </w:r>
      <w:r w:rsidRPr="00224D80">
        <w:rPr>
          <w:szCs w:val="20"/>
        </w:rPr>
        <w:t xml:space="preserve">by wskaźniki produktu na poziomie </w:t>
      </w:r>
      <w:r>
        <w:rPr>
          <w:szCs w:val="20"/>
        </w:rPr>
        <w:t xml:space="preserve">151-88% wartości docelowej. Największą wartość osiągnąłby wskaźnik </w:t>
      </w:r>
      <w:r w:rsidRPr="0082397C">
        <w:rPr>
          <w:i/>
          <w:szCs w:val="20"/>
        </w:rPr>
        <w:t>Liczba osób zagrożonych ubóstwem lub wykluczeniem społecznym objętych usługami społecznymi świadczonymi</w:t>
      </w:r>
      <w:r w:rsidR="00E66B89">
        <w:rPr>
          <w:i/>
          <w:szCs w:val="20"/>
        </w:rPr>
        <w:t xml:space="preserve"> w </w:t>
      </w:r>
      <w:r w:rsidRPr="0082397C">
        <w:rPr>
          <w:i/>
          <w:szCs w:val="20"/>
        </w:rPr>
        <w:t>interesie ogólnym</w:t>
      </w:r>
      <w:r w:rsidR="00E66B89">
        <w:rPr>
          <w:i/>
          <w:szCs w:val="20"/>
        </w:rPr>
        <w:t xml:space="preserve"> w </w:t>
      </w:r>
      <w:r w:rsidRPr="0082397C">
        <w:rPr>
          <w:i/>
          <w:szCs w:val="20"/>
        </w:rPr>
        <w:t>programie</w:t>
      </w:r>
      <w:r>
        <w:rPr>
          <w:i/>
          <w:szCs w:val="20"/>
        </w:rPr>
        <w:t xml:space="preserve">. </w:t>
      </w:r>
      <w:r w:rsidRPr="00224D80">
        <w:rPr>
          <w:szCs w:val="20"/>
        </w:rPr>
        <w:t>Sytuacja wygląda inaczej, jeśli pod uwagę weźmie się</w:t>
      </w:r>
      <w:r>
        <w:rPr>
          <w:szCs w:val="20"/>
        </w:rPr>
        <w:t>:</w:t>
      </w:r>
      <w:r w:rsidRPr="00224D80">
        <w:rPr>
          <w:szCs w:val="20"/>
        </w:rPr>
        <w:t xml:space="preserve"> plany IZ</w:t>
      </w:r>
      <w:r>
        <w:rPr>
          <w:szCs w:val="20"/>
        </w:rPr>
        <w:t xml:space="preserve"> dotyczące realokowania środków, aktualnie trwający nabór wniosków</w:t>
      </w:r>
      <w:r w:rsidR="00E66B89">
        <w:rPr>
          <w:szCs w:val="20"/>
        </w:rPr>
        <w:t xml:space="preserve"> i </w:t>
      </w:r>
      <w:r>
        <w:rPr>
          <w:szCs w:val="20"/>
        </w:rPr>
        <w:t>projekty, które nie mają jeszcze podpisanej umowy</w:t>
      </w:r>
      <w:r w:rsidR="00E66B89">
        <w:rPr>
          <w:szCs w:val="20"/>
        </w:rPr>
        <w:t xml:space="preserve"> o </w:t>
      </w:r>
      <w:r>
        <w:rPr>
          <w:szCs w:val="20"/>
        </w:rPr>
        <w:t>dofinansowanie</w:t>
      </w:r>
      <w:r w:rsidRPr="00224D80">
        <w:rPr>
          <w:szCs w:val="20"/>
        </w:rPr>
        <w:t>. Na typ projektów 1 planuje się przeznaczyć</w:t>
      </w:r>
      <w:r w:rsidRPr="00723D4A">
        <w:t xml:space="preserve"> </w:t>
      </w:r>
      <w:r w:rsidRPr="00224D80">
        <w:rPr>
          <w:szCs w:val="20"/>
        </w:rPr>
        <w:t xml:space="preserve">ok. </w:t>
      </w:r>
      <w:r>
        <w:rPr>
          <w:szCs w:val="20"/>
        </w:rPr>
        <w:t>31 636 930,</w:t>
      </w:r>
      <w:r w:rsidRPr="00723D4A">
        <w:rPr>
          <w:szCs w:val="20"/>
        </w:rPr>
        <w:t xml:space="preserve">20 </w:t>
      </w:r>
      <w:r w:rsidRPr="00224D80">
        <w:rPr>
          <w:szCs w:val="20"/>
        </w:rPr>
        <w:t>zł. Obecnie</w:t>
      </w:r>
      <w:r>
        <w:rPr>
          <w:szCs w:val="20"/>
        </w:rPr>
        <w:t xml:space="preserve"> trwa nabór wniosków na typ projektów 3, gdzie pula na dofinansowanie projektów wynosi</w:t>
      </w:r>
      <w:r w:rsidRPr="00224D80">
        <w:rPr>
          <w:szCs w:val="20"/>
        </w:rPr>
        <w:t xml:space="preserve"> </w:t>
      </w:r>
      <w:r w:rsidRPr="00F95CD9">
        <w:rPr>
          <w:szCs w:val="20"/>
        </w:rPr>
        <w:t>11 292 040,52</w:t>
      </w:r>
      <w:r>
        <w:rPr>
          <w:szCs w:val="20"/>
        </w:rPr>
        <w:t xml:space="preserve"> zł.</w:t>
      </w:r>
      <w:r w:rsidR="00E66B89">
        <w:rPr>
          <w:szCs w:val="20"/>
        </w:rPr>
        <w:t xml:space="preserve"> W </w:t>
      </w:r>
      <w:r>
        <w:rPr>
          <w:szCs w:val="20"/>
        </w:rPr>
        <w:t>ramach Działania 7.7</w:t>
      </w:r>
      <w:r w:rsidR="00E66B89">
        <w:rPr>
          <w:szCs w:val="20"/>
        </w:rPr>
        <w:t xml:space="preserve"> w </w:t>
      </w:r>
      <w:r>
        <w:rPr>
          <w:szCs w:val="20"/>
        </w:rPr>
        <w:t>maju 2019 roku nastąpi rozstrzygnięcie konkursu, który zakończył się</w:t>
      </w:r>
      <w:r w:rsidR="00E66B89">
        <w:rPr>
          <w:szCs w:val="20"/>
        </w:rPr>
        <w:t xml:space="preserve"> w </w:t>
      </w:r>
      <w:r>
        <w:rPr>
          <w:szCs w:val="20"/>
        </w:rPr>
        <w:t xml:space="preserve">lutym. Do oceny merytorycznej przekazano jeden wniosek na kwotę dofinansowania </w:t>
      </w:r>
      <w:r w:rsidRPr="00EA6CA0">
        <w:rPr>
          <w:szCs w:val="20"/>
        </w:rPr>
        <w:t>6 509 484,64</w:t>
      </w:r>
      <w:r>
        <w:rPr>
          <w:szCs w:val="20"/>
        </w:rPr>
        <w:t xml:space="preserve"> zł. Kwotę tę</w:t>
      </w:r>
      <w:r w:rsidR="00E66B89">
        <w:rPr>
          <w:szCs w:val="20"/>
        </w:rPr>
        <w:t xml:space="preserve"> w </w:t>
      </w:r>
      <w:r>
        <w:rPr>
          <w:szCs w:val="20"/>
        </w:rPr>
        <w:t>obliczeniach ujmuje się jako wciąż dostępną alokację. Obecnie 9 projektów oczekuje na podpisanie umów na łączną kwotę 32 418 929,27 zł. Planowana jest realokacja</w:t>
      </w:r>
      <w:r w:rsidR="00E66B89">
        <w:rPr>
          <w:szCs w:val="20"/>
        </w:rPr>
        <w:t xml:space="preserve"> z </w:t>
      </w:r>
      <w:r>
        <w:rPr>
          <w:szCs w:val="20"/>
        </w:rPr>
        <w:t>PI 9i</w:t>
      </w:r>
      <w:r w:rsidRPr="00224D80">
        <w:rPr>
          <w:szCs w:val="20"/>
        </w:rPr>
        <w:t xml:space="preserve"> </w:t>
      </w:r>
      <w:r>
        <w:rPr>
          <w:szCs w:val="20"/>
        </w:rPr>
        <w:t>do Działania 7.6</w:t>
      </w:r>
      <w:r w:rsidR="00E66B89">
        <w:rPr>
          <w:szCs w:val="20"/>
        </w:rPr>
        <w:t xml:space="preserve"> w </w:t>
      </w:r>
      <w:r w:rsidRPr="00224D80">
        <w:rPr>
          <w:szCs w:val="20"/>
        </w:rPr>
        <w:t xml:space="preserve">wysokości ok. 55 988 400 zł. Za koszt jednostkowy przyjmuje się </w:t>
      </w:r>
      <w:r>
        <w:rPr>
          <w:szCs w:val="20"/>
        </w:rPr>
        <w:t>zaktualizowaną (o odpowiedni indeks – zgodnie</w:t>
      </w:r>
      <w:r w:rsidR="00E66B89">
        <w:rPr>
          <w:szCs w:val="20"/>
        </w:rPr>
        <w:t xml:space="preserve"> z </w:t>
      </w:r>
      <w:r>
        <w:rPr>
          <w:szCs w:val="20"/>
        </w:rPr>
        <w:t xml:space="preserve">informacjami zawartymi we wprowadzeniu do raportu) </w:t>
      </w:r>
      <w:r w:rsidRPr="00224D80">
        <w:rPr>
          <w:szCs w:val="20"/>
        </w:rPr>
        <w:t>wartość na lata 2019-2023. Szacuje się, że jeśli powyższe plany zostałyby zrealizowane, osiągnięto</w:t>
      </w:r>
      <w:r>
        <w:rPr>
          <w:szCs w:val="20"/>
        </w:rPr>
        <w:t xml:space="preserve"> </w:t>
      </w:r>
      <w:r w:rsidRPr="00224D80">
        <w:rPr>
          <w:szCs w:val="20"/>
        </w:rPr>
        <w:t xml:space="preserve">by wartości wskaźników produktu na poziomie </w:t>
      </w:r>
      <w:r>
        <w:rPr>
          <w:szCs w:val="20"/>
        </w:rPr>
        <w:t>101-157</w:t>
      </w:r>
      <w:r w:rsidRPr="00224D80">
        <w:rPr>
          <w:szCs w:val="20"/>
        </w:rPr>
        <w:t>%, co pokazuje tabela poniż</w:t>
      </w:r>
      <w:r>
        <w:rPr>
          <w:szCs w:val="20"/>
        </w:rPr>
        <w:t>ej.</w:t>
      </w:r>
      <w:r w:rsidR="00E66B89">
        <w:rPr>
          <w:szCs w:val="20"/>
        </w:rPr>
        <w:t xml:space="preserve"> W </w:t>
      </w:r>
      <w:r>
        <w:rPr>
          <w:szCs w:val="20"/>
        </w:rPr>
        <w:t xml:space="preserve">tym przypadku należałoby podwyższyć </w:t>
      </w:r>
      <w:r w:rsidRPr="00224D80">
        <w:rPr>
          <w:szCs w:val="20"/>
        </w:rPr>
        <w:t>wartości docelowe wskaźników do wskazanych</w:t>
      </w:r>
      <w:r w:rsidR="00E66B89">
        <w:rPr>
          <w:szCs w:val="20"/>
        </w:rPr>
        <w:t xml:space="preserve"> w </w:t>
      </w:r>
      <w:r w:rsidRPr="00224D80">
        <w:rPr>
          <w:szCs w:val="20"/>
        </w:rPr>
        <w:t>tabeli.</w:t>
      </w:r>
      <w:r>
        <w:rPr>
          <w:szCs w:val="20"/>
        </w:rPr>
        <w:t xml:space="preserve"> Najniższą wartość osiągnąłby wskaźnik </w:t>
      </w:r>
      <w:r w:rsidRPr="006C2741">
        <w:rPr>
          <w:i/>
          <w:szCs w:val="20"/>
        </w:rPr>
        <w:t>Liczba osób zagrożonych ubóstwem lub wykluczeniem społecznym objętych wsparciem</w:t>
      </w:r>
      <w:r w:rsidR="00E66B89">
        <w:rPr>
          <w:i/>
          <w:szCs w:val="20"/>
        </w:rPr>
        <w:t xml:space="preserve"> w </w:t>
      </w:r>
      <w:r w:rsidRPr="006C2741">
        <w:rPr>
          <w:i/>
          <w:szCs w:val="20"/>
        </w:rPr>
        <w:t>programie</w:t>
      </w:r>
      <w:r>
        <w:rPr>
          <w:i/>
          <w:szCs w:val="20"/>
        </w:rPr>
        <w:t xml:space="preserve">, </w:t>
      </w:r>
      <w:r>
        <w:rPr>
          <w:szCs w:val="20"/>
        </w:rPr>
        <w:t>gdzie sugeruje się - jak wspomniano</w:t>
      </w:r>
      <w:r w:rsidR="00E66B89">
        <w:rPr>
          <w:szCs w:val="20"/>
        </w:rPr>
        <w:t xml:space="preserve"> w </w:t>
      </w:r>
      <w:r>
        <w:rPr>
          <w:szCs w:val="20"/>
        </w:rPr>
        <w:t xml:space="preserve">części dotyczącej postępu rzeczowego - obniżenie jego wartości. </w:t>
      </w:r>
    </w:p>
    <w:p w14:paraId="59C2A483" w14:textId="77777777" w:rsidR="009D3A39" w:rsidRPr="008B706B" w:rsidRDefault="009D3A39" w:rsidP="009D3A39">
      <w:pPr>
        <w:rPr>
          <w:i/>
          <w:szCs w:val="20"/>
        </w:rPr>
      </w:pPr>
      <w:r>
        <w:rPr>
          <w:szCs w:val="20"/>
        </w:rPr>
        <w:t>Biorąc pod uwagę zmiany sytuacji społeczno-gospodarczej, rosnące potrzeby</w:t>
      </w:r>
      <w:r w:rsidR="00E66B89">
        <w:rPr>
          <w:szCs w:val="20"/>
        </w:rPr>
        <w:t xml:space="preserve"> w </w:t>
      </w:r>
      <w:r>
        <w:rPr>
          <w:szCs w:val="20"/>
        </w:rPr>
        <w:t>sektorze usług oraz możliwości aplikacyjne potencjalnych beneficjentów, kluczowe</w:t>
      </w:r>
      <w:r w:rsidR="00E66B89">
        <w:rPr>
          <w:szCs w:val="20"/>
        </w:rPr>
        <w:t xml:space="preserve"> w </w:t>
      </w:r>
      <w:r>
        <w:rPr>
          <w:szCs w:val="20"/>
        </w:rPr>
        <w:t>najbliższych latach będzie wspieranie interwencji realizowanych</w:t>
      </w:r>
      <w:r w:rsidR="00E66B89">
        <w:rPr>
          <w:szCs w:val="20"/>
        </w:rPr>
        <w:t xml:space="preserve"> w </w:t>
      </w:r>
      <w:r>
        <w:rPr>
          <w:szCs w:val="20"/>
        </w:rPr>
        <w:t xml:space="preserve">ramach 7 typu projektu </w:t>
      </w:r>
      <w:r w:rsidRPr="008B706B">
        <w:rPr>
          <w:i/>
          <w:szCs w:val="20"/>
        </w:rPr>
        <w:t>Tworzenie nowych</w:t>
      </w:r>
      <w:r w:rsidR="00E66B89">
        <w:rPr>
          <w:i/>
          <w:szCs w:val="20"/>
        </w:rPr>
        <w:t xml:space="preserve"> i </w:t>
      </w:r>
      <w:r w:rsidRPr="008B706B">
        <w:rPr>
          <w:i/>
          <w:szCs w:val="20"/>
        </w:rPr>
        <w:t>rozwój istniejących zdeinstytucjonalizowanych form usług</w:t>
      </w:r>
      <w:r>
        <w:rPr>
          <w:i/>
          <w:szCs w:val="20"/>
        </w:rPr>
        <w:t xml:space="preserve"> </w:t>
      </w:r>
      <w:r w:rsidRPr="003D3361">
        <w:rPr>
          <w:szCs w:val="20"/>
        </w:rPr>
        <w:t>środowiskowych</w:t>
      </w:r>
      <w:r w:rsidRPr="00C22C26">
        <w:rPr>
          <w:i/>
          <w:szCs w:val="20"/>
        </w:rPr>
        <w:t>, usług opiekuńczych oraz usług wsparcia rodziny</w:t>
      </w:r>
      <w:r w:rsidR="00E66B89">
        <w:rPr>
          <w:i/>
          <w:szCs w:val="20"/>
        </w:rPr>
        <w:t xml:space="preserve"> i </w:t>
      </w:r>
      <w:r w:rsidRPr="00C22C26">
        <w:rPr>
          <w:i/>
          <w:szCs w:val="20"/>
        </w:rPr>
        <w:t>pieczy zastępczej</w:t>
      </w:r>
      <w:r>
        <w:rPr>
          <w:szCs w:val="20"/>
        </w:rPr>
        <w:t>. Można szacować, że środki, które obecnie przeznaczone są na PI 9iv</w:t>
      </w:r>
      <w:r w:rsidR="00E66B89">
        <w:rPr>
          <w:szCs w:val="20"/>
        </w:rPr>
        <w:t xml:space="preserve"> w </w:t>
      </w:r>
      <w:r>
        <w:rPr>
          <w:szCs w:val="20"/>
        </w:rPr>
        <w:t>kontekście rosnących potrzeb mogą nie wystarczyć, by zaspokoić wszystkie potrzeby</w:t>
      </w:r>
      <w:r w:rsidR="00E66B89">
        <w:rPr>
          <w:szCs w:val="20"/>
        </w:rPr>
        <w:t xml:space="preserve"> w </w:t>
      </w:r>
      <w:r>
        <w:rPr>
          <w:szCs w:val="20"/>
        </w:rPr>
        <w:t xml:space="preserve">obszarze deinstytucjonalizacji usług. </w:t>
      </w:r>
    </w:p>
    <w:p w14:paraId="1B2E2A08" w14:textId="77777777" w:rsidR="009D3A39" w:rsidRPr="00FE73B6" w:rsidRDefault="009D3A39" w:rsidP="00FE73B6">
      <w:pPr>
        <w:pStyle w:val="Legenda"/>
        <w:spacing w:after="0"/>
      </w:pPr>
      <w:bookmarkStart w:id="283" w:name="_Toc8824233"/>
      <w:r w:rsidRPr="00404DA5">
        <w:t xml:space="preserve">Tabela </w:t>
      </w:r>
      <w:r>
        <w:fldChar w:fldCharType="begin"/>
      </w:r>
      <w:r>
        <w:instrText xml:space="preserve"> SEQ Tabela \* ARABIC </w:instrText>
      </w:r>
      <w:r>
        <w:fldChar w:fldCharType="separate"/>
      </w:r>
      <w:r w:rsidR="00763345">
        <w:rPr>
          <w:noProof/>
        </w:rPr>
        <w:t>122</w:t>
      </w:r>
      <w:r>
        <w:fldChar w:fldCharType="end"/>
      </w:r>
      <w:r w:rsidRPr="00404DA5">
        <w:t xml:space="preserve"> Prognozowany poziom realizacji wskaźników produktu</w:t>
      </w:r>
      <w:r w:rsidR="00E66B89">
        <w:t xml:space="preserve"> i </w:t>
      </w:r>
      <w:r w:rsidRPr="00404DA5">
        <w:t>rezultatu bezpośredniego na rok 2023 – PI 9iv</w:t>
      </w:r>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931"/>
        <w:gridCol w:w="1165"/>
        <w:gridCol w:w="1497"/>
        <w:gridCol w:w="1519"/>
      </w:tblGrid>
      <w:tr w:rsidR="009D3A39" w:rsidRPr="00FE43CD" w14:paraId="19C860E6" w14:textId="77777777" w:rsidTr="00C22C26">
        <w:trPr>
          <w:tblHeader/>
        </w:trPr>
        <w:tc>
          <w:tcPr>
            <w:tcW w:w="524" w:type="pct"/>
            <w:shd w:val="clear" w:color="auto" w:fill="DBE5F1"/>
          </w:tcPr>
          <w:p w14:paraId="550F32B9" w14:textId="77777777" w:rsidR="009D3A39" w:rsidRPr="00404DA5" w:rsidRDefault="009D3A39" w:rsidP="001C3974">
            <w:pPr>
              <w:jc w:val="center"/>
              <w:rPr>
                <w:rFonts w:cs="Calibri"/>
                <w:sz w:val="16"/>
                <w:szCs w:val="18"/>
              </w:rPr>
            </w:pPr>
            <w:r w:rsidRPr="00404DA5">
              <w:rPr>
                <w:rFonts w:cs="Calibri"/>
                <w:sz w:val="16"/>
                <w:szCs w:val="18"/>
              </w:rPr>
              <w:t>Typ wskaźnika</w:t>
            </w:r>
          </w:p>
        </w:tc>
        <w:tc>
          <w:tcPr>
            <w:tcW w:w="2169" w:type="pct"/>
            <w:shd w:val="clear" w:color="auto" w:fill="DBE5F1"/>
          </w:tcPr>
          <w:p w14:paraId="4319B76D" w14:textId="77777777" w:rsidR="009D3A39" w:rsidRPr="00404DA5" w:rsidRDefault="009D3A39" w:rsidP="001C3974">
            <w:pPr>
              <w:jc w:val="center"/>
              <w:rPr>
                <w:rFonts w:cs="Calibri"/>
                <w:sz w:val="16"/>
                <w:szCs w:val="18"/>
              </w:rPr>
            </w:pPr>
            <w:r w:rsidRPr="00404DA5">
              <w:rPr>
                <w:rFonts w:cs="Calibri"/>
                <w:sz w:val="16"/>
                <w:szCs w:val="18"/>
              </w:rPr>
              <w:t>Wskaźnik</w:t>
            </w:r>
          </w:p>
        </w:tc>
        <w:tc>
          <w:tcPr>
            <w:tcW w:w="643" w:type="pct"/>
            <w:shd w:val="clear" w:color="auto" w:fill="DBE5F1"/>
          </w:tcPr>
          <w:p w14:paraId="4C9EB0BB" w14:textId="77777777" w:rsidR="009D3A39" w:rsidRPr="00404DA5" w:rsidRDefault="009D3A39" w:rsidP="001C3974">
            <w:pPr>
              <w:jc w:val="center"/>
              <w:rPr>
                <w:rFonts w:cs="Calibri"/>
                <w:sz w:val="16"/>
                <w:szCs w:val="18"/>
              </w:rPr>
            </w:pPr>
            <w:r w:rsidRPr="00404DA5">
              <w:rPr>
                <w:rFonts w:cs="Calibri"/>
                <w:sz w:val="16"/>
                <w:szCs w:val="18"/>
              </w:rPr>
              <w:t>Wartość docelowa określona na 2023 rok</w:t>
            </w:r>
          </w:p>
        </w:tc>
        <w:tc>
          <w:tcPr>
            <w:tcW w:w="826" w:type="pct"/>
            <w:shd w:val="clear" w:color="auto" w:fill="DBE5F1"/>
          </w:tcPr>
          <w:p w14:paraId="7EEED17E" w14:textId="77777777" w:rsidR="009D3A39" w:rsidRPr="00404DA5" w:rsidRDefault="009D3A39" w:rsidP="001C3974">
            <w:pPr>
              <w:jc w:val="center"/>
              <w:rPr>
                <w:rFonts w:cs="Calibri"/>
                <w:sz w:val="16"/>
                <w:szCs w:val="18"/>
              </w:rPr>
            </w:pPr>
            <w:r w:rsidRPr="00404DA5">
              <w:rPr>
                <w:rFonts w:cs="Calibri"/>
                <w:sz w:val="16"/>
                <w:szCs w:val="18"/>
              </w:rPr>
              <w:t xml:space="preserve">Prognozowana całkowita wartość wskaźnika </w:t>
            </w:r>
          </w:p>
        </w:tc>
        <w:tc>
          <w:tcPr>
            <w:tcW w:w="838" w:type="pct"/>
            <w:shd w:val="clear" w:color="auto" w:fill="DBE5F1"/>
          </w:tcPr>
          <w:p w14:paraId="2AE7CDA1" w14:textId="77777777" w:rsidR="009D3A39" w:rsidRPr="00404DA5" w:rsidRDefault="009D3A39" w:rsidP="001C3974">
            <w:pPr>
              <w:jc w:val="center"/>
              <w:rPr>
                <w:rFonts w:cs="Calibri"/>
                <w:sz w:val="16"/>
                <w:szCs w:val="18"/>
              </w:rPr>
            </w:pPr>
            <w:r w:rsidRPr="00404DA5">
              <w:rPr>
                <w:rFonts w:cs="Calibri"/>
                <w:sz w:val="16"/>
                <w:szCs w:val="18"/>
              </w:rPr>
              <w:t>Prognozowany % realizacji wartości docelowej</w:t>
            </w:r>
          </w:p>
        </w:tc>
      </w:tr>
      <w:tr w:rsidR="009D3A39" w:rsidRPr="00FE43CD" w14:paraId="22CDE574" w14:textId="77777777" w:rsidTr="00C22C26">
        <w:tc>
          <w:tcPr>
            <w:tcW w:w="524" w:type="pct"/>
            <w:shd w:val="clear" w:color="auto" w:fill="auto"/>
            <w:vAlign w:val="center"/>
          </w:tcPr>
          <w:p w14:paraId="373A0F01" w14:textId="77777777" w:rsidR="009D3A39" w:rsidRPr="00404DA5" w:rsidRDefault="009D3A39" w:rsidP="00DE0A94">
            <w:pPr>
              <w:jc w:val="center"/>
              <w:rPr>
                <w:rFonts w:cs="Calibri"/>
                <w:sz w:val="18"/>
                <w:szCs w:val="18"/>
              </w:rPr>
            </w:pPr>
            <w:r w:rsidRPr="00404DA5">
              <w:rPr>
                <w:rFonts w:cs="Calibri"/>
                <w:sz w:val="18"/>
                <w:szCs w:val="18"/>
              </w:rPr>
              <w:t>WP</w:t>
            </w:r>
          </w:p>
        </w:tc>
        <w:tc>
          <w:tcPr>
            <w:tcW w:w="2169" w:type="pct"/>
            <w:shd w:val="clear" w:color="auto" w:fill="auto"/>
          </w:tcPr>
          <w:p w14:paraId="495E5CB9" w14:textId="77777777" w:rsidR="009D3A39" w:rsidRPr="00404DA5" w:rsidRDefault="009D3A39" w:rsidP="001C3974">
            <w:pPr>
              <w:rPr>
                <w:rFonts w:cs="Calibri"/>
                <w:sz w:val="18"/>
                <w:szCs w:val="18"/>
              </w:rPr>
            </w:pPr>
            <w:r w:rsidRPr="00404DA5">
              <w:rPr>
                <w:rFonts w:cs="Calibri"/>
                <w:sz w:val="18"/>
                <w:szCs w:val="18"/>
              </w:rPr>
              <w:t xml:space="preserve">Liczba osób zagrożonych ubóstwem lub wykluczeniem społecznym objętych usługami </w:t>
            </w:r>
            <w:r w:rsidRPr="00404DA5">
              <w:rPr>
                <w:rFonts w:cs="Calibri"/>
                <w:sz w:val="18"/>
                <w:szCs w:val="18"/>
              </w:rPr>
              <w:lastRenderedPageBreak/>
              <w:t>społecznymi świadczonymi</w:t>
            </w:r>
            <w:r w:rsidR="00E66B89">
              <w:rPr>
                <w:rFonts w:cs="Calibri"/>
                <w:sz w:val="18"/>
                <w:szCs w:val="18"/>
              </w:rPr>
              <w:t xml:space="preserve"> w </w:t>
            </w:r>
            <w:r w:rsidRPr="00404DA5">
              <w:rPr>
                <w:rFonts w:cs="Calibri"/>
                <w:sz w:val="18"/>
                <w:szCs w:val="18"/>
              </w:rPr>
              <w:t>interesie ogólnym</w:t>
            </w:r>
            <w:r w:rsidR="00E66B89">
              <w:rPr>
                <w:rFonts w:cs="Calibri"/>
                <w:sz w:val="18"/>
                <w:szCs w:val="18"/>
              </w:rPr>
              <w:t xml:space="preserve"> w </w:t>
            </w:r>
            <w:r w:rsidRPr="00404DA5">
              <w:rPr>
                <w:rFonts w:cs="Calibri"/>
                <w:sz w:val="18"/>
                <w:szCs w:val="18"/>
              </w:rPr>
              <w:t>programie [osoby]</w:t>
            </w:r>
          </w:p>
        </w:tc>
        <w:tc>
          <w:tcPr>
            <w:tcW w:w="643" w:type="pct"/>
            <w:shd w:val="clear" w:color="auto" w:fill="auto"/>
            <w:vAlign w:val="center"/>
          </w:tcPr>
          <w:p w14:paraId="44180A5C" w14:textId="77777777" w:rsidR="009D3A39" w:rsidRPr="00404DA5" w:rsidRDefault="009D3A39" w:rsidP="001C3974">
            <w:pPr>
              <w:jc w:val="center"/>
              <w:rPr>
                <w:rFonts w:cs="Calibri"/>
                <w:sz w:val="18"/>
                <w:szCs w:val="18"/>
              </w:rPr>
            </w:pPr>
            <w:r w:rsidRPr="00404DA5">
              <w:rPr>
                <w:rFonts w:cs="Calibri"/>
                <w:sz w:val="18"/>
                <w:szCs w:val="18"/>
              </w:rPr>
              <w:lastRenderedPageBreak/>
              <w:t>8 260</w:t>
            </w:r>
          </w:p>
        </w:tc>
        <w:tc>
          <w:tcPr>
            <w:tcW w:w="826" w:type="pct"/>
            <w:shd w:val="clear" w:color="auto" w:fill="auto"/>
            <w:vAlign w:val="center"/>
          </w:tcPr>
          <w:p w14:paraId="69524D80" w14:textId="77777777" w:rsidR="009D3A39" w:rsidRPr="00404DA5" w:rsidRDefault="009D3A39" w:rsidP="001C3974">
            <w:pPr>
              <w:jc w:val="center"/>
              <w:rPr>
                <w:rFonts w:cs="Calibri"/>
                <w:sz w:val="18"/>
                <w:szCs w:val="18"/>
              </w:rPr>
            </w:pPr>
            <w:r w:rsidRPr="00404DA5">
              <w:rPr>
                <w:rFonts w:cs="Calibri"/>
                <w:sz w:val="18"/>
                <w:szCs w:val="18"/>
              </w:rPr>
              <w:t xml:space="preserve">12 </w:t>
            </w:r>
            <w:r>
              <w:rPr>
                <w:rFonts w:cs="Calibri"/>
                <w:sz w:val="18"/>
                <w:szCs w:val="18"/>
              </w:rPr>
              <w:t>972</w:t>
            </w:r>
          </w:p>
        </w:tc>
        <w:tc>
          <w:tcPr>
            <w:tcW w:w="838" w:type="pct"/>
            <w:shd w:val="clear" w:color="auto" w:fill="auto"/>
            <w:vAlign w:val="center"/>
          </w:tcPr>
          <w:p w14:paraId="15741ECA" w14:textId="77777777" w:rsidR="009D3A39" w:rsidRPr="00404DA5" w:rsidRDefault="009D3A39" w:rsidP="001C3974">
            <w:pPr>
              <w:jc w:val="center"/>
              <w:rPr>
                <w:rFonts w:cs="Calibri"/>
                <w:sz w:val="18"/>
                <w:szCs w:val="18"/>
              </w:rPr>
            </w:pPr>
            <w:r w:rsidRPr="00404DA5">
              <w:rPr>
                <w:rFonts w:cs="Calibri"/>
                <w:sz w:val="18"/>
                <w:szCs w:val="18"/>
              </w:rPr>
              <w:t>1</w:t>
            </w:r>
            <w:r>
              <w:rPr>
                <w:rFonts w:cs="Calibri"/>
                <w:sz w:val="18"/>
                <w:szCs w:val="18"/>
              </w:rPr>
              <w:t>57</w:t>
            </w:r>
            <w:r w:rsidRPr="00404DA5">
              <w:rPr>
                <w:rFonts w:cs="Calibri"/>
                <w:sz w:val="18"/>
                <w:szCs w:val="18"/>
              </w:rPr>
              <w:t>%</w:t>
            </w:r>
          </w:p>
        </w:tc>
      </w:tr>
      <w:tr w:rsidR="009D3A39" w:rsidRPr="00FE43CD" w14:paraId="3E717931" w14:textId="77777777" w:rsidTr="00C22C26">
        <w:tc>
          <w:tcPr>
            <w:tcW w:w="524" w:type="pct"/>
            <w:shd w:val="clear" w:color="auto" w:fill="auto"/>
            <w:vAlign w:val="center"/>
          </w:tcPr>
          <w:p w14:paraId="4FE86436" w14:textId="77777777" w:rsidR="009D3A39" w:rsidRPr="00404DA5" w:rsidRDefault="009D3A39" w:rsidP="00DE0A94">
            <w:pPr>
              <w:jc w:val="center"/>
              <w:rPr>
                <w:rFonts w:cs="Calibri"/>
                <w:sz w:val="18"/>
                <w:szCs w:val="18"/>
              </w:rPr>
            </w:pPr>
            <w:r w:rsidRPr="00404DA5">
              <w:rPr>
                <w:rFonts w:cs="Calibri"/>
                <w:sz w:val="18"/>
                <w:szCs w:val="18"/>
              </w:rPr>
              <w:t>WP</w:t>
            </w:r>
          </w:p>
        </w:tc>
        <w:tc>
          <w:tcPr>
            <w:tcW w:w="2169" w:type="pct"/>
            <w:shd w:val="clear" w:color="auto" w:fill="auto"/>
          </w:tcPr>
          <w:p w14:paraId="215959FD" w14:textId="77777777" w:rsidR="009D3A39" w:rsidRPr="00404DA5" w:rsidRDefault="009D3A39" w:rsidP="001C3974">
            <w:pPr>
              <w:rPr>
                <w:rFonts w:cs="Calibri"/>
                <w:sz w:val="18"/>
                <w:szCs w:val="18"/>
              </w:rPr>
            </w:pPr>
            <w:r w:rsidRPr="00404DA5">
              <w:rPr>
                <w:rFonts w:cs="Calibri"/>
                <w:sz w:val="18"/>
                <w:szCs w:val="18"/>
              </w:rPr>
              <w:t>Liczba osób zagrożonych ubóstwem lub wykluczeniem społecznym objętych usługami zdrowotnymi</w:t>
            </w:r>
            <w:r w:rsidR="00E66B89">
              <w:rPr>
                <w:rFonts w:cs="Calibri"/>
                <w:sz w:val="18"/>
                <w:szCs w:val="18"/>
              </w:rPr>
              <w:t xml:space="preserve"> w </w:t>
            </w:r>
            <w:r w:rsidRPr="00404DA5">
              <w:rPr>
                <w:rFonts w:cs="Calibri"/>
                <w:sz w:val="18"/>
                <w:szCs w:val="18"/>
              </w:rPr>
              <w:t>programie [osoby]</w:t>
            </w:r>
          </w:p>
        </w:tc>
        <w:tc>
          <w:tcPr>
            <w:tcW w:w="643" w:type="pct"/>
            <w:shd w:val="clear" w:color="auto" w:fill="auto"/>
            <w:vAlign w:val="center"/>
          </w:tcPr>
          <w:p w14:paraId="7BDE07BD" w14:textId="77777777" w:rsidR="009D3A39" w:rsidRPr="00404DA5" w:rsidRDefault="009D3A39" w:rsidP="001C3974">
            <w:pPr>
              <w:jc w:val="center"/>
              <w:rPr>
                <w:rFonts w:cs="Calibri"/>
                <w:sz w:val="18"/>
                <w:szCs w:val="18"/>
              </w:rPr>
            </w:pPr>
            <w:r w:rsidRPr="00404DA5">
              <w:rPr>
                <w:rFonts w:cs="Calibri"/>
                <w:sz w:val="18"/>
                <w:szCs w:val="18"/>
              </w:rPr>
              <w:t>2627</w:t>
            </w:r>
          </w:p>
        </w:tc>
        <w:tc>
          <w:tcPr>
            <w:tcW w:w="826" w:type="pct"/>
            <w:shd w:val="clear" w:color="auto" w:fill="auto"/>
            <w:vAlign w:val="center"/>
          </w:tcPr>
          <w:p w14:paraId="0FDBCCC8" w14:textId="77777777" w:rsidR="009D3A39" w:rsidRPr="00404DA5" w:rsidRDefault="009D3A39" w:rsidP="001C3974">
            <w:pPr>
              <w:jc w:val="center"/>
              <w:rPr>
                <w:rFonts w:cs="Calibri"/>
                <w:sz w:val="18"/>
                <w:szCs w:val="18"/>
              </w:rPr>
            </w:pPr>
            <w:r w:rsidRPr="00404DA5">
              <w:rPr>
                <w:rFonts w:cs="Calibri"/>
                <w:sz w:val="18"/>
                <w:szCs w:val="18"/>
              </w:rPr>
              <w:t>3625</w:t>
            </w:r>
          </w:p>
        </w:tc>
        <w:tc>
          <w:tcPr>
            <w:tcW w:w="838" w:type="pct"/>
            <w:shd w:val="clear" w:color="auto" w:fill="auto"/>
            <w:vAlign w:val="center"/>
          </w:tcPr>
          <w:p w14:paraId="7E4BD684" w14:textId="77777777" w:rsidR="009D3A39" w:rsidRPr="00404DA5" w:rsidRDefault="009D3A39" w:rsidP="001C3974">
            <w:pPr>
              <w:jc w:val="center"/>
              <w:rPr>
                <w:rFonts w:cs="Calibri"/>
                <w:sz w:val="18"/>
                <w:szCs w:val="18"/>
              </w:rPr>
            </w:pPr>
            <w:r w:rsidRPr="00404DA5">
              <w:rPr>
                <w:rFonts w:cs="Calibri"/>
                <w:sz w:val="18"/>
                <w:szCs w:val="18"/>
              </w:rPr>
              <w:t>138%</w:t>
            </w:r>
          </w:p>
        </w:tc>
      </w:tr>
      <w:tr w:rsidR="009D3A39" w:rsidRPr="00FE43CD" w14:paraId="78784D51" w14:textId="77777777" w:rsidTr="00C22C26">
        <w:tc>
          <w:tcPr>
            <w:tcW w:w="524" w:type="pct"/>
            <w:shd w:val="clear" w:color="auto" w:fill="auto"/>
            <w:vAlign w:val="center"/>
          </w:tcPr>
          <w:p w14:paraId="224334BA" w14:textId="77777777" w:rsidR="009D3A39" w:rsidRPr="00404DA5" w:rsidRDefault="009D3A39" w:rsidP="00DE0A94">
            <w:pPr>
              <w:jc w:val="center"/>
              <w:rPr>
                <w:rFonts w:cs="Calibri"/>
                <w:sz w:val="18"/>
                <w:szCs w:val="18"/>
              </w:rPr>
            </w:pPr>
            <w:r w:rsidRPr="00404DA5">
              <w:rPr>
                <w:rFonts w:cs="Calibri"/>
                <w:sz w:val="18"/>
                <w:szCs w:val="18"/>
              </w:rPr>
              <w:t>WP</w:t>
            </w:r>
          </w:p>
        </w:tc>
        <w:tc>
          <w:tcPr>
            <w:tcW w:w="2169" w:type="pct"/>
            <w:shd w:val="clear" w:color="auto" w:fill="auto"/>
          </w:tcPr>
          <w:p w14:paraId="074A9AF1" w14:textId="77777777" w:rsidR="009D3A39" w:rsidRPr="00404DA5" w:rsidRDefault="009D3A39" w:rsidP="001C3974">
            <w:pPr>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programie [osoby]</w:t>
            </w:r>
          </w:p>
        </w:tc>
        <w:tc>
          <w:tcPr>
            <w:tcW w:w="643" w:type="pct"/>
            <w:shd w:val="clear" w:color="auto" w:fill="auto"/>
            <w:vAlign w:val="center"/>
          </w:tcPr>
          <w:p w14:paraId="5426BB15" w14:textId="77777777" w:rsidR="009D3A39" w:rsidRPr="00404DA5" w:rsidRDefault="009D3A39" w:rsidP="001C3974">
            <w:pPr>
              <w:jc w:val="center"/>
              <w:rPr>
                <w:rFonts w:cs="Calibri"/>
                <w:sz w:val="18"/>
                <w:szCs w:val="18"/>
              </w:rPr>
            </w:pPr>
            <w:r w:rsidRPr="00404DA5">
              <w:rPr>
                <w:rFonts w:cs="Calibri"/>
                <w:sz w:val="18"/>
                <w:szCs w:val="18"/>
              </w:rPr>
              <w:t>10 887</w:t>
            </w:r>
          </w:p>
        </w:tc>
        <w:tc>
          <w:tcPr>
            <w:tcW w:w="826" w:type="pct"/>
            <w:shd w:val="clear" w:color="auto" w:fill="auto"/>
            <w:vAlign w:val="center"/>
          </w:tcPr>
          <w:p w14:paraId="6CE402EC" w14:textId="77777777" w:rsidR="009D3A39" w:rsidRPr="00404DA5" w:rsidRDefault="009D3A39" w:rsidP="001C3974">
            <w:pPr>
              <w:jc w:val="center"/>
              <w:rPr>
                <w:rFonts w:cs="Calibri"/>
                <w:sz w:val="18"/>
                <w:szCs w:val="18"/>
              </w:rPr>
            </w:pPr>
            <w:r>
              <w:rPr>
                <w:rFonts w:cs="Calibri"/>
                <w:sz w:val="18"/>
                <w:szCs w:val="18"/>
              </w:rPr>
              <w:t>10 967</w:t>
            </w:r>
          </w:p>
        </w:tc>
        <w:tc>
          <w:tcPr>
            <w:tcW w:w="838" w:type="pct"/>
            <w:shd w:val="clear" w:color="auto" w:fill="auto"/>
            <w:vAlign w:val="center"/>
          </w:tcPr>
          <w:p w14:paraId="0250FFF7" w14:textId="77777777" w:rsidR="009D3A39" w:rsidRPr="00404DA5" w:rsidRDefault="009D3A39" w:rsidP="001C3974">
            <w:pPr>
              <w:jc w:val="center"/>
              <w:rPr>
                <w:rFonts w:cs="Calibri"/>
                <w:sz w:val="18"/>
                <w:szCs w:val="18"/>
              </w:rPr>
            </w:pPr>
            <w:r>
              <w:rPr>
                <w:rFonts w:cs="Calibri"/>
                <w:sz w:val="18"/>
                <w:szCs w:val="18"/>
              </w:rPr>
              <w:t>101</w:t>
            </w:r>
            <w:r w:rsidRPr="00404DA5">
              <w:rPr>
                <w:rFonts w:cs="Calibri"/>
                <w:sz w:val="18"/>
                <w:szCs w:val="18"/>
              </w:rPr>
              <w:t>%</w:t>
            </w:r>
          </w:p>
        </w:tc>
      </w:tr>
      <w:tr w:rsidR="009D3A39" w:rsidRPr="00FE43CD" w14:paraId="23ABFEE8" w14:textId="77777777" w:rsidTr="00C22C26">
        <w:tc>
          <w:tcPr>
            <w:tcW w:w="524" w:type="pct"/>
            <w:shd w:val="clear" w:color="auto" w:fill="auto"/>
            <w:vAlign w:val="center"/>
          </w:tcPr>
          <w:p w14:paraId="3A3B0B2C" w14:textId="77777777" w:rsidR="009D3A39" w:rsidRPr="00404DA5" w:rsidRDefault="009D3A39" w:rsidP="00DE0A94">
            <w:pPr>
              <w:jc w:val="center"/>
              <w:rPr>
                <w:rFonts w:cs="Calibri"/>
                <w:sz w:val="18"/>
                <w:szCs w:val="18"/>
              </w:rPr>
            </w:pPr>
            <w:r w:rsidRPr="00404DA5">
              <w:rPr>
                <w:rFonts w:cs="Calibri"/>
                <w:sz w:val="18"/>
                <w:szCs w:val="18"/>
              </w:rPr>
              <w:t>WR</w:t>
            </w:r>
          </w:p>
        </w:tc>
        <w:tc>
          <w:tcPr>
            <w:tcW w:w="2169" w:type="pct"/>
            <w:shd w:val="clear" w:color="auto" w:fill="auto"/>
          </w:tcPr>
          <w:p w14:paraId="06287360" w14:textId="77777777" w:rsidR="009D3A39" w:rsidRPr="00404DA5" w:rsidRDefault="009D3A39" w:rsidP="001C3974">
            <w:pPr>
              <w:rPr>
                <w:rFonts w:cs="Calibri"/>
                <w:sz w:val="18"/>
                <w:szCs w:val="18"/>
              </w:rPr>
            </w:pPr>
            <w:r w:rsidRPr="00404DA5">
              <w:rPr>
                <w:rFonts w:cs="Calibri"/>
                <w:sz w:val="18"/>
                <w:szCs w:val="18"/>
              </w:rPr>
              <w:t>Liczba wspartych</w:t>
            </w:r>
            <w:r w:rsidR="00E66B89">
              <w:rPr>
                <w:rFonts w:cs="Calibri"/>
                <w:sz w:val="18"/>
                <w:szCs w:val="18"/>
              </w:rPr>
              <w:t xml:space="preserve"> w </w:t>
            </w:r>
            <w:r w:rsidRPr="00404DA5">
              <w:rPr>
                <w:rFonts w:cs="Calibri"/>
                <w:sz w:val="18"/>
                <w:szCs w:val="18"/>
              </w:rPr>
              <w:t>programie miejsc świadczenia usług społecznych, istniejących po zakończeniu projektu [szt.]</w:t>
            </w:r>
          </w:p>
        </w:tc>
        <w:tc>
          <w:tcPr>
            <w:tcW w:w="643" w:type="pct"/>
            <w:shd w:val="clear" w:color="auto" w:fill="auto"/>
            <w:vAlign w:val="center"/>
          </w:tcPr>
          <w:p w14:paraId="58DEDBED" w14:textId="77777777" w:rsidR="009D3A39" w:rsidRPr="00404DA5" w:rsidRDefault="009D3A39" w:rsidP="001C3974">
            <w:pPr>
              <w:jc w:val="center"/>
              <w:rPr>
                <w:rFonts w:cs="Calibri"/>
                <w:sz w:val="18"/>
                <w:szCs w:val="18"/>
              </w:rPr>
            </w:pPr>
            <w:r w:rsidRPr="00404DA5">
              <w:rPr>
                <w:rFonts w:cs="Calibri"/>
                <w:sz w:val="18"/>
                <w:szCs w:val="18"/>
              </w:rPr>
              <w:t>3</w:t>
            </w:r>
            <w:r>
              <w:rPr>
                <w:rFonts w:cs="Calibri"/>
                <w:sz w:val="18"/>
                <w:szCs w:val="18"/>
              </w:rPr>
              <w:t> </w:t>
            </w:r>
            <w:r w:rsidRPr="00404DA5">
              <w:rPr>
                <w:rFonts w:cs="Calibri"/>
                <w:sz w:val="18"/>
                <w:szCs w:val="18"/>
              </w:rPr>
              <w:t>960</w:t>
            </w:r>
          </w:p>
        </w:tc>
        <w:tc>
          <w:tcPr>
            <w:tcW w:w="826" w:type="pct"/>
            <w:shd w:val="clear" w:color="auto" w:fill="auto"/>
            <w:vAlign w:val="center"/>
          </w:tcPr>
          <w:p w14:paraId="78A7F9D2" w14:textId="77777777" w:rsidR="009D3A39" w:rsidRDefault="009D3A39" w:rsidP="001C3974">
            <w:pPr>
              <w:jc w:val="center"/>
              <w:rPr>
                <w:rFonts w:cs="Calibri"/>
                <w:sz w:val="18"/>
                <w:szCs w:val="18"/>
              </w:rPr>
            </w:pPr>
          </w:p>
          <w:p w14:paraId="5F27EE9D" w14:textId="77777777" w:rsidR="009D3A39" w:rsidRPr="00404DA5" w:rsidRDefault="009D3A39" w:rsidP="001C3974">
            <w:pPr>
              <w:jc w:val="center"/>
              <w:rPr>
                <w:rFonts w:cs="Calibri"/>
                <w:sz w:val="18"/>
                <w:szCs w:val="18"/>
              </w:rPr>
            </w:pPr>
            <w:r>
              <w:rPr>
                <w:rFonts w:cs="Calibri"/>
                <w:sz w:val="18"/>
                <w:szCs w:val="18"/>
              </w:rPr>
              <w:t>8 428</w:t>
            </w:r>
          </w:p>
        </w:tc>
        <w:tc>
          <w:tcPr>
            <w:tcW w:w="838" w:type="pct"/>
            <w:shd w:val="clear" w:color="auto" w:fill="auto"/>
            <w:vAlign w:val="center"/>
          </w:tcPr>
          <w:p w14:paraId="19F9EAA8" w14:textId="77777777" w:rsidR="009D3A39" w:rsidRPr="00404DA5" w:rsidRDefault="009D3A39" w:rsidP="001C3974">
            <w:pPr>
              <w:jc w:val="center"/>
              <w:rPr>
                <w:rFonts w:cs="Calibri"/>
                <w:sz w:val="18"/>
                <w:szCs w:val="18"/>
              </w:rPr>
            </w:pPr>
            <w:r>
              <w:rPr>
                <w:rFonts w:cs="Calibri"/>
                <w:sz w:val="18"/>
                <w:szCs w:val="18"/>
              </w:rPr>
              <w:t>208</w:t>
            </w:r>
            <w:r w:rsidRPr="00404DA5">
              <w:rPr>
                <w:rFonts w:cs="Calibri"/>
                <w:sz w:val="18"/>
                <w:szCs w:val="18"/>
              </w:rPr>
              <w:t>%</w:t>
            </w:r>
          </w:p>
        </w:tc>
      </w:tr>
      <w:tr w:rsidR="009D3A39" w:rsidRPr="00FE43CD" w14:paraId="4CEE014C" w14:textId="77777777" w:rsidTr="00C22C26">
        <w:tc>
          <w:tcPr>
            <w:tcW w:w="524" w:type="pct"/>
            <w:shd w:val="clear" w:color="auto" w:fill="auto"/>
            <w:vAlign w:val="center"/>
          </w:tcPr>
          <w:p w14:paraId="185ED5E3" w14:textId="77777777" w:rsidR="009D3A39" w:rsidRPr="00404DA5" w:rsidRDefault="009D3A39" w:rsidP="00DE0A94">
            <w:pPr>
              <w:jc w:val="center"/>
              <w:rPr>
                <w:rFonts w:cs="Calibri"/>
                <w:sz w:val="18"/>
                <w:szCs w:val="18"/>
              </w:rPr>
            </w:pPr>
            <w:r>
              <w:rPr>
                <w:rFonts w:cs="Calibri"/>
                <w:sz w:val="18"/>
                <w:szCs w:val="18"/>
              </w:rPr>
              <w:t>WR</w:t>
            </w:r>
          </w:p>
        </w:tc>
        <w:tc>
          <w:tcPr>
            <w:tcW w:w="2169" w:type="pct"/>
            <w:shd w:val="clear" w:color="auto" w:fill="auto"/>
          </w:tcPr>
          <w:p w14:paraId="09402382" w14:textId="77777777" w:rsidR="009D3A39" w:rsidRPr="00404DA5" w:rsidRDefault="009D3A39" w:rsidP="001C3974">
            <w:pPr>
              <w:rPr>
                <w:rFonts w:cs="Calibri"/>
                <w:sz w:val="18"/>
                <w:szCs w:val="18"/>
              </w:rPr>
            </w:pPr>
            <w:r w:rsidRPr="009C295B">
              <w:rPr>
                <w:rFonts w:cs="Calibri"/>
                <w:sz w:val="18"/>
                <w:szCs w:val="18"/>
              </w:rPr>
              <w:t>Liczba wspartych</w:t>
            </w:r>
            <w:r w:rsidR="00E66B89">
              <w:rPr>
                <w:rFonts w:cs="Calibri"/>
                <w:sz w:val="18"/>
                <w:szCs w:val="18"/>
              </w:rPr>
              <w:t xml:space="preserve"> w </w:t>
            </w:r>
            <w:r w:rsidRPr="009C295B">
              <w:rPr>
                <w:rFonts w:cs="Calibri"/>
                <w:sz w:val="18"/>
                <w:szCs w:val="18"/>
              </w:rPr>
              <w:t>programie miejsc świadczenia usług zdrowotnych, istniejących po zakończeniu projektu</w:t>
            </w:r>
            <w:r>
              <w:rPr>
                <w:rStyle w:val="Odwoanieprzypisudolnego"/>
                <w:rFonts w:cs="Calibri"/>
                <w:sz w:val="18"/>
                <w:szCs w:val="18"/>
              </w:rPr>
              <w:footnoteReference w:id="107"/>
            </w:r>
          </w:p>
        </w:tc>
        <w:tc>
          <w:tcPr>
            <w:tcW w:w="643" w:type="pct"/>
            <w:shd w:val="clear" w:color="auto" w:fill="auto"/>
            <w:vAlign w:val="center"/>
          </w:tcPr>
          <w:p w14:paraId="7C9EF4FC" w14:textId="77777777" w:rsidR="009D3A39" w:rsidRPr="00404DA5" w:rsidRDefault="009D3A39" w:rsidP="001C3974">
            <w:pPr>
              <w:jc w:val="center"/>
              <w:rPr>
                <w:rFonts w:cs="Calibri"/>
                <w:sz w:val="18"/>
                <w:szCs w:val="18"/>
              </w:rPr>
            </w:pPr>
            <w:r>
              <w:rPr>
                <w:rFonts w:cs="Calibri"/>
                <w:sz w:val="18"/>
                <w:szCs w:val="18"/>
              </w:rPr>
              <w:t>-</w:t>
            </w:r>
          </w:p>
        </w:tc>
        <w:tc>
          <w:tcPr>
            <w:tcW w:w="826" w:type="pct"/>
            <w:shd w:val="clear" w:color="auto" w:fill="auto"/>
            <w:vAlign w:val="center"/>
          </w:tcPr>
          <w:p w14:paraId="792961AD" w14:textId="77777777" w:rsidR="009D3A39" w:rsidRPr="00404DA5" w:rsidRDefault="009D3A39" w:rsidP="001C3974">
            <w:pPr>
              <w:jc w:val="center"/>
              <w:rPr>
                <w:rFonts w:cs="Calibri"/>
                <w:sz w:val="18"/>
                <w:szCs w:val="18"/>
              </w:rPr>
            </w:pPr>
            <w:r>
              <w:rPr>
                <w:rFonts w:cs="Calibri"/>
                <w:sz w:val="18"/>
                <w:szCs w:val="18"/>
              </w:rPr>
              <w:t>-</w:t>
            </w:r>
          </w:p>
        </w:tc>
        <w:tc>
          <w:tcPr>
            <w:tcW w:w="838" w:type="pct"/>
            <w:shd w:val="clear" w:color="auto" w:fill="auto"/>
            <w:vAlign w:val="center"/>
          </w:tcPr>
          <w:p w14:paraId="43952D0C" w14:textId="77777777" w:rsidR="009D3A39" w:rsidRPr="00404DA5" w:rsidRDefault="009D3A39" w:rsidP="001C3974">
            <w:pPr>
              <w:jc w:val="center"/>
              <w:rPr>
                <w:rFonts w:cs="Calibri"/>
                <w:sz w:val="18"/>
                <w:szCs w:val="18"/>
              </w:rPr>
            </w:pPr>
            <w:r>
              <w:rPr>
                <w:rFonts w:cs="Calibri"/>
                <w:sz w:val="18"/>
                <w:szCs w:val="18"/>
              </w:rPr>
              <w:t>-</w:t>
            </w:r>
          </w:p>
        </w:tc>
      </w:tr>
      <w:tr w:rsidR="009D3A39" w:rsidRPr="00FE43CD" w14:paraId="3E2E688D" w14:textId="77777777" w:rsidTr="00C22C26">
        <w:tc>
          <w:tcPr>
            <w:tcW w:w="524" w:type="pct"/>
            <w:shd w:val="clear" w:color="auto" w:fill="auto"/>
            <w:vAlign w:val="center"/>
          </w:tcPr>
          <w:p w14:paraId="61B49594" w14:textId="77777777" w:rsidR="009D3A39" w:rsidRPr="00404DA5" w:rsidRDefault="009D3A39" w:rsidP="00DE0A94">
            <w:pPr>
              <w:jc w:val="center"/>
              <w:rPr>
                <w:rFonts w:cs="Calibri"/>
                <w:sz w:val="18"/>
                <w:szCs w:val="18"/>
              </w:rPr>
            </w:pPr>
            <w:r>
              <w:rPr>
                <w:rFonts w:cs="Calibri"/>
                <w:sz w:val="18"/>
                <w:szCs w:val="18"/>
              </w:rPr>
              <w:t>WR</w:t>
            </w:r>
          </w:p>
        </w:tc>
        <w:tc>
          <w:tcPr>
            <w:tcW w:w="2169" w:type="pct"/>
            <w:shd w:val="clear" w:color="auto" w:fill="auto"/>
          </w:tcPr>
          <w:p w14:paraId="67DB27DA" w14:textId="77777777" w:rsidR="009D3A39" w:rsidRPr="00404DA5" w:rsidRDefault="009D3A39" w:rsidP="001C3974">
            <w:pPr>
              <w:rPr>
                <w:rFonts w:cs="Calibri"/>
                <w:sz w:val="18"/>
                <w:szCs w:val="18"/>
              </w:rPr>
            </w:pPr>
            <w:r w:rsidRPr="009C295B">
              <w:rPr>
                <w:rFonts w:cs="Calibri"/>
                <w:sz w:val="18"/>
                <w:szCs w:val="18"/>
              </w:rPr>
              <w:t>Liczba osób zagrożonych ubóstwem lub wykluczeniem społecznym poszukujących pracy, uczestniczących</w:t>
            </w:r>
            <w:r w:rsidR="00E66B89">
              <w:rPr>
                <w:rFonts w:cs="Calibri"/>
                <w:sz w:val="18"/>
                <w:szCs w:val="18"/>
              </w:rPr>
              <w:t xml:space="preserve"> w </w:t>
            </w:r>
            <w:r w:rsidRPr="009C295B">
              <w:rPr>
                <w:rFonts w:cs="Calibri"/>
                <w:sz w:val="18"/>
                <w:szCs w:val="18"/>
              </w:rPr>
              <w:t>kształceniu lub szkoleniu, zdobywających kwalifikacje, pracujących (łącznie</w:t>
            </w:r>
            <w:r w:rsidR="00E66B89">
              <w:rPr>
                <w:rFonts w:cs="Calibri"/>
                <w:sz w:val="18"/>
                <w:szCs w:val="18"/>
              </w:rPr>
              <w:t xml:space="preserve"> z </w:t>
            </w:r>
            <w:r w:rsidRPr="009C295B">
              <w:rPr>
                <w:rFonts w:cs="Calibri"/>
                <w:sz w:val="18"/>
                <w:szCs w:val="18"/>
              </w:rPr>
              <w:t>prowadzącymi działalność na własny rachunek) po opuszczeniu programu</w:t>
            </w:r>
            <w:r>
              <w:rPr>
                <w:rStyle w:val="Odwoanieprzypisudolnego"/>
                <w:rFonts w:cs="Calibri"/>
                <w:sz w:val="18"/>
                <w:szCs w:val="18"/>
              </w:rPr>
              <w:footnoteReference w:id="108"/>
            </w:r>
          </w:p>
        </w:tc>
        <w:tc>
          <w:tcPr>
            <w:tcW w:w="643" w:type="pct"/>
            <w:shd w:val="clear" w:color="auto" w:fill="auto"/>
            <w:vAlign w:val="center"/>
          </w:tcPr>
          <w:p w14:paraId="5D94D546" w14:textId="77777777" w:rsidR="009D3A39" w:rsidRPr="00404DA5" w:rsidRDefault="009D3A39" w:rsidP="001C3974">
            <w:pPr>
              <w:jc w:val="center"/>
              <w:rPr>
                <w:rFonts w:cs="Calibri"/>
                <w:sz w:val="18"/>
                <w:szCs w:val="18"/>
              </w:rPr>
            </w:pPr>
            <w:r>
              <w:rPr>
                <w:rFonts w:cs="Calibri"/>
                <w:sz w:val="18"/>
                <w:szCs w:val="18"/>
              </w:rPr>
              <w:t>-</w:t>
            </w:r>
          </w:p>
        </w:tc>
        <w:tc>
          <w:tcPr>
            <w:tcW w:w="826" w:type="pct"/>
            <w:shd w:val="clear" w:color="auto" w:fill="auto"/>
            <w:vAlign w:val="center"/>
          </w:tcPr>
          <w:p w14:paraId="31C6BAAB" w14:textId="77777777" w:rsidR="009D3A39" w:rsidRPr="00404DA5" w:rsidRDefault="009D3A39" w:rsidP="001C3974">
            <w:pPr>
              <w:jc w:val="center"/>
              <w:rPr>
                <w:rFonts w:cs="Calibri"/>
                <w:sz w:val="18"/>
                <w:szCs w:val="18"/>
              </w:rPr>
            </w:pPr>
            <w:r>
              <w:rPr>
                <w:rFonts w:cs="Calibri"/>
                <w:sz w:val="18"/>
                <w:szCs w:val="18"/>
              </w:rPr>
              <w:t>-</w:t>
            </w:r>
          </w:p>
        </w:tc>
        <w:tc>
          <w:tcPr>
            <w:tcW w:w="838" w:type="pct"/>
            <w:shd w:val="clear" w:color="auto" w:fill="auto"/>
            <w:vAlign w:val="center"/>
          </w:tcPr>
          <w:p w14:paraId="2FF3FC9A" w14:textId="77777777" w:rsidR="009D3A39" w:rsidRPr="00404DA5" w:rsidRDefault="009D3A39" w:rsidP="001C3974">
            <w:pPr>
              <w:jc w:val="center"/>
              <w:rPr>
                <w:rFonts w:cs="Calibri"/>
                <w:sz w:val="18"/>
                <w:szCs w:val="18"/>
              </w:rPr>
            </w:pPr>
            <w:r>
              <w:rPr>
                <w:rFonts w:cs="Calibri"/>
                <w:sz w:val="18"/>
                <w:szCs w:val="18"/>
              </w:rPr>
              <w:t>-</w:t>
            </w:r>
          </w:p>
        </w:tc>
      </w:tr>
    </w:tbl>
    <w:p w14:paraId="156DC370"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2EEF6DD7"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Możliwości zarządzania środkami rezerwy wykonania</w:t>
      </w:r>
      <w:r w:rsidR="00E66B89">
        <w:rPr>
          <w:rFonts w:ascii="Lato" w:eastAsia="Calibri" w:hAnsi="Lato"/>
          <w:szCs w:val="20"/>
        </w:rPr>
        <w:t xml:space="preserve"> i </w:t>
      </w:r>
      <w:r w:rsidRPr="00801DB4">
        <w:rPr>
          <w:rFonts w:ascii="Lato" w:eastAsia="Calibri" w:hAnsi="Lato"/>
          <w:szCs w:val="20"/>
        </w:rPr>
        <w:t xml:space="preserve">identyfikacja obszarów wymagających interwencji </w:t>
      </w:r>
      <w:r>
        <w:rPr>
          <w:rFonts w:ascii="Lato" w:eastAsia="Calibri" w:hAnsi="Lato"/>
          <w:szCs w:val="20"/>
        </w:rPr>
        <w:t>–</w:t>
      </w:r>
      <w:r w:rsidRPr="00801DB4">
        <w:rPr>
          <w:rFonts w:ascii="Lato" w:eastAsia="Calibri" w:hAnsi="Lato"/>
          <w:szCs w:val="20"/>
        </w:rPr>
        <w:t xml:space="preserve"> podsumowanie</w:t>
      </w:r>
    </w:p>
    <w:p w14:paraId="325595E4" w14:textId="77777777" w:rsidR="009D3A39" w:rsidRPr="00AC104B" w:rsidRDefault="009D3A39" w:rsidP="009D3A39">
      <w:pPr>
        <w:rPr>
          <w:szCs w:val="20"/>
        </w:rPr>
      </w:pPr>
      <w:r w:rsidRPr="00AC104B">
        <w:rPr>
          <w:szCs w:val="20"/>
        </w:rPr>
        <w:t>W związku</w:t>
      </w:r>
      <w:r w:rsidR="00E66B89">
        <w:rPr>
          <w:szCs w:val="20"/>
        </w:rPr>
        <w:t xml:space="preserve"> z </w:t>
      </w:r>
      <w:r w:rsidRPr="00AC104B">
        <w:rPr>
          <w:szCs w:val="20"/>
        </w:rPr>
        <w:t>rosnącymi potrzebami</w:t>
      </w:r>
      <w:r w:rsidR="00E66B89">
        <w:rPr>
          <w:szCs w:val="20"/>
        </w:rPr>
        <w:t xml:space="preserve"> w </w:t>
      </w:r>
      <w:r w:rsidRPr="00AC104B">
        <w:rPr>
          <w:szCs w:val="20"/>
        </w:rPr>
        <w:t xml:space="preserve">obszarze usług społecznych, </w:t>
      </w:r>
      <w:r>
        <w:rPr>
          <w:szCs w:val="20"/>
        </w:rPr>
        <w:t>IZ rozważa możliwość realokacji części środków</w:t>
      </w:r>
      <w:r w:rsidR="00E66B89">
        <w:rPr>
          <w:szCs w:val="20"/>
        </w:rPr>
        <w:t xml:space="preserve"> z </w:t>
      </w:r>
      <w:r w:rsidRPr="00AC104B">
        <w:rPr>
          <w:szCs w:val="20"/>
        </w:rPr>
        <w:t>PI</w:t>
      </w:r>
      <w:r>
        <w:rPr>
          <w:szCs w:val="20"/>
        </w:rPr>
        <w:t xml:space="preserve"> </w:t>
      </w:r>
      <w:r w:rsidRPr="00AC104B">
        <w:rPr>
          <w:szCs w:val="20"/>
        </w:rPr>
        <w:t xml:space="preserve">9i. </w:t>
      </w:r>
      <w:r>
        <w:rPr>
          <w:szCs w:val="20"/>
        </w:rPr>
        <w:t xml:space="preserve">Jeśli wdrożony zostanie scenariusz realokacji, wskaźniki </w:t>
      </w:r>
      <w:r w:rsidRPr="00AC104B">
        <w:rPr>
          <w:szCs w:val="20"/>
        </w:rPr>
        <w:t>docelowe założone na rok 2023</w:t>
      </w:r>
      <w:r>
        <w:rPr>
          <w:szCs w:val="20"/>
        </w:rPr>
        <w:t xml:space="preserve"> znacznie przekroczyłyby zakładane wartości</w:t>
      </w:r>
      <w:r w:rsidRPr="00AC104B">
        <w:rPr>
          <w:szCs w:val="20"/>
        </w:rPr>
        <w:t>.</w:t>
      </w:r>
      <w:r w:rsidR="00E66B89">
        <w:rPr>
          <w:szCs w:val="20"/>
        </w:rPr>
        <w:t xml:space="preserve"> W </w:t>
      </w:r>
      <w:r w:rsidRPr="004627AE">
        <w:rPr>
          <w:szCs w:val="20"/>
        </w:rPr>
        <w:t>przypadku podjęcia przez IZ decyzji dotyczące</w:t>
      </w:r>
      <w:r>
        <w:rPr>
          <w:szCs w:val="20"/>
        </w:rPr>
        <w:t>j wdrożenia planu realokacji, p</w:t>
      </w:r>
      <w:r w:rsidRPr="004627AE">
        <w:rPr>
          <w:szCs w:val="20"/>
        </w:rPr>
        <w:t xml:space="preserve">roponuje się </w:t>
      </w:r>
      <w:r>
        <w:rPr>
          <w:szCs w:val="20"/>
        </w:rPr>
        <w:t xml:space="preserve">podwyższenie </w:t>
      </w:r>
      <w:r w:rsidRPr="004627AE">
        <w:rPr>
          <w:szCs w:val="20"/>
        </w:rPr>
        <w:t>wartości wskaźników do wartości prognozowanych na podstawie umów</w:t>
      </w:r>
      <w:r w:rsidR="00E66B89">
        <w:rPr>
          <w:szCs w:val="20"/>
        </w:rPr>
        <w:t xml:space="preserve"> o </w:t>
      </w:r>
      <w:r w:rsidRPr="004627AE">
        <w:rPr>
          <w:szCs w:val="20"/>
        </w:rPr>
        <w:t>dofinansowanie oraz kosztu jednostkowego obliczonego na podstawie dotychczasowych projektów mających podpisaną UoD.</w:t>
      </w:r>
    </w:p>
    <w:p w14:paraId="18641BEE" w14:textId="77777777" w:rsidR="009D3A39" w:rsidRPr="00FE43CD" w:rsidRDefault="009D3A39" w:rsidP="00FE73B6">
      <w:pPr>
        <w:pStyle w:val="Legenda"/>
        <w:spacing w:after="0"/>
      </w:pPr>
      <w:bookmarkStart w:id="284" w:name="_Toc8824234"/>
      <w:r w:rsidRPr="00FE43CD">
        <w:lastRenderedPageBreak/>
        <w:t xml:space="preserve">Tabela </w:t>
      </w:r>
      <w:r>
        <w:fldChar w:fldCharType="begin"/>
      </w:r>
      <w:r>
        <w:instrText xml:space="preserve"> SEQ Tabela \* ARABIC </w:instrText>
      </w:r>
      <w:r>
        <w:fldChar w:fldCharType="separate"/>
      </w:r>
      <w:r w:rsidR="00763345">
        <w:rPr>
          <w:noProof/>
        </w:rPr>
        <w:t>123</w:t>
      </w:r>
      <w:r>
        <w:fldChar w:fldCharType="end"/>
      </w:r>
      <w:r w:rsidRPr="00FE43CD">
        <w:t xml:space="preserve"> Wskaźniki wymagające zmiany wartości – PI </w:t>
      </w:r>
      <w:r>
        <w:t>9iv</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14"/>
        <w:gridCol w:w="1047"/>
        <w:gridCol w:w="1808"/>
        <w:gridCol w:w="1700"/>
      </w:tblGrid>
      <w:tr w:rsidR="009D3A39" w:rsidRPr="00FE43CD" w14:paraId="4185F1BC" w14:textId="77777777" w:rsidTr="00C22C26">
        <w:trPr>
          <w:tblHeader/>
        </w:trPr>
        <w:tc>
          <w:tcPr>
            <w:tcW w:w="0" w:type="auto"/>
            <w:shd w:val="clear" w:color="auto" w:fill="DBE5F1"/>
          </w:tcPr>
          <w:p w14:paraId="5390339B" w14:textId="77777777" w:rsidR="009D3A39" w:rsidRPr="00404DA5" w:rsidRDefault="009D3A39" w:rsidP="001C3974">
            <w:pPr>
              <w:jc w:val="center"/>
              <w:rPr>
                <w:rFonts w:cs="Calibri"/>
                <w:sz w:val="16"/>
                <w:szCs w:val="16"/>
              </w:rPr>
            </w:pPr>
            <w:r w:rsidRPr="00404DA5">
              <w:rPr>
                <w:rFonts w:cs="Calibri"/>
                <w:sz w:val="16"/>
                <w:szCs w:val="16"/>
              </w:rPr>
              <w:t>Typ wskaźnika</w:t>
            </w:r>
          </w:p>
        </w:tc>
        <w:tc>
          <w:tcPr>
            <w:tcW w:w="0" w:type="auto"/>
            <w:shd w:val="clear" w:color="auto" w:fill="DBE5F1"/>
          </w:tcPr>
          <w:p w14:paraId="5E189959" w14:textId="77777777" w:rsidR="009D3A39" w:rsidRPr="00404DA5" w:rsidRDefault="009D3A39" w:rsidP="001C3974">
            <w:pPr>
              <w:jc w:val="center"/>
              <w:rPr>
                <w:rFonts w:cs="Calibri"/>
                <w:sz w:val="16"/>
                <w:szCs w:val="16"/>
              </w:rPr>
            </w:pPr>
            <w:r w:rsidRPr="00404DA5">
              <w:rPr>
                <w:rFonts w:cs="Calibri"/>
                <w:sz w:val="16"/>
                <w:szCs w:val="16"/>
              </w:rPr>
              <w:t>Wskaźnik</w:t>
            </w:r>
          </w:p>
        </w:tc>
        <w:tc>
          <w:tcPr>
            <w:tcW w:w="0" w:type="auto"/>
            <w:shd w:val="clear" w:color="auto" w:fill="DBE5F1"/>
          </w:tcPr>
          <w:p w14:paraId="70BFD594" w14:textId="77777777" w:rsidR="009D3A39" w:rsidRPr="00404DA5" w:rsidRDefault="009D3A39" w:rsidP="001C3974">
            <w:pPr>
              <w:jc w:val="center"/>
              <w:rPr>
                <w:rFonts w:cs="Calibri"/>
                <w:sz w:val="16"/>
                <w:szCs w:val="16"/>
              </w:rPr>
            </w:pPr>
            <w:r w:rsidRPr="00404DA5">
              <w:rPr>
                <w:rFonts w:cs="Calibri"/>
                <w:sz w:val="16"/>
                <w:szCs w:val="16"/>
              </w:rPr>
              <w:t>Jednostka pomiaru</w:t>
            </w:r>
          </w:p>
        </w:tc>
        <w:tc>
          <w:tcPr>
            <w:tcW w:w="0" w:type="auto"/>
            <w:shd w:val="clear" w:color="auto" w:fill="DBE5F1"/>
          </w:tcPr>
          <w:p w14:paraId="0A717E56" w14:textId="77777777" w:rsidR="009D3A39" w:rsidRPr="00404DA5" w:rsidRDefault="009D3A39" w:rsidP="001C3974">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tcPr>
          <w:p w14:paraId="3F086E8D" w14:textId="77777777" w:rsidR="009D3A39" w:rsidRPr="00404DA5" w:rsidRDefault="009D3A39" w:rsidP="001C3974">
            <w:pPr>
              <w:jc w:val="center"/>
              <w:rPr>
                <w:rFonts w:cs="Calibri"/>
                <w:sz w:val="16"/>
                <w:szCs w:val="16"/>
              </w:rPr>
            </w:pPr>
            <w:r>
              <w:rPr>
                <w:rFonts w:cs="Calibri"/>
                <w:sz w:val="16"/>
                <w:szCs w:val="16"/>
              </w:rPr>
              <w:t>Proponowana w</w:t>
            </w:r>
            <w:r w:rsidRPr="00404DA5">
              <w:rPr>
                <w:rFonts w:cs="Calibri"/>
                <w:sz w:val="16"/>
                <w:szCs w:val="16"/>
              </w:rPr>
              <w:t>artość docelowa na koniec 2023 r.</w:t>
            </w:r>
          </w:p>
        </w:tc>
      </w:tr>
      <w:tr w:rsidR="009D3A39" w:rsidRPr="00FE43CD" w14:paraId="36CF5433" w14:textId="77777777" w:rsidTr="001C3974">
        <w:tc>
          <w:tcPr>
            <w:tcW w:w="0" w:type="auto"/>
            <w:shd w:val="clear" w:color="auto" w:fill="auto"/>
            <w:vAlign w:val="center"/>
          </w:tcPr>
          <w:p w14:paraId="4A97A352" w14:textId="77777777" w:rsidR="009D3A39" w:rsidRPr="00404DA5" w:rsidRDefault="009D3A39" w:rsidP="001C3974">
            <w:pPr>
              <w:jc w:val="center"/>
              <w:rPr>
                <w:rFonts w:eastAsia="Calibri" w:cs="Calibri"/>
                <w:sz w:val="16"/>
                <w:szCs w:val="16"/>
              </w:rPr>
            </w:pPr>
            <w:r w:rsidRPr="00404DA5">
              <w:rPr>
                <w:rFonts w:cs="Calibri"/>
                <w:sz w:val="18"/>
                <w:szCs w:val="18"/>
              </w:rPr>
              <w:t>WP</w:t>
            </w:r>
          </w:p>
        </w:tc>
        <w:tc>
          <w:tcPr>
            <w:tcW w:w="0" w:type="auto"/>
            <w:shd w:val="clear" w:color="auto" w:fill="auto"/>
          </w:tcPr>
          <w:p w14:paraId="36615B74" w14:textId="77777777" w:rsidR="009D3A39" w:rsidRPr="00404DA5" w:rsidRDefault="009D3A39" w:rsidP="001C3974">
            <w:pPr>
              <w:jc w:val="center"/>
              <w:rPr>
                <w:rFonts w:eastAsia="Calibri" w:cs="Calibri"/>
                <w:sz w:val="16"/>
                <w:szCs w:val="16"/>
              </w:rPr>
            </w:pPr>
            <w:r w:rsidRPr="00404DA5">
              <w:rPr>
                <w:rFonts w:cs="Calibri"/>
                <w:sz w:val="18"/>
                <w:szCs w:val="18"/>
              </w:rPr>
              <w:t>Liczba osób zagrożonych ubóstwem lub wykluczeniem społecznym objętych usługami społecznymi świadczonymi</w:t>
            </w:r>
            <w:r w:rsidR="00E66B89">
              <w:rPr>
                <w:rFonts w:cs="Calibri"/>
                <w:sz w:val="18"/>
                <w:szCs w:val="18"/>
              </w:rPr>
              <w:t xml:space="preserve"> w </w:t>
            </w:r>
            <w:r w:rsidRPr="00404DA5">
              <w:rPr>
                <w:rFonts w:cs="Calibri"/>
                <w:sz w:val="18"/>
                <w:szCs w:val="18"/>
              </w:rPr>
              <w:t>interesie ogólnym</w:t>
            </w:r>
            <w:r w:rsidR="00E66B89">
              <w:rPr>
                <w:rFonts w:cs="Calibri"/>
                <w:sz w:val="18"/>
                <w:szCs w:val="18"/>
              </w:rPr>
              <w:t xml:space="preserve"> w </w:t>
            </w:r>
            <w:r w:rsidRPr="00404DA5">
              <w:rPr>
                <w:rFonts w:cs="Calibri"/>
                <w:sz w:val="18"/>
                <w:szCs w:val="18"/>
              </w:rPr>
              <w:t>programie [osoby]</w:t>
            </w:r>
          </w:p>
        </w:tc>
        <w:tc>
          <w:tcPr>
            <w:tcW w:w="0" w:type="auto"/>
            <w:shd w:val="clear" w:color="auto" w:fill="auto"/>
            <w:vAlign w:val="center"/>
          </w:tcPr>
          <w:p w14:paraId="4FFE42BD" w14:textId="77777777" w:rsidR="009D3A39" w:rsidRPr="00404DA5" w:rsidRDefault="009D3A39" w:rsidP="001C3974">
            <w:pPr>
              <w:jc w:val="center"/>
              <w:rPr>
                <w:rFonts w:eastAsia="Calibri" w:cs="Calibri"/>
                <w:sz w:val="16"/>
                <w:szCs w:val="16"/>
              </w:rPr>
            </w:pPr>
            <w:r w:rsidRPr="00404DA5">
              <w:rPr>
                <w:rFonts w:eastAsia="Calibri" w:cs="Calibri"/>
                <w:sz w:val="16"/>
                <w:szCs w:val="16"/>
              </w:rPr>
              <w:t>osoba</w:t>
            </w:r>
          </w:p>
        </w:tc>
        <w:tc>
          <w:tcPr>
            <w:tcW w:w="0" w:type="auto"/>
            <w:shd w:val="clear" w:color="auto" w:fill="auto"/>
            <w:vAlign w:val="center"/>
          </w:tcPr>
          <w:p w14:paraId="68531F14" w14:textId="77777777" w:rsidR="009D3A39" w:rsidRPr="00404DA5" w:rsidRDefault="009D3A39" w:rsidP="001C3974">
            <w:pPr>
              <w:jc w:val="center"/>
              <w:rPr>
                <w:rFonts w:eastAsia="Calibri" w:cs="Calibri"/>
                <w:sz w:val="16"/>
                <w:szCs w:val="16"/>
              </w:rPr>
            </w:pPr>
            <w:r w:rsidRPr="00404DA5">
              <w:rPr>
                <w:rFonts w:cs="Calibri"/>
                <w:sz w:val="18"/>
                <w:szCs w:val="18"/>
              </w:rPr>
              <w:t>8 260</w:t>
            </w:r>
          </w:p>
        </w:tc>
        <w:tc>
          <w:tcPr>
            <w:tcW w:w="0" w:type="auto"/>
            <w:shd w:val="clear" w:color="auto" w:fill="auto"/>
            <w:vAlign w:val="center"/>
          </w:tcPr>
          <w:p w14:paraId="57DC3AF9" w14:textId="77777777" w:rsidR="009D3A39" w:rsidRPr="00404DA5" w:rsidRDefault="009D3A39" w:rsidP="001C3974">
            <w:pPr>
              <w:jc w:val="center"/>
              <w:rPr>
                <w:rFonts w:eastAsia="Calibri" w:cs="Calibri"/>
                <w:sz w:val="16"/>
                <w:szCs w:val="16"/>
              </w:rPr>
            </w:pPr>
            <w:r>
              <w:rPr>
                <w:rFonts w:cs="Calibri"/>
                <w:sz w:val="18"/>
                <w:szCs w:val="18"/>
              </w:rPr>
              <w:t>12972</w:t>
            </w:r>
          </w:p>
        </w:tc>
      </w:tr>
      <w:tr w:rsidR="009D3A39" w:rsidRPr="00FE43CD" w14:paraId="29651CF1" w14:textId="77777777" w:rsidTr="001C3974">
        <w:tc>
          <w:tcPr>
            <w:tcW w:w="0" w:type="auto"/>
            <w:shd w:val="clear" w:color="auto" w:fill="auto"/>
            <w:vAlign w:val="center"/>
          </w:tcPr>
          <w:p w14:paraId="4ADDF807" w14:textId="77777777" w:rsidR="009D3A39" w:rsidRPr="00404DA5" w:rsidRDefault="009D3A39" w:rsidP="001C3974">
            <w:pPr>
              <w:jc w:val="center"/>
              <w:rPr>
                <w:rFonts w:cs="Calibri"/>
                <w:sz w:val="18"/>
                <w:szCs w:val="18"/>
              </w:rPr>
            </w:pPr>
            <w:r w:rsidRPr="00404DA5">
              <w:rPr>
                <w:rFonts w:cs="Calibri"/>
                <w:sz w:val="18"/>
                <w:szCs w:val="18"/>
              </w:rPr>
              <w:t>WR</w:t>
            </w:r>
          </w:p>
        </w:tc>
        <w:tc>
          <w:tcPr>
            <w:tcW w:w="0" w:type="auto"/>
            <w:shd w:val="clear" w:color="auto" w:fill="auto"/>
          </w:tcPr>
          <w:p w14:paraId="4080F3AB" w14:textId="77777777" w:rsidR="009D3A39" w:rsidRPr="00404DA5" w:rsidRDefault="009D3A39" w:rsidP="001C3974">
            <w:pPr>
              <w:jc w:val="center"/>
              <w:rPr>
                <w:rFonts w:cs="Calibri"/>
                <w:color w:val="FF0000"/>
                <w:sz w:val="18"/>
                <w:szCs w:val="18"/>
              </w:rPr>
            </w:pPr>
            <w:r w:rsidRPr="00404DA5">
              <w:rPr>
                <w:rFonts w:cs="Calibri"/>
                <w:sz w:val="18"/>
                <w:szCs w:val="18"/>
              </w:rPr>
              <w:t>Liczba wspartych</w:t>
            </w:r>
            <w:r w:rsidR="00E66B89">
              <w:rPr>
                <w:rFonts w:cs="Calibri"/>
                <w:sz w:val="18"/>
                <w:szCs w:val="18"/>
              </w:rPr>
              <w:t xml:space="preserve"> w </w:t>
            </w:r>
            <w:r w:rsidRPr="00404DA5">
              <w:rPr>
                <w:rFonts w:cs="Calibri"/>
                <w:sz w:val="18"/>
                <w:szCs w:val="18"/>
              </w:rPr>
              <w:t>programie miejsc świadczenia usług społecznych, istniejących po zakończeniu projektu [szt.]</w:t>
            </w:r>
          </w:p>
        </w:tc>
        <w:tc>
          <w:tcPr>
            <w:tcW w:w="0" w:type="auto"/>
            <w:shd w:val="clear" w:color="auto" w:fill="auto"/>
            <w:vAlign w:val="center"/>
          </w:tcPr>
          <w:p w14:paraId="2E10B9C5" w14:textId="77777777" w:rsidR="009D3A39" w:rsidRPr="00404DA5" w:rsidRDefault="009D3A39" w:rsidP="001C3974">
            <w:pPr>
              <w:jc w:val="center"/>
              <w:rPr>
                <w:rFonts w:eastAsia="Calibri" w:cs="Calibri"/>
                <w:sz w:val="16"/>
                <w:szCs w:val="16"/>
              </w:rPr>
            </w:pPr>
            <w:r w:rsidRPr="00404DA5">
              <w:rPr>
                <w:rFonts w:eastAsia="Calibri" w:cs="Calibri"/>
                <w:sz w:val="16"/>
                <w:szCs w:val="16"/>
              </w:rPr>
              <w:t>sztuka</w:t>
            </w:r>
          </w:p>
        </w:tc>
        <w:tc>
          <w:tcPr>
            <w:tcW w:w="0" w:type="auto"/>
            <w:shd w:val="clear" w:color="auto" w:fill="auto"/>
            <w:vAlign w:val="center"/>
          </w:tcPr>
          <w:p w14:paraId="52B37B74" w14:textId="77777777" w:rsidR="009D3A39" w:rsidRPr="00404DA5" w:rsidRDefault="009D3A39" w:rsidP="001C3974">
            <w:pPr>
              <w:jc w:val="center"/>
              <w:rPr>
                <w:rFonts w:eastAsia="Calibri" w:cs="Calibri"/>
                <w:sz w:val="16"/>
                <w:szCs w:val="16"/>
              </w:rPr>
            </w:pPr>
            <w:r w:rsidRPr="00404DA5">
              <w:rPr>
                <w:rFonts w:cs="Calibri"/>
                <w:sz w:val="18"/>
                <w:szCs w:val="18"/>
              </w:rPr>
              <w:t>3 960</w:t>
            </w:r>
          </w:p>
        </w:tc>
        <w:tc>
          <w:tcPr>
            <w:tcW w:w="0" w:type="auto"/>
            <w:shd w:val="clear" w:color="auto" w:fill="auto"/>
            <w:vAlign w:val="center"/>
          </w:tcPr>
          <w:p w14:paraId="4A93F685" w14:textId="77777777" w:rsidR="009D3A39" w:rsidRPr="00404DA5" w:rsidRDefault="009D3A39" w:rsidP="001C3974">
            <w:pPr>
              <w:jc w:val="center"/>
              <w:rPr>
                <w:rFonts w:eastAsia="Calibri" w:cs="Calibri"/>
                <w:sz w:val="16"/>
                <w:szCs w:val="16"/>
              </w:rPr>
            </w:pPr>
            <w:r>
              <w:rPr>
                <w:rFonts w:cs="Calibri"/>
                <w:sz w:val="18"/>
                <w:szCs w:val="18"/>
              </w:rPr>
              <w:t xml:space="preserve">8428 </w:t>
            </w:r>
          </w:p>
        </w:tc>
      </w:tr>
    </w:tbl>
    <w:p w14:paraId="27140E1D" w14:textId="77777777" w:rsidR="009D3A39" w:rsidRPr="00EE66C6" w:rsidRDefault="009D3A39" w:rsidP="009D3A39">
      <w:pPr>
        <w:pStyle w:val="rdo"/>
        <w:rPr>
          <w:szCs w:val="16"/>
        </w:rPr>
      </w:pPr>
      <w:r w:rsidRPr="00EE66C6">
        <w:rPr>
          <w:szCs w:val="16"/>
        </w:rPr>
        <w:t>Źródło: RPO WZ 2014-2020</w:t>
      </w:r>
      <w:r w:rsidR="00E66B89" w:rsidRPr="00EE66C6">
        <w:rPr>
          <w:szCs w:val="16"/>
        </w:rPr>
        <w:t xml:space="preserve"> z </w:t>
      </w:r>
      <w:r w:rsidRPr="00EE66C6">
        <w:rPr>
          <w:szCs w:val="16"/>
        </w:rPr>
        <w:t>26.07.2018 r., analizy własne.</w:t>
      </w:r>
    </w:p>
    <w:p w14:paraId="476E29BA" w14:textId="77777777" w:rsidR="009D3A39" w:rsidRPr="00FE43CD" w:rsidRDefault="009D3A39" w:rsidP="009D3A39">
      <w:pPr>
        <w:pStyle w:val="Nagwek3"/>
      </w:pPr>
      <w:r w:rsidRPr="00FE43CD">
        <w:t xml:space="preserve">Priorytet inwestycyjny nr </w:t>
      </w:r>
      <w:r>
        <w:t>9v</w:t>
      </w:r>
      <w:r w:rsidRPr="00FE43CD">
        <w:t xml:space="preserve"> (Działani</w:t>
      </w:r>
      <w:r>
        <w:t>a</w:t>
      </w:r>
      <w:r w:rsidRPr="00FE43CD">
        <w:t xml:space="preserve"> </w:t>
      </w:r>
      <w:r>
        <w:t>7.3, 7.4, 7.5</w:t>
      </w:r>
      <w:r w:rsidRPr="00FE43CD">
        <w:t>)</w:t>
      </w:r>
    </w:p>
    <w:p w14:paraId="6843B170"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Ocena postępów</w:t>
      </w:r>
      <w:r w:rsidR="00E66B89">
        <w:rPr>
          <w:rFonts w:ascii="Lato" w:eastAsia="Calibri" w:hAnsi="Lato"/>
          <w:szCs w:val="20"/>
        </w:rPr>
        <w:t xml:space="preserve"> w </w:t>
      </w:r>
      <w:r w:rsidRPr="00801DB4">
        <w:rPr>
          <w:rFonts w:ascii="Lato" w:eastAsia="Calibri" w:hAnsi="Lato"/>
          <w:szCs w:val="20"/>
        </w:rPr>
        <w:t xml:space="preserve">realizacji PI </w:t>
      </w:r>
    </w:p>
    <w:p w14:paraId="07FB12F9" w14:textId="77777777" w:rsidR="009D3A39" w:rsidRPr="00BA0217" w:rsidRDefault="009D3A39" w:rsidP="00FE73B6">
      <w:pPr>
        <w:pStyle w:val="Legenda"/>
        <w:spacing w:after="0"/>
      </w:pPr>
      <w:bookmarkStart w:id="285" w:name="_Toc8824235"/>
      <w:r w:rsidRPr="00BA0217">
        <w:t xml:space="preserve">Tabela </w:t>
      </w:r>
      <w:r>
        <w:fldChar w:fldCharType="begin"/>
      </w:r>
      <w:r>
        <w:instrText xml:space="preserve"> SEQ Tabela \* ARABIC </w:instrText>
      </w:r>
      <w:r>
        <w:fldChar w:fldCharType="separate"/>
      </w:r>
      <w:r w:rsidR="00763345">
        <w:rPr>
          <w:noProof/>
        </w:rPr>
        <w:t>124</w:t>
      </w:r>
      <w:r>
        <w:fldChar w:fldCharType="end"/>
      </w:r>
      <w:r w:rsidRPr="00BA0217">
        <w:t xml:space="preserve"> Wskaźniki produktu</w:t>
      </w:r>
      <w:r w:rsidR="00E66B89">
        <w:t xml:space="preserve"> i </w:t>
      </w:r>
      <w:r w:rsidRPr="00BA0217">
        <w:t xml:space="preserve">rezultatu (PI </w:t>
      </w:r>
      <w:r>
        <w:t xml:space="preserve">9v) </w:t>
      </w:r>
      <w:r w:rsidRPr="00BA0217">
        <w:t>– postęp rzeczowy</w:t>
      </w:r>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73"/>
        <w:gridCol w:w="1766"/>
        <w:gridCol w:w="802"/>
        <w:gridCol w:w="901"/>
        <w:gridCol w:w="944"/>
        <w:gridCol w:w="944"/>
        <w:gridCol w:w="944"/>
        <w:gridCol w:w="944"/>
      </w:tblGrid>
      <w:tr w:rsidR="009D3A39" w:rsidRPr="0069584C" w14:paraId="7608E244" w14:textId="77777777" w:rsidTr="00C22C26">
        <w:trPr>
          <w:tblHeader/>
        </w:trPr>
        <w:tc>
          <w:tcPr>
            <w:tcW w:w="0" w:type="auto"/>
            <w:shd w:val="clear" w:color="auto" w:fill="DBE5F1"/>
          </w:tcPr>
          <w:p w14:paraId="4613828B" w14:textId="77777777" w:rsidR="009D3A39" w:rsidRPr="00404DA5" w:rsidRDefault="009D3A39" w:rsidP="001C3974">
            <w:pPr>
              <w:jc w:val="center"/>
              <w:rPr>
                <w:rFonts w:cs="Calibri"/>
                <w:sz w:val="18"/>
                <w:szCs w:val="18"/>
              </w:rPr>
            </w:pPr>
            <w:r w:rsidRPr="00404DA5">
              <w:rPr>
                <w:rFonts w:cs="Calibri"/>
                <w:sz w:val="18"/>
                <w:szCs w:val="18"/>
              </w:rPr>
              <w:t>Typ wskaźnika</w:t>
            </w:r>
          </w:p>
        </w:tc>
        <w:tc>
          <w:tcPr>
            <w:tcW w:w="0" w:type="auto"/>
            <w:shd w:val="clear" w:color="auto" w:fill="DBE5F1"/>
          </w:tcPr>
          <w:p w14:paraId="7583EF27" w14:textId="77777777" w:rsidR="009D3A39" w:rsidRPr="00404DA5" w:rsidRDefault="009D3A39" w:rsidP="001C3974">
            <w:pPr>
              <w:jc w:val="center"/>
              <w:rPr>
                <w:rFonts w:cs="Calibri"/>
                <w:sz w:val="18"/>
                <w:szCs w:val="18"/>
              </w:rPr>
            </w:pPr>
            <w:r w:rsidRPr="00404DA5">
              <w:rPr>
                <w:rFonts w:cs="Calibri"/>
                <w:sz w:val="18"/>
                <w:szCs w:val="18"/>
              </w:rPr>
              <w:t>Działania</w:t>
            </w:r>
          </w:p>
        </w:tc>
        <w:tc>
          <w:tcPr>
            <w:tcW w:w="0" w:type="auto"/>
            <w:shd w:val="clear" w:color="auto" w:fill="DBE5F1"/>
          </w:tcPr>
          <w:p w14:paraId="617A9125" w14:textId="77777777" w:rsidR="009D3A39" w:rsidRPr="00404DA5" w:rsidRDefault="009D3A39" w:rsidP="001C3974">
            <w:pPr>
              <w:jc w:val="center"/>
              <w:rPr>
                <w:rFonts w:cs="Calibri"/>
                <w:sz w:val="18"/>
                <w:szCs w:val="18"/>
              </w:rPr>
            </w:pPr>
            <w:r w:rsidRPr="00404DA5">
              <w:rPr>
                <w:rFonts w:cs="Calibri"/>
                <w:sz w:val="18"/>
                <w:szCs w:val="18"/>
              </w:rPr>
              <w:t>Wskaźnik</w:t>
            </w:r>
          </w:p>
        </w:tc>
        <w:tc>
          <w:tcPr>
            <w:tcW w:w="0" w:type="auto"/>
            <w:shd w:val="clear" w:color="auto" w:fill="DBE5F1"/>
          </w:tcPr>
          <w:p w14:paraId="361F1A86" w14:textId="77777777" w:rsidR="009D3A39" w:rsidRPr="00404DA5" w:rsidRDefault="009D3A39" w:rsidP="001C3974">
            <w:pPr>
              <w:jc w:val="center"/>
              <w:rPr>
                <w:rFonts w:cs="Calibri"/>
                <w:sz w:val="18"/>
                <w:szCs w:val="18"/>
              </w:rPr>
            </w:pPr>
            <w:r w:rsidRPr="00404DA5">
              <w:rPr>
                <w:rFonts w:cs="Calibri"/>
                <w:sz w:val="18"/>
                <w:szCs w:val="18"/>
              </w:rPr>
              <w:t>Jedn. pomiaru</w:t>
            </w:r>
          </w:p>
        </w:tc>
        <w:tc>
          <w:tcPr>
            <w:tcW w:w="0" w:type="auto"/>
            <w:shd w:val="clear" w:color="auto" w:fill="DBE5F1"/>
          </w:tcPr>
          <w:p w14:paraId="6249579A" w14:textId="77777777" w:rsidR="009D3A39" w:rsidRPr="00404DA5" w:rsidRDefault="009D3A39" w:rsidP="001C3974">
            <w:pPr>
              <w:jc w:val="center"/>
              <w:rPr>
                <w:rFonts w:cs="Calibri"/>
                <w:sz w:val="18"/>
                <w:szCs w:val="18"/>
              </w:rPr>
            </w:pPr>
            <w:r w:rsidRPr="00404DA5">
              <w:rPr>
                <w:rFonts w:cs="Calibri"/>
                <w:sz w:val="18"/>
                <w:szCs w:val="18"/>
              </w:rPr>
              <w:t>Wartość docelowa (2023)</w:t>
            </w:r>
          </w:p>
        </w:tc>
        <w:tc>
          <w:tcPr>
            <w:tcW w:w="0" w:type="auto"/>
            <w:shd w:val="clear" w:color="auto" w:fill="DBE5F1"/>
          </w:tcPr>
          <w:p w14:paraId="32B28F61" w14:textId="77777777" w:rsidR="009D3A39" w:rsidRPr="00404DA5" w:rsidRDefault="009D3A39" w:rsidP="001C3974">
            <w:pPr>
              <w:jc w:val="center"/>
              <w:rPr>
                <w:rFonts w:cs="Calibri"/>
                <w:sz w:val="18"/>
                <w:szCs w:val="18"/>
              </w:rPr>
            </w:pPr>
            <w:r w:rsidRPr="00404DA5">
              <w:rPr>
                <w:rFonts w:cs="Calibri"/>
                <w:sz w:val="18"/>
                <w:szCs w:val="18"/>
              </w:rPr>
              <w:t>Realizacja wskaźnika (wg UoD)</w:t>
            </w:r>
          </w:p>
        </w:tc>
        <w:tc>
          <w:tcPr>
            <w:tcW w:w="0" w:type="auto"/>
            <w:shd w:val="clear" w:color="auto" w:fill="DBE5F1"/>
          </w:tcPr>
          <w:p w14:paraId="07334D51" w14:textId="77777777" w:rsidR="009D3A39" w:rsidRPr="00404DA5" w:rsidRDefault="009D3A39" w:rsidP="001C3974">
            <w:pPr>
              <w:jc w:val="center"/>
              <w:rPr>
                <w:rFonts w:cs="Calibri"/>
                <w:sz w:val="18"/>
                <w:szCs w:val="18"/>
              </w:rPr>
            </w:pPr>
            <w:r w:rsidRPr="00404DA5">
              <w:rPr>
                <w:rFonts w:cs="Calibri"/>
                <w:sz w:val="18"/>
                <w:szCs w:val="18"/>
              </w:rPr>
              <w:t>% realizacji wartości docelowej (wg UoD)</w:t>
            </w:r>
          </w:p>
        </w:tc>
        <w:tc>
          <w:tcPr>
            <w:tcW w:w="0" w:type="auto"/>
            <w:shd w:val="clear" w:color="auto" w:fill="DBE5F1"/>
          </w:tcPr>
          <w:p w14:paraId="5629BE11" w14:textId="77777777" w:rsidR="009D3A39" w:rsidRPr="00404DA5" w:rsidRDefault="009D3A39" w:rsidP="001C3974">
            <w:pPr>
              <w:jc w:val="center"/>
              <w:rPr>
                <w:rFonts w:cs="Calibri"/>
                <w:sz w:val="18"/>
                <w:szCs w:val="18"/>
              </w:rPr>
            </w:pPr>
            <w:r w:rsidRPr="00404DA5">
              <w:rPr>
                <w:rFonts w:cs="Calibri"/>
                <w:sz w:val="18"/>
                <w:szCs w:val="18"/>
              </w:rPr>
              <w:t>Realizacja wskaźnika (wg WoP)</w:t>
            </w:r>
          </w:p>
        </w:tc>
        <w:tc>
          <w:tcPr>
            <w:tcW w:w="0" w:type="auto"/>
            <w:shd w:val="clear" w:color="auto" w:fill="DBE5F1"/>
          </w:tcPr>
          <w:p w14:paraId="1A6D815F" w14:textId="77777777" w:rsidR="009D3A39" w:rsidRPr="00404DA5" w:rsidRDefault="009D3A39" w:rsidP="001C3974">
            <w:pPr>
              <w:jc w:val="center"/>
              <w:rPr>
                <w:rFonts w:cs="Calibri"/>
                <w:sz w:val="18"/>
                <w:szCs w:val="18"/>
              </w:rPr>
            </w:pPr>
            <w:r w:rsidRPr="00404DA5">
              <w:rPr>
                <w:rFonts w:cs="Calibri"/>
                <w:sz w:val="18"/>
                <w:szCs w:val="18"/>
              </w:rPr>
              <w:t>% realizacji wartości docelowej (wg WoP)</w:t>
            </w:r>
          </w:p>
        </w:tc>
      </w:tr>
      <w:tr w:rsidR="009D3A39" w:rsidRPr="0069584C" w14:paraId="58CA8122" w14:textId="77777777" w:rsidTr="001C3974">
        <w:tc>
          <w:tcPr>
            <w:tcW w:w="0" w:type="auto"/>
            <w:shd w:val="clear" w:color="auto" w:fill="auto"/>
            <w:vAlign w:val="center"/>
          </w:tcPr>
          <w:p w14:paraId="4DDD32DA" w14:textId="77777777" w:rsidR="009D3A39" w:rsidRPr="00404DA5" w:rsidRDefault="009D3A39" w:rsidP="001C3974">
            <w:pPr>
              <w:jc w:val="center"/>
              <w:rPr>
                <w:rFonts w:cs="Calibri"/>
                <w:sz w:val="18"/>
                <w:szCs w:val="18"/>
              </w:rPr>
            </w:pPr>
            <w:r w:rsidRPr="00404DA5">
              <w:rPr>
                <w:rFonts w:cs="Calibri"/>
                <w:sz w:val="18"/>
                <w:szCs w:val="18"/>
              </w:rPr>
              <w:t>WR</w:t>
            </w:r>
          </w:p>
        </w:tc>
        <w:tc>
          <w:tcPr>
            <w:tcW w:w="0" w:type="auto"/>
            <w:shd w:val="clear" w:color="auto" w:fill="auto"/>
          </w:tcPr>
          <w:p w14:paraId="39F4C19E" w14:textId="77777777" w:rsidR="009D3A39" w:rsidRPr="00404DA5" w:rsidRDefault="009D3A39" w:rsidP="001C3974">
            <w:pPr>
              <w:jc w:val="center"/>
              <w:rPr>
                <w:rFonts w:cs="Calibri"/>
                <w:sz w:val="18"/>
                <w:szCs w:val="18"/>
              </w:rPr>
            </w:pPr>
            <w:r w:rsidRPr="00404DA5">
              <w:rPr>
                <w:rFonts w:cs="Calibri"/>
                <w:sz w:val="18"/>
                <w:szCs w:val="18"/>
              </w:rPr>
              <w:t>7.3, 7.4</w:t>
            </w:r>
          </w:p>
        </w:tc>
        <w:tc>
          <w:tcPr>
            <w:tcW w:w="0" w:type="auto"/>
            <w:shd w:val="clear" w:color="auto" w:fill="auto"/>
            <w:vAlign w:val="center"/>
          </w:tcPr>
          <w:p w14:paraId="7DB49DDD" w14:textId="77777777" w:rsidR="009D3A39" w:rsidRPr="00404DA5" w:rsidRDefault="009D3A39" w:rsidP="001C3974">
            <w:pPr>
              <w:jc w:val="center"/>
              <w:rPr>
                <w:rFonts w:cs="Calibri"/>
                <w:sz w:val="18"/>
                <w:szCs w:val="18"/>
              </w:rPr>
            </w:pPr>
            <w:r w:rsidRPr="00404DA5">
              <w:rPr>
                <w:rFonts w:cs="Calibri"/>
                <w:sz w:val="18"/>
                <w:szCs w:val="18"/>
              </w:rPr>
              <w:t>Liczba miejsc pracy utworzonych</w:t>
            </w:r>
            <w:r w:rsidR="00E66B89">
              <w:rPr>
                <w:rFonts w:cs="Calibri"/>
                <w:sz w:val="18"/>
                <w:szCs w:val="18"/>
              </w:rPr>
              <w:t xml:space="preserve"> w </w:t>
            </w:r>
            <w:r w:rsidRPr="00404DA5">
              <w:rPr>
                <w:rFonts w:cs="Calibri"/>
                <w:sz w:val="18"/>
                <w:szCs w:val="18"/>
              </w:rPr>
              <w:t>przedsiębiorstwach społecznych [szt.]</w:t>
            </w:r>
          </w:p>
        </w:tc>
        <w:tc>
          <w:tcPr>
            <w:tcW w:w="0" w:type="auto"/>
            <w:shd w:val="clear" w:color="auto" w:fill="auto"/>
            <w:vAlign w:val="center"/>
          </w:tcPr>
          <w:p w14:paraId="151934D4" w14:textId="77777777" w:rsidR="009D3A39" w:rsidRPr="00404DA5" w:rsidRDefault="009D3A39" w:rsidP="001C3974">
            <w:pPr>
              <w:jc w:val="center"/>
              <w:rPr>
                <w:rFonts w:cs="Calibri"/>
                <w:sz w:val="18"/>
                <w:szCs w:val="18"/>
              </w:rPr>
            </w:pPr>
            <w:r w:rsidRPr="00404DA5">
              <w:rPr>
                <w:rFonts w:cs="Calibri"/>
                <w:sz w:val="18"/>
                <w:szCs w:val="18"/>
              </w:rPr>
              <w:t>Szt.</w:t>
            </w:r>
          </w:p>
        </w:tc>
        <w:tc>
          <w:tcPr>
            <w:tcW w:w="0" w:type="auto"/>
            <w:shd w:val="clear" w:color="auto" w:fill="auto"/>
            <w:vAlign w:val="center"/>
          </w:tcPr>
          <w:p w14:paraId="030C6124" w14:textId="77777777" w:rsidR="009D3A39" w:rsidRPr="00404DA5" w:rsidRDefault="009D3A39" w:rsidP="001C3974">
            <w:pPr>
              <w:jc w:val="center"/>
              <w:rPr>
                <w:rFonts w:cs="Calibri"/>
                <w:sz w:val="18"/>
                <w:szCs w:val="18"/>
              </w:rPr>
            </w:pPr>
            <w:r w:rsidRPr="00404DA5">
              <w:rPr>
                <w:rFonts w:cs="Calibri"/>
                <w:sz w:val="18"/>
                <w:szCs w:val="18"/>
              </w:rPr>
              <w:t>300</w:t>
            </w:r>
          </w:p>
        </w:tc>
        <w:tc>
          <w:tcPr>
            <w:tcW w:w="0" w:type="auto"/>
            <w:shd w:val="clear" w:color="auto" w:fill="auto"/>
            <w:vAlign w:val="center"/>
          </w:tcPr>
          <w:p w14:paraId="0CF7576E" w14:textId="77777777" w:rsidR="009D3A39" w:rsidRPr="00404DA5" w:rsidRDefault="009D3A39" w:rsidP="001C3974">
            <w:pPr>
              <w:jc w:val="center"/>
              <w:rPr>
                <w:rFonts w:cs="Calibri"/>
                <w:sz w:val="18"/>
                <w:szCs w:val="18"/>
              </w:rPr>
            </w:pPr>
            <w:r w:rsidRPr="00404DA5">
              <w:rPr>
                <w:rFonts w:cs="Calibri"/>
                <w:sz w:val="18"/>
                <w:szCs w:val="18"/>
              </w:rPr>
              <w:t>334</w:t>
            </w:r>
          </w:p>
        </w:tc>
        <w:tc>
          <w:tcPr>
            <w:tcW w:w="0" w:type="auto"/>
            <w:shd w:val="clear" w:color="auto" w:fill="auto"/>
            <w:vAlign w:val="center"/>
          </w:tcPr>
          <w:p w14:paraId="07E1D708" w14:textId="77777777" w:rsidR="009D3A39" w:rsidRPr="00404DA5" w:rsidRDefault="009D3A39" w:rsidP="001C3974">
            <w:pPr>
              <w:jc w:val="center"/>
              <w:rPr>
                <w:rFonts w:cs="Calibri"/>
                <w:sz w:val="18"/>
                <w:szCs w:val="18"/>
              </w:rPr>
            </w:pPr>
            <w:r w:rsidRPr="00404DA5">
              <w:rPr>
                <w:rFonts w:cs="Calibri"/>
                <w:sz w:val="18"/>
                <w:szCs w:val="18"/>
              </w:rPr>
              <w:t>111%</w:t>
            </w:r>
          </w:p>
        </w:tc>
        <w:tc>
          <w:tcPr>
            <w:tcW w:w="0" w:type="auto"/>
            <w:shd w:val="clear" w:color="auto" w:fill="auto"/>
            <w:vAlign w:val="center"/>
          </w:tcPr>
          <w:p w14:paraId="7E02FD9F" w14:textId="77777777" w:rsidR="009D3A39" w:rsidRPr="00404DA5" w:rsidRDefault="009D3A39" w:rsidP="001C3974">
            <w:pPr>
              <w:jc w:val="center"/>
              <w:rPr>
                <w:rFonts w:cs="Calibri"/>
                <w:sz w:val="18"/>
                <w:szCs w:val="18"/>
              </w:rPr>
            </w:pPr>
            <w:r w:rsidRPr="00404DA5">
              <w:rPr>
                <w:rFonts w:cs="Calibri"/>
                <w:sz w:val="18"/>
                <w:szCs w:val="18"/>
              </w:rPr>
              <w:t>190</w:t>
            </w:r>
          </w:p>
        </w:tc>
        <w:tc>
          <w:tcPr>
            <w:tcW w:w="0" w:type="auto"/>
            <w:shd w:val="clear" w:color="auto" w:fill="auto"/>
            <w:vAlign w:val="center"/>
          </w:tcPr>
          <w:p w14:paraId="53C8C8C1" w14:textId="77777777" w:rsidR="009D3A39" w:rsidRPr="00404DA5" w:rsidRDefault="009D3A39" w:rsidP="001C3974">
            <w:pPr>
              <w:jc w:val="center"/>
              <w:rPr>
                <w:rFonts w:cs="Calibri"/>
                <w:sz w:val="18"/>
                <w:szCs w:val="18"/>
              </w:rPr>
            </w:pPr>
            <w:r w:rsidRPr="00404DA5">
              <w:rPr>
                <w:rFonts w:cs="Calibri"/>
                <w:sz w:val="18"/>
                <w:szCs w:val="18"/>
              </w:rPr>
              <w:t>63%</w:t>
            </w:r>
          </w:p>
        </w:tc>
      </w:tr>
      <w:tr w:rsidR="009D3A39" w:rsidRPr="0069584C" w14:paraId="0F98184E" w14:textId="77777777" w:rsidTr="001C3974">
        <w:tc>
          <w:tcPr>
            <w:tcW w:w="0" w:type="auto"/>
            <w:shd w:val="clear" w:color="auto" w:fill="auto"/>
            <w:vAlign w:val="center"/>
          </w:tcPr>
          <w:p w14:paraId="6BC8DA34" w14:textId="77777777" w:rsidR="009D3A39" w:rsidRPr="00404DA5" w:rsidRDefault="009D3A39" w:rsidP="001C3974">
            <w:pPr>
              <w:jc w:val="center"/>
              <w:rPr>
                <w:sz w:val="18"/>
                <w:szCs w:val="18"/>
              </w:rPr>
            </w:pPr>
            <w:r w:rsidRPr="00404DA5">
              <w:rPr>
                <w:sz w:val="18"/>
                <w:szCs w:val="18"/>
              </w:rPr>
              <w:t>WP</w:t>
            </w:r>
          </w:p>
        </w:tc>
        <w:tc>
          <w:tcPr>
            <w:tcW w:w="0" w:type="auto"/>
            <w:shd w:val="clear" w:color="auto" w:fill="auto"/>
          </w:tcPr>
          <w:p w14:paraId="1367E977" w14:textId="77777777" w:rsidR="009D3A39" w:rsidRPr="00404DA5" w:rsidRDefault="009D3A39" w:rsidP="001C3974">
            <w:pPr>
              <w:jc w:val="center"/>
              <w:rPr>
                <w:rFonts w:cs="Calibri"/>
                <w:sz w:val="18"/>
                <w:szCs w:val="18"/>
              </w:rPr>
            </w:pPr>
            <w:r w:rsidRPr="00404DA5">
              <w:rPr>
                <w:rFonts w:cs="Calibri"/>
                <w:sz w:val="18"/>
                <w:szCs w:val="18"/>
              </w:rPr>
              <w:t>7.3, 7.4</w:t>
            </w:r>
          </w:p>
        </w:tc>
        <w:tc>
          <w:tcPr>
            <w:tcW w:w="0" w:type="auto"/>
            <w:shd w:val="clear" w:color="auto" w:fill="auto"/>
            <w:vAlign w:val="center"/>
          </w:tcPr>
          <w:p w14:paraId="1474355A" w14:textId="77777777" w:rsidR="009D3A39" w:rsidRPr="00404DA5" w:rsidRDefault="009D3A39" w:rsidP="001C3974">
            <w:pPr>
              <w:jc w:val="center"/>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programie [osoby]</w:t>
            </w:r>
          </w:p>
        </w:tc>
        <w:tc>
          <w:tcPr>
            <w:tcW w:w="0" w:type="auto"/>
            <w:shd w:val="clear" w:color="auto" w:fill="auto"/>
            <w:vAlign w:val="center"/>
          </w:tcPr>
          <w:p w14:paraId="492F7D3C" w14:textId="77777777" w:rsidR="009D3A39" w:rsidRPr="00404DA5" w:rsidRDefault="009D3A39" w:rsidP="001C3974">
            <w:pPr>
              <w:jc w:val="center"/>
              <w:rPr>
                <w:rFonts w:cs="Calibri"/>
                <w:sz w:val="18"/>
                <w:szCs w:val="18"/>
              </w:rPr>
            </w:pPr>
            <w:r w:rsidRPr="00404DA5">
              <w:rPr>
                <w:rFonts w:cs="Calibri"/>
                <w:sz w:val="18"/>
                <w:szCs w:val="18"/>
              </w:rPr>
              <w:t>Os.</w:t>
            </w:r>
          </w:p>
        </w:tc>
        <w:tc>
          <w:tcPr>
            <w:tcW w:w="0" w:type="auto"/>
            <w:shd w:val="clear" w:color="auto" w:fill="auto"/>
            <w:vAlign w:val="center"/>
          </w:tcPr>
          <w:p w14:paraId="3DE441D6" w14:textId="77777777" w:rsidR="009D3A39" w:rsidRPr="00404DA5" w:rsidRDefault="009D3A39" w:rsidP="001C3974">
            <w:pPr>
              <w:jc w:val="center"/>
              <w:rPr>
                <w:rFonts w:cs="Calibri"/>
                <w:sz w:val="18"/>
                <w:szCs w:val="18"/>
              </w:rPr>
            </w:pPr>
            <w:r w:rsidRPr="00404DA5">
              <w:rPr>
                <w:rFonts w:cs="Calibri"/>
                <w:sz w:val="18"/>
                <w:szCs w:val="18"/>
              </w:rPr>
              <w:t>4289</w:t>
            </w:r>
          </w:p>
        </w:tc>
        <w:tc>
          <w:tcPr>
            <w:tcW w:w="0" w:type="auto"/>
            <w:shd w:val="clear" w:color="auto" w:fill="auto"/>
            <w:vAlign w:val="center"/>
          </w:tcPr>
          <w:p w14:paraId="78BE7CD0" w14:textId="77777777" w:rsidR="009D3A39" w:rsidRPr="00404DA5" w:rsidRDefault="009D3A39" w:rsidP="001C3974">
            <w:pPr>
              <w:jc w:val="center"/>
              <w:rPr>
                <w:rFonts w:cs="Calibri"/>
                <w:sz w:val="18"/>
                <w:szCs w:val="18"/>
              </w:rPr>
            </w:pPr>
            <w:r w:rsidRPr="00404DA5">
              <w:rPr>
                <w:rFonts w:cs="Calibri"/>
                <w:sz w:val="18"/>
                <w:szCs w:val="18"/>
              </w:rPr>
              <w:t>2334</w:t>
            </w:r>
          </w:p>
        </w:tc>
        <w:tc>
          <w:tcPr>
            <w:tcW w:w="0" w:type="auto"/>
            <w:shd w:val="clear" w:color="auto" w:fill="auto"/>
            <w:vAlign w:val="center"/>
          </w:tcPr>
          <w:p w14:paraId="3EC7421B" w14:textId="77777777" w:rsidR="009D3A39" w:rsidRPr="00404DA5" w:rsidRDefault="009D3A39" w:rsidP="001C3974">
            <w:pPr>
              <w:jc w:val="center"/>
              <w:rPr>
                <w:rFonts w:cs="Calibri"/>
                <w:sz w:val="18"/>
                <w:szCs w:val="18"/>
              </w:rPr>
            </w:pPr>
            <w:r w:rsidRPr="00404DA5">
              <w:rPr>
                <w:rFonts w:cs="Calibri"/>
                <w:sz w:val="18"/>
                <w:szCs w:val="18"/>
              </w:rPr>
              <w:t>54%</w:t>
            </w:r>
          </w:p>
        </w:tc>
        <w:tc>
          <w:tcPr>
            <w:tcW w:w="0" w:type="auto"/>
            <w:shd w:val="clear" w:color="auto" w:fill="auto"/>
            <w:vAlign w:val="center"/>
          </w:tcPr>
          <w:p w14:paraId="7D3FDA19" w14:textId="77777777" w:rsidR="009D3A39" w:rsidRPr="00404DA5" w:rsidRDefault="009D3A39" w:rsidP="001C3974">
            <w:pPr>
              <w:jc w:val="center"/>
              <w:rPr>
                <w:rFonts w:cs="Calibri"/>
                <w:sz w:val="18"/>
                <w:szCs w:val="18"/>
              </w:rPr>
            </w:pPr>
            <w:r w:rsidRPr="00404DA5">
              <w:rPr>
                <w:rFonts w:cs="Calibri"/>
                <w:sz w:val="18"/>
                <w:szCs w:val="18"/>
              </w:rPr>
              <w:t>2008</w:t>
            </w:r>
          </w:p>
        </w:tc>
        <w:tc>
          <w:tcPr>
            <w:tcW w:w="0" w:type="auto"/>
            <w:shd w:val="clear" w:color="auto" w:fill="auto"/>
            <w:vAlign w:val="center"/>
          </w:tcPr>
          <w:p w14:paraId="159EFE8D" w14:textId="77777777" w:rsidR="009D3A39" w:rsidRPr="00404DA5" w:rsidRDefault="009D3A39" w:rsidP="001C3974">
            <w:pPr>
              <w:jc w:val="center"/>
              <w:rPr>
                <w:rFonts w:cs="Calibri"/>
                <w:sz w:val="18"/>
                <w:szCs w:val="18"/>
              </w:rPr>
            </w:pPr>
            <w:r w:rsidRPr="00404DA5">
              <w:rPr>
                <w:rFonts w:cs="Calibri"/>
                <w:sz w:val="18"/>
                <w:szCs w:val="18"/>
              </w:rPr>
              <w:t>47%</w:t>
            </w:r>
          </w:p>
        </w:tc>
      </w:tr>
      <w:tr w:rsidR="009D3A39" w:rsidRPr="0069584C" w14:paraId="0FDED826" w14:textId="77777777" w:rsidTr="001C3974">
        <w:tc>
          <w:tcPr>
            <w:tcW w:w="0" w:type="auto"/>
            <w:shd w:val="clear" w:color="auto" w:fill="auto"/>
            <w:vAlign w:val="center"/>
          </w:tcPr>
          <w:p w14:paraId="58E91AD6" w14:textId="77777777" w:rsidR="009D3A39" w:rsidRPr="00404DA5" w:rsidRDefault="009D3A39" w:rsidP="001C3974">
            <w:pPr>
              <w:jc w:val="center"/>
              <w:rPr>
                <w:sz w:val="18"/>
                <w:szCs w:val="18"/>
              </w:rPr>
            </w:pPr>
            <w:r w:rsidRPr="00404DA5">
              <w:rPr>
                <w:sz w:val="18"/>
                <w:szCs w:val="18"/>
              </w:rPr>
              <w:t>WR</w:t>
            </w:r>
          </w:p>
        </w:tc>
        <w:tc>
          <w:tcPr>
            <w:tcW w:w="0" w:type="auto"/>
            <w:shd w:val="clear" w:color="auto" w:fill="auto"/>
          </w:tcPr>
          <w:p w14:paraId="01B76DEB" w14:textId="77777777" w:rsidR="009D3A39" w:rsidRPr="00404DA5" w:rsidRDefault="009D3A39" w:rsidP="001C3974">
            <w:pPr>
              <w:jc w:val="center"/>
              <w:rPr>
                <w:rFonts w:cs="Calibri"/>
                <w:bCs/>
                <w:sz w:val="18"/>
                <w:szCs w:val="18"/>
              </w:rPr>
            </w:pPr>
            <w:r w:rsidRPr="00404DA5">
              <w:rPr>
                <w:rFonts w:cs="Calibri"/>
                <w:sz w:val="18"/>
                <w:szCs w:val="18"/>
              </w:rPr>
              <w:t>7.3, 7.4</w:t>
            </w:r>
          </w:p>
        </w:tc>
        <w:tc>
          <w:tcPr>
            <w:tcW w:w="0" w:type="auto"/>
            <w:shd w:val="clear" w:color="auto" w:fill="auto"/>
            <w:vAlign w:val="center"/>
          </w:tcPr>
          <w:p w14:paraId="7500929B" w14:textId="77777777" w:rsidR="009D3A39" w:rsidRPr="00404DA5" w:rsidRDefault="009D3A39" w:rsidP="001C3974">
            <w:pPr>
              <w:jc w:val="center"/>
              <w:rPr>
                <w:rFonts w:cs="Calibri"/>
                <w:bCs/>
                <w:sz w:val="18"/>
                <w:szCs w:val="18"/>
              </w:rPr>
            </w:pPr>
            <w:r w:rsidRPr="00404DA5">
              <w:rPr>
                <w:rFonts w:cs="Calibri"/>
                <w:bCs/>
                <w:sz w:val="18"/>
                <w:szCs w:val="18"/>
              </w:rPr>
              <w:t>Liczba osób zagrożonych ubóstwem lub wykluczeniem społecznym pracujących po opuszczeniu programu (łącznie</w:t>
            </w:r>
            <w:r w:rsidR="00E66B89">
              <w:rPr>
                <w:rFonts w:cs="Calibri"/>
                <w:bCs/>
                <w:sz w:val="18"/>
                <w:szCs w:val="18"/>
              </w:rPr>
              <w:t xml:space="preserve"> </w:t>
            </w:r>
            <w:r w:rsidR="00E66B89">
              <w:rPr>
                <w:rFonts w:cs="Calibri"/>
                <w:bCs/>
                <w:sz w:val="18"/>
                <w:szCs w:val="18"/>
              </w:rPr>
              <w:lastRenderedPageBreak/>
              <w:t>z </w:t>
            </w:r>
            <w:r w:rsidRPr="00404DA5">
              <w:rPr>
                <w:rFonts w:cs="Calibri"/>
                <w:bCs/>
                <w:sz w:val="18"/>
                <w:szCs w:val="18"/>
              </w:rPr>
              <w:t>pracującymi na własny rachunek) [osoby]</w:t>
            </w:r>
          </w:p>
        </w:tc>
        <w:tc>
          <w:tcPr>
            <w:tcW w:w="0" w:type="auto"/>
            <w:shd w:val="clear" w:color="auto" w:fill="auto"/>
            <w:vAlign w:val="center"/>
          </w:tcPr>
          <w:p w14:paraId="32053408" w14:textId="77777777" w:rsidR="009D3A39" w:rsidRPr="00404DA5" w:rsidRDefault="009D3A39" w:rsidP="001C3974">
            <w:pPr>
              <w:jc w:val="center"/>
              <w:rPr>
                <w:rFonts w:cs="Calibri"/>
                <w:bCs/>
                <w:sz w:val="18"/>
                <w:szCs w:val="18"/>
              </w:rPr>
            </w:pPr>
            <w:r>
              <w:rPr>
                <w:rFonts w:cs="Calibri"/>
                <w:bCs/>
                <w:sz w:val="18"/>
                <w:szCs w:val="18"/>
              </w:rPr>
              <w:lastRenderedPageBreak/>
              <w:t>%</w:t>
            </w:r>
          </w:p>
        </w:tc>
        <w:tc>
          <w:tcPr>
            <w:tcW w:w="0" w:type="auto"/>
            <w:shd w:val="clear" w:color="auto" w:fill="auto"/>
            <w:vAlign w:val="center"/>
          </w:tcPr>
          <w:p w14:paraId="0CA9DAB8" w14:textId="77777777" w:rsidR="009D3A39" w:rsidRPr="00404DA5" w:rsidRDefault="009D3A39" w:rsidP="001C3974">
            <w:pPr>
              <w:jc w:val="center"/>
              <w:rPr>
                <w:rFonts w:cs="Calibri"/>
                <w:sz w:val="18"/>
                <w:szCs w:val="18"/>
              </w:rPr>
            </w:pPr>
            <w:r w:rsidRPr="00404DA5">
              <w:rPr>
                <w:rFonts w:cs="Calibri"/>
                <w:sz w:val="18"/>
                <w:szCs w:val="18"/>
              </w:rPr>
              <w:t>18%</w:t>
            </w:r>
          </w:p>
        </w:tc>
        <w:tc>
          <w:tcPr>
            <w:tcW w:w="0" w:type="auto"/>
            <w:shd w:val="clear" w:color="auto" w:fill="auto"/>
            <w:vAlign w:val="center"/>
          </w:tcPr>
          <w:p w14:paraId="6B388714" w14:textId="77777777" w:rsidR="009D3A39" w:rsidRDefault="009D3A39" w:rsidP="001C3974">
            <w:pPr>
              <w:jc w:val="center"/>
              <w:rPr>
                <w:rFonts w:cs="Calibri"/>
                <w:sz w:val="18"/>
                <w:szCs w:val="18"/>
              </w:rPr>
            </w:pPr>
            <w:r>
              <w:rPr>
                <w:rFonts w:cs="Calibri"/>
                <w:sz w:val="18"/>
                <w:szCs w:val="18"/>
              </w:rPr>
              <w:t>19,7%</w:t>
            </w:r>
          </w:p>
          <w:p w14:paraId="72A2F9FB"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459</w:t>
            </w:r>
            <w:r>
              <w:rPr>
                <w:rFonts w:cs="Calibri"/>
                <w:sz w:val="18"/>
                <w:szCs w:val="18"/>
              </w:rPr>
              <w:t>)</w:t>
            </w:r>
          </w:p>
        </w:tc>
        <w:tc>
          <w:tcPr>
            <w:tcW w:w="0" w:type="auto"/>
            <w:shd w:val="clear" w:color="auto" w:fill="auto"/>
            <w:vAlign w:val="center"/>
          </w:tcPr>
          <w:p w14:paraId="715D0BCA" w14:textId="77777777" w:rsidR="009D3A39" w:rsidRPr="00404DA5" w:rsidRDefault="009D3A39" w:rsidP="001C3974">
            <w:pPr>
              <w:jc w:val="center"/>
              <w:rPr>
                <w:rFonts w:cs="Calibri"/>
                <w:sz w:val="18"/>
                <w:szCs w:val="18"/>
              </w:rPr>
            </w:pPr>
            <w:r w:rsidRPr="00404DA5">
              <w:rPr>
                <w:rFonts w:cs="Calibri"/>
                <w:sz w:val="18"/>
                <w:szCs w:val="18"/>
              </w:rPr>
              <w:t>109%</w:t>
            </w:r>
          </w:p>
        </w:tc>
        <w:tc>
          <w:tcPr>
            <w:tcW w:w="0" w:type="auto"/>
            <w:shd w:val="clear" w:color="auto" w:fill="auto"/>
            <w:vAlign w:val="center"/>
          </w:tcPr>
          <w:p w14:paraId="199A3D18" w14:textId="77777777" w:rsidR="009D3A39" w:rsidRDefault="009D3A39" w:rsidP="001C3974">
            <w:pPr>
              <w:jc w:val="center"/>
              <w:rPr>
                <w:rFonts w:cs="Calibri"/>
                <w:sz w:val="18"/>
                <w:szCs w:val="18"/>
              </w:rPr>
            </w:pPr>
            <w:r>
              <w:rPr>
                <w:rFonts w:cs="Calibri"/>
                <w:sz w:val="18"/>
                <w:szCs w:val="18"/>
              </w:rPr>
              <w:t>8,2%</w:t>
            </w:r>
          </w:p>
          <w:p w14:paraId="4D268D2C"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164</w:t>
            </w:r>
            <w:r>
              <w:rPr>
                <w:rFonts w:cs="Calibri"/>
                <w:sz w:val="18"/>
                <w:szCs w:val="18"/>
              </w:rPr>
              <w:t>)</w:t>
            </w:r>
          </w:p>
        </w:tc>
        <w:tc>
          <w:tcPr>
            <w:tcW w:w="0" w:type="auto"/>
            <w:shd w:val="clear" w:color="auto" w:fill="auto"/>
            <w:vAlign w:val="center"/>
          </w:tcPr>
          <w:p w14:paraId="5B02A773" w14:textId="77777777" w:rsidR="009D3A39" w:rsidRPr="00404DA5" w:rsidRDefault="009D3A39" w:rsidP="001C3974">
            <w:pPr>
              <w:jc w:val="center"/>
              <w:rPr>
                <w:rFonts w:cs="Calibri"/>
                <w:sz w:val="18"/>
                <w:szCs w:val="18"/>
              </w:rPr>
            </w:pPr>
            <w:r w:rsidRPr="00404DA5">
              <w:rPr>
                <w:rFonts w:cs="Calibri"/>
                <w:sz w:val="18"/>
                <w:szCs w:val="18"/>
              </w:rPr>
              <w:t>45%</w:t>
            </w:r>
          </w:p>
        </w:tc>
      </w:tr>
      <w:tr w:rsidR="009D3A39" w:rsidRPr="0069584C" w14:paraId="7FB11E7D" w14:textId="77777777" w:rsidTr="001C3974">
        <w:tc>
          <w:tcPr>
            <w:tcW w:w="0" w:type="auto"/>
            <w:shd w:val="clear" w:color="auto" w:fill="auto"/>
            <w:vAlign w:val="center"/>
          </w:tcPr>
          <w:p w14:paraId="7316D676" w14:textId="77777777" w:rsidR="009D3A39" w:rsidRPr="00404DA5" w:rsidRDefault="009D3A39" w:rsidP="001C3974">
            <w:pPr>
              <w:jc w:val="center"/>
              <w:rPr>
                <w:sz w:val="18"/>
                <w:szCs w:val="18"/>
              </w:rPr>
            </w:pPr>
            <w:r w:rsidRPr="00404DA5">
              <w:rPr>
                <w:sz w:val="18"/>
                <w:szCs w:val="18"/>
              </w:rPr>
              <w:t>WP</w:t>
            </w:r>
          </w:p>
        </w:tc>
        <w:tc>
          <w:tcPr>
            <w:tcW w:w="0" w:type="auto"/>
            <w:shd w:val="clear" w:color="auto" w:fill="auto"/>
          </w:tcPr>
          <w:p w14:paraId="4E2E5099" w14:textId="77777777" w:rsidR="009D3A39" w:rsidRPr="00404DA5" w:rsidRDefault="009D3A39" w:rsidP="001C3974">
            <w:pPr>
              <w:jc w:val="center"/>
              <w:rPr>
                <w:rFonts w:cs="Calibri"/>
                <w:sz w:val="18"/>
                <w:szCs w:val="18"/>
              </w:rPr>
            </w:pPr>
            <w:r w:rsidRPr="00404DA5">
              <w:rPr>
                <w:rFonts w:cs="Calibri"/>
                <w:sz w:val="18"/>
                <w:szCs w:val="18"/>
              </w:rPr>
              <w:t>7.3, 7.4, 7.5</w:t>
            </w:r>
          </w:p>
        </w:tc>
        <w:tc>
          <w:tcPr>
            <w:tcW w:w="0" w:type="auto"/>
            <w:shd w:val="clear" w:color="auto" w:fill="auto"/>
            <w:vAlign w:val="center"/>
          </w:tcPr>
          <w:p w14:paraId="61D6CE6E" w14:textId="77777777" w:rsidR="009D3A39" w:rsidRPr="00404DA5" w:rsidRDefault="009D3A39" w:rsidP="001C3974">
            <w:pPr>
              <w:jc w:val="center"/>
              <w:rPr>
                <w:rFonts w:cs="Calibri"/>
                <w:sz w:val="18"/>
                <w:szCs w:val="18"/>
              </w:rPr>
            </w:pPr>
            <w:r w:rsidRPr="00404DA5">
              <w:rPr>
                <w:rFonts w:cs="Calibri"/>
                <w:sz w:val="18"/>
                <w:szCs w:val="18"/>
              </w:rPr>
              <w:t>Liczba podmiotów ekonomii społecznej objętych wsparciem [szt.]</w:t>
            </w:r>
          </w:p>
        </w:tc>
        <w:tc>
          <w:tcPr>
            <w:tcW w:w="0" w:type="auto"/>
            <w:shd w:val="clear" w:color="auto" w:fill="auto"/>
            <w:vAlign w:val="center"/>
          </w:tcPr>
          <w:p w14:paraId="08BA2B6E" w14:textId="77777777" w:rsidR="009D3A39" w:rsidRPr="00404DA5" w:rsidRDefault="009D3A39" w:rsidP="001C3974">
            <w:pPr>
              <w:jc w:val="center"/>
              <w:rPr>
                <w:rFonts w:cs="Calibri"/>
                <w:sz w:val="18"/>
                <w:szCs w:val="18"/>
              </w:rPr>
            </w:pPr>
            <w:r w:rsidRPr="00404DA5">
              <w:rPr>
                <w:rFonts w:cs="Calibri"/>
                <w:sz w:val="18"/>
                <w:szCs w:val="18"/>
              </w:rPr>
              <w:t>Szt.</w:t>
            </w:r>
          </w:p>
        </w:tc>
        <w:tc>
          <w:tcPr>
            <w:tcW w:w="0" w:type="auto"/>
            <w:shd w:val="clear" w:color="auto" w:fill="auto"/>
            <w:vAlign w:val="center"/>
          </w:tcPr>
          <w:p w14:paraId="6920C9CA" w14:textId="77777777" w:rsidR="009D3A39" w:rsidRPr="00404DA5" w:rsidRDefault="009D3A39" w:rsidP="001C3974">
            <w:pPr>
              <w:jc w:val="center"/>
              <w:rPr>
                <w:rFonts w:cs="Calibri"/>
                <w:sz w:val="18"/>
                <w:szCs w:val="18"/>
              </w:rPr>
            </w:pPr>
            <w:r w:rsidRPr="00404DA5">
              <w:rPr>
                <w:rFonts w:cs="Calibri"/>
                <w:sz w:val="18"/>
                <w:szCs w:val="18"/>
              </w:rPr>
              <w:t>600</w:t>
            </w:r>
          </w:p>
        </w:tc>
        <w:tc>
          <w:tcPr>
            <w:tcW w:w="0" w:type="auto"/>
            <w:shd w:val="clear" w:color="auto" w:fill="auto"/>
            <w:vAlign w:val="center"/>
          </w:tcPr>
          <w:p w14:paraId="29EA3861" w14:textId="77777777" w:rsidR="009D3A39" w:rsidRPr="00404DA5" w:rsidRDefault="009D3A39" w:rsidP="001C3974">
            <w:pPr>
              <w:jc w:val="center"/>
              <w:rPr>
                <w:rFonts w:cs="Calibri"/>
                <w:sz w:val="18"/>
                <w:szCs w:val="18"/>
              </w:rPr>
            </w:pPr>
            <w:r w:rsidRPr="00404DA5">
              <w:rPr>
                <w:rFonts w:cs="Calibri"/>
                <w:sz w:val="18"/>
                <w:szCs w:val="18"/>
              </w:rPr>
              <w:t>923</w:t>
            </w:r>
          </w:p>
        </w:tc>
        <w:tc>
          <w:tcPr>
            <w:tcW w:w="0" w:type="auto"/>
            <w:shd w:val="clear" w:color="auto" w:fill="auto"/>
            <w:vAlign w:val="center"/>
          </w:tcPr>
          <w:p w14:paraId="1981AD98" w14:textId="77777777" w:rsidR="009D3A39" w:rsidRPr="00404DA5" w:rsidRDefault="009D3A39" w:rsidP="001C3974">
            <w:pPr>
              <w:jc w:val="center"/>
              <w:rPr>
                <w:rFonts w:cs="Calibri"/>
                <w:sz w:val="18"/>
                <w:szCs w:val="18"/>
              </w:rPr>
            </w:pPr>
            <w:r w:rsidRPr="00404DA5">
              <w:rPr>
                <w:rFonts w:cs="Calibri"/>
                <w:sz w:val="18"/>
                <w:szCs w:val="18"/>
              </w:rPr>
              <w:t>154%</w:t>
            </w:r>
          </w:p>
        </w:tc>
        <w:tc>
          <w:tcPr>
            <w:tcW w:w="0" w:type="auto"/>
            <w:shd w:val="clear" w:color="auto" w:fill="auto"/>
            <w:vAlign w:val="center"/>
          </w:tcPr>
          <w:p w14:paraId="1EED5738" w14:textId="77777777" w:rsidR="009D3A39" w:rsidRPr="00404DA5" w:rsidRDefault="009D3A39" w:rsidP="001C3974">
            <w:pPr>
              <w:jc w:val="center"/>
              <w:rPr>
                <w:rFonts w:cs="Calibri"/>
                <w:sz w:val="18"/>
                <w:szCs w:val="18"/>
              </w:rPr>
            </w:pPr>
            <w:r w:rsidRPr="00404DA5">
              <w:rPr>
                <w:rFonts w:cs="Calibri"/>
                <w:sz w:val="18"/>
                <w:szCs w:val="18"/>
              </w:rPr>
              <w:t>535</w:t>
            </w:r>
          </w:p>
        </w:tc>
        <w:tc>
          <w:tcPr>
            <w:tcW w:w="0" w:type="auto"/>
            <w:shd w:val="clear" w:color="auto" w:fill="auto"/>
            <w:vAlign w:val="center"/>
          </w:tcPr>
          <w:p w14:paraId="1237BF43" w14:textId="77777777" w:rsidR="009D3A39" w:rsidRPr="00404DA5" w:rsidRDefault="009D3A39" w:rsidP="001C3974">
            <w:pPr>
              <w:jc w:val="center"/>
              <w:rPr>
                <w:rFonts w:cs="Calibri"/>
                <w:sz w:val="18"/>
                <w:szCs w:val="18"/>
              </w:rPr>
            </w:pPr>
            <w:r w:rsidRPr="00404DA5">
              <w:rPr>
                <w:rFonts w:cs="Calibri"/>
                <w:sz w:val="18"/>
                <w:szCs w:val="18"/>
              </w:rPr>
              <w:t>89%</w:t>
            </w:r>
          </w:p>
        </w:tc>
      </w:tr>
    </w:tbl>
    <w:p w14:paraId="48EBA79B"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obliczenia własne na podstawie danych SL2014 na dzień 07.01.2019 r.</w:t>
      </w:r>
    </w:p>
    <w:p w14:paraId="1389CB70" w14:textId="77777777" w:rsidR="009D3A39" w:rsidRDefault="009D3A39" w:rsidP="009D3A39">
      <w:pPr>
        <w:rPr>
          <w:szCs w:val="20"/>
        </w:rPr>
      </w:pPr>
      <w:r>
        <w:rPr>
          <w:szCs w:val="20"/>
        </w:rPr>
        <w:t xml:space="preserve">Obecnie realizowane projekty wystarczą do osiągnięcia zakładanych wskaźników rezultatu oraz wskaźnika produktu </w:t>
      </w:r>
      <w:r w:rsidRPr="00306488">
        <w:rPr>
          <w:i/>
          <w:szCs w:val="20"/>
        </w:rPr>
        <w:t>Liczba miejsc pracy utworzonych</w:t>
      </w:r>
      <w:r w:rsidR="00E66B89">
        <w:rPr>
          <w:i/>
          <w:szCs w:val="20"/>
        </w:rPr>
        <w:t xml:space="preserve"> w </w:t>
      </w:r>
      <w:r w:rsidRPr="00306488">
        <w:rPr>
          <w:i/>
          <w:szCs w:val="20"/>
        </w:rPr>
        <w:t>przedsiębiorstwach społecznych</w:t>
      </w:r>
      <w:r w:rsidR="00E66B89">
        <w:rPr>
          <w:i/>
          <w:szCs w:val="20"/>
        </w:rPr>
        <w:t xml:space="preserve"> i </w:t>
      </w:r>
      <w:r w:rsidRPr="00A17207">
        <w:rPr>
          <w:i/>
          <w:szCs w:val="20"/>
        </w:rPr>
        <w:t>Liczba podmiotów ekonomii społecznej objętych wsparciem</w:t>
      </w:r>
      <w:r>
        <w:rPr>
          <w:szCs w:val="20"/>
        </w:rPr>
        <w:t>, jeśli interwencja zostanie zrealizowana zgodnie</w:t>
      </w:r>
      <w:r w:rsidR="00E66B89">
        <w:rPr>
          <w:szCs w:val="20"/>
        </w:rPr>
        <w:t xml:space="preserve"> z </w:t>
      </w:r>
      <w:r>
        <w:rPr>
          <w:szCs w:val="20"/>
        </w:rPr>
        <w:t>planem. Nie zidentyfikowano</w:t>
      </w:r>
      <w:r w:rsidR="00E66B89">
        <w:rPr>
          <w:szCs w:val="20"/>
        </w:rPr>
        <w:t xml:space="preserve"> w </w:t>
      </w:r>
      <w:r>
        <w:rPr>
          <w:szCs w:val="20"/>
        </w:rPr>
        <w:t>obszarze PI 9v zagrożenia, które mogłoby negatywnie wpłynąć na realizację projektów.</w:t>
      </w:r>
    </w:p>
    <w:p w14:paraId="284E5145" w14:textId="77777777" w:rsidR="009D3A39" w:rsidRDefault="009D3A39" w:rsidP="009D3A39">
      <w:pPr>
        <w:rPr>
          <w:szCs w:val="20"/>
        </w:rPr>
      </w:pPr>
      <w:r w:rsidRPr="00B35EBE">
        <w:rPr>
          <w:szCs w:val="20"/>
        </w:rPr>
        <w:t xml:space="preserve">Dla wskaźnika </w:t>
      </w:r>
      <w:r w:rsidRPr="00A16274">
        <w:rPr>
          <w:i/>
          <w:szCs w:val="20"/>
        </w:rPr>
        <w:t>Liczba osób zagrożonych ubóstwem lub wykluczeniem społecznym objętych wsparciem</w:t>
      </w:r>
      <w:r w:rsidR="00E66B89">
        <w:rPr>
          <w:i/>
          <w:szCs w:val="20"/>
        </w:rPr>
        <w:t xml:space="preserve"> w </w:t>
      </w:r>
      <w:r w:rsidRPr="00A16274">
        <w:rPr>
          <w:i/>
          <w:szCs w:val="20"/>
        </w:rPr>
        <w:t>programie</w:t>
      </w:r>
      <w:r w:rsidRPr="00A16274">
        <w:rPr>
          <w:szCs w:val="20"/>
        </w:rPr>
        <w:t xml:space="preserve"> </w:t>
      </w:r>
      <w:r>
        <w:rPr>
          <w:szCs w:val="20"/>
        </w:rPr>
        <w:t xml:space="preserve">na etapie realizacji </w:t>
      </w:r>
      <w:r w:rsidRPr="00B35EBE">
        <w:rPr>
          <w:szCs w:val="20"/>
        </w:rPr>
        <w:t>założono koszt jednostkowy 13 264 zł</w:t>
      </w:r>
      <w:r>
        <w:rPr>
          <w:szCs w:val="20"/>
        </w:rPr>
        <w:t>. Jak wynika</w:t>
      </w:r>
      <w:r w:rsidR="00E66B89">
        <w:rPr>
          <w:szCs w:val="20"/>
        </w:rPr>
        <w:t xml:space="preserve"> z </w:t>
      </w:r>
      <w:r>
        <w:rPr>
          <w:szCs w:val="20"/>
        </w:rPr>
        <w:t>obliczeń, gdzie wzięto pod uwagę ponoszone dotąd wydatki</w:t>
      </w:r>
      <w:r w:rsidR="00E66B89">
        <w:rPr>
          <w:szCs w:val="20"/>
        </w:rPr>
        <w:t xml:space="preserve"> w </w:t>
      </w:r>
      <w:r>
        <w:rPr>
          <w:szCs w:val="20"/>
        </w:rPr>
        <w:t xml:space="preserve">tym obszarze, realny koszt jednostkowy to </w:t>
      </w:r>
      <w:r w:rsidRPr="00A52213">
        <w:rPr>
          <w:szCs w:val="20"/>
        </w:rPr>
        <w:t xml:space="preserve">21 694,49 </w:t>
      </w:r>
      <w:r>
        <w:rPr>
          <w:szCs w:val="20"/>
        </w:rPr>
        <w:t>zł. Może to być przyczyną dużej rozbieżności pomiędzy założeniami</w:t>
      </w:r>
      <w:r w:rsidR="00E66B89">
        <w:rPr>
          <w:szCs w:val="20"/>
        </w:rPr>
        <w:t xml:space="preserve"> w </w:t>
      </w:r>
      <w:r>
        <w:rPr>
          <w:szCs w:val="20"/>
        </w:rPr>
        <w:t>UoD,</w:t>
      </w:r>
      <w:r w:rsidR="00E66B89">
        <w:rPr>
          <w:szCs w:val="20"/>
        </w:rPr>
        <w:t xml:space="preserve"> a </w:t>
      </w:r>
      <w:r>
        <w:rPr>
          <w:szCs w:val="20"/>
        </w:rPr>
        <w:t>wartością docelową.</w:t>
      </w:r>
      <w:r w:rsidR="00E66B89">
        <w:rPr>
          <w:szCs w:val="20"/>
        </w:rPr>
        <w:t xml:space="preserve"> W </w:t>
      </w:r>
      <w:r>
        <w:rPr>
          <w:szCs w:val="20"/>
        </w:rPr>
        <w:t>realizację tego wskaźnika zaangażowane są co prawda projekty</w:t>
      </w:r>
      <w:r w:rsidR="00E66B89">
        <w:rPr>
          <w:szCs w:val="20"/>
        </w:rPr>
        <w:t xml:space="preserve"> w </w:t>
      </w:r>
      <w:r>
        <w:rPr>
          <w:szCs w:val="20"/>
        </w:rPr>
        <w:t>ramach Działań 7.3 oraz 7.4, jednak</w:t>
      </w:r>
      <w:r w:rsidR="00E66B89">
        <w:rPr>
          <w:szCs w:val="20"/>
        </w:rPr>
        <w:t xml:space="preserve"> w </w:t>
      </w:r>
      <w:r>
        <w:rPr>
          <w:szCs w:val="20"/>
        </w:rPr>
        <w:t>dużej mierze to Działanie 7.3 realizuje ten wskaźnik.</w:t>
      </w:r>
      <w:r w:rsidR="00E66B89">
        <w:rPr>
          <w:szCs w:val="20"/>
        </w:rPr>
        <w:t xml:space="preserve"> W </w:t>
      </w:r>
      <w:r>
        <w:rPr>
          <w:szCs w:val="20"/>
        </w:rPr>
        <w:t>umowach</w:t>
      </w:r>
      <w:r w:rsidR="00E66B89">
        <w:rPr>
          <w:szCs w:val="20"/>
        </w:rPr>
        <w:t xml:space="preserve"> o </w:t>
      </w:r>
      <w:r>
        <w:rPr>
          <w:szCs w:val="20"/>
        </w:rPr>
        <w:t>dofinansowanie założono, że wskaźnik osiągnie wartość 2 249 osób. Zaleca się obniżenie wartości docelowej tego wskaźnika, co zostało rozwinięte</w:t>
      </w:r>
      <w:r w:rsidR="00E66B89">
        <w:rPr>
          <w:szCs w:val="20"/>
        </w:rPr>
        <w:t xml:space="preserve"> w </w:t>
      </w:r>
      <w:r>
        <w:rPr>
          <w:szCs w:val="20"/>
        </w:rPr>
        <w:t xml:space="preserve">części podrozdziału poświęconej prognozom. </w:t>
      </w:r>
    </w:p>
    <w:p w14:paraId="5F9085C7" w14:textId="77777777" w:rsidR="009D3A39" w:rsidRDefault="009D3A39" w:rsidP="009D3A39">
      <w:pPr>
        <w:rPr>
          <w:szCs w:val="20"/>
        </w:rPr>
      </w:pPr>
      <w:r>
        <w:rPr>
          <w:szCs w:val="20"/>
        </w:rPr>
        <w:t xml:space="preserve">Wskaźnik </w:t>
      </w:r>
      <w:r w:rsidRPr="00E5566C">
        <w:rPr>
          <w:i/>
          <w:szCs w:val="20"/>
        </w:rPr>
        <w:t>Liczba podmiotów ekonomii społecznej objętych wsparciem [szt.]</w:t>
      </w:r>
      <w:r>
        <w:rPr>
          <w:i/>
          <w:szCs w:val="20"/>
        </w:rPr>
        <w:t xml:space="preserve"> </w:t>
      </w:r>
      <w:r>
        <w:rPr>
          <w:szCs w:val="20"/>
        </w:rPr>
        <w:t>jest realizowany we wszystkich projektach mających podpisaną umowę</w:t>
      </w:r>
      <w:r w:rsidR="00E66B89">
        <w:rPr>
          <w:szCs w:val="20"/>
        </w:rPr>
        <w:t xml:space="preserve"> o </w:t>
      </w:r>
      <w:r>
        <w:rPr>
          <w:szCs w:val="20"/>
        </w:rPr>
        <w:t>dofinansowanie</w:t>
      </w:r>
      <w:r w:rsidR="00E66B89">
        <w:rPr>
          <w:szCs w:val="20"/>
        </w:rPr>
        <w:t xml:space="preserve"> w </w:t>
      </w:r>
      <w:r>
        <w:rPr>
          <w:szCs w:val="20"/>
        </w:rPr>
        <w:t>ramach PI 9v. Do jego realizacji przyczynia się</w:t>
      </w:r>
      <w:r w:rsidR="00E66B89">
        <w:rPr>
          <w:szCs w:val="20"/>
        </w:rPr>
        <w:t xml:space="preserve"> w </w:t>
      </w:r>
      <w:r>
        <w:rPr>
          <w:szCs w:val="20"/>
        </w:rPr>
        <w:t>największym stopniu Działanie 7.3,</w:t>
      </w:r>
      <w:r w:rsidR="00E66B89">
        <w:rPr>
          <w:szCs w:val="20"/>
        </w:rPr>
        <w:t xml:space="preserve"> w </w:t>
      </w:r>
      <w:r>
        <w:rPr>
          <w:szCs w:val="20"/>
        </w:rPr>
        <w:t>ramach którego założono 485 PES do objęcia wsparciem.</w:t>
      </w:r>
      <w:r w:rsidR="00E66B89">
        <w:rPr>
          <w:szCs w:val="20"/>
        </w:rPr>
        <w:t xml:space="preserve"> W </w:t>
      </w:r>
      <w:r>
        <w:rPr>
          <w:szCs w:val="20"/>
        </w:rPr>
        <w:t>tym działaniu realizowane są 4 projekty wyłonione</w:t>
      </w:r>
      <w:r w:rsidR="00E66B89">
        <w:rPr>
          <w:szCs w:val="20"/>
        </w:rPr>
        <w:t xml:space="preserve"> w </w:t>
      </w:r>
      <w:r>
        <w:rPr>
          <w:szCs w:val="20"/>
        </w:rPr>
        <w:t>ramach pierwszego naboru, których realizacja kończy się</w:t>
      </w:r>
      <w:r w:rsidR="00E66B89">
        <w:rPr>
          <w:szCs w:val="20"/>
        </w:rPr>
        <w:t xml:space="preserve"> w </w:t>
      </w:r>
      <w:r>
        <w:rPr>
          <w:szCs w:val="20"/>
        </w:rPr>
        <w:t>czerwcu 2019 roku.</w:t>
      </w:r>
      <w:r w:rsidR="00E66B89">
        <w:rPr>
          <w:szCs w:val="20"/>
        </w:rPr>
        <w:t xml:space="preserve"> W </w:t>
      </w:r>
      <w:r>
        <w:rPr>
          <w:szCs w:val="20"/>
        </w:rPr>
        <w:t>ramach drugiego naboru wyłoniono 3 projekty, których realizacja rozpocznie się</w:t>
      </w:r>
      <w:r w:rsidR="00E66B89">
        <w:rPr>
          <w:szCs w:val="20"/>
        </w:rPr>
        <w:t xml:space="preserve"> w I </w:t>
      </w:r>
      <w:r>
        <w:rPr>
          <w:szCs w:val="20"/>
        </w:rPr>
        <w:t>połowie 2019 roku,</w:t>
      </w:r>
      <w:r w:rsidR="00E66B89">
        <w:rPr>
          <w:szCs w:val="20"/>
        </w:rPr>
        <w:t xml:space="preserve"> a </w:t>
      </w:r>
      <w:r>
        <w:rPr>
          <w:szCs w:val="20"/>
        </w:rPr>
        <w:t>zakończy</w:t>
      </w:r>
      <w:r w:rsidR="00E66B89">
        <w:rPr>
          <w:szCs w:val="20"/>
        </w:rPr>
        <w:t xml:space="preserve"> w I </w:t>
      </w:r>
      <w:r>
        <w:rPr>
          <w:szCs w:val="20"/>
        </w:rPr>
        <w:t>połowie 2023 roku. Wartość tego wskaźnika była zmieniana</w:t>
      </w:r>
      <w:r w:rsidR="00E66B89">
        <w:rPr>
          <w:szCs w:val="20"/>
        </w:rPr>
        <w:t xml:space="preserve"> w </w:t>
      </w:r>
      <w:r>
        <w:rPr>
          <w:szCs w:val="20"/>
        </w:rPr>
        <w:t>trakcie realizacji Programu</w:t>
      </w:r>
      <w:r w:rsidR="00E66B89">
        <w:rPr>
          <w:szCs w:val="20"/>
        </w:rPr>
        <w:t xml:space="preserve"> z </w:t>
      </w:r>
      <w:r>
        <w:rPr>
          <w:szCs w:val="20"/>
        </w:rPr>
        <w:t>uwagi na rosnące zainteresowanie tą formą wsparcia</w:t>
      </w:r>
      <w:r w:rsidR="00E66B89">
        <w:rPr>
          <w:szCs w:val="20"/>
        </w:rPr>
        <w:t xml:space="preserve"> i </w:t>
      </w:r>
      <w:r>
        <w:rPr>
          <w:szCs w:val="20"/>
        </w:rPr>
        <w:t>rozwijający się sektor ekonomii społecznej.</w:t>
      </w:r>
      <w:r w:rsidR="00E66B89">
        <w:rPr>
          <w:szCs w:val="20"/>
        </w:rPr>
        <w:t xml:space="preserve"> W </w:t>
      </w:r>
      <w:r>
        <w:rPr>
          <w:szCs w:val="20"/>
        </w:rPr>
        <w:t xml:space="preserve">metodologii szacowania kosztów założono, że koszt objęcia wsparciem jednego PES to </w:t>
      </w:r>
      <w:r w:rsidRPr="006235A5">
        <w:rPr>
          <w:szCs w:val="20"/>
        </w:rPr>
        <w:t>25 387 zł</w:t>
      </w:r>
      <w:r>
        <w:rPr>
          <w:szCs w:val="20"/>
        </w:rPr>
        <w:t>, natomiast dotychczasowy koszt</w:t>
      </w:r>
      <w:r w:rsidR="00E66B89">
        <w:rPr>
          <w:szCs w:val="20"/>
        </w:rPr>
        <w:t xml:space="preserve"> z </w:t>
      </w:r>
      <w:r>
        <w:rPr>
          <w:szCs w:val="20"/>
        </w:rPr>
        <w:t xml:space="preserve">lat 2014-2018 wynosił </w:t>
      </w:r>
      <w:r w:rsidRPr="006235A5">
        <w:rPr>
          <w:szCs w:val="20"/>
        </w:rPr>
        <w:t>56 078,72</w:t>
      </w:r>
      <w:r>
        <w:rPr>
          <w:szCs w:val="20"/>
        </w:rPr>
        <w:t xml:space="preserve"> zł.</w:t>
      </w:r>
    </w:p>
    <w:p w14:paraId="46690899" w14:textId="77777777" w:rsidR="009D3A39" w:rsidRPr="00DB48C7" w:rsidRDefault="009D3A39" w:rsidP="009D3A39">
      <w:pPr>
        <w:rPr>
          <w:szCs w:val="20"/>
        </w:rPr>
      </w:pPr>
      <w:r>
        <w:rPr>
          <w:szCs w:val="20"/>
        </w:rPr>
        <w:t>Na podstawie powyższych danych można stwierdzić, że interwencja</w:t>
      </w:r>
      <w:r w:rsidR="00E66B89">
        <w:rPr>
          <w:szCs w:val="20"/>
        </w:rPr>
        <w:t xml:space="preserve"> w </w:t>
      </w:r>
      <w:r>
        <w:rPr>
          <w:szCs w:val="20"/>
        </w:rPr>
        <w:t>ramach PI 9v charakteryzuje się niższą, niż zakładano efektywnością kosztową. Skuteczność interwencji jest natomiast wysoka,</w:t>
      </w:r>
      <w:r w:rsidR="00E66B89">
        <w:rPr>
          <w:szCs w:val="20"/>
        </w:rPr>
        <w:t xml:space="preserve"> o </w:t>
      </w:r>
      <w:r>
        <w:rPr>
          <w:szCs w:val="20"/>
        </w:rPr>
        <w:t xml:space="preserve">czym świadczy poziom realizacji wskaźników rezultatu. </w:t>
      </w:r>
    </w:p>
    <w:p w14:paraId="467B9F3D"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 xml:space="preserve">Ocena potencjału absorpcyjnego </w:t>
      </w:r>
    </w:p>
    <w:p w14:paraId="0F98AFD8" w14:textId="77777777" w:rsidR="009D3A39" w:rsidRPr="00404DA5" w:rsidRDefault="009D3A39" w:rsidP="009D3A39">
      <w:pPr>
        <w:rPr>
          <w:rFonts w:cs="Calibri"/>
          <w:i/>
          <w:color w:val="000000"/>
          <w:szCs w:val="20"/>
        </w:rPr>
      </w:pPr>
      <w:r w:rsidRPr="00404DA5">
        <w:rPr>
          <w:rFonts w:cs="Calibri"/>
          <w:color w:val="000000"/>
          <w:szCs w:val="20"/>
        </w:rPr>
        <w:t>Działania związane</w:t>
      </w:r>
      <w:r w:rsidR="00E66B89">
        <w:rPr>
          <w:rFonts w:cs="Calibri"/>
          <w:color w:val="000000"/>
          <w:szCs w:val="20"/>
        </w:rPr>
        <w:t xml:space="preserve"> z </w:t>
      </w:r>
      <w:r w:rsidRPr="00404DA5">
        <w:rPr>
          <w:rFonts w:cs="Calibri"/>
          <w:color w:val="000000"/>
          <w:szCs w:val="20"/>
        </w:rPr>
        <w:t>ekonomią społeczną od początk</w:t>
      </w:r>
      <w:r>
        <w:rPr>
          <w:rFonts w:cs="Calibri"/>
          <w:color w:val="000000"/>
          <w:szCs w:val="20"/>
        </w:rPr>
        <w:t>u</w:t>
      </w:r>
      <w:r w:rsidRPr="00404DA5">
        <w:rPr>
          <w:rFonts w:cs="Calibri"/>
          <w:color w:val="000000"/>
          <w:szCs w:val="20"/>
        </w:rPr>
        <w:t xml:space="preserve"> realizacji Programu charakteryzują się wysokim stopniem zainteresowania beneficjentów. Od początku realizacji</w:t>
      </w:r>
      <w:r w:rsidR="00E66B89">
        <w:rPr>
          <w:rFonts w:cs="Calibri"/>
          <w:color w:val="000000"/>
          <w:szCs w:val="20"/>
        </w:rPr>
        <w:t xml:space="preserve"> w </w:t>
      </w:r>
      <w:r>
        <w:rPr>
          <w:rFonts w:cs="Calibri"/>
          <w:color w:val="000000"/>
          <w:szCs w:val="20"/>
        </w:rPr>
        <w:t xml:space="preserve">ramach wszystkich Działań </w:t>
      </w:r>
      <w:r w:rsidRPr="00404DA5">
        <w:rPr>
          <w:rFonts w:cs="Calibri"/>
          <w:color w:val="000000"/>
          <w:szCs w:val="20"/>
        </w:rPr>
        <w:t>zostało złożonych 13 wniosków</w:t>
      </w:r>
      <w:r w:rsidR="00E66B89">
        <w:rPr>
          <w:rFonts w:cs="Calibri"/>
          <w:color w:val="000000"/>
          <w:szCs w:val="20"/>
        </w:rPr>
        <w:t xml:space="preserve"> o </w:t>
      </w:r>
      <w:r w:rsidRPr="00404DA5">
        <w:rPr>
          <w:rFonts w:cs="Calibri"/>
          <w:color w:val="000000"/>
          <w:szCs w:val="20"/>
        </w:rPr>
        <w:t>dofinansowanie.</w:t>
      </w:r>
      <w:r w:rsidR="00E66B89">
        <w:rPr>
          <w:rFonts w:cs="Calibri"/>
          <w:color w:val="000000"/>
          <w:szCs w:val="20"/>
        </w:rPr>
        <w:t xml:space="preserve"> W </w:t>
      </w:r>
      <w:r>
        <w:rPr>
          <w:rFonts w:cs="Calibri"/>
          <w:color w:val="000000"/>
          <w:szCs w:val="20"/>
        </w:rPr>
        <w:t>2019 roku nie planuje się naborów</w:t>
      </w:r>
      <w:r w:rsidR="00E66B89">
        <w:rPr>
          <w:rFonts w:cs="Calibri"/>
          <w:color w:val="000000"/>
          <w:szCs w:val="20"/>
        </w:rPr>
        <w:t xml:space="preserve"> w </w:t>
      </w:r>
      <w:r>
        <w:rPr>
          <w:rFonts w:cs="Calibri"/>
          <w:color w:val="000000"/>
          <w:szCs w:val="20"/>
        </w:rPr>
        <w:t xml:space="preserve">ramach Działań 7.3 </w:t>
      </w:r>
      <w:r>
        <w:rPr>
          <w:rFonts w:cs="Calibri"/>
          <w:color w:val="000000"/>
          <w:szCs w:val="20"/>
        </w:rPr>
        <w:lastRenderedPageBreak/>
        <w:t>oraz 7.4, natomiast planowany jest jeden nabór</w:t>
      </w:r>
      <w:r w:rsidR="00E66B89">
        <w:rPr>
          <w:rFonts w:cs="Calibri"/>
          <w:color w:val="000000"/>
          <w:szCs w:val="20"/>
        </w:rPr>
        <w:t xml:space="preserve"> w </w:t>
      </w:r>
      <w:r>
        <w:rPr>
          <w:rFonts w:cs="Calibri"/>
          <w:color w:val="000000"/>
          <w:szCs w:val="20"/>
        </w:rPr>
        <w:t>Działaniu 7.5</w:t>
      </w:r>
      <w:r w:rsidRPr="00B65310">
        <w:t xml:space="preserve"> </w:t>
      </w:r>
      <w:r w:rsidRPr="008B706B">
        <w:rPr>
          <w:rFonts w:cs="Calibri"/>
          <w:i/>
          <w:color w:val="000000"/>
          <w:szCs w:val="20"/>
        </w:rPr>
        <w:t>Koordynacja rozwoju sektora ekonomii społecznej oraz wsparcie rozwoju sieci kooperacji</w:t>
      </w:r>
      <w:r w:rsidR="00E66B89">
        <w:rPr>
          <w:rFonts w:cs="Calibri"/>
          <w:i/>
          <w:color w:val="000000"/>
          <w:szCs w:val="20"/>
        </w:rPr>
        <w:t xml:space="preserve"> i </w:t>
      </w:r>
      <w:r w:rsidRPr="008B706B">
        <w:rPr>
          <w:rFonts w:cs="Calibri"/>
          <w:i/>
          <w:color w:val="000000"/>
          <w:szCs w:val="20"/>
        </w:rPr>
        <w:t>partnerstw ekonomii społecznej</w:t>
      </w:r>
      <w:r w:rsidR="00E66B89">
        <w:rPr>
          <w:rFonts w:cs="Calibri"/>
          <w:i/>
          <w:color w:val="000000"/>
          <w:szCs w:val="20"/>
        </w:rPr>
        <w:t xml:space="preserve"> w </w:t>
      </w:r>
      <w:r w:rsidRPr="008B706B">
        <w:rPr>
          <w:rFonts w:cs="Calibri"/>
          <w:i/>
          <w:color w:val="000000"/>
          <w:szCs w:val="20"/>
        </w:rPr>
        <w:t>województwie</w:t>
      </w:r>
      <w:r>
        <w:rPr>
          <w:rFonts w:cs="Calibri"/>
          <w:color w:val="000000"/>
          <w:szCs w:val="20"/>
        </w:rPr>
        <w:t>. Wnioski</w:t>
      </w:r>
      <w:r w:rsidR="00E66B89">
        <w:rPr>
          <w:rFonts w:cs="Calibri"/>
          <w:color w:val="000000"/>
          <w:szCs w:val="20"/>
        </w:rPr>
        <w:t xml:space="preserve"> w </w:t>
      </w:r>
      <w:r>
        <w:rPr>
          <w:rFonts w:cs="Calibri"/>
          <w:color w:val="000000"/>
          <w:szCs w:val="20"/>
        </w:rPr>
        <w:t>ramach tego Działania składane będą</w:t>
      </w:r>
      <w:r w:rsidR="00E66B89">
        <w:rPr>
          <w:rFonts w:cs="Calibri"/>
          <w:color w:val="000000"/>
          <w:szCs w:val="20"/>
        </w:rPr>
        <w:t xml:space="preserve"> w </w:t>
      </w:r>
      <w:r>
        <w:rPr>
          <w:rFonts w:cs="Calibri"/>
          <w:color w:val="000000"/>
          <w:szCs w:val="20"/>
        </w:rPr>
        <w:t>trybie pozakonkursowym</w:t>
      </w:r>
      <w:r w:rsidRPr="00404DA5">
        <w:rPr>
          <w:rFonts w:cs="Calibri"/>
          <w:color w:val="000000"/>
          <w:szCs w:val="20"/>
        </w:rPr>
        <w:t>. Interwencje realizowane</w:t>
      </w:r>
      <w:r w:rsidR="00E66B89">
        <w:rPr>
          <w:rFonts w:cs="Calibri"/>
          <w:color w:val="000000"/>
          <w:szCs w:val="20"/>
        </w:rPr>
        <w:t xml:space="preserve"> w </w:t>
      </w:r>
      <w:r w:rsidRPr="00404DA5">
        <w:rPr>
          <w:rFonts w:cs="Calibri"/>
          <w:color w:val="000000"/>
          <w:szCs w:val="20"/>
        </w:rPr>
        <w:t>ramach PI</w:t>
      </w:r>
      <w:r>
        <w:rPr>
          <w:rFonts w:cs="Calibri"/>
          <w:color w:val="000000"/>
          <w:szCs w:val="20"/>
        </w:rPr>
        <w:t xml:space="preserve"> </w:t>
      </w:r>
      <w:r w:rsidRPr="00404DA5">
        <w:rPr>
          <w:rFonts w:cs="Calibri"/>
          <w:color w:val="000000"/>
          <w:szCs w:val="20"/>
        </w:rPr>
        <w:t>9v charakteryzują się wysoką skutecznością. Jednak sytuacja społeczno-gospodarcza ma także wpływ na ich realizację. Beneficjenci</w:t>
      </w:r>
      <w:r w:rsidR="00E66B89">
        <w:rPr>
          <w:rFonts w:cs="Calibri"/>
          <w:color w:val="000000"/>
          <w:szCs w:val="20"/>
        </w:rPr>
        <w:t xml:space="preserve"> w </w:t>
      </w:r>
      <w:r w:rsidRPr="00404DA5">
        <w:rPr>
          <w:rFonts w:cs="Calibri"/>
          <w:color w:val="000000"/>
          <w:szCs w:val="20"/>
        </w:rPr>
        <w:t>ramach PI</w:t>
      </w:r>
      <w:r>
        <w:rPr>
          <w:rFonts w:cs="Calibri"/>
          <w:color w:val="000000"/>
          <w:szCs w:val="20"/>
        </w:rPr>
        <w:t xml:space="preserve"> </w:t>
      </w:r>
      <w:r w:rsidRPr="00404DA5">
        <w:rPr>
          <w:rFonts w:cs="Calibri"/>
          <w:color w:val="000000"/>
          <w:szCs w:val="20"/>
        </w:rPr>
        <w:t>9v również mogą spotkać się</w:t>
      </w:r>
      <w:r w:rsidR="00E66B89">
        <w:rPr>
          <w:rFonts w:cs="Calibri"/>
          <w:color w:val="000000"/>
          <w:szCs w:val="20"/>
        </w:rPr>
        <w:t xml:space="preserve"> z </w:t>
      </w:r>
      <w:r w:rsidRPr="00404DA5">
        <w:rPr>
          <w:rFonts w:cs="Calibri"/>
          <w:color w:val="000000"/>
          <w:szCs w:val="20"/>
        </w:rPr>
        <w:t>trudnościami</w:t>
      </w:r>
      <w:r w:rsidR="00E66B89">
        <w:rPr>
          <w:rFonts w:cs="Calibri"/>
          <w:color w:val="000000"/>
          <w:szCs w:val="20"/>
        </w:rPr>
        <w:t xml:space="preserve"> w </w:t>
      </w:r>
      <w:r w:rsidRPr="00404DA5">
        <w:rPr>
          <w:rFonts w:cs="Calibri"/>
          <w:color w:val="000000"/>
          <w:szCs w:val="20"/>
        </w:rPr>
        <w:t>angażowaniu uczestników do projektów.</w:t>
      </w:r>
      <w:r w:rsidR="00E66B89">
        <w:rPr>
          <w:rFonts w:cs="Calibri"/>
          <w:color w:val="000000"/>
          <w:szCs w:val="20"/>
        </w:rPr>
        <w:t xml:space="preserve"> W </w:t>
      </w:r>
      <w:r w:rsidRPr="00404DA5">
        <w:rPr>
          <w:rFonts w:cs="Calibri"/>
          <w:color w:val="000000"/>
          <w:szCs w:val="20"/>
        </w:rPr>
        <w:t>związku</w:t>
      </w:r>
      <w:r w:rsidR="00E66B89">
        <w:rPr>
          <w:rFonts w:cs="Calibri"/>
          <w:color w:val="000000"/>
          <w:szCs w:val="20"/>
        </w:rPr>
        <w:t xml:space="preserve"> z </w:t>
      </w:r>
      <w:r w:rsidRPr="00404DA5">
        <w:rPr>
          <w:rFonts w:cs="Calibri"/>
          <w:color w:val="000000"/>
          <w:szCs w:val="20"/>
        </w:rPr>
        <w:t xml:space="preserve">tym należy rozważyć obniżenie wartości docelowej wskaźnika </w:t>
      </w:r>
      <w:r w:rsidRPr="00404DA5">
        <w:rPr>
          <w:rFonts w:cs="Calibri"/>
          <w:i/>
          <w:color w:val="000000"/>
          <w:szCs w:val="20"/>
        </w:rPr>
        <w:t>Liczba osób zagrożonych ubóstwem lub wykluczeniem społecznym objętych wsparciem</w:t>
      </w:r>
      <w:r w:rsidR="00E66B89">
        <w:rPr>
          <w:rFonts w:cs="Calibri"/>
          <w:i/>
          <w:color w:val="000000"/>
          <w:szCs w:val="20"/>
        </w:rPr>
        <w:t xml:space="preserve"> w </w:t>
      </w:r>
      <w:r w:rsidRPr="00404DA5">
        <w:rPr>
          <w:rFonts w:cs="Calibri"/>
          <w:i/>
          <w:color w:val="000000"/>
          <w:szCs w:val="20"/>
        </w:rPr>
        <w:t xml:space="preserve">programie. </w:t>
      </w:r>
    </w:p>
    <w:p w14:paraId="6F9EAC49" w14:textId="77777777" w:rsidR="009D3A39" w:rsidRPr="00404DA5" w:rsidRDefault="009D3A39" w:rsidP="009D3A39">
      <w:pPr>
        <w:rPr>
          <w:rFonts w:cs="Calibri"/>
          <w:color w:val="000000"/>
          <w:szCs w:val="20"/>
        </w:rPr>
      </w:pPr>
      <w:r w:rsidRPr="00404DA5">
        <w:rPr>
          <w:rFonts w:cs="Calibri"/>
          <w:color w:val="000000"/>
          <w:szCs w:val="20"/>
        </w:rPr>
        <w:t>Działania</w:t>
      </w:r>
      <w:r w:rsidR="00E66B89">
        <w:rPr>
          <w:rFonts w:cs="Calibri"/>
          <w:color w:val="000000"/>
          <w:szCs w:val="20"/>
        </w:rPr>
        <w:t xml:space="preserve"> w </w:t>
      </w:r>
      <w:r w:rsidRPr="00404DA5">
        <w:rPr>
          <w:rFonts w:cs="Calibri"/>
          <w:color w:val="000000"/>
          <w:szCs w:val="20"/>
        </w:rPr>
        <w:t>ramach PI</w:t>
      </w:r>
      <w:r>
        <w:rPr>
          <w:rFonts w:cs="Calibri"/>
          <w:color w:val="000000"/>
          <w:szCs w:val="20"/>
        </w:rPr>
        <w:t xml:space="preserve"> </w:t>
      </w:r>
      <w:r w:rsidRPr="00404DA5">
        <w:rPr>
          <w:rFonts w:cs="Calibri"/>
          <w:color w:val="000000"/>
          <w:szCs w:val="20"/>
        </w:rPr>
        <w:t>9v charakteryzują się wysoką skutecznością, ponieważ generują trwałe miejsca pracy dla osób</w:t>
      </w:r>
      <w:r w:rsidR="00E66B89">
        <w:rPr>
          <w:rFonts w:cs="Calibri"/>
          <w:color w:val="000000"/>
          <w:szCs w:val="20"/>
        </w:rPr>
        <w:t xml:space="preserve"> z </w:t>
      </w:r>
      <w:r w:rsidRPr="00404DA5">
        <w:rPr>
          <w:rFonts w:cs="Calibri"/>
          <w:color w:val="000000"/>
          <w:szCs w:val="20"/>
        </w:rPr>
        <w:t>niepełnosprawnościami, bezrobotnych, dotkniętych lub zagrożonych ubóstwem</w:t>
      </w:r>
      <w:r w:rsidR="00E66B89">
        <w:rPr>
          <w:rFonts w:cs="Calibri"/>
          <w:color w:val="000000"/>
          <w:szCs w:val="20"/>
        </w:rPr>
        <w:t xml:space="preserve"> i </w:t>
      </w:r>
      <w:r w:rsidRPr="00404DA5">
        <w:rPr>
          <w:rFonts w:cs="Calibri"/>
          <w:color w:val="000000"/>
          <w:szCs w:val="20"/>
        </w:rPr>
        <w:t>wykluczeniem społecznym czy też korzystający</w:t>
      </w:r>
      <w:r>
        <w:rPr>
          <w:rFonts w:cs="Calibri"/>
          <w:color w:val="000000"/>
          <w:szCs w:val="20"/>
        </w:rPr>
        <w:t>ch</w:t>
      </w:r>
      <w:r w:rsidR="00E66B89">
        <w:rPr>
          <w:rFonts w:cs="Calibri"/>
          <w:color w:val="000000"/>
          <w:szCs w:val="20"/>
        </w:rPr>
        <w:t xml:space="preserve"> z </w:t>
      </w:r>
      <w:r w:rsidRPr="00404DA5">
        <w:rPr>
          <w:rFonts w:cs="Calibri"/>
          <w:color w:val="000000"/>
          <w:szCs w:val="20"/>
        </w:rPr>
        <w:t>pomocy społecznej. Dzięki korzyściom</w:t>
      </w:r>
      <w:r w:rsidR="00E66B89">
        <w:rPr>
          <w:rFonts w:cs="Calibri"/>
          <w:color w:val="000000"/>
          <w:szCs w:val="20"/>
        </w:rPr>
        <w:t xml:space="preserve"> z </w:t>
      </w:r>
      <w:r w:rsidRPr="00404DA5">
        <w:rPr>
          <w:rFonts w:cs="Calibri"/>
          <w:color w:val="000000"/>
          <w:szCs w:val="20"/>
        </w:rPr>
        <w:t>pracy</w:t>
      </w:r>
      <w:r w:rsidR="00E66B89">
        <w:rPr>
          <w:rFonts w:cs="Calibri"/>
          <w:color w:val="000000"/>
          <w:szCs w:val="20"/>
        </w:rPr>
        <w:t xml:space="preserve"> w </w:t>
      </w:r>
      <w:r w:rsidRPr="00404DA5">
        <w:rPr>
          <w:rFonts w:cs="Calibri"/>
          <w:color w:val="000000"/>
          <w:szCs w:val="20"/>
        </w:rPr>
        <w:t>postaci wynagrodzenia</w:t>
      </w:r>
      <w:r w:rsidR="00E66B89">
        <w:rPr>
          <w:rFonts w:cs="Calibri"/>
          <w:color w:val="000000"/>
          <w:szCs w:val="20"/>
        </w:rPr>
        <w:t xml:space="preserve"> i </w:t>
      </w:r>
      <w:r w:rsidRPr="00404DA5">
        <w:rPr>
          <w:rFonts w:cs="Calibri"/>
          <w:color w:val="000000"/>
          <w:szCs w:val="20"/>
        </w:rPr>
        <w:t>integracji społecznej eliminowane będzie ryzyko ubóstwa</w:t>
      </w:r>
      <w:r w:rsidR="00E66B89">
        <w:rPr>
          <w:rFonts w:cs="Calibri"/>
          <w:color w:val="000000"/>
          <w:szCs w:val="20"/>
        </w:rPr>
        <w:t xml:space="preserve"> i </w:t>
      </w:r>
      <w:r w:rsidRPr="00404DA5">
        <w:rPr>
          <w:rFonts w:cs="Calibri"/>
          <w:color w:val="000000"/>
          <w:szCs w:val="20"/>
        </w:rPr>
        <w:t xml:space="preserve">wykluczenia społecznego. </w:t>
      </w:r>
    </w:p>
    <w:p w14:paraId="35445CEA" w14:textId="77777777" w:rsidR="009D3A39" w:rsidRPr="00404DA5" w:rsidRDefault="009D3A39" w:rsidP="009D3A39">
      <w:pPr>
        <w:rPr>
          <w:rFonts w:cs="Calibri"/>
          <w:color w:val="000000"/>
          <w:szCs w:val="20"/>
        </w:rPr>
      </w:pPr>
      <w:r w:rsidRPr="00404DA5">
        <w:rPr>
          <w:rFonts w:cs="Calibri"/>
          <w:color w:val="000000"/>
          <w:szCs w:val="20"/>
        </w:rPr>
        <w:t>Jak stwierdzono</w:t>
      </w:r>
      <w:r w:rsidR="00E66B89">
        <w:rPr>
          <w:rFonts w:cs="Calibri"/>
          <w:color w:val="000000"/>
          <w:szCs w:val="20"/>
        </w:rPr>
        <w:t xml:space="preserve"> w </w:t>
      </w:r>
      <w:r w:rsidRPr="00404DA5">
        <w:rPr>
          <w:rFonts w:cs="Calibri"/>
          <w:color w:val="000000"/>
          <w:szCs w:val="20"/>
        </w:rPr>
        <w:t>raportach ewaluacyjnych</w:t>
      </w:r>
      <w:r>
        <w:rPr>
          <w:rFonts w:cs="Calibri"/>
          <w:color w:val="000000"/>
          <w:szCs w:val="20"/>
        </w:rPr>
        <w:t>,</w:t>
      </w:r>
      <w:r w:rsidRPr="00404DA5">
        <w:rPr>
          <w:rFonts w:cs="Calibri"/>
          <w:color w:val="000000"/>
          <w:szCs w:val="20"/>
        </w:rPr>
        <w:t xml:space="preserve"> podsumowujących okres programowania 2007-2013</w:t>
      </w:r>
      <w:r w:rsidR="00E66B89">
        <w:rPr>
          <w:rFonts w:cs="Calibri"/>
          <w:color w:val="000000"/>
          <w:szCs w:val="20"/>
        </w:rPr>
        <w:t xml:space="preserve"> w </w:t>
      </w:r>
      <w:r w:rsidRPr="00404DA5">
        <w:rPr>
          <w:rFonts w:cs="Calibri"/>
          <w:color w:val="000000"/>
          <w:szCs w:val="20"/>
        </w:rPr>
        <w:t>Polsce, istnieje „związek pomiędzy kompleksowym wsparciem udzielanym przez OWES (szkolenia, doradztwo, finansowanie PES)</w:t>
      </w:r>
      <w:r w:rsidR="00E66B89">
        <w:rPr>
          <w:rFonts w:cs="Calibri"/>
          <w:color w:val="000000"/>
          <w:szCs w:val="20"/>
        </w:rPr>
        <w:t xml:space="preserve"> a </w:t>
      </w:r>
      <w:r w:rsidRPr="00404DA5">
        <w:rPr>
          <w:rFonts w:cs="Calibri"/>
          <w:color w:val="000000"/>
          <w:szCs w:val="20"/>
        </w:rPr>
        <w:t>liczbą utworzonych PES,</w:t>
      </w:r>
      <w:r w:rsidR="00E66B89">
        <w:rPr>
          <w:rFonts w:cs="Calibri"/>
          <w:color w:val="000000"/>
          <w:szCs w:val="20"/>
        </w:rPr>
        <w:t xml:space="preserve"> a </w:t>
      </w:r>
      <w:r w:rsidRPr="00404DA5">
        <w:rPr>
          <w:rFonts w:cs="Calibri"/>
          <w:color w:val="000000"/>
          <w:szCs w:val="20"/>
        </w:rPr>
        <w:t>ekonomia społeczna jest skutecznym narzędziem do aktywizacji osób zagrożonych wykluczeniem społecznym”</w:t>
      </w:r>
      <w:r w:rsidRPr="00404DA5">
        <w:rPr>
          <w:rStyle w:val="Odwoanieprzypisudolnego"/>
          <w:color w:val="000000"/>
          <w:szCs w:val="20"/>
        </w:rPr>
        <w:footnoteReference w:id="109"/>
      </w:r>
      <w:r w:rsidRPr="00404DA5">
        <w:rPr>
          <w:rFonts w:cs="Calibri"/>
          <w:color w:val="000000"/>
          <w:szCs w:val="20"/>
        </w:rPr>
        <w:t>. Jednocześnie przytoczona wcześniej liczba PES funkcjonujących</w:t>
      </w:r>
      <w:r w:rsidR="00E66B89">
        <w:rPr>
          <w:rFonts w:cs="Calibri"/>
          <w:color w:val="000000"/>
          <w:szCs w:val="20"/>
        </w:rPr>
        <w:t xml:space="preserve"> w </w:t>
      </w:r>
      <w:r w:rsidRPr="00404DA5">
        <w:rPr>
          <w:rFonts w:cs="Calibri"/>
          <w:color w:val="000000"/>
          <w:szCs w:val="20"/>
        </w:rPr>
        <w:t xml:space="preserve">województwie </w:t>
      </w:r>
      <w:r>
        <w:rPr>
          <w:rFonts w:cs="Calibri"/>
          <w:color w:val="000000"/>
          <w:szCs w:val="20"/>
        </w:rPr>
        <w:t>zachodnio</w:t>
      </w:r>
      <w:r w:rsidRPr="00404DA5">
        <w:rPr>
          <w:rFonts w:cs="Calibri"/>
          <w:color w:val="000000"/>
          <w:szCs w:val="20"/>
        </w:rPr>
        <w:t>pomorskim sugeruje, że sektor ekonomii społecznej nie jest jeszcze nasycony</w:t>
      </w:r>
      <w:r w:rsidR="00E66B89">
        <w:rPr>
          <w:rFonts w:cs="Calibri"/>
          <w:color w:val="000000"/>
          <w:szCs w:val="20"/>
        </w:rPr>
        <w:t xml:space="preserve"> i </w:t>
      </w:r>
      <w:r w:rsidRPr="00404DA5">
        <w:rPr>
          <w:rFonts w:cs="Calibri"/>
          <w:color w:val="000000"/>
          <w:szCs w:val="20"/>
        </w:rPr>
        <w:t>istnieje pole do jego rozwoju.</w:t>
      </w:r>
      <w:r w:rsidR="00E66B89">
        <w:rPr>
          <w:rFonts w:cs="Calibri"/>
          <w:color w:val="000000"/>
          <w:szCs w:val="20"/>
        </w:rPr>
        <w:t xml:space="preserve"> W </w:t>
      </w:r>
      <w:r w:rsidRPr="00404DA5">
        <w:rPr>
          <w:rFonts w:cs="Calibri"/>
          <w:color w:val="000000"/>
          <w:szCs w:val="20"/>
        </w:rPr>
        <w:t>związku</w:t>
      </w:r>
      <w:r w:rsidR="00E66B89">
        <w:rPr>
          <w:rFonts w:cs="Calibri"/>
          <w:color w:val="000000"/>
          <w:szCs w:val="20"/>
        </w:rPr>
        <w:t xml:space="preserve"> z </w:t>
      </w:r>
      <w:r w:rsidRPr="00404DA5">
        <w:rPr>
          <w:rFonts w:cs="Calibri"/>
          <w:color w:val="000000"/>
          <w:szCs w:val="20"/>
        </w:rPr>
        <w:t>tym przyjęte założenia co do realizacji interwencji wydają się trafne</w:t>
      </w:r>
      <w:r w:rsidR="00E66B89">
        <w:rPr>
          <w:rFonts w:cs="Calibri"/>
          <w:color w:val="000000"/>
          <w:szCs w:val="20"/>
        </w:rPr>
        <w:t xml:space="preserve"> i </w:t>
      </w:r>
      <w:r w:rsidRPr="00404DA5">
        <w:rPr>
          <w:rFonts w:cs="Calibri"/>
          <w:color w:val="000000"/>
          <w:szCs w:val="20"/>
        </w:rPr>
        <w:t>aktualne. Dodatkowo ze wspomnianej ewaluacji ex-post wynika wniosek, że</w:t>
      </w:r>
      <w:r w:rsidR="00E66B89">
        <w:rPr>
          <w:rFonts w:cs="Calibri"/>
          <w:color w:val="000000"/>
          <w:szCs w:val="20"/>
        </w:rPr>
        <w:t xml:space="preserve"> w </w:t>
      </w:r>
      <w:r w:rsidRPr="00404DA5">
        <w:rPr>
          <w:rFonts w:cs="Calibri"/>
          <w:color w:val="000000"/>
          <w:szCs w:val="20"/>
        </w:rPr>
        <w:t>celu zwiększenia skuteczności wsparcia ważne są działania kładące nacisk na animację lokalną</w:t>
      </w:r>
      <w:r w:rsidR="00E66B89">
        <w:rPr>
          <w:rFonts w:cs="Calibri"/>
          <w:color w:val="000000"/>
          <w:szCs w:val="20"/>
        </w:rPr>
        <w:t xml:space="preserve"> i </w:t>
      </w:r>
      <w:r w:rsidRPr="00404DA5">
        <w:rPr>
          <w:rFonts w:cs="Calibri"/>
          <w:color w:val="000000"/>
          <w:szCs w:val="20"/>
        </w:rPr>
        <w:t>tworzenie partnerstw. Potwierdza to trafność przewidzianych</w:t>
      </w:r>
      <w:r w:rsidR="00E66B89">
        <w:rPr>
          <w:rFonts w:cs="Calibri"/>
          <w:color w:val="000000"/>
          <w:szCs w:val="20"/>
        </w:rPr>
        <w:t xml:space="preserve"> w </w:t>
      </w:r>
      <w:r w:rsidRPr="00404DA5">
        <w:rPr>
          <w:rFonts w:cs="Calibri"/>
          <w:color w:val="000000"/>
          <w:szCs w:val="20"/>
        </w:rPr>
        <w:t>RPO WZ 2014-2020 działań służących stymulowaniu współpracy, sieciowaniu</w:t>
      </w:r>
      <w:r w:rsidR="00E66B89">
        <w:rPr>
          <w:rFonts w:cs="Calibri"/>
          <w:color w:val="000000"/>
          <w:szCs w:val="20"/>
        </w:rPr>
        <w:t xml:space="preserve"> i </w:t>
      </w:r>
      <w:r w:rsidRPr="00404DA5">
        <w:rPr>
          <w:rFonts w:cs="Calibri"/>
          <w:color w:val="000000"/>
          <w:szCs w:val="20"/>
        </w:rPr>
        <w:t>koordynacji.</w:t>
      </w:r>
    </w:p>
    <w:p w14:paraId="1AAD422B"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Prognozy osiągnięcia celów zakładanych na 2023 rok</w:t>
      </w:r>
    </w:p>
    <w:p w14:paraId="03D03834" w14:textId="77777777" w:rsidR="009D3A39" w:rsidRPr="00404DA5" w:rsidRDefault="009D3A39" w:rsidP="009D3A39">
      <w:pPr>
        <w:rPr>
          <w:rFonts w:cs="Calibri"/>
          <w:szCs w:val="20"/>
        </w:rPr>
      </w:pPr>
      <w:r w:rsidRPr="00404DA5">
        <w:rPr>
          <w:rFonts w:cs="Calibri"/>
          <w:szCs w:val="20"/>
        </w:rPr>
        <w:t>Jak wynika</w:t>
      </w:r>
      <w:r w:rsidR="00E66B89">
        <w:rPr>
          <w:rFonts w:cs="Calibri"/>
          <w:szCs w:val="20"/>
        </w:rPr>
        <w:t xml:space="preserve"> z </w:t>
      </w:r>
      <w:r w:rsidRPr="00404DA5">
        <w:rPr>
          <w:rFonts w:cs="Calibri"/>
          <w:szCs w:val="20"/>
        </w:rPr>
        <w:t>prognozy</w:t>
      </w:r>
      <w:r>
        <w:rPr>
          <w:rFonts w:cs="Calibri"/>
          <w:szCs w:val="20"/>
        </w:rPr>
        <w:t>,</w:t>
      </w:r>
      <w:r w:rsidRPr="00404DA5">
        <w:rPr>
          <w:rFonts w:cs="Calibri"/>
          <w:szCs w:val="20"/>
        </w:rPr>
        <w:t xml:space="preserve"> osiągnięcie wartości docelowych zakładanych wskaźników nie jest zagrożone. Wyjątek stanowi wskaźnik </w:t>
      </w:r>
      <w:r w:rsidRPr="00404DA5">
        <w:rPr>
          <w:rFonts w:cs="Calibri"/>
          <w:i/>
          <w:szCs w:val="20"/>
        </w:rPr>
        <w:t>Liczba osób zagrożonych ubóstwem lub wykluczeniem społecznym objętych wsparciem</w:t>
      </w:r>
      <w:r w:rsidR="00E66B89">
        <w:rPr>
          <w:rFonts w:cs="Calibri"/>
          <w:i/>
          <w:szCs w:val="20"/>
        </w:rPr>
        <w:t xml:space="preserve"> w </w:t>
      </w:r>
      <w:r w:rsidRPr="00404DA5">
        <w:rPr>
          <w:rFonts w:cs="Calibri"/>
          <w:i/>
          <w:szCs w:val="20"/>
        </w:rPr>
        <w:t>programie</w:t>
      </w:r>
      <w:r w:rsidRPr="00404DA5">
        <w:rPr>
          <w:rFonts w:cs="Calibri"/>
          <w:szCs w:val="20"/>
        </w:rPr>
        <w:t>,</w:t>
      </w:r>
      <w:r w:rsidR="00E66B89">
        <w:rPr>
          <w:rFonts w:cs="Calibri"/>
          <w:szCs w:val="20"/>
        </w:rPr>
        <w:t xml:space="preserve"> a </w:t>
      </w:r>
      <w:r w:rsidRPr="00404DA5">
        <w:rPr>
          <w:rFonts w:cs="Calibri"/>
          <w:szCs w:val="20"/>
        </w:rPr>
        <w:t xml:space="preserve">co za tym idzie wskaźnik rezultatu </w:t>
      </w:r>
      <w:r w:rsidRPr="00404DA5">
        <w:rPr>
          <w:rFonts w:cs="Calibri"/>
          <w:i/>
          <w:szCs w:val="20"/>
        </w:rPr>
        <w:t>Liczba osób zagrożonych ubóstwem lub wykluczeniem społecznym pracujących po opuszczeniu programu (łącznie</w:t>
      </w:r>
      <w:r w:rsidR="00E66B89">
        <w:rPr>
          <w:rFonts w:cs="Calibri"/>
          <w:i/>
          <w:szCs w:val="20"/>
        </w:rPr>
        <w:t xml:space="preserve"> z </w:t>
      </w:r>
      <w:r w:rsidRPr="00404DA5">
        <w:rPr>
          <w:rFonts w:cs="Calibri"/>
          <w:i/>
          <w:szCs w:val="20"/>
        </w:rPr>
        <w:t>pracującymi na własny rachunek)</w:t>
      </w:r>
      <w:r w:rsidRPr="00404DA5">
        <w:rPr>
          <w:rFonts w:cs="Calibri"/>
          <w:szCs w:val="20"/>
        </w:rPr>
        <w:t>. Sugeruje się obniżenie wartości wskaźnika produktu ponieważ zagrożenie ich nieosiągnięcia spowodowane jest sytuacją na rynku pracy</w:t>
      </w:r>
      <w:r>
        <w:rPr>
          <w:rFonts w:cs="Calibri"/>
          <w:szCs w:val="20"/>
        </w:rPr>
        <w:t>,</w:t>
      </w:r>
      <w:r w:rsidRPr="00404DA5">
        <w:rPr>
          <w:rFonts w:cs="Calibri"/>
          <w:szCs w:val="20"/>
        </w:rPr>
        <w:t xml:space="preserve"> tj. zmniejszającym się bezrobociem</w:t>
      </w:r>
      <w:r>
        <w:rPr>
          <w:rFonts w:cs="Calibri"/>
          <w:szCs w:val="20"/>
        </w:rPr>
        <w:t>,</w:t>
      </w:r>
      <w:r w:rsidRPr="00404DA5">
        <w:rPr>
          <w:rFonts w:cs="Calibri"/>
          <w:szCs w:val="20"/>
        </w:rPr>
        <w:t xml:space="preserve"> na które IZ nie ma wpływu. </w:t>
      </w:r>
    </w:p>
    <w:p w14:paraId="6608C86D" w14:textId="77777777" w:rsidR="009D3A39" w:rsidRPr="00FE73B6" w:rsidRDefault="009D3A39" w:rsidP="00FE73B6">
      <w:pPr>
        <w:pStyle w:val="Legenda"/>
        <w:spacing w:after="0"/>
      </w:pPr>
      <w:bookmarkStart w:id="286" w:name="_Toc8824236"/>
      <w:r w:rsidRPr="00404DA5">
        <w:t xml:space="preserve">Tabela </w:t>
      </w:r>
      <w:r>
        <w:fldChar w:fldCharType="begin"/>
      </w:r>
      <w:r>
        <w:instrText xml:space="preserve"> SEQ Tabela \* ARABIC </w:instrText>
      </w:r>
      <w:r>
        <w:fldChar w:fldCharType="separate"/>
      </w:r>
      <w:r w:rsidR="00763345">
        <w:rPr>
          <w:noProof/>
        </w:rPr>
        <w:t>125</w:t>
      </w:r>
      <w:r>
        <w:fldChar w:fldCharType="end"/>
      </w:r>
      <w:r w:rsidRPr="00404DA5">
        <w:t xml:space="preserve"> Prognozowany poziom realizacji wskaźników produktu</w:t>
      </w:r>
      <w:r w:rsidR="00E66B89">
        <w:t xml:space="preserve"> i </w:t>
      </w:r>
      <w:r w:rsidRPr="00404DA5">
        <w:t>rezultatu bezpośredniego na rok 2023 – PI 9v</w:t>
      </w:r>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3488"/>
        <w:gridCol w:w="1351"/>
        <w:gridCol w:w="1564"/>
        <w:gridCol w:w="1586"/>
      </w:tblGrid>
      <w:tr w:rsidR="009D3A39" w:rsidRPr="0069584C" w14:paraId="2DF0CAB7" w14:textId="77777777" w:rsidTr="00C22C26">
        <w:trPr>
          <w:tblHeader/>
        </w:trPr>
        <w:tc>
          <w:tcPr>
            <w:tcW w:w="0" w:type="auto"/>
            <w:shd w:val="clear" w:color="auto" w:fill="DBE5F1"/>
          </w:tcPr>
          <w:p w14:paraId="79FDFDDF" w14:textId="77777777" w:rsidR="009D3A39" w:rsidRPr="00404DA5" w:rsidRDefault="009D3A39" w:rsidP="001C3974">
            <w:pPr>
              <w:jc w:val="center"/>
              <w:rPr>
                <w:rFonts w:cs="Calibri"/>
                <w:sz w:val="18"/>
                <w:szCs w:val="18"/>
              </w:rPr>
            </w:pPr>
            <w:r w:rsidRPr="00404DA5">
              <w:rPr>
                <w:rFonts w:cs="Calibri"/>
                <w:sz w:val="18"/>
                <w:szCs w:val="18"/>
              </w:rPr>
              <w:t>Typ wskaźnika</w:t>
            </w:r>
          </w:p>
        </w:tc>
        <w:tc>
          <w:tcPr>
            <w:tcW w:w="0" w:type="auto"/>
            <w:shd w:val="clear" w:color="auto" w:fill="DBE5F1"/>
          </w:tcPr>
          <w:p w14:paraId="20015304" w14:textId="77777777" w:rsidR="009D3A39" w:rsidRPr="00404DA5" w:rsidRDefault="009D3A39" w:rsidP="001C3974">
            <w:pPr>
              <w:jc w:val="center"/>
              <w:rPr>
                <w:rFonts w:cs="Calibri"/>
                <w:sz w:val="18"/>
                <w:szCs w:val="18"/>
              </w:rPr>
            </w:pPr>
            <w:r w:rsidRPr="00404DA5">
              <w:rPr>
                <w:rFonts w:cs="Calibri"/>
                <w:sz w:val="18"/>
                <w:szCs w:val="18"/>
              </w:rPr>
              <w:t>Wskaźnik</w:t>
            </w:r>
          </w:p>
        </w:tc>
        <w:tc>
          <w:tcPr>
            <w:tcW w:w="0" w:type="auto"/>
            <w:shd w:val="clear" w:color="auto" w:fill="DBE5F1"/>
          </w:tcPr>
          <w:p w14:paraId="6DDA95CB" w14:textId="77777777" w:rsidR="009D3A39" w:rsidRPr="00404DA5" w:rsidRDefault="009D3A39" w:rsidP="001C3974">
            <w:pPr>
              <w:jc w:val="center"/>
              <w:rPr>
                <w:rFonts w:cs="Calibri"/>
                <w:sz w:val="18"/>
                <w:szCs w:val="18"/>
              </w:rPr>
            </w:pPr>
            <w:r w:rsidRPr="00404DA5">
              <w:rPr>
                <w:rFonts w:cs="Calibri"/>
                <w:sz w:val="18"/>
                <w:szCs w:val="18"/>
              </w:rPr>
              <w:t>Wartość docelowa</w:t>
            </w:r>
            <w:r>
              <w:rPr>
                <w:rFonts w:cs="Calibri"/>
                <w:sz w:val="18"/>
                <w:szCs w:val="18"/>
              </w:rPr>
              <w:t xml:space="preserve"> określona na</w:t>
            </w:r>
            <w:r w:rsidR="00C22C26">
              <w:rPr>
                <w:rFonts w:cs="Calibri"/>
                <w:sz w:val="18"/>
                <w:szCs w:val="18"/>
              </w:rPr>
              <w:t xml:space="preserve"> </w:t>
            </w:r>
            <w:r>
              <w:rPr>
                <w:rFonts w:cs="Calibri"/>
                <w:sz w:val="18"/>
                <w:szCs w:val="18"/>
              </w:rPr>
              <w:t>2023 rok</w:t>
            </w:r>
          </w:p>
        </w:tc>
        <w:tc>
          <w:tcPr>
            <w:tcW w:w="0" w:type="auto"/>
            <w:shd w:val="clear" w:color="auto" w:fill="DBE5F1"/>
          </w:tcPr>
          <w:p w14:paraId="75B188AD" w14:textId="77777777" w:rsidR="009D3A39" w:rsidRPr="00404DA5" w:rsidRDefault="009D3A39" w:rsidP="001C3974">
            <w:pPr>
              <w:jc w:val="center"/>
              <w:rPr>
                <w:rFonts w:cs="Calibri"/>
                <w:sz w:val="18"/>
                <w:szCs w:val="18"/>
              </w:rPr>
            </w:pPr>
            <w:r w:rsidRPr="00404DA5">
              <w:rPr>
                <w:rFonts w:cs="Calibri"/>
                <w:sz w:val="16"/>
                <w:szCs w:val="18"/>
              </w:rPr>
              <w:t>Prognozowana całkowita wartość wskaźnika</w:t>
            </w:r>
          </w:p>
        </w:tc>
        <w:tc>
          <w:tcPr>
            <w:tcW w:w="0" w:type="auto"/>
            <w:shd w:val="clear" w:color="auto" w:fill="DBE5F1"/>
          </w:tcPr>
          <w:p w14:paraId="36D53F79" w14:textId="77777777" w:rsidR="009D3A39" w:rsidRPr="00404DA5" w:rsidRDefault="009D3A39" w:rsidP="001C3974">
            <w:pPr>
              <w:jc w:val="center"/>
              <w:rPr>
                <w:rFonts w:cs="Calibri"/>
                <w:sz w:val="18"/>
                <w:szCs w:val="18"/>
              </w:rPr>
            </w:pPr>
            <w:r w:rsidRPr="00404DA5">
              <w:rPr>
                <w:rFonts w:cs="Calibri"/>
                <w:sz w:val="16"/>
                <w:szCs w:val="18"/>
              </w:rPr>
              <w:t>Prognozowany % realizacji wartości docelowej</w:t>
            </w:r>
          </w:p>
        </w:tc>
      </w:tr>
      <w:tr w:rsidR="009D3A39" w:rsidRPr="0069584C" w14:paraId="555A9CF5" w14:textId="77777777" w:rsidTr="001C3974">
        <w:tc>
          <w:tcPr>
            <w:tcW w:w="0" w:type="auto"/>
            <w:shd w:val="clear" w:color="auto" w:fill="auto"/>
            <w:vAlign w:val="center"/>
          </w:tcPr>
          <w:p w14:paraId="099DAC72" w14:textId="77777777" w:rsidR="009D3A39" w:rsidRPr="00404DA5" w:rsidRDefault="009D3A39" w:rsidP="001C3974">
            <w:pPr>
              <w:jc w:val="center"/>
              <w:rPr>
                <w:rFonts w:cs="Calibri"/>
                <w:sz w:val="18"/>
                <w:szCs w:val="18"/>
              </w:rPr>
            </w:pPr>
            <w:r w:rsidRPr="00404DA5">
              <w:rPr>
                <w:rFonts w:cs="Calibri"/>
                <w:sz w:val="18"/>
                <w:szCs w:val="18"/>
              </w:rPr>
              <w:t>WR</w:t>
            </w:r>
          </w:p>
        </w:tc>
        <w:tc>
          <w:tcPr>
            <w:tcW w:w="0" w:type="auto"/>
            <w:shd w:val="clear" w:color="auto" w:fill="auto"/>
            <w:vAlign w:val="center"/>
          </w:tcPr>
          <w:p w14:paraId="00ED3C5A" w14:textId="77777777" w:rsidR="009D3A39" w:rsidRPr="00404DA5" w:rsidRDefault="009D3A39" w:rsidP="001C3974">
            <w:pPr>
              <w:jc w:val="center"/>
              <w:rPr>
                <w:rFonts w:cs="Calibri"/>
                <w:sz w:val="18"/>
                <w:szCs w:val="18"/>
              </w:rPr>
            </w:pPr>
            <w:r w:rsidRPr="00404DA5">
              <w:rPr>
                <w:rFonts w:cs="Calibri"/>
                <w:sz w:val="18"/>
                <w:szCs w:val="18"/>
              </w:rPr>
              <w:t>Liczba miejsc pracy utworzonych</w:t>
            </w:r>
            <w:r w:rsidR="00E66B89">
              <w:rPr>
                <w:rFonts w:cs="Calibri"/>
                <w:sz w:val="18"/>
                <w:szCs w:val="18"/>
              </w:rPr>
              <w:t xml:space="preserve"> w </w:t>
            </w:r>
            <w:r w:rsidRPr="00404DA5">
              <w:rPr>
                <w:rFonts w:cs="Calibri"/>
                <w:sz w:val="18"/>
                <w:szCs w:val="18"/>
              </w:rPr>
              <w:t>przedsiębiorstwach społecznych [szt.]</w:t>
            </w:r>
          </w:p>
        </w:tc>
        <w:tc>
          <w:tcPr>
            <w:tcW w:w="0" w:type="auto"/>
            <w:shd w:val="clear" w:color="auto" w:fill="auto"/>
            <w:vAlign w:val="center"/>
          </w:tcPr>
          <w:p w14:paraId="2830FF3F" w14:textId="77777777" w:rsidR="009D3A39" w:rsidRPr="00404DA5" w:rsidRDefault="009D3A39" w:rsidP="001C3974">
            <w:pPr>
              <w:jc w:val="center"/>
              <w:rPr>
                <w:rFonts w:cs="Calibri"/>
                <w:sz w:val="18"/>
                <w:szCs w:val="18"/>
              </w:rPr>
            </w:pPr>
            <w:r w:rsidRPr="00404DA5">
              <w:rPr>
                <w:rFonts w:cs="Calibri"/>
                <w:sz w:val="18"/>
                <w:szCs w:val="18"/>
              </w:rPr>
              <w:t>300</w:t>
            </w:r>
          </w:p>
        </w:tc>
        <w:tc>
          <w:tcPr>
            <w:tcW w:w="0" w:type="auto"/>
            <w:shd w:val="clear" w:color="auto" w:fill="auto"/>
            <w:vAlign w:val="center"/>
          </w:tcPr>
          <w:p w14:paraId="7ABCD05A" w14:textId="77777777" w:rsidR="009D3A39" w:rsidRPr="00404DA5" w:rsidRDefault="009D3A39" w:rsidP="001C3974">
            <w:pPr>
              <w:jc w:val="center"/>
              <w:rPr>
                <w:rFonts w:cs="Calibri"/>
                <w:sz w:val="18"/>
                <w:szCs w:val="18"/>
              </w:rPr>
            </w:pPr>
            <w:r w:rsidRPr="00404DA5">
              <w:rPr>
                <w:rFonts w:cs="Calibri"/>
                <w:sz w:val="18"/>
                <w:szCs w:val="18"/>
              </w:rPr>
              <w:t>519</w:t>
            </w:r>
          </w:p>
        </w:tc>
        <w:tc>
          <w:tcPr>
            <w:tcW w:w="0" w:type="auto"/>
            <w:shd w:val="clear" w:color="auto" w:fill="auto"/>
            <w:vAlign w:val="center"/>
          </w:tcPr>
          <w:p w14:paraId="38920871" w14:textId="77777777" w:rsidR="009D3A39" w:rsidRPr="00404DA5" w:rsidRDefault="009D3A39" w:rsidP="001C3974">
            <w:pPr>
              <w:jc w:val="center"/>
              <w:rPr>
                <w:rFonts w:cs="Calibri"/>
                <w:sz w:val="18"/>
                <w:szCs w:val="18"/>
              </w:rPr>
            </w:pPr>
            <w:r w:rsidRPr="00404DA5">
              <w:rPr>
                <w:rFonts w:cs="Calibri"/>
                <w:sz w:val="18"/>
                <w:szCs w:val="18"/>
              </w:rPr>
              <w:t>173%</w:t>
            </w:r>
          </w:p>
        </w:tc>
      </w:tr>
      <w:tr w:rsidR="009D3A39" w:rsidRPr="0069584C" w14:paraId="644BE56C" w14:textId="77777777" w:rsidTr="001C3974">
        <w:tc>
          <w:tcPr>
            <w:tcW w:w="0" w:type="auto"/>
            <w:shd w:val="clear" w:color="auto" w:fill="auto"/>
            <w:vAlign w:val="center"/>
          </w:tcPr>
          <w:p w14:paraId="10444EE7" w14:textId="77777777" w:rsidR="009D3A39" w:rsidRPr="00404DA5" w:rsidRDefault="009D3A39" w:rsidP="001C3974">
            <w:pPr>
              <w:jc w:val="center"/>
              <w:rPr>
                <w:sz w:val="18"/>
                <w:szCs w:val="18"/>
              </w:rPr>
            </w:pPr>
            <w:r w:rsidRPr="00404DA5">
              <w:rPr>
                <w:sz w:val="18"/>
                <w:szCs w:val="18"/>
              </w:rPr>
              <w:lastRenderedPageBreak/>
              <w:t>WP</w:t>
            </w:r>
          </w:p>
        </w:tc>
        <w:tc>
          <w:tcPr>
            <w:tcW w:w="0" w:type="auto"/>
            <w:shd w:val="clear" w:color="auto" w:fill="auto"/>
            <w:vAlign w:val="center"/>
          </w:tcPr>
          <w:p w14:paraId="2793BCFA" w14:textId="77777777" w:rsidR="009D3A39" w:rsidRPr="00404DA5" w:rsidRDefault="009D3A39" w:rsidP="001C3974">
            <w:pPr>
              <w:jc w:val="center"/>
              <w:rPr>
                <w:rFonts w:cs="Calibri"/>
                <w:sz w:val="18"/>
                <w:szCs w:val="18"/>
              </w:rPr>
            </w:pPr>
            <w:r w:rsidRPr="00404DA5">
              <w:rPr>
                <w:rFonts w:cs="Calibri"/>
                <w:sz w:val="18"/>
                <w:szCs w:val="18"/>
              </w:rPr>
              <w:t>Liczba osób zagrożonych ubóstwem lub wykluczeniem społecznym objętych wsparciem</w:t>
            </w:r>
            <w:r w:rsidR="00E66B89">
              <w:rPr>
                <w:rFonts w:cs="Calibri"/>
                <w:sz w:val="18"/>
                <w:szCs w:val="18"/>
              </w:rPr>
              <w:t xml:space="preserve"> w </w:t>
            </w:r>
            <w:r w:rsidRPr="00404DA5">
              <w:rPr>
                <w:rFonts w:cs="Calibri"/>
                <w:sz w:val="18"/>
                <w:szCs w:val="18"/>
              </w:rPr>
              <w:t>programie [osoby]</w:t>
            </w:r>
          </w:p>
        </w:tc>
        <w:tc>
          <w:tcPr>
            <w:tcW w:w="0" w:type="auto"/>
            <w:shd w:val="clear" w:color="auto" w:fill="auto"/>
            <w:vAlign w:val="center"/>
          </w:tcPr>
          <w:p w14:paraId="69C57A1D" w14:textId="77777777" w:rsidR="009D3A39" w:rsidRPr="00404DA5" w:rsidRDefault="009D3A39" w:rsidP="001C3974">
            <w:pPr>
              <w:jc w:val="center"/>
              <w:rPr>
                <w:rFonts w:cs="Calibri"/>
                <w:sz w:val="18"/>
                <w:szCs w:val="18"/>
              </w:rPr>
            </w:pPr>
            <w:r w:rsidRPr="00404DA5">
              <w:rPr>
                <w:rFonts w:cs="Calibri"/>
                <w:sz w:val="18"/>
                <w:szCs w:val="18"/>
              </w:rPr>
              <w:t>4289</w:t>
            </w:r>
          </w:p>
        </w:tc>
        <w:tc>
          <w:tcPr>
            <w:tcW w:w="0" w:type="auto"/>
            <w:shd w:val="clear" w:color="auto" w:fill="auto"/>
            <w:vAlign w:val="center"/>
          </w:tcPr>
          <w:p w14:paraId="57EAACAF" w14:textId="77777777" w:rsidR="009D3A39" w:rsidRPr="00404DA5" w:rsidRDefault="009D3A39" w:rsidP="001C3974">
            <w:pPr>
              <w:jc w:val="center"/>
              <w:rPr>
                <w:rFonts w:cs="Calibri"/>
                <w:sz w:val="18"/>
                <w:szCs w:val="18"/>
              </w:rPr>
            </w:pPr>
            <w:r w:rsidRPr="00404DA5">
              <w:rPr>
                <w:rFonts w:cs="Calibri"/>
                <w:sz w:val="18"/>
                <w:szCs w:val="18"/>
              </w:rPr>
              <w:t>3 629</w:t>
            </w:r>
          </w:p>
        </w:tc>
        <w:tc>
          <w:tcPr>
            <w:tcW w:w="0" w:type="auto"/>
            <w:shd w:val="clear" w:color="auto" w:fill="auto"/>
            <w:vAlign w:val="center"/>
          </w:tcPr>
          <w:p w14:paraId="60EFA2F8" w14:textId="77777777" w:rsidR="009D3A39" w:rsidRPr="00404DA5" w:rsidRDefault="009D3A39" w:rsidP="001C3974">
            <w:pPr>
              <w:jc w:val="center"/>
              <w:rPr>
                <w:rFonts w:cs="Calibri"/>
                <w:sz w:val="18"/>
                <w:szCs w:val="18"/>
              </w:rPr>
            </w:pPr>
            <w:r w:rsidRPr="00404DA5">
              <w:rPr>
                <w:rFonts w:cs="Calibri"/>
                <w:sz w:val="18"/>
                <w:szCs w:val="18"/>
              </w:rPr>
              <w:t>85%</w:t>
            </w:r>
          </w:p>
        </w:tc>
      </w:tr>
      <w:tr w:rsidR="009D3A39" w:rsidRPr="0069584C" w14:paraId="7C8C1935" w14:textId="77777777" w:rsidTr="001C3974">
        <w:tc>
          <w:tcPr>
            <w:tcW w:w="0" w:type="auto"/>
            <w:shd w:val="clear" w:color="auto" w:fill="auto"/>
            <w:vAlign w:val="center"/>
          </w:tcPr>
          <w:p w14:paraId="4EAD5E90" w14:textId="77777777" w:rsidR="009D3A39" w:rsidRPr="00404DA5" w:rsidRDefault="009D3A39" w:rsidP="001C3974">
            <w:pPr>
              <w:jc w:val="center"/>
              <w:rPr>
                <w:sz w:val="18"/>
                <w:szCs w:val="18"/>
              </w:rPr>
            </w:pPr>
            <w:r w:rsidRPr="00404DA5">
              <w:rPr>
                <w:sz w:val="18"/>
                <w:szCs w:val="18"/>
              </w:rPr>
              <w:t>WR</w:t>
            </w:r>
          </w:p>
        </w:tc>
        <w:tc>
          <w:tcPr>
            <w:tcW w:w="0" w:type="auto"/>
            <w:shd w:val="clear" w:color="auto" w:fill="auto"/>
            <w:vAlign w:val="center"/>
          </w:tcPr>
          <w:p w14:paraId="6C119D97" w14:textId="77777777" w:rsidR="009D3A39" w:rsidRPr="00404DA5" w:rsidRDefault="009D3A39" w:rsidP="001C3974">
            <w:pPr>
              <w:jc w:val="center"/>
              <w:rPr>
                <w:rFonts w:cs="Calibri"/>
                <w:bCs/>
                <w:sz w:val="18"/>
                <w:szCs w:val="18"/>
              </w:rPr>
            </w:pPr>
            <w:r w:rsidRPr="00404DA5">
              <w:rPr>
                <w:rFonts w:cs="Calibri"/>
                <w:bCs/>
                <w:sz w:val="18"/>
                <w:szCs w:val="18"/>
              </w:rPr>
              <w:t>Liczba osób zagrożonych ubóstwem lub wykluczeniem społecznym pracujących po opuszczeniu programu (łącznie</w:t>
            </w:r>
            <w:r w:rsidR="00E66B89">
              <w:rPr>
                <w:rFonts w:cs="Calibri"/>
                <w:bCs/>
                <w:sz w:val="18"/>
                <w:szCs w:val="18"/>
              </w:rPr>
              <w:t xml:space="preserve"> z </w:t>
            </w:r>
            <w:r w:rsidRPr="00404DA5">
              <w:rPr>
                <w:rFonts w:cs="Calibri"/>
                <w:bCs/>
                <w:sz w:val="18"/>
                <w:szCs w:val="18"/>
              </w:rPr>
              <w:t>pracującymi na własny rachunek) [osoby]</w:t>
            </w:r>
          </w:p>
        </w:tc>
        <w:tc>
          <w:tcPr>
            <w:tcW w:w="0" w:type="auto"/>
            <w:shd w:val="clear" w:color="auto" w:fill="auto"/>
            <w:vAlign w:val="center"/>
          </w:tcPr>
          <w:p w14:paraId="7AD79D8B" w14:textId="77777777" w:rsidR="009D3A39" w:rsidRPr="00404DA5" w:rsidRDefault="009D3A39" w:rsidP="001C3974">
            <w:pPr>
              <w:jc w:val="center"/>
              <w:rPr>
                <w:rFonts w:cs="Calibri"/>
                <w:sz w:val="18"/>
                <w:szCs w:val="18"/>
              </w:rPr>
            </w:pPr>
            <w:r w:rsidRPr="00404DA5">
              <w:rPr>
                <w:rFonts w:cs="Calibri"/>
                <w:sz w:val="18"/>
                <w:szCs w:val="18"/>
              </w:rPr>
              <w:t>18%</w:t>
            </w:r>
          </w:p>
        </w:tc>
        <w:tc>
          <w:tcPr>
            <w:tcW w:w="0" w:type="auto"/>
            <w:shd w:val="clear" w:color="auto" w:fill="auto"/>
            <w:vAlign w:val="center"/>
          </w:tcPr>
          <w:p w14:paraId="3CC3C8B8" w14:textId="77777777" w:rsidR="009D3A39" w:rsidRDefault="009D3A39" w:rsidP="001C3974">
            <w:pPr>
              <w:jc w:val="center"/>
              <w:rPr>
                <w:rFonts w:cs="Calibri"/>
                <w:sz w:val="18"/>
                <w:szCs w:val="18"/>
              </w:rPr>
            </w:pPr>
            <w:r>
              <w:rPr>
                <w:rFonts w:cs="Calibri"/>
                <w:sz w:val="18"/>
                <w:szCs w:val="18"/>
              </w:rPr>
              <w:t>19,6%</w:t>
            </w:r>
          </w:p>
          <w:p w14:paraId="3DF811FC" w14:textId="77777777" w:rsidR="009D3A39" w:rsidRPr="00404DA5" w:rsidRDefault="009D3A39" w:rsidP="001C3974">
            <w:pPr>
              <w:jc w:val="center"/>
              <w:rPr>
                <w:rFonts w:cs="Calibri"/>
                <w:sz w:val="18"/>
                <w:szCs w:val="18"/>
              </w:rPr>
            </w:pPr>
            <w:r>
              <w:rPr>
                <w:rFonts w:cs="Calibri"/>
                <w:sz w:val="18"/>
                <w:szCs w:val="18"/>
              </w:rPr>
              <w:t>(</w:t>
            </w:r>
            <w:r w:rsidRPr="00404DA5">
              <w:rPr>
                <w:rFonts w:cs="Calibri"/>
                <w:sz w:val="18"/>
                <w:szCs w:val="18"/>
              </w:rPr>
              <w:t>713</w:t>
            </w:r>
            <w:r>
              <w:rPr>
                <w:rFonts w:cs="Calibri"/>
                <w:sz w:val="18"/>
                <w:szCs w:val="18"/>
              </w:rPr>
              <w:t>)</w:t>
            </w:r>
          </w:p>
        </w:tc>
        <w:tc>
          <w:tcPr>
            <w:tcW w:w="0" w:type="auto"/>
            <w:shd w:val="clear" w:color="auto" w:fill="auto"/>
            <w:vAlign w:val="center"/>
          </w:tcPr>
          <w:p w14:paraId="70D6D3E6" w14:textId="77777777" w:rsidR="009D3A39" w:rsidRPr="00404DA5" w:rsidRDefault="009D3A39" w:rsidP="001C3974">
            <w:pPr>
              <w:jc w:val="center"/>
              <w:rPr>
                <w:rFonts w:cs="Calibri"/>
                <w:sz w:val="18"/>
                <w:szCs w:val="18"/>
              </w:rPr>
            </w:pPr>
            <w:r w:rsidRPr="00404DA5">
              <w:rPr>
                <w:rFonts w:cs="Calibri"/>
                <w:sz w:val="18"/>
                <w:szCs w:val="18"/>
              </w:rPr>
              <w:t>92%</w:t>
            </w:r>
          </w:p>
        </w:tc>
      </w:tr>
      <w:tr w:rsidR="009D3A39" w:rsidRPr="0069584C" w14:paraId="7C513808" w14:textId="77777777" w:rsidTr="001C3974">
        <w:tc>
          <w:tcPr>
            <w:tcW w:w="0" w:type="auto"/>
            <w:shd w:val="clear" w:color="auto" w:fill="auto"/>
            <w:vAlign w:val="center"/>
          </w:tcPr>
          <w:p w14:paraId="25B013CC" w14:textId="77777777" w:rsidR="009D3A39" w:rsidRPr="00404DA5" w:rsidRDefault="009D3A39" w:rsidP="001C3974">
            <w:pPr>
              <w:jc w:val="center"/>
              <w:rPr>
                <w:sz w:val="18"/>
                <w:szCs w:val="18"/>
              </w:rPr>
            </w:pPr>
            <w:r w:rsidRPr="00404DA5">
              <w:rPr>
                <w:sz w:val="18"/>
                <w:szCs w:val="18"/>
              </w:rPr>
              <w:t>WP</w:t>
            </w:r>
          </w:p>
        </w:tc>
        <w:tc>
          <w:tcPr>
            <w:tcW w:w="0" w:type="auto"/>
            <w:shd w:val="clear" w:color="auto" w:fill="auto"/>
            <w:vAlign w:val="center"/>
          </w:tcPr>
          <w:p w14:paraId="6EF4313A" w14:textId="77777777" w:rsidR="009D3A39" w:rsidRPr="00404DA5" w:rsidRDefault="009D3A39" w:rsidP="001C3974">
            <w:pPr>
              <w:jc w:val="center"/>
              <w:rPr>
                <w:rFonts w:cs="Calibri"/>
                <w:sz w:val="18"/>
                <w:szCs w:val="18"/>
              </w:rPr>
            </w:pPr>
            <w:r w:rsidRPr="00404DA5">
              <w:rPr>
                <w:rFonts w:cs="Calibri"/>
                <w:sz w:val="18"/>
                <w:szCs w:val="18"/>
              </w:rPr>
              <w:t>Liczba podmiotów ekonomii społecznej objętych wsparciem [szt.]</w:t>
            </w:r>
          </w:p>
        </w:tc>
        <w:tc>
          <w:tcPr>
            <w:tcW w:w="0" w:type="auto"/>
            <w:shd w:val="clear" w:color="auto" w:fill="auto"/>
            <w:vAlign w:val="center"/>
          </w:tcPr>
          <w:p w14:paraId="29118026" w14:textId="77777777" w:rsidR="009D3A39" w:rsidRPr="00404DA5" w:rsidRDefault="009D3A39" w:rsidP="001C3974">
            <w:pPr>
              <w:jc w:val="center"/>
              <w:rPr>
                <w:rFonts w:cs="Calibri"/>
                <w:sz w:val="18"/>
                <w:szCs w:val="18"/>
              </w:rPr>
            </w:pPr>
            <w:r w:rsidRPr="00404DA5">
              <w:rPr>
                <w:rFonts w:cs="Calibri"/>
                <w:sz w:val="18"/>
                <w:szCs w:val="18"/>
              </w:rPr>
              <w:t>600</w:t>
            </w:r>
          </w:p>
        </w:tc>
        <w:tc>
          <w:tcPr>
            <w:tcW w:w="0" w:type="auto"/>
            <w:shd w:val="clear" w:color="auto" w:fill="auto"/>
            <w:vAlign w:val="center"/>
          </w:tcPr>
          <w:p w14:paraId="1F6DF1DF" w14:textId="77777777" w:rsidR="009D3A39" w:rsidRPr="00404DA5" w:rsidRDefault="009D3A39" w:rsidP="001C3974">
            <w:pPr>
              <w:jc w:val="center"/>
              <w:rPr>
                <w:rFonts w:cs="Calibri"/>
                <w:sz w:val="18"/>
                <w:szCs w:val="18"/>
              </w:rPr>
            </w:pPr>
            <w:r w:rsidRPr="00404DA5">
              <w:rPr>
                <w:rFonts w:cs="Calibri"/>
                <w:sz w:val="18"/>
                <w:szCs w:val="18"/>
              </w:rPr>
              <w:t>1 475</w:t>
            </w:r>
          </w:p>
        </w:tc>
        <w:tc>
          <w:tcPr>
            <w:tcW w:w="0" w:type="auto"/>
            <w:shd w:val="clear" w:color="auto" w:fill="auto"/>
            <w:vAlign w:val="center"/>
          </w:tcPr>
          <w:p w14:paraId="57E4B71A" w14:textId="77777777" w:rsidR="009D3A39" w:rsidRPr="00404DA5" w:rsidRDefault="009D3A39" w:rsidP="001C3974">
            <w:pPr>
              <w:jc w:val="center"/>
              <w:rPr>
                <w:rFonts w:cs="Calibri"/>
                <w:sz w:val="18"/>
                <w:szCs w:val="18"/>
              </w:rPr>
            </w:pPr>
            <w:r w:rsidRPr="00404DA5">
              <w:rPr>
                <w:rFonts w:cs="Calibri"/>
                <w:sz w:val="18"/>
                <w:szCs w:val="18"/>
              </w:rPr>
              <w:t>246%</w:t>
            </w:r>
          </w:p>
        </w:tc>
      </w:tr>
    </w:tbl>
    <w:p w14:paraId="52DF9812" w14:textId="77777777" w:rsidR="009D3A39"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dane SL2014</w:t>
      </w:r>
      <w:r w:rsidR="00E66B89" w:rsidRPr="00EE66C6">
        <w:rPr>
          <w:i/>
          <w:sz w:val="18"/>
          <w:szCs w:val="20"/>
        </w:rPr>
        <w:t xml:space="preserve"> o </w:t>
      </w:r>
      <w:r w:rsidRPr="00EE66C6">
        <w:rPr>
          <w:i/>
          <w:sz w:val="18"/>
          <w:szCs w:val="20"/>
        </w:rPr>
        <w:t xml:space="preserve">zawartych UoD na dzień 07.01.2019 r., obliczenia własne. </w:t>
      </w:r>
    </w:p>
    <w:p w14:paraId="66D9CC78" w14:textId="77777777" w:rsidR="009D3A39" w:rsidRDefault="009D3A39" w:rsidP="009D3A39">
      <w:pPr>
        <w:pStyle w:val="Nagwek4"/>
        <w:numPr>
          <w:ilvl w:val="0"/>
          <w:numId w:val="0"/>
        </w:numPr>
        <w:rPr>
          <w:rFonts w:ascii="Lato" w:eastAsia="Calibri" w:hAnsi="Lato"/>
          <w:szCs w:val="20"/>
        </w:rPr>
      </w:pPr>
      <w:r w:rsidRPr="00801DB4">
        <w:rPr>
          <w:rFonts w:ascii="Lato" w:eastAsia="Calibri" w:hAnsi="Lato"/>
          <w:szCs w:val="20"/>
        </w:rPr>
        <w:t>Możliwości zarządzania środkami rezerwy wykonania</w:t>
      </w:r>
      <w:r w:rsidR="00E66B89">
        <w:rPr>
          <w:rFonts w:ascii="Lato" w:eastAsia="Calibri" w:hAnsi="Lato"/>
          <w:szCs w:val="20"/>
        </w:rPr>
        <w:t xml:space="preserve"> i </w:t>
      </w:r>
      <w:r w:rsidRPr="00801DB4">
        <w:rPr>
          <w:rFonts w:ascii="Lato" w:eastAsia="Calibri" w:hAnsi="Lato"/>
          <w:szCs w:val="20"/>
        </w:rPr>
        <w:t xml:space="preserve">identyfikacja obszarów wymagających interwencji </w:t>
      </w:r>
      <w:r>
        <w:rPr>
          <w:rFonts w:ascii="Lato" w:eastAsia="Calibri" w:hAnsi="Lato"/>
          <w:szCs w:val="20"/>
        </w:rPr>
        <w:t>–</w:t>
      </w:r>
      <w:r w:rsidRPr="00801DB4">
        <w:rPr>
          <w:rFonts w:ascii="Lato" w:eastAsia="Calibri" w:hAnsi="Lato"/>
          <w:szCs w:val="20"/>
        </w:rPr>
        <w:t xml:space="preserve"> podsumowanie</w:t>
      </w:r>
      <w:r>
        <w:rPr>
          <w:rFonts w:ascii="Lato" w:eastAsia="Calibri" w:hAnsi="Lato"/>
          <w:szCs w:val="20"/>
        </w:rPr>
        <w:t xml:space="preserve"> </w:t>
      </w:r>
    </w:p>
    <w:p w14:paraId="4C8600F1" w14:textId="77777777" w:rsidR="009D3A39" w:rsidRPr="00404DA5" w:rsidRDefault="009D3A39" w:rsidP="009D3A39">
      <w:pPr>
        <w:rPr>
          <w:rFonts w:cs="Calibri"/>
          <w:szCs w:val="20"/>
        </w:rPr>
      </w:pPr>
      <w:r w:rsidRPr="00404DA5">
        <w:rPr>
          <w:rFonts w:cs="Calibri"/>
          <w:szCs w:val="20"/>
        </w:rPr>
        <w:t>W związku z</w:t>
      </w:r>
      <w:r>
        <w:rPr>
          <w:rFonts w:cs="Calibri"/>
          <w:szCs w:val="20"/>
        </w:rPr>
        <w:t>e</w:t>
      </w:r>
      <w:r w:rsidRPr="00404DA5">
        <w:rPr>
          <w:rFonts w:cs="Calibri"/>
          <w:szCs w:val="20"/>
        </w:rPr>
        <w:t xml:space="preserve"> zmieniając</w:t>
      </w:r>
      <w:r>
        <w:rPr>
          <w:rFonts w:cs="Calibri"/>
          <w:szCs w:val="20"/>
        </w:rPr>
        <w:t>ą</w:t>
      </w:r>
      <w:r w:rsidRPr="00404DA5">
        <w:rPr>
          <w:rFonts w:cs="Calibri"/>
          <w:szCs w:val="20"/>
        </w:rPr>
        <w:t xml:space="preserve"> się sytuacją społeczno-gospodarczą oraz brakiem planów realokacji środków na </w:t>
      </w:r>
      <w:r>
        <w:rPr>
          <w:rFonts w:cs="Calibri"/>
          <w:szCs w:val="20"/>
        </w:rPr>
        <w:t>D</w:t>
      </w:r>
      <w:r w:rsidRPr="00404DA5">
        <w:rPr>
          <w:rFonts w:cs="Calibri"/>
          <w:szCs w:val="20"/>
        </w:rPr>
        <w:t>ziałania realizowane</w:t>
      </w:r>
      <w:r w:rsidR="00E66B89">
        <w:rPr>
          <w:rFonts w:cs="Calibri"/>
          <w:szCs w:val="20"/>
        </w:rPr>
        <w:t xml:space="preserve"> w </w:t>
      </w:r>
      <w:r w:rsidRPr="00404DA5">
        <w:rPr>
          <w:rFonts w:cs="Calibri"/>
          <w:szCs w:val="20"/>
        </w:rPr>
        <w:t xml:space="preserve">PI9v, sugeruje się zmianę wartości docelowej wskaźnika </w:t>
      </w:r>
      <w:r w:rsidRPr="00404DA5">
        <w:rPr>
          <w:rFonts w:cs="Calibri"/>
          <w:i/>
          <w:szCs w:val="20"/>
        </w:rPr>
        <w:t>Liczba osób zagrożonych ubóstwem lub wykluczeniem społecznym objętych wsparciem</w:t>
      </w:r>
      <w:r w:rsidR="00E66B89">
        <w:rPr>
          <w:rFonts w:cs="Calibri"/>
          <w:i/>
          <w:szCs w:val="20"/>
        </w:rPr>
        <w:t xml:space="preserve"> w </w:t>
      </w:r>
      <w:r w:rsidRPr="00404DA5">
        <w:rPr>
          <w:rFonts w:cs="Calibri"/>
          <w:i/>
          <w:szCs w:val="20"/>
        </w:rPr>
        <w:t>programie [osoby]</w:t>
      </w:r>
      <w:r w:rsidRPr="00404DA5">
        <w:rPr>
          <w:rFonts w:cs="Calibri"/>
          <w:szCs w:val="20"/>
        </w:rPr>
        <w:t xml:space="preserve"> do wartości prognozowanej na podstawie umów</w:t>
      </w:r>
      <w:r w:rsidR="00E66B89">
        <w:rPr>
          <w:rFonts w:cs="Calibri"/>
          <w:szCs w:val="20"/>
        </w:rPr>
        <w:t xml:space="preserve"> o </w:t>
      </w:r>
      <w:r w:rsidRPr="00404DA5">
        <w:rPr>
          <w:rFonts w:cs="Calibri"/>
          <w:szCs w:val="20"/>
        </w:rPr>
        <w:t>dofinansowanie oraz kosztu jednostkowego obliczonego na podstawie dotychczasowych projektów mających podpisaną UoD.</w:t>
      </w:r>
    </w:p>
    <w:p w14:paraId="4BDF063A" w14:textId="77777777" w:rsidR="009D3A39" w:rsidRPr="00FE43CD" w:rsidRDefault="009D3A39" w:rsidP="00FE73B6">
      <w:pPr>
        <w:pStyle w:val="Legenda"/>
        <w:spacing w:after="0"/>
      </w:pPr>
      <w:bookmarkStart w:id="287" w:name="_Toc8824237"/>
      <w:r w:rsidRPr="00FE43CD">
        <w:t xml:space="preserve">Tabela </w:t>
      </w:r>
      <w:r>
        <w:fldChar w:fldCharType="begin"/>
      </w:r>
      <w:r>
        <w:instrText xml:space="preserve"> SEQ Tabela \* ARABIC </w:instrText>
      </w:r>
      <w:r>
        <w:fldChar w:fldCharType="separate"/>
      </w:r>
      <w:r w:rsidR="00763345">
        <w:rPr>
          <w:noProof/>
        </w:rPr>
        <w:t>126</w:t>
      </w:r>
      <w:r>
        <w:fldChar w:fldCharType="end"/>
      </w:r>
      <w:r w:rsidRPr="00FE43CD">
        <w:t xml:space="preserve"> Wskaźniki wymagające zmiany wartości – PI </w:t>
      </w:r>
      <w:r>
        <w:t>9v</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860"/>
        <w:gridCol w:w="1156"/>
        <w:gridCol w:w="2041"/>
        <w:gridCol w:w="1911"/>
      </w:tblGrid>
      <w:tr w:rsidR="009D3A39" w:rsidRPr="00FE43CD" w14:paraId="269B0F98" w14:textId="77777777" w:rsidTr="00C22C26">
        <w:trPr>
          <w:tblHeader/>
        </w:trPr>
        <w:tc>
          <w:tcPr>
            <w:tcW w:w="0" w:type="auto"/>
            <w:shd w:val="clear" w:color="auto" w:fill="DBE5F1"/>
          </w:tcPr>
          <w:p w14:paraId="45FEAF65" w14:textId="77777777" w:rsidR="009D3A39" w:rsidRPr="008B706B" w:rsidRDefault="009D3A39" w:rsidP="001C3974">
            <w:pPr>
              <w:jc w:val="center"/>
              <w:rPr>
                <w:rFonts w:cs="Calibri"/>
                <w:sz w:val="18"/>
                <w:szCs w:val="18"/>
              </w:rPr>
            </w:pPr>
            <w:r w:rsidRPr="008B706B">
              <w:rPr>
                <w:rFonts w:cs="Calibri"/>
                <w:sz w:val="18"/>
                <w:szCs w:val="18"/>
              </w:rPr>
              <w:t>Typ wskaźnika</w:t>
            </w:r>
          </w:p>
        </w:tc>
        <w:tc>
          <w:tcPr>
            <w:tcW w:w="0" w:type="auto"/>
            <w:shd w:val="clear" w:color="auto" w:fill="DBE5F1"/>
          </w:tcPr>
          <w:p w14:paraId="569B84BD" w14:textId="77777777" w:rsidR="009D3A39" w:rsidRPr="008B706B" w:rsidRDefault="009D3A39" w:rsidP="001C3974">
            <w:pPr>
              <w:jc w:val="center"/>
              <w:rPr>
                <w:rFonts w:cs="Calibri"/>
                <w:sz w:val="18"/>
                <w:szCs w:val="18"/>
              </w:rPr>
            </w:pPr>
            <w:r w:rsidRPr="008B706B">
              <w:rPr>
                <w:rFonts w:cs="Calibri"/>
                <w:sz w:val="18"/>
                <w:szCs w:val="18"/>
              </w:rPr>
              <w:t>Wskaźnik</w:t>
            </w:r>
          </w:p>
        </w:tc>
        <w:tc>
          <w:tcPr>
            <w:tcW w:w="0" w:type="auto"/>
            <w:shd w:val="clear" w:color="auto" w:fill="DBE5F1"/>
          </w:tcPr>
          <w:p w14:paraId="274038B4" w14:textId="77777777" w:rsidR="009D3A39" w:rsidRPr="008B706B" w:rsidRDefault="009D3A39" w:rsidP="001C3974">
            <w:pPr>
              <w:jc w:val="center"/>
              <w:rPr>
                <w:rFonts w:cs="Calibri"/>
                <w:sz w:val="18"/>
                <w:szCs w:val="18"/>
              </w:rPr>
            </w:pPr>
            <w:r w:rsidRPr="008B706B">
              <w:rPr>
                <w:rFonts w:cs="Calibri"/>
                <w:sz w:val="18"/>
                <w:szCs w:val="18"/>
              </w:rPr>
              <w:t>Jednostka pomiaru</w:t>
            </w:r>
          </w:p>
        </w:tc>
        <w:tc>
          <w:tcPr>
            <w:tcW w:w="0" w:type="auto"/>
            <w:shd w:val="clear" w:color="auto" w:fill="DBE5F1"/>
          </w:tcPr>
          <w:p w14:paraId="65CC1666" w14:textId="77777777" w:rsidR="009D3A39" w:rsidRPr="008B706B" w:rsidRDefault="009D3A39" w:rsidP="001C3974">
            <w:pPr>
              <w:jc w:val="center"/>
              <w:rPr>
                <w:rFonts w:cs="Calibri"/>
                <w:sz w:val="18"/>
                <w:szCs w:val="18"/>
              </w:rPr>
            </w:pPr>
            <w:r w:rsidRPr="008B706B">
              <w:rPr>
                <w:rFonts w:cs="Calibri"/>
                <w:sz w:val="18"/>
                <w:szCs w:val="18"/>
              </w:rPr>
              <w:t>Wartość docelowa na koniec 2023 r. (określona</w:t>
            </w:r>
            <w:r w:rsidR="00E66B89">
              <w:rPr>
                <w:rFonts w:cs="Calibri"/>
                <w:sz w:val="18"/>
                <w:szCs w:val="18"/>
              </w:rPr>
              <w:t xml:space="preserve"> w </w:t>
            </w:r>
            <w:r w:rsidRPr="008B706B">
              <w:rPr>
                <w:rFonts w:cs="Calibri"/>
                <w:sz w:val="18"/>
                <w:szCs w:val="18"/>
              </w:rPr>
              <w:t>Programie)</w:t>
            </w:r>
          </w:p>
        </w:tc>
        <w:tc>
          <w:tcPr>
            <w:tcW w:w="0" w:type="auto"/>
            <w:shd w:val="clear" w:color="auto" w:fill="DBE5F1"/>
          </w:tcPr>
          <w:p w14:paraId="61842C0E" w14:textId="77777777" w:rsidR="009D3A39" w:rsidRPr="008B706B" w:rsidRDefault="009D3A39" w:rsidP="001C3974">
            <w:pPr>
              <w:jc w:val="center"/>
              <w:rPr>
                <w:rFonts w:cs="Calibri"/>
                <w:sz w:val="18"/>
                <w:szCs w:val="18"/>
              </w:rPr>
            </w:pPr>
            <w:r w:rsidRPr="008B706B">
              <w:rPr>
                <w:rFonts w:cs="Calibri"/>
                <w:sz w:val="18"/>
                <w:szCs w:val="18"/>
              </w:rPr>
              <w:t>Proponowana wartość docelowa na koniec 2023 r.</w:t>
            </w:r>
          </w:p>
        </w:tc>
      </w:tr>
      <w:tr w:rsidR="009D3A39" w:rsidRPr="00FE43CD" w14:paraId="6F8D30BB" w14:textId="77777777" w:rsidTr="001C3974">
        <w:tc>
          <w:tcPr>
            <w:tcW w:w="0" w:type="auto"/>
            <w:shd w:val="clear" w:color="auto" w:fill="auto"/>
            <w:vAlign w:val="center"/>
          </w:tcPr>
          <w:p w14:paraId="25B21363" w14:textId="77777777" w:rsidR="009D3A39" w:rsidRPr="008B706B" w:rsidRDefault="009D3A39" w:rsidP="001C3974">
            <w:pPr>
              <w:jc w:val="center"/>
              <w:rPr>
                <w:rFonts w:eastAsia="Calibri" w:cs="Calibri"/>
                <w:sz w:val="18"/>
                <w:szCs w:val="18"/>
              </w:rPr>
            </w:pPr>
            <w:r w:rsidRPr="00AD776C">
              <w:rPr>
                <w:sz w:val="18"/>
                <w:szCs w:val="18"/>
              </w:rPr>
              <w:t>WP</w:t>
            </w:r>
          </w:p>
        </w:tc>
        <w:tc>
          <w:tcPr>
            <w:tcW w:w="0" w:type="auto"/>
            <w:shd w:val="clear" w:color="auto" w:fill="auto"/>
            <w:vAlign w:val="center"/>
          </w:tcPr>
          <w:p w14:paraId="3B9E7649" w14:textId="77777777" w:rsidR="009D3A39" w:rsidRPr="008B706B" w:rsidRDefault="009D3A39" w:rsidP="001C3974">
            <w:pPr>
              <w:jc w:val="center"/>
              <w:rPr>
                <w:rFonts w:eastAsia="Calibri" w:cs="Calibri"/>
                <w:sz w:val="18"/>
                <w:szCs w:val="18"/>
              </w:rPr>
            </w:pPr>
            <w:r w:rsidRPr="00AD776C">
              <w:rPr>
                <w:rFonts w:cs="Calibri"/>
                <w:sz w:val="18"/>
                <w:szCs w:val="18"/>
              </w:rPr>
              <w:t>Liczba osób zagrożonych ubóstwem lub wykluczeniem społecznym objętych wsparciem</w:t>
            </w:r>
            <w:r w:rsidR="00E66B89">
              <w:rPr>
                <w:rFonts w:cs="Calibri"/>
                <w:sz w:val="18"/>
                <w:szCs w:val="18"/>
              </w:rPr>
              <w:t xml:space="preserve"> w </w:t>
            </w:r>
            <w:r w:rsidRPr="00AD776C">
              <w:rPr>
                <w:rFonts w:cs="Calibri"/>
                <w:sz w:val="18"/>
                <w:szCs w:val="18"/>
              </w:rPr>
              <w:t>programie [osoby]</w:t>
            </w:r>
          </w:p>
        </w:tc>
        <w:tc>
          <w:tcPr>
            <w:tcW w:w="0" w:type="auto"/>
            <w:shd w:val="clear" w:color="auto" w:fill="auto"/>
            <w:vAlign w:val="center"/>
          </w:tcPr>
          <w:p w14:paraId="492CA6A3" w14:textId="77777777" w:rsidR="009D3A39" w:rsidRPr="008B706B" w:rsidRDefault="009D3A39" w:rsidP="001C3974">
            <w:pPr>
              <w:jc w:val="center"/>
              <w:rPr>
                <w:rFonts w:eastAsia="Calibri" w:cs="Calibri"/>
                <w:sz w:val="18"/>
                <w:szCs w:val="18"/>
              </w:rPr>
            </w:pPr>
            <w:r w:rsidRPr="008B706B">
              <w:rPr>
                <w:rFonts w:eastAsia="Calibri" w:cs="Calibri"/>
                <w:sz w:val="18"/>
                <w:szCs w:val="18"/>
              </w:rPr>
              <w:t>osoba</w:t>
            </w:r>
          </w:p>
        </w:tc>
        <w:tc>
          <w:tcPr>
            <w:tcW w:w="0" w:type="auto"/>
            <w:shd w:val="clear" w:color="auto" w:fill="auto"/>
            <w:vAlign w:val="center"/>
          </w:tcPr>
          <w:p w14:paraId="51018611" w14:textId="77777777" w:rsidR="009D3A39" w:rsidRPr="008B706B" w:rsidRDefault="009D3A39" w:rsidP="001C3974">
            <w:pPr>
              <w:jc w:val="center"/>
              <w:rPr>
                <w:rFonts w:eastAsia="Calibri" w:cs="Calibri"/>
                <w:sz w:val="18"/>
                <w:szCs w:val="18"/>
              </w:rPr>
            </w:pPr>
            <w:r w:rsidRPr="00AD776C">
              <w:rPr>
                <w:rFonts w:cs="Calibri"/>
                <w:sz w:val="18"/>
                <w:szCs w:val="18"/>
              </w:rPr>
              <w:t>4289</w:t>
            </w:r>
          </w:p>
        </w:tc>
        <w:tc>
          <w:tcPr>
            <w:tcW w:w="0" w:type="auto"/>
            <w:shd w:val="clear" w:color="auto" w:fill="auto"/>
            <w:vAlign w:val="center"/>
          </w:tcPr>
          <w:p w14:paraId="428125A0" w14:textId="77777777" w:rsidR="009D3A39" w:rsidRPr="008B706B" w:rsidRDefault="009D3A39" w:rsidP="001C3974">
            <w:pPr>
              <w:jc w:val="center"/>
              <w:rPr>
                <w:rFonts w:eastAsia="Calibri" w:cs="Calibri"/>
                <w:sz w:val="18"/>
                <w:szCs w:val="18"/>
              </w:rPr>
            </w:pPr>
            <w:r w:rsidRPr="008B706B">
              <w:rPr>
                <w:rFonts w:eastAsia="Calibri" w:cs="Calibri"/>
                <w:sz w:val="18"/>
                <w:szCs w:val="18"/>
              </w:rPr>
              <w:t>3 629</w:t>
            </w:r>
          </w:p>
        </w:tc>
      </w:tr>
    </w:tbl>
    <w:p w14:paraId="16936C53" w14:textId="77777777" w:rsidR="004F2051" w:rsidRPr="00EE66C6" w:rsidRDefault="009D3A39" w:rsidP="001245CE">
      <w:pPr>
        <w:spacing w:before="0"/>
        <w:rPr>
          <w:i/>
          <w:sz w:val="18"/>
          <w:szCs w:val="20"/>
        </w:rPr>
      </w:pPr>
      <w:r w:rsidRPr="00EE66C6">
        <w:rPr>
          <w:i/>
          <w:sz w:val="18"/>
          <w:szCs w:val="20"/>
        </w:rPr>
        <w:t>Źródło: RPO WZ 2014-2020</w:t>
      </w:r>
      <w:r w:rsidR="00E66B89" w:rsidRPr="00EE66C6">
        <w:rPr>
          <w:i/>
          <w:sz w:val="18"/>
          <w:szCs w:val="20"/>
        </w:rPr>
        <w:t xml:space="preserve"> z </w:t>
      </w:r>
      <w:r w:rsidRPr="00EE66C6">
        <w:rPr>
          <w:i/>
          <w:sz w:val="18"/>
          <w:szCs w:val="20"/>
        </w:rPr>
        <w:t>26.07.2018 r., analizy własne.</w:t>
      </w:r>
    </w:p>
    <w:p w14:paraId="30AF5F54" w14:textId="77777777" w:rsidR="009F2535" w:rsidRPr="00801DB4" w:rsidRDefault="009F2535" w:rsidP="00D45914">
      <w:pPr>
        <w:pStyle w:val="Nagwek2"/>
      </w:pPr>
      <w:bookmarkStart w:id="288" w:name="_Toc6523752"/>
      <w:r w:rsidRPr="00801DB4">
        <w:t>Oś priorytetowa VIII Edukacja</w:t>
      </w:r>
      <w:bookmarkEnd w:id="288"/>
    </w:p>
    <w:p w14:paraId="52E8F5AD" w14:textId="77777777" w:rsidR="00050FB4" w:rsidRPr="005F04FC" w:rsidRDefault="00050FB4" w:rsidP="00050FB4">
      <w:pPr>
        <w:rPr>
          <w:rFonts w:cs="Calibri"/>
          <w:b/>
          <w:szCs w:val="20"/>
        </w:rPr>
      </w:pPr>
      <w:r w:rsidRPr="005F04FC">
        <w:rPr>
          <w:rFonts w:cs="Calibri"/>
          <w:b/>
          <w:szCs w:val="20"/>
        </w:rPr>
        <w:t>Edukacja przedszkolna</w:t>
      </w:r>
    </w:p>
    <w:p w14:paraId="4E25D7B9" w14:textId="77777777" w:rsidR="00050FB4" w:rsidRPr="005F04FC" w:rsidRDefault="00050FB4" w:rsidP="00050FB4">
      <w:pPr>
        <w:autoSpaceDE w:val="0"/>
        <w:autoSpaceDN w:val="0"/>
        <w:adjustRightInd w:val="0"/>
        <w:spacing w:before="0" w:after="0" w:line="276" w:lineRule="auto"/>
        <w:rPr>
          <w:rFonts w:cs="Calibri"/>
          <w:szCs w:val="20"/>
        </w:rPr>
      </w:pPr>
      <w:r w:rsidRPr="005F04FC">
        <w:rPr>
          <w:rFonts w:cs="Calibri"/>
          <w:szCs w:val="20"/>
        </w:rPr>
        <w:t>W województwie zachodniopomorskim,</w:t>
      </w:r>
      <w:r w:rsidR="00E66B89" w:rsidRPr="005F04FC">
        <w:rPr>
          <w:rFonts w:cs="Calibri"/>
          <w:szCs w:val="20"/>
        </w:rPr>
        <w:t xml:space="preserve"> w </w:t>
      </w:r>
      <w:r w:rsidRPr="005F04FC">
        <w:rPr>
          <w:rFonts w:cs="Calibri"/>
          <w:szCs w:val="20"/>
        </w:rPr>
        <w:t>ostatnich latach, obserwowany jest wzrost powszechności</w:t>
      </w:r>
      <w:r w:rsidR="00C22C26" w:rsidRPr="005F04FC">
        <w:rPr>
          <w:rFonts w:cs="Calibri"/>
          <w:szCs w:val="20"/>
        </w:rPr>
        <w:t xml:space="preserve"> </w:t>
      </w:r>
      <w:r w:rsidRPr="005F04FC">
        <w:rPr>
          <w:rFonts w:cs="Calibri"/>
          <w:szCs w:val="20"/>
        </w:rPr>
        <w:t>edukacji przedszkolnej</w:t>
      </w:r>
      <w:r w:rsidR="00C22C26" w:rsidRPr="005F04FC">
        <w:rPr>
          <w:rFonts w:cs="Calibri"/>
          <w:szCs w:val="20"/>
        </w:rPr>
        <w:t xml:space="preserve"> </w:t>
      </w:r>
      <w:r w:rsidRPr="005F04FC">
        <w:rPr>
          <w:rFonts w:cs="Calibri"/>
          <w:szCs w:val="20"/>
        </w:rPr>
        <w:t>wśród dzieci</w:t>
      </w:r>
      <w:r w:rsidR="00E66B89" w:rsidRPr="005F04FC">
        <w:rPr>
          <w:rFonts w:cs="Calibri"/>
          <w:szCs w:val="20"/>
        </w:rPr>
        <w:t xml:space="preserve"> w </w:t>
      </w:r>
      <w:r w:rsidRPr="005F04FC">
        <w:rPr>
          <w:rFonts w:cs="Calibri"/>
          <w:szCs w:val="20"/>
        </w:rPr>
        <w:t>wieku 3-5 lat. Wzrosła ogólna liczba miejsc</w:t>
      </w:r>
      <w:r w:rsidR="00E66B89" w:rsidRPr="005F04FC">
        <w:rPr>
          <w:rFonts w:cs="Calibri"/>
          <w:szCs w:val="20"/>
        </w:rPr>
        <w:t xml:space="preserve"> w </w:t>
      </w:r>
      <w:r w:rsidRPr="005F04FC">
        <w:rPr>
          <w:rFonts w:cs="Calibri"/>
          <w:szCs w:val="20"/>
        </w:rPr>
        <w:t>przedszkolach (wraz</w:t>
      </w:r>
      <w:r w:rsidR="00E66B89" w:rsidRPr="005F04FC">
        <w:rPr>
          <w:rFonts w:cs="Calibri"/>
          <w:szCs w:val="20"/>
        </w:rPr>
        <w:t xml:space="preserve"> z </w:t>
      </w:r>
      <w:r w:rsidRPr="005F04FC">
        <w:rPr>
          <w:rFonts w:cs="Calibri"/>
          <w:szCs w:val="20"/>
        </w:rPr>
        <w:t>oddziałami</w:t>
      </w:r>
      <w:r w:rsidR="00E66B89" w:rsidRPr="005F04FC">
        <w:rPr>
          <w:rFonts w:cs="Calibri"/>
          <w:szCs w:val="20"/>
        </w:rPr>
        <w:t xml:space="preserve"> i </w:t>
      </w:r>
      <w:r w:rsidRPr="005F04FC">
        <w:rPr>
          <w:rFonts w:cs="Calibri"/>
          <w:szCs w:val="20"/>
        </w:rPr>
        <w:t>klubami dziecięcymi)</w:t>
      </w:r>
      <w:r w:rsidR="00E66B89" w:rsidRPr="005F04FC">
        <w:rPr>
          <w:rFonts w:cs="Calibri"/>
          <w:szCs w:val="20"/>
        </w:rPr>
        <w:t xml:space="preserve"> i w </w:t>
      </w:r>
      <w:r w:rsidRPr="005F04FC">
        <w:rPr>
          <w:rFonts w:cs="Calibri"/>
          <w:szCs w:val="20"/>
        </w:rPr>
        <w:t>2017 roku wynosiła 46 526</w:t>
      </w:r>
      <w:r w:rsidR="00E66B89" w:rsidRPr="005F04FC">
        <w:rPr>
          <w:rFonts w:cs="Calibri"/>
          <w:szCs w:val="20"/>
        </w:rPr>
        <w:t xml:space="preserve"> w </w:t>
      </w:r>
      <w:r w:rsidRPr="005F04FC">
        <w:rPr>
          <w:rFonts w:cs="Calibri"/>
          <w:szCs w:val="20"/>
        </w:rPr>
        <w:t>2 692 placówkach (dla porównania</w:t>
      </w:r>
      <w:r w:rsidR="00E66B89" w:rsidRPr="005F04FC">
        <w:rPr>
          <w:rFonts w:cs="Calibri"/>
          <w:szCs w:val="20"/>
        </w:rPr>
        <w:t xml:space="preserve"> w </w:t>
      </w:r>
      <w:r w:rsidRPr="005F04FC">
        <w:rPr>
          <w:rFonts w:cs="Calibri"/>
          <w:szCs w:val="20"/>
        </w:rPr>
        <w:t>2012 roku – 38 928</w:t>
      </w:r>
      <w:r w:rsidR="00E66B89" w:rsidRPr="005F04FC">
        <w:rPr>
          <w:rFonts w:cs="Calibri"/>
          <w:szCs w:val="20"/>
        </w:rPr>
        <w:t xml:space="preserve"> w </w:t>
      </w:r>
      <w:r w:rsidRPr="005F04FC">
        <w:rPr>
          <w:rFonts w:cs="Calibri"/>
          <w:szCs w:val="20"/>
        </w:rPr>
        <w:t>2 329 placówkach)</w:t>
      </w:r>
      <w:r w:rsidRPr="005F04FC">
        <w:rPr>
          <w:rStyle w:val="Odwoanieprzypisudolnego"/>
          <w:rFonts w:cs="Calibri"/>
          <w:szCs w:val="20"/>
        </w:rPr>
        <w:footnoteReference w:id="110"/>
      </w:r>
      <w:r w:rsidRPr="005F04FC">
        <w:rPr>
          <w:rFonts w:cs="Calibri"/>
          <w:szCs w:val="20"/>
        </w:rPr>
        <w:t xml:space="preserve">. </w:t>
      </w:r>
    </w:p>
    <w:p w14:paraId="1CD1A0F0" w14:textId="77777777" w:rsidR="00050FB4" w:rsidRPr="00FE73B6" w:rsidRDefault="00050FB4" w:rsidP="00FE73B6">
      <w:pPr>
        <w:pStyle w:val="Legenda"/>
        <w:spacing w:after="0"/>
      </w:pPr>
      <w:bookmarkStart w:id="289" w:name="_Toc5311892"/>
      <w:r w:rsidRPr="0094022E">
        <w:lastRenderedPageBreak/>
        <w:t xml:space="preserve">Wykres </w:t>
      </w:r>
      <w:r>
        <w:fldChar w:fldCharType="begin"/>
      </w:r>
      <w:r>
        <w:instrText xml:space="preserve"> SEQ Wykres \* ARABIC </w:instrText>
      </w:r>
      <w:r>
        <w:fldChar w:fldCharType="separate"/>
      </w:r>
      <w:r w:rsidR="00763345">
        <w:rPr>
          <w:noProof/>
        </w:rPr>
        <w:t>26</w:t>
      </w:r>
      <w:r>
        <w:fldChar w:fldCharType="end"/>
      </w:r>
      <w:r w:rsidRPr="0094022E">
        <w:t xml:space="preserve"> Liczba oddziałów przedszkolnych</w:t>
      </w:r>
      <w:r w:rsidR="00E66B89">
        <w:t xml:space="preserve"> i </w:t>
      </w:r>
      <w:r w:rsidRPr="0094022E">
        <w:t>miejsc</w:t>
      </w:r>
      <w:r w:rsidR="00E66B89">
        <w:t xml:space="preserve"> w </w:t>
      </w:r>
      <w:r w:rsidRPr="0094022E">
        <w:t>nich</w:t>
      </w:r>
      <w:r w:rsidR="00E66B89">
        <w:t xml:space="preserve"> w </w:t>
      </w:r>
      <w:r w:rsidRPr="0094022E">
        <w:t>województwie zachodniopomorskim</w:t>
      </w:r>
      <w:r w:rsidR="00E66B89">
        <w:t xml:space="preserve"> w </w:t>
      </w:r>
      <w:r w:rsidRPr="0094022E">
        <w:t>latach 2012-2017</w:t>
      </w:r>
      <w:bookmarkEnd w:id="289"/>
    </w:p>
    <w:p w14:paraId="3117CAAA" w14:textId="199E030F" w:rsidR="00050FB4" w:rsidRPr="00400D96" w:rsidRDefault="00C35619" w:rsidP="00050FB4">
      <w:pPr>
        <w:autoSpaceDE w:val="0"/>
        <w:autoSpaceDN w:val="0"/>
        <w:adjustRightInd w:val="0"/>
        <w:spacing w:before="0" w:after="0" w:line="276" w:lineRule="auto"/>
        <w:rPr>
          <w:rFonts w:cs="Calibri"/>
          <w:szCs w:val="20"/>
        </w:rPr>
      </w:pPr>
      <w:r w:rsidRPr="00D508B6">
        <w:rPr>
          <w:noProof/>
        </w:rPr>
        <w:drawing>
          <wp:inline distT="0" distB="0" distL="0" distR="0" wp14:anchorId="20D22D62" wp14:editId="1CF261C8">
            <wp:extent cx="5766435" cy="2188210"/>
            <wp:effectExtent l="0" t="0" r="5715" b="2540"/>
            <wp:docPr id="49"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C6AD6D" w14:textId="77777777" w:rsidR="00050FB4" w:rsidRPr="00EE66C6" w:rsidRDefault="00050FB4" w:rsidP="001245CE">
      <w:pPr>
        <w:spacing w:before="0"/>
        <w:rPr>
          <w:i/>
          <w:sz w:val="18"/>
          <w:szCs w:val="20"/>
        </w:rPr>
      </w:pPr>
      <w:r w:rsidRPr="00EE66C6">
        <w:rPr>
          <w:i/>
          <w:sz w:val="18"/>
          <w:szCs w:val="20"/>
        </w:rPr>
        <w:t>Źródło: Opracowanie własne na podstawie danych GUS BDL.</w:t>
      </w:r>
    </w:p>
    <w:p w14:paraId="78F82E59" w14:textId="77777777" w:rsidR="00050FB4" w:rsidRPr="005F04FC" w:rsidRDefault="00050FB4" w:rsidP="00050FB4">
      <w:pPr>
        <w:autoSpaceDE w:val="0"/>
        <w:autoSpaceDN w:val="0"/>
        <w:adjustRightInd w:val="0"/>
        <w:spacing w:before="0" w:after="0" w:line="276" w:lineRule="auto"/>
        <w:rPr>
          <w:rFonts w:cs="Calibri"/>
          <w:szCs w:val="20"/>
        </w:rPr>
      </w:pPr>
      <w:r w:rsidRPr="005F04FC">
        <w:rPr>
          <w:rFonts w:cs="Calibri"/>
          <w:szCs w:val="20"/>
        </w:rPr>
        <w:t>Wzrasta także odsetek dzieci uczęszczających do placówek edukacji przedszkolnej.</w:t>
      </w:r>
      <w:r w:rsidR="00E66B89" w:rsidRPr="005F04FC">
        <w:rPr>
          <w:rFonts w:cs="Calibri"/>
          <w:szCs w:val="20"/>
        </w:rPr>
        <w:t xml:space="preserve"> W </w:t>
      </w:r>
      <w:r w:rsidRPr="005F04FC">
        <w:rPr>
          <w:rFonts w:cs="Calibri"/>
          <w:szCs w:val="20"/>
        </w:rPr>
        <w:t>2017 r. 81% dzieci</w:t>
      </w:r>
      <w:r w:rsidR="00E66B89" w:rsidRPr="005F04FC">
        <w:rPr>
          <w:rFonts w:cs="Calibri"/>
          <w:szCs w:val="20"/>
        </w:rPr>
        <w:t xml:space="preserve"> w </w:t>
      </w:r>
      <w:r w:rsidRPr="005F04FC">
        <w:rPr>
          <w:rFonts w:cs="Calibri"/>
          <w:szCs w:val="20"/>
        </w:rPr>
        <w:t>wieku 3-5 lat uczęszczało do placówek wychowania przedszkolnego. Wynik ten sytuuje region wśród 5 województw</w:t>
      </w:r>
      <w:r w:rsidR="00E66B89" w:rsidRPr="005F04FC">
        <w:rPr>
          <w:rFonts w:cs="Calibri"/>
          <w:szCs w:val="20"/>
        </w:rPr>
        <w:t xml:space="preserve"> o </w:t>
      </w:r>
      <w:r w:rsidRPr="005F04FC">
        <w:rPr>
          <w:rFonts w:cs="Calibri"/>
          <w:szCs w:val="20"/>
        </w:rPr>
        <w:t>najniższym stopniu upowszechnienia edukacji przedszkolnej</w:t>
      </w:r>
      <w:r w:rsidR="00E66B89" w:rsidRPr="005F04FC">
        <w:rPr>
          <w:rFonts w:cs="Calibri"/>
          <w:szCs w:val="20"/>
        </w:rPr>
        <w:t xml:space="preserve"> w </w:t>
      </w:r>
      <w:r w:rsidRPr="005F04FC">
        <w:rPr>
          <w:rFonts w:cs="Calibri"/>
          <w:szCs w:val="20"/>
        </w:rPr>
        <w:t>kraju. Jednocześnie</w:t>
      </w:r>
      <w:r w:rsidR="00E66B89" w:rsidRPr="005F04FC">
        <w:rPr>
          <w:rFonts w:cs="Calibri"/>
          <w:szCs w:val="20"/>
        </w:rPr>
        <w:t xml:space="preserve"> w </w:t>
      </w:r>
      <w:r w:rsidRPr="005F04FC">
        <w:rPr>
          <w:rFonts w:cs="Calibri"/>
          <w:szCs w:val="20"/>
        </w:rPr>
        <w:t>latach 2015-2017 spadła liczba dzieci, którym nie przyznano miejsca</w:t>
      </w:r>
      <w:r w:rsidR="00E66B89" w:rsidRPr="005F04FC">
        <w:rPr>
          <w:rFonts w:cs="Calibri"/>
          <w:szCs w:val="20"/>
        </w:rPr>
        <w:t xml:space="preserve"> w </w:t>
      </w:r>
      <w:r w:rsidRPr="005F04FC">
        <w:rPr>
          <w:rFonts w:cs="Calibri"/>
          <w:szCs w:val="20"/>
        </w:rPr>
        <w:t>przedszkolu</w:t>
      </w:r>
      <w:r w:rsidR="00E66B89" w:rsidRPr="005F04FC">
        <w:rPr>
          <w:rFonts w:cs="Calibri"/>
          <w:szCs w:val="20"/>
        </w:rPr>
        <w:t xml:space="preserve"> z </w:t>
      </w:r>
      <w:r w:rsidRPr="005F04FC">
        <w:rPr>
          <w:rFonts w:cs="Calibri"/>
          <w:szCs w:val="20"/>
        </w:rPr>
        <w:t>546 do 258 na 1 tys. dzieci</w:t>
      </w:r>
      <w:r w:rsidR="00E66B89" w:rsidRPr="005F04FC">
        <w:rPr>
          <w:rFonts w:cs="Calibri"/>
          <w:szCs w:val="20"/>
        </w:rPr>
        <w:t xml:space="preserve"> w </w:t>
      </w:r>
      <w:r w:rsidRPr="005F04FC">
        <w:rPr>
          <w:rFonts w:cs="Calibri"/>
          <w:szCs w:val="20"/>
        </w:rPr>
        <w:t>wieku 3-5 lat</w:t>
      </w:r>
      <w:r w:rsidRPr="005F04FC">
        <w:rPr>
          <w:rStyle w:val="Odwoanieprzypisudolnego"/>
          <w:rFonts w:cs="Calibri"/>
          <w:szCs w:val="20"/>
        </w:rPr>
        <w:footnoteReference w:id="111"/>
      </w:r>
      <w:r w:rsidRPr="005F04FC">
        <w:rPr>
          <w:rFonts w:cs="Calibri"/>
          <w:szCs w:val="20"/>
        </w:rPr>
        <w:t>. Pomimo zwiększenia dostępności edukacji przedszkolnej, poziom objęcia dzieci edukacją przedszkolną</w:t>
      </w:r>
      <w:r w:rsidR="00E66B89" w:rsidRPr="005F04FC">
        <w:rPr>
          <w:rFonts w:cs="Calibri"/>
          <w:szCs w:val="20"/>
        </w:rPr>
        <w:t xml:space="preserve"> w </w:t>
      </w:r>
      <w:r w:rsidRPr="005F04FC">
        <w:rPr>
          <w:rFonts w:cs="Calibri"/>
          <w:szCs w:val="20"/>
        </w:rPr>
        <w:t>województwie zachodniopomorskim jest wciąż niższy niż średnia dla całego kraju. Na jedno miejsce</w:t>
      </w:r>
      <w:r w:rsidR="00E66B89" w:rsidRPr="005F04FC">
        <w:rPr>
          <w:rFonts w:cs="Calibri"/>
          <w:szCs w:val="20"/>
        </w:rPr>
        <w:t xml:space="preserve"> w </w:t>
      </w:r>
      <w:r w:rsidRPr="005F04FC">
        <w:rPr>
          <w:rFonts w:cs="Calibri"/>
          <w:szCs w:val="20"/>
        </w:rPr>
        <w:t>przedszkolu (wliczając przedszkola specjalne oraz oddziały przedszkolne przy szkołach podstawowych) przypadało</w:t>
      </w:r>
      <w:r w:rsidR="00E66B89" w:rsidRPr="005F04FC">
        <w:rPr>
          <w:rFonts w:cs="Calibri"/>
          <w:szCs w:val="20"/>
        </w:rPr>
        <w:t xml:space="preserve"> w </w:t>
      </w:r>
      <w:r w:rsidRPr="005F04FC">
        <w:rPr>
          <w:rFonts w:cs="Calibri"/>
          <w:szCs w:val="20"/>
        </w:rPr>
        <w:t>2017 roku 1,01 dziecka, podczas gdy średnia dla kraju wynosiła 0,94. Należy jednak podkreślić, że osiągnięty poziom stosunku miejsc</w:t>
      </w:r>
      <w:r w:rsidR="00E66B89" w:rsidRPr="005F04FC">
        <w:rPr>
          <w:rFonts w:cs="Calibri"/>
          <w:szCs w:val="20"/>
        </w:rPr>
        <w:t xml:space="preserve"> w </w:t>
      </w:r>
      <w:r w:rsidRPr="005F04FC">
        <w:rPr>
          <w:rFonts w:cs="Calibri"/>
          <w:szCs w:val="20"/>
        </w:rPr>
        <w:t>przedszkolach do liczby dzieci</w:t>
      </w:r>
      <w:r w:rsidR="00E66B89" w:rsidRPr="005F04FC">
        <w:rPr>
          <w:rFonts w:cs="Calibri"/>
          <w:szCs w:val="20"/>
        </w:rPr>
        <w:t xml:space="preserve"> w </w:t>
      </w:r>
      <w:r w:rsidRPr="005F04FC">
        <w:rPr>
          <w:rFonts w:cs="Calibri"/>
          <w:szCs w:val="20"/>
        </w:rPr>
        <w:t>wieku przedszkolnym oznacza, że prawie każde dziecko</w:t>
      </w:r>
      <w:r w:rsidR="00E66B89" w:rsidRPr="005F04FC">
        <w:rPr>
          <w:rFonts w:cs="Calibri"/>
          <w:szCs w:val="20"/>
        </w:rPr>
        <w:t xml:space="preserve"> w </w:t>
      </w:r>
      <w:r w:rsidRPr="005F04FC">
        <w:rPr>
          <w:rFonts w:cs="Calibri"/>
          <w:szCs w:val="20"/>
        </w:rPr>
        <w:t>regionie może być przyjęte do przedszkola.</w:t>
      </w:r>
    </w:p>
    <w:p w14:paraId="641700FE" w14:textId="77777777" w:rsidR="00050FB4" w:rsidRPr="00FE73B6" w:rsidRDefault="00050FB4" w:rsidP="00FE73B6">
      <w:pPr>
        <w:pStyle w:val="Legenda"/>
        <w:spacing w:after="0"/>
      </w:pPr>
      <w:bookmarkStart w:id="290" w:name="_Toc5311893"/>
      <w:r w:rsidRPr="0094022E">
        <w:t xml:space="preserve">Wykres </w:t>
      </w:r>
      <w:r>
        <w:fldChar w:fldCharType="begin"/>
      </w:r>
      <w:r>
        <w:instrText xml:space="preserve"> SEQ Wykres \* ARABIC </w:instrText>
      </w:r>
      <w:r>
        <w:fldChar w:fldCharType="separate"/>
      </w:r>
      <w:r w:rsidR="00763345">
        <w:rPr>
          <w:noProof/>
        </w:rPr>
        <w:t>27</w:t>
      </w:r>
      <w:r>
        <w:fldChar w:fldCharType="end"/>
      </w:r>
      <w:r w:rsidRPr="0094022E">
        <w:t xml:space="preserve"> Liczba dzieci</w:t>
      </w:r>
      <w:r w:rsidR="00E66B89">
        <w:t xml:space="preserve"> w </w:t>
      </w:r>
      <w:r w:rsidRPr="0094022E">
        <w:t>placówkach wychowania przedszkolnego na 1 tys. dzieci</w:t>
      </w:r>
      <w:r w:rsidR="00E66B89">
        <w:t xml:space="preserve"> w </w:t>
      </w:r>
      <w:r w:rsidRPr="0094022E">
        <w:t>wieku 3-5 lat</w:t>
      </w:r>
      <w:bookmarkEnd w:id="290"/>
    </w:p>
    <w:p w14:paraId="618E096E" w14:textId="3A13EB88" w:rsidR="00050FB4" w:rsidRPr="00400D96" w:rsidRDefault="00C35619" w:rsidP="00050FB4">
      <w:pPr>
        <w:autoSpaceDE w:val="0"/>
        <w:autoSpaceDN w:val="0"/>
        <w:adjustRightInd w:val="0"/>
        <w:spacing w:before="0" w:after="0" w:line="240" w:lineRule="auto"/>
        <w:jc w:val="left"/>
        <w:rPr>
          <w:rFonts w:ascii="MyriadPro-Regular" w:eastAsia="Calibri" w:hAnsi="MyriadPro-Regular" w:cs="MyriadPro-Regular"/>
          <w:sz w:val="19"/>
          <w:szCs w:val="19"/>
          <w:lang w:eastAsia="en-US"/>
        </w:rPr>
      </w:pPr>
      <w:r w:rsidRPr="00D508B6">
        <w:rPr>
          <w:noProof/>
        </w:rPr>
        <w:drawing>
          <wp:inline distT="0" distB="0" distL="0" distR="0" wp14:anchorId="3A23D5A1" wp14:editId="7C25329F">
            <wp:extent cx="5876925" cy="1790700"/>
            <wp:effectExtent l="0" t="0" r="0" b="0"/>
            <wp:docPr id="50" name="Wykres 4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10CB627" w14:textId="5A311102" w:rsidR="00050FB4" w:rsidRPr="00EE66C6" w:rsidRDefault="00050FB4" w:rsidP="001245CE">
      <w:pPr>
        <w:spacing w:before="0"/>
        <w:rPr>
          <w:i/>
          <w:sz w:val="18"/>
          <w:szCs w:val="20"/>
        </w:rPr>
      </w:pPr>
      <w:r w:rsidRPr="00EE66C6">
        <w:rPr>
          <w:i/>
          <w:sz w:val="18"/>
          <w:szCs w:val="20"/>
        </w:rPr>
        <w:t>Źródło: GUS BDL</w:t>
      </w:r>
      <w:r w:rsidR="00AA6879">
        <w:rPr>
          <w:i/>
          <w:sz w:val="18"/>
          <w:szCs w:val="20"/>
        </w:rPr>
        <w:t>.</w:t>
      </w:r>
    </w:p>
    <w:p w14:paraId="7FB4ACF0" w14:textId="77777777" w:rsidR="00050FB4" w:rsidRPr="005F04FC" w:rsidRDefault="00050FB4" w:rsidP="00050FB4">
      <w:pPr>
        <w:autoSpaceDE w:val="0"/>
        <w:autoSpaceDN w:val="0"/>
        <w:adjustRightInd w:val="0"/>
        <w:spacing w:before="0" w:after="0" w:line="276" w:lineRule="auto"/>
        <w:rPr>
          <w:rFonts w:cs="Calibri"/>
          <w:szCs w:val="20"/>
        </w:rPr>
      </w:pPr>
      <w:r w:rsidRPr="005F04FC">
        <w:rPr>
          <w:rFonts w:cs="Calibri"/>
          <w:szCs w:val="20"/>
        </w:rPr>
        <w:t>W województwie zachodniopomorskim dostrzegalne jest zróżnicowanie regionalne pod względem objęcia dzieci wychowaniem przedszkolnym. Największy odsetek dzieci</w:t>
      </w:r>
      <w:r w:rsidR="00E66B89" w:rsidRPr="005F04FC">
        <w:rPr>
          <w:rFonts w:cs="Calibri"/>
          <w:szCs w:val="20"/>
        </w:rPr>
        <w:t xml:space="preserve"> w </w:t>
      </w:r>
      <w:r w:rsidRPr="005F04FC">
        <w:rPr>
          <w:rFonts w:cs="Calibri"/>
          <w:szCs w:val="20"/>
        </w:rPr>
        <w:t>wieku lat 3-5 uczęszcza do przedszkoli</w:t>
      </w:r>
      <w:r w:rsidR="00E66B89" w:rsidRPr="005F04FC">
        <w:rPr>
          <w:rFonts w:cs="Calibri"/>
          <w:szCs w:val="20"/>
        </w:rPr>
        <w:t xml:space="preserve"> w </w:t>
      </w:r>
      <w:r w:rsidRPr="005F04FC">
        <w:rPr>
          <w:rFonts w:cs="Calibri"/>
          <w:szCs w:val="20"/>
        </w:rPr>
        <w:t>miastach na prawach powiatu. Dla innych powiatów województwa zachodniopomorskiego omawiany wskaźnik mieści się</w:t>
      </w:r>
      <w:r w:rsidR="00E66B89" w:rsidRPr="005F04FC">
        <w:rPr>
          <w:rFonts w:cs="Calibri"/>
          <w:szCs w:val="20"/>
        </w:rPr>
        <w:t xml:space="preserve"> w </w:t>
      </w:r>
      <w:r w:rsidRPr="005F04FC">
        <w:rPr>
          <w:rFonts w:cs="Calibri"/>
          <w:szCs w:val="20"/>
        </w:rPr>
        <w:t>przedziale 86,5%-61,7%. Analiza danych na poziomie powiatów oraz uwzględnienie faktu, że dotyczą one dzieci</w:t>
      </w:r>
      <w:r w:rsidR="00E66B89" w:rsidRPr="005F04FC">
        <w:rPr>
          <w:rFonts w:cs="Calibri"/>
          <w:szCs w:val="20"/>
        </w:rPr>
        <w:t xml:space="preserve"> w </w:t>
      </w:r>
      <w:r w:rsidRPr="005F04FC">
        <w:rPr>
          <w:rFonts w:cs="Calibri"/>
          <w:szCs w:val="20"/>
        </w:rPr>
        <w:t>wieku 3-5 lat - które według obowiązujących przepisów mają prawo do edukacji przedszkolnej</w:t>
      </w:r>
      <w:r w:rsidRPr="005F04FC">
        <w:rPr>
          <w:rStyle w:val="Odwoanieprzypisudolnego"/>
          <w:rFonts w:cs="Calibri"/>
          <w:szCs w:val="20"/>
        </w:rPr>
        <w:footnoteReference w:id="112"/>
      </w:r>
      <w:r w:rsidR="00C22C26" w:rsidRPr="005F04FC">
        <w:rPr>
          <w:rFonts w:cs="Calibri"/>
          <w:szCs w:val="20"/>
        </w:rPr>
        <w:t xml:space="preserve"> </w:t>
      </w:r>
      <w:r w:rsidRPr="005F04FC">
        <w:rPr>
          <w:rFonts w:cs="Calibri"/>
          <w:szCs w:val="20"/>
        </w:rPr>
        <w:t xml:space="preserve">- skłania do przemyślenia aktualności potrzeby likwidacji </w:t>
      </w:r>
      <w:r w:rsidRPr="005F04FC">
        <w:rPr>
          <w:rFonts w:cs="Calibri"/>
          <w:szCs w:val="20"/>
        </w:rPr>
        <w:lastRenderedPageBreak/>
        <w:t>„białych plam”</w:t>
      </w:r>
      <w:r w:rsidR="00E66B89" w:rsidRPr="005F04FC">
        <w:rPr>
          <w:rFonts w:cs="Calibri"/>
          <w:szCs w:val="20"/>
        </w:rPr>
        <w:t xml:space="preserve"> w </w:t>
      </w:r>
      <w:r w:rsidRPr="005F04FC">
        <w:rPr>
          <w:rFonts w:cs="Calibri"/>
          <w:szCs w:val="20"/>
        </w:rPr>
        <w:t>edukacji przedszkolnej, która stała</w:t>
      </w:r>
      <w:r w:rsidR="00E66B89" w:rsidRPr="005F04FC">
        <w:rPr>
          <w:rFonts w:cs="Calibri"/>
          <w:szCs w:val="20"/>
        </w:rPr>
        <w:t xml:space="preserve"> u </w:t>
      </w:r>
      <w:r w:rsidRPr="005F04FC">
        <w:rPr>
          <w:rFonts w:cs="Calibri"/>
          <w:szCs w:val="20"/>
        </w:rPr>
        <w:t>podstaw planowania wsparcia dla przedszkoli. W każdym</w:t>
      </w:r>
      <w:r w:rsidR="00E66B89" w:rsidRPr="005F04FC">
        <w:rPr>
          <w:rFonts w:cs="Calibri"/>
          <w:szCs w:val="20"/>
        </w:rPr>
        <w:t xml:space="preserve"> z </w:t>
      </w:r>
      <w:r w:rsidRPr="005F04FC">
        <w:rPr>
          <w:rFonts w:cs="Calibri"/>
          <w:szCs w:val="20"/>
        </w:rPr>
        <w:t>powiatów województwa zachodniopomorskiego objęto wychowaniem przedszkolnym co najmniej 60% dzieci</w:t>
      </w:r>
      <w:r w:rsidR="00E66B89" w:rsidRPr="005F04FC">
        <w:rPr>
          <w:rFonts w:cs="Calibri"/>
          <w:szCs w:val="20"/>
        </w:rPr>
        <w:t xml:space="preserve"> w </w:t>
      </w:r>
      <w:r w:rsidRPr="005F04FC">
        <w:rPr>
          <w:rFonts w:cs="Calibri"/>
          <w:szCs w:val="20"/>
        </w:rPr>
        <w:t>wieku lat 3-5 - co może sugerować, że istniejące wcześniej miejsca niedostatecznej dostępności edukacji przedszkolnej zniknęły</w:t>
      </w:r>
      <w:r w:rsidR="00E66B89" w:rsidRPr="005F04FC">
        <w:rPr>
          <w:rFonts w:cs="Calibri"/>
          <w:szCs w:val="20"/>
        </w:rPr>
        <w:t xml:space="preserve"> w </w:t>
      </w:r>
      <w:r w:rsidRPr="005F04FC">
        <w:rPr>
          <w:rFonts w:cs="Calibri"/>
          <w:szCs w:val="20"/>
        </w:rPr>
        <w:t>wyniku prowadzonych polityk publicznych.</w:t>
      </w:r>
    </w:p>
    <w:p w14:paraId="515B6AEC" w14:textId="77777777" w:rsidR="00050FB4" w:rsidRPr="009D4D1F" w:rsidRDefault="00050FB4" w:rsidP="00FE73B6">
      <w:pPr>
        <w:pStyle w:val="Legenda"/>
        <w:spacing w:after="0"/>
      </w:pPr>
      <w:bookmarkStart w:id="291" w:name="_Toc8824238"/>
      <w:r w:rsidRPr="00C22C26">
        <w:t xml:space="preserve">Tabela </w:t>
      </w:r>
      <w:r w:rsidR="006E34DC">
        <w:fldChar w:fldCharType="begin"/>
      </w:r>
      <w:r w:rsidR="006E34DC">
        <w:instrText xml:space="preserve"> SEQ Tabela \* ARABIC </w:instrText>
      </w:r>
      <w:r w:rsidR="006E34DC">
        <w:fldChar w:fldCharType="separate"/>
      </w:r>
      <w:r w:rsidR="00763345">
        <w:rPr>
          <w:noProof/>
        </w:rPr>
        <w:t>127</w:t>
      </w:r>
      <w:r w:rsidR="006E34DC">
        <w:fldChar w:fldCharType="end"/>
      </w:r>
      <w:r w:rsidRPr="00C22C26">
        <w:t xml:space="preserve"> </w:t>
      </w:r>
      <w:bookmarkStart w:id="292" w:name="_Hlk5287750"/>
      <w:r w:rsidRPr="00C22C26">
        <w:t>Liczba dzieci</w:t>
      </w:r>
      <w:r w:rsidR="00E66B89">
        <w:t xml:space="preserve"> w </w:t>
      </w:r>
      <w:r w:rsidRPr="00C22C26">
        <w:t>placówkach wychowania przedszkolnego na 1 tys. dzieci</w:t>
      </w:r>
      <w:r w:rsidR="00E66B89">
        <w:t xml:space="preserve"> w </w:t>
      </w:r>
      <w:r w:rsidRPr="00C22C26">
        <w:t>wieku 3-5 lat</w:t>
      </w:r>
      <w:r w:rsidR="00E66B89">
        <w:t xml:space="preserve"> w </w:t>
      </w:r>
      <w:r w:rsidRPr="00C22C26">
        <w:t>powiatach województwa zachodniopomorskiego</w:t>
      </w:r>
      <w:bookmarkEnd w:id="291"/>
      <w:bookmarkEnd w:id="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560"/>
      </w:tblGrid>
      <w:tr w:rsidR="00050FB4" w:rsidRPr="00C0054D" w14:paraId="1266096D" w14:textId="77777777" w:rsidTr="00C22C26">
        <w:trPr>
          <w:jc w:val="center"/>
        </w:trPr>
        <w:tc>
          <w:tcPr>
            <w:tcW w:w="2693" w:type="dxa"/>
            <w:shd w:val="clear" w:color="auto" w:fill="auto"/>
          </w:tcPr>
          <w:p w14:paraId="3B21C3C4"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m.</w:t>
            </w:r>
            <w:r w:rsidR="00DE0A94">
              <w:rPr>
                <w:rFonts w:cs="Calibri"/>
                <w:sz w:val="18"/>
                <w:szCs w:val="18"/>
              </w:rPr>
              <w:t xml:space="preserve"> </w:t>
            </w:r>
            <w:r w:rsidRPr="00C22C26">
              <w:rPr>
                <w:rFonts w:cs="Calibri"/>
                <w:sz w:val="18"/>
                <w:szCs w:val="18"/>
              </w:rPr>
              <w:t>Świnoujście</w:t>
            </w:r>
          </w:p>
        </w:tc>
        <w:tc>
          <w:tcPr>
            <w:tcW w:w="1560" w:type="dxa"/>
            <w:shd w:val="clear" w:color="auto" w:fill="auto"/>
          </w:tcPr>
          <w:p w14:paraId="195FFC7D"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990</w:t>
            </w:r>
          </w:p>
        </w:tc>
      </w:tr>
      <w:tr w:rsidR="00050FB4" w:rsidRPr="00C0054D" w14:paraId="4B1A4172" w14:textId="77777777" w:rsidTr="00C22C26">
        <w:trPr>
          <w:jc w:val="center"/>
        </w:trPr>
        <w:tc>
          <w:tcPr>
            <w:tcW w:w="2693" w:type="dxa"/>
            <w:shd w:val="clear" w:color="auto" w:fill="auto"/>
          </w:tcPr>
          <w:p w14:paraId="6F844F0B"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m.</w:t>
            </w:r>
            <w:r w:rsidR="00DE0A94">
              <w:rPr>
                <w:rFonts w:cs="Calibri"/>
                <w:sz w:val="18"/>
                <w:szCs w:val="18"/>
              </w:rPr>
              <w:t xml:space="preserve"> </w:t>
            </w:r>
            <w:r w:rsidRPr="00C22C26">
              <w:rPr>
                <w:rFonts w:cs="Calibri"/>
                <w:sz w:val="18"/>
                <w:szCs w:val="18"/>
              </w:rPr>
              <w:t>Koszalin</w:t>
            </w:r>
          </w:p>
        </w:tc>
        <w:tc>
          <w:tcPr>
            <w:tcW w:w="1560" w:type="dxa"/>
            <w:shd w:val="clear" w:color="auto" w:fill="auto"/>
          </w:tcPr>
          <w:p w14:paraId="41D95EE5"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989</w:t>
            </w:r>
          </w:p>
        </w:tc>
      </w:tr>
      <w:tr w:rsidR="00050FB4" w:rsidRPr="00C0054D" w14:paraId="5895E694" w14:textId="77777777" w:rsidTr="00C22C26">
        <w:trPr>
          <w:jc w:val="center"/>
        </w:trPr>
        <w:tc>
          <w:tcPr>
            <w:tcW w:w="2693" w:type="dxa"/>
            <w:shd w:val="clear" w:color="auto" w:fill="auto"/>
          </w:tcPr>
          <w:p w14:paraId="494D8C7A"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m.</w:t>
            </w:r>
            <w:r w:rsidR="00DE0A94">
              <w:rPr>
                <w:rFonts w:cs="Calibri"/>
                <w:sz w:val="18"/>
                <w:szCs w:val="18"/>
              </w:rPr>
              <w:t xml:space="preserve"> </w:t>
            </w:r>
            <w:r w:rsidRPr="00C22C26">
              <w:rPr>
                <w:rFonts w:cs="Calibri"/>
                <w:sz w:val="18"/>
                <w:szCs w:val="18"/>
              </w:rPr>
              <w:t>Szczecin</w:t>
            </w:r>
          </w:p>
        </w:tc>
        <w:tc>
          <w:tcPr>
            <w:tcW w:w="1560" w:type="dxa"/>
            <w:shd w:val="clear" w:color="auto" w:fill="auto"/>
          </w:tcPr>
          <w:p w14:paraId="3F130AE6"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960</w:t>
            </w:r>
          </w:p>
        </w:tc>
      </w:tr>
      <w:tr w:rsidR="00050FB4" w:rsidRPr="00C0054D" w14:paraId="5B8751E6" w14:textId="77777777" w:rsidTr="00C22C26">
        <w:trPr>
          <w:jc w:val="center"/>
        </w:trPr>
        <w:tc>
          <w:tcPr>
            <w:tcW w:w="2693" w:type="dxa"/>
            <w:shd w:val="clear" w:color="auto" w:fill="auto"/>
          </w:tcPr>
          <w:p w14:paraId="09BBB17B"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kołobrzeski</w:t>
            </w:r>
          </w:p>
        </w:tc>
        <w:tc>
          <w:tcPr>
            <w:tcW w:w="1560" w:type="dxa"/>
            <w:shd w:val="clear" w:color="auto" w:fill="auto"/>
          </w:tcPr>
          <w:p w14:paraId="00947CE0"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865</w:t>
            </w:r>
          </w:p>
        </w:tc>
      </w:tr>
      <w:tr w:rsidR="00050FB4" w:rsidRPr="00C0054D" w14:paraId="628E4EE8" w14:textId="77777777" w:rsidTr="00C22C26">
        <w:trPr>
          <w:jc w:val="center"/>
        </w:trPr>
        <w:tc>
          <w:tcPr>
            <w:tcW w:w="2693" w:type="dxa"/>
            <w:shd w:val="clear" w:color="auto" w:fill="auto"/>
          </w:tcPr>
          <w:p w14:paraId="715DCB0E"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policki</w:t>
            </w:r>
          </w:p>
        </w:tc>
        <w:tc>
          <w:tcPr>
            <w:tcW w:w="1560" w:type="dxa"/>
            <w:shd w:val="clear" w:color="auto" w:fill="auto"/>
          </w:tcPr>
          <w:p w14:paraId="3643CFF9"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826</w:t>
            </w:r>
          </w:p>
        </w:tc>
      </w:tr>
      <w:tr w:rsidR="00050FB4" w:rsidRPr="00C0054D" w14:paraId="78404726" w14:textId="77777777" w:rsidTr="00C22C26">
        <w:trPr>
          <w:jc w:val="center"/>
        </w:trPr>
        <w:tc>
          <w:tcPr>
            <w:tcW w:w="2693" w:type="dxa"/>
            <w:shd w:val="clear" w:color="auto" w:fill="auto"/>
          </w:tcPr>
          <w:p w14:paraId="0876171E"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goleniowski</w:t>
            </w:r>
          </w:p>
        </w:tc>
        <w:tc>
          <w:tcPr>
            <w:tcW w:w="1560" w:type="dxa"/>
            <w:shd w:val="clear" w:color="auto" w:fill="auto"/>
          </w:tcPr>
          <w:p w14:paraId="35617E8A"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808</w:t>
            </w:r>
          </w:p>
        </w:tc>
      </w:tr>
      <w:tr w:rsidR="00050FB4" w:rsidRPr="00C0054D" w14:paraId="3076A6E2" w14:textId="77777777" w:rsidTr="00C22C26">
        <w:trPr>
          <w:jc w:val="center"/>
        </w:trPr>
        <w:tc>
          <w:tcPr>
            <w:tcW w:w="2693" w:type="dxa"/>
            <w:shd w:val="clear" w:color="auto" w:fill="auto"/>
          </w:tcPr>
          <w:p w14:paraId="54F686E6"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myśliborski</w:t>
            </w:r>
          </w:p>
        </w:tc>
        <w:tc>
          <w:tcPr>
            <w:tcW w:w="1560" w:type="dxa"/>
            <w:shd w:val="clear" w:color="auto" w:fill="auto"/>
          </w:tcPr>
          <w:p w14:paraId="10A1F668"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789</w:t>
            </w:r>
          </w:p>
        </w:tc>
      </w:tr>
      <w:tr w:rsidR="00050FB4" w:rsidRPr="00C0054D" w14:paraId="5E127EE0" w14:textId="77777777" w:rsidTr="00C22C26">
        <w:trPr>
          <w:jc w:val="center"/>
        </w:trPr>
        <w:tc>
          <w:tcPr>
            <w:tcW w:w="2693" w:type="dxa"/>
            <w:shd w:val="clear" w:color="auto" w:fill="auto"/>
          </w:tcPr>
          <w:p w14:paraId="52ED014B"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wałecki</w:t>
            </w:r>
          </w:p>
        </w:tc>
        <w:tc>
          <w:tcPr>
            <w:tcW w:w="1560" w:type="dxa"/>
            <w:shd w:val="clear" w:color="auto" w:fill="auto"/>
          </w:tcPr>
          <w:p w14:paraId="6957883D"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764</w:t>
            </w:r>
          </w:p>
        </w:tc>
      </w:tr>
      <w:tr w:rsidR="00050FB4" w:rsidRPr="00C0054D" w14:paraId="65313CEB" w14:textId="77777777" w:rsidTr="00C22C26">
        <w:trPr>
          <w:jc w:val="center"/>
        </w:trPr>
        <w:tc>
          <w:tcPr>
            <w:tcW w:w="2693" w:type="dxa"/>
            <w:shd w:val="clear" w:color="auto" w:fill="auto"/>
          </w:tcPr>
          <w:p w14:paraId="069A34BD"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sławieński</w:t>
            </w:r>
          </w:p>
        </w:tc>
        <w:tc>
          <w:tcPr>
            <w:tcW w:w="1560" w:type="dxa"/>
            <w:shd w:val="clear" w:color="auto" w:fill="auto"/>
          </w:tcPr>
          <w:p w14:paraId="64E5F692"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749</w:t>
            </w:r>
          </w:p>
        </w:tc>
      </w:tr>
      <w:tr w:rsidR="00050FB4" w:rsidRPr="00C0054D" w14:paraId="6B683186" w14:textId="77777777" w:rsidTr="00C22C26">
        <w:trPr>
          <w:jc w:val="center"/>
        </w:trPr>
        <w:tc>
          <w:tcPr>
            <w:tcW w:w="2693" w:type="dxa"/>
            <w:shd w:val="clear" w:color="auto" w:fill="auto"/>
          </w:tcPr>
          <w:p w14:paraId="2CFAE335"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drawski</w:t>
            </w:r>
          </w:p>
        </w:tc>
        <w:tc>
          <w:tcPr>
            <w:tcW w:w="1560" w:type="dxa"/>
            <w:shd w:val="clear" w:color="auto" w:fill="auto"/>
          </w:tcPr>
          <w:p w14:paraId="2FEB27F2"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747</w:t>
            </w:r>
          </w:p>
        </w:tc>
      </w:tr>
      <w:tr w:rsidR="00050FB4" w:rsidRPr="00C0054D" w14:paraId="6CB75082" w14:textId="77777777" w:rsidTr="00C22C26">
        <w:trPr>
          <w:jc w:val="center"/>
        </w:trPr>
        <w:tc>
          <w:tcPr>
            <w:tcW w:w="2693" w:type="dxa"/>
            <w:shd w:val="clear" w:color="auto" w:fill="auto"/>
          </w:tcPr>
          <w:p w14:paraId="1740CDE1"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stargardzki</w:t>
            </w:r>
          </w:p>
        </w:tc>
        <w:tc>
          <w:tcPr>
            <w:tcW w:w="1560" w:type="dxa"/>
            <w:shd w:val="clear" w:color="auto" w:fill="auto"/>
          </w:tcPr>
          <w:p w14:paraId="2C26EF4E"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743</w:t>
            </w:r>
          </w:p>
        </w:tc>
      </w:tr>
      <w:tr w:rsidR="00050FB4" w:rsidRPr="00C0054D" w14:paraId="71462314" w14:textId="77777777" w:rsidTr="00C22C26">
        <w:trPr>
          <w:jc w:val="center"/>
        </w:trPr>
        <w:tc>
          <w:tcPr>
            <w:tcW w:w="2693" w:type="dxa"/>
            <w:shd w:val="clear" w:color="auto" w:fill="auto"/>
          </w:tcPr>
          <w:p w14:paraId="4F988EE0"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kamieński</w:t>
            </w:r>
          </w:p>
        </w:tc>
        <w:tc>
          <w:tcPr>
            <w:tcW w:w="1560" w:type="dxa"/>
            <w:shd w:val="clear" w:color="auto" w:fill="auto"/>
          </w:tcPr>
          <w:p w14:paraId="2AAE06C3"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741</w:t>
            </w:r>
          </w:p>
        </w:tc>
      </w:tr>
      <w:tr w:rsidR="00050FB4" w:rsidRPr="00C0054D" w14:paraId="4FC18EC7" w14:textId="77777777" w:rsidTr="00C22C26">
        <w:trPr>
          <w:jc w:val="center"/>
        </w:trPr>
        <w:tc>
          <w:tcPr>
            <w:tcW w:w="2693" w:type="dxa"/>
            <w:shd w:val="clear" w:color="auto" w:fill="auto"/>
          </w:tcPr>
          <w:p w14:paraId="2ABCB7F8"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białogardzki</w:t>
            </w:r>
          </w:p>
        </w:tc>
        <w:tc>
          <w:tcPr>
            <w:tcW w:w="1560" w:type="dxa"/>
            <w:shd w:val="clear" w:color="auto" w:fill="auto"/>
          </w:tcPr>
          <w:p w14:paraId="24EA68C2"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725</w:t>
            </w:r>
          </w:p>
        </w:tc>
      </w:tr>
      <w:tr w:rsidR="00050FB4" w:rsidRPr="00C0054D" w14:paraId="303F1399" w14:textId="77777777" w:rsidTr="00C22C26">
        <w:trPr>
          <w:jc w:val="center"/>
        </w:trPr>
        <w:tc>
          <w:tcPr>
            <w:tcW w:w="2693" w:type="dxa"/>
            <w:shd w:val="clear" w:color="auto" w:fill="auto"/>
          </w:tcPr>
          <w:p w14:paraId="4F8F39E4"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świdwiński</w:t>
            </w:r>
          </w:p>
        </w:tc>
        <w:tc>
          <w:tcPr>
            <w:tcW w:w="1560" w:type="dxa"/>
            <w:shd w:val="clear" w:color="auto" w:fill="auto"/>
          </w:tcPr>
          <w:p w14:paraId="44ACB240"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724</w:t>
            </w:r>
          </w:p>
        </w:tc>
      </w:tr>
      <w:tr w:rsidR="00050FB4" w:rsidRPr="00C0054D" w14:paraId="32B866D9" w14:textId="77777777" w:rsidTr="00C22C26">
        <w:trPr>
          <w:jc w:val="center"/>
        </w:trPr>
        <w:tc>
          <w:tcPr>
            <w:tcW w:w="2693" w:type="dxa"/>
            <w:shd w:val="clear" w:color="auto" w:fill="auto"/>
          </w:tcPr>
          <w:p w14:paraId="7EDF9FF5"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gryfiński</w:t>
            </w:r>
          </w:p>
        </w:tc>
        <w:tc>
          <w:tcPr>
            <w:tcW w:w="1560" w:type="dxa"/>
            <w:shd w:val="clear" w:color="auto" w:fill="auto"/>
          </w:tcPr>
          <w:p w14:paraId="64086FDD"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720</w:t>
            </w:r>
          </w:p>
        </w:tc>
      </w:tr>
      <w:tr w:rsidR="00050FB4" w:rsidRPr="00C0054D" w14:paraId="7E239E3F" w14:textId="77777777" w:rsidTr="00C22C26">
        <w:trPr>
          <w:jc w:val="center"/>
        </w:trPr>
        <w:tc>
          <w:tcPr>
            <w:tcW w:w="2693" w:type="dxa"/>
            <w:shd w:val="clear" w:color="auto" w:fill="auto"/>
          </w:tcPr>
          <w:p w14:paraId="674E6C72"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pyrzycki</w:t>
            </w:r>
          </w:p>
        </w:tc>
        <w:tc>
          <w:tcPr>
            <w:tcW w:w="1560" w:type="dxa"/>
            <w:shd w:val="clear" w:color="auto" w:fill="auto"/>
          </w:tcPr>
          <w:p w14:paraId="46A3348B"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707</w:t>
            </w:r>
          </w:p>
        </w:tc>
      </w:tr>
      <w:tr w:rsidR="00050FB4" w:rsidRPr="00C0054D" w14:paraId="487CF764" w14:textId="77777777" w:rsidTr="00C22C26">
        <w:trPr>
          <w:jc w:val="center"/>
        </w:trPr>
        <w:tc>
          <w:tcPr>
            <w:tcW w:w="2693" w:type="dxa"/>
            <w:shd w:val="clear" w:color="auto" w:fill="auto"/>
          </w:tcPr>
          <w:p w14:paraId="377ACA5A"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choszczeński</w:t>
            </w:r>
          </w:p>
        </w:tc>
        <w:tc>
          <w:tcPr>
            <w:tcW w:w="1560" w:type="dxa"/>
            <w:shd w:val="clear" w:color="auto" w:fill="auto"/>
          </w:tcPr>
          <w:p w14:paraId="7CB1B516"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675</w:t>
            </w:r>
          </w:p>
        </w:tc>
      </w:tr>
      <w:tr w:rsidR="00050FB4" w:rsidRPr="00C0054D" w14:paraId="6B6462B8" w14:textId="77777777" w:rsidTr="00C22C26">
        <w:trPr>
          <w:jc w:val="center"/>
        </w:trPr>
        <w:tc>
          <w:tcPr>
            <w:tcW w:w="2693" w:type="dxa"/>
            <w:shd w:val="clear" w:color="auto" w:fill="auto"/>
          </w:tcPr>
          <w:p w14:paraId="7D2B8E77"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szczecinecki</w:t>
            </w:r>
          </w:p>
        </w:tc>
        <w:tc>
          <w:tcPr>
            <w:tcW w:w="1560" w:type="dxa"/>
            <w:shd w:val="clear" w:color="auto" w:fill="auto"/>
          </w:tcPr>
          <w:p w14:paraId="0B0574F4"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675</w:t>
            </w:r>
          </w:p>
        </w:tc>
      </w:tr>
      <w:tr w:rsidR="00050FB4" w:rsidRPr="00C0054D" w14:paraId="2BC3E554" w14:textId="77777777" w:rsidTr="00C22C26">
        <w:trPr>
          <w:jc w:val="center"/>
        </w:trPr>
        <w:tc>
          <w:tcPr>
            <w:tcW w:w="2693" w:type="dxa"/>
            <w:shd w:val="clear" w:color="auto" w:fill="auto"/>
          </w:tcPr>
          <w:p w14:paraId="052C21E3"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gryficki</w:t>
            </w:r>
          </w:p>
        </w:tc>
        <w:tc>
          <w:tcPr>
            <w:tcW w:w="1560" w:type="dxa"/>
            <w:shd w:val="clear" w:color="auto" w:fill="auto"/>
          </w:tcPr>
          <w:p w14:paraId="091CAA74"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663</w:t>
            </w:r>
          </w:p>
        </w:tc>
      </w:tr>
      <w:tr w:rsidR="00050FB4" w:rsidRPr="00C0054D" w14:paraId="2C3B36CB" w14:textId="77777777" w:rsidTr="00C22C26">
        <w:trPr>
          <w:jc w:val="center"/>
        </w:trPr>
        <w:tc>
          <w:tcPr>
            <w:tcW w:w="2693" w:type="dxa"/>
            <w:shd w:val="clear" w:color="auto" w:fill="auto"/>
          </w:tcPr>
          <w:p w14:paraId="1541A268"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koszaliński</w:t>
            </w:r>
          </w:p>
        </w:tc>
        <w:tc>
          <w:tcPr>
            <w:tcW w:w="1560" w:type="dxa"/>
            <w:shd w:val="clear" w:color="auto" w:fill="auto"/>
          </w:tcPr>
          <w:p w14:paraId="12002FEC"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652</w:t>
            </w:r>
          </w:p>
        </w:tc>
      </w:tr>
      <w:tr w:rsidR="00050FB4" w:rsidRPr="00C0054D" w14:paraId="7A0ED303" w14:textId="77777777" w:rsidTr="00C22C26">
        <w:trPr>
          <w:jc w:val="center"/>
        </w:trPr>
        <w:tc>
          <w:tcPr>
            <w:tcW w:w="2693" w:type="dxa"/>
            <w:shd w:val="clear" w:color="auto" w:fill="auto"/>
          </w:tcPr>
          <w:p w14:paraId="76B1DD37"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Powiat łobeski</w:t>
            </w:r>
          </w:p>
        </w:tc>
        <w:tc>
          <w:tcPr>
            <w:tcW w:w="1560" w:type="dxa"/>
            <w:shd w:val="clear" w:color="auto" w:fill="auto"/>
          </w:tcPr>
          <w:p w14:paraId="20806E29" w14:textId="77777777" w:rsidR="00050FB4" w:rsidRPr="005F04FC" w:rsidRDefault="00050FB4" w:rsidP="00050FB4">
            <w:pPr>
              <w:autoSpaceDE w:val="0"/>
              <w:autoSpaceDN w:val="0"/>
              <w:adjustRightInd w:val="0"/>
              <w:spacing w:before="0" w:after="0" w:line="276" w:lineRule="auto"/>
              <w:jc w:val="center"/>
              <w:rPr>
                <w:rFonts w:cs="Calibri"/>
                <w:sz w:val="18"/>
                <w:szCs w:val="18"/>
              </w:rPr>
            </w:pPr>
            <w:r w:rsidRPr="00C22C26">
              <w:rPr>
                <w:rFonts w:cs="Calibri"/>
                <w:sz w:val="18"/>
                <w:szCs w:val="18"/>
              </w:rPr>
              <w:t>617</w:t>
            </w:r>
          </w:p>
        </w:tc>
      </w:tr>
    </w:tbl>
    <w:p w14:paraId="25C21C2B" w14:textId="7637EAA1" w:rsidR="00050FB4" w:rsidRPr="00EE66C6" w:rsidRDefault="00050FB4" w:rsidP="001245CE">
      <w:pPr>
        <w:spacing w:before="0"/>
        <w:rPr>
          <w:i/>
          <w:sz w:val="18"/>
          <w:szCs w:val="20"/>
        </w:rPr>
      </w:pPr>
      <w:r w:rsidRPr="00EE66C6">
        <w:rPr>
          <w:i/>
          <w:sz w:val="18"/>
          <w:szCs w:val="20"/>
        </w:rPr>
        <w:t>Źródło: GUS BDL</w:t>
      </w:r>
      <w:r w:rsidR="00AA6879">
        <w:rPr>
          <w:i/>
          <w:sz w:val="18"/>
          <w:szCs w:val="20"/>
        </w:rPr>
        <w:t>.</w:t>
      </w:r>
    </w:p>
    <w:p w14:paraId="22BF5DB0" w14:textId="77777777" w:rsidR="00050FB4" w:rsidRPr="005F04FC" w:rsidRDefault="00050FB4" w:rsidP="00050FB4">
      <w:pPr>
        <w:autoSpaceDE w:val="0"/>
        <w:autoSpaceDN w:val="0"/>
        <w:adjustRightInd w:val="0"/>
        <w:spacing w:before="0" w:after="0" w:line="276" w:lineRule="auto"/>
        <w:rPr>
          <w:rFonts w:cs="Calibri"/>
          <w:szCs w:val="18"/>
        </w:rPr>
      </w:pPr>
      <w:r w:rsidRPr="005F04FC">
        <w:rPr>
          <w:rFonts w:cs="Calibri"/>
          <w:szCs w:val="18"/>
        </w:rPr>
        <w:t>W celu stwierdzenia aktualności tezy</w:t>
      </w:r>
      <w:r w:rsidR="00E66B89" w:rsidRPr="005F04FC">
        <w:rPr>
          <w:rFonts w:cs="Calibri"/>
          <w:szCs w:val="18"/>
        </w:rPr>
        <w:t xml:space="preserve"> o </w:t>
      </w:r>
      <w:r w:rsidRPr="005F04FC">
        <w:rPr>
          <w:rFonts w:cs="Calibri"/>
          <w:szCs w:val="18"/>
        </w:rPr>
        <w:t>istnieniu „białych plam”</w:t>
      </w:r>
      <w:r w:rsidR="00E66B89" w:rsidRPr="005F04FC">
        <w:rPr>
          <w:rFonts w:cs="Calibri"/>
          <w:szCs w:val="18"/>
        </w:rPr>
        <w:t xml:space="preserve"> w </w:t>
      </w:r>
      <w:r w:rsidRPr="005F04FC">
        <w:rPr>
          <w:rFonts w:cs="Calibri"/>
          <w:szCs w:val="18"/>
        </w:rPr>
        <w:t>edukacji przedszkolnej konieczna jest jednak analiza na poziomie gmin. Do porównania wybrane zostały gminy</w:t>
      </w:r>
      <w:r w:rsidR="00E66B89" w:rsidRPr="005F04FC">
        <w:rPr>
          <w:rFonts w:cs="Calibri"/>
          <w:szCs w:val="18"/>
        </w:rPr>
        <w:t xml:space="preserve"> o </w:t>
      </w:r>
      <w:r w:rsidRPr="005F04FC">
        <w:rPr>
          <w:rFonts w:cs="Calibri"/>
          <w:szCs w:val="18"/>
        </w:rPr>
        <w:t>skrajnie odmiennym poziomie powszechności</w:t>
      </w:r>
      <w:r w:rsidR="00C22C26" w:rsidRPr="005F04FC">
        <w:rPr>
          <w:rFonts w:cs="Calibri"/>
          <w:szCs w:val="18"/>
        </w:rPr>
        <w:t xml:space="preserve"> </w:t>
      </w:r>
      <w:r w:rsidRPr="005F04FC">
        <w:rPr>
          <w:rFonts w:cs="Calibri"/>
          <w:szCs w:val="18"/>
        </w:rPr>
        <w:t>uczęszczania do przedszkoli: powiatu kołobrzeskiego</w:t>
      </w:r>
      <w:r w:rsidR="00E66B89" w:rsidRPr="005F04FC">
        <w:rPr>
          <w:rFonts w:cs="Calibri"/>
          <w:szCs w:val="18"/>
        </w:rPr>
        <w:t xml:space="preserve"> o </w:t>
      </w:r>
      <w:r w:rsidRPr="005F04FC">
        <w:rPr>
          <w:rFonts w:cs="Calibri"/>
          <w:szCs w:val="18"/>
        </w:rPr>
        <w:t>współczynniku objęcia edukacją przedszkolną dzieci</w:t>
      </w:r>
      <w:r w:rsidR="00E66B89" w:rsidRPr="005F04FC">
        <w:rPr>
          <w:rFonts w:cs="Calibri"/>
          <w:szCs w:val="18"/>
        </w:rPr>
        <w:t xml:space="preserve"> w </w:t>
      </w:r>
      <w:r w:rsidRPr="005F04FC">
        <w:rPr>
          <w:rFonts w:cs="Calibri"/>
          <w:szCs w:val="18"/>
        </w:rPr>
        <w:t>wieku 3-5 lat na poziomie 86,5% oraz powiatu łobeskiego (61,7%)</w:t>
      </w:r>
      <w:r w:rsidRPr="005F04FC">
        <w:rPr>
          <w:rStyle w:val="Odwoanieprzypisudolnego"/>
          <w:rFonts w:cs="Calibri"/>
          <w:szCs w:val="18"/>
        </w:rPr>
        <w:footnoteReference w:id="113"/>
      </w:r>
      <w:r w:rsidRPr="005F04FC">
        <w:rPr>
          <w:rFonts w:cs="Calibri"/>
          <w:szCs w:val="18"/>
        </w:rPr>
        <w:t>. Widać wyraźnie, że najwięcej dzieci objętych jest edukacją przedszkolną</w:t>
      </w:r>
      <w:r w:rsidR="00E66B89" w:rsidRPr="005F04FC">
        <w:rPr>
          <w:rFonts w:cs="Calibri"/>
          <w:szCs w:val="18"/>
        </w:rPr>
        <w:t xml:space="preserve"> w </w:t>
      </w:r>
      <w:r w:rsidRPr="005F04FC">
        <w:rPr>
          <w:rFonts w:cs="Calibri"/>
          <w:szCs w:val="18"/>
        </w:rPr>
        <w:t>gminach miejskich oraz na obszarach miejskich gmin miejsko-wiejskich,</w:t>
      </w:r>
      <w:r w:rsidR="00E66B89" w:rsidRPr="005F04FC">
        <w:rPr>
          <w:rFonts w:cs="Calibri"/>
          <w:szCs w:val="18"/>
        </w:rPr>
        <w:t xml:space="preserve"> a </w:t>
      </w:r>
      <w:r w:rsidRPr="005F04FC">
        <w:rPr>
          <w:rFonts w:cs="Calibri"/>
          <w:szCs w:val="18"/>
        </w:rPr>
        <w:t>najmniej na obszarach wiejskich gmin miejsko-wiejskich.</w:t>
      </w:r>
      <w:r w:rsidR="00E66B89" w:rsidRPr="005F04FC">
        <w:rPr>
          <w:rFonts w:cs="Calibri"/>
          <w:szCs w:val="18"/>
        </w:rPr>
        <w:t xml:space="preserve"> W </w:t>
      </w:r>
      <w:r w:rsidRPr="005F04FC">
        <w:rPr>
          <w:rFonts w:cs="Calibri"/>
          <w:szCs w:val="18"/>
        </w:rPr>
        <w:t>kilku miastach, leżących</w:t>
      </w:r>
      <w:r w:rsidR="00E66B89" w:rsidRPr="005F04FC">
        <w:rPr>
          <w:rFonts w:cs="Calibri"/>
          <w:szCs w:val="18"/>
        </w:rPr>
        <w:t xml:space="preserve"> w </w:t>
      </w:r>
      <w:r w:rsidRPr="005F04FC">
        <w:rPr>
          <w:rFonts w:cs="Calibri"/>
          <w:szCs w:val="18"/>
        </w:rPr>
        <w:t>rozpatrywanych powiatach, liczba dzieci</w:t>
      </w:r>
      <w:r w:rsidR="00E66B89" w:rsidRPr="005F04FC">
        <w:rPr>
          <w:rFonts w:cs="Calibri"/>
          <w:szCs w:val="18"/>
        </w:rPr>
        <w:t xml:space="preserve"> w </w:t>
      </w:r>
      <w:r w:rsidRPr="005F04FC">
        <w:rPr>
          <w:rFonts w:cs="Calibri"/>
          <w:szCs w:val="18"/>
        </w:rPr>
        <w:t>wieku 3-5 lat uczęszczających do przedszkoli jest wyższa niż liczba dzieci</w:t>
      </w:r>
      <w:r w:rsidR="00E66B89" w:rsidRPr="005F04FC">
        <w:rPr>
          <w:rFonts w:cs="Calibri"/>
          <w:szCs w:val="18"/>
        </w:rPr>
        <w:t xml:space="preserve"> w </w:t>
      </w:r>
      <w:r w:rsidRPr="005F04FC">
        <w:rPr>
          <w:rFonts w:cs="Calibri"/>
          <w:szCs w:val="18"/>
        </w:rPr>
        <w:t>tym wieku mieszkających</w:t>
      </w:r>
      <w:r w:rsidR="00E66B89" w:rsidRPr="005F04FC">
        <w:rPr>
          <w:rFonts w:cs="Calibri"/>
          <w:szCs w:val="18"/>
        </w:rPr>
        <w:t xml:space="preserve"> w </w:t>
      </w:r>
      <w:r w:rsidRPr="005F04FC">
        <w:rPr>
          <w:rFonts w:cs="Calibri"/>
          <w:szCs w:val="18"/>
        </w:rPr>
        <w:t>tych miastach.</w:t>
      </w:r>
      <w:r w:rsidR="00C22C26" w:rsidRPr="005F04FC">
        <w:rPr>
          <w:rFonts w:cs="Calibri"/>
          <w:szCs w:val="18"/>
        </w:rPr>
        <w:t xml:space="preserve"> </w:t>
      </w:r>
      <w:r w:rsidRPr="005F04FC">
        <w:rPr>
          <w:rFonts w:cs="Calibri"/>
          <w:szCs w:val="18"/>
        </w:rPr>
        <w:t>Pokazuje to powszechność praktyki dowożenia dzieci do przedszkoli</w:t>
      </w:r>
      <w:r w:rsidR="00E66B89" w:rsidRPr="005F04FC">
        <w:rPr>
          <w:rFonts w:cs="Calibri"/>
          <w:szCs w:val="18"/>
        </w:rPr>
        <w:t xml:space="preserve"> w </w:t>
      </w:r>
      <w:r w:rsidRPr="005F04FC">
        <w:rPr>
          <w:rFonts w:cs="Calibri"/>
          <w:szCs w:val="18"/>
        </w:rPr>
        <w:t>miastach przez mieszkańców wsi, np. przy okazji codziennych dojazdów do pracy.</w:t>
      </w:r>
    </w:p>
    <w:p w14:paraId="2279E807" w14:textId="77777777" w:rsidR="00050FB4" w:rsidRPr="009D4D1F" w:rsidRDefault="00050FB4" w:rsidP="00FE73B6">
      <w:pPr>
        <w:pStyle w:val="Legenda"/>
        <w:spacing w:after="0"/>
      </w:pPr>
      <w:bookmarkStart w:id="293" w:name="_Toc8824239"/>
      <w:r w:rsidRPr="00C22C26">
        <w:t xml:space="preserve">Tabela </w:t>
      </w:r>
      <w:r w:rsidR="006E34DC">
        <w:fldChar w:fldCharType="begin"/>
      </w:r>
      <w:r w:rsidR="006E34DC">
        <w:instrText xml:space="preserve"> SEQ Tabela \* ARABIC </w:instrText>
      </w:r>
      <w:r w:rsidR="006E34DC">
        <w:fldChar w:fldCharType="separate"/>
      </w:r>
      <w:r w:rsidR="00763345">
        <w:rPr>
          <w:noProof/>
        </w:rPr>
        <w:t>128</w:t>
      </w:r>
      <w:r w:rsidR="006E34DC">
        <w:fldChar w:fldCharType="end"/>
      </w:r>
      <w:r w:rsidRPr="00C22C26">
        <w:t xml:space="preserve"> Liczba dzieci</w:t>
      </w:r>
      <w:r w:rsidR="00E66B89">
        <w:t xml:space="preserve"> w </w:t>
      </w:r>
      <w:r w:rsidRPr="00C22C26">
        <w:t>placówkach wychowania przedszkolnego na 1 tys. dzieci</w:t>
      </w:r>
      <w:r w:rsidR="00E66B89">
        <w:t xml:space="preserve"> w </w:t>
      </w:r>
      <w:r w:rsidRPr="00C22C26">
        <w:t>wieku 3-5 lat</w:t>
      </w:r>
      <w:r w:rsidR="00E66B89">
        <w:t xml:space="preserve"> w </w:t>
      </w:r>
      <w:r w:rsidRPr="00C22C26">
        <w:t>powiecie kołobrzeskim</w:t>
      </w:r>
      <w:r w:rsidR="00E66B89">
        <w:t xml:space="preserve"> i </w:t>
      </w:r>
      <w:r w:rsidRPr="00C22C26">
        <w:t>łobeskim</w:t>
      </w:r>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081"/>
        <w:gridCol w:w="2911"/>
        <w:gridCol w:w="1093"/>
      </w:tblGrid>
      <w:tr w:rsidR="00050FB4" w:rsidRPr="00C0054D" w14:paraId="56015DA2" w14:textId="77777777" w:rsidTr="005F04FC">
        <w:trPr>
          <w:trHeight w:val="321"/>
          <w:tblHeader/>
        </w:trPr>
        <w:tc>
          <w:tcPr>
            <w:tcW w:w="1643" w:type="pct"/>
            <w:shd w:val="clear" w:color="auto" w:fill="DBE5F1"/>
            <w:noWrap/>
            <w:vAlign w:val="bottom"/>
            <w:hideMark/>
          </w:tcPr>
          <w:p w14:paraId="39C72C23" w14:textId="77777777" w:rsidR="00050FB4" w:rsidRPr="00C22C26" w:rsidRDefault="00050FB4" w:rsidP="00050FB4">
            <w:pPr>
              <w:spacing w:before="0" w:after="0" w:line="240" w:lineRule="auto"/>
              <w:jc w:val="center"/>
              <w:rPr>
                <w:sz w:val="18"/>
                <w:szCs w:val="18"/>
              </w:rPr>
            </w:pPr>
            <w:r w:rsidRPr="00C22C26">
              <w:rPr>
                <w:sz w:val="18"/>
                <w:szCs w:val="18"/>
              </w:rPr>
              <w:t>Powiat kołobrzeski</w:t>
            </w:r>
          </w:p>
        </w:tc>
        <w:tc>
          <w:tcPr>
            <w:tcW w:w="1148" w:type="pct"/>
            <w:shd w:val="clear" w:color="auto" w:fill="DBE5F1"/>
            <w:noWrap/>
            <w:vAlign w:val="bottom"/>
            <w:hideMark/>
          </w:tcPr>
          <w:p w14:paraId="28F4FB28" w14:textId="77777777" w:rsidR="00050FB4" w:rsidRPr="00C22C26" w:rsidRDefault="00050FB4" w:rsidP="00050FB4">
            <w:pPr>
              <w:spacing w:before="0" w:after="0" w:line="240" w:lineRule="auto"/>
              <w:jc w:val="center"/>
              <w:rPr>
                <w:sz w:val="18"/>
                <w:szCs w:val="18"/>
              </w:rPr>
            </w:pPr>
            <w:r w:rsidRPr="00C22C26">
              <w:rPr>
                <w:sz w:val="18"/>
                <w:szCs w:val="18"/>
              </w:rPr>
              <w:t>865</w:t>
            </w:r>
          </w:p>
        </w:tc>
        <w:tc>
          <w:tcPr>
            <w:tcW w:w="1606" w:type="pct"/>
            <w:shd w:val="clear" w:color="auto" w:fill="DBE5F1"/>
            <w:noWrap/>
            <w:vAlign w:val="bottom"/>
            <w:hideMark/>
          </w:tcPr>
          <w:p w14:paraId="5953E919" w14:textId="77777777" w:rsidR="00050FB4" w:rsidRPr="00C22C26" w:rsidRDefault="00050FB4" w:rsidP="00050FB4">
            <w:pPr>
              <w:spacing w:before="0" w:after="0" w:line="240" w:lineRule="auto"/>
              <w:jc w:val="center"/>
              <w:rPr>
                <w:sz w:val="18"/>
                <w:szCs w:val="18"/>
              </w:rPr>
            </w:pPr>
            <w:r w:rsidRPr="00C22C26">
              <w:rPr>
                <w:sz w:val="18"/>
                <w:szCs w:val="18"/>
              </w:rPr>
              <w:t>Powiat łobeski</w:t>
            </w:r>
          </w:p>
        </w:tc>
        <w:tc>
          <w:tcPr>
            <w:tcW w:w="604" w:type="pct"/>
            <w:shd w:val="clear" w:color="auto" w:fill="DBE5F1"/>
            <w:noWrap/>
            <w:vAlign w:val="bottom"/>
            <w:hideMark/>
          </w:tcPr>
          <w:p w14:paraId="03224D6F" w14:textId="77777777" w:rsidR="00050FB4" w:rsidRPr="00C22C26" w:rsidRDefault="00050FB4" w:rsidP="00050FB4">
            <w:pPr>
              <w:spacing w:before="0" w:after="0" w:line="240" w:lineRule="auto"/>
              <w:jc w:val="center"/>
              <w:rPr>
                <w:sz w:val="18"/>
                <w:szCs w:val="18"/>
              </w:rPr>
            </w:pPr>
            <w:r w:rsidRPr="00C22C26">
              <w:rPr>
                <w:sz w:val="18"/>
                <w:szCs w:val="18"/>
              </w:rPr>
              <w:t>617</w:t>
            </w:r>
          </w:p>
        </w:tc>
      </w:tr>
      <w:tr w:rsidR="00050FB4" w:rsidRPr="00C0054D" w14:paraId="02626285" w14:textId="77777777" w:rsidTr="00C22C26">
        <w:trPr>
          <w:trHeight w:val="321"/>
        </w:trPr>
        <w:tc>
          <w:tcPr>
            <w:tcW w:w="1643" w:type="pct"/>
            <w:shd w:val="clear" w:color="auto" w:fill="auto"/>
            <w:noWrap/>
            <w:vAlign w:val="bottom"/>
            <w:hideMark/>
          </w:tcPr>
          <w:p w14:paraId="0D72068B"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Gościno - miasto</w:t>
            </w:r>
          </w:p>
        </w:tc>
        <w:tc>
          <w:tcPr>
            <w:tcW w:w="1148" w:type="pct"/>
            <w:shd w:val="clear" w:color="auto" w:fill="auto"/>
            <w:noWrap/>
            <w:vAlign w:val="bottom"/>
            <w:hideMark/>
          </w:tcPr>
          <w:p w14:paraId="6A71C22F"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1 133</w:t>
            </w:r>
          </w:p>
        </w:tc>
        <w:tc>
          <w:tcPr>
            <w:tcW w:w="1606" w:type="pct"/>
            <w:shd w:val="clear" w:color="auto" w:fill="auto"/>
            <w:noWrap/>
            <w:vAlign w:val="bottom"/>
            <w:hideMark/>
          </w:tcPr>
          <w:p w14:paraId="29336E0D"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Łobez - miasto</w:t>
            </w:r>
          </w:p>
        </w:tc>
        <w:tc>
          <w:tcPr>
            <w:tcW w:w="604" w:type="pct"/>
            <w:shd w:val="clear" w:color="auto" w:fill="auto"/>
            <w:noWrap/>
            <w:vAlign w:val="bottom"/>
            <w:hideMark/>
          </w:tcPr>
          <w:p w14:paraId="3511AE8F"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1 024</w:t>
            </w:r>
          </w:p>
        </w:tc>
      </w:tr>
      <w:tr w:rsidR="00050FB4" w:rsidRPr="00C0054D" w14:paraId="7D437B5E" w14:textId="77777777" w:rsidTr="00C22C26">
        <w:trPr>
          <w:trHeight w:val="321"/>
        </w:trPr>
        <w:tc>
          <w:tcPr>
            <w:tcW w:w="1643" w:type="pct"/>
            <w:shd w:val="clear" w:color="auto" w:fill="auto"/>
            <w:noWrap/>
            <w:vAlign w:val="bottom"/>
            <w:hideMark/>
          </w:tcPr>
          <w:p w14:paraId="136A2F22"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Kołobrzeg - miasto</w:t>
            </w:r>
          </w:p>
        </w:tc>
        <w:tc>
          <w:tcPr>
            <w:tcW w:w="1148" w:type="pct"/>
            <w:shd w:val="clear" w:color="auto" w:fill="auto"/>
            <w:noWrap/>
            <w:vAlign w:val="bottom"/>
            <w:hideMark/>
          </w:tcPr>
          <w:p w14:paraId="6B9EE246"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1 075</w:t>
            </w:r>
          </w:p>
        </w:tc>
        <w:tc>
          <w:tcPr>
            <w:tcW w:w="1606" w:type="pct"/>
            <w:shd w:val="clear" w:color="auto" w:fill="auto"/>
            <w:noWrap/>
            <w:vAlign w:val="bottom"/>
            <w:hideMark/>
          </w:tcPr>
          <w:p w14:paraId="495B8DBE"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Węgorzyno - miasto</w:t>
            </w:r>
          </w:p>
        </w:tc>
        <w:tc>
          <w:tcPr>
            <w:tcW w:w="604" w:type="pct"/>
            <w:shd w:val="clear" w:color="auto" w:fill="auto"/>
            <w:noWrap/>
            <w:vAlign w:val="bottom"/>
            <w:hideMark/>
          </w:tcPr>
          <w:p w14:paraId="585984AB"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1 000</w:t>
            </w:r>
          </w:p>
        </w:tc>
      </w:tr>
      <w:tr w:rsidR="00050FB4" w:rsidRPr="00C0054D" w14:paraId="2F8A8247" w14:textId="77777777" w:rsidTr="00C22C26">
        <w:trPr>
          <w:trHeight w:val="321"/>
        </w:trPr>
        <w:tc>
          <w:tcPr>
            <w:tcW w:w="1643" w:type="pct"/>
            <w:shd w:val="clear" w:color="auto" w:fill="auto"/>
            <w:noWrap/>
            <w:vAlign w:val="bottom"/>
            <w:hideMark/>
          </w:tcPr>
          <w:p w14:paraId="20E0D0E4"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Ustronie Morskie</w:t>
            </w:r>
          </w:p>
        </w:tc>
        <w:tc>
          <w:tcPr>
            <w:tcW w:w="1148" w:type="pct"/>
            <w:shd w:val="clear" w:color="auto" w:fill="auto"/>
            <w:noWrap/>
            <w:vAlign w:val="bottom"/>
            <w:hideMark/>
          </w:tcPr>
          <w:p w14:paraId="6BBA8B86"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755</w:t>
            </w:r>
          </w:p>
        </w:tc>
        <w:tc>
          <w:tcPr>
            <w:tcW w:w="1606" w:type="pct"/>
            <w:shd w:val="clear" w:color="auto" w:fill="auto"/>
            <w:noWrap/>
            <w:vAlign w:val="bottom"/>
            <w:hideMark/>
          </w:tcPr>
          <w:p w14:paraId="6E878591"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Resko - miasto</w:t>
            </w:r>
          </w:p>
        </w:tc>
        <w:tc>
          <w:tcPr>
            <w:tcW w:w="604" w:type="pct"/>
            <w:shd w:val="clear" w:color="auto" w:fill="auto"/>
            <w:noWrap/>
            <w:vAlign w:val="bottom"/>
            <w:hideMark/>
          </w:tcPr>
          <w:p w14:paraId="601C0F79"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880</w:t>
            </w:r>
          </w:p>
        </w:tc>
      </w:tr>
      <w:tr w:rsidR="00050FB4" w:rsidRPr="00C0054D" w14:paraId="1AACCC6F" w14:textId="77777777" w:rsidTr="00C22C26">
        <w:trPr>
          <w:trHeight w:val="321"/>
        </w:trPr>
        <w:tc>
          <w:tcPr>
            <w:tcW w:w="1643" w:type="pct"/>
            <w:shd w:val="clear" w:color="auto" w:fill="auto"/>
            <w:noWrap/>
            <w:vAlign w:val="bottom"/>
            <w:hideMark/>
          </w:tcPr>
          <w:p w14:paraId="6FB4B827"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Rymań</w:t>
            </w:r>
          </w:p>
        </w:tc>
        <w:tc>
          <w:tcPr>
            <w:tcW w:w="1148" w:type="pct"/>
            <w:shd w:val="clear" w:color="auto" w:fill="auto"/>
            <w:noWrap/>
            <w:vAlign w:val="bottom"/>
            <w:hideMark/>
          </w:tcPr>
          <w:p w14:paraId="0309B29F"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716</w:t>
            </w:r>
          </w:p>
        </w:tc>
        <w:tc>
          <w:tcPr>
            <w:tcW w:w="1606" w:type="pct"/>
            <w:shd w:val="clear" w:color="auto" w:fill="auto"/>
            <w:noWrap/>
            <w:vAlign w:val="bottom"/>
            <w:hideMark/>
          </w:tcPr>
          <w:p w14:paraId="26163A61"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Dobra - miasto</w:t>
            </w:r>
          </w:p>
        </w:tc>
        <w:tc>
          <w:tcPr>
            <w:tcW w:w="604" w:type="pct"/>
            <w:shd w:val="clear" w:color="auto" w:fill="auto"/>
            <w:noWrap/>
            <w:vAlign w:val="bottom"/>
            <w:hideMark/>
          </w:tcPr>
          <w:p w14:paraId="3DCA730F"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879</w:t>
            </w:r>
          </w:p>
        </w:tc>
      </w:tr>
      <w:tr w:rsidR="00050FB4" w:rsidRPr="00C0054D" w14:paraId="4E8EAF4E" w14:textId="77777777" w:rsidTr="00C22C26">
        <w:trPr>
          <w:trHeight w:val="321"/>
        </w:trPr>
        <w:tc>
          <w:tcPr>
            <w:tcW w:w="1643" w:type="pct"/>
            <w:shd w:val="clear" w:color="auto" w:fill="auto"/>
            <w:noWrap/>
            <w:vAlign w:val="bottom"/>
            <w:hideMark/>
          </w:tcPr>
          <w:p w14:paraId="722B8AD3"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Gościno</w:t>
            </w:r>
          </w:p>
        </w:tc>
        <w:tc>
          <w:tcPr>
            <w:tcW w:w="1148" w:type="pct"/>
            <w:shd w:val="clear" w:color="auto" w:fill="auto"/>
            <w:noWrap/>
            <w:vAlign w:val="bottom"/>
            <w:hideMark/>
          </w:tcPr>
          <w:p w14:paraId="0B79ABF4"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653</w:t>
            </w:r>
          </w:p>
        </w:tc>
        <w:tc>
          <w:tcPr>
            <w:tcW w:w="1606" w:type="pct"/>
            <w:shd w:val="clear" w:color="auto" w:fill="auto"/>
            <w:noWrap/>
            <w:vAlign w:val="bottom"/>
            <w:hideMark/>
          </w:tcPr>
          <w:p w14:paraId="55C66750"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Łobez</w:t>
            </w:r>
          </w:p>
        </w:tc>
        <w:tc>
          <w:tcPr>
            <w:tcW w:w="604" w:type="pct"/>
            <w:shd w:val="clear" w:color="auto" w:fill="auto"/>
            <w:noWrap/>
            <w:vAlign w:val="bottom"/>
            <w:hideMark/>
          </w:tcPr>
          <w:p w14:paraId="37764054"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688</w:t>
            </w:r>
          </w:p>
        </w:tc>
      </w:tr>
      <w:tr w:rsidR="00050FB4" w:rsidRPr="00C0054D" w14:paraId="643A648F" w14:textId="77777777" w:rsidTr="00C22C26">
        <w:trPr>
          <w:trHeight w:val="321"/>
        </w:trPr>
        <w:tc>
          <w:tcPr>
            <w:tcW w:w="1643" w:type="pct"/>
            <w:shd w:val="clear" w:color="auto" w:fill="auto"/>
            <w:noWrap/>
            <w:vAlign w:val="bottom"/>
            <w:hideMark/>
          </w:tcPr>
          <w:p w14:paraId="52E8268A"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lastRenderedPageBreak/>
              <w:t>Siemyśl</w:t>
            </w:r>
          </w:p>
        </w:tc>
        <w:tc>
          <w:tcPr>
            <w:tcW w:w="1148" w:type="pct"/>
            <w:shd w:val="clear" w:color="auto" w:fill="auto"/>
            <w:noWrap/>
            <w:vAlign w:val="bottom"/>
            <w:hideMark/>
          </w:tcPr>
          <w:p w14:paraId="2F1B68DB"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625</w:t>
            </w:r>
          </w:p>
        </w:tc>
        <w:tc>
          <w:tcPr>
            <w:tcW w:w="1606" w:type="pct"/>
            <w:shd w:val="clear" w:color="auto" w:fill="auto"/>
            <w:noWrap/>
            <w:vAlign w:val="bottom"/>
            <w:hideMark/>
          </w:tcPr>
          <w:p w14:paraId="4992628A"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Węgorzyno</w:t>
            </w:r>
          </w:p>
        </w:tc>
        <w:tc>
          <w:tcPr>
            <w:tcW w:w="604" w:type="pct"/>
            <w:shd w:val="clear" w:color="auto" w:fill="auto"/>
            <w:noWrap/>
            <w:vAlign w:val="bottom"/>
            <w:hideMark/>
          </w:tcPr>
          <w:p w14:paraId="0FDB1ED4"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623</w:t>
            </w:r>
          </w:p>
        </w:tc>
      </w:tr>
      <w:tr w:rsidR="00050FB4" w:rsidRPr="00C0054D" w14:paraId="24CC02F3" w14:textId="77777777" w:rsidTr="00C22C26">
        <w:trPr>
          <w:trHeight w:val="321"/>
        </w:trPr>
        <w:tc>
          <w:tcPr>
            <w:tcW w:w="1643" w:type="pct"/>
            <w:shd w:val="clear" w:color="auto" w:fill="auto"/>
            <w:noWrap/>
            <w:vAlign w:val="bottom"/>
            <w:hideMark/>
          </w:tcPr>
          <w:p w14:paraId="2F30AEF9"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Dygowo</w:t>
            </w:r>
          </w:p>
        </w:tc>
        <w:tc>
          <w:tcPr>
            <w:tcW w:w="1148" w:type="pct"/>
            <w:shd w:val="clear" w:color="auto" w:fill="auto"/>
            <w:noWrap/>
            <w:vAlign w:val="bottom"/>
            <w:hideMark/>
          </w:tcPr>
          <w:p w14:paraId="79B544F2"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593</w:t>
            </w:r>
          </w:p>
        </w:tc>
        <w:tc>
          <w:tcPr>
            <w:tcW w:w="1606" w:type="pct"/>
            <w:shd w:val="clear" w:color="auto" w:fill="auto"/>
            <w:noWrap/>
            <w:vAlign w:val="bottom"/>
            <w:hideMark/>
          </w:tcPr>
          <w:p w14:paraId="3A22E47C"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Resko</w:t>
            </w:r>
          </w:p>
        </w:tc>
        <w:tc>
          <w:tcPr>
            <w:tcW w:w="604" w:type="pct"/>
            <w:shd w:val="clear" w:color="auto" w:fill="auto"/>
            <w:noWrap/>
            <w:vAlign w:val="bottom"/>
            <w:hideMark/>
          </w:tcPr>
          <w:p w14:paraId="67A44A87"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592</w:t>
            </w:r>
          </w:p>
        </w:tc>
      </w:tr>
      <w:tr w:rsidR="00050FB4" w:rsidRPr="00C0054D" w14:paraId="6F69902A" w14:textId="77777777" w:rsidTr="00C22C26">
        <w:trPr>
          <w:trHeight w:val="321"/>
        </w:trPr>
        <w:tc>
          <w:tcPr>
            <w:tcW w:w="1643" w:type="pct"/>
            <w:shd w:val="clear" w:color="auto" w:fill="auto"/>
            <w:noWrap/>
            <w:vAlign w:val="bottom"/>
            <w:hideMark/>
          </w:tcPr>
          <w:p w14:paraId="4199D8F4"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Kołobrzeg - gmina</w:t>
            </w:r>
          </w:p>
        </w:tc>
        <w:tc>
          <w:tcPr>
            <w:tcW w:w="1148" w:type="pct"/>
            <w:shd w:val="clear" w:color="auto" w:fill="auto"/>
            <w:noWrap/>
            <w:vAlign w:val="bottom"/>
            <w:hideMark/>
          </w:tcPr>
          <w:p w14:paraId="4624D6B7"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563</w:t>
            </w:r>
          </w:p>
        </w:tc>
        <w:tc>
          <w:tcPr>
            <w:tcW w:w="1606" w:type="pct"/>
            <w:shd w:val="clear" w:color="auto" w:fill="auto"/>
            <w:noWrap/>
            <w:vAlign w:val="bottom"/>
            <w:hideMark/>
          </w:tcPr>
          <w:p w14:paraId="0E4E0EAA"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Dobra</w:t>
            </w:r>
          </w:p>
        </w:tc>
        <w:tc>
          <w:tcPr>
            <w:tcW w:w="604" w:type="pct"/>
            <w:shd w:val="clear" w:color="auto" w:fill="auto"/>
            <w:noWrap/>
            <w:vAlign w:val="bottom"/>
            <w:hideMark/>
          </w:tcPr>
          <w:p w14:paraId="63953D9D"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545</w:t>
            </w:r>
          </w:p>
        </w:tc>
      </w:tr>
      <w:tr w:rsidR="00050FB4" w:rsidRPr="00C0054D" w14:paraId="61B7ADED" w14:textId="77777777" w:rsidTr="00C22C26">
        <w:trPr>
          <w:trHeight w:val="321"/>
        </w:trPr>
        <w:tc>
          <w:tcPr>
            <w:tcW w:w="1643" w:type="pct"/>
            <w:shd w:val="clear" w:color="auto" w:fill="auto"/>
            <w:noWrap/>
            <w:vAlign w:val="bottom"/>
            <w:hideMark/>
          </w:tcPr>
          <w:p w14:paraId="3FCC9D2F"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Gościno - obszar wiejski</w:t>
            </w:r>
          </w:p>
        </w:tc>
        <w:tc>
          <w:tcPr>
            <w:tcW w:w="1148" w:type="pct"/>
            <w:shd w:val="clear" w:color="auto" w:fill="auto"/>
            <w:noWrap/>
            <w:vAlign w:val="bottom"/>
            <w:hideMark/>
          </w:tcPr>
          <w:p w14:paraId="27B6ECB7"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130</w:t>
            </w:r>
          </w:p>
        </w:tc>
        <w:tc>
          <w:tcPr>
            <w:tcW w:w="1606" w:type="pct"/>
            <w:shd w:val="clear" w:color="auto" w:fill="auto"/>
            <w:noWrap/>
            <w:vAlign w:val="bottom"/>
            <w:hideMark/>
          </w:tcPr>
          <w:p w14:paraId="2FA3FDC0"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Radowo Małe</w:t>
            </w:r>
          </w:p>
        </w:tc>
        <w:tc>
          <w:tcPr>
            <w:tcW w:w="604" w:type="pct"/>
            <w:shd w:val="clear" w:color="auto" w:fill="auto"/>
            <w:noWrap/>
            <w:vAlign w:val="bottom"/>
            <w:hideMark/>
          </w:tcPr>
          <w:p w14:paraId="414A7D5A"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520</w:t>
            </w:r>
          </w:p>
        </w:tc>
      </w:tr>
      <w:tr w:rsidR="00050FB4" w:rsidRPr="00C0054D" w14:paraId="475F77D3" w14:textId="77777777" w:rsidTr="00C22C26">
        <w:trPr>
          <w:trHeight w:val="321"/>
        </w:trPr>
        <w:tc>
          <w:tcPr>
            <w:tcW w:w="1643" w:type="pct"/>
            <w:shd w:val="clear" w:color="auto" w:fill="auto"/>
            <w:noWrap/>
            <w:vAlign w:val="bottom"/>
            <w:hideMark/>
          </w:tcPr>
          <w:p w14:paraId="5E983AD5" w14:textId="77777777" w:rsidR="00050FB4" w:rsidRPr="00C22C26" w:rsidRDefault="00050FB4" w:rsidP="00050FB4">
            <w:pPr>
              <w:spacing w:before="0" w:after="0" w:line="240" w:lineRule="auto"/>
              <w:jc w:val="center"/>
              <w:rPr>
                <w:rFonts w:cs="Calibri"/>
                <w:sz w:val="18"/>
                <w:szCs w:val="18"/>
              </w:rPr>
            </w:pPr>
          </w:p>
        </w:tc>
        <w:tc>
          <w:tcPr>
            <w:tcW w:w="1148" w:type="pct"/>
            <w:shd w:val="clear" w:color="auto" w:fill="auto"/>
            <w:noWrap/>
            <w:vAlign w:val="bottom"/>
            <w:hideMark/>
          </w:tcPr>
          <w:p w14:paraId="1115E023" w14:textId="77777777" w:rsidR="00050FB4" w:rsidRPr="00C22C26" w:rsidRDefault="00050FB4" w:rsidP="00050FB4">
            <w:pPr>
              <w:spacing w:before="0" w:after="0" w:line="240" w:lineRule="auto"/>
              <w:jc w:val="center"/>
              <w:rPr>
                <w:sz w:val="18"/>
                <w:szCs w:val="18"/>
              </w:rPr>
            </w:pPr>
          </w:p>
        </w:tc>
        <w:tc>
          <w:tcPr>
            <w:tcW w:w="1606" w:type="pct"/>
            <w:shd w:val="clear" w:color="auto" w:fill="auto"/>
            <w:noWrap/>
            <w:vAlign w:val="bottom"/>
            <w:hideMark/>
          </w:tcPr>
          <w:p w14:paraId="0F4461A1"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Węgorzyno - obszar wiejski</w:t>
            </w:r>
          </w:p>
        </w:tc>
        <w:tc>
          <w:tcPr>
            <w:tcW w:w="604" w:type="pct"/>
            <w:shd w:val="clear" w:color="auto" w:fill="auto"/>
            <w:noWrap/>
            <w:vAlign w:val="bottom"/>
            <w:hideMark/>
          </w:tcPr>
          <w:p w14:paraId="4D6218D5"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384</w:t>
            </w:r>
          </w:p>
        </w:tc>
      </w:tr>
      <w:tr w:rsidR="00050FB4" w:rsidRPr="00C0054D" w14:paraId="08053097" w14:textId="77777777" w:rsidTr="00C22C26">
        <w:trPr>
          <w:trHeight w:val="321"/>
        </w:trPr>
        <w:tc>
          <w:tcPr>
            <w:tcW w:w="1643" w:type="pct"/>
            <w:shd w:val="clear" w:color="auto" w:fill="auto"/>
            <w:noWrap/>
            <w:vAlign w:val="bottom"/>
            <w:hideMark/>
          </w:tcPr>
          <w:p w14:paraId="3484A854" w14:textId="77777777" w:rsidR="00050FB4" w:rsidRPr="00C22C26" w:rsidRDefault="00050FB4" w:rsidP="00050FB4">
            <w:pPr>
              <w:spacing w:before="0" w:after="0" w:line="240" w:lineRule="auto"/>
              <w:jc w:val="center"/>
              <w:rPr>
                <w:rFonts w:cs="Calibri"/>
                <w:sz w:val="18"/>
                <w:szCs w:val="18"/>
              </w:rPr>
            </w:pPr>
          </w:p>
        </w:tc>
        <w:tc>
          <w:tcPr>
            <w:tcW w:w="1148" w:type="pct"/>
            <w:shd w:val="clear" w:color="auto" w:fill="auto"/>
            <w:noWrap/>
            <w:vAlign w:val="bottom"/>
            <w:hideMark/>
          </w:tcPr>
          <w:p w14:paraId="603A6DB7" w14:textId="77777777" w:rsidR="00050FB4" w:rsidRPr="00C22C26" w:rsidRDefault="00050FB4" w:rsidP="00050FB4">
            <w:pPr>
              <w:spacing w:before="0" w:after="0" w:line="240" w:lineRule="auto"/>
              <w:jc w:val="center"/>
              <w:rPr>
                <w:sz w:val="18"/>
                <w:szCs w:val="18"/>
              </w:rPr>
            </w:pPr>
          </w:p>
        </w:tc>
        <w:tc>
          <w:tcPr>
            <w:tcW w:w="1606" w:type="pct"/>
            <w:shd w:val="clear" w:color="auto" w:fill="auto"/>
            <w:noWrap/>
            <w:vAlign w:val="bottom"/>
            <w:hideMark/>
          </w:tcPr>
          <w:p w14:paraId="3C8FDF18"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Resko - obszar wiejski</w:t>
            </w:r>
          </w:p>
        </w:tc>
        <w:tc>
          <w:tcPr>
            <w:tcW w:w="604" w:type="pct"/>
            <w:shd w:val="clear" w:color="auto" w:fill="auto"/>
            <w:noWrap/>
            <w:vAlign w:val="bottom"/>
            <w:hideMark/>
          </w:tcPr>
          <w:p w14:paraId="766E7ED9"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317</w:t>
            </w:r>
          </w:p>
        </w:tc>
      </w:tr>
      <w:tr w:rsidR="00050FB4" w:rsidRPr="00C0054D" w14:paraId="2EBA751A" w14:textId="77777777" w:rsidTr="00C22C26">
        <w:trPr>
          <w:trHeight w:val="321"/>
        </w:trPr>
        <w:tc>
          <w:tcPr>
            <w:tcW w:w="1643" w:type="pct"/>
            <w:shd w:val="clear" w:color="auto" w:fill="auto"/>
            <w:noWrap/>
            <w:vAlign w:val="bottom"/>
            <w:hideMark/>
          </w:tcPr>
          <w:p w14:paraId="4A25B7BE" w14:textId="77777777" w:rsidR="00050FB4" w:rsidRPr="00C22C26" w:rsidRDefault="00050FB4" w:rsidP="00050FB4">
            <w:pPr>
              <w:spacing w:before="0" w:after="0" w:line="240" w:lineRule="auto"/>
              <w:jc w:val="center"/>
              <w:rPr>
                <w:rFonts w:cs="Calibri"/>
                <w:sz w:val="18"/>
                <w:szCs w:val="18"/>
              </w:rPr>
            </w:pPr>
          </w:p>
        </w:tc>
        <w:tc>
          <w:tcPr>
            <w:tcW w:w="1148" w:type="pct"/>
            <w:shd w:val="clear" w:color="auto" w:fill="auto"/>
            <w:noWrap/>
            <w:vAlign w:val="bottom"/>
            <w:hideMark/>
          </w:tcPr>
          <w:p w14:paraId="2406D848" w14:textId="77777777" w:rsidR="00050FB4" w:rsidRPr="00C22C26" w:rsidRDefault="00050FB4" w:rsidP="00050FB4">
            <w:pPr>
              <w:spacing w:before="0" w:after="0" w:line="240" w:lineRule="auto"/>
              <w:jc w:val="center"/>
              <w:rPr>
                <w:sz w:val="18"/>
                <w:szCs w:val="18"/>
              </w:rPr>
            </w:pPr>
          </w:p>
        </w:tc>
        <w:tc>
          <w:tcPr>
            <w:tcW w:w="1606" w:type="pct"/>
            <w:shd w:val="clear" w:color="auto" w:fill="auto"/>
            <w:noWrap/>
            <w:vAlign w:val="bottom"/>
            <w:hideMark/>
          </w:tcPr>
          <w:p w14:paraId="35A3F6FB"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Dobra - obszar wiejski</w:t>
            </w:r>
          </w:p>
        </w:tc>
        <w:tc>
          <w:tcPr>
            <w:tcW w:w="604" w:type="pct"/>
            <w:shd w:val="clear" w:color="auto" w:fill="auto"/>
            <w:noWrap/>
            <w:vAlign w:val="bottom"/>
            <w:hideMark/>
          </w:tcPr>
          <w:p w14:paraId="6E46D731"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221</w:t>
            </w:r>
          </w:p>
        </w:tc>
      </w:tr>
      <w:tr w:rsidR="00050FB4" w:rsidRPr="00C0054D" w14:paraId="69EB51AD" w14:textId="77777777" w:rsidTr="00C22C26">
        <w:trPr>
          <w:trHeight w:val="321"/>
        </w:trPr>
        <w:tc>
          <w:tcPr>
            <w:tcW w:w="1643" w:type="pct"/>
            <w:shd w:val="clear" w:color="auto" w:fill="auto"/>
            <w:noWrap/>
            <w:vAlign w:val="bottom"/>
            <w:hideMark/>
          </w:tcPr>
          <w:p w14:paraId="422B3B7D" w14:textId="77777777" w:rsidR="00050FB4" w:rsidRPr="00C22C26" w:rsidRDefault="00050FB4" w:rsidP="00050FB4">
            <w:pPr>
              <w:spacing w:before="0" w:after="0" w:line="240" w:lineRule="auto"/>
              <w:jc w:val="center"/>
              <w:rPr>
                <w:rFonts w:cs="Calibri"/>
                <w:sz w:val="18"/>
                <w:szCs w:val="18"/>
              </w:rPr>
            </w:pPr>
          </w:p>
        </w:tc>
        <w:tc>
          <w:tcPr>
            <w:tcW w:w="1148" w:type="pct"/>
            <w:shd w:val="clear" w:color="auto" w:fill="auto"/>
            <w:noWrap/>
            <w:vAlign w:val="bottom"/>
            <w:hideMark/>
          </w:tcPr>
          <w:p w14:paraId="0F960A79" w14:textId="77777777" w:rsidR="00050FB4" w:rsidRPr="00C22C26" w:rsidRDefault="00050FB4" w:rsidP="00050FB4">
            <w:pPr>
              <w:spacing w:before="0" w:after="0" w:line="240" w:lineRule="auto"/>
              <w:jc w:val="center"/>
              <w:rPr>
                <w:sz w:val="18"/>
                <w:szCs w:val="18"/>
              </w:rPr>
            </w:pPr>
          </w:p>
        </w:tc>
        <w:tc>
          <w:tcPr>
            <w:tcW w:w="1606" w:type="pct"/>
            <w:shd w:val="clear" w:color="auto" w:fill="auto"/>
            <w:noWrap/>
            <w:vAlign w:val="bottom"/>
            <w:hideMark/>
          </w:tcPr>
          <w:p w14:paraId="0A1C7231"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Łobez - obszar wiejski</w:t>
            </w:r>
          </w:p>
        </w:tc>
        <w:tc>
          <w:tcPr>
            <w:tcW w:w="604" w:type="pct"/>
            <w:shd w:val="clear" w:color="auto" w:fill="auto"/>
            <w:noWrap/>
            <w:vAlign w:val="bottom"/>
            <w:hideMark/>
          </w:tcPr>
          <w:p w14:paraId="0055780E" w14:textId="77777777" w:rsidR="00050FB4" w:rsidRPr="00C22C26" w:rsidRDefault="00050FB4" w:rsidP="00050FB4">
            <w:pPr>
              <w:spacing w:before="0" w:after="0" w:line="240" w:lineRule="auto"/>
              <w:jc w:val="center"/>
              <w:rPr>
                <w:rFonts w:cs="Calibri"/>
                <w:sz w:val="18"/>
                <w:szCs w:val="18"/>
              </w:rPr>
            </w:pPr>
            <w:r w:rsidRPr="00C22C26">
              <w:rPr>
                <w:rFonts w:cs="Calibri"/>
                <w:sz w:val="18"/>
                <w:szCs w:val="18"/>
              </w:rPr>
              <w:t>60</w:t>
            </w:r>
          </w:p>
        </w:tc>
      </w:tr>
    </w:tbl>
    <w:p w14:paraId="03A95A94" w14:textId="6C28D9C9" w:rsidR="00050FB4" w:rsidRPr="00EE66C6" w:rsidRDefault="00050FB4" w:rsidP="001245CE">
      <w:pPr>
        <w:spacing w:before="0"/>
        <w:rPr>
          <w:i/>
          <w:sz w:val="18"/>
          <w:szCs w:val="20"/>
        </w:rPr>
      </w:pPr>
      <w:r w:rsidRPr="00EE66C6">
        <w:rPr>
          <w:i/>
          <w:sz w:val="18"/>
          <w:szCs w:val="20"/>
        </w:rPr>
        <w:t>Źródło: GUS BDL</w:t>
      </w:r>
      <w:r w:rsidR="00AA6879">
        <w:rPr>
          <w:i/>
          <w:sz w:val="18"/>
          <w:szCs w:val="20"/>
        </w:rPr>
        <w:t>.</w:t>
      </w:r>
    </w:p>
    <w:p w14:paraId="1304A3E1" w14:textId="77777777" w:rsidR="00050FB4" w:rsidRPr="005F04FC" w:rsidRDefault="00050FB4" w:rsidP="00050FB4">
      <w:pPr>
        <w:autoSpaceDE w:val="0"/>
        <w:autoSpaceDN w:val="0"/>
        <w:adjustRightInd w:val="0"/>
        <w:spacing w:before="0" w:after="0" w:line="276" w:lineRule="auto"/>
        <w:rPr>
          <w:rFonts w:cs="Calibri"/>
          <w:szCs w:val="20"/>
        </w:rPr>
      </w:pPr>
      <w:r w:rsidRPr="005F04FC">
        <w:rPr>
          <w:rFonts w:cs="Calibri"/>
          <w:szCs w:val="18"/>
        </w:rPr>
        <w:t>Różnica</w:t>
      </w:r>
      <w:r w:rsidR="00E66B89" w:rsidRPr="005F04FC">
        <w:rPr>
          <w:rFonts w:cs="Calibri"/>
          <w:szCs w:val="18"/>
        </w:rPr>
        <w:t xml:space="preserve"> w </w:t>
      </w:r>
      <w:r w:rsidRPr="005F04FC">
        <w:rPr>
          <w:rFonts w:cs="Calibri"/>
          <w:szCs w:val="18"/>
        </w:rPr>
        <w:t>rozpowszechnieniu edukacji przedszkolnej</w:t>
      </w:r>
      <w:r w:rsidR="00E66B89" w:rsidRPr="005F04FC">
        <w:rPr>
          <w:rFonts w:cs="Calibri"/>
          <w:szCs w:val="18"/>
        </w:rPr>
        <w:t xml:space="preserve"> w </w:t>
      </w:r>
      <w:r w:rsidRPr="005F04FC">
        <w:rPr>
          <w:rFonts w:cs="Calibri"/>
          <w:szCs w:val="18"/>
        </w:rPr>
        <w:t>miastach</w:t>
      </w:r>
      <w:r w:rsidR="00E66B89" w:rsidRPr="005F04FC">
        <w:rPr>
          <w:rFonts w:cs="Calibri"/>
          <w:szCs w:val="18"/>
        </w:rPr>
        <w:t xml:space="preserve"> i </w:t>
      </w:r>
      <w:r w:rsidRPr="005F04FC">
        <w:rPr>
          <w:rFonts w:cs="Calibri"/>
          <w:szCs w:val="18"/>
        </w:rPr>
        <w:t>na wsiach uwidacznia się również</w:t>
      </w:r>
      <w:r w:rsidR="00E66B89" w:rsidRPr="005F04FC">
        <w:rPr>
          <w:rFonts w:cs="Calibri"/>
          <w:szCs w:val="18"/>
        </w:rPr>
        <w:t xml:space="preserve"> w </w:t>
      </w:r>
      <w:r w:rsidRPr="005F04FC">
        <w:rPr>
          <w:rFonts w:cs="Calibri"/>
          <w:szCs w:val="18"/>
        </w:rPr>
        <w:t>przypadku analizy danych dla całego województwa zachodniopomorskiego. Wskaźnik objęcia edukacją przedszkolną dzieci</w:t>
      </w:r>
      <w:r w:rsidR="00E66B89" w:rsidRPr="005F04FC">
        <w:rPr>
          <w:rFonts w:cs="Calibri"/>
          <w:szCs w:val="18"/>
        </w:rPr>
        <w:t xml:space="preserve"> w </w:t>
      </w:r>
      <w:r w:rsidRPr="005F04FC">
        <w:rPr>
          <w:rFonts w:cs="Calibri"/>
          <w:szCs w:val="18"/>
        </w:rPr>
        <w:t>wieku 3-5 lat</w:t>
      </w:r>
      <w:r w:rsidR="00E66B89" w:rsidRPr="005F04FC">
        <w:rPr>
          <w:rFonts w:cs="Calibri"/>
          <w:szCs w:val="18"/>
        </w:rPr>
        <w:t xml:space="preserve"> w </w:t>
      </w:r>
      <w:r w:rsidRPr="005F04FC">
        <w:rPr>
          <w:rFonts w:cs="Calibri"/>
          <w:szCs w:val="18"/>
        </w:rPr>
        <w:t>miastach przyjmuje wartość prawie 2,5 raza wyższą niż na terenach wiejskich (100,6% wobec 43,6%). Należy jednak zauważyć, że</w:t>
      </w:r>
      <w:r w:rsidR="00E66B89" w:rsidRPr="005F04FC">
        <w:rPr>
          <w:rFonts w:cs="Calibri"/>
          <w:szCs w:val="18"/>
        </w:rPr>
        <w:t xml:space="preserve"> w </w:t>
      </w:r>
      <w:r w:rsidRPr="005F04FC">
        <w:rPr>
          <w:rFonts w:cs="Calibri"/>
          <w:szCs w:val="18"/>
        </w:rPr>
        <w:t>latach 2012-2017 dynamika wzrostu wskaźnika rozpowszechnienia edukacji przedszkolnej była podobna</w:t>
      </w:r>
      <w:r w:rsidR="00E66B89" w:rsidRPr="005F04FC">
        <w:rPr>
          <w:rFonts w:cs="Calibri"/>
          <w:szCs w:val="18"/>
        </w:rPr>
        <w:t xml:space="preserve"> i </w:t>
      </w:r>
      <w:r w:rsidRPr="005F04FC">
        <w:rPr>
          <w:rFonts w:cs="Calibri"/>
          <w:szCs w:val="18"/>
        </w:rPr>
        <w:t>wyniosła około 22 p.p. Oznacza to, że istniejące różnice pomiędzy obszarami miejskimi</w:t>
      </w:r>
      <w:r w:rsidR="00E66B89" w:rsidRPr="005F04FC">
        <w:rPr>
          <w:rFonts w:cs="Calibri"/>
          <w:szCs w:val="18"/>
        </w:rPr>
        <w:t xml:space="preserve"> i </w:t>
      </w:r>
      <w:r w:rsidRPr="005F04FC">
        <w:rPr>
          <w:rFonts w:cs="Calibri"/>
          <w:szCs w:val="18"/>
        </w:rPr>
        <w:t>wiejskimi utrzymują się na stałym poziomie. Jednocześnie należy zauważyć, że</w:t>
      </w:r>
      <w:r w:rsidR="00E66B89" w:rsidRPr="005F04FC">
        <w:rPr>
          <w:rFonts w:cs="Calibri"/>
          <w:szCs w:val="18"/>
        </w:rPr>
        <w:t xml:space="preserve"> w </w:t>
      </w:r>
      <w:r w:rsidRPr="005F04FC">
        <w:rPr>
          <w:rFonts w:cs="Calibri"/>
          <w:szCs w:val="18"/>
        </w:rPr>
        <w:t>każdej</w:t>
      </w:r>
      <w:r w:rsidR="00E66B89" w:rsidRPr="005F04FC">
        <w:rPr>
          <w:rFonts w:cs="Calibri"/>
          <w:szCs w:val="18"/>
        </w:rPr>
        <w:t xml:space="preserve"> z </w:t>
      </w:r>
      <w:r w:rsidRPr="005F04FC">
        <w:rPr>
          <w:rFonts w:cs="Calibri"/>
          <w:szCs w:val="18"/>
        </w:rPr>
        <w:t>gmin wiejskich</w:t>
      </w:r>
      <w:r w:rsidR="00E66B89" w:rsidRPr="005F04FC">
        <w:rPr>
          <w:rFonts w:cs="Calibri"/>
          <w:szCs w:val="18"/>
        </w:rPr>
        <w:t xml:space="preserve"> i </w:t>
      </w:r>
      <w:r w:rsidRPr="005F04FC">
        <w:rPr>
          <w:rFonts w:cs="Calibri"/>
          <w:szCs w:val="18"/>
        </w:rPr>
        <w:t>miejsko-wiejskich (rozpatrywanych jako całość)</w:t>
      </w:r>
      <w:r w:rsidR="00C22C26" w:rsidRPr="005F04FC">
        <w:rPr>
          <w:rFonts w:cs="Calibri"/>
          <w:szCs w:val="18"/>
        </w:rPr>
        <w:t xml:space="preserve"> </w:t>
      </w:r>
      <w:r w:rsidRPr="005F04FC">
        <w:rPr>
          <w:rFonts w:cs="Calibri"/>
          <w:szCs w:val="18"/>
        </w:rPr>
        <w:t>województwa zachodniopomorskiego wskaźnik objęcia edukacją przedszkolną dzieci</w:t>
      </w:r>
      <w:r w:rsidR="00E66B89" w:rsidRPr="005F04FC">
        <w:rPr>
          <w:rFonts w:cs="Calibri"/>
          <w:szCs w:val="18"/>
        </w:rPr>
        <w:t xml:space="preserve"> w </w:t>
      </w:r>
      <w:r w:rsidRPr="005F04FC">
        <w:rPr>
          <w:rFonts w:cs="Calibri"/>
          <w:szCs w:val="18"/>
        </w:rPr>
        <w:t xml:space="preserve">wieku 3-5 lat wynosi co najmniej 39,3% </w:t>
      </w:r>
      <w:r w:rsidRPr="005F04FC">
        <w:rPr>
          <w:rStyle w:val="Odwoanieprzypisudolnego"/>
          <w:rFonts w:cs="Calibri"/>
          <w:szCs w:val="18"/>
        </w:rPr>
        <w:footnoteReference w:id="114"/>
      </w:r>
      <w:r w:rsidRPr="005F04FC">
        <w:rPr>
          <w:rFonts w:cs="Calibri"/>
          <w:szCs w:val="18"/>
        </w:rPr>
        <w:t>. Jednocześnie, analizując różnice</w:t>
      </w:r>
      <w:r w:rsidR="00E66B89" w:rsidRPr="005F04FC">
        <w:rPr>
          <w:rFonts w:cs="Calibri"/>
          <w:szCs w:val="18"/>
        </w:rPr>
        <w:t xml:space="preserve"> w </w:t>
      </w:r>
      <w:r w:rsidRPr="005F04FC">
        <w:rPr>
          <w:rFonts w:cs="Calibri"/>
          <w:szCs w:val="18"/>
        </w:rPr>
        <w:t>objęciu edukacją przedszkolną dzieci na terenach miejskich</w:t>
      </w:r>
      <w:r w:rsidR="00E66B89" w:rsidRPr="005F04FC">
        <w:rPr>
          <w:rFonts w:cs="Calibri"/>
          <w:szCs w:val="18"/>
        </w:rPr>
        <w:t xml:space="preserve"> i </w:t>
      </w:r>
      <w:r w:rsidRPr="005F04FC">
        <w:rPr>
          <w:rFonts w:cs="Calibri"/>
          <w:szCs w:val="18"/>
        </w:rPr>
        <w:t>wiejskich należy pamiętać, że województwo zachodniopomorskie jest jednym</w:t>
      </w:r>
      <w:r w:rsidR="00E66B89" w:rsidRPr="005F04FC">
        <w:rPr>
          <w:rFonts w:cs="Calibri"/>
          <w:szCs w:val="18"/>
        </w:rPr>
        <w:t xml:space="preserve"> z </w:t>
      </w:r>
      <w:r w:rsidRPr="005F04FC">
        <w:rPr>
          <w:rFonts w:cs="Calibri"/>
          <w:szCs w:val="18"/>
        </w:rPr>
        <w:t>najbardziej zurbanizowanych regionów</w:t>
      </w:r>
      <w:r w:rsidR="00E66B89" w:rsidRPr="005F04FC">
        <w:rPr>
          <w:rFonts w:cs="Calibri"/>
          <w:szCs w:val="18"/>
        </w:rPr>
        <w:t xml:space="preserve"> w </w:t>
      </w:r>
      <w:r w:rsidRPr="005F04FC">
        <w:rPr>
          <w:rFonts w:cs="Calibri"/>
          <w:szCs w:val="18"/>
        </w:rPr>
        <w:t>Polsce.</w:t>
      </w:r>
      <w:r w:rsidR="00E66B89" w:rsidRPr="005F04FC">
        <w:rPr>
          <w:rFonts w:cs="Calibri"/>
          <w:szCs w:val="18"/>
        </w:rPr>
        <w:t xml:space="preserve"> W </w:t>
      </w:r>
      <w:r w:rsidRPr="005F04FC">
        <w:rPr>
          <w:rFonts w:cs="Calibri"/>
          <w:szCs w:val="18"/>
        </w:rPr>
        <w:t>2017 roku</w:t>
      </w:r>
      <w:r w:rsidR="00E66B89" w:rsidRPr="005F04FC">
        <w:rPr>
          <w:rFonts w:cs="Calibri"/>
          <w:szCs w:val="18"/>
        </w:rPr>
        <w:t xml:space="preserve"> w </w:t>
      </w:r>
      <w:r w:rsidRPr="005F04FC">
        <w:rPr>
          <w:rFonts w:cs="Calibri"/>
          <w:szCs w:val="18"/>
        </w:rPr>
        <w:t>miastach mieszkało 68,6% mieszkańców województwa, czyli ponad dwukrotnie więcej niż na terenach wiejskich.</w:t>
      </w:r>
    </w:p>
    <w:p w14:paraId="340FA67C" w14:textId="77777777" w:rsidR="00050FB4" w:rsidRPr="000A4D2F" w:rsidRDefault="00050FB4" w:rsidP="00FE73B6">
      <w:pPr>
        <w:pStyle w:val="Legenda"/>
        <w:spacing w:after="0"/>
      </w:pPr>
      <w:bookmarkStart w:id="294" w:name="_Toc5311894"/>
      <w:r>
        <w:t xml:space="preserve">Wykres </w:t>
      </w:r>
      <w:r>
        <w:fldChar w:fldCharType="begin"/>
      </w:r>
      <w:r>
        <w:instrText xml:space="preserve"> SEQ Wykres \* ARABIC </w:instrText>
      </w:r>
      <w:r>
        <w:fldChar w:fldCharType="separate"/>
      </w:r>
      <w:r w:rsidR="00763345">
        <w:rPr>
          <w:noProof/>
        </w:rPr>
        <w:t>28</w:t>
      </w:r>
      <w:r>
        <w:fldChar w:fldCharType="end"/>
      </w:r>
      <w:r>
        <w:t xml:space="preserve"> Liczba dzieci</w:t>
      </w:r>
      <w:r w:rsidR="00E66B89">
        <w:t xml:space="preserve"> w </w:t>
      </w:r>
      <w:r>
        <w:t>wieku lat 3-5 uczęszczających do przedszkoli na 1 tys. dzieci</w:t>
      </w:r>
      <w:r w:rsidR="00E66B89">
        <w:t xml:space="preserve"> w </w:t>
      </w:r>
      <w:r>
        <w:t>wieku lat 3-5</w:t>
      </w:r>
      <w:r w:rsidR="00E66B89">
        <w:t xml:space="preserve"> w </w:t>
      </w:r>
      <w:r>
        <w:t>województwie zachodniopomorskim</w:t>
      </w:r>
      <w:r w:rsidR="00E66B89">
        <w:t xml:space="preserve"> w </w:t>
      </w:r>
      <w:r>
        <w:t>latach 2012-2017.</w:t>
      </w:r>
      <w:bookmarkEnd w:id="294"/>
    </w:p>
    <w:p w14:paraId="5772C248" w14:textId="27665092" w:rsidR="00050FB4" w:rsidRPr="00EE66C6" w:rsidRDefault="00C35619" w:rsidP="00050FB4">
      <w:pPr>
        <w:rPr>
          <w:i/>
          <w:sz w:val="18"/>
          <w:szCs w:val="20"/>
        </w:rPr>
      </w:pPr>
      <w:r w:rsidRPr="00D508B6">
        <w:rPr>
          <w:noProof/>
        </w:rPr>
        <w:drawing>
          <wp:inline distT="0" distB="0" distL="0" distR="0" wp14:anchorId="0BC750D7" wp14:editId="56608BC0">
            <wp:extent cx="5762625" cy="3019425"/>
            <wp:effectExtent l="0" t="0" r="0" b="0"/>
            <wp:docPr id="51"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95" w:name="_Toc1482741"/>
      <w:r w:rsidR="00050FB4" w:rsidRPr="00EE66C6">
        <w:rPr>
          <w:i/>
          <w:sz w:val="18"/>
          <w:szCs w:val="20"/>
        </w:rPr>
        <w:t>Źródło: GUS BDL</w:t>
      </w:r>
      <w:r w:rsidR="00AA6879">
        <w:rPr>
          <w:i/>
          <w:sz w:val="18"/>
          <w:szCs w:val="20"/>
        </w:rPr>
        <w:t>.</w:t>
      </w:r>
    </w:p>
    <w:bookmarkEnd w:id="295"/>
    <w:p w14:paraId="689418D3" w14:textId="77777777" w:rsidR="00050FB4" w:rsidRPr="005F04FC" w:rsidRDefault="00050FB4" w:rsidP="00050FB4">
      <w:pPr>
        <w:autoSpaceDE w:val="0"/>
        <w:autoSpaceDN w:val="0"/>
        <w:adjustRightInd w:val="0"/>
        <w:spacing w:before="0" w:after="0" w:line="276" w:lineRule="auto"/>
        <w:rPr>
          <w:rFonts w:cs="Calibri"/>
          <w:szCs w:val="20"/>
        </w:rPr>
      </w:pPr>
      <w:r w:rsidRPr="005F04FC">
        <w:rPr>
          <w:rFonts w:cs="Calibri"/>
          <w:szCs w:val="20"/>
        </w:rPr>
        <w:lastRenderedPageBreak/>
        <w:t>Obserwowane zwiększenie dostępności miejsc</w:t>
      </w:r>
      <w:r w:rsidR="00E66B89" w:rsidRPr="005F04FC">
        <w:rPr>
          <w:rFonts w:cs="Calibri"/>
          <w:szCs w:val="20"/>
        </w:rPr>
        <w:t xml:space="preserve"> w </w:t>
      </w:r>
      <w:r w:rsidRPr="005F04FC">
        <w:rPr>
          <w:rFonts w:cs="Calibri"/>
          <w:szCs w:val="20"/>
        </w:rPr>
        <w:t>przedszkolach spowodowane jest przede wszystkim otwieraniem nowych oddziałów, ale także zmniejszeniem się liczby dzieci</w:t>
      </w:r>
      <w:r w:rsidR="00E66B89" w:rsidRPr="005F04FC">
        <w:rPr>
          <w:rFonts w:cs="Calibri"/>
          <w:szCs w:val="20"/>
        </w:rPr>
        <w:t xml:space="preserve"> w </w:t>
      </w:r>
      <w:r w:rsidRPr="005F04FC">
        <w:rPr>
          <w:rFonts w:cs="Calibri"/>
          <w:szCs w:val="20"/>
        </w:rPr>
        <w:t>wieku przedszkolnym zamieszkujących województwo.</w:t>
      </w:r>
      <w:r w:rsidR="00E66B89" w:rsidRPr="005F04FC">
        <w:rPr>
          <w:rFonts w:cs="Calibri"/>
          <w:szCs w:val="20"/>
        </w:rPr>
        <w:t xml:space="preserve"> W </w:t>
      </w:r>
      <w:r w:rsidRPr="005F04FC">
        <w:rPr>
          <w:rFonts w:cs="Calibri"/>
          <w:szCs w:val="20"/>
        </w:rPr>
        <w:t>województwie zachodniopomorskim liczba dzieci</w:t>
      </w:r>
      <w:r w:rsidR="00E66B89" w:rsidRPr="005F04FC">
        <w:rPr>
          <w:rFonts w:cs="Calibri"/>
          <w:szCs w:val="20"/>
        </w:rPr>
        <w:t xml:space="preserve"> w </w:t>
      </w:r>
      <w:r w:rsidRPr="005F04FC">
        <w:rPr>
          <w:rFonts w:cs="Calibri"/>
          <w:szCs w:val="20"/>
        </w:rPr>
        <w:t>wieku 3-5 lat jest najniższa</w:t>
      </w:r>
      <w:r w:rsidR="00E66B89" w:rsidRPr="005F04FC">
        <w:rPr>
          <w:rFonts w:cs="Calibri"/>
          <w:szCs w:val="20"/>
        </w:rPr>
        <w:t xml:space="preserve"> w </w:t>
      </w:r>
      <w:r w:rsidRPr="005F04FC">
        <w:rPr>
          <w:rFonts w:cs="Calibri"/>
          <w:szCs w:val="20"/>
        </w:rPr>
        <w:t>czasach III RP</w:t>
      </w:r>
      <w:r w:rsidR="00E66B89" w:rsidRPr="005F04FC">
        <w:rPr>
          <w:rFonts w:cs="Calibri"/>
          <w:szCs w:val="20"/>
        </w:rPr>
        <w:t xml:space="preserve"> i </w:t>
      </w:r>
      <w:r w:rsidRPr="005F04FC">
        <w:rPr>
          <w:rFonts w:cs="Calibri"/>
          <w:szCs w:val="20"/>
        </w:rPr>
        <w:t>wynosi aktualnie 47 162 osób. Jednocześnie od 2016 roku rośnie liczba urodzeń żywych. Jednakże wzrost ten nie uzasadnia tworzenia nowych miejsc</w:t>
      </w:r>
      <w:r w:rsidR="00E66B89" w:rsidRPr="005F04FC">
        <w:rPr>
          <w:rFonts w:cs="Calibri"/>
          <w:szCs w:val="20"/>
        </w:rPr>
        <w:t xml:space="preserve"> w </w:t>
      </w:r>
      <w:r w:rsidRPr="005F04FC">
        <w:rPr>
          <w:rFonts w:cs="Calibri"/>
          <w:szCs w:val="20"/>
        </w:rPr>
        <w:t>przedszkolach, ponieważ istniejąca obecnie infrastruktura przedszkolna jest wystarczająca do przyjęcia dzieci wchodzących</w:t>
      </w:r>
      <w:r w:rsidR="00E66B89" w:rsidRPr="005F04FC">
        <w:rPr>
          <w:rFonts w:cs="Calibri"/>
          <w:szCs w:val="20"/>
        </w:rPr>
        <w:t xml:space="preserve"> w </w:t>
      </w:r>
      <w:r w:rsidRPr="005F04FC">
        <w:rPr>
          <w:rFonts w:cs="Calibri"/>
          <w:szCs w:val="20"/>
        </w:rPr>
        <w:t>wiek uprawniający je do edukacji przedszkolnej.</w:t>
      </w:r>
    </w:p>
    <w:p w14:paraId="14893A3C" w14:textId="77777777" w:rsidR="00050FB4" w:rsidRPr="00FE73B6" w:rsidRDefault="00050FB4" w:rsidP="00FE73B6">
      <w:pPr>
        <w:pStyle w:val="Legenda"/>
        <w:spacing w:after="0"/>
      </w:pPr>
      <w:bookmarkStart w:id="296" w:name="_Toc8824240"/>
      <w:r w:rsidRPr="00FE43CD">
        <w:t xml:space="preserve">Tabela </w:t>
      </w:r>
      <w:r>
        <w:fldChar w:fldCharType="begin"/>
      </w:r>
      <w:r>
        <w:instrText xml:space="preserve"> SEQ Tabela \* ARABIC </w:instrText>
      </w:r>
      <w:r>
        <w:fldChar w:fldCharType="separate"/>
      </w:r>
      <w:r w:rsidR="00763345">
        <w:rPr>
          <w:noProof/>
        </w:rPr>
        <w:t>129</w:t>
      </w:r>
      <w:r>
        <w:fldChar w:fldCharType="end"/>
      </w:r>
      <w:r w:rsidRPr="00FE43CD">
        <w:t xml:space="preserve"> </w:t>
      </w:r>
      <w:r w:rsidRPr="001A4EBB">
        <w:t>Urodzenia żywe</w:t>
      </w:r>
      <w:r w:rsidR="00E66B89">
        <w:t xml:space="preserve"> w </w:t>
      </w:r>
      <w:r w:rsidRPr="001A4EBB">
        <w:t>województwie zachodniopomorskim</w:t>
      </w:r>
      <w:r w:rsidR="00E66B89">
        <w:t xml:space="preserve"> w </w:t>
      </w:r>
      <w:r w:rsidRPr="001A4EBB">
        <w:t>latach 2012-2017</w:t>
      </w:r>
      <w:bookmarkEnd w:id="296"/>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0"/>
        <w:gridCol w:w="1510"/>
      </w:tblGrid>
      <w:tr w:rsidR="00050FB4" w:rsidRPr="00B92719" w14:paraId="4D4B84E5" w14:textId="77777777" w:rsidTr="00C22C26">
        <w:trPr>
          <w:trHeight w:val="483"/>
          <w:tblHeader/>
        </w:trPr>
        <w:tc>
          <w:tcPr>
            <w:tcW w:w="1510" w:type="dxa"/>
            <w:shd w:val="clear" w:color="auto" w:fill="DBE5F1"/>
            <w:noWrap/>
            <w:vAlign w:val="center"/>
            <w:hideMark/>
          </w:tcPr>
          <w:p w14:paraId="6F8BD2A1" w14:textId="77777777" w:rsidR="00050FB4" w:rsidRPr="00C22C26" w:rsidRDefault="00050FB4" w:rsidP="00050FB4">
            <w:pPr>
              <w:spacing w:before="0" w:after="0" w:line="240" w:lineRule="auto"/>
              <w:jc w:val="center"/>
              <w:rPr>
                <w:b/>
                <w:sz w:val="18"/>
              </w:rPr>
            </w:pPr>
            <w:r w:rsidRPr="00C22C26">
              <w:rPr>
                <w:b/>
                <w:sz w:val="18"/>
              </w:rPr>
              <w:t>2012</w:t>
            </w:r>
          </w:p>
        </w:tc>
        <w:tc>
          <w:tcPr>
            <w:tcW w:w="1510" w:type="dxa"/>
            <w:shd w:val="clear" w:color="auto" w:fill="DBE5F1"/>
            <w:noWrap/>
            <w:vAlign w:val="center"/>
            <w:hideMark/>
          </w:tcPr>
          <w:p w14:paraId="621C6B97" w14:textId="77777777" w:rsidR="00050FB4" w:rsidRPr="00C22C26" w:rsidRDefault="00050FB4" w:rsidP="00050FB4">
            <w:pPr>
              <w:spacing w:before="0" w:after="0" w:line="240" w:lineRule="auto"/>
              <w:jc w:val="center"/>
              <w:rPr>
                <w:b/>
                <w:sz w:val="18"/>
              </w:rPr>
            </w:pPr>
            <w:r w:rsidRPr="00C22C26">
              <w:rPr>
                <w:b/>
                <w:sz w:val="18"/>
              </w:rPr>
              <w:t>2013</w:t>
            </w:r>
          </w:p>
        </w:tc>
        <w:tc>
          <w:tcPr>
            <w:tcW w:w="1510" w:type="dxa"/>
            <w:shd w:val="clear" w:color="auto" w:fill="DBE5F1"/>
            <w:noWrap/>
            <w:vAlign w:val="center"/>
            <w:hideMark/>
          </w:tcPr>
          <w:p w14:paraId="7758587E" w14:textId="77777777" w:rsidR="00050FB4" w:rsidRPr="00C22C26" w:rsidRDefault="00050FB4" w:rsidP="00050FB4">
            <w:pPr>
              <w:spacing w:before="0" w:after="0" w:line="240" w:lineRule="auto"/>
              <w:jc w:val="center"/>
              <w:rPr>
                <w:b/>
                <w:sz w:val="18"/>
              </w:rPr>
            </w:pPr>
            <w:r w:rsidRPr="00C22C26">
              <w:rPr>
                <w:b/>
                <w:sz w:val="18"/>
              </w:rPr>
              <w:t>2014</w:t>
            </w:r>
          </w:p>
        </w:tc>
        <w:tc>
          <w:tcPr>
            <w:tcW w:w="1510" w:type="dxa"/>
            <w:shd w:val="clear" w:color="auto" w:fill="DBE5F1"/>
            <w:noWrap/>
            <w:vAlign w:val="center"/>
            <w:hideMark/>
          </w:tcPr>
          <w:p w14:paraId="1347D568" w14:textId="77777777" w:rsidR="00050FB4" w:rsidRPr="00C22C26" w:rsidRDefault="00050FB4" w:rsidP="00050FB4">
            <w:pPr>
              <w:spacing w:before="0" w:after="0" w:line="240" w:lineRule="auto"/>
              <w:jc w:val="center"/>
              <w:rPr>
                <w:b/>
                <w:sz w:val="18"/>
              </w:rPr>
            </w:pPr>
            <w:r w:rsidRPr="00C22C26">
              <w:rPr>
                <w:b/>
                <w:sz w:val="18"/>
              </w:rPr>
              <w:t>2015</w:t>
            </w:r>
          </w:p>
        </w:tc>
        <w:tc>
          <w:tcPr>
            <w:tcW w:w="1510" w:type="dxa"/>
            <w:shd w:val="clear" w:color="auto" w:fill="DBE5F1"/>
            <w:noWrap/>
            <w:vAlign w:val="center"/>
            <w:hideMark/>
          </w:tcPr>
          <w:p w14:paraId="45D2C588" w14:textId="77777777" w:rsidR="00050FB4" w:rsidRPr="00C22C26" w:rsidRDefault="00050FB4" w:rsidP="00050FB4">
            <w:pPr>
              <w:spacing w:before="0" w:after="0" w:line="240" w:lineRule="auto"/>
              <w:jc w:val="center"/>
              <w:rPr>
                <w:b/>
                <w:sz w:val="18"/>
              </w:rPr>
            </w:pPr>
            <w:r w:rsidRPr="00C22C26">
              <w:rPr>
                <w:b/>
                <w:sz w:val="18"/>
              </w:rPr>
              <w:t>2016</w:t>
            </w:r>
          </w:p>
        </w:tc>
        <w:tc>
          <w:tcPr>
            <w:tcW w:w="1510" w:type="dxa"/>
            <w:shd w:val="clear" w:color="auto" w:fill="DBE5F1"/>
            <w:noWrap/>
            <w:vAlign w:val="center"/>
            <w:hideMark/>
          </w:tcPr>
          <w:p w14:paraId="41F0C893" w14:textId="77777777" w:rsidR="00050FB4" w:rsidRPr="00C22C26" w:rsidRDefault="00050FB4" w:rsidP="00050FB4">
            <w:pPr>
              <w:spacing w:before="0" w:after="0" w:line="240" w:lineRule="auto"/>
              <w:jc w:val="center"/>
              <w:rPr>
                <w:b/>
                <w:sz w:val="18"/>
              </w:rPr>
            </w:pPr>
            <w:r w:rsidRPr="00C22C26">
              <w:rPr>
                <w:b/>
                <w:sz w:val="18"/>
              </w:rPr>
              <w:t>2017</w:t>
            </w:r>
          </w:p>
        </w:tc>
      </w:tr>
      <w:tr w:rsidR="00050FB4" w:rsidRPr="00B92719" w14:paraId="0BEF63F5" w14:textId="77777777" w:rsidTr="00C22C26">
        <w:tblPrEx>
          <w:tblCellMar>
            <w:left w:w="70" w:type="dxa"/>
            <w:right w:w="70" w:type="dxa"/>
          </w:tblCellMar>
        </w:tblPrEx>
        <w:trPr>
          <w:trHeight w:val="483"/>
        </w:trPr>
        <w:tc>
          <w:tcPr>
            <w:tcW w:w="1510" w:type="dxa"/>
            <w:shd w:val="clear" w:color="auto" w:fill="auto"/>
            <w:noWrap/>
            <w:vAlign w:val="center"/>
            <w:hideMark/>
          </w:tcPr>
          <w:p w14:paraId="653628B2" w14:textId="77777777" w:rsidR="00050FB4" w:rsidRPr="00C22C26" w:rsidRDefault="00050FB4" w:rsidP="00050FB4">
            <w:pPr>
              <w:spacing w:before="0" w:after="0" w:line="240" w:lineRule="auto"/>
              <w:jc w:val="center"/>
              <w:rPr>
                <w:color w:val="000000"/>
                <w:sz w:val="18"/>
              </w:rPr>
            </w:pPr>
            <w:r w:rsidRPr="00C22C26">
              <w:rPr>
                <w:color w:val="000000"/>
                <w:sz w:val="18"/>
              </w:rPr>
              <w:t>15 970</w:t>
            </w:r>
          </w:p>
        </w:tc>
        <w:tc>
          <w:tcPr>
            <w:tcW w:w="1510" w:type="dxa"/>
            <w:shd w:val="clear" w:color="auto" w:fill="auto"/>
            <w:noWrap/>
            <w:vAlign w:val="center"/>
            <w:hideMark/>
          </w:tcPr>
          <w:p w14:paraId="69C416E5" w14:textId="77777777" w:rsidR="00050FB4" w:rsidRPr="00C22C26" w:rsidRDefault="00050FB4" w:rsidP="00050FB4">
            <w:pPr>
              <w:spacing w:before="0" w:after="0" w:line="240" w:lineRule="auto"/>
              <w:jc w:val="center"/>
              <w:rPr>
                <w:color w:val="000000"/>
                <w:sz w:val="18"/>
              </w:rPr>
            </w:pPr>
            <w:r w:rsidRPr="00C22C26">
              <w:rPr>
                <w:color w:val="000000"/>
                <w:sz w:val="18"/>
              </w:rPr>
              <w:t>15 425</w:t>
            </w:r>
          </w:p>
        </w:tc>
        <w:tc>
          <w:tcPr>
            <w:tcW w:w="1510" w:type="dxa"/>
            <w:shd w:val="clear" w:color="auto" w:fill="auto"/>
            <w:noWrap/>
            <w:vAlign w:val="center"/>
            <w:hideMark/>
          </w:tcPr>
          <w:p w14:paraId="22AF2E0E" w14:textId="77777777" w:rsidR="00050FB4" w:rsidRPr="00C22C26" w:rsidRDefault="00050FB4" w:rsidP="00050FB4">
            <w:pPr>
              <w:spacing w:before="0" w:after="0" w:line="240" w:lineRule="auto"/>
              <w:jc w:val="center"/>
              <w:rPr>
                <w:color w:val="000000"/>
                <w:sz w:val="18"/>
              </w:rPr>
            </w:pPr>
            <w:r w:rsidRPr="00C22C26">
              <w:rPr>
                <w:color w:val="000000"/>
                <w:sz w:val="18"/>
              </w:rPr>
              <w:t>15 530</w:t>
            </w:r>
          </w:p>
        </w:tc>
        <w:tc>
          <w:tcPr>
            <w:tcW w:w="1510" w:type="dxa"/>
            <w:shd w:val="clear" w:color="auto" w:fill="auto"/>
            <w:noWrap/>
            <w:vAlign w:val="center"/>
            <w:hideMark/>
          </w:tcPr>
          <w:p w14:paraId="358680EA" w14:textId="77777777" w:rsidR="00050FB4" w:rsidRPr="00C22C26" w:rsidRDefault="00050FB4" w:rsidP="00050FB4">
            <w:pPr>
              <w:spacing w:before="0" w:after="0" w:line="240" w:lineRule="auto"/>
              <w:jc w:val="center"/>
              <w:rPr>
                <w:color w:val="000000"/>
                <w:sz w:val="18"/>
              </w:rPr>
            </w:pPr>
            <w:r w:rsidRPr="00C22C26">
              <w:rPr>
                <w:color w:val="000000"/>
                <w:sz w:val="18"/>
              </w:rPr>
              <w:t>15 088</w:t>
            </w:r>
          </w:p>
        </w:tc>
        <w:tc>
          <w:tcPr>
            <w:tcW w:w="1510" w:type="dxa"/>
            <w:shd w:val="clear" w:color="auto" w:fill="auto"/>
            <w:noWrap/>
            <w:vAlign w:val="center"/>
            <w:hideMark/>
          </w:tcPr>
          <w:p w14:paraId="040C62D5" w14:textId="77777777" w:rsidR="00050FB4" w:rsidRPr="00C22C26" w:rsidRDefault="00050FB4" w:rsidP="00050FB4">
            <w:pPr>
              <w:spacing w:before="0" w:after="0" w:line="240" w:lineRule="auto"/>
              <w:jc w:val="center"/>
              <w:rPr>
                <w:color w:val="000000"/>
                <w:sz w:val="18"/>
              </w:rPr>
            </w:pPr>
            <w:r w:rsidRPr="00C22C26">
              <w:rPr>
                <w:color w:val="000000"/>
                <w:sz w:val="18"/>
              </w:rPr>
              <w:t>15 688</w:t>
            </w:r>
          </w:p>
        </w:tc>
        <w:tc>
          <w:tcPr>
            <w:tcW w:w="1510" w:type="dxa"/>
            <w:shd w:val="clear" w:color="auto" w:fill="auto"/>
            <w:noWrap/>
            <w:vAlign w:val="center"/>
            <w:hideMark/>
          </w:tcPr>
          <w:p w14:paraId="6A384657" w14:textId="77777777" w:rsidR="00050FB4" w:rsidRPr="00C22C26" w:rsidRDefault="00050FB4" w:rsidP="00050FB4">
            <w:pPr>
              <w:spacing w:before="0" w:after="0" w:line="240" w:lineRule="auto"/>
              <w:jc w:val="center"/>
              <w:rPr>
                <w:color w:val="000000"/>
                <w:sz w:val="18"/>
              </w:rPr>
            </w:pPr>
            <w:r w:rsidRPr="00C22C26">
              <w:rPr>
                <w:color w:val="000000"/>
                <w:sz w:val="18"/>
              </w:rPr>
              <w:t>16 276</w:t>
            </w:r>
          </w:p>
        </w:tc>
      </w:tr>
    </w:tbl>
    <w:p w14:paraId="79DA5424" w14:textId="1B2DB886" w:rsidR="00050FB4" w:rsidRPr="00EE66C6" w:rsidRDefault="00050FB4" w:rsidP="001245CE">
      <w:pPr>
        <w:spacing w:before="0"/>
        <w:rPr>
          <w:i/>
          <w:sz w:val="18"/>
          <w:szCs w:val="20"/>
        </w:rPr>
      </w:pPr>
      <w:r w:rsidRPr="00EE66C6">
        <w:rPr>
          <w:i/>
          <w:sz w:val="18"/>
          <w:szCs w:val="20"/>
        </w:rPr>
        <w:t>Źródło: GUS BDL</w:t>
      </w:r>
      <w:r w:rsidR="00AA6879">
        <w:rPr>
          <w:i/>
          <w:sz w:val="18"/>
          <w:szCs w:val="20"/>
        </w:rPr>
        <w:t>.</w:t>
      </w:r>
    </w:p>
    <w:p w14:paraId="47DAD460" w14:textId="77777777" w:rsidR="00050FB4" w:rsidRPr="008B706B" w:rsidRDefault="00050FB4" w:rsidP="00050FB4">
      <w:pPr>
        <w:rPr>
          <w:rFonts w:cs="Calibri"/>
          <w:szCs w:val="20"/>
        </w:rPr>
      </w:pPr>
      <w:r w:rsidRPr="008B706B">
        <w:rPr>
          <w:rFonts w:cs="Calibri"/>
          <w:szCs w:val="20"/>
        </w:rPr>
        <w:t>Dostępność edukacji przedszkolnej jest postrzegana jako ważny czynnik aktywizacji zawodowej kobiet.</w:t>
      </w:r>
      <w:r w:rsidR="00E66B89">
        <w:rPr>
          <w:rFonts w:cs="Calibri"/>
          <w:szCs w:val="20"/>
        </w:rPr>
        <w:t xml:space="preserve"> W </w:t>
      </w:r>
      <w:r w:rsidRPr="008B706B">
        <w:rPr>
          <w:rFonts w:cs="Calibri"/>
          <w:szCs w:val="20"/>
        </w:rPr>
        <w:t>tym kontekście należy zauważyć, że zwiększającej się</w:t>
      </w:r>
      <w:r w:rsidR="00E66B89">
        <w:rPr>
          <w:rFonts w:cs="Calibri"/>
          <w:szCs w:val="20"/>
        </w:rPr>
        <w:t xml:space="preserve"> w </w:t>
      </w:r>
      <w:r w:rsidRPr="008B706B">
        <w:rPr>
          <w:rFonts w:cs="Calibri"/>
          <w:szCs w:val="20"/>
        </w:rPr>
        <w:t>ostatnich latach dostępnoś</w:t>
      </w:r>
      <w:r>
        <w:rPr>
          <w:rFonts w:cs="Calibri"/>
          <w:szCs w:val="20"/>
        </w:rPr>
        <w:t>ci</w:t>
      </w:r>
      <w:r w:rsidRPr="008B706B">
        <w:rPr>
          <w:rFonts w:cs="Calibri"/>
          <w:szCs w:val="20"/>
        </w:rPr>
        <w:t xml:space="preserve"> edukacji przedszkolnej</w:t>
      </w:r>
      <w:r>
        <w:rPr>
          <w:rFonts w:cs="Calibri"/>
          <w:szCs w:val="20"/>
        </w:rPr>
        <w:t>,</w:t>
      </w:r>
      <w:r w:rsidRPr="008B706B">
        <w:rPr>
          <w:rFonts w:cs="Calibri"/>
          <w:szCs w:val="20"/>
        </w:rPr>
        <w:t xml:space="preserve"> towarzyszy zwiększająca się bierność zawodowa kobiet oraz wzrastająca liczba osób biernych zawodowo</w:t>
      </w:r>
      <w:r w:rsidR="00E66B89">
        <w:rPr>
          <w:rFonts w:cs="Calibri"/>
          <w:szCs w:val="20"/>
        </w:rPr>
        <w:t xml:space="preserve"> z </w:t>
      </w:r>
      <w:r w:rsidRPr="008B706B">
        <w:rPr>
          <w:rFonts w:cs="Calibri"/>
          <w:szCs w:val="20"/>
        </w:rPr>
        <w:t>powodu obowiązków rodzinnych</w:t>
      </w:r>
      <w:r w:rsidR="00E66B89">
        <w:rPr>
          <w:rFonts w:cs="Calibri"/>
          <w:szCs w:val="20"/>
        </w:rPr>
        <w:t xml:space="preserve"> i </w:t>
      </w:r>
      <w:r w:rsidRPr="008B706B">
        <w:rPr>
          <w:rFonts w:cs="Calibri"/>
          <w:szCs w:val="20"/>
        </w:rPr>
        <w:t>prowadzeni</w:t>
      </w:r>
      <w:r>
        <w:rPr>
          <w:rFonts w:cs="Calibri"/>
          <w:szCs w:val="20"/>
        </w:rPr>
        <w:t>a</w:t>
      </w:r>
      <w:r w:rsidRPr="008B706B">
        <w:rPr>
          <w:rFonts w:cs="Calibri"/>
          <w:szCs w:val="20"/>
        </w:rPr>
        <w:t xml:space="preserve"> domu (którymi najczęściej są kobiety). Dziej</w:t>
      </w:r>
      <w:r>
        <w:rPr>
          <w:rFonts w:cs="Calibri"/>
          <w:szCs w:val="20"/>
        </w:rPr>
        <w:t>e</w:t>
      </w:r>
      <w:r w:rsidRPr="008B706B">
        <w:rPr>
          <w:rFonts w:cs="Calibri"/>
          <w:szCs w:val="20"/>
        </w:rPr>
        <w:t xml:space="preserve"> się tak pomimo polepszenia się sytuacji na regionalnym rynku pracy. Można domniemywać, że wzrost bierności zawodowej kobiet</w:t>
      </w:r>
      <w:r w:rsidR="00E66B89">
        <w:rPr>
          <w:rFonts w:cs="Calibri"/>
          <w:szCs w:val="20"/>
        </w:rPr>
        <w:t xml:space="preserve"> w </w:t>
      </w:r>
      <w:r w:rsidRPr="008B706B">
        <w:rPr>
          <w:rFonts w:cs="Calibri"/>
          <w:szCs w:val="20"/>
        </w:rPr>
        <w:t>województwie zachodniopomorskim jest efektem rządowego programu „Rodzina 500+”. Należy jednak podkreślić, że wobec zwiększonej dostępności edukacji przedszkolnej, zmniejsza się znaczenie konieczności zapewnienia opieki nad dzieckiem jako bariery przed podjęciem aktywności zawodowej.</w:t>
      </w:r>
    </w:p>
    <w:p w14:paraId="311244E9" w14:textId="77777777" w:rsidR="00050FB4" w:rsidRPr="00FE73B6" w:rsidRDefault="00050FB4" w:rsidP="00FE73B6">
      <w:pPr>
        <w:pStyle w:val="Legenda"/>
        <w:spacing w:after="0"/>
      </w:pPr>
      <w:bookmarkStart w:id="297" w:name="_Toc8824241"/>
      <w:r w:rsidRPr="00FE43CD">
        <w:t xml:space="preserve">Tabela </w:t>
      </w:r>
      <w:r>
        <w:fldChar w:fldCharType="begin"/>
      </w:r>
      <w:r>
        <w:instrText xml:space="preserve"> SEQ Tabela \* ARABIC </w:instrText>
      </w:r>
      <w:r>
        <w:fldChar w:fldCharType="separate"/>
      </w:r>
      <w:r w:rsidR="00763345">
        <w:rPr>
          <w:noProof/>
        </w:rPr>
        <w:t>130</w:t>
      </w:r>
      <w:r>
        <w:fldChar w:fldCharType="end"/>
      </w:r>
      <w:r w:rsidRPr="00FE43CD">
        <w:t xml:space="preserve"> </w:t>
      </w:r>
      <w:r>
        <w:t>Bierność zawodowa kobiet</w:t>
      </w:r>
      <w:r w:rsidR="00E66B89">
        <w:t xml:space="preserve"> w </w:t>
      </w:r>
      <w:r>
        <w:t>województwie zachodniopomorskim</w:t>
      </w:r>
      <w:r w:rsidRPr="001A4EBB">
        <w:t xml:space="preserve"> 2012-2017</w:t>
      </w:r>
      <w:bookmarkEnd w:id="297"/>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975"/>
        <w:gridCol w:w="1975"/>
        <w:gridCol w:w="1975"/>
      </w:tblGrid>
      <w:tr w:rsidR="00050FB4" w:rsidRPr="00452C88" w14:paraId="7C88E52E" w14:textId="77777777" w:rsidTr="00C22C26">
        <w:trPr>
          <w:trHeight w:val="335"/>
          <w:tblHeader/>
        </w:trPr>
        <w:tc>
          <w:tcPr>
            <w:tcW w:w="3106" w:type="dxa"/>
            <w:shd w:val="clear" w:color="auto" w:fill="DBE5F1"/>
          </w:tcPr>
          <w:p w14:paraId="24EA76E9"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Rok</w:t>
            </w:r>
          </w:p>
        </w:tc>
        <w:tc>
          <w:tcPr>
            <w:tcW w:w="1975" w:type="dxa"/>
            <w:shd w:val="clear" w:color="auto" w:fill="DBE5F1"/>
          </w:tcPr>
          <w:p w14:paraId="51E0A16F"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2015</w:t>
            </w:r>
          </w:p>
        </w:tc>
        <w:tc>
          <w:tcPr>
            <w:tcW w:w="1975" w:type="dxa"/>
            <w:shd w:val="clear" w:color="auto" w:fill="DBE5F1"/>
          </w:tcPr>
          <w:p w14:paraId="319E0288"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2016</w:t>
            </w:r>
          </w:p>
        </w:tc>
        <w:tc>
          <w:tcPr>
            <w:tcW w:w="1975" w:type="dxa"/>
            <w:shd w:val="clear" w:color="auto" w:fill="DBE5F1"/>
          </w:tcPr>
          <w:p w14:paraId="15D3E1C4"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2017</w:t>
            </w:r>
          </w:p>
        </w:tc>
      </w:tr>
      <w:tr w:rsidR="00050FB4" w:rsidRPr="00452C88" w14:paraId="24BD5372" w14:textId="77777777" w:rsidTr="00C22C26">
        <w:trPr>
          <w:trHeight w:val="763"/>
        </w:trPr>
        <w:tc>
          <w:tcPr>
            <w:tcW w:w="3106" w:type="dxa"/>
            <w:shd w:val="clear" w:color="auto" w:fill="auto"/>
            <w:vAlign w:val="center"/>
          </w:tcPr>
          <w:p w14:paraId="2ACD12C5"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Kobiety bierne zawodowe (w tys. osób)</w:t>
            </w:r>
          </w:p>
        </w:tc>
        <w:tc>
          <w:tcPr>
            <w:tcW w:w="1975" w:type="dxa"/>
            <w:shd w:val="clear" w:color="auto" w:fill="auto"/>
            <w:vAlign w:val="center"/>
          </w:tcPr>
          <w:p w14:paraId="1855C930"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341</w:t>
            </w:r>
          </w:p>
        </w:tc>
        <w:tc>
          <w:tcPr>
            <w:tcW w:w="1975" w:type="dxa"/>
            <w:shd w:val="clear" w:color="auto" w:fill="auto"/>
            <w:vAlign w:val="center"/>
          </w:tcPr>
          <w:p w14:paraId="2E140411"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384</w:t>
            </w:r>
          </w:p>
        </w:tc>
        <w:tc>
          <w:tcPr>
            <w:tcW w:w="1975" w:type="dxa"/>
            <w:shd w:val="clear" w:color="auto" w:fill="auto"/>
            <w:vAlign w:val="center"/>
          </w:tcPr>
          <w:p w14:paraId="50ECBA8B"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379</w:t>
            </w:r>
          </w:p>
        </w:tc>
      </w:tr>
      <w:tr w:rsidR="00050FB4" w:rsidRPr="00452C88" w14:paraId="033401ED" w14:textId="77777777" w:rsidTr="00C22C26">
        <w:trPr>
          <w:trHeight w:val="1031"/>
        </w:trPr>
        <w:tc>
          <w:tcPr>
            <w:tcW w:w="3106" w:type="dxa"/>
            <w:shd w:val="clear" w:color="auto" w:fill="auto"/>
            <w:vAlign w:val="center"/>
          </w:tcPr>
          <w:p w14:paraId="0E36F3F0"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Osoby bierne zawodowo</w:t>
            </w:r>
            <w:r w:rsidR="00E66B89" w:rsidRPr="005F04FC">
              <w:rPr>
                <w:rFonts w:cs="Calibri"/>
                <w:sz w:val="18"/>
                <w:szCs w:val="20"/>
              </w:rPr>
              <w:t xml:space="preserve"> z </w:t>
            </w:r>
            <w:r w:rsidRPr="005F04FC">
              <w:rPr>
                <w:rFonts w:cs="Calibri"/>
                <w:sz w:val="18"/>
                <w:szCs w:val="20"/>
              </w:rPr>
              <w:t>powodu obowiązków rodzinnych</w:t>
            </w:r>
            <w:r w:rsidR="00E66B89" w:rsidRPr="005F04FC">
              <w:rPr>
                <w:rFonts w:cs="Calibri"/>
                <w:sz w:val="18"/>
                <w:szCs w:val="20"/>
              </w:rPr>
              <w:t xml:space="preserve"> i </w:t>
            </w:r>
            <w:r w:rsidRPr="005F04FC">
              <w:rPr>
                <w:rFonts w:cs="Calibri"/>
                <w:sz w:val="18"/>
                <w:szCs w:val="20"/>
              </w:rPr>
              <w:t>prowadzeniem domu</w:t>
            </w:r>
          </w:p>
          <w:p w14:paraId="6D390884"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(w tys. osób)</w:t>
            </w:r>
          </w:p>
        </w:tc>
        <w:tc>
          <w:tcPr>
            <w:tcW w:w="1975" w:type="dxa"/>
            <w:shd w:val="clear" w:color="auto" w:fill="auto"/>
            <w:vAlign w:val="center"/>
          </w:tcPr>
          <w:p w14:paraId="400890FC"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72</w:t>
            </w:r>
          </w:p>
        </w:tc>
        <w:tc>
          <w:tcPr>
            <w:tcW w:w="1975" w:type="dxa"/>
            <w:shd w:val="clear" w:color="auto" w:fill="auto"/>
            <w:vAlign w:val="center"/>
          </w:tcPr>
          <w:p w14:paraId="23AEF614"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90</w:t>
            </w:r>
          </w:p>
        </w:tc>
        <w:tc>
          <w:tcPr>
            <w:tcW w:w="1975" w:type="dxa"/>
            <w:shd w:val="clear" w:color="auto" w:fill="auto"/>
            <w:vAlign w:val="center"/>
          </w:tcPr>
          <w:p w14:paraId="0A2331A3" w14:textId="77777777" w:rsidR="00050FB4" w:rsidRPr="005F04FC" w:rsidRDefault="00050FB4" w:rsidP="00050FB4">
            <w:pPr>
              <w:autoSpaceDE w:val="0"/>
              <w:autoSpaceDN w:val="0"/>
              <w:adjustRightInd w:val="0"/>
              <w:spacing w:before="0" w:after="0" w:line="276" w:lineRule="auto"/>
              <w:jc w:val="center"/>
              <w:rPr>
                <w:rFonts w:cs="Calibri"/>
                <w:sz w:val="18"/>
                <w:szCs w:val="20"/>
              </w:rPr>
            </w:pPr>
            <w:r w:rsidRPr="005F04FC">
              <w:rPr>
                <w:rFonts w:cs="Calibri"/>
                <w:sz w:val="18"/>
                <w:szCs w:val="20"/>
              </w:rPr>
              <w:t>91</w:t>
            </w:r>
          </w:p>
        </w:tc>
      </w:tr>
    </w:tbl>
    <w:p w14:paraId="7D3A8E0D" w14:textId="440CAB18" w:rsidR="00050FB4" w:rsidRPr="00EE66C6" w:rsidRDefault="00050FB4" w:rsidP="001245CE">
      <w:pPr>
        <w:spacing w:before="0"/>
        <w:rPr>
          <w:i/>
          <w:sz w:val="18"/>
          <w:szCs w:val="20"/>
        </w:rPr>
      </w:pPr>
      <w:r w:rsidRPr="00EE66C6">
        <w:rPr>
          <w:i/>
          <w:sz w:val="18"/>
          <w:szCs w:val="20"/>
        </w:rPr>
        <w:t>Źródło: GUS BDL</w:t>
      </w:r>
      <w:r w:rsidR="00AA6879">
        <w:rPr>
          <w:i/>
          <w:sz w:val="18"/>
          <w:szCs w:val="20"/>
        </w:rPr>
        <w:t>.</w:t>
      </w:r>
    </w:p>
    <w:p w14:paraId="4A688854" w14:textId="77777777" w:rsidR="00050FB4" w:rsidRDefault="00050FB4" w:rsidP="00050FB4">
      <w:pPr>
        <w:autoSpaceDE w:val="0"/>
        <w:autoSpaceDN w:val="0"/>
        <w:adjustRightInd w:val="0"/>
        <w:spacing w:before="0" w:after="0" w:line="276" w:lineRule="auto"/>
        <w:rPr>
          <w:rFonts w:cs="Calibri"/>
          <w:i/>
          <w:sz w:val="18"/>
          <w:szCs w:val="20"/>
        </w:rPr>
      </w:pPr>
      <w:r w:rsidRPr="005F04FC">
        <w:rPr>
          <w:rFonts w:cs="Calibri"/>
          <w:szCs w:val="20"/>
        </w:rPr>
        <w:t>Osiągnięty poziom rozpowszechnienia edukacji przedszkolnej, chociaż niższy niż średnia dla całego kraju, pozwala na objęcie zdecydowanej większości dzieci</w:t>
      </w:r>
      <w:r w:rsidR="00E66B89" w:rsidRPr="005F04FC">
        <w:rPr>
          <w:rFonts w:cs="Calibri"/>
          <w:szCs w:val="20"/>
        </w:rPr>
        <w:t xml:space="preserve"> w </w:t>
      </w:r>
      <w:r w:rsidRPr="005F04FC">
        <w:rPr>
          <w:rFonts w:cs="Calibri"/>
          <w:szCs w:val="20"/>
        </w:rPr>
        <w:t>wieku 3-5 lat. Dostępność miejsc</w:t>
      </w:r>
      <w:r w:rsidR="00E66B89" w:rsidRPr="005F04FC">
        <w:rPr>
          <w:rFonts w:cs="Calibri"/>
          <w:szCs w:val="20"/>
        </w:rPr>
        <w:t xml:space="preserve"> w </w:t>
      </w:r>
      <w:r w:rsidRPr="005F04FC">
        <w:rPr>
          <w:rFonts w:cs="Calibri"/>
          <w:szCs w:val="20"/>
        </w:rPr>
        <w:t>przedszkolach sprawia, że praktycznie każde dziecko, które rodzice chcą zapisać, znajdzie miejsce</w:t>
      </w:r>
      <w:r w:rsidR="00E66B89" w:rsidRPr="005F04FC">
        <w:rPr>
          <w:rFonts w:cs="Calibri"/>
          <w:szCs w:val="20"/>
        </w:rPr>
        <w:t xml:space="preserve"> w </w:t>
      </w:r>
      <w:r w:rsidRPr="005F04FC">
        <w:rPr>
          <w:rFonts w:cs="Calibri"/>
          <w:szCs w:val="20"/>
        </w:rPr>
        <w:t>przedszkolu. Pozwala to realizować jeden</w:t>
      </w:r>
      <w:r w:rsidR="00E66B89" w:rsidRPr="005F04FC">
        <w:rPr>
          <w:rFonts w:cs="Calibri"/>
          <w:szCs w:val="20"/>
        </w:rPr>
        <w:t xml:space="preserve"> z </w:t>
      </w:r>
      <w:r w:rsidRPr="005F04FC">
        <w:rPr>
          <w:rFonts w:cs="Calibri"/>
          <w:szCs w:val="20"/>
        </w:rPr>
        <w:t>głównych celów edukacji przedszkolnej, jakim jest stymulacja rozwoju dziecka</w:t>
      </w:r>
      <w:r w:rsidR="00E66B89" w:rsidRPr="005F04FC">
        <w:rPr>
          <w:rFonts w:cs="Calibri"/>
          <w:szCs w:val="20"/>
        </w:rPr>
        <w:t xml:space="preserve"> i </w:t>
      </w:r>
      <w:r w:rsidRPr="005F04FC">
        <w:rPr>
          <w:rFonts w:cs="Calibri"/>
          <w:szCs w:val="20"/>
        </w:rPr>
        <w:t>zmniejszenie nierówności społecznych</w:t>
      </w:r>
      <w:r w:rsidR="00E66B89" w:rsidRPr="005F04FC">
        <w:rPr>
          <w:rFonts w:cs="Calibri"/>
          <w:szCs w:val="20"/>
        </w:rPr>
        <w:t xml:space="preserve"> i </w:t>
      </w:r>
      <w:r w:rsidRPr="005F04FC">
        <w:rPr>
          <w:rFonts w:cs="Calibri"/>
          <w:szCs w:val="20"/>
        </w:rPr>
        <w:t>edukacyjnych. Osiągnięty poziom objęcia edukacją przedszkolną dzieci na terenach wiejskich oraz obserwowany fakt dowożenia dzieci do przedszkoli położonych poza miejscem zamieszkania każą stwierdzić, że większość istniejących wcześniej „białych plam”</w:t>
      </w:r>
      <w:r w:rsidR="00E66B89" w:rsidRPr="005F04FC">
        <w:rPr>
          <w:rFonts w:cs="Calibri"/>
          <w:szCs w:val="20"/>
        </w:rPr>
        <w:t xml:space="preserve"> w </w:t>
      </w:r>
      <w:r w:rsidRPr="005F04FC">
        <w:rPr>
          <w:rFonts w:cs="Calibri"/>
          <w:szCs w:val="20"/>
        </w:rPr>
        <w:t xml:space="preserve">edukacji przedszkolnej została zlikwidowana. </w:t>
      </w:r>
    </w:p>
    <w:p w14:paraId="2742D5CF" w14:textId="77777777" w:rsidR="00050FB4" w:rsidRPr="005F04FC" w:rsidRDefault="00050FB4" w:rsidP="00C22C26">
      <w:pPr>
        <w:rPr>
          <w:rFonts w:cs="Calibri"/>
          <w:b/>
          <w:szCs w:val="20"/>
        </w:rPr>
      </w:pPr>
      <w:r w:rsidRPr="005F04FC">
        <w:rPr>
          <w:rFonts w:cs="Calibri"/>
          <w:b/>
          <w:szCs w:val="20"/>
        </w:rPr>
        <w:t>Kształcenie ogólne</w:t>
      </w:r>
    </w:p>
    <w:p w14:paraId="4A113121" w14:textId="77777777" w:rsidR="00050FB4" w:rsidRPr="005F04FC" w:rsidRDefault="00050FB4" w:rsidP="00050FB4">
      <w:pPr>
        <w:rPr>
          <w:rFonts w:cs="Calibri"/>
          <w:szCs w:val="20"/>
        </w:rPr>
      </w:pPr>
      <w:r w:rsidRPr="005F04FC">
        <w:rPr>
          <w:rFonts w:cs="Calibri"/>
          <w:szCs w:val="20"/>
        </w:rPr>
        <w:t>W stosunku do okresu,</w:t>
      </w:r>
      <w:r w:rsidR="00E66B89" w:rsidRPr="005F04FC">
        <w:rPr>
          <w:rFonts w:cs="Calibri"/>
          <w:szCs w:val="20"/>
        </w:rPr>
        <w:t xml:space="preserve"> w </w:t>
      </w:r>
      <w:r w:rsidRPr="005F04FC">
        <w:rPr>
          <w:rFonts w:cs="Calibri"/>
          <w:szCs w:val="20"/>
        </w:rPr>
        <w:t>którym tworzono założenia interwencji RPO WZ 2014-2020 zaszła bardzo istotna zmiana</w:t>
      </w:r>
      <w:r w:rsidR="00E66B89" w:rsidRPr="005F04FC">
        <w:rPr>
          <w:rFonts w:cs="Calibri"/>
          <w:szCs w:val="20"/>
        </w:rPr>
        <w:t xml:space="preserve"> w </w:t>
      </w:r>
      <w:r w:rsidRPr="005F04FC">
        <w:rPr>
          <w:rFonts w:cs="Calibri"/>
          <w:szCs w:val="20"/>
        </w:rPr>
        <w:t>systemie edukacji. Zlikwidowano szkoły gimnazjalne</w:t>
      </w:r>
      <w:r w:rsidR="00E66B89" w:rsidRPr="005F04FC">
        <w:rPr>
          <w:rFonts w:cs="Calibri"/>
          <w:szCs w:val="20"/>
        </w:rPr>
        <w:t xml:space="preserve"> i </w:t>
      </w:r>
      <w:r w:rsidRPr="005F04FC">
        <w:rPr>
          <w:rFonts w:cs="Calibri"/>
          <w:szCs w:val="20"/>
        </w:rPr>
        <w:t>wprowadzono 8-klasową szkołę podstawową oraz 4-klasową szkołę średnią. Reforma powoduje problemy organizacyjne, związane np.</w:t>
      </w:r>
      <w:r w:rsidR="00E66B89" w:rsidRPr="005F04FC">
        <w:rPr>
          <w:rFonts w:cs="Calibri"/>
          <w:szCs w:val="20"/>
        </w:rPr>
        <w:t xml:space="preserve"> z </w:t>
      </w:r>
      <w:r w:rsidRPr="005F04FC">
        <w:rPr>
          <w:rFonts w:cs="Calibri"/>
          <w:szCs w:val="20"/>
        </w:rPr>
        <w:t>przyjściem do szkół średnich podwójnie licznego rocznika.</w:t>
      </w:r>
      <w:r w:rsidR="00E66B89" w:rsidRPr="005F04FC">
        <w:rPr>
          <w:rFonts w:cs="Calibri"/>
          <w:szCs w:val="20"/>
        </w:rPr>
        <w:t xml:space="preserve"> W </w:t>
      </w:r>
      <w:r w:rsidRPr="005F04FC">
        <w:rPr>
          <w:rFonts w:cs="Calibri"/>
          <w:szCs w:val="20"/>
        </w:rPr>
        <w:t>tej chwili jednak brak jest danych na temat tego jak może ona wpływać na realizację celów RPO</w:t>
      </w:r>
      <w:r w:rsidR="00E66B89" w:rsidRPr="005F04FC">
        <w:rPr>
          <w:rFonts w:cs="Calibri"/>
          <w:szCs w:val="20"/>
        </w:rPr>
        <w:t xml:space="preserve"> w </w:t>
      </w:r>
      <w:r w:rsidRPr="005F04FC">
        <w:rPr>
          <w:rFonts w:cs="Calibri"/>
          <w:szCs w:val="20"/>
        </w:rPr>
        <w:t>odniesieniu do szkolnictwa na poziomie podstawowym</w:t>
      </w:r>
      <w:r w:rsidR="00E66B89" w:rsidRPr="005F04FC">
        <w:rPr>
          <w:rFonts w:cs="Calibri"/>
          <w:szCs w:val="20"/>
        </w:rPr>
        <w:t xml:space="preserve"> i </w:t>
      </w:r>
      <w:r w:rsidRPr="005F04FC">
        <w:rPr>
          <w:rFonts w:cs="Calibri"/>
          <w:szCs w:val="20"/>
        </w:rPr>
        <w:t>średnim.</w:t>
      </w:r>
    </w:p>
    <w:p w14:paraId="10968B0B" w14:textId="77777777" w:rsidR="00050FB4" w:rsidRPr="005F04FC" w:rsidRDefault="00050FB4" w:rsidP="00050FB4">
      <w:pPr>
        <w:rPr>
          <w:rFonts w:cs="Calibri"/>
          <w:szCs w:val="20"/>
        </w:rPr>
      </w:pPr>
      <w:r w:rsidRPr="005F04FC">
        <w:rPr>
          <w:rFonts w:cs="Calibri"/>
          <w:szCs w:val="20"/>
        </w:rPr>
        <w:lastRenderedPageBreak/>
        <w:t>Istotną kwestią,</w:t>
      </w:r>
      <w:r w:rsidR="00E66B89" w:rsidRPr="005F04FC">
        <w:rPr>
          <w:rFonts w:cs="Calibri"/>
          <w:szCs w:val="20"/>
        </w:rPr>
        <w:t xml:space="preserve"> w </w:t>
      </w:r>
      <w:r w:rsidRPr="005F04FC">
        <w:rPr>
          <w:rFonts w:cs="Calibri"/>
          <w:szCs w:val="20"/>
        </w:rPr>
        <w:t>ocenie stanu edukacji</w:t>
      </w:r>
      <w:r w:rsidR="00E66B89" w:rsidRPr="005F04FC">
        <w:rPr>
          <w:rFonts w:cs="Calibri"/>
          <w:szCs w:val="20"/>
        </w:rPr>
        <w:t xml:space="preserve"> w </w:t>
      </w:r>
      <w:r w:rsidRPr="005F04FC">
        <w:rPr>
          <w:rFonts w:cs="Calibri"/>
          <w:szCs w:val="20"/>
        </w:rPr>
        <w:t>regionie, jest obserwowana od lat niższa zdawalność egzaminów zewnętrznych przez uczniów szkół</w:t>
      </w:r>
      <w:r w:rsidR="00E66B89" w:rsidRPr="005F04FC">
        <w:rPr>
          <w:rFonts w:cs="Calibri"/>
          <w:szCs w:val="20"/>
        </w:rPr>
        <w:t xml:space="preserve"> w </w:t>
      </w:r>
      <w:r w:rsidRPr="005F04FC">
        <w:rPr>
          <w:rFonts w:cs="Calibri"/>
          <w:szCs w:val="20"/>
        </w:rPr>
        <w:t>zachodniopomorskim. Zdawalność matur istotnie odbiega od średniej krajowej</w:t>
      </w:r>
      <w:r w:rsidR="00E66B89" w:rsidRPr="005F04FC">
        <w:rPr>
          <w:rFonts w:cs="Calibri"/>
          <w:szCs w:val="20"/>
        </w:rPr>
        <w:t xml:space="preserve"> i </w:t>
      </w:r>
      <w:r w:rsidRPr="005F04FC">
        <w:rPr>
          <w:rFonts w:cs="Calibri"/>
          <w:szCs w:val="20"/>
        </w:rPr>
        <w:t>wyniosła,</w:t>
      </w:r>
      <w:r w:rsidR="00E66B89" w:rsidRPr="005F04FC">
        <w:rPr>
          <w:rFonts w:cs="Calibri"/>
          <w:szCs w:val="20"/>
        </w:rPr>
        <w:t xml:space="preserve"> w </w:t>
      </w:r>
      <w:r w:rsidRPr="005F04FC">
        <w:rPr>
          <w:rFonts w:cs="Calibri"/>
          <w:szCs w:val="20"/>
        </w:rPr>
        <w:t>2017 r., 74% wobec średniej</w:t>
      </w:r>
      <w:r w:rsidR="00E66B89" w:rsidRPr="005F04FC">
        <w:rPr>
          <w:rFonts w:cs="Calibri"/>
          <w:szCs w:val="20"/>
        </w:rPr>
        <w:t xml:space="preserve"> w </w:t>
      </w:r>
      <w:r w:rsidRPr="005F04FC">
        <w:rPr>
          <w:rFonts w:cs="Calibri"/>
          <w:szCs w:val="20"/>
        </w:rPr>
        <w:t>kraju na poziomie 78%. Poziom zdawalności matur jest najniższy</w:t>
      </w:r>
      <w:r w:rsidR="00E66B89" w:rsidRPr="005F04FC">
        <w:rPr>
          <w:rFonts w:cs="Calibri"/>
          <w:szCs w:val="20"/>
        </w:rPr>
        <w:t xml:space="preserve"> w </w:t>
      </w:r>
      <w:r w:rsidRPr="005F04FC">
        <w:rPr>
          <w:rFonts w:cs="Calibri"/>
          <w:szCs w:val="20"/>
        </w:rPr>
        <w:t>kraju (ex aequo</w:t>
      </w:r>
      <w:r w:rsidR="00E66B89" w:rsidRPr="005F04FC">
        <w:rPr>
          <w:rFonts w:cs="Calibri"/>
          <w:szCs w:val="20"/>
        </w:rPr>
        <w:t xml:space="preserve"> z </w:t>
      </w:r>
      <w:r w:rsidRPr="005F04FC">
        <w:rPr>
          <w:rFonts w:cs="Calibri"/>
          <w:szCs w:val="20"/>
        </w:rPr>
        <w:t>województwem warmińsko-mazurskim).</w:t>
      </w:r>
      <w:r w:rsidR="00E66B89" w:rsidRPr="005F04FC">
        <w:rPr>
          <w:rFonts w:cs="Calibri"/>
          <w:szCs w:val="20"/>
        </w:rPr>
        <w:t xml:space="preserve"> W </w:t>
      </w:r>
      <w:r w:rsidRPr="005F04FC">
        <w:rPr>
          <w:rFonts w:cs="Calibri"/>
          <w:szCs w:val="20"/>
        </w:rPr>
        <w:t>ostatnich latach widać utrzymywanie się różnicy</w:t>
      </w:r>
      <w:r w:rsidR="00E66B89" w:rsidRPr="005F04FC">
        <w:rPr>
          <w:rFonts w:cs="Calibri"/>
          <w:szCs w:val="20"/>
        </w:rPr>
        <w:t xml:space="preserve"> w </w:t>
      </w:r>
      <w:r w:rsidRPr="005F04FC">
        <w:rPr>
          <w:rFonts w:cs="Calibri"/>
          <w:szCs w:val="20"/>
        </w:rPr>
        <w:t>zdawalności pomiędzy regionem</w:t>
      </w:r>
      <w:r w:rsidR="00E66B89" w:rsidRPr="005F04FC">
        <w:rPr>
          <w:rFonts w:cs="Calibri"/>
          <w:szCs w:val="20"/>
        </w:rPr>
        <w:t xml:space="preserve"> a </w:t>
      </w:r>
      <w:r w:rsidRPr="005F04FC">
        <w:rPr>
          <w:rFonts w:cs="Calibri"/>
          <w:szCs w:val="20"/>
        </w:rPr>
        <w:t>całym krajem na poziomie 3-4 p.p. Wyniki te pokazują aktualność zapotrzebowania na działania wspierające podniesienie jakości nauczania na szczeblu podstawowym</w:t>
      </w:r>
      <w:r w:rsidR="00E66B89" w:rsidRPr="005F04FC">
        <w:rPr>
          <w:rFonts w:cs="Calibri"/>
          <w:szCs w:val="20"/>
        </w:rPr>
        <w:t xml:space="preserve"> i </w:t>
      </w:r>
      <w:r w:rsidRPr="005F04FC">
        <w:rPr>
          <w:rFonts w:cs="Calibri"/>
          <w:szCs w:val="20"/>
        </w:rPr>
        <w:t xml:space="preserve">średnim. </w:t>
      </w:r>
    </w:p>
    <w:p w14:paraId="7A60E67B" w14:textId="77777777" w:rsidR="00050FB4" w:rsidRPr="00FE73B6" w:rsidRDefault="00050FB4" w:rsidP="00FE73B6">
      <w:pPr>
        <w:pStyle w:val="Legenda"/>
        <w:spacing w:after="0"/>
      </w:pPr>
      <w:bookmarkStart w:id="298" w:name="_Toc5311895"/>
      <w:r w:rsidRPr="0094022E">
        <w:t xml:space="preserve">Wykres </w:t>
      </w:r>
      <w:r>
        <w:fldChar w:fldCharType="begin"/>
      </w:r>
      <w:r>
        <w:instrText xml:space="preserve"> SEQ Wykres \* ARABIC </w:instrText>
      </w:r>
      <w:r>
        <w:fldChar w:fldCharType="separate"/>
      </w:r>
      <w:r w:rsidR="00763345">
        <w:rPr>
          <w:noProof/>
        </w:rPr>
        <w:t>29</w:t>
      </w:r>
      <w:r>
        <w:fldChar w:fldCharType="end"/>
      </w:r>
      <w:r w:rsidRPr="0094022E">
        <w:t xml:space="preserve"> Zdawalność egzaminów maturalnych</w:t>
      </w:r>
      <w:r w:rsidR="00E66B89">
        <w:t xml:space="preserve"> w </w:t>
      </w:r>
      <w:r w:rsidRPr="0094022E">
        <w:t>województwie zachodniopomorskim na tle kraju</w:t>
      </w:r>
      <w:r w:rsidR="00E66B89">
        <w:t xml:space="preserve"> w </w:t>
      </w:r>
      <w:r w:rsidRPr="0094022E">
        <w:t>latach 2012-2017</w:t>
      </w:r>
      <w:bookmarkEnd w:id="298"/>
    </w:p>
    <w:p w14:paraId="7276F371" w14:textId="759BFE8D" w:rsidR="00050FB4" w:rsidRPr="00400D96" w:rsidRDefault="00C35619" w:rsidP="00CF71F2">
      <w:pPr>
        <w:spacing w:before="0" w:after="0"/>
        <w:rPr>
          <w:rFonts w:ascii="MyriadPro-Regular" w:eastAsia="Calibri" w:hAnsi="MyriadPro-Regular" w:cs="MyriadPro-Regular"/>
          <w:sz w:val="19"/>
          <w:szCs w:val="19"/>
          <w:lang w:eastAsia="en-US"/>
        </w:rPr>
      </w:pPr>
      <w:r w:rsidRPr="00D508B6">
        <w:rPr>
          <w:noProof/>
        </w:rPr>
        <w:drawing>
          <wp:inline distT="0" distB="0" distL="0" distR="0" wp14:anchorId="7875094A" wp14:editId="414B0217">
            <wp:extent cx="5743575" cy="1857375"/>
            <wp:effectExtent l="0" t="0" r="9525" b="9525"/>
            <wp:docPr id="52"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663281" w14:textId="350C9D53" w:rsidR="00050FB4" w:rsidRPr="00C452A7" w:rsidRDefault="00050FB4" w:rsidP="001245CE">
      <w:pPr>
        <w:spacing w:before="0"/>
        <w:rPr>
          <w:i/>
          <w:sz w:val="18"/>
          <w:szCs w:val="20"/>
        </w:rPr>
      </w:pPr>
      <w:r w:rsidRPr="00C452A7">
        <w:rPr>
          <w:i/>
          <w:sz w:val="18"/>
          <w:szCs w:val="20"/>
        </w:rPr>
        <w:t>Źródło: GUS BDL</w:t>
      </w:r>
      <w:r w:rsidR="00AA6879">
        <w:rPr>
          <w:i/>
          <w:sz w:val="18"/>
          <w:szCs w:val="20"/>
        </w:rPr>
        <w:t>.</w:t>
      </w:r>
    </w:p>
    <w:p w14:paraId="63AC73D3" w14:textId="77777777" w:rsidR="00050FB4" w:rsidRPr="005F04FC" w:rsidRDefault="00050FB4" w:rsidP="00050FB4">
      <w:pPr>
        <w:rPr>
          <w:rFonts w:cs="Calibri"/>
          <w:szCs w:val="20"/>
        </w:rPr>
      </w:pPr>
      <w:r w:rsidRPr="005F04FC">
        <w:rPr>
          <w:rFonts w:cs="Calibri"/>
          <w:szCs w:val="20"/>
        </w:rPr>
        <w:t>Dodatkową kwestią pozostaje jakość sprzętu</w:t>
      </w:r>
      <w:r w:rsidR="00E66B89" w:rsidRPr="005F04FC">
        <w:rPr>
          <w:rFonts w:cs="Calibri"/>
          <w:szCs w:val="20"/>
        </w:rPr>
        <w:t xml:space="preserve"> i </w:t>
      </w:r>
      <w:r w:rsidRPr="005F04FC">
        <w:rPr>
          <w:rFonts w:cs="Calibri"/>
          <w:szCs w:val="20"/>
        </w:rPr>
        <w:t>kompletność wyposażenia TIK</w:t>
      </w:r>
      <w:r w:rsidR="00E66B89" w:rsidRPr="005F04FC">
        <w:rPr>
          <w:rFonts w:cs="Calibri"/>
          <w:szCs w:val="20"/>
        </w:rPr>
        <w:t xml:space="preserve"> w </w:t>
      </w:r>
      <w:r w:rsidRPr="005F04FC">
        <w:rPr>
          <w:rFonts w:cs="Calibri"/>
          <w:szCs w:val="20"/>
        </w:rPr>
        <w:t>zachodniopomorskich szkołach. Jak wynika</w:t>
      </w:r>
      <w:r w:rsidR="00E66B89" w:rsidRPr="005F04FC">
        <w:rPr>
          <w:rFonts w:cs="Calibri"/>
          <w:szCs w:val="20"/>
        </w:rPr>
        <w:t xml:space="preserve"> z </w:t>
      </w:r>
      <w:r w:rsidRPr="005F04FC">
        <w:rPr>
          <w:rFonts w:cs="Calibri"/>
          <w:szCs w:val="20"/>
        </w:rPr>
        <w:t>raportu „Średniookresowe efekty projektu Cyfrowa Szkoła”</w:t>
      </w:r>
      <w:r w:rsidRPr="007957F9">
        <w:rPr>
          <w:rStyle w:val="Odwoanieprzypisudolnego"/>
          <w:rFonts w:ascii="Calibri" w:hAnsi="Calibri" w:cs="Calibri"/>
          <w:sz w:val="24"/>
        </w:rPr>
        <w:footnoteReference w:id="115"/>
      </w:r>
      <w:r w:rsidRPr="005F04FC">
        <w:rPr>
          <w:rFonts w:cs="Calibri"/>
          <w:szCs w:val="20"/>
        </w:rPr>
        <w:t xml:space="preserve"> ciągłym problemem</w:t>
      </w:r>
      <w:r w:rsidR="00E66B89" w:rsidRPr="005F04FC">
        <w:rPr>
          <w:rFonts w:cs="Calibri"/>
          <w:szCs w:val="20"/>
        </w:rPr>
        <w:t xml:space="preserve"> w </w:t>
      </w:r>
      <w:r w:rsidRPr="005F04FC">
        <w:rPr>
          <w:rFonts w:cs="Calibri"/>
          <w:szCs w:val="20"/>
        </w:rPr>
        <w:t>polskich szkołach pozostaje brak dostępu do szybkiego Internetu, brak tabletów, przenośnych komputerów, niewystarczające</w:t>
      </w:r>
      <w:r w:rsidR="00E66B89" w:rsidRPr="005F04FC">
        <w:rPr>
          <w:rFonts w:cs="Calibri"/>
          <w:szCs w:val="20"/>
        </w:rPr>
        <w:t xml:space="preserve"> i </w:t>
      </w:r>
      <w:r w:rsidRPr="005F04FC">
        <w:rPr>
          <w:rFonts w:cs="Calibri"/>
          <w:szCs w:val="20"/>
        </w:rPr>
        <w:t>nieaktualne oprogramowanie.</w:t>
      </w:r>
    </w:p>
    <w:p w14:paraId="69E4543F" w14:textId="77777777" w:rsidR="00050FB4" w:rsidRPr="005F04FC" w:rsidRDefault="00050FB4" w:rsidP="00050FB4">
      <w:pPr>
        <w:rPr>
          <w:rFonts w:cs="Calibri"/>
          <w:b/>
          <w:szCs w:val="20"/>
        </w:rPr>
      </w:pPr>
      <w:r w:rsidRPr="005F04FC">
        <w:rPr>
          <w:rFonts w:cs="Calibri"/>
          <w:b/>
          <w:szCs w:val="20"/>
        </w:rPr>
        <w:t>Szkolnictwo zawodowe</w:t>
      </w:r>
    </w:p>
    <w:p w14:paraId="7780D29E" w14:textId="77777777" w:rsidR="00050FB4" w:rsidRPr="005F04FC" w:rsidRDefault="00050FB4" w:rsidP="00050FB4">
      <w:pPr>
        <w:rPr>
          <w:rFonts w:cs="Calibri"/>
          <w:szCs w:val="20"/>
        </w:rPr>
      </w:pPr>
      <w:r w:rsidRPr="005F04FC">
        <w:rPr>
          <w:rFonts w:cs="Calibri"/>
          <w:szCs w:val="20"/>
        </w:rPr>
        <w:t>W ostatnich latach liczba uczniów</w:t>
      </w:r>
      <w:r w:rsidR="00E66B89" w:rsidRPr="005F04FC">
        <w:rPr>
          <w:rFonts w:cs="Calibri"/>
          <w:szCs w:val="20"/>
        </w:rPr>
        <w:t xml:space="preserve"> w </w:t>
      </w:r>
      <w:r w:rsidRPr="005F04FC">
        <w:rPr>
          <w:rFonts w:cs="Calibri"/>
          <w:szCs w:val="20"/>
        </w:rPr>
        <w:t>szkołach zawodowych</w:t>
      </w:r>
      <w:r w:rsidR="00E66B89" w:rsidRPr="005F04FC">
        <w:rPr>
          <w:rFonts w:cs="Calibri"/>
          <w:szCs w:val="20"/>
        </w:rPr>
        <w:t xml:space="preserve"> w </w:t>
      </w:r>
      <w:r w:rsidRPr="005F04FC">
        <w:rPr>
          <w:rFonts w:cs="Calibri"/>
          <w:szCs w:val="20"/>
        </w:rPr>
        <w:t>województwie zachodniopomorskim utrzymywała się na stałym poziomie.</w:t>
      </w:r>
      <w:r w:rsidR="00E66B89" w:rsidRPr="005F04FC">
        <w:rPr>
          <w:rFonts w:cs="Calibri"/>
          <w:szCs w:val="20"/>
        </w:rPr>
        <w:t xml:space="preserve"> W </w:t>
      </w:r>
      <w:r w:rsidRPr="005F04FC">
        <w:rPr>
          <w:rFonts w:cs="Calibri"/>
          <w:szCs w:val="20"/>
        </w:rPr>
        <w:t>szkołach tych</w:t>
      </w:r>
      <w:r w:rsidR="00E66B89" w:rsidRPr="005F04FC">
        <w:rPr>
          <w:rFonts w:cs="Calibri"/>
          <w:szCs w:val="20"/>
        </w:rPr>
        <w:t xml:space="preserve"> w </w:t>
      </w:r>
      <w:r w:rsidRPr="005F04FC">
        <w:rPr>
          <w:rFonts w:cs="Calibri"/>
          <w:szCs w:val="20"/>
        </w:rPr>
        <w:t>2017 roku uczyło się 20 123 uczniów</w:t>
      </w:r>
      <w:r w:rsidRPr="005F04FC">
        <w:rPr>
          <w:rStyle w:val="Odwoanieprzypisudolnego"/>
          <w:rFonts w:cs="Calibri"/>
          <w:szCs w:val="20"/>
        </w:rPr>
        <w:footnoteReference w:id="116"/>
      </w:r>
      <w:r w:rsidRPr="005F04FC">
        <w:rPr>
          <w:rFonts w:cs="Calibri"/>
          <w:szCs w:val="20"/>
        </w:rPr>
        <w:t>. Szkoły zawodowe</w:t>
      </w:r>
      <w:r w:rsidR="00E66B89" w:rsidRPr="005F04FC">
        <w:rPr>
          <w:rFonts w:cs="Calibri"/>
          <w:szCs w:val="20"/>
        </w:rPr>
        <w:t xml:space="preserve"> w </w:t>
      </w:r>
      <w:r w:rsidRPr="005F04FC">
        <w:rPr>
          <w:rFonts w:cs="Calibri"/>
          <w:szCs w:val="20"/>
        </w:rPr>
        <w:t>regionie nie cieszyły się dużym zainteresowaniem.</w:t>
      </w:r>
      <w:r w:rsidR="00E66B89" w:rsidRPr="005F04FC">
        <w:rPr>
          <w:rFonts w:cs="Calibri"/>
          <w:szCs w:val="20"/>
        </w:rPr>
        <w:t xml:space="preserve"> W </w:t>
      </w:r>
      <w:r w:rsidRPr="005F04FC">
        <w:rPr>
          <w:rFonts w:cs="Calibri"/>
          <w:szCs w:val="20"/>
        </w:rPr>
        <w:t>województwie notuje się jedną</w:t>
      </w:r>
      <w:r w:rsidR="00E66B89" w:rsidRPr="005F04FC">
        <w:rPr>
          <w:rFonts w:cs="Calibri"/>
          <w:szCs w:val="20"/>
        </w:rPr>
        <w:t xml:space="preserve"> z </w:t>
      </w:r>
      <w:r w:rsidRPr="005F04FC">
        <w:rPr>
          <w:rFonts w:cs="Calibri"/>
          <w:szCs w:val="20"/>
        </w:rPr>
        <w:t>najniższych</w:t>
      </w:r>
      <w:r w:rsidR="00E66B89" w:rsidRPr="005F04FC">
        <w:rPr>
          <w:rFonts w:cs="Calibri"/>
          <w:szCs w:val="20"/>
        </w:rPr>
        <w:t xml:space="preserve"> w </w:t>
      </w:r>
      <w:r w:rsidRPr="005F04FC">
        <w:rPr>
          <w:rFonts w:cs="Calibri"/>
          <w:szCs w:val="20"/>
        </w:rPr>
        <w:t>Polsce liczbę uczniów szkół zawodowych przypadających na 10 tysięcy uczniów (w 2016 roku współczynnik ten wynosił 118).</w:t>
      </w:r>
      <w:r w:rsidR="00E66B89" w:rsidRPr="005F04FC">
        <w:rPr>
          <w:rFonts w:cs="Calibri"/>
          <w:szCs w:val="20"/>
        </w:rPr>
        <w:t xml:space="preserve"> W </w:t>
      </w:r>
      <w:r w:rsidRPr="005F04FC">
        <w:rPr>
          <w:rFonts w:cs="Calibri"/>
          <w:szCs w:val="20"/>
        </w:rPr>
        <w:t>świetle tych danych adekwatne okazują się założenia programowe akcentujące działania na rzecz uatrakcyjnienia</w:t>
      </w:r>
      <w:r w:rsidR="00E66B89" w:rsidRPr="005F04FC">
        <w:rPr>
          <w:rFonts w:cs="Calibri"/>
          <w:szCs w:val="20"/>
        </w:rPr>
        <w:t xml:space="preserve"> i </w:t>
      </w:r>
      <w:r w:rsidRPr="005F04FC">
        <w:rPr>
          <w:rFonts w:cs="Calibri"/>
          <w:szCs w:val="20"/>
        </w:rPr>
        <w:t>rozpowszechnienia edukacji zawodowej</w:t>
      </w:r>
      <w:r w:rsidR="00E66B89" w:rsidRPr="005F04FC">
        <w:rPr>
          <w:rFonts w:cs="Calibri"/>
          <w:szCs w:val="20"/>
        </w:rPr>
        <w:t xml:space="preserve"> w </w:t>
      </w:r>
      <w:r w:rsidRPr="005F04FC">
        <w:rPr>
          <w:rFonts w:cs="Calibri"/>
          <w:szCs w:val="20"/>
        </w:rPr>
        <w:t>regionie. Szkoły branżowe</w:t>
      </w:r>
      <w:r w:rsidR="00E66B89" w:rsidRPr="005F04FC">
        <w:rPr>
          <w:rFonts w:cs="Calibri"/>
          <w:szCs w:val="20"/>
        </w:rPr>
        <w:t xml:space="preserve"> w </w:t>
      </w:r>
      <w:r w:rsidRPr="005F04FC">
        <w:rPr>
          <w:rFonts w:cs="Calibri"/>
          <w:szCs w:val="20"/>
        </w:rPr>
        <w:t>świadomości społecznej wciąż traktowane są jako szkoły gorszej kategorii. Ich oferta</w:t>
      </w:r>
      <w:r w:rsidR="00C22C26" w:rsidRPr="005F04FC">
        <w:rPr>
          <w:rFonts w:cs="Calibri"/>
          <w:szCs w:val="20"/>
        </w:rPr>
        <w:t xml:space="preserve"> </w:t>
      </w:r>
      <w:r w:rsidRPr="005F04FC">
        <w:rPr>
          <w:rFonts w:cs="Calibri"/>
          <w:szCs w:val="20"/>
        </w:rPr>
        <w:t>edukacyjna wymaga zacieśnienia współpracy z rynkiem pracy oraz uwiarygodnienia,</w:t>
      </w:r>
      <w:r w:rsidR="00E66B89" w:rsidRPr="005F04FC">
        <w:rPr>
          <w:rFonts w:cs="Calibri"/>
          <w:szCs w:val="20"/>
        </w:rPr>
        <w:t xml:space="preserve"> w </w:t>
      </w:r>
      <w:r w:rsidRPr="005F04FC">
        <w:rPr>
          <w:rFonts w:cs="Calibri"/>
          <w:szCs w:val="20"/>
        </w:rPr>
        <w:t>oczach uczniów, jako realnej alternatywy dla innego rodzaju szkół.</w:t>
      </w:r>
    </w:p>
    <w:p w14:paraId="241D0085" w14:textId="77777777" w:rsidR="00050FB4" w:rsidRPr="005F04FC" w:rsidRDefault="00050FB4" w:rsidP="00050FB4">
      <w:pPr>
        <w:rPr>
          <w:rFonts w:cs="Calibri"/>
          <w:szCs w:val="20"/>
        </w:rPr>
      </w:pPr>
      <w:r w:rsidRPr="005F04FC">
        <w:rPr>
          <w:rFonts w:cs="Calibri"/>
          <w:szCs w:val="20"/>
        </w:rPr>
        <w:t>Istotnym</w:t>
      </w:r>
      <w:r w:rsidR="00E66B89" w:rsidRPr="005F04FC">
        <w:rPr>
          <w:rFonts w:cs="Calibri"/>
          <w:szCs w:val="20"/>
        </w:rPr>
        <w:t xml:space="preserve"> w </w:t>
      </w:r>
      <w:r w:rsidRPr="005F04FC">
        <w:rPr>
          <w:rFonts w:cs="Calibri"/>
          <w:szCs w:val="20"/>
        </w:rPr>
        <w:t>skali kraju problemem jest kończenie szkół zawodowych bez uzyskania przez uczniów formalnych kwalifikacji zawodowych.</w:t>
      </w:r>
      <w:r w:rsidR="00E66B89" w:rsidRPr="005F04FC">
        <w:rPr>
          <w:rFonts w:cs="Calibri"/>
          <w:szCs w:val="20"/>
        </w:rPr>
        <w:t xml:space="preserve"> W </w:t>
      </w:r>
      <w:r w:rsidRPr="005F04FC">
        <w:rPr>
          <w:rFonts w:cs="Calibri"/>
          <w:szCs w:val="20"/>
        </w:rPr>
        <w:t>województwie zachodniopomorskim spada odsetek uczniów szkół zawodowych, którzy nie podchodzą do egzaminu potwierdzającego kwalifikacje</w:t>
      </w:r>
      <w:r w:rsidR="00E66B89" w:rsidRPr="005F04FC">
        <w:rPr>
          <w:rFonts w:cs="Calibri"/>
          <w:szCs w:val="20"/>
        </w:rPr>
        <w:t xml:space="preserve"> w </w:t>
      </w:r>
      <w:r w:rsidRPr="005F04FC">
        <w:rPr>
          <w:rFonts w:cs="Calibri"/>
          <w:szCs w:val="20"/>
        </w:rPr>
        <w:t>zawodzie.</w:t>
      </w:r>
      <w:r w:rsidR="00E66B89" w:rsidRPr="005F04FC">
        <w:rPr>
          <w:rFonts w:cs="Calibri"/>
          <w:szCs w:val="20"/>
        </w:rPr>
        <w:t xml:space="preserve"> W </w:t>
      </w:r>
      <w:r w:rsidRPr="005F04FC">
        <w:rPr>
          <w:rFonts w:cs="Calibri"/>
          <w:szCs w:val="20"/>
        </w:rPr>
        <w:t>2015 roku 7,7% uczniów szkół zawodowych nie próbowało zdawać takiego egzaminu,</w:t>
      </w:r>
      <w:r w:rsidR="00E66B89" w:rsidRPr="005F04FC">
        <w:rPr>
          <w:rFonts w:cs="Calibri"/>
          <w:szCs w:val="20"/>
        </w:rPr>
        <w:t xml:space="preserve"> a w </w:t>
      </w:r>
      <w:r w:rsidRPr="005F04FC">
        <w:rPr>
          <w:rFonts w:cs="Calibri"/>
          <w:szCs w:val="20"/>
        </w:rPr>
        <w:t>2017 roku 6,5%.</w:t>
      </w:r>
    </w:p>
    <w:p w14:paraId="07A9B162" w14:textId="77777777" w:rsidR="00050FB4" w:rsidRPr="00FE73B6" w:rsidRDefault="00050FB4" w:rsidP="00FE73B6">
      <w:pPr>
        <w:pStyle w:val="Legenda"/>
        <w:spacing w:after="0"/>
      </w:pPr>
      <w:bookmarkStart w:id="299" w:name="_Toc8824242"/>
      <w:r w:rsidRPr="00FE43CD">
        <w:lastRenderedPageBreak/>
        <w:t xml:space="preserve">Tabela </w:t>
      </w:r>
      <w:r>
        <w:fldChar w:fldCharType="begin"/>
      </w:r>
      <w:r>
        <w:instrText xml:space="preserve"> SEQ Tabela \* ARABIC </w:instrText>
      </w:r>
      <w:r>
        <w:fldChar w:fldCharType="separate"/>
      </w:r>
      <w:r w:rsidR="00763345">
        <w:rPr>
          <w:noProof/>
        </w:rPr>
        <w:t>131</w:t>
      </w:r>
      <w:r>
        <w:fldChar w:fldCharType="end"/>
      </w:r>
      <w:r w:rsidRPr="00FE43CD">
        <w:t xml:space="preserve"> </w:t>
      </w:r>
      <w:r w:rsidRPr="0094022E">
        <w:t>Liczba uczniów</w:t>
      </w:r>
      <w:r w:rsidR="00E66B89">
        <w:t xml:space="preserve"> w </w:t>
      </w:r>
      <w:r w:rsidRPr="0094022E">
        <w:t>szkołach zawodowych</w:t>
      </w:r>
      <w:r w:rsidR="00E66B89">
        <w:t xml:space="preserve"> w </w:t>
      </w:r>
      <w:r w:rsidRPr="0094022E">
        <w:t>województwie zachodniopomorskim 2015-2017</w:t>
      </w:r>
      <w:bookmarkEnd w:id="299"/>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4"/>
        <w:gridCol w:w="2325"/>
        <w:gridCol w:w="2325"/>
      </w:tblGrid>
      <w:tr w:rsidR="00050FB4" w:rsidRPr="00452C88" w14:paraId="5E482E7A" w14:textId="77777777" w:rsidTr="00C22C26">
        <w:trPr>
          <w:trHeight w:val="543"/>
          <w:tblHeader/>
        </w:trPr>
        <w:tc>
          <w:tcPr>
            <w:tcW w:w="2324" w:type="dxa"/>
            <w:shd w:val="clear" w:color="auto" w:fill="DBE5F1"/>
          </w:tcPr>
          <w:p w14:paraId="14069F85" w14:textId="77777777" w:rsidR="00050FB4" w:rsidRPr="005F04FC" w:rsidRDefault="00050FB4" w:rsidP="00050FB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Rok</w:t>
            </w:r>
          </w:p>
        </w:tc>
        <w:tc>
          <w:tcPr>
            <w:tcW w:w="2324" w:type="dxa"/>
            <w:shd w:val="clear" w:color="auto" w:fill="DBE5F1"/>
          </w:tcPr>
          <w:p w14:paraId="5D227D84" w14:textId="77777777" w:rsidR="00050FB4" w:rsidRPr="005F04FC" w:rsidRDefault="00050FB4" w:rsidP="00050FB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2015</w:t>
            </w:r>
          </w:p>
        </w:tc>
        <w:tc>
          <w:tcPr>
            <w:tcW w:w="2325" w:type="dxa"/>
            <w:shd w:val="clear" w:color="auto" w:fill="DBE5F1"/>
          </w:tcPr>
          <w:p w14:paraId="0F3626BE" w14:textId="77777777" w:rsidR="00050FB4" w:rsidRPr="005F04FC" w:rsidRDefault="00050FB4" w:rsidP="00050FB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2016</w:t>
            </w:r>
          </w:p>
        </w:tc>
        <w:tc>
          <w:tcPr>
            <w:tcW w:w="2325" w:type="dxa"/>
            <w:shd w:val="clear" w:color="auto" w:fill="DBE5F1"/>
          </w:tcPr>
          <w:p w14:paraId="2B790F2E" w14:textId="77777777" w:rsidR="00050FB4" w:rsidRPr="005F04FC" w:rsidRDefault="00050FB4" w:rsidP="00050FB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2017</w:t>
            </w:r>
          </w:p>
        </w:tc>
      </w:tr>
      <w:tr w:rsidR="00050FB4" w:rsidRPr="00452C88" w14:paraId="0D0AA961" w14:textId="77777777" w:rsidTr="00DE0A94">
        <w:trPr>
          <w:trHeight w:val="543"/>
        </w:trPr>
        <w:tc>
          <w:tcPr>
            <w:tcW w:w="2324" w:type="dxa"/>
            <w:shd w:val="clear" w:color="auto" w:fill="DBE5F1"/>
            <w:vAlign w:val="center"/>
          </w:tcPr>
          <w:p w14:paraId="122BE533" w14:textId="77777777" w:rsidR="00050FB4" w:rsidRPr="005F04FC" w:rsidRDefault="00050FB4" w:rsidP="00DE0A9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Liczba uczniów</w:t>
            </w:r>
          </w:p>
        </w:tc>
        <w:tc>
          <w:tcPr>
            <w:tcW w:w="2324" w:type="dxa"/>
            <w:shd w:val="clear" w:color="auto" w:fill="auto"/>
            <w:vAlign w:val="center"/>
          </w:tcPr>
          <w:p w14:paraId="39049810" w14:textId="77777777" w:rsidR="00050FB4" w:rsidRPr="005F04FC" w:rsidRDefault="00050FB4" w:rsidP="00DE0A9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20 392</w:t>
            </w:r>
          </w:p>
        </w:tc>
        <w:tc>
          <w:tcPr>
            <w:tcW w:w="2325" w:type="dxa"/>
            <w:shd w:val="clear" w:color="auto" w:fill="auto"/>
            <w:vAlign w:val="center"/>
          </w:tcPr>
          <w:p w14:paraId="004A830B" w14:textId="77777777" w:rsidR="00050FB4" w:rsidRPr="005F04FC" w:rsidRDefault="00050FB4" w:rsidP="00DE0A9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20 208</w:t>
            </w:r>
          </w:p>
        </w:tc>
        <w:tc>
          <w:tcPr>
            <w:tcW w:w="2325" w:type="dxa"/>
            <w:shd w:val="clear" w:color="auto" w:fill="auto"/>
            <w:vAlign w:val="center"/>
          </w:tcPr>
          <w:p w14:paraId="4591FFAF" w14:textId="77777777" w:rsidR="00050FB4" w:rsidRPr="005F04FC" w:rsidRDefault="00050FB4" w:rsidP="00DE0A94">
            <w:pPr>
              <w:autoSpaceDE w:val="0"/>
              <w:autoSpaceDN w:val="0"/>
              <w:adjustRightInd w:val="0"/>
              <w:spacing w:before="0" w:after="0" w:line="240" w:lineRule="auto"/>
              <w:jc w:val="center"/>
              <w:rPr>
                <w:rFonts w:eastAsia="Calibri" w:cs="MyriadPro-Regular"/>
                <w:sz w:val="18"/>
                <w:szCs w:val="18"/>
                <w:lang w:eastAsia="en-US"/>
              </w:rPr>
            </w:pPr>
            <w:r w:rsidRPr="005F04FC">
              <w:rPr>
                <w:rFonts w:eastAsia="Calibri" w:cs="MyriadPro-Regular"/>
                <w:sz w:val="18"/>
                <w:szCs w:val="18"/>
                <w:lang w:eastAsia="en-US"/>
              </w:rPr>
              <w:t>20 123</w:t>
            </w:r>
          </w:p>
        </w:tc>
      </w:tr>
    </w:tbl>
    <w:p w14:paraId="6D10B711" w14:textId="3FFC3851" w:rsidR="00050FB4" w:rsidRPr="00D21299" w:rsidRDefault="00050FB4" w:rsidP="001245CE">
      <w:pPr>
        <w:spacing w:before="0"/>
        <w:rPr>
          <w:i/>
          <w:sz w:val="18"/>
          <w:szCs w:val="20"/>
        </w:rPr>
      </w:pPr>
      <w:r w:rsidRPr="00D21299">
        <w:rPr>
          <w:i/>
          <w:sz w:val="18"/>
          <w:szCs w:val="20"/>
        </w:rPr>
        <w:t>Źródło: GUS BDL</w:t>
      </w:r>
      <w:r w:rsidR="00AA6879">
        <w:rPr>
          <w:i/>
          <w:sz w:val="18"/>
          <w:szCs w:val="20"/>
        </w:rPr>
        <w:t>.</w:t>
      </w:r>
    </w:p>
    <w:p w14:paraId="354BF64C" w14:textId="77777777" w:rsidR="00050FB4" w:rsidRPr="005F04FC" w:rsidRDefault="00050FB4" w:rsidP="00050FB4">
      <w:pPr>
        <w:rPr>
          <w:rFonts w:cs="Calibri"/>
          <w:szCs w:val="20"/>
        </w:rPr>
      </w:pPr>
      <w:r w:rsidRPr="005F04FC">
        <w:rPr>
          <w:rFonts w:cs="Calibri"/>
          <w:szCs w:val="20"/>
        </w:rPr>
        <w:t>W skali całego regionu zachodniopomorskiego, potrzeby edukacji zawodowej związane</w:t>
      </w:r>
      <w:r w:rsidR="00E66B89" w:rsidRPr="005F04FC">
        <w:rPr>
          <w:rFonts w:cs="Calibri"/>
          <w:szCs w:val="20"/>
        </w:rPr>
        <w:t xml:space="preserve"> z </w:t>
      </w:r>
      <w:r w:rsidRPr="005F04FC">
        <w:rPr>
          <w:rFonts w:cs="Calibri"/>
          <w:szCs w:val="20"/>
        </w:rPr>
        <w:t>niskim przygotowaniem infrastruktury do kształcenia</w:t>
      </w:r>
      <w:r w:rsidR="00E66B89" w:rsidRPr="005F04FC">
        <w:rPr>
          <w:rFonts w:cs="Calibri"/>
          <w:szCs w:val="20"/>
        </w:rPr>
        <w:t xml:space="preserve"> w </w:t>
      </w:r>
      <w:r w:rsidRPr="005F04FC">
        <w:rPr>
          <w:rFonts w:cs="Calibri"/>
          <w:szCs w:val="20"/>
        </w:rPr>
        <w:t>inteligentnych specjalizacjach regionu nadal pozostają wysokie. Jak wynika</w:t>
      </w:r>
      <w:r w:rsidR="00E66B89" w:rsidRPr="005F04FC">
        <w:rPr>
          <w:rFonts w:cs="Calibri"/>
          <w:szCs w:val="20"/>
        </w:rPr>
        <w:t xml:space="preserve"> z </w:t>
      </w:r>
      <w:r w:rsidRPr="005F04FC">
        <w:rPr>
          <w:rFonts w:cs="Calibri"/>
          <w:szCs w:val="20"/>
        </w:rPr>
        <w:t>badań przeprowadzonych</w:t>
      </w:r>
      <w:r w:rsidR="00E66B89" w:rsidRPr="005F04FC">
        <w:rPr>
          <w:rFonts w:cs="Calibri"/>
          <w:szCs w:val="20"/>
        </w:rPr>
        <w:t xml:space="preserve"> w </w:t>
      </w:r>
      <w:r w:rsidRPr="005F04FC">
        <w:rPr>
          <w:rFonts w:cs="Calibri"/>
          <w:szCs w:val="20"/>
        </w:rPr>
        <w:t xml:space="preserve">ramach projektu </w:t>
      </w:r>
      <w:r w:rsidRPr="005F04FC">
        <w:rPr>
          <w:rFonts w:cs="Calibri"/>
          <w:i/>
          <w:szCs w:val="20"/>
        </w:rPr>
        <w:t>Diagnoza oferty</w:t>
      </w:r>
      <w:r w:rsidR="00E66B89" w:rsidRPr="005F04FC">
        <w:rPr>
          <w:rFonts w:cs="Calibri"/>
          <w:i/>
          <w:szCs w:val="20"/>
        </w:rPr>
        <w:t xml:space="preserve"> i </w:t>
      </w:r>
      <w:r w:rsidRPr="005F04FC">
        <w:rPr>
          <w:rFonts w:cs="Calibri"/>
          <w:i/>
          <w:szCs w:val="20"/>
        </w:rPr>
        <w:t>potrzeb placówek edukacyjnych województwa zachodniopomorskiego</w:t>
      </w:r>
      <w:r w:rsidR="00E66B89" w:rsidRPr="005F04FC">
        <w:rPr>
          <w:rFonts w:cs="Calibri"/>
          <w:i/>
          <w:szCs w:val="20"/>
        </w:rPr>
        <w:t xml:space="preserve"> w </w:t>
      </w:r>
      <w:r w:rsidRPr="005F04FC">
        <w:rPr>
          <w:rFonts w:cs="Calibri"/>
          <w:i/>
          <w:szCs w:val="20"/>
        </w:rPr>
        <w:t>obszarze szkolnictwa zawodowego</w:t>
      </w:r>
      <w:r w:rsidRPr="005F04FC">
        <w:rPr>
          <w:rStyle w:val="Odwoanieprzypisudolnego"/>
          <w:rFonts w:cs="Calibri"/>
          <w:szCs w:val="20"/>
        </w:rPr>
        <w:footnoteReference w:id="117"/>
      </w:r>
      <w:r w:rsidRPr="005F04FC">
        <w:rPr>
          <w:rFonts w:cs="Calibri"/>
          <w:szCs w:val="20"/>
        </w:rPr>
        <w:t xml:space="preserve"> oferta szkół ponadgimnazjalnych oraz szkół wyższych kształcenia zawodowego</w:t>
      </w:r>
      <w:r w:rsidR="00E66B89" w:rsidRPr="005F04FC">
        <w:rPr>
          <w:rFonts w:cs="Calibri"/>
          <w:szCs w:val="20"/>
        </w:rPr>
        <w:t xml:space="preserve"> w </w:t>
      </w:r>
      <w:r w:rsidRPr="005F04FC">
        <w:rPr>
          <w:rFonts w:cs="Calibri"/>
          <w:szCs w:val="20"/>
        </w:rPr>
        <w:t>regionie nie odpowiada wyzwaniom gospodarczym</w:t>
      </w:r>
      <w:r w:rsidR="00E66B89" w:rsidRPr="005F04FC">
        <w:rPr>
          <w:rFonts w:cs="Calibri"/>
          <w:szCs w:val="20"/>
        </w:rPr>
        <w:t xml:space="preserve"> i </w:t>
      </w:r>
      <w:r w:rsidRPr="005F04FC">
        <w:rPr>
          <w:rFonts w:cs="Calibri"/>
          <w:szCs w:val="20"/>
        </w:rPr>
        <w:t>rozwojowym wynikającym</w:t>
      </w:r>
      <w:r w:rsidR="00E66B89" w:rsidRPr="005F04FC">
        <w:rPr>
          <w:rFonts w:cs="Calibri"/>
          <w:szCs w:val="20"/>
        </w:rPr>
        <w:t xml:space="preserve"> z </w:t>
      </w:r>
      <w:r w:rsidRPr="005F04FC">
        <w:rPr>
          <w:rFonts w:cs="Calibri"/>
          <w:szCs w:val="20"/>
        </w:rPr>
        <w:t>polityki regionu. Nadal wysokie pozostaje bezrobocie absolwentów szkół kształcenia zawodowego. Rośnie też liczba zawodów deficytowych</w:t>
      </w:r>
      <w:r w:rsidR="00E66B89" w:rsidRPr="005F04FC">
        <w:rPr>
          <w:rFonts w:cs="Calibri"/>
          <w:szCs w:val="20"/>
        </w:rPr>
        <w:t xml:space="preserve"> w </w:t>
      </w:r>
      <w:r w:rsidRPr="005F04FC">
        <w:rPr>
          <w:rFonts w:cs="Calibri"/>
          <w:szCs w:val="20"/>
        </w:rPr>
        <w:t>regionie, które wymagają wykształcenia zawodowego. Tendencje te wskazują więc na aktualność potrzeby dostosowania kształcenia zawodowego do potrzeb rynku pracy.</w:t>
      </w:r>
    </w:p>
    <w:p w14:paraId="3E348379" w14:textId="77777777" w:rsidR="00050FB4" w:rsidRPr="005F04FC" w:rsidRDefault="00050FB4" w:rsidP="00050FB4">
      <w:pPr>
        <w:rPr>
          <w:rFonts w:cs="Calibri"/>
          <w:b/>
          <w:szCs w:val="20"/>
        </w:rPr>
      </w:pPr>
      <w:r w:rsidRPr="005F04FC">
        <w:rPr>
          <w:rFonts w:cs="Calibri"/>
          <w:b/>
          <w:szCs w:val="20"/>
        </w:rPr>
        <w:t>Rozwój kompetencji osób dorosłych</w:t>
      </w:r>
    </w:p>
    <w:p w14:paraId="7FA485D4" w14:textId="77777777" w:rsidR="00050FB4" w:rsidRPr="005F04FC" w:rsidRDefault="00050FB4" w:rsidP="00050FB4">
      <w:pPr>
        <w:rPr>
          <w:rFonts w:cs="Calibri"/>
          <w:szCs w:val="20"/>
        </w:rPr>
      </w:pPr>
      <w:r w:rsidRPr="005F04FC">
        <w:rPr>
          <w:rFonts w:cs="Calibri"/>
          <w:szCs w:val="20"/>
        </w:rPr>
        <w:t>Jak wskazywano w rozdziale 3.6.1, pomimo iż stopa bezrobocia</w:t>
      </w:r>
      <w:r w:rsidR="00E66B89" w:rsidRPr="005F04FC">
        <w:rPr>
          <w:rFonts w:cs="Calibri"/>
          <w:szCs w:val="20"/>
        </w:rPr>
        <w:t xml:space="preserve"> w </w:t>
      </w:r>
      <w:r w:rsidRPr="005F04FC">
        <w:rPr>
          <w:rFonts w:cs="Calibri"/>
          <w:szCs w:val="20"/>
        </w:rPr>
        <w:t>województwie jest wyższa niż średnia dla kraju, to</w:t>
      </w:r>
      <w:r w:rsidR="00E66B89" w:rsidRPr="005F04FC">
        <w:rPr>
          <w:rFonts w:cs="Calibri"/>
          <w:szCs w:val="20"/>
        </w:rPr>
        <w:t xml:space="preserve"> w </w:t>
      </w:r>
      <w:r w:rsidRPr="005F04FC">
        <w:rPr>
          <w:rFonts w:cs="Calibri"/>
          <w:szCs w:val="20"/>
        </w:rPr>
        <w:t>regionie występuje jeden</w:t>
      </w:r>
      <w:r w:rsidR="00E66B89" w:rsidRPr="005F04FC">
        <w:rPr>
          <w:rFonts w:cs="Calibri"/>
          <w:szCs w:val="20"/>
        </w:rPr>
        <w:t xml:space="preserve"> z </w:t>
      </w:r>
      <w:r w:rsidRPr="005F04FC">
        <w:rPr>
          <w:rFonts w:cs="Calibri"/>
          <w:szCs w:val="20"/>
        </w:rPr>
        <w:t>najwyższych</w:t>
      </w:r>
      <w:r w:rsidR="00E66B89" w:rsidRPr="005F04FC">
        <w:rPr>
          <w:rFonts w:cs="Calibri"/>
          <w:szCs w:val="20"/>
        </w:rPr>
        <w:t xml:space="preserve"> w </w:t>
      </w:r>
      <w:r w:rsidRPr="005F04FC">
        <w:rPr>
          <w:rFonts w:cs="Calibri"/>
          <w:szCs w:val="20"/>
        </w:rPr>
        <w:t>Polsce odsetków niewykorzystanych wolnych miejsc pracy. Wskazuje to na istnienie barier</w:t>
      </w:r>
      <w:r w:rsidR="00E66B89" w:rsidRPr="005F04FC">
        <w:rPr>
          <w:rFonts w:cs="Calibri"/>
          <w:szCs w:val="20"/>
        </w:rPr>
        <w:t xml:space="preserve"> w </w:t>
      </w:r>
      <w:r w:rsidRPr="005F04FC">
        <w:rPr>
          <w:rFonts w:cs="Calibri"/>
          <w:szCs w:val="20"/>
        </w:rPr>
        <w:t>aktywizacji osób bezrobotnych oraz niedopasowanie kompetencji bezrobotnych do potrzeb rynku pracy. Jednym ze sposobów pokonania tych barier jest rozwój kompetencji zawodowych osób</w:t>
      </w:r>
      <w:r w:rsidR="00E66B89" w:rsidRPr="005F04FC">
        <w:rPr>
          <w:rFonts w:cs="Calibri"/>
          <w:szCs w:val="20"/>
        </w:rPr>
        <w:t xml:space="preserve"> z </w:t>
      </w:r>
      <w:r w:rsidRPr="005F04FC">
        <w:rPr>
          <w:rFonts w:cs="Calibri"/>
          <w:szCs w:val="20"/>
        </w:rPr>
        <w:t>niskimi kwalifikacjami oraz mieszkańców</w:t>
      </w:r>
      <w:r w:rsidR="00E66B89" w:rsidRPr="005F04FC">
        <w:rPr>
          <w:rFonts w:cs="Calibri"/>
          <w:szCs w:val="20"/>
        </w:rPr>
        <w:t xml:space="preserve"> w </w:t>
      </w:r>
      <w:r w:rsidRPr="005F04FC">
        <w:rPr>
          <w:rFonts w:cs="Calibri"/>
          <w:szCs w:val="20"/>
        </w:rPr>
        <w:t>wieku powyżej 50 lat. Wobec potrzeb rynku pracy,</w:t>
      </w:r>
      <w:r w:rsidR="00E66B89" w:rsidRPr="005F04FC">
        <w:rPr>
          <w:rFonts w:cs="Calibri"/>
          <w:szCs w:val="20"/>
        </w:rPr>
        <w:t xml:space="preserve"> w </w:t>
      </w:r>
      <w:r w:rsidRPr="005F04FC">
        <w:rPr>
          <w:rFonts w:cs="Calibri"/>
          <w:szCs w:val="20"/>
        </w:rPr>
        <w:t>mocy pozostają założenia mające na celu szerszą aktywizację zawodowo - społeczną osób</w:t>
      </w:r>
      <w:r w:rsidR="00E66B89" w:rsidRPr="005F04FC">
        <w:rPr>
          <w:rFonts w:cs="Calibri"/>
          <w:szCs w:val="20"/>
        </w:rPr>
        <w:t xml:space="preserve"> z </w:t>
      </w:r>
      <w:r w:rsidRPr="005F04FC">
        <w:rPr>
          <w:rFonts w:cs="Calibri"/>
          <w:szCs w:val="20"/>
        </w:rPr>
        <w:t>niskimi kwalifikacjami oraz osób w wieku 50+ oraz oferowanie dostępu do kształcenia ustawicznego dla tych grup. Wobec poprawy sytuacji na rynku pracy, spadła liczba bezrobotnych osób powyżej 50 roku życia</w:t>
      </w:r>
      <w:r w:rsidR="00E66B89" w:rsidRPr="005F04FC">
        <w:rPr>
          <w:rFonts w:cs="Calibri"/>
          <w:szCs w:val="20"/>
        </w:rPr>
        <w:t xml:space="preserve"> z </w:t>
      </w:r>
      <w:r w:rsidRPr="005F04FC">
        <w:rPr>
          <w:rFonts w:cs="Calibri"/>
          <w:szCs w:val="20"/>
        </w:rPr>
        <w:t>24 964</w:t>
      </w:r>
      <w:r w:rsidR="00E66B89" w:rsidRPr="005F04FC">
        <w:rPr>
          <w:rFonts w:cs="Calibri"/>
          <w:szCs w:val="20"/>
        </w:rPr>
        <w:t xml:space="preserve"> w </w:t>
      </w:r>
      <w:r w:rsidRPr="005F04FC">
        <w:rPr>
          <w:rFonts w:cs="Calibri"/>
          <w:szCs w:val="20"/>
        </w:rPr>
        <w:t>2015 roku do 16 283</w:t>
      </w:r>
      <w:r w:rsidR="00E66B89" w:rsidRPr="005F04FC">
        <w:rPr>
          <w:rFonts w:cs="Calibri"/>
          <w:szCs w:val="20"/>
        </w:rPr>
        <w:t xml:space="preserve"> w </w:t>
      </w:r>
      <w:r w:rsidRPr="005F04FC">
        <w:rPr>
          <w:rFonts w:cs="Calibri"/>
          <w:szCs w:val="20"/>
        </w:rPr>
        <w:t>2017 r. Jednocześnie ich udział wśród wszystkich bezrobotnych rejestrowanych pozostaje na niezmienionym poziomie</w:t>
      </w:r>
      <w:r w:rsidR="00E66B89" w:rsidRPr="005F04FC">
        <w:rPr>
          <w:rFonts w:cs="Calibri"/>
          <w:szCs w:val="20"/>
        </w:rPr>
        <w:t xml:space="preserve"> i </w:t>
      </w:r>
      <w:r w:rsidRPr="005F04FC">
        <w:rPr>
          <w:rFonts w:cs="Calibri"/>
          <w:szCs w:val="20"/>
        </w:rPr>
        <w:t>wynosi 31,0%. Jest to poziom wyższy od wartości tego wskaźnika dla całego kraju (27,6%). Wyższy (o 5,9 p.p.), niż</w:t>
      </w:r>
      <w:r w:rsidR="00E66B89" w:rsidRPr="005F04FC">
        <w:rPr>
          <w:rFonts w:cs="Calibri"/>
          <w:szCs w:val="20"/>
        </w:rPr>
        <w:t xml:space="preserve"> w </w:t>
      </w:r>
      <w:r w:rsidRPr="005F04FC">
        <w:rPr>
          <w:rFonts w:cs="Calibri"/>
          <w:szCs w:val="20"/>
        </w:rPr>
        <w:t>całym kraju, jest także udział osób</w:t>
      </w:r>
      <w:r w:rsidR="00E66B89" w:rsidRPr="005F04FC">
        <w:rPr>
          <w:rFonts w:cs="Calibri"/>
          <w:szCs w:val="20"/>
        </w:rPr>
        <w:t xml:space="preserve"> z </w:t>
      </w:r>
      <w:r w:rsidRPr="005F04FC">
        <w:rPr>
          <w:rFonts w:cs="Calibri"/>
          <w:szCs w:val="20"/>
        </w:rPr>
        <w:t>wykształceniem gimnazjalnym</w:t>
      </w:r>
      <w:r w:rsidR="00E66B89" w:rsidRPr="005F04FC">
        <w:rPr>
          <w:rFonts w:cs="Calibri"/>
          <w:szCs w:val="20"/>
        </w:rPr>
        <w:t xml:space="preserve"> i </w:t>
      </w:r>
      <w:r w:rsidRPr="005F04FC">
        <w:rPr>
          <w:rFonts w:cs="Calibri"/>
          <w:szCs w:val="20"/>
        </w:rPr>
        <w:t>niższym wśród zarejestrowanych bezrobotnych</w:t>
      </w:r>
      <w:r w:rsidR="00E66B89" w:rsidRPr="005F04FC">
        <w:rPr>
          <w:rFonts w:cs="Calibri"/>
          <w:szCs w:val="20"/>
        </w:rPr>
        <w:t xml:space="preserve"> i </w:t>
      </w:r>
      <w:r w:rsidRPr="005F04FC">
        <w:rPr>
          <w:rFonts w:cs="Calibri"/>
          <w:szCs w:val="20"/>
        </w:rPr>
        <w:t>wynosi on 32,9%. Wysoki udział osób</w:t>
      </w:r>
      <w:r w:rsidR="00E66B89" w:rsidRPr="005F04FC">
        <w:rPr>
          <w:rFonts w:cs="Calibri"/>
          <w:szCs w:val="20"/>
        </w:rPr>
        <w:t xml:space="preserve"> z </w:t>
      </w:r>
      <w:r w:rsidRPr="005F04FC">
        <w:rPr>
          <w:rFonts w:cs="Calibri"/>
          <w:szCs w:val="20"/>
        </w:rPr>
        <w:t>wykształceniem gimnazjalnym, podstawowym</w:t>
      </w:r>
      <w:r w:rsidR="00E66B89" w:rsidRPr="005F04FC">
        <w:rPr>
          <w:rFonts w:cs="Calibri"/>
          <w:szCs w:val="20"/>
        </w:rPr>
        <w:t xml:space="preserve"> i </w:t>
      </w:r>
      <w:r w:rsidRPr="005F04FC">
        <w:rPr>
          <w:rFonts w:cs="Calibri"/>
          <w:szCs w:val="20"/>
        </w:rPr>
        <w:t>niższym wśród osób bezrobotnych jest częściowo pochodną wysokiego udziału osób</w:t>
      </w:r>
      <w:r w:rsidR="00E66B89" w:rsidRPr="005F04FC">
        <w:rPr>
          <w:rFonts w:cs="Calibri"/>
          <w:szCs w:val="20"/>
        </w:rPr>
        <w:t xml:space="preserve"> z </w:t>
      </w:r>
      <w:r w:rsidRPr="005F04FC">
        <w:rPr>
          <w:rFonts w:cs="Calibri"/>
          <w:szCs w:val="20"/>
        </w:rPr>
        <w:t>tym wykształceniem</w:t>
      </w:r>
      <w:r w:rsidR="00E66B89" w:rsidRPr="005F04FC">
        <w:rPr>
          <w:rFonts w:cs="Calibri"/>
          <w:szCs w:val="20"/>
        </w:rPr>
        <w:t xml:space="preserve"> w </w:t>
      </w:r>
      <w:r w:rsidRPr="005F04FC">
        <w:rPr>
          <w:rFonts w:cs="Calibri"/>
          <w:szCs w:val="20"/>
        </w:rPr>
        <w:t>populacji. Wśród osób</w:t>
      </w:r>
      <w:r w:rsidR="00E66B89" w:rsidRPr="005F04FC">
        <w:rPr>
          <w:rFonts w:cs="Calibri"/>
          <w:szCs w:val="20"/>
        </w:rPr>
        <w:t xml:space="preserve"> w </w:t>
      </w:r>
      <w:r w:rsidRPr="005F04FC">
        <w:rPr>
          <w:rFonts w:cs="Calibri"/>
          <w:szCs w:val="20"/>
        </w:rPr>
        <w:t>wieku 15-64 lata, mieszkańcy posiadający wykształcenie gimnazjalne, podstawowe lub niższe stanowili 17,1%. To jeden</w:t>
      </w:r>
      <w:r w:rsidR="00E66B89" w:rsidRPr="005F04FC">
        <w:rPr>
          <w:rFonts w:cs="Calibri"/>
          <w:szCs w:val="20"/>
        </w:rPr>
        <w:t xml:space="preserve"> z </w:t>
      </w:r>
      <w:r w:rsidRPr="005F04FC">
        <w:rPr>
          <w:rFonts w:cs="Calibri"/>
          <w:szCs w:val="20"/>
        </w:rPr>
        <w:t>wyższych współczynników</w:t>
      </w:r>
      <w:r w:rsidR="00E66B89" w:rsidRPr="005F04FC">
        <w:rPr>
          <w:rFonts w:cs="Calibri"/>
          <w:szCs w:val="20"/>
        </w:rPr>
        <w:t xml:space="preserve"> w </w:t>
      </w:r>
      <w:r w:rsidRPr="005F04FC">
        <w:rPr>
          <w:rFonts w:cs="Calibri"/>
          <w:szCs w:val="20"/>
        </w:rPr>
        <w:t>kraju wśród województw. Pod tym względem</w:t>
      </w:r>
      <w:r w:rsidR="00E66B89" w:rsidRPr="005F04FC">
        <w:rPr>
          <w:rFonts w:cs="Calibri"/>
          <w:szCs w:val="20"/>
        </w:rPr>
        <w:t xml:space="preserve"> w </w:t>
      </w:r>
      <w:r w:rsidRPr="005F04FC">
        <w:rPr>
          <w:rFonts w:cs="Calibri"/>
          <w:szCs w:val="20"/>
        </w:rPr>
        <w:t>województwie zachodniopomorskim (na tle innych województw) występują także największe różnice między miastem</w:t>
      </w:r>
      <w:r w:rsidR="00E66B89" w:rsidRPr="005F04FC">
        <w:rPr>
          <w:rFonts w:cs="Calibri"/>
          <w:szCs w:val="20"/>
        </w:rPr>
        <w:t xml:space="preserve"> a </w:t>
      </w:r>
      <w:r w:rsidRPr="005F04FC">
        <w:rPr>
          <w:rFonts w:cs="Calibri"/>
          <w:szCs w:val="20"/>
        </w:rPr>
        <w:t>wsią</w:t>
      </w:r>
      <w:r w:rsidRPr="005F04FC">
        <w:rPr>
          <w:rStyle w:val="Odwoanieprzypisudolnego"/>
          <w:rFonts w:cs="Calibri"/>
          <w:szCs w:val="20"/>
        </w:rPr>
        <w:footnoteReference w:id="118"/>
      </w:r>
      <w:r w:rsidRPr="005F04FC">
        <w:rPr>
          <w:rFonts w:cs="Calibri"/>
          <w:szCs w:val="20"/>
        </w:rPr>
        <w:t>.</w:t>
      </w:r>
    </w:p>
    <w:p w14:paraId="65AF2427" w14:textId="77777777" w:rsidR="00050FB4" w:rsidRPr="00FE73B6" w:rsidRDefault="00050FB4" w:rsidP="00FE73B6">
      <w:pPr>
        <w:pStyle w:val="Legenda"/>
        <w:spacing w:after="0"/>
      </w:pPr>
      <w:bookmarkStart w:id="300" w:name="_Toc5311896"/>
      <w:r w:rsidRPr="0094022E">
        <w:lastRenderedPageBreak/>
        <w:t xml:space="preserve">Wykres </w:t>
      </w:r>
      <w:r>
        <w:fldChar w:fldCharType="begin"/>
      </w:r>
      <w:r>
        <w:instrText xml:space="preserve"> SEQ Wykres \* ARABIC </w:instrText>
      </w:r>
      <w:r>
        <w:fldChar w:fldCharType="separate"/>
      </w:r>
      <w:r w:rsidR="00763345">
        <w:rPr>
          <w:noProof/>
        </w:rPr>
        <w:t>30</w:t>
      </w:r>
      <w:r>
        <w:fldChar w:fldCharType="end"/>
      </w:r>
      <w:r w:rsidRPr="0094022E">
        <w:t xml:space="preserve"> Wykształcenie bezrobotnych rejestrowanych</w:t>
      </w:r>
      <w:r w:rsidR="00E66B89">
        <w:t xml:space="preserve"> w </w:t>
      </w:r>
      <w:r w:rsidRPr="0094022E">
        <w:t>województwie zachodniopomorskim na tle kraju</w:t>
      </w:r>
      <w:r w:rsidR="00E66B89">
        <w:t xml:space="preserve"> w </w:t>
      </w:r>
      <w:r w:rsidRPr="0094022E">
        <w:t>2018 roku</w:t>
      </w:r>
      <w:bookmarkEnd w:id="300"/>
    </w:p>
    <w:p w14:paraId="0B0ADC0A" w14:textId="5909E8E0" w:rsidR="00050FB4" w:rsidRPr="00400D96" w:rsidRDefault="00C35619" w:rsidP="004F028D">
      <w:pPr>
        <w:spacing w:before="0" w:after="0"/>
        <w:rPr>
          <w:rFonts w:cs="Calibri"/>
          <w:szCs w:val="20"/>
        </w:rPr>
      </w:pPr>
      <w:r w:rsidRPr="00D508B6">
        <w:rPr>
          <w:noProof/>
        </w:rPr>
        <w:drawing>
          <wp:inline distT="0" distB="0" distL="0" distR="0" wp14:anchorId="3CF25D22" wp14:editId="2F7FE892">
            <wp:extent cx="5732145" cy="2028190"/>
            <wp:effectExtent l="0" t="0" r="1905" b="10160"/>
            <wp:docPr id="53" name="Wykres 4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AA82661" w14:textId="77777777" w:rsidR="00050FB4" w:rsidRPr="00D21299" w:rsidRDefault="00050FB4" w:rsidP="001245CE">
      <w:pPr>
        <w:spacing w:before="0"/>
        <w:rPr>
          <w:i/>
          <w:sz w:val="18"/>
          <w:szCs w:val="20"/>
        </w:rPr>
      </w:pPr>
      <w:r w:rsidRPr="00D21299">
        <w:rPr>
          <w:i/>
          <w:sz w:val="18"/>
          <w:szCs w:val="20"/>
        </w:rPr>
        <w:t>Źródło: opracowanie własne na podstawie danych GUS, Bank Danych Lokalnych.</w:t>
      </w:r>
    </w:p>
    <w:p w14:paraId="5FD51A4C" w14:textId="77777777" w:rsidR="00050FB4" w:rsidRPr="00404DA5" w:rsidRDefault="00050FB4" w:rsidP="00050FB4">
      <w:pPr>
        <w:rPr>
          <w:rFonts w:cs="Calibri"/>
          <w:szCs w:val="20"/>
        </w:rPr>
      </w:pPr>
      <w:r w:rsidRPr="005F04FC">
        <w:rPr>
          <w:rFonts w:cs="Calibri"/>
          <w:szCs w:val="20"/>
        </w:rPr>
        <w:t>Inną negatywną tendencją obserwowaną</w:t>
      </w:r>
      <w:r w:rsidR="00E66B89" w:rsidRPr="005F04FC">
        <w:rPr>
          <w:rFonts w:cs="Calibri"/>
          <w:szCs w:val="20"/>
        </w:rPr>
        <w:t xml:space="preserve"> w </w:t>
      </w:r>
      <w:r w:rsidRPr="005F04FC">
        <w:rPr>
          <w:rFonts w:cs="Calibri"/>
          <w:szCs w:val="20"/>
        </w:rPr>
        <w:t>województwie zachodniopomorskim jest niski udział osób dorosłych</w:t>
      </w:r>
      <w:r w:rsidR="00E66B89" w:rsidRPr="005F04FC">
        <w:rPr>
          <w:rFonts w:cs="Calibri"/>
          <w:szCs w:val="20"/>
        </w:rPr>
        <w:t xml:space="preserve"> w </w:t>
      </w:r>
      <w:r w:rsidRPr="005F04FC">
        <w:rPr>
          <w:rFonts w:cs="Calibri"/>
          <w:szCs w:val="20"/>
        </w:rPr>
        <w:t>kształceniu ustawicznym. Osoby</w:t>
      </w:r>
      <w:r w:rsidR="00E66B89" w:rsidRPr="005F04FC">
        <w:rPr>
          <w:rFonts w:cs="Calibri"/>
          <w:szCs w:val="20"/>
        </w:rPr>
        <w:t xml:space="preserve"> w </w:t>
      </w:r>
      <w:r w:rsidRPr="005F04FC">
        <w:rPr>
          <w:rFonts w:cs="Calibri"/>
          <w:szCs w:val="20"/>
        </w:rPr>
        <w:t>wieku 25–64 lat, które się uczą lub dokształcają stanowiły</w:t>
      </w:r>
      <w:r w:rsidR="00E66B89" w:rsidRPr="005F04FC">
        <w:rPr>
          <w:rFonts w:cs="Calibri"/>
          <w:szCs w:val="20"/>
        </w:rPr>
        <w:t xml:space="preserve"> w </w:t>
      </w:r>
      <w:r w:rsidRPr="005F04FC">
        <w:rPr>
          <w:rFonts w:cs="Calibri"/>
          <w:szCs w:val="20"/>
        </w:rPr>
        <w:t>2017 roku tylko 2,7% ludności ogółem</w:t>
      </w:r>
      <w:r w:rsidR="00E66B89" w:rsidRPr="005F04FC">
        <w:rPr>
          <w:rFonts w:cs="Calibri"/>
          <w:szCs w:val="20"/>
        </w:rPr>
        <w:t xml:space="preserve"> w </w:t>
      </w:r>
      <w:r w:rsidRPr="005F04FC">
        <w:rPr>
          <w:rFonts w:cs="Calibri"/>
          <w:szCs w:val="20"/>
        </w:rPr>
        <w:t>tej samej grupie wiekowej. Wobec opisanego powyżej wysokiego odsetka osób</w:t>
      </w:r>
      <w:r w:rsidR="00E66B89" w:rsidRPr="005F04FC">
        <w:rPr>
          <w:rFonts w:cs="Calibri"/>
          <w:szCs w:val="20"/>
        </w:rPr>
        <w:t xml:space="preserve"> z </w:t>
      </w:r>
      <w:r w:rsidRPr="005F04FC">
        <w:rPr>
          <w:rFonts w:cs="Calibri"/>
          <w:szCs w:val="20"/>
        </w:rPr>
        <w:t>niskim wykształceniem, zachodzi konieczność wspierania tych osób</w:t>
      </w:r>
      <w:r w:rsidR="00E66B89" w:rsidRPr="005F04FC">
        <w:rPr>
          <w:rFonts w:cs="Calibri"/>
          <w:szCs w:val="20"/>
        </w:rPr>
        <w:t xml:space="preserve"> w </w:t>
      </w:r>
      <w:r w:rsidRPr="005F04FC">
        <w:rPr>
          <w:rFonts w:cs="Calibri"/>
          <w:szCs w:val="20"/>
        </w:rPr>
        <w:t>dokształcaniu</w:t>
      </w:r>
      <w:r w:rsidR="00E66B89" w:rsidRPr="005F04FC">
        <w:rPr>
          <w:rFonts w:cs="Calibri"/>
          <w:szCs w:val="20"/>
        </w:rPr>
        <w:t xml:space="preserve"> i </w:t>
      </w:r>
      <w:r w:rsidRPr="005F04FC">
        <w:rPr>
          <w:rFonts w:cs="Calibri"/>
          <w:szCs w:val="20"/>
        </w:rPr>
        <w:t>rozbudowywania oferty kształcenia ustawicznego - zarówno formalnego, jaki</w:t>
      </w:r>
      <w:r w:rsidR="00E66B89" w:rsidRPr="005F04FC">
        <w:rPr>
          <w:rFonts w:cs="Calibri"/>
          <w:szCs w:val="20"/>
        </w:rPr>
        <w:t xml:space="preserve"> i </w:t>
      </w:r>
      <w:r w:rsidRPr="005F04FC">
        <w:rPr>
          <w:rFonts w:cs="Calibri"/>
          <w:szCs w:val="20"/>
        </w:rPr>
        <w:t>pozaformalnego.</w:t>
      </w:r>
      <w:r w:rsidRPr="00404DA5">
        <w:rPr>
          <w:rFonts w:cs="Calibri"/>
          <w:szCs w:val="20"/>
        </w:rPr>
        <w:t xml:space="preserve"> </w:t>
      </w:r>
    </w:p>
    <w:p w14:paraId="0D5EC542" w14:textId="77777777" w:rsidR="00050FB4" w:rsidRPr="00FE43CD" w:rsidRDefault="00050FB4" w:rsidP="00050FB4">
      <w:pPr>
        <w:pStyle w:val="Nagwek3"/>
      </w:pPr>
      <w:r w:rsidRPr="00FE43CD">
        <w:t>Realizacja Ram Wykonania</w:t>
      </w:r>
      <w:r w:rsidR="00E66B89">
        <w:t xml:space="preserve"> w </w:t>
      </w:r>
      <w:r w:rsidRPr="00FE43CD">
        <w:t xml:space="preserve">OP </w:t>
      </w:r>
      <w:r>
        <w:t>VIII</w:t>
      </w:r>
    </w:p>
    <w:p w14:paraId="07C21AD2" w14:textId="77777777" w:rsidR="00050FB4" w:rsidRPr="00FE73B6" w:rsidRDefault="00050FB4" w:rsidP="00FE73B6">
      <w:pPr>
        <w:pStyle w:val="Legenda"/>
        <w:spacing w:after="0"/>
      </w:pPr>
      <w:bookmarkStart w:id="301" w:name="_Toc3485236"/>
      <w:bookmarkStart w:id="302" w:name="_Toc3896880"/>
      <w:bookmarkStart w:id="303" w:name="_Toc8824243"/>
      <w:r w:rsidRPr="00B84EEA">
        <w:t xml:space="preserve">Tabela </w:t>
      </w:r>
      <w:r>
        <w:fldChar w:fldCharType="begin"/>
      </w:r>
      <w:r>
        <w:instrText xml:space="preserve"> SEQ Tabela \* ARABIC </w:instrText>
      </w:r>
      <w:r>
        <w:fldChar w:fldCharType="separate"/>
      </w:r>
      <w:r w:rsidR="00763345">
        <w:rPr>
          <w:noProof/>
        </w:rPr>
        <w:t>132</w:t>
      </w:r>
      <w:r>
        <w:fldChar w:fldCharType="end"/>
      </w:r>
      <w:r w:rsidRPr="00B84EEA">
        <w:t xml:space="preserve"> Wskaźniki wybrane do Ram Wykonania – stopień osiągnięcia wartości pośrednich</w:t>
      </w:r>
      <w:r w:rsidR="00E66B89">
        <w:t xml:space="preserve"> i </w:t>
      </w:r>
      <w:r w:rsidRPr="00B84EEA">
        <w:t>docelowych – OP VIII Edukacja</w:t>
      </w:r>
      <w:bookmarkEnd w:id="301"/>
      <w:bookmarkEnd w:id="302"/>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027"/>
        <w:gridCol w:w="1290"/>
        <w:gridCol w:w="858"/>
        <w:gridCol w:w="1068"/>
        <w:gridCol w:w="767"/>
        <w:gridCol w:w="1001"/>
        <w:gridCol w:w="826"/>
        <w:gridCol w:w="866"/>
        <w:gridCol w:w="866"/>
      </w:tblGrid>
      <w:tr w:rsidR="00050FB4" w:rsidRPr="00B84EEA" w14:paraId="3826B860" w14:textId="77777777" w:rsidTr="00C22C26">
        <w:trPr>
          <w:trHeight w:val="1550"/>
          <w:tblHeader/>
        </w:trPr>
        <w:tc>
          <w:tcPr>
            <w:tcW w:w="284" w:type="pct"/>
            <w:shd w:val="clear" w:color="auto" w:fill="DBE5F1"/>
          </w:tcPr>
          <w:p w14:paraId="3C8B935A" w14:textId="77777777" w:rsidR="00050FB4" w:rsidRPr="00404DA5" w:rsidRDefault="00050FB4" w:rsidP="00050FB4">
            <w:pPr>
              <w:pStyle w:val="evaluTresc"/>
              <w:rPr>
                <w:b/>
                <w:sz w:val="16"/>
              </w:rPr>
            </w:pPr>
            <w:r w:rsidRPr="00404DA5">
              <w:rPr>
                <w:rFonts w:cs="Calibri"/>
                <w:sz w:val="16"/>
                <w:szCs w:val="18"/>
              </w:rPr>
              <w:t>PI</w:t>
            </w:r>
          </w:p>
        </w:tc>
        <w:tc>
          <w:tcPr>
            <w:tcW w:w="565" w:type="pct"/>
            <w:shd w:val="clear" w:color="auto" w:fill="DBE5F1"/>
          </w:tcPr>
          <w:p w14:paraId="51A0ABDA" w14:textId="77777777" w:rsidR="00050FB4" w:rsidRPr="00404DA5" w:rsidRDefault="00050FB4" w:rsidP="00050FB4">
            <w:pPr>
              <w:pStyle w:val="evaluTresc"/>
              <w:rPr>
                <w:b/>
                <w:sz w:val="16"/>
              </w:rPr>
            </w:pPr>
            <w:r w:rsidRPr="00404DA5">
              <w:rPr>
                <w:rFonts w:cs="Calibri"/>
                <w:sz w:val="16"/>
                <w:szCs w:val="18"/>
              </w:rPr>
              <w:t>Typ wskaźnika</w:t>
            </w:r>
          </w:p>
        </w:tc>
        <w:tc>
          <w:tcPr>
            <w:tcW w:w="818" w:type="pct"/>
            <w:shd w:val="clear" w:color="auto" w:fill="DBE5F1"/>
          </w:tcPr>
          <w:p w14:paraId="1BEDA0F7" w14:textId="77777777" w:rsidR="00050FB4" w:rsidRPr="00404DA5" w:rsidRDefault="00050FB4" w:rsidP="00050FB4">
            <w:pPr>
              <w:pStyle w:val="evaluTresc"/>
              <w:rPr>
                <w:b/>
                <w:sz w:val="16"/>
              </w:rPr>
            </w:pPr>
            <w:r w:rsidRPr="00404DA5">
              <w:rPr>
                <w:rFonts w:cs="Calibri"/>
                <w:sz w:val="16"/>
                <w:szCs w:val="18"/>
              </w:rPr>
              <w:t>Wskaźnik lub KEW</w:t>
            </w:r>
          </w:p>
        </w:tc>
        <w:tc>
          <w:tcPr>
            <w:tcW w:w="365" w:type="pct"/>
            <w:shd w:val="clear" w:color="auto" w:fill="DBE5F1"/>
          </w:tcPr>
          <w:p w14:paraId="0644E43F" w14:textId="77777777" w:rsidR="00050FB4" w:rsidRPr="00404DA5" w:rsidRDefault="00050FB4" w:rsidP="00050FB4">
            <w:pPr>
              <w:pStyle w:val="evaluTresc"/>
              <w:rPr>
                <w:b/>
                <w:sz w:val="16"/>
              </w:rPr>
            </w:pPr>
            <w:r w:rsidRPr="00404DA5">
              <w:rPr>
                <w:rFonts w:cs="Calibri"/>
                <w:sz w:val="16"/>
                <w:szCs w:val="18"/>
              </w:rPr>
              <w:t>Jednostka pomiaru</w:t>
            </w:r>
          </w:p>
        </w:tc>
        <w:tc>
          <w:tcPr>
            <w:tcW w:w="589" w:type="pct"/>
            <w:shd w:val="clear" w:color="auto" w:fill="DBE5F1"/>
          </w:tcPr>
          <w:p w14:paraId="1BF5076D" w14:textId="77777777" w:rsidR="00050FB4" w:rsidRPr="00404DA5" w:rsidRDefault="00050FB4" w:rsidP="00050FB4">
            <w:pPr>
              <w:pStyle w:val="evaluTresc"/>
              <w:rPr>
                <w:b/>
                <w:sz w:val="16"/>
              </w:rPr>
            </w:pPr>
            <w:r w:rsidRPr="00404DA5">
              <w:rPr>
                <w:rFonts w:cs="Calibri"/>
                <w:sz w:val="16"/>
                <w:szCs w:val="18"/>
              </w:rPr>
              <w:t>Wartość kumulatywna</w:t>
            </w:r>
          </w:p>
        </w:tc>
        <w:tc>
          <w:tcPr>
            <w:tcW w:w="421" w:type="pct"/>
            <w:shd w:val="clear" w:color="auto" w:fill="DBE5F1"/>
          </w:tcPr>
          <w:p w14:paraId="222A9F77" w14:textId="77777777" w:rsidR="00050FB4" w:rsidRPr="00404DA5" w:rsidRDefault="00050FB4" w:rsidP="00050FB4">
            <w:pPr>
              <w:pStyle w:val="evaluTresc"/>
              <w:rPr>
                <w:b/>
                <w:sz w:val="16"/>
              </w:rPr>
            </w:pPr>
            <w:r w:rsidRPr="00404DA5">
              <w:rPr>
                <w:rFonts w:cs="Calibri"/>
                <w:sz w:val="16"/>
                <w:szCs w:val="18"/>
              </w:rPr>
              <w:t>Cel pośredni na 2018 r.</w:t>
            </w:r>
          </w:p>
        </w:tc>
        <w:tc>
          <w:tcPr>
            <w:tcW w:w="552" w:type="pct"/>
            <w:shd w:val="clear" w:color="auto" w:fill="DBE5F1"/>
          </w:tcPr>
          <w:p w14:paraId="58345AEA" w14:textId="77777777" w:rsidR="00050FB4" w:rsidRPr="00404DA5" w:rsidRDefault="00050FB4" w:rsidP="00050FB4">
            <w:pPr>
              <w:pStyle w:val="evaluTresc"/>
              <w:rPr>
                <w:b/>
                <w:sz w:val="16"/>
              </w:rPr>
            </w:pPr>
            <w:r w:rsidRPr="00404DA5">
              <w:rPr>
                <w:rFonts w:cs="Calibri"/>
                <w:sz w:val="16"/>
                <w:szCs w:val="18"/>
              </w:rPr>
              <w:t>% realizacji celu pośredniego</w:t>
            </w:r>
          </w:p>
        </w:tc>
        <w:tc>
          <w:tcPr>
            <w:tcW w:w="455" w:type="pct"/>
            <w:shd w:val="clear" w:color="auto" w:fill="DBE5F1"/>
          </w:tcPr>
          <w:p w14:paraId="6B90B62C" w14:textId="77777777" w:rsidR="00050FB4" w:rsidRPr="00404DA5" w:rsidRDefault="00050FB4" w:rsidP="00050FB4">
            <w:pPr>
              <w:pStyle w:val="evaluTresc"/>
              <w:rPr>
                <w:b/>
                <w:sz w:val="16"/>
              </w:rPr>
            </w:pPr>
            <w:r w:rsidRPr="00404DA5">
              <w:rPr>
                <w:rFonts w:cs="Calibri"/>
                <w:sz w:val="16"/>
                <w:szCs w:val="18"/>
              </w:rPr>
              <w:t>Wartość docelowa na koniec 2023 r.</w:t>
            </w:r>
          </w:p>
        </w:tc>
        <w:tc>
          <w:tcPr>
            <w:tcW w:w="476" w:type="pct"/>
            <w:shd w:val="clear" w:color="auto" w:fill="DBE5F1"/>
          </w:tcPr>
          <w:p w14:paraId="29A996CB" w14:textId="77777777" w:rsidR="00050FB4" w:rsidRPr="00404DA5" w:rsidRDefault="00050FB4" w:rsidP="00050FB4">
            <w:pPr>
              <w:keepNext/>
              <w:spacing w:line="276" w:lineRule="auto"/>
              <w:jc w:val="center"/>
              <w:rPr>
                <w:rFonts w:cs="Calibri"/>
                <w:sz w:val="16"/>
                <w:szCs w:val="18"/>
              </w:rPr>
            </w:pPr>
            <w:r w:rsidRPr="00404DA5">
              <w:rPr>
                <w:rFonts w:cs="Calibri"/>
                <w:sz w:val="16"/>
                <w:szCs w:val="18"/>
              </w:rPr>
              <w:t xml:space="preserve">% realizacji wartości docelowej </w:t>
            </w:r>
            <w:r w:rsidRPr="00404DA5">
              <w:rPr>
                <w:rFonts w:cs="Calibri"/>
                <w:b/>
                <w:sz w:val="16"/>
                <w:szCs w:val="18"/>
              </w:rPr>
              <w:t>wg WoP</w:t>
            </w:r>
          </w:p>
        </w:tc>
        <w:tc>
          <w:tcPr>
            <w:tcW w:w="476" w:type="pct"/>
            <w:shd w:val="clear" w:color="auto" w:fill="DBE5F1"/>
          </w:tcPr>
          <w:p w14:paraId="6A0AB74B" w14:textId="77777777" w:rsidR="00050FB4" w:rsidRPr="00404DA5" w:rsidRDefault="00050FB4" w:rsidP="00050FB4">
            <w:pPr>
              <w:keepNext/>
              <w:spacing w:line="276" w:lineRule="auto"/>
              <w:jc w:val="center"/>
              <w:rPr>
                <w:rFonts w:cs="Calibri"/>
                <w:sz w:val="16"/>
                <w:szCs w:val="18"/>
              </w:rPr>
            </w:pPr>
            <w:r w:rsidRPr="00404DA5">
              <w:rPr>
                <w:rFonts w:cs="Calibri"/>
                <w:sz w:val="16"/>
                <w:szCs w:val="18"/>
              </w:rPr>
              <w:t xml:space="preserve">% realizacji wartości docelowej </w:t>
            </w:r>
            <w:r w:rsidRPr="00404DA5">
              <w:rPr>
                <w:rFonts w:cs="Calibri"/>
                <w:b/>
                <w:sz w:val="16"/>
                <w:szCs w:val="18"/>
              </w:rPr>
              <w:t>wg UoD</w:t>
            </w:r>
          </w:p>
        </w:tc>
      </w:tr>
      <w:tr w:rsidR="00050FB4" w:rsidRPr="00B84EEA" w14:paraId="1164F095" w14:textId="77777777" w:rsidTr="00050FB4">
        <w:trPr>
          <w:trHeight w:val="1377"/>
        </w:trPr>
        <w:tc>
          <w:tcPr>
            <w:tcW w:w="284" w:type="pct"/>
            <w:shd w:val="clear" w:color="auto" w:fill="auto"/>
            <w:vAlign w:val="center"/>
          </w:tcPr>
          <w:p w14:paraId="407C0594" w14:textId="77777777" w:rsidR="00050FB4" w:rsidRPr="00404DA5" w:rsidRDefault="00050FB4" w:rsidP="00050FB4">
            <w:pPr>
              <w:pStyle w:val="evaluTresc"/>
              <w:rPr>
                <w:b/>
                <w:sz w:val="16"/>
              </w:rPr>
            </w:pPr>
            <w:r w:rsidRPr="00404DA5">
              <w:rPr>
                <w:rFonts w:cs="Calibri"/>
                <w:color w:val="000000"/>
                <w:sz w:val="16"/>
                <w:szCs w:val="18"/>
              </w:rPr>
              <w:t>10iii</w:t>
            </w:r>
          </w:p>
        </w:tc>
        <w:tc>
          <w:tcPr>
            <w:tcW w:w="565" w:type="pct"/>
            <w:shd w:val="clear" w:color="auto" w:fill="auto"/>
            <w:vAlign w:val="center"/>
          </w:tcPr>
          <w:p w14:paraId="70EEDC46" w14:textId="77777777" w:rsidR="00050FB4" w:rsidRPr="00404DA5" w:rsidRDefault="00050FB4" w:rsidP="00050FB4">
            <w:pPr>
              <w:pStyle w:val="evaluTresc"/>
              <w:rPr>
                <w:b/>
                <w:sz w:val="16"/>
              </w:rPr>
            </w:pPr>
            <w:r w:rsidRPr="00404DA5">
              <w:rPr>
                <w:rFonts w:cs="Calibri"/>
                <w:color w:val="000000"/>
                <w:sz w:val="16"/>
                <w:szCs w:val="18"/>
              </w:rPr>
              <w:t>wskaźnik produktu</w:t>
            </w:r>
          </w:p>
        </w:tc>
        <w:tc>
          <w:tcPr>
            <w:tcW w:w="818" w:type="pct"/>
            <w:shd w:val="clear" w:color="auto" w:fill="auto"/>
            <w:vAlign w:val="center"/>
          </w:tcPr>
          <w:p w14:paraId="16855DA5" w14:textId="77777777" w:rsidR="00050FB4" w:rsidRPr="00404DA5" w:rsidRDefault="00050FB4" w:rsidP="00050FB4">
            <w:pPr>
              <w:pStyle w:val="evaluTresc"/>
              <w:rPr>
                <w:b/>
                <w:sz w:val="16"/>
              </w:rPr>
            </w:pPr>
            <w:r w:rsidRPr="00404DA5">
              <w:rPr>
                <w:rFonts w:cs="Calibri"/>
                <w:color w:val="000000"/>
                <w:sz w:val="16"/>
                <w:szCs w:val="18"/>
              </w:rPr>
              <w:t>Liczba osób</w:t>
            </w:r>
            <w:r w:rsidR="00E66B89">
              <w:rPr>
                <w:rFonts w:cs="Calibri"/>
                <w:color w:val="000000"/>
                <w:sz w:val="16"/>
                <w:szCs w:val="18"/>
              </w:rPr>
              <w:t xml:space="preserve"> w </w:t>
            </w:r>
            <w:r w:rsidRPr="00404DA5">
              <w:rPr>
                <w:rFonts w:cs="Calibri"/>
                <w:color w:val="000000"/>
                <w:sz w:val="16"/>
                <w:szCs w:val="18"/>
              </w:rPr>
              <w:t>wieku 25 lat</w:t>
            </w:r>
            <w:r w:rsidR="00E66B89">
              <w:rPr>
                <w:rFonts w:cs="Calibri"/>
                <w:color w:val="000000"/>
                <w:sz w:val="16"/>
                <w:szCs w:val="18"/>
              </w:rPr>
              <w:t xml:space="preserve"> i </w:t>
            </w:r>
            <w:r w:rsidRPr="00404DA5">
              <w:rPr>
                <w:rFonts w:cs="Calibri"/>
                <w:color w:val="000000"/>
                <w:sz w:val="16"/>
                <w:szCs w:val="18"/>
              </w:rPr>
              <w:t>więcej objętych wsparciem</w:t>
            </w:r>
            <w:r w:rsidR="00E66B89">
              <w:rPr>
                <w:rFonts w:cs="Calibri"/>
                <w:color w:val="000000"/>
                <w:sz w:val="16"/>
                <w:szCs w:val="18"/>
              </w:rPr>
              <w:t xml:space="preserve"> w </w:t>
            </w:r>
            <w:r w:rsidRPr="00404DA5">
              <w:rPr>
                <w:rFonts w:cs="Calibri"/>
                <w:color w:val="000000"/>
                <w:sz w:val="16"/>
                <w:szCs w:val="18"/>
              </w:rPr>
              <w:t>programie</w:t>
            </w:r>
          </w:p>
        </w:tc>
        <w:tc>
          <w:tcPr>
            <w:tcW w:w="365" w:type="pct"/>
            <w:shd w:val="clear" w:color="auto" w:fill="auto"/>
            <w:vAlign w:val="center"/>
          </w:tcPr>
          <w:p w14:paraId="1566524B" w14:textId="77777777" w:rsidR="00050FB4" w:rsidRPr="00404DA5" w:rsidRDefault="00050FB4" w:rsidP="00050FB4">
            <w:pPr>
              <w:pStyle w:val="evaluTresc"/>
              <w:rPr>
                <w:b/>
                <w:sz w:val="16"/>
              </w:rPr>
            </w:pPr>
            <w:r w:rsidRPr="00404DA5">
              <w:rPr>
                <w:rFonts w:cs="Calibri"/>
                <w:color w:val="000000"/>
                <w:sz w:val="16"/>
                <w:szCs w:val="18"/>
              </w:rPr>
              <w:t>osoby</w:t>
            </w:r>
          </w:p>
        </w:tc>
        <w:tc>
          <w:tcPr>
            <w:tcW w:w="589" w:type="pct"/>
            <w:shd w:val="clear" w:color="auto" w:fill="auto"/>
            <w:vAlign w:val="center"/>
          </w:tcPr>
          <w:p w14:paraId="116FC870" w14:textId="77777777" w:rsidR="00050FB4" w:rsidRPr="00404DA5" w:rsidRDefault="00050FB4" w:rsidP="00050FB4">
            <w:pPr>
              <w:pStyle w:val="evaluTresc"/>
              <w:rPr>
                <w:b/>
                <w:sz w:val="16"/>
              </w:rPr>
            </w:pPr>
            <w:r w:rsidRPr="00404DA5">
              <w:rPr>
                <w:rFonts w:cs="Calibri"/>
                <w:color w:val="000000"/>
                <w:sz w:val="16"/>
                <w:szCs w:val="18"/>
              </w:rPr>
              <w:t>7 396</w:t>
            </w:r>
          </w:p>
        </w:tc>
        <w:tc>
          <w:tcPr>
            <w:tcW w:w="421" w:type="pct"/>
            <w:shd w:val="clear" w:color="auto" w:fill="auto"/>
            <w:vAlign w:val="center"/>
          </w:tcPr>
          <w:p w14:paraId="08692537" w14:textId="77777777" w:rsidR="00050FB4" w:rsidRPr="00404DA5" w:rsidRDefault="00050FB4" w:rsidP="00050FB4">
            <w:pPr>
              <w:pStyle w:val="evaluTresc"/>
              <w:rPr>
                <w:b/>
                <w:sz w:val="16"/>
              </w:rPr>
            </w:pPr>
            <w:r w:rsidRPr="00404DA5">
              <w:rPr>
                <w:rFonts w:cs="Calibri"/>
                <w:color w:val="000000"/>
                <w:sz w:val="16"/>
                <w:szCs w:val="18"/>
              </w:rPr>
              <w:t>7 200</w:t>
            </w:r>
          </w:p>
        </w:tc>
        <w:tc>
          <w:tcPr>
            <w:tcW w:w="552" w:type="pct"/>
            <w:shd w:val="clear" w:color="auto" w:fill="auto"/>
            <w:vAlign w:val="center"/>
          </w:tcPr>
          <w:p w14:paraId="44C56F1E" w14:textId="77777777" w:rsidR="00050FB4" w:rsidRPr="00404DA5" w:rsidRDefault="00050FB4" w:rsidP="00050FB4">
            <w:pPr>
              <w:pStyle w:val="evaluTresc"/>
              <w:rPr>
                <w:b/>
                <w:sz w:val="16"/>
              </w:rPr>
            </w:pPr>
            <w:r w:rsidRPr="00404DA5">
              <w:rPr>
                <w:rFonts w:cs="Calibri"/>
                <w:color w:val="000000"/>
                <w:sz w:val="16"/>
                <w:szCs w:val="18"/>
              </w:rPr>
              <w:t>102,72%</w:t>
            </w:r>
          </w:p>
        </w:tc>
        <w:tc>
          <w:tcPr>
            <w:tcW w:w="455" w:type="pct"/>
            <w:shd w:val="clear" w:color="auto" w:fill="auto"/>
            <w:vAlign w:val="center"/>
          </w:tcPr>
          <w:p w14:paraId="6544BE51" w14:textId="77777777" w:rsidR="00050FB4" w:rsidRPr="00404DA5" w:rsidRDefault="00050FB4" w:rsidP="00050FB4">
            <w:pPr>
              <w:pStyle w:val="evaluTresc"/>
              <w:rPr>
                <w:b/>
                <w:sz w:val="16"/>
              </w:rPr>
            </w:pPr>
            <w:r w:rsidRPr="00404DA5">
              <w:rPr>
                <w:rFonts w:cs="Calibri"/>
                <w:sz w:val="16"/>
                <w:szCs w:val="18"/>
              </w:rPr>
              <w:t>20 986</w:t>
            </w:r>
          </w:p>
        </w:tc>
        <w:tc>
          <w:tcPr>
            <w:tcW w:w="476" w:type="pct"/>
            <w:shd w:val="clear" w:color="auto" w:fill="auto"/>
            <w:vAlign w:val="center"/>
          </w:tcPr>
          <w:p w14:paraId="19462343" w14:textId="77777777" w:rsidR="00050FB4" w:rsidRPr="00404DA5" w:rsidRDefault="00050FB4" w:rsidP="00050FB4">
            <w:pPr>
              <w:spacing w:line="276" w:lineRule="auto"/>
              <w:jc w:val="center"/>
              <w:rPr>
                <w:rFonts w:eastAsia="Calibri" w:cs="Calibri"/>
                <w:sz w:val="16"/>
                <w:szCs w:val="18"/>
              </w:rPr>
            </w:pPr>
            <w:r w:rsidRPr="00404DA5">
              <w:rPr>
                <w:rFonts w:eastAsia="Calibri" w:cs="Calibri"/>
                <w:sz w:val="16"/>
                <w:szCs w:val="18"/>
              </w:rPr>
              <w:t>31,8%</w:t>
            </w:r>
          </w:p>
        </w:tc>
        <w:tc>
          <w:tcPr>
            <w:tcW w:w="476" w:type="pct"/>
            <w:shd w:val="clear" w:color="auto" w:fill="auto"/>
            <w:vAlign w:val="center"/>
          </w:tcPr>
          <w:p w14:paraId="32C38227" w14:textId="77777777" w:rsidR="00050FB4" w:rsidRPr="00404DA5" w:rsidRDefault="00050FB4" w:rsidP="00050FB4">
            <w:pPr>
              <w:spacing w:line="276" w:lineRule="auto"/>
              <w:jc w:val="center"/>
              <w:rPr>
                <w:rFonts w:eastAsia="Calibri" w:cs="Calibri"/>
                <w:sz w:val="16"/>
                <w:szCs w:val="18"/>
              </w:rPr>
            </w:pPr>
            <w:r w:rsidRPr="00404DA5">
              <w:rPr>
                <w:rFonts w:eastAsia="Calibri" w:cs="Calibri"/>
                <w:sz w:val="16"/>
                <w:szCs w:val="18"/>
              </w:rPr>
              <w:t>45,5%</w:t>
            </w:r>
          </w:p>
        </w:tc>
      </w:tr>
      <w:tr w:rsidR="00050FB4" w:rsidRPr="00B84EEA" w14:paraId="380495FE" w14:textId="77777777" w:rsidTr="00050FB4">
        <w:trPr>
          <w:trHeight w:val="1600"/>
        </w:trPr>
        <w:tc>
          <w:tcPr>
            <w:tcW w:w="284" w:type="pct"/>
            <w:shd w:val="clear" w:color="auto" w:fill="auto"/>
            <w:vAlign w:val="center"/>
          </w:tcPr>
          <w:p w14:paraId="686E3282" w14:textId="77777777" w:rsidR="00050FB4" w:rsidRPr="00404DA5" w:rsidRDefault="00050FB4" w:rsidP="00050FB4">
            <w:pPr>
              <w:pStyle w:val="evaluTresc"/>
              <w:rPr>
                <w:b/>
                <w:sz w:val="16"/>
              </w:rPr>
            </w:pPr>
            <w:r w:rsidRPr="00404DA5">
              <w:rPr>
                <w:rFonts w:cs="Calibri"/>
                <w:color w:val="000000"/>
                <w:sz w:val="16"/>
                <w:szCs w:val="18"/>
              </w:rPr>
              <w:t>10iv</w:t>
            </w:r>
          </w:p>
        </w:tc>
        <w:tc>
          <w:tcPr>
            <w:tcW w:w="565" w:type="pct"/>
            <w:shd w:val="clear" w:color="auto" w:fill="auto"/>
            <w:vAlign w:val="center"/>
          </w:tcPr>
          <w:p w14:paraId="66948FC6" w14:textId="77777777" w:rsidR="00050FB4" w:rsidRPr="00404DA5" w:rsidRDefault="00050FB4" w:rsidP="00050FB4">
            <w:pPr>
              <w:pStyle w:val="evaluTresc"/>
              <w:rPr>
                <w:b/>
                <w:sz w:val="16"/>
              </w:rPr>
            </w:pPr>
            <w:r w:rsidRPr="00404DA5">
              <w:rPr>
                <w:rFonts w:cs="Calibri"/>
                <w:color w:val="000000"/>
                <w:sz w:val="16"/>
                <w:szCs w:val="18"/>
              </w:rPr>
              <w:t>wskaźnik produktu</w:t>
            </w:r>
          </w:p>
        </w:tc>
        <w:tc>
          <w:tcPr>
            <w:tcW w:w="818" w:type="pct"/>
            <w:shd w:val="clear" w:color="auto" w:fill="auto"/>
            <w:vAlign w:val="center"/>
          </w:tcPr>
          <w:p w14:paraId="6C5C8401" w14:textId="77777777" w:rsidR="00050FB4" w:rsidRPr="00404DA5" w:rsidRDefault="00050FB4" w:rsidP="00050FB4">
            <w:pPr>
              <w:pStyle w:val="evaluTresc"/>
              <w:rPr>
                <w:b/>
                <w:sz w:val="16"/>
              </w:rPr>
            </w:pPr>
            <w:bookmarkStart w:id="304" w:name="_Hlk3448242"/>
            <w:r w:rsidRPr="00404DA5">
              <w:rPr>
                <w:rFonts w:cs="Calibri"/>
                <w:color w:val="000000"/>
                <w:sz w:val="16"/>
                <w:szCs w:val="18"/>
              </w:rPr>
              <w:t>Liczba osób uczestniczących</w:t>
            </w:r>
            <w:r w:rsidR="00E66B89">
              <w:rPr>
                <w:rFonts w:cs="Calibri"/>
                <w:color w:val="000000"/>
                <w:sz w:val="16"/>
                <w:szCs w:val="18"/>
              </w:rPr>
              <w:t xml:space="preserve"> w </w:t>
            </w:r>
            <w:r w:rsidRPr="00404DA5">
              <w:rPr>
                <w:rFonts w:cs="Calibri"/>
                <w:color w:val="000000"/>
                <w:sz w:val="16"/>
                <w:szCs w:val="18"/>
              </w:rPr>
              <w:t>pozaszkolnych formach kształcenia</w:t>
            </w:r>
            <w:r w:rsidR="00E66B89">
              <w:rPr>
                <w:rFonts w:cs="Calibri"/>
                <w:color w:val="000000"/>
                <w:sz w:val="16"/>
                <w:szCs w:val="18"/>
              </w:rPr>
              <w:t xml:space="preserve"> w </w:t>
            </w:r>
            <w:r w:rsidRPr="00404DA5">
              <w:rPr>
                <w:rFonts w:cs="Calibri"/>
                <w:color w:val="000000"/>
                <w:sz w:val="16"/>
                <w:szCs w:val="18"/>
              </w:rPr>
              <w:t>programie</w:t>
            </w:r>
            <w:bookmarkEnd w:id="304"/>
          </w:p>
        </w:tc>
        <w:tc>
          <w:tcPr>
            <w:tcW w:w="365" w:type="pct"/>
            <w:shd w:val="clear" w:color="auto" w:fill="auto"/>
            <w:vAlign w:val="center"/>
          </w:tcPr>
          <w:p w14:paraId="34411BD7" w14:textId="77777777" w:rsidR="00050FB4" w:rsidRPr="00404DA5" w:rsidRDefault="00050FB4" w:rsidP="00050FB4">
            <w:pPr>
              <w:pStyle w:val="evaluTresc"/>
              <w:rPr>
                <w:b/>
                <w:sz w:val="16"/>
              </w:rPr>
            </w:pPr>
            <w:r w:rsidRPr="00404DA5">
              <w:rPr>
                <w:rFonts w:cs="Calibri"/>
                <w:color w:val="000000"/>
                <w:sz w:val="16"/>
                <w:szCs w:val="18"/>
              </w:rPr>
              <w:t>osoby</w:t>
            </w:r>
          </w:p>
        </w:tc>
        <w:tc>
          <w:tcPr>
            <w:tcW w:w="589" w:type="pct"/>
            <w:shd w:val="clear" w:color="auto" w:fill="auto"/>
            <w:vAlign w:val="center"/>
          </w:tcPr>
          <w:p w14:paraId="40D5DC26" w14:textId="77777777" w:rsidR="00050FB4" w:rsidRPr="00404DA5" w:rsidRDefault="00050FB4" w:rsidP="00050FB4">
            <w:pPr>
              <w:pStyle w:val="evaluTresc"/>
              <w:rPr>
                <w:b/>
                <w:sz w:val="16"/>
              </w:rPr>
            </w:pPr>
            <w:r w:rsidRPr="00404DA5">
              <w:rPr>
                <w:rFonts w:cs="Calibri"/>
                <w:color w:val="000000"/>
                <w:sz w:val="16"/>
                <w:szCs w:val="18"/>
              </w:rPr>
              <w:t>8 239</w:t>
            </w:r>
          </w:p>
        </w:tc>
        <w:tc>
          <w:tcPr>
            <w:tcW w:w="421" w:type="pct"/>
            <w:shd w:val="clear" w:color="auto" w:fill="auto"/>
            <w:vAlign w:val="center"/>
          </w:tcPr>
          <w:p w14:paraId="676B7DDC" w14:textId="77777777" w:rsidR="00050FB4" w:rsidRPr="00404DA5" w:rsidRDefault="00050FB4" w:rsidP="00050FB4">
            <w:pPr>
              <w:pStyle w:val="evaluTresc"/>
              <w:rPr>
                <w:b/>
                <w:sz w:val="16"/>
              </w:rPr>
            </w:pPr>
            <w:r w:rsidRPr="00404DA5">
              <w:rPr>
                <w:rFonts w:cs="Calibri"/>
                <w:color w:val="000000"/>
                <w:sz w:val="16"/>
                <w:szCs w:val="18"/>
              </w:rPr>
              <w:t>5 288</w:t>
            </w:r>
          </w:p>
        </w:tc>
        <w:tc>
          <w:tcPr>
            <w:tcW w:w="552" w:type="pct"/>
            <w:shd w:val="clear" w:color="auto" w:fill="auto"/>
            <w:vAlign w:val="center"/>
          </w:tcPr>
          <w:p w14:paraId="21C85BE2" w14:textId="77777777" w:rsidR="00050FB4" w:rsidRPr="00404DA5" w:rsidRDefault="00050FB4" w:rsidP="00050FB4">
            <w:pPr>
              <w:pStyle w:val="evaluTresc"/>
              <w:rPr>
                <w:b/>
                <w:sz w:val="16"/>
              </w:rPr>
            </w:pPr>
            <w:r w:rsidRPr="00404DA5">
              <w:rPr>
                <w:rFonts w:cs="Calibri"/>
                <w:color w:val="000000"/>
                <w:sz w:val="16"/>
                <w:szCs w:val="18"/>
              </w:rPr>
              <w:t>155,81%</w:t>
            </w:r>
          </w:p>
        </w:tc>
        <w:tc>
          <w:tcPr>
            <w:tcW w:w="455" w:type="pct"/>
            <w:shd w:val="clear" w:color="auto" w:fill="auto"/>
            <w:vAlign w:val="center"/>
          </w:tcPr>
          <w:p w14:paraId="1E79A35A" w14:textId="77777777" w:rsidR="00050FB4" w:rsidRPr="00404DA5" w:rsidRDefault="00050FB4" w:rsidP="00050FB4">
            <w:pPr>
              <w:pStyle w:val="evaluTresc"/>
              <w:rPr>
                <w:b/>
                <w:sz w:val="16"/>
              </w:rPr>
            </w:pPr>
            <w:r w:rsidRPr="00404DA5">
              <w:rPr>
                <w:rFonts w:cs="Calibri"/>
                <w:sz w:val="16"/>
                <w:szCs w:val="18"/>
              </w:rPr>
              <w:t>11 752</w:t>
            </w:r>
          </w:p>
        </w:tc>
        <w:tc>
          <w:tcPr>
            <w:tcW w:w="476" w:type="pct"/>
            <w:shd w:val="clear" w:color="auto" w:fill="auto"/>
            <w:vAlign w:val="center"/>
          </w:tcPr>
          <w:p w14:paraId="3B7C7AA7" w14:textId="77777777" w:rsidR="00050FB4" w:rsidRPr="00404DA5" w:rsidRDefault="00050FB4" w:rsidP="00050FB4">
            <w:pPr>
              <w:spacing w:line="276" w:lineRule="auto"/>
              <w:jc w:val="center"/>
              <w:rPr>
                <w:rFonts w:eastAsia="Calibri" w:cs="Calibri"/>
                <w:sz w:val="16"/>
                <w:szCs w:val="18"/>
              </w:rPr>
            </w:pPr>
            <w:r w:rsidRPr="00404DA5">
              <w:rPr>
                <w:rFonts w:eastAsia="Calibri" w:cs="Calibri"/>
                <w:sz w:val="16"/>
                <w:szCs w:val="18"/>
              </w:rPr>
              <w:t>70,1%</w:t>
            </w:r>
          </w:p>
        </w:tc>
        <w:tc>
          <w:tcPr>
            <w:tcW w:w="476" w:type="pct"/>
            <w:shd w:val="clear" w:color="auto" w:fill="auto"/>
            <w:vAlign w:val="center"/>
          </w:tcPr>
          <w:p w14:paraId="317A3308" w14:textId="77777777" w:rsidR="00050FB4" w:rsidRPr="00404DA5" w:rsidRDefault="00050FB4" w:rsidP="00050FB4">
            <w:pPr>
              <w:spacing w:line="276" w:lineRule="auto"/>
              <w:jc w:val="center"/>
              <w:rPr>
                <w:rFonts w:eastAsia="Calibri" w:cs="Calibri"/>
                <w:sz w:val="16"/>
                <w:szCs w:val="18"/>
              </w:rPr>
            </w:pPr>
            <w:r w:rsidRPr="00404DA5">
              <w:rPr>
                <w:rFonts w:eastAsia="Calibri" w:cs="Calibri"/>
                <w:sz w:val="16"/>
                <w:szCs w:val="18"/>
              </w:rPr>
              <w:t>202,3%</w:t>
            </w:r>
          </w:p>
        </w:tc>
      </w:tr>
      <w:tr w:rsidR="00050FB4" w:rsidRPr="00B84EEA" w14:paraId="634549D7" w14:textId="77777777" w:rsidTr="00050FB4">
        <w:trPr>
          <w:trHeight w:val="2060"/>
        </w:trPr>
        <w:tc>
          <w:tcPr>
            <w:tcW w:w="284" w:type="pct"/>
            <w:shd w:val="clear" w:color="auto" w:fill="auto"/>
            <w:vAlign w:val="center"/>
          </w:tcPr>
          <w:p w14:paraId="22FB142E" w14:textId="77777777" w:rsidR="00050FB4" w:rsidRPr="00404DA5" w:rsidRDefault="00050FB4" w:rsidP="00050FB4">
            <w:pPr>
              <w:pStyle w:val="evaluTresc"/>
              <w:rPr>
                <w:b/>
                <w:sz w:val="16"/>
              </w:rPr>
            </w:pPr>
            <w:r w:rsidRPr="00404DA5">
              <w:rPr>
                <w:rFonts w:cs="Calibri"/>
                <w:color w:val="000000"/>
                <w:sz w:val="16"/>
                <w:szCs w:val="18"/>
              </w:rPr>
              <w:lastRenderedPageBreak/>
              <w:t>10iv</w:t>
            </w:r>
          </w:p>
        </w:tc>
        <w:tc>
          <w:tcPr>
            <w:tcW w:w="565" w:type="pct"/>
            <w:shd w:val="clear" w:color="auto" w:fill="auto"/>
            <w:vAlign w:val="center"/>
          </w:tcPr>
          <w:p w14:paraId="1541F990" w14:textId="77777777" w:rsidR="00050FB4" w:rsidRPr="00404DA5" w:rsidRDefault="00050FB4" w:rsidP="00050FB4">
            <w:pPr>
              <w:pStyle w:val="evaluTresc"/>
              <w:rPr>
                <w:b/>
                <w:sz w:val="16"/>
              </w:rPr>
            </w:pPr>
            <w:r w:rsidRPr="00404DA5">
              <w:rPr>
                <w:rFonts w:cs="Calibri"/>
                <w:color w:val="000000"/>
                <w:sz w:val="16"/>
                <w:szCs w:val="18"/>
              </w:rPr>
              <w:t>wskaźnik produktu</w:t>
            </w:r>
          </w:p>
        </w:tc>
        <w:tc>
          <w:tcPr>
            <w:tcW w:w="818" w:type="pct"/>
            <w:shd w:val="clear" w:color="auto" w:fill="auto"/>
            <w:vAlign w:val="center"/>
          </w:tcPr>
          <w:p w14:paraId="1F0FBC6A" w14:textId="77777777" w:rsidR="00050FB4" w:rsidRPr="00404DA5" w:rsidRDefault="00050FB4" w:rsidP="00050FB4">
            <w:pPr>
              <w:pStyle w:val="evaluTresc"/>
              <w:rPr>
                <w:b/>
                <w:sz w:val="16"/>
              </w:rPr>
            </w:pPr>
            <w:r w:rsidRPr="00404DA5">
              <w:rPr>
                <w:rFonts w:cs="Calibri"/>
                <w:color w:val="000000"/>
                <w:sz w:val="16"/>
                <w:szCs w:val="18"/>
              </w:rPr>
              <w:t>Liczba uczniów szkół</w:t>
            </w:r>
            <w:r w:rsidR="00E66B89">
              <w:rPr>
                <w:rFonts w:cs="Calibri"/>
                <w:color w:val="000000"/>
                <w:sz w:val="16"/>
                <w:szCs w:val="18"/>
              </w:rPr>
              <w:t xml:space="preserve"> i </w:t>
            </w:r>
            <w:r w:rsidRPr="00404DA5">
              <w:rPr>
                <w:rFonts w:cs="Calibri"/>
                <w:color w:val="000000"/>
                <w:sz w:val="16"/>
                <w:szCs w:val="18"/>
              </w:rPr>
              <w:t>placówek kształcenia zawodowego uczestniczących</w:t>
            </w:r>
            <w:r w:rsidR="00E66B89">
              <w:rPr>
                <w:rFonts w:cs="Calibri"/>
                <w:color w:val="000000"/>
                <w:sz w:val="16"/>
                <w:szCs w:val="18"/>
              </w:rPr>
              <w:t xml:space="preserve"> w </w:t>
            </w:r>
            <w:r w:rsidRPr="00404DA5">
              <w:rPr>
                <w:rFonts w:cs="Calibri"/>
                <w:color w:val="000000"/>
                <w:sz w:val="16"/>
                <w:szCs w:val="18"/>
              </w:rPr>
              <w:t>stażach</w:t>
            </w:r>
            <w:r w:rsidR="00E66B89">
              <w:rPr>
                <w:rFonts w:cs="Calibri"/>
                <w:color w:val="000000"/>
                <w:sz w:val="16"/>
                <w:szCs w:val="18"/>
              </w:rPr>
              <w:t xml:space="preserve"> i </w:t>
            </w:r>
            <w:r w:rsidRPr="00404DA5">
              <w:rPr>
                <w:rFonts w:cs="Calibri"/>
                <w:color w:val="000000"/>
                <w:sz w:val="16"/>
                <w:szCs w:val="18"/>
              </w:rPr>
              <w:t>praktykach</w:t>
            </w:r>
            <w:r w:rsidR="00E66B89">
              <w:rPr>
                <w:rFonts w:cs="Calibri"/>
                <w:color w:val="000000"/>
                <w:sz w:val="16"/>
                <w:szCs w:val="18"/>
              </w:rPr>
              <w:t xml:space="preserve"> u </w:t>
            </w:r>
            <w:r w:rsidRPr="00404DA5">
              <w:rPr>
                <w:rFonts w:cs="Calibri"/>
                <w:color w:val="000000"/>
                <w:sz w:val="16"/>
                <w:szCs w:val="18"/>
              </w:rPr>
              <w:t>pracodawcy</w:t>
            </w:r>
          </w:p>
        </w:tc>
        <w:tc>
          <w:tcPr>
            <w:tcW w:w="365" w:type="pct"/>
            <w:shd w:val="clear" w:color="auto" w:fill="auto"/>
            <w:vAlign w:val="center"/>
          </w:tcPr>
          <w:p w14:paraId="39BC03B4" w14:textId="77777777" w:rsidR="00050FB4" w:rsidRPr="00404DA5" w:rsidRDefault="00050FB4" w:rsidP="00050FB4">
            <w:pPr>
              <w:pStyle w:val="evaluTresc"/>
              <w:rPr>
                <w:b/>
                <w:sz w:val="16"/>
              </w:rPr>
            </w:pPr>
            <w:r w:rsidRPr="00404DA5">
              <w:rPr>
                <w:rFonts w:cs="Calibri"/>
                <w:color w:val="000000"/>
                <w:sz w:val="16"/>
                <w:szCs w:val="18"/>
              </w:rPr>
              <w:t>osoby</w:t>
            </w:r>
          </w:p>
        </w:tc>
        <w:tc>
          <w:tcPr>
            <w:tcW w:w="589" w:type="pct"/>
            <w:shd w:val="clear" w:color="auto" w:fill="auto"/>
            <w:vAlign w:val="center"/>
          </w:tcPr>
          <w:p w14:paraId="7CE6D805" w14:textId="77777777" w:rsidR="00050FB4" w:rsidRPr="00404DA5" w:rsidRDefault="00050FB4" w:rsidP="00050FB4">
            <w:pPr>
              <w:pStyle w:val="evaluTresc"/>
              <w:rPr>
                <w:b/>
                <w:sz w:val="16"/>
              </w:rPr>
            </w:pPr>
            <w:r w:rsidRPr="00404DA5">
              <w:rPr>
                <w:rFonts w:cs="Calibri"/>
                <w:color w:val="000000"/>
                <w:sz w:val="16"/>
                <w:szCs w:val="18"/>
              </w:rPr>
              <w:t>3 868</w:t>
            </w:r>
          </w:p>
        </w:tc>
        <w:tc>
          <w:tcPr>
            <w:tcW w:w="421" w:type="pct"/>
            <w:shd w:val="clear" w:color="auto" w:fill="auto"/>
            <w:vAlign w:val="center"/>
          </w:tcPr>
          <w:p w14:paraId="3EFA2A88" w14:textId="77777777" w:rsidR="00050FB4" w:rsidRPr="00404DA5" w:rsidRDefault="00050FB4" w:rsidP="00050FB4">
            <w:pPr>
              <w:pStyle w:val="evaluTresc"/>
              <w:rPr>
                <w:b/>
                <w:sz w:val="16"/>
              </w:rPr>
            </w:pPr>
            <w:r w:rsidRPr="00404DA5">
              <w:rPr>
                <w:rFonts w:cs="Calibri"/>
                <w:color w:val="000000"/>
                <w:sz w:val="16"/>
                <w:szCs w:val="18"/>
              </w:rPr>
              <w:t>3 100</w:t>
            </w:r>
          </w:p>
        </w:tc>
        <w:tc>
          <w:tcPr>
            <w:tcW w:w="552" w:type="pct"/>
            <w:shd w:val="clear" w:color="auto" w:fill="auto"/>
            <w:vAlign w:val="center"/>
          </w:tcPr>
          <w:p w14:paraId="1E3E80D8" w14:textId="77777777" w:rsidR="00050FB4" w:rsidRPr="00404DA5" w:rsidRDefault="00050FB4" w:rsidP="00050FB4">
            <w:pPr>
              <w:pStyle w:val="evaluTresc"/>
              <w:rPr>
                <w:b/>
                <w:sz w:val="16"/>
              </w:rPr>
            </w:pPr>
            <w:r w:rsidRPr="00404DA5">
              <w:rPr>
                <w:rFonts w:cs="Calibri"/>
                <w:color w:val="000000"/>
                <w:sz w:val="16"/>
                <w:szCs w:val="18"/>
              </w:rPr>
              <w:t>124,77%</w:t>
            </w:r>
          </w:p>
        </w:tc>
        <w:tc>
          <w:tcPr>
            <w:tcW w:w="455" w:type="pct"/>
            <w:shd w:val="clear" w:color="auto" w:fill="auto"/>
            <w:vAlign w:val="center"/>
          </w:tcPr>
          <w:p w14:paraId="5EE1A559" w14:textId="77777777" w:rsidR="00050FB4" w:rsidRPr="00404DA5" w:rsidRDefault="00050FB4" w:rsidP="00050FB4">
            <w:pPr>
              <w:pStyle w:val="evaluTresc"/>
              <w:rPr>
                <w:b/>
                <w:sz w:val="16"/>
              </w:rPr>
            </w:pPr>
            <w:r w:rsidRPr="00404DA5">
              <w:rPr>
                <w:rFonts w:cs="Calibri"/>
                <w:sz w:val="16"/>
                <w:szCs w:val="18"/>
              </w:rPr>
              <w:t>12 943</w:t>
            </w:r>
          </w:p>
        </w:tc>
        <w:tc>
          <w:tcPr>
            <w:tcW w:w="476" w:type="pct"/>
            <w:shd w:val="clear" w:color="auto" w:fill="auto"/>
            <w:vAlign w:val="center"/>
          </w:tcPr>
          <w:p w14:paraId="11914118" w14:textId="77777777" w:rsidR="00050FB4" w:rsidRPr="00404DA5" w:rsidRDefault="00050FB4" w:rsidP="00050FB4">
            <w:pPr>
              <w:spacing w:line="276" w:lineRule="auto"/>
              <w:jc w:val="center"/>
              <w:rPr>
                <w:rFonts w:cs="Calibri"/>
                <w:sz w:val="16"/>
                <w:szCs w:val="18"/>
              </w:rPr>
            </w:pPr>
            <w:r w:rsidRPr="00404DA5">
              <w:rPr>
                <w:rFonts w:cs="Calibri"/>
                <w:sz w:val="16"/>
                <w:szCs w:val="18"/>
              </w:rPr>
              <w:t>30,1%</w:t>
            </w:r>
          </w:p>
        </w:tc>
        <w:tc>
          <w:tcPr>
            <w:tcW w:w="476" w:type="pct"/>
            <w:shd w:val="clear" w:color="auto" w:fill="auto"/>
            <w:vAlign w:val="center"/>
          </w:tcPr>
          <w:p w14:paraId="0C7AEF91" w14:textId="77777777" w:rsidR="00050FB4" w:rsidRPr="00404DA5" w:rsidRDefault="00050FB4" w:rsidP="00050FB4">
            <w:pPr>
              <w:spacing w:line="276" w:lineRule="auto"/>
              <w:jc w:val="center"/>
              <w:rPr>
                <w:rFonts w:cs="Calibri"/>
                <w:sz w:val="16"/>
                <w:szCs w:val="18"/>
              </w:rPr>
            </w:pPr>
            <w:r w:rsidRPr="00404DA5">
              <w:rPr>
                <w:rFonts w:cs="Calibri"/>
                <w:sz w:val="16"/>
                <w:szCs w:val="18"/>
              </w:rPr>
              <w:t>86,4%</w:t>
            </w:r>
          </w:p>
        </w:tc>
      </w:tr>
      <w:tr w:rsidR="00050FB4" w:rsidRPr="00B84EEA" w14:paraId="2C245176" w14:textId="77777777" w:rsidTr="00050FB4">
        <w:trPr>
          <w:trHeight w:val="3201"/>
        </w:trPr>
        <w:tc>
          <w:tcPr>
            <w:tcW w:w="284" w:type="pct"/>
            <w:shd w:val="clear" w:color="auto" w:fill="auto"/>
            <w:vAlign w:val="center"/>
          </w:tcPr>
          <w:p w14:paraId="742EB7D6" w14:textId="77777777" w:rsidR="00050FB4" w:rsidRPr="00404DA5" w:rsidRDefault="00050FB4" w:rsidP="00050FB4">
            <w:pPr>
              <w:pStyle w:val="evaluTresc"/>
              <w:rPr>
                <w:b/>
                <w:sz w:val="16"/>
              </w:rPr>
            </w:pPr>
            <w:r w:rsidRPr="00404DA5">
              <w:rPr>
                <w:rFonts w:cs="Calibri"/>
                <w:color w:val="000000"/>
                <w:sz w:val="16"/>
                <w:szCs w:val="18"/>
              </w:rPr>
              <w:t>10iv</w:t>
            </w:r>
          </w:p>
        </w:tc>
        <w:tc>
          <w:tcPr>
            <w:tcW w:w="565" w:type="pct"/>
            <w:shd w:val="clear" w:color="auto" w:fill="auto"/>
            <w:vAlign w:val="center"/>
          </w:tcPr>
          <w:p w14:paraId="3F4F7AD0" w14:textId="77777777" w:rsidR="00050FB4" w:rsidRPr="00404DA5" w:rsidRDefault="00050FB4" w:rsidP="00050FB4">
            <w:pPr>
              <w:pStyle w:val="evaluTresc"/>
              <w:rPr>
                <w:b/>
                <w:sz w:val="16"/>
              </w:rPr>
            </w:pPr>
            <w:r w:rsidRPr="00404DA5">
              <w:rPr>
                <w:rFonts w:cs="Calibri"/>
                <w:color w:val="000000"/>
                <w:sz w:val="16"/>
                <w:szCs w:val="18"/>
              </w:rPr>
              <w:t>wskaźnik produktu</w:t>
            </w:r>
          </w:p>
        </w:tc>
        <w:tc>
          <w:tcPr>
            <w:tcW w:w="818" w:type="pct"/>
            <w:shd w:val="clear" w:color="auto" w:fill="auto"/>
            <w:vAlign w:val="center"/>
          </w:tcPr>
          <w:p w14:paraId="672750F5" w14:textId="77777777" w:rsidR="00050FB4" w:rsidRPr="00404DA5" w:rsidRDefault="00050FB4" w:rsidP="00050FB4">
            <w:pPr>
              <w:pStyle w:val="evaluTresc"/>
              <w:rPr>
                <w:b/>
                <w:sz w:val="16"/>
              </w:rPr>
            </w:pPr>
            <w:r w:rsidRPr="00404DA5">
              <w:rPr>
                <w:rFonts w:cs="Calibri"/>
                <w:color w:val="000000"/>
                <w:sz w:val="16"/>
                <w:szCs w:val="18"/>
              </w:rPr>
              <w:t>Liczba szkół</w:t>
            </w:r>
            <w:r w:rsidR="00E66B89">
              <w:rPr>
                <w:rFonts w:cs="Calibri"/>
                <w:color w:val="000000"/>
                <w:sz w:val="16"/>
                <w:szCs w:val="18"/>
              </w:rPr>
              <w:t xml:space="preserve"> i </w:t>
            </w:r>
            <w:r w:rsidRPr="00404DA5">
              <w:rPr>
                <w:rFonts w:cs="Calibri"/>
                <w:color w:val="000000"/>
                <w:sz w:val="16"/>
                <w:szCs w:val="18"/>
              </w:rPr>
              <w:t>placówek kształcenia zawodowego doposażonych</w:t>
            </w:r>
            <w:r w:rsidR="00E66B89">
              <w:rPr>
                <w:rFonts w:cs="Calibri"/>
                <w:color w:val="000000"/>
                <w:sz w:val="16"/>
                <w:szCs w:val="18"/>
              </w:rPr>
              <w:t xml:space="preserve"> w </w:t>
            </w:r>
            <w:r w:rsidRPr="00404DA5">
              <w:rPr>
                <w:rFonts w:cs="Calibri"/>
                <w:color w:val="000000"/>
                <w:sz w:val="16"/>
                <w:szCs w:val="18"/>
              </w:rPr>
              <w:t>programie</w:t>
            </w:r>
            <w:r w:rsidR="00E66B89">
              <w:rPr>
                <w:rFonts w:cs="Calibri"/>
                <w:color w:val="000000"/>
                <w:sz w:val="16"/>
                <w:szCs w:val="18"/>
              </w:rPr>
              <w:t xml:space="preserve"> w </w:t>
            </w:r>
            <w:r w:rsidRPr="00404DA5">
              <w:rPr>
                <w:rFonts w:cs="Calibri"/>
                <w:color w:val="000000"/>
                <w:sz w:val="16"/>
                <w:szCs w:val="18"/>
              </w:rPr>
              <w:t>sprzęt</w:t>
            </w:r>
            <w:r w:rsidR="00E66B89">
              <w:rPr>
                <w:rFonts w:cs="Calibri"/>
                <w:color w:val="000000"/>
                <w:sz w:val="16"/>
                <w:szCs w:val="18"/>
              </w:rPr>
              <w:t xml:space="preserve"> i </w:t>
            </w:r>
            <w:r w:rsidRPr="00404DA5">
              <w:rPr>
                <w:rFonts w:cs="Calibri"/>
                <w:color w:val="000000"/>
                <w:sz w:val="16"/>
                <w:szCs w:val="18"/>
              </w:rPr>
              <w:t>materiały dydaktyczne niezbędne do realizacji kształcenia zawodowego</w:t>
            </w:r>
          </w:p>
        </w:tc>
        <w:tc>
          <w:tcPr>
            <w:tcW w:w="365" w:type="pct"/>
            <w:shd w:val="clear" w:color="auto" w:fill="auto"/>
            <w:vAlign w:val="center"/>
          </w:tcPr>
          <w:p w14:paraId="6A59A736" w14:textId="77777777" w:rsidR="00050FB4" w:rsidRPr="00404DA5" w:rsidRDefault="00050FB4" w:rsidP="00050FB4">
            <w:pPr>
              <w:pStyle w:val="evaluTresc"/>
              <w:rPr>
                <w:b/>
                <w:sz w:val="16"/>
              </w:rPr>
            </w:pPr>
            <w:r w:rsidRPr="00404DA5">
              <w:rPr>
                <w:rFonts w:cs="Calibri"/>
                <w:color w:val="000000"/>
                <w:sz w:val="16"/>
                <w:szCs w:val="18"/>
              </w:rPr>
              <w:t>szt.</w:t>
            </w:r>
          </w:p>
        </w:tc>
        <w:tc>
          <w:tcPr>
            <w:tcW w:w="589" w:type="pct"/>
            <w:shd w:val="clear" w:color="auto" w:fill="auto"/>
            <w:vAlign w:val="center"/>
          </w:tcPr>
          <w:p w14:paraId="0C70A527" w14:textId="77777777" w:rsidR="00050FB4" w:rsidRPr="00404DA5" w:rsidRDefault="00050FB4" w:rsidP="00050FB4">
            <w:pPr>
              <w:pStyle w:val="evaluTresc"/>
              <w:rPr>
                <w:b/>
                <w:sz w:val="16"/>
              </w:rPr>
            </w:pPr>
            <w:r w:rsidRPr="00404DA5">
              <w:rPr>
                <w:rFonts w:cs="Calibri"/>
                <w:color w:val="000000"/>
                <w:sz w:val="16"/>
                <w:szCs w:val="18"/>
              </w:rPr>
              <w:t>98</w:t>
            </w:r>
          </w:p>
        </w:tc>
        <w:tc>
          <w:tcPr>
            <w:tcW w:w="421" w:type="pct"/>
            <w:shd w:val="clear" w:color="auto" w:fill="auto"/>
            <w:vAlign w:val="center"/>
          </w:tcPr>
          <w:p w14:paraId="587C772C" w14:textId="77777777" w:rsidR="00050FB4" w:rsidRPr="00404DA5" w:rsidRDefault="00050FB4" w:rsidP="00050FB4">
            <w:pPr>
              <w:pStyle w:val="evaluTresc"/>
              <w:rPr>
                <w:b/>
                <w:sz w:val="16"/>
              </w:rPr>
            </w:pPr>
            <w:r w:rsidRPr="00404DA5">
              <w:rPr>
                <w:rFonts w:cs="Calibri"/>
                <w:color w:val="000000"/>
                <w:sz w:val="16"/>
                <w:szCs w:val="18"/>
              </w:rPr>
              <w:t>20</w:t>
            </w:r>
          </w:p>
        </w:tc>
        <w:tc>
          <w:tcPr>
            <w:tcW w:w="552" w:type="pct"/>
            <w:shd w:val="clear" w:color="auto" w:fill="auto"/>
            <w:vAlign w:val="center"/>
          </w:tcPr>
          <w:p w14:paraId="39F4C10E" w14:textId="77777777" w:rsidR="00050FB4" w:rsidRPr="00404DA5" w:rsidRDefault="00050FB4" w:rsidP="00050FB4">
            <w:pPr>
              <w:pStyle w:val="evaluTresc"/>
              <w:rPr>
                <w:b/>
                <w:sz w:val="16"/>
              </w:rPr>
            </w:pPr>
            <w:r w:rsidRPr="00404DA5">
              <w:rPr>
                <w:rFonts w:cs="Calibri"/>
                <w:color w:val="000000"/>
                <w:sz w:val="16"/>
                <w:szCs w:val="18"/>
              </w:rPr>
              <w:t>490,00%</w:t>
            </w:r>
          </w:p>
        </w:tc>
        <w:tc>
          <w:tcPr>
            <w:tcW w:w="455" w:type="pct"/>
            <w:shd w:val="clear" w:color="auto" w:fill="auto"/>
            <w:vAlign w:val="center"/>
          </w:tcPr>
          <w:p w14:paraId="7D9F0967" w14:textId="77777777" w:rsidR="00050FB4" w:rsidRPr="00404DA5" w:rsidRDefault="00050FB4" w:rsidP="00050FB4">
            <w:pPr>
              <w:pStyle w:val="evaluTresc"/>
              <w:rPr>
                <w:b/>
                <w:sz w:val="16"/>
              </w:rPr>
            </w:pPr>
            <w:r w:rsidRPr="00404DA5">
              <w:rPr>
                <w:rFonts w:cs="Calibri"/>
                <w:sz w:val="16"/>
                <w:szCs w:val="18"/>
              </w:rPr>
              <w:t>92</w:t>
            </w:r>
          </w:p>
        </w:tc>
        <w:tc>
          <w:tcPr>
            <w:tcW w:w="476" w:type="pct"/>
            <w:shd w:val="clear" w:color="auto" w:fill="auto"/>
            <w:vAlign w:val="center"/>
          </w:tcPr>
          <w:p w14:paraId="5938B405" w14:textId="77777777" w:rsidR="00050FB4" w:rsidRPr="00404DA5" w:rsidRDefault="00050FB4" w:rsidP="00050FB4">
            <w:pPr>
              <w:spacing w:line="276" w:lineRule="auto"/>
              <w:jc w:val="center"/>
              <w:rPr>
                <w:rFonts w:cs="Calibri"/>
                <w:sz w:val="16"/>
                <w:szCs w:val="18"/>
              </w:rPr>
            </w:pPr>
            <w:r w:rsidRPr="00404DA5">
              <w:rPr>
                <w:rFonts w:cs="Calibri"/>
                <w:sz w:val="16"/>
                <w:szCs w:val="18"/>
              </w:rPr>
              <w:t>106,5%</w:t>
            </w:r>
          </w:p>
        </w:tc>
        <w:tc>
          <w:tcPr>
            <w:tcW w:w="476" w:type="pct"/>
            <w:shd w:val="clear" w:color="auto" w:fill="auto"/>
            <w:vAlign w:val="center"/>
          </w:tcPr>
          <w:p w14:paraId="6F5F0A8A" w14:textId="77777777" w:rsidR="00050FB4" w:rsidRPr="00404DA5" w:rsidRDefault="00050FB4" w:rsidP="00050FB4">
            <w:pPr>
              <w:spacing w:line="276" w:lineRule="auto"/>
              <w:jc w:val="center"/>
              <w:rPr>
                <w:rFonts w:cs="Calibri"/>
                <w:sz w:val="16"/>
                <w:szCs w:val="18"/>
              </w:rPr>
            </w:pPr>
            <w:r w:rsidRPr="00404DA5">
              <w:rPr>
                <w:rFonts w:cs="Calibri"/>
                <w:sz w:val="16"/>
                <w:szCs w:val="18"/>
              </w:rPr>
              <w:t>166,3%</w:t>
            </w:r>
          </w:p>
        </w:tc>
      </w:tr>
      <w:tr w:rsidR="00050FB4" w:rsidRPr="00B84EEA" w14:paraId="63865459" w14:textId="77777777" w:rsidTr="00050FB4">
        <w:trPr>
          <w:trHeight w:val="1154"/>
        </w:trPr>
        <w:tc>
          <w:tcPr>
            <w:tcW w:w="284" w:type="pct"/>
            <w:shd w:val="clear" w:color="auto" w:fill="auto"/>
            <w:vAlign w:val="center"/>
          </w:tcPr>
          <w:p w14:paraId="0855E321" w14:textId="77777777" w:rsidR="00050FB4" w:rsidRPr="00404DA5" w:rsidRDefault="00050FB4" w:rsidP="00050FB4">
            <w:pPr>
              <w:pStyle w:val="evaluTresc"/>
              <w:rPr>
                <w:b/>
                <w:sz w:val="16"/>
              </w:rPr>
            </w:pPr>
            <w:r w:rsidRPr="00404DA5">
              <w:rPr>
                <w:rFonts w:cs="Calibri"/>
                <w:color w:val="000000"/>
                <w:sz w:val="16"/>
                <w:szCs w:val="18"/>
              </w:rPr>
              <w:t>10i, 10ii, 10iv</w:t>
            </w:r>
          </w:p>
        </w:tc>
        <w:tc>
          <w:tcPr>
            <w:tcW w:w="565" w:type="pct"/>
            <w:shd w:val="clear" w:color="auto" w:fill="auto"/>
            <w:vAlign w:val="center"/>
          </w:tcPr>
          <w:p w14:paraId="61F7127F" w14:textId="77777777" w:rsidR="00050FB4" w:rsidRPr="00404DA5" w:rsidRDefault="00050FB4" w:rsidP="00050FB4">
            <w:pPr>
              <w:pStyle w:val="evaluTresc"/>
              <w:rPr>
                <w:b/>
                <w:sz w:val="16"/>
              </w:rPr>
            </w:pPr>
            <w:r w:rsidRPr="00404DA5">
              <w:rPr>
                <w:rFonts w:cs="Calibri"/>
                <w:color w:val="000000"/>
                <w:sz w:val="16"/>
                <w:szCs w:val="18"/>
              </w:rPr>
              <w:t>wskaźnik postępu finansowego</w:t>
            </w:r>
          </w:p>
        </w:tc>
        <w:tc>
          <w:tcPr>
            <w:tcW w:w="818" w:type="pct"/>
            <w:shd w:val="clear" w:color="auto" w:fill="auto"/>
            <w:vAlign w:val="center"/>
          </w:tcPr>
          <w:p w14:paraId="5E8D841A" w14:textId="77777777" w:rsidR="00050FB4" w:rsidRPr="00404DA5" w:rsidRDefault="00050FB4" w:rsidP="00050FB4">
            <w:pPr>
              <w:pStyle w:val="evaluTresc"/>
              <w:rPr>
                <w:b/>
                <w:sz w:val="16"/>
              </w:rPr>
            </w:pPr>
            <w:r w:rsidRPr="00404DA5">
              <w:rPr>
                <w:rFonts w:cs="Calibri"/>
                <w:color w:val="000000"/>
                <w:sz w:val="16"/>
                <w:szCs w:val="18"/>
              </w:rPr>
              <w:t>Całkowita kwota certyfikowanych wydatków kwalifikowanych</w:t>
            </w:r>
          </w:p>
        </w:tc>
        <w:tc>
          <w:tcPr>
            <w:tcW w:w="365" w:type="pct"/>
            <w:shd w:val="clear" w:color="auto" w:fill="auto"/>
            <w:vAlign w:val="center"/>
          </w:tcPr>
          <w:p w14:paraId="7611BDD9" w14:textId="77777777" w:rsidR="00050FB4" w:rsidRPr="00404DA5" w:rsidRDefault="00050FB4" w:rsidP="00050FB4">
            <w:pPr>
              <w:pStyle w:val="evaluTresc"/>
              <w:rPr>
                <w:b/>
                <w:sz w:val="16"/>
              </w:rPr>
            </w:pPr>
            <w:r w:rsidRPr="00404DA5">
              <w:rPr>
                <w:rFonts w:cs="Calibri"/>
                <w:color w:val="000000"/>
                <w:sz w:val="16"/>
                <w:szCs w:val="18"/>
              </w:rPr>
              <w:t>EUR</w:t>
            </w:r>
          </w:p>
        </w:tc>
        <w:tc>
          <w:tcPr>
            <w:tcW w:w="589" w:type="pct"/>
            <w:shd w:val="clear" w:color="auto" w:fill="auto"/>
            <w:vAlign w:val="center"/>
          </w:tcPr>
          <w:p w14:paraId="21AD16F5" w14:textId="77777777" w:rsidR="00050FB4" w:rsidRPr="00404DA5" w:rsidRDefault="00050FB4" w:rsidP="00050FB4">
            <w:pPr>
              <w:pStyle w:val="evaluTresc"/>
              <w:rPr>
                <w:b/>
                <w:sz w:val="16"/>
              </w:rPr>
            </w:pPr>
            <w:r w:rsidRPr="00404DA5">
              <w:rPr>
                <w:rFonts w:cs="Calibri"/>
                <w:color w:val="000000"/>
                <w:sz w:val="16"/>
                <w:szCs w:val="18"/>
              </w:rPr>
              <w:t>22 539 541</w:t>
            </w:r>
          </w:p>
        </w:tc>
        <w:tc>
          <w:tcPr>
            <w:tcW w:w="421" w:type="pct"/>
            <w:shd w:val="clear" w:color="auto" w:fill="auto"/>
            <w:vAlign w:val="center"/>
          </w:tcPr>
          <w:p w14:paraId="085688DA" w14:textId="77777777" w:rsidR="00050FB4" w:rsidRPr="00404DA5" w:rsidRDefault="00050FB4" w:rsidP="00050FB4">
            <w:pPr>
              <w:pStyle w:val="evaluTresc"/>
              <w:rPr>
                <w:b/>
                <w:sz w:val="16"/>
              </w:rPr>
            </w:pPr>
            <w:r w:rsidRPr="00404DA5">
              <w:rPr>
                <w:rFonts w:cs="Calibri"/>
                <w:color w:val="000000"/>
                <w:sz w:val="16"/>
                <w:szCs w:val="18"/>
              </w:rPr>
              <w:t>17 240 470</w:t>
            </w:r>
          </w:p>
        </w:tc>
        <w:tc>
          <w:tcPr>
            <w:tcW w:w="552" w:type="pct"/>
            <w:shd w:val="clear" w:color="auto" w:fill="auto"/>
            <w:vAlign w:val="center"/>
          </w:tcPr>
          <w:p w14:paraId="7ACCD07C" w14:textId="77777777" w:rsidR="00050FB4" w:rsidRPr="00404DA5" w:rsidRDefault="00050FB4" w:rsidP="00050FB4">
            <w:pPr>
              <w:pStyle w:val="evaluTresc"/>
              <w:rPr>
                <w:b/>
                <w:sz w:val="16"/>
              </w:rPr>
            </w:pPr>
            <w:r w:rsidRPr="00404DA5">
              <w:rPr>
                <w:rFonts w:cs="Calibri"/>
                <w:color w:val="000000"/>
                <w:sz w:val="16"/>
                <w:szCs w:val="18"/>
              </w:rPr>
              <w:t>130,7%</w:t>
            </w:r>
          </w:p>
        </w:tc>
        <w:tc>
          <w:tcPr>
            <w:tcW w:w="455" w:type="pct"/>
            <w:shd w:val="clear" w:color="auto" w:fill="auto"/>
            <w:vAlign w:val="center"/>
          </w:tcPr>
          <w:p w14:paraId="1E671538" w14:textId="77777777" w:rsidR="00050FB4" w:rsidRPr="00404DA5" w:rsidRDefault="00050FB4" w:rsidP="00050FB4">
            <w:pPr>
              <w:pStyle w:val="evaluTresc"/>
              <w:rPr>
                <w:sz w:val="16"/>
                <w:szCs w:val="18"/>
              </w:rPr>
            </w:pPr>
            <w:r w:rsidRPr="00404DA5">
              <w:rPr>
                <w:sz w:val="16"/>
                <w:szCs w:val="18"/>
              </w:rPr>
              <w:t>124 930 936</w:t>
            </w:r>
          </w:p>
        </w:tc>
        <w:tc>
          <w:tcPr>
            <w:tcW w:w="476" w:type="pct"/>
            <w:shd w:val="clear" w:color="auto" w:fill="auto"/>
            <w:vAlign w:val="center"/>
          </w:tcPr>
          <w:p w14:paraId="73A5B5AB" w14:textId="77777777" w:rsidR="00050FB4" w:rsidRPr="00404DA5" w:rsidRDefault="00050FB4" w:rsidP="00050FB4">
            <w:pPr>
              <w:spacing w:line="276" w:lineRule="auto"/>
              <w:jc w:val="center"/>
              <w:rPr>
                <w:rFonts w:cs="Calibri"/>
                <w:sz w:val="16"/>
                <w:szCs w:val="18"/>
              </w:rPr>
            </w:pPr>
            <w:r>
              <w:rPr>
                <w:rFonts w:cs="Calibri"/>
                <w:sz w:val="16"/>
                <w:szCs w:val="18"/>
              </w:rPr>
              <w:t>18%</w:t>
            </w:r>
          </w:p>
        </w:tc>
        <w:tc>
          <w:tcPr>
            <w:tcW w:w="476" w:type="pct"/>
            <w:shd w:val="clear" w:color="auto" w:fill="auto"/>
            <w:vAlign w:val="center"/>
          </w:tcPr>
          <w:p w14:paraId="37376765" w14:textId="77777777" w:rsidR="00050FB4" w:rsidRPr="00404DA5" w:rsidRDefault="00050FB4" w:rsidP="00050FB4">
            <w:pPr>
              <w:spacing w:line="276" w:lineRule="auto"/>
              <w:jc w:val="center"/>
              <w:rPr>
                <w:rFonts w:cs="Calibri"/>
                <w:sz w:val="16"/>
                <w:szCs w:val="18"/>
              </w:rPr>
            </w:pPr>
            <w:r>
              <w:rPr>
                <w:rFonts w:cs="Calibri"/>
                <w:sz w:val="16"/>
                <w:szCs w:val="18"/>
              </w:rPr>
              <w:t>65,3%</w:t>
            </w:r>
          </w:p>
        </w:tc>
      </w:tr>
    </w:tbl>
    <w:p w14:paraId="335EBF30"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informacja kwartalna za IV kw. 2018 r., obliczenia % realizacji wartości docelowej RW na podstawie danych SL2014</w:t>
      </w:r>
      <w:r w:rsidR="00E66B89" w:rsidRPr="00D21299">
        <w:rPr>
          <w:i/>
          <w:sz w:val="18"/>
          <w:szCs w:val="20"/>
        </w:rPr>
        <w:t xml:space="preserve"> z </w:t>
      </w:r>
      <w:r w:rsidRPr="00D21299">
        <w:rPr>
          <w:i/>
          <w:sz w:val="18"/>
          <w:szCs w:val="20"/>
        </w:rPr>
        <w:t>dnia 07.01.2019 r.</w:t>
      </w:r>
    </w:p>
    <w:p w14:paraId="54D95AA5" w14:textId="77777777" w:rsidR="00050FB4" w:rsidRPr="00404DA5" w:rsidRDefault="00050FB4" w:rsidP="00050FB4">
      <w:pPr>
        <w:rPr>
          <w:rFonts w:cs="Calibri"/>
          <w:szCs w:val="20"/>
        </w:rPr>
      </w:pPr>
      <w:r w:rsidRPr="00404DA5">
        <w:rPr>
          <w:rFonts w:cs="Calibri"/>
          <w:szCs w:val="20"/>
        </w:rPr>
        <w:t>Wartość wskaźnika postępu finansowego Ram Wykonania</w:t>
      </w:r>
      <w:r w:rsidR="00E66B89">
        <w:rPr>
          <w:rFonts w:cs="Calibri"/>
          <w:szCs w:val="20"/>
        </w:rPr>
        <w:t xml:space="preserve"> w </w:t>
      </w:r>
      <w:r w:rsidRPr="00404DA5">
        <w:rPr>
          <w:rFonts w:cs="Calibri"/>
          <w:szCs w:val="20"/>
        </w:rPr>
        <w:t>osi priorytetowej VIII, według stanu na 7 stycznia 2019 r., wyniosła 22 539 541 euro. Oznacza to przekroczenie wyznaczonego celu pośredniego</w:t>
      </w:r>
      <w:r w:rsidR="00E66B89">
        <w:rPr>
          <w:rFonts w:cs="Calibri"/>
          <w:szCs w:val="20"/>
        </w:rPr>
        <w:t xml:space="preserve"> o </w:t>
      </w:r>
      <w:r w:rsidRPr="00404DA5">
        <w:rPr>
          <w:rFonts w:cs="Calibri"/>
          <w:szCs w:val="20"/>
        </w:rPr>
        <w:t>31%. Sama wartość celu pośredniego została, podobnie jak</w:t>
      </w:r>
      <w:r w:rsidR="00E66B89">
        <w:rPr>
          <w:rFonts w:cs="Calibri"/>
          <w:szCs w:val="20"/>
        </w:rPr>
        <w:t xml:space="preserve"> w </w:t>
      </w:r>
      <w:r w:rsidRPr="00404DA5">
        <w:rPr>
          <w:rFonts w:cs="Calibri"/>
          <w:szCs w:val="20"/>
        </w:rPr>
        <w:t>innych osiach priorytetowych, obniżona –</w:t>
      </w:r>
      <w:r w:rsidR="00E66B89">
        <w:rPr>
          <w:rFonts w:cs="Calibri"/>
          <w:szCs w:val="20"/>
        </w:rPr>
        <w:t xml:space="preserve"> z </w:t>
      </w:r>
      <w:r w:rsidRPr="00404DA5">
        <w:rPr>
          <w:rFonts w:cs="Calibri"/>
          <w:szCs w:val="20"/>
        </w:rPr>
        <w:t xml:space="preserve">19 099 333 euro do 17 240 470 euro. </w:t>
      </w:r>
      <w:r>
        <w:rPr>
          <w:rFonts w:cs="Calibri"/>
          <w:szCs w:val="20"/>
        </w:rPr>
        <w:t>G</w:t>
      </w:r>
      <w:r w:rsidRPr="00404DA5">
        <w:rPr>
          <w:rFonts w:cs="Calibri"/>
          <w:szCs w:val="20"/>
        </w:rPr>
        <w:t>dyby do tego nie doszło, pierwotny cel pośredni zostałby</w:t>
      </w:r>
      <w:r w:rsidR="00E66B89">
        <w:rPr>
          <w:rFonts w:cs="Calibri"/>
          <w:szCs w:val="20"/>
        </w:rPr>
        <w:t xml:space="preserve"> i </w:t>
      </w:r>
      <w:r>
        <w:rPr>
          <w:rFonts w:cs="Calibri"/>
          <w:szCs w:val="20"/>
        </w:rPr>
        <w:t>tak</w:t>
      </w:r>
      <w:r w:rsidRPr="00404DA5">
        <w:rPr>
          <w:rFonts w:cs="Calibri"/>
          <w:szCs w:val="20"/>
        </w:rPr>
        <w:t xml:space="preserve"> osiągnięty</w:t>
      </w:r>
      <w:r w:rsidR="00E66B89">
        <w:rPr>
          <w:rFonts w:cs="Calibri"/>
          <w:szCs w:val="20"/>
        </w:rPr>
        <w:t xml:space="preserve"> i </w:t>
      </w:r>
      <w:r w:rsidRPr="00404DA5">
        <w:rPr>
          <w:rFonts w:cs="Calibri"/>
          <w:szCs w:val="20"/>
        </w:rPr>
        <w:t>przekroczony. Tempo kontraktacji, wydatkowania</w:t>
      </w:r>
      <w:r w:rsidR="00E66B89">
        <w:rPr>
          <w:rFonts w:cs="Calibri"/>
          <w:szCs w:val="20"/>
        </w:rPr>
        <w:t xml:space="preserve"> i </w:t>
      </w:r>
      <w:r w:rsidRPr="00404DA5">
        <w:rPr>
          <w:rFonts w:cs="Calibri"/>
          <w:szCs w:val="20"/>
        </w:rPr>
        <w:t xml:space="preserve">certyfikacji można więc uznać za odpowiadające oczekiwaniom. </w:t>
      </w:r>
    </w:p>
    <w:p w14:paraId="31774D59" w14:textId="77777777" w:rsidR="00050FB4" w:rsidRPr="00404DA5" w:rsidRDefault="00050FB4" w:rsidP="00050FB4">
      <w:pPr>
        <w:rPr>
          <w:rFonts w:cs="Calibri"/>
          <w:szCs w:val="20"/>
        </w:rPr>
      </w:pPr>
      <w:r w:rsidRPr="00404DA5">
        <w:rPr>
          <w:rFonts w:cs="Calibri"/>
          <w:szCs w:val="20"/>
        </w:rPr>
        <w:t xml:space="preserve">Ustanowiony na koniec 2018 roku cel pośredni </w:t>
      </w:r>
      <w:r w:rsidRPr="00404DA5">
        <w:rPr>
          <w:rFonts w:cs="Calibri"/>
          <w:i/>
          <w:szCs w:val="20"/>
        </w:rPr>
        <w:t>Liczba osób uczestniczących</w:t>
      </w:r>
      <w:r w:rsidR="00E66B89">
        <w:rPr>
          <w:rFonts w:cs="Calibri"/>
          <w:i/>
          <w:szCs w:val="20"/>
        </w:rPr>
        <w:t xml:space="preserve"> w </w:t>
      </w:r>
      <w:r w:rsidRPr="00404DA5">
        <w:rPr>
          <w:rFonts w:cs="Calibri"/>
          <w:i/>
          <w:szCs w:val="20"/>
        </w:rPr>
        <w:t>pozaszkolnych formach kształcenia</w:t>
      </w:r>
      <w:r w:rsidR="00E66B89">
        <w:rPr>
          <w:rFonts w:cs="Calibri"/>
          <w:i/>
          <w:szCs w:val="20"/>
        </w:rPr>
        <w:t xml:space="preserve"> w </w:t>
      </w:r>
      <w:r w:rsidRPr="00404DA5">
        <w:rPr>
          <w:rFonts w:cs="Calibri"/>
          <w:i/>
          <w:szCs w:val="20"/>
        </w:rPr>
        <w:t>programie</w:t>
      </w:r>
      <w:r w:rsidRPr="00404DA5">
        <w:rPr>
          <w:rFonts w:cs="Calibri"/>
          <w:szCs w:val="20"/>
        </w:rPr>
        <w:t xml:space="preserve"> został zrealizowany na poziomie 155,81%. Wartość docelowa wskaźnika, określona dla roku 2023, wynosi 11 752 osoby. Tymczasem</w:t>
      </w:r>
      <w:r w:rsidR="00E66B89">
        <w:rPr>
          <w:rFonts w:cs="Calibri"/>
          <w:szCs w:val="20"/>
        </w:rPr>
        <w:t xml:space="preserve"> w </w:t>
      </w:r>
      <w:r w:rsidRPr="00404DA5">
        <w:rPr>
          <w:rFonts w:cs="Calibri"/>
          <w:szCs w:val="20"/>
        </w:rPr>
        <w:t>samych tylko projektach, na które już zostały zawarte umowy</w:t>
      </w:r>
      <w:r w:rsidR="00E66B89">
        <w:rPr>
          <w:rFonts w:cs="Calibri"/>
          <w:szCs w:val="20"/>
        </w:rPr>
        <w:t xml:space="preserve"> o </w:t>
      </w:r>
      <w:r w:rsidRPr="00404DA5">
        <w:rPr>
          <w:rFonts w:cs="Calibri"/>
          <w:szCs w:val="20"/>
        </w:rPr>
        <w:t>dofinansowanie, planowane jest objęcie wsparciem 23 773 osób, co oznaczałoby realizację wskaźnika na poziomie 202%.</w:t>
      </w:r>
    </w:p>
    <w:p w14:paraId="48DF2E44" w14:textId="77777777" w:rsidR="00050FB4" w:rsidRPr="00404DA5" w:rsidRDefault="00050FB4" w:rsidP="00050FB4">
      <w:pPr>
        <w:rPr>
          <w:rFonts w:cs="Calibri"/>
          <w:szCs w:val="20"/>
        </w:rPr>
      </w:pPr>
      <w:r w:rsidRPr="00404DA5">
        <w:rPr>
          <w:rFonts w:cs="Calibri"/>
          <w:szCs w:val="20"/>
        </w:rPr>
        <w:t>Aby wyjaśnić znaczące – dotychczasowe</w:t>
      </w:r>
      <w:r w:rsidR="00E66B89">
        <w:rPr>
          <w:rFonts w:cs="Calibri"/>
          <w:szCs w:val="20"/>
        </w:rPr>
        <w:t xml:space="preserve"> i </w:t>
      </w:r>
      <w:r w:rsidRPr="00404DA5">
        <w:rPr>
          <w:rFonts w:cs="Calibri"/>
          <w:szCs w:val="20"/>
        </w:rPr>
        <w:t xml:space="preserve">zakładane – przekroczenie wartości wskaźnika, przeanalizowano metodologię jego obliczania oraz koszty jednostkowe wsparcia. </w:t>
      </w:r>
      <w:r>
        <w:rPr>
          <w:rFonts w:cs="Calibri"/>
          <w:szCs w:val="20"/>
        </w:rPr>
        <w:t>Analizę,</w:t>
      </w:r>
      <w:r w:rsidR="00E66B89">
        <w:rPr>
          <w:rFonts w:cs="Calibri"/>
          <w:szCs w:val="20"/>
        </w:rPr>
        <w:t xml:space="preserve"> w </w:t>
      </w:r>
      <w:r w:rsidRPr="00404DA5">
        <w:rPr>
          <w:rFonts w:cs="Calibri"/>
          <w:szCs w:val="20"/>
        </w:rPr>
        <w:t>metodologii szacowania wskaźników</w:t>
      </w:r>
      <w:r w:rsidR="00E66B89">
        <w:rPr>
          <w:rFonts w:cs="Calibri"/>
          <w:szCs w:val="20"/>
        </w:rPr>
        <w:t xml:space="preserve"> z </w:t>
      </w:r>
      <w:r w:rsidRPr="00404DA5">
        <w:rPr>
          <w:rFonts w:cs="Calibri"/>
          <w:szCs w:val="20"/>
        </w:rPr>
        <w:t>2014 r.</w:t>
      </w:r>
      <w:r>
        <w:rPr>
          <w:rFonts w:cs="Calibri"/>
          <w:szCs w:val="20"/>
        </w:rPr>
        <w:t xml:space="preserve">, </w:t>
      </w:r>
      <w:r w:rsidRPr="00404DA5">
        <w:rPr>
          <w:rFonts w:cs="Calibri"/>
          <w:szCs w:val="20"/>
        </w:rPr>
        <w:t>oparto na poziomie uczestnictwa osób dorosłych</w:t>
      </w:r>
      <w:r w:rsidR="00E66B89">
        <w:rPr>
          <w:rFonts w:cs="Calibri"/>
          <w:szCs w:val="20"/>
        </w:rPr>
        <w:t xml:space="preserve"> w </w:t>
      </w:r>
      <w:r w:rsidRPr="00404DA5">
        <w:rPr>
          <w:rFonts w:cs="Calibri"/>
          <w:szCs w:val="20"/>
        </w:rPr>
        <w:t>kształceniu ustawicznym</w:t>
      </w:r>
      <w:r w:rsidR="00E66B89">
        <w:rPr>
          <w:rFonts w:cs="Calibri"/>
          <w:szCs w:val="20"/>
        </w:rPr>
        <w:t xml:space="preserve"> i </w:t>
      </w:r>
      <w:r w:rsidRPr="00404DA5">
        <w:rPr>
          <w:rFonts w:cs="Calibri"/>
          <w:szCs w:val="20"/>
        </w:rPr>
        <w:t>na rynkowych jednostkowych cenach kursów zawodowych. Po skorygowaniu</w:t>
      </w:r>
      <w:r w:rsidR="00E66B89">
        <w:rPr>
          <w:rFonts w:cs="Calibri"/>
          <w:szCs w:val="20"/>
        </w:rPr>
        <w:t xml:space="preserve"> </w:t>
      </w:r>
      <w:r w:rsidR="00E66B89">
        <w:rPr>
          <w:rFonts w:cs="Calibri"/>
          <w:szCs w:val="20"/>
        </w:rPr>
        <w:lastRenderedPageBreak/>
        <w:t>o </w:t>
      </w:r>
      <w:r w:rsidRPr="00404DA5">
        <w:rPr>
          <w:rFonts w:cs="Calibri"/>
          <w:szCs w:val="20"/>
        </w:rPr>
        <w:t xml:space="preserve">prognozowaną inflację (z użyciem narzędzia MIiR) koszt jednostkowy oszacowano na 3 183 zł. </w:t>
      </w:r>
      <w:r>
        <w:rPr>
          <w:rFonts w:cs="Calibri"/>
          <w:szCs w:val="20"/>
        </w:rPr>
        <w:t>W </w:t>
      </w:r>
      <w:r w:rsidRPr="00404DA5">
        <w:rPr>
          <w:rFonts w:cs="Calibri"/>
          <w:szCs w:val="20"/>
        </w:rPr>
        <w:t>praktyce rzeczywiste koszty jednostkowe całości wsparcia realizowanego</w:t>
      </w:r>
      <w:r w:rsidR="00E66B89">
        <w:rPr>
          <w:rFonts w:cs="Calibri"/>
          <w:szCs w:val="20"/>
        </w:rPr>
        <w:t xml:space="preserve"> w </w:t>
      </w:r>
      <w:r w:rsidRPr="00404DA5">
        <w:rPr>
          <w:rFonts w:cs="Calibri"/>
          <w:szCs w:val="20"/>
        </w:rPr>
        <w:t>grupie Działań 8.6-8.9 okazały się wyższe.</w:t>
      </w:r>
    </w:p>
    <w:p w14:paraId="34FEC5DD" w14:textId="77777777" w:rsidR="00050FB4" w:rsidRPr="00404DA5" w:rsidRDefault="00050FB4" w:rsidP="00050FB4">
      <w:pPr>
        <w:rPr>
          <w:rFonts w:cs="Calibri"/>
          <w:szCs w:val="20"/>
        </w:rPr>
      </w:pPr>
      <w:r w:rsidRPr="00404DA5">
        <w:rPr>
          <w:rFonts w:cs="Calibri"/>
          <w:szCs w:val="20"/>
        </w:rPr>
        <w:t>Ponieważ wsparcie</w:t>
      </w:r>
      <w:r w:rsidR="00E66B89">
        <w:rPr>
          <w:rFonts w:cs="Calibri"/>
          <w:szCs w:val="20"/>
        </w:rPr>
        <w:t xml:space="preserve"> w </w:t>
      </w:r>
      <w:r w:rsidRPr="00404DA5">
        <w:rPr>
          <w:rFonts w:cs="Calibri"/>
          <w:szCs w:val="20"/>
        </w:rPr>
        <w:t>ramach Działań 8.6-8.9 jest bardzo zróżnicowane</w:t>
      </w:r>
      <w:r w:rsidR="00E66B89">
        <w:rPr>
          <w:rFonts w:cs="Calibri"/>
          <w:szCs w:val="20"/>
        </w:rPr>
        <w:t xml:space="preserve"> i </w:t>
      </w:r>
      <w:r w:rsidRPr="00404DA5">
        <w:rPr>
          <w:rFonts w:cs="Calibri"/>
          <w:szCs w:val="20"/>
        </w:rPr>
        <w:t>obejmuje nie tylko zapewnienie pozaszkolnych form kształcenia, ale też m. in. wzmacnianie potencjału instytucjonalnego</w:t>
      </w:r>
      <w:r w:rsidR="00E66B89">
        <w:rPr>
          <w:rFonts w:cs="Calibri"/>
          <w:szCs w:val="20"/>
        </w:rPr>
        <w:t xml:space="preserve"> i </w:t>
      </w:r>
      <w:r w:rsidRPr="00404DA5">
        <w:rPr>
          <w:rFonts w:cs="Calibri"/>
          <w:szCs w:val="20"/>
        </w:rPr>
        <w:t>bazy dydaktycznej placówek edukacyjnych, spodziewano się, że to ta specyfika wsparcia skutkowała wyższym od zakładanego kosztem jednostkowym. Aby zweryfikować tę hipotezę, przeanalizowano dane historyczne dotyczące kosztów kształcenia ustawicznego</w:t>
      </w:r>
      <w:r>
        <w:rPr>
          <w:rFonts w:cs="Calibri"/>
          <w:szCs w:val="20"/>
        </w:rPr>
        <w:t>,</w:t>
      </w:r>
      <w:r w:rsidRPr="00404DA5">
        <w:rPr>
          <w:rFonts w:cs="Calibri"/>
          <w:szCs w:val="20"/>
        </w:rPr>
        <w:t xml:space="preserve"> finansowanego</w:t>
      </w:r>
      <w:r w:rsidR="00E66B89">
        <w:rPr>
          <w:rFonts w:cs="Calibri"/>
          <w:szCs w:val="20"/>
        </w:rPr>
        <w:t xml:space="preserve"> z </w:t>
      </w:r>
      <w:r w:rsidRPr="00404DA5">
        <w:rPr>
          <w:rFonts w:cs="Calibri"/>
          <w:szCs w:val="20"/>
        </w:rPr>
        <w:t>EFS</w:t>
      </w:r>
      <w:r w:rsidR="00E66B89">
        <w:rPr>
          <w:rFonts w:cs="Calibri"/>
          <w:szCs w:val="20"/>
        </w:rPr>
        <w:t xml:space="preserve"> w </w:t>
      </w:r>
      <w:r w:rsidRPr="00404DA5">
        <w:rPr>
          <w:rFonts w:cs="Calibri"/>
          <w:szCs w:val="20"/>
        </w:rPr>
        <w:t>ramach PO KL 2007-2013 na podstawie sprawozdania końcowego</w:t>
      </w:r>
      <w:r w:rsidR="00E66B89">
        <w:rPr>
          <w:rFonts w:cs="Calibri"/>
          <w:szCs w:val="20"/>
        </w:rPr>
        <w:t xml:space="preserve"> z </w:t>
      </w:r>
      <w:r w:rsidRPr="00404DA5">
        <w:rPr>
          <w:rFonts w:cs="Calibri"/>
          <w:szCs w:val="20"/>
        </w:rPr>
        <w:t>realizacji PO KL. Przyjmując, że wskaźnik dot. liczby osób dorosłych uczestniczących</w:t>
      </w:r>
      <w:r w:rsidR="00E66B89">
        <w:rPr>
          <w:rFonts w:cs="Calibri"/>
          <w:szCs w:val="20"/>
        </w:rPr>
        <w:t xml:space="preserve"> w </w:t>
      </w:r>
      <w:r w:rsidRPr="00404DA5">
        <w:rPr>
          <w:rFonts w:cs="Calibri"/>
          <w:szCs w:val="20"/>
        </w:rPr>
        <w:t>kształceniu</w:t>
      </w:r>
      <w:r w:rsidR="00E66B89">
        <w:rPr>
          <w:rFonts w:cs="Calibri"/>
          <w:szCs w:val="20"/>
        </w:rPr>
        <w:t xml:space="preserve"> w </w:t>
      </w:r>
      <w:r w:rsidRPr="00404DA5">
        <w:rPr>
          <w:rFonts w:cs="Calibri"/>
          <w:szCs w:val="20"/>
        </w:rPr>
        <w:t>osi VIII odnosił się do Poddziałania 8.1.1</w:t>
      </w:r>
      <w:r w:rsidR="00E66B89">
        <w:rPr>
          <w:rFonts w:cs="Calibri"/>
          <w:szCs w:val="20"/>
        </w:rPr>
        <w:t xml:space="preserve"> i </w:t>
      </w:r>
      <w:r w:rsidRPr="00404DA5">
        <w:rPr>
          <w:rFonts w:cs="Calibri"/>
          <w:szCs w:val="20"/>
        </w:rPr>
        <w:t>dzieląc wartość wydatków kwalifikowalnych przez osiągniętą wartość wskaźnika ustalono, że jednostkowy koszt wsparcia wyniósł 3</w:t>
      </w:r>
      <w:r>
        <w:rPr>
          <w:rFonts w:cs="Calibri"/>
          <w:szCs w:val="20"/>
        </w:rPr>
        <w:t xml:space="preserve"> </w:t>
      </w:r>
      <w:r w:rsidRPr="00404DA5">
        <w:rPr>
          <w:rFonts w:cs="Calibri"/>
          <w:szCs w:val="20"/>
        </w:rPr>
        <w:t>179 zł</w:t>
      </w:r>
      <w:r w:rsidR="00E66B89">
        <w:rPr>
          <w:rFonts w:cs="Calibri"/>
          <w:szCs w:val="20"/>
        </w:rPr>
        <w:t xml:space="preserve"> w </w:t>
      </w:r>
      <w:r w:rsidRPr="00404DA5">
        <w:rPr>
          <w:rFonts w:cs="Calibri"/>
          <w:szCs w:val="20"/>
        </w:rPr>
        <w:t>skali kraju. Natomiast przykładowo</w:t>
      </w:r>
      <w:r w:rsidR="00E66B89">
        <w:rPr>
          <w:rFonts w:cs="Calibri"/>
          <w:szCs w:val="20"/>
        </w:rPr>
        <w:t xml:space="preserve"> w </w:t>
      </w:r>
      <w:r w:rsidRPr="00404DA5">
        <w:rPr>
          <w:rFonts w:cs="Calibri"/>
          <w:szCs w:val="20"/>
        </w:rPr>
        <w:t>woj. małopolskim było to 6 833 zł, tj. koszt zbliżony do występującego</w:t>
      </w:r>
      <w:r w:rsidR="00E66B89">
        <w:rPr>
          <w:rFonts w:cs="Calibri"/>
          <w:szCs w:val="20"/>
        </w:rPr>
        <w:t xml:space="preserve"> w </w:t>
      </w:r>
      <w:r w:rsidRPr="00404DA5">
        <w:rPr>
          <w:rFonts w:cs="Calibri"/>
          <w:szCs w:val="20"/>
        </w:rPr>
        <w:t>Działaniach 8.6-8.9 RPO WZ.</w:t>
      </w:r>
    </w:p>
    <w:p w14:paraId="2CF97CFD" w14:textId="77777777" w:rsidR="00050FB4" w:rsidRPr="00404DA5" w:rsidRDefault="00050FB4" w:rsidP="00050FB4">
      <w:pPr>
        <w:rPr>
          <w:rFonts w:cs="Calibri"/>
          <w:szCs w:val="20"/>
        </w:rPr>
      </w:pPr>
      <w:r w:rsidRPr="00404DA5">
        <w:rPr>
          <w:rFonts w:cs="Calibri"/>
          <w:szCs w:val="20"/>
        </w:rPr>
        <w:t>Można więc stwierdzić, że koszt jednostkowy wsparcia został niedoszacowany dla województwa zachodniopomorskiego</w:t>
      </w:r>
      <w:r>
        <w:rPr>
          <w:rFonts w:cs="Calibri"/>
          <w:szCs w:val="20"/>
        </w:rPr>
        <w:t xml:space="preserve"> -</w:t>
      </w:r>
      <w:r w:rsidR="00E66B89">
        <w:rPr>
          <w:rFonts w:cs="Calibri"/>
          <w:szCs w:val="20"/>
        </w:rPr>
        <w:t xml:space="preserve"> a </w:t>
      </w:r>
      <w:r w:rsidRPr="00404DA5">
        <w:rPr>
          <w:rFonts w:cs="Calibri"/>
          <w:szCs w:val="20"/>
        </w:rPr>
        <w:t>jeżeli tak, to należałoby się spodziewać nieosiągnięcia wartości pośredniej wskaźnika,</w:t>
      </w:r>
      <w:r w:rsidR="00E66B89">
        <w:rPr>
          <w:rFonts w:cs="Calibri"/>
          <w:szCs w:val="20"/>
        </w:rPr>
        <w:t xml:space="preserve"> a </w:t>
      </w:r>
      <w:r w:rsidRPr="00404DA5">
        <w:rPr>
          <w:rFonts w:cs="Calibri"/>
          <w:szCs w:val="20"/>
        </w:rPr>
        <w:t>tymczasem została ona przekroczona. Nie wynika to więc</w:t>
      </w:r>
      <w:r w:rsidR="00E66B89">
        <w:rPr>
          <w:rFonts w:cs="Calibri"/>
          <w:szCs w:val="20"/>
        </w:rPr>
        <w:t xml:space="preserve"> z </w:t>
      </w:r>
      <w:r w:rsidRPr="00404DA5">
        <w:rPr>
          <w:rFonts w:cs="Calibri"/>
          <w:szCs w:val="20"/>
        </w:rPr>
        <w:t>niedoszacowania wartości wsparcia, lecz</w:t>
      </w:r>
      <w:r w:rsidR="00E66B89">
        <w:rPr>
          <w:rFonts w:cs="Calibri"/>
          <w:szCs w:val="20"/>
        </w:rPr>
        <w:t xml:space="preserve"> z </w:t>
      </w:r>
      <w:r w:rsidRPr="00404DA5">
        <w:rPr>
          <w:rFonts w:cs="Calibri"/>
          <w:szCs w:val="20"/>
        </w:rPr>
        <w:t>przeznaczenia</w:t>
      </w:r>
      <w:r w:rsidR="00E66B89">
        <w:rPr>
          <w:rFonts w:cs="Calibri"/>
          <w:szCs w:val="20"/>
        </w:rPr>
        <w:t xml:space="preserve"> w </w:t>
      </w:r>
      <w:r w:rsidRPr="00404DA5">
        <w:rPr>
          <w:rFonts w:cs="Calibri"/>
          <w:szCs w:val="20"/>
        </w:rPr>
        <w:t>praktyce większej części alokacji na projekty dotyczące uczestnictwa</w:t>
      </w:r>
      <w:r w:rsidR="00E66B89">
        <w:rPr>
          <w:rFonts w:cs="Calibri"/>
          <w:szCs w:val="20"/>
        </w:rPr>
        <w:t xml:space="preserve"> w </w:t>
      </w:r>
      <w:r w:rsidRPr="00404DA5">
        <w:rPr>
          <w:rFonts w:cs="Calibri"/>
          <w:szCs w:val="20"/>
        </w:rPr>
        <w:t>pozaszkolnych formach kształcenia, niż by to wynikało</w:t>
      </w:r>
      <w:r w:rsidR="00E66B89">
        <w:rPr>
          <w:rFonts w:cs="Calibri"/>
          <w:szCs w:val="20"/>
        </w:rPr>
        <w:t xml:space="preserve"> z </w:t>
      </w:r>
      <w:r w:rsidRPr="00404DA5">
        <w:rPr>
          <w:rFonts w:cs="Calibri"/>
          <w:szCs w:val="20"/>
        </w:rPr>
        <w:t xml:space="preserve">zakładanej wartości docelowej wskaźnika. </w:t>
      </w:r>
    </w:p>
    <w:p w14:paraId="7A3CB73F" w14:textId="77777777" w:rsidR="00050FB4" w:rsidRPr="00404DA5" w:rsidRDefault="00050FB4" w:rsidP="00050FB4">
      <w:pPr>
        <w:rPr>
          <w:rFonts w:cs="Calibri"/>
          <w:szCs w:val="20"/>
        </w:rPr>
      </w:pPr>
      <w:r w:rsidRPr="00404DA5">
        <w:rPr>
          <w:rFonts w:cs="Calibri"/>
          <w:szCs w:val="20"/>
        </w:rPr>
        <w:t>W ocenie ewaluatora przyczynił się do tego fakt, że</w:t>
      </w:r>
      <w:r w:rsidR="00E66B89">
        <w:rPr>
          <w:rFonts w:cs="Calibri"/>
          <w:szCs w:val="20"/>
        </w:rPr>
        <w:t xml:space="preserve"> I </w:t>
      </w:r>
      <w:r w:rsidRPr="00404DA5">
        <w:rPr>
          <w:rFonts w:cs="Calibri"/>
          <w:szCs w:val="20"/>
        </w:rPr>
        <w:t>typ projektu (zgodnie</w:t>
      </w:r>
      <w:r w:rsidR="00E66B89">
        <w:rPr>
          <w:rFonts w:cs="Calibri"/>
          <w:szCs w:val="20"/>
        </w:rPr>
        <w:t xml:space="preserve"> z </w:t>
      </w:r>
      <w:r w:rsidRPr="00404DA5">
        <w:rPr>
          <w:rFonts w:cs="Calibri"/>
          <w:szCs w:val="20"/>
        </w:rPr>
        <w:t>SOOP) obejmuje wsparcie dla dwóch grup docelowych (i</w:t>
      </w:r>
      <w:r w:rsidR="00E66B89">
        <w:rPr>
          <w:rFonts w:cs="Calibri"/>
          <w:szCs w:val="20"/>
        </w:rPr>
        <w:t xml:space="preserve"> w </w:t>
      </w:r>
      <w:r w:rsidRPr="00404DA5">
        <w:rPr>
          <w:rFonts w:cs="Calibri"/>
          <w:szCs w:val="20"/>
        </w:rPr>
        <w:t>praktyce dwa podtypy projektów). Jest to podnoszenie umiejętności, kompetencji oraz uzyskiwanie kwalifikacji zawodowych przez: 1) uczniów</w:t>
      </w:r>
      <w:r w:rsidR="00E66B89">
        <w:rPr>
          <w:rFonts w:cs="Calibri"/>
          <w:szCs w:val="20"/>
        </w:rPr>
        <w:t xml:space="preserve"> i </w:t>
      </w:r>
      <w:r w:rsidRPr="00404DA5">
        <w:rPr>
          <w:rFonts w:cs="Calibri"/>
          <w:szCs w:val="20"/>
        </w:rPr>
        <w:t>słuchaczy szkół lub placówek systemu oświaty prowadzących kształcenie zawodowe (wsparcie szkolnictwa zawodowego),</w:t>
      </w:r>
      <w:r w:rsidR="00E66B89">
        <w:rPr>
          <w:rFonts w:cs="Calibri"/>
          <w:szCs w:val="20"/>
        </w:rPr>
        <w:t xml:space="preserve"> i </w:t>
      </w:r>
      <w:r w:rsidRPr="00404DA5">
        <w:rPr>
          <w:rFonts w:cs="Calibri"/>
          <w:szCs w:val="20"/>
        </w:rPr>
        <w:t>2) osoby dorosłe zainteresowane</w:t>
      </w:r>
      <w:r w:rsidR="00E66B89">
        <w:rPr>
          <w:rFonts w:cs="Calibri"/>
          <w:szCs w:val="20"/>
        </w:rPr>
        <w:t xml:space="preserve"> z </w:t>
      </w:r>
      <w:r w:rsidRPr="00404DA5">
        <w:rPr>
          <w:rFonts w:cs="Calibri"/>
          <w:szCs w:val="20"/>
        </w:rPr>
        <w:t>własnej inicjatywy zdobyciem, uzupełnieniem lub podnoszeniem kompetencji lub kwalifikacji zawodowych (wsparcie ustawicznego kształcenia zawodowego).</w:t>
      </w:r>
      <w:r w:rsidR="00E66B89">
        <w:rPr>
          <w:rFonts w:cs="Calibri"/>
          <w:szCs w:val="20"/>
        </w:rPr>
        <w:t xml:space="preserve"> Z </w:t>
      </w:r>
      <w:r w:rsidRPr="00404DA5">
        <w:rPr>
          <w:rFonts w:cs="Calibri"/>
          <w:szCs w:val="20"/>
        </w:rPr>
        <w:t>tego względu projekty dotyczące kształcenia ustawicznego konkurowały</w:t>
      </w:r>
      <w:r w:rsidR="00E66B89">
        <w:rPr>
          <w:rFonts w:cs="Calibri"/>
          <w:szCs w:val="20"/>
        </w:rPr>
        <w:t xml:space="preserve"> w </w:t>
      </w:r>
      <w:r w:rsidRPr="00404DA5">
        <w:rPr>
          <w:rFonts w:cs="Calibri"/>
          <w:szCs w:val="20"/>
        </w:rPr>
        <w:t>ramach tych samych naborów</w:t>
      </w:r>
      <w:r w:rsidR="00E66B89">
        <w:rPr>
          <w:rFonts w:cs="Calibri"/>
          <w:szCs w:val="20"/>
        </w:rPr>
        <w:t xml:space="preserve"> z </w:t>
      </w:r>
      <w:r w:rsidRPr="00404DA5">
        <w:rPr>
          <w:rFonts w:cs="Calibri"/>
          <w:szCs w:val="20"/>
        </w:rPr>
        <w:t xml:space="preserve">projektami szkół zawodowych. </w:t>
      </w:r>
    </w:p>
    <w:p w14:paraId="064ED4B7" w14:textId="77777777" w:rsidR="00050FB4" w:rsidRPr="00404DA5" w:rsidRDefault="00050FB4" w:rsidP="00050FB4">
      <w:pPr>
        <w:rPr>
          <w:rFonts w:cs="Calibri"/>
          <w:szCs w:val="20"/>
        </w:rPr>
      </w:pPr>
      <w:r w:rsidRPr="00404DA5">
        <w:rPr>
          <w:rFonts w:cs="Calibri"/>
          <w:szCs w:val="20"/>
        </w:rPr>
        <w:t>Aby precyzyjniej sterować interwencją</w:t>
      </w:r>
      <w:r w:rsidR="00E66B89">
        <w:rPr>
          <w:rFonts w:cs="Calibri"/>
          <w:szCs w:val="20"/>
        </w:rPr>
        <w:t xml:space="preserve"> w </w:t>
      </w:r>
      <w:r w:rsidRPr="00404DA5">
        <w:rPr>
          <w:rFonts w:cs="Calibri"/>
          <w:szCs w:val="20"/>
        </w:rPr>
        <w:t xml:space="preserve">przyszłości, zasadne wydaje się ogłaszanie odrębnych konkursów na: </w:t>
      </w:r>
    </w:p>
    <w:p w14:paraId="19432874" w14:textId="77777777" w:rsidR="00050FB4" w:rsidRPr="00C77DD5" w:rsidRDefault="00050FB4" w:rsidP="00093E14">
      <w:pPr>
        <w:pStyle w:val="Akapitzlist"/>
        <w:numPr>
          <w:ilvl w:val="0"/>
          <w:numId w:val="50"/>
        </w:numPr>
        <w:rPr>
          <w:rFonts w:cs="Calibri"/>
          <w:szCs w:val="20"/>
        </w:rPr>
      </w:pPr>
      <w:r w:rsidRPr="00C22C26">
        <w:rPr>
          <w:rFonts w:ascii="Lato" w:hAnsi="Lato"/>
          <w:sz w:val="20"/>
        </w:rPr>
        <w:t>projekty dotyczące wsparcia uczestników edukacji</w:t>
      </w:r>
      <w:r w:rsidR="00E66B89">
        <w:rPr>
          <w:rFonts w:ascii="Lato" w:hAnsi="Lato"/>
          <w:sz w:val="20"/>
        </w:rPr>
        <w:t xml:space="preserve"> i </w:t>
      </w:r>
      <w:r w:rsidRPr="00C22C26">
        <w:rPr>
          <w:rFonts w:ascii="Lato" w:hAnsi="Lato"/>
          <w:sz w:val="20"/>
        </w:rPr>
        <w:t>kształcenia zawodowego</w:t>
      </w:r>
      <w:r w:rsidR="00E66B89">
        <w:rPr>
          <w:rFonts w:ascii="Lato" w:hAnsi="Lato"/>
          <w:sz w:val="20"/>
        </w:rPr>
        <w:t xml:space="preserve"> w </w:t>
      </w:r>
      <w:r w:rsidRPr="00C22C26">
        <w:rPr>
          <w:rFonts w:ascii="Lato" w:hAnsi="Lato"/>
          <w:sz w:val="20"/>
        </w:rPr>
        <w:t>formach szkolnych (osób uczących się, uzyskujących pełne kwalifikacje, tj. zawód) wraz ze wsparciem placówek</w:t>
      </w:r>
      <w:r w:rsidR="00E66B89">
        <w:rPr>
          <w:rFonts w:ascii="Lato" w:hAnsi="Lato"/>
          <w:sz w:val="20"/>
        </w:rPr>
        <w:t xml:space="preserve"> w </w:t>
      </w:r>
      <w:r w:rsidRPr="00C22C26">
        <w:rPr>
          <w:rFonts w:ascii="Lato" w:hAnsi="Lato"/>
          <w:sz w:val="20"/>
        </w:rPr>
        <w:t xml:space="preserve">dostosowaniu kształcenia do rynku pracy, </w:t>
      </w:r>
    </w:p>
    <w:p w14:paraId="4073B7EB" w14:textId="77777777" w:rsidR="00050FB4" w:rsidRPr="00C77DD5" w:rsidRDefault="00050FB4" w:rsidP="00093E14">
      <w:pPr>
        <w:pStyle w:val="Akapitzlist"/>
        <w:numPr>
          <w:ilvl w:val="0"/>
          <w:numId w:val="50"/>
        </w:numPr>
        <w:rPr>
          <w:rFonts w:cs="Calibri"/>
          <w:szCs w:val="20"/>
        </w:rPr>
      </w:pPr>
      <w:r w:rsidRPr="00C22C26">
        <w:rPr>
          <w:rFonts w:ascii="Lato" w:hAnsi="Lato"/>
          <w:sz w:val="20"/>
        </w:rPr>
        <w:t>kształcenie zawodowe ustawiczne</w:t>
      </w:r>
      <w:r w:rsidR="00E66B89">
        <w:rPr>
          <w:rFonts w:ascii="Lato" w:hAnsi="Lato"/>
          <w:sz w:val="20"/>
        </w:rPr>
        <w:t xml:space="preserve"> w </w:t>
      </w:r>
      <w:r w:rsidRPr="00C22C26">
        <w:rPr>
          <w:rFonts w:ascii="Lato" w:hAnsi="Lato"/>
          <w:sz w:val="20"/>
        </w:rPr>
        <w:t>formach pozaszkolnych (w tym</w:t>
      </w:r>
      <w:r w:rsidR="00E66B89">
        <w:rPr>
          <w:rFonts w:ascii="Lato" w:hAnsi="Lato"/>
          <w:sz w:val="20"/>
        </w:rPr>
        <w:t xml:space="preserve"> w </w:t>
      </w:r>
      <w:r w:rsidRPr="00C22C26">
        <w:rPr>
          <w:rFonts w:ascii="Lato" w:hAnsi="Lato"/>
          <w:sz w:val="20"/>
        </w:rPr>
        <w:t>ramach systemu oświaty, tj. regulowane rozporządzeniem MEN</w:t>
      </w:r>
      <w:r>
        <w:rPr>
          <w:rFonts w:ascii="Lato" w:hAnsi="Lato"/>
          <w:sz w:val="20"/>
        </w:rPr>
        <w:t>;</w:t>
      </w:r>
      <w:r w:rsidR="00E66B89">
        <w:rPr>
          <w:rFonts w:ascii="Lato" w:hAnsi="Lato"/>
          <w:sz w:val="20"/>
        </w:rPr>
        <w:t xml:space="preserve"> i </w:t>
      </w:r>
      <w:r w:rsidRPr="00C22C26">
        <w:rPr>
          <w:rFonts w:ascii="Lato" w:hAnsi="Lato"/>
          <w:sz w:val="20"/>
        </w:rPr>
        <w:t>poza systemem oświaty, tj. szkolenia) dla osób dorosłych, które</w:t>
      </w:r>
      <w:r w:rsidR="00E66B89">
        <w:rPr>
          <w:rFonts w:ascii="Lato" w:hAnsi="Lato"/>
          <w:sz w:val="20"/>
        </w:rPr>
        <w:t xml:space="preserve"> z </w:t>
      </w:r>
      <w:r w:rsidRPr="00C22C26">
        <w:rPr>
          <w:rFonts w:ascii="Lato" w:hAnsi="Lato"/>
          <w:sz w:val="20"/>
        </w:rPr>
        <w:t>własnej inicjatywy podejmują udział</w:t>
      </w:r>
      <w:r w:rsidR="00E66B89">
        <w:rPr>
          <w:rFonts w:ascii="Lato" w:hAnsi="Lato"/>
          <w:sz w:val="20"/>
        </w:rPr>
        <w:t xml:space="preserve"> w </w:t>
      </w:r>
      <w:r w:rsidRPr="00C22C26">
        <w:rPr>
          <w:rFonts w:ascii="Lato" w:hAnsi="Lato"/>
          <w:sz w:val="20"/>
        </w:rPr>
        <w:t>kształceniu zgłaszając się na kurs lub szkolenie finansowane</w:t>
      </w:r>
      <w:r w:rsidR="00E66B89">
        <w:rPr>
          <w:rFonts w:ascii="Lato" w:hAnsi="Lato"/>
          <w:sz w:val="20"/>
        </w:rPr>
        <w:t xml:space="preserve"> z </w:t>
      </w:r>
      <w:r w:rsidRPr="00C22C26">
        <w:rPr>
          <w:rFonts w:ascii="Lato" w:hAnsi="Lato"/>
          <w:sz w:val="20"/>
        </w:rPr>
        <w:t xml:space="preserve">EFS. </w:t>
      </w:r>
    </w:p>
    <w:p w14:paraId="32637AAE" w14:textId="77777777" w:rsidR="00050FB4" w:rsidRPr="00404DA5" w:rsidRDefault="00050FB4" w:rsidP="00050FB4">
      <w:pPr>
        <w:rPr>
          <w:rFonts w:cs="Calibri"/>
          <w:szCs w:val="20"/>
        </w:rPr>
      </w:pPr>
      <w:r w:rsidRPr="00404DA5">
        <w:rPr>
          <w:rFonts w:cs="Calibri"/>
          <w:szCs w:val="20"/>
        </w:rPr>
        <w:t>Cel pośredni (ustanowiony na koniec 2018 roku)</w:t>
      </w:r>
      <w:r w:rsidRPr="006579DF">
        <w:t xml:space="preserve"> </w:t>
      </w:r>
      <w:r>
        <w:t>w</w:t>
      </w:r>
      <w:r w:rsidRPr="00404DA5">
        <w:rPr>
          <w:rFonts w:cs="Calibri"/>
          <w:szCs w:val="20"/>
        </w:rPr>
        <w:t xml:space="preserve">skaźnika </w:t>
      </w:r>
      <w:r w:rsidRPr="00404DA5">
        <w:rPr>
          <w:rFonts w:cs="Calibri"/>
          <w:i/>
          <w:szCs w:val="20"/>
        </w:rPr>
        <w:t>Liczba uczniów szkół</w:t>
      </w:r>
      <w:r w:rsidR="00E66B89">
        <w:rPr>
          <w:rFonts w:cs="Calibri"/>
          <w:i/>
          <w:szCs w:val="20"/>
        </w:rPr>
        <w:t xml:space="preserve"> i </w:t>
      </w:r>
      <w:r w:rsidRPr="00404DA5">
        <w:rPr>
          <w:rFonts w:cs="Calibri"/>
          <w:i/>
          <w:szCs w:val="20"/>
        </w:rPr>
        <w:t>placówek kształcenia zawodowego uczestniczących</w:t>
      </w:r>
      <w:r w:rsidR="00E66B89">
        <w:rPr>
          <w:rFonts w:cs="Calibri"/>
          <w:i/>
          <w:szCs w:val="20"/>
        </w:rPr>
        <w:t xml:space="preserve"> w </w:t>
      </w:r>
      <w:r w:rsidRPr="00404DA5">
        <w:rPr>
          <w:rFonts w:cs="Calibri"/>
          <w:i/>
          <w:szCs w:val="20"/>
        </w:rPr>
        <w:t>stażach</w:t>
      </w:r>
      <w:r w:rsidR="00E66B89">
        <w:rPr>
          <w:rFonts w:cs="Calibri"/>
          <w:i/>
          <w:szCs w:val="20"/>
        </w:rPr>
        <w:t xml:space="preserve"> i </w:t>
      </w:r>
      <w:r w:rsidRPr="00404DA5">
        <w:rPr>
          <w:rFonts w:cs="Calibri"/>
          <w:i/>
          <w:szCs w:val="20"/>
        </w:rPr>
        <w:t>praktykach</w:t>
      </w:r>
      <w:r w:rsidR="00E66B89">
        <w:rPr>
          <w:rFonts w:cs="Calibri"/>
          <w:i/>
          <w:szCs w:val="20"/>
        </w:rPr>
        <w:t xml:space="preserve"> u </w:t>
      </w:r>
      <w:r w:rsidRPr="00404DA5">
        <w:rPr>
          <w:rFonts w:cs="Calibri"/>
          <w:i/>
          <w:szCs w:val="20"/>
        </w:rPr>
        <w:t>pracodawcy</w:t>
      </w:r>
      <w:r w:rsidRPr="00404DA5">
        <w:rPr>
          <w:rFonts w:cs="Calibri"/>
          <w:szCs w:val="20"/>
        </w:rPr>
        <w:t xml:space="preserve"> wynosił początkowo 5 824 osób. Zgodnie</w:t>
      </w:r>
      <w:r w:rsidR="00E66B89">
        <w:rPr>
          <w:rFonts w:cs="Calibri"/>
          <w:szCs w:val="20"/>
        </w:rPr>
        <w:t xml:space="preserve"> z </w:t>
      </w:r>
      <w:r w:rsidRPr="00404DA5">
        <w:rPr>
          <w:rFonts w:cs="Calibri"/>
          <w:szCs w:val="20"/>
        </w:rPr>
        <w:t>dokumentem Aneks 1 do RPO WZ 2014-2020</w:t>
      </w:r>
      <w:r w:rsidR="00E66B89">
        <w:rPr>
          <w:rFonts w:cs="Calibri"/>
          <w:szCs w:val="20"/>
        </w:rPr>
        <w:t xml:space="preserve"> w </w:t>
      </w:r>
      <w:r w:rsidRPr="00404DA5">
        <w:rPr>
          <w:rFonts w:cs="Calibri"/>
          <w:szCs w:val="20"/>
        </w:rPr>
        <w:t>zakresie zmiany wskaźników do Ram Wykonania oraz metodologii szacowania wskaźników</w:t>
      </w:r>
      <w:r w:rsidR="00E66B89">
        <w:rPr>
          <w:rFonts w:cs="Calibri"/>
          <w:szCs w:val="20"/>
        </w:rPr>
        <w:t xml:space="preserve"> z </w:t>
      </w:r>
      <w:r w:rsidRPr="00404DA5">
        <w:rPr>
          <w:rFonts w:cs="Calibri"/>
          <w:szCs w:val="20"/>
        </w:rPr>
        <w:t>2018 r., cel pośredni obniżono do 3 100 osób</w:t>
      </w:r>
      <w:r>
        <w:rPr>
          <w:rFonts w:cs="Calibri"/>
          <w:szCs w:val="20"/>
        </w:rPr>
        <w:t xml:space="preserve"> -</w:t>
      </w:r>
      <w:r w:rsidRPr="00404DA5">
        <w:rPr>
          <w:rFonts w:cs="Calibri"/>
          <w:szCs w:val="20"/>
        </w:rPr>
        <w:t xml:space="preserve"> argumentując</w:t>
      </w:r>
      <w:r>
        <w:rPr>
          <w:rFonts w:cs="Calibri"/>
          <w:szCs w:val="20"/>
        </w:rPr>
        <w:t xml:space="preserve"> to tym</w:t>
      </w:r>
      <w:r w:rsidRPr="00404DA5">
        <w:rPr>
          <w:rFonts w:cs="Calibri"/>
          <w:szCs w:val="20"/>
        </w:rPr>
        <w:t>, że projekty mają charakter długofalowy,</w:t>
      </w:r>
      <w:r w:rsidR="00E66B89">
        <w:rPr>
          <w:rFonts w:cs="Calibri"/>
          <w:szCs w:val="20"/>
        </w:rPr>
        <w:t xml:space="preserve"> a </w:t>
      </w:r>
      <w:r w:rsidRPr="00404DA5">
        <w:rPr>
          <w:rFonts w:cs="Calibri"/>
          <w:szCs w:val="20"/>
        </w:rPr>
        <w:t>staże</w:t>
      </w:r>
      <w:r w:rsidR="00E66B89">
        <w:rPr>
          <w:rFonts w:cs="Calibri"/>
          <w:szCs w:val="20"/>
        </w:rPr>
        <w:t xml:space="preserve"> i </w:t>
      </w:r>
      <w:r w:rsidRPr="00404DA5">
        <w:rPr>
          <w:rFonts w:cs="Calibri"/>
          <w:szCs w:val="20"/>
        </w:rPr>
        <w:t>praktyki są ostatnią formą wsparcia</w:t>
      </w:r>
      <w:r>
        <w:rPr>
          <w:rFonts w:cs="Calibri"/>
          <w:szCs w:val="20"/>
        </w:rPr>
        <w:t xml:space="preserve"> -</w:t>
      </w:r>
      <w:r w:rsidR="00E66B89">
        <w:rPr>
          <w:rFonts w:cs="Calibri"/>
          <w:szCs w:val="20"/>
        </w:rPr>
        <w:t xml:space="preserve"> w </w:t>
      </w:r>
      <w:r w:rsidRPr="00404DA5">
        <w:rPr>
          <w:rFonts w:cs="Calibri"/>
          <w:szCs w:val="20"/>
        </w:rPr>
        <w:t>tych projektach</w:t>
      </w:r>
      <w:r>
        <w:rPr>
          <w:rFonts w:cs="Calibri"/>
          <w:szCs w:val="20"/>
        </w:rPr>
        <w:t xml:space="preserve"> -</w:t>
      </w:r>
      <w:r w:rsidRPr="00404DA5">
        <w:rPr>
          <w:rFonts w:cs="Calibri"/>
          <w:szCs w:val="20"/>
        </w:rPr>
        <w:t xml:space="preserve"> następującą po innych działaniach edukacyjnych. Jest to argument zgodny</w:t>
      </w:r>
      <w:r w:rsidR="00E66B89">
        <w:rPr>
          <w:rFonts w:cs="Calibri"/>
          <w:szCs w:val="20"/>
        </w:rPr>
        <w:t xml:space="preserve"> z </w:t>
      </w:r>
      <w:r w:rsidRPr="00404DA5">
        <w:rPr>
          <w:rFonts w:cs="Calibri"/>
          <w:szCs w:val="20"/>
        </w:rPr>
        <w:t>logiką interwencji projektów dla uczniów szkół zawodowych uczestniczących</w:t>
      </w:r>
      <w:r w:rsidR="00E66B89">
        <w:rPr>
          <w:rFonts w:cs="Calibri"/>
          <w:szCs w:val="20"/>
        </w:rPr>
        <w:t xml:space="preserve"> w </w:t>
      </w:r>
      <w:r w:rsidRPr="00404DA5">
        <w:rPr>
          <w:rFonts w:cs="Calibri"/>
          <w:szCs w:val="20"/>
        </w:rPr>
        <w:t>projektach obejmujących zajęcia pozalekcyjne</w:t>
      </w:r>
      <w:r w:rsidR="00E66B89">
        <w:rPr>
          <w:rFonts w:cs="Calibri"/>
          <w:szCs w:val="20"/>
        </w:rPr>
        <w:t xml:space="preserve"> i </w:t>
      </w:r>
      <w:r w:rsidRPr="00404DA5">
        <w:rPr>
          <w:rFonts w:cs="Calibri"/>
          <w:szCs w:val="20"/>
        </w:rPr>
        <w:t>staże. Według stanu na dzień 7.01.2019, docelowa wartość tego wskaźnika</w:t>
      </w:r>
      <w:r w:rsidR="00E66B89">
        <w:rPr>
          <w:rFonts w:cs="Calibri"/>
          <w:szCs w:val="20"/>
        </w:rPr>
        <w:t xml:space="preserve"> w </w:t>
      </w:r>
      <w:r w:rsidRPr="00404DA5">
        <w:rPr>
          <w:rFonts w:cs="Calibri"/>
          <w:szCs w:val="20"/>
        </w:rPr>
        <w:t>projektach, na które do tego dnia zawarto umowy</w:t>
      </w:r>
      <w:r w:rsidR="00E66B89">
        <w:rPr>
          <w:rFonts w:cs="Calibri"/>
          <w:szCs w:val="20"/>
        </w:rPr>
        <w:t xml:space="preserve"> o </w:t>
      </w:r>
      <w:r w:rsidRPr="00404DA5">
        <w:rPr>
          <w:rFonts w:cs="Calibri"/>
          <w:szCs w:val="20"/>
        </w:rPr>
        <w:t>dofinansowanie, wynosi 11 189 osób</w:t>
      </w:r>
      <w:r>
        <w:rPr>
          <w:rFonts w:cs="Calibri"/>
          <w:szCs w:val="20"/>
        </w:rPr>
        <w:t>,</w:t>
      </w:r>
      <w:r w:rsidR="00E66B89">
        <w:rPr>
          <w:rFonts w:cs="Calibri"/>
          <w:szCs w:val="20"/>
        </w:rPr>
        <w:t xml:space="preserve"> z </w:t>
      </w:r>
      <w:r w:rsidRPr="00404DA5">
        <w:rPr>
          <w:rFonts w:cs="Calibri"/>
          <w:szCs w:val="20"/>
        </w:rPr>
        <w:t>czego ogółem</w:t>
      </w:r>
      <w:r w:rsidR="00E66B89">
        <w:rPr>
          <w:rFonts w:cs="Calibri"/>
          <w:szCs w:val="20"/>
        </w:rPr>
        <w:t xml:space="preserve"> w </w:t>
      </w:r>
      <w:r w:rsidRPr="00404DA5">
        <w:rPr>
          <w:rFonts w:cs="Calibri"/>
          <w:szCs w:val="20"/>
        </w:rPr>
        <w:t>projektach trwających</w:t>
      </w:r>
      <w:r w:rsidR="00E66B89">
        <w:rPr>
          <w:rFonts w:cs="Calibri"/>
          <w:szCs w:val="20"/>
        </w:rPr>
        <w:t xml:space="preserve"> i </w:t>
      </w:r>
      <w:r w:rsidRPr="00404DA5">
        <w:rPr>
          <w:rFonts w:cs="Calibri"/>
          <w:szCs w:val="20"/>
        </w:rPr>
        <w:t>zakończonych osiągnięto 3 890,</w:t>
      </w:r>
      <w:r w:rsidR="00E66B89">
        <w:rPr>
          <w:rFonts w:cs="Calibri"/>
          <w:szCs w:val="20"/>
        </w:rPr>
        <w:t xml:space="preserve"> a w </w:t>
      </w:r>
      <w:r w:rsidRPr="00404DA5">
        <w:rPr>
          <w:rFonts w:cs="Calibri"/>
          <w:szCs w:val="20"/>
        </w:rPr>
        <w:t>samych tylko projektach zakończonych</w:t>
      </w:r>
      <w:r>
        <w:rPr>
          <w:rFonts w:cs="Calibri"/>
          <w:szCs w:val="20"/>
        </w:rPr>
        <w:t xml:space="preserve"> -</w:t>
      </w:r>
      <w:r w:rsidRPr="00404DA5">
        <w:rPr>
          <w:rFonts w:cs="Calibri"/>
          <w:szCs w:val="20"/>
        </w:rPr>
        <w:t xml:space="preserve"> 109. Zatem poziom realizacji wskaźnika rzeczywiście wynika</w:t>
      </w:r>
      <w:r w:rsidR="00E66B89">
        <w:rPr>
          <w:rFonts w:cs="Calibri"/>
          <w:szCs w:val="20"/>
        </w:rPr>
        <w:t xml:space="preserve"> z </w:t>
      </w:r>
      <w:r w:rsidRPr="00404DA5">
        <w:rPr>
          <w:rFonts w:cs="Calibri"/>
          <w:szCs w:val="20"/>
        </w:rPr>
        <w:t xml:space="preserve">niewielkiego </w:t>
      </w:r>
      <w:r w:rsidRPr="00404DA5">
        <w:rPr>
          <w:rFonts w:cs="Calibri"/>
          <w:szCs w:val="20"/>
        </w:rPr>
        <w:lastRenderedPageBreak/>
        <w:t>z</w:t>
      </w:r>
      <w:r>
        <w:rPr>
          <w:rFonts w:cs="Calibri"/>
          <w:szCs w:val="20"/>
        </w:rPr>
        <w:t>a</w:t>
      </w:r>
      <w:r w:rsidRPr="00404DA5">
        <w:rPr>
          <w:rFonts w:cs="Calibri"/>
          <w:szCs w:val="20"/>
        </w:rPr>
        <w:t>awansowania projektów. Mając na uwadze opisaną długotrwałość</w:t>
      </w:r>
      <w:r w:rsidR="00E66B89">
        <w:rPr>
          <w:rFonts w:cs="Calibri"/>
          <w:szCs w:val="20"/>
        </w:rPr>
        <w:t xml:space="preserve"> i </w:t>
      </w:r>
      <w:r w:rsidRPr="00404DA5">
        <w:rPr>
          <w:rFonts w:cs="Calibri"/>
          <w:szCs w:val="20"/>
        </w:rPr>
        <w:t>sekwencyjność wsparcia</w:t>
      </w:r>
      <w:r>
        <w:rPr>
          <w:rFonts w:cs="Calibri"/>
          <w:szCs w:val="20"/>
        </w:rPr>
        <w:t>,</w:t>
      </w:r>
      <w:r w:rsidRPr="00404DA5">
        <w:rPr>
          <w:rFonts w:cs="Calibri"/>
          <w:szCs w:val="20"/>
        </w:rPr>
        <w:t xml:space="preserve"> należy zwrócić uwagę na fakt rozpoczęcia</w:t>
      </w:r>
      <w:r w:rsidR="00E66B89">
        <w:rPr>
          <w:rFonts w:cs="Calibri"/>
          <w:szCs w:val="20"/>
        </w:rPr>
        <w:t xml:space="preserve"> w </w:t>
      </w:r>
      <w:r w:rsidRPr="00404DA5">
        <w:rPr>
          <w:rFonts w:cs="Calibri"/>
          <w:szCs w:val="20"/>
        </w:rPr>
        <w:t>2015 r. tylko jednego naboru. Był to nabór</w:t>
      </w:r>
      <w:r w:rsidR="00E66B89">
        <w:rPr>
          <w:rFonts w:cs="Calibri"/>
          <w:szCs w:val="20"/>
        </w:rPr>
        <w:t xml:space="preserve"> w </w:t>
      </w:r>
      <w:r w:rsidRPr="00404DA5">
        <w:rPr>
          <w:rFonts w:cs="Calibri"/>
          <w:szCs w:val="20"/>
        </w:rPr>
        <w:t>ramach Działania 8.9</w:t>
      </w:r>
      <w:r>
        <w:rPr>
          <w:rFonts w:cs="Calibri"/>
          <w:szCs w:val="20"/>
        </w:rPr>
        <w:t>.</w:t>
      </w:r>
      <w:r w:rsidRPr="00404DA5">
        <w:rPr>
          <w:rFonts w:cs="Calibri"/>
          <w:szCs w:val="20"/>
        </w:rPr>
        <w:t xml:space="preserve"> </w:t>
      </w:r>
      <w:r>
        <w:rPr>
          <w:rFonts w:cs="Calibri"/>
          <w:szCs w:val="20"/>
        </w:rPr>
        <w:t>Z</w:t>
      </w:r>
      <w:r w:rsidRPr="00404DA5">
        <w:rPr>
          <w:rFonts w:cs="Calibri"/>
          <w:szCs w:val="20"/>
        </w:rPr>
        <w:t>e względu na specyfikę procesu naboru projektów</w:t>
      </w:r>
      <w:r w:rsidR="00E66B89">
        <w:rPr>
          <w:rFonts w:cs="Calibri"/>
          <w:szCs w:val="20"/>
        </w:rPr>
        <w:t xml:space="preserve"> w </w:t>
      </w:r>
      <w:r w:rsidRPr="00404DA5">
        <w:rPr>
          <w:rFonts w:cs="Calibri"/>
          <w:szCs w:val="20"/>
        </w:rPr>
        <w:t xml:space="preserve">ramach </w:t>
      </w:r>
      <w:r>
        <w:rPr>
          <w:rFonts w:cs="Calibri"/>
          <w:szCs w:val="20"/>
        </w:rPr>
        <w:t>K</w:t>
      </w:r>
      <w:r w:rsidRPr="00404DA5">
        <w:rPr>
          <w:rFonts w:cs="Calibri"/>
          <w:szCs w:val="20"/>
        </w:rPr>
        <w:t xml:space="preserve">ontraktów </w:t>
      </w:r>
      <w:r>
        <w:rPr>
          <w:rFonts w:cs="Calibri"/>
          <w:szCs w:val="20"/>
        </w:rPr>
        <w:t>S</w:t>
      </w:r>
      <w:r w:rsidRPr="00404DA5">
        <w:rPr>
          <w:rFonts w:cs="Calibri"/>
          <w:szCs w:val="20"/>
        </w:rPr>
        <w:t>amorządowych</w:t>
      </w:r>
      <w:r>
        <w:rPr>
          <w:rFonts w:cs="Calibri"/>
          <w:szCs w:val="20"/>
        </w:rPr>
        <w:t>,</w:t>
      </w:r>
      <w:r w:rsidRPr="00404DA5">
        <w:rPr>
          <w:rFonts w:cs="Calibri"/>
          <w:szCs w:val="20"/>
        </w:rPr>
        <w:t xml:space="preserve"> musiał trwać dłużej, dlatego jego rozpoczęcie już</w:t>
      </w:r>
      <w:r w:rsidR="00E66B89">
        <w:rPr>
          <w:rFonts w:cs="Calibri"/>
          <w:szCs w:val="20"/>
        </w:rPr>
        <w:t xml:space="preserve"> w </w:t>
      </w:r>
      <w:r w:rsidRPr="00404DA5">
        <w:rPr>
          <w:rFonts w:cs="Calibri"/>
          <w:szCs w:val="20"/>
        </w:rPr>
        <w:t>2015 r. było trafnym rozwiązaniem. Natomiast nabory do Działań 8.6, 8.7</w:t>
      </w:r>
      <w:r w:rsidR="00E66B89">
        <w:rPr>
          <w:rFonts w:cs="Calibri"/>
          <w:szCs w:val="20"/>
        </w:rPr>
        <w:t xml:space="preserve"> i </w:t>
      </w:r>
      <w:r w:rsidRPr="00404DA5">
        <w:rPr>
          <w:rFonts w:cs="Calibri"/>
          <w:szCs w:val="20"/>
        </w:rPr>
        <w:t>8.8 rozpoczęto dopiero od 2016 r. Jak wynika</w:t>
      </w:r>
      <w:r w:rsidR="00E66B89">
        <w:rPr>
          <w:rFonts w:cs="Calibri"/>
          <w:szCs w:val="20"/>
        </w:rPr>
        <w:t xml:space="preserve"> z </w:t>
      </w:r>
      <w:r w:rsidRPr="00404DA5">
        <w:rPr>
          <w:rFonts w:cs="Calibri"/>
          <w:szCs w:val="20"/>
        </w:rPr>
        <w:t>rozmów przeprowadzonych</w:t>
      </w:r>
      <w:r w:rsidR="00E66B89">
        <w:rPr>
          <w:rFonts w:cs="Calibri"/>
          <w:szCs w:val="20"/>
        </w:rPr>
        <w:t xml:space="preserve"> w </w:t>
      </w:r>
      <w:r w:rsidRPr="00404DA5">
        <w:rPr>
          <w:rFonts w:cs="Calibri"/>
          <w:szCs w:val="20"/>
        </w:rPr>
        <w:t>Instytucji Pośredniczącej, harmonogram konkursów był zgodny</w:t>
      </w:r>
      <w:r w:rsidR="00E66B89">
        <w:rPr>
          <w:rFonts w:cs="Calibri"/>
          <w:szCs w:val="20"/>
        </w:rPr>
        <w:t xml:space="preserve"> z </w:t>
      </w:r>
      <w:r w:rsidRPr="00404DA5">
        <w:rPr>
          <w:rFonts w:cs="Calibri"/>
          <w:szCs w:val="20"/>
        </w:rPr>
        <w:t>Planem Działania zatwierdzonym przez IZ, nie można więc mówić</w:t>
      </w:r>
      <w:r w:rsidR="00E66B89">
        <w:rPr>
          <w:rFonts w:cs="Calibri"/>
          <w:szCs w:val="20"/>
        </w:rPr>
        <w:t xml:space="preserve"> o </w:t>
      </w:r>
      <w:r w:rsidRPr="00404DA5">
        <w:rPr>
          <w:rFonts w:cs="Calibri"/>
          <w:szCs w:val="20"/>
        </w:rPr>
        <w:t>opóźnieniach</w:t>
      </w:r>
      <w:r w:rsidR="00E66B89">
        <w:rPr>
          <w:rFonts w:cs="Calibri"/>
          <w:szCs w:val="20"/>
        </w:rPr>
        <w:t xml:space="preserve"> w </w:t>
      </w:r>
      <w:r w:rsidRPr="00404DA5">
        <w:rPr>
          <w:rFonts w:cs="Calibri"/>
          <w:szCs w:val="20"/>
        </w:rPr>
        <w:t>uruchamianiu naborów względem Planów Działania. Można natomiast stwierdzić, że zaplanowane</w:t>
      </w:r>
      <w:r w:rsidR="00E66B89">
        <w:rPr>
          <w:rFonts w:cs="Calibri"/>
          <w:szCs w:val="20"/>
        </w:rPr>
        <w:t xml:space="preserve"> w </w:t>
      </w:r>
      <w:r w:rsidRPr="00404DA5">
        <w:rPr>
          <w:rFonts w:cs="Calibri"/>
          <w:szCs w:val="20"/>
        </w:rPr>
        <w:t>Planach Działania terminy naborów nie były adekwatne do specyfiki wsparcia</w:t>
      </w:r>
      <w:r w:rsidR="00E66B89">
        <w:rPr>
          <w:rFonts w:cs="Calibri"/>
          <w:szCs w:val="20"/>
        </w:rPr>
        <w:t xml:space="preserve"> i </w:t>
      </w:r>
      <w:r w:rsidRPr="00404DA5">
        <w:rPr>
          <w:rFonts w:cs="Calibri"/>
          <w:szCs w:val="20"/>
        </w:rPr>
        <w:t>nie umożliwiały osiągnięcia celu pośredniego na pierwotnym poziomie.</w:t>
      </w:r>
      <w:r w:rsidR="00E66B89">
        <w:rPr>
          <w:rFonts w:cs="Calibri"/>
          <w:szCs w:val="20"/>
        </w:rPr>
        <w:t xml:space="preserve"> Z </w:t>
      </w:r>
      <w:r w:rsidRPr="00404DA5">
        <w:rPr>
          <w:rFonts w:cs="Calibri"/>
          <w:szCs w:val="20"/>
        </w:rPr>
        <w:t>wywiadu</w:t>
      </w:r>
      <w:r w:rsidR="00E66B89">
        <w:rPr>
          <w:rFonts w:cs="Calibri"/>
          <w:szCs w:val="20"/>
        </w:rPr>
        <w:t xml:space="preserve"> w </w:t>
      </w:r>
      <w:r w:rsidRPr="00404DA5">
        <w:rPr>
          <w:rFonts w:cs="Calibri"/>
          <w:szCs w:val="20"/>
        </w:rPr>
        <w:t>Instytucji Pośredniczącej wynika także, że gdy rozpoczęto nabory, instytucja podjęła działania, by przyspieszyć wdrażanie</w:t>
      </w:r>
      <w:r w:rsidR="00E66B89">
        <w:rPr>
          <w:rFonts w:cs="Calibri"/>
          <w:szCs w:val="20"/>
        </w:rPr>
        <w:t xml:space="preserve"> i </w:t>
      </w:r>
      <w:r w:rsidRPr="00404DA5">
        <w:rPr>
          <w:rFonts w:cs="Calibri"/>
          <w:szCs w:val="20"/>
        </w:rPr>
        <w:t xml:space="preserve">zrealizować wskaźnik. </w:t>
      </w:r>
    </w:p>
    <w:p w14:paraId="2D66238E" w14:textId="77777777" w:rsidR="00050FB4" w:rsidRPr="00404DA5" w:rsidRDefault="00050FB4" w:rsidP="00050FB4">
      <w:pPr>
        <w:rPr>
          <w:rFonts w:cs="Calibri"/>
          <w:szCs w:val="20"/>
        </w:rPr>
      </w:pPr>
      <w:r w:rsidRPr="00404DA5">
        <w:rPr>
          <w:rFonts w:cs="Calibri"/>
          <w:szCs w:val="20"/>
        </w:rPr>
        <w:t>Na osiąganą (dotychczas</w:t>
      </w:r>
      <w:r w:rsidR="00E66B89">
        <w:rPr>
          <w:rFonts w:cs="Calibri"/>
          <w:szCs w:val="20"/>
        </w:rPr>
        <w:t xml:space="preserve"> i w </w:t>
      </w:r>
      <w:r w:rsidRPr="00404DA5">
        <w:rPr>
          <w:rFonts w:cs="Calibri"/>
          <w:szCs w:val="20"/>
        </w:rPr>
        <w:t>przyszłości) wartość wskaźnika wpływa to, jak wielu uczestników wsparcia</w:t>
      </w:r>
      <w:r w:rsidR="00E66B89">
        <w:rPr>
          <w:rFonts w:cs="Calibri"/>
          <w:szCs w:val="20"/>
        </w:rPr>
        <w:t xml:space="preserve"> w </w:t>
      </w:r>
      <w:r w:rsidRPr="00404DA5">
        <w:rPr>
          <w:rFonts w:cs="Calibri"/>
          <w:szCs w:val="20"/>
        </w:rPr>
        <w:t xml:space="preserve">ramach </w:t>
      </w:r>
      <w:r>
        <w:rPr>
          <w:rFonts w:cs="Calibri"/>
          <w:szCs w:val="20"/>
        </w:rPr>
        <w:t>D</w:t>
      </w:r>
      <w:r w:rsidRPr="00404DA5">
        <w:rPr>
          <w:rFonts w:cs="Calibri"/>
          <w:szCs w:val="20"/>
        </w:rPr>
        <w:t>ziałań PI 10iv uczestniczy</w:t>
      </w:r>
      <w:r w:rsidR="00E66B89">
        <w:rPr>
          <w:rFonts w:cs="Calibri"/>
          <w:szCs w:val="20"/>
        </w:rPr>
        <w:t xml:space="preserve"> w </w:t>
      </w:r>
      <w:r w:rsidRPr="00404DA5">
        <w:rPr>
          <w:rFonts w:cs="Calibri"/>
          <w:szCs w:val="20"/>
        </w:rPr>
        <w:t>stażach</w:t>
      </w:r>
      <w:r w:rsidR="00E66B89">
        <w:rPr>
          <w:rFonts w:cs="Calibri"/>
          <w:szCs w:val="20"/>
        </w:rPr>
        <w:t xml:space="preserve"> i </w:t>
      </w:r>
      <w:r w:rsidRPr="00404DA5">
        <w:rPr>
          <w:rFonts w:cs="Calibri"/>
          <w:szCs w:val="20"/>
        </w:rPr>
        <w:t>praktykach. Jest to kosztowna forma wsparcia, ale</w:t>
      </w:r>
      <w:r w:rsidR="00E66B89">
        <w:rPr>
          <w:rFonts w:cs="Calibri"/>
          <w:szCs w:val="20"/>
        </w:rPr>
        <w:t xml:space="preserve"> w </w:t>
      </w:r>
      <w:r w:rsidRPr="00404DA5">
        <w:rPr>
          <w:rFonts w:cs="Calibri"/>
          <w:szCs w:val="20"/>
        </w:rPr>
        <w:t>Działaniu są jeszcze środki na jej realizację,</w:t>
      </w:r>
      <w:r w:rsidR="00E66B89">
        <w:rPr>
          <w:rFonts w:cs="Calibri"/>
          <w:szCs w:val="20"/>
        </w:rPr>
        <w:t xml:space="preserve"> a </w:t>
      </w:r>
      <w:r w:rsidRPr="00404DA5">
        <w:rPr>
          <w:rFonts w:cs="Calibri"/>
          <w:szCs w:val="20"/>
        </w:rPr>
        <w:t>za stażami</w:t>
      </w:r>
      <w:r w:rsidR="00E66B89">
        <w:rPr>
          <w:rFonts w:cs="Calibri"/>
          <w:szCs w:val="20"/>
        </w:rPr>
        <w:t xml:space="preserve"> i </w:t>
      </w:r>
      <w:r w:rsidRPr="00404DA5">
        <w:rPr>
          <w:rFonts w:cs="Calibri"/>
          <w:szCs w:val="20"/>
        </w:rPr>
        <w:t>praktykami przemawia fakt, że to one umożliwiają uczniom kontakt</w:t>
      </w:r>
      <w:r w:rsidR="00E66B89">
        <w:rPr>
          <w:rFonts w:cs="Calibri"/>
          <w:szCs w:val="20"/>
        </w:rPr>
        <w:t xml:space="preserve"> z </w:t>
      </w:r>
      <w:r w:rsidRPr="00404DA5">
        <w:rPr>
          <w:rFonts w:cs="Calibri"/>
          <w:szCs w:val="20"/>
        </w:rPr>
        <w:t>rzeczywistym środowiskiem pracy</w:t>
      </w:r>
      <w:r w:rsidR="00E66B89">
        <w:rPr>
          <w:rFonts w:cs="Calibri"/>
          <w:szCs w:val="20"/>
        </w:rPr>
        <w:t xml:space="preserve"> i </w:t>
      </w:r>
      <w:r w:rsidRPr="00404DA5">
        <w:rPr>
          <w:rFonts w:cs="Calibri"/>
          <w:szCs w:val="20"/>
        </w:rPr>
        <w:t>zapewniają doświadczenie, którego nie zastąpią zajęcia pozalekcyjne. Jak wynika</w:t>
      </w:r>
      <w:r w:rsidR="00E66B89">
        <w:rPr>
          <w:rFonts w:cs="Calibri"/>
          <w:szCs w:val="20"/>
        </w:rPr>
        <w:t xml:space="preserve"> z </w:t>
      </w:r>
      <w:r w:rsidRPr="00404DA5">
        <w:rPr>
          <w:rFonts w:cs="Calibri"/>
          <w:szCs w:val="20"/>
        </w:rPr>
        <w:t>analiz przeprowadzonych przez wykonawcę, ta forma wsparcia jest rzadko stosowana. Zgodnie</w:t>
      </w:r>
      <w:r w:rsidR="00E66B89">
        <w:rPr>
          <w:rFonts w:cs="Calibri"/>
          <w:szCs w:val="20"/>
        </w:rPr>
        <w:t xml:space="preserve"> z </w:t>
      </w:r>
      <w:r w:rsidRPr="00404DA5">
        <w:rPr>
          <w:rFonts w:cs="Calibri"/>
          <w:szCs w:val="20"/>
        </w:rPr>
        <w:t>danymi zgromadzonymi</w:t>
      </w:r>
      <w:r w:rsidR="00E66B89">
        <w:rPr>
          <w:rFonts w:cs="Calibri"/>
          <w:szCs w:val="20"/>
        </w:rPr>
        <w:t xml:space="preserve"> w </w:t>
      </w:r>
      <w:r w:rsidRPr="00404DA5">
        <w:rPr>
          <w:rFonts w:cs="Calibri"/>
          <w:szCs w:val="20"/>
        </w:rPr>
        <w:t>systemie SL, na dzień 22.11.2018 r., wśród 4</w:t>
      </w:r>
      <w:r>
        <w:rPr>
          <w:rFonts w:cs="Calibri"/>
          <w:szCs w:val="20"/>
        </w:rPr>
        <w:t xml:space="preserve"> </w:t>
      </w:r>
      <w:r w:rsidRPr="00404DA5">
        <w:rPr>
          <w:rFonts w:cs="Calibri"/>
          <w:szCs w:val="20"/>
        </w:rPr>
        <w:t>320 uczestników projektów Działań 8.6-8.9 (PI 10iv), którzy zakończyli udział</w:t>
      </w:r>
      <w:r w:rsidR="00E66B89">
        <w:rPr>
          <w:rFonts w:cs="Calibri"/>
          <w:szCs w:val="20"/>
        </w:rPr>
        <w:t xml:space="preserve"> w </w:t>
      </w:r>
      <w:r w:rsidRPr="00404DA5">
        <w:rPr>
          <w:rFonts w:cs="Calibri"/>
          <w:szCs w:val="20"/>
        </w:rPr>
        <w:t>projektach, 1</w:t>
      </w:r>
      <w:r>
        <w:rPr>
          <w:rFonts w:cs="Calibri"/>
          <w:szCs w:val="20"/>
        </w:rPr>
        <w:t xml:space="preserve"> </w:t>
      </w:r>
      <w:r w:rsidRPr="00404DA5">
        <w:rPr>
          <w:rFonts w:cs="Calibri"/>
          <w:szCs w:val="20"/>
        </w:rPr>
        <w:t>520 osób wzięło udział</w:t>
      </w:r>
      <w:r w:rsidR="00E66B89">
        <w:rPr>
          <w:rFonts w:cs="Calibri"/>
          <w:szCs w:val="20"/>
        </w:rPr>
        <w:t xml:space="preserve"> w </w:t>
      </w:r>
      <w:r w:rsidRPr="00404DA5">
        <w:rPr>
          <w:rFonts w:cs="Calibri"/>
          <w:szCs w:val="20"/>
        </w:rPr>
        <w:t>stażach/praktykach, co stanowi 35,2% uczestników. Natomiast jak wynika</w:t>
      </w:r>
      <w:r w:rsidR="00E66B89">
        <w:rPr>
          <w:rFonts w:cs="Calibri"/>
          <w:szCs w:val="20"/>
        </w:rPr>
        <w:t xml:space="preserve"> z </w:t>
      </w:r>
      <w:r w:rsidRPr="00404DA5">
        <w:rPr>
          <w:rFonts w:cs="Calibri"/>
          <w:szCs w:val="20"/>
        </w:rPr>
        <w:t>realizowanego aktualnie badania dotyczącego edukacji zawodowej, zleconego przez IZ RPO WZ</w:t>
      </w:r>
      <w:r>
        <w:rPr>
          <w:rStyle w:val="Odwoanieprzypisudolnego"/>
          <w:rFonts w:cs="Calibri"/>
          <w:szCs w:val="20"/>
        </w:rPr>
        <w:footnoteReference w:id="119"/>
      </w:r>
      <w:r w:rsidRPr="00404DA5">
        <w:rPr>
          <w:rFonts w:cs="Calibri"/>
          <w:szCs w:val="20"/>
        </w:rPr>
        <w:t>, odsetek stażystów</w:t>
      </w:r>
      <w:r w:rsidR="00E66B89">
        <w:rPr>
          <w:rFonts w:cs="Calibri"/>
          <w:szCs w:val="20"/>
        </w:rPr>
        <w:t xml:space="preserve"> i </w:t>
      </w:r>
      <w:r w:rsidRPr="00404DA5">
        <w:rPr>
          <w:rFonts w:cs="Calibri"/>
          <w:szCs w:val="20"/>
        </w:rPr>
        <w:t>praktykantów wśród uczestników Działań 8.6-8.9 (bez względu na to czy zakończyli udział</w:t>
      </w:r>
      <w:r w:rsidR="00E66B89">
        <w:rPr>
          <w:rFonts w:cs="Calibri"/>
          <w:szCs w:val="20"/>
        </w:rPr>
        <w:t xml:space="preserve"> w </w:t>
      </w:r>
      <w:r w:rsidRPr="00404DA5">
        <w:rPr>
          <w:rFonts w:cs="Calibri"/>
          <w:szCs w:val="20"/>
        </w:rPr>
        <w:t>projekcie) oszacowano na 42,5%. Zakładając, że alokacja na Działania 8.6-8.9 jest najpewniej wyższa od potrzebnej do zrealizowania wartości docelowych wskaźników, należy pozytywnie ocenić fakt, że od 2017 r. wprowadzono</w:t>
      </w:r>
      <w:r>
        <w:rPr>
          <w:rFonts w:cs="Calibri"/>
          <w:szCs w:val="20"/>
        </w:rPr>
        <w:t xml:space="preserve"> -</w:t>
      </w:r>
      <w:r w:rsidR="00E66B89">
        <w:rPr>
          <w:rFonts w:cs="Calibri"/>
          <w:szCs w:val="20"/>
        </w:rPr>
        <w:t xml:space="preserve"> w </w:t>
      </w:r>
      <w:r w:rsidRPr="00404DA5">
        <w:rPr>
          <w:rFonts w:cs="Calibri"/>
          <w:szCs w:val="20"/>
        </w:rPr>
        <w:t>odniesieniu do uczniów szkół zawodowych</w:t>
      </w:r>
      <w:r>
        <w:rPr>
          <w:rFonts w:cs="Calibri"/>
          <w:szCs w:val="20"/>
        </w:rPr>
        <w:t xml:space="preserve"> -</w:t>
      </w:r>
      <w:r w:rsidRPr="00404DA5">
        <w:rPr>
          <w:rFonts w:cs="Calibri"/>
          <w:szCs w:val="20"/>
        </w:rPr>
        <w:t xml:space="preserve"> kryterium objęcia wszystkich uczestników projektu stażami/praktykami (nie dotyczy to kształcenia dorosłych,</w:t>
      </w:r>
      <w:r w:rsidR="00E66B89">
        <w:rPr>
          <w:rFonts w:cs="Calibri"/>
          <w:szCs w:val="20"/>
        </w:rPr>
        <w:t xml:space="preserve"> w </w:t>
      </w:r>
      <w:r w:rsidRPr="00404DA5">
        <w:rPr>
          <w:rFonts w:cs="Calibri"/>
          <w:szCs w:val="20"/>
        </w:rPr>
        <w:t>których przypadku staże są wymagane tylko przy realizacji kwalifikacyjnych kursów zawodowych).</w:t>
      </w:r>
    </w:p>
    <w:p w14:paraId="426EB6DB" w14:textId="77777777" w:rsidR="00050FB4" w:rsidRPr="00404DA5" w:rsidRDefault="00050FB4" w:rsidP="00050FB4">
      <w:pPr>
        <w:rPr>
          <w:rFonts w:cs="Calibri"/>
          <w:szCs w:val="20"/>
        </w:rPr>
      </w:pPr>
      <w:r w:rsidRPr="00404DA5">
        <w:rPr>
          <w:rFonts w:cs="Calibri"/>
          <w:szCs w:val="20"/>
        </w:rPr>
        <w:t xml:space="preserve">Ustanowiony na koniec 2018 roku cel pośredni wskaźnika </w:t>
      </w:r>
      <w:r w:rsidRPr="00404DA5">
        <w:rPr>
          <w:rFonts w:cs="Calibri"/>
          <w:i/>
          <w:szCs w:val="20"/>
        </w:rPr>
        <w:t>Liczba szkół</w:t>
      </w:r>
      <w:r w:rsidR="00E66B89">
        <w:rPr>
          <w:rFonts w:cs="Calibri"/>
          <w:i/>
          <w:szCs w:val="20"/>
        </w:rPr>
        <w:t xml:space="preserve"> i </w:t>
      </w:r>
      <w:r w:rsidRPr="00404DA5">
        <w:rPr>
          <w:rFonts w:cs="Calibri"/>
          <w:i/>
          <w:szCs w:val="20"/>
        </w:rPr>
        <w:t>placówek kształcenia zawodowego doposażonych</w:t>
      </w:r>
      <w:r w:rsidR="00E66B89">
        <w:rPr>
          <w:rFonts w:cs="Calibri"/>
          <w:i/>
          <w:szCs w:val="20"/>
        </w:rPr>
        <w:t xml:space="preserve"> w </w:t>
      </w:r>
      <w:r w:rsidRPr="00404DA5">
        <w:rPr>
          <w:rFonts w:cs="Calibri"/>
          <w:i/>
          <w:szCs w:val="20"/>
        </w:rPr>
        <w:t>programie</w:t>
      </w:r>
      <w:r w:rsidR="00E66B89">
        <w:rPr>
          <w:rFonts w:cs="Calibri"/>
          <w:i/>
          <w:szCs w:val="20"/>
        </w:rPr>
        <w:t xml:space="preserve"> w </w:t>
      </w:r>
      <w:r w:rsidRPr="00404DA5">
        <w:rPr>
          <w:rFonts w:cs="Calibri"/>
          <w:i/>
          <w:szCs w:val="20"/>
        </w:rPr>
        <w:t>sprzęt</w:t>
      </w:r>
      <w:r w:rsidR="00E66B89">
        <w:rPr>
          <w:rFonts w:cs="Calibri"/>
          <w:i/>
          <w:szCs w:val="20"/>
        </w:rPr>
        <w:t xml:space="preserve"> i </w:t>
      </w:r>
      <w:r w:rsidRPr="00404DA5">
        <w:rPr>
          <w:rFonts w:cs="Calibri"/>
          <w:i/>
          <w:szCs w:val="20"/>
        </w:rPr>
        <w:t>materiały dydaktyczne niezbędne do realizacji kształcenia zawodowego</w:t>
      </w:r>
      <w:r w:rsidRPr="00404DA5">
        <w:rPr>
          <w:rFonts w:cs="Calibri"/>
          <w:szCs w:val="20"/>
        </w:rPr>
        <w:t xml:space="preserve"> został już zrealizowany na poziomie 490% (98 zamiast 20 placówek). Przeprowadzone wstępnie analizy pozwalają zakładać, że przy realizacji tylko tych projektów, które już otrzymały dofinansowanie, założona wartość docelowa wskaźnika zostanie zrealizowana na poziomie 166%.</w:t>
      </w:r>
    </w:p>
    <w:p w14:paraId="2C69D936" w14:textId="77777777" w:rsidR="00050FB4" w:rsidRPr="00404DA5" w:rsidRDefault="00050FB4" w:rsidP="00050FB4">
      <w:pPr>
        <w:rPr>
          <w:rFonts w:cs="Calibri"/>
          <w:szCs w:val="20"/>
        </w:rPr>
      </w:pPr>
      <w:r w:rsidRPr="00404DA5">
        <w:rPr>
          <w:rFonts w:cs="Calibri"/>
          <w:szCs w:val="20"/>
        </w:rPr>
        <w:t>Według stanu na dzień 07.01.2019 r. łącznie</w:t>
      </w:r>
      <w:r w:rsidR="00E66B89">
        <w:rPr>
          <w:rFonts w:cs="Calibri"/>
          <w:szCs w:val="20"/>
        </w:rPr>
        <w:t xml:space="preserve"> w </w:t>
      </w:r>
      <w:r w:rsidRPr="00404DA5">
        <w:rPr>
          <w:rFonts w:cs="Calibri"/>
          <w:szCs w:val="20"/>
        </w:rPr>
        <w:t>Działaniach 8.6-8.9 zawarto umowy na 158 projektów,</w:t>
      </w:r>
      <w:r w:rsidR="00E66B89">
        <w:rPr>
          <w:rFonts w:cs="Calibri"/>
          <w:szCs w:val="20"/>
        </w:rPr>
        <w:t xml:space="preserve"> z </w:t>
      </w:r>
      <w:r w:rsidRPr="00404DA5">
        <w:rPr>
          <w:rFonts w:cs="Calibri"/>
          <w:szCs w:val="20"/>
        </w:rPr>
        <w:t>czego</w:t>
      </w:r>
      <w:r w:rsidR="00E66B89">
        <w:rPr>
          <w:rFonts w:cs="Calibri"/>
          <w:szCs w:val="20"/>
        </w:rPr>
        <w:t xml:space="preserve"> w </w:t>
      </w:r>
      <w:r w:rsidRPr="00404DA5">
        <w:rPr>
          <w:rFonts w:cs="Calibri"/>
          <w:szCs w:val="20"/>
        </w:rPr>
        <w:t>77 projektach jest monitorowany ten wskaźnik. Jak jednak zaznaczył</w:t>
      </w:r>
      <w:r w:rsidR="00E66B89">
        <w:rPr>
          <w:rFonts w:cs="Calibri"/>
          <w:szCs w:val="20"/>
        </w:rPr>
        <w:t xml:space="preserve"> w </w:t>
      </w:r>
      <w:r w:rsidRPr="00404DA5">
        <w:rPr>
          <w:rFonts w:cs="Calibri"/>
          <w:szCs w:val="20"/>
        </w:rPr>
        <w:t>wywiadzie pracownik instytucji systemu realizacji, prawie każdy beneficjent planuje doposażenie, gdyż placówki potrzebują</w:t>
      </w:r>
      <w:r w:rsidR="00E66B89">
        <w:rPr>
          <w:rFonts w:cs="Calibri"/>
          <w:szCs w:val="20"/>
        </w:rPr>
        <w:t xml:space="preserve"> i </w:t>
      </w:r>
      <w:r w:rsidRPr="00404DA5">
        <w:rPr>
          <w:rFonts w:cs="Calibri"/>
          <w:szCs w:val="20"/>
        </w:rPr>
        <w:t>zawsze będą potrzebować poprawy bazy dydaktycznej. Wynikałoby stąd, że wartość wskaźnika mogłaby być nawet wyższa, gdyby była monitorowana</w:t>
      </w:r>
      <w:r w:rsidR="00E66B89">
        <w:rPr>
          <w:rFonts w:cs="Calibri"/>
          <w:szCs w:val="20"/>
        </w:rPr>
        <w:t xml:space="preserve"> w </w:t>
      </w:r>
      <w:r w:rsidRPr="00404DA5">
        <w:rPr>
          <w:rFonts w:cs="Calibri"/>
          <w:szCs w:val="20"/>
        </w:rPr>
        <w:t xml:space="preserve">większej części projektów. Można więc oczekiwać, że do końca realizacji </w:t>
      </w:r>
      <w:r>
        <w:rPr>
          <w:rFonts w:cs="Calibri"/>
          <w:szCs w:val="20"/>
        </w:rPr>
        <w:t>P</w:t>
      </w:r>
      <w:r w:rsidRPr="00404DA5">
        <w:rPr>
          <w:rFonts w:cs="Calibri"/>
          <w:szCs w:val="20"/>
        </w:rPr>
        <w:t>rogramu</w:t>
      </w:r>
      <w:r w:rsidR="00E66B89">
        <w:rPr>
          <w:rFonts w:cs="Calibri"/>
          <w:szCs w:val="20"/>
        </w:rPr>
        <w:t xml:space="preserve"> w </w:t>
      </w:r>
      <w:r w:rsidRPr="00404DA5">
        <w:rPr>
          <w:rFonts w:cs="Calibri"/>
          <w:szCs w:val="20"/>
        </w:rPr>
        <w:t xml:space="preserve">co najmniej połowie projektów będzie planowane doposażenie placówek. </w:t>
      </w:r>
    </w:p>
    <w:p w14:paraId="73BEA470" w14:textId="77777777" w:rsidR="00050FB4" w:rsidRPr="00404DA5" w:rsidRDefault="00050FB4" w:rsidP="00050FB4">
      <w:pPr>
        <w:rPr>
          <w:rFonts w:cs="Calibri"/>
          <w:szCs w:val="20"/>
        </w:rPr>
      </w:pPr>
      <w:r w:rsidRPr="00404DA5">
        <w:rPr>
          <w:rFonts w:cs="Calibri"/>
          <w:szCs w:val="20"/>
        </w:rPr>
        <w:t>W 77 projektach przyjętych do realizacji planowane jest doposażenie 153 placówek, tj. średnio po dwie placówki</w:t>
      </w:r>
      <w:r w:rsidR="00E66B89">
        <w:rPr>
          <w:rFonts w:cs="Calibri"/>
          <w:szCs w:val="20"/>
        </w:rPr>
        <w:t xml:space="preserve"> w </w:t>
      </w:r>
      <w:r w:rsidRPr="00404DA5">
        <w:rPr>
          <w:rFonts w:cs="Calibri"/>
          <w:szCs w:val="20"/>
        </w:rPr>
        <w:t>projekcie. Aby</w:t>
      </w:r>
      <w:r w:rsidR="00E66B89">
        <w:rPr>
          <w:rFonts w:cs="Calibri"/>
          <w:szCs w:val="20"/>
        </w:rPr>
        <w:t xml:space="preserve"> z </w:t>
      </w:r>
      <w:r w:rsidRPr="00404DA5">
        <w:rPr>
          <w:rFonts w:cs="Calibri"/>
          <w:szCs w:val="20"/>
        </w:rPr>
        <w:t>doposażenia skorzystało tylko 20 placówek, należałoby przyjąć do realizacji nie więcej niż 10 projektów realizowanych</w:t>
      </w:r>
      <w:r w:rsidR="00E66B89">
        <w:rPr>
          <w:rFonts w:cs="Calibri"/>
          <w:szCs w:val="20"/>
        </w:rPr>
        <w:t xml:space="preserve"> w </w:t>
      </w:r>
      <w:r w:rsidRPr="00404DA5">
        <w:rPr>
          <w:rFonts w:cs="Calibri"/>
          <w:szCs w:val="20"/>
        </w:rPr>
        <w:t>szkołach/placówkach działających</w:t>
      </w:r>
      <w:r w:rsidR="00E66B89">
        <w:rPr>
          <w:rFonts w:cs="Calibri"/>
          <w:szCs w:val="20"/>
        </w:rPr>
        <w:t xml:space="preserve"> w </w:t>
      </w:r>
      <w:r w:rsidRPr="00404DA5">
        <w:rPr>
          <w:rFonts w:cs="Calibri"/>
          <w:szCs w:val="20"/>
        </w:rPr>
        <w:t>systemie oświaty, bo tylko te mogą korzystać</w:t>
      </w:r>
      <w:r w:rsidR="00E66B89">
        <w:rPr>
          <w:rFonts w:cs="Calibri"/>
          <w:szCs w:val="20"/>
        </w:rPr>
        <w:t xml:space="preserve"> z </w:t>
      </w:r>
      <w:r w:rsidRPr="00404DA5">
        <w:rPr>
          <w:rFonts w:cs="Calibri"/>
          <w:szCs w:val="20"/>
        </w:rPr>
        <w:t xml:space="preserve">doposażenia. Biorąc pod uwagę wysokość alokacji, nie można przypuszczać, że </w:t>
      </w:r>
      <w:r w:rsidRPr="00404DA5">
        <w:rPr>
          <w:rFonts w:cs="Calibri"/>
          <w:szCs w:val="20"/>
        </w:rPr>
        <w:lastRenderedPageBreak/>
        <w:t>IZ RPO WZ oczekiwała zawarcia co najwyżej 10 umów na dofinansowanie projektów zakładających doposażenie placówek - tym bardziej, że choć doposażenie ma</w:t>
      </w:r>
      <w:r w:rsidR="00E66B89">
        <w:rPr>
          <w:rFonts w:cs="Calibri"/>
          <w:szCs w:val="20"/>
        </w:rPr>
        <w:t xml:space="preserve"> w </w:t>
      </w:r>
      <w:r w:rsidRPr="00404DA5">
        <w:rPr>
          <w:rFonts w:cs="Calibri"/>
          <w:szCs w:val="20"/>
        </w:rPr>
        <w:t>projektach EFS jedynie rolę uzupełniającą, to beneficjenci korzystają</w:t>
      </w:r>
      <w:r w:rsidR="00E66B89">
        <w:rPr>
          <w:rFonts w:cs="Calibri"/>
          <w:szCs w:val="20"/>
        </w:rPr>
        <w:t xml:space="preserve"> z </w:t>
      </w:r>
      <w:r w:rsidRPr="00404DA5">
        <w:rPr>
          <w:rFonts w:cs="Calibri"/>
          <w:szCs w:val="20"/>
        </w:rPr>
        <w:t>tej możliwości,</w:t>
      </w:r>
      <w:r w:rsidR="00E66B89">
        <w:rPr>
          <w:rFonts w:cs="Calibri"/>
          <w:szCs w:val="20"/>
        </w:rPr>
        <w:t xml:space="preserve"> a </w:t>
      </w:r>
      <w:r w:rsidRPr="00404DA5">
        <w:rPr>
          <w:rFonts w:cs="Calibri"/>
          <w:szCs w:val="20"/>
        </w:rPr>
        <w:t>ponadto</w:t>
      </w:r>
      <w:r w:rsidR="00E66B89">
        <w:rPr>
          <w:rFonts w:cs="Calibri"/>
          <w:szCs w:val="20"/>
        </w:rPr>
        <w:t xml:space="preserve"> w </w:t>
      </w:r>
      <w:r w:rsidRPr="00404DA5">
        <w:rPr>
          <w:rFonts w:cs="Calibri"/>
          <w:szCs w:val="20"/>
        </w:rPr>
        <w:t>Działaniu uczestniczą także placówki spoza systemu oświaty. Przyczyn przekroczenia wartości pośredniej</w:t>
      </w:r>
      <w:r w:rsidR="00E66B89">
        <w:rPr>
          <w:rFonts w:cs="Calibri"/>
          <w:szCs w:val="20"/>
        </w:rPr>
        <w:t xml:space="preserve"> i </w:t>
      </w:r>
      <w:r w:rsidRPr="00404DA5">
        <w:rPr>
          <w:rFonts w:cs="Calibri"/>
          <w:szCs w:val="20"/>
        </w:rPr>
        <w:t>szacowanego przekroczenia wartości docelowej wskaźnika można szukać</w:t>
      </w:r>
      <w:r w:rsidR="00E66B89">
        <w:rPr>
          <w:rFonts w:cs="Calibri"/>
          <w:szCs w:val="20"/>
        </w:rPr>
        <w:t xml:space="preserve"> w </w:t>
      </w:r>
      <w:r w:rsidRPr="00C22C26">
        <w:rPr>
          <w:rFonts w:cs="Calibri"/>
          <w:i/>
          <w:szCs w:val="20"/>
        </w:rPr>
        <w:t>„</w:t>
      </w:r>
      <w:r w:rsidRPr="00C22C26">
        <w:rPr>
          <w:i/>
        </w:rPr>
        <w:t xml:space="preserve">Metodologii szacowania wartości docelowych dla wskaźników…”, </w:t>
      </w:r>
      <w:r w:rsidRPr="00404DA5">
        <w:rPr>
          <w:rFonts w:cs="Calibri"/>
          <w:szCs w:val="20"/>
        </w:rPr>
        <w:t>gdzie</w:t>
      </w:r>
      <w:r w:rsidR="00E66B89">
        <w:rPr>
          <w:rFonts w:cs="Calibri"/>
          <w:szCs w:val="20"/>
        </w:rPr>
        <w:t xml:space="preserve"> w </w:t>
      </w:r>
      <w:r w:rsidRPr="00404DA5">
        <w:rPr>
          <w:rFonts w:cs="Calibri"/>
          <w:szCs w:val="20"/>
        </w:rPr>
        <w:t>odniesieniu do tego wskaźnika jest mowa</w:t>
      </w:r>
      <w:r w:rsidR="00E66B89">
        <w:rPr>
          <w:rFonts w:cs="Calibri"/>
          <w:szCs w:val="20"/>
        </w:rPr>
        <w:t xml:space="preserve"> o </w:t>
      </w:r>
      <w:r w:rsidRPr="00404DA5">
        <w:rPr>
          <w:rFonts w:cs="Calibri"/>
          <w:szCs w:val="20"/>
        </w:rPr>
        <w:t>inwestycjach „w infrastrukturę</w:t>
      </w:r>
      <w:r w:rsidR="00E66B89">
        <w:rPr>
          <w:rFonts w:cs="Calibri"/>
          <w:szCs w:val="20"/>
        </w:rPr>
        <w:t xml:space="preserve"> w </w:t>
      </w:r>
      <w:r w:rsidRPr="00404DA5">
        <w:rPr>
          <w:rFonts w:cs="Calibri"/>
          <w:szCs w:val="20"/>
        </w:rPr>
        <w:t>celu podniesienia jakości bazy technologiczno-dydaktycznej szkolnictwa zawodowego”,</w:t>
      </w:r>
      <w:r w:rsidR="00E66B89">
        <w:rPr>
          <w:rFonts w:cs="Calibri"/>
          <w:szCs w:val="20"/>
        </w:rPr>
        <w:t xml:space="preserve"> a </w:t>
      </w:r>
      <w:r w:rsidRPr="00404DA5">
        <w:rPr>
          <w:rFonts w:cs="Calibri"/>
          <w:szCs w:val="20"/>
        </w:rPr>
        <w:t>szacowaną wartość takiego wyposażenia oparto na opracowaniu KOWEZiU dot. wyposażenia pracowni</w:t>
      </w:r>
      <w:r w:rsidR="00E66B89">
        <w:rPr>
          <w:rFonts w:cs="Calibri"/>
          <w:szCs w:val="20"/>
        </w:rPr>
        <w:t xml:space="preserve"> i </w:t>
      </w:r>
      <w:r w:rsidRPr="00404DA5">
        <w:rPr>
          <w:rFonts w:cs="Calibri"/>
          <w:szCs w:val="20"/>
        </w:rPr>
        <w:t>warsztatów szkolnych, dotyczącym pracowni do nauczania kwalifikacji pełnych (zawodów). Ze względu na specyfikę EFS – tj. ograniczone środki na doposażenie – nie można oczekiwać, że środki te wystarczą na utworzenie (pełne wyposażenie) pracowni kształcenia praktycznego. Nie ma więc potrzeby szacowania wartości jednostkowej wsparcia</w:t>
      </w:r>
      <w:r w:rsidR="00E66B89">
        <w:rPr>
          <w:rFonts w:cs="Calibri"/>
          <w:szCs w:val="20"/>
        </w:rPr>
        <w:t xml:space="preserve"> w </w:t>
      </w:r>
      <w:r w:rsidRPr="00404DA5">
        <w:rPr>
          <w:rFonts w:cs="Calibri"/>
          <w:szCs w:val="20"/>
        </w:rPr>
        <w:t>oparciu</w:t>
      </w:r>
      <w:r w:rsidR="00E66B89">
        <w:rPr>
          <w:rFonts w:cs="Calibri"/>
          <w:szCs w:val="20"/>
        </w:rPr>
        <w:t xml:space="preserve"> o </w:t>
      </w:r>
      <w:r w:rsidRPr="00404DA5">
        <w:rPr>
          <w:rFonts w:cs="Calibri"/>
          <w:szCs w:val="20"/>
        </w:rPr>
        <w:t>koszty pełnego wyposażenia pracowni, np. te oszacowane przez KOWEZiU. Natomiast należy zakładać, że doposażenie (także</w:t>
      </w:r>
      <w:r w:rsidR="00E66B89">
        <w:rPr>
          <w:rFonts w:cs="Calibri"/>
          <w:szCs w:val="20"/>
        </w:rPr>
        <w:t xml:space="preserve"> w </w:t>
      </w:r>
      <w:r w:rsidRPr="00404DA5">
        <w:rPr>
          <w:rFonts w:cs="Calibri"/>
          <w:szCs w:val="20"/>
        </w:rPr>
        <w:t>ograniczonym charakterze) będzie prowadzone</w:t>
      </w:r>
      <w:r w:rsidR="00E66B89">
        <w:rPr>
          <w:rFonts w:cs="Calibri"/>
          <w:szCs w:val="20"/>
        </w:rPr>
        <w:t xml:space="preserve"> w </w:t>
      </w:r>
      <w:r w:rsidRPr="00404DA5">
        <w:rPr>
          <w:rFonts w:cs="Calibri"/>
          <w:szCs w:val="20"/>
        </w:rPr>
        <w:t>tych placówkach, które będą mogły</w:t>
      </w:r>
      <w:r w:rsidR="00E66B89">
        <w:rPr>
          <w:rFonts w:cs="Calibri"/>
          <w:szCs w:val="20"/>
        </w:rPr>
        <w:t xml:space="preserve"> z </w:t>
      </w:r>
      <w:r w:rsidRPr="00404DA5">
        <w:rPr>
          <w:rFonts w:cs="Calibri"/>
          <w:szCs w:val="20"/>
        </w:rPr>
        <w:t>niego skorzystać.</w:t>
      </w:r>
    </w:p>
    <w:p w14:paraId="73B742E3" w14:textId="77777777" w:rsidR="00050FB4" w:rsidRPr="00404DA5" w:rsidRDefault="00050FB4" w:rsidP="00050FB4">
      <w:pPr>
        <w:rPr>
          <w:rFonts w:cs="Calibri"/>
          <w:szCs w:val="20"/>
        </w:rPr>
      </w:pPr>
      <w:r w:rsidRPr="00404DA5">
        <w:rPr>
          <w:rFonts w:cs="Calibri"/>
          <w:szCs w:val="20"/>
        </w:rPr>
        <w:t>Zgodnie</w:t>
      </w:r>
      <w:r w:rsidR="00E66B89">
        <w:rPr>
          <w:rFonts w:cs="Calibri"/>
          <w:szCs w:val="20"/>
        </w:rPr>
        <w:t xml:space="preserve"> z </w:t>
      </w:r>
      <w:r w:rsidRPr="00404DA5">
        <w:rPr>
          <w:rFonts w:cs="Calibri"/>
          <w:szCs w:val="20"/>
        </w:rPr>
        <w:t>przedstawionymi</w:t>
      </w:r>
      <w:r w:rsidR="00E66B89">
        <w:rPr>
          <w:rFonts w:cs="Calibri"/>
          <w:szCs w:val="20"/>
        </w:rPr>
        <w:t xml:space="preserve"> w </w:t>
      </w:r>
      <w:r w:rsidRPr="00404DA5">
        <w:rPr>
          <w:rFonts w:cs="Calibri"/>
          <w:szCs w:val="20"/>
        </w:rPr>
        <w:t xml:space="preserve">tabeli danymi, cel pośredni (ustanowiony na koniec 2018 roku) wskaźnika </w:t>
      </w:r>
      <w:r w:rsidRPr="00404DA5">
        <w:rPr>
          <w:rFonts w:cs="Calibri"/>
          <w:i/>
          <w:szCs w:val="20"/>
        </w:rPr>
        <w:t>Liczba osób</w:t>
      </w:r>
      <w:r w:rsidR="00E66B89">
        <w:rPr>
          <w:rFonts w:cs="Calibri"/>
          <w:i/>
          <w:szCs w:val="20"/>
        </w:rPr>
        <w:t xml:space="preserve"> w </w:t>
      </w:r>
      <w:r w:rsidRPr="00404DA5">
        <w:rPr>
          <w:rFonts w:cs="Calibri"/>
          <w:i/>
          <w:szCs w:val="20"/>
        </w:rPr>
        <w:t>wieku 25 lat</w:t>
      </w:r>
      <w:r w:rsidR="00E66B89">
        <w:rPr>
          <w:rFonts w:cs="Calibri"/>
          <w:i/>
          <w:szCs w:val="20"/>
        </w:rPr>
        <w:t xml:space="preserve"> i </w:t>
      </w:r>
      <w:r w:rsidRPr="00404DA5">
        <w:rPr>
          <w:rFonts w:cs="Calibri"/>
          <w:i/>
          <w:szCs w:val="20"/>
        </w:rPr>
        <w:t>więcej objętych wsparciem</w:t>
      </w:r>
      <w:r w:rsidR="00E66B89">
        <w:rPr>
          <w:rFonts w:cs="Calibri"/>
          <w:i/>
          <w:szCs w:val="20"/>
        </w:rPr>
        <w:t xml:space="preserve"> w </w:t>
      </w:r>
      <w:r w:rsidRPr="00404DA5">
        <w:rPr>
          <w:rFonts w:cs="Calibri"/>
          <w:i/>
          <w:szCs w:val="20"/>
        </w:rPr>
        <w:t>programie</w:t>
      </w:r>
      <w:r w:rsidRPr="00404DA5">
        <w:rPr>
          <w:rFonts w:cs="Calibri"/>
          <w:szCs w:val="20"/>
        </w:rPr>
        <w:t xml:space="preserve"> został zrealizowany na poziomie 102,71% – objęto wsparciem 7 396 zamiast 7 200 osób. Realizacja wskaźnika rzeczowego była bliska założeniom, co wskazuje, że były one trafne</w:t>
      </w:r>
      <w:r w:rsidR="00E66B89">
        <w:rPr>
          <w:rFonts w:cs="Calibri"/>
          <w:szCs w:val="20"/>
        </w:rPr>
        <w:t xml:space="preserve"> w </w:t>
      </w:r>
      <w:r w:rsidRPr="00404DA5">
        <w:rPr>
          <w:rFonts w:cs="Calibri"/>
          <w:szCs w:val="20"/>
        </w:rPr>
        <w:t xml:space="preserve">odniesieniu do 2018 r. </w:t>
      </w:r>
    </w:p>
    <w:p w14:paraId="588DF560" w14:textId="77777777" w:rsidR="00050FB4" w:rsidRPr="00404DA5" w:rsidRDefault="00050FB4" w:rsidP="00050FB4">
      <w:pPr>
        <w:rPr>
          <w:rFonts w:cs="Calibri"/>
          <w:szCs w:val="20"/>
        </w:rPr>
      </w:pPr>
      <w:r w:rsidRPr="00404DA5">
        <w:rPr>
          <w:rFonts w:cs="Calibri"/>
          <w:szCs w:val="20"/>
        </w:rPr>
        <w:t>Wartość docelowa wskaźnika, określona dla roku 2023, wynosi 20 986 osoby. Dotychczas (tj. do 07.01.2019 r.) zakontraktowano 51% alokacji na projekty,</w:t>
      </w:r>
      <w:r w:rsidR="00E66B89">
        <w:rPr>
          <w:rFonts w:cs="Calibri"/>
          <w:szCs w:val="20"/>
        </w:rPr>
        <w:t xml:space="preserve"> w </w:t>
      </w:r>
      <w:r w:rsidRPr="00404DA5">
        <w:rPr>
          <w:rFonts w:cs="Calibri"/>
          <w:szCs w:val="20"/>
        </w:rPr>
        <w:t>ramach których zostanie zrealizowane 45% wartości docelowej wskaźnika. Jak jednak wynika</w:t>
      </w:r>
      <w:r w:rsidR="00E66B89">
        <w:rPr>
          <w:rFonts w:cs="Calibri"/>
          <w:szCs w:val="20"/>
        </w:rPr>
        <w:t xml:space="preserve"> z </w:t>
      </w:r>
      <w:r w:rsidRPr="00404DA5">
        <w:rPr>
          <w:rFonts w:cs="Calibri"/>
          <w:szCs w:val="20"/>
        </w:rPr>
        <w:t>informacji przekazanej przez przedstawicieli IZ, zaplanowano wyłonienie dwóch kolejnych projektów</w:t>
      </w:r>
      <w:r>
        <w:rPr>
          <w:rFonts w:cs="Calibri"/>
          <w:szCs w:val="20"/>
        </w:rPr>
        <w:t xml:space="preserve"> -</w:t>
      </w:r>
      <w:r w:rsidRPr="00404DA5">
        <w:rPr>
          <w:rFonts w:cs="Calibri"/>
          <w:szCs w:val="20"/>
        </w:rPr>
        <w:t xml:space="preserve"> jednego na wsparcie językowe</w:t>
      </w:r>
      <w:r w:rsidR="00E66B89">
        <w:rPr>
          <w:rFonts w:cs="Calibri"/>
          <w:szCs w:val="20"/>
        </w:rPr>
        <w:t xml:space="preserve"> i </w:t>
      </w:r>
      <w:r w:rsidRPr="00404DA5">
        <w:rPr>
          <w:rFonts w:cs="Calibri"/>
          <w:szCs w:val="20"/>
        </w:rPr>
        <w:t>jednego na wsparcie</w:t>
      </w:r>
      <w:r w:rsidR="00E66B89">
        <w:rPr>
          <w:rFonts w:cs="Calibri"/>
          <w:szCs w:val="20"/>
        </w:rPr>
        <w:t xml:space="preserve"> w </w:t>
      </w:r>
      <w:r w:rsidRPr="00404DA5">
        <w:rPr>
          <w:rFonts w:cs="Calibri"/>
          <w:szCs w:val="20"/>
        </w:rPr>
        <w:t>zakresie kompetencji cyfrowych</w:t>
      </w:r>
      <w:r>
        <w:rPr>
          <w:rFonts w:cs="Calibri"/>
          <w:szCs w:val="20"/>
        </w:rPr>
        <w:t>.</w:t>
      </w:r>
      <w:r w:rsidR="00E66B89">
        <w:rPr>
          <w:rFonts w:cs="Calibri"/>
          <w:szCs w:val="20"/>
        </w:rPr>
        <w:t xml:space="preserve"> W </w:t>
      </w:r>
      <w:r>
        <w:rPr>
          <w:rFonts w:cs="Calibri"/>
          <w:szCs w:val="20"/>
        </w:rPr>
        <w:t xml:space="preserve">efekcie oba te projekty </w:t>
      </w:r>
      <w:r w:rsidRPr="00404DA5">
        <w:rPr>
          <w:rFonts w:cs="Calibri"/>
          <w:szCs w:val="20"/>
        </w:rPr>
        <w:t>- jeżeli liczba uczestników będzie zgodna</w:t>
      </w:r>
      <w:r w:rsidR="00E66B89">
        <w:rPr>
          <w:rFonts w:cs="Calibri"/>
          <w:szCs w:val="20"/>
        </w:rPr>
        <w:t xml:space="preserve"> z </w:t>
      </w:r>
      <w:r w:rsidRPr="00404DA5">
        <w:rPr>
          <w:rFonts w:cs="Calibri"/>
          <w:szCs w:val="20"/>
        </w:rPr>
        <w:t>założeniami - pozwolą zrealizować wskaźnik na poziomie co najmniej 100% wartości docelowej.</w:t>
      </w:r>
    </w:p>
    <w:p w14:paraId="590B47E7" w14:textId="77777777" w:rsidR="00050FB4" w:rsidRPr="00FE43CD" w:rsidRDefault="00050FB4" w:rsidP="00050FB4">
      <w:pPr>
        <w:pStyle w:val="Nagwek3"/>
      </w:pPr>
      <w:r w:rsidRPr="00FE43CD">
        <w:t xml:space="preserve">Priorytet </w:t>
      </w:r>
      <w:bookmarkStart w:id="305" w:name="_Hlk3407179"/>
      <w:r w:rsidRPr="00FE43CD">
        <w:t xml:space="preserve">inwestycyjny </w:t>
      </w:r>
      <w:r>
        <w:t>10i</w:t>
      </w:r>
      <w:r w:rsidRPr="00FE43CD">
        <w:t xml:space="preserve"> (Działani</w:t>
      </w:r>
      <w:r>
        <w:t>a</w:t>
      </w:r>
      <w:r w:rsidRPr="00FE43CD">
        <w:t xml:space="preserve"> </w:t>
      </w:r>
      <w:r>
        <w:t>8.1</w:t>
      </w:r>
      <w:r w:rsidRPr="00FE43CD">
        <w:t>,</w:t>
      </w:r>
      <w:r>
        <w:t xml:space="preserve"> 8.2</w:t>
      </w:r>
      <w:r w:rsidRPr="00FE43CD">
        <w:t xml:space="preserve">, </w:t>
      </w:r>
      <w:r>
        <w:t>8.3, 8.4, 8.5</w:t>
      </w:r>
      <w:r w:rsidRPr="00FE43CD">
        <w:t>)</w:t>
      </w:r>
    </w:p>
    <w:bookmarkEnd w:id="305"/>
    <w:p w14:paraId="20D25591"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40295DB0" w14:textId="77777777" w:rsidR="00050FB4" w:rsidRPr="00FE73B6" w:rsidRDefault="00050FB4" w:rsidP="00FE73B6">
      <w:pPr>
        <w:pStyle w:val="Legenda"/>
        <w:spacing w:after="0"/>
      </w:pPr>
      <w:bookmarkStart w:id="306" w:name="_Toc3485237"/>
      <w:bookmarkStart w:id="307" w:name="_Toc3896881"/>
      <w:bookmarkStart w:id="308" w:name="_Toc8824244"/>
      <w:r w:rsidRPr="00BA0217">
        <w:t xml:space="preserve">Tabela </w:t>
      </w:r>
      <w:r>
        <w:fldChar w:fldCharType="begin"/>
      </w:r>
      <w:r>
        <w:instrText xml:space="preserve"> SEQ Tabela \* ARABIC </w:instrText>
      </w:r>
      <w:r>
        <w:fldChar w:fldCharType="separate"/>
      </w:r>
      <w:r w:rsidR="00763345">
        <w:rPr>
          <w:noProof/>
        </w:rPr>
        <w:t>133</w:t>
      </w:r>
      <w:r>
        <w:fldChar w:fldCharType="end"/>
      </w:r>
      <w:r w:rsidRPr="00BA0217">
        <w:t xml:space="preserve"> Wskaźniki produktu</w:t>
      </w:r>
      <w:r w:rsidR="00E66B89">
        <w:t xml:space="preserve"> i </w:t>
      </w:r>
      <w:r w:rsidRPr="00BA0217">
        <w:t xml:space="preserve">rezultatu </w:t>
      </w:r>
      <w:r w:rsidRPr="00FE73B6">
        <w:t xml:space="preserve">(PI 10i) </w:t>
      </w:r>
      <w:r w:rsidRPr="00BA0217">
        <w:t>– postęp rzeczowy</w:t>
      </w:r>
      <w:bookmarkEnd w:id="306"/>
      <w:bookmarkEnd w:id="307"/>
      <w:bookmarkEnd w:id="3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80"/>
        <w:gridCol w:w="1635"/>
        <w:gridCol w:w="803"/>
        <w:gridCol w:w="915"/>
        <w:gridCol w:w="963"/>
        <w:gridCol w:w="981"/>
        <w:gridCol w:w="964"/>
        <w:gridCol w:w="981"/>
      </w:tblGrid>
      <w:tr w:rsidR="00050FB4" w:rsidRPr="0069584C" w14:paraId="2F77C6B1" w14:textId="77777777" w:rsidTr="00050FB4">
        <w:trPr>
          <w:tblHeader/>
        </w:trPr>
        <w:tc>
          <w:tcPr>
            <w:tcW w:w="0" w:type="auto"/>
            <w:shd w:val="clear" w:color="auto" w:fill="DBE5F1"/>
          </w:tcPr>
          <w:p w14:paraId="0DFC03C1" w14:textId="77777777" w:rsidR="00050FB4" w:rsidRPr="00404DA5" w:rsidRDefault="00050FB4" w:rsidP="00050FB4">
            <w:pPr>
              <w:jc w:val="center"/>
              <w:rPr>
                <w:rFonts w:cs="Calibri"/>
                <w:sz w:val="16"/>
                <w:szCs w:val="18"/>
              </w:rPr>
            </w:pPr>
            <w:r w:rsidRPr="00404DA5">
              <w:rPr>
                <w:rFonts w:cs="Calibri"/>
                <w:sz w:val="16"/>
                <w:szCs w:val="18"/>
              </w:rPr>
              <w:t>Typ wskaźnika</w:t>
            </w:r>
          </w:p>
        </w:tc>
        <w:tc>
          <w:tcPr>
            <w:tcW w:w="0" w:type="auto"/>
            <w:shd w:val="clear" w:color="auto" w:fill="DBE5F1"/>
          </w:tcPr>
          <w:p w14:paraId="1828BC49" w14:textId="77777777" w:rsidR="00050FB4" w:rsidRPr="00404DA5" w:rsidRDefault="00050FB4" w:rsidP="00050FB4">
            <w:pPr>
              <w:jc w:val="center"/>
              <w:rPr>
                <w:rFonts w:cs="Calibri"/>
                <w:sz w:val="16"/>
                <w:szCs w:val="18"/>
              </w:rPr>
            </w:pPr>
            <w:r w:rsidRPr="00404DA5">
              <w:rPr>
                <w:rFonts w:cs="Calibri"/>
                <w:sz w:val="16"/>
                <w:szCs w:val="18"/>
              </w:rPr>
              <w:t>Działania</w:t>
            </w:r>
          </w:p>
        </w:tc>
        <w:tc>
          <w:tcPr>
            <w:tcW w:w="0" w:type="auto"/>
            <w:shd w:val="clear" w:color="auto" w:fill="DBE5F1"/>
          </w:tcPr>
          <w:p w14:paraId="6DCC06B2" w14:textId="77777777" w:rsidR="00050FB4" w:rsidRPr="00404DA5" w:rsidRDefault="00050FB4" w:rsidP="00050FB4">
            <w:pPr>
              <w:jc w:val="center"/>
              <w:rPr>
                <w:rFonts w:cs="Calibri"/>
                <w:sz w:val="16"/>
                <w:szCs w:val="18"/>
              </w:rPr>
            </w:pPr>
            <w:r w:rsidRPr="00404DA5">
              <w:rPr>
                <w:rFonts w:cs="Calibri"/>
                <w:sz w:val="16"/>
                <w:szCs w:val="18"/>
              </w:rPr>
              <w:t>Wskaźnik</w:t>
            </w:r>
          </w:p>
        </w:tc>
        <w:tc>
          <w:tcPr>
            <w:tcW w:w="0" w:type="auto"/>
            <w:shd w:val="clear" w:color="auto" w:fill="DBE5F1"/>
          </w:tcPr>
          <w:p w14:paraId="4729D41F" w14:textId="77777777" w:rsidR="00050FB4" w:rsidRPr="00404DA5" w:rsidRDefault="00050FB4" w:rsidP="00050FB4">
            <w:pPr>
              <w:jc w:val="center"/>
              <w:rPr>
                <w:rFonts w:cs="Calibri"/>
                <w:sz w:val="16"/>
                <w:szCs w:val="18"/>
              </w:rPr>
            </w:pPr>
            <w:r w:rsidRPr="00404DA5">
              <w:rPr>
                <w:rFonts w:cs="Calibri"/>
                <w:sz w:val="16"/>
                <w:szCs w:val="18"/>
              </w:rPr>
              <w:t>Jedn. pomiaru</w:t>
            </w:r>
          </w:p>
        </w:tc>
        <w:tc>
          <w:tcPr>
            <w:tcW w:w="0" w:type="auto"/>
            <w:shd w:val="clear" w:color="auto" w:fill="DBE5F1"/>
          </w:tcPr>
          <w:p w14:paraId="2ABB9409" w14:textId="77777777" w:rsidR="00050FB4" w:rsidRPr="00404DA5" w:rsidRDefault="00050FB4" w:rsidP="00050FB4">
            <w:pPr>
              <w:jc w:val="center"/>
              <w:rPr>
                <w:rFonts w:cs="Calibri"/>
                <w:sz w:val="16"/>
                <w:szCs w:val="18"/>
              </w:rPr>
            </w:pPr>
            <w:r w:rsidRPr="00404DA5">
              <w:rPr>
                <w:rFonts w:cs="Calibri"/>
                <w:sz w:val="16"/>
                <w:szCs w:val="18"/>
              </w:rPr>
              <w:t>Wartość docelowa (2023)</w:t>
            </w:r>
          </w:p>
        </w:tc>
        <w:tc>
          <w:tcPr>
            <w:tcW w:w="0" w:type="auto"/>
            <w:shd w:val="clear" w:color="auto" w:fill="DBE5F1"/>
          </w:tcPr>
          <w:p w14:paraId="792AF0E3" w14:textId="77777777" w:rsidR="00050FB4" w:rsidRPr="00404DA5" w:rsidRDefault="00050FB4" w:rsidP="00050FB4">
            <w:pPr>
              <w:jc w:val="center"/>
              <w:rPr>
                <w:rFonts w:cs="Calibri"/>
                <w:sz w:val="16"/>
                <w:szCs w:val="18"/>
              </w:rPr>
            </w:pPr>
            <w:r w:rsidRPr="00404DA5">
              <w:rPr>
                <w:rFonts w:cs="Calibri"/>
                <w:sz w:val="16"/>
                <w:szCs w:val="18"/>
              </w:rPr>
              <w:t>Realizacja wskaźnika (wg UoD)</w:t>
            </w:r>
          </w:p>
        </w:tc>
        <w:tc>
          <w:tcPr>
            <w:tcW w:w="0" w:type="auto"/>
            <w:shd w:val="clear" w:color="auto" w:fill="DBE5F1"/>
          </w:tcPr>
          <w:p w14:paraId="7F682993" w14:textId="77777777" w:rsidR="00050FB4" w:rsidRPr="00404DA5" w:rsidRDefault="00050FB4" w:rsidP="00050FB4">
            <w:pPr>
              <w:jc w:val="center"/>
              <w:rPr>
                <w:rFonts w:cs="Calibri"/>
                <w:sz w:val="16"/>
                <w:szCs w:val="18"/>
              </w:rPr>
            </w:pPr>
            <w:r w:rsidRPr="00404DA5">
              <w:rPr>
                <w:rFonts w:cs="Calibri"/>
                <w:sz w:val="16"/>
                <w:szCs w:val="18"/>
              </w:rPr>
              <w:t>% realizacji wartości docelowej (wg UoD)</w:t>
            </w:r>
          </w:p>
        </w:tc>
        <w:tc>
          <w:tcPr>
            <w:tcW w:w="0" w:type="auto"/>
            <w:shd w:val="clear" w:color="auto" w:fill="DBE5F1"/>
          </w:tcPr>
          <w:p w14:paraId="5A0FE902" w14:textId="77777777" w:rsidR="00050FB4" w:rsidRPr="00404DA5" w:rsidRDefault="00050FB4" w:rsidP="00050FB4">
            <w:pPr>
              <w:jc w:val="center"/>
              <w:rPr>
                <w:rFonts w:cs="Calibri"/>
                <w:sz w:val="16"/>
                <w:szCs w:val="18"/>
              </w:rPr>
            </w:pPr>
            <w:r w:rsidRPr="00404DA5">
              <w:rPr>
                <w:rFonts w:cs="Calibri"/>
                <w:sz w:val="16"/>
                <w:szCs w:val="18"/>
              </w:rPr>
              <w:t>Realizacja wskaźnika (wg WoP)</w:t>
            </w:r>
          </w:p>
        </w:tc>
        <w:tc>
          <w:tcPr>
            <w:tcW w:w="0" w:type="auto"/>
            <w:shd w:val="clear" w:color="auto" w:fill="DBE5F1"/>
          </w:tcPr>
          <w:p w14:paraId="2F6ACE44" w14:textId="77777777" w:rsidR="00050FB4" w:rsidRPr="00404DA5" w:rsidRDefault="00050FB4" w:rsidP="00050FB4">
            <w:pPr>
              <w:jc w:val="center"/>
              <w:rPr>
                <w:rFonts w:cs="Calibri"/>
                <w:sz w:val="16"/>
                <w:szCs w:val="18"/>
              </w:rPr>
            </w:pPr>
            <w:r w:rsidRPr="00404DA5">
              <w:rPr>
                <w:rFonts w:cs="Calibri"/>
                <w:sz w:val="16"/>
                <w:szCs w:val="18"/>
              </w:rPr>
              <w:t>% realizacji wartości docelowej (wg WoP)</w:t>
            </w:r>
          </w:p>
        </w:tc>
      </w:tr>
      <w:tr w:rsidR="00050FB4" w:rsidRPr="0069584C" w14:paraId="7A4761CD" w14:textId="77777777" w:rsidTr="00050FB4">
        <w:tc>
          <w:tcPr>
            <w:tcW w:w="0" w:type="auto"/>
            <w:shd w:val="clear" w:color="auto" w:fill="auto"/>
            <w:vAlign w:val="center"/>
          </w:tcPr>
          <w:p w14:paraId="210E52CA" w14:textId="77777777" w:rsidR="00050FB4" w:rsidRPr="00404DA5" w:rsidRDefault="00050FB4" w:rsidP="00050FB4">
            <w:pPr>
              <w:jc w:val="center"/>
              <w:rPr>
                <w:rFonts w:cs="Calibri"/>
                <w:sz w:val="16"/>
                <w:szCs w:val="18"/>
              </w:rPr>
            </w:pPr>
            <w:bookmarkStart w:id="309" w:name="_Hlk3770679"/>
            <w:r w:rsidRPr="00404DA5">
              <w:rPr>
                <w:sz w:val="16"/>
                <w:szCs w:val="18"/>
              </w:rPr>
              <w:t>WP</w:t>
            </w:r>
          </w:p>
        </w:tc>
        <w:tc>
          <w:tcPr>
            <w:tcW w:w="0" w:type="auto"/>
            <w:shd w:val="clear" w:color="auto" w:fill="auto"/>
            <w:vAlign w:val="center"/>
          </w:tcPr>
          <w:p w14:paraId="3D8AC4BB" w14:textId="77777777" w:rsidR="00050FB4" w:rsidRPr="00404DA5" w:rsidRDefault="00050FB4" w:rsidP="00050FB4">
            <w:pPr>
              <w:jc w:val="center"/>
              <w:rPr>
                <w:rFonts w:cs="Calibri"/>
                <w:sz w:val="16"/>
                <w:szCs w:val="18"/>
              </w:rPr>
            </w:pPr>
            <w:r w:rsidRPr="00404DA5">
              <w:rPr>
                <w:rFonts w:cs="Calibri"/>
                <w:sz w:val="16"/>
                <w:szCs w:val="18"/>
              </w:rPr>
              <w:t>8.1, 8.2, 8.3, 8.4, 8.5</w:t>
            </w:r>
          </w:p>
        </w:tc>
        <w:tc>
          <w:tcPr>
            <w:tcW w:w="0" w:type="auto"/>
            <w:shd w:val="clear" w:color="auto" w:fill="auto"/>
            <w:vAlign w:val="center"/>
          </w:tcPr>
          <w:p w14:paraId="0FAA205D" w14:textId="77777777" w:rsidR="00050FB4" w:rsidRPr="00404DA5" w:rsidRDefault="00050FB4" w:rsidP="00050FB4">
            <w:pPr>
              <w:jc w:val="center"/>
              <w:rPr>
                <w:rFonts w:cs="Calibri"/>
                <w:sz w:val="16"/>
                <w:szCs w:val="18"/>
              </w:rPr>
            </w:pPr>
            <w:r w:rsidRPr="00404DA5">
              <w:rPr>
                <w:rFonts w:cs="Calibri"/>
                <w:sz w:val="16"/>
                <w:szCs w:val="18"/>
              </w:rPr>
              <w:t>Liczba nauczycieli objętych wsparciem</w:t>
            </w:r>
            <w:r w:rsidR="00E66B89">
              <w:rPr>
                <w:rFonts w:cs="Calibri"/>
                <w:sz w:val="16"/>
                <w:szCs w:val="18"/>
              </w:rPr>
              <w:t xml:space="preserve"> w </w:t>
            </w:r>
            <w:r w:rsidRPr="00404DA5">
              <w:rPr>
                <w:rFonts w:cs="Calibri"/>
                <w:sz w:val="16"/>
                <w:szCs w:val="18"/>
              </w:rPr>
              <w:t xml:space="preserve">programie </w:t>
            </w:r>
          </w:p>
        </w:tc>
        <w:tc>
          <w:tcPr>
            <w:tcW w:w="0" w:type="auto"/>
            <w:shd w:val="clear" w:color="auto" w:fill="auto"/>
            <w:vAlign w:val="center"/>
          </w:tcPr>
          <w:p w14:paraId="0CA84EE1" w14:textId="77777777" w:rsidR="00050FB4" w:rsidRPr="00404DA5" w:rsidRDefault="00050FB4" w:rsidP="00050FB4">
            <w:pPr>
              <w:jc w:val="center"/>
              <w:rPr>
                <w:rFonts w:cs="Calibri"/>
                <w:sz w:val="16"/>
                <w:szCs w:val="18"/>
              </w:rPr>
            </w:pPr>
            <w:r w:rsidRPr="00404DA5">
              <w:rPr>
                <w:rFonts w:cs="Calibri"/>
                <w:sz w:val="16"/>
                <w:szCs w:val="18"/>
              </w:rPr>
              <w:t>Os.</w:t>
            </w:r>
          </w:p>
        </w:tc>
        <w:tc>
          <w:tcPr>
            <w:tcW w:w="0" w:type="auto"/>
            <w:shd w:val="clear" w:color="auto" w:fill="auto"/>
            <w:vAlign w:val="center"/>
          </w:tcPr>
          <w:p w14:paraId="2FE6BEF8" w14:textId="77777777" w:rsidR="00050FB4" w:rsidRPr="00404DA5" w:rsidRDefault="00050FB4" w:rsidP="00050FB4">
            <w:pPr>
              <w:jc w:val="center"/>
              <w:rPr>
                <w:rFonts w:cs="Calibri"/>
                <w:sz w:val="16"/>
                <w:szCs w:val="18"/>
              </w:rPr>
            </w:pPr>
            <w:r w:rsidRPr="00404DA5">
              <w:rPr>
                <w:rFonts w:cs="Calibri"/>
                <w:sz w:val="16"/>
                <w:szCs w:val="18"/>
              </w:rPr>
              <w:t>4468</w:t>
            </w:r>
          </w:p>
        </w:tc>
        <w:tc>
          <w:tcPr>
            <w:tcW w:w="0" w:type="auto"/>
            <w:shd w:val="clear" w:color="auto" w:fill="auto"/>
            <w:vAlign w:val="center"/>
          </w:tcPr>
          <w:p w14:paraId="4238F088" w14:textId="77777777" w:rsidR="00050FB4" w:rsidRPr="00404DA5" w:rsidRDefault="00050FB4" w:rsidP="00050FB4">
            <w:pPr>
              <w:jc w:val="center"/>
              <w:rPr>
                <w:rFonts w:cs="Calibri"/>
                <w:sz w:val="16"/>
                <w:szCs w:val="18"/>
              </w:rPr>
            </w:pPr>
            <w:r w:rsidRPr="00404DA5">
              <w:rPr>
                <w:rFonts w:cs="Calibri"/>
                <w:sz w:val="16"/>
                <w:szCs w:val="18"/>
              </w:rPr>
              <w:t>3653</w:t>
            </w:r>
          </w:p>
        </w:tc>
        <w:tc>
          <w:tcPr>
            <w:tcW w:w="0" w:type="auto"/>
            <w:shd w:val="clear" w:color="auto" w:fill="auto"/>
            <w:vAlign w:val="center"/>
          </w:tcPr>
          <w:p w14:paraId="1D707357" w14:textId="77777777" w:rsidR="00050FB4" w:rsidRPr="00404DA5" w:rsidRDefault="00050FB4" w:rsidP="00050FB4">
            <w:pPr>
              <w:jc w:val="center"/>
              <w:rPr>
                <w:rFonts w:cs="Calibri"/>
                <w:sz w:val="16"/>
                <w:szCs w:val="18"/>
              </w:rPr>
            </w:pPr>
            <w:r w:rsidRPr="00404DA5">
              <w:rPr>
                <w:rFonts w:cs="Calibri"/>
                <w:sz w:val="16"/>
                <w:szCs w:val="18"/>
              </w:rPr>
              <w:t>82%</w:t>
            </w:r>
          </w:p>
        </w:tc>
        <w:tc>
          <w:tcPr>
            <w:tcW w:w="0" w:type="auto"/>
            <w:shd w:val="clear" w:color="auto" w:fill="auto"/>
            <w:vAlign w:val="center"/>
          </w:tcPr>
          <w:p w14:paraId="7E059397" w14:textId="77777777" w:rsidR="00050FB4" w:rsidRPr="00404DA5" w:rsidRDefault="00050FB4" w:rsidP="00050FB4">
            <w:pPr>
              <w:jc w:val="center"/>
              <w:rPr>
                <w:rFonts w:cs="Calibri"/>
                <w:sz w:val="16"/>
                <w:szCs w:val="18"/>
              </w:rPr>
            </w:pPr>
            <w:r w:rsidRPr="00404DA5">
              <w:rPr>
                <w:rFonts w:cs="Calibri"/>
                <w:sz w:val="16"/>
                <w:szCs w:val="18"/>
              </w:rPr>
              <w:t>1850</w:t>
            </w:r>
          </w:p>
        </w:tc>
        <w:tc>
          <w:tcPr>
            <w:tcW w:w="0" w:type="auto"/>
            <w:shd w:val="clear" w:color="auto" w:fill="auto"/>
            <w:vAlign w:val="center"/>
          </w:tcPr>
          <w:p w14:paraId="36FBF088" w14:textId="77777777" w:rsidR="00050FB4" w:rsidRPr="00404DA5" w:rsidRDefault="00050FB4" w:rsidP="00050FB4">
            <w:pPr>
              <w:jc w:val="center"/>
              <w:rPr>
                <w:rFonts w:cs="Calibri"/>
                <w:sz w:val="16"/>
                <w:szCs w:val="18"/>
              </w:rPr>
            </w:pPr>
            <w:r w:rsidRPr="00404DA5">
              <w:rPr>
                <w:rFonts w:cs="Calibri"/>
                <w:sz w:val="16"/>
                <w:szCs w:val="18"/>
              </w:rPr>
              <w:t>41%</w:t>
            </w:r>
          </w:p>
        </w:tc>
      </w:tr>
      <w:tr w:rsidR="00050FB4" w:rsidRPr="0069584C" w14:paraId="349C3091" w14:textId="77777777" w:rsidTr="00050FB4">
        <w:tc>
          <w:tcPr>
            <w:tcW w:w="0" w:type="auto"/>
            <w:shd w:val="clear" w:color="auto" w:fill="auto"/>
            <w:vAlign w:val="center"/>
          </w:tcPr>
          <w:p w14:paraId="1F7FF1DB"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0A6E261E" w14:textId="77777777" w:rsidR="00050FB4" w:rsidRPr="00404DA5" w:rsidRDefault="00050FB4" w:rsidP="00050FB4">
            <w:pPr>
              <w:jc w:val="center"/>
              <w:rPr>
                <w:rFonts w:cs="Calibri"/>
                <w:sz w:val="16"/>
                <w:szCs w:val="18"/>
              </w:rPr>
            </w:pPr>
            <w:r w:rsidRPr="00404DA5">
              <w:rPr>
                <w:rFonts w:cs="Calibri"/>
                <w:sz w:val="16"/>
                <w:szCs w:val="18"/>
              </w:rPr>
              <w:t>8.1, 8.2, 8.3, 8.4, 8.5</w:t>
            </w:r>
          </w:p>
        </w:tc>
        <w:tc>
          <w:tcPr>
            <w:tcW w:w="0" w:type="auto"/>
            <w:shd w:val="clear" w:color="auto" w:fill="auto"/>
            <w:vAlign w:val="center"/>
          </w:tcPr>
          <w:p w14:paraId="3EB91248" w14:textId="77777777" w:rsidR="00050FB4" w:rsidRPr="00404DA5" w:rsidRDefault="00050FB4" w:rsidP="00050FB4">
            <w:pPr>
              <w:jc w:val="center"/>
              <w:rPr>
                <w:rFonts w:cs="Calibri"/>
                <w:sz w:val="16"/>
                <w:szCs w:val="18"/>
              </w:rPr>
            </w:pPr>
            <w:r w:rsidRPr="00404DA5">
              <w:rPr>
                <w:rFonts w:cs="Calibri"/>
                <w:sz w:val="16"/>
                <w:szCs w:val="18"/>
              </w:rPr>
              <w:t>Liczba nauczycieli, którzy uzyskali kwalifikacje lub nabyli kompetencje po opuszczeniu programu</w:t>
            </w:r>
          </w:p>
        </w:tc>
        <w:tc>
          <w:tcPr>
            <w:tcW w:w="0" w:type="auto"/>
            <w:shd w:val="clear" w:color="auto" w:fill="auto"/>
            <w:vAlign w:val="center"/>
          </w:tcPr>
          <w:p w14:paraId="5CFF35A3" w14:textId="77777777" w:rsidR="00050FB4" w:rsidRDefault="00050FB4" w:rsidP="00050FB4">
            <w:pPr>
              <w:jc w:val="center"/>
              <w:rPr>
                <w:rFonts w:cs="Calibri"/>
                <w:sz w:val="16"/>
                <w:szCs w:val="18"/>
              </w:rPr>
            </w:pPr>
            <w:r>
              <w:rPr>
                <w:rFonts w:cs="Calibri"/>
                <w:sz w:val="16"/>
                <w:szCs w:val="18"/>
              </w:rPr>
              <w:t>%</w:t>
            </w:r>
          </w:p>
          <w:p w14:paraId="45B9941E" w14:textId="77777777" w:rsidR="00050FB4" w:rsidRPr="00404DA5" w:rsidRDefault="00050FB4" w:rsidP="00050FB4">
            <w:pPr>
              <w:jc w:val="center"/>
              <w:rPr>
                <w:rFonts w:cs="Calibri"/>
                <w:sz w:val="16"/>
                <w:szCs w:val="18"/>
              </w:rPr>
            </w:pPr>
            <w:r>
              <w:rPr>
                <w:rFonts w:cs="Calibri"/>
                <w:sz w:val="16"/>
                <w:szCs w:val="18"/>
              </w:rPr>
              <w:t xml:space="preserve"> (</w:t>
            </w:r>
            <w:r w:rsidRPr="00404DA5">
              <w:rPr>
                <w:rFonts w:cs="Calibri"/>
                <w:sz w:val="16"/>
                <w:szCs w:val="18"/>
              </w:rPr>
              <w:t>Os.</w:t>
            </w:r>
            <w:r>
              <w:rPr>
                <w:rFonts w:cs="Calibri"/>
                <w:sz w:val="16"/>
                <w:szCs w:val="18"/>
              </w:rPr>
              <w:t>)</w:t>
            </w:r>
          </w:p>
        </w:tc>
        <w:tc>
          <w:tcPr>
            <w:tcW w:w="0" w:type="auto"/>
            <w:shd w:val="clear" w:color="auto" w:fill="auto"/>
            <w:vAlign w:val="center"/>
          </w:tcPr>
          <w:p w14:paraId="7B741DEF" w14:textId="77777777" w:rsidR="00050FB4" w:rsidRPr="00404DA5" w:rsidRDefault="00050FB4" w:rsidP="00050FB4">
            <w:pPr>
              <w:jc w:val="center"/>
              <w:rPr>
                <w:rFonts w:cs="Calibri"/>
                <w:sz w:val="16"/>
                <w:szCs w:val="18"/>
              </w:rPr>
            </w:pPr>
            <w:r w:rsidRPr="00404DA5">
              <w:rPr>
                <w:rFonts w:cs="Calibri"/>
                <w:sz w:val="16"/>
                <w:szCs w:val="18"/>
              </w:rPr>
              <w:t>92%</w:t>
            </w:r>
          </w:p>
        </w:tc>
        <w:tc>
          <w:tcPr>
            <w:tcW w:w="0" w:type="auto"/>
            <w:shd w:val="clear" w:color="auto" w:fill="auto"/>
            <w:vAlign w:val="center"/>
          </w:tcPr>
          <w:p w14:paraId="30AD4E44" w14:textId="77777777" w:rsidR="00050FB4" w:rsidRDefault="00050FB4" w:rsidP="00050FB4">
            <w:pPr>
              <w:jc w:val="center"/>
              <w:rPr>
                <w:rFonts w:cs="Calibri"/>
                <w:sz w:val="16"/>
                <w:szCs w:val="18"/>
              </w:rPr>
            </w:pPr>
            <w:r>
              <w:rPr>
                <w:rFonts w:cs="Calibri"/>
                <w:sz w:val="16"/>
                <w:szCs w:val="18"/>
              </w:rPr>
              <w:t>96,5%</w:t>
            </w:r>
          </w:p>
          <w:p w14:paraId="03A044AC"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3526</w:t>
            </w:r>
            <w:r>
              <w:rPr>
                <w:rFonts w:cs="Calibri"/>
                <w:sz w:val="16"/>
                <w:szCs w:val="18"/>
              </w:rPr>
              <w:t>)</w:t>
            </w:r>
          </w:p>
        </w:tc>
        <w:tc>
          <w:tcPr>
            <w:tcW w:w="0" w:type="auto"/>
            <w:shd w:val="clear" w:color="auto" w:fill="auto"/>
            <w:vAlign w:val="center"/>
          </w:tcPr>
          <w:p w14:paraId="36773647" w14:textId="77777777" w:rsidR="00050FB4" w:rsidRPr="00404DA5" w:rsidRDefault="00050FB4" w:rsidP="00050FB4">
            <w:pPr>
              <w:jc w:val="center"/>
              <w:rPr>
                <w:rFonts w:cs="Calibri"/>
                <w:sz w:val="16"/>
                <w:szCs w:val="18"/>
              </w:rPr>
            </w:pPr>
            <w:r w:rsidRPr="00404DA5">
              <w:rPr>
                <w:rFonts w:cs="Calibri"/>
                <w:sz w:val="16"/>
                <w:szCs w:val="18"/>
              </w:rPr>
              <w:t>105%</w:t>
            </w:r>
          </w:p>
        </w:tc>
        <w:tc>
          <w:tcPr>
            <w:tcW w:w="0" w:type="auto"/>
            <w:shd w:val="clear" w:color="auto" w:fill="auto"/>
            <w:vAlign w:val="center"/>
          </w:tcPr>
          <w:p w14:paraId="166A19B0" w14:textId="77777777" w:rsidR="00050FB4" w:rsidRDefault="00050FB4" w:rsidP="00050FB4">
            <w:pPr>
              <w:jc w:val="center"/>
              <w:rPr>
                <w:rFonts w:cs="Calibri"/>
                <w:sz w:val="16"/>
                <w:szCs w:val="18"/>
              </w:rPr>
            </w:pPr>
            <w:r>
              <w:rPr>
                <w:rFonts w:cs="Calibri"/>
                <w:sz w:val="16"/>
                <w:szCs w:val="18"/>
              </w:rPr>
              <w:t>99,5%</w:t>
            </w:r>
          </w:p>
          <w:p w14:paraId="7F682AE2"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1009</w:t>
            </w:r>
            <w:r>
              <w:rPr>
                <w:rFonts w:cs="Calibri"/>
                <w:sz w:val="16"/>
                <w:szCs w:val="18"/>
              </w:rPr>
              <w:t>)</w:t>
            </w:r>
          </w:p>
        </w:tc>
        <w:tc>
          <w:tcPr>
            <w:tcW w:w="0" w:type="auto"/>
            <w:shd w:val="clear" w:color="auto" w:fill="auto"/>
            <w:vAlign w:val="center"/>
          </w:tcPr>
          <w:p w14:paraId="5A4217E9" w14:textId="77777777" w:rsidR="00050FB4" w:rsidRPr="00404DA5" w:rsidRDefault="00050FB4" w:rsidP="00050FB4">
            <w:pPr>
              <w:jc w:val="center"/>
              <w:rPr>
                <w:rFonts w:cs="Calibri"/>
                <w:sz w:val="16"/>
                <w:szCs w:val="18"/>
              </w:rPr>
            </w:pPr>
            <w:r w:rsidRPr="00404DA5">
              <w:rPr>
                <w:rFonts w:cs="Calibri"/>
                <w:sz w:val="16"/>
                <w:szCs w:val="18"/>
              </w:rPr>
              <w:t>59%</w:t>
            </w:r>
          </w:p>
        </w:tc>
      </w:tr>
      <w:tr w:rsidR="00050FB4" w:rsidRPr="0069584C" w14:paraId="61EA2E18" w14:textId="77777777" w:rsidTr="00050FB4">
        <w:tc>
          <w:tcPr>
            <w:tcW w:w="0" w:type="auto"/>
            <w:shd w:val="clear" w:color="auto" w:fill="auto"/>
            <w:vAlign w:val="center"/>
          </w:tcPr>
          <w:p w14:paraId="67000C3B"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07E2204F" w14:textId="77777777" w:rsidR="00050FB4" w:rsidRPr="00404DA5" w:rsidRDefault="00050FB4" w:rsidP="00050FB4">
            <w:pPr>
              <w:jc w:val="center"/>
              <w:rPr>
                <w:rFonts w:cs="Calibri"/>
                <w:bCs/>
                <w:sz w:val="16"/>
                <w:szCs w:val="18"/>
              </w:rPr>
            </w:pPr>
            <w:r w:rsidRPr="00404DA5">
              <w:rPr>
                <w:rFonts w:cs="Calibri"/>
                <w:bCs/>
                <w:sz w:val="16"/>
                <w:szCs w:val="18"/>
              </w:rPr>
              <w:t>8.1, 8.4, 8.5</w:t>
            </w:r>
          </w:p>
        </w:tc>
        <w:tc>
          <w:tcPr>
            <w:tcW w:w="0" w:type="auto"/>
            <w:shd w:val="clear" w:color="auto" w:fill="auto"/>
            <w:vAlign w:val="center"/>
          </w:tcPr>
          <w:p w14:paraId="08FE2742" w14:textId="77777777" w:rsidR="00050FB4" w:rsidRPr="00404DA5" w:rsidRDefault="00050FB4" w:rsidP="00050FB4">
            <w:pPr>
              <w:jc w:val="center"/>
              <w:rPr>
                <w:rFonts w:cs="Calibri"/>
                <w:bCs/>
                <w:sz w:val="16"/>
                <w:szCs w:val="18"/>
              </w:rPr>
            </w:pPr>
            <w:r w:rsidRPr="00404DA5">
              <w:rPr>
                <w:rFonts w:cs="Calibri"/>
                <w:bCs/>
                <w:sz w:val="16"/>
                <w:szCs w:val="18"/>
              </w:rPr>
              <w:t>Liczba dzieci objętych</w:t>
            </w:r>
            <w:r w:rsidR="00E66B89">
              <w:rPr>
                <w:rFonts w:cs="Calibri"/>
                <w:bCs/>
                <w:sz w:val="16"/>
                <w:szCs w:val="18"/>
              </w:rPr>
              <w:t xml:space="preserve"> w </w:t>
            </w:r>
            <w:r w:rsidRPr="00404DA5">
              <w:rPr>
                <w:rFonts w:cs="Calibri"/>
                <w:bCs/>
                <w:sz w:val="16"/>
                <w:szCs w:val="18"/>
              </w:rPr>
              <w:t xml:space="preserve">ramach programu dodatkowymi </w:t>
            </w:r>
            <w:r w:rsidRPr="00404DA5">
              <w:rPr>
                <w:rFonts w:cs="Calibri"/>
                <w:bCs/>
                <w:sz w:val="16"/>
                <w:szCs w:val="18"/>
              </w:rPr>
              <w:lastRenderedPageBreak/>
              <w:t>zajęciami zwiększającymi ich szanse edukacyjne</w:t>
            </w:r>
            <w:r w:rsidR="00E66B89">
              <w:rPr>
                <w:rFonts w:cs="Calibri"/>
                <w:bCs/>
                <w:sz w:val="16"/>
                <w:szCs w:val="18"/>
              </w:rPr>
              <w:t xml:space="preserve"> w </w:t>
            </w:r>
            <w:r w:rsidRPr="00404DA5">
              <w:rPr>
                <w:rFonts w:cs="Calibri"/>
                <w:bCs/>
                <w:sz w:val="16"/>
                <w:szCs w:val="18"/>
              </w:rPr>
              <w:t xml:space="preserve">edukacji przedszkolnej </w:t>
            </w:r>
          </w:p>
        </w:tc>
        <w:tc>
          <w:tcPr>
            <w:tcW w:w="0" w:type="auto"/>
            <w:shd w:val="clear" w:color="auto" w:fill="auto"/>
            <w:vAlign w:val="center"/>
          </w:tcPr>
          <w:p w14:paraId="1934B711" w14:textId="77777777" w:rsidR="00050FB4" w:rsidRPr="00404DA5" w:rsidRDefault="00050FB4" w:rsidP="00050FB4">
            <w:pPr>
              <w:jc w:val="center"/>
              <w:rPr>
                <w:rFonts w:cs="Calibri"/>
                <w:bCs/>
                <w:sz w:val="16"/>
                <w:szCs w:val="18"/>
              </w:rPr>
            </w:pPr>
            <w:r w:rsidRPr="00404DA5">
              <w:rPr>
                <w:rFonts w:cs="Calibri"/>
                <w:bCs/>
                <w:sz w:val="16"/>
                <w:szCs w:val="18"/>
              </w:rPr>
              <w:lastRenderedPageBreak/>
              <w:t>Os.</w:t>
            </w:r>
          </w:p>
        </w:tc>
        <w:tc>
          <w:tcPr>
            <w:tcW w:w="0" w:type="auto"/>
            <w:shd w:val="clear" w:color="auto" w:fill="auto"/>
            <w:vAlign w:val="center"/>
          </w:tcPr>
          <w:p w14:paraId="165FC179" w14:textId="77777777" w:rsidR="00050FB4" w:rsidRPr="00404DA5" w:rsidRDefault="00050FB4" w:rsidP="00050FB4">
            <w:pPr>
              <w:jc w:val="center"/>
              <w:rPr>
                <w:rFonts w:cs="Calibri"/>
                <w:sz w:val="16"/>
                <w:szCs w:val="18"/>
              </w:rPr>
            </w:pPr>
            <w:r w:rsidRPr="00404DA5">
              <w:rPr>
                <w:rFonts w:cs="Calibri"/>
                <w:sz w:val="16"/>
                <w:szCs w:val="18"/>
              </w:rPr>
              <w:t>12000</w:t>
            </w:r>
          </w:p>
        </w:tc>
        <w:tc>
          <w:tcPr>
            <w:tcW w:w="0" w:type="auto"/>
            <w:shd w:val="clear" w:color="auto" w:fill="auto"/>
            <w:vAlign w:val="center"/>
          </w:tcPr>
          <w:p w14:paraId="728DFE92" w14:textId="77777777" w:rsidR="00050FB4" w:rsidRPr="00404DA5" w:rsidRDefault="00050FB4" w:rsidP="00050FB4">
            <w:pPr>
              <w:jc w:val="center"/>
              <w:rPr>
                <w:rFonts w:cs="Calibri"/>
                <w:sz w:val="16"/>
                <w:szCs w:val="18"/>
              </w:rPr>
            </w:pPr>
            <w:r w:rsidRPr="00404DA5">
              <w:rPr>
                <w:rFonts w:cs="Calibri"/>
                <w:sz w:val="16"/>
                <w:szCs w:val="18"/>
              </w:rPr>
              <w:t>3313</w:t>
            </w:r>
          </w:p>
        </w:tc>
        <w:tc>
          <w:tcPr>
            <w:tcW w:w="0" w:type="auto"/>
            <w:shd w:val="clear" w:color="auto" w:fill="auto"/>
            <w:vAlign w:val="center"/>
          </w:tcPr>
          <w:p w14:paraId="4C6C090B" w14:textId="77777777" w:rsidR="00050FB4" w:rsidRPr="00404DA5" w:rsidRDefault="00050FB4" w:rsidP="00050FB4">
            <w:pPr>
              <w:jc w:val="center"/>
              <w:rPr>
                <w:rFonts w:cs="Calibri"/>
                <w:sz w:val="16"/>
                <w:szCs w:val="18"/>
              </w:rPr>
            </w:pPr>
            <w:r w:rsidRPr="00404DA5">
              <w:rPr>
                <w:rFonts w:cs="Calibri"/>
                <w:sz w:val="16"/>
                <w:szCs w:val="18"/>
              </w:rPr>
              <w:t>28%</w:t>
            </w:r>
          </w:p>
        </w:tc>
        <w:tc>
          <w:tcPr>
            <w:tcW w:w="0" w:type="auto"/>
            <w:shd w:val="clear" w:color="auto" w:fill="auto"/>
            <w:vAlign w:val="center"/>
          </w:tcPr>
          <w:p w14:paraId="67A3DB50" w14:textId="77777777" w:rsidR="00050FB4" w:rsidRPr="00404DA5" w:rsidRDefault="00050FB4" w:rsidP="00050FB4">
            <w:pPr>
              <w:jc w:val="center"/>
              <w:rPr>
                <w:rFonts w:cs="Calibri"/>
                <w:sz w:val="16"/>
                <w:szCs w:val="18"/>
              </w:rPr>
            </w:pPr>
            <w:r w:rsidRPr="00404DA5">
              <w:rPr>
                <w:rFonts w:cs="Calibri"/>
                <w:sz w:val="16"/>
                <w:szCs w:val="18"/>
              </w:rPr>
              <w:t>3185</w:t>
            </w:r>
          </w:p>
        </w:tc>
        <w:tc>
          <w:tcPr>
            <w:tcW w:w="0" w:type="auto"/>
            <w:shd w:val="clear" w:color="auto" w:fill="auto"/>
            <w:vAlign w:val="center"/>
          </w:tcPr>
          <w:p w14:paraId="1421709F" w14:textId="77777777" w:rsidR="00050FB4" w:rsidRPr="00404DA5" w:rsidRDefault="00050FB4" w:rsidP="00050FB4">
            <w:pPr>
              <w:jc w:val="center"/>
              <w:rPr>
                <w:rFonts w:cs="Calibri"/>
                <w:sz w:val="16"/>
                <w:szCs w:val="18"/>
              </w:rPr>
            </w:pPr>
            <w:r w:rsidRPr="00404DA5">
              <w:rPr>
                <w:rFonts w:cs="Calibri"/>
                <w:sz w:val="16"/>
                <w:szCs w:val="18"/>
              </w:rPr>
              <w:t>27%</w:t>
            </w:r>
          </w:p>
        </w:tc>
      </w:tr>
      <w:tr w:rsidR="00050FB4" w:rsidRPr="0069584C" w14:paraId="5A532C76" w14:textId="77777777" w:rsidTr="00050FB4">
        <w:tc>
          <w:tcPr>
            <w:tcW w:w="0" w:type="auto"/>
            <w:shd w:val="clear" w:color="auto" w:fill="auto"/>
            <w:vAlign w:val="center"/>
          </w:tcPr>
          <w:p w14:paraId="6FF7409B"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7B767E1B" w14:textId="77777777" w:rsidR="00050FB4" w:rsidRPr="00404DA5" w:rsidRDefault="00050FB4" w:rsidP="00050FB4">
            <w:pPr>
              <w:jc w:val="center"/>
              <w:rPr>
                <w:rFonts w:cs="Calibri"/>
                <w:sz w:val="16"/>
                <w:szCs w:val="18"/>
              </w:rPr>
            </w:pPr>
            <w:r w:rsidRPr="00404DA5">
              <w:rPr>
                <w:rFonts w:cs="Calibri"/>
                <w:sz w:val="16"/>
                <w:szCs w:val="18"/>
              </w:rPr>
              <w:t>8.1, 8.4, 8.5</w:t>
            </w:r>
          </w:p>
        </w:tc>
        <w:tc>
          <w:tcPr>
            <w:tcW w:w="0" w:type="auto"/>
            <w:shd w:val="clear" w:color="auto" w:fill="auto"/>
            <w:vAlign w:val="center"/>
          </w:tcPr>
          <w:p w14:paraId="0BD0BF22" w14:textId="77777777" w:rsidR="00050FB4" w:rsidRPr="00404DA5" w:rsidRDefault="00050FB4" w:rsidP="00050FB4">
            <w:pPr>
              <w:jc w:val="center"/>
              <w:rPr>
                <w:rFonts w:cs="Calibri"/>
                <w:sz w:val="16"/>
                <w:szCs w:val="18"/>
              </w:rPr>
            </w:pPr>
            <w:r w:rsidRPr="00404DA5">
              <w:rPr>
                <w:rFonts w:cs="Calibri"/>
                <w:sz w:val="16"/>
                <w:szCs w:val="18"/>
              </w:rPr>
              <w:t>Liczba miejsc wychowania przedszkolnego dofinansowanych</w:t>
            </w:r>
            <w:r w:rsidR="00E66B89">
              <w:rPr>
                <w:rFonts w:cs="Calibri"/>
                <w:sz w:val="16"/>
                <w:szCs w:val="18"/>
              </w:rPr>
              <w:t xml:space="preserve"> w </w:t>
            </w:r>
            <w:r w:rsidRPr="00404DA5">
              <w:rPr>
                <w:rFonts w:cs="Calibri"/>
                <w:sz w:val="16"/>
                <w:szCs w:val="18"/>
              </w:rPr>
              <w:t xml:space="preserve">programie </w:t>
            </w:r>
          </w:p>
        </w:tc>
        <w:tc>
          <w:tcPr>
            <w:tcW w:w="0" w:type="auto"/>
            <w:shd w:val="clear" w:color="auto" w:fill="auto"/>
            <w:vAlign w:val="center"/>
          </w:tcPr>
          <w:p w14:paraId="62412F6D" w14:textId="77777777" w:rsidR="00050FB4" w:rsidRPr="00404DA5" w:rsidRDefault="00050FB4" w:rsidP="00050FB4">
            <w:pPr>
              <w:jc w:val="center"/>
              <w:rPr>
                <w:rFonts w:cs="Calibri"/>
                <w:sz w:val="16"/>
                <w:szCs w:val="18"/>
              </w:rPr>
            </w:pPr>
            <w:r w:rsidRPr="00404DA5">
              <w:rPr>
                <w:rFonts w:cs="Calibri"/>
                <w:sz w:val="16"/>
                <w:szCs w:val="18"/>
              </w:rPr>
              <w:t>Szt.</w:t>
            </w:r>
          </w:p>
        </w:tc>
        <w:tc>
          <w:tcPr>
            <w:tcW w:w="0" w:type="auto"/>
            <w:shd w:val="clear" w:color="auto" w:fill="auto"/>
            <w:vAlign w:val="center"/>
          </w:tcPr>
          <w:p w14:paraId="79C54BA6" w14:textId="77777777" w:rsidR="00050FB4" w:rsidRPr="00404DA5" w:rsidRDefault="00050FB4" w:rsidP="00050FB4">
            <w:pPr>
              <w:jc w:val="center"/>
              <w:rPr>
                <w:rFonts w:cs="Calibri"/>
                <w:sz w:val="16"/>
                <w:szCs w:val="18"/>
              </w:rPr>
            </w:pPr>
            <w:r w:rsidRPr="00404DA5">
              <w:rPr>
                <w:rFonts w:cs="Calibri"/>
                <w:sz w:val="16"/>
                <w:szCs w:val="18"/>
              </w:rPr>
              <w:t>12000</w:t>
            </w:r>
          </w:p>
        </w:tc>
        <w:tc>
          <w:tcPr>
            <w:tcW w:w="0" w:type="auto"/>
            <w:shd w:val="clear" w:color="auto" w:fill="auto"/>
            <w:vAlign w:val="center"/>
          </w:tcPr>
          <w:p w14:paraId="20F42474" w14:textId="77777777" w:rsidR="00050FB4" w:rsidRPr="00404DA5" w:rsidRDefault="00050FB4" w:rsidP="00050FB4">
            <w:pPr>
              <w:jc w:val="center"/>
              <w:rPr>
                <w:rFonts w:cs="Calibri"/>
                <w:sz w:val="16"/>
                <w:szCs w:val="18"/>
              </w:rPr>
            </w:pPr>
            <w:r w:rsidRPr="00404DA5">
              <w:rPr>
                <w:rFonts w:cs="Calibri"/>
                <w:sz w:val="16"/>
                <w:szCs w:val="18"/>
              </w:rPr>
              <w:t>2249</w:t>
            </w:r>
          </w:p>
        </w:tc>
        <w:tc>
          <w:tcPr>
            <w:tcW w:w="0" w:type="auto"/>
            <w:shd w:val="clear" w:color="auto" w:fill="auto"/>
            <w:vAlign w:val="center"/>
          </w:tcPr>
          <w:p w14:paraId="51274770" w14:textId="77777777" w:rsidR="00050FB4" w:rsidRPr="00404DA5" w:rsidRDefault="00050FB4" w:rsidP="00050FB4">
            <w:pPr>
              <w:jc w:val="center"/>
              <w:rPr>
                <w:rFonts w:cs="Calibri"/>
                <w:sz w:val="16"/>
                <w:szCs w:val="18"/>
              </w:rPr>
            </w:pPr>
            <w:r w:rsidRPr="00404DA5">
              <w:rPr>
                <w:rFonts w:cs="Calibri"/>
                <w:sz w:val="16"/>
                <w:szCs w:val="18"/>
              </w:rPr>
              <w:t>19%</w:t>
            </w:r>
          </w:p>
        </w:tc>
        <w:tc>
          <w:tcPr>
            <w:tcW w:w="0" w:type="auto"/>
            <w:shd w:val="clear" w:color="auto" w:fill="auto"/>
            <w:vAlign w:val="center"/>
          </w:tcPr>
          <w:p w14:paraId="6AEC7099" w14:textId="77777777" w:rsidR="00050FB4" w:rsidRPr="00404DA5" w:rsidRDefault="00050FB4" w:rsidP="00050FB4">
            <w:pPr>
              <w:jc w:val="center"/>
              <w:rPr>
                <w:rFonts w:cs="Calibri"/>
                <w:sz w:val="16"/>
                <w:szCs w:val="18"/>
              </w:rPr>
            </w:pPr>
            <w:bookmarkStart w:id="310" w:name="_Hlk3462341"/>
            <w:r w:rsidRPr="00404DA5">
              <w:rPr>
                <w:rFonts w:cs="Calibri"/>
                <w:sz w:val="16"/>
                <w:szCs w:val="18"/>
              </w:rPr>
              <w:t>1841</w:t>
            </w:r>
            <w:bookmarkEnd w:id="310"/>
          </w:p>
        </w:tc>
        <w:tc>
          <w:tcPr>
            <w:tcW w:w="0" w:type="auto"/>
            <w:shd w:val="clear" w:color="auto" w:fill="auto"/>
            <w:vAlign w:val="center"/>
          </w:tcPr>
          <w:p w14:paraId="0BA8806A" w14:textId="77777777" w:rsidR="00050FB4" w:rsidRPr="00404DA5" w:rsidRDefault="00050FB4" w:rsidP="00050FB4">
            <w:pPr>
              <w:jc w:val="center"/>
              <w:rPr>
                <w:rFonts w:cs="Calibri"/>
                <w:sz w:val="16"/>
                <w:szCs w:val="18"/>
              </w:rPr>
            </w:pPr>
            <w:r w:rsidRPr="00404DA5">
              <w:rPr>
                <w:rFonts w:cs="Calibri"/>
                <w:sz w:val="16"/>
                <w:szCs w:val="18"/>
              </w:rPr>
              <w:t>15%</w:t>
            </w:r>
          </w:p>
        </w:tc>
      </w:tr>
      <w:tr w:rsidR="00050FB4" w:rsidRPr="0069584C" w14:paraId="5230538F" w14:textId="77777777" w:rsidTr="00050FB4">
        <w:tc>
          <w:tcPr>
            <w:tcW w:w="0" w:type="auto"/>
            <w:shd w:val="clear" w:color="auto" w:fill="auto"/>
            <w:vAlign w:val="center"/>
          </w:tcPr>
          <w:p w14:paraId="43DD8F6C"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25D3F2EF"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4F1B865A" w14:textId="77777777" w:rsidR="00050FB4" w:rsidRPr="00404DA5" w:rsidRDefault="00050FB4" w:rsidP="00050FB4">
            <w:pPr>
              <w:jc w:val="center"/>
              <w:rPr>
                <w:rFonts w:cs="Calibri"/>
                <w:sz w:val="16"/>
                <w:szCs w:val="18"/>
              </w:rPr>
            </w:pPr>
            <w:r w:rsidRPr="00404DA5">
              <w:rPr>
                <w:rFonts w:cs="Calibri"/>
                <w:sz w:val="16"/>
                <w:szCs w:val="18"/>
              </w:rPr>
              <w:t>Liczba nauczycieli objętych wsparciem</w:t>
            </w:r>
            <w:r w:rsidR="00E66B89">
              <w:rPr>
                <w:rFonts w:cs="Calibri"/>
                <w:sz w:val="16"/>
                <w:szCs w:val="18"/>
              </w:rPr>
              <w:t xml:space="preserve"> z </w:t>
            </w:r>
            <w:r w:rsidRPr="00404DA5">
              <w:rPr>
                <w:rFonts w:cs="Calibri"/>
                <w:sz w:val="16"/>
                <w:szCs w:val="18"/>
              </w:rPr>
              <w:t>zakresu TIK</w:t>
            </w:r>
            <w:r w:rsidR="00E66B89">
              <w:rPr>
                <w:rFonts w:cs="Calibri"/>
                <w:sz w:val="16"/>
                <w:szCs w:val="18"/>
              </w:rPr>
              <w:t xml:space="preserve"> w </w:t>
            </w:r>
            <w:r w:rsidRPr="00404DA5">
              <w:rPr>
                <w:rFonts w:cs="Calibri"/>
                <w:sz w:val="16"/>
                <w:szCs w:val="18"/>
              </w:rPr>
              <w:t xml:space="preserve">programie </w:t>
            </w:r>
          </w:p>
        </w:tc>
        <w:tc>
          <w:tcPr>
            <w:tcW w:w="0" w:type="auto"/>
            <w:shd w:val="clear" w:color="auto" w:fill="auto"/>
            <w:vAlign w:val="center"/>
          </w:tcPr>
          <w:p w14:paraId="6DFE0821" w14:textId="77777777" w:rsidR="00050FB4" w:rsidRPr="00404DA5" w:rsidRDefault="00050FB4" w:rsidP="00050FB4">
            <w:pPr>
              <w:jc w:val="center"/>
              <w:rPr>
                <w:rFonts w:cs="Calibri"/>
                <w:sz w:val="16"/>
                <w:szCs w:val="18"/>
              </w:rPr>
            </w:pPr>
            <w:r w:rsidRPr="00404DA5">
              <w:rPr>
                <w:rFonts w:cs="Calibri"/>
                <w:sz w:val="16"/>
                <w:szCs w:val="18"/>
              </w:rPr>
              <w:t>Os.</w:t>
            </w:r>
          </w:p>
        </w:tc>
        <w:tc>
          <w:tcPr>
            <w:tcW w:w="0" w:type="auto"/>
            <w:shd w:val="clear" w:color="auto" w:fill="auto"/>
            <w:vAlign w:val="center"/>
          </w:tcPr>
          <w:p w14:paraId="458AC73C" w14:textId="77777777" w:rsidR="00050FB4" w:rsidRPr="00404DA5" w:rsidRDefault="00050FB4" w:rsidP="00050FB4">
            <w:pPr>
              <w:jc w:val="center"/>
              <w:rPr>
                <w:rFonts w:cs="Calibri"/>
                <w:sz w:val="16"/>
                <w:szCs w:val="18"/>
              </w:rPr>
            </w:pPr>
            <w:r w:rsidRPr="00404DA5">
              <w:rPr>
                <w:rFonts w:cs="Calibri"/>
                <w:sz w:val="16"/>
                <w:szCs w:val="18"/>
              </w:rPr>
              <w:t>1698</w:t>
            </w:r>
          </w:p>
        </w:tc>
        <w:tc>
          <w:tcPr>
            <w:tcW w:w="0" w:type="auto"/>
            <w:shd w:val="clear" w:color="auto" w:fill="auto"/>
            <w:vAlign w:val="center"/>
          </w:tcPr>
          <w:p w14:paraId="780A1C57" w14:textId="77777777" w:rsidR="00050FB4" w:rsidRPr="00404DA5" w:rsidRDefault="00050FB4" w:rsidP="00050FB4">
            <w:pPr>
              <w:jc w:val="center"/>
              <w:rPr>
                <w:rFonts w:cs="Calibri"/>
                <w:sz w:val="16"/>
                <w:szCs w:val="18"/>
              </w:rPr>
            </w:pPr>
            <w:bookmarkStart w:id="311" w:name="_Hlk3461095"/>
            <w:r w:rsidRPr="00404DA5">
              <w:rPr>
                <w:rFonts w:cs="Calibri"/>
                <w:sz w:val="16"/>
                <w:szCs w:val="18"/>
              </w:rPr>
              <w:t>2139</w:t>
            </w:r>
            <w:bookmarkEnd w:id="311"/>
          </w:p>
        </w:tc>
        <w:tc>
          <w:tcPr>
            <w:tcW w:w="0" w:type="auto"/>
            <w:shd w:val="clear" w:color="auto" w:fill="auto"/>
            <w:vAlign w:val="center"/>
          </w:tcPr>
          <w:p w14:paraId="36EE23C0" w14:textId="77777777" w:rsidR="00050FB4" w:rsidRPr="00404DA5" w:rsidRDefault="00050FB4" w:rsidP="00050FB4">
            <w:pPr>
              <w:jc w:val="center"/>
              <w:rPr>
                <w:rFonts w:cs="Calibri"/>
                <w:sz w:val="16"/>
                <w:szCs w:val="18"/>
              </w:rPr>
            </w:pPr>
            <w:r w:rsidRPr="00404DA5">
              <w:rPr>
                <w:rFonts w:cs="Calibri"/>
                <w:sz w:val="16"/>
                <w:szCs w:val="18"/>
              </w:rPr>
              <w:t>126%</w:t>
            </w:r>
          </w:p>
        </w:tc>
        <w:tc>
          <w:tcPr>
            <w:tcW w:w="0" w:type="auto"/>
            <w:shd w:val="clear" w:color="auto" w:fill="auto"/>
            <w:vAlign w:val="center"/>
          </w:tcPr>
          <w:p w14:paraId="68DE5730" w14:textId="77777777" w:rsidR="00050FB4" w:rsidRPr="00404DA5" w:rsidRDefault="00050FB4" w:rsidP="00050FB4">
            <w:pPr>
              <w:jc w:val="center"/>
              <w:rPr>
                <w:rFonts w:cs="Calibri"/>
                <w:sz w:val="16"/>
                <w:szCs w:val="18"/>
              </w:rPr>
            </w:pPr>
            <w:r w:rsidRPr="00404DA5">
              <w:rPr>
                <w:rFonts w:cs="Calibri"/>
                <w:sz w:val="16"/>
                <w:szCs w:val="18"/>
              </w:rPr>
              <w:t>952</w:t>
            </w:r>
          </w:p>
        </w:tc>
        <w:tc>
          <w:tcPr>
            <w:tcW w:w="0" w:type="auto"/>
            <w:shd w:val="clear" w:color="auto" w:fill="auto"/>
            <w:vAlign w:val="center"/>
          </w:tcPr>
          <w:p w14:paraId="34C3AF7E" w14:textId="77777777" w:rsidR="00050FB4" w:rsidRPr="00404DA5" w:rsidRDefault="00050FB4" w:rsidP="00050FB4">
            <w:pPr>
              <w:jc w:val="center"/>
              <w:rPr>
                <w:rFonts w:cs="Calibri"/>
                <w:sz w:val="16"/>
                <w:szCs w:val="18"/>
              </w:rPr>
            </w:pPr>
            <w:r w:rsidRPr="00404DA5">
              <w:rPr>
                <w:rFonts w:cs="Calibri"/>
                <w:sz w:val="16"/>
                <w:szCs w:val="18"/>
              </w:rPr>
              <w:t>56%</w:t>
            </w:r>
          </w:p>
        </w:tc>
      </w:tr>
      <w:tr w:rsidR="00050FB4" w:rsidRPr="0069584C" w14:paraId="28FA8AE9" w14:textId="77777777" w:rsidTr="00050FB4">
        <w:tc>
          <w:tcPr>
            <w:tcW w:w="0" w:type="auto"/>
            <w:shd w:val="clear" w:color="auto" w:fill="auto"/>
            <w:vAlign w:val="center"/>
          </w:tcPr>
          <w:p w14:paraId="2302662C"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2E167BEE"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2F9D1A0D" w14:textId="77777777" w:rsidR="00050FB4" w:rsidRPr="00404DA5" w:rsidRDefault="00050FB4" w:rsidP="00050FB4">
            <w:pPr>
              <w:jc w:val="cente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 xml:space="preserve">placówek systemu oświaty wykorzystujących sprzęt TIK do prowadzenia zajęć edukacyjnych </w:t>
            </w:r>
          </w:p>
        </w:tc>
        <w:tc>
          <w:tcPr>
            <w:tcW w:w="0" w:type="auto"/>
            <w:shd w:val="clear" w:color="auto" w:fill="auto"/>
            <w:vAlign w:val="center"/>
          </w:tcPr>
          <w:p w14:paraId="38FD2E3A" w14:textId="77777777" w:rsidR="00050FB4" w:rsidRDefault="00050FB4" w:rsidP="00050FB4">
            <w:pPr>
              <w:jc w:val="center"/>
              <w:rPr>
                <w:rFonts w:cs="Calibri"/>
                <w:sz w:val="16"/>
                <w:szCs w:val="18"/>
              </w:rPr>
            </w:pPr>
            <w:r>
              <w:rPr>
                <w:rFonts w:cs="Calibri"/>
                <w:sz w:val="16"/>
                <w:szCs w:val="18"/>
              </w:rPr>
              <w:t>%</w:t>
            </w:r>
          </w:p>
          <w:p w14:paraId="63E3482D" w14:textId="77777777" w:rsidR="00050FB4" w:rsidRPr="00404DA5" w:rsidRDefault="00050FB4" w:rsidP="00050FB4">
            <w:pPr>
              <w:jc w:val="center"/>
              <w:rPr>
                <w:rFonts w:cs="Calibri"/>
                <w:sz w:val="16"/>
                <w:szCs w:val="18"/>
              </w:rPr>
            </w:pPr>
            <w:r>
              <w:rPr>
                <w:rFonts w:cs="Calibri"/>
                <w:sz w:val="16"/>
                <w:szCs w:val="18"/>
              </w:rPr>
              <w:t xml:space="preserve"> (</w:t>
            </w:r>
            <w:r w:rsidRPr="00404DA5">
              <w:rPr>
                <w:rFonts w:cs="Calibri"/>
                <w:sz w:val="16"/>
                <w:szCs w:val="18"/>
              </w:rPr>
              <w:t>Szt.</w:t>
            </w:r>
            <w:r>
              <w:rPr>
                <w:rFonts w:cs="Calibri"/>
                <w:sz w:val="16"/>
                <w:szCs w:val="18"/>
              </w:rPr>
              <w:t>)</w:t>
            </w:r>
          </w:p>
        </w:tc>
        <w:tc>
          <w:tcPr>
            <w:tcW w:w="0" w:type="auto"/>
            <w:shd w:val="clear" w:color="auto" w:fill="auto"/>
            <w:vAlign w:val="center"/>
          </w:tcPr>
          <w:p w14:paraId="2154CFC6" w14:textId="77777777" w:rsidR="00050FB4" w:rsidRPr="00404DA5" w:rsidRDefault="00050FB4" w:rsidP="00050FB4">
            <w:pPr>
              <w:jc w:val="center"/>
              <w:rPr>
                <w:rFonts w:cs="Calibri"/>
                <w:sz w:val="16"/>
                <w:szCs w:val="18"/>
              </w:rPr>
            </w:pPr>
            <w:r w:rsidRPr="00404DA5">
              <w:rPr>
                <w:rFonts w:cs="Calibri"/>
                <w:sz w:val="16"/>
                <w:szCs w:val="18"/>
              </w:rPr>
              <w:t>97%</w:t>
            </w:r>
          </w:p>
        </w:tc>
        <w:tc>
          <w:tcPr>
            <w:tcW w:w="0" w:type="auto"/>
            <w:shd w:val="clear" w:color="auto" w:fill="auto"/>
            <w:vAlign w:val="center"/>
          </w:tcPr>
          <w:p w14:paraId="4DB3A836" w14:textId="77777777" w:rsidR="00050FB4" w:rsidRDefault="00050FB4" w:rsidP="00050FB4">
            <w:pPr>
              <w:jc w:val="center"/>
              <w:rPr>
                <w:rFonts w:cs="Calibri"/>
                <w:sz w:val="16"/>
                <w:szCs w:val="18"/>
              </w:rPr>
            </w:pPr>
            <w:r>
              <w:rPr>
                <w:rFonts w:cs="Calibri"/>
                <w:sz w:val="16"/>
                <w:szCs w:val="18"/>
              </w:rPr>
              <w:t>97,3%</w:t>
            </w:r>
          </w:p>
          <w:p w14:paraId="0048EBD3"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213</w:t>
            </w:r>
            <w:r>
              <w:rPr>
                <w:rFonts w:cs="Calibri"/>
                <w:sz w:val="16"/>
                <w:szCs w:val="18"/>
              </w:rPr>
              <w:t>)</w:t>
            </w:r>
          </w:p>
        </w:tc>
        <w:tc>
          <w:tcPr>
            <w:tcW w:w="0" w:type="auto"/>
            <w:shd w:val="clear" w:color="auto" w:fill="auto"/>
            <w:vAlign w:val="center"/>
          </w:tcPr>
          <w:p w14:paraId="088BA6B7" w14:textId="77777777" w:rsidR="00050FB4" w:rsidRPr="00404DA5" w:rsidRDefault="00050FB4" w:rsidP="00050FB4">
            <w:pPr>
              <w:jc w:val="center"/>
              <w:rPr>
                <w:rFonts w:cs="Calibri"/>
                <w:sz w:val="16"/>
                <w:szCs w:val="18"/>
              </w:rPr>
            </w:pPr>
            <w:r w:rsidRPr="00404DA5">
              <w:rPr>
                <w:rFonts w:cs="Calibri"/>
                <w:sz w:val="16"/>
                <w:szCs w:val="18"/>
              </w:rPr>
              <w:t>100%</w:t>
            </w:r>
          </w:p>
        </w:tc>
        <w:tc>
          <w:tcPr>
            <w:tcW w:w="0" w:type="auto"/>
            <w:shd w:val="clear" w:color="auto" w:fill="auto"/>
            <w:vAlign w:val="center"/>
          </w:tcPr>
          <w:p w14:paraId="708782A3" w14:textId="77777777" w:rsidR="00050FB4" w:rsidRDefault="00050FB4" w:rsidP="00050FB4">
            <w:pPr>
              <w:jc w:val="center"/>
              <w:rPr>
                <w:rFonts w:cs="Calibri"/>
                <w:sz w:val="16"/>
                <w:szCs w:val="18"/>
              </w:rPr>
            </w:pPr>
            <w:r>
              <w:rPr>
                <w:rFonts w:cs="Calibri"/>
                <w:sz w:val="16"/>
                <w:szCs w:val="18"/>
              </w:rPr>
              <w:t>0%</w:t>
            </w:r>
          </w:p>
          <w:p w14:paraId="19AB8C5D"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0</w:t>
            </w:r>
            <w:r>
              <w:rPr>
                <w:rFonts w:cs="Calibri"/>
                <w:sz w:val="16"/>
                <w:szCs w:val="18"/>
              </w:rPr>
              <w:t>)</w:t>
            </w:r>
          </w:p>
        </w:tc>
        <w:tc>
          <w:tcPr>
            <w:tcW w:w="0" w:type="auto"/>
            <w:shd w:val="clear" w:color="auto" w:fill="auto"/>
            <w:vAlign w:val="center"/>
          </w:tcPr>
          <w:p w14:paraId="6534785E" w14:textId="77777777" w:rsidR="00050FB4" w:rsidRPr="00404DA5" w:rsidRDefault="00050FB4" w:rsidP="00050FB4">
            <w:pPr>
              <w:jc w:val="center"/>
              <w:rPr>
                <w:rFonts w:cs="Calibri"/>
                <w:sz w:val="16"/>
                <w:szCs w:val="18"/>
              </w:rPr>
            </w:pPr>
            <w:r w:rsidRPr="00404DA5">
              <w:rPr>
                <w:rFonts w:cs="Calibri"/>
                <w:sz w:val="16"/>
                <w:szCs w:val="18"/>
              </w:rPr>
              <w:t>0%</w:t>
            </w:r>
          </w:p>
        </w:tc>
      </w:tr>
      <w:tr w:rsidR="00050FB4" w:rsidRPr="0069584C" w14:paraId="0C8A8797" w14:textId="77777777" w:rsidTr="00050FB4">
        <w:tc>
          <w:tcPr>
            <w:tcW w:w="0" w:type="auto"/>
            <w:shd w:val="clear" w:color="auto" w:fill="auto"/>
            <w:vAlign w:val="center"/>
          </w:tcPr>
          <w:p w14:paraId="2EAFE18A"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2C6C3D41"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4F76C373" w14:textId="77777777" w:rsidR="00050FB4" w:rsidRPr="00404DA5" w:rsidRDefault="00050FB4" w:rsidP="00050FB4">
            <w:pPr>
              <w:jc w:val="cente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systemu oświaty wyposażonych</w:t>
            </w:r>
            <w:r w:rsidR="00E66B89">
              <w:rPr>
                <w:rFonts w:cs="Calibri"/>
                <w:sz w:val="16"/>
                <w:szCs w:val="18"/>
              </w:rPr>
              <w:t xml:space="preserve"> w </w:t>
            </w:r>
            <w:r w:rsidRPr="00404DA5">
              <w:rPr>
                <w:rFonts w:cs="Calibri"/>
                <w:sz w:val="16"/>
                <w:szCs w:val="18"/>
              </w:rPr>
              <w:t>ramach programu</w:t>
            </w:r>
            <w:r w:rsidR="00E66B89">
              <w:rPr>
                <w:rFonts w:cs="Calibri"/>
                <w:sz w:val="16"/>
                <w:szCs w:val="18"/>
              </w:rPr>
              <w:t xml:space="preserve"> w </w:t>
            </w:r>
            <w:r w:rsidRPr="00404DA5">
              <w:rPr>
                <w:rFonts w:cs="Calibri"/>
                <w:sz w:val="16"/>
                <w:szCs w:val="18"/>
              </w:rPr>
              <w:t xml:space="preserve">sprzęt TIK do prowadzenia zajęć edukacyjnych </w:t>
            </w:r>
          </w:p>
        </w:tc>
        <w:tc>
          <w:tcPr>
            <w:tcW w:w="0" w:type="auto"/>
            <w:shd w:val="clear" w:color="auto" w:fill="auto"/>
            <w:vAlign w:val="center"/>
          </w:tcPr>
          <w:p w14:paraId="1A34EEA4" w14:textId="77777777" w:rsidR="00050FB4" w:rsidRPr="00404DA5" w:rsidRDefault="00050FB4" w:rsidP="00050FB4">
            <w:pPr>
              <w:jc w:val="center"/>
              <w:rPr>
                <w:rFonts w:cs="Calibri"/>
                <w:sz w:val="16"/>
                <w:szCs w:val="18"/>
              </w:rPr>
            </w:pPr>
            <w:r w:rsidRPr="00404DA5">
              <w:rPr>
                <w:rFonts w:cs="Calibri"/>
                <w:sz w:val="16"/>
                <w:szCs w:val="18"/>
              </w:rPr>
              <w:t>Szt.</w:t>
            </w:r>
          </w:p>
        </w:tc>
        <w:tc>
          <w:tcPr>
            <w:tcW w:w="0" w:type="auto"/>
            <w:shd w:val="clear" w:color="auto" w:fill="auto"/>
            <w:vAlign w:val="center"/>
          </w:tcPr>
          <w:p w14:paraId="7BB3D793" w14:textId="77777777" w:rsidR="00050FB4" w:rsidRPr="00404DA5" w:rsidRDefault="00050FB4" w:rsidP="00050FB4">
            <w:pPr>
              <w:jc w:val="center"/>
              <w:rPr>
                <w:rFonts w:cs="Calibri"/>
                <w:sz w:val="16"/>
                <w:szCs w:val="18"/>
              </w:rPr>
            </w:pPr>
            <w:r w:rsidRPr="00404DA5">
              <w:rPr>
                <w:rFonts w:cs="Calibri"/>
                <w:sz w:val="16"/>
                <w:szCs w:val="18"/>
              </w:rPr>
              <w:t>80</w:t>
            </w:r>
          </w:p>
        </w:tc>
        <w:tc>
          <w:tcPr>
            <w:tcW w:w="0" w:type="auto"/>
            <w:shd w:val="clear" w:color="auto" w:fill="auto"/>
            <w:vAlign w:val="center"/>
          </w:tcPr>
          <w:p w14:paraId="3D6225FA" w14:textId="77777777" w:rsidR="00050FB4" w:rsidRPr="00404DA5" w:rsidRDefault="00050FB4" w:rsidP="00050FB4">
            <w:pPr>
              <w:jc w:val="center"/>
              <w:rPr>
                <w:rFonts w:cs="Calibri"/>
                <w:sz w:val="16"/>
                <w:szCs w:val="18"/>
              </w:rPr>
            </w:pPr>
            <w:r w:rsidRPr="00404DA5">
              <w:rPr>
                <w:rFonts w:cs="Calibri"/>
                <w:sz w:val="16"/>
                <w:szCs w:val="18"/>
              </w:rPr>
              <w:t>219</w:t>
            </w:r>
          </w:p>
        </w:tc>
        <w:tc>
          <w:tcPr>
            <w:tcW w:w="0" w:type="auto"/>
            <w:shd w:val="clear" w:color="auto" w:fill="auto"/>
            <w:vAlign w:val="center"/>
          </w:tcPr>
          <w:p w14:paraId="7957C028" w14:textId="77777777" w:rsidR="00050FB4" w:rsidRPr="00404DA5" w:rsidRDefault="00050FB4" w:rsidP="00050FB4">
            <w:pPr>
              <w:jc w:val="center"/>
              <w:rPr>
                <w:rFonts w:cs="Calibri"/>
                <w:sz w:val="16"/>
                <w:szCs w:val="18"/>
              </w:rPr>
            </w:pPr>
            <w:r w:rsidRPr="00404DA5">
              <w:rPr>
                <w:rFonts w:cs="Calibri"/>
                <w:sz w:val="16"/>
                <w:szCs w:val="18"/>
              </w:rPr>
              <w:t>274%</w:t>
            </w:r>
          </w:p>
        </w:tc>
        <w:tc>
          <w:tcPr>
            <w:tcW w:w="0" w:type="auto"/>
            <w:shd w:val="clear" w:color="auto" w:fill="auto"/>
            <w:vAlign w:val="center"/>
          </w:tcPr>
          <w:p w14:paraId="3673C4A7" w14:textId="77777777" w:rsidR="00050FB4" w:rsidRPr="00404DA5" w:rsidRDefault="00050FB4" w:rsidP="00050FB4">
            <w:pPr>
              <w:jc w:val="center"/>
              <w:rPr>
                <w:rFonts w:cs="Calibri"/>
                <w:sz w:val="16"/>
                <w:szCs w:val="18"/>
              </w:rPr>
            </w:pPr>
            <w:r w:rsidRPr="00404DA5">
              <w:rPr>
                <w:rFonts w:cs="Calibri"/>
                <w:sz w:val="16"/>
                <w:szCs w:val="18"/>
              </w:rPr>
              <w:t>152</w:t>
            </w:r>
          </w:p>
        </w:tc>
        <w:tc>
          <w:tcPr>
            <w:tcW w:w="0" w:type="auto"/>
            <w:shd w:val="clear" w:color="auto" w:fill="auto"/>
            <w:vAlign w:val="center"/>
          </w:tcPr>
          <w:p w14:paraId="124C19E8" w14:textId="77777777" w:rsidR="00050FB4" w:rsidRPr="00404DA5" w:rsidRDefault="00050FB4" w:rsidP="00050FB4">
            <w:pPr>
              <w:jc w:val="center"/>
              <w:rPr>
                <w:rFonts w:cs="Calibri"/>
                <w:sz w:val="16"/>
                <w:szCs w:val="18"/>
              </w:rPr>
            </w:pPr>
            <w:r w:rsidRPr="00404DA5">
              <w:rPr>
                <w:rFonts w:cs="Calibri"/>
                <w:sz w:val="16"/>
                <w:szCs w:val="18"/>
              </w:rPr>
              <w:t>190%</w:t>
            </w:r>
          </w:p>
        </w:tc>
      </w:tr>
      <w:tr w:rsidR="00050FB4" w:rsidRPr="0069584C" w14:paraId="3C0D065B" w14:textId="77777777" w:rsidTr="00050FB4">
        <w:tc>
          <w:tcPr>
            <w:tcW w:w="0" w:type="auto"/>
            <w:shd w:val="clear" w:color="auto" w:fill="auto"/>
            <w:vAlign w:val="center"/>
          </w:tcPr>
          <w:p w14:paraId="39806913"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0E4BC0BE"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0B2DED67" w14:textId="77777777" w:rsidR="00050FB4" w:rsidRPr="00404DA5" w:rsidRDefault="00050FB4" w:rsidP="00050FB4">
            <w:pPr>
              <w:jc w:val="center"/>
              <w:rPr>
                <w:rFonts w:cs="Calibri"/>
                <w:sz w:val="16"/>
                <w:szCs w:val="18"/>
              </w:rPr>
            </w:pPr>
            <w:r w:rsidRPr="00404DA5">
              <w:rPr>
                <w:rFonts w:cs="Calibri"/>
                <w:sz w:val="16"/>
                <w:szCs w:val="18"/>
              </w:rPr>
              <w:t>Liczba szkół, których pracownie przedmiotowe zostały doposażone</w:t>
            </w:r>
            <w:r w:rsidR="00E66B89">
              <w:rPr>
                <w:rFonts w:cs="Calibri"/>
                <w:sz w:val="16"/>
                <w:szCs w:val="18"/>
              </w:rPr>
              <w:t xml:space="preserve"> w </w:t>
            </w:r>
            <w:r w:rsidRPr="00404DA5">
              <w:rPr>
                <w:rFonts w:cs="Calibri"/>
                <w:sz w:val="16"/>
                <w:szCs w:val="18"/>
              </w:rPr>
              <w:t>programie</w:t>
            </w:r>
          </w:p>
        </w:tc>
        <w:tc>
          <w:tcPr>
            <w:tcW w:w="0" w:type="auto"/>
            <w:shd w:val="clear" w:color="auto" w:fill="auto"/>
            <w:vAlign w:val="center"/>
          </w:tcPr>
          <w:p w14:paraId="7BF93A9E" w14:textId="77777777" w:rsidR="00050FB4" w:rsidRPr="00404DA5" w:rsidRDefault="00050FB4" w:rsidP="00050FB4">
            <w:pPr>
              <w:jc w:val="center"/>
              <w:rPr>
                <w:rFonts w:cs="Calibri"/>
                <w:sz w:val="16"/>
                <w:szCs w:val="18"/>
              </w:rPr>
            </w:pPr>
            <w:r w:rsidRPr="00404DA5">
              <w:rPr>
                <w:rFonts w:cs="Calibri"/>
                <w:sz w:val="16"/>
                <w:szCs w:val="18"/>
              </w:rPr>
              <w:t>Szt.</w:t>
            </w:r>
          </w:p>
        </w:tc>
        <w:tc>
          <w:tcPr>
            <w:tcW w:w="0" w:type="auto"/>
            <w:shd w:val="clear" w:color="auto" w:fill="auto"/>
            <w:vAlign w:val="center"/>
          </w:tcPr>
          <w:p w14:paraId="234AB410" w14:textId="77777777" w:rsidR="00050FB4" w:rsidRPr="00404DA5" w:rsidRDefault="00050FB4" w:rsidP="00050FB4">
            <w:pPr>
              <w:jc w:val="center"/>
              <w:rPr>
                <w:rFonts w:cs="Calibri"/>
                <w:sz w:val="16"/>
                <w:szCs w:val="18"/>
              </w:rPr>
            </w:pPr>
            <w:r w:rsidRPr="00404DA5">
              <w:rPr>
                <w:rFonts w:cs="Calibri"/>
                <w:sz w:val="16"/>
                <w:szCs w:val="18"/>
              </w:rPr>
              <w:t>124</w:t>
            </w:r>
          </w:p>
        </w:tc>
        <w:tc>
          <w:tcPr>
            <w:tcW w:w="0" w:type="auto"/>
            <w:shd w:val="clear" w:color="auto" w:fill="auto"/>
            <w:vAlign w:val="center"/>
          </w:tcPr>
          <w:p w14:paraId="03EA9C9D" w14:textId="77777777" w:rsidR="00050FB4" w:rsidRPr="00404DA5" w:rsidRDefault="00050FB4" w:rsidP="00050FB4">
            <w:pPr>
              <w:jc w:val="center"/>
              <w:rPr>
                <w:rFonts w:cs="Calibri"/>
                <w:sz w:val="16"/>
                <w:szCs w:val="18"/>
              </w:rPr>
            </w:pPr>
            <w:r w:rsidRPr="00404DA5">
              <w:rPr>
                <w:rFonts w:cs="Calibri"/>
                <w:sz w:val="16"/>
                <w:szCs w:val="18"/>
              </w:rPr>
              <w:t>225</w:t>
            </w:r>
          </w:p>
        </w:tc>
        <w:tc>
          <w:tcPr>
            <w:tcW w:w="0" w:type="auto"/>
            <w:shd w:val="clear" w:color="auto" w:fill="auto"/>
            <w:vAlign w:val="center"/>
          </w:tcPr>
          <w:p w14:paraId="5A86DB7F" w14:textId="77777777" w:rsidR="00050FB4" w:rsidRPr="00404DA5" w:rsidRDefault="00050FB4" w:rsidP="00050FB4">
            <w:pPr>
              <w:jc w:val="center"/>
              <w:rPr>
                <w:rFonts w:cs="Calibri"/>
                <w:sz w:val="16"/>
                <w:szCs w:val="18"/>
              </w:rPr>
            </w:pPr>
            <w:r w:rsidRPr="00404DA5">
              <w:rPr>
                <w:rFonts w:cs="Calibri"/>
                <w:sz w:val="16"/>
                <w:szCs w:val="18"/>
              </w:rPr>
              <w:t>181%</w:t>
            </w:r>
          </w:p>
        </w:tc>
        <w:tc>
          <w:tcPr>
            <w:tcW w:w="0" w:type="auto"/>
            <w:shd w:val="clear" w:color="auto" w:fill="auto"/>
            <w:vAlign w:val="center"/>
          </w:tcPr>
          <w:p w14:paraId="029F7447" w14:textId="77777777" w:rsidR="00050FB4" w:rsidRPr="00404DA5" w:rsidRDefault="00050FB4" w:rsidP="00050FB4">
            <w:pPr>
              <w:jc w:val="center"/>
              <w:rPr>
                <w:rFonts w:cs="Calibri"/>
                <w:sz w:val="16"/>
                <w:szCs w:val="18"/>
              </w:rPr>
            </w:pPr>
            <w:r w:rsidRPr="00404DA5">
              <w:rPr>
                <w:rFonts w:cs="Calibri"/>
                <w:sz w:val="16"/>
                <w:szCs w:val="18"/>
              </w:rPr>
              <w:t>134</w:t>
            </w:r>
          </w:p>
        </w:tc>
        <w:tc>
          <w:tcPr>
            <w:tcW w:w="0" w:type="auto"/>
            <w:shd w:val="clear" w:color="auto" w:fill="auto"/>
            <w:vAlign w:val="center"/>
          </w:tcPr>
          <w:p w14:paraId="3A3C72CD" w14:textId="77777777" w:rsidR="00050FB4" w:rsidRPr="00404DA5" w:rsidRDefault="00050FB4" w:rsidP="00050FB4">
            <w:pPr>
              <w:jc w:val="center"/>
              <w:rPr>
                <w:rFonts w:cs="Calibri"/>
                <w:sz w:val="16"/>
                <w:szCs w:val="18"/>
              </w:rPr>
            </w:pPr>
            <w:r w:rsidRPr="00404DA5">
              <w:rPr>
                <w:rFonts w:cs="Calibri"/>
                <w:sz w:val="16"/>
                <w:szCs w:val="18"/>
              </w:rPr>
              <w:t>108%</w:t>
            </w:r>
          </w:p>
        </w:tc>
      </w:tr>
      <w:tr w:rsidR="00050FB4" w:rsidRPr="0069584C" w14:paraId="27160051" w14:textId="77777777" w:rsidTr="00050FB4">
        <w:tc>
          <w:tcPr>
            <w:tcW w:w="0" w:type="auto"/>
            <w:shd w:val="clear" w:color="auto" w:fill="auto"/>
            <w:vAlign w:val="center"/>
          </w:tcPr>
          <w:p w14:paraId="5AB9A068"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1E4B9D56"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55DFA0C4" w14:textId="77777777" w:rsidR="00050FB4" w:rsidRPr="00404DA5" w:rsidRDefault="00050FB4" w:rsidP="00050FB4">
            <w:pPr>
              <w:jc w:val="center"/>
              <w:rPr>
                <w:rFonts w:cs="Calibri"/>
                <w:sz w:val="16"/>
                <w:szCs w:val="18"/>
              </w:rPr>
            </w:pPr>
            <w:r w:rsidRPr="00404DA5">
              <w:rPr>
                <w:rFonts w:cs="Calibri"/>
                <w:sz w:val="16"/>
                <w:szCs w:val="18"/>
              </w:rPr>
              <w:t>Liczba szkół,</w:t>
            </w:r>
            <w:r w:rsidR="00E66B89">
              <w:rPr>
                <w:rFonts w:cs="Calibri"/>
                <w:sz w:val="16"/>
                <w:szCs w:val="18"/>
              </w:rPr>
              <w:t xml:space="preserve"> w </w:t>
            </w:r>
            <w:r w:rsidRPr="00404DA5">
              <w:rPr>
                <w:rFonts w:cs="Calibri"/>
                <w:sz w:val="16"/>
                <w:szCs w:val="18"/>
              </w:rPr>
              <w:t xml:space="preserve">których pracownie przedmiotowe wykorzystują doposażenie do prowadzenia zajęć edukacyjnych </w:t>
            </w:r>
          </w:p>
        </w:tc>
        <w:tc>
          <w:tcPr>
            <w:tcW w:w="0" w:type="auto"/>
            <w:shd w:val="clear" w:color="auto" w:fill="auto"/>
            <w:vAlign w:val="center"/>
          </w:tcPr>
          <w:p w14:paraId="7F2765B4" w14:textId="77777777" w:rsidR="00050FB4" w:rsidRDefault="00050FB4" w:rsidP="00050FB4">
            <w:pPr>
              <w:jc w:val="center"/>
              <w:rPr>
                <w:rFonts w:cs="Calibri"/>
                <w:sz w:val="16"/>
                <w:szCs w:val="18"/>
              </w:rPr>
            </w:pPr>
            <w:r>
              <w:rPr>
                <w:rFonts w:cs="Calibri"/>
                <w:sz w:val="16"/>
                <w:szCs w:val="18"/>
              </w:rPr>
              <w:t>%</w:t>
            </w:r>
          </w:p>
          <w:p w14:paraId="257596D0" w14:textId="77777777" w:rsidR="00050FB4" w:rsidRPr="00404DA5" w:rsidRDefault="00050FB4" w:rsidP="00050FB4">
            <w:pPr>
              <w:jc w:val="center"/>
              <w:rPr>
                <w:rFonts w:cs="Calibri"/>
                <w:sz w:val="16"/>
                <w:szCs w:val="18"/>
              </w:rPr>
            </w:pPr>
            <w:r>
              <w:rPr>
                <w:rFonts w:cs="Calibri"/>
                <w:sz w:val="16"/>
                <w:szCs w:val="18"/>
              </w:rPr>
              <w:t>(Szt.)</w:t>
            </w:r>
          </w:p>
        </w:tc>
        <w:tc>
          <w:tcPr>
            <w:tcW w:w="0" w:type="auto"/>
            <w:shd w:val="clear" w:color="auto" w:fill="auto"/>
            <w:vAlign w:val="center"/>
          </w:tcPr>
          <w:p w14:paraId="2B277D1C" w14:textId="77777777" w:rsidR="00050FB4" w:rsidRPr="00404DA5" w:rsidRDefault="00050FB4" w:rsidP="00050FB4">
            <w:pPr>
              <w:jc w:val="center"/>
              <w:rPr>
                <w:rFonts w:cs="Calibri"/>
                <w:sz w:val="16"/>
                <w:szCs w:val="18"/>
              </w:rPr>
            </w:pPr>
            <w:r w:rsidRPr="00404DA5">
              <w:rPr>
                <w:rFonts w:cs="Calibri"/>
                <w:sz w:val="16"/>
                <w:szCs w:val="18"/>
              </w:rPr>
              <w:t>97%</w:t>
            </w:r>
          </w:p>
        </w:tc>
        <w:tc>
          <w:tcPr>
            <w:tcW w:w="0" w:type="auto"/>
            <w:shd w:val="clear" w:color="auto" w:fill="auto"/>
            <w:vAlign w:val="center"/>
          </w:tcPr>
          <w:p w14:paraId="24F762F5" w14:textId="77777777" w:rsidR="00050FB4" w:rsidRDefault="00050FB4" w:rsidP="00050FB4">
            <w:pPr>
              <w:jc w:val="center"/>
              <w:rPr>
                <w:rFonts w:cs="Calibri"/>
                <w:sz w:val="16"/>
                <w:szCs w:val="18"/>
              </w:rPr>
            </w:pPr>
            <w:r>
              <w:rPr>
                <w:rFonts w:cs="Calibri"/>
                <w:sz w:val="16"/>
                <w:szCs w:val="18"/>
              </w:rPr>
              <w:t>100%</w:t>
            </w:r>
          </w:p>
          <w:p w14:paraId="419C04EE"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225</w:t>
            </w:r>
            <w:r>
              <w:rPr>
                <w:rFonts w:cs="Calibri"/>
                <w:sz w:val="16"/>
                <w:szCs w:val="18"/>
              </w:rPr>
              <w:t>)</w:t>
            </w:r>
          </w:p>
        </w:tc>
        <w:tc>
          <w:tcPr>
            <w:tcW w:w="0" w:type="auto"/>
            <w:shd w:val="clear" w:color="auto" w:fill="auto"/>
            <w:vAlign w:val="center"/>
          </w:tcPr>
          <w:p w14:paraId="1975F395" w14:textId="77777777" w:rsidR="00050FB4" w:rsidRPr="00404DA5" w:rsidRDefault="00050FB4" w:rsidP="00050FB4">
            <w:pPr>
              <w:jc w:val="center"/>
              <w:rPr>
                <w:rFonts w:cs="Calibri"/>
                <w:sz w:val="16"/>
                <w:szCs w:val="18"/>
              </w:rPr>
            </w:pPr>
            <w:r w:rsidRPr="00404DA5">
              <w:rPr>
                <w:rFonts w:cs="Calibri"/>
                <w:sz w:val="16"/>
                <w:szCs w:val="18"/>
              </w:rPr>
              <w:t>103%</w:t>
            </w:r>
          </w:p>
        </w:tc>
        <w:tc>
          <w:tcPr>
            <w:tcW w:w="0" w:type="auto"/>
            <w:shd w:val="clear" w:color="auto" w:fill="auto"/>
            <w:vAlign w:val="center"/>
          </w:tcPr>
          <w:p w14:paraId="5D0E5BCA" w14:textId="77777777" w:rsidR="00050FB4" w:rsidRDefault="00050FB4" w:rsidP="00050FB4">
            <w:pPr>
              <w:jc w:val="center"/>
              <w:rPr>
                <w:rFonts w:cs="Calibri"/>
                <w:sz w:val="16"/>
                <w:szCs w:val="18"/>
              </w:rPr>
            </w:pPr>
            <w:r>
              <w:rPr>
                <w:rFonts w:cs="Calibri"/>
                <w:sz w:val="16"/>
                <w:szCs w:val="18"/>
              </w:rPr>
              <w:t>0%</w:t>
            </w:r>
          </w:p>
          <w:p w14:paraId="0AE44B39"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0</w:t>
            </w:r>
            <w:r>
              <w:rPr>
                <w:rFonts w:cs="Calibri"/>
                <w:sz w:val="16"/>
                <w:szCs w:val="18"/>
              </w:rPr>
              <w:t>)</w:t>
            </w:r>
          </w:p>
        </w:tc>
        <w:tc>
          <w:tcPr>
            <w:tcW w:w="0" w:type="auto"/>
            <w:shd w:val="clear" w:color="auto" w:fill="auto"/>
            <w:vAlign w:val="center"/>
          </w:tcPr>
          <w:p w14:paraId="73268054" w14:textId="77777777" w:rsidR="00050FB4" w:rsidRPr="00404DA5" w:rsidRDefault="00050FB4" w:rsidP="00050FB4">
            <w:pPr>
              <w:jc w:val="center"/>
              <w:rPr>
                <w:rFonts w:cs="Calibri"/>
                <w:sz w:val="16"/>
                <w:szCs w:val="18"/>
              </w:rPr>
            </w:pPr>
            <w:r w:rsidRPr="00404DA5">
              <w:rPr>
                <w:rFonts w:cs="Calibri"/>
                <w:sz w:val="16"/>
                <w:szCs w:val="18"/>
              </w:rPr>
              <w:t>0%</w:t>
            </w:r>
          </w:p>
        </w:tc>
      </w:tr>
      <w:tr w:rsidR="00050FB4" w:rsidRPr="0069584C" w14:paraId="188A4F79" w14:textId="77777777" w:rsidTr="00050FB4">
        <w:tc>
          <w:tcPr>
            <w:tcW w:w="0" w:type="auto"/>
            <w:shd w:val="clear" w:color="auto" w:fill="auto"/>
            <w:vAlign w:val="center"/>
          </w:tcPr>
          <w:p w14:paraId="1216E930"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13FC8E0A"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5AE1C091" w14:textId="77777777" w:rsidR="00050FB4" w:rsidRPr="00404DA5" w:rsidRDefault="00050FB4" w:rsidP="00050FB4">
            <w:pPr>
              <w:jc w:val="center"/>
              <w:rPr>
                <w:rFonts w:cs="Calibri"/>
                <w:sz w:val="16"/>
                <w:szCs w:val="18"/>
              </w:rPr>
            </w:pPr>
            <w:bookmarkStart w:id="312" w:name="_Hlk3452334"/>
            <w:r w:rsidRPr="00404DA5">
              <w:rPr>
                <w:rFonts w:cs="Calibri"/>
                <w:sz w:val="16"/>
                <w:szCs w:val="18"/>
              </w:rPr>
              <w:t>Liczba uczniów objętych wsparciem</w:t>
            </w:r>
            <w:r w:rsidR="00E66B89">
              <w:rPr>
                <w:rFonts w:cs="Calibri"/>
                <w:sz w:val="16"/>
                <w:szCs w:val="18"/>
              </w:rPr>
              <w:t xml:space="preserve"> w </w:t>
            </w:r>
            <w:r w:rsidRPr="00404DA5">
              <w:rPr>
                <w:rFonts w:cs="Calibri"/>
                <w:sz w:val="16"/>
                <w:szCs w:val="18"/>
              </w:rPr>
              <w:t xml:space="preserve">zakresie rozwijania kompetencji </w:t>
            </w:r>
            <w:r w:rsidRPr="00404DA5">
              <w:rPr>
                <w:rFonts w:cs="Calibri"/>
                <w:sz w:val="16"/>
                <w:szCs w:val="18"/>
              </w:rPr>
              <w:lastRenderedPageBreak/>
              <w:t>kluczowych lub umiejętności uniwersalnych</w:t>
            </w:r>
            <w:r w:rsidR="00E66B89">
              <w:rPr>
                <w:rFonts w:cs="Calibri"/>
                <w:sz w:val="16"/>
                <w:szCs w:val="18"/>
              </w:rPr>
              <w:t xml:space="preserve"> w </w:t>
            </w:r>
            <w:r w:rsidRPr="00404DA5">
              <w:rPr>
                <w:rFonts w:cs="Calibri"/>
                <w:sz w:val="16"/>
                <w:szCs w:val="18"/>
              </w:rPr>
              <w:t xml:space="preserve">programie </w:t>
            </w:r>
            <w:bookmarkEnd w:id="312"/>
          </w:p>
        </w:tc>
        <w:tc>
          <w:tcPr>
            <w:tcW w:w="0" w:type="auto"/>
            <w:shd w:val="clear" w:color="auto" w:fill="auto"/>
            <w:vAlign w:val="center"/>
          </w:tcPr>
          <w:p w14:paraId="21A55797" w14:textId="77777777" w:rsidR="00050FB4" w:rsidRPr="00404DA5" w:rsidRDefault="00050FB4" w:rsidP="00050FB4">
            <w:pPr>
              <w:jc w:val="center"/>
              <w:rPr>
                <w:rFonts w:cs="Calibri"/>
                <w:sz w:val="16"/>
                <w:szCs w:val="18"/>
              </w:rPr>
            </w:pPr>
            <w:r w:rsidRPr="00404DA5">
              <w:rPr>
                <w:rFonts w:cs="Calibri"/>
                <w:sz w:val="16"/>
                <w:szCs w:val="18"/>
              </w:rPr>
              <w:lastRenderedPageBreak/>
              <w:t>Os.</w:t>
            </w:r>
          </w:p>
        </w:tc>
        <w:tc>
          <w:tcPr>
            <w:tcW w:w="0" w:type="auto"/>
            <w:shd w:val="clear" w:color="auto" w:fill="auto"/>
            <w:vAlign w:val="center"/>
          </w:tcPr>
          <w:p w14:paraId="5F1DF852" w14:textId="77777777" w:rsidR="00050FB4" w:rsidRPr="00404DA5" w:rsidRDefault="00050FB4" w:rsidP="00050FB4">
            <w:pPr>
              <w:jc w:val="center"/>
              <w:rPr>
                <w:rFonts w:cs="Calibri"/>
                <w:sz w:val="16"/>
                <w:szCs w:val="18"/>
              </w:rPr>
            </w:pPr>
            <w:r w:rsidRPr="00404DA5">
              <w:rPr>
                <w:rFonts w:cs="Calibri"/>
                <w:sz w:val="16"/>
                <w:szCs w:val="18"/>
              </w:rPr>
              <w:t>6427</w:t>
            </w:r>
          </w:p>
        </w:tc>
        <w:tc>
          <w:tcPr>
            <w:tcW w:w="0" w:type="auto"/>
            <w:shd w:val="clear" w:color="auto" w:fill="auto"/>
            <w:vAlign w:val="center"/>
          </w:tcPr>
          <w:p w14:paraId="1BCC5209" w14:textId="77777777" w:rsidR="00050FB4" w:rsidRPr="00404DA5" w:rsidRDefault="00050FB4" w:rsidP="00050FB4">
            <w:pPr>
              <w:jc w:val="center"/>
              <w:rPr>
                <w:rFonts w:cs="Calibri"/>
                <w:sz w:val="16"/>
                <w:szCs w:val="18"/>
              </w:rPr>
            </w:pPr>
            <w:r w:rsidRPr="00404DA5">
              <w:rPr>
                <w:rFonts w:cs="Calibri"/>
                <w:sz w:val="16"/>
                <w:szCs w:val="18"/>
              </w:rPr>
              <w:t>36211</w:t>
            </w:r>
          </w:p>
        </w:tc>
        <w:tc>
          <w:tcPr>
            <w:tcW w:w="0" w:type="auto"/>
            <w:shd w:val="clear" w:color="auto" w:fill="auto"/>
            <w:vAlign w:val="center"/>
          </w:tcPr>
          <w:p w14:paraId="0873DA7F" w14:textId="77777777" w:rsidR="00050FB4" w:rsidRPr="00404DA5" w:rsidRDefault="00050FB4" w:rsidP="00050FB4">
            <w:pPr>
              <w:jc w:val="center"/>
              <w:rPr>
                <w:rFonts w:cs="Calibri"/>
                <w:sz w:val="16"/>
                <w:szCs w:val="18"/>
              </w:rPr>
            </w:pPr>
            <w:r w:rsidRPr="00404DA5">
              <w:rPr>
                <w:rFonts w:cs="Calibri"/>
                <w:sz w:val="16"/>
                <w:szCs w:val="18"/>
              </w:rPr>
              <w:t>563%</w:t>
            </w:r>
          </w:p>
        </w:tc>
        <w:tc>
          <w:tcPr>
            <w:tcW w:w="0" w:type="auto"/>
            <w:shd w:val="clear" w:color="auto" w:fill="auto"/>
            <w:vAlign w:val="center"/>
          </w:tcPr>
          <w:p w14:paraId="5F91E897" w14:textId="77777777" w:rsidR="00050FB4" w:rsidRPr="00404DA5" w:rsidRDefault="00050FB4" w:rsidP="00050FB4">
            <w:pPr>
              <w:jc w:val="center"/>
              <w:rPr>
                <w:rFonts w:cs="Calibri"/>
                <w:sz w:val="16"/>
                <w:szCs w:val="18"/>
              </w:rPr>
            </w:pPr>
            <w:r w:rsidRPr="00404DA5">
              <w:rPr>
                <w:rFonts w:cs="Calibri"/>
                <w:sz w:val="16"/>
                <w:szCs w:val="18"/>
              </w:rPr>
              <w:t>24469</w:t>
            </w:r>
          </w:p>
        </w:tc>
        <w:tc>
          <w:tcPr>
            <w:tcW w:w="0" w:type="auto"/>
            <w:shd w:val="clear" w:color="auto" w:fill="auto"/>
            <w:vAlign w:val="center"/>
          </w:tcPr>
          <w:p w14:paraId="7B94DA5E" w14:textId="77777777" w:rsidR="00050FB4" w:rsidRPr="00404DA5" w:rsidRDefault="00050FB4" w:rsidP="00050FB4">
            <w:pPr>
              <w:jc w:val="center"/>
              <w:rPr>
                <w:rFonts w:cs="Calibri"/>
                <w:sz w:val="16"/>
                <w:szCs w:val="18"/>
              </w:rPr>
            </w:pPr>
            <w:r w:rsidRPr="00404DA5">
              <w:rPr>
                <w:rFonts w:cs="Calibri"/>
                <w:sz w:val="16"/>
                <w:szCs w:val="18"/>
              </w:rPr>
              <w:t>381%</w:t>
            </w:r>
          </w:p>
        </w:tc>
      </w:tr>
      <w:tr w:rsidR="00050FB4" w:rsidRPr="0069584C" w14:paraId="697BCB5E" w14:textId="77777777" w:rsidTr="00050FB4">
        <w:tc>
          <w:tcPr>
            <w:tcW w:w="0" w:type="auto"/>
            <w:shd w:val="clear" w:color="auto" w:fill="auto"/>
            <w:vAlign w:val="center"/>
          </w:tcPr>
          <w:p w14:paraId="0D178A3C"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5B1ED8E4" w14:textId="77777777" w:rsidR="00050FB4" w:rsidRPr="00404DA5" w:rsidRDefault="00050FB4" w:rsidP="00050FB4">
            <w:pPr>
              <w:jc w:val="center"/>
              <w:rPr>
                <w:rFonts w:cs="Calibri"/>
                <w:sz w:val="16"/>
                <w:szCs w:val="18"/>
              </w:rPr>
            </w:pPr>
            <w:r w:rsidRPr="00404DA5">
              <w:rPr>
                <w:rFonts w:cs="Calibri"/>
                <w:sz w:val="16"/>
                <w:szCs w:val="18"/>
              </w:rPr>
              <w:t>8.2, 8.3, 8.4, 8.5</w:t>
            </w:r>
          </w:p>
        </w:tc>
        <w:tc>
          <w:tcPr>
            <w:tcW w:w="0" w:type="auto"/>
            <w:shd w:val="clear" w:color="auto" w:fill="auto"/>
            <w:vAlign w:val="center"/>
          </w:tcPr>
          <w:p w14:paraId="49738C67" w14:textId="77777777" w:rsidR="00050FB4" w:rsidRPr="00404DA5" w:rsidRDefault="00050FB4" w:rsidP="00050FB4">
            <w:pPr>
              <w:jc w:val="center"/>
              <w:rPr>
                <w:rFonts w:cs="Calibri"/>
                <w:sz w:val="16"/>
                <w:szCs w:val="18"/>
              </w:rPr>
            </w:pPr>
            <w:r w:rsidRPr="00404DA5">
              <w:rPr>
                <w:rFonts w:cs="Calibri"/>
                <w:sz w:val="16"/>
                <w:szCs w:val="18"/>
              </w:rPr>
              <w:t xml:space="preserve">Liczba uczniów, którzy nabyli kompetencje kluczowe lub umiejętności uniwersalne po opuszczeniu programu </w:t>
            </w:r>
          </w:p>
        </w:tc>
        <w:tc>
          <w:tcPr>
            <w:tcW w:w="0" w:type="auto"/>
            <w:shd w:val="clear" w:color="auto" w:fill="auto"/>
            <w:vAlign w:val="center"/>
          </w:tcPr>
          <w:p w14:paraId="70DE22A2" w14:textId="77777777" w:rsidR="00050FB4" w:rsidRDefault="00050FB4" w:rsidP="00050FB4">
            <w:pPr>
              <w:jc w:val="center"/>
              <w:rPr>
                <w:rFonts w:cs="Calibri"/>
                <w:sz w:val="16"/>
                <w:szCs w:val="18"/>
              </w:rPr>
            </w:pPr>
            <w:r>
              <w:rPr>
                <w:rFonts w:cs="Calibri"/>
                <w:sz w:val="16"/>
                <w:szCs w:val="18"/>
              </w:rPr>
              <w:t>%</w:t>
            </w:r>
          </w:p>
          <w:p w14:paraId="14E38B2E" w14:textId="77777777" w:rsidR="00050FB4" w:rsidRPr="00404DA5" w:rsidRDefault="00050FB4" w:rsidP="00050FB4">
            <w:pPr>
              <w:jc w:val="center"/>
              <w:rPr>
                <w:rFonts w:cs="Calibri"/>
                <w:sz w:val="16"/>
                <w:szCs w:val="18"/>
              </w:rPr>
            </w:pPr>
            <w:r>
              <w:rPr>
                <w:rFonts w:cs="Calibri"/>
                <w:sz w:val="16"/>
                <w:szCs w:val="18"/>
              </w:rPr>
              <w:t>(Os.)</w:t>
            </w:r>
          </w:p>
        </w:tc>
        <w:tc>
          <w:tcPr>
            <w:tcW w:w="0" w:type="auto"/>
            <w:shd w:val="clear" w:color="auto" w:fill="auto"/>
            <w:vAlign w:val="center"/>
          </w:tcPr>
          <w:p w14:paraId="785F0D98" w14:textId="77777777" w:rsidR="00050FB4" w:rsidRPr="00404DA5" w:rsidRDefault="00050FB4" w:rsidP="00050FB4">
            <w:pPr>
              <w:jc w:val="center"/>
              <w:rPr>
                <w:rFonts w:cs="Calibri"/>
                <w:sz w:val="16"/>
                <w:szCs w:val="18"/>
              </w:rPr>
            </w:pPr>
            <w:r w:rsidRPr="00404DA5">
              <w:rPr>
                <w:rFonts w:cs="Calibri"/>
                <w:sz w:val="16"/>
                <w:szCs w:val="18"/>
              </w:rPr>
              <w:t>85%</w:t>
            </w:r>
          </w:p>
        </w:tc>
        <w:tc>
          <w:tcPr>
            <w:tcW w:w="0" w:type="auto"/>
            <w:shd w:val="clear" w:color="auto" w:fill="auto"/>
            <w:vAlign w:val="center"/>
          </w:tcPr>
          <w:p w14:paraId="71996EA9" w14:textId="77777777" w:rsidR="00050FB4" w:rsidRDefault="00050FB4" w:rsidP="00050FB4">
            <w:pPr>
              <w:jc w:val="center"/>
              <w:rPr>
                <w:rFonts w:cs="Calibri"/>
                <w:sz w:val="16"/>
                <w:szCs w:val="18"/>
              </w:rPr>
            </w:pPr>
            <w:r>
              <w:rPr>
                <w:rFonts w:cs="Calibri"/>
                <w:sz w:val="16"/>
                <w:szCs w:val="18"/>
              </w:rPr>
              <w:t>89,9%</w:t>
            </w:r>
          </w:p>
          <w:p w14:paraId="26373FB5" w14:textId="77777777" w:rsidR="00050FB4" w:rsidRPr="00404DA5" w:rsidRDefault="00050FB4" w:rsidP="00050FB4">
            <w:pPr>
              <w:jc w:val="center"/>
              <w:rPr>
                <w:rFonts w:cs="Calibri"/>
                <w:sz w:val="16"/>
                <w:szCs w:val="18"/>
              </w:rPr>
            </w:pPr>
            <w:r w:rsidRPr="00404DA5">
              <w:rPr>
                <w:rFonts w:cs="Calibri"/>
                <w:sz w:val="16"/>
                <w:szCs w:val="18"/>
              </w:rPr>
              <w:t>32559</w:t>
            </w:r>
          </w:p>
        </w:tc>
        <w:tc>
          <w:tcPr>
            <w:tcW w:w="0" w:type="auto"/>
            <w:shd w:val="clear" w:color="auto" w:fill="auto"/>
            <w:vAlign w:val="center"/>
          </w:tcPr>
          <w:p w14:paraId="3093D567" w14:textId="77777777" w:rsidR="00050FB4" w:rsidRPr="00404DA5" w:rsidRDefault="00050FB4" w:rsidP="00050FB4">
            <w:pPr>
              <w:jc w:val="center"/>
              <w:rPr>
                <w:rFonts w:cs="Calibri"/>
                <w:sz w:val="16"/>
                <w:szCs w:val="18"/>
              </w:rPr>
            </w:pPr>
            <w:r w:rsidRPr="00404DA5">
              <w:rPr>
                <w:rFonts w:cs="Calibri"/>
                <w:sz w:val="16"/>
                <w:szCs w:val="18"/>
              </w:rPr>
              <w:t>106%</w:t>
            </w:r>
          </w:p>
        </w:tc>
        <w:tc>
          <w:tcPr>
            <w:tcW w:w="0" w:type="auto"/>
            <w:shd w:val="clear" w:color="auto" w:fill="auto"/>
            <w:vAlign w:val="center"/>
          </w:tcPr>
          <w:p w14:paraId="326E914F" w14:textId="77777777" w:rsidR="00050FB4" w:rsidRDefault="00050FB4" w:rsidP="00050FB4">
            <w:pPr>
              <w:jc w:val="center"/>
              <w:rPr>
                <w:rFonts w:cs="Calibri"/>
                <w:sz w:val="16"/>
                <w:szCs w:val="18"/>
              </w:rPr>
            </w:pPr>
            <w:r>
              <w:rPr>
                <w:rFonts w:cs="Calibri"/>
                <w:sz w:val="16"/>
                <w:szCs w:val="18"/>
              </w:rPr>
              <w:t>25,5%</w:t>
            </w:r>
          </w:p>
          <w:p w14:paraId="56C942B6"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6239</w:t>
            </w:r>
            <w:r>
              <w:rPr>
                <w:rFonts w:cs="Calibri"/>
                <w:sz w:val="16"/>
                <w:szCs w:val="18"/>
              </w:rPr>
              <w:t>)</w:t>
            </w:r>
          </w:p>
        </w:tc>
        <w:tc>
          <w:tcPr>
            <w:tcW w:w="0" w:type="auto"/>
            <w:shd w:val="clear" w:color="auto" w:fill="auto"/>
            <w:vAlign w:val="center"/>
          </w:tcPr>
          <w:p w14:paraId="0211371B" w14:textId="77777777" w:rsidR="00050FB4" w:rsidRPr="00404DA5" w:rsidRDefault="00050FB4" w:rsidP="00050FB4">
            <w:pPr>
              <w:jc w:val="center"/>
              <w:rPr>
                <w:rFonts w:cs="Calibri"/>
                <w:sz w:val="16"/>
                <w:szCs w:val="18"/>
              </w:rPr>
            </w:pPr>
            <w:r w:rsidRPr="00404DA5">
              <w:rPr>
                <w:rFonts w:cs="Calibri"/>
                <w:sz w:val="16"/>
                <w:szCs w:val="18"/>
              </w:rPr>
              <w:t>30%</w:t>
            </w:r>
          </w:p>
        </w:tc>
      </w:tr>
    </w:tbl>
    <w:bookmarkEnd w:id="309"/>
    <w:p w14:paraId="4D35B6B5"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20AF1B44" w14:textId="77777777" w:rsidR="00050FB4" w:rsidRPr="00404DA5" w:rsidRDefault="00050FB4" w:rsidP="00050FB4">
      <w:pPr>
        <w:spacing w:line="276" w:lineRule="auto"/>
        <w:rPr>
          <w:rFonts w:cs="Calibri"/>
          <w:szCs w:val="20"/>
        </w:rPr>
      </w:pPr>
      <w:r w:rsidRPr="00404DA5">
        <w:rPr>
          <w:rFonts w:cs="Calibri"/>
          <w:szCs w:val="20"/>
        </w:rPr>
        <w:t>Stopień osiągania wskaźników</w:t>
      </w:r>
      <w:r w:rsidR="00E66B89">
        <w:rPr>
          <w:rFonts w:cs="Calibri"/>
          <w:szCs w:val="20"/>
        </w:rPr>
        <w:t xml:space="preserve"> w </w:t>
      </w:r>
      <w:r w:rsidRPr="00404DA5">
        <w:rPr>
          <w:rFonts w:cs="Calibri"/>
          <w:szCs w:val="20"/>
        </w:rPr>
        <w:t xml:space="preserve">ramach priorytetu 10i cechuje się znacznym zróżnicowaniem. Kilka wskaźników produktu osiągnęło wartości przekraczające założone na 2023 rok wartości docelowe. Są to przede wszystkim wskaźniki odnoszące się do kształcenia ogólnego. Szkoły oraz organy je prowadzące wykazują duże zainteresowanie pozyskaniem </w:t>
      </w:r>
      <w:r>
        <w:rPr>
          <w:rFonts w:cs="Calibri"/>
          <w:szCs w:val="20"/>
        </w:rPr>
        <w:t xml:space="preserve">środków </w:t>
      </w:r>
      <w:r w:rsidRPr="00404DA5">
        <w:rPr>
          <w:rFonts w:cs="Calibri"/>
          <w:szCs w:val="20"/>
        </w:rPr>
        <w:t>na doposażenie szkół oraz rozwój kluczowych kompetencji uczniów. Ponadto interesariusze mają świadomość relatywnie niskich wyników egzaminów zewnętrznych osiąganych przez uczniów</w:t>
      </w:r>
      <w:r w:rsidR="00E66B89">
        <w:rPr>
          <w:rFonts w:cs="Calibri"/>
          <w:szCs w:val="20"/>
        </w:rPr>
        <w:t xml:space="preserve"> z </w:t>
      </w:r>
      <w:r w:rsidRPr="00404DA5">
        <w:rPr>
          <w:rFonts w:cs="Calibri"/>
          <w:szCs w:val="20"/>
        </w:rPr>
        <w:t>województwa zachodniopomorskiego</w:t>
      </w:r>
      <w:r>
        <w:rPr>
          <w:rFonts w:cs="Calibri"/>
          <w:szCs w:val="20"/>
        </w:rPr>
        <w:t xml:space="preserve"> i</w:t>
      </w:r>
      <w:r w:rsidRPr="00404DA5">
        <w:rPr>
          <w:rFonts w:cs="Calibri"/>
          <w:szCs w:val="20"/>
        </w:rPr>
        <w:t xml:space="preserve"> aplikują</w:t>
      </w:r>
      <w:r w:rsidRPr="00C045B6">
        <w:rPr>
          <w:rFonts w:cs="Calibri"/>
          <w:szCs w:val="20"/>
        </w:rPr>
        <w:t xml:space="preserve"> </w:t>
      </w:r>
      <w:r>
        <w:rPr>
          <w:rFonts w:cs="Calibri"/>
          <w:szCs w:val="20"/>
        </w:rPr>
        <w:t>o </w:t>
      </w:r>
      <w:r w:rsidRPr="00404DA5">
        <w:rPr>
          <w:rFonts w:cs="Calibri"/>
          <w:szCs w:val="20"/>
        </w:rPr>
        <w:t>środki</w:t>
      </w:r>
      <w:r w:rsidR="00E66B89">
        <w:rPr>
          <w:rFonts w:cs="Calibri"/>
          <w:szCs w:val="20"/>
        </w:rPr>
        <w:t xml:space="preserve"> w </w:t>
      </w:r>
      <w:r w:rsidRPr="00404DA5">
        <w:rPr>
          <w:rFonts w:cs="Calibri"/>
          <w:szCs w:val="20"/>
        </w:rPr>
        <w:t>ramach Pi 10i, żeby stworzyć warunki do uzyskiwania lepszych wyników.</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 xml:space="preserve">tym wskaźnik </w:t>
      </w:r>
      <w:r w:rsidRPr="00404DA5">
        <w:rPr>
          <w:rFonts w:cs="Calibri"/>
          <w:i/>
          <w:szCs w:val="20"/>
        </w:rPr>
        <w:t>Liczba uczniów objętych wsparciem</w:t>
      </w:r>
      <w:r w:rsidR="00E66B89">
        <w:rPr>
          <w:rFonts w:cs="Calibri"/>
          <w:i/>
          <w:szCs w:val="20"/>
        </w:rPr>
        <w:t xml:space="preserve"> w </w:t>
      </w:r>
      <w:r w:rsidRPr="00404DA5">
        <w:rPr>
          <w:rFonts w:cs="Calibri"/>
          <w:i/>
          <w:szCs w:val="20"/>
        </w:rPr>
        <w:t>zakresie rozwijania kompetencji kluczowych lub umiejętności uniwersalnych</w:t>
      </w:r>
      <w:r w:rsidR="00E66B89">
        <w:rPr>
          <w:rFonts w:cs="Calibri"/>
          <w:i/>
          <w:szCs w:val="20"/>
        </w:rPr>
        <w:t xml:space="preserve"> w </w:t>
      </w:r>
      <w:r w:rsidRPr="00404DA5">
        <w:rPr>
          <w:rFonts w:cs="Calibri"/>
          <w:i/>
          <w:szCs w:val="20"/>
        </w:rPr>
        <w:t>programie</w:t>
      </w:r>
      <w:r w:rsidRPr="00404DA5">
        <w:rPr>
          <w:rFonts w:cs="Calibri"/>
          <w:szCs w:val="20"/>
        </w:rPr>
        <w:t xml:space="preserve"> został osiągnięty na poziomie 563% wartości docelowej, biorąc pod uwagę umowy</w:t>
      </w:r>
      <w:r w:rsidR="00E66B89">
        <w:rPr>
          <w:rFonts w:cs="Calibri"/>
          <w:szCs w:val="20"/>
        </w:rPr>
        <w:t xml:space="preserve"> o </w:t>
      </w:r>
      <w:r w:rsidRPr="00404DA5">
        <w:rPr>
          <w:rFonts w:cs="Calibri"/>
          <w:szCs w:val="20"/>
        </w:rPr>
        <w:t>dofinansowanie</w:t>
      </w:r>
      <w:r w:rsidR="00E66B89">
        <w:rPr>
          <w:rFonts w:cs="Calibri"/>
          <w:szCs w:val="20"/>
        </w:rPr>
        <w:t xml:space="preserve"> i </w:t>
      </w:r>
      <w:r>
        <w:rPr>
          <w:rFonts w:cs="Calibri"/>
          <w:szCs w:val="20"/>
        </w:rPr>
        <w:t xml:space="preserve">poziomie </w:t>
      </w:r>
      <w:r w:rsidRPr="00404DA5">
        <w:rPr>
          <w:rFonts w:cs="Calibri"/>
          <w:szCs w:val="20"/>
        </w:rPr>
        <w:t>381% według wniosków</w:t>
      </w:r>
      <w:r w:rsidR="00E66B89">
        <w:rPr>
          <w:rFonts w:cs="Calibri"/>
          <w:szCs w:val="20"/>
        </w:rPr>
        <w:t xml:space="preserve"> o </w:t>
      </w:r>
      <w:r w:rsidRPr="00404DA5">
        <w:rPr>
          <w:rFonts w:cs="Calibri"/>
          <w:szCs w:val="20"/>
        </w:rPr>
        <w:t>płatność. Pomimo ogólnie wysokiego poziomu realizacji wskaźnika</w:t>
      </w:r>
      <w:r>
        <w:rPr>
          <w:rFonts w:cs="Calibri"/>
          <w:szCs w:val="20"/>
        </w:rPr>
        <w:t>,</w:t>
      </w:r>
      <w:r w:rsidRPr="00404DA5">
        <w:rPr>
          <w:rFonts w:cs="Calibri"/>
          <w:szCs w:val="20"/>
        </w:rPr>
        <w:t xml:space="preserve"> wskazać można, że</w:t>
      </w:r>
      <w:r w:rsidR="00E66B89">
        <w:rPr>
          <w:rFonts w:cs="Calibri"/>
          <w:szCs w:val="20"/>
        </w:rPr>
        <w:t xml:space="preserve"> w </w:t>
      </w:r>
      <w:r w:rsidRPr="00404DA5">
        <w:rPr>
          <w:rFonts w:cs="Calibri"/>
          <w:szCs w:val="20"/>
        </w:rPr>
        <w:t>najmniejszym stopniu do jego osiągnięcia przyczynia się Działanie 8.4, które realizowane jest</w:t>
      </w:r>
      <w:r w:rsidR="00E66B89">
        <w:rPr>
          <w:rFonts w:cs="Calibri"/>
          <w:szCs w:val="20"/>
        </w:rPr>
        <w:t xml:space="preserve"> w </w:t>
      </w:r>
      <w:r w:rsidRPr="00404DA5">
        <w:rPr>
          <w:rFonts w:cs="Calibri"/>
          <w:szCs w:val="20"/>
        </w:rPr>
        <w:t>ramach Strategii ZIT Koszalińsko-Kołobrzesko-Białogardzkiego Obszaru Funkcjonalnego.</w:t>
      </w:r>
      <w:r w:rsidR="00E66B89">
        <w:rPr>
          <w:rFonts w:cs="Calibri"/>
          <w:szCs w:val="20"/>
        </w:rPr>
        <w:t xml:space="preserve"> W </w:t>
      </w:r>
      <w:r w:rsidRPr="005F04FC">
        <w:rPr>
          <w:rFonts w:cs="Calibri"/>
          <w:szCs w:val="20"/>
        </w:rPr>
        <w:t xml:space="preserve">Działaniu 8.4 </w:t>
      </w:r>
      <w:r w:rsidRPr="00404DA5">
        <w:rPr>
          <w:rFonts w:cs="Calibri"/>
          <w:szCs w:val="20"/>
        </w:rPr>
        <w:t>realizowanych jest tylko 6 projektów</w:t>
      </w:r>
      <w:r w:rsidR="00E66B89">
        <w:rPr>
          <w:rFonts w:cs="Calibri"/>
          <w:szCs w:val="20"/>
        </w:rPr>
        <w:t xml:space="preserve"> z </w:t>
      </w:r>
      <w:r w:rsidRPr="00404DA5">
        <w:rPr>
          <w:rFonts w:cs="Calibri"/>
          <w:szCs w:val="20"/>
        </w:rPr>
        <w:t xml:space="preserve">101 projektów przyczyniających się do </w:t>
      </w:r>
      <w:r w:rsidR="005D667D" w:rsidRPr="00404DA5">
        <w:rPr>
          <w:rFonts w:cs="Calibri"/>
          <w:szCs w:val="20"/>
        </w:rPr>
        <w:t>osiągni</w:t>
      </w:r>
      <w:r w:rsidR="005D667D">
        <w:rPr>
          <w:rFonts w:cs="Calibri"/>
          <w:szCs w:val="20"/>
        </w:rPr>
        <w:t>ę</w:t>
      </w:r>
      <w:r w:rsidR="005D667D" w:rsidRPr="00404DA5">
        <w:rPr>
          <w:rFonts w:cs="Calibri"/>
          <w:szCs w:val="20"/>
        </w:rPr>
        <w:t xml:space="preserve">cia </w:t>
      </w:r>
      <w:r w:rsidRPr="00404DA5">
        <w:rPr>
          <w:rFonts w:cs="Calibri"/>
          <w:szCs w:val="20"/>
        </w:rPr>
        <w:t xml:space="preserve">wskaźnika </w:t>
      </w:r>
      <w:r w:rsidRPr="00404DA5">
        <w:rPr>
          <w:rFonts w:cs="Calibri"/>
          <w:i/>
          <w:szCs w:val="20"/>
        </w:rPr>
        <w:t>Liczba uczniów objętych wsparciem</w:t>
      </w:r>
      <w:r w:rsidR="00E66B89">
        <w:rPr>
          <w:rFonts w:cs="Calibri"/>
          <w:i/>
          <w:szCs w:val="20"/>
        </w:rPr>
        <w:t xml:space="preserve"> w </w:t>
      </w:r>
      <w:r w:rsidRPr="00404DA5">
        <w:rPr>
          <w:rFonts w:cs="Calibri"/>
          <w:i/>
          <w:szCs w:val="20"/>
        </w:rPr>
        <w:t>zakresie rozwijania kompetencji kluczowych lub umiejętności uniwersalnych</w:t>
      </w:r>
      <w:r w:rsidR="00E66B89">
        <w:rPr>
          <w:rFonts w:cs="Calibri"/>
          <w:i/>
          <w:szCs w:val="20"/>
        </w:rPr>
        <w:t xml:space="preserve"> w </w:t>
      </w:r>
      <w:r w:rsidRPr="00404DA5">
        <w:rPr>
          <w:rFonts w:cs="Calibri"/>
          <w:i/>
          <w:szCs w:val="20"/>
        </w:rPr>
        <w:t>programie</w:t>
      </w:r>
      <w:r w:rsidRPr="00404DA5">
        <w:rPr>
          <w:rFonts w:cs="Calibri"/>
          <w:szCs w:val="20"/>
        </w:rPr>
        <w:t>. Najniższy jest też poziom zakontraktowania całości Alokacji UE</w:t>
      </w:r>
      <w:r w:rsidR="00E66B89">
        <w:rPr>
          <w:rFonts w:cs="Calibri"/>
          <w:szCs w:val="20"/>
        </w:rPr>
        <w:t xml:space="preserve"> i </w:t>
      </w:r>
      <w:r w:rsidRPr="00404DA5">
        <w:rPr>
          <w:rFonts w:cs="Calibri"/>
          <w:szCs w:val="20"/>
        </w:rPr>
        <w:t>wynosi 69,8%</w:t>
      </w:r>
      <w:r>
        <w:rPr>
          <w:rFonts w:cs="Calibri"/>
          <w:szCs w:val="20"/>
        </w:rPr>
        <w:t>. Należy jednak zauważyć, że na początku kwietnia zakończył się nabór wniosków</w:t>
      </w:r>
      <w:r w:rsidR="00E66B89">
        <w:rPr>
          <w:rFonts w:cs="Calibri"/>
          <w:szCs w:val="20"/>
        </w:rPr>
        <w:t xml:space="preserve"> w </w:t>
      </w:r>
      <w:r>
        <w:rPr>
          <w:rFonts w:cs="Calibri"/>
          <w:szCs w:val="20"/>
        </w:rPr>
        <w:t>tym działaniu. Na nabór ten przeznaczono większość</w:t>
      </w:r>
      <w:r w:rsidR="00E66B89">
        <w:rPr>
          <w:rFonts w:cs="Calibri"/>
          <w:szCs w:val="20"/>
        </w:rPr>
        <w:t xml:space="preserve"> z </w:t>
      </w:r>
      <w:r>
        <w:rPr>
          <w:rFonts w:cs="Calibri"/>
          <w:szCs w:val="20"/>
        </w:rPr>
        <w:t>pozostałej kwoty przeznaczonej na Działanie 8.4 (około 5 100 000 złotych</w:t>
      </w:r>
      <w:r w:rsidR="00E66B89">
        <w:rPr>
          <w:rFonts w:cs="Calibri"/>
          <w:szCs w:val="20"/>
        </w:rPr>
        <w:t xml:space="preserve"> z </w:t>
      </w:r>
      <w:r w:rsidRPr="00B47AF5">
        <w:rPr>
          <w:rFonts w:cs="Calibri"/>
          <w:szCs w:val="20"/>
        </w:rPr>
        <w:t>5</w:t>
      </w:r>
      <w:r>
        <w:rPr>
          <w:rFonts w:cs="Calibri"/>
          <w:szCs w:val="20"/>
        </w:rPr>
        <w:t> </w:t>
      </w:r>
      <w:r w:rsidRPr="00B47AF5">
        <w:rPr>
          <w:rFonts w:cs="Calibri"/>
          <w:szCs w:val="20"/>
        </w:rPr>
        <w:t>927</w:t>
      </w:r>
      <w:r>
        <w:rPr>
          <w:rFonts w:cs="Calibri"/>
          <w:szCs w:val="20"/>
        </w:rPr>
        <w:t xml:space="preserve"> </w:t>
      </w:r>
      <w:r w:rsidRPr="00B47AF5">
        <w:rPr>
          <w:rFonts w:cs="Calibri"/>
          <w:szCs w:val="20"/>
        </w:rPr>
        <w:t>153,68</w:t>
      </w:r>
      <w:r>
        <w:rPr>
          <w:rFonts w:cs="Calibri"/>
          <w:szCs w:val="20"/>
        </w:rPr>
        <w:t xml:space="preserve"> zł).</w:t>
      </w:r>
    </w:p>
    <w:p w14:paraId="78B5CD8D" w14:textId="77777777" w:rsidR="00050FB4" w:rsidRPr="00404DA5" w:rsidRDefault="00050FB4" w:rsidP="00050FB4">
      <w:pPr>
        <w:spacing w:line="276" w:lineRule="auto"/>
        <w:rPr>
          <w:rFonts w:cs="Calibri"/>
          <w:szCs w:val="20"/>
        </w:rPr>
      </w:pPr>
      <w:r w:rsidRPr="00404DA5">
        <w:rPr>
          <w:rFonts w:cs="Calibri"/>
          <w:szCs w:val="20"/>
        </w:rPr>
        <w:t>Zostały</w:t>
      </w:r>
      <w:r>
        <w:rPr>
          <w:rFonts w:cs="Calibri"/>
          <w:szCs w:val="20"/>
        </w:rPr>
        <w:t xml:space="preserve"> także</w:t>
      </w:r>
      <w:r w:rsidRPr="00404DA5">
        <w:rPr>
          <w:rFonts w:cs="Calibri"/>
          <w:szCs w:val="20"/>
        </w:rPr>
        <w:t xml:space="preserve"> osiągnięte docelowe wartości wskaźników odnoszących się doposażenia szkół</w:t>
      </w:r>
      <w:r w:rsidR="00E66B89">
        <w:rPr>
          <w:rFonts w:cs="Calibri"/>
          <w:szCs w:val="20"/>
        </w:rPr>
        <w:t xml:space="preserve"> w </w:t>
      </w:r>
      <w:r w:rsidRPr="00404DA5">
        <w:rPr>
          <w:rFonts w:cs="Calibri"/>
          <w:szCs w:val="20"/>
        </w:rPr>
        <w:t>sprzęt wykorzystywany do prowadzenia zajęć edukacyjnych.</w:t>
      </w:r>
      <w:r w:rsidR="00E66B89">
        <w:rPr>
          <w:rFonts w:cs="Calibri"/>
          <w:szCs w:val="20"/>
        </w:rPr>
        <w:t xml:space="preserve"> W </w:t>
      </w:r>
      <w:r w:rsidRPr="00404DA5">
        <w:rPr>
          <w:rFonts w:cs="Calibri"/>
          <w:szCs w:val="20"/>
        </w:rPr>
        <w:t xml:space="preserve">ramach </w:t>
      </w:r>
      <w:r>
        <w:rPr>
          <w:rFonts w:cs="Calibri"/>
          <w:szCs w:val="20"/>
        </w:rPr>
        <w:t>P</w:t>
      </w:r>
      <w:r w:rsidRPr="00404DA5">
        <w:rPr>
          <w:rFonts w:cs="Calibri"/>
          <w:szCs w:val="20"/>
        </w:rPr>
        <w:t xml:space="preserve">rogramu 219 szkół podpisało </w:t>
      </w:r>
      <w:r>
        <w:rPr>
          <w:rFonts w:cs="Calibri"/>
          <w:szCs w:val="20"/>
        </w:rPr>
        <w:t>UoD</w:t>
      </w:r>
      <w:r w:rsidRPr="00404DA5">
        <w:rPr>
          <w:rFonts w:cs="Calibri"/>
          <w:szCs w:val="20"/>
        </w:rPr>
        <w:t xml:space="preserve"> wyposażenia</w:t>
      </w:r>
      <w:r w:rsidR="00E66B89">
        <w:rPr>
          <w:rFonts w:cs="Calibri"/>
          <w:szCs w:val="20"/>
        </w:rPr>
        <w:t xml:space="preserve"> w </w:t>
      </w:r>
      <w:r w:rsidRPr="00404DA5">
        <w:rPr>
          <w:rFonts w:cs="Calibri"/>
          <w:szCs w:val="20"/>
        </w:rPr>
        <w:t>sprzęt TIK do prowadzenia zajęć edukacyjnych, podczas gdy założenia obejmowały wyposażenie 80 szkół. Oznacza to, że poziom kontrak</w:t>
      </w:r>
      <w:r>
        <w:rPr>
          <w:rFonts w:cs="Calibri"/>
          <w:szCs w:val="20"/>
        </w:rPr>
        <w:t>ta</w:t>
      </w:r>
      <w:r w:rsidRPr="00404DA5">
        <w:rPr>
          <w:rFonts w:cs="Calibri"/>
          <w:szCs w:val="20"/>
        </w:rPr>
        <w:t>cji</w:t>
      </w:r>
      <w:r>
        <w:rPr>
          <w:rFonts w:cs="Calibri"/>
          <w:szCs w:val="20"/>
        </w:rPr>
        <w:t xml:space="preserve"> wskaźnika</w:t>
      </w:r>
      <w:r w:rsidRPr="00404DA5">
        <w:rPr>
          <w:rFonts w:cs="Calibri"/>
          <w:szCs w:val="20"/>
        </w:rPr>
        <w:t xml:space="preserve"> wyniósł 274%,</w:t>
      </w:r>
      <w:r w:rsidR="00E66B89">
        <w:rPr>
          <w:rFonts w:cs="Calibri"/>
          <w:szCs w:val="20"/>
        </w:rPr>
        <w:t xml:space="preserve"> a </w:t>
      </w:r>
      <w:r w:rsidRPr="00404DA5">
        <w:rPr>
          <w:rFonts w:cs="Calibri"/>
          <w:szCs w:val="20"/>
        </w:rPr>
        <w:t xml:space="preserve">poziom </w:t>
      </w:r>
      <w:r>
        <w:rPr>
          <w:rFonts w:cs="Calibri"/>
          <w:szCs w:val="20"/>
        </w:rPr>
        <w:t xml:space="preserve">jego </w:t>
      </w:r>
      <w:r w:rsidRPr="00404DA5">
        <w:rPr>
          <w:rFonts w:cs="Calibri"/>
          <w:szCs w:val="20"/>
        </w:rPr>
        <w:t xml:space="preserve">certyfikacji </w:t>
      </w:r>
      <w:r>
        <w:rPr>
          <w:rFonts w:cs="Calibri"/>
          <w:szCs w:val="20"/>
        </w:rPr>
        <w:t xml:space="preserve">- </w:t>
      </w:r>
      <w:r w:rsidRPr="00404DA5">
        <w:rPr>
          <w:rFonts w:cs="Calibri"/>
          <w:szCs w:val="20"/>
        </w:rPr>
        <w:t xml:space="preserve">190%. Ostatnim </w:t>
      </w:r>
      <w:r>
        <w:rPr>
          <w:rFonts w:cs="Calibri"/>
          <w:szCs w:val="20"/>
        </w:rPr>
        <w:t>wskaźnikiem</w:t>
      </w:r>
      <w:r w:rsidRPr="00404DA5">
        <w:rPr>
          <w:rFonts w:cs="Calibri"/>
          <w:szCs w:val="20"/>
        </w:rPr>
        <w:t>,</w:t>
      </w:r>
      <w:r w:rsidR="00E66B89">
        <w:rPr>
          <w:rFonts w:cs="Calibri"/>
          <w:szCs w:val="20"/>
        </w:rPr>
        <w:t xml:space="preserve"> w </w:t>
      </w:r>
      <w:r w:rsidRPr="00404DA5">
        <w:rPr>
          <w:rFonts w:cs="Calibri"/>
          <w:szCs w:val="20"/>
        </w:rPr>
        <w:t>którym</w:t>
      </w:r>
      <w:r>
        <w:rPr>
          <w:rFonts w:cs="Calibri"/>
          <w:szCs w:val="20"/>
        </w:rPr>
        <w:t xml:space="preserve"> -</w:t>
      </w:r>
      <w:r w:rsidRPr="00404DA5">
        <w:rPr>
          <w:rFonts w:cs="Calibri"/>
          <w:szCs w:val="20"/>
        </w:rPr>
        <w:t xml:space="preserve"> według wniosków</w:t>
      </w:r>
      <w:r w:rsidR="00E66B89">
        <w:rPr>
          <w:rFonts w:cs="Calibri"/>
          <w:szCs w:val="20"/>
        </w:rPr>
        <w:t xml:space="preserve"> o </w:t>
      </w:r>
      <w:r w:rsidRPr="00404DA5">
        <w:rPr>
          <w:rFonts w:cs="Calibri"/>
          <w:szCs w:val="20"/>
        </w:rPr>
        <w:t>płatność</w:t>
      </w:r>
      <w:r>
        <w:rPr>
          <w:rFonts w:cs="Calibri"/>
          <w:szCs w:val="20"/>
        </w:rPr>
        <w:t xml:space="preserve"> -</w:t>
      </w:r>
      <w:r w:rsidRPr="00404DA5">
        <w:rPr>
          <w:rFonts w:cs="Calibri"/>
          <w:szCs w:val="20"/>
        </w:rPr>
        <w:t xml:space="preserve"> osiągnięto zakładane na 2023 rok cele</w:t>
      </w:r>
      <w:r>
        <w:rPr>
          <w:rFonts w:cs="Calibri"/>
          <w:szCs w:val="20"/>
        </w:rPr>
        <w:t>,</w:t>
      </w:r>
      <w:r w:rsidRPr="00404DA5">
        <w:rPr>
          <w:rFonts w:cs="Calibri"/>
          <w:szCs w:val="20"/>
        </w:rPr>
        <w:t xml:space="preserve"> jest </w:t>
      </w:r>
      <w:r w:rsidRPr="00404DA5">
        <w:rPr>
          <w:rFonts w:cs="Calibri"/>
          <w:i/>
          <w:szCs w:val="20"/>
        </w:rPr>
        <w:t>Liczba szkół, których pracownie przedmiotowe zostały doposażone</w:t>
      </w:r>
      <w:r w:rsidR="00E66B89">
        <w:rPr>
          <w:rFonts w:cs="Calibri"/>
          <w:i/>
          <w:szCs w:val="20"/>
        </w:rPr>
        <w:t xml:space="preserve"> w </w:t>
      </w:r>
      <w:r w:rsidRPr="00404DA5">
        <w:rPr>
          <w:rFonts w:cs="Calibri"/>
          <w:i/>
          <w:szCs w:val="20"/>
        </w:rPr>
        <w:t>programie</w:t>
      </w:r>
      <w:r w:rsidRPr="00404DA5">
        <w:rPr>
          <w:rFonts w:cs="Calibri"/>
          <w:szCs w:val="20"/>
        </w:rPr>
        <w:t xml:space="preserve">. Według stanu na dzień 07.01.2019 r. zrealizowano 181% wartości docelowej liczonej według podpisanych </w:t>
      </w:r>
      <w:r>
        <w:rPr>
          <w:rFonts w:cs="Calibri"/>
          <w:szCs w:val="20"/>
        </w:rPr>
        <w:t>UoD</w:t>
      </w:r>
      <w:r w:rsidRPr="00404DA5">
        <w:rPr>
          <w:rFonts w:cs="Calibri"/>
          <w:szCs w:val="20"/>
        </w:rPr>
        <w:t xml:space="preserve"> oraz 108% według </w:t>
      </w:r>
      <w:r>
        <w:rPr>
          <w:rFonts w:cs="Calibri"/>
          <w:szCs w:val="20"/>
        </w:rPr>
        <w:t>WoP</w:t>
      </w:r>
      <w:r w:rsidRPr="00404DA5">
        <w:rPr>
          <w:rFonts w:cs="Calibri"/>
          <w:szCs w:val="20"/>
        </w:rPr>
        <w:t>.</w:t>
      </w:r>
      <w:r w:rsidRPr="00B47AF5">
        <w:rPr>
          <w:rFonts w:cs="Calibri"/>
          <w:szCs w:val="20"/>
        </w:rPr>
        <w:t xml:space="preserve"> </w:t>
      </w:r>
      <w:r>
        <w:rPr>
          <w:rFonts w:cs="Calibri"/>
          <w:szCs w:val="20"/>
        </w:rPr>
        <w:t>Także wskaźniki monitorujące stopień wykorzystywania zakupionego sprzętu TIK lub doposażonych pracowni kształtują się na wysokim poziomie. P</w:t>
      </w:r>
      <w:r w:rsidRPr="00404DA5">
        <w:rPr>
          <w:rFonts w:cs="Calibri"/>
          <w:szCs w:val="20"/>
        </w:rPr>
        <w:t xml:space="preserve">oziom kontrakcji dla wskaźników </w:t>
      </w:r>
      <w:r w:rsidRPr="00404DA5">
        <w:rPr>
          <w:rFonts w:cs="Calibri"/>
          <w:i/>
          <w:szCs w:val="20"/>
        </w:rPr>
        <w:t>Liczba szkół</w:t>
      </w:r>
      <w:r w:rsidR="00E66B89">
        <w:rPr>
          <w:rFonts w:cs="Calibri"/>
          <w:i/>
          <w:szCs w:val="20"/>
        </w:rPr>
        <w:t xml:space="preserve"> i </w:t>
      </w:r>
      <w:r w:rsidRPr="00404DA5">
        <w:rPr>
          <w:rFonts w:cs="Calibri"/>
          <w:i/>
          <w:szCs w:val="20"/>
        </w:rPr>
        <w:t>placówek systemu oświaty wykorzystujących sprzęt TIK do prowadzenia zajęć edukacyjnych</w:t>
      </w:r>
      <w:r w:rsidRPr="00404DA5">
        <w:rPr>
          <w:rFonts w:cs="Calibri"/>
          <w:szCs w:val="20"/>
        </w:rPr>
        <w:t xml:space="preserve"> oraz </w:t>
      </w:r>
      <w:r w:rsidRPr="00A67984">
        <w:rPr>
          <w:rFonts w:cs="Calibri"/>
          <w:i/>
          <w:szCs w:val="18"/>
        </w:rPr>
        <w:t>Liczba szkół,</w:t>
      </w:r>
      <w:r w:rsidR="00E66B89">
        <w:rPr>
          <w:rFonts w:cs="Calibri"/>
          <w:i/>
          <w:szCs w:val="18"/>
        </w:rPr>
        <w:t xml:space="preserve"> w </w:t>
      </w:r>
      <w:r w:rsidRPr="00A67984">
        <w:rPr>
          <w:rFonts w:cs="Calibri"/>
          <w:i/>
          <w:szCs w:val="18"/>
        </w:rPr>
        <w:t>których pracownie przedmiotowe wykorzystują doposażenie do prowadzenia zajęć edukacyjnych</w:t>
      </w:r>
      <w:r>
        <w:rPr>
          <w:rFonts w:cs="Calibri"/>
          <w:i/>
          <w:szCs w:val="18"/>
        </w:rPr>
        <w:t xml:space="preserve"> </w:t>
      </w:r>
      <w:r>
        <w:rPr>
          <w:rFonts w:cs="Calibri"/>
          <w:szCs w:val="18"/>
        </w:rPr>
        <w:t>wynosił odpowiednio 100%</w:t>
      </w:r>
      <w:r w:rsidR="00E66B89">
        <w:rPr>
          <w:rFonts w:cs="Calibri"/>
          <w:szCs w:val="18"/>
        </w:rPr>
        <w:t xml:space="preserve"> i </w:t>
      </w:r>
      <w:r>
        <w:rPr>
          <w:rFonts w:cs="Calibri"/>
          <w:szCs w:val="18"/>
        </w:rPr>
        <w:t xml:space="preserve">103%. </w:t>
      </w:r>
      <w:r w:rsidRPr="00404DA5">
        <w:rPr>
          <w:rFonts w:cs="Calibri"/>
          <w:szCs w:val="20"/>
        </w:rPr>
        <w:t>Kilka</w:t>
      </w:r>
      <w:r w:rsidR="00E66B89">
        <w:rPr>
          <w:rFonts w:cs="Calibri"/>
          <w:szCs w:val="20"/>
        </w:rPr>
        <w:t xml:space="preserve"> z </w:t>
      </w:r>
      <w:r w:rsidRPr="00404DA5">
        <w:rPr>
          <w:rFonts w:cs="Calibri"/>
          <w:szCs w:val="20"/>
        </w:rPr>
        <w:t xml:space="preserve">wskaźników priorytetu 10i </w:t>
      </w:r>
      <w:r>
        <w:rPr>
          <w:rFonts w:cs="Calibri"/>
          <w:szCs w:val="20"/>
        </w:rPr>
        <w:t>jest jednak</w:t>
      </w:r>
      <w:r w:rsidRPr="00404DA5">
        <w:rPr>
          <w:rFonts w:cs="Calibri"/>
          <w:szCs w:val="20"/>
        </w:rPr>
        <w:t xml:space="preserve"> </w:t>
      </w:r>
      <w:r>
        <w:rPr>
          <w:rFonts w:cs="Calibri"/>
          <w:szCs w:val="20"/>
        </w:rPr>
        <w:t>osiąganych</w:t>
      </w:r>
      <w:r w:rsidR="00E66B89">
        <w:rPr>
          <w:rFonts w:cs="Calibri"/>
          <w:szCs w:val="20"/>
        </w:rPr>
        <w:t xml:space="preserve"> w </w:t>
      </w:r>
      <w:r w:rsidRPr="00404DA5">
        <w:rPr>
          <w:rFonts w:cs="Calibri"/>
          <w:szCs w:val="20"/>
        </w:rPr>
        <w:t>niższym stopniu.</w:t>
      </w:r>
      <w:r w:rsidR="00E66B89">
        <w:rPr>
          <w:rFonts w:cs="Calibri"/>
          <w:szCs w:val="20"/>
        </w:rPr>
        <w:t xml:space="preserve"> W </w:t>
      </w:r>
      <w:r w:rsidRPr="00404DA5">
        <w:rPr>
          <w:rFonts w:cs="Calibri"/>
          <w:szCs w:val="20"/>
        </w:rPr>
        <w:t xml:space="preserve">projektach, na które do dnia 07.01.2019 zostały podpisane </w:t>
      </w:r>
      <w:r>
        <w:rPr>
          <w:rFonts w:cs="Calibri"/>
          <w:szCs w:val="20"/>
        </w:rPr>
        <w:t>UoD,</w:t>
      </w:r>
      <w:r w:rsidRPr="00404DA5">
        <w:rPr>
          <w:rFonts w:cs="Calibri"/>
          <w:szCs w:val="20"/>
        </w:rPr>
        <w:t xml:space="preserve"> przewidziano objęcie wsparciem</w:t>
      </w:r>
      <w:r w:rsidR="00E66B89">
        <w:rPr>
          <w:rFonts w:cs="Calibri"/>
          <w:szCs w:val="20"/>
        </w:rPr>
        <w:t xml:space="preserve"> z </w:t>
      </w:r>
      <w:r w:rsidRPr="00404DA5">
        <w:rPr>
          <w:rFonts w:cs="Calibri"/>
          <w:szCs w:val="20"/>
        </w:rPr>
        <w:t>zakresu TIK 2</w:t>
      </w:r>
      <w:r>
        <w:rPr>
          <w:rFonts w:cs="Calibri"/>
          <w:szCs w:val="20"/>
        </w:rPr>
        <w:t> </w:t>
      </w:r>
      <w:r w:rsidRPr="00404DA5">
        <w:rPr>
          <w:rFonts w:cs="Calibri"/>
          <w:szCs w:val="20"/>
        </w:rPr>
        <w:t>139</w:t>
      </w:r>
      <w:r>
        <w:rPr>
          <w:rFonts w:cs="Calibri"/>
          <w:szCs w:val="20"/>
        </w:rPr>
        <w:t xml:space="preserve"> nauczycieli. </w:t>
      </w:r>
      <w:r>
        <w:rPr>
          <w:rFonts w:cs="Calibri"/>
          <w:szCs w:val="20"/>
        </w:rPr>
        <w:lastRenderedPageBreak/>
        <w:t xml:space="preserve">Stanowi to 126% wartości celu zaplanowanego na 2023 rok. </w:t>
      </w:r>
      <w:r w:rsidRPr="00404DA5">
        <w:rPr>
          <w:rFonts w:cs="Calibri"/>
          <w:szCs w:val="20"/>
        </w:rPr>
        <w:t xml:space="preserve">Jednocześnie poziom certyfikacji dla tego wskaźnika wyniósł 56%. Podobnie wygląda poziom realizacji wskaźnika </w:t>
      </w:r>
      <w:r w:rsidRPr="00404DA5">
        <w:rPr>
          <w:rFonts w:cs="Calibri"/>
          <w:i/>
          <w:szCs w:val="20"/>
        </w:rPr>
        <w:t>Liczba nauczycieli, którzy uzyskali kwalifikacje lub nabyli kompetencje po opuszczeniu programu</w:t>
      </w:r>
      <w:r w:rsidRPr="00404DA5">
        <w:rPr>
          <w:rFonts w:cs="Calibri"/>
          <w:szCs w:val="20"/>
        </w:rPr>
        <w:t>,</w:t>
      </w:r>
      <w:r>
        <w:rPr>
          <w:rFonts w:cs="Calibri"/>
          <w:szCs w:val="20"/>
        </w:rPr>
        <w:t> </w:t>
      </w:r>
      <w:r w:rsidRPr="00404DA5">
        <w:rPr>
          <w:rFonts w:cs="Calibri"/>
          <w:szCs w:val="20"/>
        </w:rPr>
        <w:t>który wyniósł odpowiednio 105%</w:t>
      </w:r>
      <w:r w:rsidR="00E66B89">
        <w:rPr>
          <w:rFonts w:cs="Calibri"/>
          <w:szCs w:val="20"/>
        </w:rPr>
        <w:t xml:space="preserve"> i </w:t>
      </w:r>
      <w:r w:rsidRPr="00404DA5">
        <w:rPr>
          <w:rFonts w:cs="Calibri"/>
          <w:szCs w:val="20"/>
        </w:rPr>
        <w:t xml:space="preserve">59%. Nieco niżej przedstawiają się wartości wskaźnika </w:t>
      </w:r>
      <w:r w:rsidRPr="00404DA5">
        <w:rPr>
          <w:rFonts w:cs="Calibri"/>
          <w:i/>
          <w:szCs w:val="20"/>
        </w:rPr>
        <w:t>Liczba nauczycieli objętych wsparciem</w:t>
      </w:r>
      <w:r w:rsidR="00E66B89">
        <w:rPr>
          <w:rFonts w:cs="Calibri"/>
          <w:i/>
          <w:szCs w:val="20"/>
        </w:rPr>
        <w:t xml:space="preserve"> w </w:t>
      </w:r>
      <w:r w:rsidRPr="00404DA5">
        <w:rPr>
          <w:rFonts w:cs="Calibri"/>
          <w:i/>
          <w:szCs w:val="20"/>
        </w:rPr>
        <w:t>programie</w:t>
      </w:r>
      <w:r w:rsidR="00E66B89">
        <w:rPr>
          <w:rFonts w:cs="Calibri"/>
          <w:szCs w:val="20"/>
        </w:rPr>
        <w:t xml:space="preserve"> w </w:t>
      </w:r>
      <w:r w:rsidRPr="00404DA5">
        <w:rPr>
          <w:rFonts w:cs="Calibri"/>
          <w:szCs w:val="20"/>
        </w:rPr>
        <w:t>ramach działań 8.1, 8.2, 8.3, 8.4</w:t>
      </w:r>
      <w:r w:rsidR="00E66B89">
        <w:rPr>
          <w:rFonts w:cs="Calibri"/>
          <w:szCs w:val="20"/>
        </w:rPr>
        <w:t xml:space="preserve"> i </w:t>
      </w:r>
      <w:r w:rsidRPr="00404DA5">
        <w:rPr>
          <w:rFonts w:cs="Calibri"/>
          <w:szCs w:val="20"/>
        </w:rPr>
        <w:t xml:space="preserve">8.5. Podpisane </w:t>
      </w:r>
      <w:r>
        <w:rPr>
          <w:rFonts w:cs="Calibri"/>
          <w:szCs w:val="20"/>
        </w:rPr>
        <w:t>UoD</w:t>
      </w:r>
      <w:r w:rsidRPr="00404DA5">
        <w:rPr>
          <w:rFonts w:cs="Calibri"/>
          <w:szCs w:val="20"/>
        </w:rPr>
        <w:t xml:space="preserve"> przewidują objęciem wsparcia 82% liczby nauczycieli, których wsparcie przewidziano do 2023 roku. Poziom certyfikacji dla tego wskaźnika wyniósł 41%.</w:t>
      </w:r>
    </w:p>
    <w:p w14:paraId="719B8FDB" w14:textId="77777777" w:rsidR="00050FB4" w:rsidRPr="00404DA5" w:rsidRDefault="00050FB4" w:rsidP="00050FB4">
      <w:pPr>
        <w:spacing w:line="276" w:lineRule="auto"/>
        <w:rPr>
          <w:rFonts w:cs="Calibri"/>
          <w:szCs w:val="20"/>
        </w:rPr>
      </w:pPr>
      <w:r w:rsidRPr="00404DA5">
        <w:rPr>
          <w:rFonts w:cs="Calibri"/>
          <w:szCs w:val="20"/>
        </w:rPr>
        <w:t>Obserwowany jest niski poziom realizacji zakładanych celów</w:t>
      </w:r>
      <w:r w:rsidR="00E66B89">
        <w:rPr>
          <w:rFonts w:cs="Calibri"/>
          <w:szCs w:val="20"/>
        </w:rPr>
        <w:t xml:space="preserve"> w </w:t>
      </w:r>
      <w:r w:rsidRPr="00404DA5">
        <w:rPr>
          <w:rFonts w:cs="Calibri"/>
          <w:szCs w:val="20"/>
        </w:rPr>
        <w:t>przypadku wskaźników związanych</w:t>
      </w:r>
      <w:r w:rsidR="00E66B89">
        <w:rPr>
          <w:rFonts w:cs="Calibri"/>
          <w:szCs w:val="20"/>
        </w:rPr>
        <w:t xml:space="preserve"> z </w:t>
      </w:r>
      <w:r w:rsidRPr="00404DA5">
        <w:rPr>
          <w:rFonts w:cs="Calibri"/>
          <w:szCs w:val="20"/>
        </w:rPr>
        <w:t>obszar</w:t>
      </w:r>
      <w:r>
        <w:rPr>
          <w:rFonts w:cs="Calibri"/>
          <w:szCs w:val="20"/>
        </w:rPr>
        <w:t>em</w:t>
      </w:r>
      <w:r w:rsidRPr="00404DA5">
        <w:rPr>
          <w:rFonts w:cs="Calibri"/>
          <w:szCs w:val="20"/>
        </w:rPr>
        <w:t xml:space="preserve"> edukacji przedszkolnej. Według stanu na 7 stycznia 2019 roku tylko 3</w:t>
      </w:r>
      <w:r>
        <w:rPr>
          <w:rFonts w:cs="Calibri"/>
          <w:szCs w:val="20"/>
        </w:rPr>
        <w:t> </w:t>
      </w:r>
      <w:r w:rsidRPr="00404DA5">
        <w:rPr>
          <w:rFonts w:cs="Calibri"/>
          <w:szCs w:val="20"/>
        </w:rPr>
        <w:t>185</w:t>
      </w:r>
      <w:r>
        <w:rPr>
          <w:rFonts w:cs="Calibri"/>
          <w:szCs w:val="20"/>
        </w:rPr>
        <w:t>,</w:t>
      </w:r>
      <w:r w:rsidR="00E66B89">
        <w:rPr>
          <w:rFonts w:cs="Calibri"/>
          <w:szCs w:val="20"/>
        </w:rPr>
        <w:t xml:space="preserve"> z </w:t>
      </w:r>
      <w:r w:rsidRPr="00404DA5">
        <w:rPr>
          <w:rFonts w:cs="Calibri"/>
          <w:szCs w:val="20"/>
        </w:rPr>
        <w:t>planowanych 12</w:t>
      </w:r>
      <w:r>
        <w:rPr>
          <w:rFonts w:cs="Calibri"/>
          <w:szCs w:val="20"/>
        </w:rPr>
        <w:t> </w:t>
      </w:r>
      <w:r w:rsidRPr="00404DA5">
        <w:rPr>
          <w:rFonts w:cs="Calibri"/>
          <w:szCs w:val="20"/>
        </w:rPr>
        <w:t>000</w:t>
      </w:r>
      <w:r>
        <w:rPr>
          <w:rFonts w:cs="Calibri"/>
          <w:szCs w:val="20"/>
        </w:rPr>
        <w:t>,</w:t>
      </w:r>
      <w:r w:rsidRPr="00404DA5">
        <w:rPr>
          <w:rFonts w:cs="Calibri"/>
          <w:szCs w:val="20"/>
        </w:rPr>
        <w:t xml:space="preserve"> dzieci został</w:t>
      </w:r>
      <w:r>
        <w:rPr>
          <w:rFonts w:cs="Calibri"/>
          <w:szCs w:val="20"/>
        </w:rPr>
        <w:t>o</w:t>
      </w:r>
      <w:r w:rsidRPr="00404DA5">
        <w:rPr>
          <w:rFonts w:cs="Calibri"/>
          <w:szCs w:val="20"/>
        </w:rPr>
        <w:t xml:space="preserve"> objęt</w:t>
      </w:r>
      <w:r>
        <w:rPr>
          <w:rFonts w:cs="Calibri"/>
          <w:szCs w:val="20"/>
        </w:rPr>
        <w:t>ych</w:t>
      </w:r>
      <w:r w:rsidRPr="00404DA5">
        <w:rPr>
          <w:rFonts w:cs="Calibri"/>
          <w:szCs w:val="20"/>
        </w:rPr>
        <w:t xml:space="preserve"> dodatkowymi zajęciami zwiększającymi ich szanse edukacyjne</w:t>
      </w:r>
      <w:r w:rsidR="00E66B89">
        <w:rPr>
          <w:rFonts w:cs="Calibri"/>
          <w:szCs w:val="20"/>
        </w:rPr>
        <w:t xml:space="preserve"> w </w:t>
      </w:r>
      <w:r w:rsidRPr="00404DA5">
        <w:rPr>
          <w:rFonts w:cs="Calibri"/>
          <w:szCs w:val="20"/>
        </w:rPr>
        <w:t xml:space="preserve">edukacji przedszkolnej (według </w:t>
      </w:r>
      <w:r>
        <w:rPr>
          <w:rFonts w:cs="Calibri"/>
          <w:szCs w:val="20"/>
        </w:rPr>
        <w:t>WoP</w:t>
      </w:r>
      <w:r w:rsidRPr="00404DA5">
        <w:rPr>
          <w:rFonts w:cs="Calibri"/>
          <w:szCs w:val="20"/>
        </w:rPr>
        <w:t>)</w:t>
      </w:r>
      <w:r>
        <w:rPr>
          <w:rFonts w:cs="Calibri"/>
          <w:szCs w:val="20"/>
        </w:rPr>
        <w:t xml:space="preserve"> -</w:t>
      </w:r>
      <w:r w:rsidRPr="00404DA5">
        <w:rPr>
          <w:rFonts w:cs="Calibri"/>
          <w:szCs w:val="20"/>
        </w:rPr>
        <w:t xml:space="preserve"> co stanowi 27% realizacji celu zakładanego na 2023 rok. Niska skuteczność interwencji widoczna jest także</w:t>
      </w:r>
      <w:r w:rsidR="00E66B89">
        <w:rPr>
          <w:rFonts w:cs="Calibri"/>
          <w:szCs w:val="20"/>
        </w:rPr>
        <w:t xml:space="preserve"> w </w:t>
      </w:r>
      <w:r w:rsidRPr="00404DA5">
        <w:rPr>
          <w:rFonts w:cs="Calibri"/>
          <w:szCs w:val="20"/>
        </w:rPr>
        <w:t>dofinansowywaniu miejsc wychowania przedszkolnego. Dotychczas</w:t>
      </w:r>
      <w:r w:rsidR="00E66B89">
        <w:rPr>
          <w:rFonts w:cs="Calibri"/>
          <w:szCs w:val="20"/>
        </w:rPr>
        <w:t xml:space="preserve"> w </w:t>
      </w:r>
      <w:r w:rsidRPr="00404DA5">
        <w:rPr>
          <w:rFonts w:cs="Calibri"/>
          <w:szCs w:val="20"/>
        </w:rPr>
        <w:t xml:space="preserve">ramach </w:t>
      </w:r>
      <w:r>
        <w:rPr>
          <w:rFonts w:cs="Calibri"/>
          <w:szCs w:val="20"/>
        </w:rPr>
        <w:t>P</w:t>
      </w:r>
      <w:r w:rsidRPr="00404DA5">
        <w:rPr>
          <w:rFonts w:cs="Calibri"/>
          <w:szCs w:val="20"/>
        </w:rPr>
        <w:t>rogramu dofinansowano wsparcie 1</w:t>
      </w:r>
      <w:r>
        <w:rPr>
          <w:rFonts w:cs="Calibri"/>
          <w:szCs w:val="20"/>
        </w:rPr>
        <w:t xml:space="preserve"> </w:t>
      </w:r>
      <w:r w:rsidRPr="00404DA5">
        <w:rPr>
          <w:rFonts w:cs="Calibri"/>
          <w:szCs w:val="20"/>
        </w:rPr>
        <w:t xml:space="preserve">841 </w:t>
      </w:r>
      <w:r>
        <w:rPr>
          <w:rFonts w:cs="Calibri"/>
          <w:szCs w:val="20"/>
        </w:rPr>
        <w:t>takich miejsc</w:t>
      </w:r>
      <w:r w:rsidRPr="00404DA5">
        <w:rPr>
          <w:rFonts w:cs="Calibri"/>
          <w:szCs w:val="20"/>
        </w:rPr>
        <w:t>,</w:t>
      </w:r>
      <w:r w:rsidR="00E66B89">
        <w:rPr>
          <w:rFonts w:cs="Calibri"/>
          <w:szCs w:val="20"/>
        </w:rPr>
        <w:t xml:space="preserve"> a </w:t>
      </w:r>
      <w:r w:rsidRPr="00404DA5">
        <w:rPr>
          <w:rFonts w:cs="Calibri"/>
          <w:szCs w:val="20"/>
        </w:rPr>
        <w:t>podpisane umowy przewidują wsparcie kolejnych 408. Stanowi to niewielką część</w:t>
      </w:r>
      <w:r>
        <w:rPr>
          <w:rFonts w:cs="Calibri"/>
          <w:szCs w:val="20"/>
        </w:rPr>
        <w:t xml:space="preserve"> -</w:t>
      </w:r>
      <w:r w:rsidRPr="00404DA5">
        <w:rPr>
          <w:rFonts w:cs="Calibri"/>
          <w:szCs w:val="20"/>
        </w:rPr>
        <w:t xml:space="preserve"> założonego do 2023 </w:t>
      </w:r>
      <w:r>
        <w:rPr>
          <w:rFonts w:cs="Calibri"/>
          <w:szCs w:val="20"/>
        </w:rPr>
        <w:t xml:space="preserve">roku - </w:t>
      </w:r>
      <w:r w:rsidRPr="00404DA5">
        <w:rPr>
          <w:rFonts w:cs="Calibri"/>
          <w:szCs w:val="20"/>
        </w:rPr>
        <w:t>celu, który przewiduje wsparcie 12 000 miejsc wychowania przedszkolnego. Poziom kontrakcji dla tego wskaźnika wynosi 19%,</w:t>
      </w:r>
      <w:r w:rsidR="00E66B89">
        <w:rPr>
          <w:rFonts w:cs="Calibri"/>
          <w:szCs w:val="20"/>
        </w:rPr>
        <w:t xml:space="preserve"> a </w:t>
      </w:r>
      <w:r w:rsidRPr="00404DA5">
        <w:rPr>
          <w:rFonts w:cs="Calibri"/>
          <w:szCs w:val="20"/>
        </w:rPr>
        <w:t>certyfikacji</w:t>
      </w:r>
      <w:r>
        <w:rPr>
          <w:rFonts w:cs="Calibri"/>
          <w:szCs w:val="20"/>
        </w:rPr>
        <w:t xml:space="preserve"> -</w:t>
      </w:r>
      <w:r w:rsidRPr="00404DA5">
        <w:rPr>
          <w:rFonts w:cs="Calibri"/>
          <w:szCs w:val="20"/>
        </w:rPr>
        <w:t xml:space="preserve"> 15%.</w:t>
      </w:r>
    </w:p>
    <w:p w14:paraId="77EACBA7" w14:textId="77777777" w:rsidR="00050FB4" w:rsidRPr="00404DA5" w:rsidRDefault="00050FB4" w:rsidP="00050FB4">
      <w:pPr>
        <w:spacing w:line="276" w:lineRule="auto"/>
        <w:rPr>
          <w:rFonts w:cs="Calibri"/>
          <w:szCs w:val="20"/>
        </w:rPr>
      </w:pPr>
      <w:r w:rsidRPr="00404DA5">
        <w:rPr>
          <w:rFonts w:cs="Calibri"/>
          <w:szCs w:val="20"/>
        </w:rPr>
        <w:t>Zasadniczą trudnością</w:t>
      </w:r>
      <w:r w:rsidR="00E66B89">
        <w:rPr>
          <w:rFonts w:cs="Calibri"/>
          <w:szCs w:val="20"/>
        </w:rPr>
        <w:t xml:space="preserve"> w </w:t>
      </w:r>
      <w:r w:rsidR="005D667D" w:rsidRPr="00404DA5">
        <w:rPr>
          <w:rFonts w:cs="Calibri"/>
          <w:szCs w:val="20"/>
        </w:rPr>
        <w:t>absor</w:t>
      </w:r>
      <w:r w:rsidR="005D667D">
        <w:rPr>
          <w:rFonts w:cs="Calibri"/>
          <w:szCs w:val="20"/>
        </w:rPr>
        <w:t>p</w:t>
      </w:r>
      <w:r w:rsidR="005D667D" w:rsidRPr="00404DA5">
        <w:rPr>
          <w:rFonts w:cs="Calibri"/>
          <w:szCs w:val="20"/>
        </w:rPr>
        <w:t xml:space="preserve">cji </w:t>
      </w:r>
      <w:r w:rsidRPr="00404DA5">
        <w:rPr>
          <w:rFonts w:cs="Calibri"/>
          <w:szCs w:val="20"/>
        </w:rPr>
        <w:t>środków przeznaczonych</w:t>
      </w:r>
      <w:r>
        <w:rPr>
          <w:rFonts w:cs="Calibri"/>
          <w:szCs w:val="20"/>
        </w:rPr>
        <w:t>,</w:t>
      </w:r>
      <w:r w:rsidR="00E66B89">
        <w:rPr>
          <w:rFonts w:cs="Calibri"/>
          <w:szCs w:val="20"/>
        </w:rPr>
        <w:t xml:space="preserve"> w </w:t>
      </w:r>
      <w:r w:rsidRPr="00404DA5">
        <w:rPr>
          <w:rFonts w:cs="Calibri"/>
          <w:szCs w:val="20"/>
        </w:rPr>
        <w:t>ramach RPO WZ 2014-</w:t>
      </w:r>
      <w:r>
        <w:rPr>
          <w:rFonts w:cs="Calibri"/>
          <w:szCs w:val="20"/>
        </w:rPr>
        <w:t>20</w:t>
      </w:r>
      <w:r w:rsidRPr="00404DA5">
        <w:rPr>
          <w:rFonts w:cs="Calibri"/>
          <w:szCs w:val="20"/>
        </w:rPr>
        <w:t>20</w:t>
      </w:r>
      <w:r>
        <w:rPr>
          <w:rFonts w:cs="Calibri"/>
          <w:szCs w:val="20"/>
        </w:rPr>
        <w:t>,</w:t>
      </w:r>
      <w:r w:rsidRPr="00404DA5">
        <w:rPr>
          <w:rFonts w:cs="Calibri"/>
          <w:szCs w:val="20"/>
        </w:rPr>
        <w:t xml:space="preserve"> na edukację przedszkolną jest osiągnięty dość wysoki poziom objęcia dzieci</w:t>
      </w:r>
      <w:r w:rsidR="00E66B89">
        <w:rPr>
          <w:rFonts w:cs="Calibri"/>
          <w:szCs w:val="20"/>
        </w:rPr>
        <w:t xml:space="preserve"> w </w:t>
      </w:r>
      <w:r w:rsidRPr="00404DA5">
        <w:rPr>
          <w:rFonts w:cs="Calibri"/>
          <w:szCs w:val="20"/>
        </w:rPr>
        <w:t>wieku 3-6</w:t>
      </w:r>
      <w:r w:rsidRPr="00D138D1">
        <w:rPr>
          <w:rFonts w:cs="Calibri"/>
          <w:szCs w:val="20"/>
        </w:rPr>
        <w:t xml:space="preserve"> </w:t>
      </w:r>
      <w:r w:rsidRPr="00404DA5">
        <w:rPr>
          <w:rFonts w:cs="Calibri"/>
          <w:szCs w:val="20"/>
        </w:rPr>
        <w:t>lat edukacją przedszkolną. Coraz trudniej jest potencjalnym wnioskodawcom spełnić kryterium ustawione</w:t>
      </w:r>
      <w:r w:rsidR="00E66B89">
        <w:rPr>
          <w:rFonts w:cs="Calibri"/>
          <w:szCs w:val="20"/>
        </w:rPr>
        <w:t xml:space="preserve"> w </w:t>
      </w:r>
      <w:r w:rsidRPr="00404DA5">
        <w:rPr>
          <w:rFonts w:cs="Calibri"/>
          <w:szCs w:val="20"/>
        </w:rPr>
        <w:t>większości konkursów, które wymaga stworzenia nowych miejsc przedszkolnych lub dostosowania miejsca istniejącego do potrzeb dziecka</w:t>
      </w:r>
      <w:r w:rsidR="00E66B89">
        <w:rPr>
          <w:rFonts w:cs="Calibri"/>
          <w:szCs w:val="20"/>
        </w:rPr>
        <w:t xml:space="preserve"> z </w:t>
      </w:r>
      <w:r w:rsidRPr="00404DA5">
        <w:rPr>
          <w:rFonts w:cs="Calibri"/>
          <w:szCs w:val="20"/>
        </w:rPr>
        <w:t>niepełnosprawnością. Na wielu obszarach województwa zachodniopomorskiego liczba dostępnych już miejsc</w:t>
      </w:r>
      <w:r w:rsidR="00E66B89">
        <w:rPr>
          <w:rFonts w:cs="Calibri"/>
          <w:szCs w:val="20"/>
        </w:rPr>
        <w:t xml:space="preserve"> w </w:t>
      </w:r>
      <w:r w:rsidRPr="00404DA5">
        <w:rPr>
          <w:rFonts w:cs="Calibri"/>
          <w:szCs w:val="20"/>
        </w:rPr>
        <w:t>przedszkolach odpowiada lokalnemu zapotrzebowaniu na nie</w:t>
      </w:r>
      <w:r>
        <w:rPr>
          <w:rFonts w:cs="Calibri"/>
          <w:szCs w:val="20"/>
        </w:rPr>
        <w:t xml:space="preserve"> -</w:t>
      </w:r>
      <w:r w:rsidRPr="00404DA5">
        <w:rPr>
          <w:rFonts w:cs="Calibri"/>
          <w:szCs w:val="20"/>
        </w:rPr>
        <w:t xml:space="preserve"> stąd brak chętnych do wypełnienia ewentualnych nowych miejsc.</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tym podmioty,</w:t>
      </w:r>
      <w:r w:rsidR="00E66B89">
        <w:rPr>
          <w:rFonts w:cs="Calibri"/>
          <w:szCs w:val="20"/>
        </w:rPr>
        <w:t xml:space="preserve"> w </w:t>
      </w:r>
      <w:r w:rsidRPr="00404DA5">
        <w:rPr>
          <w:rFonts w:cs="Calibri"/>
          <w:szCs w:val="20"/>
        </w:rPr>
        <w:t>tym instytucje publiczne</w:t>
      </w:r>
      <w:r>
        <w:rPr>
          <w:rFonts w:cs="Calibri"/>
          <w:szCs w:val="20"/>
        </w:rPr>
        <w:t>,</w:t>
      </w:r>
      <w:r w:rsidRPr="00404DA5">
        <w:rPr>
          <w:rFonts w:cs="Calibri"/>
          <w:szCs w:val="20"/>
        </w:rPr>
        <w:t xml:space="preserve"> nie decydują się aplikować</w:t>
      </w:r>
      <w:r w:rsidR="00E66B89">
        <w:rPr>
          <w:rFonts w:cs="Calibri"/>
          <w:szCs w:val="20"/>
        </w:rPr>
        <w:t xml:space="preserve"> o </w:t>
      </w:r>
      <w:r w:rsidRPr="00404DA5">
        <w:rPr>
          <w:rFonts w:cs="Calibri"/>
          <w:szCs w:val="20"/>
        </w:rPr>
        <w:t>środki na utworzenie nowych miejsc</w:t>
      </w:r>
      <w:r w:rsidR="00E66B89">
        <w:rPr>
          <w:rFonts w:cs="Calibri"/>
          <w:szCs w:val="20"/>
        </w:rPr>
        <w:t xml:space="preserve"> w </w:t>
      </w:r>
      <w:r w:rsidRPr="00404DA5">
        <w:rPr>
          <w:rFonts w:cs="Calibri"/>
          <w:szCs w:val="20"/>
        </w:rPr>
        <w:t>edukacji przedszkolnej. Także</w:t>
      </w:r>
      <w:r w:rsidR="00E66B89">
        <w:rPr>
          <w:rFonts w:cs="Calibri"/>
          <w:szCs w:val="20"/>
        </w:rPr>
        <w:t xml:space="preserve"> w </w:t>
      </w:r>
      <w:r w:rsidRPr="00404DA5">
        <w:rPr>
          <w:rFonts w:cs="Calibri"/>
          <w:szCs w:val="20"/>
        </w:rPr>
        <w:t>projektach, które zakładają dostosowani</w:t>
      </w:r>
      <w:r>
        <w:rPr>
          <w:rFonts w:cs="Calibri"/>
          <w:szCs w:val="20"/>
        </w:rPr>
        <w:t>e -</w:t>
      </w:r>
      <w:r w:rsidRPr="00404DA5">
        <w:rPr>
          <w:rFonts w:cs="Calibri"/>
          <w:szCs w:val="20"/>
        </w:rPr>
        <w:t xml:space="preserve"> istniejącego</w:t>
      </w:r>
      <w:r>
        <w:rPr>
          <w:rFonts w:cs="Calibri"/>
          <w:szCs w:val="20"/>
        </w:rPr>
        <w:t xml:space="preserve"> już</w:t>
      </w:r>
      <w:r w:rsidR="00E66B89">
        <w:rPr>
          <w:rFonts w:cs="Calibri"/>
          <w:szCs w:val="20"/>
        </w:rPr>
        <w:t xml:space="preserve"> w </w:t>
      </w:r>
      <w:r w:rsidRPr="00404DA5">
        <w:rPr>
          <w:rFonts w:cs="Calibri"/>
          <w:szCs w:val="20"/>
        </w:rPr>
        <w:t>przedszkolu</w:t>
      </w:r>
      <w:r>
        <w:rPr>
          <w:rFonts w:cs="Calibri"/>
          <w:szCs w:val="20"/>
        </w:rPr>
        <w:t xml:space="preserve"> -</w:t>
      </w:r>
      <w:r w:rsidRPr="00404DA5">
        <w:rPr>
          <w:rFonts w:cs="Calibri"/>
          <w:szCs w:val="20"/>
        </w:rPr>
        <w:t xml:space="preserve"> miejsca do potrzeb dziecka</w:t>
      </w:r>
      <w:r w:rsidR="00E66B89">
        <w:rPr>
          <w:rFonts w:cs="Calibri"/>
          <w:szCs w:val="20"/>
        </w:rPr>
        <w:t xml:space="preserve"> z </w:t>
      </w:r>
      <w:r w:rsidRPr="00404DA5">
        <w:rPr>
          <w:rFonts w:cs="Calibri"/>
          <w:szCs w:val="20"/>
        </w:rPr>
        <w:t>niepełnosprawnością</w:t>
      </w:r>
      <w:r>
        <w:rPr>
          <w:rFonts w:cs="Calibri"/>
          <w:szCs w:val="20"/>
        </w:rPr>
        <w:t>,</w:t>
      </w:r>
      <w:r w:rsidRPr="00404DA5">
        <w:rPr>
          <w:rFonts w:cs="Calibri"/>
          <w:szCs w:val="20"/>
        </w:rPr>
        <w:t xml:space="preserve"> problemem jest znalezienie rodziców</w:t>
      </w:r>
      <w:r w:rsidR="00E66B89">
        <w:rPr>
          <w:rFonts w:cs="Calibri"/>
          <w:szCs w:val="20"/>
        </w:rPr>
        <w:t xml:space="preserve"> z </w:t>
      </w:r>
      <w:r w:rsidRPr="00404DA5">
        <w:rPr>
          <w:rFonts w:cs="Calibri"/>
          <w:szCs w:val="20"/>
        </w:rPr>
        <w:t>dziećmi, które odpowiadałyby</w:t>
      </w:r>
      <w:r>
        <w:rPr>
          <w:rFonts w:cs="Calibri"/>
          <w:szCs w:val="20"/>
        </w:rPr>
        <w:t xml:space="preserve"> postawionym</w:t>
      </w:r>
      <w:r w:rsidRPr="00404DA5">
        <w:rPr>
          <w:rFonts w:cs="Calibri"/>
          <w:szCs w:val="20"/>
        </w:rPr>
        <w:t xml:space="preserve"> kryteriom. Według przedstawicieli </w:t>
      </w:r>
      <w:r>
        <w:rPr>
          <w:rFonts w:cs="Calibri"/>
          <w:szCs w:val="20"/>
        </w:rPr>
        <w:t>IP,</w:t>
      </w:r>
      <w:r w:rsidR="00E66B89">
        <w:rPr>
          <w:rFonts w:cs="Calibri"/>
          <w:szCs w:val="20"/>
        </w:rPr>
        <w:t xml:space="preserve"> w </w:t>
      </w:r>
      <w:r w:rsidRPr="00404DA5">
        <w:rPr>
          <w:rFonts w:cs="Calibri"/>
          <w:szCs w:val="20"/>
        </w:rPr>
        <w:t>kilku przypadkach było to powodem rozwiązania umów. Do dnia 7.01.2019 roku rozwiązano umowy</w:t>
      </w:r>
      <w:r w:rsidR="00E66B89">
        <w:rPr>
          <w:rFonts w:cs="Calibri"/>
          <w:szCs w:val="20"/>
        </w:rPr>
        <w:t xml:space="preserve"> w </w:t>
      </w:r>
      <w:r>
        <w:rPr>
          <w:rFonts w:cs="Calibri"/>
          <w:szCs w:val="20"/>
        </w:rPr>
        <w:t>5</w:t>
      </w:r>
      <w:r w:rsidRPr="00404DA5">
        <w:rPr>
          <w:rFonts w:cs="Calibri"/>
          <w:szCs w:val="20"/>
        </w:rPr>
        <w:t xml:space="preserve"> projektach dotyczących edukacji przedszkolnej. Wszystkie te projekty uzyskały dofinansowanie</w:t>
      </w:r>
      <w:r w:rsidR="00E66B89">
        <w:rPr>
          <w:rFonts w:cs="Calibri"/>
          <w:szCs w:val="20"/>
        </w:rPr>
        <w:t xml:space="preserve"> w </w:t>
      </w:r>
      <w:r w:rsidRPr="00404DA5">
        <w:rPr>
          <w:rFonts w:cs="Calibri"/>
          <w:szCs w:val="20"/>
        </w:rPr>
        <w:t>ramach Działania 8.1. Łączna kwota dofinansowania</w:t>
      </w:r>
      <w:r w:rsidR="00E66B89">
        <w:rPr>
          <w:rFonts w:cs="Calibri"/>
          <w:szCs w:val="20"/>
        </w:rPr>
        <w:t xml:space="preserve"> w </w:t>
      </w:r>
      <w:r w:rsidRPr="00404DA5">
        <w:rPr>
          <w:rFonts w:cs="Calibri"/>
          <w:szCs w:val="20"/>
        </w:rPr>
        <w:t xml:space="preserve">tych projektach wynosiła </w:t>
      </w:r>
      <w:r>
        <w:t>3 665 317,05 zł</w:t>
      </w:r>
      <w:r w:rsidRPr="00404DA5">
        <w:rPr>
          <w:rFonts w:cs="Calibri"/>
          <w:szCs w:val="20"/>
        </w:rPr>
        <w:t xml:space="preserve">, co stanowi </w:t>
      </w:r>
      <w:r>
        <w:rPr>
          <w:rFonts w:cs="Calibri"/>
          <w:szCs w:val="20"/>
        </w:rPr>
        <w:t>3,5</w:t>
      </w:r>
      <w:r w:rsidRPr="00404DA5">
        <w:rPr>
          <w:rFonts w:cs="Calibri"/>
          <w:szCs w:val="20"/>
        </w:rPr>
        <w:t xml:space="preserve">% </w:t>
      </w:r>
      <w:r>
        <w:rPr>
          <w:rFonts w:cs="Calibri"/>
          <w:szCs w:val="20"/>
        </w:rPr>
        <w:t>a</w:t>
      </w:r>
      <w:r w:rsidRPr="00404DA5">
        <w:rPr>
          <w:rFonts w:cs="Calibri"/>
          <w:szCs w:val="20"/>
        </w:rPr>
        <w:t>lokacji UE na to Działanie.</w:t>
      </w:r>
    </w:p>
    <w:p w14:paraId="0593B2B1" w14:textId="77777777" w:rsidR="00050FB4" w:rsidRPr="00404DA5" w:rsidRDefault="00050FB4" w:rsidP="00050FB4">
      <w:pPr>
        <w:spacing w:line="276" w:lineRule="auto"/>
        <w:rPr>
          <w:rFonts w:cs="Calibri"/>
          <w:szCs w:val="20"/>
        </w:rPr>
      </w:pPr>
      <w:r w:rsidRPr="00404DA5">
        <w:rPr>
          <w:rFonts w:cs="Calibri"/>
          <w:szCs w:val="20"/>
        </w:rPr>
        <w:t>Inna trudność</w:t>
      </w:r>
      <w:r w:rsidR="00E66B89">
        <w:rPr>
          <w:rFonts w:cs="Calibri"/>
          <w:szCs w:val="20"/>
        </w:rPr>
        <w:t xml:space="preserve"> w </w:t>
      </w:r>
      <w:r w:rsidRPr="00404DA5">
        <w:rPr>
          <w:rFonts w:cs="Calibri"/>
          <w:szCs w:val="20"/>
        </w:rPr>
        <w:t>osiąganiu wskaźników związanych</w:t>
      </w:r>
      <w:r w:rsidR="00E66B89">
        <w:rPr>
          <w:rFonts w:cs="Calibri"/>
          <w:szCs w:val="20"/>
        </w:rPr>
        <w:t xml:space="preserve"> z </w:t>
      </w:r>
      <w:r w:rsidRPr="00404DA5">
        <w:rPr>
          <w:rFonts w:cs="Calibri"/>
          <w:szCs w:val="20"/>
        </w:rPr>
        <w:t>edukacją przedszkolną wiąże się ze wzrostem cen</w:t>
      </w:r>
      <w:r>
        <w:rPr>
          <w:rFonts w:cs="Calibri"/>
          <w:szCs w:val="20"/>
        </w:rPr>
        <w:t xml:space="preserve"> -</w:t>
      </w:r>
      <w:r w:rsidRPr="00404DA5">
        <w:rPr>
          <w:rFonts w:cs="Calibri"/>
          <w:szCs w:val="20"/>
        </w:rPr>
        <w:t xml:space="preserve"> przede wszystkim cen materiałów budowlanych oraz kosztów prac budowniczo-remontowych. Chociaż dofinansowanie</w:t>
      </w:r>
      <w:r w:rsidR="00E66B89">
        <w:rPr>
          <w:rFonts w:cs="Calibri"/>
          <w:szCs w:val="20"/>
        </w:rPr>
        <w:t xml:space="preserve"> w </w:t>
      </w:r>
      <w:r w:rsidRPr="00404DA5">
        <w:rPr>
          <w:rFonts w:cs="Calibri"/>
          <w:szCs w:val="20"/>
        </w:rPr>
        <w:t>ramach priorytetu 10i nie obejmuje infrastruktury przedszkolnej</w:t>
      </w:r>
      <w:r>
        <w:rPr>
          <w:rFonts w:cs="Calibri"/>
          <w:szCs w:val="20"/>
        </w:rPr>
        <w:t>,</w:t>
      </w:r>
      <w:r w:rsidRPr="00404DA5">
        <w:rPr>
          <w:rFonts w:cs="Calibri"/>
          <w:szCs w:val="20"/>
        </w:rPr>
        <w:t xml:space="preserve"> to realizacja projektów przez beneficjentów często uwarunkowana jest przeprowadzeniem prac budowlanych lub remontowych finansowanych</w:t>
      </w:r>
      <w:r w:rsidR="00E66B89">
        <w:rPr>
          <w:rFonts w:cs="Calibri"/>
          <w:szCs w:val="20"/>
        </w:rPr>
        <w:t xml:space="preserve"> z </w:t>
      </w:r>
      <w:r w:rsidRPr="00404DA5">
        <w:rPr>
          <w:rFonts w:cs="Calibri"/>
          <w:szCs w:val="20"/>
        </w:rPr>
        <w:t>innych środków.</w:t>
      </w:r>
      <w:r w:rsidR="00E66B89">
        <w:rPr>
          <w:rFonts w:cs="Calibri"/>
          <w:szCs w:val="20"/>
        </w:rPr>
        <w:t xml:space="preserve"> W </w:t>
      </w:r>
      <w:r w:rsidRPr="00404DA5">
        <w:rPr>
          <w:rFonts w:cs="Calibri"/>
          <w:szCs w:val="20"/>
        </w:rPr>
        <w:t>wyniku wzrostu kosztów dostosowania lokali do potrzeb prowadzenia przedszkoli</w:t>
      </w:r>
      <w:r w:rsidR="00E66B89">
        <w:rPr>
          <w:rFonts w:cs="Calibri"/>
          <w:szCs w:val="20"/>
        </w:rPr>
        <w:t xml:space="preserve"> i </w:t>
      </w:r>
      <w:r w:rsidRPr="00404DA5">
        <w:rPr>
          <w:rFonts w:cs="Calibri"/>
          <w:szCs w:val="20"/>
        </w:rPr>
        <w:t>punktów przedszkolnych</w:t>
      </w:r>
      <w:r>
        <w:rPr>
          <w:rFonts w:cs="Calibri"/>
          <w:szCs w:val="20"/>
        </w:rPr>
        <w:t>,</w:t>
      </w:r>
      <w:r w:rsidRPr="00404DA5">
        <w:rPr>
          <w:rFonts w:cs="Calibri"/>
          <w:szCs w:val="20"/>
        </w:rPr>
        <w:t xml:space="preserve"> część</w:t>
      </w:r>
      <w:r w:rsidR="00E66B89">
        <w:rPr>
          <w:rFonts w:cs="Calibri"/>
          <w:szCs w:val="20"/>
        </w:rPr>
        <w:t xml:space="preserve"> z </w:t>
      </w:r>
      <w:r w:rsidRPr="00404DA5">
        <w:rPr>
          <w:rFonts w:cs="Calibri"/>
          <w:szCs w:val="20"/>
        </w:rPr>
        <w:t>potencjalnych wnioskodawców zaniechała ubiegania się</w:t>
      </w:r>
      <w:r w:rsidR="00E66B89">
        <w:rPr>
          <w:rFonts w:cs="Calibri"/>
          <w:szCs w:val="20"/>
        </w:rPr>
        <w:t xml:space="preserve"> o </w:t>
      </w:r>
      <w:r w:rsidRPr="00404DA5">
        <w:rPr>
          <w:rFonts w:cs="Calibri"/>
          <w:szCs w:val="20"/>
        </w:rPr>
        <w:t>środki</w:t>
      </w:r>
      <w:r w:rsidR="00E66B89">
        <w:rPr>
          <w:rFonts w:cs="Calibri"/>
          <w:szCs w:val="20"/>
        </w:rPr>
        <w:t xml:space="preserve"> w </w:t>
      </w:r>
      <w:r w:rsidRPr="00404DA5">
        <w:rPr>
          <w:rFonts w:cs="Calibri"/>
          <w:szCs w:val="20"/>
        </w:rPr>
        <w:t xml:space="preserve">ramach </w:t>
      </w:r>
      <w:r>
        <w:rPr>
          <w:rFonts w:cs="Calibri"/>
          <w:szCs w:val="20"/>
        </w:rPr>
        <w:t>PI</w:t>
      </w:r>
      <w:r w:rsidRPr="00404DA5">
        <w:rPr>
          <w:rFonts w:cs="Calibri"/>
          <w:szCs w:val="20"/>
        </w:rPr>
        <w:t xml:space="preserve"> 10i. Co więcej podmioty, które już uzyskały dofina</w:t>
      </w:r>
      <w:r w:rsidR="005D667D">
        <w:rPr>
          <w:rFonts w:cs="Calibri"/>
          <w:szCs w:val="20"/>
        </w:rPr>
        <w:t>n</w:t>
      </w:r>
      <w:r w:rsidRPr="00404DA5">
        <w:rPr>
          <w:rFonts w:cs="Calibri"/>
          <w:szCs w:val="20"/>
        </w:rPr>
        <w:t>sowanie były zmuszone do przedłużania czasu projektu lub opóźniania jego startu</w:t>
      </w:r>
      <w:r>
        <w:rPr>
          <w:rFonts w:cs="Calibri"/>
          <w:szCs w:val="20"/>
        </w:rPr>
        <w:t xml:space="preserve"> -</w:t>
      </w:r>
      <w:r w:rsidRPr="00404DA5">
        <w:rPr>
          <w:rFonts w:cs="Calibri"/>
          <w:szCs w:val="20"/>
        </w:rPr>
        <w:t xml:space="preserve"> czekając na pozyskanie brakujących środków na remont lokali. Część</w:t>
      </w:r>
      <w:r w:rsidR="00E66B89">
        <w:rPr>
          <w:rFonts w:cs="Calibri"/>
          <w:szCs w:val="20"/>
        </w:rPr>
        <w:t xml:space="preserve"> z </w:t>
      </w:r>
      <w:r w:rsidRPr="00404DA5">
        <w:rPr>
          <w:rFonts w:cs="Calibri"/>
          <w:szCs w:val="20"/>
        </w:rPr>
        <w:t>beneficjentów zdecydowała się stworzyć nowe miejsca przedszkolne</w:t>
      </w:r>
      <w:r w:rsidR="00E66B89">
        <w:rPr>
          <w:rFonts w:cs="Calibri"/>
          <w:szCs w:val="20"/>
        </w:rPr>
        <w:t xml:space="preserve"> w </w:t>
      </w:r>
      <w:r w:rsidRPr="00404DA5">
        <w:rPr>
          <w:rFonts w:cs="Calibri"/>
          <w:szCs w:val="20"/>
        </w:rPr>
        <w:t>innej, niż pierwotnie założona, lokalizacji.</w:t>
      </w:r>
    </w:p>
    <w:p w14:paraId="0E3AEEDF" w14:textId="77777777" w:rsidR="00050FB4" w:rsidRPr="00716A29" w:rsidRDefault="00050FB4" w:rsidP="00050FB4">
      <w:pPr>
        <w:rPr>
          <w:rFonts w:eastAsia="Calibri"/>
          <w:color w:val="000000"/>
          <w:szCs w:val="20"/>
          <w:lang w:eastAsia="en-US"/>
        </w:rPr>
      </w:pPr>
      <w:r>
        <w:rPr>
          <w:rFonts w:eastAsia="Calibri"/>
          <w:szCs w:val="20"/>
          <w:lang w:eastAsia="en-US"/>
        </w:rPr>
        <w:t xml:space="preserve">Wzrost cen ma także wpływ na wyższy, od założonego na etapie programowania, koszt </w:t>
      </w:r>
      <w:r w:rsidRPr="003452CE">
        <w:rPr>
          <w:rFonts w:eastAsia="Calibri"/>
          <w:color w:val="000000"/>
          <w:szCs w:val="20"/>
          <w:lang w:eastAsia="en-US"/>
        </w:rPr>
        <w:t>utworzenia miejsca przedszkolnego</w:t>
      </w:r>
      <w:r>
        <w:rPr>
          <w:rFonts w:eastAsia="Calibri"/>
          <w:color w:val="000000"/>
          <w:szCs w:val="20"/>
          <w:lang w:eastAsia="en-US"/>
        </w:rPr>
        <w:t xml:space="preserve">. Obecnie koszt jednostkowy dla wskaźnika produktu </w:t>
      </w:r>
      <w:r w:rsidRPr="00716A29">
        <w:rPr>
          <w:rFonts w:eastAsia="Calibri"/>
          <w:i/>
          <w:color w:val="000000"/>
          <w:szCs w:val="20"/>
          <w:lang w:eastAsia="en-US"/>
        </w:rPr>
        <w:t>Liczba miejsc wychowania przedszkolnego dofinansowanych</w:t>
      </w:r>
      <w:r w:rsidR="00E66B89">
        <w:rPr>
          <w:rFonts w:eastAsia="Calibri"/>
          <w:i/>
          <w:color w:val="000000"/>
          <w:szCs w:val="20"/>
          <w:lang w:eastAsia="en-US"/>
        </w:rPr>
        <w:t xml:space="preserve"> w </w:t>
      </w:r>
      <w:r w:rsidRPr="00716A29">
        <w:rPr>
          <w:rFonts w:eastAsia="Calibri"/>
          <w:i/>
          <w:color w:val="000000"/>
          <w:szCs w:val="20"/>
          <w:lang w:eastAsia="en-US"/>
        </w:rPr>
        <w:t>programie</w:t>
      </w:r>
      <w:r>
        <w:rPr>
          <w:rFonts w:eastAsia="Calibri"/>
          <w:color w:val="000000"/>
          <w:szCs w:val="20"/>
          <w:lang w:eastAsia="en-US"/>
        </w:rPr>
        <w:t xml:space="preserve"> wynosi 16 109,7 zł. Wyższy koszt jednostkowy powoduje niewspółmierny, do osiąganych wartości wskaźników produktu, postęp</w:t>
      </w:r>
      <w:r w:rsidR="00E66B89">
        <w:rPr>
          <w:rFonts w:eastAsia="Calibri"/>
          <w:color w:val="000000"/>
          <w:szCs w:val="20"/>
          <w:lang w:eastAsia="en-US"/>
        </w:rPr>
        <w:t xml:space="preserve"> w </w:t>
      </w:r>
      <w:r>
        <w:rPr>
          <w:rFonts w:eastAsia="Calibri"/>
          <w:color w:val="000000"/>
          <w:szCs w:val="20"/>
          <w:lang w:eastAsia="en-US"/>
        </w:rPr>
        <w:t>wydatkowaniu alokowanych środków. Obecnie środki służące realizacji tego wskaźnika zostały zakontraktowane</w:t>
      </w:r>
      <w:r w:rsidR="00E66B89">
        <w:rPr>
          <w:rFonts w:eastAsia="Calibri"/>
          <w:color w:val="000000"/>
          <w:szCs w:val="20"/>
          <w:lang w:eastAsia="en-US"/>
        </w:rPr>
        <w:t xml:space="preserve"> w </w:t>
      </w:r>
      <w:r>
        <w:rPr>
          <w:rFonts w:eastAsia="Calibri"/>
          <w:color w:val="000000"/>
          <w:szCs w:val="20"/>
          <w:lang w:eastAsia="en-US"/>
        </w:rPr>
        <w:t>54,6%.</w:t>
      </w:r>
    </w:p>
    <w:p w14:paraId="05EA87D4" w14:textId="77777777" w:rsidR="00050FB4" w:rsidRPr="00404DA5" w:rsidRDefault="00050FB4" w:rsidP="00050FB4">
      <w:pPr>
        <w:rPr>
          <w:rFonts w:cs="Calibri"/>
          <w:szCs w:val="20"/>
        </w:rPr>
      </w:pPr>
      <w:r w:rsidRPr="003452CE">
        <w:rPr>
          <w:rFonts w:eastAsia="Calibri"/>
          <w:color w:val="000000"/>
          <w:szCs w:val="20"/>
          <w:lang w:eastAsia="en-US"/>
        </w:rPr>
        <w:t>Warto nadmienić, że alokacja na Działanie 8.1</w:t>
      </w:r>
      <w:r>
        <w:rPr>
          <w:rFonts w:eastAsia="Calibri"/>
          <w:color w:val="000000"/>
          <w:szCs w:val="20"/>
          <w:lang w:eastAsia="en-US"/>
        </w:rPr>
        <w:t xml:space="preserve">, </w:t>
      </w:r>
      <w:r w:rsidRPr="003452CE">
        <w:rPr>
          <w:rFonts w:eastAsia="Calibri"/>
          <w:color w:val="000000"/>
          <w:szCs w:val="20"/>
          <w:lang w:eastAsia="en-US"/>
        </w:rPr>
        <w:t>została niemal dwukrotnie zwiększona</w:t>
      </w:r>
      <w:r w:rsidR="00E66B89">
        <w:rPr>
          <w:rFonts w:eastAsia="Calibri"/>
          <w:color w:val="000000"/>
          <w:szCs w:val="20"/>
          <w:lang w:eastAsia="en-US"/>
        </w:rPr>
        <w:t xml:space="preserve"> w </w:t>
      </w:r>
      <w:r w:rsidRPr="003452CE">
        <w:rPr>
          <w:rFonts w:eastAsia="Calibri"/>
          <w:color w:val="000000"/>
          <w:szCs w:val="20"/>
          <w:lang w:eastAsia="en-US"/>
        </w:rPr>
        <w:t>wyniku zmian</w:t>
      </w:r>
      <w:r w:rsidR="00E66B89">
        <w:rPr>
          <w:rFonts w:eastAsia="Calibri"/>
          <w:color w:val="000000"/>
          <w:szCs w:val="20"/>
          <w:lang w:eastAsia="en-US"/>
        </w:rPr>
        <w:t xml:space="preserve"> w </w:t>
      </w:r>
      <w:r w:rsidRPr="003452CE">
        <w:rPr>
          <w:rFonts w:eastAsia="Calibri"/>
          <w:color w:val="000000"/>
          <w:szCs w:val="20"/>
          <w:lang w:eastAsia="en-US"/>
        </w:rPr>
        <w:t>Programie zatwierdzony</w:t>
      </w:r>
      <w:r>
        <w:rPr>
          <w:rFonts w:eastAsia="Calibri"/>
          <w:color w:val="000000"/>
          <w:szCs w:val="20"/>
          <w:lang w:eastAsia="en-US"/>
        </w:rPr>
        <w:t>ch</w:t>
      </w:r>
      <w:r w:rsidRPr="003452CE">
        <w:rPr>
          <w:rFonts w:eastAsia="Calibri"/>
          <w:color w:val="000000"/>
          <w:szCs w:val="20"/>
          <w:lang w:eastAsia="en-US"/>
        </w:rPr>
        <w:t xml:space="preserve"> przez </w:t>
      </w:r>
      <w:r>
        <w:rPr>
          <w:rFonts w:eastAsia="Calibri"/>
          <w:color w:val="000000"/>
          <w:szCs w:val="20"/>
          <w:lang w:eastAsia="en-US"/>
        </w:rPr>
        <w:t>KE</w:t>
      </w:r>
      <w:r w:rsidR="00E66B89">
        <w:rPr>
          <w:rFonts w:eastAsia="Calibri"/>
          <w:color w:val="000000"/>
          <w:szCs w:val="20"/>
          <w:lang w:eastAsia="en-US"/>
        </w:rPr>
        <w:t xml:space="preserve"> w </w:t>
      </w:r>
      <w:r w:rsidRPr="003452CE">
        <w:rPr>
          <w:rFonts w:eastAsia="Calibri"/>
          <w:color w:val="000000"/>
          <w:szCs w:val="20"/>
          <w:lang w:eastAsia="en-US"/>
        </w:rPr>
        <w:t xml:space="preserve">dniu 26.07.2018 (z 10,5 mln euro do 20,5 mln euro). Krok ten </w:t>
      </w:r>
      <w:r w:rsidRPr="003452CE">
        <w:rPr>
          <w:rFonts w:eastAsia="Calibri"/>
          <w:color w:val="000000"/>
          <w:szCs w:val="20"/>
          <w:lang w:eastAsia="en-US"/>
        </w:rPr>
        <w:lastRenderedPageBreak/>
        <w:t>motywowano licznymi potrzebami edukacyjnymi zgłaszanymi przez wnioskodawców oraz planami nowych działań</w:t>
      </w:r>
      <w:r w:rsidR="00E66B89">
        <w:rPr>
          <w:rFonts w:eastAsia="Calibri"/>
          <w:color w:val="000000"/>
          <w:szCs w:val="20"/>
          <w:lang w:eastAsia="en-US"/>
        </w:rPr>
        <w:t xml:space="preserve"> w </w:t>
      </w:r>
      <w:r w:rsidRPr="003452CE">
        <w:rPr>
          <w:rFonts w:eastAsia="Calibri"/>
          <w:color w:val="000000"/>
          <w:szCs w:val="20"/>
          <w:lang w:eastAsia="en-US"/>
        </w:rPr>
        <w:t>obszarze kształcenia przedszkolnego.</w:t>
      </w:r>
      <w:r>
        <w:rPr>
          <w:rFonts w:eastAsia="Calibri"/>
          <w:color w:val="000000"/>
          <w:szCs w:val="20"/>
          <w:lang w:eastAsia="en-US"/>
        </w:rPr>
        <w:t xml:space="preserve"> Działanie obejmuje edukację przedszkolną</w:t>
      </w:r>
      <w:r w:rsidR="00E66B89">
        <w:rPr>
          <w:rFonts w:eastAsia="Calibri"/>
          <w:color w:val="000000"/>
          <w:szCs w:val="20"/>
          <w:lang w:eastAsia="en-US"/>
        </w:rPr>
        <w:t xml:space="preserve"> i </w:t>
      </w:r>
      <w:r>
        <w:rPr>
          <w:rFonts w:eastAsia="Calibri"/>
          <w:color w:val="000000"/>
          <w:szCs w:val="20"/>
          <w:lang w:eastAsia="en-US"/>
        </w:rPr>
        <w:t>skierowane jest do wszystkich obszarów województwa. To właśnie</w:t>
      </w:r>
      <w:r w:rsidR="00E66B89">
        <w:rPr>
          <w:rFonts w:eastAsia="Calibri"/>
          <w:color w:val="000000"/>
          <w:szCs w:val="20"/>
          <w:lang w:eastAsia="en-US"/>
        </w:rPr>
        <w:t xml:space="preserve"> w </w:t>
      </w:r>
      <w:r>
        <w:rPr>
          <w:rFonts w:eastAsia="Calibri"/>
          <w:color w:val="000000"/>
          <w:szCs w:val="20"/>
          <w:lang w:eastAsia="en-US"/>
        </w:rPr>
        <w:t xml:space="preserve">ramach tego Działania notowany jest najniższy procent </w:t>
      </w:r>
      <w:r w:rsidRPr="00404DA5">
        <w:rPr>
          <w:rFonts w:cs="Calibri"/>
          <w:szCs w:val="20"/>
        </w:rPr>
        <w:t>zakontraktowania całej alokacji UE związanej</w:t>
      </w:r>
      <w:r w:rsidR="00E66B89">
        <w:rPr>
          <w:rFonts w:cs="Calibri"/>
          <w:szCs w:val="20"/>
        </w:rPr>
        <w:t xml:space="preserve"> z </w:t>
      </w:r>
      <w:r w:rsidRPr="00404DA5">
        <w:rPr>
          <w:rFonts w:cs="Calibri"/>
          <w:szCs w:val="20"/>
        </w:rPr>
        <w:t>edukacją przedszkolną – 42%. Nieco wyższy stopień wykorzystania alokacji</w:t>
      </w:r>
      <w:r>
        <w:rPr>
          <w:rFonts w:cs="Calibri"/>
          <w:szCs w:val="20"/>
        </w:rPr>
        <w:t>,</w:t>
      </w:r>
      <w:r w:rsidR="00E66B89">
        <w:rPr>
          <w:rFonts w:cs="Calibri"/>
          <w:szCs w:val="20"/>
        </w:rPr>
        <w:t xml:space="preserve"> w </w:t>
      </w:r>
      <w:r w:rsidRPr="00404DA5">
        <w:rPr>
          <w:rFonts w:cs="Calibri"/>
          <w:szCs w:val="20"/>
        </w:rPr>
        <w:t>odniesieniu do edukacji przedszkolnej</w:t>
      </w:r>
      <w:r>
        <w:rPr>
          <w:rFonts w:cs="Calibri"/>
          <w:szCs w:val="20"/>
        </w:rPr>
        <w:t>,</w:t>
      </w:r>
      <w:r w:rsidRPr="00404DA5">
        <w:rPr>
          <w:rFonts w:cs="Calibri"/>
          <w:szCs w:val="20"/>
        </w:rPr>
        <w:t xml:space="preserve"> obserwowany jest na obszarach objętych Kontraktami Samorządowymi – 69,8%,</w:t>
      </w:r>
      <w:r w:rsidR="00E66B89">
        <w:rPr>
          <w:rFonts w:cs="Calibri"/>
          <w:szCs w:val="20"/>
        </w:rPr>
        <w:t xml:space="preserve"> a </w:t>
      </w:r>
      <w:r w:rsidRPr="00404DA5">
        <w:rPr>
          <w:rFonts w:cs="Calibri"/>
          <w:szCs w:val="20"/>
        </w:rPr>
        <w:t>najwyższy</w:t>
      </w:r>
      <w:r w:rsidR="00E66B89">
        <w:rPr>
          <w:rFonts w:cs="Calibri"/>
          <w:szCs w:val="20"/>
        </w:rPr>
        <w:t xml:space="preserve"> w </w:t>
      </w:r>
      <w:r w:rsidRPr="00404DA5">
        <w:rPr>
          <w:rFonts w:cs="Calibri"/>
          <w:szCs w:val="20"/>
        </w:rPr>
        <w:t>ramach Strategii ZIT Koszalińsko-</w:t>
      </w:r>
      <w:r w:rsidRPr="00573127">
        <w:t xml:space="preserve"> </w:t>
      </w:r>
      <w:r w:rsidRPr="00404DA5">
        <w:rPr>
          <w:rFonts w:cs="Calibri"/>
          <w:szCs w:val="20"/>
        </w:rPr>
        <w:t>Kołobrzesko-Białogardzkiego Obszaru Funkcjonalnego – 96,3%.</w:t>
      </w:r>
    </w:p>
    <w:p w14:paraId="116986F1" w14:textId="77777777" w:rsidR="00050FB4" w:rsidRPr="005A3B88" w:rsidRDefault="00050FB4" w:rsidP="00050FB4">
      <w:pPr>
        <w:rPr>
          <w:rFonts w:eastAsia="Calibri"/>
          <w:color w:val="000000"/>
          <w:szCs w:val="20"/>
          <w:lang w:eastAsia="en-US"/>
        </w:rPr>
      </w:pPr>
      <w:r w:rsidRPr="00404DA5">
        <w:rPr>
          <w:rFonts w:eastAsia="Calibri" w:cs="Calibri"/>
          <w:szCs w:val="20"/>
        </w:rPr>
        <w:t xml:space="preserve">Podsumowując </w:t>
      </w:r>
      <w:r w:rsidRPr="005A3B88">
        <w:rPr>
          <w:rFonts w:eastAsia="Calibri"/>
          <w:color w:val="000000"/>
          <w:szCs w:val="20"/>
          <w:lang w:eastAsia="en-US"/>
        </w:rPr>
        <w:t>można stwierdzić, że</w:t>
      </w:r>
      <w:r w:rsidR="00E66B89">
        <w:rPr>
          <w:rFonts w:eastAsia="Calibri"/>
          <w:color w:val="000000"/>
          <w:szCs w:val="20"/>
          <w:lang w:eastAsia="en-US"/>
        </w:rPr>
        <w:t xml:space="preserve"> w </w:t>
      </w:r>
      <w:r>
        <w:rPr>
          <w:rFonts w:eastAsia="Calibri"/>
          <w:color w:val="000000"/>
          <w:szCs w:val="20"/>
          <w:lang w:eastAsia="en-US"/>
        </w:rPr>
        <w:t>D</w:t>
      </w:r>
      <w:r w:rsidRPr="005A3B88">
        <w:rPr>
          <w:rFonts w:eastAsia="Calibri"/>
          <w:color w:val="000000"/>
          <w:szCs w:val="20"/>
          <w:lang w:eastAsia="en-US"/>
        </w:rPr>
        <w:t>ziałaniach skierowanych do szkolnictwa ogólnego postęp rzeczowy odpowiada postępowi finansowemu,</w:t>
      </w:r>
      <w:r w:rsidR="00E66B89">
        <w:rPr>
          <w:rFonts w:eastAsia="Calibri"/>
          <w:color w:val="000000"/>
          <w:szCs w:val="20"/>
          <w:lang w:eastAsia="en-US"/>
        </w:rPr>
        <w:t xml:space="preserve"> a w </w:t>
      </w:r>
      <w:r w:rsidRPr="005A3B88">
        <w:rPr>
          <w:rFonts w:eastAsia="Calibri"/>
          <w:color w:val="000000"/>
          <w:szCs w:val="20"/>
          <w:lang w:eastAsia="en-US"/>
        </w:rPr>
        <w:t xml:space="preserve">przypadku niektórych wskaźników nawet wyraźnie go przekracza. Utrzymanie dotychczasowego poziomu </w:t>
      </w:r>
      <w:r>
        <w:rPr>
          <w:rFonts w:eastAsia="Calibri"/>
          <w:color w:val="000000"/>
          <w:szCs w:val="20"/>
          <w:lang w:eastAsia="en-US"/>
        </w:rPr>
        <w:t xml:space="preserve">kosztów </w:t>
      </w:r>
      <w:r w:rsidRPr="005A3B88">
        <w:rPr>
          <w:rFonts w:eastAsia="Calibri"/>
          <w:color w:val="000000"/>
          <w:szCs w:val="20"/>
          <w:lang w:eastAsia="en-US"/>
        </w:rPr>
        <w:t>jednostkow</w:t>
      </w:r>
      <w:r>
        <w:rPr>
          <w:rFonts w:eastAsia="Calibri"/>
          <w:color w:val="000000"/>
          <w:szCs w:val="20"/>
          <w:lang w:eastAsia="en-US"/>
        </w:rPr>
        <w:t>ych</w:t>
      </w:r>
      <w:r w:rsidRPr="005A3B88">
        <w:rPr>
          <w:rFonts w:eastAsia="Calibri"/>
          <w:color w:val="000000"/>
          <w:szCs w:val="20"/>
          <w:lang w:eastAsia="en-US"/>
        </w:rPr>
        <w:t xml:space="preserve"> pozwala na osiągnięcie wartości docelowych</w:t>
      </w:r>
      <w:r w:rsidRPr="00347358">
        <w:rPr>
          <w:rFonts w:eastAsia="Calibri"/>
          <w:color w:val="000000"/>
          <w:szCs w:val="20"/>
          <w:lang w:eastAsia="en-US"/>
        </w:rPr>
        <w:t xml:space="preserve"> </w:t>
      </w:r>
      <w:r w:rsidRPr="005A3B88">
        <w:rPr>
          <w:rFonts w:eastAsia="Calibri"/>
          <w:color w:val="000000"/>
          <w:szCs w:val="20"/>
          <w:lang w:eastAsia="en-US"/>
        </w:rPr>
        <w:t>wskaźni</w:t>
      </w:r>
      <w:r>
        <w:rPr>
          <w:rFonts w:eastAsia="Calibri"/>
          <w:color w:val="000000"/>
          <w:szCs w:val="20"/>
          <w:lang w:eastAsia="en-US"/>
        </w:rPr>
        <w:t>ków</w:t>
      </w:r>
      <w:r w:rsidRPr="005A3B88">
        <w:rPr>
          <w:rFonts w:eastAsia="Calibri"/>
          <w:color w:val="000000"/>
          <w:szCs w:val="20"/>
          <w:lang w:eastAsia="en-US"/>
        </w:rPr>
        <w:t xml:space="preserve">. Brak zatem widocznych zagrożeń </w:t>
      </w:r>
      <w:r>
        <w:rPr>
          <w:rFonts w:eastAsia="Calibri"/>
          <w:color w:val="000000"/>
          <w:szCs w:val="20"/>
          <w:lang w:eastAsia="en-US"/>
        </w:rPr>
        <w:t>w tym zakresie</w:t>
      </w:r>
      <w:r w:rsidRPr="005A3B88">
        <w:rPr>
          <w:rFonts w:eastAsia="Calibri"/>
          <w:color w:val="000000"/>
          <w:szCs w:val="20"/>
          <w:lang w:eastAsia="en-US"/>
        </w:rPr>
        <w:t>. Pewna niepewność co do osiągnięcia wartości docelowych wskaźników rezultatu jest związana</w:t>
      </w:r>
      <w:r w:rsidR="00E66B89">
        <w:rPr>
          <w:rFonts w:eastAsia="Calibri"/>
          <w:color w:val="000000"/>
          <w:szCs w:val="20"/>
          <w:lang w:eastAsia="en-US"/>
        </w:rPr>
        <w:t xml:space="preserve"> z </w:t>
      </w:r>
      <w:r w:rsidRPr="005A3B88">
        <w:rPr>
          <w:rFonts w:eastAsia="Calibri"/>
          <w:color w:val="000000"/>
          <w:szCs w:val="20"/>
          <w:lang w:eastAsia="en-US"/>
        </w:rPr>
        <w:t>tym, że</w:t>
      </w:r>
      <w:r w:rsidR="00E66B89">
        <w:rPr>
          <w:rFonts w:eastAsia="Calibri"/>
          <w:color w:val="000000"/>
          <w:szCs w:val="20"/>
          <w:lang w:eastAsia="en-US"/>
        </w:rPr>
        <w:t xml:space="preserve"> w </w:t>
      </w:r>
      <w:r w:rsidRPr="005A3B88">
        <w:rPr>
          <w:rFonts w:eastAsia="Calibri"/>
          <w:color w:val="000000"/>
          <w:szCs w:val="20"/>
          <w:lang w:eastAsia="en-US"/>
        </w:rPr>
        <w:t>wielu szkołach było jeszcze zbyt wcześnie na wykazanie wykorzystania otrzymanego doposażenia,</w:t>
      </w:r>
      <w:r w:rsidR="00E66B89">
        <w:rPr>
          <w:rFonts w:eastAsia="Calibri"/>
          <w:color w:val="000000"/>
          <w:szCs w:val="20"/>
          <w:lang w:eastAsia="en-US"/>
        </w:rPr>
        <w:t xml:space="preserve"> a </w:t>
      </w:r>
      <w:r w:rsidRPr="005A3B88">
        <w:rPr>
          <w:rFonts w:eastAsia="Calibri"/>
          <w:color w:val="000000"/>
          <w:szCs w:val="20"/>
          <w:lang w:eastAsia="en-US"/>
        </w:rPr>
        <w:t>wielu nauczycieli</w:t>
      </w:r>
      <w:r w:rsidR="00E66B89">
        <w:rPr>
          <w:rFonts w:eastAsia="Calibri"/>
          <w:color w:val="000000"/>
          <w:szCs w:val="20"/>
          <w:lang w:eastAsia="en-US"/>
        </w:rPr>
        <w:t xml:space="preserve"> i </w:t>
      </w:r>
      <w:r w:rsidRPr="005A3B88">
        <w:rPr>
          <w:rFonts w:eastAsia="Calibri"/>
          <w:color w:val="000000"/>
          <w:szCs w:val="20"/>
          <w:lang w:eastAsia="en-US"/>
        </w:rPr>
        <w:t>uczniów nie zdążyło jeszcze zakończyć udziału</w:t>
      </w:r>
      <w:r w:rsidR="00E66B89">
        <w:rPr>
          <w:rFonts w:eastAsia="Calibri"/>
          <w:color w:val="000000"/>
          <w:szCs w:val="20"/>
          <w:lang w:eastAsia="en-US"/>
        </w:rPr>
        <w:t xml:space="preserve"> w </w:t>
      </w:r>
      <w:r w:rsidRPr="005A3B88">
        <w:rPr>
          <w:rFonts w:eastAsia="Calibri"/>
          <w:color w:val="000000"/>
          <w:szCs w:val="20"/>
          <w:lang w:eastAsia="en-US"/>
        </w:rPr>
        <w:t>projekcie</w:t>
      </w:r>
      <w:r>
        <w:rPr>
          <w:rFonts w:eastAsia="Calibri"/>
          <w:color w:val="000000"/>
          <w:szCs w:val="20"/>
          <w:lang w:eastAsia="en-US"/>
        </w:rPr>
        <w:t xml:space="preserve"> -</w:t>
      </w:r>
      <w:r w:rsidRPr="005A3B88">
        <w:rPr>
          <w:rFonts w:eastAsia="Calibri"/>
          <w:color w:val="000000"/>
          <w:szCs w:val="20"/>
          <w:lang w:eastAsia="en-US"/>
        </w:rPr>
        <w:t xml:space="preserve"> nabywając kompetencje lub kwalifikacje. </w:t>
      </w:r>
    </w:p>
    <w:p w14:paraId="186A8480" w14:textId="77777777" w:rsidR="00050FB4" w:rsidRPr="005A3B88" w:rsidRDefault="00050FB4" w:rsidP="00050FB4">
      <w:pPr>
        <w:spacing w:before="0" w:after="160" w:line="276" w:lineRule="auto"/>
        <w:rPr>
          <w:rFonts w:eastAsia="Calibri"/>
          <w:color w:val="000000"/>
          <w:szCs w:val="20"/>
          <w:lang w:eastAsia="en-US"/>
        </w:rPr>
      </w:pPr>
      <w:r w:rsidRPr="005A3B88">
        <w:rPr>
          <w:rFonts w:eastAsia="Calibri"/>
          <w:color w:val="000000"/>
          <w:szCs w:val="20"/>
          <w:lang w:eastAsia="en-US"/>
        </w:rPr>
        <w:t>Natomiast</w:t>
      </w:r>
      <w:r w:rsidR="00E66B89">
        <w:rPr>
          <w:rFonts w:eastAsia="Calibri"/>
          <w:color w:val="000000"/>
          <w:szCs w:val="20"/>
          <w:lang w:eastAsia="en-US"/>
        </w:rPr>
        <w:t xml:space="preserve"> w </w:t>
      </w:r>
      <w:r>
        <w:rPr>
          <w:rFonts w:eastAsia="Calibri"/>
          <w:color w:val="000000"/>
          <w:szCs w:val="20"/>
          <w:lang w:eastAsia="en-US"/>
        </w:rPr>
        <w:t>D</w:t>
      </w:r>
      <w:r w:rsidRPr="005A3B88">
        <w:rPr>
          <w:rFonts w:eastAsia="Calibri"/>
          <w:color w:val="000000"/>
          <w:szCs w:val="20"/>
          <w:lang w:eastAsia="en-US"/>
        </w:rPr>
        <w:t>ziałaniach związanych</w:t>
      </w:r>
      <w:r w:rsidR="00E66B89">
        <w:rPr>
          <w:rFonts w:eastAsia="Calibri"/>
          <w:color w:val="000000"/>
          <w:szCs w:val="20"/>
          <w:lang w:eastAsia="en-US"/>
        </w:rPr>
        <w:t xml:space="preserve"> z </w:t>
      </w:r>
      <w:r w:rsidRPr="005A3B88">
        <w:rPr>
          <w:rFonts w:eastAsia="Calibri"/>
          <w:color w:val="000000"/>
          <w:szCs w:val="20"/>
          <w:lang w:eastAsia="en-US"/>
        </w:rPr>
        <w:t>edukacją przedszkolną postęp rzeczowy dalece nie odpowiada finansowemu. Postęp</w:t>
      </w:r>
      <w:r w:rsidR="00E66B89">
        <w:rPr>
          <w:rFonts w:eastAsia="Calibri"/>
          <w:color w:val="000000"/>
          <w:szCs w:val="20"/>
          <w:lang w:eastAsia="en-US"/>
        </w:rPr>
        <w:t xml:space="preserve"> w </w:t>
      </w:r>
      <w:r w:rsidRPr="005A3B88">
        <w:rPr>
          <w:rFonts w:eastAsia="Calibri"/>
          <w:color w:val="000000"/>
          <w:szCs w:val="20"/>
          <w:lang w:eastAsia="en-US"/>
        </w:rPr>
        <w:t>wydatkowaniu alokacji jest znacznie szybszy od osiągania wskaźników rzeczowych, co związane jest ze zbyt nisk</w:t>
      </w:r>
      <w:r>
        <w:rPr>
          <w:rFonts w:eastAsia="Calibri"/>
          <w:color w:val="000000"/>
          <w:szCs w:val="20"/>
          <w:lang w:eastAsia="en-US"/>
        </w:rPr>
        <w:t>o</w:t>
      </w:r>
      <w:r w:rsidRPr="005A3B88">
        <w:rPr>
          <w:rFonts w:eastAsia="Calibri"/>
          <w:color w:val="000000"/>
          <w:szCs w:val="20"/>
          <w:lang w:eastAsia="en-US"/>
        </w:rPr>
        <w:t xml:space="preserve"> założonymi kosztami utworzenia miejsca przedszkolnego.</w:t>
      </w:r>
      <w:r>
        <w:rPr>
          <w:rFonts w:eastAsia="Calibri"/>
          <w:color w:val="000000"/>
          <w:szCs w:val="20"/>
          <w:lang w:eastAsia="en-US"/>
        </w:rPr>
        <w:t xml:space="preserve"> </w:t>
      </w:r>
      <w:r w:rsidRPr="005A3B88">
        <w:rPr>
          <w:rFonts w:eastAsia="Calibri"/>
          <w:color w:val="000000"/>
          <w:szCs w:val="20"/>
          <w:lang w:eastAsia="en-US"/>
        </w:rPr>
        <w:t>Istnieje zatem znaczne ryzyko nieosiągnięcia zakładanych wartości wskaźników produktów.</w:t>
      </w:r>
    </w:p>
    <w:p w14:paraId="4969D7C6"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 xml:space="preserve">Ocena potencjału absorpcyjnego </w:t>
      </w:r>
    </w:p>
    <w:p w14:paraId="7C87A663" w14:textId="77777777" w:rsidR="00050FB4" w:rsidRDefault="00050FB4" w:rsidP="00050FB4">
      <w:pPr>
        <w:rPr>
          <w:rFonts w:cs="Calibri"/>
          <w:szCs w:val="20"/>
        </w:rPr>
      </w:pPr>
      <w:r w:rsidRPr="00404DA5">
        <w:rPr>
          <w:rFonts w:cs="Calibri"/>
          <w:szCs w:val="20"/>
        </w:rPr>
        <w:t>W ramach priorytetu 10i podpisano dotychczas 162 umów</w:t>
      </w:r>
      <w:r w:rsidR="00E66B89">
        <w:rPr>
          <w:rFonts w:cs="Calibri"/>
          <w:szCs w:val="20"/>
        </w:rPr>
        <w:t xml:space="preserve"> o </w:t>
      </w:r>
      <w:r w:rsidRPr="00404DA5">
        <w:rPr>
          <w:rFonts w:cs="Calibri"/>
          <w:szCs w:val="20"/>
        </w:rPr>
        <w:t>dofinansowanie</w:t>
      </w:r>
      <w:r w:rsidR="00E66B89">
        <w:rPr>
          <w:rFonts w:cs="Calibri"/>
          <w:szCs w:val="20"/>
        </w:rPr>
        <w:t xml:space="preserve"> o </w:t>
      </w:r>
      <w:r w:rsidRPr="00404DA5">
        <w:rPr>
          <w:rFonts w:cs="Calibri"/>
          <w:szCs w:val="20"/>
        </w:rPr>
        <w:t>łącznej wartości 131 605 256,41 zł. 61</w:t>
      </w:r>
      <w:r w:rsidR="00E66B89">
        <w:rPr>
          <w:rFonts w:cs="Calibri"/>
          <w:szCs w:val="20"/>
        </w:rPr>
        <w:t xml:space="preserve"> z </w:t>
      </w:r>
      <w:r w:rsidRPr="00404DA5">
        <w:rPr>
          <w:rFonts w:cs="Calibri"/>
          <w:szCs w:val="20"/>
        </w:rPr>
        <w:t>nich dotyczyło wsparcia edukacji przedszkolnej,</w:t>
      </w:r>
      <w:r w:rsidR="00E66B89">
        <w:rPr>
          <w:rFonts w:cs="Calibri"/>
          <w:szCs w:val="20"/>
        </w:rPr>
        <w:t xml:space="preserve"> a </w:t>
      </w:r>
      <w:r w:rsidRPr="00404DA5">
        <w:rPr>
          <w:rFonts w:cs="Calibri"/>
          <w:szCs w:val="20"/>
        </w:rPr>
        <w:t>pozostałych 101 – edukacji ogólnej. Dotychczasowe doświadczenia pokazują, że konkursy związane</w:t>
      </w:r>
      <w:r w:rsidR="00E66B89">
        <w:rPr>
          <w:rFonts w:cs="Calibri"/>
          <w:szCs w:val="20"/>
        </w:rPr>
        <w:t xml:space="preserve"> z </w:t>
      </w:r>
      <w:r w:rsidRPr="00404DA5">
        <w:rPr>
          <w:rFonts w:cs="Calibri"/>
          <w:szCs w:val="20"/>
        </w:rPr>
        <w:t>edukacją ogólną cieszą się dużym zainteresowaniem wnioskodawców. Znikoma jest też liczba rozwiązanych umów</w:t>
      </w:r>
      <w:r w:rsidR="00E66B89">
        <w:rPr>
          <w:rFonts w:cs="Calibri"/>
          <w:szCs w:val="20"/>
        </w:rPr>
        <w:t xml:space="preserve"> o </w:t>
      </w:r>
      <w:r w:rsidRPr="00404DA5">
        <w:rPr>
          <w:rFonts w:cs="Calibri"/>
          <w:szCs w:val="20"/>
        </w:rPr>
        <w:t>dofinansowanie. Również wyniki badania ilościowego CAWI przeprowadzonego wśród potencjalnych beneficjentów potwierdzają istnienie potencjału absorpcyjnego</w:t>
      </w:r>
      <w:r w:rsidR="00E66B89">
        <w:rPr>
          <w:rFonts w:cs="Calibri"/>
          <w:szCs w:val="20"/>
        </w:rPr>
        <w:t xml:space="preserve"> w </w:t>
      </w:r>
      <w:r w:rsidRPr="00404DA5">
        <w:rPr>
          <w:rFonts w:cs="Calibri"/>
          <w:szCs w:val="20"/>
        </w:rPr>
        <w:t>tym zakresie. Aż 41 beneficjentów zadeklarowało zainteresowanie aplikowaniem</w:t>
      </w:r>
      <w:r w:rsidR="00E66B89">
        <w:rPr>
          <w:rFonts w:cs="Calibri"/>
          <w:szCs w:val="20"/>
        </w:rPr>
        <w:t xml:space="preserve"> o </w:t>
      </w:r>
      <w:r w:rsidRPr="00404DA5">
        <w:rPr>
          <w:rFonts w:cs="Calibri"/>
          <w:szCs w:val="20"/>
        </w:rPr>
        <w:t>środki</w:t>
      </w:r>
      <w:r w:rsidR="00E66B89">
        <w:rPr>
          <w:rFonts w:cs="Calibri"/>
          <w:szCs w:val="20"/>
        </w:rPr>
        <w:t xml:space="preserve"> w </w:t>
      </w:r>
      <w:r w:rsidRPr="00404DA5">
        <w:rPr>
          <w:rFonts w:cs="Calibri"/>
          <w:szCs w:val="20"/>
        </w:rPr>
        <w:t xml:space="preserve">ramach Działania 8.2 </w:t>
      </w:r>
      <w:r w:rsidRPr="008B706B">
        <w:rPr>
          <w:rFonts w:cs="Calibri"/>
          <w:i/>
          <w:szCs w:val="20"/>
        </w:rPr>
        <w:t>Wsparcie szkół</w:t>
      </w:r>
      <w:r w:rsidR="00E66B89">
        <w:rPr>
          <w:rFonts w:cs="Calibri"/>
          <w:i/>
          <w:szCs w:val="20"/>
        </w:rPr>
        <w:t xml:space="preserve"> i </w:t>
      </w:r>
      <w:r w:rsidRPr="008B706B">
        <w:rPr>
          <w:rFonts w:cs="Calibri"/>
          <w:i/>
          <w:szCs w:val="20"/>
        </w:rPr>
        <w:t>placówek prowadzących kształcenie ogólne oraz uczniów uczestniczących</w:t>
      </w:r>
      <w:r w:rsidR="00E66B89">
        <w:rPr>
          <w:rFonts w:cs="Calibri"/>
          <w:i/>
          <w:szCs w:val="20"/>
        </w:rPr>
        <w:t xml:space="preserve"> w </w:t>
      </w:r>
      <w:r w:rsidRPr="008B706B">
        <w:rPr>
          <w:rFonts w:cs="Calibri"/>
          <w:i/>
          <w:szCs w:val="20"/>
        </w:rPr>
        <w:t>kształceniu podstawowym, gimnazjalnym,</w:t>
      </w:r>
      <w:r w:rsidRPr="008B706B">
        <w:rPr>
          <w:i/>
        </w:rPr>
        <w:t xml:space="preserve"> </w:t>
      </w:r>
      <w:r w:rsidRPr="008B706B">
        <w:rPr>
          <w:rFonts w:cs="Calibri"/>
          <w:i/>
          <w:szCs w:val="20"/>
        </w:rPr>
        <w:t>ponadpodstawowym</w:t>
      </w:r>
      <w:r w:rsidR="00E66B89">
        <w:rPr>
          <w:rFonts w:cs="Calibri"/>
          <w:i/>
          <w:szCs w:val="20"/>
        </w:rPr>
        <w:t xml:space="preserve"> i </w:t>
      </w:r>
      <w:r w:rsidRPr="008B706B">
        <w:rPr>
          <w:rFonts w:cs="Calibri"/>
          <w:i/>
          <w:szCs w:val="20"/>
        </w:rPr>
        <w:t>ponadgimnazjalnym</w:t>
      </w:r>
      <w:r w:rsidRPr="00404DA5">
        <w:rPr>
          <w:rFonts w:cs="Calibri"/>
          <w:szCs w:val="20"/>
        </w:rPr>
        <w:t>. Ponadto</w:t>
      </w:r>
      <w:r w:rsidR="00E66B89">
        <w:rPr>
          <w:rFonts w:cs="Calibri"/>
          <w:szCs w:val="20"/>
        </w:rPr>
        <w:t xml:space="preserve"> z </w:t>
      </w:r>
      <w:r w:rsidRPr="00404DA5">
        <w:rPr>
          <w:rFonts w:cs="Calibri"/>
          <w:szCs w:val="20"/>
        </w:rPr>
        <w:t xml:space="preserve">wypowiedzi przedstawicieli </w:t>
      </w:r>
      <w:r>
        <w:rPr>
          <w:rFonts w:cs="Calibri"/>
          <w:szCs w:val="20"/>
        </w:rPr>
        <w:t>IP</w:t>
      </w:r>
      <w:r w:rsidRPr="00404DA5">
        <w:rPr>
          <w:rFonts w:cs="Calibri"/>
          <w:szCs w:val="20"/>
        </w:rPr>
        <w:t xml:space="preserve"> wynika, że</w:t>
      </w:r>
      <w:r w:rsidR="00E66B89">
        <w:rPr>
          <w:rFonts w:cs="Calibri"/>
          <w:szCs w:val="20"/>
        </w:rPr>
        <w:t xml:space="preserve"> w </w:t>
      </w:r>
      <w:r w:rsidRPr="00404DA5">
        <w:rPr>
          <w:rFonts w:cs="Calibri"/>
          <w:szCs w:val="20"/>
        </w:rPr>
        <w:t>zachodniopomorskim panuje konsensus odnośnie konieczności podnoszenia jakości edukacji</w:t>
      </w:r>
      <w:r w:rsidR="00E66B89">
        <w:rPr>
          <w:rFonts w:cs="Calibri"/>
          <w:szCs w:val="20"/>
        </w:rPr>
        <w:t xml:space="preserve"> i </w:t>
      </w:r>
      <w:r w:rsidRPr="00404DA5">
        <w:rPr>
          <w:rFonts w:cs="Calibri"/>
          <w:szCs w:val="20"/>
        </w:rPr>
        <w:t>uzyskiwania dzięki temu wyższych wyników</w:t>
      </w:r>
      <w:r w:rsidR="00E66B89">
        <w:rPr>
          <w:rFonts w:cs="Calibri"/>
          <w:szCs w:val="20"/>
        </w:rPr>
        <w:t xml:space="preserve"> w </w:t>
      </w:r>
      <w:r w:rsidRPr="00404DA5">
        <w:rPr>
          <w:rFonts w:cs="Calibri"/>
          <w:szCs w:val="20"/>
        </w:rPr>
        <w:t xml:space="preserve">egzaminach maturalnych. </w:t>
      </w:r>
      <w:r w:rsidRPr="00486C9C">
        <w:rPr>
          <w:rFonts w:cs="Calibri"/>
          <w:szCs w:val="20"/>
        </w:rPr>
        <w:t>Ponadto, jak</w:t>
      </w:r>
      <w:r w:rsidRPr="00C22C26">
        <w:rPr>
          <w:rFonts w:cs="Calibri"/>
        </w:rPr>
        <w:t xml:space="preserve"> wskazali uczestnicy panelu eksperckiego,</w:t>
      </w:r>
      <w:r w:rsidRPr="00486C9C">
        <w:rPr>
          <w:rFonts w:cs="Calibri"/>
          <w:szCs w:val="20"/>
        </w:rPr>
        <w:t xml:space="preserve"> interwencja oraz odpowiadające jej wskaźniki </w:t>
      </w:r>
      <w:r>
        <w:rPr>
          <w:rFonts w:cs="Calibri"/>
          <w:szCs w:val="20"/>
        </w:rPr>
        <w:t>były planowane</w:t>
      </w:r>
      <w:r w:rsidR="00E66B89">
        <w:rPr>
          <w:rFonts w:cs="Calibri"/>
          <w:szCs w:val="20"/>
        </w:rPr>
        <w:t xml:space="preserve"> w </w:t>
      </w:r>
      <w:r>
        <w:rPr>
          <w:rFonts w:cs="Calibri"/>
          <w:szCs w:val="20"/>
        </w:rPr>
        <w:t>systemie edukacji, który obejmował gimnazjalny etap nauki.</w:t>
      </w:r>
      <w:r w:rsidR="00C22C26">
        <w:rPr>
          <w:rFonts w:cs="Calibri"/>
          <w:szCs w:val="20"/>
        </w:rPr>
        <w:t xml:space="preserve"> </w:t>
      </w:r>
      <w:r>
        <w:rPr>
          <w:rFonts w:cs="Calibri"/>
          <w:szCs w:val="20"/>
        </w:rPr>
        <w:t>To, że wskaźniki odnoszące do szkolnictwa ogólnego zostały osiągnięte, pomimo zmian instytucjonalnych</w:t>
      </w:r>
      <w:r w:rsidR="00E66B89">
        <w:rPr>
          <w:rFonts w:cs="Calibri"/>
          <w:szCs w:val="20"/>
        </w:rPr>
        <w:t xml:space="preserve"> w </w:t>
      </w:r>
      <w:r>
        <w:rPr>
          <w:rFonts w:cs="Calibri"/>
          <w:szCs w:val="20"/>
        </w:rPr>
        <w:t>systemie szkolnictwa, świadczy</w:t>
      </w:r>
      <w:r w:rsidR="00E66B89">
        <w:rPr>
          <w:rFonts w:cs="Calibri"/>
          <w:szCs w:val="20"/>
        </w:rPr>
        <w:t xml:space="preserve"> o </w:t>
      </w:r>
      <w:r>
        <w:rPr>
          <w:rFonts w:cs="Calibri"/>
          <w:szCs w:val="20"/>
        </w:rPr>
        <w:t>jego</w:t>
      </w:r>
      <w:r w:rsidRPr="00326610">
        <w:rPr>
          <w:rFonts w:cs="Calibri"/>
          <w:szCs w:val="20"/>
        </w:rPr>
        <w:t xml:space="preserve"> </w:t>
      </w:r>
      <w:r>
        <w:rPr>
          <w:rFonts w:cs="Calibri"/>
          <w:szCs w:val="20"/>
        </w:rPr>
        <w:t>wysokim potencjale absorpcyjnym.</w:t>
      </w:r>
    </w:p>
    <w:p w14:paraId="7B070D89" w14:textId="77777777" w:rsidR="00050FB4" w:rsidRPr="00404DA5" w:rsidRDefault="00050FB4" w:rsidP="00050FB4">
      <w:pPr>
        <w:rPr>
          <w:rFonts w:cs="Calibri"/>
          <w:szCs w:val="20"/>
        </w:rPr>
      </w:pPr>
      <w:r w:rsidRPr="00404DA5">
        <w:rPr>
          <w:rFonts w:cs="Calibri"/>
          <w:szCs w:val="20"/>
        </w:rPr>
        <w:t>Na rok 2019 nie planuje się naborów</w:t>
      </w:r>
      <w:r w:rsidR="00E66B89">
        <w:rPr>
          <w:rFonts w:cs="Calibri"/>
          <w:szCs w:val="20"/>
        </w:rPr>
        <w:t xml:space="preserve"> w </w:t>
      </w:r>
      <w:r w:rsidRPr="00404DA5">
        <w:rPr>
          <w:rFonts w:cs="Calibri"/>
          <w:szCs w:val="20"/>
        </w:rPr>
        <w:t>Działaniach 8.2</w:t>
      </w:r>
      <w:r w:rsidR="00E66B89">
        <w:rPr>
          <w:rFonts w:cs="Calibri"/>
          <w:szCs w:val="20"/>
        </w:rPr>
        <w:t xml:space="preserve"> i </w:t>
      </w:r>
      <w:r w:rsidRPr="00404DA5">
        <w:rPr>
          <w:rFonts w:cs="Calibri"/>
          <w:szCs w:val="20"/>
        </w:rPr>
        <w:t xml:space="preserve">8.3. </w:t>
      </w:r>
      <w:r w:rsidRPr="005F04FC">
        <w:rPr>
          <w:rFonts w:cs="Calibri"/>
          <w:szCs w:val="20"/>
        </w:rPr>
        <w:t>Możliwość organizacji takich naborów pojawić by się mogła, jeśli po przeglądzie śródokresowym do Działań tych zostałyby przesunięte dodatkowe środki. Ewentualne przesunięcie środków na Działania 8.2</w:t>
      </w:r>
      <w:r w:rsidR="00E66B89" w:rsidRPr="005F04FC">
        <w:rPr>
          <w:rFonts w:cs="Calibri"/>
          <w:szCs w:val="20"/>
        </w:rPr>
        <w:t xml:space="preserve"> i </w:t>
      </w:r>
      <w:r w:rsidRPr="005F04FC">
        <w:rPr>
          <w:rFonts w:cs="Calibri"/>
          <w:szCs w:val="20"/>
        </w:rPr>
        <w:t>8.3 wymagałoby podjęcia kolejnych negocjacji IZ RPO WZ</w:t>
      </w:r>
      <w:r w:rsidR="00E66B89" w:rsidRPr="005F04FC">
        <w:rPr>
          <w:rFonts w:cs="Calibri"/>
          <w:szCs w:val="20"/>
        </w:rPr>
        <w:t xml:space="preserve"> z </w:t>
      </w:r>
      <w:r w:rsidRPr="005F04FC">
        <w:rPr>
          <w:rFonts w:cs="Calibri"/>
          <w:szCs w:val="20"/>
        </w:rPr>
        <w:t xml:space="preserve">Komisją Europejską. </w:t>
      </w:r>
    </w:p>
    <w:p w14:paraId="589F3E6C" w14:textId="77777777" w:rsidR="00050FB4" w:rsidRPr="00404DA5" w:rsidRDefault="00050FB4" w:rsidP="00050FB4">
      <w:pPr>
        <w:rPr>
          <w:rFonts w:cs="Calibri"/>
          <w:szCs w:val="20"/>
        </w:rPr>
      </w:pPr>
      <w:r w:rsidRPr="00404DA5">
        <w:rPr>
          <w:rFonts w:cs="Calibri"/>
          <w:szCs w:val="20"/>
        </w:rPr>
        <w:t>Odmienna sytuacja panuje</w:t>
      </w:r>
      <w:r w:rsidR="00E66B89">
        <w:rPr>
          <w:rFonts w:cs="Calibri"/>
          <w:szCs w:val="20"/>
        </w:rPr>
        <w:t xml:space="preserve"> w </w:t>
      </w:r>
      <w:r w:rsidRPr="00404DA5">
        <w:rPr>
          <w:rFonts w:cs="Calibri"/>
          <w:szCs w:val="20"/>
        </w:rPr>
        <w:t>działaniach ukierunkowanych na rozwój edukacji przedszkolnej. Dotychczasowy postęp rzeczowy był niewystarczający. Beneficjenci mieli problemy</w:t>
      </w:r>
      <w:r w:rsidR="00E66B89">
        <w:rPr>
          <w:rFonts w:cs="Calibri"/>
          <w:szCs w:val="20"/>
        </w:rPr>
        <w:t xml:space="preserve"> z </w:t>
      </w:r>
      <w:r w:rsidRPr="00404DA5">
        <w:rPr>
          <w:rFonts w:cs="Calibri"/>
          <w:szCs w:val="20"/>
        </w:rPr>
        <w:t>osiąganiem wskaźników związanych</w:t>
      </w:r>
      <w:r w:rsidR="00E66B89">
        <w:rPr>
          <w:rFonts w:cs="Calibri"/>
          <w:szCs w:val="20"/>
        </w:rPr>
        <w:t xml:space="preserve"> z </w:t>
      </w:r>
      <w:r w:rsidRPr="00404DA5">
        <w:rPr>
          <w:rFonts w:cs="Calibri"/>
          <w:szCs w:val="20"/>
        </w:rPr>
        <w:t>tworzeniem nowych miejsc edukacji przedszkolnej.</w:t>
      </w:r>
      <w:r w:rsidR="00E66B89">
        <w:rPr>
          <w:rFonts w:cs="Calibri"/>
          <w:szCs w:val="20"/>
        </w:rPr>
        <w:t xml:space="preserve"> Z </w:t>
      </w:r>
      <w:r w:rsidRPr="00404DA5">
        <w:rPr>
          <w:rFonts w:cs="Calibri"/>
          <w:szCs w:val="20"/>
        </w:rPr>
        <w:t>drugiej strony,</w:t>
      </w:r>
      <w:r w:rsidR="00E66B89">
        <w:rPr>
          <w:rFonts w:cs="Calibri"/>
          <w:szCs w:val="20"/>
        </w:rPr>
        <w:t xml:space="preserve"> w </w:t>
      </w:r>
      <w:r w:rsidRPr="00404DA5">
        <w:rPr>
          <w:rFonts w:cs="Calibri"/>
          <w:szCs w:val="20"/>
        </w:rPr>
        <w:t>badaniu CAWI 53 respondentów wyraziło zainteresowanie aplikowaniem</w:t>
      </w:r>
      <w:r w:rsidR="00E66B89">
        <w:rPr>
          <w:rFonts w:cs="Calibri"/>
          <w:szCs w:val="20"/>
        </w:rPr>
        <w:t xml:space="preserve"> o </w:t>
      </w:r>
      <w:r w:rsidRPr="00404DA5">
        <w:rPr>
          <w:rFonts w:cs="Calibri"/>
          <w:szCs w:val="20"/>
        </w:rPr>
        <w:t>środki na upowszechnienie edukacji przedszkolnej</w:t>
      </w:r>
      <w:r>
        <w:rPr>
          <w:rFonts w:cs="Calibri"/>
          <w:szCs w:val="20"/>
        </w:rPr>
        <w:t>,</w:t>
      </w:r>
      <w:r w:rsidR="00E66B89">
        <w:rPr>
          <w:rFonts w:cs="Calibri"/>
          <w:szCs w:val="20"/>
        </w:rPr>
        <w:t xml:space="preserve"> a </w:t>
      </w:r>
      <w:r w:rsidRPr="00404DA5">
        <w:rPr>
          <w:rFonts w:cs="Calibri"/>
          <w:szCs w:val="20"/>
        </w:rPr>
        <w:t>23</w:t>
      </w:r>
      <w:r w:rsidR="00E66B89">
        <w:rPr>
          <w:rFonts w:cs="Calibri"/>
          <w:szCs w:val="20"/>
        </w:rPr>
        <w:t xml:space="preserve"> z </w:t>
      </w:r>
      <w:r w:rsidRPr="00404DA5">
        <w:rPr>
          <w:rFonts w:cs="Calibri"/>
          <w:szCs w:val="20"/>
        </w:rPr>
        <w:t>nich stwierdziło, że rozpoczęło proces przygotowywania dokumentów aplikacyjnych. Co więcej</w:t>
      </w:r>
      <w:r w:rsidR="00E66B89">
        <w:rPr>
          <w:rFonts w:cs="Calibri"/>
          <w:szCs w:val="20"/>
        </w:rPr>
        <w:t xml:space="preserve"> w </w:t>
      </w:r>
      <w:r w:rsidRPr="00404DA5">
        <w:rPr>
          <w:rFonts w:cs="Calibri"/>
          <w:szCs w:val="20"/>
        </w:rPr>
        <w:t>regionie</w:t>
      </w:r>
      <w:r>
        <w:rPr>
          <w:rFonts w:cs="Calibri"/>
          <w:szCs w:val="20"/>
        </w:rPr>
        <w:t xml:space="preserve"> nadal</w:t>
      </w:r>
      <w:r w:rsidRPr="00404DA5">
        <w:rPr>
          <w:rFonts w:cs="Calibri"/>
          <w:szCs w:val="20"/>
        </w:rPr>
        <w:t xml:space="preserve"> istnieją rejony</w:t>
      </w:r>
      <w:r>
        <w:rPr>
          <w:rFonts w:cs="Calibri"/>
          <w:szCs w:val="20"/>
        </w:rPr>
        <w:t xml:space="preserve"> wiejskie</w:t>
      </w:r>
      <w:r w:rsidR="00E66B89">
        <w:rPr>
          <w:rFonts w:cs="Calibri"/>
          <w:szCs w:val="20"/>
        </w:rPr>
        <w:t xml:space="preserve"> o </w:t>
      </w:r>
      <w:r w:rsidRPr="00404DA5">
        <w:rPr>
          <w:rFonts w:cs="Calibri"/>
          <w:szCs w:val="20"/>
        </w:rPr>
        <w:t>współczynniku objęcia edukacją przedszkolną dzieci</w:t>
      </w:r>
      <w:r w:rsidR="00E66B89">
        <w:rPr>
          <w:rFonts w:cs="Calibri"/>
          <w:szCs w:val="20"/>
        </w:rPr>
        <w:t xml:space="preserve"> w </w:t>
      </w:r>
      <w:r w:rsidRPr="00404DA5">
        <w:rPr>
          <w:rFonts w:cs="Calibri"/>
          <w:szCs w:val="20"/>
        </w:rPr>
        <w:t>wieku 3-</w:t>
      </w:r>
      <w:r>
        <w:rPr>
          <w:rFonts w:cs="Calibri"/>
          <w:szCs w:val="20"/>
        </w:rPr>
        <w:t>5 lat na poziomie 40%</w:t>
      </w:r>
      <w:r w:rsidRPr="00404DA5">
        <w:rPr>
          <w:rFonts w:cs="Calibri"/>
          <w:szCs w:val="20"/>
        </w:rPr>
        <w:t>,</w:t>
      </w:r>
      <w:r w:rsidR="00E66B89">
        <w:rPr>
          <w:rFonts w:cs="Calibri"/>
          <w:szCs w:val="20"/>
        </w:rPr>
        <w:t xml:space="preserve"> w </w:t>
      </w:r>
      <w:r w:rsidRPr="00404DA5">
        <w:rPr>
          <w:rFonts w:cs="Calibri"/>
          <w:szCs w:val="20"/>
        </w:rPr>
        <w:t>których</w:t>
      </w:r>
      <w:r>
        <w:rPr>
          <w:rFonts w:cs="Calibri"/>
          <w:szCs w:val="20"/>
        </w:rPr>
        <w:t xml:space="preserve"> to</w:t>
      </w:r>
      <w:r w:rsidRPr="00404DA5">
        <w:rPr>
          <w:rFonts w:cs="Calibri"/>
          <w:szCs w:val="20"/>
        </w:rPr>
        <w:t xml:space="preserve"> potencjalnie można spodziewać się zainteresowania aplikowaniem</w:t>
      </w:r>
      <w:r w:rsidR="00E66B89">
        <w:rPr>
          <w:rFonts w:cs="Calibri"/>
          <w:szCs w:val="20"/>
        </w:rPr>
        <w:t xml:space="preserve"> o </w:t>
      </w:r>
      <w:r w:rsidRPr="00404DA5">
        <w:rPr>
          <w:rFonts w:cs="Calibri"/>
          <w:szCs w:val="20"/>
        </w:rPr>
        <w:t>środki na tworzenie nowych miejsc</w:t>
      </w:r>
      <w:r w:rsidR="00E66B89">
        <w:rPr>
          <w:rFonts w:cs="Calibri"/>
          <w:szCs w:val="20"/>
        </w:rPr>
        <w:t xml:space="preserve"> w </w:t>
      </w:r>
      <w:r w:rsidRPr="00404DA5">
        <w:rPr>
          <w:rFonts w:cs="Calibri"/>
          <w:szCs w:val="20"/>
        </w:rPr>
        <w:t>przedszkolach.</w:t>
      </w:r>
      <w:r>
        <w:rPr>
          <w:rFonts w:cs="Calibri"/>
          <w:szCs w:val="20"/>
        </w:rPr>
        <w:t xml:space="preserve"> </w:t>
      </w:r>
      <w:r>
        <w:rPr>
          <w:rFonts w:cs="Calibri"/>
          <w:szCs w:val="20"/>
        </w:rPr>
        <w:lastRenderedPageBreak/>
        <w:t xml:space="preserve">Jednakże </w:t>
      </w:r>
      <w:r w:rsidRPr="00577DFE">
        <w:rPr>
          <w:rFonts w:cs="Calibri"/>
          <w:szCs w:val="20"/>
        </w:rPr>
        <w:t>na terenach słabo zurbanizowanych ciężko jest zorganizować opiekę przedszkolną</w:t>
      </w:r>
      <w:r>
        <w:rPr>
          <w:rFonts w:cs="Calibri"/>
          <w:szCs w:val="20"/>
        </w:rPr>
        <w:t>, ponieważ</w:t>
      </w:r>
      <w:r w:rsidRPr="00577DFE">
        <w:rPr>
          <w:rFonts w:cs="Calibri"/>
          <w:szCs w:val="20"/>
        </w:rPr>
        <w:t xml:space="preserve"> dotacja ministerialna (1</w:t>
      </w:r>
      <w:r>
        <w:rPr>
          <w:rFonts w:cs="Calibri"/>
          <w:szCs w:val="20"/>
        </w:rPr>
        <w:t xml:space="preserve"> </w:t>
      </w:r>
      <w:r w:rsidRPr="00577DFE">
        <w:rPr>
          <w:rFonts w:cs="Calibri"/>
          <w:szCs w:val="20"/>
        </w:rPr>
        <w:t>370zł rocznie na 1 dziecko</w:t>
      </w:r>
      <w:r w:rsidR="00E66B89">
        <w:rPr>
          <w:rFonts w:cs="Calibri"/>
          <w:szCs w:val="20"/>
        </w:rPr>
        <w:t xml:space="preserve"> w </w:t>
      </w:r>
      <w:r w:rsidRPr="00577DFE">
        <w:rPr>
          <w:rFonts w:cs="Calibri"/>
          <w:szCs w:val="20"/>
        </w:rPr>
        <w:t xml:space="preserve">roku 2018) nie wystarcza na pokrycie kosztów osobowych dla </w:t>
      </w:r>
      <w:r>
        <w:rPr>
          <w:rFonts w:cs="Calibri"/>
          <w:szCs w:val="20"/>
        </w:rPr>
        <w:t xml:space="preserve">niewielkiego </w:t>
      </w:r>
      <w:r w:rsidRPr="00577DFE">
        <w:rPr>
          <w:rFonts w:cs="Calibri"/>
          <w:szCs w:val="20"/>
        </w:rPr>
        <w:t>przedszkola</w:t>
      </w:r>
      <w:r>
        <w:rPr>
          <w:rFonts w:cs="Calibri"/>
          <w:szCs w:val="20"/>
        </w:rPr>
        <w:t>,</w:t>
      </w:r>
      <w:r w:rsidRPr="00577DFE">
        <w:rPr>
          <w:rFonts w:cs="Calibri"/>
          <w:szCs w:val="20"/>
        </w:rPr>
        <w:t xml:space="preserve"> liczącego np. 20 dzieci,</w:t>
      </w:r>
      <w:r w:rsidR="00E66B89">
        <w:rPr>
          <w:rFonts w:cs="Calibri"/>
          <w:szCs w:val="20"/>
        </w:rPr>
        <w:t xml:space="preserve"> a </w:t>
      </w:r>
      <w:r w:rsidRPr="00577DFE">
        <w:rPr>
          <w:rFonts w:cs="Calibri"/>
          <w:szCs w:val="20"/>
        </w:rPr>
        <w:t>barierą uniemożliwiającą tworzenie większych przedszkoli są spore odległości pomiędzy poszczególnymi wsiami</w:t>
      </w:r>
      <w:r>
        <w:rPr>
          <w:rFonts w:cs="Calibri"/>
          <w:szCs w:val="20"/>
        </w:rPr>
        <w:t>.</w:t>
      </w:r>
      <w:r w:rsidR="00E66B89">
        <w:rPr>
          <w:rFonts w:cs="Calibri"/>
          <w:szCs w:val="20"/>
        </w:rPr>
        <w:t xml:space="preserve"> W </w:t>
      </w:r>
      <w:r>
        <w:rPr>
          <w:rFonts w:cs="Calibri"/>
          <w:szCs w:val="20"/>
        </w:rPr>
        <w:t>związku</w:t>
      </w:r>
      <w:r w:rsidR="00E66B89">
        <w:rPr>
          <w:rFonts w:cs="Calibri"/>
          <w:szCs w:val="20"/>
        </w:rPr>
        <w:t xml:space="preserve"> z </w:t>
      </w:r>
      <w:r>
        <w:rPr>
          <w:rFonts w:cs="Calibri"/>
          <w:szCs w:val="20"/>
        </w:rPr>
        <w:t>tym,</w:t>
      </w:r>
      <w:r w:rsidRPr="00404DA5">
        <w:rPr>
          <w:rFonts w:cs="Calibri"/>
          <w:szCs w:val="20"/>
        </w:rPr>
        <w:t xml:space="preserve"> na uwolnienie potencjału absorpcyjnego we wsparciu przedszkoli pozwoliłaby zmiana</w:t>
      </w:r>
      <w:r w:rsidR="00E66B89">
        <w:rPr>
          <w:rFonts w:cs="Calibri"/>
          <w:szCs w:val="20"/>
        </w:rPr>
        <w:t xml:space="preserve"> w </w:t>
      </w:r>
      <w:r w:rsidRPr="00404DA5">
        <w:rPr>
          <w:rFonts w:cs="Calibri"/>
          <w:szCs w:val="20"/>
        </w:rPr>
        <w:t>warunkach konkursu</w:t>
      </w:r>
      <w:r w:rsidR="00E66B89">
        <w:rPr>
          <w:rFonts w:cs="Calibri"/>
          <w:szCs w:val="20"/>
        </w:rPr>
        <w:t xml:space="preserve"> i </w:t>
      </w:r>
      <w:r w:rsidRPr="00404DA5">
        <w:rPr>
          <w:rFonts w:cs="Calibri"/>
          <w:szCs w:val="20"/>
        </w:rPr>
        <w:t>odejście od wymogu tworzenia nowych miejsc</w:t>
      </w:r>
      <w:r w:rsidR="00E66B89">
        <w:rPr>
          <w:rFonts w:cs="Calibri"/>
          <w:szCs w:val="20"/>
        </w:rPr>
        <w:t xml:space="preserve"> w </w:t>
      </w:r>
      <w:r w:rsidRPr="00404DA5">
        <w:rPr>
          <w:rFonts w:cs="Calibri"/>
          <w:szCs w:val="20"/>
        </w:rPr>
        <w:t xml:space="preserve">przedszkolach. Kolejne konkursy (w </w:t>
      </w:r>
      <w:r>
        <w:rPr>
          <w:rFonts w:cs="Calibri"/>
          <w:szCs w:val="20"/>
        </w:rPr>
        <w:t>D</w:t>
      </w:r>
      <w:r w:rsidRPr="00404DA5">
        <w:rPr>
          <w:rFonts w:cs="Calibri"/>
          <w:szCs w:val="20"/>
        </w:rPr>
        <w:t>ziałaniu 8.1 planowany jest jeszcze jeden konkurs</w:t>
      </w:r>
      <w:r w:rsidR="00E66B89">
        <w:rPr>
          <w:rFonts w:cs="Calibri"/>
          <w:szCs w:val="20"/>
        </w:rPr>
        <w:t xml:space="preserve"> w </w:t>
      </w:r>
      <w:r w:rsidRPr="00404DA5">
        <w:rPr>
          <w:rFonts w:cs="Calibri"/>
          <w:szCs w:val="20"/>
        </w:rPr>
        <w:t>2019 roku) powinny się skupiać</w:t>
      </w:r>
      <w:r>
        <w:rPr>
          <w:rFonts w:cs="Calibri"/>
          <w:szCs w:val="20"/>
        </w:rPr>
        <w:t>,</w:t>
      </w:r>
      <w:r w:rsidRPr="00404DA5">
        <w:rPr>
          <w:rFonts w:cs="Calibri"/>
          <w:szCs w:val="20"/>
        </w:rPr>
        <w:t xml:space="preserve"> nie tyle na rozszerzeniu zakresu edukacji przedszkolnej, </w:t>
      </w:r>
      <w:r>
        <w:rPr>
          <w:rFonts w:cs="Calibri"/>
          <w:szCs w:val="20"/>
        </w:rPr>
        <w:t>co</w:t>
      </w:r>
      <w:r w:rsidRPr="00404DA5">
        <w:rPr>
          <w:rFonts w:cs="Calibri"/>
          <w:szCs w:val="20"/>
        </w:rPr>
        <w:t xml:space="preserve"> na podniesieniu jakości zajęć oferowanych</w:t>
      </w:r>
      <w:r w:rsidR="00E66B89">
        <w:rPr>
          <w:rFonts w:cs="Calibri"/>
          <w:szCs w:val="20"/>
        </w:rPr>
        <w:t xml:space="preserve"> w </w:t>
      </w:r>
      <w:r w:rsidRPr="00404DA5">
        <w:rPr>
          <w:rFonts w:cs="Calibri"/>
          <w:szCs w:val="20"/>
        </w:rPr>
        <w:t xml:space="preserve">przedszkolach. </w:t>
      </w:r>
    </w:p>
    <w:p w14:paraId="702AA699" w14:textId="77777777" w:rsidR="00050FB4" w:rsidRPr="001A4EBB" w:rsidRDefault="00050FB4" w:rsidP="00050FB4">
      <w:pPr>
        <w:rPr>
          <w:rFonts w:eastAsia="Calibri"/>
          <w:color w:val="000000"/>
          <w:szCs w:val="20"/>
          <w:lang w:eastAsia="en-US"/>
        </w:rPr>
      </w:pPr>
      <w:r w:rsidRPr="00404DA5">
        <w:rPr>
          <w:rFonts w:cs="Calibri"/>
          <w:szCs w:val="20"/>
        </w:rPr>
        <w:t xml:space="preserve">Podsumowując należy zwrócić uwagę na utrzymującą się nadal zdolność </w:t>
      </w:r>
      <w:r w:rsidR="005D667D" w:rsidRPr="00404DA5">
        <w:rPr>
          <w:rFonts w:cs="Calibri"/>
          <w:szCs w:val="20"/>
        </w:rPr>
        <w:t>absor</w:t>
      </w:r>
      <w:r w:rsidR="005D667D">
        <w:rPr>
          <w:rFonts w:cs="Calibri"/>
          <w:szCs w:val="20"/>
        </w:rPr>
        <w:t>p</w:t>
      </w:r>
      <w:r w:rsidR="005D667D" w:rsidRPr="00404DA5">
        <w:rPr>
          <w:rFonts w:cs="Calibri"/>
          <w:szCs w:val="20"/>
        </w:rPr>
        <w:t>cji</w:t>
      </w:r>
      <w:r w:rsidR="005D667D">
        <w:rPr>
          <w:rFonts w:cs="Calibri"/>
          <w:szCs w:val="20"/>
        </w:rPr>
        <w:t xml:space="preserve"> </w:t>
      </w:r>
      <w:r w:rsidR="00E66B89">
        <w:rPr>
          <w:rFonts w:cs="Calibri"/>
          <w:szCs w:val="20"/>
        </w:rPr>
        <w:t>w </w:t>
      </w:r>
      <w:r w:rsidRPr="00404DA5">
        <w:rPr>
          <w:rFonts w:cs="Calibri"/>
          <w:szCs w:val="20"/>
        </w:rPr>
        <w:t xml:space="preserve">obszarze szkolnictwa ogólnego, podstawowego, ponadpodstawowego, gimnazjalnego oraz ponadgimnazjalnego. </w:t>
      </w:r>
      <w:r>
        <w:rPr>
          <w:rFonts w:cs="Calibri"/>
          <w:szCs w:val="20"/>
        </w:rPr>
        <w:t>Z</w:t>
      </w:r>
      <w:r w:rsidRPr="00404DA5">
        <w:rPr>
          <w:rFonts w:cs="Calibri"/>
          <w:szCs w:val="20"/>
        </w:rPr>
        <w:t>e względu na chłonność oraz</w:t>
      </w:r>
      <w:r w:rsidR="00E66B89">
        <w:rPr>
          <w:rFonts w:cs="Calibri"/>
          <w:szCs w:val="20"/>
        </w:rPr>
        <w:t xml:space="preserve"> z </w:t>
      </w:r>
      <w:r w:rsidRPr="00404DA5">
        <w:rPr>
          <w:rFonts w:cs="Calibri"/>
          <w:szCs w:val="20"/>
        </w:rPr>
        <w:t>uwagi na istniejące potrzeby</w:t>
      </w:r>
      <w:r w:rsidR="00E66B89">
        <w:rPr>
          <w:rFonts w:cs="Calibri"/>
          <w:szCs w:val="20"/>
        </w:rPr>
        <w:t xml:space="preserve"> w </w:t>
      </w:r>
      <w:r w:rsidRPr="00404DA5">
        <w:rPr>
          <w:rFonts w:cs="Calibri"/>
          <w:szCs w:val="20"/>
        </w:rPr>
        <w:t>zakresie podnoszenia jakości edukacji</w:t>
      </w:r>
      <w:r>
        <w:rPr>
          <w:rFonts w:cs="Calibri"/>
          <w:szCs w:val="20"/>
        </w:rPr>
        <w:t>,</w:t>
      </w:r>
      <w:r w:rsidRPr="00404DA5">
        <w:rPr>
          <w:rFonts w:cs="Calibri"/>
          <w:szCs w:val="20"/>
        </w:rPr>
        <w:t xml:space="preserve"> należy wspierać ten obszar interwencji.</w:t>
      </w:r>
      <w:r>
        <w:rPr>
          <w:rFonts w:cs="Calibri"/>
          <w:szCs w:val="20"/>
        </w:rPr>
        <w:t xml:space="preserve"> </w:t>
      </w:r>
      <w:r w:rsidRPr="00404DA5">
        <w:rPr>
          <w:rFonts w:cs="Calibri"/>
          <w:szCs w:val="20"/>
        </w:rPr>
        <w:t xml:space="preserve">W przypadku edukacji przedszkolnej ze względu na ograniczony potencjał </w:t>
      </w:r>
      <w:r w:rsidR="005D667D" w:rsidRPr="00404DA5">
        <w:rPr>
          <w:rFonts w:cs="Calibri"/>
          <w:szCs w:val="20"/>
        </w:rPr>
        <w:t>absorpcji</w:t>
      </w:r>
      <w:r w:rsidRPr="00404DA5">
        <w:rPr>
          <w:rFonts w:cs="Calibri"/>
          <w:szCs w:val="20"/>
        </w:rPr>
        <w:t xml:space="preserve"> należy ograniczyć interwencje do już zaplanowanych konkursów.</w:t>
      </w:r>
    </w:p>
    <w:p w14:paraId="2F4634F8"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336ACB76" w14:textId="77777777" w:rsidR="00050FB4" w:rsidRPr="00404DA5" w:rsidRDefault="00050FB4" w:rsidP="00050FB4">
      <w:pPr>
        <w:rPr>
          <w:rFonts w:cs="Calibri"/>
          <w:szCs w:val="20"/>
        </w:rPr>
      </w:pPr>
      <w:r>
        <w:rPr>
          <w:rFonts w:cs="Calibri"/>
          <w:szCs w:val="20"/>
        </w:rPr>
        <w:t>W</w:t>
      </w:r>
      <w:r w:rsidRPr="00404DA5">
        <w:rPr>
          <w:rFonts w:cs="Calibri"/>
          <w:szCs w:val="20"/>
        </w:rPr>
        <w:t xml:space="preserve"> dniu 7.01.2019 roku </w:t>
      </w:r>
      <w:r>
        <w:rPr>
          <w:rFonts w:cs="Calibri"/>
          <w:szCs w:val="20"/>
        </w:rPr>
        <w:t xml:space="preserve">dostępna wciąż dla Działań </w:t>
      </w:r>
      <w:r w:rsidRPr="00E65914">
        <w:rPr>
          <w:rFonts w:cs="Calibri"/>
          <w:szCs w:val="20"/>
        </w:rPr>
        <w:t>8.1, 8.2, 8.3, 8.4</w:t>
      </w:r>
      <w:r w:rsidR="00E66B89">
        <w:rPr>
          <w:rFonts w:cs="Calibri"/>
          <w:szCs w:val="20"/>
        </w:rPr>
        <w:t xml:space="preserve"> i </w:t>
      </w:r>
      <w:r w:rsidRPr="00E65914">
        <w:rPr>
          <w:rFonts w:cs="Calibri"/>
          <w:szCs w:val="20"/>
        </w:rPr>
        <w:t xml:space="preserve">8.5 </w:t>
      </w:r>
      <w:r>
        <w:rPr>
          <w:rFonts w:cs="Calibri"/>
          <w:szCs w:val="20"/>
        </w:rPr>
        <w:t xml:space="preserve">alokacja (z rezerwą wykonania) </w:t>
      </w:r>
      <w:r w:rsidRPr="00404DA5">
        <w:rPr>
          <w:rFonts w:cs="Calibri"/>
          <w:szCs w:val="20"/>
        </w:rPr>
        <w:t xml:space="preserve">wynosiła 64 516 855,98 zł. Gdyby pozostałą alokację skierowano na takie typy projektów jak dotychczas, osiągnięto by wskaźniki produktu na poziomie przekraczającym założone cele, poza dwoma przypadkami. Oba dotyczą edukacji przedszkolnej. </w:t>
      </w:r>
      <w:r>
        <w:rPr>
          <w:rFonts w:cs="Calibri"/>
          <w:szCs w:val="20"/>
        </w:rPr>
        <w:t xml:space="preserve">Biorąc pod uwagę pozostałą alokację oraz dotychczasowy poziom </w:t>
      </w:r>
      <w:r w:rsidR="005D667D">
        <w:rPr>
          <w:rFonts w:cs="Calibri"/>
          <w:szCs w:val="20"/>
        </w:rPr>
        <w:t>absorpcji</w:t>
      </w:r>
      <w:r>
        <w:rPr>
          <w:rFonts w:cs="Calibri"/>
          <w:szCs w:val="20"/>
        </w:rPr>
        <w:t xml:space="preserve"> środków p</w:t>
      </w:r>
      <w:r w:rsidRPr="00404DA5">
        <w:rPr>
          <w:rFonts w:cs="Calibri"/>
          <w:szCs w:val="20"/>
        </w:rPr>
        <w:t>rzewidywane jest, że</w:t>
      </w:r>
      <w:r w:rsidR="00E66B89">
        <w:rPr>
          <w:rFonts w:cs="Calibri"/>
          <w:szCs w:val="20"/>
        </w:rPr>
        <w:t xml:space="preserve"> w </w:t>
      </w:r>
      <w:r w:rsidRPr="00404DA5">
        <w:rPr>
          <w:rFonts w:cs="Calibri"/>
          <w:szCs w:val="20"/>
        </w:rPr>
        <w:t xml:space="preserve">ramach RPO WZ 2014-2020 dofinansowanych zostanie </w:t>
      </w:r>
      <w:r>
        <w:rPr>
          <w:rFonts w:cs="Calibri"/>
          <w:szCs w:val="20"/>
        </w:rPr>
        <w:t>3 500</w:t>
      </w:r>
      <w:r>
        <w:rPr>
          <w:rFonts w:cs="Calibri"/>
          <w:szCs w:val="18"/>
        </w:rPr>
        <w:t xml:space="preserve"> miejsc edukacji przedszkolnej</w:t>
      </w:r>
      <w:r w:rsidR="00E66B89">
        <w:rPr>
          <w:rFonts w:cs="Calibri"/>
          <w:szCs w:val="18"/>
        </w:rPr>
        <w:t xml:space="preserve"> z </w:t>
      </w:r>
      <w:r>
        <w:rPr>
          <w:rFonts w:cs="Calibri"/>
          <w:szCs w:val="18"/>
        </w:rPr>
        <w:t xml:space="preserve">zakładanych 12 000 (29%). Także wskaźnik </w:t>
      </w:r>
      <w:r w:rsidRPr="00D37CB4">
        <w:rPr>
          <w:rFonts w:cs="Calibri"/>
          <w:i/>
          <w:szCs w:val="18"/>
        </w:rPr>
        <w:t>Liczba dzieci objętych</w:t>
      </w:r>
      <w:r w:rsidR="00E66B89">
        <w:rPr>
          <w:rFonts w:cs="Calibri"/>
          <w:i/>
          <w:szCs w:val="18"/>
        </w:rPr>
        <w:t xml:space="preserve"> w </w:t>
      </w:r>
      <w:r w:rsidRPr="00D37CB4">
        <w:rPr>
          <w:rFonts w:cs="Calibri"/>
          <w:i/>
          <w:szCs w:val="18"/>
        </w:rPr>
        <w:t>ramach programu dodatkowymi zajęciami zwiększającymi ich szanse edukacyjne</w:t>
      </w:r>
      <w:r w:rsidR="00E66B89">
        <w:rPr>
          <w:rFonts w:cs="Calibri"/>
          <w:i/>
          <w:szCs w:val="18"/>
        </w:rPr>
        <w:t xml:space="preserve"> w </w:t>
      </w:r>
      <w:r w:rsidRPr="00D37CB4">
        <w:rPr>
          <w:rFonts w:cs="Calibri"/>
          <w:i/>
          <w:szCs w:val="18"/>
        </w:rPr>
        <w:t>edukacji przedszkolnej</w:t>
      </w:r>
      <w:r>
        <w:rPr>
          <w:rFonts w:cs="Calibri"/>
          <w:szCs w:val="18"/>
        </w:rPr>
        <w:t xml:space="preserve"> nie osiągnie planowanych wartości</w:t>
      </w:r>
      <w:r w:rsidR="00E66B89">
        <w:rPr>
          <w:rFonts w:cs="Calibri"/>
          <w:szCs w:val="18"/>
        </w:rPr>
        <w:t xml:space="preserve"> i </w:t>
      </w:r>
      <w:r>
        <w:rPr>
          <w:rFonts w:cs="Calibri"/>
          <w:szCs w:val="18"/>
        </w:rPr>
        <w:t>poziom jego realizacji wyniesie 66%. Ewentualna rezygnacja</w:t>
      </w:r>
      <w:r w:rsidR="00E66B89">
        <w:rPr>
          <w:rFonts w:cs="Calibri"/>
          <w:szCs w:val="18"/>
        </w:rPr>
        <w:t xml:space="preserve"> z </w:t>
      </w:r>
      <w:r>
        <w:rPr>
          <w:rFonts w:cs="Calibri"/>
          <w:szCs w:val="18"/>
        </w:rPr>
        <w:t>wymogu tworzenia nowych miejsc wychowania przedszkolnego spowodowałaby obniżenie kosztów jednostkowych</w:t>
      </w:r>
      <w:r w:rsidR="00E66B89">
        <w:rPr>
          <w:rFonts w:cs="Calibri"/>
          <w:szCs w:val="18"/>
        </w:rPr>
        <w:t xml:space="preserve"> w </w:t>
      </w:r>
      <w:r>
        <w:rPr>
          <w:rFonts w:cs="Calibri"/>
          <w:szCs w:val="18"/>
        </w:rPr>
        <w:t xml:space="preserve">działaniach ukierunkowanych na wsparcie przedszkoli. Dzięki temu możliwe będzie zbliżenie się do zakładanych wartości docelowych wskaźnika </w:t>
      </w:r>
      <w:r w:rsidRPr="008770D1">
        <w:rPr>
          <w:rFonts w:cs="Calibri"/>
          <w:i/>
          <w:szCs w:val="18"/>
        </w:rPr>
        <w:t>Liczba dzieci objętych</w:t>
      </w:r>
      <w:r w:rsidR="00E66B89">
        <w:rPr>
          <w:rFonts w:cs="Calibri"/>
          <w:i/>
          <w:szCs w:val="18"/>
        </w:rPr>
        <w:t xml:space="preserve"> w </w:t>
      </w:r>
      <w:r w:rsidRPr="008770D1">
        <w:rPr>
          <w:rFonts w:cs="Calibri"/>
          <w:i/>
          <w:szCs w:val="18"/>
        </w:rPr>
        <w:t>ramach programu dodatkowymi zajęciami zwiększającymi ich szanse edukacyjne</w:t>
      </w:r>
      <w:r w:rsidR="00E66B89">
        <w:rPr>
          <w:rFonts w:cs="Calibri"/>
          <w:i/>
          <w:szCs w:val="18"/>
        </w:rPr>
        <w:t xml:space="preserve"> w </w:t>
      </w:r>
      <w:r w:rsidRPr="008770D1">
        <w:rPr>
          <w:rFonts w:cs="Calibri"/>
          <w:i/>
          <w:szCs w:val="18"/>
        </w:rPr>
        <w:t>edukacji przedszkolnej</w:t>
      </w:r>
      <w:r>
        <w:rPr>
          <w:rFonts w:cs="Calibri"/>
          <w:i/>
          <w:szCs w:val="18"/>
        </w:rPr>
        <w:t xml:space="preserve">. </w:t>
      </w:r>
    </w:p>
    <w:p w14:paraId="230C3EA4" w14:textId="77777777" w:rsidR="00050FB4" w:rsidRPr="00FE73B6" w:rsidRDefault="00050FB4" w:rsidP="00FE73B6">
      <w:pPr>
        <w:pStyle w:val="Legenda"/>
        <w:spacing w:after="0"/>
      </w:pPr>
      <w:bookmarkStart w:id="313" w:name="_Toc3896882"/>
      <w:bookmarkStart w:id="314" w:name="_Toc8824245"/>
      <w:r w:rsidRPr="00FE73B6">
        <w:t xml:space="preserve">Tabela </w:t>
      </w:r>
      <w:r w:rsidRPr="00FE73B6">
        <w:fldChar w:fldCharType="begin"/>
      </w:r>
      <w:r w:rsidRPr="00FE73B6">
        <w:instrText xml:space="preserve"> SEQ Tabela \* ARABIC </w:instrText>
      </w:r>
      <w:r w:rsidRPr="00FE73B6">
        <w:fldChar w:fldCharType="separate"/>
      </w:r>
      <w:r w:rsidR="00763345">
        <w:rPr>
          <w:noProof/>
        </w:rPr>
        <w:t>134</w:t>
      </w:r>
      <w:r w:rsidRPr="00FE73B6">
        <w:fldChar w:fldCharType="end"/>
      </w:r>
      <w:r w:rsidRPr="00FE73B6">
        <w:t xml:space="preserve"> Prognozowany poziom realizacji wskaźników produktu</w:t>
      </w:r>
      <w:r w:rsidR="00E66B89" w:rsidRPr="00FE73B6">
        <w:t xml:space="preserve"> i </w:t>
      </w:r>
      <w:r w:rsidRPr="00FE73B6">
        <w:t>rezultatu bezpośredniego na rok 2023 – PI 10i</w:t>
      </w:r>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256"/>
        <w:gridCol w:w="1374"/>
        <w:gridCol w:w="1701"/>
        <w:gridCol w:w="1733"/>
      </w:tblGrid>
      <w:tr w:rsidR="00050FB4" w:rsidRPr="00FE43CD" w14:paraId="6283463B" w14:textId="77777777" w:rsidTr="00C22C26">
        <w:trPr>
          <w:trHeight w:val="827"/>
          <w:tblHeader/>
        </w:trPr>
        <w:tc>
          <w:tcPr>
            <w:tcW w:w="0" w:type="auto"/>
            <w:shd w:val="clear" w:color="auto" w:fill="DBE5F1"/>
          </w:tcPr>
          <w:p w14:paraId="27CBEC13" w14:textId="77777777" w:rsidR="00050FB4" w:rsidRPr="00404DA5" w:rsidRDefault="00050FB4" w:rsidP="00050FB4">
            <w:pPr>
              <w:jc w:val="center"/>
              <w:rPr>
                <w:rFonts w:cs="Calibri"/>
                <w:sz w:val="16"/>
                <w:szCs w:val="18"/>
              </w:rPr>
            </w:pPr>
            <w:r w:rsidRPr="00404DA5">
              <w:rPr>
                <w:rFonts w:cs="Calibri"/>
                <w:sz w:val="16"/>
                <w:szCs w:val="18"/>
              </w:rPr>
              <w:t>Typ wskaźnika</w:t>
            </w:r>
          </w:p>
        </w:tc>
        <w:tc>
          <w:tcPr>
            <w:tcW w:w="0" w:type="auto"/>
            <w:shd w:val="clear" w:color="auto" w:fill="DBE5F1"/>
          </w:tcPr>
          <w:p w14:paraId="552C6E37" w14:textId="77777777" w:rsidR="00050FB4" w:rsidRPr="00404DA5" w:rsidRDefault="00050FB4" w:rsidP="00050FB4">
            <w:pPr>
              <w:jc w:val="center"/>
              <w:rPr>
                <w:rFonts w:cs="Calibri"/>
                <w:sz w:val="16"/>
                <w:szCs w:val="18"/>
              </w:rPr>
            </w:pPr>
            <w:r w:rsidRPr="00404DA5">
              <w:rPr>
                <w:rFonts w:cs="Calibri"/>
                <w:sz w:val="16"/>
                <w:szCs w:val="18"/>
              </w:rPr>
              <w:t>Wskaźnik</w:t>
            </w:r>
          </w:p>
        </w:tc>
        <w:tc>
          <w:tcPr>
            <w:tcW w:w="0" w:type="auto"/>
            <w:shd w:val="clear" w:color="auto" w:fill="DBE5F1"/>
          </w:tcPr>
          <w:p w14:paraId="248D219A" w14:textId="77777777" w:rsidR="00050FB4" w:rsidRPr="00404DA5" w:rsidRDefault="00050FB4" w:rsidP="00050FB4">
            <w:pPr>
              <w:jc w:val="center"/>
              <w:rPr>
                <w:rFonts w:cs="Calibri"/>
                <w:sz w:val="16"/>
                <w:szCs w:val="18"/>
              </w:rPr>
            </w:pPr>
            <w:r w:rsidRPr="00404DA5">
              <w:rPr>
                <w:rFonts w:cs="Calibri"/>
                <w:sz w:val="16"/>
                <w:szCs w:val="18"/>
              </w:rPr>
              <w:t>Wartość docelowa określona na 2023 rok</w:t>
            </w:r>
          </w:p>
        </w:tc>
        <w:tc>
          <w:tcPr>
            <w:tcW w:w="0" w:type="auto"/>
            <w:shd w:val="clear" w:color="auto" w:fill="DBE5F1"/>
          </w:tcPr>
          <w:p w14:paraId="554EE0D1" w14:textId="77777777" w:rsidR="00050FB4" w:rsidRPr="00404DA5" w:rsidRDefault="00050FB4" w:rsidP="00050FB4">
            <w:pPr>
              <w:jc w:val="center"/>
              <w:rPr>
                <w:rFonts w:cs="Calibri"/>
                <w:sz w:val="16"/>
                <w:szCs w:val="18"/>
              </w:rPr>
            </w:pPr>
            <w:r w:rsidRPr="00404DA5">
              <w:rPr>
                <w:rFonts w:cs="Calibri"/>
                <w:sz w:val="16"/>
                <w:szCs w:val="18"/>
              </w:rPr>
              <w:t xml:space="preserve">Prognozowana całkowita wartość wskaźnika </w:t>
            </w:r>
          </w:p>
        </w:tc>
        <w:tc>
          <w:tcPr>
            <w:tcW w:w="0" w:type="auto"/>
            <w:shd w:val="clear" w:color="auto" w:fill="DBE5F1"/>
          </w:tcPr>
          <w:p w14:paraId="4E13A3E4" w14:textId="77777777" w:rsidR="00050FB4" w:rsidRPr="00404DA5" w:rsidRDefault="00050FB4" w:rsidP="00050FB4">
            <w:pPr>
              <w:jc w:val="center"/>
              <w:rPr>
                <w:rFonts w:cs="Calibri"/>
                <w:sz w:val="16"/>
                <w:szCs w:val="18"/>
              </w:rPr>
            </w:pPr>
            <w:r w:rsidRPr="00404DA5">
              <w:rPr>
                <w:rFonts w:cs="Calibri"/>
                <w:sz w:val="16"/>
                <w:szCs w:val="18"/>
              </w:rPr>
              <w:t>Prognozowany % realizacji wartości docelowej</w:t>
            </w:r>
          </w:p>
        </w:tc>
      </w:tr>
      <w:tr w:rsidR="00050FB4" w:rsidRPr="00FE43CD" w14:paraId="7963A1B8" w14:textId="77777777" w:rsidTr="00050FB4">
        <w:trPr>
          <w:trHeight w:val="672"/>
        </w:trPr>
        <w:tc>
          <w:tcPr>
            <w:tcW w:w="0" w:type="auto"/>
            <w:shd w:val="clear" w:color="auto" w:fill="auto"/>
            <w:vAlign w:val="center"/>
          </w:tcPr>
          <w:p w14:paraId="612A2E8E" w14:textId="77777777" w:rsidR="00050FB4" w:rsidRPr="00404DA5" w:rsidRDefault="00050FB4" w:rsidP="005D667D">
            <w:pPr>
              <w:jc w:val="center"/>
              <w:rPr>
                <w:rFonts w:cs="Calibri"/>
                <w:sz w:val="18"/>
                <w:szCs w:val="18"/>
              </w:rPr>
            </w:pPr>
            <w:r w:rsidRPr="00404DA5">
              <w:rPr>
                <w:sz w:val="16"/>
                <w:szCs w:val="18"/>
              </w:rPr>
              <w:t>WP</w:t>
            </w:r>
          </w:p>
        </w:tc>
        <w:tc>
          <w:tcPr>
            <w:tcW w:w="0" w:type="auto"/>
            <w:shd w:val="clear" w:color="auto" w:fill="auto"/>
            <w:vAlign w:val="center"/>
          </w:tcPr>
          <w:p w14:paraId="2A48F7B8" w14:textId="77777777" w:rsidR="00050FB4" w:rsidRPr="00404DA5" w:rsidRDefault="00050FB4" w:rsidP="00050FB4">
            <w:pPr>
              <w:rPr>
                <w:rFonts w:cs="Calibri"/>
                <w:sz w:val="18"/>
                <w:szCs w:val="18"/>
              </w:rPr>
            </w:pPr>
            <w:r w:rsidRPr="00404DA5">
              <w:rPr>
                <w:rFonts w:cs="Calibri"/>
                <w:sz w:val="16"/>
                <w:szCs w:val="18"/>
              </w:rPr>
              <w:t>Liczba nauczycieli objętych wsparciem</w:t>
            </w:r>
            <w:r w:rsidR="00E66B89">
              <w:rPr>
                <w:rFonts w:cs="Calibri"/>
                <w:sz w:val="16"/>
                <w:szCs w:val="18"/>
              </w:rPr>
              <w:t xml:space="preserve"> w </w:t>
            </w:r>
            <w:r w:rsidRPr="00404DA5">
              <w:rPr>
                <w:rFonts w:cs="Calibri"/>
                <w:sz w:val="16"/>
                <w:szCs w:val="18"/>
              </w:rPr>
              <w:t>programie [osoby]</w:t>
            </w:r>
          </w:p>
        </w:tc>
        <w:tc>
          <w:tcPr>
            <w:tcW w:w="0" w:type="auto"/>
            <w:shd w:val="clear" w:color="auto" w:fill="auto"/>
            <w:vAlign w:val="center"/>
          </w:tcPr>
          <w:p w14:paraId="4C542A88" w14:textId="77777777" w:rsidR="00050FB4" w:rsidRPr="00404DA5" w:rsidRDefault="00050FB4" w:rsidP="00050FB4">
            <w:pPr>
              <w:jc w:val="center"/>
              <w:rPr>
                <w:rFonts w:cs="Calibri"/>
                <w:sz w:val="18"/>
                <w:szCs w:val="18"/>
              </w:rPr>
            </w:pPr>
            <w:r w:rsidRPr="00404DA5">
              <w:rPr>
                <w:rFonts w:cs="Calibri"/>
                <w:sz w:val="18"/>
                <w:szCs w:val="18"/>
              </w:rPr>
              <w:t>4 468</w:t>
            </w:r>
          </w:p>
        </w:tc>
        <w:tc>
          <w:tcPr>
            <w:tcW w:w="0" w:type="auto"/>
            <w:shd w:val="clear" w:color="auto" w:fill="auto"/>
            <w:vAlign w:val="center"/>
          </w:tcPr>
          <w:p w14:paraId="53F07155" w14:textId="77777777" w:rsidR="00050FB4" w:rsidRPr="00404DA5" w:rsidRDefault="00050FB4" w:rsidP="00050FB4">
            <w:pPr>
              <w:jc w:val="center"/>
              <w:rPr>
                <w:rFonts w:cs="Calibri"/>
                <w:sz w:val="18"/>
                <w:szCs w:val="18"/>
              </w:rPr>
            </w:pPr>
            <w:r w:rsidRPr="00404DA5">
              <w:rPr>
                <w:rFonts w:cs="Calibri"/>
                <w:sz w:val="18"/>
                <w:szCs w:val="18"/>
              </w:rPr>
              <w:t>5 711</w:t>
            </w:r>
          </w:p>
        </w:tc>
        <w:tc>
          <w:tcPr>
            <w:tcW w:w="0" w:type="auto"/>
            <w:shd w:val="clear" w:color="auto" w:fill="auto"/>
            <w:vAlign w:val="center"/>
          </w:tcPr>
          <w:p w14:paraId="4A38A01F" w14:textId="77777777" w:rsidR="00050FB4" w:rsidRPr="00404DA5" w:rsidRDefault="00050FB4" w:rsidP="00050FB4">
            <w:pPr>
              <w:jc w:val="center"/>
              <w:rPr>
                <w:rFonts w:cs="Calibri"/>
                <w:sz w:val="18"/>
                <w:szCs w:val="18"/>
              </w:rPr>
            </w:pPr>
            <w:r w:rsidRPr="00404DA5">
              <w:rPr>
                <w:rFonts w:cs="Calibri"/>
                <w:sz w:val="18"/>
                <w:szCs w:val="18"/>
              </w:rPr>
              <w:t>128%</w:t>
            </w:r>
          </w:p>
        </w:tc>
      </w:tr>
      <w:tr w:rsidR="00050FB4" w:rsidRPr="00FE43CD" w14:paraId="59AD4F66" w14:textId="77777777" w:rsidTr="00050FB4">
        <w:trPr>
          <w:trHeight w:val="672"/>
        </w:trPr>
        <w:tc>
          <w:tcPr>
            <w:tcW w:w="0" w:type="auto"/>
            <w:shd w:val="clear" w:color="auto" w:fill="auto"/>
            <w:vAlign w:val="center"/>
          </w:tcPr>
          <w:p w14:paraId="7E401596" w14:textId="77777777" w:rsidR="00050FB4" w:rsidRPr="00404DA5" w:rsidRDefault="00050FB4" w:rsidP="005D667D">
            <w:pPr>
              <w:jc w:val="center"/>
              <w:rPr>
                <w:rFonts w:cs="Calibri"/>
                <w:sz w:val="18"/>
                <w:szCs w:val="18"/>
              </w:rPr>
            </w:pPr>
            <w:r w:rsidRPr="00404DA5">
              <w:rPr>
                <w:sz w:val="16"/>
                <w:szCs w:val="18"/>
              </w:rPr>
              <w:t>WR</w:t>
            </w:r>
          </w:p>
        </w:tc>
        <w:tc>
          <w:tcPr>
            <w:tcW w:w="0" w:type="auto"/>
            <w:shd w:val="clear" w:color="auto" w:fill="auto"/>
            <w:vAlign w:val="center"/>
          </w:tcPr>
          <w:p w14:paraId="7B892488" w14:textId="77777777" w:rsidR="00050FB4" w:rsidRPr="00404DA5" w:rsidRDefault="00050FB4" w:rsidP="00050FB4">
            <w:pPr>
              <w:rPr>
                <w:rFonts w:cs="Calibri"/>
                <w:sz w:val="18"/>
                <w:szCs w:val="18"/>
              </w:rPr>
            </w:pPr>
            <w:r w:rsidRPr="00404DA5">
              <w:rPr>
                <w:rFonts w:cs="Calibri"/>
                <w:sz w:val="16"/>
                <w:szCs w:val="18"/>
              </w:rPr>
              <w:t>Liczba nauczycieli, którzy uzyskali kwalifikacje lub nabyli kompetencje po opuszczeniu programu [</w:t>
            </w:r>
            <w:r>
              <w:rPr>
                <w:rFonts w:cs="Calibri"/>
                <w:sz w:val="16"/>
                <w:szCs w:val="18"/>
              </w:rPr>
              <w:t>%</w:t>
            </w:r>
            <w:r w:rsidRPr="00404DA5">
              <w:rPr>
                <w:rFonts w:cs="Calibri"/>
                <w:sz w:val="16"/>
                <w:szCs w:val="18"/>
              </w:rPr>
              <w:t>]</w:t>
            </w:r>
          </w:p>
        </w:tc>
        <w:tc>
          <w:tcPr>
            <w:tcW w:w="0" w:type="auto"/>
            <w:shd w:val="clear" w:color="auto" w:fill="auto"/>
            <w:vAlign w:val="center"/>
          </w:tcPr>
          <w:p w14:paraId="574B7E26" w14:textId="77777777" w:rsidR="00050FB4" w:rsidRPr="00404DA5" w:rsidRDefault="00050FB4" w:rsidP="00050FB4">
            <w:pPr>
              <w:jc w:val="center"/>
              <w:rPr>
                <w:rFonts w:cs="Calibri"/>
                <w:sz w:val="18"/>
                <w:szCs w:val="18"/>
              </w:rPr>
            </w:pPr>
            <w:r w:rsidRPr="00404DA5">
              <w:rPr>
                <w:rFonts w:cs="Calibri"/>
                <w:sz w:val="18"/>
                <w:szCs w:val="18"/>
              </w:rPr>
              <w:t>92%</w:t>
            </w:r>
          </w:p>
        </w:tc>
        <w:tc>
          <w:tcPr>
            <w:tcW w:w="0" w:type="auto"/>
            <w:shd w:val="clear" w:color="auto" w:fill="auto"/>
            <w:vAlign w:val="center"/>
          </w:tcPr>
          <w:p w14:paraId="063364AE" w14:textId="77777777" w:rsidR="00050FB4" w:rsidRDefault="00050FB4" w:rsidP="00050FB4">
            <w:pPr>
              <w:jc w:val="center"/>
              <w:rPr>
                <w:rFonts w:cs="Calibri"/>
                <w:sz w:val="18"/>
                <w:szCs w:val="18"/>
              </w:rPr>
            </w:pPr>
            <w:r>
              <w:rPr>
                <w:rFonts w:cs="Calibri"/>
                <w:sz w:val="18"/>
                <w:szCs w:val="18"/>
              </w:rPr>
              <w:t>96,5%</w:t>
            </w:r>
          </w:p>
          <w:p w14:paraId="7CAA17C3" w14:textId="77777777" w:rsidR="00050FB4" w:rsidRPr="00404DA5" w:rsidRDefault="00050FB4" w:rsidP="00050FB4">
            <w:pPr>
              <w:jc w:val="center"/>
              <w:rPr>
                <w:rFonts w:cs="Calibri"/>
                <w:sz w:val="18"/>
                <w:szCs w:val="18"/>
              </w:rPr>
            </w:pPr>
            <w:r w:rsidRPr="00404DA5">
              <w:rPr>
                <w:rFonts w:cs="Calibri"/>
                <w:sz w:val="18"/>
                <w:szCs w:val="18"/>
              </w:rPr>
              <w:t>5 526</w:t>
            </w:r>
          </w:p>
        </w:tc>
        <w:tc>
          <w:tcPr>
            <w:tcW w:w="0" w:type="auto"/>
            <w:shd w:val="clear" w:color="auto" w:fill="auto"/>
            <w:vAlign w:val="center"/>
          </w:tcPr>
          <w:p w14:paraId="245E88A8" w14:textId="77777777" w:rsidR="00050FB4" w:rsidRPr="00404DA5" w:rsidRDefault="00050FB4" w:rsidP="00050FB4">
            <w:pPr>
              <w:jc w:val="center"/>
              <w:rPr>
                <w:rFonts w:cs="Calibri"/>
                <w:sz w:val="18"/>
                <w:szCs w:val="18"/>
              </w:rPr>
            </w:pPr>
            <w:r w:rsidRPr="00404DA5">
              <w:rPr>
                <w:rFonts w:cs="Calibri"/>
                <w:sz w:val="18"/>
                <w:szCs w:val="18"/>
              </w:rPr>
              <w:t>105%</w:t>
            </w:r>
          </w:p>
        </w:tc>
      </w:tr>
      <w:tr w:rsidR="00050FB4" w:rsidRPr="00FE43CD" w14:paraId="37A7E23B" w14:textId="77777777" w:rsidTr="00050FB4">
        <w:trPr>
          <w:trHeight w:val="672"/>
        </w:trPr>
        <w:tc>
          <w:tcPr>
            <w:tcW w:w="0" w:type="auto"/>
            <w:shd w:val="clear" w:color="auto" w:fill="auto"/>
            <w:vAlign w:val="center"/>
          </w:tcPr>
          <w:p w14:paraId="68CBE900" w14:textId="77777777" w:rsidR="00050FB4" w:rsidRPr="00404DA5" w:rsidRDefault="00050FB4" w:rsidP="005D667D">
            <w:pPr>
              <w:jc w:val="center"/>
              <w:rPr>
                <w:sz w:val="16"/>
                <w:szCs w:val="18"/>
              </w:rPr>
            </w:pPr>
            <w:r w:rsidRPr="00404DA5">
              <w:rPr>
                <w:sz w:val="16"/>
                <w:szCs w:val="18"/>
              </w:rPr>
              <w:t>WP</w:t>
            </w:r>
          </w:p>
        </w:tc>
        <w:tc>
          <w:tcPr>
            <w:tcW w:w="0" w:type="auto"/>
            <w:shd w:val="clear" w:color="auto" w:fill="auto"/>
            <w:vAlign w:val="center"/>
          </w:tcPr>
          <w:p w14:paraId="71B682E2" w14:textId="77777777" w:rsidR="00050FB4" w:rsidRPr="00404DA5" w:rsidRDefault="00050FB4" w:rsidP="00050FB4">
            <w:pPr>
              <w:rPr>
                <w:rFonts w:cs="Calibri"/>
                <w:sz w:val="16"/>
                <w:szCs w:val="18"/>
              </w:rPr>
            </w:pPr>
            <w:r w:rsidRPr="00404DA5">
              <w:rPr>
                <w:rFonts w:cs="Calibri"/>
                <w:bCs/>
                <w:sz w:val="16"/>
                <w:szCs w:val="18"/>
              </w:rPr>
              <w:t>Liczba dzieci objętych</w:t>
            </w:r>
            <w:r w:rsidR="00E66B89">
              <w:rPr>
                <w:rFonts w:cs="Calibri"/>
                <w:bCs/>
                <w:sz w:val="16"/>
                <w:szCs w:val="18"/>
              </w:rPr>
              <w:t xml:space="preserve"> w </w:t>
            </w:r>
            <w:r w:rsidRPr="00404DA5">
              <w:rPr>
                <w:rFonts w:cs="Calibri"/>
                <w:bCs/>
                <w:sz w:val="16"/>
                <w:szCs w:val="18"/>
              </w:rPr>
              <w:t>ramach programu dodatkowymi zajęciami zwiększającymi ich szanse edukacyjne</w:t>
            </w:r>
            <w:r w:rsidR="00E66B89">
              <w:rPr>
                <w:rFonts w:cs="Calibri"/>
                <w:bCs/>
                <w:sz w:val="16"/>
                <w:szCs w:val="18"/>
              </w:rPr>
              <w:t xml:space="preserve"> w </w:t>
            </w:r>
            <w:r w:rsidRPr="00404DA5">
              <w:rPr>
                <w:rFonts w:cs="Calibri"/>
                <w:bCs/>
                <w:sz w:val="16"/>
                <w:szCs w:val="18"/>
              </w:rPr>
              <w:t>edukacji przedszkolnej [osoby]</w:t>
            </w:r>
          </w:p>
        </w:tc>
        <w:tc>
          <w:tcPr>
            <w:tcW w:w="0" w:type="auto"/>
            <w:shd w:val="clear" w:color="auto" w:fill="auto"/>
            <w:vAlign w:val="center"/>
          </w:tcPr>
          <w:p w14:paraId="01C808CC" w14:textId="77777777" w:rsidR="00050FB4" w:rsidRPr="00404DA5" w:rsidRDefault="00050FB4" w:rsidP="00050FB4">
            <w:pPr>
              <w:jc w:val="center"/>
              <w:rPr>
                <w:rFonts w:cs="Calibri"/>
                <w:sz w:val="16"/>
                <w:szCs w:val="18"/>
              </w:rPr>
            </w:pPr>
            <w:r w:rsidRPr="00404DA5">
              <w:rPr>
                <w:rFonts w:cs="Calibri"/>
                <w:sz w:val="18"/>
                <w:szCs w:val="18"/>
              </w:rPr>
              <w:t>12 000</w:t>
            </w:r>
          </w:p>
        </w:tc>
        <w:tc>
          <w:tcPr>
            <w:tcW w:w="0" w:type="auto"/>
            <w:shd w:val="clear" w:color="auto" w:fill="auto"/>
            <w:vAlign w:val="center"/>
          </w:tcPr>
          <w:p w14:paraId="720634C7" w14:textId="77777777" w:rsidR="00050FB4" w:rsidRPr="00404DA5" w:rsidRDefault="00050FB4" w:rsidP="00050FB4">
            <w:pPr>
              <w:jc w:val="center"/>
              <w:rPr>
                <w:rFonts w:cs="Calibri"/>
                <w:sz w:val="18"/>
                <w:szCs w:val="18"/>
              </w:rPr>
            </w:pPr>
            <w:r>
              <w:rPr>
                <w:rFonts w:cs="Calibri"/>
                <w:sz w:val="18"/>
                <w:szCs w:val="18"/>
              </w:rPr>
              <w:t>7 800</w:t>
            </w:r>
          </w:p>
        </w:tc>
        <w:tc>
          <w:tcPr>
            <w:tcW w:w="0" w:type="auto"/>
            <w:shd w:val="clear" w:color="auto" w:fill="auto"/>
            <w:vAlign w:val="center"/>
          </w:tcPr>
          <w:p w14:paraId="732398C0" w14:textId="77777777" w:rsidR="00050FB4" w:rsidRPr="00404DA5" w:rsidRDefault="00050FB4" w:rsidP="00050FB4">
            <w:pPr>
              <w:jc w:val="center"/>
              <w:rPr>
                <w:rFonts w:cs="Calibri"/>
                <w:sz w:val="18"/>
                <w:szCs w:val="18"/>
              </w:rPr>
            </w:pPr>
            <w:r>
              <w:rPr>
                <w:rFonts w:cs="Calibri"/>
                <w:sz w:val="18"/>
                <w:szCs w:val="18"/>
              </w:rPr>
              <w:t>66</w:t>
            </w:r>
            <w:r w:rsidRPr="00404DA5">
              <w:rPr>
                <w:rFonts w:cs="Calibri"/>
                <w:sz w:val="18"/>
                <w:szCs w:val="18"/>
              </w:rPr>
              <w:t>%</w:t>
            </w:r>
          </w:p>
        </w:tc>
      </w:tr>
      <w:tr w:rsidR="00050FB4" w:rsidRPr="00FE43CD" w14:paraId="5DBD9ED4" w14:textId="77777777" w:rsidTr="00050FB4">
        <w:trPr>
          <w:trHeight w:val="672"/>
        </w:trPr>
        <w:tc>
          <w:tcPr>
            <w:tcW w:w="0" w:type="auto"/>
            <w:shd w:val="clear" w:color="auto" w:fill="auto"/>
            <w:vAlign w:val="center"/>
          </w:tcPr>
          <w:p w14:paraId="3E9EBB3D" w14:textId="77777777" w:rsidR="00050FB4" w:rsidRPr="00404DA5" w:rsidRDefault="00050FB4" w:rsidP="005D667D">
            <w:pPr>
              <w:jc w:val="center"/>
              <w:rPr>
                <w:sz w:val="16"/>
                <w:szCs w:val="18"/>
              </w:rPr>
            </w:pPr>
            <w:r w:rsidRPr="00404DA5">
              <w:rPr>
                <w:sz w:val="16"/>
                <w:szCs w:val="18"/>
              </w:rPr>
              <w:t>WP</w:t>
            </w:r>
          </w:p>
        </w:tc>
        <w:tc>
          <w:tcPr>
            <w:tcW w:w="0" w:type="auto"/>
            <w:shd w:val="clear" w:color="auto" w:fill="auto"/>
            <w:vAlign w:val="center"/>
          </w:tcPr>
          <w:p w14:paraId="6A81E9C6" w14:textId="77777777" w:rsidR="00050FB4" w:rsidRPr="00404DA5" w:rsidRDefault="00050FB4" w:rsidP="00050FB4">
            <w:pPr>
              <w:rPr>
                <w:rFonts w:cs="Calibri"/>
                <w:bCs/>
                <w:sz w:val="16"/>
                <w:szCs w:val="18"/>
              </w:rPr>
            </w:pPr>
            <w:r w:rsidRPr="00404DA5">
              <w:rPr>
                <w:rFonts w:cs="Calibri"/>
                <w:sz w:val="16"/>
                <w:szCs w:val="18"/>
              </w:rPr>
              <w:t>Liczba miejsc wychowania przedszkolnego dofinansowanych</w:t>
            </w:r>
            <w:r w:rsidR="00E66B89">
              <w:rPr>
                <w:rFonts w:cs="Calibri"/>
                <w:sz w:val="16"/>
                <w:szCs w:val="18"/>
              </w:rPr>
              <w:t xml:space="preserve"> w </w:t>
            </w:r>
            <w:r w:rsidRPr="00404DA5">
              <w:rPr>
                <w:rFonts w:cs="Calibri"/>
                <w:sz w:val="16"/>
                <w:szCs w:val="18"/>
              </w:rPr>
              <w:t>programie [szt.]</w:t>
            </w:r>
          </w:p>
        </w:tc>
        <w:tc>
          <w:tcPr>
            <w:tcW w:w="0" w:type="auto"/>
            <w:shd w:val="clear" w:color="auto" w:fill="auto"/>
            <w:vAlign w:val="center"/>
          </w:tcPr>
          <w:p w14:paraId="14F2503C" w14:textId="77777777" w:rsidR="00050FB4" w:rsidRPr="00404DA5" w:rsidRDefault="00050FB4" w:rsidP="00050FB4">
            <w:pPr>
              <w:jc w:val="center"/>
              <w:rPr>
                <w:rFonts w:cs="Calibri"/>
                <w:bCs/>
                <w:sz w:val="16"/>
                <w:szCs w:val="18"/>
              </w:rPr>
            </w:pPr>
            <w:r w:rsidRPr="00404DA5">
              <w:rPr>
                <w:rFonts w:cs="Calibri"/>
                <w:sz w:val="18"/>
                <w:szCs w:val="18"/>
              </w:rPr>
              <w:t>12 000</w:t>
            </w:r>
          </w:p>
        </w:tc>
        <w:tc>
          <w:tcPr>
            <w:tcW w:w="0" w:type="auto"/>
            <w:shd w:val="clear" w:color="auto" w:fill="auto"/>
            <w:vAlign w:val="center"/>
          </w:tcPr>
          <w:p w14:paraId="2EFCD894" w14:textId="77777777" w:rsidR="00050FB4" w:rsidRPr="00404DA5" w:rsidRDefault="00050FB4" w:rsidP="00050FB4">
            <w:pPr>
              <w:jc w:val="center"/>
              <w:rPr>
                <w:rFonts w:cs="Calibri"/>
                <w:sz w:val="18"/>
                <w:szCs w:val="18"/>
              </w:rPr>
            </w:pPr>
            <w:r>
              <w:rPr>
                <w:rFonts w:cs="Calibri"/>
                <w:sz w:val="18"/>
                <w:szCs w:val="18"/>
              </w:rPr>
              <w:t>3 500</w:t>
            </w:r>
          </w:p>
        </w:tc>
        <w:tc>
          <w:tcPr>
            <w:tcW w:w="0" w:type="auto"/>
            <w:shd w:val="clear" w:color="auto" w:fill="auto"/>
            <w:vAlign w:val="center"/>
          </w:tcPr>
          <w:p w14:paraId="350D63E2" w14:textId="77777777" w:rsidR="00050FB4" w:rsidRPr="00404DA5" w:rsidRDefault="00050FB4" w:rsidP="00050FB4">
            <w:pPr>
              <w:jc w:val="center"/>
              <w:rPr>
                <w:rFonts w:cs="Calibri"/>
                <w:sz w:val="18"/>
                <w:szCs w:val="18"/>
              </w:rPr>
            </w:pPr>
            <w:r>
              <w:rPr>
                <w:rFonts w:cs="Calibri"/>
                <w:sz w:val="18"/>
                <w:szCs w:val="18"/>
              </w:rPr>
              <w:t>29</w:t>
            </w:r>
            <w:r w:rsidRPr="00404DA5">
              <w:rPr>
                <w:rFonts w:cs="Calibri"/>
                <w:sz w:val="18"/>
                <w:szCs w:val="18"/>
              </w:rPr>
              <w:t>%</w:t>
            </w:r>
          </w:p>
        </w:tc>
      </w:tr>
      <w:tr w:rsidR="00050FB4" w:rsidRPr="00FE43CD" w14:paraId="02448C94" w14:textId="77777777" w:rsidTr="00050FB4">
        <w:trPr>
          <w:trHeight w:val="672"/>
        </w:trPr>
        <w:tc>
          <w:tcPr>
            <w:tcW w:w="0" w:type="auto"/>
            <w:shd w:val="clear" w:color="auto" w:fill="auto"/>
            <w:vAlign w:val="center"/>
          </w:tcPr>
          <w:p w14:paraId="4E832107" w14:textId="77777777" w:rsidR="00050FB4" w:rsidRPr="00404DA5" w:rsidRDefault="00050FB4" w:rsidP="005D667D">
            <w:pPr>
              <w:jc w:val="center"/>
              <w:rPr>
                <w:sz w:val="16"/>
                <w:szCs w:val="18"/>
              </w:rPr>
            </w:pPr>
            <w:r w:rsidRPr="00404DA5">
              <w:rPr>
                <w:sz w:val="16"/>
                <w:szCs w:val="18"/>
              </w:rPr>
              <w:lastRenderedPageBreak/>
              <w:t>WP</w:t>
            </w:r>
          </w:p>
        </w:tc>
        <w:tc>
          <w:tcPr>
            <w:tcW w:w="0" w:type="auto"/>
            <w:shd w:val="clear" w:color="auto" w:fill="auto"/>
            <w:vAlign w:val="center"/>
          </w:tcPr>
          <w:p w14:paraId="1796E69B" w14:textId="77777777" w:rsidR="00050FB4" w:rsidRPr="00404DA5" w:rsidRDefault="00050FB4" w:rsidP="00050FB4">
            <w:pPr>
              <w:rPr>
                <w:rFonts w:cs="Calibri"/>
                <w:sz w:val="16"/>
                <w:szCs w:val="18"/>
              </w:rPr>
            </w:pPr>
            <w:r w:rsidRPr="00404DA5">
              <w:rPr>
                <w:rFonts w:cs="Calibri"/>
                <w:sz w:val="16"/>
                <w:szCs w:val="18"/>
              </w:rPr>
              <w:t>Liczba nauczycieli objętych wsparciem</w:t>
            </w:r>
            <w:r w:rsidR="00E66B89">
              <w:rPr>
                <w:rFonts w:cs="Calibri"/>
                <w:sz w:val="16"/>
                <w:szCs w:val="18"/>
              </w:rPr>
              <w:t xml:space="preserve"> z </w:t>
            </w:r>
            <w:r w:rsidRPr="00404DA5">
              <w:rPr>
                <w:rFonts w:cs="Calibri"/>
                <w:sz w:val="16"/>
                <w:szCs w:val="18"/>
              </w:rPr>
              <w:t>zakresu TIK</w:t>
            </w:r>
            <w:r w:rsidR="00E66B89">
              <w:rPr>
                <w:rFonts w:cs="Calibri"/>
                <w:sz w:val="16"/>
                <w:szCs w:val="18"/>
              </w:rPr>
              <w:t xml:space="preserve"> w </w:t>
            </w:r>
            <w:r w:rsidRPr="00404DA5">
              <w:rPr>
                <w:rFonts w:cs="Calibri"/>
                <w:sz w:val="16"/>
                <w:szCs w:val="18"/>
              </w:rPr>
              <w:t>programie [osoby]</w:t>
            </w:r>
          </w:p>
        </w:tc>
        <w:tc>
          <w:tcPr>
            <w:tcW w:w="0" w:type="auto"/>
            <w:shd w:val="clear" w:color="auto" w:fill="auto"/>
            <w:vAlign w:val="center"/>
          </w:tcPr>
          <w:p w14:paraId="131992B7" w14:textId="77777777" w:rsidR="00050FB4" w:rsidRPr="00404DA5" w:rsidRDefault="00050FB4" w:rsidP="00050FB4">
            <w:pPr>
              <w:jc w:val="center"/>
              <w:rPr>
                <w:rFonts w:cs="Calibri"/>
                <w:sz w:val="16"/>
                <w:szCs w:val="18"/>
              </w:rPr>
            </w:pPr>
            <w:r w:rsidRPr="00404DA5">
              <w:rPr>
                <w:rFonts w:cs="Calibri"/>
                <w:sz w:val="18"/>
                <w:szCs w:val="18"/>
              </w:rPr>
              <w:t>1 698</w:t>
            </w:r>
          </w:p>
        </w:tc>
        <w:tc>
          <w:tcPr>
            <w:tcW w:w="0" w:type="auto"/>
            <w:shd w:val="clear" w:color="auto" w:fill="auto"/>
            <w:vAlign w:val="center"/>
          </w:tcPr>
          <w:p w14:paraId="571E381E" w14:textId="77777777" w:rsidR="00050FB4" w:rsidRPr="00404DA5" w:rsidRDefault="00050FB4" w:rsidP="00050FB4">
            <w:pPr>
              <w:jc w:val="center"/>
              <w:rPr>
                <w:rFonts w:cs="Calibri"/>
                <w:sz w:val="18"/>
                <w:szCs w:val="18"/>
              </w:rPr>
            </w:pPr>
            <w:r w:rsidRPr="00404DA5">
              <w:rPr>
                <w:rFonts w:cs="Calibri"/>
                <w:sz w:val="18"/>
                <w:szCs w:val="18"/>
              </w:rPr>
              <w:t>2361</w:t>
            </w:r>
          </w:p>
        </w:tc>
        <w:tc>
          <w:tcPr>
            <w:tcW w:w="0" w:type="auto"/>
            <w:shd w:val="clear" w:color="auto" w:fill="auto"/>
            <w:vAlign w:val="center"/>
          </w:tcPr>
          <w:p w14:paraId="3D5BB53C" w14:textId="77777777" w:rsidR="00050FB4" w:rsidRPr="00404DA5" w:rsidRDefault="00050FB4" w:rsidP="00050FB4">
            <w:pPr>
              <w:jc w:val="center"/>
              <w:rPr>
                <w:rFonts w:cs="Calibri"/>
                <w:sz w:val="18"/>
                <w:szCs w:val="18"/>
              </w:rPr>
            </w:pPr>
            <w:r w:rsidRPr="00404DA5">
              <w:rPr>
                <w:rFonts w:cs="Calibri"/>
                <w:sz w:val="18"/>
                <w:szCs w:val="18"/>
              </w:rPr>
              <w:t>139%</w:t>
            </w:r>
          </w:p>
        </w:tc>
      </w:tr>
      <w:tr w:rsidR="00050FB4" w:rsidRPr="00FE43CD" w14:paraId="65CA25D8" w14:textId="77777777" w:rsidTr="00050FB4">
        <w:trPr>
          <w:trHeight w:val="672"/>
        </w:trPr>
        <w:tc>
          <w:tcPr>
            <w:tcW w:w="0" w:type="auto"/>
            <w:shd w:val="clear" w:color="auto" w:fill="auto"/>
            <w:vAlign w:val="center"/>
          </w:tcPr>
          <w:p w14:paraId="1AD1ABB6" w14:textId="77777777" w:rsidR="00050FB4" w:rsidRPr="00404DA5" w:rsidRDefault="00050FB4" w:rsidP="005D667D">
            <w:pPr>
              <w:jc w:val="center"/>
              <w:rPr>
                <w:sz w:val="16"/>
                <w:szCs w:val="18"/>
              </w:rPr>
            </w:pPr>
            <w:r w:rsidRPr="00404DA5">
              <w:rPr>
                <w:sz w:val="16"/>
                <w:szCs w:val="18"/>
              </w:rPr>
              <w:t>WR</w:t>
            </w:r>
          </w:p>
        </w:tc>
        <w:tc>
          <w:tcPr>
            <w:tcW w:w="0" w:type="auto"/>
            <w:shd w:val="clear" w:color="auto" w:fill="auto"/>
            <w:vAlign w:val="center"/>
          </w:tcPr>
          <w:p w14:paraId="78B52375" w14:textId="77777777" w:rsidR="00050FB4" w:rsidRPr="00404DA5" w:rsidRDefault="00050FB4" w:rsidP="00050FB4">
            <w:pP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systemu oświaty wykorzystujących sprzęt TIK do prowadzenia zajęć edukacyjnych [</w:t>
            </w:r>
            <w:r>
              <w:rPr>
                <w:rFonts w:cs="Calibri"/>
                <w:sz w:val="16"/>
                <w:szCs w:val="18"/>
              </w:rPr>
              <w:t>%</w:t>
            </w:r>
            <w:r w:rsidRPr="00404DA5">
              <w:rPr>
                <w:rFonts w:cs="Calibri"/>
                <w:sz w:val="16"/>
                <w:szCs w:val="18"/>
              </w:rPr>
              <w:t>]</w:t>
            </w:r>
          </w:p>
        </w:tc>
        <w:tc>
          <w:tcPr>
            <w:tcW w:w="0" w:type="auto"/>
            <w:shd w:val="clear" w:color="auto" w:fill="auto"/>
            <w:vAlign w:val="center"/>
          </w:tcPr>
          <w:p w14:paraId="581E3524" w14:textId="77777777" w:rsidR="00050FB4" w:rsidRPr="00404DA5" w:rsidRDefault="00050FB4" w:rsidP="00050FB4">
            <w:pPr>
              <w:jc w:val="center"/>
              <w:rPr>
                <w:rFonts w:cs="Calibri"/>
                <w:sz w:val="18"/>
                <w:szCs w:val="18"/>
              </w:rPr>
            </w:pPr>
            <w:r w:rsidRPr="00404DA5">
              <w:rPr>
                <w:rFonts w:cs="Calibri"/>
                <w:sz w:val="18"/>
                <w:szCs w:val="18"/>
              </w:rPr>
              <w:t>97%</w:t>
            </w:r>
          </w:p>
        </w:tc>
        <w:tc>
          <w:tcPr>
            <w:tcW w:w="0" w:type="auto"/>
            <w:shd w:val="clear" w:color="auto" w:fill="auto"/>
            <w:vAlign w:val="center"/>
          </w:tcPr>
          <w:p w14:paraId="19E986D0" w14:textId="77777777" w:rsidR="00050FB4" w:rsidRDefault="00050FB4" w:rsidP="00050FB4">
            <w:pPr>
              <w:jc w:val="center"/>
              <w:rPr>
                <w:rFonts w:cs="Calibri"/>
                <w:sz w:val="18"/>
                <w:szCs w:val="18"/>
              </w:rPr>
            </w:pPr>
            <w:r>
              <w:rPr>
                <w:rFonts w:cs="Calibri"/>
                <w:sz w:val="18"/>
                <w:szCs w:val="18"/>
              </w:rPr>
              <w:t>97,3%</w:t>
            </w:r>
          </w:p>
          <w:p w14:paraId="2EE5A025" w14:textId="77777777" w:rsidR="00050FB4" w:rsidRPr="00404DA5" w:rsidRDefault="00050FB4" w:rsidP="00050FB4">
            <w:pPr>
              <w:jc w:val="center"/>
              <w:rPr>
                <w:rFonts w:cs="Calibri"/>
                <w:sz w:val="18"/>
                <w:szCs w:val="18"/>
              </w:rPr>
            </w:pPr>
            <w:r w:rsidRPr="00404DA5">
              <w:rPr>
                <w:rFonts w:cs="Calibri"/>
                <w:sz w:val="18"/>
                <w:szCs w:val="18"/>
              </w:rPr>
              <w:t>290</w:t>
            </w:r>
          </w:p>
        </w:tc>
        <w:tc>
          <w:tcPr>
            <w:tcW w:w="0" w:type="auto"/>
            <w:shd w:val="clear" w:color="auto" w:fill="auto"/>
            <w:vAlign w:val="center"/>
          </w:tcPr>
          <w:p w14:paraId="3A3D8954" w14:textId="77777777" w:rsidR="00050FB4" w:rsidRPr="00404DA5" w:rsidRDefault="00050FB4" w:rsidP="00050FB4">
            <w:pPr>
              <w:jc w:val="center"/>
              <w:rPr>
                <w:rFonts w:cs="Calibri"/>
                <w:sz w:val="18"/>
                <w:szCs w:val="18"/>
              </w:rPr>
            </w:pPr>
            <w:r>
              <w:rPr>
                <w:rFonts w:cs="Calibri"/>
                <w:sz w:val="18"/>
                <w:szCs w:val="18"/>
              </w:rPr>
              <w:t>100</w:t>
            </w:r>
            <w:r w:rsidRPr="00404DA5">
              <w:rPr>
                <w:rFonts w:cs="Calibri"/>
                <w:sz w:val="18"/>
                <w:szCs w:val="18"/>
              </w:rPr>
              <w:t>%</w:t>
            </w:r>
          </w:p>
        </w:tc>
      </w:tr>
      <w:tr w:rsidR="00050FB4" w:rsidRPr="00FE43CD" w14:paraId="0CB2380E" w14:textId="77777777" w:rsidTr="00050FB4">
        <w:trPr>
          <w:trHeight w:val="672"/>
        </w:trPr>
        <w:tc>
          <w:tcPr>
            <w:tcW w:w="0" w:type="auto"/>
            <w:shd w:val="clear" w:color="auto" w:fill="auto"/>
            <w:vAlign w:val="center"/>
          </w:tcPr>
          <w:p w14:paraId="171AB081" w14:textId="77777777" w:rsidR="00050FB4" w:rsidRPr="00404DA5" w:rsidRDefault="00050FB4" w:rsidP="005D667D">
            <w:pPr>
              <w:jc w:val="center"/>
              <w:rPr>
                <w:sz w:val="16"/>
                <w:szCs w:val="18"/>
              </w:rPr>
            </w:pPr>
            <w:r w:rsidRPr="00404DA5">
              <w:rPr>
                <w:sz w:val="16"/>
                <w:szCs w:val="18"/>
              </w:rPr>
              <w:t>WP</w:t>
            </w:r>
          </w:p>
        </w:tc>
        <w:tc>
          <w:tcPr>
            <w:tcW w:w="0" w:type="auto"/>
            <w:shd w:val="clear" w:color="auto" w:fill="auto"/>
            <w:vAlign w:val="center"/>
          </w:tcPr>
          <w:p w14:paraId="75F200F4" w14:textId="77777777" w:rsidR="00050FB4" w:rsidRPr="00404DA5" w:rsidRDefault="00050FB4" w:rsidP="00050FB4">
            <w:pP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systemu oświaty wyposażonych</w:t>
            </w:r>
            <w:r w:rsidR="00E66B89">
              <w:rPr>
                <w:rFonts w:cs="Calibri"/>
                <w:sz w:val="16"/>
                <w:szCs w:val="18"/>
              </w:rPr>
              <w:t xml:space="preserve"> w </w:t>
            </w:r>
            <w:r w:rsidRPr="00404DA5">
              <w:rPr>
                <w:rFonts w:cs="Calibri"/>
                <w:sz w:val="16"/>
                <w:szCs w:val="18"/>
              </w:rPr>
              <w:t>ramach programu</w:t>
            </w:r>
            <w:r w:rsidR="00E66B89">
              <w:rPr>
                <w:rFonts w:cs="Calibri"/>
                <w:sz w:val="16"/>
                <w:szCs w:val="18"/>
              </w:rPr>
              <w:t xml:space="preserve"> w </w:t>
            </w:r>
            <w:r w:rsidRPr="00404DA5">
              <w:rPr>
                <w:rFonts w:cs="Calibri"/>
                <w:sz w:val="16"/>
                <w:szCs w:val="18"/>
              </w:rPr>
              <w:t>sprzęt TIK do prowadzenia zajęć edukacyjnych [szt.]</w:t>
            </w:r>
          </w:p>
        </w:tc>
        <w:tc>
          <w:tcPr>
            <w:tcW w:w="0" w:type="auto"/>
            <w:shd w:val="clear" w:color="auto" w:fill="auto"/>
            <w:vAlign w:val="center"/>
          </w:tcPr>
          <w:p w14:paraId="601B8467" w14:textId="77777777" w:rsidR="00050FB4" w:rsidRPr="00404DA5" w:rsidRDefault="00050FB4" w:rsidP="00050FB4">
            <w:pPr>
              <w:jc w:val="center"/>
              <w:rPr>
                <w:rFonts w:cs="Calibri"/>
                <w:sz w:val="18"/>
                <w:szCs w:val="18"/>
              </w:rPr>
            </w:pPr>
            <w:r w:rsidRPr="00404DA5">
              <w:rPr>
                <w:rFonts w:cs="Calibri"/>
                <w:sz w:val="18"/>
                <w:szCs w:val="18"/>
              </w:rPr>
              <w:t>80</w:t>
            </w:r>
          </w:p>
        </w:tc>
        <w:tc>
          <w:tcPr>
            <w:tcW w:w="0" w:type="auto"/>
            <w:shd w:val="clear" w:color="auto" w:fill="auto"/>
            <w:vAlign w:val="center"/>
          </w:tcPr>
          <w:p w14:paraId="1AB355B0" w14:textId="77777777" w:rsidR="00050FB4" w:rsidRPr="00404DA5" w:rsidRDefault="00050FB4" w:rsidP="00050FB4">
            <w:pPr>
              <w:jc w:val="center"/>
              <w:rPr>
                <w:rFonts w:cs="Calibri"/>
                <w:sz w:val="18"/>
                <w:szCs w:val="18"/>
              </w:rPr>
            </w:pPr>
            <w:r w:rsidRPr="00404DA5">
              <w:rPr>
                <w:rFonts w:cs="Calibri"/>
                <w:sz w:val="18"/>
                <w:szCs w:val="18"/>
              </w:rPr>
              <w:t>300</w:t>
            </w:r>
          </w:p>
        </w:tc>
        <w:tc>
          <w:tcPr>
            <w:tcW w:w="0" w:type="auto"/>
            <w:shd w:val="clear" w:color="auto" w:fill="auto"/>
            <w:vAlign w:val="center"/>
          </w:tcPr>
          <w:p w14:paraId="6CEAF47C" w14:textId="77777777" w:rsidR="00050FB4" w:rsidRPr="00404DA5" w:rsidRDefault="00050FB4" w:rsidP="00050FB4">
            <w:pPr>
              <w:jc w:val="center"/>
              <w:rPr>
                <w:rFonts w:cs="Calibri"/>
                <w:sz w:val="18"/>
                <w:szCs w:val="18"/>
              </w:rPr>
            </w:pPr>
            <w:r w:rsidRPr="00404DA5">
              <w:rPr>
                <w:rFonts w:cs="Calibri"/>
                <w:sz w:val="18"/>
                <w:szCs w:val="18"/>
              </w:rPr>
              <w:t>375%</w:t>
            </w:r>
          </w:p>
        </w:tc>
      </w:tr>
      <w:tr w:rsidR="00050FB4" w:rsidRPr="00FE43CD" w14:paraId="7B5F49D1" w14:textId="77777777" w:rsidTr="00050FB4">
        <w:trPr>
          <w:trHeight w:val="672"/>
        </w:trPr>
        <w:tc>
          <w:tcPr>
            <w:tcW w:w="0" w:type="auto"/>
            <w:shd w:val="clear" w:color="auto" w:fill="auto"/>
            <w:vAlign w:val="center"/>
          </w:tcPr>
          <w:p w14:paraId="2C1D2011" w14:textId="77777777" w:rsidR="00050FB4" w:rsidRPr="00404DA5" w:rsidRDefault="00050FB4" w:rsidP="005D667D">
            <w:pPr>
              <w:jc w:val="center"/>
              <w:rPr>
                <w:sz w:val="16"/>
                <w:szCs w:val="18"/>
              </w:rPr>
            </w:pPr>
            <w:r w:rsidRPr="00404DA5">
              <w:rPr>
                <w:sz w:val="16"/>
                <w:szCs w:val="18"/>
              </w:rPr>
              <w:t>WP</w:t>
            </w:r>
          </w:p>
        </w:tc>
        <w:tc>
          <w:tcPr>
            <w:tcW w:w="0" w:type="auto"/>
            <w:shd w:val="clear" w:color="auto" w:fill="auto"/>
            <w:vAlign w:val="center"/>
          </w:tcPr>
          <w:p w14:paraId="746401BE" w14:textId="77777777" w:rsidR="00050FB4" w:rsidRPr="00404DA5" w:rsidRDefault="00050FB4" w:rsidP="00050FB4">
            <w:pPr>
              <w:rPr>
                <w:rFonts w:cs="Calibri"/>
                <w:sz w:val="16"/>
                <w:szCs w:val="18"/>
              </w:rPr>
            </w:pPr>
            <w:r w:rsidRPr="00404DA5">
              <w:rPr>
                <w:rFonts w:cs="Calibri"/>
                <w:sz w:val="16"/>
                <w:szCs w:val="18"/>
              </w:rPr>
              <w:t>Liczba szkół, których pracownie przedmiotowe zostały doposażone</w:t>
            </w:r>
            <w:r w:rsidR="00E66B89">
              <w:rPr>
                <w:rFonts w:cs="Calibri"/>
                <w:sz w:val="16"/>
                <w:szCs w:val="18"/>
              </w:rPr>
              <w:t xml:space="preserve"> w </w:t>
            </w:r>
            <w:r w:rsidRPr="00404DA5">
              <w:rPr>
                <w:rFonts w:cs="Calibri"/>
                <w:sz w:val="16"/>
                <w:szCs w:val="18"/>
              </w:rPr>
              <w:t>programie [szt.]</w:t>
            </w:r>
          </w:p>
        </w:tc>
        <w:tc>
          <w:tcPr>
            <w:tcW w:w="0" w:type="auto"/>
            <w:shd w:val="clear" w:color="auto" w:fill="auto"/>
            <w:vAlign w:val="center"/>
          </w:tcPr>
          <w:p w14:paraId="3BA3C07F" w14:textId="77777777" w:rsidR="00050FB4" w:rsidRPr="00404DA5" w:rsidRDefault="00050FB4" w:rsidP="00050FB4">
            <w:pPr>
              <w:jc w:val="center"/>
              <w:rPr>
                <w:rFonts w:cs="Calibri"/>
                <w:sz w:val="18"/>
                <w:szCs w:val="18"/>
              </w:rPr>
            </w:pPr>
            <w:r w:rsidRPr="00404DA5">
              <w:rPr>
                <w:rFonts w:cs="Calibri"/>
                <w:sz w:val="18"/>
                <w:szCs w:val="18"/>
              </w:rPr>
              <w:t>124</w:t>
            </w:r>
          </w:p>
        </w:tc>
        <w:tc>
          <w:tcPr>
            <w:tcW w:w="0" w:type="auto"/>
            <w:shd w:val="clear" w:color="auto" w:fill="auto"/>
            <w:vAlign w:val="center"/>
          </w:tcPr>
          <w:p w14:paraId="141CA653" w14:textId="77777777" w:rsidR="00050FB4" w:rsidRPr="00404DA5" w:rsidRDefault="00050FB4" w:rsidP="00050FB4">
            <w:pPr>
              <w:jc w:val="center"/>
              <w:rPr>
                <w:rFonts w:cs="Calibri"/>
                <w:sz w:val="18"/>
                <w:szCs w:val="18"/>
              </w:rPr>
            </w:pPr>
            <w:r w:rsidRPr="00404DA5">
              <w:rPr>
                <w:rFonts w:cs="Calibri"/>
                <w:sz w:val="18"/>
                <w:szCs w:val="18"/>
              </w:rPr>
              <w:t>320</w:t>
            </w:r>
          </w:p>
        </w:tc>
        <w:tc>
          <w:tcPr>
            <w:tcW w:w="0" w:type="auto"/>
            <w:shd w:val="clear" w:color="auto" w:fill="auto"/>
            <w:vAlign w:val="center"/>
          </w:tcPr>
          <w:p w14:paraId="2A257DFE" w14:textId="77777777" w:rsidR="00050FB4" w:rsidRPr="00404DA5" w:rsidRDefault="00050FB4" w:rsidP="00050FB4">
            <w:pPr>
              <w:jc w:val="center"/>
              <w:rPr>
                <w:rFonts w:cs="Calibri"/>
                <w:sz w:val="18"/>
                <w:szCs w:val="18"/>
              </w:rPr>
            </w:pPr>
            <w:r w:rsidRPr="00404DA5">
              <w:rPr>
                <w:rFonts w:cs="Calibri"/>
                <w:sz w:val="18"/>
                <w:szCs w:val="18"/>
              </w:rPr>
              <w:t>258%</w:t>
            </w:r>
          </w:p>
        </w:tc>
      </w:tr>
      <w:tr w:rsidR="00050FB4" w:rsidRPr="00FE43CD" w14:paraId="3A631F06" w14:textId="77777777" w:rsidTr="00050FB4">
        <w:trPr>
          <w:trHeight w:val="672"/>
        </w:trPr>
        <w:tc>
          <w:tcPr>
            <w:tcW w:w="0" w:type="auto"/>
            <w:shd w:val="clear" w:color="auto" w:fill="auto"/>
            <w:vAlign w:val="center"/>
          </w:tcPr>
          <w:p w14:paraId="119FE13F" w14:textId="77777777" w:rsidR="00050FB4" w:rsidRPr="00404DA5" w:rsidRDefault="00050FB4" w:rsidP="005D667D">
            <w:pPr>
              <w:jc w:val="center"/>
              <w:rPr>
                <w:sz w:val="16"/>
                <w:szCs w:val="18"/>
              </w:rPr>
            </w:pPr>
            <w:r w:rsidRPr="00404DA5">
              <w:rPr>
                <w:sz w:val="16"/>
                <w:szCs w:val="18"/>
              </w:rPr>
              <w:t>WR</w:t>
            </w:r>
          </w:p>
        </w:tc>
        <w:tc>
          <w:tcPr>
            <w:tcW w:w="0" w:type="auto"/>
            <w:shd w:val="clear" w:color="auto" w:fill="auto"/>
            <w:vAlign w:val="center"/>
          </w:tcPr>
          <w:p w14:paraId="3D90ED5A" w14:textId="77777777" w:rsidR="00050FB4" w:rsidRPr="00404DA5" w:rsidRDefault="00050FB4" w:rsidP="00050FB4">
            <w:pPr>
              <w:rPr>
                <w:rFonts w:cs="Calibri"/>
                <w:sz w:val="16"/>
                <w:szCs w:val="18"/>
              </w:rPr>
            </w:pPr>
            <w:r w:rsidRPr="00404DA5">
              <w:rPr>
                <w:rFonts w:cs="Calibri"/>
                <w:sz w:val="16"/>
                <w:szCs w:val="18"/>
              </w:rPr>
              <w:t>Liczba szkół,</w:t>
            </w:r>
            <w:r w:rsidR="00E66B89">
              <w:rPr>
                <w:rFonts w:cs="Calibri"/>
                <w:sz w:val="16"/>
                <w:szCs w:val="18"/>
              </w:rPr>
              <w:t xml:space="preserve"> w </w:t>
            </w:r>
            <w:r w:rsidRPr="00404DA5">
              <w:rPr>
                <w:rFonts w:cs="Calibri"/>
                <w:sz w:val="16"/>
                <w:szCs w:val="18"/>
              </w:rPr>
              <w:t>których pracownie przedmiotowe wykorzystują doposażenie do prowadzenia zajęć edukacyjnych [</w:t>
            </w:r>
            <w:r>
              <w:rPr>
                <w:rFonts w:cs="Calibri"/>
                <w:sz w:val="16"/>
                <w:szCs w:val="18"/>
              </w:rPr>
              <w:t>%</w:t>
            </w:r>
            <w:r w:rsidRPr="00404DA5">
              <w:rPr>
                <w:rFonts w:cs="Calibri"/>
                <w:sz w:val="16"/>
                <w:szCs w:val="18"/>
              </w:rPr>
              <w:t>]</w:t>
            </w:r>
          </w:p>
        </w:tc>
        <w:tc>
          <w:tcPr>
            <w:tcW w:w="0" w:type="auto"/>
            <w:shd w:val="clear" w:color="auto" w:fill="auto"/>
            <w:vAlign w:val="center"/>
          </w:tcPr>
          <w:p w14:paraId="7BEE69C3" w14:textId="77777777" w:rsidR="00050FB4" w:rsidRPr="00404DA5" w:rsidRDefault="00050FB4" w:rsidP="00050FB4">
            <w:pPr>
              <w:jc w:val="center"/>
              <w:rPr>
                <w:rFonts w:cs="Calibri"/>
                <w:sz w:val="18"/>
                <w:szCs w:val="18"/>
              </w:rPr>
            </w:pPr>
            <w:r w:rsidRPr="00404DA5">
              <w:rPr>
                <w:rFonts w:cs="Calibri"/>
                <w:sz w:val="18"/>
                <w:szCs w:val="18"/>
              </w:rPr>
              <w:t>97%</w:t>
            </w:r>
          </w:p>
        </w:tc>
        <w:tc>
          <w:tcPr>
            <w:tcW w:w="0" w:type="auto"/>
            <w:shd w:val="clear" w:color="auto" w:fill="auto"/>
            <w:vAlign w:val="center"/>
          </w:tcPr>
          <w:p w14:paraId="045C5667" w14:textId="77777777" w:rsidR="00050FB4" w:rsidRDefault="00050FB4" w:rsidP="00050FB4">
            <w:pPr>
              <w:jc w:val="center"/>
              <w:rPr>
                <w:rFonts w:cs="Calibri"/>
                <w:sz w:val="18"/>
                <w:szCs w:val="18"/>
              </w:rPr>
            </w:pPr>
            <w:r>
              <w:rPr>
                <w:rFonts w:cs="Calibri"/>
                <w:sz w:val="18"/>
                <w:szCs w:val="18"/>
              </w:rPr>
              <w:t>98%</w:t>
            </w:r>
          </w:p>
          <w:p w14:paraId="656B6AEF" w14:textId="77777777" w:rsidR="00050FB4" w:rsidRPr="00404DA5" w:rsidRDefault="00050FB4" w:rsidP="00050FB4">
            <w:pPr>
              <w:jc w:val="center"/>
              <w:rPr>
                <w:rFonts w:cs="Calibri"/>
                <w:sz w:val="18"/>
                <w:szCs w:val="18"/>
              </w:rPr>
            </w:pPr>
            <w:r>
              <w:rPr>
                <w:rFonts w:cs="Calibri"/>
                <w:sz w:val="18"/>
                <w:szCs w:val="18"/>
              </w:rPr>
              <w:t>(</w:t>
            </w:r>
            <w:r w:rsidRPr="00404DA5">
              <w:rPr>
                <w:rFonts w:cs="Calibri"/>
                <w:sz w:val="18"/>
                <w:szCs w:val="18"/>
              </w:rPr>
              <w:t>3</w:t>
            </w:r>
            <w:r>
              <w:rPr>
                <w:rFonts w:cs="Calibri"/>
                <w:sz w:val="18"/>
                <w:szCs w:val="18"/>
              </w:rPr>
              <w:t>14)</w:t>
            </w:r>
          </w:p>
        </w:tc>
        <w:tc>
          <w:tcPr>
            <w:tcW w:w="0" w:type="auto"/>
            <w:shd w:val="clear" w:color="auto" w:fill="auto"/>
            <w:vAlign w:val="center"/>
          </w:tcPr>
          <w:p w14:paraId="64F23188" w14:textId="77777777" w:rsidR="00050FB4" w:rsidRPr="00404DA5" w:rsidRDefault="00050FB4" w:rsidP="00050FB4">
            <w:pPr>
              <w:jc w:val="center"/>
              <w:rPr>
                <w:rFonts w:cs="Calibri"/>
                <w:sz w:val="18"/>
                <w:szCs w:val="18"/>
              </w:rPr>
            </w:pPr>
            <w:r w:rsidRPr="00404DA5">
              <w:rPr>
                <w:rFonts w:cs="Calibri"/>
                <w:sz w:val="18"/>
                <w:szCs w:val="18"/>
              </w:rPr>
              <w:t>10</w:t>
            </w:r>
            <w:r>
              <w:rPr>
                <w:rFonts w:cs="Calibri"/>
                <w:sz w:val="18"/>
                <w:szCs w:val="18"/>
              </w:rPr>
              <w:t>2</w:t>
            </w:r>
            <w:r w:rsidRPr="00404DA5">
              <w:rPr>
                <w:rFonts w:cs="Calibri"/>
                <w:sz w:val="18"/>
                <w:szCs w:val="18"/>
              </w:rPr>
              <w:t>%</w:t>
            </w:r>
          </w:p>
        </w:tc>
      </w:tr>
      <w:tr w:rsidR="00050FB4" w:rsidRPr="00FE43CD" w14:paraId="7B914C5A" w14:textId="77777777" w:rsidTr="00050FB4">
        <w:trPr>
          <w:trHeight w:val="672"/>
        </w:trPr>
        <w:tc>
          <w:tcPr>
            <w:tcW w:w="0" w:type="auto"/>
            <w:shd w:val="clear" w:color="auto" w:fill="auto"/>
            <w:vAlign w:val="center"/>
          </w:tcPr>
          <w:p w14:paraId="07AA033F" w14:textId="77777777" w:rsidR="00050FB4" w:rsidRPr="00404DA5" w:rsidRDefault="00050FB4" w:rsidP="005D667D">
            <w:pPr>
              <w:jc w:val="center"/>
              <w:rPr>
                <w:sz w:val="16"/>
                <w:szCs w:val="18"/>
              </w:rPr>
            </w:pPr>
            <w:r w:rsidRPr="00404DA5">
              <w:rPr>
                <w:sz w:val="16"/>
                <w:szCs w:val="18"/>
              </w:rPr>
              <w:t>WP</w:t>
            </w:r>
          </w:p>
        </w:tc>
        <w:tc>
          <w:tcPr>
            <w:tcW w:w="0" w:type="auto"/>
            <w:shd w:val="clear" w:color="auto" w:fill="auto"/>
            <w:vAlign w:val="center"/>
          </w:tcPr>
          <w:p w14:paraId="204B481A" w14:textId="77777777" w:rsidR="00050FB4" w:rsidRPr="00404DA5" w:rsidRDefault="00050FB4" w:rsidP="00050FB4">
            <w:pPr>
              <w:rPr>
                <w:rFonts w:cs="Calibri"/>
                <w:sz w:val="16"/>
                <w:szCs w:val="18"/>
              </w:rPr>
            </w:pPr>
            <w:r w:rsidRPr="00404DA5">
              <w:rPr>
                <w:rFonts w:cs="Calibri"/>
                <w:sz w:val="16"/>
                <w:szCs w:val="18"/>
              </w:rPr>
              <w:t>Liczba uczniów objętych wsparciem</w:t>
            </w:r>
            <w:r w:rsidR="00E66B89">
              <w:rPr>
                <w:rFonts w:cs="Calibri"/>
                <w:sz w:val="16"/>
                <w:szCs w:val="18"/>
              </w:rPr>
              <w:t xml:space="preserve"> w </w:t>
            </w:r>
            <w:r w:rsidRPr="00404DA5">
              <w:rPr>
                <w:rFonts w:cs="Calibri"/>
                <w:sz w:val="16"/>
                <w:szCs w:val="18"/>
              </w:rPr>
              <w:t>zakresie rozwijania kompetencji kluczowych lub umiejętności uniwersalnych</w:t>
            </w:r>
            <w:r w:rsidR="00E66B89">
              <w:rPr>
                <w:rFonts w:cs="Calibri"/>
                <w:sz w:val="16"/>
                <w:szCs w:val="18"/>
              </w:rPr>
              <w:t xml:space="preserve"> w </w:t>
            </w:r>
            <w:r w:rsidRPr="00404DA5">
              <w:rPr>
                <w:rFonts w:cs="Calibri"/>
                <w:sz w:val="16"/>
                <w:szCs w:val="18"/>
              </w:rPr>
              <w:t>programie [osoby]</w:t>
            </w:r>
          </w:p>
        </w:tc>
        <w:tc>
          <w:tcPr>
            <w:tcW w:w="0" w:type="auto"/>
            <w:shd w:val="clear" w:color="auto" w:fill="auto"/>
            <w:vAlign w:val="center"/>
          </w:tcPr>
          <w:p w14:paraId="0319DA7A" w14:textId="77777777" w:rsidR="00050FB4" w:rsidRPr="00404DA5" w:rsidRDefault="00050FB4" w:rsidP="00050FB4">
            <w:pPr>
              <w:jc w:val="center"/>
              <w:rPr>
                <w:rFonts w:cs="Calibri"/>
                <w:sz w:val="18"/>
                <w:szCs w:val="18"/>
              </w:rPr>
            </w:pPr>
            <w:r w:rsidRPr="00404DA5">
              <w:rPr>
                <w:rFonts w:cs="Calibri"/>
                <w:sz w:val="18"/>
                <w:szCs w:val="18"/>
              </w:rPr>
              <w:t>6427</w:t>
            </w:r>
          </w:p>
        </w:tc>
        <w:tc>
          <w:tcPr>
            <w:tcW w:w="0" w:type="auto"/>
            <w:shd w:val="clear" w:color="auto" w:fill="auto"/>
            <w:vAlign w:val="center"/>
          </w:tcPr>
          <w:p w14:paraId="11DF234F" w14:textId="77777777" w:rsidR="00050FB4" w:rsidRPr="00404DA5" w:rsidRDefault="00050FB4" w:rsidP="00050FB4">
            <w:pPr>
              <w:jc w:val="center"/>
              <w:rPr>
                <w:rFonts w:cs="Calibri"/>
                <w:sz w:val="18"/>
                <w:szCs w:val="18"/>
              </w:rPr>
            </w:pPr>
            <w:r w:rsidRPr="00404DA5">
              <w:rPr>
                <w:rFonts w:cs="Calibri"/>
                <w:sz w:val="18"/>
                <w:szCs w:val="18"/>
              </w:rPr>
              <w:t>39 308</w:t>
            </w:r>
          </w:p>
        </w:tc>
        <w:tc>
          <w:tcPr>
            <w:tcW w:w="0" w:type="auto"/>
            <w:shd w:val="clear" w:color="auto" w:fill="auto"/>
            <w:vAlign w:val="center"/>
          </w:tcPr>
          <w:p w14:paraId="385A4EE4" w14:textId="77777777" w:rsidR="00050FB4" w:rsidRPr="00404DA5" w:rsidRDefault="00050FB4" w:rsidP="00050FB4">
            <w:pPr>
              <w:jc w:val="center"/>
              <w:rPr>
                <w:rFonts w:cs="Calibri"/>
                <w:sz w:val="18"/>
                <w:szCs w:val="18"/>
              </w:rPr>
            </w:pPr>
            <w:r w:rsidRPr="00404DA5">
              <w:rPr>
                <w:rFonts w:cs="Calibri"/>
                <w:sz w:val="18"/>
                <w:szCs w:val="18"/>
              </w:rPr>
              <w:t>612%</w:t>
            </w:r>
          </w:p>
        </w:tc>
      </w:tr>
      <w:tr w:rsidR="00050FB4" w:rsidRPr="00FE43CD" w14:paraId="580BA107" w14:textId="77777777" w:rsidTr="00050FB4">
        <w:trPr>
          <w:trHeight w:val="672"/>
        </w:trPr>
        <w:tc>
          <w:tcPr>
            <w:tcW w:w="0" w:type="auto"/>
            <w:shd w:val="clear" w:color="auto" w:fill="auto"/>
            <w:vAlign w:val="center"/>
          </w:tcPr>
          <w:p w14:paraId="102B1C7F" w14:textId="77777777" w:rsidR="00050FB4" w:rsidRPr="00404DA5" w:rsidRDefault="00050FB4" w:rsidP="005D667D">
            <w:pPr>
              <w:jc w:val="center"/>
              <w:rPr>
                <w:sz w:val="16"/>
                <w:szCs w:val="18"/>
              </w:rPr>
            </w:pPr>
            <w:r w:rsidRPr="00404DA5">
              <w:rPr>
                <w:sz w:val="16"/>
                <w:szCs w:val="18"/>
              </w:rPr>
              <w:t>WR</w:t>
            </w:r>
          </w:p>
        </w:tc>
        <w:tc>
          <w:tcPr>
            <w:tcW w:w="0" w:type="auto"/>
            <w:shd w:val="clear" w:color="auto" w:fill="auto"/>
            <w:vAlign w:val="center"/>
          </w:tcPr>
          <w:p w14:paraId="60F0FB18" w14:textId="77777777" w:rsidR="00050FB4" w:rsidRPr="00404DA5" w:rsidRDefault="00050FB4" w:rsidP="00050FB4">
            <w:pPr>
              <w:rPr>
                <w:rFonts w:cs="Calibri"/>
                <w:sz w:val="16"/>
                <w:szCs w:val="18"/>
              </w:rPr>
            </w:pPr>
            <w:r w:rsidRPr="00404DA5">
              <w:rPr>
                <w:rFonts w:cs="Calibri"/>
                <w:sz w:val="16"/>
                <w:szCs w:val="18"/>
              </w:rPr>
              <w:t>Liczba uczniów, którzy nabyli kompetencje kluczowe lub umiejętności uniwersalne po opuszczeniu programu [</w:t>
            </w:r>
            <w:r>
              <w:rPr>
                <w:rFonts w:cs="Calibri"/>
                <w:sz w:val="16"/>
                <w:szCs w:val="18"/>
              </w:rPr>
              <w:t>%</w:t>
            </w:r>
            <w:r w:rsidRPr="00404DA5">
              <w:rPr>
                <w:rFonts w:cs="Calibri"/>
                <w:sz w:val="16"/>
                <w:szCs w:val="18"/>
              </w:rPr>
              <w:t>]</w:t>
            </w:r>
          </w:p>
        </w:tc>
        <w:tc>
          <w:tcPr>
            <w:tcW w:w="0" w:type="auto"/>
            <w:shd w:val="clear" w:color="auto" w:fill="auto"/>
            <w:vAlign w:val="center"/>
          </w:tcPr>
          <w:p w14:paraId="17DDA216" w14:textId="77777777" w:rsidR="00050FB4" w:rsidRPr="00404DA5" w:rsidRDefault="00050FB4" w:rsidP="00050FB4">
            <w:pPr>
              <w:jc w:val="center"/>
              <w:rPr>
                <w:rFonts w:cs="Calibri"/>
                <w:sz w:val="16"/>
                <w:szCs w:val="18"/>
              </w:rPr>
            </w:pPr>
            <w:r w:rsidRPr="00404DA5">
              <w:rPr>
                <w:rFonts w:cs="Calibri"/>
                <w:sz w:val="16"/>
                <w:szCs w:val="18"/>
              </w:rPr>
              <w:t>85%</w:t>
            </w:r>
          </w:p>
        </w:tc>
        <w:tc>
          <w:tcPr>
            <w:tcW w:w="0" w:type="auto"/>
            <w:shd w:val="clear" w:color="auto" w:fill="auto"/>
            <w:vAlign w:val="center"/>
          </w:tcPr>
          <w:p w14:paraId="2C9FDBB8" w14:textId="77777777" w:rsidR="00050FB4" w:rsidRDefault="00050FB4" w:rsidP="00050FB4">
            <w:pPr>
              <w:jc w:val="center"/>
              <w:rPr>
                <w:rFonts w:cs="Calibri"/>
                <w:sz w:val="18"/>
                <w:szCs w:val="18"/>
              </w:rPr>
            </w:pPr>
            <w:r>
              <w:rPr>
                <w:rFonts w:cs="Calibri"/>
                <w:sz w:val="18"/>
                <w:szCs w:val="18"/>
              </w:rPr>
              <w:t>89,9%</w:t>
            </w:r>
          </w:p>
          <w:p w14:paraId="0BBCDE64" w14:textId="77777777" w:rsidR="00050FB4" w:rsidRPr="00404DA5" w:rsidRDefault="00050FB4" w:rsidP="00050FB4">
            <w:pPr>
              <w:jc w:val="center"/>
              <w:rPr>
                <w:rFonts w:cs="Calibri"/>
                <w:sz w:val="18"/>
                <w:szCs w:val="18"/>
              </w:rPr>
            </w:pPr>
            <w:r>
              <w:rPr>
                <w:rFonts w:cs="Calibri"/>
                <w:sz w:val="18"/>
                <w:szCs w:val="18"/>
              </w:rPr>
              <w:t>(</w:t>
            </w:r>
            <w:r w:rsidRPr="00404DA5">
              <w:rPr>
                <w:rFonts w:cs="Calibri"/>
                <w:sz w:val="18"/>
                <w:szCs w:val="18"/>
              </w:rPr>
              <w:t>35357</w:t>
            </w:r>
            <w:r>
              <w:rPr>
                <w:rFonts w:cs="Calibri"/>
                <w:sz w:val="18"/>
                <w:szCs w:val="18"/>
              </w:rPr>
              <w:t>)</w:t>
            </w:r>
          </w:p>
        </w:tc>
        <w:tc>
          <w:tcPr>
            <w:tcW w:w="0" w:type="auto"/>
            <w:shd w:val="clear" w:color="auto" w:fill="auto"/>
            <w:vAlign w:val="center"/>
          </w:tcPr>
          <w:p w14:paraId="67AC4CCF" w14:textId="77777777" w:rsidR="00050FB4" w:rsidRPr="00404DA5" w:rsidRDefault="00050FB4" w:rsidP="00050FB4">
            <w:pPr>
              <w:jc w:val="center"/>
              <w:rPr>
                <w:rFonts w:cs="Calibri"/>
                <w:sz w:val="18"/>
                <w:szCs w:val="18"/>
              </w:rPr>
            </w:pPr>
            <w:r w:rsidRPr="00404DA5">
              <w:rPr>
                <w:rFonts w:cs="Calibri"/>
                <w:sz w:val="18"/>
                <w:szCs w:val="18"/>
              </w:rPr>
              <w:t>106%</w:t>
            </w:r>
          </w:p>
        </w:tc>
      </w:tr>
    </w:tbl>
    <w:p w14:paraId="512D5EBC"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zawartych UoD na dzień 07.01.2019 r., obliczenia</w:t>
      </w:r>
      <w:r w:rsidR="00E66B89" w:rsidRPr="00D21299">
        <w:rPr>
          <w:i/>
          <w:sz w:val="18"/>
          <w:szCs w:val="20"/>
        </w:rPr>
        <w:t xml:space="preserve"> i </w:t>
      </w:r>
      <w:r w:rsidRPr="00D21299">
        <w:rPr>
          <w:i/>
          <w:sz w:val="18"/>
          <w:szCs w:val="20"/>
        </w:rPr>
        <w:t xml:space="preserve">analizy własne. </w:t>
      </w:r>
    </w:p>
    <w:p w14:paraId="5498404A" w14:textId="77777777" w:rsidR="00050FB4" w:rsidRPr="00404DA5" w:rsidRDefault="00050FB4" w:rsidP="00050FB4">
      <w:pPr>
        <w:rPr>
          <w:rFonts w:cs="Calibri"/>
          <w:i/>
        </w:rPr>
      </w:pPr>
      <w:r w:rsidRPr="00404DA5">
        <w:rPr>
          <w:rFonts w:cs="Calibri"/>
        </w:rPr>
        <w:t xml:space="preserve">Na podstawie dostępnych danych należy stwierdzić, że nie jest możliwe osiągnięcie </w:t>
      </w:r>
      <w:r w:rsidRPr="008B706B">
        <w:rPr>
          <w:rFonts w:cs="Calibri"/>
        </w:rPr>
        <w:t>wskaźników</w:t>
      </w:r>
      <w:r w:rsidRPr="00404DA5">
        <w:rPr>
          <w:rFonts w:cs="Calibri"/>
          <w:i/>
        </w:rPr>
        <w:t xml:space="preserve"> </w:t>
      </w:r>
      <w:r w:rsidRPr="00AA2B25">
        <w:rPr>
          <w:rFonts w:cs="Calibri"/>
          <w:i/>
          <w:szCs w:val="18"/>
        </w:rPr>
        <w:t>Liczba miejsc wychowania przedszkolnego dofinansowanych</w:t>
      </w:r>
      <w:r w:rsidR="00E66B89">
        <w:rPr>
          <w:rFonts w:cs="Calibri"/>
          <w:i/>
          <w:szCs w:val="18"/>
        </w:rPr>
        <w:t xml:space="preserve"> w </w:t>
      </w:r>
      <w:r w:rsidRPr="00AA2B25">
        <w:rPr>
          <w:rFonts w:cs="Calibri"/>
          <w:i/>
          <w:szCs w:val="18"/>
        </w:rPr>
        <w:t>programie</w:t>
      </w:r>
      <w:r w:rsidRPr="00AA2B25">
        <w:rPr>
          <w:rFonts w:cs="Calibri"/>
          <w:szCs w:val="18"/>
        </w:rPr>
        <w:t xml:space="preserve"> oraz </w:t>
      </w:r>
      <w:r w:rsidRPr="00AA2B25">
        <w:rPr>
          <w:rFonts w:cs="Calibri"/>
          <w:bCs/>
          <w:i/>
          <w:szCs w:val="18"/>
        </w:rPr>
        <w:t>Liczba dzieci objętych</w:t>
      </w:r>
      <w:r w:rsidR="00E66B89">
        <w:rPr>
          <w:rFonts w:cs="Calibri"/>
          <w:bCs/>
          <w:i/>
          <w:szCs w:val="18"/>
        </w:rPr>
        <w:t xml:space="preserve"> w </w:t>
      </w:r>
      <w:r w:rsidRPr="00AA2B25">
        <w:rPr>
          <w:rFonts w:cs="Calibri"/>
          <w:bCs/>
          <w:i/>
          <w:szCs w:val="18"/>
        </w:rPr>
        <w:t>ramach programu dodatkowymi zajęciami zwiększającymi ich szanse edukacyjne</w:t>
      </w:r>
      <w:r w:rsidR="00E66B89">
        <w:rPr>
          <w:rFonts w:cs="Calibri"/>
          <w:bCs/>
          <w:i/>
          <w:szCs w:val="18"/>
        </w:rPr>
        <w:t xml:space="preserve"> w </w:t>
      </w:r>
      <w:r w:rsidRPr="00AA2B25">
        <w:rPr>
          <w:rFonts w:cs="Calibri"/>
          <w:bCs/>
          <w:i/>
          <w:szCs w:val="18"/>
        </w:rPr>
        <w:t>edukacji przedszkolnej</w:t>
      </w:r>
      <w:r w:rsidRPr="00AA2B25">
        <w:rPr>
          <w:rFonts w:cs="Calibri"/>
          <w:bCs/>
          <w:szCs w:val="18"/>
        </w:rPr>
        <w:t>. Przesunięcie środków</w:t>
      </w:r>
      <w:r w:rsidR="00E66B89">
        <w:rPr>
          <w:rFonts w:cs="Calibri"/>
          <w:bCs/>
          <w:szCs w:val="18"/>
        </w:rPr>
        <w:t xml:space="preserve"> z </w:t>
      </w:r>
      <w:r w:rsidRPr="00AA2B25">
        <w:rPr>
          <w:rFonts w:cs="Calibri"/>
          <w:bCs/>
          <w:szCs w:val="18"/>
        </w:rPr>
        <w:t>konkursów przyczyniających się do realizacji pierwszego</w:t>
      </w:r>
      <w:r w:rsidR="00E66B89">
        <w:rPr>
          <w:rFonts w:cs="Calibri"/>
          <w:bCs/>
          <w:szCs w:val="18"/>
        </w:rPr>
        <w:t xml:space="preserve"> z </w:t>
      </w:r>
      <w:r w:rsidRPr="00AA2B25">
        <w:rPr>
          <w:rFonts w:cs="Calibri"/>
          <w:bCs/>
          <w:szCs w:val="18"/>
        </w:rPr>
        <w:t>tych wskaźników do konkursów realizujących drugi</w:t>
      </w:r>
      <w:r>
        <w:rPr>
          <w:rFonts w:cs="Calibri"/>
          <w:bCs/>
          <w:szCs w:val="18"/>
        </w:rPr>
        <w:t xml:space="preserve"> wskaźnik,</w:t>
      </w:r>
      <w:r w:rsidRPr="00AA2B25">
        <w:rPr>
          <w:rFonts w:cs="Calibri"/>
          <w:bCs/>
          <w:szCs w:val="18"/>
        </w:rPr>
        <w:t xml:space="preserve"> pozwoli zbliżyć się do osiągnięcia zakładanych poziomów tego ostatniego, jednakże nie pozwoli na ich osiągnięcie</w:t>
      </w:r>
      <w:r w:rsidR="00E66B89">
        <w:rPr>
          <w:rFonts w:cs="Calibri"/>
          <w:bCs/>
          <w:szCs w:val="18"/>
        </w:rPr>
        <w:t xml:space="preserve"> w </w:t>
      </w:r>
      <w:r w:rsidRPr="00AA2B25">
        <w:rPr>
          <w:rFonts w:cs="Calibri"/>
          <w:bCs/>
          <w:szCs w:val="18"/>
        </w:rPr>
        <w:t>pełni.</w:t>
      </w:r>
      <w:r>
        <w:rPr>
          <w:rFonts w:cs="Calibri"/>
          <w:bCs/>
          <w:szCs w:val="18"/>
        </w:rPr>
        <w:t xml:space="preserve"> Wszystkie inne założone</w:t>
      </w:r>
      <w:r w:rsidR="00E66B89">
        <w:rPr>
          <w:rFonts w:cs="Calibri"/>
          <w:bCs/>
          <w:szCs w:val="18"/>
        </w:rPr>
        <w:t xml:space="preserve"> w </w:t>
      </w:r>
      <w:r>
        <w:rPr>
          <w:rFonts w:cs="Calibri"/>
          <w:bCs/>
          <w:szCs w:val="18"/>
        </w:rPr>
        <w:t xml:space="preserve">PI 10i wskaźniki zostaną osiągnięte. </w:t>
      </w:r>
      <w:r w:rsidRPr="008B706B">
        <w:rPr>
          <w:rFonts w:cs="Calibri"/>
          <w:b/>
          <w:bCs/>
          <w:szCs w:val="18"/>
        </w:rPr>
        <w:t>REKOMENDACJA:</w:t>
      </w:r>
      <w:r w:rsidRPr="008B706B">
        <w:rPr>
          <w:b/>
        </w:rPr>
        <w:t xml:space="preserve"> </w:t>
      </w:r>
      <w:r w:rsidRPr="008B706B">
        <w:rPr>
          <w:rFonts w:cs="Calibri"/>
          <w:b/>
          <w:bCs/>
          <w:szCs w:val="18"/>
        </w:rPr>
        <w:t>Zaleca się uaktualnienie wartości docelowych</w:t>
      </w:r>
      <w:r>
        <w:rPr>
          <w:rFonts w:cs="Calibri"/>
          <w:b/>
          <w:bCs/>
          <w:szCs w:val="18"/>
        </w:rPr>
        <w:t xml:space="preserve"> </w:t>
      </w:r>
      <w:r w:rsidRPr="008B706B">
        <w:rPr>
          <w:rFonts w:cs="Calibri"/>
          <w:b/>
          <w:bCs/>
          <w:szCs w:val="18"/>
        </w:rPr>
        <w:t xml:space="preserve">wskaźników </w:t>
      </w:r>
      <w:r w:rsidRPr="008B706B">
        <w:rPr>
          <w:rFonts w:cs="Calibri"/>
          <w:b/>
          <w:i/>
          <w:szCs w:val="18"/>
        </w:rPr>
        <w:t>Liczba miejsc wychowania przedszkolnego dofinansowanych</w:t>
      </w:r>
      <w:r w:rsidR="00E66B89">
        <w:rPr>
          <w:rFonts w:cs="Calibri"/>
          <w:b/>
          <w:i/>
          <w:szCs w:val="18"/>
        </w:rPr>
        <w:t xml:space="preserve"> w </w:t>
      </w:r>
      <w:r w:rsidRPr="008B706B">
        <w:rPr>
          <w:rFonts w:cs="Calibri"/>
          <w:b/>
          <w:i/>
          <w:szCs w:val="18"/>
        </w:rPr>
        <w:t>programie</w:t>
      </w:r>
      <w:r w:rsidRPr="008B706B">
        <w:rPr>
          <w:rFonts w:cs="Calibri"/>
          <w:b/>
          <w:szCs w:val="18"/>
        </w:rPr>
        <w:t xml:space="preserve"> oraz </w:t>
      </w:r>
      <w:r w:rsidRPr="008B706B">
        <w:rPr>
          <w:rFonts w:cs="Calibri"/>
          <w:b/>
          <w:bCs/>
          <w:i/>
          <w:szCs w:val="18"/>
        </w:rPr>
        <w:t>Liczba dzieci objętych</w:t>
      </w:r>
      <w:r w:rsidR="00E66B89">
        <w:rPr>
          <w:rFonts w:cs="Calibri"/>
          <w:b/>
          <w:bCs/>
          <w:i/>
          <w:szCs w:val="18"/>
        </w:rPr>
        <w:t xml:space="preserve"> w </w:t>
      </w:r>
      <w:r w:rsidRPr="008B706B">
        <w:rPr>
          <w:rFonts w:cs="Calibri"/>
          <w:b/>
          <w:bCs/>
          <w:i/>
          <w:szCs w:val="18"/>
        </w:rPr>
        <w:t>ramach programu dodatkowymi zajęciami zwiększającymi ich szanse edukacyjne</w:t>
      </w:r>
      <w:r w:rsidR="00E66B89">
        <w:rPr>
          <w:rFonts w:cs="Calibri"/>
          <w:b/>
          <w:bCs/>
          <w:i/>
          <w:szCs w:val="18"/>
        </w:rPr>
        <w:t xml:space="preserve"> w </w:t>
      </w:r>
      <w:r w:rsidRPr="008B706B">
        <w:rPr>
          <w:rFonts w:cs="Calibri"/>
          <w:b/>
          <w:bCs/>
          <w:i/>
          <w:szCs w:val="18"/>
        </w:rPr>
        <w:t>edukacji przedszkolnej</w:t>
      </w:r>
      <w:r w:rsidRPr="008B706B">
        <w:rPr>
          <w:rFonts w:cs="Calibri"/>
          <w:b/>
          <w:bCs/>
          <w:szCs w:val="18"/>
        </w:rPr>
        <w:t>.</w:t>
      </w:r>
    </w:p>
    <w:p w14:paraId="6FE74998"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16FF4FF2" w14:textId="77777777" w:rsidR="00050FB4" w:rsidRPr="008B706B" w:rsidRDefault="00050FB4" w:rsidP="00050FB4">
      <w:pPr>
        <w:rPr>
          <w:rFonts w:cs="Calibri"/>
          <w:b/>
          <w:szCs w:val="20"/>
        </w:rPr>
      </w:pPr>
      <w:r w:rsidRPr="00404DA5">
        <w:rPr>
          <w:rFonts w:cs="Calibri"/>
          <w:szCs w:val="20"/>
        </w:rPr>
        <w:t>W związku</w:t>
      </w:r>
      <w:r w:rsidR="00E66B89">
        <w:rPr>
          <w:rFonts w:cs="Calibri"/>
          <w:szCs w:val="20"/>
        </w:rPr>
        <w:t xml:space="preserve"> z </w:t>
      </w:r>
      <w:r w:rsidRPr="00404DA5">
        <w:rPr>
          <w:rFonts w:cs="Calibri"/>
          <w:szCs w:val="20"/>
        </w:rPr>
        <w:t xml:space="preserve">niskim potencjałem </w:t>
      </w:r>
      <w:r w:rsidR="005D667D" w:rsidRPr="00404DA5">
        <w:rPr>
          <w:rFonts w:cs="Calibri"/>
          <w:szCs w:val="20"/>
        </w:rPr>
        <w:t>absorpcji</w:t>
      </w:r>
      <w:r w:rsidR="00E66B89">
        <w:rPr>
          <w:rFonts w:cs="Calibri"/>
          <w:szCs w:val="20"/>
        </w:rPr>
        <w:t xml:space="preserve"> w </w:t>
      </w:r>
      <w:r w:rsidRPr="00404DA5">
        <w:rPr>
          <w:rFonts w:cs="Calibri"/>
          <w:szCs w:val="20"/>
        </w:rPr>
        <w:t>Działaniu 8.1</w:t>
      </w:r>
      <w:r>
        <w:rPr>
          <w:rFonts w:cs="Calibri"/>
          <w:szCs w:val="20"/>
        </w:rPr>
        <w:t>,</w:t>
      </w:r>
      <w:r w:rsidRPr="00404DA5">
        <w:rPr>
          <w:rFonts w:cs="Calibri"/>
          <w:szCs w:val="20"/>
        </w:rPr>
        <w:t xml:space="preserve"> należy </w:t>
      </w:r>
      <w:r>
        <w:rPr>
          <w:rFonts w:cs="Calibri"/>
          <w:szCs w:val="20"/>
        </w:rPr>
        <w:t>rozważyć możliwość</w:t>
      </w:r>
      <w:r w:rsidRPr="00404DA5">
        <w:rPr>
          <w:rFonts w:cs="Calibri"/>
          <w:szCs w:val="20"/>
        </w:rPr>
        <w:t xml:space="preserve"> przeniesienia części środków na konkursy wspierające rozwój infrastruktury szkolnej</w:t>
      </w:r>
      <w:r>
        <w:rPr>
          <w:rFonts w:cs="Calibri"/>
          <w:szCs w:val="20"/>
        </w:rPr>
        <w:t xml:space="preserve"> oraz wzmacnianie kompetencji zarówno kadry pedagogicznej szkół, jak</w:t>
      </w:r>
      <w:r w:rsidR="00E66B89">
        <w:rPr>
          <w:rFonts w:cs="Calibri"/>
          <w:szCs w:val="20"/>
        </w:rPr>
        <w:t xml:space="preserve"> i </w:t>
      </w:r>
      <w:r>
        <w:rPr>
          <w:rFonts w:cs="Calibri"/>
          <w:szCs w:val="20"/>
        </w:rPr>
        <w:t>samych uczniów</w:t>
      </w:r>
      <w:r w:rsidRPr="00404DA5">
        <w:rPr>
          <w:rFonts w:cs="Calibri"/>
          <w:szCs w:val="20"/>
        </w:rPr>
        <w:t>. Działania związane</w:t>
      </w:r>
      <w:r w:rsidR="00E66B89">
        <w:rPr>
          <w:rFonts w:cs="Calibri"/>
          <w:szCs w:val="20"/>
        </w:rPr>
        <w:t xml:space="preserve"> z </w:t>
      </w:r>
      <w:r w:rsidRPr="00404DA5">
        <w:rPr>
          <w:rFonts w:cs="Calibri"/>
          <w:szCs w:val="20"/>
        </w:rPr>
        <w:t>doposażeniem placówek</w:t>
      </w:r>
      <w:r w:rsidR="00E66B89">
        <w:rPr>
          <w:rFonts w:cs="Calibri"/>
          <w:szCs w:val="20"/>
        </w:rPr>
        <w:t xml:space="preserve"> w </w:t>
      </w:r>
      <w:r w:rsidRPr="00404DA5">
        <w:rPr>
          <w:rFonts w:cs="Calibri"/>
          <w:szCs w:val="20"/>
        </w:rPr>
        <w:t>sprzęt TIK</w:t>
      </w:r>
      <w:r w:rsidR="00E66B89">
        <w:rPr>
          <w:rFonts w:cs="Calibri"/>
          <w:szCs w:val="20"/>
        </w:rPr>
        <w:t xml:space="preserve"> i </w:t>
      </w:r>
      <w:r>
        <w:rPr>
          <w:rFonts w:cs="Calibri"/>
          <w:szCs w:val="20"/>
        </w:rPr>
        <w:t>sprzęt </w:t>
      </w:r>
      <w:r w:rsidRPr="00404DA5">
        <w:rPr>
          <w:rFonts w:cs="Calibri"/>
          <w:szCs w:val="20"/>
        </w:rPr>
        <w:t>innego rodzaju</w:t>
      </w:r>
      <w:r>
        <w:rPr>
          <w:rFonts w:cs="Calibri"/>
          <w:szCs w:val="20"/>
        </w:rPr>
        <w:t xml:space="preserve"> oraz rozwój kompetencji uczniów</w:t>
      </w:r>
      <w:r w:rsidR="00E66B89">
        <w:rPr>
          <w:rFonts w:cs="Calibri"/>
          <w:szCs w:val="20"/>
        </w:rPr>
        <w:t xml:space="preserve"> i </w:t>
      </w:r>
      <w:r>
        <w:rPr>
          <w:rFonts w:cs="Calibri"/>
          <w:szCs w:val="20"/>
        </w:rPr>
        <w:t>nauczycieli</w:t>
      </w:r>
      <w:r w:rsidRPr="00404DA5">
        <w:rPr>
          <w:rFonts w:cs="Calibri"/>
          <w:szCs w:val="20"/>
        </w:rPr>
        <w:t>, cieszą się dużym zainteresowaniem wnioskodawców</w:t>
      </w:r>
      <w:r w:rsidR="00E66B89">
        <w:rPr>
          <w:rFonts w:cs="Calibri"/>
          <w:szCs w:val="20"/>
        </w:rPr>
        <w:t xml:space="preserve"> i </w:t>
      </w:r>
      <w:r w:rsidRPr="00404DA5">
        <w:rPr>
          <w:rFonts w:cs="Calibri"/>
          <w:szCs w:val="20"/>
        </w:rPr>
        <w:t>nie istnieje zagrożenie nie wchłonięcia relokowanych środków. Jednocześnie takie przesunięcie jest zasadne</w:t>
      </w:r>
      <w:r w:rsidR="00E66B89">
        <w:rPr>
          <w:rFonts w:cs="Calibri"/>
          <w:szCs w:val="20"/>
        </w:rPr>
        <w:t xml:space="preserve"> z </w:t>
      </w:r>
      <w:r w:rsidRPr="00404DA5">
        <w:rPr>
          <w:rFonts w:cs="Calibri"/>
          <w:szCs w:val="20"/>
        </w:rPr>
        <w:t>punktu widzenia celów edukacyjnych</w:t>
      </w:r>
      <w:r w:rsidR="00E66B89">
        <w:rPr>
          <w:rFonts w:cs="Calibri"/>
          <w:szCs w:val="20"/>
        </w:rPr>
        <w:t xml:space="preserve"> i </w:t>
      </w:r>
      <w:r w:rsidRPr="00404DA5">
        <w:rPr>
          <w:rFonts w:cs="Calibri"/>
          <w:szCs w:val="20"/>
        </w:rPr>
        <w:t xml:space="preserve">podwyższania </w:t>
      </w:r>
      <w:r w:rsidRPr="00404DA5">
        <w:rPr>
          <w:rFonts w:cs="Calibri"/>
          <w:szCs w:val="20"/>
        </w:rPr>
        <w:lastRenderedPageBreak/>
        <w:t>jakości edukacji</w:t>
      </w:r>
      <w:r w:rsidR="00E66B89">
        <w:rPr>
          <w:rFonts w:cs="Calibri"/>
          <w:szCs w:val="20"/>
        </w:rPr>
        <w:t xml:space="preserve"> w </w:t>
      </w:r>
      <w:r w:rsidRPr="00404DA5">
        <w:rPr>
          <w:rFonts w:cs="Calibri"/>
          <w:szCs w:val="20"/>
        </w:rPr>
        <w:t>regionie. Sugerowana kwota zmniejszenia alokacji</w:t>
      </w:r>
      <w:r w:rsidR="00E66B89">
        <w:rPr>
          <w:rFonts w:cs="Calibri"/>
          <w:szCs w:val="20"/>
        </w:rPr>
        <w:t xml:space="preserve"> w </w:t>
      </w:r>
      <w:r w:rsidRPr="00404DA5">
        <w:rPr>
          <w:rFonts w:cs="Calibri"/>
          <w:szCs w:val="20"/>
        </w:rPr>
        <w:t>Działaniu 8.1</w:t>
      </w:r>
      <w:r w:rsidR="00E66B89">
        <w:rPr>
          <w:rFonts w:cs="Calibri"/>
          <w:szCs w:val="20"/>
        </w:rPr>
        <w:t xml:space="preserve"> i </w:t>
      </w:r>
      <w:r w:rsidRPr="00404DA5">
        <w:rPr>
          <w:rFonts w:cs="Calibri"/>
          <w:szCs w:val="20"/>
        </w:rPr>
        <w:t>przesunięcia do Działania 8.2 to 8 000 000 euro. Przesunięcie to spowodowałoby, że</w:t>
      </w:r>
      <w:r w:rsidR="00E66B89">
        <w:rPr>
          <w:rFonts w:cs="Calibri"/>
          <w:szCs w:val="20"/>
        </w:rPr>
        <w:t xml:space="preserve"> w </w:t>
      </w:r>
      <w:r w:rsidRPr="00404DA5">
        <w:rPr>
          <w:rFonts w:cs="Calibri"/>
          <w:szCs w:val="20"/>
        </w:rPr>
        <w:t>Działaniu 8.1 pozostałoby do zagospodarowania 4 850 000 euro (wliczając rezerwę wykonania).</w:t>
      </w:r>
      <w:r>
        <w:rPr>
          <w:rFonts w:cs="Calibri"/>
          <w:szCs w:val="20"/>
        </w:rPr>
        <w:t xml:space="preserve"> Kwota ta pozwoli na osiągnięcie wskaźnika </w:t>
      </w:r>
      <w:r w:rsidRPr="008B706B">
        <w:rPr>
          <w:rFonts w:cs="Calibri"/>
          <w:i/>
          <w:szCs w:val="20"/>
        </w:rPr>
        <w:t>Liczba miejsc wychowania przedszkolnego dofinansowanych</w:t>
      </w:r>
      <w:r w:rsidR="00E66B89">
        <w:rPr>
          <w:rFonts w:cs="Calibri"/>
          <w:i/>
          <w:szCs w:val="20"/>
        </w:rPr>
        <w:t xml:space="preserve"> w </w:t>
      </w:r>
      <w:r w:rsidRPr="008B706B">
        <w:rPr>
          <w:rFonts w:cs="Calibri"/>
          <w:i/>
          <w:szCs w:val="20"/>
        </w:rPr>
        <w:t>programie</w:t>
      </w:r>
      <w:r>
        <w:rPr>
          <w:rFonts w:cs="Calibri"/>
          <w:szCs w:val="20"/>
        </w:rPr>
        <w:t xml:space="preserve"> na poziomie 2 900 szt. (24% pierwotnie zakładanej wartości docelowej),</w:t>
      </w:r>
      <w:r w:rsidR="00E66B89">
        <w:rPr>
          <w:rFonts w:cs="Calibri"/>
          <w:szCs w:val="20"/>
        </w:rPr>
        <w:t xml:space="preserve"> a </w:t>
      </w:r>
      <w:r>
        <w:rPr>
          <w:rFonts w:cs="Calibri"/>
          <w:szCs w:val="20"/>
        </w:rPr>
        <w:t>wskaźnika</w:t>
      </w:r>
      <w:r w:rsidRPr="007C4C8B">
        <w:rPr>
          <w:rFonts w:cs="Calibri"/>
          <w:szCs w:val="20"/>
        </w:rPr>
        <w:t xml:space="preserve"> </w:t>
      </w:r>
      <w:r w:rsidRPr="008B706B">
        <w:rPr>
          <w:rFonts w:cs="Calibri"/>
          <w:i/>
          <w:szCs w:val="20"/>
        </w:rPr>
        <w:t>Liczba dzieci objętych</w:t>
      </w:r>
      <w:r w:rsidR="00E66B89">
        <w:rPr>
          <w:rFonts w:cs="Calibri"/>
          <w:i/>
          <w:szCs w:val="20"/>
        </w:rPr>
        <w:t xml:space="preserve"> w </w:t>
      </w:r>
      <w:r w:rsidRPr="008B706B">
        <w:rPr>
          <w:rFonts w:cs="Calibri"/>
          <w:i/>
          <w:szCs w:val="20"/>
        </w:rPr>
        <w:t>ramach programu dodatkowymi zajęciami zwiększającymi ich szanse edukacyjne</w:t>
      </w:r>
      <w:r w:rsidR="00E66B89">
        <w:rPr>
          <w:rFonts w:cs="Calibri"/>
          <w:i/>
          <w:szCs w:val="20"/>
        </w:rPr>
        <w:t xml:space="preserve"> w </w:t>
      </w:r>
      <w:r w:rsidRPr="008B706B">
        <w:rPr>
          <w:rFonts w:cs="Calibri"/>
          <w:i/>
          <w:szCs w:val="20"/>
        </w:rPr>
        <w:t>edukacji przedszkolnej</w:t>
      </w:r>
      <w:r>
        <w:rPr>
          <w:rFonts w:cs="Calibri"/>
          <w:szCs w:val="20"/>
        </w:rPr>
        <w:t xml:space="preserve"> na poziomie 5 000 (42%). </w:t>
      </w:r>
      <w:r w:rsidRPr="008B706B">
        <w:rPr>
          <w:rFonts w:cs="Calibri"/>
          <w:b/>
          <w:bCs/>
          <w:szCs w:val="18"/>
        </w:rPr>
        <w:t>REKOMENDACJA: Zaleca się</w:t>
      </w:r>
      <w:r>
        <w:rPr>
          <w:rFonts w:cs="Calibri"/>
          <w:b/>
          <w:bCs/>
          <w:szCs w:val="18"/>
        </w:rPr>
        <w:t xml:space="preserve"> przeanalizowanie zasadności</w:t>
      </w:r>
      <w:r w:rsidRPr="008B706B">
        <w:rPr>
          <w:rFonts w:cs="Calibri"/>
          <w:b/>
          <w:bCs/>
          <w:szCs w:val="18"/>
        </w:rPr>
        <w:t xml:space="preserve"> przesunięci</w:t>
      </w:r>
      <w:r>
        <w:rPr>
          <w:rFonts w:cs="Calibri"/>
          <w:b/>
          <w:bCs/>
          <w:szCs w:val="18"/>
        </w:rPr>
        <w:t>a</w:t>
      </w:r>
      <w:r w:rsidRPr="008B706B">
        <w:rPr>
          <w:rFonts w:cs="Calibri"/>
          <w:b/>
          <w:bCs/>
          <w:szCs w:val="18"/>
        </w:rPr>
        <w:t xml:space="preserve"> części alokacji Działania 8.1</w:t>
      </w:r>
      <w:r w:rsidR="00E66B89">
        <w:rPr>
          <w:rFonts w:cs="Calibri"/>
          <w:b/>
          <w:bCs/>
          <w:szCs w:val="18"/>
        </w:rPr>
        <w:t xml:space="preserve"> w </w:t>
      </w:r>
      <w:r w:rsidRPr="008B706B">
        <w:rPr>
          <w:rFonts w:cs="Calibri"/>
          <w:b/>
          <w:bCs/>
          <w:szCs w:val="18"/>
        </w:rPr>
        <w:t xml:space="preserve">łącznej kwocie </w:t>
      </w:r>
      <w:r w:rsidRPr="008B706B">
        <w:rPr>
          <w:rFonts w:cs="Calibri"/>
          <w:b/>
          <w:szCs w:val="20"/>
        </w:rPr>
        <w:t>8 000 000 euro</w:t>
      </w:r>
      <w:r w:rsidRPr="008B706B">
        <w:rPr>
          <w:rFonts w:cs="Calibri"/>
          <w:b/>
          <w:bCs/>
          <w:szCs w:val="18"/>
        </w:rPr>
        <w:t xml:space="preserve"> do Działania 8.2</w:t>
      </w:r>
      <w:r>
        <w:rPr>
          <w:rFonts w:cs="Calibri"/>
          <w:b/>
          <w:bCs/>
          <w:szCs w:val="18"/>
        </w:rPr>
        <w:t>.</w:t>
      </w:r>
    </w:p>
    <w:p w14:paraId="5BAAB6FA" w14:textId="77777777" w:rsidR="00050FB4" w:rsidRPr="00404DA5" w:rsidRDefault="00050FB4" w:rsidP="00050FB4">
      <w:pPr>
        <w:rPr>
          <w:rFonts w:cs="Calibri"/>
        </w:rPr>
      </w:pPr>
      <w:r w:rsidRPr="00404DA5">
        <w:rPr>
          <w:rFonts w:cs="Calibri"/>
          <w:szCs w:val="20"/>
        </w:rPr>
        <w:t xml:space="preserve">Jednocześnie należy podjąć starania </w:t>
      </w:r>
      <w:r>
        <w:rPr>
          <w:rFonts w:cs="Calibri"/>
          <w:szCs w:val="20"/>
        </w:rPr>
        <w:t>dotyczące</w:t>
      </w:r>
      <w:r w:rsidRPr="00404DA5">
        <w:rPr>
          <w:rFonts w:cs="Calibri"/>
          <w:szCs w:val="20"/>
        </w:rPr>
        <w:t xml:space="preserve"> zmiany</w:t>
      </w:r>
      <w:r>
        <w:rPr>
          <w:rFonts w:cs="Calibri"/>
          <w:szCs w:val="20"/>
        </w:rPr>
        <w:t xml:space="preserve"> Wytycznych MIiR</w:t>
      </w:r>
      <w:r w:rsidR="00E66B89">
        <w:rPr>
          <w:rFonts w:cs="Calibri"/>
          <w:szCs w:val="20"/>
        </w:rPr>
        <w:t xml:space="preserve"> w </w:t>
      </w:r>
      <w:r>
        <w:rPr>
          <w:rFonts w:cs="Calibri"/>
          <w:szCs w:val="20"/>
        </w:rPr>
        <w:t>zakresie wsparcia realizowanego</w:t>
      </w:r>
      <w:r w:rsidR="00E66B89">
        <w:rPr>
          <w:rFonts w:cs="Calibri"/>
          <w:szCs w:val="20"/>
        </w:rPr>
        <w:t xml:space="preserve"> w </w:t>
      </w:r>
      <w:r>
        <w:rPr>
          <w:rFonts w:cs="Calibri"/>
          <w:szCs w:val="20"/>
        </w:rPr>
        <w:t>ramach D</w:t>
      </w:r>
      <w:r w:rsidRPr="00404DA5">
        <w:rPr>
          <w:rFonts w:cs="Calibri"/>
          <w:szCs w:val="20"/>
        </w:rPr>
        <w:t>ziałania 8.1, tak by umożliwić dofinansowanie działań, które nie wiążą się</w:t>
      </w:r>
      <w:r w:rsidR="00E66B89">
        <w:rPr>
          <w:rFonts w:cs="Calibri"/>
          <w:szCs w:val="20"/>
        </w:rPr>
        <w:t xml:space="preserve"> z </w:t>
      </w:r>
      <w:r w:rsidRPr="00404DA5">
        <w:rPr>
          <w:rFonts w:cs="Calibri"/>
          <w:szCs w:val="20"/>
        </w:rPr>
        <w:t>tworzeniem nowych miejsc</w:t>
      </w:r>
      <w:r w:rsidR="00E66B89">
        <w:rPr>
          <w:rFonts w:cs="Calibri"/>
          <w:szCs w:val="20"/>
        </w:rPr>
        <w:t xml:space="preserve"> w </w:t>
      </w:r>
      <w:r w:rsidRPr="00404DA5">
        <w:rPr>
          <w:rFonts w:cs="Calibri"/>
          <w:szCs w:val="20"/>
        </w:rPr>
        <w:t xml:space="preserve">edukacji przedszkolnej. </w:t>
      </w:r>
      <w:r>
        <w:rPr>
          <w:rFonts w:cs="Calibri"/>
          <w:szCs w:val="20"/>
        </w:rPr>
        <w:t>Przeznaczenie wszystkich środków pozostałych po proponowanej realokacji na projekty przyczyniające się do osiągania wskaźnika</w:t>
      </w:r>
      <w:r w:rsidRPr="00F17E72">
        <w:t xml:space="preserve"> </w:t>
      </w:r>
      <w:r w:rsidRPr="008B706B">
        <w:rPr>
          <w:rFonts w:cs="Calibri"/>
          <w:i/>
          <w:szCs w:val="20"/>
        </w:rPr>
        <w:t>Liczba dzieci objętych</w:t>
      </w:r>
      <w:r w:rsidR="00E66B89">
        <w:rPr>
          <w:rFonts w:cs="Calibri"/>
          <w:i/>
          <w:szCs w:val="20"/>
        </w:rPr>
        <w:t xml:space="preserve"> w </w:t>
      </w:r>
      <w:r w:rsidRPr="008B706B">
        <w:rPr>
          <w:rFonts w:cs="Calibri"/>
          <w:i/>
          <w:szCs w:val="20"/>
        </w:rPr>
        <w:t>ramach programu dodatkowymi zajęciami zwiększającymi ich szanse edukacyjne</w:t>
      </w:r>
      <w:r w:rsidR="00E66B89">
        <w:rPr>
          <w:rFonts w:cs="Calibri"/>
          <w:i/>
          <w:szCs w:val="20"/>
        </w:rPr>
        <w:t xml:space="preserve"> w </w:t>
      </w:r>
      <w:r w:rsidRPr="008B706B">
        <w:rPr>
          <w:rFonts w:cs="Calibri"/>
          <w:i/>
          <w:szCs w:val="20"/>
        </w:rPr>
        <w:t>edukacji przedszkolnej</w:t>
      </w:r>
      <w:r>
        <w:rPr>
          <w:rFonts w:cs="Calibri"/>
          <w:i/>
          <w:szCs w:val="20"/>
        </w:rPr>
        <w:t xml:space="preserve"> </w:t>
      </w:r>
      <w:r>
        <w:rPr>
          <w:rFonts w:cs="Calibri"/>
          <w:szCs w:val="20"/>
        </w:rPr>
        <w:t xml:space="preserve">pozwoliłoby na osiągnięcie jego wartości na poziomie 6 500, co stanowi 54% ustalonej pierwotnie wartości docelowej. </w:t>
      </w:r>
    </w:p>
    <w:p w14:paraId="3F3A7A46" w14:textId="77777777" w:rsidR="00050FB4" w:rsidRPr="00FE73B6" w:rsidRDefault="00050FB4" w:rsidP="00FE73B6">
      <w:pPr>
        <w:pStyle w:val="Legenda"/>
        <w:spacing w:after="0"/>
      </w:pPr>
      <w:bookmarkStart w:id="315" w:name="_Toc3896883"/>
      <w:bookmarkStart w:id="316" w:name="_Toc8824246"/>
      <w:r w:rsidRPr="00FE43CD">
        <w:t xml:space="preserve">Tabela </w:t>
      </w:r>
      <w:r>
        <w:fldChar w:fldCharType="begin"/>
      </w:r>
      <w:r>
        <w:instrText xml:space="preserve"> SEQ Tabela \* ARABIC </w:instrText>
      </w:r>
      <w:r>
        <w:fldChar w:fldCharType="separate"/>
      </w:r>
      <w:r w:rsidR="00763345">
        <w:rPr>
          <w:noProof/>
        </w:rPr>
        <w:t>135</w:t>
      </w:r>
      <w:r>
        <w:fldChar w:fldCharType="end"/>
      </w:r>
      <w:r w:rsidRPr="00FE43CD">
        <w:t xml:space="preserve"> Wskaźniki wymagające zmiany wartości – PI </w:t>
      </w:r>
      <w:r>
        <w:t>10i</w:t>
      </w:r>
      <w:bookmarkEnd w:id="315"/>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332"/>
        <w:gridCol w:w="1063"/>
        <w:gridCol w:w="1897"/>
        <w:gridCol w:w="1768"/>
      </w:tblGrid>
      <w:tr w:rsidR="00050FB4" w:rsidRPr="00FE43CD" w14:paraId="01CE7EB2" w14:textId="77777777" w:rsidTr="00C22C26">
        <w:trPr>
          <w:tblHeader/>
        </w:trPr>
        <w:tc>
          <w:tcPr>
            <w:tcW w:w="0" w:type="auto"/>
            <w:shd w:val="clear" w:color="auto" w:fill="DBE5F1"/>
          </w:tcPr>
          <w:p w14:paraId="4171A705" w14:textId="77777777" w:rsidR="00050FB4" w:rsidRPr="00404DA5" w:rsidRDefault="00050FB4" w:rsidP="00050FB4">
            <w:pPr>
              <w:jc w:val="center"/>
              <w:rPr>
                <w:rFonts w:cs="Calibri"/>
                <w:sz w:val="16"/>
                <w:szCs w:val="16"/>
              </w:rPr>
            </w:pPr>
            <w:r w:rsidRPr="00404DA5">
              <w:rPr>
                <w:rFonts w:cs="Calibri"/>
                <w:sz w:val="16"/>
                <w:szCs w:val="16"/>
              </w:rPr>
              <w:t>Typ wskaźnika</w:t>
            </w:r>
          </w:p>
        </w:tc>
        <w:tc>
          <w:tcPr>
            <w:tcW w:w="0" w:type="auto"/>
            <w:shd w:val="clear" w:color="auto" w:fill="DBE5F1"/>
          </w:tcPr>
          <w:p w14:paraId="4021519E" w14:textId="77777777" w:rsidR="00050FB4" w:rsidRPr="00404DA5" w:rsidRDefault="00050FB4" w:rsidP="00050FB4">
            <w:pPr>
              <w:jc w:val="center"/>
              <w:rPr>
                <w:rFonts w:cs="Calibri"/>
                <w:sz w:val="16"/>
                <w:szCs w:val="16"/>
              </w:rPr>
            </w:pPr>
            <w:r w:rsidRPr="00404DA5">
              <w:rPr>
                <w:rFonts w:cs="Calibri"/>
                <w:sz w:val="16"/>
                <w:szCs w:val="16"/>
              </w:rPr>
              <w:t>Wskaźnik</w:t>
            </w:r>
          </w:p>
        </w:tc>
        <w:tc>
          <w:tcPr>
            <w:tcW w:w="0" w:type="auto"/>
            <w:shd w:val="clear" w:color="auto" w:fill="DBE5F1"/>
          </w:tcPr>
          <w:p w14:paraId="5944FC54" w14:textId="77777777" w:rsidR="00050FB4" w:rsidRPr="00404DA5" w:rsidRDefault="00050FB4" w:rsidP="00050FB4">
            <w:pPr>
              <w:jc w:val="center"/>
              <w:rPr>
                <w:rFonts w:cs="Calibri"/>
                <w:sz w:val="16"/>
                <w:szCs w:val="16"/>
              </w:rPr>
            </w:pPr>
            <w:r w:rsidRPr="00404DA5">
              <w:rPr>
                <w:rFonts w:cs="Calibri"/>
                <w:sz w:val="16"/>
                <w:szCs w:val="16"/>
              </w:rPr>
              <w:t>Jednostka pomiaru</w:t>
            </w:r>
          </w:p>
        </w:tc>
        <w:tc>
          <w:tcPr>
            <w:tcW w:w="0" w:type="auto"/>
            <w:shd w:val="clear" w:color="auto" w:fill="DBE5F1"/>
          </w:tcPr>
          <w:p w14:paraId="46910BDD" w14:textId="77777777" w:rsidR="00050FB4" w:rsidRPr="00404DA5" w:rsidRDefault="00050FB4" w:rsidP="00050FB4">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tcPr>
          <w:p w14:paraId="458105F6" w14:textId="77777777" w:rsidR="00050FB4" w:rsidRPr="00404DA5" w:rsidRDefault="00050FB4" w:rsidP="00050FB4">
            <w:pPr>
              <w:jc w:val="center"/>
              <w:rPr>
                <w:rFonts w:cs="Calibri"/>
                <w:sz w:val="16"/>
                <w:szCs w:val="16"/>
              </w:rPr>
            </w:pPr>
            <w:r w:rsidRPr="00AF5126">
              <w:rPr>
                <w:rFonts w:cs="Calibri"/>
                <w:sz w:val="16"/>
                <w:szCs w:val="16"/>
              </w:rPr>
              <w:t>Proponowana wartość docelowa na koniec 2023 r.</w:t>
            </w:r>
          </w:p>
        </w:tc>
      </w:tr>
      <w:tr w:rsidR="00050FB4" w:rsidRPr="00FE43CD" w14:paraId="0C6B400F" w14:textId="77777777" w:rsidTr="00050FB4">
        <w:tc>
          <w:tcPr>
            <w:tcW w:w="0" w:type="auto"/>
            <w:shd w:val="clear" w:color="auto" w:fill="auto"/>
            <w:vAlign w:val="center"/>
          </w:tcPr>
          <w:p w14:paraId="69DF1B59" w14:textId="77777777" w:rsidR="00050FB4" w:rsidRPr="00404DA5" w:rsidRDefault="00050FB4" w:rsidP="00050FB4">
            <w:pPr>
              <w:jc w:val="center"/>
              <w:rPr>
                <w:rFonts w:eastAsia="Calibri" w:cs="Calibri"/>
                <w:sz w:val="16"/>
                <w:szCs w:val="16"/>
              </w:rPr>
            </w:pPr>
            <w:r w:rsidRPr="00404DA5">
              <w:rPr>
                <w:sz w:val="16"/>
                <w:szCs w:val="18"/>
              </w:rPr>
              <w:t>WP</w:t>
            </w:r>
          </w:p>
        </w:tc>
        <w:tc>
          <w:tcPr>
            <w:tcW w:w="0" w:type="auto"/>
            <w:shd w:val="clear" w:color="auto" w:fill="auto"/>
            <w:vAlign w:val="center"/>
          </w:tcPr>
          <w:p w14:paraId="2F291760" w14:textId="77777777" w:rsidR="00050FB4" w:rsidRPr="00404DA5" w:rsidRDefault="00050FB4" w:rsidP="00050FB4">
            <w:pPr>
              <w:jc w:val="center"/>
              <w:rPr>
                <w:rFonts w:eastAsia="Calibri" w:cs="Calibri"/>
                <w:sz w:val="16"/>
                <w:szCs w:val="16"/>
              </w:rPr>
            </w:pPr>
            <w:r w:rsidRPr="00404DA5">
              <w:rPr>
                <w:rFonts w:cs="Calibri"/>
                <w:sz w:val="16"/>
                <w:szCs w:val="18"/>
              </w:rPr>
              <w:t>Liczba miejsc wychowania przedszkolnego dofinansowanych</w:t>
            </w:r>
            <w:r w:rsidR="00E66B89">
              <w:rPr>
                <w:rFonts w:cs="Calibri"/>
                <w:sz w:val="16"/>
                <w:szCs w:val="18"/>
              </w:rPr>
              <w:t xml:space="preserve"> w </w:t>
            </w:r>
            <w:r w:rsidRPr="00404DA5">
              <w:rPr>
                <w:rFonts w:cs="Calibri"/>
                <w:sz w:val="16"/>
                <w:szCs w:val="18"/>
              </w:rPr>
              <w:t xml:space="preserve">programie </w:t>
            </w:r>
          </w:p>
        </w:tc>
        <w:tc>
          <w:tcPr>
            <w:tcW w:w="0" w:type="auto"/>
            <w:shd w:val="clear" w:color="auto" w:fill="auto"/>
            <w:vAlign w:val="center"/>
          </w:tcPr>
          <w:p w14:paraId="567299E3" w14:textId="77777777" w:rsidR="00050FB4" w:rsidRPr="00404DA5" w:rsidRDefault="00050FB4" w:rsidP="00050FB4">
            <w:pPr>
              <w:jc w:val="center"/>
              <w:rPr>
                <w:rFonts w:eastAsia="Calibri" w:cs="Calibri"/>
                <w:sz w:val="16"/>
                <w:szCs w:val="16"/>
              </w:rPr>
            </w:pPr>
            <w:r w:rsidRPr="00404DA5">
              <w:rPr>
                <w:rFonts w:cs="Calibri"/>
                <w:sz w:val="18"/>
                <w:szCs w:val="18"/>
              </w:rPr>
              <w:t>szt</w:t>
            </w:r>
            <w:r w:rsidRPr="00404DA5">
              <w:rPr>
                <w:rFonts w:cs="Calibri"/>
                <w:sz w:val="16"/>
                <w:szCs w:val="18"/>
              </w:rPr>
              <w:t>.</w:t>
            </w:r>
          </w:p>
        </w:tc>
        <w:tc>
          <w:tcPr>
            <w:tcW w:w="0" w:type="auto"/>
            <w:shd w:val="clear" w:color="auto" w:fill="auto"/>
            <w:vAlign w:val="center"/>
          </w:tcPr>
          <w:p w14:paraId="05867568" w14:textId="77777777" w:rsidR="00050FB4" w:rsidRPr="00404DA5" w:rsidRDefault="00050FB4" w:rsidP="00050FB4">
            <w:pPr>
              <w:jc w:val="center"/>
              <w:rPr>
                <w:rFonts w:eastAsia="Calibri" w:cs="Calibri"/>
                <w:sz w:val="16"/>
                <w:szCs w:val="16"/>
              </w:rPr>
            </w:pPr>
            <w:r w:rsidRPr="00404DA5">
              <w:rPr>
                <w:rFonts w:cs="Calibri"/>
                <w:sz w:val="18"/>
                <w:szCs w:val="18"/>
              </w:rPr>
              <w:t>12 000</w:t>
            </w:r>
          </w:p>
        </w:tc>
        <w:tc>
          <w:tcPr>
            <w:tcW w:w="0" w:type="auto"/>
            <w:shd w:val="clear" w:color="auto" w:fill="auto"/>
            <w:vAlign w:val="center"/>
          </w:tcPr>
          <w:p w14:paraId="1252C564" w14:textId="77777777" w:rsidR="00050FB4" w:rsidRPr="00404DA5" w:rsidRDefault="00050FB4" w:rsidP="00050FB4">
            <w:pPr>
              <w:jc w:val="center"/>
              <w:rPr>
                <w:rFonts w:eastAsia="Calibri" w:cs="Calibri"/>
                <w:sz w:val="16"/>
                <w:szCs w:val="16"/>
              </w:rPr>
            </w:pPr>
            <w:r>
              <w:rPr>
                <w:rFonts w:cs="Calibri"/>
                <w:sz w:val="18"/>
                <w:szCs w:val="18"/>
              </w:rPr>
              <w:t>2 900</w:t>
            </w:r>
          </w:p>
        </w:tc>
      </w:tr>
      <w:tr w:rsidR="00050FB4" w:rsidRPr="00FE43CD" w14:paraId="0B2A3AD2" w14:textId="77777777" w:rsidTr="00050FB4">
        <w:tc>
          <w:tcPr>
            <w:tcW w:w="0" w:type="auto"/>
            <w:shd w:val="clear" w:color="auto" w:fill="auto"/>
            <w:vAlign w:val="center"/>
          </w:tcPr>
          <w:p w14:paraId="098531CE" w14:textId="77777777" w:rsidR="00050FB4" w:rsidRPr="00404DA5" w:rsidRDefault="00050FB4" w:rsidP="00050FB4">
            <w:pPr>
              <w:jc w:val="center"/>
              <w:rPr>
                <w:rFonts w:eastAsia="Calibri" w:cs="Calibri"/>
                <w:sz w:val="16"/>
                <w:szCs w:val="16"/>
              </w:rPr>
            </w:pPr>
            <w:r w:rsidRPr="00404DA5">
              <w:rPr>
                <w:sz w:val="16"/>
                <w:szCs w:val="18"/>
              </w:rPr>
              <w:t>WP</w:t>
            </w:r>
          </w:p>
        </w:tc>
        <w:tc>
          <w:tcPr>
            <w:tcW w:w="0" w:type="auto"/>
            <w:shd w:val="clear" w:color="auto" w:fill="auto"/>
            <w:vAlign w:val="center"/>
          </w:tcPr>
          <w:p w14:paraId="55D461B5" w14:textId="77777777" w:rsidR="00050FB4" w:rsidRPr="00404DA5" w:rsidRDefault="00050FB4" w:rsidP="00050FB4">
            <w:pPr>
              <w:jc w:val="center"/>
              <w:rPr>
                <w:rFonts w:eastAsia="Calibri" w:cs="Calibri"/>
                <w:sz w:val="16"/>
                <w:szCs w:val="16"/>
              </w:rPr>
            </w:pPr>
            <w:r w:rsidRPr="00404DA5">
              <w:rPr>
                <w:rFonts w:cs="Calibri"/>
                <w:bCs/>
                <w:sz w:val="16"/>
                <w:szCs w:val="18"/>
              </w:rPr>
              <w:t>Liczba dzieci objętych</w:t>
            </w:r>
            <w:r w:rsidR="00E66B89">
              <w:rPr>
                <w:rFonts w:cs="Calibri"/>
                <w:bCs/>
                <w:sz w:val="16"/>
                <w:szCs w:val="18"/>
              </w:rPr>
              <w:t xml:space="preserve"> w </w:t>
            </w:r>
            <w:r w:rsidRPr="00404DA5">
              <w:rPr>
                <w:rFonts w:cs="Calibri"/>
                <w:bCs/>
                <w:sz w:val="16"/>
                <w:szCs w:val="18"/>
              </w:rPr>
              <w:t>ramach programu dodatkowymi zajęciami zwiększającymi ich szanse edukacyjne</w:t>
            </w:r>
            <w:r w:rsidR="00E66B89">
              <w:rPr>
                <w:rFonts w:cs="Calibri"/>
                <w:bCs/>
                <w:sz w:val="16"/>
                <w:szCs w:val="18"/>
              </w:rPr>
              <w:t xml:space="preserve"> w </w:t>
            </w:r>
            <w:r w:rsidRPr="00404DA5">
              <w:rPr>
                <w:rFonts w:cs="Calibri"/>
                <w:bCs/>
                <w:sz w:val="16"/>
                <w:szCs w:val="18"/>
              </w:rPr>
              <w:t>edukacji przedszkolnej [osoby]</w:t>
            </w:r>
          </w:p>
        </w:tc>
        <w:tc>
          <w:tcPr>
            <w:tcW w:w="0" w:type="auto"/>
            <w:shd w:val="clear" w:color="auto" w:fill="auto"/>
            <w:vAlign w:val="center"/>
          </w:tcPr>
          <w:p w14:paraId="4FB54D98" w14:textId="77777777" w:rsidR="00050FB4" w:rsidRPr="00404DA5" w:rsidRDefault="00050FB4" w:rsidP="00050FB4">
            <w:pPr>
              <w:jc w:val="center"/>
              <w:rPr>
                <w:rFonts w:eastAsia="Calibri" w:cs="Calibri"/>
                <w:sz w:val="16"/>
                <w:szCs w:val="16"/>
              </w:rPr>
            </w:pPr>
            <w:r w:rsidRPr="00404DA5">
              <w:rPr>
                <w:rFonts w:cs="Calibri"/>
                <w:sz w:val="18"/>
                <w:szCs w:val="18"/>
              </w:rPr>
              <w:t>szt</w:t>
            </w:r>
            <w:r w:rsidRPr="00404DA5">
              <w:rPr>
                <w:rFonts w:cs="Calibri"/>
                <w:sz w:val="16"/>
                <w:szCs w:val="18"/>
              </w:rPr>
              <w:t>.</w:t>
            </w:r>
          </w:p>
        </w:tc>
        <w:tc>
          <w:tcPr>
            <w:tcW w:w="0" w:type="auto"/>
            <w:shd w:val="clear" w:color="auto" w:fill="auto"/>
            <w:vAlign w:val="center"/>
          </w:tcPr>
          <w:p w14:paraId="796EAF2F" w14:textId="77777777" w:rsidR="00050FB4" w:rsidRPr="00404DA5" w:rsidRDefault="00050FB4" w:rsidP="00050FB4">
            <w:pPr>
              <w:jc w:val="center"/>
              <w:rPr>
                <w:rFonts w:eastAsia="Calibri" w:cs="Calibri"/>
                <w:sz w:val="16"/>
                <w:szCs w:val="16"/>
              </w:rPr>
            </w:pPr>
            <w:r w:rsidRPr="00404DA5">
              <w:rPr>
                <w:rFonts w:cs="Calibri"/>
                <w:sz w:val="18"/>
                <w:szCs w:val="18"/>
              </w:rPr>
              <w:t>12 000</w:t>
            </w:r>
          </w:p>
        </w:tc>
        <w:tc>
          <w:tcPr>
            <w:tcW w:w="0" w:type="auto"/>
            <w:shd w:val="clear" w:color="auto" w:fill="auto"/>
            <w:vAlign w:val="center"/>
          </w:tcPr>
          <w:p w14:paraId="26439EA7" w14:textId="77777777" w:rsidR="00050FB4" w:rsidRPr="00404DA5" w:rsidRDefault="00050FB4" w:rsidP="00050FB4">
            <w:pPr>
              <w:jc w:val="center"/>
              <w:rPr>
                <w:rFonts w:eastAsia="Calibri" w:cs="Calibri"/>
                <w:sz w:val="16"/>
                <w:szCs w:val="16"/>
              </w:rPr>
            </w:pPr>
            <w:r>
              <w:rPr>
                <w:rFonts w:cs="Calibri"/>
                <w:sz w:val="18"/>
                <w:szCs w:val="18"/>
              </w:rPr>
              <w:t>5 000</w:t>
            </w:r>
          </w:p>
        </w:tc>
      </w:tr>
      <w:tr w:rsidR="00050FB4" w:rsidRPr="00FE43CD" w14:paraId="586EC31F" w14:textId="77777777" w:rsidTr="00050FB4">
        <w:tc>
          <w:tcPr>
            <w:tcW w:w="0" w:type="auto"/>
            <w:shd w:val="clear" w:color="auto" w:fill="auto"/>
            <w:vAlign w:val="center"/>
          </w:tcPr>
          <w:p w14:paraId="6E1F4F12" w14:textId="77777777" w:rsidR="00050FB4" w:rsidRPr="00404DA5" w:rsidRDefault="00050FB4" w:rsidP="00050FB4">
            <w:pPr>
              <w:jc w:val="center"/>
              <w:rPr>
                <w:rFonts w:eastAsia="Calibri" w:cs="Calibri"/>
                <w:sz w:val="16"/>
                <w:szCs w:val="16"/>
              </w:rPr>
            </w:pPr>
            <w:r w:rsidRPr="00404DA5">
              <w:rPr>
                <w:sz w:val="16"/>
                <w:szCs w:val="18"/>
              </w:rPr>
              <w:t>WP</w:t>
            </w:r>
          </w:p>
        </w:tc>
        <w:tc>
          <w:tcPr>
            <w:tcW w:w="0" w:type="auto"/>
            <w:shd w:val="clear" w:color="auto" w:fill="auto"/>
            <w:vAlign w:val="center"/>
          </w:tcPr>
          <w:p w14:paraId="42295C00" w14:textId="77777777" w:rsidR="00050FB4" w:rsidRPr="00404DA5" w:rsidRDefault="00050FB4" w:rsidP="00050FB4">
            <w:pPr>
              <w:jc w:val="center"/>
              <w:rPr>
                <w:rFonts w:eastAsia="Calibri" w:cs="Calibri"/>
                <w:sz w:val="16"/>
                <w:szCs w:val="16"/>
              </w:rPr>
            </w:pPr>
            <w:r w:rsidRPr="00404DA5">
              <w:rPr>
                <w:rFonts w:cs="Calibri"/>
                <w:sz w:val="16"/>
                <w:szCs w:val="18"/>
              </w:rPr>
              <w:t>Liczba szkół, których pracownie przedmiotowe zostały doposażone</w:t>
            </w:r>
            <w:r w:rsidR="00E66B89">
              <w:rPr>
                <w:rFonts w:cs="Calibri"/>
                <w:sz w:val="16"/>
                <w:szCs w:val="18"/>
              </w:rPr>
              <w:t xml:space="preserve"> w </w:t>
            </w:r>
            <w:r w:rsidRPr="00404DA5">
              <w:rPr>
                <w:rFonts w:cs="Calibri"/>
                <w:sz w:val="16"/>
                <w:szCs w:val="18"/>
              </w:rPr>
              <w:t>programie [szt.]</w:t>
            </w:r>
          </w:p>
        </w:tc>
        <w:tc>
          <w:tcPr>
            <w:tcW w:w="0" w:type="auto"/>
            <w:shd w:val="clear" w:color="auto" w:fill="auto"/>
            <w:vAlign w:val="center"/>
          </w:tcPr>
          <w:p w14:paraId="47BB4C95" w14:textId="77777777" w:rsidR="00050FB4" w:rsidRPr="00404DA5" w:rsidRDefault="00050FB4" w:rsidP="00050FB4">
            <w:pPr>
              <w:jc w:val="center"/>
              <w:rPr>
                <w:rFonts w:eastAsia="Calibri" w:cs="Calibri"/>
                <w:sz w:val="16"/>
                <w:szCs w:val="16"/>
              </w:rPr>
            </w:pPr>
            <w:r w:rsidRPr="00404DA5">
              <w:rPr>
                <w:rFonts w:cs="Calibri"/>
                <w:sz w:val="18"/>
                <w:szCs w:val="18"/>
              </w:rPr>
              <w:t>szt</w:t>
            </w:r>
            <w:r w:rsidRPr="00404DA5">
              <w:rPr>
                <w:rFonts w:cs="Calibri"/>
                <w:sz w:val="16"/>
                <w:szCs w:val="18"/>
              </w:rPr>
              <w:t>.</w:t>
            </w:r>
          </w:p>
        </w:tc>
        <w:tc>
          <w:tcPr>
            <w:tcW w:w="0" w:type="auto"/>
            <w:shd w:val="clear" w:color="auto" w:fill="auto"/>
            <w:vAlign w:val="center"/>
          </w:tcPr>
          <w:p w14:paraId="7775CF23" w14:textId="77777777" w:rsidR="00050FB4" w:rsidRPr="00404DA5" w:rsidRDefault="00050FB4" w:rsidP="00050FB4">
            <w:pPr>
              <w:jc w:val="center"/>
              <w:rPr>
                <w:rFonts w:eastAsia="Calibri" w:cs="Calibri"/>
                <w:sz w:val="16"/>
                <w:szCs w:val="16"/>
              </w:rPr>
            </w:pPr>
            <w:r w:rsidRPr="00404DA5">
              <w:rPr>
                <w:rFonts w:cs="Calibri"/>
                <w:sz w:val="18"/>
                <w:szCs w:val="18"/>
              </w:rPr>
              <w:t>124</w:t>
            </w:r>
          </w:p>
        </w:tc>
        <w:tc>
          <w:tcPr>
            <w:tcW w:w="0" w:type="auto"/>
            <w:shd w:val="clear" w:color="auto" w:fill="auto"/>
            <w:vAlign w:val="center"/>
          </w:tcPr>
          <w:p w14:paraId="7D9857D7" w14:textId="77777777" w:rsidR="00050FB4" w:rsidRPr="00404DA5" w:rsidRDefault="00050FB4" w:rsidP="00050FB4">
            <w:pPr>
              <w:jc w:val="center"/>
              <w:rPr>
                <w:rFonts w:eastAsia="Calibri" w:cs="Calibri"/>
                <w:sz w:val="16"/>
                <w:szCs w:val="16"/>
              </w:rPr>
            </w:pPr>
            <w:r w:rsidRPr="00404DA5">
              <w:rPr>
                <w:rFonts w:cs="Calibri"/>
                <w:sz w:val="18"/>
                <w:szCs w:val="18"/>
              </w:rPr>
              <w:t>320</w:t>
            </w:r>
          </w:p>
        </w:tc>
      </w:tr>
      <w:tr w:rsidR="00050FB4" w:rsidRPr="00FE43CD" w14:paraId="0544FC82" w14:textId="77777777" w:rsidTr="00050FB4">
        <w:tc>
          <w:tcPr>
            <w:tcW w:w="0" w:type="auto"/>
            <w:shd w:val="clear" w:color="auto" w:fill="auto"/>
            <w:vAlign w:val="center"/>
          </w:tcPr>
          <w:p w14:paraId="2C406B62" w14:textId="77777777" w:rsidR="00050FB4" w:rsidRPr="00404DA5" w:rsidRDefault="00050FB4" w:rsidP="00050FB4">
            <w:pPr>
              <w:jc w:val="center"/>
              <w:rPr>
                <w:rFonts w:eastAsia="Calibri" w:cs="Calibri"/>
                <w:sz w:val="16"/>
                <w:szCs w:val="16"/>
              </w:rPr>
            </w:pPr>
            <w:r w:rsidRPr="00404DA5">
              <w:rPr>
                <w:sz w:val="16"/>
                <w:szCs w:val="18"/>
              </w:rPr>
              <w:t>WP</w:t>
            </w:r>
          </w:p>
        </w:tc>
        <w:tc>
          <w:tcPr>
            <w:tcW w:w="0" w:type="auto"/>
            <w:shd w:val="clear" w:color="auto" w:fill="auto"/>
            <w:vAlign w:val="center"/>
          </w:tcPr>
          <w:p w14:paraId="3E645064" w14:textId="77777777" w:rsidR="00050FB4" w:rsidRPr="00404DA5" w:rsidRDefault="00050FB4" w:rsidP="00050FB4">
            <w:pPr>
              <w:jc w:val="center"/>
              <w:rPr>
                <w:rFonts w:eastAsia="Calibri" w:cs="Calibri"/>
                <w:sz w:val="16"/>
                <w:szCs w:val="16"/>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systemu oświaty wyposażonych</w:t>
            </w:r>
            <w:r w:rsidR="00E66B89">
              <w:rPr>
                <w:rFonts w:cs="Calibri"/>
                <w:sz w:val="16"/>
                <w:szCs w:val="18"/>
              </w:rPr>
              <w:t xml:space="preserve"> w </w:t>
            </w:r>
            <w:r w:rsidRPr="00404DA5">
              <w:rPr>
                <w:rFonts w:cs="Calibri"/>
                <w:sz w:val="16"/>
                <w:szCs w:val="18"/>
              </w:rPr>
              <w:t>ramach programu</w:t>
            </w:r>
            <w:r w:rsidR="00E66B89">
              <w:rPr>
                <w:rFonts w:cs="Calibri"/>
                <w:sz w:val="16"/>
                <w:szCs w:val="18"/>
              </w:rPr>
              <w:t xml:space="preserve"> w </w:t>
            </w:r>
            <w:r w:rsidRPr="00404DA5">
              <w:rPr>
                <w:rFonts w:cs="Calibri"/>
                <w:sz w:val="16"/>
                <w:szCs w:val="18"/>
              </w:rPr>
              <w:t>sprzęt TIK do prowadzenia zajęć edukacyjnych [szt.]</w:t>
            </w:r>
          </w:p>
        </w:tc>
        <w:tc>
          <w:tcPr>
            <w:tcW w:w="0" w:type="auto"/>
            <w:shd w:val="clear" w:color="auto" w:fill="auto"/>
            <w:vAlign w:val="center"/>
          </w:tcPr>
          <w:p w14:paraId="296CD23D" w14:textId="77777777" w:rsidR="00050FB4" w:rsidRPr="00404DA5" w:rsidRDefault="00050FB4" w:rsidP="00050FB4">
            <w:pPr>
              <w:jc w:val="center"/>
              <w:rPr>
                <w:rFonts w:eastAsia="Calibri" w:cs="Calibri"/>
                <w:sz w:val="16"/>
                <w:szCs w:val="16"/>
              </w:rPr>
            </w:pPr>
            <w:r w:rsidRPr="00404DA5">
              <w:rPr>
                <w:rFonts w:cs="Calibri"/>
                <w:sz w:val="18"/>
                <w:szCs w:val="18"/>
              </w:rPr>
              <w:t>szt</w:t>
            </w:r>
            <w:r w:rsidRPr="00404DA5">
              <w:rPr>
                <w:rFonts w:cs="Calibri"/>
                <w:sz w:val="16"/>
                <w:szCs w:val="18"/>
              </w:rPr>
              <w:t>.</w:t>
            </w:r>
          </w:p>
        </w:tc>
        <w:tc>
          <w:tcPr>
            <w:tcW w:w="0" w:type="auto"/>
            <w:shd w:val="clear" w:color="auto" w:fill="auto"/>
            <w:vAlign w:val="center"/>
          </w:tcPr>
          <w:p w14:paraId="4ECA33B1" w14:textId="77777777" w:rsidR="00050FB4" w:rsidRPr="00404DA5" w:rsidRDefault="00050FB4" w:rsidP="00050FB4">
            <w:pPr>
              <w:jc w:val="center"/>
              <w:rPr>
                <w:rFonts w:eastAsia="Calibri" w:cs="Calibri"/>
                <w:sz w:val="16"/>
                <w:szCs w:val="16"/>
              </w:rPr>
            </w:pPr>
            <w:r w:rsidRPr="00404DA5">
              <w:rPr>
                <w:rFonts w:cs="Calibri"/>
                <w:sz w:val="18"/>
                <w:szCs w:val="18"/>
              </w:rPr>
              <w:t>80</w:t>
            </w:r>
          </w:p>
        </w:tc>
        <w:tc>
          <w:tcPr>
            <w:tcW w:w="0" w:type="auto"/>
            <w:shd w:val="clear" w:color="auto" w:fill="auto"/>
            <w:vAlign w:val="center"/>
          </w:tcPr>
          <w:p w14:paraId="3E2DFCB8" w14:textId="77777777" w:rsidR="00050FB4" w:rsidRPr="00404DA5" w:rsidRDefault="00050FB4" w:rsidP="00050FB4">
            <w:pPr>
              <w:jc w:val="center"/>
              <w:rPr>
                <w:rFonts w:eastAsia="Calibri" w:cs="Calibri"/>
                <w:sz w:val="16"/>
                <w:szCs w:val="16"/>
              </w:rPr>
            </w:pPr>
            <w:r w:rsidRPr="00404DA5">
              <w:rPr>
                <w:rFonts w:cs="Calibri"/>
                <w:sz w:val="18"/>
                <w:szCs w:val="18"/>
              </w:rPr>
              <w:t>300</w:t>
            </w:r>
          </w:p>
        </w:tc>
      </w:tr>
    </w:tbl>
    <w:p w14:paraId="4297BCA7"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analizy własne.</w:t>
      </w:r>
    </w:p>
    <w:p w14:paraId="522D19B3" w14:textId="77777777" w:rsidR="00050FB4" w:rsidRPr="00FE43CD" w:rsidRDefault="00050FB4" w:rsidP="00050FB4">
      <w:pPr>
        <w:pStyle w:val="Nagwek3"/>
      </w:pPr>
      <w:r w:rsidRPr="00FE43CD">
        <w:t xml:space="preserve">Priorytet inwestycyjny </w:t>
      </w:r>
      <w:r>
        <w:t xml:space="preserve">10iv </w:t>
      </w:r>
      <w:r w:rsidRPr="00FE43CD">
        <w:t>(Działani</w:t>
      </w:r>
      <w:r>
        <w:t>a</w:t>
      </w:r>
      <w:r w:rsidRPr="00FE43CD">
        <w:t xml:space="preserve"> </w:t>
      </w:r>
      <w:r>
        <w:t>8.6</w:t>
      </w:r>
      <w:r w:rsidRPr="00FE43CD">
        <w:t>,</w:t>
      </w:r>
      <w:r>
        <w:t xml:space="preserve"> 8.7</w:t>
      </w:r>
      <w:r w:rsidRPr="00FE43CD">
        <w:t xml:space="preserve">, </w:t>
      </w:r>
      <w:r>
        <w:t>8.8, 8.9</w:t>
      </w:r>
      <w:r w:rsidRPr="00FE43CD">
        <w:t>)</w:t>
      </w:r>
    </w:p>
    <w:p w14:paraId="273FC95C" w14:textId="77777777" w:rsidR="00050FB4" w:rsidRPr="00404DA5" w:rsidRDefault="00050FB4" w:rsidP="00050FB4">
      <w:pPr>
        <w:pStyle w:val="Nagwek4"/>
        <w:numPr>
          <w:ilvl w:val="0"/>
          <w:numId w:val="0"/>
        </w:numPr>
        <w:rPr>
          <w:rFonts w:ascii="Lato" w:hAnsi="Lato" w:cs="Calibri"/>
          <w:szCs w:val="20"/>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551CA663" w14:textId="77777777" w:rsidR="00050FB4" w:rsidRPr="00FE73B6" w:rsidRDefault="00050FB4" w:rsidP="00FE73B6">
      <w:pPr>
        <w:pStyle w:val="Legenda"/>
        <w:spacing w:after="0"/>
      </w:pPr>
      <w:bookmarkStart w:id="317" w:name="_Toc3485238"/>
      <w:bookmarkStart w:id="318" w:name="_Toc3896884"/>
      <w:bookmarkStart w:id="319" w:name="_Toc8824247"/>
      <w:r w:rsidRPr="002755B9">
        <w:t xml:space="preserve">Tabela </w:t>
      </w:r>
      <w:r>
        <w:fldChar w:fldCharType="begin"/>
      </w:r>
      <w:r>
        <w:instrText xml:space="preserve"> SEQ Tabela \* ARABIC </w:instrText>
      </w:r>
      <w:r>
        <w:fldChar w:fldCharType="separate"/>
      </w:r>
      <w:r w:rsidR="00763345">
        <w:rPr>
          <w:noProof/>
        </w:rPr>
        <w:t>136</w:t>
      </w:r>
      <w:r>
        <w:fldChar w:fldCharType="end"/>
      </w:r>
      <w:r w:rsidRPr="002755B9">
        <w:t xml:space="preserve"> Wskaźniki produktu</w:t>
      </w:r>
      <w:r w:rsidR="00E66B89">
        <w:t xml:space="preserve"> i </w:t>
      </w:r>
      <w:r w:rsidRPr="002755B9">
        <w:t xml:space="preserve">rezultatu </w:t>
      </w:r>
      <w:r w:rsidRPr="00FE73B6">
        <w:t xml:space="preserve">(PI 10iv) </w:t>
      </w:r>
      <w:r w:rsidRPr="002755B9">
        <w:t>– postęp rzeczowy</w:t>
      </w:r>
      <w:bookmarkEnd w:id="317"/>
      <w:bookmarkEnd w:id="318"/>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873"/>
        <w:gridCol w:w="1669"/>
        <w:gridCol w:w="801"/>
        <w:gridCol w:w="912"/>
        <w:gridCol w:w="959"/>
        <w:gridCol w:w="974"/>
        <w:gridCol w:w="960"/>
        <w:gridCol w:w="975"/>
      </w:tblGrid>
      <w:tr w:rsidR="00050FB4" w:rsidRPr="0022151F" w14:paraId="36F209F8" w14:textId="77777777" w:rsidTr="00C22C26">
        <w:trPr>
          <w:tblHeader/>
        </w:trPr>
        <w:tc>
          <w:tcPr>
            <w:tcW w:w="0" w:type="auto"/>
            <w:shd w:val="clear" w:color="auto" w:fill="DBE5F1"/>
          </w:tcPr>
          <w:p w14:paraId="4728073F" w14:textId="77777777" w:rsidR="00050FB4" w:rsidRPr="00404DA5" w:rsidRDefault="00050FB4" w:rsidP="00050FB4">
            <w:pPr>
              <w:jc w:val="center"/>
              <w:rPr>
                <w:rFonts w:cs="Calibri"/>
                <w:sz w:val="16"/>
                <w:szCs w:val="18"/>
              </w:rPr>
            </w:pPr>
            <w:r w:rsidRPr="00404DA5">
              <w:rPr>
                <w:rFonts w:cs="Calibri"/>
                <w:sz w:val="16"/>
                <w:szCs w:val="18"/>
              </w:rPr>
              <w:t>Typ wskaźnika</w:t>
            </w:r>
          </w:p>
        </w:tc>
        <w:tc>
          <w:tcPr>
            <w:tcW w:w="0" w:type="auto"/>
            <w:shd w:val="clear" w:color="auto" w:fill="DBE5F1"/>
          </w:tcPr>
          <w:p w14:paraId="65AAC936" w14:textId="77777777" w:rsidR="00050FB4" w:rsidRPr="00404DA5" w:rsidRDefault="00050FB4" w:rsidP="00050FB4">
            <w:pPr>
              <w:jc w:val="center"/>
              <w:rPr>
                <w:rFonts w:cs="Calibri"/>
                <w:sz w:val="16"/>
                <w:szCs w:val="18"/>
              </w:rPr>
            </w:pPr>
            <w:r w:rsidRPr="00404DA5">
              <w:rPr>
                <w:rFonts w:cs="Calibri"/>
                <w:sz w:val="16"/>
                <w:szCs w:val="18"/>
              </w:rPr>
              <w:t>Działania</w:t>
            </w:r>
          </w:p>
        </w:tc>
        <w:tc>
          <w:tcPr>
            <w:tcW w:w="0" w:type="auto"/>
            <w:shd w:val="clear" w:color="auto" w:fill="DBE5F1"/>
          </w:tcPr>
          <w:p w14:paraId="63F607D6" w14:textId="77777777" w:rsidR="00050FB4" w:rsidRPr="00404DA5" w:rsidRDefault="00050FB4" w:rsidP="00050FB4">
            <w:pPr>
              <w:jc w:val="center"/>
              <w:rPr>
                <w:rFonts w:cs="Calibri"/>
                <w:sz w:val="16"/>
                <w:szCs w:val="18"/>
              </w:rPr>
            </w:pPr>
            <w:r w:rsidRPr="00404DA5">
              <w:rPr>
                <w:rFonts w:cs="Calibri"/>
                <w:sz w:val="16"/>
                <w:szCs w:val="18"/>
              </w:rPr>
              <w:t>Wskaźnik</w:t>
            </w:r>
          </w:p>
        </w:tc>
        <w:tc>
          <w:tcPr>
            <w:tcW w:w="0" w:type="auto"/>
            <w:shd w:val="clear" w:color="auto" w:fill="DBE5F1"/>
          </w:tcPr>
          <w:p w14:paraId="70979A2B" w14:textId="77777777" w:rsidR="00050FB4" w:rsidRPr="00404DA5" w:rsidRDefault="00050FB4" w:rsidP="00050FB4">
            <w:pPr>
              <w:jc w:val="center"/>
              <w:rPr>
                <w:rFonts w:cs="Calibri"/>
                <w:sz w:val="16"/>
                <w:szCs w:val="18"/>
              </w:rPr>
            </w:pPr>
            <w:r w:rsidRPr="00404DA5">
              <w:rPr>
                <w:rFonts w:cs="Calibri"/>
                <w:sz w:val="16"/>
                <w:szCs w:val="18"/>
              </w:rPr>
              <w:t>Jedn. pomiaru</w:t>
            </w:r>
          </w:p>
        </w:tc>
        <w:tc>
          <w:tcPr>
            <w:tcW w:w="0" w:type="auto"/>
            <w:shd w:val="clear" w:color="auto" w:fill="DBE5F1"/>
          </w:tcPr>
          <w:p w14:paraId="03026660" w14:textId="77777777" w:rsidR="00050FB4" w:rsidRPr="00404DA5" w:rsidRDefault="00050FB4" w:rsidP="00050FB4">
            <w:pPr>
              <w:jc w:val="center"/>
              <w:rPr>
                <w:rFonts w:cs="Calibri"/>
                <w:sz w:val="16"/>
                <w:szCs w:val="18"/>
              </w:rPr>
            </w:pPr>
            <w:r w:rsidRPr="00404DA5">
              <w:rPr>
                <w:rFonts w:cs="Calibri"/>
                <w:sz w:val="16"/>
                <w:szCs w:val="18"/>
              </w:rPr>
              <w:t>Wartość docelowa (2023)</w:t>
            </w:r>
          </w:p>
        </w:tc>
        <w:tc>
          <w:tcPr>
            <w:tcW w:w="0" w:type="auto"/>
            <w:shd w:val="clear" w:color="auto" w:fill="DBE5F1"/>
          </w:tcPr>
          <w:p w14:paraId="0E1E2301" w14:textId="77777777" w:rsidR="00050FB4" w:rsidRPr="00404DA5" w:rsidRDefault="00050FB4" w:rsidP="00050FB4">
            <w:pPr>
              <w:jc w:val="center"/>
              <w:rPr>
                <w:rFonts w:cs="Calibri"/>
                <w:sz w:val="16"/>
                <w:szCs w:val="18"/>
              </w:rPr>
            </w:pPr>
            <w:r w:rsidRPr="00404DA5">
              <w:rPr>
                <w:rFonts w:cs="Calibri"/>
                <w:sz w:val="16"/>
                <w:szCs w:val="18"/>
              </w:rPr>
              <w:t>Realizacja wskaźnika (wg UoD)</w:t>
            </w:r>
          </w:p>
        </w:tc>
        <w:tc>
          <w:tcPr>
            <w:tcW w:w="0" w:type="auto"/>
            <w:shd w:val="clear" w:color="auto" w:fill="DBE5F1"/>
          </w:tcPr>
          <w:p w14:paraId="3531A4B3" w14:textId="77777777" w:rsidR="00050FB4" w:rsidRPr="00404DA5" w:rsidRDefault="00050FB4" w:rsidP="00050FB4">
            <w:pPr>
              <w:jc w:val="center"/>
              <w:rPr>
                <w:rFonts w:cs="Calibri"/>
                <w:sz w:val="16"/>
                <w:szCs w:val="18"/>
              </w:rPr>
            </w:pPr>
            <w:r w:rsidRPr="00404DA5">
              <w:rPr>
                <w:rFonts w:cs="Calibri"/>
                <w:sz w:val="16"/>
                <w:szCs w:val="18"/>
              </w:rPr>
              <w:t>% realizacji wartości docelowej (wg UoD)</w:t>
            </w:r>
          </w:p>
        </w:tc>
        <w:tc>
          <w:tcPr>
            <w:tcW w:w="0" w:type="auto"/>
            <w:shd w:val="clear" w:color="auto" w:fill="DBE5F1"/>
          </w:tcPr>
          <w:p w14:paraId="4C882E82" w14:textId="77777777" w:rsidR="00050FB4" w:rsidRPr="00404DA5" w:rsidRDefault="00050FB4" w:rsidP="00050FB4">
            <w:pPr>
              <w:jc w:val="center"/>
              <w:rPr>
                <w:rFonts w:cs="Calibri"/>
                <w:sz w:val="16"/>
                <w:szCs w:val="18"/>
              </w:rPr>
            </w:pPr>
            <w:r w:rsidRPr="00404DA5">
              <w:rPr>
                <w:rFonts w:cs="Calibri"/>
                <w:sz w:val="16"/>
                <w:szCs w:val="18"/>
              </w:rPr>
              <w:t>Realizacja wskaźnika (wg WoP)</w:t>
            </w:r>
          </w:p>
        </w:tc>
        <w:tc>
          <w:tcPr>
            <w:tcW w:w="0" w:type="auto"/>
            <w:shd w:val="clear" w:color="auto" w:fill="DBE5F1"/>
          </w:tcPr>
          <w:p w14:paraId="1F6D1602" w14:textId="77777777" w:rsidR="00050FB4" w:rsidRPr="00404DA5" w:rsidRDefault="00050FB4" w:rsidP="00050FB4">
            <w:pPr>
              <w:jc w:val="center"/>
              <w:rPr>
                <w:rFonts w:cs="Calibri"/>
                <w:sz w:val="16"/>
                <w:szCs w:val="18"/>
              </w:rPr>
            </w:pPr>
            <w:r w:rsidRPr="00404DA5">
              <w:rPr>
                <w:rFonts w:cs="Calibri"/>
                <w:sz w:val="16"/>
                <w:szCs w:val="18"/>
              </w:rPr>
              <w:t>% realizacji wartości docelowej (wg WoP)</w:t>
            </w:r>
          </w:p>
        </w:tc>
      </w:tr>
      <w:tr w:rsidR="00050FB4" w:rsidRPr="0022151F" w14:paraId="1927DD0A" w14:textId="77777777" w:rsidTr="00050FB4">
        <w:tc>
          <w:tcPr>
            <w:tcW w:w="0" w:type="auto"/>
            <w:shd w:val="clear" w:color="auto" w:fill="auto"/>
            <w:vAlign w:val="center"/>
          </w:tcPr>
          <w:p w14:paraId="7E752E41" w14:textId="77777777" w:rsidR="00050FB4" w:rsidRPr="00404DA5" w:rsidRDefault="00050FB4" w:rsidP="00050FB4">
            <w:pPr>
              <w:jc w:val="center"/>
              <w:rPr>
                <w:rFonts w:cs="Calibri"/>
                <w:sz w:val="16"/>
                <w:szCs w:val="18"/>
              </w:rPr>
            </w:pPr>
            <w:r w:rsidRPr="00404DA5">
              <w:rPr>
                <w:rFonts w:cs="Calibri"/>
                <w:sz w:val="16"/>
                <w:szCs w:val="18"/>
              </w:rPr>
              <w:t>WP</w:t>
            </w:r>
          </w:p>
        </w:tc>
        <w:tc>
          <w:tcPr>
            <w:tcW w:w="0" w:type="auto"/>
            <w:shd w:val="clear" w:color="auto" w:fill="auto"/>
            <w:vAlign w:val="center"/>
          </w:tcPr>
          <w:p w14:paraId="707C7889" w14:textId="77777777" w:rsidR="00050FB4" w:rsidRPr="00404DA5" w:rsidRDefault="00050FB4" w:rsidP="00050FB4">
            <w:pPr>
              <w:jc w:val="center"/>
              <w:rPr>
                <w:rFonts w:cs="Calibri"/>
                <w:sz w:val="16"/>
                <w:szCs w:val="18"/>
              </w:rPr>
            </w:pPr>
            <w:r w:rsidRPr="00404DA5">
              <w:rPr>
                <w:rFonts w:cs="Calibri"/>
                <w:sz w:val="16"/>
                <w:szCs w:val="18"/>
              </w:rPr>
              <w:t>8,6</w:t>
            </w:r>
          </w:p>
        </w:tc>
        <w:tc>
          <w:tcPr>
            <w:tcW w:w="0" w:type="auto"/>
            <w:shd w:val="clear" w:color="auto" w:fill="auto"/>
            <w:vAlign w:val="center"/>
          </w:tcPr>
          <w:p w14:paraId="72290299" w14:textId="77777777" w:rsidR="00050FB4" w:rsidRPr="00404DA5" w:rsidRDefault="00050FB4" w:rsidP="00050FB4">
            <w:pPr>
              <w:jc w:val="center"/>
              <w:rPr>
                <w:rFonts w:cs="Calibri"/>
                <w:sz w:val="16"/>
                <w:szCs w:val="18"/>
              </w:rPr>
            </w:pPr>
            <w:r w:rsidRPr="00404DA5">
              <w:rPr>
                <w:rFonts w:cs="Calibri"/>
                <w:sz w:val="16"/>
                <w:szCs w:val="18"/>
              </w:rPr>
              <w:t>Liczba uczniów objętych wsparciem</w:t>
            </w:r>
            <w:r w:rsidR="00E66B89">
              <w:rPr>
                <w:rFonts w:cs="Calibri"/>
                <w:sz w:val="16"/>
                <w:szCs w:val="18"/>
              </w:rPr>
              <w:t xml:space="preserve"> w </w:t>
            </w:r>
            <w:r w:rsidRPr="00404DA5">
              <w:rPr>
                <w:rFonts w:cs="Calibri"/>
                <w:sz w:val="16"/>
                <w:szCs w:val="18"/>
              </w:rPr>
              <w:t xml:space="preserve">zakresie </w:t>
            </w:r>
            <w:r w:rsidRPr="00404DA5">
              <w:rPr>
                <w:rFonts w:cs="Calibri"/>
                <w:sz w:val="16"/>
                <w:szCs w:val="18"/>
              </w:rPr>
              <w:lastRenderedPageBreak/>
              <w:t>rozwijania kompetencji kluczowych lub umiejętności uniwersalnych</w:t>
            </w:r>
            <w:r w:rsidR="00E66B89">
              <w:rPr>
                <w:rFonts w:cs="Calibri"/>
                <w:sz w:val="16"/>
                <w:szCs w:val="18"/>
              </w:rPr>
              <w:t xml:space="preserve"> w </w:t>
            </w:r>
            <w:r w:rsidRPr="00404DA5">
              <w:rPr>
                <w:rFonts w:cs="Calibri"/>
                <w:sz w:val="16"/>
                <w:szCs w:val="18"/>
              </w:rPr>
              <w:t>programie</w:t>
            </w:r>
            <w:r>
              <w:rPr>
                <w:rFonts w:cs="Calibri"/>
                <w:sz w:val="16"/>
                <w:szCs w:val="18"/>
              </w:rPr>
              <w:t xml:space="preserve"> </w:t>
            </w:r>
            <w:r w:rsidRPr="00404DA5">
              <w:rPr>
                <w:rFonts w:cs="Calibri"/>
                <w:sz w:val="16"/>
                <w:szCs w:val="18"/>
              </w:rPr>
              <w:t>[osoby]</w:t>
            </w:r>
          </w:p>
        </w:tc>
        <w:tc>
          <w:tcPr>
            <w:tcW w:w="0" w:type="auto"/>
            <w:shd w:val="clear" w:color="auto" w:fill="auto"/>
            <w:vAlign w:val="center"/>
          </w:tcPr>
          <w:p w14:paraId="2A5597E7" w14:textId="77777777" w:rsidR="00050FB4" w:rsidRPr="00404DA5" w:rsidRDefault="00050FB4" w:rsidP="00050FB4">
            <w:pPr>
              <w:jc w:val="center"/>
              <w:rPr>
                <w:rFonts w:cs="Calibri"/>
                <w:sz w:val="16"/>
                <w:szCs w:val="18"/>
              </w:rPr>
            </w:pPr>
            <w:r w:rsidRPr="00404DA5">
              <w:rPr>
                <w:rFonts w:cs="Calibri"/>
                <w:sz w:val="16"/>
                <w:szCs w:val="18"/>
              </w:rPr>
              <w:lastRenderedPageBreak/>
              <w:t>Os.</w:t>
            </w:r>
          </w:p>
        </w:tc>
        <w:tc>
          <w:tcPr>
            <w:tcW w:w="0" w:type="auto"/>
            <w:shd w:val="clear" w:color="auto" w:fill="auto"/>
            <w:vAlign w:val="center"/>
          </w:tcPr>
          <w:p w14:paraId="30B1372F" w14:textId="77777777" w:rsidR="00050FB4" w:rsidRPr="00404DA5" w:rsidRDefault="00050FB4" w:rsidP="00050FB4">
            <w:pPr>
              <w:jc w:val="center"/>
              <w:rPr>
                <w:rFonts w:cs="Calibri"/>
                <w:sz w:val="16"/>
                <w:szCs w:val="18"/>
              </w:rPr>
            </w:pPr>
            <w:r w:rsidRPr="00404DA5">
              <w:rPr>
                <w:rFonts w:cs="Calibri"/>
                <w:sz w:val="16"/>
                <w:szCs w:val="18"/>
              </w:rPr>
              <w:t>1000</w:t>
            </w:r>
          </w:p>
        </w:tc>
        <w:tc>
          <w:tcPr>
            <w:tcW w:w="0" w:type="auto"/>
            <w:shd w:val="clear" w:color="auto" w:fill="auto"/>
            <w:vAlign w:val="center"/>
          </w:tcPr>
          <w:p w14:paraId="199EDDBE" w14:textId="77777777" w:rsidR="00050FB4" w:rsidRPr="00404DA5" w:rsidRDefault="00050FB4" w:rsidP="00050FB4">
            <w:pPr>
              <w:jc w:val="center"/>
              <w:rPr>
                <w:rFonts w:cs="Calibri"/>
                <w:sz w:val="16"/>
                <w:szCs w:val="18"/>
              </w:rPr>
            </w:pPr>
            <w:r w:rsidRPr="00404DA5">
              <w:rPr>
                <w:rFonts w:cs="Calibri"/>
                <w:sz w:val="16"/>
                <w:szCs w:val="18"/>
              </w:rPr>
              <w:t>0</w:t>
            </w:r>
          </w:p>
        </w:tc>
        <w:tc>
          <w:tcPr>
            <w:tcW w:w="0" w:type="auto"/>
            <w:shd w:val="clear" w:color="auto" w:fill="auto"/>
            <w:vAlign w:val="center"/>
          </w:tcPr>
          <w:p w14:paraId="7EAD896D" w14:textId="77777777" w:rsidR="00050FB4" w:rsidRPr="00404DA5" w:rsidRDefault="00050FB4" w:rsidP="00050FB4">
            <w:pPr>
              <w:jc w:val="center"/>
              <w:rPr>
                <w:rFonts w:cs="Calibri"/>
                <w:sz w:val="16"/>
                <w:szCs w:val="18"/>
              </w:rPr>
            </w:pPr>
            <w:r w:rsidRPr="00404DA5">
              <w:rPr>
                <w:rFonts w:cs="Calibri"/>
                <w:sz w:val="16"/>
                <w:szCs w:val="18"/>
              </w:rPr>
              <w:t>0%</w:t>
            </w:r>
          </w:p>
        </w:tc>
        <w:tc>
          <w:tcPr>
            <w:tcW w:w="0" w:type="auto"/>
            <w:shd w:val="clear" w:color="auto" w:fill="auto"/>
            <w:vAlign w:val="center"/>
          </w:tcPr>
          <w:p w14:paraId="627E1EC5" w14:textId="77777777" w:rsidR="00050FB4" w:rsidRPr="00404DA5" w:rsidRDefault="00050FB4" w:rsidP="00050FB4">
            <w:pPr>
              <w:jc w:val="center"/>
              <w:rPr>
                <w:rFonts w:cs="Calibri"/>
                <w:sz w:val="16"/>
                <w:szCs w:val="18"/>
              </w:rPr>
            </w:pPr>
            <w:r w:rsidRPr="00404DA5">
              <w:rPr>
                <w:rFonts w:cs="Calibri"/>
                <w:sz w:val="16"/>
                <w:szCs w:val="18"/>
              </w:rPr>
              <w:t>0</w:t>
            </w:r>
          </w:p>
        </w:tc>
        <w:tc>
          <w:tcPr>
            <w:tcW w:w="0" w:type="auto"/>
            <w:shd w:val="clear" w:color="auto" w:fill="auto"/>
            <w:vAlign w:val="center"/>
          </w:tcPr>
          <w:p w14:paraId="1B6F554B" w14:textId="77777777" w:rsidR="00050FB4" w:rsidRPr="00404DA5" w:rsidRDefault="00050FB4" w:rsidP="00050FB4">
            <w:pPr>
              <w:jc w:val="center"/>
              <w:rPr>
                <w:rFonts w:cs="Calibri"/>
                <w:sz w:val="16"/>
                <w:szCs w:val="18"/>
              </w:rPr>
            </w:pPr>
            <w:r w:rsidRPr="00404DA5">
              <w:rPr>
                <w:rFonts w:cs="Calibri"/>
                <w:sz w:val="16"/>
                <w:szCs w:val="18"/>
              </w:rPr>
              <w:t>0%</w:t>
            </w:r>
          </w:p>
        </w:tc>
      </w:tr>
      <w:tr w:rsidR="00050FB4" w:rsidRPr="0022151F" w14:paraId="47C0C1AC" w14:textId="77777777" w:rsidTr="00050FB4">
        <w:tc>
          <w:tcPr>
            <w:tcW w:w="0" w:type="auto"/>
            <w:shd w:val="clear" w:color="auto" w:fill="auto"/>
            <w:vAlign w:val="center"/>
          </w:tcPr>
          <w:p w14:paraId="2957845A" w14:textId="77777777" w:rsidR="00050FB4" w:rsidRPr="00404DA5" w:rsidRDefault="00050FB4" w:rsidP="00050FB4">
            <w:pPr>
              <w:jc w:val="center"/>
              <w:rPr>
                <w:sz w:val="16"/>
                <w:szCs w:val="18"/>
              </w:rPr>
            </w:pPr>
            <w:r w:rsidRPr="00404DA5">
              <w:rPr>
                <w:rFonts w:cs="Calibri"/>
                <w:sz w:val="16"/>
                <w:szCs w:val="18"/>
              </w:rPr>
              <w:t>WR</w:t>
            </w:r>
          </w:p>
        </w:tc>
        <w:tc>
          <w:tcPr>
            <w:tcW w:w="0" w:type="auto"/>
            <w:shd w:val="clear" w:color="auto" w:fill="auto"/>
            <w:vAlign w:val="center"/>
          </w:tcPr>
          <w:p w14:paraId="1D7D419F" w14:textId="77777777" w:rsidR="00050FB4" w:rsidRPr="00404DA5" w:rsidRDefault="00050FB4" w:rsidP="00050FB4">
            <w:pPr>
              <w:jc w:val="center"/>
              <w:rPr>
                <w:rFonts w:cs="Calibri"/>
                <w:sz w:val="16"/>
                <w:szCs w:val="18"/>
              </w:rPr>
            </w:pPr>
            <w:r w:rsidRPr="00404DA5">
              <w:rPr>
                <w:rFonts w:cs="Calibri"/>
                <w:sz w:val="16"/>
                <w:szCs w:val="18"/>
              </w:rPr>
              <w:t>8,6</w:t>
            </w:r>
          </w:p>
        </w:tc>
        <w:tc>
          <w:tcPr>
            <w:tcW w:w="0" w:type="auto"/>
            <w:shd w:val="clear" w:color="auto" w:fill="auto"/>
            <w:vAlign w:val="center"/>
          </w:tcPr>
          <w:p w14:paraId="694B2AD4" w14:textId="77777777" w:rsidR="00050FB4" w:rsidRPr="00404DA5" w:rsidRDefault="00050FB4" w:rsidP="00050FB4">
            <w:pPr>
              <w:jc w:val="center"/>
              <w:rPr>
                <w:rFonts w:cs="Calibri"/>
                <w:sz w:val="16"/>
                <w:szCs w:val="18"/>
              </w:rPr>
            </w:pPr>
            <w:r w:rsidRPr="00404DA5">
              <w:rPr>
                <w:rFonts w:cs="Calibri"/>
                <w:sz w:val="16"/>
                <w:szCs w:val="18"/>
              </w:rPr>
              <w:t>Liczba uczniów, którzy nabyli kompetencje kluczowe lub umiejętności uniwersalne po opuszczeniu programu [osoby]</w:t>
            </w:r>
          </w:p>
        </w:tc>
        <w:tc>
          <w:tcPr>
            <w:tcW w:w="0" w:type="auto"/>
            <w:shd w:val="clear" w:color="auto" w:fill="auto"/>
            <w:vAlign w:val="center"/>
          </w:tcPr>
          <w:p w14:paraId="03B6FE75" w14:textId="77777777" w:rsidR="00050FB4" w:rsidRDefault="00050FB4" w:rsidP="00050FB4">
            <w:pPr>
              <w:jc w:val="center"/>
              <w:rPr>
                <w:rFonts w:cs="Calibri"/>
                <w:sz w:val="16"/>
                <w:szCs w:val="18"/>
              </w:rPr>
            </w:pPr>
            <w:r>
              <w:rPr>
                <w:rFonts w:cs="Calibri"/>
                <w:sz w:val="16"/>
                <w:szCs w:val="18"/>
              </w:rPr>
              <w:t>%</w:t>
            </w:r>
          </w:p>
          <w:p w14:paraId="1E4C7026"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Os.</w:t>
            </w:r>
            <w:r>
              <w:rPr>
                <w:rFonts w:cs="Calibri"/>
                <w:sz w:val="16"/>
                <w:szCs w:val="18"/>
              </w:rPr>
              <w:t>)</w:t>
            </w:r>
          </w:p>
        </w:tc>
        <w:tc>
          <w:tcPr>
            <w:tcW w:w="0" w:type="auto"/>
            <w:shd w:val="clear" w:color="auto" w:fill="auto"/>
            <w:vAlign w:val="center"/>
          </w:tcPr>
          <w:p w14:paraId="75772AA2" w14:textId="77777777" w:rsidR="00050FB4" w:rsidRPr="00404DA5" w:rsidRDefault="00050FB4" w:rsidP="00050FB4">
            <w:pPr>
              <w:jc w:val="center"/>
              <w:rPr>
                <w:rFonts w:cs="Calibri"/>
                <w:sz w:val="16"/>
                <w:szCs w:val="18"/>
              </w:rPr>
            </w:pPr>
            <w:r w:rsidRPr="00404DA5">
              <w:rPr>
                <w:rFonts w:cs="Calibri"/>
                <w:sz w:val="16"/>
                <w:szCs w:val="18"/>
              </w:rPr>
              <w:t>85%</w:t>
            </w:r>
          </w:p>
        </w:tc>
        <w:tc>
          <w:tcPr>
            <w:tcW w:w="0" w:type="auto"/>
            <w:shd w:val="clear" w:color="auto" w:fill="auto"/>
            <w:vAlign w:val="center"/>
          </w:tcPr>
          <w:p w14:paraId="77AB77F8" w14:textId="77777777" w:rsidR="00050FB4" w:rsidRDefault="00050FB4" w:rsidP="00050FB4">
            <w:pPr>
              <w:jc w:val="center"/>
              <w:rPr>
                <w:rFonts w:cs="Calibri"/>
                <w:sz w:val="16"/>
                <w:szCs w:val="18"/>
              </w:rPr>
            </w:pPr>
            <w:r>
              <w:rPr>
                <w:rFonts w:cs="Calibri"/>
                <w:sz w:val="16"/>
                <w:szCs w:val="18"/>
              </w:rPr>
              <w:t>0%</w:t>
            </w:r>
          </w:p>
          <w:p w14:paraId="08264D53"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0</w:t>
            </w:r>
            <w:r>
              <w:rPr>
                <w:rFonts w:cs="Calibri"/>
                <w:sz w:val="16"/>
                <w:szCs w:val="18"/>
              </w:rPr>
              <w:t>)</w:t>
            </w:r>
          </w:p>
        </w:tc>
        <w:tc>
          <w:tcPr>
            <w:tcW w:w="0" w:type="auto"/>
            <w:shd w:val="clear" w:color="auto" w:fill="auto"/>
            <w:vAlign w:val="center"/>
          </w:tcPr>
          <w:p w14:paraId="40710FBE" w14:textId="77777777" w:rsidR="00050FB4" w:rsidRPr="00404DA5" w:rsidRDefault="00050FB4" w:rsidP="00050FB4">
            <w:pPr>
              <w:jc w:val="center"/>
              <w:rPr>
                <w:rFonts w:cs="Calibri"/>
                <w:sz w:val="16"/>
                <w:szCs w:val="18"/>
              </w:rPr>
            </w:pPr>
            <w:r w:rsidRPr="00404DA5">
              <w:rPr>
                <w:rFonts w:cs="Calibri"/>
                <w:sz w:val="16"/>
                <w:szCs w:val="18"/>
              </w:rPr>
              <w:t>0%</w:t>
            </w:r>
          </w:p>
        </w:tc>
        <w:tc>
          <w:tcPr>
            <w:tcW w:w="0" w:type="auto"/>
            <w:shd w:val="clear" w:color="auto" w:fill="auto"/>
            <w:vAlign w:val="center"/>
          </w:tcPr>
          <w:p w14:paraId="4C75B467" w14:textId="77777777" w:rsidR="00050FB4" w:rsidRDefault="00050FB4" w:rsidP="00050FB4">
            <w:pPr>
              <w:jc w:val="center"/>
              <w:rPr>
                <w:rFonts w:cs="Calibri"/>
                <w:sz w:val="16"/>
                <w:szCs w:val="18"/>
              </w:rPr>
            </w:pPr>
            <w:r>
              <w:rPr>
                <w:rFonts w:cs="Calibri"/>
                <w:sz w:val="16"/>
                <w:szCs w:val="18"/>
              </w:rPr>
              <w:t>0%</w:t>
            </w:r>
          </w:p>
          <w:p w14:paraId="5A96BF17"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0</w:t>
            </w:r>
            <w:r>
              <w:rPr>
                <w:rFonts w:cs="Calibri"/>
                <w:sz w:val="16"/>
                <w:szCs w:val="18"/>
              </w:rPr>
              <w:t>)</w:t>
            </w:r>
          </w:p>
        </w:tc>
        <w:tc>
          <w:tcPr>
            <w:tcW w:w="0" w:type="auto"/>
            <w:shd w:val="clear" w:color="auto" w:fill="auto"/>
            <w:vAlign w:val="center"/>
          </w:tcPr>
          <w:p w14:paraId="642DAFDE" w14:textId="77777777" w:rsidR="00050FB4" w:rsidRPr="00404DA5" w:rsidRDefault="00050FB4" w:rsidP="00050FB4">
            <w:pPr>
              <w:jc w:val="center"/>
              <w:rPr>
                <w:rFonts w:cs="Calibri"/>
                <w:sz w:val="16"/>
                <w:szCs w:val="18"/>
              </w:rPr>
            </w:pPr>
            <w:r w:rsidRPr="00404DA5">
              <w:rPr>
                <w:rFonts w:cs="Calibri"/>
                <w:sz w:val="16"/>
                <w:szCs w:val="18"/>
              </w:rPr>
              <w:t>0%</w:t>
            </w:r>
          </w:p>
        </w:tc>
      </w:tr>
      <w:tr w:rsidR="00050FB4" w:rsidRPr="0022151F" w14:paraId="10F2862D" w14:textId="77777777" w:rsidTr="00050FB4">
        <w:tc>
          <w:tcPr>
            <w:tcW w:w="0" w:type="auto"/>
            <w:shd w:val="clear" w:color="auto" w:fill="auto"/>
            <w:vAlign w:val="center"/>
          </w:tcPr>
          <w:p w14:paraId="48D2BE26"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57D58967" w14:textId="77777777" w:rsidR="00050FB4" w:rsidRPr="00404DA5" w:rsidRDefault="00050FB4" w:rsidP="00050FB4">
            <w:pPr>
              <w:jc w:val="center"/>
              <w:rPr>
                <w:rFonts w:cs="Calibri"/>
                <w:bCs/>
                <w:sz w:val="16"/>
                <w:szCs w:val="18"/>
              </w:rPr>
            </w:pPr>
            <w:r w:rsidRPr="00404DA5">
              <w:rPr>
                <w:rFonts w:cs="Calibri"/>
                <w:bCs/>
                <w:sz w:val="16"/>
                <w:szCs w:val="18"/>
              </w:rPr>
              <w:t>8.6, 8.7, 8.8, 8.9</w:t>
            </w:r>
          </w:p>
        </w:tc>
        <w:tc>
          <w:tcPr>
            <w:tcW w:w="0" w:type="auto"/>
            <w:shd w:val="clear" w:color="auto" w:fill="auto"/>
            <w:vAlign w:val="center"/>
          </w:tcPr>
          <w:p w14:paraId="360506D7" w14:textId="77777777" w:rsidR="00050FB4" w:rsidRPr="00404DA5" w:rsidRDefault="00050FB4" w:rsidP="00050FB4">
            <w:pPr>
              <w:jc w:val="center"/>
              <w:rPr>
                <w:rFonts w:cs="Calibri"/>
                <w:bCs/>
                <w:sz w:val="16"/>
                <w:szCs w:val="18"/>
              </w:rPr>
            </w:pPr>
            <w:r w:rsidRPr="00404DA5">
              <w:rPr>
                <w:rFonts w:cs="Calibri"/>
                <w:bCs/>
                <w:sz w:val="16"/>
                <w:szCs w:val="18"/>
              </w:rPr>
              <w:t>Liczba nauczycieli kształcenia zawodowego oraz instruktorów praktycznej nauki zawodu objętych wsparciem</w:t>
            </w:r>
            <w:r w:rsidR="00E66B89">
              <w:rPr>
                <w:rFonts w:cs="Calibri"/>
                <w:bCs/>
                <w:sz w:val="16"/>
                <w:szCs w:val="18"/>
              </w:rPr>
              <w:t xml:space="preserve"> w </w:t>
            </w:r>
            <w:r w:rsidRPr="00404DA5">
              <w:rPr>
                <w:rFonts w:cs="Calibri"/>
                <w:bCs/>
                <w:sz w:val="16"/>
                <w:szCs w:val="18"/>
              </w:rPr>
              <w:t>programie [osoby]</w:t>
            </w:r>
          </w:p>
        </w:tc>
        <w:tc>
          <w:tcPr>
            <w:tcW w:w="0" w:type="auto"/>
            <w:shd w:val="clear" w:color="auto" w:fill="auto"/>
            <w:vAlign w:val="center"/>
          </w:tcPr>
          <w:p w14:paraId="79E43873" w14:textId="77777777" w:rsidR="00050FB4" w:rsidRPr="00404DA5" w:rsidRDefault="00050FB4" w:rsidP="00050FB4">
            <w:pPr>
              <w:jc w:val="center"/>
              <w:rPr>
                <w:rFonts w:cs="Calibri"/>
                <w:bCs/>
                <w:sz w:val="16"/>
                <w:szCs w:val="18"/>
              </w:rPr>
            </w:pPr>
            <w:r w:rsidRPr="00404DA5">
              <w:rPr>
                <w:rFonts w:cs="Calibri"/>
                <w:bCs/>
                <w:sz w:val="16"/>
                <w:szCs w:val="18"/>
              </w:rPr>
              <w:t>Os.</w:t>
            </w:r>
          </w:p>
        </w:tc>
        <w:tc>
          <w:tcPr>
            <w:tcW w:w="0" w:type="auto"/>
            <w:shd w:val="clear" w:color="auto" w:fill="auto"/>
            <w:vAlign w:val="center"/>
          </w:tcPr>
          <w:p w14:paraId="43568585" w14:textId="77777777" w:rsidR="00050FB4" w:rsidRPr="00404DA5" w:rsidRDefault="00050FB4" w:rsidP="00050FB4">
            <w:pPr>
              <w:jc w:val="center"/>
              <w:rPr>
                <w:rFonts w:cs="Calibri"/>
                <w:sz w:val="16"/>
                <w:szCs w:val="18"/>
              </w:rPr>
            </w:pPr>
            <w:r w:rsidRPr="00404DA5">
              <w:rPr>
                <w:rFonts w:cs="Calibri"/>
                <w:sz w:val="16"/>
                <w:szCs w:val="18"/>
              </w:rPr>
              <w:t>1175</w:t>
            </w:r>
          </w:p>
        </w:tc>
        <w:tc>
          <w:tcPr>
            <w:tcW w:w="0" w:type="auto"/>
            <w:shd w:val="clear" w:color="auto" w:fill="auto"/>
            <w:vAlign w:val="center"/>
          </w:tcPr>
          <w:p w14:paraId="694D0EF7" w14:textId="77777777" w:rsidR="00050FB4" w:rsidRPr="00404DA5" w:rsidRDefault="00050FB4" w:rsidP="00050FB4">
            <w:pPr>
              <w:jc w:val="center"/>
              <w:rPr>
                <w:rFonts w:cs="Calibri"/>
                <w:sz w:val="16"/>
                <w:szCs w:val="18"/>
              </w:rPr>
            </w:pPr>
            <w:r w:rsidRPr="00404DA5">
              <w:rPr>
                <w:rFonts w:cs="Calibri"/>
                <w:sz w:val="16"/>
                <w:szCs w:val="18"/>
              </w:rPr>
              <w:t>617</w:t>
            </w:r>
          </w:p>
        </w:tc>
        <w:tc>
          <w:tcPr>
            <w:tcW w:w="0" w:type="auto"/>
            <w:shd w:val="clear" w:color="auto" w:fill="auto"/>
            <w:vAlign w:val="center"/>
          </w:tcPr>
          <w:p w14:paraId="4C43F6CA" w14:textId="77777777" w:rsidR="00050FB4" w:rsidRPr="00404DA5" w:rsidRDefault="00050FB4" w:rsidP="00050FB4">
            <w:pPr>
              <w:jc w:val="center"/>
              <w:rPr>
                <w:rFonts w:cs="Calibri"/>
                <w:sz w:val="16"/>
                <w:szCs w:val="18"/>
              </w:rPr>
            </w:pPr>
            <w:r w:rsidRPr="00404DA5">
              <w:rPr>
                <w:rFonts w:cs="Calibri"/>
                <w:sz w:val="16"/>
                <w:szCs w:val="18"/>
              </w:rPr>
              <w:t>53%</w:t>
            </w:r>
          </w:p>
        </w:tc>
        <w:tc>
          <w:tcPr>
            <w:tcW w:w="0" w:type="auto"/>
            <w:shd w:val="clear" w:color="auto" w:fill="auto"/>
            <w:vAlign w:val="center"/>
          </w:tcPr>
          <w:p w14:paraId="665F9426" w14:textId="77777777" w:rsidR="00050FB4" w:rsidRPr="00404DA5" w:rsidRDefault="00050FB4" w:rsidP="00050FB4">
            <w:pPr>
              <w:jc w:val="center"/>
              <w:rPr>
                <w:rFonts w:cs="Calibri"/>
                <w:sz w:val="16"/>
                <w:szCs w:val="18"/>
              </w:rPr>
            </w:pPr>
            <w:r w:rsidRPr="00404DA5">
              <w:rPr>
                <w:rFonts w:cs="Calibri"/>
                <w:sz w:val="16"/>
                <w:szCs w:val="18"/>
              </w:rPr>
              <w:t>259</w:t>
            </w:r>
          </w:p>
        </w:tc>
        <w:tc>
          <w:tcPr>
            <w:tcW w:w="0" w:type="auto"/>
            <w:shd w:val="clear" w:color="auto" w:fill="auto"/>
            <w:vAlign w:val="center"/>
          </w:tcPr>
          <w:p w14:paraId="7BC35DCD" w14:textId="77777777" w:rsidR="00050FB4" w:rsidRPr="00404DA5" w:rsidRDefault="00050FB4" w:rsidP="00050FB4">
            <w:pPr>
              <w:jc w:val="center"/>
              <w:rPr>
                <w:rFonts w:cs="Calibri"/>
                <w:sz w:val="16"/>
                <w:szCs w:val="18"/>
              </w:rPr>
            </w:pPr>
            <w:r w:rsidRPr="00404DA5">
              <w:rPr>
                <w:rFonts w:cs="Calibri"/>
                <w:sz w:val="16"/>
                <w:szCs w:val="18"/>
              </w:rPr>
              <w:t>22%</w:t>
            </w:r>
          </w:p>
        </w:tc>
      </w:tr>
      <w:tr w:rsidR="00050FB4" w:rsidRPr="0022151F" w14:paraId="0A4FD806" w14:textId="77777777" w:rsidTr="00050FB4">
        <w:tc>
          <w:tcPr>
            <w:tcW w:w="0" w:type="auto"/>
            <w:shd w:val="clear" w:color="auto" w:fill="auto"/>
            <w:vAlign w:val="center"/>
          </w:tcPr>
          <w:p w14:paraId="431213D6"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278FC805"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51F92209" w14:textId="77777777" w:rsidR="00050FB4" w:rsidRPr="00404DA5" w:rsidRDefault="00050FB4" w:rsidP="00050FB4">
            <w:pPr>
              <w:jc w:val="center"/>
              <w:rPr>
                <w:rFonts w:cs="Calibri"/>
                <w:sz w:val="16"/>
                <w:szCs w:val="18"/>
              </w:rPr>
            </w:pPr>
            <w:r w:rsidRPr="00404DA5">
              <w:rPr>
                <w:rFonts w:cs="Calibri"/>
                <w:sz w:val="16"/>
                <w:szCs w:val="18"/>
              </w:rPr>
              <w:t>Liczba nauczycieli kształcenia zawodowego oraz instruktorów praktycznej nauki zawodu, którzy uzyskali kwalifikacje lub nabyli kompetencje po opuszczeniu programu [osoby]</w:t>
            </w:r>
          </w:p>
        </w:tc>
        <w:tc>
          <w:tcPr>
            <w:tcW w:w="0" w:type="auto"/>
            <w:shd w:val="clear" w:color="auto" w:fill="auto"/>
            <w:vAlign w:val="center"/>
          </w:tcPr>
          <w:p w14:paraId="5D9B9247" w14:textId="77777777" w:rsidR="00050FB4" w:rsidRDefault="00050FB4" w:rsidP="00050FB4">
            <w:pPr>
              <w:jc w:val="center"/>
              <w:rPr>
                <w:rFonts w:cs="Calibri"/>
                <w:sz w:val="16"/>
                <w:szCs w:val="18"/>
              </w:rPr>
            </w:pPr>
            <w:r>
              <w:rPr>
                <w:rFonts w:cs="Calibri"/>
                <w:sz w:val="16"/>
                <w:szCs w:val="18"/>
              </w:rPr>
              <w:t>%</w:t>
            </w:r>
          </w:p>
          <w:p w14:paraId="344793EC"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Os.</w:t>
            </w:r>
            <w:r>
              <w:rPr>
                <w:rFonts w:cs="Calibri"/>
                <w:sz w:val="16"/>
                <w:szCs w:val="18"/>
              </w:rPr>
              <w:t>)</w:t>
            </w:r>
          </w:p>
        </w:tc>
        <w:tc>
          <w:tcPr>
            <w:tcW w:w="0" w:type="auto"/>
            <w:shd w:val="clear" w:color="auto" w:fill="auto"/>
            <w:vAlign w:val="center"/>
          </w:tcPr>
          <w:p w14:paraId="39028E51" w14:textId="77777777" w:rsidR="00050FB4" w:rsidRPr="00404DA5" w:rsidRDefault="00050FB4" w:rsidP="00050FB4">
            <w:pPr>
              <w:jc w:val="center"/>
              <w:rPr>
                <w:rFonts w:cs="Calibri"/>
                <w:sz w:val="16"/>
                <w:szCs w:val="18"/>
              </w:rPr>
            </w:pPr>
            <w:r w:rsidRPr="00404DA5">
              <w:rPr>
                <w:rFonts w:cs="Calibri"/>
                <w:sz w:val="16"/>
                <w:szCs w:val="18"/>
              </w:rPr>
              <w:t>92%</w:t>
            </w:r>
          </w:p>
        </w:tc>
        <w:tc>
          <w:tcPr>
            <w:tcW w:w="0" w:type="auto"/>
            <w:shd w:val="clear" w:color="auto" w:fill="auto"/>
            <w:vAlign w:val="center"/>
          </w:tcPr>
          <w:p w14:paraId="321A7B24" w14:textId="77777777" w:rsidR="00050FB4" w:rsidRDefault="00050FB4" w:rsidP="00050FB4">
            <w:pPr>
              <w:jc w:val="center"/>
              <w:rPr>
                <w:rFonts w:cs="Calibri"/>
                <w:sz w:val="16"/>
                <w:szCs w:val="18"/>
              </w:rPr>
            </w:pPr>
            <w:r>
              <w:rPr>
                <w:rFonts w:cs="Calibri"/>
                <w:sz w:val="16"/>
                <w:szCs w:val="18"/>
              </w:rPr>
              <w:t>98,2%</w:t>
            </w:r>
          </w:p>
          <w:p w14:paraId="3CF2D305"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606</w:t>
            </w:r>
            <w:r>
              <w:rPr>
                <w:rFonts w:cs="Calibri"/>
                <w:sz w:val="16"/>
                <w:szCs w:val="18"/>
              </w:rPr>
              <w:t>)</w:t>
            </w:r>
          </w:p>
        </w:tc>
        <w:tc>
          <w:tcPr>
            <w:tcW w:w="0" w:type="auto"/>
            <w:shd w:val="clear" w:color="auto" w:fill="auto"/>
            <w:vAlign w:val="center"/>
          </w:tcPr>
          <w:p w14:paraId="4A963078" w14:textId="77777777" w:rsidR="00050FB4" w:rsidRPr="00404DA5" w:rsidRDefault="00050FB4" w:rsidP="00050FB4">
            <w:pPr>
              <w:jc w:val="center"/>
              <w:rPr>
                <w:rFonts w:cs="Calibri"/>
                <w:sz w:val="16"/>
                <w:szCs w:val="18"/>
              </w:rPr>
            </w:pPr>
            <w:r w:rsidRPr="00404DA5">
              <w:rPr>
                <w:rFonts w:cs="Calibri"/>
                <w:sz w:val="16"/>
                <w:szCs w:val="18"/>
              </w:rPr>
              <w:t>107%</w:t>
            </w:r>
          </w:p>
        </w:tc>
        <w:tc>
          <w:tcPr>
            <w:tcW w:w="0" w:type="auto"/>
            <w:shd w:val="clear" w:color="auto" w:fill="auto"/>
            <w:vAlign w:val="center"/>
          </w:tcPr>
          <w:p w14:paraId="7ECE5AA2" w14:textId="77777777" w:rsidR="00050FB4" w:rsidRDefault="00050FB4" w:rsidP="00050FB4">
            <w:pPr>
              <w:jc w:val="center"/>
              <w:rPr>
                <w:rFonts w:cs="Calibri"/>
                <w:sz w:val="16"/>
                <w:szCs w:val="18"/>
              </w:rPr>
            </w:pPr>
            <w:r>
              <w:rPr>
                <w:rFonts w:cs="Calibri"/>
                <w:sz w:val="16"/>
                <w:szCs w:val="18"/>
              </w:rPr>
              <w:t>61%</w:t>
            </w:r>
          </w:p>
          <w:p w14:paraId="4D780065"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158</w:t>
            </w:r>
            <w:r>
              <w:rPr>
                <w:rFonts w:cs="Calibri"/>
                <w:sz w:val="16"/>
                <w:szCs w:val="18"/>
              </w:rPr>
              <w:t>)</w:t>
            </w:r>
          </w:p>
        </w:tc>
        <w:tc>
          <w:tcPr>
            <w:tcW w:w="0" w:type="auto"/>
            <w:shd w:val="clear" w:color="auto" w:fill="auto"/>
            <w:vAlign w:val="center"/>
          </w:tcPr>
          <w:p w14:paraId="0FB41329" w14:textId="77777777" w:rsidR="00050FB4" w:rsidRPr="00404DA5" w:rsidRDefault="00050FB4" w:rsidP="00050FB4">
            <w:pPr>
              <w:jc w:val="center"/>
              <w:rPr>
                <w:rFonts w:cs="Calibri"/>
                <w:sz w:val="16"/>
                <w:szCs w:val="18"/>
              </w:rPr>
            </w:pPr>
            <w:r w:rsidRPr="00404DA5">
              <w:rPr>
                <w:rFonts w:cs="Calibri"/>
                <w:sz w:val="16"/>
                <w:szCs w:val="18"/>
              </w:rPr>
              <w:t>66%</w:t>
            </w:r>
          </w:p>
        </w:tc>
      </w:tr>
      <w:tr w:rsidR="00050FB4" w:rsidRPr="0022151F" w14:paraId="346558D3" w14:textId="77777777" w:rsidTr="00050FB4">
        <w:tc>
          <w:tcPr>
            <w:tcW w:w="0" w:type="auto"/>
            <w:shd w:val="clear" w:color="auto" w:fill="auto"/>
            <w:vAlign w:val="center"/>
          </w:tcPr>
          <w:p w14:paraId="341F26A3"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2A1A077E"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439E432A" w14:textId="77777777" w:rsidR="00050FB4" w:rsidRPr="00404DA5" w:rsidRDefault="00050FB4" w:rsidP="00050FB4">
            <w:pPr>
              <w:jc w:val="center"/>
              <w:rPr>
                <w:rFonts w:cs="Calibri"/>
                <w:sz w:val="16"/>
                <w:szCs w:val="18"/>
              </w:rPr>
            </w:pPr>
            <w:r w:rsidRPr="00404DA5">
              <w:rPr>
                <w:rFonts w:cs="Calibri"/>
                <w:sz w:val="16"/>
                <w:szCs w:val="18"/>
              </w:rPr>
              <w:t>Liczba osób uczestniczących</w:t>
            </w:r>
            <w:r w:rsidR="00E66B89">
              <w:rPr>
                <w:rFonts w:cs="Calibri"/>
                <w:sz w:val="16"/>
                <w:szCs w:val="18"/>
              </w:rPr>
              <w:t xml:space="preserve"> w </w:t>
            </w:r>
            <w:r w:rsidRPr="00404DA5">
              <w:rPr>
                <w:rFonts w:cs="Calibri"/>
                <w:sz w:val="16"/>
                <w:szCs w:val="18"/>
              </w:rPr>
              <w:t>pozaszkolnych formach kształcenia</w:t>
            </w:r>
            <w:r w:rsidR="00E66B89">
              <w:rPr>
                <w:rFonts w:cs="Calibri"/>
                <w:sz w:val="16"/>
                <w:szCs w:val="18"/>
              </w:rPr>
              <w:t xml:space="preserve"> w </w:t>
            </w:r>
            <w:r w:rsidRPr="00404DA5">
              <w:rPr>
                <w:rFonts w:cs="Calibri"/>
                <w:sz w:val="16"/>
                <w:szCs w:val="18"/>
              </w:rPr>
              <w:t>programie [osoby]</w:t>
            </w:r>
          </w:p>
        </w:tc>
        <w:tc>
          <w:tcPr>
            <w:tcW w:w="0" w:type="auto"/>
            <w:shd w:val="clear" w:color="auto" w:fill="auto"/>
            <w:vAlign w:val="center"/>
          </w:tcPr>
          <w:p w14:paraId="29838CA8" w14:textId="77777777" w:rsidR="00050FB4" w:rsidRPr="00404DA5" w:rsidRDefault="00050FB4" w:rsidP="00050FB4">
            <w:pPr>
              <w:jc w:val="center"/>
              <w:rPr>
                <w:rFonts w:cs="Calibri"/>
                <w:sz w:val="16"/>
                <w:szCs w:val="18"/>
              </w:rPr>
            </w:pPr>
            <w:r w:rsidRPr="00404DA5">
              <w:rPr>
                <w:rFonts w:cs="Calibri"/>
                <w:sz w:val="16"/>
                <w:szCs w:val="18"/>
              </w:rPr>
              <w:t>Os.</w:t>
            </w:r>
          </w:p>
        </w:tc>
        <w:tc>
          <w:tcPr>
            <w:tcW w:w="0" w:type="auto"/>
            <w:shd w:val="clear" w:color="auto" w:fill="auto"/>
            <w:vAlign w:val="center"/>
          </w:tcPr>
          <w:p w14:paraId="36B7E02C" w14:textId="77777777" w:rsidR="00050FB4" w:rsidRPr="00404DA5" w:rsidRDefault="00050FB4" w:rsidP="00050FB4">
            <w:pPr>
              <w:jc w:val="center"/>
              <w:rPr>
                <w:rFonts w:cs="Calibri"/>
                <w:sz w:val="16"/>
                <w:szCs w:val="18"/>
              </w:rPr>
            </w:pPr>
            <w:r w:rsidRPr="00404DA5">
              <w:rPr>
                <w:rFonts w:cs="Calibri"/>
                <w:sz w:val="16"/>
                <w:szCs w:val="18"/>
              </w:rPr>
              <w:t>11752</w:t>
            </w:r>
          </w:p>
        </w:tc>
        <w:tc>
          <w:tcPr>
            <w:tcW w:w="0" w:type="auto"/>
            <w:shd w:val="clear" w:color="auto" w:fill="auto"/>
            <w:vAlign w:val="center"/>
          </w:tcPr>
          <w:p w14:paraId="471FDB57" w14:textId="77777777" w:rsidR="00050FB4" w:rsidRPr="00404DA5" w:rsidRDefault="00050FB4" w:rsidP="00050FB4">
            <w:pPr>
              <w:jc w:val="center"/>
              <w:rPr>
                <w:rFonts w:cs="Calibri"/>
                <w:sz w:val="16"/>
                <w:szCs w:val="18"/>
              </w:rPr>
            </w:pPr>
            <w:r w:rsidRPr="00404DA5">
              <w:rPr>
                <w:rFonts w:cs="Calibri"/>
                <w:sz w:val="16"/>
                <w:szCs w:val="18"/>
              </w:rPr>
              <w:t>23633</w:t>
            </w:r>
          </w:p>
        </w:tc>
        <w:tc>
          <w:tcPr>
            <w:tcW w:w="0" w:type="auto"/>
            <w:shd w:val="clear" w:color="auto" w:fill="auto"/>
            <w:vAlign w:val="center"/>
          </w:tcPr>
          <w:p w14:paraId="2C2E6CE7" w14:textId="77777777" w:rsidR="00050FB4" w:rsidRPr="00404DA5" w:rsidRDefault="00050FB4" w:rsidP="00050FB4">
            <w:pPr>
              <w:jc w:val="center"/>
              <w:rPr>
                <w:rFonts w:cs="Calibri"/>
                <w:sz w:val="16"/>
                <w:szCs w:val="18"/>
              </w:rPr>
            </w:pPr>
            <w:r w:rsidRPr="00404DA5">
              <w:rPr>
                <w:rFonts w:cs="Calibri"/>
                <w:sz w:val="16"/>
                <w:szCs w:val="18"/>
              </w:rPr>
              <w:t>201%</w:t>
            </w:r>
          </w:p>
        </w:tc>
        <w:tc>
          <w:tcPr>
            <w:tcW w:w="0" w:type="auto"/>
            <w:shd w:val="clear" w:color="auto" w:fill="auto"/>
            <w:vAlign w:val="center"/>
          </w:tcPr>
          <w:p w14:paraId="0C149AA9" w14:textId="77777777" w:rsidR="00050FB4" w:rsidRPr="00404DA5" w:rsidRDefault="00050FB4" w:rsidP="00050FB4">
            <w:pPr>
              <w:jc w:val="center"/>
              <w:rPr>
                <w:rFonts w:cs="Calibri"/>
                <w:sz w:val="16"/>
                <w:szCs w:val="18"/>
              </w:rPr>
            </w:pPr>
            <w:r w:rsidRPr="00404DA5">
              <w:rPr>
                <w:rFonts w:cs="Calibri"/>
                <w:sz w:val="16"/>
                <w:szCs w:val="18"/>
              </w:rPr>
              <w:t>8239</w:t>
            </w:r>
          </w:p>
        </w:tc>
        <w:tc>
          <w:tcPr>
            <w:tcW w:w="0" w:type="auto"/>
            <w:shd w:val="clear" w:color="auto" w:fill="auto"/>
            <w:vAlign w:val="center"/>
          </w:tcPr>
          <w:p w14:paraId="0D7DF67A" w14:textId="77777777" w:rsidR="00050FB4" w:rsidRPr="00404DA5" w:rsidRDefault="00050FB4" w:rsidP="00050FB4">
            <w:pPr>
              <w:jc w:val="center"/>
              <w:rPr>
                <w:rFonts w:cs="Calibri"/>
                <w:sz w:val="16"/>
                <w:szCs w:val="18"/>
              </w:rPr>
            </w:pPr>
            <w:r w:rsidRPr="00404DA5">
              <w:rPr>
                <w:rFonts w:cs="Calibri"/>
                <w:sz w:val="16"/>
                <w:szCs w:val="18"/>
              </w:rPr>
              <w:t>70%</w:t>
            </w:r>
          </w:p>
        </w:tc>
      </w:tr>
      <w:tr w:rsidR="00050FB4" w:rsidRPr="0022151F" w14:paraId="4D5B64A6" w14:textId="77777777" w:rsidTr="00050FB4">
        <w:tc>
          <w:tcPr>
            <w:tcW w:w="0" w:type="auto"/>
            <w:shd w:val="clear" w:color="auto" w:fill="auto"/>
            <w:vAlign w:val="center"/>
          </w:tcPr>
          <w:p w14:paraId="2F0D5A77"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2E544978"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729349F2" w14:textId="77777777" w:rsidR="00050FB4" w:rsidRPr="00404DA5" w:rsidRDefault="00050FB4" w:rsidP="00050FB4">
            <w:pPr>
              <w:jc w:val="center"/>
              <w:rPr>
                <w:rFonts w:cs="Calibri"/>
                <w:sz w:val="16"/>
                <w:szCs w:val="18"/>
              </w:rPr>
            </w:pPr>
            <w:r w:rsidRPr="00404DA5">
              <w:rPr>
                <w:rFonts w:cs="Calibri"/>
                <w:sz w:val="16"/>
                <w:szCs w:val="18"/>
              </w:rPr>
              <w:t>Liczba podmiotów realizujących zadania centrum kształcenia zawodowego</w:t>
            </w:r>
            <w:r w:rsidR="00E66B89">
              <w:rPr>
                <w:rFonts w:cs="Calibri"/>
                <w:sz w:val="16"/>
                <w:szCs w:val="18"/>
              </w:rPr>
              <w:t xml:space="preserve"> i </w:t>
            </w:r>
            <w:r w:rsidRPr="00404DA5">
              <w:rPr>
                <w:rFonts w:cs="Calibri"/>
                <w:sz w:val="16"/>
                <w:szCs w:val="18"/>
              </w:rPr>
              <w:t>ustawicznego objętych wsparciem</w:t>
            </w:r>
            <w:r w:rsidR="00E66B89">
              <w:rPr>
                <w:rFonts w:cs="Calibri"/>
                <w:sz w:val="16"/>
                <w:szCs w:val="18"/>
              </w:rPr>
              <w:t xml:space="preserve"> w </w:t>
            </w:r>
            <w:r w:rsidRPr="00404DA5">
              <w:rPr>
                <w:rFonts w:cs="Calibri"/>
                <w:sz w:val="16"/>
                <w:szCs w:val="18"/>
              </w:rPr>
              <w:t>programie [szt.]</w:t>
            </w:r>
          </w:p>
        </w:tc>
        <w:tc>
          <w:tcPr>
            <w:tcW w:w="0" w:type="auto"/>
            <w:shd w:val="clear" w:color="auto" w:fill="auto"/>
            <w:vAlign w:val="center"/>
          </w:tcPr>
          <w:p w14:paraId="1788C273" w14:textId="77777777" w:rsidR="00050FB4" w:rsidRPr="00404DA5" w:rsidRDefault="00050FB4" w:rsidP="00050FB4">
            <w:pPr>
              <w:jc w:val="center"/>
              <w:rPr>
                <w:rFonts w:cs="Calibri"/>
                <w:sz w:val="16"/>
                <w:szCs w:val="18"/>
              </w:rPr>
            </w:pPr>
            <w:r w:rsidRPr="00404DA5">
              <w:rPr>
                <w:rFonts w:cs="Calibri"/>
                <w:sz w:val="16"/>
                <w:szCs w:val="18"/>
              </w:rPr>
              <w:t>Szt.</w:t>
            </w:r>
          </w:p>
        </w:tc>
        <w:tc>
          <w:tcPr>
            <w:tcW w:w="0" w:type="auto"/>
            <w:shd w:val="clear" w:color="auto" w:fill="auto"/>
            <w:vAlign w:val="center"/>
          </w:tcPr>
          <w:p w14:paraId="7498813A" w14:textId="77777777" w:rsidR="00050FB4" w:rsidRPr="00404DA5" w:rsidRDefault="00050FB4" w:rsidP="00050FB4">
            <w:pPr>
              <w:jc w:val="center"/>
              <w:rPr>
                <w:rFonts w:cs="Calibri"/>
                <w:sz w:val="16"/>
                <w:szCs w:val="18"/>
              </w:rPr>
            </w:pPr>
            <w:r w:rsidRPr="00404DA5">
              <w:rPr>
                <w:rFonts w:cs="Calibri"/>
                <w:sz w:val="16"/>
                <w:szCs w:val="18"/>
              </w:rPr>
              <w:t>12</w:t>
            </w:r>
          </w:p>
        </w:tc>
        <w:tc>
          <w:tcPr>
            <w:tcW w:w="0" w:type="auto"/>
            <w:shd w:val="clear" w:color="auto" w:fill="auto"/>
            <w:vAlign w:val="center"/>
          </w:tcPr>
          <w:p w14:paraId="19A28AE7" w14:textId="77777777" w:rsidR="00050FB4" w:rsidRPr="00404DA5" w:rsidRDefault="00050FB4" w:rsidP="00050FB4">
            <w:pPr>
              <w:jc w:val="center"/>
              <w:rPr>
                <w:rFonts w:cs="Calibri"/>
                <w:sz w:val="16"/>
                <w:szCs w:val="18"/>
              </w:rPr>
            </w:pPr>
            <w:r w:rsidRPr="00404DA5">
              <w:rPr>
                <w:rFonts w:cs="Calibri"/>
                <w:sz w:val="16"/>
                <w:szCs w:val="18"/>
              </w:rPr>
              <w:t>30</w:t>
            </w:r>
          </w:p>
        </w:tc>
        <w:tc>
          <w:tcPr>
            <w:tcW w:w="0" w:type="auto"/>
            <w:shd w:val="clear" w:color="auto" w:fill="auto"/>
            <w:vAlign w:val="center"/>
          </w:tcPr>
          <w:p w14:paraId="0BB78B13" w14:textId="77777777" w:rsidR="00050FB4" w:rsidRPr="00404DA5" w:rsidRDefault="00050FB4" w:rsidP="00050FB4">
            <w:pPr>
              <w:jc w:val="center"/>
              <w:rPr>
                <w:rFonts w:cs="Calibri"/>
                <w:sz w:val="16"/>
                <w:szCs w:val="18"/>
              </w:rPr>
            </w:pPr>
            <w:r w:rsidRPr="00404DA5">
              <w:rPr>
                <w:rFonts w:cs="Calibri"/>
                <w:sz w:val="16"/>
                <w:szCs w:val="18"/>
              </w:rPr>
              <w:t>250%</w:t>
            </w:r>
          </w:p>
        </w:tc>
        <w:tc>
          <w:tcPr>
            <w:tcW w:w="0" w:type="auto"/>
            <w:shd w:val="clear" w:color="auto" w:fill="auto"/>
            <w:vAlign w:val="center"/>
          </w:tcPr>
          <w:p w14:paraId="1B5F1280" w14:textId="77777777" w:rsidR="00050FB4" w:rsidRPr="00404DA5" w:rsidRDefault="00050FB4" w:rsidP="00050FB4">
            <w:pPr>
              <w:jc w:val="center"/>
              <w:rPr>
                <w:rFonts w:cs="Calibri"/>
                <w:sz w:val="16"/>
                <w:szCs w:val="18"/>
              </w:rPr>
            </w:pPr>
            <w:r w:rsidRPr="00404DA5">
              <w:rPr>
                <w:rFonts w:cs="Calibri"/>
                <w:sz w:val="16"/>
                <w:szCs w:val="18"/>
              </w:rPr>
              <w:t>21</w:t>
            </w:r>
          </w:p>
        </w:tc>
        <w:tc>
          <w:tcPr>
            <w:tcW w:w="0" w:type="auto"/>
            <w:shd w:val="clear" w:color="auto" w:fill="auto"/>
            <w:vAlign w:val="center"/>
          </w:tcPr>
          <w:p w14:paraId="29556DA0" w14:textId="77777777" w:rsidR="00050FB4" w:rsidRPr="00404DA5" w:rsidRDefault="00050FB4" w:rsidP="00050FB4">
            <w:pPr>
              <w:jc w:val="center"/>
              <w:rPr>
                <w:rFonts w:cs="Calibri"/>
                <w:sz w:val="16"/>
                <w:szCs w:val="18"/>
              </w:rPr>
            </w:pPr>
            <w:r w:rsidRPr="00404DA5">
              <w:rPr>
                <w:rFonts w:cs="Calibri"/>
                <w:sz w:val="16"/>
                <w:szCs w:val="18"/>
              </w:rPr>
              <w:t>175%</w:t>
            </w:r>
          </w:p>
        </w:tc>
      </w:tr>
      <w:tr w:rsidR="00050FB4" w:rsidRPr="0022151F" w14:paraId="49D09EFC" w14:textId="77777777" w:rsidTr="00050FB4">
        <w:tc>
          <w:tcPr>
            <w:tcW w:w="0" w:type="auto"/>
            <w:shd w:val="clear" w:color="auto" w:fill="auto"/>
            <w:vAlign w:val="center"/>
          </w:tcPr>
          <w:p w14:paraId="4630FFC2" w14:textId="77777777" w:rsidR="00050FB4" w:rsidRPr="00404DA5" w:rsidRDefault="00050FB4" w:rsidP="00050FB4">
            <w:pPr>
              <w:jc w:val="center"/>
              <w:rPr>
                <w:sz w:val="16"/>
                <w:szCs w:val="18"/>
              </w:rPr>
            </w:pPr>
            <w:r w:rsidRPr="00404DA5">
              <w:rPr>
                <w:sz w:val="16"/>
                <w:szCs w:val="18"/>
              </w:rPr>
              <w:lastRenderedPageBreak/>
              <w:t>WP</w:t>
            </w:r>
          </w:p>
        </w:tc>
        <w:tc>
          <w:tcPr>
            <w:tcW w:w="0" w:type="auto"/>
            <w:shd w:val="clear" w:color="auto" w:fill="auto"/>
            <w:vAlign w:val="center"/>
          </w:tcPr>
          <w:p w14:paraId="60D08BF1"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3B958DEB" w14:textId="77777777" w:rsidR="00050FB4" w:rsidRPr="00404DA5" w:rsidRDefault="00050FB4" w:rsidP="00050FB4">
            <w:pPr>
              <w:jc w:val="cente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kształcenia zawodowego doposażonych</w:t>
            </w:r>
            <w:r w:rsidR="00E66B89">
              <w:rPr>
                <w:rFonts w:cs="Calibri"/>
                <w:sz w:val="16"/>
                <w:szCs w:val="18"/>
              </w:rPr>
              <w:t xml:space="preserve"> w </w:t>
            </w:r>
            <w:r w:rsidRPr="00404DA5">
              <w:rPr>
                <w:rFonts w:cs="Calibri"/>
                <w:sz w:val="16"/>
                <w:szCs w:val="18"/>
              </w:rPr>
              <w:t>programie</w:t>
            </w:r>
            <w:r w:rsidR="00E66B89">
              <w:rPr>
                <w:rFonts w:cs="Calibri"/>
                <w:sz w:val="16"/>
                <w:szCs w:val="18"/>
              </w:rPr>
              <w:t xml:space="preserve"> w </w:t>
            </w:r>
            <w:r w:rsidRPr="00404DA5">
              <w:rPr>
                <w:rFonts w:cs="Calibri"/>
                <w:sz w:val="16"/>
                <w:szCs w:val="18"/>
              </w:rPr>
              <w:t>sprzęt</w:t>
            </w:r>
            <w:r w:rsidR="00E66B89">
              <w:rPr>
                <w:rFonts w:cs="Calibri"/>
                <w:sz w:val="16"/>
                <w:szCs w:val="18"/>
              </w:rPr>
              <w:t xml:space="preserve"> i </w:t>
            </w:r>
            <w:r w:rsidRPr="00404DA5">
              <w:rPr>
                <w:rFonts w:cs="Calibri"/>
                <w:sz w:val="16"/>
                <w:szCs w:val="18"/>
              </w:rPr>
              <w:t>materiały dydaktyczne niezbędne do realizacji kształcenia zawodowego [szt.]</w:t>
            </w:r>
          </w:p>
        </w:tc>
        <w:tc>
          <w:tcPr>
            <w:tcW w:w="0" w:type="auto"/>
            <w:shd w:val="clear" w:color="auto" w:fill="auto"/>
            <w:vAlign w:val="center"/>
          </w:tcPr>
          <w:p w14:paraId="73724364" w14:textId="77777777" w:rsidR="00050FB4" w:rsidRPr="00404DA5" w:rsidRDefault="00050FB4" w:rsidP="00050FB4">
            <w:pPr>
              <w:jc w:val="center"/>
              <w:rPr>
                <w:rFonts w:cs="Calibri"/>
                <w:sz w:val="16"/>
                <w:szCs w:val="18"/>
              </w:rPr>
            </w:pPr>
            <w:r w:rsidRPr="00404DA5">
              <w:rPr>
                <w:rFonts w:cs="Calibri"/>
                <w:sz w:val="16"/>
                <w:szCs w:val="18"/>
              </w:rPr>
              <w:t>Szt.</w:t>
            </w:r>
          </w:p>
        </w:tc>
        <w:tc>
          <w:tcPr>
            <w:tcW w:w="0" w:type="auto"/>
            <w:shd w:val="clear" w:color="auto" w:fill="auto"/>
            <w:vAlign w:val="center"/>
          </w:tcPr>
          <w:p w14:paraId="01903710" w14:textId="77777777" w:rsidR="00050FB4" w:rsidRPr="00404DA5" w:rsidRDefault="00050FB4" w:rsidP="00050FB4">
            <w:pPr>
              <w:jc w:val="center"/>
              <w:rPr>
                <w:rFonts w:cs="Calibri"/>
                <w:sz w:val="16"/>
                <w:szCs w:val="18"/>
              </w:rPr>
            </w:pPr>
            <w:r w:rsidRPr="00404DA5">
              <w:rPr>
                <w:rFonts w:cs="Calibri"/>
                <w:sz w:val="16"/>
                <w:szCs w:val="18"/>
              </w:rPr>
              <w:t>92</w:t>
            </w:r>
          </w:p>
        </w:tc>
        <w:tc>
          <w:tcPr>
            <w:tcW w:w="0" w:type="auto"/>
            <w:shd w:val="clear" w:color="auto" w:fill="auto"/>
            <w:vAlign w:val="center"/>
          </w:tcPr>
          <w:p w14:paraId="149D0B4D" w14:textId="77777777" w:rsidR="00050FB4" w:rsidRPr="00404DA5" w:rsidRDefault="00050FB4" w:rsidP="00050FB4">
            <w:pPr>
              <w:jc w:val="center"/>
              <w:rPr>
                <w:rFonts w:cs="Calibri"/>
                <w:sz w:val="16"/>
                <w:szCs w:val="18"/>
              </w:rPr>
            </w:pPr>
            <w:r w:rsidRPr="00404DA5">
              <w:rPr>
                <w:rFonts w:cs="Calibri"/>
                <w:sz w:val="16"/>
                <w:szCs w:val="18"/>
              </w:rPr>
              <w:t>152</w:t>
            </w:r>
          </w:p>
        </w:tc>
        <w:tc>
          <w:tcPr>
            <w:tcW w:w="0" w:type="auto"/>
            <w:shd w:val="clear" w:color="auto" w:fill="auto"/>
            <w:vAlign w:val="center"/>
          </w:tcPr>
          <w:p w14:paraId="67C73C13" w14:textId="77777777" w:rsidR="00050FB4" w:rsidRPr="00404DA5" w:rsidRDefault="00050FB4" w:rsidP="00050FB4">
            <w:pPr>
              <w:jc w:val="center"/>
              <w:rPr>
                <w:rFonts w:cs="Calibri"/>
                <w:sz w:val="16"/>
                <w:szCs w:val="18"/>
              </w:rPr>
            </w:pPr>
            <w:r w:rsidRPr="00404DA5">
              <w:rPr>
                <w:rFonts w:cs="Calibri"/>
                <w:sz w:val="16"/>
                <w:szCs w:val="18"/>
              </w:rPr>
              <w:t>165%</w:t>
            </w:r>
          </w:p>
        </w:tc>
        <w:tc>
          <w:tcPr>
            <w:tcW w:w="0" w:type="auto"/>
            <w:shd w:val="clear" w:color="auto" w:fill="auto"/>
            <w:vAlign w:val="center"/>
          </w:tcPr>
          <w:p w14:paraId="61588598" w14:textId="77777777" w:rsidR="00050FB4" w:rsidRPr="00404DA5" w:rsidRDefault="00050FB4" w:rsidP="00050FB4">
            <w:pPr>
              <w:jc w:val="center"/>
              <w:rPr>
                <w:rFonts w:cs="Calibri"/>
                <w:sz w:val="16"/>
                <w:szCs w:val="18"/>
              </w:rPr>
            </w:pPr>
            <w:r w:rsidRPr="00404DA5">
              <w:rPr>
                <w:rFonts w:cs="Calibri"/>
                <w:sz w:val="16"/>
                <w:szCs w:val="18"/>
              </w:rPr>
              <w:t>98</w:t>
            </w:r>
          </w:p>
        </w:tc>
        <w:tc>
          <w:tcPr>
            <w:tcW w:w="0" w:type="auto"/>
            <w:shd w:val="clear" w:color="auto" w:fill="auto"/>
            <w:vAlign w:val="center"/>
          </w:tcPr>
          <w:p w14:paraId="1C0A14E7" w14:textId="77777777" w:rsidR="00050FB4" w:rsidRPr="00404DA5" w:rsidRDefault="00050FB4" w:rsidP="00050FB4">
            <w:pPr>
              <w:jc w:val="center"/>
              <w:rPr>
                <w:rFonts w:cs="Calibri"/>
                <w:sz w:val="16"/>
                <w:szCs w:val="18"/>
              </w:rPr>
            </w:pPr>
            <w:r w:rsidRPr="00404DA5">
              <w:rPr>
                <w:rFonts w:cs="Calibri"/>
                <w:sz w:val="16"/>
                <w:szCs w:val="18"/>
              </w:rPr>
              <w:t>107%</w:t>
            </w:r>
          </w:p>
        </w:tc>
      </w:tr>
      <w:tr w:rsidR="00050FB4" w:rsidRPr="0022151F" w14:paraId="0B727392" w14:textId="77777777" w:rsidTr="00050FB4">
        <w:tc>
          <w:tcPr>
            <w:tcW w:w="0" w:type="auto"/>
            <w:shd w:val="clear" w:color="auto" w:fill="auto"/>
            <w:vAlign w:val="center"/>
          </w:tcPr>
          <w:p w14:paraId="637004CF"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5B755C2E"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405E2887" w14:textId="77777777" w:rsidR="00050FB4" w:rsidRPr="00404DA5" w:rsidRDefault="00050FB4" w:rsidP="00050FB4">
            <w:pPr>
              <w:jc w:val="center"/>
              <w:rPr>
                <w:rFonts w:cs="Calibri"/>
                <w:sz w:val="16"/>
                <w:szCs w:val="18"/>
              </w:rPr>
            </w:pPr>
            <w:r w:rsidRPr="00404DA5">
              <w:rPr>
                <w:rFonts w:cs="Calibri"/>
                <w:sz w:val="16"/>
                <w:szCs w:val="18"/>
              </w:rPr>
              <w:t>Liczba uczniów szkół</w:t>
            </w:r>
            <w:r w:rsidR="00E66B89">
              <w:rPr>
                <w:rFonts w:cs="Calibri"/>
                <w:sz w:val="16"/>
                <w:szCs w:val="18"/>
              </w:rPr>
              <w:t xml:space="preserve"> i </w:t>
            </w:r>
            <w:r w:rsidRPr="00404DA5">
              <w:rPr>
                <w:rFonts w:cs="Calibri"/>
                <w:sz w:val="16"/>
                <w:szCs w:val="18"/>
              </w:rPr>
              <w:t>placówek kształcenia zawodowego uczestniczących</w:t>
            </w:r>
            <w:r w:rsidR="00E66B89">
              <w:rPr>
                <w:rFonts w:cs="Calibri"/>
                <w:sz w:val="16"/>
                <w:szCs w:val="18"/>
              </w:rPr>
              <w:t xml:space="preserve"> w </w:t>
            </w:r>
            <w:r w:rsidRPr="00404DA5">
              <w:rPr>
                <w:rFonts w:cs="Calibri"/>
                <w:sz w:val="16"/>
                <w:szCs w:val="18"/>
              </w:rPr>
              <w:t>stażach</w:t>
            </w:r>
            <w:r w:rsidR="00E66B89">
              <w:rPr>
                <w:rFonts w:cs="Calibri"/>
                <w:sz w:val="16"/>
                <w:szCs w:val="18"/>
              </w:rPr>
              <w:t xml:space="preserve"> i </w:t>
            </w:r>
            <w:r w:rsidRPr="00404DA5">
              <w:rPr>
                <w:rFonts w:cs="Calibri"/>
                <w:sz w:val="16"/>
                <w:szCs w:val="18"/>
              </w:rPr>
              <w:t>praktykach</w:t>
            </w:r>
            <w:r w:rsidR="00E66B89">
              <w:rPr>
                <w:rFonts w:cs="Calibri"/>
                <w:sz w:val="16"/>
                <w:szCs w:val="18"/>
              </w:rPr>
              <w:t xml:space="preserve"> u </w:t>
            </w:r>
            <w:r w:rsidRPr="00404DA5">
              <w:rPr>
                <w:rFonts w:cs="Calibri"/>
                <w:sz w:val="16"/>
                <w:szCs w:val="18"/>
              </w:rPr>
              <w:t>pracodawcy [osoby]</w:t>
            </w:r>
          </w:p>
        </w:tc>
        <w:tc>
          <w:tcPr>
            <w:tcW w:w="0" w:type="auto"/>
            <w:shd w:val="clear" w:color="auto" w:fill="auto"/>
            <w:vAlign w:val="center"/>
          </w:tcPr>
          <w:p w14:paraId="77459862" w14:textId="77777777" w:rsidR="00050FB4" w:rsidRPr="00404DA5" w:rsidRDefault="00050FB4" w:rsidP="00050FB4">
            <w:pPr>
              <w:jc w:val="center"/>
              <w:rPr>
                <w:rFonts w:cs="Calibri"/>
                <w:sz w:val="16"/>
                <w:szCs w:val="18"/>
              </w:rPr>
            </w:pPr>
            <w:r w:rsidRPr="00404DA5">
              <w:rPr>
                <w:rFonts w:cs="Calibri"/>
                <w:sz w:val="16"/>
                <w:szCs w:val="18"/>
              </w:rPr>
              <w:t>Os.</w:t>
            </w:r>
          </w:p>
        </w:tc>
        <w:tc>
          <w:tcPr>
            <w:tcW w:w="0" w:type="auto"/>
            <w:shd w:val="clear" w:color="auto" w:fill="auto"/>
            <w:vAlign w:val="center"/>
          </w:tcPr>
          <w:p w14:paraId="43F3E388" w14:textId="77777777" w:rsidR="00050FB4" w:rsidRPr="00404DA5" w:rsidRDefault="00050FB4" w:rsidP="00050FB4">
            <w:pPr>
              <w:jc w:val="center"/>
              <w:rPr>
                <w:rFonts w:cs="Calibri"/>
                <w:sz w:val="16"/>
                <w:szCs w:val="18"/>
              </w:rPr>
            </w:pPr>
            <w:r w:rsidRPr="00404DA5">
              <w:rPr>
                <w:rFonts w:cs="Calibri"/>
                <w:sz w:val="16"/>
                <w:szCs w:val="18"/>
              </w:rPr>
              <w:t>12943</w:t>
            </w:r>
          </w:p>
        </w:tc>
        <w:tc>
          <w:tcPr>
            <w:tcW w:w="0" w:type="auto"/>
            <w:shd w:val="clear" w:color="auto" w:fill="auto"/>
            <w:vAlign w:val="center"/>
          </w:tcPr>
          <w:p w14:paraId="7E6CC307" w14:textId="77777777" w:rsidR="00050FB4" w:rsidRPr="00404DA5" w:rsidRDefault="00050FB4" w:rsidP="00050FB4">
            <w:pPr>
              <w:jc w:val="center"/>
              <w:rPr>
                <w:rFonts w:cs="Calibri"/>
                <w:sz w:val="16"/>
                <w:szCs w:val="18"/>
              </w:rPr>
            </w:pPr>
            <w:r w:rsidRPr="00404DA5">
              <w:rPr>
                <w:rFonts w:cs="Calibri"/>
                <w:sz w:val="16"/>
                <w:szCs w:val="18"/>
              </w:rPr>
              <w:t>11149</w:t>
            </w:r>
          </w:p>
        </w:tc>
        <w:tc>
          <w:tcPr>
            <w:tcW w:w="0" w:type="auto"/>
            <w:shd w:val="clear" w:color="auto" w:fill="auto"/>
            <w:vAlign w:val="center"/>
          </w:tcPr>
          <w:p w14:paraId="2D82CF97" w14:textId="77777777" w:rsidR="00050FB4" w:rsidRPr="00404DA5" w:rsidRDefault="00050FB4" w:rsidP="00050FB4">
            <w:pPr>
              <w:jc w:val="center"/>
              <w:rPr>
                <w:rFonts w:cs="Calibri"/>
                <w:sz w:val="16"/>
                <w:szCs w:val="18"/>
              </w:rPr>
            </w:pPr>
            <w:r w:rsidRPr="00404DA5">
              <w:rPr>
                <w:rFonts w:cs="Calibri"/>
                <w:sz w:val="16"/>
                <w:szCs w:val="18"/>
              </w:rPr>
              <w:t>86%</w:t>
            </w:r>
          </w:p>
        </w:tc>
        <w:tc>
          <w:tcPr>
            <w:tcW w:w="0" w:type="auto"/>
            <w:shd w:val="clear" w:color="auto" w:fill="auto"/>
            <w:vAlign w:val="center"/>
          </w:tcPr>
          <w:p w14:paraId="0E62AB00" w14:textId="77777777" w:rsidR="00050FB4" w:rsidRPr="00404DA5" w:rsidRDefault="00050FB4" w:rsidP="00050FB4">
            <w:pPr>
              <w:jc w:val="center"/>
              <w:rPr>
                <w:rFonts w:cs="Calibri"/>
                <w:sz w:val="16"/>
                <w:szCs w:val="18"/>
              </w:rPr>
            </w:pPr>
            <w:r w:rsidRPr="00404DA5">
              <w:rPr>
                <w:rFonts w:cs="Calibri"/>
                <w:sz w:val="16"/>
                <w:szCs w:val="18"/>
              </w:rPr>
              <w:t>3890</w:t>
            </w:r>
          </w:p>
        </w:tc>
        <w:tc>
          <w:tcPr>
            <w:tcW w:w="0" w:type="auto"/>
            <w:shd w:val="clear" w:color="auto" w:fill="auto"/>
            <w:vAlign w:val="center"/>
          </w:tcPr>
          <w:p w14:paraId="7A46DBFD" w14:textId="77777777" w:rsidR="00050FB4" w:rsidRPr="00404DA5" w:rsidRDefault="00050FB4" w:rsidP="00050FB4">
            <w:pPr>
              <w:jc w:val="center"/>
              <w:rPr>
                <w:rFonts w:cs="Calibri"/>
                <w:sz w:val="16"/>
                <w:szCs w:val="18"/>
              </w:rPr>
            </w:pPr>
            <w:r w:rsidRPr="00404DA5">
              <w:rPr>
                <w:rFonts w:cs="Calibri"/>
                <w:sz w:val="16"/>
                <w:szCs w:val="18"/>
              </w:rPr>
              <w:t>30%</w:t>
            </w:r>
          </w:p>
        </w:tc>
      </w:tr>
      <w:tr w:rsidR="00050FB4" w:rsidRPr="0022151F" w14:paraId="66F1B101" w14:textId="77777777" w:rsidTr="00050FB4">
        <w:tc>
          <w:tcPr>
            <w:tcW w:w="0" w:type="auto"/>
            <w:shd w:val="clear" w:color="auto" w:fill="auto"/>
            <w:vAlign w:val="center"/>
          </w:tcPr>
          <w:p w14:paraId="40C868DA"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636B519A"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27267C0E" w14:textId="77777777" w:rsidR="00050FB4" w:rsidRPr="00404DA5" w:rsidRDefault="00050FB4" w:rsidP="00050FB4">
            <w:pPr>
              <w:jc w:val="center"/>
              <w:rPr>
                <w:rFonts w:cs="Calibri"/>
                <w:sz w:val="16"/>
                <w:szCs w:val="18"/>
              </w:rPr>
            </w:pPr>
            <w:r w:rsidRPr="00404DA5">
              <w:rPr>
                <w:rFonts w:cs="Calibri"/>
                <w:sz w:val="16"/>
                <w:szCs w:val="18"/>
              </w:rPr>
              <w:t>Liczba osób, które uzyskały kwalifikacje</w:t>
            </w:r>
            <w:r w:rsidR="00E66B89">
              <w:rPr>
                <w:rFonts w:cs="Calibri"/>
                <w:sz w:val="16"/>
                <w:szCs w:val="18"/>
              </w:rPr>
              <w:t xml:space="preserve"> w </w:t>
            </w:r>
            <w:r w:rsidRPr="00404DA5">
              <w:rPr>
                <w:rFonts w:cs="Calibri"/>
                <w:sz w:val="16"/>
                <w:szCs w:val="18"/>
              </w:rPr>
              <w:t>ramach pozaszkolnych form kształcenia [osoby]</w:t>
            </w:r>
          </w:p>
        </w:tc>
        <w:tc>
          <w:tcPr>
            <w:tcW w:w="0" w:type="auto"/>
            <w:shd w:val="clear" w:color="auto" w:fill="auto"/>
            <w:vAlign w:val="center"/>
          </w:tcPr>
          <w:p w14:paraId="0A71E946" w14:textId="77777777" w:rsidR="00050FB4" w:rsidRDefault="00050FB4" w:rsidP="00050FB4">
            <w:pPr>
              <w:jc w:val="center"/>
              <w:rPr>
                <w:rFonts w:cs="Calibri"/>
                <w:sz w:val="16"/>
                <w:szCs w:val="18"/>
              </w:rPr>
            </w:pPr>
            <w:r>
              <w:rPr>
                <w:rFonts w:cs="Calibri"/>
                <w:sz w:val="16"/>
                <w:szCs w:val="18"/>
              </w:rPr>
              <w:t>%</w:t>
            </w:r>
          </w:p>
          <w:p w14:paraId="4F0EE125"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Os.</w:t>
            </w:r>
            <w:r>
              <w:rPr>
                <w:rFonts w:cs="Calibri"/>
                <w:sz w:val="16"/>
                <w:szCs w:val="18"/>
              </w:rPr>
              <w:t>)</w:t>
            </w:r>
          </w:p>
        </w:tc>
        <w:tc>
          <w:tcPr>
            <w:tcW w:w="0" w:type="auto"/>
            <w:shd w:val="clear" w:color="auto" w:fill="auto"/>
            <w:vAlign w:val="center"/>
          </w:tcPr>
          <w:p w14:paraId="08E0238F" w14:textId="77777777" w:rsidR="00050FB4" w:rsidRPr="00404DA5" w:rsidRDefault="00050FB4" w:rsidP="00050FB4">
            <w:pPr>
              <w:jc w:val="center"/>
              <w:rPr>
                <w:rFonts w:cs="Calibri"/>
                <w:sz w:val="16"/>
                <w:szCs w:val="18"/>
              </w:rPr>
            </w:pPr>
            <w:r w:rsidRPr="00404DA5">
              <w:rPr>
                <w:rFonts w:cs="Calibri"/>
                <w:sz w:val="16"/>
                <w:szCs w:val="18"/>
              </w:rPr>
              <w:t>31%</w:t>
            </w:r>
          </w:p>
        </w:tc>
        <w:tc>
          <w:tcPr>
            <w:tcW w:w="0" w:type="auto"/>
            <w:shd w:val="clear" w:color="auto" w:fill="auto"/>
            <w:vAlign w:val="center"/>
          </w:tcPr>
          <w:p w14:paraId="19C0D3A2" w14:textId="77777777" w:rsidR="00050FB4" w:rsidRDefault="00050FB4" w:rsidP="00050FB4">
            <w:pPr>
              <w:jc w:val="center"/>
              <w:rPr>
                <w:rFonts w:cs="Calibri"/>
                <w:sz w:val="16"/>
                <w:szCs w:val="18"/>
              </w:rPr>
            </w:pPr>
            <w:r>
              <w:rPr>
                <w:rFonts w:cs="Calibri"/>
                <w:sz w:val="16"/>
                <w:szCs w:val="18"/>
              </w:rPr>
              <w:t>83%</w:t>
            </w:r>
          </w:p>
          <w:p w14:paraId="1583A78D"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19627</w:t>
            </w:r>
            <w:r>
              <w:rPr>
                <w:rFonts w:cs="Calibri"/>
                <w:sz w:val="16"/>
                <w:szCs w:val="18"/>
              </w:rPr>
              <w:t>)</w:t>
            </w:r>
          </w:p>
        </w:tc>
        <w:tc>
          <w:tcPr>
            <w:tcW w:w="0" w:type="auto"/>
            <w:shd w:val="clear" w:color="auto" w:fill="auto"/>
            <w:vAlign w:val="center"/>
          </w:tcPr>
          <w:p w14:paraId="76BF7A73" w14:textId="77777777" w:rsidR="00050FB4" w:rsidRPr="00404DA5" w:rsidRDefault="00050FB4" w:rsidP="00050FB4">
            <w:pPr>
              <w:jc w:val="center"/>
              <w:rPr>
                <w:rFonts w:cs="Calibri"/>
                <w:sz w:val="16"/>
                <w:szCs w:val="18"/>
              </w:rPr>
            </w:pPr>
            <w:r w:rsidRPr="00404DA5">
              <w:rPr>
                <w:rFonts w:cs="Calibri"/>
                <w:sz w:val="16"/>
                <w:szCs w:val="18"/>
              </w:rPr>
              <w:t>268%</w:t>
            </w:r>
          </w:p>
        </w:tc>
        <w:tc>
          <w:tcPr>
            <w:tcW w:w="0" w:type="auto"/>
            <w:shd w:val="clear" w:color="auto" w:fill="auto"/>
            <w:vAlign w:val="center"/>
          </w:tcPr>
          <w:p w14:paraId="2AC990C1" w14:textId="77777777" w:rsidR="00050FB4" w:rsidRDefault="00050FB4" w:rsidP="00050FB4">
            <w:pPr>
              <w:jc w:val="center"/>
              <w:rPr>
                <w:rFonts w:cs="Calibri"/>
                <w:sz w:val="16"/>
                <w:szCs w:val="18"/>
              </w:rPr>
            </w:pPr>
            <w:r>
              <w:rPr>
                <w:rFonts w:cs="Calibri"/>
                <w:sz w:val="16"/>
                <w:szCs w:val="18"/>
              </w:rPr>
              <w:t>52,7%</w:t>
            </w:r>
          </w:p>
          <w:p w14:paraId="11C30313" w14:textId="77777777" w:rsidR="00050FB4" w:rsidRPr="00404DA5" w:rsidRDefault="00050FB4" w:rsidP="00050FB4">
            <w:pPr>
              <w:jc w:val="center"/>
              <w:rPr>
                <w:rFonts w:cs="Calibri"/>
                <w:sz w:val="16"/>
                <w:szCs w:val="18"/>
              </w:rPr>
            </w:pPr>
            <w:r w:rsidRPr="00404DA5">
              <w:rPr>
                <w:rFonts w:cs="Calibri"/>
                <w:sz w:val="16"/>
                <w:szCs w:val="18"/>
              </w:rPr>
              <w:t>4339</w:t>
            </w:r>
          </w:p>
        </w:tc>
        <w:tc>
          <w:tcPr>
            <w:tcW w:w="0" w:type="auto"/>
            <w:shd w:val="clear" w:color="auto" w:fill="auto"/>
            <w:vAlign w:val="center"/>
          </w:tcPr>
          <w:p w14:paraId="0159A3E8" w14:textId="77777777" w:rsidR="00050FB4" w:rsidRPr="00404DA5" w:rsidRDefault="00050FB4" w:rsidP="00050FB4">
            <w:pPr>
              <w:jc w:val="center"/>
              <w:rPr>
                <w:rFonts w:cs="Calibri"/>
                <w:sz w:val="16"/>
                <w:szCs w:val="18"/>
              </w:rPr>
            </w:pPr>
            <w:r w:rsidRPr="00404DA5">
              <w:rPr>
                <w:rFonts w:cs="Calibri"/>
                <w:sz w:val="16"/>
                <w:szCs w:val="18"/>
              </w:rPr>
              <w:t>170%</w:t>
            </w:r>
          </w:p>
        </w:tc>
      </w:tr>
      <w:tr w:rsidR="00050FB4" w:rsidRPr="0022151F" w14:paraId="4C1DA784" w14:textId="77777777" w:rsidTr="00050FB4">
        <w:tc>
          <w:tcPr>
            <w:tcW w:w="0" w:type="auto"/>
            <w:shd w:val="clear" w:color="auto" w:fill="auto"/>
            <w:vAlign w:val="center"/>
          </w:tcPr>
          <w:p w14:paraId="61205645"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309A7161" w14:textId="77777777" w:rsidR="00050FB4" w:rsidRPr="00404DA5" w:rsidRDefault="00050FB4" w:rsidP="00050FB4">
            <w:pPr>
              <w:jc w:val="center"/>
              <w:rPr>
                <w:rFonts w:cs="Calibri"/>
                <w:sz w:val="16"/>
                <w:szCs w:val="18"/>
              </w:rPr>
            </w:pPr>
            <w:r w:rsidRPr="00404DA5">
              <w:rPr>
                <w:rFonts w:cs="Calibri"/>
                <w:sz w:val="16"/>
                <w:szCs w:val="18"/>
              </w:rPr>
              <w:t>8.6, 8.7, 8.8., 8.9</w:t>
            </w:r>
          </w:p>
        </w:tc>
        <w:tc>
          <w:tcPr>
            <w:tcW w:w="0" w:type="auto"/>
            <w:shd w:val="clear" w:color="auto" w:fill="auto"/>
            <w:vAlign w:val="center"/>
          </w:tcPr>
          <w:p w14:paraId="2FFC67B0" w14:textId="77777777" w:rsidR="00050FB4" w:rsidRPr="00404DA5" w:rsidRDefault="00050FB4" w:rsidP="00050FB4">
            <w:pPr>
              <w:jc w:val="center"/>
              <w:rPr>
                <w:rFonts w:cs="Calibri"/>
                <w:sz w:val="16"/>
                <w:szCs w:val="18"/>
              </w:rPr>
            </w:pPr>
            <w:r w:rsidRPr="00404DA5">
              <w:rPr>
                <w:rFonts w:cs="Calibri"/>
                <w:sz w:val="16"/>
                <w:szCs w:val="18"/>
              </w:rPr>
              <w:t>Liczba szkół</w:t>
            </w:r>
            <w:r w:rsidR="00E66B89">
              <w:rPr>
                <w:rFonts w:cs="Calibri"/>
                <w:sz w:val="16"/>
                <w:szCs w:val="18"/>
              </w:rPr>
              <w:t xml:space="preserve"> i </w:t>
            </w:r>
            <w:r w:rsidRPr="00404DA5">
              <w:rPr>
                <w:rFonts w:cs="Calibri"/>
                <w:sz w:val="16"/>
                <w:szCs w:val="18"/>
              </w:rPr>
              <w:t>placówek kształcenia zawodowego wykorzystujących doposażenie zakupione dzięki EFS [szt.]</w:t>
            </w:r>
          </w:p>
        </w:tc>
        <w:tc>
          <w:tcPr>
            <w:tcW w:w="0" w:type="auto"/>
            <w:shd w:val="clear" w:color="auto" w:fill="auto"/>
            <w:vAlign w:val="center"/>
          </w:tcPr>
          <w:p w14:paraId="01228F6D" w14:textId="77777777" w:rsidR="00050FB4" w:rsidRDefault="00050FB4" w:rsidP="00050FB4">
            <w:pPr>
              <w:jc w:val="center"/>
              <w:rPr>
                <w:rFonts w:cs="Calibri"/>
                <w:sz w:val="16"/>
                <w:szCs w:val="18"/>
              </w:rPr>
            </w:pPr>
            <w:r>
              <w:rPr>
                <w:rFonts w:cs="Calibri"/>
                <w:sz w:val="16"/>
                <w:szCs w:val="18"/>
              </w:rPr>
              <w:t>%</w:t>
            </w:r>
          </w:p>
          <w:p w14:paraId="25E4FCD3"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Szt.</w:t>
            </w:r>
            <w:r>
              <w:rPr>
                <w:rFonts w:cs="Calibri"/>
                <w:sz w:val="16"/>
                <w:szCs w:val="18"/>
              </w:rPr>
              <w:t>)</w:t>
            </w:r>
          </w:p>
        </w:tc>
        <w:tc>
          <w:tcPr>
            <w:tcW w:w="0" w:type="auto"/>
            <w:shd w:val="clear" w:color="auto" w:fill="auto"/>
            <w:vAlign w:val="center"/>
          </w:tcPr>
          <w:p w14:paraId="5CC3F548" w14:textId="77777777" w:rsidR="00050FB4" w:rsidRPr="00404DA5" w:rsidRDefault="00050FB4" w:rsidP="00050FB4">
            <w:pPr>
              <w:jc w:val="center"/>
              <w:rPr>
                <w:rFonts w:cs="Calibri"/>
                <w:sz w:val="16"/>
                <w:szCs w:val="18"/>
              </w:rPr>
            </w:pPr>
            <w:r w:rsidRPr="00404DA5">
              <w:rPr>
                <w:rFonts w:cs="Calibri"/>
                <w:sz w:val="16"/>
                <w:szCs w:val="18"/>
              </w:rPr>
              <w:t>97%</w:t>
            </w:r>
          </w:p>
        </w:tc>
        <w:tc>
          <w:tcPr>
            <w:tcW w:w="0" w:type="auto"/>
            <w:shd w:val="clear" w:color="auto" w:fill="auto"/>
            <w:vAlign w:val="center"/>
          </w:tcPr>
          <w:p w14:paraId="64A5AD33" w14:textId="77777777" w:rsidR="00050FB4" w:rsidRDefault="00050FB4" w:rsidP="00050FB4">
            <w:pPr>
              <w:jc w:val="center"/>
              <w:rPr>
                <w:rFonts w:cs="Calibri"/>
                <w:sz w:val="16"/>
                <w:szCs w:val="18"/>
              </w:rPr>
            </w:pPr>
            <w:r>
              <w:rPr>
                <w:rFonts w:cs="Calibri"/>
                <w:sz w:val="16"/>
                <w:szCs w:val="18"/>
              </w:rPr>
              <w:t>100%</w:t>
            </w:r>
          </w:p>
          <w:p w14:paraId="42F25E2F"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153</w:t>
            </w:r>
            <w:r>
              <w:rPr>
                <w:rFonts w:cs="Calibri"/>
                <w:sz w:val="16"/>
                <w:szCs w:val="18"/>
              </w:rPr>
              <w:t>)</w:t>
            </w:r>
          </w:p>
        </w:tc>
        <w:tc>
          <w:tcPr>
            <w:tcW w:w="0" w:type="auto"/>
            <w:shd w:val="clear" w:color="auto" w:fill="auto"/>
            <w:vAlign w:val="center"/>
          </w:tcPr>
          <w:p w14:paraId="6714170D" w14:textId="77777777" w:rsidR="00050FB4" w:rsidRPr="00404DA5" w:rsidRDefault="00050FB4" w:rsidP="00050FB4">
            <w:pPr>
              <w:jc w:val="center"/>
              <w:rPr>
                <w:rFonts w:cs="Calibri"/>
                <w:sz w:val="16"/>
                <w:szCs w:val="18"/>
              </w:rPr>
            </w:pPr>
            <w:r w:rsidRPr="00404DA5">
              <w:rPr>
                <w:rFonts w:cs="Calibri"/>
                <w:sz w:val="16"/>
                <w:szCs w:val="18"/>
              </w:rPr>
              <w:t>104%</w:t>
            </w:r>
          </w:p>
        </w:tc>
        <w:tc>
          <w:tcPr>
            <w:tcW w:w="0" w:type="auto"/>
            <w:shd w:val="clear" w:color="auto" w:fill="auto"/>
            <w:vAlign w:val="center"/>
          </w:tcPr>
          <w:p w14:paraId="08C52FBC" w14:textId="77777777" w:rsidR="00050FB4" w:rsidRDefault="00050FB4" w:rsidP="00050FB4">
            <w:pPr>
              <w:jc w:val="center"/>
              <w:rPr>
                <w:rFonts w:cs="Calibri"/>
                <w:sz w:val="16"/>
                <w:szCs w:val="18"/>
              </w:rPr>
            </w:pPr>
            <w:r>
              <w:rPr>
                <w:rFonts w:cs="Calibri"/>
                <w:sz w:val="16"/>
                <w:szCs w:val="18"/>
              </w:rPr>
              <w:t>0%</w:t>
            </w:r>
          </w:p>
          <w:p w14:paraId="0FC4E2E4" w14:textId="77777777" w:rsidR="00050FB4" w:rsidRPr="00404DA5" w:rsidRDefault="00050FB4" w:rsidP="00050FB4">
            <w:pPr>
              <w:jc w:val="center"/>
              <w:rPr>
                <w:rFonts w:cs="Calibri"/>
                <w:sz w:val="16"/>
                <w:szCs w:val="18"/>
              </w:rPr>
            </w:pPr>
            <w:r w:rsidRPr="00404DA5">
              <w:rPr>
                <w:rFonts w:cs="Calibri"/>
                <w:sz w:val="16"/>
                <w:szCs w:val="18"/>
              </w:rPr>
              <w:t>0</w:t>
            </w:r>
          </w:p>
        </w:tc>
        <w:tc>
          <w:tcPr>
            <w:tcW w:w="0" w:type="auto"/>
            <w:shd w:val="clear" w:color="auto" w:fill="auto"/>
            <w:vAlign w:val="center"/>
          </w:tcPr>
          <w:p w14:paraId="0F410306" w14:textId="77777777" w:rsidR="00050FB4" w:rsidRPr="00404DA5" w:rsidRDefault="00050FB4" w:rsidP="00050FB4">
            <w:pPr>
              <w:jc w:val="center"/>
              <w:rPr>
                <w:rFonts w:cs="Calibri"/>
                <w:sz w:val="16"/>
                <w:szCs w:val="18"/>
              </w:rPr>
            </w:pPr>
            <w:r w:rsidRPr="00404DA5">
              <w:rPr>
                <w:rFonts w:cs="Calibri"/>
                <w:sz w:val="16"/>
                <w:szCs w:val="18"/>
              </w:rPr>
              <w:t>0%</w:t>
            </w:r>
          </w:p>
        </w:tc>
      </w:tr>
    </w:tbl>
    <w:p w14:paraId="28B03E7C"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0C59D21F" w14:textId="77777777" w:rsidR="00050FB4" w:rsidRPr="003452CE" w:rsidRDefault="00050FB4" w:rsidP="00050FB4">
      <w:pPr>
        <w:rPr>
          <w:rFonts w:eastAsia="Calibri"/>
          <w:szCs w:val="20"/>
          <w:lang w:eastAsia="en-US"/>
        </w:rPr>
      </w:pPr>
      <w:r w:rsidRPr="00404DA5">
        <w:rPr>
          <w:rFonts w:cs="Calibri"/>
          <w:szCs w:val="20"/>
        </w:rPr>
        <w:t xml:space="preserve">W ramach </w:t>
      </w:r>
      <w:r>
        <w:rPr>
          <w:rFonts w:cs="Calibri"/>
          <w:szCs w:val="20"/>
        </w:rPr>
        <w:t>PI</w:t>
      </w:r>
      <w:r w:rsidRPr="00404DA5">
        <w:rPr>
          <w:rFonts w:cs="Calibri"/>
          <w:szCs w:val="20"/>
        </w:rPr>
        <w:t xml:space="preserve"> 10iv można zaobserwować szybkie tempo kontraktowania</w:t>
      </w:r>
      <w:r w:rsidR="00E66B89">
        <w:rPr>
          <w:rFonts w:cs="Calibri"/>
          <w:szCs w:val="20"/>
        </w:rPr>
        <w:t xml:space="preserve"> i </w:t>
      </w:r>
      <w:r w:rsidRPr="00404DA5">
        <w:rPr>
          <w:rFonts w:cs="Calibri"/>
          <w:szCs w:val="20"/>
        </w:rPr>
        <w:t>wydatkowania</w:t>
      </w:r>
      <w:r w:rsidR="00E66B89">
        <w:rPr>
          <w:rFonts w:cs="Calibri"/>
          <w:szCs w:val="20"/>
        </w:rPr>
        <w:t xml:space="preserve"> w </w:t>
      </w:r>
      <w:r w:rsidRPr="00404DA5">
        <w:rPr>
          <w:rFonts w:cs="Calibri"/>
          <w:szCs w:val="20"/>
        </w:rPr>
        <w:t>większości Działań poza 8.6.</w:t>
      </w:r>
      <w:r w:rsidR="00E66B89">
        <w:rPr>
          <w:rFonts w:cs="Calibri"/>
          <w:szCs w:val="20"/>
        </w:rPr>
        <w:t xml:space="preserve"> W </w:t>
      </w:r>
      <w:r w:rsidRPr="003452CE">
        <w:rPr>
          <w:rFonts w:eastAsia="Calibri"/>
          <w:szCs w:val="20"/>
          <w:lang w:eastAsia="en-US"/>
        </w:rPr>
        <w:t>ramach Działań 8.6-8.9 założono alokację na poziomie łącznie 205,9 mln zł,</w:t>
      </w:r>
      <w:r w:rsidR="00E66B89">
        <w:rPr>
          <w:rFonts w:eastAsia="Calibri"/>
          <w:szCs w:val="20"/>
          <w:lang w:eastAsia="en-US"/>
        </w:rPr>
        <w:t xml:space="preserve"> z </w:t>
      </w:r>
      <w:r w:rsidRPr="003452CE">
        <w:rPr>
          <w:rFonts w:eastAsia="Calibri"/>
          <w:szCs w:val="20"/>
          <w:lang w:eastAsia="en-US"/>
        </w:rPr>
        <w:t>tego 32 002 729,03 zł stanowi rezerwa wykonania, przeznaczona</w:t>
      </w:r>
      <w:r w:rsidR="00E66B89">
        <w:rPr>
          <w:rFonts w:eastAsia="Calibri"/>
          <w:szCs w:val="20"/>
          <w:lang w:eastAsia="en-US"/>
        </w:rPr>
        <w:t xml:space="preserve"> w </w:t>
      </w:r>
      <w:r w:rsidRPr="003452CE">
        <w:rPr>
          <w:rFonts w:eastAsia="Calibri"/>
          <w:szCs w:val="20"/>
          <w:lang w:eastAsia="en-US"/>
        </w:rPr>
        <w:t>ramach osi VIII wyłącznie na Działanie 8.6.</w:t>
      </w:r>
    </w:p>
    <w:p w14:paraId="6CDEB624" w14:textId="77777777" w:rsidR="00050FB4" w:rsidRPr="003452CE" w:rsidRDefault="00050FB4" w:rsidP="00050FB4">
      <w:pPr>
        <w:rPr>
          <w:rFonts w:eastAsia="Calibri"/>
          <w:szCs w:val="20"/>
          <w:lang w:eastAsia="en-US"/>
        </w:rPr>
      </w:pPr>
      <w:r w:rsidRPr="003452CE">
        <w:rPr>
          <w:rFonts w:eastAsia="Calibri"/>
          <w:szCs w:val="20"/>
          <w:lang w:eastAsia="en-US"/>
        </w:rPr>
        <w:t>Do 7.01.2019 roku zawarto 158 umów</w:t>
      </w:r>
      <w:r w:rsidR="00E66B89">
        <w:rPr>
          <w:rFonts w:eastAsia="Calibri"/>
          <w:szCs w:val="20"/>
          <w:lang w:eastAsia="en-US"/>
        </w:rPr>
        <w:t xml:space="preserve"> o </w:t>
      </w:r>
      <w:r w:rsidRPr="003452CE">
        <w:rPr>
          <w:rFonts w:eastAsia="Calibri"/>
          <w:szCs w:val="20"/>
          <w:lang w:eastAsia="en-US"/>
        </w:rPr>
        <w:t>dofinansowanie (w tym 138</w:t>
      </w:r>
      <w:r w:rsidR="00E66B89">
        <w:rPr>
          <w:rFonts w:eastAsia="Calibri"/>
          <w:szCs w:val="20"/>
          <w:lang w:eastAsia="en-US"/>
        </w:rPr>
        <w:t xml:space="preserve"> w </w:t>
      </w:r>
      <w:r w:rsidRPr="003452CE">
        <w:rPr>
          <w:rFonts w:eastAsia="Calibri"/>
          <w:szCs w:val="20"/>
          <w:lang w:eastAsia="en-US"/>
        </w:rPr>
        <w:t>Działaniu 8.6), co spowodowało zakontraktowanie 69,2% łącznej alokacji na te Działania (uwzględniającej środki rezerwy wykonania)</w:t>
      </w:r>
      <w:r>
        <w:rPr>
          <w:rFonts w:eastAsia="Calibri"/>
          <w:szCs w:val="20"/>
          <w:lang w:eastAsia="en-US"/>
        </w:rPr>
        <w:t>,</w:t>
      </w:r>
      <w:r w:rsidR="00E66B89">
        <w:rPr>
          <w:rFonts w:eastAsia="Calibri"/>
          <w:szCs w:val="20"/>
          <w:lang w:eastAsia="en-US"/>
        </w:rPr>
        <w:t xml:space="preserve"> w </w:t>
      </w:r>
      <w:r w:rsidRPr="003452CE">
        <w:rPr>
          <w:rFonts w:eastAsia="Calibri"/>
          <w:szCs w:val="20"/>
          <w:lang w:eastAsia="en-US"/>
        </w:rPr>
        <w:t>tym Działania: 8.6 – 71,4%, 8.7 – 77,1%, 8.8 – 58,7%, 8.9 – 59,6%. Poziom kontraktacji alokacji bez uwzględniania środków rezerwy wyniósł 79,9% łącznie</w:t>
      </w:r>
      <w:r w:rsidR="00E66B89">
        <w:rPr>
          <w:rFonts w:eastAsia="Calibri"/>
          <w:szCs w:val="20"/>
          <w:lang w:eastAsia="en-US"/>
        </w:rPr>
        <w:t xml:space="preserve"> i </w:t>
      </w:r>
      <w:r w:rsidRPr="003452CE">
        <w:rPr>
          <w:rFonts w:eastAsia="Calibri"/>
          <w:szCs w:val="20"/>
          <w:lang w:eastAsia="en-US"/>
        </w:rPr>
        <w:t>87,8%</w:t>
      </w:r>
      <w:r w:rsidR="00E66B89">
        <w:rPr>
          <w:rFonts w:eastAsia="Calibri"/>
          <w:szCs w:val="20"/>
          <w:lang w:eastAsia="en-US"/>
        </w:rPr>
        <w:t xml:space="preserve"> w </w:t>
      </w:r>
      <w:r w:rsidRPr="003452CE">
        <w:rPr>
          <w:rFonts w:eastAsia="Calibri"/>
          <w:szCs w:val="20"/>
          <w:lang w:eastAsia="en-US"/>
        </w:rPr>
        <w:t>Działaniu 8.6. Mając na uwadze wyższy poziom kontraktacji</w:t>
      </w:r>
      <w:r w:rsidR="00E66B89">
        <w:rPr>
          <w:rFonts w:eastAsia="Calibri"/>
          <w:szCs w:val="20"/>
          <w:lang w:eastAsia="en-US"/>
        </w:rPr>
        <w:t xml:space="preserve"> w </w:t>
      </w:r>
      <w:r w:rsidRPr="003452CE">
        <w:rPr>
          <w:rFonts w:eastAsia="Calibri"/>
          <w:szCs w:val="20"/>
          <w:lang w:eastAsia="en-US"/>
        </w:rPr>
        <w:t>Działaniu 8.6 niż</w:t>
      </w:r>
      <w:r w:rsidR="00E66B89">
        <w:rPr>
          <w:rFonts w:eastAsia="Calibri"/>
          <w:szCs w:val="20"/>
          <w:lang w:eastAsia="en-US"/>
        </w:rPr>
        <w:t xml:space="preserve"> w </w:t>
      </w:r>
      <w:r w:rsidRPr="003452CE">
        <w:rPr>
          <w:rFonts w:eastAsia="Calibri"/>
          <w:szCs w:val="20"/>
          <w:lang w:eastAsia="en-US"/>
        </w:rPr>
        <w:t>Działaniach 8.7-8.9</w:t>
      </w:r>
      <w:r>
        <w:rPr>
          <w:rFonts w:eastAsia="Calibri"/>
          <w:szCs w:val="20"/>
          <w:lang w:eastAsia="en-US"/>
        </w:rPr>
        <w:t>,</w:t>
      </w:r>
      <w:r w:rsidRPr="003452CE">
        <w:rPr>
          <w:rFonts w:eastAsia="Calibri"/>
          <w:szCs w:val="20"/>
          <w:lang w:eastAsia="en-US"/>
        </w:rPr>
        <w:t xml:space="preserve"> taki podział rezerwy pomiędzy te cztery Działania jest zrozumiały</w:t>
      </w:r>
      <w:r>
        <w:rPr>
          <w:rFonts w:eastAsia="Calibri"/>
          <w:szCs w:val="20"/>
          <w:lang w:eastAsia="en-US"/>
        </w:rPr>
        <w:t xml:space="preserve"> -</w:t>
      </w:r>
      <w:r w:rsidRPr="003452CE">
        <w:rPr>
          <w:rFonts w:eastAsia="Calibri"/>
          <w:szCs w:val="20"/>
          <w:lang w:eastAsia="en-US"/>
        </w:rPr>
        <w:t xml:space="preserve"> mimo to, jak wykazano poniżej, istnieje ryzyko jej niewykorzystania. </w:t>
      </w:r>
    </w:p>
    <w:p w14:paraId="36FE7CD6" w14:textId="77777777" w:rsidR="00050FB4" w:rsidRPr="003452CE" w:rsidRDefault="00050FB4" w:rsidP="00050FB4">
      <w:pPr>
        <w:rPr>
          <w:rFonts w:eastAsia="Calibri"/>
          <w:szCs w:val="20"/>
          <w:lang w:eastAsia="en-US"/>
        </w:rPr>
      </w:pPr>
      <w:r w:rsidRPr="003452CE">
        <w:rPr>
          <w:rFonts w:eastAsia="Calibri"/>
          <w:szCs w:val="20"/>
          <w:lang w:eastAsia="en-US"/>
        </w:rPr>
        <w:lastRenderedPageBreak/>
        <w:t>Wg stanu na dzień 7.01.2019</w:t>
      </w:r>
      <w:r w:rsidR="00E66B89">
        <w:rPr>
          <w:rFonts w:eastAsia="Calibri"/>
          <w:szCs w:val="20"/>
          <w:lang w:eastAsia="en-US"/>
        </w:rPr>
        <w:t xml:space="preserve"> w </w:t>
      </w:r>
      <w:r w:rsidRPr="003452CE">
        <w:rPr>
          <w:rFonts w:eastAsia="Calibri"/>
          <w:szCs w:val="20"/>
          <w:lang w:eastAsia="en-US"/>
        </w:rPr>
        <w:t>ramach Działań 8.6-8.9 pozostało zatem 73,3 mln zł alokacji (uwzględniając środki rezerwy wykonania),</w:t>
      </w:r>
      <w:r w:rsidR="00E66B89">
        <w:rPr>
          <w:rFonts w:eastAsia="Calibri"/>
          <w:szCs w:val="20"/>
          <w:lang w:eastAsia="en-US"/>
        </w:rPr>
        <w:t xml:space="preserve"> w </w:t>
      </w:r>
      <w:r w:rsidRPr="003452CE">
        <w:rPr>
          <w:rFonts w:eastAsia="Calibri"/>
          <w:szCs w:val="20"/>
          <w:lang w:eastAsia="en-US"/>
        </w:rPr>
        <w:t>tym 49,0 mln zł</w:t>
      </w:r>
      <w:r w:rsidR="00E66B89">
        <w:rPr>
          <w:rFonts w:eastAsia="Calibri"/>
          <w:szCs w:val="20"/>
          <w:lang w:eastAsia="en-US"/>
        </w:rPr>
        <w:t xml:space="preserve"> w </w:t>
      </w:r>
      <w:r w:rsidRPr="003452CE">
        <w:rPr>
          <w:rFonts w:eastAsia="Calibri"/>
          <w:szCs w:val="20"/>
          <w:lang w:eastAsia="en-US"/>
        </w:rPr>
        <w:t>Działaniu 8.6.</w:t>
      </w:r>
    </w:p>
    <w:p w14:paraId="5C07FE06" w14:textId="77777777" w:rsidR="00050FB4" w:rsidRPr="003452CE" w:rsidRDefault="00050FB4" w:rsidP="00050FB4">
      <w:pPr>
        <w:rPr>
          <w:rFonts w:eastAsia="Calibri"/>
          <w:szCs w:val="20"/>
          <w:lang w:eastAsia="en-US"/>
        </w:rPr>
      </w:pPr>
      <w:r w:rsidRPr="003452CE">
        <w:rPr>
          <w:rFonts w:eastAsia="Calibri"/>
          <w:szCs w:val="20"/>
          <w:lang w:eastAsia="en-US"/>
        </w:rPr>
        <w:t>W Programie określono dwa wskaźniki rezultatu, które nie są monitorowane bezpośrednio</w:t>
      </w:r>
      <w:r w:rsidR="00E66B89">
        <w:rPr>
          <w:rFonts w:eastAsia="Calibri"/>
          <w:szCs w:val="20"/>
          <w:lang w:eastAsia="en-US"/>
        </w:rPr>
        <w:t xml:space="preserve"> w </w:t>
      </w:r>
      <w:r w:rsidRPr="003452CE">
        <w:rPr>
          <w:rFonts w:eastAsia="Calibri"/>
          <w:szCs w:val="20"/>
          <w:lang w:eastAsia="en-US"/>
        </w:rPr>
        <w:t>ramach sprawozdawczości, lecz wymagają prowadzenia odrębnych badań. Pierwszy</w:t>
      </w:r>
      <w:r w:rsidR="00E66B89">
        <w:rPr>
          <w:rFonts w:eastAsia="Calibri"/>
          <w:szCs w:val="20"/>
          <w:lang w:eastAsia="en-US"/>
        </w:rPr>
        <w:t xml:space="preserve"> z </w:t>
      </w:r>
      <w:r w:rsidRPr="003452CE">
        <w:rPr>
          <w:rFonts w:eastAsia="Calibri"/>
          <w:szCs w:val="20"/>
          <w:lang w:eastAsia="en-US"/>
        </w:rPr>
        <w:t xml:space="preserve">nich, to </w:t>
      </w:r>
      <w:r>
        <w:rPr>
          <w:rFonts w:eastAsia="Calibri"/>
          <w:i/>
          <w:szCs w:val="20"/>
          <w:lang w:eastAsia="en-US"/>
        </w:rPr>
        <w:t>L</w:t>
      </w:r>
      <w:r w:rsidRPr="00850396">
        <w:rPr>
          <w:rFonts w:eastAsia="Calibri"/>
          <w:i/>
          <w:szCs w:val="20"/>
          <w:lang w:eastAsia="en-US"/>
        </w:rPr>
        <w:t>iczba szkół</w:t>
      </w:r>
      <w:r w:rsidR="00E66B89">
        <w:rPr>
          <w:rFonts w:eastAsia="Calibri"/>
          <w:i/>
          <w:szCs w:val="20"/>
          <w:lang w:eastAsia="en-US"/>
        </w:rPr>
        <w:t xml:space="preserve"> i </w:t>
      </w:r>
      <w:r w:rsidRPr="00850396">
        <w:rPr>
          <w:rFonts w:eastAsia="Calibri"/>
          <w:i/>
          <w:szCs w:val="20"/>
          <w:lang w:eastAsia="en-US"/>
        </w:rPr>
        <w:t>placówek kształcenia zawodowego wykorzystujących doposażenie zakupione dzięki EFS</w:t>
      </w:r>
      <w:r>
        <w:rPr>
          <w:rFonts w:eastAsia="Calibri"/>
          <w:szCs w:val="20"/>
          <w:lang w:eastAsia="en-US"/>
        </w:rPr>
        <w:t xml:space="preserve"> -</w:t>
      </w:r>
      <w:r w:rsidRPr="003452CE">
        <w:rPr>
          <w:rFonts w:eastAsia="Calibri"/>
          <w:szCs w:val="20"/>
          <w:lang w:eastAsia="en-US"/>
        </w:rPr>
        <w:t xml:space="preserve"> jego wartość docelową określono na 97%. Dane nt. osiągniętej wartości tego wskaźnika nie są jak dotychczas dostępne. </w:t>
      </w:r>
    </w:p>
    <w:p w14:paraId="39A915AE" w14:textId="77777777" w:rsidR="00050FB4" w:rsidRPr="003452CE" w:rsidRDefault="00050FB4" w:rsidP="00050FB4">
      <w:pPr>
        <w:rPr>
          <w:rFonts w:eastAsia="Calibri"/>
          <w:szCs w:val="20"/>
          <w:lang w:eastAsia="en-US"/>
        </w:rPr>
      </w:pPr>
      <w:r w:rsidRPr="003452CE">
        <w:rPr>
          <w:rFonts w:eastAsia="Calibri"/>
          <w:szCs w:val="20"/>
          <w:lang w:eastAsia="en-US"/>
        </w:rPr>
        <w:t xml:space="preserve">Drugi wskaźnik to </w:t>
      </w:r>
      <w:r w:rsidRPr="00850396">
        <w:rPr>
          <w:rFonts w:eastAsia="Calibri"/>
          <w:i/>
          <w:szCs w:val="20"/>
          <w:lang w:eastAsia="en-US"/>
        </w:rPr>
        <w:t>Liczba uczniów szkół</w:t>
      </w:r>
      <w:r w:rsidR="00E66B89">
        <w:rPr>
          <w:rFonts w:eastAsia="Calibri"/>
          <w:i/>
          <w:szCs w:val="20"/>
          <w:lang w:eastAsia="en-US"/>
        </w:rPr>
        <w:t xml:space="preserve"> i </w:t>
      </w:r>
      <w:r w:rsidRPr="00850396">
        <w:rPr>
          <w:rFonts w:eastAsia="Calibri"/>
          <w:i/>
          <w:szCs w:val="20"/>
          <w:lang w:eastAsia="en-US"/>
        </w:rPr>
        <w:t>placówek kształcenia zawodowego objętych wsparciem</w:t>
      </w:r>
      <w:r w:rsidR="00E66B89">
        <w:rPr>
          <w:rFonts w:eastAsia="Calibri"/>
          <w:i/>
          <w:szCs w:val="20"/>
          <w:lang w:eastAsia="en-US"/>
        </w:rPr>
        <w:t xml:space="preserve"> w </w:t>
      </w:r>
      <w:r w:rsidRPr="00850396">
        <w:rPr>
          <w:rFonts w:eastAsia="Calibri"/>
          <w:i/>
          <w:szCs w:val="20"/>
          <w:lang w:eastAsia="en-US"/>
        </w:rPr>
        <w:t>programie</w:t>
      </w:r>
      <w:r w:rsidRPr="003452CE">
        <w:rPr>
          <w:rFonts w:eastAsia="Calibri"/>
          <w:szCs w:val="20"/>
          <w:lang w:eastAsia="en-US"/>
        </w:rPr>
        <w:t xml:space="preserve">, </w:t>
      </w:r>
      <w:r w:rsidRPr="008B706B">
        <w:rPr>
          <w:rFonts w:eastAsia="Calibri"/>
          <w:i/>
          <w:szCs w:val="20"/>
          <w:lang w:eastAsia="en-US"/>
        </w:rPr>
        <w:t>uczestniczących</w:t>
      </w:r>
      <w:r w:rsidR="00E66B89">
        <w:rPr>
          <w:rFonts w:eastAsia="Calibri"/>
          <w:i/>
          <w:szCs w:val="20"/>
          <w:lang w:eastAsia="en-US"/>
        </w:rPr>
        <w:t xml:space="preserve"> w </w:t>
      </w:r>
      <w:r w:rsidRPr="008B706B">
        <w:rPr>
          <w:rFonts w:eastAsia="Calibri"/>
          <w:i/>
          <w:szCs w:val="20"/>
          <w:lang w:eastAsia="en-US"/>
        </w:rPr>
        <w:t>kształceniu lub pracujących po 6 miesiącach po ukończeniu nauki</w:t>
      </w:r>
      <w:r>
        <w:rPr>
          <w:rFonts w:eastAsia="Calibri"/>
          <w:szCs w:val="20"/>
          <w:lang w:eastAsia="en-US"/>
        </w:rPr>
        <w:t>. J</w:t>
      </w:r>
      <w:r w:rsidRPr="003452CE">
        <w:rPr>
          <w:rFonts w:eastAsia="Calibri"/>
          <w:szCs w:val="20"/>
          <w:lang w:eastAsia="en-US"/>
        </w:rPr>
        <w:t>ego wartość docelowo określono na 60%. Badanie tego wskaźnika przeprowadzono wyłącznie</w:t>
      </w:r>
      <w:r w:rsidR="00E66B89">
        <w:rPr>
          <w:rFonts w:eastAsia="Calibri"/>
          <w:szCs w:val="20"/>
          <w:lang w:eastAsia="en-US"/>
        </w:rPr>
        <w:t xml:space="preserve"> w </w:t>
      </w:r>
      <w:r w:rsidRPr="003452CE">
        <w:rPr>
          <w:rFonts w:eastAsia="Calibri"/>
          <w:szCs w:val="20"/>
          <w:lang w:eastAsia="en-US"/>
        </w:rPr>
        <w:t>odniesieniu do tych uczestników, którzy</w:t>
      </w:r>
      <w:r w:rsidR="00E66B89">
        <w:rPr>
          <w:rFonts w:eastAsia="Calibri"/>
          <w:szCs w:val="20"/>
          <w:lang w:eastAsia="en-US"/>
        </w:rPr>
        <w:t xml:space="preserve"> w </w:t>
      </w:r>
      <w:r w:rsidRPr="003452CE">
        <w:rPr>
          <w:rFonts w:eastAsia="Calibri"/>
          <w:szCs w:val="20"/>
          <w:lang w:eastAsia="en-US"/>
        </w:rPr>
        <w:t xml:space="preserve">ramach projektu </w:t>
      </w:r>
      <w:r w:rsidRPr="00CC61B2">
        <w:rPr>
          <w:rFonts w:eastAsia="Calibri"/>
          <w:szCs w:val="20"/>
          <w:lang w:eastAsia="en-US"/>
        </w:rPr>
        <w:t>brali udział</w:t>
      </w:r>
      <w:r w:rsidR="00E66B89">
        <w:rPr>
          <w:rFonts w:eastAsia="Calibri"/>
          <w:szCs w:val="20"/>
          <w:lang w:eastAsia="en-US"/>
        </w:rPr>
        <w:t xml:space="preserve"> w </w:t>
      </w:r>
      <w:r w:rsidRPr="00CC61B2">
        <w:rPr>
          <w:rFonts w:eastAsia="Calibri"/>
          <w:szCs w:val="20"/>
          <w:lang w:eastAsia="en-US"/>
        </w:rPr>
        <w:t>stażu lub praktyce</w:t>
      </w:r>
      <w:r w:rsidR="00E66B89">
        <w:rPr>
          <w:rFonts w:eastAsia="Calibri"/>
          <w:szCs w:val="20"/>
          <w:lang w:eastAsia="en-US"/>
        </w:rPr>
        <w:t xml:space="preserve"> i </w:t>
      </w:r>
      <w:r w:rsidRPr="003452CE">
        <w:rPr>
          <w:rFonts w:eastAsia="Calibri"/>
          <w:szCs w:val="20"/>
          <w:lang w:eastAsia="en-US"/>
        </w:rPr>
        <w:t>którzy zakończyli naukę do 31 grudnia 2017 r. Wartość tego wskaźnika oszacowano liczbowo na 19 osób,</w:t>
      </w:r>
      <w:r w:rsidR="00E66B89">
        <w:rPr>
          <w:rFonts w:eastAsia="Calibri"/>
          <w:szCs w:val="20"/>
          <w:lang w:eastAsia="en-US"/>
        </w:rPr>
        <w:t xml:space="preserve"> a </w:t>
      </w:r>
      <w:r w:rsidRPr="003452CE">
        <w:rPr>
          <w:rFonts w:eastAsia="Calibri"/>
          <w:szCs w:val="20"/>
          <w:lang w:eastAsia="en-US"/>
        </w:rPr>
        <w:t>procentowo na 100% uczestników staży</w:t>
      </w:r>
      <w:r w:rsidR="00E66B89">
        <w:rPr>
          <w:rFonts w:eastAsia="Calibri"/>
          <w:szCs w:val="20"/>
          <w:lang w:eastAsia="en-US"/>
        </w:rPr>
        <w:t xml:space="preserve"> i </w:t>
      </w:r>
      <w:r w:rsidRPr="003452CE">
        <w:rPr>
          <w:rFonts w:eastAsia="Calibri"/>
          <w:szCs w:val="20"/>
          <w:lang w:eastAsia="en-US"/>
        </w:rPr>
        <w:t>praktyk.</w:t>
      </w:r>
      <w:r w:rsidR="00E66B89">
        <w:rPr>
          <w:rFonts w:eastAsia="Calibri"/>
          <w:szCs w:val="20"/>
          <w:lang w:eastAsia="en-US"/>
        </w:rPr>
        <w:t xml:space="preserve"> W </w:t>
      </w:r>
      <w:r w:rsidRPr="003452CE">
        <w:rPr>
          <w:rFonts w:eastAsia="Calibri"/>
          <w:szCs w:val="20"/>
          <w:lang w:eastAsia="en-US"/>
        </w:rPr>
        <w:t>skali całego kraju odsetek praktykantów</w:t>
      </w:r>
      <w:r w:rsidR="00E66B89">
        <w:rPr>
          <w:rFonts w:eastAsia="Calibri"/>
          <w:szCs w:val="20"/>
          <w:lang w:eastAsia="en-US"/>
        </w:rPr>
        <w:t xml:space="preserve"> i </w:t>
      </w:r>
      <w:r w:rsidRPr="003452CE">
        <w:rPr>
          <w:rFonts w:eastAsia="Calibri"/>
          <w:szCs w:val="20"/>
          <w:lang w:eastAsia="en-US"/>
        </w:rPr>
        <w:t>stażystów, którzy pracowali</w:t>
      </w:r>
      <w:r w:rsidR="00E66B89">
        <w:rPr>
          <w:rFonts w:eastAsia="Calibri"/>
          <w:szCs w:val="20"/>
          <w:lang w:eastAsia="en-US"/>
        </w:rPr>
        <w:t xml:space="preserve"> w </w:t>
      </w:r>
      <w:r w:rsidRPr="003452CE">
        <w:rPr>
          <w:rFonts w:eastAsia="Calibri"/>
          <w:szCs w:val="20"/>
          <w:lang w:eastAsia="en-US"/>
        </w:rPr>
        <w:t>szóstym miesiącu po ukończeniu nauki wyniósł 79%</w:t>
      </w:r>
      <w:r>
        <w:rPr>
          <w:rFonts w:eastAsia="Calibri"/>
          <w:szCs w:val="20"/>
          <w:lang w:eastAsia="en-US"/>
        </w:rPr>
        <w:t xml:space="preserve"> - </w:t>
      </w:r>
      <w:r w:rsidRPr="003452CE">
        <w:rPr>
          <w:rFonts w:eastAsia="Calibri"/>
          <w:szCs w:val="20"/>
          <w:lang w:eastAsia="en-US"/>
        </w:rPr>
        <w:t xml:space="preserve">należy </w:t>
      </w:r>
      <w:r>
        <w:rPr>
          <w:rFonts w:eastAsia="Calibri"/>
          <w:szCs w:val="20"/>
          <w:lang w:eastAsia="en-US"/>
        </w:rPr>
        <w:t xml:space="preserve">zatem </w:t>
      </w:r>
      <w:r w:rsidRPr="003452CE">
        <w:rPr>
          <w:rFonts w:eastAsia="Calibri"/>
          <w:szCs w:val="20"/>
          <w:lang w:eastAsia="en-US"/>
        </w:rPr>
        <w:t>oczekiwać, że przyjęta przez IZ wartość docelowa będzie możliwa do osiągnięcia</w:t>
      </w:r>
      <w:r w:rsidRPr="003452CE">
        <w:rPr>
          <w:rFonts w:eastAsia="Calibri"/>
          <w:szCs w:val="22"/>
          <w:vertAlign w:val="superscript"/>
          <w:lang w:eastAsia="en-US"/>
        </w:rPr>
        <w:footnoteReference w:id="120"/>
      </w:r>
      <w:r w:rsidRPr="003452CE">
        <w:rPr>
          <w:rFonts w:eastAsia="Calibri"/>
          <w:szCs w:val="20"/>
          <w:lang w:eastAsia="en-US"/>
        </w:rPr>
        <w:t>.</w:t>
      </w:r>
    </w:p>
    <w:p w14:paraId="26B18476" w14:textId="77777777" w:rsidR="00050FB4" w:rsidRPr="00CC61B2" w:rsidRDefault="00050FB4" w:rsidP="00050FB4">
      <w:pPr>
        <w:rPr>
          <w:rFonts w:eastAsia="Calibri"/>
          <w:szCs w:val="20"/>
          <w:lang w:eastAsia="en-US"/>
        </w:rPr>
      </w:pPr>
      <w:r w:rsidRPr="003452CE">
        <w:rPr>
          <w:rFonts w:eastAsia="Calibri"/>
          <w:szCs w:val="20"/>
          <w:lang w:eastAsia="en-US"/>
        </w:rPr>
        <w:t>Dotychczas</w:t>
      </w:r>
      <w:r w:rsidR="00E66B89">
        <w:rPr>
          <w:rFonts w:eastAsia="Calibri"/>
          <w:szCs w:val="20"/>
          <w:lang w:eastAsia="en-US"/>
        </w:rPr>
        <w:t xml:space="preserve"> w </w:t>
      </w:r>
      <w:r w:rsidRPr="00CC61B2">
        <w:rPr>
          <w:rFonts w:eastAsia="Calibri"/>
          <w:szCs w:val="20"/>
          <w:lang w:eastAsia="en-US"/>
        </w:rPr>
        <w:t>ramach Działania 8.6 przeprowadzono 4 nabory.</w:t>
      </w:r>
      <w:r w:rsidR="00E66B89">
        <w:rPr>
          <w:rFonts w:eastAsia="Calibri"/>
          <w:szCs w:val="20"/>
          <w:lang w:eastAsia="en-US"/>
        </w:rPr>
        <w:t xml:space="preserve"> W </w:t>
      </w:r>
      <w:r w:rsidRPr="00CC61B2">
        <w:rPr>
          <w:rFonts w:eastAsia="Calibri"/>
          <w:szCs w:val="20"/>
          <w:lang w:eastAsia="en-US"/>
        </w:rPr>
        <w:t>Działaniu 8.6</w:t>
      </w:r>
      <w:r>
        <w:rPr>
          <w:rFonts w:eastAsia="Calibri"/>
          <w:szCs w:val="20"/>
          <w:lang w:eastAsia="en-US"/>
        </w:rPr>
        <w:t>,</w:t>
      </w:r>
      <w:r w:rsidR="00E66B89">
        <w:rPr>
          <w:rFonts w:eastAsia="Calibri"/>
          <w:szCs w:val="20"/>
          <w:lang w:eastAsia="en-US"/>
        </w:rPr>
        <w:t xml:space="preserve"> w </w:t>
      </w:r>
      <w:r w:rsidRPr="00CC61B2">
        <w:rPr>
          <w:rFonts w:eastAsia="Calibri"/>
          <w:szCs w:val="20"/>
          <w:lang w:eastAsia="en-US"/>
        </w:rPr>
        <w:t>pierwszym naborze wartość wkładu UE na wnioskach poprawnych formalnie stanowiła zaledwie 51% budżetu naboru, ale</w:t>
      </w:r>
      <w:r w:rsidR="00E66B89">
        <w:rPr>
          <w:rFonts w:eastAsia="Calibri"/>
          <w:szCs w:val="20"/>
          <w:lang w:eastAsia="en-US"/>
        </w:rPr>
        <w:t xml:space="preserve"> w </w:t>
      </w:r>
      <w:r w:rsidRPr="00CC61B2">
        <w:rPr>
          <w:rFonts w:eastAsia="Calibri"/>
          <w:szCs w:val="20"/>
          <w:lang w:eastAsia="en-US"/>
        </w:rPr>
        <w:t>kolejnych trzech naborach przekraczała budżet konkursu (141%, 131%</w:t>
      </w:r>
      <w:r w:rsidR="00E66B89">
        <w:rPr>
          <w:rFonts w:eastAsia="Calibri"/>
          <w:szCs w:val="20"/>
          <w:lang w:eastAsia="en-US"/>
        </w:rPr>
        <w:t xml:space="preserve"> i </w:t>
      </w:r>
      <w:r w:rsidRPr="00CC61B2">
        <w:rPr>
          <w:rFonts w:eastAsia="Calibri"/>
          <w:szCs w:val="20"/>
          <w:lang w:eastAsia="en-US"/>
        </w:rPr>
        <w:t>175%). Mogłoby to wskazywać na istniejący potencjał absorpcyjny</w:t>
      </w:r>
      <w:r>
        <w:rPr>
          <w:rFonts w:eastAsia="Calibri"/>
          <w:szCs w:val="20"/>
          <w:lang w:eastAsia="en-US"/>
        </w:rPr>
        <w:t xml:space="preserve"> -</w:t>
      </w:r>
      <w:r w:rsidRPr="00CC61B2">
        <w:rPr>
          <w:rFonts w:eastAsia="Calibri"/>
          <w:szCs w:val="20"/>
          <w:lang w:eastAsia="en-US"/>
        </w:rPr>
        <w:t xml:space="preserve"> zwłaszcza, że</w:t>
      </w:r>
      <w:r w:rsidR="00E66B89">
        <w:rPr>
          <w:rFonts w:eastAsia="Calibri"/>
          <w:szCs w:val="20"/>
          <w:lang w:eastAsia="en-US"/>
        </w:rPr>
        <w:t xml:space="preserve"> w </w:t>
      </w:r>
      <w:r w:rsidRPr="00CC61B2">
        <w:rPr>
          <w:rFonts w:eastAsia="Calibri"/>
          <w:szCs w:val="20"/>
          <w:lang w:eastAsia="en-US"/>
        </w:rPr>
        <w:t>przypadku drugiego</w:t>
      </w:r>
      <w:r w:rsidR="00E66B89">
        <w:rPr>
          <w:rFonts w:eastAsia="Calibri"/>
          <w:szCs w:val="20"/>
          <w:lang w:eastAsia="en-US"/>
        </w:rPr>
        <w:t xml:space="preserve"> i </w:t>
      </w:r>
      <w:r w:rsidRPr="00CC61B2">
        <w:rPr>
          <w:rFonts w:eastAsia="Calibri"/>
          <w:szCs w:val="20"/>
          <w:lang w:eastAsia="en-US"/>
        </w:rPr>
        <w:t>trzeciego naboru wkład UE na umowach obowiązujących wynosi</w:t>
      </w:r>
      <w:r>
        <w:rPr>
          <w:rFonts w:eastAsia="Calibri"/>
          <w:szCs w:val="20"/>
          <w:lang w:eastAsia="en-US"/>
        </w:rPr>
        <w:t>ł</w:t>
      </w:r>
      <w:r w:rsidRPr="00CC61B2">
        <w:rPr>
          <w:rFonts w:eastAsia="Calibri"/>
          <w:szCs w:val="20"/>
          <w:lang w:eastAsia="en-US"/>
        </w:rPr>
        <w:t xml:space="preserve"> odpowiednio 134%</w:t>
      </w:r>
      <w:r w:rsidR="00E66B89">
        <w:rPr>
          <w:rFonts w:eastAsia="Calibri"/>
          <w:szCs w:val="20"/>
          <w:lang w:eastAsia="en-US"/>
        </w:rPr>
        <w:t xml:space="preserve"> i </w:t>
      </w:r>
      <w:r w:rsidRPr="00CC61B2">
        <w:rPr>
          <w:rFonts w:eastAsia="Calibri"/>
          <w:szCs w:val="20"/>
          <w:lang w:eastAsia="en-US"/>
        </w:rPr>
        <w:t xml:space="preserve">126% budżetu naboru. </w:t>
      </w:r>
      <w:r>
        <w:rPr>
          <w:rFonts w:eastAsia="Calibri"/>
          <w:szCs w:val="20"/>
          <w:lang w:eastAsia="en-US"/>
        </w:rPr>
        <w:t xml:space="preserve">Także kolejny, czwarty nabór </w:t>
      </w:r>
      <w:r w:rsidRPr="00CC61B2">
        <w:rPr>
          <w:rFonts w:eastAsia="Calibri"/>
          <w:szCs w:val="20"/>
          <w:lang w:eastAsia="en-US"/>
        </w:rPr>
        <w:t>(zakończon</w:t>
      </w:r>
      <w:r>
        <w:rPr>
          <w:rFonts w:eastAsia="Calibri"/>
          <w:szCs w:val="20"/>
          <w:lang w:eastAsia="en-US"/>
        </w:rPr>
        <w:t>y</w:t>
      </w:r>
      <w:r w:rsidR="00E66B89">
        <w:rPr>
          <w:rFonts w:eastAsia="Calibri"/>
          <w:szCs w:val="20"/>
          <w:lang w:eastAsia="en-US"/>
        </w:rPr>
        <w:t xml:space="preserve"> w </w:t>
      </w:r>
      <w:r w:rsidRPr="00CC61B2">
        <w:rPr>
          <w:rFonts w:eastAsia="Calibri"/>
          <w:szCs w:val="20"/>
          <w:lang w:eastAsia="en-US"/>
        </w:rPr>
        <w:t xml:space="preserve">maju 2018 r.) </w:t>
      </w:r>
      <w:r>
        <w:rPr>
          <w:rFonts w:eastAsia="Calibri"/>
          <w:szCs w:val="20"/>
          <w:lang w:eastAsia="en-US"/>
        </w:rPr>
        <w:t>cieszył się zainteresowaniem beneficjentów,</w:t>
      </w:r>
      <w:r w:rsidR="00E66B89">
        <w:rPr>
          <w:rFonts w:eastAsia="Calibri"/>
          <w:szCs w:val="20"/>
          <w:lang w:eastAsia="en-US"/>
        </w:rPr>
        <w:t xml:space="preserve"> a </w:t>
      </w:r>
      <w:r>
        <w:rPr>
          <w:rFonts w:eastAsia="Calibri"/>
          <w:szCs w:val="20"/>
          <w:lang w:eastAsia="en-US"/>
        </w:rPr>
        <w:t xml:space="preserve">wartość </w:t>
      </w:r>
      <w:r w:rsidRPr="00CC61B2">
        <w:rPr>
          <w:rFonts w:eastAsia="Calibri"/>
          <w:szCs w:val="20"/>
          <w:lang w:eastAsia="en-US"/>
        </w:rPr>
        <w:t>wkładu UE</w:t>
      </w:r>
      <w:r w:rsidR="00E66B89">
        <w:rPr>
          <w:rFonts w:eastAsia="Calibri"/>
          <w:szCs w:val="20"/>
          <w:lang w:eastAsia="en-US"/>
        </w:rPr>
        <w:t xml:space="preserve"> w </w:t>
      </w:r>
      <w:r>
        <w:rPr>
          <w:rFonts w:eastAsia="Calibri"/>
          <w:szCs w:val="20"/>
          <w:lang w:eastAsia="en-US"/>
        </w:rPr>
        <w:t>złożonych</w:t>
      </w:r>
      <w:r w:rsidRPr="00CC61B2">
        <w:rPr>
          <w:rFonts w:eastAsia="Calibri"/>
          <w:szCs w:val="20"/>
          <w:lang w:eastAsia="en-US"/>
        </w:rPr>
        <w:t xml:space="preserve"> wnioskach wynosiła 175% budżetu naboru</w:t>
      </w:r>
      <w:r>
        <w:rPr>
          <w:rFonts w:eastAsia="Calibri"/>
          <w:szCs w:val="20"/>
          <w:lang w:eastAsia="en-US"/>
        </w:rPr>
        <w:t>.</w:t>
      </w:r>
    </w:p>
    <w:p w14:paraId="03336AF4" w14:textId="77777777" w:rsidR="00050FB4" w:rsidRPr="003452CE" w:rsidRDefault="00050FB4" w:rsidP="00050FB4">
      <w:pPr>
        <w:rPr>
          <w:rFonts w:eastAsia="Calibri"/>
          <w:szCs w:val="20"/>
          <w:lang w:eastAsia="en-US"/>
        </w:rPr>
      </w:pPr>
      <w:r>
        <w:rPr>
          <w:rFonts w:eastAsia="Calibri"/>
          <w:szCs w:val="20"/>
          <w:lang w:eastAsia="en-US"/>
        </w:rPr>
        <w:t>Jednakże na przeszkodzie</w:t>
      </w:r>
      <w:r w:rsidR="00E66B89">
        <w:rPr>
          <w:rFonts w:eastAsia="Calibri"/>
          <w:szCs w:val="20"/>
          <w:lang w:eastAsia="en-US"/>
        </w:rPr>
        <w:t xml:space="preserve"> w </w:t>
      </w:r>
      <w:r>
        <w:rPr>
          <w:rFonts w:eastAsia="Calibri"/>
          <w:szCs w:val="20"/>
          <w:lang w:eastAsia="en-US"/>
        </w:rPr>
        <w:t xml:space="preserve">zawieraniu UoD stoją </w:t>
      </w:r>
      <w:r w:rsidRPr="003452CE">
        <w:rPr>
          <w:rFonts w:eastAsia="Calibri"/>
          <w:szCs w:val="20"/>
          <w:lang w:eastAsia="en-US"/>
        </w:rPr>
        <w:t>błędy</w:t>
      </w:r>
      <w:r w:rsidR="00E66B89">
        <w:rPr>
          <w:rFonts w:eastAsia="Calibri"/>
          <w:szCs w:val="20"/>
          <w:lang w:eastAsia="en-US"/>
        </w:rPr>
        <w:t xml:space="preserve"> w </w:t>
      </w:r>
      <w:r w:rsidRPr="003452CE">
        <w:rPr>
          <w:rFonts w:eastAsia="Calibri"/>
          <w:szCs w:val="20"/>
          <w:lang w:eastAsia="en-US"/>
        </w:rPr>
        <w:t>dokumentach dostarczanych przez beneficjentów. Niestety</w:t>
      </w:r>
      <w:r>
        <w:rPr>
          <w:rFonts w:eastAsia="Calibri"/>
          <w:szCs w:val="20"/>
          <w:lang w:eastAsia="en-US"/>
        </w:rPr>
        <w:t xml:space="preserve"> żaden</w:t>
      </w:r>
      <w:r w:rsidR="00E66B89">
        <w:rPr>
          <w:rFonts w:eastAsia="Calibri"/>
          <w:szCs w:val="20"/>
          <w:lang w:eastAsia="en-US"/>
        </w:rPr>
        <w:t xml:space="preserve"> z </w:t>
      </w:r>
      <w:r w:rsidRPr="003452CE">
        <w:rPr>
          <w:rFonts w:eastAsia="Calibri"/>
          <w:szCs w:val="20"/>
          <w:lang w:eastAsia="en-US"/>
        </w:rPr>
        <w:t>beneficjentów nie przysłał</w:t>
      </w:r>
      <w:r w:rsidR="00E66B89">
        <w:rPr>
          <w:rFonts w:eastAsia="Calibri"/>
          <w:szCs w:val="20"/>
          <w:lang w:eastAsia="en-US"/>
        </w:rPr>
        <w:t xml:space="preserve"> w </w:t>
      </w:r>
      <w:r w:rsidRPr="003452CE">
        <w:rPr>
          <w:rFonts w:eastAsia="Calibri"/>
          <w:szCs w:val="20"/>
          <w:lang w:eastAsia="en-US"/>
        </w:rPr>
        <w:t>pełni prawidłowej dokumentacji już po pierwszym wezwaniu. Błędy są popełniane</w:t>
      </w:r>
      <w:r w:rsidR="00E66B89">
        <w:rPr>
          <w:rFonts w:eastAsia="Calibri"/>
          <w:szCs w:val="20"/>
          <w:lang w:eastAsia="en-US"/>
        </w:rPr>
        <w:t xml:space="preserve"> w </w:t>
      </w:r>
      <w:r w:rsidRPr="003452CE">
        <w:rPr>
          <w:rFonts w:eastAsia="Calibri"/>
          <w:szCs w:val="20"/>
          <w:lang w:eastAsia="en-US"/>
        </w:rPr>
        <w:t>szczególności</w:t>
      </w:r>
      <w:r w:rsidR="00E66B89">
        <w:rPr>
          <w:rFonts w:eastAsia="Calibri"/>
          <w:szCs w:val="20"/>
          <w:lang w:eastAsia="en-US"/>
        </w:rPr>
        <w:t xml:space="preserve"> w </w:t>
      </w:r>
      <w:r w:rsidRPr="003452CE">
        <w:rPr>
          <w:rFonts w:eastAsia="Calibri"/>
          <w:szCs w:val="20"/>
          <w:lang w:eastAsia="en-US"/>
        </w:rPr>
        <w:t>załączniku finansowym (planowanie budżetu projektu</w:t>
      </w:r>
      <w:r w:rsidR="00E66B89">
        <w:rPr>
          <w:rFonts w:eastAsia="Calibri"/>
          <w:szCs w:val="20"/>
          <w:lang w:eastAsia="en-US"/>
        </w:rPr>
        <w:t xml:space="preserve"> w </w:t>
      </w:r>
      <w:r w:rsidRPr="003452CE">
        <w:rPr>
          <w:rFonts w:eastAsia="Calibri"/>
          <w:szCs w:val="20"/>
          <w:lang w:eastAsia="en-US"/>
        </w:rPr>
        <w:t>podziale na kwartały)</w:t>
      </w:r>
      <w:r w:rsidR="00E66B89">
        <w:rPr>
          <w:rFonts w:eastAsia="Calibri"/>
          <w:szCs w:val="20"/>
          <w:lang w:eastAsia="en-US"/>
        </w:rPr>
        <w:t xml:space="preserve"> i </w:t>
      </w:r>
      <w:r w:rsidRPr="003452CE">
        <w:rPr>
          <w:rFonts w:eastAsia="Calibri"/>
          <w:szCs w:val="20"/>
          <w:lang w:eastAsia="en-US"/>
        </w:rPr>
        <w:t>są to błędy rachunkowe (w obliczeniach),</w:t>
      </w:r>
      <w:r w:rsidR="00E66B89">
        <w:rPr>
          <w:rFonts w:eastAsia="Calibri"/>
          <w:szCs w:val="20"/>
          <w:lang w:eastAsia="en-US"/>
        </w:rPr>
        <w:t xml:space="preserve"> a </w:t>
      </w:r>
      <w:r w:rsidRPr="003452CE">
        <w:rPr>
          <w:rFonts w:eastAsia="Calibri"/>
          <w:szCs w:val="20"/>
          <w:lang w:eastAsia="en-US"/>
        </w:rPr>
        <w:t>nie merytoryczne (jakość planowania).</w:t>
      </w:r>
    </w:p>
    <w:p w14:paraId="669ABC13" w14:textId="77777777" w:rsidR="00050FB4" w:rsidRPr="003452CE" w:rsidRDefault="00050FB4" w:rsidP="00050FB4">
      <w:pPr>
        <w:rPr>
          <w:rFonts w:eastAsia="Calibri"/>
          <w:szCs w:val="20"/>
          <w:lang w:eastAsia="en-US"/>
        </w:rPr>
      </w:pPr>
      <w:r>
        <w:rPr>
          <w:rFonts w:eastAsia="Calibri"/>
          <w:szCs w:val="20"/>
          <w:lang w:eastAsia="en-US"/>
        </w:rPr>
        <w:t>Ponadto należy zauważyć, że wydłużanie procesu zawierania UoD spowodowane jest - do pewnego stopnia - obciążeniem pracą pracowników Instytucji Pośredniczącej wynikającym</w:t>
      </w:r>
      <w:r w:rsidR="00E66B89">
        <w:rPr>
          <w:rFonts w:eastAsia="Calibri"/>
          <w:szCs w:val="20"/>
          <w:lang w:eastAsia="en-US"/>
        </w:rPr>
        <w:t xml:space="preserve"> z </w:t>
      </w:r>
      <w:r w:rsidRPr="002203E8">
        <w:rPr>
          <w:rFonts w:eastAsia="Calibri"/>
          <w:szCs w:val="20"/>
          <w:lang w:eastAsia="en-US"/>
        </w:rPr>
        <w:t>niewystarczając</w:t>
      </w:r>
      <w:r>
        <w:rPr>
          <w:rFonts w:eastAsia="Calibri"/>
          <w:szCs w:val="20"/>
          <w:lang w:eastAsia="en-US"/>
        </w:rPr>
        <w:t>ej</w:t>
      </w:r>
      <w:r w:rsidRPr="002203E8">
        <w:rPr>
          <w:rFonts w:eastAsia="Calibri"/>
          <w:szCs w:val="20"/>
          <w:lang w:eastAsia="en-US"/>
        </w:rPr>
        <w:t xml:space="preserve"> obsad</w:t>
      </w:r>
      <w:r>
        <w:rPr>
          <w:rFonts w:eastAsia="Calibri"/>
          <w:szCs w:val="20"/>
          <w:lang w:eastAsia="en-US"/>
        </w:rPr>
        <w:t>y</w:t>
      </w:r>
      <w:r w:rsidRPr="002203E8">
        <w:rPr>
          <w:rFonts w:eastAsia="Calibri"/>
          <w:szCs w:val="20"/>
          <w:lang w:eastAsia="en-US"/>
        </w:rPr>
        <w:t xml:space="preserve"> kadrow</w:t>
      </w:r>
      <w:r>
        <w:rPr>
          <w:rFonts w:eastAsia="Calibri"/>
          <w:szCs w:val="20"/>
          <w:lang w:eastAsia="en-US"/>
        </w:rPr>
        <w:t>ej.</w:t>
      </w:r>
      <w:r w:rsidRPr="002203E8">
        <w:rPr>
          <w:rFonts w:eastAsia="Calibri"/>
          <w:szCs w:val="20"/>
          <w:lang w:eastAsia="en-US"/>
        </w:rPr>
        <w:t xml:space="preserve"> </w:t>
      </w:r>
      <w:r w:rsidRPr="003452CE">
        <w:rPr>
          <w:rFonts w:eastAsia="Calibri"/>
          <w:szCs w:val="20"/>
          <w:lang w:eastAsia="en-US"/>
        </w:rPr>
        <w:t>Instytucja dąży do niezwłocznego prze</w:t>
      </w:r>
      <w:r w:rsidR="00B508D9">
        <w:rPr>
          <w:rFonts w:eastAsia="Calibri"/>
          <w:szCs w:val="20"/>
          <w:lang w:eastAsia="en-US"/>
        </w:rPr>
        <w:t>a</w:t>
      </w:r>
      <w:r w:rsidRPr="003452CE">
        <w:rPr>
          <w:rFonts w:eastAsia="Calibri"/>
          <w:szCs w:val="20"/>
          <w:lang w:eastAsia="en-US"/>
        </w:rPr>
        <w:t>nalizowania dokumentów</w:t>
      </w:r>
      <w:r w:rsidR="00E66B89">
        <w:rPr>
          <w:rFonts w:eastAsia="Calibri"/>
          <w:szCs w:val="20"/>
          <w:lang w:eastAsia="en-US"/>
        </w:rPr>
        <w:t xml:space="preserve"> i </w:t>
      </w:r>
      <w:r w:rsidRPr="003452CE">
        <w:rPr>
          <w:rFonts w:eastAsia="Calibri"/>
          <w:szCs w:val="20"/>
          <w:lang w:eastAsia="en-US"/>
        </w:rPr>
        <w:t>udzielenia odpowiedzi beneficjentowi.</w:t>
      </w:r>
      <w:r w:rsidR="00E66B89">
        <w:rPr>
          <w:rFonts w:eastAsia="Calibri"/>
          <w:szCs w:val="20"/>
          <w:lang w:eastAsia="en-US"/>
        </w:rPr>
        <w:t xml:space="preserve"> Z </w:t>
      </w:r>
      <w:r w:rsidRPr="003452CE">
        <w:rPr>
          <w:rFonts w:eastAsia="Calibri"/>
          <w:szCs w:val="20"/>
          <w:lang w:eastAsia="en-US"/>
        </w:rPr>
        <w:t>praktyki wynika, że gdy obciążenie pracowników pracą jest umiarkowane, udaje się to przeprowadzić do tygodnia, a</w:t>
      </w:r>
      <w:r>
        <w:rPr>
          <w:rFonts w:eastAsia="Calibri"/>
          <w:szCs w:val="20"/>
          <w:lang w:eastAsia="en-US"/>
        </w:rPr>
        <w:t>le</w:t>
      </w:r>
      <w:r w:rsidR="00E66B89">
        <w:rPr>
          <w:rFonts w:eastAsia="Calibri"/>
          <w:szCs w:val="20"/>
          <w:lang w:eastAsia="en-US"/>
        </w:rPr>
        <w:t xml:space="preserve"> w </w:t>
      </w:r>
      <w:r w:rsidRPr="003452CE">
        <w:rPr>
          <w:rFonts w:eastAsia="Calibri"/>
          <w:szCs w:val="20"/>
          <w:lang w:eastAsia="en-US"/>
        </w:rPr>
        <w:t>okresach większego obciążenia pracą zdarza się, że proces ten trwa dłużej</w:t>
      </w:r>
      <w:r>
        <w:rPr>
          <w:rFonts w:eastAsia="Calibri"/>
          <w:szCs w:val="20"/>
          <w:lang w:eastAsia="en-US"/>
        </w:rPr>
        <w:t xml:space="preserve"> -</w:t>
      </w:r>
      <w:r w:rsidRPr="003452CE">
        <w:rPr>
          <w:rFonts w:eastAsia="Calibri"/>
          <w:szCs w:val="20"/>
          <w:lang w:eastAsia="en-US"/>
        </w:rPr>
        <w:t xml:space="preserve"> od kilku dni do nawet 2 tygodni</w:t>
      </w:r>
      <w:r>
        <w:rPr>
          <w:rFonts w:eastAsia="Calibri"/>
          <w:szCs w:val="20"/>
          <w:lang w:eastAsia="en-US"/>
        </w:rPr>
        <w:t>.</w:t>
      </w:r>
      <w:r w:rsidRPr="003452CE">
        <w:rPr>
          <w:rFonts w:eastAsia="Calibri"/>
          <w:szCs w:val="20"/>
          <w:lang w:eastAsia="en-US"/>
        </w:rPr>
        <w:t xml:space="preserve"> </w:t>
      </w:r>
      <w:r>
        <w:rPr>
          <w:rFonts w:eastAsia="Calibri"/>
          <w:szCs w:val="20"/>
          <w:lang w:eastAsia="en-US"/>
        </w:rPr>
        <w:t>P</w:t>
      </w:r>
      <w:r w:rsidRPr="003452CE">
        <w:rPr>
          <w:rFonts w:eastAsia="Calibri"/>
          <w:szCs w:val="20"/>
          <w:lang w:eastAsia="en-US"/>
        </w:rPr>
        <w:t>rzy kilku turach poprawek</w:t>
      </w:r>
      <w:r>
        <w:rPr>
          <w:rFonts w:eastAsia="Calibri"/>
          <w:szCs w:val="20"/>
          <w:lang w:eastAsia="en-US"/>
        </w:rPr>
        <w:t xml:space="preserve"> niemożność udzielenia bezzwłocznej odpowiedzi zaczyna istotnie wpływać na wydłużenie</w:t>
      </w:r>
      <w:r w:rsidRPr="003452CE">
        <w:rPr>
          <w:rFonts w:eastAsia="Calibri"/>
          <w:szCs w:val="20"/>
          <w:lang w:eastAsia="en-US"/>
        </w:rPr>
        <w:t> proces</w:t>
      </w:r>
      <w:r>
        <w:rPr>
          <w:rFonts w:eastAsia="Calibri"/>
          <w:szCs w:val="20"/>
          <w:lang w:eastAsia="en-US"/>
        </w:rPr>
        <w:t>u</w:t>
      </w:r>
      <w:r w:rsidRPr="003452CE">
        <w:rPr>
          <w:rFonts w:eastAsia="Calibri"/>
          <w:szCs w:val="20"/>
          <w:lang w:eastAsia="en-US"/>
        </w:rPr>
        <w:t xml:space="preserve"> zawierania umów.</w:t>
      </w:r>
    </w:p>
    <w:p w14:paraId="592E0FE7" w14:textId="77777777" w:rsidR="00050FB4" w:rsidRPr="00CC61B2" w:rsidRDefault="00050FB4" w:rsidP="00050FB4">
      <w:pPr>
        <w:rPr>
          <w:rFonts w:eastAsia="Calibri"/>
          <w:szCs w:val="20"/>
          <w:lang w:eastAsia="en-US"/>
        </w:rPr>
      </w:pPr>
      <w:r w:rsidRPr="003452CE">
        <w:rPr>
          <w:rFonts w:eastAsia="Calibri"/>
          <w:szCs w:val="20"/>
          <w:lang w:eastAsia="en-US"/>
        </w:rPr>
        <w:t>Drugim czynnikiem po stronie IP jest proces komunikacji</w:t>
      </w:r>
      <w:r w:rsidR="00E66B89">
        <w:rPr>
          <w:rFonts w:eastAsia="Calibri"/>
          <w:szCs w:val="20"/>
          <w:lang w:eastAsia="en-US"/>
        </w:rPr>
        <w:t xml:space="preserve"> z </w:t>
      </w:r>
      <w:r w:rsidRPr="003452CE">
        <w:rPr>
          <w:rFonts w:eastAsia="Calibri"/>
          <w:szCs w:val="20"/>
          <w:lang w:eastAsia="en-US"/>
        </w:rPr>
        <w:t>beneficjentami. Zgodnie</w:t>
      </w:r>
      <w:r w:rsidR="00E66B89">
        <w:rPr>
          <w:rFonts w:eastAsia="Calibri"/>
          <w:szCs w:val="20"/>
          <w:lang w:eastAsia="en-US"/>
        </w:rPr>
        <w:t xml:space="preserve"> z </w:t>
      </w:r>
      <w:r w:rsidRPr="003452CE">
        <w:rPr>
          <w:rFonts w:eastAsia="Calibri"/>
          <w:szCs w:val="20"/>
          <w:lang w:eastAsia="en-US"/>
        </w:rPr>
        <w:t>procedurami</w:t>
      </w:r>
      <w:r>
        <w:rPr>
          <w:rFonts w:eastAsia="Calibri"/>
          <w:szCs w:val="20"/>
          <w:lang w:eastAsia="en-US"/>
        </w:rPr>
        <w:t>,</w:t>
      </w:r>
      <w:r w:rsidRPr="003452CE">
        <w:rPr>
          <w:rFonts w:eastAsia="Calibri"/>
          <w:szCs w:val="20"/>
          <w:lang w:eastAsia="en-US"/>
        </w:rPr>
        <w:t xml:space="preserve"> odpowiedź jest udzielana beneficjentowi na piśmie,</w:t>
      </w:r>
      <w:r w:rsidR="00E66B89">
        <w:rPr>
          <w:rFonts w:eastAsia="Calibri"/>
          <w:szCs w:val="20"/>
          <w:lang w:eastAsia="en-US"/>
        </w:rPr>
        <w:t xml:space="preserve"> a </w:t>
      </w:r>
      <w:r w:rsidRPr="003452CE">
        <w:rPr>
          <w:rFonts w:eastAsia="Calibri"/>
          <w:szCs w:val="20"/>
          <w:lang w:eastAsia="en-US"/>
        </w:rPr>
        <w:t>pismo – wysyłane</w:t>
      </w:r>
      <w:r>
        <w:rPr>
          <w:rFonts w:eastAsia="Calibri"/>
          <w:szCs w:val="20"/>
          <w:lang w:eastAsia="en-US"/>
        </w:rPr>
        <w:t xml:space="preserve"> jest</w:t>
      </w:r>
      <w:r w:rsidRPr="003452CE">
        <w:rPr>
          <w:rFonts w:eastAsia="Calibri"/>
          <w:szCs w:val="20"/>
          <w:lang w:eastAsia="en-US"/>
        </w:rPr>
        <w:t xml:space="preserve"> pocztą. Nie stosuje się natomiast dodatkowego </w:t>
      </w:r>
      <w:r w:rsidRPr="00CC61B2">
        <w:rPr>
          <w:rFonts w:eastAsia="Calibri"/>
          <w:szCs w:val="20"/>
          <w:lang w:eastAsia="en-US"/>
        </w:rPr>
        <w:t xml:space="preserve">usprawnienia, jakim mogłoby być </w:t>
      </w:r>
      <w:r>
        <w:rPr>
          <w:rFonts w:eastAsia="Calibri"/>
          <w:szCs w:val="20"/>
          <w:lang w:eastAsia="en-US"/>
        </w:rPr>
        <w:t xml:space="preserve">dodatkowo </w:t>
      </w:r>
      <w:r w:rsidRPr="00CC61B2">
        <w:rPr>
          <w:rFonts w:eastAsia="Calibri"/>
          <w:szCs w:val="20"/>
          <w:lang w:eastAsia="en-US"/>
        </w:rPr>
        <w:t>przesłanie skanu pisma (oprócz drogi tradycyjnej) pocztą elektroniczną. Teoretycznie nie przewiduje tego regulamin instytucji. Jednak</w:t>
      </w:r>
      <w:r w:rsidR="00E66B89">
        <w:rPr>
          <w:rFonts w:eastAsia="Calibri"/>
          <w:szCs w:val="20"/>
          <w:lang w:eastAsia="en-US"/>
        </w:rPr>
        <w:t xml:space="preserve"> w </w:t>
      </w:r>
      <w:r w:rsidRPr="00CC61B2">
        <w:rPr>
          <w:rFonts w:eastAsia="Calibri"/>
          <w:szCs w:val="20"/>
          <w:lang w:eastAsia="en-US"/>
        </w:rPr>
        <w:t>opinii jednego</w:t>
      </w:r>
      <w:r w:rsidR="00E66B89">
        <w:rPr>
          <w:rFonts w:eastAsia="Calibri"/>
          <w:szCs w:val="20"/>
          <w:lang w:eastAsia="en-US"/>
        </w:rPr>
        <w:t xml:space="preserve"> z </w:t>
      </w:r>
      <w:r w:rsidRPr="00CC61B2">
        <w:rPr>
          <w:rFonts w:eastAsia="Calibri"/>
          <w:szCs w:val="20"/>
          <w:lang w:eastAsia="en-US"/>
        </w:rPr>
        <w:t>pracowników,</w:t>
      </w:r>
      <w:r w:rsidR="00E66B89">
        <w:rPr>
          <w:rFonts w:eastAsia="Calibri"/>
          <w:szCs w:val="20"/>
          <w:lang w:eastAsia="en-US"/>
        </w:rPr>
        <w:t xml:space="preserve"> z </w:t>
      </w:r>
      <w:r w:rsidRPr="00CC61B2">
        <w:rPr>
          <w:rFonts w:eastAsia="Calibri"/>
          <w:szCs w:val="20"/>
          <w:lang w:eastAsia="en-US"/>
        </w:rPr>
        <w:t>którym rozmawiano, wprowadzenie takiego rozwiązania najpewniej byłoby możliwe</w:t>
      </w:r>
      <w:r w:rsidR="00E66B89">
        <w:rPr>
          <w:rFonts w:eastAsia="Calibri"/>
          <w:szCs w:val="20"/>
          <w:lang w:eastAsia="en-US"/>
        </w:rPr>
        <w:t xml:space="preserve"> i </w:t>
      </w:r>
      <w:r w:rsidRPr="00CC61B2">
        <w:rPr>
          <w:rFonts w:eastAsia="Calibri"/>
          <w:szCs w:val="20"/>
          <w:lang w:eastAsia="en-US"/>
        </w:rPr>
        <w:t>warto raz jeszcze przeanalizować to rozwiązanie.</w:t>
      </w:r>
    </w:p>
    <w:p w14:paraId="5724EA15" w14:textId="77777777" w:rsidR="00050FB4" w:rsidRDefault="00050FB4" w:rsidP="00050FB4">
      <w:pPr>
        <w:rPr>
          <w:rFonts w:eastAsia="Calibri"/>
          <w:szCs w:val="20"/>
          <w:lang w:eastAsia="en-US"/>
        </w:rPr>
      </w:pPr>
      <w:r w:rsidRPr="00CC61B2">
        <w:rPr>
          <w:rFonts w:eastAsia="Calibri"/>
          <w:szCs w:val="20"/>
          <w:lang w:eastAsia="en-US"/>
        </w:rPr>
        <w:t xml:space="preserve">Należy stwierdzić, że </w:t>
      </w:r>
      <w:r>
        <w:rPr>
          <w:rFonts w:eastAsia="Calibri"/>
          <w:szCs w:val="20"/>
          <w:lang w:eastAsia="en-US"/>
        </w:rPr>
        <w:t>wydłużenie procesu </w:t>
      </w:r>
      <w:r w:rsidRPr="00CC61B2">
        <w:rPr>
          <w:rFonts w:eastAsia="Calibri"/>
          <w:szCs w:val="20"/>
          <w:lang w:eastAsia="en-US"/>
        </w:rPr>
        <w:t>zawierani</w:t>
      </w:r>
      <w:r>
        <w:rPr>
          <w:rFonts w:eastAsia="Calibri"/>
          <w:szCs w:val="20"/>
          <w:lang w:eastAsia="en-US"/>
        </w:rPr>
        <w:t>a</w:t>
      </w:r>
      <w:r w:rsidRPr="00CC61B2">
        <w:rPr>
          <w:rFonts w:eastAsia="Calibri"/>
          <w:szCs w:val="20"/>
          <w:lang w:eastAsia="en-US"/>
        </w:rPr>
        <w:t xml:space="preserve"> umów może być niepokojące</w:t>
      </w:r>
      <w:r w:rsidR="00E66B89">
        <w:rPr>
          <w:rFonts w:eastAsia="Calibri"/>
          <w:szCs w:val="20"/>
          <w:lang w:eastAsia="en-US"/>
        </w:rPr>
        <w:t xml:space="preserve"> i </w:t>
      </w:r>
      <w:r w:rsidRPr="00CC61B2">
        <w:rPr>
          <w:rFonts w:eastAsia="Calibri"/>
          <w:szCs w:val="20"/>
          <w:lang w:eastAsia="en-US"/>
        </w:rPr>
        <w:t>wskazywać na istnienie ryzyka</w:t>
      </w:r>
      <w:r w:rsidR="00E66B89">
        <w:rPr>
          <w:rFonts w:eastAsia="Calibri"/>
          <w:szCs w:val="20"/>
          <w:lang w:eastAsia="en-US"/>
        </w:rPr>
        <w:t xml:space="preserve"> w </w:t>
      </w:r>
      <w:r w:rsidRPr="00CC61B2">
        <w:rPr>
          <w:rFonts w:eastAsia="Calibri"/>
          <w:szCs w:val="20"/>
          <w:lang w:eastAsia="en-US"/>
        </w:rPr>
        <w:t>postaci niepełnego wykorzystania rezerwy wykonania</w:t>
      </w:r>
      <w:r w:rsidR="00E66B89">
        <w:rPr>
          <w:rFonts w:eastAsia="Calibri"/>
          <w:szCs w:val="20"/>
          <w:lang w:eastAsia="en-US"/>
        </w:rPr>
        <w:t xml:space="preserve"> w </w:t>
      </w:r>
      <w:r w:rsidRPr="00CC61B2">
        <w:rPr>
          <w:rFonts w:eastAsia="Calibri"/>
          <w:szCs w:val="20"/>
          <w:lang w:eastAsia="en-US"/>
        </w:rPr>
        <w:t>Działani</w:t>
      </w:r>
      <w:r>
        <w:rPr>
          <w:rFonts w:eastAsia="Calibri"/>
          <w:szCs w:val="20"/>
          <w:lang w:eastAsia="en-US"/>
        </w:rPr>
        <w:t>u</w:t>
      </w:r>
      <w:r w:rsidRPr="00CC61B2">
        <w:rPr>
          <w:rFonts w:eastAsia="Calibri"/>
          <w:szCs w:val="20"/>
          <w:lang w:eastAsia="en-US"/>
        </w:rPr>
        <w:t xml:space="preserve"> 8.6.</w:t>
      </w:r>
      <w:r w:rsidR="00E66B89">
        <w:rPr>
          <w:rFonts w:eastAsia="Calibri"/>
          <w:szCs w:val="20"/>
          <w:lang w:eastAsia="en-US"/>
        </w:rPr>
        <w:t xml:space="preserve"> W </w:t>
      </w:r>
      <w:r w:rsidRPr="00CC61B2">
        <w:rPr>
          <w:rFonts w:eastAsia="Calibri"/>
          <w:szCs w:val="20"/>
          <w:lang w:eastAsia="en-US"/>
        </w:rPr>
        <w:t xml:space="preserve">ocenie </w:t>
      </w:r>
      <w:r w:rsidRPr="00CC61B2">
        <w:rPr>
          <w:rFonts w:eastAsia="Calibri"/>
          <w:szCs w:val="20"/>
          <w:lang w:eastAsia="en-US"/>
        </w:rPr>
        <w:lastRenderedPageBreak/>
        <w:t>ewaluatora niezbędne jest podjęcie działań zaradczych. Na tym etapie badania zasadne wydaje się: 1) Zwiększenie obsady kadrowej</w:t>
      </w:r>
      <w:r w:rsidR="00E66B89">
        <w:rPr>
          <w:rFonts w:eastAsia="Calibri"/>
          <w:szCs w:val="20"/>
          <w:lang w:eastAsia="en-US"/>
        </w:rPr>
        <w:t xml:space="preserve"> w </w:t>
      </w:r>
      <w:r w:rsidRPr="00CC61B2">
        <w:rPr>
          <w:rFonts w:eastAsia="Calibri"/>
          <w:szCs w:val="20"/>
          <w:lang w:eastAsia="en-US"/>
        </w:rPr>
        <w:t>IP; 2) Wprowadzenie</w:t>
      </w:r>
      <w:r>
        <w:rPr>
          <w:rFonts w:eastAsia="Calibri"/>
          <w:szCs w:val="20"/>
          <w:lang w:eastAsia="en-US"/>
        </w:rPr>
        <w:t>,</w:t>
      </w:r>
      <w:r w:rsidRPr="00CC61B2">
        <w:rPr>
          <w:rFonts w:eastAsia="Calibri"/>
          <w:szCs w:val="20"/>
          <w:lang w:eastAsia="en-US"/>
        </w:rPr>
        <w:t xml:space="preserve"> określonego procedurą</w:t>
      </w:r>
      <w:r>
        <w:rPr>
          <w:rFonts w:eastAsia="Calibri"/>
          <w:szCs w:val="20"/>
          <w:lang w:eastAsia="en-US"/>
        </w:rPr>
        <w:t>,</w:t>
      </w:r>
      <w:r w:rsidRPr="00CC61B2">
        <w:rPr>
          <w:rFonts w:eastAsia="Calibri"/>
          <w:szCs w:val="20"/>
          <w:lang w:eastAsia="en-US"/>
        </w:rPr>
        <w:t xml:space="preserve"> terminu na udzielenie odpowiedzi beneficjentowi (adekwatnego</w:t>
      </w:r>
      <w:r w:rsidRPr="003452CE">
        <w:rPr>
          <w:rFonts w:eastAsia="Calibri"/>
          <w:szCs w:val="20"/>
          <w:lang w:eastAsia="en-US"/>
        </w:rPr>
        <w:t xml:space="preserve"> do aktualnej lub zwiększonej obsady kadrowej</w:t>
      </w:r>
      <w:r w:rsidR="00E66B89">
        <w:rPr>
          <w:rFonts w:eastAsia="Calibri"/>
          <w:szCs w:val="20"/>
          <w:lang w:eastAsia="en-US"/>
        </w:rPr>
        <w:t xml:space="preserve"> w </w:t>
      </w:r>
      <w:r w:rsidRPr="003452CE">
        <w:rPr>
          <w:rFonts w:eastAsia="Calibri"/>
          <w:szCs w:val="20"/>
          <w:lang w:eastAsia="en-US"/>
        </w:rPr>
        <w:t>IP), prognozowanie</w:t>
      </w:r>
      <w:r w:rsidR="00E66B89">
        <w:rPr>
          <w:rFonts w:eastAsia="Calibri"/>
          <w:szCs w:val="20"/>
          <w:lang w:eastAsia="en-US"/>
        </w:rPr>
        <w:t xml:space="preserve"> i </w:t>
      </w:r>
      <w:r w:rsidRPr="003452CE">
        <w:rPr>
          <w:rFonts w:eastAsia="Calibri"/>
          <w:szCs w:val="20"/>
          <w:lang w:eastAsia="en-US"/>
        </w:rPr>
        <w:t>monitorowanie, czy te terminy zostaną dotrzymane; 3) Modyfikację formularza załącznika finansowego (np. wprowadzenie formuł sprawdzających poprawność obliczeń); 4) Wprowadzenie standardu komunikacji pocztą elektroniczną (z osobą wyznaczoną do kontaktów roboczych po stronie beneficjenta) jako metody stosowanej równolegle do wysyłki pism pocztą tradycyjną.</w:t>
      </w:r>
    </w:p>
    <w:p w14:paraId="3E350750" w14:textId="77777777" w:rsidR="00050FB4" w:rsidRPr="003452CE" w:rsidRDefault="00050FB4" w:rsidP="00050FB4">
      <w:pPr>
        <w:rPr>
          <w:rFonts w:eastAsia="Calibri"/>
          <w:szCs w:val="20"/>
          <w:lang w:eastAsia="en-US"/>
        </w:rPr>
      </w:pPr>
      <w:r>
        <w:rPr>
          <w:rFonts w:eastAsia="Calibri"/>
          <w:szCs w:val="20"/>
          <w:lang w:eastAsia="en-US"/>
        </w:rPr>
        <w:t>Ponadto,</w:t>
      </w:r>
      <w:r w:rsidR="00E66B89">
        <w:rPr>
          <w:rFonts w:eastAsia="Calibri"/>
          <w:szCs w:val="20"/>
          <w:lang w:eastAsia="en-US"/>
        </w:rPr>
        <w:t xml:space="preserve"> w </w:t>
      </w:r>
      <w:r>
        <w:rPr>
          <w:rFonts w:eastAsia="Calibri"/>
          <w:szCs w:val="20"/>
          <w:lang w:eastAsia="en-US"/>
        </w:rPr>
        <w:t>wywiadach</w:t>
      </w:r>
      <w:r w:rsidR="00E66B89">
        <w:rPr>
          <w:rFonts w:eastAsia="Calibri"/>
          <w:szCs w:val="20"/>
          <w:lang w:eastAsia="en-US"/>
        </w:rPr>
        <w:t xml:space="preserve"> z </w:t>
      </w:r>
      <w:r>
        <w:rPr>
          <w:rFonts w:eastAsia="Calibri"/>
          <w:szCs w:val="20"/>
          <w:lang w:eastAsia="en-US"/>
        </w:rPr>
        <w:t>przedstawicielami IZ, zidentyfikowano inne problemy mogące przyczyniać się do nieosiągania wyznaczonych</w:t>
      </w:r>
      <w:r w:rsidR="00E66B89">
        <w:rPr>
          <w:rFonts w:eastAsia="Calibri"/>
          <w:szCs w:val="20"/>
          <w:lang w:eastAsia="en-US"/>
        </w:rPr>
        <w:t xml:space="preserve"> w </w:t>
      </w:r>
      <w:r>
        <w:rPr>
          <w:rFonts w:eastAsia="Calibri"/>
          <w:szCs w:val="20"/>
          <w:lang w:eastAsia="en-US"/>
        </w:rPr>
        <w:t>Działaniu 8.6 rezultatów. Wskazywano m.in. na kwoty stypendiów stażowych, które</w:t>
      </w:r>
      <w:r w:rsidR="00E66B89">
        <w:rPr>
          <w:rFonts w:eastAsia="Calibri"/>
          <w:szCs w:val="20"/>
          <w:lang w:eastAsia="en-US"/>
        </w:rPr>
        <w:t xml:space="preserve"> w </w:t>
      </w:r>
      <w:r>
        <w:rPr>
          <w:rFonts w:eastAsia="Calibri"/>
          <w:szCs w:val="20"/>
          <w:lang w:eastAsia="en-US"/>
        </w:rPr>
        <w:t>warunkach rynku pracownika są coraz mniej atrakcyjne dla stażystów. Także kwoty wynagrodzeń dla opiekunów staży po stronie pracodawców nie są zachętą do podejmowania współpracy ze szkołami.</w:t>
      </w:r>
    </w:p>
    <w:p w14:paraId="1366602E" w14:textId="77777777" w:rsidR="00050FB4" w:rsidRPr="003452CE" w:rsidRDefault="00050FB4" w:rsidP="00050FB4">
      <w:pPr>
        <w:rPr>
          <w:rFonts w:eastAsia="Calibri"/>
          <w:szCs w:val="20"/>
          <w:lang w:eastAsia="en-US"/>
        </w:rPr>
      </w:pPr>
      <w:r w:rsidRPr="003452CE">
        <w:rPr>
          <w:rFonts w:eastAsia="Calibri"/>
          <w:szCs w:val="20"/>
          <w:lang w:eastAsia="en-US"/>
        </w:rPr>
        <w:t>W ramach Działań 8.7-8.9 przeprowadzono po jednym naborze wniosków.</w:t>
      </w:r>
      <w:r w:rsidR="00E66B89">
        <w:rPr>
          <w:rFonts w:eastAsia="Calibri"/>
          <w:szCs w:val="20"/>
          <w:lang w:eastAsia="en-US"/>
        </w:rPr>
        <w:t xml:space="preserve"> W </w:t>
      </w:r>
      <w:r w:rsidRPr="003452CE">
        <w:rPr>
          <w:rFonts w:eastAsia="Calibri"/>
          <w:szCs w:val="20"/>
          <w:lang w:eastAsia="en-US"/>
        </w:rPr>
        <w:t>Działaniu 8.7 wartość wkładu UE</w:t>
      </w:r>
      <w:r>
        <w:rPr>
          <w:rFonts w:eastAsia="Calibri"/>
          <w:szCs w:val="20"/>
          <w:lang w:eastAsia="en-US"/>
        </w:rPr>
        <w:t>,</w:t>
      </w:r>
      <w:r w:rsidR="00E66B89">
        <w:rPr>
          <w:rFonts w:eastAsia="Calibri"/>
          <w:szCs w:val="20"/>
          <w:lang w:eastAsia="en-US"/>
        </w:rPr>
        <w:t xml:space="preserve"> w </w:t>
      </w:r>
      <w:r w:rsidRPr="003452CE">
        <w:rPr>
          <w:rFonts w:eastAsia="Calibri"/>
          <w:szCs w:val="20"/>
          <w:lang w:eastAsia="en-US"/>
        </w:rPr>
        <w:t>złożonych wnioskach poprawnych formalnie</w:t>
      </w:r>
      <w:r>
        <w:rPr>
          <w:rFonts w:eastAsia="Calibri"/>
          <w:szCs w:val="20"/>
          <w:lang w:eastAsia="en-US"/>
        </w:rPr>
        <w:t>,</w:t>
      </w:r>
      <w:r w:rsidRPr="003452CE">
        <w:rPr>
          <w:rFonts w:eastAsia="Calibri"/>
          <w:szCs w:val="20"/>
          <w:lang w:eastAsia="en-US"/>
        </w:rPr>
        <w:t xml:space="preserve"> stanowiła zaledwie 88% budżetu naboru (zawarto umowy na wszystkie te wnioski)</w:t>
      </w:r>
      <w:r>
        <w:rPr>
          <w:rFonts w:eastAsia="Calibri"/>
          <w:szCs w:val="20"/>
          <w:lang w:eastAsia="en-US"/>
        </w:rPr>
        <w:t>.</w:t>
      </w:r>
      <w:r w:rsidR="00E66B89">
        <w:rPr>
          <w:rFonts w:eastAsia="Calibri"/>
          <w:szCs w:val="20"/>
          <w:lang w:eastAsia="en-US"/>
        </w:rPr>
        <w:t xml:space="preserve"> W </w:t>
      </w:r>
      <w:r w:rsidRPr="003452CE">
        <w:rPr>
          <w:rFonts w:eastAsia="Calibri"/>
          <w:szCs w:val="20"/>
          <w:lang w:eastAsia="en-US"/>
        </w:rPr>
        <w:t>Działaniu 8.8 tylko 73%,</w:t>
      </w:r>
      <w:r w:rsidR="00E66B89">
        <w:rPr>
          <w:rFonts w:eastAsia="Calibri"/>
          <w:szCs w:val="20"/>
          <w:lang w:eastAsia="en-US"/>
        </w:rPr>
        <w:t xml:space="preserve"> a z </w:t>
      </w:r>
      <w:r w:rsidRPr="003452CE">
        <w:rPr>
          <w:rFonts w:eastAsia="Calibri"/>
          <w:szCs w:val="20"/>
          <w:lang w:eastAsia="en-US"/>
        </w:rPr>
        <w:t>zawartych umów zaledwie 60%,</w:t>
      </w:r>
      <w:r w:rsidR="00E66B89">
        <w:rPr>
          <w:rFonts w:eastAsia="Calibri"/>
          <w:szCs w:val="20"/>
          <w:lang w:eastAsia="en-US"/>
        </w:rPr>
        <w:t xml:space="preserve"> i </w:t>
      </w:r>
      <w:r w:rsidRPr="003452CE">
        <w:rPr>
          <w:rFonts w:eastAsia="Calibri"/>
          <w:szCs w:val="20"/>
          <w:lang w:eastAsia="en-US"/>
        </w:rPr>
        <w:t>to mimo że konkurs zakończył się</w:t>
      </w:r>
      <w:r w:rsidR="00E66B89">
        <w:rPr>
          <w:rFonts w:eastAsia="Calibri"/>
          <w:szCs w:val="20"/>
          <w:lang w:eastAsia="en-US"/>
        </w:rPr>
        <w:t xml:space="preserve"> w </w:t>
      </w:r>
      <w:r w:rsidRPr="003452CE">
        <w:rPr>
          <w:rFonts w:eastAsia="Calibri"/>
          <w:szCs w:val="20"/>
          <w:lang w:eastAsia="en-US"/>
        </w:rPr>
        <w:t>2016 r.</w:t>
      </w:r>
      <w:r w:rsidR="00E66B89">
        <w:rPr>
          <w:rFonts w:eastAsia="Calibri"/>
          <w:szCs w:val="20"/>
          <w:lang w:eastAsia="en-US"/>
        </w:rPr>
        <w:t xml:space="preserve"> W </w:t>
      </w:r>
      <w:r w:rsidRPr="003452CE">
        <w:rPr>
          <w:rFonts w:eastAsia="Calibri"/>
          <w:szCs w:val="20"/>
          <w:lang w:eastAsia="en-US"/>
        </w:rPr>
        <w:t xml:space="preserve">Działaniu 8.9 wartość wkładu UE </w:t>
      </w:r>
      <w:r>
        <w:rPr>
          <w:rFonts w:eastAsia="Calibri"/>
          <w:szCs w:val="20"/>
          <w:lang w:eastAsia="en-US"/>
        </w:rPr>
        <w:t>we</w:t>
      </w:r>
      <w:r w:rsidRPr="003452CE">
        <w:rPr>
          <w:rFonts w:eastAsia="Calibri"/>
          <w:szCs w:val="20"/>
          <w:lang w:eastAsia="en-US"/>
        </w:rPr>
        <w:t xml:space="preserve"> wnioskach poprawnych formalnie wyniosła jedynie 59% budżetu konkursu (zawarto umowy na wszystkie projekty). </w:t>
      </w:r>
    </w:p>
    <w:p w14:paraId="59848F90" w14:textId="77777777" w:rsidR="00050FB4" w:rsidRPr="003452CE" w:rsidRDefault="00050FB4" w:rsidP="00050FB4">
      <w:pPr>
        <w:rPr>
          <w:rFonts w:eastAsia="Calibri"/>
          <w:szCs w:val="20"/>
          <w:lang w:eastAsia="en-US"/>
        </w:rPr>
      </w:pPr>
      <w:r>
        <w:rPr>
          <w:rFonts w:eastAsia="Calibri"/>
          <w:szCs w:val="20"/>
          <w:lang w:eastAsia="en-US"/>
        </w:rPr>
        <w:t>Jak widać,</w:t>
      </w:r>
      <w:r w:rsidRPr="003452CE">
        <w:rPr>
          <w:rFonts w:eastAsia="Calibri"/>
          <w:szCs w:val="20"/>
          <w:lang w:eastAsia="en-US"/>
        </w:rPr>
        <w:t xml:space="preserve"> zainteresowanie wsparciem wśród projektodawców występuje, ale wyraźnie</w:t>
      </w:r>
      <w:r>
        <w:rPr>
          <w:rFonts w:eastAsia="Calibri"/>
          <w:szCs w:val="20"/>
          <w:lang w:eastAsia="en-US"/>
        </w:rPr>
        <w:t>j</w:t>
      </w:r>
      <w:r w:rsidRPr="003452CE">
        <w:rPr>
          <w:rFonts w:eastAsia="Calibri"/>
          <w:szCs w:val="20"/>
          <w:lang w:eastAsia="en-US"/>
        </w:rPr>
        <w:t xml:space="preserve"> preferują oni ubieganie się</w:t>
      </w:r>
      <w:r w:rsidR="00E66B89">
        <w:rPr>
          <w:rFonts w:eastAsia="Calibri"/>
          <w:szCs w:val="20"/>
          <w:lang w:eastAsia="en-US"/>
        </w:rPr>
        <w:t xml:space="preserve"> o </w:t>
      </w:r>
      <w:r w:rsidRPr="003452CE">
        <w:rPr>
          <w:rFonts w:eastAsia="Calibri"/>
          <w:szCs w:val="20"/>
          <w:lang w:eastAsia="en-US"/>
        </w:rPr>
        <w:t>środki</w:t>
      </w:r>
      <w:r w:rsidR="00E66B89">
        <w:rPr>
          <w:rFonts w:eastAsia="Calibri"/>
          <w:szCs w:val="20"/>
          <w:lang w:eastAsia="en-US"/>
        </w:rPr>
        <w:t xml:space="preserve"> w </w:t>
      </w:r>
      <w:r w:rsidRPr="003452CE">
        <w:rPr>
          <w:rFonts w:eastAsia="Calibri"/>
          <w:szCs w:val="20"/>
          <w:lang w:eastAsia="en-US"/>
        </w:rPr>
        <w:t>ramach Działania 8.6, niż</w:t>
      </w:r>
      <w:r w:rsidR="00E66B89">
        <w:rPr>
          <w:rFonts w:eastAsia="Calibri"/>
          <w:szCs w:val="20"/>
          <w:lang w:eastAsia="en-US"/>
        </w:rPr>
        <w:t xml:space="preserve"> w </w:t>
      </w:r>
      <w:r w:rsidRPr="003452CE">
        <w:rPr>
          <w:rFonts w:eastAsia="Calibri"/>
          <w:szCs w:val="20"/>
          <w:lang w:eastAsia="en-US"/>
        </w:rPr>
        <w:t xml:space="preserve">ramach </w:t>
      </w:r>
      <w:r>
        <w:rPr>
          <w:rFonts w:eastAsia="Calibri"/>
          <w:szCs w:val="20"/>
          <w:lang w:eastAsia="en-US"/>
        </w:rPr>
        <w:t>D</w:t>
      </w:r>
      <w:r w:rsidRPr="003452CE">
        <w:rPr>
          <w:rFonts w:eastAsia="Calibri"/>
          <w:szCs w:val="20"/>
          <w:lang w:eastAsia="en-US"/>
        </w:rPr>
        <w:t>ziałań dedykowanych do obszarów. Daje to podstawę do hipotezy</w:t>
      </w:r>
      <w:r w:rsidR="00E66B89">
        <w:rPr>
          <w:rFonts w:eastAsia="Calibri"/>
          <w:szCs w:val="20"/>
          <w:lang w:eastAsia="en-US"/>
        </w:rPr>
        <w:t xml:space="preserve"> o </w:t>
      </w:r>
      <w:r w:rsidRPr="003452CE">
        <w:rPr>
          <w:rFonts w:eastAsia="Calibri"/>
          <w:szCs w:val="20"/>
          <w:lang w:eastAsia="en-US"/>
        </w:rPr>
        <w:t>trudności</w:t>
      </w:r>
      <w:r w:rsidR="00E66B89">
        <w:rPr>
          <w:rFonts w:eastAsia="Calibri"/>
          <w:szCs w:val="20"/>
          <w:lang w:eastAsia="en-US"/>
        </w:rPr>
        <w:t xml:space="preserve"> w </w:t>
      </w:r>
      <w:r w:rsidRPr="003452CE">
        <w:rPr>
          <w:rFonts w:eastAsia="Calibri"/>
          <w:szCs w:val="20"/>
          <w:lang w:eastAsia="en-US"/>
        </w:rPr>
        <w:t>spełnieniu wymagań</w:t>
      </w:r>
      <w:r w:rsidR="00E66B89">
        <w:rPr>
          <w:rFonts w:eastAsia="Calibri"/>
          <w:szCs w:val="20"/>
          <w:lang w:eastAsia="en-US"/>
        </w:rPr>
        <w:t xml:space="preserve"> w </w:t>
      </w:r>
      <w:r w:rsidRPr="003452CE">
        <w:rPr>
          <w:rFonts w:eastAsia="Calibri"/>
          <w:szCs w:val="20"/>
          <w:lang w:eastAsia="en-US"/>
        </w:rPr>
        <w:t>zakresie komplementarności wsparcia</w:t>
      </w:r>
      <w:r w:rsidR="00E66B89">
        <w:rPr>
          <w:rFonts w:eastAsia="Calibri"/>
          <w:szCs w:val="20"/>
          <w:lang w:eastAsia="en-US"/>
        </w:rPr>
        <w:t xml:space="preserve"> z </w:t>
      </w:r>
      <w:r w:rsidRPr="003452CE">
        <w:rPr>
          <w:rFonts w:eastAsia="Calibri"/>
          <w:szCs w:val="20"/>
          <w:lang w:eastAsia="en-US"/>
        </w:rPr>
        <w:t xml:space="preserve">projektami </w:t>
      </w:r>
      <w:r>
        <w:rPr>
          <w:rFonts w:eastAsia="Calibri"/>
          <w:szCs w:val="20"/>
          <w:lang w:eastAsia="en-US"/>
        </w:rPr>
        <w:t>realizowanymi</w:t>
      </w:r>
      <w:r w:rsidR="00E66B89">
        <w:rPr>
          <w:rFonts w:eastAsia="Calibri"/>
          <w:szCs w:val="20"/>
          <w:lang w:eastAsia="en-US"/>
        </w:rPr>
        <w:t xml:space="preserve"> z </w:t>
      </w:r>
      <w:r w:rsidRPr="003452CE">
        <w:rPr>
          <w:rFonts w:eastAsia="Calibri"/>
          <w:szCs w:val="20"/>
          <w:lang w:eastAsia="en-US"/>
        </w:rPr>
        <w:t xml:space="preserve">pozostałych </w:t>
      </w:r>
      <w:r>
        <w:rPr>
          <w:rFonts w:eastAsia="Calibri"/>
          <w:szCs w:val="20"/>
          <w:lang w:eastAsia="en-US"/>
        </w:rPr>
        <w:t>D</w:t>
      </w:r>
      <w:r w:rsidRPr="003452CE">
        <w:rPr>
          <w:rFonts w:eastAsia="Calibri"/>
          <w:szCs w:val="20"/>
          <w:lang w:eastAsia="en-US"/>
        </w:rPr>
        <w:t>ziałań</w:t>
      </w:r>
      <w:r>
        <w:rPr>
          <w:rFonts w:eastAsia="Calibri"/>
          <w:szCs w:val="20"/>
          <w:lang w:eastAsia="en-US"/>
        </w:rPr>
        <w:t>,</w:t>
      </w:r>
      <w:r w:rsidRPr="003452CE">
        <w:rPr>
          <w:rFonts w:eastAsia="Calibri"/>
          <w:szCs w:val="20"/>
          <w:lang w:eastAsia="en-US"/>
        </w:rPr>
        <w:t xml:space="preserve"> wspierających dany obszar. Takich wymagań nie postawiono</w:t>
      </w:r>
      <w:r w:rsidR="00E66B89">
        <w:rPr>
          <w:rFonts w:eastAsia="Calibri"/>
          <w:szCs w:val="20"/>
          <w:lang w:eastAsia="en-US"/>
        </w:rPr>
        <w:t xml:space="preserve"> w </w:t>
      </w:r>
      <w:r w:rsidRPr="003452CE">
        <w:rPr>
          <w:rFonts w:eastAsia="Calibri"/>
          <w:szCs w:val="20"/>
          <w:lang w:eastAsia="en-US"/>
        </w:rPr>
        <w:t>Działaniu 8.6, jest więc ono</w:t>
      </w:r>
      <w:r w:rsidR="00E66B89">
        <w:rPr>
          <w:rFonts w:eastAsia="Calibri"/>
          <w:szCs w:val="20"/>
          <w:lang w:eastAsia="en-US"/>
        </w:rPr>
        <w:t xml:space="preserve"> w </w:t>
      </w:r>
      <w:r w:rsidRPr="003452CE">
        <w:rPr>
          <w:rFonts w:eastAsia="Calibri"/>
          <w:szCs w:val="20"/>
          <w:lang w:eastAsia="en-US"/>
        </w:rPr>
        <w:t>oczywisty sposób łatwiejsze dla projektodawców.</w:t>
      </w:r>
    </w:p>
    <w:p w14:paraId="4D8472C2" w14:textId="77777777" w:rsidR="00050FB4" w:rsidRDefault="00050FB4" w:rsidP="00050FB4">
      <w:pPr>
        <w:rPr>
          <w:rFonts w:eastAsia="Calibri"/>
          <w:szCs w:val="20"/>
          <w:lang w:eastAsia="en-US"/>
        </w:rPr>
      </w:pPr>
      <w:r w:rsidRPr="003452CE">
        <w:rPr>
          <w:rFonts w:eastAsia="Calibri"/>
          <w:szCs w:val="20"/>
          <w:lang w:eastAsia="en-US"/>
        </w:rPr>
        <w:t>Na tym etapie najmniejszy potencjał absorpcyjny zidentyfikowano</w:t>
      </w:r>
      <w:r w:rsidR="00E66B89">
        <w:rPr>
          <w:rFonts w:eastAsia="Calibri"/>
          <w:szCs w:val="20"/>
          <w:lang w:eastAsia="en-US"/>
        </w:rPr>
        <w:t xml:space="preserve"> w </w:t>
      </w:r>
      <w:r w:rsidRPr="003452CE">
        <w:rPr>
          <w:rFonts w:eastAsia="Calibri"/>
          <w:szCs w:val="20"/>
          <w:lang w:eastAsia="en-US"/>
        </w:rPr>
        <w:t>Działaniu 8.9, któremu</w:t>
      </w:r>
      <w:r w:rsidR="00E66B89">
        <w:rPr>
          <w:rFonts w:eastAsia="Calibri"/>
          <w:szCs w:val="20"/>
          <w:lang w:eastAsia="en-US"/>
        </w:rPr>
        <w:t xml:space="preserve"> w </w:t>
      </w:r>
      <w:r w:rsidRPr="003452CE">
        <w:rPr>
          <w:rFonts w:eastAsia="Calibri"/>
          <w:szCs w:val="20"/>
          <w:lang w:eastAsia="en-US"/>
        </w:rPr>
        <w:t xml:space="preserve">ramach EFRR odpowiada Działanie 9.9 </w:t>
      </w:r>
      <w:r w:rsidRPr="003452CE">
        <w:rPr>
          <w:rFonts w:eastAsia="Calibri"/>
          <w:i/>
          <w:szCs w:val="20"/>
          <w:lang w:eastAsia="en-US"/>
        </w:rPr>
        <w:t>Infrastruktura szkolnictwa zawodowego</w:t>
      </w:r>
      <w:r w:rsidR="00E66B89">
        <w:rPr>
          <w:rFonts w:eastAsia="Calibri"/>
          <w:i/>
          <w:szCs w:val="20"/>
          <w:lang w:eastAsia="en-US"/>
        </w:rPr>
        <w:t xml:space="preserve"> w </w:t>
      </w:r>
      <w:r w:rsidRPr="003452CE">
        <w:rPr>
          <w:rFonts w:eastAsia="Calibri"/>
          <w:i/>
          <w:szCs w:val="20"/>
          <w:lang w:eastAsia="en-US"/>
        </w:rPr>
        <w:t>ramach Kontraktów Samorządowych</w:t>
      </w:r>
      <w:r w:rsidRPr="003452CE">
        <w:rPr>
          <w:rFonts w:eastAsia="Calibri"/>
          <w:szCs w:val="20"/>
          <w:lang w:eastAsia="en-US"/>
        </w:rPr>
        <w:t>,</w:t>
      </w:r>
      <w:r w:rsidR="00E66B89">
        <w:rPr>
          <w:rFonts w:eastAsia="Calibri"/>
          <w:szCs w:val="20"/>
          <w:lang w:eastAsia="en-US"/>
        </w:rPr>
        <w:t xml:space="preserve"> a w </w:t>
      </w:r>
      <w:r>
        <w:rPr>
          <w:rFonts w:eastAsia="Calibri"/>
          <w:szCs w:val="20"/>
          <w:lang w:eastAsia="en-US"/>
        </w:rPr>
        <w:t>tym Działaniu</w:t>
      </w:r>
      <w:r w:rsidRPr="003452CE">
        <w:rPr>
          <w:rFonts w:eastAsia="Calibri"/>
          <w:szCs w:val="20"/>
          <w:lang w:eastAsia="en-US"/>
        </w:rPr>
        <w:t xml:space="preserve"> obowiązuje wymóg, że projekty muszą być „kompleksowe</w:t>
      </w:r>
      <w:r w:rsidR="00E66B89">
        <w:rPr>
          <w:rFonts w:eastAsia="Calibri"/>
          <w:szCs w:val="20"/>
          <w:lang w:eastAsia="en-US"/>
        </w:rPr>
        <w:t xml:space="preserve"> i </w:t>
      </w:r>
      <w:r w:rsidRPr="003452CE">
        <w:rPr>
          <w:rFonts w:eastAsia="Calibri"/>
          <w:szCs w:val="20"/>
          <w:lang w:eastAsia="en-US"/>
        </w:rPr>
        <w:t>komplementarne</w:t>
      </w:r>
      <w:r w:rsidR="00E66B89">
        <w:rPr>
          <w:rFonts w:eastAsia="Calibri"/>
          <w:szCs w:val="20"/>
          <w:lang w:eastAsia="en-US"/>
        </w:rPr>
        <w:t xml:space="preserve"> z </w:t>
      </w:r>
      <w:r w:rsidRPr="003452CE">
        <w:rPr>
          <w:rFonts w:eastAsia="Calibri"/>
          <w:szCs w:val="20"/>
          <w:lang w:eastAsia="en-US"/>
        </w:rPr>
        <w:t>innymi projektami wskazanymi we wspieranym Kontrakcie Samorządowym”. Dla pozostałych obszarów (ZSOM</w:t>
      </w:r>
      <w:r w:rsidR="00E66B89">
        <w:rPr>
          <w:rFonts w:eastAsia="Calibri"/>
          <w:szCs w:val="20"/>
          <w:lang w:eastAsia="en-US"/>
        </w:rPr>
        <w:t xml:space="preserve"> i </w:t>
      </w:r>
      <w:r w:rsidRPr="003452CE">
        <w:rPr>
          <w:rFonts w:eastAsia="Calibri"/>
          <w:szCs w:val="20"/>
          <w:lang w:eastAsia="en-US"/>
        </w:rPr>
        <w:t>KKBOF) nie wyodrębniono dedykowanego Działania EFRR,</w:t>
      </w:r>
      <w:r w:rsidR="00E66B89">
        <w:rPr>
          <w:rFonts w:eastAsia="Calibri"/>
          <w:szCs w:val="20"/>
          <w:lang w:eastAsia="en-US"/>
        </w:rPr>
        <w:t xml:space="preserve"> a </w:t>
      </w:r>
      <w:r w:rsidRPr="003452CE">
        <w:rPr>
          <w:rFonts w:eastAsia="Calibri"/>
          <w:szCs w:val="20"/>
          <w:lang w:eastAsia="en-US"/>
        </w:rPr>
        <w:t>zatem projekty</w:t>
      </w:r>
      <w:r w:rsidR="00E66B89">
        <w:rPr>
          <w:rFonts w:eastAsia="Calibri"/>
          <w:szCs w:val="20"/>
          <w:lang w:eastAsia="en-US"/>
        </w:rPr>
        <w:t xml:space="preserve"> w </w:t>
      </w:r>
      <w:r w:rsidRPr="003452CE">
        <w:rPr>
          <w:rFonts w:eastAsia="Calibri"/>
          <w:szCs w:val="20"/>
          <w:lang w:eastAsia="en-US"/>
        </w:rPr>
        <w:t>Działaniach 8.7</w:t>
      </w:r>
      <w:r w:rsidR="00E66B89">
        <w:rPr>
          <w:rFonts w:eastAsia="Calibri"/>
          <w:szCs w:val="20"/>
          <w:lang w:eastAsia="en-US"/>
        </w:rPr>
        <w:t xml:space="preserve"> i </w:t>
      </w:r>
      <w:r w:rsidRPr="003452CE">
        <w:rPr>
          <w:rFonts w:eastAsia="Calibri"/>
          <w:szCs w:val="20"/>
          <w:lang w:eastAsia="en-US"/>
        </w:rPr>
        <w:t>8.8 muszą być komplementarne</w:t>
      </w:r>
      <w:r w:rsidR="00E66B89">
        <w:rPr>
          <w:rFonts w:eastAsia="Calibri"/>
          <w:szCs w:val="20"/>
          <w:lang w:eastAsia="en-US"/>
        </w:rPr>
        <w:t xml:space="preserve"> z </w:t>
      </w:r>
      <w:r w:rsidRPr="003452CE">
        <w:rPr>
          <w:rFonts w:eastAsia="Calibri"/>
          <w:szCs w:val="20"/>
          <w:lang w:eastAsia="en-US"/>
        </w:rPr>
        <w:t xml:space="preserve">„ogólnym” Działaniem 9.9. </w:t>
      </w:r>
    </w:p>
    <w:p w14:paraId="6D336872"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 xml:space="preserve">Ocena potencjału absorpcyjnego </w:t>
      </w:r>
    </w:p>
    <w:p w14:paraId="683AD3CC" w14:textId="77777777" w:rsidR="00050FB4" w:rsidRDefault="00050FB4" w:rsidP="00050FB4">
      <w:pPr>
        <w:rPr>
          <w:rFonts w:eastAsia="Calibri"/>
          <w:szCs w:val="20"/>
          <w:lang w:eastAsia="en-US"/>
        </w:rPr>
      </w:pPr>
      <w:r w:rsidRPr="003452CE">
        <w:rPr>
          <w:rFonts w:eastAsia="Calibri"/>
          <w:szCs w:val="20"/>
          <w:lang w:eastAsia="en-US"/>
        </w:rPr>
        <w:t>Z uwagi na niewielkie zainteresowanie konkursami</w:t>
      </w:r>
      <w:r w:rsidR="00E66B89">
        <w:rPr>
          <w:rFonts w:eastAsia="Calibri"/>
          <w:szCs w:val="20"/>
          <w:lang w:eastAsia="en-US"/>
        </w:rPr>
        <w:t xml:space="preserve"> w </w:t>
      </w:r>
      <w:r w:rsidRPr="003452CE">
        <w:rPr>
          <w:rFonts w:eastAsia="Calibri"/>
          <w:szCs w:val="20"/>
          <w:lang w:eastAsia="en-US"/>
        </w:rPr>
        <w:t>ramach Działań 8.7-8.9</w:t>
      </w:r>
      <w:r>
        <w:rPr>
          <w:rFonts w:eastAsia="Calibri"/>
          <w:szCs w:val="20"/>
          <w:lang w:eastAsia="en-US"/>
        </w:rPr>
        <w:t>,</w:t>
      </w:r>
      <w:r w:rsidRPr="003452CE">
        <w:rPr>
          <w:rFonts w:eastAsia="Calibri"/>
          <w:szCs w:val="20"/>
          <w:lang w:eastAsia="en-US"/>
        </w:rPr>
        <w:t xml:space="preserve"> wykorzystani</w:t>
      </w:r>
      <w:r>
        <w:rPr>
          <w:rFonts w:eastAsia="Calibri"/>
          <w:szCs w:val="20"/>
          <w:lang w:eastAsia="en-US"/>
        </w:rPr>
        <w:t>e</w:t>
      </w:r>
      <w:r w:rsidRPr="003452CE">
        <w:rPr>
          <w:rFonts w:eastAsia="Calibri"/>
          <w:szCs w:val="20"/>
          <w:lang w:eastAsia="en-US"/>
        </w:rPr>
        <w:t xml:space="preserve"> alokacji na te Działania</w:t>
      </w:r>
      <w:r>
        <w:rPr>
          <w:rFonts w:eastAsia="Calibri"/>
          <w:szCs w:val="20"/>
          <w:lang w:eastAsia="en-US"/>
        </w:rPr>
        <w:t xml:space="preserve"> zależy od powodzenia planowanych naborów</w:t>
      </w:r>
      <w:r w:rsidRPr="003452CE">
        <w:rPr>
          <w:rFonts w:eastAsia="Calibri"/>
          <w:szCs w:val="20"/>
          <w:lang w:eastAsia="en-US"/>
        </w:rPr>
        <w:t>.</w:t>
      </w:r>
      <w:r w:rsidR="00E66B89">
        <w:rPr>
          <w:rFonts w:eastAsia="Calibri"/>
          <w:szCs w:val="20"/>
          <w:lang w:eastAsia="en-US"/>
        </w:rPr>
        <w:t xml:space="preserve"> W </w:t>
      </w:r>
      <w:r>
        <w:rPr>
          <w:rFonts w:eastAsia="Calibri"/>
          <w:szCs w:val="20"/>
          <w:lang w:eastAsia="en-US"/>
        </w:rPr>
        <w:t>celu zwiększenia potencjału absorpcyjnego</w:t>
      </w:r>
      <w:r w:rsidR="00E66B89">
        <w:rPr>
          <w:rFonts w:eastAsia="Calibri"/>
          <w:szCs w:val="20"/>
          <w:lang w:eastAsia="en-US"/>
        </w:rPr>
        <w:t xml:space="preserve"> w </w:t>
      </w:r>
      <w:r>
        <w:rPr>
          <w:rFonts w:eastAsia="Calibri"/>
          <w:szCs w:val="20"/>
          <w:lang w:eastAsia="en-US"/>
        </w:rPr>
        <w:t>tych Działaniach n</w:t>
      </w:r>
      <w:r w:rsidRPr="003452CE">
        <w:rPr>
          <w:rFonts w:eastAsia="Calibri"/>
          <w:szCs w:val="20"/>
          <w:lang w:eastAsia="en-US"/>
        </w:rPr>
        <w:t>iezbędne może okazać się podjęcie działań zaradczych. Można wstępnie założyć, że potrzebna jest pomoc dla jednostek samorządu terytorialnego we wzmocnieniu ich zdolności do prowadzenia zintegrowanej polityki rozwoju – zwłaszcza dla tych</w:t>
      </w:r>
      <w:r w:rsidR="00E66B89">
        <w:rPr>
          <w:rFonts w:eastAsia="Calibri"/>
          <w:szCs w:val="20"/>
          <w:lang w:eastAsia="en-US"/>
        </w:rPr>
        <w:t xml:space="preserve"> z </w:t>
      </w:r>
      <w:r w:rsidRPr="003452CE">
        <w:rPr>
          <w:rFonts w:eastAsia="Calibri"/>
          <w:szCs w:val="20"/>
          <w:lang w:eastAsia="en-US"/>
        </w:rPr>
        <w:t xml:space="preserve">mniejszych gmin, które zawarły </w:t>
      </w:r>
      <w:r>
        <w:rPr>
          <w:rFonts w:eastAsia="Calibri"/>
          <w:szCs w:val="20"/>
          <w:lang w:eastAsia="en-US"/>
        </w:rPr>
        <w:t>K</w:t>
      </w:r>
      <w:r w:rsidRPr="003452CE">
        <w:rPr>
          <w:rFonts w:eastAsia="Calibri"/>
          <w:szCs w:val="20"/>
          <w:lang w:eastAsia="en-US"/>
        </w:rPr>
        <w:t xml:space="preserve">ontrakty </w:t>
      </w:r>
      <w:r>
        <w:rPr>
          <w:rFonts w:eastAsia="Calibri"/>
          <w:szCs w:val="20"/>
          <w:lang w:eastAsia="en-US"/>
        </w:rPr>
        <w:t>S</w:t>
      </w:r>
      <w:r w:rsidRPr="003452CE">
        <w:rPr>
          <w:rFonts w:eastAsia="Calibri"/>
          <w:szCs w:val="20"/>
          <w:lang w:eastAsia="en-US"/>
        </w:rPr>
        <w:t xml:space="preserve">amorządowe. Ponieważ jednak byłby to najpewniej długotrwały proces, zasadne </w:t>
      </w:r>
      <w:r>
        <w:rPr>
          <w:rFonts w:eastAsia="Calibri"/>
          <w:szCs w:val="20"/>
          <w:lang w:eastAsia="en-US"/>
        </w:rPr>
        <w:t>jest dokonanie realokacji środków.</w:t>
      </w:r>
    </w:p>
    <w:p w14:paraId="33DC3903" w14:textId="77777777" w:rsidR="00050FB4" w:rsidRDefault="00050FB4" w:rsidP="00050FB4">
      <w:pPr>
        <w:rPr>
          <w:rFonts w:eastAsia="Calibri"/>
          <w:szCs w:val="20"/>
          <w:lang w:eastAsia="en-US"/>
        </w:rPr>
      </w:pPr>
      <w:r>
        <w:rPr>
          <w:rFonts w:eastAsia="Calibri"/>
          <w:szCs w:val="20"/>
          <w:lang w:eastAsia="en-US"/>
        </w:rPr>
        <w:t xml:space="preserve">W Działaniu 8.6 notowany jest wysoki poziom </w:t>
      </w:r>
      <w:r w:rsidR="00B508D9">
        <w:rPr>
          <w:rFonts w:eastAsia="Calibri"/>
          <w:szCs w:val="20"/>
          <w:lang w:eastAsia="en-US"/>
        </w:rPr>
        <w:t>absorpcji</w:t>
      </w:r>
      <w:r>
        <w:rPr>
          <w:rFonts w:eastAsia="Calibri"/>
          <w:szCs w:val="20"/>
          <w:lang w:eastAsia="en-US"/>
        </w:rPr>
        <w:t xml:space="preserve"> dostępnych środków. Jednocześnie, jak</w:t>
      </w:r>
      <w:r w:rsidRPr="000D1832">
        <w:rPr>
          <w:rFonts w:eastAsia="Calibri"/>
          <w:szCs w:val="20"/>
          <w:lang w:eastAsia="en-US"/>
        </w:rPr>
        <w:t xml:space="preserve"> zaznaczył</w:t>
      </w:r>
      <w:r w:rsidR="00E66B89">
        <w:rPr>
          <w:rFonts w:eastAsia="Calibri"/>
          <w:szCs w:val="20"/>
          <w:lang w:eastAsia="en-US"/>
        </w:rPr>
        <w:t xml:space="preserve"> w </w:t>
      </w:r>
      <w:r w:rsidRPr="000D1832">
        <w:rPr>
          <w:rFonts w:eastAsia="Calibri"/>
          <w:szCs w:val="20"/>
          <w:lang w:eastAsia="en-US"/>
        </w:rPr>
        <w:t>wywiadzie pracownik instytucji systemu realizacji</w:t>
      </w:r>
      <w:r>
        <w:rPr>
          <w:rFonts w:eastAsia="Calibri"/>
          <w:szCs w:val="20"/>
          <w:lang w:eastAsia="en-US"/>
        </w:rPr>
        <w:t>, projekty</w:t>
      </w:r>
      <w:r w:rsidR="00E66B89">
        <w:rPr>
          <w:rFonts w:eastAsia="Calibri"/>
          <w:szCs w:val="20"/>
          <w:lang w:eastAsia="en-US"/>
        </w:rPr>
        <w:t xml:space="preserve"> w </w:t>
      </w:r>
      <w:r>
        <w:rPr>
          <w:rFonts w:eastAsia="Calibri"/>
          <w:szCs w:val="20"/>
          <w:lang w:eastAsia="en-US"/>
        </w:rPr>
        <w:t>ramach tego Działania „kanibalizują się”</w:t>
      </w:r>
      <w:r w:rsidR="00E66B89">
        <w:rPr>
          <w:rFonts w:eastAsia="Calibri"/>
          <w:szCs w:val="20"/>
          <w:lang w:eastAsia="en-US"/>
        </w:rPr>
        <w:t xml:space="preserve"> z </w:t>
      </w:r>
      <w:r>
        <w:rPr>
          <w:rFonts w:eastAsia="Calibri"/>
          <w:szCs w:val="20"/>
          <w:lang w:eastAsia="en-US"/>
        </w:rPr>
        <w:t>Działaniem 6.1</w:t>
      </w:r>
      <w:r w:rsidR="00E66B89">
        <w:rPr>
          <w:rFonts w:eastAsia="Calibri"/>
          <w:szCs w:val="20"/>
          <w:lang w:eastAsia="en-US"/>
        </w:rPr>
        <w:t xml:space="preserve"> z </w:t>
      </w:r>
      <w:r>
        <w:rPr>
          <w:rFonts w:eastAsia="Calibri"/>
          <w:szCs w:val="20"/>
          <w:lang w:eastAsia="en-US"/>
        </w:rPr>
        <w:t xml:space="preserve">Osi VI </w:t>
      </w:r>
      <w:r w:rsidRPr="008B706B">
        <w:rPr>
          <w:rFonts w:eastAsia="Calibri"/>
          <w:i/>
          <w:szCs w:val="20"/>
          <w:lang w:eastAsia="en-US"/>
        </w:rPr>
        <w:t>Rynek Pracy</w:t>
      </w:r>
      <w:r>
        <w:rPr>
          <w:rFonts w:eastAsia="Calibri"/>
          <w:szCs w:val="20"/>
          <w:lang w:eastAsia="en-US"/>
        </w:rPr>
        <w:t>. Swoista konkurencja</w:t>
      </w:r>
      <w:r w:rsidR="00E66B89">
        <w:rPr>
          <w:rFonts w:eastAsia="Calibri"/>
          <w:szCs w:val="20"/>
          <w:lang w:eastAsia="en-US"/>
        </w:rPr>
        <w:t xml:space="preserve"> o </w:t>
      </w:r>
      <w:r>
        <w:rPr>
          <w:rFonts w:eastAsia="Calibri"/>
          <w:szCs w:val="20"/>
          <w:lang w:eastAsia="en-US"/>
        </w:rPr>
        <w:t>uczestników projektów dotyczy wsparcia osób dorosłych</w:t>
      </w:r>
      <w:r w:rsidR="00E66B89">
        <w:rPr>
          <w:rFonts w:eastAsia="Calibri"/>
          <w:szCs w:val="20"/>
          <w:lang w:eastAsia="en-US"/>
        </w:rPr>
        <w:t xml:space="preserve"> w </w:t>
      </w:r>
      <w:r>
        <w:rPr>
          <w:rFonts w:eastAsia="Calibri"/>
          <w:szCs w:val="20"/>
          <w:lang w:eastAsia="en-US"/>
        </w:rPr>
        <w:t>zakresie kształcenia ustawicznego. Potencjalni wnioskodawcy wolą ubiegać się</w:t>
      </w:r>
      <w:r w:rsidR="00E66B89">
        <w:rPr>
          <w:rFonts w:eastAsia="Calibri"/>
          <w:szCs w:val="20"/>
          <w:lang w:eastAsia="en-US"/>
        </w:rPr>
        <w:t xml:space="preserve"> o </w:t>
      </w:r>
      <w:r>
        <w:rPr>
          <w:rFonts w:eastAsia="Calibri"/>
          <w:szCs w:val="20"/>
          <w:lang w:eastAsia="en-US"/>
        </w:rPr>
        <w:t>dofinansowanie</w:t>
      </w:r>
      <w:r w:rsidR="00E66B89">
        <w:rPr>
          <w:rFonts w:eastAsia="Calibri"/>
          <w:szCs w:val="20"/>
          <w:lang w:eastAsia="en-US"/>
        </w:rPr>
        <w:t xml:space="preserve"> w </w:t>
      </w:r>
      <w:r>
        <w:rPr>
          <w:rFonts w:eastAsia="Calibri"/>
          <w:szCs w:val="20"/>
          <w:lang w:eastAsia="en-US"/>
        </w:rPr>
        <w:t xml:space="preserve">ramach Osi VIII </w:t>
      </w:r>
      <w:r w:rsidRPr="008B706B">
        <w:rPr>
          <w:rFonts w:eastAsia="Calibri"/>
          <w:i/>
          <w:szCs w:val="20"/>
          <w:lang w:eastAsia="en-US"/>
        </w:rPr>
        <w:t>Edukacja</w:t>
      </w:r>
      <w:r>
        <w:rPr>
          <w:rFonts w:eastAsia="Calibri"/>
          <w:szCs w:val="20"/>
          <w:lang w:eastAsia="en-US"/>
        </w:rPr>
        <w:t>, ponieważ</w:t>
      </w:r>
      <w:r w:rsidR="00E66B89">
        <w:rPr>
          <w:rFonts w:eastAsia="Calibri"/>
          <w:szCs w:val="20"/>
          <w:lang w:eastAsia="en-US"/>
        </w:rPr>
        <w:t xml:space="preserve"> w </w:t>
      </w:r>
      <w:r w:rsidRPr="00F80ECF">
        <w:rPr>
          <w:rFonts w:eastAsia="Calibri"/>
          <w:szCs w:val="20"/>
          <w:lang w:eastAsia="en-US"/>
        </w:rPr>
        <w:t>projekt</w:t>
      </w:r>
      <w:r>
        <w:rPr>
          <w:rFonts w:eastAsia="Calibri"/>
          <w:szCs w:val="20"/>
          <w:lang w:eastAsia="en-US"/>
        </w:rPr>
        <w:t xml:space="preserve">ach tych </w:t>
      </w:r>
      <w:r w:rsidRPr="00F80ECF">
        <w:rPr>
          <w:rFonts w:eastAsia="Calibri"/>
          <w:szCs w:val="20"/>
          <w:lang w:eastAsia="en-US"/>
        </w:rPr>
        <w:t xml:space="preserve">nie wymaga się </w:t>
      </w:r>
      <w:r>
        <w:rPr>
          <w:rFonts w:eastAsia="Calibri"/>
          <w:szCs w:val="20"/>
          <w:lang w:eastAsia="en-US"/>
        </w:rPr>
        <w:t xml:space="preserve">od nich spełnienia </w:t>
      </w:r>
      <w:r w:rsidRPr="00F80ECF">
        <w:rPr>
          <w:rFonts w:eastAsia="Calibri"/>
          <w:szCs w:val="20"/>
          <w:lang w:eastAsia="en-US"/>
        </w:rPr>
        <w:t>kryterium efektywności zatrudnieniowej lub zawodowej</w:t>
      </w:r>
      <w:r>
        <w:rPr>
          <w:rFonts w:eastAsia="Calibri"/>
          <w:szCs w:val="20"/>
          <w:lang w:eastAsia="en-US"/>
        </w:rPr>
        <w:t xml:space="preserve">. </w:t>
      </w:r>
      <w:r w:rsidRPr="00F80ECF">
        <w:rPr>
          <w:rFonts w:eastAsia="Calibri"/>
          <w:szCs w:val="20"/>
          <w:lang w:eastAsia="en-US"/>
        </w:rPr>
        <w:t xml:space="preserve">Oznacza to, że </w:t>
      </w:r>
      <w:r>
        <w:rPr>
          <w:rFonts w:eastAsia="Calibri"/>
          <w:szCs w:val="20"/>
          <w:lang w:eastAsia="en-US"/>
        </w:rPr>
        <w:t xml:space="preserve">po zakończeniu projektu </w:t>
      </w:r>
      <w:r w:rsidRPr="00F80ECF">
        <w:rPr>
          <w:rFonts w:eastAsia="Calibri"/>
          <w:szCs w:val="20"/>
          <w:lang w:eastAsia="en-US"/>
        </w:rPr>
        <w:t xml:space="preserve">nie jest weryfikowany status </w:t>
      </w:r>
      <w:r>
        <w:rPr>
          <w:rFonts w:eastAsia="Calibri"/>
          <w:szCs w:val="20"/>
          <w:lang w:eastAsia="en-US"/>
        </w:rPr>
        <w:t>uczestnika</w:t>
      </w:r>
      <w:r w:rsidRPr="00F80ECF">
        <w:rPr>
          <w:rFonts w:eastAsia="Calibri"/>
          <w:szCs w:val="20"/>
          <w:lang w:eastAsia="en-US"/>
        </w:rPr>
        <w:t xml:space="preserve"> na rynku pracy</w:t>
      </w:r>
      <w:r>
        <w:rPr>
          <w:rFonts w:eastAsia="Calibri"/>
          <w:szCs w:val="20"/>
          <w:lang w:eastAsia="en-US"/>
        </w:rPr>
        <w:t>. Takie wymagania istnieją</w:t>
      </w:r>
      <w:r w:rsidR="00E66B89">
        <w:rPr>
          <w:rFonts w:eastAsia="Calibri"/>
          <w:szCs w:val="20"/>
          <w:lang w:eastAsia="en-US"/>
        </w:rPr>
        <w:t xml:space="preserve"> w </w:t>
      </w:r>
      <w:r>
        <w:rPr>
          <w:rFonts w:eastAsia="Calibri"/>
          <w:szCs w:val="20"/>
          <w:lang w:eastAsia="en-US"/>
        </w:rPr>
        <w:t>konkursach organizowanych</w:t>
      </w:r>
      <w:r w:rsidR="00E66B89">
        <w:rPr>
          <w:rFonts w:eastAsia="Calibri"/>
          <w:szCs w:val="20"/>
          <w:lang w:eastAsia="en-US"/>
        </w:rPr>
        <w:t xml:space="preserve"> w </w:t>
      </w:r>
      <w:r>
        <w:rPr>
          <w:rFonts w:eastAsia="Calibri"/>
          <w:szCs w:val="20"/>
          <w:lang w:eastAsia="en-US"/>
        </w:rPr>
        <w:t xml:space="preserve">ramach Osi VI. Istnienie dwóch dróg podnoszenia kompetencji </w:t>
      </w:r>
      <w:r>
        <w:rPr>
          <w:rFonts w:eastAsia="Calibri"/>
          <w:szCs w:val="20"/>
          <w:lang w:eastAsia="en-US"/>
        </w:rPr>
        <w:lastRenderedPageBreak/>
        <w:t>wymaganych na rynku pracy, skłania wnioskodawców do wyboru łatwiejszej</w:t>
      </w:r>
      <w:r w:rsidR="00E66B89">
        <w:rPr>
          <w:rFonts w:eastAsia="Calibri"/>
          <w:szCs w:val="20"/>
          <w:lang w:eastAsia="en-US"/>
        </w:rPr>
        <w:t xml:space="preserve"> z </w:t>
      </w:r>
      <w:r>
        <w:rPr>
          <w:rFonts w:eastAsia="Calibri"/>
          <w:szCs w:val="20"/>
          <w:lang w:eastAsia="en-US"/>
        </w:rPr>
        <w:t>nich</w:t>
      </w:r>
      <w:r w:rsidR="00E66B89">
        <w:rPr>
          <w:rFonts w:eastAsia="Calibri"/>
          <w:szCs w:val="20"/>
          <w:lang w:eastAsia="en-US"/>
        </w:rPr>
        <w:t xml:space="preserve"> i </w:t>
      </w:r>
      <w:r>
        <w:rPr>
          <w:rFonts w:eastAsia="Calibri"/>
          <w:szCs w:val="20"/>
          <w:lang w:eastAsia="en-US"/>
        </w:rPr>
        <w:t xml:space="preserve">negatywnie wpływa na </w:t>
      </w:r>
      <w:r w:rsidR="00B508D9">
        <w:rPr>
          <w:rFonts w:eastAsia="Calibri"/>
          <w:szCs w:val="20"/>
          <w:lang w:eastAsia="en-US"/>
        </w:rPr>
        <w:t>absorpcję</w:t>
      </w:r>
      <w:r w:rsidR="00E66B89">
        <w:rPr>
          <w:rFonts w:eastAsia="Calibri"/>
          <w:szCs w:val="20"/>
          <w:lang w:eastAsia="en-US"/>
        </w:rPr>
        <w:t xml:space="preserve"> w </w:t>
      </w:r>
      <w:r>
        <w:rPr>
          <w:rFonts w:eastAsia="Calibri"/>
          <w:szCs w:val="20"/>
          <w:lang w:eastAsia="en-US"/>
        </w:rPr>
        <w:t>Osi,</w:t>
      </w:r>
      <w:r w:rsidR="00E66B89">
        <w:rPr>
          <w:rFonts w:eastAsia="Calibri"/>
          <w:szCs w:val="20"/>
          <w:lang w:eastAsia="en-US"/>
        </w:rPr>
        <w:t xml:space="preserve"> w </w:t>
      </w:r>
      <w:r>
        <w:rPr>
          <w:rFonts w:eastAsia="Calibri"/>
          <w:szCs w:val="20"/>
          <w:lang w:eastAsia="en-US"/>
        </w:rPr>
        <w:t xml:space="preserve">ramach której stawiane są wyższe wymagania. </w:t>
      </w:r>
    </w:p>
    <w:p w14:paraId="22840441" w14:textId="77777777" w:rsidR="00050FB4" w:rsidRDefault="00050FB4" w:rsidP="00050FB4">
      <w:pPr>
        <w:rPr>
          <w:rFonts w:eastAsia="Calibri"/>
          <w:szCs w:val="20"/>
          <w:lang w:eastAsia="en-US"/>
        </w:rPr>
      </w:pPr>
      <w:r w:rsidRPr="00842327">
        <w:rPr>
          <w:rFonts w:eastAsia="Calibri"/>
          <w:szCs w:val="20"/>
          <w:lang w:eastAsia="en-US"/>
        </w:rPr>
        <w:t xml:space="preserve">Na poziom </w:t>
      </w:r>
      <w:r w:rsidR="00B508D9" w:rsidRPr="00842327">
        <w:rPr>
          <w:rFonts w:eastAsia="Calibri"/>
          <w:szCs w:val="20"/>
          <w:lang w:eastAsia="en-US"/>
        </w:rPr>
        <w:t>absorpcji</w:t>
      </w:r>
      <w:r w:rsidR="00E66B89">
        <w:rPr>
          <w:rFonts w:eastAsia="Calibri"/>
          <w:szCs w:val="20"/>
          <w:lang w:eastAsia="en-US"/>
        </w:rPr>
        <w:t xml:space="preserve"> w </w:t>
      </w:r>
      <w:r w:rsidRPr="00842327">
        <w:rPr>
          <w:rFonts w:eastAsia="Calibri"/>
          <w:szCs w:val="20"/>
          <w:lang w:eastAsia="en-US"/>
        </w:rPr>
        <w:t xml:space="preserve">ramach </w:t>
      </w:r>
      <w:r>
        <w:rPr>
          <w:rFonts w:eastAsia="Calibri"/>
          <w:szCs w:val="20"/>
          <w:lang w:eastAsia="en-US"/>
        </w:rPr>
        <w:t>PI</w:t>
      </w:r>
      <w:r w:rsidRPr="00842327">
        <w:rPr>
          <w:rFonts w:eastAsia="Calibri"/>
          <w:szCs w:val="20"/>
          <w:lang w:eastAsia="en-US"/>
        </w:rPr>
        <w:t xml:space="preserve"> 10iv negatywnie oddziaływały wymogi</w:t>
      </w:r>
      <w:r>
        <w:rPr>
          <w:rFonts w:eastAsia="Calibri"/>
          <w:szCs w:val="20"/>
          <w:lang w:eastAsia="en-US"/>
        </w:rPr>
        <w:t xml:space="preserve"> zaproponowane przez IZ</w:t>
      </w:r>
      <w:r w:rsidR="00E66B89">
        <w:rPr>
          <w:rFonts w:eastAsia="Calibri"/>
          <w:szCs w:val="20"/>
          <w:lang w:eastAsia="en-US"/>
        </w:rPr>
        <w:t xml:space="preserve"> i </w:t>
      </w:r>
      <w:r>
        <w:rPr>
          <w:rFonts w:eastAsia="Calibri"/>
          <w:szCs w:val="20"/>
          <w:lang w:eastAsia="en-US"/>
        </w:rPr>
        <w:t>IP,</w:t>
      </w:r>
      <w:r w:rsidR="00E66B89">
        <w:rPr>
          <w:rFonts w:eastAsia="Calibri"/>
          <w:szCs w:val="20"/>
          <w:lang w:eastAsia="en-US"/>
        </w:rPr>
        <w:t xml:space="preserve"> a </w:t>
      </w:r>
      <w:r>
        <w:rPr>
          <w:rFonts w:eastAsia="Calibri"/>
          <w:szCs w:val="20"/>
          <w:lang w:eastAsia="en-US"/>
        </w:rPr>
        <w:t>przyjęte przez KM RPO WZ</w:t>
      </w:r>
      <w:r w:rsidRPr="00842327">
        <w:rPr>
          <w:rFonts w:eastAsia="Calibri"/>
          <w:szCs w:val="20"/>
          <w:lang w:eastAsia="en-US"/>
        </w:rPr>
        <w:t>.</w:t>
      </w:r>
      <w:r w:rsidR="00E66B89">
        <w:rPr>
          <w:rFonts w:eastAsia="Calibri"/>
          <w:szCs w:val="20"/>
          <w:lang w:eastAsia="en-US"/>
        </w:rPr>
        <w:t xml:space="preserve"> W </w:t>
      </w:r>
      <w:r w:rsidRPr="00842327">
        <w:rPr>
          <w:rFonts w:eastAsia="Calibri"/>
          <w:szCs w:val="20"/>
          <w:lang w:eastAsia="en-US"/>
        </w:rPr>
        <w:t xml:space="preserve">pierwszych dwóch latach realizacji </w:t>
      </w:r>
      <w:r>
        <w:rPr>
          <w:rFonts w:eastAsia="Calibri"/>
          <w:szCs w:val="20"/>
          <w:lang w:eastAsia="en-US"/>
        </w:rPr>
        <w:t>P</w:t>
      </w:r>
      <w:r w:rsidRPr="00842327">
        <w:rPr>
          <w:rFonts w:eastAsia="Calibri"/>
          <w:szCs w:val="20"/>
          <w:lang w:eastAsia="en-US"/>
        </w:rPr>
        <w:t>rogramu</w:t>
      </w:r>
      <w:r>
        <w:rPr>
          <w:rFonts w:eastAsia="Calibri"/>
          <w:szCs w:val="20"/>
          <w:lang w:eastAsia="en-US"/>
        </w:rPr>
        <w:t xml:space="preserve"> jedno ze stosowanych </w:t>
      </w:r>
      <w:r w:rsidRPr="00842327">
        <w:rPr>
          <w:rFonts w:eastAsia="Calibri"/>
          <w:szCs w:val="20"/>
          <w:lang w:eastAsia="en-US"/>
        </w:rPr>
        <w:t>kryteri</w:t>
      </w:r>
      <w:r>
        <w:rPr>
          <w:rFonts w:eastAsia="Calibri"/>
          <w:szCs w:val="20"/>
          <w:lang w:eastAsia="en-US"/>
        </w:rPr>
        <w:t xml:space="preserve">ów przy naborze wniosków stanowiło, </w:t>
      </w:r>
      <w:r w:rsidRPr="00842327">
        <w:rPr>
          <w:rFonts w:eastAsia="Calibri"/>
          <w:szCs w:val="20"/>
          <w:lang w:eastAsia="en-US"/>
        </w:rPr>
        <w:t>że łączny obrót</w:t>
      </w:r>
      <w:r>
        <w:rPr>
          <w:rFonts w:eastAsia="Calibri"/>
          <w:szCs w:val="20"/>
          <w:lang w:eastAsia="en-US"/>
        </w:rPr>
        <w:t xml:space="preserve"> projektodawcy (jako beneficjenta RPO WZ 2014-2020) </w:t>
      </w:r>
      <w:r w:rsidRPr="00842327">
        <w:rPr>
          <w:rFonts w:eastAsia="Calibri"/>
          <w:szCs w:val="20"/>
          <w:lang w:eastAsia="en-US"/>
        </w:rPr>
        <w:t>nie może przekroczyć wartości projektu</w:t>
      </w:r>
      <w:r>
        <w:rPr>
          <w:rFonts w:eastAsia="Calibri"/>
          <w:szCs w:val="20"/>
          <w:lang w:eastAsia="en-US"/>
        </w:rPr>
        <w:t>. O</w:t>
      </w:r>
      <w:r w:rsidRPr="00842327">
        <w:rPr>
          <w:rFonts w:eastAsia="Calibri"/>
          <w:szCs w:val="20"/>
          <w:lang w:eastAsia="en-US"/>
        </w:rPr>
        <w:t xml:space="preserve">brót projektodawcy </w:t>
      </w:r>
      <w:r>
        <w:rPr>
          <w:rFonts w:eastAsia="Calibri"/>
          <w:szCs w:val="20"/>
          <w:lang w:eastAsia="en-US"/>
        </w:rPr>
        <w:t>to suma wartości wszelkich podpisanych przez niego UoD</w:t>
      </w:r>
      <w:r w:rsidR="00E66B89">
        <w:rPr>
          <w:rFonts w:eastAsia="Calibri"/>
          <w:szCs w:val="20"/>
          <w:lang w:eastAsia="en-US"/>
        </w:rPr>
        <w:t xml:space="preserve"> w </w:t>
      </w:r>
      <w:r>
        <w:rPr>
          <w:rFonts w:eastAsia="Calibri"/>
          <w:szCs w:val="20"/>
          <w:lang w:eastAsia="en-US"/>
        </w:rPr>
        <w:t>ramach RPO WZ 2014-2020, będących</w:t>
      </w:r>
      <w:r w:rsidR="00E66B89">
        <w:rPr>
          <w:rFonts w:eastAsia="Calibri"/>
          <w:szCs w:val="20"/>
          <w:lang w:eastAsia="en-US"/>
        </w:rPr>
        <w:t xml:space="preserve"> w </w:t>
      </w:r>
      <w:r>
        <w:rPr>
          <w:rFonts w:eastAsia="Calibri"/>
          <w:szCs w:val="20"/>
          <w:lang w:eastAsia="en-US"/>
        </w:rPr>
        <w:t>realizacji w dniu podpisania umowy na realizację kolejnego projektu. Kryterium to</w:t>
      </w:r>
      <w:r w:rsidR="00E66B89">
        <w:rPr>
          <w:rFonts w:eastAsia="Calibri"/>
          <w:szCs w:val="20"/>
          <w:lang w:eastAsia="en-US"/>
        </w:rPr>
        <w:t xml:space="preserve"> z </w:t>
      </w:r>
      <w:r>
        <w:rPr>
          <w:rFonts w:eastAsia="Calibri"/>
          <w:szCs w:val="20"/>
          <w:lang w:eastAsia="en-US"/>
        </w:rPr>
        <w:t>biegiem czasu, wraz podpisywaniem kolejnych umów przez beneficjentów, stawało się dla nich coraz trudniejsze do spełnienia. Część projektodawców nie była</w:t>
      </w:r>
      <w:r w:rsidR="00E66B89">
        <w:rPr>
          <w:rFonts w:eastAsia="Calibri"/>
          <w:szCs w:val="20"/>
          <w:lang w:eastAsia="en-US"/>
        </w:rPr>
        <w:t xml:space="preserve"> w </w:t>
      </w:r>
      <w:r>
        <w:rPr>
          <w:rFonts w:eastAsia="Calibri"/>
          <w:szCs w:val="20"/>
          <w:lang w:eastAsia="en-US"/>
        </w:rPr>
        <w:t>stanie spełnić tego kryterium</w:t>
      </w:r>
      <w:r w:rsidR="00E66B89">
        <w:rPr>
          <w:rFonts w:eastAsia="Calibri"/>
          <w:szCs w:val="20"/>
          <w:lang w:eastAsia="en-US"/>
        </w:rPr>
        <w:t xml:space="preserve"> i </w:t>
      </w:r>
      <w:r>
        <w:rPr>
          <w:rFonts w:eastAsia="Calibri"/>
          <w:szCs w:val="20"/>
          <w:lang w:eastAsia="en-US"/>
        </w:rPr>
        <w:t>była eliminowana</w:t>
      </w:r>
      <w:r w:rsidR="00E66B89">
        <w:rPr>
          <w:rFonts w:eastAsia="Calibri"/>
          <w:szCs w:val="20"/>
          <w:lang w:eastAsia="en-US"/>
        </w:rPr>
        <w:t xml:space="preserve"> w </w:t>
      </w:r>
      <w:r>
        <w:rPr>
          <w:rFonts w:eastAsia="Calibri"/>
          <w:szCs w:val="20"/>
          <w:lang w:eastAsia="en-US"/>
        </w:rPr>
        <w:t>toku oceny formalnej projektu. Po dwóch latach od rozpoczęcia konkursów</w:t>
      </w:r>
      <w:r w:rsidR="00E66B89">
        <w:rPr>
          <w:rFonts w:eastAsia="Calibri"/>
          <w:szCs w:val="20"/>
          <w:lang w:eastAsia="en-US"/>
        </w:rPr>
        <w:t xml:space="preserve"> w </w:t>
      </w:r>
      <w:r>
        <w:rPr>
          <w:rFonts w:eastAsia="Calibri"/>
          <w:szCs w:val="20"/>
          <w:lang w:eastAsia="en-US"/>
        </w:rPr>
        <w:t>RPO WZ 2014-2020, zrezygnowano ze stosowania tego kryterium.</w:t>
      </w:r>
    </w:p>
    <w:p w14:paraId="3DA3F520" w14:textId="77777777" w:rsidR="00050FB4" w:rsidRDefault="00050FB4" w:rsidP="00050FB4">
      <w:pPr>
        <w:rPr>
          <w:rFonts w:eastAsia="Calibri"/>
          <w:szCs w:val="20"/>
          <w:lang w:eastAsia="en-US"/>
        </w:rPr>
      </w:pPr>
      <w:r>
        <w:rPr>
          <w:rFonts w:eastAsia="Calibri"/>
          <w:szCs w:val="20"/>
          <w:lang w:eastAsia="en-US"/>
        </w:rPr>
        <w:t>Badanie CAWI wśród potencjalnych wnioskodawców wykazało, że największym zainteresowaniem nadal cieszy się Działanie 8.6. 34 respondentów zadeklarowało, że chciałoby ubiegać się</w:t>
      </w:r>
      <w:r w:rsidR="00E66B89">
        <w:rPr>
          <w:rFonts w:eastAsia="Calibri"/>
          <w:szCs w:val="20"/>
          <w:lang w:eastAsia="en-US"/>
        </w:rPr>
        <w:t xml:space="preserve"> o </w:t>
      </w:r>
      <w:r>
        <w:rPr>
          <w:rFonts w:eastAsia="Calibri"/>
          <w:szCs w:val="20"/>
          <w:lang w:eastAsia="en-US"/>
        </w:rPr>
        <w:t>wsparcie</w:t>
      </w:r>
      <w:r w:rsidR="00E66B89">
        <w:rPr>
          <w:rFonts w:eastAsia="Calibri"/>
          <w:szCs w:val="20"/>
          <w:lang w:eastAsia="en-US"/>
        </w:rPr>
        <w:t xml:space="preserve"> w </w:t>
      </w:r>
      <w:r>
        <w:rPr>
          <w:rFonts w:eastAsia="Calibri"/>
          <w:szCs w:val="20"/>
          <w:lang w:eastAsia="en-US"/>
        </w:rPr>
        <w:t>ramach tego Działania.</w:t>
      </w:r>
      <w:r w:rsidR="00E66B89">
        <w:rPr>
          <w:rFonts w:eastAsia="Calibri"/>
          <w:szCs w:val="20"/>
          <w:lang w:eastAsia="en-US"/>
        </w:rPr>
        <w:t xml:space="preserve"> W </w:t>
      </w:r>
      <w:r>
        <w:rPr>
          <w:rFonts w:eastAsia="Calibri"/>
          <w:szCs w:val="20"/>
          <w:lang w:eastAsia="en-US"/>
        </w:rPr>
        <w:t>tej grupie jest 14 osób, które stwierdziło, że instytucja, którą reprezentują zaczęła już proces przygotowywania dokumentów</w:t>
      </w:r>
      <w:r w:rsidR="00E66B89">
        <w:rPr>
          <w:rFonts w:eastAsia="Calibri"/>
          <w:szCs w:val="20"/>
          <w:lang w:eastAsia="en-US"/>
        </w:rPr>
        <w:t xml:space="preserve"> w </w:t>
      </w:r>
      <w:r>
        <w:rPr>
          <w:rFonts w:eastAsia="Calibri"/>
          <w:szCs w:val="20"/>
          <w:lang w:eastAsia="en-US"/>
        </w:rPr>
        <w:t>celu złożenia projektu</w:t>
      </w:r>
      <w:r w:rsidR="00E66B89">
        <w:rPr>
          <w:rFonts w:eastAsia="Calibri"/>
          <w:szCs w:val="20"/>
          <w:lang w:eastAsia="en-US"/>
        </w:rPr>
        <w:t xml:space="preserve"> w </w:t>
      </w:r>
      <w:r>
        <w:rPr>
          <w:rFonts w:eastAsia="Calibri"/>
          <w:szCs w:val="20"/>
          <w:lang w:eastAsia="en-US"/>
        </w:rPr>
        <w:t xml:space="preserve">Działaniu 8.6. </w:t>
      </w:r>
    </w:p>
    <w:p w14:paraId="55FF995A" w14:textId="77777777" w:rsidR="00050FB4" w:rsidRDefault="00050FB4" w:rsidP="00050FB4">
      <w:pPr>
        <w:rPr>
          <w:rFonts w:eastAsia="Calibri"/>
          <w:szCs w:val="20"/>
          <w:lang w:eastAsia="en-US"/>
        </w:rPr>
      </w:pPr>
      <w:r>
        <w:rPr>
          <w:rFonts w:eastAsia="Calibri"/>
          <w:szCs w:val="20"/>
          <w:lang w:eastAsia="en-US"/>
        </w:rPr>
        <w:t>Mniejsze zainteresowanie respondentów wzbudzają konkursy</w:t>
      </w:r>
      <w:r w:rsidR="00E66B89">
        <w:rPr>
          <w:rFonts w:eastAsia="Calibri"/>
          <w:szCs w:val="20"/>
          <w:lang w:eastAsia="en-US"/>
        </w:rPr>
        <w:t xml:space="preserve"> w </w:t>
      </w:r>
      <w:r>
        <w:rPr>
          <w:rFonts w:eastAsia="Calibri"/>
          <w:szCs w:val="20"/>
          <w:lang w:eastAsia="en-US"/>
        </w:rPr>
        <w:t>Działaniach 8.7, 8.8</w:t>
      </w:r>
      <w:r w:rsidR="00E66B89">
        <w:rPr>
          <w:rFonts w:eastAsia="Calibri"/>
          <w:szCs w:val="20"/>
          <w:lang w:eastAsia="en-US"/>
        </w:rPr>
        <w:t xml:space="preserve"> i </w:t>
      </w:r>
      <w:r>
        <w:rPr>
          <w:rFonts w:eastAsia="Calibri"/>
          <w:szCs w:val="20"/>
          <w:lang w:eastAsia="en-US"/>
        </w:rPr>
        <w:t>8.9. Odpowiednio 14, 12</w:t>
      </w:r>
      <w:r w:rsidR="00E66B89">
        <w:rPr>
          <w:rFonts w:eastAsia="Calibri"/>
          <w:szCs w:val="20"/>
          <w:lang w:eastAsia="en-US"/>
        </w:rPr>
        <w:t xml:space="preserve"> i </w:t>
      </w:r>
      <w:r>
        <w:rPr>
          <w:rFonts w:eastAsia="Calibri"/>
          <w:szCs w:val="20"/>
          <w:lang w:eastAsia="en-US"/>
        </w:rPr>
        <w:t>14 respondentów odpowiedziało, że chciałoby się ubiegać</w:t>
      </w:r>
      <w:r w:rsidR="00E66B89">
        <w:rPr>
          <w:rFonts w:eastAsia="Calibri"/>
          <w:szCs w:val="20"/>
          <w:lang w:eastAsia="en-US"/>
        </w:rPr>
        <w:t xml:space="preserve"> o </w:t>
      </w:r>
      <w:r>
        <w:rPr>
          <w:rFonts w:eastAsia="Calibri"/>
          <w:szCs w:val="20"/>
          <w:lang w:eastAsia="en-US"/>
        </w:rPr>
        <w:t>dofinansowanie</w:t>
      </w:r>
      <w:r w:rsidR="00E66B89">
        <w:rPr>
          <w:rFonts w:eastAsia="Calibri"/>
          <w:szCs w:val="20"/>
          <w:lang w:eastAsia="en-US"/>
        </w:rPr>
        <w:t xml:space="preserve"> w </w:t>
      </w:r>
      <w:r>
        <w:rPr>
          <w:rFonts w:eastAsia="Calibri"/>
          <w:szCs w:val="20"/>
          <w:lang w:eastAsia="en-US"/>
        </w:rPr>
        <w:t>ramach tych Działań. Największe przygotowania do aplikowania</w:t>
      </w:r>
      <w:r w:rsidR="00E66B89">
        <w:rPr>
          <w:rFonts w:eastAsia="Calibri"/>
          <w:szCs w:val="20"/>
          <w:lang w:eastAsia="en-US"/>
        </w:rPr>
        <w:t xml:space="preserve"> o </w:t>
      </w:r>
      <w:r>
        <w:rPr>
          <w:rFonts w:eastAsia="Calibri"/>
          <w:szCs w:val="20"/>
          <w:lang w:eastAsia="en-US"/>
        </w:rPr>
        <w:t>środki poczynili respondenci zainteresowani Działaniem 8.6. 7</w:t>
      </w:r>
      <w:r w:rsidR="00E66B89">
        <w:rPr>
          <w:rFonts w:eastAsia="Calibri"/>
          <w:szCs w:val="20"/>
          <w:lang w:eastAsia="en-US"/>
        </w:rPr>
        <w:t xml:space="preserve"> z </w:t>
      </w:r>
      <w:r>
        <w:rPr>
          <w:rFonts w:eastAsia="Calibri"/>
          <w:szCs w:val="20"/>
          <w:lang w:eastAsia="en-US"/>
        </w:rPr>
        <w:t xml:space="preserve">nich podjęło się już </w:t>
      </w:r>
      <w:r w:rsidRPr="00AD42F4">
        <w:rPr>
          <w:rFonts w:eastAsia="Calibri"/>
          <w:szCs w:val="20"/>
          <w:lang w:eastAsia="en-US"/>
        </w:rPr>
        <w:t>przygotowania dokumentów</w:t>
      </w:r>
      <w:r w:rsidR="00E66B89">
        <w:rPr>
          <w:rFonts w:eastAsia="Calibri"/>
          <w:szCs w:val="20"/>
          <w:lang w:eastAsia="en-US"/>
        </w:rPr>
        <w:t xml:space="preserve"> w </w:t>
      </w:r>
      <w:r w:rsidRPr="00AD42F4">
        <w:rPr>
          <w:rFonts w:eastAsia="Calibri"/>
          <w:szCs w:val="20"/>
          <w:lang w:eastAsia="en-US"/>
        </w:rPr>
        <w:t>celu złożenia projektu</w:t>
      </w:r>
      <w:r w:rsidR="00E66B89">
        <w:rPr>
          <w:rFonts w:eastAsia="Calibri"/>
          <w:szCs w:val="20"/>
          <w:lang w:eastAsia="en-US"/>
        </w:rPr>
        <w:t xml:space="preserve"> w </w:t>
      </w:r>
      <w:r>
        <w:rPr>
          <w:rFonts w:eastAsia="Calibri"/>
          <w:szCs w:val="20"/>
          <w:lang w:eastAsia="en-US"/>
        </w:rPr>
        <w:t xml:space="preserve">tym Działaniu. </w:t>
      </w:r>
    </w:p>
    <w:p w14:paraId="49AAEB89"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3D1AB871" w14:textId="77777777" w:rsidR="00050FB4" w:rsidRDefault="00050FB4" w:rsidP="00050FB4">
      <w:pPr>
        <w:rPr>
          <w:rFonts w:ascii="Calibri" w:hAnsi="Calibri" w:cs="Calibri"/>
          <w:color w:val="000000"/>
          <w:sz w:val="22"/>
          <w:szCs w:val="22"/>
        </w:rPr>
      </w:pPr>
      <w:r>
        <w:rPr>
          <w:rFonts w:eastAsia="Calibri"/>
          <w:szCs w:val="20"/>
          <w:lang w:eastAsia="en-US"/>
        </w:rPr>
        <w:t xml:space="preserve">W Działaniu 8.6 zaplanowano jeden konkurs w 2019 roku. </w:t>
      </w:r>
      <w:r w:rsidRPr="00CC7FE2">
        <w:rPr>
          <w:rFonts w:eastAsia="Calibri"/>
          <w:szCs w:val="20"/>
          <w:lang w:eastAsia="en-US"/>
        </w:rPr>
        <w:t>Orientacyjna kwota przeznaczona na dofinansowanie projektów</w:t>
      </w:r>
      <w:r w:rsidR="00E66B89">
        <w:rPr>
          <w:rFonts w:eastAsia="Calibri"/>
          <w:szCs w:val="20"/>
          <w:lang w:eastAsia="en-US"/>
        </w:rPr>
        <w:t xml:space="preserve"> w </w:t>
      </w:r>
      <w:r w:rsidRPr="00CC7FE2">
        <w:rPr>
          <w:rFonts w:eastAsia="Calibri"/>
          <w:szCs w:val="20"/>
          <w:lang w:eastAsia="en-US"/>
        </w:rPr>
        <w:t xml:space="preserve">ramach </w:t>
      </w:r>
      <w:r>
        <w:rPr>
          <w:rFonts w:eastAsia="Calibri"/>
          <w:szCs w:val="20"/>
          <w:lang w:eastAsia="en-US"/>
        </w:rPr>
        <w:t xml:space="preserve">tego </w:t>
      </w:r>
      <w:r w:rsidRPr="00CC7FE2">
        <w:rPr>
          <w:rFonts w:eastAsia="Calibri"/>
          <w:szCs w:val="20"/>
          <w:lang w:eastAsia="en-US"/>
        </w:rPr>
        <w:t>konkursu</w:t>
      </w:r>
      <w:r>
        <w:rPr>
          <w:rFonts w:eastAsia="Calibri"/>
          <w:szCs w:val="20"/>
          <w:lang w:eastAsia="en-US"/>
        </w:rPr>
        <w:t xml:space="preserve"> wynosi prawie 30 mln zł, co stanowi 60% pozostałej - wraz</w:t>
      </w:r>
      <w:r w:rsidR="00E66B89">
        <w:rPr>
          <w:rFonts w:eastAsia="Calibri"/>
          <w:szCs w:val="20"/>
          <w:lang w:eastAsia="en-US"/>
        </w:rPr>
        <w:t xml:space="preserve"> z </w:t>
      </w:r>
      <w:r>
        <w:rPr>
          <w:rFonts w:eastAsia="Calibri"/>
          <w:szCs w:val="20"/>
          <w:lang w:eastAsia="en-US"/>
        </w:rPr>
        <w:t xml:space="preserve">rezerwą wykonania - alokacji </w:t>
      </w:r>
      <w:r w:rsidRPr="000C2C26">
        <w:rPr>
          <w:rFonts w:eastAsia="Calibri"/>
          <w:szCs w:val="20"/>
          <w:lang w:eastAsia="en-US"/>
        </w:rPr>
        <w:t>(</w:t>
      </w:r>
      <w:r w:rsidRPr="00C22C26">
        <w:rPr>
          <w:color w:val="000000"/>
        </w:rPr>
        <w:t>49 005 667,28 zł).</w:t>
      </w:r>
      <w:r>
        <w:rPr>
          <w:rFonts w:ascii="Calibri" w:hAnsi="Calibri" w:cs="Calibri"/>
          <w:color w:val="000000"/>
          <w:sz w:val="22"/>
          <w:szCs w:val="22"/>
        </w:rPr>
        <w:t xml:space="preserve"> </w:t>
      </w:r>
    </w:p>
    <w:p w14:paraId="4522A071" w14:textId="77777777" w:rsidR="00050FB4" w:rsidRDefault="00050FB4" w:rsidP="00050FB4">
      <w:pPr>
        <w:rPr>
          <w:rFonts w:eastAsia="Calibri"/>
          <w:szCs w:val="20"/>
          <w:lang w:eastAsia="en-US"/>
        </w:rPr>
      </w:pPr>
      <w:r w:rsidRPr="00CF3774">
        <w:rPr>
          <w:rFonts w:eastAsia="Calibri"/>
          <w:szCs w:val="20"/>
          <w:lang w:eastAsia="en-US"/>
        </w:rPr>
        <w:t>W 2019 roku będą także organizowane nabory</w:t>
      </w:r>
      <w:r w:rsidR="00E66B89">
        <w:rPr>
          <w:rFonts w:eastAsia="Calibri"/>
          <w:szCs w:val="20"/>
          <w:lang w:eastAsia="en-US"/>
        </w:rPr>
        <w:t xml:space="preserve"> w </w:t>
      </w:r>
      <w:r w:rsidRPr="00CF3774">
        <w:rPr>
          <w:rFonts w:eastAsia="Calibri"/>
          <w:szCs w:val="20"/>
          <w:lang w:eastAsia="en-US"/>
        </w:rPr>
        <w:t>ramach Działań 8.</w:t>
      </w:r>
      <w:r>
        <w:rPr>
          <w:rFonts w:eastAsia="Calibri"/>
          <w:szCs w:val="20"/>
          <w:lang w:eastAsia="en-US"/>
        </w:rPr>
        <w:t>7</w:t>
      </w:r>
      <w:r w:rsidR="00E66B89">
        <w:rPr>
          <w:rFonts w:eastAsia="Calibri"/>
          <w:szCs w:val="20"/>
          <w:lang w:eastAsia="en-US"/>
        </w:rPr>
        <w:t xml:space="preserve"> i </w:t>
      </w:r>
      <w:r w:rsidRPr="00CF3774">
        <w:rPr>
          <w:rFonts w:eastAsia="Calibri"/>
          <w:szCs w:val="20"/>
          <w:lang w:eastAsia="en-US"/>
        </w:rPr>
        <w:t>8.</w:t>
      </w:r>
      <w:r>
        <w:rPr>
          <w:rFonts w:eastAsia="Calibri"/>
          <w:szCs w:val="20"/>
          <w:lang w:eastAsia="en-US"/>
        </w:rPr>
        <w:t>8</w:t>
      </w:r>
      <w:r w:rsidRPr="00CF3774">
        <w:rPr>
          <w:rFonts w:eastAsia="Calibri"/>
          <w:szCs w:val="20"/>
          <w:lang w:eastAsia="en-US"/>
        </w:rPr>
        <w:t>. Jeżeli zainteresowanie projektodawców będzie adekwatne do kwot, które planowane są na dofinansowanie projektów</w:t>
      </w:r>
      <w:r w:rsidR="00E66B89">
        <w:rPr>
          <w:rFonts w:eastAsia="Calibri"/>
          <w:szCs w:val="20"/>
          <w:lang w:eastAsia="en-US"/>
        </w:rPr>
        <w:t xml:space="preserve"> w </w:t>
      </w:r>
      <w:r w:rsidRPr="00CF3774">
        <w:rPr>
          <w:rFonts w:eastAsia="Calibri"/>
          <w:szCs w:val="20"/>
          <w:lang w:eastAsia="en-US"/>
        </w:rPr>
        <w:t>ramach t</w:t>
      </w:r>
      <w:r>
        <w:rPr>
          <w:rFonts w:eastAsia="Calibri"/>
          <w:szCs w:val="20"/>
          <w:lang w:eastAsia="en-US"/>
        </w:rPr>
        <w:t xml:space="preserve">ych </w:t>
      </w:r>
      <w:r w:rsidRPr="00CF3774">
        <w:rPr>
          <w:rFonts w:eastAsia="Calibri"/>
          <w:szCs w:val="20"/>
          <w:lang w:eastAsia="en-US"/>
        </w:rPr>
        <w:t>konkurs</w:t>
      </w:r>
      <w:r>
        <w:rPr>
          <w:rFonts w:eastAsia="Calibri"/>
          <w:szCs w:val="20"/>
          <w:lang w:eastAsia="en-US"/>
        </w:rPr>
        <w:t>ów</w:t>
      </w:r>
      <w:r w:rsidRPr="00CF3774">
        <w:rPr>
          <w:rFonts w:eastAsia="Calibri"/>
          <w:szCs w:val="20"/>
          <w:lang w:eastAsia="en-US"/>
        </w:rPr>
        <w:t xml:space="preserve"> </w:t>
      </w:r>
      <w:r>
        <w:rPr>
          <w:rFonts w:eastAsia="Calibri"/>
          <w:szCs w:val="20"/>
          <w:lang w:eastAsia="en-US"/>
        </w:rPr>
        <w:t xml:space="preserve">(w obu przypadkach jest to kwota ok. 3,5 mln. zł), </w:t>
      </w:r>
      <w:r w:rsidRPr="00CF3774">
        <w:rPr>
          <w:rFonts w:eastAsia="Calibri"/>
          <w:szCs w:val="20"/>
          <w:lang w:eastAsia="en-US"/>
        </w:rPr>
        <w:t xml:space="preserve">to </w:t>
      </w:r>
      <w:r>
        <w:rPr>
          <w:rFonts w:eastAsia="Calibri"/>
          <w:szCs w:val="20"/>
          <w:lang w:eastAsia="en-US"/>
        </w:rPr>
        <w:t>a</w:t>
      </w:r>
      <w:r w:rsidRPr="00CF3774">
        <w:rPr>
          <w:rFonts w:eastAsia="Calibri"/>
          <w:szCs w:val="20"/>
          <w:lang w:eastAsia="en-US"/>
        </w:rPr>
        <w:t xml:space="preserve">lokacja dla obu </w:t>
      </w:r>
      <w:r>
        <w:rPr>
          <w:rFonts w:eastAsia="Calibri"/>
          <w:szCs w:val="20"/>
          <w:lang w:eastAsia="en-US"/>
        </w:rPr>
        <w:t>D</w:t>
      </w:r>
      <w:r w:rsidRPr="00CF3774">
        <w:rPr>
          <w:rFonts w:eastAsia="Calibri"/>
          <w:szCs w:val="20"/>
          <w:lang w:eastAsia="en-US"/>
        </w:rPr>
        <w:t>ziałań powinna zostać wyczerpana.</w:t>
      </w:r>
    </w:p>
    <w:p w14:paraId="5C71DD46" w14:textId="77777777" w:rsidR="00050FB4" w:rsidRDefault="00050FB4" w:rsidP="00050FB4">
      <w:pPr>
        <w:rPr>
          <w:rFonts w:eastAsia="Calibri"/>
          <w:szCs w:val="20"/>
          <w:lang w:eastAsia="en-US"/>
        </w:rPr>
      </w:pPr>
      <w:r>
        <w:rPr>
          <w:rFonts w:eastAsia="Calibri"/>
          <w:szCs w:val="20"/>
          <w:lang w:eastAsia="en-US"/>
        </w:rPr>
        <w:t>Jak już wcześniej opisywano, nie jest planowany żaden konkurs na projekty</w:t>
      </w:r>
      <w:r w:rsidR="00E66B89">
        <w:rPr>
          <w:rFonts w:eastAsia="Calibri"/>
          <w:szCs w:val="20"/>
          <w:lang w:eastAsia="en-US"/>
        </w:rPr>
        <w:t xml:space="preserve"> w </w:t>
      </w:r>
      <w:r>
        <w:rPr>
          <w:rFonts w:eastAsia="Calibri"/>
          <w:szCs w:val="20"/>
          <w:lang w:eastAsia="en-US"/>
        </w:rPr>
        <w:t>ramach Działania 8.9. Oznacza to, że</w:t>
      </w:r>
      <w:r w:rsidR="00E66B89">
        <w:rPr>
          <w:rFonts w:eastAsia="Calibri"/>
          <w:szCs w:val="20"/>
          <w:lang w:eastAsia="en-US"/>
        </w:rPr>
        <w:t xml:space="preserve"> w </w:t>
      </w:r>
      <w:r>
        <w:rPr>
          <w:rFonts w:eastAsia="Calibri"/>
          <w:szCs w:val="20"/>
          <w:lang w:eastAsia="en-US"/>
        </w:rPr>
        <w:t>najbliższym czasie dostępna kwota alokacji</w:t>
      </w:r>
      <w:r w:rsidR="00E66B89">
        <w:rPr>
          <w:rFonts w:eastAsia="Calibri"/>
          <w:szCs w:val="20"/>
          <w:lang w:eastAsia="en-US"/>
        </w:rPr>
        <w:t xml:space="preserve"> w </w:t>
      </w:r>
      <w:r>
        <w:rPr>
          <w:rFonts w:eastAsia="Calibri"/>
          <w:szCs w:val="20"/>
          <w:lang w:eastAsia="en-US"/>
        </w:rPr>
        <w:t xml:space="preserve">tym Działaniu - wynosząca na dzień 7.01.2019 roku </w:t>
      </w:r>
      <w:r w:rsidRPr="00FB794A">
        <w:rPr>
          <w:rFonts w:eastAsia="Calibri"/>
          <w:szCs w:val="20"/>
          <w:lang w:eastAsia="en-US"/>
        </w:rPr>
        <w:t>17</w:t>
      </w:r>
      <w:r>
        <w:rPr>
          <w:rFonts w:eastAsia="Calibri"/>
          <w:szCs w:val="20"/>
          <w:lang w:eastAsia="en-US"/>
        </w:rPr>
        <w:t xml:space="preserve"> </w:t>
      </w:r>
      <w:r w:rsidRPr="00FB794A">
        <w:rPr>
          <w:rFonts w:eastAsia="Calibri"/>
          <w:szCs w:val="20"/>
          <w:lang w:eastAsia="en-US"/>
        </w:rPr>
        <w:t>395</w:t>
      </w:r>
      <w:r>
        <w:rPr>
          <w:rFonts w:eastAsia="Calibri"/>
          <w:szCs w:val="20"/>
          <w:lang w:eastAsia="en-US"/>
        </w:rPr>
        <w:t xml:space="preserve"> </w:t>
      </w:r>
      <w:r w:rsidRPr="00FB794A">
        <w:rPr>
          <w:rFonts w:eastAsia="Calibri"/>
          <w:szCs w:val="20"/>
          <w:lang w:eastAsia="en-US"/>
        </w:rPr>
        <w:t>312,97</w:t>
      </w:r>
      <w:r>
        <w:rPr>
          <w:rFonts w:eastAsia="Calibri"/>
          <w:szCs w:val="20"/>
          <w:lang w:eastAsia="en-US"/>
        </w:rPr>
        <w:t xml:space="preserve"> zł - nie zostanie spożytkowana</w:t>
      </w:r>
      <w:r w:rsidR="00E66B89">
        <w:rPr>
          <w:rFonts w:eastAsia="Calibri"/>
          <w:szCs w:val="20"/>
          <w:lang w:eastAsia="en-US"/>
        </w:rPr>
        <w:t xml:space="preserve"> i </w:t>
      </w:r>
      <w:r>
        <w:rPr>
          <w:rFonts w:eastAsia="Calibri"/>
          <w:szCs w:val="20"/>
          <w:lang w:eastAsia="en-US"/>
        </w:rPr>
        <w:t xml:space="preserve">powinna zostać przeniesiona do innych Działań. </w:t>
      </w:r>
    </w:p>
    <w:p w14:paraId="1742B88C" w14:textId="77777777" w:rsidR="00050FB4" w:rsidRDefault="00050FB4" w:rsidP="00050FB4">
      <w:pPr>
        <w:rPr>
          <w:rFonts w:eastAsia="Calibri"/>
          <w:szCs w:val="20"/>
          <w:lang w:eastAsia="en-US"/>
        </w:rPr>
      </w:pPr>
      <w:r>
        <w:rPr>
          <w:rFonts w:eastAsia="Calibri"/>
          <w:szCs w:val="20"/>
          <w:lang w:eastAsia="en-US"/>
        </w:rPr>
        <w:t xml:space="preserve">Istnieje także ryzyko nieosiągnięcia wskaźnika </w:t>
      </w:r>
      <w:r w:rsidRPr="00145F5C">
        <w:rPr>
          <w:rFonts w:cs="Calibri"/>
          <w:bCs/>
          <w:i/>
          <w:szCs w:val="18"/>
        </w:rPr>
        <w:t>Liczba nauczycieli kształcenia zawodowego oraz instruktorów praktycznej nauki zawodu objętych wsparciem</w:t>
      </w:r>
      <w:r w:rsidR="00E66B89">
        <w:rPr>
          <w:rFonts w:cs="Calibri"/>
          <w:bCs/>
          <w:i/>
          <w:szCs w:val="18"/>
        </w:rPr>
        <w:t xml:space="preserve"> w </w:t>
      </w:r>
      <w:r w:rsidRPr="00145F5C">
        <w:rPr>
          <w:rFonts w:cs="Calibri"/>
          <w:bCs/>
          <w:i/>
          <w:szCs w:val="18"/>
        </w:rPr>
        <w:t>programie</w:t>
      </w:r>
      <w:r>
        <w:rPr>
          <w:rFonts w:cs="Calibri"/>
          <w:bCs/>
          <w:szCs w:val="18"/>
        </w:rPr>
        <w:t>. Głównym powodem jest zbyt niska alokacja środków,</w:t>
      </w:r>
      <w:r w:rsidR="00E66B89">
        <w:rPr>
          <w:rFonts w:cs="Calibri"/>
          <w:bCs/>
          <w:szCs w:val="18"/>
        </w:rPr>
        <w:t xml:space="preserve"> w </w:t>
      </w:r>
      <w:r>
        <w:rPr>
          <w:rFonts w:cs="Calibri"/>
          <w:bCs/>
          <w:szCs w:val="18"/>
        </w:rPr>
        <w:t>stosunku do potrzeb obliczonych na podstawie dotychczas obserwowanej</w:t>
      </w:r>
      <w:r w:rsidR="00E66B89">
        <w:rPr>
          <w:rFonts w:cs="Calibri"/>
          <w:bCs/>
          <w:szCs w:val="18"/>
        </w:rPr>
        <w:t xml:space="preserve"> w </w:t>
      </w:r>
      <w:r>
        <w:rPr>
          <w:rFonts w:cs="Calibri"/>
          <w:bCs/>
          <w:szCs w:val="18"/>
        </w:rPr>
        <w:t>PI 10iv efektywności kosztowej.</w:t>
      </w:r>
      <w:r w:rsidR="00E66B89">
        <w:rPr>
          <w:rFonts w:cs="Calibri"/>
          <w:bCs/>
          <w:szCs w:val="18"/>
        </w:rPr>
        <w:t xml:space="preserve"> W </w:t>
      </w:r>
      <w:r>
        <w:rPr>
          <w:rFonts w:cs="Calibri"/>
          <w:bCs/>
          <w:szCs w:val="18"/>
        </w:rPr>
        <w:t>chwili obecnej na Działania realizujące ten wskaźnik dostępna jest alokacja</w:t>
      </w:r>
      <w:r w:rsidR="00E66B89">
        <w:rPr>
          <w:rFonts w:cs="Calibri"/>
          <w:bCs/>
          <w:szCs w:val="18"/>
        </w:rPr>
        <w:t xml:space="preserve"> w </w:t>
      </w:r>
      <w:r>
        <w:rPr>
          <w:rFonts w:cs="Calibri"/>
          <w:bCs/>
          <w:szCs w:val="18"/>
        </w:rPr>
        <w:t>wysokości 7</w:t>
      </w:r>
      <w:r w:rsidRPr="00145F5C">
        <w:rPr>
          <w:rFonts w:eastAsia="Calibri"/>
          <w:szCs w:val="20"/>
          <w:lang w:eastAsia="en-US"/>
        </w:rPr>
        <w:t>2</w:t>
      </w:r>
      <w:r>
        <w:rPr>
          <w:rFonts w:eastAsia="Calibri"/>
          <w:szCs w:val="20"/>
          <w:lang w:eastAsia="en-US"/>
        </w:rPr>
        <w:t xml:space="preserve"> </w:t>
      </w:r>
      <w:r w:rsidRPr="00145F5C">
        <w:rPr>
          <w:rFonts w:eastAsia="Calibri"/>
          <w:szCs w:val="20"/>
          <w:lang w:eastAsia="en-US"/>
        </w:rPr>
        <w:t>707</w:t>
      </w:r>
      <w:r>
        <w:rPr>
          <w:rFonts w:eastAsia="Calibri"/>
          <w:szCs w:val="20"/>
          <w:lang w:eastAsia="en-US"/>
        </w:rPr>
        <w:t xml:space="preserve"> </w:t>
      </w:r>
      <w:r w:rsidRPr="00145F5C">
        <w:rPr>
          <w:rFonts w:eastAsia="Calibri"/>
          <w:szCs w:val="20"/>
          <w:lang w:eastAsia="en-US"/>
        </w:rPr>
        <w:t>039</w:t>
      </w:r>
      <w:r>
        <w:rPr>
          <w:rFonts w:eastAsia="Calibri"/>
          <w:szCs w:val="20"/>
          <w:lang w:eastAsia="en-US"/>
        </w:rPr>
        <w:t xml:space="preserve"> złotych, podczas gdy do osiągnięcia wskaźnika potrzebnych jest </w:t>
      </w:r>
      <w:r w:rsidRPr="00145F5C">
        <w:rPr>
          <w:rFonts w:eastAsia="Calibri"/>
          <w:szCs w:val="20"/>
          <w:lang w:eastAsia="en-US"/>
        </w:rPr>
        <w:t>82</w:t>
      </w:r>
      <w:r>
        <w:rPr>
          <w:rFonts w:eastAsia="Calibri"/>
          <w:szCs w:val="20"/>
          <w:lang w:eastAsia="en-US"/>
        </w:rPr>
        <w:t xml:space="preserve"> </w:t>
      </w:r>
      <w:r w:rsidRPr="00145F5C">
        <w:rPr>
          <w:rFonts w:eastAsia="Calibri"/>
          <w:szCs w:val="20"/>
          <w:lang w:eastAsia="en-US"/>
        </w:rPr>
        <w:t>803</w:t>
      </w:r>
      <w:r>
        <w:rPr>
          <w:rFonts w:eastAsia="Calibri"/>
          <w:szCs w:val="20"/>
          <w:lang w:eastAsia="en-US"/>
        </w:rPr>
        <w:t> </w:t>
      </w:r>
      <w:r w:rsidRPr="00145F5C">
        <w:rPr>
          <w:rFonts w:eastAsia="Calibri"/>
          <w:szCs w:val="20"/>
          <w:lang w:eastAsia="en-US"/>
        </w:rPr>
        <w:t>346</w:t>
      </w:r>
      <w:r>
        <w:rPr>
          <w:rFonts w:eastAsia="Calibri"/>
          <w:szCs w:val="20"/>
          <w:lang w:eastAsia="en-US"/>
        </w:rPr>
        <w:t xml:space="preserve"> zł. Do </w:t>
      </w:r>
      <w:r w:rsidR="00B508D9">
        <w:rPr>
          <w:rFonts w:eastAsia="Calibri"/>
          <w:szCs w:val="20"/>
          <w:lang w:eastAsia="en-US"/>
        </w:rPr>
        <w:t>osiągnięcia</w:t>
      </w:r>
      <w:r>
        <w:rPr>
          <w:rFonts w:eastAsia="Calibri"/>
          <w:szCs w:val="20"/>
          <w:lang w:eastAsia="en-US"/>
        </w:rPr>
        <w:t xml:space="preserve"> założonych wskaźników brakuje więc ponad 10 mln zł.</w:t>
      </w:r>
    </w:p>
    <w:p w14:paraId="1E154C0B" w14:textId="55146444" w:rsidR="001D1CE9" w:rsidRPr="001245CE" w:rsidRDefault="00050FB4" w:rsidP="001245CE">
      <w:pPr>
        <w:rPr>
          <w:rFonts w:eastAsia="Calibri"/>
          <w:szCs w:val="20"/>
          <w:lang w:eastAsia="en-US"/>
        </w:rPr>
      </w:pPr>
      <w:r>
        <w:rPr>
          <w:rFonts w:eastAsia="Calibri"/>
          <w:szCs w:val="20"/>
          <w:lang w:eastAsia="en-US"/>
        </w:rPr>
        <w:t>Wszystkie pozostałe wskaźniki zostaną osiągnięte,</w:t>
      </w:r>
      <w:r w:rsidR="00E66B89">
        <w:rPr>
          <w:rFonts w:eastAsia="Calibri"/>
          <w:szCs w:val="20"/>
          <w:lang w:eastAsia="en-US"/>
        </w:rPr>
        <w:t xml:space="preserve"> z </w:t>
      </w:r>
      <w:r>
        <w:rPr>
          <w:rFonts w:eastAsia="Calibri"/>
          <w:szCs w:val="20"/>
          <w:lang w:eastAsia="en-US"/>
        </w:rPr>
        <w:t xml:space="preserve">wyjątkiem wskaźnika </w:t>
      </w:r>
      <w:r w:rsidRPr="001D1F48">
        <w:rPr>
          <w:rFonts w:eastAsia="Calibri"/>
          <w:i/>
          <w:szCs w:val="20"/>
          <w:lang w:eastAsia="en-US"/>
        </w:rPr>
        <w:t>Liczba uczniów objętych wsparciem</w:t>
      </w:r>
      <w:r w:rsidR="00E66B89">
        <w:rPr>
          <w:rFonts w:eastAsia="Calibri"/>
          <w:i/>
          <w:szCs w:val="20"/>
          <w:lang w:eastAsia="en-US"/>
        </w:rPr>
        <w:t xml:space="preserve"> w </w:t>
      </w:r>
      <w:r w:rsidRPr="001D1F48">
        <w:rPr>
          <w:rFonts w:eastAsia="Calibri"/>
          <w:i/>
          <w:szCs w:val="20"/>
          <w:lang w:eastAsia="en-US"/>
        </w:rPr>
        <w:t>zakresie rozwijania kompetencji kluczowych lub umiejętności uniwersalnych</w:t>
      </w:r>
      <w:r w:rsidR="00E66B89">
        <w:rPr>
          <w:rFonts w:eastAsia="Calibri"/>
          <w:i/>
          <w:szCs w:val="20"/>
          <w:lang w:eastAsia="en-US"/>
        </w:rPr>
        <w:t xml:space="preserve"> w </w:t>
      </w:r>
      <w:r w:rsidRPr="001D1F48">
        <w:rPr>
          <w:rFonts w:eastAsia="Calibri"/>
          <w:i/>
          <w:szCs w:val="20"/>
          <w:lang w:eastAsia="en-US"/>
        </w:rPr>
        <w:t>programie</w:t>
      </w:r>
      <w:r>
        <w:rPr>
          <w:rFonts w:eastAsia="Calibri"/>
          <w:i/>
          <w:szCs w:val="20"/>
          <w:lang w:eastAsia="en-US"/>
        </w:rPr>
        <w:t xml:space="preserve">. </w:t>
      </w:r>
      <w:r>
        <w:rPr>
          <w:rFonts w:eastAsia="Calibri"/>
          <w:szCs w:val="20"/>
          <w:lang w:eastAsia="en-US"/>
        </w:rPr>
        <w:t>Do dnia 7.01.2019 r. nie zostały podpisane żadne umowy na dofinansowanie projektów, które przyczyniałyby się do osiągania war</w:t>
      </w:r>
      <w:bookmarkStart w:id="320" w:name="_Toc3896885"/>
      <w:r w:rsidR="001245CE">
        <w:rPr>
          <w:rFonts w:eastAsia="Calibri"/>
          <w:szCs w:val="20"/>
          <w:lang w:eastAsia="en-US"/>
        </w:rPr>
        <w:t>tości docelowej tego wskaźnika.</w:t>
      </w:r>
    </w:p>
    <w:p w14:paraId="471058A0" w14:textId="1AD9516C" w:rsidR="00050FB4" w:rsidRPr="00FE73B6" w:rsidRDefault="00050FB4" w:rsidP="00FE73B6">
      <w:pPr>
        <w:pStyle w:val="Legenda"/>
        <w:spacing w:after="0"/>
      </w:pPr>
      <w:bookmarkStart w:id="321" w:name="_Toc8824248"/>
      <w:r w:rsidRPr="00FE73B6">
        <w:lastRenderedPageBreak/>
        <w:t xml:space="preserve">Tabela </w:t>
      </w:r>
      <w:r w:rsidRPr="00FE73B6">
        <w:fldChar w:fldCharType="begin"/>
      </w:r>
      <w:r w:rsidRPr="00FE73B6">
        <w:instrText xml:space="preserve"> SEQ Tabela \* ARABIC </w:instrText>
      </w:r>
      <w:r w:rsidRPr="00FE73B6">
        <w:fldChar w:fldCharType="separate"/>
      </w:r>
      <w:r w:rsidR="00763345">
        <w:rPr>
          <w:noProof/>
        </w:rPr>
        <w:t>137</w:t>
      </w:r>
      <w:r w:rsidRPr="00FE73B6">
        <w:fldChar w:fldCharType="end"/>
      </w:r>
      <w:r w:rsidRPr="00FE73B6">
        <w:t xml:space="preserve"> Prognozowany poziom realizacji wskaźników produktu</w:t>
      </w:r>
      <w:r w:rsidR="00E66B89" w:rsidRPr="00FE73B6">
        <w:t xml:space="preserve"> i </w:t>
      </w:r>
      <w:r w:rsidRPr="00FE73B6">
        <w:t>rezultatu bezpośredniego na rok 2023 – PI 10iv</w:t>
      </w:r>
      <w:bookmarkEnd w:id="320"/>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394"/>
        <w:gridCol w:w="1134"/>
        <w:gridCol w:w="1276"/>
        <w:gridCol w:w="1270"/>
      </w:tblGrid>
      <w:tr w:rsidR="00050FB4" w:rsidRPr="00FE43CD" w14:paraId="65684B1C" w14:textId="77777777" w:rsidTr="001D1CE9">
        <w:trPr>
          <w:trHeight w:val="1009"/>
          <w:tblHeader/>
        </w:trPr>
        <w:tc>
          <w:tcPr>
            <w:tcW w:w="988" w:type="dxa"/>
            <w:shd w:val="clear" w:color="auto" w:fill="DBE5F1"/>
          </w:tcPr>
          <w:p w14:paraId="5924C6B8" w14:textId="77777777" w:rsidR="00050FB4" w:rsidRPr="00404DA5" w:rsidRDefault="00050FB4" w:rsidP="00050FB4">
            <w:pPr>
              <w:jc w:val="center"/>
              <w:rPr>
                <w:rFonts w:cs="Calibri"/>
                <w:sz w:val="16"/>
                <w:szCs w:val="18"/>
              </w:rPr>
            </w:pPr>
            <w:r w:rsidRPr="00404DA5">
              <w:rPr>
                <w:rFonts w:cs="Calibri"/>
                <w:sz w:val="16"/>
                <w:szCs w:val="18"/>
              </w:rPr>
              <w:t>Typ wskaźnika</w:t>
            </w:r>
          </w:p>
        </w:tc>
        <w:tc>
          <w:tcPr>
            <w:tcW w:w="4394" w:type="dxa"/>
            <w:shd w:val="clear" w:color="auto" w:fill="DBE5F1"/>
          </w:tcPr>
          <w:p w14:paraId="72E85D74" w14:textId="77777777" w:rsidR="00050FB4" w:rsidRPr="00404DA5" w:rsidRDefault="00050FB4" w:rsidP="00050FB4">
            <w:pPr>
              <w:jc w:val="center"/>
              <w:rPr>
                <w:rFonts w:cs="Calibri"/>
                <w:sz w:val="16"/>
                <w:szCs w:val="18"/>
              </w:rPr>
            </w:pPr>
            <w:r w:rsidRPr="00404DA5">
              <w:rPr>
                <w:rFonts w:cs="Calibri"/>
                <w:sz w:val="16"/>
                <w:szCs w:val="18"/>
              </w:rPr>
              <w:t>Wskaźnik</w:t>
            </w:r>
          </w:p>
        </w:tc>
        <w:tc>
          <w:tcPr>
            <w:tcW w:w="1134" w:type="dxa"/>
            <w:shd w:val="clear" w:color="auto" w:fill="DBE5F1"/>
          </w:tcPr>
          <w:p w14:paraId="57561876" w14:textId="77777777" w:rsidR="00050FB4" w:rsidRPr="00404DA5" w:rsidRDefault="00050FB4" w:rsidP="00050FB4">
            <w:pPr>
              <w:jc w:val="center"/>
              <w:rPr>
                <w:rFonts w:cs="Calibri"/>
                <w:sz w:val="16"/>
                <w:szCs w:val="18"/>
              </w:rPr>
            </w:pPr>
            <w:r w:rsidRPr="00404DA5">
              <w:rPr>
                <w:rFonts w:cs="Calibri"/>
                <w:sz w:val="16"/>
                <w:szCs w:val="18"/>
              </w:rPr>
              <w:t>Wartość docelowa określona na 2023 rok</w:t>
            </w:r>
          </w:p>
        </w:tc>
        <w:tc>
          <w:tcPr>
            <w:tcW w:w="1276" w:type="dxa"/>
            <w:shd w:val="clear" w:color="auto" w:fill="DBE5F1"/>
          </w:tcPr>
          <w:p w14:paraId="1CF5414F" w14:textId="77777777" w:rsidR="00050FB4" w:rsidRPr="00404DA5" w:rsidRDefault="00050FB4" w:rsidP="00050FB4">
            <w:pPr>
              <w:jc w:val="center"/>
              <w:rPr>
                <w:rFonts w:cs="Calibri"/>
                <w:sz w:val="16"/>
                <w:szCs w:val="18"/>
              </w:rPr>
            </w:pPr>
            <w:r w:rsidRPr="00404DA5">
              <w:rPr>
                <w:rFonts w:cs="Calibri"/>
                <w:sz w:val="16"/>
                <w:szCs w:val="18"/>
              </w:rPr>
              <w:t xml:space="preserve">Prognozowana całkowita wartość wskaźnika </w:t>
            </w:r>
          </w:p>
        </w:tc>
        <w:tc>
          <w:tcPr>
            <w:tcW w:w="1270" w:type="dxa"/>
            <w:shd w:val="clear" w:color="auto" w:fill="DBE5F1"/>
          </w:tcPr>
          <w:p w14:paraId="07D73065" w14:textId="77777777" w:rsidR="00050FB4" w:rsidRPr="00404DA5" w:rsidRDefault="00050FB4" w:rsidP="00050FB4">
            <w:pPr>
              <w:jc w:val="center"/>
              <w:rPr>
                <w:rFonts w:cs="Calibri"/>
                <w:sz w:val="16"/>
                <w:szCs w:val="18"/>
              </w:rPr>
            </w:pPr>
            <w:r w:rsidRPr="00404DA5">
              <w:rPr>
                <w:rFonts w:cs="Calibri"/>
                <w:sz w:val="16"/>
                <w:szCs w:val="18"/>
              </w:rPr>
              <w:t>Prognozowany % realizacji wartości docelowej</w:t>
            </w:r>
          </w:p>
        </w:tc>
      </w:tr>
      <w:tr w:rsidR="00050FB4" w:rsidRPr="00FE43CD" w14:paraId="1D189626" w14:textId="77777777" w:rsidTr="001D1CE9">
        <w:trPr>
          <w:trHeight w:val="657"/>
        </w:trPr>
        <w:tc>
          <w:tcPr>
            <w:tcW w:w="988" w:type="dxa"/>
            <w:shd w:val="clear" w:color="auto" w:fill="auto"/>
            <w:vAlign w:val="center"/>
          </w:tcPr>
          <w:p w14:paraId="6D1668C1" w14:textId="77777777" w:rsidR="00050FB4" w:rsidRPr="00404DA5" w:rsidRDefault="00050FB4" w:rsidP="00B508D9">
            <w:pPr>
              <w:jc w:val="center"/>
              <w:rPr>
                <w:rFonts w:cs="Calibri"/>
                <w:sz w:val="18"/>
                <w:szCs w:val="18"/>
              </w:rPr>
            </w:pPr>
            <w:r w:rsidRPr="00404DA5">
              <w:rPr>
                <w:rFonts w:cs="Calibri"/>
                <w:sz w:val="18"/>
                <w:szCs w:val="18"/>
              </w:rPr>
              <w:t>WP</w:t>
            </w:r>
          </w:p>
        </w:tc>
        <w:tc>
          <w:tcPr>
            <w:tcW w:w="4394" w:type="dxa"/>
            <w:shd w:val="clear" w:color="auto" w:fill="auto"/>
            <w:vAlign w:val="center"/>
          </w:tcPr>
          <w:p w14:paraId="0FBDB06C" w14:textId="77777777" w:rsidR="00050FB4" w:rsidRPr="00404DA5" w:rsidRDefault="00050FB4" w:rsidP="00050FB4">
            <w:pPr>
              <w:rPr>
                <w:rFonts w:cs="Calibri"/>
                <w:sz w:val="18"/>
                <w:szCs w:val="18"/>
              </w:rPr>
            </w:pPr>
            <w:r w:rsidRPr="00404DA5">
              <w:rPr>
                <w:rFonts w:cs="Calibri"/>
                <w:sz w:val="18"/>
                <w:szCs w:val="18"/>
              </w:rPr>
              <w:t>Liczba uczniów objętych wsparciem</w:t>
            </w:r>
            <w:r w:rsidR="00E66B89">
              <w:rPr>
                <w:rFonts w:cs="Calibri"/>
                <w:sz w:val="18"/>
                <w:szCs w:val="18"/>
              </w:rPr>
              <w:t xml:space="preserve"> w </w:t>
            </w:r>
            <w:r w:rsidRPr="00404DA5">
              <w:rPr>
                <w:rFonts w:cs="Calibri"/>
                <w:sz w:val="18"/>
                <w:szCs w:val="18"/>
              </w:rPr>
              <w:t>zakresie rozwijania kompetencji kluczowych lub umiejętności uniwersalnych</w:t>
            </w:r>
            <w:r w:rsidR="00E66B89">
              <w:rPr>
                <w:rFonts w:cs="Calibri"/>
                <w:sz w:val="18"/>
                <w:szCs w:val="18"/>
              </w:rPr>
              <w:t xml:space="preserve"> w </w:t>
            </w:r>
            <w:r w:rsidRPr="00404DA5">
              <w:rPr>
                <w:rFonts w:cs="Calibri"/>
                <w:sz w:val="18"/>
                <w:szCs w:val="18"/>
              </w:rPr>
              <w:t>programie</w:t>
            </w:r>
            <w:r>
              <w:rPr>
                <w:rFonts w:cs="Calibri"/>
                <w:sz w:val="18"/>
                <w:szCs w:val="18"/>
              </w:rPr>
              <w:t xml:space="preserve"> </w:t>
            </w:r>
            <w:r w:rsidRPr="00404DA5">
              <w:rPr>
                <w:rFonts w:cs="Calibri"/>
                <w:sz w:val="18"/>
                <w:szCs w:val="18"/>
              </w:rPr>
              <w:t>[osoby]</w:t>
            </w:r>
          </w:p>
        </w:tc>
        <w:tc>
          <w:tcPr>
            <w:tcW w:w="1134" w:type="dxa"/>
            <w:shd w:val="clear" w:color="auto" w:fill="auto"/>
            <w:vAlign w:val="center"/>
          </w:tcPr>
          <w:p w14:paraId="7B25DFE5" w14:textId="77777777" w:rsidR="00050FB4" w:rsidRDefault="00050FB4" w:rsidP="00050FB4">
            <w:pPr>
              <w:jc w:val="center"/>
              <w:rPr>
                <w:rFonts w:cs="Calibri"/>
                <w:sz w:val="18"/>
                <w:szCs w:val="18"/>
              </w:rPr>
            </w:pPr>
            <w:r w:rsidRPr="00404DA5">
              <w:rPr>
                <w:rFonts w:cs="Calibri"/>
                <w:sz w:val="18"/>
                <w:szCs w:val="18"/>
              </w:rPr>
              <w:t>6427</w:t>
            </w:r>
          </w:p>
          <w:p w14:paraId="770B4B06" w14:textId="77777777" w:rsidR="00050FB4" w:rsidRPr="00404DA5" w:rsidRDefault="00050FB4" w:rsidP="00050FB4">
            <w:pPr>
              <w:jc w:val="center"/>
              <w:rPr>
                <w:rFonts w:cs="Calibri"/>
                <w:sz w:val="18"/>
                <w:szCs w:val="18"/>
              </w:rPr>
            </w:pPr>
            <w:r>
              <w:rPr>
                <w:rFonts w:cs="Calibri"/>
                <w:sz w:val="18"/>
                <w:szCs w:val="18"/>
              </w:rPr>
              <w:t>1000</w:t>
            </w:r>
          </w:p>
        </w:tc>
        <w:tc>
          <w:tcPr>
            <w:tcW w:w="1276" w:type="dxa"/>
            <w:shd w:val="clear" w:color="auto" w:fill="auto"/>
            <w:vAlign w:val="center"/>
          </w:tcPr>
          <w:p w14:paraId="074A28AF" w14:textId="77777777" w:rsidR="00050FB4" w:rsidRDefault="00050FB4" w:rsidP="00050FB4">
            <w:pPr>
              <w:jc w:val="center"/>
              <w:rPr>
                <w:rFonts w:cs="Calibri"/>
                <w:sz w:val="18"/>
                <w:szCs w:val="18"/>
              </w:rPr>
            </w:pPr>
          </w:p>
          <w:p w14:paraId="43076CA8" w14:textId="77777777" w:rsidR="00050FB4" w:rsidRPr="00404DA5" w:rsidRDefault="00050FB4" w:rsidP="00050FB4">
            <w:pPr>
              <w:jc w:val="center"/>
              <w:rPr>
                <w:rFonts w:cs="Calibri"/>
                <w:sz w:val="18"/>
                <w:szCs w:val="18"/>
              </w:rPr>
            </w:pPr>
            <w:r>
              <w:rPr>
                <w:rFonts w:cs="Calibri"/>
                <w:sz w:val="18"/>
                <w:szCs w:val="18"/>
              </w:rPr>
              <w:t>1 500</w:t>
            </w:r>
          </w:p>
        </w:tc>
        <w:tc>
          <w:tcPr>
            <w:tcW w:w="1270" w:type="dxa"/>
            <w:shd w:val="clear" w:color="auto" w:fill="auto"/>
            <w:vAlign w:val="center"/>
          </w:tcPr>
          <w:p w14:paraId="0EE053E2" w14:textId="77777777" w:rsidR="00050FB4" w:rsidRDefault="00050FB4" w:rsidP="00050FB4">
            <w:pPr>
              <w:jc w:val="center"/>
              <w:rPr>
                <w:rFonts w:cs="Calibri"/>
                <w:sz w:val="18"/>
                <w:szCs w:val="18"/>
              </w:rPr>
            </w:pPr>
            <w:r>
              <w:rPr>
                <w:rFonts w:cs="Calibri"/>
                <w:sz w:val="18"/>
                <w:szCs w:val="18"/>
              </w:rPr>
              <w:t>150%</w:t>
            </w:r>
          </w:p>
          <w:p w14:paraId="4EFEB953" w14:textId="77777777" w:rsidR="00050FB4" w:rsidRPr="00404DA5" w:rsidRDefault="00050FB4" w:rsidP="00050FB4">
            <w:pPr>
              <w:jc w:val="center"/>
              <w:rPr>
                <w:rFonts w:cs="Calibri"/>
                <w:sz w:val="18"/>
                <w:szCs w:val="18"/>
              </w:rPr>
            </w:pPr>
          </w:p>
        </w:tc>
      </w:tr>
      <w:tr w:rsidR="00050FB4" w:rsidRPr="00FE43CD" w14:paraId="5C67BEDA" w14:textId="77777777" w:rsidTr="001D1CE9">
        <w:trPr>
          <w:trHeight w:val="672"/>
        </w:trPr>
        <w:tc>
          <w:tcPr>
            <w:tcW w:w="988" w:type="dxa"/>
            <w:shd w:val="clear" w:color="auto" w:fill="auto"/>
            <w:vAlign w:val="center"/>
          </w:tcPr>
          <w:p w14:paraId="5344DFFC" w14:textId="77777777" w:rsidR="00050FB4" w:rsidRPr="00404DA5" w:rsidRDefault="00050FB4" w:rsidP="00B508D9">
            <w:pPr>
              <w:jc w:val="center"/>
              <w:rPr>
                <w:rFonts w:cs="Calibri"/>
                <w:sz w:val="18"/>
                <w:szCs w:val="18"/>
              </w:rPr>
            </w:pPr>
            <w:r w:rsidRPr="00404DA5">
              <w:rPr>
                <w:rFonts w:cs="Calibri"/>
                <w:sz w:val="18"/>
                <w:szCs w:val="18"/>
              </w:rPr>
              <w:t>WR</w:t>
            </w:r>
          </w:p>
        </w:tc>
        <w:tc>
          <w:tcPr>
            <w:tcW w:w="4394" w:type="dxa"/>
            <w:shd w:val="clear" w:color="auto" w:fill="auto"/>
            <w:vAlign w:val="center"/>
          </w:tcPr>
          <w:p w14:paraId="14519885" w14:textId="77777777" w:rsidR="00050FB4" w:rsidRPr="00404DA5" w:rsidRDefault="00050FB4" w:rsidP="00050FB4">
            <w:pPr>
              <w:rPr>
                <w:rFonts w:cs="Calibri"/>
                <w:sz w:val="18"/>
                <w:szCs w:val="18"/>
              </w:rPr>
            </w:pPr>
            <w:r w:rsidRPr="00404DA5">
              <w:rPr>
                <w:rFonts w:cs="Calibri"/>
                <w:sz w:val="18"/>
                <w:szCs w:val="18"/>
              </w:rPr>
              <w:t>Liczba uczniów, którzy nabyli kompetencje kluczowe lub umiejętności uniwersalne po opuszczeniu programu [osoby]</w:t>
            </w:r>
          </w:p>
        </w:tc>
        <w:tc>
          <w:tcPr>
            <w:tcW w:w="1134" w:type="dxa"/>
            <w:shd w:val="clear" w:color="auto" w:fill="auto"/>
            <w:vAlign w:val="center"/>
          </w:tcPr>
          <w:p w14:paraId="1954F538" w14:textId="77777777" w:rsidR="00050FB4" w:rsidRPr="00404DA5" w:rsidRDefault="00050FB4" w:rsidP="00050FB4">
            <w:pPr>
              <w:jc w:val="center"/>
              <w:rPr>
                <w:rFonts w:cs="Calibri"/>
                <w:sz w:val="18"/>
                <w:szCs w:val="18"/>
              </w:rPr>
            </w:pPr>
            <w:r w:rsidRPr="00404DA5">
              <w:rPr>
                <w:rFonts w:cs="Calibri"/>
                <w:sz w:val="18"/>
                <w:szCs w:val="18"/>
              </w:rPr>
              <w:t>85%</w:t>
            </w:r>
          </w:p>
        </w:tc>
        <w:tc>
          <w:tcPr>
            <w:tcW w:w="1276" w:type="dxa"/>
            <w:shd w:val="clear" w:color="auto" w:fill="auto"/>
            <w:vAlign w:val="center"/>
          </w:tcPr>
          <w:p w14:paraId="6B502315" w14:textId="77777777" w:rsidR="00050FB4" w:rsidRPr="00404DA5" w:rsidRDefault="00050FB4" w:rsidP="00050FB4">
            <w:pPr>
              <w:jc w:val="center"/>
              <w:rPr>
                <w:rFonts w:cs="Calibri"/>
                <w:sz w:val="18"/>
                <w:szCs w:val="18"/>
              </w:rPr>
            </w:pPr>
            <w:r w:rsidRPr="00404DA5">
              <w:rPr>
                <w:rFonts w:cs="Calibri"/>
                <w:sz w:val="18"/>
                <w:szCs w:val="18"/>
              </w:rPr>
              <w:t>85%</w:t>
            </w:r>
          </w:p>
        </w:tc>
        <w:tc>
          <w:tcPr>
            <w:tcW w:w="1270" w:type="dxa"/>
            <w:shd w:val="clear" w:color="auto" w:fill="auto"/>
            <w:vAlign w:val="center"/>
          </w:tcPr>
          <w:p w14:paraId="7C5ED03D" w14:textId="77777777" w:rsidR="00050FB4" w:rsidRPr="00404DA5" w:rsidRDefault="00050FB4" w:rsidP="00050FB4">
            <w:pPr>
              <w:jc w:val="center"/>
              <w:rPr>
                <w:rFonts w:cs="Calibri"/>
                <w:sz w:val="18"/>
                <w:szCs w:val="18"/>
              </w:rPr>
            </w:pPr>
            <w:r>
              <w:rPr>
                <w:rFonts w:cs="Calibri"/>
                <w:sz w:val="18"/>
                <w:szCs w:val="18"/>
              </w:rPr>
              <w:t>85</w:t>
            </w:r>
            <w:r w:rsidRPr="00404DA5">
              <w:rPr>
                <w:rFonts w:cs="Calibri"/>
                <w:sz w:val="18"/>
                <w:szCs w:val="18"/>
              </w:rPr>
              <w:t>%</w:t>
            </w:r>
          </w:p>
        </w:tc>
      </w:tr>
      <w:tr w:rsidR="00050FB4" w:rsidRPr="00FE43CD" w14:paraId="5C8F8DDB" w14:textId="77777777" w:rsidTr="001D1CE9">
        <w:trPr>
          <w:trHeight w:val="672"/>
        </w:trPr>
        <w:tc>
          <w:tcPr>
            <w:tcW w:w="988" w:type="dxa"/>
            <w:shd w:val="clear" w:color="auto" w:fill="auto"/>
            <w:vAlign w:val="center"/>
          </w:tcPr>
          <w:p w14:paraId="1311936E" w14:textId="77777777" w:rsidR="00050FB4" w:rsidRPr="00404DA5" w:rsidRDefault="00050FB4" w:rsidP="00B508D9">
            <w:pPr>
              <w:jc w:val="center"/>
              <w:rPr>
                <w:rFonts w:cs="Calibri"/>
                <w:sz w:val="18"/>
                <w:szCs w:val="18"/>
              </w:rPr>
            </w:pPr>
            <w:r w:rsidRPr="00404DA5">
              <w:rPr>
                <w:sz w:val="18"/>
                <w:szCs w:val="18"/>
              </w:rPr>
              <w:t>WP</w:t>
            </w:r>
          </w:p>
        </w:tc>
        <w:tc>
          <w:tcPr>
            <w:tcW w:w="4394" w:type="dxa"/>
            <w:shd w:val="clear" w:color="auto" w:fill="auto"/>
            <w:vAlign w:val="center"/>
          </w:tcPr>
          <w:p w14:paraId="24519B75" w14:textId="77777777" w:rsidR="00050FB4" w:rsidRPr="00404DA5" w:rsidRDefault="00050FB4" w:rsidP="00050FB4">
            <w:pPr>
              <w:rPr>
                <w:rFonts w:cs="Calibri"/>
                <w:sz w:val="18"/>
                <w:szCs w:val="18"/>
              </w:rPr>
            </w:pPr>
            <w:r w:rsidRPr="00404DA5">
              <w:rPr>
                <w:rFonts w:cs="Calibri"/>
                <w:bCs/>
                <w:sz w:val="18"/>
                <w:szCs w:val="18"/>
              </w:rPr>
              <w:t>Liczba nauczycieli kształcenia zawodowego oraz instruktorów praktycznej nauki zawodu objętych wsparciem</w:t>
            </w:r>
            <w:r w:rsidR="00E66B89">
              <w:rPr>
                <w:rFonts w:cs="Calibri"/>
                <w:bCs/>
                <w:sz w:val="18"/>
                <w:szCs w:val="18"/>
              </w:rPr>
              <w:t xml:space="preserve"> w </w:t>
            </w:r>
            <w:r w:rsidRPr="00404DA5">
              <w:rPr>
                <w:rFonts w:cs="Calibri"/>
                <w:bCs/>
                <w:sz w:val="18"/>
                <w:szCs w:val="18"/>
              </w:rPr>
              <w:t>programie [osoby]</w:t>
            </w:r>
          </w:p>
        </w:tc>
        <w:tc>
          <w:tcPr>
            <w:tcW w:w="1134" w:type="dxa"/>
            <w:shd w:val="clear" w:color="auto" w:fill="auto"/>
            <w:vAlign w:val="center"/>
          </w:tcPr>
          <w:p w14:paraId="69C5AFB1" w14:textId="77777777" w:rsidR="00050FB4" w:rsidRPr="00404DA5" w:rsidRDefault="00050FB4" w:rsidP="00050FB4">
            <w:pPr>
              <w:jc w:val="center"/>
              <w:rPr>
                <w:rFonts w:cs="Calibri"/>
                <w:sz w:val="18"/>
                <w:szCs w:val="18"/>
              </w:rPr>
            </w:pPr>
            <w:r w:rsidRPr="00404DA5">
              <w:rPr>
                <w:rFonts w:cs="Calibri"/>
                <w:sz w:val="18"/>
                <w:szCs w:val="18"/>
              </w:rPr>
              <w:t>1175</w:t>
            </w:r>
          </w:p>
        </w:tc>
        <w:tc>
          <w:tcPr>
            <w:tcW w:w="1276" w:type="dxa"/>
            <w:shd w:val="clear" w:color="auto" w:fill="auto"/>
            <w:vAlign w:val="center"/>
          </w:tcPr>
          <w:p w14:paraId="5FF2117C" w14:textId="77777777" w:rsidR="00050FB4" w:rsidRPr="00404DA5" w:rsidRDefault="00050FB4" w:rsidP="00050FB4">
            <w:pPr>
              <w:jc w:val="center"/>
              <w:rPr>
                <w:rFonts w:cs="Calibri"/>
                <w:sz w:val="18"/>
                <w:szCs w:val="18"/>
              </w:rPr>
            </w:pPr>
            <w:r w:rsidRPr="00404DA5">
              <w:rPr>
                <w:rFonts w:cs="Calibri"/>
                <w:sz w:val="18"/>
                <w:szCs w:val="18"/>
              </w:rPr>
              <w:t>1 106</w:t>
            </w:r>
          </w:p>
        </w:tc>
        <w:tc>
          <w:tcPr>
            <w:tcW w:w="1270" w:type="dxa"/>
            <w:shd w:val="clear" w:color="auto" w:fill="auto"/>
            <w:vAlign w:val="center"/>
          </w:tcPr>
          <w:p w14:paraId="6495A95F" w14:textId="77777777" w:rsidR="00050FB4" w:rsidRPr="00404DA5" w:rsidRDefault="00050FB4" w:rsidP="00050FB4">
            <w:pPr>
              <w:jc w:val="center"/>
              <w:rPr>
                <w:rFonts w:cs="Calibri"/>
                <w:sz w:val="18"/>
                <w:szCs w:val="18"/>
              </w:rPr>
            </w:pPr>
            <w:r w:rsidRPr="00404DA5">
              <w:rPr>
                <w:rFonts w:cs="Calibri"/>
                <w:sz w:val="18"/>
                <w:szCs w:val="18"/>
              </w:rPr>
              <w:t>94%</w:t>
            </w:r>
          </w:p>
        </w:tc>
      </w:tr>
      <w:tr w:rsidR="00050FB4" w:rsidRPr="00FE43CD" w14:paraId="3BE5E9CC" w14:textId="77777777" w:rsidTr="001D1CE9">
        <w:trPr>
          <w:trHeight w:val="672"/>
        </w:trPr>
        <w:tc>
          <w:tcPr>
            <w:tcW w:w="988" w:type="dxa"/>
            <w:shd w:val="clear" w:color="auto" w:fill="auto"/>
            <w:vAlign w:val="center"/>
          </w:tcPr>
          <w:p w14:paraId="0A41FD6D" w14:textId="77777777" w:rsidR="00050FB4" w:rsidRPr="00404DA5" w:rsidRDefault="00050FB4" w:rsidP="00B508D9">
            <w:pPr>
              <w:jc w:val="center"/>
              <w:rPr>
                <w:sz w:val="18"/>
                <w:szCs w:val="18"/>
              </w:rPr>
            </w:pPr>
            <w:r w:rsidRPr="00404DA5">
              <w:rPr>
                <w:sz w:val="18"/>
                <w:szCs w:val="18"/>
              </w:rPr>
              <w:t>WR</w:t>
            </w:r>
          </w:p>
        </w:tc>
        <w:tc>
          <w:tcPr>
            <w:tcW w:w="4394" w:type="dxa"/>
            <w:shd w:val="clear" w:color="auto" w:fill="auto"/>
            <w:vAlign w:val="center"/>
          </w:tcPr>
          <w:p w14:paraId="20A40389" w14:textId="77777777" w:rsidR="00050FB4" w:rsidRPr="00404DA5" w:rsidRDefault="00050FB4" w:rsidP="00050FB4">
            <w:pPr>
              <w:rPr>
                <w:rFonts w:cs="Calibri"/>
                <w:bCs/>
                <w:sz w:val="18"/>
                <w:szCs w:val="18"/>
              </w:rPr>
            </w:pPr>
            <w:r w:rsidRPr="00404DA5">
              <w:rPr>
                <w:rFonts w:cs="Calibri"/>
                <w:sz w:val="18"/>
                <w:szCs w:val="18"/>
              </w:rPr>
              <w:t>Liczba nauczycieli kształcenia zawodowego oraz instruktorów praktycznej nauki zawodu, którzy uzyskali kwalifikacje lub nabyli kompetencje po opuszczeniu programu [osoby]</w:t>
            </w:r>
          </w:p>
        </w:tc>
        <w:tc>
          <w:tcPr>
            <w:tcW w:w="1134" w:type="dxa"/>
            <w:shd w:val="clear" w:color="auto" w:fill="auto"/>
            <w:vAlign w:val="center"/>
          </w:tcPr>
          <w:p w14:paraId="4F285671" w14:textId="77777777" w:rsidR="00050FB4" w:rsidRPr="00404DA5" w:rsidRDefault="00050FB4" w:rsidP="00050FB4">
            <w:pPr>
              <w:jc w:val="center"/>
              <w:rPr>
                <w:rFonts w:cs="Calibri"/>
                <w:bCs/>
                <w:sz w:val="18"/>
                <w:szCs w:val="18"/>
              </w:rPr>
            </w:pPr>
            <w:r w:rsidRPr="00404DA5">
              <w:rPr>
                <w:rFonts w:cs="Calibri"/>
                <w:sz w:val="18"/>
                <w:szCs w:val="18"/>
              </w:rPr>
              <w:t>92%</w:t>
            </w:r>
          </w:p>
        </w:tc>
        <w:tc>
          <w:tcPr>
            <w:tcW w:w="1276" w:type="dxa"/>
            <w:shd w:val="clear" w:color="auto" w:fill="auto"/>
            <w:vAlign w:val="center"/>
          </w:tcPr>
          <w:p w14:paraId="59890551" w14:textId="77777777" w:rsidR="00050FB4" w:rsidRDefault="00050FB4" w:rsidP="00050FB4">
            <w:pPr>
              <w:jc w:val="center"/>
              <w:rPr>
                <w:rFonts w:cs="Calibri"/>
                <w:bCs/>
                <w:sz w:val="18"/>
                <w:szCs w:val="18"/>
              </w:rPr>
            </w:pPr>
            <w:r>
              <w:rPr>
                <w:rFonts w:cs="Calibri"/>
                <w:bCs/>
                <w:sz w:val="18"/>
                <w:szCs w:val="18"/>
              </w:rPr>
              <w:t>98,2%</w:t>
            </w:r>
          </w:p>
          <w:p w14:paraId="789DCD36" w14:textId="77777777" w:rsidR="00050FB4" w:rsidRPr="00404DA5" w:rsidRDefault="00050FB4" w:rsidP="00050FB4">
            <w:pPr>
              <w:jc w:val="center"/>
              <w:rPr>
                <w:rFonts w:cs="Calibri"/>
                <w:bCs/>
                <w:sz w:val="18"/>
                <w:szCs w:val="18"/>
              </w:rPr>
            </w:pPr>
            <w:r>
              <w:rPr>
                <w:rFonts w:cs="Calibri"/>
                <w:bCs/>
                <w:sz w:val="18"/>
                <w:szCs w:val="18"/>
              </w:rPr>
              <w:t>(</w:t>
            </w:r>
            <w:r w:rsidRPr="00404DA5">
              <w:rPr>
                <w:rFonts w:cs="Calibri"/>
                <w:bCs/>
                <w:sz w:val="18"/>
                <w:szCs w:val="18"/>
              </w:rPr>
              <w:t>1091</w:t>
            </w:r>
            <w:r>
              <w:rPr>
                <w:rFonts w:cs="Calibri"/>
                <w:bCs/>
                <w:sz w:val="18"/>
                <w:szCs w:val="18"/>
              </w:rPr>
              <w:t>)</w:t>
            </w:r>
          </w:p>
        </w:tc>
        <w:tc>
          <w:tcPr>
            <w:tcW w:w="1270" w:type="dxa"/>
            <w:shd w:val="clear" w:color="auto" w:fill="auto"/>
            <w:vAlign w:val="center"/>
          </w:tcPr>
          <w:p w14:paraId="58D69A2F" w14:textId="77777777" w:rsidR="00050FB4" w:rsidRPr="00404DA5" w:rsidRDefault="00050FB4" w:rsidP="00050FB4">
            <w:pPr>
              <w:jc w:val="center"/>
              <w:rPr>
                <w:rFonts w:cs="Calibri"/>
                <w:sz w:val="18"/>
                <w:szCs w:val="18"/>
              </w:rPr>
            </w:pPr>
            <w:r>
              <w:rPr>
                <w:rFonts w:cs="Calibri"/>
                <w:sz w:val="18"/>
                <w:szCs w:val="18"/>
              </w:rPr>
              <w:t>106</w:t>
            </w:r>
            <w:r w:rsidRPr="00404DA5">
              <w:rPr>
                <w:rFonts w:cs="Calibri"/>
                <w:sz w:val="18"/>
                <w:szCs w:val="18"/>
              </w:rPr>
              <w:t>%</w:t>
            </w:r>
          </w:p>
        </w:tc>
      </w:tr>
      <w:tr w:rsidR="00050FB4" w:rsidRPr="00FE43CD" w14:paraId="0F2E9C3A" w14:textId="77777777" w:rsidTr="001D1CE9">
        <w:trPr>
          <w:trHeight w:val="672"/>
        </w:trPr>
        <w:tc>
          <w:tcPr>
            <w:tcW w:w="988" w:type="dxa"/>
            <w:shd w:val="clear" w:color="auto" w:fill="auto"/>
            <w:vAlign w:val="center"/>
          </w:tcPr>
          <w:p w14:paraId="7E470016" w14:textId="77777777" w:rsidR="00050FB4" w:rsidRPr="00404DA5" w:rsidRDefault="00050FB4" w:rsidP="00B508D9">
            <w:pPr>
              <w:jc w:val="center"/>
              <w:rPr>
                <w:sz w:val="18"/>
                <w:szCs w:val="18"/>
              </w:rPr>
            </w:pPr>
            <w:r w:rsidRPr="00404DA5">
              <w:rPr>
                <w:sz w:val="18"/>
                <w:szCs w:val="18"/>
              </w:rPr>
              <w:t>WP</w:t>
            </w:r>
          </w:p>
        </w:tc>
        <w:tc>
          <w:tcPr>
            <w:tcW w:w="4394" w:type="dxa"/>
            <w:shd w:val="clear" w:color="auto" w:fill="auto"/>
            <w:vAlign w:val="center"/>
          </w:tcPr>
          <w:p w14:paraId="04DB490D" w14:textId="77777777" w:rsidR="00050FB4" w:rsidRPr="00404DA5" w:rsidRDefault="00050FB4" w:rsidP="00050FB4">
            <w:pPr>
              <w:rPr>
                <w:rFonts w:cs="Calibri"/>
                <w:sz w:val="18"/>
                <w:szCs w:val="18"/>
              </w:rPr>
            </w:pPr>
            <w:r w:rsidRPr="00404DA5">
              <w:rPr>
                <w:rFonts w:cs="Calibri"/>
                <w:sz w:val="18"/>
                <w:szCs w:val="18"/>
              </w:rPr>
              <w:t>Liczba osób uczestniczących</w:t>
            </w:r>
            <w:r w:rsidR="00E66B89">
              <w:rPr>
                <w:rFonts w:cs="Calibri"/>
                <w:sz w:val="18"/>
                <w:szCs w:val="18"/>
              </w:rPr>
              <w:t xml:space="preserve"> w </w:t>
            </w:r>
            <w:r w:rsidRPr="00404DA5">
              <w:rPr>
                <w:rFonts w:cs="Calibri"/>
                <w:sz w:val="18"/>
                <w:szCs w:val="18"/>
              </w:rPr>
              <w:t>pozaszkolnych formach kształcenia</w:t>
            </w:r>
            <w:r w:rsidR="00E66B89">
              <w:rPr>
                <w:rFonts w:cs="Calibri"/>
                <w:sz w:val="18"/>
                <w:szCs w:val="18"/>
              </w:rPr>
              <w:t xml:space="preserve"> w </w:t>
            </w:r>
            <w:r w:rsidRPr="00404DA5">
              <w:rPr>
                <w:rFonts w:cs="Calibri"/>
                <w:sz w:val="18"/>
                <w:szCs w:val="18"/>
              </w:rPr>
              <w:t>programie [osoby]</w:t>
            </w:r>
          </w:p>
        </w:tc>
        <w:tc>
          <w:tcPr>
            <w:tcW w:w="1134" w:type="dxa"/>
            <w:shd w:val="clear" w:color="auto" w:fill="auto"/>
            <w:vAlign w:val="center"/>
          </w:tcPr>
          <w:p w14:paraId="6B8E3157" w14:textId="77777777" w:rsidR="00050FB4" w:rsidRPr="00404DA5" w:rsidRDefault="00050FB4" w:rsidP="00050FB4">
            <w:pPr>
              <w:jc w:val="center"/>
              <w:rPr>
                <w:rFonts w:cs="Calibri"/>
                <w:sz w:val="18"/>
                <w:szCs w:val="18"/>
              </w:rPr>
            </w:pPr>
            <w:r w:rsidRPr="00404DA5">
              <w:rPr>
                <w:rFonts w:cs="Calibri"/>
                <w:sz w:val="18"/>
                <w:szCs w:val="18"/>
              </w:rPr>
              <w:t>11752</w:t>
            </w:r>
          </w:p>
        </w:tc>
        <w:tc>
          <w:tcPr>
            <w:tcW w:w="1276" w:type="dxa"/>
            <w:shd w:val="clear" w:color="auto" w:fill="auto"/>
            <w:vAlign w:val="center"/>
          </w:tcPr>
          <w:p w14:paraId="4907CA98" w14:textId="77777777" w:rsidR="00050FB4" w:rsidRPr="00404DA5" w:rsidRDefault="00050FB4" w:rsidP="00050FB4">
            <w:pPr>
              <w:jc w:val="center"/>
              <w:rPr>
                <w:rFonts w:cs="Calibri"/>
                <w:sz w:val="18"/>
                <w:szCs w:val="18"/>
              </w:rPr>
            </w:pPr>
            <w:r w:rsidRPr="00404DA5">
              <w:rPr>
                <w:rFonts w:cs="Calibri"/>
                <w:sz w:val="18"/>
                <w:szCs w:val="18"/>
              </w:rPr>
              <w:t>34 060</w:t>
            </w:r>
          </w:p>
        </w:tc>
        <w:tc>
          <w:tcPr>
            <w:tcW w:w="1270" w:type="dxa"/>
            <w:shd w:val="clear" w:color="auto" w:fill="auto"/>
            <w:vAlign w:val="center"/>
          </w:tcPr>
          <w:p w14:paraId="4AF409F3" w14:textId="77777777" w:rsidR="00050FB4" w:rsidRPr="00404DA5" w:rsidRDefault="00050FB4" w:rsidP="00050FB4">
            <w:pPr>
              <w:jc w:val="center"/>
              <w:rPr>
                <w:rFonts w:cs="Calibri"/>
                <w:sz w:val="18"/>
                <w:szCs w:val="18"/>
              </w:rPr>
            </w:pPr>
            <w:r w:rsidRPr="00404DA5">
              <w:rPr>
                <w:rFonts w:cs="Calibri"/>
                <w:sz w:val="18"/>
                <w:szCs w:val="18"/>
              </w:rPr>
              <w:t>290%</w:t>
            </w:r>
          </w:p>
        </w:tc>
      </w:tr>
      <w:tr w:rsidR="00050FB4" w:rsidRPr="00FE43CD" w14:paraId="4FF736BD" w14:textId="77777777" w:rsidTr="001D1CE9">
        <w:trPr>
          <w:trHeight w:val="672"/>
        </w:trPr>
        <w:tc>
          <w:tcPr>
            <w:tcW w:w="988" w:type="dxa"/>
            <w:shd w:val="clear" w:color="auto" w:fill="auto"/>
            <w:vAlign w:val="center"/>
          </w:tcPr>
          <w:p w14:paraId="0A2C1499" w14:textId="77777777" w:rsidR="00050FB4" w:rsidRPr="00404DA5" w:rsidRDefault="00050FB4" w:rsidP="00B508D9">
            <w:pPr>
              <w:jc w:val="center"/>
              <w:rPr>
                <w:sz w:val="18"/>
                <w:szCs w:val="18"/>
              </w:rPr>
            </w:pPr>
            <w:r w:rsidRPr="00404DA5">
              <w:rPr>
                <w:sz w:val="18"/>
                <w:szCs w:val="18"/>
              </w:rPr>
              <w:t>WP</w:t>
            </w:r>
          </w:p>
        </w:tc>
        <w:tc>
          <w:tcPr>
            <w:tcW w:w="4394" w:type="dxa"/>
            <w:shd w:val="clear" w:color="auto" w:fill="auto"/>
            <w:vAlign w:val="center"/>
          </w:tcPr>
          <w:p w14:paraId="581ED58C" w14:textId="77777777" w:rsidR="00050FB4" w:rsidRPr="00404DA5" w:rsidRDefault="00050FB4" w:rsidP="00050FB4">
            <w:pPr>
              <w:rPr>
                <w:rFonts w:cs="Calibri"/>
                <w:sz w:val="18"/>
                <w:szCs w:val="18"/>
              </w:rPr>
            </w:pPr>
            <w:r w:rsidRPr="00404DA5">
              <w:rPr>
                <w:rFonts w:cs="Calibri"/>
                <w:sz w:val="18"/>
                <w:szCs w:val="18"/>
              </w:rPr>
              <w:t>Liczba podmiotów realizujących zadania centrum kształcenia zawodowego</w:t>
            </w:r>
            <w:r w:rsidR="00E66B89">
              <w:rPr>
                <w:rFonts w:cs="Calibri"/>
                <w:sz w:val="18"/>
                <w:szCs w:val="18"/>
              </w:rPr>
              <w:t xml:space="preserve"> i </w:t>
            </w:r>
            <w:r w:rsidRPr="00404DA5">
              <w:rPr>
                <w:rFonts w:cs="Calibri"/>
                <w:sz w:val="18"/>
                <w:szCs w:val="18"/>
              </w:rPr>
              <w:t>ustawicznego objętych wsparciem</w:t>
            </w:r>
            <w:r w:rsidR="00E66B89">
              <w:rPr>
                <w:rFonts w:cs="Calibri"/>
                <w:sz w:val="18"/>
                <w:szCs w:val="18"/>
              </w:rPr>
              <w:t xml:space="preserve"> w </w:t>
            </w:r>
            <w:r w:rsidRPr="00404DA5">
              <w:rPr>
                <w:rFonts w:cs="Calibri"/>
                <w:sz w:val="18"/>
                <w:szCs w:val="18"/>
              </w:rPr>
              <w:t>programie [szt.]</w:t>
            </w:r>
          </w:p>
        </w:tc>
        <w:tc>
          <w:tcPr>
            <w:tcW w:w="1134" w:type="dxa"/>
            <w:shd w:val="clear" w:color="auto" w:fill="auto"/>
            <w:vAlign w:val="center"/>
          </w:tcPr>
          <w:p w14:paraId="31F33CE5" w14:textId="77777777" w:rsidR="00050FB4" w:rsidRPr="00404DA5" w:rsidRDefault="00050FB4" w:rsidP="00050FB4">
            <w:pPr>
              <w:jc w:val="center"/>
              <w:rPr>
                <w:rFonts w:cs="Calibri"/>
                <w:sz w:val="18"/>
                <w:szCs w:val="18"/>
              </w:rPr>
            </w:pPr>
            <w:r w:rsidRPr="00404DA5">
              <w:rPr>
                <w:rFonts w:cs="Calibri"/>
                <w:sz w:val="18"/>
                <w:szCs w:val="18"/>
              </w:rPr>
              <w:t>12</w:t>
            </w:r>
          </w:p>
        </w:tc>
        <w:tc>
          <w:tcPr>
            <w:tcW w:w="1276" w:type="dxa"/>
            <w:shd w:val="clear" w:color="auto" w:fill="auto"/>
            <w:vAlign w:val="center"/>
          </w:tcPr>
          <w:p w14:paraId="5B73D948" w14:textId="77777777" w:rsidR="00050FB4" w:rsidRDefault="00050FB4" w:rsidP="00050FB4">
            <w:pPr>
              <w:jc w:val="center"/>
              <w:rPr>
                <w:rFonts w:cs="Calibri"/>
                <w:sz w:val="18"/>
                <w:szCs w:val="18"/>
              </w:rPr>
            </w:pPr>
            <w:r>
              <w:rPr>
                <w:rFonts w:cs="Calibri"/>
                <w:sz w:val="18"/>
                <w:szCs w:val="18"/>
              </w:rPr>
              <w:t>30</w:t>
            </w:r>
          </w:p>
          <w:p w14:paraId="066392ED" w14:textId="77777777" w:rsidR="00050FB4" w:rsidRPr="00404DA5" w:rsidRDefault="00050FB4" w:rsidP="00050FB4">
            <w:pPr>
              <w:jc w:val="center"/>
              <w:rPr>
                <w:rFonts w:cs="Calibri"/>
                <w:sz w:val="18"/>
                <w:szCs w:val="18"/>
              </w:rPr>
            </w:pPr>
          </w:p>
        </w:tc>
        <w:tc>
          <w:tcPr>
            <w:tcW w:w="1270" w:type="dxa"/>
            <w:shd w:val="clear" w:color="auto" w:fill="auto"/>
            <w:vAlign w:val="center"/>
          </w:tcPr>
          <w:p w14:paraId="35083390" w14:textId="77777777" w:rsidR="00050FB4" w:rsidRDefault="00050FB4" w:rsidP="00050FB4">
            <w:pPr>
              <w:jc w:val="center"/>
              <w:rPr>
                <w:rFonts w:cs="Calibri"/>
                <w:sz w:val="18"/>
                <w:szCs w:val="18"/>
              </w:rPr>
            </w:pPr>
            <w:r>
              <w:rPr>
                <w:rFonts w:cs="Calibri"/>
                <w:sz w:val="18"/>
                <w:szCs w:val="18"/>
              </w:rPr>
              <w:t>250%</w:t>
            </w:r>
          </w:p>
          <w:p w14:paraId="16AEEE43" w14:textId="77777777" w:rsidR="00050FB4" w:rsidRPr="00404DA5" w:rsidRDefault="00050FB4" w:rsidP="00050FB4">
            <w:pPr>
              <w:jc w:val="center"/>
              <w:rPr>
                <w:rFonts w:cs="Calibri"/>
                <w:sz w:val="18"/>
                <w:szCs w:val="18"/>
              </w:rPr>
            </w:pPr>
          </w:p>
        </w:tc>
      </w:tr>
      <w:tr w:rsidR="00050FB4" w:rsidRPr="00FE43CD" w14:paraId="0CCF2DAF" w14:textId="77777777" w:rsidTr="001D1CE9">
        <w:trPr>
          <w:trHeight w:val="672"/>
        </w:trPr>
        <w:tc>
          <w:tcPr>
            <w:tcW w:w="988" w:type="dxa"/>
            <w:shd w:val="clear" w:color="auto" w:fill="auto"/>
            <w:vAlign w:val="center"/>
          </w:tcPr>
          <w:p w14:paraId="59FBC58D" w14:textId="77777777" w:rsidR="00050FB4" w:rsidRPr="00404DA5" w:rsidRDefault="00050FB4" w:rsidP="00B508D9">
            <w:pPr>
              <w:jc w:val="center"/>
              <w:rPr>
                <w:sz w:val="18"/>
                <w:szCs w:val="18"/>
              </w:rPr>
            </w:pPr>
            <w:r w:rsidRPr="00404DA5">
              <w:rPr>
                <w:sz w:val="18"/>
                <w:szCs w:val="18"/>
              </w:rPr>
              <w:t>WP</w:t>
            </w:r>
          </w:p>
        </w:tc>
        <w:tc>
          <w:tcPr>
            <w:tcW w:w="4394" w:type="dxa"/>
            <w:shd w:val="clear" w:color="auto" w:fill="auto"/>
            <w:vAlign w:val="center"/>
          </w:tcPr>
          <w:p w14:paraId="2AD6AAB5" w14:textId="77777777" w:rsidR="00050FB4" w:rsidRPr="00404DA5" w:rsidRDefault="00050FB4" w:rsidP="00050FB4">
            <w:pPr>
              <w:rPr>
                <w:rFonts w:cs="Calibri"/>
                <w:sz w:val="18"/>
                <w:szCs w:val="18"/>
              </w:rPr>
            </w:pPr>
            <w:r w:rsidRPr="00404DA5">
              <w:rPr>
                <w:rFonts w:cs="Calibri"/>
                <w:sz w:val="18"/>
                <w:szCs w:val="18"/>
              </w:rPr>
              <w:t>Liczba szkół</w:t>
            </w:r>
            <w:r w:rsidR="00E66B89">
              <w:rPr>
                <w:rFonts w:cs="Calibri"/>
                <w:sz w:val="18"/>
                <w:szCs w:val="18"/>
              </w:rPr>
              <w:t xml:space="preserve"> i </w:t>
            </w:r>
            <w:r w:rsidRPr="00404DA5">
              <w:rPr>
                <w:rFonts w:cs="Calibri"/>
                <w:sz w:val="18"/>
                <w:szCs w:val="18"/>
              </w:rPr>
              <w:t>placówek kształcenia zawodowego doposażonych</w:t>
            </w:r>
            <w:r w:rsidR="00E66B89">
              <w:rPr>
                <w:rFonts w:cs="Calibri"/>
                <w:sz w:val="18"/>
                <w:szCs w:val="18"/>
              </w:rPr>
              <w:t xml:space="preserve"> w </w:t>
            </w:r>
            <w:r w:rsidRPr="00404DA5">
              <w:rPr>
                <w:rFonts w:cs="Calibri"/>
                <w:sz w:val="18"/>
                <w:szCs w:val="18"/>
              </w:rPr>
              <w:t>programie</w:t>
            </w:r>
            <w:r w:rsidR="00E66B89">
              <w:rPr>
                <w:rFonts w:cs="Calibri"/>
                <w:sz w:val="18"/>
                <w:szCs w:val="18"/>
              </w:rPr>
              <w:t xml:space="preserve"> w </w:t>
            </w:r>
            <w:r w:rsidRPr="00404DA5">
              <w:rPr>
                <w:rFonts w:cs="Calibri"/>
                <w:sz w:val="18"/>
                <w:szCs w:val="18"/>
              </w:rPr>
              <w:t>sprzęt</w:t>
            </w:r>
            <w:r w:rsidR="00E66B89">
              <w:rPr>
                <w:rFonts w:cs="Calibri"/>
                <w:sz w:val="18"/>
                <w:szCs w:val="18"/>
              </w:rPr>
              <w:t xml:space="preserve"> i </w:t>
            </w:r>
            <w:r w:rsidRPr="00404DA5">
              <w:rPr>
                <w:rFonts w:cs="Calibri"/>
                <w:sz w:val="18"/>
                <w:szCs w:val="18"/>
              </w:rPr>
              <w:t>materiały dydaktyczne niezbędne do realizacji kształcenia zawodowego</w:t>
            </w:r>
            <w:r w:rsidRPr="00404DA5">
              <w:rPr>
                <w:rFonts w:cs="Calibri"/>
              </w:rPr>
              <w:t xml:space="preserve"> </w:t>
            </w:r>
            <w:r w:rsidRPr="00404DA5">
              <w:rPr>
                <w:rFonts w:cs="Calibri"/>
                <w:sz w:val="18"/>
                <w:szCs w:val="18"/>
              </w:rPr>
              <w:t>[szt.]</w:t>
            </w:r>
          </w:p>
        </w:tc>
        <w:tc>
          <w:tcPr>
            <w:tcW w:w="1134" w:type="dxa"/>
            <w:shd w:val="clear" w:color="auto" w:fill="auto"/>
            <w:vAlign w:val="center"/>
          </w:tcPr>
          <w:p w14:paraId="085FBE98" w14:textId="77777777" w:rsidR="00050FB4" w:rsidRPr="00404DA5" w:rsidRDefault="00050FB4" w:rsidP="00050FB4">
            <w:pPr>
              <w:jc w:val="center"/>
              <w:rPr>
                <w:rFonts w:cs="Calibri"/>
                <w:sz w:val="18"/>
                <w:szCs w:val="18"/>
              </w:rPr>
            </w:pPr>
            <w:r w:rsidRPr="00404DA5">
              <w:rPr>
                <w:rFonts w:cs="Calibri"/>
                <w:sz w:val="18"/>
                <w:szCs w:val="18"/>
              </w:rPr>
              <w:t>92</w:t>
            </w:r>
          </w:p>
        </w:tc>
        <w:tc>
          <w:tcPr>
            <w:tcW w:w="1276" w:type="dxa"/>
            <w:shd w:val="clear" w:color="auto" w:fill="auto"/>
            <w:vAlign w:val="center"/>
          </w:tcPr>
          <w:p w14:paraId="5C1F82B7" w14:textId="77777777" w:rsidR="00050FB4" w:rsidRPr="00404DA5" w:rsidRDefault="00050FB4" w:rsidP="00050FB4">
            <w:pPr>
              <w:jc w:val="center"/>
              <w:rPr>
                <w:rFonts w:cs="Calibri"/>
                <w:sz w:val="18"/>
                <w:szCs w:val="18"/>
              </w:rPr>
            </w:pPr>
            <w:r>
              <w:rPr>
                <w:rFonts w:cs="Calibri"/>
                <w:sz w:val="18"/>
                <w:szCs w:val="18"/>
              </w:rPr>
              <w:t>152</w:t>
            </w:r>
          </w:p>
        </w:tc>
        <w:tc>
          <w:tcPr>
            <w:tcW w:w="1270" w:type="dxa"/>
            <w:shd w:val="clear" w:color="auto" w:fill="auto"/>
            <w:vAlign w:val="center"/>
          </w:tcPr>
          <w:p w14:paraId="3FE69AD8" w14:textId="77777777" w:rsidR="00050FB4" w:rsidRPr="00404DA5" w:rsidRDefault="00050FB4" w:rsidP="00050FB4">
            <w:pPr>
              <w:jc w:val="center"/>
              <w:rPr>
                <w:rFonts w:cs="Calibri"/>
                <w:sz w:val="18"/>
                <w:szCs w:val="18"/>
              </w:rPr>
            </w:pPr>
            <w:r>
              <w:rPr>
                <w:rFonts w:cs="Calibri"/>
                <w:sz w:val="18"/>
                <w:szCs w:val="18"/>
              </w:rPr>
              <w:t>165</w:t>
            </w:r>
            <w:r w:rsidRPr="00404DA5">
              <w:rPr>
                <w:rFonts w:cs="Calibri"/>
                <w:sz w:val="18"/>
                <w:szCs w:val="18"/>
              </w:rPr>
              <w:t>%</w:t>
            </w:r>
          </w:p>
        </w:tc>
      </w:tr>
      <w:tr w:rsidR="00050FB4" w:rsidRPr="00FE43CD" w14:paraId="0E901D7F" w14:textId="77777777" w:rsidTr="001D1CE9">
        <w:trPr>
          <w:trHeight w:val="672"/>
        </w:trPr>
        <w:tc>
          <w:tcPr>
            <w:tcW w:w="988" w:type="dxa"/>
            <w:shd w:val="clear" w:color="auto" w:fill="auto"/>
            <w:vAlign w:val="center"/>
          </w:tcPr>
          <w:p w14:paraId="0318448E" w14:textId="77777777" w:rsidR="00050FB4" w:rsidRPr="00404DA5" w:rsidRDefault="00050FB4" w:rsidP="00B508D9">
            <w:pPr>
              <w:jc w:val="center"/>
              <w:rPr>
                <w:sz w:val="18"/>
                <w:szCs w:val="18"/>
              </w:rPr>
            </w:pPr>
            <w:r w:rsidRPr="00404DA5">
              <w:rPr>
                <w:sz w:val="18"/>
                <w:szCs w:val="18"/>
              </w:rPr>
              <w:t>WP</w:t>
            </w:r>
          </w:p>
        </w:tc>
        <w:tc>
          <w:tcPr>
            <w:tcW w:w="4394" w:type="dxa"/>
            <w:shd w:val="clear" w:color="auto" w:fill="auto"/>
            <w:vAlign w:val="center"/>
          </w:tcPr>
          <w:p w14:paraId="550AB4FB" w14:textId="77777777" w:rsidR="00050FB4" w:rsidRPr="00404DA5" w:rsidRDefault="00050FB4" w:rsidP="00050FB4">
            <w:pPr>
              <w:rPr>
                <w:rFonts w:cs="Calibri"/>
                <w:sz w:val="18"/>
                <w:szCs w:val="18"/>
              </w:rPr>
            </w:pPr>
            <w:r w:rsidRPr="00404DA5">
              <w:rPr>
                <w:rFonts w:cs="Calibri"/>
                <w:sz w:val="18"/>
                <w:szCs w:val="18"/>
              </w:rPr>
              <w:t>Liczba uczniów szkół</w:t>
            </w:r>
            <w:r w:rsidR="00E66B89">
              <w:rPr>
                <w:rFonts w:cs="Calibri"/>
                <w:sz w:val="18"/>
                <w:szCs w:val="18"/>
              </w:rPr>
              <w:t xml:space="preserve"> i </w:t>
            </w:r>
            <w:r w:rsidRPr="00404DA5">
              <w:rPr>
                <w:rFonts w:cs="Calibri"/>
                <w:sz w:val="18"/>
                <w:szCs w:val="18"/>
              </w:rPr>
              <w:t>placówek kształcenia zawodowego uczestniczących</w:t>
            </w:r>
            <w:r w:rsidR="00E66B89">
              <w:rPr>
                <w:rFonts w:cs="Calibri"/>
                <w:sz w:val="18"/>
                <w:szCs w:val="18"/>
              </w:rPr>
              <w:t xml:space="preserve"> w </w:t>
            </w:r>
            <w:r w:rsidRPr="00404DA5">
              <w:rPr>
                <w:rFonts w:cs="Calibri"/>
                <w:sz w:val="18"/>
                <w:szCs w:val="18"/>
              </w:rPr>
              <w:t>stażach</w:t>
            </w:r>
            <w:r w:rsidR="00E66B89">
              <w:rPr>
                <w:rFonts w:cs="Calibri"/>
                <w:sz w:val="18"/>
                <w:szCs w:val="18"/>
              </w:rPr>
              <w:t xml:space="preserve"> i </w:t>
            </w:r>
            <w:r w:rsidRPr="00404DA5">
              <w:rPr>
                <w:rFonts w:cs="Calibri"/>
                <w:sz w:val="18"/>
                <w:szCs w:val="18"/>
              </w:rPr>
              <w:t>praktykach</w:t>
            </w:r>
            <w:r w:rsidR="00E66B89">
              <w:rPr>
                <w:rFonts w:cs="Calibri"/>
                <w:sz w:val="18"/>
                <w:szCs w:val="18"/>
              </w:rPr>
              <w:t xml:space="preserve"> u </w:t>
            </w:r>
            <w:r w:rsidRPr="00404DA5">
              <w:rPr>
                <w:rFonts w:cs="Calibri"/>
                <w:sz w:val="18"/>
                <w:szCs w:val="18"/>
              </w:rPr>
              <w:t>pracodawcy [osoby]</w:t>
            </w:r>
          </w:p>
        </w:tc>
        <w:tc>
          <w:tcPr>
            <w:tcW w:w="1134" w:type="dxa"/>
            <w:shd w:val="clear" w:color="auto" w:fill="auto"/>
            <w:vAlign w:val="center"/>
          </w:tcPr>
          <w:p w14:paraId="16CDE046" w14:textId="77777777" w:rsidR="00050FB4" w:rsidRPr="00404DA5" w:rsidRDefault="00050FB4" w:rsidP="00050FB4">
            <w:pPr>
              <w:jc w:val="center"/>
              <w:rPr>
                <w:rFonts w:cs="Calibri"/>
                <w:sz w:val="18"/>
                <w:szCs w:val="18"/>
              </w:rPr>
            </w:pPr>
            <w:r w:rsidRPr="00404DA5">
              <w:rPr>
                <w:rFonts w:cs="Calibri"/>
                <w:sz w:val="18"/>
                <w:szCs w:val="18"/>
              </w:rPr>
              <w:t>12943</w:t>
            </w:r>
          </w:p>
        </w:tc>
        <w:tc>
          <w:tcPr>
            <w:tcW w:w="1276" w:type="dxa"/>
            <w:shd w:val="clear" w:color="auto" w:fill="auto"/>
            <w:vAlign w:val="center"/>
          </w:tcPr>
          <w:p w14:paraId="732194CD" w14:textId="77777777" w:rsidR="00050FB4" w:rsidRPr="00404DA5" w:rsidRDefault="00050FB4" w:rsidP="00050FB4">
            <w:pPr>
              <w:jc w:val="center"/>
              <w:rPr>
                <w:rFonts w:cs="Calibri"/>
                <w:sz w:val="18"/>
                <w:szCs w:val="18"/>
              </w:rPr>
            </w:pPr>
            <w:r w:rsidRPr="00404DA5">
              <w:rPr>
                <w:rFonts w:cs="Calibri"/>
                <w:sz w:val="18"/>
                <w:szCs w:val="18"/>
              </w:rPr>
              <w:t>18 116</w:t>
            </w:r>
          </w:p>
        </w:tc>
        <w:tc>
          <w:tcPr>
            <w:tcW w:w="1270" w:type="dxa"/>
            <w:shd w:val="clear" w:color="auto" w:fill="auto"/>
            <w:vAlign w:val="center"/>
          </w:tcPr>
          <w:p w14:paraId="6A565F3A" w14:textId="77777777" w:rsidR="00050FB4" w:rsidRPr="00404DA5" w:rsidRDefault="00050FB4" w:rsidP="00050FB4">
            <w:pPr>
              <w:jc w:val="center"/>
              <w:rPr>
                <w:rFonts w:cs="Calibri"/>
                <w:sz w:val="18"/>
                <w:szCs w:val="18"/>
              </w:rPr>
            </w:pPr>
            <w:r w:rsidRPr="00404DA5">
              <w:rPr>
                <w:rFonts w:cs="Calibri"/>
                <w:sz w:val="18"/>
                <w:szCs w:val="18"/>
              </w:rPr>
              <w:t>140%</w:t>
            </w:r>
          </w:p>
        </w:tc>
      </w:tr>
      <w:tr w:rsidR="00050FB4" w:rsidRPr="00FE43CD" w14:paraId="4248B886" w14:textId="77777777" w:rsidTr="001D1CE9">
        <w:trPr>
          <w:trHeight w:val="672"/>
        </w:trPr>
        <w:tc>
          <w:tcPr>
            <w:tcW w:w="988" w:type="dxa"/>
            <w:shd w:val="clear" w:color="auto" w:fill="auto"/>
            <w:vAlign w:val="center"/>
          </w:tcPr>
          <w:p w14:paraId="49C85A6B" w14:textId="77777777" w:rsidR="00050FB4" w:rsidRPr="00404DA5" w:rsidRDefault="00050FB4" w:rsidP="00B508D9">
            <w:pPr>
              <w:jc w:val="center"/>
              <w:rPr>
                <w:sz w:val="18"/>
                <w:szCs w:val="18"/>
              </w:rPr>
            </w:pPr>
            <w:r w:rsidRPr="00404DA5">
              <w:rPr>
                <w:sz w:val="18"/>
                <w:szCs w:val="18"/>
              </w:rPr>
              <w:t>WR</w:t>
            </w:r>
          </w:p>
        </w:tc>
        <w:tc>
          <w:tcPr>
            <w:tcW w:w="4394" w:type="dxa"/>
            <w:shd w:val="clear" w:color="auto" w:fill="auto"/>
            <w:vAlign w:val="center"/>
          </w:tcPr>
          <w:p w14:paraId="26418713" w14:textId="77777777" w:rsidR="00050FB4" w:rsidRPr="00404DA5" w:rsidRDefault="00050FB4" w:rsidP="00050FB4">
            <w:pPr>
              <w:rPr>
                <w:rFonts w:cs="Calibri"/>
                <w:sz w:val="18"/>
                <w:szCs w:val="18"/>
              </w:rPr>
            </w:pPr>
            <w:r w:rsidRPr="00404DA5">
              <w:rPr>
                <w:rFonts w:cs="Calibri"/>
                <w:sz w:val="18"/>
                <w:szCs w:val="18"/>
              </w:rPr>
              <w:t>Liczba osób, które uzyskały kwalifikacje</w:t>
            </w:r>
            <w:r w:rsidR="00E66B89">
              <w:rPr>
                <w:rFonts w:cs="Calibri"/>
                <w:sz w:val="18"/>
                <w:szCs w:val="18"/>
              </w:rPr>
              <w:t xml:space="preserve"> w </w:t>
            </w:r>
            <w:r w:rsidRPr="00404DA5">
              <w:rPr>
                <w:rFonts w:cs="Calibri"/>
                <w:sz w:val="18"/>
                <w:szCs w:val="18"/>
              </w:rPr>
              <w:t>ramach pozaszkolnych form kształcenia [osoby]</w:t>
            </w:r>
          </w:p>
        </w:tc>
        <w:tc>
          <w:tcPr>
            <w:tcW w:w="1134" w:type="dxa"/>
            <w:shd w:val="clear" w:color="auto" w:fill="auto"/>
            <w:vAlign w:val="center"/>
          </w:tcPr>
          <w:p w14:paraId="3AE7B354" w14:textId="77777777" w:rsidR="00050FB4" w:rsidRPr="00404DA5" w:rsidRDefault="00050FB4" w:rsidP="00050FB4">
            <w:pPr>
              <w:jc w:val="center"/>
              <w:rPr>
                <w:rFonts w:cs="Calibri"/>
                <w:sz w:val="18"/>
                <w:szCs w:val="18"/>
              </w:rPr>
            </w:pPr>
            <w:r w:rsidRPr="00404DA5">
              <w:rPr>
                <w:rFonts w:cs="Calibri"/>
                <w:sz w:val="18"/>
                <w:szCs w:val="18"/>
              </w:rPr>
              <w:t>31%</w:t>
            </w:r>
          </w:p>
        </w:tc>
        <w:tc>
          <w:tcPr>
            <w:tcW w:w="1276" w:type="dxa"/>
            <w:shd w:val="clear" w:color="auto" w:fill="auto"/>
            <w:vAlign w:val="center"/>
          </w:tcPr>
          <w:p w14:paraId="65D765AB" w14:textId="77777777" w:rsidR="00050FB4" w:rsidRDefault="00050FB4" w:rsidP="00050FB4">
            <w:pPr>
              <w:jc w:val="center"/>
              <w:rPr>
                <w:rFonts w:cs="Calibri"/>
                <w:sz w:val="18"/>
                <w:szCs w:val="18"/>
              </w:rPr>
            </w:pPr>
            <w:r>
              <w:rPr>
                <w:rFonts w:cs="Calibri"/>
                <w:sz w:val="18"/>
                <w:szCs w:val="18"/>
              </w:rPr>
              <w:t>83%</w:t>
            </w:r>
          </w:p>
          <w:p w14:paraId="13644E41" w14:textId="77777777" w:rsidR="00050FB4" w:rsidRPr="00404DA5" w:rsidRDefault="00050FB4" w:rsidP="00050FB4">
            <w:pPr>
              <w:jc w:val="center"/>
              <w:rPr>
                <w:rFonts w:cs="Calibri"/>
                <w:sz w:val="18"/>
                <w:szCs w:val="18"/>
              </w:rPr>
            </w:pPr>
            <w:r w:rsidRPr="00404DA5">
              <w:rPr>
                <w:rFonts w:cs="Calibri"/>
                <w:sz w:val="18"/>
                <w:szCs w:val="18"/>
              </w:rPr>
              <w:t>28 509</w:t>
            </w:r>
          </w:p>
        </w:tc>
        <w:tc>
          <w:tcPr>
            <w:tcW w:w="1270" w:type="dxa"/>
            <w:shd w:val="clear" w:color="auto" w:fill="auto"/>
            <w:vAlign w:val="center"/>
          </w:tcPr>
          <w:p w14:paraId="0A1AD421" w14:textId="77777777" w:rsidR="00050FB4" w:rsidRPr="00404DA5" w:rsidRDefault="00050FB4" w:rsidP="00050FB4">
            <w:pPr>
              <w:jc w:val="center"/>
              <w:rPr>
                <w:rFonts w:cs="Calibri"/>
                <w:sz w:val="18"/>
                <w:szCs w:val="18"/>
              </w:rPr>
            </w:pPr>
            <w:r w:rsidRPr="00404DA5">
              <w:rPr>
                <w:rFonts w:cs="Calibri"/>
                <w:sz w:val="18"/>
                <w:szCs w:val="18"/>
              </w:rPr>
              <w:t>2</w:t>
            </w:r>
            <w:r>
              <w:rPr>
                <w:rFonts w:cs="Calibri"/>
                <w:sz w:val="18"/>
                <w:szCs w:val="18"/>
              </w:rPr>
              <w:t>67</w:t>
            </w:r>
            <w:r w:rsidRPr="00404DA5">
              <w:rPr>
                <w:rFonts w:cs="Calibri"/>
                <w:sz w:val="18"/>
                <w:szCs w:val="18"/>
              </w:rPr>
              <w:t>%</w:t>
            </w:r>
          </w:p>
        </w:tc>
      </w:tr>
      <w:tr w:rsidR="00050FB4" w:rsidRPr="00FE43CD" w14:paraId="3752C452" w14:textId="77777777" w:rsidTr="001D1CE9">
        <w:trPr>
          <w:trHeight w:val="672"/>
        </w:trPr>
        <w:tc>
          <w:tcPr>
            <w:tcW w:w="988" w:type="dxa"/>
            <w:shd w:val="clear" w:color="auto" w:fill="auto"/>
            <w:vAlign w:val="center"/>
          </w:tcPr>
          <w:p w14:paraId="7ADBD1E8" w14:textId="77777777" w:rsidR="00050FB4" w:rsidRPr="00404DA5" w:rsidRDefault="00050FB4" w:rsidP="00B508D9">
            <w:pPr>
              <w:jc w:val="center"/>
              <w:rPr>
                <w:sz w:val="18"/>
                <w:szCs w:val="18"/>
              </w:rPr>
            </w:pPr>
            <w:r w:rsidRPr="00404DA5">
              <w:rPr>
                <w:sz w:val="18"/>
                <w:szCs w:val="18"/>
              </w:rPr>
              <w:t>WR</w:t>
            </w:r>
          </w:p>
        </w:tc>
        <w:tc>
          <w:tcPr>
            <w:tcW w:w="4394" w:type="dxa"/>
            <w:shd w:val="clear" w:color="auto" w:fill="auto"/>
            <w:vAlign w:val="center"/>
          </w:tcPr>
          <w:p w14:paraId="5E109A54" w14:textId="77777777" w:rsidR="00050FB4" w:rsidRPr="00404DA5" w:rsidRDefault="00050FB4" w:rsidP="00050FB4">
            <w:pPr>
              <w:rPr>
                <w:rFonts w:cs="Calibri"/>
                <w:sz w:val="18"/>
                <w:szCs w:val="18"/>
              </w:rPr>
            </w:pPr>
            <w:r w:rsidRPr="00404DA5">
              <w:rPr>
                <w:rFonts w:cs="Calibri"/>
                <w:sz w:val="18"/>
                <w:szCs w:val="18"/>
              </w:rPr>
              <w:t>Liczba szkół</w:t>
            </w:r>
            <w:r w:rsidR="00E66B89">
              <w:rPr>
                <w:rFonts w:cs="Calibri"/>
                <w:sz w:val="18"/>
                <w:szCs w:val="18"/>
              </w:rPr>
              <w:t xml:space="preserve"> i </w:t>
            </w:r>
            <w:r w:rsidRPr="00404DA5">
              <w:rPr>
                <w:rFonts w:cs="Calibri"/>
                <w:sz w:val="18"/>
                <w:szCs w:val="18"/>
              </w:rPr>
              <w:t>placówek kształcenia zawodowego wykorzystujących doposażenie zakupione dzięki EFS [szt.]</w:t>
            </w:r>
          </w:p>
        </w:tc>
        <w:tc>
          <w:tcPr>
            <w:tcW w:w="1134" w:type="dxa"/>
            <w:shd w:val="clear" w:color="auto" w:fill="auto"/>
            <w:vAlign w:val="center"/>
          </w:tcPr>
          <w:p w14:paraId="3DFD7BD5" w14:textId="77777777" w:rsidR="00050FB4" w:rsidRPr="00404DA5" w:rsidRDefault="00050FB4" w:rsidP="00050FB4">
            <w:pPr>
              <w:jc w:val="center"/>
              <w:rPr>
                <w:rFonts w:cs="Calibri"/>
                <w:sz w:val="18"/>
                <w:szCs w:val="18"/>
              </w:rPr>
            </w:pPr>
            <w:r w:rsidRPr="00404DA5">
              <w:rPr>
                <w:rFonts w:cs="Calibri"/>
                <w:sz w:val="18"/>
                <w:szCs w:val="18"/>
              </w:rPr>
              <w:t>97%</w:t>
            </w:r>
          </w:p>
        </w:tc>
        <w:tc>
          <w:tcPr>
            <w:tcW w:w="1276" w:type="dxa"/>
            <w:shd w:val="clear" w:color="auto" w:fill="auto"/>
            <w:vAlign w:val="center"/>
          </w:tcPr>
          <w:p w14:paraId="408462C3" w14:textId="77777777" w:rsidR="00050FB4" w:rsidRPr="00404DA5" w:rsidRDefault="00050FB4" w:rsidP="00050FB4">
            <w:pPr>
              <w:jc w:val="center"/>
              <w:rPr>
                <w:rFonts w:cs="Calibri"/>
                <w:sz w:val="18"/>
                <w:szCs w:val="18"/>
              </w:rPr>
            </w:pPr>
            <w:r>
              <w:rPr>
                <w:rFonts w:cs="Calibri"/>
                <w:sz w:val="18"/>
                <w:szCs w:val="18"/>
              </w:rPr>
              <w:t>98</w:t>
            </w:r>
            <w:r w:rsidRPr="00404DA5">
              <w:rPr>
                <w:rFonts w:cs="Calibri"/>
                <w:sz w:val="18"/>
                <w:szCs w:val="18"/>
              </w:rPr>
              <w:t>%</w:t>
            </w:r>
          </w:p>
        </w:tc>
        <w:tc>
          <w:tcPr>
            <w:tcW w:w="1270" w:type="dxa"/>
            <w:shd w:val="clear" w:color="auto" w:fill="auto"/>
            <w:vAlign w:val="center"/>
          </w:tcPr>
          <w:p w14:paraId="31CD9826" w14:textId="77777777" w:rsidR="00050FB4" w:rsidRPr="00404DA5" w:rsidRDefault="00050FB4" w:rsidP="00050FB4">
            <w:pPr>
              <w:jc w:val="center"/>
              <w:rPr>
                <w:rFonts w:cs="Calibri"/>
                <w:sz w:val="18"/>
                <w:szCs w:val="18"/>
              </w:rPr>
            </w:pPr>
            <w:r w:rsidRPr="00404DA5">
              <w:rPr>
                <w:rFonts w:cs="Calibri"/>
                <w:sz w:val="18"/>
                <w:szCs w:val="18"/>
              </w:rPr>
              <w:t>10</w:t>
            </w:r>
            <w:r>
              <w:rPr>
                <w:rFonts w:cs="Calibri"/>
                <w:sz w:val="18"/>
                <w:szCs w:val="18"/>
              </w:rPr>
              <w:t>1</w:t>
            </w:r>
            <w:r w:rsidRPr="00404DA5">
              <w:rPr>
                <w:rFonts w:cs="Calibri"/>
                <w:sz w:val="18"/>
                <w:szCs w:val="18"/>
              </w:rPr>
              <w:t>%</w:t>
            </w:r>
          </w:p>
        </w:tc>
      </w:tr>
    </w:tbl>
    <w:p w14:paraId="7D424172"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zawartych UoD na dzień 07.01.2019 r., obliczenia</w:t>
      </w:r>
      <w:r w:rsidR="00E66B89" w:rsidRPr="00D21299">
        <w:rPr>
          <w:i/>
          <w:sz w:val="18"/>
          <w:szCs w:val="20"/>
        </w:rPr>
        <w:t xml:space="preserve"> i </w:t>
      </w:r>
      <w:r w:rsidRPr="00D21299">
        <w:rPr>
          <w:i/>
          <w:sz w:val="18"/>
          <w:szCs w:val="20"/>
        </w:rPr>
        <w:t xml:space="preserve">analizy własne. </w:t>
      </w:r>
    </w:p>
    <w:p w14:paraId="71D5B370"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lastRenderedPageBreak/>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2E51C7CD" w14:textId="77777777" w:rsidR="00050FB4" w:rsidRPr="00404DA5" w:rsidRDefault="00050FB4" w:rsidP="00050FB4">
      <w:pPr>
        <w:rPr>
          <w:rFonts w:cs="Calibri"/>
          <w:szCs w:val="20"/>
        </w:rPr>
      </w:pPr>
      <w:r w:rsidRPr="00404DA5">
        <w:rPr>
          <w:rFonts w:cs="Calibri"/>
          <w:szCs w:val="20"/>
        </w:rPr>
        <w:t xml:space="preserve">W Działaniach realizujących </w:t>
      </w:r>
      <w:r>
        <w:rPr>
          <w:rFonts w:cs="Calibri"/>
          <w:szCs w:val="20"/>
        </w:rPr>
        <w:t>PI</w:t>
      </w:r>
      <w:r w:rsidRPr="00404DA5">
        <w:rPr>
          <w:rFonts w:cs="Calibri"/>
          <w:szCs w:val="20"/>
        </w:rPr>
        <w:t xml:space="preserve"> 10iv</w:t>
      </w:r>
      <w:r>
        <w:rPr>
          <w:rFonts w:cs="Calibri"/>
          <w:szCs w:val="20"/>
        </w:rPr>
        <w:t xml:space="preserve"> zaleca się dokonanie pewnych zmian</w:t>
      </w:r>
      <w:r w:rsidR="00E66B89">
        <w:rPr>
          <w:rFonts w:cs="Calibri"/>
          <w:szCs w:val="20"/>
        </w:rPr>
        <w:t xml:space="preserve"> w </w:t>
      </w:r>
      <w:r>
        <w:rPr>
          <w:rFonts w:cs="Calibri"/>
          <w:szCs w:val="20"/>
        </w:rPr>
        <w:t>celu zakontraktowania alokacji oraz urealnienia wartości wskaźników produktu założonych do osiągnięcia</w:t>
      </w:r>
      <w:r w:rsidR="00E66B89">
        <w:rPr>
          <w:rFonts w:cs="Calibri"/>
          <w:szCs w:val="20"/>
        </w:rPr>
        <w:t xml:space="preserve"> w </w:t>
      </w:r>
      <w:r>
        <w:rPr>
          <w:rFonts w:cs="Calibri"/>
          <w:szCs w:val="20"/>
        </w:rPr>
        <w:t>2023 roku.</w:t>
      </w:r>
      <w:r w:rsidR="00E66B89">
        <w:rPr>
          <w:rFonts w:cs="Calibri"/>
          <w:szCs w:val="20"/>
        </w:rPr>
        <w:t xml:space="preserve"> W </w:t>
      </w:r>
      <w:r>
        <w:rPr>
          <w:rFonts w:cs="Calibri"/>
          <w:szCs w:val="20"/>
        </w:rPr>
        <w:t>Działaniu 8.9,</w:t>
      </w:r>
      <w:r w:rsidR="00E66B89">
        <w:rPr>
          <w:rFonts w:cs="Calibri"/>
          <w:szCs w:val="20"/>
        </w:rPr>
        <w:t xml:space="preserve"> w </w:t>
      </w:r>
      <w:r>
        <w:rPr>
          <w:rFonts w:cs="Calibri"/>
          <w:szCs w:val="20"/>
        </w:rPr>
        <w:t>którym nie jest planowany kolejny nabór wniosków, pozostała niewykorzystana alokacja</w:t>
      </w:r>
      <w:r w:rsidR="00E66B89">
        <w:rPr>
          <w:rFonts w:cs="Calibri"/>
          <w:szCs w:val="20"/>
        </w:rPr>
        <w:t xml:space="preserve"> w </w:t>
      </w:r>
      <w:r>
        <w:rPr>
          <w:rFonts w:cs="Calibri"/>
          <w:szCs w:val="20"/>
        </w:rPr>
        <w:t xml:space="preserve">wysokości </w:t>
      </w:r>
      <w:r w:rsidRPr="005E56B9">
        <w:rPr>
          <w:rFonts w:cs="Calibri"/>
          <w:szCs w:val="20"/>
        </w:rPr>
        <w:t>17 395 312,97 zł</w:t>
      </w:r>
      <w:r>
        <w:rPr>
          <w:rFonts w:cs="Calibri"/>
          <w:szCs w:val="20"/>
        </w:rPr>
        <w:t xml:space="preserve"> (stan na dzień</w:t>
      </w:r>
      <w:r w:rsidRPr="005E56B9">
        <w:rPr>
          <w:rFonts w:cs="Calibri"/>
          <w:szCs w:val="20"/>
        </w:rPr>
        <w:t xml:space="preserve"> 7.01.2019</w:t>
      </w:r>
      <w:r>
        <w:rPr>
          <w:rFonts w:cs="Calibri"/>
          <w:szCs w:val="20"/>
        </w:rPr>
        <w:t xml:space="preserve">). </w:t>
      </w:r>
      <w:r w:rsidRPr="008B706B">
        <w:rPr>
          <w:rFonts w:cs="Calibri"/>
          <w:b/>
          <w:szCs w:val="20"/>
        </w:rPr>
        <w:t xml:space="preserve">REKOMENDACJA: Zaleca się </w:t>
      </w:r>
      <w:r>
        <w:rPr>
          <w:rFonts w:cs="Calibri"/>
          <w:b/>
          <w:szCs w:val="20"/>
        </w:rPr>
        <w:t>przeanalizowanie możliwości</w:t>
      </w:r>
      <w:r w:rsidR="00E66B89">
        <w:rPr>
          <w:rFonts w:cs="Calibri"/>
          <w:b/>
          <w:szCs w:val="20"/>
        </w:rPr>
        <w:t xml:space="preserve"> i </w:t>
      </w:r>
      <w:r>
        <w:rPr>
          <w:rFonts w:cs="Calibri"/>
          <w:b/>
          <w:szCs w:val="20"/>
        </w:rPr>
        <w:t xml:space="preserve">zasadności </w:t>
      </w:r>
      <w:r w:rsidRPr="008B706B">
        <w:rPr>
          <w:rFonts w:cs="Calibri"/>
          <w:b/>
          <w:szCs w:val="20"/>
        </w:rPr>
        <w:t>przesunięci</w:t>
      </w:r>
      <w:r>
        <w:rPr>
          <w:rFonts w:cs="Calibri"/>
          <w:b/>
          <w:szCs w:val="20"/>
        </w:rPr>
        <w:t>a</w:t>
      </w:r>
      <w:r w:rsidRPr="008B706B">
        <w:rPr>
          <w:rFonts w:cs="Calibri"/>
          <w:b/>
          <w:szCs w:val="20"/>
        </w:rPr>
        <w:t xml:space="preserve"> niewykorzystanej alokacji</w:t>
      </w:r>
      <w:r w:rsidR="00E66B89">
        <w:rPr>
          <w:rFonts w:cs="Calibri"/>
          <w:b/>
          <w:szCs w:val="20"/>
        </w:rPr>
        <w:t xml:space="preserve"> z </w:t>
      </w:r>
      <w:r w:rsidRPr="008B706B">
        <w:rPr>
          <w:rFonts w:cs="Calibri"/>
          <w:b/>
          <w:szCs w:val="20"/>
        </w:rPr>
        <w:t>Działania 8.9 do Działania 8.6. Działanie 8.6 posiada znaczny potencjał absorpcyjny</w:t>
      </w:r>
      <w:r w:rsidR="00E66B89">
        <w:rPr>
          <w:rFonts w:cs="Calibri"/>
          <w:b/>
          <w:szCs w:val="20"/>
        </w:rPr>
        <w:t xml:space="preserve"> i </w:t>
      </w:r>
      <w:r w:rsidRPr="008B706B">
        <w:rPr>
          <w:rFonts w:cs="Calibri"/>
          <w:b/>
          <w:szCs w:val="20"/>
        </w:rPr>
        <w:t>aplikacyjny, wystarczający na zagospodarowanie środków niewykorzystanych</w:t>
      </w:r>
      <w:r w:rsidR="00E66B89">
        <w:rPr>
          <w:rFonts w:cs="Calibri"/>
          <w:b/>
          <w:szCs w:val="20"/>
        </w:rPr>
        <w:t xml:space="preserve"> w </w:t>
      </w:r>
      <w:r w:rsidRPr="008B706B">
        <w:rPr>
          <w:rFonts w:cs="Calibri"/>
          <w:b/>
          <w:szCs w:val="20"/>
        </w:rPr>
        <w:t>Działaniu 8.9. Alternatywą może być przesunięcie niewykorzystanych środków do działania 8.10,</w:t>
      </w:r>
      <w:r w:rsidR="00E66B89">
        <w:rPr>
          <w:rFonts w:cs="Calibri"/>
          <w:b/>
          <w:szCs w:val="20"/>
        </w:rPr>
        <w:t xml:space="preserve"> w </w:t>
      </w:r>
      <w:r w:rsidRPr="008B706B">
        <w:rPr>
          <w:rFonts w:cs="Calibri"/>
          <w:b/>
          <w:szCs w:val="20"/>
        </w:rPr>
        <w:t>którym</w:t>
      </w:r>
      <w:r>
        <w:rPr>
          <w:rFonts w:cs="Calibri"/>
          <w:b/>
          <w:szCs w:val="20"/>
        </w:rPr>
        <w:t xml:space="preserve"> to</w:t>
      </w:r>
      <w:r w:rsidRPr="008B706B">
        <w:rPr>
          <w:rFonts w:cs="Calibri"/>
          <w:b/>
          <w:szCs w:val="20"/>
        </w:rPr>
        <w:t xml:space="preserve"> zabraknie środków, żeby osiągnąć dwa wskaźniki rezultatu.</w:t>
      </w:r>
    </w:p>
    <w:p w14:paraId="126ABD8C" w14:textId="77777777" w:rsidR="00050FB4" w:rsidRPr="00404DA5" w:rsidRDefault="00050FB4" w:rsidP="00050FB4">
      <w:pPr>
        <w:rPr>
          <w:rFonts w:cs="Calibri"/>
          <w:color w:val="FF0000"/>
          <w:szCs w:val="20"/>
        </w:rPr>
      </w:pPr>
      <w:r w:rsidRPr="00404DA5">
        <w:rPr>
          <w:rFonts w:cs="Calibri"/>
          <w:szCs w:val="20"/>
        </w:rPr>
        <w:t>Należ</w:t>
      </w:r>
      <w:r>
        <w:rPr>
          <w:rFonts w:cs="Calibri"/>
          <w:szCs w:val="20"/>
        </w:rPr>
        <w:t>y</w:t>
      </w:r>
      <w:r w:rsidRPr="00404DA5">
        <w:rPr>
          <w:rFonts w:cs="Calibri"/>
          <w:szCs w:val="20"/>
        </w:rPr>
        <w:t xml:space="preserve"> także zmodyfikować wartość docelową wskaźnika </w:t>
      </w:r>
      <w:r w:rsidRPr="00404DA5">
        <w:rPr>
          <w:rFonts w:cs="Calibri"/>
          <w:i/>
          <w:szCs w:val="20"/>
        </w:rPr>
        <w:t>Liczba nauczycieli kształcenia zawodowego oraz instruktorów praktycznej nauki zawodu 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Obecny postęp</w:t>
      </w:r>
      <w:r w:rsidR="00E66B89">
        <w:rPr>
          <w:rFonts w:cs="Calibri"/>
          <w:szCs w:val="20"/>
        </w:rPr>
        <w:t xml:space="preserve"> w </w:t>
      </w:r>
      <w:r w:rsidRPr="00404DA5">
        <w:rPr>
          <w:rFonts w:cs="Calibri"/>
          <w:szCs w:val="20"/>
        </w:rPr>
        <w:t>realizacji tego wskaźnika nie gwarantuje osiągnięcia</w:t>
      </w:r>
      <w:r>
        <w:rPr>
          <w:rFonts w:cs="Calibri"/>
          <w:szCs w:val="20"/>
        </w:rPr>
        <w:t xml:space="preserve"> zakładanego</w:t>
      </w:r>
      <w:r w:rsidRPr="00404DA5">
        <w:rPr>
          <w:rFonts w:cs="Calibri"/>
          <w:szCs w:val="20"/>
        </w:rPr>
        <w:t xml:space="preserve"> poziomu 100% do 2023 roku. Proponowana jest modyfikacja</w:t>
      </w:r>
      <w:r w:rsidR="00E66B89">
        <w:rPr>
          <w:rFonts w:cs="Calibri"/>
          <w:szCs w:val="20"/>
        </w:rPr>
        <w:t xml:space="preserve"> o </w:t>
      </w:r>
      <w:r w:rsidRPr="00404DA5">
        <w:rPr>
          <w:rFonts w:cs="Calibri"/>
          <w:szCs w:val="20"/>
        </w:rPr>
        <w:t>11 punktów procentowych,</w:t>
      </w:r>
      <w:r w:rsidR="00E66B89">
        <w:rPr>
          <w:rFonts w:cs="Calibri"/>
          <w:szCs w:val="20"/>
        </w:rPr>
        <w:t xml:space="preserve"> z </w:t>
      </w:r>
      <w:r w:rsidRPr="00404DA5">
        <w:rPr>
          <w:rFonts w:cs="Calibri"/>
          <w:szCs w:val="20"/>
        </w:rPr>
        <w:t>poziomu 1</w:t>
      </w:r>
      <w:r>
        <w:rPr>
          <w:rFonts w:cs="Calibri"/>
          <w:szCs w:val="20"/>
        </w:rPr>
        <w:t xml:space="preserve"> </w:t>
      </w:r>
      <w:r w:rsidRPr="00404DA5">
        <w:rPr>
          <w:rFonts w:cs="Calibri"/>
          <w:szCs w:val="20"/>
        </w:rPr>
        <w:t>175 nauczycieli</w:t>
      </w:r>
      <w:r w:rsidR="00E66B89">
        <w:rPr>
          <w:rFonts w:cs="Calibri"/>
          <w:szCs w:val="20"/>
        </w:rPr>
        <w:t xml:space="preserve"> i </w:t>
      </w:r>
      <w:r w:rsidRPr="00404DA5">
        <w:rPr>
          <w:rFonts w:cs="Calibri"/>
          <w:szCs w:val="20"/>
        </w:rPr>
        <w:t>instruktorów objętych wsparciem do 1</w:t>
      </w:r>
      <w:r>
        <w:rPr>
          <w:rFonts w:cs="Calibri"/>
          <w:szCs w:val="20"/>
        </w:rPr>
        <w:t xml:space="preserve"> </w:t>
      </w:r>
      <w:r w:rsidRPr="00404DA5">
        <w:rPr>
          <w:rFonts w:cs="Calibri"/>
          <w:szCs w:val="20"/>
        </w:rPr>
        <w:t>050 osób.</w:t>
      </w:r>
    </w:p>
    <w:p w14:paraId="23F64E92" w14:textId="77777777" w:rsidR="00050FB4" w:rsidRPr="00FE73B6" w:rsidRDefault="00050FB4" w:rsidP="00FE73B6">
      <w:pPr>
        <w:pStyle w:val="Legenda"/>
        <w:spacing w:after="0"/>
      </w:pPr>
      <w:bookmarkStart w:id="322" w:name="_Toc3896886"/>
      <w:bookmarkStart w:id="323" w:name="_Toc8824249"/>
      <w:r w:rsidRPr="00FE43CD">
        <w:t xml:space="preserve">Tabela </w:t>
      </w:r>
      <w:r>
        <w:fldChar w:fldCharType="begin"/>
      </w:r>
      <w:r>
        <w:instrText xml:space="preserve"> SEQ Tabela \* ARABIC </w:instrText>
      </w:r>
      <w:r>
        <w:fldChar w:fldCharType="separate"/>
      </w:r>
      <w:r w:rsidR="00763345">
        <w:rPr>
          <w:noProof/>
        </w:rPr>
        <w:t>138</w:t>
      </w:r>
      <w:r>
        <w:fldChar w:fldCharType="end"/>
      </w:r>
      <w:r w:rsidRPr="00FE43CD">
        <w:t xml:space="preserve"> Wskaźniki wymagające zmiany wartości – PI </w:t>
      </w:r>
      <w:r>
        <w:t>10iv</w:t>
      </w:r>
      <w:bookmarkEnd w:id="322"/>
      <w:bookmarkEnd w:id="3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3260"/>
        <w:gridCol w:w="1070"/>
        <w:gridCol w:w="1933"/>
        <w:gridCol w:w="1795"/>
      </w:tblGrid>
      <w:tr w:rsidR="00050FB4" w:rsidRPr="00FE43CD" w14:paraId="7D09ABF5" w14:textId="77777777" w:rsidTr="00C22C26">
        <w:trPr>
          <w:trHeight w:val="1004"/>
          <w:tblHeader/>
        </w:trPr>
        <w:tc>
          <w:tcPr>
            <w:tcW w:w="0" w:type="auto"/>
            <w:shd w:val="clear" w:color="auto" w:fill="DBE5F1"/>
          </w:tcPr>
          <w:p w14:paraId="3B30FF0C" w14:textId="77777777" w:rsidR="00050FB4" w:rsidRPr="00404DA5" w:rsidRDefault="00050FB4" w:rsidP="00050FB4">
            <w:pPr>
              <w:jc w:val="center"/>
              <w:rPr>
                <w:rFonts w:cs="Calibri"/>
                <w:sz w:val="16"/>
                <w:szCs w:val="16"/>
              </w:rPr>
            </w:pPr>
            <w:r w:rsidRPr="00404DA5">
              <w:rPr>
                <w:rFonts w:cs="Calibri"/>
                <w:sz w:val="16"/>
                <w:szCs w:val="16"/>
              </w:rPr>
              <w:t>Typ wskaźnika</w:t>
            </w:r>
          </w:p>
        </w:tc>
        <w:tc>
          <w:tcPr>
            <w:tcW w:w="0" w:type="auto"/>
            <w:shd w:val="clear" w:color="auto" w:fill="DBE5F1"/>
          </w:tcPr>
          <w:p w14:paraId="61B53830" w14:textId="77777777" w:rsidR="00050FB4" w:rsidRPr="00404DA5" w:rsidRDefault="00050FB4" w:rsidP="00050FB4">
            <w:pPr>
              <w:jc w:val="center"/>
              <w:rPr>
                <w:rFonts w:cs="Calibri"/>
                <w:sz w:val="16"/>
                <w:szCs w:val="16"/>
              </w:rPr>
            </w:pPr>
            <w:r w:rsidRPr="00404DA5">
              <w:rPr>
                <w:rFonts w:cs="Calibri"/>
                <w:sz w:val="16"/>
                <w:szCs w:val="16"/>
              </w:rPr>
              <w:t>Wskaźnik</w:t>
            </w:r>
          </w:p>
        </w:tc>
        <w:tc>
          <w:tcPr>
            <w:tcW w:w="0" w:type="auto"/>
            <w:shd w:val="clear" w:color="auto" w:fill="DBE5F1"/>
          </w:tcPr>
          <w:p w14:paraId="0039788F" w14:textId="77777777" w:rsidR="00050FB4" w:rsidRPr="00404DA5" w:rsidRDefault="00050FB4" w:rsidP="00050FB4">
            <w:pPr>
              <w:jc w:val="center"/>
              <w:rPr>
                <w:rFonts w:cs="Calibri"/>
                <w:sz w:val="16"/>
                <w:szCs w:val="16"/>
              </w:rPr>
            </w:pPr>
            <w:r w:rsidRPr="00404DA5">
              <w:rPr>
                <w:rFonts w:cs="Calibri"/>
                <w:sz w:val="16"/>
                <w:szCs w:val="16"/>
              </w:rPr>
              <w:t>Jednostka pomiaru</w:t>
            </w:r>
          </w:p>
        </w:tc>
        <w:tc>
          <w:tcPr>
            <w:tcW w:w="0" w:type="auto"/>
            <w:shd w:val="clear" w:color="auto" w:fill="DBE5F1"/>
          </w:tcPr>
          <w:p w14:paraId="37D2C7BD" w14:textId="77777777" w:rsidR="00050FB4" w:rsidRPr="00404DA5" w:rsidRDefault="00050FB4" w:rsidP="00050FB4">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tcPr>
          <w:p w14:paraId="2C456392" w14:textId="77777777" w:rsidR="00050FB4" w:rsidRPr="00404DA5" w:rsidRDefault="00050FB4" w:rsidP="00050FB4">
            <w:pPr>
              <w:jc w:val="center"/>
              <w:rPr>
                <w:rFonts w:cs="Calibri"/>
                <w:sz w:val="16"/>
                <w:szCs w:val="16"/>
              </w:rPr>
            </w:pPr>
            <w:r w:rsidRPr="00AF5126">
              <w:rPr>
                <w:rFonts w:cs="Calibri"/>
                <w:sz w:val="16"/>
                <w:szCs w:val="16"/>
              </w:rPr>
              <w:t>Proponowana wartość docelowa na koniec 2023 r.</w:t>
            </w:r>
          </w:p>
        </w:tc>
      </w:tr>
      <w:tr w:rsidR="00050FB4" w:rsidRPr="00FE43CD" w14:paraId="06BCD255" w14:textId="77777777" w:rsidTr="00050FB4">
        <w:tc>
          <w:tcPr>
            <w:tcW w:w="0" w:type="auto"/>
            <w:shd w:val="clear" w:color="auto" w:fill="auto"/>
            <w:vAlign w:val="center"/>
          </w:tcPr>
          <w:p w14:paraId="7716C0A0" w14:textId="77777777" w:rsidR="00050FB4" w:rsidRPr="00404DA5" w:rsidRDefault="00050FB4" w:rsidP="00050FB4">
            <w:pPr>
              <w:jc w:val="center"/>
              <w:rPr>
                <w:rFonts w:eastAsia="Calibri" w:cs="Calibri"/>
                <w:sz w:val="16"/>
                <w:szCs w:val="16"/>
              </w:rPr>
            </w:pPr>
            <w:r w:rsidRPr="00404DA5">
              <w:rPr>
                <w:sz w:val="18"/>
                <w:szCs w:val="18"/>
              </w:rPr>
              <w:t>WP</w:t>
            </w:r>
          </w:p>
        </w:tc>
        <w:tc>
          <w:tcPr>
            <w:tcW w:w="0" w:type="auto"/>
            <w:shd w:val="clear" w:color="auto" w:fill="auto"/>
            <w:vAlign w:val="center"/>
          </w:tcPr>
          <w:p w14:paraId="3EE8A63F" w14:textId="77777777" w:rsidR="00050FB4" w:rsidRPr="00404DA5" w:rsidRDefault="00050FB4" w:rsidP="00050FB4">
            <w:pPr>
              <w:jc w:val="center"/>
              <w:rPr>
                <w:rFonts w:eastAsia="Calibri" w:cs="Calibri"/>
                <w:sz w:val="16"/>
                <w:szCs w:val="16"/>
              </w:rPr>
            </w:pPr>
            <w:r w:rsidRPr="00404DA5">
              <w:rPr>
                <w:rFonts w:cs="Calibri"/>
                <w:bCs/>
                <w:sz w:val="18"/>
                <w:szCs w:val="18"/>
              </w:rPr>
              <w:t>Liczba nauczycieli kształcenia zawodowego oraz instruktorów praktycznej nauki zawodu objętych wsparciem</w:t>
            </w:r>
            <w:r w:rsidR="00E66B89">
              <w:rPr>
                <w:rFonts w:cs="Calibri"/>
                <w:bCs/>
                <w:sz w:val="18"/>
                <w:szCs w:val="18"/>
              </w:rPr>
              <w:t xml:space="preserve"> w </w:t>
            </w:r>
            <w:r w:rsidRPr="00404DA5">
              <w:rPr>
                <w:rFonts w:cs="Calibri"/>
                <w:bCs/>
                <w:sz w:val="18"/>
                <w:szCs w:val="18"/>
              </w:rPr>
              <w:t xml:space="preserve">programie </w:t>
            </w:r>
          </w:p>
        </w:tc>
        <w:tc>
          <w:tcPr>
            <w:tcW w:w="0" w:type="auto"/>
            <w:shd w:val="clear" w:color="auto" w:fill="auto"/>
            <w:vAlign w:val="center"/>
          </w:tcPr>
          <w:p w14:paraId="7E3E9CEB" w14:textId="77777777" w:rsidR="00050FB4" w:rsidRPr="00404DA5" w:rsidRDefault="00050FB4" w:rsidP="00050FB4">
            <w:pPr>
              <w:jc w:val="center"/>
              <w:rPr>
                <w:rFonts w:eastAsia="Calibri" w:cs="Calibri"/>
                <w:sz w:val="16"/>
                <w:szCs w:val="16"/>
              </w:rPr>
            </w:pPr>
            <w:r w:rsidRPr="00404DA5">
              <w:rPr>
                <w:rFonts w:cs="Calibri"/>
                <w:bCs/>
                <w:sz w:val="18"/>
                <w:szCs w:val="18"/>
              </w:rPr>
              <w:t>osoby</w:t>
            </w:r>
          </w:p>
        </w:tc>
        <w:tc>
          <w:tcPr>
            <w:tcW w:w="0" w:type="auto"/>
            <w:shd w:val="clear" w:color="auto" w:fill="auto"/>
            <w:vAlign w:val="center"/>
          </w:tcPr>
          <w:p w14:paraId="4316E200" w14:textId="77777777" w:rsidR="00050FB4" w:rsidRPr="00404DA5" w:rsidRDefault="00050FB4" w:rsidP="00050FB4">
            <w:pPr>
              <w:jc w:val="center"/>
              <w:rPr>
                <w:rFonts w:eastAsia="Calibri" w:cs="Calibri"/>
                <w:sz w:val="16"/>
                <w:szCs w:val="16"/>
              </w:rPr>
            </w:pPr>
            <w:r w:rsidRPr="00404DA5">
              <w:rPr>
                <w:rFonts w:cs="Calibri"/>
                <w:sz w:val="18"/>
                <w:szCs w:val="18"/>
              </w:rPr>
              <w:t>1175</w:t>
            </w:r>
          </w:p>
        </w:tc>
        <w:tc>
          <w:tcPr>
            <w:tcW w:w="0" w:type="auto"/>
            <w:shd w:val="clear" w:color="auto" w:fill="auto"/>
            <w:vAlign w:val="center"/>
          </w:tcPr>
          <w:p w14:paraId="5FE8F2F0" w14:textId="77777777" w:rsidR="00050FB4" w:rsidRPr="00404DA5" w:rsidRDefault="00050FB4" w:rsidP="00050FB4">
            <w:pPr>
              <w:jc w:val="center"/>
              <w:rPr>
                <w:rFonts w:eastAsia="Calibri" w:cs="Calibri"/>
                <w:sz w:val="16"/>
                <w:szCs w:val="16"/>
              </w:rPr>
            </w:pPr>
            <w:r w:rsidRPr="00404DA5">
              <w:rPr>
                <w:rFonts w:cs="Calibri"/>
                <w:sz w:val="18"/>
                <w:szCs w:val="18"/>
              </w:rPr>
              <w:t>1050</w:t>
            </w:r>
          </w:p>
        </w:tc>
      </w:tr>
    </w:tbl>
    <w:p w14:paraId="14DDC4FF"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analizy własne.</w:t>
      </w:r>
    </w:p>
    <w:p w14:paraId="1ADB345E" w14:textId="77777777" w:rsidR="00050FB4" w:rsidRPr="00FE43CD" w:rsidRDefault="00050FB4" w:rsidP="00050FB4">
      <w:pPr>
        <w:pStyle w:val="Nagwek3"/>
      </w:pPr>
      <w:r w:rsidRPr="00FE43CD">
        <w:t xml:space="preserve">Priorytet inwestycyjny </w:t>
      </w:r>
      <w:r>
        <w:t xml:space="preserve">10iii </w:t>
      </w:r>
      <w:r w:rsidRPr="00FE43CD">
        <w:t>(Działani</w:t>
      </w:r>
      <w:r>
        <w:t>e</w:t>
      </w:r>
      <w:r w:rsidRPr="00FE43CD">
        <w:t xml:space="preserve"> </w:t>
      </w:r>
      <w:r>
        <w:t>8.10</w:t>
      </w:r>
      <w:r w:rsidRPr="00FE43CD">
        <w:t>)</w:t>
      </w:r>
    </w:p>
    <w:p w14:paraId="6674C9CC"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Ocena postępów</w:t>
      </w:r>
      <w:r w:rsidR="00E66B89">
        <w:rPr>
          <w:rFonts w:ascii="Lato" w:eastAsia="Calibri" w:hAnsi="Lato"/>
        </w:rPr>
        <w:t xml:space="preserve"> w </w:t>
      </w:r>
      <w:r w:rsidRPr="00FE43CD">
        <w:rPr>
          <w:rFonts w:ascii="Lato" w:eastAsia="Calibri" w:hAnsi="Lato"/>
        </w:rPr>
        <w:t xml:space="preserve">realizacji PI </w:t>
      </w:r>
    </w:p>
    <w:p w14:paraId="296E742C" w14:textId="77777777" w:rsidR="00050FB4" w:rsidRPr="00FE73B6" w:rsidRDefault="00050FB4" w:rsidP="00FE73B6">
      <w:pPr>
        <w:pStyle w:val="Legenda"/>
        <w:spacing w:after="0"/>
      </w:pPr>
      <w:bookmarkStart w:id="324" w:name="_Toc3485239"/>
      <w:bookmarkStart w:id="325" w:name="_Toc3896887"/>
      <w:bookmarkStart w:id="326" w:name="_Toc8824250"/>
      <w:r w:rsidRPr="002755B9">
        <w:t xml:space="preserve">Tabela </w:t>
      </w:r>
      <w:r>
        <w:fldChar w:fldCharType="begin"/>
      </w:r>
      <w:r>
        <w:instrText xml:space="preserve"> SEQ Tabela \* ARABIC </w:instrText>
      </w:r>
      <w:r>
        <w:fldChar w:fldCharType="separate"/>
      </w:r>
      <w:r w:rsidR="00763345">
        <w:rPr>
          <w:noProof/>
        </w:rPr>
        <w:t>139</w:t>
      </w:r>
      <w:r>
        <w:fldChar w:fldCharType="end"/>
      </w:r>
      <w:r w:rsidRPr="002755B9">
        <w:t xml:space="preserve"> Wskaźniki produktu</w:t>
      </w:r>
      <w:r w:rsidR="00E66B89">
        <w:t xml:space="preserve"> i </w:t>
      </w:r>
      <w:r w:rsidRPr="002755B9">
        <w:t xml:space="preserve">rezultatu </w:t>
      </w:r>
      <w:r w:rsidRPr="00FE73B6">
        <w:t xml:space="preserve">(PI 10iii) </w:t>
      </w:r>
      <w:r w:rsidRPr="002755B9">
        <w:t>– postęp rzeczowy</w:t>
      </w:r>
      <w:bookmarkEnd w:id="324"/>
      <w:bookmarkEnd w:id="325"/>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64"/>
        <w:gridCol w:w="1510"/>
        <w:gridCol w:w="809"/>
        <w:gridCol w:w="933"/>
        <w:gridCol w:w="986"/>
        <w:gridCol w:w="1014"/>
        <w:gridCol w:w="987"/>
        <w:gridCol w:w="1015"/>
      </w:tblGrid>
      <w:tr w:rsidR="00050FB4" w:rsidRPr="0022151F" w14:paraId="5521DE4F" w14:textId="77777777" w:rsidTr="00050FB4">
        <w:trPr>
          <w:tblHeader/>
        </w:trPr>
        <w:tc>
          <w:tcPr>
            <w:tcW w:w="0" w:type="auto"/>
            <w:shd w:val="clear" w:color="auto" w:fill="DBE5F1"/>
          </w:tcPr>
          <w:p w14:paraId="0D6B8664" w14:textId="77777777" w:rsidR="00050FB4" w:rsidRPr="00404DA5" w:rsidRDefault="00050FB4" w:rsidP="00050FB4">
            <w:pPr>
              <w:jc w:val="center"/>
              <w:rPr>
                <w:rFonts w:cs="Calibri"/>
                <w:sz w:val="16"/>
                <w:szCs w:val="18"/>
              </w:rPr>
            </w:pPr>
            <w:r w:rsidRPr="00404DA5">
              <w:rPr>
                <w:rFonts w:cs="Calibri"/>
                <w:sz w:val="16"/>
                <w:szCs w:val="18"/>
              </w:rPr>
              <w:t>Typ wskaźnika</w:t>
            </w:r>
          </w:p>
        </w:tc>
        <w:tc>
          <w:tcPr>
            <w:tcW w:w="0" w:type="auto"/>
            <w:shd w:val="clear" w:color="auto" w:fill="DBE5F1"/>
          </w:tcPr>
          <w:p w14:paraId="710F6BF6" w14:textId="77777777" w:rsidR="00050FB4" w:rsidRPr="00404DA5" w:rsidRDefault="00050FB4" w:rsidP="00050FB4">
            <w:pPr>
              <w:jc w:val="center"/>
              <w:rPr>
                <w:rFonts w:cs="Calibri"/>
                <w:sz w:val="16"/>
                <w:szCs w:val="18"/>
              </w:rPr>
            </w:pPr>
            <w:r w:rsidRPr="00404DA5">
              <w:rPr>
                <w:rFonts w:cs="Calibri"/>
                <w:sz w:val="16"/>
                <w:szCs w:val="18"/>
              </w:rPr>
              <w:t>Działania</w:t>
            </w:r>
          </w:p>
        </w:tc>
        <w:tc>
          <w:tcPr>
            <w:tcW w:w="0" w:type="auto"/>
            <w:shd w:val="clear" w:color="auto" w:fill="DBE5F1"/>
          </w:tcPr>
          <w:p w14:paraId="77ADC110" w14:textId="77777777" w:rsidR="00050FB4" w:rsidRPr="00404DA5" w:rsidRDefault="00050FB4" w:rsidP="00050FB4">
            <w:pPr>
              <w:jc w:val="center"/>
              <w:rPr>
                <w:rFonts w:cs="Calibri"/>
                <w:sz w:val="16"/>
                <w:szCs w:val="18"/>
              </w:rPr>
            </w:pPr>
            <w:r w:rsidRPr="00404DA5">
              <w:rPr>
                <w:rFonts w:cs="Calibri"/>
                <w:sz w:val="16"/>
                <w:szCs w:val="18"/>
              </w:rPr>
              <w:t>Wskaźnik</w:t>
            </w:r>
          </w:p>
        </w:tc>
        <w:tc>
          <w:tcPr>
            <w:tcW w:w="0" w:type="auto"/>
            <w:shd w:val="clear" w:color="auto" w:fill="DBE5F1"/>
          </w:tcPr>
          <w:p w14:paraId="5FD47706" w14:textId="77777777" w:rsidR="00050FB4" w:rsidRPr="00404DA5" w:rsidRDefault="00050FB4" w:rsidP="00050FB4">
            <w:pPr>
              <w:jc w:val="center"/>
              <w:rPr>
                <w:rFonts w:cs="Calibri"/>
                <w:sz w:val="16"/>
                <w:szCs w:val="18"/>
              </w:rPr>
            </w:pPr>
            <w:r w:rsidRPr="00404DA5">
              <w:rPr>
                <w:rFonts w:cs="Calibri"/>
                <w:sz w:val="16"/>
                <w:szCs w:val="18"/>
              </w:rPr>
              <w:t>Jedn. pomiaru</w:t>
            </w:r>
          </w:p>
        </w:tc>
        <w:tc>
          <w:tcPr>
            <w:tcW w:w="0" w:type="auto"/>
            <w:shd w:val="clear" w:color="auto" w:fill="DBE5F1"/>
          </w:tcPr>
          <w:p w14:paraId="74E716E4" w14:textId="77777777" w:rsidR="00050FB4" w:rsidRPr="00404DA5" w:rsidRDefault="00050FB4" w:rsidP="00050FB4">
            <w:pPr>
              <w:jc w:val="center"/>
              <w:rPr>
                <w:rFonts w:cs="Calibri"/>
                <w:sz w:val="16"/>
                <w:szCs w:val="18"/>
              </w:rPr>
            </w:pPr>
            <w:r w:rsidRPr="00404DA5">
              <w:rPr>
                <w:rFonts w:cs="Calibri"/>
                <w:sz w:val="16"/>
                <w:szCs w:val="18"/>
              </w:rPr>
              <w:t>Wartość docelowa (2023)</w:t>
            </w:r>
          </w:p>
        </w:tc>
        <w:tc>
          <w:tcPr>
            <w:tcW w:w="0" w:type="auto"/>
            <w:shd w:val="clear" w:color="auto" w:fill="DBE5F1"/>
          </w:tcPr>
          <w:p w14:paraId="60661061" w14:textId="77777777" w:rsidR="00050FB4" w:rsidRPr="00404DA5" w:rsidRDefault="00050FB4" w:rsidP="00050FB4">
            <w:pPr>
              <w:jc w:val="center"/>
              <w:rPr>
                <w:rFonts w:cs="Calibri"/>
                <w:sz w:val="16"/>
                <w:szCs w:val="18"/>
              </w:rPr>
            </w:pPr>
            <w:r w:rsidRPr="00404DA5">
              <w:rPr>
                <w:rFonts w:cs="Calibri"/>
                <w:sz w:val="16"/>
                <w:szCs w:val="18"/>
              </w:rPr>
              <w:t>Realizacja wskaźnika (wg UoD)</w:t>
            </w:r>
          </w:p>
        </w:tc>
        <w:tc>
          <w:tcPr>
            <w:tcW w:w="0" w:type="auto"/>
            <w:shd w:val="clear" w:color="auto" w:fill="DBE5F1"/>
          </w:tcPr>
          <w:p w14:paraId="468F3447" w14:textId="77777777" w:rsidR="00050FB4" w:rsidRPr="00404DA5" w:rsidRDefault="00050FB4" w:rsidP="00050FB4">
            <w:pPr>
              <w:jc w:val="center"/>
              <w:rPr>
                <w:rFonts w:cs="Calibri"/>
                <w:sz w:val="16"/>
                <w:szCs w:val="18"/>
              </w:rPr>
            </w:pPr>
            <w:r w:rsidRPr="00404DA5">
              <w:rPr>
                <w:rFonts w:cs="Calibri"/>
                <w:sz w:val="16"/>
                <w:szCs w:val="18"/>
              </w:rPr>
              <w:t>% realizacji wartości docelowej (wg UoD)</w:t>
            </w:r>
          </w:p>
        </w:tc>
        <w:tc>
          <w:tcPr>
            <w:tcW w:w="0" w:type="auto"/>
            <w:shd w:val="clear" w:color="auto" w:fill="DBE5F1"/>
          </w:tcPr>
          <w:p w14:paraId="7ED555DD" w14:textId="77777777" w:rsidR="00050FB4" w:rsidRPr="00404DA5" w:rsidRDefault="00050FB4" w:rsidP="00050FB4">
            <w:pPr>
              <w:jc w:val="center"/>
              <w:rPr>
                <w:rFonts w:cs="Calibri"/>
                <w:sz w:val="16"/>
                <w:szCs w:val="18"/>
              </w:rPr>
            </w:pPr>
            <w:r w:rsidRPr="00404DA5">
              <w:rPr>
                <w:rFonts w:cs="Calibri"/>
                <w:sz w:val="16"/>
                <w:szCs w:val="18"/>
              </w:rPr>
              <w:t>Realizacja wskaźnika (wg WoP)</w:t>
            </w:r>
          </w:p>
        </w:tc>
        <w:tc>
          <w:tcPr>
            <w:tcW w:w="0" w:type="auto"/>
            <w:shd w:val="clear" w:color="auto" w:fill="DBE5F1"/>
          </w:tcPr>
          <w:p w14:paraId="594C09D4" w14:textId="77777777" w:rsidR="00050FB4" w:rsidRPr="00404DA5" w:rsidRDefault="00050FB4" w:rsidP="00050FB4">
            <w:pPr>
              <w:jc w:val="center"/>
              <w:rPr>
                <w:rFonts w:cs="Calibri"/>
                <w:sz w:val="16"/>
                <w:szCs w:val="18"/>
              </w:rPr>
            </w:pPr>
            <w:r w:rsidRPr="00404DA5">
              <w:rPr>
                <w:rFonts w:cs="Calibri"/>
                <w:sz w:val="16"/>
                <w:szCs w:val="18"/>
              </w:rPr>
              <w:t>% realizacji wartości docelowej (wg WoP)</w:t>
            </w:r>
          </w:p>
        </w:tc>
      </w:tr>
      <w:tr w:rsidR="00050FB4" w:rsidRPr="0022151F" w14:paraId="3766CEAF" w14:textId="77777777" w:rsidTr="00050FB4">
        <w:tc>
          <w:tcPr>
            <w:tcW w:w="0" w:type="auto"/>
            <w:shd w:val="clear" w:color="auto" w:fill="auto"/>
            <w:vAlign w:val="center"/>
          </w:tcPr>
          <w:p w14:paraId="0F5A63CE" w14:textId="77777777" w:rsidR="00050FB4" w:rsidRPr="00404DA5" w:rsidRDefault="00050FB4" w:rsidP="00050FB4">
            <w:pPr>
              <w:jc w:val="center"/>
              <w:rPr>
                <w:rFonts w:cs="Calibri"/>
                <w:sz w:val="16"/>
                <w:szCs w:val="18"/>
              </w:rPr>
            </w:pPr>
            <w:r w:rsidRPr="00404DA5">
              <w:rPr>
                <w:rFonts w:cs="Calibri"/>
                <w:sz w:val="16"/>
                <w:szCs w:val="18"/>
              </w:rPr>
              <w:t>WR</w:t>
            </w:r>
          </w:p>
        </w:tc>
        <w:tc>
          <w:tcPr>
            <w:tcW w:w="0" w:type="auto"/>
            <w:shd w:val="clear" w:color="auto" w:fill="auto"/>
            <w:vAlign w:val="center"/>
          </w:tcPr>
          <w:p w14:paraId="19B386EB" w14:textId="77777777" w:rsidR="00050FB4" w:rsidRPr="00404DA5" w:rsidRDefault="00050FB4" w:rsidP="00050FB4">
            <w:pPr>
              <w:jc w:val="center"/>
              <w:rPr>
                <w:rFonts w:cs="Calibri"/>
                <w:sz w:val="16"/>
                <w:szCs w:val="18"/>
              </w:rPr>
            </w:pPr>
            <w:r w:rsidRPr="00404DA5">
              <w:rPr>
                <w:rFonts w:cs="Calibri"/>
                <w:sz w:val="16"/>
                <w:szCs w:val="18"/>
              </w:rPr>
              <w:t>8.10</w:t>
            </w:r>
          </w:p>
        </w:tc>
        <w:tc>
          <w:tcPr>
            <w:tcW w:w="0" w:type="auto"/>
            <w:shd w:val="clear" w:color="auto" w:fill="auto"/>
            <w:vAlign w:val="center"/>
          </w:tcPr>
          <w:p w14:paraId="174B97E0" w14:textId="77777777" w:rsidR="00050FB4" w:rsidRPr="00404DA5" w:rsidRDefault="00050FB4" w:rsidP="00050FB4">
            <w:pPr>
              <w:jc w:val="center"/>
              <w:rPr>
                <w:rFonts w:cs="Calibri"/>
                <w:sz w:val="16"/>
                <w:szCs w:val="18"/>
              </w:rPr>
            </w:pPr>
            <w:r w:rsidRPr="00404DA5">
              <w:rPr>
                <w:rFonts w:cs="Calibri"/>
                <w:sz w:val="16"/>
                <w:szCs w:val="18"/>
              </w:rPr>
              <w:t>Liczba osób</w:t>
            </w:r>
            <w:r w:rsidR="00E66B89">
              <w:rPr>
                <w:rFonts w:cs="Calibri"/>
                <w:sz w:val="16"/>
                <w:szCs w:val="18"/>
              </w:rPr>
              <w:t xml:space="preserve"> o </w:t>
            </w:r>
            <w:r w:rsidRPr="00404DA5">
              <w:rPr>
                <w:rFonts w:cs="Calibri"/>
                <w:sz w:val="16"/>
                <w:szCs w:val="18"/>
              </w:rPr>
              <w:t>niskich kwalifikacjach, które uzyskały kwalifikacje lub nabyły kompetencje po opuszczeniu programu [osoby]</w:t>
            </w:r>
          </w:p>
        </w:tc>
        <w:tc>
          <w:tcPr>
            <w:tcW w:w="0" w:type="auto"/>
            <w:shd w:val="clear" w:color="auto" w:fill="auto"/>
            <w:vAlign w:val="center"/>
          </w:tcPr>
          <w:p w14:paraId="4A0E302F" w14:textId="77777777" w:rsidR="00050FB4" w:rsidRDefault="00050FB4" w:rsidP="00050FB4">
            <w:pPr>
              <w:jc w:val="center"/>
              <w:rPr>
                <w:rFonts w:cs="Calibri"/>
                <w:sz w:val="16"/>
                <w:szCs w:val="18"/>
              </w:rPr>
            </w:pPr>
            <w:r>
              <w:rPr>
                <w:rFonts w:cs="Calibri"/>
                <w:sz w:val="16"/>
                <w:szCs w:val="18"/>
              </w:rPr>
              <w:t>%</w:t>
            </w:r>
          </w:p>
          <w:p w14:paraId="1D5B63AD" w14:textId="77777777" w:rsidR="00050FB4" w:rsidRDefault="00050FB4" w:rsidP="00050FB4">
            <w:pPr>
              <w:jc w:val="center"/>
              <w:rPr>
                <w:rFonts w:cs="Calibri"/>
                <w:sz w:val="16"/>
                <w:szCs w:val="18"/>
              </w:rPr>
            </w:pPr>
            <w:r>
              <w:rPr>
                <w:rFonts w:cs="Calibri"/>
                <w:sz w:val="16"/>
                <w:szCs w:val="18"/>
              </w:rPr>
              <w:t>(Os.)</w:t>
            </w:r>
          </w:p>
          <w:p w14:paraId="560BAD34" w14:textId="77777777" w:rsidR="00050FB4" w:rsidRPr="00404DA5" w:rsidRDefault="00050FB4" w:rsidP="00050FB4">
            <w:pPr>
              <w:jc w:val="center"/>
              <w:rPr>
                <w:rFonts w:cs="Calibri"/>
                <w:sz w:val="16"/>
                <w:szCs w:val="18"/>
              </w:rPr>
            </w:pPr>
          </w:p>
        </w:tc>
        <w:tc>
          <w:tcPr>
            <w:tcW w:w="0" w:type="auto"/>
            <w:shd w:val="clear" w:color="auto" w:fill="auto"/>
            <w:vAlign w:val="center"/>
          </w:tcPr>
          <w:p w14:paraId="19007710" w14:textId="77777777" w:rsidR="00050FB4" w:rsidRPr="00404DA5" w:rsidRDefault="00050FB4" w:rsidP="00050FB4">
            <w:pPr>
              <w:jc w:val="center"/>
              <w:rPr>
                <w:rFonts w:cs="Calibri"/>
                <w:sz w:val="16"/>
                <w:szCs w:val="18"/>
              </w:rPr>
            </w:pPr>
            <w:r w:rsidRPr="00404DA5">
              <w:rPr>
                <w:rFonts w:cs="Calibri"/>
                <w:sz w:val="16"/>
                <w:szCs w:val="18"/>
              </w:rPr>
              <w:t>61%</w:t>
            </w:r>
          </w:p>
        </w:tc>
        <w:tc>
          <w:tcPr>
            <w:tcW w:w="0" w:type="auto"/>
            <w:shd w:val="clear" w:color="auto" w:fill="auto"/>
            <w:vAlign w:val="center"/>
          </w:tcPr>
          <w:p w14:paraId="41E46C1E" w14:textId="77777777" w:rsidR="00050FB4" w:rsidRDefault="00050FB4" w:rsidP="00050FB4">
            <w:pPr>
              <w:jc w:val="center"/>
              <w:rPr>
                <w:rFonts w:cs="Calibri"/>
                <w:sz w:val="16"/>
                <w:szCs w:val="18"/>
              </w:rPr>
            </w:pPr>
            <w:r>
              <w:rPr>
                <w:rFonts w:cs="Calibri"/>
                <w:sz w:val="16"/>
                <w:szCs w:val="18"/>
              </w:rPr>
              <w:t>83,2%</w:t>
            </w:r>
          </w:p>
          <w:p w14:paraId="7314836D"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6032</w:t>
            </w:r>
            <w:r>
              <w:rPr>
                <w:rFonts w:cs="Calibri"/>
                <w:sz w:val="16"/>
                <w:szCs w:val="18"/>
              </w:rPr>
              <w:t>)</w:t>
            </w:r>
          </w:p>
        </w:tc>
        <w:tc>
          <w:tcPr>
            <w:tcW w:w="0" w:type="auto"/>
            <w:shd w:val="clear" w:color="auto" w:fill="auto"/>
            <w:vAlign w:val="center"/>
          </w:tcPr>
          <w:p w14:paraId="7502E634" w14:textId="77777777" w:rsidR="00050FB4" w:rsidRPr="00404DA5" w:rsidRDefault="00050FB4" w:rsidP="00050FB4">
            <w:pPr>
              <w:jc w:val="center"/>
              <w:rPr>
                <w:rFonts w:cs="Calibri"/>
                <w:sz w:val="16"/>
                <w:szCs w:val="18"/>
              </w:rPr>
            </w:pPr>
            <w:r w:rsidRPr="00404DA5">
              <w:rPr>
                <w:rFonts w:cs="Calibri"/>
                <w:sz w:val="16"/>
                <w:szCs w:val="18"/>
              </w:rPr>
              <w:t>136%</w:t>
            </w:r>
          </w:p>
        </w:tc>
        <w:tc>
          <w:tcPr>
            <w:tcW w:w="0" w:type="auto"/>
            <w:shd w:val="clear" w:color="auto" w:fill="auto"/>
            <w:vAlign w:val="center"/>
          </w:tcPr>
          <w:p w14:paraId="0B46519B" w14:textId="77777777" w:rsidR="00050FB4" w:rsidRDefault="00050FB4" w:rsidP="00050FB4">
            <w:pPr>
              <w:jc w:val="center"/>
              <w:rPr>
                <w:rFonts w:cs="Calibri"/>
                <w:sz w:val="16"/>
                <w:szCs w:val="18"/>
              </w:rPr>
            </w:pPr>
            <w:r>
              <w:rPr>
                <w:rFonts w:cs="Calibri"/>
                <w:sz w:val="16"/>
                <w:szCs w:val="18"/>
              </w:rPr>
              <w:t>70,7%</w:t>
            </w:r>
          </w:p>
          <w:p w14:paraId="23B54C66"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4262</w:t>
            </w:r>
            <w:r>
              <w:rPr>
                <w:rFonts w:cs="Calibri"/>
                <w:sz w:val="16"/>
                <w:szCs w:val="18"/>
              </w:rPr>
              <w:t>)</w:t>
            </w:r>
          </w:p>
        </w:tc>
        <w:tc>
          <w:tcPr>
            <w:tcW w:w="0" w:type="auto"/>
            <w:shd w:val="clear" w:color="auto" w:fill="auto"/>
            <w:vAlign w:val="center"/>
          </w:tcPr>
          <w:p w14:paraId="7D40BB85" w14:textId="77777777" w:rsidR="00050FB4" w:rsidRPr="00404DA5" w:rsidRDefault="00050FB4" w:rsidP="00050FB4">
            <w:pPr>
              <w:jc w:val="center"/>
              <w:rPr>
                <w:rFonts w:cs="Calibri"/>
                <w:sz w:val="16"/>
                <w:szCs w:val="18"/>
              </w:rPr>
            </w:pPr>
            <w:r w:rsidRPr="00404DA5">
              <w:rPr>
                <w:rFonts w:cs="Calibri"/>
                <w:sz w:val="16"/>
                <w:szCs w:val="18"/>
              </w:rPr>
              <w:t>116%</w:t>
            </w:r>
          </w:p>
        </w:tc>
      </w:tr>
      <w:tr w:rsidR="00050FB4" w:rsidRPr="0022151F" w14:paraId="3702E076" w14:textId="77777777" w:rsidTr="00050FB4">
        <w:tc>
          <w:tcPr>
            <w:tcW w:w="0" w:type="auto"/>
            <w:shd w:val="clear" w:color="auto" w:fill="auto"/>
            <w:vAlign w:val="center"/>
          </w:tcPr>
          <w:p w14:paraId="7E13E2AB"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5BEBA4D1" w14:textId="77777777" w:rsidR="00050FB4" w:rsidRPr="00404DA5" w:rsidRDefault="00050FB4" w:rsidP="00050FB4">
            <w:pPr>
              <w:jc w:val="center"/>
              <w:rPr>
                <w:rFonts w:cs="Calibri"/>
                <w:sz w:val="16"/>
                <w:szCs w:val="18"/>
              </w:rPr>
            </w:pPr>
            <w:r w:rsidRPr="00404DA5">
              <w:rPr>
                <w:rFonts w:cs="Calibri"/>
                <w:sz w:val="16"/>
                <w:szCs w:val="18"/>
              </w:rPr>
              <w:t>8.10</w:t>
            </w:r>
          </w:p>
        </w:tc>
        <w:tc>
          <w:tcPr>
            <w:tcW w:w="0" w:type="auto"/>
            <w:shd w:val="clear" w:color="auto" w:fill="auto"/>
            <w:vAlign w:val="center"/>
          </w:tcPr>
          <w:p w14:paraId="7A1ED8F0" w14:textId="77777777" w:rsidR="00050FB4" w:rsidRPr="00404DA5" w:rsidRDefault="00050FB4" w:rsidP="00050FB4">
            <w:pPr>
              <w:jc w:val="center"/>
              <w:rPr>
                <w:rFonts w:cs="Calibri"/>
                <w:sz w:val="16"/>
                <w:szCs w:val="18"/>
              </w:rPr>
            </w:pPr>
            <w:r w:rsidRPr="00404DA5">
              <w:rPr>
                <w:rFonts w:cs="Calibri"/>
                <w:sz w:val="16"/>
                <w:szCs w:val="18"/>
              </w:rPr>
              <w:t>Liczba osób</w:t>
            </w:r>
            <w:r w:rsidR="00E66B89">
              <w:rPr>
                <w:rFonts w:cs="Calibri"/>
                <w:sz w:val="16"/>
                <w:szCs w:val="18"/>
              </w:rPr>
              <w:t xml:space="preserve"> o </w:t>
            </w:r>
            <w:r w:rsidRPr="00404DA5">
              <w:rPr>
                <w:rFonts w:cs="Calibri"/>
                <w:sz w:val="16"/>
                <w:szCs w:val="18"/>
              </w:rPr>
              <w:t>niskich kwalifikacjach, objętych wsparciem</w:t>
            </w:r>
            <w:r w:rsidR="00E66B89">
              <w:rPr>
                <w:rFonts w:cs="Calibri"/>
                <w:sz w:val="16"/>
                <w:szCs w:val="18"/>
              </w:rPr>
              <w:t xml:space="preserve"> </w:t>
            </w:r>
            <w:r w:rsidR="00E66B89">
              <w:rPr>
                <w:rFonts w:cs="Calibri"/>
                <w:sz w:val="16"/>
                <w:szCs w:val="18"/>
              </w:rPr>
              <w:lastRenderedPageBreak/>
              <w:t>w </w:t>
            </w:r>
            <w:r w:rsidRPr="00404DA5">
              <w:rPr>
                <w:rFonts w:cs="Calibri"/>
                <w:sz w:val="16"/>
                <w:szCs w:val="18"/>
              </w:rPr>
              <w:t>programie [osoby]</w:t>
            </w:r>
          </w:p>
        </w:tc>
        <w:tc>
          <w:tcPr>
            <w:tcW w:w="0" w:type="auto"/>
            <w:shd w:val="clear" w:color="auto" w:fill="auto"/>
            <w:vAlign w:val="center"/>
          </w:tcPr>
          <w:p w14:paraId="0C75686D" w14:textId="77777777" w:rsidR="00050FB4" w:rsidRPr="00404DA5" w:rsidRDefault="00050FB4" w:rsidP="00050FB4">
            <w:pPr>
              <w:jc w:val="center"/>
              <w:rPr>
                <w:rFonts w:cs="Calibri"/>
                <w:sz w:val="16"/>
                <w:szCs w:val="18"/>
              </w:rPr>
            </w:pPr>
            <w:r w:rsidRPr="00404DA5">
              <w:rPr>
                <w:rFonts w:cs="Calibri"/>
                <w:sz w:val="16"/>
                <w:szCs w:val="18"/>
              </w:rPr>
              <w:lastRenderedPageBreak/>
              <w:t>Os.</w:t>
            </w:r>
          </w:p>
        </w:tc>
        <w:tc>
          <w:tcPr>
            <w:tcW w:w="0" w:type="auto"/>
            <w:shd w:val="clear" w:color="auto" w:fill="auto"/>
            <w:vAlign w:val="center"/>
          </w:tcPr>
          <w:p w14:paraId="0F33CD2E" w14:textId="77777777" w:rsidR="00050FB4" w:rsidRPr="00404DA5" w:rsidRDefault="00050FB4" w:rsidP="00050FB4">
            <w:pPr>
              <w:jc w:val="center"/>
              <w:rPr>
                <w:rFonts w:cs="Calibri"/>
                <w:sz w:val="16"/>
                <w:szCs w:val="18"/>
              </w:rPr>
            </w:pPr>
            <w:r w:rsidRPr="00404DA5">
              <w:rPr>
                <w:rFonts w:cs="Calibri"/>
                <w:sz w:val="16"/>
                <w:szCs w:val="18"/>
              </w:rPr>
              <w:t>14690</w:t>
            </w:r>
          </w:p>
        </w:tc>
        <w:tc>
          <w:tcPr>
            <w:tcW w:w="0" w:type="auto"/>
            <w:shd w:val="clear" w:color="auto" w:fill="auto"/>
            <w:vAlign w:val="center"/>
          </w:tcPr>
          <w:p w14:paraId="51531E4C" w14:textId="77777777" w:rsidR="00050FB4" w:rsidRPr="00404DA5" w:rsidRDefault="00050FB4" w:rsidP="00050FB4">
            <w:pPr>
              <w:jc w:val="center"/>
              <w:rPr>
                <w:rFonts w:cs="Calibri"/>
                <w:sz w:val="16"/>
                <w:szCs w:val="18"/>
              </w:rPr>
            </w:pPr>
            <w:r w:rsidRPr="00404DA5">
              <w:rPr>
                <w:rFonts w:cs="Calibri"/>
                <w:sz w:val="16"/>
                <w:szCs w:val="18"/>
              </w:rPr>
              <w:t>7253</w:t>
            </w:r>
          </w:p>
        </w:tc>
        <w:tc>
          <w:tcPr>
            <w:tcW w:w="0" w:type="auto"/>
            <w:shd w:val="clear" w:color="auto" w:fill="auto"/>
            <w:vAlign w:val="center"/>
          </w:tcPr>
          <w:p w14:paraId="7CBE3979" w14:textId="77777777" w:rsidR="00050FB4" w:rsidRPr="00404DA5" w:rsidRDefault="00050FB4" w:rsidP="00050FB4">
            <w:pPr>
              <w:jc w:val="center"/>
              <w:rPr>
                <w:rFonts w:cs="Calibri"/>
                <w:sz w:val="16"/>
                <w:szCs w:val="18"/>
              </w:rPr>
            </w:pPr>
            <w:r w:rsidRPr="00404DA5">
              <w:rPr>
                <w:rFonts w:cs="Calibri"/>
                <w:sz w:val="16"/>
                <w:szCs w:val="18"/>
              </w:rPr>
              <w:t>49%</w:t>
            </w:r>
          </w:p>
        </w:tc>
        <w:tc>
          <w:tcPr>
            <w:tcW w:w="0" w:type="auto"/>
            <w:shd w:val="clear" w:color="auto" w:fill="auto"/>
            <w:vAlign w:val="center"/>
          </w:tcPr>
          <w:p w14:paraId="28AFDE6E" w14:textId="77777777" w:rsidR="00050FB4" w:rsidRPr="00404DA5" w:rsidRDefault="00050FB4" w:rsidP="00050FB4">
            <w:pPr>
              <w:jc w:val="center"/>
              <w:rPr>
                <w:rFonts w:cs="Calibri"/>
                <w:sz w:val="16"/>
                <w:szCs w:val="18"/>
              </w:rPr>
            </w:pPr>
            <w:r w:rsidRPr="00404DA5">
              <w:rPr>
                <w:rFonts w:cs="Calibri"/>
                <w:sz w:val="16"/>
                <w:szCs w:val="18"/>
              </w:rPr>
              <w:t>6032</w:t>
            </w:r>
          </w:p>
        </w:tc>
        <w:tc>
          <w:tcPr>
            <w:tcW w:w="0" w:type="auto"/>
            <w:shd w:val="clear" w:color="auto" w:fill="auto"/>
            <w:vAlign w:val="center"/>
          </w:tcPr>
          <w:p w14:paraId="7DF4E505" w14:textId="77777777" w:rsidR="00050FB4" w:rsidRPr="00404DA5" w:rsidRDefault="00050FB4" w:rsidP="00050FB4">
            <w:pPr>
              <w:jc w:val="center"/>
              <w:rPr>
                <w:rFonts w:cs="Calibri"/>
                <w:sz w:val="16"/>
                <w:szCs w:val="18"/>
              </w:rPr>
            </w:pPr>
            <w:r w:rsidRPr="00404DA5">
              <w:rPr>
                <w:rFonts w:cs="Calibri"/>
                <w:sz w:val="16"/>
                <w:szCs w:val="18"/>
              </w:rPr>
              <w:t>41%</w:t>
            </w:r>
          </w:p>
        </w:tc>
      </w:tr>
      <w:tr w:rsidR="00050FB4" w:rsidRPr="0022151F" w14:paraId="511067A2" w14:textId="77777777" w:rsidTr="00050FB4">
        <w:tc>
          <w:tcPr>
            <w:tcW w:w="0" w:type="auto"/>
            <w:shd w:val="clear" w:color="auto" w:fill="auto"/>
            <w:vAlign w:val="center"/>
          </w:tcPr>
          <w:p w14:paraId="0469DB39"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6C0BD0B4" w14:textId="77777777" w:rsidR="00050FB4" w:rsidRPr="00404DA5" w:rsidRDefault="00050FB4" w:rsidP="00050FB4">
            <w:pPr>
              <w:jc w:val="center"/>
              <w:rPr>
                <w:rFonts w:cs="Calibri"/>
                <w:bCs/>
                <w:sz w:val="16"/>
                <w:szCs w:val="18"/>
              </w:rPr>
            </w:pPr>
            <w:r w:rsidRPr="00404DA5">
              <w:rPr>
                <w:rFonts w:cs="Calibri"/>
                <w:sz w:val="16"/>
                <w:szCs w:val="18"/>
              </w:rPr>
              <w:t>8.10</w:t>
            </w:r>
          </w:p>
        </w:tc>
        <w:tc>
          <w:tcPr>
            <w:tcW w:w="0" w:type="auto"/>
            <w:shd w:val="clear" w:color="auto" w:fill="auto"/>
            <w:vAlign w:val="center"/>
          </w:tcPr>
          <w:p w14:paraId="1C526FAC" w14:textId="77777777" w:rsidR="00050FB4" w:rsidRPr="00404DA5" w:rsidRDefault="00050FB4" w:rsidP="00050FB4">
            <w:pPr>
              <w:jc w:val="center"/>
              <w:rPr>
                <w:rFonts w:cs="Calibri"/>
                <w:bCs/>
                <w:sz w:val="16"/>
                <w:szCs w:val="18"/>
              </w:rPr>
            </w:pPr>
            <w:r w:rsidRPr="00404DA5">
              <w:rPr>
                <w:rFonts w:cs="Calibri"/>
                <w:bCs/>
                <w:sz w:val="16"/>
                <w:szCs w:val="18"/>
              </w:rPr>
              <w:t>Liczba osób</w:t>
            </w:r>
            <w:r w:rsidR="00E66B89">
              <w:rPr>
                <w:rFonts w:cs="Calibri"/>
                <w:bCs/>
                <w:sz w:val="16"/>
                <w:szCs w:val="18"/>
              </w:rPr>
              <w:t xml:space="preserve"> w </w:t>
            </w:r>
            <w:r w:rsidRPr="00404DA5">
              <w:rPr>
                <w:rFonts w:cs="Calibri"/>
                <w:bCs/>
                <w:sz w:val="16"/>
                <w:szCs w:val="18"/>
              </w:rPr>
              <w:t>wieku 25 lat</w:t>
            </w:r>
            <w:r w:rsidR="00E66B89">
              <w:rPr>
                <w:rFonts w:cs="Calibri"/>
                <w:bCs/>
                <w:sz w:val="16"/>
                <w:szCs w:val="18"/>
              </w:rPr>
              <w:t xml:space="preserve"> i </w:t>
            </w:r>
            <w:r w:rsidRPr="00404DA5">
              <w:rPr>
                <w:rFonts w:cs="Calibri"/>
                <w:bCs/>
                <w:sz w:val="16"/>
                <w:szCs w:val="18"/>
              </w:rPr>
              <w:t>więcej objętych wsparciem</w:t>
            </w:r>
            <w:r w:rsidR="00E66B89">
              <w:rPr>
                <w:rFonts w:cs="Calibri"/>
                <w:bCs/>
                <w:sz w:val="16"/>
                <w:szCs w:val="18"/>
              </w:rPr>
              <w:t xml:space="preserve"> w </w:t>
            </w:r>
            <w:r w:rsidRPr="00404DA5">
              <w:rPr>
                <w:rFonts w:cs="Calibri"/>
                <w:bCs/>
                <w:sz w:val="16"/>
                <w:szCs w:val="18"/>
              </w:rPr>
              <w:t>programie [osoby]</w:t>
            </w:r>
          </w:p>
        </w:tc>
        <w:tc>
          <w:tcPr>
            <w:tcW w:w="0" w:type="auto"/>
            <w:shd w:val="clear" w:color="auto" w:fill="auto"/>
            <w:vAlign w:val="center"/>
          </w:tcPr>
          <w:p w14:paraId="2192CAB7" w14:textId="77777777" w:rsidR="00050FB4" w:rsidRPr="00404DA5" w:rsidRDefault="00050FB4" w:rsidP="00050FB4">
            <w:pPr>
              <w:jc w:val="center"/>
              <w:rPr>
                <w:rFonts w:cs="Calibri"/>
                <w:bCs/>
                <w:sz w:val="16"/>
                <w:szCs w:val="18"/>
              </w:rPr>
            </w:pPr>
            <w:r w:rsidRPr="00404DA5">
              <w:rPr>
                <w:rFonts w:cs="Calibri"/>
                <w:bCs/>
                <w:sz w:val="16"/>
                <w:szCs w:val="18"/>
              </w:rPr>
              <w:t>Os.</w:t>
            </w:r>
          </w:p>
        </w:tc>
        <w:tc>
          <w:tcPr>
            <w:tcW w:w="0" w:type="auto"/>
            <w:shd w:val="clear" w:color="auto" w:fill="auto"/>
            <w:vAlign w:val="center"/>
          </w:tcPr>
          <w:p w14:paraId="17778EEC" w14:textId="77777777" w:rsidR="00050FB4" w:rsidRPr="00404DA5" w:rsidRDefault="00050FB4" w:rsidP="00050FB4">
            <w:pPr>
              <w:jc w:val="center"/>
              <w:rPr>
                <w:rFonts w:cs="Calibri"/>
                <w:sz w:val="16"/>
                <w:szCs w:val="18"/>
              </w:rPr>
            </w:pPr>
            <w:r w:rsidRPr="00404DA5">
              <w:rPr>
                <w:rFonts w:cs="Calibri"/>
                <w:sz w:val="16"/>
                <w:szCs w:val="18"/>
              </w:rPr>
              <w:t>20986</w:t>
            </w:r>
          </w:p>
        </w:tc>
        <w:tc>
          <w:tcPr>
            <w:tcW w:w="0" w:type="auto"/>
            <w:shd w:val="clear" w:color="auto" w:fill="auto"/>
            <w:vAlign w:val="center"/>
          </w:tcPr>
          <w:p w14:paraId="60B2AF4D" w14:textId="77777777" w:rsidR="00050FB4" w:rsidRPr="00404DA5" w:rsidRDefault="00050FB4" w:rsidP="00050FB4">
            <w:pPr>
              <w:jc w:val="center"/>
              <w:rPr>
                <w:rFonts w:cs="Calibri"/>
                <w:sz w:val="16"/>
                <w:szCs w:val="18"/>
              </w:rPr>
            </w:pPr>
            <w:r w:rsidRPr="00404DA5">
              <w:rPr>
                <w:rFonts w:cs="Calibri"/>
                <w:sz w:val="16"/>
                <w:szCs w:val="18"/>
              </w:rPr>
              <w:t>9543</w:t>
            </w:r>
          </w:p>
        </w:tc>
        <w:tc>
          <w:tcPr>
            <w:tcW w:w="0" w:type="auto"/>
            <w:shd w:val="clear" w:color="auto" w:fill="auto"/>
            <w:vAlign w:val="center"/>
          </w:tcPr>
          <w:p w14:paraId="41FC0652" w14:textId="77777777" w:rsidR="00050FB4" w:rsidRPr="00404DA5" w:rsidRDefault="00050FB4" w:rsidP="00050FB4">
            <w:pPr>
              <w:jc w:val="center"/>
              <w:rPr>
                <w:rFonts w:cs="Calibri"/>
                <w:sz w:val="16"/>
                <w:szCs w:val="18"/>
              </w:rPr>
            </w:pPr>
            <w:r w:rsidRPr="00404DA5">
              <w:rPr>
                <w:rFonts w:cs="Calibri"/>
                <w:sz w:val="16"/>
                <w:szCs w:val="18"/>
              </w:rPr>
              <w:t>45%</w:t>
            </w:r>
          </w:p>
        </w:tc>
        <w:tc>
          <w:tcPr>
            <w:tcW w:w="0" w:type="auto"/>
            <w:shd w:val="clear" w:color="auto" w:fill="auto"/>
            <w:vAlign w:val="center"/>
          </w:tcPr>
          <w:p w14:paraId="7C8B6076" w14:textId="77777777" w:rsidR="00050FB4" w:rsidRPr="00404DA5" w:rsidRDefault="00050FB4" w:rsidP="00050FB4">
            <w:pPr>
              <w:jc w:val="center"/>
              <w:rPr>
                <w:rFonts w:cs="Calibri"/>
                <w:sz w:val="16"/>
                <w:szCs w:val="18"/>
              </w:rPr>
            </w:pPr>
            <w:r w:rsidRPr="00404DA5">
              <w:rPr>
                <w:rFonts w:cs="Calibri"/>
                <w:sz w:val="16"/>
                <w:szCs w:val="18"/>
              </w:rPr>
              <w:t>6680</w:t>
            </w:r>
          </w:p>
        </w:tc>
        <w:tc>
          <w:tcPr>
            <w:tcW w:w="0" w:type="auto"/>
            <w:shd w:val="clear" w:color="auto" w:fill="auto"/>
            <w:vAlign w:val="center"/>
          </w:tcPr>
          <w:p w14:paraId="0A00858F" w14:textId="77777777" w:rsidR="00050FB4" w:rsidRPr="00404DA5" w:rsidRDefault="00050FB4" w:rsidP="00050FB4">
            <w:pPr>
              <w:jc w:val="center"/>
              <w:rPr>
                <w:rFonts w:cs="Calibri"/>
                <w:sz w:val="16"/>
                <w:szCs w:val="18"/>
              </w:rPr>
            </w:pPr>
            <w:r w:rsidRPr="00404DA5">
              <w:rPr>
                <w:rFonts w:cs="Calibri"/>
                <w:sz w:val="16"/>
                <w:szCs w:val="18"/>
              </w:rPr>
              <w:t>32%</w:t>
            </w:r>
          </w:p>
        </w:tc>
      </w:tr>
      <w:tr w:rsidR="00050FB4" w:rsidRPr="0022151F" w14:paraId="47443953" w14:textId="77777777" w:rsidTr="00050FB4">
        <w:tc>
          <w:tcPr>
            <w:tcW w:w="0" w:type="auto"/>
            <w:shd w:val="clear" w:color="auto" w:fill="auto"/>
            <w:vAlign w:val="center"/>
          </w:tcPr>
          <w:p w14:paraId="7D64A3E4"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18F04D34" w14:textId="77777777" w:rsidR="00050FB4" w:rsidRPr="00404DA5" w:rsidRDefault="00050FB4" w:rsidP="00050FB4">
            <w:pPr>
              <w:jc w:val="center"/>
              <w:rPr>
                <w:rFonts w:cs="Calibri"/>
                <w:sz w:val="16"/>
                <w:szCs w:val="18"/>
              </w:rPr>
            </w:pPr>
            <w:r w:rsidRPr="00404DA5">
              <w:rPr>
                <w:rFonts w:cs="Calibri"/>
                <w:sz w:val="16"/>
                <w:szCs w:val="18"/>
              </w:rPr>
              <w:t>8.10</w:t>
            </w:r>
          </w:p>
        </w:tc>
        <w:tc>
          <w:tcPr>
            <w:tcW w:w="0" w:type="auto"/>
            <w:shd w:val="clear" w:color="auto" w:fill="auto"/>
            <w:vAlign w:val="center"/>
          </w:tcPr>
          <w:p w14:paraId="55CE829B" w14:textId="77777777" w:rsidR="00050FB4" w:rsidRPr="00404DA5" w:rsidRDefault="00050FB4" w:rsidP="00050FB4">
            <w:pPr>
              <w:jc w:val="center"/>
              <w:rPr>
                <w:rFonts w:cs="Calibri"/>
                <w:sz w:val="16"/>
                <w:szCs w:val="18"/>
              </w:rPr>
            </w:pPr>
            <w:r w:rsidRPr="00404DA5">
              <w:rPr>
                <w:rFonts w:cs="Calibri"/>
                <w:sz w:val="16"/>
                <w:szCs w:val="18"/>
              </w:rPr>
              <w:t>Liczba osób</w:t>
            </w:r>
            <w:r w:rsidR="00E66B89">
              <w:rPr>
                <w:rFonts w:cs="Calibri"/>
                <w:sz w:val="16"/>
                <w:szCs w:val="18"/>
              </w:rPr>
              <w:t xml:space="preserve"> w </w:t>
            </w:r>
            <w:r w:rsidRPr="00404DA5">
              <w:rPr>
                <w:rFonts w:cs="Calibri"/>
                <w:sz w:val="16"/>
                <w:szCs w:val="18"/>
              </w:rPr>
              <w:t>wieku 25 lat</w:t>
            </w:r>
            <w:r w:rsidR="00E66B89">
              <w:rPr>
                <w:rFonts w:cs="Calibri"/>
                <w:sz w:val="16"/>
                <w:szCs w:val="18"/>
              </w:rPr>
              <w:t xml:space="preserve"> i </w:t>
            </w:r>
            <w:r w:rsidRPr="00404DA5">
              <w:rPr>
                <w:rFonts w:cs="Calibri"/>
                <w:sz w:val="16"/>
                <w:szCs w:val="18"/>
              </w:rPr>
              <w:t>więcej, które uzyskały kwalifikacje lub nabyły kompetencje po opuszczeniu programu [osoby]</w:t>
            </w:r>
          </w:p>
        </w:tc>
        <w:tc>
          <w:tcPr>
            <w:tcW w:w="0" w:type="auto"/>
            <w:shd w:val="clear" w:color="auto" w:fill="auto"/>
            <w:vAlign w:val="center"/>
          </w:tcPr>
          <w:p w14:paraId="6E754F6B" w14:textId="77777777" w:rsidR="00050FB4" w:rsidRDefault="00050FB4" w:rsidP="00050FB4">
            <w:pPr>
              <w:jc w:val="center"/>
              <w:rPr>
                <w:rFonts w:cs="Calibri"/>
                <w:sz w:val="16"/>
                <w:szCs w:val="18"/>
              </w:rPr>
            </w:pPr>
            <w:r>
              <w:rPr>
                <w:rFonts w:cs="Calibri"/>
                <w:sz w:val="16"/>
                <w:szCs w:val="18"/>
              </w:rPr>
              <w:t>%</w:t>
            </w:r>
          </w:p>
          <w:p w14:paraId="2574B748" w14:textId="77777777" w:rsidR="00050FB4" w:rsidRDefault="00050FB4" w:rsidP="00050FB4">
            <w:pPr>
              <w:jc w:val="center"/>
              <w:rPr>
                <w:rFonts w:cs="Calibri"/>
                <w:sz w:val="16"/>
                <w:szCs w:val="18"/>
              </w:rPr>
            </w:pPr>
            <w:r>
              <w:rPr>
                <w:rFonts w:cs="Calibri"/>
                <w:sz w:val="16"/>
                <w:szCs w:val="18"/>
              </w:rPr>
              <w:t>(Os.)</w:t>
            </w:r>
          </w:p>
          <w:p w14:paraId="09A7FEEE" w14:textId="77777777" w:rsidR="00050FB4" w:rsidRPr="00404DA5" w:rsidRDefault="00050FB4" w:rsidP="00050FB4">
            <w:pPr>
              <w:jc w:val="center"/>
              <w:rPr>
                <w:rFonts w:cs="Calibri"/>
                <w:sz w:val="16"/>
                <w:szCs w:val="18"/>
              </w:rPr>
            </w:pPr>
          </w:p>
        </w:tc>
        <w:tc>
          <w:tcPr>
            <w:tcW w:w="0" w:type="auto"/>
            <w:shd w:val="clear" w:color="auto" w:fill="auto"/>
            <w:vAlign w:val="center"/>
          </w:tcPr>
          <w:p w14:paraId="0CEBA5AA" w14:textId="77777777" w:rsidR="00050FB4" w:rsidRPr="00404DA5" w:rsidRDefault="00050FB4" w:rsidP="00050FB4">
            <w:pPr>
              <w:jc w:val="center"/>
              <w:rPr>
                <w:rFonts w:cs="Calibri"/>
                <w:sz w:val="16"/>
                <w:szCs w:val="18"/>
              </w:rPr>
            </w:pPr>
            <w:r w:rsidRPr="00404DA5">
              <w:rPr>
                <w:rFonts w:cs="Calibri"/>
                <w:sz w:val="16"/>
                <w:szCs w:val="18"/>
              </w:rPr>
              <w:t>61%</w:t>
            </w:r>
          </w:p>
        </w:tc>
        <w:tc>
          <w:tcPr>
            <w:tcW w:w="0" w:type="auto"/>
            <w:shd w:val="clear" w:color="auto" w:fill="auto"/>
            <w:vAlign w:val="center"/>
          </w:tcPr>
          <w:p w14:paraId="473F1CE2" w14:textId="77777777" w:rsidR="00050FB4" w:rsidRDefault="00050FB4" w:rsidP="00050FB4">
            <w:pPr>
              <w:jc w:val="center"/>
              <w:rPr>
                <w:rFonts w:cs="Calibri"/>
                <w:sz w:val="16"/>
                <w:szCs w:val="18"/>
              </w:rPr>
            </w:pPr>
            <w:r>
              <w:rPr>
                <w:rFonts w:cs="Calibri"/>
                <w:sz w:val="16"/>
                <w:szCs w:val="18"/>
              </w:rPr>
              <w:t>83,7%</w:t>
            </w:r>
          </w:p>
          <w:p w14:paraId="5B43F7CC"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7991</w:t>
            </w:r>
            <w:r>
              <w:rPr>
                <w:rFonts w:cs="Calibri"/>
                <w:sz w:val="16"/>
                <w:szCs w:val="18"/>
              </w:rPr>
              <w:t>)</w:t>
            </w:r>
          </w:p>
        </w:tc>
        <w:tc>
          <w:tcPr>
            <w:tcW w:w="0" w:type="auto"/>
            <w:shd w:val="clear" w:color="auto" w:fill="auto"/>
            <w:vAlign w:val="center"/>
          </w:tcPr>
          <w:p w14:paraId="598623F3" w14:textId="77777777" w:rsidR="00050FB4" w:rsidRPr="00404DA5" w:rsidRDefault="00050FB4" w:rsidP="00050FB4">
            <w:pPr>
              <w:jc w:val="center"/>
              <w:rPr>
                <w:rFonts w:cs="Calibri"/>
                <w:sz w:val="16"/>
                <w:szCs w:val="18"/>
              </w:rPr>
            </w:pPr>
            <w:r w:rsidRPr="00404DA5">
              <w:rPr>
                <w:rFonts w:cs="Calibri"/>
                <w:sz w:val="16"/>
                <w:szCs w:val="18"/>
              </w:rPr>
              <w:t>137%</w:t>
            </w:r>
          </w:p>
        </w:tc>
        <w:tc>
          <w:tcPr>
            <w:tcW w:w="0" w:type="auto"/>
            <w:shd w:val="clear" w:color="auto" w:fill="auto"/>
            <w:vAlign w:val="center"/>
          </w:tcPr>
          <w:p w14:paraId="0A1E0F20" w14:textId="77777777" w:rsidR="00050FB4" w:rsidRDefault="00050FB4" w:rsidP="00050FB4">
            <w:pPr>
              <w:jc w:val="center"/>
              <w:rPr>
                <w:rFonts w:cs="Calibri"/>
                <w:sz w:val="16"/>
                <w:szCs w:val="18"/>
              </w:rPr>
            </w:pPr>
            <w:r>
              <w:rPr>
                <w:rFonts w:cs="Calibri"/>
                <w:sz w:val="16"/>
                <w:szCs w:val="18"/>
              </w:rPr>
              <w:t>69,9%</w:t>
            </w:r>
          </w:p>
          <w:p w14:paraId="3E36FD0A"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4672</w:t>
            </w:r>
            <w:r>
              <w:rPr>
                <w:rFonts w:cs="Calibri"/>
                <w:sz w:val="16"/>
                <w:szCs w:val="18"/>
              </w:rPr>
              <w:t>)</w:t>
            </w:r>
          </w:p>
        </w:tc>
        <w:tc>
          <w:tcPr>
            <w:tcW w:w="0" w:type="auto"/>
            <w:shd w:val="clear" w:color="auto" w:fill="auto"/>
            <w:vAlign w:val="center"/>
          </w:tcPr>
          <w:p w14:paraId="5E964E3C" w14:textId="77777777" w:rsidR="00050FB4" w:rsidRPr="00404DA5" w:rsidRDefault="00050FB4" w:rsidP="00050FB4">
            <w:pPr>
              <w:jc w:val="center"/>
              <w:rPr>
                <w:rFonts w:cs="Calibri"/>
                <w:sz w:val="16"/>
                <w:szCs w:val="18"/>
              </w:rPr>
            </w:pPr>
            <w:r w:rsidRPr="00404DA5">
              <w:rPr>
                <w:rFonts w:cs="Calibri"/>
                <w:sz w:val="16"/>
                <w:szCs w:val="18"/>
              </w:rPr>
              <w:t>155%</w:t>
            </w:r>
          </w:p>
        </w:tc>
      </w:tr>
      <w:tr w:rsidR="00050FB4" w:rsidRPr="0022151F" w14:paraId="534A48DA" w14:textId="77777777" w:rsidTr="00050FB4">
        <w:tc>
          <w:tcPr>
            <w:tcW w:w="0" w:type="auto"/>
            <w:shd w:val="clear" w:color="auto" w:fill="auto"/>
            <w:vAlign w:val="center"/>
          </w:tcPr>
          <w:p w14:paraId="1F5803B7" w14:textId="77777777" w:rsidR="00050FB4" w:rsidRPr="00404DA5" w:rsidRDefault="00050FB4" w:rsidP="00050FB4">
            <w:pPr>
              <w:jc w:val="center"/>
              <w:rPr>
                <w:sz w:val="16"/>
                <w:szCs w:val="18"/>
              </w:rPr>
            </w:pPr>
            <w:r w:rsidRPr="00404DA5">
              <w:rPr>
                <w:sz w:val="16"/>
                <w:szCs w:val="18"/>
              </w:rPr>
              <w:t>WP</w:t>
            </w:r>
          </w:p>
        </w:tc>
        <w:tc>
          <w:tcPr>
            <w:tcW w:w="0" w:type="auto"/>
            <w:shd w:val="clear" w:color="auto" w:fill="auto"/>
            <w:vAlign w:val="center"/>
          </w:tcPr>
          <w:p w14:paraId="0E933FCD" w14:textId="77777777" w:rsidR="00050FB4" w:rsidRPr="00404DA5" w:rsidRDefault="00050FB4" w:rsidP="00050FB4">
            <w:pPr>
              <w:jc w:val="center"/>
              <w:rPr>
                <w:rFonts w:cs="Calibri"/>
                <w:sz w:val="16"/>
                <w:szCs w:val="18"/>
              </w:rPr>
            </w:pPr>
            <w:r w:rsidRPr="00404DA5">
              <w:rPr>
                <w:rFonts w:cs="Calibri"/>
                <w:sz w:val="16"/>
                <w:szCs w:val="18"/>
              </w:rPr>
              <w:t>8.10</w:t>
            </w:r>
          </w:p>
        </w:tc>
        <w:tc>
          <w:tcPr>
            <w:tcW w:w="0" w:type="auto"/>
            <w:shd w:val="clear" w:color="auto" w:fill="auto"/>
            <w:vAlign w:val="center"/>
          </w:tcPr>
          <w:p w14:paraId="4203576A" w14:textId="77777777" w:rsidR="00050FB4" w:rsidRPr="00404DA5" w:rsidRDefault="00050FB4" w:rsidP="00050FB4">
            <w:pPr>
              <w:jc w:val="center"/>
              <w:rPr>
                <w:rFonts w:cs="Calibri"/>
                <w:sz w:val="16"/>
                <w:szCs w:val="18"/>
              </w:rPr>
            </w:pPr>
            <w:r w:rsidRPr="00404DA5">
              <w:rPr>
                <w:rFonts w:cs="Calibri"/>
                <w:sz w:val="16"/>
                <w:szCs w:val="18"/>
              </w:rPr>
              <w:t>Liczba osób</w:t>
            </w:r>
            <w:r w:rsidR="00E66B89">
              <w:rPr>
                <w:rFonts w:cs="Calibri"/>
                <w:sz w:val="16"/>
                <w:szCs w:val="18"/>
              </w:rPr>
              <w:t xml:space="preserve"> w </w:t>
            </w:r>
            <w:r w:rsidRPr="00404DA5">
              <w:rPr>
                <w:rFonts w:cs="Calibri"/>
                <w:sz w:val="16"/>
                <w:szCs w:val="18"/>
              </w:rPr>
              <w:t>wieku 50 lat</w:t>
            </w:r>
            <w:r w:rsidR="00E66B89">
              <w:rPr>
                <w:rFonts w:cs="Calibri"/>
                <w:sz w:val="16"/>
                <w:szCs w:val="18"/>
              </w:rPr>
              <w:t xml:space="preserve"> i </w:t>
            </w:r>
            <w:r w:rsidRPr="00404DA5">
              <w:rPr>
                <w:rFonts w:cs="Calibri"/>
                <w:sz w:val="16"/>
                <w:szCs w:val="18"/>
              </w:rPr>
              <w:t>więcej objętych wsparciem</w:t>
            </w:r>
            <w:r w:rsidR="00E66B89">
              <w:rPr>
                <w:rFonts w:cs="Calibri"/>
                <w:sz w:val="16"/>
                <w:szCs w:val="18"/>
              </w:rPr>
              <w:t xml:space="preserve"> w </w:t>
            </w:r>
            <w:r w:rsidRPr="00404DA5">
              <w:rPr>
                <w:rFonts w:cs="Calibri"/>
                <w:sz w:val="16"/>
                <w:szCs w:val="18"/>
              </w:rPr>
              <w:t>programie [osoby]</w:t>
            </w:r>
          </w:p>
        </w:tc>
        <w:tc>
          <w:tcPr>
            <w:tcW w:w="0" w:type="auto"/>
            <w:shd w:val="clear" w:color="auto" w:fill="auto"/>
            <w:vAlign w:val="center"/>
          </w:tcPr>
          <w:p w14:paraId="153D6357" w14:textId="77777777" w:rsidR="00050FB4" w:rsidRPr="00404DA5" w:rsidRDefault="00050FB4" w:rsidP="00050FB4">
            <w:pPr>
              <w:jc w:val="center"/>
              <w:rPr>
                <w:rFonts w:cs="Calibri"/>
                <w:sz w:val="16"/>
                <w:szCs w:val="18"/>
              </w:rPr>
            </w:pPr>
            <w:r w:rsidRPr="00404DA5">
              <w:rPr>
                <w:rFonts w:cs="Calibri"/>
                <w:sz w:val="16"/>
                <w:szCs w:val="18"/>
              </w:rPr>
              <w:t>Os.</w:t>
            </w:r>
          </w:p>
        </w:tc>
        <w:tc>
          <w:tcPr>
            <w:tcW w:w="0" w:type="auto"/>
            <w:shd w:val="clear" w:color="auto" w:fill="auto"/>
            <w:vAlign w:val="center"/>
          </w:tcPr>
          <w:p w14:paraId="6F18AE4F" w14:textId="77777777" w:rsidR="00050FB4" w:rsidRPr="00404DA5" w:rsidRDefault="00050FB4" w:rsidP="00050FB4">
            <w:pPr>
              <w:jc w:val="center"/>
              <w:rPr>
                <w:rFonts w:cs="Calibri"/>
                <w:sz w:val="16"/>
                <w:szCs w:val="18"/>
              </w:rPr>
            </w:pPr>
            <w:r w:rsidRPr="00404DA5">
              <w:rPr>
                <w:rFonts w:cs="Calibri"/>
                <w:sz w:val="16"/>
                <w:szCs w:val="18"/>
              </w:rPr>
              <w:t>4197</w:t>
            </w:r>
          </w:p>
        </w:tc>
        <w:tc>
          <w:tcPr>
            <w:tcW w:w="0" w:type="auto"/>
            <w:shd w:val="clear" w:color="auto" w:fill="auto"/>
            <w:vAlign w:val="center"/>
          </w:tcPr>
          <w:p w14:paraId="20E40543" w14:textId="77777777" w:rsidR="00050FB4" w:rsidRPr="00404DA5" w:rsidRDefault="00050FB4" w:rsidP="00050FB4">
            <w:pPr>
              <w:jc w:val="center"/>
              <w:rPr>
                <w:rFonts w:cs="Calibri"/>
                <w:sz w:val="16"/>
                <w:szCs w:val="18"/>
              </w:rPr>
            </w:pPr>
            <w:r w:rsidRPr="00404DA5">
              <w:rPr>
                <w:rFonts w:cs="Calibri"/>
                <w:sz w:val="16"/>
                <w:szCs w:val="18"/>
              </w:rPr>
              <w:t>4783</w:t>
            </w:r>
          </w:p>
        </w:tc>
        <w:tc>
          <w:tcPr>
            <w:tcW w:w="0" w:type="auto"/>
            <w:shd w:val="clear" w:color="auto" w:fill="auto"/>
            <w:vAlign w:val="center"/>
          </w:tcPr>
          <w:p w14:paraId="66AA98DB" w14:textId="77777777" w:rsidR="00050FB4" w:rsidRPr="00404DA5" w:rsidRDefault="00050FB4" w:rsidP="00050FB4">
            <w:pPr>
              <w:jc w:val="center"/>
              <w:rPr>
                <w:rFonts w:cs="Calibri"/>
                <w:sz w:val="16"/>
                <w:szCs w:val="18"/>
              </w:rPr>
            </w:pPr>
            <w:r w:rsidRPr="00404DA5">
              <w:rPr>
                <w:rFonts w:cs="Calibri"/>
                <w:sz w:val="16"/>
                <w:szCs w:val="18"/>
              </w:rPr>
              <w:t>114%</w:t>
            </w:r>
          </w:p>
        </w:tc>
        <w:tc>
          <w:tcPr>
            <w:tcW w:w="0" w:type="auto"/>
            <w:shd w:val="clear" w:color="auto" w:fill="auto"/>
            <w:vAlign w:val="center"/>
          </w:tcPr>
          <w:p w14:paraId="39B6E845" w14:textId="77777777" w:rsidR="00050FB4" w:rsidRPr="00404DA5" w:rsidRDefault="00050FB4" w:rsidP="00050FB4">
            <w:pPr>
              <w:jc w:val="center"/>
              <w:rPr>
                <w:rFonts w:cs="Calibri"/>
                <w:sz w:val="16"/>
                <w:szCs w:val="18"/>
              </w:rPr>
            </w:pPr>
            <w:r w:rsidRPr="00404DA5">
              <w:rPr>
                <w:rFonts w:cs="Calibri"/>
                <w:sz w:val="16"/>
                <w:szCs w:val="18"/>
              </w:rPr>
              <w:t>3895</w:t>
            </w:r>
          </w:p>
        </w:tc>
        <w:tc>
          <w:tcPr>
            <w:tcW w:w="0" w:type="auto"/>
            <w:shd w:val="clear" w:color="auto" w:fill="auto"/>
            <w:vAlign w:val="center"/>
          </w:tcPr>
          <w:p w14:paraId="38F96952" w14:textId="77777777" w:rsidR="00050FB4" w:rsidRPr="00404DA5" w:rsidRDefault="00050FB4" w:rsidP="00050FB4">
            <w:pPr>
              <w:jc w:val="center"/>
              <w:rPr>
                <w:rFonts w:cs="Calibri"/>
                <w:sz w:val="16"/>
                <w:szCs w:val="18"/>
              </w:rPr>
            </w:pPr>
            <w:r w:rsidRPr="00404DA5">
              <w:rPr>
                <w:rFonts w:cs="Calibri"/>
                <w:sz w:val="16"/>
                <w:szCs w:val="18"/>
              </w:rPr>
              <w:t>93%</w:t>
            </w:r>
          </w:p>
        </w:tc>
      </w:tr>
      <w:tr w:rsidR="00050FB4" w:rsidRPr="0022151F" w14:paraId="0211DB2C" w14:textId="77777777" w:rsidTr="00050FB4">
        <w:tc>
          <w:tcPr>
            <w:tcW w:w="0" w:type="auto"/>
            <w:shd w:val="clear" w:color="auto" w:fill="auto"/>
            <w:vAlign w:val="center"/>
          </w:tcPr>
          <w:p w14:paraId="63D9B9C5" w14:textId="77777777" w:rsidR="00050FB4" w:rsidRPr="00404DA5" w:rsidRDefault="00050FB4" w:rsidP="00050FB4">
            <w:pPr>
              <w:jc w:val="center"/>
              <w:rPr>
                <w:sz w:val="16"/>
                <w:szCs w:val="18"/>
              </w:rPr>
            </w:pPr>
            <w:r w:rsidRPr="00404DA5">
              <w:rPr>
                <w:sz w:val="16"/>
                <w:szCs w:val="18"/>
              </w:rPr>
              <w:t>WR</w:t>
            </w:r>
          </w:p>
        </w:tc>
        <w:tc>
          <w:tcPr>
            <w:tcW w:w="0" w:type="auto"/>
            <w:shd w:val="clear" w:color="auto" w:fill="auto"/>
            <w:vAlign w:val="center"/>
          </w:tcPr>
          <w:p w14:paraId="32B8ADF5" w14:textId="77777777" w:rsidR="00050FB4" w:rsidRPr="00404DA5" w:rsidRDefault="00050FB4" w:rsidP="00050FB4">
            <w:pPr>
              <w:jc w:val="center"/>
              <w:rPr>
                <w:rFonts w:cs="Calibri"/>
                <w:sz w:val="16"/>
                <w:szCs w:val="18"/>
              </w:rPr>
            </w:pPr>
            <w:r w:rsidRPr="00404DA5">
              <w:rPr>
                <w:rFonts w:cs="Calibri"/>
                <w:sz w:val="16"/>
                <w:szCs w:val="18"/>
              </w:rPr>
              <w:t>8.10</w:t>
            </w:r>
          </w:p>
        </w:tc>
        <w:tc>
          <w:tcPr>
            <w:tcW w:w="0" w:type="auto"/>
            <w:shd w:val="clear" w:color="auto" w:fill="auto"/>
            <w:vAlign w:val="center"/>
          </w:tcPr>
          <w:p w14:paraId="71F65F5A" w14:textId="77777777" w:rsidR="00050FB4" w:rsidRPr="00404DA5" w:rsidRDefault="00050FB4" w:rsidP="00050FB4">
            <w:pPr>
              <w:jc w:val="center"/>
              <w:rPr>
                <w:rFonts w:cs="Calibri"/>
                <w:sz w:val="16"/>
                <w:szCs w:val="18"/>
              </w:rPr>
            </w:pPr>
            <w:r w:rsidRPr="00404DA5">
              <w:rPr>
                <w:rFonts w:cs="Calibri"/>
                <w:sz w:val="16"/>
                <w:szCs w:val="18"/>
              </w:rPr>
              <w:t>Liczba osób</w:t>
            </w:r>
            <w:r w:rsidR="00E66B89">
              <w:rPr>
                <w:rFonts w:cs="Calibri"/>
                <w:sz w:val="16"/>
                <w:szCs w:val="18"/>
              </w:rPr>
              <w:t xml:space="preserve"> w </w:t>
            </w:r>
            <w:r w:rsidRPr="00404DA5">
              <w:rPr>
                <w:rFonts w:cs="Calibri"/>
                <w:sz w:val="16"/>
                <w:szCs w:val="18"/>
              </w:rPr>
              <w:t>wieku 50 lat</w:t>
            </w:r>
            <w:r w:rsidR="00E66B89">
              <w:rPr>
                <w:rFonts w:cs="Calibri"/>
                <w:sz w:val="16"/>
                <w:szCs w:val="18"/>
              </w:rPr>
              <w:t xml:space="preserve"> i </w:t>
            </w:r>
            <w:r w:rsidRPr="00404DA5">
              <w:rPr>
                <w:rFonts w:cs="Calibri"/>
                <w:sz w:val="16"/>
                <w:szCs w:val="18"/>
              </w:rPr>
              <w:t>więcej, które uzyskały kwalifikacje lub nabyły kompetencje po opuszczeniu programu [osoby]</w:t>
            </w:r>
          </w:p>
        </w:tc>
        <w:tc>
          <w:tcPr>
            <w:tcW w:w="0" w:type="auto"/>
            <w:shd w:val="clear" w:color="auto" w:fill="auto"/>
            <w:vAlign w:val="center"/>
          </w:tcPr>
          <w:p w14:paraId="13B4E740" w14:textId="77777777" w:rsidR="00050FB4" w:rsidRDefault="00050FB4" w:rsidP="00050FB4">
            <w:pPr>
              <w:jc w:val="center"/>
              <w:rPr>
                <w:rFonts w:cs="Calibri"/>
                <w:sz w:val="16"/>
                <w:szCs w:val="18"/>
              </w:rPr>
            </w:pPr>
            <w:r>
              <w:rPr>
                <w:rFonts w:cs="Calibri"/>
                <w:sz w:val="16"/>
                <w:szCs w:val="18"/>
              </w:rPr>
              <w:t>%</w:t>
            </w:r>
          </w:p>
          <w:p w14:paraId="1E1836ED" w14:textId="77777777" w:rsidR="00050FB4" w:rsidRPr="00404DA5" w:rsidRDefault="00050FB4" w:rsidP="00050FB4">
            <w:pPr>
              <w:jc w:val="center"/>
              <w:rPr>
                <w:rFonts w:cs="Calibri"/>
                <w:sz w:val="16"/>
                <w:szCs w:val="18"/>
              </w:rPr>
            </w:pPr>
            <w:r>
              <w:rPr>
                <w:rFonts w:cs="Calibri"/>
                <w:sz w:val="16"/>
                <w:szCs w:val="18"/>
              </w:rPr>
              <w:t>(Os.)</w:t>
            </w:r>
          </w:p>
        </w:tc>
        <w:tc>
          <w:tcPr>
            <w:tcW w:w="0" w:type="auto"/>
            <w:shd w:val="clear" w:color="auto" w:fill="auto"/>
            <w:vAlign w:val="center"/>
          </w:tcPr>
          <w:p w14:paraId="21FFF02D" w14:textId="77777777" w:rsidR="00050FB4" w:rsidRPr="00404DA5" w:rsidRDefault="00050FB4" w:rsidP="00050FB4">
            <w:pPr>
              <w:jc w:val="center"/>
              <w:rPr>
                <w:rFonts w:cs="Calibri"/>
                <w:sz w:val="16"/>
                <w:szCs w:val="18"/>
              </w:rPr>
            </w:pPr>
            <w:r w:rsidRPr="00404DA5">
              <w:rPr>
                <w:rFonts w:cs="Calibri"/>
                <w:sz w:val="16"/>
                <w:szCs w:val="18"/>
              </w:rPr>
              <w:t>61%</w:t>
            </w:r>
          </w:p>
        </w:tc>
        <w:tc>
          <w:tcPr>
            <w:tcW w:w="0" w:type="auto"/>
            <w:shd w:val="clear" w:color="auto" w:fill="auto"/>
            <w:vAlign w:val="center"/>
          </w:tcPr>
          <w:p w14:paraId="72ADAC29" w14:textId="77777777" w:rsidR="00050FB4" w:rsidRDefault="00050FB4" w:rsidP="00050FB4">
            <w:pPr>
              <w:jc w:val="center"/>
              <w:rPr>
                <w:rFonts w:cs="Calibri"/>
                <w:sz w:val="16"/>
                <w:szCs w:val="18"/>
              </w:rPr>
            </w:pPr>
            <w:r>
              <w:rPr>
                <w:rFonts w:cs="Calibri"/>
                <w:sz w:val="16"/>
                <w:szCs w:val="18"/>
              </w:rPr>
              <w:t>84,9%</w:t>
            </w:r>
          </w:p>
          <w:p w14:paraId="0BB29B7B"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4061</w:t>
            </w:r>
            <w:r>
              <w:rPr>
                <w:rFonts w:cs="Calibri"/>
                <w:sz w:val="16"/>
                <w:szCs w:val="18"/>
              </w:rPr>
              <w:t>)</w:t>
            </w:r>
          </w:p>
        </w:tc>
        <w:tc>
          <w:tcPr>
            <w:tcW w:w="0" w:type="auto"/>
            <w:shd w:val="clear" w:color="auto" w:fill="auto"/>
            <w:vAlign w:val="center"/>
          </w:tcPr>
          <w:p w14:paraId="5E037774" w14:textId="77777777" w:rsidR="00050FB4" w:rsidRPr="00404DA5" w:rsidRDefault="00050FB4" w:rsidP="00050FB4">
            <w:pPr>
              <w:jc w:val="center"/>
              <w:rPr>
                <w:rFonts w:cs="Calibri"/>
                <w:sz w:val="16"/>
                <w:szCs w:val="18"/>
              </w:rPr>
            </w:pPr>
            <w:r w:rsidRPr="00404DA5">
              <w:rPr>
                <w:rFonts w:cs="Calibri"/>
                <w:sz w:val="16"/>
                <w:szCs w:val="18"/>
              </w:rPr>
              <w:t>139%</w:t>
            </w:r>
          </w:p>
        </w:tc>
        <w:tc>
          <w:tcPr>
            <w:tcW w:w="0" w:type="auto"/>
            <w:shd w:val="clear" w:color="auto" w:fill="auto"/>
            <w:vAlign w:val="center"/>
          </w:tcPr>
          <w:p w14:paraId="460A78B4" w14:textId="77777777" w:rsidR="00050FB4" w:rsidRDefault="00050FB4" w:rsidP="00050FB4">
            <w:pPr>
              <w:jc w:val="center"/>
              <w:rPr>
                <w:rFonts w:cs="Calibri"/>
                <w:sz w:val="16"/>
                <w:szCs w:val="18"/>
              </w:rPr>
            </w:pPr>
            <w:r>
              <w:rPr>
                <w:rFonts w:cs="Calibri"/>
                <w:sz w:val="16"/>
                <w:szCs w:val="18"/>
              </w:rPr>
              <w:t>71,6%</w:t>
            </w:r>
          </w:p>
          <w:p w14:paraId="1AC569E2" w14:textId="77777777" w:rsidR="00050FB4" w:rsidRPr="00404DA5" w:rsidRDefault="00050FB4" w:rsidP="00050FB4">
            <w:pPr>
              <w:jc w:val="center"/>
              <w:rPr>
                <w:rFonts w:cs="Calibri"/>
                <w:sz w:val="16"/>
                <w:szCs w:val="18"/>
              </w:rPr>
            </w:pPr>
            <w:r>
              <w:rPr>
                <w:rFonts w:cs="Calibri"/>
                <w:sz w:val="16"/>
                <w:szCs w:val="18"/>
              </w:rPr>
              <w:t>(</w:t>
            </w:r>
            <w:r w:rsidRPr="00404DA5">
              <w:rPr>
                <w:rFonts w:cs="Calibri"/>
                <w:sz w:val="16"/>
                <w:szCs w:val="18"/>
              </w:rPr>
              <w:t>2788</w:t>
            </w:r>
            <w:r>
              <w:rPr>
                <w:rFonts w:cs="Calibri"/>
                <w:sz w:val="16"/>
                <w:szCs w:val="18"/>
              </w:rPr>
              <w:t>)</w:t>
            </w:r>
          </w:p>
        </w:tc>
        <w:tc>
          <w:tcPr>
            <w:tcW w:w="0" w:type="auto"/>
            <w:shd w:val="clear" w:color="auto" w:fill="auto"/>
            <w:vAlign w:val="center"/>
          </w:tcPr>
          <w:p w14:paraId="227BCA6F" w14:textId="77777777" w:rsidR="00050FB4" w:rsidRPr="00404DA5" w:rsidRDefault="00050FB4" w:rsidP="00050FB4">
            <w:pPr>
              <w:jc w:val="center"/>
              <w:rPr>
                <w:rFonts w:cs="Calibri"/>
                <w:sz w:val="16"/>
                <w:szCs w:val="18"/>
              </w:rPr>
            </w:pPr>
            <w:r w:rsidRPr="00404DA5">
              <w:rPr>
                <w:rFonts w:cs="Calibri"/>
                <w:sz w:val="16"/>
                <w:szCs w:val="18"/>
              </w:rPr>
              <w:t>177%</w:t>
            </w:r>
          </w:p>
        </w:tc>
      </w:tr>
    </w:tbl>
    <w:p w14:paraId="0211C81B"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7F367239" w14:textId="77777777" w:rsidR="00050FB4" w:rsidRPr="004128AA" w:rsidRDefault="00050FB4" w:rsidP="00050FB4">
      <w:pPr>
        <w:spacing w:before="240" w:after="160" w:line="259" w:lineRule="auto"/>
      </w:pPr>
      <w:r w:rsidRPr="003452CE">
        <w:rPr>
          <w:rFonts w:eastAsia="Calibri"/>
          <w:szCs w:val="20"/>
          <w:lang w:eastAsia="en-US"/>
        </w:rPr>
        <w:t>Wg stanu na dzień 7.10.2019,</w:t>
      </w:r>
      <w:r w:rsidR="00E66B89">
        <w:rPr>
          <w:rFonts w:eastAsia="Calibri"/>
          <w:szCs w:val="20"/>
          <w:lang w:eastAsia="en-US"/>
        </w:rPr>
        <w:t xml:space="preserve"> w </w:t>
      </w:r>
      <w:r w:rsidRPr="003452CE">
        <w:rPr>
          <w:rFonts w:eastAsia="Calibri"/>
          <w:szCs w:val="20"/>
          <w:lang w:eastAsia="en-US"/>
        </w:rPr>
        <w:t>ramach Działania 8.10 założono alokację na poziomie 43,03 mln zł. Na Działanie nie została przeznaczona rezerwa wykonania. Do 7.01.2019 roku zawarto 33 umowy</w:t>
      </w:r>
      <w:r w:rsidR="00E66B89">
        <w:rPr>
          <w:rFonts w:eastAsia="Calibri"/>
          <w:szCs w:val="20"/>
          <w:lang w:eastAsia="en-US"/>
        </w:rPr>
        <w:t xml:space="preserve"> o </w:t>
      </w:r>
      <w:r w:rsidRPr="003452CE">
        <w:rPr>
          <w:rFonts w:eastAsia="Calibri"/>
          <w:szCs w:val="20"/>
          <w:lang w:eastAsia="en-US"/>
        </w:rPr>
        <w:t>dofinansowanie, co spowodowało zakontraktowanie 50,3% alokacji.</w:t>
      </w:r>
    </w:p>
    <w:p w14:paraId="66C8F14E" w14:textId="77777777" w:rsidR="00050FB4" w:rsidRPr="003452CE" w:rsidRDefault="00050FB4" w:rsidP="00050FB4">
      <w:pPr>
        <w:rPr>
          <w:rFonts w:eastAsia="Calibri"/>
          <w:szCs w:val="20"/>
          <w:lang w:eastAsia="en-US"/>
        </w:rPr>
      </w:pPr>
      <w:r w:rsidRPr="003452CE">
        <w:rPr>
          <w:rFonts w:eastAsia="Calibri"/>
          <w:szCs w:val="20"/>
          <w:lang w:eastAsia="en-US"/>
        </w:rPr>
        <w:t>W ramach Działania przeprowadzono dwa nabory wniosków. Zainteresowanie nimi znacznie przekraczało budżet. Spośród złożonych</w:t>
      </w:r>
      <w:r w:rsidR="00E66B89">
        <w:rPr>
          <w:rFonts w:eastAsia="Calibri"/>
          <w:szCs w:val="20"/>
          <w:lang w:eastAsia="en-US"/>
        </w:rPr>
        <w:t xml:space="preserve"> w </w:t>
      </w:r>
      <w:r w:rsidRPr="003452CE">
        <w:rPr>
          <w:rFonts w:eastAsia="Calibri"/>
          <w:szCs w:val="20"/>
          <w:lang w:eastAsia="en-US"/>
        </w:rPr>
        <w:t xml:space="preserve">obydwu naborach </w:t>
      </w:r>
      <w:r>
        <w:rPr>
          <w:rFonts w:eastAsia="Calibri"/>
          <w:szCs w:val="20"/>
          <w:lang w:eastAsia="en-US"/>
        </w:rPr>
        <w:t>324</w:t>
      </w:r>
      <w:r w:rsidRPr="003452CE">
        <w:rPr>
          <w:rFonts w:eastAsia="Calibri"/>
          <w:szCs w:val="20"/>
          <w:lang w:eastAsia="en-US"/>
        </w:rPr>
        <w:t xml:space="preserve"> wniosków poprawnych formalnie, aż </w:t>
      </w:r>
      <w:r>
        <w:rPr>
          <w:rFonts w:eastAsia="Calibri"/>
          <w:szCs w:val="20"/>
          <w:lang w:eastAsia="en-US"/>
        </w:rPr>
        <w:t xml:space="preserve">279 </w:t>
      </w:r>
      <w:r w:rsidRPr="003452CE">
        <w:rPr>
          <w:rFonts w:eastAsia="Calibri"/>
          <w:szCs w:val="20"/>
          <w:lang w:eastAsia="en-US"/>
        </w:rPr>
        <w:t>zostało odrzuconych</w:t>
      </w:r>
      <w:r w:rsidR="00E66B89">
        <w:rPr>
          <w:rFonts w:eastAsia="Calibri"/>
          <w:szCs w:val="20"/>
          <w:lang w:eastAsia="en-US"/>
        </w:rPr>
        <w:t xml:space="preserve"> z </w:t>
      </w:r>
      <w:r w:rsidRPr="003452CE">
        <w:rPr>
          <w:rFonts w:eastAsia="Calibri"/>
          <w:szCs w:val="20"/>
          <w:lang w:eastAsia="en-US"/>
        </w:rPr>
        <w:t>powodu braku środków,</w:t>
      </w:r>
      <w:r w:rsidR="00E66B89">
        <w:rPr>
          <w:rFonts w:eastAsia="Calibri"/>
          <w:szCs w:val="20"/>
          <w:lang w:eastAsia="en-US"/>
        </w:rPr>
        <w:t xml:space="preserve"> a </w:t>
      </w:r>
      <w:r w:rsidRPr="003452CE">
        <w:rPr>
          <w:rFonts w:eastAsia="Calibri"/>
          <w:szCs w:val="20"/>
          <w:lang w:eastAsia="en-US"/>
        </w:rPr>
        <w:t>45 zostało przyjętych do dofinansowania. Występuje więc znaczący potencjał absorpcyjny.</w:t>
      </w:r>
    </w:p>
    <w:p w14:paraId="45DE3898" w14:textId="77777777" w:rsidR="00050FB4" w:rsidRPr="003452CE" w:rsidRDefault="00050FB4" w:rsidP="00050FB4">
      <w:pPr>
        <w:rPr>
          <w:rFonts w:eastAsia="Calibri"/>
          <w:szCs w:val="20"/>
          <w:lang w:eastAsia="en-US"/>
        </w:rPr>
      </w:pPr>
      <w:r w:rsidRPr="003452CE">
        <w:rPr>
          <w:rFonts w:eastAsia="Calibri"/>
          <w:szCs w:val="20"/>
          <w:lang w:eastAsia="en-US"/>
        </w:rPr>
        <w:t>Utrudnieniem jest</w:t>
      </w:r>
      <w:r w:rsidR="00E66B89">
        <w:rPr>
          <w:rFonts w:eastAsia="Calibri"/>
          <w:szCs w:val="20"/>
          <w:lang w:eastAsia="en-US"/>
        </w:rPr>
        <w:t xml:space="preserve"> z </w:t>
      </w:r>
      <w:r w:rsidRPr="003452CE">
        <w:rPr>
          <w:rFonts w:eastAsia="Calibri"/>
          <w:szCs w:val="20"/>
          <w:lang w:eastAsia="en-US"/>
        </w:rPr>
        <w:t>pewnością to, że kontraktacja nie postępuje.</w:t>
      </w:r>
      <w:r w:rsidR="00E66B89">
        <w:rPr>
          <w:rFonts w:eastAsia="Calibri"/>
          <w:szCs w:val="20"/>
          <w:lang w:eastAsia="en-US"/>
        </w:rPr>
        <w:t xml:space="preserve"> W </w:t>
      </w:r>
      <w:r w:rsidRPr="003452CE">
        <w:rPr>
          <w:rFonts w:eastAsia="Calibri"/>
          <w:szCs w:val="20"/>
          <w:lang w:eastAsia="en-US"/>
        </w:rPr>
        <w:t xml:space="preserve">pierwszych dwóch naborach spośród 45 wniosków zatwierdzonych do dofinansowania do </w:t>
      </w:r>
      <w:r>
        <w:rPr>
          <w:rFonts w:eastAsia="Calibri"/>
          <w:szCs w:val="20"/>
          <w:lang w:eastAsia="en-US"/>
        </w:rPr>
        <w:t>7.01</w:t>
      </w:r>
      <w:r w:rsidRPr="003452CE">
        <w:rPr>
          <w:rFonts w:eastAsia="Calibri"/>
          <w:szCs w:val="20"/>
          <w:lang w:eastAsia="en-US"/>
        </w:rPr>
        <w:t>.2018 r. zawarto zaledwie 33 umowy, kontraktując tym samym tylko 69% budżetu</w:t>
      </w:r>
      <w:r>
        <w:rPr>
          <w:rFonts w:eastAsia="Calibri"/>
          <w:szCs w:val="20"/>
          <w:lang w:eastAsia="en-US"/>
        </w:rPr>
        <w:t>. Głównym powodem nie zakontraktowania całości środków dostępnych</w:t>
      </w:r>
      <w:r w:rsidR="00E66B89">
        <w:rPr>
          <w:rFonts w:eastAsia="Calibri"/>
          <w:szCs w:val="20"/>
          <w:lang w:eastAsia="en-US"/>
        </w:rPr>
        <w:t xml:space="preserve"> w </w:t>
      </w:r>
      <w:r>
        <w:rPr>
          <w:rFonts w:eastAsia="Calibri"/>
          <w:szCs w:val="20"/>
          <w:lang w:eastAsia="en-US"/>
        </w:rPr>
        <w:t>naborze była rezygnacja aż 10 beneficjentów</w:t>
      </w:r>
      <w:r w:rsidR="00E66B89">
        <w:rPr>
          <w:rFonts w:eastAsia="Calibri"/>
          <w:szCs w:val="20"/>
          <w:lang w:eastAsia="en-US"/>
        </w:rPr>
        <w:t xml:space="preserve"> z </w:t>
      </w:r>
      <w:r>
        <w:rPr>
          <w:rFonts w:eastAsia="Calibri"/>
          <w:szCs w:val="20"/>
          <w:lang w:eastAsia="en-US"/>
        </w:rPr>
        <w:t>podpisania umowy.</w:t>
      </w:r>
    </w:p>
    <w:p w14:paraId="792DF156" w14:textId="77777777" w:rsidR="00050FB4" w:rsidRPr="003452CE" w:rsidRDefault="00050FB4" w:rsidP="00050FB4">
      <w:pPr>
        <w:rPr>
          <w:rFonts w:eastAsia="Calibri"/>
          <w:szCs w:val="20"/>
          <w:lang w:eastAsia="en-US"/>
        </w:rPr>
      </w:pPr>
      <w:r w:rsidRPr="003452CE">
        <w:rPr>
          <w:rFonts w:eastAsia="Calibri"/>
          <w:szCs w:val="20"/>
          <w:lang w:eastAsia="en-US"/>
        </w:rPr>
        <w:lastRenderedPageBreak/>
        <w:t>W opinii pracownika instytucji systemu realizacji, uczestniczącego</w:t>
      </w:r>
      <w:r w:rsidR="00E66B89">
        <w:rPr>
          <w:rFonts w:eastAsia="Calibri"/>
          <w:szCs w:val="20"/>
          <w:lang w:eastAsia="en-US"/>
        </w:rPr>
        <w:t xml:space="preserve"> w </w:t>
      </w:r>
      <w:r w:rsidRPr="003452CE">
        <w:rPr>
          <w:rFonts w:eastAsia="Calibri"/>
          <w:szCs w:val="20"/>
          <w:lang w:eastAsia="en-US"/>
        </w:rPr>
        <w:t>badaniu jakościowym, niewielka liczba zawartych umów wynika stąd, że pozostałe wnioski nie były wystarczająco dobre merytorycznie. Wniosku takiego nie potwierdzają jednak dane monitoringowe, bowiem mowa</w:t>
      </w:r>
      <w:r w:rsidR="00E66B89">
        <w:rPr>
          <w:rFonts w:eastAsia="Calibri"/>
          <w:szCs w:val="20"/>
          <w:lang w:eastAsia="en-US"/>
        </w:rPr>
        <w:t xml:space="preserve"> o </w:t>
      </w:r>
      <w:r w:rsidRPr="003452CE">
        <w:rPr>
          <w:rFonts w:eastAsia="Calibri"/>
          <w:szCs w:val="20"/>
          <w:lang w:eastAsia="en-US"/>
        </w:rPr>
        <w:t>45 wnioskach, które zostały zatwierdzone do dofinansowania, co oznacza, że przeszły pozytywnie ocenę merytoryczną,</w:t>
      </w:r>
      <w:r w:rsidR="00E66B89">
        <w:rPr>
          <w:rFonts w:eastAsia="Calibri"/>
          <w:szCs w:val="20"/>
          <w:lang w:eastAsia="en-US"/>
        </w:rPr>
        <w:t xml:space="preserve"> a </w:t>
      </w:r>
      <w:r w:rsidRPr="003452CE">
        <w:rPr>
          <w:rFonts w:eastAsia="Calibri"/>
          <w:szCs w:val="20"/>
          <w:lang w:eastAsia="en-US"/>
        </w:rPr>
        <w:t>jednak dla 12</w:t>
      </w:r>
      <w:r w:rsidR="00E66B89">
        <w:rPr>
          <w:rFonts w:eastAsia="Calibri"/>
          <w:szCs w:val="20"/>
          <w:lang w:eastAsia="en-US"/>
        </w:rPr>
        <w:t xml:space="preserve"> z </w:t>
      </w:r>
      <w:r w:rsidRPr="003452CE">
        <w:rPr>
          <w:rFonts w:eastAsia="Calibri"/>
          <w:szCs w:val="20"/>
          <w:lang w:eastAsia="en-US"/>
        </w:rPr>
        <w:t>nich nie zawarto umowy.</w:t>
      </w:r>
    </w:p>
    <w:p w14:paraId="72907370" w14:textId="77777777" w:rsidR="00050FB4" w:rsidRDefault="00050FB4" w:rsidP="00050FB4">
      <w:pPr>
        <w:rPr>
          <w:rFonts w:eastAsia="Calibri"/>
          <w:szCs w:val="20"/>
          <w:lang w:eastAsia="en-US"/>
        </w:rPr>
      </w:pPr>
      <w:r w:rsidRPr="003452CE">
        <w:rPr>
          <w:rFonts w:eastAsia="Calibri"/>
          <w:szCs w:val="20"/>
          <w:lang w:eastAsia="en-US"/>
        </w:rPr>
        <w:t>W ramach Działania jest przewidziany wyłącznie konkursowy tryb naboru wniosków. Założenia wsparcia</w:t>
      </w:r>
      <w:r w:rsidR="00E66B89">
        <w:rPr>
          <w:rFonts w:eastAsia="Calibri"/>
          <w:szCs w:val="20"/>
          <w:lang w:eastAsia="en-US"/>
        </w:rPr>
        <w:t xml:space="preserve"> w </w:t>
      </w:r>
      <w:r w:rsidRPr="003452CE">
        <w:rPr>
          <w:rFonts w:eastAsia="Calibri"/>
          <w:szCs w:val="20"/>
          <w:lang w:eastAsia="en-US"/>
        </w:rPr>
        <w:t>ramach tego naboru nie zostały jeszcze uszczegółowione</w:t>
      </w:r>
      <w:r w:rsidR="00E66B89">
        <w:rPr>
          <w:rFonts w:eastAsia="Calibri"/>
          <w:szCs w:val="20"/>
          <w:lang w:eastAsia="en-US"/>
        </w:rPr>
        <w:t xml:space="preserve"> w </w:t>
      </w:r>
      <w:r w:rsidRPr="003452CE">
        <w:rPr>
          <w:rFonts w:eastAsia="Calibri"/>
          <w:szCs w:val="20"/>
          <w:lang w:eastAsia="en-US"/>
        </w:rPr>
        <w:t>ramowym planie realizacji działań.</w:t>
      </w:r>
    </w:p>
    <w:p w14:paraId="2AA991FD" w14:textId="77777777" w:rsidR="00050FB4" w:rsidRDefault="00050FB4" w:rsidP="00050FB4">
      <w:pPr>
        <w:spacing w:after="200" w:line="276" w:lineRule="auto"/>
        <w:rPr>
          <w:rFonts w:eastAsia="Calibri"/>
          <w:szCs w:val="20"/>
          <w:lang w:eastAsia="en-US"/>
        </w:rPr>
      </w:pPr>
      <w:r w:rsidRPr="00404DA5">
        <w:rPr>
          <w:rFonts w:cs="Calibri"/>
          <w:szCs w:val="20"/>
        </w:rPr>
        <w:t>Jednocześnie (na podstawie zawartych do 07.01.2019 r. UoD jak</w:t>
      </w:r>
      <w:r w:rsidR="00E66B89">
        <w:rPr>
          <w:rFonts w:cs="Calibri"/>
          <w:szCs w:val="20"/>
        </w:rPr>
        <w:t xml:space="preserve"> i </w:t>
      </w:r>
      <w:r w:rsidRPr="00404DA5">
        <w:rPr>
          <w:rFonts w:cs="Calibri"/>
          <w:szCs w:val="20"/>
        </w:rPr>
        <w:t xml:space="preserve">informacji kwartalnej za IV kwartał 2018 r.) szacuje się przekroczenie wartości docelowej wskaźnika </w:t>
      </w:r>
      <w:r w:rsidRPr="00404DA5">
        <w:rPr>
          <w:rFonts w:cs="Calibri"/>
          <w:i/>
          <w:szCs w:val="20"/>
        </w:rPr>
        <w:t>Liczba osób</w:t>
      </w:r>
      <w:r w:rsidR="00E66B89">
        <w:rPr>
          <w:rFonts w:cs="Calibri"/>
          <w:i/>
          <w:szCs w:val="20"/>
        </w:rPr>
        <w:t xml:space="preserve"> w </w:t>
      </w:r>
      <w:r w:rsidRPr="00404DA5">
        <w:rPr>
          <w:rFonts w:cs="Calibri"/>
          <w:i/>
          <w:szCs w:val="20"/>
        </w:rPr>
        <w:t>wieku 50 lat</w:t>
      </w:r>
      <w:r w:rsidR="00E66B89">
        <w:rPr>
          <w:rFonts w:cs="Calibri"/>
          <w:i/>
          <w:szCs w:val="20"/>
        </w:rPr>
        <w:t xml:space="preserve"> i </w:t>
      </w:r>
      <w:r w:rsidRPr="00404DA5">
        <w:rPr>
          <w:rFonts w:cs="Calibri"/>
          <w:i/>
          <w:szCs w:val="20"/>
        </w:rPr>
        <w:t>więcej objętych wsparciem</w:t>
      </w:r>
      <w:r w:rsidR="00E66B89">
        <w:rPr>
          <w:rFonts w:cs="Calibri"/>
          <w:i/>
          <w:szCs w:val="20"/>
        </w:rPr>
        <w:t xml:space="preserve"> w </w:t>
      </w:r>
      <w:r w:rsidRPr="00404DA5">
        <w:rPr>
          <w:rFonts w:cs="Calibri"/>
          <w:i/>
          <w:szCs w:val="20"/>
        </w:rPr>
        <w:t>programie</w:t>
      </w:r>
      <w:r w:rsidRPr="00404DA5">
        <w:rPr>
          <w:rFonts w:cs="Calibri"/>
          <w:szCs w:val="20"/>
        </w:rPr>
        <w:t>.</w:t>
      </w:r>
      <w:r w:rsidR="00E66B89">
        <w:rPr>
          <w:rFonts w:cs="Calibri"/>
          <w:szCs w:val="20"/>
        </w:rPr>
        <w:t xml:space="preserve"> A </w:t>
      </w:r>
      <w:r w:rsidRPr="00404DA5">
        <w:rPr>
          <w:rFonts w:cs="Calibri"/>
          <w:szCs w:val="20"/>
        </w:rPr>
        <w:t>zatem proporcja osób</w:t>
      </w:r>
      <w:r w:rsidR="00E66B89">
        <w:rPr>
          <w:rFonts w:cs="Calibri"/>
          <w:szCs w:val="20"/>
        </w:rPr>
        <w:t xml:space="preserve"> w </w:t>
      </w:r>
      <w:r w:rsidRPr="00404DA5">
        <w:rPr>
          <w:rFonts w:cs="Calibri"/>
          <w:szCs w:val="20"/>
        </w:rPr>
        <w:t>wieku 50+ do ogółu uczestników jest zadowalająca. Znacznie mniejsze wartości osiągają wskaźniki dotyczące uczestnictwa</w:t>
      </w:r>
      <w:r w:rsidR="00E66B89">
        <w:rPr>
          <w:rFonts w:cs="Calibri"/>
          <w:szCs w:val="20"/>
        </w:rPr>
        <w:t xml:space="preserve"> w </w:t>
      </w:r>
      <w:r w:rsidRPr="00404DA5">
        <w:rPr>
          <w:rFonts w:cs="Calibri"/>
          <w:szCs w:val="20"/>
        </w:rPr>
        <w:t>projektach osób młodszych (w wieku ponad 25 lat)</w:t>
      </w:r>
      <w:r w:rsidR="00E66B89">
        <w:rPr>
          <w:rFonts w:cs="Calibri"/>
          <w:szCs w:val="20"/>
        </w:rPr>
        <w:t xml:space="preserve"> i </w:t>
      </w:r>
      <w:r>
        <w:rPr>
          <w:rFonts w:cs="Calibri"/>
          <w:szCs w:val="20"/>
        </w:rPr>
        <w:t>osób</w:t>
      </w:r>
      <w:r w:rsidR="00E66B89">
        <w:rPr>
          <w:rFonts w:cs="Calibri"/>
          <w:szCs w:val="20"/>
        </w:rPr>
        <w:t xml:space="preserve"> o </w:t>
      </w:r>
      <w:r w:rsidRPr="00404DA5">
        <w:rPr>
          <w:rFonts w:cs="Calibri"/>
          <w:szCs w:val="20"/>
        </w:rPr>
        <w:t xml:space="preserve">niskich kwalifikacjach. </w:t>
      </w:r>
    </w:p>
    <w:p w14:paraId="46526BF4"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 xml:space="preserve">Ocena potencjału absorpcyjnego </w:t>
      </w:r>
    </w:p>
    <w:p w14:paraId="63044FB2" w14:textId="77777777" w:rsidR="00050FB4" w:rsidRPr="00404DA5" w:rsidRDefault="00050FB4" w:rsidP="00050FB4">
      <w:pPr>
        <w:rPr>
          <w:rFonts w:cs="Calibri"/>
          <w:szCs w:val="20"/>
        </w:rPr>
      </w:pPr>
      <w:r>
        <w:rPr>
          <w:rFonts w:eastAsia="Calibri"/>
          <w:szCs w:val="20"/>
          <w:lang w:eastAsia="en-US"/>
        </w:rPr>
        <w:t>Zainteresowanie projektodawców konkursami</w:t>
      </w:r>
      <w:r w:rsidR="00E66B89">
        <w:rPr>
          <w:rFonts w:eastAsia="Calibri"/>
          <w:szCs w:val="20"/>
          <w:lang w:eastAsia="en-US"/>
        </w:rPr>
        <w:t xml:space="preserve"> w </w:t>
      </w:r>
      <w:r>
        <w:rPr>
          <w:rFonts w:eastAsia="Calibri"/>
          <w:szCs w:val="20"/>
          <w:lang w:eastAsia="en-US"/>
        </w:rPr>
        <w:t>ramach Działania 8.10 było dotychczas wysokie.</w:t>
      </w:r>
      <w:r w:rsidR="00E66B89">
        <w:rPr>
          <w:rFonts w:eastAsia="Calibri"/>
          <w:szCs w:val="20"/>
          <w:lang w:eastAsia="en-US"/>
        </w:rPr>
        <w:t xml:space="preserve"> W </w:t>
      </w:r>
      <w:r>
        <w:rPr>
          <w:rFonts w:eastAsia="Calibri"/>
          <w:szCs w:val="20"/>
          <w:lang w:eastAsia="en-US"/>
        </w:rPr>
        <w:t>dotychczasowych konkursach</w:t>
      </w:r>
      <w:r w:rsidR="00E66B89">
        <w:rPr>
          <w:rFonts w:eastAsia="Calibri"/>
          <w:szCs w:val="20"/>
          <w:lang w:eastAsia="en-US"/>
        </w:rPr>
        <w:t xml:space="preserve"> z </w:t>
      </w:r>
      <w:r w:rsidRPr="003452CE">
        <w:rPr>
          <w:rFonts w:eastAsia="Calibri"/>
          <w:szCs w:val="20"/>
          <w:lang w:eastAsia="en-US"/>
        </w:rPr>
        <w:t>powodu braku środków</w:t>
      </w:r>
      <w:r>
        <w:rPr>
          <w:rFonts w:eastAsia="Calibri"/>
          <w:szCs w:val="20"/>
          <w:lang w:eastAsia="en-US"/>
        </w:rPr>
        <w:t xml:space="preserve"> odrzucono </w:t>
      </w:r>
      <w:r w:rsidRPr="003452CE">
        <w:rPr>
          <w:rFonts w:eastAsia="Calibri"/>
          <w:szCs w:val="20"/>
          <w:lang w:eastAsia="en-US"/>
        </w:rPr>
        <w:t xml:space="preserve">117 </w:t>
      </w:r>
      <w:r>
        <w:rPr>
          <w:rFonts w:eastAsia="Calibri"/>
          <w:szCs w:val="20"/>
          <w:lang w:eastAsia="en-US"/>
        </w:rPr>
        <w:t xml:space="preserve">wniosków. Wartość dotychczas złożonych wniosków ponad dwukrotnie przekracza przeznaczoną na to Działanie alokację. </w:t>
      </w:r>
      <w:r w:rsidRPr="003452CE">
        <w:rPr>
          <w:rFonts w:eastAsia="Calibri"/>
          <w:szCs w:val="20"/>
          <w:lang w:eastAsia="en-US"/>
        </w:rPr>
        <w:t>Zgodnie</w:t>
      </w:r>
      <w:r w:rsidR="00E66B89">
        <w:rPr>
          <w:rFonts w:eastAsia="Calibri"/>
          <w:szCs w:val="20"/>
          <w:lang w:eastAsia="en-US"/>
        </w:rPr>
        <w:t xml:space="preserve"> z </w:t>
      </w:r>
      <w:r w:rsidRPr="003452CE">
        <w:rPr>
          <w:rFonts w:eastAsia="Calibri"/>
          <w:szCs w:val="20"/>
          <w:lang w:eastAsia="en-US"/>
        </w:rPr>
        <w:t>harmonogramem naboru wniosków, zaplanowano nabór wniosków</w:t>
      </w:r>
      <w:r w:rsidR="00E66B89">
        <w:rPr>
          <w:rFonts w:eastAsia="Calibri"/>
          <w:szCs w:val="20"/>
          <w:lang w:eastAsia="en-US"/>
        </w:rPr>
        <w:t xml:space="preserve"> w </w:t>
      </w:r>
      <w:r w:rsidRPr="003452CE">
        <w:rPr>
          <w:rFonts w:eastAsia="Calibri"/>
          <w:szCs w:val="20"/>
          <w:lang w:eastAsia="en-US"/>
        </w:rPr>
        <w:t>2019 r.</w:t>
      </w:r>
      <w:r>
        <w:rPr>
          <w:rFonts w:eastAsia="Calibri"/>
          <w:szCs w:val="20"/>
          <w:lang w:eastAsia="en-US"/>
        </w:rPr>
        <w:t xml:space="preserve"> Według planów, na najbliższy nabór przeznaczone zostanie </w:t>
      </w:r>
      <w:r w:rsidRPr="00404DA5">
        <w:rPr>
          <w:rFonts w:cs="Calibri"/>
          <w:szCs w:val="20"/>
        </w:rPr>
        <w:t>18 920</w:t>
      </w:r>
      <w:r>
        <w:rPr>
          <w:rFonts w:cs="Calibri"/>
          <w:szCs w:val="20"/>
        </w:rPr>
        <w:t> </w:t>
      </w:r>
      <w:r w:rsidRPr="00404DA5">
        <w:rPr>
          <w:rFonts w:cs="Calibri"/>
          <w:szCs w:val="20"/>
        </w:rPr>
        <w:t>000</w:t>
      </w:r>
      <w:r>
        <w:rPr>
          <w:rFonts w:cs="Calibri"/>
          <w:szCs w:val="20"/>
        </w:rPr>
        <w:t xml:space="preserve"> zł</w:t>
      </w:r>
      <w:r w:rsidRPr="00404DA5">
        <w:rPr>
          <w:rFonts w:cs="Calibri"/>
          <w:szCs w:val="20"/>
        </w:rPr>
        <w:t>, co stanowi 88% procent wciąż dostępnej na ten cel alokacji.</w:t>
      </w:r>
    </w:p>
    <w:p w14:paraId="37725A9F" w14:textId="77777777" w:rsidR="00050FB4" w:rsidRPr="00404DA5" w:rsidRDefault="00050FB4" w:rsidP="00050FB4">
      <w:pPr>
        <w:rPr>
          <w:rFonts w:cs="Calibri"/>
          <w:szCs w:val="20"/>
        </w:rPr>
      </w:pPr>
      <w:r w:rsidRPr="00404DA5">
        <w:rPr>
          <w:rFonts w:cs="Calibri"/>
          <w:szCs w:val="20"/>
        </w:rPr>
        <w:t>W opinii przedstawicieli IP</w:t>
      </w:r>
      <w:r>
        <w:rPr>
          <w:rFonts w:cs="Calibri"/>
          <w:szCs w:val="20"/>
        </w:rPr>
        <w:t>,</w:t>
      </w:r>
      <w:r w:rsidRPr="00404DA5">
        <w:rPr>
          <w:rFonts w:cs="Calibri"/>
          <w:szCs w:val="20"/>
        </w:rPr>
        <w:t xml:space="preserve"> wysokie zainteresowanie aplikowaniem</w:t>
      </w:r>
      <w:r w:rsidR="00E66B89">
        <w:rPr>
          <w:rFonts w:cs="Calibri"/>
          <w:szCs w:val="20"/>
        </w:rPr>
        <w:t xml:space="preserve"> o </w:t>
      </w:r>
      <w:r>
        <w:rPr>
          <w:rFonts w:cs="Calibri"/>
          <w:szCs w:val="20"/>
        </w:rPr>
        <w:t>wsparcie</w:t>
      </w:r>
      <w:r w:rsidR="00E66B89">
        <w:rPr>
          <w:rFonts w:cs="Calibri"/>
          <w:szCs w:val="20"/>
        </w:rPr>
        <w:t xml:space="preserve"> w </w:t>
      </w:r>
      <w:r w:rsidRPr="00404DA5">
        <w:rPr>
          <w:rFonts w:cs="Calibri"/>
          <w:szCs w:val="20"/>
        </w:rPr>
        <w:t>ramach Działania 8.10 związane jest</w:t>
      </w:r>
      <w:r w:rsidR="00E66B89">
        <w:rPr>
          <w:rFonts w:cs="Calibri"/>
          <w:szCs w:val="20"/>
        </w:rPr>
        <w:t xml:space="preserve"> z </w:t>
      </w:r>
      <w:r w:rsidRPr="00404DA5">
        <w:rPr>
          <w:rFonts w:cs="Calibri"/>
          <w:szCs w:val="20"/>
        </w:rPr>
        <w:t>relatywnie nieskomplikowanym charakterem oferowanych</w:t>
      </w:r>
      <w:r w:rsidR="00E66B89">
        <w:rPr>
          <w:rFonts w:cs="Calibri"/>
          <w:szCs w:val="20"/>
        </w:rPr>
        <w:t xml:space="preserve"> w </w:t>
      </w:r>
      <w:r w:rsidRPr="00404DA5">
        <w:rPr>
          <w:rFonts w:cs="Calibri"/>
          <w:szCs w:val="20"/>
        </w:rPr>
        <w:t>jego ramach form wsparcia</w:t>
      </w:r>
      <w:r w:rsidR="00E66B89">
        <w:rPr>
          <w:rFonts w:cs="Calibri"/>
          <w:szCs w:val="20"/>
        </w:rPr>
        <w:t xml:space="preserve"> i </w:t>
      </w:r>
      <w:r w:rsidRPr="00404DA5">
        <w:rPr>
          <w:rFonts w:cs="Calibri"/>
          <w:szCs w:val="20"/>
        </w:rPr>
        <w:t xml:space="preserve">łatwością </w:t>
      </w:r>
      <w:r w:rsidR="00AE7A5F" w:rsidRPr="00404DA5">
        <w:rPr>
          <w:rFonts w:cs="Calibri"/>
          <w:szCs w:val="20"/>
        </w:rPr>
        <w:t>zarządzania</w:t>
      </w:r>
      <w:r w:rsidRPr="00404DA5">
        <w:rPr>
          <w:rFonts w:cs="Calibri"/>
          <w:szCs w:val="20"/>
        </w:rPr>
        <w:t xml:space="preserve"> tego rodzaju projektami. Dotychczas obserwowane zainteresowanie Działaniem 8.10, długa lista wniosków rezerwowych oraz deklarowane</w:t>
      </w:r>
      <w:r w:rsidR="00E66B89">
        <w:rPr>
          <w:rFonts w:cs="Calibri"/>
          <w:szCs w:val="20"/>
        </w:rPr>
        <w:t xml:space="preserve"> w </w:t>
      </w:r>
      <w:r w:rsidRPr="00404DA5">
        <w:rPr>
          <w:rFonts w:cs="Calibri"/>
          <w:szCs w:val="20"/>
        </w:rPr>
        <w:t>badaniu CAWI zainteresowanie potencjalnych wnioskodawców (41 wskazań) świadczą</w:t>
      </w:r>
      <w:r w:rsidR="00E66B89">
        <w:rPr>
          <w:rFonts w:cs="Calibri"/>
          <w:szCs w:val="20"/>
        </w:rPr>
        <w:t xml:space="preserve"> o </w:t>
      </w:r>
      <w:r w:rsidRPr="00404DA5">
        <w:rPr>
          <w:rFonts w:cs="Calibri"/>
          <w:szCs w:val="20"/>
        </w:rPr>
        <w:t>wysokim potencjale aplikacyjnym</w:t>
      </w:r>
      <w:r w:rsidR="00E66B89">
        <w:rPr>
          <w:rFonts w:cs="Calibri"/>
          <w:szCs w:val="20"/>
        </w:rPr>
        <w:t xml:space="preserve"> i </w:t>
      </w:r>
      <w:r w:rsidRPr="00404DA5">
        <w:rPr>
          <w:rFonts w:cs="Calibri"/>
          <w:szCs w:val="20"/>
        </w:rPr>
        <w:t>absorpcyjnym</w:t>
      </w:r>
      <w:r>
        <w:rPr>
          <w:rFonts w:cs="Calibri"/>
          <w:szCs w:val="20"/>
        </w:rPr>
        <w:t xml:space="preserve"> Działania</w:t>
      </w:r>
      <w:r w:rsidRPr="00404DA5">
        <w:rPr>
          <w:rFonts w:cs="Calibri"/>
          <w:szCs w:val="20"/>
        </w:rPr>
        <w:t>. Istniejący potencjał aplikacyjny zwiększają jeszcze zmiany</w:t>
      </w:r>
      <w:r w:rsidR="00E66B89">
        <w:rPr>
          <w:rFonts w:cs="Calibri"/>
          <w:szCs w:val="20"/>
        </w:rPr>
        <w:t xml:space="preserve"> w </w:t>
      </w:r>
      <w:r w:rsidRPr="00404DA5">
        <w:rPr>
          <w:rFonts w:cs="Calibri"/>
          <w:szCs w:val="20"/>
        </w:rPr>
        <w:t xml:space="preserve">kryteriach dostępu, w których </w:t>
      </w:r>
      <w:r>
        <w:rPr>
          <w:rFonts w:cs="Calibri"/>
          <w:szCs w:val="20"/>
        </w:rPr>
        <w:t>zrezygnowano</w:t>
      </w:r>
      <w:r w:rsidR="00E66B89">
        <w:rPr>
          <w:rFonts w:cs="Calibri"/>
          <w:szCs w:val="20"/>
        </w:rPr>
        <w:t xml:space="preserve"> z </w:t>
      </w:r>
      <w:r>
        <w:rPr>
          <w:rFonts w:cs="Calibri"/>
          <w:szCs w:val="20"/>
        </w:rPr>
        <w:t>zapisu wymagającego od wnioskodawców</w:t>
      </w:r>
      <w:r w:rsidR="00C22C26">
        <w:rPr>
          <w:rFonts w:cs="Calibri"/>
          <w:szCs w:val="20"/>
        </w:rPr>
        <w:t xml:space="preserve"> </w:t>
      </w:r>
      <w:r>
        <w:rPr>
          <w:rFonts w:cs="Calibri"/>
          <w:szCs w:val="20"/>
        </w:rPr>
        <w:t xml:space="preserve">prowadzenia </w:t>
      </w:r>
      <w:r w:rsidRPr="00404DA5">
        <w:rPr>
          <w:rFonts w:cs="Calibri"/>
          <w:szCs w:val="20"/>
        </w:rPr>
        <w:t>działalnoś</w:t>
      </w:r>
      <w:r>
        <w:rPr>
          <w:rFonts w:cs="Calibri"/>
          <w:szCs w:val="20"/>
        </w:rPr>
        <w:t>ci</w:t>
      </w:r>
      <w:r w:rsidRPr="00404DA5">
        <w:rPr>
          <w:rFonts w:cs="Calibri"/>
          <w:szCs w:val="20"/>
        </w:rPr>
        <w:t xml:space="preserve"> na terenie województwa zachodniopomorskiego.</w:t>
      </w:r>
      <w:r w:rsidR="00E66B89">
        <w:rPr>
          <w:rFonts w:cs="Calibri"/>
          <w:szCs w:val="20"/>
        </w:rPr>
        <w:t xml:space="preserve"> W </w:t>
      </w:r>
      <w:r>
        <w:rPr>
          <w:rFonts w:cs="Calibri"/>
          <w:szCs w:val="20"/>
        </w:rPr>
        <w:t>realizowanych dotychczas naborach w</w:t>
      </w:r>
      <w:r w:rsidRPr="00404DA5">
        <w:rPr>
          <w:rFonts w:cs="Calibri"/>
          <w:szCs w:val="20"/>
        </w:rPr>
        <w:t>iele projektów zostało odrzuconych, ponieważ nie spełniało tego kryterium.</w:t>
      </w:r>
    </w:p>
    <w:p w14:paraId="390B6260" w14:textId="77777777" w:rsidR="00050FB4" w:rsidRPr="00972CCF" w:rsidRDefault="00050FB4" w:rsidP="00050FB4">
      <w:pPr>
        <w:spacing w:after="0"/>
        <w:rPr>
          <w:szCs w:val="20"/>
        </w:rPr>
      </w:pPr>
      <w:r w:rsidRPr="00404DA5">
        <w:rPr>
          <w:rFonts w:cs="Calibri"/>
          <w:szCs w:val="20"/>
        </w:rPr>
        <w:t>Dzięki braku groźby nieosiągnięcia wskaźników</w:t>
      </w:r>
      <w:r>
        <w:rPr>
          <w:rFonts w:cs="Calibri"/>
          <w:szCs w:val="20"/>
        </w:rPr>
        <w:t>,</w:t>
      </w:r>
      <w:r w:rsidRPr="00404DA5">
        <w:rPr>
          <w:rFonts w:cs="Calibri"/>
          <w:szCs w:val="20"/>
        </w:rPr>
        <w:t xml:space="preserve"> przedstawiciele </w:t>
      </w:r>
      <w:r>
        <w:rPr>
          <w:rFonts w:cs="Calibri"/>
          <w:szCs w:val="20"/>
        </w:rPr>
        <w:t>IP</w:t>
      </w:r>
      <w:r w:rsidRPr="00404DA5">
        <w:rPr>
          <w:rFonts w:cs="Calibri"/>
          <w:szCs w:val="20"/>
        </w:rPr>
        <w:t xml:space="preserve"> starają się przed ogłoszeniem kolejnego naboru zmienić jego zasady, tak żeby trafniej ukierunkować wsparcie</w:t>
      </w:r>
      <w:r w:rsidR="00E66B89">
        <w:rPr>
          <w:rFonts w:cs="Calibri"/>
          <w:szCs w:val="20"/>
        </w:rPr>
        <w:t xml:space="preserve"> i </w:t>
      </w:r>
      <w:r w:rsidRPr="00404DA5">
        <w:rPr>
          <w:rFonts w:cs="Calibri"/>
          <w:szCs w:val="20"/>
        </w:rPr>
        <w:t xml:space="preserve">zlikwidować sytuację konkurencji </w:t>
      </w:r>
      <w:r w:rsidR="00AE7A5F" w:rsidRPr="00404DA5">
        <w:rPr>
          <w:rFonts w:cs="Calibri"/>
          <w:szCs w:val="20"/>
        </w:rPr>
        <w:t>mi</w:t>
      </w:r>
      <w:r w:rsidR="00AE7A5F">
        <w:rPr>
          <w:rFonts w:cs="Calibri"/>
          <w:szCs w:val="20"/>
        </w:rPr>
        <w:t>ę</w:t>
      </w:r>
      <w:r w:rsidR="00AE7A5F" w:rsidRPr="00404DA5">
        <w:rPr>
          <w:rFonts w:cs="Calibri"/>
          <w:szCs w:val="20"/>
        </w:rPr>
        <w:t xml:space="preserve">dzy </w:t>
      </w:r>
      <w:r w:rsidRPr="00404DA5">
        <w:rPr>
          <w:rFonts w:cs="Calibri"/>
          <w:szCs w:val="20"/>
        </w:rPr>
        <w:t>projektami</w:t>
      </w:r>
      <w:r w:rsidR="00E66B89">
        <w:rPr>
          <w:rFonts w:cs="Calibri"/>
          <w:szCs w:val="20"/>
        </w:rPr>
        <w:t xml:space="preserve"> o </w:t>
      </w:r>
      <w:r w:rsidRPr="00404DA5">
        <w:rPr>
          <w:rFonts w:cs="Calibri"/>
          <w:szCs w:val="20"/>
        </w:rPr>
        <w:t>uczestników. Intencją jest wybór</w:t>
      </w:r>
      <w:r>
        <w:rPr>
          <w:rFonts w:cs="Calibri"/>
          <w:szCs w:val="20"/>
        </w:rPr>
        <w:t xml:space="preserve"> dwóch</w:t>
      </w:r>
      <w:r w:rsidRPr="00404DA5">
        <w:rPr>
          <w:rFonts w:cs="Calibri"/>
          <w:szCs w:val="20"/>
        </w:rPr>
        <w:t xml:space="preserve"> operator</w:t>
      </w:r>
      <w:r>
        <w:rPr>
          <w:rFonts w:cs="Calibri"/>
          <w:szCs w:val="20"/>
        </w:rPr>
        <w:t xml:space="preserve">ów </w:t>
      </w:r>
      <w:r w:rsidRPr="00404DA5">
        <w:rPr>
          <w:rFonts w:cs="Calibri"/>
          <w:szCs w:val="20"/>
        </w:rPr>
        <w:t>(pośrednik</w:t>
      </w:r>
      <w:r>
        <w:rPr>
          <w:rFonts w:cs="Calibri"/>
          <w:szCs w:val="20"/>
        </w:rPr>
        <w:t>ów</w:t>
      </w:r>
      <w:r w:rsidRPr="00404DA5">
        <w:rPr>
          <w:rFonts w:cs="Calibri"/>
          <w:szCs w:val="20"/>
        </w:rPr>
        <w:t>) na dany region</w:t>
      </w:r>
      <w:r>
        <w:rPr>
          <w:rFonts w:cs="Calibri"/>
          <w:szCs w:val="20"/>
        </w:rPr>
        <w:t>. Jeden</w:t>
      </w:r>
      <w:r w:rsidR="00E66B89">
        <w:rPr>
          <w:rFonts w:cs="Calibri"/>
          <w:szCs w:val="20"/>
        </w:rPr>
        <w:t xml:space="preserve"> z </w:t>
      </w:r>
      <w:r>
        <w:rPr>
          <w:rFonts w:cs="Calibri"/>
          <w:szCs w:val="20"/>
        </w:rPr>
        <w:t xml:space="preserve">nich </w:t>
      </w:r>
      <w:r w:rsidRPr="00404DA5">
        <w:rPr>
          <w:rFonts w:cs="Calibri"/>
          <w:szCs w:val="20"/>
        </w:rPr>
        <w:t>będzie oferował wsparcie na rozwój kompetencji językowych</w:t>
      </w:r>
      <w:r>
        <w:rPr>
          <w:rFonts w:cs="Calibri"/>
          <w:szCs w:val="20"/>
        </w:rPr>
        <w:t>,</w:t>
      </w:r>
      <w:r w:rsidR="00E66B89">
        <w:rPr>
          <w:rFonts w:cs="Calibri"/>
          <w:szCs w:val="20"/>
        </w:rPr>
        <w:t xml:space="preserve"> a </w:t>
      </w:r>
      <w:r>
        <w:rPr>
          <w:rFonts w:cs="Calibri"/>
          <w:szCs w:val="20"/>
        </w:rPr>
        <w:t>drugi</w:t>
      </w:r>
      <w:r w:rsidR="00E66B89">
        <w:rPr>
          <w:rFonts w:cs="Calibri"/>
          <w:szCs w:val="20"/>
        </w:rPr>
        <w:t xml:space="preserve"> w </w:t>
      </w:r>
      <w:r w:rsidRPr="00404DA5">
        <w:rPr>
          <w:rFonts w:cs="Calibri"/>
          <w:szCs w:val="20"/>
        </w:rPr>
        <w:t>zakresie TIK.</w:t>
      </w:r>
      <w:r>
        <w:rPr>
          <w:rFonts w:cs="Calibri"/>
          <w:szCs w:val="20"/>
        </w:rPr>
        <w:t xml:space="preserve"> </w:t>
      </w:r>
    </w:p>
    <w:p w14:paraId="04C9C3D6"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t>Prognozy osiągnięcia celów zakładanych na 2023 rok</w:t>
      </w:r>
    </w:p>
    <w:p w14:paraId="4B6A9CBE" w14:textId="77777777" w:rsidR="00050FB4" w:rsidRPr="00404DA5" w:rsidRDefault="00050FB4" w:rsidP="00050FB4">
      <w:pPr>
        <w:rPr>
          <w:rFonts w:cs="Calibri"/>
          <w:szCs w:val="20"/>
        </w:rPr>
      </w:pPr>
      <w:r w:rsidRPr="00404DA5">
        <w:rPr>
          <w:rFonts w:cs="Calibri"/>
          <w:szCs w:val="20"/>
        </w:rPr>
        <w:t>Na dzień 7.01.2019 kwota wciąż dostępnej</w:t>
      </w:r>
      <w:r w:rsidR="00E66B89">
        <w:rPr>
          <w:rFonts w:cs="Calibri"/>
          <w:szCs w:val="20"/>
        </w:rPr>
        <w:t xml:space="preserve"> w </w:t>
      </w:r>
      <w:r w:rsidRPr="00404DA5">
        <w:rPr>
          <w:rFonts w:cs="Calibri"/>
          <w:szCs w:val="20"/>
        </w:rPr>
        <w:t>Działaniu 8.10 alokacji wynosi 21 392 883,53 zł. Uwzględniając pozostałą alokację oraz koszt jednostkowy</w:t>
      </w:r>
      <w:r>
        <w:rPr>
          <w:rFonts w:cs="Calibri"/>
          <w:szCs w:val="20"/>
        </w:rPr>
        <w:t xml:space="preserve"> wskaźników</w:t>
      </w:r>
      <w:r w:rsidR="00E66B89">
        <w:rPr>
          <w:rFonts w:cs="Calibri"/>
          <w:szCs w:val="20"/>
        </w:rPr>
        <w:t xml:space="preserve"> w </w:t>
      </w:r>
      <w:r w:rsidRPr="00404DA5">
        <w:rPr>
          <w:rFonts w:cs="Calibri"/>
          <w:szCs w:val="20"/>
        </w:rPr>
        <w:t>zakończonych już projektach, zachodzi ryzyko nieosiągnięcia dwóch wskaźników. Prognozowana wartość docelowa</w:t>
      </w:r>
      <w:r w:rsidR="00E66B89">
        <w:rPr>
          <w:rFonts w:cs="Calibri"/>
          <w:szCs w:val="20"/>
        </w:rPr>
        <w:t xml:space="preserve"> w </w:t>
      </w:r>
      <w:r w:rsidRPr="00404DA5">
        <w:rPr>
          <w:rFonts w:cs="Calibri"/>
          <w:szCs w:val="20"/>
        </w:rPr>
        <w:t xml:space="preserve">2023 roku wskaźnika </w:t>
      </w:r>
      <w:r w:rsidRPr="00404DA5">
        <w:rPr>
          <w:rFonts w:cs="Calibri"/>
          <w:i/>
          <w:szCs w:val="20"/>
        </w:rPr>
        <w:t>Liczba osób</w:t>
      </w:r>
      <w:r w:rsidR="00E66B89">
        <w:rPr>
          <w:rFonts w:cs="Calibri"/>
          <w:i/>
          <w:szCs w:val="20"/>
        </w:rPr>
        <w:t xml:space="preserve"> o </w:t>
      </w:r>
      <w:r w:rsidRPr="00404DA5">
        <w:rPr>
          <w:rFonts w:cs="Calibri"/>
          <w:i/>
          <w:szCs w:val="20"/>
        </w:rPr>
        <w:t>niskich kwalifikacjach, 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wyniesie 95%,</w:t>
      </w:r>
      <w:r w:rsidR="00E66B89">
        <w:rPr>
          <w:rFonts w:cs="Calibri"/>
          <w:szCs w:val="20"/>
        </w:rPr>
        <w:t xml:space="preserve"> a </w:t>
      </w:r>
      <w:r>
        <w:rPr>
          <w:rFonts w:cs="Calibri"/>
          <w:szCs w:val="20"/>
        </w:rPr>
        <w:t>wskaźnika</w:t>
      </w:r>
      <w:r w:rsidRPr="00404DA5">
        <w:rPr>
          <w:rFonts w:cs="Calibri"/>
          <w:szCs w:val="20"/>
        </w:rPr>
        <w:t xml:space="preserve"> </w:t>
      </w:r>
      <w:r w:rsidRPr="00404DA5">
        <w:rPr>
          <w:rFonts w:cs="Calibri"/>
          <w:i/>
          <w:szCs w:val="20"/>
        </w:rPr>
        <w:t>Liczba osób</w:t>
      </w:r>
      <w:r w:rsidR="00E66B89">
        <w:rPr>
          <w:rFonts w:cs="Calibri"/>
          <w:i/>
          <w:szCs w:val="20"/>
        </w:rPr>
        <w:t xml:space="preserve"> w </w:t>
      </w:r>
      <w:r w:rsidRPr="00404DA5">
        <w:rPr>
          <w:rFonts w:cs="Calibri"/>
          <w:i/>
          <w:szCs w:val="20"/>
        </w:rPr>
        <w:t>wieku 25 lat</w:t>
      </w:r>
      <w:r w:rsidR="00E66B89">
        <w:rPr>
          <w:rFonts w:cs="Calibri"/>
          <w:i/>
          <w:szCs w:val="20"/>
        </w:rPr>
        <w:t xml:space="preserve"> i </w:t>
      </w:r>
      <w:r w:rsidRPr="00404DA5">
        <w:rPr>
          <w:rFonts w:cs="Calibri"/>
          <w:i/>
          <w:szCs w:val="20"/>
        </w:rPr>
        <w:t>więcej 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 88%.</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wyższymi</w:t>
      </w:r>
      <w:r>
        <w:rPr>
          <w:rFonts w:cs="Calibri"/>
          <w:szCs w:val="20"/>
        </w:rPr>
        <w:t>,</w:t>
      </w:r>
      <w:r w:rsidRPr="00404DA5">
        <w:rPr>
          <w:rFonts w:cs="Calibri"/>
          <w:szCs w:val="20"/>
        </w:rPr>
        <w:t xml:space="preserve"> od zakładanych</w:t>
      </w:r>
      <w:r>
        <w:rPr>
          <w:rFonts w:cs="Calibri"/>
          <w:szCs w:val="20"/>
        </w:rPr>
        <w:t>,</w:t>
      </w:r>
      <w:r w:rsidRPr="00404DA5">
        <w:rPr>
          <w:rFonts w:cs="Calibri"/>
          <w:szCs w:val="20"/>
        </w:rPr>
        <w:t xml:space="preserve"> koszt</w:t>
      </w:r>
      <w:r>
        <w:rPr>
          <w:rFonts w:cs="Calibri"/>
          <w:szCs w:val="20"/>
        </w:rPr>
        <w:t>ami</w:t>
      </w:r>
      <w:r w:rsidRPr="00404DA5">
        <w:rPr>
          <w:rFonts w:cs="Calibri"/>
          <w:szCs w:val="20"/>
        </w:rPr>
        <w:t xml:space="preserve"> jednostkowy</w:t>
      </w:r>
      <w:r>
        <w:rPr>
          <w:rFonts w:cs="Calibri"/>
          <w:szCs w:val="20"/>
        </w:rPr>
        <w:t>mi</w:t>
      </w:r>
      <w:r w:rsidRPr="00404DA5">
        <w:rPr>
          <w:rFonts w:cs="Calibri"/>
          <w:szCs w:val="20"/>
        </w:rPr>
        <w:t xml:space="preserve"> na osiągniecie powyższych wskaźników rezultatu</w:t>
      </w:r>
      <w:r>
        <w:rPr>
          <w:rFonts w:cs="Calibri"/>
          <w:szCs w:val="20"/>
        </w:rPr>
        <w:t>,</w:t>
      </w:r>
      <w:r w:rsidRPr="00404DA5">
        <w:rPr>
          <w:rFonts w:cs="Calibri"/>
          <w:szCs w:val="20"/>
        </w:rPr>
        <w:t xml:space="preserve"> zabraknie</w:t>
      </w:r>
      <w:r w:rsidR="00E66B89">
        <w:rPr>
          <w:rFonts w:cs="Calibri"/>
          <w:szCs w:val="20"/>
        </w:rPr>
        <w:t xml:space="preserve"> w </w:t>
      </w:r>
      <w:r w:rsidRPr="00404DA5">
        <w:rPr>
          <w:rFonts w:cs="Calibri"/>
          <w:szCs w:val="20"/>
        </w:rPr>
        <w:t>Działaniu około 8 mln zł.</w:t>
      </w:r>
    </w:p>
    <w:p w14:paraId="540C011C" w14:textId="77777777" w:rsidR="00050FB4" w:rsidRPr="00404DA5" w:rsidRDefault="00050FB4" w:rsidP="00050FB4">
      <w:pPr>
        <w:rPr>
          <w:rFonts w:cs="Calibri"/>
          <w:color w:val="FF0000"/>
          <w:szCs w:val="20"/>
        </w:rPr>
      </w:pPr>
      <w:r w:rsidRPr="00404DA5">
        <w:rPr>
          <w:rFonts w:cs="Calibri"/>
          <w:szCs w:val="20"/>
        </w:rPr>
        <w:t>Poza opisanymi wyżej dwoma wskaźnikami</w:t>
      </w:r>
      <w:r>
        <w:rPr>
          <w:rFonts w:cs="Calibri"/>
          <w:szCs w:val="20"/>
        </w:rPr>
        <w:t>,</w:t>
      </w:r>
      <w:r w:rsidRPr="00404DA5">
        <w:rPr>
          <w:rFonts w:cs="Calibri"/>
          <w:szCs w:val="20"/>
        </w:rPr>
        <w:t xml:space="preserve"> pozostałe mierniki rezultatu zostaną osiągnięte</w:t>
      </w:r>
      <w:r w:rsidR="00E66B89">
        <w:rPr>
          <w:rFonts w:cs="Calibri"/>
          <w:szCs w:val="20"/>
        </w:rPr>
        <w:t xml:space="preserve"> w </w:t>
      </w:r>
      <w:r w:rsidRPr="00404DA5">
        <w:rPr>
          <w:rFonts w:cs="Calibri"/>
          <w:szCs w:val="20"/>
        </w:rPr>
        <w:t xml:space="preserve">stopniu zadowalającym. Zakładany poziom osiągnięcia wartości wskaźników rezultatu nie jest jednak tak wysoki, żeby pozwalał na przesunięcia środków na typy projektów, które pozwolą osiągnąć docelową wartość </w:t>
      </w:r>
      <w:r w:rsidRPr="00404DA5">
        <w:rPr>
          <w:rFonts w:cs="Calibri"/>
          <w:szCs w:val="20"/>
        </w:rPr>
        <w:lastRenderedPageBreak/>
        <w:t xml:space="preserve">wskaźników </w:t>
      </w:r>
      <w:r w:rsidRPr="00404DA5">
        <w:rPr>
          <w:rFonts w:cs="Calibri"/>
          <w:i/>
          <w:szCs w:val="20"/>
        </w:rPr>
        <w:t>Liczba osób</w:t>
      </w:r>
      <w:r w:rsidR="00E66B89">
        <w:rPr>
          <w:rFonts w:cs="Calibri"/>
          <w:i/>
          <w:szCs w:val="20"/>
        </w:rPr>
        <w:t xml:space="preserve"> o </w:t>
      </w:r>
      <w:r w:rsidRPr="00404DA5">
        <w:rPr>
          <w:rFonts w:cs="Calibri"/>
          <w:i/>
          <w:szCs w:val="20"/>
        </w:rPr>
        <w:t>niskich kwalifikacjach, objętych wsparciem</w:t>
      </w:r>
      <w:r w:rsidR="00E66B89">
        <w:rPr>
          <w:rFonts w:cs="Calibri"/>
          <w:i/>
          <w:szCs w:val="20"/>
        </w:rPr>
        <w:t xml:space="preserve"> w </w:t>
      </w:r>
      <w:r w:rsidRPr="00404DA5">
        <w:rPr>
          <w:rFonts w:cs="Calibri"/>
          <w:i/>
          <w:szCs w:val="20"/>
        </w:rPr>
        <w:t xml:space="preserve">programie </w:t>
      </w:r>
      <w:r w:rsidRPr="00404DA5">
        <w:rPr>
          <w:rFonts w:cs="Calibri"/>
          <w:szCs w:val="20"/>
        </w:rPr>
        <w:t xml:space="preserve">oraz </w:t>
      </w:r>
      <w:r w:rsidRPr="00404DA5">
        <w:rPr>
          <w:rFonts w:cs="Calibri"/>
          <w:i/>
          <w:szCs w:val="20"/>
        </w:rPr>
        <w:t>Liczba osób</w:t>
      </w:r>
      <w:r w:rsidR="00E66B89">
        <w:rPr>
          <w:rFonts w:cs="Calibri"/>
          <w:i/>
          <w:szCs w:val="20"/>
        </w:rPr>
        <w:t xml:space="preserve"> w </w:t>
      </w:r>
      <w:r w:rsidRPr="00404DA5">
        <w:rPr>
          <w:rFonts w:cs="Calibri"/>
          <w:i/>
          <w:szCs w:val="20"/>
        </w:rPr>
        <w:t>wieku 25 lat</w:t>
      </w:r>
      <w:r w:rsidR="00E66B89">
        <w:rPr>
          <w:rFonts w:cs="Calibri"/>
          <w:i/>
          <w:szCs w:val="20"/>
        </w:rPr>
        <w:t xml:space="preserve"> i </w:t>
      </w:r>
      <w:r w:rsidRPr="00404DA5">
        <w:rPr>
          <w:rFonts w:cs="Calibri"/>
          <w:i/>
          <w:szCs w:val="20"/>
        </w:rPr>
        <w:t>więcej objętych wsparciem</w:t>
      </w:r>
      <w:r w:rsidR="00E66B89">
        <w:rPr>
          <w:rFonts w:cs="Calibri"/>
          <w:i/>
          <w:szCs w:val="20"/>
        </w:rPr>
        <w:t xml:space="preserve"> w </w:t>
      </w:r>
      <w:r w:rsidRPr="00404DA5">
        <w:rPr>
          <w:rFonts w:cs="Calibri"/>
          <w:i/>
          <w:szCs w:val="20"/>
        </w:rPr>
        <w:t>programie.</w:t>
      </w:r>
    </w:p>
    <w:p w14:paraId="6B937213" w14:textId="77777777" w:rsidR="00050FB4" w:rsidRPr="00FE73B6" w:rsidRDefault="00050FB4" w:rsidP="00FE73B6">
      <w:pPr>
        <w:pStyle w:val="Legenda"/>
        <w:spacing w:after="0"/>
      </w:pPr>
      <w:bookmarkStart w:id="327" w:name="_Toc3896888"/>
      <w:bookmarkStart w:id="328" w:name="_Toc8824251"/>
      <w:r w:rsidRPr="00FE73B6">
        <w:t xml:space="preserve">Tabela </w:t>
      </w:r>
      <w:r w:rsidRPr="00FE73B6">
        <w:fldChar w:fldCharType="begin"/>
      </w:r>
      <w:r w:rsidRPr="00FE73B6">
        <w:instrText xml:space="preserve"> SEQ Tabela \* ARABIC </w:instrText>
      </w:r>
      <w:r w:rsidRPr="00FE73B6">
        <w:fldChar w:fldCharType="separate"/>
      </w:r>
      <w:r w:rsidR="00763345">
        <w:rPr>
          <w:noProof/>
        </w:rPr>
        <w:t>140</w:t>
      </w:r>
      <w:r w:rsidRPr="00FE73B6">
        <w:fldChar w:fldCharType="end"/>
      </w:r>
      <w:r w:rsidRPr="00FE73B6">
        <w:t xml:space="preserve"> Prognozowany poziom realizacji wskaźników produktu</w:t>
      </w:r>
      <w:r w:rsidR="00E66B89" w:rsidRPr="00FE73B6">
        <w:t xml:space="preserve"> i </w:t>
      </w:r>
      <w:r w:rsidRPr="00FE73B6">
        <w:t>rezultatu bezpośredniego na rok 2023 – PI 10iii</w:t>
      </w:r>
      <w:bookmarkEnd w:id="327"/>
      <w:bookmarkEnd w:id="328"/>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54"/>
        <w:gridCol w:w="1419"/>
        <w:gridCol w:w="1995"/>
        <w:gridCol w:w="2000"/>
      </w:tblGrid>
      <w:tr w:rsidR="00050FB4" w:rsidRPr="00FE43CD" w14:paraId="18896399" w14:textId="77777777" w:rsidTr="00C22C26">
        <w:trPr>
          <w:trHeight w:val="846"/>
          <w:tblHeader/>
        </w:trPr>
        <w:tc>
          <w:tcPr>
            <w:tcW w:w="826" w:type="pct"/>
            <w:shd w:val="clear" w:color="auto" w:fill="DBE5F1"/>
          </w:tcPr>
          <w:p w14:paraId="128C3A1E" w14:textId="77777777" w:rsidR="00050FB4" w:rsidRPr="00404DA5" w:rsidRDefault="00050FB4" w:rsidP="00050FB4">
            <w:pPr>
              <w:jc w:val="center"/>
              <w:rPr>
                <w:rFonts w:cs="Calibri"/>
                <w:sz w:val="18"/>
                <w:szCs w:val="18"/>
              </w:rPr>
            </w:pPr>
            <w:r w:rsidRPr="00404DA5">
              <w:rPr>
                <w:rFonts w:cs="Calibri"/>
                <w:sz w:val="18"/>
                <w:szCs w:val="18"/>
              </w:rPr>
              <w:t>Typ wskaźnika</w:t>
            </w:r>
          </w:p>
        </w:tc>
        <w:tc>
          <w:tcPr>
            <w:tcW w:w="1148" w:type="pct"/>
            <w:shd w:val="clear" w:color="auto" w:fill="DBE5F1"/>
          </w:tcPr>
          <w:p w14:paraId="289E4414" w14:textId="77777777" w:rsidR="00050FB4" w:rsidRPr="00404DA5" w:rsidRDefault="00050FB4" w:rsidP="00050FB4">
            <w:pPr>
              <w:jc w:val="center"/>
              <w:rPr>
                <w:rFonts w:cs="Calibri"/>
                <w:sz w:val="18"/>
                <w:szCs w:val="18"/>
              </w:rPr>
            </w:pPr>
            <w:r w:rsidRPr="00404DA5">
              <w:rPr>
                <w:rFonts w:cs="Calibri"/>
                <w:sz w:val="18"/>
                <w:szCs w:val="18"/>
              </w:rPr>
              <w:t>Wskaźnik</w:t>
            </w:r>
          </w:p>
        </w:tc>
        <w:tc>
          <w:tcPr>
            <w:tcW w:w="793" w:type="pct"/>
            <w:shd w:val="clear" w:color="auto" w:fill="DBE5F1"/>
          </w:tcPr>
          <w:p w14:paraId="5AA66910" w14:textId="77777777" w:rsidR="00050FB4" w:rsidRPr="00404DA5" w:rsidRDefault="00050FB4" w:rsidP="00050FB4">
            <w:pPr>
              <w:jc w:val="center"/>
              <w:rPr>
                <w:rFonts w:cs="Calibri"/>
                <w:sz w:val="18"/>
                <w:szCs w:val="18"/>
              </w:rPr>
            </w:pPr>
            <w:r w:rsidRPr="00404DA5">
              <w:rPr>
                <w:rFonts w:cs="Calibri"/>
                <w:sz w:val="18"/>
                <w:szCs w:val="18"/>
              </w:rPr>
              <w:t>Wartość docelowa określona na 2023 rok</w:t>
            </w:r>
          </w:p>
        </w:tc>
        <w:tc>
          <w:tcPr>
            <w:tcW w:w="1115" w:type="pct"/>
            <w:shd w:val="clear" w:color="auto" w:fill="DBE5F1"/>
          </w:tcPr>
          <w:p w14:paraId="3D1974B0" w14:textId="77777777" w:rsidR="00050FB4" w:rsidRPr="00404DA5" w:rsidRDefault="00050FB4" w:rsidP="00050FB4">
            <w:pPr>
              <w:jc w:val="center"/>
              <w:rPr>
                <w:rFonts w:cs="Calibri"/>
                <w:sz w:val="18"/>
                <w:szCs w:val="18"/>
              </w:rPr>
            </w:pPr>
            <w:r w:rsidRPr="00404DA5">
              <w:rPr>
                <w:rFonts w:cs="Calibri"/>
                <w:sz w:val="18"/>
                <w:szCs w:val="18"/>
              </w:rPr>
              <w:t xml:space="preserve">Prognozowana całkowita wartość wskaźnika </w:t>
            </w:r>
          </w:p>
        </w:tc>
        <w:tc>
          <w:tcPr>
            <w:tcW w:w="1118" w:type="pct"/>
            <w:shd w:val="clear" w:color="auto" w:fill="DBE5F1"/>
          </w:tcPr>
          <w:p w14:paraId="149E50AB" w14:textId="77777777" w:rsidR="00050FB4" w:rsidRPr="00404DA5" w:rsidRDefault="00050FB4" w:rsidP="00050FB4">
            <w:pPr>
              <w:jc w:val="center"/>
              <w:rPr>
                <w:rFonts w:cs="Calibri"/>
                <w:sz w:val="18"/>
                <w:szCs w:val="18"/>
              </w:rPr>
            </w:pPr>
            <w:r w:rsidRPr="00404DA5">
              <w:rPr>
                <w:rFonts w:cs="Calibri"/>
                <w:sz w:val="18"/>
                <w:szCs w:val="18"/>
              </w:rPr>
              <w:t>Prognozowany % realizacji wartości docelowej</w:t>
            </w:r>
          </w:p>
        </w:tc>
      </w:tr>
      <w:tr w:rsidR="00050FB4" w:rsidRPr="00FE43CD" w14:paraId="10718FF6" w14:textId="77777777" w:rsidTr="00050FB4">
        <w:trPr>
          <w:trHeight w:val="657"/>
        </w:trPr>
        <w:tc>
          <w:tcPr>
            <w:tcW w:w="826" w:type="pct"/>
            <w:shd w:val="clear" w:color="auto" w:fill="auto"/>
            <w:vAlign w:val="center"/>
          </w:tcPr>
          <w:p w14:paraId="69BEB640" w14:textId="77777777" w:rsidR="00050FB4" w:rsidRPr="00404DA5" w:rsidRDefault="00050FB4" w:rsidP="00AE7A5F">
            <w:pPr>
              <w:jc w:val="center"/>
              <w:rPr>
                <w:rFonts w:cs="Calibri"/>
                <w:sz w:val="18"/>
                <w:szCs w:val="18"/>
              </w:rPr>
            </w:pPr>
            <w:r w:rsidRPr="00404DA5">
              <w:rPr>
                <w:rFonts w:cs="Calibri"/>
                <w:sz w:val="18"/>
                <w:szCs w:val="18"/>
              </w:rPr>
              <w:t>WR</w:t>
            </w:r>
          </w:p>
        </w:tc>
        <w:tc>
          <w:tcPr>
            <w:tcW w:w="1148" w:type="pct"/>
            <w:shd w:val="clear" w:color="auto" w:fill="auto"/>
            <w:vAlign w:val="center"/>
          </w:tcPr>
          <w:p w14:paraId="5462B500" w14:textId="77777777" w:rsidR="00050FB4" w:rsidRPr="00404DA5" w:rsidRDefault="00050FB4" w:rsidP="00050FB4">
            <w:pPr>
              <w:rPr>
                <w:rFonts w:cs="Calibri"/>
                <w:sz w:val="18"/>
                <w:szCs w:val="18"/>
              </w:rPr>
            </w:pPr>
            <w:r w:rsidRPr="00404DA5">
              <w:rPr>
                <w:rFonts w:cs="Calibri"/>
                <w:sz w:val="18"/>
                <w:szCs w:val="18"/>
              </w:rPr>
              <w:t>Liczba osób</w:t>
            </w:r>
            <w:r w:rsidR="00E66B89">
              <w:rPr>
                <w:rFonts w:cs="Calibri"/>
                <w:sz w:val="18"/>
                <w:szCs w:val="18"/>
              </w:rPr>
              <w:t xml:space="preserve"> o </w:t>
            </w:r>
            <w:r w:rsidRPr="00404DA5">
              <w:rPr>
                <w:rFonts w:cs="Calibri"/>
                <w:sz w:val="18"/>
                <w:szCs w:val="18"/>
              </w:rPr>
              <w:t>niskich kwalifikacjach, które uzyskały kwalifikacje lub nabyły kompetencje po opuszczeniu programu [osoby]</w:t>
            </w:r>
          </w:p>
        </w:tc>
        <w:tc>
          <w:tcPr>
            <w:tcW w:w="793" w:type="pct"/>
            <w:shd w:val="clear" w:color="auto" w:fill="auto"/>
            <w:vAlign w:val="center"/>
          </w:tcPr>
          <w:p w14:paraId="69C6B596" w14:textId="77777777" w:rsidR="00050FB4" w:rsidRPr="00404DA5" w:rsidRDefault="00050FB4" w:rsidP="00050FB4">
            <w:pPr>
              <w:jc w:val="center"/>
              <w:rPr>
                <w:rFonts w:cs="Calibri"/>
                <w:sz w:val="18"/>
                <w:szCs w:val="18"/>
              </w:rPr>
            </w:pPr>
            <w:r w:rsidRPr="00404DA5">
              <w:rPr>
                <w:rFonts w:cs="Calibri"/>
                <w:sz w:val="18"/>
                <w:szCs w:val="18"/>
              </w:rPr>
              <w:t>61%</w:t>
            </w:r>
          </w:p>
        </w:tc>
        <w:tc>
          <w:tcPr>
            <w:tcW w:w="1115" w:type="pct"/>
            <w:shd w:val="clear" w:color="auto" w:fill="auto"/>
            <w:vAlign w:val="center"/>
          </w:tcPr>
          <w:p w14:paraId="07312D9D" w14:textId="77777777" w:rsidR="00050FB4" w:rsidRDefault="00050FB4" w:rsidP="00050FB4">
            <w:pPr>
              <w:jc w:val="center"/>
              <w:rPr>
                <w:rFonts w:cs="Calibri"/>
                <w:sz w:val="18"/>
                <w:szCs w:val="18"/>
              </w:rPr>
            </w:pPr>
            <w:r>
              <w:rPr>
                <w:rFonts w:cs="Calibri"/>
                <w:sz w:val="18"/>
                <w:szCs w:val="18"/>
              </w:rPr>
              <w:t>83,2%</w:t>
            </w:r>
          </w:p>
          <w:p w14:paraId="04AF85A7" w14:textId="77777777" w:rsidR="00050FB4" w:rsidRPr="00404DA5" w:rsidRDefault="00050FB4" w:rsidP="00050FB4">
            <w:pPr>
              <w:jc w:val="center"/>
              <w:rPr>
                <w:rFonts w:cs="Calibri"/>
                <w:sz w:val="18"/>
                <w:szCs w:val="18"/>
              </w:rPr>
            </w:pPr>
            <w:r>
              <w:rPr>
                <w:rFonts w:cs="Calibri"/>
                <w:sz w:val="18"/>
                <w:szCs w:val="18"/>
              </w:rPr>
              <w:t>(</w:t>
            </w:r>
            <w:r w:rsidRPr="00404DA5">
              <w:rPr>
                <w:rFonts w:cs="Calibri"/>
                <w:sz w:val="18"/>
                <w:szCs w:val="18"/>
              </w:rPr>
              <w:t>11</w:t>
            </w:r>
            <w:r>
              <w:rPr>
                <w:rFonts w:cs="Calibri"/>
                <w:sz w:val="18"/>
                <w:szCs w:val="18"/>
              </w:rPr>
              <w:t> </w:t>
            </w:r>
            <w:r w:rsidRPr="00404DA5">
              <w:rPr>
                <w:rFonts w:cs="Calibri"/>
                <w:sz w:val="18"/>
                <w:szCs w:val="18"/>
              </w:rPr>
              <w:t>645</w:t>
            </w:r>
            <w:r>
              <w:rPr>
                <w:rFonts w:cs="Calibri"/>
                <w:sz w:val="18"/>
                <w:szCs w:val="18"/>
              </w:rPr>
              <w:t>)</w:t>
            </w:r>
          </w:p>
        </w:tc>
        <w:tc>
          <w:tcPr>
            <w:tcW w:w="1118" w:type="pct"/>
            <w:shd w:val="clear" w:color="auto" w:fill="auto"/>
            <w:vAlign w:val="center"/>
          </w:tcPr>
          <w:p w14:paraId="5CA7122F" w14:textId="77777777" w:rsidR="00050FB4" w:rsidRPr="00404DA5" w:rsidRDefault="00050FB4" w:rsidP="00050FB4">
            <w:pPr>
              <w:jc w:val="center"/>
              <w:rPr>
                <w:rFonts w:cs="Calibri"/>
                <w:sz w:val="18"/>
                <w:szCs w:val="18"/>
              </w:rPr>
            </w:pPr>
            <w:r w:rsidRPr="00404DA5">
              <w:rPr>
                <w:rFonts w:cs="Calibri"/>
                <w:sz w:val="18"/>
                <w:szCs w:val="18"/>
              </w:rPr>
              <w:t>136%</w:t>
            </w:r>
          </w:p>
        </w:tc>
      </w:tr>
      <w:tr w:rsidR="00050FB4" w:rsidRPr="00FE43CD" w14:paraId="6925583E" w14:textId="77777777" w:rsidTr="00050FB4">
        <w:trPr>
          <w:trHeight w:val="672"/>
        </w:trPr>
        <w:tc>
          <w:tcPr>
            <w:tcW w:w="826" w:type="pct"/>
            <w:shd w:val="clear" w:color="auto" w:fill="auto"/>
            <w:vAlign w:val="center"/>
          </w:tcPr>
          <w:p w14:paraId="6FAC7FA5" w14:textId="77777777" w:rsidR="00050FB4" w:rsidRPr="00404DA5" w:rsidRDefault="00050FB4" w:rsidP="00AE7A5F">
            <w:pPr>
              <w:jc w:val="center"/>
              <w:rPr>
                <w:rFonts w:cs="Calibri"/>
                <w:sz w:val="18"/>
                <w:szCs w:val="18"/>
              </w:rPr>
            </w:pPr>
            <w:r w:rsidRPr="00404DA5">
              <w:rPr>
                <w:sz w:val="18"/>
                <w:szCs w:val="18"/>
              </w:rPr>
              <w:t>WP</w:t>
            </w:r>
          </w:p>
        </w:tc>
        <w:tc>
          <w:tcPr>
            <w:tcW w:w="1148" w:type="pct"/>
            <w:shd w:val="clear" w:color="auto" w:fill="auto"/>
            <w:vAlign w:val="center"/>
          </w:tcPr>
          <w:p w14:paraId="47A9CE62" w14:textId="77777777" w:rsidR="00050FB4" w:rsidRPr="00404DA5" w:rsidRDefault="00050FB4" w:rsidP="00050FB4">
            <w:pPr>
              <w:rPr>
                <w:rFonts w:cs="Calibri"/>
                <w:sz w:val="18"/>
                <w:szCs w:val="18"/>
              </w:rPr>
            </w:pPr>
            <w:r w:rsidRPr="00404DA5">
              <w:rPr>
                <w:rFonts w:cs="Calibri"/>
                <w:sz w:val="18"/>
                <w:szCs w:val="18"/>
              </w:rPr>
              <w:t>Liczba osób</w:t>
            </w:r>
            <w:r w:rsidR="00E66B89">
              <w:rPr>
                <w:rFonts w:cs="Calibri"/>
                <w:sz w:val="18"/>
                <w:szCs w:val="18"/>
              </w:rPr>
              <w:t xml:space="preserve"> o </w:t>
            </w:r>
            <w:r w:rsidRPr="00404DA5">
              <w:rPr>
                <w:rFonts w:cs="Calibri"/>
                <w:sz w:val="18"/>
                <w:szCs w:val="18"/>
              </w:rPr>
              <w:t>niskich kwalifikacjach, objętych wsparciem</w:t>
            </w:r>
            <w:r w:rsidR="00E66B89">
              <w:rPr>
                <w:rFonts w:cs="Calibri"/>
                <w:sz w:val="18"/>
                <w:szCs w:val="18"/>
              </w:rPr>
              <w:t xml:space="preserve"> w </w:t>
            </w:r>
            <w:r w:rsidRPr="00404DA5">
              <w:rPr>
                <w:rFonts w:cs="Calibri"/>
                <w:sz w:val="18"/>
                <w:szCs w:val="18"/>
              </w:rPr>
              <w:t>programie [osoby]</w:t>
            </w:r>
          </w:p>
        </w:tc>
        <w:tc>
          <w:tcPr>
            <w:tcW w:w="793" w:type="pct"/>
            <w:shd w:val="clear" w:color="auto" w:fill="auto"/>
            <w:vAlign w:val="center"/>
          </w:tcPr>
          <w:p w14:paraId="585F5FBD" w14:textId="77777777" w:rsidR="00050FB4" w:rsidRPr="00404DA5" w:rsidRDefault="00050FB4" w:rsidP="00050FB4">
            <w:pPr>
              <w:jc w:val="center"/>
              <w:rPr>
                <w:rFonts w:cs="Calibri"/>
                <w:sz w:val="18"/>
                <w:szCs w:val="18"/>
              </w:rPr>
            </w:pPr>
            <w:r w:rsidRPr="00404DA5">
              <w:rPr>
                <w:rFonts w:cs="Calibri"/>
                <w:sz w:val="18"/>
                <w:szCs w:val="18"/>
              </w:rPr>
              <w:t>14690</w:t>
            </w:r>
          </w:p>
        </w:tc>
        <w:tc>
          <w:tcPr>
            <w:tcW w:w="1115" w:type="pct"/>
            <w:shd w:val="clear" w:color="auto" w:fill="auto"/>
            <w:vAlign w:val="center"/>
          </w:tcPr>
          <w:p w14:paraId="5DE8C334" w14:textId="77777777" w:rsidR="00050FB4" w:rsidRDefault="00050FB4" w:rsidP="00050FB4">
            <w:pPr>
              <w:jc w:val="center"/>
              <w:rPr>
                <w:rFonts w:cs="Calibri"/>
                <w:sz w:val="18"/>
                <w:szCs w:val="18"/>
              </w:rPr>
            </w:pPr>
          </w:p>
          <w:p w14:paraId="45959129" w14:textId="77777777" w:rsidR="00050FB4" w:rsidRDefault="00050FB4" w:rsidP="00050FB4">
            <w:pPr>
              <w:jc w:val="center"/>
              <w:rPr>
                <w:rFonts w:cs="Calibri"/>
                <w:sz w:val="18"/>
                <w:szCs w:val="18"/>
              </w:rPr>
            </w:pPr>
            <w:r>
              <w:rPr>
                <w:rFonts w:cs="Calibri"/>
                <w:sz w:val="18"/>
                <w:szCs w:val="18"/>
              </w:rPr>
              <w:t>12 500</w:t>
            </w:r>
          </w:p>
          <w:p w14:paraId="15EEA19F" w14:textId="77777777" w:rsidR="00050FB4" w:rsidRPr="00404DA5" w:rsidRDefault="00050FB4" w:rsidP="00050FB4">
            <w:pPr>
              <w:jc w:val="center"/>
              <w:rPr>
                <w:rFonts w:cs="Calibri"/>
                <w:sz w:val="18"/>
                <w:szCs w:val="18"/>
              </w:rPr>
            </w:pPr>
          </w:p>
        </w:tc>
        <w:tc>
          <w:tcPr>
            <w:tcW w:w="1118" w:type="pct"/>
            <w:shd w:val="clear" w:color="auto" w:fill="auto"/>
            <w:vAlign w:val="center"/>
          </w:tcPr>
          <w:p w14:paraId="7EBB0E6D" w14:textId="77777777" w:rsidR="00050FB4" w:rsidRPr="00404DA5" w:rsidRDefault="00050FB4" w:rsidP="00050FB4">
            <w:pPr>
              <w:jc w:val="center"/>
              <w:rPr>
                <w:rFonts w:cs="Calibri"/>
                <w:sz w:val="18"/>
                <w:szCs w:val="18"/>
              </w:rPr>
            </w:pPr>
            <w:r>
              <w:rPr>
                <w:rFonts w:cs="Calibri"/>
                <w:sz w:val="18"/>
                <w:szCs w:val="18"/>
              </w:rPr>
              <w:t>8</w:t>
            </w:r>
            <w:r w:rsidRPr="00404DA5">
              <w:rPr>
                <w:rFonts w:cs="Calibri"/>
                <w:sz w:val="18"/>
                <w:szCs w:val="18"/>
              </w:rPr>
              <w:t>5%</w:t>
            </w:r>
          </w:p>
        </w:tc>
      </w:tr>
      <w:tr w:rsidR="00050FB4" w:rsidRPr="00FE43CD" w14:paraId="2E3698F7" w14:textId="77777777" w:rsidTr="00050FB4">
        <w:trPr>
          <w:trHeight w:val="672"/>
        </w:trPr>
        <w:tc>
          <w:tcPr>
            <w:tcW w:w="826" w:type="pct"/>
            <w:shd w:val="clear" w:color="auto" w:fill="auto"/>
            <w:vAlign w:val="center"/>
          </w:tcPr>
          <w:p w14:paraId="58B72B0C" w14:textId="77777777" w:rsidR="00050FB4" w:rsidRPr="00404DA5" w:rsidRDefault="00050FB4" w:rsidP="00AE7A5F">
            <w:pPr>
              <w:jc w:val="center"/>
              <w:rPr>
                <w:rFonts w:cs="Calibri"/>
                <w:sz w:val="18"/>
                <w:szCs w:val="18"/>
              </w:rPr>
            </w:pPr>
            <w:r w:rsidRPr="00404DA5">
              <w:rPr>
                <w:sz w:val="18"/>
                <w:szCs w:val="18"/>
              </w:rPr>
              <w:t>WP</w:t>
            </w:r>
          </w:p>
        </w:tc>
        <w:tc>
          <w:tcPr>
            <w:tcW w:w="1148" w:type="pct"/>
            <w:shd w:val="clear" w:color="auto" w:fill="auto"/>
            <w:vAlign w:val="center"/>
          </w:tcPr>
          <w:p w14:paraId="05FB541D" w14:textId="77777777" w:rsidR="00050FB4" w:rsidRPr="00404DA5" w:rsidRDefault="00050FB4" w:rsidP="00050FB4">
            <w:pPr>
              <w:rPr>
                <w:rFonts w:cs="Calibri"/>
                <w:sz w:val="18"/>
                <w:szCs w:val="18"/>
              </w:rPr>
            </w:pPr>
            <w:r w:rsidRPr="00404DA5">
              <w:rPr>
                <w:rFonts w:cs="Calibri"/>
                <w:bCs/>
                <w:sz w:val="18"/>
                <w:szCs w:val="18"/>
              </w:rPr>
              <w:t>Liczba osób</w:t>
            </w:r>
            <w:r w:rsidR="00E66B89">
              <w:rPr>
                <w:rFonts w:cs="Calibri"/>
                <w:bCs/>
                <w:sz w:val="18"/>
                <w:szCs w:val="18"/>
              </w:rPr>
              <w:t xml:space="preserve"> w </w:t>
            </w:r>
            <w:r w:rsidRPr="00404DA5">
              <w:rPr>
                <w:rFonts w:cs="Calibri"/>
                <w:bCs/>
                <w:sz w:val="18"/>
                <w:szCs w:val="18"/>
              </w:rPr>
              <w:t>wieku 25 lat</w:t>
            </w:r>
            <w:r w:rsidR="00E66B89">
              <w:rPr>
                <w:rFonts w:cs="Calibri"/>
                <w:bCs/>
                <w:sz w:val="18"/>
                <w:szCs w:val="18"/>
              </w:rPr>
              <w:t xml:space="preserve"> i </w:t>
            </w:r>
            <w:r w:rsidRPr="00404DA5">
              <w:rPr>
                <w:rFonts w:cs="Calibri"/>
                <w:bCs/>
                <w:sz w:val="18"/>
                <w:szCs w:val="18"/>
              </w:rPr>
              <w:t>więcej objętych wsparciem</w:t>
            </w:r>
            <w:r w:rsidR="00E66B89">
              <w:rPr>
                <w:rFonts w:cs="Calibri"/>
                <w:bCs/>
                <w:sz w:val="18"/>
                <w:szCs w:val="18"/>
              </w:rPr>
              <w:t xml:space="preserve"> w </w:t>
            </w:r>
            <w:r w:rsidRPr="00404DA5">
              <w:rPr>
                <w:rFonts w:cs="Calibri"/>
                <w:bCs/>
                <w:sz w:val="18"/>
                <w:szCs w:val="18"/>
              </w:rPr>
              <w:t>programie [osoby]</w:t>
            </w:r>
          </w:p>
        </w:tc>
        <w:tc>
          <w:tcPr>
            <w:tcW w:w="793" w:type="pct"/>
            <w:shd w:val="clear" w:color="auto" w:fill="auto"/>
            <w:vAlign w:val="center"/>
          </w:tcPr>
          <w:p w14:paraId="15D68D77" w14:textId="77777777" w:rsidR="00050FB4" w:rsidRPr="00404DA5" w:rsidRDefault="00050FB4" w:rsidP="00050FB4">
            <w:pPr>
              <w:jc w:val="center"/>
              <w:rPr>
                <w:rFonts w:cs="Calibri"/>
                <w:sz w:val="18"/>
                <w:szCs w:val="18"/>
              </w:rPr>
            </w:pPr>
            <w:r w:rsidRPr="00404DA5">
              <w:rPr>
                <w:rFonts w:cs="Calibri"/>
                <w:sz w:val="18"/>
                <w:szCs w:val="18"/>
              </w:rPr>
              <w:t>20986</w:t>
            </w:r>
          </w:p>
        </w:tc>
        <w:tc>
          <w:tcPr>
            <w:tcW w:w="1115" w:type="pct"/>
            <w:shd w:val="clear" w:color="auto" w:fill="auto"/>
            <w:vAlign w:val="center"/>
          </w:tcPr>
          <w:p w14:paraId="62FDD928" w14:textId="77777777" w:rsidR="00050FB4" w:rsidRDefault="00050FB4" w:rsidP="00050FB4">
            <w:pPr>
              <w:jc w:val="center"/>
              <w:rPr>
                <w:rFonts w:cs="Calibri"/>
                <w:sz w:val="18"/>
                <w:szCs w:val="18"/>
              </w:rPr>
            </w:pPr>
          </w:p>
          <w:p w14:paraId="3F80C5F2" w14:textId="77777777" w:rsidR="00050FB4" w:rsidRDefault="00050FB4" w:rsidP="00050FB4">
            <w:pPr>
              <w:jc w:val="center"/>
              <w:rPr>
                <w:rFonts w:cs="Calibri"/>
                <w:sz w:val="18"/>
                <w:szCs w:val="18"/>
              </w:rPr>
            </w:pPr>
            <w:r>
              <w:rPr>
                <w:rFonts w:cs="Calibri"/>
                <w:sz w:val="18"/>
                <w:szCs w:val="18"/>
              </w:rPr>
              <w:t>16 000</w:t>
            </w:r>
          </w:p>
          <w:p w14:paraId="4A36BCC4" w14:textId="77777777" w:rsidR="00050FB4" w:rsidRPr="00404DA5" w:rsidRDefault="00050FB4" w:rsidP="00050FB4">
            <w:pPr>
              <w:jc w:val="center"/>
              <w:rPr>
                <w:rFonts w:cs="Calibri"/>
                <w:sz w:val="18"/>
                <w:szCs w:val="18"/>
              </w:rPr>
            </w:pPr>
          </w:p>
        </w:tc>
        <w:tc>
          <w:tcPr>
            <w:tcW w:w="1118" w:type="pct"/>
            <w:shd w:val="clear" w:color="auto" w:fill="auto"/>
            <w:vAlign w:val="center"/>
          </w:tcPr>
          <w:p w14:paraId="30F47B9A" w14:textId="77777777" w:rsidR="00050FB4" w:rsidRPr="00404DA5" w:rsidRDefault="00050FB4" w:rsidP="00050FB4">
            <w:pPr>
              <w:jc w:val="center"/>
              <w:rPr>
                <w:rFonts w:cs="Calibri"/>
                <w:sz w:val="18"/>
                <w:szCs w:val="18"/>
              </w:rPr>
            </w:pPr>
            <w:r>
              <w:rPr>
                <w:rFonts w:cs="Calibri"/>
                <w:sz w:val="18"/>
                <w:szCs w:val="18"/>
              </w:rPr>
              <w:t>76</w:t>
            </w:r>
            <w:r w:rsidRPr="00404DA5">
              <w:rPr>
                <w:rFonts w:cs="Calibri"/>
                <w:sz w:val="18"/>
                <w:szCs w:val="18"/>
              </w:rPr>
              <w:t>%</w:t>
            </w:r>
          </w:p>
        </w:tc>
      </w:tr>
      <w:tr w:rsidR="00050FB4" w:rsidRPr="00FE43CD" w14:paraId="2D6F4C8E" w14:textId="77777777" w:rsidTr="00050FB4">
        <w:trPr>
          <w:trHeight w:val="672"/>
        </w:trPr>
        <w:tc>
          <w:tcPr>
            <w:tcW w:w="826" w:type="pct"/>
            <w:shd w:val="clear" w:color="auto" w:fill="auto"/>
            <w:vAlign w:val="center"/>
          </w:tcPr>
          <w:p w14:paraId="7F970349" w14:textId="77777777" w:rsidR="00050FB4" w:rsidRPr="00404DA5" w:rsidRDefault="00050FB4" w:rsidP="00AE7A5F">
            <w:pPr>
              <w:jc w:val="center"/>
              <w:rPr>
                <w:sz w:val="18"/>
                <w:szCs w:val="18"/>
              </w:rPr>
            </w:pPr>
            <w:r w:rsidRPr="00404DA5">
              <w:rPr>
                <w:sz w:val="18"/>
                <w:szCs w:val="18"/>
              </w:rPr>
              <w:t>WR</w:t>
            </w:r>
          </w:p>
        </w:tc>
        <w:tc>
          <w:tcPr>
            <w:tcW w:w="1148" w:type="pct"/>
            <w:shd w:val="clear" w:color="auto" w:fill="auto"/>
            <w:vAlign w:val="center"/>
          </w:tcPr>
          <w:p w14:paraId="5F65F344" w14:textId="77777777" w:rsidR="00050FB4" w:rsidRPr="00404DA5" w:rsidRDefault="00050FB4" w:rsidP="00050FB4">
            <w:pPr>
              <w:rPr>
                <w:rFonts w:cs="Calibri"/>
                <w:sz w:val="18"/>
                <w:szCs w:val="18"/>
              </w:rPr>
            </w:pPr>
            <w:r w:rsidRPr="00404DA5">
              <w:rPr>
                <w:rFonts w:cs="Calibri"/>
                <w:sz w:val="18"/>
                <w:szCs w:val="18"/>
              </w:rPr>
              <w:t>Liczba osób</w:t>
            </w:r>
            <w:r w:rsidR="00E66B89">
              <w:rPr>
                <w:rFonts w:cs="Calibri"/>
                <w:sz w:val="18"/>
                <w:szCs w:val="18"/>
              </w:rPr>
              <w:t xml:space="preserve"> w </w:t>
            </w:r>
            <w:r w:rsidRPr="00404DA5">
              <w:rPr>
                <w:rFonts w:cs="Calibri"/>
                <w:sz w:val="18"/>
                <w:szCs w:val="18"/>
              </w:rPr>
              <w:t>wieku 25 lat</w:t>
            </w:r>
            <w:r w:rsidR="00E66B89">
              <w:rPr>
                <w:rFonts w:cs="Calibri"/>
                <w:sz w:val="18"/>
                <w:szCs w:val="18"/>
              </w:rPr>
              <w:t xml:space="preserve"> i </w:t>
            </w:r>
            <w:r w:rsidRPr="00404DA5">
              <w:rPr>
                <w:rFonts w:cs="Calibri"/>
                <w:sz w:val="18"/>
                <w:szCs w:val="18"/>
              </w:rPr>
              <w:t>więcej, które uzyskały kwalifikacje lub nabyły kompetencje po opuszczeniu programu [osoby]</w:t>
            </w:r>
          </w:p>
        </w:tc>
        <w:tc>
          <w:tcPr>
            <w:tcW w:w="793" w:type="pct"/>
            <w:shd w:val="clear" w:color="auto" w:fill="auto"/>
            <w:vAlign w:val="center"/>
          </w:tcPr>
          <w:p w14:paraId="65325955" w14:textId="77777777" w:rsidR="00050FB4" w:rsidRPr="00404DA5" w:rsidRDefault="00050FB4" w:rsidP="00050FB4">
            <w:pPr>
              <w:jc w:val="center"/>
              <w:rPr>
                <w:rFonts w:cs="Calibri"/>
                <w:bCs/>
                <w:sz w:val="18"/>
                <w:szCs w:val="18"/>
              </w:rPr>
            </w:pPr>
            <w:r w:rsidRPr="00404DA5">
              <w:rPr>
                <w:rFonts w:cs="Calibri"/>
                <w:sz w:val="18"/>
                <w:szCs w:val="18"/>
              </w:rPr>
              <w:t>61%</w:t>
            </w:r>
          </w:p>
        </w:tc>
        <w:tc>
          <w:tcPr>
            <w:tcW w:w="1115" w:type="pct"/>
            <w:shd w:val="clear" w:color="auto" w:fill="auto"/>
            <w:vAlign w:val="center"/>
          </w:tcPr>
          <w:p w14:paraId="579A05B8" w14:textId="77777777" w:rsidR="00050FB4" w:rsidRDefault="00050FB4" w:rsidP="00050FB4">
            <w:pPr>
              <w:jc w:val="center"/>
              <w:rPr>
                <w:rFonts w:cs="Calibri"/>
                <w:sz w:val="18"/>
                <w:szCs w:val="18"/>
              </w:rPr>
            </w:pPr>
            <w:r>
              <w:rPr>
                <w:rFonts w:cs="Calibri"/>
                <w:sz w:val="18"/>
                <w:szCs w:val="18"/>
              </w:rPr>
              <w:t>83,7%</w:t>
            </w:r>
          </w:p>
          <w:p w14:paraId="4ADA36A4" w14:textId="77777777" w:rsidR="00050FB4" w:rsidRPr="00404DA5" w:rsidRDefault="00050FB4" w:rsidP="00050FB4">
            <w:pPr>
              <w:jc w:val="center"/>
              <w:rPr>
                <w:rFonts w:cs="Calibri"/>
                <w:bCs/>
                <w:sz w:val="18"/>
                <w:szCs w:val="18"/>
              </w:rPr>
            </w:pPr>
            <w:r>
              <w:rPr>
                <w:rFonts w:cs="Calibri"/>
                <w:sz w:val="18"/>
                <w:szCs w:val="18"/>
              </w:rPr>
              <w:t>(</w:t>
            </w:r>
            <w:r w:rsidRPr="00404DA5">
              <w:rPr>
                <w:rFonts w:cs="Calibri"/>
                <w:sz w:val="18"/>
                <w:szCs w:val="18"/>
              </w:rPr>
              <w:t>15 428</w:t>
            </w:r>
            <w:r>
              <w:rPr>
                <w:rFonts w:cs="Calibri"/>
                <w:sz w:val="18"/>
                <w:szCs w:val="18"/>
              </w:rPr>
              <w:t>)</w:t>
            </w:r>
          </w:p>
        </w:tc>
        <w:tc>
          <w:tcPr>
            <w:tcW w:w="1118" w:type="pct"/>
            <w:shd w:val="clear" w:color="auto" w:fill="auto"/>
            <w:vAlign w:val="center"/>
          </w:tcPr>
          <w:p w14:paraId="306F0067" w14:textId="77777777" w:rsidR="00050FB4" w:rsidRPr="00404DA5" w:rsidRDefault="00050FB4" w:rsidP="00050FB4">
            <w:pPr>
              <w:jc w:val="center"/>
              <w:rPr>
                <w:rFonts w:cs="Calibri"/>
                <w:sz w:val="18"/>
                <w:szCs w:val="18"/>
              </w:rPr>
            </w:pPr>
            <w:r w:rsidRPr="00404DA5">
              <w:rPr>
                <w:rFonts w:cs="Calibri"/>
                <w:sz w:val="18"/>
                <w:szCs w:val="18"/>
              </w:rPr>
              <w:t>137%</w:t>
            </w:r>
          </w:p>
        </w:tc>
      </w:tr>
      <w:tr w:rsidR="00050FB4" w:rsidRPr="00FE43CD" w14:paraId="5611D67C" w14:textId="77777777" w:rsidTr="00050FB4">
        <w:trPr>
          <w:trHeight w:val="672"/>
        </w:trPr>
        <w:tc>
          <w:tcPr>
            <w:tcW w:w="826" w:type="pct"/>
            <w:shd w:val="clear" w:color="auto" w:fill="auto"/>
            <w:vAlign w:val="center"/>
          </w:tcPr>
          <w:p w14:paraId="21D8B4F6" w14:textId="77777777" w:rsidR="00050FB4" w:rsidRPr="00404DA5" w:rsidRDefault="00050FB4" w:rsidP="00AE7A5F">
            <w:pPr>
              <w:jc w:val="center"/>
              <w:rPr>
                <w:sz w:val="18"/>
                <w:szCs w:val="18"/>
              </w:rPr>
            </w:pPr>
            <w:r w:rsidRPr="00404DA5">
              <w:rPr>
                <w:sz w:val="18"/>
                <w:szCs w:val="18"/>
              </w:rPr>
              <w:t>WP</w:t>
            </w:r>
          </w:p>
        </w:tc>
        <w:tc>
          <w:tcPr>
            <w:tcW w:w="1148" w:type="pct"/>
            <w:shd w:val="clear" w:color="auto" w:fill="auto"/>
            <w:vAlign w:val="center"/>
          </w:tcPr>
          <w:p w14:paraId="11A2FEE3" w14:textId="77777777" w:rsidR="00050FB4" w:rsidRPr="00404DA5" w:rsidRDefault="00050FB4" w:rsidP="00050FB4">
            <w:pPr>
              <w:rPr>
                <w:rFonts w:cs="Calibri"/>
                <w:sz w:val="18"/>
                <w:szCs w:val="18"/>
              </w:rPr>
            </w:pPr>
            <w:r w:rsidRPr="00404DA5">
              <w:rPr>
                <w:rFonts w:cs="Calibri"/>
                <w:sz w:val="18"/>
                <w:szCs w:val="18"/>
              </w:rPr>
              <w:t>Liczba osób</w:t>
            </w:r>
            <w:r w:rsidR="00E66B89">
              <w:rPr>
                <w:rFonts w:cs="Calibri"/>
                <w:sz w:val="18"/>
                <w:szCs w:val="18"/>
              </w:rPr>
              <w:t xml:space="preserve"> w </w:t>
            </w:r>
            <w:r w:rsidRPr="00404DA5">
              <w:rPr>
                <w:rFonts w:cs="Calibri"/>
                <w:sz w:val="18"/>
                <w:szCs w:val="18"/>
              </w:rPr>
              <w:t>wieku 50 lat</w:t>
            </w:r>
            <w:r w:rsidR="00E66B89">
              <w:rPr>
                <w:rFonts w:cs="Calibri"/>
                <w:sz w:val="18"/>
                <w:szCs w:val="18"/>
              </w:rPr>
              <w:t xml:space="preserve"> i </w:t>
            </w:r>
            <w:r w:rsidRPr="00404DA5">
              <w:rPr>
                <w:rFonts w:cs="Calibri"/>
                <w:sz w:val="18"/>
                <w:szCs w:val="18"/>
              </w:rPr>
              <w:t>więcej objętych wsparciem</w:t>
            </w:r>
            <w:r w:rsidR="00E66B89">
              <w:rPr>
                <w:rFonts w:cs="Calibri"/>
                <w:sz w:val="18"/>
                <w:szCs w:val="18"/>
              </w:rPr>
              <w:t xml:space="preserve"> w </w:t>
            </w:r>
            <w:r w:rsidRPr="00404DA5">
              <w:rPr>
                <w:rFonts w:cs="Calibri"/>
                <w:sz w:val="18"/>
                <w:szCs w:val="18"/>
              </w:rPr>
              <w:t>programie [osoby]</w:t>
            </w:r>
          </w:p>
        </w:tc>
        <w:tc>
          <w:tcPr>
            <w:tcW w:w="793" w:type="pct"/>
            <w:shd w:val="clear" w:color="auto" w:fill="auto"/>
            <w:vAlign w:val="center"/>
          </w:tcPr>
          <w:p w14:paraId="351902D0" w14:textId="77777777" w:rsidR="00050FB4" w:rsidRPr="00404DA5" w:rsidRDefault="00050FB4" w:rsidP="00050FB4">
            <w:pPr>
              <w:jc w:val="center"/>
              <w:rPr>
                <w:rFonts w:cs="Calibri"/>
                <w:sz w:val="18"/>
                <w:szCs w:val="18"/>
              </w:rPr>
            </w:pPr>
            <w:r w:rsidRPr="00404DA5">
              <w:rPr>
                <w:rFonts w:cs="Calibri"/>
                <w:sz w:val="18"/>
                <w:szCs w:val="18"/>
              </w:rPr>
              <w:t>4197</w:t>
            </w:r>
          </w:p>
        </w:tc>
        <w:tc>
          <w:tcPr>
            <w:tcW w:w="1115" w:type="pct"/>
            <w:shd w:val="clear" w:color="auto" w:fill="auto"/>
            <w:vAlign w:val="center"/>
          </w:tcPr>
          <w:p w14:paraId="1B8DAFD2" w14:textId="77777777" w:rsidR="00050FB4" w:rsidRPr="00404DA5" w:rsidRDefault="00050FB4" w:rsidP="00050FB4">
            <w:pPr>
              <w:jc w:val="center"/>
              <w:rPr>
                <w:rFonts w:cs="Calibri"/>
                <w:sz w:val="18"/>
                <w:szCs w:val="18"/>
              </w:rPr>
            </w:pPr>
            <w:r w:rsidRPr="00404DA5">
              <w:rPr>
                <w:rFonts w:cs="Calibri"/>
                <w:color w:val="000000"/>
                <w:sz w:val="18"/>
                <w:szCs w:val="18"/>
              </w:rPr>
              <w:t>9 234</w:t>
            </w:r>
          </w:p>
        </w:tc>
        <w:tc>
          <w:tcPr>
            <w:tcW w:w="1118" w:type="pct"/>
            <w:shd w:val="clear" w:color="auto" w:fill="auto"/>
            <w:vAlign w:val="center"/>
          </w:tcPr>
          <w:p w14:paraId="259EBEFE" w14:textId="77777777" w:rsidR="00050FB4" w:rsidRPr="00404DA5" w:rsidRDefault="00050FB4" w:rsidP="00050FB4">
            <w:pPr>
              <w:jc w:val="center"/>
              <w:rPr>
                <w:rFonts w:cs="Calibri"/>
                <w:sz w:val="18"/>
                <w:szCs w:val="18"/>
              </w:rPr>
            </w:pPr>
            <w:r w:rsidRPr="00404DA5">
              <w:rPr>
                <w:rFonts w:cs="Calibri"/>
                <w:color w:val="000000"/>
                <w:sz w:val="18"/>
                <w:szCs w:val="18"/>
              </w:rPr>
              <w:t>220%</w:t>
            </w:r>
          </w:p>
        </w:tc>
      </w:tr>
      <w:tr w:rsidR="00050FB4" w:rsidRPr="00FE43CD" w14:paraId="5F10CF15" w14:textId="77777777" w:rsidTr="00050FB4">
        <w:trPr>
          <w:trHeight w:val="672"/>
        </w:trPr>
        <w:tc>
          <w:tcPr>
            <w:tcW w:w="826" w:type="pct"/>
            <w:shd w:val="clear" w:color="auto" w:fill="auto"/>
            <w:vAlign w:val="center"/>
          </w:tcPr>
          <w:p w14:paraId="055E4671" w14:textId="77777777" w:rsidR="00050FB4" w:rsidRPr="00404DA5" w:rsidRDefault="00050FB4" w:rsidP="00AE7A5F">
            <w:pPr>
              <w:jc w:val="center"/>
              <w:rPr>
                <w:sz w:val="18"/>
                <w:szCs w:val="18"/>
              </w:rPr>
            </w:pPr>
            <w:r w:rsidRPr="00404DA5">
              <w:rPr>
                <w:sz w:val="18"/>
                <w:szCs w:val="18"/>
              </w:rPr>
              <w:t>WR</w:t>
            </w:r>
          </w:p>
        </w:tc>
        <w:tc>
          <w:tcPr>
            <w:tcW w:w="1148" w:type="pct"/>
            <w:shd w:val="clear" w:color="auto" w:fill="auto"/>
            <w:vAlign w:val="center"/>
          </w:tcPr>
          <w:p w14:paraId="0CC1060A" w14:textId="77777777" w:rsidR="00050FB4" w:rsidRPr="00404DA5" w:rsidRDefault="00050FB4" w:rsidP="00050FB4">
            <w:pPr>
              <w:rPr>
                <w:rFonts w:cs="Calibri"/>
                <w:sz w:val="18"/>
                <w:szCs w:val="18"/>
              </w:rPr>
            </w:pPr>
            <w:r w:rsidRPr="00404DA5">
              <w:rPr>
                <w:rFonts w:cs="Calibri"/>
                <w:sz w:val="18"/>
                <w:szCs w:val="18"/>
              </w:rPr>
              <w:t>Liczba osób</w:t>
            </w:r>
            <w:r w:rsidR="00E66B89">
              <w:rPr>
                <w:rFonts w:cs="Calibri"/>
                <w:sz w:val="18"/>
                <w:szCs w:val="18"/>
              </w:rPr>
              <w:t xml:space="preserve"> w </w:t>
            </w:r>
            <w:r w:rsidRPr="00404DA5">
              <w:rPr>
                <w:rFonts w:cs="Calibri"/>
                <w:sz w:val="18"/>
                <w:szCs w:val="18"/>
              </w:rPr>
              <w:t>wieku 50 lat</w:t>
            </w:r>
            <w:r w:rsidR="00E66B89">
              <w:rPr>
                <w:rFonts w:cs="Calibri"/>
                <w:sz w:val="18"/>
                <w:szCs w:val="18"/>
              </w:rPr>
              <w:t xml:space="preserve"> i </w:t>
            </w:r>
            <w:r w:rsidRPr="00404DA5">
              <w:rPr>
                <w:rFonts w:cs="Calibri"/>
                <w:sz w:val="18"/>
                <w:szCs w:val="18"/>
              </w:rPr>
              <w:t>więcej, które uzyskały kwalifikacje lub nabyły kompetencje po opuszczeniu programu [osoby]</w:t>
            </w:r>
          </w:p>
        </w:tc>
        <w:tc>
          <w:tcPr>
            <w:tcW w:w="793" w:type="pct"/>
            <w:shd w:val="clear" w:color="auto" w:fill="auto"/>
            <w:vAlign w:val="center"/>
          </w:tcPr>
          <w:p w14:paraId="64116ED2" w14:textId="77777777" w:rsidR="00050FB4" w:rsidRPr="00404DA5" w:rsidRDefault="00050FB4" w:rsidP="00050FB4">
            <w:pPr>
              <w:jc w:val="center"/>
              <w:rPr>
                <w:rFonts w:cs="Calibri"/>
                <w:sz w:val="18"/>
                <w:szCs w:val="18"/>
              </w:rPr>
            </w:pPr>
            <w:r w:rsidRPr="00404DA5">
              <w:rPr>
                <w:rFonts w:cs="Calibri"/>
                <w:sz w:val="18"/>
                <w:szCs w:val="18"/>
              </w:rPr>
              <w:t>61%</w:t>
            </w:r>
          </w:p>
        </w:tc>
        <w:tc>
          <w:tcPr>
            <w:tcW w:w="1115" w:type="pct"/>
            <w:shd w:val="clear" w:color="auto" w:fill="auto"/>
            <w:vAlign w:val="center"/>
          </w:tcPr>
          <w:p w14:paraId="0BD5492E" w14:textId="77777777" w:rsidR="00050FB4" w:rsidRDefault="00050FB4" w:rsidP="00050FB4">
            <w:pPr>
              <w:jc w:val="center"/>
              <w:rPr>
                <w:rFonts w:cs="Calibri"/>
                <w:color w:val="000000"/>
                <w:sz w:val="18"/>
                <w:szCs w:val="18"/>
              </w:rPr>
            </w:pPr>
            <w:r>
              <w:rPr>
                <w:rFonts w:cs="Calibri"/>
                <w:color w:val="000000"/>
                <w:sz w:val="18"/>
                <w:szCs w:val="18"/>
              </w:rPr>
              <w:t xml:space="preserve">84,9% </w:t>
            </w:r>
          </w:p>
          <w:p w14:paraId="106529DA" w14:textId="77777777" w:rsidR="00050FB4" w:rsidRPr="00404DA5" w:rsidRDefault="00050FB4" w:rsidP="00050FB4">
            <w:pPr>
              <w:jc w:val="center"/>
              <w:rPr>
                <w:rFonts w:cs="Calibri"/>
                <w:sz w:val="18"/>
                <w:szCs w:val="18"/>
              </w:rPr>
            </w:pPr>
            <w:r>
              <w:rPr>
                <w:rFonts w:cs="Calibri"/>
                <w:color w:val="000000"/>
                <w:sz w:val="18"/>
                <w:szCs w:val="18"/>
              </w:rPr>
              <w:t>(</w:t>
            </w:r>
            <w:r w:rsidRPr="00404DA5">
              <w:rPr>
                <w:rFonts w:cs="Calibri"/>
                <w:color w:val="000000"/>
                <w:sz w:val="18"/>
                <w:szCs w:val="18"/>
              </w:rPr>
              <w:t>7 840</w:t>
            </w:r>
            <w:r>
              <w:rPr>
                <w:rFonts w:cs="Calibri"/>
                <w:color w:val="000000"/>
                <w:sz w:val="18"/>
                <w:szCs w:val="18"/>
              </w:rPr>
              <w:t>)</w:t>
            </w:r>
          </w:p>
        </w:tc>
        <w:tc>
          <w:tcPr>
            <w:tcW w:w="1118" w:type="pct"/>
            <w:shd w:val="clear" w:color="auto" w:fill="auto"/>
            <w:vAlign w:val="center"/>
          </w:tcPr>
          <w:p w14:paraId="14035642" w14:textId="77777777" w:rsidR="00050FB4" w:rsidRPr="00404DA5" w:rsidRDefault="00050FB4" w:rsidP="00050FB4">
            <w:pPr>
              <w:jc w:val="center"/>
              <w:rPr>
                <w:rFonts w:cs="Calibri"/>
                <w:sz w:val="18"/>
                <w:szCs w:val="18"/>
              </w:rPr>
            </w:pPr>
            <w:r w:rsidRPr="00404DA5">
              <w:rPr>
                <w:rFonts w:cs="Calibri"/>
                <w:color w:val="000000"/>
                <w:sz w:val="18"/>
                <w:szCs w:val="18"/>
              </w:rPr>
              <w:t>139%</w:t>
            </w:r>
          </w:p>
        </w:tc>
      </w:tr>
    </w:tbl>
    <w:p w14:paraId="22E53FCF"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zawartych UoD na dzień 07.01.2019 r., obliczenia</w:t>
      </w:r>
      <w:r w:rsidR="00E66B89" w:rsidRPr="00D21299">
        <w:rPr>
          <w:i/>
          <w:sz w:val="18"/>
          <w:szCs w:val="20"/>
        </w:rPr>
        <w:t xml:space="preserve"> i </w:t>
      </w:r>
      <w:r w:rsidRPr="00D21299">
        <w:rPr>
          <w:i/>
          <w:sz w:val="18"/>
          <w:szCs w:val="20"/>
        </w:rPr>
        <w:t xml:space="preserve">analizy własne. </w:t>
      </w:r>
    </w:p>
    <w:p w14:paraId="4FCDA03F" w14:textId="77777777" w:rsidR="00050FB4" w:rsidRPr="00FE43CD" w:rsidRDefault="00050FB4" w:rsidP="00050FB4">
      <w:pPr>
        <w:pStyle w:val="Nagwek4"/>
        <w:numPr>
          <w:ilvl w:val="0"/>
          <w:numId w:val="0"/>
        </w:numPr>
        <w:rPr>
          <w:rFonts w:ascii="Lato" w:eastAsia="Calibri" w:hAnsi="Lato"/>
        </w:rPr>
      </w:pPr>
      <w:r w:rsidRPr="00FE43CD">
        <w:rPr>
          <w:rFonts w:ascii="Lato" w:eastAsia="Calibri" w:hAnsi="Lato"/>
        </w:rPr>
        <w:lastRenderedPageBreak/>
        <w:t>Możliwości zarządzania środkami rezerwy wykonania</w:t>
      </w:r>
      <w:r w:rsidR="00E66B89">
        <w:rPr>
          <w:rFonts w:ascii="Lato" w:eastAsia="Calibri" w:hAnsi="Lato"/>
        </w:rPr>
        <w:t xml:space="preserve"> i </w:t>
      </w:r>
      <w:r w:rsidRPr="00FE43CD">
        <w:rPr>
          <w:rFonts w:ascii="Lato" w:eastAsia="Calibri" w:hAnsi="Lato"/>
        </w:rPr>
        <w:t>identyfikacja obszarów wymagających interwencji - podsumowanie</w:t>
      </w:r>
    </w:p>
    <w:p w14:paraId="1E8965A2" w14:textId="77777777" w:rsidR="00050FB4" w:rsidRPr="008B706B" w:rsidRDefault="00050FB4" w:rsidP="00050FB4">
      <w:pPr>
        <w:rPr>
          <w:rFonts w:cs="Calibri"/>
          <w:b/>
          <w:szCs w:val="20"/>
        </w:rPr>
      </w:pPr>
      <w:r w:rsidRPr="008B706B">
        <w:rPr>
          <w:rFonts w:cs="Calibri"/>
          <w:b/>
          <w:szCs w:val="20"/>
        </w:rPr>
        <w:t xml:space="preserve">REKOMENDACJA: Na podstawie obecnego postępu realizacji oraz obserwowanych kosztów jednostkowych </w:t>
      </w:r>
      <w:r>
        <w:rPr>
          <w:rFonts w:cs="Calibri"/>
          <w:b/>
          <w:szCs w:val="20"/>
        </w:rPr>
        <w:t>sugeruje</w:t>
      </w:r>
      <w:r w:rsidRPr="008B706B">
        <w:rPr>
          <w:rFonts w:cs="Calibri"/>
          <w:b/>
          <w:szCs w:val="20"/>
        </w:rPr>
        <w:t xml:space="preserve"> się obniżenie docelowej wartości wskaźników </w:t>
      </w:r>
      <w:r w:rsidRPr="008B706B">
        <w:rPr>
          <w:rFonts w:cs="Calibri"/>
          <w:b/>
          <w:i/>
          <w:szCs w:val="20"/>
        </w:rPr>
        <w:t>Liczba osób</w:t>
      </w:r>
      <w:r w:rsidR="00E66B89">
        <w:rPr>
          <w:rFonts w:cs="Calibri"/>
          <w:b/>
          <w:i/>
          <w:szCs w:val="20"/>
        </w:rPr>
        <w:t xml:space="preserve"> o </w:t>
      </w:r>
      <w:r w:rsidRPr="008B706B">
        <w:rPr>
          <w:rFonts w:cs="Calibri"/>
          <w:b/>
          <w:i/>
          <w:szCs w:val="20"/>
        </w:rPr>
        <w:t>niskich kwalifikacjach, objętych wsparciem</w:t>
      </w:r>
      <w:r w:rsidR="00E66B89">
        <w:rPr>
          <w:rFonts w:cs="Calibri"/>
          <w:b/>
          <w:i/>
          <w:szCs w:val="20"/>
        </w:rPr>
        <w:t xml:space="preserve"> w </w:t>
      </w:r>
      <w:r w:rsidRPr="008B706B">
        <w:rPr>
          <w:rFonts w:cs="Calibri"/>
          <w:b/>
          <w:i/>
          <w:szCs w:val="20"/>
        </w:rPr>
        <w:t xml:space="preserve">programie </w:t>
      </w:r>
      <w:r w:rsidRPr="008B706B">
        <w:rPr>
          <w:rFonts w:cs="Calibri"/>
          <w:b/>
          <w:szCs w:val="20"/>
        </w:rPr>
        <w:t xml:space="preserve">oraz </w:t>
      </w:r>
      <w:r w:rsidRPr="008B706B">
        <w:rPr>
          <w:rFonts w:cs="Calibri"/>
          <w:b/>
          <w:i/>
          <w:szCs w:val="20"/>
        </w:rPr>
        <w:t>Liczba osób</w:t>
      </w:r>
      <w:r w:rsidR="00E66B89">
        <w:rPr>
          <w:rFonts w:cs="Calibri"/>
          <w:b/>
          <w:i/>
          <w:szCs w:val="20"/>
        </w:rPr>
        <w:t xml:space="preserve"> w </w:t>
      </w:r>
      <w:r w:rsidRPr="008B706B">
        <w:rPr>
          <w:rFonts w:cs="Calibri"/>
          <w:b/>
          <w:i/>
          <w:szCs w:val="20"/>
        </w:rPr>
        <w:t>wieku 25 lat</w:t>
      </w:r>
      <w:r w:rsidR="00E66B89">
        <w:rPr>
          <w:rFonts w:cs="Calibri"/>
          <w:b/>
          <w:i/>
          <w:szCs w:val="20"/>
        </w:rPr>
        <w:t xml:space="preserve"> i </w:t>
      </w:r>
      <w:r w:rsidRPr="008B706B">
        <w:rPr>
          <w:rFonts w:cs="Calibri"/>
          <w:b/>
          <w:i/>
          <w:szCs w:val="20"/>
        </w:rPr>
        <w:t>więcej objętych wsparciem</w:t>
      </w:r>
      <w:r w:rsidR="00E66B89">
        <w:rPr>
          <w:rFonts w:cs="Calibri"/>
          <w:b/>
          <w:i/>
          <w:szCs w:val="20"/>
        </w:rPr>
        <w:t xml:space="preserve"> w </w:t>
      </w:r>
      <w:r w:rsidRPr="008B706B">
        <w:rPr>
          <w:rFonts w:cs="Calibri"/>
          <w:b/>
          <w:i/>
          <w:szCs w:val="20"/>
        </w:rPr>
        <w:t>programie</w:t>
      </w:r>
      <w:r w:rsidRPr="008B706B">
        <w:rPr>
          <w:rFonts w:cs="Calibri"/>
          <w:b/>
          <w:szCs w:val="20"/>
        </w:rPr>
        <w:t>, do wartości przedstawionych</w:t>
      </w:r>
      <w:r w:rsidR="00E66B89">
        <w:rPr>
          <w:rFonts w:cs="Calibri"/>
          <w:b/>
          <w:szCs w:val="20"/>
        </w:rPr>
        <w:t> </w:t>
      </w:r>
      <w:r w:rsidRPr="008B706B">
        <w:rPr>
          <w:rFonts w:cs="Calibri"/>
          <w:b/>
          <w:szCs w:val="20"/>
        </w:rPr>
        <w:t xml:space="preserve">poniżej </w:t>
      </w:r>
      <w:r w:rsidR="00AE7A5F">
        <w:rPr>
          <w:rFonts w:cs="Calibri"/>
          <w:b/>
          <w:szCs w:val="20"/>
        </w:rPr>
        <w:t>w</w:t>
      </w:r>
      <w:r w:rsidR="00AE7A5F" w:rsidRPr="008B706B">
        <w:rPr>
          <w:rFonts w:cs="Calibri"/>
          <w:b/>
          <w:szCs w:val="20"/>
        </w:rPr>
        <w:t xml:space="preserve"> </w:t>
      </w:r>
      <w:r w:rsidRPr="008B706B">
        <w:rPr>
          <w:rFonts w:cs="Calibri"/>
          <w:b/>
          <w:szCs w:val="20"/>
        </w:rPr>
        <w:t>tabeli:</w:t>
      </w:r>
    </w:p>
    <w:p w14:paraId="180CBC0A" w14:textId="77777777" w:rsidR="00050FB4" w:rsidRPr="00FE73B6" w:rsidRDefault="00050FB4" w:rsidP="00FE73B6">
      <w:pPr>
        <w:pStyle w:val="Legenda"/>
        <w:spacing w:after="0"/>
      </w:pPr>
      <w:bookmarkStart w:id="329" w:name="_Toc8824252"/>
      <w:r w:rsidRPr="00FE43CD">
        <w:t xml:space="preserve">Tabela </w:t>
      </w:r>
      <w:r>
        <w:fldChar w:fldCharType="begin"/>
      </w:r>
      <w:r>
        <w:instrText xml:space="preserve"> SEQ Tabela \* ARABIC </w:instrText>
      </w:r>
      <w:r>
        <w:fldChar w:fldCharType="separate"/>
      </w:r>
      <w:r w:rsidR="00763345">
        <w:rPr>
          <w:noProof/>
        </w:rPr>
        <w:t>141</w:t>
      </w:r>
      <w:r>
        <w:fldChar w:fldCharType="end"/>
      </w:r>
      <w:r w:rsidRPr="00FE43CD">
        <w:t xml:space="preserve"> Wskaźniki wymagające zmiany wartości – PI </w:t>
      </w:r>
      <w:r>
        <w:t>10iii</w:t>
      </w:r>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540"/>
        <w:gridCol w:w="1134"/>
        <w:gridCol w:w="2286"/>
        <w:gridCol w:w="2064"/>
      </w:tblGrid>
      <w:tr w:rsidR="00050FB4" w:rsidRPr="00FE43CD" w14:paraId="79FB65E4" w14:textId="77777777" w:rsidTr="00C22C26">
        <w:trPr>
          <w:tblHeader/>
        </w:trPr>
        <w:tc>
          <w:tcPr>
            <w:tcW w:w="0" w:type="auto"/>
            <w:shd w:val="clear" w:color="auto" w:fill="DBE5F1"/>
          </w:tcPr>
          <w:p w14:paraId="3B968A59" w14:textId="77777777" w:rsidR="00050FB4" w:rsidRPr="00404DA5" w:rsidRDefault="00050FB4" w:rsidP="00050FB4">
            <w:pPr>
              <w:jc w:val="center"/>
              <w:rPr>
                <w:rFonts w:cs="Calibri"/>
                <w:sz w:val="16"/>
                <w:szCs w:val="16"/>
              </w:rPr>
            </w:pPr>
            <w:r w:rsidRPr="00404DA5">
              <w:rPr>
                <w:rFonts w:cs="Calibri"/>
                <w:sz w:val="16"/>
                <w:szCs w:val="16"/>
              </w:rPr>
              <w:t>Typ wskaźnika</w:t>
            </w:r>
          </w:p>
        </w:tc>
        <w:tc>
          <w:tcPr>
            <w:tcW w:w="0" w:type="auto"/>
            <w:shd w:val="clear" w:color="auto" w:fill="DBE5F1"/>
          </w:tcPr>
          <w:p w14:paraId="19465373" w14:textId="77777777" w:rsidR="00050FB4" w:rsidRPr="00404DA5" w:rsidRDefault="00050FB4" w:rsidP="00050FB4">
            <w:pPr>
              <w:jc w:val="center"/>
              <w:rPr>
                <w:rFonts w:cs="Calibri"/>
                <w:sz w:val="16"/>
                <w:szCs w:val="16"/>
              </w:rPr>
            </w:pPr>
            <w:r w:rsidRPr="00404DA5">
              <w:rPr>
                <w:rFonts w:cs="Calibri"/>
                <w:sz w:val="16"/>
                <w:szCs w:val="16"/>
              </w:rPr>
              <w:t>Wskaźnik</w:t>
            </w:r>
          </w:p>
        </w:tc>
        <w:tc>
          <w:tcPr>
            <w:tcW w:w="0" w:type="auto"/>
            <w:shd w:val="clear" w:color="auto" w:fill="DBE5F1"/>
          </w:tcPr>
          <w:p w14:paraId="39FC1175" w14:textId="77777777" w:rsidR="00050FB4" w:rsidRPr="00404DA5" w:rsidRDefault="00050FB4" w:rsidP="00050FB4">
            <w:pPr>
              <w:jc w:val="center"/>
              <w:rPr>
                <w:rFonts w:cs="Calibri"/>
                <w:sz w:val="16"/>
                <w:szCs w:val="16"/>
              </w:rPr>
            </w:pPr>
            <w:r w:rsidRPr="00404DA5">
              <w:rPr>
                <w:rFonts w:cs="Calibri"/>
                <w:sz w:val="16"/>
                <w:szCs w:val="16"/>
              </w:rPr>
              <w:t>Jednostka pomiaru</w:t>
            </w:r>
          </w:p>
        </w:tc>
        <w:tc>
          <w:tcPr>
            <w:tcW w:w="0" w:type="auto"/>
            <w:shd w:val="clear" w:color="auto" w:fill="DBE5F1"/>
          </w:tcPr>
          <w:p w14:paraId="16369591" w14:textId="77777777" w:rsidR="00050FB4" w:rsidRPr="00404DA5" w:rsidRDefault="00050FB4" w:rsidP="00050FB4">
            <w:pPr>
              <w:jc w:val="center"/>
              <w:rPr>
                <w:rFonts w:cs="Calibri"/>
                <w:sz w:val="16"/>
                <w:szCs w:val="16"/>
              </w:rPr>
            </w:pPr>
            <w:r w:rsidRPr="00404DA5">
              <w:rPr>
                <w:rFonts w:cs="Calibri"/>
                <w:sz w:val="16"/>
                <w:szCs w:val="16"/>
              </w:rPr>
              <w:t>Wartość docelowa na koniec 2023 r. (określona</w:t>
            </w:r>
            <w:r w:rsidR="00E66B89">
              <w:rPr>
                <w:rFonts w:cs="Calibri"/>
                <w:sz w:val="16"/>
                <w:szCs w:val="16"/>
              </w:rPr>
              <w:t xml:space="preserve"> w </w:t>
            </w:r>
            <w:r w:rsidRPr="00404DA5">
              <w:rPr>
                <w:rFonts w:cs="Calibri"/>
                <w:sz w:val="16"/>
                <w:szCs w:val="16"/>
              </w:rPr>
              <w:t>Programie)</w:t>
            </w:r>
          </w:p>
        </w:tc>
        <w:tc>
          <w:tcPr>
            <w:tcW w:w="0" w:type="auto"/>
            <w:shd w:val="clear" w:color="auto" w:fill="DBE5F1"/>
          </w:tcPr>
          <w:p w14:paraId="471489E8" w14:textId="77777777" w:rsidR="00050FB4" w:rsidRPr="00404DA5" w:rsidRDefault="00050FB4" w:rsidP="00050FB4">
            <w:pPr>
              <w:jc w:val="center"/>
              <w:rPr>
                <w:rFonts w:cs="Calibri"/>
                <w:sz w:val="16"/>
                <w:szCs w:val="16"/>
              </w:rPr>
            </w:pPr>
            <w:r w:rsidRPr="00EE19B6">
              <w:rPr>
                <w:rFonts w:cs="Calibri"/>
                <w:sz w:val="16"/>
                <w:szCs w:val="16"/>
              </w:rPr>
              <w:t>Proponowana wartość docelowa na koniec 2023 r.</w:t>
            </w:r>
          </w:p>
        </w:tc>
      </w:tr>
      <w:tr w:rsidR="00050FB4" w:rsidRPr="00FE43CD" w14:paraId="59A4835B" w14:textId="77777777" w:rsidTr="00050FB4">
        <w:tc>
          <w:tcPr>
            <w:tcW w:w="0" w:type="auto"/>
            <w:shd w:val="clear" w:color="auto" w:fill="auto"/>
            <w:vAlign w:val="center"/>
          </w:tcPr>
          <w:p w14:paraId="3C80C926" w14:textId="77777777" w:rsidR="00050FB4" w:rsidRPr="00404DA5" w:rsidRDefault="00050FB4" w:rsidP="00050FB4">
            <w:pPr>
              <w:jc w:val="center"/>
              <w:rPr>
                <w:rFonts w:eastAsia="Calibri" w:cs="Calibri"/>
                <w:sz w:val="16"/>
                <w:szCs w:val="16"/>
              </w:rPr>
            </w:pPr>
            <w:r w:rsidRPr="00404DA5">
              <w:rPr>
                <w:sz w:val="18"/>
                <w:szCs w:val="18"/>
              </w:rPr>
              <w:t>WP</w:t>
            </w:r>
          </w:p>
        </w:tc>
        <w:tc>
          <w:tcPr>
            <w:tcW w:w="0" w:type="auto"/>
            <w:shd w:val="clear" w:color="auto" w:fill="auto"/>
            <w:vAlign w:val="center"/>
          </w:tcPr>
          <w:p w14:paraId="33B1913F" w14:textId="77777777" w:rsidR="00050FB4" w:rsidRPr="00404DA5" w:rsidRDefault="00050FB4" w:rsidP="00050FB4">
            <w:pPr>
              <w:jc w:val="center"/>
              <w:rPr>
                <w:rFonts w:eastAsia="Calibri" w:cs="Calibri"/>
                <w:sz w:val="16"/>
                <w:szCs w:val="16"/>
              </w:rPr>
            </w:pPr>
            <w:r w:rsidRPr="00E55010">
              <w:rPr>
                <w:rFonts w:eastAsia="Calibri" w:cs="Calibri"/>
                <w:sz w:val="16"/>
                <w:szCs w:val="16"/>
              </w:rPr>
              <w:t>Liczba osób</w:t>
            </w:r>
            <w:r w:rsidR="00E66B89">
              <w:rPr>
                <w:rFonts w:eastAsia="Calibri" w:cs="Calibri"/>
                <w:sz w:val="16"/>
                <w:szCs w:val="16"/>
              </w:rPr>
              <w:t xml:space="preserve"> o </w:t>
            </w:r>
            <w:r w:rsidRPr="00E55010">
              <w:rPr>
                <w:rFonts w:eastAsia="Calibri" w:cs="Calibri"/>
                <w:sz w:val="16"/>
                <w:szCs w:val="16"/>
              </w:rPr>
              <w:t>niskich kwalifikacjach, objętych wsparciem</w:t>
            </w:r>
            <w:r w:rsidR="00E66B89">
              <w:rPr>
                <w:rFonts w:eastAsia="Calibri" w:cs="Calibri"/>
                <w:sz w:val="16"/>
                <w:szCs w:val="16"/>
              </w:rPr>
              <w:t xml:space="preserve"> w </w:t>
            </w:r>
            <w:r w:rsidRPr="00E55010">
              <w:rPr>
                <w:rFonts w:eastAsia="Calibri" w:cs="Calibri"/>
                <w:sz w:val="16"/>
                <w:szCs w:val="16"/>
              </w:rPr>
              <w:t>programie</w:t>
            </w:r>
          </w:p>
        </w:tc>
        <w:tc>
          <w:tcPr>
            <w:tcW w:w="0" w:type="auto"/>
            <w:shd w:val="clear" w:color="auto" w:fill="auto"/>
            <w:vAlign w:val="center"/>
          </w:tcPr>
          <w:p w14:paraId="3E1DDA94" w14:textId="77777777" w:rsidR="00050FB4" w:rsidRPr="00404DA5" w:rsidRDefault="00050FB4" w:rsidP="00050FB4">
            <w:pPr>
              <w:jc w:val="center"/>
              <w:rPr>
                <w:rFonts w:eastAsia="Calibri" w:cs="Calibri"/>
                <w:sz w:val="16"/>
                <w:szCs w:val="16"/>
              </w:rPr>
            </w:pPr>
            <w:r w:rsidRPr="00404DA5">
              <w:rPr>
                <w:rFonts w:cs="Calibri"/>
                <w:bCs/>
                <w:sz w:val="18"/>
                <w:szCs w:val="18"/>
              </w:rPr>
              <w:t>osoby</w:t>
            </w:r>
          </w:p>
        </w:tc>
        <w:tc>
          <w:tcPr>
            <w:tcW w:w="0" w:type="auto"/>
            <w:shd w:val="clear" w:color="auto" w:fill="auto"/>
            <w:vAlign w:val="center"/>
          </w:tcPr>
          <w:p w14:paraId="1A573E8D" w14:textId="77777777" w:rsidR="00050FB4" w:rsidRPr="00404DA5" w:rsidRDefault="00050FB4" w:rsidP="00050FB4">
            <w:pPr>
              <w:jc w:val="center"/>
              <w:rPr>
                <w:rFonts w:eastAsia="Calibri" w:cs="Calibri"/>
                <w:sz w:val="16"/>
                <w:szCs w:val="16"/>
              </w:rPr>
            </w:pPr>
            <w:r w:rsidRPr="00404DA5">
              <w:rPr>
                <w:rFonts w:cs="Calibri"/>
                <w:sz w:val="18"/>
                <w:szCs w:val="18"/>
              </w:rPr>
              <w:t>14690</w:t>
            </w:r>
          </w:p>
        </w:tc>
        <w:tc>
          <w:tcPr>
            <w:tcW w:w="0" w:type="auto"/>
            <w:shd w:val="clear" w:color="auto" w:fill="auto"/>
            <w:vAlign w:val="center"/>
          </w:tcPr>
          <w:p w14:paraId="20077872" w14:textId="77777777" w:rsidR="00050FB4" w:rsidRPr="00404DA5" w:rsidRDefault="00050FB4" w:rsidP="00050FB4">
            <w:pPr>
              <w:jc w:val="center"/>
              <w:rPr>
                <w:rFonts w:eastAsia="Calibri" w:cs="Calibri"/>
                <w:sz w:val="16"/>
                <w:szCs w:val="16"/>
              </w:rPr>
            </w:pPr>
            <w:r>
              <w:rPr>
                <w:rFonts w:cs="Calibri"/>
                <w:sz w:val="18"/>
                <w:szCs w:val="18"/>
              </w:rPr>
              <w:t>12</w:t>
            </w:r>
            <w:r w:rsidRPr="00404DA5">
              <w:rPr>
                <w:rFonts w:cs="Calibri"/>
                <w:sz w:val="18"/>
                <w:szCs w:val="18"/>
              </w:rPr>
              <w:t xml:space="preserve"> </w:t>
            </w:r>
            <w:r>
              <w:rPr>
                <w:rFonts w:cs="Calibri"/>
                <w:sz w:val="18"/>
                <w:szCs w:val="18"/>
              </w:rPr>
              <w:t>5</w:t>
            </w:r>
            <w:r w:rsidRPr="00404DA5">
              <w:rPr>
                <w:rFonts w:cs="Calibri"/>
                <w:sz w:val="18"/>
                <w:szCs w:val="18"/>
              </w:rPr>
              <w:t>0</w:t>
            </w:r>
            <w:r>
              <w:rPr>
                <w:rFonts w:cs="Calibri"/>
                <w:sz w:val="18"/>
                <w:szCs w:val="18"/>
              </w:rPr>
              <w:t>0</w:t>
            </w:r>
          </w:p>
        </w:tc>
      </w:tr>
      <w:tr w:rsidR="00050FB4" w:rsidRPr="00FE43CD" w14:paraId="2B59E56F" w14:textId="77777777" w:rsidTr="00050FB4">
        <w:tc>
          <w:tcPr>
            <w:tcW w:w="0" w:type="auto"/>
            <w:shd w:val="clear" w:color="auto" w:fill="auto"/>
            <w:vAlign w:val="center"/>
          </w:tcPr>
          <w:p w14:paraId="17502103" w14:textId="77777777" w:rsidR="00050FB4" w:rsidRPr="00404DA5" w:rsidRDefault="00050FB4" w:rsidP="00050FB4">
            <w:pPr>
              <w:jc w:val="center"/>
              <w:rPr>
                <w:sz w:val="18"/>
                <w:szCs w:val="18"/>
              </w:rPr>
            </w:pPr>
            <w:r w:rsidRPr="00404DA5">
              <w:rPr>
                <w:sz w:val="18"/>
                <w:szCs w:val="18"/>
              </w:rPr>
              <w:t>WP</w:t>
            </w:r>
          </w:p>
        </w:tc>
        <w:tc>
          <w:tcPr>
            <w:tcW w:w="0" w:type="auto"/>
            <w:shd w:val="clear" w:color="auto" w:fill="auto"/>
            <w:vAlign w:val="center"/>
          </w:tcPr>
          <w:p w14:paraId="780F3997" w14:textId="77777777" w:rsidR="00050FB4" w:rsidRPr="00E55010" w:rsidRDefault="00050FB4" w:rsidP="00050FB4">
            <w:pPr>
              <w:jc w:val="center"/>
              <w:rPr>
                <w:rFonts w:eastAsia="Calibri" w:cs="Calibri"/>
                <w:sz w:val="16"/>
                <w:szCs w:val="16"/>
              </w:rPr>
            </w:pPr>
            <w:r w:rsidRPr="00E55010">
              <w:rPr>
                <w:rFonts w:eastAsia="Calibri" w:cs="Calibri"/>
                <w:sz w:val="16"/>
                <w:szCs w:val="16"/>
              </w:rPr>
              <w:t>Liczba osób</w:t>
            </w:r>
            <w:r w:rsidR="00E66B89">
              <w:rPr>
                <w:rFonts w:eastAsia="Calibri" w:cs="Calibri"/>
                <w:sz w:val="16"/>
                <w:szCs w:val="16"/>
              </w:rPr>
              <w:t xml:space="preserve"> w </w:t>
            </w:r>
            <w:r w:rsidRPr="00E55010">
              <w:rPr>
                <w:rFonts w:eastAsia="Calibri" w:cs="Calibri"/>
                <w:sz w:val="16"/>
                <w:szCs w:val="16"/>
              </w:rPr>
              <w:t>wieku 25 lat</w:t>
            </w:r>
            <w:r w:rsidR="00E66B89">
              <w:rPr>
                <w:rFonts w:eastAsia="Calibri" w:cs="Calibri"/>
                <w:sz w:val="16"/>
                <w:szCs w:val="16"/>
              </w:rPr>
              <w:t xml:space="preserve"> i </w:t>
            </w:r>
            <w:r w:rsidRPr="00E55010">
              <w:rPr>
                <w:rFonts w:eastAsia="Calibri" w:cs="Calibri"/>
                <w:sz w:val="16"/>
                <w:szCs w:val="16"/>
              </w:rPr>
              <w:t>więcej objętych wsparciem</w:t>
            </w:r>
            <w:r w:rsidR="00E66B89">
              <w:rPr>
                <w:rFonts w:eastAsia="Calibri" w:cs="Calibri"/>
                <w:sz w:val="16"/>
                <w:szCs w:val="16"/>
              </w:rPr>
              <w:t xml:space="preserve"> w </w:t>
            </w:r>
            <w:r w:rsidRPr="00E55010">
              <w:rPr>
                <w:rFonts w:eastAsia="Calibri" w:cs="Calibri"/>
                <w:sz w:val="16"/>
                <w:szCs w:val="16"/>
              </w:rPr>
              <w:t>programie</w:t>
            </w:r>
          </w:p>
        </w:tc>
        <w:tc>
          <w:tcPr>
            <w:tcW w:w="0" w:type="auto"/>
            <w:shd w:val="clear" w:color="auto" w:fill="auto"/>
            <w:vAlign w:val="center"/>
          </w:tcPr>
          <w:p w14:paraId="7B215D53" w14:textId="77777777" w:rsidR="00050FB4" w:rsidRPr="00404DA5" w:rsidRDefault="00050FB4" w:rsidP="00050FB4">
            <w:pPr>
              <w:jc w:val="center"/>
              <w:rPr>
                <w:rFonts w:cs="Calibri"/>
                <w:bCs/>
                <w:sz w:val="18"/>
                <w:szCs w:val="18"/>
              </w:rPr>
            </w:pPr>
            <w:r w:rsidRPr="00404DA5">
              <w:rPr>
                <w:rFonts w:cs="Calibri"/>
                <w:bCs/>
                <w:sz w:val="18"/>
                <w:szCs w:val="18"/>
              </w:rPr>
              <w:t>osoby</w:t>
            </w:r>
          </w:p>
        </w:tc>
        <w:tc>
          <w:tcPr>
            <w:tcW w:w="0" w:type="auto"/>
            <w:shd w:val="clear" w:color="auto" w:fill="auto"/>
            <w:vAlign w:val="center"/>
          </w:tcPr>
          <w:p w14:paraId="4A062293" w14:textId="77777777" w:rsidR="00050FB4" w:rsidRPr="00404DA5" w:rsidRDefault="00050FB4" w:rsidP="00050FB4">
            <w:pPr>
              <w:jc w:val="center"/>
              <w:rPr>
                <w:rFonts w:cs="Calibri"/>
                <w:sz w:val="18"/>
                <w:szCs w:val="18"/>
              </w:rPr>
            </w:pPr>
            <w:r w:rsidRPr="00404DA5">
              <w:rPr>
                <w:rFonts w:cs="Calibri"/>
                <w:sz w:val="18"/>
                <w:szCs w:val="18"/>
              </w:rPr>
              <w:t>20986</w:t>
            </w:r>
          </w:p>
        </w:tc>
        <w:tc>
          <w:tcPr>
            <w:tcW w:w="0" w:type="auto"/>
            <w:shd w:val="clear" w:color="auto" w:fill="auto"/>
            <w:vAlign w:val="center"/>
          </w:tcPr>
          <w:p w14:paraId="6869511E" w14:textId="77777777" w:rsidR="00050FB4" w:rsidRPr="00404DA5" w:rsidRDefault="00050FB4" w:rsidP="00050FB4">
            <w:pPr>
              <w:jc w:val="center"/>
              <w:rPr>
                <w:rFonts w:cs="Calibri"/>
                <w:sz w:val="18"/>
                <w:szCs w:val="18"/>
              </w:rPr>
            </w:pPr>
            <w:r>
              <w:rPr>
                <w:rFonts w:cs="Calibri"/>
                <w:sz w:val="18"/>
                <w:szCs w:val="18"/>
              </w:rPr>
              <w:t>16 000</w:t>
            </w:r>
          </w:p>
        </w:tc>
      </w:tr>
    </w:tbl>
    <w:p w14:paraId="32C39EA1" w14:textId="77777777" w:rsidR="00050FB4" w:rsidRPr="00D21299" w:rsidRDefault="00050FB4"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analizy własne.</w:t>
      </w:r>
    </w:p>
    <w:p w14:paraId="15A94F06" w14:textId="77777777" w:rsidR="00116CFB" w:rsidRPr="00801DB4" w:rsidRDefault="00116CFB" w:rsidP="00116CFB">
      <w:pPr>
        <w:pStyle w:val="Nagwek2"/>
      </w:pPr>
      <w:bookmarkStart w:id="330" w:name="_Toc6523753"/>
      <w:r w:rsidRPr="00801DB4">
        <w:t>Oś priorytetowa IX Infrastruktura publiczna</w:t>
      </w:r>
      <w:bookmarkEnd w:id="330"/>
      <w:r w:rsidRPr="00801DB4">
        <w:t xml:space="preserve"> </w:t>
      </w:r>
    </w:p>
    <w:p w14:paraId="1B494610" w14:textId="77777777" w:rsidR="00116CFB" w:rsidRPr="00801DB4" w:rsidRDefault="00116CFB" w:rsidP="00116CFB">
      <w:pPr>
        <w:pStyle w:val="Nagwek3"/>
      </w:pPr>
      <w:r w:rsidRPr="00801DB4">
        <w:t>Ocena zmian sytuacji społeczno-gospodarczej</w:t>
      </w:r>
      <w:r w:rsidR="00E66B89">
        <w:t xml:space="preserve"> w </w:t>
      </w:r>
      <w:r w:rsidRPr="00801DB4">
        <w:t>obszarze OP IX</w:t>
      </w:r>
    </w:p>
    <w:p w14:paraId="6511A615" w14:textId="77777777" w:rsidR="00116CFB" w:rsidRPr="00404DA5" w:rsidRDefault="00116CFB" w:rsidP="00116CFB">
      <w:pPr>
        <w:rPr>
          <w:rFonts w:eastAsia="Calibri"/>
          <w:b/>
          <w:color w:val="365F91"/>
        </w:rPr>
      </w:pPr>
      <w:r w:rsidRPr="004D674A">
        <w:rPr>
          <w:rFonts w:eastAsia="Calibri"/>
          <w:b/>
          <w:i/>
          <w:color w:val="4F81BD"/>
          <w:szCs w:val="20"/>
          <w:lang w:eastAsia="en-US"/>
        </w:rPr>
        <w:t>PI 9a</w:t>
      </w:r>
      <w:r w:rsidR="00C22C26">
        <w:rPr>
          <w:b/>
          <w:color w:val="365F91"/>
        </w:rPr>
        <w:t xml:space="preserve"> </w:t>
      </w:r>
    </w:p>
    <w:p w14:paraId="711D5E66" w14:textId="77777777" w:rsidR="00116CFB" w:rsidRPr="000A135E" w:rsidRDefault="00116CFB" w:rsidP="00116CFB">
      <w:pPr>
        <w:rPr>
          <w:szCs w:val="20"/>
        </w:rPr>
      </w:pPr>
      <w:r w:rsidRPr="000A135E">
        <w:rPr>
          <w:szCs w:val="20"/>
        </w:rPr>
        <w:t>Wsparcie</w:t>
      </w:r>
      <w:r w:rsidR="00E66B89">
        <w:rPr>
          <w:szCs w:val="20"/>
        </w:rPr>
        <w:t xml:space="preserve"> w </w:t>
      </w:r>
      <w:r w:rsidRPr="000A135E">
        <w:rPr>
          <w:szCs w:val="20"/>
        </w:rPr>
        <w:t xml:space="preserve">ramach </w:t>
      </w:r>
      <w:r>
        <w:rPr>
          <w:szCs w:val="20"/>
        </w:rPr>
        <w:t>PI</w:t>
      </w:r>
      <w:r w:rsidRPr="000A135E">
        <w:rPr>
          <w:szCs w:val="20"/>
        </w:rPr>
        <w:t xml:space="preserve"> 9a </w:t>
      </w:r>
      <w:r w:rsidRPr="000A135E">
        <w:rPr>
          <w:i/>
          <w:szCs w:val="20"/>
        </w:rPr>
        <w:t>Inwestycje</w:t>
      </w:r>
      <w:r w:rsidR="00E66B89">
        <w:rPr>
          <w:i/>
          <w:szCs w:val="20"/>
        </w:rPr>
        <w:t xml:space="preserve"> w </w:t>
      </w:r>
      <w:r w:rsidRPr="000A135E">
        <w:rPr>
          <w:i/>
          <w:szCs w:val="20"/>
        </w:rPr>
        <w:t>infrastrukturę zdrowotną</w:t>
      </w:r>
      <w:r w:rsidR="00E66B89">
        <w:rPr>
          <w:i/>
          <w:szCs w:val="20"/>
        </w:rPr>
        <w:t xml:space="preserve"> i </w:t>
      </w:r>
      <w:r w:rsidRPr="000A135E">
        <w:rPr>
          <w:i/>
          <w:szCs w:val="20"/>
        </w:rPr>
        <w:t>społeczną, które przyczyniają się do rozwoju krajowego, regionalnego</w:t>
      </w:r>
      <w:r w:rsidR="00E66B89">
        <w:rPr>
          <w:i/>
          <w:szCs w:val="20"/>
        </w:rPr>
        <w:t xml:space="preserve"> i </w:t>
      </w:r>
      <w:r w:rsidRPr="000A135E">
        <w:rPr>
          <w:i/>
          <w:szCs w:val="20"/>
        </w:rPr>
        <w:t>lokalnego, zmniejszania nierówności</w:t>
      </w:r>
      <w:r w:rsidR="00E66B89">
        <w:rPr>
          <w:i/>
          <w:szCs w:val="20"/>
        </w:rPr>
        <w:t xml:space="preserve"> w </w:t>
      </w:r>
      <w:r w:rsidRPr="000A135E">
        <w:rPr>
          <w:i/>
          <w:szCs w:val="20"/>
        </w:rPr>
        <w:t>zakresie stanu zdrowia, promowanie włączenia społecznego poprzez lepszy dostęp do usług społecznych, kulturalnych</w:t>
      </w:r>
      <w:r w:rsidR="00E66B89">
        <w:rPr>
          <w:i/>
          <w:szCs w:val="20"/>
        </w:rPr>
        <w:t xml:space="preserve"> i </w:t>
      </w:r>
      <w:r w:rsidRPr="000A135E">
        <w:rPr>
          <w:i/>
          <w:szCs w:val="20"/>
        </w:rPr>
        <w:t>rekreacyjnych, oraz przejścia</w:t>
      </w:r>
      <w:r w:rsidR="00E66B89">
        <w:rPr>
          <w:i/>
          <w:szCs w:val="20"/>
        </w:rPr>
        <w:t xml:space="preserve"> z </w:t>
      </w:r>
      <w:r w:rsidRPr="000A135E">
        <w:rPr>
          <w:i/>
          <w:szCs w:val="20"/>
        </w:rPr>
        <w:t>usług instytucjonalnych na usługi na poziomie społeczności lokalnych</w:t>
      </w:r>
      <w:r w:rsidRPr="000A135E">
        <w:rPr>
          <w:szCs w:val="20"/>
        </w:rPr>
        <w:t xml:space="preserve"> realizowane jest</w:t>
      </w:r>
      <w:r w:rsidR="00E66B89">
        <w:rPr>
          <w:szCs w:val="20"/>
        </w:rPr>
        <w:t xml:space="preserve"> w </w:t>
      </w:r>
      <w:r w:rsidRPr="000A135E">
        <w:rPr>
          <w:szCs w:val="20"/>
        </w:rPr>
        <w:t xml:space="preserve">ramach dwóch celów szczegółowych: zwiększenie dostępności do wysokiej jakości infrastruktury zdrowotnej (Działanie 9.1. </w:t>
      </w:r>
      <w:r w:rsidRPr="008B706B">
        <w:rPr>
          <w:i/>
          <w:szCs w:val="20"/>
        </w:rPr>
        <w:t>Infrastruktura zdrowia</w:t>
      </w:r>
      <w:r>
        <w:rPr>
          <w:i/>
          <w:szCs w:val="20"/>
        </w:rPr>
        <w:t>)</w:t>
      </w:r>
      <w:r w:rsidR="00E66B89">
        <w:rPr>
          <w:i/>
          <w:szCs w:val="20"/>
        </w:rPr>
        <w:t xml:space="preserve"> i </w:t>
      </w:r>
      <w:r w:rsidRPr="0032103B">
        <w:rPr>
          <w:szCs w:val="20"/>
        </w:rPr>
        <w:t>zwiększenie dostępności usług społecznych</w:t>
      </w:r>
      <w:r>
        <w:rPr>
          <w:szCs w:val="20"/>
        </w:rPr>
        <w:t xml:space="preserve"> (</w:t>
      </w:r>
      <w:r w:rsidRPr="000A135E">
        <w:rPr>
          <w:szCs w:val="20"/>
        </w:rPr>
        <w:t xml:space="preserve">Działanie 9.2. </w:t>
      </w:r>
      <w:r w:rsidRPr="008B706B">
        <w:rPr>
          <w:i/>
          <w:szCs w:val="20"/>
        </w:rPr>
        <w:t>Infrastruktura społeczna</w:t>
      </w:r>
      <w:r w:rsidRPr="000A135E">
        <w:rPr>
          <w:szCs w:val="20"/>
        </w:rPr>
        <w:t>).</w:t>
      </w:r>
    </w:p>
    <w:p w14:paraId="0EBB690B" w14:textId="77777777" w:rsidR="00116CFB" w:rsidRPr="000A135E" w:rsidRDefault="00116CFB" w:rsidP="00116CFB">
      <w:pPr>
        <w:rPr>
          <w:szCs w:val="20"/>
        </w:rPr>
      </w:pPr>
      <w:r>
        <w:rPr>
          <w:szCs w:val="20"/>
        </w:rPr>
        <w:t>Zgodnie</w:t>
      </w:r>
      <w:r w:rsidR="00E66B89">
        <w:rPr>
          <w:szCs w:val="20"/>
        </w:rPr>
        <w:t xml:space="preserve"> z </w:t>
      </w:r>
      <w:r>
        <w:rPr>
          <w:szCs w:val="20"/>
        </w:rPr>
        <w:t>logiką interwencji, w</w:t>
      </w:r>
      <w:r w:rsidRPr="000A135E">
        <w:rPr>
          <w:szCs w:val="20"/>
        </w:rPr>
        <w:t>sparcie infrastruktury zdrowotnej</w:t>
      </w:r>
      <w:r w:rsidR="00E66B89">
        <w:rPr>
          <w:szCs w:val="20"/>
        </w:rPr>
        <w:t xml:space="preserve"> w </w:t>
      </w:r>
      <w:r w:rsidRPr="000A135E">
        <w:rPr>
          <w:szCs w:val="20"/>
        </w:rPr>
        <w:t>ramach Działania 9.1. RPO WZ 2014-2020 służy zapobieganiu przedwczesnej umieralności spowodowanej zachorowalnością na schorzenia stanowiące główną przyczynę zgonów</w:t>
      </w:r>
      <w:r w:rsidR="00E66B89">
        <w:rPr>
          <w:szCs w:val="20"/>
        </w:rPr>
        <w:t xml:space="preserve"> w </w:t>
      </w:r>
      <w:r w:rsidRPr="000A135E">
        <w:rPr>
          <w:szCs w:val="20"/>
        </w:rPr>
        <w:t>regionie</w:t>
      </w:r>
      <w:r>
        <w:rPr>
          <w:szCs w:val="20"/>
        </w:rPr>
        <w:t xml:space="preserve"> ze szczególnym uwzględnieniem</w:t>
      </w:r>
      <w:r w:rsidRPr="000A135E">
        <w:rPr>
          <w:szCs w:val="20"/>
        </w:rPr>
        <w:t xml:space="preserve"> zmniejsz</w:t>
      </w:r>
      <w:r>
        <w:rPr>
          <w:szCs w:val="20"/>
        </w:rPr>
        <w:t>e</w:t>
      </w:r>
      <w:r w:rsidRPr="000A135E">
        <w:rPr>
          <w:szCs w:val="20"/>
        </w:rPr>
        <w:t>ni</w:t>
      </w:r>
      <w:r>
        <w:rPr>
          <w:szCs w:val="20"/>
        </w:rPr>
        <w:t>a</w:t>
      </w:r>
      <w:r w:rsidRPr="000A135E">
        <w:rPr>
          <w:szCs w:val="20"/>
        </w:rPr>
        <w:t xml:space="preserve"> niekorzystnych skutków wysokiej zachorowalności na choroby nowotworowe oraz choroby układu krążenia. Interwencje te odpowiadają na następujące deficyty</w:t>
      </w:r>
      <w:r w:rsidR="00E66B89">
        <w:rPr>
          <w:szCs w:val="20"/>
        </w:rPr>
        <w:t xml:space="preserve"> i </w:t>
      </w:r>
      <w:r w:rsidRPr="000A135E">
        <w:rPr>
          <w:szCs w:val="20"/>
        </w:rPr>
        <w:t>wyzwania rozwojowe</w:t>
      </w:r>
      <w:r>
        <w:rPr>
          <w:szCs w:val="20"/>
        </w:rPr>
        <w:t xml:space="preserve"> zidentyfikowane na etapie programowania wsparcia</w:t>
      </w:r>
      <w:r w:rsidRPr="000A135E">
        <w:rPr>
          <w:szCs w:val="20"/>
        </w:rPr>
        <w:t>:</w:t>
      </w:r>
      <w:r>
        <w:rPr>
          <w:szCs w:val="20"/>
        </w:rPr>
        <w:t xml:space="preserve"> </w:t>
      </w:r>
      <w:r w:rsidRPr="000A135E">
        <w:rPr>
          <w:szCs w:val="20"/>
        </w:rPr>
        <w:t>wysok</w:t>
      </w:r>
      <w:r>
        <w:rPr>
          <w:szCs w:val="20"/>
        </w:rPr>
        <w:t>ą</w:t>
      </w:r>
      <w:r w:rsidRPr="000A135E">
        <w:rPr>
          <w:szCs w:val="20"/>
        </w:rPr>
        <w:t xml:space="preserve"> zachorowalność</w:t>
      </w:r>
      <w:r w:rsidR="00E66B89">
        <w:rPr>
          <w:szCs w:val="20"/>
        </w:rPr>
        <w:t xml:space="preserve"> i </w:t>
      </w:r>
      <w:r>
        <w:rPr>
          <w:szCs w:val="20"/>
        </w:rPr>
        <w:t>umieralność</w:t>
      </w:r>
      <w:r w:rsidRPr="000A135E">
        <w:rPr>
          <w:szCs w:val="20"/>
        </w:rPr>
        <w:t xml:space="preserve"> na choroby cywilizacyjne</w:t>
      </w:r>
      <w:r>
        <w:rPr>
          <w:szCs w:val="20"/>
        </w:rPr>
        <w:t xml:space="preserve">; </w:t>
      </w:r>
      <w:r w:rsidRPr="000A135E">
        <w:rPr>
          <w:szCs w:val="20"/>
        </w:rPr>
        <w:t>nisk</w:t>
      </w:r>
      <w:r>
        <w:rPr>
          <w:szCs w:val="20"/>
        </w:rPr>
        <w:t>ą</w:t>
      </w:r>
      <w:r w:rsidRPr="000A135E">
        <w:rPr>
          <w:szCs w:val="20"/>
        </w:rPr>
        <w:t xml:space="preserve"> dostępność łóżek</w:t>
      </w:r>
      <w:r w:rsidR="00E66B89">
        <w:rPr>
          <w:szCs w:val="20"/>
        </w:rPr>
        <w:t xml:space="preserve"> w </w:t>
      </w:r>
      <w:r w:rsidRPr="000A135E">
        <w:rPr>
          <w:szCs w:val="20"/>
        </w:rPr>
        <w:t>leczeniu długookresowym, rehabilitacji leczniczej, psychiatrii</w:t>
      </w:r>
      <w:r w:rsidR="00E66B89">
        <w:rPr>
          <w:szCs w:val="20"/>
        </w:rPr>
        <w:t xml:space="preserve"> i </w:t>
      </w:r>
      <w:r w:rsidRPr="000A135E">
        <w:rPr>
          <w:szCs w:val="20"/>
        </w:rPr>
        <w:t>geriatrii</w:t>
      </w:r>
      <w:r>
        <w:rPr>
          <w:szCs w:val="20"/>
        </w:rPr>
        <w:t xml:space="preserve">; </w:t>
      </w:r>
      <w:r w:rsidRPr="000A135E">
        <w:rPr>
          <w:szCs w:val="20"/>
        </w:rPr>
        <w:t>niewystarczające wyposażenie szpitali</w:t>
      </w:r>
      <w:r w:rsidR="00E66B89">
        <w:rPr>
          <w:szCs w:val="20"/>
        </w:rPr>
        <w:t xml:space="preserve"> w </w:t>
      </w:r>
      <w:r w:rsidRPr="000A135E">
        <w:rPr>
          <w:szCs w:val="20"/>
        </w:rPr>
        <w:t>aparaturę</w:t>
      </w:r>
      <w:r w:rsidR="00E66B89">
        <w:rPr>
          <w:szCs w:val="20"/>
        </w:rPr>
        <w:t xml:space="preserve"> i </w:t>
      </w:r>
      <w:r w:rsidRPr="000A135E">
        <w:rPr>
          <w:szCs w:val="20"/>
        </w:rPr>
        <w:t>sprzęt medyczny</w:t>
      </w:r>
      <w:r>
        <w:rPr>
          <w:szCs w:val="20"/>
        </w:rPr>
        <w:t xml:space="preserve">; </w:t>
      </w:r>
      <w:r w:rsidRPr="000A135E">
        <w:rPr>
          <w:szCs w:val="20"/>
        </w:rPr>
        <w:t>wysoki</w:t>
      </w:r>
      <w:r w:rsidR="00E66B89">
        <w:rPr>
          <w:szCs w:val="20"/>
        </w:rPr>
        <w:t xml:space="preserve"> w </w:t>
      </w:r>
      <w:r w:rsidRPr="000A135E">
        <w:rPr>
          <w:szCs w:val="20"/>
        </w:rPr>
        <w:t>skali kraju</w:t>
      </w:r>
      <w:r w:rsidR="00E66B89">
        <w:rPr>
          <w:szCs w:val="20"/>
        </w:rPr>
        <w:t xml:space="preserve"> i </w:t>
      </w:r>
      <w:r w:rsidRPr="000A135E">
        <w:rPr>
          <w:szCs w:val="20"/>
        </w:rPr>
        <w:t>Europy wskaźnik zgonów niemowląt</w:t>
      </w:r>
      <w:r w:rsidR="00E66B89">
        <w:rPr>
          <w:szCs w:val="20"/>
        </w:rPr>
        <w:t xml:space="preserve"> i </w:t>
      </w:r>
      <w:r w:rsidRPr="000A135E">
        <w:rPr>
          <w:szCs w:val="20"/>
        </w:rPr>
        <w:t>umieralności okołoporodowej</w:t>
      </w:r>
      <w:r>
        <w:rPr>
          <w:szCs w:val="20"/>
        </w:rPr>
        <w:t>; n</w:t>
      </w:r>
      <w:r w:rsidRPr="000A135E">
        <w:rPr>
          <w:szCs w:val="20"/>
        </w:rPr>
        <w:t>iski</w:t>
      </w:r>
      <w:r w:rsidR="00E66B89">
        <w:rPr>
          <w:szCs w:val="20"/>
        </w:rPr>
        <w:t xml:space="preserve"> w </w:t>
      </w:r>
      <w:r w:rsidRPr="000A135E">
        <w:rPr>
          <w:szCs w:val="20"/>
        </w:rPr>
        <w:t>skali kraju</w:t>
      </w:r>
      <w:r w:rsidR="00E66B89">
        <w:rPr>
          <w:szCs w:val="20"/>
        </w:rPr>
        <w:t xml:space="preserve"> i </w:t>
      </w:r>
      <w:r w:rsidRPr="000A135E">
        <w:rPr>
          <w:szCs w:val="20"/>
        </w:rPr>
        <w:t>Europy współczynnik przeciętnego dalszego trwania życia we wszystkich grupach wiekowych</w:t>
      </w:r>
      <w:r>
        <w:rPr>
          <w:szCs w:val="20"/>
        </w:rPr>
        <w:t>.</w:t>
      </w:r>
    </w:p>
    <w:p w14:paraId="46B97362" w14:textId="77777777" w:rsidR="00116CFB" w:rsidRPr="000A135E"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Analiza zmian</w:t>
      </w:r>
      <w:r w:rsidR="00E66B89">
        <w:rPr>
          <w:rFonts w:ascii="Lato" w:hAnsi="Lato"/>
          <w:szCs w:val="20"/>
        </w:rPr>
        <w:t xml:space="preserve"> w </w:t>
      </w:r>
      <w:r w:rsidRPr="000A135E">
        <w:rPr>
          <w:rFonts w:ascii="Lato" w:hAnsi="Lato"/>
          <w:szCs w:val="20"/>
        </w:rPr>
        <w:t>obszarze stanu zdrowia publicznego</w:t>
      </w:r>
      <w:r w:rsidR="00E66B89">
        <w:rPr>
          <w:rFonts w:ascii="Lato" w:hAnsi="Lato"/>
          <w:szCs w:val="20"/>
        </w:rPr>
        <w:t xml:space="preserve"> w </w:t>
      </w:r>
      <w:r w:rsidRPr="000A135E">
        <w:rPr>
          <w:rFonts w:ascii="Lato" w:hAnsi="Lato"/>
          <w:szCs w:val="20"/>
        </w:rPr>
        <w:t>regionie zachodniopomorskim</w:t>
      </w:r>
      <w:r w:rsidR="00E66B89">
        <w:rPr>
          <w:rFonts w:ascii="Lato" w:hAnsi="Lato"/>
          <w:szCs w:val="20"/>
        </w:rPr>
        <w:t xml:space="preserve"> w </w:t>
      </w:r>
      <w:r w:rsidRPr="000A135E">
        <w:rPr>
          <w:rFonts w:ascii="Lato" w:hAnsi="Lato"/>
          <w:szCs w:val="20"/>
        </w:rPr>
        <w:t>latach 2014-20</w:t>
      </w:r>
      <w:r>
        <w:rPr>
          <w:rFonts w:ascii="Lato" w:hAnsi="Lato"/>
          <w:szCs w:val="20"/>
        </w:rPr>
        <w:t>17</w:t>
      </w:r>
      <w:r w:rsidRPr="000A135E">
        <w:rPr>
          <w:rFonts w:ascii="Lato" w:hAnsi="Lato"/>
          <w:szCs w:val="20"/>
        </w:rPr>
        <w:t xml:space="preserve"> wskazuje na </w:t>
      </w:r>
      <w:r>
        <w:rPr>
          <w:rFonts w:ascii="Lato" w:hAnsi="Lato"/>
          <w:szCs w:val="20"/>
        </w:rPr>
        <w:t>ciągł</w:t>
      </w:r>
      <w:r w:rsidRPr="000A135E">
        <w:rPr>
          <w:rFonts w:ascii="Lato" w:hAnsi="Lato"/>
          <w:szCs w:val="20"/>
        </w:rPr>
        <w:t>ą aktualność potrzeb sektora. Wzrosła umieralność na nowotwory (z 2,7 na 1000 osób na 2,8), stała pozostaje umieralność na choroby układu krążenia (4,5 na 1000 osób). Jednocześnie tendencje demograficzne</w:t>
      </w:r>
      <w:r w:rsidR="00E66B89">
        <w:rPr>
          <w:rFonts w:ascii="Lato" w:hAnsi="Lato"/>
          <w:szCs w:val="20"/>
        </w:rPr>
        <w:t xml:space="preserve"> w </w:t>
      </w:r>
      <w:r w:rsidRPr="000A135E">
        <w:rPr>
          <w:rFonts w:ascii="Lato" w:hAnsi="Lato"/>
          <w:szCs w:val="20"/>
        </w:rPr>
        <w:t xml:space="preserve">województwie zwiększają skalę zachorowalności na choroby cywilizacyjne. Liczba osób powyżej 65 roku życia wzrasta dynamicznie. </w:t>
      </w:r>
    </w:p>
    <w:p w14:paraId="538C4CC5" w14:textId="77777777" w:rsidR="00116CFB" w:rsidRPr="002755B9" w:rsidRDefault="00116CFB" w:rsidP="00FE73B6">
      <w:pPr>
        <w:pStyle w:val="Legenda"/>
        <w:spacing w:after="0"/>
      </w:pPr>
      <w:bookmarkStart w:id="331" w:name="_Toc5311897"/>
      <w:r w:rsidRPr="002755B9">
        <w:lastRenderedPageBreak/>
        <w:t xml:space="preserve">Wykres </w:t>
      </w:r>
      <w:r>
        <w:fldChar w:fldCharType="begin"/>
      </w:r>
      <w:r>
        <w:instrText xml:space="preserve"> SEQ Wykres \* ARABIC </w:instrText>
      </w:r>
      <w:r>
        <w:fldChar w:fldCharType="separate"/>
      </w:r>
      <w:r w:rsidR="00763345">
        <w:rPr>
          <w:noProof/>
        </w:rPr>
        <w:t>31</w:t>
      </w:r>
      <w:r>
        <w:fldChar w:fldCharType="end"/>
      </w:r>
      <w:r w:rsidRPr="002755B9">
        <w:t xml:space="preserve"> Liczba osób</w:t>
      </w:r>
      <w:r w:rsidR="00E66B89">
        <w:t xml:space="preserve"> w </w:t>
      </w:r>
      <w:r w:rsidRPr="002755B9">
        <w:t>wieku 65+</w:t>
      </w:r>
      <w:r w:rsidR="00E66B89">
        <w:t xml:space="preserve"> w </w:t>
      </w:r>
      <w:r w:rsidRPr="002755B9">
        <w:t>regionie zachodniopomorskim</w:t>
      </w:r>
      <w:r w:rsidR="00E66B89">
        <w:t xml:space="preserve"> w </w:t>
      </w:r>
      <w:r w:rsidRPr="002755B9">
        <w:t>latach 2014-2017</w:t>
      </w:r>
      <w:bookmarkEnd w:id="331"/>
    </w:p>
    <w:p w14:paraId="4869F70F" w14:textId="6FFF1420" w:rsidR="00116CFB" w:rsidRPr="000A135E" w:rsidRDefault="00C35619" w:rsidP="004F028D">
      <w:pPr>
        <w:pStyle w:val="Typprojektu"/>
        <w:numPr>
          <w:ilvl w:val="0"/>
          <w:numId w:val="0"/>
        </w:numPr>
        <w:spacing w:before="0" w:after="0" w:line="288" w:lineRule="auto"/>
        <w:jc w:val="left"/>
        <w:rPr>
          <w:rFonts w:ascii="Lato" w:hAnsi="Lato"/>
          <w:szCs w:val="20"/>
        </w:rPr>
      </w:pPr>
      <w:r w:rsidRPr="005F04FC">
        <w:rPr>
          <w:rFonts w:ascii="Lato" w:hAnsi="Lato"/>
          <w:noProof/>
          <w:szCs w:val="20"/>
          <w:lang w:eastAsia="pl-PL"/>
        </w:rPr>
        <w:drawing>
          <wp:inline distT="0" distB="0" distL="0" distR="0" wp14:anchorId="38EBC7EE" wp14:editId="36838E83">
            <wp:extent cx="5742305" cy="2348865"/>
            <wp:effectExtent l="0" t="0" r="10795" b="13335"/>
            <wp:docPr id="54"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437DDF5" w14:textId="77777777" w:rsidR="00116CFB" w:rsidRPr="00D21299" w:rsidRDefault="00116CFB" w:rsidP="001245CE">
      <w:pPr>
        <w:spacing w:before="0"/>
        <w:rPr>
          <w:i/>
          <w:sz w:val="18"/>
          <w:szCs w:val="20"/>
        </w:rPr>
      </w:pPr>
      <w:r w:rsidRPr="00D21299">
        <w:rPr>
          <w:i/>
          <w:sz w:val="18"/>
          <w:szCs w:val="20"/>
        </w:rPr>
        <w:t>Źródło: BDL.</w:t>
      </w:r>
    </w:p>
    <w:p w14:paraId="0E4ABBE0" w14:textId="77777777" w:rsidR="00116CFB" w:rsidRPr="000A135E"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Zgodnie</w:t>
      </w:r>
      <w:r w:rsidR="00E66B89">
        <w:rPr>
          <w:rFonts w:ascii="Lato" w:hAnsi="Lato"/>
          <w:szCs w:val="20"/>
        </w:rPr>
        <w:t xml:space="preserve"> z </w:t>
      </w:r>
      <w:r w:rsidRPr="000A135E">
        <w:rPr>
          <w:rFonts w:ascii="Lato" w:hAnsi="Lato"/>
          <w:szCs w:val="20"/>
        </w:rPr>
        <w:t>danymi BDL</w:t>
      </w:r>
      <w:r>
        <w:rPr>
          <w:rFonts w:ascii="Lato" w:hAnsi="Lato"/>
          <w:szCs w:val="20"/>
        </w:rPr>
        <w:t>,</w:t>
      </w:r>
      <w:r w:rsidRPr="000A135E">
        <w:rPr>
          <w:rFonts w:ascii="Lato" w:hAnsi="Lato"/>
          <w:szCs w:val="20"/>
        </w:rPr>
        <w:t xml:space="preserve"> sytuacja ta pociąga za sobą wzrost liczby osób oczekujących na świadczenie medyczne na 1000 osób</w:t>
      </w:r>
      <w:r w:rsidR="00E66B89">
        <w:rPr>
          <w:rFonts w:ascii="Lato" w:hAnsi="Lato"/>
          <w:szCs w:val="20"/>
        </w:rPr>
        <w:t xml:space="preserve"> z </w:t>
      </w:r>
      <w:r w:rsidRPr="000A135E">
        <w:rPr>
          <w:rFonts w:ascii="Lato" w:hAnsi="Lato"/>
          <w:szCs w:val="20"/>
        </w:rPr>
        <w:t>205</w:t>
      </w:r>
      <w:r w:rsidR="00E66B89">
        <w:rPr>
          <w:rFonts w:ascii="Lato" w:hAnsi="Lato"/>
          <w:szCs w:val="20"/>
        </w:rPr>
        <w:t xml:space="preserve"> w </w:t>
      </w:r>
      <w:r w:rsidRPr="000A135E">
        <w:rPr>
          <w:rFonts w:ascii="Lato" w:hAnsi="Lato"/>
          <w:szCs w:val="20"/>
        </w:rPr>
        <w:t>2014 roku do 207</w:t>
      </w:r>
      <w:r>
        <w:rPr>
          <w:rFonts w:ascii="Lato" w:hAnsi="Lato"/>
          <w:szCs w:val="20"/>
        </w:rPr>
        <w:t xml:space="preserve"> osób</w:t>
      </w:r>
      <w:r w:rsidR="00E66B89">
        <w:rPr>
          <w:rFonts w:ascii="Lato" w:hAnsi="Lato"/>
          <w:szCs w:val="20"/>
        </w:rPr>
        <w:t xml:space="preserve"> w </w:t>
      </w:r>
      <w:r w:rsidRPr="000A135E">
        <w:rPr>
          <w:rFonts w:ascii="Lato" w:hAnsi="Lato"/>
          <w:szCs w:val="20"/>
        </w:rPr>
        <w:t xml:space="preserve">roku 2017. </w:t>
      </w:r>
    </w:p>
    <w:p w14:paraId="641638DE" w14:textId="77777777" w:rsidR="00116CFB"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Pod względem liczby zgonów niemowląt przypadających na 1 000 urodzeń żywych</w:t>
      </w:r>
      <w:r>
        <w:rPr>
          <w:rFonts w:ascii="Lato" w:hAnsi="Lato"/>
          <w:szCs w:val="20"/>
        </w:rPr>
        <w:t>,</w:t>
      </w:r>
      <w:r w:rsidRPr="000A135E">
        <w:rPr>
          <w:rFonts w:ascii="Lato" w:hAnsi="Lato"/>
          <w:szCs w:val="20"/>
        </w:rPr>
        <w:t xml:space="preserve"> sytuacja na Pomorzu Zachodnim ulega</w:t>
      </w:r>
      <w:r>
        <w:rPr>
          <w:rFonts w:ascii="Lato" w:hAnsi="Lato"/>
          <w:szCs w:val="20"/>
        </w:rPr>
        <w:t xml:space="preserve"> </w:t>
      </w:r>
      <w:r w:rsidRPr="000A135E">
        <w:rPr>
          <w:rFonts w:ascii="Lato" w:hAnsi="Lato"/>
          <w:szCs w:val="20"/>
        </w:rPr>
        <w:t>poprawie.</w:t>
      </w:r>
      <w:r w:rsidR="00E66B89">
        <w:rPr>
          <w:rFonts w:ascii="Lato" w:hAnsi="Lato"/>
          <w:szCs w:val="20"/>
        </w:rPr>
        <w:t xml:space="preserve"> W </w:t>
      </w:r>
      <w:r w:rsidRPr="000A135E">
        <w:rPr>
          <w:rFonts w:ascii="Lato" w:hAnsi="Lato"/>
          <w:szCs w:val="20"/>
        </w:rPr>
        <w:t>roku 2014 wartość wskaźnika wynosiła 5,34, by</w:t>
      </w:r>
      <w:r w:rsidR="00E66B89">
        <w:rPr>
          <w:rFonts w:ascii="Lato" w:hAnsi="Lato"/>
          <w:szCs w:val="20"/>
        </w:rPr>
        <w:t xml:space="preserve"> w </w:t>
      </w:r>
      <w:r w:rsidRPr="000A135E">
        <w:rPr>
          <w:rFonts w:ascii="Lato" w:hAnsi="Lato"/>
          <w:szCs w:val="20"/>
        </w:rPr>
        <w:t>roku 2017 spaść do poziomu 4,55. Jednak liczba zgonów niemowląt jest stale wyższa niż przeciętnie</w:t>
      </w:r>
      <w:r w:rsidR="00E66B89">
        <w:rPr>
          <w:rFonts w:ascii="Lato" w:hAnsi="Lato"/>
          <w:szCs w:val="20"/>
        </w:rPr>
        <w:t xml:space="preserve"> w </w:t>
      </w:r>
      <w:r w:rsidRPr="000A135E">
        <w:rPr>
          <w:rFonts w:ascii="Lato" w:hAnsi="Lato"/>
          <w:szCs w:val="20"/>
        </w:rPr>
        <w:t>kraju (3,99</w:t>
      </w:r>
      <w:r w:rsidR="00E66B89">
        <w:rPr>
          <w:rFonts w:ascii="Lato" w:hAnsi="Lato"/>
          <w:szCs w:val="20"/>
        </w:rPr>
        <w:t xml:space="preserve"> w </w:t>
      </w:r>
      <w:r w:rsidRPr="000A135E">
        <w:rPr>
          <w:rFonts w:ascii="Lato" w:hAnsi="Lato"/>
          <w:szCs w:val="20"/>
        </w:rPr>
        <w:t>2017 roku).</w:t>
      </w:r>
      <w:r w:rsidRPr="000A135E">
        <w:rPr>
          <w:rStyle w:val="Odwoanieprzypisudolnego"/>
          <w:rFonts w:ascii="Lato" w:hAnsi="Lato"/>
          <w:szCs w:val="20"/>
        </w:rPr>
        <w:footnoteReference w:id="121"/>
      </w:r>
    </w:p>
    <w:p w14:paraId="43909B34" w14:textId="77777777" w:rsidR="00116CFB" w:rsidRDefault="00116CFB" w:rsidP="00116CFB">
      <w:pPr>
        <w:pStyle w:val="Typprojektu"/>
        <w:numPr>
          <w:ilvl w:val="0"/>
          <w:numId w:val="0"/>
        </w:numPr>
        <w:spacing w:before="120" w:line="288" w:lineRule="auto"/>
        <w:rPr>
          <w:rFonts w:ascii="Lato" w:hAnsi="Lato"/>
          <w:szCs w:val="20"/>
        </w:rPr>
      </w:pPr>
      <w:r>
        <w:rPr>
          <w:rFonts w:ascii="Lato" w:hAnsi="Lato"/>
          <w:szCs w:val="20"/>
        </w:rPr>
        <w:t>Mimo, iż średni czas pobytu chorego</w:t>
      </w:r>
      <w:r w:rsidR="00E66B89">
        <w:rPr>
          <w:rFonts w:ascii="Lato" w:hAnsi="Lato"/>
          <w:szCs w:val="20"/>
        </w:rPr>
        <w:t xml:space="preserve"> w </w:t>
      </w:r>
      <w:r>
        <w:rPr>
          <w:rFonts w:ascii="Lato" w:hAnsi="Lato"/>
          <w:szCs w:val="20"/>
        </w:rPr>
        <w:t>szpitalu skrócił się</w:t>
      </w:r>
      <w:r w:rsidR="00E66B89">
        <w:rPr>
          <w:rFonts w:ascii="Lato" w:hAnsi="Lato"/>
          <w:szCs w:val="20"/>
        </w:rPr>
        <w:t xml:space="preserve"> z </w:t>
      </w:r>
      <w:r>
        <w:rPr>
          <w:rFonts w:ascii="Lato" w:hAnsi="Lato"/>
          <w:szCs w:val="20"/>
        </w:rPr>
        <w:t>5,4 dnia</w:t>
      </w:r>
      <w:r w:rsidR="00E66B89">
        <w:rPr>
          <w:rFonts w:ascii="Lato" w:hAnsi="Lato"/>
          <w:szCs w:val="20"/>
        </w:rPr>
        <w:t xml:space="preserve"> w </w:t>
      </w:r>
      <w:r>
        <w:rPr>
          <w:rFonts w:ascii="Lato" w:hAnsi="Lato"/>
          <w:szCs w:val="20"/>
        </w:rPr>
        <w:t>2012 roku do 4,9 dnia</w:t>
      </w:r>
      <w:r w:rsidR="00E66B89">
        <w:rPr>
          <w:rFonts w:ascii="Lato" w:hAnsi="Lato"/>
          <w:szCs w:val="20"/>
        </w:rPr>
        <w:t xml:space="preserve"> w </w:t>
      </w:r>
      <w:r>
        <w:rPr>
          <w:rFonts w:ascii="Lato" w:hAnsi="Lato"/>
          <w:szCs w:val="20"/>
        </w:rPr>
        <w:t>roku 2017</w:t>
      </w:r>
      <w:r>
        <w:rPr>
          <w:rStyle w:val="Odwoanieprzypisudolnego"/>
          <w:rFonts w:ascii="Lato" w:hAnsi="Lato"/>
          <w:szCs w:val="20"/>
        </w:rPr>
        <w:footnoteReference w:id="122"/>
      </w:r>
      <w:r>
        <w:rPr>
          <w:rFonts w:ascii="Lato" w:hAnsi="Lato"/>
          <w:szCs w:val="20"/>
        </w:rPr>
        <w:t>,</w:t>
      </w:r>
      <w:r w:rsidR="00E66B89">
        <w:rPr>
          <w:rFonts w:ascii="Lato" w:hAnsi="Lato"/>
          <w:szCs w:val="20"/>
        </w:rPr>
        <w:t xml:space="preserve"> w </w:t>
      </w:r>
      <w:r>
        <w:rPr>
          <w:rFonts w:ascii="Lato" w:hAnsi="Lato"/>
          <w:szCs w:val="20"/>
        </w:rPr>
        <w:t>regionie zachodniopomorskim zmniejsza się dostępność opieki szpitalnej - mierzona liczbą łóżek na 10 tys. mieszkańców.</w:t>
      </w:r>
      <w:r w:rsidR="00E66B89">
        <w:rPr>
          <w:rFonts w:ascii="Lato" w:hAnsi="Lato"/>
          <w:szCs w:val="20"/>
        </w:rPr>
        <w:t xml:space="preserve"> W </w:t>
      </w:r>
      <w:r>
        <w:rPr>
          <w:rFonts w:ascii="Lato" w:hAnsi="Lato"/>
          <w:szCs w:val="20"/>
        </w:rPr>
        <w:t>latach 2013-2017 wysokość wskaźnika spadła</w:t>
      </w:r>
      <w:r w:rsidR="00E66B89">
        <w:rPr>
          <w:rFonts w:ascii="Lato" w:hAnsi="Lato"/>
          <w:szCs w:val="20"/>
        </w:rPr>
        <w:t xml:space="preserve"> z </w:t>
      </w:r>
      <w:r>
        <w:rPr>
          <w:rFonts w:ascii="Lato" w:hAnsi="Lato"/>
          <w:szCs w:val="20"/>
        </w:rPr>
        <w:t xml:space="preserve">48,89 sztuk do 46,29 sztuk. </w:t>
      </w:r>
    </w:p>
    <w:p w14:paraId="1D9EEBB7" w14:textId="77777777" w:rsidR="00116CFB" w:rsidRDefault="00116CFB" w:rsidP="00FE73B6">
      <w:pPr>
        <w:pStyle w:val="Legenda"/>
        <w:spacing w:after="0"/>
      </w:pPr>
      <w:r>
        <w:t xml:space="preserve">Wykres </w:t>
      </w:r>
      <w:r w:rsidR="006E34DC">
        <w:fldChar w:fldCharType="begin"/>
      </w:r>
      <w:r w:rsidR="006E34DC">
        <w:instrText xml:space="preserve"> SEQ Wykres \* ARABIC </w:instrText>
      </w:r>
      <w:r w:rsidR="006E34DC">
        <w:fldChar w:fldCharType="separate"/>
      </w:r>
      <w:r w:rsidR="00763345">
        <w:rPr>
          <w:noProof/>
        </w:rPr>
        <w:t>32</w:t>
      </w:r>
      <w:r w:rsidR="006E34DC">
        <w:fldChar w:fldCharType="end"/>
      </w:r>
      <w:r>
        <w:t xml:space="preserve"> Liczba </w:t>
      </w:r>
      <w:r w:rsidR="00AE7A5F" w:rsidRPr="00FE73B6">
        <w:t>łóżek</w:t>
      </w:r>
      <w:r w:rsidR="00AE7A5F">
        <w:t xml:space="preserve"> </w:t>
      </w:r>
      <w:r w:rsidR="00E66B89">
        <w:t>w </w:t>
      </w:r>
      <w:r>
        <w:t>szpitalach ogólnych na 10 tys. mieszkańców województwa zachodniopomorskiego</w:t>
      </w:r>
      <w:r w:rsidR="00E66B89">
        <w:t xml:space="preserve"> w </w:t>
      </w:r>
      <w:r>
        <w:t>latach 2013-2017</w:t>
      </w:r>
    </w:p>
    <w:p w14:paraId="74C58C71" w14:textId="139AF20B" w:rsidR="00116CFB" w:rsidRDefault="00C35619" w:rsidP="004F028D">
      <w:pPr>
        <w:pStyle w:val="Typprojektu"/>
        <w:numPr>
          <w:ilvl w:val="0"/>
          <w:numId w:val="0"/>
        </w:numPr>
        <w:spacing w:before="0" w:after="0" w:line="288" w:lineRule="auto"/>
        <w:rPr>
          <w:rFonts w:ascii="Lato" w:hAnsi="Lato"/>
          <w:szCs w:val="20"/>
        </w:rPr>
      </w:pPr>
      <w:r w:rsidRPr="00D508B6">
        <w:rPr>
          <w:noProof/>
          <w:lang w:eastAsia="pl-PL"/>
        </w:rPr>
        <w:drawing>
          <wp:inline distT="0" distB="0" distL="0" distR="0" wp14:anchorId="4861C27D" wp14:editId="6424ABE4">
            <wp:extent cx="5701030" cy="2257425"/>
            <wp:effectExtent l="0" t="0" r="13970" b="9525"/>
            <wp:docPr id="5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9A9B765" w14:textId="4A0959FC" w:rsidR="00116CFB" w:rsidRPr="00D21299" w:rsidRDefault="00116CFB" w:rsidP="001245CE">
      <w:pPr>
        <w:spacing w:before="0"/>
        <w:rPr>
          <w:i/>
          <w:sz w:val="18"/>
          <w:szCs w:val="20"/>
        </w:rPr>
      </w:pPr>
      <w:r w:rsidRPr="00D21299">
        <w:rPr>
          <w:i/>
          <w:sz w:val="18"/>
          <w:szCs w:val="20"/>
        </w:rPr>
        <w:t>Źródło: dane BDL</w:t>
      </w:r>
      <w:r w:rsidR="00AA6879">
        <w:rPr>
          <w:i/>
          <w:sz w:val="18"/>
          <w:szCs w:val="20"/>
        </w:rPr>
        <w:t>.</w:t>
      </w:r>
    </w:p>
    <w:p w14:paraId="5EED90B4" w14:textId="77777777" w:rsidR="00116CFB" w:rsidRPr="00C97900"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Tendencje te</w:t>
      </w:r>
      <w:r>
        <w:rPr>
          <w:rFonts w:ascii="Lato" w:hAnsi="Lato"/>
          <w:szCs w:val="20"/>
        </w:rPr>
        <w:t xml:space="preserve"> -</w:t>
      </w:r>
      <w:r w:rsidRPr="000A135E">
        <w:rPr>
          <w:rFonts w:ascii="Lato" w:hAnsi="Lato"/>
          <w:szCs w:val="20"/>
        </w:rPr>
        <w:t xml:space="preserve"> przy dalszych potrzebach modernizacji infrastruktury</w:t>
      </w:r>
      <w:r w:rsidR="00E66B89">
        <w:rPr>
          <w:rFonts w:ascii="Lato" w:hAnsi="Lato"/>
          <w:szCs w:val="20"/>
        </w:rPr>
        <w:t xml:space="preserve"> i </w:t>
      </w:r>
      <w:r w:rsidRPr="000A135E">
        <w:rPr>
          <w:rFonts w:ascii="Lato" w:hAnsi="Lato"/>
          <w:szCs w:val="20"/>
        </w:rPr>
        <w:t>wyposażenia lecznictwa ogólnego</w:t>
      </w:r>
      <w:r w:rsidR="00E66B89">
        <w:rPr>
          <w:rFonts w:ascii="Lato" w:hAnsi="Lato"/>
          <w:szCs w:val="20"/>
        </w:rPr>
        <w:t xml:space="preserve"> i </w:t>
      </w:r>
      <w:r w:rsidRPr="000A135E">
        <w:rPr>
          <w:rFonts w:ascii="Lato" w:hAnsi="Lato"/>
          <w:szCs w:val="20"/>
        </w:rPr>
        <w:t>specjalistycznego, zdiagnozowanych</w:t>
      </w:r>
      <w:r w:rsidR="00E66B89">
        <w:rPr>
          <w:rFonts w:ascii="Lato" w:hAnsi="Lato"/>
          <w:szCs w:val="20"/>
        </w:rPr>
        <w:t xml:space="preserve"> w </w:t>
      </w:r>
      <w:r w:rsidRPr="000A135E">
        <w:rPr>
          <w:rFonts w:ascii="Lato" w:hAnsi="Lato"/>
          <w:szCs w:val="20"/>
        </w:rPr>
        <w:t xml:space="preserve">dokumencie rządowym: Priorytety dla Regionalnej Polityki </w:t>
      </w:r>
      <w:r w:rsidRPr="000A135E">
        <w:rPr>
          <w:rFonts w:ascii="Lato" w:hAnsi="Lato"/>
          <w:szCs w:val="20"/>
        </w:rPr>
        <w:lastRenderedPageBreak/>
        <w:t>Zdrowotnej dla lecznictwa szpitalnego</w:t>
      </w:r>
      <w:r w:rsidR="00E66B89">
        <w:rPr>
          <w:rFonts w:ascii="Lato" w:hAnsi="Lato"/>
          <w:szCs w:val="20"/>
        </w:rPr>
        <w:t xml:space="preserve"> w </w:t>
      </w:r>
      <w:r w:rsidRPr="000A135E">
        <w:rPr>
          <w:rFonts w:ascii="Lato" w:hAnsi="Lato"/>
          <w:szCs w:val="20"/>
        </w:rPr>
        <w:t>województwie zachodniopomorskim na lata 2018-2021</w:t>
      </w:r>
      <w:r>
        <w:rPr>
          <w:rFonts w:ascii="Lato" w:hAnsi="Lato"/>
          <w:szCs w:val="20"/>
        </w:rPr>
        <w:t xml:space="preserve"> -</w:t>
      </w:r>
      <w:r w:rsidRPr="000A135E">
        <w:rPr>
          <w:rFonts w:ascii="Lato" w:hAnsi="Lato"/>
          <w:szCs w:val="20"/>
        </w:rPr>
        <w:t xml:space="preserve"> wskazują na pełną aktualność potrzeb określonych na etapie programowania RPO WZ 2014-2020. </w:t>
      </w:r>
    </w:p>
    <w:p w14:paraId="5AD542A0" w14:textId="77777777" w:rsidR="00116CFB" w:rsidRPr="000A135E" w:rsidRDefault="00116CFB" w:rsidP="00116CFB">
      <w:pPr>
        <w:autoSpaceDE w:val="0"/>
        <w:autoSpaceDN w:val="0"/>
        <w:rPr>
          <w:rFonts w:eastAsia="Calibri"/>
          <w:szCs w:val="20"/>
        </w:rPr>
      </w:pPr>
      <w:r w:rsidRPr="000A135E">
        <w:rPr>
          <w:rFonts w:cs="Arial"/>
          <w:szCs w:val="20"/>
        </w:rPr>
        <w:t xml:space="preserve">W Działaniu 9.2. </w:t>
      </w:r>
      <w:r w:rsidRPr="00C22C26">
        <w:rPr>
          <w:rFonts w:cs="Arial"/>
          <w:i/>
          <w:szCs w:val="20"/>
        </w:rPr>
        <w:t>Infrastruktura społeczna</w:t>
      </w:r>
      <w:r w:rsidRPr="000A135E">
        <w:rPr>
          <w:rFonts w:cs="Arial"/>
          <w:szCs w:val="20"/>
        </w:rPr>
        <w:t xml:space="preserve"> założono, iż wsparcie przyczyni się do </w:t>
      </w:r>
      <w:r w:rsidRPr="000A135E">
        <w:rPr>
          <w:szCs w:val="20"/>
        </w:rPr>
        <w:t>włączenia społecznego grup marginalizowanych</w:t>
      </w:r>
      <w:r w:rsidR="00E66B89">
        <w:rPr>
          <w:szCs w:val="20"/>
        </w:rPr>
        <w:t xml:space="preserve"> i </w:t>
      </w:r>
      <w:r w:rsidRPr="000A135E">
        <w:rPr>
          <w:szCs w:val="20"/>
        </w:rPr>
        <w:t>zagrożonych marginalizacją, ze szczególnym uwzględnieniem wychowanków domów dziecka, osób bezdomnych, osób</w:t>
      </w:r>
      <w:r w:rsidR="00E66B89">
        <w:rPr>
          <w:szCs w:val="20"/>
        </w:rPr>
        <w:t xml:space="preserve"> z </w:t>
      </w:r>
      <w:r w:rsidRPr="000A135E">
        <w:rPr>
          <w:szCs w:val="20"/>
        </w:rPr>
        <w:t>niepełnosprawnościami, rodzin patologicznych. Efekty interwencji mają wspomóc usamodzielnienie się ekonomiczne</w:t>
      </w:r>
      <w:r w:rsidR="00E66B89">
        <w:rPr>
          <w:szCs w:val="20"/>
        </w:rPr>
        <w:t xml:space="preserve"> i </w:t>
      </w:r>
      <w:r w:rsidRPr="000A135E">
        <w:rPr>
          <w:szCs w:val="20"/>
        </w:rPr>
        <w:t>społeczne osób objętych komplementarnym wsparciem</w:t>
      </w:r>
      <w:r w:rsidR="00E66B89">
        <w:rPr>
          <w:szCs w:val="20"/>
        </w:rPr>
        <w:t xml:space="preserve"> z </w:t>
      </w:r>
      <w:r w:rsidRPr="000A135E">
        <w:rPr>
          <w:szCs w:val="20"/>
        </w:rPr>
        <w:t>EFS.</w:t>
      </w:r>
      <w:r w:rsidR="00E66B89">
        <w:rPr>
          <w:szCs w:val="20"/>
        </w:rPr>
        <w:t xml:space="preserve"> W </w:t>
      </w:r>
      <w:r w:rsidRPr="000A135E">
        <w:rPr>
          <w:szCs w:val="20"/>
        </w:rPr>
        <w:t>logice interwencji założono, iż wsparcie powiązane będzie</w:t>
      </w:r>
      <w:r w:rsidR="00E66B89">
        <w:rPr>
          <w:szCs w:val="20"/>
        </w:rPr>
        <w:t xml:space="preserve"> z </w:t>
      </w:r>
      <w:r w:rsidRPr="000A135E">
        <w:rPr>
          <w:szCs w:val="20"/>
        </w:rPr>
        <w:t>procesem integracji społecznej, aktywizacji społeczno-zawodowej</w:t>
      </w:r>
      <w:r w:rsidR="00E66B89">
        <w:rPr>
          <w:szCs w:val="20"/>
        </w:rPr>
        <w:t xml:space="preserve"> i </w:t>
      </w:r>
      <w:r w:rsidRPr="000A135E">
        <w:rPr>
          <w:szCs w:val="20"/>
        </w:rPr>
        <w:t>deinstytucjonalizacji usług (włączając formy stacjonarne), czemu towarzyszyć będzie tworzenie efektywnej opieki środowiskowej, odpowiadając</w:t>
      </w:r>
      <w:r>
        <w:rPr>
          <w:szCs w:val="20"/>
        </w:rPr>
        <w:t>e</w:t>
      </w:r>
      <w:r w:rsidRPr="000A135E">
        <w:rPr>
          <w:szCs w:val="20"/>
        </w:rPr>
        <w:t xml:space="preserve"> na deficyty</w:t>
      </w:r>
      <w:r w:rsidR="00E66B89">
        <w:rPr>
          <w:szCs w:val="20"/>
        </w:rPr>
        <w:t xml:space="preserve"> w </w:t>
      </w:r>
      <w:r w:rsidRPr="000A135E">
        <w:rPr>
          <w:szCs w:val="20"/>
        </w:rPr>
        <w:t>tym obszarze</w:t>
      </w:r>
      <w:r w:rsidRPr="000A135E">
        <w:rPr>
          <w:rFonts w:eastAsia="Calibri"/>
          <w:szCs w:val="20"/>
        </w:rPr>
        <w:t>.</w:t>
      </w:r>
    </w:p>
    <w:p w14:paraId="4269C9EB" w14:textId="77777777" w:rsidR="00116CFB" w:rsidRPr="000A135E"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W 2017 roku na Pomorzu Zachodnim</w:t>
      </w:r>
      <w:r w:rsidR="00E66B89">
        <w:rPr>
          <w:rFonts w:ascii="Lato" w:hAnsi="Lato"/>
          <w:szCs w:val="20"/>
        </w:rPr>
        <w:t xml:space="preserve"> z </w:t>
      </w:r>
      <w:r w:rsidRPr="000A135E">
        <w:rPr>
          <w:rFonts w:ascii="Lato" w:hAnsi="Lato"/>
          <w:szCs w:val="20"/>
        </w:rPr>
        <w:t>pomocy społecznej skorzystało 400,1 osób na 10 tys. ludności,</w:t>
      </w:r>
      <w:r w:rsidR="00E66B89">
        <w:rPr>
          <w:rFonts w:ascii="Lato" w:hAnsi="Lato"/>
          <w:szCs w:val="20"/>
        </w:rPr>
        <w:t xml:space="preserve"> a </w:t>
      </w:r>
      <w:r w:rsidRPr="000A135E">
        <w:rPr>
          <w:rFonts w:ascii="Lato" w:hAnsi="Lato"/>
          <w:szCs w:val="20"/>
        </w:rPr>
        <w:t>dla całego kraju wskaźnik ten wynosił 373,1.</w:t>
      </w:r>
      <w:r w:rsidR="00E66B89">
        <w:rPr>
          <w:rFonts w:ascii="Lato" w:hAnsi="Lato"/>
          <w:szCs w:val="20"/>
        </w:rPr>
        <w:t xml:space="preserve"> W </w:t>
      </w:r>
      <w:r w:rsidRPr="000A135E">
        <w:rPr>
          <w:rFonts w:ascii="Lato" w:hAnsi="Lato"/>
          <w:szCs w:val="20"/>
        </w:rPr>
        <w:t>stosunku do roku 2014</w:t>
      </w:r>
      <w:r>
        <w:rPr>
          <w:rFonts w:ascii="Lato" w:hAnsi="Lato"/>
          <w:szCs w:val="20"/>
        </w:rPr>
        <w:t>,</w:t>
      </w:r>
      <w:r w:rsidR="00E66B89">
        <w:rPr>
          <w:rFonts w:ascii="Lato" w:hAnsi="Lato"/>
          <w:szCs w:val="20"/>
        </w:rPr>
        <w:t xml:space="preserve"> w </w:t>
      </w:r>
      <w:r w:rsidRPr="000A135E">
        <w:rPr>
          <w:rFonts w:ascii="Lato" w:hAnsi="Lato"/>
          <w:szCs w:val="20"/>
        </w:rPr>
        <w:t>województwie odnotowano spadek liczby osób korzystających</w:t>
      </w:r>
      <w:r w:rsidR="00E66B89">
        <w:rPr>
          <w:rFonts w:ascii="Lato" w:hAnsi="Lato"/>
          <w:szCs w:val="20"/>
        </w:rPr>
        <w:t xml:space="preserve"> z </w:t>
      </w:r>
      <w:r w:rsidRPr="000A135E">
        <w:rPr>
          <w:rFonts w:ascii="Lato" w:hAnsi="Lato"/>
          <w:szCs w:val="20"/>
        </w:rPr>
        <w:t>pomocy społecznej</w:t>
      </w:r>
      <w:r w:rsidR="00E66B89">
        <w:rPr>
          <w:rFonts w:ascii="Lato" w:hAnsi="Lato"/>
          <w:szCs w:val="20"/>
        </w:rPr>
        <w:t xml:space="preserve"> o </w:t>
      </w:r>
      <w:r w:rsidRPr="000A135E">
        <w:rPr>
          <w:rFonts w:ascii="Lato" w:hAnsi="Lato"/>
          <w:szCs w:val="20"/>
        </w:rPr>
        <w:t>26,3%, natomiast</w:t>
      </w:r>
      <w:r w:rsidR="00E66B89">
        <w:rPr>
          <w:rFonts w:ascii="Lato" w:hAnsi="Lato"/>
          <w:szCs w:val="20"/>
        </w:rPr>
        <w:t xml:space="preserve"> w </w:t>
      </w:r>
      <w:r w:rsidRPr="000A135E">
        <w:rPr>
          <w:rFonts w:ascii="Lato" w:hAnsi="Lato"/>
          <w:szCs w:val="20"/>
        </w:rPr>
        <w:t>Polsce</w:t>
      </w:r>
      <w:r w:rsidR="00E66B89">
        <w:rPr>
          <w:rFonts w:ascii="Lato" w:hAnsi="Lato"/>
          <w:szCs w:val="20"/>
        </w:rPr>
        <w:t xml:space="preserve"> o </w:t>
      </w:r>
      <w:r w:rsidRPr="000A135E">
        <w:rPr>
          <w:rFonts w:ascii="Lato" w:hAnsi="Lato"/>
          <w:szCs w:val="20"/>
        </w:rPr>
        <w:t>23,4%. Wskaźnik deprywacji lokalnej</w:t>
      </w:r>
      <w:r>
        <w:rPr>
          <w:rFonts w:ascii="Lato" w:hAnsi="Lato"/>
          <w:szCs w:val="20"/>
        </w:rPr>
        <w:t xml:space="preserve"> -</w:t>
      </w:r>
      <w:r w:rsidRPr="000A135E">
        <w:rPr>
          <w:rFonts w:ascii="Lato" w:hAnsi="Lato"/>
          <w:szCs w:val="20"/>
        </w:rPr>
        <w:t xml:space="preserve"> liczony jako liczba korzystających</w:t>
      </w:r>
      <w:r w:rsidR="00E66B89">
        <w:rPr>
          <w:rFonts w:ascii="Lato" w:hAnsi="Lato"/>
          <w:szCs w:val="20"/>
        </w:rPr>
        <w:t xml:space="preserve"> z </w:t>
      </w:r>
      <w:r w:rsidRPr="000A135E">
        <w:rPr>
          <w:rFonts w:ascii="Lato" w:hAnsi="Lato"/>
          <w:szCs w:val="20"/>
        </w:rPr>
        <w:t>pomocy społecznej (beneficjentów) na 1</w:t>
      </w:r>
      <w:r>
        <w:rPr>
          <w:rFonts w:ascii="Lato" w:hAnsi="Lato"/>
          <w:szCs w:val="20"/>
        </w:rPr>
        <w:t xml:space="preserve"> </w:t>
      </w:r>
      <w:r w:rsidRPr="000A135E">
        <w:rPr>
          <w:rFonts w:ascii="Lato" w:hAnsi="Lato"/>
          <w:szCs w:val="20"/>
        </w:rPr>
        <w:t>000 mieszkańców</w:t>
      </w:r>
      <w:r>
        <w:rPr>
          <w:rFonts w:ascii="Lato" w:hAnsi="Lato"/>
          <w:szCs w:val="20"/>
        </w:rPr>
        <w:t xml:space="preserve"> -</w:t>
      </w:r>
      <w:r w:rsidRPr="000A135E">
        <w:rPr>
          <w:rFonts w:ascii="Lato" w:hAnsi="Lato"/>
          <w:szCs w:val="20"/>
        </w:rPr>
        <w:t xml:space="preserve"> jest</w:t>
      </w:r>
      <w:r w:rsidR="00E66B89">
        <w:rPr>
          <w:rFonts w:ascii="Lato" w:hAnsi="Lato"/>
          <w:szCs w:val="20"/>
        </w:rPr>
        <w:t xml:space="preserve"> w </w:t>
      </w:r>
      <w:r w:rsidRPr="000A135E">
        <w:rPr>
          <w:rFonts w:ascii="Lato" w:hAnsi="Lato"/>
          <w:szCs w:val="20"/>
        </w:rPr>
        <w:t>województwie zachodniopomorskim zróżnicowany terytorialnie,</w:t>
      </w:r>
      <w:r w:rsidR="00E66B89">
        <w:rPr>
          <w:rFonts w:ascii="Lato" w:hAnsi="Lato"/>
          <w:szCs w:val="20"/>
        </w:rPr>
        <w:t xml:space="preserve"> a </w:t>
      </w:r>
      <w:r w:rsidRPr="000A135E">
        <w:rPr>
          <w:rFonts w:ascii="Lato" w:hAnsi="Lato"/>
          <w:szCs w:val="20"/>
        </w:rPr>
        <w:t>jego przeciętna wartość oscyluje wokół liczby 67 beneficjentów pomocy na 1</w:t>
      </w:r>
      <w:r>
        <w:rPr>
          <w:rFonts w:ascii="Lato" w:hAnsi="Lato"/>
          <w:szCs w:val="20"/>
        </w:rPr>
        <w:t xml:space="preserve"> </w:t>
      </w:r>
      <w:r w:rsidRPr="000A135E">
        <w:rPr>
          <w:rFonts w:ascii="Lato" w:hAnsi="Lato"/>
          <w:szCs w:val="20"/>
        </w:rPr>
        <w:t>000 mieszkańców.</w:t>
      </w:r>
      <w:r w:rsidR="00E66B89">
        <w:rPr>
          <w:rFonts w:ascii="Lato" w:hAnsi="Lato"/>
          <w:szCs w:val="20"/>
        </w:rPr>
        <w:t xml:space="preserve"> W </w:t>
      </w:r>
      <w:r w:rsidRPr="000A135E">
        <w:rPr>
          <w:rFonts w:ascii="Lato" w:hAnsi="Lato"/>
          <w:szCs w:val="20"/>
        </w:rPr>
        <w:t>większości powiatów województw</w:t>
      </w:r>
      <w:r>
        <w:rPr>
          <w:rFonts w:ascii="Lato" w:hAnsi="Lato"/>
          <w:szCs w:val="20"/>
        </w:rPr>
        <w:t>a</w:t>
      </w:r>
      <w:r w:rsidRPr="000A135E">
        <w:rPr>
          <w:rFonts w:ascii="Lato" w:hAnsi="Lato"/>
          <w:szCs w:val="20"/>
        </w:rPr>
        <w:t xml:space="preserve"> (14 na 21 powiatów), wskaźnik deprywacji lokalnej</w:t>
      </w:r>
      <w:r w:rsidR="00E66B89">
        <w:rPr>
          <w:rFonts w:ascii="Lato" w:hAnsi="Lato"/>
          <w:szCs w:val="20"/>
        </w:rPr>
        <w:t xml:space="preserve"> w </w:t>
      </w:r>
      <w:r w:rsidRPr="000A135E">
        <w:rPr>
          <w:rFonts w:ascii="Lato" w:hAnsi="Lato"/>
          <w:szCs w:val="20"/>
        </w:rPr>
        <w:t>2017 roku był wyższy niż średnia dla</w:t>
      </w:r>
      <w:r>
        <w:rPr>
          <w:rFonts w:ascii="Lato" w:hAnsi="Lato"/>
          <w:szCs w:val="20"/>
        </w:rPr>
        <w:t xml:space="preserve"> całego</w:t>
      </w:r>
      <w:r w:rsidRPr="000A135E">
        <w:rPr>
          <w:rFonts w:ascii="Lato" w:hAnsi="Lato"/>
          <w:szCs w:val="20"/>
        </w:rPr>
        <w:t xml:space="preserve"> województwa. Największą wartość wskaźnika odnotowano</w:t>
      </w:r>
      <w:r w:rsidR="00E66B89">
        <w:rPr>
          <w:rFonts w:ascii="Lato" w:hAnsi="Lato"/>
          <w:szCs w:val="20"/>
        </w:rPr>
        <w:t xml:space="preserve"> w </w:t>
      </w:r>
      <w:r w:rsidRPr="000A135E">
        <w:rPr>
          <w:rFonts w:ascii="Lato" w:hAnsi="Lato"/>
          <w:szCs w:val="20"/>
        </w:rPr>
        <w:t>powiecie świdwińskim – 157, najmniejszą</w:t>
      </w:r>
      <w:r w:rsidR="00E66B89">
        <w:rPr>
          <w:rFonts w:ascii="Lato" w:hAnsi="Lato"/>
          <w:szCs w:val="20"/>
        </w:rPr>
        <w:t xml:space="preserve"> w </w:t>
      </w:r>
      <w:r w:rsidRPr="000A135E">
        <w:rPr>
          <w:rFonts w:ascii="Lato" w:hAnsi="Lato"/>
          <w:szCs w:val="20"/>
        </w:rPr>
        <w:t xml:space="preserve">mieście Koszalin – </w:t>
      </w:r>
      <w:r>
        <w:rPr>
          <w:rFonts w:ascii="Lato" w:hAnsi="Lato"/>
          <w:szCs w:val="20"/>
        </w:rPr>
        <w:t>n</w:t>
      </w:r>
      <w:r w:rsidRPr="000A135E">
        <w:rPr>
          <w:rFonts w:ascii="Lato" w:hAnsi="Lato"/>
          <w:szCs w:val="20"/>
        </w:rPr>
        <w:t>ależy przy tym podkreślić, że</w:t>
      </w:r>
      <w:r w:rsidR="00E66B89">
        <w:rPr>
          <w:rFonts w:ascii="Lato" w:hAnsi="Lato"/>
          <w:szCs w:val="20"/>
        </w:rPr>
        <w:t xml:space="preserve"> w </w:t>
      </w:r>
      <w:r w:rsidRPr="000A135E">
        <w:rPr>
          <w:rFonts w:ascii="Lato" w:hAnsi="Lato"/>
          <w:szCs w:val="20"/>
        </w:rPr>
        <w:t>powiecie drawskim wskaźnik ten wykazuje</w:t>
      </w:r>
      <w:r w:rsidR="00E66B89">
        <w:rPr>
          <w:rFonts w:ascii="Lato" w:hAnsi="Lato"/>
          <w:szCs w:val="20"/>
        </w:rPr>
        <w:t xml:space="preserve"> z </w:t>
      </w:r>
      <w:r w:rsidRPr="000A135E">
        <w:rPr>
          <w:rFonts w:ascii="Lato" w:hAnsi="Lato"/>
          <w:szCs w:val="20"/>
        </w:rPr>
        <w:t>roku na rok tendencję rosnącą.</w:t>
      </w:r>
      <w:r w:rsidR="00E66B89">
        <w:rPr>
          <w:rFonts w:ascii="Lato" w:hAnsi="Lato"/>
          <w:szCs w:val="20"/>
        </w:rPr>
        <w:t xml:space="preserve"> W </w:t>
      </w:r>
      <w:r w:rsidRPr="000A135E">
        <w:rPr>
          <w:rFonts w:ascii="Lato" w:hAnsi="Lato"/>
          <w:szCs w:val="20"/>
        </w:rPr>
        <w:t>roku 2017 nadal najczęstsz</w:t>
      </w:r>
      <w:r>
        <w:rPr>
          <w:rFonts w:ascii="Lato" w:hAnsi="Lato"/>
          <w:szCs w:val="20"/>
        </w:rPr>
        <w:t>ą</w:t>
      </w:r>
      <w:r w:rsidRPr="000A135E">
        <w:rPr>
          <w:rFonts w:ascii="Lato" w:hAnsi="Lato"/>
          <w:szCs w:val="20"/>
        </w:rPr>
        <w:t xml:space="preserve"> przyczyn</w:t>
      </w:r>
      <w:r>
        <w:rPr>
          <w:rFonts w:ascii="Lato" w:hAnsi="Lato"/>
          <w:szCs w:val="20"/>
        </w:rPr>
        <w:t>ą</w:t>
      </w:r>
      <w:r w:rsidRPr="000A135E">
        <w:rPr>
          <w:rFonts w:ascii="Lato" w:hAnsi="Lato"/>
          <w:szCs w:val="20"/>
        </w:rPr>
        <w:t xml:space="preserve"> korzystania</w:t>
      </w:r>
      <w:r w:rsidR="00E66B89">
        <w:rPr>
          <w:rFonts w:ascii="Lato" w:hAnsi="Lato"/>
          <w:szCs w:val="20"/>
        </w:rPr>
        <w:t xml:space="preserve"> z </w:t>
      </w:r>
      <w:r w:rsidRPr="000A135E">
        <w:rPr>
          <w:rFonts w:ascii="Lato" w:hAnsi="Lato"/>
          <w:szCs w:val="20"/>
        </w:rPr>
        <w:t>pomocy społecznej jest bezrobocie</w:t>
      </w:r>
      <w:r w:rsidR="00E66B89">
        <w:rPr>
          <w:rFonts w:ascii="Lato" w:hAnsi="Lato"/>
          <w:szCs w:val="20"/>
        </w:rPr>
        <w:t xml:space="preserve"> i </w:t>
      </w:r>
      <w:r w:rsidRPr="000A135E">
        <w:rPr>
          <w:rFonts w:ascii="Lato" w:hAnsi="Lato"/>
          <w:szCs w:val="20"/>
        </w:rPr>
        <w:t>niepełnosprawność</w:t>
      </w:r>
      <w:r>
        <w:rPr>
          <w:rFonts w:ascii="Lato" w:hAnsi="Lato"/>
          <w:szCs w:val="20"/>
        </w:rPr>
        <w:t>,</w:t>
      </w:r>
      <w:r w:rsidRPr="000A135E">
        <w:rPr>
          <w:rFonts w:ascii="Lato" w:hAnsi="Lato"/>
          <w:szCs w:val="20"/>
        </w:rPr>
        <w:t xml:space="preserve"> co wskazuje na pełną aktualność kierunków wsparcia RPO WZ 2014-2020</w:t>
      </w:r>
      <w:r w:rsidR="00E66B89">
        <w:rPr>
          <w:rFonts w:ascii="Lato" w:hAnsi="Lato"/>
          <w:szCs w:val="20"/>
        </w:rPr>
        <w:t xml:space="preserve"> w </w:t>
      </w:r>
      <w:r w:rsidRPr="000A135E">
        <w:rPr>
          <w:rFonts w:ascii="Lato" w:hAnsi="Lato"/>
          <w:szCs w:val="20"/>
        </w:rPr>
        <w:t>kolejnych latach wdrażania Programu</w:t>
      </w:r>
      <w:r w:rsidRPr="000A135E">
        <w:rPr>
          <w:rStyle w:val="Odwoanieprzypisudolnego"/>
          <w:rFonts w:ascii="Lato" w:hAnsi="Lato"/>
          <w:szCs w:val="20"/>
        </w:rPr>
        <w:footnoteReference w:id="123"/>
      </w:r>
      <w:r w:rsidRPr="000A135E">
        <w:rPr>
          <w:rFonts w:ascii="Lato" w:hAnsi="Lato"/>
          <w:szCs w:val="20"/>
        </w:rPr>
        <w:t xml:space="preserve">. </w:t>
      </w:r>
    </w:p>
    <w:p w14:paraId="6F741562" w14:textId="77777777" w:rsidR="00116CFB" w:rsidRDefault="00116CFB" w:rsidP="00116CFB">
      <w:pPr>
        <w:pStyle w:val="Typprojektu"/>
        <w:numPr>
          <w:ilvl w:val="0"/>
          <w:numId w:val="0"/>
        </w:numPr>
        <w:spacing w:before="120" w:line="288" w:lineRule="auto"/>
        <w:rPr>
          <w:rFonts w:ascii="Lato" w:hAnsi="Lato"/>
          <w:szCs w:val="20"/>
        </w:rPr>
      </w:pPr>
      <w:r w:rsidRPr="000A135E">
        <w:rPr>
          <w:rFonts w:ascii="Lato" w:hAnsi="Lato"/>
          <w:szCs w:val="20"/>
        </w:rPr>
        <w:t>Jak wynika</w:t>
      </w:r>
      <w:r w:rsidR="00E66B89">
        <w:rPr>
          <w:rFonts w:ascii="Lato" w:hAnsi="Lato"/>
          <w:szCs w:val="20"/>
        </w:rPr>
        <w:t xml:space="preserve"> z </w:t>
      </w:r>
      <w:r w:rsidRPr="000A135E">
        <w:rPr>
          <w:rFonts w:ascii="Lato" w:hAnsi="Lato"/>
          <w:szCs w:val="20"/>
        </w:rPr>
        <w:t xml:space="preserve">raportu </w:t>
      </w:r>
      <w:r w:rsidRPr="008B706B">
        <w:rPr>
          <w:rFonts w:ascii="Lato" w:hAnsi="Lato"/>
          <w:i/>
          <w:szCs w:val="20"/>
        </w:rPr>
        <w:t>Ocena zasobów pomocy społecznej za rok 2017 dla województwa zachodniopomorskiego</w:t>
      </w:r>
      <w:r>
        <w:rPr>
          <w:rFonts w:ascii="Lato" w:hAnsi="Lato"/>
          <w:i/>
          <w:szCs w:val="20"/>
        </w:rPr>
        <w:t>,</w:t>
      </w:r>
      <w:r w:rsidRPr="000A135E">
        <w:rPr>
          <w:rFonts w:ascii="Lato" w:hAnsi="Lato"/>
          <w:szCs w:val="20"/>
        </w:rPr>
        <w:t xml:space="preserve"> infrastruktura pomocy społecznej nadal jest niewystarczająca. Zasób mieszkań komunalnych</w:t>
      </w:r>
      <w:r w:rsidR="00E66B89">
        <w:rPr>
          <w:rFonts w:ascii="Lato" w:hAnsi="Lato"/>
          <w:szCs w:val="20"/>
        </w:rPr>
        <w:t xml:space="preserve"> w </w:t>
      </w:r>
      <w:r w:rsidRPr="000A135E">
        <w:rPr>
          <w:rFonts w:ascii="Lato" w:hAnsi="Lato"/>
          <w:szCs w:val="20"/>
        </w:rPr>
        <w:t>okresie ostatnich kliku lat wyraźnie maleje.</w:t>
      </w:r>
      <w:r w:rsidR="00E66B89">
        <w:rPr>
          <w:rFonts w:ascii="Lato" w:hAnsi="Lato"/>
          <w:szCs w:val="20"/>
        </w:rPr>
        <w:t xml:space="preserve"> W </w:t>
      </w:r>
      <w:r w:rsidRPr="000A135E">
        <w:rPr>
          <w:rFonts w:ascii="Lato" w:hAnsi="Lato"/>
          <w:szCs w:val="20"/>
        </w:rPr>
        <w:t>roku 2017 r. liczba mieszkań należących do gminy osiągnęła poziom 47 740 tys.</w:t>
      </w:r>
      <w:r w:rsidR="00E66B89">
        <w:rPr>
          <w:rFonts w:ascii="Lato" w:hAnsi="Lato"/>
          <w:szCs w:val="20"/>
        </w:rPr>
        <w:t xml:space="preserve"> i </w:t>
      </w:r>
      <w:r w:rsidRPr="000A135E">
        <w:rPr>
          <w:rFonts w:ascii="Lato" w:hAnsi="Lato"/>
          <w:szCs w:val="20"/>
        </w:rPr>
        <w:t>była niższa</w:t>
      </w:r>
      <w:r w:rsidR="00E66B89">
        <w:rPr>
          <w:rFonts w:ascii="Lato" w:hAnsi="Lato"/>
          <w:szCs w:val="20"/>
        </w:rPr>
        <w:t xml:space="preserve"> o </w:t>
      </w:r>
      <w:r w:rsidRPr="000A135E">
        <w:rPr>
          <w:rFonts w:ascii="Lato" w:hAnsi="Lato"/>
          <w:szCs w:val="20"/>
        </w:rPr>
        <w:t xml:space="preserve">1 403 mieszkań </w:t>
      </w:r>
      <w:r>
        <w:rPr>
          <w:rFonts w:ascii="Lato" w:hAnsi="Lato"/>
          <w:szCs w:val="20"/>
        </w:rPr>
        <w:t>w odniesieniu do roku 2016</w:t>
      </w:r>
      <w:r w:rsidRPr="000A135E">
        <w:rPr>
          <w:rFonts w:ascii="Lato" w:hAnsi="Lato"/>
          <w:szCs w:val="20"/>
        </w:rPr>
        <w:t>. Natomiast liczba wniosków</w:t>
      </w:r>
      <w:r w:rsidR="00E66B89">
        <w:rPr>
          <w:rFonts w:ascii="Lato" w:hAnsi="Lato"/>
          <w:szCs w:val="20"/>
        </w:rPr>
        <w:t xml:space="preserve"> o </w:t>
      </w:r>
      <w:r w:rsidRPr="000A135E">
        <w:rPr>
          <w:rFonts w:ascii="Lato" w:hAnsi="Lato"/>
          <w:szCs w:val="20"/>
        </w:rPr>
        <w:t>mieszkanie</w:t>
      </w:r>
      <w:r w:rsidR="00E66B89">
        <w:rPr>
          <w:rFonts w:ascii="Lato" w:hAnsi="Lato"/>
          <w:szCs w:val="20"/>
        </w:rPr>
        <w:t xml:space="preserve"> z </w:t>
      </w:r>
      <w:r w:rsidRPr="000A135E">
        <w:rPr>
          <w:rFonts w:ascii="Lato" w:hAnsi="Lato"/>
          <w:szCs w:val="20"/>
        </w:rPr>
        <w:t>zasobów gminy zmniejszyła się</w:t>
      </w:r>
      <w:r w:rsidR="00E66B89">
        <w:rPr>
          <w:rFonts w:ascii="Lato" w:hAnsi="Lato"/>
          <w:szCs w:val="20"/>
        </w:rPr>
        <w:t xml:space="preserve"> z </w:t>
      </w:r>
      <w:r w:rsidRPr="000A135E">
        <w:rPr>
          <w:rFonts w:ascii="Lato" w:hAnsi="Lato"/>
          <w:szCs w:val="20"/>
        </w:rPr>
        <w:t>7 tys.</w:t>
      </w:r>
      <w:r w:rsidR="00E66B89">
        <w:rPr>
          <w:rFonts w:ascii="Lato" w:hAnsi="Lato"/>
          <w:szCs w:val="20"/>
        </w:rPr>
        <w:t xml:space="preserve"> w </w:t>
      </w:r>
      <w:r w:rsidRPr="000A135E">
        <w:rPr>
          <w:rFonts w:ascii="Lato" w:hAnsi="Lato"/>
          <w:szCs w:val="20"/>
        </w:rPr>
        <w:t>roku 2016 do 6 tys.</w:t>
      </w:r>
      <w:r w:rsidR="00E66B89">
        <w:rPr>
          <w:rFonts w:ascii="Lato" w:hAnsi="Lato"/>
          <w:szCs w:val="20"/>
        </w:rPr>
        <w:t xml:space="preserve"> w </w:t>
      </w:r>
      <w:r w:rsidRPr="000A135E">
        <w:rPr>
          <w:rFonts w:ascii="Lato" w:hAnsi="Lato"/>
          <w:szCs w:val="20"/>
        </w:rPr>
        <w:t>2017 roku. Wzrosła natomiast liczba mieszkań socjalnych</w:t>
      </w:r>
      <w:r w:rsidR="00E66B89">
        <w:rPr>
          <w:rFonts w:ascii="Lato" w:hAnsi="Lato"/>
          <w:szCs w:val="20"/>
        </w:rPr>
        <w:t xml:space="preserve"> i </w:t>
      </w:r>
      <w:r w:rsidRPr="000A135E">
        <w:rPr>
          <w:rFonts w:ascii="Lato" w:hAnsi="Lato"/>
          <w:szCs w:val="20"/>
        </w:rPr>
        <w:t>kształtuje się ona na poziomie od 6,4 tys.</w:t>
      </w:r>
      <w:r w:rsidR="00E66B89">
        <w:rPr>
          <w:rFonts w:ascii="Lato" w:hAnsi="Lato"/>
          <w:szCs w:val="20"/>
        </w:rPr>
        <w:t xml:space="preserve"> w </w:t>
      </w:r>
      <w:r w:rsidRPr="000A135E">
        <w:rPr>
          <w:rFonts w:ascii="Lato" w:hAnsi="Lato"/>
          <w:szCs w:val="20"/>
        </w:rPr>
        <w:t>roku 2016 do 6,7 tys. lokali</w:t>
      </w:r>
      <w:r w:rsidR="00E66B89">
        <w:rPr>
          <w:rFonts w:ascii="Lato" w:hAnsi="Lato"/>
          <w:szCs w:val="20"/>
        </w:rPr>
        <w:t xml:space="preserve"> w </w:t>
      </w:r>
      <w:r w:rsidRPr="000A135E">
        <w:rPr>
          <w:rFonts w:ascii="Lato" w:hAnsi="Lato"/>
          <w:szCs w:val="20"/>
        </w:rPr>
        <w:t>roku 2017. Nadal jednak liczba osób oczekujących na mieszkania socjalne jest wysoka. Wyniosła ona</w:t>
      </w:r>
      <w:r w:rsidR="00E66B89">
        <w:rPr>
          <w:rFonts w:ascii="Lato" w:hAnsi="Lato"/>
          <w:szCs w:val="20"/>
        </w:rPr>
        <w:t xml:space="preserve"> w </w:t>
      </w:r>
      <w:r w:rsidRPr="000A135E">
        <w:rPr>
          <w:rFonts w:ascii="Lato" w:hAnsi="Lato"/>
          <w:szCs w:val="20"/>
        </w:rPr>
        <w:t>2017 roku 6,2 tys. osób (w 2015 – 5,2 tys.;</w:t>
      </w:r>
      <w:r w:rsidR="00E66B89">
        <w:rPr>
          <w:rFonts w:ascii="Lato" w:hAnsi="Lato"/>
          <w:szCs w:val="20"/>
        </w:rPr>
        <w:t xml:space="preserve"> w </w:t>
      </w:r>
      <w:r w:rsidRPr="000A135E">
        <w:rPr>
          <w:rFonts w:ascii="Lato" w:hAnsi="Lato"/>
          <w:szCs w:val="20"/>
        </w:rPr>
        <w:t>2016 r. – 7,4 tys.</w:t>
      </w:r>
      <w:r>
        <w:rPr>
          <w:rFonts w:ascii="Lato" w:hAnsi="Lato"/>
          <w:szCs w:val="20"/>
        </w:rPr>
        <w:t>).</w:t>
      </w:r>
      <w:r w:rsidRPr="000A135E">
        <w:rPr>
          <w:rFonts w:ascii="Lato" w:hAnsi="Lato"/>
          <w:szCs w:val="20"/>
        </w:rPr>
        <w:t xml:space="preserve"> Dalsze wsparcie infrastrukturalne mieszkań socjalnych</w:t>
      </w:r>
      <w:r w:rsidR="00E66B89">
        <w:rPr>
          <w:rFonts w:ascii="Lato" w:hAnsi="Lato"/>
          <w:szCs w:val="20"/>
        </w:rPr>
        <w:t xml:space="preserve"> i </w:t>
      </w:r>
      <w:r w:rsidRPr="000A135E">
        <w:rPr>
          <w:rFonts w:ascii="Lato" w:hAnsi="Lato"/>
          <w:szCs w:val="20"/>
        </w:rPr>
        <w:t>chronionych pozostaje więc jednym</w:t>
      </w:r>
      <w:r w:rsidR="00E66B89">
        <w:rPr>
          <w:rFonts w:ascii="Lato" w:hAnsi="Lato"/>
          <w:szCs w:val="20"/>
        </w:rPr>
        <w:t xml:space="preserve"> z </w:t>
      </w:r>
      <w:r w:rsidRPr="000A135E">
        <w:rPr>
          <w:rFonts w:ascii="Lato" w:hAnsi="Lato"/>
          <w:szCs w:val="20"/>
        </w:rPr>
        <w:t>priorytetów pomocy społecznej</w:t>
      </w:r>
      <w:r w:rsidR="00E66B89">
        <w:rPr>
          <w:rFonts w:ascii="Lato" w:hAnsi="Lato"/>
          <w:szCs w:val="20"/>
        </w:rPr>
        <w:t xml:space="preserve"> w </w:t>
      </w:r>
      <w:r w:rsidRPr="000A135E">
        <w:rPr>
          <w:rFonts w:ascii="Lato" w:hAnsi="Lato"/>
          <w:szCs w:val="20"/>
        </w:rPr>
        <w:t xml:space="preserve">regionie zachodniopomorskim. </w:t>
      </w:r>
    </w:p>
    <w:p w14:paraId="536548B6" w14:textId="77777777" w:rsidR="00116CFB" w:rsidRPr="00404DA5" w:rsidRDefault="00116CFB" w:rsidP="00116CFB">
      <w:pPr>
        <w:spacing w:after="200"/>
        <w:rPr>
          <w:rFonts w:eastAsia="Calibri"/>
          <w:szCs w:val="20"/>
          <w:lang w:eastAsia="en-US"/>
        </w:rPr>
      </w:pPr>
      <w:r>
        <w:rPr>
          <w:szCs w:val="20"/>
        </w:rPr>
        <w:t>Popyt na pobyt</w:t>
      </w:r>
      <w:r w:rsidR="00E66B89">
        <w:rPr>
          <w:szCs w:val="20"/>
        </w:rPr>
        <w:t xml:space="preserve"> w </w:t>
      </w:r>
      <w:r>
        <w:rPr>
          <w:szCs w:val="20"/>
        </w:rPr>
        <w:t xml:space="preserve">domach pomocy społecznej nie maleje. </w:t>
      </w:r>
      <w:r w:rsidRPr="000B1570">
        <w:rPr>
          <w:szCs w:val="20"/>
        </w:rPr>
        <w:t>Wskaźnik zaspokojenia zapotrzebowania na miejsca</w:t>
      </w:r>
      <w:r w:rsidR="00E66B89">
        <w:rPr>
          <w:szCs w:val="20"/>
        </w:rPr>
        <w:t xml:space="preserve"> w </w:t>
      </w:r>
      <w:r w:rsidRPr="000B1570">
        <w:rPr>
          <w:szCs w:val="20"/>
        </w:rPr>
        <w:t>domach pomocy społecznej</w:t>
      </w:r>
      <w:r w:rsidR="00E66B89">
        <w:rPr>
          <w:szCs w:val="20"/>
        </w:rPr>
        <w:t xml:space="preserve"> w </w:t>
      </w:r>
      <w:r w:rsidRPr="000B1570">
        <w:rPr>
          <w:szCs w:val="20"/>
        </w:rPr>
        <w:t>gminach</w:t>
      </w:r>
      <w:r w:rsidR="00E66B89">
        <w:rPr>
          <w:szCs w:val="20"/>
        </w:rPr>
        <w:t xml:space="preserve"> i </w:t>
      </w:r>
      <w:r w:rsidRPr="000B1570">
        <w:rPr>
          <w:szCs w:val="20"/>
        </w:rPr>
        <w:t>miastach na prawach powiatu,</w:t>
      </w:r>
      <w:r w:rsidR="00E66B89">
        <w:rPr>
          <w:szCs w:val="20"/>
        </w:rPr>
        <w:t xml:space="preserve"> w </w:t>
      </w:r>
      <w:r w:rsidRPr="000B1570">
        <w:rPr>
          <w:szCs w:val="20"/>
        </w:rPr>
        <w:t xml:space="preserve">2017 r. wyniósł 62%. </w:t>
      </w:r>
      <w:r>
        <w:rPr>
          <w:szCs w:val="20"/>
        </w:rPr>
        <w:t>Występuje silne zróżnicowanie zapotrzebowania na miejsca</w:t>
      </w:r>
      <w:r w:rsidR="00E66B89">
        <w:rPr>
          <w:szCs w:val="20"/>
        </w:rPr>
        <w:t xml:space="preserve"> w </w:t>
      </w:r>
      <w:r>
        <w:rPr>
          <w:szCs w:val="20"/>
        </w:rPr>
        <w:t>DPS. Najwyższą wartość wskaźnik ten przyjmuje</w:t>
      </w:r>
      <w:r w:rsidR="00E66B89">
        <w:rPr>
          <w:szCs w:val="20"/>
        </w:rPr>
        <w:t xml:space="preserve"> w </w:t>
      </w:r>
      <w:r>
        <w:rPr>
          <w:szCs w:val="20"/>
        </w:rPr>
        <w:t xml:space="preserve">Szczecinie (42%). </w:t>
      </w:r>
      <w:r w:rsidRPr="000B1570">
        <w:rPr>
          <w:szCs w:val="20"/>
        </w:rPr>
        <w:t>Placówki położone</w:t>
      </w:r>
      <w:r w:rsidR="00E66B89">
        <w:rPr>
          <w:szCs w:val="20"/>
        </w:rPr>
        <w:t xml:space="preserve"> w </w:t>
      </w:r>
      <w:r w:rsidRPr="000B1570">
        <w:rPr>
          <w:szCs w:val="20"/>
        </w:rPr>
        <w:t xml:space="preserve">mniejszych miejscowościach dysponują wolnymi miejscami. </w:t>
      </w:r>
      <w:r>
        <w:rPr>
          <w:szCs w:val="20"/>
        </w:rPr>
        <w:t>Jak wynika</w:t>
      </w:r>
      <w:r w:rsidR="00E66B89">
        <w:rPr>
          <w:szCs w:val="20"/>
        </w:rPr>
        <w:t xml:space="preserve"> z </w:t>
      </w:r>
      <w:r>
        <w:rPr>
          <w:szCs w:val="20"/>
        </w:rPr>
        <w:t xml:space="preserve">zapisów </w:t>
      </w:r>
      <w:r w:rsidRPr="00C22C26">
        <w:rPr>
          <w:i/>
          <w:szCs w:val="20"/>
        </w:rPr>
        <w:t>Oceny zasobów pomocy społecznej za rok 2017 dla województwa zachodniopomorskiego</w:t>
      </w:r>
      <w:r>
        <w:rPr>
          <w:szCs w:val="20"/>
        </w:rPr>
        <w:t xml:space="preserve"> p</w:t>
      </w:r>
      <w:r w:rsidRPr="000B1570">
        <w:rPr>
          <w:szCs w:val="20"/>
        </w:rPr>
        <w:t>roblemem całego regionu, od wielu lat, jest deficyt miejsc</w:t>
      </w:r>
      <w:r w:rsidR="00E66B89">
        <w:rPr>
          <w:szCs w:val="20"/>
        </w:rPr>
        <w:t xml:space="preserve"> w </w:t>
      </w:r>
      <w:r w:rsidRPr="000B1570">
        <w:rPr>
          <w:szCs w:val="20"/>
        </w:rPr>
        <w:t>ośrodkach dla osób</w:t>
      </w:r>
      <w:r w:rsidR="00E66B89">
        <w:rPr>
          <w:szCs w:val="20"/>
        </w:rPr>
        <w:t xml:space="preserve"> z </w:t>
      </w:r>
      <w:r w:rsidRPr="000B1570">
        <w:rPr>
          <w:szCs w:val="20"/>
        </w:rPr>
        <w:t>zaburzeniami psychicznymi</w:t>
      </w:r>
      <w:r>
        <w:rPr>
          <w:szCs w:val="20"/>
        </w:rPr>
        <w:t>. Dane te wskazują na potrzebę dalszego wsparcia DPS</w:t>
      </w:r>
      <w:r w:rsidR="00E66B89">
        <w:rPr>
          <w:szCs w:val="20"/>
        </w:rPr>
        <w:t xml:space="preserve"> w </w:t>
      </w:r>
      <w:r>
        <w:rPr>
          <w:szCs w:val="20"/>
        </w:rPr>
        <w:t>regionie zachodniopomorskim.</w:t>
      </w:r>
      <w:r w:rsidR="00E66B89">
        <w:rPr>
          <w:szCs w:val="20"/>
        </w:rPr>
        <w:t xml:space="preserve"> W </w:t>
      </w:r>
      <w:r>
        <w:rPr>
          <w:szCs w:val="20"/>
        </w:rPr>
        <w:t>przytaczanym dokumencie zdiagnozowano również potrzebę zwiększenia liczby Zakładów Aktywności Zawodowej (ZAZ)</w:t>
      </w:r>
      <w:r w:rsidR="00E66B89">
        <w:rPr>
          <w:szCs w:val="20"/>
        </w:rPr>
        <w:t xml:space="preserve"> w </w:t>
      </w:r>
      <w:r>
        <w:rPr>
          <w:szCs w:val="20"/>
        </w:rPr>
        <w:t>regionie. Stwierdzono jednak, że inwestycje RPO WZ 2014-2020 zaspokoją najpilniejsze potrzeby związane</w:t>
      </w:r>
      <w:r w:rsidR="00E66B89">
        <w:rPr>
          <w:szCs w:val="20"/>
        </w:rPr>
        <w:t xml:space="preserve"> z </w:t>
      </w:r>
      <w:r>
        <w:rPr>
          <w:szCs w:val="20"/>
        </w:rPr>
        <w:t>dostępnością tej formy wsparcia osób zagrożonych wykluczeniem społecznym. Należy</w:t>
      </w:r>
      <w:r w:rsidR="00E66B89">
        <w:rPr>
          <w:szCs w:val="20"/>
        </w:rPr>
        <w:t xml:space="preserve"> w </w:t>
      </w:r>
      <w:r>
        <w:rPr>
          <w:szCs w:val="20"/>
        </w:rPr>
        <w:t>tym miejscu podkreślić, że p</w:t>
      </w:r>
      <w:r w:rsidRPr="00404DA5">
        <w:rPr>
          <w:rFonts w:eastAsia="Calibri"/>
          <w:szCs w:val="20"/>
          <w:lang w:eastAsia="en-US"/>
        </w:rPr>
        <w:t xml:space="preserve">rocent osób niepełnosprawnych zatrudnionych rósł systematycznie do 2014 roku, kiedy osiągnął najwyższą wartość </w:t>
      </w:r>
      <w:r w:rsidRPr="00404DA5">
        <w:rPr>
          <w:rFonts w:eastAsia="Calibri"/>
          <w:szCs w:val="20"/>
          <w:lang w:eastAsia="en-US"/>
        </w:rPr>
        <w:lastRenderedPageBreak/>
        <w:t>20%. Następnie, zmalał</w:t>
      </w:r>
      <w:r w:rsidR="00E66B89">
        <w:rPr>
          <w:rFonts w:eastAsia="Calibri"/>
          <w:szCs w:val="20"/>
          <w:lang w:eastAsia="en-US"/>
        </w:rPr>
        <w:t xml:space="preserve"> o </w:t>
      </w:r>
      <w:r w:rsidRPr="00404DA5">
        <w:rPr>
          <w:rFonts w:eastAsia="Calibri"/>
          <w:szCs w:val="20"/>
          <w:lang w:eastAsia="en-US"/>
        </w:rPr>
        <w:t>4 p</w:t>
      </w:r>
      <w:r>
        <w:rPr>
          <w:rFonts w:eastAsia="Calibri"/>
          <w:szCs w:val="20"/>
          <w:lang w:eastAsia="en-US"/>
        </w:rPr>
        <w:t>.</w:t>
      </w:r>
      <w:r w:rsidRPr="00404DA5">
        <w:rPr>
          <w:rFonts w:eastAsia="Calibri"/>
          <w:szCs w:val="20"/>
          <w:lang w:eastAsia="en-US"/>
        </w:rPr>
        <w:t>p.</w:t>
      </w:r>
      <w:r w:rsidR="00E66B89">
        <w:rPr>
          <w:rFonts w:eastAsia="Calibri"/>
          <w:szCs w:val="20"/>
          <w:lang w:eastAsia="en-US"/>
        </w:rPr>
        <w:t xml:space="preserve"> w </w:t>
      </w:r>
      <w:r w:rsidRPr="00404DA5">
        <w:rPr>
          <w:rFonts w:eastAsia="Calibri"/>
          <w:szCs w:val="20"/>
          <w:lang w:eastAsia="en-US"/>
        </w:rPr>
        <w:t>2015 roku. Pomimo tendencji wzrostowej, obecnie</w:t>
      </w:r>
      <w:r>
        <w:rPr>
          <w:rFonts w:eastAsia="Calibri"/>
          <w:szCs w:val="20"/>
          <w:lang w:eastAsia="en-US"/>
        </w:rPr>
        <w:t xml:space="preserve"> -</w:t>
      </w:r>
      <w:r w:rsidRPr="00404DA5">
        <w:rPr>
          <w:rFonts w:eastAsia="Calibri"/>
          <w:szCs w:val="20"/>
          <w:lang w:eastAsia="en-US"/>
        </w:rPr>
        <w:t xml:space="preserve"> zaraz po województwie podlaskim</w:t>
      </w:r>
      <w:r>
        <w:rPr>
          <w:rFonts w:eastAsia="Calibri"/>
          <w:szCs w:val="20"/>
          <w:lang w:eastAsia="en-US"/>
        </w:rPr>
        <w:t xml:space="preserve"> -</w:t>
      </w:r>
      <w:r w:rsidRPr="00404DA5">
        <w:rPr>
          <w:rFonts w:eastAsia="Calibri"/>
          <w:szCs w:val="20"/>
          <w:lang w:eastAsia="en-US"/>
        </w:rPr>
        <w:t xml:space="preserve"> jest to najniższy wynik</w:t>
      </w:r>
      <w:r w:rsidR="00E66B89">
        <w:rPr>
          <w:rFonts w:eastAsia="Calibri"/>
          <w:szCs w:val="20"/>
          <w:lang w:eastAsia="en-US"/>
        </w:rPr>
        <w:t xml:space="preserve"> w </w:t>
      </w:r>
      <w:r w:rsidRPr="00404DA5">
        <w:rPr>
          <w:rFonts w:eastAsia="Calibri"/>
          <w:szCs w:val="20"/>
          <w:lang w:eastAsia="en-US"/>
        </w:rPr>
        <w:t xml:space="preserve">Polsce. </w:t>
      </w:r>
      <w:r>
        <w:rPr>
          <w:rFonts w:eastAsia="Calibri"/>
          <w:szCs w:val="20"/>
          <w:lang w:eastAsia="en-US"/>
        </w:rPr>
        <w:t>Świadczy to</w:t>
      </w:r>
      <w:r w:rsidR="00E66B89">
        <w:rPr>
          <w:rFonts w:eastAsia="Calibri"/>
          <w:szCs w:val="20"/>
          <w:lang w:eastAsia="en-US"/>
        </w:rPr>
        <w:t xml:space="preserve"> o </w:t>
      </w:r>
      <w:r>
        <w:rPr>
          <w:rFonts w:eastAsia="Calibri"/>
          <w:szCs w:val="20"/>
          <w:lang w:eastAsia="en-US"/>
        </w:rPr>
        <w:t>aktualności potrzeby wsparcia instytucji pomocy społecznej</w:t>
      </w:r>
      <w:r w:rsidR="00E66B89">
        <w:rPr>
          <w:rFonts w:eastAsia="Calibri"/>
          <w:szCs w:val="20"/>
          <w:lang w:eastAsia="en-US"/>
        </w:rPr>
        <w:t xml:space="preserve"> w </w:t>
      </w:r>
      <w:r>
        <w:rPr>
          <w:rFonts w:eastAsia="Calibri"/>
          <w:szCs w:val="20"/>
          <w:lang w:eastAsia="en-US"/>
        </w:rPr>
        <w:t>obszarze zwiększania liczby ZAZ.</w:t>
      </w:r>
    </w:p>
    <w:p w14:paraId="6FA34E8C" w14:textId="77777777" w:rsidR="00116CFB" w:rsidRPr="00404DA5" w:rsidRDefault="00116CFB" w:rsidP="004D674A">
      <w:pPr>
        <w:rPr>
          <w:rFonts w:eastAsia="Calibri"/>
          <w:b/>
          <w:color w:val="365F91"/>
          <w:szCs w:val="20"/>
        </w:rPr>
      </w:pPr>
      <w:r w:rsidRPr="004D674A">
        <w:rPr>
          <w:rFonts w:eastAsia="Calibri"/>
          <w:b/>
          <w:i/>
          <w:color w:val="4F81BD"/>
          <w:szCs w:val="20"/>
          <w:lang w:eastAsia="en-US"/>
        </w:rPr>
        <w:t>PI 9b</w:t>
      </w:r>
      <w:r w:rsidRPr="00404DA5">
        <w:rPr>
          <w:rFonts w:eastAsia="Calibri"/>
          <w:b/>
          <w:color w:val="365F91"/>
          <w:szCs w:val="20"/>
        </w:rPr>
        <w:t xml:space="preserve"> </w:t>
      </w:r>
    </w:p>
    <w:p w14:paraId="6709484B" w14:textId="77777777" w:rsidR="00116CFB" w:rsidRPr="000A135E" w:rsidRDefault="00116CFB" w:rsidP="00116CFB">
      <w:pPr>
        <w:pStyle w:val="Tekstgwny"/>
        <w:spacing w:line="288" w:lineRule="auto"/>
        <w:rPr>
          <w:rFonts w:ascii="Lato" w:hAnsi="Lato"/>
          <w:szCs w:val="20"/>
        </w:rPr>
      </w:pPr>
      <w:r w:rsidRPr="000A135E">
        <w:rPr>
          <w:rFonts w:ascii="Lato" w:hAnsi="Lato"/>
          <w:szCs w:val="20"/>
        </w:rPr>
        <w:t xml:space="preserve">Priorytet Inwestycyjny 9b </w:t>
      </w:r>
      <w:r w:rsidRPr="008B706B">
        <w:rPr>
          <w:rFonts w:ascii="Lato" w:hAnsi="Lato"/>
          <w:i/>
          <w:szCs w:val="20"/>
        </w:rPr>
        <w:t>Wspieranie rewitalizacji fizycznej, gospodarczej</w:t>
      </w:r>
      <w:r w:rsidR="00E66B89">
        <w:rPr>
          <w:rFonts w:ascii="Lato" w:hAnsi="Lato"/>
          <w:i/>
          <w:szCs w:val="20"/>
        </w:rPr>
        <w:t xml:space="preserve"> i </w:t>
      </w:r>
      <w:r w:rsidRPr="008B706B">
        <w:rPr>
          <w:rFonts w:ascii="Lato" w:hAnsi="Lato"/>
          <w:i/>
          <w:szCs w:val="20"/>
        </w:rPr>
        <w:t>społecznej ubogich społeczności</w:t>
      </w:r>
      <w:r w:rsidR="00E66B89">
        <w:rPr>
          <w:rFonts w:ascii="Lato" w:hAnsi="Lato"/>
          <w:i/>
          <w:szCs w:val="20"/>
        </w:rPr>
        <w:t xml:space="preserve"> i </w:t>
      </w:r>
      <w:r w:rsidRPr="008B706B">
        <w:rPr>
          <w:rFonts w:ascii="Lato" w:hAnsi="Lato"/>
          <w:i/>
          <w:szCs w:val="20"/>
        </w:rPr>
        <w:t>obszarów miejskich</w:t>
      </w:r>
      <w:r w:rsidR="00E66B89">
        <w:rPr>
          <w:rFonts w:ascii="Lato" w:hAnsi="Lato"/>
          <w:i/>
          <w:szCs w:val="20"/>
        </w:rPr>
        <w:t xml:space="preserve"> i </w:t>
      </w:r>
      <w:r w:rsidRPr="008B706B">
        <w:rPr>
          <w:rFonts w:ascii="Lato" w:hAnsi="Lato"/>
          <w:i/>
          <w:szCs w:val="20"/>
        </w:rPr>
        <w:t>wiejskich</w:t>
      </w:r>
      <w:r w:rsidRPr="000A135E">
        <w:rPr>
          <w:rFonts w:ascii="Lato" w:hAnsi="Lato"/>
          <w:szCs w:val="20"/>
        </w:rPr>
        <w:t xml:space="preserve"> realizowany jest</w:t>
      </w:r>
      <w:r w:rsidR="00E66B89">
        <w:rPr>
          <w:rFonts w:ascii="Lato" w:hAnsi="Lato"/>
          <w:szCs w:val="20"/>
        </w:rPr>
        <w:t xml:space="preserve"> w </w:t>
      </w:r>
      <w:r w:rsidRPr="000A135E">
        <w:rPr>
          <w:rFonts w:ascii="Lato" w:hAnsi="Lato"/>
          <w:szCs w:val="20"/>
        </w:rPr>
        <w:t xml:space="preserve">ramach Działania 9.3. RPO WZ. Celem wsparcia jest </w:t>
      </w:r>
      <w:r w:rsidRPr="000A135E">
        <w:rPr>
          <w:rFonts w:ascii="Lato" w:eastAsia="Times New Roman" w:hAnsi="Lato"/>
          <w:color w:val="000000"/>
          <w:szCs w:val="20"/>
          <w:lang w:eastAsia="pl-PL"/>
        </w:rPr>
        <w:t>zmniejszone zagrożenie wykluczeniem społecznym ludności zamieszkującej obszary zdegradowane</w:t>
      </w:r>
      <w:r w:rsidR="00E66B89">
        <w:rPr>
          <w:rFonts w:ascii="Lato" w:eastAsia="Times New Roman" w:hAnsi="Lato"/>
          <w:color w:val="000000"/>
          <w:szCs w:val="20"/>
          <w:lang w:eastAsia="pl-PL"/>
        </w:rPr>
        <w:t xml:space="preserve"> i </w:t>
      </w:r>
      <w:r w:rsidRPr="000A135E">
        <w:rPr>
          <w:rFonts w:ascii="Lato" w:eastAsia="Times New Roman" w:hAnsi="Lato"/>
          <w:color w:val="000000"/>
          <w:szCs w:val="20"/>
          <w:lang w:eastAsia="pl-PL"/>
        </w:rPr>
        <w:t>peryferyjne.</w:t>
      </w:r>
      <w:r>
        <w:rPr>
          <w:rFonts w:ascii="Lato" w:eastAsia="Times New Roman" w:hAnsi="Lato"/>
          <w:color w:val="000000"/>
          <w:szCs w:val="20"/>
          <w:lang w:eastAsia="pl-PL"/>
        </w:rPr>
        <w:t xml:space="preserve"> P</w:t>
      </w:r>
      <w:r w:rsidRPr="000A135E">
        <w:rPr>
          <w:rFonts w:ascii="Lato" w:eastAsia="Times New Roman" w:hAnsi="Lato"/>
          <w:color w:val="000000"/>
          <w:szCs w:val="20"/>
          <w:lang w:eastAsia="pl-PL"/>
        </w:rPr>
        <w:t xml:space="preserve">rzeprowadzane interwencje służą </w:t>
      </w:r>
      <w:r w:rsidRPr="000A135E">
        <w:rPr>
          <w:rFonts w:ascii="Lato" w:hAnsi="Lato"/>
          <w:szCs w:val="20"/>
        </w:rPr>
        <w:t>odbudowie potencjału tych terenów. Zgodnie</w:t>
      </w:r>
      <w:r w:rsidR="00E66B89">
        <w:rPr>
          <w:rFonts w:ascii="Lato" w:hAnsi="Lato"/>
          <w:szCs w:val="20"/>
        </w:rPr>
        <w:t xml:space="preserve"> z </w:t>
      </w:r>
      <w:r w:rsidRPr="000A135E">
        <w:rPr>
          <w:rFonts w:ascii="Lato" w:hAnsi="Lato"/>
          <w:szCs w:val="20"/>
        </w:rPr>
        <w:t>logiką interwencji wspierane są przedsięwzięcia ujęte</w:t>
      </w:r>
      <w:r w:rsidR="00E66B89">
        <w:rPr>
          <w:rFonts w:ascii="Lato" w:hAnsi="Lato"/>
          <w:szCs w:val="20"/>
        </w:rPr>
        <w:t xml:space="preserve"> w </w:t>
      </w:r>
      <w:r w:rsidRPr="000A135E">
        <w:rPr>
          <w:rFonts w:ascii="Lato" w:hAnsi="Lato"/>
          <w:szCs w:val="20"/>
        </w:rPr>
        <w:t>programach rewitalizacji obszarów zdegradowanych, skupione głównie na terenach popegeerowskich, poprzemysłowych, powojskowych,</w:t>
      </w:r>
      <w:r w:rsidR="00E66B89">
        <w:rPr>
          <w:rFonts w:ascii="Lato" w:hAnsi="Lato"/>
          <w:szCs w:val="20"/>
        </w:rPr>
        <w:t xml:space="preserve"> a w </w:t>
      </w:r>
      <w:r w:rsidRPr="000A135E">
        <w:rPr>
          <w:rFonts w:ascii="Lato" w:hAnsi="Lato"/>
          <w:szCs w:val="20"/>
        </w:rPr>
        <w:t>drugiej kolejności na niedoinwestowanych</w:t>
      </w:r>
      <w:r w:rsidR="00E66B89">
        <w:rPr>
          <w:rFonts w:ascii="Lato" w:hAnsi="Lato"/>
          <w:szCs w:val="20"/>
        </w:rPr>
        <w:t xml:space="preserve"> i </w:t>
      </w:r>
      <w:r w:rsidRPr="000A135E">
        <w:rPr>
          <w:rFonts w:ascii="Lato" w:hAnsi="Lato"/>
          <w:szCs w:val="20"/>
        </w:rPr>
        <w:t>zaniedbanych obszarach miejskich. Podejmowane</w:t>
      </w:r>
      <w:r w:rsidR="00E66B89">
        <w:rPr>
          <w:rFonts w:ascii="Lato" w:hAnsi="Lato"/>
          <w:szCs w:val="20"/>
        </w:rPr>
        <w:t xml:space="preserve"> w </w:t>
      </w:r>
      <w:r w:rsidRPr="000A135E">
        <w:rPr>
          <w:rFonts w:ascii="Lato" w:hAnsi="Lato"/>
          <w:szCs w:val="20"/>
        </w:rPr>
        <w:t>ramach rewitalizacji działania mają na celu poprawę jakości życia mieszkańców oraz ożywienie gospodarcze</w:t>
      </w:r>
      <w:r w:rsidR="00E66B89">
        <w:rPr>
          <w:rFonts w:ascii="Lato" w:hAnsi="Lato"/>
          <w:szCs w:val="20"/>
        </w:rPr>
        <w:t xml:space="preserve"> i </w:t>
      </w:r>
      <w:r w:rsidRPr="000A135E">
        <w:rPr>
          <w:rFonts w:ascii="Lato" w:hAnsi="Lato"/>
          <w:szCs w:val="20"/>
        </w:rPr>
        <w:t xml:space="preserve">społeczne danego obszaru. </w:t>
      </w:r>
    </w:p>
    <w:p w14:paraId="6A2753C3" w14:textId="77777777" w:rsidR="00116CFB" w:rsidRDefault="00116CFB" w:rsidP="00116CFB">
      <w:pPr>
        <w:autoSpaceDE w:val="0"/>
        <w:autoSpaceDN w:val="0"/>
        <w:rPr>
          <w:szCs w:val="20"/>
        </w:rPr>
      </w:pPr>
      <w:r w:rsidRPr="000A135E">
        <w:rPr>
          <w:szCs w:val="20"/>
        </w:rPr>
        <w:t>Jak wynika</w:t>
      </w:r>
      <w:r w:rsidR="00E66B89">
        <w:rPr>
          <w:szCs w:val="20"/>
        </w:rPr>
        <w:t xml:space="preserve"> z </w:t>
      </w:r>
      <w:r w:rsidRPr="000A135E">
        <w:rPr>
          <w:szCs w:val="20"/>
        </w:rPr>
        <w:t>Wykazu Programów Rewitalizacji województwa zachodniopomorskiego</w:t>
      </w:r>
      <w:r w:rsidR="00E66B89">
        <w:rPr>
          <w:szCs w:val="20"/>
        </w:rPr>
        <w:t xml:space="preserve"> z </w:t>
      </w:r>
      <w:r w:rsidRPr="000A135E">
        <w:rPr>
          <w:szCs w:val="20"/>
        </w:rPr>
        <w:t>dnia 8 stycznia 201</w:t>
      </w:r>
      <w:r>
        <w:rPr>
          <w:szCs w:val="20"/>
        </w:rPr>
        <w:t>9</w:t>
      </w:r>
      <w:r w:rsidRPr="000A135E">
        <w:rPr>
          <w:szCs w:val="20"/>
        </w:rPr>
        <w:t xml:space="preserve"> roku</w:t>
      </w:r>
      <w:r>
        <w:rPr>
          <w:szCs w:val="20"/>
        </w:rPr>
        <w:t>,</w:t>
      </w:r>
      <w:r w:rsidRPr="000A135E">
        <w:rPr>
          <w:szCs w:val="20"/>
        </w:rPr>
        <w:t xml:space="preserve"> 97 gmin regionu opracowało lokalny dokument strategiczny uprawniający do ubiegania się</w:t>
      </w:r>
      <w:r w:rsidR="00E66B89">
        <w:rPr>
          <w:szCs w:val="20"/>
        </w:rPr>
        <w:t xml:space="preserve"> o </w:t>
      </w:r>
      <w:r w:rsidRPr="000A135E">
        <w:rPr>
          <w:szCs w:val="20"/>
        </w:rPr>
        <w:t>wsparcie</w:t>
      </w:r>
      <w:r w:rsidR="00E66B89">
        <w:rPr>
          <w:szCs w:val="20"/>
        </w:rPr>
        <w:t xml:space="preserve"> w </w:t>
      </w:r>
      <w:r w:rsidRPr="000A135E">
        <w:rPr>
          <w:szCs w:val="20"/>
        </w:rPr>
        <w:t xml:space="preserve">ramach RPO WZ 2014-2020. </w:t>
      </w:r>
      <w:r>
        <w:rPr>
          <w:szCs w:val="20"/>
        </w:rPr>
        <w:t>Podpisano zaś umowy</w:t>
      </w:r>
      <w:r w:rsidR="00E66B89">
        <w:rPr>
          <w:szCs w:val="20"/>
        </w:rPr>
        <w:t xml:space="preserve"> o </w:t>
      </w:r>
      <w:r>
        <w:rPr>
          <w:szCs w:val="20"/>
        </w:rPr>
        <w:t xml:space="preserve">dofinansowanie </w:t>
      </w:r>
      <w:r w:rsidRPr="000A135E">
        <w:rPr>
          <w:szCs w:val="20"/>
        </w:rPr>
        <w:t>projekt</w:t>
      </w:r>
      <w:r>
        <w:rPr>
          <w:szCs w:val="20"/>
        </w:rPr>
        <w:t>ów</w:t>
      </w:r>
      <w:r w:rsidRPr="000A135E">
        <w:rPr>
          <w:szCs w:val="20"/>
        </w:rPr>
        <w:t xml:space="preserve"> </w:t>
      </w:r>
      <w:r>
        <w:rPr>
          <w:szCs w:val="20"/>
        </w:rPr>
        <w:t>realizowanych</w:t>
      </w:r>
      <w:r w:rsidRPr="000A135E">
        <w:rPr>
          <w:szCs w:val="20"/>
        </w:rPr>
        <w:t xml:space="preserve"> </w:t>
      </w:r>
      <w:r>
        <w:rPr>
          <w:szCs w:val="20"/>
        </w:rPr>
        <w:t>przez beneficjentów</w:t>
      </w:r>
      <w:r w:rsidR="00E66B89">
        <w:rPr>
          <w:szCs w:val="20"/>
        </w:rPr>
        <w:t xml:space="preserve"> z </w:t>
      </w:r>
      <w:r>
        <w:rPr>
          <w:szCs w:val="20"/>
        </w:rPr>
        <w:t>obszarów ujętych</w:t>
      </w:r>
      <w:r w:rsidR="00E66B89">
        <w:rPr>
          <w:szCs w:val="20"/>
        </w:rPr>
        <w:t xml:space="preserve"> w </w:t>
      </w:r>
      <w:r>
        <w:rPr>
          <w:szCs w:val="20"/>
        </w:rPr>
        <w:t>zaledwie</w:t>
      </w:r>
      <w:r w:rsidRPr="000A135E">
        <w:rPr>
          <w:szCs w:val="20"/>
        </w:rPr>
        <w:t xml:space="preserve"> 28 program</w:t>
      </w:r>
      <w:r>
        <w:rPr>
          <w:szCs w:val="20"/>
        </w:rPr>
        <w:t>ach</w:t>
      </w:r>
      <w:r w:rsidRPr="000A135E">
        <w:rPr>
          <w:szCs w:val="20"/>
        </w:rPr>
        <w:t xml:space="preserve"> rewitalizacji gmin. Świadczy to</w:t>
      </w:r>
      <w:r w:rsidR="00E66B89">
        <w:rPr>
          <w:szCs w:val="20"/>
        </w:rPr>
        <w:t xml:space="preserve"> o </w:t>
      </w:r>
      <w:r w:rsidRPr="000A135E">
        <w:rPr>
          <w:szCs w:val="20"/>
        </w:rPr>
        <w:t>wysokiej aktualności wsparcia oraz niezaspokojonych potrzebach rewitalizacyjnych</w:t>
      </w:r>
      <w:r w:rsidR="00E66B89">
        <w:rPr>
          <w:szCs w:val="20"/>
        </w:rPr>
        <w:t xml:space="preserve"> w </w:t>
      </w:r>
      <w:r w:rsidRPr="000A135E">
        <w:rPr>
          <w:szCs w:val="20"/>
        </w:rPr>
        <w:t>regionie zachodniopomorskim. Należy przy tym podkreślić wysoką skalę tych potrzeb, ze szczególnym uwzględnieniem gmin wchodzących</w:t>
      </w:r>
      <w:r w:rsidR="00E66B89">
        <w:rPr>
          <w:szCs w:val="20"/>
        </w:rPr>
        <w:t xml:space="preserve"> w </w:t>
      </w:r>
      <w:r w:rsidRPr="000A135E">
        <w:rPr>
          <w:szCs w:val="20"/>
        </w:rPr>
        <w:t>skład SSW.</w:t>
      </w:r>
      <w:r>
        <w:rPr>
          <w:szCs w:val="20"/>
        </w:rPr>
        <w:t xml:space="preserve"> </w:t>
      </w:r>
    </w:p>
    <w:p w14:paraId="01C55CF9" w14:textId="77777777" w:rsidR="00116CFB" w:rsidRDefault="00116CFB" w:rsidP="00116CFB">
      <w:pPr>
        <w:spacing w:after="200"/>
        <w:rPr>
          <w:rFonts w:eastAsia="Calibri"/>
          <w:szCs w:val="20"/>
          <w:lang w:eastAsia="en-US"/>
        </w:rPr>
      </w:pPr>
      <w:r>
        <w:rPr>
          <w:szCs w:val="20"/>
        </w:rPr>
        <w:t xml:space="preserve">W skali całego regionu zachodniopomorskiego obserwuje się spadek skali zagrożenia ubóstwem. </w:t>
      </w:r>
      <w:r w:rsidRPr="00404DA5">
        <w:rPr>
          <w:rFonts w:eastAsia="Calibri"/>
          <w:szCs w:val="20"/>
          <w:lang w:eastAsia="en-US"/>
        </w:rPr>
        <w:t>Od 201</w:t>
      </w:r>
      <w:r>
        <w:rPr>
          <w:rFonts w:eastAsia="Calibri"/>
          <w:szCs w:val="20"/>
          <w:lang w:eastAsia="en-US"/>
        </w:rPr>
        <w:t>4</w:t>
      </w:r>
      <w:r w:rsidRPr="00404DA5">
        <w:rPr>
          <w:rFonts w:eastAsia="Calibri"/>
          <w:szCs w:val="20"/>
          <w:lang w:eastAsia="en-US"/>
        </w:rPr>
        <w:t xml:space="preserve"> roku procent osób zagrożonych ubóstwem relatywnym</w:t>
      </w:r>
      <w:r w:rsidR="00E66B89">
        <w:rPr>
          <w:rFonts w:eastAsia="Calibri"/>
          <w:szCs w:val="20"/>
          <w:lang w:eastAsia="en-US"/>
        </w:rPr>
        <w:t xml:space="preserve"> w </w:t>
      </w:r>
      <w:r>
        <w:rPr>
          <w:rFonts w:eastAsia="Calibri"/>
          <w:szCs w:val="20"/>
          <w:lang w:eastAsia="en-US"/>
        </w:rPr>
        <w:t>województwie zachodniopomorskim</w:t>
      </w:r>
      <w:r w:rsidRPr="00404DA5">
        <w:rPr>
          <w:rFonts w:eastAsia="Calibri"/>
          <w:szCs w:val="20"/>
          <w:lang w:eastAsia="en-US"/>
        </w:rPr>
        <w:t xml:space="preserve"> zmniejszył się</w:t>
      </w:r>
      <w:r w:rsidR="00E66B89">
        <w:rPr>
          <w:rFonts w:eastAsia="Calibri"/>
          <w:szCs w:val="20"/>
          <w:lang w:eastAsia="en-US"/>
        </w:rPr>
        <w:t xml:space="preserve"> z </w:t>
      </w:r>
      <w:r>
        <w:rPr>
          <w:rFonts w:eastAsia="Calibri"/>
          <w:szCs w:val="20"/>
          <w:lang w:eastAsia="en-US"/>
        </w:rPr>
        <w:t>15,3</w:t>
      </w:r>
      <w:r w:rsidRPr="00404DA5">
        <w:rPr>
          <w:rFonts w:eastAsia="Calibri"/>
          <w:szCs w:val="20"/>
          <w:lang w:eastAsia="en-US"/>
        </w:rPr>
        <w:t>% do 9,1%</w:t>
      </w:r>
      <w:r w:rsidR="00E66B89">
        <w:rPr>
          <w:rFonts w:eastAsia="Calibri"/>
          <w:szCs w:val="20"/>
          <w:lang w:eastAsia="en-US"/>
        </w:rPr>
        <w:t xml:space="preserve"> w </w:t>
      </w:r>
      <w:r w:rsidRPr="00404DA5">
        <w:rPr>
          <w:rFonts w:eastAsia="Calibri"/>
          <w:szCs w:val="20"/>
          <w:lang w:eastAsia="en-US"/>
        </w:rPr>
        <w:t>2017 roku</w:t>
      </w:r>
      <w:r w:rsidR="00E66B89">
        <w:rPr>
          <w:rFonts w:eastAsia="Calibri"/>
          <w:szCs w:val="20"/>
          <w:lang w:eastAsia="en-US"/>
        </w:rPr>
        <w:t xml:space="preserve"> i </w:t>
      </w:r>
      <w:r w:rsidRPr="00404DA5">
        <w:rPr>
          <w:rFonts w:eastAsia="Calibri"/>
          <w:szCs w:val="20"/>
          <w:lang w:eastAsia="en-US"/>
        </w:rPr>
        <w:t>był</w:t>
      </w:r>
      <w:r w:rsidR="00E66B89">
        <w:rPr>
          <w:rFonts w:eastAsia="Calibri"/>
          <w:szCs w:val="20"/>
          <w:lang w:eastAsia="en-US"/>
        </w:rPr>
        <w:t xml:space="preserve"> o </w:t>
      </w:r>
      <w:r w:rsidRPr="00404DA5">
        <w:rPr>
          <w:rFonts w:eastAsia="Calibri"/>
          <w:szCs w:val="20"/>
          <w:lang w:eastAsia="en-US"/>
        </w:rPr>
        <w:t>4 p</w:t>
      </w:r>
      <w:r>
        <w:rPr>
          <w:rFonts w:eastAsia="Calibri"/>
          <w:szCs w:val="20"/>
          <w:lang w:eastAsia="en-US"/>
        </w:rPr>
        <w:t>.</w:t>
      </w:r>
      <w:r w:rsidRPr="00404DA5">
        <w:rPr>
          <w:rFonts w:eastAsia="Calibri"/>
          <w:szCs w:val="20"/>
          <w:lang w:eastAsia="en-US"/>
        </w:rPr>
        <w:t>p</w:t>
      </w:r>
      <w:r>
        <w:rPr>
          <w:rFonts w:eastAsia="Calibri"/>
          <w:szCs w:val="20"/>
          <w:lang w:eastAsia="en-US"/>
        </w:rPr>
        <w:t>.</w:t>
      </w:r>
      <w:r w:rsidRPr="00404DA5">
        <w:rPr>
          <w:rFonts w:eastAsia="Calibri"/>
          <w:szCs w:val="20"/>
          <w:lang w:eastAsia="en-US"/>
        </w:rPr>
        <w:t xml:space="preserve"> niższy, niż średnia krajowa. Jest to obecnie jeden</w:t>
      </w:r>
      <w:r w:rsidR="00E66B89">
        <w:rPr>
          <w:rFonts w:eastAsia="Calibri"/>
          <w:szCs w:val="20"/>
          <w:lang w:eastAsia="en-US"/>
        </w:rPr>
        <w:t xml:space="preserve"> z </w:t>
      </w:r>
      <w:r w:rsidRPr="00404DA5">
        <w:rPr>
          <w:rFonts w:eastAsia="Calibri"/>
          <w:szCs w:val="20"/>
          <w:lang w:eastAsia="en-US"/>
        </w:rPr>
        <w:t>najlepszych wyników</w:t>
      </w:r>
      <w:r w:rsidR="00E66B89">
        <w:rPr>
          <w:rFonts w:eastAsia="Calibri"/>
          <w:szCs w:val="20"/>
          <w:lang w:eastAsia="en-US"/>
        </w:rPr>
        <w:t xml:space="preserve"> w </w:t>
      </w:r>
      <w:r w:rsidRPr="00404DA5">
        <w:rPr>
          <w:rFonts w:eastAsia="Calibri"/>
          <w:szCs w:val="20"/>
          <w:lang w:eastAsia="en-US"/>
        </w:rPr>
        <w:t xml:space="preserve">całym kraju. </w:t>
      </w:r>
      <w:r>
        <w:rPr>
          <w:rFonts w:eastAsia="Calibri"/>
          <w:szCs w:val="20"/>
          <w:lang w:eastAsia="en-US"/>
        </w:rPr>
        <w:t xml:space="preserve">Niemniej jednak wskaźnik ten charakteryzuje się dużym zróżnicowaniem terytorialnym. </w:t>
      </w:r>
      <w:r w:rsidRPr="00404DA5">
        <w:rPr>
          <w:rFonts w:eastAsia="Calibri"/>
          <w:szCs w:val="20"/>
          <w:lang w:eastAsia="en-US"/>
        </w:rPr>
        <w:t>Największy udział osób korzystających</w:t>
      </w:r>
      <w:r w:rsidR="00E66B89">
        <w:rPr>
          <w:rFonts w:eastAsia="Calibri"/>
          <w:szCs w:val="20"/>
          <w:lang w:eastAsia="en-US"/>
        </w:rPr>
        <w:t xml:space="preserve"> z </w:t>
      </w:r>
      <w:r w:rsidRPr="00404DA5">
        <w:rPr>
          <w:rFonts w:eastAsia="Calibri"/>
          <w:szCs w:val="20"/>
          <w:lang w:eastAsia="en-US"/>
        </w:rPr>
        <w:t>pomocy społecznej występuje</w:t>
      </w:r>
      <w:r w:rsidR="00E66B89">
        <w:rPr>
          <w:rFonts w:eastAsia="Calibri"/>
          <w:szCs w:val="20"/>
          <w:lang w:eastAsia="en-US"/>
        </w:rPr>
        <w:t xml:space="preserve"> w </w:t>
      </w:r>
      <w:r w:rsidRPr="00404DA5">
        <w:rPr>
          <w:rFonts w:eastAsia="Calibri"/>
          <w:szCs w:val="20"/>
          <w:lang w:eastAsia="en-US"/>
        </w:rPr>
        <w:t>powiatach świdwińskim, białogardzkim oraz łobeskim. Powiaty te charakteryzuje m. in. wysok</w:t>
      </w:r>
      <w:r>
        <w:rPr>
          <w:rFonts w:eastAsia="Calibri"/>
          <w:szCs w:val="20"/>
          <w:lang w:eastAsia="en-US"/>
        </w:rPr>
        <w:t>a</w:t>
      </w:r>
      <w:r w:rsidRPr="00404DA5">
        <w:rPr>
          <w:rFonts w:eastAsia="Calibri"/>
          <w:szCs w:val="20"/>
          <w:lang w:eastAsia="en-US"/>
        </w:rPr>
        <w:t xml:space="preserve"> stopa bezrobocia.</w:t>
      </w:r>
    </w:p>
    <w:p w14:paraId="0B8C7CF9" w14:textId="77777777" w:rsidR="00116CFB" w:rsidRDefault="00116CFB" w:rsidP="00C22C26">
      <w:pPr>
        <w:spacing w:after="200"/>
        <w:rPr>
          <w:szCs w:val="20"/>
        </w:rPr>
      </w:pPr>
      <w:r>
        <w:rPr>
          <w:rFonts w:eastAsia="Calibri"/>
          <w:szCs w:val="20"/>
          <w:lang w:eastAsia="en-US"/>
        </w:rPr>
        <w:t>Aktualizacja SSW</w:t>
      </w:r>
      <w:r w:rsidR="00E66B89">
        <w:rPr>
          <w:rFonts w:eastAsia="Calibri"/>
          <w:szCs w:val="20"/>
          <w:lang w:eastAsia="en-US"/>
        </w:rPr>
        <w:t xml:space="preserve"> z </w:t>
      </w:r>
      <w:r>
        <w:rPr>
          <w:rFonts w:eastAsia="Calibri"/>
          <w:szCs w:val="20"/>
          <w:lang w:eastAsia="en-US"/>
        </w:rPr>
        <w:t>marca 2018 roku wskazuje na utrzymywanie się zjawisk marginalizacji</w:t>
      </w:r>
      <w:r w:rsidR="00E66B89">
        <w:rPr>
          <w:rFonts w:eastAsia="Calibri"/>
          <w:szCs w:val="20"/>
          <w:lang w:eastAsia="en-US"/>
        </w:rPr>
        <w:t xml:space="preserve"> w </w:t>
      </w:r>
      <w:r>
        <w:rPr>
          <w:rFonts w:eastAsia="Calibri"/>
          <w:szCs w:val="20"/>
          <w:lang w:eastAsia="en-US"/>
        </w:rPr>
        <w:t xml:space="preserve">wielu gminach regionu zachodniopomorskiego. </w:t>
      </w:r>
      <w:r w:rsidRPr="00AE7A5F">
        <w:rPr>
          <w:rFonts w:cs="Arial"/>
          <w:szCs w:val="20"/>
        </w:rPr>
        <w:t>Trwałą poprawę sytuacji społeczno-gospodarczej odnotowano</w:t>
      </w:r>
      <w:r w:rsidR="00E66B89" w:rsidRPr="00AE7A5F">
        <w:rPr>
          <w:rFonts w:cs="Arial"/>
          <w:szCs w:val="20"/>
        </w:rPr>
        <w:t xml:space="preserve"> w </w:t>
      </w:r>
      <w:r w:rsidRPr="00AE7A5F">
        <w:rPr>
          <w:rFonts w:cs="Arial"/>
          <w:szCs w:val="20"/>
        </w:rPr>
        <w:t>jedynie</w:t>
      </w:r>
      <w:r w:rsidR="00E66B89" w:rsidRPr="00AE7A5F">
        <w:rPr>
          <w:rFonts w:cs="Arial"/>
          <w:szCs w:val="20"/>
        </w:rPr>
        <w:t xml:space="preserve"> w </w:t>
      </w:r>
      <w:r w:rsidRPr="00AE7A5F">
        <w:rPr>
          <w:rFonts w:cs="Arial"/>
          <w:szCs w:val="20"/>
        </w:rPr>
        <w:t>Świeszynie – gmina objęta przez trzy lata (2015, 2016</w:t>
      </w:r>
      <w:r w:rsidR="00E66B89" w:rsidRPr="00AE7A5F">
        <w:rPr>
          <w:rFonts w:cs="Arial"/>
          <w:szCs w:val="20"/>
        </w:rPr>
        <w:t xml:space="preserve"> i </w:t>
      </w:r>
      <w:r w:rsidRPr="00AE7A5F">
        <w:rPr>
          <w:rFonts w:cs="Arial"/>
          <w:szCs w:val="20"/>
        </w:rPr>
        <w:t>2017) przejściową SSW obecnie znajduje się poza SSW.</w:t>
      </w:r>
      <w:r w:rsidR="00E66B89" w:rsidRPr="00AE7A5F">
        <w:rPr>
          <w:rFonts w:cs="Arial"/>
          <w:szCs w:val="20"/>
        </w:rPr>
        <w:t xml:space="preserve"> W </w:t>
      </w:r>
      <w:r w:rsidRPr="00AE7A5F">
        <w:rPr>
          <w:rFonts w:cs="Arial"/>
          <w:szCs w:val="20"/>
        </w:rPr>
        <w:t>okresie wdrażania RPO WZ 2014-2020 pogorszyła się jednak sytuacja gminy Darłowo, gminy Gościno</w:t>
      </w:r>
      <w:r w:rsidR="00E66B89" w:rsidRPr="00AE7A5F">
        <w:rPr>
          <w:rFonts w:cs="Arial"/>
          <w:szCs w:val="20"/>
        </w:rPr>
        <w:t xml:space="preserve"> i </w:t>
      </w:r>
      <w:r w:rsidRPr="00AE7A5F">
        <w:rPr>
          <w:rFonts w:cs="Arial"/>
          <w:szCs w:val="20"/>
        </w:rPr>
        <w:t>Nowe Warpno. Zwiększenie dostępności mieszkańców SSW do usług publicznych (również</w:t>
      </w:r>
      <w:r w:rsidR="00E66B89" w:rsidRPr="00AE7A5F">
        <w:rPr>
          <w:rFonts w:cs="Arial"/>
          <w:szCs w:val="20"/>
        </w:rPr>
        <w:t xml:space="preserve"> w </w:t>
      </w:r>
      <w:r w:rsidRPr="00AE7A5F">
        <w:rPr>
          <w:rFonts w:cs="Arial"/>
          <w:szCs w:val="20"/>
        </w:rPr>
        <w:t>obszarze rewitalizacji) pozostaje jednym</w:t>
      </w:r>
      <w:r w:rsidR="00E66B89" w:rsidRPr="00AE7A5F">
        <w:rPr>
          <w:rFonts w:cs="Arial"/>
          <w:szCs w:val="20"/>
        </w:rPr>
        <w:t xml:space="preserve"> z </w:t>
      </w:r>
      <w:r w:rsidRPr="00AE7A5F">
        <w:rPr>
          <w:rFonts w:cs="Arial"/>
          <w:szCs w:val="20"/>
        </w:rPr>
        <w:t>priorytetowych kierunków wsparcia polityki regionu zachodniopomorskiego.</w:t>
      </w:r>
      <w:r>
        <w:rPr>
          <w:rStyle w:val="Odwoanieprzypisudolnego"/>
          <w:rFonts w:ascii="Arial" w:hAnsi="Arial" w:cs="Arial"/>
          <w:szCs w:val="20"/>
        </w:rPr>
        <w:footnoteReference w:id="124"/>
      </w:r>
    </w:p>
    <w:p w14:paraId="27A31EFF" w14:textId="77777777" w:rsidR="00116CFB" w:rsidRPr="00C22C26" w:rsidRDefault="00116CFB" w:rsidP="00116CFB">
      <w:pPr>
        <w:autoSpaceDE w:val="0"/>
        <w:autoSpaceDN w:val="0"/>
        <w:rPr>
          <w:szCs w:val="20"/>
        </w:rPr>
      </w:pPr>
      <w:r>
        <w:rPr>
          <w:szCs w:val="20"/>
        </w:rPr>
        <w:t>W </w:t>
      </w:r>
      <w:r w:rsidRPr="000A135E">
        <w:rPr>
          <w:szCs w:val="20"/>
        </w:rPr>
        <w:t>odniesieniu do Pomorza Zachodniego – zdiagnozowana</w:t>
      </w:r>
      <w:r w:rsidR="00E66B89">
        <w:rPr>
          <w:szCs w:val="20"/>
        </w:rPr>
        <w:t xml:space="preserve"> w </w:t>
      </w:r>
      <w:r w:rsidRPr="008B706B">
        <w:rPr>
          <w:i/>
          <w:szCs w:val="20"/>
        </w:rPr>
        <w:t>Krajowej Strategii Rozwoju Regionalnego 2010-2020: Regiony, Miasta, Obszary wiejskie</w:t>
      </w:r>
      <w:r w:rsidRPr="00C22C26">
        <w:rPr>
          <w:szCs w:val="20"/>
        </w:rPr>
        <w:t xml:space="preserve"> -</w:t>
      </w:r>
      <w:r w:rsidRPr="000A135E">
        <w:rPr>
          <w:szCs w:val="20"/>
        </w:rPr>
        <w:t xml:space="preserve"> skala negatywnych zjawisk</w:t>
      </w:r>
      <w:r w:rsidR="00E66B89">
        <w:rPr>
          <w:szCs w:val="20"/>
        </w:rPr>
        <w:t xml:space="preserve"> i </w:t>
      </w:r>
      <w:r w:rsidRPr="000A135E">
        <w:rPr>
          <w:szCs w:val="20"/>
        </w:rPr>
        <w:t>towarzyszących im trendów sprawia, że zagadnienie rewitalizacji</w:t>
      </w:r>
      <w:r w:rsidR="00E66B89">
        <w:rPr>
          <w:szCs w:val="20"/>
        </w:rPr>
        <w:t xml:space="preserve"> w </w:t>
      </w:r>
      <w:r w:rsidRPr="000A135E">
        <w:rPr>
          <w:szCs w:val="20"/>
        </w:rPr>
        <w:t>odniesieniu do obszarów problemowych stanowić powinno jedno</w:t>
      </w:r>
      <w:r w:rsidR="00E66B89">
        <w:rPr>
          <w:szCs w:val="20"/>
        </w:rPr>
        <w:t xml:space="preserve"> z </w:t>
      </w:r>
      <w:r w:rsidRPr="000A135E">
        <w:rPr>
          <w:szCs w:val="20"/>
        </w:rPr>
        <w:t xml:space="preserve">ważniejszych wyzwań stojących przed </w:t>
      </w:r>
      <w:r w:rsidRPr="00B26CC5">
        <w:rPr>
          <w:szCs w:val="20"/>
        </w:rPr>
        <w:t>zachodniopomorskimi jednostkami terytorialnymi.</w:t>
      </w:r>
      <w:r w:rsidRPr="00C22C26">
        <w:rPr>
          <w:szCs w:val="20"/>
        </w:rPr>
        <w:t xml:space="preserve"> Wniosek ten potwierdz</w:t>
      </w:r>
      <w:r>
        <w:rPr>
          <w:szCs w:val="20"/>
        </w:rPr>
        <w:t>ili także</w:t>
      </w:r>
      <w:r w:rsidRPr="00C22C26">
        <w:rPr>
          <w:szCs w:val="20"/>
        </w:rPr>
        <w:t xml:space="preserve"> uczestnicy panelu ekspertów.</w:t>
      </w:r>
    </w:p>
    <w:p w14:paraId="37E8F27F" w14:textId="77777777" w:rsidR="00116CFB" w:rsidRPr="00404DA5" w:rsidRDefault="00116CFB" w:rsidP="00116CFB">
      <w:pPr>
        <w:autoSpaceDE w:val="0"/>
        <w:autoSpaceDN w:val="0"/>
        <w:rPr>
          <w:b/>
          <w:color w:val="365F91"/>
          <w:szCs w:val="20"/>
        </w:rPr>
      </w:pPr>
      <w:r w:rsidRPr="008C3E30">
        <w:rPr>
          <w:rFonts w:eastAsia="Calibri"/>
          <w:b/>
          <w:i/>
          <w:color w:val="4F81BD"/>
          <w:szCs w:val="20"/>
          <w:lang w:eastAsia="en-US"/>
        </w:rPr>
        <w:t>PI 10a</w:t>
      </w:r>
      <w:r w:rsidRPr="00404DA5">
        <w:rPr>
          <w:b/>
          <w:color w:val="365F91"/>
          <w:szCs w:val="20"/>
        </w:rPr>
        <w:t xml:space="preserve"> </w:t>
      </w:r>
    </w:p>
    <w:p w14:paraId="7EABC2DE" w14:textId="77777777" w:rsidR="00116CFB" w:rsidRPr="000A135E" w:rsidRDefault="00116CFB" w:rsidP="00116CFB">
      <w:pPr>
        <w:pStyle w:val="Tekstgwny"/>
        <w:spacing w:line="288" w:lineRule="auto"/>
        <w:rPr>
          <w:rFonts w:ascii="Lato" w:hAnsi="Lato"/>
          <w:szCs w:val="20"/>
        </w:rPr>
      </w:pPr>
      <w:r w:rsidRPr="000A135E">
        <w:rPr>
          <w:rFonts w:ascii="Lato" w:hAnsi="Lato"/>
          <w:szCs w:val="20"/>
        </w:rPr>
        <w:lastRenderedPageBreak/>
        <w:t xml:space="preserve">Priorytet Inwestycyjny 10a </w:t>
      </w:r>
      <w:r w:rsidRPr="000A135E">
        <w:rPr>
          <w:rFonts w:ascii="Lato" w:hAnsi="Lato"/>
          <w:i/>
          <w:szCs w:val="20"/>
        </w:rPr>
        <w:t>Inwestowanie</w:t>
      </w:r>
      <w:r w:rsidR="00E66B89">
        <w:rPr>
          <w:rFonts w:ascii="Lato" w:hAnsi="Lato"/>
          <w:i/>
          <w:szCs w:val="20"/>
        </w:rPr>
        <w:t xml:space="preserve"> w </w:t>
      </w:r>
      <w:r w:rsidRPr="000A135E">
        <w:rPr>
          <w:rFonts w:ascii="Lato" w:hAnsi="Lato"/>
          <w:i/>
          <w:szCs w:val="20"/>
        </w:rPr>
        <w:t>kształcenie, szkolenie oraz szkolenie zawodowe na rzecz zdobywania umiejętności</w:t>
      </w:r>
      <w:r w:rsidR="00E66B89">
        <w:rPr>
          <w:rFonts w:ascii="Lato" w:hAnsi="Lato"/>
          <w:i/>
          <w:szCs w:val="20"/>
        </w:rPr>
        <w:t xml:space="preserve"> i </w:t>
      </w:r>
      <w:r w:rsidRPr="000A135E">
        <w:rPr>
          <w:rFonts w:ascii="Lato" w:hAnsi="Lato"/>
          <w:i/>
          <w:szCs w:val="20"/>
        </w:rPr>
        <w:t>uczenia się przez całe życie poprzez rozwój infrastruktury edukacyjnej</w:t>
      </w:r>
      <w:r w:rsidR="00E66B89">
        <w:rPr>
          <w:rFonts w:ascii="Lato" w:hAnsi="Lato"/>
          <w:i/>
          <w:szCs w:val="20"/>
        </w:rPr>
        <w:t xml:space="preserve"> i </w:t>
      </w:r>
      <w:r w:rsidRPr="000A135E">
        <w:rPr>
          <w:rFonts w:ascii="Lato" w:hAnsi="Lato"/>
          <w:i/>
          <w:szCs w:val="20"/>
        </w:rPr>
        <w:t>szkoleniowej</w:t>
      </w:r>
      <w:r w:rsidRPr="000A135E">
        <w:rPr>
          <w:rFonts w:ascii="Lato" w:hAnsi="Lato"/>
          <w:szCs w:val="20"/>
        </w:rPr>
        <w:t xml:space="preserve"> realizowany jest</w:t>
      </w:r>
      <w:r w:rsidR="00E66B89">
        <w:rPr>
          <w:rFonts w:ascii="Lato" w:hAnsi="Lato"/>
          <w:szCs w:val="20"/>
        </w:rPr>
        <w:t xml:space="preserve"> w </w:t>
      </w:r>
      <w:r w:rsidRPr="000A135E">
        <w:rPr>
          <w:rFonts w:ascii="Lato" w:hAnsi="Lato"/>
          <w:szCs w:val="20"/>
        </w:rPr>
        <w:t>RPO WZ 2014-2020</w:t>
      </w:r>
      <w:r w:rsidR="00E66B89">
        <w:rPr>
          <w:rFonts w:ascii="Lato" w:hAnsi="Lato"/>
          <w:szCs w:val="20"/>
        </w:rPr>
        <w:t xml:space="preserve"> w </w:t>
      </w:r>
      <w:r w:rsidRPr="000A135E">
        <w:rPr>
          <w:rFonts w:ascii="Lato" w:hAnsi="Lato"/>
          <w:szCs w:val="20"/>
        </w:rPr>
        <w:t xml:space="preserve">ramach: Działania 9.5 </w:t>
      </w:r>
      <w:r w:rsidRPr="008B706B">
        <w:rPr>
          <w:rFonts w:ascii="Lato" w:hAnsi="Lato"/>
          <w:i/>
          <w:szCs w:val="20"/>
        </w:rPr>
        <w:t>Inwestycje</w:t>
      </w:r>
      <w:r w:rsidR="00E66B89">
        <w:rPr>
          <w:rFonts w:ascii="Lato" w:hAnsi="Lato"/>
          <w:i/>
          <w:szCs w:val="20"/>
        </w:rPr>
        <w:t xml:space="preserve"> w </w:t>
      </w:r>
      <w:r w:rsidRPr="008B706B">
        <w:rPr>
          <w:rFonts w:ascii="Lato" w:hAnsi="Lato"/>
          <w:i/>
          <w:szCs w:val="20"/>
        </w:rPr>
        <w:t>infrastrukturę podmiotów prowadzących kształcenie ogólne na poziomie podstawowym, gimnazjalnym</w:t>
      </w:r>
      <w:r w:rsidR="00E66B89">
        <w:rPr>
          <w:rFonts w:ascii="Lato" w:hAnsi="Lato"/>
          <w:i/>
          <w:szCs w:val="20"/>
        </w:rPr>
        <w:t xml:space="preserve"> i </w:t>
      </w:r>
      <w:r w:rsidRPr="008B706B">
        <w:rPr>
          <w:rFonts w:ascii="Lato" w:hAnsi="Lato"/>
          <w:i/>
          <w:szCs w:val="20"/>
        </w:rPr>
        <w:t>ponadgimnazjalnym</w:t>
      </w:r>
      <w:r w:rsidR="00E66B89">
        <w:rPr>
          <w:rFonts w:ascii="Lato" w:hAnsi="Lato"/>
          <w:i/>
          <w:szCs w:val="20"/>
        </w:rPr>
        <w:t xml:space="preserve"> w </w:t>
      </w:r>
      <w:r w:rsidRPr="008B706B">
        <w:rPr>
          <w:rFonts w:ascii="Lato" w:hAnsi="Lato"/>
          <w:i/>
          <w:szCs w:val="20"/>
        </w:rPr>
        <w:t>ramach Kontraktów Samorządowych</w:t>
      </w:r>
      <w:r w:rsidRPr="000A135E">
        <w:rPr>
          <w:rStyle w:val="Odwoanieprzypisudolnego"/>
          <w:rFonts w:ascii="Lato" w:hAnsi="Lato"/>
          <w:szCs w:val="20"/>
        </w:rPr>
        <w:footnoteReference w:id="125"/>
      </w:r>
      <w:r w:rsidRPr="000A135E">
        <w:rPr>
          <w:rFonts w:ascii="Lato" w:hAnsi="Lato"/>
          <w:szCs w:val="20"/>
        </w:rPr>
        <w:t xml:space="preserve">, Działania 9.6 </w:t>
      </w:r>
      <w:r w:rsidRPr="008B706B">
        <w:rPr>
          <w:rFonts w:ascii="Lato" w:hAnsi="Lato"/>
          <w:i/>
          <w:szCs w:val="20"/>
        </w:rPr>
        <w:t>Ośrodki popularyzujące naukę</w:t>
      </w:r>
      <w:r w:rsidRPr="008B706B">
        <w:rPr>
          <w:rFonts w:ascii="Lato" w:hAnsi="Lato"/>
          <w:b/>
          <w:szCs w:val="20"/>
        </w:rPr>
        <w:t>,</w:t>
      </w:r>
      <w:r w:rsidRPr="000A135E">
        <w:rPr>
          <w:rFonts w:ascii="Lato" w:hAnsi="Lato"/>
          <w:b/>
          <w:color w:val="0070C0"/>
          <w:szCs w:val="20"/>
        </w:rPr>
        <w:t xml:space="preserve"> </w:t>
      </w:r>
      <w:r w:rsidRPr="000A135E">
        <w:rPr>
          <w:rFonts w:ascii="Lato" w:hAnsi="Lato"/>
          <w:szCs w:val="20"/>
        </w:rPr>
        <w:t xml:space="preserve">Działanie 9.7 </w:t>
      </w:r>
      <w:r w:rsidRPr="008B706B">
        <w:rPr>
          <w:rFonts w:ascii="Lato" w:hAnsi="Lato"/>
          <w:i/>
          <w:szCs w:val="20"/>
        </w:rPr>
        <w:t>Ośrodki popularyzujące naukę</w:t>
      </w:r>
      <w:r w:rsidR="00E66B89">
        <w:rPr>
          <w:rFonts w:ascii="Lato" w:hAnsi="Lato"/>
          <w:i/>
          <w:szCs w:val="20"/>
        </w:rPr>
        <w:t xml:space="preserve"> w </w:t>
      </w:r>
      <w:r w:rsidRPr="008B706B">
        <w:rPr>
          <w:rFonts w:ascii="Lato" w:hAnsi="Lato"/>
          <w:i/>
          <w:szCs w:val="20"/>
        </w:rPr>
        <w:t>ramach Kontraktów Samorządowych</w:t>
      </w:r>
      <w:r w:rsidRPr="008B706B">
        <w:rPr>
          <w:rFonts w:ascii="Lato" w:hAnsi="Lato"/>
          <w:b/>
          <w:szCs w:val="20"/>
        </w:rPr>
        <w:t>,</w:t>
      </w:r>
      <w:r w:rsidRPr="000A135E">
        <w:rPr>
          <w:rFonts w:ascii="Lato" w:hAnsi="Lato"/>
          <w:b/>
          <w:color w:val="0070C0"/>
          <w:szCs w:val="20"/>
        </w:rPr>
        <w:t xml:space="preserve"> </w:t>
      </w:r>
      <w:r w:rsidRPr="000A135E">
        <w:rPr>
          <w:rFonts w:ascii="Lato" w:hAnsi="Lato"/>
          <w:szCs w:val="20"/>
        </w:rPr>
        <w:t xml:space="preserve">Działania 9.8 </w:t>
      </w:r>
      <w:r w:rsidRPr="008B706B">
        <w:rPr>
          <w:rFonts w:ascii="Lato" w:hAnsi="Lato"/>
          <w:i/>
          <w:szCs w:val="20"/>
        </w:rPr>
        <w:t>Infrastruktura szkolnictwa zawodowego</w:t>
      </w:r>
      <w:r w:rsidRPr="000A135E">
        <w:rPr>
          <w:rFonts w:ascii="Lato" w:hAnsi="Lato"/>
          <w:szCs w:val="20"/>
        </w:rPr>
        <w:t xml:space="preserve">, Działania 9.9 </w:t>
      </w:r>
      <w:r w:rsidRPr="008B706B">
        <w:rPr>
          <w:rFonts w:ascii="Lato" w:hAnsi="Lato"/>
          <w:i/>
          <w:szCs w:val="20"/>
        </w:rPr>
        <w:t>Infrastruktura szkolnictwa zawodowego</w:t>
      </w:r>
      <w:r w:rsidR="00E66B89">
        <w:rPr>
          <w:rFonts w:ascii="Lato" w:hAnsi="Lato"/>
          <w:i/>
          <w:szCs w:val="20"/>
        </w:rPr>
        <w:t xml:space="preserve"> w </w:t>
      </w:r>
      <w:r w:rsidRPr="008B706B">
        <w:rPr>
          <w:rFonts w:ascii="Lato" w:hAnsi="Lato"/>
          <w:i/>
          <w:szCs w:val="20"/>
        </w:rPr>
        <w:t>ramach Kontraktów Samorządowych</w:t>
      </w:r>
      <w:r w:rsidRPr="000A135E">
        <w:rPr>
          <w:rFonts w:ascii="Lato" w:hAnsi="Lato"/>
          <w:szCs w:val="20"/>
        </w:rPr>
        <w:t>.</w:t>
      </w:r>
      <w:r>
        <w:rPr>
          <w:rFonts w:ascii="Lato" w:hAnsi="Lato"/>
          <w:szCs w:val="20"/>
        </w:rPr>
        <w:t xml:space="preserve"> </w:t>
      </w:r>
      <w:r w:rsidRPr="000A135E">
        <w:rPr>
          <w:rFonts w:ascii="Lato" w:hAnsi="Lato"/>
          <w:szCs w:val="20"/>
        </w:rPr>
        <w:t>Celem wsparcia infrastruktury edukacyjnej</w:t>
      </w:r>
      <w:r w:rsidR="00E66B89">
        <w:rPr>
          <w:rFonts w:ascii="Lato" w:hAnsi="Lato"/>
          <w:szCs w:val="20"/>
        </w:rPr>
        <w:t xml:space="preserve"> i </w:t>
      </w:r>
      <w:r w:rsidRPr="000A135E">
        <w:rPr>
          <w:rFonts w:ascii="Lato" w:hAnsi="Lato"/>
          <w:szCs w:val="20"/>
        </w:rPr>
        <w:t>szkoleniowej</w:t>
      </w:r>
      <w:r w:rsidR="00E66B89">
        <w:rPr>
          <w:rFonts w:ascii="Lato" w:hAnsi="Lato"/>
          <w:szCs w:val="20"/>
        </w:rPr>
        <w:t xml:space="preserve"> w </w:t>
      </w:r>
      <w:r>
        <w:rPr>
          <w:rFonts w:ascii="Lato" w:hAnsi="Lato"/>
          <w:szCs w:val="20"/>
        </w:rPr>
        <w:t>PI</w:t>
      </w:r>
      <w:r w:rsidRPr="000A135E">
        <w:rPr>
          <w:rFonts w:ascii="Lato" w:hAnsi="Lato"/>
          <w:szCs w:val="20"/>
        </w:rPr>
        <w:t xml:space="preserve"> 10a jest poprawa jakości</w:t>
      </w:r>
      <w:r w:rsidR="00E66B89">
        <w:rPr>
          <w:rFonts w:ascii="Lato" w:hAnsi="Lato"/>
          <w:szCs w:val="20"/>
        </w:rPr>
        <w:t xml:space="preserve"> i </w:t>
      </w:r>
      <w:r w:rsidRPr="000A135E">
        <w:rPr>
          <w:rFonts w:ascii="Lato" w:hAnsi="Lato"/>
          <w:szCs w:val="20"/>
        </w:rPr>
        <w:t>dostępności infrastruktury edukacyjnej oraz umożliwienie równego dostępu do tego typu infrastruktury na poziomie regionalnym. Przyjęto założenie, że wspierana infrastruktura ma być dostosowana do potrzeb rynku pracy, co skutkować będzie zmniejszeniem bezrobocia wśród osób młodych oraz wydłużeniem aktywności zawodowej.</w:t>
      </w:r>
    </w:p>
    <w:p w14:paraId="1E5FC72C" w14:textId="77777777" w:rsidR="00116CFB" w:rsidRDefault="00116CFB" w:rsidP="00116CFB">
      <w:pPr>
        <w:rPr>
          <w:szCs w:val="20"/>
        </w:rPr>
      </w:pPr>
      <w:r w:rsidRPr="000A135E">
        <w:rPr>
          <w:bCs/>
          <w:szCs w:val="20"/>
        </w:rPr>
        <w:t>W skali całego regionu zachodniopomorskiego potrzeby edukacji zawodowej związane</w:t>
      </w:r>
      <w:r w:rsidR="00E66B89">
        <w:rPr>
          <w:bCs/>
          <w:szCs w:val="20"/>
        </w:rPr>
        <w:t xml:space="preserve"> z </w:t>
      </w:r>
      <w:r w:rsidRPr="000A135E">
        <w:rPr>
          <w:bCs/>
          <w:szCs w:val="20"/>
        </w:rPr>
        <w:t>niskim przygotowaniem infrastruktury do kształcenia</w:t>
      </w:r>
      <w:r w:rsidR="00E66B89">
        <w:rPr>
          <w:bCs/>
          <w:szCs w:val="20"/>
        </w:rPr>
        <w:t xml:space="preserve"> w </w:t>
      </w:r>
      <w:r w:rsidRPr="000A135E">
        <w:rPr>
          <w:bCs/>
          <w:szCs w:val="20"/>
        </w:rPr>
        <w:t>inteligentnych specjalizacjach regionu nadal pozostają wysokie. Jak wynika</w:t>
      </w:r>
      <w:r w:rsidR="00E66B89">
        <w:rPr>
          <w:bCs/>
          <w:szCs w:val="20"/>
        </w:rPr>
        <w:t xml:space="preserve"> z </w:t>
      </w:r>
      <w:r w:rsidRPr="000A135E">
        <w:rPr>
          <w:bCs/>
          <w:szCs w:val="20"/>
        </w:rPr>
        <w:t>badań przeprowadzonych</w:t>
      </w:r>
      <w:r w:rsidR="00E66B89">
        <w:rPr>
          <w:bCs/>
          <w:szCs w:val="20"/>
        </w:rPr>
        <w:t xml:space="preserve"> w </w:t>
      </w:r>
      <w:r w:rsidRPr="000A135E">
        <w:rPr>
          <w:bCs/>
          <w:szCs w:val="20"/>
        </w:rPr>
        <w:t xml:space="preserve">ramach projektu </w:t>
      </w:r>
      <w:r w:rsidRPr="008B706B">
        <w:rPr>
          <w:i/>
          <w:szCs w:val="20"/>
        </w:rPr>
        <w:t>Diagnoza oferty</w:t>
      </w:r>
      <w:r w:rsidR="00E66B89">
        <w:rPr>
          <w:i/>
          <w:szCs w:val="20"/>
        </w:rPr>
        <w:t xml:space="preserve"> i </w:t>
      </w:r>
      <w:r w:rsidRPr="008B706B">
        <w:rPr>
          <w:i/>
          <w:szCs w:val="20"/>
        </w:rPr>
        <w:t>potrzeb placówek edukacyjnych województwa zachodniopomorskiego</w:t>
      </w:r>
      <w:r w:rsidR="00E66B89">
        <w:rPr>
          <w:i/>
          <w:szCs w:val="20"/>
        </w:rPr>
        <w:t xml:space="preserve"> w </w:t>
      </w:r>
      <w:r w:rsidRPr="008B706B">
        <w:rPr>
          <w:i/>
          <w:szCs w:val="20"/>
        </w:rPr>
        <w:t>obszarze szkolnictwa zawodowego</w:t>
      </w:r>
      <w:r w:rsidRPr="000A135E">
        <w:rPr>
          <w:rStyle w:val="Odwoanieprzypisudolnego"/>
          <w:szCs w:val="20"/>
        </w:rPr>
        <w:footnoteReference w:id="126"/>
      </w:r>
      <w:r w:rsidRPr="000A135E">
        <w:rPr>
          <w:szCs w:val="20"/>
        </w:rPr>
        <w:t xml:space="preserve"> oferta szkół ponadgimnazjalnych oraz szkół wyższych kształcenia zawodowego</w:t>
      </w:r>
      <w:r w:rsidR="00E66B89">
        <w:rPr>
          <w:szCs w:val="20"/>
        </w:rPr>
        <w:t xml:space="preserve"> w </w:t>
      </w:r>
      <w:r w:rsidRPr="000A135E">
        <w:rPr>
          <w:szCs w:val="20"/>
        </w:rPr>
        <w:t xml:space="preserve">regionie </w:t>
      </w:r>
      <w:r>
        <w:rPr>
          <w:szCs w:val="20"/>
        </w:rPr>
        <w:t xml:space="preserve">na etapie programowania </w:t>
      </w:r>
      <w:r w:rsidRPr="000A135E">
        <w:rPr>
          <w:szCs w:val="20"/>
        </w:rPr>
        <w:t>nie odpowiada</w:t>
      </w:r>
      <w:r>
        <w:rPr>
          <w:szCs w:val="20"/>
        </w:rPr>
        <w:t>ła</w:t>
      </w:r>
      <w:r w:rsidRPr="000A135E">
        <w:rPr>
          <w:szCs w:val="20"/>
        </w:rPr>
        <w:t xml:space="preserve"> wyzwaniom gospodarczym</w:t>
      </w:r>
      <w:r w:rsidR="00E66B89">
        <w:rPr>
          <w:szCs w:val="20"/>
        </w:rPr>
        <w:t xml:space="preserve"> i </w:t>
      </w:r>
      <w:r w:rsidRPr="000A135E">
        <w:rPr>
          <w:szCs w:val="20"/>
        </w:rPr>
        <w:t>rozwojowym wynikającym</w:t>
      </w:r>
      <w:r w:rsidR="00E66B89">
        <w:rPr>
          <w:szCs w:val="20"/>
        </w:rPr>
        <w:t xml:space="preserve"> z </w:t>
      </w:r>
      <w:r w:rsidRPr="000A135E">
        <w:rPr>
          <w:szCs w:val="20"/>
        </w:rPr>
        <w:t>polityki regionu.</w:t>
      </w:r>
      <w:r w:rsidR="00E66B89">
        <w:rPr>
          <w:szCs w:val="20"/>
        </w:rPr>
        <w:t xml:space="preserve"> W </w:t>
      </w:r>
      <w:r>
        <w:rPr>
          <w:szCs w:val="20"/>
        </w:rPr>
        <w:t>okresie programowania nie zidentyfikowano inwestycji infrastrukturalnych realizowanych poza środkami RPO WZ 2014-2020, stąd analiza zmian sytuacji odnosić się będzie do oceny zmiany na rynku pracy</w:t>
      </w:r>
      <w:r w:rsidR="00E66B89">
        <w:rPr>
          <w:szCs w:val="20"/>
        </w:rPr>
        <w:t xml:space="preserve"> i </w:t>
      </w:r>
      <w:r>
        <w:rPr>
          <w:szCs w:val="20"/>
        </w:rPr>
        <w:t>skali interwencji Programu</w:t>
      </w:r>
      <w:r w:rsidR="00E66B89">
        <w:rPr>
          <w:szCs w:val="20"/>
        </w:rPr>
        <w:t xml:space="preserve"> w </w:t>
      </w:r>
      <w:r>
        <w:rPr>
          <w:szCs w:val="20"/>
        </w:rPr>
        <w:t xml:space="preserve">stosunku do deficytów zdiagnozowanych na etapie programowania. </w:t>
      </w:r>
    </w:p>
    <w:p w14:paraId="5B6894A9" w14:textId="77777777" w:rsidR="00116CFB" w:rsidRDefault="00116CFB" w:rsidP="00116CFB">
      <w:pPr>
        <w:rPr>
          <w:szCs w:val="20"/>
        </w:rPr>
      </w:pPr>
      <w:r w:rsidRPr="000A135E">
        <w:rPr>
          <w:szCs w:val="20"/>
        </w:rPr>
        <w:t>Nadal wysokie pozostaje bezrobocie absolwentów szkół kształcenia zawodowego, mimo lekkiego wzrostu</w:t>
      </w:r>
      <w:r w:rsidR="00E66B89">
        <w:rPr>
          <w:szCs w:val="20"/>
        </w:rPr>
        <w:t xml:space="preserve"> w </w:t>
      </w:r>
      <w:r w:rsidRPr="000A135E">
        <w:rPr>
          <w:szCs w:val="20"/>
        </w:rPr>
        <w:t>latach 2014-20</w:t>
      </w:r>
      <w:r>
        <w:rPr>
          <w:szCs w:val="20"/>
        </w:rPr>
        <w:t>17</w:t>
      </w:r>
      <w:r w:rsidRPr="000A135E">
        <w:rPr>
          <w:szCs w:val="20"/>
        </w:rPr>
        <w:t xml:space="preserve"> liczby osób legitymujących się wykształceniem średnim zawodowym</w:t>
      </w:r>
      <w:r w:rsidR="00E66B89">
        <w:rPr>
          <w:szCs w:val="20"/>
        </w:rPr>
        <w:t xml:space="preserve"> i </w:t>
      </w:r>
      <w:r w:rsidRPr="000A135E">
        <w:rPr>
          <w:szCs w:val="20"/>
        </w:rPr>
        <w:t>stabilnym odsetkiem osób</w:t>
      </w:r>
      <w:r w:rsidR="00E66B89">
        <w:rPr>
          <w:szCs w:val="20"/>
        </w:rPr>
        <w:t xml:space="preserve"> z </w:t>
      </w:r>
      <w:r w:rsidRPr="000A135E">
        <w:rPr>
          <w:szCs w:val="20"/>
        </w:rPr>
        <w:t>wykształceniem zasadniczym zawodowym.</w:t>
      </w:r>
      <w:r w:rsidR="00E66B89">
        <w:rPr>
          <w:szCs w:val="20"/>
        </w:rPr>
        <w:t xml:space="preserve"> W </w:t>
      </w:r>
      <w:r w:rsidRPr="0035386B">
        <w:rPr>
          <w:szCs w:val="20"/>
        </w:rPr>
        <w:t>2017 roku zarejestrowano blisko 6,9 tys. osób do 12 miesięcy od dnia zakończenia nauki, stanowiących 6,5%</w:t>
      </w:r>
      <w:r w:rsidR="00E66B89">
        <w:rPr>
          <w:szCs w:val="20"/>
        </w:rPr>
        <w:t xml:space="preserve"> z </w:t>
      </w:r>
      <w:r w:rsidRPr="0035386B">
        <w:rPr>
          <w:szCs w:val="20"/>
        </w:rPr>
        <w:t>ogółu rejestracji</w:t>
      </w:r>
      <w:r w:rsidR="00E66B89">
        <w:rPr>
          <w:szCs w:val="20"/>
        </w:rPr>
        <w:t xml:space="preserve"> w </w:t>
      </w:r>
      <w:r w:rsidRPr="0035386B">
        <w:rPr>
          <w:szCs w:val="20"/>
        </w:rPr>
        <w:t>województwie zachodniopomorskim</w:t>
      </w:r>
      <w:r>
        <w:rPr>
          <w:szCs w:val="20"/>
        </w:rPr>
        <w:t xml:space="preserve">. Oprócz osób bez zawodu, wśród bezrobotnych 12 miesięcy po zakończeniu nauki, dominują absolwenci szkół zawodowych: </w:t>
      </w:r>
      <w:r w:rsidRPr="0035386B">
        <w:rPr>
          <w:szCs w:val="20"/>
        </w:rPr>
        <w:t>największe grupy tworzyły osoby</w:t>
      </w:r>
      <w:r w:rsidR="00E66B89">
        <w:rPr>
          <w:szCs w:val="20"/>
        </w:rPr>
        <w:t xml:space="preserve"> w </w:t>
      </w:r>
      <w:r w:rsidRPr="0035386B">
        <w:rPr>
          <w:szCs w:val="20"/>
        </w:rPr>
        <w:t>zawodach</w:t>
      </w:r>
      <w:r w:rsidR="00E66B89">
        <w:rPr>
          <w:szCs w:val="20"/>
        </w:rPr>
        <w:t xml:space="preserve"> z </w:t>
      </w:r>
      <w:r w:rsidRPr="0035386B">
        <w:rPr>
          <w:szCs w:val="20"/>
        </w:rPr>
        <w:t>grupy specjaliści – 227 osób (17,5%), technicy</w:t>
      </w:r>
      <w:r w:rsidR="00E66B89">
        <w:rPr>
          <w:szCs w:val="20"/>
        </w:rPr>
        <w:t xml:space="preserve"> i </w:t>
      </w:r>
      <w:r w:rsidRPr="0035386B">
        <w:rPr>
          <w:szCs w:val="20"/>
        </w:rPr>
        <w:t>inny średni personel – 211 osób (16,3%), pracownicy usług</w:t>
      </w:r>
      <w:r w:rsidR="00E66B89">
        <w:rPr>
          <w:szCs w:val="20"/>
        </w:rPr>
        <w:t xml:space="preserve"> i </w:t>
      </w:r>
      <w:r w:rsidRPr="0035386B">
        <w:rPr>
          <w:szCs w:val="20"/>
        </w:rPr>
        <w:t>sprzedawcy – 199 osób (15,3%)</w:t>
      </w:r>
      <w:r>
        <w:rPr>
          <w:rStyle w:val="Odwoanieprzypisudolnego"/>
          <w:szCs w:val="20"/>
        </w:rPr>
        <w:footnoteReference w:id="127"/>
      </w:r>
      <w:r w:rsidRPr="0035386B">
        <w:rPr>
          <w:szCs w:val="20"/>
        </w:rPr>
        <w:t>.</w:t>
      </w:r>
      <w:r w:rsidR="00E66B89">
        <w:rPr>
          <w:szCs w:val="20"/>
        </w:rPr>
        <w:t xml:space="preserve"> Z </w:t>
      </w:r>
      <w:r w:rsidRPr="0035386B">
        <w:rPr>
          <w:szCs w:val="20"/>
        </w:rPr>
        <w:t>Badania Aktywności Ekonomicznej Ludności GUS</w:t>
      </w:r>
      <w:r>
        <w:rPr>
          <w:szCs w:val="20"/>
        </w:rPr>
        <w:t xml:space="preserve"> wynika,</w:t>
      </w:r>
      <w:r w:rsidRPr="0035386B">
        <w:rPr>
          <w:szCs w:val="20"/>
        </w:rPr>
        <w:t xml:space="preserve"> że</w:t>
      </w:r>
      <w:r w:rsidR="00E66B89">
        <w:rPr>
          <w:szCs w:val="20"/>
        </w:rPr>
        <w:t xml:space="preserve"> w </w:t>
      </w:r>
      <w:r w:rsidRPr="0035386B">
        <w:rPr>
          <w:szCs w:val="20"/>
        </w:rPr>
        <w:t>województwie zachodniopomorskim</w:t>
      </w:r>
      <w:r w:rsidR="00E66B89">
        <w:rPr>
          <w:szCs w:val="20"/>
        </w:rPr>
        <w:t xml:space="preserve"> w </w:t>
      </w:r>
      <w:r w:rsidRPr="0035386B">
        <w:rPr>
          <w:szCs w:val="20"/>
        </w:rPr>
        <w:t>IV kwartale 2017 roku współczynnik aktywności zawodowej</w:t>
      </w:r>
      <w:r w:rsidR="00E66B89">
        <w:rPr>
          <w:szCs w:val="20"/>
        </w:rPr>
        <w:t xml:space="preserve"> w </w:t>
      </w:r>
      <w:r w:rsidRPr="0035386B">
        <w:rPr>
          <w:szCs w:val="20"/>
        </w:rPr>
        <w:t>grupie wiekowej 15 – 24 lata wyniósł 29,8%</w:t>
      </w:r>
      <w:r w:rsidR="00E66B89">
        <w:rPr>
          <w:szCs w:val="20"/>
        </w:rPr>
        <w:t xml:space="preserve"> i </w:t>
      </w:r>
      <w:r w:rsidRPr="0035386B">
        <w:rPr>
          <w:szCs w:val="20"/>
        </w:rPr>
        <w:t>zwiększył się</w:t>
      </w:r>
      <w:r w:rsidR="00E66B89">
        <w:rPr>
          <w:szCs w:val="20"/>
        </w:rPr>
        <w:t xml:space="preserve"> o </w:t>
      </w:r>
      <w:r>
        <w:rPr>
          <w:szCs w:val="20"/>
        </w:rPr>
        <w:t>1 p.p</w:t>
      </w:r>
      <w:r w:rsidRPr="0035386B">
        <w:rPr>
          <w:szCs w:val="20"/>
        </w:rPr>
        <w:t>.</w:t>
      </w:r>
      <w:r w:rsidR="00E66B89">
        <w:rPr>
          <w:szCs w:val="20"/>
        </w:rPr>
        <w:t xml:space="preserve"> w </w:t>
      </w:r>
      <w:r w:rsidRPr="0035386B">
        <w:rPr>
          <w:szCs w:val="20"/>
        </w:rPr>
        <w:t>stosunku do wyników za IV kwartał 2016 r.</w:t>
      </w:r>
      <w:r w:rsidR="00E66B89">
        <w:rPr>
          <w:szCs w:val="20"/>
        </w:rPr>
        <w:t xml:space="preserve"> W </w:t>
      </w:r>
      <w:r w:rsidRPr="0035386B">
        <w:rPr>
          <w:szCs w:val="20"/>
        </w:rPr>
        <w:t xml:space="preserve">skali roku </w:t>
      </w:r>
      <w:r>
        <w:rPr>
          <w:szCs w:val="20"/>
        </w:rPr>
        <w:t>od</w:t>
      </w:r>
      <w:r w:rsidRPr="0035386B">
        <w:rPr>
          <w:szCs w:val="20"/>
        </w:rPr>
        <w:t>notowano wzrost wskaźnika zatrudnienia</w:t>
      </w:r>
      <w:r w:rsidR="00E66B89">
        <w:rPr>
          <w:szCs w:val="20"/>
        </w:rPr>
        <w:t xml:space="preserve"> z </w:t>
      </w:r>
      <w:r w:rsidRPr="0035386B">
        <w:rPr>
          <w:szCs w:val="20"/>
        </w:rPr>
        <w:t xml:space="preserve">22,9% </w:t>
      </w:r>
      <w:r>
        <w:rPr>
          <w:szCs w:val="20"/>
        </w:rPr>
        <w:t>do</w:t>
      </w:r>
      <w:r w:rsidRPr="0035386B">
        <w:rPr>
          <w:szCs w:val="20"/>
        </w:rPr>
        <w:t xml:space="preserve"> 26,1%,</w:t>
      </w:r>
      <w:r w:rsidR="00E66B89">
        <w:rPr>
          <w:szCs w:val="20"/>
        </w:rPr>
        <w:t xml:space="preserve"> a </w:t>
      </w:r>
      <w:r w:rsidRPr="0035386B">
        <w:rPr>
          <w:szCs w:val="20"/>
        </w:rPr>
        <w:t>tym korzystnym zmianom towarzyszył spadek stopy bezrobocia</w:t>
      </w:r>
      <w:r w:rsidR="00E66B89">
        <w:rPr>
          <w:szCs w:val="20"/>
        </w:rPr>
        <w:t xml:space="preserve"> z </w:t>
      </w:r>
      <w:r w:rsidRPr="0035386B">
        <w:rPr>
          <w:szCs w:val="20"/>
        </w:rPr>
        <w:t xml:space="preserve">20,4% </w:t>
      </w:r>
      <w:r>
        <w:rPr>
          <w:szCs w:val="20"/>
        </w:rPr>
        <w:t>do</w:t>
      </w:r>
      <w:r w:rsidRPr="0035386B">
        <w:rPr>
          <w:szCs w:val="20"/>
        </w:rPr>
        <w:t xml:space="preserve"> 14,0%.</w:t>
      </w:r>
      <w:r w:rsidR="00E66B89">
        <w:rPr>
          <w:szCs w:val="20"/>
        </w:rPr>
        <w:t xml:space="preserve"> W </w:t>
      </w:r>
      <w:r>
        <w:rPr>
          <w:szCs w:val="20"/>
        </w:rPr>
        <w:t>regionie r</w:t>
      </w:r>
      <w:r w:rsidRPr="000A135E">
        <w:rPr>
          <w:szCs w:val="20"/>
        </w:rPr>
        <w:t>ośnie liczba zawodów deficytowych,</w:t>
      </w:r>
      <w:r w:rsidR="00E66B89">
        <w:rPr>
          <w:szCs w:val="20"/>
        </w:rPr>
        <w:t xml:space="preserve"> w </w:t>
      </w:r>
      <w:r w:rsidRPr="000A135E">
        <w:rPr>
          <w:szCs w:val="20"/>
        </w:rPr>
        <w:t>których brakuje pracowników</w:t>
      </w:r>
      <w:r>
        <w:rPr>
          <w:rStyle w:val="Odwoanieprzypisudolnego"/>
          <w:szCs w:val="20"/>
        </w:rPr>
        <w:footnoteReference w:id="128"/>
      </w:r>
      <w:r w:rsidRPr="000A135E">
        <w:rPr>
          <w:szCs w:val="20"/>
        </w:rPr>
        <w:t xml:space="preserve">. </w:t>
      </w:r>
    </w:p>
    <w:p w14:paraId="561C01A4" w14:textId="77777777" w:rsidR="00116CFB" w:rsidRDefault="00116CFB" w:rsidP="00116CFB">
      <w:pPr>
        <w:rPr>
          <w:szCs w:val="20"/>
        </w:rPr>
      </w:pPr>
      <w:r>
        <w:rPr>
          <w:szCs w:val="20"/>
        </w:rPr>
        <w:t>Jednocześnie liczba uczniów szkół zawodowych</w:t>
      </w:r>
      <w:r w:rsidR="00E66B89">
        <w:rPr>
          <w:szCs w:val="20"/>
        </w:rPr>
        <w:t xml:space="preserve"> w </w:t>
      </w:r>
      <w:r>
        <w:rPr>
          <w:szCs w:val="20"/>
        </w:rPr>
        <w:t>regionie zachodniopomorskim na 10 tys. mieszkańców pozostaje na jednym</w:t>
      </w:r>
      <w:r w:rsidR="00E66B89">
        <w:rPr>
          <w:szCs w:val="20"/>
        </w:rPr>
        <w:t xml:space="preserve"> z </w:t>
      </w:r>
      <w:r>
        <w:rPr>
          <w:szCs w:val="20"/>
        </w:rPr>
        <w:t>najniższych poziomów</w:t>
      </w:r>
      <w:r w:rsidR="00E66B89">
        <w:rPr>
          <w:szCs w:val="20"/>
        </w:rPr>
        <w:t xml:space="preserve"> w </w:t>
      </w:r>
      <w:r>
        <w:rPr>
          <w:szCs w:val="20"/>
        </w:rPr>
        <w:t>kraju.</w:t>
      </w:r>
    </w:p>
    <w:p w14:paraId="0B77E026" w14:textId="77777777" w:rsidR="00116CFB" w:rsidRDefault="00116CFB" w:rsidP="00FE73B6">
      <w:pPr>
        <w:pStyle w:val="Legenda"/>
        <w:spacing w:after="0"/>
      </w:pPr>
      <w:bookmarkStart w:id="332" w:name="_Toc8824253"/>
      <w:r>
        <w:t xml:space="preserve">Tabela </w:t>
      </w:r>
      <w:r>
        <w:fldChar w:fldCharType="begin"/>
      </w:r>
      <w:r>
        <w:instrText xml:space="preserve"> SEQ Tabela \* ARABIC </w:instrText>
      </w:r>
      <w:r>
        <w:fldChar w:fldCharType="separate"/>
      </w:r>
      <w:r w:rsidR="00763345">
        <w:rPr>
          <w:noProof/>
        </w:rPr>
        <w:t>142</w:t>
      </w:r>
      <w:r>
        <w:fldChar w:fldCharType="end"/>
      </w:r>
      <w:r>
        <w:t xml:space="preserve"> </w:t>
      </w:r>
      <w:r w:rsidRPr="00265D9F">
        <w:t>Liczba uczniów szkół zawodowych na 10 tys. mieszkańców</w:t>
      </w:r>
      <w:r w:rsidR="00E66B89">
        <w:t xml:space="preserve"> w </w:t>
      </w:r>
      <w:r w:rsidRPr="00265D9F">
        <w:t>regionach Polski</w:t>
      </w:r>
      <w:bookmarkEnd w:id="332"/>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1"/>
        <w:gridCol w:w="660"/>
        <w:gridCol w:w="660"/>
        <w:gridCol w:w="660"/>
        <w:gridCol w:w="660"/>
        <w:gridCol w:w="660"/>
        <w:gridCol w:w="660"/>
        <w:gridCol w:w="660"/>
      </w:tblGrid>
      <w:tr w:rsidR="00116CFB" w:rsidRPr="00514E30" w14:paraId="5CA81488" w14:textId="77777777" w:rsidTr="005F04FC">
        <w:trPr>
          <w:trHeight w:val="281"/>
          <w:tblHeader/>
        </w:trPr>
        <w:tc>
          <w:tcPr>
            <w:tcW w:w="4211" w:type="dxa"/>
            <w:shd w:val="clear" w:color="auto" w:fill="DBE5F1"/>
            <w:noWrap/>
            <w:hideMark/>
          </w:tcPr>
          <w:p w14:paraId="10DED70B"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Region</w:t>
            </w:r>
          </w:p>
        </w:tc>
        <w:tc>
          <w:tcPr>
            <w:tcW w:w="660" w:type="dxa"/>
            <w:shd w:val="clear" w:color="auto" w:fill="DBE5F1"/>
            <w:hideMark/>
          </w:tcPr>
          <w:p w14:paraId="4FEC6E2D"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2010</w:t>
            </w:r>
          </w:p>
        </w:tc>
        <w:tc>
          <w:tcPr>
            <w:tcW w:w="660" w:type="dxa"/>
            <w:shd w:val="clear" w:color="auto" w:fill="DBE5F1"/>
            <w:hideMark/>
          </w:tcPr>
          <w:p w14:paraId="3C4BA27E"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2011</w:t>
            </w:r>
          </w:p>
        </w:tc>
        <w:tc>
          <w:tcPr>
            <w:tcW w:w="660" w:type="dxa"/>
            <w:shd w:val="clear" w:color="auto" w:fill="DBE5F1"/>
            <w:hideMark/>
          </w:tcPr>
          <w:p w14:paraId="3CA59610"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2012</w:t>
            </w:r>
          </w:p>
        </w:tc>
        <w:tc>
          <w:tcPr>
            <w:tcW w:w="660" w:type="dxa"/>
            <w:shd w:val="clear" w:color="auto" w:fill="DBE5F1"/>
            <w:hideMark/>
          </w:tcPr>
          <w:p w14:paraId="377AB8EF"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2013</w:t>
            </w:r>
          </w:p>
        </w:tc>
        <w:tc>
          <w:tcPr>
            <w:tcW w:w="660" w:type="dxa"/>
            <w:shd w:val="clear" w:color="auto" w:fill="DBE5F1"/>
            <w:hideMark/>
          </w:tcPr>
          <w:p w14:paraId="7A15697C"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2014</w:t>
            </w:r>
          </w:p>
        </w:tc>
        <w:tc>
          <w:tcPr>
            <w:tcW w:w="660" w:type="dxa"/>
            <w:shd w:val="clear" w:color="auto" w:fill="DBE5F1"/>
            <w:hideMark/>
          </w:tcPr>
          <w:p w14:paraId="227CB0E3"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2015</w:t>
            </w:r>
          </w:p>
        </w:tc>
        <w:tc>
          <w:tcPr>
            <w:tcW w:w="660" w:type="dxa"/>
            <w:shd w:val="clear" w:color="auto" w:fill="DBE5F1"/>
            <w:hideMark/>
          </w:tcPr>
          <w:p w14:paraId="249AAB3D" w14:textId="77777777" w:rsidR="00116CFB" w:rsidRPr="008B706B" w:rsidRDefault="00116CFB" w:rsidP="004742DC">
            <w:pPr>
              <w:spacing w:before="0" w:after="0" w:line="240" w:lineRule="auto"/>
              <w:jc w:val="left"/>
              <w:rPr>
                <w:rFonts w:cs="Segoe UI"/>
                <w:b/>
                <w:bCs/>
                <w:color w:val="000000"/>
                <w:sz w:val="18"/>
                <w:szCs w:val="18"/>
              </w:rPr>
            </w:pPr>
            <w:r w:rsidRPr="008B706B">
              <w:rPr>
                <w:rFonts w:cs="Segoe UI"/>
                <w:b/>
                <w:bCs/>
                <w:color w:val="000000"/>
                <w:sz w:val="18"/>
                <w:szCs w:val="18"/>
              </w:rPr>
              <w:t>2016</w:t>
            </w:r>
          </w:p>
        </w:tc>
      </w:tr>
      <w:tr w:rsidR="00116CFB" w:rsidRPr="00514E30" w14:paraId="75A8EAB1" w14:textId="77777777" w:rsidTr="00C22C26">
        <w:trPr>
          <w:trHeight w:val="281"/>
        </w:trPr>
        <w:tc>
          <w:tcPr>
            <w:tcW w:w="4211" w:type="dxa"/>
            <w:shd w:val="clear" w:color="auto" w:fill="auto"/>
            <w:noWrap/>
            <w:hideMark/>
          </w:tcPr>
          <w:p w14:paraId="37288949"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Dolnośląskie</w:t>
            </w:r>
          </w:p>
        </w:tc>
        <w:tc>
          <w:tcPr>
            <w:tcW w:w="660" w:type="dxa"/>
            <w:shd w:val="clear" w:color="000000" w:fill="FFFFFF"/>
            <w:noWrap/>
            <w:hideMark/>
          </w:tcPr>
          <w:p w14:paraId="2927943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146</w:t>
            </w:r>
          </w:p>
        </w:tc>
        <w:tc>
          <w:tcPr>
            <w:tcW w:w="660" w:type="dxa"/>
            <w:shd w:val="clear" w:color="000000" w:fill="FFFFFF"/>
            <w:noWrap/>
            <w:hideMark/>
          </w:tcPr>
          <w:p w14:paraId="6E6E65A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144</w:t>
            </w:r>
          </w:p>
        </w:tc>
        <w:tc>
          <w:tcPr>
            <w:tcW w:w="660" w:type="dxa"/>
            <w:shd w:val="clear" w:color="000000" w:fill="FFFFFF"/>
            <w:noWrap/>
            <w:hideMark/>
          </w:tcPr>
          <w:p w14:paraId="1C3FEB0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140</w:t>
            </w:r>
          </w:p>
        </w:tc>
        <w:tc>
          <w:tcPr>
            <w:tcW w:w="660" w:type="dxa"/>
            <w:shd w:val="clear" w:color="000000" w:fill="FFFFFF"/>
            <w:noWrap/>
            <w:hideMark/>
          </w:tcPr>
          <w:p w14:paraId="5B2745B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131</w:t>
            </w:r>
          </w:p>
        </w:tc>
        <w:tc>
          <w:tcPr>
            <w:tcW w:w="660" w:type="dxa"/>
            <w:shd w:val="clear" w:color="000000" w:fill="FFFFFF"/>
            <w:noWrap/>
            <w:hideMark/>
          </w:tcPr>
          <w:p w14:paraId="0CAACB8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124</w:t>
            </w:r>
          </w:p>
        </w:tc>
        <w:tc>
          <w:tcPr>
            <w:tcW w:w="660" w:type="dxa"/>
            <w:shd w:val="clear" w:color="000000" w:fill="FFFFFF"/>
            <w:noWrap/>
            <w:hideMark/>
          </w:tcPr>
          <w:p w14:paraId="0F4F0DE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120</w:t>
            </w:r>
          </w:p>
        </w:tc>
        <w:tc>
          <w:tcPr>
            <w:tcW w:w="660" w:type="dxa"/>
            <w:shd w:val="clear" w:color="000000" w:fill="FFFFFF"/>
            <w:noWrap/>
            <w:hideMark/>
          </w:tcPr>
          <w:p w14:paraId="66D432A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118</w:t>
            </w:r>
          </w:p>
        </w:tc>
      </w:tr>
      <w:tr w:rsidR="00116CFB" w:rsidRPr="00514E30" w14:paraId="0F453B62" w14:textId="77777777" w:rsidTr="00C22C26">
        <w:trPr>
          <w:trHeight w:val="281"/>
        </w:trPr>
        <w:tc>
          <w:tcPr>
            <w:tcW w:w="4211" w:type="dxa"/>
            <w:shd w:val="clear" w:color="auto" w:fill="auto"/>
            <w:noWrap/>
            <w:hideMark/>
          </w:tcPr>
          <w:p w14:paraId="6C406BF4"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lastRenderedPageBreak/>
              <w:t>Kujawsko-pomorskie</w:t>
            </w:r>
          </w:p>
        </w:tc>
        <w:tc>
          <w:tcPr>
            <w:tcW w:w="660" w:type="dxa"/>
            <w:shd w:val="clear" w:color="000000" w:fill="FFFFFF"/>
            <w:noWrap/>
            <w:hideMark/>
          </w:tcPr>
          <w:p w14:paraId="7E7A5FF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187</w:t>
            </w:r>
          </w:p>
        </w:tc>
        <w:tc>
          <w:tcPr>
            <w:tcW w:w="660" w:type="dxa"/>
            <w:shd w:val="clear" w:color="000000" w:fill="FFFFFF"/>
            <w:noWrap/>
            <w:hideMark/>
          </w:tcPr>
          <w:p w14:paraId="37C01EA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180</w:t>
            </w:r>
          </w:p>
        </w:tc>
        <w:tc>
          <w:tcPr>
            <w:tcW w:w="660" w:type="dxa"/>
            <w:shd w:val="clear" w:color="000000" w:fill="FFFFFF"/>
            <w:noWrap/>
            <w:hideMark/>
          </w:tcPr>
          <w:p w14:paraId="6064049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172</w:t>
            </w:r>
          </w:p>
        </w:tc>
        <w:tc>
          <w:tcPr>
            <w:tcW w:w="660" w:type="dxa"/>
            <w:shd w:val="clear" w:color="000000" w:fill="FFFFFF"/>
            <w:noWrap/>
            <w:hideMark/>
          </w:tcPr>
          <w:p w14:paraId="7811099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157</w:t>
            </w:r>
          </w:p>
        </w:tc>
        <w:tc>
          <w:tcPr>
            <w:tcW w:w="660" w:type="dxa"/>
            <w:shd w:val="clear" w:color="000000" w:fill="FFFFFF"/>
            <w:noWrap/>
            <w:hideMark/>
          </w:tcPr>
          <w:p w14:paraId="40A9E5E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148</w:t>
            </w:r>
          </w:p>
        </w:tc>
        <w:tc>
          <w:tcPr>
            <w:tcW w:w="660" w:type="dxa"/>
            <w:shd w:val="clear" w:color="000000" w:fill="FFFFFF"/>
            <w:noWrap/>
            <w:hideMark/>
          </w:tcPr>
          <w:p w14:paraId="50E5DF7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144</w:t>
            </w:r>
          </w:p>
        </w:tc>
        <w:tc>
          <w:tcPr>
            <w:tcW w:w="660" w:type="dxa"/>
            <w:shd w:val="clear" w:color="000000" w:fill="FFFFFF"/>
            <w:noWrap/>
            <w:hideMark/>
          </w:tcPr>
          <w:p w14:paraId="1DBA4DBE"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144</w:t>
            </w:r>
          </w:p>
        </w:tc>
      </w:tr>
      <w:tr w:rsidR="00116CFB" w:rsidRPr="00514E30" w14:paraId="4F6F9F26" w14:textId="77777777" w:rsidTr="00C22C26">
        <w:trPr>
          <w:trHeight w:val="281"/>
        </w:trPr>
        <w:tc>
          <w:tcPr>
            <w:tcW w:w="4211" w:type="dxa"/>
            <w:shd w:val="clear" w:color="auto" w:fill="auto"/>
            <w:noWrap/>
            <w:hideMark/>
          </w:tcPr>
          <w:p w14:paraId="6E03CB68"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Lubelskie</w:t>
            </w:r>
          </w:p>
        </w:tc>
        <w:tc>
          <w:tcPr>
            <w:tcW w:w="660" w:type="dxa"/>
            <w:shd w:val="clear" w:color="000000" w:fill="FFFFFF"/>
            <w:noWrap/>
            <w:hideMark/>
          </w:tcPr>
          <w:p w14:paraId="229F4673"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172</w:t>
            </w:r>
          </w:p>
        </w:tc>
        <w:tc>
          <w:tcPr>
            <w:tcW w:w="660" w:type="dxa"/>
            <w:shd w:val="clear" w:color="000000" w:fill="FFFFFF"/>
            <w:noWrap/>
            <w:hideMark/>
          </w:tcPr>
          <w:p w14:paraId="535E726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164</w:t>
            </w:r>
          </w:p>
        </w:tc>
        <w:tc>
          <w:tcPr>
            <w:tcW w:w="660" w:type="dxa"/>
            <w:shd w:val="clear" w:color="000000" w:fill="FFFFFF"/>
            <w:noWrap/>
            <w:hideMark/>
          </w:tcPr>
          <w:p w14:paraId="6956F3D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158</w:t>
            </w:r>
          </w:p>
        </w:tc>
        <w:tc>
          <w:tcPr>
            <w:tcW w:w="660" w:type="dxa"/>
            <w:shd w:val="clear" w:color="000000" w:fill="FFFFFF"/>
            <w:noWrap/>
            <w:hideMark/>
          </w:tcPr>
          <w:p w14:paraId="47D46713"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152</w:t>
            </w:r>
          </w:p>
        </w:tc>
        <w:tc>
          <w:tcPr>
            <w:tcW w:w="660" w:type="dxa"/>
            <w:shd w:val="clear" w:color="000000" w:fill="FFFFFF"/>
            <w:noWrap/>
            <w:hideMark/>
          </w:tcPr>
          <w:p w14:paraId="3A832F0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149</w:t>
            </w:r>
          </w:p>
        </w:tc>
        <w:tc>
          <w:tcPr>
            <w:tcW w:w="660" w:type="dxa"/>
            <w:shd w:val="clear" w:color="000000" w:fill="FFFFFF"/>
            <w:noWrap/>
            <w:hideMark/>
          </w:tcPr>
          <w:p w14:paraId="55B0D5D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148</w:t>
            </w:r>
          </w:p>
        </w:tc>
        <w:tc>
          <w:tcPr>
            <w:tcW w:w="660" w:type="dxa"/>
            <w:shd w:val="clear" w:color="000000" w:fill="FFFFFF"/>
            <w:noWrap/>
            <w:hideMark/>
          </w:tcPr>
          <w:p w14:paraId="7C07B9C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150</w:t>
            </w:r>
          </w:p>
        </w:tc>
      </w:tr>
      <w:tr w:rsidR="00116CFB" w:rsidRPr="00514E30" w14:paraId="36A2EDB8" w14:textId="77777777" w:rsidTr="00C22C26">
        <w:trPr>
          <w:trHeight w:val="281"/>
        </w:trPr>
        <w:tc>
          <w:tcPr>
            <w:tcW w:w="4211" w:type="dxa"/>
            <w:shd w:val="clear" w:color="auto" w:fill="auto"/>
            <w:noWrap/>
            <w:hideMark/>
          </w:tcPr>
          <w:p w14:paraId="08395F22"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Lubuskie</w:t>
            </w:r>
          </w:p>
        </w:tc>
        <w:tc>
          <w:tcPr>
            <w:tcW w:w="660" w:type="dxa"/>
            <w:shd w:val="clear" w:color="000000" w:fill="FFFFFF"/>
            <w:noWrap/>
            <w:hideMark/>
          </w:tcPr>
          <w:p w14:paraId="1C03452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178</w:t>
            </w:r>
          </w:p>
        </w:tc>
        <w:tc>
          <w:tcPr>
            <w:tcW w:w="660" w:type="dxa"/>
            <w:shd w:val="clear" w:color="000000" w:fill="FFFFFF"/>
            <w:noWrap/>
            <w:hideMark/>
          </w:tcPr>
          <w:p w14:paraId="44811D5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171</w:t>
            </w:r>
          </w:p>
        </w:tc>
        <w:tc>
          <w:tcPr>
            <w:tcW w:w="660" w:type="dxa"/>
            <w:shd w:val="clear" w:color="000000" w:fill="FFFFFF"/>
            <w:noWrap/>
            <w:hideMark/>
          </w:tcPr>
          <w:p w14:paraId="2850996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160</w:t>
            </w:r>
          </w:p>
        </w:tc>
        <w:tc>
          <w:tcPr>
            <w:tcW w:w="660" w:type="dxa"/>
            <w:shd w:val="clear" w:color="000000" w:fill="FFFFFF"/>
            <w:noWrap/>
            <w:hideMark/>
          </w:tcPr>
          <w:p w14:paraId="371AFB9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149</w:t>
            </w:r>
          </w:p>
        </w:tc>
        <w:tc>
          <w:tcPr>
            <w:tcW w:w="660" w:type="dxa"/>
            <w:shd w:val="clear" w:color="000000" w:fill="FFFFFF"/>
            <w:noWrap/>
            <w:hideMark/>
          </w:tcPr>
          <w:p w14:paraId="21326F2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143</w:t>
            </w:r>
          </w:p>
        </w:tc>
        <w:tc>
          <w:tcPr>
            <w:tcW w:w="660" w:type="dxa"/>
            <w:shd w:val="clear" w:color="000000" w:fill="FFFFFF"/>
            <w:noWrap/>
            <w:hideMark/>
          </w:tcPr>
          <w:p w14:paraId="26DFE85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138</w:t>
            </w:r>
          </w:p>
        </w:tc>
        <w:tc>
          <w:tcPr>
            <w:tcW w:w="660" w:type="dxa"/>
            <w:shd w:val="clear" w:color="000000" w:fill="FFFFFF"/>
            <w:noWrap/>
            <w:hideMark/>
          </w:tcPr>
          <w:p w14:paraId="76E1270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137</w:t>
            </w:r>
          </w:p>
        </w:tc>
      </w:tr>
      <w:tr w:rsidR="00116CFB" w:rsidRPr="00514E30" w14:paraId="7CDEB7C0" w14:textId="77777777" w:rsidTr="00C22C26">
        <w:trPr>
          <w:trHeight w:val="281"/>
        </w:trPr>
        <w:tc>
          <w:tcPr>
            <w:tcW w:w="4211" w:type="dxa"/>
            <w:shd w:val="clear" w:color="auto" w:fill="auto"/>
            <w:noWrap/>
            <w:hideMark/>
          </w:tcPr>
          <w:p w14:paraId="23866BE9"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Łódzkie</w:t>
            </w:r>
          </w:p>
        </w:tc>
        <w:tc>
          <w:tcPr>
            <w:tcW w:w="660" w:type="dxa"/>
            <w:shd w:val="clear" w:color="000000" w:fill="FFFFFF"/>
            <w:noWrap/>
            <w:hideMark/>
          </w:tcPr>
          <w:p w14:paraId="76E688B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150</w:t>
            </w:r>
          </w:p>
        </w:tc>
        <w:tc>
          <w:tcPr>
            <w:tcW w:w="660" w:type="dxa"/>
            <w:shd w:val="clear" w:color="000000" w:fill="FFFFFF"/>
            <w:noWrap/>
            <w:hideMark/>
          </w:tcPr>
          <w:p w14:paraId="05186BE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146</w:t>
            </w:r>
          </w:p>
        </w:tc>
        <w:tc>
          <w:tcPr>
            <w:tcW w:w="660" w:type="dxa"/>
            <w:shd w:val="clear" w:color="000000" w:fill="FFFFFF"/>
            <w:noWrap/>
            <w:hideMark/>
          </w:tcPr>
          <w:p w14:paraId="14EFCA58"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142</w:t>
            </w:r>
          </w:p>
        </w:tc>
        <w:tc>
          <w:tcPr>
            <w:tcW w:w="660" w:type="dxa"/>
            <w:shd w:val="clear" w:color="000000" w:fill="FFFFFF"/>
            <w:noWrap/>
            <w:hideMark/>
          </w:tcPr>
          <w:p w14:paraId="4E32548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134</w:t>
            </w:r>
          </w:p>
        </w:tc>
        <w:tc>
          <w:tcPr>
            <w:tcW w:w="660" w:type="dxa"/>
            <w:shd w:val="clear" w:color="000000" w:fill="FFFFFF"/>
            <w:noWrap/>
            <w:hideMark/>
          </w:tcPr>
          <w:p w14:paraId="7BE0BE1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129</w:t>
            </w:r>
          </w:p>
        </w:tc>
        <w:tc>
          <w:tcPr>
            <w:tcW w:w="660" w:type="dxa"/>
            <w:shd w:val="clear" w:color="000000" w:fill="FFFFFF"/>
            <w:noWrap/>
            <w:hideMark/>
          </w:tcPr>
          <w:p w14:paraId="77E9616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126</w:t>
            </w:r>
          </w:p>
        </w:tc>
        <w:tc>
          <w:tcPr>
            <w:tcW w:w="660" w:type="dxa"/>
            <w:shd w:val="clear" w:color="000000" w:fill="FFFFFF"/>
            <w:noWrap/>
            <w:hideMark/>
          </w:tcPr>
          <w:p w14:paraId="4F4A9FB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127</w:t>
            </w:r>
          </w:p>
        </w:tc>
      </w:tr>
      <w:tr w:rsidR="00116CFB" w:rsidRPr="00514E30" w14:paraId="4F025E51" w14:textId="77777777" w:rsidTr="00C22C26">
        <w:trPr>
          <w:trHeight w:val="281"/>
        </w:trPr>
        <w:tc>
          <w:tcPr>
            <w:tcW w:w="4211" w:type="dxa"/>
            <w:shd w:val="clear" w:color="auto" w:fill="auto"/>
            <w:noWrap/>
            <w:hideMark/>
          </w:tcPr>
          <w:p w14:paraId="073C3365"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Małopolskie</w:t>
            </w:r>
          </w:p>
        </w:tc>
        <w:tc>
          <w:tcPr>
            <w:tcW w:w="660" w:type="dxa"/>
            <w:shd w:val="clear" w:color="000000" w:fill="FFFFFF"/>
            <w:noWrap/>
            <w:hideMark/>
          </w:tcPr>
          <w:p w14:paraId="2B8C59D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176</w:t>
            </w:r>
          </w:p>
        </w:tc>
        <w:tc>
          <w:tcPr>
            <w:tcW w:w="660" w:type="dxa"/>
            <w:shd w:val="clear" w:color="000000" w:fill="FFFFFF"/>
            <w:noWrap/>
            <w:hideMark/>
          </w:tcPr>
          <w:p w14:paraId="426091F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167</w:t>
            </w:r>
          </w:p>
        </w:tc>
        <w:tc>
          <w:tcPr>
            <w:tcW w:w="660" w:type="dxa"/>
            <w:shd w:val="clear" w:color="000000" w:fill="FFFFFF"/>
            <w:noWrap/>
            <w:hideMark/>
          </w:tcPr>
          <w:p w14:paraId="0DCD3F73"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162</w:t>
            </w:r>
          </w:p>
        </w:tc>
        <w:tc>
          <w:tcPr>
            <w:tcW w:w="660" w:type="dxa"/>
            <w:shd w:val="clear" w:color="000000" w:fill="FFFFFF"/>
            <w:noWrap/>
            <w:hideMark/>
          </w:tcPr>
          <w:p w14:paraId="1607DC8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155</w:t>
            </w:r>
          </w:p>
        </w:tc>
        <w:tc>
          <w:tcPr>
            <w:tcW w:w="660" w:type="dxa"/>
            <w:shd w:val="clear" w:color="000000" w:fill="FFFFFF"/>
            <w:noWrap/>
            <w:hideMark/>
          </w:tcPr>
          <w:p w14:paraId="46A3A79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154</w:t>
            </w:r>
          </w:p>
        </w:tc>
        <w:tc>
          <w:tcPr>
            <w:tcW w:w="660" w:type="dxa"/>
            <w:shd w:val="clear" w:color="000000" w:fill="FFFFFF"/>
            <w:noWrap/>
            <w:hideMark/>
          </w:tcPr>
          <w:p w14:paraId="0F6049E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154</w:t>
            </w:r>
          </w:p>
        </w:tc>
        <w:tc>
          <w:tcPr>
            <w:tcW w:w="660" w:type="dxa"/>
            <w:shd w:val="clear" w:color="000000" w:fill="FFFFFF"/>
            <w:noWrap/>
            <w:hideMark/>
          </w:tcPr>
          <w:p w14:paraId="7C010AA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155</w:t>
            </w:r>
          </w:p>
        </w:tc>
      </w:tr>
      <w:tr w:rsidR="00116CFB" w:rsidRPr="00514E30" w14:paraId="63C5484F" w14:textId="77777777" w:rsidTr="00C22C26">
        <w:trPr>
          <w:trHeight w:val="281"/>
        </w:trPr>
        <w:tc>
          <w:tcPr>
            <w:tcW w:w="4211" w:type="dxa"/>
            <w:shd w:val="clear" w:color="auto" w:fill="auto"/>
            <w:noWrap/>
            <w:hideMark/>
          </w:tcPr>
          <w:p w14:paraId="28E9255D"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Mazowieckie</w:t>
            </w:r>
          </w:p>
        </w:tc>
        <w:tc>
          <w:tcPr>
            <w:tcW w:w="660" w:type="dxa"/>
            <w:shd w:val="clear" w:color="000000" w:fill="FFFFFF"/>
            <w:noWrap/>
            <w:hideMark/>
          </w:tcPr>
          <w:p w14:paraId="134B35C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139</w:t>
            </w:r>
          </w:p>
        </w:tc>
        <w:tc>
          <w:tcPr>
            <w:tcW w:w="660" w:type="dxa"/>
            <w:shd w:val="clear" w:color="000000" w:fill="FFFFFF"/>
            <w:noWrap/>
            <w:hideMark/>
          </w:tcPr>
          <w:p w14:paraId="475A063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135</w:t>
            </w:r>
          </w:p>
        </w:tc>
        <w:tc>
          <w:tcPr>
            <w:tcW w:w="660" w:type="dxa"/>
            <w:shd w:val="clear" w:color="000000" w:fill="FFFFFF"/>
            <w:noWrap/>
            <w:hideMark/>
          </w:tcPr>
          <w:p w14:paraId="63ACD19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131</w:t>
            </w:r>
          </w:p>
        </w:tc>
        <w:tc>
          <w:tcPr>
            <w:tcW w:w="660" w:type="dxa"/>
            <w:shd w:val="clear" w:color="000000" w:fill="FFFFFF"/>
            <w:noWrap/>
            <w:hideMark/>
          </w:tcPr>
          <w:p w14:paraId="77F2038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123</w:t>
            </w:r>
          </w:p>
        </w:tc>
        <w:tc>
          <w:tcPr>
            <w:tcW w:w="660" w:type="dxa"/>
            <w:shd w:val="clear" w:color="000000" w:fill="FFFFFF"/>
            <w:noWrap/>
            <w:hideMark/>
          </w:tcPr>
          <w:p w14:paraId="1A7EDC5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116</w:t>
            </w:r>
          </w:p>
        </w:tc>
        <w:tc>
          <w:tcPr>
            <w:tcW w:w="660" w:type="dxa"/>
            <w:shd w:val="clear" w:color="000000" w:fill="FFFFFF"/>
            <w:noWrap/>
            <w:hideMark/>
          </w:tcPr>
          <w:p w14:paraId="0FD7BE5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114</w:t>
            </w:r>
          </w:p>
        </w:tc>
        <w:tc>
          <w:tcPr>
            <w:tcW w:w="660" w:type="dxa"/>
            <w:shd w:val="clear" w:color="000000" w:fill="FFFFFF"/>
            <w:noWrap/>
            <w:hideMark/>
          </w:tcPr>
          <w:p w14:paraId="62AEB79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114</w:t>
            </w:r>
          </w:p>
        </w:tc>
      </w:tr>
      <w:tr w:rsidR="00116CFB" w:rsidRPr="00514E30" w14:paraId="4BA99002" w14:textId="77777777" w:rsidTr="00C22C26">
        <w:trPr>
          <w:trHeight w:val="281"/>
        </w:trPr>
        <w:tc>
          <w:tcPr>
            <w:tcW w:w="4211" w:type="dxa"/>
            <w:shd w:val="clear" w:color="auto" w:fill="auto"/>
            <w:noWrap/>
            <w:hideMark/>
          </w:tcPr>
          <w:p w14:paraId="2273EA99"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Opolskie</w:t>
            </w:r>
          </w:p>
        </w:tc>
        <w:tc>
          <w:tcPr>
            <w:tcW w:w="660" w:type="dxa"/>
            <w:shd w:val="clear" w:color="000000" w:fill="FFFFFF"/>
            <w:noWrap/>
            <w:hideMark/>
          </w:tcPr>
          <w:p w14:paraId="53FBB8A3"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172</w:t>
            </w:r>
          </w:p>
        </w:tc>
        <w:tc>
          <w:tcPr>
            <w:tcW w:w="660" w:type="dxa"/>
            <w:shd w:val="clear" w:color="000000" w:fill="FFFFFF"/>
            <w:noWrap/>
            <w:hideMark/>
          </w:tcPr>
          <w:p w14:paraId="7AE722D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160</w:t>
            </w:r>
          </w:p>
        </w:tc>
        <w:tc>
          <w:tcPr>
            <w:tcW w:w="660" w:type="dxa"/>
            <w:shd w:val="clear" w:color="000000" w:fill="FFFFFF"/>
            <w:noWrap/>
            <w:hideMark/>
          </w:tcPr>
          <w:p w14:paraId="1031C72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153</w:t>
            </w:r>
          </w:p>
        </w:tc>
        <w:tc>
          <w:tcPr>
            <w:tcW w:w="660" w:type="dxa"/>
            <w:shd w:val="clear" w:color="000000" w:fill="FFFFFF"/>
            <w:noWrap/>
            <w:hideMark/>
          </w:tcPr>
          <w:p w14:paraId="60B25D5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145</w:t>
            </w:r>
          </w:p>
        </w:tc>
        <w:tc>
          <w:tcPr>
            <w:tcW w:w="660" w:type="dxa"/>
            <w:shd w:val="clear" w:color="000000" w:fill="FFFFFF"/>
            <w:noWrap/>
            <w:hideMark/>
          </w:tcPr>
          <w:p w14:paraId="35B4A11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142</w:t>
            </w:r>
          </w:p>
        </w:tc>
        <w:tc>
          <w:tcPr>
            <w:tcW w:w="660" w:type="dxa"/>
            <w:shd w:val="clear" w:color="000000" w:fill="FFFFFF"/>
            <w:noWrap/>
            <w:hideMark/>
          </w:tcPr>
          <w:p w14:paraId="6D949CD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141</w:t>
            </w:r>
          </w:p>
        </w:tc>
        <w:tc>
          <w:tcPr>
            <w:tcW w:w="660" w:type="dxa"/>
            <w:shd w:val="clear" w:color="000000" w:fill="FFFFFF"/>
            <w:noWrap/>
            <w:hideMark/>
          </w:tcPr>
          <w:p w14:paraId="7951A16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141</w:t>
            </w:r>
          </w:p>
        </w:tc>
      </w:tr>
      <w:tr w:rsidR="00116CFB" w:rsidRPr="00514E30" w14:paraId="4D363369" w14:textId="77777777" w:rsidTr="00C22C26">
        <w:trPr>
          <w:trHeight w:val="281"/>
        </w:trPr>
        <w:tc>
          <w:tcPr>
            <w:tcW w:w="4211" w:type="dxa"/>
            <w:shd w:val="clear" w:color="auto" w:fill="auto"/>
            <w:noWrap/>
            <w:hideMark/>
          </w:tcPr>
          <w:p w14:paraId="4306815B"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Podkarpackie</w:t>
            </w:r>
          </w:p>
        </w:tc>
        <w:tc>
          <w:tcPr>
            <w:tcW w:w="660" w:type="dxa"/>
            <w:shd w:val="clear" w:color="000000" w:fill="FFFFFF"/>
            <w:noWrap/>
            <w:hideMark/>
          </w:tcPr>
          <w:p w14:paraId="6B9D57B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202</w:t>
            </w:r>
          </w:p>
        </w:tc>
        <w:tc>
          <w:tcPr>
            <w:tcW w:w="660" w:type="dxa"/>
            <w:shd w:val="clear" w:color="000000" w:fill="FFFFFF"/>
            <w:noWrap/>
            <w:hideMark/>
          </w:tcPr>
          <w:p w14:paraId="0E3B41F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190</w:t>
            </w:r>
          </w:p>
        </w:tc>
        <w:tc>
          <w:tcPr>
            <w:tcW w:w="660" w:type="dxa"/>
            <w:shd w:val="clear" w:color="000000" w:fill="FFFFFF"/>
            <w:noWrap/>
            <w:hideMark/>
          </w:tcPr>
          <w:p w14:paraId="125EF1B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182</w:t>
            </w:r>
          </w:p>
        </w:tc>
        <w:tc>
          <w:tcPr>
            <w:tcW w:w="660" w:type="dxa"/>
            <w:shd w:val="clear" w:color="000000" w:fill="FFFFFF"/>
            <w:noWrap/>
            <w:hideMark/>
          </w:tcPr>
          <w:p w14:paraId="5F6B771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174</w:t>
            </w:r>
          </w:p>
        </w:tc>
        <w:tc>
          <w:tcPr>
            <w:tcW w:w="660" w:type="dxa"/>
            <w:shd w:val="clear" w:color="000000" w:fill="FFFFFF"/>
            <w:noWrap/>
            <w:hideMark/>
          </w:tcPr>
          <w:p w14:paraId="38C441A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169</w:t>
            </w:r>
          </w:p>
        </w:tc>
        <w:tc>
          <w:tcPr>
            <w:tcW w:w="660" w:type="dxa"/>
            <w:shd w:val="clear" w:color="000000" w:fill="FFFFFF"/>
            <w:noWrap/>
            <w:hideMark/>
          </w:tcPr>
          <w:p w14:paraId="5C17D2D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167</w:t>
            </w:r>
          </w:p>
        </w:tc>
        <w:tc>
          <w:tcPr>
            <w:tcW w:w="660" w:type="dxa"/>
            <w:shd w:val="clear" w:color="000000" w:fill="FFFFFF"/>
            <w:noWrap/>
            <w:hideMark/>
          </w:tcPr>
          <w:p w14:paraId="1900C29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168</w:t>
            </w:r>
          </w:p>
        </w:tc>
      </w:tr>
      <w:tr w:rsidR="00116CFB" w:rsidRPr="00514E30" w14:paraId="538CE961" w14:textId="77777777" w:rsidTr="00C22C26">
        <w:trPr>
          <w:trHeight w:val="281"/>
        </w:trPr>
        <w:tc>
          <w:tcPr>
            <w:tcW w:w="4211" w:type="dxa"/>
            <w:shd w:val="clear" w:color="auto" w:fill="auto"/>
            <w:noWrap/>
            <w:hideMark/>
          </w:tcPr>
          <w:p w14:paraId="335F1617"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Podlaskie</w:t>
            </w:r>
          </w:p>
        </w:tc>
        <w:tc>
          <w:tcPr>
            <w:tcW w:w="660" w:type="dxa"/>
            <w:shd w:val="clear" w:color="000000" w:fill="FFFFFF"/>
            <w:noWrap/>
            <w:hideMark/>
          </w:tcPr>
          <w:p w14:paraId="61DF4D1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191</w:t>
            </w:r>
          </w:p>
        </w:tc>
        <w:tc>
          <w:tcPr>
            <w:tcW w:w="660" w:type="dxa"/>
            <w:shd w:val="clear" w:color="000000" w:fill="FFFFFF"/>
            <w:noWrap/>
            <w:hideMark/>
          </w:tcPr>
          <w:p w14:paraId="4E9E4CC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177</w:t>
            </w:r>
          </w:p>
        </w:tc>
        <w:tc>
          <w:tcPr>
            <w:tcW w:w="660" w:type="dxa"/>
            <w:shd w:val="clear" w:color="000000" w:fill="FFFFFF"/>
            <w:noWrap/>
            <w:hideMark/>
          </w:tcPr>
          <w:p w14:paraId="29F4D9D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168</w:t>
            </w:r>
          </w:p>
        </w:tc>
        <w:tc>
          <w:tcPr>
            <w:tcW w:w="660" w:type="dxa"/>
            <w:shd w:val="clear" w:color="000000" w:fill="FFFFFF"/>
            <w:noWrap/>
            <w:hideMark/>
          </w:tcPr>
          <w:p w14:paraId="3156F67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155</w:t>
            </w:r>
          </w:p>
        </w:tc>
        <w:tc>
          <w:tcPr>
            <w:tcW w:w="660" w:type="dxa"/>
            <w:shd w:val="clear" w:color="000000" w:fill="FFFFFF"/>
            <w:noWrap/>
            <w:hideMark/>
          </w:tcPr>
          <w:p w14:paraId="703ACEE8"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146</w:t>
            </w:r>
          </w:p>
        </w:tc>
        <w:tc>
          <w:tcPr>
            <w:tcW w:w="660" w:type="dxa"/>
            <w:shd w:val="clear" w:color="000000" w:fill="FFFFFF"/>
            <w:noWrap/>
            <w:hideMark/>
          </w:tcPr>
          <w:p w14:paraId="1B208EA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141</w:t>
            </w:r>
          </w:p>
        </w:tc>
        <w:tc>
          <w:tcPr>
            <w:tcW w:w="660" w:type="dxa"/>
            <w:shd w:val="clear" w:color="000000" w:fill="FFFFFF"/>
            <w:noWrap/>
            <w:hideMark/>
          </w:tcPr>
          <w:p w14:paraId="4B0D2D3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138</w:t>
            </w:r>
          </w:p>
        </w:tc>
      </w:tr>
      <w:tr w:rsidR="00116CFB" w:rsidRPr="00514E30" w14:paraId="3E12870F" w14:textId="77777777" w:rsidTr="00C22C26">
        <w:trPr>
          <w:trHeight w:val="281"/>
        </w:trPr>
        <w:tc>
          <w:tcPr>
            <w:tcW w:w="4211" w:type="dxa"/>
            <w:shd w:val="clear" w:color="auto" w:fill="auto"/>
            <w:noWrap/>
            <w:hideMark/>
          </w:tcPr>
          <w:p w14:paraId="5FE209E0"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Pomorskie</w:t>
            </w:r>
          </w:p>
        </w:tc>
        <w:tc>
          <w:tcPr>
            <w:tcW w:w="660" w:type="dxa"/>
            <w:shd w:val="clear" w:color="000000" w:fill="FFFFFF"/>
            <w:noWrap/>
            <w:hideMark/>
          </w:tcPr>
          <w:p w14:paraId="7DA1B5D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158</w:t>
            </w:r>
          </w:p>
        </w:tc>
        <w:tc>
          <w:tcPr>
            <w:tcW w:w="660" w:type="dxa"/>
            <w:shd w:val="clear" w:color="000000" w:fill="FFFFFF"/>
            <w:noWrap/>
            <w:hideMark/>
          </w:tcPr>
          <w:p w14:paraId="3FC995F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151</w:t>
            </w:r>
          </w:p>
        </w:tc>
        <w:tc>
          <w:tcPr>
            <w:tcW w:w="660" w:type="dxa"/>
            <w:shd w:val="clear" w:color="000000" w:fill="FFFFFF"/>
            <w:noWrap/>
            <w:hideMark/>
          </w:tcPr>
          <w:p w14:paraId="338A88E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144</w:t>
            </w:r>
          </w:p>
        </w:tc>
        <w:tc>
          <w:tcPr>
            <w:tcW w:w="660" w:type="dxa"/>
            <w:shd w:val="clear" w:color="000000" w:fill="FFFFFF"/>
            <w:noWrap/>
            <w:hideMark/>
          </w:tcPr>
          <w:p w14:paraId="64B403C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137</w:t>
            </w:r>
          </w:p>
        </w:tc>
        <w:tc>
          <w:tcPr>
            <w:tcW w:w="660" w:type="dxa"/>
            <w:shd w:val="clear" w:color="000000" w:fill="FFFFFF"/>
            <w:noWrap/>
            <w:hideMark/>
          </w:tcPr>
          <w:p w14:paraId="6900CF2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133</w:t>
            </w:r>
          </w:p>
        </w:tc>
        <w:tc>
          <w:tcPr>
            <w:tcW w:w="660" w:type="dxa"/>
            <w:shd w:val="clear" w:color="000000" w:fill="FFFFFF"/>
            <w:noWrap/>
            <w:hideMark/>
          </w:tcPr>
          <w:p w14:paraId="5F18661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130</w:t>
            </w:r>
          </w:p>
        </w:tc>
        <w:tc>
          <w:tcPr>
            <w:tcW w:w="660" w:type="dxa"/>
            <w:shd w:val="clear" w:color="000000" w:fill="FFFFFF"/>
            <w:noWrap/>
            <w:hideMark/>
          </w:tcPr>
          <w:p w14:paraId="4612109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131</w:t>
            </w:r>
          </w:p>
        </w:tc>
      </w:tr>
      <w:tr w:rsidR="00116CFB" w:rsidRPr="00514E30" w14:paraId="1443004C" w14:textId="77777777" w:rsidTr="00C22C26">
        <w:trPr>
          <w:trHeight w:val="281"/>
        </w:trPr>
        <w:tc>
          <w:tcPr>
            <w:tcW w:w="4211" w:type="dxa"/>
            <w:shd w:val="clear" w:color="auto" w:fill="auto"/>
            <w:noWrap/>
            <w:hideMark/>
          </w:tcPr>
          <w:p w14:paraId="67D41201"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Śląskie</w:t>
            </w:r>
          </w:p>
        </w:tc>
        <w:tc>
          <w:tcPr>
            <w:tcW w:w="660" w:type="dxa"/>
            <w:shd w:val="clear" w:color="000000" w:fill="FFFFFF"/>
            <w:noWrap/>
            <w:hideMark/>
          </w:tcPr>
          <w:p w14:paraId="4DC39C1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172</w:t>
            </w:r>
          </w:p>
        </w:tc>
        <w:tc>
          <w:tcPr>
            <w:tcW w:w="660" w:type="dxa"/>
            <w:shd w:val="clear" w:color="000000" w:fill="FFFFFF"/>
            <w:noWrap/>
            <w:hideMark/>
          </w:tcPr>
          <w:p w14:paraId="6448BFA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163</w:t>
            </w:r>
          </w:p>
        </w:tc>
        <w:tc>
          <w:tcPr>
            <w:tcW w:w="660" w:type="dxa"/>
            <w:shd w:val="clear" w:color="000000" w:fill="FFFFFF"/>
            <w:noWrap/>
            <w:hideMark/>
          </w:tcPr>
          <w:p w14:paraId="55ED4F9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156</w:t>
            </w:r>
          </w:p>
        </w:tc>
        <w:tc>
          <w:tcPr>
            <w:tcW w:w="660" w:type="dxa"/>
            <w:shd w:val="clear" w:color="000000" w:fill="FFFFFF"/>
            <w:noWrap/>
            <w:hideMark/>
          </w:tcPr>
          <w:p w14:paraId="0C126F1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146</w:t>
            </w:r>
          </w:p>
        </w:tc>
        <w:tc>
          <w:tcPr>
            <w:tcW w:w="660" w:type="dxa"/>
            <w:shd w:val="clear" w:color="000000" w:fill="FFFFFF"/>
            <w:noWrap/>
            <w:hideMark/>
          </w:tcPr>
          <w:p w14:paraId="3A3C2057"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140</w:t>
            </w:r>
          </w:p>
        </w:tc>
        <w:tc>
          <w:tcPr>
            <w:tcW w:w="660" w:type="dxa"/>
            <w:shd w:val="clear" w:color="000000" w:fill="FFFFFF"/>
            <w:noWrap/>
            <w:hideMark/>
          </w:tcPr>
          <w:p w14:paraId="2FB18DC9"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134</w:t>
            </w:r>
          </w:p>
        </w:tc>
        <w:tc>
          <w:tcPr>
            <w:tcW w:w="660" w:type="dxa"/>
            <w:shd w:val="clear" w:color="000000" w:fill="FFFFFF"/>
            <w:noWrap/>
            <w:hideMark/>
          </w:tcPr>
          <w:p w14:paraId="49992C3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134</w:t>
            </w:r>
          </w:p>
        </w:tc>
      </w:tr>
      <w:tr w:rsidR="00116CFB" w:rsidRPr="00514E30" w14:paraId="47A7E880" w14:textId="77777777" w:rsidTr="00C22C26">
        <w:trPr>
          <w:trHeight w:val="281"/>
        </w:trPr>
        <w:tc>
          <w:tcPr>
            <w:tcW w:w="4211" w:type="dxa"/>
            <w:shd w:val="clear" w:color="auto" w:fill="auto"/>
            <w:noWrap/>
            <w:hideMark/>
          </w:tcPr>
          <w:p w14:paraId="696F18CE"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Świętokrzyskie</w:t>
            </w:r>
          </w:p>
        </w:tc>
        <w:tc>
          <w:tcPr>
            <w:tcW w:w="660" w:type="dxa"/>
            <w:shd w:val="clear" w:color="000000" w:fill="FFFFFF"/>
            <w:noWrap/>
            <w:hideMark/>
          </w:tcPr>
          <w:p w14:paraId="661795B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205</w:t>
            </w:r>
          </w:p>
        </w:tc>
        <w:tc>
          <w:tcPr>
            <w:tcW w:w="660" w:type="dxa"/>
            <w:shd w:val="clear" w:color="000000" w:fill="FFFFFF"/>
            <w:noWrap/>
            <w:hideMark/>
          </w:tcPr>
          <w:p w14:paraId="31D66EA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192</w:t>
            </w:r>
          </w:p>
        </w:tc>
        <w:tc>
          <w:tcPr>
            <w:tcW w:w="660" w:type="dxa"/>
            <w:shd w:val="clear" w:color="000000" w:fill="FFFFFF"/>
            <w:noWrap/>
            <w:hideMark/>
          </w:tcPr>
          <w:p w14:paraId="0A5F13B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184</w:t>
            </w:r>
          </w:p>
        </w:tc>
        <w:tc>
          <w:tcPr>
            <w:tcW w:w="660" w:type="dxa"/>
            <w:shd w:val="clear" w:color="000000" w:fill="FFFFFF"/>
            <w:noWrap/>
            <w:hideMark/>
          </w:tcPr>
          <w:p w14:paraId="7C835B24"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171</w:t>
            </w:r>
          </w:p>
        </w:tc>
        <w:tc>
          <w:tcPr>
            <w:tcW w:w="660" w:type="dxa"/>
            <w:shd w:val="clear" w:color="000000" w:fill="FFFFFF"/>
            <w:noWrap/>
            <w:hideMark/>
          </w:tcPr>
          <w:p w14:paraId="564C7F38"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163</w:t>
            </w:r>
          </w:p>
        </w:tc>
        <w:tc>
          <w:tcPr>
            <w:tcW w:w="660" w:type="dxa"/>
            <w:shd w:val="clear" w:color="000000" w:fill="FFFFFF"/>
            <w:noWrap/>
            <w:hideMark/>
          </w:tcPr>
          <w:p w14:paraId="4FB96D0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155</w:t>
            </w:r>
          </w:p>
        </w:tc>
        <w:tc>
          <w:tcPr>
            <w:tcW w:w="660" w:type="dxa"/>
            <w:shd w:val="clear" w:color="000000" w:fill="FFFFFF"/>
            <w:noWrap/>
            <w:hideMark/>
          </w:tcPr>
          <w:p w14:paraId="1798455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151</w:t>
            </w:r>
          </w:p>
        </w:tc>
      </w:tr>
      <w:tr w:rsidR="00116CFB" w:rsidRPr="00514E30" w14:paraId="58CA0396" w14:textId="77777777" w:rsidTr="00C22C26">
        <w:trPr>
          <w:trHeight w:val="281"/>
        </w:trPr>
        <w:tc>
          <w:tcPr>
            <w:tcW w:w="4211" w:type="dxa"/>
            <w:shd w:val="clear" w:color="auto" w:fill="auto"/>
            <w:noWrap/>
            <w:hideMark/>
          </w:tcPr>
          <w:p w14:paraId="0F8F598F"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Warmińsko-mazurskie</w:t>
            </w:r>
          </w:p>
        </w:tc>
        <w:tc>
          <w:tcPr>
            <w:tcW w:w="660" w:type="dxa"/>
            <w:shd w:val="clear" w:color="000000" w:fill="FFFFFF"/>
            <w:noWrap/>
            <w:hideMark/>
          </w:tcPr>
          <w:p w14:paraId="096B7B6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174</w:t>
            </w:r>
          </w:p>
        </w:tc>
        <w:tc>
          <w:tcPr>
            <w:tcW w:w="660" w:type="dxa"/>
            <w:shd w:val="clear" w:color="000000" w:fill="FFFFFF"/>
            <w:noWrap/>
            <w:hideMark/>
          </w:tcPr>
          <w:p w14:paraId="7B68BCB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166</w:t>
            </w:r>
          </w:p>
        </w:tc>
        <w:tc>
          <w:tcPr>
            <w:tcW w:w="660" w:type="dxa"/>
            <w:shd w:val="clear" w:color="000000" w:fill="FFFFFF"/>
            <w:noWrap/>
            <w:hideMark/>
          </w:tcPr>
          <w:p w14:paraId="7C1D4E3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159</w:t>
            </w:r>
          </w:p>
        </w:tc>
        <w:tc>
          <w:tcPr>
            <w:tcW w:w="660" w:type="dxa"/>
            <w:shd w:val="clear" w:color="000000" w:fill="FFFFFF"/>
            <w:noWrap/>
            <w:hideMark/>
          </w:tcPr>
          <w:p w14:paraId="0B4F6131"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150</w:t>
            </w:r>
          </w:p>
        </w:tc>
        <w:tc>
          <w:tcPr>
            <w:tcW w:w="660" w:type="dxa"/>
            <w:shd w:val="clear" w:color="000000" w:fill="FFFFFF"/>
            <w:noWrap/>
            <w:hideMark/>
          </w:tcPr>
          <w:p w14:paraId="7F503EFB"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142</w:t>
            </w:r>
          </w:p>
        </w:tc>
        <w:tc>
          <w:tcPr>
            <w:tcW w:w="660" w:type="dxa"/>
            <w:shd w:val="clear" w:color="000000" w:fill="FFFFFF"/>
            <w:noWrap/>
            <w:hideMark/>
          </w:tcPr>
          <w:p w14:paraId="448D2D8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136</w:t>
            </w:r>
          </w:p>
        </w:tc>
        <w:tc>
          <w:tcPr>
            <w:tcW w:w="660" w:type="dxa"/>
            <w:shd w:val="clear" w:color="000000" w:fill="FFFFFF"/>
            <w:noWrap/>
            <w:hideMark/>
          </w:tcPr>
          <w:p w14:paraId="77176D53"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133</w:t>
            </w:r>
          </w:p>
        </w:tc>
      </w:tr>
      <w:tr w:rsidR="00116CFB" w:rsidRPr="00514E30" w14:paraId="141C18F9" w14:textId="77777777" w:rsidTr="00C22C26">
        <w:trPr>
          <w:trHeight w:val="281"/>
        </w:trPr>
        <w:tc>
          <w:tcPr>
            <w:tcW w:w="4211" w:type="dxa"/>
            <w:shd w:val="clear" w:color="auto" w:fill="auto"/>
            <w:noWrap/>
            <w:hideMark/>
          </w:tcPr>
          <w:p w14:paraId="58F863D6"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Wielkopolskie</w:t>
            </w:r>
          </w:p>
        </w:tc>
        <w:tc>
          <w:tcPr>
            <w:tcW w:w="660" w:type="dxa"/>
            <w:shd w:val="clear" w:color="000000" w:fill="FFFFFF"/>
            <w:noWrap/>
            <w:hideMark/>
          </w:tcPr>
          <w:p w14:paraId="4C1AFA7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181</w:t>
            </w:r>
          </w:p>
        </w:tc>
        <w:tc>
          <w:tcPr>
            <w:tcW w:w="660" w:type="dxa"/>
            <w:shd w:val="clear" w:color="000000" w:fill="FFFFFF"/>
            <w:noWrap/>
            <w:hideMark/>
          </w:tcPr>
          <w:p w14:paraId="4208368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170</w:t>
            </w:r>
          </w:p>
        </w:tc>
        <w:tc>
          <w:tcPr>
            <w:tcW w:w="660" w:type="dxa"/>
            <w:shd w:val="clear" w:color="000000" w:fill="FFFFFF"/>
            <w:noWrap/>
            <w:hideMark/>
          </w:tcPr>
          <w:p w14:paraId="502167FC"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161</w:t>
            </w:r>
          </w:p>
        </w:tc>
        <w:tc>
          <w:tcPr>
            <w:tcW w:w="660" w:type="dxa"/>
            <w:shd w:val="clear" w:color="000000" w:fill="FFFFFF"/>
            <w:noWrap/>
            <w:hideMark/>
          </w:tcPr>
          <w:p w14:paraId="2C9F0132"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148</w:t>
            </w:r>
          </w:p>
        </w:tc>
        <w:tc>
          <w:tcPr>
            <w:tcW w:w="660" w:type="dxa"/>
            <w:shd w:val="clear" w:color="000000" w:fill="FFFFFF"/>
            <w:noWrap/>
            <w:hideMark/>
          </w:tcPr>
          <w:p w14:paraId="6AFD9C0D"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140</w:t>
            </w:r>
          </w:p>
        </w:tc>
        <w:tc>
          <w:tcPr>
            <w:tcW w:w="660" w:type="dxa"/>
            <w:shd w:val="clear" w:color="000000" w:fill="FFFFFF"/>
            <w:noWrap/>
            <w:hideMark/>
          </w:tcPr>
          <w:p w14:paraId="1E58841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136</w:t>
            </w:r>
          </w:p>
        </w:tc>
        <w:tc>
          <w:tcPr>
            <w:tcW w:w="660" w:type="dxa"/>
            <w:shd w:val="clear" w:color="000000" w:fill="FFFFFF"/>
            <w:noWrap/>
            <w:hideMark/>
          </w:tcPr>
          <w:p w14:paraId="44D0AA25"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137</w:t>
            </w:r>
          </w:p>
        </w:tc>
      </w:tr>
      <w:tr w:rsidR="00116CFB" w:rsidRPr="00514E30" w14:paraId="244D93E7" w14:textId="77777777" w:rsidTr="00C22C26">
        <w:trPr>
          <w:trHeight w:val="296"/>
        </w:trPr>
        <w:tc>
          <w:tcPr>
            <w:tcW w:w="4211" w:type="dxa"/>
            <w:shd w:val="clear" w:color="auto" w:fill="auto"/>
            <w:noWrap/>
            <w:hideMark/>
          </w:tcPr>
          <w:p w14:paraId="14F6BF88" w14:textId="77777777" w:rsidR="00116CFB" w:rsidRPr="00C22C26" w:rsidRDefault="00116CFB" w:rsidP="004742DC">
            <w:pPr>
              <w:spacing w:before="0" w:after="0" w:line="240" w:lineRule="auto"/>
              <w:jc w:val="left"/>
              <w:rPr>
                <w:rFonts w:cs="Segoe UI"/>
                <w:bCs/>
                <w:color w:val="000000"/>
                <w:sz w:val="18"/>
                <w:szCs w:val="18"/>
              </w:rPr>
            </w:pPr>
            <w:r w:rsidRPr="00C22C26">
              <w:rPr>
                <w:rFonts w:cs="Segoe UI"/>
                <w:bCs/>
                <w:color w:val="000000"/>
                <w:sz w:val="18"/>
                <w:szCs w:val="18"/>
              </w:rPr>
              <w:t>Zachodniopomorskie</w:t>
            </w:r>
          </w:p>
        </w:tc>
        <w:tc>
          <w:tcPr>
            <w:tcW w:w="660" w:type="dxa"/>
            <w:shd w:val="clear" w:color="000000" w:fill="FFFFFF"/>
            <w:noWrap/>
            <w:hideMark/>
          </w:tcPr>
          <w:p w14:paraId="591E8B4A"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142</w:t>
            </w:r>
          </w:p>
        </w:tc>
        <w:tc>
          <w:tcPr>
            <w:tcW w:w="660" w:type="dxa"/>
            <w:shd w:val="clear" w:color="000000" w:fill="FFFFFF"/>
            <w:noWrap/>
            <w:hideMark/>
          </w:tcPr>
          <w:p w14:paraId="03D26948"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137</w:t>
            </w:r>
          </w:p>
        </w:tc>
        <w:tc>
          <w:tcPr>
            <w:tcW w:w="660" w:type="dxa"/>
            <w:shd w:val="clear" w:color="000000" w:fill="FFFFFF"/>
            <w:noWrap/>
            <w:hideMark/>
          </w:tcPr>
          <w:p w14:paraId="3A1DA900"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133</w:t>
            </w:r>
          </w:p>
        </w:tc>
        <w:tc>
          <w:tcPr>
            <w:tcW w:w="660" w:type="dxa"/>
            <w:shd w:val="clear" w:color="000000" w:fill="FFFFFF"/>
            <w:noWrap/>
            <w:hideMark/>
          </w:tcPr>
          <w:p w14:paraId="1EE94788"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127</w:t>
            </w:r>
          </w:p>
        </w:tc>
        <w:tc>
          <w:tcPr>
            <w:tcW w:w="660" w:type="dxa"/>
            <w:shd w:val="clear" w:color="000000" w:fill="FFFFFF"/>
            <w:noWrap/>
            <w:hideMark/>
          </w:tcPr>
          <w:p w14:paraId="766A00C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123</w:t>
            </w:r>
          </w:p>
        </w:tc>
        <w:tc>
          <w:tcPr>
            <w:tcW w:w="660" w:type="dxa"/>
            <w:shd w:val="clear" w:color="000000" w:fill="FFFFFF"/>
            <w:noWrap/>
            <w:hideMark/>
          </w:tcPr>
          <w:p w14:paraId="5BAC99FF"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119</w:t>
            </w:r>
          </w:p>
        </w:tc>
        <w:tc>
          <w:tcPr>
            <w:tcW w:w="660" w:type="dxa"/>
            <w:shd w:val="clear" w:color="000000" w:fill="FFFFFF"/>
            <w:noWrap/>
            <w:hideMark/>
          </w:tcPr>
          <w:p w14:paraId="079CC566" w14:textId="77777777" w:rsidR="00116CFB" w:rsidRPr="008B706B" w:rsidRDefault="00116CFB" w:rsidP="004742DC">
            <w:pPr>
              <w:spacing w:before="0" w:after="0" w:line="240" w:lineRule="auto"/>
              <w:jc w:val="left"/>
              <w:rPr>
                <w:rFonts w:cs="Segoe UI"/>
                <w:color w:val="000000"/>
                <w:sz w:val="18"/>
                <w:szCs w:val="18"/>
              </w:rPr>
            </w:pPr>
            <w:r w:rsidRPr="008B706B">
              <w:rPr>
                <w:rFonts w:cs="Segoe UI"/>
                <w:color w:val="000000"/>
                <w:sz w:val="18"/>
                <w:szCs w:val="18"/>
              </w:rPr>
              <w:t>118</w:t>
            </w:r>
          </w:p>
        </w:tc>
      </w:tr>
    </w:tbl>
    <w:p w14:paraId="4F2FC116" w14:textId="77777777" w:rsidR="00116CFB" w:rsidRPr="00D21299" w:rsidRDefault="00116CFB" w:rsidP="001245CE">
      <w:pPr>
        <w:spacing w:before="0"/>
        <w:rPr>
          <w:i/>
          <w:sz w:val="18"/>
          <w:szCs w:val="20"/>
        </w:rPr>
      </w:pPr>
      <w:r w:rsidRPr="00D21299">
        <w:rPr>
          <w:i/>
          <w:sz w:val="18"/>
          <w:szCs w:val="20"/>
        </w:rPr>
        <w:t>Źródło: dane BDL.</w:t>
      </w:r>
    </w:p>
    <w:p w14:paraId="760F3D5C" w14:textId="77777777" w:rsidR="00116CFB" w:rsidRDefault="00116CFB" w:rsidP="00116CFB">
      <w:pPr>
        <w:rPr>
          <w:szCs w:val="20"/>
        </w:rPr>
      </w:pPr>
      <w:r>
        <w:rPr>
          <w:szCs w:val="20"/>
        </w:rPr>
        <w:t>W latach 2014-2017 odnotowano spadek wskaźnika zatrudnienia osób</w:t>
      </w:r>
      <w:r w:rsidR="00E66B89">
        <w:rPr>
          <w:szCs w:val="20"/>
        </w:rPr>
        <w:t xml:space="preserve"> z </w:t>
      </w:r>
      <w:r>
        <w:rPr>
          <w:szCs w:val="20"/>
        </w:rPr>
        <w:t>wykształceniem zasadniczym zawodowym</w:t>
      </w:r>
      <w:r w:rsidR="00E66B89">
        <w:rPr>
          <w:szCs w:val="20"/>
        </w:rPr>
        <w:t xml:space="preserve"> i </w:t>
      </w:r>
      <w:r>
        <w:rPr>
          <w:szCs w:val="20"/>
        </w:rPr>
        <w:t>niestabilność wzrostu wskaźnika zatrudnienia osób</w:t>
      </w:r>
      <w:r w:rsidR="00E66B89">
        <w:rPr>
          <w:szCs w:val="20"/>
        </w:rPr>
        <w:t xml:space="preserve"> z </w:t>
      </w:r>
      <w:r>
        <w:rPr>
          <w:szCs w:val="20"/>
        </w:rPr>
        <w:t>wykształceniem średnim zawodowym</w:t>
      </w:r>
      <w:r w:rsidR="00E66B89">
        <w:rPr>
          <w:szCs w:val="20"/>
        </w:rPr>
        <w:t xml:space="preserve"> i </w:t>
      </w:r>
      <w:r>
        <w:rPr>
          <w:szCs w:val="20"/>
        </w:rPr>
        <w:t>policealnym.</w:t>
      </w:r>
    </w:p>
    <w:p w14:paraId="41B1E07E" w14:textId="77777777" w:rsidR="00116CFB" w:rsidRDefault="00116CFB" w:rsidP="00AF481E">
      <w:pPr>
        <w:pStyle w:val="Legenda"/>
        <w:spacing w:after="0"/>
      </w:pPr>
      <w:bookmarkStart w:id="333" w:name="_Toc5311898"/>
      <w:r>
        <w:t xml:space="preserve">Wykres </w:t>
      </w:r>
      <w:r>
        <w:fldChar w:fldCharType="begin"/>
      </w:r>
      <w:r>
        <w:instrText xml:space="preserve"> SEQ Wykres \* ARABIC </w:instrText>
      </w:r>
      <w:r>
        <w:fldChar w:fldCharType="separate"/>
      </w:r>
      <w:r w:rsidR="00763345">
        <w:rPr>
          <w:noProof/>
        </w:rPr>
        <w:t>33</w:t>
      </w:r>
      <w:r>
        <w:fldChar w:fldCharType="end"/>
      </w:r>
      <w:r>
        <w:t xml:space="preserve"> </w:t>
      </w:r>
      <w:r w:rsidRPr="00EE26A5">
        <w:t>Wskaźnik zatrudnienia osób</w:t>
      </w:r>
      <w:r w:rsidR="00E66B89">
        <w:t xml:space="preserve"> z </w:t>
      </w:r>
      <w:r w:rsidR="00AE7A5F" w:rsidRPr="00EE26A5">
        <w:t>wykszta</w:t>
      </w:r>
      <w:r w:rsidR="00AE7A5F" w:rsidRPr="00AF481E">
        <w:t>łceniem</w:t>
      </w:r>
      <w:r w:rsidR="00AE7A5F" w:rsidRPr="00EE26A5">
        <w:t xml:space="preserve"> </w:t>
      </w:r>
      <w:r w:rsidRPr="00EE26A5">
        <w:t>zasadniczym zawodowym, średnim zawodowym</w:t>
      </w:r>
      <w:r w:rsidR="00E66B89">
        <w:t xml:space="preserve"> i </w:t>
      </w:r>
      <w:r w:rsidRPr="00EE26A5">
        <w:t>policealnym</w:t>
      </w:r>
      <w:r w:rsidR="00E66B89">
        <w:t xml:space="preserve"> w </w:t>
      </w:r>
      <w:r w:rsidRPr="00EE26A5">
        <w:t>województwie zachodniopomorskim</w:t>
      </w:r>
      <w:r w:rsidR="00E66B89">
        <w:t xml:space="preserve"> w </w:t>
      </w:r>
      <w:r w:rsidRPr="00EE26A5">
        <w:t>latach 2014-2017</w:t>
      </w:r>
      <w:bookmarkEnd w:id="333"/>
    </w:p>
    <w:p w14:paraId="5FFE152B" w14:textId="7B830035" w:rsidR="00116CFB" w:rsidRDefault="00C35619" w:rsidP="004F028D">
      <w:pPr>
        <w:spacing w:before="0" w:after="0"/>
        <w:rPr>
          <w:szCs w:val="20"/>
        </w:rPr>
      </w:pPr>
      <w:r w:rsidRPr="00D508B6">
        <w:rPr>
          <w:noProof/>
        </w:rPr>
        <w:drawing>
          <wp:inline distT="0" distB="0" distL="0" distR="0" wp14:anchorId="696F04C2" wp14:editId="405E44D2">
            <wp:extent cx="5733415" cy="2739390"/>
            <wp:effectExtent l="0" t="0" r="635" b="3810"/>
            <wp:docPr id="56"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17EF2D5" w14:textId="77777777" w:rsidR="00116CFB" w:rsidRPr="00D21299" w:rsidRDefault="00116CFB" w:rsidP="001245CE">
      <w:pPr>
        <w:spacing w:before="0"/>
        <w:rPr>
          <w:i/>
          <w:sz w:val="18"/>
          <w:szCs w:val="20"/>
        </w:rPr>
      </w:pPr>
      <w:r w:rsidRPr="00D21299">
        <w:rPr>
          <w:i/>
          <w:sz w:val="18"/>
          <w:szCs w:val="20"/>
        </w:rPr>
        <w:t>Źródło: dane BDL.</w:t>
      </w:r>
    </w:p>
    <w:p w14:paraId="6E36918B" w14:textId="77777777" w:rsidR="00116CFB" w:rsidRDefault="00116CFB" w:rsidP="00116CFB">
      <w:pPr>
        <w:rPr>
          <w:szCs w:val="20"/>
        </w:rPr>
      </w:pPr>
      <w:r w:rsidRPr="000A135E">
        <w:rPr>
          <w:szCs w:val="20"/>
        </w:rPr>
        <w:t>Tendencje te wskazują więc na aktualność potrzeby dostosowania kształcenia zawodowego do potrzeb rynku pracy. Biorąc pod uwagę, iż</w:t>
      </w:r>
      <w:r w:rsidR="00E66B89">
        <w:rPr>
          <w:szCs w:val="20"/>
        </w:rPr>
        <w:t xml:space="preserve"> w </w:t>
      </w:r>
      <w:r w:rsidRPr="000A135E">
        <w:rPr>
          <w:szCs w:val="20"/>
        </w:rPr>
        <w:t>ramach Działania 9.8. RPO WZ 2014-2020 realizowanych jest zaledwie 11 projektów</w:t>
      </w:r>
      <w:r>
        <w:rPr>
          <w:szCs w:val="20"/>
        </w:rPr>
        <w:t xml:space="preserve"> (</w:t>
      </w:r>
      <w:r w:rsidRPr="000A135E">
        <w:rPr>
          <w:szCs w:val="20"/>
        </w:rPr>
        <w:t>w tym 1 projekt dotyczący Państwowej Wyższej Szkoły Zawodowej</w:t>
      </w:r>
      <w:r w:rsidR="00E66B89">
        <w:rPr>
          <w:szCs w:val="20"/>
        </w:rPr>
        <w:t xml:space="preserve"> w </w:t>
      </w:r>
      <w:r w:rsidRPr="000A135E">
        <w:rPr>
          <w:szCs w:val="20"/>
        </w:rPr>
        <w:t>Koszalinie</w:t>
      </w:r>
      <w:r>
        <w:rPr>
          <w:szCs w:val="20"/>
        </w:rPr>
        <w:t>)</w:t>
      </w:r>
      <w:r w:rsidRPr="000A135E">
        <w:rPr>
          <w:szCs w:val="20"/>
        </w:rPr>
        <w:t>, zaś wskazane tendencje dotyczą wszystkich powiatów regionu</w:t>
      </w:r>
      <w:r>
        <w:rPr>
          <w:szCs w:val="20"/>
        </w:rPr>
        <w:t>,</w:t>
      </w:r>
      <w:r w:rsidRPr="000A135E">
        <w:rPr>
          <w:szCs w:val="20"/>
        </w:rPr>
        <w:t xml:space="preserve"> dalsza potrzeba wsparcia infrastruktury edukacji zawodowej pozostaje aktualna.</w:t>
      </w:r>
      <w:r>
        <w:rPr>
          <w:szCs w:val="20"/>
        </w:rPr>
        <w:t xml:space="preserve"> </w:t>
      </w:r>
    </w:p>
    <w:p w14:paraId="31AE56DD" w14:textId="77777777" w:rsidR="001D3274" w:rsidRDefault="001D3274">
      <w:pPr>
        <w:spacing w:before="0" w:after="0" w:line="240" w:lineRule="auto"/>
        <w:jc w:val="left"/>
        <w:rPr>
          <w:rFonts w:eastAsia="Calibri"/>
          <w:b/>
          <w:i/>
          <w:color w:val="4F81BD"/>
          <w:szCs w:val="20"/>
          <w:lang w:eastAsia="en-US"/>
        </w:rPr>
      </w:pPr>
      <w:r>
        <w:rPr>
          <w:rFonts w:eastAsia="Calibri"/>
          <w:b/>
          <w:i/>
          <w:color w:val="4F81BD"/>
          <w:szCs w:val="20"/>
          <w:lang w:eastAsia="en-US"/>
        </w:rPr>
        <w:br w:type="page"/>
      </w:r>
    </w:p>
    <w:p w14:paraId="3E7A7C3B" w14:textId="45AA4F3B" w:rsidR="00116CFB" w:rsidRPr="00404DA5" w:rsidRDefault="00116CFB" w:rsidP="00116CFB">
      <w:pPr>
        <w:rPr>
          <w:b/>
          <w:color w:val="365F91"/>
          <w:szCs w:val="20"/>
        </w:rPr>
      </w:pPr>
      <w:r w:rsidRPr="00A22A32">
        <w:rPr>
          <w:rFonts w:eastAsia="Calibri"/>
          <w:b/>
          <w:i/>
          <w:color w:val="4F81BD"/>
          <w:szCs w:val="20"/>
          <w:lang w:eastAsia="en-US"/>
        </w:rPr>
        <w:lastRenderedPageBreak/>
        <w:t>PI 2c</w:t>
      </w:r>
      <w:r w:rsidRPr="00404DA5">
        <w:rPr>
          <w:b/>
          <w:color w:val="365F91"/>
          <w:szCs w:val="20"/>
        </w:rPr>
        <w:t xml:space="preserve"> </w:t>
      </w:r>
    </w:p>
    <w:p w14:paraId="7BFCAB49" w14:textId="77777777" w:rsidR="00116CFB" w:rsidRPr="00404DA5" w:rsidRDefault="00116CFB" w:rsidP="00116CFB">
      <w:pPr>
        <w:rPr>
          <w:rFonts w:cs="Calibri"/>
          <w:szCs w:val="20"/>
        </w:rPr>
      </w:pPr>
      <w:r w:rsidRPr="00404DA5">
        <w:rPr>
          <w:rFonts w:cs="Calibri"/>
          <w:szCs w:val="20"/>
        </w:rPr>
        <w:t>Kolejnym obszarem wsparcia</w:t>
      </w:r>
      <w:r w:rsidR="00E66B89">
        <w:rPr>
          <w:rFonts w:cs="Calibri"/>
          <w:szCs w:val="20"/>
        </w:rPr>
        <w:t xml:space="preserve"> w </w:t>
      </w:r>
      <w:r w:rsidRPr="00404DA5">
        <w:rPr>
          <w:rFonts w:cs="Calibri"/>
          <w:szCs w:val="20"/>
        </w:rPr>
        <w:t xml:space="preserve">ramach IX OP jest PI 2c </w:t>
      </w:r>
      <w:r w:rsidRPr="00404DA5">
        <w:rPr>
          <w:rFonts w:cs="Calibri"/>
          <w:i/>
          <w:szCs w:val="20"/>
        </w:rPr>
        <w:t>Wzmocnienie zastosowań TIK dla e-administracji, e-uczenia się, e-włączenia społecznego, e-kultury</w:t>
      </w:r>
      <w:r w:rsidR="00E66B89">
        <w:rPr>
          <w:rFonts w:cs="Calibri"/>
          <w:i/>
          <w:szCs w:val="20"/>
        </w:rPr>
        <w:t xml:space="preserve"> i </w:t>
      </w:r>
      <w:r w:rsidRPr="00404DA5">
        <w:rPr>
          <w:rFonts w:cs="Calibri"/>
          <w:i/>
          <w:szCs w:val="20"/>
        </w:rPr>
        <w:t>e-zdrowia</w:t>
      </w:r>
      <w:r w:rsidRPr="00404DA5">
        <w:rPr>
          <w:rFonts w:cs="Calibri"/>
          <w:szCs w:val="20"/>
        </w:rPr>
        <w:t>, którego celem –</w:t>
      </w:r>
      <w:r w:rsidR="00E66B89">
        <w:rPr>
          <w:rFonts w:cs="Calibri"/>
          <w:szCs w:val="20"/>
        </w:rPr>
        <w:t xml:space="preserve"> w </w:t>
      </w:r>
      <w:r w:rsidRPr="00404DA5">
        <w:rPr>
          <w:rFonts w:cs="Calibri"/>
          <w:szCs w:val="20"/>
        </w:rPr>
        <w:t>ramach RPO WZ 2014-2020 - ma być zwiększona dostępność do e-usług publicznych</w:t>
      </w:r>
      <w:r w:rsidR="00E66B89">
        <w:rPr>
          <w:rFonts w:cs="Calibri"/>
          <w:szCs w:val="20"/>
        </w:rPr>
        <w:t xml:space="preserve"> w </w:t>
      </w:r>
      <w:r w:rsidRPr="00404DA5">
        <w:rPr>
          <w:rFonts w:cs="Calibri"/>
          <w:szCs w:val="20"/>
        </w:rPr>
        <w:t>regionie zachodniopomorskim. Analizując zachodzące zmiany</w:t>
      </w:r>
      <w:r w:rsidR="00E66B89">
        <w:rPr>
          <w:rFonts w:cs="Calibri"/>
          <w:szCs w:val="20"/>
        </w:rPr>
        <w:t xml:space="preserve"> w </w:t>
      </w:r>
      <w:r w:rsidRPr="00404DA5">
        <w:rPr>
          <w:rFonts w:cs="Calibri"/>
          <w:szCs w:val="20"/>
        </w:rPr>
        <w:t>tym obszarze, zwrócono uwagę przede wszystkim na takie aspekty rozwoju społeczeństwa informacyjnego, jak: infrastruktura, dostępność e-usług</w:t>
      </w:r>
      <w:r w:rsidR="00E66B89">
        <w:rPr>
          <w:rFonts w:cs="Calibri"/>
          <w:szCs w:val="20"/>
        </w:rPr>
        <w:t xml:space="preserve"> i </w:t>
      </w:r>
      <w:r w:rsidRPr="00404DA5">
        <w:rPr>
          <w:rFonts w:cs="Calibri"/>
          <w:szCs w:val="20"/>
        </w:rPr>
        <w:t>zainteresowanie korzystaniem</w:t>
      </w:r>
      <w:r w:rsidR="00E66B89">
        <w:rPr>
          <w:rFonts w:cs="Calibri"/>
          <w:szCs w:val="20"/>
        </w:rPr>
        <w:t xml:space="preserve"> z </w:t>
      </w:r>
      <w:r w:rsidRPr="00404DA5">
        <w:rPr>
          <w:rFonts w:cs="Calibri"/>
          <w:szCs w:val="20"/>
        </w:rPr>
        <w:t xml:space="preserve">nich </w:t>
      </w:r>
      <w:r>
        <w:rPr>
          <w:rFonts w:cs="Calibri"/>
          <w:szCs w:val="20"/>
        </w:rPr>
        <w:t>oraz</w:t>
      </w:r>
      <w:r w:rsidRPr="00404DA5">
        <w:rPr>
          <w:rFonts w:cs="Calibri"/>
          <w:szCs w:val="20"/>
        </w:rPr>
        <w:t xml:space="preserve"> poziom kompetencji cyfrowych.</w:t>
      </w:r>
    </w:p>
    <w:p w14:paraId="27441724" w14:textId="77777777" w:rsidR="00116CFB" w:rsidRPr="00404DA5" w:rsidRDefault="00116CFB" w:rsidP="00116CFB">
      <w:pPr>
        <w:rPr>
          <w:rFonts w:cs="Calibri"/>
          <w:szCs w:val="20"/>
        </w:rPr>
      </w:pPr>
      <w:r w:rsidRPr="00404DA5">
        <w:rPr>
          <w:rFonts w:cs="Calibri"/>
          <w:szCs w:val="20"/>
        </w:rPr>
        <w:t>Podstawowym warunkiem skuteczności wsparcia jest powszechny dostęp do Internetu potencjalnych odbiorców interwencji.</w:t>
      </w:r>
      <w:r w:rsidR="00E66B89">
        <w:rPr>
          <w:rFonts w:cs="Calibri"/>
          <w:szCs w:val="20"/>
        </w:rPr>
        <w:t xml:space="preserve"> W </w:t>
      </w:r>
      <w:r w:rsidRPr="00404DA5">
        <w:rPr>
          <w:rFonts w:cs="Calibri"/>
          <w:szCs w:val="20"/>
        </w:rPr>
        <w:t>2017 roku 79% gospodarstw domowych</w:t>
      </w:r>
      <w:r w:rsidR="00E66B89">
        <w:rPr>
          <w:rFonts w:cs="Calibri"/>
          <w:szCs w:val="20"/>
        </w:rPr>
        <w:t xml:space="preserve"> w </w:t>
      </w:r>
      <w:r w:rsidRPr="00404DA5">
        <w:rPr>
          <w:rFonts w:cs="Calibri"/>
          <w:szCs w:val="20"/>
        </w:rPr>
        <w:t>regionie posiadało szerokopasmowy dostęp do Internetu</w:t>
      </w:r>
      <w:r w:rsidR="00E66B89">
        <w:rPr>
          <w:rFonts w:cs="Calibri"/>
          <w:szCs w:val="20"/>
        </w:rPr>
        <w:t xml:space="preserve"> w </w:t>
      </w:r>
      <w:r w:rsidRPr="00404DA5">
        <w:rPr>
          <w:rFonts w:cs="Calibri"/>
          <w:szCs w:val="20"/>
        </w:rPr>
        <w:t>domu (średnia dla Polski wyniosła 78%) – dla porównania,</w:t>
      </w:r>
      <w:r w:rsidR="00E66B89">
        <w:rPr>
          <w:rFonts w:cs="Calibri"/>
          <w:szCs w:val="20"/>
        </w:rPr>
        <w:t xml:space="preserve"> w </w:t>
      </w:r>
      <w:r w:rsidRPr="00404DA5">
        <w:rPr>
          <w:rFonts w:cs="Calibri"/>
          <w:szCs w:val="20"/>
        </w:rPr>
        <w:t>roku 2014 było to 66% (Polska – 71%). Dostęp do Internetu jest znacznie bardziej powszechny wśród przedsiębiorców. Również</w:t>
      </w:r>
      <w:r w:rsidR="00E66B89">
        <w:rPr>
          <w:rFonts w:cs="Calibri"/>
          <w:szCs w:val="20"/>
        </w:rPr>
        <w:t xml:space="preserve"> w </w:t>
      </w:r>
      <w:r w:rsidRPr="00404DA5">
        <w:rPr>
          <w:rFonts w:cs="Calibri"/>
          <w:szCs w:val="20"/>
        </w:rPr>
        <w:t>tym zakresie region plasuje się powyżej średniej.</w:t>
      </w:r>
    </w:p>
    <w:p w14:paraId="7A389139" w14:textId="77777777" w:rsidR="00116CFB" w:rsidRPr="00801DB4" w:rsidRDefault="00116CFB" w:rsidP="00AF481E">
      <w:pPr>
        <w:pStyle w:val="Legenda"/>
        <w:spacing w:after="0"/>
      </w:pPr>
      <w:bookmarkStart w:id="334" w:name="_Toc5311899"/>
      <w:r w:rsidRPr="00801DB4">
        <w:t xml:space="preserve">Wykres </w:t>
      </w:r>
      <w:r>
        <w:fldChar w:fldCharType="begin"/>
      </w:r>
      <w:r>
        <w:instrText xml:space="preserve"> SEQ Wykres \* ARABIC </w:instrText>
      </w:r>
      <w:r>
        <w:fldChar w:fldCharType="separate"/>
      </w:r>
      <w:r w:rsidR="00763345">
        <w:rPr>
          <w:noProof/>
        </w:rPr>
        <w:t>34</w:t>
      </w:r>
      <w:r>
        <w:fldChar w:fldCharType="end"/>
      </w:r>
      <w:r w:rsidRPr="00801DB4">
        <w:t xml:space="preserve"> Odsetek przedsiębiorstw posiadających dostęp do Internetu szerokopasmowego</w:t>
      </w:r>
      <w:r w:rsidR="00E66B89">
        <w:t xml:space="preserve"> w </w:t>
      </w:r>
      <w:r w:rsidRPr="00801DB4">
        <w:t>latach 2012-2017</w:t>
      </w:r>
      <w:r>
        <w:t xml:space="preserve"> –</w:t>
      </w:r>
      <w:r w:rsidR="00E66B89">
        <w:t xml:space="preserve"> w </w:t>
      </w:r>
      <w:r>
        <w:t>Polsce</w:t>
      </w:r>
      <w:r w:rsidR="00E66B89">
        <w:t xml:space="preserve"> i </w:t>
      </w:r>
      <w:r>
        <w:t>województwie zachodniopomorskim</w:t>
      </w:r>
      <w:bookmarkEnd w:id="334"/>
      <w:r>
        <w:t xml:space="preserve"> </w:t>
      </w:r>
    </w:p>
    <w:p w14:paraId="67282D0B" w14:textId="7106B8DF" w:rsidR="00116CFB" w:rsidRPr="00404DA5" w:rsidRDefault="00C35619" w:rsidP="004F028D">
      <w:pPr>
        <w:spacing w:before="0" w:after="0"/>
        <w:rPr>
          <w:rFonts w:cs="Calibri"/>
          <w:szCs w:val="20"/>
        </w:rPr>
      </w:pPr>
      <w:r w:rsidRPr="005F04FC">
        <w:rPr>
          <w:noProof/>
          <w:szCs w:val="20"/>
        </w:rPr>
        <w:drawing>
          <wp:inline distT="0" distB="0" distL="0" distR="0" wp14:anchorId="63166E07" wp14:editId="1F50923C">
            <wp:extent cx="5587365" cy="1310005"/>
            <wp:effectExtent l="0" t="0" r="13335" b="4445"/>
            <wp:docPr id="5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54EA39" w14:textId="77777777" w:rsidR="00116CFB" w:rsidRPr="00D21299" w:rsidRDefault="00116CFB" w:rsidP="001245CE">
      <w:pPr>
        <w:spacing w:before="0"/>
        <w:rPr>
          <w:i/>
          <w:sz w:val="18"/>
          <w:szCs w:val="20"/>
        </w:rPr>
      </w:pPr>
      <w:r w:rsidRPr="00D21299">
        <w:rPr>
          <w:i/>
          <w:sz w:val="18"/>
          <w:szCs w:val="20"/>
        </w:rPr>
        <w:t>Źródło: dane GUS, STRATEG.</w:t>
      </w:r>
    </w:p>
    <w:p w14:paraId="53AA3D69" w14:textId="77777777" w:rsidR="00116CFB" w:rsidRPr="00801DB4" w:rsidRDefault="00116CFB" w:rsidP="00116CFB">
      <w:pPr>
        <w:rPr>
          <w:rFonts w:cs="Calibri"/>
          <w:color w:val="000000"/>
          <w:szCs w:val="20"/>
        </w:rPr>
      </w:pPr>
      <w:r w:rsidRPr="00801DB4">
        <w:rPr>
          <w:rFonts w:cs="Calibri"/>
          <w:color w:val="000000"/>
          <w:szCs w:val="20"/>
        </w:rPr>
        <w:t>Rosnący odsetek gospodarstw domowych oraz przedsiębiorstw posiadających dostęp do Internetu, stopniowo wzrastająca liczba przedsiębiorstw posiadających strony www oraz otrzymujących</w:t>
      </w:r>
      <w:r w:rsidR="00E66B89">
        <w:rPr>
          <w:rFonts w:cs="Calibri"/>
          <w:color w:val="000000"/>
          <w:szCs w:val="20"/>
        </w:rPr>
        <w:t xml:space="preserve"> i </w:t>
      </w:r>
      <w:r w:rsidRPr="00801DB4">
        <w:rPr>
          <w:rFonts w:cs="Calibri"/>
          <w:color w:val="000000"/>
          <w:szCs w:val="20"/>
        </w:rPr>
        <w:t>składających zamówienia online są</w:t>
      </w:r>
      <w:r w:rsidR="00E66B89">
        <w:rPr>
          <w:rFonts w:cs="Calibri"/>
          <w:color w:val="000000"/>
          <w:szCs w:val="20"/>
        </w:rPr>
        <w:t xml:space="preserve"> z </w:t>
      </w:r>
      <w:r w:rsidRPr="00801DB4">
        <w:rPr>
          <w:rFonts w:cs="Calibri"/>
          <w:color w:val="000000"/>
          <w:szCs w:val="20"/>
        </w:rPr>
        <w:t xml:space="preserve">pewnością dobrą podstawą do rozwijania e-usług publicznych. </w:t>
      </w:r>
    </w:p>
    <w:p w14:paraId="4502C188" w14:textId="77777777" w:rsidR="00116CFB" w:rsidRPr="00801DB4" w:rsidRDefault="00116CFB" w:rsidP="00116CFB">
      <w:pPr>
        <w:rPr>
          <w:rFonts w:cs="Calibri"/>
          <w:color w:val="000000"/>
          <w:szCs w:val="20"/>
        </w:rPr>
      </w:pPr>
      <w:r w:rsidRPr="00801DB4">
        <w:rPr>
          <w:rFonts w:cs="Calibri"/>
          <w:color w:val="000000"/>
          <w:szCs w:val="20"/>
        </w:rPr>
        <w:t>Wpływ na poziom korzystania</w:t>
      </w:r>
      <w:r w:rsidR="00E66B89">
        <w:rPr>
          <w:rFonts w:cs="Calibri"/>
          <w:color w:val="000000"/>
          <w:szCs w:val="20"/>
        </w:rPr>
        <w:t xml:space="preserve"> z </w:t>
      </w:r>
      <w:r w:rsidRPr="00801DB4">
        <w:rPr>
          <w:rFonts w:cs="Calibri"/>
          <w:color w:val="000000"/>
          <w:szCs w:val="20"/>
        </w:rPr>
        <w:t>Internetu (w tym na korzystanie</w:t>
      </w:r>
      <w:r w:rsidR="00E66B89">
        <w:rPr>
          <w:rFonts w:cs="Calibri"/>
          <w:color w:val="000000"/>
          <w:szCs w:val="20"/>
        </w:rPr>
        <w:t xml:space="preserve"> z </w:t>
      </w:r>
      <w:r w:rsidRPr="00801DB4">
        <w:rPr>
          <w:rFonts w:cs="Calibri"/>
          <w:color w:val="000000"/>
          <w:szCs w:val="20"/>
        </w:rPr>
        <w:t>e-usług) mają także kompetencje cyfrowe. Zgodnie</w:t>
      </w:r>
      <w:r w:rsidR="00E66B89">
        <w:rPr>
          <w:rFonts w:cs="Calibri"/>
          <w:color w:val="000000"/>
          <w:szCs w:val="20"/>
        </w:rPr>
        <w:t xml:space="preserve"> z </w:t>
      </w:r>
      <w:r w:rsidRPr="00801DB4">
        <w:rPr>
          <w:rFonts w:cs="Calibri"/>
          <w:color w:val="000000"/>
          <w:szCs w:val="20"/>
        </w:rPr>
        <w:t>danymi STRATEG, województwo zachodniopomorskie zajmowało</w:t>
      </w:r>
      <w:r w:rsidR="00E66B89">
        <w:rPr>
          <w:rFonts w:cs="Calibri"/>
          <w:color w:val="000000"/>
          <w:szCs w:val="20"/>
        </w:rPr>
        <w:t xml:space="preserve"> w </w:t>
      </w:r>
      <w:r w:rsidRPr="00801DB4">
        <w:rPr>
          <w:rFonts w:cs="Calibri"/>
          <w:color w:val="000000"/>
          <w:szCs w:val="20"/>
        </w:rPr>
        <w:t>201</w:t>
      </w:r>
      <w:r>
        <w:rPr>
          <w:rFonts w:cs="Calibri"/>
          <w:color w:val="000000"/>
          <w:szCs w:val="20"/>
        </w:rPr>
        <w:t>8</w:t>
      </w:r>
      <w:r w:rsidRPr="00801DB4">
        <w:rPr>
          <w:rFonts w:cs="Calibri"/>
          <w:color w:val="000000"/>
          <w:szCs w:val="20"/>
        </w:rPr>
        <w:t xml:space="preserve"> roku </w:t>
      </w:r>
      <w:r>
        <w:rPr>
          <w:rFonts w:cs="Calibri"/>
          <w:color w:val="000000"/>
          <w:szCs w:val="20"/>
        </w:rPr>
        <w:t>3</w:t>
      </w:r>
      <w:r w:rsidRPr="00801DB4">
        <w:rPr>
          <w:rFonts w:cs="Calibri"/>
          <w:color w:val="000000"/>
          <w:szCs w:val="20"/>
        </w:rPr>
        <w:t xml:space="preserve"> pozycję pod względem odsetka osób posiadających podstawowe lub ponadpodstawowe umiejętności cyfrowe – wartość wskaźnika wynosiła bowiem </w:t>
      </w:r>
      <w:r>
        <w:rPr>
          <w:rFonts w:cs="Calibri"/>
          <w:color w:val="000000"/>
          <w:szCs w:val="20"/>
        </w:rPr>
        <w:t>47,3</w:t>
      </w:r>
      <w:r w:rsidRPr="00801DB4">
        <w:rPr>
          <w:rFonts w:cs="Calibri"/>
          <w:color w:val="000000"/>
          <w:szCs w:val="20"/>
        </w:rPr>
        <w:t xml:space="preserve">%. </w:t>
      </w:r>
    </w:p>
    <w:p w14:paraId="15C756D3" w14:textId="77777777" w:rsidR="00116CFB" w:rsidRPr="00801DB4" w:rsidRDefault="00116CFB" w:rsidP="00AF481E">
      <w:pPr>
        <w:pStyle w:val="Legenda"/>
        <w:spacing w:after="0"/>
      </w:pPr>
      <w:bookmarkStart w:id="335" w:name="_Toc5311900"/>
      <w:r w:rsidRPr="00801DB4">
        <w:t xml:space="preserve">Wykres </w:t>
      </w:r>
      <w:r>
        <w:fldChar w:fldCharType="begin"/>
      </w:r>
      <w:r>
        <w:instrText xml:space="preserve"> SEQ Wykres \* ARABIC </w:instrText>
      </w:r>
      <w:r>
        <w:fldChar w:fldCharType="separate"/>
      </w:r>
      <w:r w:rsidR="00763345">
        <w:rPr>
          <w:noProof/>
        </w:rPr>
        <w:t>35</w:t>
      </w:r>
      <w:r>
        <w:fldChar w:fldCharType="end"/>
      </w:r>
      <w:r w:rsidRPr="00801DB4">
        <w:t xml:space="preserve"> Odsetek osób posiadających podstawowe lub ponadpodstawowe umiejętności cyfrowe</w:t>
      </w:r>
      <w:r w:rsidR="00E66B89">
        <w:t xml:space="preserve"> w </w:t>
      </w:r>
      <w:r w:rsidRPr="00801DB4">
        <w:t>latach 2015-201</w:t>
      </w:r>
      <w:r>
        <w:t>8 –</w:t>
      </w:r>
      <w:r w:rsidR="00E66B89">
        <w:t xml:space="preserve"> w </w:t>
      </w:r>
      <w:r>
        <w:t>Polsce</w:t>
      </w:r>
      <w:r w:rsidR="00E66B89">
        <w:t xml:space="preserve"> i </w:t>
      </w:r>
      <w:r>
        <w:t>województwie zachodniopomorskim</w:t>
      </w:r>
      <w:bookmarkEnd w:id="335"/>
      <w:r>
        <w:t xml:space="preserve"> </w:t>
      </w:r>
    </w:p>
    <w:p w14:paraId="1B5A9D05" w14:textId="4B0C72CB" w:rsidR="00116CFB" w:rsidRPr="00801DB4" w:rsidRDefault="00C35619" w:rsidP="004F028D">
      <w:pPr>
        <w:spacing w:before="0" w:after="0"/>
        <w:rPr>
          <w:rFonts w:cs="Calibri"/>
          <w:color w:val="000000"/>
          <w:szCs w:val="20"/>
        </w:rPr>
      </w:pPr>
      <w:r w:rsidRPr="00D508B6">
        <w:rPr>
          <w:noProof/>
        </w:rPr>
        <w:drawing>
          <wp:inline distT="0" distB="0" distL="0" distR="0" wp14:anchorId="6E87DD6E" wp14:editId="2811B9AA">
            <wp:extent cx="5709920" cy="1607185"/>
            <wp:effectExtent l="0" t="0" r="5080" b="12065"/>
            <wp:docPr id="5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467D6A" w14:textId="77777777" w:rsidR="00116CFB" w:rsidRPr="00D21299" w:rsidRDefault="00116CFB" w:rsidP="001245CE">
      <w:pPr>
        <w:spacing w:before="0"/>
        <w:rPr>
          <w:i/>
          <w:sz w:val="18"/>
          <w:szCs w:val="20"/>
        </w:rPr>
      </w:pPr>
      <w:r w:rsidRPr="00D21299">
        <w:rPr>
          <w:i/>
          <w:sz w:val="18"/>
          <w:szCs w:val="20"/>
        </w:rPr>
        <w:t>Źródło: dane GUS, STRATEG.</w:t>
      </w:r>
    </w:p>
    <w:p w14:paraId="714638FA" w14:textId="77777777" w:rsidR="00116CFB" w:rsidRPr="00801DB4" w:rsidRDefault="00116CFB" w:rsidP="00116CFB">
      <w:pPr>
        <w:rPr>
          <w:rFonts w:cs="Calibri"/>
          <w:color w:val="000000"/>
          <w:szCs w:val="20"/>
        </w:rPr>
      </w:pPr>
      <w:r w:rsidRPr="00801DB4">
        <w:rPr>
          <w:rFonts w:cs="Calibri"/>
          <w:color w:val="000000"/>
          <w:szCs w:val="20"/>
        </w:rPr>
        <w:t>Poza omówionymi wyżej kwestiami związanymi</w:t>
      </w:r>
      <w:r w:rsidR="00E66B89">
        <w:rPr>
          <w:rFonts w:cs="Calibri"/>
          <w:color w:val="000000"/>
          <w:szCs w:val="20"/>
        </w:rPr>
        <w:t xml:space="preserve"> z </w:t>
      </w:r>
      <w:r w:rsidRPr="00801DB4">
        <w:rPr>
          <w:rFonts w:cs="Calibri"/>
          <w:color w:val="000000"/>
          <w:szCs w:val="20"/>
        </w:rPr>
        <w:t>infrastrukturą oraz poziomem kompetencji cyfrowych, istotne są także dane dotyczące podaży</w:t>
      </w:r>
      <w:r w:rsidR="00E66B89">
        <w:rPr>
          <w:rFonts w:cs="Calibri"/>
          <w:color w:val="000000"/>
          <w:szCs w:val="20"/>
        </w:rPr>
        <w:t xml:space="preserve"> i </w:t>
      </w:r>
      <w:r w:rsidRPr="00801DB4">
        <w:rPr>
          <w:rFonts w:cs="Calibri"/>
          <w:color w:val="000000"/>
          <w:szCs w:val="20"/>
        </w:rPr>
        <w:t>popytu na e-usługi. By ocenić potrzeby</w:t>
      </w:r>
      <w:r w:rsidR="00E66B89">
        <w:rPr>
          <w:rFonts w:cs="Calibri"/>
          <w:color w:val="000000"/>
          <w:szCs w:val="20"/>
        </w:rPr>
        <w:t xml:space="preserve"> w </w:t>
      </w:r>
      <w:r w:rsidRPr="00801DB4">
        <w:rPr>
          <w:rFonts w:cs="Calibri"/>
          <w:color w:val="000000"/>
          <w:szCs w:val="20"/>
        </w:rPr>
        <w:t xml:space="preserve">zakresie podaży e-usług, zwrócono uwagę na dane nt. odsetka urzędów administracji publicznej udostępniających usługi </w:t>
      </w:r>
      <w:r w:rsidRPr="00801DB4">
        <w:rPr>
          <w:rFonts w:cs="Calibri"/>
          <w:color w:val="000000"/>
          <w:szCs w:val="20"/>
        </w:rPr>
        <w:lastRenderedPageBreak/>
        <w:t>elektroniczne inne niż oparte</w:t>
      </w:r>
      <w:r w:rsidR="00E66B89">
        <w:rPr>
          <w:rFonts w:cs="Calibri"/>
          <w:color w:val="000000"/>
          <w:szCs w:val="20"/>
        </w:rPr>
        <w:t xml:space="preserve"> o </w:t>
      </w:r>
      <w:r w:rsidRPr="00801DB4">
        <w:rPr>
          <w:rFonts w:cs="Calibri"/>
          <w:color w:val="000000"/>
          <w:szCs w:val="20"/>
        </w:rPr>
        <w:t>tzw. wzór pisma ogólnego</w:t>
      </w:r>
      <w:r w:rsidRPr="00801DB4">
        <w:rPr>
          <w:rStyle w:val="Odwoanieprzypisudolnego"/>
          <w:rFonts w:cs="Calibri"/>
          <w:color w:val="000000"/>
          <w:szCs w:val="20"/>
        </w:rPr>
        <w:footnoteReference w:id="129"/>
      </w:r>
      <w:r w:rsidRPr="00801DB4">
        <w:rPr>
          <w:rFonts w:cs="Calibri"/>
          <w:color w:val="000000"/>
          <w:szCs w:val="20"/>
        </w:rPr>
        <w:t>.</w:t>
      </w:r>
      <w:r w:rsidR="00E66B89">
        <w:rPr>
          <w:rFonts w:cs="Calibri"/>
          <w:color w:val="000000"/>
          <w:szCs w:val="20"/>
        </w:rPr>
        <w:t xml:space="preserve"> W </w:t>
      </w:r>
      <w:r w:rsidRPr="00801DB4">
        <w:rPr>
          <w:rFonts w:cs="Calibri"/>
          <w:color w:val="000000"/>
          <w:szCs w:val="20"/>
        </w:rPr>
        <w:t>roku 2015, ponad połowa (51%) urzędów</w:t>
      </w:r>
      <w:r w:rsidR="00E66B89">
        <w:rPr>
          <w:rFonts w:cs="Calibri"/>
          <w:color w:val="000000"/>
          <w:szCs w:val="20"/>
        </w:rPr>
        <w:t xml:space="preserve"> w </w:t>
      </w:r>
      <w:r w:rsidRPr="00801DB4">
        <w:rPr>
          <w:rFonts w:cs="Calibri"/>
          <w:color w:val="000000"/>
          <w:szCs w:val="20"/>
        </w:rPr>
        <w:t>Polsce (zarówno samorządowych jak</w:t>
      </w:r>
      <w:r w:rsidR="00E66B89">
        <w:rPr>
          <w:rFonts w:cs="Calibri"/>
          <w:color w:val="000000"/>
          <w:szCs w:val="20"/>
        </w:rPr>
        <w:t xml:space="preserve"> i </w:t>
      </w:r>
      <w:r w:rsidRPr="00801DB4">
        <w:rPr>
          <w:rFonts w:cs="Calibri"/>
          <w:color w:val="000000"/>
          <w:szCs w:val="20"/>
        </w:rPr>
        <w:t>rządowych) udostępniała e-usługi.</w:t>
      </w:r>
      <w:r w:rsidR="00E66B89">
        <w:rPr>
          <w:rFonts w:cs="Calibri"/>
          <w:color w:val="000000"/>
          <w:szCs w:val="20"/>
        </w:rPr>
        <w:t xml:space="preserve"> W </w:t>
      </w:r>
      <w:r w:rsidRPr="00801DB4">
        <w:rPr>
          <w:rFonts w:cs="Calibri"/>
          <w:color w:val="000000"/>
          <w:szCs w:val="20"/>
        </w:rPr>
        <w:t>regionie zachodniopomorskim odsetek ten wynosił,</w:t>
      </w:r>
      <w:r w:rsidR="00E66B89">
        <w:rPr>
          <w:rFonts w:cs="Calibri"/>
          <w:color w:val="000000"/>
          <w:szCs w:val="20"/>
        </w:rPr>
        <w:t xml:space="preserve"> w </w:t>
      </w:r>
      <w:r w:rsidRPr="00801DB4">
        <w:rPr>
          <w:rFonts w:cs="Calibri"/>
          <w:color w:val="000000"/>
          <w:szCs w:val="20"/>
        </w:rPr>
        <w:t>2015 roku, 47%, podczas gdy 3 lata wcześniej było to 39%.</w:t>
      </w:r>
      <w:r>
        <w:rPr>
          <w:rFonts w:cs="Calibri"/>
          <w:color w:val="000000"/>
          <w:szCs w:val="20"/>
        </w:rPr>
        <w:t xml:space="preserve"> Warto wspomnieć również</w:t>
      </w:r>
      <w:r w:rsidR="00E66B89">
        <w:rPr>
          <w:rFonts w:cs="Calibri"/>
          <w:color w:val="000000"/>
          <w:szCs w:val="20"/>
        </w:rPr>
        <w:t xml:space="preserve"> o </w:t>
      </w:r>
      <w:r>
        <w:rPr>
          <w:rFonts w:cs="Calibri"/>
          <w:color w:val="000000"/>
          <w:szCs w:val="20"/>
        </w:rPr>
        <w:t>poziomie udostępniania, przez jednostki administracji publicznej, aplikacji na urządzenia mobilne, które oferują konkretne e-usługi. Wedle danych GUS,</w:t>
      </w:r>
      <w:r w:rsidR="00E66B89">
        <w:rPr>
          <w:rFonts w:cs="Calibri"/>
          <w:color w:val="000000"/>
          <w:szCs w:val="20"/>
        </w:rPr>
        <w:t xml:space="preserve"> w </w:t>
      </w:r>
      <w:r>
        <w:rPr>
          <w:rFonts w:cs="Calibri"/>
          <w:color w:val="000000"/>
          <w:szCs w:val="20"/>
        </w:rPr>
        <w:t>2017 roku 14,8% jednostek administracji publicznej</w:t>
      </w:r>
      <w:r w:rsidR="00E66B89">
        <w:rPr>
          <w:rFonts w:cs="Calibri"/>
          <w:color w:val="000000"/>
          <w:szCs w:val="20"/>
        </w:rPr>
        <w:t xml:space="preserve"> w </w:t>
      </w:r>
      <w:r>
        <w:rPr>
          <w:rFonts w:cs="Calibri"/>
          <w:color w:val="000000"/>
          <w:szCs w:val="20"/>
        </w:rPr>
        <w:t>regionie udostępniało takie aplikacje (średnia dla kraju wynosiła wówczas 11,3%).</w:t>
      </w:r>
      <w:r w:rsidR="00E66B89">
        <w:rPr>
          <w:rFonts w:cs="Calibri"/>
          <w:color w:val="000000"/>
          <w:szCs w:val="20"/>
        </w:rPr>
        <w:t xml:space="preserve"> W </w:t>
      </w:r>
      <w:r>
        <w:rPr>
          <w:rFonts w:cs="Calibri"/>
          <w:color w:val="000000"/>
          <w:szCs w:val="20"/>
        </w:rPr>
        <w:t>tym obszarze widać wyraźny wzrost</w:t>
      </w:r>
      <w:r w:rsidR="00E66B89">
        <w:rPr>
          <w:rFonts w:cs="Calibri"/>
          <w:color w:val="000000"/>
          <w:szCs w:val="20"/>
        </w:rPr>
        <w:t xml:space="preserve"> w </w:t>
      </w:r>
      <w:r>
        <w:rPr>
          <w:rFonts w:cs="Calibri"/>
          <w:color w:val="000000"/>
          <w:szCs w:val="20"/>
        </w:rPr>
        <w:t>regionie rok do roku – dla porównania,</w:t>
      </w:r>
      <w:r w:rsidR="00E66B89">
        <w:rPr>
          <w:rFonts w:cs="Calibri"/>
          <w:color w:val="000000"/>
          <w:szCs w:val="20"/>
        </w:rPr>
        <w:t xml:space="preserve"> w </w:t>
      </w:r>
      <w:r>
        <w:rPr>
          <w:rFonts w:cs="Calibri"/>
          <w:color w:val="000000"/>
          <w:szCs w:val="20"/>
        </w:rPr>
        <w:t>roku 2016 wartość wskaźnika wynosiła 11,3%. Dla rozwoju e-administracji (w tym e-usług) istotne jest także korzystanie przez urzędy</w:t>
      </w:r>
      <w:r w:rsidR="00E66B89">
        <w:rPr>
          <w:rFonts w:cs="Calibri"/>
          <w:color w:val="000000"/>
          <w:szCs w:val="20"/>
        </w:rPr>
        <w:t xml:space="preserve"> z </w:t>
      </w:r>
      <w:r>
        <w:rPr>
          <w:rFonts w:cs="Calibri"/>
          <w:color w:val="000000"/>
          <w:szCs w:val="20"/>
        </w:rPr>
        <w:t xml:space="preserve">Elektronicznego Zarządzania Dokumentacją (EZD) </w:t>
      </w:r>
      <w:r w:rsidRPr="0067115D">
        <w:rPr>
          <w:rFonts w:cs="Calibri"/>
          <w:color w:val="000000"/>
          <w:szCs w:val="20"/>
        </w:rPr>
        <w:t>jako podstawowego sposobu dokumentowania</w:t>
      </w:r>
      <w:r>
        <w:rPr>
          <w:rFonts w:cs="Calibri"/>
          <w:color w:val="000000"/>
          <w:szCs w:val="20"/>
        </w:rPr>
        <w:t xml:space="preserve"> </w:t>
      </w:r>
      <w:r w:rsidRPr="0067115D">
        <w:rPr>
          <w:rFonts w:cs="Calibri"/>
          <w:color w:val="000000"/>
          <w:szCs w:val="20"/>
        </w:rPr>
        <w:t>przebiegu załatwiania</w:t>
      </w:r>
      <w:r w:rsidR="00E66B89">
        <w:rPr>
          <w:rFonts w:cs="Calibri"/>
          <w:color w:val="000000"/>
          <w:szCs w:val="20"/>
        </w:rPr>
        <w:t xml:space="preserve"> i </w:t>
      </w:r>
      <w:r w:rsidRPr="0067115D">
        <w:rPr>
          <w:rFonts w:cs="Calibri"/>
          <w:color w:val="000000"/>
          <w:szCs w:val="20"/>
        </w:rPr>
        <w:t>rozstrzygania spraw</w:t>
      </w:r>
      <w:r>
        <w:rPr>
          <w:rFonts w:cs="Calibri"/>
          <w:color w:val="000000"/>
          <w:szCs w:val="20"/>
        </w:rPr>
        <w:t>.</w:t>
      </w:r>
      <w:r w:rsidR="00E66B89">
        <w:rPr>
          <w:rFonts w:cs="Calibri"/>
          <w:color w:val="000000"/>
          <w:szCs w:val="20"/>
        </w:rPr>
        <w:t xml:space="preserve"> W </w:t>
      </w:r>
      <w:r>
        <w:rPr>
          <w:rFonts w:cs="Calibri"/>
          <w:color w:val="000000"/>
          <w:szCs w:val="20"/>
        </w:rPr>
        <w:t>2017 roku, 57,4% jednostek administracji publicznej</w:t>
      </w:r>
      <w:r w:rsidR="00E66B89">
        <w:rPr>
          <w:rFonts w:cs="Calibri"/>
          <w:color w:val="000000"/>
          <w:szCs w:val="20"/>
        </w:rPr>
        <w:t xml:space="preserve"> w </w:t>
      </w:r>
      <w:r>
        <w:rPr>
          <w:rFonts w:cs="Calibri"/>
          <w:color w:val="000000"/>
          <w:szCs w:val="20"/>
        </w:rPr>
        <w:t>regionie korzystało</w:t>
      </w:r>
      <w:r w:rsidR="00E66B89">
        <w:rPr>
          <w:rFonts w:cs="Calibri"/>
          <w:color w:val="000000"/>
          <w:szCs w:val="20"/>
        </w:rPr>
        <w:t xml:space="preserve"> z </w:t>
      </w:r>
      <w:r>
        <w:rPr>
          <w:rFonts w:cs="Calibri"/>
          <w:color w:val="000000"/>
          <w:szCs w:val="20"/>
        </w:rPr>
        <w:t>EZD (średnia dla Polski wynosiła wówczas 59,4%)</w:t>
      </w:r>
      <w:r>
        <w:rPr>
          <w:rStyle w:val="Odwoanieprzypisudolnego"/>
          <w:rFonts w:cs="Calibri"/>
          <w:color w:val="000000"/>
          <w:szCs w:val="20"/>
        </w:rPr>
        <w:footnoteReference w:id="130"/>
      </w:r>
      <w:r>
        <w:rPr>
          <w:rFonts w:cs="Calibri"/>
          <w:color w:val="000000"/>
          <w:szCs w:val="20"/>
        </w:rPr>
        <w:t>. Zgodnie</w:t>
      </w:r>
      <w:r w:rsidR="00E66B89">
        <w:rPr>
          <w:rFonts w:cs="Calibri"/>
          <w:color w:val="000000"/>
          <w:szCs w:val="20"/>
        </w:rPr>
        <w:t xml:space="preserve"> z </w:t>
      </w:r>
      <w:r>
        <w:rPr>
          <w:rFonts w:cs="Calibri"/>
          <w:color w:val="000000"/>
          <w:szCs w:val="20"/>
        </w:rPr>
        <w:t xml:space="preserve">zapisami Umowy Partnerstwa, celem PI 2c powinno być także udostępnianie </w:t>
      </w:r>
      <w:r w:rsidRPr="0071579C">
        <w:rPr>
          <w:rFonts w:cs="Calibri"/>
          <w:color w:val="000000"/>
          <w:szCs w:val="20"/>
        </w:rPr>
        <w:t>informacji sektora publicznego oraz zasobów nauki</w:t>
      </w:r>
      <w:r w:rsidR="00E66B89">
        <w:rPr>
          <w:rFonts w:cs="Calibri"/>
          <w:color w:val="000000"/>
          <w:szCs w:val="20"/>
        </w:rPr>
        <w:t xml:space="preserve"> i </w:t>
      </w:r>
      <w:r w:rsidRPr="0071579C">
        <w:rPr>
          <w:rFonts w:cs="Calibri"/>
          <w:color w:val="000000"/>
          <w:szCs w:val="20"/>
        </w:rPr>
        <w:t>kultury</w:t>
      </w:r>
      <w:r w:rsidR="00E66B89">
        <w:rPr>
          <w:rFonts w:cs="Calibri"/>
          <w:color w:val="000000"/>
          <w:szCs w:val="20"/>
        </w:rPr>
        <w:t xml:space="preserve"> w </w:t>
      </w:r>
      <w:r w:rsidRPr="0071579C">
        <w:rPr>
          <w:rFonts w:cs="Calibri"/>
          <w:color w:val="000000"/>
          <w:szCs w:val="20"/>
        </w:rPr>
        <w:t>celu umożliwienia wytworzenia na ich podstawie nowych usług cyfrowych przez podmioty spoza sektora publicznego</w:t>
      </w:r>
      <w:r>
        <w:rPr>
          <w:rFonts w:cs="Calibri"/>
          <w:color w:val="000000"/>
          <w:szCs w:val="20"/>
        </w:rPr>
        <w:t>. Cel ten może być pośrednio mierzony wskaźnikiem odnoszącym się do odsetka j</w:t>
      </w:r>
      <w:r w:rsidRPr="00210AE2">
        <w:rPr>
          <w:rFonts w:cs="Calibri"/>
          <w:color w:val="000000"/>
          <w:szCs w:val="20"/>
        </w:rPr>
        <w:t>ednost</w:t>
      </w:r>
      <w:r>
        <w:rPr>
          <w:rFonts w:cs="Calibri"/>
          <w:color w:val="000000"/>
          <w:szCs w:val="20"/>
        </w:rPr>
        <w:t>ek</w:t>
      </w:r>
      <w:r w:rsidRPr="00210AE2">
        <w:rPr>
          <w:rFonts w:cs="Calibri"/>
          <w:color w:val="000000"/>
          <w:szCs w:val="20"/>
        </w:rPr>
        <w:t xml:space="preserve"> administracji publicznej posiadając</w:t>
      </w:r>
      <w:r>
        <w:rPr>
          <w:rFonts w:cs="Calibri"/>
          <w:color w:val="000000"/>
          <w:szCs w:val="20"/>
        </w:rPr>
        <w:t>ych</w:t>
      </w:r>
      <w:r w:rsidRPr="00210AE2">
        <w:rPr>
          <w:rFonts w:cs="Calibri"/>
          <w:color w:val="000000"/>
          <w:szCs w:val="20"/>
        </w:rPr>
        <w:t xml:space="preserve"> politykę lub strategię Open Data</w:t>
      </w:r>
      <w:r>
        <w:rPr>
          <w:rStyle w:val="Odwoanieprzypisudolnego"/>
          <w:rFonts w:cs="Calibri"/>
          <w:color w:val="000000"/>
          <w:szCs w:val="20"/>
        </w:rPr>
        <w:footnoteReference w:id="131"/>
      </w:r>
      <w:r>
        <w:rPr>
          <w:rFonts w:cs="Calibri"/>
          <w:color w:val="000000"/>
          <w:szCs w:val="20"/>
        </w:rPr>
        <w:t>. Wedle danych GUS,</w:t>
      </w:r>
      <w:r w:rsidR="00E66B89">
        <w:rPr>
          <w:rFonts w:cs="Calibri"/>
          <w:color w:val="000000"/>
          <w:szCs w:val="20"/>
        </w:rPr>
        <w:t xml:space="preserve"> w </w:t>
      </w:r>
      <w:r>
        <w:rPr>
          <w:rFonts w:cs="Calibri"/>
          <w:color w:val="000000"/>
          <w:szCs w:val="20"/>
        </w:rPr>
        <w:t>2017 roku, 5,2% jednostek administracji publicznej</w:t>
      </w:r>
      <w:r w:rsidR="00E66B89">
        <w:rPr>
          <w:rFonts w:cs="Calibri"/>
          <w:color w:val="000000"/>
          <w:szCs w:val="20"/>
        </w:rPr>
        <w:t xml:space="preserve"> w </w:t>
      </w:r>
      <w:r>
        <w:rPr>
          <w:rFonts w:cs="Calibri"/>
          <w:color w:val="000000"/>
          <w:szCs w:val="20"/>
        </w:rPr>
        <w:t>zachodniopomorskim posiadało taką politykę lub strategię (średnia dla kraju wynosiła wówczas 4,9%).</w:t>
      </w:r>
    </w:p>
    <w:p w14:paraId="2E04B732" w14:textId="77777777" w:rsidR="00116CFB" w:rsidRPr="00801DB4" w:rsidRDefault="00116CFB" w:rsidP="00116CFB">
      <w:pPr>
        <w:rPr>
          <w:rFonts w:cs="Calibri"/>
          <w:color w:val="000000"/>
          <w:szCs w:val="20"/>
        </w:rPr>
      </w:pPr>
      <w:r w:rsidRPr="00801DB4">
        <w:rPr>
          <w:rFonts w:cs="Calibri"/>
          <w:color w:val="000000"/>
          <w:szCs w:val="20"/>
        </w:rPr>
        <w:t>Dostęp do infrastruktury, posiadane kompetencje cyfrowe oraz podaż e-usług bezpośrednio przekłada się na poziom korzystania</w:t>
      </w:r>
      <w:r w:rsidR="00E66B89">
        <w:rPr>
          <w:rFonts w:cs="Calibri"/>
          <w:color w:val="000000"/>
          <w:szCs w:val="20"/>
        </w:rPr>
        <w:t xml:space="preserve"> z </w:t>
      </w:r>
      <w:r w:rsidRPr="00801DB4">
        <w:rPr>
          <w:rFonts w:cs="Calibri"/>
          <w:color w:val="000000"/>
          <w:szCs w:val="20"/>
        </w:rPr>
        <w:t>usług online. Jak pokazują poniższe dane,</w:t>
      </w:r>
      <w:r w:rsidR="00E66B89">
        <w:rPr>
          <w:rFonts w:cs="Calibri"/>
          <w:color w:val="000000"/>
          <w:szCs w:val="20"/>
        </w:rPr>
        <w:t xml:space="preserve"> w </w:t>
      </w:r>
      <w:r w:rsidRPr="00801DB4">
        <w:rPr>
          <w:rFonts w:cs="Calibri"/>
          <w:color w:val="000000"/>
          <w:szCs w:val="20"/>
        </w:rPr>
        <w:t>2018 roku odsetek mieszkańców regionu korzystających</w:t>
      </w:r>
      <w:r w:rsidR="00E66B89">
        <w:rPr>
          <w:rFonts w:cs="Calibri"/>
          <w:color w:val="000000"/>
          <w:szCs w:val="20"/>
        </w:rPr>
        <w:t xml:space="preserve"> z </w:t>
      </w:r>
      <w:r w:rsidRPr="00801DB4">
        <w:rPr>
          <w:rFonts w:cs="Calibri"/>
          <w:color w:val="000000"/>
          <w:szCs w:val="20"/>
        </w:rPr>
        <w:t xml:space="preserve">e-administracji wynosił 33,7% (co ciekawe wartość wskaźnika była </w:t>
      </w:r>
      <w:r>
        <w:rPr>
          <w:rFonts w:cs="Calibri"/>
          <w:color w:val="000000"/>
          <w:szCs w:val="20"/>
        </w:rPr>
        <w:t xml:space="preserve">nieznacznie </w:t>
      </w:r>
      <w:r w:rsidRPr="00801DB4">
        <w:rPr>
          <w:rFonts w:cs="Calibri"/>
          <w:color w:val="000000"/>
          <w:szCs w:val="20"/>
        </w:rPr>
        <w:t>niższa niż</w:t>
      </w:r>
      <w:r w:rsidR="00E66B89">
        <w:rPr>
          <w:rFonts w:cs="Calibri"/>
          <w:color w:val="000000"/>
          <w:szCs w:val="20"/>
        </w:rPr>
        <w:t xml:space="preserve"> w </w:t>
      </w:r>
      <w:r w:rsidRPr="00801DB4">
        <w:rPr>
          <w:rFonts w:cs="Calibri"/>
          <w:color w:val="000000"/>
          <w:szCs w:val="20"/>
        </w:rPr>
        <w:t>2017 roku</w:t>
      </w:r>
      <w:r>
        <w:rPr>
          <w:rStyle w:val="Odwoanieprzypisudolnego"/>
          <w:rFonts w:cs="Calibri"/>
          <w:color w:val="000000"/>
          <w:szCs w:val="20"/>
        </w:rPr>
        <w:footnoteReference w:id="132"/>
      </w:r>
      <w:r w:rsidRPr="00801DB4">
        <w:rPr>
          <w:rFonts w:cs="Calibri"/>
          <w:color w:val="000000"/>
          <w:szCs w:val="20"/>
        </w:rPr>
        <w:t>)</w:t>
      </w:r>
      <w:r>
        <w:rPr>
          <w:rFonts w:cs="Calibri"/>
          <w:color w:val="000000"/>
          <w:szCs w:val="20"/>
        </w:rPr>
        <w:t>.</w:t>
      </w:r>
      <w:r w:rsidRPr="00801DB4">
        <w:rPr>
          <w:rFonts w:cs="Calibri"/>
          <w:color w:val="000000"/>
          <w:szCs w:val="20"/>
        </w:rPr>
        <w:t xml:space="preserve"> </w:t>
      </w:r>
      <w:r>
        <w:rPr>
          <w:rFonts w:cs="Calibri"/>
          <w:color w:val="000000"/>
          <w:szCs w:val="20"/>
        </w:rPr>
        <w:t>Z</w:t>
      </w:r>
      <w:r w:rsidRPr="00801DB4">
        <w:rPr>
          <w:rFonts w:cs="Calibri"/>
          <w:color w:val="000000"/>
          <w:szCs w:val="20"/>
        </w:rPr>
        <w:t>decydowanie częściej</w:t>
      </w:r>
      <w:r w:rsidR="00E66B89">
        <w:rPr>
          <w:rFonts w:cs="Calibri"/>
          <w:color w:val="000000"/>
          <w:szCs w:val="20"/>
        </w:rPr>
        <w:t xml:space="preserve"> z </w:t>
      </w:r>
      <w:r w:rsidRPr="00801DB4">
        <w:rPr>
          <w:rFonts w:cs="Calibri"/>
          <w:color w:val="000000"/>
          <w:szCs w:val="20"/>
        </w:rPr>
        <w:t>e-administracji korzystają zaś przedsiębiorcy</w:t>
      </w:r>
      <w:r w:rsidR="00E66B89">
        <w:rPr>
          <w:rFonts w:cs="Calibri"/>
          <w:color w:val="000000"/>
          <w:szCs w:val="20"/>
        </w:rPr>
        <w:t xml:space="preserve"> w </w:t>
      </w:r>
      <w:r w:rsidRPr="00801DB4">
        <w:rPr>
          <w:rFonts w:cs="Calibri"/>
          <w:color w:val="000000"/>
          <w:szCs w:val="20"/>
        </w:rPr>
        <w:t>regionie – wg stanu na koniec 2017 roku, odsetek ten wynosił już 98,2% (region zajął wówczas 1 miejsce</w:t>
      </w:r>
      <w:r w:rsidR="00E66B89">
        <w:rPr>
          <w:rFonts w:cs="Calibri"/>
          <w:color w:val="000000"/>
          <w:szCs w:val="20"/>
        </w:rPr>
        <w:t xml:space="preserve"> w </w:t>
      </w:r>
      <w:r w:rsidRPr="00801DB4">
        <w:rPr>
          <w:rFonts w:cs="Calibri"/>
          <w:color w:val="000000"/>
          <w:szCs w:val="20"/>
        </w:rPr>
        <w:t>skali kraju).</w:t>
      </w:r>
    </w:p>
    <w:p w14:paraId="05F4D40E" w14:textId="77777777" w:rsidR="00116CFB" w:rsidRPr="00801DB4" w:rsidRDefault="00116CFB" w:rsidP="00AF481E">
      <w:pPr>
        <w:pStyle w:val="Legenda"/>
        <w:spacing w:after="0"/>
      </w:pPr>
      <w:bookmarkStart w:id="336" w:name="_Toc8824254"/>
      <w:r w:rsidRPr="00801DB4">
        <w:t xml:space="preserve">Tabela </w:t>
      </w:r>
      <w:r>
        <w:fldChar w:fldCharType="begin"/>
      </w:r>
      <w:r>
        <w:instrText xml:space="preserve"> SEQ Tabela \* ARABIC </w:instrText>
      </w:r>
      <w:r>
        <w:fldChar w:fldCharType="separate"/>
      </w:r>
      <w:r w:rsidR="00763345">
        <w:rPr>
          <w:noProof/>
        </w:rPr>
        <w:t>143</w:t>
      </w:r>
      <w:r>
        <w:fldChar w:fldCharType="end"/>
      </w:r>
      <w:r w:rsidRPr="00801DB4">
        <w:t xml:space="preserve"> Osoby korzystające</w:t>
      </w:r>
      <w:r w:rsidR="00E66B89">
        <w:t xml:space="preserve"> z </w:t>
      </w:r>
      <w:r w:rsidRPr="00801DB4">
        <w:t>usług administracji publicznej za pomocą Internetu</w:t>
      </w:r>
      <w:r w:rsidR="00E66B89">
        <w:t xml:space="preserve"> w </w:t>
      </w:r>
      <w:r w:rsidRPr="00801DB4">
        <w:t>ciągu ostatnich 12 miesięcy; Odsetek przedsiębiorstw korzystających</w:t>
      </w:r>
      <w:r w:rsidR="00E66B89">
        <w:t xml:space="preserve"> z </w:t>
      </w:r>
      <w:r w:rsidRPr="00801DB4">
        <w:t>Internetu</w:t>
      </w:r>
      <w:r w:rsidR="00E66B89">
        <w:t xml:space="preserve"> w </w:t>
      </w:r>
      <w:r w:rsidRPr="00801DB4">
        <w:t>kontaktach</w:t>
      </w:r>
      <w:r w:rsidR="00E66B89">
        <w:t xml:space="preserve"> z </w:t>
      </w:r>
      <w:r w:rsidRPr="00801DB4">
        <w:t>administracją publiczną</w:t>
      </w:r>
      <w:r w:rsidR="00E66B89">
        <w:t xml:space="preserve"> w </w:t>
      </w:r>
      <w:r w:rsidRPr="00801DB4">
        <w:t>celu odsyłania wypełnionych formularzy</w:t>
      </w:r>
      <w:r w:rsidR="00E66B89">
        <w:t xml:space="preserve"> w </w:t>
      </w:r>
      <w:r w:rsidRPr="00801DB4">
        <w:t>formie elektronicznej</w:t>
      </w:r>
      <w:r w:rsidR="00E66B89">
        <w:t xml:space="preserve"> w </w:t>
      </w:r>
      <w:r w:rsidRPr="00801DB4">
        <w:t>latach 2012-2017</w:t>
      </w:r>
      <w:r>
        <w:t>/2018 –</w:t>
      </w:r>
      <w:r w:rsidR="00E66B89">
        <w:t xml:space="preserve"> w </w:t>
      </w:r>
      <w:r>
        <w:t>Polsce</w:t>
      </w:r>
      <w:r w:rsidR="00E66B89">
        <w:t xml:space="preserve"> i </w:t>
      </w:r>
      <w:r>
        <w:t>województwie zachodniopomorskim</w:t>
      </w:r>
      <w:bookmarkEnd w:id="336"/>
    </w:p>
    <w:tbl>
      <w:tblPr>
        <w:tblW w:w="0" w:type="auto"/>
        <w:tblInd w:w="70" w:type="dxa"/>
        <w:tblCellMar>
          <w:left w:w="70" w:type="dxa"/>
          <w:right w:w="70" w:type="dxa"/>
        </w:tblCellMar>
        <w:tblLook w:val="04A0" w:firstRow="1" w:lastRow="0" w:firstColumn="1" w:lastColumn="0" w:noHBand="0" w:noVBand="1"/>
      </w:tblPr>
      <w:tblGrid>
        <w:gridCol w:w="3287"/>
        <w:gridCol w:w="1799"/>
        <w:gridCol w:w="558"/>
        <w:gridCol w:w="558"/>
        <w:gridCol w:w="558"/>
        <w:gridCol w:w="558"/>
        <w:gridCol w:w="558"/>
        <w:gridCol w:w="558"/>
        <w:gridCol w:w="558"/>
      </w:tblGrid>
      <w:tr w:rsidR="00116CFB" w:rsidRPr="00B2711F" w14:paraId="56BEA755" w14:textId="77777777" w:rsidTr="00C22C26">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1C77DD3A" w14:textId="77777777" w:rsidR="00116CFB" w:rsidRPr="00B2711F" w:rsidRDefault="00116CFB" w:rsidP="004742DC">
            <w:pPr>
              <w:rPr>
                <w:rFonts w:cs="Calibri"/>
                <w:color w:val="000000"/>
                <w:sz w:val="18"/>
                <w:szCs w:val="20"/>
              </w:rPr>
            </w:pPr>
            <w:r w:rsidRPr="00B2711F">
              <w:rPr>
                <w:rFonts w:cs="Calibri"/>
                <w:color w:val="000000"/>
                <w:sz w:val="18"/>
                <w:szCs w:val="20"/>
              </w:rPr>
              <w:t> </w:t>
            </w:r>
          </w:p>
        </w:tc>
        <w:tc>
          <w:tcPr>
            <w:tcW w:w="0" w:type="auto"/>
            <w:tcBorders>
              <w:top w:val="single" w:sz="4" w:space="0" w:color="auto"/>
              <w:left w:val="nil"/>
              <w:bottom w:val="single" w:sz="4" w:space="0" w:color="auto"/>
              <w:right w:val="single" w:sz="4" w:space="0" w:color="auto"/>
            </w:tcBorders>
            <w:shd w:val="clear" w:color="auto" w:fill="DBE5F1"/>
            <w:noWrap/>
            <w:vAlign w:val="bottom"/>
            <w:hideMark/>
          </w:tcPr>
          <w:p w14:paraId="3D6EC021" w14:textId="77777777" w:rsidR="00116CFB" w:rsidRPr="00B2711F" w:rsidRDefault="00116CFB" w:rsidP="004742DC">
            <w:pPr>
              <w:rPr>
                <w:rFonts w:cs="Calibri"/>
                <w:color w:val="000000"/>
                <w:sz w:val="18"/>
                <w:szCs w:val="20"/>
              </w:rPr>
            </w:pPr>
            <w:r w:rsidRPr="00B2711F">
              <w:rPr>
                <w:rFonts w:cs="Calibri"/>
                <w:color w:val="000000"/>
                <w:sz w:val="18"/>
                <w:szCs w:val="20"/>
              </w:rPr>
              <w:t> </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5CCD8575"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2012</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5385C0AE"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2013</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4D3DB19F"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2014</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52D3F581"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2015</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287E406A"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2016</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0E79E13A"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2017</w:t>
            </w:r>
          </w:p>
        </w:tc>
        <w:tc>
          <w:tcPr>
            <w:tcW w:w="0" w:type="auto"/>
            <w:tcBorders>
              <w:top w:val="single" w:sz="4" w:space="0" w:color="auto"/>
              <w:left w:val="nil"/>
              <w:bottom w:val="single" w:sz="4" w:space="0" w:color="auto"/>
              <w:right w:val="single" w:sz="4" w:space="0" w:color="auto"/>
            </w:tcBorders>
            <w:shd w:val="clear" w:color="auto" w:fill="DBE5F1"/>
            <w:vAlign w:val="center"/>
            <w:hideMark/>
          </w:tcPr>
          <w:p w14:paraId="74C222D1" w14:textId="77777777" w:rsidR="00116CFB" w:rsidRPr="00B2711F" w:rsidRDefault="00116CFB" w:rsidP="004742DC">
            <w:pPr>
              <w:jc w:val="center"/>
              <w:rPr>
                <w:rFonts w:cs="Calibri"/>
                <w:bCs/>
                <w:color w:val="000000"/>
                <w:sz w:val="18"/>
                <w:szCs w:val="20"/>
              </w:rPr>
            </w:pPr>
            <w:r w:rsidRPr="00B2711F">
              <w:rPr>
                <w:rFonts w:cs="Calibri"/>
                <w:bCs/>
                <w:color w:val="000000"/>
                <w:sz w:val="18"/>
                <w:szCs w:val="20"/>
              </w:rPr>
              <w:t>2018</w:t>
            </w:r>
          </w:p>
        </w:tc>
      </w:tr>
      <w:tr w:rsidR="00116CFB" w:rsidRPr="00B2711F" w14:paraId="25FDDD1E" w14:textId="77777777" w:rsidTr="004742DC">
        <w:trPr>
          <w:trHeight w:val="55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64802" w14:textId="77777777" w:rsidR="00116CFB" w:rsidRPr="00B2711F" w:rsidRDefault="00116CFB" w:rsidP="004742DC">
            <w:pPr>
              <w:rPr>
                <w:rFonts w:cs="Calibri"/>
                <w:color w:val="000000"/>
                <w:sz w:val="18"/>
                <w:szCs w:val="20"/>
              </w:rPr>
            </w:pPr>
            <w:r w:rsidRPr="00B2711F">
              <w:rPr>
                <w:rFonts w:cs="Calibri"/>
                <w:color w:val="000000"/>
                <w:sz w:val="18"/>
                <w:szCs w:val="20"/>
              </w:rPr>
              <w:t>Osoby korzystające</w:t>
            </w:r>
            <w:r w:rsidR="00E66B89">
              <w:rPr>
                <w:rFonts w:cs="Calibri"/>
                <w:color w:val="000000"/>
                <w:sz w:val="18"/>
                <w:szCs w:val="20"/>
              </w:rPr>
              <w:t xml:space="preserve"> z </w:t>
            </w:r>
            <w:r w:rsidRPr="00B2711F">
              <w:rPr>
                <w:rFonts w:cs="Calibri"/>
                <w:color w:val="000000"/>
                <w:sz w:val="18"/>
                <w:szCs w:val="20"/>
              </w:rPr>
              <w:t>usług administracji publicznej za pomocą Internetu</w:t>
            </w:r>
            <w:r w:rsidR="00E66B89">
              <w:rPr>
                <w:rFonts w:cs="Calibri"/>
                <w:color w:val="000000"/>
                <w:sz w:val="18"/>
                <w:szCs w:val="20"/>
              </w:rPr>
              <w:t xml:space="preserve"> w </w:t>
            </w:r>
            <w:r w:rsidRPr="00B2711F">
              <w:rPr>
                <w:rFonts w:cs="Calibri"/>
                <w:color w:val="000000"/>
                <w:sz w:val="18"/>
                <w:szCs w:val="20"/>
              </w:rPr>
              <w:t xml:space="preserve">ciągu ostatnich 12 miesięcy </w:t>
            </w:r>
          </w:p>
        </w:tc>
        <w:tc>
          <w:tcPr>
            <w:tcW w:w="0" w:type="auto"/>
            <w:tcBorders>
              <w:top w:val="nil"/>
              <w:left w:val="nil"/>
              <w:bottom w:val="single" w:sz="4" w:space="0" w:color="auto"/>
              <w:right w:val="single" w:sz="4" w:space="0" w:color="auto"/>
            </w:tcBorders>
            <w:shd w:val="clear" w:color="auto" w:fill="auto"/>
            <w:noWrap/>
            <w:vAlign w:val="center"/>
            <w:hideMark/>
          </w:tcPr>
          <w:p w14:paraId="36A576A7" w14:textId="77777777" w:rsidR="00116CFB" w:rsidRPr="00B2711F" w:rsidRDefault="00116CFB" w:rsidP="004742DC">
            <w:pPr>
              <w:jc w:val="center"/>
              <w:rPr>
                <w:rFonts w:cs="Calibri"/>
                <w:color w:val="000000"/>
                <w:sz w:val="18"/>
                <w:szCs w:val="20"/>
              </w:rPr>
            </w:pPr>
            <w:r w:rsidRPr="00B2711F">
              <w:rPr>
                <w:rFonts w:cs="Calibri"/>
                <w:color w:val="000000"/>
                <w:sz w:val="18"/>
                <w:szCs w:val="20"/>
              </w:rPr>
              <w:t>Polska</w:t>
            </w:r>
          </w:p>
        </w:tc>
        <w:tc>
          <w:tcPr>
            <w:tcW w:w="0" w:type="auto"/>
            <w:tcBorders>
              <w:top w:val="nil"/>
              <w:left w:val="nil"/>
              <w:bottom w:val="single" w:sz="4" w:space="0" w:color="auto"/>
              <w:right w:val="single" w:sz="4" w:space="0" w:color="auto"/>
            </w:tcBorders>
            <w:shd w:val="clear" w:color="auto" w:fill="auto"/>
            <w:vAlign w:val="center"/>
            <w:hideMark/>
          </w:tcPr>
          <w:p w14:paraId="04C5BD50" w14:textId="77777777" w:rsidR="00116CFB" w:rsidRPr="00B2711F" w:rsidRDefault="00116CFB" w:rsidP="004742DC">
            <w:pPr>
              <w:jc w:val="center"/>
              <w:rPr>
                <w:rFonts w:cs="Calibri"/>
                <w:color w:val="000000"/>
                <w:sz w:val="18"/>
                <w:szCs w:val="20"/>
              </w:rPr>
            </w:pPr>
            <w:r w:rsidRPr="00B2711F">
              <w:rPr>
                <w:rFonts w:cs="Calibri"/>
                <w:color w:val="000000"/>
                <w:sz w:val="18"/>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30FC54F8" w14:textId="77777777" w:rsidR="00116CFB" w:rsidRPr="00B2711F" w:rsidRDefault="00116CFB" w:rsidP="004742DC">
            <w:pPr>
              <w:jc w:val="center"/>
              <w:rPr>
                <w:rFonts w:cs="Calibri"/>
                <w:color w:val="000000"/>
                <w:sz w:val="18"/>
                <w:szCs w:val="20"/>
              </w:rPr>
            </w:pPr>
            <w:r w:rsidRPr="00B2711F">
              <w:rPr>
                <w:rFonts w:cs="Calibri"/>
                <w:color w:val="000000"/>
                <w:sz w:val="18"/>
                <w:szCs w:val="20"/>
              </w:rPr>
              <w:t>22,6</w:t>
            </w:r>
          </w:p>
        </w:tc>
        <w:tc>
          <w:tcPr>
            <w:tcW w:w="0" w:type="auto"/>
            <w:tcBorders>
              <w:top w:val="nil"/>
              <w:left w:val="nil"/>
              <w:bottom w:val="single" w:sz="4" w:space="0" w:color="auto"/>
              <w:right w:val="single" w:sz="4" w:space="0" w:color="auto"/>
            </w:tcBorders>
            <w:shd w:val="clear" w:color="auto" w:fill="auto"/>
            <w:vAlign w:val="center"/>
            <w:hideMark/>
          </w:tcPr>
          <w:p w14:paraId="5B547CB1" w14:textId="77777777" w:rsidR="00116CFB" w:rsidRPr="00B2711F" w:rsidRDefault="00116CFB" w:rsidP="004742DC">
            <w:pPr>
              <w:jc w:val="center"/>
              <w:rPr>
                <w:rFonts w:cs="Calibri"/>
                <w:color w:val="000000"/>
                <w:sz w:val="18"/>
                <w:szCs w:val="20"/>
              </w:rPr>
            </w:pPr>
            <w:r w:rsidRPr="00B2711F">
              <w:rPr>
                <w:rFonts w:cs="Calibri"/>
                <w:color w:val="000000"/>
                <w:sz w:val="18"/>
                <w:szCs w:val="20"/>
              </w:rPr>
              <w:t>26,9</w:t>
            </w:r>
          </w:p>
        </w:tc>
        <w:tc>
          <w:tcPr>
            <w:tcW w:w="0" w:type="auto"/>
            <w:tcBorders>
              <w:top w:val="nil"/>
              <w:left w:val="nil"/>
              <w:bottom w:val="single" w:sz="4" w:space="0" w:color="auto"/>
              <w:right w:val="single" w:sz="4" w:space="0" w:color="auto"/>
            </w:tcBorders>
            <w:shd w:val="clear" w:color="auto" w:fill="auto"/>
            <w:vAlign w:val="center"/>
            <w:hideMark/>
          </w:tcPr>
          <w:p w14:paraId="534080E5" w14:textId="77777777" w:rsidR="00116CFB" w:rsidRPr="00B2711F" w:rsidRDefault="00116CFB" w:rsidP="004742DC">
            <w:pPr>
              <w:jc w:val="center"/>
              <w:rPr>
                <w:rFonts w:cs="Calibri"/>
                <w:color w:val="000000"/>
                <w:sz w:val="18"/>
                <w:szCs w:val="20"/>
              </w:rPr>
            </w:pPr>
            <w:r w:rsidRPr="00B2711F">
              <w:rPr>
                <w:rFonts w:cs="Calibri"/>
                <w:color w:val="000000"/>
                <w:sz w:val="18"/>
                <w:szCs w:val="20"/>
              </w:rPr>
              <w:t>26,6</w:t>
            </w:r>
          </w:p>
        </w:tc>
        <w:tc>
          <w:tcPr>
            <w:tcW w:w="0" w:type="auto"/>
            <w:tcBorders>
              <w:top w:val="nil"/>
              <w:left w:val="nil"/>
              <w:bottom w:val="single" w:sz="4" w:space="0" w:color="auto"/>
              <w:right w:val="single" w:sz="4" w:space="0" w:color="auto"/>
            </w:tcBorders>
            <w:shd w:val="clear" w:color="auto" w:fill="auto"/>
            <w:vAlign w:val="center"/>
            <w:hideMark/>
          </w:tcPr>
          <w:p w14:paraId="6C9DAEED" w14:textId="77777777" w:rsidR="00116CFB" w:rsidRPr="00B2711F" w:rsidRDefault="00116CFB" w:rsidP="004742DC">
            <w:pPr>
              <w:jc w:val="center"/>
              <w:rPr>
                <w:rFonts w:cs="Calibri"/>
                <w:color w:val="000000"/>
                <w:sz w:val="18"/>
                <w:szCs w:val="20"/>
              </w:rPr>
            </w:pPr>
            <w:r w:rsidRPr="00B2711F">
              <w:rPr>
                <w:rFonts w:cs="Calibri"/>
                <w:color w:val="000000"/>
                <w:sz w:val="18"/>
                <w:szCs w:val="20"/>
              </w:rPr>
              <w:t>30,2</w:t>
            </w:r>
          </w:p>
        </w:tc>
        <w:tc>
          <w:tcPr>
            <w:tcW w:w="0" w:type="auto"/>
            <w:tcBorders>
              <w:top w:val="nil"/>
              <w:left w:val="nil"/>
              <w:bottom w:val="single" w:sz="4" w:space="0" w:color="auto"/>
              <w:right w:val="single" w:sz="4" w:space="0" w:color="auto"/>
            </w:tcBorders>
            <w:shd w:val="clear" w:color="auto" w:fill="auto"/>
            <w:vAlign w:val="center"/>
            <w:hideMark/>
          </w:tcPr>
          <w:p w14:paraId="784C9CDA" w14:textId="77777777" w:rsidR="00116CFB" w:rsidRPr="00B2711F" w:rsidRDefault="00116CFB" w:rsidP="004742DC">
            <w:pPr>
              <w:jc w:val="center"/>
              <w:rPr>
                <w:rFonts w:cs="Calibri"/>
                <w:color w:val="000000"/>
                <w:sz w:val="18"/>
                <w:szCs w:val="20"/>
              </w:rPr>
            </w:pPr>
            <w:r w:rsidRPr="00B2711F">
              <w:rPr>
                <w:rFonts w:cs="Calibri"/>
                <w:color w:val="000000"/>
                <w:sz w:val="18"/>
                <w:szCs w:val="20"/>
              </w:rPr>
              <w:t>30,8</w:t>
            </w:r>
          </w:p>
        </w:tc>
        <w:tc>
          <w:tcPr>
            <w:tcW w:w="0" w:type="auto"/>
            <w:tcBorders>
              <w:top w:val="nil"/>
              <w:left w:val="nil"/>
              <w:bottom w:val="single" w:sz="4" w:space="0" w:color="auto"/>
              <w:right w:val="single" w:sz="4" w:space="0" w:color="auto"/>
            </w:tcBorders>
            <w:shd w:val="clear" w:color="auto" w:fill="auto"/>
            <w:vAlign w:val="center"/>
            <w:hideMark/>
          </w:tcPr>
          <w:p w14:paraId="2E2A409F" w14:textId="77777777" w:rsidR="00116CFB" w:rsidRPr="00B2711F" w:rsidRDefault="00116CFB" w:rsidP="004742DC">
            <w:pPr>
              <w:jc w:val="center"/>
              <w:rPr>
                <w:rFonts w:cs="Calibri"/>
                <w:color w:val="000000"/>
                <w:sz w:val="18"/>
                <w:szCs w:val="20"/>
              </w:rPr>
            </w:pPr>
            <w:r w:rsidRPr="00B2711F">
              <w:rPr>
                <w:rFonts w:cs="Calibri"/>
                <w:color w:val="000000"/>
                <w:sz w:val="18"/>
                <w:szCs w:val="20"/>
              </w:rPr>
              <w:t>35,5</w:t>
            </w:r>
          </w:p>
        </w:tc>
      </w:tr>
      <w:tr w:rsidR="00116CFB" w:rsidRPr="00B2711F" w14:paraId="73A26FA6" w14:textId="77777777" w:rsidTr="004742DC">
        <w:trPr>
          <w:trHeight w:val="300"/>
        </w:trPr>
        <w:tc>
          <w:tcPr>
            <w:tcW w:w="0" w:type="auto"/>
            <w:vMerge/>
            <w:tcBorders>
              <w:top w:val="nil"/>
              <w:left w:val="single" w:sz="4" w:space="0" w:color="auto"/>
              <w:bottom w:val="single" w:sz="4" w:space="0" w:color="auto"/>
              <w:right w:val="single" w:sz="4" w:space="0" w:color="auto"/>
            </w:tcBorders>
            <w:vAlign w:val="center"/>
            <w:hideMark/>
          </w:tcPr>
          <w:p w14:paraId="17189B12" w14:textId="77777777" w:rsidR="00116CFB" w:rsidRPr="00B2711F" w:rsidRDefault="00116CFB" w:rsidP="004742DC">
            <w:pPr>
              <w:rPr>
                <w:rFonts w:cs="Calibri"/>
                <w:color w:val="000000"/>
                <w:sz w:val="18"/>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601CCD8" w14:textId="77777777" w:rsidR="00116CFB" w:rsidRPr="00B2711F" w:rsidRDefault="00116CFB" w:rsidP="004742DC">
            <w:pPr>
              <w:jc w:val="center"/>
              <w:rPr>
                <w:rFonts w:cs="Calibri"/>
                <w:color w:val="000000"/>
                <w:sz w:val="18"/>
                <w:szCs w:val="20"/>
              </w:rPr>
            </w:pPr>
            <w:r w:rsidRPr="00B2711F">
              <w:rPr>
                <w:rFonts w:cs="Calibri"/>
                <w:color w:val="000000"/>
                <w:sz w:val="18"/>
                <w:szCs w:val="20"/>
              </w:rPr>
              <w:t>Zachodniopomorskie</w:t>
            </w:r>
          </w:p>
        </w:tc>
        <w:tc>
          <w:tcPr>
            <w:tcW w:w="0" w:type="auto"/>
            <w:tcBorders>
              <w:top w:val="nil"/>
              <w:left w:val="nil"/>
              <w:bottom w:val="single" w:sz="4" w:space="0" w:color="auto"/>
              <w:right w:val="single" w:sz="4" w:space="0" w:color="auto"/>
            </w:tcBorders>
            <w:shd w:val="clear" w:color="auto" w:fill="auto"/>
            <w:vAlign w:val="center"/>
            <w:hideMark/>
          </w:tcPr>
          <w:p w14:paraId="2E1C4300" w14:textId="77777777" w:rsidR="00116CFB" w:rsidRPr="00B2711F" w:rsidRDefault="00116CFB" w:rsidP="004742DC">
            <w:pPr>
              <w:jc w:val="center"/>
              <w:rPr>
                <w:rFonts w:cs="Calibri"/>
                <w:color w:val="000000"/>
                <w:sz w:val="18"/>
                <w:szCs w:val="20"/>
              </w:rPr>
            </w:pPr>
            <w:r w:rsidRPr="00B2711F">
              <w:rPr>
                <w:rFonts w:cs="Calibri"/>
                <w:color w:val="000000"/>
                <w:sz w:val="18"/>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0D432A40" w14:textId="77777777" w:rsidR="00116CFB" w:rsidRPr="00B2711F" w:rsidRDefault="00116CFB" w:rsidP="004742DC">
            <w:pPr>
              <w:jc w:val="center"/>
              <w:rPr>
                <w:rFonts w:cs="Calibri"/>
                <w:color w:val="000000"/>
                <w:sz w:val="18"/>
                <w:szCs w:val="20"/>
              </w:rPr>
            </w:pPr>
            <w:r w:rsidRPr="00B2711F">
              <w:rPr>
                <w:rFonts w:cs="Calibri"/>
                <w:color w:val="000000"/>
                <w:sz w:val="18"/>
                <w:szCs w:val="20"/>
              </w:rPr>
              <w:t>13,7</w:t>
            </w:r>
          </w:p>
        </w:tc>
        <w:tc>
          <w:tcPr>
            <w:tcW w:w="0" w:type="auto"/>
            <w:tcBorders>
              <w:top w:val="nil"/>
              <w:left w:val="nil"/>
              <w:bottom w:val="single" w:sz="4" w:space="0" w:color="auto"/>
              <w:right w:val="single" w:sz="4" w:space="0" w:color="auto"/>
            </w:tcBorders>
            <w:shd w:val="clear" w:color="auto" w:fill="auto"/>
            <w:vAlign w:val="center"/>
            <w:hideMark/>
          </w:tcPr>
          <w:p w14:paraId="64B88528" w14:textId="77777777" w:rsidR="00116CFB" w:rsidRPr="00B2711F" w:rsidRDefault="00116CFB" w:rsidP="004742DC">
            <w:pPr>
              <w:jc w:val="center"/>
              <w:rPr>
                <w:rFonts w:cs="Calibri"/>
                <w:color w:val="000000"/>
                <w:sz w:val="18"/>
                <w:szCs w:val="20"/>
              </w:rPr>
            </w:pPr>
            <w:r w:rsidRPr="00B2711F">
              <w:rPr>
                <w:rFonts w:cs="Calibri"/>
                <w:color w:val="000000"/>
                <w:sz w:val="18"/>
                <w:szCs w:val="20"/>
              </w:rPr>
              <w:t>23,5</w:t>
            </w:r>
          </w:p>
        </w:tc>
        <w:tc>
          <w:tcPr>
            <w:tcW w:w="0" w:type="auto"/>
            <w:tcBorders>
              <w:top w:val="nil"/>
              <w:left w:val="nil"/>
              <w:bottom w:val="single" w:sz="4" w:space="0" w:color="auto"/>
              <w:right w:val="single" w:sz="4" w:space="0" w:color="auto"/>
            </w:tcBorders>
            <w:shd w:val="clear" w:color="auto" w:fill="auto"/>
            <w:vAlign w:val="center"/>
            <w:hideMark/>
          </w:tcPr>
          <w:p w14:paraId="15D93A4F" w14:textId="77777777" w:rsidR="00116CFB" w:rsidRPr="00B2711F" w:rsidRDefault="00116CFB" w:rsidP="004742DC">
            <w:pPr>
              <w:jc w:val="center"/>
              <w:rPr>
                <w:rFonts w:cs="Calibri"/>
                <w:color w:val="000000"/>
                <w:sz w:val="18"/>
                <w:szCs w:val="20"/>
              </w:rPr>
            </w:pPr>
            <w:r w:rsidRPr="00B2711F">
              <w:rPr>
                <w:rFonts w:cs="Calibri"/>
                <w:color w:val="000000"/>
                <w:sz w:val="18"/>
                <w:szCs w:val="20"/>
              </w:rPr>
              <w:t>25,9</w:t>
            </w:r>
          </w:p>
        </w:tc>
        <w:tc>
          <w:tcPr>
            <w:tcW w:w="0" w:type="auto"/>
            <w:tcBorders>
              <w:top w:val="nil"/>
              <w:left w:val="nil"/>
              <w:bottom w:val="single" w:sz="4" w:space="0" w:color="auto"/>
              <w:right w:val="single" w:sz="4" w:space="0" w:color="auto"/>
            </w:tcBorders>
            <w:shd w:val="clear" w:color="auto" w:fill="auto"/>
            <w:vAlign w:val="center"/>
            <w:hideMark/>
          </w:tcPr>
          <w:p w14:paraId="499E95F5" w14:textId="77777777" w:rsidR="00116CFB" w:rsidRPr="00B2711F" w:rsidRDefault="00116CFB" w:rsidP="004742DC">
            <w:pPr>
              <w:jc w:val="center"/>
              <w:rPr>
                <w:rFonts w:cs="Calibri"/>
                <w:color w:val="000000"/>
                <w:sz w:val="18"/>
                <w:szCs w:val="20"/>
              </w:rPr>
            </w:pPr>
            <w:r w:rsidRPr="00B2711F">
              <w:rPr>
                <w:rFonts w:cs="Calibri"/>
                <w:color w:val="000000"/>
                <w:sz w:val="18"/>
                <w:szCs w:val="20"/>
              </w:rPr>
              <w:t>32,5</w:t>
            </w:r>
          </w:p>
        </w:tc>
        <w:tc>
          <w:tcPr>
            <w:tcW w:w="0" w:type="auto"/>
            <w:tcBorders>
              <w:top w:val="nil"/>
              <w:left w:val="nil"/>
              <w:bottom w:val="single" w:sz="4" w:space="0" w:color="auto"/>
              <w:right w:val="single" w:sz="4" w:space="0" w:color="auto"/>
            </w:tcBorders>
            <w:shd w:val="clear" w:color="auto" w:fill="auto"/>
            <w:vAlign w:val="center"/>
            <w:hideMark/>
          </w:tcPr>
          <w:p w14:paraId="63EBA6C0" w14:textId="77777777" w:rsidR="00116CFB" w:rsidRPr="00B2711F" w:rsidRDefault="00116CFB" w:rsidP="004742DC">
            <w:pPr>
              <w:jc w:val="center"/>
              <w:rPr>
                <w:rFonts w:cs="Calibri"/>
                <w:color w:val="000000"/>
                <w:sz w:val="18"/>
                <w:szCs w:val="20"/>
              </w:rPr>
            </w:pPr>
            <w:r w:rsidRPr="00B2711F">
              <w:rPr>
                <w:rFonts w:cs="Calibri"/>
                <w:color w:val="000000"/>
                <w:sz w:val="18"/>
                <w:szCs w:val="20"/>
              </w:rPr>
              <w:t>35,4</w:t>
            </w:r>
          </w:p>
        </w:tc>
        <w:tc>
          <w:tcPr>
            <w:tcW w:w="0" w:type="auto"/>
            <w:tcBorders>
              <w:top w:val="nil"/>
              <w:left w:val="nil"/>
              <w:bottom w:val="single" w:sz="4" w:space="0" w:color="auto"/>
              <w:right w:val="single" w:sz="4" w:space="0" w:color="auto"/>
            </w:tcBorders>
            <w:shd w:val="clear" w:color="auto" w:fill="auto"/>
            <w:vAlign w:val="center"/>
            <w:hideMark/>
          </w:tcPr>
          <w:p w14:paraId="62691047" w14:textId="77777777" w:rsidR="00116CFB" w:rsidRPr="00B2711F" w:rsidRDefault="00116CFB" w:rsidP="004742DC">
            <w:pPr>
              <w:jc w:val="center"/>
              <w:rPr>
                <w:rFonts w:cs="Calibri"/>
                <w:color w:val="000000"/>
                <w:sz w:val="18"/>
                <w:szCs w:val="20"/>
              </w:rPr>
            </w:pPr>
            <w:r w:rsidRPr="00B2711F">
              <w:rPr>
                <w:rFonts w:cs="Calibri"/>
                <w:color w:val="000000"/>
                <w:sz w:val="18"/>
                <w:szCs w:val="20"/>
              </w:rPr>
              <w:t>33,7</w:t>
            </w:r>
          </w:p>
        </w:tc>
      </w:tr>
      <w:tr w:rsidR="00116CFB" w:rsidRPr="00B2711F" w14:paraId="4525C112" w14:textId="77777777" w:rsidTr="004742DC">
        <w:trPr>
          <w:trHeight w:val="553"/>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A216CF" w14:textId="77777777" w:rsidR="00116CFB" w:rsidRPr="00B2711F" w:rsidRDefault="00116CFB" w:rsidP="004742DC">
            <w:pPr>
              <w:rPr>
                <w:rFonts w:cs="Calibri"/>
                <w:color w:val="000000"/>
                <w:sz w:val="18"/>
                <w:szCs w:val="20"/>
              </w:rPr>
            </w:pPr>
            <w:r w:rsidRPr="00B2711F">
              <w:rPr>
                <w:rFonts w:cs="Calibri"/>
                <w:color w:val="000000"/>
                <w:sz w:val="18"/>
                <w:szCs w:val="20"/>
              </w:rPr>
              <w:t>Odsetek przedsiębiorstw korzystających</w:t>
            </w:r>
            <w:r w:rsidR="00E66B89">
              <w:rPr>
                <w:rFonts w:cs="Calibri"/>
                <w:color w:val="000000"/>
                <w:sz w:val="18"/>
                <w:szCs w:val="20"/>
              </w:rPr>
              <w:t xml:space="preserve"> z </w:t>
            </w:r>
            <w:r w:rsidRPr="00B2711F">
              <w:rPr>
                <w:rFonts w:cs="Calibri"/>
                <w:color w:val="000000"/>
                <w:sz w:val="18"/>
                <w:szCs w:val="20"/>
              </w:rPr>
              <w:t>Internetu</w:t>
            </w:r>
            <w:r w:rsidR="00E66B89">
              <w:rPr>
                <w:rFonts w:cs="Calibri"/>
                <w:color w:val="000000"/>
                <w:sz w:val="18"/>
                <w:szCs w:val="20"/>
              </w:rPr>
              <w:t xml:space="preserve"> w </w:t>
            </w:r>
            <w:r w:rsidRPr="00B2711F">
              <w:rPr>
                <w:rFonts w:cs="Calibri"/>
                <w:color w:val="000000"/>
                <w:sz w:val="18"/>
                <w:szCs w:val="20"/>
              </w:rPr>
              <w:t>kontaktach</w:t>
            </w:r>
            <w:r w:rsidR="00E66B89">
              <w:rPr>
                <w:rFonts w:cs="Calibri"/>
                <w:color w:val="000000"/>
                <w:sz w:val="18"/>
                <w:szCs w:val="20"/>
              </w:rPr>
              <w:t xml:space="preserve"> z </w:t>
            </w:r>
            <w:r w:rsidRPr="00B2711F">
              <w:rPr>
                <w:rFonts w:cs="Calibri"/>
                <w:color w:val="000000"/>
                <w:sz w:val="18"/>
                <w:szCs w:val="20"/>
              </w:rPr>
              <w:t>administracją publiczną</w:t>
            </w:r>
            <w:r w:rsidR="00E66B89">
              <w:rPr>
                <w:rFonts w:cs="Calibri"/>
                <w:color w:val="000000"/>
                <w:sz w:val="18"/>
                <w:szCs w:val="20"/>
              </w:rPr>
              <w:t xml:space="preserve"> w </w:t>
            </w:r>
            <w:r w:rsidRPr="00B2711F">
              <w:rPr>
                <w:rFonts w:cs="Calibri"/>
                <w:color w:val="000000"/>
                <w:sz w:val="18"/>
                <w:szCs w:val="20"/>
              </w:rPr>
              <w:t xml:space="preserve">celu odsyłania wypełnionych </w:t>
            </w:r>
            <w:r w:rsidRPr="00B2711F">
              <w:rPr>
                <w:rFonts w:cs="Calibri"/>
                <w:color w:val="000000"/>
                <w:sz w:val="18"/>
                <w:szCs w:val="20"/>
              </w:rPr>
              <w:lastRenderedPageBreak/>
              <w:t>formularzy</w:t>
            </w:r>
            <w:r w:rsidR="00E66B89">
              <w:rPr>
                <w:rFonts w:cs="Calibri"/>
                <w:color w:val="000000"/>
                <w:sz w:val="18"/>
                <w:szCs w:val="20"/>
              </w:rPr>
              <w:t xml:space="preserve"> w </w:t>
            </w:r>
            <w:r w:rsidRPr="00B2711F">
              <w:rPr>
                <w:rFonts w:cs="Calibri"/>
                <w:color w:val="000000"/>
                <w:sz w:val="18"/>
                <w:szCs w:val="20"/>
              </w:rPr>
              <w:t>formie elektronicznej</w:t>
            </w:r>
            <w:r w:rsidR="00E66B89">
              <w:rPr>
                <w:rFonts w:cs="Calibri"/>
                <w:color w:val="000000"/>
                <w:sz w:val="18"/>
                <w:szCs w:val="20"/>
              </w:rPr>
              <w:t xml:space="preserve"> w </w:t>
            </w:r>
            <w:r w:rsidRPr="00B2711F">
              <w:rPr>
                <w:rFonts w:cs="Calibri"/>
                <w:color w:val="000000"/>
                <w:sz w:val="18"/>
                <w:szCs w:val="20"/>
              </w:rPr>
              <w:t>latach 2012-2017</w:t>
            </w:r>
          </w:p>
        </w:tc>
        <w:tc>
          <w:tcPr>
            <w:tcW w:w="0" w:type="auto"/>
            <w:tcBorders>
              <w:top w:val="nil"/>
              <w:left w:val="nil"/>
              <w:bottom w:val="single" w:sz="4" w:space="0" w:color="auto"/>
              <w:right w:val="single" w:sz="4" w:space="0" w:color="auto"/>
            </w:tcBorders>
            <w:shd w:val="clear" w:color="auto" w:fill="auto"/>
            <w:noWrap/>
            <w:vAlign w:val="center"/>
            <w:hideMark/>
          </w:tcPr>
          <w:p w14:paraId="1A51E56F" w14:textId="77777777" w:rsidR="00116CFB" w:rsidRPr="00B2711F" w:rsidRDefault="00116CFB" w:rsidP="004742DC">
            <w:pPr>
              <w:jc w:val="center"/>
              <w:rPr>
                <w:rFonts w:cs="Calibri"/>
                <w:color w:val="000000"/>
                <w:sz w:val="18"/>
                <w:szCs w:val="20"/>
              </w:rPr>
            </w:pPr>
            <w:r w:rsidRPr="00B2711F">
              <w:rPr>
                <w:rFonts w:cs="Calibri"/>
                <w:color w:val="000000"/>
                <w:sz w:val="18"/>
                <w:szCs w:val="20"/>
              </w:rPr>
              <w:lastRenderedPageBreak/>
              <w:t>Polska</w:t>
            </w:r>
          </w:p>
        </w:tc>
        <w:tc>
          <w:tcPr>
            <w:tcW w:w="0" w:type="auto"/>
            <w:tcBorders>
              <w:top w:val="nil"/>
              <w:left w:val="nil"/>
              <w:bottom w:val="single" w:sz="4" w:space="0" w:color="auto"/>
              <w:right w:val="single" w:sz="4" w:space="0" w:color="auto"/>
            </w:tcBorders>
            <w:shd w:val="clear" w:color="auto" w:fill="auto"/>
            <w:vAlign w:val="center"/>
            <w:hideMark/>
          </w:tcPr>
          <w:p w14:paraId="52DB8BD2" w14:textId="77777777" w:rsidR="00116CFB" w:rsidRPr="00B2711F" w:rsidRDefault="00116CFB" w:rsidP="004742DC">
            <w:pPr>
              <w:jc w:val="center"/>
              <w:rPr>
                <w:rFonts w:cs="Calibri"/>
                <w:color w:val="000000"/>
                <w:sz w:val="18"/>
                <w:szCs w:val="20"/>
              </w:rPr>
            </w:pPr>
            <w:r w:rsidRPr="00B2711F">
              <w:rPr>
                <w:rFonts w:cs="Calibri"/>
                <w:color w:val="000000"/>
                <w:sz w:val="18"/>
                <w:szCs w:val="20"/>
              </w:rPr>
              <w:t>86,2</w:t>
            </w:r>
          </w:p>
        </w:tc>
        <w:tc>
          <w:tcPr>
            <w:tcW w:w="0" w:type="auto"/>
            <w:tcBorders>
              <w:top w:val="nil"/>
              <w:left w:val="nil"/>
              <w:bottom w:val="single" w:sz="4" w:space="0" w:color="auto"/>
              <w:right w:val="single" w:sz="4" w:space="0" w:color="auto"/>
            </w:tcBorders>
            <w:shd w:val="clear" w:color="auto" w:fill="auto"/>
            <w:vAlign w:val="center"/>
            <w:hideMark/>
          </w:tcPr>
          <w:p w14:paraId="4B8FCF7B" w14:textId="77777777" w:rsidR="00116CFB" w:rsidRPr="00B2711F" w:rsidRDefault="00116CFB" w:rsidP="004742DC">
            <w:pPr>
              <w:jc w:val="center"/>
              <w:rPr>
                <w:rFonts w:cs="Calibri"/>
                <w:color w:val="000000"/>
                <w:sz w:val="18"/>
                <w:szCs w:val="20"/>
              </w:rPr>
            </w:pPr>
            <w:r w:rsidRPr="00B2711F">
              <w:rPr>
                <w:rFonts w:cs="Calibri"/>
                <w:color w:val="000000"/>
                <w:sz w:val="18"/>
                <w:szCs w:val="20"/>
              </w:rPr>
              <w:t>82,7</w:t>
            </w:r>
          </w:p>
        </w:tc>
        <w:tc>
          <w:tcPr>
            <w:tcW w:w="0" w:type="auto"/>
            <w:tcBorders>
              <w:top w:val="nil"/>
              <w:left w:val="nil"/>
              <w:bottom w:val="single" w:sz="4" w:space="0" w:color="auto"/>
              <w:right w:val="single" w:sz="4" w:space="0" w:color="auto"/>
            </w:tcBorders>
            <w:shd w:val="clear" w:color="auto" w:fill="auto"/>
            <w:vAlign w:val="center"/>
            <w:hideMark/>
          </w:tcPr>
          <w:p w14:paraId="67177381" w14:textId="77777777" w:rsidR="00116CFB" w:rsidRPr="00B2711F" w:rsidRDefault="00116CFB" w:rsidP="004742DC">
            <w:pPr>
              <w:jc w:val="center"/>
              <w:rPr>
                <w:rFonts w:cs="Calibri"/>
                <w:color w:val="000000"/>
                <w:sz w:val="18"/>
                <w:szCs w:val="20"/>
              </w:rPr>
            </w:pPr>
            <w:r w:rsidRPr="00B2711F">
              <w:rPr>
                <w:rFonts w:cs="Calibri"/>
                <w:color w:val="000000"/>
                <w:sz w:val="18"/>
                <w:szCs w:val="20"/>
              </w:rPr>
              <w:t>91,6</w:t>
            </w:r>
          </w:p>
        </w:tc>
        <w:tc>
          <w:tcPr>
            <w:tcW w:w="0" w:type="auto"/>
            <w:tcBorders>
              <w:top w:val="nil"/>
              <w:left w:val="nil"/>
              <w:bottom w:val="single" w:sz="4" w:space="0" w:color="auto"/>
              <w:right w:val="single" w:sz="4" w:space="0" w:color="auto"/>
            </w:tcBorders>
            <w:shd w:val="clear" w:color="auto" w:fill="auto"/>
            <w:vAlign w:val="center"/>
            <w:hideMark/>
          </w:tcPr>
          <w:p w14:paraId="09B70331" w14:textId="77777777" w:rsidR="00116CFB" w:rsidRPr="00B2711F" w:rsidRDefault="00116CFB" w:rsidP="004742DC">
            <w:pPr>
              <w:jc w:val="center"/>
              <w:rPr>
                <w:rFonts w:cs="Calibri"/>
                <w:color w:val="000000"/>
                <w:sz w:val="18"/>
                <w:szCs w:val="20"/>
              </w:rPr>
            </w:pPr>
            <w:r w:rsidRPr="00B2711F">
              <w:rPr>
                <w:rFonts w:cs="Calibri"/>
                <w:color w:val="000000"/>
                <w:sz w:val="18"/>
                <w:szCs w:val="20"/>
              </w:rPr>
              <w:t>93,5</w:t>
            </w:r>
          </w:p>
        </w:tc>
        <w:tc>
          <w:tcPr>
            <w:tcW w:w="0" w:type="auto"/>
            <w:tcBorders>
              <w:top w:val="nil"/>
              <w:left w:val="nil"/>
              <w:bottom w:val="single" w:sz="4" w:space="0" w:color="auto"/>
              <w:right w:val="single" w:sz="4" w:space="0" w:color="auto"/>
            </w:tcBorders>
            <w:shd w:val="clear" w:color="auto" w:fill="auto"/>
            <w:vAlign w:val="center"/>
            <w:hideMark/>
          </w:tcPr>
          <w:p w14:paraId="4D0234C9" w14:textId="77777777" w:rsidR="00116CFB" w:rsidRPr="00B2711F" w:rsidRDefault="00116CFB" w:rsidP="004742DC">
            <w:pPr>
              <w:jc w:val="center"/>
              <w:rPr>
                <w:rFonts w:cs="Calibri"/>
                <w:color w:val="000000"/>
                <w:sz w:val="18"/>
                <w:szCs w:val="20"/>
              </w:rPr>
            </w:pPr>
            <w:r w:rsidRPr="00B2711F">
              <w:rPr>
                <w:rFonts w:cs="Calibri"/>
                <w:color w:val="000000"/>
                <w:sz w:val="18"/>
                <w:szCs w:val="20"/>
              </w:rPr>
              <w:t>94,3</w:t>
            </w:r>
          </w:p>
        </w:tc>
        <w:tc>
          <w:tcPr>
            <w:tcW w:w="0" w:type="auto"/>
            <w:tcBorders>
              <w:top w:val="nil"/>
              <w:left w:val="nil"/>
              <w:bottom w:val="single" w:sz="4" w:space="0" w:color="auto"/>
              <w:right w:val="single" w:sz="4" w:space="0" w:color="auto"/>
            </w:tcBorders>
            <w:shd w:val="clear" w:color="auto" w:fill="auto"/>
            <w:vAlign w:val="center"/>
            <w:hideMark/>
          </w:tcPr>
          <w:p w14:paraId="68AFCF85" w14:textId="77777777" w:rsidR="00116CFB" w:rsidRPr="00B2711F" w:rsidRDefault="00116CFB" w:rsidP="004742DC">
            <w:pPr>
              <w:jc w:val="center"/>
              <w:rPr>
                <w:rFonts w:cs="Calibri"/>
                <w:color w:val="000000"/>
                <w:sz w:val="18"/>
                <w:szCs w:val="20"/>
              </w:rPr>
            </w:pPr>
            <w:r w:rsidRPr="00B2711F">
              <w:rPr>
                <w:rFonts w:cs="Calibri"/>
                <w:color w:val="000000"/>
                <w:sz w:val="18"/>
                <w:szCs w:val="20"/>
              </w:rPr>
              <w:t>95,1</w:t>
            </w:r>
          </w:p>
        </w:tc>
        <w:tc>
          <w:tcPr>
            <w:tcW w:w="0" w:type="auto"/>
            <w:tcBorders>
              <w:top w:val="nil"/>
              <w:left w:val="nil"/>
              <w:bottom w:val="single" w:sz="4" w:space="0" w:color="auto"/>
              <w:right w:val="single" w:sz="4" w:space="0" w:color="auto"/>
            </w:tcBorders>
            <w:shd w:val="clear" w:color="auto" w:fill="auto"/>
            <w:noWrap/>
            <w:vAlign w:val="center"/>
            <w:hideMark/>
          </w:tcPr>
          <w:p w14:paraId="3BB90C9D" w14:textId="77777777" w:rsidR="00116CFB" w:rsidRPr="00B2711F" w:rsidRDefault="00116CFB" w:rsidP="004742DC">
            <w:pPr>
              <w:jc w:val="center"/>
              <w:rPr>
                <w:rFonts w:cs="Calibri"/>
                <w:color w:val="000000"/>
                <w:sz w:val="18"/>
                <w:szCs w:val="20"/>
              </w:rPr>
            </w:pPr>
            <w:r w:rsidRPr="00B2711F">
              <w:rPr>
                <w:rFonts w:cs="Calibri"/>
                <w:color w:val="000000"/>
                <w:sz w:val="18"/>
                <w:szCs w:val="20"/>
              </w:rPr>
              <w:t>-</w:t>
            </w:r>
          </w:p>
        </w:tc>
      </w:tr>
      <w:tr w:rsidR="00116CFB" w:rsidRPr="00B2711F" w14:paraId="63A1DB0E" w14:textId="77777777" w:rsidTr="004742DC">
        <w:trPr>
          <w:trHeight w:val="300"/>
        </w:trPr>
        <w:tc>
          <w:tcPr>
            <w:tcW w:w="0" w:type="auto"/>
            <w:vMerge/>
            <w:tcBorders>
              <w:top w:val="nil"/>
              <w:left w:val="single" w:sz="4" w:space="0" w:color="auto"/>
              <w:bottom w:val="single" w:sz="4" w:space="0" w:color="auto"/>
              <w:right w:val="single" w:sz="4" w:space="0" w:color="auto"/>
            </w:tcBorders>
            <w:vAlign w:val="center"/>
            <w:hideMark/>
          </w:tcPr>
          <w:p w14:paraId="546CA7CE" w14:textId="77777777" w:rsidR="00116CFB" w:rsidRPr="00B2711F" w:rsidRDefault="00116CFB" w:rsidP="004742DC">
            <w:pPr>
              <w:rPr>
                <w:rFonts w:cs="Calibri"/>
                <w:color w:val="000000"/>
                <w:sz w:val="18"/>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76E62A0" w14:textId="77777777" w:rsidR="00116CFB" w:rsidRPr="00B2711F" w:rsidRDefault="00116CFB" w:rsidP="004742DC">
            <w:pPr>
              <w:jc w:val="center"/>
              <w:rPr>
                <w:rFonts w:cs="Calibri"/>
                <w:color w:val="000000"/>
                <w:sz w:val="18"/>
                <w:szCs w:val="20"/>
              </w:rPr>
            </w:pPr>
            <w:r w:rsidRPr="00B2711F">
              <w:rPr>
                <w:rFonts w:cs="Calibri"/>
                <w:color w:val="000000"/>
                <w:sz w:val="18"/>
                <w:szCs w:val="20"/>
              </w:rPr>
              <w:t>Zachodniopomorskie</w:t>
            </w:r>
          </w:p>
        </w:tc>
        <w:tc>
          <w:tcPr>
            <w:tcW w:w="0" w:type="auto"/>
            <w:tcBorders>
              <w:top w:val="nil"/>
              <w:left w:val="nil"/>
              <w:bottom w:val="single" w:sz="4" w:space="0" w:color="auto"/>
              <w:right w:val="single" w:sz="4" w:space="0" w:color="auto"/>
            </w:tcBorders>
            <w:shd w:val="clear" w:color="auto" w:fill="auto"/>
            <w:vAlign w:val="center"/>
            <w:hideMark/>
          </w:tcPr>
          <w:p w14:paraId="10CA7755" w14:textId="77777777" w:rsidR="00116CFB" w:rsidRPr="00B2711F" w:rsidRDefault="00116CFB" w:rsidP="004742DC">
            <w:pPr>
              <w:jc w:val="center"/>
              <w:rPr>
                <w:rFonts w:cs="Calibri"/>
                <w:color w:val="000000"/>
                <w:sz w:val="18"/>
                <w:szCs w:val="20"/>
              </w:rPr>
            </w:pPr>
            <w:r w:rsidRPr="00B2711F">
              <w:rPr>
                <w:rFonts w:cs="Calibri"/>
                <w:color w:val="000000"/>
                <w:sz w:val="18"/>
                <w:szCs w:val="20"/>
              </w:rPr>
              <w:t>78,2</w:t>
            </w:r>
          </w:p>
        </w:tc>
        <w:tc>
          <w:tcPr>
            <w:tcW w:w="0" w:type="auto"/>
            <w:tcBorders>
              <w:top w:val="nil"/>
              <w:left w:val="nil"/>
              <w:bottom w:val="single" w:sz="4" w:space="0" w:color="auto"/>
              <w:right w:val="single" w:sz="4" w:space="0" w:color="auto"/>
            </w:tcBorders>
            <w:shd w:val="clear" w:color="auto" w:fill="auto"/>
            <w:vAlign w:val="center"/>
            <w:hideMark/>
          </w:tcPr>
          <w:p w14:paraId="4250BE3D" w14:textId="77777777" w:rsidR="00116CFB" w:rsidRPr="00B2711F" w:rsidRDefault="00116CFB" w:rsidP="004742DC">
            <w:pPr>
              <w:jc w:val="center"/>
              <w:rPr>
                <w:rFonts w:cs="Calibri"/>
                <w:color w:val="000000"/>
                <w:sz w:val="18"/>
                <w:szCs w:val="20"/>
              </w:rPr>
            </w:pPr>
            <w:r w:rsidRPr="00B2711F">
              <w:rPr>
                <w:rFonts w:cs="Calibri"/>
                <w:color w:val="000000"/>
                <w:sz w:val="18"/>
                <w:szCs w:val="20"/>
              </w:rPr>
              <w:t>73</w:t>
            </w:r>
          </w:p>
        </w:tc>
        <w:tc>
          <w:tcPr>
            <w:tcW w:w="0" w:type="auto"/>
            <w:tcBorders>
              <w:top w:val="nil"/>
              <w:left w:val="nil"/>
              <w:bottom w:val="single" w:sz="4" w:space="0" w:color="auto"/>
              <w:right w:val="single" w:sz="4" w:space="0" w:color="auto"/>
            </w:tcBorders>
            <w:shd w:val="clear" w:color="auto" w:fill="auto"/>
            <w:vAlign w:val="center"/>
            <w:hideMark/>
          </w:tcPr>
          <w:p w14:paraId="2E9EF324" w14:textId="77777777" w:rsidR="00116CFB" w:rsidRPr="00B2711F" w:rsidRDefault="00116CFB" w:rsidP="004742DC">
            <w:pPr>
              <w:jc w:val="center"/>
              <w:rPr>
                <w:rFonts w:cs="Calibri"/>
                <w:color w:val="000000"/>
                <w:sz w:val="18"/>
                <w:szCs w:val="20"/>
              </w:rPr>
            </w:pPr>
            <w:r w:rsidRPr="00B2711F">
              <w:rPr>
                <w:rFonts w:cs="Calibri"/>
                <w:color w:val="000000"/>
                <w:sz w:val="18"/>
                <w:szCs w:val="20"/>
              </w:rPr>
              <w:t>85,3</w:t>
            </w:r>
          </w:p>
        </w:tc>
        <w:tc>
          <w:tcPr>
            <w:tcW w:w="0" w:type="auto"/>
            <w:tcBorders>
              <w:top w:val="nil"/>
              <w:left w:val="nil"/>
              <w:bottom w:val="single" w:sz="4" w:space="0" w:color="auto"/>
              <w:right w:val="single" w:sz="4" w:space="0" w:color="auto"/>
            </w:tcBorders>
            <w:shd w:val="clear" w:color="auto" w:fill="auto"/>
            <w:vAlign w:val="center"/>
            <w:hideMark/>
          </w:tcPr>
          <w:p w14:paraId="22E282C6" w14:textId="77777777" w:rsidR="00116CFB" w:rsidRPr="00B2711F" w:rsidRDefault="00116CFB" w:rsidP="004742DC">
            <w:pPr>
              <w:jc w:val="center"/>
              <w:rPr>
                <w:rFonts w:cs="Calibri"/>
                <w:color w:val="000000"/>
                <w:sz w:val="18"/>
                <w:szCs w:val="20"/>
              </w:rPr>
            </w:pPr>
            <w:r w:rsidRPr="00B2711F">
              <w:rPr>
                <w:rFonts w:cs="Calibri"/>
                <w:color w:val="000000"/>
                <w:sz w:val="18"/>
                <w:szCs w:val="20"/>
              </w:rPr>
              <w:t>92,6</w:t>
            </w:r>
          </w:p>
        </w:tc>
        <w:tc>
          <w:tcPr>
            <w:tcW w:w="0" w:type="auto"/>
            <w:tcBorders>
              <w:top w:val="nil"/>
              <w:left w:val="nil"/>
              <w:bottom w:val="single" w:sz="4" w:space="0" w:color="auto"/>
              <w:right w:val="single" w:sz="4" w:space="0" w:color="auto"/>
            </w:tcBorders>
            <w:shd w:val="clear" w:color="auto" w:fill="auto"/>
            <w:vAlign w:val="center"/>
            <w:hideMark/>
          </w:tcPr>
          <w:p w14:paraId="66BF9F79" w14:textId="77777777" w:rsidR="00116CFB" w:rsidRPr="00B2711F" w:rsidRDefault="00116CFB" w:rsidP="004742DC">
            <w:pPr>
              <w:jc w:val="center"/>
              <w:rPr>
                <w:rFonts w:cs="Calibri"/>
                <w:color w:val="000000"/>
                <w:sz w:val="18"/>
                <w:szCs w:val="20"/>
              </w:rPr>
            </w:pPr>
            <w:r w:rsidRPr="00B2711F">
              <w:rPr>
                <w:rFonts w:cs="Calibri"/>
                <w:color w:val="000000"/>
                <w:sz w:val="18"/>
                <w:szCs w:val="20"/>
              </w:rPr>
              <w:t>95,8</w:t>
            </w:r>
          </w:p>
        </w:tc>
        <w:tc>
          <w:tcPr>
            <w:tcW w:w="0" w:type="auto"/>
            <w:tcBorders>
              <w:top w:val="nil"/>
              <w:left w:val="nil"/>
              <w:bottom w:val="single" w:sz="4" w:space="0" w:color="auto"/>
              <w:right w:val="single" w:sz="4" w:space="0" w:color="auto"/>
            </w:tcBorders>
            <w:shd w:val="clear" w:color="auto" w:fill="auto"/>
            <w:vAlign w:val="center"/>
            <w:hideMark/>
          </w:tcPr>
          <w:p w14:paraId="6055D1FA" w14:textId="77777777" w:rsidR="00116CFB" w:rsidRPr="00B2711F" w:rsidRDefault="00116CFB" w:rsidP="004742DC">
            <w:pPr>
              <w:jc w:val="center"/>
              <w:rPr>
                <w:rFonts w:cs="Calibri"/>
                <w:color w:val="000000"/>
                <w:sz w:val="18"/>
                <w:szCs w:val="20"/>
              </w:rPr>
            </w:pPr>
            <w:r w:rsidRPr="00B2711F">
              <w:rPr>
                <w:rFonts w:cs="Calibri"/>
                <w:color w:val="000000"/>
                <w:sz w:val="18"/>
                <w:szCs w:val="20"/>
              </w:rPr>
              <w:t>98,2</w:t>
            </w:r>
          </w:p>
        </w:tc>
        <w:tc>
          <w:tcPr>
            <w:tcW w:w="0" w:type="auto"/>
            <w:tcBorders>
              <w:top w:val="nil"/>
              <w:left w:val="nil"/>
              <w:bottom w:val="single" w:sz="4" w:space="0" w:color="auto"/>
              <w:right w:val="single" w:sz="4" w:space="0" w:color="auto"/>
            </w:tcBorders>
            <w:shd w:val="clear" w:color="auto" w:fill="auto"/>
            <w:noWrap/>
            <w:vAlign w:val="center"/>
            <w:hideMark/>
          </w:tcPr>
          <w:p w14:paraId="576548AC" w14:textId="77777777" w:rsidR="00116CFB" w:rsidRPr="00B2711F" w:rsidRDefault="00116CFB" w:rsidP="004742DC">
            <w:pPr>
              <w:jc w:val="center"/>
              <w:rPr>
                <w:rFonts w:cs="Calibri"/>
                <w:color w:val="000000"/>
                <w:sz w:val="18"/>
                <w:szCs w:val="20"/>
              </w:rPr>
            </w:pPr>
            <w:r w:rsidRPr="00B2711F">
              <w:rPr>
                <w:rFonts w:cs="Calibri"/>
                <w:color w:val="000000"/>
                <w:sz w:val="18"/>
                <w:szCs w:val="20"/>
              </w:rPr>
              <w:t>-</w:t>
            </w:r>
          </w:p>
        </w:tc>
      </w:tr>
    </w:tbl>
    <w:p w14:paraId="535D897E" w14:textId="77777777" w:rsidR="00116CFB" w:rsidRPr="00D21299" w:rsidRDefault="00116CFB" w:rsidP="001245CE">
      <w:pPr>
        <w:spacing w:before="0"/>
        <w:rPr>
          <w:i/>
          <w:sz w:val="18"/>
          <w:szCs w:val="20"/>
        </w:rPr>
      </w:pPr>
      <w:r w:rsidRPr="00D21299">
        <w:rPr>
          <w:i/>
          <w:sz w:val="18"/>
          <w:szCs w:val="20"/>
        </w:rPr>
        <w:t>Źródło: dane GUS, STRATEG.</w:t>
      </w:r>
    </w:p>
    <w:p w14:paraId="467085B5" w14:textId="77777777" w:rsidR="00116CFB" w:rsidRPr="00801DB4" w:rsidRDefault="00116CFB" w:rsidP="00116CFB">
      <w:pPr>
        <w:rPr>
          <w:rFonts w:cs="Calibri"/>
          <w:szCs w:val="20"/>
        </w:rPr>
      </w:pPr>
      <w:r w:rsidRPr="00801DB4">
        <w:rPr>
          <w:rFonts w:cs="Calibri"/>
          <w:szCs w:val="20"/>
        </w:rPr>
        <w:t>Podsumowując,</w:t>
      </w:r>
      <w:r w:rsidR="00E66B89">
        <w:rPr>
          <w:rFonts w:cs="Calibri"/>
          <w:szCs w:val="20"/>
        </w:rPr>
        <w:t xml:space="preserve"> w </w:t>
      </w:r>
      <w:r w:rsidRPr="00801DB4">
        <w:rPr>
          <w:rFonts w:cs="Calibri"/>
          <w:szCs w:val="20"/>
        </w:rPr>
        <w:t>roku 2017 79% mieszkańców regionu miało</w:t>
      </w:r>
      <w:r w:rsidR="00E66B89">
        <w:rPr>
          <w:rFonts w:cs="Calibri"/>
          <w:szCs w:val="20"/>
        </w:rPr>
        <w:t xml:space="preserve"> w </w:t>
      </w:r>
      <w:r w:rsidRPr="00801DB4">
        <w:rPr>
          <w:rFonts w:cs="Calibri"/>
          <w:szCs w:val="20"/>
        </w:rPr>
        <w:t xml:space="preserve">domu dostęp do Internetu szerokopasmowego. </w:t>
      </w:r>
      <w:r>
        <w:rPr>
          <w:rFonts w:cs="Calibri"/>
          <w:szCs w:val="20"/>
        </w:rPr>
        <w:t>Jeszcze lepiej wygląda sytuacja dotycząca</w:t>
      </w:r>
      <w:r w:rsidRPr="00801DB4">
        <w:rPr>
          <w:rFonts w:cs="Calibri"/>
          <w:szCs w:val="20"/>
        </w:rPr>
        <w:t xml:space="preserve"> odsetka przedsiębiorstw posiadających </w:t>
      </w:r>
      <w:r>
        <w:rPr>
          <w:rFonts w:cs="Calibri"/>
          <w:szCs w:val="20"/>
        </w:rPr>
        <w:t xml:space="preserve">tego typu </w:t>
      </w:r>
      <w:r w:rsidRPr="00801DB4">
        <w:rPr>
          <w:rFonts w:cs="Calibri"/>
          <w:szCs w:val="20"/>
        </w:rPr>
        <w:t>dostęp –</w:t>
      </w:r>
      <w:r w:rsidR="00E66B89">
        <w:rPr>
          <w:rFonts w:cs="Calibri"/>
          <w:szCs w:val="20"/>
        </w:rPr>
        <w:t xml:space="preserve"> w </w:t>
      </w:r>
      <w:r w:rsidRPr="00801DB4">
        <w:rPr>
          <w:rFonts w:cs="Calibri"/>
          <w:szCs w:val="20"/>
        </w:rPr>
        <w:t>roku 2017 wskaźnik wyniósł już 95,8%. Dane na temat wyposażenia mieszkańców oraz firm</w:t>
      </w:r>
      <w:r w:rsidR="00E66B89">
        <w:rPr>
          <w:rFonts w:cs="Calibri"/>
          <w:szCs w:val="20"/>
        </w:rPr>
        <w:t xml:space="preserve"> w </w:t>
      </w:r>
      <w:r w:rsidRPr="00801DB4">
        <w:rPr>
          <w:rFonts w:cs="Calibri"/>
          <w:szCs w:val="20"/>
        </w:rPr>
        <w:t>infrastrukturę ICT wskazują, że</w:t>
      </w:r>
      <w:r w:rsidR="00E66B89">
        <w:rPr>
          <w:rFonts w:cs="Calibri"/>
          <w:szCs w:val="20"/>
        </w:rPr>
        <w:t xml:space="preserve"> w </w:t>
      </w:r>
      <w:r w:rsidRPr="00801DB4">
        <w:rPr>
          <w:rFonts w:cs="Calibri"/>
          <w:szCs w:val="20"/>
        </w:rPr>
        <w:t>obszarze tym nadal istnieją potrzeby – województwo plasuje się co prawda powyżej średniej dla kraju, jednak</w:t>
      </w:r>
      <w:r w:rsidR="00E66B89">
        <w:rPr>
          <w:rFonts w:cs="Calibri"/>
          <w:szCs w:val="20"/>
        </w:rPr>
        <w:t xml:space="preserve"> w </w:t>
      </w:r>
      <w:r w:rsidRPr="00801DB4">
        <w:rPr>
          <w:rFonts w:cs="Calibri"/>
          <w:szCs w:val="20"/>
        </w:rPr>
        <w:t>obu przypadkach wyprzedza je 6-7 innych regionów. Trzeba jednak mieć na uwadze, że wsparcie</w:t>
      </w:r>
      <w:r w:rsidR="00E66B89">
        <w:rPr>
          <w:rFonts w:cs="Calibri"/>
          <w:szCs w:val="20"/>
        </w:rPr>
        <w:t xml:space="preserve"> w </w:t>
      </w:r>
      <w:r w:rsidRPr="00801DB4">
        <w:rPr>
          <w:rFonts w:cs="Calibri"/>
          <w:szCs w:val="20"/>
        </w:rPr>
        <w:t>ramach PI 2c RPO WZ 2014-2020 nie było nastawione na takiego rodzaju inwestycje, zatem nie można bezpośrednio mówić</w:t>
      </w:r>
      <w:r w:rsidR="00E66B89">
        <w:rPr>
          <w:rFonts w:cs="Calibri"/>
          <w:szCs w:val="20"/>
        </w:rPr>
        <w:t xml:space="preserve"> o </w:t>
      </w:r>
      <w:r w:rsidRPr="00801DB4">
        <w:rPr>
          <w:rFonts w:cs="Calibri"/>
          <w:szCs w:val="20"/>
        </w:rPr>
        <w:t>wpływie interwencji</w:t>
      </w:r>
      <w:r w:rsidR="00E66B89">
        <w:rPr>
          <w:rFonts w:cs="Calibri"/>
          <w:szCs w:val="20"/>
        </w:rPr>
        <w:t xml:space="preserve"> w </w:t>
      </w:r>
      <w:r w:rsidRPr="00801DB4">
        <w:rPr>
          <w:rFonts w:cs="Calibri"/>
          <w:szCs w:val="20"/>
        </w:rPr>
        <w:t>tym obszarze. Aspekt infrastrukturalny</w:t>
      </w:r>
      <w:r w:rsidR="00E66B89">
        <w:rPr>
          <w:rFonts w:cs="Calibri"/>
          <w:szCs w:val="20"/>
        </w:rPr>
        <w:t xml:space="preserve"> z </w:t>
      </w:r>
      <w:r w:rsidRPr="00801DB4">
        <w:rPr>
          <w:rFonts w:cs="Calibri"/>
          <w:szCs w:val="20"/>
        </w:rPr>
        <w:t>pewnością może być jednak analizowany jako jeden</w:t>
      </w:r>
      <w:r w:rsidR="00E66B89">
        <w:rPr>
          <w:rFonts w:cs="Calibri"/>
          <w:szCs w:val="20"/>
        </w:rPr>
        <w:t xml:space="preserve"> z </w:t>
      </w:r>
      <w:r w:rsidRPr="00801DB4">
        <w:rPr>
          <w:rFonts w:cs="Calibri"/>
          <w:szCs w:val="20"/>
        </w:rPr>
        <w:t>czynników wpływających na identyfikowane</w:t>
      </w:r>
      <w:r w:rsidR="00E66B89">
        <w:rPr>
          <w:rFonts w:cs="Calibri"/>
          <w:szCs w:val="20"/>
        </w:rPr>
        <w:t xml:space="preserve"> w </w:t>
      </w:r>
      <w:r w:rsidRPr="00801DB4">
        <w:rPr>
          <w:rFonts w:cs="Calibri"/>
          <w:szCs w:val="20"/>
        </w:rPr>
        <w:t>ramach badania efekty dofinansowanych projektów,</w:t>
      </w:r>
      <w:r w:rsidR="00E66B89">
        <w:rPr>
          <w:rFonts w:cs="Calibri"/>
          <w:szCs w:val="20"/>
        </w:rPr>
        <w:t xml:space="preserve"> w </w:t>
      </w:r>
      <w:r w:rsidRPr="00801DB4">
        <w:rPr>
          <w:rFonts w:cs="Calibri"/>
          <w:szCs w:val="20"/>
        </w:rPr>
        <w:t>tym przede wszystkim na wskaźnik rezultatu dotyczący korzystania</w:t>
      </w:r>
      <w:r w:rsidR="00E66B89">
        <w:rPr>
          <w:rFonts w:cs="Calibri"/>
          <w:szCs w:val="20"/>
        </w:rPr>
        <w:t xml:space="preserve"> z </w:t>
      </w:r>
      <w:r w:rsidRPr="00801DB4">
        <w:rPr>
          <w:rFonts w:cs="Calibri"/>
          <w:szCs w:val="20"/>
        </w:rPr>
        <w:t>e-administracji. Innym czynnikiem zewnętrznym, który może mieć wpływ na uzyskiwane efekty interwencji są kompetencje cyfrowe mieszkańców – zgodnie</w:t>
      </w:r>
      <w:r w:rsidR="00E66B89">
        <w:rPr>
          <w:rFonts w:cs="Calibri"/>
          <w:szCs w:val="20"/>
        </w:rPr>
        <w:t xml:space="preserve"> z </w:t>
      </w:r>
      <w:r w:rsidRPr="00801DB4">
        <w:rPr>
          <w:rFonts w:cs="Calibri"/>
          <w:szCs w:val="20"/>
        </w:rPr>
        <w:t>danymi</w:t>
      </w:r>
      <w:r>
        <w:rPr>
          <w:rFonts w:cs="Calibri"/>
          <w:szCs w:val="20"/>
        </w:rPr>
        <w:t xml:space="preserve"> strateg.gov.pl</w:t>
      </w:r>
      <w:r w:rsidRPr="00801DB4">
        <w:rPr>
          <w:rFonts w:cs="Calibri"/>
          <w:szCs w:val="20"/>
        </w:rPr>
        <w:t>,</w:t>
      </w:r>
      <w:r w:rsidR="00E66B89">
        <w:rPr>
          <w:rFonts w:cs="Calibri"/>
          <w:szCs w:val="20"/>
        </w:rPr>
        <w:t xml:space="preserve"> w </w:t>
      </w:r>
      <w:r w:rsidRPr="00801DB4">
        <w:rPr>
          <w:rFonts w:cs="Calibri"/>
          <w:szCs w:val="20"/>
        </w:rPr>
        <w:t>201</w:t>
      </w:r>
      <w:r>
        <w:rPr>
          <w:rFonts w:cs="Calibri"/>
          <w:szCs w:val="20"/>
        </w:rPr>
        <w:t>8</w:t>
      </w:r>
      <w:r w:rsidRPr="00801DB4">
        <w:rPr>
          <w:rFonts w:cs="Calibri"/>
          <w:szCs w:val="20"/>
        </w:rPr>
        <w:t xml:space="preserve"> roku </w:t>
      </w:r>
      <w:r>
        <w:rPr>
          <w:rFonts w:cs="Calibri"/>
          <w:szCs w:val="20"/>
        </w:rPr>
        <w:t>47,3</w:t>
      </w:r>
      <w:r w:rsidRPr="00801DB4">
        <w:rPr>
          <w:rFonts w:cs="Calibri"/>
          <w:szCs w:val="20"/>
        </w:rPr>
        <w:t>% mieszkańców</w:t>
      </w:r>
      <w:r>
        <w:rPr>
          <w:rFonts w:cs="Calibri"/>
          <w:szCs w:val="20"/>
        </w:rPr>
        <w:t xml:space="preserve"> regionu</w:t>
      </w:r>
      <w:r w:rsidRPr="00801DB4">
        <w:rPr>
          <w:rFonts w:cs="Calibri"/>
          <w:szCs w:val="20"/>
        </w:rPr>
        <w:t xml:space="preserve"> posiadało podstawowe lub ponadpodstawowe umiejętności cyfrowe (</w:t>
      </w:r>
      <w:r>
        <w:rPr>
          <w:rFonts w:cs="Calibri"/>
          <w:szCs w:val="20"/>
        </w:rPr>
        <w:t>3</w:t>
      </w:r>
      <w:r w:rsidRPr="00801DB4">
        <w:rPr>
          <w:rFonts w:cs="Calibri"/>
          <w:szCs w:val="20"/>
        </w:rPr>
        <w:t xml:space="preserve"> miejsce</w:t>
      </w:r>
      <w:r w:rsidR="00E66B89">
        <w:rPr>
          <w:rFonts w:cs="Calibri"/>
          <w:szCs w:val="20"/>
        </w:rPr>
        <w:t xml:space="preserve"> w </w:t>
      </w:r>
      <w:r w:rsidRPr="00801DB4">
        <w:rPr>
          <w:rFonts w:cs="Calibri"/>
          <w:szCs w:val="20"/>
        </w:rPr>
        <w:t xml:space="preserve">skali kraju). Oznacza to jednak, że niemal </w:t>
      </w:r>
      <w:r>
        <w:rPr>
          <w:rFonts w:cs="Calibri"/>
          <w:szCs w:val="20"/>
        </w:rPr>
        <w:t>5</w:t>
      </w:r>
      <w:r w:rsidRPr="00801DB4">
        <w:rPr>
          <w:rFonts w:cs="Calibri"/>
          <w:szCs w:val="20"/>
        </w:rPr>
        <w:t>3% mieszkańców nie dysponowało wówczas żadnymi umiejętnościami tego typu. Istotne dla wdrażania interwencji są</w:t>
      </w:r>
      <w:r w:rsidR="00E66B89">
        <w:rPr>
          <w:rFonts w:cs="Calibri"/>
          <w:szCs w:val="20"/>
        </w:rPr>
        <w:t xml:space="preserve"> z </w:t>
      </w:r>
      <w:r w:rsidRPr="00801DB4">
        <w:rPr>
          <w:rFonts w:cs="Calibri"/>
          <w:szCs w:val="20"/>
        </w:rPr>
        <w:t>pewnością dane dotyczące podaży e-usług wśród urzędów.</w:t>
      </w:r>
      <w:r w:rsidR="00E66B89">
        <w:rPr>
          <w:rFonts w:cs="Calibri"/>
          <w:szCs w:val="20"/>
        </w:rPr>
        <w:t xml:space="preserve"> Z </w:t>
      </w:r>
      <w:r w:rsidRPr="00801DB4">
        <w:rPr>
          <w:rFonts w:cs="Calibri"/>
          <w:szCs w:val="20"/>
        </w:rPr>
        <w:t>uwagi jednak na brak nowych danych, można jedynie oprzeć się na danych</w:t>
      </w:r>
      <w:r w:rsidR="00E66B89">
        <w:rPr>
          <w:rFonts w:cs="Calibri"/>
          <w:szCs w:val="20"/>
        </w:rPr>
        <w:t xml:space="preserve"> z </w:t>
      </w:r>
      <w:r w:rsidRPr="00801DB4">
        <w:rPr>
          <w:rFonts w:cs="Calibri"/>
          <w:szCs w:val="20"/>
        </w:rPr>
        <w:t>lat 2012</w:t>
      </w:r>
      <w:r w:rsidR="00E66B89">
        <w:rPr>
          <w:rFonts w:cs="Calibri"/>
          <w:szCs w:val="20"/>
        </w:rPr>
        <w:t xml:space="preserve"> i </w:t>
      </w:r>
      <w:r w:rsidRPr="00801DB4">
        <w:rPr>
          <w:rFonts w:cs="Calibri"/>
          <w:szCs w:val="20"/>
        </w:rPr>
        <w:t>2015 –</w:t>
      </w:r>
      <w:r w:rsidR="00E66B89">
        <w:rPr>
          <w:rFonts w:cs="Calibri"/>
          <w:szCs w:val="20"/>
        </w:rPr>
        <w:t xml:space="preserve"> w </w:t>
      </w:r>
      <w:r w:rsidRPr="00801DB4">
        <w:rPr>
          <w:rFonts w:cs="Calibri"/>
          <w:szCs w:val="20"/>
        </w:rPr>
        <w:t>regionie zachodniopomorskim,</w:t>
      </w:r>
      <w:r w:rsidR="00E66B89">
        <w:rPr>
          <w:rFonts w:cs="Calibri"/>
          <w:szCs w:val="20"/>
        </w:rPr>
        <w:t xml:space="preserve"> w </w:t>
      </w:r>
      <w:r w:rsidRPr="00801DB4">
        <w:rPr>
          <w:rFonts w:cs="Calibri"/>
          <w:szCs w:val="20"/>
        </w:rPr>
        <w:t>roku 2015</w:t>
      </w:r>
      <w:r>
        <w:rPr>
          <w:rFonts w:cs="Calibri"/>
          <w:szCs w:val="20"/>
        </w:rPr>
        <w:t>,</w:t>
      </w:r>
      <w:r w:rsidRPr="00801DB4">
        <w:rPr>
          <w:rFonts w:cs="Calibri"/>
          <w:szCs w:val="20"/>
        </w:rPr>
        <w:t xml:space="preserve"> 47% urzędów udostępniało usługi elektroniczne inne niż oparte</w:t>
      </w:r>
      <w:r w:rsidR="00E66B89">
        <w:rPr>
          <w:rFonts w:cs="Calibri"/>
          <w:szCs w:val="20"/>
        </w:rPr>
        <w:t xml:space="preserve"> o </w:t>
      </w:r>
      <w:r w:rsidRPr="00801DB4">
        <w:rPr>
          <w:rFonts w:cs="Calibri"/>
          <w:szCs w:val="20"/>
        </w:rPr>
        <w:t>tzw. wzór pisma ogólnego (w 2012 r. było to 39%).</w:t>
      </w:r>
      <w:r w:rsidR="00E66B89">
        <w:rPr>
          <w:rFonts w:cs="Calibri"/>
          <w:szCs w:val="20"/>
        </w:rPr>
        <w:t xml:space="preserve"> W </w:t>
      </w:r>
      <w:r>
        <w:rPr>
          <w:rFonts w:cs="Calibri"/>
          <w:szCs w:val="20"/>
        </w:rPr>
        <w:t>dalszym ciągu nieduży odsetek jednostek administracji publicznej</w:t>
      </w:r>
      <w:r w:rsidR="00E66B89">
        <w:rPr>
          <w:rFonts w:cs="Calibri"/>
          <w:szCs w:val="20"/>
        </w:rPr>
        <w:t xml:space="preserve"> w </w:t>
      </w:r>
      <w:r>
        <w:rPr>
          <w:rFonts w:cs="Calibri"/>
          <w:szCs w:val="20"/>
        </w:rPr>
        <w:t>regionie udostępnia aplikacje mobilne do korzystania</w:t>
      </w:r>
      <w:r w:rsidR="00E66B89">
        <w:rPr>
          <w:rFonts w:cs="Calibri"/>
          <w:szCs w:val="20"/>
        </w:rPr>
        <w:t xml:space="preserve"> z </w:t>
      </w:r>
      <w:r>
        <w:rPr>
          <w:rFonts w:cs="Calibri"/>
          <w:szCs w:val="20"/>
        </w:rPr>
        <w:t>e</w:t>
      </w:r>
      <w:r w:rsidR="00AE7A5F">
        <w:rPr>
          <w:rFonts w:cs="Calibri"/>
          <w:szCs w:val="20"/>
        </w:rPr>
        <w:t>-</w:t>
      </w:r>
      <w:r>
        <w:rPr>
          <w:rFonts w:cs="Calibri"/>
          <w:szCs w:val="20"/>
        </w:rPr>
        <w:t>usług (14,8%) oraz posiada politykę lub strategię</w:t>
      </w:r>
      <w:r w:rsidR="00E66B89">
        <w:rPr>
          <w:rFonts w:cs="Calibri"/>
          <w:szCs w:val="20"/>
        </w:rPr>
        <w:t xml:space="preserve"> w </w:t>
      </w:r>
      <w:r>
        <w:rPr>
          <w:rFonts w:cs="Calibri"/>
          <w:szCs w:val="20"/>
        </w:rPr>
        <w:t xml:space="preserve">zakresie Open data (5,2%). </w:t>
      </w:r>
      <w:r w:rsidRPr="00801DB4">
        <w:rPr>
          <w:rFonts w:cs="Calibri"/>
          <w:szCs w:val="20"/>
        </w:rPr>
        <w:t>Wartoś</w:t>
      </w:r>
      <w:r>
        <w:rPr>
          <w:rFonts w:cs="Calibri"/>
          <w:szCs w:val="20"/>
        </w:rPr>
        <w:t>ci</w:t>
      </w:r>
      <w:r w:rsidRPr="00801DB4">
        <w:rPr>
          <w:rFonts w:cs="Calibri"/>
          <w:szCs w:val="20"/>
        </w:rPr>
        <w:t xml:space="preserve"> t</w:t>
      </w:r>
      <w:r>
        <w:rPr>
          <w:rFonts w:cs="Calibri"/>
          <w:szCs w:val="20"/>
        </w:rPr>
        <w:t>e</w:t>
      </w:r>
      <w:r w:rsidRPr="00801DB4">
        <w:rPr>
          <w:rFonts w:cs="Calibri"/>
          <w:szCs w:val="20"/>
        </w:rPr>
        <w:t xml:space="preserve"> stanowić mo</w:t>
      </w:r>
      <w:r>
        <w:rPr>
          <w:rFonts w:cs="Calibri"/>
          <w:szCs w:val="20"/>
        </w:rPr>
        <w:t>gą</w:t>
      </w:r>
      <w:r w:rsidRPr="00801DB4">
        <w:rPr>
          <w:rFonts w:cs="Calibri"/>
          <w:szCs w:val="20"/>
        </w:rPr>
        <w:t xml:space="preserve"> potwierdzenie trafności</w:t>
      </w:r>
      <w:r w:rsidR="00E66B89">
        <w:rPr>
          <w:rFonts w:cs="Calibri"/>
          <w:szCs w:val="20"/>
        </w:rPr>
        <w:t xml:space="preserve"> i </w:t>
      </w:r>
      <w:r w:rsidRPr="00801DB4">
        <w:rPr>
          <w:rFonts w:cs="Calibri"/>
          <w:szCs w:val="20"/>
        </w:rPr>
        <w:t>użyteczności zaplanowanej</w:t>
      </w:r>
      <w:r w:rsidR="00E66B89">
        <w:rPr>
          <w:rFonts w:cs="Calibri"/>
          <w:szCs w:val="20"/>
        </w:rPr>
        <w:t xml:space="preserve"> w </w:t>
      </w:r>
      <w:r w:rsidRPr="00801DB4">
        <w:rPr>
          <w:rFonts w:cs="Calibri"/>
          <w:szCs w:val="20"/>
        </w:rPr>
        <w:t>ramach PI 2c interwencji – wskazuj</w:t>
      </w:r>
      <w:r>
        <w:rPr>
          <w:rFonts w:cs="Calibri"/>
          <w:szCs w:val="20"/>
        </w:rPr>
        <w:t>ą</w:t>
      </w:r>
      <w:r w:rsidRPr="00801DB4">
        <w:rPr>
          <w:rFonts w:cs="Calibri"/>
          <w:szCs w:val="20"/>
        </w:rPr>
        <w:t xml:space="preserve"> bowiem na dość duże potrzeby wśród urzędów na korzystanie ze wsparcia kierowanego na rozwój zaawansowanych e-usług. Niedostateczny poziom dostępu obywateli do publicznych informacji, zasobów</w:t>
      </w:r>
      <w:r w:rsidR="00E66B89">
        <w:rPr>
          <w:rFonts w:cs="Calibri"/>
          <w:szCs w:val="20"/>
        </w:rPr>
        <w:t xml:space="preserve"> i </w:t>
      </w:r>
      <w:r w:rsidRPr="00801DB4">
        <w:rPr>
          <w:rFonts w:cs="Calibri"/>
          <w:szCs w:val="20"/>
        </w:rPr>
        <w:t>usług cyfrowych świadczonych przez administrację bezpośrednio wpływa zaś na poziom korzystania</w:t>
      </w:r>
      <w:r w:rsidR="00E66B89">
        <w:rPr>
          <w:rFonts w:cs="Calibri"/>
          <w:szCs w:val="20"/>
        </w:rPr>
        <w:t xml:space="preserve"> z </w:t>
      </w:r>
      <w:r w:rsidRPr="00801DB4">
        <w:rPr>
          <w:rFonts w:cs="Calibri"/>
          <w:szCs w:val="20"/>
        </w:rPr>
        <w:t>e-usług. Analizując jednak popyt na e-usługi warto,</w:t>
      </w:r>
      <w:r w:rsidR="00E66B89">
        <w:rPr>
          <w:rFonts w:cs="Calibri"/>
          <w:szCs w:val="20"/>
        </w:rPr>
        <w:t xml:space="preserve"> z </w:t>
      </w:r>
      <w:r w:rsidRPr="00801DB4">
        <w:rPr>
          <w:rFonts w:cs="Calibri"/>
          <w:szCs w:val="20"/>
        </w:rPr>
        <w:t xml:space="preserve">jednej strony, podkreślić relatywnie wysoki odsetek przedsiębiorstw </w:t>
      </w:r>
      <w:r w:rsidRPr="00801DB4">
        <w:rPr>
          <w:rFonts w:eastAsia="Lato" w:cs="Calibri"/>
          <w:szCs w:val="20"/>
        </w:rPr>
        <w:t>korzystających</w:t>
      </w:r>
      <w:r w:rsidR="00E66B89">
        <w:rPr>
          <w:rFonts w:eastAsia="Lato" w:cs="Calibri"/>
          <w:szCs w:val="20"/>
        </w:rPr>
        <w:t xml:space="preserve"> z </w:t>
      </w:r>
      <w:r w:rsidRPr="00801DB4">
        <w:rPr>
          <w:rFonts w:eastAsia="Lato" w:cs="Calibri"/>
          <w:szCs w:val="20"/>
        </w:rPr>
        <w:t>Internetu</w:t>
      </w:r>
      <w:r w:rsidR="00E66B89">
        <w:rPr>
          <w:rFonts w:eastAsia="Lato" w:cs="Calibri"/>
          <w:szCs w:val="20"/>
        </w:rPr>
        <w:t xml:space="preserve"> w </w:t>
      </w:r>
      <w:r w:rsidRPr="00801DB4">
        <w:rPr>
          <w:rFonts w:cs="Calibri"/>
          <w:color w:val="000000"/>
          <w:szCs w:val="20"/>
        </w:rPr>
        <w:t>kontaktach</w:t>
      </w:r>
      <w:r w:rsidR="00E66B89">
        <w:rPr>
          <w:rFonts w:eastAsia="Lato" w:cs="Calibri"/>
          <w:szCs w:val="20"/>
        </w:rPr>
        <w:t xml:space="preserve"> z </w:t>
      </w:r>
      <w:r w:rsidRPr="00801DB4">
        <w:rPr>
          <w:rFonts w:eastAsia="Lato" w:cs="Calibri"/>
          <w:szCs w:val="20"/>
        </w:rPr>
        <w:t>administracją publiczną</w:t>
      </w:r>
      <w:r w:rsidR="00E66B89">
        <w:rPr>
          <w:rFonts w:eastAsia="Lato" w:cs="Calibri"/>
          <w:szCs w:val="20"/>
        </w:rPr>
        <w:t xml:space="preserve"> w </w:t>
      </w:r>
      <w:r w:rsidRPr="00801DB4">
        <w:rPr>
          <w:rFonts w:cs="Calibri"/>
          <w:szCs w:val="20"/>
        </w:rPr>
        <w:t>celu odsyłania wypełnionych formularzy</w:t>
      </w:r>
      <w:r w:rsidR="00E66B89">
        <w:rPr>
          <w:rFonts w:cs="Calibri"/>
          <w:szCs w:val="20"/>
        </w:rPr>
        <w:t xml:space="preserve"> w </w:t>
      </w:r>
      <w:r w:rsidRPr="00801DB4">
        <w:rPr>
          <w:rFonts w:cs="Calibri"/>
          <w:szCs w:val="20"/>
        </w:rPr>
        <w:t>formie elektronicznej.</w:t>
      </w:r>
      <w:r w:rsidR="00E66B89">
        <w:rPr>
          <w:rFonts w:cs="Calibri"/>
          <w:szCs w:val="20"/>
        </w:rPr>
        <w:t xml:space="preserve"> Z </w:t>
      </w:r>
      <w:r w:rsidRPr="00801DB4">
        <w:rPr>
          <w:rFonts w:cs="Calibri"/>
          <w:szCs w:val="20"/>
        </w:rPr>
        <w:t>drugiej zaś strony, odsetek mieszkańców regionu korzystających</w:t>
      </w:r>
      <w:r w:rsidR="00E66B89">
        <w:rPr>
          <w:rFonts w:cs="Calibri"/>
          <w:szCs w:val="20"/>
        </w:rPr>
        <w:t xml:space="preserve"> z </w:t>
      </w:r>
      <w:r w:rsidRPr="00801DB4">
        <w:rPr>
          <w:rFonts w:cs="Calibri"/>
          <w:szCs w:val="20"/>
        </w:rPr>
        <w:t>e-administracji</w:t>
      </w:r>
      <w:r w:rsidR="00E66B89">
        <w:rPr>
          <w:rFonts w:cs="Calibri"/>
          <w:szCs w:val="20"/>
        </w:rPr>
        <w:t xml:space="preserve"> w </w:t>
      </w:r>
      <w:r w:rsidRPr="00801DB4">
        <w:rPr>
          <w:rFonts w:cs="Calibri"/>
          <w:szCs w:val="20"/>
        </w:rPr>
        <w:t>roku 2018 wyniósł 33,7 %,</w:t>
      </w:r>
      <w:r w:rsidR="00E66B89">
        <w:rPr>
          <w:rFonts w:cs="Calibri"/>
          <w:szCs w:val="20"/>
        </w:rPr>
        <w:t xml:space="preserve"> a </w:t>
      </w:r>
      <w:r w:rsidRPr="00801DB4">
        <w:rPr>
          <w:rFonts w:cs="Calibri"/>
          <w:szCs w:val="20"/>
        </w:rPr>
        <w:t>województwo zajmowało pod tym względem 9. pozycję wśród innych regionów – co jasno potwierdza, że</w:t>
      </w:r>
      <w:r w:rsidR="00E66B89">
        <w:rPr>
          <w:rFonts w:cs="Calibri"/>
          <w:szCs w:val="20"/>
        </w:rPr>
        <w:t xml:space="preserve"> w </w:t>
      </w:r>
      <w:r w:rsidRPr="00801DB4">
        <w:rPr>
          <w:rFonts w:cs="Calibri"/>
          <w:szCs w:val="20"/>
        </w:rPr>
        <w:t>tym aspekcie potrzeby nadal są aktualne. Wartości omówionych wskaźników oraz zajmowane przez region pozycje</w:t>
      </w:r>
      <w:r w:rsidR="00E66B89">
        <w:rPr>
          <w:rFonts w:cs="Calibri"/>
          <w:szCs w:val="20"/>
        </w:rPr>
        <w:t xml:space="preserve"> w </w:t>
      </w:r>
      <w:r w:rsidRPr="00801DB4">
        <w:rPr>
          <w:rFonts w:cs="Calibri"/>
          <w:szCs w:val="20"/>
        </w:rPr>
        <w:t>rankingach województw</w:t>
      </w:r>
      <w:r w:rsidR="00E66B89">
        <w:rPr>
          <w:rFonts w:cs="Calibri"/>
          <w:szCs w:val="20"/>
        </w:rPr>
        <w:t xml:space="preserve"> z </w:t>
      </w:r>
      <w:r w:rsidRPr="00801DB4">
        <w:rPr>
          <w:rFonts w:cs="Calibri"/>
          <w:szCs w:val="20"/>
        </w:rPr>
        <w:t>pewnością dowodzą słuszności założeń interwencji</w:t>
      </w:r>
      <w:r w:rsidR="00E66B89">
        <w:rPr>
          <w:rFonts w:cs="Calibri"/>
          <w:szCs w:val="20"/>
        </w:rPr>
        <w:t xml:space="preserve"> i </w:t>
      </w:r>
      <w:r w:rsidRPr="00801DB4">
        <w:rPr>
          <w:rFonts w:cs="Calibri"/>
          <w:szCs w:val="20"/>
        </w:rPr>
        <w:t>wskazują na konieczność kontynuacji tego kierunku wsparcia. Sytuacji nie zmienia fakt, że wartość wskaźnika rezultatu</w:t>
      </w:r>
      <w:r>
        <w:rPr>
          <w:rFonts w:cs="Calibri"/>
          <w:szCs w:val="20"/>
        </w:rPr>
        <w:t xml:space="preserve"> strategicznego</w:t>
      </w:r>
      <w:r w:rsidRPr="00801DB4">
        <w:rPr>
          <w:rFonts w:cs="Calibri"/>
          <w:szCs w:val="20"/>
        </w:rPr>
        <w:t xml:space="preserve"> </w:t>
      </w:r>
      <w:r w:rsidRPr="00801DB4">
        <w:rPr>
          <w:rFonts w:eastAsia="Lato" w:cs="Calibri"/>
          <w:i/>
          <w:szCs w:val="20"/>
        </w:rPr>
        <w:t>Odsetek obywateli korzystających</w:t>
      </w:r>
      <w:r w:rsidR="00E66B89">
        <w:rPr>
          <w:rFonts w:eastAsia="Lato" w:cs="Calibri"/>
          <w:i/>
          <w:szCs w:val="20"/>
        </w:rPr>
        <w:t xml:space="preserve"> z </w:t>
      </w:r>
      <w:r w:rsidRPr="00801DB4">
        <w:rPr>
          <w:rFonts w:eastAsia="Lato" w:cs="Calibri"/>
          <w:i/>
          <w:szCs w:val="20"/>
        </w:rPr>
        <w:t>e-administracji</w:t>
      </w:r>
      <w:r w:rsidR="00E66B89">
        <w:rPr>
          <w:rFonts w:cs="Calibri"/>
          <w:szCs w:val="20"/>
        </w:rPr>
        <w:t xml:space="preserve"> w </w:t>
      </w:r>
      <w:r w:rsidRPr="00801DB4">
        <w:rPr>
          <w:rFonts w:cs="Calibri"/>
          <w:szCs w:val="20"/>
        </w:rPr>
        <w:t>2018 roku przewyższyła już wartość docelową określoną</w:t>
      </w:r>
      <w:r w:rsidR="00E66B89">
        <w:rPr>
          <w:rFonts w:cs="Calibri"/>
          <w:szCs w:val="20"/>
        </w:rPr>
        <w:t xml:space="preserve"> w </w:t>
      </w:r>
      <w:r w:rsidRPr="00801DB4">
        <w:rPr>
          <w:rFonts w:cs="Calibri"/>
          <w:szCs w:val="20"/>
        </w:rPr>
        <w:t>Programie.</w:t>
      </w:r>
    </w:p>
    <w:p w14:paraId="65C64FE9" w14:textId="77777777" w:rsidR="00116CFB" w:rsidRPr="00801DB4" w:rsidRDefault="00116CFB" w:rsidP="00116CFB">
      <w:pPr>
        <w:pStyle w:val="Nagwek3"/>
      </w:pPr>
      <w:r w:rsidRPr="00801DB4">
        <w:t>Realizacja Ram Wykonania</w:t>
      </w:r>
      <w:r w:rsidR="00E66B89">
        <w:t xml:space="preserve"> w </w:t>
      </w:r>
      <w:r w:rsidRPr="00801DB4">
        <w:t xml:space="preserve">OP IX </w:t>
      </w:r>
    </w:p>
    <w:p w14:paraId="03F491B6" w14:textId="77777777" w:rsidR="00116CFB" w:rsidRPr="000A135E" w:rsidRDefault="00116CFB" w:rsidP="00116CFB">
      <w:pPr>
        <w:rPr>
          <w:color w:val="000000"/>
          <w:szCs w:val="20"/>
        </w:rPr>
      </w:pPr>
      <w:r w:rsidRPr="000A135E">
        <w:rPr>
          <w:szCs w:val="20"/>
        </w:rPr>
        <w:t xml:space="preserve">Cele pośrednie Ram Wykonania OP IX </w:t>
      </w:r>
      <w:r w:rsidRPr="008B706B">
        <w:rPr>
          <w:i/>
          <w:szCs w:val="20"/>
        </w:rPr>
        <w:t>Infrastruktura publiczna</w:t>
      </w:r>
      <w:r w:rsidRPr="000A135E">
        <w:rPr>
          <w:szCs w:val="20"/>
        </w:rPr>
        <w:t xml:space="preserve"> obejmują dwa wskaźniki </w:t>
      </w:r>
      <w:r w:rsidRPr="00425D31">
        <w:rPr>
          <w:szCs w:val="20"/>
        </w:rPr>
        <w:t>KEW:</w:t>
      </w:r>
      <w:r w:rsidRPr="008B706B">
        <w:rPr>
          <w:i/>
          <w:szCs w:val="20"/>
        </w:rPr>
        <w:t xml:space="preserve"> Liczba wspartych podmiotów leczniczych</w:t>
      </w:r>
      <w:r w:rsidR="00E66B89">
        <w:rPr>
          <w:i/>
          <w:szCs w:val="20"/>
        </w:rPr>
        <w:t xml:space="preserve"> w </w:t>
      </w:r>
      <w:r w:rsidRPr="008B706B">
        <w:rPr>
          <w:i/>
          <w:szCs w:val="20"/>
        </w:rPr>
        <w:t>podpisanych umowac</w:t>
      </w:r>
      <w:r w:rsidRPr="000A135E">
        <w:rPr>
          <w:szCs w:val="20"/>
        </w:rPr>
        <w:t xml:space="preserve">h (Działanie 9.1. </w:t>
      </w:r>
      <w:r w:rsidRPr="008B706B">
        <w:rPr>
          <w:i/>
          <w:szCs w:val="20"/>
        </w:rPr>
        <w:t>Infrastruktura zdrowia</w:t>
      </w:r>
      <w:r w:rsidRPr="000A135E">
        <w:rPr>
          <w:szCs w:val="20"/>
        </w:rPr>
        <w:t xml:space="preserve">) oraz </w:t>
      </w:r>
      <w:r w:rsidRPr="008B706B">
        <w:rPr>
          <w:i/>
          <w:szCs w:val="20"/>
        </w:rPr>
        <w:t>Powierzchnia obszarów objętych rewitalizacją</w:t>
      </w:r>
      <w:r w:rsidR="00E66B89">
        <w:rPr>
          <w:i/>
          <w:szCs w:val="20"/>
        </w:rPr>
        <w:t xml:space="preserve"> w </w:t>
      </w:r>
      <w:r w:rsidRPr="008B706B">
        <w:rPr>
          <w:i/>
          <w:szCs w:val="20"/>
        </w:rPr>
        <w:t>podpisanych umowach</w:t>
      </w:r>
      <w:r w:rsidRPr="000A135E">
        <w:rPr>
          <w:szCs w:val="20"/>
        </w:rPr>
        <w:t xml:space="preserve"> (Działanie 9.3. </w:t>
      </w:r>
      <w:r w:rsidRPr="008B706B">
        <w:rPr>
          <w:i/>
          <w:szCs w:val="20"/>
        </w:rPr>
        <w:t>Wspieranie rewitalizacji</w:t>
      </w:r>
      <w:r w:rsidR="00E66B89">
        <w:rPr>
          <w:i/>
          <w:szCs w:val="20"/>
        </w:rPr>
        <w:t xml:space="preserve"> w </w:t>
      </w:r>
      <w:r w:rsidRPr="008B706B">
        <w:rPr>
          <w:i/>
          <w:szCs w:val="20"/>
        </w:rPr>
        <w:t>sferze fizycznej, gospodarczej</w:t>
      </w:r>
      <w:r w:rsidR="00E66B89">
        <w:rPr>
          <w:i/>
          <w:szCs w:val="20"/>
        </w:rPr>
        <w:t xml:space="preserve"> i </w:t>
      </w:r>
      <w:r w:rsidRPr="008B706B">
        <w:rPr>
          <w:i/>
          <w:szCs w:val="20"/>
        </w:rPr>
        <w:t>społecznej ubogich społeczności</w:t>
      </w:r>
      <w:r w:rsidR="00E66B89">
        <w:rPr>
          <w:i/>
          <w:szCs w:val="20"/>
        </w:rPr>
        <w:t xml:space="preserve"> i </w:t>
      </w:r>
      <w:r w:rsidRPr="008B706B">
        <w:rPr>
          <w:i/>
          <w:szCs w:val="20"/>
        </w:rPr>
        <w:t>obszarów miejskich</w:t>
      </w:r>
      <w:r w:rsidR="00E66B89">
        <w:rPr>
          <w:i/>
          <w:szCs w:val="20"/>
        </w:rPr>
        <w:t xml:space="preserve"> i </w:t>
      </w:r>
      <w:r w:rsidRPr="008B706B">
        <w:rPr>
          <w:i/>
          <w:szCs w:val="20"/>
        </w:rPr>
        <w:t>wiejskich</w:t>
      </w:r>
      <w:r w:rsidRPr="000A135E">
        <w:rPr>
          <w:szCs w:val="20"/>
        </w:rPr>
        <w:t>). Wskaźnik KEW to inaczej Kluczowy etap wdrażania</w:t>
      </w:r>
      <w:r>
        <w:rPr>
          <w:szCs w:val="20"/>
        </w:rPr>
        <w:t>,</w:t>
      </w:r>
      <w:r w:rsidRPr="000A135E">
        <w:rPr>
          <w:szCs w:val="20"/>
        </w:rPr>
        <w:t xml:space="preserve"> który jest stosowany wówczas, gdy wartość celu pośredniego oszacowana dla wskaźnika produktu jest równa zeru,</w:t>
      </w:r>
      <w:r>
        <w:rPr>
          <w:szCs w:val="20"/>
        </w:rPr>
        <w:t xml:space="preserve"> ale </w:t>
      </w:r>
      <w:r w:rsidRPr="000A135E">
        <w:rPr>
          <w:szCs w:val="20"/>
        </w:rPr>
        <w:t>może być stosowany również wtedy, gdy jest ona niewielka lub trudna do oszacowania. Jak wynika</w:t>
      </w:r>
      <w:r w:rsidR="00E66B89">
        <w:rPr>
          <w:szCs w:val="20"/>
        </w:rPr>
        <w:t xml:space="preserve"> z </w:t>
      </w:r>
      <w:r w:rsidRPr="000A135E">
        <w:rPr>
          <w:szCs w:val="20"/>
        </w:rPr>
        <w:t>wywiadów</w:t>
      </w:r>
      <w:r w:rsidR="00E66B89">
        <w:rPr>
          <w:szCs w:val="20"/>
        </w:rPr>
        <w:t xml:space="preserve"> z </w:t>
      </w:r>
      <w:r w:rsidRPr="000A135E">
        <w:rPr>
          <w:szCs w:val="20"/>
        </w:rPr>
        <w:t>przedstawicielami IZ RPO WZ 2014-2020,</w:t>
      </w:r>
      <w:r w:rsidR="00E66B89">
        <w:rPr>
          <w:szCs w:val="20"/>
        </w:rPr>
        <w:t xml:space="preserve"> w </w:t>
      </w:r>
      <w:r w:rsidRPr="000A135E">
        <w:rPr>
          <w:szCs w:val="20"/>
        </w:rPr>
        <w:t>przypadku zarówno wsparcia rewitalizacji jak</w:t>
      </w:r>
      <w:r w:rsidR="00E66B89">
        <w:rPr>
          <w:szCs w:val="20"/>
        </w:rPr>
        <w:t xml:space="preserve"> i </w:t>
      </w:r>
      <w:r w:rsidRPr="000A135E">
        <w:rPr>
          <w:szCs w:val="20"/>
        </w:rPr>
        <w:t xml:space="preserve">obszaru </w:t>
      </w:r>
      <w:r w:rsidRPr="000A135E">
        <w:rPr>
          <w:szCs w:val="20"/>
        </w:rPr>
        <w:lastRenderedPageBreak/>
        <w:t>ochrony zdrowia</w:t>
      </w:r>
      <w:r>
        <w:rPr>
          <w:szCs w:val="20"/>
        </w:rPr>
        <w:t>,</w:t>
      </w:r>
      <w:r w:rsidRPr="000A135E">
        <w:rPr>
          <w:szCs w:val="20"/>
        </w:rPr>
        <w:t xml:space="preserve"> uwzględnienie </w:t>
      </w:r>
      <w:r>
        <w:rPr>
          <w:szCs w:val="20"/>
        </w:rPr>
        <w:t>KEW</w:t>
      </w:r>
      <w:r w:rsidRPr="000A135E">
        <w:rPr>
          <w:szCs w:val="20"/>
        </w:rPr>
        <w:t xml:space="preserve"> jako pomiaru celów pośrednich RW było skutkiem silnej interwencji czynników regulacyjnych, opóźniających kontraktację środków.</w:t>
      </w:r>
      <w:r w:rsidR="00E66B89">
        <w:rPr>
          <w:szCs w:val="20"/>
        </w:rPr>
        <w:t xml:space="preserve"> W </w:t>
      </w:r>
      <w:r w:rsidRPr="000A135E">
        <w:rPr>
          <w:szCs w:val="20"/>
        </w:rPr>
        <w:t>Działaniu 9.1. w</w:t>
      </w:r>
      <w:r w:rsidRPr="00404DA5">
        <w:rPr>
          <w:rFonts w:eastAsia="Calibri" w:cs="Calibri"/>
          <w:szCs w:val="20"/>
        </w:rPr>
        <w:t>ystąpiły opóźnienia</w:t>
      </w:r>
      <w:r w:rsidR="00E66B89">
        <w:rPr>
          <w:rFonts w:eastAsia="Calibri" w:cs="Calibri"/>
          <w:szCs w:val="20"/>
        </w:rPr>
        <w:t xml:space="preserve"> w </w:t>
      </w:r>
      <w:r w:rsidRPr="00404DA5">
        <w:rPr>
          <w:rFonts w:eastAsia="Calibri" w:cs="Calibri"/>
          <w:szCs w:val="20"/>
        </w:rPr>
        <w:t>ogłoszeniu tzw. map zdrowotnych, przygotowanych przez Ministerstwo Zdrowia, przy warunkowaniu pozyskania wsparcia od zgodności zakresu przedmiotowego interwencji</w:t>
      </w:r>
      <w:r w:rsidR="00E66B89">
        <w:rPr>
          <w:rFonts w:eastAsia="Calibri" w:cs="Calibri"/>
          <w:szCs w:val="20"/>
        </w:rPr>
        <w:t xml:space="preserve"> z </w:t>
      </w:r>
      <w:r w:rsidRPr="00404DA5">
        <w:rPr>
          <w:rFonts w:eastAsia="Calibri" w:cs="Calibri"/>
          <w:szCs w:val="20"/>
        </w:rPr>
        <w:t xml:space="preserve">wyżej wymienionymi mapami. </w:t>
      </w:r>
      <w:r w:rsidRPr="000A135E">
        <w:rPr>
          <w:szCs w:val="20"/>
        </w:rPr>
        <w:t>Przyczyną powolnej kontraktacji było także opóźnienie wdrażania związane</w:t>
      </w:r>
      <w:r w:rsidR="00E66B89">
        <w:rPr>
          <w:szCs w:val="20"/>
        </w:rPr>
        <w:t xml:space="preserve"> z </w:t>
      </w:r>
      <w:r w:rsidRPr="000A135E">
        <w:rPr>
          <w:szCs w:val="20"/>
        </w:rPr>
        <w:t>późniejszym zatwierdzeniem kryteriów wyboru projektów przez Komitet Sterujący ds. koordynacji interwencji EFSI</w:t>
      </w:r>
      <w:r w:rsidR="00E66B89">
        <w:rPr>
          <w:szCs w:val="20"/>
        </w:rPr>
        <w:t xml:space="preserve"> w </w:t>
      </w:r>
      <w:r w:rsidRPr="000A135E">
        <w:rPr>
          <w:szCs w:val="20"/>
        </w:rPr>
        <w:t>sektorze zdrowia</w:t>
      </w:r>
      <w:r>
        <w:rPr>
          <w:szCs w:val="20"/>
        </w:rPr>
        <w:t>.</w:t>
      </w:r>
      <w:r w:rsidR="00E66B89">
        <w:rPr>
          <w:szCs w:val="20"/>
        </w:rPr>
        <w:t xml:space="preserve"> W </w:t>
      </w:r>
      <w:r w:rsidRPr="000A135E">
        <w:rPr>
          <w:szCs w:val="20"/>
        </w:rPr>
        <w:t xml:space="preserve">Działaniu 9.3. </w:t>
      </w:r>
      <w:r w:rsidRPr="000A135E">
        <w:rPr>
          <w:color w:val="000000"/>
          <w:szCs w:val="20"/>
        </w:rPr>
        <w:t>czynniki prawne związane były</w:t>
      </w:r>
      <w:r w:rsidR="00E66B89">
        <w:rPr>
          <w:color w:val="000000"/>
          <w:szCs w:val="20"/>
        </w:rPr>
        <w:t xml:space="preserve"> w </w:t>
      </w:r>
      <w:r w:rsidRPr="000A135E">
        <w:rPr>
          <w:color w:val="000000"/>
          <w:szCs w:val="20"/>
        </w:rPr>
        <w:t>pierwszej kolejności</w:t>
      </w:r>
      <w:r w:rsidR="00E66B89">
        <w:rPr>
          <w:color w:val="000000"/>
          <w:szCs w:val="20"/>
        </w:rPr>
        <w:t xml:space="preserve"> z </w:t>
      </w:r>
      <w:r w:rsidRPr="000A135E">
        <w:rPr>
          <w:color w:val="000000"/>
          <w:szCs w:val="20"/>
        </w:rPr>
        <w:t>opóźnieniami</w:t>
      </w:r>
      <w:r w:rsidR="00E66B89">
        <w:rPr>
          <w:color w:val="000000"/>
          <w:szCs w:val="20"/>
        </w:rPr>
        <w:t xml:space="preserve"> w </w:t>
      </w:r>
      <w:r w:rsidRPr="000A135E">
        <w:rPr>
          <w:color w:val="000000"/>
          <w:szCs w:val="20"/>
        </w:rPr>
        <w:t>opracowywaniu dokumentów regulujących zakres rewitalizacji</w:t>
      </w:r>
      <w:r w:rsidR="00E66B89">
        <w:rPr>
          <w:color w:val="000000"/>
          <w:szCs w:val="20"/>
        </w:rPr>
        <w:t xml:space="preserve"> w </w:t>
      </w:r>
      <w:r w:rsidRPr="000A135E">
        <w:rPr>
          <w:color w:val="000000"/>
          <w:szCs w:val="20"/>
        </w:rPr>
        <w:t>okresie programowania 2014-2020. Regulacje prawne dla programów regionalnych obecnej perspektywy pociągnęły za sobą konieczność opracowania przez gminy nowych LPR, odnoszących się do określonych obszarów – kwartałów ulic oraz konieczność zatwierdzania przez IZ RPO WZ 2014-2020 opracowanych przez gminy programów rewitalizacji, które stanowiły warunek dostępu do wsparcia. Wystąpił więc kolejny czynnik opóźniający wdrażanie Programu – niewłaściwa jakość opracowywanych LPR. Przesłanki te zadecydowały</w:t>
      </w:r>
      <w:r w:rsidR="00E66B89">
        <w:rPr>
          <w:color w:val="000000"/>
          <w:szCs w:val="20"/>
        </w:rPr>
        <w:t xml:space="preserve"> o </w:t>
      </w:r>
      <w:r w:rsidRPr="000A135E">
        <w:rPr>
          <w:color w:val="000000"/>
          <w:szCs w:val="20"/>
        </w:rPr>
        <w:t>przyjęciu wskaźników KEW jako mierników postępu</w:t>
      </w:r>
      <w:r w:rsidR="00E66B89">
        <w:rPr>
          <w:color w:val="000000"/>
          <w:szCs w:val="20"/>
        </w:rPr>
        <w:t xml:space="preserve"> w </w:t>
      </w:r>
      <w:r w:rsidRPr="000A135E">
        <w:rPr>
          <w:color w:val="000000"/>
          <w:szCs w:val="20"/>
        </w:rPr>
        <w:t xml:space="preserve">realizacji celów pośrednich. Cel pośredni Ram Wykonania mierzony jest także wskaźnikiem finansowym – </w:t>
      </w:r>
      <w:r w:rsidRPr="008B706B">
        <w:rPr>
          <w:i/>
          <w:color w:val="000000"/>
          <w:szCs w:val="20"/>
        </w:rPr>
        <w:t>Całkowita kwota certyfikowanych wydatków kwalifikowalnych</w:t>
      </w:r>
      <w:r w:rsidRPr="000A135E">
        <w:rPr>
          <w:color w:val="000000"/>
          <w:szCs w:val="20"/>
        </w:rPr>
        <w:t xml:space="preserve">. </w:t>
      </w:r>
    </w:p>
    <w:p w14:paraId="5886B474" w14:textId="77777777" w:rsidR="00116CFB" w:rsidRPr="000A135E" w:rsidRDefault="00116CFB" w:rsidP="00116CFB">
      <w:pPr>
        <w:rPr>
          <w:color w:val="000000"/>
          <w:szCs w:val="20"/>
        </w:rPr>
      </w:pPr>
      <w:r w:rsidRPr="000A135E">
        <w:rPr>
          <w:color w:val="000000"/>
          <w:szCs w:val="20"/>
        </w:rPr>
        <w:t>Cele pośrednie RW zostały</w:t>
      </w:r>
      <w:r w:rsidR="00E66B89">
        <w:rPr>
          <w:color w:val="000000"/>
          <w:szCs w:val="20"/>
        </w:rPr>
        <w:t xml:space="preserve"> w </w:t>
      </w:r>
      <w:r w:rsidRPr="000A135E">
        <w:rPr>
          <w:color w:val="000000"/>
          <w:szCs w:val="20"/>
        </w:rPr>
        <w:t>OP IX znacznie przekroczone, co wynika</w:t>
      </w:r>
      <w:r w:rsidR="00E66B89">
        <w:rPr>
          <w:color w:val="000000"/>
          <w:szCs w:val="20"/>
        </w:rPr>
        <w:t xml:space="preserve"> z </w:t>
      </w:r>
      <w:r w:rsidRPr="000A135E">
        <w:rPr>
          <w:color w:val="000000"/>
          <w:szCs w:val="20"/>
        </w:rPr>
        <w:t>wysokiego zainteresowania beneficjentów pozyskaniem wsparcia. Rezerwa wykonania dla OP IX nie jest więc zagrożona.</w:t>
      </w:r>
    </w:p>
    <w:p w14:paraId="42C5AEF7" w14:textId="77777777" w:rsidR="00116CFB" w:rsidRPr="008B706B" w:rsidRDefault="00116CFB" w:rsidP="00116CFB">
      <w:r w:rsidRPr="00BE1E25">
        <w:t>Przekroczenie celów pośrednich</w:t>
      </w:r>
      <w:r w:rsidR="00E66B89">
        <w:t xml:space="preserve"> w </w:t>
      </w:r>
      <w:r w:rsidRPr="00BE1E25">
        <w:t>OP IX wynika również</w:t>
      </w:r>
      <w:r w:rsidR="00E66B89">
        <w:t xml:space="preserve"> z </w:t>
      </w:r>
      <w:r w:rsidRPr="00BE1E25">
        <w:t>niższych</w:t>
      </w:r>
      <w:r>
        <w:t>,</w:t>
      </w:r>
      <w:r w:rsidRPr="00BE1E25">
        <w:t xml:space="preserve"> niż zakładane na etapie programowania</w:t>
      </w:r>
      <w:r>
        <w:t>,</w:t>
      </w:r>
      <w:r w:rsidRPr="00BE1E25">
        <w:t xml:space="preserve"> kosztów jednostkowych przyrostu wskaźników RW.</w:t>
      </w:r>
      <w:r w:rsidR="00E66B89">
        <w:t xml:space="preserve"> W </w:t>
      </w:r>
      <w:r w:rsidRPr="00BE1E25">
        <w:t xml:space="preserve">przypadku wskaźnika </w:t>
      </w:r>
      <w:r w:rsidRPr="008B706B">
        <w:rPr>
          <w:i/>
        </w:rPr>
        <w:t>Powierzchnia obszarów objętych rewitalizacją</w:t>
      </w:r>
      <w:r w:rsidRPr="00BE1E25">
        <w:t xml:space="preserve"> średni koszt jednostkowy jego osiągania</w:t>
      </w:r>
      <w:r w:rsidR="00E66B89">
        <w:t xml:space="preserve"> w </w:t>
      </w:r>
      <w:r w:rsidRPr="00BE1E25">
        <w:t xml:space="preserve">realizowanych projektach wynosi </w:t>
      </w:r>
      <w:r w:rsidRPr="008B706B">
        <w:t xml:space="preserve">2 396 596,48 zł wobec </w:t>
      </w:r>
      <w:r w:rsidRPr="004D7DAD">
        <w:t>8 843 </w:t>
      </w:r>
      <w:r w:rsidRPr="008755C3">
        <w:t>945</w:t>
      </w:r>
      <w:r w:rsidRPr="007F116A">
        <w:t xml:space="preserve"> </w:t>
      </w:r>
      <w:r w:rsidRPr="006558FF">
        <w:t>zł założonych</w:t>
      </w:r>
      <w:r w:rsidR="00E66B89">
        <w:t xml:space="preserve"> w </w:t>
      </w:r>
      <w:r w:rsidRPr="006558FF">
        <w:t>Metodologii szacowani</w:t>
      </w:r>
      <w:r w:rsidRPr="008B706B">
        <w:t>a wartości docelowych wskaźników EFRR. Podobnie też średni koszt jednostkowy wsparcia podmiotów leczniczych wynikający</w:t>
      </w:r>
      <w:r w:rsidR="00E66B89">
        <w:t xml:space="preserve"> z </w:t>
      </w:r>
      <w:r w:rsidRPr="008B706B">
        <w:t>podpisanych umów</w:t>
      </w:r>
      <w:r w:rsidR="00E66B89">
        <w:t xml:space="preserve"> o </w:t>
      </w:r>
      <w:r w:rsidRPr="008B706B">
        <w:t>dofinansowanie wynosi 11 982 658,75 zł, podczas gdy</w:t>
      </w:r>
      <w:r w:rsidR="00E66B89">
        <w:t xml:space="preserve"> w </w:t>
      </w:r>
      <w:r w:rsidRPr="008B706B">
        <w:t>przytaczanej Metodologii założono go</w:t>
      </w:r>
      <w:r w:rsidR="00E66B89">
        <w:t xml:space="preserve"> w </w:t>
      </w:r>
      <w:r w:rsidRPr="008B706B">
        <w:t xml:space="preserve">wysokości </w:t>
      </w:r>
      <w:r w:rsidRPr="004D7DAD">
        <w:t xml:space="preserve">20 206 967 zł. </w:t>
      </w:r>
    </w:p>
    <w:p w14:paraId="34D617FE" w14:textId="77777777" w:rsidR="00116CFB" w:rsidRPr="000A135E" w:rsidRDefault="00116CFB" w:rsidP="00116CFB">
      <w:pPr>
        <w:rPr>
          <w:color w:val="000000"/>
          <w:szCs w:val="20"/>
        </w:rPr>
      </w:pPr>
      <w:r w:rsidRPr="000A135E">
        <w:rPr>
          <w:color w:val="000000"/>
          <w:szCs w:val="20"/>
        </w:rPr>
        <w:t>Opóźnienia</w:t>
      </w:r>
      <w:r w:rsidR="00E66B89">
        <w:rPr>
          <w:color w:val="000000"/>
          <w:szCs w:val="20"/>
        </w:rPr>
        <w:t xml:space="preserve"> w </w:t>
      </w:r>
      <w:r w:rsidRPr="000A135E">
        <w:rPr>
          <w:color w:val="000000"/>
          <w:szCs w:val="20"/>
        </w:rPr>
        <w:t>kontraktacji</w:t>
      </w:r>
      <w:r>
        <w:rPr>
          <w:color w:val="000000"/>
          <w:szCs w:val="20"/>
        </w:rPr>
        <w:t xml:space="preserve"> -</w:t>
      </w:r>
      <w:r w:rsidRPr="000A135E">
        <w:rPr>
          <w:color w:val="000000"/>
          <w:szCs w:val="20"/>
        </w:rPr>
        <w:t xml:space="preserve"> związane</w:t>
      </w:r>
      <w:r w:rsidR="00E66B89">
        <w:rPr>
          <w:color w:val="000000"/>
          <w:szCs w:val="20"/>
        </w:rPr>
        <w:t xml:space="preserve"> z </w:t>
      </w:r>
      <w:r w:rsidRPr="000A135E">
        <w:rPr>
          <w:color w:val="000000"/>
          <w:szCs w:val="20"/>
        </w:rPr>
        <w:t xml:space="preserve">przedłużającym się okresem ogłaszania map zdrowotnych </w:t>
      </w:r>
      <w:r>
        <w:rPr>
          <w:color w:val="000000"/>
          <w:szCs w:val="20"/>
        </w:rPr>
        <w:t>oraz wzrastającymi cenami materiałów</w:t>
      </w:r>
      <w:r w:rsidR="00E66B89">
        <w:rPr>
          <w:color w:val="000000"/>
          <w:szCs w:val="20"/>
        </w:rPr>
        <w:t xml:space="preserve"> i </w:t>
      </w:r>
      <w:r>
        <w:rPr>
          <w:color w:val="000000"/>
          <w:szCs w:val="20"/>
        </w:rPr>
        <w:t xml:space="preserve">usług budowlanych - </w:t>
      </w:r>
      <w:r w:rsidRPr="000A135E">
        <w:rPr>
          <w:color w:val="000000"/>
          <w:szCs w:val="20"/>
        </w:rPr>
        <w:t>pociągnęły za sobą ograniczenie skali inwestycji</w:t>
      </w:r>
      <w:r w:rsidR="00E66B89">
        <w:rPr>
          <w:color w:val="000000"/>
          <w:szCs w:val="20"/>
        </w:rPr>
        <w:t xml:space="preserve"> w </w:t>
      </w:r>
      <w:r w:rsidRPr="000A135E">
        <w:rPr>
          <w:color w:val="000000"/>
          <w:szCs w:val="20"/>
        </w:rPr>
        <w:t>5 projektach wybranych do dofinansowania</w:t>
      </w:r>
      <w:r w:rsidR="00E66B89">
        <w:rPr>
          <w:color w:val="000000"/>
          <w:szCs w:val="20"/>
        </w:rPr>
        <w:t xml:space="preserve"> w </w:t>
      </w:r>
      <w:r w:rsidRPr="000A135E">
        <w:rPr>
          <w:color w:val="000000"/>
          <w:szCs w:val="20"/>
        </w:rPr>
        <w:t>trybie konkursowym</w:t>
      </w:r>
      <w:r>
        <w:rPr>
          <w:color w:val="000000"/>
          <w:szCs w:val="20"/>
        </w:rPr>
        <w:t xml:space="preserve">. </w:t>
      </w:r>
      <w:r w:rsidRPr="007823FB">
        <w:rPr>
          <w:color w:val="000000"/>
          <w:szCs w:val="20"/>
        </w:rPr>
        <w:t>Na podstawie analiz przeprowadzonych</w:t>
      </w:r>
      <w:r w:rsidR="00E66B89">
        <w:rPr>
          <w:color w:val="000000"/>
          <w:szCs w:val="20"/>
        </w:rPr>
        <w:t xml:space="preserve"> w </w:t>
      </w:r>
      <w:r w:rsidRPr="007823FB">
        <w:rPr>
          <w:color w:val="000000"/>
          <w:szCs w:val="20"/>
        </w:rPr>
        <w:t>województwach wybranych do analizy benchmarkowej</w:t>
      </w:r>
      <w:r>
        <w:rPr>
          <w:color w:val="000000"/>
          <w:szCs w:val="20"/>
        </w:rPr>
        <w:t>,</w:t>
      </w:r>
      <w:r w:rsidRPr="007823FB">
        <w:rPr>
          <w:color w:val="000000"/>
          <w:szCs w:val="20"/>
        </w:rPr>
        <w:t xml:space="preserve"> można wysnuć wniosek, iż</w:t>
      </w:r>
      <w:r w:rsidRPr="00C22C26">
        <w:rPr>
          <w:rFonts w:cs="Arial"/>
          <w:szCs w:val="20"/>
        </w:rPr>
        <w:t xml:space="preserve"> fakt ten wynika</w:t>
      </w:r>
      <w:r w:rsidR="00E66B89">
        <w:rPr>
          <w:rFonts w:cs="Arial"/>
          <w:szCs w:val="20"/>
        </w:rPr>
        <w:t xml:space="preserve"> z </w:t>
      </w:r>
      <w:r w:rsidRPr="00C22C26">
        <w:rPr>
          <w:rFonts w:cs="Arial"/>
          <w:szCs w:val="20"/>
        </w:rPr>
        <w:t>obaw beneficjentów przed</w:t>
      </w:r>
      <w:r>
        <w:rPr>
          <w:color w:val="000000"/>
          <w:szCs w:val="20"/>
        </w:rPr>
        <w:t xml:space="preserve"> możliwością przeprowadzenia inwestycji</w:t>
      </w:r>
      <w:r w:rsidR="00E66B89">
        <w:rPr>
          <w:color w:val="000000"/>
          <w:szCs w:val="20"/>
        </w:rPr>
        <w:t xml:space="preserve"> w </w:t>
      </w:r>
      <w:r>
        <w:rPr>
          <w:color w:val="000000"/>
          <w:szCs w:val="20"/>
        </w:rPr>
        <w:t>perspektywie n+3. Istotny wpływ na mniejsze niż zakładano, na etapie programowania, koszty jednostkowe interwencji</w:t>
      </w:r>
      <w:r w:rsidR="00E66B89">
        <w:rPr>
          <w:color w:val="000000"/>
          <w:szCs w:val="20"/>
        </w:rPr>
        <w:t xml:space="preserve"> w </w:t>
      </w:r>
      <w:r>
        <w:rPr>
          <w:color w:val="000000"/>
          <w:szCs w:val="20"/>
        </w:rPr>
        <w:t>infrastrukturę ochrony zdrowia ma też wzrost cen na materiały</w:t>
      </w:r>
      <w:r w:rsidR="00E66B89">
        <w:rPr>
          <w:color w:val="000000"/>
          <w:szCs w:val="20"/>
        </w:rPr>
        <w:t xml:space="preserve"> i </w:t>
      </w:r>
      <w:r>
        <w:rPr>
          <w:color w:val="000000"/>
          <w:szCs w:val="20"/>
        </w:rPr>
        <w:t>usługi budowlane. Badani beneficjenci RPO WZ</w:t>
      </w:r>
      <w:r w:rsidR="00E66B89">
        <w:rPr>
          <w:color w:val="000000"/>
          <w:szCs w:val="20"/>
        </w:rPr>
        <w:t xml:space="preserve"> w </w:t>
      </w:r>
      <w:r>
        <w:rPr>
          <w:color w:val="000000"/>
          <w:szCs w:val="20"/>
        </w:rPr>
        <w:t>większości (62%) podkreślają wyższe niż się spodziewali koszty realizacji inwestycji.</w:t>
      </w:r>
      <w:r w:rsidR="00E66B89">
        <w:rPr>
          <w:color w:val="000000"/>
          <w:szCs w:val="20"/>
        </w:rPr>
        <w:t xml:space="preserve"> W </w:t>
      </w:r>
      <w:r w:rsidRPr="000A135E">
        <w:rPr>
          <w:color w:val="000000"/>
          <w:szCs w:val="20"/>
        </w:rPr>
        <w:t>przypadku PI 9b należy podkreślić, że ustalone</w:t>
      </w:r>
      <w:r w:rsidR="00E66B89">
        <w:rPr>
          <w:color w:val="000000"/>
          <w:szCs w:val="20"/>
        </w:rPr>
        <w:t xml:space="preserve"> w </w:t>
      </w:r>
      <w:r w:rsidRPr="000A135E">
        <w:rPr>
          <w:color w:val="000000"/>
          <w:szCs w:val="20"/>
        </w:rPr>
        <w:t>bieżącym okresie programowania wytyczne położyły nacisk na nadawanie funkcji społecznej rewitalizowanym obszarom</w:t>
      </w:r>
      <w:r w:rsidR="00E66B89">
        <w:rPr>
          <w:color w:val="000000"/>
          <w:szCs w:val="20"/>
        </w:rPr>
        <w:t xml:space="preserve"> w </w:t>
      </w:r>
      <w:r>
        <w:rPr>
          <w:color w:val="000000"/>
          <w:szCs w:val="20"/>
        </w:rPr>
        <w:t>ścisłym powiązaniu</w:t>
      </w:r>
      <w:r w:rsidR="00E66B89">
        <w:rPr>
          <w:color w:val="000000"/>
          <w:szCs w:val="20"/>
        </w:rPr>
        <w:t xml:space="preserve"> z </w:t>
      </w:r>
      <w:r>
        <w:rPr>
          <w:color w:val="000000"/>
          <w:szCs w:val="20"/>
        </w:rPr>
        <w:t>interwencjami EFS</w:t>
      </w:r>
      <w:r w:rsidR="00E66B89">
        <w:rPr>
          <w:color w:val="000000"/>
          <w:szCs w:val="20"/>
        </w:rPr>
        <w:t xml:space="preserve"> w </w:t>
      </w:r>
      <w:r>
        <w:rPr>
          <w:color w:val="000000"/>
          <w:szCs w:val="20"/>
        </w:rPr>
        <w:t>obszarze włączenia społecznego lub usług społecznych</w:t>
      </w:r>
      <w:r w:rsidR="00E66B89">
        <w:rPr>
          <w:color w:val="000000"/>
          <w:szCs w:val="20"/>
        </w:rPr>
        <w:t xml:space="preserve"> i </w:t>
      </w:r>
      <w:r>
        <w:rPr>
          <w:color w:val="000000"/>
          <w:szCs w:val="20"/>
        </w:rPr>
        <w:t>zdrowotnych</w:t>
      </w:r>
      <w:r w:rsidRPr="000A135E">
        <w:rPr>
          <w:color w:val="000000"/>
          <w:szCs w:val="20"/>
        </w:rPr>
        <w:t xml:space="preserve">, co skutkuje </w:t>
      </w:r>
      <w:r>
        <w:rPr>
          <w:color w:val="000000"/>
          <w:szCs w:val="20"/>
        </w:rPr>
        <w:t>innym zakresem interwencji niż</w:t>
      </w:r>
      <w:r w:rsidR="00E66B89">
        <w:rPr>
          <w:color w:val="000000"/>
          <w:szCs w:val="20"/>
        </w:rPr>
        <w:t xml:space="preserve"> w </w:t>
      </w:r>
      <w:r>
        <w:rPr>
          <w:color w:val="000000"/>
          <w:szCs w:val="20"/>
        </w:rPr>
        <w:t xml:space="preserve">perspektywie 2007-2013 oraz </w:t>
      </w:r>
      <w:r w:rsidRPr="000A135E">
        <w:rPr>
          <w:color w:val="000000"/>
          <w:szCs w:val="20"/>
        </w:rPr>
        <w:t>częstszym</w:t>
      </w:r>
      <w:r>
        <w:rPr>
          <w:color w:val="000000"/>
          <w:szCs w:val="20"/>
        </w:rPr>
        <w:t>,</w:t>
      </w:r>
      <w:r w:rsidRPr="000A135E">
        <w:rPr>
          <w:color w:val="000000"/>
          <w:szCs w:val="20"/>
        </w:rPr>
        <w:t xml:space="preserve"> niż</w:t>
      </w:r>
      <w:r w:rsidR="00E66B89">
        <w:rPr>
          <w:color w:val="000000"/>
          <w:szCs w:val="20"/>
        </w:rPr>
        <w:t xml:space="preserve"> w </w:t>
      </w:r>
      <w:r w:rsidRPr="000A135E">
        <w:rPr>
          <w:color w:val="000000"/>
          <w:szCs w:val="20"/>
        </w:rPr>
        <w:t>poprzednim okresie programowania</w:t>
      </w:r>
      <w:r>
        <w:rPr>
          <w:color w:val="000000"/>
          <w:szCs w:val="20"/>
        </w:rPr>
        <w:t>,</w:t>
      </w:r>
      <w:r w:rsidRPr="000A135E">
        <w:rPr>
          <w:color w:val="000000"/>
          <w:szCs w:val="20"/>
        </w:rPr>
        <w:t xml:space="preserve"> rewitalizowaniem otwartych przestrzeni,</w:t>
      </w:r>
      <w:r w:rsidR="00E66B89">
        <w:rPr>
          <w:color w:val="000000"/>
          <w:szCs w:val="20"/>
        </w:rPr>
        <w:t xml:space="preserve"> a </w:t>
      </w:r>
      <w:r w:rsidRPr="000A135E">
        <w:rPr>
          <w:color w:val="000000"/>
          <w:szCs w:val="20"/>
        </w:rPr>
        <w:t xml:space="preserve">więc wyższą wartością wskaźnika </w:t>
      </w:r>
      <w:r w:rsidRPr="008B706B">
        <w:rPr>
          <w:i/>
          <w:color w:val="000000"/>
          <w:szCs w:val="20"/>
        </w:rPr>
        <w:t>Powierzchnia obszarów objętych rewitalizacją</w:t>
      </w:r>
      <w:r w:rsidRPr="000A135E">
        <w:rPr>
          <w:color w:val="000000"/>
          <w:szCs w:val="20"/>
        </w:rPr>
        <w:t xml:space="preserve">. </w:t>
      </w:r>
    </w:p>
    <w:p w14:paraId="14633215" w14:textId="77777777" w:rsidR="00116CFB" w:rsidRPr="008B706B" w:rsidRDefault="00116CFB" w:rsidP="00116CFB">
      <w:r w:rsidRPr="00BE1E25">
        <w:t>Zarówno postęp kontraktacji</w:t>
      </w:r>
      <w:r w:rsidR="00E66B89">
        <w:t xml:space="preserve"> w </w:t>
      </w:r>
      <w:r w:rsidRPr="00BE1E25">
        <w:t>PI 9a, 10a</w:t>
      </w:r>
      <w:r>
        <w:t>, 2c</w:t>
      </w:r>
      <w:r w:rsidRPr="00BE1E25">
        <w:t xml:space="preserve"> jak</w:t>
      </w:r>
      <w:r w:rsidR="00E66B89">
        <w:t xml:space="preserve"> i </w:t>
      </w:r>
      <w:r w:rsidRPr="00BE1E25">
        <w:t>zainteresowanie beneficjentów konkurs</w:t>
      </w:r>
      <w:r>
        <w:t>am</w:t>
      </w:r>
      <w:r w:rsidRPr="00BE1E25">
        <w:t>i ogłaszanymi</w:t>
      </w:r>
      <w:r w:rsidR="00E66B89">
        <w:t xml:space="preserve"> w </w:t>
      </w:r>
      <w:r w:rsidRPr="00BE1E25">
        <w:t>ramach PI 9b nie niosą za sobą ryzyk nieosiągnięcia celu końcowego Ram Wykonania mierzonego wskaźnikiem finansowym. We wszystkich umowach</w:t>
      </w:r>
      <w:r w:rsidR="00E66B89">
        <w:t xml:space="preserve"> o </w:t>
      </w:r>
      <w:r w:rsidRPr="00BE1E25">
        <w:t xml:space="preserve">dofinansowanie OP </w:t>
      </w:r>
      <w:r>
        <w:t>IX</w:t>
      </w:r>
      <w:r w:rsidRPr="00BE1E25">
        <w:t>, podpisanych do dnia 31.12.2018 roku założono jego osiągnięcie</w:t>
      </w:r>
      <w:r w:rsidR="00E66B89">
        <w:t xml:space="preserve"> w </w:t>
      </w:r>
      <w:r w:rsidRPr="00BE1E25">
        <w:t xml:space="preserve">wysokości </w:t>
      </w:r>
      <w:r w:rsidRPr="008B706B">
        <w:t xml:space="preserve">125 065 733,17 EUR co stanowi 73% wartości docelowej wskaźnika </w:t>
      </w:r>
      <w:r w:rsidRPr="008B706B">
        <w:rPr>
          <w:i/>
        </w:rPr>
        <w:t>Całkowita kwota certyfikowanych wydatków kwalifikowalnych</w:t>
      </w:r>
      <w:r w:rsidRPr="008B706B">
        <w:t xml:space="preserve">. </w:t>
      </w:r>
    </w:p>
    <w:p w14:paraId="3C851C0E" w14:textId="77777777" w:rsidR="00116CFB" w:rsidRPr="000A135E" w:rsidRDefault="00116CFB" w:rsidP="00116CFB">
      <w:pPr>
        <w:rPr>
          <w:color w:val="000000"/>
          <w:szCs w:val="20"/>
        </w:rPr>
      </w:pPr>
      <w:r w:rsidRPr="000A135E">
        <w:rPr>
          <w:color w:val="000000"/>
          <w:szCs w:val="20"/>
        </w:rPr>
        <w:t xml:space="preserve">Cele końcowe Ram Wykonania mierzone są także wskaźnikiem produktu PI 9a </w:t>
      </w:r>
      <w:r w:rsidRPr="008B706B">
        <w:rPr>
          <w:i/>
          <w:color w:val="000000"/>
          <w:szCs w:val="20"/>
        </w:rPr>
        <w:t>Liczba wspartych podmiotów leczniczych</w:t>
      </w:r>
      <w:r w:rsidRPr="000A135E">
        <w:rPr>
          <w:color w:val="000000"/>
          <w:szCs w:val="20"/>
        </w:rPr>
        <w:t xml:space="preserve"> oraz wskaźnikiem produktu PI 9b </w:t>
      </w:r>
      <w:r w:rsidRPr="008B706B">
        <w:rPr>
          <w:i/>
          <w:color w:val="000000"/>
          <w:szCs w:val="20"/>
        </w:rPr>
        <w:t>Powierzchnia obszarów objętych rewitalizacją</w:t>
      </w:r>
      <w:r w:rsidRPr="000A135E">
        <w:rPr>
          <w:color w:val="000000"/>
          <w:szCs w:val="20"/>
        </w:rPr>
        <w:t xml:space="preserve">. Do </w:t>
      </w:r>
      <w:r w:rsidRPr="000A135E">
        <w:rPr>
          <w:color w:val="000000"/>
          <w:szCs w:val="20"/>
        </w:rPr>
        <w:lastRenderedPageBreak/>
        <w:t>dnia 31.12.2018 roku</w:t>
      </w:r>
      <w:r w:rsidR="00E66B89">
        <w:rPr>
          <w:color w:val="000000"/>
          <w:szCs w:val="20"/>
        </w:rPr>
        <w:t xml:space="preserve"> w </w:t>
      </w:r>
      <w:r w:rsidRPr="000A135E">
        <w:rPr>
          <w:color w:val="000000"/>
          <w:szCs w:val="20"/>
        </w:rPr>
        <w:t>zatwierdzonych wnioskach</w:t>
      </w:r>
      <w:r w:rsidR="00E66B89">
        <w:rPr>
          <w:color w:val="000000"/>
          <w:szCs w:val="20"/>
        </w:rPr>
        <w:t xml:space="preserve"> o </w:t>
      </w:r>
      <w:r w:rsidRPr="000A135E">
        <w:rPr>
          <w:color w:val="000000"/>
          <w:szCs w:val="20"/>
        </w:rPr>
        <w:t>płatność wykazano zakończenie wsparcia 2 podmiotów leczniczych</w:t>
      </w:r>
      <w:r>
        <w:rPr>
          <w:color w:val="000000"/>
          <w:szCs w:val="20"/>
        </w:rPr>
        <w:t>,</w:t>
      </w:r>
      <w:r w:rsidRPr="000A135E">
        <w:rPr>
          <w:color w:val="000000"/>
          <w:szCs w:val="20"/>
        </w:rPr>
        <w:t xml:space="preserve"> co stanowi 33% wartości docelowej wskaźnika.</w:t>
      </w:r>
      <w:r w:rsidR="00E66B89">
        <w:rPr>
          <w:color w:val="000000"/>
          <w:szCs w:val="20"/>
        </w:rPr>
        <w:t xml:space="preserve"> W </w:t>
      </w:r>
      <w:r w:rsidRPr="000A135E">
        <w:rPr>
          <w:color w:val="000000"/>
          <w:szCs w:val="20"/>
        </w:rPr>
        <w:t>realizowanych projektach założono jego osiągnięcie</w:t>
      </w:r>
      <w:r w:rsidR="00E66B89">
        <w:rPr>
          <w:color w:val="000000"/>
          <w:szCs w:val="20"/>
        </w:rPr>
        <w:t xml:space="preserve"> w </w:t>
      </w:r>
      <w:r w:rsidRPr="000A135E">
        <w:rPr>
          <w:color w:val="000000"/>
          <w:szCs w:val="20"/>
        </w:rPr>
        <w:t>wysokości 12 sztuk</w:t>
      </w:r>
      <w:r>
        <w:rPr>
          <w:color w:val="000000"/>
          <w:szCs w:val="20"/>
        </w:rPr>
        <w:t>,</w:t>
      </w:r>
      <w:r w:rsidRPr="000A135E">
        <w:rPr>
          <w:color w:val="000000"/>
          <w:szCs w:val="20"/>
        </w:rPr>
        <w:t xml:space="preserve"> co stanowi 200% wartości docelowej. </w:t>
      </w:r>
    </w:p>
    <w:p w14:paraId="5992296A" w14:textId="77777777" w:rsidR="00116CFB" w:rsidRPr="000A135E" w:rsidRDefault="00116CFB" w:rsidP="00116CFB">
      <w:pPr>
        <w:rPr>
          <w:color w:val="000000"/>
          <w:szCs w:val="20"/>
        </w:rPr>
      </w:pPr>
      <w:r w:rsidRPr="000A135E">
        <w:rPr>
          <w:color w:val="000000"/>
          <w:szCs w:val="20"/>
        </w:rPr>
        <w:t xml:space="preserve">Beneficjenci PI 9b również planują osiągnięcie wyższej niż wartość docelowa </w:t>
      </w:r>
      <w:r>
        <w:rPr>
          <w:color w:val="000000"/>
          <w:szCs w:val="20"/>
        </w:rPr>
        <w:t>wartości</w:t>
      </w:r>
      <w:r w:rsidRPr="000A135E">
        <w:rPr>
          <w:color w:val="000000"/>
          <w:szCs w:val="20"/>
        </w:rPr>
        <w:t xml:space="preserve"> wskaźnika Ram Wykonania </w:t>
      </w:r>
      <w:r w:rsidRPr="008B706B">
        <w:rPr>
          <w:i/>
          <w:color w:val="000000"/>
          <w:szCs w:val="20"/>
        </w:rPr>
        <w:t>Powierzchnia obszarów objętych rewitalizacją</w:t>
      </w:r>
      <w:r w:rsidR="00E66B89">
        <w:rPr>
          <w:color w:val="000000"/>
          <w:szCs w:val="20"/>
        </w:rPr>
        <w:t xml:space="preserve"> w </w:t>
      </w:r>
      <w:r>
        <w:rPr>
          <w:color w:val="000000"/>
          <w:szCs w:val="20"/>
        </w:rPr>
        <w:t xml:space="preserve">łącznej wysokości 22,8 ha, co stanowi </w:t>
      </w:r>
      <w:r w:rsidRPr="000A135E">
        <w:rPr>
          <w:color w:val="000000"/>
          <w:szCs w:val="20"/>
        </w:rPr>
        <w:t>153,2%</w:t>
      </w:r>
      <w:r>
        <w:rPr>
          <w:color w:val="000000"/>
          <w:szCs w:val="20"/>
        </w:rPr>
        <w:t xml:space="preserve"> jego wartości docelowej</w:t>
      </w:r>
      <w:r w:rsidRPr="000A135E">
        <w:rPr>
          <w:color w:val="000000"/>
          <w:szCs w:val="20"/>
        </w:rPr>
        <w:t xml:space="preserve">. </w:t>
      </w:r>
    </w:p>
    <w:p w14:paraId="574BA9AA" w14:textId="77777777" w:rsidR="00116CFB" w:rsidRPr="000A135E" w:rsidRDefault="00116CFB" w:rsidP="00AF481E">
      <w:pPr>
        <w:pStyle w:val="Legenda"/>
        <w:spacing w:after="0"/>
      </w:pPr>
      <w:bookmarkStart w:id="337" w:name="_Toc8824255"/>
      <w:r w:rsidRPr="000A135E">
        <w:t xml:space="preserve">Tabela </w:t>
      </w:r>
      <w:r>
        <w:fldChar w:fldCharType="begin"/>
      </w:r>
      <w:r>
        <w:instrText xml:space="preserve"> SEQ Tabela \* ARABIC </w:instrText>
      </w:r>
      <w:r>
        <w:fldChar w:fldCharType="separate"/>
      </w:r>
      <w:r w:rsidR="00763345">
        <w:rPr>
          <w:noProof/>
        </w:rPr>
        <w:t>144</w:t>
      </w:r>
      <w:r>
        <w:fldChar w:fldCharType="end"/>
      </w:r>
      <w:r w:rsidRPr="000A135E">
        <w:t xml:space="preserve"> Wskaźniki wybrane do Ram Wykonania – stopień osiągnięcia wartości pośrednich</w:t>
      </w:r>
      <w:r w:rsidR="00E66B89">
        <w:t xml:space="preserve"> i </w:t>
      </w:r>
      <w:r w:rsidRPr="000A135E">
        <w:t>docelowych – OP IX Infrastruktura publiczna</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28"/>
        <w:gridCol w:w="1277"/>
        <w:gridCol w:w="858"/>
        <w:gridCol w:w="1070"/>
        <w:gridCol w:w="768"/>
        <w:gridCol w:w="1002"/>
        <w:gridCol w:w="828"/>
        <w:gridCol w:w="866"/>
        <w:gridCol w:w="866"/>
      </w:tblGrid>
      <w:tr w:rsidR="00116CFB" w:rsidRPr="00B2711F" w14:paraId="6A41326E" w14:textId="77777777" w:rsidTr="00C22C26">
        <w:trPr>
          <w:tblHeader/>
        </w:trPr>
        <w:tc>
          <w:tcPr>
            <w:tcW w:w="297" w:type="pct"/>
            <w:shd w:val="clear" w:color="auto" w:fill="DBE5F1"/>
          </w:tcPr>
          <w:p w14:paraId="0CB8B6A7" w14:textId="77777777" w:rsidR="00116CFB" w:rsidRPr="00404DA5" w:rsidRDefault="00116CFB" w:rsidP="004742DC">
            <w:pPr>
              <w:keepNext/>
              <w:jc w:val="center"/>
              <w:rPr>
                <w:rFonts w:cs="Calibri"/>
                <w:sz w:val="18"/>
                <w:szCs w:val="18"/>
              </w:rPr>
            </w:pPr>
            <w:r w:rsidRPr="00404DA5">
              <w:rPr>
                <w:rFonts w:cs="Calibri"/>
                <w:sz w:val="18"/>
                <w:szCs w:val="18"/>
              </w:rPr>
              <w:t>PI</w:t>
            </w:r>
          </w:p>
        </w:tc>
        <w:tc>
          <w:tcPr>
            <w:tcW w:w="631" w:type="pct"/>
            <w:shd w:val="clear" w:color="auto" w:fill="DBE5F1"/>
          </w:tcPr>
          <w:p w14:paraId="2543DA9E" w14:textId="77777777" w:rsidR="00116CFB" w:rsidRPr="00404DA5" w:rsidRDefault="00116CFB" w:rsidP="004742DC">
            <w:pPr>
              <w:keepNext/>
              <w:jc w:val="center"/>
              <w:rPr>
                <w:rFonts w:cs="Calibri"/>
                <w:sz w:val="18"/>
                <w:szCs w:val="18"/>
              </w:rPr>
            </w:pPr>
            <w:r w:rsidRPr="00404DA5">
              <w:rPr>
                <w:rFonts w:cs="Calibri"/>
                <w:sz w:val="18"/>
                <w:szCs w:val="18"/>
              </w:rPr>
              <w:t>Typ wskaźnika</w:t>
            </w:r>
          </w:p>
        </w:tc>
        <w:tc>
          <w:tcPr>
            <w:tcW w:w="787" w:type="pct"/>
            <w:shd w:val="clear" w:color="auto" w:fill="DBE5F1"/>
          </w:tcPr>
          <w:p w14:paraId="3726B0D9" w14:textId="77777777" w:rsidR="00116CFB" w:rsidRPr="00404DA5" w:rsidRDefault="00116CFB" w:rsidP="004742DC">
            <w:pPr>
              <w:keepNext/>
              <w:jc w:val="center"/>
              <w:rPr>
                <w:rFonts w:cs="Calibri"/>
                <w:sz w:val="18"/>
                <w:szCs w:val="18"/>
              </w:rPr>
            </w:pPr>
            <w:r w:rsidRPr="00404DA5">
              <w:rPr>
                <w:rFonts w:cs="Calibri"/>
                <w:sz w:val="18"/>
                <w:szCs w:val="18"/>
              </w:rPr>
              <w:t>Wskaźnik lub KEW</w:t>
            </w:r>
          </w:p>
        </w:tc>
        <w:tc>
          <w:tcPr>
            <w:tcW w:w="523" w:type="pct"/>
            <w:shd w:val="clear" w:color="auto" w:fill="DBE5F1"/>
          </w:tcPr>
          <w:p w14:paraId="625B3951" w14:textId="77777777" w:rsidR="00116CFB" w:rsidRPr="00404DA5" w:rsidRDefault="00116CFB" w:rsidP="004742DC">
            <w:pPr>
              <w:keepNext/>
              <w:jc w:val="center"/>
              <w:rPr>
                <w:rFonts w:cs="Calibri"/>
                <w:sz w:val="18"/>
                <w:szCs w:val="18"/>
              </w:rPr>
            </w:pPr>
            <w:r w:rsidRPr="00404DA5">
              <w:rPr>
                <w:rFonts w:cs="Calibri"/>
                <w:sz w:val="18"/>
                <w:szCs w:val="18"/>
              </w:rPr>
              <w:t>Jednostka pomiaru</w:t>
            </w:r>
          </w:p>
        </w:tc>
        <w:tc>
          <w:tcPr>
            <w:tcW w:w="122" w:type="pct"/>
            <w:shd w:val="clear" w:color="auto" w:fill="DBE5F1"/>
          </w:tcPr>
          <w:p w14:paraId="60B2B303" w14:textId="77777777" w:rsidR="00116CFB" w:rsidRPr="00404DA5" w:rsidRDefault="00116CFB" w:rsidP="004742DC">
            <w:pPr>
              <w:keepNext/>
              <w:jc w:val="center"/>
              <w:rPr>
                <w:rFonts w:cs="Calibri"/>
                <w:sz w:val="18"/>
                <w:szCs w:val="18"/>
              </w:rPr>
            </w:pPr>
            <w:r w:rsidRPr="00B84EEA">
              <w:rPr>
                <w:rFonts w:cs="Calibri"/>
                <w:sz w:val="18"/>
                <w:szCs w:val="18"/>
              </w:rPr>
              <w:t>Wartość kumulatywna</w:t>
            </w:r>
          </w:p>
        </w:tc>
        <w:tc>
          <w:tcPr>
            <w:tcW w:w="466" w:type="pct"/>
            <w:shd w:val="clear" w:color="auto" w:fill="DBE5F1"/>
          </w:tcPr>
          <w:p w14:paraId="428A6B15" w14:textId="77777777" w:rsidR="00116CFB" w:rsidRPr="00404DA5" w:rsidRDefault="00116CFB" w:rsidP="004742DC">
            <w:pPr>
              <w:keepNext/>
              <w:jc w:val="center"/>
              <w:rPr>
                <w:rFonts w:cs="Calibri"/>
                <w:sz w:val="18"/>
                <w:szCs w:val="18"/>
              </w:rPr>
            </w:pPr>
            <w:r w:rsidRPr="00404DA5">
              <w:rPr>
                <w:rFonts w:cs="Calibri"/>
                <w:sz w:val="18"/>
                <w:szCs w:val="18"/>
              </w:rPr>
              <w:t>Cel pośredni na 2018 r.</w:t>
            </w:r>
          </w:p>
        </w:tc>
        <w:tc>
          <w:tcPr>
            <w:tcW w:w="614" w:type="pct"/>
            <w:shd w:val="clear" w:color="auto" w:fill="DBE5F1"/>
          </w:tcPr>
          <w:p w14:paraId="533ADB2C" w14:textId="77777777" w:rsidR="00116CFB" w:rsidRPr="00404DA5" w:rsidRDefault="00116CFB" w:rsidP="004742DC">
            <w:pPr>
              <w:keepNext/>
              <w:jc w:val="center"/>
              <w:rPr>
                <w:rFonts w:cs="Calibri"/>
                <w:sz w:val="18"/>
                <w:szCs w:val="18"/>
              </w:rPr>
            </w:pPr>
            <w:r w:rsidRPr="00404DA5">
              <w:rPr>
                <w:rFonts w:cs="Calibri"/>
                <w:sz w:val="18"/>
                <w:szCs w:val="18"/>
              </w:rPr>
              <w:t>% realizacji celu pośredniego</w:t>
            </w:r>
          </w:p>
        </w:tc>
        <w:tc>
          <w:tcPr>
            <w:tcW w:w="504" w:type="pct"/>
            <w:shd w:val="clear" w:color="auto" w:fill="DBE5F1"/>
          </w:tcPr>
          <w:p w14:paraId="13F6F8F5" w14:textId="77777777" w:rsidR="00116CFB" w:rsidRPr="00404DA5" w:rsidRDefault="00116CFB" w:rsidP="004742DC">
            <w:pPr>
              <w:keepNext/>
              <w:jc w:val="center"/>
              <w:rPr>
                <w:rFonts w:cs="Calibri"/>
                <w:sz w:val="18"/>
                <w:szCs w:val="18"/>
              </w:rPr>
            </w:pPr>
            <w:r w:rsidRPr="00404DA5">
              <w:rPr>
                <w:rFonts w:cs="Calibri"/>
                <w:sz w:val="18"/>
                <w:szCs w:val="18"/>
              </w:rPr>
              <w:t>Wartość docelowa na koniec 2023 r.</w:t>
            </w:r>
          </w:p>
        </w:tc>
        <w:tc>
          <w:tcPr>
            <w:tcW w:w="528" w:type="pct"/>
            <w:shd w:val="clear" w:color="auto" w:fill="DBE5F1"/>
          </w:tcPr>
          <w:p w14:paraId="04B99DE8" w14:textId="77777777" w:rsidR="00116CFB" w:rsidRPr="00404DA5" w:rsidRDefault="00116CFB" w:rsidP="004742DC">
            <w:pPr>
              <w:keepNext/>
              <w:jc w:val="center"/>
              <w:rPr>
                <w:rFonts w:cs="Calibri"/>
                <w:sz w:val="18"/>
                <w:szCs w:val="18"/>
              </w:rPr>
            </w:pPr>
            <w:r w:rsidRPr="00404DA5">
              <w:rPr>
                <w:rFonts w:cs="Calibri"/>
                <w:sz w:val="18"/>
                <w:szCs w:val="18"/>
              </w:rPr>
              <w:t xml:space="preserve">% realizacji wartości docelowej </w:t>
            </w:r>
            <w:r w:rsidRPr="0089503F">
              <w:rPr>
                <w:sz w:val="18"/>
              </w:rPr>
              <w:t>wg WoP</w:t>
            </w:r>
          </w:p>
        </w:tc>
        <w:tc>
          <w:tcPr>
            <w:tcW w:w="528" w:type="pct"/>
            <w:shd w:val="clear" w:color="auto" w:fill="DBE5F1"/>
          </w:tcPr>
          <w:p w14:paraId="5FEB8B05" w14:textId="77777777" w:rsidR="00116CFB" w:rsidRPr="00404DA5" w:rsidRDefault="00116CFB" w:rsidP="004742DC">
            <w:pPr>
              <w:keepNext/>
              <w:jc w:val="center"/>
              <w:rPr>
                <w:rFonts w:cs="Calibri"/>
                <w:sz w:val="18"/>
                <w:szCs w:val="18"/>
              </w:rPr>
            </w:pPr>
            <w:r w:rsidRPr="00404DA5">
              <w:rPr>
                <w:rFonts w:cs="Calibri"/>
                <w:sz w:val="18"/>
                <w:szCs w:val="18"/>
              </w:rPr>
              <w:t xml:space="preserve">% realizacji wartości docelowej </w:t>
            </w:r>
            <w:r w:rsidRPr="0089503F">
              <w:rPr>
                <w:sz w:val="18"/>
              </w:rPr>
              <w:t>wg UoD</w:t>
            </w:r>
          </w:p>
        </w:tc>
      </w:tr>
      <w:tr w:rsidR="00116CFB" w:rsidRPr="00B2711F" w14:paraId="7CB8A0C5" w14:textId="77777777" w:rsidTr="004742DC">
        <w:tc>
          <w:tcPr>
            <w:tcW w:w="297" w:type="pct"/>
            <w:shd w:val="clear" w:color="auto" w:fill="auto"/>
            <w:vAlign w:val="center"/>
          </w:tcPr>
          <w:p w14:paraId="62388A37" w14:textId="77777777" w:rsidR="00116CFB" w:rsidRPr="00404DA5" w:rsidRDefault="00116CFB" w:rsidP="004742DC">
            <w:pPr>
              <w:jc w:val="center"/>
              <w:rPr>
                <w:rFonts w:cs="Calibri"/>
                <w:sz w:val="18"/>
                <w:szCs w:val="18"/>
              </w:rPr>
            </w:pPr>
            <w:r w:rsidRPr="00404DA5">
              <w:rPr>
                <w:rFonts w:cs="Calibri"/>
                <w:color w:val="000000"/>
                <w:sz w:val="18"/>
                <w:szCs w:val="18"/>
              </w:rPr>
              <w:t xml:space="preserve">PI 9a </w:t>
            </w:r>
          </w:p>
        </w:tc>
        <w:tc>
          <w:tcPr>
            <w:tcW w:w="631" w:type="pct"/>
            <w:shd w:val="clear" w:color="auto" w:fill="auto"/>
            <w:vAlign w:val="center"/>
          </w:tcPr>
          <w:p w14:paraId="2E1B3B2B" w14:textId="77777777" w:rsidR="00116CFB" w:rsidRPr="00404DA5" w:rsidRDefault="00116CFB" w:rsidP="004742DC">
            <w:pPr>
              <w:jc w:val="center"/>
              <w:rPr>
                <w:rFonts w:cs="Calibri"/>
                <w:sz w:val="18"/>
                <w:szCs w:val="18"/>
              </w:rPr>
            </w:pPr>
            <w:r w:rsidRPr="00404DA5">
              <w:rPr>
                <w:rFonts w:cs="Calibri"/>
                <w:color w:val="000000"/>
                <w:sz w:val="18"/>
                <w:szCs w:val="18"/>
              </w:rPr>
              <w:t>KEW</w:t>
            </w:r>
          </w:p>
        </w:tc>
        <w:tc>
          <w:tcPr>
            <w:tcW w:w="787" w:type="pct"/>
            <w:shd w:val="clear" w:color="auto" w:fill="auto"/>
            <w:vAlign w:val="center"/>
          </w:tcPr>
          <w:p w14:paraId="65B9BCA2" w14:textId="77777777" w:rsidR="00116CFB" w:rsidRPr="00404DA5" w:rsidRDefault="00116CFB" w:rsidP="004742DC">
            <w:pPr>
              <w:jc w:val="center"/>
              <w:rPr>
                <w:rFonts w:cs="Calibri"/>
                <w:sz w:val="18"/>
                <w:szCs w:val="18"/>
              </w:rPr>
            </w:pPr>
            <w:r w:rsidRPr="00404DA5">
              <w:rPr>
                <w:rFonts w:cs="Calibri"/>
                <w:color w:val="000000"/>
                <w:sz w:val="18"/>
                <w:szCs w:val="18"/>
              </w:rPr>
              <w:t>Liczba wspartych podmiotów leczniczych</w:t>
            </w:r>
            <w:r w:rsidR="00E66B89">
              <w:rPr>
                <w:rFonts w:cs="Calibri"/>
                <w:color w:val="000000"/>
                <w:sz w:val="18"/>
                <w:szCs w:val="18"/>
              </w:rPr>
              <w:t xml:space="preserve"> w </w:t>
            </w:r>
            <w:r w:rsidRPr="00404DA5">
              <w:rPr>
                <w:rFonts w:cs="Calibri"/>
                <w:color w:val="000000"/>
                <w:sz w:val="18"/>
                <w:szCs w:val="18"/>
              </w:rPr>
              <w:t>podpisanych umowach</w:t>
            </w:r>
          </w:p>
        </w:tc>
        <w:tc>
          <w:tcPr>
            <w:tcW w:w="523" w:type="pct"/>
            <w:shd w:val="clear" w:color="auto" w:fill="auto"/>
            <w:vAlign w:val="center"/>
          </w:tcPr>
          <w:p w14:paraId="21866ECA" w14:textId="77777777" w:rsidR="00116CFB" w:rsidRPr="00404DA5" w:rsidRDefault="00116CFB" w:rsidP="004742DC">
            <w:pPr>
              <w:jc w:val="center"/>
              <w:rPr>
                <w:rFonts w:eastAsia="Calibri" w:cs="Calibri"/>
                <w:sz w:val="18"/>
                <w:szCs w:val="18"/>
              </w:rPr>
            </w:pPr>
            <w:r w:rsidRPr="00404DA5">
              <w:rPr>
                <w:rFonts w:eastAsia="Calibri" w:cs="Calibri"/>
                <w:sz w:val="18"/>
                <w:szCs w:val="18"/>
              </w:rPr>
              <w:t>sztuk</w:t>
            </w:r>
            <w:r>
              <w:rPr>
                <w:rFonts w:eastAsia="Calibri" w:cs="Calibri"/>
                <w:sz w:val="18"/>
                <w:szCs w:val="18"/>
              </w:rPr>
              <w:t>i</w:t>
            </w:r>
          </w:p>
        </w:tc>
        <w:tc>
          <w:tcPr>
            <w:tcW w:w="122" w:type="pct"/>
            <w:vAlign w:val="center"/>
          </w:tcPr>
          <w:p w14:paraId="3D55105A" w14:textId="77777777" w:rsidR="00116CFB" w:rsidRPr="00404DA5" w:rsidRDefault="00116CFB" w:rsidP="004742DC">
            <w:pPr>
              <w:jc w:val="center"/>
              <w:rPr>
                <w:rFonts w:eastAsia="Calibri" w:cs="Calibri"/>
                <w:sz w:val="18"/>
                <w:szCs w:val="18"/>
              </w:rPr>
            </w:pPr>
            <w:r>
              <w:rPr>
                <w:rFonts w:eastAsia="Calibri" w:cs="Calibri"/>
                <w:sz w:val="18"/>
                <w:szCs w:val="18"/>
              </w:rPr>
              <w:t>12</w:t>
            </w:r>
          </w:p>
        </w:tc>
        <w:tc>
          <w:tcPr>
            <w:tcW w:w="466" w:type="pct"/>
            <w:shd w:val="clear" w:color="auto" w:fill="auto"/>
            <w:vAlign w:val="center"/>
          </w:tcPr>
          <w:p w14:paraId="036125CA" w14:textId="77777777" w:rsidR="00116CFB" w:rsidRPr="00404DA5" w:rsidRDefault="00116CFB" w:rsidP="004742DC">
            <w:pPr>
              <w:jc w:val="center"/>
              <w:rPr>
                <w:rFonts w:eastAsia="Calibri" w:cs="Calibri"/>
                <w:sz w:val="18"/>
                <w:szCs w:val="18"/>
              </w:rPr>
            </w:pPr>
            <w:r w:rsidRPr="00404DA5">
              <w:rPr>
                <w:rFonts w:eastAsia="Calibri" w:cs="Calibri"/>
                <w:sz w:val="18"/>
                <w:szCs w:val="18"/>
              </w:rPr>
              <w:t>2</w:t>
            </w:r>
          </w:p>
        </w:tc>
        <w:tc>
          <w:tcPr>
            <w:tcW w:w="614" w:type="pct"/>
            <w:shd w:val="clear" w:color="auto" w:fill="auto"/>
            <w:vAlign w:val="center"/>
          </w:tcPr>
          <w:p w14:paraId="40F368BC" w14:textId="77777777" w:rsidR="00116CFB" w:rsidRPr="00404DA5" w:rsidRDefault="00116CFB" w:rsidP="004742DC">
            <w:pPr>
              <w:jc w:val="center"/>
              <w:rPr>
                <w:rFonts w:eastAsia="Calibri" w:cs="Calibri"/>
                <w:sz w:val="18"/>
                <w:szCs w:val="18"/>
              </w:rPr>
            </w:pPr>
            <w:r w:rsidRPr="00404DA5">
              <w:rPr>
                <w:rFonts w:eastAsia="Calibri" w:cs="Calibri"/>
                <w:sz w:val="18"/>
                <w:szCs w:val="18"/>
              </w:rPr>
              <w:t>600%</w:t>
            </w:r>
          </w:p>
        </w:tc>
        <w:tc>
          <w:tcPr>
            <w:tcW w:w="504" w:type="pct"/>
            <w:shd w:val="clear" w:color="auto" w:fill="auto"/>
            <w:vAlign w:val="center"/>
          </w:tcPr>
          <w:p w14:paraId="5505D088"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c>
          <w:tcPr>
            <w:tcW w:w="528" w:type="pct"/>
            <w:shd w:val="clear" w:color="auto" w:fill="auto"/>
            <w:vAlign w:val="center"/>
          </w:tcPr>
          <w:p w14:paraId="5B1DE23F"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c>
          <w:tcPr>
            <w:tcW w:w="528" w:type="pct"/>
            <w:shd w:val="clear" w:color="auto" w:fill="auto"/>
            <w:vAlign w:val="center"/>
          </w:tcPr>
          <w:p w14:paraId="247D79DC"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r>
      <w:tr w:rsidR="00116CFB" w:rsidRPr="00B2711F" w14:paraId="4F26D727" w14:textId="77777777" w:rsidTr="004742DC">
        <w:tc>
          <w:tcPr>
            <w:tcW w:w="297" w:type="pct"/>
            <w:shd w:val="clear" w:color="auto" w:fill="auto"/>
            <w:vAlign w:val="center"/>
          </w:tcPr>
          <w:p w14:paraId="51FC9A14" w14:textId="77777777" w:rsidR="00116CFB" w:rsidRPr="00404DA5" w:rsidRDefault="00116CFB" w:rsidP="004742DC">
            <w:pPr>
              <w:keepNext/>
              <w:jc w:val="center"/>
              <w:rPr>
                <w:rFonts w:cs="Calibri"/>
                <w:sz w:val="18"/>
                <w:szCs w:val="18"/>
              </w:rPr>
            </w:pPr>
            <w:r w:rsidRPr="00404DA5">
              <w:rPr>
                <w:rFonts w:cs="Calibri"/>
                <w:color w:val="000000"/>
                <w:sz w:val="18"/>
                <w:szCs w:val="18"/>
              </w:rPr>
              <w:t xml:space="preserve">PI 9b </w:t>
            </w:r>
          </w:p>
        </w:tc>
        <w:tc>
          <w:tcPr>
            <w:tcW w:w="631" w:type="pct"/>
            <w:shd w:val="clear" w:color="auto" w:fill="auto"/>
            <w:vAlign w:val="center"/>
          </w:tcPr>
          <w:p w14:paraId="62AFDC7C" w14:textId="77777777" w:rsidR="00116CFB" w:rsidRPr="00404DA5" w:rsidRDefault="00116CFB" w:rsidP="004742DC">
            <w:pPr>
              <w:keepNext/>
              <w:jc w:val="center"/>
              <w:rPr>
                <w:rFonts w:cs="Calibri"/>
                <w:sz w:val="18"/>
                <w:szCs w:val="18"/>
              </w:rPr>
            </w:pPr>
            <w:r w:rsidRPr="00404DA5">
              <w:rPr>
                <w:rFonts w:cs="Calibri"/>
                <w:color w:val="000000"/>
                <w:sz w:val="18"/>
                <w:szCs w:val="18"/>
              </w:rPr>
              <w:t>KEW</w:t>
            </w:r>
          </w:p>
        </w:tc>
        <w:tc>
          <w:tcPr>
            <w:tcW w:w="787" w:type="pct"/>
            <w:shd w:val="clear" w:color="auto" w:fill="auto"/>
            <w:vAlign w:val="center"/>
          </w:tcPr>
          <w:p w14:paraId="0FAA7E7B" w14:textId="77777777" w:rsidR="00116CFB" w:rsidRPr="00404DA5" w:rsidRDefault="00116CFB" w:rsidP="004742DC">
            <w:pPr>
              <w:keepNext/>
              <w:jc w:val="center"/>
              <w:rPr>
                <w:rFonts w:cs="Calibri"/>
                <w:sz w:val="18"/>
                <w:szCs w:val="18"/>
              </w:rPr>
            </w:pPr>
            <w:r w:rsidRPr="00404DA5">
              <w:rPr>
                <w:rFonts w:cs="Calibri"/>
                <w:color w:val="000000"/>
                <w:sz w:val="18"/>
                <w:szCs w:val="18"/>
              </w:rPr>
              <w:t>Powierzchnia obszarów objętych rewitalizacją</w:t>
            </w:r>
            <w:r w:rsidR="00E66B89">
              <w:rPr>
                <w:rFonts w:cs="Calibri"/>
                <w:color w:val="000000"/>
                <w:sz w:val="18"/>
                <w:szCs w:val="18"/>
              </w:rPr>
              <w:t xml:space="preserve"> w </w:t>
            </w:r>
            <w:r w:rsidRPr="00404DA5">
              <w:rPr>
                <w:rFonts w:cs="Calibri"/>
                <w:color w:val="000000"/>
                <w:sz w:val="18"/>
                <w:szCs w:val="18"/>
              </w:rPr>
              <w:t>podpisanych umowach</w:t>
            </w:r>
          </w:p>
        </w:tc>
        <w:tc>
          <w:tcPr>
            <w:tcW w:w="523" w:type="pct"/>
            <w:shd w:val="clear" w:color="auto" w:fill="auto"/>
            <w:vAlign w:val="center"/>
          </w:tcPr>
          <w:p w14:paraId="1AC2EAB6" w14:textId="77777777" w:rsidR="00116CFB" w:rsidRPr="00404DA5" w:rsidRDefault="00116CFB" w:rsidP="004742DC">
            <w:pPr>
              <w:jc w:val="center"/>
              <w:rPr>
                <w:rFonts w:eastAsia="Calibri" w:cs="Calibri"/>
                <w:sz w:val="18"/>
                <w:szCs w:val="18"/>
              </w:rPr>
            </w:pPr>
            <w:r w:rsidRPr="00404DA5">
              <w:rPr>
                <w:rFonts w:cs="Calibri"/>
                <w:color w:val="000000"/>
                <w:sz w:val="18"/>
                <w:szCs w:val="18"/>
              </w:rPr>
              <w:t>ha</w:t>
            </w:r>
          </w:p>
        </w:tc>
        <w:tc>
          <w:tcPr>
            <w:tcW w:w="122" w:type="pct"/>
            <w:vAlign w:val="center"/>
          </w:tcPr>
          <w:p w14:paraId="42B2FA2B" w14:textId="77777777" w:rsidR="00116CFB" w:rsidRPr="00404DA5" w:rsidRDefault="00116CFB" w:rsidP="004742DC">
            <w:pPr>
              <w:jc w:val="center"/>
              <w:rPr>
                <w:rFonts w:eastAsia="Calibri" w:cs="Calibri"/>
                <w:sz w:val="18"/>
                <w:szCs w:val="18"/>
              </w:rPr>
            </w:pPr>
            <w:r>
              <w:rPr>
                <w:rFonts w:eastAsia="Calibri" w:cs="Calibri"/>
                <w:sz w:val="18"/>
                <w:szCs w:val="18"/>
              </w:rPr>
              <w:t>22,28</w:t>
            </w:r>
          </w:p>
        </w:tc>
        <w:tc>
          <w:tcPr>
            <w:tcW w:w="466" w:type="pct"/>
            <w:shd w:val="clear" w:color="auto" w:fill="auto"/>
            <w:vAlign w:val="center"/>
          </w:tcPr>
          <w:p w14:paraId="67342A59" w14:textId="77777777" w:rsidR="00116CFB" w:rsidRPr="00404DA5" w:rsidRDefault="00116CFB" w:rsidP="004742DC">
            <w:pPr>
              <w:jc w:val="center"/>
              <w:rPr>
                <w:rFonts w:eastAsia="Calibri" w:cs="Calibri"/>
                <w:sz w:val="18"/>
                <w:szCs w:val="18"/>
              </w:rPr>
            </w:pPr>
            <w:r w:rsidRPr="00404DA5">
              <w:rPr>
                <w:rFonts w:eastAsia="Calibri" w:cs="Calibri"/>
                <w:sz w:val="18"/>
                <w:szCs w:val="18"/>
              </w:rPr>
              <w:t>8</w:t>
            </w:r>
          </w:p>
        </w:tc>
        <w:tc>
          <w:tcPr>
            <w:tcW w:w="614" w:type="pct"/>
            <w:shd w:val="clear" w:color="auto" w:fill="auto"/>
            <w:vAlign w:val="center"/>
          </w:tcPr>
          <w:p w14:paraId="5749734B" w14:textId="77777777" w:rsidR="00116CFB" w:rsidRPr="00404DA5" w:rsidRDefault="00116CFB" w:rsidP="004742DC">
            <w:pPr>
              <w:jc w:val="center"/>
              <w:rPr>
                <w:rFonts w:eastAsia="Calibri" w:cs="Calibri"/>
                <w:sz w:val="18"/>
                <w:szCs w:val="18"/>
              </w:rPr>
            </w:pPr>
            <w:r w:rsidRPr="00404DA5">
              <w:rPr>
                <w:rFonts w:cs="Calibri"/>
                <w:color w:val="000000"/>
                <w:sz w:val="18"/>
                <w:szCs w:val="18"/>
              </w:rPr>
              <w:t>278,50%</w:t>
            </w:r>
          </w:p>
        </w:tc>
        <w:tc>
          <w:tcPr>
            <w:tcW w:w="504" w:type="pct"/>
            <w:shd w:val="clear" w:color="auto" w:fill="auto"/>
            <w:vAlign w:val="center"/>
          </w:tcPr>
          <w:p w14:paraId="37D8F1B8"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c>
          <w:tcPr>
            <w:tcW w:w="528" w:type="pct"/>
            <w:shd w:val="clear" w:color="auto" w:fill="auto"/>
            <w:vAlign w:val="center"/>
          </w:tcPr>
          <w:p w14:paraId="18BDE1C9"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c>
          <w:tcPr>
            <w:tcW w:w="528" w:type="pct"/>
            <w:shd w:val="clear" w:color="auto" w:fill="auto"/>
            <w:vAlign w:val="center"/>
          </w:tcPr>
          <w:p w14:paraId="478B8980" w14:textId="77777777" w:rsidR="00116CFB" w:rsidRPr="00404DA5" w:rsidRDefault="00116CFB" w:rsidP="004742DC">
            <w:pPr>
              <w:jc w:val="center"/>
              <w:rPr>
                <w:rFonts w:eastAsia="Calibri" w:cs="Calibri"/>
                <w:sz w:val="18"/>
                <w:szCs w:val="18"/>
              </w:rPr>
            </w:pPr>
            <w:r w:rsidRPr="00404DA5">
              <w:rPr>
                <w:rFonts w:eastAsia="Calibri" w:cs="Calibri"/>
                <w:sz w:val="18"/>
                <w:szCs w:val="18"/>
              </w:rPr>
              <w:t>-</w:t>
            </w:r>
          </w:p>
        </w:tc>
      </w:tr>
      <w:tr w:rsidR="00116CFB" w:rsidRPr="00B2711F" w14:paraId="256D8F6A" w14:textId="77777777" w:rsidTr="004742DC">
        <w:tc>
          <w:tcPr>
            <w:tcW w:w="297" w:type="pct"/>
            <w:shd w:val="clear" w:color="auto" w:fill="auto"/>
            <w:vAlign w:val="center"/>
          </w:tcPr>
          <w:p w14:paraId="2018E357"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PI 9a</w:t>
            </w:r>
          </w:p>
        </w:tc>
        <w:tc>
          <w:tcPr>
            <w:tcW w:w="631" w:type="pct"/>
            <w:shd w:val="clear" w:color="auto" w:fill="auto"/>
            <w:vAlign w:val="center"/>
          </w:tcPr>
          <w:p w14:paraId="75D630DB"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Wskaźnik produktu</w:t>
            </w:r>
          </w:p>
        </w:tc>
        <w:tc>
          <w:tcPr>
            <w:tcW w:w="787" w:type="pct"/>
            <w:shd w:val="clear" w:color="auto" w:fill="auto"/>
            <w:vAlign w:val="center"/>
          </w:tcPr>
          <w:p w14:paraId="351D40DD"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Liczba wspartych podmiotów leczniczych</w:t>
            </w:r>
          </w:p>
        </w:tc>
        <w:tc>
          <w:tcPr>
            <w:tcW w:w="523" w:type="pct"/>
            <w:shd w:val="clear" w:color="auto" w:fill="auto"/>
            <w:vAlign w:val="center"/>
          </w:tcPr>
          <w:p w14:paraId="3E4E2924" w14:textId="77777777" w:rsidR="00116CFB" w:rsidRPr="00404DA5" w:rsidRDefault="00116CFB" w:rsidP="004742DC">
            <w:pPr>
              <w:jc w:val="center"/>
              <w:rPr>
                <w:rFonts w:cs="Calibri"/>
                <w:color w:val="000000"/>
                <w:sz w:val="18"/>
                <w:szCs w:val="18"/>
              </w:rPr>
            </w:pPr>
            <w:r w:rsidRPr="00404DA5">
              <w:rPr>
                <w:rFonts w:cs="Calibri"/>
                <w:color w:val="000000"/>
                <w:sz w:val="18"/>
                <w:szCs w:val="18"/>
              </w:rPr>
              <w:t>sztuk</w:t>
            </w:r>
            <w:r>
              <w:rPr>
                <w:rFonts w:cs="Calibri"/>
                <w:color w:val="000000"/>
                <w:sz w:val="18"/>
                <w:szCs w:val="18"/>
              </w:rPr>
              <w:t>i</w:t>
            </w:r>
          </w:p>
        </w:tc>
        <w:tc>
          <w:tcPr>
            <w:tcW w:w="122" w:type="pct"/>
            <w:vAlign w:val="center"/>
          </w:tcPr>
          <w:p w14:paraId="578D0F29" w14:textId="77777777" w:rsidR="00116CFB" w:rsidRPr="00404DA5" w:rsidRDefault="00116CFB" w:rsidP="004742DC">
            <w:pPr>
              <w:jc w:val="center"/>
              <w:rPr>
                <w:rFonts w:cs="Calibri"/>
                <w:color w:val="000000"/>
                <w:sz w:val="18"/>
                <w:szCs w:val="18"/>
              </w:rPr>
            </w:pPr>
            <w:r>
              <w:rPr>
                <w:rFonts w:cs="Calibri"/>
                <w:color w:val="000000"/>
                <w:sz w:val="18"/>
                <w:szCs w:val="18"/>
              </w:rPr>
              <w:t>2</w:t>
            </w:r>
          </w:p>
        </w:tc>
        <w:tc>
          <w:tcPr>
            <w:tcW w:w="466" w:type="pct"/>
            <w:shd w:val="clear" w:color="auto" w:fill="auto"/>
            <w:vAlign w:val="center"/>
          </w:tcPr>
          <w:p w14:paraId="598B83DD" w14:textId="77777777" w:rsidR="00116CFB" w:rsidRPr="00404DA5" w:rsidRDefault="00116CFB" w:rsidP="004742DC">
            <w:pPr>
              <w:jc w:val="center"/>
              <w:rPr>
                <w:rFonts w:cs="Calibri"/>
                <w:color w:val="000000"/>
                <w:sz w:val="18"/>
                <w:szCs w:val="18"/>
              </w:rPr>
            </w:pPr>
            <w:r w:rsidRPr="00404DA5">
              <w:rPr>
                <w:rFonts w:cs="Calibri"/>
                <w:color w:val="000000"/>
                <w:sz w:val="18"/>
                <w:szCs w:val="18"/>
              </w:rPr>
              <w:t>-</w:t>
            </w:r>
          </w:p>
        </w:tc>
        <w:tc>
          <w:tcPr>
            <w:tcW w:w="614" w:type="pct"/>
            <w:shd w:val="clear" w:color="auto" w:fill="auto"/>
            <w:vAlign w:val="center"/>
          </w:tcPr>
          <w:p w14:paraId="584EABAC" w14:textId="77777777" w:rsidR="00116CFB" w:rsidRPr="00404DA5" w:rsidRDefault="00116CFB" w:rsidP="004742DC">
            <w:pPr>
              <w:jc w:val="center"/>
              <w:rPr>
                <w:rFonts w:cs="Calibri"/>
                <w:color w:val="000000"/>
                <w:sz w:val="18"/>
                <w:szCs w:val="18"/>
              </w:rPr>
            </w:pPr>
            <w:r w:rsidRPr="00404DA5">
              <w:rPr>
                <w:rFonts w:cs="Calibri"/>
                <w:color w:val="000000"/>
                <w:sz w:val="18"/>
                <w:szCs w:val="18"/>
              </w:rPr>
              <w:t>-</w:t>
            </w:r>
          </w:p>
        </w:tc>
        <w:tc>
          <w:tcPr>
            <w:tcW w:w="504" w:type="pct"/>
            <w:shd w:val="clear" w:color="auto" w:fill="auto"/>
            <w:vAlign w:val="center"/>
          </w:tcPr>
          <w:p w14:paraId="5D1CBF06" w14:textId="77777777" w:rsidR="00116CFB" w:rsidRPr="00404DA5" w:rsidRDefault="00116CFB" w:rsidP="004742DC">
            <w:pPr>
              <w:jc w:val="center"/>
              <w:rPr>
                <w:rFonts w:cs="Calibri"/>
                <w:sz w:val="18"/>
                <w:szCs w:val="18"/>
              </w:rPr>
            </w:pPr>
            <w:r w:rsidRPr="00404DA5">
              <w:rPr>
                <w:rFonts w:cs="Calibri"/>
                <w:sz w:val="18"/>
                <w:szCs w:val="18"/>
              </w:rPr>
              <w:t>6</w:t>
            </w:r>
          </w:p>
        </w:tc>
        <w:tc>
          <w:tcPr>
            <w:tcW w:w="528" w:type="pct"/>
            <w:shd w:val="clear" w:color="auto" w:fill="auto"/>
            <w:vAlign w:val="center"/>
          </w:tcPr>
          <w:p w14:paraId="32D92558" w14:textId="77777777" w:rsidR="00116CFB" w:rsidRPr="00404DA5" w:rsidRDefault="00116CFB" w:rsidP="004742DC">
            <w:pPr>
              <w:jc w:val="center"/>
              <w:rPr>
                <w:color w:val="000000"/>
                <w:sz w:val="18"/>
                <w:szCs w:val="18"/>
              </w:rPr>
            </w:pPr>
            <w:r w:rsidRPr="00404DA5">
              <w:rPr>
                <w:color w:val="000000"/>
                <w:sz w:val="18"/>
                <w:szCs w:val="18"/>
              </w:rPr>
              <w:t>33%</w:t>
            </w:r>
          </w:p>
        </w:tc>
        <w:tc>
          <w:tcPr>
            <w:tcW w:w="528" w:type="pct"/>
            <w:shd w:val="clear" w:color="auto" w:fill="auto"/>
            <w:vAlign w:val="center"/>
          </w:tcPr>
          <w:p w14:paraId="4F7A647B" w14:textId="77777777" w:rsidR="00116CFB" w:rsidRPr="00404DA5" w:rsidRDefault="00116CFB" w:rsidP="004742DC">
            <w:pPr>
              <w:jc w:val="center"/>
              <w:rPr>
                <w:color w:val="000000"/>
                <w:sz w:val="18"/>
                <w:szCs w:val="18"/>
              </w:rPr>
            </w:pPr>
            <w:r w:rsidRPr="00404DA5">
              <w:rPr>
                <w:color w:val="000000"/>
                <w:sz w:val="18"/>
                <w:szCs w:val="18"/>
              </w:rPr>
              <w:t>200%</w:t>
            </w:r>
          </w:p>
        </w:tc>
      </w:tr>
      <w:tr w:rsidR="00116CFB" w:rsidRPr="00B2711F" w14:paraId="1F9790DF" w14:textId="77777777" w:rsidTr="004742DC">
        <w:tc>
          <w:tcPr>
            <w:tcW w:w="297" w:type="pct"/>
            <w:shd w:val="clear" w:color="auto" w:fill="auto"/>
            <w:vAlign w:val="center"/>
          </w:tcPr>
          <w:p w14:paraId="772388FB"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PI 9b</w:t>
            </w:r>
          </w:p>
        </w:tc>
        <w:tc>
          <w:tcPr>
            <w:tcW w:w="631" w:type="pct"/>
            <w:shd w:val="clear" w:color="auto" w:fill="auto"/>
            <w:vAlign w:val="center"/>
          </w:tcPr>
          <w:p w14:paraId="294AFD38"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Wskaźnik produktu</w:t>
            </w:r>
          </w:p>
        </w:tc>
        <w:tc>
          <w:tcPr>
            <w:tcW w:w="787" w:type="pct"/>
            <w:shd w:val="clear" w:color="auto" w:fill="auto"/>
            <w:vAlign w:val="center"/>
          </w:tcPr>
          <w:p w14:paraId="3CE126E2" w14:textId="77777777" w:rsidR="00116CFB" w:rsidRPr="00404DA5" w:rsidRDefault="00116CFB" w:rsidP="004742DC">
            <w:pPr>
              <w:keepNext/>
              <w:jc w:val="center"/>
              <w:rPr>
                <w:rFonts w:cs="Calibri"/>
                <w:color w:val="000000"/>
                <w:sz w:val="18"/>
                <w:szCs w:val="18"/>
              </w:rPr>
            </w:pPr>
            <w:r w:rsidRPr="00404DA5">
              <w:rPr>
                <w:rFonts w:cs="Calibri"/>
                <w:color w:val="000000"/>
                <w:sz w:val="18"/>
                <w:szCs w:val="18"/>
              </w:rPr>
              <w:t>Powierzchnia obszarów objętych rewitalizacją</w:t>
            </w:r>
          </w:p>
        </w:tc>
        <w:tc>
          <w:tcPr>
            <w:tcW w:w="523" w:type="pct"/>
            <w:shd w:val="clear" w:color="auto" w:fill="auto"/>
            <w:vAlign w:val="center"/>
          </w:tcPr>
          <w:p w14:paraId="249D8844" w14:textId="77777777" w:rsidR="00116CFB" w:rsidRPr="00404DA5" w:rsidRDefault="00116CFB" w:rsidP="004742DC">
            <w:pPr>
              <w:jc w:val="center"/>
              <w:rPr>
                <w:rFonts w:cs="Calibri"/>
                <w:color w:val="000000"/>
                <w:sz w:val="18"/>
                <w:szCs w:val="18"/>
              </w:rPr>
            </w:pPr>
            <w:r w:rsidRPr="00404DA5">
              <w:rPr>
                <w:rFonts w:cs="Calibri"/>
                <w:color w:val="000000"/>
                <w:sz w:val="18"/>
                <w:szCs w:val="18"/>
              </w:rPr>
              <w:t>ha</w:t>
            </w:r>
          </w:p>
        </w:tc>
        <w:tc>
          <w:tcPr>
            <w:tcW w:w="122" w:type="pct"/>
            <w:vAlign w:val="center"/>
          </w:tcPr>
          <w:p w14:paraId="4A815C37" w14:textId="77777777" w:rsidR="00116CFB" w:rsidRPr="00404DA5" w:rsidRDefault="00116CFB" w:rsidP="004742DC">
            <w:pPr>
              <w:jc w:val="center"/>
              <w:rPr>
                <w:rFonts w:cs="Calibri"/>
                <w:color w:val="000000"/>
                <w:sz w:val="18"/>
                <w:szCs w:val="18"/>
              </w:rPr>
            </w:pPr>
            <w:r>
              <w:rPr>
                <w:rFonts w:cs="Calibri"/>
                <w:color w:val="000000"/>
                <w:sz w:val="18"/>
                <w:szCs w:val="18"/>
              </w:rPr>
              <w:t>0</w:t>
            </w:r>
          </w:p>
        </w:tc>
        <w:tc>
          <w:tcPr>
            <w:tcW w:w="466" w:type="pct"/>
            <w:shd w:val="clear" w:color="auto" w:fill="auto"/>
            <w:vAlign w:val="center"/>
          </w:tcPr>
          <w:p w14:paraId="5FBB76B5" w14:textId="77777777" w:rsidR="00116CFB" w:rsidRPr="00404DA5" w:rsidRDefault="00116CFB" w:rsidP="004742DC">
            <w:pPr>
              <w:jc w:val="center"/>
              <w:rPr>
                <w:rFonts w:cs="Calibri"/>
                <w:color w:val="000000"/>
                <w:sz w:val="18"/>
                <w:szCs w:val="18"/>
              </w:rPr>
            </w:pPr>
            <w:r w:rsidRPr="00404DA5">
              <w:rPr>
                <w:rFonts w:cs="Calibri"/>
                <w:color w:val="000000"/>
                <w:sz w:val="18"/>
                <w:szCs w:val="18"/>
              </w:rPr>
              <w:t>-</w:t>
            </w:r>
          </w:p>
        </w:tc>
        <w:tc>
          <w:tcPr>
            <w:tcW w:w="614" w:type="pct"/>
            <w:shd w:val="clear" w:color="auto" w:fill="auto"/>
            <w:vAlign w:val="center"/>
          </w:tcPr>
          <w:p w14:paraId="35C5D798" w14:textId="77777777" w:rsidR="00116CFB" w:rsidRPr="00404DA5" w:rsidRDefault="00116CFB" w:rsidP="004742DC">
            <w:pPr>
              <w:jc w:val="center"/>
              <w:rPr>
                <w:rFonts w:cs="Calibri"/>
                <w:color w:val="000000"/>
                <w:sz w:val="18"/>
                <w:szCs w:val="18"/>
              </w:rPr>
            </w:pPr>
            <w:r w:rsidRPr="00404DA5">
              <w:rPr>
                <w:rFonts w:cs="Calibri"/>
                <w:color w:val="000000"/>
                <w:sz w:val="18"/>
                <w:szCs w:val="18"/>
              </w:rPr>
              <w:t>-</w:t>
            </w:r>
          </w:p>
        </w:tc>
        <w:tc>
          <w:tcPr>
            <w:tcW w:w="504" w:type="pct"/>
            <w:shd w:val="clear" w:color="auto" w:fill="auto"/>
            <w:vAlign w:val="center"/>
          </w:tcPr>
          <w:p w14:paraId="01ECB3E5" w14:textId="77777777" w:rsidR="00116CFB" w:rsidRPr="00404DA5" w:rsidRDefault="00116CFB" w:rsidP="004742DC">
            <w:pPr>
              <w:jc w:val="center"/>
              <w:rPr>
                <w:rFonts w:cs="Calibri"/>
                <w:sz w:val="18"/>
                <w:szCs w:val="18"/>
              </w:rPr>
            </w:pPr>
            <w:r w:rsidRPr="00404DA5">
              <w:rPr>
                <w:rFonts w:cs="Calibri"/>
                <w:sz w:val="18"/>
                <w:szCs w:val="18"/>
              </w:rPr>
              <w:t>14,54</w:t>
            </w:r>
          </w:p>
        </w:tc>
        <w:tc>
          <w:tcPr>
            <w:tcW w:w="528" w:type="pct"/>
            <w:shd w:val="clear" w:color="auto" w:fill="auto"/>
            <w:vAlign w:val="center"/>
          </w:tcPr>
          <w:p w14:paraId="70BE0B37" w14:textId="77777777" w:rsidR="00116CFB" w:rsidRPr="00404DA5" w:rsidRDefault="00116CFB" w:rsidP="004742DC">
            <w:pPr>
              <w:jc w:val="center"/>
              <w:rPr>
                <w:color w:val="000000"/>
                <w:sz w:val="18"/>
                <w:szCs w:val="18"/>
              </w:rPr>
            </w:pPr>
            <w:r w:rsidRPr="00404DA5">
              <w:rPr>
                <w:color w:val="000000"/>
                <w:sz w:val="18"/>
                <w:szCs w:val="18"/>
              </w:rPr>
              <w:t>0</w:t>
            </w:r>
          </w:p>
        </w:tc>
        <w:tc>
          <w:tcPr>
            <w:tcW w:w="528" w:type="pct"/>
            <w:shd w:val="clear" w:color="auto" w:fill="auto"/>
            <w:vAlign w:val="center"/>
          </w:tcPr>
          <w:p w14:paraId="45C13192" w14:textId="77777777" w:rsidR="00116CFB" w:rsidRPr="00404DA5" w:rsidRDefault="00116CFB" w:rsidP="004742DC">
            <w:pPr>
              <w:jc w:val="center"/>
              <w:rPr>
                <w:color w:val="000000"/>
                <w:sz w:val="18"/>
                <w:szCs w:val="18"/>
              </w:rPr>
            </w:pPr>
            <w:r w:rsidRPr="00404DA5">
              <w:rPr>
                <w:color w:val="000000"/>
                <w:sz w:val="18"/>
                <w:szCs w:val="18"/>
              </w:rPr>
              <w:t>153,2%</w:t>
            </w:r>
          </w:p>
        </w:tc>
      </w:tr>
      <w:tr w:rsidR="00116CFB" w:rsidRPr="00B2711F" w14:paraId="6D3E3E61" w14:textId="77777777" w:rsidTr="004742DC">
        <w:tc>
          <w:tcPr>
            <w:tcW w:w="297" w:type="pct"/>
            <w:shd w:val="clear" w:color="auto" w:fill="auto"/>
            <w:vAlign w:val="center"/>
          </w:tcPr>
          <w:p w14:paraId="149D84E5" w14:textId="77777777" w:rsidR="00116CFB" w:rsidRPr="00404DA5" w:rsidRDefault="00116CFB" w:rsidP="004742DC">
            <w:pPr>
              <w:jc w:val="center"/>
              <w:rPr>
                <w:rFonts w:cs="Calibri"/>
                <w:sz w:val="18"/>
                <w:szCs w:val="18"/>
              </w:rPr>
            </w:pPr>
            <w:r w:rsidRPr="00404DA5">
              <w:rPr>
                <w:rFonts w:cs="Calibri"/>
                <w:color w:val="000000"/>
                <w:sz w:val="18"/>
                <w:szCs w:val="18"/>
              </w:rPr>
              <w:t>07b, 07c, 07d</w:t>
            </w:r>
          </w:p>
        </w:tc>
        <w:tc>
          <w:tcPr>
            <w:tcW w:w="631" w:type="pct"/>
            <w:shd w:val="clear" w:color="auto" w:fill="auto"/>
            <w:vAlign w:val="center"/>
          </w:tcPr>
          <w:p w14:paraId="79FFFC69" w14:textId="77777777" w:rsidR="00116CFB" w:rsidRPr="00404DA5" w:rsidRDefault="00116CFB" w:rsidP="004742DC">
            <w:pPr>
              <w:jc w:val="center"/>
              <w:rPr>
                <w:rFonts w:cs="Calibri"/>
                <w:sz w:val="18"/>
                <w:szCs w:val="18"/>
              </w:rPr>
            </w:pPr>
            <w:r w:rsidRPr="00404DA5">
              <w:rPr>
                <w:rFonts w:cs="Calibri"/>
                <w:color w:val="000000"/>
                <w:sz w:val="18"/>
                <w:szCs w:val="18"/>
              </w:rPr>
              <w:t>wskaźnik postępu finansowego</w:t>
            </w:r>
          </w:p>
        </w:tc>
        <w:tc>
          <w:tcPr>
            <w:tcW w:w="787" w:type="pct"/>
            <w:shd w:val="clear" w:color="auto" w:fill="auto"/>
            <w:vAlign w:val="center"/>
          </w:tcPr>
          <w:p w14:paraId="6C834353" w14:textId="77777777" w:rsidR="00116CFB" w:rsidRPr="00404DA5" w:rsidRDefault="00116CFB" w:rsidP="004742DC">
            <w:pPr>
              <w:jc w:val="center"/>
              <w:rPr>
                <w:rFonts w:cs="Calibri"/>
                <w:sz w:val="18"/>
                <w:szCs w:val="18"/>
              </w:rPr>
            </w:pPr>
            <w:r w:rsidRPr="00404DA5">
              <w:rPr>
                <w:rFonts w:cs="Calibri"/>
                <w:color w:val="000000"/>
                <w:sz w:val="18"/>
                <w:szCs w:val="18"/>
              </w:rPr>
              <w:t>Całkowita kwota certyfikowanych wydatków kwalifikowanych</w:t>
            </w:r>
          </w:p>
        </w:tc>
        <w:tc>
          <w:tcPr>
            <w:tcW w:w="523" w:type="pct"/>
            <w:shd w:val="clear" w:color="auto" w:fill="auto"/>
            <w:vAlign w:val="center"/>
          </w:tcPr>
          <w:p w14:paraId="02BAB8AC" w14:textId="77777777" w:rsidR="00116CFB" w:rsidRPr="00404DA5" w:rsidRDefault="00116CFB" w:rsidP="004742DC">
            <w:pPr>
              <w:jc w:val="center"/>
              <w:rPr>
                <w:rFonts w:cs="Calibri"/>
                <w:sz w:val="18"/>
                <w:szCs w:val="18"/>
              </w:rPr>
            </w:pPr>
            <w:r w:rsidRPr="00404DA5">
              <w:rPr>
                <w:rFonts w:cs="Calibri"/>
                <w:color w:val="000000"/>
                <w:sz w:val="18"/>
                <w:szCs w:val="18"/>
              </w:rPr>
              <w:t>EUR</w:t>
            </w:r>
          </w:p>
        </w:tc>
        <w:tc>
          <w:tcPr>
            <w:tcW w:w="122" w:type="pct"/>
            <w:vAlign w:val="center"/>
          </w:tcPr>
          <w:p w14:paraId="504B5927" w14:textId="77777777" w:rsidR="00116CFB" w:rsidRPr="00404DA5" w:rsidRDefault="00116CFB" w:rsidP="004742DC">
            <w:pPr>
              <w:jc w:val="center"/>
              <w:rPr>
                <w:sz w:val="18"/>
                <w:szCs w:val="18"/>
              </w:rPr>
            </w:pPr>
            <w:r w:rsidRPr="00B84EEA">
              <w:rPr>
                <w:rFonts w:cs="Calibri"/>
                <w:color w:val="000000"/>
                <w:sz w:val="18"/>
                <w:szCs w:val="18"/>
              </w:rPr>
              <w:t>17 575 827</w:t>
            </w:r>
          </w:p>
        </w:tc>
        <w:tc>
          <w:tcPr>
            <w:tcW w:w="466" w:type="pct"/>
            <w:shd w:val="clear" w:color="auto" w:fill="auto"/>
            <w:vAlign w:val="center"/>
          </w:tcPr>
          <w:p w14:paraId="75A80FA0" w14:textId="77777777" w:rsidR="00116CFB" w:rsidRPr="00404DA5" w:rsidRDefault="00116CFB" w:rsidP="004742DC">
            <w:pPr>
              <w:jc w:val="center"/>
              <w:rPr>
                <w:rFonts w:cs="Calibri"/>
                <w:sz w:val="18"/>
                <w:szCs w:val="18"/>
              </w:rPr>
            </w:pPr>
            <w:r w:rsidRPr="00404DA5">
              <w:rPr>
                <w:sz w:val="18"/>
                <w:szCs w:val="18"/>
              </w:rPr>
              <w:t>15 298 226</w:t>
            </w:r>
          </w:p>
        </w:tc>
        <w:tc>
          <w:tcPr>
            <w:tcW w:w="614" w:type="pct"/>
            <w:shd w:val="clear" w:color="auto" w:fill="auto"/>
            <w:vAlign w:val="center"/>
          </w:tcPr>
          <w:p w14:paraId="4B6C5187" w14:textId="77777777" w:rsidR="00116CFB" w:rsidRPr="00404DA5" w:rsidRDefault="00116CFB" w:rsidP="004742DC">
            <w:pPr>
              <w:jc w:val="center"/>
              <w:rPr>
                <w:rFonts w:cs="Calibri"/>
                <w:sz w:val="18"/>
                <w:szCs w:val="18"/>
              </w:rPr>
            </w:pPr>
            <w:r w:rsidRPr="00404DA5">
              <w:rPr>
                <w:rFonts w:cs="Calibri"/>
                <w:color w:val="000000"/>
                <w:sz w:val="18"/>
                <w:szCs w:val="18"/>
              </w:rPr>
              <w:t>114,89%</w:t>
            </w:r>
          </w:p>
        </w:tc>
        <w:tc>
          <w:tcPr>
            <w:tcW w:w="504" w:type="pct"/>
            <w:shd w:val="clear" w:color="auto" w:fill="auto"/>
            <w:vAlign w:val="center"/>
          </w:tcPr>
          <w:p w14:paraId="1580912C" w14:textId="77777777" w:rsidR="00116CFB" w:rsidRPr="00404DA5" w:rsidRDefault="00116CFB" w:rsidP="004742DC">
            <w:pPr>
              <w:jc w:val="center"/>
              <w:rPr>
                <w:rFonts w:cs="Calibri"/>
                <w:sz w:val="18"/>
                <w:szCs w:val="18"/>
              </w:rPr>
            </w:pPr>
            <w:r w:rsidRPr="00404DA5">
              <w:rPr>
                <w:sz w:val="18"/>
                <w:szCs w:val="18"/>
              </w:rPr>
              <w:t>170 588 236</w:t>
            </w:r>
          </w:p>
        </w:tc>
        <w:tc>
          <w:tcPr>
            <w:tcW w:w="528" w:type="pct"/>
            <w:shd w:val="clear" w:color="auto" w:fill="auto"/>
            <w:vAlign w:val="center"/>
          </w:tcPr>
          <w:p w14:paraId="004DF265" w14:textId="77777777" w:rsidR="00116CFB" w:rsidRPr="00404DA5" w:rsidRDefault="00116CFB" w:rsidP="004742DC">
            <w:pPr>
              <w:jc w:val="center"/>
              <w:rPr>
                <w:rFonts w:cs="Calibri"/>
                <w:sz w:val="18"/>
                <w:szCs w:val="18"/>
              </w:rPr>
            </w:pPr>
          </w:p>
        </w:tc>
        <w:tc>
          <w:tcPr>
            <w:tcW w:w="528" w:type="pct"/>
            <w:shd w:val="clear" w:color="auto" w:fill="auto"/>
          </w:tcPr>
          <w:p w14:paraId="4958C304" w14:textId="77777777" w:rsidR="00116CFB" w:rsidRPr="00404DA5" w:rsidRDefault="00116CFB" w:rsidP="004742DC">
            <w:pPr>
              <w:jc w:val="center"/>
              <w:rPr>
                <w:rFonts w:cs="Calibri"/>
                <w:sz w:val="18"/>
                <w:szCs w:val="18"/>
              </w:rPr>
            </w:pPr>
          </w:p>
        </w:tc>
      </w:tr>
    </w:tbl>
    <w:p w14:paraId="07EBF3DF"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informacja kwartalna za IV kw. 2018 r., obliczenia % realizacji wartości docelowej RW na podstawie danych SL2014</w:t>
      </w:r>
      <w:r w:rsidR="00E66B89" w:rsidRPr="00D21299">
        <w:rPr>
          <w:i/>
          <w:sz w:val="18"/>
          <w:szCs w:val="20"/>
        </w:rPr>
        <w:t xml:space="preserve"> z </w:t>
      </w:r>
      <w:r w:rsidRPr="00D21299">
        <w:rPr>
          <w:i/>
          <w:sz w:val="18"/>
          <w:szCs w:val="20"/>
        </w:rPr>
        <w:t>dnia 07.01.2019 r.</w:t>
      </w:r>
    </w:p>
    <w:p w14:paraId="01F76365" w14:textId="77777777" w:rsidR="00116CFB" w:rsidRDefault="00116CFB" w:rsidP="00116CFB">
      <w:pPr>
        <w:pStyle w:val="Nagwek3"/>
      </w:pPr>
      <w:r w:rsidRPr="00801DB4">
        <w:lastRenderedPageBreak/>
        <w:t>Priorytet inwestycyjny nr</w:t>
      </w:r>
      <w:r>
        <w:t xml:space="preserve"> 9a (Działanie 9.1</w:t>
      </w:r>
      <w:r w:rsidR="00E66B89">
        <w:t xml:space="preserve"> i </w:t>
      </w:r>
      <w:r>
        <w:t>9.2)</w:t>
      </w:r>
    </w:p>
    <w:p w14:paraId="0AACC1B5"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Ocena postępów</w:t>
      </w:r>
      <w:r w:rsidR="00E66B89">
        <w:rPr>
          <w:rFonts w:ascii="Lato" w:eastAsia="Calibri" w:hAnsi="Lato"/>
          <w:szCs w:val="20"/>
        </w:rPr>
        <w:t xml:space="preserve"> w </w:t>
      </w:r>
      <w:r w:rsidRPr="004B371B">
        <w:rPr>
          <w:rFonts w:ascii="Lato" w:eastAsia="Calibri" w:hAnsi="Lato"/>
          <w:szCs w:val="20"/>
        </w:rPr>
        <w:t>realizacji PI 9a</w:t>
      </w:r>
    </w:p>
    <w:p w14:paraId="208FF016" w14:textId="77777777" w:rsidR="00116CFB" w:rsidRPr="009135A8" w:rsidRDefault="00116CFB" w:rsidP="00116CFB">
      <w:pPr>
        <w:rPr>
          <w:szCs w:val="20"/>
        </w:rPr>
      </w:pPr>
      <w:r w:rsidRPr="000A135E">
        <w:rPr>
          <w:szCs w:val="20"/>
        </w:rPr>
        <w:t>Wedle danych</w:t>
      </w:r>
      <w:r w:rsidR="00E66B89">
        <w:rPr>
          <w:szCs w:val="20"/>
        </w:rPr>
        <w:t xml:space="preserve"> z </w:t>
      </w:r>
      <w:r w:rsidRPr="000A135E">
        <w:rPr>
          <w:szCs w:val="20"/>
        </w:rPr>
        <w:t>07.01</w:t>
      </w:r>
      <w:r>
        <w:rPr>
          <w:szCs w:val="20"/>
        </w:rPr>
        <w:t>.2019r.</w:t>
      </w:r>
      <w:r w:rsidRPr="000A135E">
        <w:rPr>
          <w:szCs w:val="20"/>
        </w:rPr>
        <w:t>,</w:t>
      </w:r>
      <w:r w:rsidR="00E66B89">
        <w:rPr>
          <w:szCs w:val="20"/>
        </w:rPr>
        <w:t xml:space="preserve"> w </w:t>
      </w:r>
      <w:r w:rsidRPr="000A135E">
        <w:rPr>
          <w:szCs w:val="20"/>
        </w:rPr>
        <w:t>ramach PI 9a łącznie realizowanych jest 12 projektów</w:t>
      </w:r>
      <w:r w:rsidR="00E66B89">
        <w:rPr>
          <w:szCs w:val="20"/>
        </w:rPr>
        <w:t xml:space="preserve"> z </w:t>
      </w:r>
      <w:r w:rsidRPr="000A135E">
        <w:rPr>
          <w:szCs w:val="20"/>
        </w:rPr>
        <w:t xml:space="preserve">obszaru infrastruktury zdrowia, kontraktujących </w:t>
      </w:r>
      <w:r w:rsidRPr="000A135E">
        <w:rPr>
          <w:color w:val="000000"/>
          <w:szCs w:val="20"/>
        </w:rPr>
        <w:t xml:space="preserve">143 791 905,02 zł czyli 83,5% środków UE przeznaczonych na Działanie 9.1. (wraz ze środkami rezerwy) oraz </w:t>
      </w:r>
      <w:r w:rsidRPr="000A135E">
        <w:rPr>
          <w:szCs w:val="20"/>
        </w:rPr>
        <w:t>10 projektów</w:t>
      </w:r>
      <w:r w:rsidR="00E66B89">
        <w:rPr>
          <w:szCs w:val="20"/>
        </w:rPr>
        <w:t xml:space="preserve"> z </w:t>
      </w:r>
      <w:r w:rsidRPr="000A135E">
        <w:rPr>
          <w:szCs w:val="20"/>
        </w:rPr>
        <w:t xml:space="preserve">obszaru infrastruktury społecznej, angażujących </w:t>
      </w:r>
      <w:r w:rsidRPr="000A135E">
        <w:rPr>
          <w:color w:val="000000"/>
          <w:szCs w:val="20"/>
        </w:rPr>
        <w:t>39 459 565,43 zł</w:t>
      </w:r>
      <w:r>
        <w:rPr>
          <w:color w:val="000000"/>
          <w:szCs w:val="20"/>
        </w:rPr>
        <w:t>,</w:t>
      </w:r>
      <w:r w:rsidRPr="000A135E">
        <w:rPr>
          <w:color w:val="000000"/>
          <w:szCs w:val="20"/>
        </w:rPr>
        <w:t xml:space="preserve"> </w:t>
      </w:r>
      <w:r w:rsidRPr="000A135E">
        <w:rPr>
          <w:szCs w:val="20"/>
        </w:rPr>
        <w:t>czyli 91,7% alokacji ogółem (wraz</w:t>
      </w:r>
      <w:r w:rsidR="00E66B89">
        <w:rPr>
          <w:szCs w:val="20"/>
        </w:rPr>
        <w:t xml:space="preserve"> z </w:t>
      </w:r>
      <w:r w:rsidRPr="000A135E">
        <w:rPr>
          <w:szCs w:val="20"/>
        </w:rPr>
        <w:t>rezerwą wykonania) przeznaczonej na Działanie 9.2. Zakończono 2 projekty</w:t>
      </w:r>
      <w:r w:rsidR="00E66B89">
        <w:rPr>
          <w:szCs w:val="20"/>
        </w:rPr>
        <w:t xml:space="preserve"> z </w:t>
      </w:r>
      <w:r w:rsidRPr="000A135E">
        <w:rPr>
          <w:szCs w:val="20"/>
        </w:rPr>
        <w:t xml:space="preserve">obszaru infrastruktury zdrowia. </w:t>
      </w:r>
      <w:r w:rsidRPr="000A135E">
        <w:rPr>
          <w:rFonts w:eastAsia="Calibri"/>
          <w:szCs w:val="20"/>
        </w:rPr>
        <w:t xml:space="preserve">Interwencje Działania 9.1. </w:t>
      </w:r>
      <w:r w:rsidRPr="008B706B">
        <w:rPr>
          <w:rFonts w:eastAsia="Calibri"/>
          <w:i/>
          <w:szCs w:val="20"/>
        </w:rPr>
        <w:t>Infrastruktura zdrowia</w:t>
      </w:r>
      <w:r w:rsidRPr="000A135E">
        <w:rPr>
          <w:rFonts w:eastAsia="Calibri"/>
          <w:szCs w:val="20"/>
        </w:rPr>
        <w:t xml:space="preserve"> wdrażane są</w:t>
      </w:r>
      <w:r w:rsidR="00E66B89">
        <w:rPr>
          <w:rFonts w:eastAsia="Calibri"/>
          <w:szCs w:val="20"/>
        </w:rPr>
        <w:t xml:space="preserve"> w </w:t>
      </w:r>
      <w:r w:rsidRPr="000A135E">
        <w:rPr>
          <w:rFonts w:eastAsia="Calibri"/>
          <w:szCs w:val="20"/>
        </w:rPr>
        <w:t>trybie konkursowym</w:t>
      </w:r>
      <w:r w:rsidR="00E66B89">
        <w:rPr>
          <w:rFonts w:eastAsia="Calibri"/>
          <w:szCs w:val="20"/>
        </w:rPr>
        <w:t xml:space="preserve"> i </w:t>
      </w:r>
      <w:r w:rsidRPr="000A135E">
        <w:rPr>
          <w:rFonts w:eastAsia="Calibri"/>
          <w:szCs w:val="20"/>
        </w:rPr>
        <w:t>pozakonkursowym. Na dzień 31.12.2018 zidentyfikowano 8 projektów pozakonkursowych. Podpisano 5 umów</w:t>
      </w:r>
      <w:r w:rsidR="00E66B89">
        <w:rPr>
          <w:rFonts w:eastAsia="Calibri"/>
          <w:szCs w:val="20"/>
        </w:rPr>
        <w:t xml:space="preserve"> o </w:t>
      </w:r>
      <w:r w:rsidRPr="000A135E">
        <w:rPr>
          <w:rFonts w:eastAsia="Calibri"/>
          <w:szCs w:val="20"/>
        </w:rPr>
        <w:t>dofinansowanie projektu pozakonkursowego,</w:t>
      </w:r>
      <w:r w:rsidR="00E66B89">
        <w:rPr>
          <w:rFonts w:eastAsia="Calibri"/>
          <w:szCs w:val="20"/>
        </w:rPr>
        <w:t xml:space="preserve"> z </w:t>
      </w:r>
      <w:r w:rsidRPr="000A135E">
        <w:rPr>
          <w:rFonts w:eastAsia="Calibri"/>
          <w:szCs w:val="20"/>
        </w:rPr>
        <w:t>których realizacja jednego</w:t>
      </w:r>
      <w:r w:rsidR="00E66B89">
        <w:rPr>
          <w:rFonts w:eastAsia="Calibri"/>
          <w:szCs w:val="20"/>
        </w:rPr>
        <w:t xml:space="preserve"> z </w:t>
      </w:r>
      <w:r w:rsidRPr="000A135E">
        <w:rPr>
          <w:rFonts w:eastAsia="Calibri"/>
          <w:szCs w:val="20"/>
        </w:rPr>
        <w:t>nich została zakończona do dnia 31.12.2018 roku.</w:t>
      </w:r>
      <w:r w:rsidR="00E66B89">
        <w:rPr>
          <w:rFonts w:eastAsia="Calibri"/>
          <w:szCs w:val="20"/>
        </w:rPr>
        <w:t xml:space="preserve"> W </w:t>
      </w:r>
      <w:r w:rsidRPr="000A135E">
        <w:rPr>
          <w:rFonts w:eastAsia="Calibri"/>
          <w:szCs w:val="20"/>
        </w:rPr>
        <w:t>fazie realizacji znajdują się także 4 projekty realizowane</w:t>
      </w:r>
      <w:r w:rsidR="00E66B89">
        <w:rPr>
          <w:rFonts w:eastAsia="Calibri"/>
          <w:szCs w:val="20"/>
        </w:rPr>
        <w:t xml:space="preserve"> w </w:t>
      </w:r>
      <w:r w:rsidRPr="000A135E">
        <w:rPr>
          <w:rFonts w:eastAsia="Calibri"/>
          <w:szCs w:val="20"/>
        </w:rPr>
        <w:t>trybie konkursowym, zakończono realizację 1</w:t>
      </w:r>
      <w:r w:rsidR="00E66B89">
        <w:rPr>
          <w:rFonts w:eastAsia="Calibri"/>
          <w:szCs w:val="20"/>
        </w:rPr>
        <w:t xml:space="preserve"> z </w:t>
      </w:r>
      <w:r w:rsidRPr="000A135E">
        <w:rPr>
          <w:rFonts w:eastAsia="Calibri"/>
          <w:szCs w:val="20"/>
        </w:rPr>
        <w:t>projektów konkursowych.</w:t>
      </w:r>
      <w:r>
        <w:rPr>
          <w:rFonts w:eastAsia="Calibri"/>
          <w:szCs w:val="20"/>
        </w:rPr>
        <w:t xml:space="preserve"> </w:t>
      </w:r>
      <w:r w:rsidRPr="000A135E">
        <w:rPr>
          <w:szCs w:val="20"/>
        </w:rPr>
        <w:t xml:space="preserve">Interwencje Działania 9.2. </w:t>
      </w:r>
      <w:r w:rsidRPr="008B706B">
        <w:rPr>
          <w:i/>
          <w:szCs w:val="20"/>
        </w:rPr>
        <w:t>Infrastruktura społeczna</w:t>
      </w:r>
      <w:r w:rsidRPr="000A135E">
        <w:rPr>
          <w:szCs w:val="20"/>
        </w:rPr>
        <w:t xml:space="preserve"> wdrażane są</w:t>
      </w:r>
      <w:r w:rsidR="00E66B89">
        <w:rPr>
          <w:szCs w:val="20"/>
        </w:rPr>
        <w:t xml:space="preserve"> w </w:t>
      </w:r>
      <w:r w:rsidRPr="000A135E">
        <w:rPr>
          <w:szCs w:val="20"/>
        </w:rPr>
        <w:t>trybie konkursowym. Do końca 2018 roku przeprowadzono 2 nabory. Pierwszy</w:t>
      </w:r>
      <w:r w:rsidR="00E66B89">
        <w:rPr>
          <w:szCs w:val="20"/>
        </w:rPr>
        <w:t xml:space="preserve"> z </w:t>
      </w:r>
      <w:r w:rsidRPr="000A135E">
        <w:rPr>
          <w:szCs w:val="20"/>
        </w:rPr>
        <w:t>nich ogłoszono</w:t>
      </w:r>
      <w:r w:rsidR="00E66B89">
        <w:rPr>
          <w:szCs w:val="20"/>
        </w:rPr>
        <w:t xml:space="preserve"> w </w:t>
      </w:r>
      <w:r w:rsidRPr="000A135E">
        <w:rPr>
          <w:szCs w:val="20"/>
        </w:rPr>
        <w:t>roku 2016 - wybrano do dofinansowania 4 projekty</w:t>
      </w:r>
      <w:r w:rsidR="00E66B89">
        <w:rPr>
          <w:szCs w:val="20"/>
        </w:rPr>
        <w:t xml:space="preserve"> w </w:t>
      </w:r>
      <w:r w:rsidRPr="000A135E">
        <w:rPr>
          <w:szCs w:val="20"/>
        </w:rPr>
        <w:t xml:space="preserve">ramach </w:t>
      </w:r>
      <w:r>
        <w:rPr>
          <w:szCs w:val="20"/>
        </w:rPr>
        <w:t>czwartego</w:t>
      </w:r>
      <w:r w:rsidRPr="000A135E">
        <w:rPr>
          <w:szCs w:val="20"/>
        </w:rPr>
        <w:t xml:space="preserve"> typu operacji (infrastruktura usług społecznych) oraz 7 projektów</w:t>
      </w:r>
      <w:r w:rsidR="00E66B89">
        <w:rPr>
          <w:szCs w:val="20"/>
        </w:rPr>
        <w:t xml:space="preserve"> w </w:t>
      </w:r>
      <w:r w:rsidRPr="000A135E">
        <w:rPr>
          <w:szCs w:val="20"/>
        </w:rPr>
        <w:t xml:space="preserve">ramach </w:t>
      </w:r>
      <w:r>
        <w:rPr>
          <w:szCs w:val="20"/>
        </w:rPr>
        <w:t>trzeciego</w:t>
      </w:r>
      <w:r w:rsidRPr="000A135E">
        <w:rPr>
          <w:szCs w:val="20"/>
        </w:rPr>
        <w:t xml:space="preserve"> typu operacji (budowa/modernizacja ZAZ). Drugi konkurs ogłoszono</w:t>
      </w:r>
      <w:r w:rsidR="00E66B89">
        <w:rPr>
          <w:szCs w:val="20"/>
        </w:rPr>
        <w:t xml:space="preserve"> w </w:t>
      </w:r>
      <w:r w:rsidRPr="000A135E">
        <w:rPr>
          <w:szCs w:val="20"/>
        </w:rPr>
        <w:t>roku 2018 - wybrano do dofinansowania jeden projekt na budowę mieszkań chronionych.</w:t>
      </w:r>
    </w:p>
    <w:p w14:paraId="4CFA305B" w14:textId="77777777" w:rsidR="00116CFB" w:rsidRPr="000A135E" w:rsidRDefault="00116CFB" w:rsidP="00116CFB">
      <w:pPr>
        <w:rPr>
          <w:szCs w:val="20"/>
        </w:rPr>
      </w:pPr>
      <w:r w:rsidRPr="000A135E">
        <w:rPr>
          <w:szCs w:val="20"/>
        </w:rPr>
        <w:t xml:space="preserve">Wskaźniki programowe PI 9a, oprócz omawianego wyżej wskaźnika Ram Wykonania </w:t>
      </w:r>
      <w:r w:rsidRPr="008B706B">
        <w:rPr>
          <w:i/>
          <w:szCs w:val="20"/>
        </w:rPr>
        <w:t>Liczba wspartych podmiotów leczniczych</w:t>
      </w:r>
      <w:r w:rsidRPr="000A135E">
        <w:rPr>
          <w:szCs w:val="20"/>
        </w:rPr>
        <w:t xml:space="preserve"> obejmują także wskaźnik rezultatu Działania 9.1. </w:t>
      </w:r>
      <w:r w:rsidRPr="008B706B">
        <w:rPr>
          <w:i/>
          <w:szCs w:val="20"/>
        </w:rPr>
        <w:t>Ludność objęta ulepszonymi usługami zdrowotnymi</w:t>
      </w:r>
      <w:r w:rsidRPr="000A135E">
        <w:rPr>
          <w:szCs w:val="20"/>
        </w:rPr>
        <w:t xml:space="preserve"> oraz wskaźnik produktu Działania 9.2 </w:t>
      </w:r>
      <w:r w:rsidRPr="008B706B">
        <w:rPr>
          <w:i/>
          <w:szCs w:val="20"/>
        </w:rPr>
        <w:t>Liczba wspartych obiektów,</w:t>
      </w:r>
      <w:r w:rsidR="00E66B89">
        <w:rPr>
          <w:i/>
          <w:szCs w:val="20"/>
        </w:rPr>
        <w:t xml:space="preserve"> w </w:t>
      </w:r>
      <w:r w:rsidRPr="008B706B">
        <w:rPr>
          <w:i/>
          <w:szCs w:val="20"/>
        </w:rPr>
        <w:t>których realizowane są usługi aktywizacji społeczno-zawodowej</w:t>
      </w:r>
      <w:r w:rsidRPr="000A135E">
        <w:rPr>
          <w:szCs w:val="20"/>
        </w:rPr>
        <w:t xml:space="preserve">. </w:t>
      </w:r>
    </w:p>
    <w:p w14:paraId="351E02BD" w14:textId="77777777" w:rsidR="00116CFB" w:rsidRPr="000A135E" w:rsidRDefault="00116CFB" w:rsidP="00116CFB">
      <w:pPr>
        <w:rPr>
          <w:rFonts w:cs="Arial"/>
          <w:szCs w:val="20"/>
        </w:rPr>
      </w:pPr>
      <w:r w:rsidRPr="000A135E">
        <w:rPr>
          <w:szCs w:val="20"/>
        </w:rPr>
        <w:t xml:space="preserve">Wskaźnik rezultatu Działania 9.1 </w:t>
      </w:r>
      <w:bookmarkStart w:id="338" w:name="_Hlk6302584"/>
      <w:r w:rsidRPr="008B706B">
        <w:rPr>
          <w:i/>
          <w:szCs w:val="20"/>
        </w:rPr>
        <w:t>Ludność objęta ulepszonymi usługami zdrowotnymi</w:t>
      </w:r>
      <w:r w:rsidRPr="000A135E">
        <w:rPr>
          <w:szCs w:val="20"/>
        </w:rPr>
        <w:t xml:space="preserve"> </w:t>
      </w:r>
      <w:bookmarkEnd w:id="338"/>
      <w:r w:rsidRPr="000A135E">
        <w:rPr>
          <w:szCs w:val="20"/>
        </w:rPr>
        <w:t>został zaplanowany</w:t>
      </w:r>
      <w:r w:rsidR="00E66B89">
        <w:rPr>
          <w:szCs w:val="20"/>
        </w:rPr>
        <w:t xml:space="preserve"> w </w:t>
      </w:r>
      <w:r w:rsidRPr="000A135E">
        <w:rPr>
          <w:szCs w:val="20"/>
        </w:rPr>
        <w:t>realizowanych projektach</w:t>
      </w:r>
      <w:r w:rsidR="00E66B89">
        <w:rPr>
          <w:szCs w:val="20"/>
        </w:rPr>
        <w:t xml:space="preserve"> w </w:t>
      </w:r>
      <w:r w:rsidRPr="000A135E">
        <w:rPr>
          <w:szCs w:val="20"/>
        </w:rPr>
        <w:t>wysokości 1 186 947 osób, czyli 1</w:t>
      </w:r>
      <w:r>
        <w:rPr>
          <w:szCs w:val="20"/>
        </w:rPr>
        <w:t xml:space="preserve"> </w:t>
      </w:r>
      <w:r w:rsidRPr="000A135E">
        <w:rPr>
          <w:szCs w:val="20"/>
        </w:rPr>
        <w:t>594,3% wartości docelowej. Zakładana</w:t>
      </w:r>
      <w:r w:rsidR="00E66B89">
        <w:rPr>
          <w:szCs w:val="20"/>
        </w:rPr>
        <w:t xml:space="preserve"> w </w:t>
      </w:r>
      <w:r w:rsidRPr="000A135E">
        <w:rPr>
          <w:szCs w:val="20"/>
        </w:rPr>
        <w:t>realizowanych projektach wysokość wskaźnika rezultatu stanowi 70,6% ogólnej liczby mieszkańców całego regionu. Analiza zakresu realizowanych projektów oraz ich skali oddziaływania pociąga za sobą sceptycyzm wobec założeń projektowych.</w:t>
      </w:r>
      <w:r>
        <w:rPr>
          <w:szCs w:val="20"/>
        </w:rPr>
        <w:t xml:space="preserve"> </w:t>
      </w:r>
      <w:r w:rsidRPr="000A135E">
        <w:rPr>
          <w:szCs w:val="20"/>
        </w:rPr>
        <w:t>Żaden</w:t>
      </w:r>
      <w:r w:rsidR="00E66B89">
        <w:rPr>
          <w:szCs w:val="20"/>
        </w:rPr>
        <w:t xml:space="preserve"> z </w:t>
      </w:r>
      <w:r w:rsidRPr="000A135E">
        <w:rPr>
          <w:szCs w:val="20"/>
        </w:rPr>
        <w:t>realizowanych projektów nie wykazuje oddziaływania na całą populację regionu (choćby ze względu na statystyki epidemiologiczne). Występuje także ryzyko podwójnego liczenia (sumowania) wskaźnika realizowanego na tym samym terytorium</w:t>
      </w:r>
      <w:r>
        <w:rPr>
          <w:szCs w:val="20"/>
        </w:rPr>
        <w:t xml:space="preserve"> (</w:t>
      </w:r>
      <w:r w:rsidRPr="000A135E">
        <w:rPr>
          <w:szCs w:val="20"/>
        </w:rPr>
        <w:t>np.</w:t>
      </w:r>
      <w:r w:rsidR="00E66B89">
        <w:rPr>
          <w:szCs w:val="20"/>
        </w:rPr>
        <w:t xml:space="preserve"> w </w:t>
      </w:r>
      <w:r w:rsidRPr="000A135E">
        <w:rPr>
          <w:szCs w:val="20"/>
        </w:rPr>
        <w:t>projektach realizowanych</w:t>
      </w:r>
      <w:r w:rsidR="00E66B89">
        <w:rPr>
          <w:szCs w:val="20"/>
        </w:rPr>
        <w:t xml:space="preserve"> w </w:t>
      </w:r>
      <w:r w:rsidRPr="000A135E">
        <w:rPr>
          <w:szCs w:val="20"/>
        </w:rPr>
        <w:t>Kołobrzegu</w:t>
      </w:r>
      <w:r>
        <w:rPr>
          <w:szCs w:val="20"/>
        </w:rPr>
        <w:t>)</w:t>
      </w:r>
      <w:r w:rsidRPr="000A135E">
        <w:rPr>
          <w:szCs w:val="20"/>
        </w:rPr>
        <w:t xml:space="preserve"> czy też wysokości wskaźników wykazywanych</w:t>
      </w:r>
      <w:r w:rsidR="00E66B89">
        <w:rPr>
          <w:szCs w:val="20"/>
        </w:rPr>
        <w:t xml:space="preserve"> w </w:t>
      </w:r>
      <w:r w:rsidRPr="000A135E">
        <w:rPr>
          <w:szCs w:val="20"/>
        </w:rPr>
        <w:t>większości projektów Działania 9.1</w:t>
      </w:r>
      <w:r w:rsidR="00E66B89">
        <w:rPr>
          <w:szCs w:val="20"/>
        </w:rPr>
        <w:t xml:space="preserve"> z </w:t>
      </w:r>
      <w:r w:rsidRPr="000A135E">
        <w:rPr>
          <w:szCs w:val="20"/>
        </w:rPr>
        <w:t>wysokości</w:t>
      </w:r>
      <w:r>
        <w:rPr>
          <w:szCs w:val="20"/>
        </w:rPr>
        <w:t>ą</w:t>
      </w:r>
      <w:r w:rsidRPr="000A135E">
        <w:rPr>
          <w:szCs w:val="20"/>
        </w:rPr>
        <w:t xml:space="preserve"> wskaźnika założonego</w:t>
      </w:r>
      <w:r w:rsidR="00E66B89">
        <w:rPr>
          <w:szCs w:val="20"/>
        </w:rPr>
        <w:t xml:space="preserve"> w </w:t>
      </w:r>
      <w:r w:rsidRPr="000A135E">
        <w:rPr>
          <w:szCs w:val="20"/>
        </w:rPr>
        <w:t>projektach SPWSZ Szczecin. Problem ten wynika</w:t>
      </w:r>
      <w:r w:rsidR="00E66B89">
        <w:rPr>
          <w:szCs w:val="20"/>
        </w:rPr>
        <w:t xml:space="preserve"> z </w:t>
      </w:r>
      <w:r w:rsidRPr="000A135E">
        <w:rPr>
          <w:szCs w:val="20"/>
        </w:rPr>
        <w:t xml:space="preserve">wieloznaczności definicji przedmiotowego wskaźnika </w:t>
      </w:r>
      <w:r w:rsidRPr="008B706B">
        <w:rPr>
          <w:rFonts w:cs="Arial"/>
          <w:i/>
          <w:szCs w:val="20"/>
        </w:rPr>
        <w:t>Liczba osób zamieszkujących dany obszar, która może potencjalnie korzystać</w:t>
      </w:r>
      <w:r w:rsidR="00E66B89">
        <w:rPr>
          <w:rFonts w:cs="Arial"/>
          <w:i/>
          <w:szCs w:val="20"/>
        </w:rPr>
        <w:t xml:space="preserve"> z </w:t>
      </w:r>
      <w:r w:rsidRPr="008B706B">
        <w:rPr>
          <w:rFonts w:cs="Arial"/>
          <w:i/>
          <w:szCs w:val="20"/>
        </w:rPr>
        <w:t>usług zdrowotnych świadczonych przez podmioty lecznicze wsparte</w:t>
      </w:r>
      <w:r w:rsidR="00E66B89">
        <w:rPr>
          <w:rFonts w:cs="Arial"/>
          <w:i/>
          <w:szCs w:val="20"/>
        </w:rPr>
        <w:t xml:space="preserve"> w </w:t>
      </w:r>
      <w:r w:rsidRPr="008B706B">
        <w:rPr>
          <w:rFonts w:cs="Arial"/>
          <w:i/>
          <w:szCs w:val="20"/>
        </w:rPr>
        <w:t>ramach projektu</w:t>
      </w:r>
      <w:r w:rsidRPr="000A135E">
        <w:rPr>
          <w:rFonts w:cs="Arial"/>
          <w:szCs w:val="20"/>
        </w:rPr>
        <w:t>. Wystąpił on</w:t>
      </w:r>
      <w:r w:rsidR="00E66B89">
        <w:rPr>
          <w:rFonts w:cs="Arial"/>
          <w:szCs w:val="20"/>
        </w:rPr>
        <w:t xml:space="preserve"> w </w:t>
      </w:r>
      <w:r w:rsidRPr="000A135E">
        <w:rPr>
          <w:rFonts w:cs="Arial"/>
          <w:szCs w:val="20"/>
        </w:rPr>
        <w:t>wielu innych RPO – np.</w:t>
      </w:r>
      <w:r w:rsidR="00E66B89">
        <w:rPr>
          <w:rFonts w:cs="Arial"/>
          <w:szCs w:val="20"/>
        </w:rPr>
        <w:t xml:space="preserve"> w </w:t>
      </w:r>
      <w:r w:rsidRPr="000A135E">
        <w:rPr>
          <w:rFonts w:cs="Arial"/>
          <w:szCs w:val="20"/>
        </w:rPr>
        <w:t>RPO WO 2014-2020 czy RPO WP 2014-2020,</w:t>
      </w:r>
      <w:r w:rsidR="00E66B89">
        <w:rPr>
          <w:rFonts w:cs="Arial"/>
          <w:szCs w:val="20"/>
        </w:rPr>
        <w:t xml:space="preserve"> w </w:t>
      </w:r>
      <w:r w:rsidRPr="000A135E">
        <w:rPr>
          <w:rFonts w:cs="Arial"/>
          <w:szCs w:val="20"/>
        </w:rPr>
        <w:t>których to regionach wykazywana</w:t>
      </w:r>
      <w:r w:rsidR="00E66B89">
        <w:rPr>
          <w:rFonts w:cs="Arial"/>
          <w:szCs w:val="20"/>
        </w:rPr>
        <w:t xml:space="preserve"> w </w:t>
      </w:r>
      <w:r w:rsidRPr="000A135E">
        <w:rPr>
          <w:rFonts w:cs="Arial"/>
          <w:szCs w:val="20"/>
        </w:rPr>
        <w:t xml:space="preserve">UoD wysokość wskaźnika rezultatu łącznie przekracza wielokrotnie liczbę ludności regionu. </w:t>
      </w:r>
      <w:r w:rsidRPr="00983EF5">
        <w:rPr>
          <w:rFonts w:cs="Arial"/>
          <w:b/>
          <w:szCs w:val="20"/>
        </w:rPr>
        <w:t xml:space="preserve">REKOMENDACJA. Ze względu na obejmowanie wsparciem szpitali wojewódzkich zaleca się rozważenie przyjęcia na poziomie Programu wartości docelowej wskaźnika </w:t>
      </w:r>
      <w:r w:rsidRPr="00C22C26">
        <w:rPr>
          <w:b/>
          <w:i/>
          <w:szCs w:val="20"/>
        </w:rPr>
        <w:t>Ludność objęta ulepszonymi usługami zdrowotnymi</w:t>
      </w:r>
      <w:r w:rsidRPr="000A135E">
        <w:rPr>
          <w:szCs w:val="20"/>
        </w:rPr>
        <w:t xml:space="preserve"> </w:t>
      </w:r>
      <w:r>
        <w:rPr>
          <w:rFonts w:cs="Arial"/>
          <w:b/>
          <w:szCs w:val="20"/>
        </w:rPr>
        <w:t>na poziomie odnoszącym się</w:t>
      </w:r>
      <w:r w:rsidRPr="008B706B">
        <w:rPr>
          <w:rFonts w:cs="Arial"/>
          <w:b/>
          <w:szCs w:val="20"/>
        </w:rPr>
        <w:t xml:space="preserve"> do całej populacji regionu.</w:t>
      </w:r>
      <w:r w:rsidR="00E66B89">
        <w:rPr>
          <w:rFonts w:cs="Arial"/>
          <w:b/>
          <w:szCs w:val="20"/>
        </w:rPr>
        <w:t xml:space="preserve"> W </w:t>
      </w:r>
      <w:r w:rsidRPr="008B706B">
        <w:rPr>
          <w:rFonts w:cs="Arial"/>
          <w:b/>
          <w:szCs w:val="20"/>
        </w:rPr>
        <w:t>toku realizacji</w:t>
      </w:r>
      <w:r w:rsidR="00E66B89">
        <w:rPr>
          <w:rFonts w:cs="Arial"/>
          <w:b/>
          <w:szCs w:val="20"/>
        </w:rPr>
        <w:t xml:space="preserve"> i </w:t>
      </w:r>
      <w:r w:rsidRPr="008B706B">
        <w:rPr>
          <w:rFonts w:cs="Arial"/>
          <w:b/>
          <w:szCs w:val="20"/>
        </w:rPr>
        <w:t>rozliczania projektu niezbędna będzie weryfikacja</w:t>
      </w:r>
      <w:r w:rsidR="00E66B89">
        <w:rPr>
          <w:rFonts w:cs="Arial"/>
          <w:b/>
          <w:szCs w:val="20"/>
        </w:rPr>
        <w:t xml:space="preserve"> i </w:t>
      </w:r>
      <w:r w:rsidRPr="008B706B">
        <w:rPr>
          <w:rFonts w:cs="Arial"/>
          <w:b/>
          <w:szCs w:val="20"/>
        </w:rPr>
        <w:t>aktualizacja wartości przedmiotowego wskaźnika</w:t>
      </w:r>
      <w:r w:rsidR="00E66B89">
        <w:rPr>
          <w:rFonts w:cs="Arial"/>
          <w:b/>
          <w:szCs w:val="20"/>
        </w:rPr>
        <w:t xml:space="preserve"> w </w:t>
      </w:r>
      <w:r w:rsidRPr="008B706B">
        <w:rPr>
          <w:rFonts w:cs="Arial"/>
          <w:b/>
          <w:szCs w:val="20"/>
        </w:rPr>
        <w:t>poszczególnych interwencjach</w:t>
      </w:r>
      <w:r>
        <w:rPr>
          <w:rFonts w:cs="Arial"/>
          <w:szCs w:val="20"/>
        </w:rPr>
        <w:t xml:space="preserve">. </w:t>
      </w:r>
    </w:p>
    <w:p w14:paraId="5B5BEF90" w14:textId="77777777" w:rsidR="00116CFB" w:rsidRPr="000A135E" w:rsidRDefault="00116CFB" w:rsidP="00116CFB">
      <w:pPr>
        <w:rPr>
          <w:rFonts w:cs="Calibri"/>
          <w:szCs w:val="20"/>
        </w:rPr>
      </w:pPr>
      <w:r w:rsidRPr="000A135E">
        <w:rPr>
          <w:color w:val="000000"/>
          <w:szCs w:val="20"/>
        </w:rPr>
        <w:t xml:space="preserve">Wskaźnik produktu Działania 9.2 </w:t>
      </w:r>
      <w:r w:rsidRPr="008B706B">
        <w:rPr>
          <w:i/>
          <w:color w:val="000000"/>
          <w:szCs w:val="20"/>
        </w:rPr>
        <w:t>Liczba wspartych obiektów,</w:t>
      </w:r>
      <w:r w:rsidR="00E66B89">
        <w:rPr>
          <w:i/>
          <w:color w:val="000000"/>
          <w:szCs w:val="20"/>
        </w:rPr>
        <w:t xml:space="preserve"> w </w:t>
      </w:r>
      <w:r w:rsidRPr="008B706B">
        <w:rPr>
          <w:i/>
          <w:color w:val="000000"/>
          <w:szCs w:val="20"/>
        </w:rPr>
        <w:t>których realizowane są usługi aktywizacji społeczno-zawodowej</w:t>
      </w:r>
      <w:r w:rsidRPr="000A135E">
        <w:rPr>
          <w:color w:val="000000"/>
          <w:szCs w:val="20"/>
        </w:rPr>
        <w:t xml:space="preserve"> został założony do osiągnięcia</w:t>
      </w:r>
      <w:r w:rsidR="00E66B89">
        <w:rPr>
          <w:color w:val="000000"/>
          <w:szCs w:val="20"/>
        </w:rPr>
        <w:t xml:space="preserve"> w </w:t>
      </w:r>
      <w:r w:rsidRPr="000A135E">
        <w:rPr>
          <w:color w:val="000000"/>
          <w:szCs w:val="20"/>
        </w:rPr>
        <w:t>realizowanych projektach</w:t>
      </w:r>
      <w:r w:rsidR="00E66B89">
        <w:rPr>
          <w:color w:val="000000"/>
          <w:szCs w:val="20"/>
        </w:rPr>
        <w:t xml:space="preserve"> w </w:t>
      </w:r>
      <w:r w:rsidRPr="000A135E">
        <w:rPr>
          <w:color w:val="000000"/>
          <w:szCs w:val="20"/>
        </w:rPr>
        <w:t>wysokości 12 sztuk, co stanowi 120% wartości docelowej. Koszt jednostkowy pozyskania wskaźnika</w:t>
      </w:r>
      <w:r w:rsidR="00E66B89">
        <w:rPr>
          <w:color w:val="000000"/>
          <w:szCs w:val="20"/>
        </w:rPr>
        <w:t xml:space="preserve"> w </w:t>
      </w:r>
      <w:r w:rsidRPr="000A135E">
        <w:rPr>
          <w:color w:val="000000"/>
          <w:szCs w:val="20"/>
        </w:rPr>
        <w:t>realizowanych projektach (3 288 297,12</w:t>
      </w:r>
      <w:r w:rsidR="00AE7A5F">
        <w:rPr>
          <w:color w:val="000000"/>
          <w:szCs w:val="20"/>
        </w:rPr>
        <w:t xml:space="preserve"> zł</w:t>
      </w:r>
      <w:r w:rsidRPr="000A135E">
        <w:rPr>
          <w:color w:val="000000"/>
          <w:szCs w:val="20"/>
        </w:rPr>
        <w:t xml:space="preserve">) jest zbliżony do średniego kosztu założonego na etapie programowania - </w:t>
      </w:r>
      <w:r w:rsidRPr="000A135E">
        <w:rPr>
          <w:rFonts w:cs="Calibri"/>
          <w:szCs w:val="20"/>
        </w:rPr>
        <w:t>3 282 147 zł. Przekroczenie wartości docelowej wskaźnika wynika przede wszystkim</w:t>
      </w:r>
      <w:r w:rsidR="00E66B89">
        <w:rPr>
          <w:rFonts w:cs="Calibri"/>
          <w:szCs w:val="20"/>
        </w:rPr>
        <w:t xml:space="preserve"> z </w:t>
      </w:r>
      <w:r w:rsidRPr="000A135E">
        <w:rPr>
          <w:rFonts w:cs="Calibri"/>
          <w:szCs w:val="20"/>
        </w:rPr>
        <w:t>większego niż zakładano zainteresowania realizowaniem typu interwencji,</w:t>
      </w:r>
      <w:r w:rsidR="00E66B89">
        <w:rPr>
          <w:rFonts w:cs="Calibri"/>
          <w:szCs w:val="20"/>
        </w:rPr>
        <w:t xml:space="preserve"> w </w:t>
      </w:r>
      <w:r w:rsidRPr="000A135E">
        <w:rPr>
          <w:rFonts w:cs="Calibri"/>
          <w:szCs w:val="20"/>
        </w:rPr>
        <w:t xml:space="preserve">ramach którego monitorowany jest przedmiotowy wskaźnik programowy. </w:t>
      </w:r>
    </w:p>
    <w:p w14:paraId="71025E85" w14:textId="77777777" w:rsidR="00116CFB" w:rsidRDefault="00116CFB" w:rsidP="00116CFB">
      <w:pPr>
        <w:rPr>
          <w:rFonts w:cs="Calibri"/>
          <w:szCs w:val="20"/>
        </w:rPr>
      </w:pPr>
      <w:r w:rsidRPr="000A135E">
        <w:rPr>
          <w:rFonts w:cs="Calibri"/>
          <w:szCs w:val="20"/>
        </w:rPr>
        <w:lastRenderedPageBreak/>
        <w:t>Żaden</w:t>
      </w:r>
      <w:r w:rsidR="00E66B89">
        <w:rPr>
          <w:rFonts w:cs="Calibri"/>
          <w:szCs w:val="20"/>
        </w:rPr>
        <w:t xml:space="preserve"> z </w:t>
      </w:r>
      <w:r w:rsidRPr="000A135E">
        <w:rPr>
          <w:rFonts w:cs="Calibri"/>
          <w:szCs w:val="20"/>
        </w:rPr>
        <w:t>badanych beneficjentów Działania 9.1.</w:t>
      </w:r>
      <w:r w:rsidR="00E66B89">
        <w:rPr>
          <w:rFonts w:cs="Calibri"/>
          <w:szCs w:val="20"/>
        </w:rPr>
        <w:t xml:space="preserve"> i </w:t>
      </w:r>
      <w:r w:rsidRPr="000A135E">
        <w:rPr>
          <w:rFonts w:cs="Calibri"/>
          <w:szCs w:val="20"/>
        </w:rPr>
        <w:t xml:space="preserve">Działania 9.2 nie zgłasza ryzyka nieosiągnięcia zakładanych celów projektowych. </w:t>
      </w:r>
    </w:p>
    <w:p w14:paraId="02F11426" w14:textId="77777777" w:rsidR="00116CFB" w:rsidRPr="000A135E" w:rsidRDefault="00116CFB" w:rsidP="00AF481E">
      <w:pPr>
        <w:pStyle w:val="Legenda"/>
        <w:spacing w:after="0"/>
      </w:pPr>
      <w:bookmarkStart w:id="339" w:name="_Toc8824256"/>
      <w:r w:rsidRPr="000A135E">
        <w:t xml:space="preserve">Tabela </w:t>
      </w:r>
      <w:r>
        <w:fldChar w:fldCharType="begin"/>
      </w:r>
      <w:r>
        <w:instrText xml:space="preserve"> SEQ Tabela \* ARABIC </w:instrText>
      </w:r>
      <w:r>
        <w:fldChar w:fldCharType="separate"/>
      </w:r>
      <w:r w:rsidR="00763345">
        <w:rPr>
          <w:noProof/>
        </w:rPr>
        <w:t>145</w:t>
      </w:r>
      <w:r>
        <w:fldChar w:fldCharType="end"/>
      </w:r>
      <w:r w:rsidRPr="000A135E">
        <w:t xml:space="preserve"> Wskaźniki produktu (PI 9a) – postęp rzeczowy</w:t>
      </w:r>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34"/>
        <w:gridCol w:w="1243"/>
        <w:gridCol w:w="863"/>
        <w:gridCol w:w="965"/>
        <w:gridCol w:w="1011"/>
        <w:gridCol w:w="1012"/>
        <w:gridCol w:w="1011"/>
        <w:gridCol w:w="1012"/>
      </w:tblGrid>
      <w:tr w:rsidR="00116CFB" w:rsidRPr="00B2711F" w14:paraId="7C89DC9F" w14:textId="77777777" w:rsidTr="00C22C26">
        <w:trPr>
          <w:tblHeader/>
        </w:trPr>
        <w:tc>
          <w:tcPr>
            <w:tcW w:w="0" w:type="auto"/>
            <w:shd w:val="clear" w:color="auto" w:fill="DBE5F1"/>
          </w:tcPr>
          <w:p w14:paraId="759EA4C8" w14:textId="77777777" w:rsidR="00116CFB" w:rsidRPr="007F116A" w:rsidRDefault="00116CFB" w:rsidP="004742DC">
            <w:pPr>
              <w:jc w:val="center"/>
              <w:rPr>
                <w:rFonts w:cs="Calibri"/>
                <w:sz w:val="18"/>
                <w:szCs w:val="20"/>
              </w:rPr>
            </w:pPr>
            <w:r w:rsidRPr="007F116A">
              <w:rPr>
                <w:rFonts w:cs="Calibri"/>
                <w:sz w:val="18"/>
                <w:szCs w:val="20"/>
              </w:rPr>
              <w:t>Typ wskaźnika</w:t>
            </w:r>
          </w:p>
        </w:tc>
        <w:tc>
          <w:tcPr>
            <w:tcW w:w="0" w:type="auto"/>
            <w:shd w:val="clear" w:color="auto" w:fill="DBE5F1"/>
          </w:tcPr>
          <w:p w14:paraId="62248897" w14:textId="77777777" w:rsidR="00116CFB" w:rsidRPr="006558FF" w:rsidRDefault="00116CFB" w:rsidP="004742DC">
            <w:pPr>
              <w:jc w:val="center"/>
              <w:rPr>
                <w:rFonts w:cs="Calibri"/>
                <w:sz w:val="18"/>
                <w:szCs w:val="20"/>
              </w:rPr>
            </w:pPr>
            <w:r w:rsidRPr="006558FF">
              <w:rPr>
                <w:rFonts w:cs="Calibri"/>
                <w:sz w:val="18"/>
                <w:szCs w:val="20"/>
              </w:rPr>
              <w:t>Działania</w:t>
            </w:r>
          </w:p>
        </w:tc>
        <w:tc>
          <w:tcPr>
            <w:tcW w:w="0" w:type="auto"/>
            <w:shd w:val="clear" w:color="auto" w:fill="DBE5F1"/>
          </w:tcPr>
          <w:p w14:paraId="2E98E40B" w14:textId="77777777" w:rsidR="00116CFB" w:rsidRPr="00AF5126" w:rsidRDefault="00116CFB" w:rsidP="004742DC">
            <w:pPr>
              <w:jc w:val="center"/>
              <w:rPr>
                <w:rFonts w:cs="Calibri"/>
                <w:sz w:val="18"/>
                <w:szCs w:val="20"/>
              </w:rPr>
            </w:pPr>
            <w:r w:rsidRPr="00AF5126">
              <w:rPr>
                <w:rFonts w:cs="Calibri"/>
                <w:sz w:val="18"/>
                <w:szCs w:val="20"/>
              </w:rPr>
              <w:t>Wskaźnik</w:t>
            </w:r>
          </w:p>
        </w:tc>
        <w:tc>
          <w:tcPr>
            <w:tcW w:w="0" w:type="auto"/>
            <w:shd w:val="clear" w:color="auto" w:fill="DBE5F1"/>
          </w:tcPr>
          <w:p w14:paraId="3A715602" w14:textId="77777777" w:rsidR="00116CFB" w:rsidRPr="00AF5126" w:rsidRDefault="00116CFB" w:rsidP="004742DC">
            <w:pPr>
              <w:jc w:val="center"/>
              <w:rPr>
                <w:rFonts w:cs="Calibri"/>
                <w:sz w:val="18"/>
                <w:szCs w:val="20"/>
              </w:rPr>
            </w:pPr>
            <w:r w:rsidRPr="00AF5126">
              <w:rPr>
                <w:rFonts w:cs="Calibri"/>
                <w:sz w:val="18"/>
                <w:szCs w:val="20"/>
              </w:rPr>
              <w:t>Jedn. Pomiaru</w:t>
            </w:r>
          </w:p>
        </w:tc>
        <w:tc>
          <w:tcPr>
            <w:tcW w:w="0" w:type="auto"/>
            <w:shd w:val="clear" w:color="auto" w:fill="DBE5F1"/>
          </w:tcPr>
          <w:p w14:paraId="28FD66AA" w14:textId="77777777" w:rsidR="00116CFB" w:rsidRPr="00AF5126" w:rsidRDefault="00116CFB" w:rsidP="004742DC">
            <w:pPr>
              <w:jc w:val="center"/>
              <w:rPr>
                <w:rFonts w:cs="Calibri"/>
                <w:sz w:val="18"/>
                <w:szCs w:val="20"/>
              </w:rPr>
            </w:pPr>
            <w:r w:rsidRPr="00AF5126">
              <w:rPr>
                <w:rFonts w:cs="Calibri"/>
                <w:sz w:val="18"/>
                <w:szCs w:val="20"/>
              </w:rPr>
              <w:t>Wartość docelowa (2023)</w:t>
            </w:r>
          </w:p>
        </w:tc>
        <w:tc>
          <w:tcPr>
            <w:tcW w:w="0" w:type="auto"/>
            <w:shd w:val="clear" w:color="auto" w:fill="DBE5F1"/>
          </w:tcPr>
          <w:p w14:paraId="1C585CBB" w14:textId="77777777" w:rsidR="00116CFB" w:rsidRPr="00AF5126" w:rsidRDefault="00116CFB" w:rsidP="004742DC">
            <w:pPr>
              <w:jc w:val="center"/>
              <w:rPr>
                <w:rFonts w:cs="Calibri"/>
                <w:sz w:val="18"/>
                <w:szCs w:val="20"/>
              </w:rPr>
            </w:pPr>
            <w:r w:rsidRPr="00AF5126">
              <w:rPr>
                <w:rFonts w:cs="Calibri"/>
                <w:sz w:val="18"/>
                <w:szCs w:val="20"/>
              </w:rPr>
              <w:t>Realizacja wskaźnika (wg UoD)</w:t>
            </w:r>
          </w:p>
        </w:tc>
        <w:tc>
          <w:tcPr>
            <w:tcW w:w="0" w:type="auto"/>
            <w:shd w:val="clear" w:color="auto" w:fill="DBE5F1"/>
          </w:tcPr>
          <w:p w14:paraId="04EA24AA" w14:textId="77777777" w:rsidR="00116CFB" w:rsidRPr="00AF5126" w:rsidRDefault="00116CFB" w:rsidP="004742DC">
            <w:pPr>
              <w:jc w:val="center"/>
              <w:rPr>
                <w:rFonts w:cs="Calibri"/>
                <w:sz w:val="18"/>
                <w:szCs w:val="20"/>
              </w:rPr>
            </w:pPr>
            <w:r w:rsidRPr="00AF5126">
              <w:rPr>
                <w:rFonts w:cs="Calibri"/>
                <w:sz w:val="18"/>
                <w:szCs w:val="20"/>
              </w:rPr>
              <w:t>% realizacji wartości docelowej (wg UoD)</w:t>
            </w:r>
          </w:p>
        </w:tc>
        <w:tc>
          <w:tcPr>
            <w:tcW w:w="0" w:type="auto"/>
            <w:shd w:val="clear" w:color="auto" w:fill="DBE5F1"/>
          </w:tcPr>
          <w:p w14:paraId="258D401D" w14:textId="77777777" w:rsidR="00116CFB" w:rsidRPr="00AF5126" w:rsidRDefault="00116CFB" w:rsidP="004742DC">
            <w:pPr>
              <w:jc w:val="center"/>
              <w:rPr>
                <w:rFonts w:cs="Calibri"/>
                <w:sz w:val="18"/>
                <w:szCs w:val="20"/>
              </w:rPr>
            </w:pPr>
            <w:r w:rsidRPr="00AF5126">
              <w:rPr>
                <w:rFonts w:cs="Calibri"/>
                <w:sz w:val="18"/>
                <w:szCs w:val="20"/>
              </w:rPr>
              <w:t>Realizacja wskaźnika (wg WoP)</w:t>
            </w:r>
          </w:p>
        </w:tc>
        <w:tc>
          <w:tcPr>
            <w:tcW w:w="0" w:type="auto"/>
            <w:shd w:val="clear" w:color="auto" w:fill="DBE5F1"/>
          </w:tcPr>
          <w:p w14:paraId="36E14E69" w14:textId="77777777" w:rsidR="00116CFB" w:rsidRPr="00AF5126" w:rsidRDefault="00116CFB" w:rsidP="004742DC">
            <w:pPr>
              <w:jc w:val="center"/>
              <w:rPr>
                <w:rFonts w:cs="Calibri"/>
                <w:sz w:val="18"/>
                <w:szCs w:val="20"/>
              </w:rPr>
            </w:pPr>
            <w:r w:rsidRPr="00AF5126">
              <w:rPr>
                <w:rFonts w:cs="Calibri"/>
                <w:sz w:val="18"/>
                <w:szCs w:val="20"/>
              </w:rPr>
              <w:t>% realizacji wartości docelowej (wg WoP)</w:t>
            </w:r>
          </w:p>
        </w:tc>
      </w:tr>
      <w:tr w:rsidR="00116CFB" w:rsidRPr="00B2711F" w14:paraId="5213E8BC" w14:textId="77777777" w:rsidTr="004742DC">
        <w:tc>
          <w:tcPr>
            <w:tcW w:w="0" w:type="auto"/>
            <w:shd w:val="clear" w:color="auto" w:fill="auto"/>
            <w:vAlign w:val="center"/>
          </w:tcPr>
          <w:p w14:paraId="4FE1AEBB" w14:textId="77777777" w:rsidR="00116CFB" w:rsidRPr="00404DA5" w:rsidRDefault="00116CFB" w:rsidP="004742DC">
            <w:pPr>
              <w:jc w:val="center"/>
              <w:rPr>
                <w:rFonts w:cs="Calibri"/>
                <w:sz w:val="18"/>
                <w:szCs w:val="20"/>
              </w:rPr>
            </w:pPr>
            <w:r w:rsidRPr="00404DA5">
              <w:rPr>
                <w:rFonts w:cs="Calibri"/>
                <w:color w:val="000000"/>
                <w:sz w:val="18"/>
                <w:szCs w:val="20"/>
              </w:rPr>
              <w:t>WP</w:t>
            </w:r>
          </w:p>
        </w:tc>
        <w:tc>
          <w:tcPr>
            <w:tcW w:w="0" w:type="auto"/>
            <w:shd w:val="clear" w:color="auto" w:fill="auto"/>
            <w:vAlign w:val="center"/>
          </w:tcPr>
          <w:p w14:paraId="1FF91639" w14:textId="77777777" w:rsidR="00116CFB" w:rsidRPr="00404DA5" w:rsidRDefault="00116CFB" w:rsidP="004742DC">
            <w:pPr>
              <w:jc w:val="center"/>
              <w:rPr>
                <w:rFonts w:cs="Calibri"/>
                <w:sz w:val="18"/>
                <w:szCs w:val="20"/>
              </w:rPr>
            </w:pPr>
            <w:r w:rsidRPr="00404DA5">
              <w:rPr>
                <w:rFonts w:cs="Calibri"/>
                <w:sz w:val="18"/>
                <w:szCs w:val="20"/>
              </w:rPr>
              <w:t>9.1</w:t>
            </w:r>
          </w:p>
        </w:tc>
        <w:tc>
          <w:tcPr>
            <w:tcW w:w="0" w:type="auto"/>
            <w:shd w:val="clear" w:color="auto" w:fill="auto"/>
            <w:vAlign w:val="center"/>
          </w:tcPr>
          <w:p w14:paraId="31D65DD4" w14:textId="77777777" w:rsidR="00116CFB" w:rsidRPr="00404DA5" w:rsidRDefault="00116CFB" w:rsidP="004742DC">
            <w:pPr>
              <w:jc w:val="center"/>
              <w:rPr>
                <w:rFonts w:cs="Calibri"/>
                <w:sz w:val="18"/>
                <w:szCs w:val="20"/>
              </w:rPr>
            </w:pPr>
            <w:r w:rsidRPr="00404DA5">
              <w:rPr>
                <w:rFonts w:cs="Calibri"/>
                <w:color w:val="000000"/>
                <w:sz w:val="18"/>
                <w:szCs w:val="20"/>
              </w:rPr>
              <w:t>Liczba wspartych podmiotów leczniczych</w:t>
            </w:r>
          </w:p>
        </w:tc>
        <w:tc>
          <w:tcPr>
            <w:tcW w:w="0" w:type="auto"/>
            <w:shd w:val="clear" w:color="auto" w:fill="auto"/>
            <w:vAlign w:val="center"/>
          </w:tcPr>
          <w:p w14:paraId="07DA4EAF" w14:textId="77777777" w:rsidR="00116CFB" w:rsidRPr="00404DA5" w:rsidRDefault="00116CFB" w:rsidP="004742DC">
            <w:pPr>
              <w:jc w:val="center"/>
              <w:rPr>
                <w:rFonts w:cs="Calibri"/>
                <w:sz w:val="18"/>
                <w:szCs w:val="20"/>
              </w:rPr>
            </w:pPr>
            <w:r w:rsidRPr="00404DA5">
              <w:rPr>
                <w:rFonts w:cs="Calibri"/>
                <w:color w:val="000000"/>
                <w:sz w:val="18"/>
                <w:szCs w:val="20"/>
              </w:rPr>
              <w:t>sztuk</w:t>
            </w:r>
            <w:r>
              <w:rPr>
                <w:rFonts w:cs="Calibri"/>
                <w:color w:val="000000"/>
                <w:sz w:val="18"/>
                <w:szCs w:val="20"/>
              </w:rPr>
              <w:t>i</w:t>
            </w:r>
          </w:p>
        </w:tc>
        <w:tc>
          <w:tcPr>
            <w:tcW w:w="0" w:type="auto"/>
            <w:shd w:val="clear" w:color="auto" w:fill="auto"/>
            <w:vAlign w:val="center"/>
          </w:tcPr>
          <w:p w14:paraId="5D0939AF" w14:textId="77777777" w:rsidR="00116CFB" w:rsidRPr="00404DA5" w:rsidRDefault="00116CFB" w:rsidP="004742DC">
            <w:pPr>
              <w:jc w:val="center"/>
              <w:rPr>
                <w:rFonts w:cs="Calibri"/>
                <w:sz w:val="18"/>
                <w:szCs w:val="20"/>
              </w:rPr>
            </w:pPr>
            <w:r w:rsidRPr="00404DA5">
              <w:rPr>
                <w:rFonts w:cs="Calibri"/>
                <w:color w:val="000000"/>
                <w:sz w:val="18"/>
                <w:szCs w:val="20"/>
              </w:rPr>
              <w:t>6</w:t>
            </w:r>
          </w:p>
        </w:tc>
        <w:tc>
          <w:tcPr>
            <w:tcW w:w="0" w:type="auto"/>
            <w:shd w:val="clear" w:color="auto" w:fill="auto"/>
            <w:vAlign w:val="center"/>
          </w:tcPr>
          <w:p w14:paraId="45F6CB8F" w14:textId="77777777" w:rsidR="00116CFB" w:rsidRPr="00404DA5" w:rsidRDefault="00116CFB" w:rsidP="004742DC">
            <w:pPr>
              <w:jc w:val="center"/>
              <w:rPr>
                <w:rFonts w:cs="Calibri"/>
                <w:sz w:val="18"/>
                <w:szCs w:val="20"/>
              </w:rPr>
            </w:pPr>
            <w:r w:rsidRPr="00404DA5">
              <w:rPr>
                <w:rFonts w:cs="Calibri"/>
                <w:sz w:val="18"/>
                <w:szCs w:val="20"/>
              </w:rPr>
              <w:t>12</w:t>
            </w:r>
          </w:p>
        </w:tc>
        <w:tc>
          <w:tcPr>
            <w:tcW w:w="0" w:type="auto"/>
            <w:shd w:val="clear" w:color="auto" w:fill="auto"/>
            <w:vAlign w:val="center"/>
          </w:tcPr>
          <w:p w14:paraId="27EC16C0" w14:textId="77777777" w:rsidR="00116CFB" w:rsidRPr="00404DA5" w:rsidRDefault="00116CFB" w:rsidP="004742DC">
            <w:pPr>
              <w:jc w:val="center"/>
              <w:rPr>
                <w:rFonts w:cs="Calibri"/>
                <w:sz w:val="18"/>
                <w:szCs w:val="20"/>
              </w:rPr>
            </w:pPr>
            <w:r w:rsidRPr="00404DA5">
              <w:rPr>
                <w:rFonts w:cs="Calibri"/>
                <w:sz w:val="18"/>
                <w:szCs w:val="20"/>
              </w:rPr>
              <w:t>200%</w:t>
            </w:r>
          </w:p>
        </w:tc>
        <w:tc>
          <w:tcPr>
            <w:tcW w:w="0" w:type="auto"/>
            <w:shd w:val="clear" w:color="auto" w:fill="auto"/>
            <w:vAlign w:val="center"/>
          </w:tcPr>
          <w:p w14:paraId="27318983" w14:textId="77777777" w:rsidR="00116CFB" w:rsidRPr="00404DA5" w:rsidRDefault="00116CFB" w:rsidP="004742DC">
            <w:pPr>
              <w:jc w:val="center"/>
              <w:rPr>
                <w:rFonts w:cs="Calibri"/>
                <w:sz w:val="18"/>
                <w:szCs w:val="20"/>
              </w:rPr>
            </w:pPr>
            <w:r w:rsidRPr="00404DA5">
              <w:rPr>
                <w:rFonts w:cs="Calibri"/>
                <w:sz w:val="18"/>
                <w:szCs w:val="20"/>
              </w:rPr>
              <w:t>2</w:t>
            </w:r>
          </w:p>
        </w:tc>
        <w:tc>
          <w:tcPr>
            <w:tcW w:w="0" w:type="auto"/>
            <w:shd w:val="clear" w:color="auto" w:fill="auto"/>
            <w:vAlign w:val="center"/>
          </w:tcPr>
          <w:p w14:paraId="32751E30" w14:textId="77777777" w:rsidR="00116CFB" w:rsidRPr="00404DA5" w:rsidRDefault="00116CFB" w:rsidP="004742DC">
            <w:pPr>
              <w:jc w:val="center"/>
              <w:rPr>
                <w:rFonts w:cs="Calibri"/>
                <w:sz w:val="18"/>
                <w:szCs w:val="20"/>
              </w:rPr>
            </w:pPr>
            <w:r w:rsidRPr="00404DA5">
              <w:rPr>
                <w:rFonts w:cs="Calibri"/>
                <w:sz w:val="18"/>
                <w:szCs w:val="20"/>
              </w:rPr>
              <w:t>33%</w:t>
            </w:r>
          </w:p>
        </w:tc>
      </w:tr>
      <w:tr w:rsidR="00116CFB" w:rsidRPr="00B2711F" w14:paraId="48900FC8" w14:textId="77777777" w:rsidTr="004742DC">
        <w:tc>
          <w:tcPr>
            <w:tcW w:w="0" w:type="auto"/>
            <w:shd w:val="clear" w:color="auto" w:fill="auto"/>
            <w:vAlign w:val="center"/>
          </w:tcPr>
          <w:p w14:paraId="60D45135" w14:textId="77777777" w:rsidR="00116CFB" w:rsidRPr="00404DA5" w:rsidRDefault="00116CFB" w:rsidP="004742DC">
            <w:pPr>
              <w:jc w:val="center"/>
              <w:rPr>
                <w:rFonts w:cs="Calibri"/>
                <w:color w:val="000000"/>
                <w:sz w:val="18"/>
                <w:szCs w:val="20"/>
              </w:rPr>
            </w:pPr>
            <w:r w:rsidRPr="00404DA5">
              <w:rPr>
                <w:rFonts w:cs="Calibri"/>
                <w:color w:val="000000"/>
                <w:sz w:val="18"/>
                <w:szCs w:val="20"/>
              </w:rPr>
              <w:t>WR</w:t>
            </w:r>
          </w:p>
        </w:tc>
        <w:tc>
          <w:tcPr>
            <w:tcW w:w="0" w:type="auto"/>
            <w:shd w:val="clear" w:color="auto" w:fill="auto"/>
            <w:vAlign w:val="center"/>
          </w:tcPr>
          <w:p w14:paraId="4C3C4115" w14:textId="77777777" w:rsidR="00116CFB" w:rsidRPr="00404DA5" w:rsidRDefault="00116CFB" w:rsidP="004742DC">
            <w:pPr>
              <w:jc w:val="center"/>
              <w:rPr>
                <w:rFonts w:cs="Calibri"/>
                <w:color w:val="000000"/>
                <w:sz w:val="18"/>
                <w:szCs w:val="20"/>
              </w:rPr>
            </w:pPr>
            <w:r w:rsidRPr="00404DA5">
              <w:rPr>
                <w:rFonts w:cs="Calibri"/>
                <w:color w:val="000000"/>
                <w:sz w:val="18"/>
                <w:szCs w:val="20"/>
              </w:rPr>
              <w:t>9.1</w:t>
            </w:r>
          </w:p>
        </w:tc>
        <w:tc>
          <w:tcPr>
            <w:tcW w:w="0" w:type="auto"/>
            <w:shd w:val="clear" w:color="auto" w:fill="auto"/>
            <w:vAlign w:val="center"/>
          </w:tcPr>
          <w:p w14:paraId="3E99B2DF" w14:textId="77777777" w:rsidR="00116CFB" w:rsidRPr="00404DA5" w:rsidRDefault="00116CFB" w:rsidP="004742DC">
            <w:pPr>
              <w:jc w:val="center"/>
              <w:rPr>
                <w:rFonts w:cs="Calibri"/>
                <w:color w:val="000000"/>
                <w:sz w:val="18"/>
                <w:szCs w:val="20"/>
              </w:rPr>
            </w:pPr>
            <w:r w:rsidRPr="00404DA5">
              <w:rPr>
                <w:rFonts w:cs="Calibri"/>
                <w:color w:val="000000"/>
                <w:sz w:val="18"/>
                <w:szCs w:val="20"/>
              </w:rPr>
              <w:t>Ludność objęta ulepszonymi usługami zdrowotnymi</w:t>
            </w:r>
          </w:p>
        </w:tc>
        <w:tc>
          <w:tcPr>
            <w:tcW w:w="0" w:type="auto"/>
            <w:shd w:val="clear" w:color="auto" w:fill="auto"/>
            <w:vAlign w:val="center"/>
          </w:tcPr>
          <w:p w14:paraId="296FF299" w14:textId="77777777" w:rsidR="00116CFB" w:rsidRPr="00404DA5" w:rsidRDefault="00116CFB" w:rsidP="004742DC">
            <w:pPr>
              <w:jc w:val="center"/>
              <w:rPr>
                <w:rFonts w:cs="Calibri"/>
                <w:color w:val="000000"/>
                <w:sz w:val="18"/>
                <w:szCs w:val="20"/>
              </w:rPr>
            </w:pPr>
            <w:r w:rsidRPr="00404DA5">
              <w:rPr>
                <w:rFonts w:cs="Calibri"/>
                <w:color w:val="000000"/>
                <w:sz w:val="18"/>
                <w:szCs w:val="20"/>
              </w:rPr>
              <w:t>osoby</w:t>
            </w:r>
          </w:p>
        </w:tc>
        <w:tc>
          <w:tcPr>
            <w:tcW w:w="0" w:type="auto"/>
            <w:shd w:val="clear" w:color="auto" w:fill="auto"/>
            <w:vAlign w:val="center"/>
          </w:tcPr>
          <w:p w14:paraId="46BAAC67" w14:textId="77777777" w:rsidR="00116CFB" w:rsidRDefault="00116CFB" w:rsidP="004742DC">
            <w:pPr>
              <w:jc w:val="center"/>
              <w:rPr>
                <w:color w:val="000000"/>
                <w:sz w:val="18"/>
                <w:szCs w:val="20"/>
              </w:rPr>
            </w:pPr>
          </w:p>
          <w:p w14:paraId="0274B693" w14:textId="77777777" w:rsidR="00116CFB" w:rsidRPr="00404DA5" w:rsidRDefault="00116CFB" w:rsidP="004742DC">
            <w:pPr>
              <w:jc w:val="center"/>
              <w:rPr>
                <w:color w:val="000000"/>
                <w:sz w:val="18"/>
                <w:szCs w:val="20"/>
              </w:rPr>
            </w:pPr>
            <w:r w:rsidRPr="00404DA5">
              <w:rPr>
                <w:color w:val="000000"/>
                <w:sz w:val="18"/>
                <w:szCs w:val="20"/>
              </w:rPr>
              <w:t>74450</w:t>
            </w:r>
          </w:p>
          <w:p w14:paraId="528CDFFF" w14:textId="77777777" w:rsidR="00116CFB" w:rsidRPr="00404DA5" w:rsidRDefault="00116CFB" w:rsidP="004742DC">
            <w:pPr>
              <w:jc w:val="center"/>
              <w:rPr>
                <w:rFonts w:cs="Calibri"/>
                <w:color w:val="000000"/>
                <w:sz w:val="18"/>
                <w:szCs w:val="20"/>
              </w:rPr>
            </w:pPr>
          </w:p>
        </w:tc>
        <w:tc>
          <w:tcPr>
            <w:tcW w:w="0" w:type="auto"/>
            <w:shd w:val="clear" w:color="auto" w:fill="auto"/>
            <w:vAlign w:val="center"/>
          </w:tcPr>
          <w:p w14:paraId="017A1521" w14:textId="77777777" w:rsidR="00116CFB" w:rsidRPr="00404DA5" w:rsidRDefault="00116CFB" w:rsidP="004742DC">
            <w:pPr>
              <w:jc w:val="center"/>
              <w:rPr>
                <w:rFonts w:cs="Calibri"/>
                <w:sz w:val="18"/>
                <w:szCs w:val="20"/>
              </w:rPr>
            </w:pPr>
            <w:r w:rsidRPr="00404DA5">
              <w:rPr>
                <w:sz w:val="18"/>
                <w:szCs w:val="20"/>
              </w:rPr>
              <w:t>1 186 947</w:t>
            </w:r>
          </w:p>
        </w:tc>
        <w:tc>
          <w:tcPr>
            <w:tcW w:w="0" w:type="auto"/>
            <w:shd w:val="clear" w:color="auto" w:fill="auto"/>
            <w:vAlign w:val="center"/>
          </w:tcPr>
          <w:p w14:paraId="43895526" w14:textId="77777777" w:rsidR="00116CFB" w:rsidRPr="00404DA5" w:rsidRDefault="00116CFB" w:rsidP="004742DC">
            <w:pPr>
              <w:jc w:val="center"/>
              <w:rPr>
                <w:rFonts w:cs="Calibri"/>
                <w:sz w:val="18"/>
                <w:szCs w:val="20"/>
              </w:rPr>
            </w:pPr>
            <w:r w:rsidRPr="00404DA5">
              <w:rPr>
                <w:rFonts w:cs="Calibri"/>
                <w:sz w:val="18"/>
                <w:szCs w:val="20"/>
              </w:rPr>
              <w:t>1594,3</w:t>
            </w:r>
          </w:p>
        </w:tc>
        <w:tc>
          <w:tcPr>
            <w:tcW w:w="0" w:type="auto"/>
            <w:shd w:val="clear" w:color="auto" w:fill="auto"/>
            <w:vAlign w:val="center"/>
          </w:tcPr>
          <w:p w14:paraId="06947B8F" w14:textId="77777777" w:rsidR="00116CFB" w:rsidRDefault="00116CFB" w:rsidP="004742DC">
            <w:pPr>
              <w:jc w:val="center"/>
              <w:rPr>
                <w:color w:val="000000"/>
                <w:sz w:val="18"/>
                <w:szCs w:val="20"/>
              </w:rPr>
            </w:pPr>
          </w:p>
          <w:p w14:paraId="0954D958" w14:textId="77777777" w:rsidR="00116CFB" w:rsidRPr="00404DA5" w:rsidRDefault="00116CFB" w:rsidP="004742DC">
            <w:pPr>
              <w:jc w:val="center"/>
              <w:rPr>
                <w:color w:val="000000"/>
                <w:sz w:val="18"/>
                <w:szCs w:val="20"/>
              </w:rPr>
            </w:pPr>
            <w:r w:rsidRPr="00404DA5">
              <w:rPr>
                <w:color w:val="000000"/>
                <w:sz w:val="18"/>
                <w:szCs w:val="20"/>
              </w:rPr>
              <w:t>242 106</w:t>
            </w:r>
          </w:p>
          <w:p w14:paraId="1722C7E2" w14:textId="77777777" w:rsidR="00116CFB" w:rsidRPr="00404DA5" w:rsidRDefault="00116CFB" w:rsidP="004742DC">
            <w:pPr>
              <w:jc w:val="center"/>
              <w:rPr>
                <w:rFonts w:cs="Calibri"/>
                <w:sz w:val="18"/>
                <w:szCs w:val="20"/>
              </w:rPr>
            </w:pPr>
          </w:p>
        </w:tc>
        <w:tc>
          <w:tcPr>
            <w:tcW w:w="0" w:type="auto"/>
            <w:shd w:val="clear" w:color="auto" w:fill="auto"/>
            <w:vAlign w:val="center"/>
          </w:tcPr>
          <w:p w14:paraId="2C5AE472" w14:textId="77777777" w:rsidR="00116CFB" w:rsidRDefault="00116CFB" w:rsidP="004742DC">
            <w:pPr>
              <w:jc w:val="center"/>
              <w:rPr>
                <w:color w:val="000000"/>
                <w:sz w:val="18"/>
                <w:szCs w:val="20"/>
              </w:rPr>
            </w:pPr>
          </w:p>
          <w:p w14:paraId="35FABDDC" w14:textId="77777777" w:rsidR="00116CFB" w:rsidRPr="00404DA5" w:rsidRDefault="00116CFB" w:rsidP="004742DC">
            <w:pPr>
              <w:jc w:val="center"/>
              <w:rPr>
                <w:color w:val="000000"/>
                <w:sz w:val="18"/>
                <w:szCs w:val="20"/>
              </w:rPr>
            </w:pPr>
            <w:r w:rsidRPr="00404DA5">
              <w:rPr>
                <w:color w:val="000000"/>
                <w:sz w:val="18"/>
                <w:szCs w:val="20"/>
              </w:rPr>
              <w:t>325,2%</w:t>
            </w:r>
          </w:p>
          <w:p w14:paraId="6F526F98" w14:textId="77777777" w:rsidR="00116CFB" w:rsidRPr="00404DA5" w:rsidRDefault="00116CFB" w:rsidP="004742DC">
            <w:pPr>
              <w:jc w:val="center"/>
              <w:rPr>
                <w:rFonts w:cs="Calibri"/>
                <w:sz w:val="18"/>
                <w:szCs w:val="20"/>
              </w:rPr>
            </w:pPr>
          </w:p>
        </w:tc>
      </w:tr>
      <w:tr w:rsidR="00116CFB" w:rsidRPr="00B2711F" w14:paraId="325312BD" w14:textId="77777777" w:rsidTr="004742DC">
        <w:tc>
          <w:tcPr>
            <w:tcW w:w="0" w:type="auto"/>
            <w:shd w:val="clear" w:color="auto" w:fill="auto"/>
            <w:vAlign w:val="center"/>
          </w:tcPr>
          <w:p w14:paraId="59BA4558" w14:textId="77777777" w:rsidR="00116CFB" w:rsidRPr="00404DA5" w:rsidRDefault="00116CFB" w:rsidP="004742DC">
            <w:pPr>
              <w:jc w:val="center"/>
              <w:rPr>
                <w:rFonts w:cs="Calibri"/>
                <w:color w:val="000000"/>
                <w:sz w:val="18"/>
                <w:szCs w:val="20"/>
              </w:rPr>
            </w:pPr>
            <w:r w:rsidRPr="00404DA5">
              <w:rPr>
                <w:rFonts w:cs="Calibri"/>
                <w:color w:val="000000"/>
                <w:sz w:val="18"/>
                <w:szCs w:val="20"/>
              </w:rPr>
              <w:t xml:space="preserve">WP </w:t>
            </w:r>
          </w:p>
        </w:tc>
        <w:tc>
          <w:tcPr>
            <w:tcW w:w="0" w:type="auto"/>
            <w:shd w:val="clear" w:color="auto" w:fill="auto"/>
            <w:vAlign w:val="center"/>
          </w:tcPr>
          <w:p w14:paraId="5A032B11" w14:textId="77777777" w:rsidR="00116CFB" w:rsidRPr="00404DA5" w:rsidRDefault="00116CFB" w:rsidP="004742DC">
            <w:pPr>
              <w:jc w:val="center"/>
              <w:rPr>
                <w:rFonts w:cs="Calibri"/>
                <w:color w:val="000000"/>
                <w:sz w:val="18"/>
                <w:szCs w:val="20"/>
              </w:rPr>
            </w:pPr>
            <w:r w:rsidRPr="00404DA5">
              <w:rPr>
                <w:rFonts w:cs="Calibri"/>
                <w:color w:val="000000"/>
                <w:sz w:val="18"/>
                <w:szCs w:val="20"/>
              </w:rPr>
              <w:t>9.2</w:t>
            </w:r>
          </w:p>
        </w:tc>
        <w:tc>
          <w:tcPr>
            <w:tcW w:w="0" w:type="auto"/>
            <w:shd w:val="clear" w:color="auto" w:fill="auto"/>
            <w:vAlign w:val="center"/>
          </w:tcPr>
          <w:p w14:paraId="46980CCF" w14:textId="77777777" w:rsidR="00116CFB" w:rsidRPr="00404DA5" w:rsidRDefault="00116CFB" w:rsidP="004742DC">
            <w:pPr>
              <w:jc w:val="center"/>
              <w:rPr>
                <w:rFonts w:cs="Calibri"/>
                <w:color w:val="000000"/>
                <w:sz w:val="18"/>
                <w:szCs w:val="20"/>
              </w:rPr>
            </w:pPr>
            <w:r w:rsidRPr="00404DA5">
              <w:rPr>
                <w:rFonts w:cs="Calibri"/>
                <w:color w:val="000000"/>
                <w:sz w:val="18"/>
                <w:szCs w:val="20"/>
              </w:rPr>
              <w:t>Liczba wspartych obiektów,</w:t>
            </w:r>
            <w:r w:rsidR="00E66B89">
              <w:rPr>
                <w:rFonts w:cs="Calibri"/>
                <w:color w:val="000000"/>
                <w:sz w:val="18"/>
                <w:szCs w:val="20"/>
              </w:rPr>
              <w:t xml:space="preserve"> w </w:t>
            </w:r>
            <w:r w:rsidRPr="00404DA5">
              <w:rPr>
                <w:rFonts w:cs="Calibri"/>
                <w:color w:val="000000"/>
                <w:sz w:val="18"/>
                <w:szCs w:val="20"/>
              </w:rPr>
              <w:t>których realizowane są usługi aktywizacji społeczno-zawodowej</w:t>
            </w:r>
          </w:p>
        </w:tc>
        <w:tc>
          <w:tcPr>
            <w:tcW w:w="0" w:type="auto"/>
            <w:shd w:val="clear" w:color="auto" w:fill="auto"/>
            <w:vAlign w:val="center"/>
          </w:tcPr>
          <w:p w14:paraId="52302EAD" w14:textId="77777777" w:rsidR="00116CFB" w:rsidRPr="00404DA5" w:rsidRDefault="00116CFB" w:rsidP="004742DC">
            <w:pPr>
              <w:jc w:val="center"/>
              <w:rPr>
                <w:rFonts w:cs="Calibri"/>
                <w:color w:val="000000"/>
                <w:sz w:val="18"/>
                <w:szCs w:val="20"/>
              </w:rPr>
            </w:pPr>
            <w:r w:rsidRPr="00404DA5">
              <w:rPr>
                <w:rFonts w:cs="Calibri"/>
                <w:color w:val="000000"/>
                <w:sz w:val="18"/>
                <w:szCs w:val="20"/>
              </w:rPr>
              <w:t>sztuk</w:t>
            </w:r>
            <w:r>
              <w:rPr>
                <w:rFonts w:cs="Calibri"/>
                <w:color w:val="000000"/>
                <w:sz w:val="18"/>
                <w:szCs w:val="20"/>
              </w:rPr>
              <w:t>i</w:t>
            </w:r>
          </w:p>
        </w:tc>
        <w:tc>
          <w:tcPr>
            <w:tcW w:w="0" w:type="auto"/>
            <w:shd w:val="clear" w:color="auto" w:fill="auto"/>
            <w:vAlign w:val="center"/>
          </w:tcPr>
          <w:p w14:paraId="1D7B75A5" w14:textId="77777777" w:rsidR="00116CFB" w:rsidRPr="00404DA5" w:rsidRDefault="00116CFB" w:rsidP="004742DC">
            <w:pPr>
              <w:jc w:val="center"/>
              <w:rPr>
                <w:rFonts w:cs="Calibri"/>
                <w:color w:val="000000"/>
                <w:sz w:val="18"/>
                <w:szCs w:val="20"/>
              </w:rPr>
            </w:pPr>
            <w:r w:rsidRPr="00404DA5">
              <w:rPr>
                <w:rFonts w:cs="Calibri"/>
                <w:color w:val="000000"/>
                <w:sz w:val="18"/>
                <w:szCs w:val="20"/>
              </w:rPr>
              <w:t>10</w:t>
            </w:r>
          </w:p>
        </w:tc>
        <w:tc>
          <w:tcPr>
            <w:tcW w:w="0" w:type="auto"/>
            <w:shd w:val="clear" w:color="auto" w:fill="auto"/>
            <w:vAlign w:val="center"/>
          </w:tcPr>
          <w:p w14:paraId="245D09C5" w14:textId="77777777" w:rsidR="00116CFB" w:rsidRPr="00404DA5" w:rsidRDefault="00116CFB" w:rsidP="004742DC">
            <w:pPr>
              <w:jc w:val="center"/>
              <w:rPr>
                <w:rFonts w:cs="Calibri"/>
                <w:sz w:val="18"/>
                <w:szCs w:val="20"/>
              </w:rPr>
            </w:pPr>
            <w:r w:rsidRPr="00404DA5">
              <w:rPr>
                <w:rFonts w:cs="Calibri"/>
                <w:sz w:val="18"/>
                <w:szCs w:val="20"/>
              </w:rPr>
              <w:t>12</w:t>
            </w:r>
          </w:p>
        </w:tc>
        <w:tc>
          <w:tcPr>
            <w:tcW w:w="0" w:type="auto"/>
            <w:shd w:val="clear" w:color="auto" w:fill="auto"/>
            <w:vAlign w:val="center"/>
          </w:tcPr>
          <w:p w14:paraId="204C8157" w14:textId="77777777" w:rsidR="00116CFB" w:rsidRPr="00404DA5" w:rsidRDefault="00116CFB" w:rsidP="004742DC">
            <w:pPr>
              <w:jc w:val="center"/>
              <w:rPr>
                <w:rFonts w:cs="Calibri"/>
                <w:sz w:val="18"/>
                <w:szCs w:val="20"/>
              </w:rPr>
            </w:pPr>
            <w:r w:rsidRPr="00404DA5">
              <w:rPr>
                <w:rFonts w:cs="Calibri"/>
                <w:sz w:val="18"/>
                <w:szCs w:val="20"/>
              </w:rPr>
              <w:t>120%</w:t>
            </w:r>
          </w:p>
        </w:tc>
        <w:tc>
          <w:tcPr>
            <w:tcW w:w="0" w:type="auto"/>
            <w:shd w:val="clear" w:color="auto" w:fill="auto"/>
            <w:vAlign w:val="center"/>
          </w:tcPr>
          <w:p w14:paraId="320AB7FB" w14:textId="77777777" w:rsidR="00116CFB" w:rsidRPr="00404DA5" w:rsidRDefault="00116CFB" w:rsidP="004742DC">
            <w:pPr>
              <w:jc w:val="center"/>
              <w:rPr>
                <w:rFonts w:cs="Calibri"/>
                <w:sz w:val="18"/>
                <w:szCs w:val="20"/>
              </w:rPr>
            </w:pPr>
            <w:r w:rsidRPr="00404DA5">
              <w:rPr>
                <w:rFonts w:cs="Calibri"/>
                <w:sz w:val="18"/>
                <w:szCs w:val="20"/>
              </w:rPr>
              <w:t>1</w:t>
            </w:r>
          </w:p>
        </w:tc>
        <w:tc>
          <w:tcPr>
            <w:tcW w:w="0" w:type="auto"/>
            <w:shd w:val="clear" w:color="auto" w:fill="auto"/>
            <w:vAlign w:val="center"/>
          </w:tcPr>
          <w:p w14:paraId="6040D5B3" w14:textId="77777777" w:rsidR="00116CFB" w:rsidRPr="00404DA5" w:rsidRDefault="00116CFB" w:rsidP="004742DC">
            <w:pPr>
              <w:jc w:val="center"/>
              <w:rPr>
                <w:rFonts w:cs="Calibri"/>
                <w:sz w:val="18"/>
                <w:szCs w:val="20"/>
              </w:rPr>
            </w:pPr>
            <w:r w:rsidRPr="00404DA5">
              <w:rPr>
                <w:rFonts w:cs="Calibri"/>
                <w:sz w:val="18"/>
                <w:szCs w:val="20"/>
              </w:rPr>
              <w:t>10%</w:t>
            </w:r>
          </w:p>
        </w:tc>
      </w:tr>
    </w:tbl>
    <w:p w14:paraId="3802A6EA"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58CA3912" w14:textId="77777777" w:rsidR="00116CFB" w:rsidRPr="00081903" w:rsidRDefault="00116CFB" w:rsidP="00116CFB">
      <w:r w:rsidRPr="00081903">
        <w:t>Postęp finansowy PI 9a jest zadowalający. Jak wynika</w:t>
      </w:r>
      <w:r w:rsidR="00E66B89">
        <w:t xml:space="preserve"> z </w:t>
      </w:r>
      <w:r>
        <w:t>i</w:t>
      </w:r>
      <w:r w:rsidRPr="00081903">
        <w:t xml:space="preserve">nformacji </w:t>
      </w:r>
      <w:r>
        <w:t>k</w:t>
      </w:r>
      <w:r w:rsidRPr="00081903">
        <w:t>wartalnej za IV kwartał 2018 roku</w:t>
      </w:r>
      <w:r>
        <w:t>,</w:t>
      </w:r>
      <w:r w:rsidR="00E66B89">
        <w:t xml:space="preserve"> w </w:t>
      </w:r>
      <w:r w:rsidRPr="00081903">
        <w:t>zatwierdzonych wnioskach</w:t>
      </w:r>
      <w:r w:rsidR="00E66B89">
        <w:t xml:space="preserve"> o </w:t>
      </w:r>
      <w:r w:rsidRPr="00081903">
        <w:t>płatność wykazano wydatki</w:t>
      </w:r>
      <w:r w:rsidR="00E66B89">
        <w:t xml:space="preserve"> w </w:t>
      </w:r>
      <w:r w:rsidRPr="00081903">
        <w:t xml:space="preserve">kwocie </w:t>
      </w:r>
      <w:r w:rsidRPr="008B706B">
        <w:t>54 316 823,85 zł, co stanowi 25% alokacji przeznaczonej na ten Priorytet. Wydatkowanie środków przebiega zgodnie</w:t>
      </w:r>
      <w:r w:rsidR="00E66B89">
        <w:t xml:space="preserve"> z </w:t>
      </w:r>
      <w:r w:rsidRPr="008B706B">
        <w:t xml:space="preserve">harmonogramem projektów. Wysoka jest efektywność kosztowa realizowanych interwencji. Średni koszt jednostkowy wsparcia podmiotu leczniczego wynosi 11 982 658,75 zł wobec </w:t>
      </w:r>
      <w:r w:rsidRPr="00081903">
        <w:t>20 206 967 zł przyjętych</w:t>
      </w:r>
      <w:r w:rsidR="00E66B89">
        <w:t xml:space="preserve"> w </w:t>
      </w:r>
      <w:r w:rsidRPr="00081903">
        <w:t>Metodologii szacowania wartości docelowych wskaźników EFRR. Średni koszt jednostkowy wsparcia obiektu,</w:t>
      </w:r>
      <w:r w:rsidR="00E66B89">
        <w:t xml:space="preserve"> w </w:t>
      </w:r>
      <w:r w:rsidRPr="00081903">
        <w:t>którym realizowane są usługi aktywizacji społeczno-zawodowej</w:t>
      </w:r>
      <w:r w:rsidR="00E66B89">
        <w:t xml:space="preserve"> w </w:t>
      </w:r>
      <w:r w:rsidRPr="00081903">
        <w:t>podpisanych umowach</w:t>
      </w:r>
      <w:r w:rsidR="00E66B89">
        <w:t xml:space="preserve"> o </w:t>
      </w:r>
      <w:r w:rsidRPr="00081903">
        <w:t>dofinansowanie (</w:t>
      </w:r>
      <w:r w:rsidRPr="008B706B">
        <w:t>3 288 297,12 zł) jest zbliżony do kosztu założonego</w:t>
      </w:r>
      <w:r w:rsidR="00E66B89">
        <w:t xml:space="preserve"> w </w:t>
      </w:r>
      <w:r w:rsidRPr="008B706B">
        <w:t>przytaczanej Metodologii (</w:t>
      </w:r>
      <w:bookmarkStart w:id="340" w:name="_Hlk3306027"/>
      <w:r w:rsidRPr="00081903">
        <w:t xml:space="preserve">3 282 147 </w:t>
      </w:r>
      <w:bookmarkEnd w:id="340"/>
      <w:r w:rsidRPr="00081903">
        <w:t xml:space="preserve">zł). </w:t>
      </w:r>
    </w:p>
    <w:p w14:paraId="60FC4E1D" w14:textId="77777777" w:rsidR="00116CFB" w:rsidRPr="008B706B" w:rsidRDefault="00116CFB" w:rsidP="00116CFB">
      <w:r>
        <w:t>Przeprowadzona a</w:t>
      </w:r>
      <w:r w:rsidRPr="00081903">
        <w:t>naliza benchmarkowa również wskazuje na wysoką efektywność kosztową realizowanych projektów</w:t>
      </w:r>
      <w:r w:rsidR="00E66B89">
        <w:t xml:space="preserve"> w </w:t>
      </w:r>
      <w:r w:rsidRPr="00081903">
        <w:t>obszarze infrastruktury ochrony zdrowia. Średni koszt wsparcia podmiotu leczniczego</w:t>
      </w:r>
      <w:r w:rsidR="00E66B89">
        <w:t xml:space="preserve"> w </w:t>
      </w:r>
      <w:r w:rsidRPr="00081903">
        <w:t>województwie zachodniopomorskim jest niższy niż</w:t>
      </w:r>
      <w:r w:rsidR="00E66B89">
        <w:t xml:space="preserve"> w </w:t>
      </w:r>
      <w:r w:rsidRPr="00081903">
        <w:t>województwach podkarpackim (</w:t>
      </w:r>
      <w:r w:rsidRPr="008B706B">
        <w:t xml:space="preserve">12 204 064 zł), </w:t>
      </w:r>
      <w:r w:rsidRPr="00081903">
        <w:t>opolskim (</w:t>
      </w:r>
      <w:r w:rsidRPr="008B706B">
        <w:t>24 271 494,43 zł) czy pomorskim (16</w:t>
      </w:r>
      <w:r>
        <w:t xml:space="preserve"> </w:t>
      </w:r>
      <w:r w:rsidRPr="008B706B">
        <w:t>533</w:t>
      </w:r>
      <w:r>
        <w:t xml:space="preserve"> </w:t>
      </w:r>
      <w:r w:rsidRPr="008B706B">
        <w:t>798 zł),</w:t>
      </w:r>
      <w:r w:rsidR="00E66B89">
        <w:t xml:space="preserve"> w </w:t>
      </w:r>
      <w:r w:rsidRPr="008B706B">
        <w:t>których – podobnie jak</w:t>
      </w:r>
      <w:r w:rsidR="00E66B89">
        <w:t xml:space="preserve"> w </w:t>
      </w:r>
      <w:r w:rsidRPr="008B706B">
        <w:t>RPO WZ 2014-2020 - koncentrowano się na opiece szpitalnej</w:t>
      </w:r>
      <w:r w:rsidR="00E66B89">
        <w:t xml:space="preserve"> i </w:t>
      </w:r>
      <w:r w:rsidRPr="008B706B">
        <w:t>opiece długoterminowej. Średni koszt wsparcia obiektu infrastruktury,</w:t>
      </w:r>
      <w:r w:rsidR="00E66B89">
        <w:t xml:space="preserve"> w </w:t>
      </w:r>
      <w:r w:rsidRPr="008B706B">
        <w:t>którym realizowane są usługi aktywizacji społeczno-zawodowej jest za to</w:t>
      </w:r>
      <w:r w:rsidR="00E66B89">
        <w:t xml:space="preserve"> w </w:t>
      </w:r>
      <w:r w:rsidRPr="008B706B">
        <w:t>RPO WZ 2014-2020 znacznie wyższy niż</w:t>
      </w:r>
      <w:r w:rsidR="00E66B89">
        <w:t xml:space="preserve"> w </w:t>
      </w:r>
      <w:r w:rsidRPr="008B706B">
        <w:t>województwie podkarpackim (893 648 zł) czy warmińsko-mazurskim (800</w:t>
      </w:r>
      <w:r>
        <w:t xml:space="preserve"> </w:t>
      </w:r>
      <w:r w:rsidRPr="008B706B">
        <w:t>588 zł). Wynika to</w:t>
      </w:r>
      <w:r w:rsidR="00E66B89">
        <w:t xml:space="preserve"> z </w:t>
      </w:r>
      <w:r w:rsidRPr="008B706B">
        <w:t>większego udziału budowy nowych obiektów</w:t>
      </w:r>
      <w:r w:rsidR="00E66B89">
        <w:t xml:space="preserve"> </w:t>
      </w:r>
      <w:r w:rsidR="00E66B89">
        <w:lastRenderedPageBreak/>
        <w:t>w </w:t>
      </w:r>
      <w:r w:rsidRPr="008B706B">
        <w:t>województwie zachodniopomorskim</w:t>
      </w:r>
      <w:r w:rsidR="00E66B89">
        <w:t xml:space="preserve"> w </w:t>
      </w:r>
      <w:r w:rsidRPr="008B706B">
        <w:t>porównaniu</w:t>
      </w:r>
      <w:r w:rsidR="00E66B89">
        <w:t xml:space="preserve"> z </w:t>
      </w:r>
      <w:r w:rsidRPr="008B706B">
        <w:t>pozostałymi wskazanymi regionami,</w:t>
      </w:r>
      <w:r w:rsidR="00E66B89">
        <w:t xml:space="preserve"> w </w:t>
      </w:r>
      <w:r w:rsidRPr="008B706B">
        <w:t xml:space="preserve">których monitorowany jest przedmiotowy wskaźnik. </w:t>
      </w:r>
    </w:p>
    <w:p w14:paraId="4A4DA1ED"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Wskaźniki rezultatu strategicznego </w:t>
      </w:r>
    </w:p>
    <w:p w14:paraId="1F49D073" w14:textId="77777777" w:rsidR="00116CFB" w:rsidRPr="000A135E" w:rsidRDefault="00116CFB" w:rsidP="00116CFB">
      <w:pPr>
        <w:pStyle w:val="evaluTresc"/>
      </w:pPr>
      <w:r w:rsidRPr="000A135E">
        <w:rPr>
          <w:bCs/>
          <w:color w:val="000000"/>
        </w:rPr>
        <w:t xml:space="preserve">W RPO WZ 2014-2020 przyjęto dla PI 9a dwa specyficzne wskaźniki rezultatu: </w:t>
      </w:r>
      <w:r w:rsidRPr="008B706B">
        <w:rPr>
          <w:i/>
        </w:rPr>
        <w:t>Średni czas pobytu chorego</w:t>
      </w:r>
      <w:r w:rsidR="00E66B89">
        <w:rPr>
          <w:i/>
        </w:rPr>
        <w:t xml:space="preserve"> w </w:t>
      </w:r>
      <w:r w:rsidRPr="008B706B">
        <w:rPr>
          <w:i/>
        </w:rPr>
        <w:t>szpitalu</w:t>
      </w:r>
      <w:r w:rsidRPr="000A135E">
        <w:t xml:space="preserve"> (Działanie 9.1) oraz </w:t>
      </w:r>
      <w:r w:rsidRPr="008B706B">
        <w:rPr>
          <w:i/>
        </w:rPr>
        <w:t>Liczba gospodarstw domowych korzystających ze środowiskowej pomocy społecznej</w:t>
      </w:r>
      <w:r w:rsidRPr="000A135E">
        <w:t xml:space="preserve"> (Działanie 9.2)</w:t>
      </w:r>
      <w:r>
        <w:t>.</w:t>
      </w:r>
    </w:p>
    <w:p w14:paraId="6DCE8CF6" w14:textId="77777777" w:rsidR="00116CFB" w:rsidRPr="000A135E" w:rsidRDefault="00116CFB" w:rsidP="00116CFB">
      <w:pPr>
        <w:pStyle w:val="evaluTresc"/>
      </w:pPr>
      <w:r w:rsidRPr="000A135E">
        <w:t>W dokumencie programowym założono, iż</w:t>
      </w:r>
      <w:r w:rsidR="00E66B89">
        <w:t xml:space="preserve"> w </w:t>
      </w:r>
      <w:r w:rsidRPr="000A135E">
        <w:t xml:space="preserve">latach 2013-2023 nastąpi tendencja spadkowa wysokości wskaźnika </w:t>
      </w:r>
      <w:r w:rsidRPr="008B706B">
        <w:rPr>
          <w:i/>
        </w:rPr>
        <w:t>Średni czas pobytu chorego</w:t>
      </w:r>
      <w:r w:rsidR="00E66B89">
        <w:rPr>
          <w:i/>
        </w:rPr>
        <w:t xml:space="preserve"> w </w:t>
      </w:r>
      <w:r w:rsidRPr="008B706B">
        <w:rPr>
          <w:i/>
        </w:rPr>
        <w:t>szpitalu</w:t>
      </w:r>
      <w:r w:rsidRPr="000A135E">
        <w:t xml:space="preserve"> (ze średnio 5,7 dni do 4,7 dnia).</w:t>
      </w:r>
      <w:r>
        <w:t xml:space="preserve"> </w:t>
      </w:r>
      <w:r w:rsidRPr="000A135E">
        <w:t xml:space="preserve">Analiza danych CSIOZ wskazuje na poprawność tych założeń. Wartość docelowa specyficznego wskaźnika rezultatu nie jest zagrożona. </w:t>
      </w:r>
    </w:p>
    <w:p w14:paraId="2802BA9F" w14:textId="77777777" w:rsidR="00116CFB" w:rsidRDefault="00116CFB" w:rsidP="00AF481E">
      <w:pPr>
        <w:pStyle w:val="Legenda"/>
        <w:spacing w:after="0"/>
      </w:pPr>
      <w:bookmarkStart w:id="341" w:name="_Toc5311901"/>
      <w:r>
        <w:t xml:space="preserve">Wykres </w:t>
      </w:r>
      <w:r>
        <w:fldChar w:fldCharType="begin"/>
      </w:r>
      <w:r>
        <w:instrText xml:space="preserve"> SEQ Wykres \* ARABIC </w:instrText>
      </w:r>
      <w:r>
        <w:fldChar w:fldCharType="separate"/>
      </w:r>
      <w:r w:rsidR="00763345">
        <w:rPr>
          <w:noProof/>
        </w:rPr>
        <w:t>36</w:t>
      </w:r>
      <w:r>
        <w:fldChar w:fldCharType="end"/>
      </w:r>
      <w:r>
        <w:t xml:space="preserve"> </w:t>
      </w:r>
      <w:r w:rsidRPr="007433B6">
        <w:t>Średni czas pobytu chorego</w:t>
      </w:r>
      <w:r w:rsidR="00E66B89">
        <w:t xml:space="preserve"> w </w:t>
      </w:r>
      <w:r w:rsidRPr="007433B6">
        <w:t>szpitalu</w:t>
      </w:r>
      <w:r w:rsidR="00E66B89">
        <w:t xml:space="preserve"> w </w:t>
      </w:r>
      <w:r w:rsidRPr="007433B6">
        <w:t>województwie zachodniopomorskim</w:t>
      </w:r>
      <w:r w:rsidR="00E66B89">
        <w:t xml:space="preserve"> w </w:t>
      </w:r>
      <w:r w:rsidRPr="007433B6">
        <w:t>latach 2013-2017 (dni)</w:t>
      </w:r>
      <w:bookmarkEnd w:id="341"/>
    </w:p>
    <w:p w14:paraId="0BBE25FB" w14:textId="6E750E99" w:rsidR="00116CFB" w:rsidRPr="000A135E" w:rsidRDefault="00C35619" w:rsidP="004F028D">
      <w:pPr>
        <w:spacing w:before="0" w:after="0"/>
        <w:rPr>
          <w:bCs/>
          <w:color w:val="000000"/>
          <w:szCs w:val="20"/>
        </w:rPr>
      </w:pPr>
      <w:r w:rsidRPr="00D508B6">
        <w:rPr>
          <w:noProof/>
        </w:rPr>
        <w:drawing>
          <wp:inline distT="0" distB="0" distL="0" distR="0" wp14:anchorId="6D46AB76" wp14:editId="3C24E514">
            <wp:extent cx="5596255" cy="1852295"/>
            <wp:effectExtent l="0" t="0" r="4445" b="14605"/>
            <wp:docPr id="59"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8C3B4D9" w14:textId="77777777" w:rsidR="00116CFB" w:rsidRPr="00D21299" w:rsidRDefault="00116CFB" w:rsidP="001245CE">
      <w:pPr>
        <w:spacing w:before="0"/>
        <w:rPr>
          <w:i/>
          <w:sz w:val="18"/>
          <w:szCs w:val="20"/>
        </w:rPr>
      </w:pPr>
      <w:r w:rsidRPr="00D21299">
        <w:rPr>
          <w:i/>
          <w:sz w:val="18"/>
          <w:szCs w:val="20"/>
        </w:rPr>
        <w:t>Źródło: dane CSIOZ.</w:t>
      </w:r>
    </w:p>
    <w:p w14:paraId="26FDB82F" w14:textId="77777777" w:rsidR="00116CFB" w:rsidRPr="006F7756" w:rsidRDefault="00116CFB" w:rsidP="00116CFB">
      <w:pPr>
        <w:pStyle w:val="evaluTresc"/>
      </w:pPr>
      <w:r w:rsidRPr="006F7756">
        <w:t>Logika interwencji Działania 9.1 RPO WZ 2014-2020 wskazuje na wysoki wpływ realizowanych projektów na specyficzny wskaźnik rezultatu. Zarówno doposażenie wspieranych podmiotów leczniczych</w:t>
      </w:r>
      <w:r w:rsidR="00E66B89">
        <w:t xml:space="preserve"> w </w:t>
      </w:r>
      <w:r w:rsidRPr="006F7756">
        <w:t>sprzęt medyczny</w:t>
      </w:r>
      <w:r>
        <w:t>,</w:t>
      </w:r>
      <w:r w:rsidRPr="006F7756">
        <w:t xml:space="preserve"> jak</w:t>
      </w:r>
      <w:r w:rsidR="00E66B89">
        <w:t xml:space="preserve"> i </w:t>
      </w:r>
      <w:r w:rsidRPr="006F7756">
        <w:t>zwiększanie potencjału infrastruktury przyczyniają się do przyspieszeni</w:t>
      </w:r>
      <w:r>
        <w:t>a</w:t>
      </w:r>
      <w:r w:rsidRPr="006F7756">
        <w:t xml:space="preserve"> procesu diagnostycznego</w:t>
      </w:r>
      <w:r>
        <w:t>,</w:t>
      </w:r>
      <w:r w:rsidRPr="006F7756">
        <w:t xml:space="preserve"> co przełoży się na skrócenie pobytu chorych. Wsparcie hospicjów umożliwi odciążenie szpitali od zapewnienia długotrwałej opieki paliatywnej. </w:t>
      </w:r>
    </w:p>
    <w:p w14:paraId="6E8FA442" w14:textId="77777777" w:rsidR="00116CFB" w:rsidRPr="00DE1630" w:rsidRDefault="00116CFB" w:rsidP="00116CFB">
      <w:pPr>
        <w:pStyle w:val="evaluTresc"/>
      </w:pPr>
      <w:r w:rsidRPr="006F7756">
        <w:t xml:space="preserve">W przypadku specyficznego wskaźnika rezultatu </w:t>
      </w:r>
      <w:r w:rsidRPr="008B706B">
        <w:rPr>
          <w:i/>
        </w:rPr>
        <w:t>Liczba gospodarstw korzystających ze środowiskowej pomocy społecznej</w:t>
      </w:r>
      <w:r w:rsidR="00E66B89">
        <w:t xml:space="preserve"> w </w:t>
      </w:r>
      <w:r w:rsidRPr="006F7756">
        <w:t>dokumencie programowym założono</w:t>
      </w:r>
      <w:r>
        <w:t>,</w:t>
      </w:r>
      <w:r w:rsidRPr="006F7756">
        <w:t xml:space="preserve"> iż wysokość wskaźnika będzie wykazywała</w:t>
      </w:r>
      <w:r w:rsidR="00E66B89">
        <w:t xml:space="preserve"> w </w:t>
      </w:r>
      <w:r w:rsidRPr="006F7756">
        <w:t>latach 2013-2023 tendencję wzrostową (z 67 879 gospodarstw</w:t>
      </w:r>
      <w:r w:rsidR="00E66B89">
        <w:t xml:space="preserve"> w </w:t>
      </w:r>
      <w:r w:rsidRPr="006F7756">
        <w:t>2013 roku do 68 817</w:t>
      </w:r>
      <w:r w:rsidR="00E66B89">
        <w:t xml:space="preserve"> w </w:t>
      </w:r>
      <w:r w:rsidRPr="006F7756">
        <w:t>roku 2023). Należy</w:t>
      </w:r>
      <w:r w:rsidR="00E66B89">
        <w:t xml:space="preserve"> w </w:t>
      </w:r>
      <w:r w:rsidRPr="006F7756">
        <w:t>tym miejscu podkreślić, iż wskaźnik ten wykazuje wysoką wrażliwość na zmiany prawne, np.</w:t>
      </w:r>
      <w:r w:rsidR="00E66B89">
        <w:t xml:space="preserve"> w </w:t>
      </w:r>
      <w:r w:rsidRPr="006F7756">
        <w:t>dostępie do pomocy społecznej oraz na zmiany świadczeń socjalnych</w:t>
      </w:r>
      <w:r w:rsidR="00E66B89">
        <w:t xml:space="preserve"> i </w:t>
      </w:r>
      <w:r w:rsidRPr="006F7756">
        <w:t>rodzinnych</w:t>
      </w:r>
      <w:r w:rsidR="00E66B89">
        <w:t xml:space="preserve"> i </w:t>
      </w:r>
      <w:r w:rsidRPr="006F7756">
        <w:t>wzrost liczby ofert na regionalnym rynku pracy.</w:t>
      </w:r>
      <w:r w:rsidR="00E66B89">
        <w:t xml:space="preserve"> W </w:t>
      </w:r>
      <w:r w:rsidRPr="006F7756">
        <w:t>województwie zachodniopomorskim odnotować należy – podobnie jak</w:t>
      </w:r>
      <w:r w:rsidR="00E66B89">
        <w:t xml:space="preserve"> w </w:t>
      </w:r>
      <w:r w:rsidRPr="006F7756">
        <w:t>innych regionach Polski – spadek liczby gospodarstw domowych korzystających ze środowiskowej pomocy społecznej, co jest efektem tzw. pakietu dla rodzin</w:t>
      </w:r>
      <w:r w:rsidR="00E66B89">
        <w:t xml:space="preserve"> i </w:t>
      </w:r>
      <w:r w:rsidRPr="006F7756">
        <w:t>ś</w:t>
      </w:r>
      <w:r>
        <w:t>wiadczenia</w:t>
      </w:r>
      <w:r w:rsidR="00E66B89">
        <w:t xml:space="preserve"> z </w:t>
      </w:r>
      <w:r w:rsidR="00472EC3">
        <w:t xml:space="preserve">programu Rodzina </w:t>
      </w:r>
      <w:r>
        <w:t xml:space="preserve">500+. </w:t>
      </w:r>
    </w:p>
    <w:p w14:paraId="179D793B" w14:textId="77777777" w:rsidR="00116CFB" w:rsidRDefault="00116CFB" w:rsidP="00AF481E">
      <w:pPr>
        <w:pStyle w:val="Legenda"/>
        <w:spacing w:after="0"/>
      </w:pPr>
      <w:bookmarkStart w:id="342" w:name="_Toc5311902"/>
      <w:r>
        <w:lastRenderedPageBreak/>
        <w:t xml:space="preserve">Wykres </w:t>
      </w:r>
      <w:r>
        <w:fldChar w:fldCharType="begin"/>
      </w:r>
      <w:r>
        <w:instrText xml:space="preserve"> SEQ Wykres \* ARABIC </w:instrText>
      </w:r>
      <w:r>
        <w:fldChar w:fldCharType="separate"/>
      </w:r>
      <w:r w:rsidR="00763345">
        <w:rPr>
          <w:noProof/>
        </w:rPr>
        <w:t>37</w:t>
      </w:r>
      <w:r>
        <w:fldChar w:fldCharType="end"/>
      </w:r>
      <w:r>
        <w:t xml:space="preserve"> </w:t>
      </w:r>
      <w:r w:rsidRPr="00AA45BD">
        <w:t>Liczba gospodarstw domowych korzystających ze środowiskowej pomocy społecznej</w:t>
      </w:r>
      <w:r w:rsidR="00E66B89">
        <w:t xml:space="preserve"> w </w:t>
      </w:r>
      <w:r w:rsidRPr="00AA45BD">
        <w:t>województwie zachodniopomorskim</w:t>
      </w:r>
      <w:r w:rsidR="00E66B89">
        <w:t xml:space="preserve"> w </w:t>
      </w:r>
      <w:r w:rsidRPr="00AA45BD">
        <w:t>latach 2013-2017</w:t>
      </w:r>
      <w:bookmarkEnd w:id="342"/>
    </w:p>
    <w:p w14:paraId="0F408CA7" w14:textId="4DA08FEB" w:rsidR="00116CFB" w:rsidRPr="000A135E" w:rsidRDefault="00C35619" w:rsidP="004F028D">
      <w:pPr>
        <w:spacing w:before="0" w:after="0"/>
        <w:rPr>
          <w:rFonts w:eastAsia="Calibri"/>
          <w:szCs w:val="20"/>
        </w:rPr>
      </w:pPr>
      <w:r w:rsidRPr="00D508B6">
        <w:rPr>
          <w:noProof/>
        </w:rPr>
        <w:drawing>
          <wp:inline distT="0" distB="0" distL="0" distR="0" wp14:anchorId="4B2CBA4A" wp14:editId="39B41BF0">
            <wp:extent cx="5558155" cy="1997075"/>
            <wp:effectExtent l="0" t="0" r="4445" b="3175"/>
            <wp:docPr id="60"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608955" w14:textId="77777777" w:rsidR="00116CFB" w:rsidRPr="00D21299" w:rsidRDefault="00116CFB" w:rsidP="001245CE">
      <w:pPr>
        <w:spacing w:before="0"/>
        <w:rPr>
          <w:i/>
          <w:sz w:val="18"/>
          <w:szCs w:val="20"/>
        </w:rPr>
      </w:pPr>
      <w:r w:rsidRPr="00D21299">
        <w:rPr>
          <w:i/>
          <w:sz w:val="18"/>
          <w:szCs w:val="20"/>
        </w:rPr>
        <w:t>Źródło: dane BDL.</w:t>
      </w:r>
    </w:p>
    <w:p w14:paraId="2481513B" w14:textId="77777777" w:rsidR="00116CFB" w:rsidRPr="009135A8" w:rsidRDefault="00116CFB" w:rsidP="00116CFB">
      <w:pPr>
        <w:pStyle w:val="evaluTresc"/>
      </w:pPr>
      <w:r w:rsidRPr="000A135E">
        <w:t>W kolejnych latach wdrażania Programu przyjmuje się kontynuacj</w:t>
      </w:r>
      <w:r>
        <w:t>ę</w:t>
      </w:r>
      <w:r w:rsidRPr="000A135E">
        <w:t xml:space="preserve"> tendencji</w:t>
      </w:r>
      <w:r w:rsidR="00E66B89">
        <w:t xml:space="preserve"> z </w:t>
      </w:r>
      <w:r w:rsidRPr="000A135E">
        <w:t>ostatnich lat, co będzie związane</w:t>
      </w:r>
      <w:r w:rsidR="00E66B89">
        <w:t xml:space="preserve"> z </w:t>
      </w:r>
      <w:r w:rsidRPr="000A135E">
        <w:t>uruchomieniem świadczenia</w:t>
      </w:r>
      <w:r w:rsidR="00E66B89">
        <w:t xml:space="preserve"> z </w:t>
      </w:r>
      <w:r w:rsidR="00472EC3">
        <w:t>programu Rodzina</w:t>
      </w:r>
      <w:r w:rsidRPr="000A135E">
        <w:t xml:space="preserve"> 500+ na pierwsze dziecko oraz uruchomieniem pakietu wsparcia dla seniorów. Tendencje te nie będą jednak postępować</w:t>
      </w:r>
      <w:r w:rsidR="00E66B89">
        <w:t xml:space="preserve"> w </w:t>
      </w:r>
      <w:r w:rsidRPr="000A135E">
        <w:t>tak wysokim stopniu jak</w:t>
      </w:r>
      <w:r w:rsidR="00E66B89">
        <w:t xml:space="preserve"> w </w:t>
      </w:r>
      <w:r w:rsidRPr="000A135E">
        <w:t>latach 2013-2017. Zgodnie</w:t>
      </w:r>
      <w:r w:rsidR="00E66B89">
        <w:t xml:space="preserve"> z </w:t>
      </w:r>
      <w:r w:rsidRPr="000A135E">
        <w:t>prognozami KE</w:t>
      </w:r>
      <w:r w:rsidR="00E66B89">
        <w:t xml:space="preserve"> z </w:t>
      </w:r>
      <w:r w:rsidRPr="000A135E">
        <w:t>lutego 2019 roku,</w:t>
      </w:r>
      <w:r w:rsidR="00E66B89">
        <w:t xml:space="preserve"> w </w:t>
      </w:r>
      <w:r w:rsidRPr="000A135E">
        <w:t>2019 roku polski PKB wzrośnie</w:t>
      </w:r>
      <w:r w:rsidR="00E66B89">
        <w:t xml:space="preserve"> o </w:t>
      </w:r>
      <w:r w:rsidRPr="000A135E">
        <w:t>3,5 procent,</w:t>
      </w:r>
      <w:r w:rsidR="00E66B89">
        <w:t xml:space="preserve"> a w </w:t>
      </w:r>
      <w:r w:rsidRPr="000A135E">
        <w:t>2020 roku</w:t>
      </w:r>
      <w:r w:rsidR="00E66B89">
        <w:t xml:space="preserve"> o </w:t>
      </w:r>
      <w:r w:rsidRPr="000A135E">
        <w:t>3,2 procent. Jesienią 2018</w:t>
      </w:r>
      <w:r>
        <w:t xml:space="preserve"> roku </w:t>
      </w:r>
      <w:r w:rsidRPr="000A135E">
        <w:t>szacowano, że będzie to odpowiednio 3,7 procent</w:t>
      </w:r>
      <w:r w:rsidR="00E66B89">
        <w:t xml:space="preserve"> i </w:t>
      </w:r>
      <w:r w:rsidRPr="000A135E">
        <w:t>3,3 procent. Niższe tempo wzrostu pociągać będzie za sobą spadek popytu na pracę, co może przełożyć się na wzrost bezrobocia</w:t>
      </w:r>
      <w:r>
        <w:t xml:space="preserve"> </w:t>
      </w:r>
      <w:r w:rsidRPr="000A135E">
        <w:t>przynajmniej jednego dorosłego członka średniego gospodarstwa domowego, będącego jedną</w:t>
      </w:r>
      <w:r w:rsidR="00E66B89">
        <w:t xml:space="preserve"> z </w:t>
      </w:r>
      <w:r w:rsidRPr="000A135E">
        <w:t>przesłanek korzystania ze środowiskowej pomocy społecznej. Nie są planowane również zmiany prawne, kontynuujące podwyższenie progu dostępu do świadczeń pomocy społecznej. Na potrzeby ewaluacji mid</w:t>
      </w:r>
      <w:r>
        <w:t>-</w:t>
      </w:r>
      <w:r w:rsidRPr="000A135E">
        <w:t xml:space="preserve">term przyjmuje się ostrożne szacunki średniorocznego spadku </w:t>
      </w:r>
      <w:r w:rsidRPr="00C22C26">
        <w:rPr>
          <w:i/>
        </w:rPr>
        <w:t>liczby gospodarstw domowych korzystających ze środowiskowej pomocy społecznej</w:t>
      </w:r>
      <w:r w:rsidR="00E66B89">
        <w:t xml:space="preserve"> w </w:t>
      </w:r>
      <w:r w:rsidRPr="000A135E">
        <w:t>wysokości 1,5 tys. rocznie, co przełoży się na osiągnięcie</w:t>
      </w:r>
      <w:r w:rsidR="00E66B89">
        <w:t xml:space="preserve"> w </w:t>
      </w:r>
      <w:r w:rsidRPr="000A135E">
        <w:t>2023 roku wysokości wskaźnika wynoszącej 42</w:t>
      </w:r>
      <w:r>
        <w:t xml:space="preserve"> </w:t>
      </w:r>
      <w:r w:rsidRPr="000A135E">
        <w:t xml:space="preserve">096 sztuk. Zaleca się </w:t>
      </w:r>
      <w:r>
        <w:t xml:space="preserve">więc rozważenie </w:t>
      </w:r>
      <w:r w:rsidRPr="000A135E">
        <w:t>modyfikacj</w:t>
      </w:r>
      <w:r>
        <w:t>i</w:t>
      </w:r>
      <w:r w:rsidRPr="000A135E">
        <w:t xml:space="preserve"> wartości docelowej specyficznego wskaźnika rezultatu </w:t>
      </w:r>
      <w:r w:rsidRPr="008B706B">
        <w:rPr>
          <w:i/>
        </w:rPr>
        <w:t>Liczba gospodarstw domowych korzystających</w:t>
      </w:r>
      <w:r w:rsidR="00E66B89">
        <w:rPr>
          <w:i/>
        </w:rPr>
        <w:t xml:space="preserve"> z </w:t>
      </w:r>
      <w:r w:rsidRPr="008B706B">
        <w:rPr>
          <w:i/>
        </w:rPr>
        <w:t>pomocy społecznej</w:t>
      </w:r>
      <w:r w:rsidR="00E66B89">
        <w:t xml:space="preserve"> z </w:t>
      </w:r>
      <w:r w:rsidRPr="000A135E">
        <w:t>68</w:t>
      </w:r>
      <w:r>
        <w:t xml:space="preserve"> </w:t>
      </w:r>
      <w:r w:rsidRPr="000A135E">
        <w:t xml:space="preserve">817 do 42 096. </w:t>
      </w:r>
    </w:p>
    <w:p w14:paraId="101605A0"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Ocena potencjału absorpcyjnego </w:t>
      </w:r>
    </w:p>
    <w:p w14:paraId="37E27FA7" w14:textId="77777777" w:rsidR="00116CFB" w:rsidRPr="000A135E" w:rsidRDefault="00116CFB" w:rsidP="00AF481E">
      <w:pPr>
        <w:pStyle w:val="Legenda"/>
        <w:spacing w:after="0"/>
      </w:pPr>
      <w:bookmarkStart w:id="343" w:name="_Toc8824257"/>
      <w:r w:rsidRPr="000A135E">
        <w:t xml:space="preserve">Tabela </w:t>
      </w:r>
      <w:r w:rsidRPr="000A135E">
        <w:fldChar w:fldCharType="begin"/>
      </w:r>
      <w:r w:rsidRPr="000A135E">
        <w:instrText xml:space="preserve"> SEQ Tabela \* ARABIC </w:instrText>
      </w:r>
      <w:r w:rsidRPr="000A135E">
        <w:fldChar w:fldCharType="separate"/>
      </w:r>
      <w:r w:rsidR="00763345">
        <w:rPr>
          <w:noProof/>
        </w:rPr>
        <w:t>146</w:t>
      </w:r>
      <w:r w:rsidRPr="000A135E">
        <w:fldChar w:fldCharType="end"/>
      </w:r>
      <w:r w:rsidRPr="000A135E">
        <w:t xml:space="preserve"> Wysokość alokacji ogółem, alokacji głównej, rezerwy wykonania oraz poziom kontraktacji –</w:t>
      </w:r>
      <w:r w:rsidR="00E66B89">
        <w:t xml:space="preserve"> w </w:t>
      </w:r>
      <w:r w:rsidRPr="000A135E">
        <w:t>ramach PI 9a</w:t>
      </w:r>
      <w:bookmarkEnd w:id="343"/>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5"/>
        <w:gridCol w:w="567"/>
        <w:gridCol w:w="1701"/>
        <w:gridCol w:w="1417"/>
        <w:gridCol w:w="1276"/>
        <w:gridCol w:w="1377"/>
        <w:gridCol w:w="1311"/>
      </w:tblGrid>
      <w:tr w:rsidR="00116CFB" w:rsidRPr="00B2711F" w14:paraId="27D14A6B" w14:textId="77777777" w:rsidTr="00C22C26">
        <w:trPr>
          <w:tblHeader/>
        </w:trPr>
        <w:tc>
          <w:tcPr>
            <w:tcW w:w="988" w:type="dxa"/>
            <w:shd w:val="clear" w:color="auto" w:fill="DBE5F1"/>
          </w:tcPr>
          <w:p w14:paraId="0747E9CF" w14:textId="77777777" w:rsidR="00116CFB" w:rsidRPr="006558FF" w:rsidRDefault="00116CFB" w:rsidP="004742DC">
            <w:pPr>
              <w:jc w:val="center"/>
              <w:rPr>
                <w:sz w:val="18"/>
                <w:szCs w:val="18"/>
              </w:rPr>
            </w:pPr>
            <w:r w:rsidRPr="007F116A">
              <w:rPr>
                <w:rFonts w:cs="Calibri"/>
                <w:sz w:val="18"/>
                <w:szCs w:val="18"/>
              </w:rPr>
              <w:t>Działanie</w:t>
            </w:r>
          </w:p>
        </w:tc>
        <w:tc>
          <w:tcPr>
            <w:tcW w:w="425" w:type="dxa"/>
            <w:shd w:val="clear" w:color="auto" w:fill="DBE5F1"/>
          </w:tcPr>
          <w:p w14:paraId="6CE17041" w14:textId="77777777" w:rsidR="00116CFB" w:rsidRPr="00AF5126" w:rsidRDefault="00116CFB" w:rsidP="004742DC">
            <w:pPr>
              <w:jc w:val="center"/>
              <w:rPr>
                <w:sz w:val="18"/>
                <w:szCs w:val="18"/>
              </w:rPr>
            </w:pPr>
            <w:r w:rsidRPr="00AF5126">
              <w:rPr>
                <w:rFonts w:cs="Calibri"/>
                <w:sz w:val="18"/>
                <w:szCs w:val="18"/>
              </w:rPr>
              <w:t>CT</w:t>
            </w:r>
          </w:p>
        </w:tc>
        <w:tc>
          <w:tcPr>
            <w:tcW w:w="567" w:type="dxa"/>
            <w:shd w:val="clear" w:color="auto" w:fill="DBE5F1"/>
          </w:tcPr>
          <w:p w14:paraId="1F9C6773" w14:textId="77777777" w:rsidR="00116CFB" w:rsidRPr="00AF5126" w:rsidRDefault="00116CFB" w:rsidP="004742DC">
            <w:pPr>
              <w:jc w:val="center"/>
              <w:rPr>
                <w:sz w:val="18"/>
                <w:szCs w:val="18"/>
              </w:rPr>
            </w:pPr>
            <w:r w:rsidRPr="00AF5126">
              <w:rPr>
                <w:rFonts w:cs="Calibri"/>
                <w:sz w:val="18"/>
                <w:szCs w:val="18"/>
              </w:rPr>
              <w:t>PI</w:t>
            </w:r>
          </w:p>
        </w:tc>
        <w:tc>
          <w:tcPr>
            <w:tcW w:w="1701" w:type="dxa"/>
            <w:shd w:val="clear" w:color="auto" w:fill="DBE5F1"/>
          </w:tcPr>
          <w:p w14:paraId="4E3967BD" w14:textId="77777777" w:rsidR="00116CFB" w:rsidRPr="00AF5126" w:rsidRDefault="00116CFB" w:rsidP="004742DC">
            <w:pPr>
              <w:jc w:val="center"/>
              <w:rPr>
                <w:sz w:val="18"/>
                <w:szCs w:val="18"/>
              </w:rPr>
            </w:pPr>
            <w:r w:rsidRPr="00AF5126">
              <w:rPr>
                <w:rFonts w:cs="Calibri"/>
                <w:bCs/>
                <w:color w:val="000000"/>
                <w:sz w:val="18"/>
                <w:szCs w:val="18"/>
              </w:rPr>
              <w:t>Alokacja UE ogółem</w:t>
            </w:r>
            <w:r w:rsidRPr="00AF5126">
              <w:rPr>
                <w:rFonts w:cs="Calibri"/>
                <w:bCs/>
                <w:color w:val="000000"/>
                <w:sz w:val="18"/>
                <w:szCs w:val="18"/>
              </w:rPr>
              <w:br/>
              <w:t>[EUR]</w:t>
            </w:r>
            <w:r w:rsidRPr="00AF5126">
              <w:rPr>
                <w:rFonts w:cs="Calibri"/>
                <w:bCs/>
                <w:color w:val="000000"/>
                <w:sz w:val="18"/>
                <w:szCs w:val="18"/>
              </w:rPr>
              <w:br/>
              <w:t>(alokacja główna +rezerwa wykonania)</w:t>
            </w:r>
          </w:p>
        </w:tc>
        <w:tc>
          <w:tcPr>
            <w:tcW w:w="1417" w:type="dxa"/>
            <w:shd w:val="clear" w:color="auto" w:fill="DBE5F1"/>
          </w:tcPr>
          <w:p w14:paraId="0B4DAA03" w14:textId="77777777" w:rsidR="00116CFB" w:rsidRPr="00AF5126" w:rsidRDefault="00116CFB" w:rsidP="004742DC">
            <w:pPr>
              <w:jc w:val="center"/>
              <w:rPr>
                <w:sz w:val="18"/>
                <w:szCs w:val="18"/>
              </w:rPr>
            </w:pPr>
            <w:r w:rsidRPr="00AF5126">
              <w:rPr>
                <w:rFonts w:cs="Calibri"/>
                <w:bCs/>
                <w:color w:val="000000"/>
                <w:sz w:val="18"/>
                <w:szCs w:val="18"/>
              </w:rPr>
              <w:t>Alokacja główna</w:t>
            </w:r>
            <w:r w:rsidRPr="00AF5126">
              <w:rPr>
                <w:rFonts w:cs="Calibri"/>
                <w:bCs/>
                <w:color w:val="000000"/>
                <w:sz w:val="18"/>
                <w:szCs w:val="18"/>
              </w:rPr>
              <w:br/>
              <w:t>[EUR]</w:t>
            </w:r>
          </w:p>
        </w:tc>
        <w:tc>
          <w:tcPr>
            <w:tcW w:w="1276" w:type="dxa"/>
            <w:shd w:val="clear" w:color="auto" w:fill="DBE5F1"/>
          </w:tcPr>
          <w:p w14:paraId="3D7FDB3B" w14:textId="77777777" w:rsidR="00116CFB" w:rsidRPr="00AF5126" w:rsidRDefault="00116CFB" w:rsidP="004742DC">
            <w:pPr>
              <w:jc w:val="center"/>
              <w:rPr>
                <w:sz w:val="18"/>
                <w:szCs w:val="18"/>
              </w:rPr>
            </w:pPr>
            <w:r w:rsidRPr="00AF5126">
              <w:rPr>
                <w:rFonts w:cs="Calibri"/>
                <w:bCs/>
                <w:color w:val="000000"/>
                <w:sz w:val="18"/>
                <w:szCs w:val="18"/>
              </w:rPr>
              <w:t>Rezerwa wykonania</w:t>
            </w:r>
            <w:r w:rsidRPr="00AF5126">
              <w:rPr>
                <w:rFonts w:cs="Calibri"/>
                <w:bCs/>
                <w:color w:val="000000"/>
                <w:sz w:val="18"/>
                <w:szCs w:val="18"/>
              </w:rPr>
              <w:br/>
              <w:t>[EUR]</w:t>
            </w:r>
          </w:p>
        </w:tc>
        <w:tc>
          <w:tcPr>
            <w:tcW w:w="1377" w:type="dxa"/>
            <w:shd w:val="clear" w:color="auto" w:fill="DBE5F1"/>
          </w:tcPr>
          <w:p w14:paraId="6D0A2B5D" w14:textId="77777777" w:rsidR="00116CFB" w:rsidRPr="006558FF" w:rsidRDefault="00116CFB" w:rsidP="004742DC">
            <w:pPr>
              <w:jc w:val="center"/>
              <w:rPr>
                <w:color w:val="FF0000"/>
                <w:sz w:val="18"/>
                <w:szCs w:val="18"/>
              </w:rPr>
            </w:pPr>
            <w:r w:rsidRPr="00AF5126">
              <w:rPr>
                <w:rFonts w:cs="Calibri"/>
                <w:sz w:val="18"/>
                <w:szCs w:val="18"/>
              </w:rPr>
              <w:t>Kontraktacja</w:t>
            </w:r>
            <w:r w:rsidR="00E66B89">
              <w:rPr>
                <w:rFonts w:cs="Calibri"/>
                <w:sz w:val="18"/>
                <w:szCs w:val="18"/>
              </w:rPr>
              <w:t xml:space="preserve"> z </w:t>
            </w:r>
            <w:r w:rsidRPr="00AF5126">
              <w:rPr>
                <w:rFonts w:cs="Calibri"/>
                <w:sz w:val="18"/>
                <w:szCs w:val="18"/>
              </w:rPr>
              <w:t>środkami rezerwy wykonania</w:t>
            </w:r>
            <w:r w:rsidRPr="007F116A">
              <w:rPr>
                <w:rFonts w:cs="Calibri"/>
                <w:sz w:val="18"/>
                <w:szCs w:val="18"/>
              </w:rPr>
              <w:t xml:space="preserve"> [%]</w:t>
            </w:r>
          </w:p>
        </w:tc>
        <w:tc>
          <w:tcPr>
            <w:tcW w:w="1311" w:type="dxa"/>
            <w:shd w:val="clear" w:color="auto" w:fill="DBE5F1"/>
          </w:tcPr>
          <w:p w14:paraId="3A2E932F" w14:textId="77777777" w:rsidR="00116CFB" w:rsidRPr="006558FF" w:rsidRDefault="00116CFB" w:rsidP="004742DC">
            <w:pPr>
              <w:jc w:val="center"/>
              <w:rPr>
                <w:rFonts w:cs="Calibri"/>
                <w:sz w:val="18"/>
                <w:szCs w:val="18"/>
              </w:rPr>
            </w:pPr>
            <w:r w:rsidRPr="00AF5126">
              <w:rPr>
                <w:rFonts w:cs="Calibri"/>
                <w:sz w:val="18"/>
                <w:szCs w:val="18"/>
              </w:rPr>
              <w:t>Kontraktacja bez środków rezerwy wykonania</w:t>
            </w:r>
            <w:r w:rsidRPr="007F116A">
              <w:rPr>
                <w:rFonts w:cs="Calibri"/>
                <w:sz w:val="18"/>
                <w:szCs w:val="18"/>
              </w:rPr>
              <w:t xml:space="preserve"> [%]</w:t>
            </w:r>
          </w:p>
        </w:tc>
      </w:tr>
      <w:tr w:rsidR="00116CFB" w:rsidRPr="00B2711F" w14:paraId="63C55C6C" w14:textId="77777777" w:rsidTr="004742DC">
        <w:tc>
          <w:tcPr>
            <w:tcW w:w="988" w:type="dxa"/>
            <w:shd w:val="clear" w:color="auto" w:fill="auto"/>
            <w:tcMar>
              <w:left w:w="108" w:type="dxa"/>
            </w:tcMar>
            <w:vAlign w:val="center"/>
          </w:tcPr>
          <w:p w14:paraId="2320A445" w14:textId="77777777" w:rsidR="00116CFB" w:rsidRPr="00404DA5" w:rsidRDefault="00116CFB" w:rsidP="004742DC">
            <w:pPr>
              <w:jc w:val="center"/>
              <w:rPr>
                <w:sz w:val="18"/>
                <w:szCs w:val="18"/>
              </w:rPr>
            </w:pPr>
            <w:r w:rsidRPr="00404DA5">
              <w:rPr>
                <w:rFonts w:cs="Calibri"/>
                <w:color w:val="000000"/>
                <w:sz w:val="18"/>
                <w:szCs w:val="18"/>
              </w:rPr>
              <w:t>9.1</w:t>
            </w:r>
          </w:p>
        </w:tc>
        <w:tc>
          <w:tcPr>
            <w:tcW w:w="425" w:type="dxa"/>
            <w:shd w:val="clear" w:color="auto" w:fill="auto"/>
            <w:tcMar>
              <w:left w:w="108" w:type="dxa"/>
            </w:tcMar>
            <w:vAlign w:val="center"/>
          </w:tcPr>
          <w:p w14:paraId="364AA3CA" w14:textId="77777777" w:rsidR="00116CFB" w:rsidRPr="00404DA5" w:rsidRDefault="00116CFB" w:rsidP="004742DC">
            <w:pPr>
              <w:jc w:val="center"/>
              <w:rPr>
                <w:sz w:val="18"/>
                <w:szCs w:val="18"/>
              </w:rPr>
            </w:pPr>
            <w:r w:rsidRPr="00404DA5">
              <w:rPr>
                <w:rFonts w:cs="Calibri"/>
                <w:color w:val="000000"/>
                <w:sz w:val="18"/>
                <w:szCs w:val="18"/>
              </w:rPr>
              <w:t>9</w:t>
            </w:r>
          </w:p>
        </w:tc>
        <w:tc>
          <w:tcPr>
            <w:tcW w:w="567" w:type="dxa"/>
            <w:shd w:val="clear" w:color="auto" w:fill="auto"/>
            <w:tcMar>
              <w:left w:w="108" w:type="dxa"/>
            </w:tcMar>
            <w:vAlign w:val="center"/>
          </w:tcPr>
          <w:p w14:paraId="687A431D" w14:textId="77777777" w:rsidR="00116CFB" w:rsidRPr="00404DA5" w:rsidRDefault="00116CFB" w:rsidP="004742DC">
            <w:pPr>
              <w:jc w:val="center"/>
              <w:rPr>
                <w:sz w:val="18"/>
                <w:szCs w:val="18"/>
              </w:rPr>
            </w:pPr>
            <w:r w:rsidRPr="00404DA5">
              <w:rPr>
                <w:rFonts w:cs="Calibri"/>
                <w:color w:val="000000"/>
                <w:sz w:val="18"/>
                <w:szCs w:val="18"/>
              </w:rPr>
              <w:t>9a</w:t>
            </w:r>
          </w:p>
        </w:tc>
        <w:tc>
          <w:tcPr>
            <w:tcW w:w="1701" w:type="dxa"/>
            <w:shd w:val="clear" w:color="auto" w:fill="auto"/>
            <w:tcMar>
              <w:left w:w="108" w:type="dxa"/>
            </w:tcMar>
            <w:vAlign w:val="center"/>
          </w:tcPr>
          <w:p w14:paraId="356D9B5C" w14:textId="77777777" w:rsidR="00116CFB" w:rsidRPr="00404DA5" w:rsidRDefault="00116CFB" w:rsidP="004742DC">
            <w:pPr>
              <w:jc w:val="center"/>
              <w:rPr>
                <w:sz w:val="18"/>
                <w:szCs w:val="18"/>
              </w:rPr>
            </w:pPr>
            <w:r w:rsidRPr="00404DA5">
              <w:rPr>
                <w:rFonts w:cs="Calibri"/>
                <w:color w:val="000000"/>
                <w:sz w:val="18"/>
                <w:szCs w:val="18"/>
              </w:rPr>
              <w:t>40 000 000,00</w:t>
            </w:r>
          </w:p>
        </w:tc>
        <w:tc>
          <w:tcPr>
            <w:tcW w:w="1417" w:type="dxa"/>
            <w:shd w:val="clear" w:color="auto" w:fill="auto"/>
            <w:tcMar>
              <w:left w:w="108" w:type="dxa"/>
            </w:tcMar>
            <w:vAlign w:val="center"/>
          </w:tcPr>
          <w:p w14:paraId="48EDDA82" w14:textId="77777777" w:rsidR="00116CFB" w:rsidRPr="00404DA5" w:rsidRDefault="00116CFB" w:rsidP="004742DC">
            <w:pPr>
              <w:jc w:val="center"/>
              <w:rPr>
                <w:sz w:val="18"/>
                <w:szCs w:val="18"/>
              </w:rPr>
            </w:pPr>
            <w:r w:rsidRPr="00404DA5">
              <w:rPr>
                <w:rFonts w:cs="Calibri"/>
                <w:color w:val="000000"/>
                <w:sz w:val="18"/>
                <w:szCs w:val="18"/>
              </w:rPr>
              <w:t>38 200 000,00</w:t>
            </w:r>
          </w:p>
        </w:tc>
        <w:tc>
          <w:tcPr>
            <w:tcW w:w="1276" w:type="dxa"/>
            <w:shd w:val="clear" w:color="auto" w:fill="auto"/>
            <w:tcMar>
              <w:left w:w="108" w:type="dxa"/>
            </w:tcMar>
            <w:vAlign w:val="center"/>
          </w:tcPr>
          <w:p w14:paraId="67E48F02" w14:textId="77777777" w:rsidR="00116CFB" w:rsidRPr="00404DA5" w:rsidRDefault="00116CFB" w:rsidP="004742DC">
            <w:pPr>
              <w:jc w:val="center"/>
              <w:rPr>
                <w:sz w:val="18"/>
                <w:szCs w:val="18"/>
              </w:rPr>
            </w:pPr>
            <w:r w:rsidRPr="00404DA5">
              <w:rPr>
                <w:rFonts w:cs="Calibri"/>
                <w:color w:val="000000"/>
                <w:sz w:val="18"/>
                <w:szCs w:val="18"/>
              </w:rPr>
              <w:t>1 800 000,00</w:t>
            </w:r>
          </w:p>
        </w:tc>
        <w:tc>
          <w:tcPr>
            <w:tcW w:w="1377" w:type="dxa"/>
            <w:shd w:val="clear" w:color="auto" w:fill="auto"/>
            <w:tcMar>
              <w:left w:w="108" w:type="dxa"/>
            </w:tcMar>
            <w:vAlign w:val="center"/>
          </w:tcPr>
          <w:p w14:paraId="464F1B24" w14:textId="77777777" w:rsidR="00116CFB" w:rsidRPr="00404DA5" w:rsidRDefault="00116CFB" w:rsidP="004742DC">
            <w:pPr>
              <w:jc w:val="center"/>
              <w:rPr>
                <w:color w:val="000000"/>
                <w:sz w:val="18"/>
                <w:szCs w:val="18"/>
              </w:rPr>
            </w:pPr>
            <w:r w:rsidRPr="00404DA5">
              <w:rPr>
                <w:rFonts w:cs="Calibri"/>
                <w:color w:val="000000"/>
                <w:sz w:val="18"/>
                <w:szCs w:val="18"/>
              </w:rPr>
              <w:t>83,5%</w:t>
            </w:r>
          </w:p>
        </w:tc>
        <w:tc>
          <w:tcPr>
            <w:tcW w:w="1311" w:type="dxa"/>
            <w:shd w:val="clear" w:color="auto" w:fill="auto"/>
            <w:vAlign w:val="center"/>
          </w:tcPr>
          <w:p w14:paraId="63D0FEA1" w14:textId="77777777" w:rsidR="00116CFB" w:rsidRPr="00404DA5" w:rsidRDefault="00116CFB" w:rsidP="004742DC">
            <w:pPr>
              <w:jc w:val="center"/>
              <w:rPr>
                <w:rFonts w:cs="Calibri"/>
                <w:color w:val="000000"/>
                <w:sz w:val="18"/>
                <w:szCs w:val="18"/>
              </w:rPr>
            </w:pPr>
            <w:r w:rsidRPr="00404DA5">
              <w:rPr>
                <w:rFonts w:cs="Calibri"/>
                <w:color w:val="000000"/>
                <w:sz w:val="18"/>
                <w:szCs w:val="18"/>
              </w:rPr>
              <w:t>87,5%</w:t>
            </w:r>
          </w:p>
        </w:tc>
      </w:tr>
      <w:tr w:rsidR="00116CFB" w:rsidRPr="00B2711F" w14:paraId="099B66F5" w14:textId="77777777" w:rsidTr="004742DC">
        <w:tc>
          <w:tcPr>
            <w:tcW w:w="988" w:type="dxa"/>
            <w:shd w:val="clear" w:color="auto" w:fill="auto"/>
            <w:tcMar>
              <w:left w:w="108" w:type="dxa"/>
            </w:tcMar>
            <w:vAlign w:val="center"/>
          </w:tcPr>
          <w:p w14:paraId="257797B1" w14:textId="77777777" w:rsidR="00116CFB" w:rsidRPr="00404DA5" w:rsidRDefault="00116CFB" w:rsidP="004742DC">
            <w:pPr>
              <w:jc w:val="center"/>
              <w:rPr>
                <w:sz w:val="18"/>
                <w:szCs w:val="18"/>
              </w:rPr>
            </w:pPr>
            <w:r w:rsidRPr="00404DA5">
              <w:rPr>
                <w:rFonts w:cs="Calibri"/>
                <w:color w:val="000000"/>
                <w:sz w:val="18"/>
                <w:szCs w:val="18"/>
              </w:rPr>
              <w:t>9.2</w:t>
            </w:r>
          </w:p>
        </w:tc>
        <w:tc>
          <w:tcPr>
            <w:tcW w:w="425" w:type="dxa"/>
            <w:shd w:val="clear" w:color="auto" w:fill="auto"/>
            <w:tcMar>
              <w:left w:w="108" w:type="dxa"/>
            </w:tcMar>
            <w:vAlign w:val="center"/>
          </w:tcPr>
          <w:p w14:paraId="78032FD3" w14:textId="77777777" w:rsidR="00116CFB" w:rsidRPr="00404DA5" w:rsidRDefault="00116CFB" w:rsidP="004742DC">
            <w:pPr>
              <w:jc w:val="center"/>
              <w:rPr>
                <w:sz w:val="18"/>
                <w:szCs w:val="18"/>
              </w:rPr>
            </w:pPr>
            <w:r w:rsidRPr="00404DA5">
              <w:rPr>
                <w:rFonts w:cs="Calibri"/>
                <w:color w:val="000000"/>
                <w:sz w:val="18"/>
                <w:szCs w:val="18"/>
              </w:rPr>
              <w:t>9</w:t>
            </w:r>
          </w:p>
        </w:tc>
        <w:tc>
          <w:tcPr>
            <w:tcW w:w="567" w:type="dxa"/>
            <w:shd w:val="clear" w:color="auto" w:fill="auto"/>
            <w:tcMar>
              <w:left w:w="108" w:type="dxa"/>
            </w:tcMar>
            <w:vAlign w:val="center"/>
          </w:tcPr>
          <w:p w14:paraId="2D4E9948" w14:textId="77777777" w:rsidR="00116CFB" w:rsidRPr="00404DA5" w:rsidRDefault="00116CFB" w:rsidP="004742DC">
            <w:pPr>
              <w:jc w:val="center"/>
              <w:rPr>
                <w:sz w:val="18"/>
                <w:szCs w:val="18"/>
              </w:rPr>
            </w:pPr>
            <w:r w:rsidRPr="00404DA5">
              <w:rPr>
                <w:rFonts w:cs="Calibri"/>
                <w:color w:val="000000"/>
                <w:sz w:val="18"/>
                <w:szCs w:val="18"/>
              </w:rPr>
              <w:t>9a</w:t>
            </w:r>
          </w:p>
        </w:tc>
        <w:tc>
          <w:tcPr>
            <w:tcW w:w="1701" w:type="dxa"/>
            <w:shd w:val="clear" w:color="auto" w:fill="auto"/>
            <w:tcMar>
              <w:left w:w="108" w:type="dxa"/>
            </w:tcMar>
            <w:vAlign w:val="center"/>
          </w:tcPr>
          <w:p w14:paraId="3B5B1ABA" w14:textId="77777777" w:rsidR="00116CFB" w:rsidRPr="00404DA5" w:rsidRDefault="00116CFB" w:rsidP="004742DC">
            <w:pPr>
              <w:jc w:val="center"/>
              <w:rPr>
                <w:sz w:val="18"/>
                <w:szCs w:val="18"/>
              </w:rPr>
            </w:pPr>
            <w:r w:rsidRPr="00404DA5">
              <w:rPr>
                <w:rFonts w:cs="Calibri"/>
                <w:color w:val="000000"/>
                <w:sz w:val="18"/>
                <w:szCs w:val="18"/>
              </w:rPr>
              <w:t>10 000 000,00</w:t>
            </w:r>
          </w:p>
        </w:tc>
        <w:tc>
          <w:tcPr>
            <w:tcW w:w="1417" w:type="dxa"/>
            <w:shd w:val="clear" w:color="auto" w:fill="auto"/>
            <w:tcMar>
              <w:left w:w="108" w:type="dxa"/>
            </w:tcMar>
            <w:vAlign w:val="center"/>
          </w:tcPr>
          <w:p w14:paraId="311D148F" w14:textId="77777777" w:rsidR="00116CFB" w:rsidRPr="00404DA5" w:rsidRDefault="00116CFB" w:rsidP="004742DC">
            <w:pPr>
              <w:jc w:val="center"/>
              <w:rPr>
                <w:sz w:val="18"/>
                <w:szCs w:val="18"/>
              </w:rPr>
            </w:pPr>
            <w:r w:rsidRPr="00404DA5">
              <w:rPr>
                <w:rFonts w:cs="Calibri"/>
                <w:color w:val="000000"/>
                <w:sz w:val="18"/>
                <w:szCs w:val="18"/>
              </w:rPr>
              <w:t>9 400 000,00</w:t>
            </w:r>
          </w:p>
        </w:tc>
        <w:tc>
          <w:tcPr>
            <w:tcW w:w="1276" w:type="dxa"/>
            <w:shd w:val="clear" w:color="auto" w:fill="auto"/>
            <w:tcMar>
              <w:left w:w="108" w:type="dxa"/>
            </w:tcMar>
            <w:vAlign w:val="center"/>
          </w:tcPr>
          <w:p w14:paraId="43AA7443" w14:textId="77777777" w:rsidR="00116CFB" w:rsidRPr="00404DA5" w:rsidRDefault="00116CFB" w:rsidP="004742DC">
            <w:pPr>
              <w:jc w:val="center"/>
              <w:rPr>
                <w:sz w:val="18"/>
                <w:szCs w:val="18"/>
              </w:rPr>
            </w:pPr>
            <w:r w:rsidRPr="00404DA5">
              <w:rPr>
                <w:rFonts w:cs="Calibri"/>
                <w:color w:val="000000"/>
                <w:sz w:val="18"/>
                <w:szCs w:val="18"/>
              </w:rPr>
              <w:t>600 000,00</w:t>
            </w:r>
          </w:p>
        </w:tc>
        <w:tc>
          <w:tcPr>
            <w:tcW w:w="1377" w:type="dxa"/>
            <w:shd w:val="clear" w:color="auto" w:fill="auto"/>
            <w:tcMar>
              <w:left w:w="108" w:type="dxa"/>
            </w:tcMar>
            <w:vAlign w:val="center"/>
          </w:tcPr>
          <w:p w14:paraId="7D3AFEA9" w14:textId="77777777" w:rsidR="00116CFB" w:rsidRPr="00404DA5" w:rsidRDefault="00116CFB" w:rsidP="004742DC">
            <w:pPr>
              <w:jc w:val="center"/>
              <w:rPr>
                <w:color w:val="000000"/>
                <w:sz w:val="18"/>
                <w:szCs w:val="18"/>
              </w:rPr>
            </w:pPr>
            <w:r w:rsidRPr="00404DA5">
              <w:rPr>
                <w:rFonts w:cs="Calibri"/>
                <w:color w:val="000000"/>
                <w:sz w:val="18"/>
                <w:szCs w:val="18"/>
              </w:rPr>
              <w:t>91,7%</w:t>
            </w:r>
          </w:p>
        </w:tc>
        <w:tc>
          <w:tcPr>
            <w:tcW w:w="1311" w:type="dxa"/>
            <w:shd w:val="clear" w:color="auto" w:fill="auto"/>
            <w:vAlign w:val="center"/>
          </w:tcPr>
          <w:p w14:paraId="5B488ECE" w14:textId="77777777" w:rsidR="00116CFB" w:rsidRPr="00404DA5" w:rsidRDefault="00116CFB" w:rsidP="004742DC">
            <w:pPr>
              <w:jc w:val="center"/>
              <w:rPr>
                <w:rFonts w:cs="Calibri"/>
                <w:color w:val="000000"/>
                <w:sz w:val="18"/>
                <w:szCs w:val="18"/>
              </w:rPr>
            </w:pPr>
            <w:r w:rsidRPr="00404DA5">
              <w:rPr>
                <w:rFonts w:cs="Calibri"/>
                <w:color w:val="000000"/>
                <w:sz w:val="18"/>
                <w:szCs w:val="18"/>
              </w:rPr>
              <w:t>97,6%</w:t>
            </w:r>
          </w:p>
        </w:tc>
      </w:tr>
    </w:tbl>
    <w:p w14:paraId="29C96A9F" w14:textId="77777777" w:rsidR="00116CFB" w:rsidRPr="00D21299" w:rsidRDefault="00116CFB" w:rsidP="001245CE">
      <w:pPr>
        <w:spacing w:before="0"/>
        <w:rPr>
          <w:i/>
          <w:sz w:val="18"/>
          <w:szCs w:val="20"/>
        </w:rPr>
      </w:pPr>
      <w:r w:rsidRPr="00D21299">
        <w:rPr>
          <w:i/>
          <w:sz w:val="18"/>
          <w:szCs w:val="20"/>
        </w:rPr>
        <w:t>Źródło: RPO WZ 2014-2020, Wysokość alokacji na podstawie danych przekazanych przez Zamawiającego (stan</w:t>
      </w:r>
      <w:r w:rsidR="00E66B89" w:rsidRPr="00D21299">
        <w:rPr>
          <w:i/>
          <w:sz w:val="18"/>
          <w:szCs w:val="20"/>
        </w:rPr>
        <w:t xml:space="preserve"> z </w:t>
      </w:r>
      <w:r w:rsidRPr="00D21299">
        <w:rPr>
          <w:i/>
          <w:sz w:val="18"/>
          <w:szCs w:val="20"/>
        </w:rPr>
        <w:t>dnia 7.01.2019 roku).</w:t>
      </w:r>
    </w:p>
    <w:p w14:paraId="2F0C1048" w14:textId="77777777" w:rsidR="00116CFB" w:rsidRPr="009135A8" w:rsidRDefault="00116CFB" w:rsidP="00116CFB">
      <w:pPr>
        <w:pStyle w:val="evaluTresc"/>
        <w:rPr>
          <w:color w:val="000000"/>
        </w:rPr>
      </w:pPr>
      <w:r w:rsidRPr="000A135E">
        <w:t xml:space="preserve">Stan zakontraktowania alokacji wskazuje na niski potencjał dalszego pozyskiwania jednostek wskaźników. Alokacja przeznaczona na Działanie 9.2 została niemal wyczerpana. IZ RPO WZ 2014-2020 </w:t>
      </w:r>
      <w:r w:rsidRPr="000A135E">
        <w:lastRenderedPageBreak/>
        <w:t>nie planuje więc dalszych naborów</w:t>
      </w:r>
      <w:r>
        <w:t xml:space="preserve"> -</w:t>
      </w:r>
      <w:r w:rsidRPr="000A135E">
        <w:t xml:space="preserve"> zwłaszcza</w:t>
      </w:r>
      <w:r w:rsidR="00E66B89">
        <w:t xml:space="preserve"> w </w:t>
      </w:r>
      <w:r w:rsidRPr="000A135E">
        <w:t>sytuacji, gdy osiągnięcie zobowiązań wskaźnikowych nie jest zagrożone.</w:t>
      </w:r>
      <w:r w:rsidR="00E66B89">
        <w:t xml:space="preserve"> W </w:t>
      </w:r>
      <w:r w:rsidRPr="000A135E">
        <w:t xml:space="preserve">Działaniu 9.1. na dofinansowanie czeka jeszcze jeden zidentyfikowany projekt pozakonkursowy: </w:t>
      </w:r>
      <w:r w:rsidRPr="000A135E">
        <w:rPr>
          <w:bCs/>
        </w:rPr>
        <w:t>Centrum Opieki Długoterminowej</w:t>
      </w:r>
      <w:r w:rsidR="00E66B89">
        <w:rPr>
          <w:bCs/>
        </w:rPr>
        <w:t xml:space="preserve"> w </w:t>
      </w:r>
      <w:r w:rsidRPr="000A135E">
        <w:rPr>
          <w:bCs/>
        </w:rPr>
        <w:t>subregionie przy Specjalistycznym Zespole Gruźlicy</w:t>
      </w:r>
      <w:r w:rsidR="00E66B89">
        <w:rPr>
          <w:bCs/>
        </w:rPr>
        <w:t xml:space="preserve"> i </w:t>
      </w:r>
      <w:r w:rsidRPr="000A135E">
        <w:rPr>
          <w:bCs/>
        </w:rPr>
        <w:t>Chorób Płuc</w:t>
      </w:r>
      <w:r w:rsidR="00E66B89">
        <w:rPr>
          <w:bCs/>
        </w:rPr>
        <w:t xml:space="preserve"> w </w:t>
      </w:r>
      <w:r w:rsidRPr="000A135E">
        <w:rPr>
          <w:bCs/>
        </w:rPr>
        <w:t>Koszalinie,</w:t>
      </w:r>
      <w:r w:rsidR="00E66B89">
        <w:rPr>
          <w:bCs/>
        </w:rPr>
        <w:t xml:space="preserve"> w </w:t>
      </w:r>
      <w:r w:rsidRPr="000A135E">
        <w:rPr>
          <w:bCs/>
        </w:rPr>
        <w:t>którym założono pozyskanie dofinansowania</w:t>
      </w:r>
      <w:r w:rsidR="00E66B89">
        <w:rPr>
          <w:bCs/>
        </w:rPr>
        <w:t xml:space="preserve"> w </w:t>
      </w:r>
      <w:r w:rsidRPr="000A135E">
        <w:rPr>
          <w:bCs/>
        </w:rPr>
        <w:t xml:space="preserve">wysokości 11 326 717,60 zł, czyli 6,6% alokacji przeznaczonej na to </w:t>
      </w:r>
      <w:r>
        <w:rPr>
          <w:bCs/>
        </w:rPr>
        <w:t>D</w:t>
      </w:r>
      <w:r w:rsidRPr="000A135E">
        <w:rPr>
          <w:bCs/>
        </w:rPr>
        <w:t>ziałanie. Pozostała alokacja (</w:t>
      </w:r>
      <w:r w:rsidRPr="000A135E">
        <w:rPr>
          <w:color w:val="000000"/>
        </w:rPr>
        <w:t>16 993 377,38 zł) może zostać przeznaczona na dofinansowanie projektu</w:t>
      </w:r>
      <w:r>
        <w:rPr>
          <w:color w:val="000000"/>
        </w:rPr>
        <w:t xml:space="preserve"> konkursowego</w:t>
      </w:r>
      <w:r w:rsidR="00E66B89">
        <w:rPr>
          <w:color w:val="000000"/>
        </w:rPr>
        <w:t xml:space="preserve"> z </w:t>
      </w:r>
      <w:r w:rsidRPr="000A135E">
        <w:rPr>
          <w:color w:val="000000"/>
        </w:rPr>
        <w:t xml:space="preserve">listy rezerwowej. </w:t>
      </w:r>
    </w:p>
    <w:p w14:paraId="7CD96EAC"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Prognozy osiągnięcia celów zakładanych na 2023 rok</w:t>
      </w:r>
    </w:p>
    <w:p w14:paraId="3C77B87E" w14:textId="77777777" w:rsidR="00116CFB" w:rsidRPr="000A135E" w:rsidRDefault="00116CFB" w:rsidP="00116CFB">
      <w:pPr>
        <w:pStyle w:val="evaluTresc"/>
      </w:pPr>
      <w:r w:rsidRPr="000A135E">
        <w:t>Obecny stan wdrażania Programu zapewnia realizacj</w:t>
      </w:r>
      <w:r>
        <w:t>ę</w:t>
      </w:r>
      <w:r w:rsidRPr="000A135E">
        <w:t xml:space="preserve"> wartości docelowych wskaźników określonych na rok 2023. Beneficjenci realizowanych projektów zakładają ich przekroczenie, przy braku zidentyfikowanych czynników wpływających na skuteczność działań projektowych. Ewentualne zwiększenie alokacji na Działanie 9.1</w:t>
      </w:r>
      <w:r w:rsidR="00E66B89">
        <w:t xml:space="preserve"> i </w:t>
      </w:r>
      <w:r w:rsidRPr="000A135E">
        <w:t>Działanie 9.2 nie byłoby zasadne ze względu na osiągnięcie,</w:t>
      </w:r>
      <w:r w:rsidR="00E66B89">
        <w:t xml:space="preserve"> a </w:t>
      </w:r>
      <w:r w:rsidRPr="000A135E">
        <w:t xml:space="preserve">nawet przekroczenie zobowiązań wskaźnikowych RPO WZ 2014-2020. </w:t>
      </w:r>
    </w:p>
    <w:p w14:paraId="57ED84ED" w14:textId="77777777" w:rsidR="00116CFB" w:rsidRPr="000A135E" w:rsidRDefault="00116CFB" w:rsidP="00116CFB">
      <w:pPr>
        <w:pStyle w:val="evaluTresc"/>
      </w:pPr>
      <w:r w:rsidRPr="000A135E">
        <w:t>W ramach Działania 9.1 prognozuje się</w:t>
      </w:r>
      <w:r w:rsidR="00E66B89">
        <w:t xml:space="preserve"> w </w:t>
      </w:r>
      <w:r w:rsidRPr="000A135E">
        <w:t xml:space="preserve">kolejnych latach wdrażania Programu zwiększenie wartości docelowej wskaźnika </w:t>
      </w:r>
      <w:r w:rsidRPr="008B706B">
        <w:rPr>
          <w:i/>
        </w:rPr>
        <w:t>Liczba wspartych podmiotów leczniczych</w:t>
      </w:r>
      <w:r w:rsidR="00E66B89">
        <w:t xml:space="preserve"> o </w:t>
      </w:r>
      <w:r w:rsidRPr="000A135E">
        <w:t>2 sztuki. Łącznie wi</w:t>
      </w:r>
      <w:r>
        <w:t>ę</w:t>
      </w:r>
      <w:r w:rsidRPr="000A135E">
        <w:t>c</w:t>
      </w:r>
      <w:r w:rsidR="00E66B89">
        <w:t xml:space="preserve"> w </w:t>
      </w:r>
      <w:r w:rsidRPr="000A135E">
        <w:t>roku 2023</w:t>
      </w:r>
      <w:r>
        <w:t>,</w:t>
      </w:r>
      <w:r w:rsidR="00E66B89">
        <w:t xml:space="preserve"> w </w:t>
      </w:r>
      <w:r w:rsidRPr="000A135E">
        <w:t>zatwierdzonych wnioskach</w:t>
      </w:r>
      <w:r w:rsidR="00E66B89">
        <w:t xml:space="preserve"> o </w:t>
      </w:r>
      <w:r w:rsidRPr="000A135E">
        <w:t>płatność</w:t>
      </w:r>
      <w:r>
        <w:t>,</w:t>
      </w:r>
      <w:r w:rsidRPr="000A135E">
        <w:t xml:space="preserve"> wykazane zostanie wsparcie 14 podmiotów leczniczych</w:t>
      </w:r>
      <w:r>
        <w:t>,</w:t>
      </w:r>
      <w:r w:rsidRPr="000A135E">
        <w:t xml:space="preserve"> czyli 233% wartości docelowej.</w:t>
      </w:r>
    </w:p>
    <w:p w14:paraId="4E11590E" w14:textId="77777777" w:rsidR="00116CFB" w:rsidRPr="000A135E" w:rsidRDefault="00116CFB" w:rsidP="00116CFB">
      <w:pPr>
        <w:pStyle w:val="evaluTresc"/>
        <w:rPr>
          <w:color w:val="000000"/>
        </w:rPr>
      </w:pPr>
      <w:r>
        <w:t>Zaleca</w:t>
      </w:r>
      <w:r w:rsidRPr="000A135E">
        <w:t xml:space="preserve"> się </w:t>
      </w:r>
      <w:r>
        <w:t xml:space="preserve">rozważenie </w:t>
      </w:r>
      <w:r w:rsidRPr="000A135E">
        <w:t>zwiększeni</w:t>
      </w:r>
      <w:r>
        <w:t>a</w:t>
      </w:r>
      <w:r w:rsidRPr="000A135E">
        <w:t xml:space="preserve"> wartości docelowej wskaźnika </w:t>
      </w:r>
      <w:r w:rsidRPr="008B706B">
        <w:rPr>
          <w:rFonts w:cs="Calibri"/>
          <w:i/>
          <w:color w:val="000000"/>
        </w:rPr>
        <w:t>Liczba wspartych podmiotów leczniczych</w:t>
      </w:r>
      <w:r w:rsidR="00E66B89">
        <w:rPr>
          <w:rFonts w:cs="Calibri"/>
          <w:color w:val="000000"/>
        </w:rPr>
        <w:t xml:space="preserve"> z </w:t>
      </w:r>
      <w:r w:rsidRPr="000A135E">
        <w:rPr>
          <w:rFonts w:cs="Calibri"/>
          <w:color w:val="000000"/>
        </w:rPr>
        <w:t xml:space="preserve">6 do 14. Uzasadnieniem </w:t>
      </w:r>
      <w:r w:rsidRPr="000A135E">
        <w:t>podwyższenia wartości docelowej są opóźnienia</w:t>
      </w:r>
      <w:r w:rsidR="00E66B89">
        <w:t xml:space="preserve"> w </w:t>
      </w:r>
      <w:r w:rsidRPr="000A135E">
        <w:t>ogłaszaniu tzw. map zdrowotnych</w:t>
      </w:r>
      <w:r>
        <w:t>,</w:t>
      </w:r>
      <w:r w:rsidRPr="000A135E">
        <w:t xml:space="preserve"> skutkujące opóźnieniem kontraktacji. Beneficjenci dbając</w:t>
      </w:r>
      <w:r w:rsidR="00E66B89">
        <w:t xml:space="preserve"> o </w:t>
      </w:r>
      <w:r w:rsidRPr="000A135E">
        <w:t>pewność pozyskania zakładanych efektów</w:t>
      </w:r>
      <w:r w:rsidR="00E66B89">
        <w:t xml:space="preserve"> w </w:t>
      </w:r>
      <w:r w:rsidRPr="000A135E">
        <w:t>perspektywie n+3 decydowali się na węższy zakres wsparcia 1 podmiotu leczniczego niż zakładano na etapie programowania,</w:t>
      </w:r>
      <w:r w:rsidR="00E66B89">
        <w:t xml:space="preserve"> a </w:t>
      </w:r>
      <w:r w:rsidRPr="000A135E">
        <w:t xml:space="preserve">więc średni koszt jednostkowy wskaźnika </w:t>
      </w:r>
      <w:r w:rsidRPr="008B706B">
        <w:rPr>
          <w:i/>
        </w:rPr>
        <w:t>Liczba wspartych podmiotów leczniczych</w:t>
      </w:r>
      <w:r w:rsidRPr="000A135E">
        <w:t xml:space="preserve"> jest niższy od zakładanego (odpowiednio </w:t>
      </w:r>
      <w:r w:rsidRPr="000A135E">
        <w:rPr>
          <w:color w:val="000000"/>
        </w:rPr>
        <w:t>11 982 658,75 zł</w:t>
      </w:r>
      <w:r w:rsidR="00E66B89">
        <w:rPr>
          <w:color w:val="000000"/>
        </w:rPr>
        <w:t xml:space="preserve"> i </w:t>
      </w:r>
      <w:r w:rsidRPr="000A135E">
        <w:rPr>
          <w:color w:val="000000"/>
        </w:rPr>
        <w:t>28</w:t>
      </w:r>
      <w:r>
        <w:rPr>
          <w:color w:val="000000"/>
        </w:rPr>
        <w:t> </w:t>
      </w:r>
      <w:r w:rsidRPr="000A135E">
        <w:rPr>
          <w:color w:val="000000"/>
        </w:rPr>
        <w:t>685</w:t>
      </w:r>
      <w:r>
        <w:rPr>
          <w:color w:val="000000"/>
        </w:rPr>
        <w:t xml:space="preserve"> </w:t>
      </w:r>
      <w:r w:rsidRPr="000A135E">
        <w:rPr>
          <w:color w:val="000000"/>
        </w:rPr>
        <w:t xml:space="preserve">333,33 zł). </w:t>
      </w:r>
    </w:p>
    <w:p w14:paraId="0A924994" w14:textId="77777777" w:rsidR="00116CFB" w:rsidRPr="000A135E" w:rsidRDefault="00116CFB" w:rsidP="00116CFB">
      <w:pPr>
        <w:pStyle w:val="evaluTresc"/>
        <w:rPr>
          <w:color w:val="000000"/>
        </w:rPr>
      </w:pPr>
      <w:r w:rsidRPr="000A135E">
        <w:rPr>
          <w:color w:val="000000"/>
        </w:rPr>
        <w:t xml:space="preserve">W przypadku wskaźnika rezultatu </w:t>
      </w:r>
      <w:r w:rsidRPr="008B706B">
        <w:rPr>
          <w:i/>
          <w:color w:val="000000"/>
        </w:rPr>
        <w:t xml:space="preserve">Ludność objęta ulepszonymi usługami zdrowotnymi </w:t>
      </w:r>
      <w:r w:rsidRPr="000A135E">
        <w:rPr>
          <w:color w:val="000000"/>
        </w:rPr>
        <w:t>rekomendację dotyczącą jego wartości docelowej sformułowano</w:t>
      </w:r>
      <w:r w:rsidR="00E66B89">
        <w:rPr>
          <w:color w:val="000000"/>
        </w:rPr>
        <w:t xml:space="preserve"> w </w:t>
      </w:r>
      <w:r w:rsidRPr="000A135E">
        <w:rPr>
          <w:color w:val="000000"/>
        </w:rPr>
        <w:t>rozdziale opisującym postęp rzeczowy. Zakłada ona przyjęcie liczby ludności</w:t>
      </w:r>
      <w:r w:rsidR="00E66B89">
        <w:rPr>
          <w:color w:val="000000"/>
        </w:rPr>
        <w:t xml:space="preserve"> w </w:t>
      </w:r>
      <w:r w:rsidRPr="000A135E">
        <w:rPr>
          <w:color w:val="000000"/>
        </w:rPr>
        <w:t>regionie jako wartości docelowej</w:t>
      </w:r>
      <w:r w:rsidR="00E66B89">
        <w:rPr>
          <w:color w:val="000000"/>
        </w:rPr>
        <w:t xml:space="preserve"> a </w:t>
      </w:r>
      <w:r w:rsidRPr="000A135E">
        <w:rPr>
          <w:color w:val="000000"/>
        </w:rPr>
        <w:t>priori, ze względu na definicję wskaźnika</w:t>
      </w:r>
      <w:r w:rsidR="00E66B89">
        <w:rPr>
          <w:color w:val="000000"/>
        </w:rPr>
        <w:t xml:space="preserve"> i </w:t>
      </w:r>
      <w:r w:rsidRPr="000A135E">
        <w:rPr>
          <w:color w:val="000000"/>
        </w:rPr>
        <w:t>wspieranie szpitali</w:t>
      </w:r>
      <w:r w:rsidR="00E66B89">
        <w:rPr>
          <w:color w:val="000000"/>
        </w:rPr>
        <w:t xml:space="preserve"> o </w:t>
      </w:r>
      <w:r w:rsidRPr="000A135E">
        <w:rPr>
          <w:color w:val="000000"/>
        </w:rPr>
        <w:t xml:space="preserve">zasięgu wojewódzkim. </w:t>
      </w:r>
    </w:p>
    <w:p w14:paraId="291D5DED" w14:textId="77777777" w:rsidR="00116CFB" w:rsidRPr="00EF13E7" w:rsidRDefault="00116CFB" w:rsidP="00116CFB">
      <w:pPr>
        <w:pStyle w:val="evaluTresc"/>
      </w:pPr>
      <w:r w:rsidRPr="000A135E">
        <w:t xml:space="preserve">W Działaniu 9.2 nie prognozuje się dalszego przyrostu wskaźnika programowego. </w:t>
      </w:r>
      <w:r>
        <w:t>Warto więc rozważyć</w:t>
      </w:r>
      <w:r w:rsidRPr="000A135E">
        <w:t xml:space="preserve"> podwyższenie wartości docelowej wskaźnika </w:t>
      </w:r>
      <w:r w:rsidRPr="008B706B">
        <w:rPr>
          <w:i/>
        </w:rPr>
        <w:t>Liczba wspartych obiektów,</w:t>
      </w:r>
      <w:r w:rsidR="00E66B89">
        <w:rPr>
          <w:i/>
        </w:rPr>
        <w:t xml:space="preserve"> w </w:t>
      </w:r>
      <w:r w:rsidRPr="008B706B">
        <w:rPr>
          <w:i/>
        </w:rPr>
        <w:t>których realizowane są usługi aktywizacji społeczno-zawodowej</w:t>
      </w:r>
      <w:r w:rsidR="00E66B89">
        <w:t xml:space="preserve"> z </w:t>
      </w:r>
      <w:r w:rsidRPr="000A135E">
        <w:t>10 do 12 sztuk. Uzasadnieniem proponowanej zmiany jest większe niż zakładano zainteresowanie beneficjentów realizowaniem typu działania,</w:t>
      </w:r>
      <w:r w:rsidR="00E66B89">
        <w:t xml:space="preserve"> w </w:t>
      </w:r>
      <w:r w:rsidRPr="000A135E">
        <w:t xml:space="preserve">ramach którego wskaźnik jest monitorowany. </w:t>
      </w:r>
    </w:p>
    <w:p w14:paraId="66A9188C" w14:textId="77777777" w:rsidR="00116CFB" w:rsidRPr="000A135E" w:rsidRDefault="00116CFB" w:rsidP="00AF481E">
      <w:pPr>
        <w:pStyle w:val="Legenda"/>
        <w:spacing w:after="0"/>
      </w:pPr>
      <w:bookmarkStart w:id="344" w:name="_Toc8824258"/>
      <w:r w:rsidRPr="00404DA5">
        <w:t xml:space="preserve">Tabela </w:t>
      </w:r>
      <w:r>
        <w:fldChar w:fldCharType="begin"/>
      </w:r>
      <w:r>
        <w:instrText xml:space="preserve"> SEQ Tabela \* ARABIC </w:instrText>
      </w:r>
      <w:r>
        <w:fldChar w:fldCharType="separate"/>
      </w:r>
      <w:r w:rsidR="00763345">
        <w:rPr>
          <w:noProof/>
        </w:rPr>
        <w:t>147</w:t>
      </w:r>
      <w:r>
        <w:fldChar w:fldCharType="end"/>
      </w:r>
      <w:r w:rsidRPr="00404DA5">
        <w:t xml:space="preserve"> Prognozowany poziom realizacji wskaźników produktu</w:t>
      </w:r>
      <w:r w:rsidR="00E66B89">
        <w:t xml:space="preserve"> i </w:t>
      </w:r>
      <w:r w:rsidRPr="00404DA5">
        <w:t>rezultatu bezpośredniego na rok 2023– PI 9a</w:t>
      </w:r>
      <w:bookmarkEnd w:id="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628"/>
        <w:gridCol w:w="1522"/>
        <w:gridCol w:w="1890"/>
        <w:gridCol w:w="1926"/>
      </w:tblGrid>
      <w:tr w:rsidR="00116CFB" w:rsidRPr="00B2711F" w14:paraId="01EA230A" w14:textId="77777777" w:rsidTr="004742DC">
        <w:trPr>
          <w:trHeight w:val="1221"/>
        </w:trPr>
        <w:tc>
          <w:tcPr>
            <w:tcW w:w="0" w:type="auto"/>
            <w:shd w:val="clear" w:color="auto" w:fill="DBE5F1"/>
          </w:tcPr>
          <w:p w14:paraId="001FAFB2" w14:textId="77777777" w:rsidR="00116CFB" w:rsidRPr="006558FF" w:rsidRDefault="00116CFB" w:rsidP="004742DC">
            <w:pPr>
              <w:jc w:val="center"/>
              <w:rPr>
                <w:rFonts w:cs="Calibri"/>
                <w:sz w:val="18"/>
                <w:szCs w:val="20"/>
              </w:rPr>
            </w:pPr>
            <w:r w:rsidRPr="007F116A">
              <w:rPr>
                <w:rFonts w:cs="Calibri"/>
                <w:sz w:val="18"/>
                <w:szCs w:val="20"/>
              </w:rPr>
              <w:t>Typ wskaźnika</w:t>
            </w:r>
          </w:p>
        </w:tc>
        <w:tc>
          <w:tcPr>
            <w:tcW w:w="0" w:type="auto"/>
            <w:shd w:val="clear" w:color="auto" w:fill="DBE5F1"/>
          </w:tcPr>
          <w:p w14:paraId="5AA3E44D" w14:textId="77777777" w:rsidR="00116CFB" w:rsidRPr="00AF5126" w:rsidRDefault="00116CFB" w:rsidP="004742DC">
            <w:pPr>
              <w:jc w:val="center"/>
              <w:rPr>
                <w:rFonts w:cs="Calibri"/>
                <w:sz w:val="18"/>
                <w:szCs w:val="20"/>
              </w:rPr>
            </w:pPr>
            <w:r w:rsidRPr="00AF5126">
              <w:rPr>
                <w:rFonts w:cs="Calibri"/>
                <w:sz w:val="18"/>
                <w:szCs w:val="20"/>
              </w:rPr>
              <w:t>Wskaźnik</w:t>
            </w:r>
          </w:p>
        </w:tc>
        <w:tc>
          <w:tcPr>
            <w:tcW w:w="0" w:type="auto"/>
            <w:shd w:val="clear" w:color="auto" w:fill="DBE5F1"/>
          </w:tcPr>
          <w:p w14:paraId="5C7A575B" w14:textId="77777777" w:rsidR="00116CFB" w:rsidRPr="00AF5126" w:rsidRDefault="00116CFB" w:rsidP="004742DC">
            <w:pPr>
              <w:jc w:val="center"/>
              <w:rPr>
                <w:rFonts w:cs="Calibri"/>
                <w:sz w:val="18"/>
                <w:szCs w:val="20"/>
              </w:rPr>
            </w:pPr>
            <w:r w:rsidRPr="00AF5126">
              <w:rPr>
                <w:rFonts w:cs="Calibri"/>
                <w:sz w:val="18"/>
                <w:szCs w:val="20"/>
              </w:rPr>
              <w:t>Wartość docelowa określona na 2023 rok</w:t>
            </w:r>
          </w:p>
        </w:tc>
        <w:tc>
          <w:tcPr>
            <w:tcW w:w="0" w:type="auto"/>
            <w:shd w:val="clear" w:color="auto" w:fill="DBE5F1"/>
          </w:tcPr>
          <w:p w14:paraId="5C76302C" w14:textId="77777777" w:rsidR="00116CFB" w:rsidRPr="00AF5126" w:rsidRDefault="00116CFB" w:rsidP="004742DC">
            <w:pPr>
              <w:jc w:val="center"/>
              <w:rPr>
                <w:rFonts w:cs="Calibri"/>
                <w:sz w:val="18"/>
                <w:szCs w:val="20"/>
              </w:rPr>
            </w:pPr>
            <w:r w:rsidRPr="00AF5126">
              <w:rPr>
                <w:rFonts w:cs="Calibri"/>
                <w:sz w:val="18"/>
                <w:szCs w:val="20"/>
              </w:rPr>
              <w:t>Prognozowana całkowita wartość wskaźnika</w:t>
            </w:r>
          </w:p>
        </w:tc>
        <w:tc>
          <w:tcPr>
            <w:tcW w:w="0" w:type="auto"/>
            <w:shd w:val="clear" w:color="auto" w:fill="DBE5F1"/>
          </w:tcPr>
          <w:p w14:paraId="3D22FA53" w14:textId="77777777" w:rsidR="00116CFB" w:rsidRPr="00AF5126" w:rsidRDefault="00116CFB" w:rsidP="004742DC">
            <w:pPr>
              <w:jc w:val="center"/>
              <w:rPr>
                <w:rFonts w:cs="Calibri"/>
                <w:sz w:val="18"/>
                <w:szCs w:val="20"/>
              </w:rPr>
            </w:pPr>
            <w:r w:rsidRPr="00AF5126">
              <w:rPr>
                <w:rFonts w:cs="Calibri"/>
                <w:sz w:val="18"/>
                <w:szCs w:val="20"/>
              </w:rPr>
              <w:t>Prognozowany % realizacji wartości docelowej</w:t>
            </w:r>
          </w:p>
        </w:tc>
      </w:tr>
      <w:tr w:rsidR="00116CFB" w:rsidRPr="00B2711F" w14:paraId="2B86E0D2" w14:textId="77777777" w:rsidTr="004742DC">
        <w:trPr>
          <w:trHeight w:val="1221"/>
        </w:trPr>
        <w:tc>
          <w:tcPr>
            <w:tcW w:w="0" w:type="auto"/>
            <w:shd w:val="clear" w:color="auto" w:fill="auto"/>
            <w:vAlign w:val="center"/>
          </w:tcPr>
          <w:p w14:paraId="0E4EE4CB" w14:textId="77777777" w:rsidR="00116CFB" w:rsidRPr="007F116A" w:rsidRDefault="00116CFB" w:rsidP="004742DC">
            <w:pPr>
              <w:jc w:val="center"/>
              <w:rPr>
                <w:rFonts w:cs="Calibri"/>
                <w:sz w:val="18"/>
                <w:szCs w:val="20"/>
              </w:rPr>
            </w:pPr>
            <w:r w:rsidRPr="00404DA5">
              <w:rPr>
                <w:rFonts w:cs="Calibri"/>
                <w:sz w:val="18"/>
                <w:szCs w:val="20"/>
              </w:rPr>
              <w:t>WP</w:t>
            </w:r>
          </w:p>
        </w:tc>
        <w:tc>
          <w:tcPr>
            <w:tcW w:w="0" w:type="auto"/>
            <w:shd w:val="clear" w:color="auto" w:fill="auto"/>
            <w:vAlign w:val="center"/>
          </w:tcPr>
          <w:p w14:paraId="03ABEF08" w14:textId="77777777" w:rsidR="00116CFB" w:rsidRPr="00AF5126" w:rsidRDefault="00116CFB" w:rsidP="004742DC">
            <w:pPr>
              <w:jc w:val="center"/>
              <w:rPr>
                <w:rFonts w:cs="Calibri"/>
                <w:sz w:val="18"/>
                <w:szCs w:val="20"/>
              </w:rPr>
            </w:pPr>
            <w:r w:rsidRPr="00404DA5">
              <w:rPr>
                <w:rFonts w:cs="Calibri"/>
                <w:color w:val="000000"/>
                <w:sz w:val="18"/>
                <w:szCs w:val="20"/>
              </w:rPr>
              <w:t>Liczba wspartych podmiotów leczniczych</w:t>
            </w:r>
          </w:p>
        </w:tc>
        <w:tc>
          <w:tcPr>
            <w:tcW w:w="0" w:type="auto"/>
            <w:shd w:val="clear" w:color="auto" w:fill="auto"/>
            <w:vAlign w:val="center"/>
          </w:tcPr>
          <w:p w14:paraId="75FDC19F" w14:textId="77777777" w:rsidR="00116CFB" w:rsidRPr="00AF5126" w:rsidRDefault="00116CFB" w:rsidP="004742DC">
            <w:pPr>
              <w:jc w:val="center"/>
              <w:rPr>
                <w:rFonts w:cs="Calibri"/>
                <w:sz w:val="18"/>
                <w:szCs w:val="20"/>
              </w:rPr>
            </w:pPr>
            <w:r w:rsidRPr="00404DA5">
              <w:rPr>
                <w:rFonts w:cs="Calibri"/>
                <w:sz w:val="18"/>
                <w:szCs w:val="20"/>
              </w:rPr>
              <w:t>6</w:t>
            </w:r>
          </w:p>
        </w:tc>
        <w:tc>
          <w:tcPr>
            <w:tcW w:w="0" w:type="auto"/>
            <w:shd w:val="clear" w:color="auto" w:fill="auto"/>
            <w:vAlign w:val="center"/>
          </w:tcPr>
          <w:p w14:paraId="22F9E80D" w14:textId="77777777" w:rsidR="00116CFB" w:rsidRPr="00AF5126" w:rsidRDefault="00116CFB" w:rsidP="004742DC">
            <w:pPr>
              <w:jc w:val="center"/>
              <w:rPr>
                <w:rFonts w:cs="Calibri"/>
                <w:sz w:val="18"/>
                <w:szCs w:val="20"/>
              </w:rPr>
            </w:pPr>
            <w:r w:rsidRPr="00404DA5">
              <w:rPr>
                <w:rFonts w:cs="Calibri"/>
                <w:sz w:val="18"/>
                <w:szCs w:val="20"/>
              </w:rPr>
              <w:t>14</w:t>
            </w:r>
          </w:p>
        </w:tc>
        <w:tc>
          <w:tcPr>
            <w:tcW w:w="0" w:type="auto"/>
            <w:shd w:val="clear" w:color="auto" w:fill="auto"/>
            <w:vAlign w:val="center"/>
          </w:tcPr>
          <w:p w14:paraId="6847F4CA" w14:textId="77777777" w:rsidR="00116CFB" w:rsidRPr="00AF5126" w:rsidRDefault="00116CFB" w:rsidP="004742DC">
            <w:pPr>
              <w:jc w:val="center"/>
              <w:rPr>
                <w:rFonts w:cs="Calibri"/>
                <w:sz w:val="18"/>
                <w:szCs w:val="20"/>
              </w:rPr>
            </w:pPr>
            <w:r w:rsidRPr="00404DA5">
              <w:rPr>
                <w:rFonts w:cs="Calibri"/>
                <w:sz w:val="18"/>
                <w:szCs w:val="20"/>
              </w:rPr>
              <w:t>233%</w:t>
            </w:r>
          </w:p>
        </w:tc>
      </w:tr>
      <w:tr w:rsidR="00116CFB" w:rsidRPr="00B2711F" w14:paraId="1A824FDE" w14:textId="77777777" w:rsidTr="004742DC">
        <w:trPr>
          <w:trHeight w:val="1221"/>
        </w:trPr>
        <w:tc>
          <w:tcPr>
            <w:tcW w:w="0" w:type="auto"/>
            <w:shd w:val="clear" w:color="auto" w:fill="auto"/>
            <w:vAlign w:val="center"/>
          </w:tcPr>
          <w:p w14:paraId="706BA04B" w14:textId="77777777" w:rsidR="00116CFB" w:rsidRPr="007F116A" w:rsidRDefault="00116CFB" w:rsidP="004742DC">
            <w:pPr>
              <w:jc w:val="center"/>
              <w:rPr>
                <w:rFonts w:cs="Calibri"/>
                <w:sz w:val="18"/>
                <w:szCs w:val="20"/>
              </w:rPr>
            </w:pPr>
            <w:r w:rsidRPr="00404DA5">
              <w:rPr>
                <w:rFonts w:cs="Calibri"/>
                <w:sz w:val="18"/>
                <w:szCs w:val="20"/>
              </w:rPr>
              <w:lastRenderedPageBreak/>
              <w:t>WP</w:t>
            </w:r>
          </w:p>
        </w:tc>
        <w:tc>
          <w:tcPr>
            <w:tcW w:w="0" w:type="auto"/>
            <w:shd w:val="clear" w:color="auto" w:fill="auto"/>
            <w:vAlign w:val="center"/>
          </w:tcPr>
          <w:p w14:paraId="6BF14C70" w14:textId="77777777" w:rsidR="00116CFB" w:rsidRPr="00AF5126" w:rsidRDefault="00116CFB" w:rsidP="004742DC">
            <w:pPr>
              <w:jc w:val="center"/>
              <w:rPr>
                <w:rFonts w:cs="Calibri"/>
                <w:sz w:val="18"/>
                <w:szCs w:val="20"/>
              </w:rPr>
            </w:pPr>
            <w:r w:rsidRPr="00404DA5">
              <w:rPr>
                <w:rFonts w:cs="Calibri"/>
                <w:color w:val="000000"/>
                <w:sz w:val="18"/>
                <w:szCs w:val="20"/>
              </w:rPr>
              <w:t>Ludność objęta ulepszonymi usługami zdrowotnymi</w:t>
            </w:r>
          </w:p>
        </w:tc>
        <w:tc>
          <w:tcPr>
            <w:tcW w:w="0" w:type="auto"/>
            <w:shd w:val="clear" w:color="auto" w:fill="auto"/>
            <w:vAlign w:val="center"/>
          </w:tcPr>
          <w:p w14:paraId="230E53CF" w14:textId="77777777" w:rsidR="00116CFB" w:rsidRPr="00AF5126" w:rsidRDefault="00116CFB" w:rsidP="004742DC">
            <w:pPr>
              <w:jc w:val="center"/>
              <w:rPr>
                <w:rFonts w:cs="Calibri"/>
                <w:sz w:val="18"/>
                <w:szCs w:val="20"/>
              </w:rPr>
            </w:pPr>
            <w:r w:rsidRPr="00404DA5">
              <w:rPr>
                <w:rFonts w:cs="Calibri"/>
                <w:sz w:val="18"/>
                <w:szCs w:val="20"/>
              </w:rPr>
              <w:t>74450</w:t>
            </w:r>
          </w:p>
        </w:tc>
        <w:tc>
          <w:tcPr>
            <w:tcW w:w="0" w:type="auto"/>
            <w:shd w:val="clear" w:color="auto" w:fill="auto"/>
            <w:vAlign w:val="center"/>
          </w:tcPr>
          <w:p w14:paraId="77B1EE0F" w14:textId="77777777" w:rsidR="00116CFB" w:rsidRPr="00AF5126" w:rsidRDefault="00116CFB" w:rsidP="004742DC">
            <w:pPr>
              <w:jc w:val="center"/>
              <w:rPr>
                <w:rFonts w:cs="Calibri"/>
                <w:sz w:val="18"/>
                <w:szCs w:val="20"/>
              </w:rPr>
            </w:pPr>
            <w:r w:rsidRPr="00404DA5">
              <w:rPr>
                <w:rFonts w:cs="Calibri"/>
                <w:sz w:val="18"/>
                <w:szCs w:val="20"/>
              </w:rPr>
              <w:t>1 681 000</w:t>
            </w:r>
          </w:p>
        </w:tc>
        <w:tc>
          <w:tcPr>
            <w:tcW w:w="0" w:type="auto"/>
            <w:shd w:val="clear" w:color="auto" w:fill="auto"/>
            <w:vAlign w:val="center"/>
          </w:tcPr>
          <w:p w14:paraId="0006A8B1" w14:textId="77777777" w:rsidR="00116CFB" w:rsidRPr="00AF5126" w:rsidRDefault="00116CFB" w:rsidP="004742DC">
            <w:pPr>
              <w:jc w:val="center"/>
              <w:rPr>
                <w:rFonts w:cs="Calibri"/>
                <w:sz w:val="18"/>
                <w:szCs w:val="20"/>
              </w:rPr>
            </w:pPr>
            <w:r w:rsidRPr="00404DA5">
              <w:rPr>
                <w:rFonts w:cs="Calibri"/>
                <w:sz w:val="18"/>
                <w:szCs w:val="20"/>
              </w:rPr>
              <w:t>2258%</w:t>
            </w:r>
          </w:p>
        </w:tc>
      </w:tr>
      <w:tr w:rsidR="00116CFB" w:rsidRPr="00B2711F" w14:paraId="180CFA3F" w14:textId="77777777" w:rsidTr="004742DC">
        <w:trPr>
          <w:trHeight w:val="1221"/>
        </w:trPr>
        <w:tc>
          <w:tcPr>
            <w:tcW w:w="0" w:type="auto"/>
            <w:shd w:val="clear" w:color="auto" w:fill="auto"/>
            <w:vAlign w:val="center"/>
          </w:tcPr>
          <w:p w14:paraId="143EA8A8" w14:textId="77777777" w:rsidR="00116CFB" w:rsidRPr="007F116A" w:rsidRDefault="00116CFB" w:rsidP="004742DC">
            <w:pPr>
              <w:jc w:val="center"/>
              <w:rPr>
                <w:rFonts w:cs="Calibri"/>
                <w:sz w:val="18"/>
                <w:szCs w:val="20"/>
              </w:rPr>
            </w:pPr>
            <w:r w:rsidRPr="00404DA5">
              <w:rPr>
                <w:rFonts w:cs="Calibri"/>
                <w:sz w:val="18"/>
                <w:szCs w:val="20"/>
              </w:rPr>
              <w:t>WR</w:t>
            </w:r>
          </w:p>
        </w:tc>
        <w:tc>
          <w:tcPr>
            <w:tcW w:w="0" w:type="auto"/>
            <w:shd w:val="clear" w:color="auto" w:fill="auto"/>
            <w:vAlign w:val="center"/>
          </w:tcPr>
          <w:p w14:paraId="42D8EE38" w14:textId="77777777" w:rsidR="00116CFB" w:rsidRPr="00AF5126" w:rsidRDefault="00116CFB" w:rsidP="004742DC">
            <w:pPr>
              <w:jc w:val="center"/>
              <w:rPr>
                <w:rFonts w:cs="Calibri"/>
                <w:sz w:val="18"/>
                <w:szCs w:val="20"/>
              </w:rPr>
            </w:pPr>
            <w:r w:rsidRPr="00404DA5">
              <w:rPr>
                <w:rFonts w:cs="Calibri"/>
                <w:color w:val="000000"/>
                <w:sz w:val="18"/>
                <w:szCs w:val="20"/>
              </w:rPr>
              <w:t>Liczba wspartych obiektów,</w:t>
            </w:r>
            <w:r w:rsidR="00E66B89">
              <w:rPr>
                <w:rFonts w:cs="Calibri"/>
                <w:color w:val="000000"/>
                <w:sz w:val="18"/>
                <w:szCs w:val="20"/>
              </w:rPr>
              <w:t xml:space="preserve"> w </w:t>
            </w:r>
            <w:r w:rsidRPr="00404DA5">
              <w:rPr>
                <w:rFonts w:cs="Calibri"/>
                <w:color w:val="000000"/>
                <w:sz w:val="18"/>
                <w:szCs w:val="20"/>
              </w:rPr>
              <w:t>których realizowane są usługi aktywizacji społeczno-zawodowej</w:t>
            </w:r>
          </w:p>
        </w:tc>
        <w:tc>
          <w:tcPr>
            <w:tcW w:w="0" w:type="auto"/>
            <w:shd w:val="clear" w:color="auto" w:fill="auto"/>
            <w:vAlign w:val="center"/>
          </w:tcPr>
          <w:p w14:paraId="1737C30A" w14:textId="77777777" w:rsidR="00116CFB" w:rsidRPr="00AF5126" w:rsidRDefault="00116CFB" w:rsidP="004742DC">
            <w:pPr>
              <w:jc w:val="center"/>
              <w:rPr>
                <w:rFonts w:cs="Calibri"/>
                <w:sz w:val="18"/>
                <w:szCs w:val="20"/>
              </w:rPr>
            </w:pPr>
            <w:r w:rsidRPr="00404DA5">
              <w:rPr>
                <w:rFonts w:cs="Calibri"/>
                <w:sz w:val="18"/>
                <w:szCs w:val="20"/>
              </w:rPr>
              <w:t>10</w:t>
            </w:r>
          </w:p>
        </w:tc>
        <w:tc>
          <w:tcPr>
            <w:tcW w:w="0" w:type="auto"/>
            <w:shd w:val="clear" w:color="auto" w:fill="auto"/>
            <w:vAlign w:val="center"/>
          </w:tcPr>
          <w:p w14:paraId="51421F16" w14:textId="77777777" w:rsidR="00116CFB" w:rsidRPr="00AF5126" w:rsidRDefault="00116CFB" w:rsidP="004742DC">
            <w:pPr>
              <w:jc w:val="center"/>
              <w:rPr>
                <w:rFonts w:cs="Calibri"/>
                <w:sz w:val="18"/>
                <w:szCs w:val="20"/>
              </w:rPr>
            </w:pPr>
            <w:r w:rsidRPr="00404DA5">
              <w:rPr>
                <w:rFonts w:cs="Calibri"/>
                <w:sz w:val="18"/>
                <w:szCs w:val="20"/>
              </w:rPr>
              <w:t>12</w:t>
            </w:r>
          </w:p>
        </w:tc>
        <w:tc>
          <w:tcPr>
            <w:tcW w:w="0" w:type="auto"/>
            <w:shd w:val="clear" w:color="auto" w:fill="auto"/>
            <w:vAlign w:val="center"/>
          </w:tcPr>
          <w:p w14:paraId="70AF81A1" w14:textId="77777777" w:rsidR="00116CFB" w:rsidRPr="00AF5126" w:rsidRDefault="00116CFB" w:rsidP="004742DC">
            <w:pPr>
              <w:jc w:val="center"/>
              <w:rPr>
                <w:rFonts w:cs="Calibri"/>
                <w:sz w:val="18"/>
                <w:szCs w:val="20"/>
              </w:rPr>
            </w:pPr>
            <w:r w:rsidRPr="00404DA5">
              <w:rPr>
                <w:rFonts w:cs="Calibri"/>
                <w:sz w:val="18"/>
                <w:szCs w:val="20"/>
              </w:rPr>
              <w:t>120%</w:t>
            </w:r>
          </w:p>
        </w:tc>
      </w:tr>
    </w:tbl>
    <w:p w14:paraId="44E906FF"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 xml:space="preserve">zawartych UoD na dzień 07.01.2019 r., obliczenia własne. </w:t>
      </w:r>
    </w:p>
    <w:p w14:paraId="3ABE42BF"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Możliwości zarządzania środkami rezerwy wykonania</w:t>
      </w:r>
      <w:r w:rsidR="00E66B89">
        <w:rPr>
          <w:rFonts w:ascii="Lato" w:eastAsia="Calibri" w:hAnsi="Lato"/>
          <w:szCs w:val="20"/>
        </w:rPr>
        <w:t xml:space="preserve"> i </w:t>
      </w:r>
      <w:r w:rsidRPr="004B371B">
        <w:rPr>
          <w:rFonts w:ascii="Lato" w:eastAsia="Calibri" w:hAnsi="Lato"/>
          <w:szCs w:val="20"/>
        </w:rPr>
        <w:t>identyfikacja obszarów wymagających interwencji - podsumowanie</w:t>
      </w:r>
    </w:p>
    <w:p w14:paraId="3013789F" w14:textId="77777777" w:rsidR="00116CFB" w:rsidRDefault="00116CFB" w:rsidP="00116CFB">
      <w:pPr>
        <w:pStyle w:val="evaluTresc"/>
        <w:rPr>
          <w:rFonts w:cs="Calibri"/>
        </w:rPr>
      </w:pPr>
      <w:r w:rsidRPr="00404DA5">
        <w:rPr>
          <w:rFonts w:cs="Calibri"/>
        </w:rPr>
        <w:t>W PI 9a prognozowane jest przekroczenie celów końcowych Działania 9.1</w:t>
      </w:r>
      <w:r w:rsidR="00E66B89">
        <w:rPr>
          <w:rFonts w:cs="Calibri"/>
        </w:rPr>
        <w:t xml:space="preserve"> i </w:t>
      </w:r>
      <w:r w:rsidRPr="00404DA5">
        <w:rPr>
          <w:rFonts w:cs="Calibri"/>
        </w:rPr>
        <w:t>Działania 9.2. Obecny stan kontraktacji pozwala na dalsze osiąganie wskaźników programowych Działania 9.1</w:t>
      </w:r>
      <w:r w:rsidR="00E66B89">
        <w:rPr>
          <w:rFonts w:cs="Calibri"/>
        </w:rPr>
        <w:t xml:space="preserve"> w </w:t>
      </w:r>
      <w:r w:rsidRPr="00404DA5">
        <w:rPr>
          <w:rFonts w:cs="Calibri"/>
        </w:rPr>
        <w:t>ramach pozostałej alokacji</w:t>
      </w:r>
      <w:r>
        <w:rPr>
          <w:rFonts w:cs="Calibri"/>
        </w:rPr>
        <w:t>,</w:t>
      </w:r>
      <w:r w:rsidR="00E66B89">
        <w:rPr>
          <w:rFonts w:cs="Calibri"/>
        </w:rPr>
        <w:t xml:space="preserve"> z </w:t>
      </w:r>
      <w:r>
        <w:rPr>
          <w:rFonts w:cs="Calibri"/>
        </w:rPr>
        <w:t>ograniczeniem do zidentyfikowanego projektu pozakonkursowego</w:t>
      </w:r>
      <w:r w:rsidR="00E66B89">
        <w:rPr>
          <w:rFonts w:cs="Calibri"/>
        </w:rPr>
        <w:t xml:space="preserve"> i </w:t>
      </w:r>
      <w:r>
        <w:rPr>
          <w:rFonts w:cs="Calibri"/>
        </w:rPr>
        <w:t>projektów</w:t>
      </w:r>
      <w:r w:rsidR="00E66B89">
        <w:rPr>
          <w:rFonts w:cs="Calibri"/>
        </w:rPr>
        <w:t xml:space="preserve"> z </w:t>
      </w:r>
      <w:r>
        <w:rPr>
          <w:rFonts w:cs="Calibri"/>
        </w:rPr>
        <w:t xml:space="preserve">listy rezerwowej </w:t>
      </w:r>
      <w:r w:rsidRPr="00404DA5">
        <w:rPr>
          <w:rFonts w:cs="Calibri"/>
        </w:rPr>
        <w:t>oraz brak możliwości przyrostu wskaźnika Działania 9.2</w:t>
      </w:r>
      <w:r w:rsidR="00E66B89">
        <w:rPr>
          <w:rFonts w:cs="Calibri"/>
        </w:rPr>
        <w:t xml:space="preserve"> w </w:t>
      </w:r>
      <w:r w:rsidRPr="00404DA5">
        <w:rPr>
          <w:rFonts w:cs="Calibri"/>
        </w:rPr>
        <w:t xml:space="preserve">obecnym kształcie Programu. PI 9a wykazuje wysoką wrażliwość na ewentualne zwiększenie dofinansowania ze względu na wysokie potrzeby regionu oraz wysoki potencjał aplikacyjny mierzony liczbą </w:t>
      </w:r>
      <w:r>
        <w:rPr>
          <w:rFonts w:cs="Calibri"/>
        </w:rPr>
        <w:t>WoD</w:t>
      </w:r>
      <w:r w:rsidRPr="00404DA5">
        <w:rPr>
          <w:rFonts w:cs="Calibri"/>
        </w:rPr>
        <w:t xml:space="preserve"> składanych</w:t>
      </w:r>
      <w:r w:rsidR="00E66B89">
        <w:rPr>
          <w:rFonts w:cs="Calibri"/>
        </w:rPr>
        <w:t xml:space="preserve"> w </w:t>
      </w:r>
      <w:r w:rsidRPr="00404DA5">
        <w:rPr>
          <w:rFonts w:cs="Calibri"/>
        </w:rPr>
        <w:t xml:space="preserve">dotychczasowych </w:t>
      </w:r>
      <w:r>
        <w:rPr>
          <w:rFonts w:cs="Calibri"/>
        </w:rPr>
        <w:t>konkursach</w:t>
      </w:r>
      <w:r w:rsidRPr="00404DA5">
        <w:rPr>
          <w:rFonts w:cs="Calibri"/>
        </w:rPr>
        <w:t>.</w:t>
      </w:r>
      <w:r>
        <w:rPr>
          <w:rFonts w:cs="Calibri"/>
        </w:rPr>
        <w:t xml:space="preserve"> Wniosek ten został potwierdzony podczas panelu ekspertów.</w:t>
      </w:r>
    </w:p>
    <w:p w14:paraId="7607406D" w14:textId="77777777" w:rsidR="00116CFB" w:rsidRDefault="00116CFB" w:rsidP="00116CFB">
      <w:pPr>
        <w:pStyle w:val="evaluTresc"/>
        <w:rPr>
          <w:rFonts w:cs="Calibri"/>
        </w:rPr>
      </w:pPr>
      <w:r>
        <w:rPr>
          <w:rFonts w:cs="Calibri"/>
        </w:rPr>
        <w:t xml:space="preserve">W dokumencie programowym jako główne typy projektów Działania 9.1. wskazano: a. </w:t>
      </w:r>
      <w:r w:rsidRPr="0043294F">
        <w:rPr>
          <w:rFonts w:cs="Calibri"/>
        </w:rPr>
        <w:t>dostosowani</w:t>
      </w:r>
      <w:r>
        <w:rPr>
          <w:rFonts w:cs="Calibri"/>
        </w:rPr>
        <w:t>e</w:t>
      </w:r>
      <w:r w:rsidRPr="0043294F">
        <w:rPr>
          <w:rFonts w:cs="Calibri"/>
        </w:rPr>
        <w:t xml:space="preserve"> infrastruktury</w:t>
      </w:r>
      <w:r w:rsidR="00E66B89">
        <w:rPr>
          <w:rFonts w:cs="Calibri"/>
        </w:rPr>
        <w:t xml:space="preserve"> i </w:t>
      </w:r>
      <w:r w:rsidRPr="0043294F">
        <w:rPr>
          <w:rFonts w:cs="Calibri"/>
        </w:rPr>
        <w:t>zakresu świadczeń ochrony zdrowia do istniejących potrzeb, zwłaszcza</w:t>
      </w:r>
      <w:r w:rsidR="00E66B89">
        <w:rPr>
          <w:rFonts w:cs="Calibri"/>
        </w:rPr>
        <w:t xml:space="preserve"> w </w:t>
      </w:r>
      <w:r w:rsidRPr="0043294F">
        <w:rPr>
          <w:rFonts w:cs="Calibri"/>
        </w:rPr>
        <w:t>obszarze opieki długoterminowej stacjonarnej</w:t>
      </w:r>
      <w:r w:rsidR="00E66B89">
        <w:rPr>
          <w:rFonts w:cs="Calibri"/>
        </w:rPr>
        <w:t xml:space="preserve"> i </w:t>
      </w:r>
      <w:r w:rsidRPr="0043294F">
        <w:rPr>
          <w:rFonts w:cs="Calibri"/>
        </w:rPr>
        <w:t>domowej, opieki paliatywno-hospicyjnej oraz rehabilitacji lecznicze</w:t>
      </w:r>
      <w:r>
        <w:rPr>
          <w:rFonts w:cs="Calibri"/>
        </w:rPr>
        <w:t xml:space="preserve">j, b. przeprofilowanie </w:t>
      </w:r>
      <w:r w:rsidRPr="0043294F">
        <w:rPr>
          <w:rFonts w:cs="Calibri"/>
        </w:rPr>
        <w:t>baz</w:t>
      </w:r>
      <w:r>
        <w:rPr>
          <w:rFonts w:cs="Calibri"/>
        </w:rPr>
        <w:t>y</w:t>
      </w:r>
      <w:r w:rsidRPr="0043294F">
        <w:rPr>
          <w:rFonts w:cs="Calibri"/>
        </w:rPr>
        <w:t xml:space="preserve"> łóżek szpitalnych na terenie województwa</w:t>
      </w:r>
      <w:r w:rsidR="00E66B89">
        <w:rPr>
          <w:rFonts w:cs="Calibri"/>
        </w:rPr>
        <w:t xml:space="preserve"> z </w:t>
      </w:r>
      <w:r>
        <w:rPr>
          <w:rFonts w:cs="Calibri"/>
        </w:rPr>
        <w:t>leczenia krótkoterminowego</w:t>
      </w:r>
      <w:r w:rsidRPr="0043294F">
        <w:rPr>
          <w:rFonts w:cs="Calibri"/>
        </w:rPr>
        <w:t xml:space="preserve"> na miejsca przeznaczone do opieki długoterminowej, rehabilitacji leczniczej, psychiatrii</w:t>
      </w:r>
      <w:r w:rsidR="00E66B89">
        <w:rPr>
          <w:rFonts w:cs="Calibri"/>
        </w:rPr>
        <w:t xml:space="preserve"> i </w:t>
      </w:r>
      <w:r w:rsidRPr="0043294F">
        <w:rPr>
          <w:rFonts w:cs="Calibri"/>
        </w:rPr>
        <w:t>geriatrii</w:t>
      </w:r>
      <w:r>
        <w:rPr>
          <w:rFonts w:cs="Calibri"/>
        </w:rPr>
        <w:t>, c. unowocześnienie bazy sprzętu medycznego</w:t>
      </w:r>
      <w:r w:rsidR="00E66B89">
        <w:rPr>
          <w:rFonts w:cs="Calibri"/>
        </w:rPr>
        <w:t xml:space="preserve"> w </w:t>
      </w:r>
      <w:r>
        <w:rPr>
          <w:rFonts w:cs="Calibri"/>
        </w:rPr>
        <w:t>zachodniopomorskich szpitalach. Analiza zakresu przedmiotowego realizowanych interwencji wskazuje na wdrażanie wszystkich typów projektów ujętych</w:t>
      </w:r>
      <w:r w:rsidR="00E66B89">
        <w:rPr>
          <w:rFonts w:cs="Calibri"/>
        </w:rPr>
        <w:t xml:space="preserve"> w </w:t>
      </w:r>
      <w:r>
        <w:rPr>
          <w:rFonts w:cs="Calibri"/>
        </w:rPr>
        <w:t>dokumencie programowym.</w:t>
      </w:r>
      <w:r w:rsidR="00E66B89">
        <w:rPr>
          <w:rFonts w:cs="Calibri"/>
        </w:rPr>
        <w:t xml:space="preserve"> W </w:t>
      </w:r>
      <w:r>
        <w:rPr>
          <w:rFonts w:cs="Calibri"/>
        </w:rPr>
        <w:t>przypadku Działania 9.2. założono, iż główne typy projektów odnosić się będą do: a. aranżowania</w:t>
      </w:r>
      <w:r w:rsidRPr="00A128E8">
        <w:rPr>
          <w:rFonts w:cs="Calibri"/>
        </w:rPr>
        <w:t xml:space="preserve"> obiektów</w:t>
      </w:r>
      <w:r w:rsidR="00E66B89">
        <w:rPr>
          <w:rFonts w:cs="Calibri"/>
        </w:rPr>
        <w:t xml:space="preserve"> z </w:t>
      </w:r>
      <w:r w:rsidRPr="00A128E8">
        <w:rPr>
          <w:rFonts w:cs="Calibri"/>
        </w:rPr>
        <w:t>przeznaczeniem na mieszkania dla usamodzielniających się wychowanków domów dziecka, dostosowani</w:t>
      </w:r>
      <w:r>
        <w:rPr>
          <w:rFonts w:cs="Calibri"/>
        </w:rPr>
        <w:t>a</w:t>
      </w:r>
      <w:r w:rsidRPr="00A128E8">
        <w:rPr>
          <w:rFonts w:cs="Calibri"/>
        </w:rPr>
        <w:t xml:space="preserve"> infrastruktury dla celów wsparcia na rzecz wychodzenia</w:t>
      </w:r>
      <w:r w:rsidR="00E66B89">
        <w:rPr>
          <w:rFonts w:cs="Calibri"/>
        </w:rPr>
        <w:t xml:space="preserve"> z </w:t>
      </w:r>
      <w:r w:rsidRPr="00A128E8">
        <w:rPr>
          <w:rFonts w:cs="Calibri"/>
        </w:rPr>
        <w:t>bezdomności, utworzeni</w:t>
      </w:r>
      <w:r>
        <w:rPr>
          <w:rFonts w:cs="Calibri"/>
        </w:rPr>
        <w:t>a</w:t>
      </w:r>
      <w:r w:rsidRPr="00A128E8">
        <w:rPr>
          <w:rFonts w:cs="Calibri"/>
        </w:rPr>
        <w:t xml:space="preserve"> regionalnego ośrodka wsparcia rodzin</w:t>
      </w:r>
      <w:r>
        <w:rPr>
          <w:rFonts w:cs="Calibri"/>
        </w:rPr>
        <w:t>, b. wsparcia ZAZ</w:t>
      </w:r>
      <w:r w:rsidRPr="00A128E8">
        <w:rPr>
          <w:rFonts w:cs="Calibri"/>
        </w:rPr>
        <w:t>, co poprawi dostępność do rynku pracy osób</w:t>
      </w:r>
      <w:r w:rsidR="00E66B89">
        <w:rPr>
          <w:rFonts w:cs="Calibri"/>
        </w:rPr>
        <w:t xml:space="preserve"> z </w:t>
      </w:r>
      <w:r w:rsidRPr="00A128E8">
        <w:rPr>
          <w:rFonts w:cs="Calibri"/>
        </w:rPr>
        <w:t>niepełnosprawnościami oraz będzie sprzyjało ich rehabilitacji zawodowej oraz społeczn</w:t>
      </w:r>
      <w:r>
        <w:rPr>
          <w:rFonts w:cs="Calibri"/>
        </w:rPr>
        <w:t>ej. Wszystkie te typy interwencji zostały ujęte</w:t>
      </w:r>
      <w:r w:rsidR="00E66B89">
        <w:rPr>
          <w:rFonts w:cs="Calibri"/>
        </w:rPr>
        <w:t xml:space="preserve"> w </w:t>
      </w:r>
      <w:r>
        <w:rPr>
          <w:rFonts w:cs="Calibri"/>
        </w:rPr>
        <w:t xml:space="preserve">realizowanych projektach. </w:t>
      </w:r>
    </w:p>
    <w:p w14:paraId="0F3F9F8B" w14:textId="77777777" w:rsidR="00116CFB" w:rsidRPr="000A135E" w:rsidRDefault="00116CFB" w:rsidP="00116CFB">
      <w:pPr>
        <w:pStyle w:val="evaluTresc"/>
      </w:pPr>
      <w:r w:rsidRPr="000A135E">
        <w:t>Biorąc pod uwagę obecny stan wdrażania Programu zaleca się modyfikację wartości docelowych wszystkich wskaźników programowych PI 9a</w:t>
      </w:r>
      <w:r w:rsidRPr="000A135E">
        <w:rPr>
          <w:rFonts w:cs="Calibri"/>
          <w:color w:val="000000"/>
        </w:rPr>
        <w:t>. Uzasadnieniem proponowanej zmiany jest opóźnienie kontraktacji</w:t>
      </w:r>
      <w:r w:rsidR="00E66B89">
        <w:rPr>
          <w:rFonts w:cs="Calibri"/>
          <w:color w:val="000000"/>
        </w:rPr>
        <w:t xml:space="preserve"> w </w:t>
      </w:r>
      <w:r w:rsidRPr="000A135E">
        <w:rPr>
          <w:rFonts w:cs="Calibri"/>
          <w:color w:val="000000"/>
        </w:rPr>
        <w:t>Działaniu 9.1.</w:t>
      </w:r>
      <w:r>
        <w:rPr>
          <w:rFonts w:cs="Calibri"/>
          <w:color w:val="000000"/>
        </w:rPr>
        <w:t>,</w:t>
      </w:r>
      <w:r w:rsidRPr="000A135E">
        <w:rPr>
          <w:rFonts w:cs="Calibri"/>
          <w:color w:val="000000"/>
        </w:rPr>
        <w:t xml:space="preserve"> skutkujące mniejszą niż zakładana na etapie programowania skalą jednostkowego wsparcia</w:t>
      </w:r>
      <w:r>
        <w:rPr>
          <w:rFonts w:cs="Calibri"/>
          <w:color w:val="000000"/>
        </w:rPr>
        <w:t>. To</w:t>
      </w:r>
      <w:r w:rsidR="00E66B89">
        <w:rPr>
          <w:rFonts w:cs="Calibri"/>
          <w:color w:val="000000"/>
        </w:rPr>
        <w:t xml:space="preserve"> z </w:t>
      </w:r>
      <w:r>
        <w:rPr>
          <w:rFonts w:cs="Calibri"/>
          <w:color w:val="000000"/>
        </w:rPr>
        <w:t xml:space="preserve">kolei skutkuje </w:t>
      </w:r>
      <w:r w:rsidRPr="000A135E">
        <w:rPr>
          <w:rFonts w:cs="Calibri"/>
          <w:color w:val="000000"/>
        </w:rPr>
        <w:t>niższymi kosztami jednostkowymi oraz wyższym niż zakładano zainteresowaniem beneficjentów pozyskiwaniem wsparci</w:t>
      </w:r>
      <w:r>
        <w:rPr>
          <w:rFonts w:cs="Calibri"/>
          <w:color w:val="000000"/>
        </w:rPr>
        <w:t>a</w:t>
      </w:r>
      <w:r w:rsidR="00E66B89">
        <w:rPr>
          <w:rFonts w:cs="Calibri"/>
          <w:color w:val="000000"/>
        </w:rPr>
        <w:t xml:space="preserve"> w </w:t>
      </w:r>
      <w:r w:rsidRPr="000A135E">
        <w:rPr>
          <w:rFonts w:cs="Calibri"/>
          <w:color w:val="000000"/>
        </w:rPr>
        <w:t xml:space="preserve">typie działania generującym wskaźnik produktu </w:t>
      </w:r>
      <w:r w:rsidRPr="008B706B">
        <w:rPr>
          <w:rFonts w:cs="Calibri"/>
          <w:i/>
          <w:color w:val="000000"/>
        </w:rPr>
        <w:t>Liczba wspartych obiektów,</w:t>
      </w:r>
      <w:r w:rsidR="00E66B89">
        <w:rPr>
          <w:rFonts w:cs="Calibri"/>
          <w:i/>
          <w:color w:val="000000"/>
        </w:rPr>
        <w:t xml:space="preserve"> w </w:t>
      </w:r>
      <w:r w:rsidRPr="008B706B">
        <w:rPr>
          <w:rFonts w:cs="Calibri"/>
          <w:i/>
          <w:color w:val="000000"/>
        </w:rPr>
        <w:t>których realizowane są usługi aktywizacji społeczno-zawodowej</w:t>
      </w:r>
      <w:r w:rsidRPr="00F45520">
        <w:rPr>
          <w:rFonts w:cs="Calibri"/>
          <w:color w:val="000000"/>
        </w:rPr>
        <w:t xml:space="preserve">. Propozycja modyfikacji wskaźnika rezultatu </w:t>
      </w:r>
      <w:r w:rsidRPr="008B706B">
        <w:rPr>
          <w:rFonts w:cs="Calibri"/>
          <w:i/>
          <w:color w:val="000000"/>
        </w:rPr>
        <w:t>Ludność objęta ulepszonymi usługami zdrowotnymi</w:t>
      </w:r>
      <w:r w:rsidRPr="00F45520">
        <w:rPr>
          <w:rFonts w:cs="Calibri"/>
          <w:color w:val="000000"/>
        </w:rPr>
        <w:t xml:space="preserve"> wynika</w:t>
      </w:r>
      <w:r w:rsidR="00E66B89">
        <w:rPr>
          <w:rFonts w:cs="Calibri"/>
          <w:color w:val="000000"/>
        </w:rPr>
        <w:t xml:space="preserve"> z </w:t>
      </w:r>
      <w:r w:rsidRPr="00F45520">
        <w:rPr>
          <w:rFonts w:cs="Calibri"/>
          <w:color w:val="000000"/>
        </w:rPr>
        <w:t>jego niejednoznaczności definicyjnej</w:t>
      </w:r>
      <w:r>
        <w:rPr>
          <w:rFonts w:cs="Calibri"/>
          <w:color w:val="000000"/>
        </w:rPr>
        <w:t>,</w:t>
      </w:r>
      <w:r w:rsidRPr="00F45520">
        <w:rPr>
          <w:rFonts w:cs="Calibri"/>
          <w:color w:val="000000"/>
        </w:rPr>
        <w:t xml:space="preserve"> uniemożliwiającej jego</w:t>
      </w:r>
      <w:r w:rsidRPr="000A135E">
        <w:rPr>
          <w:rFonts w:cs="Calibri"/>
          <w:color w:val="000000"/>
        </w:rPr>
        <w:t xml:space="preserve"> agregowanie do wartości docelowej</w:t>
      </w:r>
      <w:r w:rsidR="00E66B89">
        <w:rPr>
          <w:rFonts w:cs="Calibri"/>
          <w:color w:val="000000"/>
        </w:rPr>
        <w:t xml:space="preserve"> z </w:t>
      </w:r>
      <w:r w:rsidRPr="000A135E">
        <w:rPr>
          <w:rFonts w:cs="Calibri"/>
          <w:color w:val="000000"/>
        </w:rPr>
        <w:t xml:space="preserve">poziomu pojedynczych projektów. </w:t>
      </w:r>
    </w:p>
    <w:p w14:paraId="16D85A69" w14:textId="77777777" w:rsidR="00116CFB" w:rsidRPr="000A135E" w:rsidRDefault="00116CFB" w:rsidP="00AF481E">
      <w:pPr>
        <w:pStyle w:val="Legenda"/>
        <w:spacing w:after="0"/>
      </w:pPr>
      <w:bookmarkStart w:id="345" w:name="_Toc8824259"/>
      <w:r w:rsidRPr="000A135E">
        <w:lastRenderedPageBreak/>
        <w:t xml:space="preserve">Tabela </w:t>
      </w:r>
      <w:r>
        <w:fldChar w:fldCharType="begin"/>
      </w:r>
      <w:r>
        <w:instrText xml:space="preserve"> SEQ Tabela \* ARABIC </w:instrText>
      </w:r>
      <w:r>
        <w:fldChar w:fldCharType="separate"/>
      </w:r>
      <w:r w:rsidR="00763345">
        <w:rPr>
          <w:noProof/>
        </w:rPr>
        <w:t>148</w:t>
      </w:r>
      <w:r>
        <w:fldChar w:fldCharType="end"/>
      </w:r>
      <w:r w:rsidRPr="000A135E">
        <w:t xml:space="preserve"> Wskaźniki wymagające zmiany wartości – PI 9a</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219"/>
        <w:gridCol w:w="1234"/>
        <w:gridCol w:w="2466"/>
        <w:gridCol w:w="2011"/>
      </w:tblGrid>
      <w:tr w:rsidR="00116CFB" w:rsidRPr="00B2711F" w14:paraId="6A791E29" w14:textId="77777777" w:rsidTr="00C22C26">
        <w:trPr>
          <w:tblHeader/>
        </w:trPr>
        <w:tc>
          <w:tcPr>
            <w:tcW w:w="0" w:type="auto"/>
            <w:shd w:val="clear" w:color="auto" w:fill="DBE5F1"/>
          </w:tcPr>
          <w:p w14:paraId="0511297E" w14:textId="77777777" w:rsidR="00116CFB" w:rsidRPr="00AF5126" w:rsidRDefault="00116CFB" w:rsidP="004742DC">
            <w:pPr>
              <w:jc w:val="center"/>
              <w:rPr>
                <w:rFonts w:cs="Calibri"/>
                <w:sz w:val="18"/>
                <w:szCs w:val="20"/>
              </w:rPr>
            </w:pPr>
            <w:r w:rsidRPr="00AF5126">
              <w:rPr>
                <w:rFonts w:cs="Calibri"/>
                <w:sz w:val="18"/>
                <w:szCs w:val="20"/>
              </w:rPr>
              <w:t>Typ wskaźnika</w:t>
            </w:r>
          </w:p>
        </w:tc>
        <w:tc>
          <w:tcPr>
            <w:tcW w:w="0" w:type="auto"/>
            <w:shd w:val="clear" w:color="auto" w:fill="DBE5F1"/>
          </w:tcPr>
          <w:p w14:paraId="7E7174DA" w14:textId="77777777" w:rsidR="00116CFB" w:rsidRPr="00AF5126" w:rsidRDefault="00116CFB" w:rsidP="004742DC">
            <w:pPr>
              <w:jc w:val="center"/>
              <w:rPr>
                <w:rFonts w:cs="Calibri"/>
                <w:sz w:val="18"/>
                <w:szCs w:val="20"/>
              </w:rPr>
            </w:pPr>
            <w:r w:rsidRPr="00AF5126">
              <w:rPr>
                <w:rFonts w:cs="Calibri"/>
                <w:sz w:val="18"/>
                <w:szCs w:val="20"/>
              </w:rPr>
              <w:t>Wskaźnik</w:t>
            </w:r>
          </w:p>
        </w:tc>
        <w:tc>
          <w:tcPr>
            <w:tcW w:w="0" w:type="auto"/>
            <w:shd w:val="clear" w:color="auto" w:fill="DBE5F1"/>
          </w:tcPr>
          <w:p w14:paraId="619CC43B" w14:textId="77777777" w:rsidR="00116CFB" w:rsidRPr="00AF5126" w:rsidRDefault="00116CFB" w:rsidP="004742DC">
            <w:pPr>
              <w:jc w:val="center"/>
              <w:rPr>
                <w:rFonts w:cs="Calibri"/>
                <w:sz w:val="18"/>
                <w:szCs w:val="20"/>
              </w:rPr>
            </w:pPr>
            <w:r w:rsidRPr="00AF5126">
              <w:rPr>
                <w:rFonts w:cs="Calibri"/>
                <w:sz w:val="18"/>
                <w:szCs w:val="20"/>
              </w:rPr>
              <w:t>Jednostka pomiaru</w:t>
            </w:r>
          </w:p>
        </w:tc>
        <w:tc>
          <w:tcPr>
            <w:tcW w:w="0" w:type="auto"/>
            <w:shd w:val="clear" w:color="auto" w:fill="DBE5F1"/>
          </w:tcPr>
          <w:p w14:paraId="56210125" w14:textId="77777777" w:rsidR="00116CFB" w:rsidRPr="00AF5126" w:rsidRDefault="00116CFB" w:rsidP="004742DC">
            <w:pPr>
              <w:jc w:val="center"/>
              <w:rPr>
                <w:rFonts w:cs="Calibri"/>
                <w:sz w:val="18"/>
                <w:szCs w:val="20"/>
              </w:rPr>
            </w:pPr>
            <w:r w:rsidRPr="00AF5126">
              <w:rPr>
                <w:rFonts w:cs="Calibri"/>
                <w:sz w:val="18"/>
                <w:szCs w:val="20"/>
              </w:rPr>
              <w:t>Wartość docelowa na koniec 2023 r. (określona</w:t>
            </w:r>
            <w:r w:rsidR="00E66B89">
              <w:rPr>
                <w:rFonts w:cs="Calibri"/>
                <w:sz w:val="18"/>
                <w:szCs w:val="20"/>
              </w:rPr>
              <w:t xml:space="preserve"> w </w:t>
            </w:r>
            <w:r w:rsidRPr="00AF5126">
              <w:rPr>
                <w:rFonts w:cs="Calibri"/>
                <w:sz w:val="18"/>
                <w:szCs w:val="20"/>
              </w:rPr>
              <w:t>Programie)</w:t>
            </w:r>
          </w:p>
        </w:tc>
        <w:tc>
          <w:tcPr>
            <w:tcW w:w="0" w:type="auto"/>
            <w:shd w:val="clear" w:color="auto" w:fill="DBE5F1"/>
          </w:tcPr>
          <w:p w14:paraId="4B35CFFE" w14:textId="77777777" w:rsidR="00116CFB" w:rsidRPr="006558FF" w:rsidRDefault="00116CFB" w:rsidP="004742DC">
            <w:pPr>
              <w:jc w:val="center"/>
              <w:rPr>
                <w:rFonts w:cs="Calibri"/>
                <w:sz w:val="18"/>
                <w:szCs w:val="20"/>
              </w:rPr>
            </w:pPr>
            <w:r w:rsidRPr="007F116A">
              <w:rPr>
                <w:rFonts w:cs="Calibri"/>
                <w:sz w:val="16"/>
                <w:szCs w:val="16"/>
              </w:rPr>
              <w:t>Proponowana wartość docelowa na koniec 2023 r.</w:t>
            </w:r>
          </w:p>
        </w:tc>
      </w:tr>
      <w:tr w:rsidR="00116CFB" w:rsidRPr="00B2711F" w14:paraId="7081F23D" w14:textId="77777777" w:rsidTr="004742DC">
        <w:tc>
          <w:tcPr>
            <w:tcW w:w="0" w:type="auto"/>
            <w:shd w:val="clear" w:color="auto" w:fill="auto"/>
            <w:vAlign w:val="center"/>
          </w:tcPr>
          <w:p w14:paraId="4386F166" w14:textId="77777777" w:rsidR="00116CFB" w:rsidRPr="00AF5126" w:rsidRDefault="00116CFB" w:rsidP="004742DC">
            <w:pPr>
              <w:jc w:val="center"/>
              <w:rPr>
                <w:rFonts w:cs="Calibri"/>
                <w:sz w:val="18"/>
                <w:szCs w:val="20"/>
              </w:rPr>
            </w:pPr>
            <w:r w:rsidRPr="00404DA5">
              <w:rPr>
                <w:rFonts w:cs="Calibri"/>
                <w:sz w:val="18"/>
                <w:szCs w:val="20"/>
              </w:rPr>
              <w:t>WR</w:t>
            </w:r>
          </w:p>
        </w:tc>
        <w:tc>
          <w:tcPr>
            <w:tcW w:w="0" w:type="auto"/>
            <w:shd w:val="clear" w:color="auto" w:fill="auto"/>
            <w:vAlign w:val="center"/>
          </w:tcPr>
          <w:p w14:paraId="2AE79C1D" w14:textId="77777777" w:rsidR="00116CFB" w:rsidRPr="00AF5126" w:rsidRDefault="00116CFB" w:rsidP="004742DC">
            <w:pPr>
              <w:jc w:val="center"/>
              <w:rPr>
                <w:rFonts w:cs="Calibri"/>
                <w:sz w:val="18"/>
                <w:szCs w:val="20"/>
              </w:rPr>
            </w:pPr>
            <w:r w:rsidRPr="00404DA5">
              <w:rPr>
                <w:rFonts w:cs="Calibri"/>
                <w:color w:val="000000"/>
                <w:sz w:val="18"/>
                <w:szCs w:val="20"/>
              </w:rPr>
              <w:t>Ludność objęta ulepszonymi usługami zdrowotnymi</w:t>
            </w:r>
          </w:p>
        </w:tc>
        <w:tc>
          <w:tcPr>
            <w:tcW w:w="0" w:type="auto"/>
            <w:shd w:val="clear" w:color="auto" w:fill="auto"/>
            <w:vAlign w:val="center"/>
          </w:tcPr>
          <w:p w14:paraId="125CD802" w14:textId="77777777" w:rsidR="00116CFB" w:rsidRPr="00AF5126" w:rsidRDefault="00116CFB" w:rsidP="004742DC">
            <w:pPr>
              <w:jc w:val="center"/>
              <w:rPr>
                <w:rFonts w:cs="Calibri"/>
                <w:sz w:val="18"/>
                <w:szCs w:val="20"/>
              </w:rPr>
            </w:pPr>
            <w:r>
              <w:rPr>
                <w:rFonts w:eastAsia="Calibri" w:cs="Calibri"/>
                <w:sz w:val="18"/>
                <w:szCs w:val="20"/>
              </w:rPr>
              <w:t>o</w:t>
            </w:r>
            <w:r w:rsidRPr="00404DA5">
              <w:rPr>
                <w:rFonts w:eastAsia="Calibri" w:cs="Calibri"/>
                <w:sz w:val="18"/>
                <w:szCs w:val="20"/>
              </w:rPr>
              <w:t>s.</w:t>
            </w:r>
          </w:p>
        </w:tc>
        <w:tc>
          <w:tcPr>
            <w:tcW w:w="0" w:type="auto"/>
            <w:shd w:val="clear" w:color="auto" w:fill="auto"/>
            <w:vAlign w:val="center"/>
          </w:tcPr>
          <w:p w14:paraId="0ED7858B" w14:textId="77777777" w:rsidR="00116CFB" w:rsidRPr="00AF5126" w:rsidRDefault="00116CFB" w:rsidP="004742DC">
            <w:pPr>
              <w:jc w:val="center"/>
              <w:rPr>
                <w:rFonts w:cs="Calibri"/>
                <w:sz w:val="18"/>
                <w:szCs w:val="20"/>
              </w:rPr>
            </w:pPr>
            <w:r w:rsidRPr="00404DA5">
              <w:rPr>
                <w:rFonts w:cs="Calibri"/>
                <w:sz w:val="18"/>
                <w:szCs w:val="20"/>
              </w:rPr>
              <w:t>74</w:t>
            </w:r>
            <w:r>
              <w:rPr>
                <w:rFonts w:cs="Calibri"/>
                <w:sz w:val="18"/>
                <w:szCs w:val="20"/>
              </w:rPr>
              <w:t xml:space="preserve"> </w:t>
            </w:r>
            <w:r w:rsidRPr="00404DA5">
              <w:rPr>
                <w:rFonts w:cs="Calibri"/>
                <w:sz w:val="18"/>
                <w:szCs w:val="20"/>
              </w:rPr>
              <w:t>450</w:t>
            </w:r>
          </w:p>
        </w:tc>
        <w:tc>
          <w:tcPr>
            <w:tcW w:w="0" w:type="auto"/>
            <w:shd w:val="clear" w:color="auto" w:fill="auto"/>
            <w:vAlign w:val="center"/>
          </w:tcPr>
          <w:p w14:paraId="7D2ADD8A" w14:textId="77777777" w:rsidR="00116CFB" w:rsidRPr="007F116A" w:rsidRDefault="00116CFB" w:rsidP="004742DC">
            <w:pPr>
              <w:jc w:val="center"/>
              <w:rPr>
                <w:rFonts w:cs="Calibri"/>
                <w:sz w:val="16"/>
                <w:szCs w:val="16"/>
              </w:rPr>
            </w:pPr>
            <w:r w:rsidRPr="00404DA5">
              <w:rPr>
                <w:rFonts w:cs="Calibri"/>
                <w:sz w:val="18"/>
                <w:szCs w:val="20"/>
              </w:rPr>
              <w:t>1 681 000</w:t>
            </w:r>
          </w:p>
        </w:tc>
      </w:tr>
    </w:tbl>
    <w:p w14:paraId="4436F8C8"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analizy własne.</w:t>
      </w:r>
    </w:p>
    <w:p w14:paraId="0BF2FCC8" w14:textId="77777777" w:rsidR="00116CFB" w:rsidRDefault="00116CFB" w:rsidP="00116CFB">
      <w:pPr>
        <w:pStyle w:val="Nagwek3"/>
      </w:pPr>
      <w:r w:rsidRPr="00801DB4">
        <w:t>Priorytet inwestycyjny nr</w:t>
      </w:r>
      <w:r>
        <w:t xml:space="preserve"> 9b (Działanie 9.3)</w:t>
      </w:r>
    </w:p>
    <w:p w14:paraId="03D83C42"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Ocena postępów</w:t>
      </w:r>
      <w:r w:rsidR="00E66B89">
        <w:rPr>
          <w:rFonts w:ascii="Lato" w:eastAsia="Calibri" w:hAnsi="Lato"/>
          <w:szCs w:val="20"/>
        </w:rPr>
        <w:t xml:space="preserve"> w </w:t>
      </w:r>
      <w:r w:rsidRPr="004B371B">
        <w:rPr>
          <w:rFonts w:ascii="Lato" w:eastAsia="Calibri" w:hAnsi="Lato"/>
          <w:szCs w:val="20"/>
        </w:rPr>
        <w:t>realizacji PI 9b</w:t>
      </w:r>
    </w:p>
    <w:p w14:paraId="198C5AEA" w14:textId="77777777" w:rsidR="00116CFB" w:rsidRPr="000A135E" w:rsidRDefault="00116CFB" w:rsidP="00116CFB">
      <w:pPr>
        <w:pStyle w:val="evaluTresc"/>
      </w:pPr>
      <w:r w:rsidRPr="000A135E">
        <w:t>Wsparcie</w:t>
      </w:r>
      <w:r w:rsidR="00E66B89">
        <w:t xml:space="preserve"> w </w:t>
      </w:r>
      <w:r w:rsidRPr="000A135E">
        <w:t>obszarze rewitalizacji realizowane jest wyłącznie</w:t>
      </w:r>
      <w:r w:rsidR="00E66B89">
        <w:t xml:space="preserve"> w </w:t>
      </w:r>
      <w:r w:rsidRPr="000A135E">
        <w:t>trybie konkursowym</w:t>
      </w:r>
      <w:r w:rsidR="00E66B89">
        <w:t xml:space="preserve"> w </w:t>
      </w:r>
      <w:r w:rsidRPr="000A135E">
        <w:t>ramach Działania 9.3. Do dnia 31.12.2018 roku zakończono dwa nabory,</w:t>
      </w:r>
      <w:r w:rsidR="00E66B89">
        <w:t xml:space="preserve"> w </w:t>
      </w:r>
      <w:r w:rsidRPr="000A135E">
        <w:t>których rozstrzygnięto tylko jeden, ogłoszony pod koniec 2017 roku. Wybrano do dofinansowania 48 projektów. Do dnia 31.12.2018 roku podpisano 30 umów</w:t>
      </w:r>
      <w:r w:rsidR="00E66B89">
        <w:t xml:space="preserve"> o </w:t>
      </w:r>
      <w:r w:rsidRPr="000A135E">
        <w:t>dofinansowanie projektu. Łącznie zakontraktowano 32% zaplanowanej alokacji. Kolejny konkurs ogłoszono</w:t>
      </w:r>
      <w:r w:rsidR="00E66B89">
        <w:t xml:space="preserve"> w </w:t>
      </w:r>
      <w:r w:rsidRPr="000A135E">
        <w:t xml:space="preserve">październiku 2018 roku. Nie został on zakończony do dnia 31.12.2018 roku. </w:t>
      </w:r>
    </w:p>
    <w:p w14:paraId="3888798E" w14:textId="77777777" w:rsidR="00116CFB" w:rsidRPr="000A135E" w:rsidRDefault="00116CFB" w:rsidP="00116CFB">
      <w:pPr>
        <w:pStyle w:val="evaluTresc"/>
      </w:pPr>
      <w:r w:rsidRPr="000A135E">
        <w:t>W realizowanych projektach założono zrewitalizowanie 22,28 ha obszarów miejskich</w:t>
      </w:r>
      <w:r w:rsidR="00E66B89">
        <w:t xml:space="preserve"> i </w:t>
      </w:r>
      <w:r w:rsidRPr="000A135E">
        <w:t xml:space="preserve">wiejskich, co stanowi 153,2% wartości docelowej wskaźnika </w:t>
      </w:r>
      <w:r w:rsidRPr="008B706B">
        <w:rPr>
          <w:i/>
        </w:rPr>
        <w:t>Powierzchnia obszarów objętych rewitalizacją</w:t>
      </w:r>
      <w:r w:rsidRPr="000A135E">
        <w:t xml:space="preserve"> na poziomie Programu. Kolejny wskaźnik programowy </w:t>
      </w:r>
      <w:r w:rsidRPr="008B706B">
        <w:rPr>
          <w:i/>
        </w:rPr>
        <w:t>Liczba obiektów infrastruktury zlokalizowanych na rewitalizowanych obszarach</w:t>
      </w:r>
      <w:r w:rsidRPr="000A135E">
        <w:t xml:space="preserve"> został zaplanowany do osiągnięcia</w:t>
      </w:r>
      <w:r w:rsidR="00E66B89">
        <w:t xml:space="preserve"> w </w:t>
      </w:r>
      <w:r w:rsidRPr="000A135E">
        <w:t>wysokości 78 sztuk, co stanowi 48,8% jego wartości docelowej. Tempo przyrostu przedmiotowego wskaźnika jest przy tym wyższe od tempa kontraktacji alokacji. Wskazuje to na potencjał przekroczenia celu końcowego na koniec okresu programowania.</w:t>
      </w:r>
    </w:p>
    <w:p w14:paraId="66AC1F6A" w14:textId="77777777" w:rsidR="00116CFB" w:rsidRPr="000A135E" w:rsidRDefault="00116CFB" w:rsidP="00116CFB">
      <w:pPr>
        <w:pStyle w:val="evaluTresc"/>
        <w:rPr>
          <w:color w:val="000000"/>
        </w:rPr>
      </w:pPr>
      <w:r w:rsidRPr="000A135E">
        <w:t>Jak wspomniano</w:t>
      </w:r>
      <w:r w:rsidR="00E66B89">
        <w:t xml:space="preserve"> w </w:t>
      </w:r>
      <w:r w:rsidRPr="000A135E">
        <w:t>rozdziale poświęconym ocenie stopnia realizacji Ram Wykonania</w:t>
      </w:r>
      <w:r>
        <w:t>,</w:t>
      </w:r>
      <w:r w:rsidRPr="000A135E">
        <w:t xml:space="preserve"> wyższy niż oczekiwany stopień</w:t>
      </w:r>
      <w:r>
        <w:t xml:space="preserve"> -</w:t>
      </w:r>
      <w:r w:rsidRPr="000A135E">
        <w:t xml:space="preserve"> zakładanego</w:t>
      </w:r>
      <w:r w:rsidR="00E66B89">
        <w:t xml:space="preserve"> w </w:t>
      </w:r>
      <w:r w:rsidRPr="000A135E">
        <w:t>projektach</w:t>
      </w:r>
      <w:r>
        <w:t xml:space="preserve"> -</w:t>
      </w:r>
      <w:r w:rsidRPr="000A135E">
        <w:t xml:space="preserve"> przyrostu wskaźników programowych wynika</w:t>
      </w:r>
      <w:r w:rsidR="00E66B89">
        <w:t xml:space="preserve"> z </w:t>
      </w:r>
      <w:r>
        <w:t>mniejszej skali inwestycji remontowych</w:t>
      </w:r>
      <w:r w:rsidR="00E66B89">
        <w:t xml:space="preserve"> w </w:t>
      </w:r>
      <w:r>
        <w:t>jednym obiekcie</w:t>
      </w:r>
      <w:r w:rsidR="00E66B89">
        <w:t xml:space="preserve"> w </w:t>
      </w:r>
      <w:r>
        <w:t>bieżącej perspektywie finansowej,</w:t>
      </w:r>
      <w:r w:rsidR="00E66B89">
        <w:t xml:space="preserve"> w </w:t>
      </w:r>
      <w:r>
        <w:t>porównaniu do poprzedniego okresu programowania, stanowiącego podstawę szacunków wartości docelowych wskaźników.</w:t>
      </w:r>
      <w:r w:rsidR="00E66B89">
        <w:t xml:space="preserve"> W </w:t>
      </w:r>
      <w:r w:rsidRPr="000A135E">
        <w:t>pierwszym rzędzie należy wskazać, iż średni koszt jednostkowy wsparcia 1 ha powierzchni rewitalizowanej</w:t>
      </w:r>
      <w:r w:rsidR="00E66B89">
        <w:t xml:space="preserve"> w </w:t>
      </w:r>
      <w:r w:rsidRPr="000A135E">
        <w:t xml:space="preserve">założeniach programowych stanowić miał </w:t>
      </w:r>
      <w:r w:rsidRPr="00F55F85">
        <w:rPr>
          <w:rFonts w:cs="Calibri"/>
        </w:rPr>
        <w:t>8 843</w:t>
      </w:r>
      <w:r>
        <w:rPr>
          <w:rFonts w:cs="Calibri"/>
        </w:rPr>
        <w:t> </w:t>
      </w:r>
      <w:r w:rsidRPr="00F55F85">
        <w:rPr>
          <w:rFonts w:cs="Calibri"/>
        </w:rPr>
        <w:t>945</w:t>
      </w:r>
      <w:r>
        <w:rPr>
          <w:rFonts w:cs="Calibri"/>
        </w:rPr>
        <w:t xml:space="preserve"> </w:t>
      </w:r>
      <w:r w:rsidRPr="000A135E">
        <w:rPr>
          <w:color w:val="000000"/>
        </w:rPr>
        <w:t>zł, podczas gdy</w:t>
      </w:r>
      <w:r w:rsidR="00E66B89">
        <w:rPr>
          <w:color w:val="000000"/>
        </w:rPr>
        <w:t xml:space="preserve"> w </w:t>
      </w:r>
      <w:r w:rsidRPr="000A135E">
        <w:rPr>
          <w:color w:val="000000"/>
        </w:rPr>
        <w:t>realizowanych projektach beneficjenci oszacowali go na 2 396 596,48 zł. Podobnie też wsparcie jednego obiektu infrastruktury oszacowane</w:t>
      </w:r>
      <w:r w:rsidR="00E66B89">
        <w:rPr>
          <w:color w:val="000000"/>
        </w:rPr>
        <w:t xml:space="preserve"> w </w:t>
      </w:r>
      <w:r w:rsidRPr="000A135E">
        <w:rPr>
          <w:color w:val="000000"/>
        </w:rPr>
        <w:t xml:space="preserve">2014 roku na poziomie </w:t>
      </w:r>
      <w:r w:rsidRPr="00F55F85">
        <w:rPr>
          <w:rFonts w:cs="Calibri"/>
        </w:rPr>
        <w:t xml:space="preserve">793 381,24 </w:t>
      </w:r>
      <w:r w:rsidRPr="000A135E">
        <w:rPr>
          <w:color w:val="000000"/>
        </w:rPr>
        <w:t>zł,</w:t>
      </w:r>
      <w:r w:rsidR="00E66B89">
        <w:rPr>
          <w:color w:val="000000"/>
        </w:rPr>
        <w:t xml:space="preserve"> w </w:t>
      </w:r>
      <w:r w:rsidRPr="000A135E">
        <w:rPr>
          <w:color w:val="000000"/>
        </w:rPr>
        <w:t>realizowanych projektach odbywa się przy koszcie 626 156,24 zł. Zgodnie</w:t>
      </w:r>
      <w:r w:rsidR="00E66B89">
        <w:rPr>
          <w:color w:val="000000"/>
        </w:rPr>
        <w:t xml:space="preserve"> z </w:t>
      </w:r>
      <w:r w:rsidRPr="000A135E">
        <w:rPr>
          <w:color w:val="000000"/>
        </w:rPr>
        <w:t>wytycznymi – celem wsparcia</w:t>
      </w:r>
      <w:r w:rsidR="00E66B89">
        <w:rPr>
          <w:color w:val="000000"/>
        </w:rPr>
        <w:t xml:space="preserve"> w </w:t>
      </w:r>
      <w:r w:rsidRPr="000A135E">
        <w:rPr>
          <w:color w:val="000000"/>
        </w:rPr>
        <w:t>latach 2014-2020</w:t>
      </w:r>
      <w:r>
        <w:rPr>
          <w:color w:val="000000"/>
        </w:rPr>
        <w:t xml:space="preserve"> jest</w:t>
      </w:r>
      <w:r w:rsidRPr="000A135E">
        <w:rPr>
          <w:color w:val="000000"/>
        </w:rPr>
        <w:t xml:space="preserve"> rewitalizacja obszarów peryferyjnych, na których występuje intensyfikacja problemów społecznych. </w:t>
      </w:r>
      <w:r>
        <w:rPr>
          <w:color w:val="000000"/>
        </w:rPr>
        <w:t>Interwencje infrastrukturalne muszą być realizowane</w:t>
      </w:r>
      <w:r w:rsidR="00E66B89">
        <w:rPr>
          <w:color w:val="000000"/>
        </w:rPr>
        <w:t xml:space="preserve"> w </w:t>
      </w:r>
      <w:r>
        <w:rPr>
          <w:color w:val="000000"/>
        </w:rPr>
        <w:t>ścisłym powiązaniu</w:t>
      </w:r>
      <w:r w:rsidR="00E66B89">
        <w:rPr>
          <w:color w:val="000000"/>
        </w:rPr>
        <w:t xml:space="preserve"> z </w:t>
      </w:r>
      <w:r>
        <w:rPr>
          <w:color w:val="000000"/>
        </w:rPr>
        <w:t xml:space="preserve">projektami EFS realizowanymi na obszarze objętym wsparciem rewitalizacyjnym. </w:t>
      </w:r>
      <w:r w:rsidRPr="000A135E">
        <w:rPr>
          <w:color w:val="000000"/>
        </w:rPr>
        <w:t>Zgodnie</w:t>
      </w:r>
      <w:r w:rsidR="00E66B89">
        <w:rPr>
          <w:color w:val="000000"/>
        </w:rPr>
        <w:t xml:space="preserve"> z </w:t>
      </w:r>
      <w:r w:rsidRPr="000A135E">
        <w:rPr>
          <w:color w:val="000000"/>
        </w:rPr>
        <w:t>tymi założeniami</w:t>
      </w:r>
      <w:r>
        <w:rPr>
          <w:color w:val="000000"/>
        </w:rPr>
        <w:t>,</w:t>
      </w:r>
      <w:r w:rsidRPr="000A135E">
        <w:rPr>
          <w:color w:val="000000"/>
        </w:rPr>
        <w:t xml:space="preserve"> beneficjenci rewitalizują obiekty mniej kosztochłonne, nie wymagające wysokich nakładów dla nadania im funkcji społeczne</w:t>
      </w:r>
      <w:r>
        <w:rPr>
          <w:color w:val="000000"/>
        </w:rPr>
        <w:t>j</w:t>
      </w:r>
      <w:r w:rsidRPr="000A135E">
        <w:rPr>
          <w:color w:val="000000"/>
        </w:rPr>
        <w:t>, wymaganej</w:t>
      </w:r>
      <w:r w:rsidR="00E66B89">
        <w:rPr>
          <w:color w:val="000000"/>
        </w:rPr>
        <w:t xml:space="preserve"> w </w:t>
      </w:r>
      <w:r w:rsidRPr="000A135E">
        <w:rPr>
          <w:color w:val="000000"/>
        </w:rPr>
        <w:t>logice interwencji</w:t>
      </w:r>
      <w:r w:rsidR="00E66B89">
        <w:rPr>
          <w:color w:val="000000"/>
        </w:rPr>
        <w:t xml:space="preserve"> i </w:t>
      </w:r>
      <w:r>
        <w:rPr>
          <w:color w:val="000000"/>
        </w:rPr>
        <w:t>umożliwiającej realizację komplementarnych interwencji EFS</w:t>
      </w:r>
      <w:r w:rsidRPr="000A135E">
        <w:rPr>
          <w:color w:val="000000"/>
        </w:rPr>
        <w:t xml:space="preserve">. </w:t>
      </w:r>
      <w:r>
        <w:rPr>
          <w:color w:val="000000"/>
        </w:rPr>
        <w:t>Analiza benchmarkowa wskazuje na fakt, iż</w:t>
      </w:r>
      <w:r w:rsidR="00E66B89">
        <w:rPr>
          <w:color w:val="000000"/>
        </w:rPr>
        <w:t xml:space="preserve"> w </w:t>
      </w:r>
      <w:r>
        <w:rPr>
          <w:color w:val="000000"/>
        </w:rPr>
        <w:t>każdym</w:t>
      </w:r>
      <w:r w:rsidR="00E66B89">
        <w:rPr>
          <w:color w:val="000000"/>
        </w:rPr>
        <w:t xml:space="preserve"> z </w:t>
      </w:r>
      <w:r>
        <w:rPr>
          <w:color w:val="000000"/>
        </w:rPr>
        <w:t>wybranych do analizy RPO prognozowane jest przekroczenie wartości docelowych wskaźników programowych PI 9b, co jest związane przede wszystkim</w:t>
      </w:r>
      <w:r w:rsidR="00E66B89">
        <w:rPr>
          <w:color w:val="000000"/>
        </w:rPr>
        <w:t xml:space="preserve"> z </w:t>
      </w:r>
      <w:r>
        <w:rPr>
          <w:color w:val="000000"/>
        </w:rPr>
        <w:t>koniecznością zachowania wymogu komplementarności rewitalizacyjnych projektów infrastrukturalnych</w:t>
      </w:r>
      <w:r w:rsidR="00E66B89">
        <w:rPr>
          <w:color w:val="000000"/>
        </w:rPr>
        <w:t xml:space="preserve"> z </w:t>
      </w:r>
      <w:r>
        <w:rPr>
          <w:color w:val="000000"/>
        </w:rPr>
        <w:t>interwencjami prowadzonymi</w:t>
      </w:r>
      <w:r w:rsidR="00E66B89">
        <w:rPr>
          <w:color w:val="000000"/>
        </w:rPr>
        <w:t xml:space="preserve"> w </w:t>
      </w:r>
      <w:r>
        <w:rPr>
          <w:color w:val="000000"/>
        </w:rPr>
        <w:t>ramach EFS. Ogranicza to</w:t>
      </w:r>
      <w:r w:rsidR="00E66B89">
        <w:rPr>
          <w:color w:val="000000"/>
        </w:rPr>
        <w:t xml:space="preserve"> w </w:t>
      </w:r>
      <w:r>
        <w:rPr>
          <w:color w:val="000000"/>
        </w:rPr>
        <w:t>naturalny sposób zakres</w:t>
      </w:r>
      <w:r w:rsidR="00E66B89">
        <w:rPr>
          <w:color w:val="000000"/>
        </w:rPr>
        <w:t xml:space="preserve"> i </w:t>
      </w:r>
      <w:r>
        <w:rPr>
          <w:color w:val="000000"/>
        </w:rPr>
        <w:t>skalę prowadzonych interwencji.</w:t>
      </w:r>
    </w:p>
    <w:p w14:paraId="743E15BF" w14:textId="77777777" w:rsidR="00116CFB" w:rsidRPr="00A94A90" w:rsidRDefault="00116CFB" w:rsidP="00116CFB">
      <w:pPr>
        <w:pStyle w:val="evaluTresc"/>
      </w:pPr>
      <w:r w:rsidRPr="000A135E">
        <w:t>Badani beneficjenci Działania 9.3 sporadycznie wskazują na problemy</w:t>
      </w:r>
      <w:r w:rsidR="00E66B89">
        <w:t xml:space="preserve"> w </w:t>
      </w:r>
      <w:r w:rsidRPr="000A135E">
        <w:t>realizacji projektów, spowodowane wzrostem cen materiał</w:t>
      </w:r>
      <w:r>
        <w:t>ów</w:t>
      </w:r>
      <w:r w:rsidR="00E66B89">
        <w:t xml:space="preserve"> i </w:t>
      </w:r>
      <w:r w:rsidRPr="000A135E">
        <w:t>usług budowlan</w:t>
      </w:r>
      <w:r>
        <w:t>ych</w:t>
      </w:r>
      <w:r w:rsidRPr="000A135E">
        <w:t>, wymagające zabezpieczenia dodatkowych środków</w:t>
      </w:r>
      <w:r w:rsidR="00E66B89">
        <w:t xml:space="preserve"> w </w:t>
      </w:r>
      <w:r w:rsidRPr="000A135E">
        <w:t>budżetach własnych</w:t>
      </w:r>
      <w:r w:rsidR="00E66B89">
        <w:t xml:space="preserve"> i </w:t>
      </w:r>
      <w:r w:rsidRPr="000A135E">
        <w:t>pociągające za sobą opóźnienia</w:t>
      </w:r>
      <w:r w:rsidR="00E66B89">
        <w:t xml:space="preserve"> w </w:t>
      </w:r>
      <w:r w:rsidRPr="000A135E">
        <w:t xml:space="preserve">realizacji celów </w:t>
      </w:r>
      <w:r w:rsidRPr="000A135E">
        <w:lastRenderedPageBreak/>
        <w:t>projektowych. Zaledwie 1 respondent wskazał na ryzyko niepełnego osiągnięcia zakładanej</w:t>
      </w:r>
      <w:r w:rsidR="00E66B89">
        <w:t xml:space="preserve"> w </w:t>
      </w:r>
      <w:r w:rsidRPr="000A135E">
        <w:t xml:space="preserve">projekcie wysokości wskaźnika </w:t>
      </w:r>
      <w:r w:rsidRPr="008B706B">
        <w:rPr>
          <w:i/>
        </w:rPr>
        <w:t>Powierzchnia obszarów objętych rewitalizacją</w:t>
      </w:r>
      <w:r w:rsidR="00E66B89">
        <w:t xml:space="preserve"> w </w:t>
      </w:r>
      <w:r>
        <w:t xml:space="preserve">wyniku wskazanego czynnika. </w:t>
      </w:r>
    </w:p>
    <w:p w14:paraId="0CD54457" w14:textId="77777777" w:rsidR="00116CFB" w:rsidRPr="000A135E" w:rsidRDefault="00116CFB" w:rsidP="00AF481E">
      <w:pPr>
        <w:pStyle w:val="Legenda"/>
        <w:spacing w:after="0"/>
      </w:pPr>
      <w:bookmarkStart w:id="346" w:name="_Toc8824260"/>
      <w:r w:rsidRPr="000A135E">
        <w:t xml:space="preserve">Tabela </w:t>
      </w:r>
      <w:r>
        <w:fldChar w:fldCharType="begin"/>
      </w:r>
      <w:r>
        <w:instrText xml:space="preserve"> SEQ Tabela \* ARABIC </w:instrText>
      </w:r>
      <w:r>
        <w:fldChar w:fldCharType="separate"/>
      </w:r>
      <w:r w:rsidR="00763345">
        <w:rPr>
          <w:noProof/>
        </w:rPr>
        <w:t>149</w:t>
      </w:r>
      <w:r>
        <w:fldChar w:fldCharType="end"/>
      </w:r>
      <w:r w:rsidRPr="000A135E">
        <w:t xml:space="preserve"> Wskaźniki produktu (PI 9b) – postęp rzeczowy</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902"/>
        <w:gridCol w:w="1514"/>
        <w:gridCol w:w="834"/>
        <w:gridCol w:w="931"/>
        <w:gridCol w:w="976"/>
        <w:gridCol w:w="977"/>
        <w:gridCol w:w="976"/>
        <w:gridCol w:w="977"/>
      </w:tblGrid>
      <w:tr w:rsidR="00116CFB" w:rsidRPr="00B2711F" w14:paraId="22F54C8E" w14:textId="77777777" w:rsidTr="00C22C26">
        <w:trPr>
          <w:tblHeader/>
        </w:trPr>
        <w:tc>
          <w:tcPr>
            <w:tcW w:w="0" w:type="auto"/>
            <w:shd w:val="clear" w:color="auto" w:fill="DBE5F1"/>
          </w:tcPr>
          <w:p w14:paraId="6CAB6C22" w14:textId="77777777" w:rsidR="00116CFB" w:rsidRPr="006558FF" w:rsidRDefault="00116CFB" w:rsidP="004742DC">
            <w:pPr>
              <w:jc w:val="center"/>
              <w:rPr>
                <w:rFonts w:cs="Calibri"/>
                <w:sz w:val="18"/>
                <w:szCs w:val="20"/>
              </w:rPr>
            </w:pPr>
            <w:r w:rsidRPr="007F116A">
              <w:rPr>
                <w:rFonts w:cs="Calibri"/>
                <w:sz w:val="18"/>
                <w:szCs w:val="20"/>
              </w:rPr>
              <w:t>Typ wskaźnika</w:t>
            </w:r>
          </w:p>
        </w:tc>
        <w:tc>
          <w:tcPr>
            <w:tcW w:w="0" w:type="auto"/>
            <w:shd w:val="clear" w:color="auto" w:fill="DBE5F1"/>
          </w:tcPr>
          <w:p w14:paraId="07604CD7" w14:textId="77777777" w:rsidR="00116CFB" w:rsidRPr="00AF5126" w:rsidRDefault="00116CFB" w:rsidP="004742DC">
            <w:pPr>
              <w:jc w:val="center"/>
              <w:rPr>
                <w:rFonts w:cs="Calibri"/>
                <w:sz w:val="18"/>
                <w:szCs w:val="20"/>
              </w:rPr>
            </w:pPr>
            <w:r w:rsidRPr="00AF5126">
              <w:rPr>
                <w:rFonts w:cs="Calibri"/>
                <w:sz w:val="18"/>
                <w:szCs w:val="20"/>
              </w:rPr>
              <w:t>Działania</w:t>
            </w:r>
          </w:p>
        </w:tc>
        <w:tc>
          <w:tcPr>
            <w:tcW w:w="0" w:type="auto"/>
            <w:shd w:val="clear" w:color="auto" w:fill="DBE5F1"/>
          </w:tcPr>
          <w:p w14:paraId="14708A95" w14:textId="77777777" w:rsidR="00116CFB" w:rsidRPr="00AF5126" w:rsidRDefault="00116CFB" w:rsidP="004742DC">
            <w:pPr>
              <w:jc w:val="center"/>
              <w:rPr>
                <w:rFonts w:cs="Calibri"/>
                <w:sz w:val="18"/>
                <w:szCs w:val="20"/>
              </w:rPr>
            </w:pPr>
            <w:r w:rsidRPr="00AF5126">
              <w:rPr>
                <w:rFonts w:cs="Calibri"/>
                <w:sz w:val="18"/>
                <w:szCs w:val="20"/>
              </w:rPr>
              <w:t>Wskaźnik</w:t>
            </w:r>
          </w:p>
        </w:tc>
        <w:tc>
          <w:tcPr>
            <w:tcW w:w="0" w:type="auto"/>
            <w:shd w:val="clear" w:color="auto" w:fill="DBE5F1"/>
          </w:tcPr>
          <w:p w14:paraId="3C812BA1" w14:textId="77777777" w:rsidR="00116CFB" w:rsidRPr="00AF5126" w:rsidRDefault="00116CFB" w:rsidP="004742DC">
            <w:pPr>
              <w:jc w:val="center"/>
              <w:rPr>
                <w:rFonts w:cs="Calibri"/>
                <w:sz w:val="18"/>
                <w:szCs w:val="20"/>
              </w:rPr>
            </w:pPr>
            <w:r w:rsidRPr="00AF5126">
              <w:rPr>
                <w:rFonts w:cs="Calibri"/>
                <w:sz w:val="18"/>
                <w:szCs w:val="20"/>
              </w:rPr>
              <w:t>Jedn. Pomiaru</w:t>
            </w:r>
          </w:p>
        </w:tc>
        <w:tc>
          <w:tcPr>
            <w:tcW w:w="0" w:type="auto"/>
            <w:shd w:val="clear" w:color="auto" w:fill="DBE5F1"/>
          </w:tcPr>
          <w:p w14:paraId="42738D7D" w14:textId="77777777" w:rsidR="00116CFB" w:rsidRPr="00AF5126" w:rsidRDefault="00116CFB" w:rsidP="004742DC">
            <w:pPr>
              <w:jc w:val="center"/>
              <w:rPr>
                <w:rFonts w:cs="Calibri"/>
                <w:sz w:val="18"/>
                <w:szCs w:val="20"/>
              </w:rPr>
            </w:pPr>
            <w:r w:rsidRPr="00AF5126">
              <w:rPr>
                <w:rFonts w:cs="Calibri"/>
                <w:sz w:val="18"/>
                <w:szCs w:val="20"/>
              </w:rPr>
              <w:t>Wartość docelowa (2023)</w:t>
            </w:r>
          </w:p>
        </w:tc>
        <w:tc>
          <w:tcPr>
            <w:tcW w:w="0" w:type="auto"/>
            <w:shd w:val="clear" w:color="auto" w:fill="DBE5F1"/>
          </w:tcPr>
          <w:p w14:paraId="6607D19E" w14:textId="77777777" w:rsidR="00116CFB" w:rsidRPr="00AF5126" w:rsidRDefault="00116CFB" w:rsidP="004742DC">
            <w:pPr>
              <w:jc w:val="center"/>
              <w:rPr>
                <w:rFonts w:cs="Calibri"/>
                <w:sz w:val="18"/>
                <w:szCs w:val="20"/>
              </w:rPr>
            </w:pPr>
            <w:r w:rsidRPr="00AF5126">
              <w:rPr>
                <w:rFonts w:cs="Calibri"/>
                <w:sz w:val="18"/>
                <w:szCs w:val="20"/>
              </w:rPr>
              <w:t>Realizacja wskaźnika (wg UoD)</w:t>
            </w:r>
          </w:p>
        </w:tc>
        <w:tc>
          <w:tcPr>
            <w:tcW w:w="0" w:type="auto"/>
            <w:shd w:val="clear" w:color="auto" w:fill="DBE5F1"/>
          </w:tcPr>
          <w:p w14:paraId="5501991A" w14:textId="77777777" w:rsidR="00116CFB" w:rsidRPr="00AF5126" w:rsidRDefault="00116CFB" w:rsidP="004742DC">
            <w:pPr>
              <w:jc w:val="center"/>
              <w:rPr>
                <w:rFonts w:cs="Calibri"/>
                <w:sz w:val="18"/>
                <w:szCs w:val="20"/>
              </w:rPr>
            </w:pPr>
            <w:r w:rsidRPr="00AF5126">
              <w:rPr>
                <w:rFonts w:cs="Calibri"/>
                <w:sz w:val="18"/>
                <w:szCs w:val="20"/>
              </w:rPr>
              <w:t>% realizacji wartości docelowej (wg UoD)</w:t>
            </w:r>
          </w:p>
        </w:tc>
        <w:tc>
          <w:tcPr>
            <w:tcW w:w="0" w:type="auto"/>
            <w:shd w:val="clear" w:color="auto" w:fill="DBE5F1"/>
          </w:tcPr>
          <w:p w14:paraId="395B5A34" w14:textId="77777777" w:rsidR="00116CFB" w:rsidRPr="00AF5126" w:rsidRDefault="00116CFB" w:rsidP="004742DC">
            <w:pPr>
              <w:jc w:val="center"/>
              <w:rPr>
                <w:rFonts w:cs="Calibri"/>
                <w:sz w:val="18"/>
                <w:szCs w:val="20"/>
              </w:rPr>
            </w:pPr>
            <w:r w:rsidRPr="00AF5126">
              <w:rPr>
                <w:rFonts w:cs="Calibri"/>
                <w:sz w:val="18"/>
                <w:szCs w:val="20"/>
              </w:rPr>
              <w:t>Realizacja wskaźnika (wg WoP)</w:t>
            </w:r>
          </w:p>
        </w:tc>
        <w:tc>
          <w:tcPr>
            <w:tcW w:w="0" w:type="auto"/>
            <w:shd w:val="clear" w:color="auto" w:fill="DBE5F1"/>
          </w:tcPr>
          <w:p w14:paraId="00A05BFB" w14:textId="77777777" w:rsidR="00116CFB" w:rsidRPr="00AF5126" w:rsidRDefault="00116CFB" w:rsidP="004742DC">
            <w:pPr>
              <w:jc w:val="center"/>
              <w:rPr>
                <w:rFonts w:cs="Calibri"/>
                <w:sz w:val="18"/>
                <w:szCs w:val="20"/>
              </w:rPr>
            </w:pPr>
            <w:r w:rsidRPr="00AF5126">
              <w:rPr>
                <w:rFonts w:cs="Calibri"/>
                <w:sz w:val="18"/>
                <w:szCs w:val="20"/>
              </w:rPr>
              <w:t>% realizacji wartości docelowej (wg WoP)</w:t>
            </w:r>
          </w:p>
        </w:tc>
      </w:tr>
      <w:tr w:rsidR="00116CFB" w:rsidRPr="00B2711F" w14:paraId="62761CF6" w14:textId="77777777" w:rsidTr="004742DC">
        <w:tc>
          <w:tcPr>
            <w:tcW w:w="0" w:type="auto"/>
            <w:shd w:val="clear" w:color="auto" w:fill="auto"/>
            <w:vAlign w:val="center"/>
          </w:tcPr>
          <w:p w14:paraId="3786A90C" w14:textId="77777777" w:rsidR="00116CFB" w:rsidRPr="007F116A" w:rsidRDefault="00116CFB" w:rsidP="004742DC">
            <w:pPr>
              <w:jc w:val="center"/>
              <w:rPr>
                <w:rFonts w:cs="Calibri"/>
                <w:sz w:val="18"/>
                <w:szCs w:val="20"/>
              </w:rPr>
            </w:pPr>
            <w:r w:rsidRPr="00404DA5">
              <w:rPr>
                <w:rFonts w:cs="Calibri"/>
                <w:color w:val="000000"/>
                <w:sz w:val="18"/>
                <w:szCs w:val="20"/>
              </w:rPr>
              <w:t>WP</w:t>
            </w:r>
          </w:p>
        </w:tc>
        <w:tc>
          <w:tcPr>
            <w:tcW w:w="0" w:type="auto"/>
            <w:shd w:val="clear" w:color="auto" w:fill="auto"/>
            <w:vAlign w:val="center"/>
          </w:tcPr>
          <w:p w14:paraId="440FFEF3" w14:textId="77777777" w:rsidR="00116CFB" w:rsidRPr="00AF5126" w:rsidRDefault="00116CFB" w:rsidP="004742DC">
            <w:pPr>
              <w:jc w:val="center"/>
              <w:rPr>
                <w:rFonts w:cs="Calibri"/>
                <w:sz w:val="18"/>
                <w:szCs w:val="20"/>
              </w:rPr>
            </w:pPr>
            <w:r w:rsidRPr="00404DA5">
              <w:rPr>
                <w:rFonts w:cs="Calibri"/>
                <w:sz w:val="18"/>
                <w:szCs w:val="20"/>
              </w:rPr>
              <w:t>9.3</w:t>
            </w:r>
          </w:p>
        </w:tc>
        <w:tc>
          <w:tcPr>
            <w:tcW w:w="0" w:type="auto"/>
            <w:shd w:val="clear" w:color="auto" w:fill="auto"/>
          </w:tcPr>
          <w:p w14:paraId="34B47A4F" w14:textId="77777777" w:rsidR="00116CFB" w:rsidRPr="00AF5126" w:rsidRDefault="00116CFB" w:rsidP="004742DC">
            <w:pPr>
              <w:jc w:val="center"/>
              <w:rPr>
                <w:rFonts w:cs="Calibri"/>
                <w:sz w:val="18"/>
                <w:szCs w:val="20"/>
              </w:rPr>
            </w:pPr>
            <w:r w:rsidRPr="00404DA5">
              <w:rPr>
                <w:rFonts w:cs="Calibri"/>
                <w:color w:val="000000"/>
                <w:sz w:val="18"/>
                <w:szCs w:val="20"/>
              </w:rPr>
              <w:t>Powierzchnia obszarów objętych rewitalizacją</w:t>
            </w:r>
          </w:p>
        </w:tc>
        <w:tc>
          <w:tcPr>
            <w:tcW w:w="0" w:type="auto"/>
            <w:shd w:val="clear" w:color="auto" w:fill="auto"/>
            <w:vAlign w:val="center"/>
          </w:tcPr>
          <w:p w14:paraId="0AC4EDDD" w14:textId="77777777" w:rsidR="00116CFB" w:rsidRPr="00AF5126" w:rsidRDefault="00116CFB" w:rsidP="004742DC">
            <w:pPr>
              <w:jc w:val="center"/>
              <w:rPr>
                <w:rFonts w:cs="Calibri"/>
                <w:sz w:val="18"/>
                <w:szCs w:val="20"/>
              </w:rPr>
            </w:pPr>
            <w:r w:rsidRPr="00404DA5">
              <w:rPr>
                <w:rFonts w:cs="Calibri"/>
                <w:color w:val="000000"/>
                <w:sz w:val="18"/>
                <w:szCs w:val="20"/>
              </w:rPr>
              <w:t>ha</w:t>
            </w:r>
          </w:p>
        </w:tc>
        <w:tc>
          <w:tcPr>
            <w:tcW w:w="0" w:type="auto"/>
            <w:shd w:val="clear" w:color="auto" w:fill="auto"/>
            <w:vAlign w:val="center"/>
          </w:tcPr>
          <w:p w14:paraId="3FE5DD80" w14:textId="77777777" w:rsidR="00116CFB" w:rsidRPr="00AF5126" w:rsidRDefault="00116CFB" w:rsidP="004742DC">
            <w:pPr>
              <w:jc w:val="center"/>
              <w:rPr>
                <w:rFonts w:cs="Calibri"/>
                <w:sz w:val="18"/>
                <w:szCs w:val="20"/>
              </w:rPr>
            </w:pPr>
            <w:r w:rsidRPr="00404DA5">
              <w:rPr>
                <w:rFonts w:cs="Calibri"/>
                <w:sz w:val="18"/>
                <w:szCs w:val="20"/>
              </w:rPr>
              <w:t>14,54</w:t>
            </w:r>
          </w:p>
        </w:tc>
        <w:tc>
          <w:tcPr>
            <w:tcW w:w="0" w:type="auto"/>
            <w:shd w:val="clear" w:color="auto" w:fill="auto"/>
            <w:vAlign w:val="center"/>
          </w:tcPr>
          <w:p w14:paraId="706F4366" w14:textId="77777777" w:rsidR="00116CFB" w:rsidRPr="00AF5126" w:rsidRDefault="00116CFB" w:rsidP="004742DC">
            <w:pPr>
              <w:jc w:val="center"/>
              <w:rPr>
                <w:rFonts w:cs="Calibri"/>
                <w:sz w:val="18"/>
                <w:szCs w:val="20"/>
              </w:rPr>
            </w:pPr>
            <w:r w:rsidRPr="00404DA5">
              <w:rPr>
                <w:rFonts w:cs="Calibri"/>
                <w:sz w:val="18"/>
                <w:szCs w:val="20"/>
              </w:rPr>
              <w:t>22,28</w:t>
            </w:r>
          </w:p>
        </w:tc>
        <w:tc>
          <w:tcPr>
            <w:tcW w:w="0" w:type="auto"/>
            <w:shd w:val="clear" w:color="auto" w:fill="auto"/>
            <w:vAlign w:val="center"/>
          </w:tcPr>
          <w:p w14:paraId="7779A054" w14:textId="77777777" w:rsidR="00116CFB" w:rsidRPr="00AF5126" w:rsidRDefault="00116CFB" w:rsidP="004742DC">
            <w:pPr>
              <w:jc w:val="center"/>
              <w:rPr>
                <w:rFonts w:cs="Calibri"/>
                <w:sz w:val="18"/>
                <w:szCs w:val="20"/>
              </w:rPr>
            </w:pPr>
            <w:r w:rsidRPr="00404DA5">
              <w:rPr>
                <w:rFonts w:cs="Calibri"/>
                <w:sz w:val="18"/>
                <w:szCs w:val="20"/>
              </w:rPr>
              <w:t>153,2</w:t>
            </w:r>
          </w:p>
        </w:tc>
        <w:tc>
          <w:tcPr>
            <w:tcW w:w="0" w:type="auto"/>
            <w:shd w:val="clear" w:color="auto" w:fill="auto"/>
            <w:vAlign w:val="center"/>
          </w:tcPr>
          <w:p w14:paraId="1008B586" w14:textId="77777777" w:rsidR="00116CFB" w:rsidRPr="00AF5126" w:rsidRDefault="00116CFB" w:rsidP="004742DC">
            <w:pPr>
              <w:jc w:val="center"/>
              <w:rPr>
                <w:rFonts w:cs="Calibri"/>
                <w:sz w:val="18"/>
                <w:szCs w:val="20"/>
              </w:rPr>
            </w:pPr>
            <w:r w:rsidRPr="00404DA5">
              <w:rPr>
                <w:rFonts w:cs="Calibri"/>
                <w:sz w:val="18"/>
                <w:szCs w:val="20"/>
              </w:rPr>
              <w:t>0</w:t>
            </w:r>
          </w:p>
        </w:tc>
        <w:tc>
          <w:tcPr>
            <w:tcW w:w="0" w:type="auto"/>
            <w:shd w:val="clear" w:color="auto" w:fill="auto"/>
            <w:vAlign w:val="center"/>
          </w:tcPr>
          <w:p w14:paraId="392884A9" w14:textId="77777777" w:rsidR="00116CFB" w:rsidRPr="00AF5126" w:rsidRDefault="00116CFB" w:rsidP="004742DC">
            <w:pPr>
              <w:jc w:val="center"/>
              <w:rPr>
                <w:rFonts w:cs="Calibri"/>
                <w:sz w:val="18"/>
                <w:szCs w:val="20"/>
              </w:rPr>
            </w:pPr>
            <w:r w:rsidRPr="00404DA5">
              <w:rPr>
                <w:rFonts w:cs="Calibri"/>
                <w:sz w:val="18"/>
                <w:szCs w:val="20"/>
              </w:rPr>
              <w:t>0%</w:t>
            </w:r>
          </w:p>
        </w:tc>
      </w:tr>
      <w:tr w:rsidR="00116CFB" w:rsidRPr="00B2711F" w14:paraId="3E07A08F" w14:textId="77777777" w:rsidTr="004742DC">
        <w:tc>
          <w:tcPr>
            <w:tcW w:w="0" w:type="auto"/>
            <w:shd w:val="clear" w:color="auto" w:fill="auto"/>
            <w:vAlign w:val="center"/>
          </w:tcPr>
          <w:p w14:paraId="6841F3D7" w14:textId="77777777" w:rsidR="00116CFB" w:rsidRPr="007F116A" w:rsidRDefault="00116CFB" w:rsidP="004742DC">
            <w:pPr>
              <w:jc w:val="center"/>
              <w:rPr>
                <w:rFonts w:cs="Calibri"/>
                <w:sz w:val="18"/>
                <w:szCs w:val="20"/>
              </w:rPr>
            </w:pPr>
            <w:r w:rsidRPr="00404DA5">
              <w:rPr>
                <w:rFonts w:cs="Calibri"/>
                <w:color w:val="000000"/>
                <w:sz w:val="18"/>
                <w:szCs w:val="20"/>
              </w:rPr>
              <w:t>WP</w:t>
            </w:r>
          </w:p>
        </w:tc>
        <w:tc>
          <w:tcPr>
            <w:tcW w:w="0" w:type="auto"/>
            <w:shd w:val="clear" w:color="auto" w:fill="auto"/>
            <w:vAlign w:val="center"/>
          </w:tcPr>
          <w:p w14:paraId="45345D37" w14:textId="77777777" w:rsidR="00116CFB" w:rsidRPr="00AF5126" w:rsidRDefault="00116CFB" w:rsidP="004742DC">
            <w:pPr>
              <w:jc w:val="center"/>
              <w:rPr>
                <w:rFonts w:cs="Calibri"/>
                <w:sz w:val="18"/>
                <w:szCs w:val="20"/>
              </w:rPr>
            </w:pPr>
            <w:r w:rsidRPr="00404DA5">
              <w:rPr>
                <w:rFonts w:cs="Calibri"/>
                <w:color w:val="000000"/>
                <w:sz w:val="18"/>
                <w:szCs w:val="20"/>
              </w:rPr>
              <w:t>9.3</w:t>
            </w:r>
          </w:p>
        </w:tc>
        <w:tc>
          <w:tcPr>
            <w:tcW w:w="0" w:type="auto"/>
            <w:shd w:val="clear" w:color="auto" w:fill="auto"/>
          </w:tcPr>
          <w:p w14:paraId="04E8E638" w14:textId="77777777" w:rsidR="00116CFB" w:rsidRPr="00AF5126" w:rsidRDefault="00116CFB" w:rsidP="004742DC">
            <w:pPr>
              <w:jc w:val="center"/>
              <w:rPr>
                <w:rFonts w:cs="Calibri"/>
                <w:sz w:val="18"/>
                <w:szCs w:val="20"/>
              </w:rPr>
            </w:pPr>
            <w:r w:rsidRPr="00404DA5">
              <w:rPr>
                <w:rFonts w:cs="Calibri"/>
                <w:color w:val="000000"/>
                <w:sz w:val="18"/>
                <w:szCs w:val="20"/>
              </w:rPr>
              <w:t>Liczba obiektów infrastruktury zlokalizowanych na rewitalizowanych obszarach</w:t>
            </w:r>
          </w:p>
        </w:tc>
        <w:tc>
          <w:tcPr>
            <w:tcW w:w="0" w:type="auto"/>
            <w:shd w:val="clear" w:color="auto" w:fill="auto"/>
            <w:vAlign w:val="center"/>
          </w:tcPr>
          <w:p w14:paraId="75D4A0A5" w14:textId="77777777" w:rsidR="00116CFB" w:rsidRPr="00AF5126" w:rsidRDefault="00116CFB" w:rsidP="004742DC">
            <w:pPr>
              <w:jc w:val="center"/>
              <w:rPr>
                <w:rFonts w:cs="Calibri"/>
                <w:sz w:val="18"/>
                <w:szCs w:val="20"/>
              </w:rPr>
            </w:pPr>
            <w:r w:rsidRPr="00404DA5">
              <w:rPr>
                <w:rFonts w:cs="Calibri"/>
                <w:color w:val="000000"/>
                <w:sz w:val="18"/>
                <w:szCs w:val="20"/>
              </w:rPr>
              <w:t>sztuk</w:t>
            </w:r>
            <w:r>
              <w:rPr>
                <w:rFonts w:cs="Calibri"/>
                <w:color w:val="000000"/>
                <w:sz w:val="18"/>
                <w:szCs w:val="20"/>
              </w:rPr>
              <w:t>i</w:t>
            </w:r>
          </w:p>
        </w:tc>
        <w:tc>
          <w:tcPr>
            <w:tcW w:w="0" w:type="auto"/>
            <w:shd w:val="clear" w:color="auto" w:fill="auto"/>
            <w:vAlign w:val="center"/>
          </w:tcPr>
          <w:p w14:paraId="7923E3E2" w14:textId="77777777" w:rsidR="00116CFB" w:rsidRPr="00AF5126" w:rsidRDefault="00116CFB" w:rsidP="004742DC">
            <w:pPr>
              <w:jc w:val="center"/>
              <w:rPr>
                <w:rFonts w:cs="Calibri"/>
                <w:sz w:val="18"/>
                <w:szCs w:val="20"/>
              </w:rPr>
            </w:pPr>
            <w:r w:rsidRPr="00404DA5">
              <w:rPr>
                <w:rFonts w:cs="Calibri"/>
                <w:color w:val="000000"/>
                <w:sz w:val="18"/>
                <w:szCs w:val="20"/>
              </w:rPr>
              <w:t>160</w:t>
            </w:r>
          </w:p>
        </w:tc>
        <w:tc>
          <w:tcPr>
            <w:tcW w:w="0" w:type="auto"/>
            <w:shd w:val="clear" w:color="auto" w:fill="auto"/>
            <w:vAlign w:val="center"/>
          </w:tcPr>
          <w:p w14:paraId="70EA3E60" w14:textId="77777777" w:rsidR="00116CFB" w:rsidRPr="00AF5126" w:rsidRDefault="00116CFB" w:rsidP="004742DC">
            <w:pPr>
              <w:jc w:val="center"/>
              <w:rPr>
                <w:rFonts w:cs="Calibri"/>
                <w:sz w:val="18"/>
                <w:szCs w:val="20"/>
              </w:rPr>
            </w:pPr>
            <w:r w:rsidRPr="00404DA5">
              <w:rPr>
                <w:rFonts w:cs="Calibri"/>
                <w:sz w:val="18"/>
                <w:szCs w:val="20"/>
              </w:rPr>
              <w:t>78</w:t>
            </w:r>
          </w:p>
        </w:tc>
        <w:tc>
          <w:tcPr>
            <w:tcW w:w="0" w:type="auto"/>
            <w:shd w:val="clear" w:color="auto" w:fill="auto"/>
            <w:vAlign w:val="center"/>
          </w:tcPr>
          <w:p w14:paraId="6567CAA8" w14:textId="77777777" w:rsidR="00116CFB" w:rsidRPr="00AF5126" w:rsidRDefault="00116CFB" w:rsidP="004742DC">
            <w:pPr>
              <w:jc w:val="center"/>
              <w:rPr>
                <w:rFonts w:cs="Calibri"/>
                <w:sz w:val="18"/>
                <w:szCs w:val="20"/>
              </w:rPr>
            </w:pPr>
            <w:r w:rsidRPr="00404DA5">
              <w:rPr>
                <w:rFonts w:cs="Calibri"/>
                <w:sz w:val="18"/>
                <w:szCs w:val="20"/>
              </w:rPr>
              <w:t>48,8</w:t>
            </w:r>
          </w:p>
        </w:tc>
        <w:tc>
          <w:tcPr>
            <w:tcW w:w="0" w:type="auto"/>
            <w:shd w:val="clear" w:color="auto" w:fill="auto"/>
            <w:vAlign w:val="center"/>
          </w:tcPr>
          <w:p w14:paraId="59D66A84" w14:textId="77777777" w:rsidR="00116CFB" w:rsidRPr="00AF5126" w:rsidRDefault="00116CFB" w:rsidP="004742DC">
            <w:pPr>
              <w:jc w:val="center"/>
              <w:rPr>
                <w:rFonts w:cs="Calibri"/>
                <w:sz w:val="18"/>
                <w:szCs w:val="20"/>
              </w:rPr>
            </w:pPr>
            <w:r w:rsidRPr="00404DA5">
              <w:rPr>
                <w:rFonts w:cs="Calibri"/>
                <w:sz w:val="18"/>
                <w:szCs w:val="20"/>
              </w:rPr>
              <w:t>0</w:t>
            </w:r>
          </w:p>
        </w:tc>
        <w:tc>
          <w:tcPr>
            <w:tcW w:w="0" w:type="auto"/>
            <w:shd w:val="clear" w:color="auto" w:fill="auto"/>
            <w:vAlign w:val="center"/>
          </w:tcPr>
          <w:p w14:paraId="11C141D7" w14:textId="77777777" w:rsidR="00116CFB" w:rsidRPr="00AF5126" w:rsidRDefault="00116CFB" w:rsidP="004742DC">
            <w:pPr>
              <w:jc w:val="center"/>
              <w:rPr>
                <w:rFonts w:cs="Calibri"/>
                <w:sz w:val="18"/>
                <w:szCs w:val="20"/>
              </w:rPr>
            </w:pPr>
            <w:r w:rsidRPr="00404DA5">
              <w:rPr>
                <w:rFonts w:cs="Calibri"/>
                <w:sz w:val="18"/>
                <w:szCs w:val="20"/>
              </w:rPr>
              <w:t>0%</w:t>
            </w:r>
          </w:p>
        </w:tc>
      </w:tr>
    </w:tbl>
    <w:p w14:paraId="45A7646B"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41C427E0" w14:textId="77777777" w:rsidR="00116CFB" w:rsidRPr="0010532A" w:rsidRDefault="00116CFB" w:rsidP="00116CFB">
      <w:pPr>
        <w:rPr>
          <w:color w:val="000000"/>
          <w:sz w:val="18"/>
          <w:szCs w:val="18"/>
        </w:rPr>
      </w:pPr>
      <w:r w:rsidRPr="00A81F19">
        <w:rPr>
          <w:rFonts w:eastAsia="Calibri"/>
        </w:rPr>
        <w:t>Do dnia 31.12.2018 roku nie osiągnięto postępu finansowego, co pozostaje</w:t>
      </w:r>
      <w:r w:rsidR="00E66B89">
        <w:rPr>
          <w:rFonts w:eastAsia="Calibri"/>
        </w:rPr>
        <w:t xml:space="preserve"> w </w:t>
      </w:r>
      <w:r w:rsidRPr="00A81F19">
        <w:rPr>
          <w:rFonts w:eastAsia="Calibri"/>
        </w:rPr>
        <w:t>zgodności</w:t>
      </w:r>
      <w:r w:rsidR="00E66B89">
        <w:rPr>
          <w:rFonts w:eastAsia="Calibri"/>
        </w:rPr>
        <w:t xml:space="preserve"> z </w:t>
      </w:r>
      <w:r w:rsidRPr="00A81F19">
        <w:rPr>
          <w:rFonts w:eastAsia="Calibri"/>
        </w:rPr>
        <w:t>harmonogramem realizowanych projektów. Jak wspomniano wcześniej - efektywność kosztowa interwencji, wynikająca</w:t>
      </w:r>
      <w:r w:rsidR="00E66B89">
        <w:rPr>
          <w:rFonts w:eastAsia="Calibri"/>
        </w:rPr>
        <w:t xml:space="preserve"> z </w:t>
      </w:r>
      <w:r w:rsidRPr="00A81F19">
        <w:rPr>
          <w:rFonts w:eastAsia="Calibri"/>
        </w:rPr>
        <w:t>podpisanych umów jest przy tym wyższa od założeń przedstawionych</w:t>
      </w:r>
      <w:r w:rsidR="00E66B89">
        <w:rPr>
          <w:rFonts w:eastAsia="Calibri"/>
        </w:rPr>
        <w:t xml:space="preserve"> w </w:t>
      </w:r>
      <w:r w:rsidRPr="00A81F19">
        <w:rPr>
          <w:rFonts w:eastAsia="Calibri"/>
        </w:rPr>
        <w:t xml:space="preserve">Metodologii szacowania wartości docelowych wskaźników EFRR. Średni koszt jednostkowy wskaźnika </w:t>
      </w:r>
      <w:r w:rsidRPr="008B706B">
        <w:rPr>
          <w:rFonts w:eastAsia="Calibri"/>
          <w:i/>
        </w:rPr>
        <w:t>Powierzchnia obszarów objętych rewitalizacją</w:t>
      </w:r>
      <w:r w:rsidR="00E66B89">
        <w:rPr>
          <w:rFonts w:eastAsia="Calibri"/>
        </w:rPr>
        <w:t xml:space="preserve"> w </w:t>
      </w:r>
      <w:r w:rsidRPr="00A81F19">
        <w:rPr>
          <w:rFonts w:eastAsia="Calibri"/>
        </w:rPr>
        <w:t xml:space="preserve">RPO WZ 2014-2020 </w:t>
      </w:r>
      <w:r>
        <w:rPr>
          <w:rFonts w:eastAsia="Calibri"/>
        </w:rPr>
        <w:t>jest</w:t>
      </w:r>
      <w:r w:rsidRPr="00A81F19">
        <w:rPr>
          <w:rFonts w:eastAsia="Calibri"/>
        </w:rPr>
        <w:t xml:space="preserve"> przy tym niższy niż</w:t>
      </w:r>
      <w:r w:rsidR="00E66B89">
        <w:rPr>
          <w:rFonts w:eastAsia="Calibri"/>
        </w:rPr>
        <w:t xml:space="preserve"> w </w:t>
      </w:r>
      <w:r w:rsidRPr="00A81F19">
        <w:rPr>
          <w:rFonts w:eastAsia="Calibri"/>
        </w:rPr>
        <w:t xml:space="preserve">województwie łódzkim czy opolskim (odpowiednio: </w:t>
      </w:r>
      <w:r w:rsidRPr="008B706B">
        <w:t>2 396 596,48 zł wobec 714 882 353 zł</w:t>
      </w:r>
      <w:r w:rsidR="00E66B89">
        <w:t xml:space="preserve"> i </w:t>
      </w:r>
      <w:r w:rsidRPr="008B706B">
        <w:t>3 968 505,75 zł</w:t>
      </w:r>
      <w:r>
        <w:t>)</w:t>
      </w:r>
      <w:r w:rsidRPr="008B706B">
        <w:t>. Analiza benchmarkowa wskazuje, iż koszt ten różnicuje się</w:t>
      </w:r>
      <w:r w:rsidR="00E66B89">
        <w:t xml:space="preserve"> w </w:t>
      </w:r>
      <w:r w:rsidRPr="008B706B">
        <w:t>zależności od skali inwestycji</w:t>
      </w:r>
      <w:r w:rsidR="00E66B89">
        <w:t xml:space="preserve"> w </w:t>
      </w:r>
      <w:r w:rsidRPr="008B706B">
        <w:t xml:space="preserve">obiekty infrastruktury oraz </w:t>
      </w:r>
      <w:r>
        <w:t xml:space="preserve">od </w:t>
      </w:r>
      <w:r w:rsidRPr="008B706B">
        <w:t>udziału otwartych przestrzeni objętych rewitalizacją</w:t>
      </w:r>
      <w:r>
        <w:t>.</w:t>
      </w:r>
      <w:r w:rsidRPr="008B706B">
        <w:t xml:space="preserve"> Ich duży udział</w:t>
      </w:r>
      <w:r w:rsidR="00E66B89">
        <w:t xml:space="preserve"> w </w:t>
      </w:r>
      <w:r w:rsidRPr="008B706B">
        <w:t xml:space="preserve">interwencjach RPO województwa pomorskiego sprawił, iż koszt jednostkowy jest tam najniższy – stanowi zaledwie 143 373 zł. </w:t>
      </w:r>
    </w:p>
    <w:p w14:paraId="1D3A8F66"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Wskaźniki rezultatu strategicznego </w:t>
      </w:r>
    </w:p>
    <w:p w14:paraId="6A9BF96B" w14:textId="77777777" w:rsidR="00116CFB" w:rsidRDefault="00116CFB" w:rsidP="00116CFB">
      <w:pPr>
        <w:pStyle w:val="evaluTresc"/>
      </w:pPr>
      <w:r w:rsidRPr="000A135E">
        <w:rPr>
          <w:bCs/>
          <w:color w:val="000000"/>
        </w:rPr>
        <w:t xml:space="preserve">W RPO WZ 2014-2020 przyjęto dla PI 9b specyficzny wskaźnik rezultatu </w:t>
      </w:r>
      <w:r w:rsidRPr="008B706B">
        <w:rPr>
          <w:i/>
        </w:rPr>
        <w:t xml:space="preserve">Odsetek </w:t>
      </w:r>
      <w:bookmarkStart w:id="347" w:name="_Hlk533943976"/>
      <w:r w:rsidRPr="008B706B">
        <w:rPr>
          <w:i/>
        </w:rPr>
        <w:t>mieszkańców żyjących</w:t>
      </w:r>
      <w:r w:rsidR="00E66B89">
        <w:rPr>
          <w:i/>
        </w:rPr>
        <w:t xml:space="preserve"> w </w:t>
      </w:r>
      <w:r w:rsidRPr="008B706B">
        <w:rPr>
          <w:i/>
        </w:rPr>
        <w:t>rodzinach korzystających</w:t>
      </w:r>
      <w:r w:rsidR="00E66B89">
        <w:rPr>
          <w:i/>
        </w:rPr>
        <w:t xml:space="preserve"> z </w:t>
      </w:r>
      <w:r w:rsidRPr="008B706B">
        <w:rPr>
          <w:i/>
        </w:rPr>
        <w:t>pomocy społecznej</w:t>
      </w:r>
      <w:bookmarkEnd w:id="347"/>
      <w:r w:rsidRPr="000A135E">
        <w:t>.</w:t>
      </w:r>
      <w:r w:rsidR="00E66B89">
        <w:t xml:space="preserve"> W </w:t>
      </w:r>
      <w:r w:rsidRPr="000A135E">
        <w:t>dokumencie programowym założono, iż</w:t>
      </w:r>
      <w:r w:rsidR="00E66B89">
        <w:t xml:space="preserve"> w </w:t>
      </w:r>
      <w:r w:rsidRPr="000A135E">
        <w:t>latach 2013-2023 nastąpi tendencja spadkowa jego wysokości (z 17,8 na obszarach S</w:t>
      </w:r>
      <w:r>
        <w:t>S</w:t>
      </w:r>
      <w:r w:rsidRPr="000A135E">
        <w:t>W do 15,5 na obszarach S</w:t>
      </w:r>
      <w:r>
        <w:t>S</w:t>
      </w:r>
      <w:r w:rsidRPr="000A135E">
        <w:t>W).</w:t>
      </w:r>
      <w:r>
        <w:t xml:space="preserve"> Analiza danych monitoringowych przedstawionych</w:t>
      </w:r>
      <w:r w:rsidR="00E66B89">
        <w:t xml:space="preserve"> w </w:t>
      </w:r>
      <w:r>
        <w:t>Sprawozdaniu</w:t>
      </w:r>
      <w:r w:rsidR="00E66B89">
        <w:t xml:space="preserve"> z </w:t>
      </w:r>
      <w:r>
        <w:t>realizacji RPO WZ 2014-2020 za 2017 rok wskazuje na osiągnięcie zakładanej</w:t>
      </w:r>
      <w:r w:rsidR="00E66B89">
        <w:t xml:space="preserve"> w </w:t>
      </w:r>
      <w:r>
        <w:t>Programie wartości docelowej przedmiotowego wskaźnika rezultatu strategicznego już</w:t>
      </w:r>
      <w:r w:rsidR="00E66B89">
        <w:t xml:space="preserve"> w </w:t>
      </w:r>
      <w:r>
        <w:t>roku 2014,</w:t>
      </w:r>
      <w:r w:rsidR="00E66B89">
        <w:t xml:space="preserve"> a </w:t>
      </w:r>
      <w:r>
        <w:t>więc przed rozpoczęciem wdrażania interwencji PI 9b.</w:t>
      </w:r>
      <w:r w:rsidR="00E66B89">
        <w:t xml:space="preserve"> W </w:t>
      </w:r>
      <w:r>
        <w:t>kolejnych latach wskaźnik ten wykazywał również tendencję spadkową - co związane jest</w:t>
      </w:r>
      <w:r w:rsidR="00E66B89">
        <w:t xml:space="preserve"> z </w:t>
      </w:r>
      <w:r>
        <w:t>uruchomieniem instrumentu</w:t>
      </w:r>
      <w:r w:rsidR="00E66B89">
        <w:t xml:space="preserve"> z </w:t>
      </w:r>
      <w:r w:rsidR="00472EC3">
        <w:t xml:space="preserve">programu Rodzina </w:t>
      </w:r>
      <w:r>
        <w:t xml:space="preserve">500+, szerszego pakietu dla rodzin oraz ożywieniem gospodarczym pociągającym za sobą spadek bezrobocia również na terenie SSW. </w:t>
      </w:r>
    </w:p>
    <w:p w14:paraId="7CBC7501" w14:textId="77777777" w:rsidR="00116CFB" w:rsidRDefault="00116CFB" w:rsidP="00AF481E">
      <w:pPr>
        <w:pStyle w:val="Legenda"/>
        <w:spacing w:after="0"/>
      </w:pPr>
      <w:bookmarkStart w:id="348" w:name="_Toc5311903"/>
      <w:r>
        <w:lastRenderedPageBreak/>
        <w:t xml:space="preserve">Wykres </w:t>
      </w:r>
      <w:r>
        <w:fldChar w:fldCharType="begin"/>
      </w:r>
      <w:r>
        <w:instrText xml:space="preserve"> SEQ Wykres \* ARABIC </w:instrText>
      </w:r>
      <w:r>
        <w:fldChar w:fldCharType="separate"/>
      </w:r>
      <w:r w:rsidR="00763345">
        <w:rPr>
          <w:noProof/>
        </w:rPr>
        <w:t>38</w:t>
      </w:r>
      <w:r>
        <w:fldChar w:fldCharType="end"/>
      </w:r>
      <w:r>
        <w:t xml:space="preserve"> </w:t>
      </w:r>
      <w:r w:rsidRPr="004F54B9">
        <w:t>Odsetek mieszkańców żyjących</w:t>
      </w:r>
      <w:r w:rsidR="00E66B89">
        <w:t xml:space="preserve"> w </w:t>
      </w:r>
      <w:r w:rsidRPr="004F54B9">
        <w:t>rodzinach korzystających</w:t>
      </w:r>
      <w:r w:rsidR="00E66B89">
        <w:t xml:space="preserve"> z </w:t>
      </w:r>
      <w:r w:rsidRPr="004F54B9">
        <w:t>pomocy społecznej na terenie S</w:t>
      </w:r>
      <w:r>
        <w:t>S</w:t>
      </w:r>
      <w:r w:rsidRPr="004F54B9">
        <w:t>W</w:t>
      </w:r>
      <w:r w:rsidR="00E66B89">
        <w:t xml:space="preserve"> w </w:t>
      </w:r>
      <w:r w:rsidRPr="004F54B9">
        <w:t>województwie zachodniopomorskim</w:t>
      </w:r>
      <w:r w:rsidR="00E66B89">
        <w:t xml:space="preserve"> w </w:t>
      </w:r>
      <w:r w:rsidRPr="004F54B9">
        <w:t>latach 2013-2016</w:t>
      </w:r>
      <w:bookmarkEnd w:id="348"/>
    </w:p>
    <w:p w14:paraId="64E1A038" w14:textId="18EE63EC" w:rsidR="00116CFB" w:rsidRDefault="00C35619" w:rsidP="004F028D">
      <w:pPr>
        <w:pStyle w:val="evaluTresc"/>
        <w:spacing w:before="0" w:after="0"/>
      </w:pPr>
      <w:r w:rsidRPr="00D508B6">
        <w:rPr>
          <w:noProof/>
          <w:lang w:eastAsia="pl-PL"/>
        </w:rPr>
        <w:drawing>
          <wp:inline distT="0" distB="0" distL="0" distR="0" wp14:anchorId="0DF37C6E" wp14:editId="157086C1">
            <wp:extent cx="5653405" cy="2063750"/>
            <wp:effectExtent l="0" t="0" r="4445" b="12700"/>
            <wp:docPr id="61"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ECC8419" w14:textId="77777777" w:rsidR="00116CFB" w:rsidRPr="00D21299" w:rsidRDefault="00116CFB" w:rsidP="001245CE">
      <w:pPr>
        <w:spacing w:before="0"/>
        <w:rPr>
          <w:i/>
          <w:sz w:val="18"/>
          <w:szCs w:val="20"/>
        </w:rPr>
      </w:pPr>
      <w:r w:rsidRPr="00D21299">
        <w:rPr>
          <w:i/>
          <w:sz w:val="18"/>
          <w:szCs w:val="20"/>
        </w:rPr>
        <w:t>Źródło: Sprawozdanie</w:t>
      </w:r>
      <w:r w:rsidR="00E66B89" w:rsidRPr="00D21299">
        <w:rPr>
          <w:i/>
          <w:sz w:val="18"/>
          <w:szCs w:val="20"/>
        </w:rPr>
        <w:t xml:space="preserve"> z </w:t>
      </w:r>
      <w:r w:rsidRPr="00D21299">
        <w:rPr>
          <w:i/>
          <w:sz w:val="18"/>
          <w:szCs w:val="20"/>
        </w:rPr>
        <w:t>realizacji RPO WZ 2014-2020 za rok 2017.</w:t>
      </w:r>
    </w:p>
    <w:p w14:paraId="46F4814F" w14:textId="77777777" w:rsidR="00116CFB" w:rsidRPr="000A135E" w:rsidRDefault="00116CFB" w:rsidP="00116CFB">
      <w:pPr>
        <w:pStyle w:val="evaluTresc"/>
      </w:pPr>
      <w:r>
        <w:t>Z</w:t>
      </w:r>
      <w:r w:rsidRPr="000A135E">
        <w:t>godnie</w:t>
      </w:r>
      <w:r w:rsidR="00E66B89">
        <w:t xml:space="preserve"> z </w:t>
      </w:r>
      <w:r w:rsidRPr="000A135E">
        <w:t>logiką Działania 9.3</w:t>
      </w:r>
      <w:r>
        <w:t xml:space="preserve"> </w:t>
      </w:r>
      <w:r w:rsidRPr="000A135E">
        <w:t>–</w:t>
      </w:r>
      <w:r>
        <w:t xml:space="preserve"> </w:t>
      </w:r>
      <w:r w:rsidRPr="000A135E">
        <w:t xml:space="preserve">90% interwencji </w:t>
      </w:r>
      <w:r>
        <w:t xml:space="preserve">RPO WZ 2014-2020 realizowanej jest </w:t>
      </w:r>
      <w:r w:rsidRPr="000A135E">
        <w:t>na obszarze S</w:t>
      </w:r>
      <w:r>
        <w:t>S</w:t>
      </w:r>
      <w:r w:rsidRPr="000A135E">
        <w:t>W</w:t>
      </w:r>
      <w:r>
        <w:t>. Niemniej jednak analiza zakresu przedmiotowego projektów skłania do postawienia wniosku, że realizowane wsparcie</w:t>
      </w:r>
      <w:r w:rsidR="00E66B89">
        <w:t xml:space="preserve"> w </w:t>
      </w:r>
      <w:r w:rsidRPr="000A135E">
        <w:t>umiarkowanym zakresie przyczyni się do aktywizacji zawodowej</w:t>
      </w:r>
      <w:r>
        <w:t xml:space="preserve"> </w:t>
      </w:r>
      <w:r w:rsidRPr="000A135E">
        <w:t>czy też zmiany przesłanek sytuacji osobistej</w:t>
      </w:r>
      <w:r>
        <w:t>,</w:t>
      </w:r>
      <w:r w:rsidRPr="000A135E">
        <w:t xml:space="preserve"> kwalifikujących do pomocy społecznej. </w:t>
      </w:r>
      <w:r>
        <w:t xml:space="preserve">Realizowane interwencje dotyczą tworzenia przestrzeni publicznych, środowiskowych domów pomocy lub ośrodków integracji społecznej, rekreacji bądź modernizacji budynków mieszkalnych. </w:t>
      </w:r>
      <w:r w:rsidRPr="000A135E">
        <w:t xml:space="preserve">Analiza zakresu realizowanych projektów wskazuje </w:t>
      </w:r>
      <w:r>
        <w:t xml:space="preserve">więc </w:t>
      </w:r>
      <w:r w:rsidRPr="000A135E">
        <w:t>raczej na tworzenie warunków zapobiegających dziedziczeniu bezrobocia na terenie S</w:t>
      </w:r>
      <w:r>
        <w:t>S</w:t>
      </w:r>
      <w:r w:rsidRPr="000A135E">
        <w:t>W</w:t>
      </w:r>
      <w:r>
        <w:t>, niż warunków natychmiastowego wychodzenia</w:t>
      </w:r>
      <w:r w:rsidR="00E66B89">
        <w:t xml:space="preserve"> z </w:t>
      </w:r>
      <w:r>
        <w:t>systemu pomocy społecznej. E</w:t>
      </w:r>
      <w:r w:rsidRPr="000A135E">
        <w:t xml:space="preserve">fekty tego wsparcia </w:t>
      </w:r>
      <w:r>
        <w:t>– choć istotne</w:t>
      </w:r>
      <w:r w:rsidR="00E66B89">
        <w:t xml:space="preserve"> w </w:t>
      </w:r>
      <w:r>
        <w:t xml:space="preserve">skali lokalnej - </w:t>
      </w:r>
      <w:r w:rsidRPr="000A135E">
        <w:t>nie będą mogły jednak zostać odnotowane</w:t>
      </w:r>
      <w:r w:rsidR="00E66B89">
        <w:t xml:space="preserve"> w </w:t>
      </w:r>
      <w:r w:rsidRPr="000A135E">
        <w:t>bieżącym okresie programowania</w:t>
      </w:r>
      <w:r w:rsidR="00E66B89">
        <w:t xml:space="preserve"> w </w:t>
      </w:r>
      <w:r>
        <w:t>statystyce publicznej</w:t>
      </w:r>
      <w:r w:rsidRPr="000A135E">
        <w:t xml:space="preserve">. </w:t>
      </w:r>
    </w:p>
    <w:p w14:paraId="2D117F74"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Ocena potencjału absorpcyjnego </w:t>
      </w:r>
    </w:p>
    <w:p w14:paraId="1353511F" w14:textId="77777777" w:rsidR="00116CFB" w:rsidRPr="00F9159D" w:rsidRDefault="00116CFB" w:rsidP="00024F00">
      <w:pPr>
        <w:pStyle w:val="Legenda"/>
        <w:spacing w:after="0"/>
      </w:pPr>
      <w:bookmarkStart w:id="349" w:name="_Toc8824261"/>
      <w:r w:rsidRPr="00F9159D">
        <w:t xml:space="preserve">Tabela </w:t>
      </w:r>
      <w:r>
        <w:fldChar w:fldCharType="begin"/>
      </w:r>
      <w:r>
        <w:instrText xml:space="preserve"> SEQ Tabela \* ARABIC </w:instrText>
      </w:r>
      <w:r>
        <w:fldChar w:fldCharType="separate"/>
      </w:r>
      <w:r w:rsidR="00763345">
        <w:rPr>
          <w:noProof/>
        </w:rPr>
        <w:t>150</w:t>
      </w:r>
      <w:r>
        <w:fldChar w:fldCharType="end"/>
      </w:r>
      <w:r w:rsidRPr="00F9159D">
        <w:t xml:space="preserve"> Wysokość alokacji ogółem, alokacji głównej, rezerwy wykonania oraz poziom kontraktacji –</w:t>
      </w:r>
      <w:r w:rsidR="00E66B89">
        <w:t xml:space="preserve"> w </w:t>
      </w:r>
      <w:r w:rsidRPr="00F9159D">
        <w:t>ramach PI 9b</w:t>
      </w:r>
      <w:bookmarkEnd w:id="349"/>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133"/>
        <w:gridCol w:w="1133"/>
        <w:gridCol w:w="1275"/>
        <w:gridCol w:w="990"/>
        <w:gridCol w:w="1133"/>
        <w:gridCol w:w="1133"/>
        <w:gridCol w:w="1133"/>
      </w:tblGrid>
      <w:tr w:rsidR="00116CFB" w:rsidRPr="00B2711F" w14:paraId="686AF948" w14:textId="77777777" w:rsidTr="00C22C26">
        <w:trPr>
          <w:tblHeader/>
        </w:trPr>
        <w:tc>
          <w:tcPr>
            <w:tcW w:w="1132" w:type="dxa"/>
            <w:shd w:val="clear" w:color="auto" w:fill="DBE5F1"/>
          </w:tcPr>
          <w:p w14:paraId="7E5BCCC7" w14:textId="77777777" w:rsidR="00116CFB" w:rsidRPr="006558FF" w:rsidRDefault="00116CFB" w:rsidP="004742DC">
            <w:pPr>
              <w:jc w:val="center"/>
              <w:rPr>
                <w:sz w:val="18"/>
                <w:szCs w:val="20"/>
              </w:rPr>
            </w:pPr>
            <w:r w:rsidRPr="007F116A">
              <w:rPr>
                <w:rFonts w:cs="Calibri"/>
                <w:sz w:val="18"/>
                <w:szCs w:val="20"/>
              </w:rPr>
              <w:t>Działanie</w:t>
            </w:r>
          </w:p>
        </w:tc>
        <w:tc>
          <w:tcPr>
            <w:tcW w:w="1133" w:type="dxa"/>
            <w:shd w:val="clear" w:color="auto" w:fill="DBE5F1"/>
          </w:tcPr>
          <w:p w14:paraId="22CBE92D" w14:textId="77777777" w:rsidR="00116CFB" w:rsidRPr="00AF5126" w:rsidRDefault="00116CFB" w:rsidP="004742DC">
            <w:pPr>
              <w:jc w:val="center"/>
              <w:rPr>
                <w:sz w:val="18"/>
                <w:szCs w:val="20"/>
              </w:rPr>
            </w:pPr>
            <w:r w:rsidRPr="00AF5126">
              <w:rPr>
                <w:rFonts w:cs="Calibri"/>
                <w:sz w:val="18"/>
                <w:szCs w:val="20"/>
              </w:rPr>
              <w:t>CT</w:t>
            </w:r>
          </w:p>
        </w:tc>
        <w:tc>
          <w:tcPr>
            <w:tcW w:w="1133" w:type="dxa"/>
            <w:shd w:val="clear" w:color="auto" w:fill="DBE5F1"/>
          </w:tcPr>
          <w:p w14:paraId="03BD38FF" w14:textId="77777777" w:rsidR="00116CFB" w:rsidRPr="00AF5126" w:rsidRDefault="00116CFB" w:rsidP="004742DC">
            <w:pPr>
              <w:jc w:val="center"/>
              <w:rPr>
                <w:sz w:val="18"/>
                <w:szCs w:val="20"/>
              </w:rPr>
            </w:pPr>
            <w:r w:rsidRPr="00AF5126">
              <w:rPr>
                <w:rFonts w:cs="Calibri"/>
                <w:sz w:val="18"/>
                <w:szCs w:val="20"/>
              </w:rPr>
              <w:t>PI</w:t>
            </w:r>
          </w:p>
        </w:tc>
        <w:tc>
          <w:tcPr>
            <w:tcW w:w="1275" w:type="dxa"/>
            <w:shd w:val="clear" w:color="auto" w:fill="DBE5F1"/>
          </w:tcPr>
          <w:p w14:paraId="0D40335B" w14:textId="77777777" w:rsidR="00116CFB" w:rsidRPr="00AF5126" w:rsidRDefault="00116CFB" w:rsidP="004742DC">
            <w:pPr>
              <w:jc w:val="center"/>
              <w:rPr>
                <w:sz w:val="18"/>
                <w:szCs w:val="20"/>
              </w:rPr>
            </w:pPr>
            <w:r w:rsidRPr="00AF5126">
              <w:rPr>
                <w:rFonts w:cs="Calibri"/>
                <w:bCs/>
                <w:color w:val="000000"/>
                <w:sz w:val="18"/>
                <w:szCs w:val="20"/>
              </w:rPr>
              <w:t>Alokacja UE ogółem</w:t>
            </w:r>
            <w:r w:rsidRPr="00AF5126">
              <w:rPr>
                <w:rFonts w:cs="Calibri"/>
                <w:bCs/>
                <w:color w:val="000000"/>
                <w:sz w:val="18"/>
                <w:szCs w:val="20"/>
              </w:rPr>
              <w:br/>
              <w:t>[EUR]</w:t>
            </w:r>
            <w:r w:rsidRPr="00AF5126">
              <w:rPr>
                <w:rFonts w:cs="Calibri"/>
                <w:bCs/>
                <w:color w:val="000000"/>
                <w:sz w:val="18"/>
                <w:szCs w:val="20"/>
              </w:rPr>
              <w:br/>
              <w:t>(alokacja główna +rezerwa wykonania)</w:t>
            </w:r>
          </w:p>
        </w:tc>
        <w:tc>
          <w:tcPr>
            <w:tcW w:w="990" w:type="dxa"/>
            <w:shd w:val="clear" w:color="auto" w:fill="DBE5F1"/>
          </w:tcPr>
          <w:p w14:paraId="72FEDDAE" w14:textId="77777777" w:rsidR="00116CFB" w:rsidRPr="00AF5126" w:rsidRDefault="00116CFB" w:rsidP="004742DC">
            <w:pPr>
              <w:jc w:val="center"/>
              <w:rPr>
                <w:sz w:val="18"/>
                <w:szCs w:val="20"/>
              </w:rPr>
            </w:pPr>
            <w:r w:rsidRPr="00AF5126">
              <w:rPr>
                <w:rFonts w:cs="Calibri"/>
                <w:bCs/>
                <w:color w:val="000000"/>
                <w:sz w:val="18"/>
                <w:szCs w:val="20"/>
              </w:rPr>
              <w:t>Alokacja główna</w:t>
            </w:r>
            <w:r w:rsidRPr="00AF5126">
              <w:rPr>
                <w:rFonts w:cs="Calibri"/>
                <w:bCs/>
                <w:color w:val="000000"/>
                <w:sz w:val="18"/>
                <w:szCs w:val="20"/>
              </w:rPr>
              <w:br/>
              <w:t>[EUR]</w:t>
            </w:r>
          </w:p>
        </w:tc>
        <w:tc>
          <w:tcPr>
            <w:tcW w:w="1133" w:type="dxa"/>
            <w:shd w:val="clear" w:color="auto" w:fill="DBE5F1"/>
          </w:tcPr>
          <w:p w14:paraId="368B622F" w14:textId="77777777" w:rsidR="00116CFB" w:rsidRPr="00AF5126" w:rsidRDefault="00116CFB" w:rsidP="004742DC">
            <w:pPr>
              <w:jc w:val="center"/>
              <w:rPr>
                <w:sz w:val="18"/>
                <w:szCs w:val="20"/>
              </w:rPr>
            </w:pPr>
            <w:r w:rsidRPr="00AF5126">
              <w:rPr>
                <w:rFonts w:cs="Calibri"/>
                <w:bCs/>
                <w:color w:val="000000"/>
                <w:sz w:val="18"/>
                <w:szCs w:val="20"/>
              </w:rPr>
              <w:t>Rezerwa wykonania</w:t>
            </w:r>
            <w:r w:rsidRPr="00AF5126">
              <w:rPr>
                <w:rFonts w:cs="Calibri"/>
                <w:bCs/>
                <w:color w:val="000000"/>
                <w:sz w:val="18"/>
                <w:szCs w:val="20"/>
              </w:rPr>
              <w:br/>
              <w:t>[EUR]</w:t>
            </w:r>
          </w:p>
        </w:tc>
        <w:tc>
          <w:tcPr>
            <w:tcW w:w="1133" w:type="dxa"/>
            <w:shd w:val="clear" w:color="auto" w:fill="DBE5F1"/>
          </w:tcPr>
          <w:p w14:paraId="1C427639" w14:textId="77777777" w:rsidR="00116CFB" w:rsidRPr="006558FF" w:rsidRDefault="00116CFB" w:rsidP="004742DC">
            <w:pPr>
              <w:jc w:val="center"/>
              <w:rPr>
                <w:color w:val="FF0000"/>
                <w:sz w:val="18"/>
                <w:szCs w:val="20"/>
              </w:rPr>
            </w:pPr>
            <w:r w:rsidRPr="00AF5126">
              <w:rPr>
                <w:rFonts w:cs="Calibri"/>
                <w:sz w:val="18"/>
                <w:szCs w:val="20"/>
              </w:rPr>
              <w:t>Kontraktacja</w:t>
            </w:r>
            <w:r w:rsidR="00E66B89">
              <w:rPr>
                <w:rFonts w:cs="Calibri"/>
                <w:sz w:val="18"/>
                <w:szCs w:val="20"/>
              </w:rPr>
              <w:t xml:space="preserve"> z </w:t>
            </w:r>
            <w:r w:rsidRPr="00AF5126">
              <w:rPr>
                <w:rFonts w:cs="Calibri"/>
                <w:sz w:val="18"/>
                <w:szCs w:val="20"/>
              </w:rPr>
              <w:t>środkami rezerwy wykonania</w:t>
            </w:r>
            <w:r w:rsidRPr="007F116A">
              <w:rPr>
                <w:rFonts w:cs="Calibri"/>
                <w:sz w:val="18"/>
                <w:szCs w:val="20"/>
              </w:rPr>
              <w:t xml:space="preserve"> [%]</w:t>
            </w:r>
          </w:p>
        </w:tc>
        <w:tc>
          <w:tcPr>
            <w:tcW w:w="1133" w:type="dxa"/>
            <w:shd w:val="clear" w:color="auto" w:fill="DBE5F1"/>
          </w:tcPr>
          <w:p w14:paraId="3CBE37AF" w14:textId="77777777" w:rsidR="00116CFB" w:rsidRPr="006558FF" w:rsidRDefault="00116CFB" w:rsidP="004742DC">
            <w:pPr>
              <w:jc w:val="center"/>
              <w:rPr>
                <w:rFonts w:cs="Calibri"/>
                <w:sz w:val="18"/>
                <w:szCs w:val="20"/>
              </w:rPr>
            </w:pPr>
            <w:r w:rsidRPr="00AF5126">
              <w:rPr>
                <w:rFonts w:cs="Calibri"/>
                <w:sz w:val="18"/>
                <w:szCs w:val="20"/>
              </w:rPr>
              <w:t>Kontraktacja bez środków rezerwy wykonania</w:t>
            </w:r>
            <w:r w:rsidRPr="007F116A">
              <w:rPr>
                <w:rFonts w:cs="Calibri"/>
                <w:sz w:val="18"/>
                <w:szCs w:val="20"/>
              </w:rPr>
              <w:t xml:space="preserve"> [%]</w:t>
            </w:r>
          </w:p>
        </w:tc>
      </w:tr>
      <w:tr w:rsidR="00116CFB" w:rsidRPr="00B2711F" w14:paraId="3DF6D0AC" w14:textId="77777777" w:rsidTr="004742DC">
        <w:tc>
          <w:tcPr>
            <w:tcW w:w="1132" w:type="dxa"/>
            <w:shd w:val="clear" w:color="auto" w:fill="auto"/>
          </w:tcPr>
          <w:p w14:paraId="6AEA2EA6" w14:textId="77777777" w:rsidR="00116CFB" w:rsidRPr="00404DA5" w:rsidRDefault="00116CFB" w:rsidP="004742DC">
            <w:pPr>
              <w:jc w:val="center"/>
              <w:rPr>
                <w:sz w:val="18"/>
              </w:rPr>
            </w:pPr>
            <w:r w:rsidRPr="00404DA5">
              <w:rPr>
                <w:rFonts w:cs="Calibri"/>
                <w:color w:val="000000"/>
                <w:sz w:val="18"/>
                <w:szCs w:val="18"/>
              </w:rPr>
              <w:t>9.3</w:t>
            </w:r>
          </w:p>
        </w:tc>
        <w:tc>
          <w:tcPr>
            <w:tcW w:w="1133" w:type="dxa"/>
            <w:shd w:val="clear" w:color="auto" w:fill="auto"/>
          </w:tcPr>
          <w:p w14:paraId="350C7AEF" w14:textId="77777777" w:rsidR="00116CFB" w:rsidRPr="00404DA5" w:rsidRDefault="00116CFB" w:rsidP="004742DC">
            <w:pPr>
              <w:jc w:val="center"/>
              <w:rPr>
                <w:sz w:val="18"/>
              </w:rPr>
            </w:pPr>
            <w:r w:rsidRPr="00404DA5">
              <w:rPr>
                <w:rFonts w:cs="Calibri"/>
                <w:color w:val="000000"/>
                <w:sz w:val="18"/>
                <w:szCs w:val="18"/>
              </w:rPr>
              <w:t>9</w:t>
            </w:r>
          </w:p>
        </w:tc>
        <w:tc>
          <w:tcPr>
            <w:tcW w:w="1133" w:type="dxa"/>
            <w:shd w:val="clear" w:color="auto" w:fill="auto"/>
          </w:tcPr>
          <w:p w14:paraId="3AD4FA91" w14:textId="77777777" w:rsidR="00116CFB" w:rsidRPr="00404DA5" w:rsidRDefault="00116CFB" w:rsidP="004742DC">
            <w:pPr>
              <w:jc w:val="center"/>
              <w:rPr>
                <w:sz w:val="18"/>
              </w:rPr>
            </w:pPr>
            <w:r w:rsidRPr="00404DA5">
              <w:rPr>
                <w:rFonts w:cs="Calibri"/>
                <w:color w:val="000000"/>
                <w:sz w:val="18"/>
                <w:szCs w:val="18"/>
              </w:rPr>
              <w:t>9b</w:t>
            </w:r>
          </w:p>
        </w:tc>
        <w:tc>
          <w:tcPr>
            <w:tcW w:w="1275" w:type="dxa"/>
            <w:shd w:val="clear" w:color="auto" w:fill="auto"/>
          </w:tcPr>
          <w:p w14:paraId="179D5B0E" w14:textId="77777777" w:rsidR="00116CFB" w:rsidRPr="00404DA5" w:rsidRDefault="00116CFB" w:rsidP="004742DC">
            <w:pPr>
              <w:jc w:val="center"/>
              <w:rPr>
                <w:sz w:val="18"/>
              </w:rPr>
            </w:pPr>
            <w:r w:rsidRPr="00404DA5">
              <w:rPr>
                <w:rFonts w:cs="Calibri"/>
                <w:color w:val="000000"/>
                <w:sz w:val="18"/>
                <w:szCs w:val="18"/>
              </w:rPr>
              <w:t>40 000 000,00</w:t>
            </w:r>
          </w:p>
        </w:tc>
        <w:tc>
          <w:tcPr>
            <w:tcW w:w="990" w:type="dxa"/>
            <w:shd w:val="clear" w:color="auto" w:fill="auto"/>
          </w:tcPr>
          <w:p w14:paraId="0ABADB6A" w14:textId="77777777" w:rsidR="00116CFB" w:rsidRPr="00404DA5" w:rsidRDefault="00116CFB" w:rsidP="004742DC">
            <w:pPr>
              <w:jc w:val="center"/>
              <w:rPr>
                <w:sz w:val="18"/>
              </w:rPr>
            </w:pPr>
            <w:r w:rsidRPr="00404DA5">
              <w:rPr>
                <w:rFonts w:cs="Calibri"/>
                <w:color w:val="000000"/>
                <w:sz w:val="18"/>
                <w:szCs w:val="18"/>
              </w:rPr>
              <w:t>37 600 000,00</w:t>
            </w:r>
          </w:p>
        </w:tc>
        <w:tc>
          <w:tcPr>
            <w:tcW w:w="1133" w:type="dxa"/>
            <w:shd w:val="clear" w:color="auto" w:fill="auto"/>
          </w:tcPr>
          <w:p w14:paraId="3D80353E" w14:textId="77777777" w:rsidR="00116CFB" w:rsidRPr="00404DA5" w:rsidRDefault="00116CFB" w:rsidP="004742DC">
            <w:pPr>
              <w:jc w:val="center"/>
              <w:rPr>
                <w:sz w:val="18"/>
              </w:rPr>
            </w:pPr>
            <w:r w:rsidRPr="00404DA5">
              <w:rPr>
                <w:rFonts w:cs="Calibri"/>
                <w:color w:val="000000"/>
                <w:sz w:val="18"/>
                <w:szCs w:val="18"/>
              </w:rPr>
              <w:t>2 400 000,00</w:t>
            </w:r>
          </w:p>
        </w:tc>
        <w:tc>
          <w:tcPr>
            <w:tcW w:w="1133" w:type="dxa"/>
            <w:shd w:val="clear" w:color="auto" w:fill="auto"/>
          </w:tcPr>
          <w:p w14:paraId="7A876D27" w14:textId="77777777" w:rsidR="00116CFB" w:rsidRPr="00404DA5" w:rsidRDefault="00116CFB" w:rsidP="004742DC">
            <w:pPr>
              <w:jc w:val="center"/>
              <w:rPr>
                <w:rFonts w:cs="Calibri"/>
                <w:color w:val="000000"/>
                <w:sz w:val="18"/>
                <w:szCs w:val="18"/>
              </w:rPr>
            </w:pPr>
            <w:r w:rsidRPr="00404DA5">
              <w:rPr>
                <w:rFonts w:cs="Calibri"/>
                <w:color w:val="000000"/>
                <w:sz w:val="18"/>
                <w:szCs w:val="18"/>
              </w:rPr>
              <w:t>31,8%</w:t>
            </w:r>
          </w:p>
        </w:tc>
        <w:tc>
          <w:tcPr>
            <w:tcW w:w="1133" w:type="dxa"/>
            <w:shd w:val="clear" w:color="auto" w:fill="auto"/>
          </w:tcPr>
          <w:p w14:paraId="38736502" w14:textId="77777777" w:rsidR="00116CFB" w:rsidRPr="00404DA5" w:rsidRDefault="00116CFB" w:rsidP="004742DC">
            <w:pPr>
              <w:jc w:val="center"/>
              <w:rPr>
                <w:color w:val="000000"/>
                <w:sz w:val="18"/>
              </w:rPr>
            </w:pPr>
            <w:r w:rsidRPr="00404DA5">
              <w:rPr>
                <w:rFonts w:cs="Calibri"/>
                <w:color w:val="000000"/>
                <w:sz w:val="18"/>
                <w:szCs w:val="18"/>
              </w:rPr>
              <w:t>33,8%</w:t>
            </w:r>
          </w:p>
        </w:tc>
      </w:tr>
    </w:tbl>
    <w:p w14:paraId="40B0333F" w14:textId="63CDFB3A" w:rsidR="00116CFB" w:rsidRPr="00D21299" w:rsidRDefault="00116CFB" w:rsidP="001245CE">
      <w:pPr>
        <w:spacing w:before="0"/>
        <w:rPr>
          <w:i/>
          <w:sz w:val="18"/>
          <w:szCs w:val="20"/>
        </w:rPr>
      </w:pPr>
      <w:r w:rsidRPr="00D21299">
        <w:rPr>
          <w:i/>
          <w:sz w:val="18"/>
          <w:szCs w:val="20"/>
        </w:rPr>
        <w:t>Źródło: RPO WZ 2014-2020, Wysokość alokacji na podstawie danych przekazanych przez Zamawiającego (stan</w:t>
      </w:r>
      <w:r w:rsidR="00E66B89" w:rsidRPr="00D21299">
        <w:rPr>
          <w:i/>
          <w:sz w:val="18"/>
          <w:szCs w:val="20"/>
        </w:rPr>
        <w:t xml:space="preserve"> z </w:t>
      </w:r>
      <w:r w:rsidRPr="00D21299">
        <w:rPr>
          <w:i/>
          <w:sz w:val="18"/>
          <w:szCs w:val="20"/>
        </w:rPr>
        <w:t>dnia 7.01.2019 roku)</w:t>
      </w:r>
      <w:r w:rsidR="00AA6879">
        <w:rPr>
          <w:i/>
          <w:sz w:val="18"/>
          <w:szCs w:val="20"/>
        </w:rPr>
        <w:t>.</w:t>
      </w:r>
    </w:p>
    <w:p w14:paraId="42AACCC8" w14:textId="77777777" w:rsidR="00116CFB" w:rsidRPr="000A135E" w:rsidRDefault="00116CFB" w:rsidP="00116CFB">
      <w:pPr>
        <w:rPr>
          <w:color w:val="000000"/>
          <w:szCs w:val="20"/>
        </w:rPr>
      </w:pPr>
      <w:r w:rsidRPr="000A135E">
        <w:rPr>
          <w:rFonts w:eastAsia="Calibri"/>
          <w:szCs w:val="20"/>
        </w:rPr>
        <w:t>Stan zakontraktowania alokacji oraz analiza zakresu LPR gmin S</w:t>
      </w:r>
      <w:r>
        <w:rPr>
          <w:rFonts w:eastAsia="Calibri"/>
          <w:szCs w:val="20"/>
        </w:rPr>
        <w:t>S</w:t>
      </w:r>
      <w:r w:rsidRPr="000A135E">
        <w:rPr>
          <w:rFonts w:eastAsia="Calibri"/>
          <w:szCs w:val="20"/>
        </w:rPr>
        <w:t>W wskazują na wysoki potencjał dalszego pozyskiwania jednostek wskaźników. Niemniej jednak bieżący stan wdrażania</w:t>
      </w:r>
      <w:r w:rsidR="00E66B89">
        <w:rPr>
          <w:rFonts w:eastAsia="Calibri"/>
          <w:szCs w:val="20"/>
        </w:rPr>
        <w:t xml:space="preserve"> i </w:t>
      </w:r>
      <w:r w:rsidRPr="000A135E">
        <w:rPr>
          <w:rFonts w:eastAsia="Calibri"/>
          <w:szCs w:val="20"/>
        </w:rPr>
        <w:t>zagospodarowanie całej pozostałej alokacji</w:t>
      </w:r>
      <w:r w:rsidR="00E66B89">
        <w:rPr>
          <w:rFonts w:eastAsia="Calibri"/>
          <w:szCs w:val="20"/>
        </w:rPr>
        <w:t xml:space="preserve"> w </w:t>
      </w:r>
      <w:r w:rsidRPr="000A135E">
        <w:rPr>
          <w:rFonts w:eastAsia="Calibri"/>
          <w:szCs w:val="20"/>
        </w:rPr>
        <w:t>konkursie rozpoczętym</w:t>
      </w:r>
      <w:r w:rsidR="00E66B89">
        <w:rPr>
          <w:rFonts w:eastAsia="Calibri"/>
          <w:szCs w:val="20"/>
        </w:rPr>
        <w:t xml:space="preserve"> w </w:t>
      </w:r>
      <w:r w:rsidRPr="000A135E">
        <w:rPr>
          <w:rFonts w:eastAsia="Calibri"/>
          <w:szCs w:val="20"/>
        </w:rPr>
        <w:t>październiku 2018 roku</w:t>
      </w:r>
      <w:r>
        <w:rPr>
          <w:rFonts w:eastAsia="Calibri"/>
          <w:szCs w:val="20"/>
        </w:rPr>
        <w:t xml:space="preserve"> -</w:t>
      </w:r>
      <w:r w:rsidR="00E66B89">
        <w:rPr>
          <w:rFonts w:eastAsia="Calibri"/>
          <w:szCs w:val="20"/>
        </w:rPr>
        <w:t xml:space="preserve"> z </w:t>
      </w:r>
      <w:r w:rsidRPr="000A135E">
        <w:rPr>
          <w:rFonts w:eastAsia="Calibri"/>
          <w:szCs w:val="20"/>
        </w:rPr>
        <w:t>już ustalonym zestawem kryteriów oceny, bez rozstrzygnięcia naboru dającego informacje</w:t>
      </w:r>
      <w:r w:rsidR="00E66B89">
        <w:rPr>
          <w:rFonts w:eastAsia="Calibri"/>
          <w:szCs w:val="20"/>
        </w:rPr>
        <w:t xml:space="preserve"> o </w:t>
      </w:r>
      <w:r w:rsidRPr="000A135E">
        <w:rPr>
          <w:rFonts w:eastAsia="Calibri"/>
          <w:szCs w:val="20"/>
        </w:rPr>
        <w:t>typach działań</w:t>
      </w:r>
      <w:r w:rsidR="00E66B89">
        <w:rPr>
          <w:rFonts w:eastAsia="Calibri"/>
          <w:szCs w:val="20"/>
        </w:rPr>
        <w:t xml:space="preserve"> i </w:t>
      </w:r>
      <w:r w:rsidRPr="000A135E">
        <w:rPr>
          <w:rFonts w:eastAsia="Calibri"/>
          <w:szCs w:val="20"/>
        </w:rPr>
        <w:t>strukturze nadawanych nowych funkcji</w:t>
      </w:r>
      <w:r>
        <w:rPr>
          <w:rFonts w:eastAsia="Calibri"/>
          <w:szCs w:val="20"/>
        </w:rPr>
        <w:t xml:space="preserve"> -</w:t>
      </w:r>
      <w:r w:rsidRPr="000A135E">
        <w:rPr>
          <w:rFonts w:eastAsia="Calibri"/>
          <w:szCs w:val="20"/>
        </w:rPr>
        <w:t xml:space="preserve"> stwarza trudności we wnioskowaniu</w:t>
      </w:r>
      <w:r w:rsidR="00E66B89">
        <w:rPr>
          <w:rFonts w:eastAsia="Calibri"/>
          <w:szCs w:val="20"/>
        </w:rPr>
        <w:t xml:space="preserve"> o </w:t>
      </w:r>
      <w:r w:rsidRPr="000A135E">
        <w:rPr>
          <w:rFonts w:eastAsia="Calibri"/>
          <w:szCs w:val="20"/>
        </w:rPr>
        <w:t>skuteczności</w:t>
      </w:r>
      <w:r w:rsidR="00E66B89">
        <w:rPr>
          <w:rFonts w:eastAsia="Calibri"/>
          <w:szCs w:val="20"/>
        </w:rPr>
        <w:t xml:space="preserve"> i </w:t>
      </w:r>
      <w:r w:rsidRPr="000A135E">
        <w:rPr>
          <w:rFonts w:eastAsia="Calibri"/>
          <w:szCs w:val="20"/>
        </w:rPr>
        <w:t>użyteczności poszczególnych interwencji. Należy przy tym pamiętać, iż podstawowym uwarunkowaniem przyznawania wsparcia jest zgodność planowanych interwencji</w:t>
      </w:r>
      <w:r w:rsidR="00E66B89">
        <w:rPr>
          <w:rFonts w:eastAsia="Calibri"/>
          <w:szCs w:val="20"/>
        </w:rPr>
        <w:t xml:space="preserve"> z </w:t>
      </w:r>
      <w:r w:rsidRPr="000A135E">
        <w:rPr>
          <w:rFonts w:eastAsia="Calibri"/>
          <w:szCs w:val="20"/>
        </w:rPr>
        <w:t xml:space="preserve">zapisami Lokalnych </w:t>
      </w:r>
      <w:r w:rsidRPr="000A135E">
        <w:rPr>
          <w:rFonts w:eastAsia="Calibri"/>
          <w:szCs w:val="20"/>
        </w:rPr>
        <w:lastRenderedPageBreak/>
        <w:t>Programów Rewitalizacji oraz ich komplementarność do działań współfinansowanych</w:t>
      </w:r>
      <w:r w:rsidR="00E66B89">
        <w:rPr>
          <w:rFonts w:eastAsia="Calibri"/>
          <w:szCs w:val="20"/>
        </w:rPr>
        <w:t xml:space="preserve"> z </w:t>
      </w:r>
      <w:r w:rsidRPr="000A135E">
        <w:rPr>
          <w:rFonts w:eastAsia="Calibri"/>
          <w:szCs w:val="20"/>
        </w:rPr>
        <w:t>EFS</w:t>
      </w:r>
      <w:r w:rsidR="00E66B89">
        <w:rPr>
          <w:rFonts w:eastAsia="Calibri"/>
          <w:szCs w:val="20"/>
        </w:rPr>
        <w:t xml:space="preserve"> w </w:t>
      </w:r>
      <w:r w:rsidRPr="000A135E">
        <w:rPr>
          <w:rFonts w:eastAsia="Calibri"/>
          <w:szCs w:val="20"/>
        </w:rPr>
        <w:t>obszarze włączenia społecznego lub rynku pracy</w:t>
      </w:r>
      <w:r w:rsidRPr="000A135E">
        <w:rPr>
          <w:color w:val="000000"/>
          <w:szCs w:val="20"/>
        </w:rPr>
        <w:t xml:space="preserve">. </w:t>
      </w:r>
    </w:p>
    <w:p w14:paraId="2D7EE6C7" w14:textId="77777777" w:rsidR="00116CFB" w:rsidRPr="000A135E" w:rsidRDefault="00116CFB" w:rsidP="00116CFB">
      <w:pPr>
        <w:rPr>
          <w:color w:val="000000"/>
          <w:szCs w:val="20"/>
        </w:rPr>
      </w:pPr>
      <w:r w:rsidRPr="000A135E">
        <w:rPr>
          <w:color w:val="000000"/>
          <w:szCs w:val="20"/>
        </w:rPr>
        <w:t>Biorąc pod uwagę definicję specyficznego wskaźnika rezultatu wydaje się, iż pożądane byłoby wspieranie przede wszystkim tych projektów, które nadają rewitalizowanym obszarom funkcje gospodarcze bądź funkcje społeczne odnoszące się do wspierania aktywizacji zawodowej.</w:t>
      </w:r>
      <w:r w:rsidR="00E66B89">
        <w:rPr>
          <w:color w:val="000000"/>
          <w:szCs w:val="20"/>
        </w:rPr>
        <w:t xml:space="preserve"> W </w:t>
      </w:r>
      <w:r>
        <w:rPr>
          <w:color w:val="000000"/>
          <w:szCs w:val="20"/>
        </w:rPr>
        <w:t>obecnie realizowanych projektach d</w:t>
      </w:r>
      <w:r w:rsidRPr="000A135E">
        <w:rPr>
          <w:color w:val="000000"/>
          <w:szCs w:val="20"/>
        </w:rPr>
        <w:t>ominują interwencje aktywizujące społecznie, budujące relacje społeczne</w:t>
      </w:r>
      <w:r w:rsidR="00E66B89">
        <w:rPr>
          <w:color w:val="000000"/>
          <w:szCs w:val="20"/>
        </w:rPr>
        <w:t xml:space="preserve"> i </w:t>
      </w:r>
      <w:r w:rsidRPr="000A135E">
        <w:rPr>
          <w:color w:val="000000"/>
          <w:szCs w:val="20"/>
        </w:rPr>
        <w:t>poczucie użyteczności mieszkańców obszarów zdegradowanych</w:t>
      </w:r>
      <w:r>
        <w:rPr>
          <w:color w:val="000000"/>
          <w:szCs w:val="20"/>
        </w:rPr>
        <w:t>, co pozostaje</w:t>
      </w:r>
      <w:r w:rsidR="00E66B89">
        <w:rPr>
          <w:color w:val="000000"/>
          <w:szCs w:val="20"/>
        </w:rPr>
        <w:t xml:space="preserve"> w </w:t>
      </w:r>
      <w:r>
        <w:rPr>
          <w:color w:val="000000"/>
          <w:szCs w:val="20"/>
        </w:rPr>
        <w:t>zgodności</w:t>
      </w:r>
      <w:r w:rsidR="00E66B89">
        <w:rPr>
          <w:color w:val="000000"/>
          <w:szCs w:val="20"/>
        </w:rPr>
        <w:t xml:space="preserve"> z </w:t>
      </w:r>
      <w:r>
        <w:rPr>
          <w:color w:val="000000"/>
          <w:szCs w:val="20"/>
        </w:rPr>
        <w:t>zapisami wytycznych</w:t>
      </w:r>
      <w:r w:rsidR="00E66B89">
        <w:rPr>
          <w:color w:val="000000"/>
          <w:szCs w:val="20"/>
        </w:rPr>
        <w:t xml:space="preserve"> w </w:t>
      </w:r>
      <w:r>
        <w:rPr>
          <w:color w:val="000000"/>
          <w:szCs w:val="20"/>
        </w:rPr>
        <w:t>zakresie rewitalizacji, niemniej jednak nie oddziałuje</w:t>
      </w:r>
      <w:r w:rsidR="00E66B89">
        <w:rPr>
          <w:color w:val="000000"/>
          <w:szCs w:val="20"/>
        </w:rPr>
        <w:t xml:space="preserve"> w </w:t>
      </w:r>
      <w:r>
        <w:rPr>
          <w:color w:val="000000"/>
          <w:szCs w:val="20"/>
        </w:rPr>
        <w:t>istotnym stopniu na wskaźnik rezultatu strategicznego</w:t>
      </w:r>
      <w:r w:rsidRPr="000A135E">
        <w:rPr>
          <w:color w:val="000000"/>
          <w:szCs w:val="20"/>
        </w:rPr>
        <w:t>.</w:t>
      </w:r>
    </w:p>
    <w:p w14:paraId="78683D20"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Prognozy osiągnięcia celów zakładanych na 2023 rok</w:t>
      </w:r>
    </w:p>
    <w:p w14:paraId="51FDF6DA" w14:textId="77777777" w:rsidR="00116CFB" w:rsidRPr="00404DA5" w:rsidRDefault="00116CFB" w:rsidP="00116CFB">
      <w:pPr>
        <w:rPr>
          <w:rFonts w:cs="Calibri"/>
          <w:szCs w:val="20"/>
        </w:rPr>
      </w:pPr>
      <w:r w:rsidRPr="00404DA5">
        <w:rPr>
          <w:rFonts w:cs="Calibri"/>
          <w:szCs w:val="20"/>
        </w:rPr>
        <w:t>Obecny stan wdrażania Programu oraz wysoki potencjał aplikacyjny, przekraczający ramy finansowe PI 9b, przy niższych od zakładanych na etapie programowania kosztach jednostkowych</w:t>
      </w:r>
      <w:r>
        <w:rPr>
          <w:rFonts w:cs="Calibri"/>
          <w:szCs w:val="20"/>
        </w:rPr>
        <w:t>,</w:t>
      </w:r>
      <w:r w:rsidRPr="00404DA5">
        <w:rPr>
          <w:rFonts w:cs="Calibri"/>
          <w:szCs w:val="20"/>
        </w:rPr>
        <w:t xml:space="preserve"> zapewnia realizację wartości docelowych wskaźników określonych na rok 2023.</w:t>
      </w:r>
      <w:r w:rsidR="00E66B89">
        <w:rPr>
          <w:rFonts w:cs="Calibri"/>
          <w:szCs w:val="20"/>
        </w:rPr>
        <w:t xml:space="preserve"> W </w:t>
      </w:r>
      <w:r w:rsidRPr="00404DA5">
        <w:rPr>
          <w:rFonts w:cs="Calibri"/>
          <w:szCs w:val="20"/>
        </w:rPr>
        <w:t>trakcie realizacji interwencji może wystąpić in</w:t>
      </w:r>
      <w:r>
        <w:rPr>
          <w:rFonts w:cs="Calibri"/>
          <w:szCs w:val="20"/>
        </w:rPr>
        <w:t>gerencja</w:t>
      </w:r>
      <w:r w:rsidRPr="00404DA5">
        <w:rPr>
          <w:rFonts w:cs="Calibri"/>
          <w:szCs w:val="20"/>
        </w:rPr>
        <w:t xml:space="preserve"> czynnika gwałtownego wzrostu cen na materiały</w:t>
      </w:r>
      <w:r w:rsidR="00E66B89">
        <w:rPr>
          <w:rFonts w:cs="Calibri"/>
          <w:szCs w:val="20"/>
        </w:rPr>
        <w:t xml:space="preserve"> i </w:t>
      </w:r>
      <w:r w:rsidRPr="00404DA5">
        <w:rPr>
          <w:rFonts w:cs="Calibri"/>
          <w:szCs w:val="20"/>
        </w:rPr>
        <w:t>usługi budowlane, niemniej jednak wysok</w:t>
      </w:r>
      <w:r>
        <w:rPr>
          <w:rFonts w:cs="Calibri"/>
          <w:szCs w:val="20"/>
        </w:rPr>
        <w:t>i</w:t>
      </w:r>
      <w:r w:rsidRPr="00404DA5">
        <w:rPr>
          <w:rFonts w:cs="Calibri"/>
          <w:szCs w:val="20"/>
        </w:rPr>
        <w:t xml:space="preserve"> priorytet rewitalizacji</w:t>
      </w:r>
      <w:r w:rsidR="00E66B89">
        <w:rPr>
          <w:rFonts w:cs="Calibri"/>
          <w:szCs w:val="20"/>
        </w:rPr>
        <w:t xml:space="preserve"> w </w:t>
      </w:r>
      <w:r w:rsidRPr="00404DA5">
        <w:rPr>
          <w:rFonts w:cs="Calibri"/>
          <w:szCs w:val="20"/>
        </w:rPr>
        <w:t>strategiach lokalnych skłania do postawienia wniosku, że ryzyko osiągnięcia niższego</w:t>
      </w:r>
      <w:r>
        <w:rPr>
          <w:rFonts w:cs="Calibri"/>
          <w:szCs w:val="20"/>
        </w:rPr>
        <w:t>,</w:t>
      </w:r>
      <w:r w:rsidRPr="00404DA5">
        <w:rPr>
          <w:rFonts w:cs="Calibri"/>
          <w:szCs w:val="20"/>
        </w:rPr>
        <w:t xml:space="preserve"> od przyjętego przez beneficjentów</w:t>
      </w:r>
      <w:r>
        <w:rPr>
          <w:rFonts w:cs="Calibri"/>
          <w:szCs w:val="20"/>
        </w:rPr>
        <w:t>,</w:t>
      </w:r>
      <w:r w:rsidRPr="00404DA5">
        <w:rPr>
          <w:rFonts w:cs="Calibri"/>
          <w:szCs w:val="20"/>
        </w:rPr>
        <w:t xml:space="preserve"> stopnia </w:t>
      </w:r>
      <w:r>
        <w:rPr>
          <w:rFonts w:cs="Calibri"/>
          <w:szCs w:val="20"/>
        </w:rPr>
        <w:t>realizacji</w:t>
      </w:r>
      <w:r w:rsidRPr="00404DA5">
        <w:rPr>
          <w:rFonts w:cs="Calibri"/>
          <w:szCs w:val="20"/>
        </w:rPr>
        <w:t xml:space="preserve"> celów końcowych jest znikome. Ewentualne zwiększenie alokacji na Działanie </w:t>
      </w:r>
      <w:r>
        <w:rPr>
          <w:rFonts w:cs="Calibri"/>
          <w:szCs w:val="20"/>
        </w:rPr>
        <w:t>9.</w:t>
      </w:r>
      <w:r w:rsidRPr="00404DA5">
        <w:rPr>
          <w:rFonts w:cs="Calibri"/>
          <w:szCs w:val="20"/>
        </w:rPr>
        <w:t>3 nie byłoby zasadne ze względu na prognozowane osiągnięcie,</w:t>
      </w:r>
      <w:r w:rsidR="00E66B89">
        <w:rPr>
          <w:rFonts w:cs="Calibri"/>
          <w:szCs w:val="20"/>
        </w:rPr>
        <w:t xml:space="preserve"> a </w:t>
      </w:r>
      <w:r w:rsidRPr="00404DA5">
        <w:rPr>
          <w:rFonts w:cs="Calibri"/>
          <w:szCs w:val="20"/>
        </w:rPr>
        <w:t xml:space="preserve">nawet przekroczenie zobowiązań wskaźnikowych RPO WZ 2014-2020. </w:t>
      </w:r>
    </w:p>
    <w:p w14:paraId="16F3D759" w14:textId="77777777" w:rsidR="00116CFB" w:rsidRPr="008B706B" w:rsidRDefault="00116CFB" w:rsidP="00116CFB">
      <w:r w:rsidRPr="00547B02">
        <w:t>W ramach Działania 9.3 prognozuje się bowiem</w:t>
      </w:r>
      <w:r w:rsidR="00E66B89">
        <w:t xml:space="preserve"> w </w:t>
      </w:r>
      <w:r w:rsidRPr="00547B02">
        <w:t xml:space="preserve">kolejnych latach wdrażania dalszą kontraktację wskaźnika </w:t>
      </w:r>
      <w:r w:rsidRPr="008B706B">
        <w:rPr>
          <w:i/>
        </w:rPr>
        <w:t>Powierzchnia obszarów objętych rewitalizacją</w:t>
      </w:r>
      <w:r w:rsidR="00E66B89">
        <w:t xml:space="preserve"> w </w:t>
      </w:r>
      <w:r w:rsidRPr="00547B02">
        <w:t>wysokości 47 ha (przy zachowaniu</w:t>
      </w:r>
      <w:r>
        <w:t xml:space="preserve"> jego</w:t>
      </w:r>
      <w:r w:rsidRPr="00547B02">
        <w:t xml:space="preserve"> kosztu </w:t>
      </w:r>
      <w:r>
        <w:t>jednostkowego</w:t>
      </w:r>
      <w:r w:rsidR="00E66B89">
        <w:t xml:space="preserve"> w </w:t>
      </w:r>
      <w:r w:rsidRPr="00547B02">
        <w:t xml:space="preserve">wysokości </w:t>
      </w:r>
      <w:r w:rsidRPr="008B706B">
        <w:t>2 477 361,78 zł</w:t>
      </w:r>
      <w:r w:rsidR="00E66B89">
        <w:t xml:space="preserve"> z </w:t>
      </w:r>
      <w:r w:rsidRPr="008B706B">
        <w:t>uwzględnieniem indeksu inflacji WCPBM 1,0337</w:t>
      </w:r>
      <w:r w:rsidR="00E66B89">
        <w:t xml:space="preserve"> w </w:t>
      </w:r>
      <w:r w:rsidRPr="008B706B">
        <w:t>ramach pozostałych 64% alokacji przeznaczonej na PI 9b)</w:t>
      </w:r>
      <w:r w:rsidRPr="00547B02">
        <w:t>, co łącznie</w:t>
      </w:r>
      <w:r w:rsidR="00E66B89">
        <w:t xml:space="preserve"> z </w:t>
      </w:r>
      <w:r w:rsidRPr="00547B02">
        <w:t>wysokością wskaźnika założoną</w:t>
      </w:r>
      <w:r w:rsidR="00E66B89">
        <w:t xml:space="preserve"> w </w:t>
      </w:r>
      <w:r w:rsidRPr="00547B02">
        <w:t>podpisanych umowach</w:t>
      </w:r>
      <w:r w:rsidR="00E66B89">
        <w:t xml:space="preserve"> o </w:t>
      </w:r>
      <w:r w:rsidRPr="00547B02">
        <w:t>dofinansowanie pozwoli na jego osiągnięcie</w:t>
      </w:r>
      <w:r w:rsidR="00E66B89">
        <w:t xml:space="preserve"> w </w:t>
      </w:r>
      <w:r w:rsidRPr="00547B02">
        <w:t>liczbie 70 ha</w:t>
      </w:r>
      <w:r>
        <w:t>,</w:t>
      </w:r>
      <w:r w:rsidR="00E66B89">
        <w:t xml:space="preserve"> a </w:t>
      </w:r>
      <w:r w:rsidRPr="00547B02">
        <w:t>więc 479,2% wartości docelowej. Podobnie też</w:t>
      </w:r>
      <w:r>
        <w:t>,</w:t>
      </w:r>
      <w:r w:rsidR="00E66B89">
        <w:t xml:space="preserve"> w </w:t>
      </w:r>
      <w:r w:rsidRPr="00547B02">
        <w:t xml:space="preserve">ramach pozostałej alokacji możliwe będzie pozyskanie dalszych </w:t>
      </w:r>
      <w:r w:rsidRPr="008B706B">
        <w:t xml:space="preserve">181 jednostek wskaźnika </w:t>
      </w:r>
      <w:r w:rsidRPr="008B706B">
        <w:rPr>
          <w:i/>
        </w:rPr>
        <w:t>Liczba obiektów zlokalizowanych na zrewitalizowanych obszarach</w:t>
      </w:r>
      <w:r w:rsidRPr="008B706B">
        <w:t>, co łącznie pozwoli na osiągnięcie przedmiotowego miernika</w:t>
      </w:r>
      <w:r w:rsidR="00E66B89">
        <w:t xml:space="preserve"> w </w:t>
      </w:r>
      <w:r w:rsidRPr="008B706B">
        <w:t>wysokości 259 sztuk</w:t>
      </w:r>
      <w:r>
        <w:t>,</w:t>
      </w:r>
      <w:r w:rsidRPr="008B706B">
        <w:t xml:space="preserve"> czyli 162,1% wartości docelowej</w:t>
      </w:r>
      <w:r w:rsidRPr="0089503F">
        <w:rPr>
          <w:vertAlign w:val="superscript"/>
        </w:rPr>
        <w:footnoteReference w:id="133"/>
      </w:r>
      <w:r w:rsidRPr="008B706B">
        <w:t xml:space="preserve">. </w:t>
      </w:r>
      <w:r w:rsidRPr="00547B02">
        <w:t>Zaleca się więc rozważenie zwiększenia wartości docelowej wskaźników programowych PI 9b do wartości wynikającej</w:t>
      </w:r>
      <w:r w:rsidR="00E66B89">
        <w:t xml:space="preserve"> z </w:t>
      </w:r>
      <w:r>
        <w:t>podpisanych umów.</w:t>
      </w:r>
    </w:p>
    <w:p w14:paraId="2399361E" w14:textId="77777777" w:rsidR="00116CFB" w:rsidRPr="00024F00" w:rsidRDefault="00116CFB" w:rsidP="00024F00">
      <w:pPr>
        <w:pStyle w:val="Legenda"/>
        <w:spacing w:after="0"/>
      </w:pPr>
      <w:bookmarkStart w:id="350" w:name="_Toc8824262"/>
      <w:r w:rsidRPr="00404DA5">
        <w:t xml:space="preserve">Tabela </w:t>
      </w:r>
      <w:r>
        <w:fldChar w:fldCharType="begin"/>
      </w:r>
      <w:r>
        <w:instrText xml:space="preserve"> SEQ Tabela \* ARABIC </w:instrText>
      </w:r>
      <w:r>
        <w:fldChar w:fldCharType="separate"/>
      </w:r>
      <w:r w:rsidR="00763345">
        <w:rPr>
          <w:noProof/>
        </w:rPr>
        <w:t>151</w:t>
      </w:r>
      <w:r>
        <w:fldChar w:fldCharType="end"/>
      </w:r>
      <w:r w:rsidRPr="00404DA5">
        <w:t xml:space="preserve"> Prognozowany poziom realizacji wskaźników produktu</w:t>
      </w:r>
      <w:r w:rsidR="00E66B89">
        <w:t xml:space="preserve"> i </w:t>
      </w:r>
      <w:r w:rsidRPr="00404DA5">
        <w:t>rezultatu bezpośredniego na rok 2023– PI 9b</w:t>
      </w:r>
      <w:bookmarkEnd w:id="350"/>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236"/>
        <w:gridCol w:w="1366"/>
        <w:gridCol w:w="1948"/>
        <w:gridCol w:w="1955"/>
      </w:tblGrid>
      <w:tr w:rsidR="00116CFB" w:rsidRPr="00B2711F" w14:paraId="36F43424" w14:textId="77777777" w:rsidTr="00C22C26">
        <w:trPr>
          <w:trHeight w:val="1376"/>
          <w:tblHeader/>
        </w:trPr>
        <w:tc>
          <w:tcPr>
            <w:tcW w:w="797" w:type="pct"/>
            <w:shd w:val="clear" w:color="auto" w:fill="DBE5F1"/>
          </w:tcPr>
          <w:p w14:paraId="47BDECFF" w14:textId="77777777" w:rsidR="00116CFB" w:rsidRPr="006558FF" w:rsidRDefault="00116CFB" w:rsidP="004742DC">
            <w:pPr>
              <w:jc w:val="center"/>
              <w:rPr>
                <w:rFonts w:cs="Calibri"/>
                <w:sz w:val="18"/>
                <w:szCs w:val="20"/>
              </w:rPr>
            </w:pPr>
            <w:r w:rsidRPr="007F116A">
              <w:rPr>
                <w:rFonts w:cs="Calibri"/>
                <w:sz w:val="18"/>
                <w:szCs w:val="20"/>
              </w:rPr>
              <w:t>Typ wskaźnika</w:t>
            </w:r>
          </w:p>
        </w:tc>
        <w:tc>
          <w:tcPr>
            <w:tcW w:w="1252" w:type="pct"/>
            <w:shd w:val="clear" w:color="auto" w:fill="DBE5F1"/>
          </w:tcPr>
          <w:p w14:paraId="5C39D325" w14:textId="77777777" w:rsidR="00116CFB" w:rsidRPr="00AF5126" w:rsidRDefault="00116CFB" w:rsidP="004742DC">
            <w:pPr>
              <w:jc w:val="center"/>
              <w:rPr>
                <w:rFonts w:cs="Calibri"/>
                <w:sz w:val="18"/>
                <w:szCs w:val="20"/>
              </w:rPr>
            </w:pPr>
            <w:r w:rsidRPr="00AF5126">
              <w:rPr>
                <w:rFonts w:cs="Calibri"/>
                <w:sz w:val="18"/>
                <w:szCs w:val="20"/>
              </w:rPr>
              <w:t>Wskaźnik</w:t>
            </w:r>
          </w:p>
        </w:tc>
        <w:tc>
          <w:tcPr>
            <w:tcW w:w="765" w:type="pct"/>
            <w:shd w:val="clear" w:color="auto" w:fill="DBE5F1"/>
          </w:tcPr>
          <w:p w14:paraId="31660A7C" w14:textId="77777777" w:rsidR="00116CFB" w:rsidRPr="00AF5126" w:rsidRDefault="00116CFB" w:rsidP="004742DC">
            <w:pPr>
              <w:jc w:val="center"/>
              <w:rPr>
                <w:rFonts w:cs="Calibri"/>
                <w:sz w:val="18"/>
                <w:szCs w:val="20"/>
              </w:rPr>
            </w:pPr>
            <w:r w:rsidRPr="00AF5126">
              <w:rPr>
                <w:rFonts w:cs="Calibri"/>
                <w:sz w:val="18"/>
                <w:szCs w:val="20"/>
              </w:rPr>
              <w:t>Wartość docelowa określona na 2023 rok</w:t>
            </w:r>
          </w:p>
        </w:tc>
        <w:tc>
          <w:tcPr>
            <w:tcW w:w="1091" w:type="pct"/>
            <w:shd w:val="clear" w:color="auto" w:fill="DBE5F1"/>
          </w:tcPr>
          <w:p w14:paraId="32ACFAEF" w14:textId="77777777" w:rsidR="00116CFB" w:rsidRPr="00AF5126" w:rsidRDefault="00116CFB" w:rsidP="004742DC">
            <w:pPr>
              <w:jc w:val="center"/>
              <w:rPr>
                <w:rFonts w:cs="Calibri"/>
                <w:sz w:val="18"/>
                <w:szCs w:val="20"/>
              </w:rPr>
            </w:pPr>
            <w:r w:rsidRPr="00AF5126">
              <w:rPr>
                <w:rFonts w:cs="Calibri"/>
                <w:sz w:val="18"/>
                <w:szCs w:val="20"/>
              </w:rPr>
              <w:t xml:space="preserve">Prognozowana całkowita wartość wskaźnika </w:t>
            </w:r>
          </w:p>
        </w:tc>
        <w:tc>
          <w:tcPr>
            <w:tcW w:w="1095" w:type="pct"/>
            <w:shd w:val="clear" w:color="auto" w:fill="DBE5F1"/>
          </w:tcPr>
          <w:p w14:paraId="31236C08" w14:textId="77777777" w:rsidR="00116CFB" w:rsidRPr="00AF5126" w:rsidRDefault="00116CFB" w:rsidP="004742DC">
            <w:pPr>
              <w:jc w:val="center"/>
              <w:rPr>
                <w:rFonts w:cs="Calibri"/>
                <w:sz w:val="18"/>
                <w:szCs w:val="20"/>
              </w:rPr>
            </w:pPr>
            <w:r w:rsidRPr="00AF5126">
              <w:rPr>
                <w:rFonts w:cs="Calibri"/>
                <w:sz w:val="18"/>
                <w:szCs w:val="20"/>
              </w:rPr>
              <w:t>Prognozowany % realizacji wartości docelowej</w:t>
            </w:r>
          </w:p>
        </w:tc>
      </w:tr>
      <w:tr w:rsidR="00116CFB" w:rsidRPr="00B2711F" w14:paraId="4CB9E86C" w14:textId="77777777" w:rsidTr="004742DC">
        <w:trPr>
          <w:trHeight w:val="1376"/>
        </w:trPr>
        <w:tc>
          <w:tcPr>
            <w:tcW w:w="797" w:type="pct"/>
            <w:shd w:val="clear" w:color="auto" w:fill="auto"/>
          </w:tcPr>
          <w:p w14:paraId="51811C9F" w14:textId="77777777" w:rsidR="00116CFB" w:rsidRPr="007F116A" w:rsidRDefault="00116CFB" w:rsidP="004742DC">
            <w:pPr>
              <w:jc w:val="center"/>
              <w:rPr>
                <w:rFonts w:cs="Calibri"/>
                <w:sz w:val="18"/>
                <w:szCs w:val="20"/>
              </w:rPr>
            </w:pPr>
            <w:r w:rsidRPr="00404DA5">
              <w:rPr>
                <w:rFonts w:cs="Calibri"/>
                <w:sz w:val="18"/>
                <w:szCs w:val="20"/>
              </w:rPr>
              <w:t>WP</w:t>
            </w:r>
          </w:p>
        </w:tc>
        <w:tc>
          <w:tcPr>
            <w:tcW w:w="1252" w:type="pct"/>
            <w:shd w:val="clear" w:color="auto" w:fill="auto"/>
          </w:tcPr>
          <w:p w14:paraId="6133EDE8" w14:textId="77777777" w:rsidR="00116CFB" w:rsidRPr="00AF5126" w:rsidRDefault="00116CFB" w:rsidP="004742DC">
            <w:pPr>
              <w:jc w:val="center"/>
              <w:rPr>
                <w:rFonts w:cs="Calibri"/>
                <w:sz w:val="18"/>
                <w:szCs w:val="20"/>
              </w:rPr>
            </w:pPr>
            <w:r w:rsidRPr="00404DA5">
              <w:rPr>
                <w:rFonts w:cs="Calibri"/>
                <w:color w:val="000000"/>
                <w:sz w:val="18"/>
                <w:szCs w:val="20"/>
              </w:rPr>
              <w:t>Powierzchnia obszarów objętych rewitalizacją</w:t>
            </w:r>
          </w:p>
        </w:tc>
        <w:tc>
          <w:tcPr>
            <w:tcW w:w="765" w:type="pct"/>
            <w:shd w:val="clear" w:color="auto" w:fill="auto"/>
            <w:vAlign w:val="center"/>
          </w:tcPr>
          <w:p w14:paraId="203AB792" w14:textId="77777777" w:rsidR="00116CFB" w:rsidRPr="00AF5126" w:rsidRDefault="00116CFB" w:rsidP="004742DC">
            <w:pPr>
              <w:jc w:val="center"/>
              <w:rPr>
                <w:rFonts w:cs="Calibri"/>
                <w:sz w:val="18"/>
                <w:szCs w:val="20"/>
              </w:rPr>
            </w:pPr>
            <w:r w:rsidRPr="00C43AF6">
              <w:rPr>
                <w:sz w:val="18"/>
              </w:rPr>
              <w:t>14,54</w:t>
            </w:r>
          </w:p>
        </w:tc>
        <w:tc>
          <w:tcPr>
            <w:tcW w:w="1091" w:type="pct"/>
            <w:shd w:val="clear" w:color="auto" w:fill="auto"/>
            <w:vAlign w:val="center"/>
          </w:tcPr>
          <w:p w14:paraId="07A13129" w14:textId="77777777" w:rsidR="00116CFB" w:rsidRPr="00AF5126" w:rsidRDefault="00116CFB" w:rsidP="004742DC">
            <w:pPr>
              <w:jc w:val="center"/>
              <w:rPr>
                <w:rFonts w:cs="Calibri"/>
                <w:sz w:val="18"/>
                <w:szCs w:val="20"/>
              </w:rPr>
            </w:pPr>
            <w:r w:rsidRPr="00404DA5">
              <w:rPr>
                <w:rFonts w:cs="Calibri"/>
                <w:sz w:val="18"/>
                <w:szCs w:val="20"/>
              </w:rPr>
              <w:t>70</w:t>
            </w:r>
          </w:p>
        </w:tc>
        <w:tc>
          <w:tcPr>
            <w:tcW w:w="1095" w:type="pct"/>
            <w:shd w:val="clear" w:color="auto" w:fill="auto"/>
            <w:vAlign w:val="center"/>
          </w:tcPr>
          <w:p w14:paraId="4DE7B28F" w14:textId="77777777" w:rsidR="00116CFB" w:rsidRPr="00AF5126" w:rsidRDefault="00116CFB" w:rsidP="004742DC">
            <w:pPr>
              <w:jc w:val="center"/>
              <w:rPr>
                <w:rFonts w:cs="Calibri"/>
                <w:sz w:val="18"/>
                <w:szCs w:val="20"/>
              </w:rPr>
            </w:pPr>
            <w:r w:rsidRPr="00404DA5">
              <w:rPr>
                <w:rFonts w:cs="Calibri"/>
                <w:sz w:val="18"/>
                <w:szCs w:val="20"/>
              </w:rPr>
              <w:t>479,2%</w:t>
            </w:r>
          </w:p>
        </w:tc>
      </w:tr>
      <w:tr w:rsidR="00116CFB" w:rsidRPr="00B2711F" w14:paraId="3B3FF1AA" w14:textId="77777777" w:rsidTr="004742DC">
        <w:trPr>
          <w:trHeight w:val="1376"/>
        </w:trPr>
        <w:tc>
          <w:tcPr>
            <w:tcW w:w="797" w:type="pct"/>
            <w:shd w:val="clear" w:color="auto" w:fill="auto"/>
          </w:tcPr>
          <w:p w14:paraId="13165439" w14:textId="77777777" w:rsidR="00116CFB" w:rsidRPr="007F116A" w:rsidRDefault="00116CFB" w:rsidP="004742DC">
            <w:pPr>
              <w:jc w:val="center"/>
              <w:rPr>
                <w:rFonts w:cs="Calibri"/>
                <w:sz w:val="18"/>
                <w:szCs w:val="20"/>
              </w:rPr>
            </w:pPr>
            <w:r w:rsidRPr="00404DA5">
              <w:rPr>
                <w:rFonts w:cs="Calibri"/>
                <w:sz w:val="18"/>
                <w:szCs w:val="20"/>
              </w:rPr>
              <w:lastRenderedPageBreak/>
              <w:t>WP</w:t>
            </w:r>
          </w:p>
        </w:tc>
        <w:tc>
          <w:tcPr>
            <w:tcW w:w="1252" w:type="pct"/>
            <w:shd w:val="clear" w:color="auto" w:fill="auto"/>
          </w:tcPr>
          <w:p w14:paraId="5AA9D224" w14:textId="77777777" w:rsidR="00116CFB" w:rsidRPr="00AF5126" w:rsidRDefault="00116CFB" w:rsidP="004742DC">
            <w:pPr>
              <w:jc w:val="center"/>
              <w:rPr>
                <w:rFonts w:cs="Calibri"/>
                <w:sz w:val="18"/>
                <w:szCs w:val="20"/>
              </w:rPr>
            </w:pPr>
            <w:r w:rsidRPr="00404DA5">
              <w:rPr>
                <w:rFonts w:cs="Calibri"/>
                <w:color w:val="000000"/>
                <w:sz w:val="18"/>
                <w:szCs w:val="20"/>
              </w:rPr>
              <w:t>Liczba obiektów infrastruktury zlokalizowanych na rewitalizowanych obszarach</w:t>
            </w:r>
          </w:p>
        </w:tc>
        <w:tc>
          <w:tcPr>
            <w:tcW w:w="765" w:type="pct"/>
            <w:shd w:val="clear" w:color="auto" w:fill="auto"/>
            <w:vAlign w:val="center"/>
          </w:tcPr>
          <w:p w14:paraId="3FEF9B33" w14:textId="77777777" w:rsidR="00116CFB" w:rsidRPr="00AF5126" w:rsidRDefault="00116CFB" w:rsidP="004742DC">
            <w:pPr>
              <w:jc w:val="center"/>
              <w:rPr>
                <w:rFonts w:cs="Calibri"/>
                <w:sz w:val="18"/>
                <w:szCs w:val="20"/>
              </w:rPr>
            </w:pPr>
            <w:r w:rsidRPr="00404DA5">
              <w:rPr>
                <w:rFonts w:cs="Calibri"/>
                <w:color w:val="000000"/>
                <w:sz w:val="18"/>
                <w:szCs w:val="20"/>
              </w:rPr>
              <w:t>160</w:t>
            </w:r>
          </w:p>
        </w:tc>
        <w:tc>
          <w:tcPr>
            <w:tcW w:w="1091" w:type="pct"/>
            <w:shd w:val="clear" w:color="auto" w:fill="auto"/>
            <w:vAlign w:val="center"/>
          </w:tcPr>
          <w:p w14:paraId="6621D17C" w14:textId="77777777" w:rsidR="00116CFB" w:rsidRPr="00AF5126" w:rsidRDefault="00116CFB" w:rsidP="004742DC">
            <w:pPr>
              <w:jc w:val="center"/>
              <w:rPr>
                <w:rFonts w:cs="Calibri"/>
                <w:sz w:val="18"/>
                <w:szCs w:val="20"/>
              </w:rPr>
            </w:pPr>
            <w:r w:rsidRPr="00404DA5">
              <w:rPr>
                <w:rFonts w:cs="Calibri"/>
                <w:sz w:val="18"/>
                <w:szCs w:val="20"/>
              </w:rPr>
              <w:t>259</w:t>
            </w:r>
          </w:p>
        </w:tc>
        <w:tc>
          <w:tcPr>
            <w:tcW w:w="1095" w:type="pct"/>
            <w:shd w:val="clear" w:color="auto" w:fill="auto"/>
            <w:vAlign w:val="center"/>
          </w:tcPr>
          <w:p w14:paraId="3A6E79B5" w14:textId="77777777" w:rsidR="00116CFB" w:rsidRPr="00AF5126" w:rsidRDefault="00116CFB" w:rsidP="004742DC">
            <w:pPr>
              <w:jc w:val="center"/>
              <w:rPr>
                <w:rFonts w:cs="Calibri"/>
                <w:sz w:val="18"/>
                <w:szCs w:val="20"/>
              </w:rPr>
            </w:pPr>
            <w:r w:rsidRPr="00404DA5">
              <w:rPr>
                <w:rFonts w:cs="Calibri"/>
                <w:sz w:val="18"/>
                <w:szCs w:val="20"/>
              </w:rPr>
              <w:t>162,1%</w:t>
            </w:r>
          </w:p>
        </w:tc>
      </w:tr>
    </w:tbl>
    <w:p w14:paraId="1F26E997" w14:textId="77777777" w:rsidR="00116CFB" w:rsidRPr="00D21299" w:rsidRDefault="00116CFB" w:rsidP="001245CE">
      <w:pPr>
        <w:spacing w:before="0"/>
        <w:rPr>
          <w:i/>
          <w:sz w:val="18"/>
          <w:szCs w:val="20"/>
        </w:rPr>
      </w:pPr>
      <w:r w:rsidRPr="00D21299">
        <w:rPr>
          <w:i/>
          <w:sz w:val="18"/>
          <w:szCs w:val="20"/>
        </w:rPr>
        <w:t xml:space="preserve">Źródło: </w:t>
      </w:r>
      <w:r w:rsidRPr="00D21299">
        <w:rPr>
          <w:i/>
          <w:sz w:val="18"/>
          <w:szCs w:val="20"/>
        </w:rPr>
        <w:tab/>
        <w:t>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 xml:space="preserve">zawartych UoD na dzień 07.01.2019 r., obliczenia własne. </w:t>
      </w:r>
    </w:p>
    <w:p w14:paraId="32DC0FBC"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Możliwości zarządzania środkami rezerwy wykonania</w:t>
      </w:r>
      <w:r w:rsidR="00E66B89">
        <w:rPr>
          <w:rFonts w:ascii="Lato" w:eastAsia="Calibri" w:hAnsi="Lato"/>
          <w:szCs w:val="20"/>
        </w:rPr>
        <w:t xml:space="preserve"> i </w:t>
      </w:r>
      <w:r w:rsidRPr="004B371B">
        <w:rPr>
          <w:rFonts w:ascii="Lato" w:eastAsia="Calibri" w:hAnsi="Lato"/>
          <w:szCs w:val="20"/>
        </w:rPr>
        <w:t>identyfikacja obszarów wymagających interwencji - podsumowanie</w:t>
      </w:r>
    </w:p>
    <w:p w14:paraId="3F547CE2" w14:textId="77777777" w:rsidR="00116CFB" w:rsidRPr="008755C3" w:rsidRDefault="00116CFB" w:rsidP="00116CFB">
      <w:r w:rsidRPr="004D7DAD">
        <w:t>W PI 9b prognozowane jest przekroczenie celów końcowych Działania 9.3. Obecny stan kontraktacji pozwala na dalsze osiąganie wskaźników programowych Działania 9.3</w:t>
      </w:r>
      <w:r w:rsidR="00E66B89">
        <w:t xml:space="preserve"> w </w:t>
      </w:r>
      <w:r w:rsidRPr="004D7DAD">
        <w:t>ramach pozostałej alokacji. PI</w:t>
      </w:r>
      <w:r w:rsidR="00C22C26">
        <w:t xml:space="preserve"> </w:t>
      </w:r>
      <w:r w:rsidRPr="006558FF">
        <w:t>wykazuje wysoką wrażliwość na ewentualne zwiększeni</w:t>
      </w:r>
      <w:r w:rsidRPr="008B706B">
        <w:t>e dofinansowania ze względu na wysokie potrzeby regionu oraz wysoki potencjał aplikacyjny mierzony zakresem projektów rewitalizacyjnych wyszczególnionych</w:t>
      </w:r>
      <w:r w:rsidR="00E66B89">
        <w:t xml:space="preserve"> w </w:t>
      </w:r>
      <w:r w:rsidRPr="008B706B">
        <w:t>Lokalnych Programach Rewitalizacji</w:t>
      </w:r>
      <w:r>
        <w:t>,</w:t>
      </w:r>
      <w:r w:rsidRPr="008B706B">
        <w:t xml:space="preserve"> ze szczególnym uwzględnieniem SS</w:t>
      </w:r>
      <w:r w:rsidRPr="004D7DAD">
        <w:t>W.</w:t>
      </w:r>
    </w:p>
    <w:p w14:paraId="2747BEEC" w14:textId="77777777" w:rsidR="00116CFB" w:rsidRPr="004D7DAD" w:rsidRDefault="00116CFB" w:rsidP="00116CFB">
      <w:r>
        <w:t>W dokumencie programowym założono, iż p</w:t>
      </w:r>
      <w:r w:rsidRPr="005B4689">
        <w:t>rzedsięwzięcia skoncentrują się na rewitalizacji obszarów po byłych państwowych gospodarstwach rolnych,</w:t>
      </w:r>
      <w:r w:rsidR="00E66B89">
        <w:t xml:space="preserve"> a </w:t>
      </w:r>
      <w:r w:rsidRPr="005B4689">
        <w:t>także terenów poprzemysłowych, powojskowych,</w:t>
      </w:r>
      <w:r w:rsidR="00E66B89">
        <w:t xml:space="preserve"> a w </w:t>
      </w:r>
      <w:r w:rsidRPr="005B4689">
        <w:t>drugiej kolejności na niedoinwestowanych</w:t>
      </w:r>
      <w:r w:rsidR="00E66B89">
        <w:t xml:space="preserve"> i </w:t>
      </w:r>
      <w:r w:rsidRPr="005B4689">
        <w:t>zaniedbanych obszarach miejskich</w:t>
      </w:r>
      <w:r>
        <w:t>. Zakładane</w:t>
      </w:r>
      <w:r w:rsidR="00E66B89">
        <w:t xml:space="preserve"> w </w:t>
      </w:r>
      <w:r>
        <w:t xml:space="preserve">RPO WZ 2014-2020 typy projektów odnoszą się do </w:t>
      </w:r>
      <w:r w:rsidRPr="005B4689">
        <w:t>przebudowy lub adaptacji zdegradowanych budynków, obiektów, terenów</w:t>
      </w:r>
      <w:r w:rsidR="00E66B89">
        <w:t xml:space="preserve"> i </w:t>
      </w:r>
      <w:r w:rsidRPr="005B4689">
        <w:t>przestrzeni</w:t>
      </w:r>
      <w:r w:rsidR="00E66B89">
        <w:t xml:space="preserve"> w </w:t>
      </w:r>
      <w:r w:rsidRPr="005B4689">
        <w:t xml:space="preserve">celu przywrócenia lub nadania im nowych funkcji społecznych, gospodarczych, edukacyjnych, kulturalnych lub rekreacyjnych. </w:t>
      </w:r>
      <w:r>
        <w:t>Analiza zakresu przedmiotowego projektów, na które podpisano umowy</w:t>
      </w:r>
      <w:r w:rsidR="00E66B89">
        <w:t xml:space="preserve"> o </w:t>
      </w:r>
      <w:r>
        <w:t>dofinansowanie wskazuje na brak deficytów</w:t>
      </w:r>
      <w:r w:rsidR="00E66B89">
        <w:t xml:space="preserve"> w </w:t>
      </w:r>
      <w:r>
        <w:t>możliwych typach interwencji ujętych</w:t>
      </w:r>
      <w:r w:rsidR="00E66B89">
        <w:t xml:space="preserve"> w </w:t>
      </w:r>
      <w:r>
        <w:t>Programie.</w:t>
      </w:r>
    </w:p>
    <w:p w14:paraId="06742EE4" w14:textId="77777777" w:rsidR="00116CFB" w:rsidRPr="004D7DAD" w:rsidRDefault="00116CFB" w:rsidP="00116CFB">
      <w:r>
        <w:t>Sugeruje</w:t>
      </w:r>
      <w:r w:rsidRPr="007F116A">
        <w:t xml:space="preserve"> się modyfikację wartości docelowych</w:t>
      </w:r>
      <w:r w:rsidRPr="006558FF">
        <w:t xml:space="preserve"> wszystkich wskaźników programowych PI </w:t>
      </w:r>
      <w:r w:rsidRPr="008B706B">
        <w:t>9</w:t>
      </w:r>
      <w:r>
        <w:t>b</w:t>
      </w:r>
      <w:r w:rsidRPr="004D7DAD">
        <w:t xml:space="preserve">. Uzasadnieniem </w:t>
      </w:r>
      <w:r>
        <w:t xml:space="preserve">takiej </w:t>
      </w:r>
      <w:r w:rsidRPr="004D7DAD">
        <w:t xml:space="preserve">propozycji jest zmiana zakresu </w:t>
      </w:r>
      <w:r w:rsidRPr="008755C3">
        <w:t>projektów rewitalizacyjnych</w:t>
      </w:r>
      <w:r w:rsidR="00E66B89">
        <w:t xml:space="preserve"> w </w:t>
      </w:r>
      <w:r w:rsidRPr="007F116A">
        <w:t>bie</w:t>
      </w:r>
      <w:r w:rsidRPr="006558FF">
        <w:t>żącym okresie programowania</w:t>
      </w:r>
      <w:r w:rsidR="00E66B89">
        <w:t xml:space="preserve"> w </w:t>
      </w:r>
      <w:r w:rsidRPr="006558FF">
        <w:t>stosunku do doświadczeń perspektywy 2007-2013, skutkują</w:t>
      </w:r>
      <w:r w:rsidRPr="008B706B">
        <w:t>ca niższymi</w:t>
      </w:r>
      <w:r>
        <w:t xml:space="preserve"> </w:t>
      </w:r>
      <w:r w:rsidRPr="004D7DAD">
        <w:t>kosztami jednostkowymi wskaźników programowych</w:t>
      </w:r>
      <w:r w:rsidRPr="008755C3">
        <w:t xml:space="preserve"> </w:t>
      </w:r>
      <w:r>
        <w:t xml:space="preserve">w porównaniu do kosztów, które </w:t>
      </w:r>
      <w:r w:rsidRPr="008755C3">
        <w:t>zakładano</w:t>
      </w:r>
      <w:r w:rsidR="00E66B89">
        <w:t xml:space="preserve"> w </w:t>
      </w:r>
      <w:r w:rsidRPr="007F116A">
        <w:t>na etapie programowania</w:t>
      </w:r>
      <w:r>
        <w:t xml:space="preserve"> -</w:t>
      </w:r>
      <w:r w:rsidR="00E66B89">
        <w:t xml:space="preserve"> w </w:t>
      </w:r>
      <w:r w:rsidRPr="006558FF">
        <w:t>oparciu</w:t>
      </w:r>
      <w:r w:rsidR="00E66B89">
        <w:t xml:space="preserve"> o </w:t>
      </w:r>
      <w:r w:rsidRPr="006558FF">
        <w:t xml:space="preserve">koszty </w:t>
      </w:r>
      <w:r w:rsidRPr="008B706B">
        <w:t>jednostkowe rewitalizacji</w:t>
      </w:r>
      <w:r w:rsidR="00E66B89">
        <w:t xml:space="preserve"> z </w:t>
      </w:r>
      <w:r w:rsidRPr="004D7DAD">
        <w:t xml:space="preserve">RPO WZ 2007-2013. </w:t>
      </w:r>
    </w:p>
    <w:p w14:paraId="32379B6C" w14:textId="77777777" w:rsidR="00116CFB" w:rsidRDefault="00116CFB" w:rsidP="00116CFB">
      <w:pPr>
        <w:pStyle w:val="Nagwek3"/>
      </w:pPr>
      <w:r w:rsidRPr="00801DB4">
        <w:t>Priorytet inwestycyjny nr</w:t>
      </w:r>
      <w:r>
        <w:t xml:space="preserve"> 10a (Działanie 9.4, 9.5, 9.6, 9.7, 9.8, 9.9)</w:t>
      </w:r>
    </w:p>
    <w:p w14:paraId="1A5259B9" w14:textId="77777777"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t>Ocena postępów</w:t>
      </w:r>
      <w:r w:rsidR="00E66B89">
        <w:rPr>
          <w:rFonts w:ascii="Lato" w:eastAsia="Calibri" w:hAnsi="Lato"/>
          <w:szCs w:val="20"/>
        </w:rPr>
        <w:t xml:space="preserve"> w </w:t>
      </w:r>
      <w:r w:rsidRPr="00801DB4">
        <w:rPr>
          <w:rFonts w:ascii="Lato" w:eastAsia="Calibri" w:hAnsi="Lato"/>
          <w:szCs w:val="20"/>
        </w:rPr>
        <w:t xml:space="preserve">realizacji PI </w:t>
      </w:r>
    </w:p>
    <w:p w14:paraId="6448DFBA" w14:textId="77777777" w:rsidR="00116CFB" w:rsidRPr="000A135E" w:rsidRDefault="00116CFB" w:rsidP="00116CFB">
      <w:pPr>
        <w:pStyle w:val="evaluTresc"/>
      </w:pPr>
      <w:r w:rsidRPr="000A135E">
        <w:t>Wedle danych</w:t>
      </w:r>
      <w:r w:rsidR="00E66B89">
        <w:t xml:space="preserve"> z </w:t>
      </w:r>
      <w:r w:rsidRPr="000A135E">
        <w:t>07.01</w:t>
      </w:r>
      <w:r>
        <w:t>.2019 r.</w:t>
      </w:r>
      <w:r w:rsidRPr="000A135E">
        <w:t>,</w:t>
      </w:r>
      <w:r w:rsidR="00E66B89">
        <w:t xml:space="preserve"> w </w:t>
      </w:r>
      <w:r w:rsidRPr="000A135E">
        <w:t xml:space="preserve">ramach PI 10a zawarto 24 umowy opiewające łącznie na kwotę dofinansowania </w:t>
      </w:r>
      <w:r w:rsidRPr="000A135E">
        <w:rPr>
          <w:rFonts w:cs="Arial"/>
          <w:color w:val="000000"/>
        </w:rPr>
        <w:t>107 347 952,87</w:t>
      </w:r>
      <w:r>
        <w:rPr>
          <w:rFonts w:cs="Arial"/>
          <w:color w:val="000000"/>
        </w:rPr>
        <w:t xml:space="preserve"> </w:t>
      </w:r>
      <w:r w:rsidRPr="000A135E">
        <w:rPr>
          <w:rFonts w:cs="Arial"/>
          <w:color w:val="000000"/>
        </w:rPr>
        <w:t>zł, co stanowi 71% alokacji przeznaczonej na ten Priorytet (z uwzględnieniem rezerwy wykonania). Stopień kontraktacji różni się</w:t>
      </w:r>
      <w:r w:rsidR="00E66B89">
        <w:rPr>
          <w:rFonts w:cs="Arial"/>
          <w:color w:val="000000"/>
        </w:rPr>
        <w:t xml:space="preserve"> w </w:t>
      </w:r>
      <w:r w:rsidRPr="000A135E">
        <w:rPr>
          <w:rFonts w:cs="Arial"/>
          <w:color w:val="000000"/>
        </w:rPr>
        <w:t>zależności od obszaru wsparcia oraz Działania.</w:t>
      </w:r>
      <w:r w:rsidR="00E66B89">
        <w:rPr>
          <w:rFonts w:cs="Arial"/>
          <w:color w:val="000000"/>
        </w:rPr>
        <w:t xml:space="preserve"> W </w:t>
      </w:r>
      <w:r w:rsidRPr="000A135E">
        <w:rPr>
          <w:rFonts w:cs="Arial"/>
          <w:color w:val="000000"/>
        </w:rPr>
        <w:t>trakcie realizacji Programu zrezygnowano</w:t>
      </w:r>
      <w:r w:rsidR="00E66B89">
        <w:rPr>
          <w:rFonts w:cs="Arial"/>
          <w:color w:val="000000"/>
        </w:rPr>
        <w:t xml:space="preserve"> z </w:t>
      </w:r>
      <w:r w:rsidRPr="000A135E">
        <w:rPr>
          <w:rFonts w:cs="Arial"/>
          <w:color w:val="000000"/>
        </w:rPr>
        <w:t>wdrażania wsparcia</w:t>
      </w:r>
      <w:r w:rsidR="00E66B89">
        <w:rPr>
          <w:rFonts w:cs="Arial"/>
          <w:color w:val="000000"/>
        </w:rPr>
        <w:t xml:space="preserve"> w </w:t>
      </w:r>
      <w:r w:rsidRPr="000A135E">
        <w:rPr>
          <w:rFonts w:cs="Arial"/>
          <w:color w:val="000000"/>
        </w:rPr>
        <w:t xml:space="preserve">obszarze infrastruktury edukacji ogólnej poza Kontraktami Samorządowymi. </w:t>
      </w:r>
      <w:r w:rsidRPr="000A135E">
        <w:t>Nastąpiło przesunięcie 3 000 000 euro</w:t>
      </w:r>
      <w:r w:rsidR="00E66B89">
        <w:t xml:space="preserve"> z </w:t>
      </w:r>
      <w:r w:rsidRPr="000A135E">
        <w:t xml:space="preserve">Działania 9.4 </w:t>
      </w:r>
      <w:r w:rsidRPr="008B706B">
        <w:rPr>
          <w:i/>
        </w:rPr>
        <w:t>Inwestycje</w:t>
      </w:r>
      <w:r w:rsidR="00E66B89">
        <w:rPr>
          <w:i/>
        </w:rPr>
        <w:t xml:space="preserve"> w </w:t>
      </w:r>
      <w:r w:rsidRPr="008B706B">
        <w:rPr>
          <w:i/>
        </w:rPr>
        <w:t>infrastrukturę podmiotów prowadzących kształcenie ogólne na poziomie podstawowym, gimnazjalnym</w:t>
      </w:r>
      <w:r w:rsidR="00E66B89">
        <w:rPr>
          <w:i/>
        </w:rPr>
        <w:t xml:space="preserve"> i </w:t>
      </w:r>
      <w:r w:rsidRPr="008B706B">
        <w:rPr>
          <w:i/>
        </w:rPr>
        <w:t>ponadgimnazjalnym</w:t>
      </w:r>
      <w:r w:rsidRPr="000A135E">
        <w:t xml:space="preserve"> do Działania 9.8 </w:t>
      </w:r>
      <w:r w:rsidRPr="008B706B">
        <w:rPr>
          <w:i/>
        </w:rPr>
        <w:t>Infrastruktura szkolnictwa zawodowego</w:t>
      </w:r>
      <w:r w:rsidRPr="000A135E">
        <w:t xml:space="preserve">. Do końca 2018 roku przeprowadzono jeden nabór na Działanie 9.5 </w:t>
      </w:r>
      <w:r w:rsidRPr="008B706B">
        <w:rPr>
          <w:i/>
        </w:rPr>
        <w:t>Inwestycje</w:t>
      </w:r>
      <w:r w:rsidR="00E66B89">
        <w:rPr>
          <w:i/>
        </w:rPr>
        <w:t xml:space="preserve"> w </w:t>
      </w:r>
      <w:r w:rsidRPr="008B706B">
        <w:rPr>
          <w:i/>
        </w:rPr>
        <w:t>infrastrukturę podmiotów prowadzących kształcenie ogólne na poziomie podstawowym, gimnazjalnym</w:t>
      </w:r>
      <w:r w:rsidR="00E66B89">
        <w:rPr>
          <w:i/>
        </w:rPr>
        <w:t xml:space="preserve"> i </w:t>
      </w:r>
      <w:r w:rsidRPr="008B706B">
        <w:rPr>
          <w:i/>
        </w:rPr>
        <w:t>ponadgimnazjalnym</w:t>
      </w:r>
      <w:r w:rsidR="00E66B89">
        <w:rPr>
          <w:i/>
        </w:rPr>
        <w:t xml:space="preserve"> w </w:t>
      </w:r>
      <w:r w:rsidRPr="008B706B">
        <w:rPr>
          <w:i/>
        </w:rPr>
        <w:t>ramach Kontraktów Samorządowych</w:t>
      </w:r>
      <w:r w:rsidRPr="000A135E">
        <w:t>,</w:t>
      </w:r>
      <w:r w:rsidR="00E66B89">
        <w:t xml:space="preserve"> w </w:t>
      </w:r>
      <w:r w:rsidRPr="000A135E">
        <w:t>ramach którego wybrano do dofinansowania 5 projektów,</w:t>
      </w:r>
      <w:r w:rsidR="00E66B89">
        <w:t xml:space="preserve"> z </w:t>
      </w:r>
      <w:r w:rsidRPr="000A135E">
        <w:t xml:space="preserve">których 2 zostały już zakończone. Łącznie (na dzień 07.01.2019 r.) absorbują one 33,5% alokacji przeznaczonej na Działanie 9.5. </w:t>
      </w:r>
      <w:r>
        <w:t>(</w:t>
      </w:r>
      <w:r w:rsidRPr="000A135E">
        <w:t>z uwzględnieniem rezerwy wykonania</w:t>
      </w:r>
      <w:r>
        <w:t>)</w:t>
      </w:r>
      <w:r w:rsidRPr="000A135E">
        <w:t>.</w:t>
      </w:r>
      <w:r w:rsidR="00E66B89">
        <w:t xml:space="preserve"> W </w:t>
      </w:r>
      <w:r w:rsidRPr="000A135E">
        <w:t xml:space="preserve">realizowanych projektach założono wsparcie 7 </w:t>
      </w:r>
      <w:r w:rsidRPr="000A135E">
        <w:lastRenderedPageBreak/>
        <w:t>obiektów infrastruktury edukacji ogólnej, co stanowi 116,7% wartości docelowej wskaźnika programowego.</w:t>
      </w:r>
      <w:r w:rsidR="00E66B89">
        <w:t xml:space="preserve"> W </w:t>
      </w:r>
      <w:r w:rsidRPr="000A135E">
        <w:t>zakończonych projektach wykazano wsparcie 3 obiektów infrastruktury edukacji ogólnej, czyli 50% zakładanej wartości docelowej przedmiotowego wskaźnika programowego.</w:t>
      </w:r>
      <w:r w:rsidR="00E66B89">
        <w:t xml:space="preserve"> W </w:t>
      </w:r>
      <w:r w:rsidRPr="000A135E">
        <w:rPr>
          <w:rFonts w:cs="Calibri"/>
          <w:color w:val="000000"/>
        </w:rPr>
        <w:t xml:space="preserve">Działaniu 9.6. </w:t>
      </w:r>
      <w:r w:rsidRPr="008B706B">
        <w:rPr>
          <w:i/>
        </w:rPr>
        <w:t>Ośrodki popularyzujące naukę</w:t>
      </w:r>
      <w:r w:rsidRPr="000A135E">
        <w:t xml:space="preserve"> realizowany jest projekt pozakonkursowy </w:t>
      </w:r>
      <w:r w:rsidRPr="00C22C26">
        <w:t>Budowa Morskiego Centrum Nauki</w:t>
      </w:r>
      <w:r w:rsidR="00E66B89">
        <w:t xml:space="preserve"> w </w:t>
      </w:r>
      <w:r w:rsidRPr="00C22C26">
        <w:t>Szczecinie im. Prof. Jerzego Stelmacha</w:t>
      </w:r>
      <w:r w:rsidRPr="00860F9F">
        <w:t>,</w:t>
      </w:r>
      <w:r w:rsidR="00E66B89">
        <w:t xml:space="preserve"> w </w:t>
      </w:r>
      <w:r w:rsidRPr="000A135E">
        <w:t>ramach którego założono, iż liczba osób odwiedzających wsparty ośrodek</w:t>
      </w:r>
      <w:r w:rsidR="00E66B89">
        <w:t xml:space="preserve"> w </w:t>
      </w:r>
      <w:r w:rsidRPr="000A135E">
        <w:t>zorganizowanych grupach szkolnych wyniesie 80 000 osób. Nie organizowano naborów</w:t>
      </w:r>
      <w:r w:rsidR="00E66B89">
        <w:t xml:space="preserve"> w </w:t>
      </w:r>
      <w:r w:rsidRPr="000A135E">
        <w:t>trybie konkursowym. Projekt ten zaangażował 91,7% alokacji przeznaczonej na to Działanie (z uwzględnieniem rezerwy wykonania).</w:t>
      </w:r>
      <w:r w:rsidR="00E66B89">
        <w:t xml:space="preserve"> W </w:t>
      </w:r>
      <w:r w:rsidRPr="000A135E">
        <w:t xml:space="preserve">projekcie tym zaplanowano przekroczenie wartości docelowej wskaźnika rezultatu </w:t>
      </w:r>
      <w:r w:rsidRPr="008B706B">
        <w:rPr>
          <w:i/>
          <w:color w:val="000000"/>
        </w:rPr>
        <w:t>Liczba odwiedzających instytucje popularyzujące naukę</w:t>
      </w:r>
      <w:r w:rsidR="00E66B89">
        <w:rPr>
          <w:i/>
          <w:color w:val="000000"/>
        </w:rPr>
        <w:t xml:space="preserve"> i </w:t>
      </w:r>
      <w:r w:rsidRPr="008B706B">
        <w:rPr>
          <w:i/>
          <w:color w:val="000000"/>
        </w:rPr>
        <w:t>innowacje</w:t>
      </w:r>
      <w:r w:rsidR="00E66B89">
        <w:rPr>
          <w:i/>
          <w:color w:val="000000"/>
        </w:rPr>
        <w:t xml:space="preserve"> w </w:t>
      </w:r>
      <w:r w:rsidRPr="008B706B">
        <w:rPr>
          <w:i/>
          <w:color w:val="000000"/>
        </w:rPr>
        <w:t>zorganizowanych grupach szkolnych</w:t>
      </w:r>
      <w:r w:rsidRPr="000A135E">
        <w:rPr>
          <w:color w:val="000000"/>
        </w:rPr>
        <w:t>.</w:t>
      </w:r>
      <w:r w:rsidR="00E66B89">
        <w:rPr>
          <w:color w:val="000000"/>
        </w:rPr>
        <w:t xml:space="preserve"> W </w:t>
      </w:r>
      <w:r w:rsidRPr="000A135E">
        <w:t xml:space="preserve">Działaniu 9.7. </w:t>
      </w:r>
      <w:r w:rsidRPr="008B706B">
        <w:rPr>
          <w:i/>
        </w:rPr>
        <w:t>Ośrodki popularyzujące naukę</w:t>
      </w:r>
      <w:r w:rsidR="00E66B89">
        <w:rPr>
          <w:i/>
        </w:rPr>
        <w:t xml:space="preserve"> w </w:t>
      </w:r>
      <w:r w:rsidRPr="008B706B">
        <w:rPr>
          <w:i/>
        </w:rPr>
        <w:t>ramach Kontraktów Samorządowych</w:t>
      </w:r>
      <w:r w:rsidRPr="000A135E">
        <w:t xml:space="preserve"> przeprowadzono jeden nabór konkursowy</w:t>
      </w:r>
      <w:r w:rsidR="00E66B89">
        <w:t xml:space="preserve"> w </w:t>
      </w:r>
      <w:r w:rsidRPr="000A135E">
        <w:t>latach 2015-2017,</w:t>
      </w:r>
      <w:r w:rsidR="00E66B89">
        <w:t xml:space="preserve"> w </w:t>
      </w:r>
      <w:r w:rsidRPr="000A135E">
        <w:t>wyniku którego wybrano do dofinansowania 3 projekty. Łącznie angażują one 71,9% alokacji przeznaczonej na Działanie 9.7.,</w:t>
      </w:r>
      <w:r w:rsidR="00E66B89">
        <w:t xml:space="preserve"> z </w:t>
      </w:r>
      <w:r w:rsidRPr="000A135E">
        <w:t>uwzględnieniem rezerwy wykonania. Generują one główny wkład</w:t>
      </w:r>
      <w:r w:rsidR="00E66B89">
        <w:t xml:space="preserve"> w </w:t>
      </w:r>
      <w:r w:rsidRPr="000A135E">
        <w:t xml:space="preserve">osiąganie programowego wskaźnika produktu </w:t>
      </w:r>
      <w:r w:rsidRPr="008B706B">
        <w:rPr>
          <w:i/>
          <w:color w:val="000000"/>
        </w:rPr>
        <w:t>Liczba wspartych instytucji popularyzujących naukę</w:t>
      </w:r>
      <w:r w:rsidR="00E66B89">
        <w:rPr>
          <w:i/>
          <w:color w:val="000000"/>
        </w:rPr>
        <w:t xml:space="preserve"> i </w:t>
      </w:r>
      <w:r w:rsidRPr="008B706B">
        <w:rPr>
          <w:i/>
          <w:color w:val="000000"/>
        </w:rPr>
        <w:t>innowacje</w:t>
      </w:r>
      <w:r>
        <w:rPr>
          <w:i/>
          <w:color w:val="000000"/>
        </w:rPr>
        <w:t>,</w:t>
      </w:r>
      <w:r w:rsidRPr="000A135E">
        <w:rPr>
          <w:color w:val="000000"/>
        </w:rPr>
        <w:t xml:space="preserve"> zakładając wykazanie</w:t>
      </w:r>
      <w:r w:rsidR="00E66B89">
        <w:rPr>
          <w:color w:val="000000"/>
        </w:rPr>
        <w:t xml:space="preserve"> w </w:t>
      </w:r>
      <w:r w:rsidRPr="000A135E">
        <w:rPr>
          <w:color w:val="000000"/>
        </w:rPr>
        <w:t>końcowych wnioskach</w:t>
      </w:r>
      <w:r w:rsidR="00E66B89">
        <w:rPr>
          <w:color w:val="000000"/>
        </w:rPr>
        <w:t xml:space="preserve"> o </w:t>
      </w:r>
      <w:r w:rsidRPr="000A135E">
        <w:rPr>
          <w:color w:val="000000"/>
        </w:rPr>
        <w:t>płatność wsparcie 3 takich instytucji (43% wartości docelowej).</w:t>
      </w:r>
      <w:r w:rsidR="00E66B89">
        <w:rPr>
          <w:color w:val="000000"/>
        </w:rPr>
        <w:t xml:space="preserve"> W </w:t>
      </w:r>
      <w:r w:rsidRPr="000A135E">
        <w:t>ramach Działania 9.8. do końca 2018 roku ogłoszono 1 konkurs na wsparcie infrastrukturalne ponadgimnazjalnych szkół kształcenia zawodowego</w:t>
      </w:r>
      <w:r>
        <w:t xml:space="preserve"> (</w:t>
      </w:r>
      <w:r w:rsidRPr="000A135E">
        <w:t>w ramach którego wybrano do dofinansowania 9 projektów</w:t>
      </w:r>
      <w:r>
        <w:t>)</w:t>
      </w:r>
      <w:r w:rsidRPr="000A135E">
        <w:t xml:space="preserve"> oraz 1 konkurs na wsparcie infrastrukturalne Państwowych Wyższych Szkół Zawodowych</w:t>
      </w:r>
      <w:r>
        <w:t xml:space="preserve"> (</w:t>
      </w:r>
      <w:r w:rsidRPr="000A135E">
        <w:t>w wyniku którego wybrano do dofinansowania 2 projekty</w:t>
      </w:r>
      <w:r>
        <w:t>)</w:t>
      </w:r>
      <w:r w:rsidRPr="000A135E">
        <w:t>. Łącznie, do dnia 07.01.2019 roku podpisano 9 umów</w:t>
      </w:r>
      <w:r w:rsidR="00E66B89">
        <w:t xml:space="preserve"> o </w:t>
      </w:r>
      <w:r w:rsidRPr="000A135E">
        <w:t>dofinansowanie projektów,</w:t>
      </w:r>
      <w:r w:rsidR="00E66B89">
        <w:t xml:space="preserve"> z </w:t>
      </w:r>
      <w:r w:rsidRPr="000A135E">
        <w:t>których żaden nie został jeszcze zakończony. Zakontraktowano</w:t>
      </w:r>
      <w:r w:rsidR="00E66B89">
        <w:t xml:space="preserve"> w </w:t>
      </w:r>
      <w:r w:rsidRPr="000A135E">
        <w:t>ten sposób 44,5% alokacji przeznaczonej na Działanie 9.8. (z uwzględnieniem rezerwy wykonania).</w:t>
      </w:r>
      <w:r w:rsidR="00E66B89">
        <w:t xml:space="preserve"> W </w:t>
      </w:r>
      <w:r w:rsidRPr="000A135E">
        <w:t xml:space="preserve">Działaniu 9.9. </w:t>
      </w:r>
      <w:r w:rsidRPr="008B706B">
        <w:rPr>
          <w:i/>
        </w:rPr>
        <w:t>Infrastruktura szkolnictwa zawodowego</w:t>
      </w:r>
      <w:r w:rsidR="00E66B89">
        <w:rPr>
          <w:i/>
        </w:rPr>
        <w:t xml:space="preserve"> w </w:t>
      </w:r>
      <w:r w:rsidRPr="008B706B">
        <w:rPr>
          <w:i/>
        </w:rPr>
        <w:t>ramach Kontraktów Samorządowych</w:t>
      </w:r>
      <w:r w:rsidRPr="000A135E">
        <w:t xml:space="preserve"> ogłoszono 1 konkurs,</w:t>
      </w:r>
      <w:r w:rsidR="00E66B89">
        <w:t xml:space="preserve"> w </w:t>
      </w:r>
      <w:r w:rsidRPr="000A135E">
        <w:t>wyniku którego podpisano 6 umów</w:t>
      </w:r>
      <w:r w:rsidR="00E66B89">
        <w:t xml:space="preserve"> o </w:t>
      </w:r>
      <w:r w:rsidRPr="000A135E">
        <w:t>dofinansowanie projektów, zaspokajając część potrzeb inwestycyjnych beneficjentów wyszczególnionych</w:t>
      </w:r>
      <w:r w:rsidR="00E66B89">
        <w:t xml:space="preserve"> w </w:t>
      </w:r>
      <w:r w:rsidRPr="000A135E">
        <w:t>Kontraktach Samorządowych. Do dnia 07.01.2019 r. zakontraktowano 90,6% alokacji przeznaczonej na Działanie 9.9. (z uwzględnieniem rezerwy wykonania).</w:t>
      </w:r>
    </w:p>
    <w:p w14:paraId="5ABBD463" w14:textId="77777777" w:rsidR="00116CFB" w:rsidRPr="000A135E" w:rsidRDefault="00116CFB" w:rsidP="00116CFB">
      <w:pPr>
        <w:rPr>
          <w:color w:val="000000"/>
          <w:szCs w:val="20"/>
        </w:rPr>
      </w:pPr>
      <w:r w:rsidRPr="000A135E">
        <w:rPr>
          <w:color w:val="000000"/>
          <w:szCs w:val="20"/>
        </w:rPr>
        <w:t>W realizowanych projektach założono przekroczenie wartości docelowych większości programowych wskaźników produktu</w:t>
      </w:r>
      <w:r w:rsidR="00E66B89">
        <w:rPr>
          <w:color w:val="000000"/>
          <w:szCs w:val="20"/>
        </w:rPr>
        <w:t xml:space="preserve"> i </w:t>
      </w:r>
      <w:r w:rsidRPr="000A135E">
        <w:rPr>
          <w:color w:val="000000"/>
          <w:szCs w:val="20"/>
        </w:rPr>
        <w:t>rezultatu</w:t>
      </w:r>
      <w:r w:rsidR="00E66B89">
        <w:rPr>
          <w:color w:val="000000"/>
          <w:szCs w:val="20"/>
        </w:rPr>
        <w:t xml:space="preserve"> z </w:t>
      </w:r>
      <w:r w:rsidRPr="000A135E">
        <w:rPr>
          <w:color w:val="000000"/>
          <w:szCs w:val="20"/>
        </w:rPr>
        <w:t>wyjątkiem wskaźnika produktu Działania 9.6</w:t>
      </w:r>
      <w:r w:rsidR="00E66B89">
        <w:rPr>
          <w:color w:val="000000"/>
          <w:szCs w:val="20"/>
        </w:rPr>
        <w:t xml:space="preserve"> i </w:t>
      </w:r>
      <w:r w:rsidRPr="000A135E">
        <w:rPr>
          <w:color w:val="000000"/>
          <w:szCs w:val="20"/>
        </w:rPr>
        <w:t xml:space="preserve">Działania 9.7 </w:t>
      </w:r>
      <w:r w:rsidRPr="008B706B">
        <w:rPr>
          <w:i/>
          <w:color w:val="000000"/>
          <w:szCs w:val="20"/>
        </w:rPr>
        <w:t>Liczba wspartych ośrodków popularyzujących naukę</w:t>
      </w:r>
      <w:r w:rsidR="00E66B89">
        <w:rPr>
          <w:i/>
          <w:color w:val="000000"/>
          <w:szCs w:val="20"/>
        </w:rPr>
        <w:t xml:space="preserve"> i </w:t>
      </w:r>
      <w:r w:rsidRPr="008B706B">
        <w:rPr>
          <w:i/>
          <w:color w:val="000000"/>
          <w:szCs w:val="20"/>
        </w:rPr>
        <w:t>innowacje</w:t>
      </w:r>
      <w:r w:rsidRPr="007A7806">
        <w:rPr>
          <w:color w:val="000000"/>
          <w:szCs w:val="20"/>
        </w:rPr>
        <w:t>.</w:t>
      </w:r>
      <w:r w:rsidR="00E66B89">
        <w:rPr>
          <w:color w:val="000000"/>
          <w:szCs w:val="20"/>
        </w:rPr>
        <w:t xml:space="preserve"> W </w:t>
      </w:r>
      <w:r w:rsidRPr="007A7806">
        <w:rPr>
          <w:color w:val="000000"/>
          <w:szCs w:val="20"/>
        </w:rPr>
        <w:t>tym przypadku występuje przesłanka do założenia, iż</w:t>
      </w:r>
      <w:r w:rsidR="00E66B89">
        <w:rPr>
          <w:color w:val="000000"/>
          <w:szCs w:val="20"/>
        </w:rPr>
        <w:t xml:space="preserve"> w </w:t>
      </w:r>
      <w:r w:rsidRPr="007A7806">
        <w:rPr>
          <w:color w:val="000000"/>
          <w:szCs w:val="20"/>
        </w:rPr>
        <w:t>ramach</w:t>
      </w:r>
      <w:r w:rsidRPr="000A135E">
        <w:rPr>
          <w:color w:val="000000"/>
          <w:szCs w:val="20"/>
        </w:rPr>
        <w:t xml:space="preserve"> pozostałej alokacji Działania 9.7 pozyskanie wartości docelowej przedmiotowego wskaźnika nie będzie możliwe (założenie jego realizacji</w:t>
      </w:r>
      <w:r w:rsidR="00E66B89">
        <w:rPr>
          <w:color w:val="000000"/>
          <w:szCs w:val="20"/>
        </w:rPr>
        <w:t xml:space="preserve"> w </w:t>
      </w:r>
      <w:r w:rsidRPr="000A135E">
        <w:rPr>
          <w:color w:val="000000"/>
          <w:szCs w:val="20"/>
        </w:rPr>
        <w:t xml:space="preserve">54,1% przy 71,9% wykorzystanej alokacji). </w:t>
      </w:r>
    </w:p>
    <w:p w14:paraId="72CFB06E" w14:textId="77777777" w:rsidR="00116CFB" w:rsidRPr="000A135E" w:rsidRDefault="00116CFB" w:rsidP="00024F00">
      <w:pPr>
        <w:pStyle w:val="Legenda"/>
        <w:spacing w:after="0"/>
      </w:pPr>
      <w:bookmarkStart w:id="351" w:name="_Toc8824263"/>
      <w:r w:rsidRPr="000A135E">
        <w:t xml:space="preserve">Tabela </w:t>
      </w:r>
      <w:r>
        <w:fldChar w:fldCharType="begin"/>
      </w:r>
      <w:r>
        <w:instrText xml:space="preserve"> SEQ Tabela \* ARABIC </w:instrText>
      </w:r>
      <w:r>
        <w:fldChar w:fldCharType="separate"/>
      </w:r>
      <w:r w:rsidR="00763345">
        <w:rPr>
          <w:noProof/>
        </w:rPr>
        <w:t>152</w:t>
      </w:r>
      <w:r>
        <w:fldChar w:fldCharType="end"/>
      </w:r>
      <w:r w:rsidRPr="000A135E">
        <w:t xml:space="preserve"> Wskaźniki produktu (PI 9a) – postęp rzeczowy</w:t>
      </w:r>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6"/>
        <w:gridCol w:w="1648"/>
        <w:gridCol w:w="820"/>
        <w:gridCol w:w="915"/>
        <w:gridCol w:w="958"/>
        <w:gridCol w:w="959"/>
        <w:gridCol w:w="958"/>
        <w:gridCol w:w="959"/>
      </w:tblGrid>
      <w:tr w:rsidR="00116CFB" w:rsidRPr="00B2711F" w14:paraId="5773250D" w14:textId="77777777" w:rsidTr="00C22C26">
        <w:trPr>
          <w:tblHeader/>
        </w:trPr>
        <w:tc>
          <w:tcPr>
            <w:tcW w:w="0" w:type="auto"/>
            <w:shd w:val="clear" w:color="auto" w:fill="DBE5F1"/>
          </w:tcPr>
          <w:p w14:paraId="24B05D54" w14:textId="77777777" w:rsidR="00116CFB" w:rsidRPr="00AF5126" w:rsidRDefault="00116CFB" w:rsidP="004742DC">
            <w:pPr>
              <w:jc w:val="center"/>
              <w:rPr>
                <w:rFonts w:cs="Calibri"/>
                <w:sz w:val="18"/>
                <w:szCs w:val="18"/>
              </w:rPr>
            </w:pPr>
            <w:r w:rsidRPr="00AF5126">
              <w:rPr>
                <w:rFonts w:cs="Calibri"/>
                <w:sz w:val="18"/>
                <w:szCs w:val="18"/>
              </w:rPr>
              <w:t>Typ wskaźnika</w:t>
            </w:r>
          </w:p>
        </w:tc>
        <w:tc>
          <w:tcPr>
            <w:tcW w:w="0" w:type="auto"/>
            <w:shd w:val="clear" w:color="auto" w:fill="DBE5F1"/>
          </w:tcPr>
          <w:p w14:paraId="1CF9329D" w14:textId="77777777" w:rsidR="00116CFB" w:rsidRPr="00AF5126" w:rsidRDefault="00116CFB" w:rsidP="004742DC">
            <w:pPr>
              <w:jc w:val="center"/>
              <w:rPr>
                <w:rFonts w:cs="Calibri"/>
                <w:sz w:val="18"/>
                <w:szCs w:val="18"/>
              </w:rPr>
            </w:pPr>
            <w:r w:rsidRPr="00AF5126">
              <w:rPr>
                <w:rFonts w:cs="Calibri"/>
                <w:sz w:val="18"/>
                <w:szCs w:val="18"/>
              </w:rPr>
              <w:t>Działania</w:t>
            </w:r>
          </w:p>
        </w:tc>
        <w:tc>
          <w:tcPr>
            <w:tcW w:w="0" w:type="auto"/>
            <w:shd w:val="clear" w:color="auto" w:fill="DBE5F1"/>
          </w:tcPr>
          <w:p w14:paraId="1F17755F" w14:textId="77777777" w:rsidR="00116CFB" w:rsidRPr="00AF5126" w:rsidRDefault="00116CFB" w:rsidP="004742DC">
            <w:pPr>
              <w:jc w:val="center"/>
              <w:rPr>
                <w:rFonts w:cs="Calibri"/>
                <w:sz w:val="18"/>
                <w:szCs w:val="18"/>
              </w:rPr>
            </w:pPr>
            <w:r w:rsidRPr="00AF5126">
              <w:rPr>
                <w:rFonts w:cs="Calibri"/>
                <w:sz w:val="18"/>
                <w:szCs w:val="18"/>
              </w:rPr>
              <w:t>Wskaźnik</w:t>
            </w:r>
          </w:p>
        </w:tc>
        <w:tc>
          <w:tcPr>
            <w:tcW w:w="0" w:type="auto"/>
            <w:shd w:val="clear" w:color="auto" w:fill="DBE5F1"/>
          </w:tcPr>
          <w:p w14:paraId="61FE8A29" w14:textId="77777777" w:rsidR="00116CFB" w:rsidRPr="00AF5126" w:rsidRDefault="00116CFB" w:rsidP="004742DC">
            <w:pPr>
              <w:jc w:val="center"/>
              <w:rPr>
                <w:rFonts w:cs="Calibri"/>
                <w:sz w:val="18"/>
                <w:szCs w:val="18"/>
              </w:rPr>
            </w:pPr>
            <w:r w:rsidRPr="00AF5126">
              <w:rPr>
                <w:rFonts w:cs="Calibri"/>
                <w:sz w:val="18"/>
                <w:szCs w:val="18"/>
              </w:rPr>
              <w:t>Jedn. Pomiaru</w:t>
            </w:r>
          </w:p>
        </w:tc>
        <w:tc>
          <w:tcPr>
            <w:tcW w:w="0" w:type="auto"/>
            <w:shd w:val="clear" w:color="auto" w:fill="DBE5F1"/>
          </w:tcPr>
          <w:p w14:paraId="7D074020" w14:textId="77777777" w:rsidR="00116CFB" w:rsidRPr="00AF5126" w:rsidRDefault="00116CFB" w:rsidP="004742DC">
            <w:pPr>
              <w:jc w:val="center"/>
              <w:rPr>
                <w:rFonts w:cs="Calibri"/>
                <w:sz w:val="18"/>
                <w:szCs w:val="18"/>
              </w:rPr>
            </w:pPr>
            <w:r w:rsidRPr="00AF5126">
              <w:rPr>
                <w:rFonts w:cs="Calibri"/>
                <w:sz w:val="18"/>
                <w:szCs w:val="18"/>
              </w:rPr>
              <w:t>Wartość docelowa (2023)</w:t>
            </w:r>
          </w:p>
        </w:tc>
        <w:tc>
          <w:tcPr>
            <w:tcW w:w="0" w:type="auto"/>
            <w:shd w:val="clear" w:color="auto" w:fill="DBE5F1"/>
          </w:tcPr>
          <w:p w14:paraId="1A3407C9" w14:textId="77777777" w:rsidR="00116CFB" w:rsidRPr="00AF5126" w:rsidRDefault="00116CFB" w:rsidP="004742DC">
            <w:pPr>
              <w:jc w:val="center"/>
              <w:rPr>
                <w:rFonts w:cs="Calibri"/>
                <w:sz w:val="18"/>
                <w:szCs w:val="18"/>
              </w:rPr>
            </w:pPr>
            <w:r w:rsidRPr="00AF5126">
              <w:rPr>
                <w:rFonts w:cs="Calibri"/>
                <w:sz w:val="18"/>
                <w:szCs w:val="18"/>
              </w:rPr>
              <w:t>Realizacja wskaźnika (wg UoD)</w:t>
            </w:r>
          </w:p>
        </w:tc>
        <w:tc>
          <w:tcPr>
            <w:tcW w:w="0" w:type="auto"/>
            <w:shd w:val="clear" w:color="auto" w:fill="DBE5F1"/>
          </w:tcPr>
          <w:p w14:paraId="591B5CBF" w14:textId="77777777" w:rsidR="00116CFB" w:rsidRPr="00AF5126" w:rsidRDefault="00116CFB" w:rsidP="004742DC">
            <w:pPr>
              <w:jc w:val="center"/>
              <w:rPr>
                <w:rFonts w:cs="Calibri"/>
                <w:sz w:val="18"/>
                <w:szCs w:val="18"/>
              </w:rPr>
            </w:pPr>
            <w:r w:rsidRPr="00AF5126">
              <w:rPr>
                <w:rFonts w:cs="Calibri"/>
                <w:sz w:val="18"/>
                <w:szCs w:val="18"/>
              </w:rPr>
              <w:t>% realizacji wartości docelowej (wg UoD)</w:t>
            </w:r>
          </w:p>
        </w:tc>
        <w:tc>
          <w:tcPr>
            <w:tcW w:w="0" w:type="auto"/>
            <w:shd w:val="clear" w:color="auto" w:fill="DBE5F1"/>
          </w:tcPr>
          <w:p w14:paraId="09C1E41B" w14:textId="77777777" w:rsidR="00116CFB" w:rsidRPr="00AF5126" w:rsidRDefault="00116CFB" w:rsidP="004742DC">
            <w:pPr>
              <w:jc w:val="center"/>
              <w:rPr>
                <w:rFonts w:cs="Calibri"/>
                <w:sz w:val="18"/>
                <w:szCs w:val="18"/>
              </w:rPr>
            </w:pPr>
            <w:r w:rsidRPr="00AF5126">
              <w:rPr>
                <w:rFonts w:cs="Calibri"/>
                <w:sz w:val="18"/>
                <w:szCs w:val="18"/>
              </w:rPr>
              <w:t>Realizacja wskaźnika (wg WoP)</w:t>
            </w:r>
          </w:p>
        </w:tc>
        <w:tc>
          <w:tcPr>
            <w:tcW w:w="0" w:type="auto"/>
            <w:shd w:val="clear" w:color="auto" w:fill="DBE5F1"/>
          </w:tcPr>
          <w:p w14:paraId="6E5895AE" w14:textId="77777777" w:rsidR="00116CFB" w:rsidRPr="00AF5126" w:rsidRDefault="00116CFB" w:rsidP="004742DC">
            <w:pPr>
              <w:jc w:val="center"/>
              <w:rPr>
                <w:rFonts w:cs="Calibri"/>
                <w:sz w:val="18"/>
                <w:szCs w:val="18"/>
              </w:rPr>
            </w:pPr>
            <w:r w:rsidRPr="00AF5126">
              <w:rPr>
                <w:rFonts w:cs="Calibri"/>
                <w:sz w:val="18"/>
                <w:szCs w:val="18"/>
              </w:rPr>
              <w:t>% realizacji wartości docelowej (wg WoP)</w:t>
            </w:r>
          </w:p>
        </w:tc>
      </w:tr>
      <w:tr w:rsidR="00116CFB" w:rsidRPr="00B2711F" w14:paraId="15968186" w14:textId="77777777" w:rsidTr="004742DC">
        <w:tc>
          <w:tcPr>
            <w:tcW w:w="0" w:type="auto"/>
            <w:shd w:val="clear" w:color="auto" w:fill="auto"/>
            <w:vAlign w:val="center"/>
          </w:tcPr>
          <w:p w14:paraId="776152D7" w14:textId="77777777" w:rsidR="00116CFB" w:rsidRPr="00404DA5" w:rsidRDefault="00116CFB" w:rsidP="004742DC">
            <w:pPr>
              <w:jc w:val="center"/>
              <w:rPr>
                <w:rFonts w:cs="Calibri"/>
                <w:b/>
                <w:sz w:val="18"/>
                <w:szCs w:val="18"/>
              </w:rPr>
            </w:pPr>
            <w:r w:rsidRPr="00404DA5">
              <w:rPr>
                <w:rFonts w:cs="Calibri"/>
                <w:color w:val="000000"/>
                <w:sz w:val="18"/>
                <w:szCs w:val="18"/>
              </w:rPr>
              <w:t>WP</w:t>
            </w:r>
          </w:p>
        </w:tc>
        <w:tc>
          <w:tcPr>
            <w:tcW w:w="0" w:type="auto"/>
            <w:shd w:val="clear" w:color="auto" w:fill="auto"/>
            <w:vAlign w:val="center"/>
          </w:tcPr>
          <w:p w14:paraId="6BB3EA41" w14:textId="77777777" w:rsidR="00116CFB" w:rsidRPr="0089503F" w:rsidRDefault="00116CFB" w:rsidP="004742DC">
            <w:pPr>
              <w:jc w:val="center"/>
              <w:rPr>
                <w:sz w:val="18"/>
              </w:rPr>
            </w:pPr>
            <w:r w:rsidRPr="0089503F">
              <w:rPr>
                <w:sz w:val="18"/>
              </w:rPr>
              <w:t>9.5</w:t>
            </w:r>
          </w:p>
        </w:tc>
        <w:tc>
          <w:tcPr>
            <w:tcW w:w="0" w:type="auto"/>
            <w:shd w:val="clear" w:color="auto" w:fill="auto"/>
            <w:vAlign w:val="center"/>
          </w:tcPr>
          <w:p w14:paraId="702EAC08" w14:textId="77777777" w:rsidR="00116CFB" w:rsidRPr="00404DA5" w:rsidRDefault="00116CFB" w:rsidP="004742DC">
            <w:pPr>
              <w:jc w:val="center"/>
              <w:rPr>
                <w:color w:val="000000"/>
                <w:sz w:val="18"/>
                <w:szCs w:val="18"/>
              </w:rPr>
            </w:pPr>
            <w:r w:rsidRPr="00404DA5">
              <w:rPr>
                <w:color w:val="000000"/>
                <w:sz w:val="18"/>
                <w:szCs w:val="18"/>
              </w:rPr>
              <w:t>Liczba wspartych obiektów infrastruktury edukacji ogólnej</w:t>
            </w:r>
          </w:p>
          <w:p w14:paraId="498AA8D0" w14:textId="77777777" w:rsidR="00116CFB" w:rsidRPr="00404DA5" w:rsidRDefault="00116CFB" w:rsidP="004742DC">
            <w:pPr>
              <w:jc w:val="center"/>
              <w:rPr>
                <w:rFonts w:cs="Calibri"/>
                <w:sz w:val="18"/>
                <w:szCs w:val="18"/>
              </w:rPr>
            </w:pPr>
          </w:p>
        </w:tc>
        <w:tc>
          <w:tcPr>
            <w:tcW w:w="0" w:type="auto"/>
            <w:shd w:val="clear" w:color="auto" w:fill="auto"/>
            <w:vAlign w:val="center"/>
          </w:tcPr>
          <w:p w14:paraId="677B21C8" w14:textId="77777777" w:rsidR="00116CFB" w:rsidRPr="00404DA5" w:rsidRDefault="00116CFB" w:rsidP="004742DC">
            <w:pPr>
              <w:jc w:val="center"/>
              <w:rPr>
                <w:rFonts w:cs="Calibri"/>
                <w:sz w:val="18"/>
                <w:szCs w:val="18"/>
              </w:rPr>
            </w:pPr>
            <w:r w:rsidRPr="00404DA5">
              <w:rPr>
                <w:rFonts w:cs="Calibri"/>
                <w:color w:val="000000"/>
                <w:sz w:val="18"/>
                <w:szCs w:val="18"/>
              </w:rPr>
              <w:t>sztuk</w:t>
            </w:r>
            <w:r>
              <w:rPr>
                <w:rFonts w:cs="Calibri"/>
                <w:color w:val="000000"/>
                <w:sz w:val="18"/>
                <w:szCs w:val="18"/>
              </w:rPr>
              <w:t>i</w:t>
            </w:r>
          </w:p>
        </w:tc>
        <w:tc>
          <w:tcPr>
            <w:tcW w:w="0" w:type="auto"/>
            <w:shd w:val="clear" w:color="auto" w:fill="auto"/>
            <w:vAlign w:val="center"/>
          </w:tcPr>
          <w:p w14:paraId="79CBD6E9" w14:textId="77777777" w:rsidR="00116CFB" w:rsidRPr="00404DA5" w:rsidRDefault="00116CFB" w:rsidP="004742DC">
            <w:pPr>
              <w:jc w:val="center"/>
              <w:rPr>
                <w:rFonts w:cs="Calibri"/>
                <w:sz w:val="18"/>
                <w:szCs w:val="18"/>
              </w:rPr>
            </w:pPr>
            <w:r w:rsidRPr="00404DA5">
              <w:rPr>
                <w:rFonts w:cs="Calibri"/>
                <w:sz w:val="18"/>
                <w:szCs w:val="18"/>
              </w:rPr>
              <w:t>6</w:t>
            </w:r>
          </w:p>
        </w:tc>
        <w:tc>
          <w:tcPr>
            <w:tcW w:w="0" w:type="auto"/>
            <w:shd w:val="clear" w:color="auto" w:fill="auto"/>
            <w:vAlign w:val="center"/>
          </w:tcPr>
          <w:p w14:paraId="1C00A002" w14:textId="77777777" w:rsidR="00116CFB" w:rsidRPr="00404DA5" w:rsidRDefault="00116CFB" w:rsidP="004742DC">
            <w:pPr>
              <w:jc w:val="center"/>
              <w:rPr>
                <w:rFonts w:cs="Calibri"/>
                <w:sz w:val="18"/>
                <w:szCs w:val="18"/>
              </w:rPr>
            </w:pPr>
            <w:r w:rsidRPr="00404DA5">
              <w:rPr>
                <w:rFonts w:cs="Calibri"/>
                <w:sz w:val="18"/>
                <w:szCs w:val="18"/>
              </w:rPr>
              <w:t>7</w:t>
            </w:r>
          </w:p>
        </w:tc>
        <w:tc>
          <w:tcPr>
            <w:tcW w:w="0" w:type="auto"/>
            <w:shd w:val="clear" w:color="auto" w:fill="auto"/>
            <w:vAlign w:val="center"/>
          </w:tcPr>
          <w:p w14:paraId="5F072DD6" w14:textId="77777777" w:rsidR="00116CFB" w:rsidRPr="00404DA5" w:rsidRDefault="00116CFB" w:rsidP="004742DC">
            <w:pPr>
              <w:jc w:val="center"/>
              <w:rPr>
                <w:rFonts w:cs="Calibri"/>
                <w:sz w:val="18"/>
                <w:szCs w:val="18"/>
              </w:rPr>
            </w:pPr>
            <w:r w:rsidRPr="00404DA5">
              <w:rPr>
                <w:rFonts w:cs="Calibri"/>
                <w:sz w:val="18"/>
                <w:szCs w:val="18"/>
              </w:rPr>
              <w:t>116,7%</w:t>
            </w:r>
          </w:p>
        </w:tc>
        <w:tc>
          <w:tcPr>
            <w:tcW w:w="0" w:type="auto"/>
            <w:shd w:val="clear" w:color="auto" w:fill="auto"/>
            <w:vAlign w:val="center"/>
          </w:tcPr>
          <w:p w14:paraId="31766507" w14:textId="77777777" w:rsidR="00116CFB" w:rsidRPr="00404DA5" w:rsidRDefault="00116CFB" w:rsidP="004742DC">
            <w:pPr>
              <w:jc w:val="center"/>
              <w:rPr>
                <w:rFonts w:cs="Calibri"/>
                <w:sz w:val="18"/>
                <w:szCs w:val="18"/>
              </w:rPr>
            </w:pPr>
            <w:r w:rsidRPr="00404DA5">
              <w:rPr>
                <w:rFonts w:cs="Calibri"/>
                <w:sz w:val="18"/>
                <w:szCs w:val="18"/>
              </w:rPr>
              <w:t>3</w:t>
            </w:r>
          </w:p>
        </w:tc>
        <w:tc>
          <w:tcPr>
            <w:tcW w:w="0" w:type="auto"/>
            <w:shd w:val="clear" w:color="auto" w:fill="auto"/>
            <w:vAlign w:val="center"/>
          </w:tcPr>
          <w:p w14:paraId="260E81CE" w14:textId="77777777" w:rsidR="00116CFB" w:rsidRPr="00404DA5" w:rsidRDefault="00116CFB" w:rsidP="004742DC">
            <w:pPr>
              <w:jc w:val="center"/>
              <w:rPr>
                <w:rFonts w:cs="Calibri"/>
                <w:sz w:val="18"/>
                <w:szCs w:val="18"/>
              </w:rPr>
            </w:pPr>
            <w:r w:rsidRPr="00404DA5">
              <w:rPr>
                <w:rFonts w:cs="Calibri"/>
                <w:sz w:val="18"/>
                <w:szCs w:val="18"/>
              </w:rPr>
              <w:t>50%</w:t>
            </w:r>
          </w:p>
        </w:tc>
      </w:tr>
      <w:tr w:rsidR="00116CFB" w:rsidRPr="00B2711F" w14:paraId="6E83C92E" w14:textId="77777777" w:rsidTr="004742DC">
        <w:tc>
          <w:tcPr>
            <w:tcW w:w="0" w:type="auto"/>
            <w:shd w:val="clear" w:color="auto" w:fill="auto"/>
            <w:vAlign w:val="center"/>
          </w:tcPr>
          <w:p w14:paraId="49F3A24F" w14:textId="77777777" w:rsidR="00116CFB" w:rsidRPr="00404DA5" w:rsidRDefault="00116CFB" w:rsidP="004742DC">
            <w:pPr>
              <w:jc w:val="center"/>
              <w:rPr>
                <w:rFonts w:cs="Calibri"/>
                <w:color w:val="000000"/>
                <w:sz w:val="18"/>
                <w:szCs w:val="18"/>
              </w:rPr>
            </w:pPr>
            <w:r w:rsidRPr="00404DA5">
              <w:rPr>
                <w:rFonts w:cs="Calibri"/>
                <w:color w:val="000000"/>
                <w:sz w:val="18"/>
                <w:szCs w:val="18"/>
              </w:rPr>
              <w:t>WP</w:t>
            </w:r>
          </w:p>
        </w:tc>
        <w:tc>
          <w:tcPr>
            <w:tcW w:w="0" w:type="auto"/>
            <w:shd w:val="clear" w:color="auto" w:fill="auto"/>
            <w:vAlign w:val="center"/>
          </w:tcPr>
          <w:p w14:paraId="22A6861F" w14:textId="77777777" w:rsidR="00116CFB" w:rsidRPr="00404DA5" w:rsidRDefault="00116CFB" w:rsidP="004742DC">
            <w:pPr>
              <w:jc w:val="center"/>
              <w:rPr>
                <w:rFonts w:cs="Calibri"/>
                <w:color w:val="000000"/>
                <w:sz w:val="18"/>
                <w:szCs w:val="18"/>
              </w:rPr>
            </w:pPr>
            <w:r w:rsidRPr="00404DA5">
              <w:rPr>
                <w:rFonts w:cs="Calibri"/>
                <w:color w:val="000000"/>
                <w:sz w:val="18"/>
                <w:szCs w:val="18"/>
              </w:rPr>
              <w:t>9.8</w:t>
            </w:r>
            <w:r w:rsidR="00E66B89">
              <w:rPr>
                <w:rFonts w:cs="Calibri"/>
                <w:color w:val="000000"/>
                <w:sz w:val="18"/>
                <w:szCs w:val="18"/>
              </w:rPr>
              <w:t xml:space="preserve"> i </w:t>
            </w:r>
            <w:r w:rsidRPr="00404DA5">
              <w:rPr>
                <w:rFonts w:cs="Calibri"/>
                <w:color w:val="000000"/>
                <w:sz w:val="18"/>
                <w:szCs w:val="18"/>
              </w:rPr>
              <w:t>9.9</w:t>
            </w:r>
          </w:p>
        </w:tc>
        <w:tc>
          <w:tcPr>
            <w:tcW w:w="0" w:type="auto"/>
            <w:shd w:val="clear" w:color="auto" w:fill="auto"/>
            <w:vAlign w:val="center"/>
          </w:tcPr>
          <w:p w14:paraId="6974096F" w14:textId="77777777" w:rsidR="00116CFB" w:rsidRPr="00404DA5" w:rsidRDefault="00116CFB" w:rsidP="004742DC">
            <w:pPr>
              <w:jc w:val="center"/>
              <w:rPr>
                <w:rFonts w:cs="Calibri"/>
                <w:color w:val="000000"/>
                <w:sz w:val="18"/>
                <w:szCs w:val="18"/>
              </w:rPr>
            </w:pPr>
            <w:r w:rsidRPr="00404DA5">
              <w:rPr>
                <w:rFonts w:cs="Calibri"/>
                <w:color w:val="000000"/>
                <w:sz w:val="18"/>
                <w:szCs w:val="18"/>
              </w:rPr>
              <w:t xml:space="preserve">Liczba wspartych obiektów infrastruktury </w:t>
            </w:r>
            <w:r w:rsidRPr="00404DA5">
              <w:rPr>
                <w:rFonts w:cs="Calibri"/>
                <w:color w:val="000000"/>
                <w:sz w:val="18"/>
                <w:szCs w:val="18"/>
              </w:rPr>
              <w:lastRenderedPageBreak/>
              <w:t>edukacji zawodowej</w:t>
            </w:r>
          </w:p>
        </w:tc>
        <w:tc>
          <w:tcPr>
            <w:tcW w:w="0" w:type="auto"/>
            <w:shd w:val="clear" w:color="auto" w:fill="auto"/>
            <w:vAlign w:val="center"/>
          </w:tcPr>
          <w:p w14:paraId="239ACDAE" w14:textId="77777777" w:rsidR="00116CFB" w:rsidRPr="00404DA5" w:rsidRDefault="00116CFB" w:rsidP="004742DC">
            <w:pPr>
              <w:jc w:val="center"/>
              <w:rPr>
                <w:rFonts w:cs="Calibri"/>
                <w:color w:val="000000"/>
                <w:sz w:val="18"/>
                <w:szCs w:val="18"/>
              </w:rPr>
            </w:pPr>
            <w:r w:rsidRPr="00404DA5">
              <w:rPr>
                <w:rFonts w:cs="Calibri"/>
                <w:color w:val="000000"/>
                <w:sz w:val="18"/>
                <w:szCs w:val="18"/>
              </w:rPr>
              <w:lastRenderedPageBreak/>
              <w:t>sztuk</w:t>
            </w:r>
            <w:r>
              <w:rPr>
                <w:rFonts w:cs="Calibri"/>
                <w:color w:val="000000"/>
                <w:sz w:val="18"/>
                <w:szCs w:val="18"/>
              </w:rPr>
              <w:t>i</w:t>
            </w:r>
          </w:p>
        </w:tc>
        <w:tc>
          <w:tcPr>
            <w:tcW w:w="0" w:type="auto"/>
            <w:shd w:val="clear" w:color="auto" w:fill="auto"/>
            <w:vAlign w:val="center"/>
          </w:tcPr>
          <w:p w14:paraId="04D14456" w14:textId="77777777" w:rsidR="00116CFB" w:rsidRPr="00404DA5" w:rsidRDefault="00116CFB" w:rsidP="004742DC">
            <w:pPr>
              <w:jc w:val="center"/>
              <w:rPr>
                <w:rFonts w:cs="Calibri"/>
                <w:color w:val="000000"/>
                <w:sz w:val="18"/>
                <w:szCs w:val="18"/>
              </w:rPr>
            </w:pPr>
            <w:r w:rsidRPr="00404DA5">
              <w:rPr>
                <w:rFonts w:cs="Calibri"/>
                <w:color w:val="000000"/>
                <w:sz w:val="18"/>
                <w:szCs w:val="18"/>
              </w:rPr>
              <w:t>18</w:t>
            </w:r>
          </w:p>
        </w:tc>
        <w:tc>
          <w:tcPr>
            <w:tcW w:w="0" w:type="auto"/>
            <w:shd w:val="clear" w:color="auto" w:fill="auto"/>
            <w:vAlign w:val="center"/>
          </w:tcPr>
          <w:p w14:paraId="6B374C97" w14:textId="77777777" w:rsidR="00116CFB" w:rsidRPr="00404DA5" w:rsidRDefault="00116CFB" w:rsidP="004742DC">
            <w:pPr>
              <w:jc w:val="center"/>
              <w:rPr>
                <w:rFonts w:cs="Calibri"/>
                <w:sz w:val="18"/>
                <w:szCs w:val="18"/>
              </w:rPr>
            </w:pPr>
            <w:r w:rsidRPr="00404DA5">
              <w:rPr>
                <w:rFonts w:cs="Calibri"/>
                <w:sz w:val="18"/>
                <w:szCs w:val="18"/>
              </w:rPr>
              <w:t>20</w:t>
            </w:r>
          </w:p>
        </w:tc>
        <w:tc>
          <w:tcPr>
            <w:tcW w:w="0" w:type="auto"/>
            <w:shd w:val="clear" w:color="auto" w:fill="auto"/>
            <w:vAlign w:val="center"/>
          </w:tcPr>
          <w:p w14:paraId="43822348" w14:textId="77777777" w:rsidR="00116CFB" w:rsidRPr="00404DA5" w:rsidRDefault="00116CFB" w:rsidP="004742DC">
            <w:pPr>
              <w:jc w:val="center"/>
              <w:rPr>
                <w:rFonts w:cs="Calibri"/>
                <w:sz w:val="18"/>
                <w:szCs w:val="18"/>
              </w:rPr>
            </w:pPr>
            <w:r w:rsidRPr="00404DA5">
              <w:rPr>
                <w:rFonts w:cs="Calibri"/>
                <w:sz w:val="18"/>
                <w:szCs w:val="18"/>
              </w:rPr>
              <w:t>111,1%</w:t>
            </w:r>
          </w:p>
        </w:tc>
        <w:tc>
          <w:tcPr>
            <w:tcW w:w="0" w:type="auto"/>
            <w:shd w:val="clear" w:color="auto" w:fill="auto"/>
            <w:vAlign w:val="center"/>
          </w:tcPr>
          <w:p w14:paraId="729066AE" w14:textId="77777777" w:rsidR="00116CFB" w:rsidRPr="00404DA5" w:rsidRDefault="00116CFB" w:rsidP="004742DC">
            <w:pPr>
              <w:jc w:val="center"/>
              <w:rPr>
                <w:rFonts w:cs="Calibri"/>
                <w:sz w:val="18"/>
                <w:szCs w:val="18"/>
              </w:rPr>
            </w:pPr>
            <w:r w:rsidRPr="00404DA5">
              <w:rPr>
                <w:rFonts w:cs="Calibri"/>
                <w:sz w:val="18"/>
                <w:szCs w:val="18"/>
              </w:rPr>
              <w:t>0,5</w:t>
            </w:r>
          </w:p>
        </w:tc>
        <w:tc>
          <w:tcPr>
            <w:tcW w:w="0" w:type="auto"/>
            <w:shd w:val="clear" w:color="auto" w:fill="auto"/>
            <w:vAlign w:val="center"/>
          </w:tcPr>
          <w:p w14:paraId="28C02623" w14:textId="77777777" w:rsidR="00116CFB" w:rsidRPr="00404DA5" w:rsidRDefault="00116CFB" w:rsidP="004742DC">
            <w:pPr>
              <w:jc w:val="center"/>
              <w:rPr>
                <w:rFonts w:cs="Calibri"/>
                <w:sz w:val="18"/>
                <w:szCs w:val="18"/>
              </w:rPr>
            </w:pPr>
            <w:r w:rsidRPr="00404DA5">
              <w:rPr>
                <w:rFonts w:cs="Calibri"/>
                <w:sz w:val="18"/>
                <w:szCs w:val="18"/>
              </w:rPr>
              <w:t>2,8%</w:t>
            </w:r>
          </w:p>
        </w:tc>
      </w:tr>
      <w:tr w:rsidR="00116CFB" w:rsidRPr="00B2711F" w14:paraId="020CBBD5" w14:textId="77777777" w:rsidTr="004742DC">
        <w:tc>
          <w:tcPr>
            <w:tcW w:w="0" w:type="auto"/>
            <w:shd w:val="clear" w:color="auto" w:fill="auto"/>
            <w:vAlign w:val="center"/>
          </w:tcPr>
          <w:p w14:paraId="50C9D9F4" w14:textId="77777777" w:rsidR="00116CFB" w:rsidRPr="00404DA5" w:rsidRDefault="00116CFB" w:rsidP="004742DC">
            <w:pPr>
              <w:jc w:val="center"/>
              <w:rPr>
                <w:rFonts w:cs="Calibri"/>
                <w:color w:val="000000"/>
                <w:sz w:val="18"/>
                <w:szCs w:val="18"/>
              </w:rPr>
            </w:pPr>
            <w:r w:rsidRPr="00404DA5">
              <w:rPr>
                <w:rFonts w:cs="Calibri"/>
                <w:color w:val="000000"/>
                <w:sz w:val="18"/>
                <w:szCs w:val="18"/>
              </w:rPr>
              <w:t xml:space="preserve">WP </w:t>
            </w:r>
          </w:p>
        </w:tc>
        <w:tc>
          <w:tcPr>
            <w:tcW w:w="0" w:type="auto"/>
            <w:shd w:val="clear" w:color="auto" w:fill="auto"/>
            <w:vAlign w:val="center"/>
          </w:tcPr>
          <w:p w14:paraId="6ABB4360" w14:textId="77777777" w:rsidR="00116CFB" w:rsidRPr="00404DA5" w:rsidRDefault="00116CFB" w:rsidP="004742DC">
            <w:pPr>
              <w:jc w:val="center"/>
              <w:rPr>
                <w:rFonts w:cs="Calibri"/>
                <w:color w:val="000000"/>
                <w:sz w:val="18"/>
                <w:szCs w:val="18"/>
              </w:rPr>
            </w:pPr>
            <w:r w:rsidRPr="00404DA5">
              <w:rPr>
                <w:rFonts w:cs="Calibri"/>
                <w:color w:val="000000"/>
                <w:sz w:val="18"/>
                <w:szCs w:val="18"/>
              </w:rPr>
              <w:t>9.6</w:t>
            </w:r>
            <w:r w:rsidR="00E66B89">
              <w:rPr>
                <w:rFonts w:cs="Calibri"/>
                <w:color w:val="000000"/>
                <w:sz w:val="18"/>
                <w:szCs w:val="18"/>
              </w:rPr>
              <w:t xml:space="preserve"> i </w:t>
            </w:r>
            <w:r w:rsidRPr="00404DA5">
              <w:rPr>
                <w:rFonts w:cs="Calibri"/>
                <w:color w:val="000000"/>
                <w:sz w:val="18"/>
                <w:szCs w:val="18"/>
              </w:rPr>
              <w:t>9.7</w:t>
            </w:r>
          </w:p>
        </w:tc>
        <w:tc>
          <w:tcPr>
            <w:tcW w:w="0" w:type="auto"/>
            <w:shd w:val="clear" w:color="auto" w:fill="auto"/>
            <w:vAlign w:val="center"/>
          </w:tcPr>
          <w:p w14:paraId="2D149CA2" w14:textId="77777777" w:rsidR="00116CFB" w:rsidRPr="00404DA5" w:rsidRDefault="00116CFB" w:rsidP="004742DC">
            <w:pPr>
              <w:jc w:val="center"/>
              <w:rPr>
                <w:color w:val="000000"/>
                <w:sz w:val="18"/>
                <w:szCs w:val="18"/>
              </w:rPr>
            </w:pPr>
            <w:r w:rsidRPr="00404DA5">
              <w:rPr>
                <w:color w:val="000000"/>
                <w:sz w:val="18"/>
                <w:szCs w:val="18"/>
              </w:rPr>
              <w:t>Liczba wspartych instytucji popularyzujących naukę</w:t>
            </w:r>
            <w:r w:rsidR="00E66B89">
              <w:rPr>
                <w:color w:val="000000"/>
                <w:sz w:val="18"/>
                <w:szCs w:val="18"/>
              </w:rPr>
              <w:t xml:space="preserve"> i </w:t>
            </w:r>
            <w:r w:rsidRPr="00404DA5">
              <w:rPr>
                <w:color w:val="000000"/>
                <w:sz w:val="18"/>
                <w:szCs w:val="18"/>
              </w:rPr>
              <w:t>innowacje</w:t>
            </w:r>
          </w:p>
          <w:p w14:paraId="0AC9B5C4" w14:textId="77777777" w:rsidR="00116CFB" w:rsidRPr="00404DA5" w:rsidRDefault="00116CFB" w:rsidP="004742DC">
            <w:pPr>
              <w:jc w:val="center"/>
              <w:rPr>
                <w:rFonts w:cs="Calibri"/>
                <w:color w:val="000000"/>
                <w:sz w:val="18"/>
                <w:szCs w:val="18"/>
              </w:rPr>
            </w:pPr>
          </w:p>
        </w:tc>
        <w:tc>
          <w:tcPr>
            <w:tcW w:w="0" w:type="auto"/>
            <w:shd w:val="clear" w:color="auto" w:fill="auto"/>
            <w:vAlign w:val="center"/>
          </w:tcPr>
          <w:p w14:paraId="774EDB8B" w14:textId="77777777" w:rsidR="00116CFB" w:rsidRPr="00404DA5" w:rsidRDefault="00116CFB" w:rsidP="004742DC">
            <w:pPr>
              <w:jc w:val="center"/>
              <w:rPr>
                <w:rFonts w:cs="Calibri"/>
                <w:color w:val="000000"/>
                <w:sz w:val="18"/>
                <w:szCs w:val="18"/>
              </w:rPr>
            </w:pPr>
            <w:r w:rsidRPr="00404DA5">
              <w:rPr>
                <w:rFonts w:cs="Calibri"/>
                <w:color w:val="000000"/>
                <w:sz w:val="18"/>
                <w:szCs w:val="18"/>
              </w:rPr>
              <w:t>sztuk</w:t>
            </w:r>
            <w:r>
              <w:rPr>
                <w:rFonts w:cs="Calibri"/>
                <w:color w:val="000000"/>
                <w:sz w:val="18"/>
                <w:szCs w:val="18"/>
              </w:rPr>
              <w:t>i</w:t>
            </w:r>
          </w:p>
        </w:tc>
        <w:tc>
          <w:tcPr>
            <w:tcW w:w="0" w:type="auto"/>
            <w:shd w:val="clear" w:color="auto" w:fill="auto"/>
            <w:vAlign w:val="center"/>
          </w:tcPr>
          <w:p w14:paraId="27495E4E" w14:textId="77777777" w:rsidR="00116CFB" w:rsidRPr="00404DA5" w:rsidRDefault="00116CFB" w:rsidP="004742DC">
            <w:pPr>
              <w:jc w:val="center"/>
              <w:rPr>
                <w:rFonts w:cs="Calibri"/>
                <w:color w:val="000000"/>
                <w:sz w:val="18"/>
                <w:szCs w:val="18"/>
              </w:rPr>
            </w:pPr>
            <w:r w:rsidRPr="00404DA5">
              <w:rPr>
                <w:rFonts w:cs="Calibri"/>
                <w:color w:val="000000"/>
                <w:sz w:val="18"/>
                <w:szCs w:val="18"/>
              </w:rPr>
              <w:t>7</w:t>
            </w:r>
          </w:p>
        </w:tc>
        <w:tc>
          <w:tcPr>
            <w:tcW w:w="0" w:type="auto"/>
            <w:shd w:val="clear" w:color="auto" w:fill="auto"/>
            <w:vAlign w:val="center"/>
          </w:tcPr>
          <w:p w14:paraId="44B3A516" w14:textId="77777777" w:rsidR="00116CFB" w:rsidRPr="00404DA5" w:rsidRDefault="00116CFB" w:rsidP="004742DC">
            <w:pPr>
              <w:jc w:val="center"/>
              <w:rPr>
                <w:rFonts w:cs="Calibri"/>
                <w:sz w:val="18"/>
                <w:szCs w:val="18"/>
              </w:rPr>
            </w:pPr>
            <w:r w:rsidRPr="00404DA5">
              <w:rPr>
                <w:rFonts w:cs="Calibri"/>
                <w:sz w:val="18"/>
                <w:szCs w:val="18"/>
              </w:rPr>
              <w:t>4</w:t>
            </w:r>
          </w:p>
        </w:tc>
        <w:tc>
          <w:tcPr>
            <w:tcW w:w="0" w:type="auto"/>
            <w:shd w:val="clear" w:color="auto" w:fill="auto"/>
            <w:vAlign w:val="center"/>
          </w:tcPr>
          <w:p w14:paraId="3AD11329" w14:textId="77777777" w:rsidR="00116CFB" w:rsidRPr="00404DA5" w:rsidRDefault="00116CFB" w:rsidP="004742DC">
            <w:pPr>
              <w:jc w:val="center"/>
              <w:rPr>
                <w:rFonts w:cs="Calibri"/>
                <w:sz w:val="18"/>
                <w:szCs w:val="18"/>
              </w:rPr>
            </w:pPr>
            <w:r w:rsidRPr="00404DA5">
              <w:rPr>
                <w:rFonts w:cs="Calibri"/>
                <w:sz w:val="18"/>
                <w:szCs w:val="18"/>
              </w:rPr>
              <w:t>57,1%</w:t>
            </w:r>
          </w:p>
        </w:tc>
        <w:tc>
          <w:tcPr>
            <w:tcW w:w="0" w:type="auto"/>
            <w:shd w:val="clear" w:color="auto" w:fill="auto"/>
            <w:vAlign w:val="center"/>
          </w:tcPr>
          <w:p w14:paraId="01D8E164" w14:textId="77777777" w:rsidR="00116CFB" w:rsidRPr="00404DA5" w:rsidRDefault="00116CFB" w:rsidP="004742DC">
            <w:pPr>
              <w:jc w:val="center"/>
              <w:rPr>
                <w:rFonts w:cs="Calibri"/>
                <w:sz w:val="18"/>
                <w:szCs w:val="18"/>
              </w:rPr>
            </w:pPr>
            <w:r w:rsidRPr="00404DA5">
              <w:rPr>
                <w:rFonts w:cs="Calibri"/>
                <w:sz w:val="18"/>
                <w:szCs w:val="18"/>
              </w:rPr>
              <w:t>1</w:t>
            </w:r>
          </w:p>
        </w:tc>
        <w:tc>
          <w:tcPr>
            <w:tcW w:w="0" w:type="auto"/>
            <w:shd w:val="clear" w:color="auto" w:fill="auto"/>
            <w:vAlign w:val="center"/>
          </w:tcPr>
          <w:p w14:paraId="784B7677" w14:textId="77777777" w:rsidR="00116CFB" w:rsidRPr="00404DA5" w:rsidRDefault="00116CFB" w:rsidP="004742DC">
            <w:pPr>
              <w:jc w:val="center"/>
              <w:rPr>
                <w:rFonts w:cs="Calibri"/>
                <w:sz w:val="18"/>
                <w:szCs w:val="18"/>
              </w:rPr>
            </w:pPr>
            <w:r w:rsidRPr="00404DA5">
              <w:rPr>
                <w:rFonts w:cs="Calibri"/>
                <w:sz w:val="18"/>
                <w:szCs w:val="18"/>
              </w:rPr>
              <w:t>14,3%</w:t>
            </w:r>
          </w:p>
        </w:tc>
      </w:tr>
      <w:tr w:rsidR="00116CFB" w:rsidRPr="00B2711F" w14:paraId="736C73E8" w14:textId="77777777" w:rsidTr="004742DC">
        <w:tc>
          <w:tcPr>
            <w:tcW w:w="0" w:type="auto"/>
            <w:shd w:val="clear" w:color="auto" w:fill="auto"/>
            <w:vAlign w:val="center"/>
          </w:tcPr>
          <w:p w14:paraId="3D8E8384" w14:textId="77777777" w:rsidR="00116CFB" w:rsidRPr="00404DA5" w:rsidRDefault="00116CFB" w:rsidP="004742DC">
            <w:pPr>
              <w:jc w:val="center"/>
              <w:rPr>
                <w:rFonts w:cs="Calibri"/>
                <w:color w:val="000000"/>
                <w:sz w:val="18"/>
                <w:szCs w:val="18"/>
              </w:rPr>
            </w:pPr>
            <w:r w:rsidRPr="00404DA5">
              <w:rPr>
                <w:rFonts w:cs="Calibri"/>
                <w:color w:val="000000"/>
                <w:sz w:val="18"/>
                <w:szCs w:val="18"/>
              </w:rPr>
              <w:t>WR</w:t>
            </w:r>
          </w:p>
        </w:tc>
        <w:tc>
          <w:tcPr>
            <w:tcW w:w="0" w:type="auto"/>
            <w:shd w:val="clear" w:color="auto" w:fill="auto"/>
            <w:vAlign w:val="center"/>
          </w:tcPr>
          <w:p w14:paraId="1F582E15" w14:textId="77777777" w:rsidR="00116CFB" w:rsidRPr="00404DA5" w:rsidRDefault="00116CFB" w:rsidP="004742DC">
            <w:pPr>
              <w:jc w:val="center"/>
              <w:rPr>
                <w:rFonts w:cs="Calibri"/>
                <w:color w:val="000000"/>
                <w:sz w:val="18"/>
                <w:szCs w:val="18"/>
              </w:rPr>
            </w:pPr>
            <w:r w:rsidRPr="00404DA5">
              <w:rPr>
                <w:rFonts w:cs="Calibri"/>
                <w:color w:val="000000"/>
                <w:sz w:val="18"/>
                <w:szCs w:val="18"/>
              </w:rPr>
              <w:t>9.6</w:t>
            </w:r>
            <w:r w:rsidR="00E66B89">
              <w:rPr>
                <w:rFonts w:cs="Calibri"/>
                <w:color w:val="000000"/>
                <w:sz w:val="18"/>
                <w:szCs w:val="18"/>
              </w:rPr>
              <w:t xml:space="preserve"> i </w:t>
            </w:r>
            <w:r w:rsidRPr="00404DA5">
              <w:rPr>
                <w:rFonts w:cs="Calibri"/>
                <w:color w:val="000000"/>
                <w:sz w:val="18"/>
                <w:szCs w:val="18"/>
              </w:rPr>
              <w:t>9.7</w:t>
            </w:r>
          </w:p>
        </w:tc>
        <w:tc>
          <w:tcPr>
            <w:tcW w:w="0" w:type="auto"/>
            <w:shd w:val="clear" w:color="auto" w:fill="auto"/>
            <w:vAlign w:val="center"/>
          </w:tcPr>
          <w:p w14:paraId="14EC9EEB" w14:textId="77777777" w:rsidR="00116CFB" w:rsidRPr="00404DA5" w:rsidRDefault="00116CFB" w:rsidP="004742DC">
            <w:pPr>
              <w:jc w:val="center"/>
              <w:rPr>
                <w:color w:val="000000"/>
                <w:sz w:val="18"/>
                <w:szCs w:val="18"/>
              </w:rPr>
            </w:pPr>
            <w:r w:rsidRPr="00404DA5">
              <w:rPr>
                <w:color w:val="000000"/>
                <w:sz w:val="18"/>
                <w:szCs w:val="18"/>
              </w:rPr>
              <w:t>Liczba odwiedzających instytucje popularyzujące naukę</w:t>
            </w:r>
            <w:r w:rsidR="00E66B89">
              <w:rPr>
                <w:color w:val="000000"/>
                <w:sz w:val="18"/>
                <w:szCs w:val="18"/>
              </w:rPr>
              <w:t xml:space="preserve"> i </w:t>
            </w:r>
            <w:r w:rsidRPr="00404DA5">
              <w:rPr>
                <w:color w:val="000000"/>
                <w:sz w:val="18"/>
                <w:szCs w:val="18"/>
              </w:rPr>
              <w:t>innowacje</w:t>
            </w:r>
            <w:r w:rsidR="00E66B89">
              <w:rPr>
                <w:color w:val="000000"/>
                <w:sz w:val="18"/>
                <w:szCs w:val="18"/>
              </w:rPr>
              <w:t xml:space="preserve"> w </w:t>
            </w:r>
            <w:r w:rsidRPr="00404DA5">
              <w:rPr>
                <w:color w:val="000000"/>
                <w:sz w:val="18"/>
                <w:szCs w:val="18"/>
              </w:rPr>
              <w:t>zorganizowanych grupach szkolnych</w:t>
            </w:r>
          </w:p>
        </w:tc>
        <w:tc>
          <w:tcPr>
            <w:tcW w:w="0" w:type="auto"/>
            <w:shd w:val="clear" w:color="auto" w:fill="auto"/>
            <w:vAlign w:val="center"/>
          </w:tcPr>
          <w:p w14:paraId="54995531" w14:textId="77777777" w:rsidR="00116CFB" w:rsidRPr="00404DA5" w:rsidRDefault="00116CFB" w:rsidP="004742DC">
            <w:pPr>
              <w:jc w:val="center"/>
              <w:rPr>
                <w:rFonts w:cs="Calibri"/>
                <w:color w:val="000000"/>
                <w:sz w:val="18"/>
                <w:szCs w:val="18"/>
              </w:rPr>
            </w:pPr>
            <w:r>
              <w:rPr>
                <w:rFonts w:cs="Calibri"/>
                <w:color w:val="000000"/>
                <w:sz w:val="18"/>
                <w:szCs w:val="18"/>
              </w:rPr>
              <w:t>o</w:t>
            </w:r>
            <w:r w:rsidRPr="00404DA5">
              <w:rPr>
                <w:rFonts w:cs="Calibri"/>
                <w:color w:val="000000"/>
                <w:sz w:val="18"/>
                <w:szCs w:val="18"/>
              </w:rPr>
              <w:t>s.</w:t>
            </w:r>
          </w:p>
        </w:tc>
        <w:tc>
          <w:tcPr>
            <w:tcW w:w="0" w:type="auto"/>
            <w:shd w:val="clear" w:color="auto" w:fill="auto"/>
            <w:vAlign w:val="center"/>
          </w:tcPr>
          <w:p w14:paraId="19661F01" w14:textId="77777777" w:rsidR="00116CFB" w:rsidRPr="00404DA5" w:rsidRDefault="00116CFB" w:rsidP="004742DC">
            <w:pPr>
              <w:jc w:val="center"/>
              <w:rPr>
                <w:rFonts w:cs="Calibri"/>
                <w:color w:val="000000"/>
                <w:sz w:val="18"/>
                <w:szCs w:val="18"/>
              </w:rPr>
            </w:pPr>
            <w:r w:rsidRPr="00404DA5">
              <w:rPr>
                <w:rFonts w:cs="Calibri"/>
                <w:color w:val="000000"/>
                <w:sz w:val="18"/>
                <w:szCs w:val="18"/>
              </w:rPr>
              <w:t>49200</w:t>
            </w:r>
          </w:p>
        </w:tc>
        <w:tc>
          <w:tcPr>
            <w:tcW w:w="0" w:type="auto"/>
            <w:shd w:val="clear" w:color="auto" w:fill="auto"/>
            <w:vAlign w:val="center"/>
          </w:tcPr>
          <w:p w14:paraId="7DC039E8" w14:textId="77777777" w:rsidR="00116CFB" w:rsidRDefault="00116CFB" w:rsidP="004742DC">
            <w:pPr>
              <w:jc w:val="center"/>
              <w:rPr>
                <w:bCs/>
                <w:color w:val="000000"/>
                <w:sz w:val="18"/>
                <w:szCs w:val="18"/>
              </w:rPr>
            </w:pPr>
          </w:p>
          <w:p w14:paraId="527A8399" w14:textId="77777777" w:rsidR="00116CFB" w:rsidRPr="00404DA5" w:rsidRDefault="00116CFB" w:rsidP="004742DC">
            <w:pPr>
              <w:jc w:val="center"/>
              <w:rPr>
                <w:bCs/>
                <w:color w:val="000000"/>
                <w:sz w:val="18"/>
                <w:szCs w:val="18"/>
              </w:rPr>
            </w:pPr>
            <w:r w:rsidRPr="00404DA5">
              <w:rPr>
                <w:bCs/>
                <w:color w:val="000000"/>
                <w:sz w:val="18"/>
                <w:szCs w:val="18"/>
              </w:rPr>
              <w:t>123 400</w:t>
            </w:r>
          </w:p>
          <w:p w14:paraId="41176A69" w14:textId="77777777" w:rsidR="00116CFB" w:rsidRPr="00404DA5" w:rsidRDefault="00116CFB" w:rsidP="004742DC">
            <w:pPr>
              <w:jc w:val="center"/>
              <w:rPr>
                <w:rFonts w:cs="Calibri"/>
                <w:sz w:val="18"/>
                <w:szCs w:val="18"/>
              </w:rPr>
            </w:pPr>
          </w:p>
        </w:tc>
        <w:tc>
          <w:tcPr>
            <w:tcW w:w="0" w:type="auto"/>
            <w:shd w:val="clear" w:color="auto" w:fill="auto"/>
            <w:vAlign w:val="center"/>
          </w:tcPr>
          <w:p w14:paraId="3A5A1237" w14:textId="77777777" w:rsidR="00116CFB" w:rsidRPr="00404DA5" w:rsidRDefault="00116CFB" w:rsidP="004742DC">
            <w:pPr>
              <w:jc w:val="center"/>
              <w:rPr>
                <w:rFonts w:cs="Calibri"/>
                <w:sz w:val="18"/>
                <w:szCs w:val="18"/>
              </w:rPr>
            </w:pPr>
            <w:r w:rsidRPr="00404DA5">
              <w:rPr>
                <w:rFonts w:cs="Calibri"/>
                <w:sz w:val="18"/>
                <w:szCs w:val="18"/>
              </w:rPr>
              <w:t>250,8%</w:t>
            </w:r>
          </w:p>
        </w:tc>
        <w:tc>
          <w:tcPr>
            <w:tcW w:w="0" w:type="auto"/>
            <w:shd w:val="clear" w:color="auto" w:fill="auto"/>
            <w:vAlign w:val="center"/>
          </w:tcPr>
          <w:p w14:paraId="2C799A2E" w14:textId="77777777" w:rsidR="00116CFB" w:rsidRPr="00404DA5" w:rsidRDefault="00116CFB" w:rsidP="004742DC">
            <w:pPr>
              <w:jc w:val="center"/>
              <w:rPr>
                <w:rFonts w:cs="Calibri"/>
                <w:sz w:val="18"/>
                <w:szCs w:val="18"/>
              </w:rPr>
            </w:pPr>
            <w:r w:rsidRPr="00404DA5">
              <w:rPr>
                <w:rFonts w:cs="Calibri"/>
                <w:sz w:val="18"/>
                <w:szCs w:val="18"/>
              </w:rPr>
              <w:t>0</w:t>
            </w:r>
          </w:p>
        </w:tc>
        <w:tc>
          <w:tcPr>
            <w:tcW w:w="0" w:type="auto"/>
            <w:shd w:val="clear" w:color="auto" w:fill="auto"/>
            <w:vAlign w:val="center"/>
          </w:tcPr>
          <w:p w14:paraId="501C9427" w14:textId="77777777" w:rsidR="00116CFB" w:rsidRPr="00404DA5" w:rsidRDefault="00116CFB" w:rsidP="004742DC">
            <w:pPr>
              <w:jc w:val="center"/>
              <w:rPr>
                <w:rFonts w:cs="Calibri"/>
                <w:sz w:val="18"/>
                <w:szCs w:val="18"/>
              </w:rPr>
            </w:pPr>
            <w:r w:rsidRPr="00404DA5">
              <w:rPr>
                <w:rFonts w:cs="Calibri"/>
                <w:sz w:val="18"/>
                <w:szCs w:val="18"/>
              </w:rPr>
              <w:t>0%</w:t>
            </w:r>
          </w:p>
        </w:tc>
      </w:tr>
      <w:tr w:rsidR="00116CFB" w:rsidRPr="00B2711F" w14:paraId="527DC721" w14:textId="77777777" w:rsidTr="004742DC">
        <w:trPr>
          <w:trHeight w:val="2292"/>
        </w:trPr>
        <w:tc>
          <w:tcPr>
            <w:tcW w:w="0" w:type="auto"/>
          </w:tcPr>
          <w:p w14:paraId="22A78006" w14:textId="77777777" w:rsidR="00116CFB" w:rsidRPr="00404DA5" w:rsidRDefault="00116CFB" w:rsidP="004742DC">
            <w:pPr>
              <w:jc w:val="center"/>
              <w:rPr>
                <w:rFonts w:cs="Calibri"/>
                <w:color w:val="000000"/>
                <w:sz w:val="18"/>
                <w:szCs w:val="18"/>
              </w:rPr>
            </w:pPr>
            <w:r w:rsidRPr="00404DA5">
              <w:rPr>
                <w:rFonts w:cs="Calibri"/>
                <w:color w:val="000000"/>
                <w:sz w:val="18"/>
                <w:szCs w:val="18"/>
              </w:rPr>
              <w:t>WR</w:t>
            </w:r>
          </w:p>
        </w:tc>
        <w:tc>
          <w:tcPr>
            <w:tcW w:w="0" w:type="auto"/>
          </w:tcPr>
          <w:p w14:paraId="0EE719A9" w14:textId="77777777" w:rsidR="00116CFB" w:rsidRPr="00404DA5" w:rsidRDefault="00116CFB" w:rsidP="004742DC">
            <w:pPr>
              <w:jc w:val="center"/>
              <w:rPr>
                <w:rFonts w:cs="Calibri"/>
                <w:color w:val="000000"/>
                <w:sz w:val="18"/>
                <w:szCs w:val="18"/>
              </w:rPr>
            </w:pPr>
            <w:r w:rsidRPr="00404DA5">
              <w:rPr>
                <w:rFonts w:cs="Calibri"/>
                <w:color w:val="000000"/>
                <w:sz w:val="18"/>
                <w:szCs w:val="18"/>
              </w:rPr>
              <w:t>9.5, 9.8.9.9</w:t>
            </w:r>
          </w:p>
        </w:tc>
        <w:tc>
          <w:tcPr>
            <w:tcW w:w="0" w:type="auto"/>
          </w:tcPr>
          <w:p w14:paraId="52D013B4" w14:textId="77777777" w:rsidR="00116CFB" w:rsidRPr="00404DA5" w:rsidRDefault="00116CFB" w:rsidP="004742DC">
            <w:pPr>
              <w:jc w:val="center"/>
              <w:rPr>
                <w:color w:val="000000"/>
                <w:sz w:val="18"/>
                <w:szCs w:val="18"/>
              </w:rPr>
            </w:pPr>
            <w:r w:rsidRPr="00404DA5">
              <w:rPr>
                <w:color w:val="000000"/>
                <w:sz w:val="18"/>
                <w:szCs w:val="18"/>
              </w:rPr>
              <w:t>Liczba miejsc</w:t>
            </w:r>
            <w:r w:rsidR="00E66B89">
              <w:rPr>
                <w:color w:val="000000"/>
                <w:sz w:val="18"/>
                <w:szCs w:val="18"/>
              </w:rPr>
              <w:t xml:space="preserve"> w </w:t>
            </w:r>
            <w:r w:rsidRPr="00404DA5">
              <w:rPr>
                <w:color w:val="000000"/>
                <w:sz w:val="18"/>
                <w:szCs w:val="18"/>
              </w:rPr>
              <w:t>objętej wsparciem infrastrukturze</w:t>
            </w:r>
            <w:r w:rsidR="00E66B89">
              <w:rPr>
                <w:color w:val="000000"/>
                <w:sz w:val="18"/>
                <w:szCs w:val="18"/>
              </w:rPr>
              <w:t xml:space="preserve"> w </w:t>
            </w:r>
            <w:r w:rsidRPr="00404DA5">
              <w:rPr>
                <w:color w:val="000000"/>
                <w:sz w:val="18"/>
                <w:szCs w:val="18"/>
              </w:rPr>
              <w:t>zakresie opieki nad dziećmi lub infrastrukturze edukacyjnej</w:t>
            </w:r>
          </w:p>
          <w:p w14:paraId="1390B9C8" w14:textId="77777777" w:rsidR="00116CFB" w:rsidRPr="00404DA5" w:rsidRDefault="00116CFB" w:rsidP="004742DC">
            <w:pPr>
              <w:jc w:val="center"/>
              <w:rPr>
                <w:color w:val="000000"/>
                <w:sz w:val="18"/>
                <w:szCs w:val="18"/>
              </w:rPr>
            </w:pPr>
          </w:p>
        </w:tc>
        <w:tc>
          <w:tcPr>
            <w:tcW w:w="0" w:type="auto"/>
          </w:tcPr>
          <w:p w14:paraId="3233FBE2" w14:textId="77777777" w:rsidR="00116CFB" w:rsidRPr="00404DA5" w:rsidRDefault="00116CFB" w:rsidP="004742DC">
            <w:pPr>
              <w:jc w:val="center"/>
              <w:rPr>
                <w:rFonts w:cs="Calibri"/>
                <w:color w:val="000000"/>
                <w:sz w:val="18"/>
                <w:szCs w:val="18"/>
              </w:rPr>
            </w:pPr>
            <w:r w:rsidRPr="00404DA5">
              <w:rPr>
                <w:rFonts w:cs="Calibri"/>
                <w:color w:val="000000"/>
                <w:sz w:val="18"/>
                <w:szCs w:val="18"/>
              </w:rPr>
              <w:t>sztuk</w:t>
            </w:r>
            <w:r>
              <w:rPr>
                <w:rFonts w:cs="Calibri"/>
                <w:color w:val="000000"/>
                <w:sz w:val="18"/>
                <w:szCs w:val="18"/>
              </w:rPr>
              <w:t>i</w:t>
            </w:r>
          </w:p>
        </w:tc>
        <w:tc>
          <w:tcPr>
            <w:tcW w:w="0" w:type="auto"/>
          </w:tcPr>
          <w:p w14:paraId="0F52D8DB" w14:textId="77777777" w:rsidR="00116CFB" w:rsidRDefault="00116CFB" w:rsidP="004742DC">
            <w:pPr>
              <w:jc w:val="center"/>
              <w:rPr>
                <w:bCs/>
                <w:color w:val="000000"/>
                <w:sz w:val="18"/>
                <w:szCs w:val="18"/>
              </w:rPr>
            </w:pPr>
          </w:p>
          <w:p w14:paraId="78561588" w14:textId="77777777" w:rsidR="00116CFB" w:rsidRPr="00404DA5" w:rsidRDefault="00116CFB" w:rsidP="004742DC">
            <w:pPr>
              <w:jc w:val="center"/>
              <w:rPr>
                <w:bCs/>
                <w:color w:val="000000"/>
                <w:sz w:val="18"/>
                <w:szCs w:val="18"/>
              </w:rPr>
            </w:pPr>
            <w:r w:rsidRPr="00404DA5">
              <w:rPr>
                <w:bCs/>
                <w:color w:val="000000"/>
                <w:sz w:val="18"/>
                <w:szCs w:val="18"/>
              </w:rPr>
              <w:t>5822</w:t>
            </w:r>
          </w:p>
          <w:p w14:paraId="198509A8" w14:textId="77777777" w:rsidR="00116CFB" w:rsidRPr="00404DA5" w:rsidRDefault="00116CFB" w:rsidP="004742DC">
            <w:pPr>
              <w:jc w:val="center"/>
              <w:rPr>
                <w:rFonts w:cs="Calibri"/>
                <w:color w:val="000000"/>
                <w:sz w:val="18"/>
                <w:szCs w:val="18"/>
              </w:rPr>
            </w:pPr>
          </w:p>
        </w:tc>
        <w:tc>
          <w:tcPr>
            <w:tcW w:w="0" w:type="auto"/>
          </w:tcPr>
          <w:p w14:paraId="1FD02044" w14:textId="77777777" w:rsidR="00116CFB" w:rsidRDefault="00116CFB" w:rsidP="004742DC">
            <w:pPr>
              <w:jc w:val="center"/>
              <w:rPr>
                <w:bCs/>
                <w:color w:val="000000"/>
                <w:sz w:val="18"/>
                <w:szCs w:val="18"/>
              </w:rPr>
            </w:pPr>
          </w:p>
          <w:p w14:paraId="0E7286F4" w14:textId="77777777" w:rsidR="00116CFB" w:rsidRPr="00404DA5" w:rsidRDefault="00116CFB" w:rsidP="004742DC">
            <w:pPr>
              <w:jc w:val="center"/>
              <w:rPr>
                <w:bCs/>
                <w:color w:val="000000"/>
                <w:sz w:val="18"/>
                <w:szCs w:val="18"/>
              </w:rPr>
            </w:pPr>
            <w:r w:rsidRPr="00404DA5">
              <w:rPr>
                <w:bCs/>
                <w:color w:val="000000"/>
                <w:sz w:val="18"/>
                <w:szCs w:val="18"/>
              </w:rPr>
              <w:t>7 668</w:t>
            </w:r>
          </w:p>
          <w:p w14:paraId="5AB00599" w14:textId="77777777" w:rsidR="00116CFB" w:rsidRPr="00404DA5" w:rsidRDefault="00116CFB" w:rsidP="004742DC">
            <w:pPr>
              <w:jc w:val="center"/>
              <w:rPr>
                <w:rFonts w:cs="Calibri"/>
                <w:sz w:val="18"/>
                <w:szCs w:val="18"/>
              </w:rPr>
            </w:pPr>
          </w:p>
        </w:tc>
        <w:tc>
          <w:tcPr>
            <w:tcW w:w="0" w:type="auto"/>
          </w:tcPr>
          <w:p w14:paraId="2DD398F2" w14:textId="77777777" w:rsidR="00116CFB" w:rsidRPr="00404DA5" w:rsidRDefault="00116CFB" w:rsidP="004742DC">
            <w:pPr>
              <w:jc w:val="center"/>
              <w:rPr>
                <w:rFonts w:cs="Calibri"/>
                <w:sz w:val="18"/>
                <w:szCs w:val="18"/>
              </w:rPr>
            </w:pPr>
            <w:r w:rsidRPr="00404DA5">
              <w:rPr>
                <w:rFonts w:cs="Calibri"/>
                <w:sz w:val="18"/>
                <w:szCs w:val="18"/>
              </w:rPr>
              <w:t>131,7%</w:t>
            </w:r>
          </w:p>
        </w:tc>
        <w:tc>
          <w:tcPr>
            <w:tcW w:w="0" w:type="auto"/>
          </w:tcPr>
          <w:p w14:paraId="299F5801" w14:textId="77777777" w:rsidR="00116CFB" w:rsidRPr="00404DA5" w:rsidRDefault="00116CFB" w:rsidP="004742DC">
            <w:pPr>
              <w:jc w:val="center"/>
              <w:rPr>
                <w:rFonts w:cs="Calibri"/>
                <w:sz w:val="18"/>
                <w:szCs w:val="18"/>
              </w:rPr>
            </w:pPr>
            <w:r w:rsidRPr="00404DA5">
              <w:rPr>
                <w:rFonts w:cs="Calibri"/>
                <w:sz w:val="18"/>
                <w:szCs w:val="18"/>
              </w:rPr>
              <w:t>72</w:t>
            </w:r>
          </w:p>
        </w:tc>
        <w:tc>
          <w:tcPr>
            <w:tcW w:w="0" w:type="auto"/>
          </w:tcPr>
          <w:p w14:paraId="60FFDAE7" w14:textId="77777777" w:rsidR="00116CFB" w:rsidRPr="00404DA5" w:rsidRDefault="00116CFB" w:rsidP="004742DC">
            <w:pPr>
              <w:jc w:val="center"/>
              <w:rPr>
                <w:rFonts w:cs="Calibri"/>
                <w:sz w:val="18"/>
                <w:szCs w:val="18"/>
              </w:rPr>
            </w:pPr>
            <w:r w:rsidRPr="00404DA5">
              <w:rPr>
                <w:rFonts w:cs="Calibri"/>
                <w:sz w:val="18"/>
                <w:szCs w:val="18"/>
              </w:rPr>
              <w:t>1,2%</w:t>
            </w:r>
          </w:p>
        </w:tc>
      </w:tr>
    </w:tbl>
    <w:p w14:paraId="3E4D1674"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2E633556" w14:textId="77777777" w:rsidR="00116CFB" w:rsidRPr="008B706B" w:rsidRDefault="00116CFB" w:rsidP="00116CFB">
      <w:pPr>
        <w:rPr>
          <w:rFonts w:eastAsia="Lato"/>
        </w:rPr>
      </w:pPr>
      <w:r w:rsidRPr="004D7DAD">
        <w:rPr>
          <w:szCs w:val="20"/>
        </w:rPr>
        <w:t xml:space="preserve">Główną przyczyną przekroczenia </w:t>
      </w:r>
      <w:r w:rsidRPr="007F116A">
        <w:rPr>
          <w:szCs w:val="20"/>
        </w:rPr>
        <w:t>zakładan</w:t>
      </w:r>
      <w:r>
        <w:rPr>
          <w:szCs w:val="20"/>
        </w:rPr>
        <w:t>ych</w:t>
      </w:r>
      <w:r w:rsidR="00E66B89">
        <w:rPr>
          <w:szCs w:val="20"/>
        </w:rPr>
        <w:t xml:space="preserve"> w </w:t>
      </w:r>
      <w:r w:rsidRPr="004D7DAD">
        <w:rPr>
          <w:szCs w:val="20"/>
        </w:rPr>
        <w:t>Programie wartości docelowych większości wskaźników jest zakładanie</w:t>
      </w:r>
      <w:r>
        <w:rPr>
          <w:szCs w:val="20"/>
        </w:rPr>
        <w:t xml:space="preserve"> -</w:t>
      </w:r>
      <w:r w:rsidRPr="004D7DAD">
        <w:rPr>
          <w:szCs w:val="20"/>
        </w:rPr>
        <w:t xml:space="preserve"> przez beneficjentów</w:t>
      </w:r>
      <w:r>
        <w:rPr>
          <w:szCs w:val="20"/>
        </w:rPr>
        <w:t xml:space="preserve"> -</w:t>
      </w:r>
      <w:r w:rsidRPr="004D7DAD">
        <w:rPr>
          <w:szCs w:val="20"/>
        </w:rPr>
        <w:t xml:space="preserve"> mniejszej skali wsparcia</w:t>
      </w:r>
      <w:r w:rsidR="00E66B89">
        <w:rPr>
          <w:szCs w:val="20"/>
        </w:rPr>
        <w:t xml:space="preserve"> w </w:t>
      </w:r>
      <w:r w:rsidRPr="004D7DAD">
        <w:rPr>
          <w:szCs w:val="20"/>
        </w:rPr>
        <w:t>ramach jednego obiektu</w:t>
      </w:r>
      <w:r>
        <w:rPr>
          <w:szCs w:val="20"/>
        </w:rPr>
        <w:t>,</w:t>
      </w:r>
      <w:r w:rsidRPr="004D7DAD">
        <w:rPr>
          <w:szCs w:val="20"/>
        </w:rPr>
        <w:t xml:space="preserve"> niż wnioskowano na etapie programowania</w:t>
      </w:r>
      <w:r>
        <w:rPr>
          <w:szCs w:val="20"/>
        </w:rPr>
        <w:t>,</w:t>
      </w:r>
      <w:r w:rsidR="00E66B89">
        <w:rPr>
          <w:szCs w:val="20"/>
        </w:rPr>
        <w:t xml:space="preserve"> w </w:t>
      </w:r>
      <w:r w:rsidRPr="004D7DAD">
        <w:rPr>
          <w:szCs w:val="20"/>
        </w:rPr>
        <w:t>oparciu</w:t>
      </w:r>
      <w:r w:rsidR="00E66B89">
        <w:rPr>
          <w:szCs w:val="20"/>
        </w:rPr>
        <w:t xml:space="preserve"> o </w:t>
      </w:r>
      <w:r w:rsidRPr="004D7DAD">
        <w:rPr>
          <w:szCs w:val="20"/>
        </w:rPr>
        <w:t>doświadczenia poprzedniego okresu programowania. Założenia beneficjentów dotyczące skali wsparcia przełożyły się na niższe niż zakładano</w:t>
      </w:r>
      <w:r w:rsidR="00E66B89">
        <w:rPr>
          <w:szCs w:val="20"/>
        </w:rPr>
        <w:t xml:space="preserve"> w </w:t>
      </w:r>
      <w:r w:rsidRPr="004D7DAD">
        <w:rPr>
          <w:szCs w:val="20"/>
        </w:rPr>
        <w:t>logice interwencji koszty jednostkowe pozyskiwania wskaźników. Średni koszt wsparcia obiektu infrastruktury edukacji ogólnej stanowi zaledw</w:t>
      </w:r>
      <w:r w:rsidRPr="008755C3">
        <w:rPr>
          <w:szCs w:val="20"/>
        </w:rPr>
        <w:t>ie 29% średnieg</w:t>
      </w:r>
      <w:r w:rsidRPr="007F116A">
        <w:rPr>
          <w:szCs w:val="20"/>
        </w:rPr>
        <w:t>o kosztu jednostkowego zakładanego</w:t>
      </w:r>
      <w:r w:rsidR="00E66B89">
        <w:rPr>
          <w:szCs w:val="20"/>
        </w:rPr>
        <w:t xml:space="preserve"> w </w:t>
      </w:r>
      <w:r w:rsidRPr="007F116A">
        <w:rPr>
          <w:szCs w:val="20"/>
        </w:rPr>
        <w:t>okresie programowania</w:t>
      </w:r>
      <w:r w:rsidRPr="006558FF">
        <w:rPr>
          <w:szCs w:val="20"/>
        </w:rPr>
        <w:t>; średni koszt wsparcia obiektu infrastruktury edukacji z</w:t>
      </w:r>
      <w:r w:rsidRPr="008B706B">
        <w:rPr>
          <w:szCs w:val="20"/>
        </w:rPr>
        <w:t>awodowej jest niższy od kosztu założonego</w:t>
      </w:r>
      <w:r w:rsidR="00E66B89">
        <w:rPr>
          <w:szCs w:val="20"/>
        </w:rPr>
        <w:t xml:space="preserve"> w </w:t>
      </w:r>
      <w:r w:rsidRPr="008B706B">
        <w:rPr>
          <w:szCs w:val="20"/>
        </w:rPr>
        <w:t>2014 roku</w:t>
      </w:r>
      <w:r w:rsidR="00E66B89">
        <w:rPr>
          <w:szCs w:val="20"/>
        </w:rPr>
        <w:t xml:space="preserve"> o </w:t>
      </w:r>
      <w:r w:rsidRPr="008B706B">
        <w:rPr>
          <w:szCs w:val="20"/>
        </w:rPr>
        <w:t>50%</w:t>
      </w:r>
      <w:r>
        <w:rPr>
          <w:szCs w:val="20"/>
        </w:rPr>
        <w:t>;</w:t>
      </w:r>
      <w:r w:rsidRPr="004D7DAD">
        <w:rPr>
          <w:szCs w:val="20"/>
        </w:rPr>
        <w:t xml:space="preserve"> średni koszt 1 miejsca we wspartych obiektach infrastruktury edu</w:t>
      </w:r>
      <w:r w:rsidRPr="008755C3">
        <w:rPr>
          <w:szCs w:val="20"/>
        </w:rPr>
        <w:t>kacyjnej równie</w:t>
      </w:r>
      <w:r w:rsidRPr="007F116A">
        <w:rPr>
          <w:szCs w:val="20"/>
        </w:rPr>
        <w:t>ż stanowi zaledwie 41% kosztu przyjętego</w:t>
      </w:r>
      <w:r w:rsidR="00E66B89">
        <w:rPr>
          <w:szCs w:val="20"/>
        </w:rPr>
        <w:t xml:space="preserve"> w </w:t>
      </w:r>
      <w:r w:rsidRPr="007F116A">
        <w:rPr>
          <w:szCs w:val="20"/>
        </w:rPr>
        <w:t>metodologii sza</w:t>
      </w:r>
      <w:r w:rsidRPr="006558FF">
        <w:rPr>
          <w:szCs w:val="20"/>
        </w:rPr>
        <w:t>cowania wskaźników EFRR. Ryzyko nieosiągnięcia wskaźnika produktu Działania 9.6</w:t>
      </w:r>
      <w:r w:rsidR="00E66B89">
        <w:rPr>
          <w:szCs w:val="20"/>
        </w:rPr>
        <w:t xml:space="preserve"> i </w:t>
      </w:r>
      <w:r w:rsidRPr="006558FF">
        <w:rPr>
          <w:szCs w:val="20"/>
        </w:rPr>
        <w:t xml:space="preserve">Działania 9.7 </w:t>
      </w:r>
      <w:r w:rsidRPr="008B706B">
        <w:rPr>
          <w:i/>
          <w:szCs w:val="20"/>
        </w:rPr>
        <w:t>Liczba wspartych instytucji popularyzujących naukę</w:t>
      </w:r>
      <w:r w:rsidR="00E66B89">
        <w:rPr>
          <w:i/>
          <w:szCs w:val="20"/>
        </w:rPr>
        <w:t xml:space="preserve"> i </w:t>
      </w:r>
      <w:r w:rsidRPr="008B706B">
        <w:rPr>
          <w:i/>
          <w:szCs w:val="20"/>
        </w:rPr>
        <w:t>innowacje</w:t>
      </w:r>
      <w:r w:rsidRPr="004D7DAD">
        <w:rPr>
          <w:szCs w:val="20"/>
        </w:rPr>
        <w:t xml:space="preserve"> wynika </w:t>
      </w:r>
      <w:r>
        <w:rPr>
          <w:szCs w:val="20"/>
        </w:rPr>
        <w:t>zaś</w:t>
      </w:r>
      <w:r w:rsidR="00E66B89">
        <w:rPr>
          <w:szCs w:val="20"/>
        </w:rPr>
        <w:t xml:space="preserve"> z </w:t>
      </w:r>
      <w:r w:rsidRPr="004D7DAD">
        <w:rPr>
          <w:szCs w:val="20"/>
        </w:rPr>
        <w:t>niedoszacowania na etapie programowania kosztu utworzenia 1 takiego ośrodka</w:t>
      </w:r>
      <w:r w:rsidRPr="008755C3">
        <w:rPr>
          <w:szCs w:val="20"/>
        </w:rPr>
        <w:t>.</w:t>
      </w:r>
      <w:r w:rsidR="00E66B89">
        <w:rPr>
          <w:szCs w:val="20"/>
        </w:rPr>
        <w:t xml:space="preserve"> W </w:t>
      </w:r>
      <w:r w:rsidRPr="008B706B">
        <w:rPr>
          <w:szCs w:val="20"/>
        </w:rPr>
        <w:t>realizowanych projektach wynosi on 2 061 816,65 zł</w:t>
      </w:r>
      <w:r w:rsidRPr="004D7DAD">
        <w:rPr>
          <w:bCs/>
          <w:szCs w:val="20"/>
        </w:rPr>
        <w:t>, podczas gdy na etapie programowania założono jego wysokość</w:t>
      </w:r>
      <w:r w:rsidR="00E66B89">
        <w:rPr>
          <w:bCs/>
          <w:szCs w:val="20"/>
        </w:rPr>
        <w:t xml:space="preserve"> w </w:t>
      </w:r>
      <w:r w:rsidRPr="004D7DAD">
        <w:rPr>
          <w:bCs/>
          <w:szCs w:val="20"/>
        </w:rPr>
        <w:t xml:space="preserve">kwocie </w:t>
      </w:r>
      <w:r w:rsidRPr="008755C3">
        <w:rPr>
          <w:rFonts w:cs="Calibri"/>
          <w:szCs w:val="20"/>
        </w:rPr>
        <w:t xml:space="preserve">1 700 000 </w:t>
      </w:r>
      <w:r w:rsidRPr="008B706B">
        <w:rPr>
          <w:szCs w:val="20"/>
        </w:rPr>
        <w:t>zł. Kwota alokacji przeznaczonej na wsparcie instytucji popularyzujących naukę</w:t>
      </w:r>
      <w:r w:rsidR="00E66B89">
        <w:rPr>
          <w:szCs w:val="20"/>
        </w:rPr>
        <w:t xml:space="preserve"> i </w:t>
      </w:r>
      <w:r w:rsidRPr="008B706B">
        <w:rPr>
          <w:szCs w:val="20"/>
        </w:rPr>
        <w:t>innowacje poza Szczecinem jest za to niższa od założonej</w:t>
      </w:r>
      <w:r w:rsidR="00E66B89">
        <w:rPr>
          <w:szCs w:val="20"/>
        </w:rPr>
        <w:t xml:space="preserve"> w </w:t>
      </w:r>
      <w:r w:rsidRPr="008B706B">
        <w:rPr>
          <w:szCs w:val="20"/>
        </w:rPr>
        <w:t xml:space="preserve">Metodologii szacowania wartości docelowej wskaźników EFRR (odpowiednio </w:t>
      </w:r>
      <w:r w:rsidRPr="008B706B">
        <w:rPr>
          <w:color w:val="000000"/>
          <w:szCs w:val="20"/>
        </w:rPr>
        <w:t>8 089 264 zł</w:t>
      </w:r>
      <w:r w:rsidR="00E66B89">
        <w:rPr>
          <w:color w:val="000000"/>
          <w:szCs w:val="20"/>
        </w:rPr>
        <w:t xml:space="preserve"> i </w:t>
      </w:r>
      <w:r w:rsidRPr="004D7DAD">
        <w:rPr>
          <w:rFonts w:cs="Calibri"/>
          <w:szCs w:val="20"/>
        </w:rPr>
        <w:t xml:space="preserve">9 612 </w:t>
      </w:r>
      <w:r w:rsidRPr="004D7DAD">
        <w:rPr>
          <w:rFonts w:cs="Calibri"/>
          <w:szCs w:val="20"/>
        </w:rPr>
        <w:lastRenderedPageBreak/>
        <w:t xml:space="preserve">362,80 zł). </w:t>
      </w:r>
      <w:r w:rsidRPr="004D7DAD">
        <w:rPr>
          <w:szCs w:val="20"/>
        </w:rPr>
        <w:t>Należy</w:t>
      </w:r>
      <w:r w:rsidR="00E66B89">
        <w:rPr>
          <w:szCs w:val="20"/>
        </w:rPr>
        <w:t xml:space="preserve"> w </w:t>
      </w:r>
      <w:r w:rsidRPr="004D7DAD">
        <w:rPr>
          <w:szCs w:val="20"/>
        </w:rPr>
        <w:t xml:space="preserve">tym miejscu zaznaczyć, że typ projektu objęty przedmiotowym Działaniem ma charakter pionierski, stąd jego szacunki od początku obarczone były dużą dozą niepewności. Należy </w:t>
      </w:r>
      <w:r>
        <w:rPr>
          <w:szCs w:val="20"/>
        </w:rPr>
        <w:t>także</w:t>
      </w:r>
      <w:r w:rsidRPr="004D7DAD">
        <w:rPr>
          <w:szCs w:val="20"/>
        </w:rPr>
        <w:t xml:space="preserve"> nadmienić, iż </w:t>
      </w:r>
      <w:r>
        <w:rPr>
          <w:szCs w:val="20"/>
        </w:rPr>
        <w:t>problem powolnej kontraktacji projektów zakładających utworzenie instytucji popularyzujących naukę</w:t>
      </w:r>
      <w:r w:rsidR="00E66B89">
        <w:rPr>
          <w:szCs w:val="20"/>
        </w:rPr>
        <w:t xml:space="preserve"> i </w:t>
      </w:r>
      <w:r>
        <w:rPr>
          <w:szCs w:val="20"/>
        </w:rPr>
        <w:t>innowacje</w:t>
      </w:r>
      <w:r w:rsidRPr="004D7DAD">
        <w:rPr>
          <w:szCs w:val="20"/>
        </w:rPr>
        <w:t xml:space="preserve"> odnotowano również</w:t>
      </w:r>
      <w:r w:rsidR="00E66B89">
        <w:rPr>
          <w:szCs w:val="20"/>
        </w:rPr>
        <w:t xml:space="preserve"> w </w:t>
      </w:r>
      <w:r>
        <w:rPr>
          <w:szCs w:val="20"/>
        </w:rPr>
        <w:t>RPO WiM</w:t>
      </w:r>
      <w:r w:rsidRPr="004D7DAD">
        <w:rPr>
          <w:szCs w:val="20"/>
        </w:rPr>
        <w:t xml:space="preserve"> 2014-2020.</w:t>
      </w:r>
      <w:r w:rsidR="00E66B89">
        <w:rPr>
          <w:szCs w:val="20"/>
        </w:rPr>
        <w:t xml:space="preserve"> W </w:t>
      </w:r>
      <w:r w:rsidRPr="004D7DAD">
        <w:rPr>
          <w:szCs w:val="20"/>
        </w:rPr>
        <w:t xml:space="preserve">województwie </w:t>
      </w:r>
      <w:r>
        <w:rPr>
          <w:szCs w:val="20"/>
        </w:rPr>
        <w:t>warmińsko-mazurskim</w:t>
      </w:r>
      <w:r w:rsidRPr="004D7DAD">
        <w:rPr>
          <w:szCs w:val="20"/>
        </w:rPr>
        <w:t xml:space="preserve"> podjęto środki zaradcze</w:t>
      </w:r>
      <w:r w:rsidR="00E66B89">
        <w:rPr>
          <w:szCs w:val="20"/>
        </w:rPr>
        <w:t xml:space="preserve"> w </w:t>
      </w:r>
      <w:r w:rsidRPr="004D7DAD">
        <w:rPr>
          <w:szCs w:val="20"/>
        </w:rPr>
        <w:t>postaci wprowadzenia typu interwencji – opracowanie mobilnych pracowni nauki</w:t>
      </w:r>
      <w:r w:rsidR="00E66B89">
        <w:rPr>
          <w:szCs w:val="20"/>
        </w:rPr>
        <w:t xml:space="preserve"> i </w:t>
      </w:r>
      <w:r w:rsidRPr="004D7DAD">
        <w:rPr>
          <w:szCs w:val="20"/>
        </w:rPr>
        <w:t>i</w:t>
      </w:r>
      <w:r w:rsidRPr="008755C3">
        <w:rPr>
          <w:szCs w:val="20"/>
        </w:rPr>
        <w:t>nnowacyjno</w:t>
      </w:r>
      <w:r w:rsidRPr="007F116A">
        <w:rPr>
          <w:szCs w:val="20"/>
        </w:rPr>
        <w:t>ści</w:t>
      </w:r>
      <w:r>
        <w:rPr>
          <w:szCs w:val="20"/>
        </w:rPr>
        <w:t xml:space="preserve"> -</w:t>
      </w:r>
      <w:r w:rsidR="00E66B89">
        <w:rPr>
          <w:szCs w:val="20"/>
        </w:rPr>
        <w:t xml:space="preserve"> o </w:t>
      </w:r>
      <w:r w:rsidRPr="004D7DAD">
        <w:rPr>
          <w:szCs w:val="20"/>
        </w:rPr>
        <w:t>zdecydowanie niższych kosztach jednostkowych niż koszt przebudowania/budowy stacjonarnego centrum popularyzującego na</w:t>
      </w:r>
      <w:r w:rsidRPr="008755C3">
        <w:rPr>
          <w:szCs w:val="20"/>
        </w:rPr>
        <w:t>ukę</w:t>
      </w:r>
      <w:r w:rsidR="00E66B89">
        <w:rPr>
          <w:szCs w:val="20"/>
        </w:rPr>
        <w:t xml:space="preserve"> i </w:t>
      </w:r>
      <w:r w:rsidRPr="008755C3">
        <w:rPr>
          <w:szCs w:val="20"/>
        </w:rPr>
        <w:t>in</w:t>
      </w:r>
      <w:r w:rsidRPr="007F116A">
        <w:rPr>
          <w:szCs w:val="20"/>
        </w:rPr>
        <w:t>nowacje. Przedmiotowy środek zaradczy nie jest jednak koni</w:t>
      </w:r>
      <w:r w:rsidRPr="006558FF">
        <w:rPr>
          <w:szCs w:val="20"/>
        </w:rPr>
        <w:t>eczny na obecnym etapie wdrażania RPO W</w:t>
      </w:r>
      <w:r w:rsidRPr="008B706B">
        <w:rPr>
          <w:szCs w:val="20"/>
        </w:rPr>
        <w:t xml:space="preserve">Z 2014-2020. </w:t>
      </w:r>
    </w:p>
    <w:p w14:paraId="2F01EBE0" w14:textId="77777777" w:rsidR="00116CFB" w:rsidRDefault="00116CFB" w:rsidP="00116CFB">
      <w:pPr>
        <w:rPr>
          <w:rFonts w:eastAsia="Lato"/>
          <w:szCs w:val="20"/>
        </w:rPr>
      </w:pPr>
      <w:r>
        <w:rPr>
          <w:rFonts w:eastAsia="Lato"/>
          <w:szCs w:val="20"/>
        </w:rPr>
        <w:t>Przedstawione powyżej analizy porównawcze wskazują na wysoką efektywność kosztową prowadzonych interwencji. Wniosek ten potwierdzają przeprowadzone</w:t>
      </w:r>
      <w:r w:rsidR="00E66B89">
        <w:rPr>
          <w:rFonts w:eastAsia="Lato"/>
          <w:szCs w:val="20"/>
        </w:rPr>
        <w:t xml:space="preserve"> w </w:t>
      </w:r>
      <w:r>
        <w:rPr>
          <w:rFonts w:eastAsia="Lato"/>
          <w:szCs w:val="20"/>
        </w:rPr>
        <w:t>ramach tego obszaru analizy benchmarkowe. Średnie koszty jednostkowe wsparcia infrastruktury edukacji ogólnej</w:t>
      </w:r>
      <w:r w:rsidR="00E66B89">
        <w:rPr>
          <w:rFonts w:eastAsia="Lato"/>
          <w:szCs w:val="20"/>
        </w:rPr>
        <w:t xml:space="preserve"> w </w:t>
      </w:r>
      <w:r>
        <w:rPr>
          <w:rFonts w:eastAsia="Lato"/>
          <w:szCs w:val="20"/>
        </w:rPr>
        <w:t>RPO WZ pozostają na niższym poziomie niż</w:t>
      </w:r>
      <w:r w:rsidR="00E66B89">
        <w:rPr>
          <w:rFonts w:eastAsia="Lato"/>
          <w:szCs w:val="20"/>
        </w:rPr>
        <w:t xml:space="preserve"> w </w:t>
      </w:r>
      <w:r>
        <w:rPr>
          <w:rFonts w:eastAsia="Lato"/>
          <w:szCs w:val="20"/>
        </w:rPr>
        <w:t>wybranych do analizy województwach.</w:t>
      </w:r>
      <w:r w:rsidR="00E66B89">
        <w:rPr>
          <w:rFonts w:eastAsia="Lato"/>
          <w:szCs w:val="20"/>
        </w:rPr>
        <w:t xml:space="preserve"> W </w:t>
      </w:r>
      <w:r>
        <w:rPr>
          <w:rFonts w:eastAsia="Lato"/>
          <w:szCs w:val="20"/>
        </w:rPr>
        <w:t>obszarach wsparcia edukacji zawodowej oraz wsparcia instytucji popularyzujących naukę</w:t>
      </w:r>
      <w:r w:rsidR="00E66B89">
        <w:rPr>
          <w:rFonts w:eastAsia="Lato"/>
          <w:szCs w:val="20"/>
        </w:rPr>
        <w:t xml:space="preserve"> i </w:t>
      </w:r>
      <w:r>
        <w:rPr>
          <w:rFonts w:eastAsia="Lato"/>
          <w:szCs w:val="20"/>
        </w:rPr>
        <w:t>innowacje pozostają one na poziomie zbliżonym do kosztów uzyskiwanych</w:t>
      </w:r>
      <w:r w:rsidR="00E66B89">
        <w:rPr>
          <w:rFonts w:eastAsia="Lato"/>
          <w:szCs w:val="20"/>
        </w:rPr>
        <w:t xml:space="preserve"> w </w:t>
      </w:r>
      <w:r>
        <w:rPr>
          <w:rFonts w:eastAsia="Lato"/>
          <w:szCs w:val="20"/>
        </w:rPr>
        <w:t xml:space="preserve">tych RPO , które wybrano do porównania. </w:t>
      </w:r>
    </w:p>
    <w:p w14:paraId="77C2BCB9" w14:textId="77777777" w:rsidR="00116CFB" w:rsidRDefault="00116CFB" w:rsidP="00024F00">
      <w:pPr>
        <w:pStyle w:val="Legenda"/>
        <w:spacing w:after="0"/>
      </w:pPr>
      <w:bookmarkStart w:id="352" w:name="_Toc8824264"/>
      <w:r>
        <w:t xml:space="preserve">Tabela </w:t>
      </w:r>
      <w:r>
        <w:fldChar w:fldCharType="begin"/>
      </w:r>
      <w:r>
        <w:instrText xml:space="preserve"> SEQ Tabela \* ARABIC </w:instrText>
      </w:r>
      <w:r>
        <w:fldChar w:fldCharType="separate"/>
      </w:r>
      <w:r w:rsidR="00763345">
        <w:rPr>
          <w:noProof/>
        </w:rPr>
        <w:t>153</w:t>
      </w:r>
      <w:r>
        <w:fldChar w:fldCharType="end"/>
      </w:r>
      <w:r>
        <w:t xml:space="preserve"> Średnie koszty jednostkowe wskaźników programowych RPO WZ 2014-2020</w:t>
      </w:r>
      <w:r w:rsidR="00E66B89">
        <w:t xml:space="preserve"> w </w:t>
      </w:r>
      <w:r>
        <w:t>województwach benchmarkowych (zł)</w:t>
      </w:r>
      <w:bookmarkEnd w:id="352"/>
    </w:p>
    <w:tbl>
      <w:tblPr>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049"/>
        <w:gridCol w:w="1475"/>
        <w:gridCol w:w="1246"/>
        <w:gridCol w:w="909"/>
        <w:gridCol w:w="880"/>
        <w:gridCol w:w="1052"/>
        <w:gridCol w:w="779"/>
      </w:tblGrid>
      <w:tr w:rsidR="00116CFB" w:rsidRPr="00CA1379" w14:paraId="487C4DE1" w14:textId="77777777" w:rsidTr="005F04FC">
        <w:trPr>
          <w:trHeight w:val="308"/>
          <w:tblHeader/>
        </w:trPr>
        <w:tc>
          <w:tcPr>
            <w:tcW w:w="2116" w:type="dxa"/>
            <w:shd w:val="clear" w:color="auto" w:fill="DBE5F1"/>
            <w:noWrap/>
            <w:hideMark/>
          </w:tcPr>
          <w:p w14:paraId="04CF08EF"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Nazwa wskaźnika</w:t>
            </w:r>
          </w:p>
        </w:tc>
        <w:tc>
          <w:tcPr>
            <w:tcW w:w="1049" w:type="dxa"/>
            <w:shd w:val="clear" w:color="auto" w:fill="DBE5F1"/>
            <w:noWrap/>
            <w:hideMark/>
          </w:tcPr>
          <w:p w14:paraId="159678E4"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RPO WZ 2014-2020</w:t>
            </w:r>
          </w:p>
        </w:tc>
        <w:tc>
          <w:tcPr>
            <w:tcW w:w="1379" w:type="dxa"/>
            <w:shd w:val="clear" w:color="auto" w:fill="DBE5F1"/>
            <w:noWrap/>
            <w:hideMark/>
          </w:tcPr>
          <w:p w14:paraId="48A881EB"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 xml:space="preserve">RPO </w:t>
            </w:r>
            <w:r>
              <w:rPr>
                <w:color w:val="000000"/>
                <w:sz w:val="18"/>
                <w:szCs w:val="18"/>
              </w:rPr>
              <w:t xml:space="preserve">woj. </w:t>
            </w:r>
            <w:r w:rsidRPr="00CA1379">
              <w:rPr>
                <w:color w:val="000000"/>
                <w:sz w:val="18"/>
                <w:szCs w:val="18"/>
              </w:rPr>
              <w:t>Podkarpackie</w:t>
            </w:r>
            <w:r>
              <w:rPr>
                <w:color w:val="000000"/>
                <w:sz w:val="18"/>
                <w:szCs w:val="18"/>
              </w:rPr>
              <w:t>go</w:t>
            </w:r>
            <w:r w:rsidRPr="00CA1379">
              <w:rPr>
                <w:color w:val="000000"/>
                <w:sz w:val="18"/>
                <w:szCs w:val="18"/>
              </w:rPr>
              <w:t xml:space="preserve"> 2014-2020</w:t>
            </w:r>
          </w:p>
        </w:tc>
        <w:tc>
          <w:tcPr>
            <w:tcW w:w="1093" w:type="dxa"/>
            <w:shd w:val="clear" w:color="auto" w:fill="DBE5F1"/>
            <w:noWrap/>
            <w:hideMark/>
          </w:tcPr>
          <w:p w14:paraId="038CEBF7"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 xml:space="preserve">RPO </w:t>
            </w:r>
            <w:r>
              <w:rPr>
                <w:color w:val="000000"/>
                <w:sz w:val="18"/>
                <w:szCs w:val="18"/>
              </w:rPr>
              <w:t xml:space="preserve">woj. </w:t>
            </w:r>
            <w:r w:rsidRPr="00CA1379">
              <w:rPr>
                <w:color w:val="000000"/>
                <w:sz w:val="18"/>
                <w:szCs w:val="18"/>
              </w:rPr>
              <w:t>Pomorskie</w:t>
            </w:r>
            <w:r>
              <w:rPr>
                <w:color w:val="000000"/>
                <w:sz w:val="18"/>
                <w:szCs w:val="18"/>
              </w:rPr>
              <w:t>go</w:t>
            </w:r>
            <w:r w:rsidRPr="00CA1379">
              <w:rPr>
                <w:color w:val="000000"/>
                <w:sz w:val="18"/>
                <w:szCs w:val="18"/>
              </w:rPr>
              <w:t xml:space="preserve"> 2014-2020</w:t>
            </w:r>
          </w:p>
        </w:tc>
        <w:tc>
          <w:tcPr>
            <w:tcW w:w="909" w:type="dxa"/>
            <w:shd w:val="clear" w:color="auto" w:fill="DBE5F1"/>
            <w:noWrap/>
            <w:hideMark/>
          </w:tcPr>
          <w:p w14:paraId="5045232B"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RPO WŁ 2014-2020</w:t>
            </w:r>
          </w:p>
        </w:tc>
        <w:tc>
          <w:tcPr>
            <w:tcW w:w="880" w:type="dxa"/>
            <w:shd w:val="clear" w:color="auto" w:fill="DBE5F1"/>
            <w:noWrap/>
            <w:hideMark/>
          </w:tcPr>
          <w:p w14:paraId="07630A8E"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RPO WiM 2014-2020</w:t>
            </w:r>
          </w:p>
        </w:tc>
        <w:tc>
          <w:tcPr>
            <w:tcW w:w="990" w:type="dxa"/>
            <w:shd w:val="clear" w:color="auto" w:fill="DBE5F1"/>
            <w:noWrap/>
            <w:hideMark/>
          </w:tcPr>
          <w:p w14:paraId="7D98AC92"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WRPO 2014+</w:t>
            </w:r>
          </w:p>
        </w:tc>
        <w:tc>
          <w:tcPr>
            <w:tcW w:w="737" w:type="dxa"/>
            <w:shd w:val="clear" w:color="auto" w:fill="DBE5F1"/>
            <w:noWrap/>
            <w:hideMark/>
          </w:tcPr>
          <w:p w14:paraId="652145B6"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RPO WO 2014-2020</w:t>
            </w:r>
          </w:p>
        </w:tc>
      </w:tr>
      <w:tr w:rsidR="00116CFB" w:rsidRPr="00CA1379" w14:paraId="408503D0" w14:textId="77777777" w:rsidTr="004742DC">
        <w:trPr>
          <w:trHeight w:val="494"/>
        </w:trPr>
        <w:tc>
          <w:tcPr>
            <w:tcW w:w="2116" w:type="dxa"/>
            <w:hideMark/>
          </w:tcPr>
          <w:p w14:paraId="63C486C1"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Liczba wspartych obiektów infrastruktury edukacji ogólnej</w:t>
            </w:r>
          </w:p>
        </w:tc>
        <w:tc>
          <w:tcPr>
            <w:tcW w:w="1049" w:type="dxa"/>
            <w:hideMark/>
          </w:tcPr>
          <w:p w14:paraId="05728809"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206 110</w:t>
            </w:r>
          </w:p>
        </w:tc>
        <w:tc>
          <w:tcPr>
            <w:tcW w:w="1379" w:type="dxa"/>
            <w:hideMark/>
          </w:tcPr>
          <w:p w14:paraId="15D986A8"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1093" w:type="dxa"/>
            <w:hideMark/>
          </w:tcPr>
          <w:p w14:paraId="550F9626"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909" w:type="dxa"/>
            <w:hideMark/>
          </w:tcPr>
          <w:p w14:paraId="520015B5"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1 590 362</w:t>
            </w:r>
          </w:p>
        </w:tc>
        <w:tc>
          <w:tcPr>
            <w:tcW w:w="880" w:type="dxa"/>
            <w:hideMark/>
          </w:tcPr>
          <w:p w14:paraId="684D9BCA"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339 005</w:t>
            </w:r>
          </w:p>
        </w:tc>
        <w:tc>
          <w:tcPr>
            <w:tcW w:w="990" w:type="dxa"/>
          </w:tcPr>
          <w:p w14:paraId="045E88D3"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1 958 304</w:t>
            </w:r>
          </w:p>
        </w:tc>
        <w:tc>
          <w:tcPr>
            <w:tcW w:w="737" w:type="dxa"/>
            <w:hideMark/>
          </w:tcPr>
          <w:p w14:paraId="39B3C478"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r>
      <w:tr w:rsidR="00116CFB" w:rsidRPr="00CA1379" w14:paraId="120572E8" w14:textId="77777777" w:rsidTr="004742DC">
        <w:trPr>
          <w:trHeight w:val="494"/>
        </w:trPr>
        <w:tc>
          <w:tcPr>
            <w:tcW w:w="2116" w:type="dxa"/>
            <w:hideMark/>
          </w:tcPr>
          <w:p w14:paraId="49F022B2"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Liczba wspartych obiektów infrastruktury kształcenia zawodowego</w:t>
            </w:r>
          </w:p>
        </w:tc>
        <w:tc>
          <w:tcPr>
            <w:tcW w:w="1049" w:type="dxa"/>
            <w:hideMark/>
          </w:tcPr>
          <w:p w14:paraId="1C6FE23B"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2 025 371</w:t>
            </w:r>
          </w:p>
        </w:tc>
        <w:tc>
          <w:tcPr>
            <w:tcW w:w="1379" w:type="dxa"/>
            <w:hideMark/>
          </w:tcPr>
          <w:p w14:paraId="0B46A390"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1093" w:type="dxa"/>
            <w:hideMark/>
          </w:tcPr>
          <w:p w14:paraId="2FFD92A5"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909" w:type="dxa"/>
            <w:hideMark/>
          </w:tcPr>
          <w:p w14:paraId="2DEF9AC9"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880" w:type="dxa"/>
            <w:hideMark/>
          </w:tcPr>
          <w:p w14:paraId="5C11D880"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2 670 335</w:t>
            </w:r>
          </w:p>
        </w:tc>
        <w:tc>
          <w:tcPr>
            <w:tcW w:w="990" w:type="dxa"/>
          </w:tcPr>
          <w:p w14:paraId="33AB8B48"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3 171 402</w:t>
            </w:r>
          </w:p>
        </w:tc>
        <w:tc>
          <w:tcPr>
            <w:tcW w:w="737" w:type="dxa"/>
          </w:tcPr>
          <w:p w14:paraId="570B0865"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1 161 214</w:t>
            </w:r>
          </w:p>
          <w:p w14:paraId="5D4DF038" w14:textId="77777777" w:rsidR="00116CFB" w:rsidRPr="00CA1379" w:rsidRDefault="00116CFB" w:rsidP="004742DC">
            <w:pPr>
              <w:spacing w:before="0" w:after="0" w:line="240" w:lineRule="auto"/>
              <w:jc w:val="left"/>
              <w:rPr>
                <w:color w:val="000000"/>
                <w:sz w:val="18"/>
                <w:szCs w:val="18"/>
              </w:rPr>
            </w:pPr>
          </w:p>
        </w:tc>
      </w:tr>
      <w:tr w:rsidR="00116CFB" w:rsidRPr="00CA1379" w14:paraId="60D9ABC7" w14:textId="77777777" w:rsidTr="004742DC">
        <w:trPr>
          <w:trHeight w:val="741"/>
        </w:trPr>
        <w:tc>
          <w:tcPr>
            <w:tcW w:w="2116" w:type="dxa"/>
            <w:hideMark/>
          </w:tcPr>
          <w:p w14:paraId="7615EA98"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Liczba miejsc</w:t>
            </w:r>
            <w:r w:rsidR="00E66B89">
              <w:rPr>
                <w:color w:val="000000"/>
                <w:sz w:val="18"/>
                <w:szCs w:val="18"/>
              </w:rPr>
              <w:t xml:space="preserve"> w </w:t>
            </w:r>
            <w:r w:rsidRPr="00CA1379">
              <w:rPr>
                <w:color w:val="000000"/>
                <w:sz w:val="18"/>
                <w:szCs w:val="18"/>
              </w:rPr>
              <w:t>objętej wsparciem infrastrukturze</w:t>
            </w:r>
            <w:r w:rsidR="00E66B89">
              <w:rPr>
                <w:color w:val="000000"/>
                <w:sz w:val="18"/>
                <w:szCs w:val="18"/>
              </w:rPr>
              <w:t xml:space="preserve"> w </w:t>
            </w:r>
            <w:r w:rsidRPr="00CA1379">
              <w:rPr>
                <w:color w:val="000000"/>
                <w:sz w:val="18"/>
                <w:szCs w:val="18"/>
              </w:rPr>
              <w:t>zakresie opieki nad dziećmi lub infrastrukturze edukacyjnej</w:t>
            </w:r>
          </w:p>
        </w:tc>
        <w:tc>
          <w:tcPr>
            <w:tcW w:w="1049" w:type="dxa"/>
            <w:hideMark/>
          </w:tcPr>
          <w:p w14:paraId="41D5D1E3"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5 470,81</w:t>
            </w:r>
          </w:p>
        </w:tc>
        <w:tc>
          <w:tcPr>
            <w:tcW w:w="1379" w:type="dxa"/>
            <w:hideMark/>
          </w:tcPr>
          <w:p w14:paraId="42E1D74B"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2 126</w:t>
            </w:r>
          </w:p>
        </w:tc>
        <w:tc>
          <w:tcPr>
            <w:tcW w:w="1093" w:type="dxa"/>
            <w:hideMark/>
          </w:tcPr>
          <w:p w14:paraId="6D0D2C50"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9 777</w:t>
            </w:r>
          </w:p>
        </w:tc>
        <w:tc>
          <w:tcPr>
            <w:tcW w:w="909" w:type="dxa"/>
            <w:hideMark/>
          </w:tcPr>
          <w:p w14:paraId="2D69F1A0"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10 070</w:t>
            </w:r>
          </w:p>
        </w:tc>
        <w:tc>
          <w:tcPr>
            <w:tcW w:w="880" w:type="dxa"/>
            <w:hideMark/>
          </w:tcPr>
          <w:p w14:paraId="546744A4"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990" w:type="dxa"/>
          </w:tcPr>
          <w:p w14:paraId="18C1264A"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7 464</w:t>
            </w:r>
          </w:p>
        </w:tc>
        <w:tc>
          <w:tcPr>
            <w:tcW w:w="737" w:type="dxa"/>
            <w:hideMark/>
          </w:tcPr>
          <w:p w14:paraId="44E6AF23"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2 128,89</w:t>
            </w:r>
          </w:p>
        </w:tc>
      </w:tr>
      <w:tr w:rsidR="00116CFB" w:rsidRPr="00CA1379" w14:paraId="4970CE70" w14:textId="77777777" w:rsidTr="004742DC">
        <w:trPr>
          <w:trHeight w:val="494"/>
        </w:trPr>
        <w:tc>
          <w:tcPr>
            <w:tcW w:w="2116" w:type="dxa"/>
            <w:hideMark/>
          </w:tcPr>
          <w:p w14:paraId="199FD7DF"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Liczba wspartych instytucji popularyzujących naukę</w:t>
            </w:r>
            <w:r w:rsidR="00E66B89">
              <w:rPr>
                <w:color w:val="000000"/>
                <w:sz w:val="18"/>
                <w:szCs w:val="18"/>
              </w:rPr>
              <w:t xml:space="preserve"> i </w:t>
            </w:r>
            <w:r w:rsidRPr="00CA1379">
              <w:rPr>
                <w:color w:val="000000"/>
                <w:sz w:val="18"/>
                <w:szCs w:val="18"/>
              </w:rPr>
              <w:t>innowacje</w:t>
            </w:r>
          </w:p>
        </w:tc>
        <w:tc>
          <w:tcPr>
            <w:tcW w:w="1049" w:type="dxa"/>
            <w:hideMark/>
          </w:tcPr>
          <w:p w14:paraId="2429530A"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16 900 413</w:t>
            </w:r>
          </w:p>
        </w:tc>
        <w:tc>
          <w:tcPr>
            <w:tcW w:w="1379" w:type="dxa"/>
            <w:hideMark/>
          </w:tcPr>
          <w:p w14:paraId="606375FB"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16 000 000</w:t>
            </w:r>
          </w:p>
        </w:tc>
        <w:tc>
          <w:tcPr>
            <w:tcW w:w="1093" w:type="dxa"/>
            <w:hideMark/>
          </w:tcPr>
          <w:p w14:paraId="62B205BC"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909" w:type="dxa"/>
            <w:hideMark/>
          </w:tcPr>
          <w:p w14:paraId="6292D82F"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c>
          <w:tcPr>
            <w:tcW w:w="880" w:type="dxa"/>
            <w:noWrap/>
            <w:hideMark/>
          </w:tcPr>
          <w:p w14:paraId="367C6994" w14:textId="77777777" w:rsidR="00116CFB" w:rsidRPr="008B706B" w:rsidRDefault="00116CFB" w:rsidP="004742DC">
            <w:pPr>
              <w:spacing w:before="0" w:after="0" w:line="240" w:lineRule="auto"/>
              <w:jc w:val="left"/>
              <w:rPr>
                <w:color w:val="000000"/>
                <w:sz w:val="18"/>
                <w:szCs w:val="18"/>
              </w:rPr>
            </w:pPr>
            <w:r w:rsidRPr="008B706B">
              <w:rPr>
                <w:color w:val="000000"/>
                <w:sz w:val="18"/>
                <w:szCs w:val="18"/>
              </w:rPr>
              <w:t>16 639 046</w:t>
            </w:r>
          </w:p>
        </w:tc>
        <w:tc>
          <w:tcPr>
            <w:tcW w:w="990" w:type="dxa"/>
            <w:noWrap/>
          </w:tcPr>
          <w:p w14:paraId="5DEB18D2" w14:textId="77777777" w:rsidR="00116CFB" w:rsidRPr="008B706B" w:rsidRDefault="00116CFB" w:rsidP="004742DC">
            <w:pPr>
              <w:spacing w:before="0" w:after="0" w:line="240" w:lineRule="auto"/>
              <w:jc w:val="left"/>
              <w:rPr>
                <w:bCs/>
                <w:iCs/>
                <w:color w:val="000000"/>
                <w:sz w:val="18"/>
                <w:szCs w:val="18"/>
              </w:rPr>
            </w:pPr>
            <w:r w:rsidRPr="008B706B">
              <w:rPr>
                <w:bCs/>
                <w:iCs/>
                <w:color w:val="000000"/>
                <w:sz w:val="18"/>
                <w:szCs w:val="18"/>
              </w:rPr>
              <w:t>13097918</w:t>
            </w:r>
          </w:p>
        </w:tc>
        <w:tc>
          <w:tcPr>
            <w:tcW w:w="737" w:type="dxa"/>
            <w:hideMark/>
          </w:tcPr>
          <w:p w14:paraId="1F242A20" w14:textId="77777777" w:rsidR="00116CFB" w:rsidRPr="00CA1379" w:rsidRDefault="00116CFB" w:rsidP="004742DC">
            <w:pPr>
              <w:spacing w:before="0" w:after="0" w:line="240" w:lineRule="auto"/>
              <w:jc w:val="left"/>
              <w:rPr>
                <w:color w:val="000000"/>
                <w:sz w:val="18"/>
                <w:szCs w:val="18"/>
              </w:rPr>
            </w:pPr>
            <w:r w:rsidRPr="00CA1379">
              <w:rPr>
                <w:color w:val="000000"/>
                <w:sz w:val="18"/>
                <w:szCs w:val="18"/>
              </w:rPr>
              <w:t>brak</w:t>
            </w:r>
          </w:p>
        </w:tc>
      </w:tr>
    </w:tbl>
    <w:p w14:paraId="07AC7D1A" w14:textId="77777777" w:rsidR="00116CFB" w:rsidRPr="00D21299" w:rsidRDefault="00116CFB" w:rsidP="001245CE">
      <w:pPr>
        <w:spacing w:before="0"/>
        <w:rPr>
          <w:i/>
          <w:sz w:val="18"/>
          <w:szCs w:val="20"/>
        </w:rPr>
      </w:pPr>
      <w:r w:rsidRPr="00D21299">
        <w:rPr>
          <w:i/>
          <w:sz w:val="18"/>
          <w:szCs w:val="20"/>
        </w:rPr>
        <w:t>Źródło: opracowanie własne na podstawie danych SL.</w:t>
      </w:r>
    </w:p>
    <w:p w14:paraId="7F47FCD3"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Wskaźniki rezultatu strategicznego </w:t>
      </w:r>
    </w:p>
    <w:p w14:paraId="07BB1534" w14:textId="77777777" w:rsidR="00116CFB" w:rsidRPr="000A135E" w:rsidRDefault="00116CFB" w:rsidP="00116CFB">
      <w:pPr>
        <w:pStyle w:val="evaluTresc"/>
      </w:pPr>
      <w:r w:rsidRPr="000A135E">
        <w:rPr>
          <w:bCs/>
          <w:color w:val="000000"/>
        </w:rPr>
        <w:t xml:space="preserve">W RPO WZ 2014-2020 przyjęto dla PI 10a dwa specyficzne wskaźniki rezultatu: </w:t>
      </w:r>
      <w:r w:rsidRPr="008B706B">
        <w:rPr>
          <w:i/>
        </w:rPr>
        <w:t xml:space="preserve">Zdawalność egzaminów maturalnych (w stosunku do średniej krajowej) </w:t>
      </w:r>
      <w:r w:rsidRPr="000A135E">
        <w:t xml:space="preserve">– Działanie 9.5, Działanie 9.6, Działanie 9.7 oraz </w:t>
      </w:r>
      <w:r w:rsidRPr="008B706B">
        <w:rPr>
          <w:i/>
        </w:rPr>
        <w:t>Zdawalność egzaminów zawodowych</w:t>
      </w:r>
      <w:r w:rsidRPr="000A135E">
        <w:t xml:space="preserve"> – Działanie 9.8</w:t>
      </w:r>
      <w:r w:rsidR="00E66B89">
        <w:t xml:space="preserve"> i </w:t>
      </w:r>
      <w:r w:rsidRPr="000A135E">
        <w:t>Działanie 9.9.</w:t>
      </w:r>
      <w:r>
        <w:t xml:space="preserve"> </w:t>
      </w:r>
    </w:p>
    <w:p w14:paraId="2F292AC2" w14:textId="77777777" w:rsidR="00116CFB" w:rsidRPr="000A135E" w:rsidRDefault="00116CFB" w:rsidP="00116CFB">
      <w:pPr>
        <w:pStyle w:val="evaluTresc"/>
      </w:pPr>
      <w:r w:rsidRPr="000A135E">
        <w:t>W dokumencie programowym założono, iż</w:t>
      </w:r>
      <w:r w:rsidR="00E66B89">
        <w:t xml:space="preserve"> w </w:t>
      </w:r>
      <w:r w:rsidRPr="000A135E">
        <w:t>latach 2013-2023 utrzyma się</w:t>
      </w:r>
      <w:r>
        <w:t xml:space="preserve"> wartość</w:t>
      </w:r>
      <w:r w:rsidRPr="000A135E">
        <w:t xml:space="preserve"> 100% wskaźnika </w:t>
      </w:r>
      <w:r w:rsidRPr="008B706B">
        <w:rPr>
          <w:i/>
        </w:rPr>
        <w:t>Zdawalność egzaminów maturalnych (w stosunku do średniej krajowej).</w:t>
      </w:r>
      <w:r>
        <w:t xml:space="preserve"> </w:t>
      </w:r>
      <w:r w:rsidRPr="000A135E">
        <w:t xml:space="preserve">Analiza danych OKE wskazuje </w:t>
      </w:r>
      <w:r>
        <w:t>jednak</w:t>
      </w:r>
      <w:r w:rsidRPr="000A135E">
        <w:t xml:space="preserve">, iż wskaźnik ten wykazuje tendencję spadkową. </w:t>
      </w:r>
    </w:p>
    <w:p w14:paraId="595A1729" w14:textId="77777777" w:rsidR="00116CFB" w:rsidRPr="00F9159D" w:rsidRDefault="00116CFB" w:rsidP="00024F00">
      <w:pPr>
        <w:pStyle w:val="Legenda"/>
        <w:spacing w:after="0"/>
      </w:pPr>
      <w:bookmarkStart w:id="353" w:name="_Toc5311904"/>
      <w:r w:rsidRPr="00F9159D">
        <w:lastRenderedPageBreak/>
        <w:t xml:space="preserve">Wykres </w:t>
      </w:r>
      <w:r>
        <w:fldChar w:fldCharType="begin"/>
      </w:r>
      <w:r>
        <w:instrText xml:space="preserve"> SEQ Wykres \* ARABIC </w:instrText>
      </w:r>
      <w:r>
        <w:fldChar w:fldCharType="separate"/>
      </w:r>
      <w:r w:rsidR="00763345">
        <w:rPr>
          <w:noProof/>
        </w:rPr>
        <w:t>39</w:t>
      </w:r>
      <w:r>
        <w:fldChar w:fldCharType="end"/>
      </w:r>
      <w:r w:rsidRPr="00F9159D">
        <w:t xml:space="preserve"> Zdawalność egzaminów maturalnych (w stosunku do średniej krajowej)</w:t>
      </w:r>
      <w:r w:rsidR="00E66B89">
        <w:t xml:space="preserve"> w </w:t>
      </w:r>
      <w:r w:rsidRPr="00F9159D">
        <w:t>województwie zachodniopomorskim</w:t>
      </w:r>
      <w:r w:rsidR="00E66B89">
        <w:t xml:space="preserve"> w </w:t>
      </w:r>
      <w:r w:rsidRPr="00F9159D">
        <w:t>latach 2013-2017</w:t>
      </w:r>
      <w:bookmarkEnd w:id="353"/>
    </w:p>
    <w:p w14:paraId="7037730F" w14:textId="43BE7895" w:rsidR="00116CFB" w:rsidRPr="000A135E" w:rsidRDefault="00C35619" w:rsidP="004F028D">
      <w:pPr>
        <w:spacing w:before="0" w:after="0"/>
        <w:rPr>
          <w:rFonts w:eastAsia="Calibri"/>
          <w:sz w:val="18"/>
          <w:szCs w:val="18"/>
        </w:rPr>
      </w:pPr>
      <w:r w:rsidRPr="00D508B6">
        <w:rPr>
          <w:noProof/>
        </w:rPr>
        <w:drawing>
          <wp:inline distT="0" distB="0" distL="0" distR="0" wp14:anchorId="50F94FBE" wp14:editId="08EB3E37">
            <wp:extent cx="5768975" cy="2742565"/>
            <wp:effectExtent l="0" t="0" r="3175" b="635"/>
            <wp:docPr id="62"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A45E742" w14:textId="77777777" w:rsidR="00116CFB" w:rsidRPr="00D21299" w:rsidRDefault="00116CFB" w:rsidP="001245CE">
      <w:pPr>
        <w:spacing w:before="0"/>
        <w:rPr>
          <w:i/>
          <w:sz w:val="18"/>
          <w:szCs w:val="20"/>
        </w:rPr>
      </w:pPr>
      <w:r w:rsidRPr="00D21299">
        <w:rPr>
          <w:i/>
          <w:sz w:val="18"/>
          <w:szCs w:val="20"/>
        </w:rPr>
        <w:t>Źródło: OKE Poznań.</w:t>
      </w:r>
    </w:p>
    <w:p w14:paraId="06C59C88" w14:textId="77777777" w:rsidR="00116CFB" w:rsidRPr="000A135E" w:rsidRDefault="00116CFB" w:rsidP="00116CFB">
      <w:pPr>
        <w:pStyle w:val="evaluTresc"/>
      </w:pPr>
      <w:r w:rsidRPr="000A135E">
        <w:t xml:space="preserve">Logika interwencji RPO WZ 2014-2020 wskazuje na potencjał </w:t>
      </w:r>
      <w:r>
        <w:t>znacznego</w:t>
      </w:r>
      <w:r w:rsidRPr="000A135E">
        <w:t xml:space="preserve"> oddziaływania </w:t>
      </w:r>
      <w:r>
        <w:t>realizowanych projektów</w:t>
      </w:r>
      <w:r w:rsidRPr="000A135E">
        <w:t xml:space="preserve"> na wysokość specyficznego wskaźnika rezultatu. Zarówno modernizowanie pracowni przedmiotowych, ich wyposażenia jak</w:t>
      </w:r>
      <w:r w:rsidR="00E66B89">
        <w:t xml:space="preserve"> i </w:t>
      </w:r>
      <w:r w:rsidRPr="000A135E">
        <w:t>budowa subregionalnych ośrodków popularyzujących naukę</w:t>
      </w:r>
      <w:r w:rsidR="00E66B89">
        <w:t xml:space="preserve"> i </w:t>
      </w:r>
      <w:r w:rsidRPr="000A135E">
        <w:t>innowacj</w:t>
      </w:r>
      <w:r>
        <w:t>e</w:t>
      </w:r>
      <w:r w:rsidRPr="000A135E">
        <w:t xml:space="preserve"> przyczyni się do wzrastania kompetencji kluczowych uczniów</w:t>
      </w:r>
      <w:r w:rsidR="00E66B89">
        <w:t xml:space="preserve"> w </w:t>
      </w:r>
      <w:r w:rsidRPr="000A135E">
        <w:t>naukach ścisłych, językach obcych</w:t>
      </w:r>
      <w:r>
        <w:t xml:space="preserve"> -</w:t>
      </w:r>
      <w:r w:rsidRPr="000A135E">
        <w:t xml:space="preserve"> co przełoży się bezpośrednio na zdawalność matur. </w:t>
      </w:r>
    </w:p>
    <w:p w14:paraId="6612C0CE" w14:textId="77777777" w:rsidR="00116CFB" w:rsidRPr="000A135E" w:rsidRDefault="00116CFB" w:rsidP="00116CFB">
      <w:pPr>
        <w:pStyle w:val="evaluTresc"/>
      </w:pPr>
      <w:r w:rsidRPr="000A135E">
        <w:t xml:space="preserve">W RPO WZ 2014-2020 przyjęto założenie, że kolejny specyficzny wskaźnik rezultatu </w:t>
      </w:r>
      <w:r w:rsidRPr="008B706B">
        <w:rPr>
          <w:i/>
        </w:rPr>
        <w:t>Zdawalność egzaminów zawodowych</w:t>
      </w:r>
      <w:r w:rsidRPr="000A135E">
        <w:t xml:space="preserve"> wzrośnie</w:t>
      </w:r>
      <w:r w:rsidR="00E66B89">
        <w:t xml:space="preserve"> z </w:t>
      </w:r>
      <w:r w:rsidRPr="000A135E">
        <w:t>64,5% do 69%. Analiza danych OKE Poznań dla regionu zachodniopomorskiego wskazuje na przekroczenie wartości docelowej już</w:t>
      </w:r>
      <w:r w:rsidR="00E66B89">
        <w:t xml:space="preserve"> w </w:t>
      </w:r>
      <w:r w:rsidRPr="000A135E">
        <w:t>2017 roku.</w:t>
      </w:r>
      <w:r w:rsidR="00E66B89">
        <w:t xml:space="preserve"> W </w:t>
      </w:r>
      <w:r w:rsidRPr="000A135E">
        <w:t>roku 2018 odsetek osób, które zdały egzaminy zawodowe stanowi</w:t>
      </w:r>
      <w:r>
        <w:t>ł</w:t>
      </w:r>
      <w:r w:rsidRPr="000A135E">
        <w:t xml:space="preserve"> 70,14%. Przy założeniu średniorocznego przyrostu</w:t>
      </w:r>
      <w:r w:rsidR="00E66B89">
        <w:t xml:space="preserve"> w </w:t>
      </w:r>
      <w:r w:rsidRPr="000A135E">
        <w:t>wysokości 1,5 p</w:t>
      </w:r>
      <w:r>
        <w:t>.</w:t>
      </w:r>
      <w:r w:rsidRPr="000A135E">
        <w:t>p. można założyć, iż</w:t>
      </w:r>
      <w:r w:rsidR="00E66B89">
        <w:t xml:space="preserve"> w </w:t>
      </w:r>
      <w:r w:rsidRPr="000A135E">
        <w:t>roku 2023 wysokość wskaźnika wyniesie 79%. Biorąc pod uwagę sukcesywny przyrost odsetka osób zdających egzaminy zawodowe</w:t>
      </w:r>
      <w:r w:rsidR="00E66B89">
        <w:t xml:space="preserve"> w </w:t>
      </w:r>
      <w:r w:rsidRPr="000A135E">
        <w:t>województwie zachodniopomorskim</w:t>
      </w:r>
      <w:r w:rsidR="00E66B89">
        <w:t xml:space="preserve"> w </w:t>
      </w:r>
      <w:r w:rsidRPr="000A135E">
        <w:t xml:space="preserve">latach 2013-2017, zaleca się </w:t>
      </w:r>
      <w:r>
        <w:t xml:space="preserve">rozważenie </w:t>
      </w:r>
      <w:r w:rsidRPr="000A135E">
        <w:t>podwyższeni</w:t>
      </w:r>
      <w:r>
        <w:t>a</w:t>
      </w:r>
      <w:r w:rsidRPr="000A135E">
        <w:t xml:space="preserve"> wartości docelowej specyficznego wskaźnika rezultatu </w:t>
      </w:r>
      <w:r w:rsidRPr="008B706B">
        <w:rPr>
          <w:i/>
        </w:rPr>
        <w:t>Zdawalność egzaminów zawodowych</w:t>
      </w:r>
      <w:r w:rsidR="00E66B89">
        <w:t xml:space="preserve"> z </w:t>
      </w:r>
      <w:r w:rsidRPr="000A135E">
        <w:t xml:space="preserve">69% do 79%. </w:t>
      </w:r>
    </w:p>
    <w:p w14:paraId="787B8FE6" w14:textId="77777777" w:rsidR="00116CFB" w:rsidRPr="000A135E" w:rsidRDefault="00116CFB" w:rsidP="00116CFB">
      <w:pPr>
        <w:pStyle w:val="evaluTresc"/>
      </w:pPr>
      <w:r w:rsidRPr="000A135E">
        <w:t>Projekty Działania 9.8</w:t>
      </w:r>
      <w:r w:rsidR="00E66B89">
        <w:t xml:space="preserve"> i </w:t>
      </w:r>
      <w:r w:rsidRPr="000A135E">
        <w:t>Działania 9.9 RPO WZ 2014-2020 przyczyniają do dalszego wzrostu wskaźnika poprzez zapewnienie lepszych warunków do praktycznej nauki zawodu</w:t>
      </w:r>
      <w:r>
        <w:t>,</w:t>
      </w:r>
      <w:r w:rsidRPr="000A135E">
        <w:t xml:space="preserve"> przekładających się bezpośrednio na zdawalność egzaminów zawodowych.</w:t>
      </w:r>
    </w:p>
    <w:p w14:paraId="374C6E6E"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 xml:space="preserve">Ocena potencjału absorpcyjnego </w:t>
      </w:r>
    </w:p>
    <w:p w14:paraId="0A353FD1" w14:textId="77777777" w:rsidR="00116CFB" w:rsidRPr="00F9159D" w:rsidRDefault="00116CFB" w:rsidP="00024F00">
      <w:pPr>
        <w:pStyle w:val="Legenda"/>
        <w:spacing w:after="0"/>
      </w:pPr>
      <w:bookmarkStart w:id="354" w:name="_Toc8824265"/>
      <w:r w:rsidRPr="00F9159D">
        <w:t xml:space="preserve">Tabela </w:t>
      </w:r>
      <w:r>
        <w:fldChar w:fldCharType="begin"/>
      </w:r>
      <w:r>
        <w:instrText xml:space="preserve"> SEQ Tabela \* ARABIC </w:instrText>
      </w:r>
      <w:r>
        <w:fldChar w:fldCharType="separate"/>
      </w:r>
      <w:r w:rsidR="00763345">
        <w:rPr>
          <w:noProof/>
        </w:rPr>
        <w:t>154</w:t>
      </w:r>
      <w:r>
        <w:fldChar w:fldCharType="end"/>
      </w:r>
      <w:r w:rsidRPr="00F9159D">
        <w:t xml:space="preserve"> Wysokość alokacji ogółem, alokacji głównej, rezerwy wykonania oraz poziom kontraktacji –</w:t>
      </w:r>
      <w:r w:rsidR="00E66B89">
        <w:t xml:space="preserve"> w </w:t>
      </w:r>
      <w:r w:rsidRPr="00F9159D">
        <w:t>ramach PI 9a</w:t>
      </w:r>
      <w:bookmarkEnd w:id="354"/>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133"/>
        <w:gridCol w:w="1133"/>
        <w:gridCol w:w="1133"/>
        <w:gridCol w:w="1132"/>
        <w:gridCol w:w="1133"/>
        <w:gridCol w:w="1133"/>
        <w:gridCol w:w="1133"/>
      </w:tblGrid>
      <w:tr w:rsidR="00116CFB" w:rsidRPr="007154F8" w14:paraId="265543C9" w14:textId="77777777" w:rsidTr="00C22C26">
        <w:trPr>
          <w:tblHeader/>
        </w:trPr>
        <w:tc>
          <w:tcPr>
            <w:tcW w:w="1132" w:type="dxa"/>
            <w:shd w:val="clear" w:color="auto" w:fill="DBE5F1"/>
          </w:tcPr>
          <w:p w14:paraId="37DDDDD6" w14:textId="77777777" w:rsidR="00116CFB" w:rsidRPr="00AF5126" w:rsidRDefault="00116CFB" w:rsidP="004742DC">
            <w:pPr>
              <w:jc w:val="center"/>
              <w:rPr>
                <w:sz w:val="18"/>
                <w:szCs w:val="18"/>
              </w:rPr>
            </w:pPr>
            <w:r w:rsidRPr="00AF5126">
              <w:rPr>
                <w:rFonts w:cs="Calibri"/>
                <w:sz w:val="18"/>
                <w:szCs w:val="18"/>
              </w:rPr>
              <w:t>Działanie</w:t>
            </w:r>
          </w:p>
        </w:tc>
        <w:tc>
          <w:tcPr>
            <w:tcW w:w="1133" w:type="dxa"/>
            <w:shd w:val="clear" w:color="auto" w:fill="DBE5F1"/>
          </w:tcPr>
          <w:p w14:paraId="55943B53" w14:textId="77777777" w:rsidR="00116CFB" w:rsidRPr="00AF5126" w:rsidRDefault="00116CFB" w:rsidP="004742DC">
            <w:pPr>
              <w:jc w:val="center"/>
              <w:rPr>
                <w:sz w:val="18"/>
                <w:szCs w:val="18"/>
              </w:rPr>
            </w:pPr>
            <w:r w:rsidRPr="00AF5126">
              <w:rPr>
                <w:rFonts w:cs="Calibri"/>
                <w:sz w:val="18"/>
                <w:szCs w:val="18"/>
              </w:rPr>
              <w:t>CT</w:t>
            </w:r>
          </w:p>
        </w:tc>
        <w:tc>
          <w:tcPr>
            <w:tcW w:w="1133" w:type="dxa"/>
            <w:shd w:val="clear" w:color="auto" w:fill="DBE5F1"/>
          </w:tcPr>
          <w:p w14:paraId="32B4BE2A" w14:textId="77777777" w:rsidR="00116CFB" w:rsidRPr="00AF5126" w:rsidRDefault="00116CFB" w:rsidP="004742DC">
            <w:pPr>
              <w:jc w:val="center"/>
              <w:rPr>
                <w:sz w:val="18"/>
                <w:szCs w:val="18"/>
              </w:rPr>
            </w:pPr>
            <w:r w:rsidRPr="00AF5126">
              <w:rPr>
                <w:rFonts w:cs="Calibri"/>
                <w:sz w:val="18"/>
                <w:szCs w:val="18"/>
              </w:rPr>
              <w:t>PI</w:t>
            </w:r>
          </w:p>
        </w:tc>
        <w:tc>
          <w:tcPr>
            <w:tcW w:w="1133" w:type="dxa"/>
            <w:shd w:val="clear" w:color="auto" w:fill="DBE5F1"/>
          </w:tcPr>
          <w:p w14:paraId="5AF01105" w14:textId="77777777" w:rsidR="00116CFB" w:rsidRPr="00AF5126" w:rsidRDefault="00116CFB" w:rsidP="004742DC">
            <w:pPr>
              <w:jc w:val="center"/>
              <w:rPr>
                <w:sz w:val="18"/>
                <w:szCs w:val="18"/>
              </w:rPr>
            </w:pPr>
            <w:r w:rsidRPr="00AF5126">
              <w:rPr>
                <w:rFonts w:cs="Calibri"/>
                <w:bCs/>
                <w:color w:val="000000"/>
                <w:sz w:val="18"/>
                <w:szCs w:val="18"/>
              </w:rPr>
              <w:t>Alokacja UE ogółem</w:t>
            </w:r>
            <w:r w:rsidRPr="00AF5126">
              <w:rPr>
                <w:rFonts w:cs="Calibri"/>
                <w:bCs/>
                <w:color w:val="000000"/>
                <w:sz w:val="18"/>
                <w:szCs w:val="18"/>
              </w:rPr>
              <w:br/>
              <w:t>[EUR]</w:t>
            </w:r>
            <w:r w:rsidRPr="00AF5126">
              <w:rPr>
                <w:rFonts w:cs="Calibri"/>
                <w:bCs/>
                <w:color w:val="000000"/>
                <w:sz w:val="18"/>
                <w:szCs w:val="18"/>
              </w:rPr>
              <w:br/>
              <w:t>(alokacja główna +rezerwa wykonania)</w:t>
            </w:r>
          </w:p>
        </w:tc>
        <w:tc>
          <w:tcPr>
            <w:tcW w:w="1132" w:type="dxa"/>
            <w:shd w:val="clear" w:color="auto" w:fill="DBE5F1"/>
          </w:tcPr>
          <w:p w14:paraId="46C9DCC2" w14:textId="77777777" w:rsidR="00116CFB" w:rsidRPr="00AF5126" w:rsidRDefault="00116CFB" w:rsidP="004742DC">
            <w:pPr>
              <w:jc w:val="center"/>
              <w:rPr>
                <w:sz w:val="18"/>
                <w:szCs w:val="18"/>
              </w:rPr>
            </w:pPr>
            <w:r w:rsidRPr="00AF5126">
              <w:rPr>
                <w:rFonts w:cs="Calibri"/>
                <w:bCs/>
                <w:color w:val="000000"/>
                <w:sz w:val="18"/>
                <w:szCs w:val="18"/>
              </w:rPr>
              <w:t>Alokacja główna</w:t>
            </w:r>
            <w:r w:rsidRPr="00AF5126">
              <w:rPr>
                <w:rFonts w:cs="Calibri"/>
                <w:bCs/>
                <w:color w:val="000000"/>
                <w:sz w:val="18"/>
                <w:szCs w:val="18"/>
              </w:rPr>
              <w:br/>
              <w:t>[EUR]</w:t>
            </w:r>
          </w:p>
        </w:tc>
        <w:tc>
          <w:tcPr>
            <w:tcW w:w="1133" w:type="dxa"/>
            <w:shd w:val="clear" w:color="auto" w:fill="DBE5F1"/>
          </w:tcPr>
          <w:p w14:paraId="4926E68D" w14:textId="77777777" w:rsidR="00116CFB" w:rsidRPr="00AF5126" w:rsidRDefault="00116CFB" w:rsidP="004742DC">
            <w:pPr>
              <w:jc w:val="center"/>
              <w:rPr>
                <w:sz w:val="18"/>
                <w:szCs w:val="18"/>
              </w:rPr>
            </w:pPr>
            <w:r w:rsidRPr="00AF5126">
              <w:rPr>
                <w:rFonts w:cs="Calibri"/>
                <w:bCs/>
                <w:color w:val="000000"/>
                <w:sz w:val="18"/>
                <w:szCs w:val="18"/>
              </w:rPr>
              <w:t>Rezerwa wykonania</w:t>
            </w:r>
            <w:r w:rsidRPr="00AF5126">
              <w:rPr>
                <w:rFonts w:cs="Calibri"/>
                <w:bCs/>
                <w:color w:val="000000"/>
                <w:sz w:val="18"/>
                <w:szCs w:val="18"/>
              </w:rPr>
              <w:br/>
              <w:t>[EUR]</w:t>
            </w:r>
          </w:p>
        </w:tc>
        <w:tc>
          <w:tcPr>
            <w:tcW w:w="1133" w:type="dxa"/>
            <w:shd w:val="clear" w:color="auto" w:fill="DBE5F1"/>
          </w:tcPr>
          <w:p w14:paraId="74679486" w14:textId="77777777" w:rsidR="00116CFB" w:rsidRPr="00AF5126" w:rsidRDefault="00116CFB" w:rsidP="004742DC">
            <w:pPr>
              <w:jc w:val="center"/>
              <w:rPr>
                <w:color w:val="FF0000"/>
                <w:sz w:val="18"/>
                <w:szCs w:val="18"/>
              </w:rPr>
            </w:pPr>
            <w:r w:rsidRPr="00AF5126">
              <w:rPr>
                <w:rFonts w:cs="Calibri"/>
                <w:sz w:val="18"/>
                <w:szCs w:val="18"/>
              </w:rPr>
              <w:t>Kontraktacja</w:t>
            </w:r>
            <w:r w:rsidR="00E66B89">
              <w:rPr>
                <w:rFonts w:cs="Calibri"/>
                <w:sz w:val="18"/>
                <w:szCs w:val="18"/>
              </w:rPr>
              <w:t xml:space="preserve"> z </w:t>
            </w:r>
            <w:r w:rsidRPr="00AF5126">
              <w:rPr>
                <w:rFonts w:cs="Calibri"/>
                <w:sz w:val="18"/>
                <w:szCs w:val="18"/>
              </w:rPr>
              <w:t>środkami rezerwy wykonania [%]</w:t>
            </w:r>
          </w:p>
        </w:tc>
        <w:tc>
          <w:tcPr>
            <w:tcW w:w="1133" w:type="dxa"/>
            <w:shd w:val="clear" w:color="auto" w:fill="DBE5F1"/>
          </w:tcPr>
          <w:p w14:paraId="44B9C8B3" w14:textId="77777777" w:rsidR="00116CFB" w:rsidRPr="00AF5126" w:rsidRDefault="00116CFB" w:rsidP="004742DC">
            <w:pPr>
              <w:jc w:val="center"/>
              <w:rPr>
                <w:rFonts w:cs="Calibri"/>
                <w:sz w:val="18"/>
                <w:szCs w:val="18"/>
              </w:rPr>
            </w:pPr>
            <w:r w:rsidRPr="00AF5126">
              <w:rPr>
                <w:rFonts w:cs="Calibri"/>
                <w:sz w:val="18"/>
                <w:szCs w:val="18"/>
              </w:rPr>
              <w:t>Kontraktacja bez środków rezerwy wykonania [%]</w:t>
            </w:r>
          </w:p>
        </w:tc>
      </w:tr>
      <w:tr w:rsidR="00116CFB" w:rsidRPr="007154F8" w14:paraId="5A7478C1" w14:textId="77777777" w:rsidTr="004742DC">
        <w:tc>
          <w:tcPr>
            <w:tcW w:w="1132" w:type="dxa"/>
            <w:shd w:val="clear" w:color="auto" w:fill="auto"/>
            <w:tcMar>
              <w:left w:w="108" w:type="dxa"/>
            </w:tcMar>
            <w:vAlign w:val="center"/>
          </w:tcPr>
          <w:p w14:paraId="301637CF" w14:textId="77777777" w:rsidR="00116CFB" w:rsidRPr="007154F8" w:rsidRDefault="00116CFB" w:rsidP="004742DC">
            <w:pPr>
              <w:jc w:val="center"/>
              <w:rPr>
                <w:sz w:val="18"/>
                <w:szCs w:val="18"/>
              </w:rPr>
            </w:pPr>
            <w:r w:rsidRPr="007154F8">
              <w:rPr>
                <w:rFonts w:cs="Calibri"/>
                <w:color w:val="000000"/>
                <w:sz w:val="18"/>
                <w:szCs w:val="18"/>
              </w:rPr>
              <w:t>9.4</w:t>
            </w:r>
          </w:p>
        </w:tc>
        <w:tc>
          <w:tcPr>
            <w:tcW w:w="1133" w:type="dxa"/>
            <w:shd w:val="clear" w:color="auto" w:fill="auto"/>
            <w:tcMar>
              <w:left w:w="108" w:type="dxa"/>
            </w:tcMar>
            <w:vAlign w:val="center"/>
          </w:tcPr>
          <w:p w14:paraId="5F67C61B"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2B27E5B5"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34A419CF" w14:textId="77777777" w:rsidR="00116CFB" w:rsidRPr="007154F8" w:rsidRDefault="00116CFB" w:rsidP="004742DC">
            <w:pPr>
              <w:jc w:val="center"/>
              <w:rPr>
                <w:sz w:val="18"/>
                <w:szCs w:val="18"/>
              </w:rPr>
            </w:pPr>
            <w:r w:rsidRPr="007154F8">
              <w:rPr>
                <w:rFonts w:cs="Calibri"/>
                <w:color w:val="000000"/>
                <w:sz w:val="18"/>
                <w:szCs w:val="18"/>
              </w:rPr>
              <w:t>0,00</w:t>
            </w:r>
          </w:p>
        </w:tc>
        <w:tc>
          <w:tcPr>
            <w:tcW w:w="1132" w:type="dxa"/>
            <w:shd w:val="clear" w:color="auto" w:fill="auto"/>
            <w:tcMar>
              <w:left w:w="108" w:type="dxa"/>
            </w:tcMar>
            <w:vAlign w:val="center"/>
          </w:tcPr>
          <w:p w14:paraId="167EF7DD" w14:textId="77777777" w:rsidR="00116CFB" w:rsidRPr="007154F8" w:rsidRDefault="00116CFB" w:rsidP="004742DC">
            <w:pPr>
              <w:jc w:val="center"/>
              <w:rPr>
                <w:sz w:val="18"/>
                <w:szCs w:val="18"/>
              </w:rPr>
            </w:pPr>
            <w:r w:rsidRPr="007154F8">
              <w:rPr>
                <w:rFonts w:cs="Calibri"/>
                <w:color w:val="000000"/>
                <w:sz w:val="18"/>
                <w:szCs w:val="18"/>
              </w:rPr>
              <w:t>0,00</w:t>
            </w:r>
          </w:p>
        </w:tc>
        <w:tc>
          <w:tcPr>
            <w:tcW w:w="1133" w:type="dxa"/>
            <w:shd w:val="clear" w:color="auto" w:fill="auto"/>
            <w:tcMar>
              <w:left w:w="108" w:type="dxa"/>
            </w:tcMar>
            <w:vAlign w:val="center"/>
          </w:tcPr>
          <w:p w14:paraId="1FF78EB6" w14:textId="77777777" w:rsidR="00116CFB" w:rsidRPr="007154F8" w:rsidRDefault="00116CFB" w:rsidP="004742DC">
            <w:pPr>
              <w:jc w:val="center"/>
              <w:rPr>
                <w:sz w:val="18"/>
                <w:szCs w:val="18"/>
              </w:rPr>
            </w:pPr>
            <w:r w:rsidRPr="007154F8">
              <w:rPr>
                <w:rFonts w:cs="Calibri"/>
                <w:color w:val="000000"/>
                <w:sz w:val="18"/>
                <w:szCs w:val="18"/>
              </w:rPr>
              <w:t>0,00</w:t>
            </w:r>
          </w:p>
        </w:tc>
        <w:tc>
          <w:tcPr>
            <w:tcW w:w="1133" w:type="dxa"/>
            <w:shd w:val="clear" w:color="auto" w:fill="auto"/>
            <w:tcMar>
              <w:left w:w="108" w:type="dxa"/>
            </w:tcMar>
            <w:vAlign w:val="center"/>
          </w:tcPr>
          <w:p w14:paraId="772AA325" w14:textId="77777777" w:rsidR="00116CFB" w:rsidRPr="007154F8" w:rsidRDefault="00116CFB" w:rsidP="004742DC">
            <w:pPr>
              <w:jc w:val="center"/>
              <w:rPr>
                <w:sz w:val="18"/>
                <w:szCs w:val="18"/>
              </w:rPr>
            </w:pPr>
            <w:r w:rsidRPr="007154F8">
              <w:rPr>
                <w:sz w:val="18"/>
                <w:szCs w:val="18"/>
              </w:rPr>
              <w:t>0,0%</w:t>
            </w:r>
          </w:p>
        </w:tc>
        <w:tc>
          <w:tcPr>
            <w:tcW w:w="1133" w:type="dxa"/>
            <w:shd w:val="clear" w:color="auto" w:fill="auto"/>
            <w:vAlign w:val="center"/>
          </w:tcPr>
          <w:p w14:paraId="39C1CA23" w14:textId="77777777" w:rsidR="00116CFB" w:rsidRPr="007154F8" w:rsidRDefault="00116CFB" w:rsidP="004742DC">
            <w:pPr>
              <w:jc w:val="center"/>
              <w:rPr>
                <w:sz w:val="18"/>
                <w:szCs w:val="18"/>
              </w:rPr>
            </w:pPr>
            <w:r w:rsidRPr="007154F8">
              <w:rPr>
                <w:sz w:val="18"/>
                <w:szCs w:val="18"/>
              </w:rPr>
              <w:t>0,0%</w:t>
            </w:r>
          </w:p>
        </w:tc>
      </w:tr>
      <w:tr w:rsidR="00116CFB" w:rsidRPr="007154F8" w14:paraId="786507D7" w14:textId="77777777" w:rsidTr="004742DC">
        <w:tc>
          <w:tcPr>
            <w:tcW w:w="1132" w:type="dxa"/>
            <w:shd w:val="clear" w:color="auto" w:fill="auto"/>
            <w:tcMar>
              <w:left w:w="108" w:type="dxa"/>
            </w:tcMar>
            <w:vAlign w:val="center"/>
          </w:tcPr>
          <w:p w14:paraId="41496E5D" w14:textId="77777777" w:rsidR="00116CFB" w:rsidRPr="007154F8" w:rsidRDefault="00116CFB" w:rsidP="004742DC">
            <w:pPr>
              <w:jc w:val="center"/>
              <w:rPr>
                <w:sz w:val="18"/>
                <w:szCs w:val="18"/>
              </w:rPr>
            </w:pPr>
            <w:r w:rsidRPr="007154F8">
              <w:rPr>
                <w:rFonts w:cs="Calibri"/>
                <w:color w:val="000000"/>
                <w:sz w:val="18"/>
                <w:szCs w:val="18"/>
              </w:rPr>
              <w:lastRenderedPageBreak/>
              <w:t>9.5</w:t>
            </w:r>
          </w:p>
        </w:tc>
        <w:tc>
          <w:tcPr>
            <w:tcW w:w="1133" w:type="dxa"/>
            <w:shd w:val="clear" w:color="auto" w:fill="auto"/>
            <w:tcMar>
              <w:left w:w="108" w:type="dxa"/>
            </w:tcMar>
            <w:vAlign w:val="center"/>
          </w:tcPr>
          <w:p w14:paraId="391BAEFE"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76150B81"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20674DC6" w14:textId="77777777" w:rsidR="00116CFB" w:rsidRPr="007154F8" w:rsidRDefault="00116CFB" w:rsidP="004742DC">
            <w:pPr>
              <w:jc w:val="center"/>
              <w:rPr>
                <w:sz w:val="18"/>
                <w:szCs w:val="18"/>
              </w:rPr>
            </w:pPr>
            <w:r w:rsidRPr="007154F8">
              <w:rPr>
                <w:rFonts w:cs="Calibri"/>
                <w:color w:val="000000"/>
                <w:sz w:val="18"/>
                <w:szCs w:val="18"/>
              </w:rPr>
              <w:t>1 000 000,00</w:t>
            </w:r>
          </w:p>
        </w:tc>
        <w:tc>
          <w:tcPr>
            <w:tcW w:w="1132" w:type="dxa"/>
            <w:shd w:val="clear" w:color="auto" w:fill="auto"/>
            <w:tcMar>
              <w:left w:w="108" w:type="dxa"/>
            </w:tcMar>
            <w:vAlign w:val="center"/>
          </w:tcPr>
          <w:p w14:paraId="361F6CC9" w14:textId="77777777" w:rsidR="00116CFB" w:rsidRPr="007154F8" w:rsidRDefault="00116CFB" w:rsidP="004742DC">
            <w:pPr>
              <w:jc w:val="center"/>
              <w:rPr>
                <w:sz w:val="18"/>
                <w:szCs w:val="18"/>
              </w:rPr>
            </w:pPr>
            <w:r w:rsidRPr="007154F8">
              <w:rPr>
                <w:rFonts w:cs="Calibri"/>
                <w:color w:val="000000"/>
                <w:sz w:val="18"/>
                <w:szCs w:val="18"/>
              </w:rPr>
              <w:t>940 000,00</w:t>
            </w:r>
          </w:p>
        </w:tc>
        <w:tc>
          <w:tcPr>
            <w:tcW w:w="1133" w:type="dxa"/>
            <w:shd w:val="clear" w:color="auto" w:fill="auto"/>
            <w:tcMar>
              <w:left w:w="108" w:type="dxa"/>
            </w:tcMar>
            <w:vAlign w:val="center"/>
          </w:tcPr>
          <w:p w14:paraId="6E9D3C46" w14:textId="77777777" w:rsidR="00116CFB" w:rsidRPr="007154F8" w:rsidRDefault="00116CFB" w:rsidP="004742DC">
            <w:pPr>
              <w:jc w:val="center"/>
              <w:rPr>
                <w:sz w:val="18"/>
                <w:szCs w:val="18"/>
              </w:rPr>
            </w:pPr>
            <w:r w:rsidRPr="007154F8">
              <w:rPr>
                <w:rFonts w:cs="Calibri"/>
                <w:color w:val="000000"/>
                <w:sz w:val="18"/>
                <w:szCs w:val="18"/>
              </w:rPr>
              <w:t>60 000,00</w:t>
            </w:r>
          </w:p>
        </w:tc>
        <w:tc>
          <w:tcPr>
            <w:tcW w:w="1133" w:type="dxa"/>
            <w:shd w:val="clear" w:color="auto" w:fill="auto"/>
            <w:tcMar>
              <w:left w:w="108" w:type="dxa"/>
            </w:tcMar>
            <w:vAlign w:val="center"/>
          </w:tcPr>
          <w:p w14:paraId="211E40CB" w14:textId="77777777" w:rsidR="00116CFB" w:rsidRPr="007154F8" w:rsidRDefault="00116CFB" w:rsidP="004742DC">
            <w:pPr>
              <w:jc w:val="center"/>
              <w:rPr>
                <w:color w:val="000000"/>
                <w:sz w:val="18"/>
                <w:szCs w:val="18"/>
              </w:rPr>
            </w:pPr>
            <w:r w:rsidRPr="007154F8">
              <w:rPr>
                <w:rFonts w:cs="Calibri"/>
                <w:color w:val="000000"/>
                <w:sz w:val="18"/>
                <w:szCs w:val="18"/>
              </w:rPr>
              <w:t>33,5%</w:t>
            </w:r>
          </w:p>
        </w:tc>
        <w:tc>
          <w:tcPr>
            <w:tcW w:w="1133" w:type="dxa"/>
            <w:shd w:val="clear" w:color="auto" w:fill="auto"/>
            <w:vAlign w:val="center"/>
          </w:tcPr>
          <w:p w14:paraId="20A86CDC" w14:textId="77777777" w:rsidR="00116CFB" w:rsidRPr="007154F8" w:rsidRDefault="00116CFB" w:rsidP="004742DC">
            <w:pPr>
              <w:jc w:val="center"/>
              <w:rPr>
                <w:rFonts w:cs="Calibri"/>
                <w:color w:val="000000"/>
                <w:sz w:val="18"/>
                <w:szCs w:val="18"/>
              </w:rPr>
            </w:pPr>
            <w:r w:rsidRPr="007154F8">
              <w:rPr>
                <w:rFonts w:cs="Calibri"/>
                <w:color w:val="000000"/>
                <w:sz w:val="18"/>
                <w:szCs w:val="18"/>
              </w:rPr>
              <w:t>35,7%</w:t>
            </w:r>
          </w:p>
        </w:tc>
      </w:tr>
      <w:tr w:rsidR="00116CFB" w:rsidRPr="007154F8" w14:paraId="067E6843" w14:textId="77777777" w:rsidTr="004742DC">
        <w:tc>
          <w:tcPr>
            <w:tcW w:w="1132" w:type="dxa"/>
            <w:shd w:val="clear" w:color="auto" w:fill="auto"/>
            <w:tcMar>
              <w:left w:w="108" w:type="dxa"/>
            </w:tcMar>
            <w:vAlign w:val="center"/>
          </w:tcPr>
          <w:p w14:paraId="56EAADBA" w14:textId="77777777" w:rsidR="00116CFB" w:rsidRPr="007154F8" w:rsidRDefault="00116CFB" w:rsidP="004742DC">
            <w:pPr>
              <w:jc w:val="center"/>
              <w:rPr>
                <w:sz w:val="18"/>
                <w:szCs w:val="18"/>
              </w:rPr>
            </w:pPr>
            <w:r w:rsidRPr="007154F8">
              <w:rPr>
                <w:rFonts w:cs="Calibri"/>
                <w:color w:val="000000"/>
                <w:sz w:val="18"/>
                <w:szCs w:val="18"/>
              </w:rPr>
              <w:t>9.6</w:t>
            </w:r>
          </w:p>
        </w:tc>
        <w:tc>
          <w:tcPr>
            <w:tcW w:w="1133" w:type="dxa"/>
            <w:shd w:val="clear" w:color="auto" w:fill="auto"/>
            <w:tcMar>
              <w:left w:w="108" w:type="dxa"/>
            </w:tcMar>
            <w:vAlign w:val="center"/>
          </w:tcPr>
          <w:p w14:paraId="0417A4B2"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1A15F843"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57E1F3A3" w14:textId="77777777" w:rsidR="00116CFB" w:rsidRPr="007154F8" w:rsidRDefault="00116CFB" w:rsidP="004742DC">
            <w:pPr>
              <w:jc w:val="center"/>
              <w:rPr>
                <w:sz w:val="18"/>
                <w:szCs w:val="18"/>
              </w:rPr>
            </w:pPr>
            <w:r w:rsidRPr="007154F8">
              <w:rPr>
                <w:rFonts w:cs="Calibri"/>
                <w:color w:val="000000"/>
                <w:sz w:val="18"/>
                <w:szCs w:val="18"/>
              </w:rPr>
              <w:t>15 000 000,00</w:t>
            </w:r>
          </w:p>
        </w:tc>
        <w:tc>
          <w:tcPr>
            <w:tcW w:w="1132" w:type="dxa"/>
            <w:shd w:val="clear" w:color="auto" w:fill="auto"/>
            <w:tcMar>
              <w:left w:w="108" w:type="dxa"/>
            </w:tcMar>
            <w:vAlign w:val="center"/>
          </w:tcPr>
          <w:p w14:paraId="124C9121" w14:textId="77777777" w:rsidR="00116CFB" w:rsidRPr="007154F8" w:rsidRDefault="00116CFB" w:rsidP="004742DC">
            <w:pPr>
              <w:jc w:val="center"/>
              <w:rPr>
                <w:sz w:val="18"/>
                <w:szCs w:val="18"/>
              </w:rPr>
            </w:pPr>
            <w:r w:rsidRPr="007154F8">
              <w:rPr>
                <w:rFonts w:cs="Calibri"/>
                <w:color w:val="000000"/>
                <w:sz w:val="18"/>
                <w:szCs w:val="18"/>
              </w:rPr>
              <w:t>13 500 000,00</w:t>
            </w:r>
          </w:p>
        </w:tc>
        <w:tc>
          <w:tcPr>
            <w:tcW w:w="1133" w:type="dxa"/>
            <w:shd w:val="clear" w:color="auto" w:fill="auto"/>
            <w:tcMar>
              <w:left w:w="108" w:type="dxa"/>
            </w:tcMar>
            <w:vAlign w:val="center"/>
          </w:tcPr>
          <w:p w14:paraId="1E685B75" w14:textId="77777777" w:rsidR="00116CFB" w:rsidRPr="007154F8" w:rsidRDefault="00116CFB" w:rsidP="004742DC">
            <w:pPr>
              <w:jc w:val="center"/>
              <w:rPr>
                <w:sz w:val="18"/>
                <w:szCs w:val="18"/>
              </w:rPr>
            </w:pPr>
            <w:r w:rsidRPr="007154F8">
              <w:rPr>
                <w:rFonts w:cs="Calibri"/>
                <w:color w:val="000000"/>
                <w:sz w:val="18"/>
                <w:szCs w:val="18"/>
              </w:rPr>
              <w:t>1 500 000,00</w:t>
            </w:r>
          </w:p>
        </w:tc>
        <w:tc>
          <w:tcPr>
            <w:tcW w:w="1133" w:type="dxa"/>
            <w:shd w:val="clear" w:color="auto" w:fill="auto"/>
            <w:tcMar>
              <w:left w:w="108" w:type="dxa"/>
            </w:tcMar>
            <w:vAlign w:val="center"/>
          </w:tcPr>
          <w:p w14:paraId="24896163" w14:textId="77777777" w:rsidR="00116CFB" w:rsidRPr="007154F8" w:rsidRDefault="00116CFB" w:rsidP="004742DC">
            <w:pPr>
              <w:jc w:val="center"/>
              <w:rPr>
                <w:color w:val="000000"/>
                <w:sz w:val="18"/>
                <w:szCs w:val="18"/>
              </w:rPr>
            </w:pPr>
            <w:r w:rsidRPr="007154F8">
              <w:rPr>
                <w:rFonts w:cs="Calibri"/>
                <w:color w:val="000000"/>
                <w:sz w:val="18"/>
                <w:szCs w:val="18"/>
              </w:rPr>
              <w:t>91,7%</w:t>
            </w:r>
          </w:p>
        </w:tc>
        <w:tc>
          <w:tcPr>
            <w:tcW w:w="1133" w:type="dxa"/>
            <w:shd w:val="clear" w:color="auto" w:fill="auto"/>
            <w:vAlign w:val="center"/>
          </w:tcPr>
          <w:p w14:paraId="4569CA30" w14:textId="77777777" w:rsidR="00116CFB" w:rsidRPr="007154F8" w:rsidRDefault="00116CFB" w:rsidP="004742DC">
            <w:pPr>
              <w:jc w:val="center"/>
              <w:rPr>
                <w:rFonts w:cs="Calibri"/>
                <w:color w:val="000000"/>
                <w:sz w:val="18"/>
                <w:szCs w:val="18"/>
              </w:rPr>
            </w:pPr>
            <w:r w:rsidRPr="007154F8">
              <w:rPr>
                <w:rFonts w:cs="Calibri"/>
                <w:color w:val="000000"/>
                <w:sz w:val="18"/>
                <w:szCs w:val="18"/>
              </w:rPr>
              <w:t>101,9%</w:t>
            </w:r>
          </w:p>
        </w:tc>
      </w:tr>
      <w:tr w:rsidR="00116CFB" w:rsidRPr="007154F8" w14:paraId="7E82547D" w14:textId="77777777" w:rsidTr="004742DC">
        <w:tc>
          <w:tcPr>
            <w:tcW w:w="1132" w:type="dxa"/>
            <w:shd w:val="clear" w:color="auto" w:fill="auto"/>
            <w:tcMar>
              <w:left w:w="108" w:type="dxa"/>
            </w:tcMar>
            <w:vAlign w:val="center"/>
          </w:tcPr>
          <w:p w14:paraId="3A727721" w14:textId="77777777" w:rsidR="00116CFB" w:rsidRPr="007154F8" w:rsidRDefault="00116CFB" w:rsidP="004742DC">
            <w:pPr>
              <w:jc w:val="center"/>
              <w:rPr>
                <w:sz w:val="18"/>
                <w:szCs w:val="18"/>
              </w:rPr>
            </w:pPr>
            <w:r w:rsidRPr="007154F8">
              <w:rPr>
                <w:rFonts w:cs="Calibri"/>
                <w:color w:val="000000"/>
                <w:sz w:val="18"/>
                <w:szCs w:val="18"/>
              </w:rPr>
              <w:t>9.7</w:t>
            </w:r>
          </w:p>
        </w:tc>
        <w:tc>
          <w:tcPr>
            <w:tcW w:w="1133" w:type="dxa"/>
            <w:shd w:val="clear" w:color="auto" w:fill="auto"/>
            <w:tcMar>
              <w:left w:w="108" w:type="dxa"/>
            </w:tcMar>
            <w:vAlign w:val="center"/>
          </w:tcPr>
          <w:p w14:paraId="54510DF2"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4490D867"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03CAB8F2" w14:textId="77777777" w:rsidR="00116CFB" w:rsidRPr="007154F8" w:rsidRDefault="00116CFB" w:rsidP="004742DC">
            <w:pPr>
              <w:jc w:val="center"/>
              <w:rPr>
                <w:sz w:val="18"/>
                <w:szCs w:val="18"/>
              </w:rPr>
            </w:pPr>
            <w:r w:rsidRPr="007154F8">
              <w:rPr>
                <w:rFonts w:cs="Calibri"/>
                <w:color w:val="000000"/>
                <w:sz w:val="18"/>
                <w:szCs w:val="18"/>
              </w:rPr>
              <w:t>2 000 000,00</w:t>
            </w:r>
          </w:p>
        </w:tc>
        <w:tc>
          <w:tcPr>
            <w:tcW w:w="1132" w:type="dxa"/>
            <w:shd w:val="clear" w:color="auto" w:fill="auto"/>
            <w:tcMar>
              <w:left w:w="108" w:type="dxa"/>
            </w:tcMar>
            <w:vAlign w:val="center"/>
          </w:tcPr>
          <w:p w14:paraId="1325C102" w14:textId="77777777" w:rsidR="00116CFB" w:rsidRPr="007154F8" w:rsidRDefault="00116CFB" w:rsidP="004742DC">
            <w:pPr>
              <w:jc w:val="center"/>
              <w:rPr>
                <w:sz w:val="18"/>
                <w:szCs w:val="18"/>
              </w:rPr>
            </w:pPr>
            <w:r w:rsidRPr="007154F8">
              <w:rPr>
                <w:rFonts w:cs="Calibri"/>
                <w:color w:val="000000"/>
                <w:sz w:val="18"/>
                <w:szCs w:val="18"/>
              </w:rPr>
              <w:t>1 880 000,00</w:t>
            </w:r>
          </w:p>
        </w:tc>
        <w:tc>
          <w:tcPr>
            <w:tcW w:w="1133" w:type="dxa"/>
            <w:shd w:val="clear" w:color="auto" w:fill="auto"/>
            <w:tcMar>
              <w:left w:w="108" w:type="dxa"/>
            </w:tcMar>
            <w:vAlign w:val="center"/>
          </w:tcPr>
          <w:p w14:paraId="2A6A19D5" w14:textId="77777777" w:rsidR="00116CFB" w:rsidRPr="007154F8" w:rsidRDefault="00116CFB" w:rsidP="004742DC">
            <w:pPr>
              <w:jc w:val="center"/>
              <w:rPr>
                <w:sz w:val="18"/>
                <w:szCs w:val="18"/>
              </w:rPr>
            </w:pPr>
            <w:r w:rsidRPr="007154F8">
              <w:rPr>
                <w:rFonts w:cs="Calibri"/>
                <w:color w:val="000000"/>
                <w:sz w:val="18"/>
                <w:szCs w:val="18"/>
              </w:rPr>
              <w:t>120 000,00</w:t>
            </w:r>
          </w:p>
        </w:tc>
        <w:tc>
          <w:tcPr>
            <w:tcW w:w="1133" w:type="dxa"/>
            <w:shd w:val="clear" w:color="auto" w:fill="auto"/>
            <w:tcMar>
              <w:left w:w="108" w:type="dxa"/>
            </w:tcMar>
            <w:vAlign w:val="center"/>
          </w:tcPr>
          <w:p w14:paraId="436DCB62" w14:textId="77777777" w:rsidR="00116CFB" w:rsidRPr="007154F8" w:rsidRDefault="00116CFB" w:rsidP="004742DC">
            <w:pPr>
              <w:jc w:val="center"/>
              <w:rPr>
                <w:color w:val="000000"/>
                <w:sz w:val="18"/>
                <w:szCs w:val="18"/>
              </w:rPr>
            </w:pPr>
            <w:r w:rsidRPr="007154F8">
              <w:rPr>
                <w:rFonts w:cs="Calibri"/>
                <w:color w:val="000000"/>
                <w:sz w:val="18"/>
                <w:szCs w:val="18"/>
              </w:rPr>
              <w:t>71,9%</w:t>
            </w:r>
          </w:p>
        </w:tc>
        <w:tc>
          <w:tcPr>
            <w:tcW w:w="1133" w:type="dxa"/>
            <w:shd w:val="clear" w:color="auto" w:fill="auto"/>
            <w:vAlign w:val="center"/>
          </w:tcPr>
          <w:p w14:paraId="6620419F" w14:textId="77777777" w:rsidR="00116CFB" w:rsidRPr="007154F8" w:rsidRDefault="00116CFB" w:rsidP="004742DC">
            <w:pPr>
              <w:jc w:val="center"/>
              <w:rPr>
                <w:rFonts w:cs="Calibri"/>
                <w:color w:val="000000"/>
                <w:sz w:val="18"/>
                <w:szCs w:val="18"/>
              </w:rPr>
            </w:pPr>
            <w:r w:rsidRPr="007154F8">
              <w:rPr>
                <w:rFonts w:cs="Calibri"/>
                <w:color w:val="000000"/>
                <w:sz w:val="18"/>
                <w:szCs w:val="18"/>
              </w:rPr>
              <w:t>76,5%</w:t>
            </w:r>
          </w:p>
        </w:tc>
      </w:tr>
      <w:tr w:rsidR="00116CFB" w:rsidRPr="007154F8" w14:paraId="4700468B" w14:textId="77777777" w:rsidTr="004742DC">
        <w:tc>
          <w:tcPr>
            <w:tcW w:w="1132" w:type="dxa"/>
            <w:shd w:val="clear" w:color="auto" w:fill="auto"/>
            <w:tcMar>
              <w:left w:w="108" w:type="dxa"/>
            </w:tcMar>
            <w:vAlign w:val="center"/>
          </w:tcPr>
          <w:p w14:paraId="68F0368B" w14:textId="77777777" w:rsidR="00116CFB" w:rsidRPr="007154F8" w:rsidRDefault="00116CFB" w:rsidP="004742DC">
            <w:pPr>
              <w:jc w:val="center"/>
              <w:rPr>
                <w:sz w:val="18"/>
                <w:szCs w:val="18"/>
              </w:rPr>
            </w:pPr>
            <w:r w:rsidRPr="007154F8">
              <w:rPr>
                <w:rFonts w:cs="Calibri"/>
                <w:color w:val="000000"/>
                <w:sz w:val="18"/>
                <w:szCs w:val="18"/>
              </w:rPr>
              <w:t>9.8</w:t>
            </w:r>
          </w:p>
        </w:tc>
        <w:tc>
          <w:tcPr>
            <w:tcW w:w="1133" w:type="dxa"/>
            <w:shd w:val="clear" w:color="auto" w:fill="auto"/>
            <w:tcMar>
              <w:left w:w="108" w:type="dxa"/>
            </w:tcMar>
            <w:vAlign w:val="center"/>
          </w:tcPr>
          <w:p w14:paraId="62696B81"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014E1B1E"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2C730CEA" w14:textId="77777777" w:rsidR="00116CFB" w:rsidRPr="007154F8" w:rsidRDefault="00116CFB" w:rsidP="004742DC">
            <w:pPr>
              <w:jc w:val="center"/>
              <w:rPr>
                <w:sz w:val="18"/>
                <w:szCs w:val="18"/>
              </w:rPr>
            </w:pPr>
            <w:r w:rsidRPr="007154F8">
              <w:rPr>
                <w:rFonts w:cs="Calibri"/>
                <w:color w:val="000000"/>
                <w:sz w:val="18"/>
                <w:szCs w:val="18"/>
              </w:rPr>
              <w:t>13 000 000,00</w:t>
            </w:r>
          </w:p>
        </w:tc>
        <w:tc>
          <w:tcPr>
            <w:tcW w:w="1132" w:type="dxa"/>
            <w:shd w:val="clear" w:color="auto" w:fill="auto"/>
            <w:tcMar>
              <w:left w:w="108" w:type="dxa"/>
            </w:tcMar>
            <w:vAlign w:val="center"/>
          </w:tcPr>
          <w:p w14:paraId="54C33DA2" w14:textId="77777777" w:rsidR="00116CFB" w:rsidRPr="007154F8" w:rsidRDefault="00116CFB" w:rsidP="004742DC">
            <w:pPr>
              <w:jc w:val="center"/>
              <w:rPr>
                <w:sz w:val="18"/>
                <w:szCs w:val="18"/>
              </w:rPr>
            </w:pPr>
            <w:r w:rsidRPr="007154F8">
              <w:rPr>
                <w:rFonts w:cs="Calibri"/>
                <w:color w:val="000000"/>
                <w:sz w:val="18"/>
                <w:szCs w:val="18"/>
              </w:rPr>
              <w:t>12 220 000,00</w:t>
            </w:r>
          </w:p>
        </w:tc>
        <w:tc>
          <w:tcPr>
            <w:tcW w:w="1133" w:type="dxa"/>
            <w:shd w:val="clear" w:color="auto" w:fill="auto"/>
            <w:tcMar>
              <w:left w:w="108" w:type="dxa"/>
            </w:tcMar>
            <w:vAlign w:val="center"/>
          </w:tcPr>
          <w:p w14:paraId="61203FE9" w14:textId="77777777" w:rsidR="00116CFB" w:rsidRPr="007154F8" w:rsidRDefault="00116CFB" w:rsidP="004742DC">
            <w:pPr>
              <w:jc w:val="center"/>
              <w:rPr>
                <w:sz w:val="18"/>
                <w:szCs w:val="18"/>
              </w:rPr>
            </w:pPr>
            <w:r w:rsidRPr="007154F8">
              <w:rPr>
                <w:rFonts w:cs="Calibri"/>
                <w:color w:val="000000"/>
                <w:sz w:val="18"/>
                <w:szCs w:val="18"/>
              </w:rPr>
              <w:t>780 000,00</w:t>
            </w:r>
          </w:p>
        </w:tc>
        <w:tc>
          <w:tcPr>
            <w:tcW w:w="1133" w:type="dxa"/>
            <w:shd w:val="clear" w:color="auto" w:fill="auto"/>
            <w:tcMar>
              <w:left w:w="108" w:type="dxa"/>
            </w:tcMar>
            <w:vAlign w:val="center"/>
          </w:tcPr>
          <w:p w14:paraId="2D40BDE3" w14:textId="77777777" w:rsidR="00116CFB" w:rsidRPr="007154F8" w:rsidRDefault="00116CFB" w:rsidP="004742DC">
            <w:pPr>
              <w:jc w:val="center"/>
              <w:rPr>
                <w:color w:val="000000"/>
                <w:sz w:val="18"/>
                <w:szCs w:val="18"/>
              </w:rPr>
            </w:pPr>
            <w:r w:rsidRPr="007154F8">
              <w:rPr>
                <w:rFonts w:cs="Calibri"/>
                <w:color w:val="000000"/>
                <w:sz w:val="18"/>
                <w:szCs w:val="18"/>
              </w:rPr>
              <w:t>44,5%</w:t>
            </w:r>
          </w:p>
        </w:tc>
        <w:tc>
          <w:tcPr>
            <w:tcW w:w="1133" w:type="dxa"/>
            <w:shd w:val="clear" w:color="auto" w:fill="auto"/>
            <w:vAlign w:val="center"/>
          </w:tcPr>
          <w:p w14:paraId="27C18B0D" w14:textId="77777777" w:rsidR="00116CFB" w:rsidRPr="007154F8" w:rsidRDefault="00116CFB" w:rsidP="004742DC">
            <w:pPr>
              <w:jc w:val="center"/>
              <w:rPr>
                <w:rFonts w:cs="Calibri"/>
                <w:color w:val="000000"/>
                <w:sz w:val="18"/>
                <w:szCs w:val="18"/>
              </w:rPr>
            </w:pPr>
            <w:r w:rsidRPr="007154F8">
              <w:rPr>
                <w:rFonts w:cs="Calibri"/>
                <w:color w:val="000000"/>
                <w:sz w:val="18"/>
                <w:szCs w:val="18"/>
              </w:rPr>
              <w:t>47,4%</w:t>
            </w:r>
          </w:p>
        </w:tc>
      </w:tr>
      <w:tr w:rsidR="00116CFB" w:rsidRPr="007154F8" w14:paraId="14F3B673" w14:textId="77777777" w:rsidTr="004742DC">
        <w:tc>
          <w:tcPr>
            <w:tcW w:w="1132" w:type="dxa"/>
            <w:shd w:val="clear" w:color="auto" w:fill="auto"/>
            <w:tcMar>
              <w:left w:w="108" w:type="dxa"/>
            </w:tcMar>
            <w:vAlign w:val="center"/>
          </w:tcPr>
          <w:p w14:paraId="709F0DA6" w14:textId="77777777" w:rsidR="00116CFB" w:rsidRPr="007154F8" w:rsidRDefault="00116CFB" w:rsidP="004742DC">
            <w:pPr>
              <w:jc w:val="center"/>
              <w:rPr>
                <w:sz w:val="18"/>
                <w:szCs w:val="18"/>
              </w:rPr>
            </w:pPr>
            <w:r w:rsidRPr="007154F8">
              <w:rPr>
                <w:rFonts w:cs="Calibri"/>
                <w:color w:val="000000"/>
                <w:sz w:val="18"/>
                <w:szCs w:val="18"/>
              </w:rPr>
              <w:t>9.9</w:t>
            </w:r>
          </w:p>
        </w:tc>
        <w:tc>
          <w:tcPr>
            <w:tcW w:w="1133" w:type="dxa"/>
            <w:shd w:val="clear" w:color="auto" w:fill="auto"/>
            <w:tcMar>
              <w:left w:w="108" w:type="dxa"/>
            </w:tcMar>
            <w:vAlign w:val="center"/>
          </w:tcPr>
          <w:p w14:paraId="20DB7A44" w14:textId="77777777" w:rsidR="00116CFB" w:rsidRPr="007154F8" w:rsidRDefault="00116CFB" w:rsidP="004742DC">
            <w:pPr>
              <w:jc w:val="center"/>
              <w:rPr>
                <w:sz w:val="18"/>
                <w:szCs w:val="18"/>
              </w:rPr>
            </w:pPr>
            <w:r w:rsidRPr="007154F8">
              <w:rPr>
                <w:rFonts w:cs="Calibri"/>
                <w:color w:val="000000"/>
                <w:sz w:val="18"/>
                <w:szCs w:val="18"/>
              </w:rPr>
              <w:t>10</w:t>
            </w:r>
          </w:p>
        </w:tc>
        <w:tc>
          <w:tcPr>
            <w:tcW w:w="1133" w:type="dxa"/>
            <w:shd w:val="clear" w:color="auto" w:fill="auto"/>
            <w:tcMar>
              <w:left w:w="108" w:type="dxa"/>
            </w:tcMar>
            <w:vAlign w:val="center"/>
          </w:tcPr>
          <w:p w14:paraId="1EEE37FB" w14:textId="77777777" w:rsidR="00116CFB" w:rsidRPr="007154F8" w:rsidRDefault="00116CFB" w:rsidP="004742DC">
            <w:pPr>
              <w:jc w:val="center"/>
              <w:rPr>
                <w:sz w:val="18"/>
                <w:szCs w:val="18"/>
              </w:rPr>
            </w:pPr>
            <w:r w:rsidRPr="007154F8">
              <w:rPr>
                <w:rFonts w:cs="Calibri"/>
                <w:color w:val="000000"/>
                <w:sz w:val="18"/>
                <w:szCs w:val="18"/>
              </w:rPr>
              <w:t>10a</w:t>
            </w:r>
          </w:p>
        </w:tc>
        <w:tc>
          <w:tcPr>
            <w:tcW w:w="1133" w:type="dxa"/>
            <w:shd w:val="clear" w:color="auto" w:fill="auto"/>
            <w:tcMar>
              <w:left w:w="108" w:type="dxa"/>
            </w:tcMar>
            <w:vAlign w:val="center"/>
          </w:tcPr>
          <w:p w14:paraId="33E65148" w14:textId="77777777" w:rsidR="00116CFB" w:rsidRPr="007154F8" w:rsidRDefault="00116CFB" w:rsidP="004742DC">
            <w:pPr>
              <w:jc w:val="center"/>
              <w:rPr>
                <w:sz w:val="18"/>
                <w:szCs w:val="18"/>
              </w:rPr>
            </w:pPr>
            <w:r w:rsidRPr="007154F8">
              <w:rPr>
                <w:rFonts w:cs="Calibri"/>
                <w:color w:val="000000"/>
                <w:sz w:val="18"/>
                <w:szCs w:val="18"/>
              </w:rPr>
              <w:t>4 000 000,00</w:t>
            </w:r>
          </w:p>
        </w:tc>
        <w:tc>
          <w:tcPr>
            <w:tcW w:w="1132" w:type="dxa"/>
            <w:shd w:val="clear" w:color="auto" w:fill="auto"/>
            <w:tcMar>
              <w:left w:w="108" w:type="dxa"/>
            </w:tcMar>
            <w:vAlign w:val="center"/>
          </w:tcPr>
          <w:p w14:paraId="25C8FA5E" w14:textId="77777777" w:rsidR="00116CFB" w:rsidRPr="007154F8" w:rsidRDefault="00116CFB" w:rsidP="004742DC">
            <w:pPr>
              <w:jc w:val="center"/>
              <w:rPr>
                <w:sz w:val="18"/>
                <w:szCs w:val="18"/>
              </w:rPr>
            </w:pPr>
            <w:r w:rsidRPr="007154F8">
              <w:rPr>
                <w:rFonts w:cs="Calibri"/>
                <w:color w:val="000000"/>
                <w:sz w:val="18"/>
                <w:szCs w:val="18"/>
              </w:rPr>
              <w:t>3 760 000,00</w:t>
            </w:r>
          </w:p>
        </w:tc>
        <w:tc>
          <w:tcPr>
            <w:tcW w:w="1133" w:type="dxa"/>
            <w:shd w:val="clear" w:color="auto" w:fill="auto"/>
            <w:tcMar>
              <w:left w:w="108" w:type="dxa"/>
            </w:tcMar>
            <w:vAlign w:val="center"/>
          </w:tcPr>
          <w:p w14:paraId="2A39BF5E" w14:textId="77777777" w:rsidR="00116CFB" w:rsidRPr="007154F8" w:rsidRDefault="00116CFB" w:rsidP="004742DC">
            <w:pPr>
              <w:jc w:val="center"/>
              <w:rPr>
                <w:sz w:val="18"/>
                <w:szCs w:val="18"/>
              </w:rPr>
            </w:pPr>
            <w:r w:rsidRPr="007154F8">
              <w:rPr>
                <w:rFonts w:cs="Calibri"/>
                <w:color w:val="000000"/>
                <w:sz w:val="18"/>
                <w:szCs w:val="18"/>
              </w:rPr>
              <w:t>240 000,00</w:t>
            </w:r>
          </w:p>
        </w:tc>
        <w:tc>
          <w:tcPr>
            <w:tcW w:w="1133" w:type="dxa"/>
            <w:shd w:val="clear" w:color="auto" w:fill="auto"/>
            <w:tcMar>
              <w:left w:w="108" w:type="dxa"/>
            </w:tcMar>
            <w:vAlign w:val="center"/>
          </w:tcPr>
          <w:p w14:paraId="046F3D1D" w14:textId="77777777" w:rsidR="00116CFB" w:rsidRPr="007154F8" w:rsidRDefault="00116CFB" w:rsidP="004742DC">
            <w:pPr>
              <w:jc w:val="center"/>
              <w:rPr>
                <w:color w:val="000000"/>
                <w:sz w:val="18"/>
                <w:szCs w:val="18"/>
              </w:rPr>
            </w:pPr>
            <w:r w:rsidRPr="007154F8">
              <w:rPr>
                <w:rFonts w:cs="Calibri"/>
                <w:color w:val="000000"/>
                <w:sz w:val="18"/>
                <w:szCs w:val="18"/>
              </w:rPr>
              <w:t>90,6%</w:t>
            </w:r>
          </w:p>
        </w:tc>
        <w:tc>
          <w:tcPr>
            <w:tcW w:w="1133" w:type="dxa"/>
            <w:shd w:val="clear" w:color="auto" w:fill="auto"/>
            <w:vAlign w:val="center"/>
          </w:tcPr>
          <w:p w14:paraId="3A882B59" w14:textId="77777777" w:rsidR="00116CFB" w:rsidRPr="007154F8" w:rsidRDefault="00116CFB" w:rsidP="004742DC">
            <w:pPr>
              <w:jc w:val="center"/>
              <w:rPr>
                <w:rFonts w:cs="Calibri"/>
                <w:color w:val="000000"/>
                <w:sz w:val="18"/>
                <w:szCs w:val="18"/>
              </w:rPr>
            </w:pPr>
            <w:r w:rsidRPr="007154F8">
              <w:rPr>
                <w:rFonts w:cs="Calibri"/>
                <w:color w:val="000000"/>
                <w:sz w:val="18"/>
                <w:szCs w:val="18"/>
              </w:rPr>
              <w:t>96,4%</w:t>
            </w:r>
          </w:p>
        </w:tc>
      </w:tr>
    </w:tbl>
    <w:p w14:paraId="64AB0755" w14:textId="77777777" w:rsidR="00116CFB" w:rsidRPr="00D21299" w:rsidRDefault="00116CFB" w:rsidP="001245CE">
      <w:pPr>
        <w:spacing w:before="0"/>
        <w:rPr>
          <w:i/>
          <w:sz w:val="18"/>
          <w:szCs w:val="20"/>
        </w:rPr>
      </w:pPr>
      <w:r w:rsidRPr="00D21299">
        <w:rPr>
          <w:i/>
          <w:sz w:val="18"/>
          <w:szCs w:val="20"/>
        </w:rPr>
        <w:t>Źródło: RPO WZ 2014-2020, Wysokość alokacji na podstawie danych przekazanych przez Zamawiającego (stan</w:t>
      </w:r>
      <w:r w:rsidR="00E66B89" w:rsidRPr="00D21299">
        <w:rPr>
          <w:i/>
          <w:sz w:val="18"/>
          <w:szCs w:val="20"/>
        </w:rPr>
        <w:t xml:space="preserve"> z </w:t>
      </w:r>
      <w:r w:rsidRPr="00D21299">
        <w:rPr>
          <w:i/>
          <w:sz w:val="18"/>
          <w:szCs w:val="20"/>
        </w:rPr>
        <w:t>dnia 7.01.2019 roku).</w:t>
      </w:r>
    </w:p>
    <w:p w14:paraId="10453281" w14:textId="77777777" w:rsidR="00116CFB" w:rsidRPr="000A135E" w:rsidRDefault="00116CFB" w:rsidP="00116CFB">
      <w:pPr>
        <w:pStyle w:val="evaluTresc"/>
        <w:rPr>
          <w:color w:val="000000"/>
        </w:rPr>
      </w:pPr>
      <w:r w:rsidRPr="000A135E">
        <w:t>Stan zakontraktowania alokacji wskazuje na wysoki potencjał dalszego pozyskiwania jednostek wskaźników</w:t>
      </w:r>
      <w:r w:rsidR="00E66B89">
        <w:t xml:space="preserve"> w </w:t>
      </w:r>
      <w:r w:rsidRPr="000A135E">
        <w:t>obszarze kształcenia zawodowego, edukacji ogólnej</w:t>
      </w:r>
      <w:r w:rsidR="00E66B89">
        <w:t xml:space="preserve"> i </w:t>
      </w:r>
      <w:r w:rsidRPr="000A135E">
        <w:t>wsparcia ośrodków popularyzujących naukę</w:t>
      </w:r>
      <w:r w:rsidR="00E66B89">
        <w:t xml:space="preserve"> i </w:t>
      </w:r>
      <w:r w:rsidRPr="000A135E">
        <w:t>innowacj</w:t>
      </w:r>
      <w:r>
        <w:t>e</w:t>
      </w:r>
      <w:r w:rsidR="00E66B89">
        <w:t xml:space="preserve"> w </w:t>
      </w:r>
      <w:r>
        <w:t xml:space="preserve">ośrodkach subregionalnych. IZ </w:t>
      </w:r>
      <w:r w:rsidRPr="000A135E">
        <w:rPr>
          <w:color w:val="000000"/>
        </w:rPr>
        <w:t>RPO WZ 2014-2020 planuje przeprowadzenie</w:t>
      </w:r>
      <w:r w:rsidR="00E66B89">
        <w:rPr>
          <w:color w:val="000000"/>
        </w:rPr>
        <w:t xml:space="preserve"> w </w:t>
      </w:r>
      <w:r w:rsidRPr="000A135E">
        <w:rPr>
          <w:color w:val="000000"/>
        </w:rPr>
        <w:t>2019 roku po jednym naborze</w:t>
      </w:r>
      <w:r w:rsidR="00E66B89">
        <w:rPr>
          <w:color w:val="000000"/>
        </w:rPr>
        <w:t xml:space="preserve"> w </w:t>
      </w:r>
      <w:r w:rsidRPr="000A135E">
        <w:rPr>
          <w:color w:val="000000"/>
        </w:rPr>
        <w:t>Działaniu 9.9</w:t>
      </w:r>
      <w:r w:rsidR="00E66B89">
        <w:rPr>
          <w:color w:val="000000"/>
        </w:rPr>
        <w:t xml:space="preserve"> i w </w:t>
      </w:r>
      <w:r w:rsidRPr="000A135E">
        <w:rPr>
          <w:color w:val="000000"/>
        </w:rPr>
        <w:t>Działaniu 9.7. Przewidziano</w:t>
      </w:r>
      <w:r w:rsidR="00E66B89">
        <w:rPr>
          <w:color w:val="000000"/>
        </w:rPr>
        <w:t xml:space="preserve"> w </w:t>
      </w:r>
      <w:r w:rsidRPr="000A135E">
        <w:rPr>
          <w:color w:val="000000"/>
        </w:rPr>
        <w:t>każdym ze wspomnianych naborów zaangażowanie alokacji</w:t>
      </w:r>
      <w:r w:rsidR="00E66B89">
        <w:rPr>
          <w:color w:val="000000"/>
        </w:rPr>
        <w:t xml:space="preserve"> w </w:t>
      </w:r>
      <w:r w:rsidRPr="000A135E">
        <w:rPr>
          <w:color w:val="000000"/>
        </w:rPr>
        <w:t>wysokości 1 000 000 euro, co przyczyni się do łącznego zaangażowania alokacji przeznaczonej na Działanie 9.7</w:t>
      </w:r>
      <w:r w:rsidR="00E66B89">
        <w:rPr>
          <w:color w:val="000000"/>
        </w:rPr>
        <w:t xml:space="preserve"> w </w:t>
      </w:r>
      <w:r w:rsidRPr="000A135E">
        <w:rPr>
          <w:color w:val="000000"/>
        </w:rPr>
        <w:t>wysokości przekraczającej założenia Programu dla tych Działań. Plany te wskazują na potencjał aplikacyjny wynikający</w:t>
      </w:r>
      <w:r w:rsidR="00E66B89">
        <w:rPr>
          <w:color w:val="000000"/>
        </w:rPr>
        <w:t xml:space="preserve"> z </w:t>
      </w:r>
      <w:r w:rsidRPr="000A135E">
        <w:rPr>
          <w:color w:val="000000"/>
        </w:rPr>
        <w:t>Kontraktów Samorządowych. Trzech badanych beneficjentów RPO WZ 2014-2020 zgłasza także chęć ubiegania się</w:t>
      </w:r>
      <w:r w:rsidR="00E66B89">
        <w:rPr>
          <w:color w:val="000000"/>
        </w:rPr>
        <w:t xml:space="preserve"> o </w:t>
      </w:r>
      <w:r w:rsidRPr="000A135E">
        <w:rPr>
          <w:color w:val="000000"/>
        </w:rPr>
        <w:t>wsparcie infrastruktury kształcenia zawodowego również poza Kontraktami Samorządowymi.</w:t>
      </w:r>
      <w:r w:rsidR="00C22C26">
        <w:rPr>
          <w:color w:val="000000"/>
        </w:rPr>
        <w:t xml:space="preserve"> </w:t>
      </w:r>
      <w:r>
        <w:rPr>
          <w:color w:val="000000"/>
        </w:rPr>
        <w:t>Samorządy są również zainteresowane inwestycjami</w:t>
      </w:r>
      <w:r w:rsidR="00E66B89">
        <w:rPr>
          <w:color w:val="000000"/>
        </w:rPr>
        <w:t xml:space="preserve"> w </w:t>
      </w:r>
      <w:r>
        <w:rPr>
          <w:color w:val="000000"/>
        </w:rPr>
        <w:t xml:space="preserve">infrastrukturę edukacji ogólnej. </w:t>
      </w:r>
    </w:p>
    <w:p w14:paraId="49AF448C"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Prognozy osiągnięcia celów zakładanych na 2023 rok</w:t>
      </w:r>
    </w:p>
    <w:p w14:paraId="63E585D9" w14:textId="77777777" w:rsidR="00116CFB" w:rsidRDefault="00116CFB" w:rsidP="00116CFB">
      <w:pPr>
        <w:pStyle w:val="evaluTresc"/>
        <w:rPr>
          <w:color w:val="000000"/>
        </w:rPr>
      </w:pPr>
      <w:r w:rsidRPr="000A135E">
        <w:t xml:space="preserve">Obecny stan wdrażania Programu zapewnia realizację wartości docelowych większości wskaźników programowych. Występuje jednak ryzyko nieosiągnięcia wartości docelowej wskaźnika </w:t>
      </w:r>
      <w:r w:rsidRPr="008B706B">
        <w:rPr>
          <w:i/>
        </w:rPr>
        <w:t>Liczba wspartych instytucji popularyzujących naukę</w:t>
      </w:r>
      <w:r w:rsidR="00E66B89">
        <w:rPr>
          <w:i/>
        </w:rPr>
        <w:t xml:space="preserve"> i </w:t>
      </w:r>
      <w:r w:rsidRPr="008B706B">
        <w:rPr>
          <w:i/>
        </w:rPr>
        <w:t>innowacje</w:t>
      </w:r>
      <w:r w:rsidRPr="000A135E">
        <w:t xml:space="preserve"> ze względu na wyższe</w:t>
      </w:r>
      <w:r>
        <w:t>,</w:t>
      </w:r>
      <w:r w:rsidRPr="000A135E">
        <w:t xml:space="preserve"> niż zakładano na etapie programowania</w:t>
      </w:r>
      <w:r>
        <w:t>,</w:t>
      </w:r>
      <w:r w:rsidRPr="000A135E">
        <w:t xml:space="preserve"> koszty jednostkowe wsparcia</w:t>
      </w:r>
      <w:r>
        <w:t>. Obecnie (kwiecień 2019 roku) trwa kolejny nabór projektów wspierających instytucje popularyzujące naukę</w:t>
      </w:r>
      <w:r w:rsidR="00E66B89">
        <w:t xml:space="preserve"> i </w:t>
      </w:r>
      <w:r>
        <w:t>innowacje</w:t>
      </w:r>
      <w:r w:rsidR="00E66B89">
        <w:t xml:space="preserve"> w </w:t>
      </w:r>
      <w:r>
        <w:t xml:space="preserve">ramach Kontraktów Samorządowych. </w:t>
      </w:r>
      <w:r w:rsidRPr="000A135E">
        <w:t xml:space="preserve">Biorąc pod uwagę średni koszt wsparcia wynoszący </w:t>
      </w:r>
      <w:r w:rsidRPr="000A135E">
        <w:rPr>
          <w:color w:val="000000"/>
        </w:rPr>
        <w:t>2 061 816,65 zł,</w:t>
      </w:r>
      <w:r w:rsidR="00E66B89">
        <w:rPr>
          <w:color w:val="000000"/>
        </w:rPr>
        <w:t xml:space="preserve"> w </w:t>
      </w:r>
      <w:r w:rsidRPr="000A135E">
        <w:rPr>
          <w:color w:val="000000"/>
        </w:rPr>
        <w:t>ramach alokacji przeznaczonej na najbliższy konkurs</w:t>
      </w:r>
      <w:r>
        <w:rPr>
          <w:color w:val="000000"/>
        </w:rPr>
        <w:t>,</w:t>
      </w:r>
      <w:r w:rsidRPr="000A135E">
        <w:rPr>
          <w:color w:val="000000"/>
        </w:rPr>
        <w:t xml:space="preserve"> możliwe będzie wsparcie tylko jednego ośrodka popularyzującego naukę</w:t>
      </w:r>
      <w:r w:rsidR="00E66B89">
        <w:rPr>
          <w:color w:val="000000"/>
        </w:rPr>
        <w:t xml:space="preserve"> i </w:t>
      </w:r>
      <w:r w:rsidRPr="000A135E">
        <w:rPr>
          <w:color w:val="000000"/>
        </w:rPr>
        <w:t>innowacje. Po wydatkowaniu planowanego 1</w:t>
      </w:r>
      <w:r>
        <w:rPr>
          <w:color w:val="000000"/>
        </w:rPr>
        <w:t> </w:t>
      </w:r>
      <w:r w:rsidRPr="000A135E">
        <w:rPr>
          <w:color w:val="000000"/>
        </w:rPr>
        <w:t>000</w:t>
      </w:r>
      <w:r>
        <w:rPr>
          <w:color w:val="000000"/>
        </w:rPr>
        <w:t xml:space="preserve"> </w:t>
      </w:r>
      <w:r w:rsidRPr="000A135E">
        <w:rPr>
          <w:color w:val="000000"/>
        </w:rPr>
        <w:t>000 euro</w:t>
      </w:r>
      <w:r w:rsidR="00E66B89">
        <w:rPr>
          <w:color w:val="000000"/>
        </w:rPr>
        <w:t xml:space="preserve"> w </w:t>
      </w:r>
      <w:r w:rsidRPr="000A135E">
        <w:rPr>
          <w:color w:val="000000"/>
        </w:rPr>
        <w:t>obszarze wsparcia ośrodków popularyzujących naukę</w:t>
      </w:r>
      <w:r w:rsidR="00E66B89">
        <w:rPr>
          <w:color w:val="000000"/>
        </w:rPr>
        <w:t xml:space="preserve"> i </w:t>
      </w:r>
      <w:r w:rsidRPr="000A135E">
        <w:rPr>
          <w:color w:val="000000"/>
        </w:rPr>
        <w:t>innowacje pozostanie ok. 3</w:t>
      </w:r>
      <w:r>
        <w:rPr>
          <w:color w:val="000000"/>
        </w:rPr>
        <w:t> </w:t>
      </w:r>
      <w:r w:rsidRPr="000A135E">
        <w:rPr>
          <w:color w:val="000000"/>
        </w:rPr>
        <w:t>000</w:t>
      </w:r>
      <w:r>
        <w:rPr>
          <w:color w:val="000000"/>
        </w:rPr>
        <w:t xml:space="preserve"> </w:t>
      </w:r>
      <w:r w:rsidRPr="000A135E">
        <w:rPr>
          <w:color w:val="000000"/>
        </w:rPr>
        <w:t>000 euro (niewykorzystana kwota alokacji Działania 9.6</w:t>
      </w:r>
      <w:r w:rsidR="00E66B89">
        <w:rPr>
          <w:color w:val="000000"/>
        </w:rPr>
        <w:t xml:space="preserve"> i </w:t>
      </w:r>
      <w:r w:rsidRPr="000A135E">
        <w:rPr>
          <w:color w:val="000000"/>
        </w:rPr>
        <w:t>9.7), co pozwoli na wsparcie pozostałych 2 subregionalnych instytucji popularyzujących naukę</w:t>
      </w:r>
      <w:r w:rsidR="00E66B89">
        <w:rPr>
          <w:color w:val="000000"/>
        </w:rPr>
        <w:t xml:space="preserve"> i </w:t>
      </w:r>
      <w:r w:rsidRPr="000A135E">
        <w:rPr>
          <w:color w:val="000000"/>
        </w:rPr>
        <w:t>innowacje</w:t>
      </w:r>
      <w:r w:rsidR="00E66B89">
        <w:rPr>
          <w:color w:val="000000"/>
        </w:rPr>
        <w:t xml:space="preserve"> w </w:t>
      </w:r>
      <w:r w:rsidRPr="000A135E">
        <w:rPr>
          <w:color w:val="000000"/>
        </w:rPr>
        <w:t>dalszych latach wdrażania Programu</w:t>
      </w:r>
      <w:r w:rsidR="00E66B89">
        <w:rPr>
          <w:color w:val="000000"/>
        </w:rPr>
        <w:t xml:space="preserve"> i </w:t>
      </w:r>
      <w:r w:rsidRPr="000A135E">
        <w:rPr>
          <w:color w:val="000000"/>
        </w:rPr>
        <w:t xml:space="preserve">osiągnięcie wartości docelowej wskaźnika programowego </w:t>
      </w:r>
      <w:r w:rsidRPr="008B706B">
        <w:rPr>
          <w:i/>
          <w:color w:val="000000"/>
        </w:rPr>
        <w:t>Liczba wspartych instytucji popularyzujących naukę</w:t>
      </w:r>
      <w:r w:rsidR="00E66B89">
        <w:rPr>
          <w:i/>
          <w:color w:val="000000"/>
        </w:rPr>
        <w:t xml:space="preserve"> i </w:t>
      </w:r>
      <w:r w:rsidRPr="008B706B">
        <w:rPr>
          <w:i/>
          <w:color w:val="000000"/>
        </w:rPr>
        <w:t>innowacje</w:t>
      </w:r>
      <w:r w:rsidRPr="000A135E">
        <w:rPr>
          <w:color w:val="000000"/>
        </w:rPr>
        <w:t xml:space="preserve">. </w:t>
      </w:r>
      <w:r w:rsidRPr="008B706B">
        <w:rPr>
          <w:b/>
          <w:color w:val="000000"/>
        </w:rPr>
        <w:t xml:space="preserve">REKOMENDACJA. Zaleca </w:t>
      </w:r>
      <w:r w:rsidRPr="008B706B">
        <w:rPr>
          <w:b/>
          <w:color w:val="000000"/>
        </w:rPr>
        <w:lastRenderedPageBreak/>
        <w:t xml:space="preserve">się </w:t>
      </w:r>
      <w:r>
        <w:rPr>
          <w:b/>
          <w:color w:val="000000"/>
        </w:rPr>
        <w:t>rozważenie przesunięcia</w:t>
      </w:r>
      <w:r w:rsidRPr="008B706B">
        <w:rPr>
          <w:b/>
          <w:color w:val="000000"/>
        </w:rPr>
        <w:t xml:space="preserve"> niewykorzystanej alokacji Działania 9.6 do Działania 9.7</w:t>
      </w:r>
      <w:r w:rsidR="00E66B89">
        <w:rPr>
          <w:b/>
          <w:color w:val="000000"/>
        </w:rPr>
        <w:t xml:space="preserve"> w </w:t>
      </w:r>
      <w:r w:rsidRPr="008B706B">
        <w:rPr>
          <w:b/>
          <w:color w:val="000000"/>
        </w:rPr>
        <w:t>celu zapewnienia osiągnięcia zobowiązań wskaźnikowych Działania 9.7.</w:t>
      </w:r>
    </w:p>
    <w:p w14:paraId="774CD19C" w14:textId="77777777" w:rsidR="00116CFB" w:rsidRPr="008B706B" w:rsidRDefault="00116CFB" w:rsidP="00116CFB">
      <w:pPr>
        <w:pStyle w:val="evaluTresc"/>
        <w:rPr>
          <w:i/>
          <w:color w:val="000000"/>
        </w:rPr>
      </w:pPr>
      <w:r w:rsidRPr="000A135E">
        <w:rPr>
          <w:color w:val="000000"/>
        </w:rPr>
        <w:t xml:space="preserve">Nie występuje </w:t>
      </w:r>
      <w:r>
        <w:rPr>
          <w:color w:val="000000"/>
        </w:rPr>
        <w:t>zatem</w:t>
      </w:r>
      <w:r w:rsidRPr="000A135E">
        <w:rPr>
          <w:color w:val="000000"/>
        </w:rPr>
        <w:t xml:space="preserve"> </w:t>
      </w:r>
      <w:r>
        <w:rPr>
          <w:color w:val="000000"/>
        </w:rPr>
        <w:t>poważne zagrożenie</w:t>
      </w:r>
      <w:r w:rsidRPr="000A135E">
        <w:rPr>
          <w:color w:val="000000"/>
        </w:rPr>
        <w:t xml:space="preserve"> niezrealizowania zobowiązań wskaźnikowych PI 10a</w:t>
      </w:r>
      <w:r w:rsidR="00E66B89">
        <w:rPr>
          <w:color w:val="000000"/>
        </w:rPr>
        <w:t xml:space="preserve"> w </w:t>
      </w:r>
      <w:r w:rsidRPr="000A135E">
        <w:rPr>
          <w:color w:val="000000"/>
        </w:rPr>
        <w:t>ramach pozostałej alokacji. Dalsza kontraktacja przyczyniać się będzie do zwiększenia przekroczenia wartości docelowych pozostałych wskaźników programowych. Prognozuje się, iż</w:t>
      </w:r>
      <w:r w:rsidR="00E66B89">
        <w:rPr>
          <w:color w:val="000000"/>
        </w:rPr>
        <w:t xml:space="preserve"> w </w:t>
      </w:r>
      <w:r w:rsidRPr="000A135E">
        <w:rPr>
          <w:color w:val="000000"/>
        </w:rPr>
        <w:t>ramach pozostałej alokacji PI 10a (bez zmiany struktury dofinansowania</w:t>
      </w:r>
      <w:r w:rsidR="00E66B89">
        <w:rPr>
          <w:color w:val="000000"/>
        </w:rPr>
        <w:t xml:space="preserve"> w </w:t>
      </w:r>
      <w:r w:rsidRPr="000A135E">
        <w:rPr>
          <w:color w:val="000000"/>
        </w:rPr>
        <w:t xml:space="preserve">ramach poszczególnych Działań) możliwe będzie pozyskanie dalszych 13 jednostek wskaźnika </w:t>
      </w:r>
      <w:r w:rsidRPr="008B706B">
        <w:rPr>
          <w:i/>
          <w:color w:val="000000"/>
        </w:rPr>
        <w:t>Liczba wspartych obiektów infrastruktury edukacji ogólnej</w:t>
      </w:r>
      <w:r w:rsidRPr="000A135E">
        <w:rPr>
          <w:color w:val="000000"/>
        </w:rPr>
        <w:t xml:space="preserve">, 16 jednostek wskaźnika </w:t>
      </w:r>
      <w:r w:rsidRPr="008B706B">
        <w:rPr>
          <w:i/>
          <w:color w:val="000000"/>
        </w:rPr>
        <w:t>Liczba wspartych obiektów infrastruktury edukacji zawodowej</w:t>
      </w:r>
      <w:r w:rsidRPr="000A135E">
        <w:rPr>
          <w:color w:val="000000"/>
        </w:rPr>
        <w:t xml:space="preserve"> oraz 3 jednoste</w:t>
      </w:r>
      <w:r>
        <w:rPr>
          <w:color w:val="000000"/>
        </w:rPr>
        <w:t>k</w:t>
      </w:r>
      <w:r w:rsidRPr="000A135E">
        <w:rPr>
          <w:color w:val="000000"/>
        </w:rPr>
        <w:t xml:space="preserve"> wskaźnika </w:t>
      </w:r>
      <w:r w:rsidRPr="008B706B">
        <w:rPr>
          <w:i/>
          <w:color w:val="000000"/>
        </w:rPr>
        <w:t>Liczba instytucji popularyzujących naukę</w:t>
      </w:r>
      <w:r w:rsidR="00E66B89">
        <w:rPr>
          <w:i/>
          <w:color w:val="000000"/>
        </w:rPr>
        <w:t xml:space="preserve"> i </w:t>
      </w:r>
      <w:r w:rsidRPr="008B706B">
        <w:rPr>
          <w:i/>
          <w:color w:val="000000"/>
        </w:rPr>
        <w:t xml:space="preserve">innowacje. </w:t>
      </w:r>
    </w:p>
    <w:p w14:paraId="59125092" w14:textId="77777777" w:rsidR="00116CFB" w:rsidRPr="005D3B1E" w:rsidRDefault="00116CFB" w:rsidP="00116CFB">
      <w:pPr>
        <w:pStyle w:val="evaluTresc"/>
        <w:rPr>
          <w:color w:val="000000"/>
        </w:rPr>
      </w:pPr>
      <w:r>
        <w:t>W </w:t>
      </w:r>
      <w:r w:rsidRPr="000A135E">
        <w:rPr>
          <w:color w:val="000000"/>
        </w:rPr>
        <w:t xml:space="preserve">przypadku wskaźnika rezultatu </w:t>
      </w:r>
      <w:r w:rsidRPr="008B706B">
        <w:rPr>
          <w:i/>
          <w:color w:val="000000"/>
        </w:rPr>
        <w:t>Liczba odwiedzających instytucje popularyzujące naukę</w:t>
      </w:r>
      <w:r w:rsidR="00E66B89">
        <w:rPr>
          <w:i/>
          <w:color w:val="000000"/>
        </w:rPr>
        <w:t xml:space="preserve"> i </w:t>
      </w:r>
      <w:r w:rsidRPr="008B706B">
        <w:rPr>
          <w:i/>
          <w:color w:val="000000"/>
        </w:rPr>
        <w:t>innowacje</w:t>
      </w:r>
      <w:r w:rsidR="00E66B89">
        <w:rPr>
          <w:i/>
          <w:color w:val="000000"/>
        </w:rPr>
        <w:t xml:space="preserve"> w </w:t>
      </w:r>
      <w:r w:rsidRPr="008B706B">
        <w:rPr>
          <w:i/>
          <w:color w:val="000000"/>
        </w:rPr>
        <w:t>zorganizowanych grupach szkolnych</w:t>
      </w:r>
      <w:r w:rsidRPr="000A135E">
        <w:rPr>
          <w:color w:val="000000"/>
        </w:rPr>
        <w:t xml:space="preserve"> prognozuje się, iż wysokość tego wskaźnika osiągnięta</w:t>
      </w:r>
      <w:r w:rsidR="00E66B89">
        <w:rPr>
          <w:color w:val="000000"/>
        </w:rPr>
        <w:t xml:space="preserve"> w </w:t>
      </w:r>
      <w:r w:rsidRPr="000A135E">
        <w:rPr>
          <w:color w:val="000000"/>
        </w:rPr>
        <w:t>2023 roku wyniesie 139</w:t>
      </w:r>
      <w:r>
        <w:rPr>
          <w:color w:val="000000"/>
        </w:rPr>
        <w:t xml:space="preserve"> </w:t>
      </w:r>
      <w:r w:rsidRPr="000A135E">
        <w:rPr>
          <w:color w:val="000000"/>
        </w:rPr>
        <w:t>000 osób, co stanowić będzie 283% wartości docelowej.</w:t>
      </w:r>
      <w:r w:rsidR="00E66B89">
        <w:rPr>
          <w:color w:val="000000"/>
        </w:rPr>
        <w:t xml:space="preserve"> W </w:t>
      </w:r>
      <w:r w:rsidRPr="000A135E">
        <w:rPr>
          <w:color w:val="000000"/>
        </w:rPr>
        <w:t>szacunkach tych przyjęto, iż planowane do kontraktacji 3 projekty KS generować będą średnio 5</w:t>
      </w:r>
      <w:r>
        <w:rPr>
          <w:color w:val="000000"/>
        </w:rPr>
        <w:t xml:space="preserve"> </w:t>
      </w:r>
      <w:r w:rsidRPr="000A135E">
        <w:rPr>
          <w:color w:val="000000"/>
        </w:rPr>
        <w:t>200 osób odwiedzających, podobnie jak</w:t>
      </w:r>
      <w:r w:rsidR="00E66B89">
        <w:rPr>
          <w:color w:val="000000"/>
        </w:rPr>
        <w:t xml:space="preserve"> w </w:t>
      </w:r>
      <w:r w:rsidRPr="000A135E">
        <w:rPr>
          <w:color w:val="000000"/>
        </w:rPr>
        <w:t>projektach obecnie realizowanych</w:t>
      </w:r>
      <w:r w:rsidR="00E66B89">
        <w:rPr>
          <w:color w:val="000000"/>
        </w:rPr>
        <w:t xml:space="preserve"> w </w:t>
      </w:r>
      <w:r w:rsidRPr="000A135E">
        <w:rPr>
          <w:color w:val="000000"/>
        </w:rPr>
        <w:t xml:space="preserve">ośrodkach subregionalnych. Zakłada się również znaczne przekroczenie wartości docelowej wskaźnika </w:t>
      </w:r>
      <w:r w:rsidRPr="008B706B">
        <w:rPr>
          <w:i/>
          <w:color w:val="000000"/>
        </w:rPr>
        <w:t>Liczba miejsc</w:t>
      </w:r>
      <w:r w:rsidR="00E66B89">
        <w:rPr>
          <w:i/>
          <w:color w:val="000000"/>
        </w:rPr>
        <w:t xml:space="preserve"> w </w:t>
      </w:r>
      <w:r w:rsidRPr="008B706B">
        <w:rPr>
          <w:i/>
          <w:color w:val="000000"/>
        </w:rPr>
        <w:t>objętej wsparciem infrastrukturze</w:t>
      </w:r>
      <w:r w:rsidR="00E66B89">
        <w:rPr>
          <w:i/>
          <w:color w:val="000000"/>
        </w:rPr>
        <w:t xml:space="preserve"> w </w:t>
      </w:r>
      <w:r w:rsidRPr="008B706B">
        <w:rPr>
          <w:i/>
          <w:color w:val="000000"/>
        </w:rPr>
        <w:t>zakresie opieki nad dziećmi lub infrastrukturze edukacyjnej</w:t>
      </w:r>
      <w:r w:rsidRPr="000A135E">
        <w:rPr>
          <w:color w:val="000000"/>
        </w:rPr>
        <w:t>. Biorąc pod uwagę, iż średnia wysokość wskaźnika rezultatu</w:t>
      </w:r>
      <w:r w:rsidR="00E66B89">
        <w:rPr>
          <w:color w:val="000000"/>
        </w:rPr>
        <w:t xml:space="preserve"> w </w:t>
      </w:r>
      <w:r w:rsidRPr="000A135E">
        <w:rPr>
          <w:color w:val="000000"/>
        </w:rPr>
        <w:t>odniesieniu do jednego wspartego obiektu wynosi 284 miejsc, zaś prognozowana liczba wspartych obiektów stanowi 29, prognozuje się osiągnięcie</w:t>
      </w:r>
      <w:r w:rsidR="00E66B89">
        <w:rPr>
          <w:color w:val="000000"/>
        </w:rPr>
        <w:t xml:space="preserve"> w </w:t>
      </w:r>
      <w:r w:rsidRPr="000A135E">
        <w:rPr>
          <w:color w:val="000000"/>
        </w:rPr>
        <w:t>roku 2023 przedmiotowego wskaźnika</w:t>
      </w:r>
      <w:r w:rsidR="00E66B89">
        <w:rPr>
          <w:color w:val="000000"/>
        </w:rPr>
        <w:t xml:space="preserve"> w </w:t>
      </w:r>
      <w:r w:rsidRPr="000A135E">
        <w:rPr>
          <w:color w:val="000000"/>
        </w:rPr>
        <w:t xml:space="preserve">liczbie 15 904 sztuk, co stanowi 253% wartości docelowej wskaźnika </w:t>
      </w:r>
      <w:r w:rsidRPr="008B706B">
        <w:rPr>
          <w:i/>
          <w:color w:val="000000"/>
        </w:rPr>
        <w:t>Liczba miejsc</w:t>
      </w:r>
      <w:r w:rsidR="00E66B89">
        <w:rPr>
          <w:i/>
          <w:color w:val="000000"/>
        </w:rPr>
        <w:t xml:space="preserve"> w </w:t>
      </w:r>
      <w:r w:rsidRPr="008B706B">
        <w:rPr>
          <w:i/>
          <w:color w:val="000000"/>
        </w:rPr>
        <w:t>objętej wsparciem infrastrukturze</w:t>
      </w:r>
      <w:r w:rsidR="00E66B89">
        <w:rPr>
          <w:i/>
          <w:color w:val="000000"/>
        </w:rPr>
        <w:t xml:space="preserve"> w </w:t>
      </w:r>
      <w:r w:rsidRPr="008B706B">
        <w:rPr>
          <w:i/>
          <w:color w:val="000000"/>
        </w:rPr>
        <w:t>zakresie opieki nad dziećmi lub infrastrukturze edukacyjnej</w:t>
      </w:r>
      <w:r w:rsidRPr="000A135E">
        <w:rPr>
          <w:color w:val="000000"/>
        </w:rPr>
        <w:t xml:space="preserve">. </w:t>
      </w:r>
    </w:p>
    <w:p w14:paraId="2EA9D778" w14:textId="77777777" w:rsidR="00116CFB" w:rsidRPr="00024F00" w:rsidRDefault="00116CFB" w:rsidP="00024F00">
      <w:pPr>
        <w:pStyle w:val="Legenda"/>
        <w:spacing w:after="0"/>
      </w:pPr>
      <w:bookmarkStart w:id="355" w:name="_Toc8824266"/>
      <w:r w:rsidRPr="00404DA5">
        <w:t xml:space="preserve">Tabela </w:t>
      </w:r>
      <w:r>
        <w:fldChar w:fldCharType="begin"/>
      </w:r>
      <w:r>
        <w:instrText xml:space="preserve"> SEQ Tabela \* ARABIC </w:instrText>
      </w:r>
      <w:r>
        <w:fldChar w:fldCharType="separate"/>
      </w:r>
      <w:r w:rsidR="00763345">
        <w:rPr>
          <w:noProof/>
        </w:rPr>
        <w:t>155</w:t>
      </w:r>
      <w:r>
        <w:fldChar w:fldCharType="end"/>
      </w:r>
      <w:r w:rsidRPr="00404DA5">
        <w:t xml:space="preserve"> Prognozowany poziom realizacji wskaźników produktu</w:t>
      </w:r>
      <w:r w:rsidR="00E66B89">
        <w:t xml:space="preserve"> i </w:t>
      </w:r>
      <w:r w:rsidRPr="00404DA5">
        <w:t>rezultatu bezpośredniego na rok 2023– PI 10a</w:t>
      </w:r>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981"/>
        <w:gridCol w:w="1406"/>
        <w:gridCol w:w="1783"/>
        <w:gridCol w:w="1812"/>
      </w:tblGrid>
      <w:tr w:rsidR="00116CFB" w:rsidRPr="00B2711F" w14:paraId="27C1C22B" w14:textId="77777777" w:rsidTr="00C22C26">
        <w:trPr>
          <w:trHeight w:val="1243"/>
          <w:tblHeader/>
        </w:trPr>
        <w:tc>
          <w:tcPr>
            <w:tcW w:w="0" w:type="auto"/>
            <w:shd w:val="clear" w:color="auto" w:fill="DBE5F1"/>
          </w:tcPr>
          <w:p w14:paraId="44BBD5AF" w14:textId="77777777" w:rsidR="00116CFB" w:rsidRPr="007F116A" w:rsidRDefault="00116CFB" w:rsidP="004742DC">
            <w:pPr>
              <w:jc w:val="center"/>
              <w:rPr>
                <w:rFonts w:cs="Calibri"/>
                <w:sz w:val="18"/>
                <w:szCs w:val="18"/>
              </w:rPr>
            </w:pPr>
            <w:r w:rsidRPr="007F116A">
              <w:rPr>
                <w:rFonts w:cs="Calibri"/>
                <w:sz w:val="18"/>
                <w:szCs w:val="18"/>
              </w:rPr>
              <w:t>Typ wskaźnika</w:t>
            </w:r>
          </w:p>
        </w:tc>
        <w:tc>
          <w:tcPr>
            <w:tcW w:w="0" w:type="auto"/>
            <w:shd w:val="clear" w:color="auto" w:fill="DBE5F1"/>
          </w:tcPr>
          <w:p w14:paraId="7501722A" w14:textId="77777777" w:rsidR="00116CFB" w:rsidRPr="006558FF" w:rsidRDefault="00116CFB" w:rsidP="004742DC">
            <w:pPr>
              <w:jc w:val="center"/>
              <w:rPr>
                <w:rFonts w:cs="Calibri"/>
                <w:sz w:val="18"/>
                <w:szCs w:val="18"/>
              </w:rPr>
            </w:pPr>
            <w:r w:rsidRPr="006558FF">
              <w:rPr>
                <w:rFonts w:cs="Calibri"/>
                <w:sz w:val="18"/>
                <w:szCs w:val="18"/>
              </w:rPr>
              <w:t>Wskaźnik</w:t>
            </w:r>
          </w:p>
        </w:tc>
        <w:tc>
          <w:tcPr>
            <w:tcW w:w="0" w:type="auto"/>
            <w:shd w:val="clear" w:color="auto" w:fill="DBE5F1"/>
          </w:tcPr>
          <w:p w14:paraId="53859C0F" w14:textId="77777777" w:rsidR="00116CFB" w:rsidRPr="00AF5126" w:rsidRDefault="00116CFB" w:rsidP="004742DC">
            <w:pPr>
              <w:jc w:val="center"/>
              <w:rPr>
                <w:rFonts w:cs="Calibri"/>
                <w:sz w:val="18"/>
                <w:szCs w:val="18"/>
              </w:rPr>
            </w:pPr>
            <w:r w:rsidRPr="00AF5126">
              <w:rPr>
                <w:rFonts w:cs="Calibri"/>
                <w:sz w:val="18"/>
                <w:szCs w:val="18"/>
              </w:rPr>
              <w:t>Wartość docelowa określona na 2023 rok</w:t>
            </w:r>
          </w:p>
        </w:tc>
        <w:tc>
          <w:tcPr>
            <w:tcW w:w="0" w:type="auto"/>
            <w:shd w:val="clear" w:color="auto" w:fill="DBE5F1"/>
          </w:tcPr>
          <w:p w14:paraId="47C0CD61" w14:textId="77777777" w:rsidR="00116CFB" w:rsidRPr="00AF5126" w:rsidRDefault="00116CFB" w:rsidP="004742DC">
            <w:pPr>
              <w:jc w:val="center"/>
              <w:rPr>
                <w:rFonts w:cs="Calibri"/>
                <w:sz w:val="18"/>
                <w:szCs w:val="18"/>
              </w:rPr>
            </w:pPr>
            <w:r w:rsidRPr="00AF5126">
              <w:rPr>
                <w:rFonts w:cs="Calibri"/>
                <w:sz w:val="18"/>
                <w:szCs w:val="18"/>
              </w:rPr>
              <w:t>Prognozowana całkowita wartość wskaźnika</w:t>
            </w:r>
          </w:p>
        </w:tc>
        <w:tc>
          <w:tcPr>
            <w:tcW w:w="0" w:type="auto"/>
            <w:shd w:val="clear" w:color="auto" w:fill="DBE5F1"/>
          </w:tcPr>
          <w:p w14:paraId="4A93EB96" w14:textId="77777777" w:rsidR="00116CFB" w:rsidRPr="00AF5126" w:rsidRDefault="00116CFB" w:rsidP="004742DC">
            <w:pPr>
              <w:jc w:val="center"/>
              <w:rPr>
                <w:rFonts w:cs="Calibri"/>
                <w:sz w:val="18"/>
                <w:szCs w:val="18"/>
              </w:rPr>
            </w:pPr>
            <w:r w:rsidRPr="00AF5126">
              <w:rPr>
                <w:rFonts w:cs="Calibri"/>
                <w:sz w:val="18"/>
                <w:szCs w:val="18"/>
              </w:rPr>
              <w:t>Prognozowany % realizacji wartości docelowej</w:t>
            </w:r>
          </w:p>
        </w:tc>
      </w:tr>
      <w:tr w:rsidR="00116CFB" w:rsidRPr="00B2711F" w14:paraId="08A83A22" w14:textId="77777777" w:rsidTr="004742DC">
        <w:trPr>
          <w:trHeight w:val="1198"/>
        </w:trPr>
        <w:tc>
          <w:tcPr>
            <w:tcW w:w="0" w:type="auto"/>
            <w:shd w:val="clear" w:color="auto" w:fill="auto"/>
            <w:vAlign w:val="center"/>
          </w:tcPr>
          <w:p w14:paraId="4F42BBF2" w14:textId="77777777" w:rsidR="00116CFB" w:rsidRPr="00404DA5" w:rsidRDefault="00116CFB" w:rsidP="004742DC">
            <w:pPr>
              <w:jc w:val="center"/>
              <w:rPr>
                <w:rFonts w:cs="Calibri"/>
                <w:sz w:val="18"/>
                <w:szCs w:val="18"/>
              </w:rPr>
            </w:pPr>
            <w:r w:rsidRPr="00404DA5">
              <w:rPr>
                <w:rFonts w:cs="Calibri"/>
                <w:sz w:val="18"/>
                <w:szCs w:val="18"/>
              </w:rPr>
              <w:t>WP</w:t>
            </w:r>
          </w:p>
        </w:tc>
        <w:tc>
          <w:tcPr>
            <w:tcW w:w="0" w:type="auto"/>
            <w:shd w:val="clear" w:color="auto" w:fill="auto"/>
            <w:vAlign w:val="center"/>
          </w:tcPr>
          <w:p w14:paraId="4E3101F6" w14:textId="77777777" w:rsidR="00116CFB" w:rsidRPr="00404DA5" w:rsidRDefault="00116CFB" w:rsidP="004742DC">
            <w:pPr>
              <w:jc w:val="center"/>
              <w:rPr>
                <w:color w:val="000000"/>
                <w:sz w:val="18"/>
                <w:szCs w:val="18"/>
              </w:rPr>
            </w:pPr>
            <w:r w:rsidRPr="00404DA5">
              <w:rPr>
                <w:color w:val="000000"/>
                <w:sz w:val="18"/>
                <w:szCs w:val="18"/>
              </w:rPr>
              <w:t>Liczba wspartych obiektów infrastruktury edukacji ogólnej</w:t>
            </w:r>
          </w:p>
        </w:tc>
        <w:tc>
          <w:tcPr>
            <w:tcW w:w="0" w:type="auto"/>
            <w:shd w:val="clear" w:color="auto" w:fill="auto"/>
            <w:vAlign w:val="center"/>
          </w:tcPr>
          <w:p w14:paraId="49252C68" w14:textId="77777777" w:rsidR="00116CFB" w:rsidRPr="00404DA5" w:rsidRDefault="00116CFB" w:rsidP="004742DC">
            <w:pPr>
              <w:jc w:val="center"/>
              <w:rPr>
                <w:rFonts w:cs="Calibri"/>
                <w:sz w:val="18"/>
                <w:szCs w:val="18"/>
              </w:rPr>
            </w:pPr>
            <w:r w:rsidRPr="00404DA5">
              <w:rPr>
                <w:rFonts w:cs="Calibri"/>
                <w:sz w:val="18"/>
                <w:szCs w:val="18"/>
              </w:rPr>
              <w:t>6</w:t>
            </w:r>
          </w:p>
        </w:tc>
        <w:tc>
          <w:tcPr>
            <w:tcW w:w="0" w:type="auto"/>
            <w:shd w:val="clear" w:color="auto" w:fill="auto"/>
            <w:vAlign w:val="center"/>
          </w:tcPr>
          <w:p w14:paraId="32257D28" w14:textId="77777777" w:rsidR="00116CFB" w:rsidRPr="00404DA5" w:rsidRDefault="00116CFB" w:rsidP="004742DC">
            <w:pPr>
              <w:jc w:val="center"/>
              <w:rPr>
                <w:rFonts w:cs="Calibri"/>
                <w:sz w:val="18"/>
                <w:szCs w:val="18"/>
              </w:rPr>
            </w:pPr>
            <w:r w:rsidRPr="00404DA5">
              <w:rPr>
                <w:rFonts w:cs="Calibri"/>
                <w:sz w:val="18"/>
                <w:szCs w:val="18"/>
              </w:rPr>
              <w:t>20</w:t>
            </w:r>
          </w:p>
        </w:tc>
        <w:tc>
          <w:tcPr>
            <w:tcW w:w="0" w:type="auto"/>
            <w:shd w:val="clear" w:color="auto" w:fill="auto"/>
            <w:vAlign w:val="center"/>
          </w:tcPr>
          <w:p w14:paraId="633F262B" w14:textId="77777777" w:rsidR="00116CFB" w:rsidRPr="00404DA5" w:rsidRDefault="00116CFB" w:rsidP="004742DC">
            <w:pPr>
              <w:jc w:val="center"/>
              <w:rPr>
                <w:rFonts w:cs="Calibri"/>
                <w:sz w:val="18"/>
                <w:szCs w:val="18"/>
              </w:rPr>
            </w:pPr>
            <w:r w:rsidRPr="00404DA5">
              <w:rPr>
                <w:rFonts w:cs="Calibri"/>
                <w:sz w:val="18"/>
                <w:szCs w:val="18"/>
              </w:rPr>
              <w:t>340,4%</w:t>
            </w:r>
          </w:p>
        </w:tc>
      </w:tr>
      <w:tr w:rsidR="00116CFB" w:rsidRPr="00B2711F" w14:paraId="7A9587FB" w14:textId="77777777" w:rsidTr="004742DC">
        <w:trPr>
          <w:trHeight w:val="1272"/>
        </w:trPr>
        <w:tc>
          <w:tcPr>
            <w:tcW w:w="0" w:type="auto"/>
            <w:shd w:val="clear" w:color="auto" w:fill="auto"/>
            <w:vAlign w:val="center"/>
          </w:tcPr>
          <w:p w14:paraId="38CADD27" w14:textId="77777777" w:rsidR="00116CFB" w:rsidRPr="00404DA5" w:rsidRDefault="00116CFB" w:rsidP="004742DC">
            <w:pPr>
              <w:jc w:val="center"/>
              <w:rPr>
                <w:rFonts w:cs="Calibri"/>
                <w:sz w:val="18"/>
                <w:szCs w:val="18"/>
              </w:rPr>
            </w:pPr>
            <w:r w:rsidRPr="00404DA5">
              <w:rPr>
                <w:rFonts w:cs="Calibri"/>
                <w:sz w:val="18"/>
                <w:szCs w:val="18"/>
              </w:rPr>
              <w:t>WP</w:t>
            </w:r>
          </w:p>
        </w:tc>
        <w:tc>
          <w:tcPr>
            <w:tcW w:w="0" w:type="auto"/>
            <w:shd w:val="clear" w:color="auto" w:fill="auto"/>
            <w:vAlign w:val="center"/>
          </w:tcPr>
          <w:p w14:paraId="599300DA" w14:textId="77777777" w:rsidR="00116CFB" w:rsidRPr="00404DA5" w:rsidRDefault="00116CFB" w:rsidP="004742DC">
            <w:pPr>
              <w:jc w:val="center"/>
              <w:rPr>
                <w:rFonts w:cs="Calibri"/>
                <w:color w:val="000000"/>
                <w:sz w:val="18"/>
                <w:szCs w:val="18"/>
              </w:rPr>
            </w:pPr>
            <w:r w:rsidRPr="00404DA5">
              <w:rPr>
                <w:rFonts w:cs="Calibri"/>
                <w:color w:val="000000"/>
                <w:sz w:val="18"/>
                <w:szCs w:val="18"/>
              </w:rPr>
              <w:t>Liczba wspartych obiektów infrastruktury edukacji zawodowej</w:t>
            </w:r>
          </w:p>
        </w:tc>
        <w:tc>
          <w:tcPr>
            <w:tcW w:w="0" w:type="auto"/>
            <w:shd w:val="clear" w:color="auto" w:fill="auto"/>
            <w:vAlign w:val="center"/>
          </w:tcPr>
          <w:p w14:paraId="7794834F" w14:textId="77777777" w:rsidR="00116CFB" w:rsidRPr="00404DA5" w:rsidRDefault="00116CFB" w:rsidP="004742DC">
            <w:pPr>
              <w:jc w:val="center"/>
              <w:rPr>
                <w:rFonts w:cs="Calibri"/>
                <w:sz w:val="18"/>
                <w:szCs w:val="18"/>
              </w:rPr>
            </w:pPr>
            <w:r w:rsidRPr="00404DA5">
              <w:rPr>
                <w:rFonts w:cs="Calibri"/>
                <w:color w:val="000000"/>
                <w:sz w:val="18"/>
                <w:szCs w:val="18"/>
              </w:rPr>
              <w:t>18</w:t>
            </w:r>
          </w:p>
        </w:tc>
        <w:tc>
          <w:tcPr>
            <w:tcW w:w="0" w:type="auto"/>
            <w:shd w:val="clear" w:color="auto" w:fill="auto"/>
            <w:vAlign w:val="center"/>
          </w:tcPr>
          <w:p w14:paraId="177E5EEB" w14:textId="77777777" w:rsidR="00116CFB" w:rsidRPr="00404DA5" w:rsidRDefault="00116CFB" w:rsidP="004742DC">
            <w:pPr>
              <w:jc w:val="center"/>
              <w:rPr>
                <w:rFonts w:cs="Calibri"/>
                <w:sz w:val="18"/>
                <w:szCs w:val="18"/>
              </w:rPr>
            </w:pPr>
            <w:r w:rsidRPr="00404DA5">
              <w:rPr>
                <w:rFonts w:cs="Calibri"/>
                <w:sz w:val="18"/>
                <w:szCs w:val="18"/>
              </w:rPr>
              <w:t>36</w:t>
            </w:r>
          </w:p>
        </w:tc>
        <w:tc>
          <w:tcPr>
            <w:tcW w:w="0" w:type="auto"/>
            <w:shd w:val="clear" w:color="auto" w:fill="auto"/>
            <w:vAlign w:val="center"/>
          </w:tcPr>
          <w:p w14:paraId="660C2287" w14:textId="77777777" w:rsidR="00116CFB" w:rsidRPr="00D92B99" w:rsidRDefault="00116CFB" w:rsidP="004742DC">
            <w:pPr>
              <w:jc w:val="center"/>
              <w:rPr>
                <w:bCs/>
                <w:color w:val="006100"/>
                <w:sz w:val="18"/>
                <w:szCs w:val="18"/>
              </w:rPr>
            </w:pPr>
            <w:r w:rsidRPr="00D92B99">
              <w:rPr>
                <w:bCs/>
                <w:sz w:val="18"/>
                <w:szCs w:val="18"/>
              </w:rPr>
              <w:t>197,7%</w:t>
            </w:r>
          </w:p>
        </w:tc>
      </w:tr>
      <w:tr w:rsidR="00116CFB" w:rsidRPr="00B2711F" w14:paraId="58B4C794" w14:textId="77777777" w:rsidTr="004742DC">
        <w:trPr>
          <w:trHeight w:val="1136"/>
        </w:trPr>
        <w:tc>
          <w:tcPr>
            <w:tcW w:w="0" w:type="auto"/>
            <w:shd w:val="clear" w:color="auto" w:fill="auto"/>
            <w:vAlign w:val="center"/>
          </w:tcPr>
          <w:p w14:paraId="558E9A73" w14:textId="77777777" w:rsidR="00116CFB" w:rsidRPr="00404DA5" w:rsidRDefault="00116CFB" w:rsidP="004742DC">
            <w:pPr>
              <w:jc w:val="center"/>
              <w:rPr>
                <w:rFonts w:cs="Calibri"/>
                <w:sz w:val="18"/>
                <w:szCs w:val="18"/>
              </w:rPr>
            </w:pPr>
            <w:r w:rsidRPr="00404DA5">
              <w:rPr>
                <w:rFonts w:cs="Calibri"/>
                <w:sz w:val="18"/>
                <w:szCs w:val="18"/>
              </w:rPr>
              <w:t>WP</w:t>
            </w:r>
          </w:p>
        </w:tc>
        <w:tc>
          <w:tcPr>
            <w:tcW w:w="0" w:type="auto"/>
            <w:shd w:val="clear" w:color="auto" w:fill="auto"/>
            <w:vAlign w:val="center"/>
          </w:tcPr>
          <w:p w14:paraId="5AC807C4" w14:textId="77777777" w:rsidR="00116CFB" w:rsidRPr="00404DA5" w:rsidRDefault="00116CFB" w:rsidP="004742DC">
            <w:pPr>
              <w:jc w:val="center"/>
              <w:rPr>
                <w:color w:val="000000"/>
                <w:sz w:val="18"/>
                <w:szCs w:val="18"/>
              </w:rPr>
            </w:pPr>
            <w:r w:rsidRPr="00404DA5">
              <w:rPr>
                <w:color w:val="000000"/>
                <w:sz w:val="18"/>
                <w:szCs w:val="18"/>
              </w:rPr>
              <w:t>Liczba wspartych instytucji popularyzujących naukę</w:t>
            </w:r>
            <w:r w:rsidR="00E66B89">
              <w:rPr>
                <w:color w:val="000000"/>
                <w:sz w:val="18"/>
                <w:szCs w:val="18"/>
              </w:rPr>
              <w:t xml:space="preserve"> i </w:t>
            </w:r>
            <w:r w:rsidRPr="00404DA5">
              <w:rPr>
                <w:color w:val="000000"/>
                <w:sz w:val="18"/>
                <w:szCs w:val="18"/>
              </w:rPr>
              <w:t>innowacje</w:t>
            </w:r>
          </w:p>
        </w:tc>
        <w:tc>
          <w:tcPr>
            <w:tcW w:w="0" w:type="auto"/>
            <w:shd w:val="clear" w:color="auto" w:fill="auto"/>
            <w:vAlign w:val="center"/>
          </w:tcPr>
          <w:p w14:paraId="46DEC9D0" w14:textId="77777777" w:rsidR="00116CFB" w:rsidRPr="00404DA5" w:rsidRDefault="00116CFB" w:rsidP="004742DC">
            <w:pPr>
              <w:jc w:val="center"/>
              <w:rPr>
                <w:rFonts w:cs="Calibri"/>
                <w:sz w:val="18"/>
                <w:szCs w:val="18"/>
              </w:rPr>
            </w:pPr>
            <w:r w:rsidRPr="00404DA5">
              <w:rPr>
                <w:rFonts w:cs="Calibri"/>
                <w:color w:val="000000"/>
                <w:sz w:val="18"/>
                <w:szCs w:val="18"/>
              </w:rPr>
              <w:t>7</w:t>
            </w:r>
          </w:p>
        </w:tc>
        <w:tc>
          <w:tcPr>
            <w:tcW w:w="0" w:type="auto"/>
            <w:shd w:val="clear" w:color="auto" w:fill="auto"/>
            <w:vAlign w:val="center"/>
          </w:tcPr>
          <w:p w14:paraId="6BF101B5" w14:textId="77777777" w:rsidR="00116CFB" w:rsidRPr="00404DA5" w:rsidRDefault="00116CFB" w:rsidP="004742DC">
            <w:pPr>
              <w:jc w:val="center"/>
              <w:rPr>
                <w:rFonts w:cs="Calibri"/>
                <w:sz w:val="18"/>
                <w:szCs w:val="18"/>
              </w:rPr>
            </w:pPr>
            <w:r w:rsidRPr="00404DA5">
              <w:rPr>
                <w:rFonts w:cs="Calibri"/>
                <w:sz w:val="18"/>
                <w:szCs w:val="18"/>
              </w:rPr>
              <w:t>7</w:t>
            </w:r>
          </w:p>
        </w:tc>
        <w:tc>
          <w:tcPr>
            <w:tcW w:w="0" w:type="auto"/>
            <w:shd w:val="clear" w:color="auto" w:fill="auto"/>
            <w:vAlign w:val="center"/>
          </w:tcPr>
          <w:p w14:paraId="17DB7218" w14:textId="77777777" w:rsidR="00116CFB" w:rsidRPr="00404DA5" w:rsidRDefault="00116CFB" w:rsidP="004742DC">
            <w:pPr>
              <w:jc w:val="center"/>
              <w:rPr>
                <w:rFonts w:cs="Calibri"/>
                <w:sz w:val="18"/>
                <w:szCs w:val="18"/>
              </w:rPr>
            </w:pPr>
            <w:r w:rsidRPr="00404DA5">
              <w:rPr>
                <w:rFonts w:cs="Calibri"/>
                <w:sz w:val="18"/>
                <w:szCs w:val="18"/>
              </w:rPr>
              <w:t>100%</w:t>
            </w:r>
          </w:p>
        </w:tc>
      </w:tr>
      <w:tr w:rsidR="00116CFB" w:rsidRPr="00B2711F" w14:paraId="344996F7" w14:textId="77777777" w:rsidTr="004742DC">
        <w:trPr>
          <w:trHeight w:val="1268"/>
        </w:trPr>
        <w:tc>
          <w:tcPr>
            <w:tcW w:w="0" w:type="auto"/>
            <w:shd w:val="clear" w:color="auto" w:fill="auto"/>
            <w:vAlign w:val="center"/>
          </w:tcPr>
          <w:p w14:paraId="2A594FD5" w14:textId="77777777" w:rsidR="00116CFB" w:rsidRPr="00404DA5" w:rsidRDefault="00116CFB" w:rsidP="004742DC">
            <w:pPr>
              <w:jc w:val="center"/>
              <w:rPr>
                <w:rFonts w:cs="Calibri"/>
                <w:sz w:val="18"/>
                <w:szCs w:val="18"/>
              </w:rPr>
            </w:pPr>
            <w:r w:rsidRPr="00404DA5">
              <w:rPr>
                <w:rFonts w:cs="Calibri"/>
                <w:sz w:val="18"/>
                <w:szCs w:val="18"/>
              </w:rPr>
              <w:t>WR</w:t>
            </w:r>
          </w:p>
        </w:tc>
        <w:tc>
          <w:tcPr>
            <w:tcW w:w="0" w:type="auto"/>
            <w:shd w:val="clear" w:color="auto" w:fill="auto"/>
            <w:vAlign w:val="center"/>
          </w:tcPr>
          <w:p w14:paraId="3F587AC4" w14:textId="77777777" w:rsidR="00116CFB" w:rsidRPr="00404DA5" w:rsidRDefault="00116CFB" w:rsidP="004742DC">
            <w:pPr>
              <w:jc w:val="center"/>
              <w:rPr>
                <w:rFonts w:cs="Calibri"/>
                <w:color w:val="000000"/>
                <w:sz w:val="18"/>
                <w:szCs w:val="18"/>
              </w:rPr>
            </w:pPr>
            <w:r w:rsidRPr="00404DA5">
              <w:rPr>
                <w:color w:val="000000"/>
                <w:sz w:val="18"/>
                <w:szCs w:val="18"/>
              </w:rPr>
              <w:t>Liczba odwiedzających instytucje popularyzujące naukę</w:t>
            </w:r>
            <w:r w:rsidR="00E66B89">
              <w:rPr>
                <w:color w:val="000000"/>
                <w:sz w:val="18"/>
                <w:szCs w:val="18"/>
              </w:rPr>
              <w:t xml:space="preserve"> i </w:t>
            </w:r>
            <w:r w:rsidRPr="00404DA5">
              <w:rPr>
                <w:color w:val="000000"/>
                <w:sz w:val="18"/>
                <w:szCs w:val="18"/>
              </w:rPr>
              <w:t>innowacje</w:t>
            </w:r>
            <w:r w:rsidR="00E66B89">
              <w:rPr>
                <w:color w:val="000000"/>
                <w:sz w:val="18"/>
                <w:szCs w:val="18"/>
              </w:rPr>
              <w:t xml:space="preserve"> w </w:t>
            </w:r>
            <w:r w:rsidRPr="00404DA5">
              <w:rPr>
                <w:color w:val="000000"/>
                <w:sz w:val="18"/>
                <w:szCs w:val="18"/>
              </w:rPr>
              <w:t>zorganizowanych grupach szkolnych</w:t>
            </w:r>
          </w:p>
        </w:tc>
        <w:tc>
          <w:tcPr>
            <w:tcW w:w="0" w:type="auto"/>
            <w:shd w:val="clear" w:color="auto" w:fill="auto"/>
            <w:vAlign w:val="center"/>
          </w:tcPr>
          <w:p w14:paraId="406A899E" w14:textId="77777777" w:rsidR="00116CFB" w:rsidRPr="00404DA5" w:rsidRDefault="00116CFB" w:rsidP="004742DC">
            <w:pPr>
              <w:jc w:val="center"/>
              <w:rPr>
                <w:rFonts w:cs="Calibri"/>
                <w:sz w:val="18"/>
                <w:szCs w:val="18"/>
              </w:rPr>
            </w:pPr>
            <w:r w:rsidRPr="00404DA5">
              <w:rPr>
                <w:rFonts w:cs="Calibri"/>
                <w:color w:val="000000"/>
                <w:sz w:val="18"/>
                <w:szCs w:val="18"/>
              </w:rPr>
              <w:t>49200</w:t>
            </w:r>
          </w:p>
        </w:tc>
        <w:tc>
          <w:tcPr>
            <w:tcW w:w="0" w:type="auto"/>
            <w:shd w:val="clear" w:color="auto" w:fill="auto"/>
            <w:vAlign w:val="center"/>
          </w:tcPr>
          <w:p w14:paraId="522E5920" w14:textId="77777777" w:rsidR="00116CFB" w:rsidRPr="00404DA5" w:rsidRDefault="00116CFB" w:rsidP="004742DC">
            <w:pPr>
              <w:jc w:val="center"/>
              <w:rPr>
                <w:rFonts w:cs="Calibri"/>
                <w:sz w:val="18"/>
                <w:szCs w:val="18"/>
              </w:rPr>
            </w:pPr>
            <w:r w:rsidRPr="00404DA5">
              <w:rPr>
                <w:rFonts w:cs="Calibri"/>
                <w:sz w:val="18"/>
                <w:szCs w:val="18"/>
              </w:rPr>
              <w:t>139000</w:t>
            </w:r>
          </w:p>
        </w:tc>
        <w:tc>
          <w:tcPr>
            <w:tcW w:w="0" w:type="auto"/>
            <w:shd w:val="clear" w:color="auto" w:fill="auto"/>
            <w:vAlign w:val="center"/>
          </w:tcPr>
          <w:p w14:paraId="571DFB96" w14:textId="77777777" w:rsidR="00116CFB" w:rsidRPr="00404DA5" w:rsidRDefault="00116CFB" w:rsidP="004742DC">
            <w:pPr>
              <w:jc w:val="center"/>
              <w:rPr>
                <w:rFonts w:cs="Calibri"/>
                <w:sz w:val="18"/>
                <w:szCs w:val="18"/>
              </w:rPr>
            </w:pPr>
            <w:r w:rsidRPr="00404DA5">
              <w:rPr>
                <w:rFonts w:cs="Calibri"/>
                <w:sz w:val="18"/>
                <w:szCs w:val="18"/>
              </w:rPr>
              <w:t>283%</w:t>
            </w:r>
          </w:p>
        </w:tc>
      </w:tr>
      <w:tr w:rsidR="00116CFB" w:rsidRPr="00B2711F" w14:paraId="39B64410" w14:textId="77777777" w:rsidTr="004742DC">
        <w:trPr>
          <w:trHeight w:val="1432"/>
        </w:trPr>
        <w:tc>
          <w:tcPr>
            <w:tcW w:w="0" w:type="auto"/>
            <w:shd w:val="clear" w:color="auto" w:fill="auto"/>
            <w:vAlign w:val="center"/>
          </w:tcPr>
          <w:p w14:paraId="063143AC" w14:textId="77777777" w:rsidR="00116CFB" w:rsidRPr="00404DA5" w:rsidRDefault="00116CFB" w:rsidP="004742DC">
            <w:pPr>
              <w:jc w:val="center"/>
              <w:rPr>
                <w:rFonts w:cs="Calibri"/>
                <w:sz w:val="18"/>
                <w:szCs w:val="18"/>
              </w:rPr>
            </w:pPr>
            <w:r w:rsidRPr="00404DA5">
              <w:rPr>
                <w:rFonts w:cs="Calibri"/>
                <w:sz w:val="18"/>
                <w:szCs w:val="18"/>
              </w:rPr>
              <w:lastRenderedPageBreak/>
              <w:t>WR</w:t>
            </w:r>
          </w:p>
        </w:tc>
        <w:tc>
          <w:tcPr>
            <w:tcW w:w="0" w:type="auto"/>
            <w:shd w:val="clear" w:color="auto" w:fill="auto"/>
            <w:vAlign w:val="center"/>
          </w:tcPr>
          <w:p w14:paraId="2AFDCAF8" w14:textId="77777777" w:rsidR="00116CFB" w:rsidRPr="00404DA5" w:rsidRDefault="00116CFB" w:rsidP="004742DC">
            <w:pPr>
              <w:jc w:val="center"/>
              <w:rPr>
                <w:color w:val="000000"/>
                <w:sz w:val="18"/>
                <w:szCs w:val="18"/>
              </w:rPr>
            </w:pPr>
            <w:r w:rsidRPr="00404DA5">
              <w:rPr>
                <w:color w:val="000000"/>
                <w:sz w:val="18"/>
                <w:szCs w:val="18"/>
              </w:rPr>
              <w:t>Liczba miejsc</w:t>
            </w:r>
            <w:r w:rsidR="00E66B89">
              <w:rPr>
                <w:color w:val="000000"/>
                <w:sz w:val="18"/>
                <w:szCs w:val="18"/>
              </w:rPr>
              <w:t xml:space="preserve"> w </w:t>
            </w:r>
            <w:r w:rsidRPr="00404DA5">
              <w:rPr>
                <w:color w:val="000000"/>
                <w:sz w:val="18"/>
                <w:szCs w:val="18"/>
              </w:rPr>
              <w:t>objętej wsparciem infrastrukturze</w:t>
            </w:r>
            <w:r w:rsidR="00E66B89">
              <w:rPr>
                <w:color w:val="000000"/>
                <w:sz w:val="18"/>
                <w:szCs w:val="18"/>
              </w:rPr>
              <w:t xml:space="preserve"> w </w:t>
            </w:r>
            <w:r w:rsidRPr="00404DA5">
              <w:rPr>
                <w:color w:val="000000"/>
                <w:sz w:val="18"/>
                <w:szCs w:val="18"/>
              </w:rPr>
              <w:t>zakresie opieki nad dziećmi lub infrastrukturze edukacyjnej</w:t>
            </w:r>
          </w:p>
        </w:tc>
        <w:tc>
          <w:tcPr>
            <w:tcW w:w="0" w:type="auto"/>
            <w:shd w:val="clear" w:color="auto" w:fill="auto"/>
            <w:vAlign w:val="center"/>
          </w:tcPr>
          <w:p w14:paraId="65604962" w14:textId="77777777" w:rsidR="00116CFB" w:rsidRDefault="00116CFB" w:rsidP="004742DC">
            <w:pPr>
              <w:jc w:val="center"/>
              <w:rPr>
                <w:bCs/>
                <w:color w:val="000000"/>
                <w:sz w:val="18"/>
                <w:szCs w:val="18"/>
              </w:rPr>
            </w:pPr>
          </w:p>
          <w:p w14:paraId="39EC24C5" w14:textId="77777777" w:rsidR="00116CFB" w:rsidRPr="00404DA5" w:rsidRDefault="00116CFB" w:rsidP="004742DC">
            <w:pPr>
              <w:jc w:val="center"/>
              <w:rPr>
                <w:bCs/>
                <w:color w:val="000000"/>
                <w:sz w:val="18"/>
                <w:szCs w:val="18"/>
              </w:rPr>
            </w:pPr>
            <w:r w:rsidRPr="00404DA5">
              <w:rPr>
                <w:bCs/>
                <w:color w:val="000000"/>
                <w:sz w:val="18"/>
                <w:szCs w:val="18"/>
              </w:rPr>
              <w:t>5822</w:t>
            </w:r>
          </w:p>
          <w:p w14:paraId="334B702F" w14:textId="77777777" w:rsidR="00116CFB" w:rsidRPr="00404DA5" w:rsidRDefault="00116CFB" w:rsidP="004742DC">
            <w:pPr>
              <w:jc w:val="center"/>
              <w:rPr>
                <w:rFonts w:cs="Calibri"/>
                <w:sz w:val="18"/>
                <w:szCs w:val="18"/>
              </w:rPr>
            </w:pPr>
          </w:p>
        </w:tc>
        <w:tc>
          <w:tcPr>
            <w:tcW w:w="0" w:type="auto"/>
            <w:shd w:val="clear" w:color="auto" w:fill="auto"/>
            <w:vAlign w:val="center"/>
          </w:tcPr>
          <w:p w14:paraId="701B9403" w14:textId="77777777" w:rsidR="00116CFB" w:rsidRPr="00404DA5" w:rsidRDefault="00116CFB" w:rsidP="004742DC">
            <w:pPr>
              <w:jc w:val="center"/>
              <w:rPr>
                <w:rFonts w:cs="Calibri"/>
                <w:sz w:val="18"/>
                <w:szCs w:val="18"/>
              </w:rPr>
            </w:pPr>
            <w:r w:rsidRPr="00404DA5">
              <w:rPr>
                <w:rFonts w:cs="Calibri"/>
                <w:sz w:val="18"/>
                <w:szCs w:val="18"/>
              </w:rPr>
              <w:t>15904</w:t>
            </w:r>
          </w:p>
        </w:tc>
        <w:tc>
          <w:tcPr>
            <w:tcW w:w="0" w:type="auto"/>
            <w:shd w:val="clear" w:color="auto" w:fill="auto"/>
            <w:vAlign w:val="center"/>
          </w:tcPr>
          <w:p w14:paraId="6D0A283B" w14:textId="77777777" w:rsidR="00116CFB" w:rsidRPr="00404DA5" w:rsidRDefault="00116CFB" w:rsidP="004742DC">
            <w:pPr>
              <w:jc w:val="center"/>
              <w:rPr>
                <w:rFonts w:cs="Calibri"/>
                <w:sz w:val="18"/>
                <w:szCs w:val="18"/>
              </w:rPr>
            </w:pPr>
            <w:r w:rsidRPr="00404DA5">
              <w:rPr>
                <w:rFonts w:cs="Calibri"/>
                <w:sz w:val="18"/>
                <w:szCs w:val="18"/>
              </w:rPr>
              <w:t>253%</w:t>
            </w:r>
          </w:p>
        </w:tc>
      </w:tr>
    </w:tbl>
    <w:p w14:paraId="205DF18E"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 xml:space="preserve">zawartych UoD na dzień 07.01.2019 r., obliczenia własne. </w:t>
      </w:r>
    </w:p>
    <w:p w14:paraId="4F08A2F6" w14:textId="77777777" w:rsidR="00116CFB" w:rsidRPr="004B371B" w:rsidRDefault="00116CFB" w:rsidP="00116CFB">
      <w:pPr>
        <w:pStyle w:val="Nagwek4"/>
        <w:numPr>
          <w:ilvl w:val="0"/>
          <w:numId w:val="0"/>
        </w:numPr>
        <w:rPr>
          <w:rFonts w:ascii="Lato" w:eastAsia="Calibri" w:hAnsi="Lato"/>
          <w:szCs w:val="20"/>
        </w:rPr>
      </w:pPr>
      <w:r w:rsidRPr="004B371B">
        <w:rPr>
          <w:rFonts w:ascii="Lato" w:eastAsia="Calibri" w:hAnsi="Lato"/>
          <w:szCs w:val="20"/>
        </w:rPr>
        <w:t>Możliwości zarządzania środkami rezerwy wykonania</w:t>
      </w:r>
      <w:r w:rsidR="00E66B89">
        <w:rPr>
          <w:rFonts w:ascii="Lato" w:eastAsia="Calibri" w:hAnsi="Lato"/>
          <w:szCs w:val="20"/>
        </w:rPr>
        <w:t xml:space="preserve"> i </w:t>
      </w:r>
      <w:r w:rsidRPr="004B371B">
        <w:rPr>
          <w:rFonts w:ascii="Lato" w:eastAsia="Calibri" w:hAnsi="Lato"/>
          <w:szCs w:val="20"/>
        </w:rPr>
        <w:t>identyfikacja obszarów wymagających interwencji - podsumowanie</w:t>
      </w:r>
    </w:p>
    <w:p w14:paraId="1960910F" w14:textId="77777777" w:rsidR="00116CFB" w:rsidRDefault="00116CFB" w:rsidP="00116CFB">
      <w:pPr>
        <w:pStyle w:val="evaluTresc"/>
      </w:pPr>
      <w:r w:rsidRPr="000A135E">
        <w:t xml:space="preserve">W PI </w:t>
      </w:r>
      <w:r>
        <w:t>10</w:t>
      </w:r>
      <w:r w:rsidRPr="000A135E">
        <w:t xml:space="preserve">a prognozowane jest przekroczenie </w:t>
      </w:r>
      <w:r>
        <w:t xml:space="preserve">większości </w:t>
      </w:r>
      <w:r w:rsidRPr="000A135E">
        <w:t>celów końcowych</w:t>
      </w:r>
      <w:r>
        <w:t xml:space="preserve"> Programu mierzonych wskaźnikami programowymi</w:t>
      </w:r>
      <w:r w:rsidRPr="000A135E">
        <w:t>. Obecny stan kontraktacji pozwala na dalsze osiąganie wskaźników programowych</w:t>
      </w:r>
      <w:r w:rsidR="00E66B89">
        <w:t xml:space="preserve"> w </w:t>
      </w:r>
      <w:r w:rsidRPr="000A135E">
        <w:t xml:space="preserve">ramach pozostałej alokacji. PI </w:t>
      </w:r>
      <w:r>
        <w:t>10</w:t>
      </w:r>
      <w:r w:rsidRPr="000A135E">
        <w:t>a wykazuje niską wrażliwość na ewentualne zmniejszenie dofinansowania ze względu na założone</w:t>
      </w:r>
      <w:r>
        <w:t>,</w:t>
      </w:r>
      <w:r w:rsidR="00E66B89">
        <w:t xml:space="preserve"> w </w:t>
      </w:r>
      <w:r w:rsidRPr="000A135E">
        <w:t>realizowanych obecnie projektach</w:t>
      </w:r>
      <w:r>
        <w:t>,</w:t>
      </w:r>
      <w:r w:rsidRPr="000A135E">
        <w:t xml:space="preserve"> przekroczenie wartości docelowych większości programowych wskaźników produktu</w:t>
      </w:r>
      <w:r w:rsidR="00E66B89">
        <w:t xml:space="preserve"> i </w:t>
      </w:r>
      <w:r w:rsidRPr="000A135E">
        <w:t>rezultatu.</w:t>
      </w:r>
    </w:p>
    <w:p w14:paraId="28A9B030" w14:textId="77777777" w:rsidR="00116CFB" w:rsidRDefault="00116CFB" w:rsidP="00116CFB">
      <w:pPr>
        <w:pStyle w:val="evaluTresc"/>
        <w:rPr>
          <w:rFonts w:cs="Calibri"/>
          <w:color w:val="000000"/>
        </w:rPr>
      </w:pPr>
      <w:r w:rsidRPr="000A135E">
        <w:t>Biorąc pod uwagę obecny stan wdrażania Programu</w:t>
      </w:r>
      <w:r>
        <w:t>,</w:t>
      </w:r>
      <w:r w:rsidRPr="000A135E">
        <w:t xml:space="preserve"> zaleca się modyfikację wartości docelowych wszystkich wskaźników programowych PI 10a</w:t>
      </w:r>
      <w:r w:rsidRPr="000A135E">
        <w:rPr>
          <w:rFonts w:cs="Calibri"/>
          <w:color w:val="000000"/>
        </w:rPr>
        <w:t>. Uzasadnieniem proponowanej zmiany jest mniejsza</w:t>
      </w:r>
      <w:r>
        <w:rPr>
          <w:rFonts w:cs="Calibri"/>
          <w:color w:val="000000"/>
        </w:rPr>
        <w:t>,</w:t>
      </w:r>
      <w:r w:rsidRPr="000A135E">
        <w:rPr>
          <w:rFonts w:cs="Calibri"/>
          <w:color w:val="000000"/>
        </w:rPr>
        <w:t xml:space="preserve"> niż zakładano na etapie programowania</w:t>
      </w:r>
      <w:r>
        <w:rPr>
          <w:rFonts w:cs="Calibri"/>
          <w:color w:val="000000"/>
        </w:rPr>
        <w:t>,</w:t>
      </w:r>
      <w:r w:rsidRPr="000A135E">
        <w:rPr>
          <w:rFonts w:cs="Calibri"/>
          <w:color w:val="000000"/>
        </w:rPr>
        <w:t xml:space="preserve"> skala jednostkowego wsparcia, skutkująca niższymi kosztami jednostkowymi pozyskiwania zarówno wskaźników produktu jak</w:t>
      </w:r>
      <w:r w:rsidR="00E66B89">
        <w:rPr>
          <w:rFonts w:cs="Calibri"/>
          <w:color w:val="000000"/>
        </w:rPr>
        <w:t xml:space="preserve"> i </w:t>
      </w:r>
      <w:r w:rsidRPr="000A135E">
        <w:rPr>
          <w:rFonts w:cs="Calibri"/>
          <w:color w:val="000000"/>
        </w:rPr>
        <w:t xml:space="preserve">wskaźników rezultatu. Wyjątek stanowi wskaźnik </w:t>
      </w:r>
      <w:r w:rsidRPr="008B706B">
        <w:rPr>
          <w:rFonts w:cs="Calibri"/>
          <w:i/>
          <w:color w:val="000000"/>
        </w:rPr>
        <w:t>Liczba instytucji popularyzujących naukę</w:t>
      </w:r>
      <w:r w:rsidR="00E66B89">
        <w:rPr>
          <w:rFonts w:cs="Calibri"/>
          <w:i/>
          <w:color w:val="000000"/>
        </w:rPr>
        <w:t xml:space="preserve"> i </w:t>
      </w:r>
      <w:r w:rsidRPr="008B706B">
        <w:rPr>
          <w:rFonts w:cs="Calibri"/>
          <w:i/>
          <w:color w:val="000000"/>
        </w:rPr>
        <w:t>innowacje</w:t>
      </w:r>
      <w:r w:rsidRPr="000A135E">
        <w:rPr>
          <w:rFonts w:cs="Calibri"/>
          <w:color w:val="000000"/>
        </w:rPr>
        <w:t>, który prognozowany jest do osiągnięcia</w:t>
      </w:r>
      <w:r w:rsidR="00E66B89">
        <w:rPr>
          <w:rFonts w:cs="Calibri"/>
          <w:color w:val="000000"/>
        </w:rPr>
        <w:t xml:space="preserve"> w </w:t>
      </w:r>
      <w:r w:rsidRPr="000A135E">
        <w:rPr>
          <w:rFonts w:cs="Calibri"/>
          <w:color w:val="000000"/>
        </w:rPr>
        <w:t>100% zakładanej wartości docelowej, po uprzednim przesunięciu niewykorzystanej alokacji Działania 9.6 do Działania 9.7.</w:t>
      </w:r>
    </w:p>
    <w:p w14:paraId="10D8DCB6" w14:textId="77777777" w:rsidR="00116CFB" w:rsidRPr="000A135E" w:rsidRDefault="00116CFB" w:rsidP="00116CFB">
      <w:pPr>
        <w:pStyle w:val="evaluTresc"/>
      </w:pPr>
      <w:r>
        <w:rPr>
          <w:rFonts w:cs="Calibri"/>
          <w:color w:val="000000"/>
        </w:rPr>
        <w:t>Analiza zakresu przedmiotowego realizowanych interwencji wskazuje na fakt, iż wszystkie typy projektów uwzględnione</w:t>
      </w:r>
      <w:r w:rsidR="00E66B89">
        <w:rPr>
          <w:rFonts w:cs="Calibri"/>
          <w:color w:val="000000"/>
        </w:rPr>
        <w:t xml:space="preserve"> w </w:t>
      </w:r>
      <w:r>
        <w:rPr>
          <w:rFonts w:cs="Calibri"/>
          <w:color w:val="000000"/>
        </w:rPr>
        <w:t>dokumencie programowym dla PI 10a są realizowane</w:t>
      </w:r>
      <w:r w:rsidR="00E66B89">
        <w:rPr>
          <w:rFonts w:cs="Calibri"/>
          <w:color w:val="000000"/>
        </w:rPr>
        <w:t xml:space="preserve"> w </w:t>
      </w:r>
      <w:r>
        <w:rPr>
          <w:rFonts w:cs="Calibri"/>
          <w:color w:val="000000"/>
        </w:rPr>
        <w:t>projektach,</w:t>
      </w:r>
      <w:r w:rsidR="00E66B89">
        <w:rPr>
          <w:rFonts w:cs="Calibri"/>
          <w:color w:val="000000"/>
        </w:rPr>
        <w:t xml:space="preserve"> z </w:t>
      </w:r>
      <w:r>
        <w:rPr>
          <w:rFonts w:cs="Calibri"/>
          <w:color w:val="000000"/>
        </w:rPr>
        <w:t>którymi podpisano UoD. Nie zidentyfikowano typów projektów, na które zabrakło środków</w:t>
      </w:r>
      <w:r w:rsidR="00E66B89">
        <w:rPr>
          <w:rFonts w:cs="Calibri"/>
          <w:color w:val="000000"/>
        </w:rPr>
        <w:t xml:space="preserve"> w </w:t>
      </w:r>
      <w:r>
        <w:rPr>
          <w:rFonts w:cs="Calibri"/>
          <w:color w:val="000000"/>
        </w:rPr>
        <w:t xml:space="preserve">ramach dotychczasowego wdrażania tego PI. </w:t>
      </w:r>
    </w:p>
    <w:p w14:paraId="6A97D93A" w14:textId="77777777" w:rsidR="00116CFB" w:rsidRPr="00801DB4" w:rsidRDefault="00116CFB" w:rsidP="00116CFB">
      <w:pPr>
        <w:pStyle w:val="Nagwek3"/>
      </w:pPr>
      <w:r w:rsidRPr="00801DB4">
        <w:t>Priorytet inwestycyjny nr 2c (Działanie 9.10)</w:t>
      </w:r>
    </w:p>
    <w:p w14:paraId="5E757F3A" w14:textId="77777777"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t>Ocena postępów</w:t>
      </w:r>
      <w:r w:rsidR="00E66B89">
        <w:rPr>
          <w:rFonts w:ascii="Lato" w:eastAsia="Calibri" w:hAnsi="Lato"/>
          <w:szCs w:val="20"/>
        </w:rPr>
        <w:t xml:space="preserve"> w </w:t>
      </w:r>
      <w:r w:rsidRPr="00801DB4">
        <w:rPr>
          <w:rFonts w:ascii="Lato" w:eastAsia="Calibri" w:hAnsi="Lato"/>
          <w:szCs w:val="20"/>
        </w:rPr>
        <w:t xml:space="preserve">realizacji PI </w:t>
      </w:r>
    </w:p>
    <w:p w14:paraId="5C9EC942" w14:textId="77777777" w:rsidR="00116CFB" w:rsidRPr="00801DB4" w:rsidRDefault="00116CFB" w:rsidP="00116CFB">
      <w:pPr>
        <w:rPr>
          <w:szCs w:val="20"/>
        </w:rPr>
      </w:pPr>
      <w:r w:rsidRPr="00801DB4">
        <w:rPr>
          <w:szCs w:val="20"/>
        </w:rPr>
        <w:t>W ramach PI 2c założono alokację na poziomie 20 mln euro</w:t>
      </w:r>
      <w:r w:rsidRPr="00801DB4">
        <w:rPr>
          <w:rStyle w:val="Zakotwiczenieprzypisudolnego"/>
          <w:szCs w:val="20"/>
        </w:rPr>
        <w:footnoteReference w:id="134"/>
      </w:r>
      <w:r w:rsidRPr="00801DB4">
        <w:rPr>
          <w:szCs w:val="20"/>
        </w:rPr>
        <w:t>,</w:t>
      </w:r>
      <w:r w:rsidR="00E66B89">
        <w:rPr>
          <w:szCs w:val="20"/>
        </w:rPr>
        <w:t xml:space="preserve"> w </w:t>
      </w:r>
      <w:r w:rsidRPr="00801DB4">
        <w:rPr>
          <w:szCs w:val="20"/>
        </w:rPr>
        <w:t>tym 1,2 mln euro stanowią środki rezerwy wykonania. Do 07.01.2019 roku zawarto 2 umowy</w:t>
      </w:r>
      <w:r w:rsidR="00E66B89">
        <w:rPr>
          <w:szCs w:val="20"/>
        </w:rPr>
        <w:t xml:space="preserve"> o </w:t>
      </w:r>
      <w:r w:rsidRPr="00801DB4">
        <w:rPr>
          <w:szCs w:val="20"/>
        </w:rPr>
        <w:t>dofinansowanie (w trybie pozakonkursowym), co spowodowało zakontraktowanie 91,4% alokacji ogółem (uwzględniającej środki rezerwy wykonania). Poziom kontraktacji alokacji bez uwzględniania środków rezerwy wyniósł</w:t>
      </w:r>
      <w:r w:rsidR="00E66B89">
        <w:rPr>
          <w:szCs w:val="20"/>
        </w:rPr>
        <w:t xml:space="preserve"> z </w:t>
      </w:r>
      <w:r w:rsidRPr="00801DB4">
        <w:rPr>
          <w:szCs w:val="20"/>
        </w:rPr>
        <w:t>kolei 97,3%.</w:t>
      </w:r>
      <w:r w:rsidR="00E66B89">
        <w:rPr>
          <w:szCs w:val="20"/>
        </w:rPr>
        <w:t xml:space="preserve"> W </w:t>
      </w:r>
      <w:r w:rsidRPr="00801DB4">
        <w:rPr>
          <w:szCs w:val="20"/>
        </w:rPr>
        <w:t>ramach PI pozostało zatem 1,72 mln euro (co stanowi około 7 381 069,66 zł) alokacji (uwzględniając</w:t>
      </w:r>
      <w:r w:rsidR="00E66B89">
        <w:rPr>
          <w:szCs w:val="20"/>
        </w:rPr>
        <w:t xml:space="preserve"> w </w:t>
      </w:r>
      <w:r w:rsidRPr="00801DB4">
        <w:rPr>
          <w:szCs w:val="20"/>
        </w:rPr>
        <w:t>tym środki rezerwy wykonania).</w:t>
      </w:r>
    </w:p>
    <w:p w14:paraId="529BC61D" w14:textId="77777777" w:rsidR="00116CFB" w:rsidRPr="00404DA5" w:rsidRDefault="00116CFB" w:rsidP="00116CFB">
      <w:pPr>
        <w:rPr>
          <w:rFonts w:cs="Calibri"/>
          <w:szCs w:val="20"/>
        </w:rPr>
      </w:pPr>
      <w:r w:rsidRPr="00801DB4">
        <w:rPr>
          <w:szCs w:val="20"/>
        </w:rPr>
        <w:t>W ramach Programu przyjęto 3 wskaźniki produktu odnoszące się do zakresu interwencji zgodnej</w:t>
      </w:r>
      <w:r w:rsidR="00E66B89">
        <w:rPr>
          <w:szCs w:val="20"/>
        </w:rPr>
        <w:t xml:space="preserve"> z </w:t>
      </w:r>
      <w:r w:rsidRPr="00801DB4">
        <w:rPr>
          <w:szCs w:val="20"/>
        </w:rPr>
        <w:t>PI 2c.</w:t>
      </w:r>
      <w:r w:rsidR="00E66B89">
        <w:rPr>
          <w:szCs w:val="20"/>
        </w:rPr>
        <w:t xml:space="preserve"> W </w:t>
      </w:r>
      <w:r w:rsidRPr="00801DB4">
        <w:rPr>
          <w:szCs w:val="20"/>
        </w:rPr>
        <w:t xml:space="preserve">przypadku wskaźnika </w:t>
      </w:r>
      <w:r w:rsidRPr="00801DB4">
        <w:rPr>
          <w:i/>
          <w:szCs w:val="20"/>
        </w:rPr>
        <w:t>Liczba instytucji publicznych, które usprawniły funkcjonowanie dzięki awansowi cyfrowemu</w:t>
      </w:r>
      <w:r w:rsidRPr="00801DB4">
        <w:rPr>
          <w:szCs w:val="20"/>
        </w:rPr>
        <w:t xml:space="preserve"> szacowany (na podstawie zawartych UoD) poziom realizacji</w:t>
      </w:r>
      <w:r>
        <w:rPr>
          <w:szCs w:val="20"/>
        </w:rPr>
        <w:t xml:space="preserve"> wartości docelowej</w:t>
      </w:r>
      <w:r w:rsidRPr="00801DB4">
        <w:rPr>
          <w:szCs w:val="20"/>
        </w:rPr>
        <w:t xml:space="preserve"> wynosi 42%,</w:t>
      </w:r>
      <w:r w:rsidR="00E66B89">
        <w:rPr>
          <w:szCs w:val="20"/>
        </w:rPr>
        <w:t xml:space="preserve"> w </w:t>
      </w:r>
      <w:r w:rsidRPr="00801DB4">
        <w:rPr>
          <w:szCs w:val="20"/>
        </w:rPr>
        <w:t xml:space="preserve">przypadku wskaźnika </w:t>
      </w:r>
      <w:r w:rsidRPr="00801DB4">
        <w:rPr>
          <w:i/>
          <w:szCs w:val="20"/>
        </w:rPr>
        <w:t xml:space="preserve">Liczba udostępnionych on-line usług na poziomie 3 – dwustronna interakcja – </w:t>
      </w:r>
      <w:r w:rsidRPr="00801DB4">
        <w:rPr>
          <w:szCs w:val="20"/>
        </w:rPr>
        <w:t>69%,</w:t>
      </w:r>
      <w:r w:rsidR="00E66B89">
        <w:rPr>
          <w:szCs w:val="20"/>
        </w:rPr>
        <w:t xml:space="preserve"> a w </w:t>
      </w:r>
      <w:r w:rsidRPr="00801DB4">
        <w:rPr>
          <w:szCs w:val="20"/>
        </w:rPr>
        <w:t xml:space="preserve">przypadku wskaźnika Liczba udostępnionych on-line usług na poziomie 4 – transakcja – 67%. Jak </w:t>
      </w:r>
      <w:r w:rsidRPr="00801DB4">
        <w:rPr>
          <w:szCs w:val="20"/>
        </w:rPr>
        <w:lastRenderedPageBreak/>
        <w:t>widać zatem, postęp rzeczowy odbiega dość istotnie od postępu finansowego mierzonego poziomem kontraktacji.</w:t>
      </w:r>
      <w:r>
        <w:rPr>
          <w:szCs w:val="20"/>
        </w:rPr>
        <w:t xml:space="preserve"> Może to świadczyć</w:t>
      </w:r>
      <w:r w:rsidR="00E66B89">
        <w:rPr>
          <w:szCs w:val="20"/>
        </w:rPr>
        <w:t xml:space="preserve"> o </w:t>
      </w:r>
      <w:r>
        <w:rPr>
          <w:szCs w:val="20"/>
        </w:rPr>
        <w:t>niższej, niż zakładano na etapie programowania, efektywności wsparcia</w:t>
      </w:r>
      <w:r w:rsidR="00E66B89">
        <w:rPr>
          <w:szCs w:val="20"/>
        </w:rPr>
        <w:t xml:space="preserve"> w </w:t>
      </w:r>
      <w:r>
        <w:rPr>
          <w:szCs w:val="20"/>
        </w:rPr>
        <w:t>tym obszarze.</w:t>
      </w:r>
    </w:p>
    <w:p w14:paraId="3D0C17E8" w14:textId="77777777" w:rsidR="00116CFB" w:rsidRPr="00404DA5" w:rsidRDefault="00116CFB" w:rsidP="00116CFB">
      <w:pPr>
        <w:rPr>
          <w:rFonts w:cs="Calibri"/>
          <w:szCs w:val="20"/>
        </w:rPr>
      </w:pPr>
      <w:r w:rsidRPr="00404DA5">
        <w:rPr>
          <w:rFonts w:cs="Calibri"/>
          <w:szCs w:val="20"/>
        </w:rPr>
        <w:t xml:space="preserve">Aktualny poziom </w:t>
      </w:r>
      <w:r>
        <w:rPr>
          <w:rFonts w:cs="Calibri"/>
          <w:szCs w:val="20"/>
        </w:rPr>
        <w:t xml:space="preserve">osiągania wartości docelowych </w:t>
      </w:r>
      <w:r w:rsidRPr="00404DA5">
        <w:rPr>
          <w:rFonts w:cs="Calibri"/>
          <w:szCs w:val="20"/>
        </w:rPr>
        <w:t>wskaźników wynika przede wszystkim</w:t>
      </w:r>
      <w:r w:rsidR="00E66B89">
        <w:rPr>
          <w:rFonts w:cs="Calibri"/>
          <w:szCs w:val="20"/>
        </w:rPr>
        <w:t xml:space="preserve"> z </w:t>
      </w:r>
      <w:r w:rsidRPr="00404DA5">
        <w:rPr>
          <w:rFonts w:cs="Calibri"/>
          <w:szCs w:val="20"/>
        </w:rPr>
        <w:t>liczby zawartych umów. Zgodnie</w:t>
      </w:r>
      <w:r w:rsidR="00E66B89">
        <w:rPr>
          <w:rFonts w:cs="Calibri"/>
          <w:szCs w:val="20"/>
        </w:rPr>
        <w:t xml:space="preserve"> z </w:t>
      </w:r>
      <w:r w:rsidRPr="00404DA5">
        <w:rPr>
          <w:rFonts w:cs="Calibri"/>
          <w:szCs w:val="20"/>
        </w:rPr>
        <w:t>pozyskanymi informacjami od przedstawicieli IZ RPO WZ,</w:t>
      </w:r>
      <w:r w:rsidR="00E66B89">
        <w:rPr>
          <w:rFonts w:cs="Calibri"/>
          <w:szCs w:val="20"/>
        </w:rPr>
        <w:t xml:space="preserve"> w </w:t>
      </w:r>
      <w:r w:rsidRPr="00404DA5">
        <w:rPr>
          <w:rFonts w:cs="Calibri"/>
          <w:szCs w:val="20"/>
        </w:rPr>
        <w:t>przyszłości planowane jest jednak przeprowadzenie konkursu</w:t>
      </w:r>
      <w:r w:rsidR="00E66B89">
        <w:rPr>
          <w:rFonts w:cs="Calibri"/>
          <w:szCs w:val="20"/>
        </w:rPr>
        <w:t xml:space="preserve"> w </w:t>
      </w:r>
      <w:r w:rsidRPr="00404DA5">
        <w:rPr>
          <w:rFonts w:cs="Calibri"/>
          <w:szCs w:val="20"/>
        </w:rPr>
        <w:t>obszarze e-zdrowia, co powinno pozytywnie wpłynąć na osiągnięte ostatecznie wartości wskaźników</w:t>
      </w:r>
      <w:r>
        <w:rPr>
          <w:rFonts w:cs="Calibri"/>
          <w:szCs w:val="20"/>
        </w:rPr>
        <w:t xml:space="preserve"> oraz na efektywność interwencji PI 2c</w:t>
      </w:r>
      <w:r w:rsidRPr="00404DA5">
        <w:rPr>
          <w:rFonts w:cs="Calibri"/>
          <w:szCs w:val="20"/>
        </w:rPr>
        <w:t>. Czynnikiem wpływającym na aktualny postęp wdrażania może być relatywnie późne złożenie WoD</w:t>
      </w:r>
      <w:r w:rsidR="00E66B89">
        <w:rPr>
          <w:rFonts w:cs="Calibri"/>
          <w:szCs w:val="20"/>
        </w:rPr>
        <w:t xml:space="preserve"> i </w:t>
      </w:r>
      <w:r w:rsidRPr="00404DA5">
        <w:rPr>
          <w:rFonts w:cs="Calibri"/>
          <w:szCs w:val="20"/>
        </w:rPr>
        <w:t>zawarcie umów</w:t>
      </w:r>
      <w:r w:rsidR="00E66B89">
        <w:rPr>
          <w:rFonts w:cs="Calibri"/>
          <w:szCs w:val="20"/>
        </w:rPr>
        <w:t xml:space="preserve"> w </w:t>
      </w:r>
      <w:r w:rsidRPr="00404DA5">
        <w:rPr>
          <w:rFonts w:cs="Calibri"/>
          <w:szCs w:val="20"/>
        </w:rPr>
        <w:t>ramach PI 2c.</w:t>
      </w:r>
      <w:r w:rsidR="00E66B89">
        <w:rPr>
          <w:rFonts w:cs="Calibri"/>
          <w:szCs w:val="20"/>
        </w:rPr>
        <w:t xml:space="preserve"> Z </w:t>
      </w:r>
      <w:r w:rsidRPr="00404DA5">
        <w:rPr>
          <w:rFonts w:cs="Calibri"/>
          <w:szCs w:val="20"/>
        </w:rPr>
        <w:t>informacj</w:t>
      </w:r>
      <w:r>
        <w:rPr>
          <w:rFonts w:cs="Calibri"/>
          <w:szCs w:val="20"/>
        </w:rPr>
        <w:t>i</w:t>
      </w:r>
      <w:r w:rsidRPr="00404DA5">
        <w:rPr>
          <w:rFonts w:cs="Calibri"/>
          <w:szCs w:val="20"/>
        </w:rPr>
        <w:t xml:space="preserve"> zawarty</w:t>
      </w:r>
      <w:r>
        <w:rPr>
          <w:rFonts w:cs="Calibri"/>
          <w:szCs w:val="20"/>
        </w:rPr>
        <w:t>ch</w:t>
      </w:r>
      <w:r w:rsidR="00E66B89">
        <w:rPr>
          <w:rFonts w:cs="Calibri"/>
          <w:szCs w:val="20"/>
        </w:rPr>
        <w:t xml:space="preserve"> w </w:t>
      </w:r>
      <w:r w:rsidRPr="00404DA5">
        <w:rPr>
          <w:rFonts w:cs="Calibri"/>
          <w:szCs w:val="20"/>
        </w:rPr>
        <w:t>informacji kwartalnej za</w:t>
      </w:r>
      <w:r w:rsidR="00E66B89">
        <w:rPr>
          <w:rFonts w:cs="Calibri"/>
          <w:szCs w:val="20"/>
        </w:rPr>
        <w:t xml:space="preserve"> I </w:t>
      </w:r>
      <w:r w:rsidRPr="00404DA5">
        <w:rPr>
          <w:rFonts w:cs="Calibri"/>
          <w:szCs w:val="20"/>
        </w:rPr>
        <w:t>kwartał 2018 roku wynika, że już wówczas zidentyfikowano problem opóźnień</w:t>
      </w:r>
      <w:r w:rsidR="00E66B89">
        <w:rPr>
          <w:rFonts w:cs="Calibri"/>
          <w:szCs w:val="20"/>
        </w:rPr>
        <w:t xml:space="preserve"> w </w:t>
      </w:r>
      <w:r w:rsidRPr="00404DA5">
        <w:rPr>
          <w:rFonts w:cs="Calibri"/>
          <w:szCs w:val="20"/>
        </w:rPr>
        <w:t>przygotowaniu dokumentacji aplikacyjnej przez wnioskodawców projektów pozakonkursowych IX OP. Można domniemywać zaś, że planowany</w:t>
      </w:r>
      <w:r w:rsidR="00E66B89">
        <w:rPr>
          <w:rFonts w:cs="Calibri"/>
          <w:szCs w:val="20"/>
        </w:rPr>
        <w:t xml:space="preserve"> w </w:t>
      </w:r>
      <w:r w:rsidRPr="00404DA5">
        <w:rPr>
          <w:rFonts w:cs="Calibri"/>
          <w:szCs w:val="20"/>
        </w:rPr>
        <w:t>przyszłości nabór</w:t>
      </w:r>
      <w:r w:rsidR="00E66B89">
        <w:rPr>
          <w:rFonts w:cs="Calibri"/>
          <w:szCs w:val="20"/>
        </w:rPr>
        <w:t xml:space="preserve"> w </w:t>
      </w:r>
      <w:r w:rsidRPr="00404DA5">
        <w:rPr>
          <w:rFonts w:cs="Calibri"/>
          <w:szCs w:val="20"/>
        </w:rPr>
        <w:t>zakresie e-zdrowia mógłby zostać teoretycznie przeprowadzony wcześniej, gdyby odpowiednio wcześniej rozpoczęto</w:t>
      </w:r>
      <w:r w:rsidR="00E66B89">
        <w:rPr>
          <w:rFonts w:cs="Calibri"/>
          <w:szCs w:val="20"/>
        </w:rPr>
        <w:t xml:space="preserve"> i </w:t>
      </w:r>
      <w:r w:rsidRPr="00404DA5">
        <w:rPr>
          <w:rFonts w:cs="Calibri"/>
          <w:szCs w:val="20"/>
        </w:rPr>
        <w:t xml:space="preserve">zakończono realizację projektu </w:t>
      </w:r>
      <w:r w:rsidRPr="00404DA5">
        <w:rPr>
          <w:rFonts w:cs="Calibri"/>
          <w:i/>
          <w:szCs w:val="20"/>
        </w:rPr>
        <w:t xml:space="preserve">Zachodniopomorskie e-Zdrowie. </w:t>
      </w:r>
      <w:r w:rsidRPr="00404DA5">
        <w:rPr>
          <w:rFonts w:cs="Calibri"/>
          <w:szCs w:val="20"/>
        </w:rPr>
        <w:t>Najpewniej bowiem realizowane</w:t>
      </w:r>
      <w:r w:rsidR="00E66B89">
        <w:rPr>
          <w:rFonts w:cs="Calibri"/>
          <w:szCs w:val="20"/>
        </w:rPr>
        <w:t xml:space="preserve"> w </w:t>
      </w:r>
      <w:r w:rsidRPr="00404DA5">
        <w:rPr>
          <w:rFonts w:cs="Calibri"/>
          <w:szCs w:val="20"/>
        </w:rPr>
        <w:t>przyszłości projekty będą musiały być zgodne</w:t>
      </w:r>
      <w:r w:rsidR="00E66B89">
        <w:rPr>
          <w:rFonts w:cs="Calibri"/>
          <w:szCs w:val="20"/>
        </w:rPr>
        <w:t xml:space="preserve"> z </w:t>
      </w:r>
      <w:r w:rsidRPr="00404DA5">
        <w:rPr>
          <w:rFonts w:cs="Calibri"/>
          <w:szCs w:val="20"/>
        </w:rPr>
        <w:t>rozwiązaniami wdrażanymi na szczeblu regionalnym, dlatego też konkurs ten</w:t>
      </w:r>
      <w:r w:rsidR="00E66B89">
        <w:rPr>
          <w:rFonts w:cs="Calibri"/>
          <w:szCs w:val="20"/>
        </w:rPr>
        <w:t xml:space="preserve"> w </w:t>
      </w:r>
      <w:r w:rsidRPr="00404DA5">
        <w:rPr>
          <w:rFonts w:cs="Calibri"/>
          <w:szCs w:val="20"/>
        </w:rPr>
        <w:t>dalszym ciągu nie został rozpoczęty. Na podstawie doświadczeń</w:t>
      </w:r>
      <w:r w:rsidR="00E66B89">
        <w:rPr>
          <w:rFonts w:cs="Calibri"/>
          <w:szCs w:val="20"/>
        </w:rPr>
        <w:t xml:space="preserve"> z </w:t>
      </w:r>
      <w:r w:rsidRPr="00404DA5">
        <w:rPr>
          <w:rFonts w:cs="Calibri"/>
          <w:szCs w:val="20"/>
        </w:rPr>
        <w:t>innych regionów można przypuszczać, że wpływ na relatywnie późne złożenie WoD na projekt pozakonkursowy</w:t>
      </w:r>
      <w:r w:rsidR="00E66B89">
        <w:rPr>
          <w:rFonts w:cs="Calibri"/>
          <w:szCs w:val="20"/>
        </w:rPr>
        <w:t xml:space="preserve"> w </w:t>
      </w:r>
      <w:r w:rsidRPr="00404DA5">
        <w:rPr>
          <w:rFonts w:cs="Calibri"/>
          <w:szCs w:val="20"/>
        </w:rPr>
        <w:t xml:space="preserve">obszarze e-zdrowia mogły </w:t>
      </w:r>
      <w:r>
        <w:rPr>
          <w:rFonts w:cs="Calibri"/>
          <w:szCs w:val="20"/>
        </w:rPr>
        <w:t>mieć</w:t>
      </w:r>
      <w:r w:rsidRPr="00404DA5">
        <w:rPr>
          <w:rFonts w:cs="Calibri"/>
          <w:szCs w:val="20"/>
        </w:rPr>
        <w:t xml:space="preserve"> opóźnienia</w:t>
      </w:r>
      <w:r w:rsidR="00E66B89">
        <w:rPr>
          <w:rFonts w:cs="Calibri"/>
          <w:szCs w:val="20"/>
        </w:rPr>
        <w:t xml:space="preserve"> w </w:t>
      </w:r>
      <w:r w:rsidRPr="00404DA5">
        <w:rPr>
          <w:rFonts w:cs="Calibri"/>
          <w:szCs w:val="20"/>
        </w:rPr>
        <w:t>przygotowaniu specyfikacji, na szczeblu centralnym, dla platformy krajowej P1</w:t>
      </w:r>
      <w:r w:rsidR="00E66B89">
        <w:rPr>
          <w:rFonts w:cs="Calibri"/>
          <w:szCs w:val="20"/>
        </w:rPr>
        <w:t xml:space="preserve"> i </w:t>
      </w:r>
      <w:r w:rsidRPr="00404DA5">
        <w:rPr>
          <w:rFonts w:cs="Calibri"/>
          <w:szCs w:val="20"/>
        </w:rPr>
        <w:t xml:space="preserve">P2. </w:t>
      </w:r>
      <w:r w:rsidRPr="00801DB4">
        <w:rPr>
          <w:rFonts w:eastAsia="Calibri"/>
          <w:szCs w:val="20"/>
        </w:rPr>
        <w:t>Opóźnienia we wdrażaniu krajowych systemów e-zdrowia mogły powodować trudności najpierw</w:t>
      </w:r>
      <w:r w:rsidR="00E66B89">
        <w:rPr>
          <w:rFonts w:eastAsia="Calibri"/>
          <w:szCs w:val="20"/>
        </w:rPr>
        <w:t xml:space="preserve"> w </w:t>
      </w:r>
      <w:r w:rsidRPr="00801DB4">
        <w:rPr>
          <w:rFonts w:eastAsia="Calibri"/>
          <w:szCs w:val="20"/>
        </w:rPr>
        <w:t>akceptacji przez KS</w:t>
      </w:r>
      <w:r>
        <w:rPr>
          <w:rFonts w:eastAsia="Calibri"/>
          <w:szCs w:val="20"/>
        </w:rPr>
        <w:t xml:space="preserve"> kryteriów wyboru</w:t>
      </w:r>
      <w:r w:rsidRPr="00801DB4">
        <w:rPr>
          <w:rFonts w:eastAsia="Calibri"/>
          <w:szCs w:val="20"/>
        </w:rPr>
        <w:t>,</w:t>
      </w:r>
      <w:r w:rsidR="00E66B89">
        <w:rPr>
          <w:rFonts w:eastAsia="Calibri"/>
          <w:szCs w:val="20"/>
        </w:rPr>
        <w:t xml:space="preserve"> a </w:t>
      </w:r>
      <w:r w:rsidRPr="00801DB4">
        <w:rPr>
          <w:rFonts w:eastAsia="Calibri"/>
          <w:szCs w:val="20"/>
        </w:rPr>
        <w:t>później</w:t>
      </w:r>
      <w:r w:rsidR="00E66B89">
        <w:rPr>
          <w:rFonts w:eastAsia="Calibri"/>
          <w:szCs w:val="20"/>
        </w:rPr>
        <w:t xml:space="preserve"> w </w:t>
      </w:r>
      <w:r w:rsidRPr="00801DB4">
        <w:rPr>
          <w:rFonts w:eastAsia="Calibri"/>
          <w:szCs w:val="20"/>
        </w:rPr>
        <w:t>przygotowaniu, specyfikacji</w:t>
      </w:r>
      <w:r w:rsidR="00E66B89">
        <w:rPr>
          <w:rFonts w:eastAsia="Calibri"/>
          <w:szCs w:val="20"/>
        </w:rPr>
        <w:t xml:space="preserve"> i </w:t>
      </w:r>
      <w:r w:rsidRPr="00801DB4">
        <w:rPr>
          <w:rFonts w:eastAsia="Calibri"/>
          <w:szCs w:val="20"/>
        </w:rPr>
        <w:t>opis</w:t>
      </w:r>
      <w:r>
        <w:rPr>
          <w:rFonts w:eastAsia="Calibri"/>
          <w:szCs w:val="20"/>
        </w:rPr>
        <w:t>ie</w:t>
      </w:r>
      <w:r w:rsidRPr="00801DB4">
        <w:rPr>
          <w:rFonts w:eastAsia="Calibri"/>
          <w:szCs w:val="20"/>
        </w:rPr>
        <w:t xml:space="preserve"> przedmiotu zamówienia</w:t>
      </w:r>
      <w:r w:rsidR="00E66B89">
        <w:rPr>
          <w:rFonts w:eastAsia="Calibri"/>
          <w:szCs w:val="20"/>
        </w:rPr>
        <w:t xml:space="preserve"> w </w:t>
      </w:r>
      <w:r w:rsidRPr="00801DB4">
        <w:rPr>
          <w:rFonts w:eastAsia="Calibri"/>
          <w:szCs w:val="20"/>
        </w:rPr>
        <w:t>ramach projektu realizującego przedsięwzięcie pozakonkursowe</w:t>
      </w:r>
      <w:r w:rsidR="00E66B89">
        <w:rPr>
          <w:rFonts w:eastAsia="Calibri"/>
          <w:szCs w:val="20"/>
        </w:rPr>
        <w:t xml:space="preserve"> w </w:t>
      </w:r>
      <w:r w:rsidRPr="00801DB4">
        <w:rPr>
          <w:rFonts w:eastAsia="Calibri"/>
          <w:szCs w:val="20"/>
        </w:rPr>
        <w:t>ramach RPO WZ.</w:t>
      </w:r>
      <w:r w:rsidR="00E66B89">
        <w:rPr>
          <w:rFonts w:eastAsia="Calibri"/>
          <w:szCs w:val="20"/>
        </w:rPr>
        <w:t xml:space="preserve"> Z </w:t>
      </w:r>
      <w:r w:rsidRPr="00801DB4">
        <w:rPr>
          <w:rFonts w:eastAsia="Calibri"/>
          <w:szCs w:val="20"/>
        </w:rPr>
        <w:t>drugiej zaś strony, skuteczność interwencji</w:t>
      </w:r>
      <w:r w:rsidR="00E66B89">
        <w:rPr>
          <w:rFonts w:eastAsia="Calibri"/>
          <w:szCs w:val="20"/>
        </w:rPr>
        <w:t xml:space="preserve"> w </w:t>
      </w:r>
      <w:r w:rsidRPr="00801DB4">
        <w:rPr>
          <w:rFonts w:eastAsia="Calibri"/>
          <w:szCs w:val="20"/>
        </w:rPr>
        <w:t>e-zdrowiu wzmacniana jest poprzez wymagania dotyczące informatyzacji podmiotów leczniczych zawarte</w:t>
      </w:r>
      <w:r w:rsidR="00E66B89">
        <w:rPr>
          <w:rFonts w:eastAsia="Calibri"/>
          <w:szCs w:val="20"/>
        </w:rPr>
        <w:t xml:space="preserve"> w </w:t>
      </w:r>
      <w:r w:rsidRPr="00801DB4">
        <w:rPr>
          <w:rFonts w:eastAsia="Calibri"/>
          <w:szCs w:val="20"/>
        </w:rPr>
        <w:t>Ustawie</w:t>
      </w:r>
      <w:r w:rsidR="00E66B89">
        <w:rPr>
          <w:rFonts w:eastAsia="Calibri"/>
          <w:szCs w:val="20"/>
        </w:rPr>
        <w:t xml:space="preserve"> z </w:t>
      </w:r>
      <w:r w:rsidRPr="00801DB4">
        <w:rPr>
          <w:rFonts w:eastAsia="Calibri"/>
          <w:szCs w:val="20"/>
        </w:rPr>
        <w:t>dnia 28 kwietnia 2011 r.</w:t>
      </w:r>
      <w:r w:rsidR="00E66B89">
        <w:rPr>
          <w:rFonts w:eastAsia="Calibri"/>
          <w:szCs w:val="20"/>
        </w:rPr>
        <w:t xml:space="preserve"> o </w:t>
      </w:r>
      <w:r w:rsidRPr="00801DB4">
        <w:rPr>
          <w:rFonts w:eastAsia="Calibri"/>
          <w:szCs w:val="20"/>
        </w:rPr>
        <w:t>systemie informacji</w:t>
      </w:r>
      <w:r w:rsidR="00E66B89">
        <w:rPr>
          <w:rFonts w:eastAsia="Calibri"/>
          <w:szCs w:val="20"/>
        </w:rPr>
        <w:t xml:space="preserve"> w </w:t>
      </w:r>
      <w:r w:rsidRPr="00801DB4">
        <w:rPr>
          <w:rFonts w:eastAsia="Calibri"/>
          <w:szCs w:val="20"/>
        </w:rPr>
        <w:t>ochronie zdrowia (Dz. U. Nr 113, poz. 657</w:t>
      </w:r>
      <w:r w:rsidR="00E66B89">
        <w:rPr>
          <w:rFonts w:eastAsia="Calibri"/>
          <w:szCs w:val="20"/>
        </w:rPr>
        <w:t xml:space="preserve"> z </w:t>
      </w:r>
      <w:r w:rsidRPr="00801DB4">
        <w:rPr>
          <w:rFonts w:eastAsia="Calibri"/>
          <w:szCs w:val="20"/>
        </w:rPr>
        <w:t>późn. zm.). Zgodnie</w:t>
      </w:r>
      <w:r w:rsidR="00E66B89">
        <w:rPr>
          <w:rFonts w:eastAsia="Calibri"/>
          <w:szCs w:val="20"/>
        </w:rPr>
        <w:t xml:space="preserve"> z </w:t>
      </w:r>
      <w:r w:rsidRPr="00801DB4">
        <w:rPr>
          <w:rFonts w:eastAsia="Calibri"/>
          <w:szCs w:val="20"/>
        </w:rPr>
        <w:t>tą ustawą,</w:t>
      </w:r>
      <w:r w:rsidR="00E66B89">
        <w:rPr>
          <w:rFonts w:eastAsia="Calibri"/>
          <w:szCs w:val="20"/>
        </w:rPr>
        <w:t xml:space="preserve"> w </w:t>
      </w:r>
      <w:r w:rsidRPr="00801DB4">
        <w:rPr>
          <w:rFonts w:eastAsia="Calibri"/>
          <w:szCs w:val="20"/>
        </w:rPr>
        <w:t>2023 r. wszystkie podmioty lecznicze S</w:t>
      </w:r>
      <w:r>
        <w:rPr>
          <w:rFonts w:eastAsia="Calibri"/>
          <w:szCs w:val="20"/>
        </w:rPr>
        <w:t xml:space="preserve">amorządu </w:t>
      </w:r>
      <w:r w:rsidRPr="00801DB4">
        <w:rPr>
          <w:rFonts w:eastAsia="Calibri"/>
          <w:szCs w:val="20"/>
        </w:rPr>
        <w:t>W</w:t>
      </w:r>
      <w:r>
        <w:rPr>
          <w:rFonts w:eastAsia="Calibri"/>
          <w:szCs w:val="20"/>
        </w:rPr>
        <w:t>ojewództwa</w:t>
      </w:r>
      <w:r w:rsidRPr="00801DB4">
        <w:rPr>
          <w:rFonts w:eastAsia="Calibri"/>
          <w:szCs w:val="20"/>
        </w:rPr>
        <w:t xml:space="preserve"> powinny posiadać systemy informatyczne (HIS/RIS/PACS) przygotowane do pełnej integracji</w:t>
      </w:r>
      <w:r w:rsidR="00E66B89">
        <w:rPr>
          <w:rFonts w:eastAsia="Calibri"/>
          <w:szCs w:val="20"/>
        </w:rPr>
        <w:t xml:space="preserve"> z </w:t>
      </w:r>
      <w:r w:rsidRPr="00801DB4">
        <w:rPr>
          <w:rFonts w:eastAsia="Calibri"/>
          <w:szCs w:val="20"/>
        </w:rPr>
        <w:t>systemami krajowymi tj. platformą P1</w:t>
      </w:r>
      <w:r w:rsidR="00E66B89">
        <w:rPr>
          <w:rFonts w:eastAsia="Calibri"/>
          <w:szCs w:val="20"/>
        </w:rPr>
        <w:t xml:space="preserve"> i </w:t>
      </w:r>
      <w:r w:rsidRPr="00801DB4">
        <w:rPr>
          <w:rFonts w:eastAsia="Calibri"/>
          <w:szCs w:val="20"/>
        </w:rPr>
        <w:t>P2.</w:t>
      </w:r>
    </w:p>
    <w:p w14:paraId="13FE032A" w14:textId="77777777" w:rsidR="00116CFB" w:rsidRPr="00801DB4" w:rsidRDefault="00116CFB" w:rsidP="00116CFB">
      <w:pPr>
        <w:rPr>
          <w:szCs w:val="20"/>
        </w:rPr>
      </w:pPr>
      <w:r w:rsidRPr="00404DA5">
        <w:rPr>
          <w:rFonts w:cs="Calibri"/>
          <w:szCs w:val="20"/>
        </w:rPr>
        <w:t xml:space="preserve">Autorzy metodologii szacowania wartości docelowej wskaźnika </w:t>
      </w:r>
      <w:r w:rsidRPr="00801DB4">
        <w:rPr>
          <w:i/>
          <w:szCs w:val="20"/>
        </w:rPr>
        <w:t xml:space="preserve">Liczba instytucji publicznych, które usprawniły funkcjonowanie dzięki awansowi cyfrowemu </w:t>
      </w:r>
      <w:r w:rsidRPr="00801DB4">
        <w:rPr>
          <w:szCs w:val="20"/>
        </w:rPr>
        <w:t>wskazywali, że głównym ryzykiem dla nieosiągnięcia wartości docelowej będzie nadmierne rozproszenie projektów – tj. realizowanie projektów obejmujących niewielką liczbę podmiotów.</w:t>
      </w:r>
      <w:r w:rsidR="00E66B89">
        <w:rPr>
          <w:szCs w:val="20"/>
        </w:rPr>
        <w:t xml:space="preserve"> W </w:t>
      </w:r>
      <w:r w:rsidRPr="00801DB4">
        <w:rPr>
          <w:szCs w:val="20"/>
        </w:rPr>
        <w:t>chwili obecnej widać, że ryzyko to nie wystąpiło,</w:t>
      </w:r>
      <w:r w:rsidR="00E66B89">
        <w:rPr>
          <w:szCs w:val="20"/>
        </w:rPr>
        <w:t xml:space="preserve"> a </w:t>
      </w:r>
      <w:r w:rsidRPr="00801DB4">
        <w:rPr>
          <w:szCs w:val="20"/>
        </w:rPr>
        <w:t>mimo to szacowany poziom realizacji</w:t>
      </w:r>
      <w:r>
        <w:rPr>
          <w:szCs w:val="20"/>
        </w:rPr>
        <w:t xml:space="preserve"> wartości docelowej</w:t>
      </w:r>
      <w:r w:rsidRPr="00801DB4">
        <w:rPr>
          <w:szCs w:val="20"/>
        </w:rPr>
        <w:t xml:space="preserve"> wskaźnika jest dość niski. Autorzy metodologii co prawda nie wskazali wyliczonego wówczas kosztu jednostkowego wskaźnika, jednakże analiza ich założeń (kwota dostępnej alokacji oraz oszacowana</w:t>
      </w:r>
      <w:r w:rsidR="00E66B89">
        <w:rPr>
          <w:szCs w:val="20"/>
        </w:rPr>
        <w:t xml:space="preserve"> w </w:t>
      </w:r>
      <w:r w:rsidRPr="00801DB4">
        <w:rPr>
          <w:szCs w:val="20"/>
        </w:rPr>
        <w:t xml:space="preserve">efekcie wartość docelowa) pozwala zakładać, że </w:t>
      </w:r>
      <w:r>
        <w:rPr>
          <w:szCs w:val="20"/>
        </w:rPr>
        <w:t xml:space="preserve">szacowany </w:t>
      </w:r>
      <w:r w:rsidRPr="00801DB4">
        <w:rPr>
          <w:szCs w:val="20"/>
        </w:rPr>
        <w:t>koszt był niższy</w:t>
      </w:r>
      <w:r>
        <w:rPr>
          <w:szCs w:val="20"/>
        </w:rPr>
        <w:t>,</w:t>
      </w:r>
      <w:r w:rsidRPr="00801DB4">
        <w:rPr>
          <w:szCs w:val="20"/>
        </w:rPr>
        <w:t xml:space="preserve"> niż koszt osiągnięty</w:t>
      </w:r>
      <w:r w:rsidR="00E66B89">
        <w:rPr>
          <w:szCs w:val="20"/>
        </w:rPr>
        <w:t xml:space="preserve"> w </w:t>
      </w:r>
      <w:r w:rsidRPr="00801DB4">
        <w:rPr>
          <w:szCs w:val="20"/>
        </w:rPr>
        <w:t>ramach realizowanych projektów. Wyższy, niż zakładano koszt jednostkowy może wynikać</w:t>
      </w:r>
      <w:r w:rsidR="00E66B89">
        <w:rPr>
          <w:szCs w:val="20"/>
        </w:rPr>
        <w:t xml:space="preserve"> w </w:t>
      </w:r>
      <w:r w:rsidRPr="00801DB4">
        <w:rPr>
          <w:szCs w:val="20"/>
        </w:rPr>
        <w:t>dużej mierze</w:t>
      </w:r>
      <w:r w:rsidR="00E66B89">
        <w:rPr>
          <w:szCs w:val="20"/>
        </w:rPr>
        <w:t xml:space="preserve"> z </w:t>
      </w:r>
      <w:r w:rsidRPr="00801DB4">
        <w:rPr>
          <w:szCs w:val="20"/>
        </w:rPr>
        <w:t xml:space="preserve">uwarunkowań rynkowych – wzrostu wynagrodzeń oraz cen sprzętu IT. </w:t>
      </w:r>
    </w:p>
    <w:p w14:paraId="12CC1A9B" w14:textId="77777777" w:rsidR="00116CFB" w:rsidRPr="00A94A90" w:rsidRDefault="00116CFB" w:rsidP="00116CFB">
      <w:pPr>
        <w:rPr>
          <w:szCs w:val="20"/>
        </w:rPr>
      </w:pPr>
      <w:r w:rsidRPr="00801DB4">
        <w:rPr>
          <w:szCs w:val="20"/>
        </w:rPr>
        <w:t>Podobna sytuacja występuje</w:t>
      </w:r>
      <w:r w:rsidR="00E66B89">
        <w:rPr>
          <w:szCs w:val="20"/>
        </w:rPr>
        <w:t xml:space="preserve"> w </w:t>
      </w:r>
      <w:r w:rsidRPr="00801DB4">
        <w:rPr>
          <w:szCs w:val="20"/>
        </w:rPr>
        <w:t>przypadku wskaźników dotyczących udostępnionych e-usług. Autorzy metodologii nie wskazali wyliczonego kosztu jednostkowego wskaźników. Zastrzegli jednak, że wartości docelowe wskaźników zostały oszacowane na podstawie projektów realizowanych</w:t>
      </w:r>
      <w:r w:rsidR="00E66B89">
        <w:rPr>
          <w:szCs w:val="20"/>
        </w:rPr>
        <w:t xml:space="preserve"> w </w:t>
      </w:r>
      <w:r w:rsidRPr="00801DB4">
        <w:rPr>
          <w:szCs w:val="20"/>
        </w:rPr>
        <w:t>ramach wszystkich regionalnych programów operacyjnych. Powodowało to ryzyko, że</w:t>
      </w:r>
      <w:r w:rsidR="00E66B89">
        <w:rPr>
          <w:szCs w:val="20"/>
        </w:rPr>
        <w:t xml:space="preserve"> w </w:t>
      </w:r>
      <w:r w:rsidRPr="00801DB4">
        <w:rPr>
          <w:szCs w:val="20"/>
        </w:rPr>
        <w:t>przypadku projektów realizowanych</w:t>
      </w:r>
      <w:r w:rsidR="00E66B89">
        <w:rPr>
          <w:szCs w:val="20"/>
        </w:rPr>
        <w:t xml:space="preserve"> w </w:t>
      </w:r>
      <w:r w:rsidRPr="00801DB4">
        <w:rPr>
          <w:szCs w:val="20"/>
        </w:rPr>
        <w:t>województwie zachodniopomorskim udostępnianie e- usług</w:t>
      </w:r>
      <w:r w:rsidR="00E66B89">
        <w:rPr>
          <w:szCs w:val="20"/>
        </w:rPr>
        <w:t xml:space="preserve"> o </w:t>
      </w:r>
      <w:r w:rsidRPr="00801DB4">
        <w:rPr>
          <w:szCs w:val="20"/>
        </w:rPr>
        <w:t>stopniu dojrzałości 3</w:t>
      </w:r>
      <w:r w:rsidR="00E66B89">
        <w:rPr>
          <w:szCs w:val="20"/>
        </w:rPr>
        <w:t xml:space="preserve"> i </w:t>
      </w:r>
      <w:r w:rsidRPr="00801DB4">
        <w:rPr>
          <w:szCs w:val="20"/>
        </w:rPr>
        <w:t>4 będzie wiązało się</w:t>
      </w:r>
      <w:r w:rsidR="00E66B89">
        <w:rPr>
          <w:szCs w:val="20"/>
        </w:rPr>
        <w:t xml:space="preserve"> z </w:t>
      </w:r>
      <w:r w:rsidRPr="00801DB4">
        <w:rPr>
          <w:szCs w:val="20"/>
        </w:rPr>
        <w:t>wyższymi/niższymi kosztami niż</w:t>
      </w:r>
      <w:r w:rsidR="00E66B89">
        <w:rPr>
          <w:szCs w:val="20"/>
        </w:rPr>
        <w:t xml:space="preserve"> w </w:t>
      </w:r>
      <w:r w:rsidRPr="00801DB4">
        <w:rPr>
          <w:szCs w:val="20"/>
        </w:rPr>
        <w:t>pozostałych regionach,</w:t>
      </w:r>
      <w:r w:rsidR="00E66B89">
        <w:rPr>
          <w:szCs w:val="20"/>
        </w:rPr>
        <w:t xml:space="preserve"> a </w:t>
      </w:r>
      <w:r w:rsidRPr="00801DB4">
        <w:rPr>
          <w:szCs w:val="20"/>
        </w:rPr>
        <w:t xml:space="preserve">zatem alokacja przeznaczona na PI umożliwi </w:t>
      </w:r>
      <w:r>
        <w:rPr>
          <w:szCs w:val="20"/>
        </w:rPr>
        <w:t>osiągnięcie</w:t>
      </w:r>
      <w:r w:rsidRPr="00801DB4">
        <w:rPr>
          <w:szCs w:val="20"/>
        </w:rPr>
        <w:t xml:space="preserve"> mniejszej/większej liczby e-usług. Zważywszy na poziom kontraktacji alokacji oraz wskaźników, wydaje się, że rzeczywiste koszty uruchomienia 1 e-usługi są</w:t>
      </w:r>
      <w:r>
        <w:rPr>
          <w:szCs w:val="20"/>
        </w:rPr>
        <w:t xml:space="preserve"> -</w:t>
      </w:r>
      <w:r w:rsidR="00E66B89">
        <w:rPr>
          <w:szCs w:val="20"/>
        </w:rPr>
        <w:t xml:space="preserve"> i w </w:t>
      </w:r>
      <w:r>
        <w:rPr>
          <w:szCs w:val="20"/>
        </w:rPr>
        <w:t>tym przypadku -</w:t>
      </w:r>
      <w:r w:rsidRPr="00801DB4">
        <w:rPr>
          <w:szCs w:val="20"/>
        </w:rPr>
        <w:t xml:space="preserve"> znacznie wyższe niż zak</w:t>
      </w:r>
      <w:r>
        <w:rPr>
          <w:szCs w:val="20"/>
        </w:rPr>
        <w:t>ładano na etapie programowania. Wyższe koszty jednostkowe wskaźników świadczyć mogą również</w:t>
      </w:r>
      <w:r w:rsidR="00E66B89">
        <w:rPr>
          <w:szCs w:val="20"/>
        </w:rPr>
        <w:t xml:space="preserve"> o </w:t>
      </w:r>
      <w:r>
        <w:rPr>
          <w:szCs w:val="20"/>
        </w:rPr>
        <w:t xml:space="preserve">tym, że efektywność interwencji jest niższa, niż pierwotnie </w:t>
      </w:r>
      <w:r>
        <w:rPr>
          <w:szCs w:val="20"/>
        </w:rPr>
        <w:lastRenderedPageBreak/>
        <w:t>zakładano. Ostateczną ocenę</w:t>
      </w:r>
      <w:r w:rsidR="00E66B89">
        <w:rPr>
          <w:szCs w:val="20"/>
        </w:rPr>
        <w:t xml:space="preserve"> w </w:t>
      </w:r>
      <w:r>
        <w:rPr>
          <w:szCs w:val="20"/>
        </w:rPr>
        <w:t>tym zakresie można by jednak przeprowadzić po wydatkowaniu całej alokacji (wtedy będą znane ostateczne wartości wskaźników założone</w:t>
      </w:r>
      <w:r w:rsidR="00E66B89">
        <w:rPr>
          <w:szCs w:val="20"/>
        </w:rPr>
        <w:t xml:space="preserve"> w </w:t>
      </w:r>
      <w:r>
        <w:rPr>
          <w:szCs w:val="20"/>
        </w:rPr>
        <w:t>projektach).</w:t>
      </w:r>
    </w:p>
    <w:p w14:paraId="3B257690" w14:textId="77777777" w:rsidR="00116CFB" w:rsidRPr="00801DB4" w:rsidRDefault="00116CFB" w:rsidP="00024F00">
      <w:pPr>
        <w:pStyle w:val="Legenda"/>
        <w:spacing w:after="0"/>
      </w:pPr>
      <w:bookmarkStart w:id="356" w:name="_Toc8824267"/>
      <w:r w:rsidRPr="00801DB4">
        <w:t xml:space="preserve">Tabela </w:t>
      </w:r>
      <w:r>
        <w:fldChar w:fldCharType="begin"/>
      </w:r>
      <w:r>
        <w:instrText xml:space="preserve"> SEQ Tabela \* ARABIC </w:instrText>
      </w:r>
      <w:r>
        <w:fldChar w:fldCharType="separate"/>
      </w:r>
      <w:r w:rsidR="00763345">
        <w:rPr>
          <w:noProof/>
        </w:rPr>
        <w:t>156</w:t>
      </w:r>
      <w:r>
        <w:fldChar w:fldCharType="end"/>
      </w:r>
      <w:r w:rsidRPr="00801DB4">
        <w:t xml:space="preserve"> Wskaźniki produktu (PI 2c) – postęp rzeczowy</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12"/>
        <w:gridCol w:w="1428"/>
        <w:gridCol w:w="838"/>
        <w:gridCol w:w="943"/>
        <w:gridCol w:w="988"/>
        <w:gridCol w:w="989"/>
        <w:gridCol w:w="988"/>
        <w:gridCol w:w="989"/>
      </w:tblGrid>
      <w:tr w:rsidR="00116CFB" w:rsidRPr="00B2711F" w14:paraId="7C9B540C" w14:textId="77777777" w:rsidTr="00C22C26">
        <w:trPr>
          <w:tblHeader/>
        </w:trPr>
        <w:tc>
          <w:tcPr>
            <w:tcW w:w="0" w:type="auto"/>
            <w:shd w:val="clear" w:color="auto" w:fill="DBE5F1"/>
          </w:tcPr>
          <w:p w14:paraId="27424C61" w14:textId="77777777" w:rsidR="00116CFB" w:rsidRPr="00404DA5" w:rsidRDefault="00116CFB" w:rsidP="004742DC">
            <w:pPr>
              <w:jc w:val="center"/>
              <w:rPr>
                <w:rFonts w:cs="Calibri"/>
                <w:sz w:val="18"/>
                <w:szCs w:val="20"/>
              </w:rPr>
            </w:pPr>
            <w:r w:rsidRPr="00404DA5">
              <w:rPr>
                <w:rFonts w:cs="Calibri"/>
                <w:sz w:val="18"/>
                <w:szCs w:val="20"/>
              </w:rPr>
              <w:t>Typ wskaźnika</w:t>
            </w:r>
          </w:p>
        </w:tc>
        <w:tc>
          <w:tcPr>
            <w:tcW w:w="0" w:type="auto"/>
            <w:shd w:val="clear" w:color="auto" w:fill="DBE5F1"/>
          </w:tcPr>
          <w:p w14:paraId="3578E574" w14:textId="77777777" w:rsidR="00116CFB" w:rsidRPr="00404DA5" w:rsidRDefault="00116CFB" w:rsidP="004742DC">
            <w:pPr>
              <w:jc w:val="center"/>
              <w:rPr>
                <w:rFonts w:cs="Calibri"/>
                <w:sz w:val="18"/>
                <w:szCs w:val="20"/>
              </w:rPr>
            </w:pPr>
            <w:r w:rsidRPr="00404DA5">
              <w:rPr>
                <w:rFonts w:cs="Calibri"/>
                <w:sz w:val="18"/>
                <w:szCs w:val="20"/>
              </w:rPr>
              <w:t>Działania</w:t>
            </w:r>
          </w:p>
        </w:tc>
        <w:tc>
          <w:tcPr>
            <w:tcW w:w="0" w:type="auto"/>
            <w:shd w:val="clear" w:color="auto" w:fill="DBE5F1"/>
          </w:tcPr>
          <w:p w14:paraId="7A07602A" w14:textId="77777777" w:rsidR="00116CFB" w:rsidRPr="00404DA5" w:rsidRDefault="00116CFB" w:rsidP="004742DC">
            <w:pPr>
              <w:jc w:val="center"/>
              <w:rPr>
                <w:rFonts w:cs="Calibri"/>
                <w:sz w:val="18"/>
                <w:szCs w:val="20"/>
              </w:rPr>
            </w:pPr>
            <w:r w:rsidRPr="00404DA5">
              <w:rPr>
                <w:rFonts w:cs="Calibri"/>
                <w:sz w:val="18"/>
                <w:szCs w:val="20"/>
              </w:rPr>
              <w:t>Wskaźnik</w:t>
            </w:r>
          </w:p>
        </w:tc>
        <w:tc>
          <w:tcPr>
            <w:tcW w:w="0" w:type="auto"/>
            <w:shd w:val="clear" w:color="auto" w:fill="DBE5F1"/>
          </w:tcPr>
          <w:p w14:paraId="080120F9" w14:textId="77777777" w:rsidR="00116CFB" w:rsidRPr="00404DA5" w:rsidRDefault="00116CFB" w:rsidP="004742DC">
            <w:pPr>
              <w:jc w:val="center"/>
              <w:rPr>
                <w:rFonts w:cs="Calibri"/>
                <w:sz w:val="18"/>
                <w:szCs w:val="20"/>
              </w:rPr>
            </w:pPr>
            <w:r w:rsidRPr="00404DA5">
              <w:rPr>
                <w:rFonts w:cs="Calibri"/>
                <w:sz w:val="18"/>
                <w:szCs w:val="20"/>
              </w:rPr>
              <w:t>Jedn. pomiaru</w:t>
            </w:r>
          </w:p>
        </w:tc>
        <w:tc>
          <w:tcPr>
            <w:tcW w:w="0" w:type="auto"/>
            <w:shd w:val="clear" w:color="auto" w:fill="DBE5F1"/>
          </w:tcPr>
          <w:p w14:paraId="2E5AB1B9" w14:textId="77777777" w:rsidR="00116CFB" w:rsidRPr="00404DA5" w:rsidRDefault="00116CFB" w:rsidP="004742DC">
            <w:pPr>
              <w:jc w:val="center"/>
              <w:rPr>
                <w:rFonts w:cs="Calibri"/>
                <w:sz w:val="18"/>
                <w:szCs w:val="20"/>
              </w:rPr>
            </w:pPr>
            <w:r w:rsidRPr="00404DA5">
              <w:rPr>
                <w:rFonts w:cs="Calibri"/>
                <w:sz w:val="18"/>
                <w:szCs w:val="20"/>
              </w:rPr>
              <w:t>Wartość docelowa (2023)</w:t>
            </w:r>
          </w:p>
        </w:tc>
        <w:tc>
          <w:tcPr>
            <w:tcW w:w="0" w:type="auto"/>
            <w:shd w:val="clear" w:color="auto" w:fill="DBE5F1"/>
          </w:tcPr>
          <w:p w14:paraId="6860C1B3" w14:textId="77777777" w:rsidR="00116CFB" w:rsidRPr="00404DA5" w:rsidRDefault="00116CFB" w:rsidP="004742DC">
            <w:pPr>
              <w:jc w:val="center"/>
              <w:rPr>
                <w:rFonts w:cs="Calibri"/>
                <w:sz w:val="18"/>
                <w:szCs w:val="20"/>
              </w:rPr>
            </w:pPr>
            <w:r w:rsidRPr="00404DA5">
              <w:rPr>
                <w:rFonts w:cs="Calibri"/>
                <w:sz w:val="18"/>
                <w:szCs w:val="20"/>
              </w:rPr>
              <w:t>Realizacja wskaźnika (wg UoD)</w:t>
            </w:r>
          </w:p>
        </w:tc>
        <w:tc>
          <w:tcPr>
            <w:tcW w:w="0" w:type="auto"/>
            <w:shd w:val="clear" w:color="auto" w:fill="DBE5F1"/>
          </w:tcPr>
          <w:p w14:paraId="62F3D268" w14:textId="77777777" w:rsidR="00116CFB" w:rsidRPr="00404DA5" w:rsidRDefault="00116CFB" w:rsidP="004742DC">
            <w:pPr>
              <w:jc w:val="center"/>
              <w:rPr>
                <w:rFonts w:cs="Calibri"/>
                <w:sz w:val="18"/>
                <w:szCs w:val="20"/>
              </w:rPr>
            </w:pPr>
            <w:r w:rsidRPr="00404DA5">
              <w:rPr>
                <w:rFonts w:cs="Calibri"/>
                <w:sz w:val="18"/>
                <w:szCs w:val="20"/>
              </w:rPr>
              <w:t>% realizacji wartości docelowej (wg UoD)</w:t>
            </w:r>
          </w:p>
        </w:tc>
        <w:tc>
          <w:tcPr>
            <w:tcW w:w="0" w:type="auto"/>
            <w:shd w:val="clear" w:color="auto" w:fill="DBE5F1"/>
          </w:tcPr>
          <w:p w14:paraId="3EDBCC94" w14:textId="77777777" w:rsidR="00116CFB" w:rsidRPr="00404DA5" w:rsidRDefault="00116CFB" w:rsidP="004742DC">
            <w:pPr>
              <w:jc w:val="center"/>
              <w:rPr>
                <w:rFonts w:cs="Calibri"/>
                <w:sz w:val="18"/>
                <w:szCs w:val="20"/>
              </w:rPr>
            </w:pPr>
            <w:r w:rsidRPr="00404DA5">
              <w:rPr>
                <w:rFonts w:cs="Calibri"/>
                <w:sz w:val="18"/>
                <w:szCs w:val="20"/>
              </w:rPr>
              <w:t>Realizacja wskaźnika (wg WoP)</w:t>
            </w:r>
          </w:p>
        </w:tc>
        <w:tc>
          <w:tcPr>
            <w:tcW w:w="0" w:type="auto"/>
            <w:shd w:val="clear" w:color="auto" w:fill="DBE5F1"/>
          </w:tcPr>
          <w:p w14:paraId="114419B8" w14:textId="77777777" w:rsidR="00116CFB" w:rsidRPr="00404DA5" w:rsidRDefault="00116CFB" w:rsidP="004742DC">
            <w:pPr>
              <w:jc w:val="center"/>
              <w:rPr>
                <w:rFonts w:cs="Calibri"/>
                <w:sz w:val="18"/>
                <w:szCs w:val="20"/>
              </w:rPr>
            </w:pPr>
            <w:r w:rsidRPr="00404DA5">
              <w:rPr>
                <w:rFonts w:cs="Calibri"/>
                <w:sz w:val="18"/>
                <w:szCs w:val="20"/>
              </w:rPr>
              <w:t>% realizacji wartości docelowej (wg WoP)</w:t>
            </w:r>
          </w:p>
        </w:tc>
      </w:tr>
      <w:tr w:rsidR="00116CFB" w:rsidRPr="00B2711F" w14:paraId="077D69A3" w14:textId="77777777" w:rsidTr="004742DC">
        <w:tc>
          <w:tcPr>
            <w:tcW w:w="0" w:type="auto"/>
            <w:shd w:val="clear" w:color="auto" w:fill="auto"/>
            <w:vAlign w:val="center"/>
          </w:tcPr>
          <w:p w14:paraId="6DF45701" w14:textId="77777777" w:rsidR="00116CFB" w:rsidRPr="00404DA5" w:rsidRDefault="00116CFB" w:rsidP="004742DC">
            <w:pPr>
              <w:jc w:val="center"/>
              <w:rPr>
                <w:rFonts w:cs="Calibri"/>
                <w:sz w:val="18"/>
                <w:szCs w:val="20"/>
              </w:rPr>
            </w:pPr>
            <w:r w:rsidRPr="00404DA5">
              <w:rPr>
                <w:rFonts w:cs="Calibri"/>
                <w:sz w:val="18"/>
                <w:szCs w:val="20"/>
              </w:rPr>
              <w:t>WP</w:t>
            </w:r>
          </w:p>
        </w:tc>
        <w:tc>
          <w:tcPr>
            <w:tcW w:w="0" w:type="auto"/>
            <w:shd w:val="clear" w:color="auto" w:fill="auto"/>
            <w:vAlign w:val="center"/>
          </w:tcPr>
          <w:p w14:paraId="51BAAAF0" w14:textId="77777777" w:rsidR="00116CFB" w:rsidRPr="00404DA5" w:rsidRDefault="00116CFB" w:rsidP="004742DC">
            <w:pPr>
              <w:jc w:val="center"/>
              <w:rPr>
                <w:rFonts w:cs="Calibri"/>
                <w:b/>
                <w:sz w:val="18"/>
                <w:szCs w:val="20"/>
              </w:rPr>
            </w:pPr>
            <w:r w:rsidRPr="00404DA5">
              <w:rPr>
                <w:rFonts w:cs="Calibri"/>
                <w:color w:val="000000"/>
                <w:sz w:val="18"/>
                <w:szCs w:val="20"/>
              </w:rPr>
              <w:t>9.10</w:t>
            </w:r>
          </w:p>
        </w:tc>
        <w:tc>
          <w:tcPr>
            <w:tcW w:w="0" w:type="auto"/>
            <w:shd w:val="clear" w:color="auto" w:fill="auto"/>
            <w:vAlign w:val="center"/>
          </w:tcPr>
          <w:p w14:paraId="013C907C" w14:textId="77777777" w:rsidR="00116CFB" w:rsidRPr="00404DA5" w:rsidRDefault="00116CFB" w:rsidP="004742DC">
            <w:pPr>
              <w:jc w:val="center"/>
              <w:rPr>
                <w:rFonts w:cs="Calibri"/>
                <w:b/>
                <w:sz w:val="18"/>
                <w:szCs w:val="20"/>
              </w:rPr>
            </w:pPr>
            <w:r w:rsidRPr="00404DA5">
              <w:rPr>
                <w:rFonts w:cs="Calibri"/>
                <w:color w:val="000000"/>
                <w:sz w:val="18"/>
                <w:szCs w:val="20"/>
              </w:rPr>
              <w:t>Liczba instytucji publicznych, które usprawniły funkcjonowanie dzięki awansowi cyfrowemu</w:t>
            </w:r>
          </w:p>
        </w:tc>
        <w:tc>
          <w:tcPr>
            <w:tcW w:w="0" w:type="auto"/>
            <w:shd w:val="clear" w:color="auto" w:fill="auto"/>
            <w:vAlign w:val="center"/>
          </w:tcPr>
          <w:p w14:paraId="0B7F899E" w14:textId="77777777" w:rsidR="00116CFB" w:rsidRPr="00404DA5" w:rsidRDefault="00116CFB" w:rsidP="004742DC">
            <w:pPr>
              <w:jc w:val="center"/>
              <w:rPr>
                <w:rFonts w:cs="Calibri"/>
                <w:b/>
                <w:sz w:val="18"/>
                <w:szCs w:val="20"/>
              </w:rPr>
            </w:pPr>
            <w:r w:rsidRPr="00404DA5">
              <w:rPr>
                <w:rFonts w:cs="Calibri"/>
                <w:color w:val="000000"/>
                <w:sz w:val="18"/>
                <w:szCs w:val="20"/>
              </w:rPr>
              <w:t>szt.</w:t>
            </w:r>
          </w:p>
        </w:tc>
        <w:tc>
          <w:tcPr>
            <w:tcW w:w="0" w:type="auto"/>
            <w:shd w:val="clear" w:color="auto" w:fill="auto"/>
            <w:vAlign w:val="center"/>
          </w:tcPr>
          <w:p w14:paraId="36CF1817" w14:textId="77777777" w:rsidR="00116CFB" w:rsidRPr="00404DA5" w:rsidRDefault="00116CFB" w:rsidP="004742DC">
            <w:pPr>
              <w:jc w:val="center"/>
              <w:rPr>
                <w:rFonts w:cs="Calibri"/>
                <w:b/>
                <w:sz w:val="18"/>
                <w:szCs w:val="20"/>
              </w:rPr>
            </w:pPr>
            <w:r w:rsidRPr="00404DA5">
              <w:rPr>
                <w:rFonts w:cs="Calibri"/>
                <w:color w:val="000000"/>
                <w:sz w:val="18"/>
                <w:szCs w:val="20"/>
              </w:rPr>
              <w:t>79</w:t>
            </w:r>
          </w:p>
        </w:tc>
        <w:tc>
          <w:tcPr>
            <w:tcW w:w="0" w:type="auto"/>
            <w:shd w:val="clear" w:color="auto" w:fill="auto"/>
            <w:vAlign w:val="center"/>
          </w:tcPr>
          <w:p w14:paraId="41DBF758" w14:textId="77777777" w:rsidR="00116CFB" w:rsidRPr="00404DA5" w:rsidRDefault="00116CFB" w:rsidP="004742DC">
            <w:pPr>
              <w:jc w:val="center"/>
              <w:rPr>
                <w:rFonts w:cs="Calibri"/>
                <w:b/>
                <w:sz w:val="18"/>
                <w:szCs w:val="20"/>
              </w:rPr>
            </w:pPr>
            <w:r w:rsidRPr="00404DA5">
              <w:rPr>
                <w:rFonts w:cs="Calibri"/>
                <w:color w:val="000000"/>
                <w:sz w:val="18"/>
                <w:szCs w:val="20"/>
              </w:rPr>
              <w:t>33,00</w:t>
            </w:r>
          </w:p>
        </w:tc>
        <w:tc>
          <w:tcPr>
            <w:tcW w:w="0" w:type="auto"/>
            <w:shd w:val="clear" w:color="auto" w:fill="auto"/>
            <w:vAlign w:val="center"/>
          </w:tcPr>
          <w:p w14:paraId="2EACC9FB" w14:textId="77777777" w:rsidR="00116CFB" w:rsidRPr="00404DA5" w:rsidRDefault="00116CFB" w:rsidP="004742DC">
            <w:pPr>
              <w:jc w:val="center"/>
              <w:rPr>
                <w:rFonts w:cs="Calibri"/>
                <w:b/>
                <w:sz w:val="18"/>
                <w:szCs w:val="20"/>
              </w:rPr>
            </w:pPr>
            <w:r w:rsidRPr="00404DA5">
              <w:rPr>
                <w:rFonts w:cs="Calibri"/>
                <w:sz w:val="18"/>
                <w:szCs w:val="20"/>
              </w:rPr>
              <w:t>41,8%</w:t>
            </w:r>
          </w:p>
        </w:tc>
        <w:tc>
          <w:tcPr>
            <w:tcW w:w="0" w:type="auto"/>
            <w:shd w:val="clear" w:color="auto" w:fill="auto"/>
            <w:vAlign w:val="center"/>
          </w:tcPr>
          <w:p w14:paraId="35CD61F3" w14:textId="77777777" w:rsidR="00116CFB" w:rsidRPr="00404DA5" w:rsidRDefault="00116CFB" w:rsidP="004742DC">
            <w:pPr>
              <w:jc w:val="center"/>
              <w:rPr>
                <w:rFonts w:cs="Calibri"/>
                <w:b/>
                <w:sz w:val="18"/>
                <w:szCs w:val="20"/>
              </w:rPr>
            </w:pPr>
            <w:r w:rsidRPr="00404DA5">
              <w:rPr>
                <w:rFonts w:cs="Calibri"/>
                <w:color w:val="000000"/>
                <w:sz w:val="18"/>
                <w:szCs w:val="20"/>
              </w:rPr>
              <w:t>0</w:t>
            </w:r>
          </w:p>
        </w:tc>
        <w:tc>
          <w:tcPr>
            <w:tcW w:w="0" w:type="auto"/>
            <w:shd w:val="clear" w:color="auto" w:fill="auto"/>
            <w:vAlign w:val="center"/>
          </w:tcPr>
          <w:p w14:paraId="233370DC" w14:textId="77777777" w:rsidR="00116CFB" w:rsidRPr="00404DA5" w:rsidRDefault="00116CFB" w:rsidP="004742DC">
            <w:pPr>
              <w:jc w:val="center"/>
              <w:rPr>
                <w:rFonts w:cs="Calibri"/>
                <w:b/>
                <w:sz w:val="18"/>
                <w:szCs w:val="20"/>
              </w:rPr>
            </w:pPr>
            <w:r w:rsidRPr="00404DA5">
              <w:rPr>
                <w:rFonts w:cs="Calibri"/>
                <w:color w:val="000000"/>
                <w:sz w:val="18"/>
                <w:szCs w:val="20"/>
              </w:rPr>
              <w:t>0,0%</w:t>
            </w:r>
          </w:p>
        </w:tc>
      </w:tr>
      <w:tr w:rsidR="00116CFB" w:rsidRPr="00B2711F" w14:paraId="0F57DBA7" w14:textId="77777777" w:rsidTr="004742DC">
        <w:tc>
          <w:tcPr>
            <w:tcW w:w="0" w:type="auto"/>
            <w:shd w:val="clear" w:color="auto" w:fill="auto"/>
            <w:vAlign w:val="center"/>
          </w:tcPr>
          <w:p w14:paraId="714A5127" w14:textId="77777777" w:rsidR="00116CFB" w:rsidRPr="00404DA5" w:rsidRDefault="00116CFB" w:rsidP="004742DC">
            <w:pPr>
              <w:jc w:val="center"/>
              <w:rPr>
                <w:sz w:val="18"/>
                <w:szCs w:val="20"/>
              </w:rPr>
            </w:pPr>
            <w:r w:rsidRPr="00404DA5">
              <w:rPr>
                <w:sz w:val="18"/>
                <w:szCs w:val="20"/>
              </w:rPr>
              <w:t>WP</w:t>
            </w:r>
          </w:p>
        </w:tc>
        <w:tc>
          <w:tcPr>
            <w:tcW w:w="0" w:type="auto"/>
            <w:shd w:val="clear" w:color="auto" w:fill="auto"/>
            <w:vAlign w:val="center"/>
          </w:tcPr>
          <w:p w14:paraId="4B18352F"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9.10</w:t>
            </w:r>
          </w:p>
        </w:tc>
        <w:tc>
          <w:tcPr>
            <w:tcW w:w="0" w:type="auto"/>
            <w:shd w:val="clear" w:color="auto" w:fill="auto"/>
            <w:vAlign w:val="center"/>
          </w:tcPr>
          <w:p w14:paraId="7ABD3B31"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Liczba udostępnionych on-line usług na poziomie 3 – dwustronna interakcja</w:t>
            </w:r>
          </w:p>
        </w:tc>
        <w:tc>
          <w:tcPr>
            <w:tcW w:w="0" w:type="auto"/>
            <w:shd w:val="clear" w:color="auto" w:fill="auto"/>
            <w:vAlign w:val="center"/>
          </w:tcPr>
          <w:p w14:paraId="4894AEF3"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szt.</w:t>
            </w:r>
          </w:p>
        </w:tc>
        <w:tc>
          <w:tcPr>
            <w:tcW w:w="0" w:type="auto"/>
            <w:shd w:val="clear" w:color="auto" w:fill="auto"/>
            <w:vAlign w:val="center"/>
          </w:tcPr>
          <w:p w14:paraId="0B088CB4"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29</w:t>
            </w:r>
          </w:p>
        </w:tc>
        <w:tc>
          <w:tcPr>
            <w:tcW w:w="0" w:type="auto"/>
            <w:shd w:val="clear" w:color="auto" w:fill="auto"/>
            <w:vAlign w:val="center"/>
          </w:tcPr>
          <w:p w14:paraId="620A827F"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20,00</w:t>
            </w:r>
          </w:p>
        </w:tc>
        <w:tc>
          <w:tcPr>
            <w:tcW w:w="0" w:type="auto"/>
            <w:shd w:val="clear" w:color="auto" w:fill="auto"/>
            <w:vAlign w:val="center"/>
          </w:tcPr>
          <w:p w14:paraId="483D2950" w14:textId="77777777" w:rsidR="00116CFB" w:rsidRPr="00404DA5" w:rsidRDefault="00116CFB" w:rsidP="004742DC">
            <w:pPr>
              <w:jc w:val="center"/>
              <w:rPr>
                <w:rFonts w:cs="Calibri"/>
                <w:b/>
                <w:bCs/>
                <w:sz w:val="18"/>
                <w:szCs w:val="20"/>
              </w:rPr>
            </w:pPr>
            <w:r w:rsidRPr="00404DA5">
              <w:rPr>
                <w:rFonts w:cs="Calibri"/>
                <w:sz w:val="18"/>
                <w:szCs w:val="20"/>
              </w:rPr>
              <w:t>69,0%</w:t>
            </w:r>
          </w:p>
        </w:tc>
        <w:tc>
          <w:tcPr>
            <w:tcW w:w="0" w:type="auto"/>
            <w:shd w:val="clear" w:color="auto" w:fill="auto"/>
            <w:vAlign w:val="center"/>
          </w:tcPr>
          <w:p w14:paraId="6D66C078"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0</w:t>
            </w:r>
          </w:p>
        </w:tc>
        <w:tc>
          <w:tcPr>
            <w:tcW w:w="0" w:type="auto"/>
            <w:shd w:val="clear" w:color="auto" w:fill="auto"/>
            <w:vAlign w:val="center"/>
          </w:tcPr>
          <w:p w14:paraId="19F2B6B4" w14:textId="77777777" w:rsidR="00116CFB" w:rsidRPr="00404DA5" w:rsidRDefault="00116CFB" w:rsidP="004742DC">
            <w:pPr>
              <w:jc w:val="center"/>
              <w:rPr>
                <w:rFonts w:cs="Calibri"/>
                <w:b/>
                <w:bCs/>
                <w:color w:val="000000"/>
                <w:sz w:val="18"/>
                <w:szCs w:val="20"/>
              </w:rPr>
            </w:pPr>
            <w:r w:rsidRPr="00404DA5">
              <w:rPr>
                <w:rFonts w:cs="Calibri"/>
                <w:color w:val="000000"/>
                <w:sz w:val="18"/>
                <w:szCs w:val="20"/>
              </w:rPr>
              <w:t>0,0%</w:t>
            </w:r>
          </w:p>
        </w:tc>
      </w:tr>
      <w:tr w:rsidR="00116CFB" w:rsidRPr="00B2711F" w14:paraId="6FF41B44" w14:textId="77777777" w:rsidTr="004742DC">
        <w:tc>
          <w:tcPr>
            <w:tcW w:w="0" w:type="auto"/>
            <w:shd w:val="clear" w:color="auto" w:fill="auto"/>
            <w:vAlign w:val="center"/>
          </w:tcPr>
          <w:p w14:paraId="38925B5A" w14:textId="77777777" w:rsidR="00116CFB" w:rsidRPr="00404DA5" w:rsidRDefault="00116CFB" w:rsidP="004742DC">
            <w:pPr>
              <w:jc w:val="center"/>
              <w:rPr>
                <w:sz w:val="18"/>
                <w:szCs w:val="20"/>
              </w:rPr>
            </w:pPr>
            <w:r w:rsidRPr="00404DA5">
              <w:rPr>
                <w:sz w:val="18"/>
                <w:szCs w:val="20"/>
              </w:rPr>
              <w:t>WP</w:t>
            </w:r>
          </w:p>
        </w:tc>
        <w:tc>
          <w:tcPr>
            <w:tcW w:w="0" w:type="auto"/>
            <w:shd w:val="clear" w:color="auto" w:fill="auto"/>
            <w:vAlign w:val="center"/>
          </w:tcPr>
          <w:p w14:paraId="61C762AF" w14:textId="77777777" w:rsidR="00116CFB" w:rsidRPr="00404DA5" w:rsidRDefault="00116CFB" w:rsidP="004742DC">
            <w:pPr>
              <w:jc w:val="center"/>
              <w:rPr>
                <w:rFonts w:cs="Calibri"/>
                <w:color w:val="000000"/>
                <w:sz w:val="18"/>
                <w:szCs w:val="20"/>
              </w:rPr>
            </w:pPr>
            <w:r w:rsidRPr="00404DA5">
              <w:rPr>
                <w:rFonts w:cs="Calibri"/>
                <w:color w:val="000000"/>
                <w:sz w:val="18"/>
                <w:szCs w:val="20"/>
              </w:rPr>
              <w:t>9.10</w:t>
            </w:r>
          </w:p>
        </w:tc>
        <w:tc>
          <w:tcPr>
            <w:tcW w:w="0" w:type="auto"/>
            <w:shd w:val="clear" w:color="auto" w:fill="auto"/>
            <w:vAlign w:val="center"/>
          </w:tcPr>
          <w:p w14:paraId="3921CF5B" w14:textId="77777777" w:rsidR="00116CFB" w:rsidRPr="00404DA5" w:rsidRDefault="00116CFB" w:rsidP="004742DC">
            <w:pPr>
              <w:jc w:val="center"/>
              <w:rPr>
                <w:rFonts w:cs="Calibri"/>
                <w:color w:val="000000"/>
                <w:sz w:val="18"/>
                <w:szCs w:val="20"/>
              </w:rPr>
            </w:pPr>
            <w:r w:rsidRPr="00404DA5">
              <w:rPr>
                <w:rFonts w:cs="Calibri"/>
                <w:color w:val="000000"/>
                <w:sz w:val="18"/>
                <w:szCs w:val="20"/>
              </w:rPr>
              <w:t xml:space="preserve">Liczba udostępnionych on-line usług na poziomie 4 – transakcja </w:t>
            </w:r>
          </w:p>
        </w:tc>
        <w:tc>
          <w:tcPr>
            <w:tcW w:w="0" w:type="auto"/>
            <w:shd w:val="clear" w:color="auto" w:fill="auto"/>
            <w:vAlign w:val="center"/>
          </w:tcPr>
          <w:p w14:paraId="611CB298" w14:textId="77777777" w:rsidR="00116CFB" w:rsidRPr="00404DA5" w:rsidRDefault="00116CFB" w:rsidP="004742DC">
            <w:pPr>
              <w:jc w:val="center"/>
              <w:rPr>
                <w:rFonts w:cs="Calibri"/>
                <w:color w:val="000000"/>
                <w:sz w:val="18"/>
                <w:szCs w:val="20"/>
              </w:rPr>
            </w:pPr>
            <w:r w:rsidRPr="00404DA5">
              <w:rPr>
                <w:rFonts w:cs="Calibri"/>
                <w:color w:val="000000"/>
                <w:sz w:val="18"/>
                <w:szCs w:val="20"/>
              </w:rPr>
              <w:t>szt.</w:t>
            </w:r>
          </w:p>
        </w:tc>
        <w:tc>
          <w:tcPr>
            <w:tcW w:w="0" w:type="auto"/>
            <w:shd w:val="clear" w:color="auto" w:fill="auto"/>
            <w:vAlign w:val="center"/>
          </w:tcPr>
          <w:p w14:paraId="24FC5793" w14:textId="77777777" w:rsidR="00116CFB" w:rsidRPr="00404DA5" w:rsidRDefault="00116CFB" w:rsidP="004742DC">
            <w:pPr>
              <w:jc w:val="center"/>
              <w:rPr>
                <w:rFonts w:cs="Calibri"/>
                <w:color w:val="000000"/>
                <w:sz w:val="18"/>
                <w:szCs w:val="20"/>
              </w:rPr>
            </w:pPr>
            <w:r w:rsidRPr="00404DA5">
              <w:rPr>
                <w:rFonts w:cs="Calibri"/>
                <w:color w:val="000000"/>
                <w:sz w:val="18"/>
                <w:szCs w:val="20"/>
              </w:rPr>
              <w:t>18</w:t>
            </w:r>
          </w:p>
        </w:tc>
        <w:tc>
          <w:tcPr>
            <w:tcW w:w="0" w:type="auto"/>
            <w:shd w:val="clear" w:color="auto" w:fill="auto"/>
            <w:vAlign w:val="center"/>
          </w:tcPr>
          <w:p w14:paraId="7FB85A85" w14:textId="77777777" w:rsidR="00116CFB" w:rsidRPr="00404DA5" w:rsidRDefault="00116CFB" w:rsidP="004742DC">
            <w:pPr>
              <w:jc w:val="center"/>
              <w:rPr>
                <w:rFonts w:cs="Calibri"/>
                <w:color w:val="000000"/>
                <w:sz w:val="18"/>
                <w:szCs w:val="20"/>
              </w:rPr>
            </w:pPr>
            <w:r w:rsidRPr="00404DA5">
              <w:rPr>
                <w:rFonts w:cs="Calibri"/>
                <w:color w:val="000000"/>
                <w:sz w:val="18"/>
                <w:szCs w:val="20"/>
              </w:rPr>
              <w:t>12,00</w:t>
            </w:r>
          </w:p>
        </w:tc>
        <w:tc>
          <w:tcPr>
            <w:tcW w:w="0" w:type="auto"/>
            <w:shd w:val="clear" w:color="auto" w:fill="auto"/>
            <w:vAlign w:val="center"/>
          </w:tcPr>
          <w:p w14:paraId="5E75A264" w14:textId="77777777" w:rsidR="00116CFB" w:rsidRPr="00404DA5" w:rsidRDefault="00116CFB" w:rsidP="004742DC">
            <w:pPr>
              <w:jc w:val="center"/>
              <w:rPr>
                <w:rFonts w:cs="Calibri"/>
                <w:sz w:val="18"/>
                <w:szCs w:val="20"/>
              </w:rPr>
            </w:pPr>
            <w:r w:rsidRPr="00404DA5">
              <w:rPr>
                <w:rFonts w:cs="Calibri"/>
                <w:sz w:val="18"/>
                <w:szCs w:val="20"/>
              </w:rPr>
              <w:t>66,7%</w:t>
            </w:r>
          </w:p>
        </w:tc>
        <w:tc>
          <w:tcPr>
            <w:tcW w:w="0" w:type="auto"/>
            <w:shd w:val="clear" w:color="auto" w:fill="auto"/>
            <w:vAlign w:val="center"/>
          </w:tcPr>
          <w:p w14:paraId="61E3BCC1" w14:textId="77777777" w:rsidR="00116CFB" w:rsidRPr="00404DA5" w:rsidRDefault="00116CFB" w:rsidP="004742DC">
            <w:pPr>
              <w:jc w:val="center"/>
              <w:rPr>
                <w:rFonts w:cs="Calibri"/>
                <w:color w:val="000000"/>
                <w:sz w:val="18"/>
                <w:szCs w:val="20"/>
              </w:rPr>
            </w:pPr>
            <w:r w:rsidRPr="00404DA5">
              <w:rPr>
                <w:rFonts w:cs="Calibri"/>
                <w:color w:val="000000"/>
                <w:sz w:val="18"/>
                <w:szCs w:val="20"/>
              </w:rPr>
              <w:t>0</w:t>
            </w:r>
          </w:p>
        </w:tc>
        <w:tc>
          <w:tcPr>
            <w:tcW w:w="0" w:type="auto"/>
            <w:shd w:val="clear" w:color="auto" w:fill="auto"/>
            <w:vAlign w:val="center"/>
          </w:tcPr>
          <w:p w14:paraId="78CD1D90" w14:textId="77777777" w:rsidR="00116CFB" w:rsidRPr="00404DA5" w:rsidRDefault="00116CFB" w:rsidP="004742DC">
            <w:pPr>
              <w:jc w:val="center"/>
              <w:rPr>
                <w:rFonts w:cs="Calibri"/>
                <w:color w:val="000000"/>
                <w:sz w:val="18"/>
                <w:szCs w:val="20"/>
              </w:rPr>
            </w:pPr>
            <w:r w:rsidRPr="00404DA5">
              <w:rPr>
                <w:rFonts w:cs="Calibri"/>
                <w:color w:val="000000"/>
                <w:sz w:val="18"/>
                <w:szCs w:val="20"/>
              </w:rPr>
              <w:t>0,0%</w:t>
            </w:r>
          </w:p>
        </w:tc>
      </w:tr>
    </w:tbl>
    <w:p w14:paraId="02C6E695"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obliczenia własne na podstawie danych SL2014 na dzień 07.01.2019 r.</w:t>
      </w:r>
    </w:p>
    <w:p w14:paraId="2388A4BE" w14:textId="77777777"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t xml:space="preserve">Wskaźnik rezultatu strategicznego </w:t>
      </w:r>
    </w:p>
    <w:p w14:paraId="4C24D2DC" w14:textId="77777777" w:rsidR="00116CFB" w:rsidRPr="00404DA5" w:rsidRDefault="00116CFB" w:rsidP="00116CFB">
      <w:pPr>
        <w:rPr>
          <w:rFonts w:cs="Calibri"/>
          <w:color w:val="FF0000"/>
          <w:szCs w:val="20"/>
        </w:rPr>
      </w:pPr>
      <w:r w:rsidRPr="00404DA5">
        <w:rPr>
          <w:rFonts w:cs="Calibri"/>
          <w:szCs w:val="20"/>
        </w:rPr>
        <w:t xml:space="preserve">W przypadku PI 2c przyjęto jeden wskaźnik rezultatu </w:t>
      </w:r>
      <w:r w:rsidRPr="00404DA5">
        <w:rPr>
          <w:rFonts w:cs="Calibri"/>
          <w:i/>
          <w:szCs w:val="20"/>
        </w:rPr>
        <w:t>Odsetek obywateli korzystających</w:t>
      </w:r>
      <w:r w:rsidR="00E66B89">
        <w:rPr>
          <w:rFonts w:cs="Calibri"/>
          <w:i/>
          <w:szCs w:val="20"/>
        </w:rPr>
        <w:t xml:space="preserve"> z </w:t>
      </w:r>
      <w:r w:rsidRPr="00404DA5">
        <w:rPr>
          <w:rFonts w:cs="Calibri"/>
          <w:i/>
          <w:szCs w:val="20"/>
        </w:rPr>
        <w:t xml:space="preserve">e-administracji. </w:t>
      </w:r>
      <w:r w:rsidRPr="00404DA5">
        <w:rPr>
          <w:rFonts w:cs="Calibri"/>
          <w:szCs w:val="20"/>
        </w:rPr>
        <w:t>Wartość bazowa</w:t>
      </w:r>
      <w:r w:rsidR="00E66B89">
        <w:rPr>
          <w:rFonts w:cs="Calibri"/>
          <w:szCs w:val="20"/>
        </w:rPr>
        <w:t xml:space="preserve"> w </w:t>
      </w:r>
      <w:r w:rsidRPr="00404DA5">
        <w:rPr>
          <w:rFonts w:cs="Calibri"/>
          <w:szCs w:val="20"/>
        </w:rPr>
        <w:t>2014 roku wynosiła 23,5%, wartość docelową na 2023 rok określono</w:t>
      </w:r>
      <w:r w:rsidR="00E66B89">
        <w:rPr>
          <w:rFonts w:cs="Calibri"/>
          <w:szCs w:val="20"/>
        </w:rPr>
        <w:t xml:space="preserve"> z </w:t>
      </w:r>
      <w:r w:rsidRPr="00404DA5">
        <w:rPr>
          <w:rFonts w:cs="Calibri"/>
          <w:szCs w:val="20"/>
        </w:rPr>
        <w:t>kolei na poziomie 28,6%.</w:t>
      </w:r>
      <w:r w:rsidR="00E66B89">
        <w:rPr>
          <w:rFonts w:cs="Calibri"/>
          <w:szCs w:val="20"/>
        </w:rPr>
        <w:t xml:space="preserve"> W </w:t>
      </w:r>
      <w:r w:rsidRPr="00404DA5">
        <w:rPr>
          <w:rFonts w:cs="Calibri"/>
          <w:szCs w:val="20"/>
        </w:rPr>
        <w:t>dokumencie przygotowanym przez IZ RPO WZ dotyczącym oszacowania wartości docelowych wskaźników rezultatu strategicznego nie przedstawiono co prawda analizy trendu dla tego wskaźnika – nie są zatem znane szacowane wartości, jakie wskaźnik miałby przyjmować</w:t>
      </w:r>
      <w:r w:rsidR="00E66B89">
        <w:rPr>
          <w:rFonts w:cs="Calibri"/>
          <w:szCs w:val="20"/>
        </w:rPr>
        <w:t xml:space="preserve"> w </w:t>
      </w:r>
      <w:r w:rsidRPr="00404DA5">
        <w:rPr>
          <w:rFonts w:cs="Calibri"/>
          <w:szCs w:val="20"/>
        </w:rPr>
        <w:t>latach 2015-2023. Można jednak</w:t>
      </w:r>
      <w:r w:rsidR="00E66B89">
        <w:rPr>
          <w:rFonts w:cs="Calibri"/>
          <w:szCs w:val="20"/>
        </w:rPr>
        <w:t xml:space="preserve"> w </w:t>
      </w:r>
      <w:r w:rsidRPr="00404DA5">
        <w:rPr>
          <w:rFonts w:cs="Calibri"/>
          <w:szCs w:val="20"/>
        </w:rPr>
        <w:t>tym celu wykorzystać dostępne już dane statystyczne dla lat 2015-2018</w:t>
      </w:r>
      <w:r w:rsidRPr="00404DA5">
        <w:rPr>
          <w:rStyle w:val="Odwoanieprzypisudolnego"/>
          <w:rFonts w:cs="Calibri"/>
          <w:szCs w:val="20"/>
        </w:rPr>
        <w:footnoteReference w:id="135"/>
      </w:r>
      <w:r w:rsidRPr="00404DA5">
        <w:rPr>
          <w:rFonts w:cs="Calibri"/>
          <w:szCs w:val="20"/>
        </w:rPr>
        <w:t>.</w:t>
      </w:r>
      <w:r w:rsidR="00E66B89">
        <w:rPr>
          <w:rFonts w:cs="Calibri"/>
          <w:szCs w:val="20"/>
        </w:rPr>
        <w:t xml:space="preserve"> W </w:t>
      </w:r>
      <w:r w:rsidRPr="00404DA5">
        <w:rPr>
          <w:rFonts w:cs="Calibri"/>
          <w:szCs w:val="20"/>
        </w:rPr>
        <w:t>roku 2018 wskaźnik dla regionu wynosił 33,7%, co oznacza wzrost, względem roku 2014,</w:t>
      </w:r>
      <w:r w:rsidR="00E66B89">
        <w:rPr>
          <w:rFonts w:cs="Calibri"/>
          <w:szCs w:val="20"/>
        </w:rPr>
        <w:t xml:space="preserve"> o </w:t>
      </w:r>
      <w:r w:rsidRPr="00404DA5">
        <w:rPr>
          <w:rFonts w:cs="Calibri"/>
          <w:szCs w:val="20"/>
        </w:rPr>
        <w:t>10,2 p.p.</w:t>
      </w:r>
      <w:r w:rsidRPr="00404DA5">
        <w:rPr>
          <w:rStyle w:val="Odwoanieprzypisudolnego"/>
          <w:rFonts w:cs="Calibri"/>
          <w:szCs w:val="20"/>
        </w:rPr>
        <w:footnoteReference w:id="136"/>
      </w:r>
      <w:r w:rsidRPr="00404DA5">
        <w:rPr>
          <w:rFonts w:cs="Calibri"/>
          <w:szCs w:val="20"/>
        </w:rPr>
        <w:t xml:space="preserve"> Co prawda może niepokoić fakt, że po okresie wzrostu wartości wskaźnika</w:t>
      </w:r>
      <w:r w:rsidR="00E66B89">
        <w:rPr>
          <w:rFonts w:cs="Calibri"/>
          <w:szCs w:val="20"/>
        </w:rPr>
        <w:t xml:space="preserve"> w </w:t>
      </w:r>
      <w:r w:rsidRPr="00404DA5">
        <w:rPr>
          <w:rFonts w:cs="Calibri"/>
          <w:szCs w:val="20"/>
        </w:rPr>
        <w:t>latach 2014-2017,</w:t>
      </w:r>
      <w:r w:rsidR="00E66B89">
        <w:rPr>
          <w:rFonts w:cs="Calibri"/>
          <w:szCs w:val="20"/>
        </w:rPr>
        <w:t xml:space="preserve"> w </w:t>
      </w:r>
      <w:r w:rsidRPr="00404DA5">
        <w:rPr>
          <w:rFonts w:cs="Calibri"/>
          <w:szCs w:val="20"/>
        </w:rPr>
        <w:t>roku 2018 nastąpił jego spadek, ale można zakładać, że</w:t>
      </w:r>
      <w:r w:rsidR="00E66B89">
        <w:rPr>
          <w:rFonts w:cs="Calibri"/>
          <w:szCs w:val="20"/>
        </w:rPr>
        <w:t xml:space="preserve"> w </w:t>
      </w:r>
      <w:r w:rsidRPr="00404DA5">
        <w:rPr>
          <w:rFonts w:cs="Calibri"/>
          <w:szCs w:val="20"/>
        </w:rPr>
        <w:t>kolejnych latach jego wartość utrzyma się na aktualnym poziomie lub wzrośnie - zważywszy na to, że</w:t>
      </w:r>
      <w:r w:rsidR="00E66B89">
        <w:rPr>
          <w:rFonts w:cs="Calibri"/>
          <w:szCs w:val="20"/>
        </w:rPr>
        <w:t xml:space="preserve"> w </w:t>
      </w:r>
      <w:r w:rsidRPr="00404DA5">
        <w:rPr>
          <w:rFonts w:cs="Calibri"/>
          <w:szCs w:val="20"/>
        </w:rPr>
        <w:t>najbliższym czasie wzrastać będzie liczba udostępnionych e-usług (w tym przede wszystkim usług na 3, 4</w:t>
      </w:r>
      <w:r w:rsidR="00E66B89">
        <w:rPr>
          <w:rFonts w:cs="Calibri"/>
          <w:szCs w:val="20"/>
        </w:rPr>
        <w:t xml:space="preserve"> i </w:t>
      </w:r>
      <w:r w:rsidRPr="00404DA5">
        <w:rPr>
          <w:rFonts w:cs="Calibri"/>
          <w:szCs w:val="20"/>
        </w:rPr>
        <w:t>5 poziomie dojrzałości), m.in.</w:t>
      </w:r>
      <w:r w:rsidR="00E66B89">
        <w:rPr>
          <w:rFonts w:cs="Calibri"/>
          <w:szCs w:val="20"/>
        </w:rPr>
        <w:t xml:space="preserve"> w </w:t>
      </w:r>
      <w:r w:rsidRPr="00404DA5">
        <w:rPr>
          <w:rFonts w:cs="Calibri"/>
          <w:szCs w:val="20"/>
        </w:rPr>
        <w:t xml:space="preserve">wyniku </w:t>
      </w:r>
      <w:r w:rsidRPr="00404DA5">
        <w:rPr>
          <w:rFonts w:cs="Calibri"/>
          <w:szCs w:val="20"/>
        </w:rPr>
        <w:lastRenderedPageBreak/>
        <w:t>realizowanych projektów</w:t>
      </w:r>
      <w:r w:rsidR="00E66B89">
        <w:rPr>
          <w:rFonts w:cs="Calibri"/>
          <w:szCs w:val="20"/>
        </w:rPr>
        <w:t xml:space="preserve"> w </w:t>
      </w:r>
      <w:r w:rsidRPr="00404DA5">
        <w:rPr>
          <w:rFonts w:cs="Calibri"/>
          <w:szCs w:val="20"/>
        </w:rPr>
        <w:t>ramach RPO WZ 2014-2020. Wpływ na wskaźnik będą mieć także e-usługi uruchamiane</w:t>
      </w:r>
      <w:r w:rsidR="00E66B89">
        <w:rPr>
          <w:rFonts w:cs="Calibri"/>
          <w:szCs w:val="20"/>
        </w:rPr>
        <w:t xml:space="preserve"> i </w:t>
      </w:r>
      <w:r w:rsidRPr="00404DA5">
        <w:rPr>
          <w:rFonts w:cs="Calibri"/>
          <w:szCs w:val="20"/>
        </w:rPr>
        <w:t>rozwijane na poziomie centralnym. Wzrost licz</w:t>
      </w:r>
      <w:r>
        <w:rPr>
          <w:rFonts w:cs="Calibri"/>
          <w:szCs w:val="20"/>
        </w:rPr>
        <w:t>b</w:t>
      </w:r>
      <w:r w:rsidRPr="00404DA5">
        <w:rPr>
          <w:rFonts w:cs="Calibri"/>
          <w:szCs w:val="20"/>
        </w:rPr>
        <w:t>y udostępnionych e-usług przełoży się zaś na poziom korzystania</w:t>
      </w:r>
      <w:r w:rsidR="00E66B89">
        <w:rPr>
          <w:rFonts w:cs="Calibri"/>
          <w:szCs w:val="20"/>
        </w:rPr>
        <w:t xml:space="preserve"> z </w:t>
      </w:r>
      <w:r w:rsidRPr="00404DA5">
        <w:rPr>
          <w:rFonts w:cs="Calibri"/>
          <w:szCs w:val="20"/>
        </w:rPr>
        <w:t>e-administracji</w:t>
      </w:r>
      <w:r w:rsidR="00E66B89">
        <w:rPr>
          <w:rFonts w:cs="Calibri"/>
          <w:szCs w:val="20"/>
        </w:rPr>
        <w:t xml:space="preserve"> w </w:t>
      </w:r>
      <w:r w:rsidRPr="00404DA5">
        <w:rPr>
          <w:rFonts w:cs="Calibri"/>
          <w:szCs w:val="20"/>
        </w:rPr>
        <w:t xml:space="preserve">regionie. </w:t>
      </w:r>
    </w:p>
    <w:p w14:paraId="3BBA177E" w14:textId="77777777"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t xml:space="preserve">Ocena potencjału absorpcyjnego </w:t>
      </w:r>
    </w:p>
    <w:p w14:paraId="6D2400E1" w14:textId="77777777" w:rsidR="00116CFB" w:rsidRPr="00404DA5" w:rsidRDefault="00116CFB" w:rsidP="00116CFB">
      <w:pPr>
        <w:rPr>
          <w:rFonts w:cs="Calibri"/>
          <w:szCs w:val="20"/>
        </w:rPr>
      </w:pPr>
      <w:r w:rsidRPr="00404DA5">
        <w:rPr>
          <w:rFonts w:cs="Calibri"/>
          <w:szCs w:val="20"/>
        </w:rPr>
        <w:t>Wnioskowanie</w:t>
      </w:r>
      <w:r w:rsidR="00E66B89">
        <w:rPr>
          <w:rFonts w:cs="Calibri"/>
          <w:szCs w:val="20"/>
        </w:rPr>
        <w:t xml:space="preserve"> o </w:t>
      </w:r>
      <w:r w:rsidRPr="00404DA5">
        <w:rPr>
          <w:rFonts w:cs="Calibri"/>
          <w:szCs w:val="20"/>
        </w:rPr>
        <w:t>potencjale absorpcyjnym</w:t>
      </w:r>
      <w:r w:rsidR="00E66B89">
        <w:rPr>
          <w:rFonts w:cs="Calibri"/>
          <w:szCs w:val="20"/>
        </w:rPr>
        <w:t xml:space="preserve"> w </w:t>
      </w:r>
      <w:r w:rsidRPr="00404DA5">
        <w:rPr>
          <w:rFonts w:cs="Calibri"/>
          <w:szCs w:val="20"/>
        </w:rPr>
        <w:t>przypadku PI 2c jest utrudnione</w:t>
      </w:r>
      <w:r w:rsidR="00E66B89">
        <w:rPr>
          <w:rFonts w:cs="Calibri"/>
          <w:szCs w:val="20"/>
        </w:rPr>
        <w:t xml:space="preserve"> z </w:t>
      </w:r>
      <w:r w:rsidRPr="00404DA5">
        <w:rPr>
          <w:rFonts w:cs="Calibri"/>
          <w:szCs w:val="20"/>
        </w:rPr>
        <w:t>uwagi na to, że dotychczas nie przeprowadzono jeszcze żadnego konkursu</w:t>
      </w:r>
      <w:r w:rsidR="00E66B89">
        <w:rPr>
          <w:rFonts w:cs="Calibri"/>
          <w:szCs w:val="20"/>
        </w:rPr>
        <w:t xml:space="preserve"> w </w:t>
      </w:r>
      <w:r w:rsidRPr="00404DA5">
        <w:rPr>
          <w:rFonts w:cs="Calibri"/>
          <w:szCs w:val="20"/>
        </w:rPr>
        <w:t>tym obszarze. Nie jest więc możliwe oszacowanie skali rzeczywistego zainteresowania wnioskodawców aplikowaniem na projekty przewidziane</w:t>
      </w:r>
      <w:r w:rsidR="00E66B89">
        <w:rPr>
          <w:rFonts w:cs="Calibri"/>
          <w:szCs w:val="20"/>
        </w:rPr>
        <w:t xml:space="preserve"> w </w:t>
      </w:r>
      <w:r w:rsidRPr="00404DA5">
        <w:rPr>
          <w:rFonts w:cs="Calibri"/>
          <w:szCs w:val="20"/>
        </w:rPr>
        <w:t>ramach tego PI. Dlatego też, do oceny potencjału, wykorzystano przede wszystkim wyniki badania ilościowego CAWI oraz wnioski</w:t>
      </w:r>
      <w:r w:rsidR="00E66B89">
        <w:rPr>
          <w:rFonts w:cs="Calibri"/>
          <w:szCs w:val="20"/>
        </w:rPr>
        <w:t xml:space="preserve"> z </w:t>
      </w:r>
      <w:r w:rsidRPr="00404DA5">
        <w:rPr>
          <w:rFonts w:cs="Calibri"/>
          <w:szCs w:val="20"/>
        </w:rPr>
        <w:t>analizy desk research.</w:t>
      </w:r>
    </w:p>
    <w:p w14:paraId="1942BC37" w14:textId="77777777" w:rsidR="00116CFB" w:rsidRPr="00404DA5" w:rsidRDefault="00116CFB" w:rsidP="00116CFB">
      <w:pPr>
        <w:rPr>
          <w:rFonts w:cs="Calibri"/>
          <w:szCs w:val="20"/>
        </w:rPr>
      </w:pPr>
      <w:r w:rsidRPr="00404DA5">
        <w:rPr>
          <w:rFonts w:cs="Calibri"/>
          <w:szCs w:val="20"/>
        </w:rPr>
        <w:t>14% respondentów badania CAWI, którzy zadeklarowali chęć realizacji projektów</w:t>
      </w:r>
      <w:r w:rsidR="00E66B89">
        <w:rPr>
          <w:rFonts w:cs="Calibri"/>
          <w:szCs w:val="20"/>
        </w:rPr>
        <w:t xml:space="preserve"> w </w:t>
      </w:r>
      <w:r w:rsidRPr="00404DA5">
        <w:rPr>
          <w:rFonts w:cs="Calibri"/>
          <w:szCs w:val="20"/>
        </w:rPr>
        <w:t>ramach OP IX (n=92) wskazało, że chciałoby ubiegać się</w:t>
      </w:r>
      <w:r w:rsidR="00E66B89">
        <w:rPr>
          <w:rFonts w:cs="Calibri"/>
          <w:szCs w:val="20"/>
        </w:rPr>
        <w:t xml:space="preserve"> o </w:t>
      </w:r>
      <w:r w:rsidRPr="00404DA5">
        <w:rPr>
          <w:rFonts w:cs="Calibri"/>
          <w:szCs w:val="20"/>
        </w:rPr>
        <w:t>wsparcie</w:t>
      </w:r>
      <w:r w:rsidR="00E66B89">
        <w:rPr>
          <w:rFonts w:cs="Calibri"/>
          <w:szCs w:val="20"/>
        </w:rPr>
        <w:t xml:space="preserve"> w </w:t>
      </w:r>
      <w:r w:rsidRPr="00404DA5">
        <w:rPr>
          <w:rFonts w:cs="Calibri"/>
          <w:szCs w:val="20"/>
        </w:rPr>
        <w:t xml:space="preserve">ramach Działania 9.10. Wśród zainteresowanych podmiotów znalazły się </w:t>
      </w:r>
      <w:r w:rsidR="00BB2B6A">
        <w:rPr>
          <w:rFonts w:cs="Calibri"/>
          <w:szCs w:val="20"/>
        </w:rPr>
        <w:t>p</w:t>
      </w:r>
      <w:r w:rsidR="00BB2B6A" w:rsidRPr="00404DA5">
        <w:rPr>
          <w:rFonts w:cs="Calibri"/>
          <w:szCs w:val="20"/>
        </w:rPr>
        <w:t xml:space="preserve">ubliczne </w:t>
      </w:r>
      <w:r w:rsidRPr="00404DA5">
        <w:rPr>
          <w:rFonts w:cs="Calibri"/>
          <w:szCs w:val="20"/>
        </w:rPr>
        <w:t>zakłady opieki zdrowotnej, spółdzielnie/wspólnoty mieszkaniowe oraz JST (w tym ich jednostki organizacyjne, wspólnoty samorządowe). Spośród tych kilkunastu podmiotów, większość wskazała jednak, że aktualnie dysponuje jedynie pomysłem</w:t>
      </w:r>
      <w:r w:rsidR="00E66B89">
        <w:rPr>
          <w:rFonts w:cs="Calibri"/>
          <w:szCs w:val="20"/>
        </w:rPr>
        <w:t xml:space="preserve"> i </w:t>
      </w:r>
      <w:r w:rsidRPr="00404DA5">
        <w:rPr>
          <w:rFonts w:cs="Calibri"/>
          <w:szCs w:val="20"/>
        </w:rPr>
        <w:t>ogólną koncepcją inwestycji,</w:t>
      </w:r>
      <w:r w:rsidR="00E66B89">
        <w:rPr>
          <w:rFonts w:cs="Calibri"/>
          <w:szCs w:val="20"/>
        </w:rPr>
        <w:t xml:space="preserve"> a </w:t>
      </w:r>
      <w:r w:rsidRPr="00404DA5">
        <w:rPr>
          <w:rFonts w:cs="Calibri"/>
          <w:szCs w:val="20"/>
        </w:rPr>
        <w:t>tylko nieliczni przyznali, że posiadają przygotowane dokumenty i/lub zabezpieczone środki finansowe na takie inwestycje.</w:t>
      </w:r>
    </w:p>
    <w:p w14:paraId="303B42DA" w14:textId="77777777" w:rsidR="00116CFB" w:rsidRPr="00801DB4" w:rsidRDefault="00116CFB" w:rsidP="00116CFB">
      <w:pPr>
        <w:pStyle w:val="evaluTresc"/>
      </w:pPr>
      <w:r w:rsidRPr="00801DB4">
        <w:t>Analiza zapisów (zaplanowanych typów projektów) RPO WZ 2014-2020</w:t>
      </w:r>
      <w:r w:rsidR="00E66B89">
        <w:t xml:space="preserve"> w </w:t>
      </w:r>
      <w:r w:rsidRPr="00801DB4">
        <w:t>powiązaniu</w:t>
      </w:r>
      <w:r w:rsidR="00E66B89">
        <w:t xml:space="preserve"> z </w:t>
      </w:r>
      <w:r w:rsidRPr="00801DB4">
        <w:t>analizą zakresu realizowanych aktualnie projektów</w:t>
      </w:r>
      <w:r w:rsidR="00E66B89">
        <w:t xml:space="preserve"> w </w:t>
      </w:r>
      <w:r w:rsidRPr="00801DB4">
        <w:t>ramach PI 2c pozwala wnioskować, że</w:t>
      </w:r>
      <w:r w:rsidR="00E66B89">
        <w:t xml:space="preserve"> w </w:t>
      </w:r>
      <w:r w:rsidRPr="00801DB4">
        <w:t>najbliższym czasie należałoby uruchomić wsparcie skierowane na rozwój e-usług</w:t>
      </w:r>
      <w:r w:rsidR="00E66B89">
        <w:t xml:space="preserve"> z </w:t>
      </w:r>
      <w:r w:rsidRPr="00801DB4">
        <w:t>zakresu e-administracji, e-kultury oraz na digitalizację zasobów kulturowych, naukowych będących</w:t>
      </w:r>
      <w:r w:rsidR="00E66B89">
        <w:t xml:space="preserve"> w </w:t>
      </w:r>
      <w:r w:rsidRPr="00801DB4">
        <w:t>posiadaniu instytucji szczebla regionalnego/lokalnego. Potencjał</w:t>
      </w:r>
      <w:r w:rsidR="00E66B89">
        <w:t xml:space="preserve"> w </w:t>
      </w:r>
      <w:r w:rsidRPr="00801DB4">
        <w:t>zakresie e-administracji potwierdzają także przytoczone wcześniej dane statystyczne nt. odsetka urzędów udostępniających</w:t>
      </w:r>
      <w:r w:rsidR="00E66B89">
        <w:t xml:space="preserve"> w </w:t>
      </w:r>
      <w:r w:rsidRPr="00801DB4">
        <w:t>roku 2015 usługi publiczne – wydaje się, że</w:t>
      </w:r>
      <w:r w:rsidR="00E66B89">
        <w:t xml:space="preserve"> w </w:t>
      </w:r>
      <w:r w:rsidRPr="00801DB4">
        <w:t>tym zakresie potrzeby są jak najbardziej aktualne. Na podstawie doświadczeń</w:t>
      </w:r>
      <w:r w:rsidR="00E66B89">
        <w:t xml:space="preserve"> z </w:t>
      </w:r>
      <w:r w:rsidRPr="00801DB4">
        <w:t>innych regionów (np. województwa pomorskiego) można zakładać także, że potencjał aplikacyjny występuje</w:t>
      </w:r>
      <w:r w:rsidR="00E66B89">
        <w:t xml:space="preserve"> w </w:t>
      </w:r>
      <w:r w:rsidRPr="00801DB4">
        <w:t>dalszym ciągu</w:t>
      </w:r>
      <w:r w:rsidR="00E66B89">
        <w:t xml:space="preserve"> w </w:t>
      </w:r>
      <w:r w:rsidRPr="00801DB4">
        <w:t>obszarze e-zdrowia, przede wszystkim</w:t>
      </w:r>
      <w:r w:rsidR="00E66B89">
        <w:t xml:space="preserve"> w </w:t>
      </w:r>
      <w:r w:rsidRPr="00801DB4">
        <w:t>grupie podmiotów, których organem prowadzącym nie jest S</w:t>
      </w:r>
      <w:r>
        <w:t xml:space="preserve">amorząd </w:t>
      </w:r>
      <w:r w:rsidRPr="00801DB4">
        <w:t>W</w:t>
      </w:r>
      <w:r>
        <w:t>ojewództwa</w:t>
      </w:r>
      <w:r w:rsidRPr="00801DB4">
        <w:t>. Wniosek ten wynika</w:t>
      </w:r>
      <w:r w:rsidR="00E66B89">
        <w:t xml:space="preserve"> z </w:t>
      </w:r>
      <w:r w:rsidRPr="00801DB4">
        <w:t>tego, że po uruchomieniu rozwiązań na poziomie regionalnym, stworzonych</w:t>
      </w:r>
      <w:r w:rsidR="00E66B89">
        <w:t xml:space="preserve"> w </w:t>
      </w:r>
      <w:r w:rsidRPr="00801DB4">
        <w:t>ramach realizowanego projektu pozakonkursowego – niezbędne oraz jak najbardziej zasadne będzie włączenie</w:t>
      </w:r>
      <w:r w:rsidR="00E66B89">
        <w:t xml:space="preserve"> w </w:t>
      </w:r>
      <w:r w:rsidRPr="00801DB4">
        <w:t>ten system e-zdrowia innych, pomniejszych zakładów opieki zdrowotnej (takie rozwiązanie przyjęto właśnie</w:t>
      </w:r>
      <w:r w:rsidR="00E66B89">
        <w:t xml:space="preserve"> w </w:t>
      </w:r>
      <w:r w:rsidRPr="00801DB4">
        <w:t xml:space="preserve">ramach RPO WP 2014-2020). </w:t>
      </w:r>
    </w:p>
    <w:p w14:paraId="6C8079DD" w14:textId="77777777" w:rsidR="00116CFB" w:rsidRPr="00801DB4" w:rsidRDefault="00116CFB" w:rsidP="00116CFB">
      <w:pPr>
        <w:pStyle w:val="evaluTresc"/>
      </w:pPr>
      <w:r w:rsidRPr="00801DB4">
        <w:t>Zważywszy na powyższe informacje, wydaje się, że</w:t>
      </w:r>
      <w:r w:rsidR="00E66B89">
        <w:t xml:space="preserve"> w </w:t>
      </w:r>
      <w:r w:rsidRPr="00801DB4">
        <w:t xml:space="preserve">kolejnych latach wdrażania RPO WZ 2014-2020 </w:t>
      </w:r>
      <w:r>
        <w:t>-</w:t>
      </w:r>
      <w:r w:rsidR="00E66B89">
        <w:t xml:space="preserve"> w </w:t>
      </w:r>
      <w:r w:rsidRPr="00801DB4">
        <w:t xml:space="preserve">pierwszej kolejności </w:t>
      </w:r>
      <w:r>
        <w:t>- należy</w:t>
      </w:r>
      <w:r w:rsidRPr="00801DB4">
        <w:t xml:space="preserve"> wesprzeć projekty</w:t>
      </w:r>
      <w:r w:rsidR="00E66B89">
        <w:t xml:space="preserve"> z </w:t>
      </w:r>
      <w:r w:rsidRPr="00801DB4">
        <w:t>zakresu e-zdrowia, które będą realizowane przez PZOZ,</w:t>
      </w:r>
      <w:r w:rsidR="00E66B89">
        <w:t xml:space="preserve"> a </w:t>
      </w:r>
      <w:r w:rsidRPr="00801DB4">
        <w:t>ich celem będzie włączenie się</w:t>
      </w:r>
      <w:r w:rsidR="00E66B89">
        <w:t xml:space="preserve"> w </w:t>
      </w:r>
      <w:r w:rsidRPr="00801DB4">
        <w:t>regionalny system e-zdrowia.</w:t>
      </w:r>
      <w:r w:rsidR="00E66B89">
        <w:t xml:space="preserve"> Z </w:t>
      </w:r>
      <w:r w:rsidRPr="00801DB4">
        <w:t>pozyskanych informacji wynika, że jest planowany konkurs</w:t>
      </w:r>
      <w:r w:rsidR="00E66B89">
        <w:t xml:space="preserve"> w </w:t>
      </w:r>
      <w:r w:rsidRPr="00801DB4">
        <w:t xml:space="preserve">tym obszarze. </w:t>
      </w:r>
      <w:r>
        <w:t>Niezbędne będzie zapewne stworzenie jasnych wytycznych</w:t>
      </w:r>
      <w:r w:rsidR="00E66B89">
        <w:t xml:space="preserve"> w </w:t>
      </w:r>
      <w:r>
        <w:t>zakresie integracji</w:t>
      </w:r>
      <w:r w:rsidR="00E66B89">
        <w:t xml:space="preserve"> i </w:t>
      </w:r>
      <w:r>
        <w:t>komplementarności projektów</w:t>
      </w:r>
      <w:r w:rsidR="00E66B89">
        <w:t xml:space="preserve"> z </w:t>
      </w:r>
      <w:r>
        <w:t>regionalnym</w:t>
      </w:r>
      <w:r w:rsidR="00E66B89">
        <w:t xml:space="preserve"> i </w:t>
      </w:r>
      <w:r>
        <w:t>centralnymi systemami e-zdrowia. Warto również ustanowić tego typu kryterium oceny – np.</w:t>
      </w:r>
      <w:r w:rsidR="00E66B89">
        <w:t xml:space="preserve"> w </w:t>
      </w:r>
      <w:r>
        <w:t>zakresie komplementarności (w tym celu można wykorzystać doświadczenia</w:t>
      </w:r>
      <w:r w:rsidR="00E66B89">
        <w:t xml:space="preserve"> z </w:t>
      </w:r>
      <w:r>
        <w:t>wdrażania RPO WP 2014-2020).</w:t>
      </w:r>
      <w:r w:rsidR="00E66B89">
        <w:t xml:space="preserve"> W </w:t>
      </w:r>
      <w:r w:rsidRPr="00801DB4">
        <w:t>drugiej kolejności należałoby zastanowić się nad wsparciem</w:t>
      </w:r>
      <w:r w:rsidR="00E66B89">
        <w:t xml:space="preserve"> w </w:t>
      </w:r>
      <w:r>
        <w:t>zakresie</w:t>
      </w:r>
      <w:r w:rsidRPr="00801DB4">
        <w:t xml:space="preserve"> digitalizacji</w:t>
      </w:r>
      <w:r w:rsidR="00E66B89">
        <w:t xml:space="preserve"> i </w:t>
      </w:r>
      <w:r w:rsidRPr="00801DB4">
        <w:t>udostępniani</w:t>
      </w:r>
      <w:r>
        <w:t>a</w:t>
      </w:r>
      <w:r w:rsidRPr="00801DB4">
        <w:t xml:space="preserve"> zasobów kulturowych</w:t>
      </w:r>
      <w:r w:rsidR="00E66B89">
        <w:t xml:space="preserve"> w </w:t>
      </w:r>
      <w:r w:rsidRPr="00801DB4">
        <w:t>regionie oraz wsparciem JST zarówno</w:t>
      </w:r>
      <w:r w:rsidR="00E66B89">
        <w:t xml:space="preserve"> w </w:t>
      </w:r>
      <w:r w:rsidRPr="00801DB4">
        <w:t>zakresie tworzenia</w:t>
      </w:r>
      <w:r w:rsidR="00E66B89">
        <w:t xml:space="preserve"> i </w:t>
      </w:r>
      <w:r w:rsidRPr="00801DB4">
        <w:t>rozwijania e-usług, jak</w:t>
      </w:r>
      <w:r w:rsidR="00E66B89">
        <w:t xml:space="preserve"> i </w:t>
      </w:r>
      <w:r w:rsidRPr="00801DB4">
        <w:t>rozwijania infrastruktury informatycznej.</w:t>
      </w:r>
    </w:p>
    <w:p w14:paraId="17CFF6DE" w14:textId="77777777"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t>Prognozy osiągnięcia celów zakładanych na 2023 rok</w:t>
      </w:r>
    </w:p>
    <w:p w14:paraId="203E6590" w14:textId="77777777" w:rsidR="00116CFB" w:rsidRPr="00404DA5" w:rsidRDefault="00116CFB" w:rsidP="00116CFB">
      <w:pPr>
        <w:rPr>
          <w:rFonts w:cs="Calibri"/>
          <w:szCs w:val="20"/>
        </w:rPr>
      </w:pPr>
      <w:r w:rsidRPr="00404DA5">
        <w:rPr>
          <w:rFonts w:cs="Calibri"/>
          <w:szCs w:val="20"/>
        </w:rPr>
        <w:t>Wedle stanu</w:t>
      </w:r>
      <w:r w:rsidR="00E66B89">
        <w:rPr>
          <w:rFonts w:cs="Calibri"/>
          <w:szCs w:val="20"/>
        </w:rPr>
        <w:t xml:space="preserve"> z </w:t>
      </w:r>
      <w:r w:rsidRPr="00404DA5">
        <w:rPr>
          <w:rFonts w:cs="Calibri"/>
          <w:szCs w:val="20"/>
        </w:rPr>
        <w:t>07.01.2019 r.,</w:t>
      </w:r>
      <w:r w:rsidR="00E66B89">
        <w:rPr>
          <w:rFonts w:cs="Calibri"/>
          <w:szCs w:val="20"/>
        </w:rPr>
        <w:t xml:space="preserve"> w </w:t>
      </w:r>
      <w:r w:rsidRPr="00404DA5">
        <w:rPr>
          <w:rFonts w:cs="Calibri"/>
          <w:szCs w:val="20"/>
        </w:rPr>
        <w:t>ramach PI 2c dostępna wciąż alokacja (wraz ze środkami rezerwy wykonania) wynosiła około 7 381 069,66 zł. Mając na uwadze wyliczone koszty jednostkowe wskaźników na podstawie dotychczasowych dwóch inwestycji</w:t>
      </w:r>
      <w:r>
        <w:rPr>
          <w:rFonts w:cs="Calibri"/>
          <w:szCs w:val="20"/>
        </w:rPr>
        <w:t>,</w:t>
      </w:r>
      <w:r w:rsidRPr="00404DA5">
        <w:rPr>
          <w:rFonts w:cs="Calibri"/>
          <w:szCs w:val="20"/>
        </w:rPr>
        <w:t xml:space="preserve"> zaktualizowane </w:t>
      </w:r>
      <w:r>
        <w:rPr>
          <w:rFonts w:cs="Calibri"/>
          <w:szCs w:val="20"/>
        </w:rPr>
        <w:t>następnie</w:t>
      </w:r>
      <w:r w:rsidR="00E66B89">
        <w:rPr>
          <w:rFonts w:cs="Calibri"/>
          <w:szCs w:val="20"/>
        </w:rPr>
        <w:t xml:space="preserve"> o </w:t>
      </w:r>
      <w:r w:rsidRPr="00404DA5">
        <w:rPr>
          <w:rFonts w:cs="Calibri"/>
          <w:szCs w:val="20"/>
        </w:rPr>
        <w:t>indeks WCPSP na lata 2019-2023 oszacowano, że wartości wszystkich trzech wskaźników wzrosłyby nieznacznie (o 1-3 sztukę</w:t>
      </w:r>
      <w:r w:rsidR="00E66B89">
        <w:rPr>
          <w:rFonts w:cs="Calibri"/>
          <w:szCs w:val="20"/>
        </w:rPr>
        <w:t xml:space="preserve"> w </w:t>
      </w:r>
      <w:r w:rsidRPr="00404DA5">
        <w:rPr>
          <w:rFonts w:cs="Calibri"/>
          <w:szCs w:val="20"/>
        </w:rPr>
        <w:t>zależności od wskaźnika),</w:t>
      </w:r>
      <w:r w:rsidR="00E66B89">
        <w:rPr>
          <w:rFonts w:cs="Calibri"/>
          <w:szCs w:val="20"/>
        </w:rPr>
        <w:t xml:space="preserve"> a </w:t>
      </w:r>
      <w:r w:rsidRPr="00404DA5">
        <w:rPr>
          <w:rFonts w:cs="Calibri"/>
          <w:szCs w:val="20"/>
        </w:rPr>
        <w:t xml:space="preserve">do </w:t>
      </w:r>
      <w:r>
        <w:rPr>
          <w:rFonts w:cs="Calibri"/>
          <w:szCs w:val="20"/>
        </w:rPr>
        <w:t>osiągnięcia</w:t>
      </w:r>
      <w:r w:rsidRPr="00404DA5">
        <w:rPr>
          <w:rFonts w:cs="Calibri"/>
          <w:szCs w:val="20"/>
        </w:rPr>
        <w:t xml:space="preserve"> 100% ich aktualnych wartości </w:t>
      </w:r>
      <w:r w:rsidRPr="00404DA5">
        <w:rPr>
          <w:rFonts w:cs="Calibri"/>
          <w:szCs w:val="20"/>
        </w:rPr>
        <w:lastRenderedPageBreak/>
        <w:t>docelowych potrzebne byłoby</w:t>
      </w:r>
      <w:r w:rsidR="00E66B89">
        <w:rPr>
          <w:rFonts w:cs="Calibri"/>
          <w:szCs w:val="20"/>
        </w:rPr>
        <w:t xml:space="preserve"> w </w:t>
      </w:r>
      <w:r w:rsidRPr="00404DA5">
        <w:rPr>
          <w:rFonts w:cs="Calibri"/>
          <w:szCs w:val="20"/>
        </w:rPr>
        <w:t>sumie od 36 do nawet 114 mln zł (dla porównania wartość całej alokacji ogółem przeznaczonej pierwotnie</w:t>
      </w:r>
      <w:r w:rsidR="00E66B89">
        <w:rPr>
          <w:rFonts w:cs="Calibri"/>
          <w:szCs w:val="20"/>
        </w:rPr>
        <w:t xml:space="preserve"> w </w:t>
      </w:r>
      <w:r w:rsidRPr="00404DA5">
        <w:rPr>
          <w:rFonts w:cs="Calibri"/>
          <w:szCs w:val="20"/>
        </w:rPr>
        <w:t xml:space="preserve">Programie na PI 2c to nieco ponad 86 mln zł). </w:t>
      </w:r>
    </w:p>
    <w:p w14:paraId="14CB00A9" w14:textId="77777777" w:rsidR="00116CFB" w:rsidRPr="00404DA5" w:rsidRDefault="00116CFB" w:rsidP="00116CFB">
      <w:pPr>
        <w:rPr>
          <w:rFonts w:cs="Calibri"/>
          <w:szCs w:val="20"/>
        </w:rPr>
      </w:pPr>
      <w:r w:rsidRPr="00404DA5">
        <w:rPr>
          <w:rFonts w:cs="Calibri"/>
          <w:szCs w:val="20"/>
        </w:rPr>
        <w:t>Z dostępnych informacji wynika, że niemal pewne jest przeprowadzenie jeszcze konkursu na projekty</w:t>
      </w:r>
      <w:r w:rsidR="00E66B89">
        <w:rPr>
          <w:rFonts w:cs="Calibri"/>
          <w:szCs w:val="20"/>
        </w:rPr>
        <w:t xml:space="preserve"> z </w:t>
      </w:r>
      <w:r w:rsidRPr="00404DA5">
        <w:rPr>
          <w:rFonts w:cs="Calibri"/>
          <w:szCs w:val="20"/>
        </w:rPr>
        <w:t>zakresu e-zdrowia.</w:t>
      </w:r>
      <w:r w:rsidR="00E66B89">
        <w:rPr>
          <w:rFonts w:cs="Calibri"/>
          <w:szCs w:val="20"/>
        </w:rPr>
        <w:t xml:space="preserve"> W </w:t>
      </w:r>
      <w:r w:rsidRPr="00404DA5">
        <w:rPr>
          <w:rFonts w:cs="Calibri"/>
          <w:szCs w:val="20"/>
        </w:rPr>
        <w:t xml:space="preserve">chwili obecnej brak jednak informacji na temat kwoty alokacji, która zostanie na ten cel przeznaczona. Wydaje się jednak, że nie będzie ona na tyle duża, by </w:t>
      </w:r>
      <w:r>
        <w:rPr>
          <w:rFonts w:cs="Calibri"/>
          <w:szCs w:val="20"/>
        </w:rPr>
        <w:t>osiągnąć</w:t>
      </w:r>
      <w:r w:rsidRPr="00404DA5">
        <w:rPr>
          <w:rFonts w:cs="Calibri"/>
          <w:szCs w:val="20"/>
        </w:rPr>
        <w:t xml:space="preserve"> wszystkie wartości docelowe wskaźników – tym bardziej mając na uwadze ich oszacowane koszty jednostkowe. </w:t>
      </w:r>
    </w:p>
    <w:p w14:paraId="4AE5017A" w14:textId="77777777" w:rsidR="00116CFB" w:rsidRPr="00024F00" w:rsidRDefault="00116CFB" w:rsidP="00024F00">
      <w:pPr>
        <w:pStyle w:val="Legenda"/>
        <w:spacing w:after="0"/>
      </w:pPr>
      <w:bookmarkStart w:id="357" w:name="_Toc8824268"/>
      <w:r w:rsidRPr="00404DA5">
        <w:t xml:space="preserve">Tabela </w:t>
      </w:r>
      <w:r>
        <w:fldChar w:fldCharType="begin"/>
      </w:r>
      <w:r>
        <w:instrText xml:space="preserve"> SEQ Tabela \* ARABIC </w:instrText>
      </w:r>
      <w:r>
        <w:fldChar w:fldCharType="separate"/>
      </w:r>
      <w:r w:rsidR="00763345">
        <w:rPr>
          <w:noProof/>
        </w:rPr>
        <w:t>157</w:t>
      </w:r>
      <w:r>
        <w:fldChar w:fldCharType="end"/>
      </w:r>
      <w:r w:rsidRPr="00404DA5">
        <w:t xml:space="preserve"> Prognozowany poziom realizacji wskaźników produktu</w:t>
      </w:r>
      <w:r w:rsidR="00E66B89">
        <w:t xml:space="preserve"> i </w:t>
      </w:r>
      <w:r w:rsidRPr="00404DA5">
        <w:t>rezultatu bezpośredniego na rok 2023 – PI 2c</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3463"/>
        <w:gridCol w:w="1515"/>
        <w:gridCol w:w="1546"/>
        <w:gridCol w:w="1515"/>
      </w:tblGrid>
      <w:tr w:rsidR="00116CFB" w:rsidRPr="001E19EF" w14:paraId="39CAD8E7" w14:textId="77777777" w:rsidTr="00C22C26">
        <w:trPr>
          <w:trHeight w:val="1117"/>
          <w:tblHeader/>
        </w:trPr>
        <w:tc>
          <w:tcPr>
            <w:tcW w:w="0" w:type="auto"/>
            <w:shd w:val="clear" w:color="auto" w:fill="DBE5F1"/>
          </w:tcPr>
          <w:p w14:paraId="4E7673FF" w14:textId="77777777" w:rsidR="00116CFB" w:rsidRPr="00404DA5" w:rsidRDefault="00116CFB" w:rsidP="004742DC">
            <w:pPr>
              <w:jc w:val="center"/>
              <w:rPr>
                <w:rFonts w:cs="Calibri"/>
                <w:sz w:val="18"/>
                <w:szCs w:val="20"/>
              </w:rPr>
            </w:pPr>
            <w:r w:rsidRPr="00404DA5">
              <w:rPr>
                <w:rFonts w:cs="Calibri"/>
                <w:sz w:val="18"/>
                <w:szCs w:val="20"/>
              </w:rPr>
              <w:t>Typ wskaźnika</w:t>
            </w:r>
          </w:p>
        </w:tc>
        <w:tc>
          <w:tcPr>
            <w:tcW w:w="3630" w:type="dxa"/>
            <w:shd w:val="clear" w:color="auto" w:fill="DBE5F1"/>
          </w:tcPr>
          <w:p w14:paraId="314CCCD6" w14:textId="77777777" w:rsidR="00116CFB" w:rsidRPr="00404DA5" w:rsidRDefault="00116CFB" w:rsidP="004742DC">
            <w:pPr>
              <w:jc w:val="center"/>
              <w:rPr>
                <w:rFonts w:cs="Calibri"/>
                <w:sz w:val="18"/>
                <w:szCs w:val="20"/>
              </w:rPr>
            </w:pPr>
            <w:r w:rsidRPr="00404DA5">
              <w:rPr>
                <w:rFonts w:cs="Calibri"/>
                <w:sz w:val="18"/>
                <w:szCs w:val="20"/>
              </w:rPr>
              <w:t>Wskaźnik</w:t>
            </w:r>
          </w:p>
        </w:tc>
        <w:tc>
          <w:tcPr>
            <w:tcW w:w="1560" w:type="dxa"/>
            <w:shd w:val="clear" w:color="auto" w:fill="DBE5F1"/>
          </w:tcPr>
          <w:p w14:paraId="6A5B075B" w14:textId="77777777" w:rsidR="00116CFB" w:rsidRPr="00404DA5" w:rsidRDefault="00116CFB" w:rsidP="004742DC">
            <w:pPr>
              <w:jc w:val="center"/>
              <w:rPr>
                <w:rFonts w:cs="Calibri"/>
                <w:sz w:val="18"/>
                <w:szCs w:val="20"/>
              </w:rPr>
            </w:pPr>
            <w:r w:rsidRPr="00404DA5">
              <w:rPr>
                <w:rFonts w:cs="Calibri"/>
                <w:sz w:val="18"/>
                <w:szCs w:val="20"/>
              </w:rPr>
              <w:t>Wartość docelowa określona na 2023 rok</w:t>
            </w:r>
          </w:p>
        </w:tc>
        <w:tc>
          <w:tcPr>
            <w:tcW w:w="1559" w:type="dxa"/>
            <w:shd w:val="clear" w:color="auto" w:fill="DBE5F1"/>
          </w:tcPr>
          <w:p w14:paraId="41361130" w14:textId="77777777" w:rsidR="00116CFB" w:rsidRPr="00404DA5" w:rsidRDefault="00116CFB" w:rsidP="004742DC">
            <w:pPr>
              <w:jc w:val="center"/>
              <w:rPr>
                <w:rFonts w:cs="Calibri"/>
                <w:sz w:val="18"/>
                <w:szCs w:val="20"/>
              </w:rPr>
            </w:pPr>
            <w:r w:rsidRPr="00404DA5">
              <w:rPr>
                <w:rFonts w:cs="Calibri"/>
                <w:sz w:val="18"/>
                <w:szCs w:val="20"/>
              </w:rPr>
              <w:t>Prognozowana całkowita wartość wskaźnika</w:t>
            </w:r>
          </w:p>
        </w:tc>
        <w:tc>
          <w:tcPr>
            <w:tcW w:w="1525" w:type="dxa"/>
            <w:shd w:val="clear" w:color="auto" w:fill="DBE5F1"/>
          </w:tcPr>
          <w:p w14:paraId="523E4430" w14:textId="77777777" w:rsidR="00116CFB" w:rsidRPr="00404DA5" w:rsidRDefault="00116CFB" w:rsidP="004742DC">
            <w:pPr>
              <w:jc w:val="center"/>
              <w:rPr>
                <w:rFonts w:cs="Calibri"/>
                <w:sz w:val="18"/>
                <w:szCs w:val="20"/>
              </w:rPr>
            </w:pPr>
            <w:r w:rsidRPr="00404DA5">
              <w:rPr>
                <w:rFonts w:cs="Calibri"/>
                <w:sz w:val="18"/>
                <w:szCs w:val="20"/>
              </w:rPr>
              <w:t>Prognozowany % realizacji wartości docelowej</w:t>
            </w:r>
          </w:p>
        </w:tc>
      </w:tr>
      <w:tr w:rsidR="00116CFB" w:rsidRPr="001E19EF" w14:paraId="6DA51B00" w14:textId="77777777" w:rsidTr="004742DC">
        <w:trPr>
          <w:trHeight w:val="657"/>
        </w:trPr>
        <w:tc>
          <w:tcPr>
            <w:tcW w:w="0" w:type="auto"/>
            <w:shd w:val="clear" w:color="auto" w:fill="auto"/>
            <w:vAlign w:val="center"/>
          </w:tcPr>
          <w:p w14:paraId="35EFEC3C" w14:textId="77777777" w:rsidR="00116CFB" w:rsidRPr="00404DA5" w:rsidRDefault="00116CFB" w:rsidP="004742DC">
            <w:pPr>
              <w:rPr>
                <w:rFonts w:cs="Calibri"/>
                <w:sz w:val="18"/>
                <w:szCs w:val="20"/>
              </w:rPr>
            </w:pPr>
            <w:r w:rsidRPr="00404DA5">
              <w:rPr>
                <w:rFonts w:cs="Calibri"/>
                <w:sz w:val="18"/>
                <w:szCs w:val="20"/>
              </w:rPr>
              <w:t>WP</w:t>
            </w:r>
          </w:p>
        </w:tc>
        <w:tc>
          <w:tcPr>
            <w:tcW w:w="3630" w:type="dxa"/>
            <w:shd w:val="clear" w:color="auto" w:fill="auto"/>
            <w:vAlign w:val="center"/>
          </w:tcPr>
          <w:p w14:paraId="50469D3A" w14:textId="77777777" w:rsidR="00116CFB" w:rsidRPr="00404DA5" w:rsidRDefault="00116CFB" w:rsidP="004742DC">
            <w:pPr>
              <w:rPr>
                <w:rFonts w:cs="Calibri"/>
                <w:sz w:val="18"/>
                <w:szCs w:val="20"/>
              </w:rPr>
            </w:pPr>
            <w:r w:rsidRPr="00404DA5">
              <w:rPr>
                <w:rFonts w:cs="Calibri"/>
                <w:color w:val="000000"/>
                <w:sz w:val="18"/>
                <w:szCs w:val="20"/>
              </w:rPr>
              <w:t>Liczba instytucji publicznych, które usprawniły funkcjonowanie dzięki awansowi cyfrowemu</w:t>
            </w:r>
          </w:p>
        </w:tc>
        <w:tc>
          <w:tcPr>
            <w:tcW w:w="1560" w:type="dxa"/>
            <w:shd w:val="clear" w:color="auto" w:fill="auto"/>
            <w:vAlign w:val="center"/>
          </w:tcPr>
          <w:p w14:paraId="400A9555" w14:textId="77777777" w:rsidR="00116CFB" w:rsidRPr="00404DA5" w:rsidRDefault="00116CFB" w:rsidP="004742DC">
            <w:pPr>
              <w:jc w:val="center"/>
              <w:rPr>
                <w:rFonts w:cs="Calibri"/>
                <w:sz w:val="18"/>
                <w:szCs w:val="20"/>
              </w:rPr>
            </w:pPr>
            <w:r w:rsidRPr="00404DA5">
              <w:rPr>
                <w:rFonts w:cs="Calibri"/>
                <w:color w:val="000000"/>
                <w:sz w:val="18"/>
                <w:szCs w:val="20"/>
              </w:rPr>
              <w:t>79</w:t>
            </w:r>
          </w:p>
        </w:tc>
        <w:tc>
          <w:tcPr>
            <w:tcW w:w="1559" w:type="dxa"/>
            <w:shd w:val="clear" w:color="auto" w:fill="auto"/>
            <w:vAlign w:val="center"/>
          </w:tcPr>
          <w:p w14:paraId="710FC0DB" w14:textId="77777777" w:rsidR="00116CFB" w:rsidRPr="00404DA5" w:rsidRDefault="00116CFB" w:rsidP="004742DC">
            <w:pPr>
              <w:jc w:val="center"/>
              <w:rPr>
                <w:rFonts w:cs="Calibri"/>
                <w:sz w:val="18"/>
                <w:szCs w:val="20"/>
              </w:rPr>
            </w:pPr>
            <w:r w:rsidRPr="00404DA5">
              <w:rPr>
                <w:rFonts w:cs="Calibri"/>
                <w:sz w:val="18"/>
                <w:szCs w:val="20"/>
              </w:rPr>
              <w:t>36</w:t>
            </w:r>
          </w:p>
        </w:tc>
        <w:tc>
          <w:tcPr>
            <w:tcW w:w="1525" w:type="dxa"/>
            <w:shd w:val="clear" w:color="auto" w:fill="auto"/>
            <w:vAlign w:val="center"/>
          </w:tcPr>
          <w:p w14:paraId="04668FBE" w14:textId="77777777" w:rsidR="00116CFB" w:rsidRPr="00404DA5" w:rsidRDefault="00116CFB" w:rsidP="004742DC">
            <w:pPr>
              <w:jc w:val="center"/>
              <w:rPr>
                <w:rFonts w:cs="Calibri"/>
                <w:sz w:val="18"/>
                <w:szCs w:val="20"/>
              </w:rPr>
            </w:pPr>
            <w:r w:rsidRPr="00404DA5">
              <w:rPr>
                <w:rFonts w:cs="Calibri"/>
                <w:sz w:val="18"/>
                <w:szCs w:val="20"/>
              </w:rPr>
              <w:t>45,5%</w:t>
            </w:r>
          </w:p>
        </w:tc>
      </w:tr>
      <w:tr w:rsidR="00116CFB" w:rsidRPr="001E19EF" w14:paraId="0E027B50" w14:textId="77777777" w:rsidTr="004742DC">
        <w:trPr>
          <w:trHeight w:val="672"/>
        </w:trPr>
        <w:tc>
          <w:tcPr>
            <w:tcW w:w="0" w:type="auto"/>
            <w:shd w:val="clear" w:color="auto" w:fill="auto"/>
            <w:vAlign w:val="center"/>
          </w:tcPr>
          <w:p w14:paraId="7209CAEE" w14:textId="77777777" w:rsidR="00116CFB" w:rsidRPr="00404DA5" w:rsidRDefault="00116CFB" w:rsidP="004742DC">
            <w:pPr>
              <w:rPr>
                <w:rFonts w:cs="Calibri"/>
                <w:sz w:val="18"/>
                <w:szCs w:val="20"/>
              </w:rPr>
            </w:pPr>
            <w:r w:rsidRPr="00404DA5">
              <w:rPr>
                <w:rFonts w:cs="Calibri"/>
                <w:sz w:val="18"/>
                <w:szCs w:val="20"/>
              </w:rPr>
              <w:t>WP</w:t>
            </w:r>
          </w:p>
        </w:tc>
        <w:tc>
          <w:tcPr>
            <w:tcW w:w="3630" w:type="dxa"/>
            <w:shd w:val="clear" w:color="auto" w:fill="auto"/>
            <w:vAlign w:val="center"/>
          </w:tcPr>
          <w:p w14:paraId="7CBAF715" w14:textId="77777777" w:rsidR="00116CFB" w:rsidRPr="00404DA5" w:rsidRDefault="00116CFB" w:rsidP="004742DC">
            <w:pPr>
              <w:rPr>
                <w:rFonts w:cs="Calibri"/>
                <w:sz w:val="18"/>
                <w:szCs w:val="20"/>
              </w:rPr>
            </w:pPr>
            <w:r w:rsidRPr="00404DA5">
              <w:rPr>
                <w:rFonts w:cs="Calibri"/>
                <w:color w:val="000000"/>
                <w:sz w:val="18"/>
                <w:szCs w:val="20"/>
              </w:rPr>
              <w:t>Liczba udostępnionych on-line usług na poziomie 3 – dwustronna interakcja</w:t>
            </w:r>
          </w:p>
        </w:tc>
        <w:tc>
          <w:tcPr>
            <w:tcW w:w="1560" w:type="dxa"/>
            <w:shd w:val="clear" w:color="auto" w:fill="auto"/>
            <w:vAlign w:val="center"/>
          </w:tcPr>
          <w:p w14:paraId="2BA5CCC1" w14:textId="77777777" w:rsidR="00116CFB" w:rsidRPr="00404DA5" w:rsidRDefault="00116CFB" w:rsidP="004742DC">
            <w:pPr>
              <w:jc w:val="center"/>
              <w:rPr>
                <w:rFonts w:cs="Calibri"/>
                <w:sz w:val="18"/>
                <w:szCs w:val="20"/>
              </w:rPr>
            </w:pPr>
            <w:r w:rsidRPr="00404DA5">
              <w:rPr>
                <w:rFonts w:cs="Calibri"/>
                <w:color w:val="000000"/>
                <w:sz w:val="18"/>
                <w:szCs w:val="20"/>
              </w:rPr>
              <w:t>29</w:t>
            </w:r>
          </w:p>
        </w:tc>
        <w:tc>
          <w:tcPr>
            <w:tcW w:w="1559" w:type="dxa"/>
            <w:shd w:val="clear" w:color="auto" w:fill="auto"/>
            <w:vAlign w:val="center"/>
          </w:tcPr>
          <w:p w14:paraId="12ACBFCA" w14:textId="77777777" w:rsidR="00116CFB" w:rsidRPr="00404DA5" w:rsidRDefault="00116CFB" w:rsidP="004742DC">
            <w:pPr>
              <w:jc w:val="center"/>
              <w:rPr>
                <w:rFonts w:cs="Calibri"/>
                <w:sz w:val="18"/>
                <w:szCs w:val="20"/>
              </w:rPr>
            </w:pPr>
            <w:r w:rsidRPr="00404DA5">
              <w:rPr>
                <w:rFonts w:cs="Calibri"/>
                <w:sz w:val="18"/>
                <w:szCs w:val="20"/>
              </w:rPr>
              <w:t>22</w:t>
            </w:r>
          </w:p>
        </w:tc>
        <w:tc>
          <w:tcPr>
            <w:tcW w:w="1525" w:type="dxa"/>
            <w:shd w:val="clear" w:color="auto" w:fill="auto"/>
            <w:vAlign w:val="center"/>
          </w:tcPr>
          <w:p w14:paraId="08465A4A" w14:textId="77777777" w:rsidR="00116CFB" w:rsidRPr="00404DA5" w:rsidRDefault="00116CFB" w:rsidP="004742DC">
            <w:pPr>
              <w:jc w:val="center"/>
              <w:rPr>
                <w:rFonts w:cs="Calibri"/>
                <w:sz w:val="18"/>
                <w:szCs w:val="20"/>
              </w:rPr>
            </w:pPr>
            <w:r w:rsidRPr="00404DA5">
              <w:rPr>
                <w:rFonts w:cs="Calibri"/>
                <w:sz w:val="18"/>
                <w:szCs w:val="20"/>
              </w:rPr>
              <w:t>75,2%</w:t>
            </w:r>
          </w:p>
        </w:tc>
      </w:tr>
      <w:tr w:rsidR="00116CFB" w:rsidRPr="001E19EF" w14:paraId="3FC56B11" w14:textId="77777777" w:rsidTr="004742DC">
        <w:trPr>
          <w:trHeight w:val="672"/>
        </w:trPr>
        <w:tc>
          <w:tcPr>
            <w:tcW w:w="0" w:type="auto"/>
            <w:shd w:val="clear" w:color="auto" w:fill="auto"/>
            <w:vAlign w:val="center"/>
          </w:tcPr>
          <w:p w14:paraId="104168E8" w14:textId="77777777" w:rsidR="00116CFB" w:rsidRPr="00404DA5" w:rsidRDefault="00116CFB" w:rsidP="004742DC">
            <w:pPr>
              <w:rPr>
                <w:rFonts w:cs="Calibri"/>
                <w:sz w:val="18"/>
                <w:szCs w:val="20"/>
              </w:rPr>
            </w:pPr>
            <w:r w:rsidRPr="00404DA5">
              <w:rPr>
                <w:rFonts w:cs="Calibri"/>
                <w:sz w:val="18"/>
                <w:szCs w:val="20"/>
              </w:rPr>
              <w:t>WP</w:t>
            </w:r>
          </w:p>
        </w:tc>
        <w:tc>
          <w:tcPr>
            <w:tcW w:w="3630" w:type="dxa"/>
            <w:shd w:val="clear" w:color="auto" w:fill="auto"/>
            <w:vAlign w:val="center"/>
          </w:tcPr>
          <w:p w14:paraId="386252A4" w14:textId="77777777" w:rsidR="00116CFB" w:rsidRPr="00404DA5" w:rsidRDefault="00116CFB" w:rsidP="004742DC">
            <w:pPr>
              <w:rPr>
                <w:rFonts w:cs="Calibri"/>
                <w:sz w:val="18"/>
                <w:szCs w:val="20"/>
              </w:rPr>
            </w:pPr>
            <w:r w:rsidRPr="00404DA5">
              <w:rPr>
                <w:rFonts w:cs="Calibri"/>
                <w:color w:val="000000"/>
                <w:sz w:val="18"/>
                <w:szCs w:val="20"/>
              </w:rPr>
              <w:t xml:space="preserve">Liczba udostępnionych on-line usług na poziomie 4 – transakcja </w:t>
            </w:r>
          </w:p>
        </w:tc>
        <w:tc>
          <w:tcPr>
            <w:tcW w:w="1560" w:type="dxa"/>
            <w:shd w:val="clear" w:color="auto" w:fill="auto"/>
            <w:vAlign w:val="center"/>
          </w:tcPr>
          <w:p w14:paraId="2F09268F" w14:textId="77777777" w:rsidR="00116CFB" w:rsidRPr="00404DA5" w:rsidRDefault="00116CFB" w:rsidP="004742DC">
            <w:pPr>
              <w:jc w:val="center"/>
              <w:rPr>
                <w:rFonts w:cs="Calibri"/>
                <w:sz w:val="18"/>
                <w:szCs w:val="20"/>
              </w:rPr>
            </w:pPr>
            <w:r w:rsidRPr="00404DA5">
              <w:rPr>
                <w:rFonts w:cs="Calibri"/>
                <w:color w:val="000000"/>
                <w:sz w:val="18"/>
                <w:szCs w:val="20"/>
              </w:rPr>
              <w:t>18</w:t>
            </w:r>
          </w:p>
        </w:tc>
        <w:tc>
          <w:tcPr>
            <w:tcW w:w="1559" w:type="dxa"/>
            <w:shd w:val="clear" w:color="auto" w:fill="auto"/>
            <w:vAlign w:val="center"/>
          </w:tcPr>
          <w:p w14:paraId="0D1912A5" w14:textId="77777777" w:rsidR="00116CFB" w:rsidRPr="00404DA5" w:rsidRDefault="00116CFB" w:rsidP="004742DC">
            <w:pPr>
              <w:jc w:val="center"/>
              <w:rPr>
                <w:rFonts w:cs="Calibri"/>
                <w:sz w:val="18"/>
                <w:szCs w:val="20"/>
              </w:rPr>
            </w:pPr>
            <w:r w:rsidRPr="00404DA5">
              <w:rPr>
                <w:rFonts w:cs="Calibri"/>
                <w:sz w:val="18"/>
                <w:szCs w:val="20"/>
              </w:rPr>
              <w:t>13</w:t>
            </w:r>
          </w:p>
        </w:tc>
        <w:tc>
          <w:tcPr>
            <w:tcW w:w="1525" w:type="dxa"/>
            <w:shd w:val="clear" w:color="auto" w:fill="auto"/>
            <w:vAlign w:val="center"/>
          </w:tcPr>
          <w:p w14:paraId="15ECFD7D" w14:textId="77777777" w:rsidR="00116CFB" w:rsidRPr="00404DA5" w:rsidRDefault="00116CFB" w:rsidP="004742DC">
            <w:pPr>
              <w:jc w:val="center"/>
              <w:rPr>
                <w:rFonts w:cs="Calibri"/>
                <w:sz w:val="18"/>
                <w:szCs w:val="20"/>
              </w:rPr>
            </w:pPr>
            <w:r w:rsidRPr="00404DA5">
              <w:rPr>
                <w:rFonts w:cs="Calibri"/>
                <w:sz w:val="18"/>
                <w:szCs w:val="20"/>
              </w:rPr>
              <w:t>72,7%</w:t>
            </w:r>
          </w:p>
        </w:tc>
      </w:tr>
    </w:tbl>
    <w:p w14:paraId="13A95008" w14:textId="77777777" w:rsidR="00116CFB" w:rsidRPr="00D21299" w:rsidRDefault="00116CFB" w:rsidP="001245CE">
      <w:pPr>
        <w:spacing w:before="0"/>
        <w:rPr>
          <w:i/>
          <w:sz w:val="18"/>
          <w:szCs w:val="20"/>
        </w:rPr>
      </w:pPr>
      <w:r w:rsidRPr="00D21299">
        <w:rPr>
          <w:i/>
          <w:sz w:val="18"/>
          <w:szCs w:val="20"/>
        </w:rPr>
        <w:t>Źródło: RPO WZ 2014-2020</w:t>
      </w:r>
      <w:r w:rsidR="00E66B89" w:rsidRPr="00D21299">
        <w:rPr>
          <w:i/>
          <w:sz w:val="18"/>
          <w:szCs w:val="20"/>
        </w:rPr>
        <w:t xml:space="preserve"> z </w:t>
      </w:r>
      <w:r w:rsidRPr="00D21299">
        <w:rPr>
          <w:i/>
          <w:sz w:val="18"/>
          <w:szCs w:val="20"/>
        </w:rPr>
        <w:t>26.07.2018 r., dane SL2014</w:t>
      </w:r>
      <w:r w:rsidR="00E66B89" w:rsidRPr="00D21299">
        <w:rPr>
          <w:i/>
          <w:sz w:val="18"/>
          <w:szCs w:val="20"/>
        </w:rPr>
        <w:t xml:space="preserve"> o </w:t>
      </w:r>
      <w:r w:rsidRPr="00D21299">
        <w:rPr>
          <w:i/>
          <w:sz w:val="18"/>
          <w:szCs w:val="20"/>
        </w:rPr>
        <w:t>zawartych UoD na dzień 07.01.2019 r., obliczenia</w:t>
      </w:r>
      <w:r w:rsidR="00E66B89" w:rsidRPr="00D21299">
        <w:rPr>
          <w:i/>
          <w:sz w:val="18"/>
          <w:szCs w:val="20"/>
        </w:rPr>
        <w:t xml:space="preserve"> i </w:t>
      </w:r>
      <w:r w:rsidRPr="00D21299">
        <w:rPr>
          <w:i/>
          <w:sz w:val="18"/>
          <w:szCs w:val="20"/>
        </w:rPr>
        <w:t xml:space="preserve">analizy własne. </w:t>
      </w:r>
    </w:p>
    <w:p w14:paraId="6170091D" w14:textId="77777777" w:rsidR="00116CFB" w:rsidRDefault="00116CFB" w:rsidP="00116CFB">
      <w:pPr>
        <w:rPr>
          <w:rFonts w:cs="Calibri"/>
          <w:szCs w:val="20"/>
        </w:rPr>
      </w:pPr>
      <w:r>
        <w:rPr>
          <w:rFonts w:cs="Calibri"/>
          <w:szCs w:val="20"/>
        </w:rPr>
        <w:t>Można stwierdzić</w:t>
      </w:r>
      <w:r w:rsidRPr="00404DA5">
        <w:rPr>
          <w:rFonts w:cs="Calibri"/>
          <w:szCs w:val="20"/>
        </w:rPr>
        <w:t xml:space="preserve"> zatem, że aktualny poziom kontraktacji wskaźników</w:t>
      </w:r>
      <w:r w:rsidR="00E66B89">
        <w:rPr>
          <w:rFonts w:cs="Calibri"/>
          <w:szCs w:val="20"/>
        </w:rPr>
        <w:t xml:space="preserve"> w </w:t>
      </w:r>
      <w:r w:rsidRPr="00404DA5">
        <w:rPr>
          <w:rFonts w:cs="Calibri"/>
          <w:szCs w:val="20"/>
        </w:rPr>
        <w:t>połączeniu</w:t>
      </w:r>
      <w:r w:rsidR="00E66B89">
        <w:rPr>
          <w:rFonts w:cs="Calibri"/>
          <w:szCs w:val="20"/>
        </w:rPr>
        <w:t xml:space="preserve"> z </w:t>
      </w:r>
      <w:r w:rsidRPr="00404DA5">
        <w:rPr>
          <w:rFonts w:cs="Calibri"/>
          <w:szCs w:val="20"/>
        </w:rPr>
        <w:t>przeprowadzonymi szacunkami nie zapewnia realizacji określonych wartości docelowych. Głównym problemem</w:t>
      </w:r>
      <w:r w:rsidR="00E66B89">
        <w:rPr>
          <w:rFonts w:cs="Calibri"/>
          <w:szCs w:val="20"/>
        </w:rPr>
        <w:t xml:space="preserve"> w </w:t>
      </w:r>
      <w:r w:rsidRPr="00404DA5">
        <w:rPr>
          <w:rFonts w:cs="Calibri"/>
          <w:szCs w:val="20"/>
        </w:rPr>
        <w:t xml:space="preserve">ich </w:t>
      </w:r>
      <w:r w:rsidR="00BB2B6A" w:rsidRPr="00404DA5">
        <w:rPr>
          <w:rFonts w:cs="Calibri"/>
          <w:szCs w:val="20"/>
        </w:rPr>
        <w:t>osiągnięciu</w:t>
      </w:r>
      <w:r w:rsidRPr="00404DA5">
        <w:rPr>
          <w:rFonts w:cs="Calibri"/>
          <w:szCs w:val="20"/>
        </w:rPr>
        <w:t xml:space="preserve"> jest relatywnie wysoki koszt jednostkowy uzyskiwania poszczególnych mierników oraz –</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tym - niedostateczna kwota alokacji, która została przeznaczona na PI 2c</w:t>
      </w:r>
      <w:r w:rsidR="00E66B89">
        <w:rPr>
          <w:rFonts w:cs="Calibri"/>
          <w:szCs w:val="20"/>
        </w:rPr>
        <w:t xml:space="preserve"> i </w:t>
      </w:r>
      <w:r w:rsidRPr="00404DA5">
        <w:rPr>
          <w:rFonts w:cs="Calibri"/>
          <w:szCs w:val="20"/>
        </w:rPr>
        <w:t>która niemal</w:t>
      </w:r>
      <w:r w:rsidR="00E66B89">
        <w:rPr>
          <w:rFonts w:cs="Calibri"/>
          <w:szCs w:val="20"/>
        </w:rPr>
        <w:t xml:space="preserve"> w </w:t>
      </w:r>
      <w:r w:rsidRPr="00404DA5">
        <w:rPr>
          <w:rFonts w:cs="Calibri"/>
          <w:szCs w:val="20"/>
        </w:rPr>
        <w:t>całości została już zakontraktowana</w:t>
      </w:r>
      <w:r w:rsidR="00E66B89">
        <w:rPr>
          <w:rFonts w:cs="Calibri"/>
          <w:szCs w:val="20"/>
        </w:rPr>
        <w:t xml:space="preserve"> w </w:t>
      </w:r>
      <w:r w:rsidRPr="00404DA5">
        <w:rPr>
          <w:rFonts w:cs="Calibri"/>
          <w:szCs w:val="20"/>
        </w:rPr>
        <w:t>ramach dwóch projektów pozakonkursowych. Jak już wskazywano, dla pełnej realizacji założeń potrzebne byłoby przeznaczenie środków</w:t>
      </w:r>
      <w:r w:rsidR="00E66B89">
        <w:rPr>
          <w:rFonts w:cs="Calibri"/>
          <w:szCs w:val="20"/>
        </w:rPr>
        <w:t xml:space="preserve"> w </w:t>
      </w:r>
      <w:r w:rsidRPr="00404DA5">
        <w:rPr>
          <w:rFonts w:cs="Calibri"/>
          <w:szCs w:val="20"/>
        </w:rPr>
        <w:t>wysokości od 36 mln zł (w przypadku wskaźników dotyczących udostępnienia e-usług) do nawet 114 mln zł (w przypadku wskaźnika dotyczącego liczby instytucji, które usprawniły funkcjonowanie dzięki awansowi cyfrowemu). Dostępna kwota alokacji</w:t>
      </w:r>
      <w:r w:rsidR="00E66B89">
        <w:rPr>
          <w:rFonts w:cs="Calibri"/>
          <w:szCs w:val="20"/>
        </w:rPr>
        <w:t xml:space="preserve"> w </w:t>
      </w:r>
      <w:r w:rsidRPr="00404DA5">
        <w:rPr>
          <w:rFonts w:cs="Calibri"/>
          <w:szCs w:val="20"/>
        </w:rPr>
        <w:t>ramach PI 2c wysokości 7,4 mln zł wydaje się zbyt mała, by skutecznie przeprowadzić jakikolwiek nabór</w:t>
      </w:r>
      <w:r w:rsidR="00E66B89">
        <w:rPr>
          <w:rFonts w:cs="Calibri"/>
          <w:szCs w:val="20"/>
        </w:rPr>
        <w:t xml:space="preserve"> w </w:t>
      </w:r>
      <w:r w:rsidRPr="00404DA5">
        <w:rPr>
          <w:rFonts w:cs="Calibri"/>
          <w:szCs w:val="20"/>
        </w:rPr>
        <w:t>tym obszarze wsparcia.</w:t>
      </w:r>
      <w:r>
        <w:rPr>
          <w:rFonts w:cs="Calibri"/>
          <w:szCs w:val="20"/>
        </w:rPr>
        <w:t xml:space="preserve"> </w:t>
      </w:r>
    </w:p>
    <w:p w14:paraId="221A7EF2" w14:textId="77777777" w:rsidR="00116CFB" w:rsidRPr="00404DA5" w:rsidRDefault="00116CFB" w:rsidP="00116CFB">
      <w:pPr>
        <w:rPr>
          <w:rFonts w:cs="Calibri"/>
          <w:szCs w:val="20"/>
        </w:rPr>
      </w:pPr>
      <w:r>
        <w:rPr>
          <w:rFonts w:cs="Calibri"/>
          <w:szCs w:val="20"/>
        </w:rPr>
        <w:t>Na tej podstawie można wskazać, że na etapie programowania przeznaczono jednak niewystarczającą kwotę alokacji względem postawionych celów wskaźnikowych.</w:t>
      </w:r>
      <w:r w:rsidR="00E66B89">
        <w:rPr>
          <w:rFonts w:cs="Calibri"/>
          <w:szCs w:val="20"/>
        </w:rPr>
        <w:t xml:space="preserve"> Z </w:t>
      </w:r>
      <w:r>
        <w:rPr>
          <w:rFonts w:cs="Calibri"/>
          <w:szCs w:val="20"/>
        </w:rPr>
        <w:t>uwagi na to, że wskaźniki te mogą być generowane przez wszystkie typy interwencji wskazane</w:t>
      </w:r>
      <w:r w:rsidR="00E66B89">
        <w:rPr>
          <w:rFonts w:cs="Calibri"/>
          <w:szCs w:val="20"/>
        </w:rPr>
        <w:t xml:space="preserve"> w </w:t>
      </w:r>
      <w:r>
        <w:rPr>
          <w:rFonts w:cs="Calibri"/>
          <w:szCs w:val="20"/>
        </w:rPr>
        <w:t>RPO, wniosek</w:t>
      </w:r>
      <w:r w:rsidR="00E66B89">
        <w:rPr>
          <w:rFonts w:cs="Calibri"/>
          <w:szCs w:val="20"/>
        </w:rPr>
        <w:t xml:space="preserve"> o </w:t>
      </w:r>
      <w:r>
        <w:rPr>
          <w:rFonts w:cs="Calibri"/>
          <w:szCs w:val="20"/>
        </w:rPr>
        <w:t xml:space="preserve">niedostatecznej alokacji dotyczy zatem całego PI 2c (zarówno projektów nastawionych na </w:t>
      </w:r>
      <w:r>
        <w:t>wsparcie rozwoju elektronicznych usług publicznych</w:t>
      </w:r>
      <w:r>
        <w:rPr>
          <w:rFonts w:cs="Calibri"/>
          <w:szCs w:val="20"/>
        </w:rPr>
        <w:t xml:space="preserve">, </w:t>
      </w:r>
      <w:r>
        <w:t>wsparcie digitalizacji zasobów kulturowych, naukowych, jak</w:t>
      </w:r>
      <w:r w:rsidR="00E66B89">
        <w:t xml:space="preserve"> i </w:t>
      </w:r>
      <w:r>
        <w:t>na rozwój infrastruktury informatycznej).</w:t>
      </w:r>
    </w:p>
    <w:p w14:paraId="49BBC77D" w14:textId="77777777" w:rsidR="00BB2A44" w:rsidRDefault="00BB2A44">
      <w:pPr>
        <w:spacing w:before="0" w:after="0" w:line="240" w:lineRule="auto"/>
        <w:jc w:val="left"/>
        <w:rPr>
          <w:rFonts w:eastAsia="Calibri"/>
          <w:b/>
          <w:bCs/>
          <w:i/>
          <w:iCs/>
          <w:color w:val="4F81BD"/>
          <w:szCs w:val="20"/>
          <w:lang w:val="x-none" w:eastAsia="x-none"/>
        </w:rPr>
      </w:pPr>
      <w:r>
        <w:rPr>
          <w:rFonts w:eastAsia="Calibri"/>
          <w:szCs w:val="20"/>
        </w:rPr>
        <w:br w:type="page"/>
      </w:r>
    </w:p>
    <w:p w14:paraId="6D84C27C" w14:textId="262A8EFA" w:rsidR="00116CFB" w:rsidRPr="00801DB4" w:rsidRDefault="00116CFB" w:rsidP="00116CFB">
      <w:pPr>
        <w:pStyle w:val="Nagwek4"/>
        <w:numPr>
          <w:ilvl w:val="0"/>
          <w:numId w:val="0"/>
        </w:numPr>
        <w:rPr>
          <w:rFonts w:ascii="Lato" w:eastAsia="Calibri" w:hAnsi="Lato"/>
          <w:szCs w:val="20"/>
        </w:rPr>
      </w:pPr>
      <w:r w:rsidRPr="00801DB4">
        <w:rPr>
          <w:rFonts w:ascii="Lato" w:eastAsia="Calibri" w:hAnsi="Lato"/>
          <w:szCs w:val="20"/>
        </w:rPr>
        <w:lastRenderedPageBreak/>
        <w:t>Możliwości zarządzania środkami rezerwy wykonania</w:t>
      </w:r>
      <w:r w:rsidR="00E66B89">
        <w:rPr>
          <w:rFonts w:ascii="Lato" w:eastAsia="Calibri" w:hAnsi="Lato"/>
          <w:szCs w:val="20"/>
        </w:rPr>
        <w:t xml:space="preserve"> i </w:t>
      </w:r>
      <w:r w:rsidRPr="00801DB4">
        <w:rPr>
          <w:rFonts w:ascii="Lato" w:eastAsia="Calibri" w:hAnsi="Lato"/>
          <w:szCs w:val="20"/>
        </w:rPr>
        <w:t>identyfikacja obszarów wymagających interwencji - podsumowanie</w:t>
      </w:r>
    </w:p>
    <w:p w14:paraId="1925EE35" w14:textId="77777777" w:rsidR="00116CFB" w:rsidRPr="00404DA5" w:rsidRDefault="00116CFB" w:rsidP="00116CFB">
      <w:pPr>
        <w:rPr>
          <w:rFonts w:cs="Calibri"/>
          <w:szCs w:val="20"/>
        </w:rPr>
      </w:pPr>
      <w:r w:rsidRPr="00404DA5">
        <w:rPr>
          <w:rFonts w:cs="Calibri"/>
          <w:szCs w:val="20"/>
        </w:rPr>
        <w:t>Mając na uwadze powyższe informacje można wskazać, że</w:t>
      </w:r>
      <w:r w:rsidR="00E66B89">
        <w:rPr>
          <w:rFonts w:cs="Calibri"/>
          <w:szCs w:val="20"/>
        </w:rPr>
        <w:t xml:space="preserve"> w </w:t>
      </w:r>
      <w:r w:rsidRPr="00404DA5">
        <w:rPr>
          <w:rFonts w:cs="Calibri"/>
          <w:szCs w:val="20"/>
        </w:rPr>
        <w:t xml:space="preserve">przypadku PI 2c niezbędne </w:t>
      </w:r>
      <w:r>
        <w:rPr>
          <w:rFonts w:cs="Calibri"/>
          <w:szCs w:val="20"/>
        </w:rPr>
        <w:t>będzie</w:t>
      </w:r>
      <w:r w:rsidRPr="00404DA5">
        <w:rPr>
          <w:rFonts w:cs="Calibri"/>
          <w:szCs w:val="20"/>
        </w:rPr>
        <w:t xml:space="preserve"> przeprowadzenie,</w:t>
      </w:r>
      <w:r w:rsidR="00E66B89">
        <w:rPr>
          <w:rFonts w:cs="Calibri"/>
          <w:szCs w:val="20"/>
        </w:rPr>
        <w:t xml:space="preserve"> w </w:t>
      </w:r>
      <w:r w:rsidRPr="00404DA5">
        <w:rPr>
          <w:rFonts w:cs="Calibri"/>
          <w:szCs w:val="20"/>
        </w:rPr>
        <w:t xml:space="preserve">niedalekiej przyszłości, </w:t>
      </w:r>
      <w:r>
        <w:rPr>
          <w:rFonts w:cs="Calibri"/>
          <w:szCs w:val="20"/>
        </w:rPr>
        <w:t>naboru konkursowego</w:t>
      </w:r>
      <w:r w:rsidRPr="00404DA5">
        <w:rPr>
          <w:rFonts w:cs="Calibri"/>
          <w:szCs w:val="20"/>
        </w:rPr>
        <w:t>.</w:t>
      </w:r>
      <w:r w:rsidR="00E66B89">
        <w:rPr>
          <w:rFonts w:cs="Calibri"/>
          <w:szCs w:val="20"/>
        </w:rPr>
        <w:t xml:space="preserve"> Z </w:t>
      </w:r>
      <w:r w:rsidRPr="00404DA5">
        <w:rPr>
          <w:rFonts w:cs="Calibri"/>
          <w:szCs w:val="20"/>
        </w:rPr>
        <w:t>uwagi na to, że dotychczasowy brak konkursów nie pozwala na ocenę realnego potencjału aplikacyjnego</w:t>
      </w:r>
      <w:r w:rsidR="00E66B89">
        <w:rPr>
          <w:rFonts w:cs="Calibri"/>
          <w:szCs w:val="20"/>
        </w:rPr>
        <w:t xml:space="preserve"> w </w:t>
      </w:r>
      <w:r w:rsidRPr="00404DA5">
        <w:rPr>
          <w:rFonts w:cs="Calibri"/>
          <w:szCs w:val="20"/>
        </w:rPr>
        <w:t>tym obszarze, zasadne byłoby przeprowadzenie konkursu zakładającego wsparcie wszystkich trzech typów projektów. By jednak taki konkurs przeprowadzić, niezbędne byłoby realokowanie dodatkowych środków na PI 2c. Dostępna bowiem aktualnie kwota 7,4 mln zł wydaję się zdecydowanie zbyt niska</w:t>
      </w:r>
      <w:r>
        <w:rPr>
          <w:rFonts w:cs="Calibri"/>
          <w:szCs w:val="20"/>
        </w:rPr>
        <w:t xml:space="preserve"> (dla porównania –</w:t>
      </w:r>
      <w:r w:rsidR="00E66B89">
        <w:rPr>
          <w:rFonts w:cs="Calibri"/>
          <w:szCs w:val="20"/>
        </w:rPr>
        <w:t xml:space="preserve"> w </w:t>
      </w:r>
      <w:r>
        <w:rPr>
          <w:rFonts w:cs="Calibri"/>
          <w:szCs w:val="20"/>
        </w:rPr>
        <w:t>regionie pomorskim na konkurs</w:t>
      </w:r>
      <w:r w:rsidR="00E66B89">
        <w:rPr>
          <w:rFonts w:cs="Calibri"/>
          <w:szCs w:val="20"/>
        </w:rPr>
        <w:t xml:space="preserve"> z </w:t>
      </w:r>
      <w:r>
        <w:rPr>
          <w:rFonts w:cs="Calibri"/>
          <w:szCs w:val="20"/>
        </w:rPr>
        <w:t>obszaru e-zdrowia przeznaczono 28,2 mln zł,</w:t>
      </w:r>
      <w:r w:rsidR="00E66B89">
        <w:rPr>
          <w:rFonts w:cs="Calibri"/>
          <w:szCs w:val="20"/>
        </w:rPr>
        <w:t xml:space="preserve"> a </w:t>
      </w:r>
      <w:r>
        <w:rPr>
          <w:rFonts w:cs="Calibri"/>
          <w:szCs w:val="20"/>
        </w:rPr>
        <w:t>ostatecznie wybrano 14 projektów, na które przeznaczono 32,7 mln zł alokacji)</w:t>
      </w:r>
      <w:r w:rsidRPr="00404DA5">
        <w:rPr>
          <w:rFonts w:cs="Calibri"/>
          <w:szCs w:val="20"/>
        </w:rPr>
        <w:t xml:space="preserve">. Analiza dotychczasowych planów IZ RPO WZ nie wskazuje jednak na zamiar podjęcia takiego działania. </w:t>
      </w:r>
    </w:p>
    <w:p w14:paraId="5F30351A" w14:textId="77777777" w:rsidR="00116CFB" w:rsidRPr="00116CFB" w:rsidRDefault="00116CFB" w:rsidP="00116CFB">
      <w:pPr>
        <w:rPr>
          <w:rFonts w:cs="Calibri"/>
          <w:szCs w:val="20"/>
        </w:rPr>
      </w:pPr>
      <w:r w:rsidRPr="00404DA5">
        <w:rPr>
          <w:rFonts w:cs="Calibri"/>
          <w:szCs w:val="20"/>
        </w:rPr>
        <w:t xml:space="preserve">Nawet gdyby zdecydowano się na realokację środków na PI 2c, to szansa zrealizowania założonych wartości docelowych wydaje się </w:t>
      </w:r>
      <w:r>
        <w:rPr>
          <w:rFonts w:cs="Calibri"/>
          <w:szCs w:val="20"/>
        </w:rPr>
        <w:t>niewielka</w:t>
      </w:r>
      <w:r w:rsidRPr="00404DA5">
        <w:rPr>
          <w:rFonts w:cs="Calibri"/>
          <w:szCs w:val="20"/>
        </w:rPr>
        <w:t>. Wpływ na to będzie miał nie tylko relatywnie wysoki koszt jednostkowy poszczególnych wskaźników, ale także fakt, że potencjalni wnioskodawcy będą dokonywać wyboru</w:t>
      </w:r>
      <w:r w:rsidR="00E66B89">
        <w:rPr>
          <w:rFonts w:cs="Calibri"/>
          <w:szCs w:val="20"/>
        </w:rPr>
        <w:t xml:space="preserve"> w </w:t>
      </w:r>
      <w:r w:rsidRPr="00404DA5">
        <w:rPr>
          <w:rFonts w:cs="Calibri"/>
          <w:szCs w:val="20"/>
        </w:rPr>
        <w:t>zakresie tego, jakie potrzeby chcieliby jeszcze zrealizować</w:t>
      </w:r>
      <w:r w:rsidR="00E66B89">
        <w:rPr>
          <w:rFonts w:cs="Calibri"/>
          <w:szCs w:val="20"/>
        </w:rPr>
        <w:t xml:space="preserve"> w </w:t>
      </w:r>
      <w:r w:rsidRPr="00404DA5">
        <w:rPr>
          <w:rFonts w:cs="Calibri"/>
          <w:szCs w:val="20"/>
        </w:rPr>
        <w:t>najbliższych latach uwzględniając np. dostępne środki mogące stanowić ich wkład własny oraz sytuację na rynku wykonawców/dostawców.</w:t>
      </w:r>
      <w:r>
        <w:rPr>
          <w:rFonts w:cs="Calibri"/>
          <w:szCs w:val="20"/>
        </w:rPr>
        <w:t xml:space="preserve"> Dotychczasowe doświadczenia wskazują zaś na istotny problem</w:t>
      </w:r>
      <w:r w:rsidR="00E66B89">
        <w:rPr>
          <w:rFonts w:cs="Calibri"/>
          <w:szCs w:val="20"/>
        </w:rPr>
        <w:t xml:space="preserve"> w </w:t>
      </w:r>
      <w:r>
        <w:rPr>
          <w:rFonts w:cs="Calibri"/>
          <w:szCs w:val="20"/>
        </w:rPr>
        <w:t>pozyskiwaniu wykonawców na projekty IT</w:t>
      </w:r>
      <w:r w:rsidR="00E66B89">
        <w:rPr>
          <w:rFonts w:cs="Calibri"/>
          <w:szCs w:val="20"/>
        </w:rPr>
        <w:t xml:space="preserve"> w </w:t>
      </w:r>
      <w:r>
        <w:rPr>
          <w:rFonts w:cs="Calibri"/>
          <w:szCs w:val="20"/>
        </w:rPr>
        <w:t>kraju, powszechnym problemem jest wzrost cen takich usług oraz brak ofert</w:t>
      </w:r>
      <w:r w:rsidR="00E66B89">
        <w:rPr>
          <w:rFonts w:cs="Calibri"/>
          <w:szCs w:val="20"/>
        </w:rPr>
        <w:t xml:space="preserve"> w </w:t>
      </w:r>
      <w:r>
        <w:rPr>
          <w:rFonts w:cs="Calibri"/>
          <w:szCs w:val="20"/>
        </w:rPr>
        <w:t>postępowaniach przetargowych.</w:t>
      </w:r>
      <w:r w:rsidRPr="00404DA5">
        <w:rPr>
          <w:rFonts w:cs="Calibri"/>
          <w:szCs w:val="20"/>
        </w:rPr>
        <w:t xml:space="preserve"> </w:t>
      </w:r>
      <w:r>
        <w:rPr>
          <w:rFonts w:cs="Calibri"/>
          <w:szCs w:val="20"/>
        </w:rPr>
        <w:t>Ponadto, jak pokazały wyniki CAWI, zdecydowana większość podmiotów zainteresowanych ubieganiem się</w:t>
      </w:r>
      <w:r w:rsidR="00E66B89">
        <w:rPr>
          <w:rFonts w:cs="Calibri"/>
          <w:szCs w:val="20"/>
        </w:rPr>
        <w:t xml:space="preserve"> o </w:t>
      </w:r>
      <w:r>
        <w:rPr>
          <w:rFonts w:cs="Calibri"/>
          <w:szCs w:val="20"/>
        </w:rPr>
        <w:t>wsparcie</w:t>
      </w:r>
      <w:r w:rsidR="00E66B89">
        <w:rPr>
          <w:rFonts w:cs="Calibri"/>
          <w:szCs w:val="20"/>
        </w:rPr>
        <w:t xml:space="preserve"> w </w:t>
      </w:r>
      <w:r>
        <w:rPr>
          <w:rFonts w:cs="Calibri"/>
          <w:szCs w:val="20"/>
        </w:rPr>
        <w:t>tym obszarze, nie posiada przygotowanych dokumentów niezbędnych do złożenia WoD.</w:t>
      </w:r>
      <w:r w:rsidR="00E66B89">
        <w:rPr>
          <w:rFonts w:cs="Calibri"/>
          <w:szCs w:val="20"/>
        </w:rPr>
        <w:t xml:space="preserve"> W </w:t>
      </w:r>
      <w:r w:rsidRPr="00404DA5">
        <w:rPr>
          <w:rFonts w:cs="Calibri"/>
          <w:szCs w:val="20"/>
        </w:rPr>
        <w:t>związku</w:t>
      </w:r>
      <w:r w:rsidR="00E66B89">
        <w:rPr>
          <w:rFonts w:cs="Calibri"/>
          <w:szCs w:val="20"/>
        </w:rPr>
        <w:t xml:space="preserve"> z </w:t>
      </w:r>
      <w:r w:rsidRPr="00404DA5">
        <w:rPr>
          <w:rFonts w:cs="Calibri"/>
          <w:szCs w:val="20"/>
        </w:rPr>
        <w:t xml:space="preserve">tym </w:t>
      </w:r>
      <w:r>
        <w:rPr>
          <w:rFonts w:cs="Calibri"/>
          <w:szCs w:val="20"/>
        </w:rPr>
        <w:t>sugeruje</w:t>
      </w:r>
      <w:r w:rsidRPr="00404DA5">
        <w:rPr>
          <w:rFonts w:cs="Calibri"/>
          <w:szCs w:val="20"/>
        </w:rPr>
        <w:t xml:space="preserve"> się podjęcie działań zmierzających do zmiany</w:t>
      </w:r>
      <w:r>
        <w:rPr>
          <w:rFonts w:cs="Calibri"/>
          <w:szCs w:val="20"/>
        </w:rPr>
        <w:t xml:space="preserve"> (tj. obniżenia)</w:t>
      </w:r>
      <w:r w:rsidRPr="00404DA5">
        <w:rPr>
          <w:rFonts w:cs="Calibri"/>
          <w:szCs w:val="20"/>
        </w:rPr>
        <w:t xml:space="preserve"> wartości wskaźników docelowych do poziomu</w:t>
      </w:r>
      <w:r w:rsidR="00E66B89">
        <w:rPr>
          <w:rFonts w:cs="Calibri"/>
          <w:szCs w:val="20"/>
        </w:rPr>
        <w:t xml:space="preserve"> z </w:t>
      </w:r>
      <w:r w:rsidRPr="00404DA5">
        <w:rPr>
          <w:rFonts w:cs="Calibri"/>
          <w:szCs w:val="20"/>
        </w:rPr>
        <w:t>obowiązujących UoD, po uprzednim rozstrzygnięciu planowanego konkursu.</w:t>
      </w:r>
      <w:r w:rsidR="00E66B89">
        <w:rPr>
          <w:rFonts w:cs="Calibri"/>
          <w:szCs w:val="20"/>
        </w:rPr>
        <w:t xml:space="preserve"> Z </w:t>
      </w:r>
      <w:r w:rsidRPr="00404DA5">
        <w:rPr>
          <w:rFonts w:cs="Calibri"/>
          <w:szCs w:val="20"/>
        </w:rPr>
        <w:t>uwagi jednak na to, że</w:t>
      </w:r>
      <w:r w:rsidR="00E66B89">
        <w:rPr>
          <w:rFonts w:cs="Calibri"/>
          <w:szCs w:val="20"/>
        </w:rPr>
        <w:t xml:space="preserve"> w </w:t>
      </w:r>
      <w:r w:rsidRPr="00404DA5">
        <w:rPr>
          <w:rFonts w:cs="Calibri"/>
          <w:szCs w:val="20"/>
        </w:rPr>
        <w:t xml:space="preserve">chwili obecnej nie jest możliwe określenie ile UoD może zostać zawarte oraz jaki będzie ich ostateczny wpływ na wartości wskaźników, nie jest możliwe jednoznaczne określenie proponowanych wartości docelowych po aktualizacji. </w:t>
      </w:r>
    </w:p>
    <w:p w14:paraId="57721C15" w14:textId="77777777" w:rsidR="00C10C7F" w:rsidRPr="00801DB4" w:rsidRDefault="00BE254B" w:rsidP="00D45914">
      <w:pPr>
        <w:pStyle w:val="Nagwek1"/>
      </w:pPr>
      <w:bookmarkStart w:id="358" w:name="_Toc6523754"/>
      <w:r w:rsidRPr="00801DB4">
        <w:t>OCENA SKUTECZNOŚCI MECHANIZMÓW TERYTORIALNYCH</w:t>
      </w:r>
      <w:bookmarkEnd w:id="358"/>
      <w:r w:rsidRPr="00801DB4">
        <w:t xml:space="preserve"> </w:t>
      </w:r>
    </w:p>
    <w:p w14:paraId="4FAC3236" w14:textId="77777777" w:rsidR="00C10C7F" w:rsidRPr="00404DA5" w:rsidRDefault="00C10C7F" w:rsidP="00404DA5">
      <w:pPr>
        <w:shd w:val="clear" w:color="auto" w:fill="DBE5F1"/>
        <w:rPr>
          <w:rFonts w:cs="Calibri"/>
          <w:szCs w:val="20"/>
        </w:rPr>
      </w:pPr>
      <w:r w:rsidRPr="00404DA5">
        <w:rPr>
          <w:rFonts w:cs="Calibri"/>
          <w:szCs w:val="20"/>
        </w:rPr>
        <w:t>17. Jak wygląda porównanie realizacji projektów dotyczących Polityki Terytorialnej (z tymi realizowanymi poza Polityką Terytorialną) pod kątem ich skuteczności</w:t>
      </w:r>
      <w:r w:rsidR="00E66B89">
        <w:rPr>
          <w:rFonts w:cs="Calibri"/>
          <w:szCs w:val="20"/>
        </w:rPr>
        <w:t xml:space="preserve"> i </w:t>
      </w:r>
      <w:r w:rsidRPr="00404DA5">
        <w:rPr>
          <w:rFonts w:cs="Calibri"/>
          <w:szCs w:val="20"/>
        </w:rPr>
        <w:t>użyteczności?</w:t>
      </w:r>
    </w:p>
    <w:p w14:paraId="1C0F20A1" w14:textId="77777777" w:rsidR="00BB3F8F" w:rsidRPr="00CB3F77" w:rsidRDefault="00CB79B5">
      <w:pPr>
        <w:rPr>
          <w:rFonts w:cs="Calibri"/>
          <w:szCs w:val="20"/>
        </w:rPr>
      </w:pPr>
      <w:r w:rsidRPr="00CB3F77">
        <w:rPr>
          <w:rFonts w:cs="Calibri"/>
          <w:szCs w:val="20"/>
        </w:rPr>
        <w:t>W ramach RPO WZ 2014-2020 wdrażane są projekty dotyczące Polityki Terytorialnej.</w:t>
      </w:r>
      <w:r w:rsidR="00E66B89">
        <w:rPr>
          <w:rFonts w:cs="Calibri"/>
          <w:szCs w:val="20"/>
        </w:rPr>
        <w:t xml:space="preserve"> W </w:t>
      </w:r>
      <w:r w:rsidRPr="00CB3F77">
        <w:rPr>
          <w:rFonts w:cs="Calibri"/>
          <w:szCs w:val="20"/>
        </w:rPr>
        <w:t xml:space="preserve">tym celu wykorzystywane są dwa </w:t>
      </w:r>
      <w:r w:rsidR="0020546F" w:rsidRPr="00CB3F77">
        <w:rPr>
          <w:rFonts w:cs="Calibri"/>
          <w:szCs w:val="20"/>
        </w:rPr>
        <w:t xml:space="preserve">główne </w:t>
      </w:r>
      <w:r w:rsidRPr="00CB3F77">
        <w:rPr>
          <w:rFonts w:cs="Calibri"/>
          <w:szCs w:val="20"/>
        </w:rPr>
        <w:t xml:space="preserve">instrumenty: </w:t>
      </w:r>
      <w:r w:rsidRPr="008B706B">
        <w:rPr>
          <w:rFonts w:cs="Calibri"/>
          <w:b/>
          <w:szCs w:val="20"/>
        </w:rPr>
        <w:t>Zintegrowane Inwestycje Terytorialne</w:t>
      </w:r>
      <w:r w:rsidRPr="00CB3F77">
        <w:rPr>
          <w:rFonts w:cs="Calibri"/>
          <w:szCs w:val="20"/>
        </w:rPr>
        <w:t xml:space="preserve"> oraz </w:t>
      </w:r>
      <w:r w:rsidRPr="008B706B">
        <w:rPr>
          <w:rFonts w:cs="Calibri"/>
          <w:b/>
          <w:szCs w:val="20"/>
        </w:rPr>
        <w:t>Kontrakty Samorządowe</w:t>
      </w:r>
      <w:r w:rsidRPr="00CB3F77">
        <w:rPr>
          <w:rFonts w:cs="Calibri"/>
          <w:szCs w:val="20"/>
        </w:rPr>
        <w:t xml:space="preserve">. </w:t>
      </w:r>
    </w:p>
    <w:p w14:paraId="0B638041" w14:textId="77777777" w:rsidR="00BB3F8F" w:rsidRPr="008B706B" w:rsidRDefault="00BB3F8F">
      <w:pPr>
        <w:rPr>
          <w:rFonts w:cs="Arial"/>
          <w:color w:val="000000"/>
          <w:shd w:val="clear" w:color="auto" w:fill="FFFFFF"/>
        </w:rPr>
      </w:pPr>
      <w:r w:rsidRPr="008B706B">
        <w:rPr>
          <w:rFonts w:cs="Arial"/>
          <w:color w:val="000000"/>
          <w:shd w:val="clear" w:color="auto" w:fill="FFFFFF"/>
        </w:rPr>
        <w:t xml:space="preserve">W </w:t>
      </w:r>
      <w:r w:rsidR="00E17A39" w:rsidRPr="008B706B">
        <w:rPr>
          <w:rFonts w:cs="Arial"/>
          <w:color w:val="000000"/>
          <w:shd w:val="clear" w:color="auto" w:fill="FFFFFF"/>
        </w:rPr>
        <w:t>RPO WZ</w:t>
      </w:r>
      <w:r w:rsidRPr="008B706B">
        <w:rPr>
          <w:rFonts w:cs="Arial"/>
          <w:color w:val="000000"/>
          <w:shd w:val="clear" w:color="auto" w:fill="FFFFFF"/>
        </w:rPr>
        <w:t xml:space="preserve"> narzędzie ZIT dedykowane jest głównym ośrodkom wzrostu</w:t>
      </w:r>
      <w:r w:rsidR="00E66B89">
        <w:rPr>
          <w:rFonts w:cs="Arial"/>
          <w:color w:val="000000"/>
          <w:shd w:val="clear" w:color="auto" w:fill="FFFFFF"/>
        </w:rPr>
        <w:t xml:space="preserve"> w </w:t>
      </w:r>
      <w:r w:rsidRPr="008B706B">
        <w:rPr>
          <w:rFonts w:cs="Arial"/>
          <w:color w:val="000000"/>
          <w:shd w:val="clear" w:color="auto" w:fill="FFFFFF"/>
        </w:rPr>
        <w:t>województwie</w:t>
      </w:r>
      <w:r w:rsidR="00E66B89">
        <w:rPr>
          <w:rFonts w:cs="Arial"/>
          <w:color w:val="000000"/>
          <w:shd w:val="clear" w:color="auto" w:fill="FFFFFF"/>
        </w:rPr>
        <w:t xml:space="preserve"> i </w:t>
      </w:r>
      <w:r w:rsidRPr="008B706B">
        <w:rPr>
          <w:rFonts w:cs="Arial"/>
          <w:color w:val="000000"/>
          <w:shd w:val="clear" w:color="auto" w:fill="FFFFFF"/>
        </w:rPr>
        <w:t>obszarom dyfuzji procesów rozwojowych, tj. obszarom funkcjonalnym Szczecina</w:t>
      </w:r>
      <w:r w:rsidR="00E66B89">
        <w:rPr>
          <w:rFonts w:cs="Arial"/>
          <w:color w:val="000000"/>
          <w:shd w:val="clear" w:color="auto" w:fill="FFFFFF"/>
        </w:rPr>
        <w:t xml:space="preserve"> i </w:t>
      </w:r>
      <w:r w:rsidRPr="008B706B">
        <w:rPr>
          <w:rFonts w:cs="Arial"/>
          <w:color w:val="000000"/>
          <w:shd w:val="clear" w:color="auto" w:fill="FFFFFF"/>
        </w:rPr>
        <w:t>Koszalina. Wsparcie Szczecińskiego Obszaru Metropolitalnego oraz Koszalińsko – Kołobrzesko – Białogardzkiego Obszaru Funkcjonalnego ma na celu zarówno wzmocnienie konkurencyjnej pozycji Szczecina</w:t>
      </w:r>
      <w:r w:rsidR="00E66B89">
        <w:rPr>
          <w:rFonts w:cs="Arial"/>
          <w:color w:val="000000"/>
          <w:shd w:val="clear" w:color="auto" w:fill="FFFFFF"/>
        </w:rPr>
        <w:t xml:space="preserve"> i </w:t>
      </w:r>
      <w:r w:rsidRPr="008B706B">
        <w:rPr>
          <w:rFonts w:cs="Arial"/>
          <w:color w:val="000000"/>
          <w:shd w:val="clear" w:color="auto" w:fill="FFFFFF"/>
        </w:rPr>
        <w:t>Koszalina jako ośrodków wzrostu</w:t>
      </w:r>
      <w:r w:rsidR="00E66B89">
        <w:rPr>
          <w:rFonts w:cs="Arial"/>
          <w:color w:val="000000"/>
          <w:shd w:val="clear" w:color="auto" w:fill="FFFFFF"/>
        </w:rPr>
        <w:t xml:space="preserve"> i </w:t>
      </w:r>
      <w:r w:rsidRPr="008B706B">
        <w:rPr>
          <w:rFonts w:cs="Arial"/>
          <w:color w:val="000000"/>
          <w:shd w:val="clear" w:color="auto" w:fill="FFFFFF"/>
        </w:rPr>
        <w:t>innowacji, jak też wzmocnienie wielowymiarowych powiązań funkcjonalnych obszarów sprzyjające rozbudowie jego potencjału ekonomicznego oraz poprawie jakości życia mieszkańców,</w:t>
      </w:r>
      <w:r w:rsidR="00E66B89">
        <w:rPr>
          <w:rFonts w:cs="Arial"/>
          <w:color w:val="000000"/>
          <w:shd w:val="clear" w:color="auto" w:fill="FFFFFF"/>
        </w:rPr>
        <w:t xml:space="preserve"> a w </w:t>
      </w:r>
      <w:r w:rsidRPr="008B706B">
        <w:rPr>
          <w:rFonts w:cs="Arial"/>
          <w:color w:val="000000"/>
          <w:shd w:val="clear" w:color="auto" w:fill="FFFFFF"/>
        </w:rPr>
        <w:t>konsekwencji rozszerzenie zasięgu oddziaływania procesów rozwojowych na obszary sąsiadujące.</w:t>
      </w:r>
      <w:r w:rsidR="00E66B89">
        <w:rPr>
          <w:rFonts w:cs="Arial"/>
          <w:color w:val="000000"/>
          <w:shd w:val="clear" w:color="auto" w:fill="FFFFFF"/>
        </w:rPr>
        <w:t xml:space="preserve"> W </w:t>
      </w:r>
      <w:r w:rsidR="00E17A39" w:rsidRPr="008B706B">
        <w:rPr>
          <w:rFonts w:cs="Arial"/>
          <w:color w:val="000000"/>
          <w:shd w:val="clear" w:color="auto" w:fill="FFFFFF"/>
        </w:rPr>
        <w:t>przypadku obszaru funkcjonalnego Szczecina ZIT wdrażany jest na terenie Szczecińskiego Obszaru Metropolitalnego (SOM) obejmującego 13 gmin – członków</w:t>
      </w:r>
      <w:r w:rsidR="008B706B">
        <w:rPr>
          <w:rFonts w:cs="Arial"/>
          <w:color w:val="000000"/>
          <w:shd w:val="clear" w:color="auto" w:fill="FFFFFF"/>
        </w:rPr>
        <w:t xml:space="preserve"> </w:t>
      </w:r>
      <w:r w:rsidR="00E17A39" w:rsidRPr="008B706B">
        <w:rPr>
          <w:rFonts w:cs="Arial"/>
          <w:color w:val="000000"/>
          <w:shd w:val="clear" w:color="auto" w:fill="FFFFFF"/>
        </w:rPr>
        <w:t>Stowarzyszenia Szczecińskiego Obszaru Metropolitalnego. Środki na realizację inwestycji pochodzą zarówno</w:t>
      </w:r>
      <w:r w:rsidR="00E66B89">
        <w:rPr>
          <w:rFonts w:cs="Arial"/>
          <w:color w:val="000000"/>
          <w:shd w:val="clear" w:color="auto" w:fill="FFFFFF"/>
        </w:rPr>
        <w:t xml:space="preserve"> z </w:t>
      </w:r>
      <w:r w:rsidR="00E17A39" w:rsidRPr="008B706B">
        <w:rPr>
          <w:rFonts w:cs="Arial"/>
          <w:color w:val="000000"/>
          <w:shd w:val="clear" w:color="auto" w:fill="FFFFFF"/>
        </w:rPr>
        <w:t>RPO WZ jak</w:t>
      </w:r>
      <w:r w:rsidR="00E66B89">
        <w:rPr>
          <w:rFonts w:cs="Arial"/>
          <w:color w:val="000000"/>
          <w:shd w:val="clear" w:color="auto" w:fill="FFFFFF"/>
        </w:rPr>
        <w:t xml:space="preserve"> i </w:t>
      </w:r>
      <w:r w:rsidR="00E17A39" w:rsidRPr="008B706B">
        <w:rPr>
          <w:rFonts w:cs="Arial"/>
          <w:color w:val="000000"/>
          <w:shd w:val="clear" w:color="auto" w:fill="FFFFFF"/>
        </w:rPr>
        <w:t>POIiŚ 2014-2020.</w:t>
      </w:r>
      <w:r w:rsidR="00E66B89">
        <w:rPr>
          <w:rFonts w:cs="Arial"/>
          <w:color w:val="000000"/>
          <w:shd w:val="clear" w:color="auto" w:fill="FFFFFF"/>
        </w:rPr>
        <w:t xml:space="preserve"> W </w:t>
      </w:r>
      <w:r w:rsidR="00E17A39" w:rsidRPr="008B706B">
        <w:rPr>
          <w:rFonts w:cs="Arial"/>
          <w:color w:val="000000"/>
          <w:shd w:val="clear" w:color="auto" w:fill="FFFFFF"/>
        </w:rPr>
        <w:t>przypadku obszaru funkcjonalnego Koszalina, realizacja zintegrowanego podejścia terytorialnego odbywa się</w:t>
      </w:r>
      <w:r w:rsidR="00E66B89">
        <w:rPr>
          <w:rFonts w:cs="Arial"/>
          <w:color w:val="000000"/>
          <w:shd w:val="clear" w:color="auto" w:fill="FFFFFF"/>
        </w:rPr>
        <w:t xml:space="preserve"> w </w:t>
      </w:r>
      <w:r w:rsidR="00E17A39" w:rsidRPr="008B706B">
        <w:rPr>
          <w:rFonts w:cs="Arial"/>
          <w:color w:val="000000"/>
          <w:shd w:val="clear" w:color="auto" w:fill="FFFFFF"/>
        </w:rPr>
        <w:t xml:space="preserve">obrębie Koszalińsko – Kołobrzesko – Białogardzkiego Obszaru </w:t>
      </w:r>
      <w:r w:rsidR="00E17A39" w:rsidRPr="008B706B">
        <w:rPr>
          <w:rFonts w:cs="Arial"/>
          <w:color w:val="000000"/>
          <w:shd w:val="clear" w:color="auto" w:fill="FFFFFF"/>
        </w:rPr>
        <w:lastRenderedPageBreak/>
        <w:t>Funkcjonalnego</w:t>
      </w:r>
      <w:r w:rsidR="009058A2">
        <w:rPr>
          <w:rFonts w:cs="Arial"/>
          <w:color w:val="000000"/>
          <w:shd w:val="clear" w:color="auto" w:fill="FFFFFF"/>
        </w:rPr>
        <w:t>,</w:t>
      </w:r>
      <w:r w:rsidR="00E17A39" w:rsidRPr="008B706B">
        <w:rPr>
          <w:rFonts w:cs="Arial"/>
          <w:color w:val="000000"/>
          <w:shd w:val="clear" w:color="auto" w:fill="FFFFFF"/>
        </w:rPr>
        <w:t xml:space="preserve"> którego zasięg wyznaczają zachodzące na siebie</w:t>
      </w:r>
      <w:r w:rsidR="00E66B89">
        <w:rPr>
          <w:rFonts w:cs="Arial"/>
          <w:color w:val="000000"/>
          <w:shd w:val="clear" w:color="auto" w:fill="FFFFFF"/>
        </w:rPr>
        <w:t xml:space="preserve"> i </w:t>
      </w:r>
      <w:r w:rsidR="00E17A39" w:rsidRPr="008B706B">
        <w:rPr>
          <w:rFonts w:cs="Arial"/>
          <w:color w:val="000000"/>
          <w:shd w:val="clear" w:color="auto" w:fill="FFFFFF"/>
        </w:rPr>
        <w:t>powiązane obszary funkcjonalne trzech miast: Koszalina, Kołobrzegu</w:t>
      </w:r>
      <w:r w:rsidR="00E66B89">
        <w:rPr>
          <w:rFonts w:cs="Arial"/>
          <w:color w:val="000000"/>
          <w:shd w:val="clear" w:color="auto" w:fill="FFFFFF"/>
        </w:rPr>
        <w:t xml:space="preserve"> i </w:t>
      </w:r>
      <w:r w:rsidR="00E17A39" w:rsidRPr="008B706B">
        <w:rPr>
          <w:rFonts w:cs="Arial"/>
          <w:color w:val="000000"/>
          <w:shd w:val="clear" w:color="auto" w:fill="FFFFFF"/>
        </w:rPr>
        <w:t>Białogardu, spośród których naturalną funkcję ośrodka centralnego pełni najsilniej oddziaływujący na otoczenie Koszalin. Obszar ten obejmuje 19 gmin, które podpisały porozumienie deklarując wolę współpracy przy realizacji ZIT.</w:t>
      </w:r>
      <w:r w:rsidR="00E66B89">
        <w:rPr>
          <w:rFonts w:cs="Arial"/>
          <w:color w:val="000000"/>
          <w:shd w:val="clear" w:color="auto" w:fill="FFFFFF"/>
        </w:rPr>
        <w:t xml:space="preserve"> W </w:t>
      </w:r>
      <w:r w:rsidR="00E17A39" w:rsidRPr="008B706B">
        <w:rPr>
          <w:rFonts w:cs="Arial"/>
          <w:color w:val="000000"/>
          <w:shd w:val="clear" w:color="auto" w:fill="FFFFFF"/>
        </w:rPr>
        <w:t>odróżnieniu od ZIT SOM, ZIT KKBOF dysponuje środkami na realizację projektów pochodzącymi wyłącznie</w:t>
      </w:r>
      <w:r w:rsidR="00E66B89">
        <w:rPr>
          <w:rFonts w:cs="Arial"/>
          <w:color w:val="000000"/>
          <w:shd w:val="clear" w:color="auto" w:fill="FFFFFF"/>
        </w:rPr>
        <w:t xml:space="preserve"> z </w:t>
      </w:r>
      <w:r w:rsidR="00E17A39" w:rsidRPr="008B706B">
        <w:rPr>
          <w:rFonts w:cs="Arial"/>
          <w:color w:val="000000"/>
          <w:shd w:val="clear" w:color="auto" w:fill="FFFFFF"/>
        </w:rPr>
        <w:t>RPO WZ 2014-2020</w:t>
      </w:r>
      <w:r w:rsidR="0020546F" w:rsidRPr="008B706B">
        <w:rPr>
          <w:rFonts w:cs="Arial"/>
          <w:color w:val="000000"/>
          <w:shd w:val="clear" w:color="auto" w:fill="FFFFFF"/>
        </w:rPr>
        <w:t xml:space="preserve">. </w:t>
      </w:r>
    </w:p>
    <w:p w14:paraId="033C0732" w14:textId="77777777" w:rsidR="0020546F" w:rsidRPr="00CB3F77" w:rsidRDefault="00CB3F77" w:rsidP="008B706B">
      <w:pPr>
        <w:rPr>
          <w:rFonts w:cs="Calibri"/>
          <w:bCs/>
          <w:szCs w:val="20"/>
        </w:rPr>
      </w:pPr>
      <w:r w:rsidRPr="00CB3F77">
        <w:rPr>
          <w:rFonts w:cs="Calibri"/>
          <w:bCs/>
          <w:szCs w:val="20"/>
        </w:rPr>
        <w:t>Kontrakt Samorządowy jest narzędziem dla planowania</w:t>
      </w:r>
      <w:r w:rsidR="00E66B89">
        <w:rPr>
          <w:rFonts w:cs="Calibri"/>
          <w:bCs/>
          <w:szCs w:val="20"/>
        </w:rPr>
        <w:t xml:space="preserve"> i </w:t>
      </w:r>
      <w:r w:rsidRPr="00CB3F77">
        <w:rPr>
          <w:rFonts w:cs="Calibri"/>
          <w:bCs/>
          <w:szCs w:val="20"/>
        </w:rPr>
        <w:t>realizacji zintegrowanych przedsięwzięć istotnych dla rozwoju danego obszaru (a</w:t>
      </w:r>
      <w:r w:rsidR="00E66B89">
        <w:rPr>
          <w:rFonts w:cs="Calibri"/>
          <w:bCs/>
          <w:szCs w:val="20"/>
        </w:rPr>
        <w:t xml:space="preserve"> w </w:t>
      </w:r>
      <w:r w:rsidRPr="00CB3F77">
        <w:rPr>
          <w:rFonts w:cs="Calibri"/>
          <w:bCs/>
          <w:szCs w:val="20"/>
        </w:rPr>
        <w:t>konsekwencji całego regionu), tworzonym</w:t>
      </w:r>
      <w:r w:rsidR="00E66B89">
        <w:rPr>
          <w:rFonts w:cs="Calibri"/>
          <w:bCs/>
          <w:szCs w:val="20"/>
        </w:rPr>
        <w:t xml:space="preserve"> w </w:t>
      </w:r>
      <w:r w:rsidRPr="00CB3F77">
        <w:rPr>
          <w:rFonts w:cs="Calibri"/>
          <w:bCs/>
          <w:szCs w:val="20"/>
        </w:rPr>
        <w:t>oparciu</w:t>
      </w:r>
      <w:r w:rsidR="00E66B89">
        <w:rPr>
          <w:rFonts w:cs="Calibri"/>
          <w:bCs/>
          <w:szCs w:val="20"/>
        </w:rPr>
        <w:t xml:space="preserve"> o </w:t>
      </w:r>
      <w:r w:rsidRPr="00CB3F77">
        <w:rPr>
          <w:rFonts w:cs="Calibri"/>
          <w:bCs/>
          <w:szCs w:val="20"/>
        </w:rPr>
        <w:t>współpracę wszystkich partnerów procesów rozwojowych (samorząd, przedsiębiorcy, sektor edukacji</w:t>
      </w:r>
      <w:r w:rsidR="00E66B89">
        <w:rPr>
          <w:rFonts w:cs="Calibri"/>
          <w:bCs/>
          <w:szCs w:val="20"/>
        </w:rPr>
        <w:t xml:space="preserve"> i </w:t>
      </w:r>
      <w:r w:rsidRPr="00CB3F77">
        <w:rPr>
          <w:rFonts w:cs="Calibri"/>
          <w:bCs/>
          <w:szCs w:val="20"/>
        </w:rPr>
        <w:t>nauki, organizacje pozarządowe,</w:t>
      </w:r>
      <w:r w:rsidR="00E66B89">
        <w:rPr>
          <w:rFonts w:cs="Calibri"/>
          <w:bCs/>
          <w:szCs w:val="20"/>
        </w:rPr>
        <w:t xml:space="preserve"> w </w:t>
      </w:r>
      <w:r w:rsidRPr="00CB3F77">
        <w:rPr>
          <w:rFonts w:cs="Calibri"/>
          <w:bCs/>
          <w:szCs w:val="20"/>
        </w:rPr>
        <w:t>tym Lokalne Grupy Działania, Lokalne Grupy Rybackie, itp.) obecnych na danym obszarze. KS realizowany jest przede wszystkim</w:t>
      </w:r>
      <w:r w:rsidR="00E66B89">
        <w:rPr>
          <w:rFonts w:cs="Calibri"/>
          <w:bCs/>
          <w:szCs w:val="20"/>
        </w:rPr>
        <w:t xml:space="preserve"> w </w:t>
      </w:r>
      <w:r w:rsidRPr="00CB3F77">
        <w:rPr>
          <w:rFonts w:cs="Calibri"/>
          <w:bCs/>
          <w:szCs w:val="20"/>
        </w:rPr>
        <w:t>celu wzmocnienia rozwoju gospodarczego obszaru nim objętego, będącego podstawą do zapewnienia spójności społecznej</w:t>
      </w:r>
      <w:r w:rsidR="00E66B89">
        <w:rPr>
          <w:rFonts w:cs="Calibri"/>
          <w:bCs/>
          <w:szCs w:val="20"/>
        </w:rPr>
        <w:t xml:space="preserve"> i </w:t>
      </w:r>
      <w:r w:rsidRPr="00CB3F77">
        <w:rPr>
          <w:rFonts w:cs="Calibri"/>
          <w:bCs/>
          <w:szCs w:val="20"/>
        </w:rPr>
        <w:t>infrastrukturalnej. Przyjęte</w:t>
      </w:r>
      <w:r w:rsidR="00E66B89">
        <w:rPr>
          <w:rFonts w:cs="Calibri"/>
          <w:bCs/>
          <w:szCs w:val="20"/>
        </w:rPr>
        <w:t xml:space="preserve"> w </w:t>
      </w:r>
      <w:r w:rsidRPr="00CB3F77">
        <w:rPr>
          <w:rFonts w:cs="Calibri"/>
          <w:bCs/>
          <w:szCs w:val="20"/>
        </w:rPr>
        <w:t>KS założenia rozwojowe mają być spójne</w:t>
      </w:r>
      <w:r w:rsidR="00E66B89">
        <w:rPr>
          <w:rFonts w:cs="Calibri"/>
          <w:bCs/>
          <w:szCs w:val="20"/>
        </w:rPr>
        <w:t xml:space="preserve"> z </w:t>
      </w:r>
      <w:r w:rsidRPr="00CB3F77">
        <w:rPr>
          <w:rFonts w:cs="Calibri"/>
          <w:bCs/>
          <w:szCs w:val="20"/>
        </w:rPr>
        <w:t>dokumentami strategicznymi Województwa Zachodniopomorskiego oraz stanowić odpowiedź na określone dla województwa regionalne specjalizacje. Kontrakt Samorządowy jest jedną</w:t>
      </w:r>
      <w:r w:rsidR="00E66B89">
        <w:rPr>
          <w:rFonts w:cs="Calibri"/>
          <w:bCs/>
          <w:szCs w:val="20"/>
        </w:rPr>
        <w:t xml:space="preserve"> z </w:t>
      </w:r>
      <w:r w:rsidRPr="00CB3F77">
        <w:rPr>
          <w:rFonts w:cs="Calibri"/>
          <w:bCs/>
          <w:szCs w:val="20"/>
        </w:rPr>
        <w:t>podstawowych form realizacji interwencji Regionalnego Programu Operacyjnego Województwa Zachodniopomorskiego na lata 2014 – 2020 (RPO WZ 2014 – 2020). Oznacza to, że podmioty realizujące projekty ujęte</w:t>
      </w:r>
      <w:r w:rsidR="00E66B89">
        <w:rPr>
          <w:rFonts w:cs="Calibri"/>
          <w:bCs/>
          <w:szCs w:val="20"/>
        </w:rPr>
        <w:t xml:space="preserve"> w </w:t>
      </w:r>
      <w:r w:rsidRPr="00CB3F77">
        <w:rPr>
          <w:rFonts w:cs="Calibri"/>
          <w:bCs/>
          <w:szCs w:val="20"/>
        </w:rPr>
        <w:t>KS mają zarezerwowane środki</w:t>
      </w:r>
      <w:r w:rsidR="00E66B89">
        <w:rPr>
          <w:rFonts w:cs="Calibri"/>
          <w:bCs/>
          <w:szCs w:val="20"/>
        </w:rPr>
        <w:t xml:space="preserve"> w </w:t>
      </w:r>
      <w:r w:rsidRPr="00CB3F77">
        <w:rPr>
          <w:rFonts w:cs="Calibri"/>
          <w:bCs/>
          <w:szCs w:val="20"/>
        </w:rPr>
        <w:t>ramach budżetu danego priorytetu programu operacyjnego na realizację przedłożonego projektu, jednakże pod warunkiem, że założenia KS realizują cele oraz wskaźniki określone dla RPO WZ 2014 – 2020. Na terenie województwa powołano 6 KS.</w:t>
      </w:r>
    </w:p>
    <w:p w14:paraId="30ECCAE1" w14:textId="77777777" w:rsidR="005351F2" w:rsidRPr="008B706B" w:rsidRDefault="0020546F" w:rsidP="008B706B">
      <w:pPr>
        <w:rPr>
          <w:rFonts w:cs="Arial"/>
          <w:color w:val="000000"/>
          <w:shd w:val="clear" w:color="auto" w:fill="FFFFFF"/>
        </w:rPr>
      </w:pPr>
      <w:r w:rsidRPr="008B706B">
        <w:rPr>
          <w:rFonts w:cs="Calibri"/>
          <w:bCs/>
          <w:szCs w:val="20"/>
        </w:rPr>
        <w:t>In</w:t>
      </w:r>
      <w:r w:rsidR="004D4242">
        <w:rPr>
          <w:rFonts w:cs="Calibri"/>
          <w:bCs/>
          <w:szCs w:val="20"/>
        </w:rPr>
        <w:t xml:space="preserve">westycje </w:t>
      </w:r>
      <w:r w:rsidRPr="008B706B">
        <w:rPr>
          <w:rFonts w:cs="Calibri"/>
          <w:bCs/>
          <w:szCs w:val="20"/>
        </w:rPr>
        <w:t>ZIT wdrażane są</w:t>
      </w:r>
      <w:r w:rsidR="00E66B89">
        <w:rPr>
          <w:rFonts w:cs="Calibri"/>
          <w:b/>
          <w:bCs/>
          <w:szCs w:val="20"/>
        </w:rPr>
        <w:t xml:space="preserve"> </w:t>
      </w:r>
      <w:r w:rsidR="00E66B89" w:rsidRPr="00703AED">
        <w:rPr>
          <w:rFonts w:cs="Calibri"/>
          <w:bCs/>
          <w:szCs w:val="20"/>
        </w:rPr>
        <w:t>w</w:t>
      </w:r>
      <w:r w:rsidR="00E66B89">
        <w:rPr>
          <w:rFonts w:cs="Calibri"/>
          <w:b/>
          <w:bCs/>
          <w:szCs w:val="20"/>
        </w:rPr>
        <w:t> </w:t>
      </w:r>
      <w:r w:rsidRPr="00CB3F77">
        <w:rPr>
          <w:rFonts w:cs="Calibri"/>
          <w:szCs w:val="20"/>
        </w:rPr>
        <w:t>takich obszarach jak: gospodarka, innowacje, nowoczesne technologie (PI 3a, PI 3c), gospodarka niskoemisyjna (PI 4c, PI 4e), zrównoważony transport (PI 7b), edukacja (PI 10i, PI 10iv).</w:t>
      </w:r>
      <w:r w:rsidRPr="008B706B">
        <w:rPr>
          <w:rFonts w:cs="Arial"/>
          <w:color w:val="000000"/>
          <w:shd w:val="clear" w:color="auto" w:fill="FFFFFF"/>
        </w:rPr>
        <w:t xml:space="preserve"> </w:t>
      </w:r>
      <w:r w:rsidR="005351F2" w:rsidRPr="00CB3F77">
        <w:rPr>
          <w:rFonts w:cs="Calibri"/>
          <w:szCs w:val="20"/>
        </w:rPr>
        <w:t>Do 7.01.2019 zawarto</w:t>
      </w:r>
      <w:r w:rsidR="00E66B89">
        <w:rPr>
          <w:rFonts w:cs="Calibri"/>
          <w:szCs w:val="20"/>
        </w:rPr>
        <w:t xml:space="preserve"> w </w:t>
      </w:r>
      <w:r w:rsidRPr="00CB3F77">
        <w:rPr>
          <w:rFonts w:cs="Calibri"/>
          <w:szCs w:val="20"/>
        </w:rPr>
        <w:t>sumie</w:t>
      </w:r>
      <w:r w:rsidR="005351F2" w:rsidRPr="00CB3F77">
        <w:rPr>
          <w:rFonts w:cs="Calibri"/>
          <w:szCs w:val="20"/>
        </w:rPr>
        <w:t xml:space="preserve"> 164 umowy</w:t>
      </w:r>
      <w:r w:rsidR="003459B6">
        <w:rPr>
          <w:rFonts w:cs="Calibri"/>
          <w:szCs w:val="20"/>
        </w:rPr>
        <w:t xml:space="preserve"> (w trybie konkursowym</w:t>
      </w:r>
      <w:r w:rsidR="00E66B89">
        <w:rPr>
          <w:rFonts w:cs="Calibri"/>
          <w:szCs w:val="20"/>
        </w:rPr>
        <w:t xml:space="preserve"> i </w:t>
      </w:r>
      <w:r w:rsidR="003459B6">
        <w:rPr>
          <w:rFonts w:cs="Calibri"/>
          <w:szCs w:val="20"/>
        </w:rPr>
        <w:t>pozakonkursowym)</w:t>
      </w:r>
      <w:r w:rsidR="005351F2" w:rsidRPr="00CB3F77">
        <w:rPr>
          <w:rFonts w:cs="Calibri"/>
          <w:szCs w:val="20"/>
        </w:rPr>
        <w:t xml:space="preserve"> na kwotę wsparcia UE 449,4 mln zł.</w:t>
      </w:r>
    </w:p>
    <w:p w14:paraId="072FD8AF" w14:textId="77777777" w:rsidR="0020546F" w:rsidRDefault="004D4242">
      <w:pPr>
        <w:rPr>
          <w:rFonts w:cs="Calibri"/>
          <w:szCs w:val="20"/>
        </w:rPr>
      </w:pPr>
      <w:r>
        <w:rPr>
          <w:rFonts w:cs="Calibri"/>
          <w:szCs w:val="20"/>
        </w:rPr>
        <w:t>Instrument</w:t>
      </w:r>
      <w:r w:rsidR="00CB3F77" w:rsidRPr="00CB3F77">
        <w:rPr>
          <w:rFonts w:cs="Calibri"/>
          <w:szCs w:val="20"/>
        </w:rPr>
        <w:t xml:space="preserve"> KS wdrażan</w:t>
      </w:r>
      <w:r>
        <w:rPr>
          <w:rFonts w:cs="Calibri"/>
          <w:szCs w:val="20"/>
        </w:rPr>
        <w:t>y</w:t>
      </w:r>
      <w:r w:rsidR="00CB3F77" w:rsidRPr="00CB3F77">
        <w:rPr>
          <w:rFonts w:cs="Calibri"/>
          <w:szCs w:val="20"/>
        </w:rPr>
        <w:t xml:space="preserve"> </w:t>
      </w:r>
      <w:r>
        <w:rPr>
          <w:rFonts w:cs="Calibri"/>
          <w:szCs w:val="20"/>
        </w:rPr>
        <w:t>jest</w:t>
      </w:r>
      <w:r w:rsidR="00CB3F77" w:rsidRPr="00CB3F77">
        <w:rPr>
          <w:rFonts w:cs="Calibri"/>
          <w:szCs w:val="20"/>
        </w:rPr>
        <w:t xml:space="preserve"> </w:t>
      </w:r>
      <w:r w:rsidR="00CB3F77">
        <w:rPr>
          <w:rFonts w:cs="Calibri"/>
          <w:szCs w:val="20"/>
        </w:rPr>
        <w:t>zaś</w:t>
      </w:r>
      <w:r w:rsidR="00E66B89">
        <w:rPr>
          <w:rFonts w:cs="Calibri"/>
          <w:szCs w:val="20"/>
        </w:rPr>
        <w:t xml:space="preserve"> w </w:t>
      </w:r>
      <w:r w:rsidR="00CB3F77" w:rsidRPr="00CB3F77">
        <w:rPr>
          <w:rFonts w:cs="Calibri"/>
          <w:szCs w:val="20"/>
        </w:rPr>
        <w:t>obszarach: gospodarka, innowacje, nowoczesne technologie (PI 3a), gospodarka niskoemisyjna (PI 4e), rynek pracy (PI 8iv), edukacja (PI 10i, PI 10iv), infrastruktura publiczna (PI 10a). Do 7.01.2019 zawarto</w:t>
      </w:r>
      <w:r w:rsidR="00E66B89">
        <w:rPr>
          <w:rFonts w:cs="Calibri"/>
          <w:szCs w:val="20"/>
        </w:rPr>
        <w:t xml:space="preserve"> w </w:t>
      </w:r>
      <w:r w:rsidR="00CB3F77">
        <w:rPr>
          <w:rFonts w:cs="Calibri"/>
          <w:szCs w:val="20"/>
        </w:rPr>
        <w:t>sumie</w:t>
      </w:r>
      <w:r w:rsidR="00CB3F77" w:rsidRPr="00CB3F77">
        <w:rPr>
          <w:rFonts w:cs="Calibri"/>
          <w:szCs w:val="20"/>
        </w:rPr>
        <w:t xml:space="preserve"> 93 umowy </w:t>
      </w:r>
      <w:r w:rsidR="003459B6">
        <w:rPr>
          <w:rFonts w:cs="Calibri"/>
          <w:szCs w:val="20"/>
        </w:rPr>
        <w:t>(w trybie konkursowym) na kwotę wsparcia UE</w:t>
      </w:r>
      <w:r w:rsidR="00CB3F77" w:rsidRPr="00CB3F77">
        <w:rPr>
          <w:rFonts w:cs="Calibri"/>
          <w:szCs w:val="20"/>
        </w:rPr>
        <w:t xml:space="preserve"> 125,9 mln zł.</w:t>
      </w:r>
    </w:p>
    <w:p w14:paraId="51986BDE" w14:textId="77777777" w:rsidR="00406848" w:rsidRDefault="00406848">
      <w:pPr>
        <w:rPr>
          <w:rFonts w:cs="Calibri"/>
          <w:szCs w:val="20"/>
        </w:rPr>
      </w:pPr>
      <w:r>
        <w:rPr>
          <w:rFonts w:cs="Calibri"/>
          <w:szCs w:val="20"/>
        </w:rPr>
        <w:t>Na poniższej mapie przedstawiono dane</w:t>
      </w:r>
      <w:r w:rsidR="00E66B89">
        <w:rPr>
          <w:rFonts w:cs="Calibri"/>
          <w:szCs w:val="20"/>
        </w:rPr>
        <w:t xml:space="preserve"> o </w:t>
      </w:r>
      <w:r>
        <w:rPr>
          <w:rFonts w:cs="Calibri"/>
          <w:szCs w:val="20"/>
        </w:rPr>
        <w:t>wartości projektów RPO WZ 2014-2020 ogółem</w:t>
      </w:r>
      <w:r w:rsidR="00E66B89">
        <w:rPr>
          <w:rFonts w:cs="Calibri"/>
          <w:szCs w:val="20"/>
        </w:rPr>
        <w:t xml:space="preserve"> w </w:t>
      </w:r>
      <w:r>
        <w:rPr>
          <w:rFonts w:cs="Calibri"/>
          <w:szCs w:val="20"/>
        </w:rPr>
        <w:t>przeliczeniu na mieszkańców poszczególnych gmin regionu –</w:t>
      </w:r>
      <w:r w:rsidR="00E66B89">
        <w:rPr>
          <w:rFonts w:cs="Calibri"/>
          <w:szCs w:val="20"/>
        </w:rPr>
        <w:t xml:space="preserve"> z </w:t>
      </w:r>
      <w:r>
        <w:rPr>
          <w:rFonts w:cs="Calibri"/>
          <w:szCs w:val="20"/>
        </w:rPr>
        <w:t>wyróżnieniem gmin należących do związków ZIT lub KS. Najwięcej środków</w:t>
      </w:r>
      <w:r w:rsidR="00E66B89">
        <w:rPr>
          <w:rFonts w:cs="Calibri"/>
          <w:szCs w:val="20"/>
        </w:rPr>
        <w:t xml:space="preserve"> w </w:t>
      </w:r>
      <w:r>
        <w:rPr>
          <w:rFonts w:cs="Calibri"/>
          <w:szCs w:val="20"/>
        </w:rPr>
        <w:t>przeliczeniu na mieszkańca trafiło do gmin: Węgorzyno (</w:t>
      </w:r>
      <w:r w:rsidR="00590A95">
        <w:rPr>
          <w:rFonts w:cs="Calibri"/>
          <w:szCs w:val="20"/>
        </w:rPr>
        <w:t xml:space="preserve">obszar KS; </w:t>
      </w:r>
      <w:r>
        <w:rPr>
          <w:rFonts w:cs="Calibri"/>
          <w:szCs w:val="20"/>
        </w:rPr>
        <w:t>13,9 tys. zł), Nowe Warpno (</w:t>
      </w:r>
      <w:r w:rsidR="00590A95">
        <w:rPr>
          <w:rFonts w:cs="Calibri"/>
          <w:szCs w:val="20"/>
        </w:rPr>
        <w:t xml:space="preserve">obszar ZIT; </w:t>
      </w:r>
      <w:r>
        <w:rPr>
          <w:rFonts w:cs="Calibri"/>
          <w:szCs w:val="20"/>
        </w:rPr>
        <w:t xml:space="preserve">13,3 tys. zł), </w:t>
      </w:r>
      <w:r w:rsidR="00590A95">
        <w:rPr>
          <w:rFonts w:cs="Calibri"/>
          <w:szCs w:val="20"/>
        </w:rPr>
        <w:t>Ińsko (11,1 tys. zł)</w:t>
      </w:r>
      <w:r w:rsidR="00E66B89">
        <w:rPr>
          <w:rFonts w:cs="Calibri"/>
          <w:szCs w:val="20"/>
        </w:rPr>
        <w:t xml:space="preserve"> i </w:t>
      </w:r>
      <w:r w:rsidR="00590A95">
        <w:rPr>
          <w:rFonts w:cs="Calibri"/>
          <w:szCs w:val="20"/>
        </w:rPr>
        <w:t>Dziwnów (10,8 tys. zł). Jak widać,</w:t>
      </w:r>
      <w:r w:rsidR="00E66B89">
        <w:rPr>
          <w:rFonts w:cs="Calibri"/>
          <w:szCs w:val="20"/>
        </w:rPr>
        <w:t xml:space="preserve"> w </w:t>
      </w:r>
      <w:r w:rsidR="00590A95">
        <w:rPr>
          <w:rFonts w:cs="Calibri"/>
          <w:szCs w:val="20"/>
        </w:rPr>
        <w:t xml:space="preserve">najlepszej sytuacji pod tym względem są gminy ZIT SOM, ale także powiatu sławieńskiego, szczecińskiego czy choszczeńskiego. </w:t>
      </w:r>
    </w:p>
    <w:p w14:paraId="5F6F09A0" w14:textId="77777777" w:rsidR="00D163AB" w:rsidRDefault="00D163AB">
      <w:pPr>
        <w:pStyle w:val="Legenda"/>
      </w:pPr>
      <w:bookmarkStart w:id="359" w:name="_Toc6521450"/>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1</w:t>
      </w:r>
      <w:r w:rsidR="006E34DC">
        <w:rPr>
          <w:noProof/>
        </w:rPr>
        <w:fldChar w:fldCharType="end"/>
      </w:r>
      <w:r>
        <w:t xml:space="preserve"> Wartość ogółem projektów RPO WZ 2014-2020 per capita –</w:t>
      </w:r>
      <w:r w:rsidR="00E66B89">
        <w:t xml:space="preserve"> w </w:t>
      </w:r>
      <w:r>
        <w:t>podziale na gminy</w:t>
      </w:r>
      <w:r w:rsidR="00406848">
        <w:t>,</w:t>
      </w:r>
      <w:r w:rsidR="00E66B89">
        <w:t xml:space="preserve"> z </w:t>
      </w:r>
      <w:r w:rsidR="00406848">
        <w:t>zaznaczeniem obszarów ZIT oraz KS</w:t>
      </w:r>
      <w:bookmarkEnd w:id="359"/>
    </w:p>
    <w:p w14:paraId="41D12122" w14:textId="5EAC75E7" w:rsidR="005E6538" w:rsidRPr="00CB3F77" w:rsidRDefault="00C35619">
      <w:pPr>
        <w:rPr>
          <w:rFonts w:cs="Calibri"/>
          <w:szCs w:val="20"/>
        </w:rPr>
      </w:pPr>
      <w:r w:rsidRPr="005F04FC">
        <w:rPr>
          <w:rFonts w:cs="Calibri"/>
          <w:noProof/>
          <w:szCs w:val="20"/>
        </w:rPr>
        <w:drawing>
          <wp:inline distT="0" distB="0" distL="0" distR="0" wp14:anchorId="07750651" wp14:editId="6AA1DD1C">
            <wp:extent cx="5762625" cy="4076700"/>
            <wp:effectExtent l="0" t="0" r="9525" b="0"/>
            <wp:docPr id="63" name="Obraz 1823" descr="Opis: C:\Users\lenovo\Desktop\mid term WZP\realizacja\RK\RK 18.04\Mapy ogółem\Mapa 2 z zaznaczonym ZIT 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3" descr="Opis: C:\Users\lenovo\Desktop\mid term WZP\realizacja\RK\RK 18.04\Mapy ogółem\Mapa 2 z zaznaczonym ZIT K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0EF0DF4F" w14:textId="77777777" w:rsidR="00D163AB" w:rsidRPr="00D21299" w:rsidRDefault="00D163AB" w:rsidP="001245CE">
      <w:pPr>
        <w:spacing w:before="0"/>
        <w:rPr>
          <w:i/>
          <w:sz w:val="18"/>
          <w:szCs w:val="18"/>
        </w:rPr>
      </w:pPr>
      <w:r w:rsidRPr="00D21299">
        <w:rPr>
          <w:i/>
          <w:sz w:val="18"/>
          <w:szCs w:val="18"/>
        </w:rPr>
        <w:t>Źródło: opracowanie własne na podstawie zawartych UoD wedle stanu</w:t>
      </w:r>
      <w:r w:rsidR="00E66B89" w:rsidRPr="00D21299">
        <w:rPr>
          <w:i/>
          <w:sz w:val="18"/>
          <w:szCs w:val="18"/>
        </w:rPr>
        <w:t xml:space="preserve"> z </w:t>
      </w:r>
      <w:r w:rsidRPr="00D21299">
        <w:rPr>
          <w:i/>
          <w:sz w:val="18"/>
          <w:szCs w:val="18"/>
        </w:rPr>
        <w:t>07.01.2019 r.;</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1 727 375 398,96 zł.</w:t>
      </w:r>
      <w:r w:rsidRPr="00D21299">
        <w:rPr>
          <w:sz w:val="18"/>
          <w:szCs w:val="18"/>
          <w:vertAlign w:val="superscript"/>
        </w:rPr>
        <w:footnoteReference w:id="137"/>
      </w:r>
      <w:r w:rsidRPr="00D21299">
        <w:rPr>
          <w:i/>
          <w:sz w:val="18"/>
          <w:szCs w:val="18"/>
          <w:vertAlign w:val="superscript"/>
        </w:rPr>
        <w:t xml:space="preserve"> </w:t>
      </w:r>
    </w:p>
    <w:p w14:paraId="49B397E4" w14:textId="77777777" w:rsidR="00CB79B5" w:rsidRDefault="00CB79B5">
      <w:pPr>
        <w:rPr>
          <w:rFonts w:cs="Calibri"/>
          <w:szCs w:val="20"/>
        </w:rPr>
      </w:pPr>
      <w:r w:rsidRPr="00CB3F77">
        <w:rPr>
          <w:rFonts w:cs="Calibri"/>
          <w:szCs w:val="20"/>
        </w:rPr>
        <w:t>Poniżej przeanalizowano oba te instrumenty</w:t>
      </w:r>
      <w:r w:rsidR="00E66B89">
        <w:rPr>
          <w:rFonts w:cs="Calibri"/>
          <w:szCs w:val="20"/>
        </w:rPr>
        <w:t xml:space="preserve"> w </w:t>
      </w:r>
      <w:r w:rsidRPr="00CB3F77">
        <w:rPr>
          <w:rFonts w:cs="Calibri"/>
          <w:szCs w:val="20"/>
        </w:rPr>
        <w:t>podziale na poszczególne PI</w:t>
      </w:r>
      <w:r w:rsidR="00CB3F77" w:rsidRPr="00CB3F77">
        <w:rPr>
          <w:rFonts w:cs="Calibri"/>
          <w:szCs w:val="20"/>
        </w:rPr>
        <w:t xml:space="preserve"> oraz Działania RPO WZ</w:t>
      </w:r>
      <w:r w:rsidR="00E94CBE">
        <w:rPr>
          <w:rFonts w:cs="Calibri"/>
          <w:szCs w:val="20"/>
        </w:rPr>
        <w:t xml:space="preserve"> 2014-2020</w:t>
      </w:r>
      <w:r w:rsidRPr="00CB3F77">
        <w:rPr>
          <w:rFonts w:cs="Calibri"/>
          <w:szCs w:val="20"/>
        </w:rPr>
        <w:t>.</w:t>
      </w:r>
    </w:p>
    <w:p w14:paraId="09D6D688" w14:textId="77777777" w:rsidR="004D4242" w:rsidRDefault="004D4242" w:rsidP="004D4242">
      <w:pPr>
        <w:pStyle w:val="Nagwek4"/>
        <w:numPr>
          <w:ilvl w:val="0"/>
          <w:numId w:val="0"/>
        </w:numPr>
        <w:rPr>
          <w:rFonts w:ascii="Lato" w:eastAsia="Calibri" w:hAnsi="Lato"/>
          <w:szCs w:val="20"/>
        </w:rPr>
      </w:pPr>
      <w:r>
        <w:rPr>
          <w:rFonts w:ascii="Lato" w:eastAsia="Calibri" w:hAnsi="Lato"/>
          <w:szCs w:val="20"/>
        </w:rPr>
        <w:t>Oś priorytetowa I</w:t>
      </w:r>
    </w:p>
    <w:p w14:paraId="11F0C493" w14:textId="77777777" w:rsidR="006F765C" w:rsidRPr="00404DA5" w:rsidRDefault="006F765C" w:rsidP="006F765C">
      <w:pPr>
        <w:shd w:val="clear" w:color="auto" w:fill="DBE5F1"/>
        <w:rPr>
          <w:rFonts w:eastAsia="Calibri" w:cs="Calibri"/>
          <w:b/>
          <w:szCs w:val="20"/>
        </w:rPr>
      </w:pPr>
      <w:r w:rsidRPr="00404DA5">
        <w:rPr>
          <w:rFonts w:eastAsia="Calibri" w:cs="Calibri"/>
          <w:b/>
          <w:szCs w:val="20"/>
        </w:rPr>
        <w:t>Mechanizm terytorialny</w:t>
      </w:r>
      <w:r w:rsidR="00E66B89">
        <w:rPr>
          <w:rFonts w:eastAsia="Calibri" w:cs="Calibri"/>
          <w:b/>
          <w:szCs w:val="20"/>
        </w:rPr>
        <w:t xml:space="preserve"> w </w:t>
      </w:r>
      <w:r w:rsidRPr="00404DA5">
        <w:rPr>
          <w:rFonts w:eastAsia="Calibri" w:cs="Calibri"/>
          <w:b/>
          <w:szCs w:val="20"/>
        </w:rPr>
        <w:t xml:space="preserve">PI </w:t>
      </w:r>
      <w:r>
        <w:rPr>
          <w:rFonts w:eastAsia="Calibri" w:cs="Calibri"/>
          <w:b/>
          <w:szCs w:val="20"/>
        </w:rPr>
        <w:t>3a</w:t>
      </w:r>
    </w:p>
    <w:p w14:paraId="5CB1F279" w14:textId="77777777" w:rsidR="006F765C" w:rsidRDefault="006F765C" w:rsidP="006F765C">
      <w:pPr>
        <w:rPr>
          <w:rFonts w:cs="Calibri"/>
          <w:szCs w:val="20"/>
        </w:rPr>
      </w:pPr>
      <w:r w:rsidRPr="00404DA5">
        <w:rPr>
          <w:rFonts w:cs="Calibri"/>
          <w:szCs w:val="20"/>
        </w:rPr>
        <w:t>W OP</w:t>
      </w:r>
      <w:r w:rsidR="00E66B89">
        <w:rPr>
          <w:rFonts w:cs="Calibri"/>
          <w:szCs w:val="20"/>
        </w:rPr>
        <w:t xml:space="preserve"> I </w:t>
      </w:r>
      <w:r>
        <w:rPr>
          <w:rFonts w:cs="Calibri"/>
          <w:szCs w:val="20"/>
        </w:rPr>
        <w:t xml:space="preserve">Gospodarka, innowacje, nowoczesne technologie, </w:t>
      </w:r>
      <w:r w:rsidRPr="00404DA5">
        <w:rPr>
          <w:rFonts w:cs="Calibri"/>
          <w:szCs w:val="20"/>
        </w:rPr>
        <w:t>Polityka Terytorialna uwzględniona została</w:t>
      </w:r>
      <w:r w:rsidR="00E66B89">
        <w:rPr>
          <w:rFonts w:cs="Calibri"/>
          <w:szCs w:val="20"/>
        </w:rPr>
        <w:t xml:space="preserve"> w </w:t>
      </w:r>
      <w:r>
        <w:rPr>
          <w:rFonts w:cs="Calibri"/>
          <w:szCs w:val="20"/>
        </w:rPr>
        <w:t>działaniach wpisujących się</w:t>
      </w:r>
      <w:r w:rsidR="00E66B89">
        <w:rPr>
          <w:rFonts w:cs="Calibri"/>
          <w:szCs w:val="20"/>
        </w:rPr>
        <w:t xml:space="preserve"> w </w:t>
      </w:r>
      <w:r>
        <w:rPr>
          <w:rFonts w:cs="Calibri"/>
          <w:szCs w:val="20"/>
        </w:rPr>
        <w:t xml:space="preserve">PI 3a: </w:t>
      </w:r>
      <w:r w:rsidRPr="00F82D66">
        <w:rPr>
          <w:rFonts w:cs="Calibri"/>
          <w:szCs w:val="20"/>
        </w:rPr>
        <w:t>Działanie 1.11 Tworzenie</w:t>
      </w:r>
      <w:r w:rsidR="00E66B89">
        <w:rPr>
          <w:rFonts w:cs="Calibri"/>
          <w:szCs w:val="20"/>
        </w:rPr>
        <w:t xml:space="preserve"> i </w:t>
      </w:r>
      <w:r w:rsidRPr="00F82D66">
        <w:rPr>
          <w:rFonts w:cs="Calibri"/>
          <w:szCs w:val="20"/>
        </w:rPr>
        <w:t>rozbudowa infrastruktury na rzecz rozwoju gospodarczego</w:t>
      </w:r>
      <w:r w:rsidR="00E66B89">
        <w:rPr>
          <w:rFonts w:cs="Calibri"/>
          <w:szCs w:val="20"/>
        </w:rPr>
        <w:t xml:space="preserve"> w </w:t>
      </w:r>
      <w:r w:rsidRPr="00F82D66">
        <w:rPr>
          <w:rFonts w:cs="Calibri"/>
          <w:szCs w:val="20"/>
        </w:rPr>
        <w:t>ramach Strategii ZIT dla Szczecińskiego Obszaru Metropolitarnego</w:t>
      </w:r>
      <w:r>
        <w:rPr>
          <w:rFonts w:cs="Calibri"/>
          <w:szCs w:val="20"/>
        </w:rPr>
        <w:t xml:space="preserve">, </w:t>
      </w:r>
      <w:r w:rsidRPr="00F82D66">
        <w:rPr>
          <w:rFonts w:cs="Calibri"/>
          <w:szCs w:val="20"/>
        </w:rPr>
        <w:t>Działanie 1.12 Tworzenie</w:t>
      </w:r>
      <w:r w:rsidR="00E66B89">
        <w:rPr>
          <w:rFonts w:cs="Calibri"/>
          <w:szCs w:val="20"/>
        </w:rPr>
        <w:t xml:space="preserve"> i </w:t>
      </w:r>
      <w:r w:rsidRPr="00F82D66">
        <w:rPr>
          <w:rFonts w:cs="Calibri"/>
          <w:szCs w:val="20"/>
        </w:rPr>
        <w:t>rozbudowa infrastruktury na rzecz rozwoju gospodarczego</w:t>
      </w:r>
      <w:r w:rsidR="00E66B89">
        <w:rPr>
          <w:rFonts w:cs="Calibri"/>
          <w:szCs w:val="20"/>
        </w:rPr>
        <w:t xml:space="preserve"> w </w:t>
      </w:r>
      <w:r w:rsidRPr="00F82D66">
        <w:rPr>
          <w:rFonts w:cs="Calibri"/>
          <w:szCs w:val="20"/>
        </w:rPr>
        <w:t>ramach Strategii ZIT dla Koszalińsko-Kołobrzesko-Białogardzkiego Obszaru Funkcjonalnego</w:t>
      </w:r>
      <w:r>
        <w:rPr>
          <w:rFonts w:cs="Calibri"/>
          <w:szCs w:val="20"/>
        </w:rPr>
        <w:t xml:space="preserve">, </w:t>
      </w:r>
      <w:r w:rsidRPr="00F82D66">
        <w:rPr>
          <w:rFonts w:cs="Calibri"/>
          <w:szCs w:val="20"/>
        </w:rPr>
        <w:t>Działanie 1.13 Tworzenie</w:t>
      </w:r>
      <w:r w:rsidR="00E66B89">
        <w:rPr>
          <w:rFonts w:cs="Calibri"/>
          <w:szCs w:val="20"/>
        </w:rPr>
        <w:t xml:space="preserve"> i </w:t>
      </w:r>
      <w:r w:rsidRPr="00F82D66">
        <w:rPr>
          <w:rFonts w:cs="Calibri"/>
          <w:szCs w:val="20"/>
        </w:rPr>
        <w:t>rozbudowa infrastruktury na rzecz rozwoju gospodarczego</w:t>
      </w:r>
      <w:r w:rsidR="00E66B89">
        <w:rPr>
          <w:rFonts w:cs="Calibri"/>
          <w:szCs w:val="20"/>
        </w:rPr>
        <w:t xml:space="preserve"> w </w:t>
      </w:r>
      <w:r w:rsidRPr="00F82D66">
        <w:rPr>
          <w:rFonts w:cs="Calibri"/>
          <w:szCs w:val="20"/>
        </w:rPr>
        <w:t>ramach Kontraktów Samorządowych</w:t>
      </w:r>
      <w:r>
        <w:rPr>
          <w:rFonts w:cs="Calibri"/>
          <w:szCs w:val="20"/>
        </w:rPr>
        <w:t>.</w:t>
      </w:r>
    </w:p>
    <w:p w14:paraId="31AFF934" w14:textId="77777777" w:rsidR="006F765C" w:rsidRDefault="006F765C" w:rsidP="006F765C">
      <w:pPr>
        <w:rPr>
          <w:szCs w:val="20"/>
        </w:rPr>
      </w:pPr>
      <w:r>
        <w:rPr>
          <w:szCs w:val="20"/>
        </w:rPr>
        <w:t>Działania związane</w:t>
      </w:r>
      <w:r w:rsidR="00E66B89">
        <w:rPr>
          <w:szCs w:val="20"/>
        </w:rPr>
        <w:t xml:space="preserve"> z </w:t>
      </w:r>
      <w:r>
        <w:rPr>
          <w:szCs w:val="20"/>
        </w:rPr>
        <w:t>tworzeniem</w:t>
      </w:r>
      <w:r w:rsidR="00E66B89">
        <w:rPr>
          <w:szCs w:val="20"/>
        </w:rPr>
        <w:t xml:space="preserve"> i </w:t>
      </w:r>
      <w:r>
        <w:rPr>
          <w:szCs w:val="20"/>
        </w:rPr>
        <w:t>rozbudową infrastruktury na rzecz rozwoju gospodarczego zostały objęte istotnymi zmianami</w:t>
      </w:r>
      <w:r w:rsidR="00E66B89">
        <w:rPr>
          <w:szCs w:val="20"/>
        </w:rPr>
        <w:t xml:space="preserve"> w </w:t>
      </w:r>
      <w:r>
        <w:rPr>
          <w:szCs w:val="20"/>
        </w:rPr>
        <w:t>zakresie alokacji, uwzględniającymi niższy, niż zakładano na etapie programowania, potencjał absorpcyjny.</w:t>
      </w:r>
      <w:r w:rsidR="00E66B89">
        <w:rPr>
          <w:szCs w:val="20"/>
        </w:rPr>
        <w:t xml:space="preserve"> W </w:t>
      </w:r>
      <w:r>
        <w:rPr>
          <w:szCs w:val="20"/>
        </w:rPr>
        <w:t xml:space="preserve">stosunku do wcześniejszych kwot, zatwierdzone przez </w:t>
      </w:r>
      <w:r>
        <w:rPr>
          <w:szCs w:val="20"/>
        </w:rPr>
        <w:lastRenderedPageBreak/>
        <w:t>Komisję Europejską</w:t>
      </w:r>
      <w:r w:rsidR="00E66B89">
        <w:rPr>
          <w:szCs w:val="20"/>
        </w:rPr>
        <w:t xml:space="preserve"> w </w:t>
      </w:r>
      <w:r>
        <w:rPr>
          <w:szCs w:val="20"/>
        </w:rPr>
        <w:t>dniu 26.07.2018 r. zmiany Programu objęły zmniejszenie środków</w:t>
      </w:r>
      <w:r w:rsidR="00E66B89">
        <w:rPr>
          <w:szCs w:val="20"/>
        </w:rPr>
        <w:t xml:space="preserve"> w </w:t>
      </w:r>
      <w:r>
        <w:rPr>
          <w:szCs w:val="20"/>
        </w:rPr>
        <w:t>wysokości: 26 mln EUR na Działanie 1.10, 9 mln EUR na Działanie 1.11, 6 mln EUR na Działanie 1.12 oraz 8 mln EUR na Działanie 1.13.</w:t>
      </w:r>
      <w:r w:rsidR="00E66B89">
        <w:rPr>
          <w:szCs w:val="20"/>
        </w:rPr>
        <w:t xml:space="preserve"> W </w:t>
      </w:r>
      <w:r>
        <w:rPr>
          <w:szCs w:val="20"/>
        </w:rPr>
        <w:t>ocenie skuteczności mechanizmów terytorialnych należy odnieść się także do pierwotnej alokacji przeznaczonej na Działanie 1.10. Była ona największa spośród porównywanych</w:t>
      </w:r>
      <w:r w:rsidR="00E66B89">
        <w:rPr>
          <w:szCs w:val="20"/>
        </w:rPr>
        <w:t xml:space="preserve"> w </w:t>
      </w:r>
      <w:r>
        <w:rPr>
          <w:szCs w:val="20"/>
        </w:rPr>
        <w:t>tym miejscu działań, jednak faktyczny potencjał absorpcyjny nie pozwalał na jej wykorzystanie.</w:t>
      </w:r>
      <w:r w:rsidR="00E66B89">
        <w:rPr>
          <w:szCs w:val="20"/>
        </w:rPr>
        <w:t xml:space="preserve"> W </w:t>
      </w:r>
      <w:r>
        <w:rPr>
          <w:szCs w:val="20"/>
        </w:rPr>
        <w:t>efekcie, choć środki alokowane na działanie</w:t>
      </w:r>
      <w:r w:rsidR="00E66B89">
        <w:rPr>
          <w:szCs w:val="20"/>
        </w:rPr>
        <w:t xml:space="preserve"> w </w:t>
      </w:r>
      <w:r>
        <w:rPr>
          <w:szCs w:val="20"/>
        </w:rPr>
        <w:t>Programie po uwzględnieniu zmian zakontraktowane są na poziomie 109,7%, wartość projektów ogółem jest najniższa spośród wszystkich działań</w:t>
      </w:r>
      <w:r w:rsidR="00E66B89">
        <w:rPr>
          <w:szCs w:val="20"/>
        </w:rPr>
        <w:t xml:space="preserve"> o </w:t>
      </w:r>
      <w:r>
        <w:rPr>
          <w:szCs w:val="20"/>
        </w:rPr>
        <w:t>charakterze tworzenia</w:t>
      </w:r>
      <w:r w:rsidR="00E66B89">
        <w:rPr>
          <w:szCs w:val="20"/>
        </w:rPr>
        <w:t xml:space="preserve"> i </w:t>
      </w:r>
      <w:r>
        <w:rPr>
          <w:szCs w:val="20"/>
        </w:rPr>
        <w:t>rozbudowy infrastruktury na rzecz rozwoju gospodarczego. Zarówno wartość projektów, jak</w:t>
      </w:r>
      <w:r w:rsidR="00E66B89">
        <w:rPr>
          <w:szCs w:val="20"/>
        </w:rPr>
        <w:t xml:space="preserve"> i </w:t>
      </w:r>
      <w:r>
        <w:rPr>
          <w:szCs w:val="20"/>
        </w:rPr>
        <w:t>dofinansowania UE, oraz liczba realizowanych projektów, jest</w:t>
      </w:r>
      <w:r w:rsidR="00E66B89">
        <w:rPr>
          <w:szCs w:val="20"/>
        </w:rPr>
        <w:t xml:space="preserve"> w </w:t>
      </w:r>
      <w:r>
        <w:rPr>
          <w:szCs w:val="20"/>
        </w:rPr>
        <w:t>przypadku działań wykorzystujących mechanizmy terytorialne istotnie większa, niż</w:t>
      </w:r>
      <w:r w:rsidR="00E66B89">
        <w:rPr>
          <w:szCs w:val="20"/>
        </w:rPr>
        <w:t xml:space="preserve"> w </w:t>
      </w:r>
      <w:r>
        <w:rPr>
          <w:szCs w:val="20"/>
        </w:rPr>
        <w:t>działaniu tych mechanizmów nie wykorzystującym. Świadczy to</w:t>
      </w:r>
      <w:r w:rsidR="00E66B89">
        <w:rPr>
          <w:szCs w:val="20"/>
        </w:rPr>
        <w:t xml:space="preserve"> o </w:t>
      </w:r>
      <w:r>
        <w:rPr>
          <w:szCs w:val="20"/>
        </w:rPr>
        <w:t>wysokiej skuteczności</w:t>
      </w:r>
      <w:r w:rsidR="00E66B89">
        <w:rPr>
          <w:szCs w:val="20"/>
        </w:rPr>
        <w:t xml:space="preserve"> i </w:t>
      </w:r>
      <w:r>
        <w:rPr>
          <w:szCs w:val="20"/>
        </w:rPr>
        <w:t>użyteczności instrumentów Polityki Terytorialnej dla interwencji</w:t>
      </w:r>
      <w:r w:rsidR="00E66B89">
        <w:rPr>
          <w:szCs w:val="20"/>
        </w:rPr>
        <w:t xml:space="preserve"> o </w:t>
      </w:r>
      <w:r>
        <w:rPr>
          <w:szCs w:val="20"/>
        </w:rPr>
        <w:t>charakterze tworzenia</w:t>
      </w:r>
      <w:r w:rsidR="00E66B89">
        <w:rPr>
          <w:szCs w:val="20"/>
        </w:rPr>
        <w:t xml:space="preserve"> i </w:t>
      </w:r>
      <w:r>
        <w:rPr>
          <w:szCs w:val="20"/>
        </w:rPr>
        <w:t xml:space="preserve">rozbudowy infrastruktury na rzecz rozwoju gospodarczego. </w:t>
      </w:r>
    </w:p>
    <w:p w14:paraId="46F81349" w14:textId="77777777" w:rsidR="006F765C" w:rsidRDefault="006F765C" w:rsidP="006F765C">
      <w:pPr>
        <w:rPr>
          <w:szCs w:val="20"/>
        </w:rPr>
      </w:pPr>
      <w:r>
        <w:rPr>
          <w:szCs w:val="20"/>
        </w:rPr>
        <w:t>Wśród działań wykorzystujących mechanizmy terytorialne, najwyższym poziomem kontraktacji cechuje się działanie realizowane na obszarze KKBOF (82,5% zakontraktowanej alokacji), następnie interwencja poprzez Kontrakty Samorządowe (77,7%). Alokacja przeznaczona na działanie realizowane na obszarze SOM zakontraktowana jest</w:t>
      </w:r>
      <w:r w:rsidR="00E66B89">
        <w:rPr>
          <w:szCs w:val="20"/>
        </w:rPr>
        <w:t xml:space="preserve"> w </w:t>
      </w:r>
      <w:r>
        <w:rPr>
          <w:szCs w:val="20"/>
        </w:rPr>
        <w:t xml:space="preserve">najmniejszym stopniu (46,5%) – jest to jednak najwyższa alokacja wśród porównywanych działań, wysoka jest także wartość projektów ogółem. </w:t>
      </w:r>
    </w:p>
    <w:p w14:paraId="3608B7BA" w14:textId="77777777" w:rsidR="006F765C" w:rsidRPr="000A135E" w:rsidRDefault="006F765C" w:rsidP="00024F00">
      <w:pPr>
        <w:pStyle w:val="Legenda"/>
        <w:spacing w:after="0"/>
      </w:pPr>
      <w:bookmarkStart w:id="360" w:name="_Toc8824269"/>
      <w:r w:rsidRPr="000A135E">
        <w:t xml:space="preserve">Tabela </w:t>
      </w:r>
      <w:r w:rsidR="004E27AD">
        <w:fldChar w:fldCharType="begin"/>
      </w:r>
      <w:r w:rsidR="004E27AD">
        <w:instrText xml:space="preserve"> SEQ Tabela \* ARABIC </w:instrText>
      </w:r>
      <w:r w:rsidR="004E27AD">
        <w:fldChar w:fldCharType="separate"/>
      </w:r>
      <w:r w:rsidR="00763345">
        <w:rPr>
          <w:noProof/>
        </w:rPr>
        <w:t>158</w:t>
      </w:r>
      <w:r w:rsidR="004E27AD">
        <w:fldChar w:fldCharType="end"/>
      </w:r>
      <w:r w:rsidRPr="000A135E">
        <w:t xml:space="preserve"> </w:t>
      </w:r>
      <w:r>
        <w:t>Postęp finansowy Działań realizujących instrumenty terytorialne oraz analogicznego Działania wdrażanego</w:t>
      </w:r>
      <w:r w:rsidR="00E66B89">
        <w:t xml:space="preserve"> w </w:t>
      </w:r>
      <w:r>
        <w:t>całym regionie -</w:t>
      </w:r>
      <w:r w:rsidRPr="000A135E">
        <w:t xml:space="preserve"> PI </w:t>
      </w:r>
      <w:r>
        <w:t>3a</w:t>
      </w:r>
      <w:bookmarkEnd w:id="3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850"/>
        <w:gridCol w:w="1288"/>
        <w:gridCol w:w="1296"/>
        <w:gridCol w:w="1380"/>
      </w:tblGrid>
      <w:tr w:rsidR="006F765C" w:rsidRPr="006445C7" w14:paraId="4D96886A" w14:textId="77777777" w:rsidTr="0049276B">
        <w:trPr>
          <w:trHeight w:val="781"/>
          <w:tblHeader/>
        </w:trPr>
        <w:tc>
          <w:tcPr>
            <w:tcW w:w="3114" w:type="dxa"/>
            <w:shd w:val="clear" w:color="auto" w:fill="DBE5F1"/>
          </w:tcPr>
          <w:p w14:paraId="077D3D1B" w14:textId="77777777" w:rsidR="006F765C" w:rsidRPr="006445C7" w:rsidRDefault="006F765C" w:rsidP="006F765C">
            <w:pPr>
              <w:rPr>
                <w:rFonts w:cs="Calibri"/>
                <w:sz w:val="18"/>
                <w:szCs w:val="18"/>
              </w:rPr>
            </w:pPr>
          </w:p>
        </w:tc>
        <w:tc>
          <w:tcPr>
            <w:tcW w:w="1134" w:type="dxa"/>
            <w:shd w:val="clear" w:color="auto" w:fill="DBE5F1"/>
          </w:tcPr>
          <w:p w14:paraId="6A9DE2D0" w14:textId="77777777" w:rsidR="006F765C" w:rsidRPr="006445C7" w:rsidRDefault="006F765C" w:rsidP="006F765C">
            <w:pPr>
              <w:rPr>
                <w:rFonts w:cs="Calibri"/>
                <w:sz w:val="18"/>
                <w:szCs w:val="18"/>
              </w:rPr>
            </w:pPr>
            <w:r w:rsidRPr="006445C7">
              <w:rPr>
                <w:rFonts w:cs="Calibri"/>
                <w:sz w:val="18"/>
                <w:szCs w:val="18"/>
              </w:rPr>
              <w:t>Alokacja na Działanie</w:t>
            </w:r>
            <w:r w:rsidRPr="006445C7">
              <w:rPr>
                <w:rStyle w:val="Odwoanieprzypisudolnego"/>
                <w:rFonts w:eastAsia="Lato" w:cs="Calibri"/>
                <w:sz w:val="18"/>
                <w:szCs w:val="18"/>
              </w:rPr>
              <w:footnoteReference w:id="138"/>
            </w:r>
          </w:p>
        </w:tc>
        <w:tc>
          <w:tcPr>
            <w:tcW w:w="850" w:type="dxa"/>
            <w:shd w:val="clear" w:color="auto" w:fill="DBE5F1"/>
          </w:tcPr>
          <w:p w14:paraId="461333A2" w14:textId="77777777" w:rsidR="006F765C" w:rsidRPr="006445C7" w:rsidRDefault="006F765C" w:rsidP="006F765C">
            <w:pPr>
              <w:rPr>
                <w:rFonts w:cs="Calibri"/>
                <w:sz w:val="18"/>
                <w:szCs w:val="18"/>
              </w:rPr>
            </w:pPr>
            <w:r w:rsidRPr="006445C7">
              <w:rPr>
                <w:rFonts w:cs="Calibri"/>
                <w:sz w:val="18"/>
                <w:szCs w:val="18"/>
              </w:rPr>
              <w:t>Poziom kontraktacji</w:t>
            </w:r>
            <w:r w:rsidRPr="006445C7">
              <w:rPr>
                <w:rStyle w:val="Odwoanieprzypisudolnego"/>
                <w:rFonts w:eastAsia="Lato" w:cs="Calibri"/>
                <w:sz w:val="18"/>
                <w:szCs w:val="18"/>
              </w:rPr>
              <w:footnoteReference w:id="139"/>
            </w:r>
          </w:p>
        </w:tc>
        <w:tc>
          <w:tcPr>
            <w:tcW w:w="1288" w:type="dxa"/>
            <w:shd w:val="clear" w:color="auto" w:fill="DBE5F1"/>
          </w:tcPr>
          <w:p w14:paraId="69B0A12B" w14:textId="77777777" w:rsidR="006F765C" w:rsidRPr="006445C7" w:rsidRDefault="006F765C" w:rsidP="006F765C">
            <w:pPr>
              <w:rPr>
                <w:rFonts w:cs="Calibri"/>
                <w:sz w:val="18"/>
                <w:szCs w:val="18"/>
              </w:rPr>
            </w:pPr>
            <w:r w:rsidRPr="006445C7">
              <w:rPr>
                <w:rFonts w:cs="Calibri"/>
                <w:sz w:val="18"/>
                <w:szCs w:val="18"/>
              </w:rPr>
              <w:t>Liczba realizowanych projektów</w:t>
            </w:r>
          </w:p>
        </w:tc>
        <w:tc>
          <w:tcPr>
            <w:tcW w:w="1296" w:type="dxa"/>
            <w:shd w:val="clear" w:color="auto" w:fill="DBE5F1"/>
          </w:tcPr>
          <w:p w14:paraId="3823EE3A" w14:textId="77777777" w:rsidR="006F765C" w:rsidRPr="006445C7" w:rsidRDefault="006F765C" w:rsidP="006F765C">
            <w:pPr>
              <w:rPr>
                <w:rFonts w:cs="Calibri"/>
                <w:sz w:val="18"/>
                <w:szCs w:val="18"/>
              </w:rPr>
            </w:pPr>
            <w:r w:rsidRPr="006445C7">
              <w:rPr>
                <w:rFonts w:cs="Calibri"/>
                <w:sz w:val="18"/>
                <w:szCs w:val="18"/>
              </w:rPr>
              <w:t>Wartość projektów ogółem</w:t>
            </w:r>
          </w:p>
        </w:tc>
        <w:tc>
          <w:tcPr>
            <w:tcW w:w="1380" w:type="dxa"/>
            <w:shd w:val="clear" w:color="auto" w:fill="DBE5F1"/>
          </w:tcPr>
          <w:p w14:paraId="5576E75C" w14:textId="77777777" w:rsidR="006F765C" w:rsidRPr="006445C7" w:rsidRDefault="006F765C" w:rsidP="006F765C">
            <w:pPr>
              <w:rPr>
                <w:rFonts w:cs="Calibri"/>
                <w:sz w:val="18"/>
                <w:szCs w:val="18"/>
              </w:rPr>
            </w:pPr>
            <w:r w:rsidRPr="006445C7">
              <w:rPr>
                <w:rFonts w:cs="Calibri"/>
                <w:sz w:val="18"/>
                <w:szCs w:val="18"/>
              </w:rPr>
              <w:t>Wartość dofinansowania UE</w:t>
            </w:r>
          </w:p>
        </w:tc>
      </w:tr>
      <w:tr w:rsidR="006F765C" w:rsidRPr="006445C7" w14:paraId="2AE9D5E7" w14:textId="77777777" w:rsidTr="0049276B">
        <w:trPr>
          <w:trHeight w:val="367"/>
        </w:trPr>
        <w:tc>
          <w:tcPr>
            <w:tcW w:w="3114" w:type="dxa"/>
          </w:tcPr>
          <w:p w14:paraId="22FC3C1A" w14:textId="77777777" w:rsidR="006F765C" w:rsidRPr="006445C7" w:rsidRDefault="006F765C" w:rsidP="006F765C">
            <w:pPr>
              <w:rPr>
                <w:rFonts w:cs="Calibri"/>
                <w:sz w:val="18"/>
                <w:szCs w:val="18"/>
              </w:rPr>
            </w:pPr>
            <w:r w:rsidRPr="006445C7">
              <w:rPr>
                <w:rFonts w:cs="Calibri"/>
                <w:sz w:val="18"/>
                <w:szCs w:val="18"/>
              </w:rPr>
              <w:t>Działanie 1.10 Tworzenie</w:t>
            </w:r>
            <w:r w:rsidR="00E66B89">
              <w:rPr>
                <w:rFonts w:cs="Calibri"/>
                <w:sz w:val="18"/>
                <w:szCs w:val="18"/>
              </w:rPr>
              <w:t xml:space="preserve"> i </w:t>
            </w:r>
            <w:r w:rsidRPr="006445C7">
              <w:rPr>
                <w:rFonts w:cs="Calibri"/>
                <w:sz w:val="18"/>
                <w:szCs w:val="18"/>
              </w:rPr>
              <w:t>rozbudowa infrastruktury na rzecz rozwoju gospodarczego</w:t>
            </w:r>
          </w:p>
        </w:tc>
        <w:tc>
          <w:tcPr>
            <w:tcW w:w="1134" w:type="dxa"/>
            <w:vAlign w:val="center"/>
          </w:tcPr>
          <w:p w14:paraId="419A7302" w14:textId="77777777" w:rsidR="006F765C" w:rsidRPr="006445C7" w:rsidRDefault="006F765C" w:rsidP="00C22C26">
            <w:pPr>
              <w:jc w:val="center"/>
              <w:rPr>
                <w:sz w:val="18"/>
                <w:szCs w:val="18"/>
              </w:rPr>
            </w:pPr>
            <w:r w:rsidRPr="006445C7">
              <w:rPr>
                <w:sz w:val="18"/>
                <w:szCs w:val="18"/>
              </w:rPr>
              <w:t>2 151 400,00</w:t>
            </w:r>
          </w:p>
        </w:tc>
        <w:tc>
          <w:tcPr>
            <w:tcW w:w="850" w:type="dxa"/>
            <w:vAlign w:val="center"/>
          </w:tcPr>
          <w:p w14:paraId="5D3AEB17" w14:textId="77777777" w:rsidR="006F765C" w:rsidRPr="006445C7" w:rsidRDefault="006F765C" w:rsidP="00C22C26">
            <w:pPr>
              <w:jc w:val="center"/>
              <w:rPr>
                <w:sz w:val="18"/>
                <w:szCs w:val="18"/>
              </w:rPr>
            </w:pPr>
            <w:r w:rsidRPr="006445C7">
              <w:rPr>
                <w:sz w:val="18"/>
                <w:szCs w:val="18"/>
              </w:rPr>
              <w:t>109,7%</w:t>
            </w:r>
          </w:p>
        </w:tc>
        <w:tc>
          <w:tcPr>
            <w:tcW w:w="1288" w:type="dxa"/>
            <w:vAlign w:val="center"/>
          </w:tcPr>
          <w:p w14:paraId="3859C99E" w14:textId="77777777" w:rsidR="006F765C" w:rsidRPr="006445C7" w:rsidRDefault="006F765C" w:rsidP="00C22C26">
            <w:pPr>
              <w:jc w:val="center"/>
              <w:rPr>
                <w:sz w:val="18"/>
                <w:szCs w:val="18"/>
              </w:rPr>
            </w:pPr>
            <w:r w:rsidRPr="006445C7">
              <w:rPr>
                <w:sz w:val="18"/>
                <w:szCs w:val="18"/>
              </w:rPr>
              <w:t>1</w:t>
            </w:r>
          </w:p>
        </w:tc>
        <w:tc>
          <w:tcPr>
            <w:tcW w:w="1296" w:type="dxa"/>
            <w:vAlign w:val="center"/>
          </w:tcPr>
          <w:p w14:paraId="67987A54" w14:textId="77777777" w:rsidR="006F765C" w:rsidRPr="006445C7" w:rsidRDefault="006F765C" w:rsidP="00C22C26">
            <w:pPr>
              <w:jc w:val="center"/>
              <w:rPr>
                <w:sz w:val="18"/>
                <w:szCs w:val="18"/>
              </w:rPr>
            </w:pPr>
            <w:r w:rsidRPr="006445C7">
              <w:rPr>
                <w:sz w:val="18"/>
                <w:szCs w:val="18"/>
              </w:rPr>
              <w:t>2 993 112,98</w:t>
            </w:r>
          </w:p>
        </w:tc>
        <w:tc>
          <w:tcPr>
            <w:tcW w:w="1380" w:type="dxa"/>
            <w:vAlign w:val="center"/>
          </w:tcPr>
          <w:p w14:paraId="5F99D0BD" w14:textId="77777777" w:rsidR="006F765C" w:rsidRPr="006445C7" w:rsidRDefault="006F765C" w:rsidP="00C22C26">
            <w:pPr>
              <w:jc w:val="center"/>
              <w:rPr>
                <w:sz w:val="18"/>
                <w:szCs w:val="18"/>
              </w:rPr>
            </w:pPr>
            <w:r w:rsidRPr="006445C7">
              <w:rPr>
                <w:sz w:val="18"/>
                <w:szCs w:val="18"/>
              </w:rPr>
              <w:t>2 359 727,66</w:t>
            </w:r>
          </w:p>
        </w:tc>
      </w:tr>
      <w:tr w:rsidR="006F765C" w:rsidRPr="006445C7" w14:paraId="260A20D7" w14:textId="77777777" w:rsidTr="0049276B">
        <w:trPr>
          <w:trHeight w:val="585"/>
        </w:trPr>
        <w:tc>
          <w:tcPr>
            <w:tcW w:w="3114" w:type="dxa"/>
          </w:tcPr>
          <w:p w14:paraId="67BFC054" w14:textId="77777777" w:rsidR="006F765C" w:rsidRPr="006445C7" w:rsidRDefault="006F765C" w:rsidP="006F765C">
            <w:pPr>
              <w:rPr>
                <w:rFonts w:cs="Calibri"/>
                <w:sz w:val="18"/>
                <w:szCs w:val="18"/>
              </w:rPr>
            </w:pPr>
            <w:r w:rsidRPr="00F82D66">
              <w:rPr>
                <w:rFonts w:cs="Calibri"/>
                <w:sz w:val="18"/>
                <w:szCs w:val="18"/>
              </w:rPr>
              <w:t>Działanie 1.11 Tworzenie</w:t>
            </w:r>
            <w:r w:rsidR="00E66B89">
              <w:rPr>
                <w:rFonts w:cs="Calibri"/>
                <w:sz w:val="18"/>
                <w:szCs w:val="18"/>
              </w:rPr>
              <w:t xml:space="preserve"> i </w:t>
            </w:r>
            <w:r w:rsidRPr="00F82D66">
              <w:rPr>
                <w:rFonts w:cs="Calibri"/>
                <w:sz w:val="18"/>
                <w:szCs w:val="18"/>
              </w:rPr>
              <w:t>rozbudowa infrastruktury na rzecz rozwoju gospodarczego</w:t>
            </w:r>
            <w:r w:rsidR="00E66B89">
              <w:rPr>
                <w:rFonts w:cs="Calibri"/>
                <w:sz w:val="18"/>
                <w:szCs w:val="18"/>
              </w:rPr>
              <w:t xml:space="preserve"> w </w:t>
            </w:r>
            <w:r w:rsidRPr="00F82D66">
              <w:rPr>
                <w:rFonts w:cs="Calibri"/>
                <w:sz w:val="18"/>
                <w:szCs w:val="18"/>
              </w:rPr>
              <w:t>ramach Strategii ZIT dla Szczecińskiego Obszaru Metropolitarnego</w:t>
            </w:r>
          </w:p>
        </w:tc>
        <w:tc>
          <w:tcPr>
            <w:tcW w:w="1134" w:type="dxa"/>
            <w:vAlign w:val="center"/>
          </w:tcPr>
          <w:p w14:paraId="4242464F" w14:textId="77777777" w:rsidR="006F765C" w:rsidRPr="006445C7" w:rsidRDefault="006F765C" w:rsidP="00C22C26">
            <w:pPr>
              <w:jc w:val="center"/>
              <w:rPr>
                <w:sz w:val="18"/>
                <w:szCs w:val="18"/>
              </w:rPr>
            </w:pPr>
            <w:r w:rsidRPr="006445C7">
              <w:rPr>
                <w:sz w:val="18"/>
                <w:szCs w:val="18"/>
              </w:rPr>
              <w:t>47 330 800,00</w:t>
            </w:r>
          </w:p>
        </w:tc>
        <w:tc>
          <w:tcPr>
            <w:tcW w:w="850" w:type="dxa"/>
            <w:vAlign w:val="center"/>
          </w:tcPr>
          <w:p w14:paraId="03901ED8" w14:textId="77777777" w:rsidR="006F765C" w:rsidRPr="006445C7" w:rsidRDefault="006F765C" w:rsidP="00C22C26">
            <w:pPr>
              <w:jc w:val="center"/>
              <w:rPr>
                <w:sz w:val="18"/>
                <w:szCs w:val="18"/>
              </w:rPr>
            </w:pPr>
            <w:r w:rsidRPr="006445C7">
              <w:rPr>
                <w:sz w:val="18"/>
                <w:szCs w:val="18"/>
              </w:rPr>
              <w:t>46,5%</w:t>
            </w:r>
          </w:p>
        </w:tc>
        <w:tc>
          <w:tcPr>
            <w:tcW w:w="1288" w:type="dxa"/>
            <w:vAlign w:val="center"/>
          </w:tcPr>
          <w:p w14:paraId="4AFBE549" w14:textId="77777777" w:rsidR="006F765C" w:rsidRPr="006445C7" w:rsidRDefault="006F765C" w:rsidP="00C22C26">
            <w:pPr>
              <w:jc w:val="center"/>
              <w:rPr>
                <w:sz w:val="18"/>
                <w:szCs w:val="18"/>
              </w:rPr>
            </w:pPr>
            <w:r w:rsidRPr="006445C7">
              <w:rPr>
                <w:sz w:val="18"/>
                <w:szCs w:val="18"/>
              </w:rPr>
              <w:t>3</w:t>
            </w:r>
          </w:p>
        </w:tc>
        <w:tc>
          <w:tcPr>
            <w:tcW w:w="1296" w:type="dxa"/>
            <w:vAlign w:val="center"/>
          </w:tcPr>
          <w:p w14:paraId="3C9810CA" w14:textId="77777777" w:rsidR="006F765C" w:rsidRPr="006445C7" w:rsidRDefault="006F765C" w:rsidP="00C22C26">
            <w:pPr>
              <w:jc w:val="center"/>
              <w:rPr>
                <w:sz w:val="18"/>
                <w:szCs w:val="18"/>
              </w:rPr>
            </w:pPr>
            <w:r w:rsidRPr="006445C7">
              <w:rPr>
                <w:sz w:val="18"/>
                <w:szCs w:val="18"/>
              </w:rPr>
              <w:t>40 033 125,95</w:t>
            </w:r>
          </w:p>
        </w:tc>
        <w:tc>
          <w:tcPr>
            <w:tcW w:w="1380" w:type="dxa"/>
            <w:vAlign w:val="center"/>
          </w:tcPr>
          <w:p w14:paraId="30C8E51C" w14:textId="77777777" w:rsidR="006F765C" w:rsidRPr="006445C7" w:rsidRDefault="006F765C" w:rsidP="00C22C26">
            <w:pPr>
              <w:jc w:val="center"/>
              <w:rPr>
                <w:sz w:val="18"/>
                <w:szCs w:val="18"/>
              </w:rPr>
            </w:pPr>
            <w:r w:rsidRPr="006445C7">
              <w:rPr>
                <w:sz w:val="18"/>
                <w:szCs w:val="18"/>
              </w:rPr>
              <w:t>22 007 460,22</w:t>
            </w:r>
          </w:p>
        </w:tc>
      </w:tr>
      <w:tr w:rsidR="006F765C" w:rsidRPr="006445C7" w14:paraId="65B8D7E1" w14:textId="77777777" w:rsidTr="0049276B">
        <w:trPr>
          <w:trHeight w:val="769"/>
        </w:trPr>
        <w:tc>
          <w:tcPr>
            <w:tcW w:w="3114" w:type="dxa"/>
          </w:tcPr>
          <w:p w14:paraId="6D9A9E63" w14:textId="77777777" w:rsidR="006F765C" w:rsidRPr="006445C7" w:rsidRDefault="006F765C" w:rsidP="006F765C">
            <w:pPr>
              <w:rPr>
                <w:rFonts w:cs="Calibri"/>
                <w:sz w:val="18"/>
                <w:szCs w:val="18"/>
              </w:rPr>
            </w:pPr>
            <w:r w:rsidRPr="00F82D66">
              <w:rPr>
                <w:rFonts w:cs="Calibri"/>
                <w:sz w:val="18"/>
                <w:szCs w:val="18"/>
              </w:rPr>
              <w:t>Działanie 1.12 Tworzenie</w:t>
            </w:r>
            <w:r w:rsidR="00E66B89">
              <w:rPr>
                <w:rFonts w:cs="Calibri"/>
                <w:sz w:val="18"/>
                <w:szCs w:val="18"/>
              </w:rPr>
              <w:t xml:space="preserve"> i </w:t>
            </w:r>
            <w:r w:rsidRPr="00F82D66">
              <w:rPr>
                <w:rFonts w:cs="Calibri"/>
                <w:sz w:val="18"/>
                <w:szCs w:val="18"/>
              </w:rPr>
              <w:t>rozbudowa infrastruktury na rzecz rozwoju gospodarczego</w:t>
            </w:r>
            <w:r w:rsidR="00E66B89">
              <w:rPr>
                <w:rFonts w:cs="Calibri"/>
                <w:sz w:val="18"/>
                <w:szCs w:val="18"/>
              </w:rPr>
              <w:t xml:space="preserve"> w </w:t>
            </w:r>
            <w:r w:rsidRPr="00F82D66">
              <w:rPr>
                <w:rFonts w:cs="Calibri"/>
                <w:sz w:val="18"/>
                <w:szCs w:val="18"/>
              </w:rPr>
              <w:t>ramach Strategii ZIT dla Koszalińsko-Kołobrzesko-Białogardzkiego Obszaru Funkcjonalnego</w:t>
            </w:r>
          </w:p>
        </w:tc>
        <w:tc>
          <w:tcPr>
            <w:tcW w:w="1134" w:type="dxa"/>
            <w:vAlign w:val="center"/>
          </w:tcPr>
          <w:p w14:paraId="5FBB2457" w14:textId="77777777" w:rsidR="006F765C" w:rsidRPr="006445C7" w:rsidRDefault="006F765C" w:rsidP="00C22C26">
            <w:pPr>
              <w:jc w:val="center"/>
              <w:rPr>
                <w:sz w:val="18"/>
                <w:szCs w:val="18"/>
              </w:rPr>
            </w:pPr>
            <w:r w:rsidRPr="006445C7">
              <w:rPr>
                <w:sz w:val="18"/>
                <w:szCs w:val="18"/>
              </w:rPr>
              <w:t>17 211 200,00</w:t>
            </w:r>
          </w:p>
        </w:tc>
        <w:tc>
          <w:tcPr>
            <w:tcW w:w="850" w:type="dxa"/>
            <w:vAlign w:val="center"/>
          </w:tcPr>
          <w:p w14:paraId="296DF87F" w14:textId="77777777" w:rsidR="006F765C" w:rsidRPr="006445C7" w:rsidRDefault="006F765C" w:rsidP="00C22C26">
            <w:pPr>
              <w:jc w:val="center"/>
              <w:rPr>
                <w:sz w:val="18"/>
                <w:szCs w:val="18"/>
              </w:rPr>
            </w:pPr>
            <w:r w:rsidRPr="006445C7">
              <w:rPr>
                <w:sz w:val="18"/>
                <w:szCs w:val="18"/>
              </w:rPr>
              <w:t>82,5%</w:t>
            </w:r>
          </w:p>
        </w:tc>
        <w:tc>
          <w:tcPr>
            <w:tcW w:w="1288" w:type="dxa"/>
            <w:vAlign w:val="center"/>
          </w:tcPr>
          <w:p w14:paraId="7AE2E046" w14:textId="77777777" w:rsidR="006F765C" w:rsidRPr="006445C7" w:rsidRDefault="006F765C" w:rsidP="00C22C26">
            <w:pPr>
              <w:jc w:val="center"/>
              <w:rPr>
                <w:sz w:val="18"/>
                <w:szCs w:val="18"/>
              </w:rPr>
            </w:pPr>
            <w:r w:rsidRPr="006445C7">
              <w:rPr>
                <w:sz w:val="18"/>
                <w:szCs w:val="18"/>
              </w:rPr>
              <w:t>3</w:t>
            </w:r>
          </w:p>
        </w:tc>
        <w:tc>
          <w:tcPr>
            <w:tcW w:w="1296" w:type="dxa"/>
            <w:vAlign w:val="center"/>
          </w:tcPr>
          <w:p w14:paraId="6CC2C9D9" w14:textId="77777777" w:rsidR="006F765C" w:rsidRPr="006445C7" w:rsidRDefault="006F765C" w:rsidP="00C22C26">
            <w:pPr>
              <w:jc w:val="center"/>
              <w:rPr>
                <w:sz w:val="18"/>
                <w:szCs w:val="18"/>
              </w:rPr>
            </w:pPr>
            <w:r w:rsidRPr="006445C7">
              <w:rPr>
                <w:sz w:val="18"/>
                <w:szCs w:val="18"/>
              </w:rPr>
              <w:t>27 316 616,02</w:t>
            </w:r>
          </w:p>
        </w:tc>
        <w:tc>
          <w:tcPr>
            <w:tcW w:w="1380" w:type="dxa"/>
            <w:vAlign w:val="center"/>
          </w:tcPr>
          <w:p w14:paraId="07C683BE" w14:textId="77777777" w:rsidR="006F765C" w:rsidRPr="006445C7" w:rsidRDefault="006F765C" w:rsidP="00C22C26">
            <w:pPr>
              <w:jc w:val="center"/>
              <w:rPr>
                <w:sz w:val="18"/>
                <w:szCs w:val="18"/>
              </w:rPr>
            </w:pPr>
            <w:r w:rsidRPr="006445C7">
              <w:rPr>
                <w:sz w:val="18"/>
                <w:szCs w:val="18"/>
              </w:rPr>
              <w:t>14 203 087,63</w:t>
            </w:r>
          </w:p>
        </w:tc>
      </w:tr>
      <w:tr w:rsidR="006F765C" w:rsidRPr="006445C7" w14:paraId="3DB54982" w14:textId="77777777" w:rsidTr="0049276B">
        <w:trPr>
          <w:trHeight w:val="769"/>
        </w:trPr>
        <w:tc>
          <w:tcPr>
            <w:tcW w:w="3114" w:type="dxa"/>
          </w:tcPr>
          <w:p w14:paraId="7F3EB3FE" w14:textId="77777777" w:rsidR="006F765C" w:rsidRPr="006445C7" w:rsidRDefault="006F765C" w:rsidP="006F765C">
            <w:pPr>
              <w:rPr>
                <w:rFonts w:cs="Calibri"/>
                <w:sz w:val="18"/>
                <w:szCs w:val="18"/>
              </w:rPr>
            </w:pPr>
            <w:r w:rsidRPr="00F82D66">
              <w:rPr>
                <w:rFonts w:cs="Calibri"/>
                <w:sz w:val="18"/>
                <w:szCs w:val="18"/>
              </w:rPr>
              <w:t>Działanie 1.13 Tworzenie</w:t>
            </w:r>
            <w:r w:rsidR="00E66B89">
              <w:rPr>
                <w:rFonts w:cs="Calibri"/>
                <w:sz w:val="18"/>
                <w:szCs w:val="18"/>
              </w:rPr>
              <w:t xml:space="preserve"> i </w:t>
            </w:r>
            <w:r w:rsidRPr="00F82D66">
              <w:rPr>
                <w:rFonts w:cs="Calibri"/>
                <w:sz w:val="18"/>
                <w:szCs w:val="18"/>
              </w:rPr>
              <w:t>rozbudowa infrastruktury na rzecz rozwoju gospodarczego</w:t>
            </w:r>
            <w:r w:rsidR="00E66B89">
              <w:rPr>
                <w:rFonts w:cs="Calibri"/>
                <w:sz w:val="18"/>
                <w:szCs w:val="18"/>
              </w:rPr>
              <w:t xml:space="preserve"> w </w:t>
            </w:r>
            <w:r w:rsidRPr="00F82D66">
              <w:rPr>
                <w:rFonts w:cs="Calibri"/>
                <w:sz w:val="18"/>
                <w:szCs w:val="18"/>
              </w:rPr>
              <w:t>ramach Kontraktów Samorządowych</w:t>
            </w:r>
          </w:p>
        </w:tc>
        <w:tc>
          <w:tcPr>
            <w:tcW w:w="1134" w:type="dxa"/>
            <w:vAlign w:val="center"/>
          </w:tcPr>
          <w:p w14:paraId="238C0EA3" w14:textId="77777777" w:rsidR="006F765C" w:rsidRPr="006445C7" w:rsidRDefault="006F765C" w:rsidP="00C22C26">
            <w:pPr>
              <w:jc w:val="center"/>
              <w:rPr>
                <w:sz w:val="18"/>
                <w:szCs w:val="18"/>
              </w:rPr>
            </w:pPr>
            <w:r w:rsidRPr="006445C7">
              <w:rPr>
                <w:sz w:val="18"/>
                <w:szCs w:val="18"/>
              </w:rPr>
              <w:t>38 725 200,00</w:t>
            </w:r>
          </w:p>
        </w:tc>
        <w:tc>
          <w:tcPr>
            <w:tcW w:w="850" w:type="dxa"/>
            <w:vAlign w:val="center"/>
          </w:tcPr>
          <w:p w14:paraId="4F1A4454" w14:textId="77777777" w:rsidR="006F765C" w:rsidRPr="006445C7" w:rsidRDefault="006F765C" w:rsidP="00C22C26">
            <w:pPr>
              <w:jc w:val="center"/>
              <w:rPr>
                <w:sz w:val="18"/>
                <w:szCs w:val="18"/>
              </w:rPr>
            </w:pPr>
            <w:r w:rsidRPr="006445C7">
              <w:rPr>
                <w:sz w:val="18"/>
                <w:szCs w:val="18"/>
              </w:rPr>
              <w:t>77,7%</w:t>
            </w:r>
          </w:p>
        </w:tc>
        <w:tc>
          <w:tcPr>
            <w:tcW w:w="1288" w:type="dxa"/>
            <w:vAlign w:val="center"/>
          </w:tcPr>
          <w:p w14:paraId="3DBC1E70" w14:textId="77777777" w:rsidR="006F765C" w:rsidRPr="006445C7" w:rsidRDefault="006F765C" w:rsidP="00C22C26">
            <w:pPr>
              <w:jc w:val="center"/>
              <w:rPr>
                <w:sz w:val="18"/>
                <w:szCs w:val="18"/>
              </w:rPr>
            </w:pPr>
            <w:r w:rsidRPr="006445C7">
              <w:rPr>
                <w:sz w:val="18"/>
                <w:szCs w:val="18"/>
              </w:rPr>
              <w:t>12</w:t>
            </w:r>
          </w:p>
        </w:tc>
        <w:tc>
          <w:tcPr>
            <w:tcW w:w="1296" w:type="dxa"/>
            <w:vAlign w:val="center"/>
          </w:tcPr>
          <w:p w14:paraId="74E872F2" w14:textId="77777777" w:rsidR="006F765C" w:rsidRPr="006445C7" w:rsidRDefault="006F765C" w:rsidP="00C22C26">
            <w:pPr>
              <w:jc w:val="center"/>
              <w:rPr>
                <w:sz w:val="18"/>
                <w:szCs w:val="18"/>
              </w:rPr>
            </w:pPr>
            <w:r w:rsidRPr="006445C7">
              <w:rPr>
                <w:sz w:val="18"/>
                <w:szCs w:val="18"/>
              </w:rPr>
              <w:t>45 740 312,85</w:t>
            </w:r>
          </w:p>
        </w:tc>
        <w:tc>
          <w:tcPr>
            <w:tcW w:w="1380" w:type="dxa"/>
            <w:vAlign w:val="center"/>
          </w:tcPr>
          <w:p w14:paraId="148E99F7" w14:textId="77777777" w:rsidR="006F765C" w:rsidRPr="006445C7" w:rsidRDefault="006F765C" w:rsidP="00C22C26">
            <w:pPr>
              <w:jc w:val="center"/>
              <w:rPr>
                <w:sz w:val="18"/>
                <w:szCs w:val="18"/>
              </w:rPr>
            </w:pPr>
            <w:r w:rsidRPr="006445C7">
              <w:rPr>
                <w:sz w:val="18"/>
                <w:szCs w:val="18"/>
              </w:rPr>
              <w:t>30 100 331,01</w:t>
            </w:r>
          </w:p>
        </w:tc>
      </w:tr>
    </w:tbl>
    <w:p w14:paraId="6ED1E394" w14:textId="702BC260" w:rsidR="006F765C" w:rsidRPr="00D21299" w:rsidRDefault="006F765C" w:rsidP="001245CE">
      <w:pPr>
        <w:spacing w:before="0"/>
        <w:rPr>
          <w:rFonts w:cs="Calibri"/>
          <w:i/>
          <w:sz w:val="18"/>
          <w:szCs w:val="20"/>
        </w:rPr>
      </w:pPr>
      <w:r w:rsidRPr="00D21299">
        <w:rPr>
          <w:rFonts w:cs="Calibri"/>
          <w:i/>
          <w:sz w:val="18"/>
          <w:szCs w:val="20"/>
        </w:rPr>
        <w:t>Źródło: obliczenia własne na podstawie danych SL 2014 (stan na dzień 07.01.2019r.)</w:t>
      </w:r>
      <w:r w:rsidR="00AA6879">
        <w:rPr>
          <w:rFonts w:cs="Calibri"/>
          <w:i/>
          <w:sz w:val="18"/>
          <w:szCs w:val="20"/>
        </w:rPr>
        <w:t>.</w:t>
      </w:r>
    </w:p>
    <w:p w14:paraId="05149F6D" w14:textId="77777777" w:rsidR="002F474C" w:rsidRPr="00C22C26" w:rsidRDefault="002F474C" w:rsidP="006F765C">
      <w:pPr>
        <w:rPr>
          <w:szCs w:val="20"/>
        </w:rPr>
      </w:pPr>
      <w:r w:rsidRPr="00582F9D">
        <w:rPr>
          <w:szCs w:val="20"/>
        </w:rPr>
        <w:lastRenderedPageBreak/>
        <w:t>Informacje dotyczące wartości projektów realizowanych</w:t>
      </w:r>
      <w:r w:rsidR="00E66B89">
        <w:rPr>
          <w:szCs w:val="20"/>
        </w:rPr>
        <w:t xml:space="preserve"> w </w:t>
      </w:r>
      <w:r w:rsidRPr="00582F9D">
        <w:rPr>
          <w:szCs w:val="20"/>
        </w:rPr>
        <w:t>ramach Działań 1.10, 1.11, 1.12</w:t>
      </w:r>
      <w:r w:rsidR="00E66B89">
        <w:rPr>
          <w:szCs w:val="20"/>
        </w:rPr>
        <w:t xml:space="preserve"> i </w:t>
      </w:r>
      <w:r w:rsidRPr="00582F9D">
        <w:rPr>
          <w:szCs w:val="20"/>
        </w:rPr>
        <w:t>1.13</w:t>
      </w:r>
      <w:r w:rsidR="00E66B89">
        <w:rPr>
          <w:szCs w:val="20"/>
        </w:rPr>
        <w:t xml:space="preserve"> w </w:t>
      </w:r>
      <w:r>
        <w:rPr>
          <w:szCs w:val="20"/>
        </w:rPr>
        <w:t xml:space="preserve">gminach </w:t>
      </w:r>
      <w:r w:rsidRPr="00582F9D">
        <w:rPr>
          <w:szCs w:val="20"/>
        </w:rPr>
        <w:t>województw</w:t>
      </w:r>
      <w:r>
        <w:rPr>
          <w:szCs w:val="20"/>
        </w:rPr>
        <w:t>a</w:t>
      </w:r>
      <w:r w:rsidRPr="00582F9D">
        <w:rPr>
          <w:szCs w:val="20"/>
        </w:rPr>
        <w:t xml:space="preserve"> zachodniopomorski</w:t>
      </w:r>
      <w:r>
        <w:rPr>
          <w:szCs w:val="20"/>
        </w:rPr>
        <w:t>ego</w:t>
      </w:r>
      <w:r w:rsidRPr="00582F9D">
        <w:rPr>
          <w:szCs w:val="20"/>
        </w:rPr>
        <w:t xml:space="preserve"> przedstawiono na mapie poniżej. </w:t>
      </w:r>
      <w:r>
        <w:rPr>
          <w:szCs w:val="20"/>
        </w:rPr>
        <w:t>Wśród działań</w:t>
      </w:r>
      <w:r w:rsidR="00E66B89">
        <w:rPr>
          <w:szCs w:val="20"/>
        </w:rPr>
        <w:t xml:space="preserve"> o </w:t>
      </w:r>
      <w:r>
        <w:rPr>
          <w:szCs w:val="20"/>
        </w:rPr>
        <w:t>charakterze tworzenia</w:t>
      </w:r>
      <w:r w:rsidR="00E66B89">
        <w:rPr>
          <w:szCs w:val="20"/>
        </w:rPr>
        <w:t xml:space="preserve"> i </w:t>
      </w:r>
      <w:r>
        <w:rPr>
          <w:szCs w:val="20"/>
        </w:rPr>
        <w:t>rozbudowy infrastruktury na rzecz rozwoju gospodarczego, zaledwie jeden projekt realizowany jest poza mechanizmami terytorialnymi –</w:t>
      </w:r>
      <w:r w:rsidR="00E66B89">
        <w:rPr>
          <w:szCs w:val="20"/>
        </w:rPr>
        <w:t xml:space="preserve"> w </w:t>
      </w:r>
      <w:r>
        <w:rPr>
          <w:szCs w:val="20"/>
        </w:rPr>
        <w:t>gminie Gryfice (o wartości niecałych 3 mln zł). Pozostałe inwestycje wdrażane są</w:t>
      </w:r>
      <w:r w:rsidR="00E66B89">
        <w:rPr>
          <w:szCs w:val="20"/>
        </w:rPr>
        <w:t xml:space="preserve"> w </w:t>
      </w:r>
      <w:r>
        <w:rPr>
          <w:szCs w:val="20"/>
        </w:rPr>
        <w:t>ramach ZIT lub KS (suma wartości tych projektów to ok. 109,8 mln zł), co świadczy</w:t>
      </w:r>
      <w:r w:rsidR="00E66B89">
        <w:rPr>
          <w:szCs w:val="20"/>
        </w:rPr>
        <w:t xml:space="preserve"> o </w:t>
      </w:r>
      <w:r>
        <w:rPr>
          <w:szCs w:val="20"/>
        </w:rPr>
        <w:t>skuteczności ukierunkowania interwencji. Projekty</w:t>
      </w:r>
      <w:r w:rsidR="00E66B89">
        <w:rPr>
          <w:szCs w:val="20"/>
        </w:rPr>
        <w:t xml:space="preserve"> o </w:t>
      </w:r>
      <w:r>
        <w:rPr>
          <w:szCs w:val="20"/>
        </w:rPr>
        <w:t>największej wartości ogółem realizowane są</w:t>
      </w:r>
      <w:r w:rsidR="00E66B89">
        <w:rPr>
          <w:szCs w:val="20"/>
        </w:rPr>
        <w:t xml:space="preserve"> w </w:t>
      </w:r>
      <w:r>
        <w:rPr>
          <w:szCs w:val="20"/>
        </w:rPr>
        <w:t>ZIT SOM (Świnoujście, ok. 27,8 mln zł</w:t>
      </w:r>
      <w:r w:rsidR="00E66B89">
        <w:rPr>
          <w:szCs w:val="20"/>
        </w:rPr>
        <w:t xml:space="preserve"> i </w:t>
      </w:r>
      <w:r>
        <w:rPr>
          <w:szCs w:val="20"/>
        </w:rPr>
        <w:t>Stargard, 9,3 mln zł) oraz ZIT KKBOF (Koszalin, ok 21,9 mln zł).</w:t>
      </w:r>
      <w:r w:rsidR="00E66B89">
        <w:rPr>
          <w:szCs w:val="20"/>
        </w:rPr>
        <w:t xml:space="preserve"> W </w:t>
      </w:r>
      <w:r>
        <w:rPr>
          <w:szCs w:val="20"/>
        </w:rPr>
        <w:t>ramach KS największą wartość ogółem ma projekt</w:t>
      </w:r>
      <w:r w:rsidR="00E66B89">
        <w:rPr>
          <w:szCs w:val="20"/>
        </w:rPr>
        <w:t xml:space="preserve"> w </w:t>
      </w:r>
      <w:r>
        <w:rPr>
          <w:szCs w:val="20"/>
        </w:rPr>
        <w:t>KS „Strefa Centralna” (gmina Łobez, 12,7 mln zł). Pozostałe inwestycje mają mniejszą skalę finansową,</w:t>
      </w:r>
      <w:r w:rsidR="00E66B89">
        <w:rPr>
          <w:szCs w:val="20"/>
        </w:rPr>
        <w:t xml:space="preserve"> w </w:t>
      </w:r>
      <w:r>
        <w:rPr>
          <w:szCs w:val="20"/>
        </w:rPr>
        <w:t>ich przypadku wartość ogółem wynosi kilka mln zł.</w:t>
      </w:r>
    </w:p>
    <w:p w14:paraId="0334D96A" w14:textId="77777777" w:rsidR="00AA039F" w:rsidRDefault="00AA039F">
      <w:pPr>
        <w:pStyle w:val="Legenda"/>
      </w:pPr>
      <w:bookmarkStart w:id="361" w:name="_Toc6521451"/>
      <w:r>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2</w:t>
      </w:r>
      <w:r w:rsidR="006E34DC">
        <w:rPr>
          <w:noProof/>
        </w:rPr>
        <w:fldChar w:fldCharType="end"/>
      </w:r>
      <w:r>
        <w:t xml:space="preserve"> </w:t>
      </w:r>
      <w:r w:rsidRPr="00B407DD">
        <w:t>Wartość projektów ogółem</w:t>
      </w:r>
      <w:r w:rsidR="00E66B89">
        <w:t xml:space="preserve"> z </w:t>
      </w:r>
      <w:r w:rsidRPr="00B407DD">
        <w:t>Działań realizujących instrumenty terytorialne oraz analogicznego Działania wdrażanego</w:t>
      </w:r>
      <w:r w:rsidR="00E66B89">
        <w:t xml:space="preserve"> w </w:t>
      </w:r>
      <w:r w:rsidRPr="00B407DD">
        <w:t>całym regionie,</w:t>
      </w:r>
      <w:r w:rsidR="00E66B89">
        <w:t xml:space="preserve"> w </w:t>
      </w:r>
      <w:r w:rsidRPr="00B407DD">
        <w:t>podziale na gminy</w:t>
      </w:r>
      <w:r w:rsidR="00E66B89">
        <w:t xml:space="preserve"> z </w:t>
      </w:r>
      <w:r w:rsidRPr="00B407DD">
        <w:t>wyszczególnieniem gmin należących do ZIT/KS - PI 3a</w:t>
      </w:r>
      <w:bookmarkEnd w:id="361"/>
    </w:p>
    <w:p w14:paraId="1D856F8E" w14:textId="505E860C" w:rsidR="00235A1A" w:rsidRDefault="00C35619" w:rsidP="006F765C">
      <w:r w:rsidRPr="00D508B6">
        <w:rPr>
          <w:noProof/>
        </w:rPr>
        <w:drawing>
          <wp:inline distT="0" distB="0" distL="0" distR="0" wp14:anchorId="2F80002F" wp14:editId="1EB2E742">
            <wp:extent cx="5762625" cy="4076700"/>
            <wp:effectExtent l="0" t="0" r="9525" b="0"/>
            <wp:docPr id="6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23156F56" w14:textId="77777777" w:rsidR="00AA039F" w:rsidRPr="00D21299" w:rsidRDefault="00AA039F" w:rsidP="00C22C26">
      <w:pPr>
        <w:spacing w:line="240" w:lineRule="auto"/>
        <w:rPr>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3 246 989,85 zł.</w:t>
      </w:r>
      <w:r w:rsidRPr="00D21299">
        <w:rPr>
          <w:rStyle w:val="Odwoanieprzypisudolnego"/>
          <w:sz w:val="18"/>
          <w:szCs w:val="18"/>
        </w:rPr>
        <w:footnoteReference w:id="140"/>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085CEB12" w14:textId="77777777" w:rsidR="006F765C" w:rsidRDefault="006F765C" w:rsidP="006F765C">
      <w:r>
        <w:lastRenderedPageBreak/>
        <w:t>Oceniając wkład poszczególnych działań</w:t>
      </w:r>
      <w:r w:rsidR="00E66B89">
        <w:t xml:space="preserve"> o </w:t>
      </w:r>
      <w:r>
        <w:t>charakterze tworzenia</w:t>
      </w:r>
      <w:r w:rsidR="00E66B89">
        <w:t xml:space="preserve"> i </w:t>
      </w:r>
      <w:r>
        <w:t>rozbudowy infrastruktury na rzecz rozwoju gospodarczego</w:t>
      </w:r>
      <w:r w:rsidR="00E66B89">
        <w:t xml:space="preserve"> w </w:t>
      </w:r>
      <w:r>
        <w:t>osiąganie celu wyznaczonego na poziomie PI 3a (tj. 208 ha przygotowanych terenów inwestycyjnych) należy mieć na uwadze specyfikę interwencji. Jej wdrażanie napotkało na szereg utrudnień, omawianych</w:t>
      </w:r>
      <w:r w:rsidR="00E66B89">
        <w:t xml:space="preserve"> w </w:t>
      </w:r>
      <w:r>
        <w:t>rozdziale poświęconym ocenie postępu rzeczowego</w:t>
      </w:r>
      <w:r w:rsidR="00E66B89">
        <w:t xml:space="preserve"> i </w:t>
      </w:r>
      <w:r>
        <w:t>finansowego. Utrudnienia te występowały powszechnie,</w:t>
      </w:r>
      <w:r w:rsidR="00E66B89">
        <w:t xml:space="preserve"> o </w:t>
      </w:r>
      <w:r>
        <w:t>czym świadczy zarówno zmniejszenie przeznaczonej na działania alokacji, jak</w:t>
      </w:r>
      <w:r w:rsidR="00E66B89">
        <w:t xml:space="preserve"> i </w:t>
      </w:r>
      <w:r>
        <w:t>informacje pozyskane</w:t>
      </w:r>
      <w:r w:rsidR="00E66B89">
        <w:t xml:space="preserve"> w </w:t>
      </w:r>
      <w:r>
        <w:t>przeprowadzonych</w:t>
      </w:r>
      <w:r w:rsidR="00E66B89">
        <w:t xml:space="preserve"> z </w:t>
      </w:r>
      <w:r>
        <w:t>przedstawicielami ZIT oraz KS badaniach jakościowych.</w:t>
      </w:r>
      <w:r w:rsidR="00E66B89">
        <w:t xml:space="preserve"> W </w:t>
      </w:r>
      <w:r>
        <w:t>tym miejscu należy jednak podkreślić, że</w:t>
      </w:r>
      <w:r w:rsidR="00E66B89">
        <w:t xml:space="preserve"> w </w:t>
      </w:r>
      <w:r>
        <w:t>ramach działań wykorzystujących mechanizmy terytorialne przygotowano większą powierzchnię terenów inwestycyjnych, niż</w:t>
      </w:r>
      <w:r w:rsidR="00E66B89">
        <w:t xml:space="preserve"> w </w:t>
      </w:r>
      <w:r>
        <w:t>przypadku Działania 1.10. Największy postęp rzeczowy, pod względem wartości wykazanej</w:t>
      </w:r>
      <w:r w:rsidR="00E66B89">
        <w:t xml:space="preserve"> w </w:t>
      </w:r>
      <w:r>
        <w:t>WoP, wykazuje wskaźnik dla Działania 1.13 (tj. Kontraktów Samorządowych), jednak wartość szacowana</w:t>
      </w:r>
      <w:r w:rsidR="00E66B89">
        <w:t xml:space="preserve"> w </w:t>
      </w:r>
      <w:r>
        <w:t>UoD wyższa jest także</w:t>
      </w:r>
      <w:r w:rsidR="00E66B89">
        <w:t xml:space="preserve"> w </w:t>
      </w:r>
      <w:r>
        <w:t>działaniach 1.11</w:t>
      </w:r>
      <w:r w:rsidR="00E66B89">
        <w:t xml:space="preserve"> i </w:t>
      </w:r>
      <w:r>
        <w:t>1.12 (tj. ZIT).</w:t>
      </w:r>
      <w:r w:rsidR="00E66B89">
        <w:t xml:space="preserve"> W </w:t>
      </w:r>
      <w:r>
        <w:t>związku</w:t>
      </w:r>
      <w:r w:rsidR="00E66B89">
        <w:t xml:space="preserve"> z </w:t>
      </w:r>
      <w:r>
        <w:t>poziomem kontraktacji (46,5%)</w:t>
      </w:r>
      <w:r w:rsidR="00E66B89">
        <w:t xml:space="preserve"> i </w:t>
      </w:r>
      <w:r>
        <w:t>wysokością alokacji (największą wśród omawianych działań), spodziewać się można zwiększenia powierzchni przygotowanych terenów inwestycyjnych</w:t>
      </w:r>
      <w:r w:rsidR="00E66B89">
        <w:t xml:space="preserve"> w </w:t>
      </w:r>
      <w:r>
        <w:t>ramach Działania 1.11 (tj.</w:t>
      </w:r>
      <w:r w:rsidR="00E66B89">
        <w:t xml:space="preserve"> w </w:t>
      </w:r>
      <w:r>
        <w:t>obrębie SOM).</w:t>
      </w:r>
    </w:p>
    <w:p w14:paraId="6FB2C72F" w14:textId="77777777" w:rsidR="006F765C" w:rsidRDefault="006F765C" w:rsidP="00024F00">
      <w:pPr>
        <w:pStyle w:val="Legenda"/>
        <w:spacing w:after="0"/>
      </w:pPr>
      <w:bookmarkStart w:id="362" w:name="_Toc8824270"/>
      <w:r>
        <w:t xml:space="preserve">Tabela </w:t>
      </w:r>
      <w:r w:rsidR="004E27AD">
        <w:fldChar w:fldCharType="begin"/>
      </w:r>
      <w:r w:rsidR="004E27AD">
        <w:instrText xml:space="preserve"> SEQ Tabela \* ARABIC </w:instrText>
      </w:r>
      <w:r w:rsidR="004E27AD">
        <w:fldChar w:fldCharType="separate"/>
      </w:r>
      <w:r w:rsidR="00763345">
        <w:rPr>
          <w:noProof/>
        </w:rPr>
        <w:t>159</w:t>
      </w:r>
      <w:r w:rsidR="004E27AD">
        <w:fldChar w:fldCharType="end"/>
      </w:r>
      <w:r>
        <w:t xml:space="preserve"> 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osiąganiu celów PI 4c</w:t>
      </w:r>
      <w:bookmarkEnd w:id="362"/>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87"/>
        <w:gridCol w:w="1498"/>
        <w:gridCol w:w="1583"/>
        <w:gridCol w:w="1232"/>
        <w:gridCol w:w="1540"/>
      </w:tblGrid>
      <w:tr w:rsidR="006F765C" w14:paraId="1D936C6A" w14:textId="77777777" w:rsidTr="00C22C26">
        <w:trPr>
          <w:tblHeader/>
        </w:trPr>
        <w:tc>
          <w:tcPr>
            <w:tcW w:w="1622" w:type="dxa"/>
            <w:shd w:val="clear" w:color="auto" w:fill="DBE5F1"/>
          </w:tcPr>
          <w:p w14:paraId="38905860" w14:textId="77777777" w:rsidR="006F765C" w:rsidRPr="00404DA5" w:rsidRDefault="006F765C" w:rsidP="008B706B">
            <w:pPr>
              <w:jc w:val="center"/>
              <w:rPr>
                <w:rFonts w:eastAsia="Calibri" w:cs="Calibri"/>
                <w:sz w:val="18"/>
                <w:szCs w:val="20"/>
              </w:rPr>
            </w:pPr>
          </w:p>
        </w:tc>
        <w:tc>
          <w:tcPr>
            <w:tcW w:w="1587" w:type="dxa"/>
            <w:shd w:val="clear" w:color="auto" w:fill="DBE5F1"/>
            <w:hideMark/>
          </w:tcPr>
          <w:p w14:paraId="149B2FEC" w14:textId="77777777" w:rsidR="006F765C" w:rsidRPr="00404DA5" w:rsidRDefault="006F765C" w:rsidP="008B706B">
            <w:pPr>
              <w:jc w:val="center"/>
              <w:rPr>
                <w:rFonts w:cs="Calibri"/>
                <w:sz w:val="18"/>
                <w:szCs w:val="20"/>
              </w:rPr>
            </w:pPr>
            <w:r w:rsidRPr="00404DA5">
              <w:rPr>
                <w:rFonts w:cs="Calibri"/>
                <w:sz w:val="18"/>
                <w:szCs w:val="20"/>
              </w:rPr>
              <w:t>Wartość docelowa (2023) na poziomie PI</w:t>
            </w:r>
          </w:p>
        </w:tc>
        <w:tc>
          <w:tcPr>
            <w:tcW w:w="1498" w:type="dxa"/>
            <w:shd w:val="clear" w:color="auto" w:fill="DBE5F1"/>
            <w:hideMark/>
          </w:tcPr>
          <w:p w14:paraId="208A2A6E" w14:textId="77777777" w:rsidR="006F765C" w:rsidRPr="00404DA5" w:rsidRDefault="006F765C" w:rsidP="008B706B">
            <w:pPr>
              <w:jc w:val="center"/>
              <w:rPr>
                <w:rFonts w:cs="Calibri"/>
                <w:sz w:val="18"/>
                <w:szCs w:val="20"/>
              </w:rPr>
            </w:pPr>
            <w:r w:rsidRPr="00404DA5">
              <w:rPr>
                <w:rFonts w:cs="Calibri"/>
                <w:sz w:val="18"/>
                <w:szCs w:val="18"/>
              </w:rPr>
              <w:t>Realizacja wartości docelowej wskaźnika (wg UoD)</w:t>
            </w:r>
          </w:p>
        </w:tc>
        <w:tc>
          <w:tcPr>
            <w:tcW w:w="1583" w:type="dxa"/>
            <w:shd w:val="clear" w:color="auto" w:fill="DBE5F1"/>
            <w:hideMark/>
          </w:tcPr>
          <w:p w14:paraId="6F8A928D" w14:textId="77777777" w:rsidR="006F765C" w:rsidRPr="00404DA5" w:rsidRDefault="006F765C" w:rsidP="008B706B">
            <w:pPr>
              <w:jc w:val="center"/>
              <w:rPr>
                <w:rFonts w:cs="Calibri"/>
                <w:sz w:val="18"/>
                <w:szCs w:val="20"/>
              </w:rPr>
            </w:pPr>
            <w:r w:rsidRPr="00404DA5">
              <w:rPr>
                <w:rFonts w:cs="Calibri"/>
                <w:sz w:val="18"/>
                <w:szCs w:val="18"/>
              </w:rPr>
              <w:t>% realizacji wartości docelowej (wg UoD)</w:t>
            </w:r>
          </w:p>
        </w:tc>
        <w:tc>
          <w:tcPr>
            <w:tcW w:w="1232" w:type="dxa"/>
            <w:shd w:val="clear" w:color="auto" w:fill="DBE5F1"/>
            <w:hideMark/>
          </w:tcPr>
          <w:p w14:paraId="32252E33" w14:textId="77777777" w:rsidR="006F765C" w:rsidRPr="00404DA5" w:rsidRDefault="006F765C" w:rsidP="008B706B">
            <w:pPr>
              <w:jc w:val="center"/>
              <w:rPr>
                <w:rFonts w:cs="Calibri"/>
                <w:sz w:val="18"/>
                <w:szCs w:val="20"/>
              </w:rPr>
            </w:pPr>
            <w:r w:rsidRPr="00404DA5">
              <w:rPr>
                <w:rFonts w:cs="Calibri"/>
                <w:sz w:val="18"/>
                <w:szCs w:val="18"/>
              </w:rPr>
              <w:t>Realizacja wartości docelowej wskaźnika (wg WoP)</w:t>
            </w:r>
          </w:p>
        </w:tc>
        <w:tc>
          <w:tcPr>
            <w:tcW w:w="1540" w:type="dxa"/>
            <w:shd w:val="clear" w:color="auto" w:fill="DBE5F1"/>
            <w:hideMark/>
          </w:tcPr>
          <w:p w14:paraId="576A217C" w14:textId="77777777" w:rsidR="006F765C" w:rsidRPr="00404DA5" w:rsidRDefault="006F765C" w:rsidP="008B706B">
            <w:pPr>
              <w:jc w:val="center"/>
              <w:rPr>
                <w:rFonts w:cs="Calibri"/>
                <w:sz w:val="18"/>
                <w:szCs w:val="20"/>
              </w:rPr>
            </w:pPr>
            <w:r w:rsidRPr="00404DA5">
              <w:rPr>
                <w:rFonts w:cs="Calibri"/>
                <w:sz w:val="18"/>
                <w:szCs w:val="18"/>
              </w:rPr>
              <w:t>% realizacji wartości docelowej (wg WoP)</w:t>
            </w:r>
          </w:p>
        </w:tc>
      </w:tr>
      <w:tr w:rsidR="006F765C" w14:paraId="5684BE56" w14:textId="77777777" w:rsidTr="00C22C26">
        <w:tc>
          <w:tcPr>
            <w:tcW w:w="9062" w:type="dxa"/>
            <w:gridSpan w:val="6"/>
            <w:shd w:val="clear" w:color="auto" w:fill="auto"/>
            <w:hideMark/>
          </w:tcPr>
          <w:p w14:paraId="3BB2D43B" w14:textId="77777777" w:rsidR="006F765C" w:rsidRPr="00404DA5" w:rsidRDefault="006F765C" w:rsidP="006F765C">
            <w:pPr>
              <w:jc w:val="center"/>
              <w:rPr>
                <w:rFonts w:cs="Calibri"/>
                <w:sz w:val="18"/>
                <w:szCs w:val="20"/>
              </w:rPr>
            </w:pPr>
            <w:r w:rsidRPr="00052F4C">
              <w:rPr>
                <w:rFonts w:cs="Calibri"/>
                <w:sz w:val="18"/>
                <w:szCs w:val="20"/>
              </w:rPr>
              <w:t>Działanie 1.10 Tworzenie</w:t>
            </w:r>
            <w:r w:rsidR="00E66B89">
              <w:rPr>
                <w:rFonts w:cs="Calibri"/>
                <w:sz w:val="18"/>
                <w:szCs w:val="20"/>
              </w:rPr>
              <w:t xml:space="preserve"> i </w:t>
            </w:r>
            <w:r w:rsidRPr="00052F4C">
              <w:rPr>
                <w:rFonts w:cs="Calibri"/>
                <w:sz w:val="18"/>
                <w:szCs w:val="20"/>
              </w:rPr>
              <w:t>rozbudowa infrastruktury na rzecz rozwoju gospodarczego</w:t>
            </w:r>
          </w:p>
        </w:tc>
      </w:tr>
      <w:tr w:rsidR="006F765C" w14:paraId="2BBF1BF0" w14:textId="77777777" w:rsidTr="00C22C26">
        <w:tc>
          <w:tcPr>
            <w:tcW w:w="1622" w:type="dxa"/>
          </w:tcPr>
          <w:p w14:paraId="3D86E074" w14:textId="77777777" w:rsidR="006F765C" w:rsidRPr="00473713" w:rsidRDefault="006F765C" w:rsidP="006F765C">
            <w:pPr>
              <w:rPr>
                <w:rFonts w:cs="Calibri"/>
                <w:i/>
                <w:sz w:val="18"/>
                <w:szCs w:val="20"/>
              </w:rPr>
            </w:pPr>
            <w:r w:rsidRPr="00473713">
              <w:rPr>
                <w:rFonts w:cs="Calibri"/>
                <w:i/>
                <w:sz w:val="18"/>
                <w:szCs w:val="20"/>
              </w:rPr>
              <w:t>Powierzchnia przygotowanych terenów inwestycyjnych (ha)</w:t>
            </w:r>
          </w:p>
        </w:tc>
        <w:tc>
          <w:tcPr>
            <w:tcW w:w="1587" w:type="dxa"/>
            <w:vAlign w:val="center"/>
          </w:tcPr>
          <w:p w14:paraId="7A5D9B9A" w14:textId="77777777" w:rsidR="006F765C" w:rsidRPr="00404DA5" w:rsidRDefault="006F765C" w:rsidP="00C22C26">
            <w:pPr>
              <w:jc w:val="center"/>
              <w:rPr>
                <w:rFonts w:cs="Calibri"/>
                <w:sz w:val="18"/>
                <w:szCs w:val="20"/>
              </w:rPr>
            </w:pPr>
            <w:r>
              <w:rPr>
                <w:rFonts w:cs="Calibri"/>
                <w:sz w:val="18"/>
                <w:szCs w:val="20"/>
              </w:rPr>
              <w:t>208</w:t>
            </w:r>
          </w:p>
        </w:tc>
        <w:tc>
          <w:tcPr>
            <w:tcW w:w="1498" w:type="dxa"/>
            <w:vAlign w:val="center"/>
          </w:tcPr>
          <w:p w14:paraId="74275E80" w14:textId="77777777" w:rsidR="006F765C" w:rsidRPr="00404DA5" w:rsidRDefault="006F765C" w:rsidP="00C22C26">
            <w:pPr>
              <w:jc w:val="center"/>
              <w:rPr>
                <w:rFonts w:cs="Calibri"/>
                <w:sz w:val="18"/>
                <w:szCs w:val="20"/>
              </w:rPr>
            </w:pPr>
            <w:r>
              <w:rPr>
                <w:rFonts w:cs="Calibri"/>
                <w:sz w:val="18"/>
                <w:szCs w:val="20"/>
              </w:rPr>
              <w:t>17,75</w:t>
            </w:r>
          </w:p>
        </w:tc>
        <w:tc>
          <w:tcPr>
            <w:tcW w:w="1583" w:type="dxa"/>
            <w:vAlign w:val="center"/>
          </w:tcPr>
          <w:p w14:paraId="25614292" w14:textId="77777777" w:rsidR="006F765C" w:rsidRPr="00404DA5" w:rsidRDefault="006F765C" w:rsidP="00C22C26">
            <w:pPr>
              <w:jc w:val="center"/>
              <w:rPr>
                <w:rFonts w:cs="Calibri"/>
                <w:sz w:val="18"/>
                <w:szCs w:val="20"/>
              </w:rPr>
            </w:pPr>
            <w:r>
              <w:rPr>
                <w:rFonts w:cs="Calibri"/>
                <w:sz w:val="18"/>
                <w:szCs w:val="20"/>
              </w:rPr>
              <w:t>8,5%</w:t>
            </w:r>
          </w:p>
        </w:tc>
        <w:tc>
          <w:tcPr>
            <w:tcW w:w="1232" w:type="dxa"/>
            <w:vAlign w:val="center"/>
          </w:tcPr>
          <w:p w14:paraId="1F43AE70" w14:textId="77777777" w:rsidR="006F765C" w:rsidRPr="00404DA5" w:rsidRDefault="006F765C" w:rsidP="00C22C26">
            <w:pPr>
              <w:jc w:val="center"/>
              <w:rPr>
                <w:rFonts w:cs="Calibri"/>
                <w:sz w:val="18"/>
                <w:szCs w:val="20"/>
              </w:rPr>
            </w:pPr>
            <w:r>
              <w:rPr>
                <w:rFonts w:cs="Calibri"/>
                <w:sz w:val="18"/>
                <w:szCs w:val="20"/>
              </w:rPr>
              <w:t>17,75</w:t>
            </w:r>
          </w:p>
        </w:tc>
        <w:tc>
          <w:tcPr>
            <w:tcW w:w="1540" w:type="dxa"/>
            <w:vAlign w:val="center"/>
          </w:tcPr>
          <w:p w14:paraId="0287B889" w14:textId="77777777" w:rsidR="006F765C" w:rsidRPr="00404DA5" w:rsidRDefault="006F765C" w:rsidP="00C22C26">
            <w:pPr>
              <w:jc w:val="center"/>
              <w:rPr>
                <w:rFonts w:cs="Calibri"/>
                <w:sz w:val="18"/>
                <w:szCs w:val="20"/>
              </w:rPr>
            </w:pPr>
            <w:r>
              <w:rPr>
                <w:rFonts w:cs="Calibri"/>
                <w:sz w:val="18"/>
                <w:szCs w:val="20"/>
              </w:rPr>
              <w:t>8,5%</w:t>
            </w:r>
          </w:p>
        </w:tc>
      </w:tr>
      <w:tr w:rsidR="006F765C" w14:paraId="4EF93EA8" w14:textId="77777777" w:rsidTr="00C22C26">
        <w:tc>
          <w:tcPr>
            <w:tcW w:w="9062" w:type="dxa"/>
            <w:gridSpan w:val="6"/>
            <w:shd w:val="clear" w:color="auto" w:fill="auto"/>
            <w:hideMark/>
          </w:tcPr>
          <w:p w14:paraId="5D9F9A8F" w14:textId="77777777" w:rsidR="006F765C" w:rsidRPr="00404DA5" w:rsidRDefault="006F765C" w:rsidP="006F765C">
            <w:pPr>
              <w:jc w:val="center"/>
              <w:rPr>
                <w:rFonts w:cs="Calibri"/>
                <w:sz w:val="18"/>
                <w:szCs w:val="20"/>
              </w:rPr>
            </w:pPr>
            <w:r w:rsidRPr="00052F4C">
              <w:rPr>
                <w:rFonts w:cs="Calibri"/>
                <w:sz w:val="18"/>
                <w:szCs w:val="20"/>
              </w:rPr>
              <w:t>Działanie 1.11 Tworzenie</w:t>
            </w:r>
            <w:r w:rsidR="00E66B89">
              <w:rPr>
                <w:rFonts w:cs="Calibri"/>
                <w:sz w:val="18"/>
                <w:szCs w:val="20"/>
              </w:rPr>
              <w:t xml:space="preserve"> i </w:t>
            </w:r>
            <w:r w:rsidRPr="00052F4C">
              <w:rPr>
                <w:rFonts w:cs="Calibri"/>
                <w:sz w:val="18"/>
                <w:szCs w:val="20"/>
              </w:rPr>
              <w:t>rozbudowa infrastruktury na rzecz rozwoju gospodarczego</w:t>
            </w:r>
            <w:r w:rsidR="00E66B89">
              <w:rPr>
                <w:rFonts w:cs="Calibri"/>
                <w:sz w:val="18"/>
                <w:szCs w:val="20"/>
              </w:rPr>
              <w:t xml:space="preserve"> w </w:t>
            </w:r>
            <w:r w:rsidRPr="00052F4C">
              <w:rPr>
                <w:rFonts w:cs="Calibri"/>
                <w:sz w:val="18"/>
                <w:szCs w:val="20"/>
              </w:rPr>
              <w:t>ramach Strategii ZIT dla Szczecińskiego Obszaru Metropolitarnego</w:t>
            </w:r>
          </w:p>
        </w:tc>
      </w:tr>
      <w:tr w:rsidR="006F765C" w14:paraId="0B322922" w14:textId="77777777" w:rsidTr="00C22C26">
        <w:tc>
          <w:tcPr>
            <w:tcW w:w="1622" w:type="dxa"/>
          </w:tcPr>
          <w:p w14:paraId="4AE5A3A6" w14:textId="77777777" w:rsidR="006F765C" w:rsidRPr="00404DA5" w:rsidRDefault="006F765C" w:rsidP="006F765C">
            <w:pPr>
              <w:rPr>
                <w:rFonts w:cs="Calibri"/>
                <w:sz w:val="18"/>
                <w:szCs w:val="20"/>
              </w:rPr>
            </w:pPr>
            <w:r w:rsidRPr="00473713">
              <w:rPr>
                <w:rFonts w:cs="Calibri"/>
                <w:i/>
                <w:sz w:val="18"/>
                <w:szCs w:val="20"/>
              </w:rPr>
              <w:t>Powierzchnia przygotowanych terenów inwestycyjnych (ha)</w:t>
            </w:r>
          </w:p>
        </w:tc>
        <w:tc>
          <w:tcPr>
            <w:tcW w:w="1587" w:type="dxa"/>
            <w:vAlign w:val="center"/>
          </w:tcPr>
          <w:p w14:paraId="66C3F15E" w14:textId="77777777" w:rsidR="006F765C" w:rsidRPr="00404DA5" w:rsidRDefault="006F765C" w:rsidP="00C22C26">
            <w:pPr>
              <w:jc w:val="center"/>
              <w:rPr>
                <w:rFonts w:cs="Calibri"/>
                <w:sz w:val="18"/>
                <w:szCs w:val="20"/>
              </w:rPr>
            </w:pPr>
            <w:r>
              <w:rPr>
                <w:rFonts w:cs="Calibri"/>
                <w:sz w:val="18"/>
                <w:szCs w:val="20"/>
              </w:rPr>
              <w:t>208</w:t>
            </w:r>
          </w:p>
        </w:tc>
        <w:tc>
          <w:tcPr>
            <w:tcW w:w="1498" w:type="dxa"/>
            <w:vAlign w:val="center"/>
          </w:tcPr>
          <w:p w14:paraId="060F89BB" w14:textId="77777777" w:rsidR="006F765C" w:rsidRPr="00404DA5" w:rsidRDefault="006F765C" w:rsidP="00C22C26">
            <w:pPr>
              <w:jc w:val="center"/>
              <w:rPr>
                <w:rFonts w:cs="Calibri"/>
                <w:sz w:val="18"/>
                <w:szCs w:val="20"/>
              </w:rPr>
            </w:pPr>
            <w:r>
              <w:rPr>
                <w:rFonts w:cs="Calibri"/>
                <w:sz w:val="18"/>
                <w:szCs w:val="20"/>
              </w:rPr>
              <w:t>75,73</w:t>
            </w:r>
          </w:p>
        </w:tc>
        <w:tc>
          <w:tcPr>
            <w:tcW w:w="1583" w:type="dxa"/>
            <w:vAlign w:val="center"/>
          </w:tcPr>
          <w:p w14:paraId="1D237199" w14:textId="77777777" w:rsidR="006F765C" w:rsidRPr="00404DA5" w:rsidRDefault="006F765C" w:rsidP="00C22C26">
            <w:pPr>
              <w:jc w:val="center"/>
              <w:rPr>
                <w:rFonts w:cs="Calibri"/>
                <w:sz w:val="18"/>
                <w:szCs w:val="20"/>
              </w:rPr>
            </w:pPr>
            <w:r>
              <w:rPr>
                <w:rFonts w:cs="Calibri"/>
                <w:sz w:val="18"/>
                <w:szCs w:val="20"/>
              </w:rPr>
              <w:t>36,4%</w:t>
            </w:r>
          </w:p>
        </w:tc>
        <w:tc>
          <w:tcPr>
            <w:tcW w:w="1232" w:type="dxa"/>
            <w:vAlign w:val="center"/>
          </w:tcPr>
          <w:p w14:paraId="73C9C9EE" w14:textId="77777777" w:rsidR="006F765C" w:rsidRPr="00404DA5" w:rsidRDefault="006F765C" w:rsidP="00C22C26">
            <w:pPr>
              <w:jc w:val="center"/>
              <w:rPr>
                <w:rFonts w:cs="Calibri"/>
                <w:sz w:val="18"/>
                <w:szCs w:val="20"/>
              </w:rPr>
            </w:pPr>
            <w:r>
              <w:rPr>
                <w:rFonts w:cs="Calibri"/>
                <w:sz w:val="18"/>
                <w:szCs w:val="20"/>
              </w:rPr>
              <w:t>0</w:t>
            </w:r>
          </w:p>
        </w:tc>
        <w:tc>
          <w:tcPr>
            <w:tcW w:w="1540" w:type="dxa"/>
            <w:vAlign w:val="center"/>
          </w:tcPr>
          <w:p w14:paraId="1F549704" w14:textId="77777777" w:rsidR="006F765C" w:rsidRPr="00404DA5" w:rsidRDefault="006F765C" w:rsidP="00C22C26">
            <w:pPr>
              <w:jc w:val="center"/>
              <w:rPr>
                <w:rFonts w:cs="Calibri"/>
                <w:sz w:val="18"/>
                <w:szCs w:val="20"/>
              </w:rPr>
            </w:pPr>
            <w:r>
              <w:rPr>
                <w:rFonts w:cs="Calibri"/>
                <w:sz w:val="18"/>
                <w:szCs w:val="20"/>
              </w:rPr>
              <w:t>0,0%</w:t>
            </w:r>
          </w:p>
        </w:tc>
      </w:tr>
      <w:tr w:rsidR="006F765C" w14:paraId="7CA93AFD" w14:textId="77777777" w:rsidTr="00C22C26">
        <w:tc>
          <w:tcPr>
            <w:tcW w:w="9062" w:type="dxa"/>
            <w:gridSpan w:val="6"/>
            <w:shd w:val="clear" w:color="auto" w:fill="auto"/>
            <w:hideMark/>
          </w:tcPr>
          <w:p w14:paraId="1E60A511" w14:textId="77777777" w:rsidR="006F765C" w:rsidRPr="00404DA5" w:rsidRDefault="006F765C" w:rsidP="006F765C">
            <w:pPr>
              <w:jc w:val="center"/>
              <w:rPr>
                <w:rFonts w:cs="Calibri"/>
                <w:sz w:val="18"/>
                <w:szCs w:val="20"/>
              </w:rPr>
            </w:pPr>
            <w:r w:rsidRPr="00052F4C">
              <w:rPr>
                <w:rFonts w:cs="Calibri"/>
                <w:sz w:val="18"/>
                <w:szCs w:val="20"/>
              </w:rPr>
              <w:t>Działanie 1.12 Tworzenie</w:t>
            </w:r>
            <w:r w:rsidR="00E66B89">
              <w:rPr>
                <w:rFonts w:cs="Calibri"/>
                <w:sz w:val="18"/>
                <w:szCs w:val="20"/>
              </w:rPr>
              <w:t xml:space="preserve"> i </w:t>
            </w:r>
            <w:r w:rsidRPr="00052F4C">
              <w:rPr>
                <w:rFonts w:cs="Calibri"/>
                <w:sz w:val="18"/>
                <w:szCs w:val="20"/>
              </w:rPr>
              <w:t>rozbudowa infrastruktury na rzecz rozwoju gospodarczego</w:t>
            </w:r>
            <w:r w:rsidR="00E66B89">
              <w:rPr>
                <w:rFonts w:cs="Calibri"/>
                <w:sz w:val="18"/>
                <w:szCs w:val="20"/>
              </w:rPr>
              <w:t xml:space="preserve"> w </w:t>
            </w:r>
            <w:r w:rsidRPr="00052F4C">
              <w:rPr>
                <w:rFonts w:cs="Calibri"/>
                <w:sz w:val="18"/>
                <w:szCs w:val="20"/>
              </w:rPr>
              <w:t>ramach Strategii ZIT dla Koszalińsko-Kołobrzesko-Białogardzkiego Obszaru Funkcjonalnego</w:t>
            </w:r>
          </w:p>
        </w:tc>
      </w:tr>
      <w:tr w:rsidR="006F765C" w14:paraId="474C19BE" w14:textId="77777777" w:rsidTr="00C22C26">
        <w:tc>
          <w:tcPr>
            <w:tcW w:w="1622" w:type="dxa"/>
          </w:tcPr>
          <w:p w14:paraId="0348F67F" w14:textId="77777777" w:rsidR="006F765C" w:rsidRPr="00404DA5" w:rsidRDefault="006F765C" w:rsidP="006F765C">
            <w:pPr>
              <w:rPr>
                <w:rFonts w:cs="Calibri"/>
                <w:sz w:val="18"/>
                <w:szCs w:val="20"/>
              </w:rPr>
            </w:pPr>
            <w:r w:rsidRPr="00473713">
              <w:rPr>
                <w:rFonts w:cs="Calibri"/>
                <w:i/>
                <w:sz w:val="18"/>
                <w:szCs w:val="20"/>
              </w:rPr>
              <w:t>Powierzchnia przygotowanych terenów inwestycyjnych (ha)</w:t>
            </w:r>
          </w:p>
        </w:tc>
        <w:tc>
          <w:tcPr>
            <w:tcW w:w="1587" w:type="dxa"/>
            <w:vAlign w:val="center"/>
          </w:tcPr>
          <w:p w14:paraId="21251FE9" w14:textId="77777777" w:rsidR="006F765C" w:rsidRPr="00404DA5" w:rsidRDefault="006F765C" w:rsidP="00C22C26">
            <w:pPr>
              <w:jc w:val="center"/>
              <w:rPr>
                <w:rFonts w:cs="Calibri"/>
                <w:sz w:val="18"/>
                <w:szCs w:val="20"/>
              </w:rPr>
            </w:pPr>
            <w:r>
              <w:rPr>
                <w:rFonts w:cs="Calibri"/>
                <w:sz w:val="18"/>
                <w:szCs w:val="20"/>
              </w:rPr>
              <w:t>208</w:t>
            </w:r>
          </w:p>
        </w:tc>
        <w:tc>
          <w:tcPr>
            <w:tcW w:w="1498" w:type="dxa"/>
            <w:vAlign w:val="center"/>
          </w:tcPr>
          <w:p w14:paraId="2845E2D9" w14:textId="77777777" w:rsidR="006F765C" w:rsidRPr="00404DA5" w:rsidRDefault="006F765C" w:rsidP="00C22C26">
            <w:pPr>
              <w:jc w:val="center"/>
              <w:rPr>
                <w:rFonts w:cs="Calibri"/>
                <w:sz w:val="18"/>
                <w:szCs w:val="20"/>
              </w:rPr>
            </w:pPr>
            <w:r>
              <w:rPr>
                <w:rFonts w:cs="Calibri"/>
                <w:sz w:val="18"/>
                <w:szCs w:val="20"/>
              </w:rPr>
              <w:t>21,91</w:t>
            </w:r>
          </w:p>
        </w:tc>
        <w:tc>
          <w:tcPr>
            <w:tcW w:w="1583" w:type="dxa"/>
            <w:vAlign w:val="center"/>
          </w:tcPr>
          <w:p w14:paraId="1C1C67F7" w14:textId="77777777" w:rsidR="006F765C" w:rsidRPr="00404DA5" w:rsidRDefault="006F765C" w:rsidP="00C22C26">
            <w:pPr>
              <w:jc w:val="center"/>
              <w:rPr>
                <w:rFonts w:cs="Calibri"/>
                <w:sz w:val="18"/>
                <w:szCs w:val="20"/>
              </w:rPr>
            </w:pPr>
            <w:r>
              <w:rPr>
                <w:rFonts w:cs="Calibri"/>
                <w:sz w:val="18"/>
                <w:szCs w:val="20"/>
              </w:rPr>
              <w:t>10,5%</w:t>
            </w:r>
          </w:p>
        </w:tc>
        <w:tc>
          <w:tcPr>
            <w:tcW w:w="1232" w:type="dxa"/>
            <w:vAlign w:val="center"/>
          </w:tcPr>
          <w:p w14:paraId="08CD2D00" w14:textId="77777777" w:rsidR="006F765C" w:rsidRPr="00404DA5" w:rsidRDefault="006F765C" w:rsidP="00C22C26">
            <w:pPr>
              <w:jc w:val="center"/>
              <w:rPr>
                <w:rFonts w:cs="Calibri"/>
                <w:sz w:val="18"/>
                <w:szCs w:val="20"/>
              </w:rPr>
            </w:pPr>
            <w:r>
              <w:rPr>
                <w:rFonts w:cs="Calibri"/>
                <w:sz w:val="18"/>
                <w:szCs w:val="20"/>
              </w:rPr>
              <w:t>4,9</w:t>
            </w:r>
          </w:p>
        </w:tc>
        <w:tc>
          <w:tcPr>
            <w:tcW w:w="1540" w:type="dxa"/>
            <w:vAlign w:val="center"/>
          </w:tcPr>
          <w:p w14:paraId="42440A4E" w14:textId="77777777" w:rsidR="006F765C" w:rsidRPr="00404DA5" w:rsidRDefault="006F765C" w:rsidP="00C22C26">
            <w:pPr>
              <w:jc w:val="center"/>
              <w:rPr>
                <w:rFonts w:cs="Calibri"/>
                <w:sz w:val="18"/>
                <w:szCs w:val="20"/>
              </w:rPr>
            </w:pPr>
            <w:r>
              <w:rPr>
                <w:rFonts w:cs="Calibri"/>
                <w:sz w:val="18"/>
                <w:szCs w:val="20"/>
              </w:rPr>
              <w:t>2,4%</w:t>
            </w:r>
          </w:p>
        </w:tc>
      </w:tr>
      <w:tr w:rsidR="006F765C" w14:paraId="6C29B41A" w14:textId="77777777" w:rsidTr="00C22C26">
        <w:tc>
          <w:tcPr>
            <w:tcW w:w="9062" w:type="dxa"/>
            <w:gridSpan w:val="6"/>
            <w:shd w:val="clear" w:color="auto" w:fill="auto"/>
          </w:tcPr>
          <w:p w14:paraId="4D846BD5" w14:textId="77777777" w:rsidR="006F765C" w:rsidRPr="00404DA5" w:rsidRDefault="006F765C" w:rsidP="006F765C">
            <w:pPr>
              <w:jc w:val="center"/>
              <w:rPr>
                <w:rFonts w:cs="Calibri"/>
                <w:sz w:val="18"/>
                <w:szCs w:val="20"/>
              </w:rPr>
            </w:pPr>
            <w:r w:rsidRPr="00052F4C">
              <w:rPr>
                <w:rFonts w:cs="Calibri"/>
                <w:sz w:val="18"/>
                <w:szCs w:val="20"/>
              </w:rPr>
              <w:t>Działanie 1.13 Tworzenie</w:t>
            </w:r>
            <w:r w:rsidR="00E66B89">
              <w:rPr>
                <w:rFonts w:cs="Calibri"/>
                <w:sz w:val="18"/>
                <w:szCs w:val="20"/>
              </w:rPr>
              <w:t xml:space="preserve"> i </w:t>
            </w:r>
            <w:r w:rsidRPr="00052F4C">
              <w:rPr>
                <w:rFonts w:cs="Calibri"/>
                <w:sz w:val="18"/>
                <w:szCs w:val="20"/>
              </w:rPr>
              <w:t>rozbudowa infrastruktury na rzecz rozwoju gospodarczego</w:t>
            </w:r>
            <w:r w:rsidR="00E66B89">
              <w:rPr>
                <w:rFonts w:cs="Calibri"/>
                <w:sz w:val="18"/>
                <w:szCs w:val="20"/>
              </w:rPr>
              <w:t xml:space="preserve"> w </w:t>
            </w:r>
            <w:r w:rsidRPr="00052F4C">
              <w:rPr>
                <w:rFonts w:cs="Calibri"/>
                <w:sz w:val="18"/>
                <w:szCs w:val="20"/>
              </w:rPr>
              <w:t>ramach Kontraktów Samorządowych</w:t>
            </w:r>
          </w:p>
        </w:tc>
      </w:tr>
      <w:tr w:rsidR="006F765C" w14:paraId="676E07A8" w14:textId="77777777" w:rsidTr="00C22C26">
        <w:tc>
          <w:tcPr>
            <w:tcW w:w="1622" w:type="dxa"/>
          </w:tcPr>
          <w:p w14:paraId="16EF2E9A" w14:textId="77777777" w:rsidR="006F765C" w:rsidRPr="00404DA5" w:rsidRDefault="006F765C" w:rsidP="006F765C">
            <w:pPr>
              <w:rPr>
                <w:rFonts w:cs="Calibri"/>
                <w:sz w:val="18"/>
                <w:szCs w:val="20"/>
              </w:rPr>
            </w:pPr>
            <w:r w:rsidRPr="00473713">
              <w:rPr>
                <w:rFonts w:cs="Calibri"/>
                <w:i/>
                <w:sz w:val="18"/>
                <w:szCs w:val="20"/>
              </w:rPr>
              <w:lastRenderedPageBreak/>
              <w:t>Powierzchnia przygotowanych terenów inwestycyjnych (ha)</w:t>
            </w:r>
          </w:p>
        </w:tc>
        <w:tc>
          <w:tcPr>
            <w:tcW w:w="1587" w:type="dxa"/>
            <w:vAlign w:val="center"/>
          </w:tcPr>
          <w:p w14:paraId="70DB85CF" w14:textId="77777777" w:rsidR="006F765C" w:rsidRPr="00404DA5" w:rsidRDefault="006F765C" w:rsidP="00C22C26">
            <w:pPr>
              <w:jc w:val="center"/>
              <w:rPr>
                <w:rFonts w:cs="Calibri"/>
                <w:sz w:val="18"/>
                <w:szCs w:val="20"/>
              </w:rPr>
            </w:pPr>
            <w:r>
              <w:rPr>
                <w:rFonts w:cs="Calibri"/>
                <w:sz w:val="18"/>
                <w:szCs w:val="20"/>
              </w:rPr>
              <w:t>208</w:t>
            </w:r>
          </w:p>
        </w:tc>
        <w:tc>
          <w:tcPr>
            <w:tcW w:w="1498" w:type="dxa"/>
            <w:vAlign w:val="center"/>
          </w:tcPr>
          <w:p w14:paraId="30A95B6C" w14:textId="77777777" w:rsidR="006F765C" w:rsidRPr="00404DA5" w:rsidRDefault="006F765C" w:rsidP="00C22C26">
            <w:pPr>
              <w:jc w:val="center"/>
              <w:rPr>
                <w:rFonts w:cs="Calibri"/>
                <w:sz w:val="18"/>
                <w:szCs w:val="20"/>
              </w:rPr>
            </w:pPr>
            <w:r>
              <w:rPr>
                <w:rFonts w:cs="Calibri"/>
                <w:sz w:val="18"/>
                <w:szCs w:val="20"/>
              </w:rPr>
              <w:t>83,33</w:t>
            </w:r>
          </w:p>
        </w:tc>
        <w:tc>
          <w:tcPr>
            <w:tcW w:w="1583" w:type="dxa"/>
            <w:vAlign w:val="center"/>
          </w:tcPr>
          <w:p w14:paraId="6C251693" w14:textId="77777777" w:rsidR="006F765C" w:rsidRPr="00404DA5" w:rsidRDefault="006F765C" w:rsidP="00C22C26">
            <w:pPr>
              <w:jc w:val="center"/>
              <w:rPr>
                <w:rFonts w:cs="Calibri"/>
                <w:sz w:val="18"/>
                <w:szCs w:val="20"/>
              </w:rPr>
            </w:pPr>
            <w:r>
              <w:rPr>
                <w:rFonts w:cs="Calibri"/>
                <w:sz w:val="18"/>
                <w:szCs w:val="20"/>
              </w:rPr>
              <w:t>40,1%</w:t>
            </w:r>
          </w:p>
        </w:tc>
        <w:tc>
          <w:tcPr>
            <w:tcW w:w="1232" w:type="dxa"/>
            <w:vAlign w:val="center"/>
          </w:tcPr>
          <w:p w14:paraId="65DFE529" w14:textId="77777777" w:rsidR="006F765C" w:rsidRPr="00404DA5" w:rsidRDefault="006F765C" w:rsidP="00C22C26">
            <w:pPr>
              <w:jc w:val="center"/>
              <w:rPr>
                <w:rFonts w:cs="Calibri"/>
                <w:sz w:val="18"/>
                <w:szCs w:val="20"/>
              </w:rPr>
            </w:pPr>
            <w:r>
              <w:rPr>
                <w:rFonts w:cs="Calibri"/>
                <w:sz w:val="18"/>
                <w:szCs w:val="20"/>
              </w:rPr>
              <w:t>46,32</w:t>
            </w:r>
          </w:p>
        </w:tc>
        <w:tc>
          <w:tcPr>
            <w:tcW w:w="1540" w:type="dxa"/>
            <w:vAlign w:val="center"/>
          </w:tcPr>
          <w:p w14:paraId="59673521" w14:textId="77777777" w:rsidR="006F765C" w:rsidRPr="00404DA5" w:rsidRDefault="006F765C" w:rsidP="00C22C26">
            <w:pPr>
              <w:jc w:val="center"/>
              <w:rPr>
                <w:rFonts w:cs="Calibri"/>
                <w:sz w:val="18"/>
                <w:szCs w:val="20"/>
              </w:rPr>
            </w:pPr>
            <w:r>
              <w:rPr>
                <w:rFonts w:cs="Calibri"/>
                <w:sz w:val="18"/>
                <w:szCs w:val="20"/>
              </w:rPr>
              <w:t>22,3%</w:t>
            </w:r>
          </w:p>
        </w:tc>
      </w:tr>
    </w:tbl>
    <w:p w14:paraId="03289B9D" w14:textId="59CCC2B4" w:rsidR="006F765C" w:rsidRPr="00D21299" w:rsidRDefault="006F765C" w:rsidP="001245CE">
      <w:pPr>
        <w:spacing w:before="0"/>
        <w:rPr>
          <w:rFonts w:cs="Calibri"/>
          <w:i/>
          <w:sz w:val="18"/>
          <w:szCs w:val="18"/>
        </w:rPr>
      </w:pPr>
      <w:r w:rsidRPr="00D21299">
        <w:rPr>
          <w:rFonts w:cs="Calibri"/>
          <w:i/>
          <w:sz w:val="18"/>
          <w:szCs w:val="18"/>
        </w:rPr>
        <w:t>Źródło: obliczenia własne na podstawie danych SL 2014 (stan na dzień 07.01.2019)</w:t>
      </w:r>
      <w:r w:rsidR="00AA6879">
        <w:rPr>
          <w:rFonts w:cs="Calibri"/>
          <w:i/>
          <w:sz w:val="18"/>
          <w:szCs w:val="18"/>
        </w:rPr>
        <w:t>.</w:t>
      </w:r>
    </w:p>
    <w:p w14:paraId="47E698DF" w14:textId="77777777" w:rsidR="006F765C" w:rsidRPr="00B25C5C" w:rsidRDefault="006F765C" w:rsidP="006F765C">
      <w:pPr>
        <w:rPr>
          <w:i/>
        </w:rPr>
      </w:pPr>
      <w:r>
        <w:t>Choć specyfika interwencji</w:t>
      </w:r>
      <w:r w:rsidR="00E66B89">
        <w:t xml:space="preserve"> o </w:t>
      </w:r>
      <w:r>
        <w:t>charakterze przygotowania terenów inwestycyjnych utrudnia dokonywanie porównań, przedstawione powyżej informacje jednoznacznie wskazują na większą skuteczność działań wykorzystujących instrumenty terytorialne</w:t>
      </w:r>
      <w:r w:rsidR="00E66B89">
        <w:t xml:space="preserve"> w </w:t>
      </w:r>
      <w:r>
        <w:t>realizacji celów Programu,</w:t>
      </w:r>
      <w:r w:rsidR="00E66B89">
        <w:t xml:space="preserve"> w </w:t>
      </w:r>
      <w:r>
        <w:t>porównaniu</w:t>
      </w:r>
      <w:r w:rsidR="00E66B89">
        <w:t xml:space="preserve"> z </w:t>
      </w:r>
      <w:r>
        <w:t>działaniem, które tych instrumentów nie wykorzystuje. Pod względem wdrażania, przygotowanie terenów inwestycyjnych stanowi istotne wyzwanie</w:t>
      </w:r>
      <w:r w:rsidR="00E66B89">
        <w:t xml:space="preserve"> w </w:t>
      </w:r>
      <w:r>
        <w:t>obecnej perspektywie finansowej. Instrumenty terytorialne – zarówno</w:t>
      </w:r>
      <w:r w:rsidR="00E66B89">
        <w:t xml:space="preserve"> w </w:t>
      </w:r>
      <w:r>
        <w:t>formule ZIT, jak</w:t>
      </w:r>
      <w:r w:rsidR="00E66B89">
        <w:t xml:space="preserve"> i </w:t>
      </w:r>
      <w:r>
        <w:t>Kontraktów Samorządowych - są użytecznymi narzędziami pozwalającymi poradzić sobie</w:t>
      </w:r>
      <w:r w:rsidR="00E66B89">
        <w:t xml:space="preserve"> z </w:t>
      </w:r>
      <w:r>
        <w:t>tym wyzwaniem. Dobitnie świadczy</w:t>
      </w:r>
      <w:r w:rsidR="00E66B89">
        <w:t xml:space="preserve"> o </w:t>
      </w:r>
      <w:r>
        <w:t>tym zarówno wielkość dokonanej</w:t>
      </w:r>
      <w:r w:rsidR="00E66B89">
        <w:t xml:space="preserve"> w </w:t>
      </w:r>
      <w:r>
        <w:t>Programie zmiany alokacji (pierwotnie, założona dla Działania 1.10 kwota była najwyższa wśród porównywanych działań; po zmianie,</w:t>
      </w:r>
      <w:r w:rsidR="00E66B89">
        <w:t xml:space="preserve"> z </w:t>
      </w:r>
      <w:r>
        <w:t>26 mln EUR pozostało 0,5 mln EUR alokacji</w:t>
      </w:r>
      <w:r w:rsidR="00E66B89">
        <w:t xml:space="preserve"> z </w:t>
      </w:r>
      <w:r>
        <w:t>rezerwą wykonania), jak</w:t>
      </w:r>
      <w:r w:rsidR="00E66B89">
        <w:t xml:space="preserve"> i </w:t>
      </w:r>
      <w:r>
        <w:t xml:space="preserve">wartości wskaźników </w:t>
      </w:r>
      <w:r>
        <w:rPr>
          <w:i/>
        </w:rPr>
        <w:t>Powierzchnia przygotowanych terenów inwestycyjnych.</w:t>
      </w:r>
    </w:p>
    <w:p w14:paraId="74837DC0" w14:textId="77777777" w:rsidR="006D7681" w:rsidRDefault="006D7681" w:rsidP="00223984">
      <w:pPr>
        <w:pStyle w:val="Nagwek4"/>
        <w:numPr>
          <w:ilvl w:val="0"/>
          <w:numId w:val="0"/>
        </w:numPr>
        <w:rPr>
          <w:rFonts w:ascii="Lato" w:eastAsia="Calibri" w:hAnsi="Lato"/>
          <w:szCs w:val="20"/>
        </w:rPr>
      </w:pPr>
      <w:r>
        <w:rPr>
          <w:rFonts w:ascii="Lato" w:eastAsia="Calibri" w:hAnsi="Lato"/>
          <w:szCs w:val="20"/>
        </w:rPr>
        <w:t>Oś priorytetowa II</w:t>
      </w:r>
    </w:p>
    <w:p w14:paraId="737C1E51" w14:textId="77777777" w:rsidR="00CB79B5" w:rsidRPr="00404DA5" w:rsidRDefault="00CB79B5" w:rsidP="00404DA5">
      <w:pPr>
        <w:shd w:val="clear" w:color="auto" w:fill="DBE5F1"/>
        <w:rPr>
          <w:rFonts w:eastAsia="Calibri" w:cs="Calibri"/>
          <w:b/>
          <w:szCs w:val="20"/>
        </w:rPr>
      </w:pPr>
      <w:r w:rsidRPr="00404DA5">
        <w:rPr>
          <w:rFonts w:eastAsia="Calibri" w:cs="Calibri"/>
          <w:b/>
          <w:szCs w:val="20"/>
        </w:rPr>
        <w:t>Mechanizmy terytorialne</w:t>
      </w:r>
      <w:r w:rsidR="00E66B89">
        <w:rPr>
          <w:rFonts w:eastAsia="Calibri" w:cs="Calibri"/>
          <w:b/>
          <w:szCs w:val="20"/>
        </w:rPr>
        <w:t xml:space="preserve"> w </w:t>
      </w:r>
      <w:r w:rsidRPr="00404DA5">
        <w:rPr>
          <w:rFonts w:eastAsia="Calibri" w:cs="Calibri"/>
          <w:b/>
          <w:szCs w:val="20"/>
        </w:rPr>
        <w:t>PI 4c</w:t>
      </w:r>
    </w:p>
    <w:p w14:paraId="7BA3F518" w14:textId="77777777" w:rsidR="004A3DBC" w:rsidRPr="00404DA5" w:rsidRDefault="004A3DBC" w:rsidP="004A3DBC">
      <w:pPr>
        <w:rPr>
          <w:rFonts w:cs="Calibri"/>
          <w:szCs w:val="20"/>
        </w:rPr>
      </w:pPr>
      <w:r w:rsidRPr="00404DA5">
        <w:rPr>
          <w:rFonts w:cs="Calibri"/>
          <w:szCs w:val="20"/>
        </w:rPr>
        <w:t>W Priorytecie inwestycyjnym 4c mechanizm ZIT zastosowano</w:t>
      </w:r>
      <w:r w:rsidR="00E66B89">
        <w:rPr>
          <w:rFonts w:cs="Calibri"/>
          <w:szCs w:val="20"/>
        </w:rPr>
        <w:t xml:space="preserve"> w </w:t>
      </w:r>
      <w:r w:rsidRPr="00404DA5">
        <w:rPr>
          <w:rFonts w:cs="Calibri"/>
          <w:szCs w:val="20"/>
        </w:rPr>
        <w:t>przypadku Działania 2.6 oraz 2.8. Oba działania są dedykowane Strategii ZIT dla Szczecińskiego Obszaru Metropolitalnego. Strategia ZIT uwzględnia</w:t>
      </w:r>
      <w:r w:rsidR="00E66B89">
        <w:rPr>
          <w:rFonts w:cs="Calibri"/>
          <w:szCs w:val="20"/>
        </w:rPr>
        <w:t xml:space="preserve"> w </w:t>
      </w:r>
      <w:r w:rsidRPr="00404DA5">
        <w:rPr>
          <w:rFonts w:cs="Calibri"/>
          <w:szCs w:val="20"/>
        </w:rPr>
        <w:t>ramach Priorytetu 1.3 zadania</w:t>
      </w:r>
      <w:r w:rsidR="00E66B89">
        <w:rPr>
          <w:rFonts w:cs="Calibri"/>
          <w:szCs w:val="20"/>
        </w:rPr>
        <w:t xml:space="preserve"> z </w:t>
      </w:r>
      <w:r w:rsidRPr="00404DA5">
        <w:rPr>
          <w:rFonts w:cs="Calibri"/>
          <w:szCs w:val="20"/>
        </w:rPr>
        <w:t>zakresu racjonalizacji wykorzystania źródeł energii</w:t>
      </w:r>
      <w:r w:rsidR="00E66B89">
        <w:rPr>
          <w:rFonts w:cs="Calibri"/>
          <w:szCs w:val="20"/>
        </w:rPr>
        <w:t xml:space="preserve"> w </w:t>
      </w:r>
      <w:r w:rsidRPr="00404DA5">
        <w:rPr>
          <w:rFonts w:cs="Calibri"/>
          <w:szCs w:val="20"/>
        </w:rPr>
        <w:t>obiektach użyteczności publicznej,</w:t>
      </w:r>
      <w:r w:rsidR="00E66B89">
        <w:rPr>
          <w:rFonts w:cs="Calibri"/>
          <w:szCs w:val="20"/>
        </w:rPr>
        <w:t xml:space="preserve"> a </w:t>
      </w:r>
      <w:r w:rsidRPr="00404DA5">
        <w:rPr>
          <w:rFonts w:cs="Calibri"/>
          <w:szCs w:val="20"/>
        </w:rPr>
        <w:t>także</w:t>
      </w:r>
      <w:r w:rsidR="00E66B89">
        <w:rPr>
          <w:rFonts w:cs="Calibri"/>
          <w:szCs w:val="20"/>
        </w:rPr>
        <w:t xml:space="preserve"> w </w:t>
      </w:r>
      <w:r w:rsidRPr="00404DA5">
        <w:rPr>
          <w:rFonts w:cs="Calibri"/>
          <w:szCs w:val="20"/>
        </w:rPr>
        <w:t>ramach Priorytetu 3.2 zadania</w:t>
      </w:r>
      <w:r w:rsidR="00E66B89">
        <w:rPr>
          <w:rFonts w:cs="Calibri"/>
          <w:szCs w:val="20"/>
        </w:rPr>
        <w:t xml:space="preserve"> z </w:t>
      </w:r>
      <w:r w:rsidRPr="00404DA5">
        <w:rPr>
          <w:rFonts w:cs="Calibri"/>
          <w:szCs w:val="20"/>
        </w:rPr>
        <w:t>zakresu racjonalizacji wykorzystania źródeł energii</w:t>
      </w:r>
      <w:r w:rsidR="00E66B89">
        <w:rPr>
          <w:rFonts w:cs="Calibri"/>
          <w:szCs w:val="20"/>
        </w:rPr>
        <w:t xml:space="preserve"> w </w:t>
      </w:r>
      <w:r w:rsidRPr="00404DA5">
        <w:rPr>
          <w:rFonts w:cs="Calibri"/>
          <w:szCs w:val="20"/>
        </w:rPr>
        <w:t>obiektach mieszkalnych na obszarze metropolitalnym</w:t>
      </w:r>
      <w:r w:rsidRPr="00404DA5">
        <w:rPr>
          <w:rStyle w:val="Odwoanieprzypisudolnego"/>
          <w:rFonts w:cs="Calibri"/>
          <w:szCs w:val="20"/>
        </w:rPr>
        <w:footnoteReference w:id="141"/>
      </w:r>
      <w:r w:rsidRPr="00404DA5">
        <w:rPr>
          <w:rFonts w:cs="Calibri"/>
          <w:szCs w:val="20"/>
        </w:rPr>
        <w:t>, wpisując się</w:t>
      </w:r>
      <w:r w:rsidR="00E66B89">
        <w:rPr>
          <w:rFonts w:cs="Calibri"/>
          <w:szCs w:val="20"/>
        </w:rPr>
        <w:t xml:space="preserve"> w </w:t>
      </w:r>
      <w:r w:rsidRPr="00404DA5">
        <w:rPr>
          <w:rFonts w:cs="Calibri"/>
          <w:szCs w:val="20"/>
        </w:rPr>
        <w:t xml:space="preserve">zakres tematyczny PI 4c. </w:t>
      </w:r>
    </w:p>
    <w:p w14:paraId="5BFE9AAB" w14:textId="77777777" w:rsidR="004A3DBC" w:rsidRPr="00404DA5" w:rsidRDefault="004A3DBC" w:rsidP="004A3DBC">
      <w:pPr>
        <w:rPr>
          <w:rFonts w:cs="Calibri"/>
          <w:szCs w:val="20"/>
        </w:rPr>
      </w:pPr>
      <w:r w:rsidRPr="00404DA5">
        <w:rPr>
          <w:rFonts w:cs="Calibri"/>
          <w:szCs w:val="20"/>
        </w:rPr>
        <w:t>Stopień kontraktacji</w:t>
      </w:r>
      <w:r w:rsidR="00E66B89">
        <w:rPr>
          <w:rFonts w:cs="Calibri"/>
          <w:szCs w:val="20"/>
        </w:rPr>
        <w:t xml:space="preserve"> w </w:t>
      </w:r>
      <w:r w:rsidRPr="00404DA5">
        <w:rPr>
          <w:rFonts w:cs="Calibri"/>
          <w:szCs w:val="20"/>
        </w:rPr>
        <w:t>ramach Działania 2.6 jest nieco niższy niż</w:t>
      </w:r>
      <w:r w:rsidR="00E66B89">
        <w:rPr>
          <w:rFonts w:cs="Calibri"/>
          <w:szCs w:val="20"/>
        </w:rPr>
        <w:t xml:space="preserve"> w </w:t>
      </w:r>
      <w:r w:rsidRPr="00404DA5">
        <w:rPr>
          <w:rFonts w:cs="Calibri"/>
          <w:szCs w:val="20"/>
        </w:rPr>
        <w:t>przypadku analogicznego działania skierowanego wobec obszaru całego województwa (2.5). Wynika to</w:t>
      </w:r>
      <w:r w:rsidR="00E66B89">
        <w:rPr>
          <w:rFonts w:cs="Calibri"/>
          <w:szCs w:val="20"/>
        </w:rPr>
        <w:t xml:space="preserve"> z </w:t>
      </w:r>
      <w:r w:rsidRPr="00404DA5">
        <w:rPr>
          <w:rFonts w:cs="Calibri"/>
          <w:szCs w:val="20"/>
        </w:rPr>
        <w:t>trwającej oceny projektów</w:t>
      </w:r>
      <w:r w:rsidR="00E66B89">
        <w:rPr>
          <w:rFonts w:cs="Calibri"/>
          <w:szCs w:val="20"/>
        </w:rPr>
        <w:t xml:space="preserve"> w </w:t>
      </w:r>
      <w:r w:rsidRPr="00404DA5">
        <w:rPr>
          <w:rFonts w:cs="Calibri"/>
          <w:szCs w:val="20"/>
        </w:rPr>
        <w:t>drugim naborze zrealizowanym dla tego działania. Po rozstrzygnięciu można spodziewać się wyczerpania dostępnej alokacji.</w:t>
      </w:r>
      <w:r w:rsidR="00E66B89">
        <w:rPr>
          <w:rFonts w:cs="Calibri"/>
          <w:szCs w:val="20"/>
        </w:rPr>
        <w:t xml:space="preserve"> W </w:t>
      </w:r>
      <w:r w:rsidRPr="00404DA5">
        <w:rPr>
          <w:rFonts w:cs="Calibri"/>
          <w:szCs w:val="20"/>
        </w:rPr>
        <w:t>przypadku Działania 2.8 poziom kontraktacji sięga prawie 100%.</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analogicznym Działaniem 2.7, jest on zdecydowanie bardziej korzystny. Na tle całego PI 4c, poziom kontraktacji</w:t>
      </w:r>
      <w:r w:rsidR="00E66B89">
        <w:rPr>
          <w:rFonts w:cs="Calibri"/>
          <w:szCs w:val="20"/>
        </w:rPr>
        <w:t xml:space="preserve"> w </w:t>
      </w:r>
      <w:r w:rsidRPr="00404DA5">
        <w:rPr>
          <w:rFonts w:cs="Calibri"/>
          <w:szCs w:val="20"/>
        </w:rPr>
        <w:t>ramach ZIT jest wyższy. Na korzyść interwencji ZIT przemawia wcześniejsze zidentyfikowanie potrzeb</w:t>
      </w:r>
      <w:r w:rsidR="00E66B89">
        <w:rPr>
          <w:rFonts w:cs="Calibri"/>
          <w:szCs w:val="20"/>
        </w:rPr>
        <w:t xml:space="preserve"> w </w:t>
      </w:r>
      <w:r w:rsidRPr="00404DA5">
        <w:rPr>
          <w:rFonts w:cs="Calibri"/>
          <w:szCs w:val="20"/>
        </w:rPr>
        <w:t>Strategii ZIT</w:t>
      </w:r>
      <w:r w:rsidR="00E66B89">
        <w:rPr>
          <w:rFonts w:cs="Calibri"/>
          <w:szCs w:val="20"/>
        </w:rPr>
        <w:t xml:space="preserve"> i </w:t>
      </w:r>
      <w:r w:rsidRPr="00404DA5">
        <w:rPr>
          <w:rFonts w:cs="Calibri"/>
          <w:szCs w:val="20"/>
        </w:rPr>
        <w:t xml:space="preserve">przygotowanie założeń projektów. Warto zauważyć, że na realizację celów ZIT SOM przeznaczono 29,8% ogółu alokacji przewidzianej na PI 4c. </w:t>
      </w:r>
    </w:p>
    <w:p w14:paraId="51808330" w14:textId="77777777" w:rsidR="004A3DBC" w:rsidRPr="00404DA5" w:rsidRDefault="004A3DBC" w:rsidP="004A3DBC">
      <w:pPr>
        <w:rPr>
          <w:rFonts w:cs="Calibri"/>
          <w:szCs w:val="20"/>
        </w:rPr>
      </w:pPr>
      <w:r w:rsidRPr="00404DA5">
        <w:rPr>
          <w:rFonts w:cs="Calibri"/>
          <w:szCs w:val="20"/>
        </w:rPr>
        <w:t>Jeśli chodzi</w:t>
      </w:r>
      <w:r w:rsidR="00E66B89">
        <w:rPr>
          <w:rFonts w:cs="Calibri"/>
          <w:szCs w:val="20"/>
        </w:rPr>
        <w:t xml:space="preserve"> o </w:t>
      </w:r>
      <w:r w:rsidRPr="00404DA5">
        <w:rPr>
          <w:rFonts w:cs="Calibri"/>
          <w:szCs w:val="20"/>
        </w:rPr>
        <w:t>proporcje związane</w:t>
      </w:r>
      <w:r w:rsidR="00E66B89">
        <w:rPr>
          <w:rFonts w:cs="Calibri"/>
          <w:szCs w:val="20"/>
        </w:rPr>
        <w:t xml:space="preserve"> z </w:t>
      </w:r>
      <w:r w:rsidRPr="00404DA5">
        <w:rPr>
          <w:rFonts w:cs="Calibri"/>
          <w:szCs w:val="20"/>
        </w:rPr>
        <w:t>rozkładem środków na projekty</w:t>
      </w:r>
      <w:r w:rsidR="00E66B89">
        <w:rPr>
          <w:rFonts w:cs="Calibri"/>
          <w:szCs w:val="20"/>
        </w:rPr>
        <w:t xml:space="preserve"> w </w:t>
      </w:r>
      <w:r w:rsidRPr="00404DA5">
        <w:rPr>
          <w:rFonts w:cs="Calibri"/>
          <w:szCs w:val="20"/>
        </w:rPr>
        <w:t>ramach ZIT</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analogicznymi działaniami wdrażanymi na obszarze całego województwa, można zauważyć, że projekty ZIT</w:t>
      </w:r>
      <w:r w:rsidR="00E66B89">
        <w:rPr>
          <w:rFonts w:cs="Calibri"/>
          <w:szCs w:val="20"/>
        </w:rPr>
        <w:t xml:space="preserve"> w </w:t>
      </w:r>
      <w:r w:rsidRPr="00404DA5">
        <w:rPr>
          <w:rFonts w:cs="Calibri"/>
          <w:szCs w:val="20"/>
        </w:rPr>
        <w:t>ramach termomodernizacji obiektów użyteczności publicznej są bardziej kosztowne. Rozkład kosztów jest zasadny ze względu na kompleksowość inwestycji realizowanych zgodnie ze Strategią ZIT SOM. Ponadto Szczecin jako największe miasto</w:t>
      </w:r>
      <w:r w:rsidR="00E66B89">
        <w:rPr>
          <w:rFonts w:cs="Calibri"/>
          <w:szCs w:val="20"/>
        </w:rPr>
        <w:t xml:space="preserve"> w </w:t>
      </w:r>
      <w:r w:rsidRPr="00404DA5">
        <w:rPr>
          <w:rFonts w:cs="Calibri"/>
          <w:szCs w:val="20"/>
        </w:rPr>
        <w:t xml:space="preserve">województwie dysponuje największymi zasobami </w:t>
      </w:r>
      <w:r w:rsidRPr="00404DA5">
        <w:rPr>
          <w:rFonts w:cs="Calibri"/>
          <w:szCs w:val="20"/>
        </w:rPr>
        <w:lastRenderedPageBreak/>
        <w:t>budynków (zarówno pod kątem ich kubatury jak</w:t>
      </w:r>
      <w:r w:rsidR="00E66B89">
        <w:rPr>
          <w:rFonts w:cs="Calibri"/>
          <w:szCs w:val="20"/>
        </w:rPr>
        <w:t xml:space="preserve"> i </w:t>
      </w:r>
      <w:r w:rsidRPr="00404DA5">
        <w:rPr>
          <w:rFonts w:cs="Calibri"/>
          <w:szCs w:val="20"/>
        </w:rPr>
        <w:t>liczby). Wartości projektów pozytywnie oddziałują na skuteczność</w:t>
      </w:r>
      <w:r w:rsidR="00E66B89">
        <w:rPr>
          <w:rFonts w:cs="Calibri"/>
          <w:szCs w:val="20"/>
        </w:rPr>
        <w:t xml:space="preserve"> i </w:t>
      </w:r>
      <w:r w:rsidRPr="00404DA5">
        <w:rPr>
          <w:rFonts w:cs="Calibri"/>
          <w:szCs w:val="20"/>
        </w:rPr>
        <w:t>użyteczność wsparcia, umożliwiając szersze rozwiązywanie problemów na obszarze metropolitalnym.</w:t>
      </w:r>
      <w:r w:rsidR="00E66B89">
        <w:rPr>
          <w:rFonts w:cs="Calibri"/>
          <w:szCs w:val="20"/>
        </w:rPr>
        <w:t xml:space="preserve"> Z </w:t>
      </w:r>
      <w:r w:rsidRPr="00404DA5">
        <w:rPr>
          <w:rFonts w:cs="Calibri"/>
          <w:szCs w:val="20"/>
        </w:rPr>
        <w:t>kolei średnie koszty projektów</w:t>
      </w:r>
      <w:r w:rsidR="00E66B89">
        <w:rPr>
          <w:rFonts w:cs="Calibri"/>
          <w:szCs w:val="20"/>
        </w:rPr>
        <w:t xml:space="preserve"> z </w:t>
      </w:r>
      <w:r w:rsidRPr="00404DA5">
        <w:rPr>
          <w:rFonts w:cs="Calibri"/>
          <w:szCs w:val="20"/>
        </w:rPr>
        <w:t>zakresu modernizacji energetycznej budynków mieszkalnych osiągają wyższe wartości</w:t>
      </w:r>
      <w:r w:rsidR="00E66B89">
        <w:rPr>
          <w:rFonts w:cs="Calibri"/>
          <w:szCs w:val="20"/>
        </w:rPr>
        <w:t xml:space="preserve"> w </w:t>
      </w:r>
      <w:r w:rsidRPr="00404DA5">
        <w:rPr>
          <w:rFonts w:cs="Calibri"/>
          <w:szCs w:val="20"/>
        </w:rPr>
        <w:t>Działaniu 2.7 niż</w:t>
      </w:r>
      <w:r w:rsidR="00E66B89">
        <w:rPr>
          <w:rFonts w:cs="Calibri"/>
          <w:szCs w:val="20"/>
        </w:rPr>
        <w:t xml:space="preserve"> w </w:t>
      </w:r>
      <w:r w:rsidRPr="00404DA5">
        <w:rPr>
          <w:rFonts w:cs="Calibri"/>
          <w:szCs w:val="20"/>
        </w:rPr>
        <w:t>2.8.</w:t>
      </w:r>
      <w:r w:rsidR="00E66B89">
        <w:rPr>
          <w:rFonts w:cs="Calibri"/>
          <w:szCs w:val="20"/>
        </w:rPr>
        <w:t xml:space="preserve"> W </w:t>
      </w:r>
      <w:r w:rsidRPr="00404DA5">
        <w:rPr>
          <w:rFonts w:cs="Calibri"/>
          <w:szCs w:val="20"/>
        </w:rPr>
        <w:t>ramach Działania 2.7 środki otrzymywały przede wszystkim wspólnoty</w:t>
      </w:r>
      <w:r w:rsidR="00E66B89">
        <w:rPr>
          <w:rFonts w:cs="Calibri"/>
          <w:szCs w:val="20"/>
        </w:rPr>
        <w:t xml:space="preserve"> i </w:t>
      </w:r>
      <w:r w:rsidRPr="00404DA5">
        <w:rPr>
          <w:rFonts w:cs="Calibri"/>
          <w:szCs w:val="20"/>
        </w:rPr>
        <w:t>spółdzielnie mieszkaniowe, podczas gdy</w:t>
      </w:r>
      <w:r w:rsidR="00E66B89">
        <w:rPr>
          <w:rFonts w:cs="Calibri"/>
          <w:szCs w:val="20"/>
        </w:rPr>
        <w:t xml:space="preserve"> w </w:t>
      </w:r>
      <w:r w:rsidRPr="00404DA5">
        <w:rPr>
          <w:rFonts w:cs="Calibri"/>
          <w:szCs w:val="20"/>
        </w:rPr>
        <w:t>Działaniu 2.8 dofinansowanie uzyskiwały</w:t>
      </w:r>
      <w:r w:rsidR="00E66B89">
        <w:rPr>
          <w:rFonts w:cs="Calibri"/>
          <w:szCs w:val="20"/>
        </w:rPr>
        <w:t xml:space="preserve"> w </w:t>
      </w:r>
      <w:r w:rsidRPr="00404DA5">
        <w:rPr>
          <w:rFonts w:cs="Calibri"/>
          <w:szCs w:val="20"/>
        </w:rPr>
        <w:t>dużej mierze wspólnoty samorządowe bądź gminne samorządowe jednostki organizacyjne, realizujące projekty</w:t>
      </w:r>
      <w:r w:rsidR="00E66B89">
        <w:rPr>
          <w:rFonts w:cs="Calibri"/>
          <w:szCs w:val="20"/>
        </w:rPr>
        <w:t xml:space="preserve"> w </w:t>
      </w:r>
      <w:r w:rsidRPr="00404DA5">
        <w:rPr>
          <w:rFonts w:cs="Calibri"/>
          <w:szCs w:val="20"/>
        </w:rPr>
        <w:t>budynkach komunalnych, posiadających znacznie mniej lokali mieszkaniowych niż budynki zarządzane przez podmioty</w:t>
      </w:r>
      <w:r w:rsidR="00E66B89">
        <w:rPr>
          <w:rFonts w:cs="Calibri"/>
          <w:szCs w:val="20"/>
        </w:rPr>
        <w:t xml:space="preserve"> w </w:t>
      </w:r>
      <w:r w:rsidRPr="00404DA5">
        <w:rPr>
          <w:rFonts w:cs="Calibri"/>
          <w:szCs w:val="20"/>
        </w:rPr>
        <w:t>ramach Działania 2.7.</w:t>
      </w:r>
      <w:r>
        <w:rPr>
          <w:rFonts w:cs="Calibri"/>
          <w:szCs w:val="20"/>
        </w:rPr>
        <w:t xml:space="preserve"> Taki rozkład projektów był wynikiem linii demarkacyjnej pomiędzy projektami realizowanymi</w:t>
      </w:r>
      <w:r w:rsidR="00E66B89">
        <w:rPr>
          <w:rFonts w:cs="Calibri"/>
          <w:szCs w:val="20"/>
        </w:rPr>
        <w:t xml:space="preserve"> w </w:t>
      </w:r>
      <w:r>
        <w:rPr>
          <w:rFonts w:cs="Calibri"/>
          <w:szCs w:val="20"/>
        </w:rPr>
        <w:t>ramach RPO oraz POIiŚ, gdyż do końca 2018 roku, spółdzielnie</w:t>
      </w:r>
      <w:r w:rsidR="00E66B89">
        <w:rPr>
          <w:rFonts w:cs="Calibri"/>
          <w:szCs w:val="20"/>
        </w:rPr>
        <w:t xml:space="preserve"> i </w:t>
      </w:r>
      <w:r>
        <w:rPr>
          <w:rFonts w:cs="Calibri"/>
          <w:szCs w:val="20"/>
        </w:rPr>
        <w:t>wspólnoty samorządowe znajdujące się na obszarach realizacji strategii ZIT miast wojewódzkich, mogły ubiegać się</w:t>
      </w:r>
      <w:r w:rsidR="00E66B89">
        <w:rPr>
          <w:rFonts w:cs="Calibri"/>
          <w:szCs w:val="20"/>
        </w:rPr>
        <w:t xml:space="preserve"> o </w:t>
      </w:r>
      <w:r>
        <w:rPr>
          <w:rFonts w:cs="Calibri"/>
          <w:szCs w:val="20"/>
        </w:rPr>
        <w:t>dofinansowanie wyłącznie</w:t>
      </w:r>
      <w:r w:rsidR="00E66B89">
        <w:rPr>
          <w:rFonts w:cs="Calibri"/>
          <w:szCs w:val="20"/>
        </w:rPr>
        <w:t xml:space="preserve"> w </w:t>
      </w:r>
      <w:r>
        <w:rPr>
          <w:rFonts w:cs="Calibri"/>
          <w:szCs w:val="20"/>
        </w:rPr>
        <w:t>ramach POIiŚ.</w:t>
      </w:r>
      <w:r w:rsidRPr="00404DA5">
        <w:rPr>
          <w:rFonts w:cs="Calibri"/>
          <w:szCs w:val="20"/>
        </w:rPr>
        <w:t xml:space="preserve"> Dofinansowanie skierowane wobec budynków będących własnością gmin</w:t>
      </w:r>
      <w:r w:rsidR="00E66B89">
        <w:rPr>
          <w:rFonts w:cs="Calibri"/>
          <w:szCs w:val="20"/>
        </w:rPr>
        <w:t xml:space="preserve"> z </w:t>
      </w:r>
      <w:r w:rsidRPr="00404DA5">
        <w:rPr>
          <w:rFonts w:cs="Calibri"/>
          <w:szCs w:val="20"/>
        </w:rPr>
        <w:t>powodzeniem wpływa na znaczną poprawę jakości życia uboższych mieszkańców zamieszkujących SOM, pozwalając na obniżenie kosztów wynikających</w:t>
      </w:r>
      <w:r w:rsidR="00E66B89">
        <w:rPr>
          <w:rFonts w:cs="Calibri"/>
          <w:szCs w:val="20"/>
        </w:rPr>
        <w:t xml:space="preserve"> z </w:t>
      </w:r>
      <w:r w:rsidRPr="00404DA5">
        <w:rPr>
          <w:rFonts w:cs="Calibri"/>
          <w:szCs w:val="20"/>
        </w:rPr>
        <w:t>utrzymania tych obiektów.</w:t>
      </w:r>
      <w:r w:rsidR="00E66B89">
        <w:rPr>
          <w:rFonts w:cs="Calibri"/>
          <w:szCs w:val="20"/>
        </w:rPr>
        <w:t xml:space="preserve"> Z </w:t>
      </w:r>
      <w:r w:rsidRPr="00404DA5">
        <w:rPr>
          <w:rFonts w:cs="Calibri"/>
          <w:szCs w:val="20"/>
        </w:rPr>
        <w:t>punktu widzenia idei instrumentu jakim są ZIT, preferowane powinny być projekty</w:t>
      </w:r>
      <w:r w:rsidR="00E66B89">
        <w:rPr>
          <w:rFonts w:cs="Calibri"/>
          <w:szCs w:val="20"/>
        </w:rPr>
        <w:t xml:space="preserve"> w </w:t>
      </w:r>
      <w:r w:rsidRPr="00404DA5">
        <w:rPr>
          <w:rFonts w:cs="Calibri"/>
          <w:szCs w:val="20"/>
        </w:rPr>
        <w:t>sposób strategiczny oddziałujące na obszar interwencji,</w:t>
      </w:r>
      <w:r w:rsidR="00E66B89">
        <w:rPr>
          <w:rFonts w:cs="Calibri"/>
          <w:szCs w:val="20"/>
        </w:rPr>
        <w:t xml:space="preserve"> a </w:t>
      </w:r>
      <w:r w:rsidRPr="00404DA5">
        <w:rPr>
          <w:rFonts w:cs="Calibri"/>
          <w:szCs w:val="20"/>
        </w:rPr>
        <w:t>więc osiągające efekt skali</w:t>
      </w:r>
      <w:r w:rsidR="00E66B89">
        <w:rPr>
          <w:rFonts w:cs="Calibri"/>
          <w:szCs w:val="20"/>
        </w:rPr>
        <w:t xml:space="preserve"> i </w:t>
      </w:r>
      <w:r w:rsidRPr="00404DA5">
        <w:rPr>
          <w:rFonts w:cs="Calibri"/>
          <w:szCs w:val="20"/>
        </w:rPr>
        <w:t>synergii, przy jednoczesnym rozwiązywaniu najważniejszych problemów dotykających obszar ZIT. Modernizacja energetyczna mieszkalnych budynków komunalnych należy do takich zadań, oddziałując</w:t>
      </w:r>
      <w:r w:rsidR="00E66B89">
        <w:rPr>
          <w:rFonts w:cs="Calibri"/>
          <w:szCs w:val="20"/>
        </w:rPr>
        <w:t xml:space="preserve"> w </w:t>
      </w:r>
      <w:r w:rsidRPr="00404DA5">
        <w:rPr>
          <w:rFonts w:cs="Calibri"/>
          <w:szCs w:val="20"/>
        </w:rPr>
        <w:t>bardzo istotnym zakresie na emisję gazów cieplarnianych</w:t>
      </w:r>
      <w:r w:rsidR="00E66B89">
        <w:rPr>
          <w:rFonts w:cs="Calibri"/>
          <w:szCs w:val="20"/>
        </w:rPr>
        <w:t xml:space="preserve"> i </w:t>
      </w:r>
      <w:r w:rsidRPr="00404DA5">
        <w:rPr>
          <w:rFonts w:cs="Calibri"/>
          <w:szCs w:val="20"/>
        </w:rPr>
        <w:t>poziom zanieczyszczenia powietrza na obszarze metropolitalnym.</w:t>
      </w:r>
    </w:p>
    <w:p w14:paraId="4A35A5F3" w14:textId="77777777" w:rsidR="004A3DBC" w:rsidRDefault="004A3DBC" w:rsidP="00024F00">
      <w:pPr>
        <w:pStyle w:val="Legenda"/>
        <w:spacing w:after="0"/>
      </w:pPr>
      <w:bookmarkStart w:id="363" w:name="_Toc8824271"/>
      <w:r>
        <w:t xml:space="preserve">Tabela </w:t>
      </w:r>
      <w:r w:rsidR="00B72A80">
        <w:fldChar w:fldCharType="begin"/>
      </w:r>
      <w:r w:rsidR="00B72A80">
        <w:instrText xml:space="preserve"> SEQ Tabela \* ARABIC </w:instrText>
      </w:r>
      <w:r w:rsidR="00B72A80">
        <w:fldChar w:fldCharType="separate"/>
      </w:r>
      <w:r w:rsidR="00763345">
        <w:rPr>
          <w:noProof/>
        </w:rPr>
        <w:t>160</w:t>
      </w:r>
      <w:r w:rsidR="00B72A80">
        <w:fldChar w:fldCharType="end"/>
      </w:r>
      <w:r>
        <w:t xml:space="preserve"> Postęp finansowy Działań realizujących instrumenty terytorialne oraz analogicznego Działania/Działań wdrażanego</w:t>
      </w:r>
      <w:r w:rsidR="00E66B89">
        <w:t xml:space="preserve"> w </w:t>
      </w:r>
      <w:r>
        <w:t>całym regionie - PI 4c</w:t>
      </w:r>
      <w:bookmarkEnd w:id="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47"/>
        <w:gridCol w:w="1518"/>
        <w:gridCol w:w="1346"/>
        <w:gridCol w:w="1496"/>
        <w:gridCol w:w="1568"/>
      </w:tblGrid>
      <w:tr w:rsidR="004A3DBC" w14:paraId="5DEA7F76" w14:textId="77777777" w:rsidTr="00C22C26">
        <w:trPr>
          <w:tblHeader/>
        </w:trPr>
        <w:tc>
          <w:tcPr>
            <w:tcW w:w="1578" w:type="dxa"/>
            <w:shd w:val="clear" w:color="auto" w:fill="DBE5F1"/>
          </w:tcPr>
          <w:p w14:paraId="072C2922" w14:textId="77777777" w:rsidR="004A3DBC" w:rsidRPr="00404DA5" w:rsidRDefault="004A3DBC" w:rsidP="008B706B">
            <w:pPr>
              <w:jc w:val="center"/>
              <w:rPr>
                <w:rFonts w:eastAsia="Calibri" w:cs="Calibri"/>
                <w:sz w:val="18"/>
                <w:szCs w:val="20"/>
              </w:rPr>
            </w:pPr>
          </w:p>
        </w:tc>
        <w:tc>
          <w:tcPr>
            <w:tcW w:w="1655" w:type="dxa"/>
            <w:shd w:val="clear" w:color="auto" w:fill="DBE5F1"/>
            <w:hideMark/>
          </w:tcPr>
          <w:p w14:paraId="4432A643" w14:textId="77777777" w:rsidR="004A3DBC" w:rsidRPr="00404DA5" w:rsidRDefault="004A3DBC" w:rsidP="008B706B">
            <w:pPr>
              <w:jc w:val="center"/>
              <w:rPr>
                <w:rFonts w:cs="Calibri"/>
                <w:sz w:val="18"/>
                <w:szCs w:val="20"/>
              </w:rPr>
            </w:pPr>
            <w:r w:rsidRPr="00404DA5">
              <w:rPr>
                <w:rFonts w:cs="Calibri"/>
                <w:sz w:val="18"/>
                <w:szCs w:val="20"/>
              </w:rPr>
              <w:t>Alokacja na Działanie</w:t>
            </w:r>
            <w:r w:rsidR="00E60726">
              <w:rPr>
                <w:rStyle w:val="Odwoanieprzypisudolnego"/>
                <w:rFonts w:cs="Calibri"/>
                <w:sz w:val="18"/>
                <w:szCs w:val="20"/>
              </w:rPr>
              <w:footnoteReference w:id="142"/>
            </w:r>
            <w:r w:rsidRPr="00404DA5">
              <w:rPr>
                <w:rFonts w:cs="Calibri"/>
                <w:sz w:val="18"/>
                <w:szCs w:val="20"/>
              </w:rPr>
              <w:t xml:space="preserve"> </w:t>
            </w:r>
          </w:p>
        </w:tc>
        <w:tc>
          <w:tcPr>
            <w:tcW w:w="1552" w:type="dxa"/>
            <w:shd w:val="clear" w:color="auto" w:fill="DBE5F1"/>
            <w:hideMark/>
          </w:tcPr>
          <w:p w14:paraId="662138EC" w14:textId="77777777" w:rsidR="004A3DBC" w:rsidRPr="00404DA5" w:rsidRDefault="004A3DBC" w:rsidP="008B706B">
            <w:pPr>
              <w:jc w:val="center"/>
              <w:rPr>
                <w:rFonts w:cs="Calibri"/>
                <w:sz w:val="18"/>
                <w:szCs w:val="20"/>
              </w:rPr>
            </w:pPr>
            <w:r w:rsidRPr="00404DA5">
              <w:rPr>
                <w:rFonts w:cs="Calibri"/>
                <w:sz w:val="18"/>
                <w:szCs w:val="20"/>
              </w:rPr>
              <w:t>Poziom kontraktacji</w:t>
            </w:r>
            <w:r w:rsidR="00E60726">
              <w:rPr>
                <w:rStyle w:val="Odwoanieprzypisudolnego"/>
                <w:rFonts w:cs="Calibri"/>
                <w:sz w:val="18"/>
                <w:szCs w:val="20"/>
              </w:rPr>
              <w:footnoteReference w:id="143"/>
            </w:r>
            <w:r w:rsidRPr="00404DA5">
              <w:rPr>
                <w:rFonts w:cs="Calibri"/>
                <w:sz w:val="18"/>
                <w:szCs w:val="20"/>
              </w:rPr>
              <w:t xml:space="preserve"> </w:t>
            </w:r>
          </w:p>
        </w:tc>
        <w:tc>
          <w:tcPr>
            <w:tcW w:w="1277" w:type="dxa"/>
            <w:shd w:val="clear" w:color="auto" w:fill="DBE5F1"/>
            <w:hideMark/>
          </w:tcPr>
          <w:p w14:paraId="239194BF" w14:textId="77777777" w:rsidR="004A3DBC" w:rsidRPr="00404DA5" w:rsidRDefault="004A3DBC" w:rsidP="008B706B">
            <w:pPr>
              <w:jc w:val="center"/>
              <w:rPr>
                <w:rFonts w:cs="Calibri"/>
                <w:sz w:val="18"/>
                <w:szCs w:val="20"/>
              </w:rPr>
            </w:pPr>
            <w:r w:rsidRPr="00404DA5">
              <w:rPr>
                <w:rFonts w:cs="Calibri"/>
                <w:sz w:val="18"/>
                <w:szCs w:val="20"/>
              </w:rPr>
              <w:t>Liczba realizowanych projektów</w:t>
            </w:r>
          </w:p>
        </w:tc>
        <w:tc>
          <w:tcPr>
            <w:tcW w:w="1628" w:type="dxa"/>
            <w:shd w:val="clear" w:color="auto" w:fill="DBE5F1"/>
            <w:hideMark/>
          </w:tcPr>
          <w:p w14:paraId="23042327" w14:textId="77777777" w:rsidR="004A3DBC" w:rsidRPr="00404DA5" w:rsidRDefault="004A3DBC" w:rsidP="008B706B">
            <w:pPr>
              <w:jc w:val="center"/>
              <w:rPr>
                <w:rFonts w:cs="Calibri"/>
                <w:sz w:val="18"/>
                <w:szCs w:val="20"/>
              </w:rPr>
            </w:pPr>
            <w:r w:rsidRPr="00404DA5">
              <w:rPr>
                <w:rFonts w:cs="Calibri"/>
                <w:sz w:val="18"/>
                <w:szCs w:val="20"/>
              </w:rPr>
              <w:t>Wartość projektów ogółem</w:t>
            </w:r>
          </w:p>
        </w:tc>
        <w:tc>
          <w:tcPr>
            <w:tcW w:w="1598" w:type="dxa"/>
            <w:shd w:val="clear" w:color="auto" w:fill="DBE5F1"/>
            <w:hideMark/>
          </w:tcPr>
          <w:p w14:paraId="70C558BF" w14:textId="77777777" w:rsidR="004A3DBC" w:rsidRPr="00404DA5" w:rsidRDefault="004A3DBC" w:rsidP="008B706B">
            <w:pPr>
              <w:jc w:val="center"/>
              <w:rPr>
                <w:rFonts w:cs="Calibri"/>
                <w:sz w:val="18"/>
                <w:szCs w:val="20"/>
              </w:rPr>
            </w:pPr>
            <w:r w:rsidRPr="00404DA5">
              <w:rPr>
                <w:rFonts w:cs="Calibri"/>
                <w:sz w:val="18"/>
                <w:szCs w:val="20"/>
              </w:rPr>
              <w:t>Wartość dofinansowania UE</w:t>
            </w:r>
          </w:p>
        </w:tc>
      </w:tr>
      <w:tr w:rsidR="004A3DBC" w14:paraId="026A6D9A" w14:textId="77777777" w:rsidTr="00C22C26">
        <w:tc>
          <w:tcPr>
            <w:tcW w:w="1578" w:type="dxa"/>
            <w:hideMark/>
          </w:tcPr>
          <w:p w14:paraId="0828B740" w14:textId="77777777" w:rsidR="004A3DBC" w:rsidRPr="00404DA5" w:rsidRDefault="004A3DBC" w:rsidP="009974B7">
            <w:pPr>
              <w:rPr>
                <w:rFonts w:cs="Calibri"/>
                <w:sz w:val="18"/>
                <w:szCs w:val="20"/>
              </w:rPr>
            </w:pPr>
            <w:r w:rsidRPr="00404DA5">
              <w:rPr>
                <w:rFonts w:cs="Calibri"/>
                <w:sz w:val="18"/>
                <w:szCs w:val="20"/>
              </w:rPr>
              <w:t>Działanie 2.5 Modernizacja energetyczna obiektów użyteczności publicznej</w:t>
            </w:r>
          </w:p>
        </w:tc>
        <w:tc>
          <w:tcPr>
            <w:tcW w:w="1655" w:type="dxa"/>
            <w:vAlign w:val="center"/>
          </w:tcPr>
          <w:p w14:paraId="1D0ABC83" w14:textId="77777777" w:rsidR="004A3DBC" w:rsidRPr="00404DA5" w:rsidRDefault="004A3DBC" w:rsidP="00C22C26">
            <w:pPr>
              <w:jc w:val="center"/>
              <w:rPr>
                <w:rFonts w:cs="Calibri"/>
                <w:sz w:val="18"/>
                <w:szCs w:val="20"/>
              </w:rPr>
            </w:pPr>
            <w:r w:rsidRPr="00404DA5">
              <w:rPr>
                <w:rFonts w:cs="Calibri"/>
                <w:sz w:val="18"/>
                <w:szCs w:val="20"/>
              </w:rPr>
              <w:t>87 765</w:t>
            </w:r>
            <w:r w:rsidR="001E25B2">
              <w:rPr>
                <w:rFonts w:cs="Calibri"/>
                <w:sz w:val="18"/>
                <w:szCs w:val="20"/>
              </w:rPr>
              <w:t> </w:t>
            </w:r>
            <w:r w:rsidRPr="00404DA5">
              <w:rPr>
                <w:rFonts w:cs="Calibri"/>
                <w:sz w:val="18"/>
                <w:szCs w:val="20"/>
              </w:rPr>
              <w:t>662</w:t>
            </w:r>
          </w:p>
        </w:tc>
        <w:tc>
          <w:tcPr>
            <w:tcW w:w="1552" w:type="dxa"/>
            <w:vAlign w:val="center"/>
          </w:tcPr>
          <w:p w14:paraId="3FEEB226" w14:textId="77777777" w:rsidR="004A3DBC" w:rsidRPr="00404DA5" w:rsidRDefault="004A3DBC" w:rsidP="00C22C26">
            <w:pPr>
              <w:jc w:val="center"/>
              <w:rPr>
                <w:rFonts w:cs="Calibri"/>
                <w:sz w:val="18"/>
                <w:szCs w:val="20"/>
              </w:rPr>
            </w:pPr>
            <w:r w:rsidRPr="00404DA5">
              <w:rPr>
                <w:rFonts w:cs="Calibri"/>
                <w:sz w:val="18"/>
                <w:szCs w:val="20"/>
              </w:rPr>
              <w:t>78 150 751,04</w:t>
            </w:r>
          </w:p>
          <w:p w14:paraId="43353D5D" w14:textId="77777777" w:rsidR="004A3DBC" w:rsidRPr="00404DA5" w:rsidRDefault="004A3DBC" w:rsidP="00C22C26">
            <w:pPr>
              <w:jc w:val="center"/>
              <w:rPr>
                <w:rFonts w:cs="Calibri"/>
                <w:sz w:val="18"/>
                <w:szCs w:val="20"/>
              </w:rPr>
            </w:pPr>
            <w:r w:rsidRPr="00404DA5">
              <w:rPr>
                <w:rFonts w:cs="Calibri"/>
                <w:sz w:val="18"/>
                <w:szCs w:val="20"/>
              </w:rPr>
              <w:t>(89%)</w:t>
            </w:r>
          </w:p>
        </w:tc>
        <w:tc>
          <w:tcPr>
            <w:tcW w:w="1277" w:type="dxa"/>
            <w:vAlign w:val="center"/>
          </w:tcPr>
          <w:p w14:paraId="6C7FDF4A" w14:textId="77777777" w:rsidR="004A3DBC" w:rsidRPr="00404DA5" w:rsidRDefault="004A3DBC" w:rsidP="00C22C26">
            <w:pPr>
              <w:jc w:val="center"/>
              <w:rPr>
                <w:rFonts w:cs="Calibri"/>
                <w:sz w:val="18"/>
                <w:szCs w:val="20"/>
              </w:rPr>
            </w:pPr>
            <w:r w:rsidRPr="00404DA5">
              <w:rPr>
                <w:rFonts w:cs="Calibri"/>
                <w:sz w:val="18"/>
                <w:szCs w:val="20"/>
              </w:rPr>
              <w:t>28</w:t>
            </w:r>
          </w:p>
        </w:tc>
        <w:tc>
          <w:tcPr>
            <w:tcW w:w="1628" w:type="dxa"/>
            <w:vAlign w:val="center"/>
          </w:tcPr>
          <w:p w14:paraId="00A6172B" w14:textId="77777777" w:rsidR="00E214CA" w:rsidRDefault="00E214CA" w:rsidP="00C22C26">
            <w:pPr>
              <w:jc w:val="center"/>
              <w:rPr>
                <w:rFonts w:cs="Calibri"/>
                <w:sz w:val="18"/>
                <w:szCs w:val="20"/>
              </w:rPr>
            </w:pPr>
          </w:p>
          <w:p w14:paraId="7ED374B4" w14:textId="77777777" w:rsidR="00E214CA" w:rsidRDefault="00E214CA" w:rsidP="00C22C26">
            <w:pPr>
              <w:jc w:val="center"/>
              <w:rPr>
                <w:rFonts w:cs="Calibri"/>
                <w:sz w:val="18"/>
                <w:szCs w:val="20"/>
              </w:rPr>
            </w:pPr>
          </w:p>
          <w:p w14:paraId="1131246A" w14:textId="77777777" w:rsidR="004A3DBC" w:rsidRPr="00404DA5" w:rsidRDefault="004A3DBC" w:rsidP="00C22C26">
            <w:pPr>
              <w:jc w:val="center"/>
              <w:rPr>
                <w:rFonts w:cs="Calibri"/>
                <w:sz w:val="18"/>
                <w:szCs w:val="20"/>
              </w:rPr>
            </w:pPr>
            <w:r w:rsidRPr="00404DA5">
              <w:rPr>
                <w:rFonts w:cs="Calibri"/>
                <w:sz w:val="18"/>
                <w:szCs w:val="20"/>
              </w:rPr>
              <w:t>106 989 660,29</w:t>
            </w:r>
          </w:p>
          <w:p w14:paraId="254EC1AA" w14:textId="77777777" w:rsidR="004A3DBC" w:rsidRPr="00404DA5" w:rsidRDefault="004A3DBC" w:rsidP="00C22C26">
            <w:pPr>
              <w:jc w:val="center"/>
              <w:rPr>
                <w:rFonts w:cs="Calibri"/>
                <w:sz w:val="18"/>
                <w:szCs w:val="20"/>
              </w:rPr>
            </w:pPr>
          </w:p>
          <w:p w14:paraId="5968515A" w14:textId="77777777" w:rsidR="004A3DBC" w:rsidRPr="00404DA5" w:rsidRDefault="004A3DBC" w:rsidP="00C22C26">
            <w:pPr>
              <w:jc w:val="center"/>
              <w:rPr>
                <w:rFonts w:cs="Calibri"/>
                <w:sz w:val="18"/>
                <w:szCs w:val="20"/>
              </w:rPr>
            </w:pPr>
          </w:p>
        </w:tc>
        <w:tc>
          <w:tcPr>
            <w:tcW w:w="1598" w:type="dxa"/>
            <w:vAlign w:val="center"/>
          </w:tcPr>
          <w:p w14:paraId="1205C530" w14:textId="77777777" w:rsidR="004A3DBC" w:rsidRPr="00404DA5" w:rsidRDefault="004A3DBC" w:rsidP="00C22C26">
            <w:pPr>
              <w:jc w:val="center"/>
              <w:rPr>
                <w:rFonts w:cs="Calibri"/>
                <w:sz w:val="18"/>
                <w:szCs w:val="20"/>
              </w:rPr>
            </w:pPr>
            <w:r w:rsidRPr="00404DA5">
              <w:rPr>
                <w:rFonts w:cs="Calibri"/>
                <w:sz w:val="18"/>
                <w:szCs w:val="20"/>
              </w:rPr>
              <w:t>78 150 751,04</w:t>
            </w:r>
          </w:p>
        </w:tc>
      </w:tr>
      <w:tr w:rsidR="004A3DBC" w14:paraId="5D30F54E" w14:textId="77777777" w:rsidTr="00C22C26">
        <w:tc>
          <w:tcPr>
            <w:tcW w:w="1578" w:type="dxa"/>
            <w:hideMark/>
          </w:tcPr>
          <w:p w14:paraId="47FB5209" w14:textId="77777777" w:rsidR="004A3DBC" w:rsidRPr="00404DA5" w:rsidRDefault="004A3DBC" w:rsidP="009974B7">
            <w:pPr>
              <w:rPr>
                <w:rFonts w:cs="Calibri"/>
                <w:sz w:val="18"/>
                <w:szCs w:val="20"/>
              </w:rPr>
            </w:pPr>
            <w:r w:rsidRPr="00404DA5">
              <w:rPr>
                <w:rFonts w:cs="Calibri"/>
                <w:sz w:val="18"/>
                <w:szCs w:val="20"/>
              </w:rPr>
              <w:t>Działanie 2.6 Modernizacja energetyczna obiektów użyteczności publicznej</w:t>
            </w:r>
            <w:r w:rsidR="00E66B89">
              <w:rPr>
                <w:rFonts w:cs="Calibri"/>
                <w:sz w:val="18"/>
                <w:szCs w:val="20"/>
              </w:rPr>
              <w:t xml:space="preserve"> w </w:t>
            </w:r>
            <w:r w:rsidRPr="00404DA5">
              <w:rPr>
                <w:rFonts w:cs="Calibri"/>
                <w:sz w:val="18"/>
                <w:szCs w:val="20"/>
              </w:rPr>
              <w:t>ramach Strategii ZIT dla Szczecińskiego Obszaru Metropolitalnego</w:t>
            </w:r>
          </w:p>
        </w:tc>
        <w:tc>
          <w:tcPr>
            <w:tcW w:w="1655" w:type="dxa"/>
            <w:vAlign w:val="center"/>
          </w:tcPr>
          <w:p w14:paraId="0F86F9BE" w14:textId="77777777" w:rsidR="004A3DBC" w:rsidRPr="00404DA5" w:rsidRDefault="004A3DBC" w:rsidP="00C22C26">
            <w:pPr>
              <w:jc w:val="center"/>
              <w:rPr>
                <w:rFonts w:cs="Calibri"/>
                <w:sz w:val="18"/>
                <w:szCs w:val="20"/>
              </w:rPr>
            </w:pPr>
            <w:r w:rsidRPr="00404DA5">
              <w:rPr>
                <w:rFonts w:cs="Calibri"/>
                <w:sz w:val="18"/>
                <w:szCs w:val="20"/>
              </w:rPr>
              <w:t>43 028 000</w:t>
            </w:r>
          </w:p>
        </w:tc>
        <w:tc>
          <w:tcPr>
            <w:tcW w:w="1552" w:type="dxa"/>
            <w:vAlign w:val="center"/>
          </w:tcPr>
          <w:p w14:paraId="4827A9AB" w14:textId="77777777" w:rsidR="004A3DBC" w:rsidRPr="00404DA5" w:rsidRDefault="004A3DBC" w:rsidP="00C22C26">
            <w:pPr>
              <w:jc w:val="center"/>
              <w:rPr>
                <w:rFonts w:cs="Calibri"/>
                <w:sz w:val="18"/>
                <w:szCs w:val="20"/>
              </w:rPr>
            </w:pPr>
            <w:r w:rsidRPr="00404DA5">
              <w:rPr>
                <w:rFonts w:cs="Calibri"/>
                <w:sz w:val="18"/>
                <w:szCs w:val="20"/>
              </w:rPr>
              <w:t>31 638 725,96</w:t>
            </w:r>
          </w:p>
          <w:p w14:paraId="34A4CF14" w14:textId="77777777" w:rsidR="004A3DBC" w:rsidRPr="00404DA5" w:rsidRDefault="004A3DBC" w:rsidP="00C22C26">
            <w:pPr>
              <w:jc w:val="center"/>
              <w:rPr>
                <w:rFonts w:cs="Calibri"/>
                <w:sz w:val="18"/>
                <w:szCs w:val="20"/>
              </w:rPr>
            </w:pPr>
            <w:r w:rsidRPr="00404DA5">
              <w:rPr>
                <w:rFonts w:cs="Calibri"/>
                <w:sz w:val="18"/>
                <w:szCs w:val="20"/>
              </w:rPr>
              <w:t>(73,5%)</w:t>
            </w:r>
          </w:p>
        </w:tc>
        <w:tc>
          <w:tcPr>
            <w:tcW w:w="1277" w:type="dxa"/>
            <w:vAlign w:val="center"/>
          </w:tcPr>
          <w:p w14:paraId="31A8F075" w14:textId="77777777" w:rsidR="004A3DBC" w:rsidRPr="00404DA5" w:rsidRDefault="004A3DBC" w:rsidP="00C22C26">
            <w:pPr>
              <w:jc w:val="center"/>
              <w:rPr>
                <w:rFonts w:cs="Calibri"/>
                <w:sz w:val="18"/>
                <w:szCs w:val="20"/>
              </w:rPr>
            </w:pPr>
            <w:r w:rsidRPr="00404DA5">
              <w:rPr>
                <w:rFonts w:cs="Calibri"/>
                <w:sz w:val="18"/>
                <w:szCs w:val="20"/>
              </w:rPr>
              <w:t>10</w:t>
            </w:r>
          </w:p>
        </w:tc>
        <w:tc>
          <w:tcPr>
            <w:tcW w:w="1628" w:type="dxa"/>
            <w:vAlign w:val="center"/>
          </w:tcPr>
          <w:p w14:paraId="391D8934" w14:textId="77777777" w:rsidR="004A3DBC" w:rsidRPr="00404DA5" w:rsidRDefault="004A3DBC" w:rsidP="00C22C26">
            <w:pPr>
              <w:jc w:val="center"/>
              <w:rPr>
                <w:rFonts w:cs="Calibri"/>
                <w:sz w:val="18"/>
                <w:szCs w:val="20"/>
              </w:rPr>
            </w:pPr>
            <w:r w:rsidRPr="00404DA5">
              <w:rPr>
                <w:rFonts w:cs="Calibri"/>
                <w:sz w:val="18"/>
                <w:szCs w:val="20"/>
              </w:rPr>
              <w:t>61 906 021,51</w:t>
            </w:r>
          </w:p>
        </w:tc>
        <w:tc>
          <w:tcPr>
            <w:tcW w:w="1598" w:type="dxa"/>
            <w:vAlign w:val="center"/>
          </w:tcPr>
          <w:p w14:paraId="3D255B6B" w14:textId="77777777" w:rsidR="004A3DBC" w:rsidRPr="00404DA5" w:rsidRDefault="004A3DBC" w:rsidP="00C22C26">
            <w:pPr>
              <w:jc w:val="center"/>
              <w:rPr>
                <w:rFonts w:cs="Calibri"/>
                <w:sz w:val="18"/>
                <w:szCs w:val="20"/>
              </w:rPr>
            </w:pPr>
            <w:r w:rsidRPr="00404DA5">
              <w:rPr>
                <w:rFonts w:cs="Calibri"/>
                <w:sz w:val="18"/>
                <w:szCs w:val="20"/>
              </w:rPr>
              <w:t>31 638 725,96</w:t>
            </w:r>
          </w:p>
        </w:tc>
      </w:tr>
      <w:tr w:rsidR="004A3DBC" w14:paraId="79756E2E" w14:textId="77777777" w:rsidTr="00C22C26">
        <w:tc>
          <w:tcPr>
            <w:tcW w:w="1578" w:type="dxa"/>
            <w:hideMark/>
          </w:tcPr>
          <w:p w14:paraId="3A3F9E95" w14:textId="77777777" w:rsidR="004A3DBC" w:rsidRPr="00404DA5" w:rsidRDefault="004A3DBC" w:rsidP="009974B7">
            <w:pPr>
              <w:rPr>
                <w:rFonts w:cs="Calibri"/>
                <w:sz w:val="18"/>
                <w:szCs w:val="20"/>
              </w:rPr>
            </w:pPr>
            <w:r w:rsidRPr="00404DA5">
              <w:rPr>
                <w:rFonts w:cs="Calibri"/>
                <w:sz w:val="18"/>
                <w:szCs w:val="20"/>
              </w:rPr>
              <w:lastRenderedPageBreak/>
              <w:t>Działanie 2.7 Modernizacja energetyczna wielorodzinnych budynków mieszkaniowych</w:t>
            </w:r>
          </w:p>
        </w:tc>
        <w:tc>
          <w:tcPr>
            <w:tcW w:w="1655" w:type="dxa"/>
            <w:vAlign w:val="center"/>
          </w:tcPr>
          <w:p w14:paraId="35B38D86" w14:textId="77777777" w:rsidR="004A3DBC" w:rsidRPr="00404DA5" w:rsidRDefault="004A3DBC" w:rsidP="00C22C26">
            <w:pPr>
              <w:jc w:val="center"/>
              <w:rPr>
                <w:rFonts w:cs="Calibri"/>
                <w:sz w:val="18"/>
                <w:szCs w:val="20"/>
              </w:rPr>
            </w:pPr>
            <w:r w:rsidRPr="00404DA5">
              <w:rPr>
                <w:rFonts w:cs="Calibri"/>
                <w:sz w:val="18"/>
                <w:szCs w:val="20"/>
              </w:rPr>
              <w:t>54 555 541</w:t>
            </w:r>
          </w:p>
        </w:tc>
        <w:tc>
          <w:tcPr>
            <w:tcW w:w="1552" w:type="dxa"/>
            <w:vAlign w:val="center"/>
          </w:tcPr>
          <w:p w14:paraId="44492DE3" w14:textId="77777777" w:rsidR="004A3DBC" w:rsidRPr="00404DA5" w:rsidRDefault="004A3DBC" w:rsidP="00C22C26">
            <w:pPr>
              <w:jc w:val="center"/>
              <w:rPr>
                <w:rFonts w:cs="Calibri"/>
                <w:sz w:val="18"/>
                <w:szCs w:val="20"/>
              </w:rPr>
            </w:pPr>
            <w:r w:rsidRPr="00404DA5">
              <w:rPr>
                <w:rFonts w:cs="Calibri"/>
                <w:sz w:val="18"/>
                <w:szCs w:val="20"/>
              </w:rPr>
              <w:t>15 389 700,76</w:t>
            </w:r>
          </w:p>
          <w:p w14:paraId="46723FFF" w14:textId="77777777" w:rsidR="004A3DBC" w:rsidRPr="00404DA5" w:rsidRDefault="004A3DBC" w:rsidP="00C22C26">
            <w:pPr>
              <w:jc w:val="center"/>
              <w:rPr>
                <w:rFonts w:cs="Calibri"/>
                <w:sz w:val="18"/>
                <w:szCs w:val="20"/>
              </w:rPr>
            </w:pPr>
            <w:r w:rsidRPr="00404DA5">
              <w:rPr>
                <w:rFonts w:cs="Calibri"/>
                <w:sz w:val="18"/>
                <w:szCs w:val="20"/>
              </w:rPr>
              <w:t>(28,2%)</w:t>
            </w:r>
          </w:p>
        </w:tc>
        <w:tc>
          <w:tcPr>
            <w:tcW w:w="1277" w:type="dxa"/>
            <w:vAlign w:val="center"/>
          </w:tcPr>
          <w:p w14:paraId="280DEE02" w14:textId="77777777" w:rsidR="004A3DBC" w:rsidRPr="00404DA5" w:rsidRDefault="004A3DBC" w:rsidP="00C22C26">
            <w:pPr>
              <w:jc w:val="center"/>
              <w:rPr>
                <w:rFonts w:cs="Calibri"/>
                <w:sz w:val="18"/>
                <w:szCs w:val="20"/>
              </w:rPr>
            </w:pPr>
            <w:r w:rsidRPr="00404DA5">
              <w:rPr>
                <w:rFonts w:cs="Calibri"/>
                <w:sz w:val="18"/>
                <w:szCs w:val="20"/>
              </w:rPr>
              <w:t>10</w:t>
            </w:r>
          </w:p>
        </w:tc>
        <w:tc>
          <w:tcPr>
            <w:tcW w:w="1628" w:type="dxa"/>
            <w:vAlign w:val="center"/>
          </w:tcPr>
          <w:p w14:paraId="39708A6F" w14:textId="77777777" w:rsidR="004A3DBC" w:rsidRPr="00404DA5" w:rsidRDefault="004A3DBC" w:rsidP="00C22C26">
            <w:pPr>
              <w:jc w:val="center"/>
              <w:rPr>
                <w:rFonts w:cs="Calibri"/>
                <w:sz w:val="18"/>
                <w:szCs w:val="20"/>
              </w:rPr>
            </w:pPr>
            <w:r w:rsidRPr="00404DA5">
              <w:rPr>
                <w:rFonts w:cs="Calibri"/>
                <w:sz w:val="18"/>
                <w:szCs w:val="20"/>
              </w:rPr>
              <w:t>24 506 947,97</w:t>
            </w:r>
          </w:p>
        </w:tc>
        <w:tc>
          <w:tcPr>
            <w:tcW w:w="1598" w:type="dxa"/>
            <w:vAlign w:val="center"/>
          </w:tcPr>
          <w:p w14:paraId="2D7B97A5" w14:textId="77777777" w:rsidR="004A3DBC" w:rsidRPr="00404DA5" w:rsidRDefault="004A3DBC" w:rsidP="00C22C26">
            <w:pPr>
              <w:jc w:val="center"/>
              <w:rPr>
                <w:rFonts w:cs="Calibri"/>
                <w:sz w:val="18"/>
                <w:szCs w:val="20"/>
              </w:rPr>
            </w:pPr>
            <w:r w:rsidRPr="00404DA5">
              <w:rPr>
                <w:rFonts w:cs="Calibri"/>
                <w:sz w:val="18"/>
                <w:szCs w:val="20"/>
              </w:rPr>
              <w:t>15 389 700,76</w:t>
            </w:r>
          </w:p>
        </w:tc>
      </w:tr>
      <w:tr w:rsidR="004A3DBC" w14:paraId="070D6388" w14:textId="77777777" w:rsidTr="00C22C26">
        <w:tc>
          <w:tcPr>
            <w:tcW w:w="1578" w:type="dxa"/>
            <w:hideMark/>
          </w:tcPr>
          <w:p w14:paraId="2910C15D" w14:textId="77777777" w:rsidR="004A3DBC" w:rsidRPr="00404DA5" w:rsidRDefault="004A3DBC" w:rsidP="009974B7">
            <w:pPr>
              <w:rPr>
                <w:rFonts w:cs="Calibri"/>
                <w:sz w:val="18"/>
                <w:szCs w:val="20"/>
              </w:rPr>
            </w:pPr>
            <w:r w:rsidRPr="00404DA5">
              <w:rPr>
                <w:rFonts w:cs="Calibri"/>
                <w:sz w:val="18"/>
                <w:szCs w:val="20"/>
              </w:rPr>
              <w:t>Działanie 2.8 Modernizacja energetyczna wielorodzinnych budynków mieszkaniowych</w:t>
            </w:r>
            <w:r w:rsidR="00E66B89">
              <w:rPr>
                <w:rFonts w:cs="Calibri"/>
                <w:sz w:val="18"/>
                <w:szCs w:val="20"/>
              </w:rPr>
              <w:t xml:space="preserve"> w </w:t>
            </w:r>
            <w:r w:rsidRPr="00404DA5">
              <w:rPr>
                <w:rFonts w:cs="Calibri"/>
                <w:sz w:val="18"/>
                <w:szCs w:val="20"/>
              </w:rPr>
              <w:t>ramach Strategii ZIT dla Szczecińskiego Obszaru Metropolitalnego</w:t>
            </w:r>
          </w:p>
        </w:tc>
        <w:tc>
          <w:tcPr>
            <w:tcW w:w="1655" w:type="dxa"/>
            <w:vAlign w:val="center"/>
          </w:tcPr>
          <w:p w14:paraId="02D6E0EF" w14:textId="77777777" w:rsidR="004A3DBC" w:rsidRPr="00404DA5" w:rsidRDefault="004A3DBC" w:rsidP="00C22C26">
            <w:pPr>
              <w:jc w:val="center"/>
              <w:rPr>
                <w:rFonts w:cs="Calibri"/>
                <w:sz w:val="18"/>
                <w:szCs w:val="20"/>
              </w:rPr>
            </w:pPr>
            <w:r w:rsidRPr="00404DA5">
              <w:rPr>
                <w:rFonts w:cs="Calibri"/>
                <w:sz w:val="18"/>
                <w:szCs w:val="20"/>
              </w:rPr>
              <w:t>21 757 000</w:t>
            </w:r>
          </w:p>
        </w:tc>
        <w:tc>
          <w:tcPr>
            <w:tcW w:w="1552" w:type="dxa"/>
            <w:vAlign w:val="center"/>
          </w:tcPr>
          <w:p w14:paraId="087FE3A1" w14:textId="77777777" w:rsidR="004A3DBC" w:rsidRPr="00404DA5" w:rsidRDefault="004A3DBC" w:rsidP="00C22C26">
            <w:pPr>
              <w:jc w:val="center"/>
              <w:rPr>
                <w:rFonts w:cs="Calibri"/>
                <w:sz w:val="18"/>
                <w:szCs w:val="20"/>
              </w:rPr>
            </w:pPr>
            <w:r w:rsidRPr="00404DA5">
              <w:rPr>
                <w:rFonts w:cs="Calibri"/>
                <w:sz w:val="18"/>
                <w:szCs w:val="20"/>
              </w:rPr>
              <w:t>20 686 624,08</w:t>
            </w:r>
          </w:p>
          <w:p w14:paraId="2D4C50D0" w14:textId="77777777" w:rsidR="004A3DBC" w:rsidRPr="00404DA5" w:rsidRDefault="004A3DBC" w:rsidP="00C22C26">
            <w:pPr>
              <w:jc w:val="center"/>
              <w:rPr>
                <w:rFonts w:cs="Calibri"/>
                <w:sz w:val="18"/>
                <w:szCs w:val="20"/>
              </w:rPr>
            </w:pPr>
            <w:r w:rsidRPr="00404DA5">
              <w:rPr>
                <w:rFonts w:cs="Calibri"/>
                <w:sz w:val="18"/>
                <w:szCs w:val="20"/>
              </w:rPr>
              <w:t>(96,2%)</w:t>
            </w:r>
          </w:p>
        </w:tc>
        <w:tc>
          <w:tcPr>
            <w:tcW w:w="1277" w:type="dxa"/>
            <w:vAlign w:val="center"/>
          </w:tcPr>
          <w:p w14:paraId="63C5044F" w14:textId="77777777" w:rsidR="004A3DBC" w:rsidRPr="00404DA5" w:rsidRDefault="004A3DBC" w:rsidP="00C22C26">
            <w:pPr>
              <w:jc w:val="center"/>
              <w:rPr>
                <w:rFonts w:cs="Calibri"/>
                <w:sz w:val="18"/>
                <w:szCs w:val="20"/>
              </w:rPr>
            </w:pPr>
            <w:r w:rsidRPr="00404DA5">
              <w:rPr>
                <w:rFonts w:cs="Calibri"/>
                <w:sz w:val="18"/>
                <w:szCs w:val="20"/>
              </w:rPr>
              <w:t>16</w:t>
            </w:r>
          </w:p>
        </w:tc>
        <w:tc>
          <w:tcPr>
            <w:tcW w:w="1628" w:type="dxa"/>
            <w:vAlign w:val="center"/>
          </w:tcPr>
          <w:p w14:paraId="1843239B" w14:textId="77777777" w:rsidR="004A3DBC" w:rsidRPr="00404DA5" w:rsidRDefault="004A3DBC" w:rsidP="00C22C26">
            <w:pPr>
              <w:jc w:val="center"/>
              <w:rPr>
                <w:rFonts w:cs="Calibri"/>
                <w:sz w:val="18"/>
                <w:szCs w:val="20"/>
              </w:rPr>
            </w:pPr>
            <w:r w:rsidRPr="00404DA5">
              <w:rPr>
                <w:rFonts w:cs="Calibri"/>
                <w:sz w:val="18"/>
                <w:szCs w:val="20"/>
              </w:rPr>
              <w:t>25 411 136,28</w:t>
            </w:r>
          </w:p>
        </w:tc>
        <w:tc>
          <w:tcPr>
            <w:tcW w:w="1598" w:type="dxa"/>
            <w:vAlign w:val="center"/>
          </w:tcPr>
          <w:p w14:paraId="62B9A575" w14:textId="77777777" w:rsidR="004A3DBC" w:rsidRPr="00404DA5" w:rsidRDefault="004A3DBC" w:rsidP="00C22C26">
            <w:pPr>
              <w:jc w:val="center"/>
              <w:rPr>
                <w:rFonts w:cs="Calibri"/>
                <w:sz w:val="18"/>
                <w:szCs w:val="20"/>
              </w:rPr>
            </w:pPr>
            <w:r w:rsidRPr="00404DA5">
              <w:rPr>
                <w:rFonts w:cs="Calibri"/>
                <w:sz w:val="18"/>
                <w:szCs w:val="20"/>
              </w:rPr>
              <w:t>20 686 624,08</w:t>
            </w:r>
          </w:p>
        </w:tc>
      </w:tr>
    </w:tbl>
    <w:p w14:paraId="27B00CB5" w14:textId="1F56478A" w:rsidR="004A3DBC" w:rsidRPr="00D21299" w:rsidRDefault="004A3DBC" w:rsidP="001245CE">
      <w:pPr>
        <w:spacing w:before="0"/>
        <w:rPr>
          <w:rFonts w:cs="Calibri"/>
          <w:i/>
          <w:sz w:val="18"/>
          <w:szCs w:val="20"/>
        </w:rPr>
      </w:pPr>
      <w:r w:rsidRPr="00D21299">
        <w:rPr>
          <w:rFonts w:cs="Calibri"/>
          <w:i/>
          <w:sz w:val="18"/>
          <w:szCs w:val="20"/>
        </w:rPr>
        <w:t>Źródło: obliczenia własne na podstawie danych SL 2014 (stan na dzień 07.01.2019r.)</w:t>
      </w:r>
      <w:r w:rsidR="00AA6879">
        <w:rPr>
          <w:rFonts w:cs="Calibri"/>
          <w:i/>
          <w:sz w:val="18"/>
          <w:szCs w:val="20"/>
        </w:rPr>
        <w:t>.</w:t>
      </w:r>
    </w:p>
    <w:p w14:paraId="27E44D5A" w14:textId="77777777" w:rsidR="000831F9" w:rsidRPr="00C22C26" w:rsidRDefault="000831F9" w:rsidP="00C22C26">
      <w:pPr>
        <w:pStyle w:val="evaluTresc"/>
        <w:rPr>
          <w:i/>
        </w:rPr>
      </w:pPr>
      <w:r>
        <w:t>Na poniższej mapie przedstawiono dane dotyczące wartości projektów ogółem realizowanych</w:t>
      </w:r>
      <w:r w:rsidR="00E66B89">
        <w:t xml:space="preserve"> w </w:t>
      </w:r>
      <w:r>
        <w:t>ramach Działań 2.6 oraz 2.8</w:t>
      </w:r>
      <w:r w:rsidR="00E66B89">
        <w:t xml:space="preserve"> w </w:t>
      </w:r>
      <w:r>
        <w:t>podziale na gminy</w:t>
      </w:r>
      <w:r w:rsidR="00E66B89">
        <w:t xml:space="preserve"> w </w:t>
      </w:r>
      <w:r>
        <w:t>województwie zachodniopomorskim. Projekty</w:t>
      </w:r>
      <w:r w:rsidR="00E66B89">
        <w:t xml:space="preserve"> o </w:t>
      </w:r>
      <w:r>
        <w:t>największej wartości</w:t>
      </w:r>
      <w:r w:rsidR="00E66B89">
        <w:t xml:space="preserve"> w </w:t>
      </w:r>
      <w:r>
        <w:t>ramach tych działań są realizowane</w:t>
      </w:r>
      <w:r w:rsidR="00E66B89">
        <w:t xml:space="preserve"> w </w:t>
      </w:r>
      <w:r>
        <w:t>gminie Szczecin (58,8 mln zł), Stargard (36,6 mln zł). Ukierunkowanie terytorialne na pierwszych dwóch obszarach wskazuje na realizację projektów kompleksowych.</w:t>
      </w:r>
      <w:r w:rsidR="00E66B89">
        <w:t xml:space="preserve"> W </w:t>
      </w:r>
      <w:r>
        <w:t>każdej</w:t>
      </w:r>
      <w:r w:rsidR="00E66B89">
        <w:t xml:space="preserve"> z </w:t>
      </w:r>
      <w:r>
        <w:t>gmin należących do związku ZIT, na obszarze których realizowane są projekty ze wskazanych działań, wartość projektów</w:t>
      </w:r>
      <w:r w:rsidR="00E66B89">
        <w:t xml:space="preserve"> z </w:t>
      </w:r>
      <w:r>
        <w:t>działań dedykowanych ZIT stanowi minimum 65% wartości projektów realizowanych na terenie tych gmin. Warto również zauważyć, że</w:t>
      </w:r>
      <w:r w:rsidR="00E66B89">
        <w:t xml:space="preserve"> w </w:t>
      </w:r>
      <w:r>
        <w:t>większości gmin objętych mechanizmem ZIT, Działanie 2.6 oraz 2.8 stanowi jedyne źródło finansowania poprawy efektywności energetycznej</w:t>
      </w:r>
      <w:r w:rsidR="00E66B89">
        <w:t xml:space="preserve"> w </w:t>
      </w:r>
      <w:r>
        <w:t>mieszkalnictwie</w:t>
      </w:r>
      <w:r w:rsidR="00E66B89">
        <w:t xml:space="preserve"> i </w:t>
      </w:r>
      <w:r>
        <w:t>budynkach użyteczności publicznej.</w:t>
      </w:r>
      <w:r w:rsidR="00E66B89">
        <w:t xml:space="preserve"> W </w:t>
      </w:r>
      <w:r>
        <w:t>gminach spoza obszaru ZIT, największe środki na realizację podobnych projektów uzyskała gmina Mielno (8,7 mln zł),</w:t>
      </w:r>
      <w:r w:rsidR="00E66B89">
        <w:t xml:space="preserve"> a w </w:t>
      </w:r>
      <w:r>
        <w:t>pozostałych gminach, wartość ogółem środków finansowych przeznaczonych na głęboką termomodernizację wynosi 106,8 mln zł.</w:t>
      </w:r>
    </w:p>
    <w:p w14:paraId="7C78481D" w14:textId="77777777" w:rsidR="0094076E" w:rsidRDefault="0094076E">
      <w:pPr>
        <w:pStyle w:val="Legenda"/>
      </w:pPr>
      <w:bookmarkStart w:id="364" w:name="_Toc6521452"/>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3</w:t>
      </w:r>
      <w:r w:rsidR="006E34DC">
        <w:rPr>
          <w:noProof/>
        </w:rPr>
        <w:fldChar w:fldCharType="end"/>
      </w:r>
      <w:r>
        <w:t xml:space="preserve"> </w:t>
      </w:r>
      <w:r w:rsidRPr="00602308">
        <w:t>Wartość projektów ogółem</w:t>
      </w:r>
      <w:r w:rsidR="00E66B89">
        <w:t xml:space="preserve"> z </w:t>
      </w:r>
      <w:r w:rsidRPr="00602308">
        <w:t>Działań realizujących instrumenty terytorialne oraz analogicznego Działania wdrażanego</w:t>
      </w:r>
      <w:r w:rsidR="00E66B89">
        <w:t xml:space="preserve"> w </w:t>
      </w:r>
      <w:r w:rsidRPr="00602308">
        <w:t>całym regionie,</w:t>
      </w:r>
      <w:r w:rsidR="00E66B89">
        <w:t xml:space="preserve"> w </w:t>
      </w:r>
      <w:r w:rsidRPr="00602308">
        <w:t>podziale na gminy</w:t>
      </w:r>
      <w:r w:rsidR="00E66B89">
        <w:t xml:space="preserve"> z </w:t>
      </w:r>
      <w:r w:rsidRPr="00602308">
        <w:t>wyszczególnieniem gmin należących do ZIT/KS - PI 4c</w:t>
      </w:r>
      <w:bookmarkEnd w:id="364"/>
    </w:p>
    <w:p w14:paraId="2D73793F" w14:textId="4A7FA1F8" w:rsidR="00F379E3" w:rsidRDefault="00C35619" w:rsidP="004A3DBC">
      <w:pPr>
        <w:rPr>
          <w:rFonts w:cs="Calibri"/>
          <w:i/>
          <w:sz w:val="18"/>
          <w:szCs w:val="20"/>
        </w:rPr>
      </w:pPr>
      <w:r w:rsidRPr="00D508B6">
        <w:rPr>
          <w:noProof/>
        </w:rPr>
        <w:drawing>
          <wp:inline distT="0" distB="0" distL="0" distR="0" wp14:anchorId="5C93CBBC" wp14:editId="60A8E5AA">
            <wp:extent cx="5762625" cy="4076700"/>
            <wp:effectExtent l="0" t="0" r="9525" b="0"/>
            <wp:docPr id="6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41FF3157" w14:textId="77777777" w:rsidR="0094076E" w:rsidRPr="00D21299" w:rsidRDefault="0094076E" w:rsidP="0094076E">
      <w:pPr>
        <w:rPr>
          <w:i/>
          <w:sz w:val="18"/>
        </w:rPr>
      </w:pPr>
      <w:r w:rsidRPr="00D21299">
        <w:rPr>
          <w:i/>
          <w:sz w:val="18"/>
        </w:rPr>
        <w:t>Źródło: opracowanie własne na podstawie bazy UoD</w:t>
      </w:r>
      <w:r w:rsidR="00E66B89" w:rsidRPr="00D21299">
        <w:rPr>
          <w:i/>
          <w:sz w:val="18"/>
        </w:rPr>
        <w:t xml:space="preserve"> z </w:t>
      </w:r>
      <w:r w:rsidRPr="00D21299">
        <w:rPr>
          <w:i/>
          <w:sz w:val="18"/>
        </w:rPr>
        <w:t>07.01.2019 roku.</w:t>
      </w:r>
      <w:r w:rsidRPr="00D21299">
        <w:rPr>
          <w:rStyle w:val="Odwoanieprzypisudolnego"/>
          <w:sz w:val="18"/>
        </w:rPr>
        <w:footnoteReference w:id="144"/>
      </w:r>
      <w:r w:rsidRPr="00D21299">
        <w:rPr>
          <w:i/>
          <w:sz w:val="18"/>
        </w:rPr>
        <w:t xml:space="preserve"> </w:t>
      </w:r>
    </w:p>
    <w:p w14:paraId="7614AD12" w14:textId="77777777" w:rsidR="004A3DBC" w:rsidRPr="00404DA5" w:rsidRDefault="004A3DBC" w:rsidP="004A3DBC">
      <w:pPr>
        <w:rPr>
          <w:rFonts w:cs="Calibri"/>
          <w:szCs w:val="20"/>
        </w:rPr>
      </w:pPr>
      <w:r w:rsidRPr="00404DA5">
        <w:rPr>
          <w:rFonts w:cs="Calibri"/>
          <w:szCs w:val="20"/>
        </w:rPr>
        <w:t>Porównując wkład działań dedykowanych ZIT</w:t>
      </w:r>
      <w:r w:rsidR="00E66B89">
        <w:rPr>
          <w:rFonts w:cs="Calibri"/>
          <w:szCs w:val="20"/>
        </w:rPr>
        <w:t xml:space="preserve"> w </w:t>
      </w:r>
      <w:r w:rsidRPr="00404DA5">
        <w:rPr>
          <w:rFonts w:cs="Calibri"/>
          <w:szCs w:val="20"/>
        </w:rPr>
        <w:t>osiąganie celów PI 4c, należy pamiętać</w:t>
      </w:r>
      <w:r w:rsidR="00E66B89">
        <w:rPr>
          <w:rFonts w:cs="Calibri"/>
          <w:szCs w:val="20"/>
        </w:rPr>
        <w:t xml:space="preserve"> o </w:t>
      </w:r>
      <w:r w:rsidRPr="00404DA5">
        <w:rPr>
          <w:rFonts w:cs="Calibri"/>
          <w:szCs w:val="20"/>
        </w:rPr>
        <w:t>tym, że liczba projektów związanych</w:t>
      </w:r>
      <w:r w:rsidR="00E66B89">
        <w:rPr>
          <w:rFonts w:cs="Calibri"/>
          <w:szCs w:val="20"/>
        </w:rPr>
        <w:t xml:space="preserve"> z </w:t>
      </w:r>
      <w:r w:rsidRPr="00404DA5">
        <w:rPr>
          <w:rFonts w:cs="Calibri"/>
          <w:szCs w:val="20"/>
        </w:rPr>
        <w:t>wdrażaniem tego instrumentu terytorialnego jest znacznie niższa niż</w:t>
      </w:r>
      <w:r w:rsidR="00E66B89">
        <w:rPr>
          <w:rFonts w:cs="Calibri"/>
          <w:szCs w:val="20"/>
        </w:rPr>
        <w:t xml:space="preserve"> w </w:t>
      </w:r>
      <w:r w:rsidRPr="00404DA5">
        <w:rPr>
          <w:rFonts w:cs="Calibri"/>
          <w:szCs w:val="20"/>
        </w:rPr>
        <w:t>przypadku działań dedykowanych całemu obszarowi województwa.</w:t>
      </w:r>
      <w:r w:rsidR="00E66B89">
        <w:rPr>
          <w:rFonts w:cs="Calibri"/>
          <w:szCs w:val="20"/>
        </w:rPr>
        <w:t xml:space="preserve"> W </w:t>
      </w:r>
      <w:r w:rsidRPr="00404DA5">
        <w:rPr>
          <w:rFonts w:cs="Calibri"/>
          <w:szCs w:val="20"/>
        </w:rPr>
        <w:t xml:space="preserve">konsekwencji zarówno wskaźnik </w:t>
      </w:r>
      <w:r w:rsidRPr="00404DA5">
        <w:rPr>
          <w:rFonts w:cs="Calibri"/>
          <w:i/>
          <w:szCs w:val="20"/>
        </w:rPr>
        <w:t>Liczba zmodernizowanych energetycznie budynków</w:t>
      </w:r>
      <w:r w:rsidRPr="00404DA5">
        <w:rPr>
          <w:rFonts w:cs="Calibri"/>
          <w:szCs w:val="20"/>
        </w:rPr>
        <w:t>, jak</w:t>
      </w:r>
      <w:r w:rsidR="00E66B89">
        <w:rPr>
          <w:rFonts w:cs="Calibri"/>
          <w:szCs w:val="20"/>
        </w:rPr>
        <w:t xml:space="preserve"> i </w:t>
      </w:r>
      <w:r w:rsidRPr="00404DA5">
        <w:rPr>
          <w:rFonts w:cs="Calibri"/>
          <w:i/>
          <w:szCs w:val="20"/>
        </w:rPr>
        <w:t>Liczba gospodarstw domowych</w:t>
      </w:r>
      <w:r w:rsidR="00E66B89">
        <w:rPr>
          <w:rFonts w:cs="Calibri"/>
          <w:i/>
          <w:szCs w:val="20"/>
        </w:rPr>
        <w:t xml:space="preserve"> z </w:t>
      </w:r>
      <w:r w:rsidRPr="00404DA5">
        <w:rPr>
          <w:rFonts w:cs="Calibri"/>
          <w:i/>
          <w:szCs w:val="20"/>
        </w:rPr>
        <w:t>ulepszoną klasą energetyczną</w:t>
      </w:r>
      <w:r w:rsidRPr="00404DA5">
        <w:rPr>
          <w:rFonts w:cs="Calibri"/>
          <w:szCs w:val="20"/>
        </w:rPr>
        <w:t>, będą</w:t>
      </w:r>
      <w:r w:rsidR="00E66B89">
        <w:rPr>
          <w:rFonts w:cs="Calibri"/>
          <w:szCs w:val="20"/>
        </w:rPr>
        <w:t xml:space="preserve"> w </w:t>
      </w:r>
      <w:r w:rsidRPr="00404DA5">
        <w:rPr>
          <w:rFonts w:cs="Calibri"/>
          <w:szCs w:val="20"/>
        </w:rPr>
        <w:t>większym stopniu realizowane przez Działanie 2.5 oraz 2.7. Bardzo pozytywnie można ocenić zaś wkład działań ZIT</w:t>
      </w:r>
      <w:r w:rsidR="00E66B89">
        <w:rPr>
          <w:rFonts w:cs="Calibri"/>
          <w:szCs w:val="20"/>
        </w:rPr>
        <w:t xml:space="preserve"> w </w:t>
      </w:r>
      <w:r w:rsidRPr="00404DA5">
        <w:rPr>
          <w:rFonts w:cs="Calibri"/>
          <w:szCs w:val="20"/>
        </w:rPr>
        <w:t xml:space="preserve">osiąganie celów dotyczących wskaźnika </w:t>
      </w:r>
      <w:r w:rsidRPr="00404DA5">
        <w:rPr>
          <w:rFonts w:cs="Calibri"/>
          <w:i/>
          <w:szCs w:val="20"/>
        </w:rPr>
        <w:t>Szacowany roczny spadek emisji gazów cieplarnianych</w:t>
      </w:r>
      <w:r w:rsidRPr="00404DA5">
        <w:rPr>
          <w:rFonts w:cs="Calibri"/>
          <w:szCs w:val="20"/>
        </w:rPr>
        <w:t>. Mając na uwadze znaczną liczbę budynków objętych wsparciem</w:t>
      </w:r>
      <w:r w:rsidR="00E66B89">
        <w:rPr>
          <w:rFonts w:cs="Calibri"/>
          <w:szCs w:val="20"/>
        </w:rPr>
        <w:t xml:space="preserve"> w </w:t>
      </w:r>
      <w:r w:rsidRPr="00404DA5">
        <w:rPr>
          <w:rFonts w:cs="Calibri"/>
          <w:szCs w:val="20"/>
        </w:rPr>
        <w:t>Działaniu 2.5, można zwrócić uwagę na istotny wkład znacznie mniejszej liczby zmodernizowanych energetycznie budynków</w:t>
      </w:r>
      <w:r w:rsidR="00E66B89">
        <w:rPr>
          <w:rFonts w:cs="Calibri"/>
          <w:szCs w:val="20"/>
        </w:rPr>
        <w:t xml:space="preserve"> w </w:t>
      </w:r>
      <w:r w:rsidRPr="00404DA5">
        <w:rPr>
          <w:rFonts w:cs="Calibri"/>
          <w:szCs w:val="20"/>
        </w:rPr>
        <w:t>realizację wartości docelowej. Podobna sytuacja ma miejsce</w:t>
      </w:r>
      <w:r w:rsidR="00E66B89">
        <w:rPr>
          <w:rFonts w:cs="Calibri"/>
          <w:szCs w:val="20"/>
        </w:rPr>
        <w:t xml:space="preserve"> w </w:t>
      </w:r>
      <w:r w:rsidRPr="00404DA5">
        <w:rPr>
          <w:rFonts w:cs="Calibri"/>
          <w:szCs w:val="20"/>
        </w:rPr>
        <w:t>przypadku Działania 2.6</w:t>
      </w:r>
      <w:r w:rsidR="00E66B89">
        <w:rPr>
          <w:rFonts w:cs="Calibri"/>
          <w:szCs w:val="20"/>
        </w:rPr>
        <w:t xml:space="preserve"> i </w:t>
      </w:r>
      <w:r w:rsidRPr="00404DA5">
        <w:rPr>
          <w:rFonts w:cs="Calibri"/>
          <w:szCs w:val="20"/>
        </w:rPr>
        <w:t>2.8. Likwidacja nieefektywnych źródeł ogrzewania</w:t>
      </w:r>
      <w:r w:rsidR="00E66B89">
        <w:rPr>
          <w:rFonts w:cs="Calibri"/>
          <w:szCs w:val="20"/>
        </w:rPr>
        <w:t xml:space="preserve"> w </w:t>
      </w:r>
      <w:r w:rsidRPr="00404DA5">
        <w:rPr>
          <w:rFonts w:cs="Calibri"/>
          <w:szCs w:val="20"/>
        </w:rPr>
        <w:t>ramach termomodernizacji dokonywanych</w:t>
      </w:r>
      <w:r w:rsidR="00E66B89">
        <w:rPr>
          <w:rFonts w:cs="Calibri"/>
          <w:szCs w:val="20"/>
        </w:rPr>
        <w:t xml:space="preserve"> w </w:t>
      </w:r>
      <w:r w:rsidRPr="00404DA5">
        <w:rPr>
          <w:rFonts w:cs="Calibri"/>
          <w:szCs w:val="20"/>
        </w:rPr>
        <w:t>zaniedbanych budynkach komunalnych</w:t>
      </w:r>
      <w:r w:rsidR="00E66B89">
        <w:rPr>
          <w:rFonts w:cs="Calibri"/>
          <w:szCs w:val="20"/>
        </w:rPr>
        <w:t xml:space="preserve"> w </w:t>
      </w:r>
      <w:r w:rsidRPr="00404DA5">
        <w:rPr>
          <w:rFonts w:cs="Calibri"/>
          <w:szCs w:val="20"/>
        </w:rPr>
        <w:t>bardzo dużym stopniu oddziałuje na założone cele</w:t>
      </w:r>
      <w:r w:rsidR="00E66B89">
        <w:rPr>
          <w:rFonts w:cs="Calibri"/>
          <w:szCs w:val="20"/>
        </w:rPr>
        <w:t xml:space="preserve"> w </w:t>
      </w:r>
      <w:r w:rsidRPr="00404DA5">
        <w:rPr>
          <w:rFonts w:cs="Calibri"/>
          <w:szCs w:val="20"/>
        </w:rPr>
        <w:t>PI 4c.</w:t>
      </w:r>
    </w:p>
    <w:p w14:paraId="12407CE9" w14:textId="77777777" w:rsidR="004A3DBC" w:rsidRPr="00404DA5" w:rsidRDefault="004A3DBC" w:rsidP="004A3DBC">
      <w:pPr>
        <w:rPr>
          <w:rFonts w:cs="Calibri"/>
          <w:szCs w:val="20"/>
        </w:rPr>
      </w:pPr>
      <w:r w:rsidRPr="00404DA5">
        <w:rPr>
          <w:rFonts w:cs="Calibri"/>
          <w:szCs w:val="20"/>
        </w:rPr>
        <w:t>Jeśli chodzi zaś</w:t>
      </w:r>
      <w:r w:rsidR="00E66B89">
        <w:rPr>
          <w:rFonts w:cs="Calibri"/>
          <w:szCs w:val="20"/>
        </w:rPr>
        <w:t xml:space="preserve"> o </w:t>
      </w:r>
      <w:r w:rsidRPr="00404DA5">
        <w:rPr>
          <w:rFonts w:cs="Calibri"/>
          <w:szCs w:val="20"/>
        </w:rPr>
        <w:t xml:space="preserve">wskaźnik </w:t>
      </w:r>
      <w:r w:rsidRPr="00404DA5">
        <w:rPr>
          <w:rFonts w:cs="Calibri"/>
          <w:i/>
          <w:szCs w:val="20"/>
        </w:rPr>
        <w:t>Zmniejszenie rocznego zużycia energii pierwotnej</w:t>
      </w:r>
      <w:r w:rsidR="00E66B89">
        <w:rPr>
          <w:rFonts w:cs="Calibri"/>
          <w:i/>
          <w:szCs w:val="20"/>
        </w:rPr>
        <w:t xml:space="preserve"> w </w:t>
      </w:r>
      <w:r w:rsidRPr="00404DA5">
        <w:rPr>
          <w:rFonts w:cs="Calibri"/>
          <w:i/>
          <w:szCs w:val="20"/>
        </w:rPr>
        <w:t>budynkach publicznych</w:t>
      </w:r>
      <w:r w:rsidRPr="00404DA5">
        <w:rPr>
          <w:rFonts w:cs="Calibri"/>
          <w:szCs w:val="20"/>
        </w:rPr>
        <w:t>,</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Działaniem 2.7, kształtuje się on adekwatnie</w:t>
      </w:r>
      <w:r w:rsidR="00E66B89">
        <w:rPr>
          <w:rFonts w:cs="Calibri"/>
          <w:szCs w:val="20"/>
        </w:rPr>
        <w:t xml:space="preserve"> w </w:t>
      </w:r>
      <w:r w:rsidRPr="00404DA5">
        <w:rPr>
          <w:rFonts w:cs="Calibri"/>
          <w:szCs w:val="20"/>
        </w:rPr>
        <w:t>stosunku do liczby</w:t>
      </w:r>
      <w:r w:rsidR="00E66B89">
        <w:rPr>
          <w:rFonts w:cs="Calibri"/>
          <w:szCs w:val="20"/>
        </w:rPr>
        <w:t xml:space="preserve"> i </w:t>
      </w:r>
      <w:r w:rsidRPr="00404DA5">
        <w:rPr>
          <w:rFonts w:cs="Calibri"/>
          <w:szCs w:val="20"/>
        </w:rPr>
        <w:t>wielkości realizowanych</w:t>
      </w:r>
      <w:r w:rsidR="00E66B89">
        <w:rPr>
          <w:rFonts w:cs="Calibri"/>
          <w:szCs w:val="20"/>
        </w:rPr>
        <w:t xml:space="preserve"> w </w:t>
      </w:r>
      <w:r w:rsidRPr="00404DA5">
        <w:rPr>
          <w:rFonts w:cs="Calibri"/>
          <w:szCs w:val="20"/>
        </w:rPr>
        <w:t>ramach ZIT inwestycji. Nieco mniej korzystnie wygląda postęp rzeczowy</w:t>
      </w:r>
      <w:r w:rsidR="00E66B89">
        <w:rPr>
          <w:rFonts w:cs="Calibri"/>
          <w:szCs w:val="20"/>
        </w:rPr>
        <w:t xml:space="preserve"> w </w:t>
      </w:r>
      <w:r w:rsidRPr="00404DA5">
        <w:rPr>
          <w:rFonts w:cs="Calibri"/>
          <w:szCs w:val="20"/>
        </w:rPr>
        <w:t xml:space="preserve">przypadku </w:t>
      </w:r>
      <w:r w:rsidRPr="00404DA5">
        <w:rPr>
          <w:rFonts w:cs="Calibri"/>
          <w:szCs w:val="20"/>
        </w:rPr>
        <w:lastRenderedPageBreak/>
        <w:t>zatwierdzonych wniosków</w:t>
      </w:r>
      <w:r w:rsidR="00E66B89">
        <w:rPr>
          <w:rFonts w:cs="Calibri"/>
          <w:szCs w:val="20"/>
        </w:rPr>
        <w:t xml:space="preserve"> o </w:t>
      </w:r>
      <w:r w:rsidRPr="00404DA5">
        <w:rPr>
          <w:rFonts w:cs="Calibri"/>
          <w:szCs w:val="20"/>
        </w:rPr>
        <w:t>płatność</w:t>
      </w:r>
      <w:r w:rsidR="00E66B89">
        <w:rPr>
          <w:rFonts w:cs="Calibri"/>
          <w:szCs w:val="20"/>
        </w:rPr>
        <w:t xml:space="preserve"> w </w:t>
      </w:r>
      <w:r w:rsidRPr="00404DA5">
        <w:rPr>
          <w:rFonts w:cs="Calibri"/>
          <w:szCs w:val="20"/>
        </w:rPr>
        <w:t xml:space="preserve">ramach wskaźnika </w:t>
      </w:r>
      <w:r w:rsidRPr="00404DA5">
        <w:rPr>
          <w:rFonts w:cs="Calibri"/>
          <w:i/>
          <w:szCs w:val="20"/>
        </w:rPr>
        <w:t>Liczba gospodarstw domowych</w:t>
      </w:r>
      <w:r w:rsidR="00E66B89">
        <w:rPr>
          <w:rFonts w:cs="Calibri"/>
          <w:i/>
          <w:szCs w:val="20"/>
        </w:rPr>
        <w:t xml:space="preserve"> z </w:t>
      </w:r>
      <w:r w:rsidRPr="00404DA5">
        <w:rPr>
          <w:rFonts w:cs="Calibri"/>
          <w:i/>
          <w:szCs w:val="20"/>
        </w:rPr>
        <w:t>ulepszoną klasą energetyczną</w:t>
      </w:r>
      <w:r w:rsidRPr="00404DA5">
        <w:rPr>
          <w:rFonts w:cs="Calibri"/>
          <w:szCs w:val="20"/>
        </w:rPr>
        <w:t xml:space="preserve"> dla Działania 2.8. Problemem są uwarunkowania panujące na rynku budowlanym,</w:t>
      </w:r>
      <w:r w:rsidR="00E66B89">
        <w:rPr>
          <w:rFonts w:cs="Calibri"/>
          <w:szCs w:val="20"/>
        </w:rPr>
        <w:t xml:space="preserve"> a w </w:t>
      </w:r>
      <w:r w:rsidRPr="00404DA5">
        <w:rPr>
          <w:rFonts w:cs="Calibri"/>
          <w:szCs w:val="20"/>
        </w:rPr>
        <w:t>związku</w:t>
      </w:r>
      <w:r w:rsidR="00E66B89">
        <w:rPr>
          <w:rFonts w:cs="Calibri"/>
          <w:szCs w:val="20"/>
        </w:rPr>
        <w:t xml:space="preserve"> z </w:t>
      </w:r>
      <w:r w:rsidRPr="00404DA5">
        <w:rPr>
          <w:rFonts w:cs="Calibri"/>
          <w:szCs w:val="20"/>
        </w:rPr>
        <w:t>tym dotyczące rozstrzygania postępowań</w:t>
      </w:r>
      <w:r w:rsidR="00E66B89">
        <w:rPr>
          <w:rFonts w:cs="Calibri"/>
          <w:szCs w:val="20"/>
        </w:rPr>
        <w:t xml:space="preserve"> w </w:t>
      </w:r>
      <w:r w:rsidRPr="00404DA5">
        <w:rPr>
          <w:rFonts w:cs="Calibri"/>
          <w:szCs w:val="20"/>
        </w:rPr>
        <w:t>ramach prawa zamówień publicznych. Ze względu na wzrost cen usług budowlanych, bądź brak wykonawców chętnych do realizacji inwestycji, projekty odnotowują opóźnienia</w:t>
      </w:r>
      <w:r w:rsidR="00E66B89">
        <w:rPr>
          <w:rFonts w:cs="Calibri"/>
          <w:szCs w:val="20"/>
        </w:rPr>
        <w:t xml:space="preserve"> w </w:t>
      </w:r>
      <w:r w:rsidRPr="00404DA5">
        <w:rPr>
          <w:rFonts w:cs="Calibri"/>
          <w:szCs w:val="20"/>
        </w:rPr>
        <w:t>stosunku do założeń</w:t>
      </w:r>
      <w:r w:rsidR="00E66B89">
        <w:rPr>
          <w:rFonts w:cs="Calibri"/>
          <w:szCs w:val="20"/>
        </w:rPr>
        <w:t xml:space="preserve"> w </w:t>
      </w:r>
      <w:r w:rsidRPr="00404DA5">
        <w:rPr>
          <w:rFonts w:cs="Calibri"/>
          <w:szCs w:val="20"/>
        </w:rPr>
        <w:t>harmonogramach.</w:t>
      </w:r>
    </w:p>
    <w:p w14:paraId="4F04A360" w14:textId="77777777" w:rsidR="004A3DBC" w:rsidRDefault="004A3DBC" w:rsidP="00024F00">
      <w:pPr>
        <w:pStyle w:val="Legenda"/>
        <w:spacing w:after="0"/>
      </w:pPr>
      <w:bookmarkStart w:id="365" w:name="_Toc8824272"/>
      <w:r>
        <w:t xml:space="preserve">Tabela </w:t>
      </w:r>
      <w:r w:rsidR="00B72A80">
        <w:fldChar w:fldCharType="begin"/>
      </w:r>
      <w:r w:rsidR="00B72A80">
        <w:instrText xml:space="preserve"> SEQ Tabela \* ARABIC </w:instrText>
      </w:r>
      <w:r w:rsidR="00B72A80">
        <w:fldChar w:fldCharType="separate"/>
      </w:r>
      <w:r w:rsidR="00763345">
        <w:rPr>
          <w:noProof/>
        </w:rPr>
        <w:t>161</w:t>
      </w:r>
      <w:r w:rsidR="00B72A80">
        <w:fldChar w:fldCharType="end"/>
      </w:r>
      <w:r>
        <w:t xml:space="preserve"> </w:t>
      </w:r>
      <w:bookmarkStart w:id="366" w:name="_Hlk3319662"/>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 xml:space="preserve">osiąganiu celów PI </w:t>
      </w:r>
      <w:bookmarkEnd w:id="366"/>
      <w:r>
        <w:t>4c</w:t>
      </w:r>
      <w:bookmarkEnd w:id="36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539"/>
        <w:gridCol w:w="1518"/>
        <w:gridCol w:w="1540"/>
        <w:gridCol w:w="1218"/>
        <w:gridCol w:w="1500"/>
      </w:tblGrid>
      <w:tr w:rsidR="004A3DBC" w14:paraId="6F6FBF3C" w14:textId="77777777" w:rsidTr="00C22C26">
        <w:trPr>
          <w:tblHeader/>
        </w:trPr>
        <w:tc>
          <w:tcPr>
            <w:tcW w:w="1638" w:type="dxa"/>
            <w:shd w:val="clear" w:color="auto" w:fill="DBE5F1"/>
          </w:tcPr>
          <w:p w14:paraId="7FFC8492" w14:textId="77777777" w:rsidR="004A3DBC" w:rsidRPr="00404DA5" w:rsidRDefault="004A3DBC" w:rsidP="008B706B">
            <w:pPr>
              <w:jc w:val="center"/>
              <w:rPr>
                <w:rFonts w:eastAsia="Calibri" w:cs="Calibri"/>
                <w:sz w:val="18"/>
                <w:szCs w:val="20"/>
              </w:rPr>
            </w:pPr>
          </w:p>
        </w:tc>
        <w:tc>
          <w:tcPr>
            <w:tcW w:w="1640" w:type="dxa"/>
            <w:shd w:val="clear" w:color="auto" w:fill="DBE5F1"/>
            <w:hideMark/>
          </w:tcPr>
          <w:p w14:paraId="1576C80F" w14:textId="77777777" w:rsidR="004A3DBC" w:rsidRPr="00404DA5" w:rsidRDefault="004A3DBC" w:rsidP="008B706B">
            <w:pPr>
              <w:jc w:val="center"/>
              <w:rPr>
                <w:rFonts w:cs="Calibri"/>
                <w:sz w:val="18"/>
                <w:szCs w:val="20"/>
              </w:rPr>
            </w:pPr>
            <w:r w:rsidRPr="00404DA5">
              <w:rPr>
                <w:rFonts w:cs="Calibri"/>
                <w:sz w:val="18"/>
                <w:szCs w:val="20"/>
              </w:rPr>
              <w:t>Wartość docelowa (2023) na poziomie PI</w:t>
            </w:r>
          </w:p>
        </w:tc>
        <w:tc>
          <w:tcPr>
            <w:tcW w:w="1540" w:type="dxa"/>
            <w:shd w:val="clear" w:color="auto" w:fill="DBE5F1"/>
            <w:hideMark/>
          </w:tcPr>
          <w:p w14:paraId="08E59409" w14:textId="77777777" w:rsidR="004A3DBC" w:rsidRPr="00404DA5" w:rsidRDefault="004A3DBC" w:rsidP="008B706B">
            <w:pPr>
              <w:jc w:val="center"/>
              <w:rPr>
                <w:rFonts w:cs="Calibri"/>
                <w:sz w:val="18"/>
                <w:szCs w:val="20"/>
              </w:rPr>
            </w:pPr>
            <w:r w:rsidRPr="00404DA5">
              <w:rPr>
                <w:rFonts w:cs="Calibri"/>
                <w:sz w:val="18"/>
                <w:szCs w:val="18"/>
              </w:rPr>
              <w:t>Realizacja wartości docelowej wskaźnika (wg UoD)</w:t>
            </w:r>
          </w:p>
        </w:tc>
        <w:tc>
          <w:tcPr>
            <w:tcW w:w="1632" w:type="dxa"/>
            <w:shd w:val="clear" w:color="auto" w:fill="DBE5F1"/>
            <w:hideMark/>
          </w:tcPr>
          <w:p w14:paraId="6A6CD3AA" w14:textId="77777777" w:rsidR="004A3DBC" w:rsidRPr="00404DA5" w:rsidRDefault="004A3DBC" w:rsidP="008B706B">
            <w:pPr>
              <w:jc w:val="center"/>
              <w:rPr>
                <w:rFonts w:cs="Calibri"/>
                <w:sz w:val="18"/>
                <w:szCs w:val="20"/>
              </w:rPr>
            </w:pPr>
            <w:r w:rsidRPr="00404DA5">
              <w:rPr>
                <w:rFonts w:cs="Calibri"/>
                <w:sz w:val="18"/>
                <w:szCs w:val="18"/>
              </w:rPr>
              <w:t>% realizacji wartości docelowej (wg UoD)</w:t>
            </w:r>
          </w:p>
        </w:tc>
        <w:tc>
          <w:tcPr>
            <w:tcW w:w="1253" w:type="dxa"/>
            <w:shd w:val="clear" w:color="auto" w:fill="DBE5F1"/>
            <w:hideMark/>
          </w:tcPr>
          <w:p w14:paraId="6C011C03" w14:textId="77777777" w:rsidR="004A3DBC" w:rsidRPr="00404DA5" w:rsidRDefault="004A3DBC" w:rsidP="008B706B">
            <w:pPr>
              <w:jc w:val="center"/>
              <w:rPr>
                <w:rFonts w:cs="Calibri"/>
                <w:sz w:val="18"/>
                <w:szCs w:val="20"/>
              </w:rPr>
            </w:pPr>
            <w:r w:rsidRPr="00404DA5">
              <w:rPr>
                <w:rFonts w:cs="Calibri"/>
                <w:sz w:val="18"/>
                <w:szCs w:val="18"/>
              </w:rPr>
              <w:t>Realizacja wartości docelowej wskaźnika (wg WoP)</w:t>
            </w:r>
          </w:p>
        </w:tc>
        <w:tc>
          <w:tcPr>
            <w:tcW w:w="1585" w:type="dxa"/>
            <w:shd w:val="clear" w:color="auto" w:fill="DBE5F1"/>
            <w:hideMark/>
          </w:tcPr>
          <w:p w14:paraId="019C9794" w14:textId="77777777" w:rsidR="004A3DBC" w:rsidRPr="00404DA5" w:rsidRDefault="004A3DBC" w:rsidP="008B706B">
            <w:pPr>
              <w:jc w:val="center"/>
              <w:rPr>
                <w:rFonts w:cs="Calibri"/>
                <w:sz w:val="18"/>
                <w:szCs w:val="20"/>
              </w:rPr>
            </w:pPr>
            <w:r w:rsidRPr="00404DA5">
              <w:rPr>
                <w:rFonts w:cs="Calibri"/>
                <w:sz w:val="18"/>
                <w:szCs w:val="18"/>
              </w:rPr>
              <w:t>% realizacji wartości docelowej (wg WoP)</w:t>
            </w:r>
          </w:p>
        </w:tc>
      </w:tr>
      <w:tr w:rsidR="004A3DBC" w14:paraId="35CBB6B8" w14:textId="77777777" w:rsidTr="00C22C26">
        <w:tc>
          <w:tcPr>
            <w:tcW w:w="9288" w:type="dxa"/>
            <w:gridSpan w:val="6"/>
            <w:shd w:val="clear" w:color="auto" w:fill="auto"/>
            <w:hideMark/>
          </w:tcPr>
          <w:p w14:paraId="2D086306" w14:textId="77777777" w:rsidR="004A3DBC" w:rsidRPr="00404DA5" w:rsidRDefault="004A3DBC" w:rsidP="009974B7">
            <w:pPr>
              <w:jc w:val="center"/>
              <w:rPr>
                <w:rFonts w:cs="Calibri"/>
                <w:sz w:val="18"/>
                <w:szCs w:val="20"/>
              </w:rPr>
            </w:pPr>
            <w:r w:rsidRPr="00404DA5">
              <w:rPr>
                <w:rFonts w:cs="Calibri"/>
                <w:sz w:val="18"/>
                <w:szCs w:val="20"/>
              </w:rPr>
              <w:t>Działanie 2.5 Modernizacja energetyczna obiektów użyteczności publicznej</w:t>
            </w:r>
          </w:p>
        </w:tc>
      </w:tr>
      <w:tr w:rsidR="004A3DBC" w14:paraId="44620820" w14:textId="77777777" w:rsidTr="00C22C26">
        <w:tc>
          <w:tcPr>
            <w:tcW w:w="1638" w:type="dxa"/>
            <w:hideMark/>
          </w:tcPr>
          <w:p w14:paraId="632D8D01" w14:textId="77777777" w:rsidR="004A3DBC" w:rsidRPr="00404DA5" w:rsidRDefault="004A3DBC" w:rsidP="009974B7">
            <w:pPr>
              <w:rPr>
                <w:rFonts w:cs="Calibri"/>
                <w:sz w:val="18"/>
                <w:szCs w:val="20"/>
              </w:rPr>
            </w:pPr>
            <w:r w:rsidRPr="00404DA5">
              <w:rPr>
                <w:rFonts w:cs="Calibri"/>
                <w:sz w:val="18"/>
                <w:szCs w:val="20"/>
              </w:rPr>
              <w:t>Liczba zmodernizowanych energetycznie budynków</w:t>
            </w:r>
          </w:p>
        </w:tc>
        <w:tc>
          <w:tcPr>
            <w:tcW w:w="1640" w:type="dxa"/>
            <w:vAlign w:val="center"/>
          </w:tcPr>
          <w:p w14:paraId="6587493C" w14:textId="77777777" w:rsidR="004A3DBC" w:rsidRPr="00404DA5" w:rsidRDefault="004A3DBC" w:rsidP="00C22C26">
            <w:pPr>
              <w:jc w:val="center"/>
              <w:rPr>
                <w:rFonts w:cs="Calibri"/>
                <w:sz w:val="18"/>
                <w:szCs w:val="20"/>
              </w:rPr>
            </w:pPr>
            <w:r w:rsidRPr="00404DA5">
              <w:rPr>
                <w:rFonts w:cs="Calibri"/>
                <w:sz w:val="18"/>
                <w:szCs w:val="20"/>
              </w:rPr>
              <w:t>119</w:t>
            </w:r>
          </w:p>
        </w:tc>
        <w:tc>
          <w:tcPr>
            <w:tcW w:w="1540" w:type="dxa"/>
            <w:vAlign w:val="center"/>
          </w:tcPr>
          <w:p w14:paraId="121175E4" w14:textId="77777777" w:rsidR="004A3DBC" w:rsidRPr="00404DA5" w:rsidRDefault="004A3DBC" w:rsidP="00C22C26">
            <w:pPr>
              <w:jc w:val="center"/>
              <w:rPr>
                <w:rFonts w:cs="Calibri"/>
                <w:sz w:val="18"/>
                <w:szCs w:val="20"/>
              </w:rPr>
            </w:pPr>
            <w:r w:rsidRPr="00404DA5">
              <w:rPr>
                <w:rFonts w:cs="Calibri"/>
                <w:sz w:val="18"/>
                <w:szCs w:val="20"/>
              </w:rPr>
              <w:t>69</w:t>
            </w:r>
          </w:p>
        </w:tc>
        <w:tc>
          <w:tcPr>
            <w:tcW w:w="1632" w:type="dxa"/>
            <w:vAlign w:val="center"/>
          </w:tcPr>
          <w:p w14:paraId="42E45F4E" w14:textId="77777777" w:rsidR="004A3DBC" w:rsidRPr="00404DA5" w:rsidRDefault="004A3DBC" w:rsidP="00C22C26">
            <w:pPr>
              <w:jc w:val="center"/>
              <w:rPr>
                <w:rFonts w:cs="Calibri"/>
                <w:sz w:val="18"/>
                <w:szCs w:val="20"/>
              </w:rPr>
            </w:pPr>
            <w:r w:rsidRPr="00404DA5">
              <w:rPr>
                <w:rFonts w:cs="Calibri"/>
                <w:sz w:val="18"/>
                <w:szCs w:val="20"/>
              </w:rPr>
              <w:t>58%</w:t>
            </w:r>
          </w:p>
        </w:tc>
        <w:tc>
          <w:tcPr>
            <w:tcW w:w="1253" w:type="dxa"/>
            <w:vAlign w:val="center"/>
          </w:tcPr>
          <w:p w14:paraId="4E290502" w14:textId="77777777" w:rsidR="004A3DBC" w:rsidRPr="00404DA5" w:rsidRDefault="004A3DBC" w:rsidP="00C22C26">
            <w:pPr>
              <w:jc w:val="center"/>
              <w:rPr>
                <w:rFonts w:cs="Calibri"/>
                <w:sz w:val="18"/>
                <w:szCs w:val="20"/>
              </w:rPr>
            </w:pPr>
            <w:r w:rsidRPr="00404DA5">
              <w:rPr>
                <w:rFonts w:cs="Calibri"/>
                <w:sz w:val="18"/>
                <w:szCs w:val="20"/>
              </w:rPr>
              <w:t>1</w:t>
            </w:r>
          </w:p>
        </w:tc>
        <w:tc>
          <w:tcPr>
            <w:tcW w:w="1585" w:type="dxa"/>
            <w:vAlign w:val="center"/>
          </w:tcPr>
          <w:p w14:paraId="16B1F71E" w14:textId="77777777" w:rsidR="004A3DBC" w:rsidRPr="00404DA5" w:rsidRDefault="004A3DBC" w:rsidP="00C22C26">
            <w:pPr>
              <w:jc w:val="center"/>
              <w:rPr>
                <w:rFonts w:cs="Calibri"/>
                <w:sz w:val="18"/>
                <w:szCs w:val="20"/>
              </w:rPr>
            </w:pPr>
            <w:r w:rsidRPr="00404DA5">
              <w:rPr>
                <w:rFonts w:cs="Calibri"/>
                <w:sz w:val="18"/>
                <w:szCs w:val="20"/>
              </w:rPr>
              <w:t>0,8%</w:t>
            </w:r>
          </w:p>
        </w:tc>
      </w:tr>
      <w:tr w:rsidR="004A3DBC" w14:paraId="54E6CE38" w14:textId="77777777" w:rsidTr="00C22C26">
        <w:tc>
          <w:tcPr>
            <w:tcW w:w="1638" w:type="dxa"/>
            <w:hideMark/>
          </w:tcPr>
          <w:p w14:paraId="7FDE7F60" w14:textId="77777777" w:rsidR="004A3DBC" w:rsidRPr="00404DA5" w:rsidRDefault="004A3DBC" w:rsidP="009974B7">
            <w:pPr>
              <w:rPr>
                <w:rFonts w:cs="Calibri"/>
                <w:sz w:val="18"/>
                <w:szCs w:val="20"/>
              </w:rPr>
            </w:pPr>
            <w:r w:rsidRPr="00404DA5">
              <w:rPr>
                <w:rFonts w:cs="Calibri"/>
                <w:sz w:val="18"/>
                <w:szCs w:val="20"/>
              </w:rPr>
              <w:t>Szacowany roczny spadek emisji gazów cieplarnianych</w:t>
            </w:r>
          </w:p>
        </w:tc>
        <w:tc>
          <w:tcPr>
            <w:tcW w:w="1640" w:type="dxa"/>
            <w:vAlign w:val="center"/>
          </w:tcPr>
          <w:p w14:paraId="15C97838" w14:textId="77777777" w:rsidR="004A3DBC" w:rsidRPr="00404DA5" w:rsidRDefault="004A3DBC" w:rsidP="00C22C26">
            <w:pPr>
              <w:jc w:val="center"/>
              <w:rPr>
                <w:rFonts w:cs="Calibri"/>
                <w:sz w:val="18"/>
                <w:szCs w:val="20"/>
              </w:rPr>
            </w:pPr>
            <w:r w:rsidRPr="00404DA5">
              <w:rPr>
                <w:rFonts w:cs="Calibri"/>
                <w:sz w:val="18"/>
                <w:szCs w:val="20"/>
              </w:rPr>
              <w:t>23 615</w:t>
            </w:r>
          </w:p>
        </w:tc>
        <w:tc>
          <w:tcPr>
            <w:tcW w:w="1540" w:type="dxa"/>
            <w:vAlign w:val="center"/>
          </w:tcPr>
          <w:p w14:paraId="6D15B703" w14:textId="77777777" w:rsidR="004A3DBC" w:rsidRPr="00404DA5" w:rsidRDefault="004A3DBC" w:rsidP="00C22C26">
            <w:pPr>
              <w:jc w:val="center"/>
              <w:rPr>
                <w:rFonts w:cs="Calibri"/>
                <w:sz w:val="18"/>
                <w:szCs w:val="20"/>
              </w:rPr>
            </w:pPr>
            <w:r w:rsidRPr="00404DA5">
              <w:rPr>
                <w:rFonts w:cs="Calibri"/>
                <w:sz w:val="18"/>
                <w:szCs w:val="20"/>
              </w:rPr>
              <w:t>9 804</w:t>
            </w:r>
          </w:p>
        </w:tc>
        <w:tc>
          <w:tcPr>
            <w:tcW w:w="1632" w:type="dxa"/>
            <w:vAlign w:val="center"/>
          </w:tcPr>
          <w:p w14:paraId="751AD08B" w14:textId="77777777" w:rsidR="004A3DBC" w:rsidRPr="00404DA5" w:rsidRDefault="004A3DBC" w:rsidP="00C22C26">
            <w:pPr>
              <w:jc w:val="center"/>
              <w:rPr>
                <w:rFonts w:cs="Calibri"/>
                <w:sz w:val="18"/>
                <w:szCs w:val="20"/>
              </w:rPr>
            </w:pPr>
            <w:r w:rsidRPr="00404DA5">
              <w:rPr>
                <w:rFonts w:cs="Calibri"/>
                <w:sz w:val="18"/>
                <w:szCs w:val="20"/>
              </w:rPr>
              <w:t>41,5%</w:t>
            </w:r>
          </w:p>
        </w:tc>
        <w:tc>
          <w:tcPr>
            <w:tcW w:w="1253" w:type="dxa"/>
            <w:vAlign w:val="center"/>
          </w:tcPr>
          <w:p w14:paraId="20BF586A"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67AF8DFB"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23DBAFEA" w14:textId="77777777" w:rsidTr="00C22C26">
        <w:tc>
          <w:tcPr>
            <w:tcW w:w="1638" w:type="dxa"/>
          </w:tcPr>
          <w:p w14:paraId="358213BC" w14:textId="77777777" w:rsidR="004A3DBC" w:rsidRPr="00404DA5" w:rsidRDefault="004A3DBC" w:rsidP="009974B7">
            <w:pPr>
              <w:rPr>
                <w:rFonts w:cs="Calibri"/>
                <w:sz w:val="18"/>
                <w:szCs w:val="20"/>
              </w:rPr>
            </w:pPr>
            <w:r w:rsidRPr="00404DA5">
              <w:rPr>
                <w:rFonts w:cs="Calibri"/>
                <w:sz w:val="18"/>
                <w:szCs w:val="20"/>
              </w:rPr>
              <w:t>Zmniejszenie rocznego zużycia energii pierwotnej</w:t>
            </w:r>
            <w:r w:rsidR="00E66B89">
              <w:rPr>
                <w:rFonts w:cs="Calibri"/>
                <w:sz w:val="18"/>
                <w:szCs w:val="20"/>
              </w:rPr>
              <w:t xml:space="preserve"> w </w:t>
            </w:r>
            <w:r w:rsidRPr="00404DA5">
              <w:rPr>
                <w:rFonts w:cs="Calibri"/>
                <w:sz w:val="18"/>
                <w:szCs w:val="20"/>
              </w:rPr>
              <w:t>budynkach publicznych</w:t>
            </w:r>
          </w:p>
        </w:tc>
        <w:tc>
          <w:tcPr>
            <w:tcW w:w="1640" w:type="dxa"/>
            <w:vAlign w:val="center"/>
          </w:tcPr>
          <w:p w14:paraId="5A3BE185" w14:textId="77777777" w:rsidR="004A3DBC" w:rsidRPr="00404DA5" w:rsidRDefault="004A3DBC" w:rsidP="00C22C26">
            <w:pPr>
              <w:jc w:val="center"/>
              <w:rPr>
                <w:rFonts w:cs="Calibri"/>
                <w:sz w:val="18"/>
                <w:szCs w:val="20"/>
              </w:rPr>
            </w:pPr>
            <w:r w:rsidRPr="00404DA5">
              <w:rPr>
                <w:rFonts w:cs="Calibri"/>
                <w:sz w:val="18"/>
                <w:szCs w:val="20"/>
              </w:rPr>
              <w:t>40 382 230</w:t>
            </w:r>
          </w:p>
        </w:tc>
        <w:tc>
          <w:tcPr>
            <w:tcW w:w="1540" w:type="dxa"/>
            <w:vAlign w:val="center"/>
          </w:tcPr>
          <w:p w14:paraId="46479D6F" w14:textId="77777777" w:rsidR="004A3DBC" w:rsidRPr="00404DA5" w:rsidRDefault="004A3DBC" w:rsidP="00C22C26">
            <w:pPr>
              <w:jc w:val="center"/>
              <w:rPr>
                <w:rFonts w:cs="Calibri"/>
                <w:sz w:val="18"/>
                <w:szCs w:val="20"/>
              </w:rPr>
            </w:pPr>
            <w:r w:rsidRPr="00404DA5">
              <w:rPr>
                <w:rFonts w:cs="Calibri"/>
                <w:sz w:val="18"/>
                <w:szCs w:val="20"/>
              </w:rPr>
              <w:t>31 926 977,31</w:t>
            </w:r>
          </w:p>
        </w:tc>
        <w:tc>
          <w:tcPr>
            <w:tcW w:w="1632" w:type="dxa"/>
            <w:vAlign w:val="center"/>
          </w:tcPr>
          <w:p w14:paraId="446F774D" w14:textId="77777777" w:rsidR="004A3DBC" w:rsidRPr="00404DA5" w:rsidRDefault="004A3DBC" w:rsidP="00C22C26">
            <w:pPr>
              <w:jc w:val="center"/>
              <w:rPr>
                <w:rFonts w:cs="Calibri"/>
                <w:sz w:val="18"/>
                <w:szCs w:val="20"/>
              </w:rPr>
            </w:pPr>
            <w:r w:rsidRPr="00404DA5">
              <w:rPr>
                <w:rFonts w:cs="Calibri"/>
                <w:sz w:val="18"/>
                <w:szCs w:val="20"/>
              </w:rPr>
              <w:t>79,1%</w:t>
            </w:r>
          </w:p>
        </w:tc>
        <w:tc>
          <w:tcPr>
            <w:tcW w:w="1253" w:type="dxa"/>
            <w:vAlign w:val="center"/>
          </w:tcPr>
          <w:p w14:paraId="0340A5DC"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62279713"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7C7D337D" w14:textId="77777777" w:rsidTr="00C22C26">
        <w:tc>
          <w:tcPr>
            <w:tcW w:w="9288" w:type="dxa"/>
            <w:gridSpan w:val="6"/>
            <w:shd w:val="clear" w:color="auto" w:fill="auto"/>
            <w:hideMark/>
          </w:tcPr>
          <w:p w14:paraId="3DF85FBA" w14:textId="77777777" w:rsidR="004A3DBC" w:rsidRPr="00404DA5" w:rsidRDefault="004A3DBC" w:rsidP="009974B7">
            <w:pPr>
              <w:jc w:val="center"/>
              <w:rPr>
                <w:rFonts w:cs="Calibri"/>
                <w:sz w:val="18"/>
                <w:szCs w:val="20"/>
              </w:rPr>
            </w:pPr>
            <w:r w:rsidRPr="00404DA5">
              <w:rPr>
                <w:rFonts w:cs="Calibri"/>
                <w:sz w:val="18"/>
                <w:szCs w:val="20"/>
              </w:rPr>
              <w:t>Działanie 2.6 Modernizacja energetyczna obiektów użyteczności publicznej</w:t>
            </w:r>
            <w:r w:rsidR="00E66B89">
              <w:rPr>
                <w:rFonts w:cs="Calibri"/>
                <w:sz w:val="18"/>
                <w:szCs w:val="20"/>
              </w:rPr>
              <w:t xml:space="preserve"> w </w:t>
            </w:r>
            <w:r w:rsidRPr="00404DA5">
              <w:rPr>
                <w:rFonts w:cs="Calibri"/>
                <w:sz w:val="18"/>
                <w:szCs w:val="20"/>
              </w:rPr>
              <w:t>ramach Strategii ZIT dla Szczecińskiego Obszaru Metropolitalnego</w:t>
            </w:r>
          </w:p>
        </w:tc>
      </w:tr>
      <w:tr w:rsidR="004A3DBC" w14:paraId="1F776A14" w14:textId="77777777" w:rsidTr="00C22C26">
        <w:tc>
          <w:tcPr>
            <w:tcW w:w="1638" w:type="dxa"/>
            <w:hideMark/>
          </w:tcPr>
          <w:p w14:paraId="6A2D4934" w14:textId="77777777" w:rsidR="004A3DBC" w:rsidRPr="00404DA5" w:rsidRDefault="004A3DBC" w:rsidP="009974B7">
            <w:pPr>
              <w:rPr>
                <w:rFonts w:cs="Calibri"/>
                <w:sz w:val="18"/>
                <w:szCs w:val="20"/>
              </w:rPr>
            </w:pPr>
            <w:r w:rsidRPr="00404DA5">
              <w:rPr>
                <w:rFonts w:cs="Calibri"/>
                <w:sz w:val="18"/>
                <w:szCs w:val="20"/>
              </w:rPr>
              <w:t>Liczba zmodernizowanych energetycznie budynków</w:t>
            </w:r>
          </w:p>
        </w:tc>
        <w:tc>
          <w:tcPr>
            <w:tcW w:w="1640" w:type="dxa"/>
            <w:vAlign w:val="center"/>
          </w:tcPr>
          <w:p w14:paraId="665E4766" w14:textId="77777777" w:rsidR="004A3DBC" w:rsidRPr="00404DA5" w:rsidRDefault="004A3DBC" w:rsidP="00C22C26">
            <w:pPr>
              <w:jc w:val="center"/>
              <w:rPr>
                <w:rFonts w:cs="Calibri"/>
                <w:sz w:val="18"/>
                <w:szCs w:val="20"/>
              </w:rPr>
            </w:pPr>
            <w:r w:rsidRPr="00404DA5">
              <w:rPr>
                <w:rFonts w:cs="Calibri"/>
                <w:sz w:val="18"/>
                <w:szCs w:val="20"/>
              </w:rPr>
              <w:t>119</w:t>
            </w:r>
          </w:p>
        </w:tc>
        <w:tc>
          <w:tcPr>
            <w:tcW w:w="1540" w:type="dxa"/>
            <w:vAlign w:val="center"/>
          </w:tcPr>
          <w:p w14:paraId="49E60964" w14:textId="77777777" w:rsidR="004A3DBC" w:rsidRPr="00404DA5" w:rsidRDefault="004A3DBC" w:rsidP="00C22C26">
            <w:pPr>
              <w:jc w:val="center"/>
              <w:rPr>
                <w:rFonts w:cs="Calibri"/>
                <w:sz w:val="18"/>
                <w:szCs w:val="20"/>
              </w:rPr>
            </w:pPr>
            <w:r w:rsidRPr="00404DA5">
              <w:rPr>
                <w:rFonts w:cs="Calibri"/>
                <w:sz w:val="18"/>
                <w:szCs w:val="20"/>
              </w:rPr>
              <w:t>18</w:t>
            </w:r>
          </w:p>
        </w:tc>
        <w:tc>
          <w:tcPr>
            <w:tcW w:w="1632" w:type="dxa"/>
            <w:vAlign w:val="center"/>
          </w:tcPr>
          <w:p w14:paraId="19032C67" w14:textId="77777777" w:rsidR="004A3DBC" w:rsidRPr="00404DA5" w:rsidRDefault="004A3DBC" w:rsidP="00C22C26">
            <w:pPr>
              <w:jc w:val="center"/>
              <w:rPr>
                <w:rFonts w:cs="Calibri"/>
                <w:sz w:val="18"/>
                <w:szCs w:val="20"/>
              </w:rPr>
            </w:pPr>
            <w:r w:rsidRPr="00404DA5">
              <w:rPr>
                <w:rFonts w:cs="Calibri"/>
                <w:sz w:val="18"/>
                <w:szCs w:val="20"/>
              </w:rPr>
              <w:t>15,1%</w:t>
            </w:r>
          </w:p>
        </w:tc>
        <w:tc>
          <w:tcPr>
            <w:tcW w:w="1253" w:type="dxa"/>
            <w:vAlign w:val="center"/>
          </w:tcPr>
          <w:p w14:paraId="29CB348D" w14:textId="77777777" w:rsidR="004A3DBC" w:rsidRPr="00404DA5" w:rsidRDefault="004A3DBC" w:rsidP="00C22C26">
            <w:pPr>
              <w:jc w:val="center"/>
              <w:rPr>
                <w:rFonts w:cs="Calibri"/>
                <w:sz w:val="18"/>
                <w:szCs w:val="20"/>
              </w:rPr>
            </w:pPr>
            <w:r w:rsidRPr="00404DA5">
              <w:rPr>
                <w:rFonts w:cs="Calibri"/>
                <w:sz w:val="18"/>
                <w:szCs w:val="20"/>
              </w:rPr>
              <w:t>4</w:t>
            </w:r>
          </w:p>
        </w:tc>
        <w:tc>
          <w:tcPr>
            <w:tcW w:w="1585" w:type="dxa"/>
            <w:vAlign w:val="center"/>
          </w:tcPr>
          <w:p w14:paraId="73ABC37C" w14:textId="77777777" w:rsidR="004A3DBC" w:rsidRPr="00404DA5" w:rsidRDefault="004A3DBC" w:rsidP="00C22C26">
            <w:pPr>
              <w:jc w:val="center"/>
              <w:rPr>
                <w:rFonts w:cs="Calibri"/>
                <w:sz w:val="18"/>
                <w:szCs w:val="20"/>
              </w:rPr>
            </w:pPr>
            <w:r w:rsidRPr="00404DA5">
              <w:rPr>
                <w:rFonts w:cs="Calibri"/>
                <w:sz w:val="18"/>
                <w:szCs w:val="20"/>
              </w:rPr>
              <w:t>3,4%</w:t>
            </w:r>
          </w:p>
        </w:tc>
      </w:tr>
      <w:tr w:rsidR="004A3DBC" w14:paraId="1E86B832" w14:textId="77777777" w:rsidTr="00C22C26">
        <w:tc>
          <w:tcPr>
            <w:tcW w:w="1638" w:type="dxa"/>
          </w:tcPr>
          <w:p w14:paraId="432D48D3" w14:textId="77777777" w:rsidR="004A3DBC" w:rsidRPr="00404DA5" w:rsidRDefault="004A3DBC" w:rsidP="009974B7">
            <w:pPr>
              <w:rPr>
                <w:rFonts w:cs="Calibri"/>
                <w:sz w:val="18"/>
                <w:szCs w:val="20"/>
              </w:rPr>
            </w:pPr>
            <w:r w:rsidRPr="00404DA5">
              <w:rPr>
                <w:rFonts w:cs="Calibri"/>
                <w:sz w:val="18"/>
                <w:szCs w:val="20"/>
              </w:rPr>
              <w:t>Szacowany roczny spadek emisji gazów cieplarnianych</w:t>
            </w:r>
          </w:p>
        </w:tc>
        <w:tc>
          <w:tcPr>
            <w:tcW w:w="1640" w:type="dxa"/>
            <w:vAlign w:val="center"/>
          </w:tcPr>
          <w:p w14:paraId="3B4F8C09" w14:textId="77777777" w:rsidR="004A3DBC" w:rsidRPr="00404DA5" w:rsidRDefault="004A3DBC" w:rsidP="00C22C26">
            <w:pPr>
              <w:jc w:val="center"/>
              <w:rPr>
                <w:rFonts w:cs="Calibri"/>
                <w:sz w:val="18"/>
                <w:szCs w:val="20"/>
              </w:rPr>
            </w:pPr>
            <w:r w:rsidRPr="00404DA5">
              <w:rPr>
                <w:rFonts w:cs="Calibri"/>
                <w:sz w:val="18"/>
                <w:szCs w:val="20"/>
              </w:rPr>
              <w:t>23 615</w:t>
            </w:r>
          </w:p>
        </w:tc>
        <w:tc>
          <w:tcPr>
            <w:tcW w:w="1540" w:type="dxa"/>
            <w:vAlign w:val="center"/>
          </w:tcPr>
          <w:p w14:paraId="75BC16C0" w14:textId="77777777" w:rsidR="004A3DBC" w:rsidRPr="00404DA5" w:rsidRDefault="004A3DBC" w:rsidP="00C22C26">
            <w:pPr>
              <w:jc w:val="center"/>
              <w:rPr>
                <w:rFonts w:cs="Calibri"/>
                <w:sz w:val="18"/>
                <w:szCs w:val="20"/>
              </w:rPr>
            </w:pPr>
            <w:r w:rsidRPr="00404DA5">
              <w:rPr>
                <w:rFonts w:cs="Calibri"/>
                <w:sz w:val="18"/>
                <w:szCs w:val="20"/>
              </w:rPr>
              <w:t>4 919</w:t>
            </w:r>
          </w:p>
        </w:tc>
        <w:tc>
          <w:tcPr>
            <w:tcW w:w="1632" w:type="dxa"/>
            <w:vAlign w:val="center"/>
          </w:tcPr>
          <w:p w14:paraId="4BC1A9A7" w14:textId="77777777" w:rsidR="004A3DBC" w:rsidRPr="00404DA5" w:rsidRDefault="004A3DBC" w:rsidP="00C22C26">
            <w:pPr>
              <w:jc w:val="center"/>
              <w:rPr>
                <w:rFonts w:cs="Calibri"/>
                <w:sz w:val="18"/>
                <w:szCs w:val="20"/>
              </w:rPr>
            </w:pPr>
            <w:r w:rsidRPr="00404DA5">
              <w:rPr>
                <w:rFonts w:cs="Calibri"/>
                <w:sz w:val="18"/>
                <w:szCs w:val="20"/>
              </w:rPr>
              <w:t>20,8%</w:t>
            </w:r>
          </w:p>
        </w:tc>
        <w:tc>
          <w:tcPr>
            <w:tcW w:w="1253" w:type="dxa"/>
            <w:vAlign w:val="center"/>
          </w:tcPr>
          <w:p w14:paraId="5F9646B4"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23235BD5"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4FDF8685" w14:textId="77777777" w:rsidTr="00C22C26">
        <w:tc>
          <w:tcPr>
            <w:tcW w:w="1638" w:type="dxa"/>
          </w:tcPr>
          <w:p w14:paraId="31552A62" w14:textId="77777777" w:rsidR="004A3DBC" w:rsidRPr="00404DA5" w:rsidRDefault="004A3DBC" w:rsidP="009974B7">
            <w:pPr>
              <w:rPr>
                <w:rFonts w:cs="Calibri"/>
                <w:sz w:val="18"/>
                <w:szCs w:val="20"/>
              </w:rPr>
            </w:pPr>
            <w:r w:rsidRPr="00404DA5">
              <w:rPr>
                <w:rFonts w:cs="Calibri"/>
                <w:sz w:val="18"/>
                <w:szCs w:val="20"/>
              </w:rPr>
              <w:t>Zmniejszenie rocznego zużycia energii pierwotnej</w:t>
            </w:r>
            <w:r w:rsidR="00E66B89">
              <w:rPr>
                <w:rFonts w:cs="Calibri"/>
                <w:sz w:val="18"/>
                <w:szCs w:val="20"/>
              </w:rPr>
              <w:t xml:space="preserve"> w </w:t>
            </w:r>
            <w:r w:rsidRPr="00404DA5">
              <w:rPr>
                <w:rFonts w:cs="Calibri"/>
                <w:sz w:val="18"/>
                <w:szCs w:val="20"/>
              </w:rPr>
              <w:t>budynkach publicznych</w:t>
            </w:r>
          </w:p>
        </w:tc>
        <w:tc>
          <w:tcPr>
            <w:tcW w:w="1640" w:type="dxa"/>
            <w:vAlign w:val="center"/>
          </w:tcPr>
          <w:p w14:paraId="2B47D1BC" w14:textId="77777777" w:rsidR="004A3DBC" w:rsidRPr="00404DA5" w:rsidRDefault="004A3DBC" w:rsidP="00C22C26">
            <w:pPr>
              <w:jc w:val="center"/>
              <w:rPr>
                <w:rFonts w:cs="Calibri"/>
                <w:sz w:val="18"/>
                <w:szCs w:val="20"/>
              </w:rPr>
            </w:pPr>
            <w:r w:rsidRPr="00404DA5">
              <w:rPr>
                <w:rFonts w:cs="Calibri"/>
                <w:sz w:val="18"/>
                <w:szCs w:val="20"/>
              </w:rPr>
              <w:t>40 382 230</w:t>
            </w:r>
          </w:p>
        </w:tc>
        <w:tc>
          <w:tcPr>
            <w:tcW w:w="1540" w:type="dxa"/>
            <w:vAlign w:val="center"/>
          </w:tcPr>
          <w:p w14:paraId="7D45F4DB" w14:textId="77777777" w:rsidR="004A3DBC" w:rsidRPr="00404DA5" w:rsidRDefault="004A3DBC" w:rsidP="00C22C26">
            <w:pPr>
              <w:jc w:val="center"/>
              <w:rPr>
                <w:rFonts w:cs="Calibri"/>
                <w:sz w:val="18"/>
                <w:szCs w:val="20"/>
              </w:rPr>
            </w:pPr>
            <w:r w:rsidRPr="00404DA5">
              <w:rPr>
                <w:rFonts w:cs="Calibri"/>
                <w:sz w:val="18"/>
                <w:szCs w:val="20"/>
              </w:rPr>
              <w:t>14 590 770,48</w:t>
            </w:r>
          </w:p>
        </w:tc>
        <w:tc>
          <w:tcPr>
            <w:tcW w:w="1632" w:type="dxa"/>
            <w:vAlign w:val="center"/>
          </w:tcPr>
          <w:p w14:paraId="7FCF7469" w14:textId="77777777" w:rsidR="004A3DBC" w:rsidRPr="00404DA5" w:rsidRDefault="004A3DBC" w:rsidP="00C22C26">
            <w:pPr>
              <w:jc w:val="center"/>
              <w:rPr>
                <w:rFonts w:cs="Calibri"/>
                <w:sz w:val="18"/>
                <w:szCs w:val="20"/>
              </w:rPr>
            </w:pPr>
            <w:r w:rsidRPr="00404DA5">
              <w:rPr>
                <w:rFonts w:cs="Calibri"/>
                <w:sz w:val="18"/>
                <w:szCs w:val="20"/>
              </w:rPr>
              <w:t>36,1%</w:t>
            </w:r>
          </w:p>
        </w:tc>
        <w:tc>
          <w:tcPr>
            <w:tcW w:w="1253" w:type="dxa"/>
            <w:vAlign w:val="center"/>
          </w:tcPr>
          <w:p w14:paraId="54B1CDEA"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443567E5"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0B2DA1CB" w14:textId="77777777" w:rsidTr="00C22C26">
        <w:tc>
          <w:tcPr>
            <w:tcW w:w="9288" w:type="dxa"/>
            <w:gridSpan w:val="6"/>
            <w:shd w:val="clear" w:color="auto" w:fill="auto"/>
            <w:hideMark/>
          </w:tcPr>
          <w:p w14:paraId="4D387D59" w14:textId="77777777" w:rsidR="004A3DBC" w:rsidRPr="00404DA5" w:rsidRDefault="004A3DBC" w:rsidP="009974B7">
            <w:pPr>
              <w:jc w:val="center"/>
              <w:rPr>
                <w:rFonts w:cs="Calibri"/>
                <w:sz w:val="18"/>
                <w:szCs w:val="20"/>
              </w:rPr>
            </w:pPr>
            <w:r w:rsidRPr="00404DA5">
              <w:rPr>
                <w:rFonts w:cs="Calibri"/>
                <w:sz w:val="18"/>
                <w:szCs w:val="20"/>
              </w:rPr>
              <w:t>Działanie 2.7 Modernizacja energetyczna wielorodzinnych budynków mieszkaniowych</w:t>
            </w:r>
          </w:p>
        </w:tc>
      </w:tr>
      <w:tr w:rsidR="004A3DBC" w14:paraId="22929A24" w14:textId="77777777" w:rsidTr="00C22C26">
        <w:tc>
          <w:tcPr>
            <w:tcW w:w="1638" w:type="dxa"/>
            <w:hideMark/>
          </w:tcPr>
          <w:p w14:paraId="70A48FC8" w14:textId="77777777" w:rsidR="004A3DBC" w:rsidRPr="00404DA5" w:rsidRDefault="004A3DBC" w:rsidP="009974B7">
            <w:pPr>
              <w:rPr>
                <w:rFonts w:cs="Calibri"/>
                <w:sz w:val="18"/>
                <w:szCs w:val="20"/>
              </w:rPr>
            </w:pPr>
            <w:r w:rsidRPr="00404DA5">
              <w:rPr>
                <w:rFonts w:cs="Calibri"/>
                <w:sz w:val="18"/>
                <w:szCs w:val="20"/>
              </w:rPr>
              <w:lastRenderedPageBreak/>
              <w:t>Liczba zmodernizowanych energetycznie budynków</w:t>
            </w:r>
          </w:p>
        </w:tc>
        <w:tc>
          <w:tcPr>
            <w:tcW w:w="1640" w:type="dxa"/>
            <w:vAlign w:val="center"/>
          </w:tcPr>
          <w:p w14:paraId="742CDDD8" w14:textId="77777777" w:rsidR="004A3DBC" w:rsidRPr="00404DA5" w:rsidRDefault="004A3DBC" w:rsidP="00C22C26">
            <w:pPr>
              <w:jc w:val="center"/>
              <w:rPr>
                <w:rFonts w:cs="Calibri"/>
                <w:sz w:val="18"/>
                <w:szCs w:val="20"/>
              </w:rPr>
            </w:pPr>
            <w:r w:rsidRPr="00404DA5">
              <w:rPr>
                <w:rFonts w:cs="Calibri"/>
                <w:sz w:val="18"/>
                <w:szCs w:val="20"/>
              </w:rPr>
              <w:t>119</w:t>
            </w:r>
          </w:p>
        </w:tc>
        <w:tc>
          <w:tcPr>
            <w:tcW w:w="1540" w:type="dxa"/>
            <w:vAlign w:val="center"/>
          </w:tcPr>
          <w:p w14:paraId="7847A0C6" w14:textId="77777777" w:rsidR="004A3DBC" w:rsidRPr="00404DA5" w:rsidRDefault="004A3DBC" w:rsidP="00C22C26">
            <w:pPr>
              <w:jc w:val="center"/>
              <w:rPr>
                <w:rFonts w:cs="Calibri"/>
                <w:sz w:val="18"/>
                <w:szCs w:val="20"/>
              </w:rPr>
            </w:pPr>
            <w:r w:rsidRPr="00404DA5">
              <w:rPr>
                <w:rFonts w:cs="Calibri"/>
                <w:sz w:val="18"/>
                <w:szCs w:val="20"/>
              </w:rPr>
              <w:t>72</w:t>
            </w:r>
          </w:p>
        </w:tc>
        <w:tc>
          <w:tcPr>
            <w:tcW w:w="1632" w:type="dxa"/>
            <w:vAlign w:val="center"/>
          </w:tcPr>
          <w:p w14:paraId="6EEFCF20" w14:textId="77777777" w:rsidR="004A3DBC" w:rsidRPr="00404DA5" w:rsidRDefault="004A3DBC" w:rsidP="00C22C26">
            <w:pPr>
              <w:jc w:val="center"/>
              <w:rPr>
                <w:rFonts w:cs="Calibri"/>
                <w:sz w:val="18"/>
                <w:szCs w:val="20"/>
              </w:rPr>
            </w:pPr>
            <w:r w:rsidRPr="00404DA5">
              <w:rPr>
                <w:rFonts w:cs="Calibri"/>
                <w:sz w:val="18"/>
                <w:szCs w:val="20"/>
              </w:rPr>
              <w:t>60,5%</w:t>
            </w:r>
          </w:p>
        </w:tc>
        <w:tc>
          <w:tcPr>
            <w:tcW w:w="1253" w:type="dxa"/>
            <w:vAlign w:val="center"/>
          </w:tcPr>
          <w:p w14:paraId="00EA00EE" w14:textId="77777777" w:rsidR="004A3DBC" w:rsidRPr="00404DA5" w:rsidRDefault="004A3DBC" w:rsidP="00C22C26">
            <w:pPr>
              <w:jc w:val="center"/>
              <w:rPr>
                <w:rFonts w:cs="Calibri"/>
                <w:sz w:val="18"/>
                <w:szCs w:val="20"/>
              </w:rPr>
            </w:pPr>
            <w:r w:rsidRPr="00404DA5">
              <w:rPr>
                <w:rFonts w:cs="Calibri"/>
                <w:sz w:val="18"/>
                <w:szCs w:val="20"/>
              </w:rPr>
              <w:t>11</w:t>
            </w:r>
          </w:p>
        </w:tc>
        <w:tc>
          <w:tcPr>
            <w:tcW w:w="1585" w:type="dxa"/>
            <w:vAlign w:val="center"/>
          </w:tcPr>
          <w:p w14:paraId="2C325925" w14:textId="77777777" w:rsidR="004A3DBC" w:rsidRPr="00404DA5" w:rsidRDefault="004A3DBC" w:rsidP="00C22C26">
            <w:pPr>
              <w:jc w:val="center"/>
              <w:rPr>
                <w:rFonts w:cs="Calibri"/>
                <w:sz w:val="18"/>
                <w:szCs w:val="20"/>
              </w:rPr>
            </w:pPr>
            <w:r w:rsidRPr="00404DA5">
              <w:rPr>
                <w:rFonts w:cs="Calibri"/>
                <w:sz w:val="18"/>
                <w:szCs w:val="20"/>
              </w:rPr>
              <w:t>9,2%</w:t>
            </w:r>
          </w:p>
        </w:tc>
      </w:tr>
      <w:tr w:rsidR="004A3DBC" w14:paraId="2A7288B2" w14:textId="77777777" w:rsidTr="00C22C26">
        <w:tc>
          <w:tcPr>
            <w:tcW w:w="1638" w:type="dxa"/>
          </w:tcPr>
          <w:p w14:paraId="6D3010CF" w14:textId="77777777" w:rsidR="004A3DBC" w:rsidRPr="00404DA5" w:rsidRDefault="004A3DBC" w:rsidP="009974B7">
            <w:pPr>
              <w:rPr>
                <w:rFonts w:cs="Calibri"/>
                <w:sz w:val="18"/>
                <w:szCs w:val="20"/>
              </w:rPr>
            </w:pPr>
            <w:r w:rsidRPr="00404DA5">
              <w:rPr>
                <w:rFonts w:cs="Calibri"/>
                <w:sz w:val="18"/>
                <w:szCs w:val="20"/>
              </w:rPr>
              <w:t>Szacowany roczny spadek emisji gazów cieplarnianych</w:t>
            </w:r>
          </w:p>
        </w:tc>
        <w:tc>
          <w:tcPr>
            <w:tcW w:w="1640" w:type="dxa"/>
            <w:vAlign w:val="center"/>
          </w:tcPr>
          <w:p w14:paraId="6801C075" w14:textId="77777777" w:rsidR="004A3DBC" w:rsidRPr="00404DA5" w:rsidRDefault="004A3DBC" w:rsidP="00C22C26">
            <w:pPr>
              <w:jc w:val="center"/>
              <w:rPr>
                <w:rFonts w:cs="Calibri"/>
                <w:sz w:val="18"/>
                <w:szCs w:val="20"/>
              </w:rPr>
            </w:pPr>
            <w:r w:rsidRPr="00404DA5">
              <w:rPr>
                <w:rFonts w:cs="Calibri"/>
                <w:sz w:val="18"/>
                <w:szCs w:val="20"/>
              </w:rPr>
              <w:t>23 615</w:t>
            </w:r>
          </w:p>
        </w:tc>
        <w:tc>
          <w:tcPr>
            <w:tcW w:w="1540" w:type="dxa"/>
            <w:vAlign w:val="center"/>
          </w:tcPr>
          <w:p w14:paraId="26413647" w14:textId="77777777" w:rsidR="004A3DBC" w:rsidRPr="00404DA5" w:rsidRDefault="004A3DBC" w:rsidP="00C22C26">
            <w:pPr>
              <w:jc w:val="center"/>
              <w:rPr>
                <w:rFonts w:cs="Calibri"/>
                <w:sz w:val="18"/>
                <w:szCs w:val="20"/>
              </w:rPr>
            </w:pPr>
            <w:r w:rsidRPr="00404DA5">
              <w:rPr>
                <w:rFonts w:cs="Calibri"/>
                <w:sz w:val="18"/>
                <w:szCs w:val="20"/>
              </w:rPr>
              <w:t>2 574</w:t>
            </w:r>
          </w:p>
        </w:tc>
        <w:tc>
          <w:tcPr>
            <w:tcW w:w="1632" w:type="dxa"/>
            <w:vAlign w:val="center"/>
          </w:tcPr>
          <w:p w14:paraId="2ECBF93E" w14:textId="77777777" w:rsidR="004A3DBC" w:rsidRPr="00404DA5" w:rsidRDefault="004A3DBC" w:rsidP="00C22C26">
            <w:pPr>
              <w:jc w:val="center"/>
              <w:rPr>
                <w:rFonts w:cs="Calibri"/>
                <w:sz w:val="18"/>
                <w:szCs w:val="20"/>
              </w:rPr>
            </w:pPr>
            <w:r w:rsidRPr="00404DA5">
              <w:rPr>
                <w:rFonts w:cs="Calibri"/>
                <w:sz w:val="18"/>
                <w:szCs w:val="20"/>
              </w:rPr>
              <w:t>10,9%</w:t>
            </w:r>
          </w:p>
        </w:tc>
        <w:tc>
          <w:tcPr>
            <w:tcW w:w="1253" w:type="dxa"/>
            <w:vAlign w:val="center"/>
          </w:tcPr>
          <w:p w14:paraId="622582E2"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541AFD41"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39B4D077" w14:textId="77777777" w:rsidTr="00C22C26">
        <w:tc>
          <w:tcPr>
            <w:tcW w:w="1638" w:type="dxa"/>
          </w:tcPr>
          <w:p w14:paraId="06F2E597" w14:textId="77777777" w:rsidR="004A3DBC" w:rsidRPr="00404DA5" w:rsidRDefault="004A3DBC" w:rsidP="009974B7">
            <w:pPr>
              <w:rPr>
                <w:rFonts w:ascii="Calibri" w:hAnsi="Calibri" w:cs="Calibri"/>
                <w:color w:val="000000"/>
                <w:sz w:val="18"/>
                <w:szCs w:val="18"/>
              </w:rPr>
            </w:pPr>
            <w:r w:rsidRPr="00404DA5">
              <w:rPr>
                <w:rFonts w:ascii="Calibri" w:hAnsi="Calibri" w:cs="Calibri"/>
                <w:color w:val="000000"/>
                <w:sz w:val="18"/>
                <w:szCs w:val="18"/>
              </w:rPr>
              <w:t>Liczba gospodarstw domowych</w:t>
            </w:r>
            <w:r w:rsidR="00E66B89">
              <w:rPr>
                <w:rFonts w:ascii="Calibri" w:hAnsi="Calibri" w:cs="Calibri"/>
                <w:color w:val="000000"/>
                <w:sz w:val="18"/>
                <w:szCs w:val="18"/>
              </w:rPr>
              <w:t xml:space="preserve"> z </w:t>
            </w:r>
            <w:r w:rsidRPr="00404DA5">
              <w:rPr>
                <w:rFonts w:ascii="Calibri" w:hAnsi="Calibri" w:cs="Calibri"/>
                <w:color w:val="000000"/>
                <w:sz w:val="18"/>
                <w:szCs w:val="18"/>
              </w:rPr>
              <w:t>ulepszoną klasą energetyczną</w:t>
            </w:r>
          </w:p>
        </w:tc>
        <w:tc>
          <w:tcPr>
            <w:tcW w:w="1640" w:type="dxa"/>
            <w:vAlign w:val="center"/>
          </w:tcPr>
          <w:p w14:paraId="2F5E8BED" w14:textId="77777777" w:rsidR="004A3DBC" w:rsidRPr="00404DA5" w:rsidRDefault="004A3DBC" w:rsidP="00C22C26">
            <w:pPr>
              <w:jc w:val="center"/>
              <w:rPr>
                <w:rFonts w:cs="Calibri"/>
                <w:sz w:val="18"/>
                <w:szCs w:val="20"/>
              </w:rPr>
            </w:pPr>
            <w:r w:rsidRPr="00404DA5">
              <w:rPr>
                <w:rFonts w:cs="Calibri"/>
                <w:sz w:val="18"/>
                <w:szCs w:val="20"/>
              </w:rPr>
              <w:t>568</w:t>
            </w:r>
          </w:p>
        </w:tc>
        <w:tc>
          <w:tcPr>
            <w:tcW w:w="1540" w:type="dxa"/>
            <w:vAlign w:val="center"/>
          </w:tcPr>
          <w:p w14:paraId="592AD42B" w14:textId="77777777" w:rsidR="004A3DBC" w:rsidRPr="00404DA5" w:rsidRDefault="004A3DBC" w:rsidP="00C22C26">
            <w:pPr>
              <w:jc w:val="center"/>
              <w:rPr>
                <w:rFonts w:cs="Calibri"/>
                <w:sz w:val="18"/>
                <w:szCs w:val="20"/>
              </w:rPr>
            </w:pPr>
            <w:r w:rsidRPr="00404DA5">
              <w:rPr>
                <w:rFonts w:cs="Calibri"/>
                <w:sz w:val="18"/>
                <w:szCs w:val="20"/>
              </w:rPr>
              <w:t>1 061</w:t>
            </w:r>
          </w:p>
        </w:tc>
        <w:tc>
          <w:tcPr>
            <w:tcW w:w="1632" w:type="dxa"/>
            <w:vAlign w:val="center"/>
          </w:tcPr>
          <w:p w14:paraId="5B1A63FD" w14:textId="77777777" w:rsidR="004A3DBC" w:rsidRPr="00404DA5" w:rsidRDefault="004A3DBC" w:rsidP="00C22C26">
            <w:pPr>
              <w:jc w:val="center"/>
              <w:rPr>
                <w:rFonts w:cs="Calibri"/>
                <w:sz w:val="18"/>
                <w:szCs w:val="20"/>
              </w:rPr>
            </w:pPr>
            <w:r w:rsidRPr="00404DA5">
              <w:rPr>
                <w:rFonts w:cs="Calibri"/>
                <w:sz w:val="18"/>
                <w:szCs w:val="20"/>
              </w:rPr>
              <w:t>186,8%</w:t>
            </w:r>
          </w:p>
        </w:tc>
        <w:tc>
          <w:tcPr>
            <w:tcW w:w="1253" w:type="dxa"/>
            <w:vAlign w:val="center"/>
          </w:tcPr>
          <w:p w14:paraId="1E7AD01B" w14:textId="77777777" w:rsidR="004A3DBC" w:rsidRPr="00404DA5" w:rsidRDefault="004A3DBC" w:rsidP="00C22C26">
            <w:pPr>
              <w:jc w:val="center"/>
              <w:rPr>
                <w:rFonts w:cs="Calibri"/>
                <w:sz w:val="18"/>
                <w:szCs w:val="20"/>
              </w:rPr>
            </w:pPr>
            <w:r w:rsidRPr="00404DA5">
              <w:rPr>
                <w:rFonts w:cs="Calibri"/>
                <w:sz w:val="18"/>
                <w:szCs w:val="20"/>
              </w:rPr>
              <w:t>136</w:t>
            </w:r>
          </w:p>
        </w:tc>
        <w:tc>
          <w:tcPr>
            <w:tcW w:w="1585" w:type="dxa"/>
            <w:vAlign w:val="center"/>
          </w:tcPr>
          <w:p w14:paraId="688E6490" w14:textId="77777777" w:rsidR="004A3DBC" w:rsidRPr="00404DA5" w:rsidRDefault="004A3DBC" w:rsidP="00C22C26">
            <w:pPr>
              <w:jc w:val="center"/>
              <w:rPr>
                <w:rFonts w:cs="Calibri"/>
                <w:sz w:val="18"/>
                <w:szCs w:val="20"/>
              </w:rPr>
            </w:pPr>
            <w:r w:rsidRPr="00404DA5">
              <w:rPr>
                <w:rFonts w:cs="Calibri"/>
                <w:sz w:val="18"/>
                <w:szCs w:val="20"/>
              </w:rPr>
              <w:t>23,9%</w:t>
            </w:r>
          </w:p>
        </w:tc>
      </w:tr>
      <w:tr w:rsidR="004A3DBC" w14:paraId="7CB9C99C" w14:textId="77777777" w:rsidTr="00C22C26">
        <w:tc>
          <w:tcPr>
            <w:tcW w:w="9288" w:type="dxa"/>
            <w:gridSpan w:val="6"/>
            <w:shd w:val="clear" w:color="auto" w:fill="auto"/>
          </w:tcPr>
          <w:p w14:paraId="68AE2B23" w14:textId="77777777" w:rsidR="004A3DBC" w:rsidRPr="00404DA5" w:rsidRDefault="004A3DBC" w:rsidP="009974B7">
            <w:pPr>
              <w:jc w:val="center"/>
              <w:rPr>
                <w:rFonts w:cs="Calibri"/>
                <w:sz w:val="18"/>
                <w:szCs w:val="20"/>
              </w:rPr>
            </w:pPr>
            <w:r w:rsidRPr="00404DA5">
              <w:rPr>
                <w:rFonts w:cs="Calibri"/>
                <w:sz w:val="18"/>
                <w:szCs w:val="20"/>
              </w:rPr>
              <w:t>Działanie 2.8 Modernizacja energetyczna wielorodzinnych budynków mieszkaniowych</w:t>
            </w:r>
            <w:r w:rsidR="00E66B89">
              <w:rPr>
                <w:rFonts w:cs="Calibri"/>
                <w:sz w:val="18"/>
                <w:szCs w:val="20"/>
              </w:rPr>
              <w:t xml:space="preserve"> w </w:t>
            </w:r>
            <w:r w:rsidRPr="00404DA5">
              <w:rPr>
                <w:rFonts w:cs="Calibri"/>
                <w:sz w:val="18"/>
                <w:szCs w:val="20"/>
              </w:rPr>
              <w:t>ramach Strategii ZIT dla Szczecińskiego Obszaru Metropolitalnego</w:t>
            </w:r>
          </w:p>
        </w:tc>
      </w:tr>
      <w:tr w:rsidR="004A3DBC" w14:paraId="6299F2CC" w14:textId="77777777" w:rsidTr="00C22C26">
        <w:tc>
          <w:tcPr>
            <w:tcW w:w="1638" w:type="dxa"/>
          </w:tcPr>
          <w:p w14:paraId="7E785516" w14:textId="77777777" w:rsidR="004A3DBC" w:rsidRPr="00404DA5" w:rsidRDefault="004A3DBC" w:rsidP="009974B7">
            <w:pPr>
              <w:rPr>
                <w:rFonts w:cs="Calibri"/>
                <w:sz w:val="18"/>
                <w:szCs w:val="20"/>
              </w:rPr>
            </w:pPr>
            <w:r w:rsidRPr="00404DA5">
              <w:rPr>
                <w:rFonts w:cs="Calibri"/>
                <w:sz w:val="18"/>
                <w:szCs w:val="20"/>
              </w:rPr>
              <w:t>Liczba zmodernizowanych energetycznie budynków</w:t>
            </w:r>
          </w:p>
        </w:tc>
        <w:tc>
          <w:tcPr>
            <w:tcW w:w="1640" w:type="dxa"/>
            <w:vAlign w:val="center"/>
          </w:tcPr>
          <w:p w14:paraId="69653117" w14:textId="77777777" w:rsidR="004A3DBC" w:rsidRPr="00404DA5" w:rsidRDefault="004A3DBC" w:rsidP="00C22C26">
            <w:pPr>
              <w:jc w:val="center"/>
              <w:rPr>
                <w:rFonts w:cs="Calibri"/>
                <w:sz w:val="18"/>
                <w:szCs w:val="20"/>
              </w:rPr>
            </w:pPr>
            <w:r w:rsidRPr="00404DA5">
              <w:rPr>
                <w:rFonts w:cs="Calibri"/>
                <w:sz w:val="18"/>
                <w:szCs w:val="20"/>
              </w:rPr>
              <w:t>119</w:t>
            </w:r>
          </w:p>
        </w:tc>
        <w:tc>
          <w:tcPr>
            <w:tcW w:w="1540" w:type="dxa"/>
            <w:vAlign w:val="center"/>
          </w:tcPr>
          <w:p w14:paraId="6A19222F" w14:textId="77777777" w:rsidR="004A3DBC" w:rsidRPr="00404DA5" w:rsidRDefault="004A3DBC" w:rsidP="00C22C26">
            <w:pPr>
              <w:jc w:val="center"/>
              <w:rPr>
                <w:rFonts w:cs="Calibri"/>
                <w:sz w:val="18"/>
                <w:szCs w:val="20"/>
              </w:rPr>
            </w:pPr>
            <w:r w:rsidRPr="00404DA5">
              <w:rPr>
                <w:rFonts w:cs="Calibri"/>
                <w:sz w:val="18"/>
                <w:szCs w:val="20"/>
              </w:rPr>
              <w:t>44</w:t>
            </w:r>
          </w:p>
        </w:tc>
        <w:tc>
          <w:tcPr>
            <w:tcW w:w="1632" w:type="dxa"/>
            <w:vAlign w:val="center"/>
          </w:tcPr>
          <w:p w14:paraId="61415551" w14:textId="77777777" w:rsidR="004A3DBC" w:rsidRPr="00404DA5" w:rsidRDefault="004A3DBC" w:rsidP="00C22C26">
            <w:pPr>
              <w:jc w:val="center"/>
              <w:rPr>
                <w:rFonts w:cs="Calibri"/>
                <w:sz w:val="18"/>
                <w:szCs w:val="20"/>
              </w:rPr>
            </w:pPr>
            <w:r w:rsidRPr="00404DA5">
              <w:rPr>
                <w:rFonts w:cs="Calibri"/>
                <w:sz w:val="18"/>
                <w:szCs w:val="20"/>
              </w:rPr>
              <w:t>37%</w:t>
            </w:r>
          </w:p>
        </w:tc>
        <w:tc>
          <w:tcPr>
            <w:tcW w:w="1253" w:type="dxa"/>
            <w:vAlign w:val="center"/>
          </w:tcPr>
          <w:p w14:paraId="2272E203" w14:textId="77777777" w:rsidR="004A3DBC" w:rsidRPr="00404DA5" w:rsidRDefault="004A3DBC" w:rsidP="00C22C26">
            <w:pPr>
              <w:jc w:val="center"/>
              <w:rPr>
                <w:rFonts w:cs="Calibri"/>
                <w:sz w:val="18"/>
                <w:szCs w:val="20"/>
              </w:rPr>
            </w:pPr>
            <w:r w:rsidRPr="00404DA5">
              <w:rPr>
                <w:rFonts w:cs="Calibri"/>
                <w:sz w:val="18"/>
                <w:szCs w:val="20"/>
              </w:rPr>
              <w:t>1</w:t>
            </w:r>
          </w:p>
        </w:tc>
        <w:tc>
          <w:tcPr>
            <w:tcW w:w="1585" w:type="dxa"/>
            <w:vAlign w:val="center"/>
          </w:tcPr>
          <w:p w14:paraId="2C5561E9" w14:textId="77777777" w:rsidR="004A3DBC" w:rsidRPr="00404DA5" w:rsidRDefault="004A3DBC" w:rsidP="00C22C26">
            <w:pPr>
              <w:jc w:val="center"/>
              <w:rPr>
                <w:rFonts w:cs="Calibri"/>
                <w:sz w:val="18"/>
                <w:szCs w:val="20"/>
              </w:rPr>
            </w:pPr>
            <w:r w:rsidRPr="00404DA5">
              <w:rPr>
                <w:rFonts w:cs="Calibri"/>
                <w:sz w:val="18"/>
                <w:szCs w:val="20"/>
              </w:rPr>
              <w:t>0,8%</w:t>
            </w:r>
          </w:p>
        </w:tc>
      </w:tr>
      <w:tr w:rsidR="004A3DBC" w14:paraId="19072BA7" w14:textId="77777777" w:rsidTr="00C22C26">
        <w:tc>
          <w:tcPr>
            <w:tcW w:w="1638" w:type="dxa"/>
          </w:tcPr>
          <w:p w14:paraId="47045D11" w14:textId="77777777" w:rsidR="004A3DBC" w:rsidRPr="00404DA5" w:rsidRDefault="004A3DBC" w:rsidP="009974B7">
            <w:pPr>
              <w:rPr>
                <w:rFonts w:cs="Calibri"/>
                <w:sz w:val="18"/>
                <w:szCs w:val="20"/>
              </w:rPr>
            </w:pPr>
            <w:r w:rsidRPr="00404DA5">
              <w:rPr>
                <w:rFonts w:cs="Calibri"/>
                <w:sz w:val="18"/>
                <w:szCs w:val="20"/>
              </w:rPr>
              <w:t>Szacowany roczny spadek emisji gazów cieplarnianych</w:t>
            </w:r>
          </w:p>
        </w:tc>
        <w:tc>
          <w:tcPr>
            <w:tcW w:w="1640" w:type="dxa"/>
            <w:vAlign w:val="center"/>
          </w:tcPr>
          <w:p w14:paraId="0D7330AB" w14:textId="77777777" w:rsidR="004A3DBC" w:rsidRPr="00404DA5" w:rsidRDefault="004A3DBC" w:rsidP="00C22C26">
            <w:pPr>
              <w:jc w:val="center"/>
              <w:rPr>
                <w:rFonts w:cs="Calibri"/>
                <w:sz w:val="18"/>
                <w:szCs w:val="20"/>
              </w:rPr>
            </w:pPr>
            <w:r w:rsidRPr="00404DA5">
              <w:rPr>
                <w:rFonts w:cs="Calibri"/>
                <w:sz w:val="18"/>
                <w:szCs w:val="20"/>
              </w:rPr>
              <w:t>23 615</w:t>
            </w:r>
          </w:p>
        </w:tc>
        <w:tc>
          <w:tcPr>
            <w:tcW w:w="1540" w:type="dxa"/>
            <w:vAlign w:val="center"/>
          </w:tcPr>
          <w:p w14:paraId="171EBB48" w14:textId="77777777" w:rsidR="004A3DBC" w:rsidRPr="00404DA5" w:rsidRDefault="004A3DBC" w:rsidP="00C22C26">
            <w:pPr>
              <w:jc w:val="center"/>
              <w:rPr>
                <w:rFonts w:cs="Calibri"/>
                <w:sz w:val="18"/>
                <w:szCs w:val="20"/>
              </w:rPr>
            </w:pPr>
            <w:r w:rsidRPr="00404DA5">
              <w:rPr>
                <w:rFonts w:cs="Calibri"/>
                <w:sz w:val="18"/>
                <w:szCs w:val="20"/>
              </w:rPr>
              <w:t>2 481</w:t>
            </w:r>
          </w:p>
        </w:tc>
        <w:tc>
          <w:tcPr>
            <w:tcW w:w="1632" w:type="dxa"/>
            <w:vAlign w:val="center"/>
          </w:tcPr>
          <w:p w14:paraId="1103849D" w14:textId="77777777" w:rsidR="004A3DBC" w:rsidRPr="00404DA5" w:rsidRDefault="004A3DBC" w:rsidP="00C22C26">
            <w:pPr>
              <w:jc w:val="center"/>
              <w:rPr>
                <w:rFonts w:cs="Calibri"/>
                <w:sz w:val="18"/>
                <w:szCs w:val="20"/>
              </w:rPr>
            </w:pPr>
            <w:r w:rsidRPr="00404DA5">
              <w:rPr>
                <w:rFonts w:cs="Calibri"/>
                <w:sz w:val="18"/>
                <w:szCs w:val="20"/>
              </w:rPr>
              <w:t>10,5%</w:t>
            </w:r>
          </w:p>
        </w:tc>
        <w:tc>
          <w:tcPr>
            <w:tcW w:w="1253" w:type="dxa"/>
            <w:vAlign w:val="center"/>
          </w:tcPr>
          <w:p w14:paraId="4F032B23" w14:textId="77777777" w:rsidR="004A3DBC" w:rsidRPr="00404DA5" w:rsidRDefault="004A3DBC" w:rsidP="00C22C26">
            <w:pPr>
              <w:jc w:val="center"/>
              <w:rPr>
                <w:rFonts w:cs="Calibri"/>
                <w:sz w:val="18"/>
                <w:szCs w:val="20"/>
              </w:rPr>
            </w:pPr>
            <w:r w:rsidRPr="00404DA5">
              <w:rPr>
                <w:rFonts w:cs="Calibri"/>
                <w:sz w:val="18"/>
                <w:szCs w:val="20"/>
              </w:rPr>
              <w:t>0</w:t>
            </w:r>
          </w:p>
        </w:tc>
        <w:tc>
          <w:tcPr>
            <w:tcW w:w="1585" w:type="dxa"/>
            <w:vAlign w:val="center"/>
          </w:tcPr>
          <w:p w14:paraId="479ACF15" w14:textId="77777777" w:rsidR="004A3DBC" w:rsidRPr="00404DA5" w:rsidRDefault="004A3DBC" w:rsidP="00C22C26">
            <w:pPr>
              <w:jc w:val="center"/>
              <w:rPr>
                <w:rFonts w:cs="Calibri"/>
                <w:sz w:val="18"/>
                <w:szCs w:val="20"/>
              </w:rPr>
            </w:pPr>
            <w:r w:rsidRPr="00404DA5">
              <w:rPr>
                <w:rFonts w:cs="Calibri"/>
                <w:sz w:val="18"/>
                <w:szCs w:val="20"/>
              </w:rPr>
              <w:t>0%</w:t>
            </w:r>
          </w:p>
        </w:tc>
      </w:tr>
      <w:tr w:rsidR="004A3DBC" w14:paraId="6587E13F" w14:textId="77777777" w:rsidTr="00C22C26">
        <w:tc>
          <w:tcPr>
            <w:tcW w:w="1638" w:type="dxa"/>
          </w:tcPr>
          <w:p w14:paraId="43226309" w14:textId="77777777" w:rsidR="004A3DBC" w:rsidRPr="00404DA5" w:rsidRDefault="004A3DBC" w:rsidP="009974B7">
            <w:pPr>
              <w:rPr>
                <w:rFonts w:ascii="Calibri" w:hAnsi="Calibri" w:cs="Calibri"/>
                <w:color w:val="000000"/>
                <w:sz w:val="18"/>
                <w:szCs w:val="18"/>
              </w:rPr>
            </w:pPr>
            <w:r w:rsidRPr="00404DA5">
              <w:rPr>
                <w:rFonts w:ascii="Calibri" w:hAnsi="Calibri" w:cs="Calibri"/>
                <w:color w:val="000000"/>
                <w:sz w:val="18"/>
                <w:szCs w:val="18"/>
              </w:rPr>
              <w:t>Liczba gospodarstw domowych</w:t>
            </w:r>
            <w:r w:rsidR="00E66B89">
              <w:rPr>
                <w:rFonts w:ascii="Calibri" w:hAnsi="Calibri" w:cs="Calibri"/>
                <w:color w:val="000000"/>
                <w:sz w:val="18"/>
                <w:szCs w:val="18"/>
              </w:rPr>
              <w:t xml:space="preserve"> z </w:t>
            </w:r>
            <w:r w:rsidRPr="00404DA5">
              <w:rPr>
                <w:rFonts w:ascii="Calibri" w:hAnsi="Calibri" w:cs="Calibri"/>
                <w:color w:val="000000"/>
                <w:sz w:val="18"/>
                <w:szCs w:val="18"/>
              </w:rPr>
              <w:t>ulepszoną klasą energetyczną</w:t>
            </w:r>
          </w:p>
        </w:tc>
        <w:tc>
          <w:tcPr>
            <w:tcW w:w="1640" w:type="dxa"/>
            <w:vAlign w:val="center"/>
          </w:tcPr>
          <w:p w14:paraId="193E210C" w14:textId="77777777" w:rsidR="004A3DBC" w:rsidRPr="00404DA5" w:rsidRDefault="004A3DBC" w:rsidP="00C22C26">
            <w:pPr>
              <w:jc w:val="center"/>
              <w:rPr>
                <w:rFonts w:cs="Calibri"/>
                <w:sz w:val="18"/>
                <w:szCs w:val="20"/>
              </w:rPr>
            </w:pPr>
            <w:r w:rsidRPr="00404DA5">
              <w:rPr>
                <w:rFonts w:cs="Calibri"/>
                <w:sz w:val="18"/>
                <w:szCs w:val="20"/>
              </w:rPr>
              <w:t>568</w:t>
            </w:r>
          </w:p>
        </w:tc>
        <w:tc>
          <w:tcPr>
            <w:tcW w:w="1540" w:type="dxa"/>
            <w:vAlign w:val="center"/>
          </w:tcPr>
          <w:p w14:paraId="7F86757D" w14:textId="77777777" w:rsidR="004A3DBC" w:rsidRPr="00404DA5" w:rsidRDefault="004A3DBC" w:rsidP="00C22C26">
            <w:pPr>
              <w:jc w:val="center"/>
              <w:rPr>
                <w:rFonts w:cs="Calibri"/>
                <w:sz w:val="18"/>
                <w:szCs w:val="20"/>
              </w:rPr>
            </w:pPr>
            <w:r w:rsidRPr="00404DA5">
              <w:rPr>
                <w:rFonts w:cs="Calibri"/>
                <w:sz w:val="18"/>
                <w:szCs w:val="20"/>
              </w:rPr>
              <w:t>518</w:t>
            </w:r>
          </w:p>
        </w:tc>
        <w:tc>
          <w:tcPr>
            <w:tcW w:w="1632" w:type="dxa"/>
            <w:vAlign w:val="center"/>
          </w:tcPr>
          <w:p w14:paraId="64563C16" w14:textId="77777777" w:rsidR="004A3DBC" w:rsidRPr="00404DA5" w:rsidRDefault="004A3DBC" w:rsidP="00C22C26">
            <w:pPr>
              <w:jc w:val="center"/>
              <w:rPr>
                <w:rFonts w:cs="Calibri"/>
                <w:sz w:val="18"/>
                <w:szCs w:val="20"/>
              </w:rPr>
            </w:pPr>
            <w:r w:rsidRPr="00404DA5">
              <w:rPr>
                <w:rFonts w:cs="Calibri"/>
                <w:sz w:val="18"/>
                <w:szCs w:val="20"/>
              </w:rPr>
              <w:t>91,2%</w:t>
            </w:r>
          </w:p>
        </w:tc>
        <w:tc>
          <w:tcPr>
            <w:tcW w:w="1253" w:type="dxa"/>
            <w:vAlign w:val="center"/>
          </w:tcPr>
          <w:p w14:paraId="5B4C059C" w14:textId="77777777" w:rsidR="004A3DBC" w:rsidRPr="00404DA5" w:rsidRDefault="004A3DBC" w:rsidP="00C22C26">
            <w:pPr>
              <w:jc w:val="center"/>
              <w:rPr>
                <w:rFonts w:cs="Calibri"/>
                <w:sz w:val="18"/>
                <w:szCs w:val="20"/>
              </w:rPr>
            </w:pPr>
            <w:r w:rsidRPr="00404DA5">
              <w:rPr>
                <w:rFonts w:cs="Calibri"/>
                <w:sz w:val="18"/>
                <w:szCs w:val="20"/>
              </w:rPr>
              <w:t>8</w:t>
            </w:r>
          </w:p>
        </w:tc>
        <w:tc>
          <w:tcPr>
            <w:tcW w:w="1585" w:type="dxa"/>
            <w:vAlign w:val="center"/>
          </w:tcPr>
          <w:p w14:paraId="0E8027E9" w14:textId="77777777" w:rsidR="004A3DBC" w:rsidRPr="00404DA5" w:rsidRDefault="004A3DBC" w:rsidP="00C22C26">
            <w:pPr>
              <w:jc w:val="center"/>
              <w:rPr>
                <w:rFonts w:cs="Calibri"/>
                <w:sz w:val="18"/>
                <w:szCs w:val="20"/>
              </w:rPr>
            </w:pPr>
            <w:r w:rsidRPr="00404DA5">
              <w:rPr>
                <w:rFonts w:cs="Calibri"/>
                <w:sz w:val="18"/>
                <w:szCs w:val="20"/>
              </w:rPr>
              <w:t>1,4%</w:t>
            </w:r>
          </w:p>
        </w:tc>
      </w:tr>
    </w:tbl>
    <w:p w14:paraId="28D9124B" w14:textId="4C032BEF" w:rsidR="004A3DBC" w:rsidRPr="00D21299" w:rsidRDefault="004A3DBC" w:rsidP="001245CE">
      <w:pPr>
        <w:spacing w:before="0"/>
        <w:rPr>
          <w:rFonts w:cs="Calibri"/>
          <w:i/>
          <w:sz w:val="18"/>
          <w:szCs w:val="20"/>
        </w:rPr>
      </w:pPr>
      <w:r w:rsidRPr="00D21299">
        <w:rPr>
          <w:rFonts w:cs="Calibri"/>
          <w:i/>
          <w:sz w:val="18"/>
          <w:szCs w:val="20"/>
        </w:rPr>
        <w:t>Źródło: obliczenia własne na podstawie danych SL 2014 (stan na dzień 07.01.2019)</w:t>
      </w:r>
      <w:r w:rsidR="00AA6879">
        <w:rPr>
          <w:rFonts w:cs="Calibri"/>
          <w:i/>
          <w:sz w:val="18"/>
          <w:szCs w:val="20"/>
        </w:rPr>
        <w:t>.</w:t>
      </w:r>
    </w:p>
    <w:p w14:paraId="2A9F8A02" w14:textId="77777777" w:rsidR="004A3DBC" w:rsidRPr="00404DA5" w:rsidRDefault="004A3DBC" w:rsidP="004A3DBC">
      <w:pPr>
        <w:rPr>
          <w:rFonts w:cs="Calibri"/>
          <w:szCs w:val="20"/>
        </w:rPr>
      </w:pPr>
      <w:r w:rsidRPr="00404DA5">
        <w:rPr>
          <w:rFonts w:cs="Calibri"/>
          <w:szCs w:val="20"/>
        </w:rPr>
        <w:t>Podsumowując, użyteczność</w:t>
      </w:r>
      <w:r w:rsidR="00E66B89">
        <w:rPr>
          <w:rFonts w:cs="Calibri"/>
          <w:szCs w:val="20"/>
        </w:rPr>
        <w:t xml:space="preserve"> i </w:t>
      </w:r>
      <w:r w:rsidRPr="00404DA5">
        <w:rPr>
          <w:rFonts w:cs="Calibri"/>
          <w:szCs w:val="20"/>
        </w:rPr>
        <w:t>skuteczność projektów</w:t>
      </w:r>
      <w:r w:rsidR="00E66B89">
        <w:rPr>
          <w:rFonts w:cs="Calibri"/>
          <w:szCs w:val="20"/>
        </w:rPr>
        <w:t xml:space="preserve"> z </w:t>
      </w:r>
      <w:r w:rsidRPr="00404DA5">
        <w:rPr>
          <w:rFonts w:cs="Calibri"/>
          <w:szCs w:val="20"/>
        </w:rPr>
        <w:t>zakresu PI 4c</w:t>
      </w:r>
      <w:r w:rsidR="00E66B89">
        <w:rPr>
          <w:rFonts w:cs="Calibri"/>
          <w:szCs w:val="20"/>
        </w:rPr>
        <w:t xml:space="preserve"> w </w:t>
      </w:r>
      <w:r w:rsidRPr="00404DA5">
        <w:rPr>
          <w:rFonts w:cs="Calibri"/>
          <w:szCs w:val="20"/>
        </w:rPr>
        <w:t>formule ZIT ocenia się wysoko.</w:t>
      </w:r>
      <w:r w:rsidR="00E66B89">
        <w:rPr>
          <w:rFonts w:cs="Calibri"/>
          <w:szCs w:val="20"/>
        </w:rPr>
        <w:t xml:space="preserve"> Z </w:t>
      </w:r>
      <w:r w:rsidRPr="00404DA5">
        <w:rPr>
          <w:rFonts w:cs="Calibri"/>
          <w:szCs w:val="20"/>
        </w:rPr>
        <w:t>racji skumulowania przedsięwzięć na obszarze spójnym przestrzennie</w:t>
      </w:r>
      <w:r w:rsidR="00E66B89">
        <w:rPr>
          <w:rFonts w:cs="Calibri"/>
          <w:szCs w:val="20"/>
        </w:rPr>
        <w:t xml:space="preserve"> i </w:t>
      </w:r>
      <w:r w:rsidRPr="00404DA5">
        <w:rPr>
          <w:rFonts w:cs="Calibri"/>
          <w:szCs w:val="20"/>
        </w:rPr>
        <w:t>funkcjonalnie, możliwe jest osiągnięcie bardziej wyraźnych korzyści, aniżeli miałoby to miejsce</w:t>
      </w:r>
      <w:r w:rsidR="00E66B89">
        <w:rPr>
          <w:rFonts w:cs="Calibri"/>
          <w:szCs w:val="20"/>
        </w:rPr>
        <w:t xml:space="preserve"> w </w:t>
      </w:r>
      <w:r w:rsidRPr="00404DA5">
        <w:rPr>
          <w:rFonts w:cs="Calibri"/>
          <w:szCs w:val="20"/>
        </w:rPr>
        <w:t>przypadku inwestycji rozproszonych obszarowo. Szczególnie wartość dodaną tego typu można odnieść do spadku emisji gazów cieplarnianych dzięki poprawie efektywności energetycznej budynków.</w:t>
      </w:r>
      <w:r w:rsidR="00E66B89">
        <w:rPr>
          <w:rFonts w:cs="Calibri"/>
          <w:szCs w:val="20"/>
        </w:rPr>
        <w:t xml:space="preserve"> Z </w:t>
      </w:r>
      <w:r w:rsidRPr="00404DA5">
        <w:rPr>
          <w:rFonts w:cs="Calibri"/>
          <w:szCs w:val="20"/>
        </w:rPr>
        <w:t>racji wyzwań rozwojowych, wśród których znajduje się potrzeba zmniejszenia zapotrzebowania na energię, można spodziewać się wpływu na ten problem oszczędności</w:t>
      </w:r>
      <w:r w:rsidR="00E66B89">
        <w:rPr>
          <w:rFonts w:cs="Calibri"/>
          <w:szCs w:val="20"/>
        </w:rPr>
        <w:t xml:space="preserve"> w </w:t>
      </w:r>
      <w:r w:rsidRPr="00404DA5">
        <w:rPr>
          <w:rFonts w:cs="Calibri"/>
          <w:szCs w:val="20"/>
        </w:rPr>
        <w:t>rocznym zużyciu energii pierwotnej</w:t>
      </w:r>
      <w:r w:rsidR="00E66B89">
        <w:rPr>
          <w:rFonts w:cs="Calibri"/>
          <w:szCs w:val="20"/>
        </w:rPr>
        <w:t xml:space="preserve"> w </w:t>
      </w:r>
      <w:r w:rsidRPr="00404DA5">
        <w:rPr>
          <w:rFonts w:cs="Calibri"/>
          <w:szCs w:val="20"/>
        </w:rPr>
        <w:t>budynkach publicznych na obszarze SOM. Jednocześnie, projekty ZIT</w:t>
      </w:r>
      <w:r w:rsidR="00E66B89">
        <w:rPr>
          <w:rFonts w:cs="Calibri"/>
          <w:szCs w:val="20"/>
        </w:rPr>
        <w:t xml:space="preserve"> w </w:t>
      </w:r>
      <w:r w:rsidRPr="00404DA5">
        <w:rPr>
          <w:rFonts w:cs="Calibri"/>
          <w:szCs w:val="20"/>
        </w:rPr>
        <w:t>zakresie PI 4c będą oddziaływać ponadlokalnie, przyczyniając się do poprawy wskaźników wojewódzkich</w:t>
      </w:r>
      <w:r w:rsidR="00E66B89">
        <w:rPr>
          <w:rFonts w:cs="Calibri"/>
          <w:szCs w:val="20"/>
        </w:rPr>
        <w:t xml:space="preserve"> w </w:t>
      </w:r>
      <w:r w:rsidRPr="00404DA5">
        <w:rPr>
          <w:rFonts w:cs="Calibri"/>
          <w:szCs w:val="20"/>
        </w:rPr>
        <w:t>zakresie oddziaływania na zmiany klimatu.</w:t>
      </w:r>
    </w:p>
    <w:p w14:paraId="763D88ED" w14:textId="77777777" w:rsidR="00026C04" w:rsidRDefault="00026C04">
      <w:pPr>
        <w:spacing w:before="0" w:after="0" w:line="240" w:lineRule="auto"/>
        <w:jc w:val="left"/>
        <w:rPr>
          <w:rFonts w:eastAsia="Calibri" w:cs="Calibri"/>
          <w:b/>
          <w:szCs w:val="20"/>
        </w:rPr>
      </w:pPr>
      <w:r>
        <w:rPr>
          <w:rFonts w:eastAsia="Calibri" w:cs="Calibri"/>
          <w:b/>
          <w:szCs w:val="20"/>
        </w:rPr>
        <w:br w:type="page"/>
      </w:r>
    </w:p>
    <w:p w14:paraId="457E427F" w14:textId="20CD1223" w:rsidR="00CB79B5" w:rsidRPr="00404DA5" w:rsidRDefault="00CB79B5" w:rsidP="00404DA5">
      <w:pPr>
        <w:shd w:val="clear" w:color="auto" w:fill="DBE5F1"/>
        <w:rPr>
          <w:rFonts w:eastAsia="Calibri" w:cs="Calibri"/>
          <w:b/>
          <w:szCs w:val="20"/>
        </w:rPr>
      </w:pPr>
      <w:r w:rsidRPr="00404DA5">
        <w:rPr>
          <w:rFonts w:eastAsia="Calibri" w:cs="Calibri"/>
          <w:b/>
          <w:szCs w:val="20"/>
        </w:rPr>
        <w:lastRenderedPageBreak/>
        <w:t>Mechanizmy terytorialne</w:t>
      </w:r>
      <w:r w:rsidR="00E66B89">
        <w:rPr>
          <w:rFonts w:eastAsia="Calibri" w:cs="Calibri"/>
          <w:b/>
          <w:szCs w:val="20"/>
        </w:rPr>
        <w:t xml:space="preserve"> w </w:t>
      </w:r>
      <w:r w:rsidRPr="00404DA5">
        <w:rPr>
          <w:rFonts w:eastAsia="Calibri" w:cs="Calibri"/>
          <w:b/>
          <w:szCs w:val="20"/>
        </w:rPr>
        <w:t xml:space="preserve">PI 4e </w:t>
      </w:r>
    </w:p>
    <w:p w14:paraId="17C9DED3" w14:textId="77777777" w:rsidR="004A3DBC" w:rsidRPr="00404DA5" w:rsidRDefault="004A3DBC" w:rsidP="004A3DBC">
      <w:pPr>
        <w:rPr>
          <w:rFonts w:cs="Calibri"/>
          <w:szCs w:val="20"/>
        </w:rPr>
      </w:pPr>
      <w:r w:rsidRPr="00404DA5">
        <w:rPr>
          <w:rFonts w:cs="Calibri"/>
          <w:szCs w:val="20"/>
        </w:rPr>
        <w:t>Instrument ZIT</w:t>
      </w:r>
      <w:r w:rsidR="00E66B89">
        <w:rPr>
          <w:rFonts w:cs="Calibri"/>
          <w:szCs w:val="20"/>
        </w:rPr>
        <w:t xml:space="preserve"> w </w:t>
      </w:r>
      <w:r w:rsidRPr="00404DA5">
        <w:rPr>
          <w:rFonts w:cs="Calibri"/>
          <w:szCs w:val="20"/>
        </w:rPr>
        <w:t>priorytecie inwestycyjnym 4e zaplanowano dla Działania 2.2 (ZIT SOM) oraz Działania 2.3 (ZIT KKBOF). Strategia ZIT SOM uwzględnia</w:t>
      </w:r>
      <w:r w:rsidR="00E66B89">
        <w:rPr>
          <w:rFonts w:cs="Calibri"/>
          <w:szCs w:val="20"/>
        </w:rPr>
        <w:t xml:space="preserve"> w </w:t>
      </w:r>
      <w:r w:rsidRPr="00404DA5">
        <w:rPr>
          <w:rFonts w:cs="Calibri"/>
          <w:szCs w:val="20"/>
        </w:rPr>
        <w:t>ramach Priorytetu 1.1 rozwój metropolitalnego systemu transportowego, który ma przyczynić się do poprawy jakości funkcjonowania oraz wzrost udziału transportu publicznego</w:t>
      </w:r>
      <w:r w:rsidR="00E66B89">
        <w:rPr>
          <w:rFonts w:cs="Calibri"/>
          <w:szCs w:val="20"/>
        </w:rPr>
        <w:t xml:space="preserve"> w </w:t>
      </w:r>
      <w:r w:rsidRPr="00404DA5">
        <w:rPr>
          <w:rFonts w:cs="Calibri"/>
          <w:szCs w:val="20"/>
        </w:rPr>
        <w:t>zintegrowanym systemie transportowym SOM</w:t>
      </w:r>
      <w:r w:rsidRPr="00404DA5">
        <w:rPr>
          <w:rStyle w:val="Odwoanieprzypisudolnego"/>
          <w:rFonts w:cs="Calibri"/>
          <w:szCs w:val="20"/>
        </w:rPr>
        <w:footnoteReference w:id="145"/>
      </w:r>
      <w:r w:rsidRPr="00404DA5">
        <w:rPr>
          <w:rFonts w:cs="Calibri"/>
          <w:szCs w:val="20"/>
        </w:rPr>
        <w:t>. Również</w:t>
      </w:r>
      <w:r w:rsidR="00E66B89">
        <w:rPr>
          <w:rFonts w:cs="Calibri"/>
          <w:szCs w:val="20"/>
        </w:rPr>
        <w:t xml:space="preserve"> w </w:t>
      </w:r>
      <w:r w:rsidRPr="00404DA5">
        <w:rPr>
          <w:rFonts w:cs="Calibri"/>
          <w:szCs w:val="20"/>
        </w:rPr>
        <w:t>ramach Strategii ZIT KKBOF pierwszym celem jest zintegrowany</w:t>
      </w:r>
      <w:r w:rsidR="00E66B89">
        <w:rPr>
          <w:rFonts w:cs="Calibri"/>
          <w:szCs w:val="20"/>
        </w:rPr>
        <w:t xml:space="preserve"> i </w:t>
      </w:r>
      <w:r w:rsidRPr="00404DA5">
        <w:rPr>
          <w:rFonts w:cs="Calibri"/>
          <w:szCs w:val="20"/>
        </w:rPr>
        <w:t>zrównoważony transport,</w:t>
      </w:r>
      <w:r w:rsidR="00E66B89">
        <w:rPr>
          <w:rFonts w:cs="Calibri"/>
          <w:szCs w:val="20"/>
        </w:rPr>
        <w:t xml:space="preserve"> w </w:t>
      </w:r>
      <w:r w:rsidRPr="00404DA5">
        <w:rPr>
          <w:rFonts w:cs="Calibri"/>
          <w:szCs w:val="20"/>
        </w:rPr>
        <w:t>ramach którego pierwszym priorytetem (1.1) stała się efektywność transportu publicznego</w:t>
      </w:r>
      <w:r w:rsidRPr="00404DA5">
        <w:rPr>
          <w:rStyle w:val="Odwoanieprzypisudolnego"/>
          <w:rFonts w:cs="Calibri"/>
          <w:szCs w:val="20"/>
        </w:rPr>
        <w:footnoteReference w:id="146"/>
      </w:r>
      <w:r w:rsidRPr="00404DA5">
        <w:rPr>
          <w:rFonts w:cs="Calibri"/>
          <w:szCs w:val="20"/>
        </w:rPr>
        <w:t>.</w:t>
      </w:r>
      <w:r w:rsidR="008B706B">
        <w:rPr>
          <w:rFonts w:cs="Calibri"/>
          <w:szCs w:val="20"/>
        </w:rPr>
        <w:t xml:space="preserve"> </w:t>
      </w:r>
      <w:r w:rsidRPr="00404DA5">
        <w:rPr>
          <w:rFonts w:cs="Calibri"/>
          <w:szCs w:val="20"/>
        </w:rPr>
        <w:t>Zadania</w:t>
      </w:r>
      <w:r w:rsidR="00E66B89">
        <w:rPr>
          <w:rFonts w:cs="Calibri"/>
          <w:szCs w:val="20"/>
        </w:rPr>
        <w:t xml:space="preserve"> i </w:t>
      </w:r>
      <w:r w:rsidRPr="00404DA5">
        <w:rPr>
          <w:rFonts w:cs="Calibri"/>
          <w:szCs w:val="20"/>
        </w:rPr>
        <w:t>cele wpisują się</w:t>
      </w:r>
      <w:r w:rsidR="00E66B89">
        <w:rPr>
          <w:rFonts w:cs="Calibri"/>
          <w:szCs w:val="20"/>
        </w:rPr>
        <w:t xml:space="preserve"> z </w:t>
      </w:r>
      <w:r w:rsidRPr="00404DA5">
        <w:rPr>
          <w:rFonts w:cs="Calibri"/>
          <w:szCs w:val="20"/>
        </w:rPr>
        <w:t>powodzeniem</w:t>
      </w:r>
      <w:r w:rsidR="00E66B89">
        <w:rPr>
          <w:rFonts w:cs="Calibri"/>
          <w:szCs w:val="20"/>
        </w:rPr>
        <w:t xml:space="preserve"> w </w:t>
      </w:r>
      <w:r w:rsidRPr="00404DA5">
        <w:rPr>
          <w:rFonts w:cs="Calibri"/>
          <w:szCs w:val="20"/>
        </w:rPr>
        <w:t>zakres tematyczny PI 4e.</w:t>
      </w:r>
    </w:p>
    <w:p w14:paraId="36761294" w14:textId="77777777" w:rsidR="004A3DBC" w:rsidRPr="00404DA5" w:rsidRDefault="004A3DBC" w:rsidP="004A3DBC">
      <w:pPr>
        <w:rPr>
          <w:rFonts w:cs="Calibri"/>
          <w:szCs w:val="20"/>
        </w:rPr>
      </w:pPr>
      <w:r w:rsidRPr="00404DA5">
        <w:rPr>
          <w:rFonts w:cs="Calibri"/>
          <w:szCs w:val="20"/>
        </w:rPr>
        <w:t>Porównując stopień kontraktacji Działania 2.1, skierowanego wobec całego obszaru województwa</w:t>
      </w:r>
      <w:r w:rsidR="00E66B89">
        <w:rPr>
          <w:rFonts w:cs="Calibri"/>
          <w:szCs w:val="20"/>
        </w:rPr>
        <w:t xml:space="preserve"> z </w:t>
      </w:r>
      <w:r w:rsidRPr="00404DA5">
        <w:rPr>
          <w:rFonts w:cs="Calibri"/>
          <w:szCs w:val="20"/>
        </w:rPr>
        <w:t>działaniami realizującymi instrumenty terytorialne, można zwrócić uwagę, że na etapie śródokresowym szczególnie wyróżnia się Działanie 2.2 (70%). Najniższy, choć wciąż zadowalający poziom kontraktacji występuje</w:t>
      </w:r>
      <w:r w:rsidR="00E66B89">
        <w:rPr>
          <w:rFonts w:cs="Calibri"/>
          <w:szCs w:val="20"/>
        </w:rPr>
        <w:t xml:space="preserve"> w </w:t>
      </w:r>
      <w:r w:rsidRPr="00404DA5">
        <w:rPr>
          <w:rFonts w:cs="Calibri"/>
          <w:szCs w:val="20"/>
        </w:rPr>
        <w:t>Działaniu 2.4 (61,5%). Warto pamiętać, że instrumenty terytorialne są</w:t>
      </w:r>
      <w:r>
        <w:rPr>
          <w:rFonts w:cs="Calibri"/>
          <w:szCs w:val="20"/>
        </w:rPr>
        <w:t xml:space="preserve"> częściowo</w:t>
      </w:r>
      <w:r w:rsidRPr="00404DA5">
        <w:rPr>
          <w:rFonts w:cs="Calibri"/>
          <w:szCs w:val="20"/>
        </w:rPr>
        <w:t xml:space="preserve"> wdrażane</w:t>
      </w:r>
      <w:r w:rsidR="00E66B89">
        <w:rPr>
          <w:rFonts w:cs="Calibri"/>
          <w:szCs w:val="20"/>
        </w:rPr>
        <w:t xml:space="preserve"> w </w:t>
      </w:r>
      <w:r w:rsidRPr="00404DA5">
        <w:rPr>
          <w:rFonts w:cs="Calibri"/>
          <w:szCs w:val="20"/>
        </w:rPr>
        <w:t>trybie pozakonkursowym,</w:t>
      </w:r>
      <w:r w:rsidR="00E66B89">
        <w:rPr>
          <w:rFonts w:cs="Calibri"/>
          <w:szCs w:val="20"/>
        </w:rPr>
        <w:t xml:space="preserve"> a </w:t>
      </w:r>
      <w:r w:rsidRPr="00404DA5">
        <w:rPr>
          <w:rFonts w:cs="Calibri"/>
          <w:szCs w:val="20"/>
        </w:rPr>
        <w:t>co za tym idzie, postęp</w:t>
      </w:r>
      <w:r>
        <w:rPr>
          <w:rFonts w:cs="Calibri"/>
          <w:szCs w:val="20"/>
        </w:rPr>
        <w:t xml:space="preserve"> części projektów (w ramach Działania 2.2 oraz 2.3)</w:t>
      </w:r>
      <w:r w:rsidR="00E66B89">
        <w:rPr>
          <w:rFonts w:cs="Calibri"/>
          <w:szCs w:val="20"/>
        </w:rPr>
        <w:t xml:space="preserve"> w </w:t>
      </w:r>
      <w:r w:rsidRPr="00404DA5">
        <w:rPr>
          <w:rFonts w:cs="Calibri"/>
          <w:szCs w:val="20"/>
        </w:rPr>
        <w:t>dużej mierze jest uzależniony od</w:t>
      </w:r>
      <w:r>
        <w:rPr>
          <w:rFonts w:cs="Calibri"/>
          <w:szCs w:val="20"/>
        </w:rPr>
        <w:t xml:space="preserve"> gotowości beneficjentów</w:t>
      </w:r>
      <w:r w:rsidRPr="00404DA5">
        <w:rPr>
          <w:rFonts w:cs="Calibri"/>
          <w:szCs w:val="20"/>
        </w:rPr>
        <w:t xml:space="preserve"> do złożenia wniosków oraz ich pozytywnej oceny. Na korzyść postępu interwencji ZIT przemawia wcześniejsze zidentyfikowanie potrzeb</w:t>
      </w:r>
      <w:r w:rsidR="00E66B89">
        <w:rPr>
          <w:rFonts w:cs="Calibri"/>
          <w:szCs w:val="20"/>
        </w:rPr>
        <w:t xml:space="preserve"> w </w:t>
      </w:r>
      <w:r w:rsidRPr="00404DA5">
        <w:rPr>
          <w:rFonts w:cs="Calibri"/>
          <w:szCs w:val="20"/>
        </w:rPr>
        <w:t>Strategii ZIT</w:t>
      </w:r>
      <w:r w:rsidR="00E66B89">
        <w:rPr>
          <w:rFonts w:cs="Calibri"/>
          <w:szCs w:val="20"/>
        </w:rPr>
        <w:t xml:space="preserve"> i w </w:t>
      </w:r>
      <w:r w:rsidRPr="00404DA5">
        <w:rPr>
          <w:rFonts w:cs="Calibri"/>
          <w:szCs w:val="20"/>
        </w:rPr>
        <w:t>ramach Kontraktów Samorządowych</w:t>
      </w:r>
      <w:r w:rsidR="00E66B89">
        <w:rPr>
          <w:rFonts w:cs="Calibri"/>
          <w:szCs w:val="20"/>
        </w:rPr>
        <w:t xml:space="preserve"> i </w:t>
      </w:r>
      <w:r w:rsidRPr="00404DA5">
        <w:rPr>
          <w:rFonts w:cs="Calibri"/>
          <w:szCs w:val="20"/>
        </w:rPr>
        <w:t>przygotowanie założeń projektów.</w:t>
      </w:r>
    </w:p>
    <w:p w14:paraId="6AB38E01" w14:textId="77777777" w:rsidR="004A3DBC" w:rsidRPr="00C22C26" w:rsidRDefault="004A3DBC" w:rsidP="00C22C26">
      <w:pPr>
        <w:pStyle w:val="evaluTresc"/>
        <w:rPr>
          <w:rFonts w:cs="Calibri"/>
          <w:b/>
          <w:bCs/>
        </w:rPr>
      </w:pPr>
      <w:r w:rsidRPr="00C22C26">
        <w:t>Jeśli chodzi</w:t>
      </w:r>
      <w:r w:rsidR="00E66B89">
        <w:t xml:space="preserve"> o </w:t>
      </w:r>
      <w:r w:rsidRPr="00C22C26">
        <w:t>proporcje związane</w:t>
      </w:r>
      <w:r w:rsidR="00E66B89">
        <w:t xml:space="preserve"> z </w:t>
      </w:r>
      <w:r w:rsidRPr="00C22C26">
        <w:t>rozkładem środków na projekty</w:t>
      </w:r>
      <w:r w:rsidR="00E66B89">
        <w:t xml:space="preserve"> w </w:t>
      </w:r>
      <w:r w:rsidRPr="00C22C26">
        <w:t>ramach ZIT oraz Kontraktów Samorządowych</w:t>
      </w:r>
      <w:r w:rsidR="00E66B89">
        <w:t xml:space="preserve"> w </w:t>
      </w:r>
      <w:r w:rsidRPr="00C22C26">
        <w:t>porównaniu</w:t>
      </w:r>
      <w:r w:rsidR="00E66B89">
        <w:t xml:space="preserve"> z </w:t>
      </w:r>
      <w:r w:rsidRPr="00C22C26">
        <w:t>analogicznym działaniem wdrażanym na obszarze całego województwa, można zauważyć, że projekty te są najbardziej kosztowne</w:t>
      </w:r>
      <w:r w:rsidR="00E66B89">
        <w:t xml:space="preserve"> w </w:t>
      </w:r>
      <w:r w:rsidRPr="00C22C26">
        <w:t>przypadku inwestycji realizowanych na obszarze ZIT SOM. Rozkład kosztów jest zasadny ze względu na kompleksowość inwestycji realizowanych zgodnie ze Strategią ZIT SOM. Ponadto Szczecin jako największe miasto</w:t>
      </w:r>
      <w:r w:rsidR="00E66B89">
        <w:t xml:space="preserve"> w </w:t>
      </w:r>
      <w:r w:rsidRPr="00C22C26">
        <w:t>województwie dysponuje największym potencjałem związanym</w:t>
      </w:r>
      <w:r w:rsidR="00E66B89">
        <w:t xml:space="preserve"> z </w:t>
      </w:r>
      <w:r w:rsidRPr="00C22C26">
        <w:t>rozwojem transportu niskoemisyjnego oraz infrastruktury towarzyszącej. Wartości projektów pozytywnie oddziałują na skuteczność</w:t>
      </w:r>
      <w:r w:rsidR="00E66B89">
        <w:t xml:space="preserve"> i </w:t>
      </w:r>
      <w:r w:rsidRPr="00C22C26">
        <w:t>użyteczność wsparcia, umożliwiając szersze rozwiązywanie problemów na obszarze metropolitalnym.</w:t>
      </w:r>
      <w:r w:rsidR="00E66B89">
        <w:t xml:space="preserve"> Z </w:t>
      </w:r>
      <w:r w:rsidRPr="00C22C26">
        <w:t>kolei projekty wdrażanie za pomocą instrumentu Kontraktów</w:t>
      </w:r>
      <w:r w:rsidRPr="00C22C26">
        <w:rPr>
          <w:rFonts w:cs="Calibri"/>
          <w:b/>
        </w:rPr>
        <w:t xml:space="preserve"> </w:t>
      </w:r>
      <w:r w:rsidRPr="00C22C26">
        <w:t>Samorządowych są często znacznie mniejsze zakresem (np. budowa przystanku autobusowego lub modernizacja oświetlenia miejskiego), co wynika</w:t>
      </w:r>
      <w:r w:rsidR="00E66B89">
        <w:t xml:space="preserve"> z </w:t>
      </w:r>
      <w:r w:rsidRPr="00C22C26">
        <w:t>bardziej lokalnego charakteru ośrodków wchodzących</w:t>
      </w:r>
      <w:r w:rsidR="00E66B89">
        <w:t xml:space="preserve"> w </w:t>
      </w:r>
      <w:r w:rsidRPr="00C22C26">
        <w:t>skład KS. Rozkład kosztów projektów kształtuje się więc adekwatnie do rangi ośrodków miejskich, których dotyczą poszczególne działania.</w:t>
      </w:r>
    </w:p>
    <w:p w14:paraId="055BBF31" w14:textId="77777777" w:rsidR="004A3DBC" w:rsidRPr="00EE5470" w:rsidRDefault="004A3DBC" w:rsidP="004A3DBC">
      <w:r w:rsidRPr="00404DA5">
        <w:rPr>
          <w:rFonts w:cs="Calibri"/>
          <w:szCs w:val="20"/>
        </w:rPr>
        <w:t>Warto zauważyć, że</w:t>
      </w:r>
      <w:r w:rsidR="00E66B89">
        <w:rPr>
          <w:rFonts w:cs="Calibri"/>
          <w:szCs w:val="20"/>
        </w:rPr>
        <w:t xml:space="preserve"> w </w:t>
      </w:r>
      <w:r w:rsidRPr="00404DA5">
        <w:rPr>
          <w:rFonts w:cs="Calibri"/>
          <w:szCs w:val="20"/>
        </w:rPr>
        <w:t>Działaniu 2.1, mimo, że dostępne jest ono do realizacji na obszarze całego województwa,</w:t>
      </w:r>
      <w:r w:rsidR="00E66B89">
        <w:rPr>
          <w:rFonts w:cs="Calibri"/>
          <w:szCs w:val="20"/>
        </w:rPr>
        <w:t xml:space="preserve"> w </w:t>
      </w:r>
      <w:r w:rsidRPr="00404DA5">
        <w:rPr>
          <w:rFonts w:cs="Calibri"/>
          <w:szCs w:val="20"/>
        </w:rPr>
        <w:t>największym stopniu partycypuje jednak Szczecin (1/4 projektów) oraz Koszalin (14% projektów) oraz Kołobrzeg (14% projektów).</w:t>
      </w:r>
      <w:r w:rsidR="00E66B89">
        <w:rPr>
          <w:rFonts w:cs="Calibri"/>
          <w:szCs w:val="20"/>
        </w:rPr>
        <w:t xml:space="preserve"> W </w:t>
      </w:r>
      <w:r w:rsidRPr="00404DA5">
        <w:rPr>
          <w:rFonts w:cs="Calibri"/>
          <w:szCs w:val="20"/>
        </w:rPr>
        <w:t>taki</w:t>
      </w:r>
      <w:r w:rsidR="00E214CA">
        <w:rPr>
          <w:rFonts w:cs="Calibri"/>
          <w:szCs w:val="20"/>
        </w:rPr>
        <w:t>m</w:t>
      </w:r>
      <w:r w:rsidRPr="00404DA5">
        <w:rPr>
          <w:rFonts w:cs="Calibri"/>
          <w:szCs w:val="20"/>
        </w:rPr>
        <w:t xml:space="preserve"> wypadku zaciera się więc różnica między poszczególnymi działaniami na rzecz przeciwdziałania niskiej emisji. </w:t>
      </w:r>
    </w:p>
    <w:p w14:paraId="2BC273D3" w14:textId="77777777" w:rsidR="004A3DBC" w:rsidRPr="00EE5470" w:rsidRDefault="004A3DBC" w:rsidP="00024F00">
      <w:pPr>
        <w:pStyle w:val="Legenda"/>
        <w:spacing w:after="0"/>
      </w:pPr>
      <w:bookmarkStart w:id="367" w:name="_Toc8824273"/>
      <w:r w:rsidRPr="00EE5470">
        <w:lastRenderedPageBreak/>
        <w:t xml:space="preserve">Tabela </w:t>
      </w:r>
      <w:r w:rsidR="00B72A80">
        <w:fldChar w:fldCharType="begin"/>
      </w:r>
      <w:r w:rsidR="00B72A80">
        <w:instrText xml:space="preserve"> SEQ Tabela \* ARABIC </w:instrText>
      </w:r>
      <w:r w:rsidR="00B72A80">
        <w:fldChar w:fldCharType="separate"/>
      </w:r>
      <w:r w:rsidR="00763345">
        <w:rPr>
          <w:noProof/>
        </w:rPr>
        <w:t>162</w:t>
      </w:r>
      <w:r w:rsidR="00B72A80">
        <w:fldChar w:fldCharType="end"/>
      </w:r>
      <w:r w:rsidRPr="00EE5470">
        <w:t xml:space="preserve"> </w:t>
      </w:r>
      <w:r>
        <w:t>Postęp finansowy Działań realizujących instrumenty terytorialne oraz analogicznego Działania wdrażanego</w:t>
      </w:r>
      <w:r w:rsidR="00E66B89">
        <w:t xml:space="preserve"> w </w:t>
      </w:r>
      <w:r>
        <w:t xml:space="preserve">całym regionie - </w:t>
      </w:r>
      <w:r w:rsidRPr="00EE5470">
        <w:t>PI 4e</w:t>
      </w:r>
      <w:bookmarkEnd w:id="36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275"/>
        <w:gridCol w:w="1041"/>
        <w:gridCol w:w="1511"/>
        <w:gridCol w:w="1525"/>
      </w:tblGrid>
      <w:tr w:rsidR="004A3DBC" w:rsidRPr="00EE5470" w14:paraId="25F31E8B" w14:textId="77777777" w:rsidTr="00C22C26">
        <w:trPr>
          <w:tblHeader/>
        </w:trPr>
        <w:tc>
          <w:tcPr>
            <w:tcW w:w="2802" w:type="dxa"/>
            <w:shd w:val="clear" w:color="auto" w:fill="DBE5F1"/>
          </w:tcPr>
          <w:p w14:paraId="5DE221E5" w14:textId="77777777" w:rsidR="004A3DBC" w:rsidRPr="00404DA5" w:rsidRDefault="004A3DBC" w:rsidP="008B706B">
            <w:pPr>
              <w:jc w:val="center"/>
              <w:rPr>
                <w:rFonts w:cs="Calibri"/>
                <w:sz w:val="18"/>
                <w:szCs w:val="20"/>
              </w:rPr>
            </w:pPr>
          </w:p>
        </w:tc>
        <w:tc>
          <w:tcPr>
            <w:tcW w:w="1134" w:type="dxa"/>
            <w:shd w:val="clear" w:color="auto" w:fill="DBE5F1"/>
            <w:hideMark/>
          </w:tcPr>
          <w:p w14:paraId="473B2987" w14:textId="77777777" w:rsidR="004A3DBC" w:rsidRPr="00404DA5" w:rsidRDefault="004A3DBC" w:rsidP="008B706B">
            <w:pPr>
              <w:jc w:val="center"/>
              <w:rPr>
                <w:rFonts w:cs="Calibri"/>
                <w:sz w:val="18"/>
                <w:szCs w:val="20"/>
              </w:rPr>
            </w:pPr>
            <w:r w:rsidRPr="00404DA5">
              <w:rPr>
                <w:rFonts w:cs="Calibri"/>
                <w:sz w:val="18"/>
                <w:szCs w:val="20"/>
              </w:rPr>
              <w:t>Alokacja na Działanie</w:t>
            </w:r>
            <w:r w:rsidR="00E60726">
              <w:rPr>
                <w:rStyle w:val="Odwoanieprzypisudolnego"/>
                <w:rFonts w:cs="Calibri"/>
                <w:sz w:val="18"/>
                <w:szCs w:val="20"/>
              </w:rPr>
              <w:footnoteReference w:id="147"/>
            </w:r>
            <w:r w:rsidRPr="00404DA5">
              <w:rPr>
                <w:rFonts w:cs="Calibri"/>
                <w:sz w:val="18"/>
                <w:szCs w:val="20"/>
              </w:rPr>
              <w:t xml:space="preserve"> </w:t>
            </w:r>
          </w:p>
        </w:tc>
        <w:tc>
          <w:tcPr>
            <w:tcW w:w="1275" w:type="dxa"/>
            <w:shd w:val="clear" w:color="auto" w:fill="DBE5F1"/>
            <w:hideMark/>
          </w:tcPr>
          <w:p w14:paraId="43B509FE" w14:textId="77777777" w:rsidR="004A3DBC" w:rsidRPr="00404DA5" w:rsidRDefault="004A3DBC" w:rsidP="008B706B">
            <w:pPr>
              <w:jc w:val="center"/>
              <w:rPr>
                <w:rFonts w:cs="Calibri"/>
                <w:sz w:val="18"/>
                <w:szCs w:val="20"/>
              </w:rPr>
            </w:pPr>
            <w:r w:rsidRPr="00404DA5">
              <w:rPr>
                <w:rFonts w:cs="Calibri"/>
                <w:sz w:val="18"/>
                <w:szCs w:val="20"/>
              </w:rPr>
              <w:t>Poziom kontraktacji</w:t>
            </w:r>
            <w:r w:rsidR="00E60726">
              <w:rPr>
                <w:rStyle w:val="Odwoanieprzypisudolnego"/>
                <w:rFonts w:cs="Calibri"/>
                <w:sz w:val="18"/>
                <w:szCs w:val="20"/>
              </w:rPr>
              <w:footnoteReference w:id="148"/>
            </w:r>
          </w:p>
        </w:tc>
        <w:tc>
          <w:tcPr>
            <w:tcW w:w="1041" w:type="dxa"/>
            <w:shd w:val="clear" w:color="auto" w:fill="DBE5F1"/>
            <w:hideMark/>
          </w:tcPr>
          <w:p w14:paraId="134D28F9" w14:textId="77777777" w:rsidR="004A3DBC" w:rsidRPr="00404DA5" w:rsidRDefault="004A3DBC" w:rsidP="008B706B">
            <w:pPr>
              <w:jc w:val="center"/>
              <w:rPr>
                <w:rFonts w:cs="Calibri"/>
                <w:sz w:val="18"/>
                <w:szCs w:val="20"/>
              </w:rPr>
            </w:pPr>
            <w:r w:rsidRPr="00404DA5">
              <w:rPr>
                <w:rFonts w:cs="Calibri"/>
                <w:sz w:val="18"/>
                <w:szCs w:val="20"/>
              </w:rPr>
              <w:t>Liczba realizowanych projektów</w:t>
            </w:r>
          </w:p>
        </w:tc>
        <w:tc>
          <w:tcPr>
            <w:tcW w:w="1511" w:type="dxa"/>
            <w:shd w:val="clear" w:color="auto" w:fill="DBE5F1"/>
            <w:hideMark/>
          </w:tcPr>
          <w:p w14:paraId="122987D1" w14:textId="77777777" w:rsidR="004A3DBC" w:rsidRPr="00404DA5" w:rsidRDefault="004A3DBC" w:rsidP="008B706B">
            <w:pPr>
              <w:jc w:val="center"/>
              <w:rPr>
                <w:rFonts w:cs="Calibri"/>
                <w:sz w:val="18"/>
                <w:szCs w:val="20"/>
              </w:rPr>
            </w:pPr>
            <w:r w:rsidRPr="00404DA5">
              <w:rPr>
                <w:rFonts w:cs="Calibri"/>
                <w:sz w:val="18"/>
                <w:szCs w:val="20"/>
              </w:rPr>
              <w:t>Wartość projektów ogółem</w:t>
            </w:r>
          </w:p>
        </w:tc>
        <w:tc>
          <w:tcPr>
            <w:tcW w:w="1525" w:type="dxa"/>
            <w:shd w:val="clear" w:color="auto" w:fill="DBE5F1"/>
            <w:hideMark/>
          </w:tcPr>
          <w:p w14:paraId="5E4C089C" w14:textId="77777777" w:rsidR="004A3DBC" w:rsidRPr="00404DA5" w:rsidRDefault="004A3DBC" w:rsidP="008B706B">
            <w:pPr>
              <w:jc w:val="center"/>
              <w:rPr>
                <w:rFonts w:cs="Calibri"/>
                <w:sz w:val="18"/>
                <w:szCs w:val="20"/>
              </w:rPr>
            </w:pPr>
            <w:r w:rsidRPr="00404DA5">
              <w:rPr>
                <w:rFonts w:cs="Calibri"/>
                <w:sz w:val="18"/>
                <w:szCs w:val="20"/>
              </w:rPr>
              <w:t>Wartość dofinansowania UE</w:t>
            </w:r>
          </w:p>
        </w:tc>
      </w:tr>
      <w:tr w:rsidR="004A3DBC" w:rsidRPr="00EE5470" w14:paraId="48FA0DEE" w14:textId="77777777" w:rsidTr="00C22C26">
        <w:tc>
          <w:tcPr>
            <w:tcW w:w="2802" w:type="dxa"/>
            <w:hideMark/>
          </w:tcPr>
          <w:p w14:paraId="7AE7741D" w14:textId="77777777" w:rsidR="004A3DBC" w:rsidRPr="00404DA5" w:rsidRDefault="004A3DBC" w:rsidP="009974B7">
            <w:pPr>
              <w:rPr>
                <w:rFonts w:cs="Calibri"/>
                <w:sz w:val="18"/>
                <w:szCs w:val="20"/>
              </w:rPr>
            </w:pPr>
            <w:r w:rsidRPr="00404DA5">
              <w:rPr>
                <w:rFonts w:cs="Calibri"/>
                <w:sz w:val="18"/>
                <w:szCs w:val="20"/>
              </w:rPr>
              <w:t>Działanie 2.1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p>
        </w:tc>
        <w:tc>
          <w:tcPr>
            <w:tcW w:w="1134" w:type="dxa"/>
            <w:vAlign w:val="center"/>
          </w:tcPr>
          <w:p w14:paraId="1C5E7087" w14:textId="77777777" w:rsidR="004A3DBC" w:rsidRPr="00404DA5" w:rsidRDefault="004A3DBC" w:rsidP="00C22C26">
            <w:pPr>
              <w:jc w:val="center"/>
              <w:rPr>
                <w:rFonts w:cs="Calibri"/>
                <w:sz w:val="18"/>
                <w:szCs w:val="20"/>
              </w:rPr>
            </w:pPr>
            <w:r w:rsidRPr="00404DA5">
              <w:rPr>
                <w:rFonts w:cs="Calibri"/>
                <w:sz w:val="18"/>
                <w:szCs w:val="20"/>
              </w:rPr>
              <w:t>128 438 580,00</w:t>
            </w:r>
          </w:p>
        </w:tc>
        <w:tc>
          <w:tcPr>
            <w:tcW w:w="1275" w:type="dxa"/>
            <w:vAlign w:val="center"/>
          </w:tcPr>
          <w:p w14:paraId="6E0FA569" w14:textId="77777777" w:rsidR="004A3DBC" w:rsidRPr="00404DA5" w:rsidRDefault="004A3DBC" w:rsidP="00C22C26">
            <w:pPr>
              <w:jc w:val="center"/>
              <w:rPr>
                <w:rFonts w:cs="Calibri"/>
                <w:sz w:val="18"/>
                <w:szCs w:val="20"/>
              </w:rPr>
            </w:pPr>
            <w:r w:rsidRPr="00404DA5">
              <w:rPr>
                <w:rFonts w:cs="Calibri"/>
                <w:sz w:val="18"/>
                <w:szCs w:val="20"/>
              </w:rPr>
              <w:t>59,9%</w:t>
            </w:r>
          </w:p>
        </w:tc>
        <w:tc>
          <w:tcPr>
            <w:tcW w:w="1041" w:type="dxa"/>
            <w:vAlign w:val="center"/>
          </w:tcPr>
          <w:p w14:paraId="69499A17" w14:textId="77777777" w:rsidR="004A3DBC" w:rsidRPr="00404DA5" w:rsidRDefault="004A3DBC" w:rsidP="00C22C26">
            <w:pPr>
              <w:jc w:val="center"/>
              <w:rPr>
                <w:rFonts w:cs="Calibri"/>
                <w:sz w:val="18"/>
                <w:szCs w:val="20"/>
              </w:rPr>
            </w:pPr>
            <w:r w:rsidRPr="00404DA5">
              <w:rPr>
                <w:rFonts w:cs="Calibri"/>
                <w:sz w:val="18"/>
                <w:szCs w:val="20"/>
              </w:rPr>
              <w:t>15</w:t>
            </w:r>
          </w:p>
        </w:tc>
        <w:tc>
          <w:tcPr>
            <w:tcW w:w="1511" w:type="dxa"/>
            <w:vAlign w:val="center"/>
          </w:tcPr>
          <w:p w14:paraId="47A94264" w14:textId="77777777" w:rsidR="004A3DBC" w:rsidRPr="00404DA5" w:rsidRDefault="004A3DBC" w:rsidP="00C22C26">
            <w:pPr>
              <w:jc w:val="center"/>
              <w:rPr>
                <w:rFonts w:cs="Calibri"/>
                <w:sz w:val="18"/>
                <w:szCs w:val="20"/>
              </w:rPr>
            </w:pPr>
            <w:r w:rsidRPr="00404DA5">
              <w:rPr>
                <w:rFonts w:cs="Calibri"/>
                <w:sz w:val="18"/>
                <w:szCs w:val="20"/>
              </w:rPr>
              <w:t>107 360 376,09</w:t>
            </w:r>
          </w:p>
          <w:p w14:paraId="4364CE98" w14:textId="77777777" w:rsidR="004A3DBC" w:rsidRPr="00404DA5" w:rsidRDefault="004A3DBC" w:rsidP="00C22C26">
            <w:pPr>
              <w:jc w:val="center"/>
              <w:rPr>
                <w:rFonts w:cs="Calibri"/>
                <w:sz w:val="18"/>
                <w:szCs w:val="20"/>
              </w:rPr>
            </w:pPr>
          </w:p>
        </w:tc>
        <w:tc>
          <w:tcPr>
            <w:tcW w:w="1525" w:type="dxa"/>
            <w:vAlign w:val="center"/>
          </w:tcPr>
          <w:p w14:paraId="0D567603" w14:textId="77777777" w:rsidR="004A3DBC" w:rsidRPr="00404DA5" w:rsidRDefault="004A3DBC" w:rsidP="00C22C26">
            <w:pPr>
              <w:jc w:val="center"/>
              <w:rPr>
                <w:rFonts w:cs="Calibri"/>
                <w:sz w:val="18"/>
                <w:szCs w:val="20"/>
              </w:rPr>
            </w:pPr>
            <w:r w:rsidRPr="00404DA5">
              <w:rPr>
                <w:rFonts w:cs="Calibri"/>
                <w:sz w:val="18"/>
                <w:szCs w:val="20"/>
              </w:rPr>
              <w:t>76 972 150,44</w:t>
            </w:r>
          </w:p>
        </w:tc>
      </w:tr>
      <w:tr w:rsidR="004A3DBC" w:rsidRPr="00EE5470" w14:paraId="26059B90" w14:textId="77777777" w:rsidTr="00C22C26">
        <w:tc>
          <w:tcPr>
            <w:tcW w:w="2802" w:type="dxa"/>
            <w:hideMark/>
          </w:tcPr>
          <w:p w14:paraId="3BF5502F" w14:textId="77777777" w:rsidR="004A3DBC" w:rsidRPr="00404DA5" w:rsidRDefault="004A3DBC" w:rsidP="009974B7">
            <w:pPr>
              <w:rPr>
                <w:rFonts w:cs="Calibri"/>
                <w:sz w:val="18"/>
                <w:szCs w:val="20"/>
              </w:rPr>
            </w:pPr>
            <w:r w:rsidRPr="00404DA5">
              <w:rPr>
                <w:rFonts w:cs="Calibri"/>
                <w:sz w:val="18"/>
                <w:szCs w:val="20"/>
              </w:rPr>
              <w:t>Działanie 2.2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Strategii ZIT dla Szczecińskiego Obszaru Metropolitalnego</w:t>
            </w:r>
          </w:p>
        </w:tc>
        <w:tc>
          <w:tcPr>
            <w:tcW w:w="1134" w:type="dxa"/>
            <w:vAlign w:val="center"/>
          </w:tcPr>
          <w:p w14:paraId="4D11E40E" w14:textId="77777777" w:rsidR="004A3DBC" w:rsidRPr="00404DA5" w:rsidRDefault="004A3DBC" w:rsidP="00C22C26">
            <w:pPr>
              <w:jc w:val="center"/>
              <w:rPr>
                <w:rFonts w:cs="Calibri"/>
                <w:sz w:val="18"/>
                <w:szCs w:val="20"/>
              </w:rPr>
            </w:pPr>
            <w:r w:rsidRPr="00404DA5">
              <w:rPr>
                <w:rFonts w:cs="Calibri"/>
                <w:sz w:val="18"/>
                <w:szCs w:val="20"/>
              </w:rPr>
              <w:t>253 434 920,00</w:t>
            </w:r>
          </w:p>
        </w:tc>
        <w:tc>
          <w:tcPr>
            <w:tcW w:w="1275" w:type="dxa"/>
            <w:vAlign w:val="center"/>
          </w:tcPr>
          <w:p w14:paraId="4266C3C7" w14:textId="77777777" w:rsidR="004A3DBC" w:rsidRPr="00404DA5" w:rsidRDefault="004A3DBC" w:rsidP="00C22C26">
            <w:pPr>
              <w:jc w:val="center"/>
              <w:rPr>
                <w:rFonts w:cs="Calibri"/>
                <w:sz w:val="18"/>
                <w:szCs w:val="20"/>
              </w:rPr>
            </w:pPr>
            <w:r w:rsidRPr="00404DA5">
              <w:rPr>
                <w:rFonts w:cs="Calibri"/>
                <w:sz w:val="18"/>
                <w:szCs w:val="20"/>
              </w:rPr>
              <w:t>70%</w:t>
            </w:r>
          </w:p>
        </w:tc>
        <w:tc>
          <w:tcPr>
            <w:tcW w:w="1041" w:type="dxa"/>
            <w:vAlign w:val="center"/>
          </w:tcPr>
          <w:p w14:paraId="7B718933" w14:textId="77777777" w:rsidR="004A3DBC" w:rsidRPr="00404DA5" w:rsidRDefault="004A3DBC" w:rsidP="00C22C26">
            <w:pPr>
              <w:jc w:val="center"/>
              <w:rPr>
                <w:rFonts w:cs="Calibri"/>
                <w:sz w:val="18"/>
                <w:szCs w:val="20"/>
              </w:rPr>
            </w:pPr>
            <w:r w:rsidRPr="00404DA5">
              <w:rPr>
                <w:rFonts w:cs="Calibri"/>
                <w:sz w:val="18"/>
                <w:szCs w:val="20"/>
              </w:rPr>
              <w:t>20</w:t>
            </w:r>
          </w:p>
        </w:tc>
        <w:tc>
          <w:tcPr>
            <w:tcW w:w="1511" w:type="dxa"/>
            <w:vAlign w:val="center"/>
          </w:tcPr>
          <w:p w14:paraId="4DA9568C" w14:textId="77777777" w:rsidR="004A3DBC" w:rsidRPr="00404DA5" w:rsidRDefault="004A3DBC" w:rsidP="00C22C26">
            <w:pPr>
              <w:jc w:val="center"/>
              <w:rPr>
                <w:rFonts w:cs="Calibri"/>
                <w:sz w:val="18"/>
                <w:szCs w:val="20"/>
              </w:rPr>
            </w:pPr>
            <w:r w:rsidRPr="00404DA5">
              <w:rPr>
                <w:rFonts w:cs="Calibri"/>
                <w:sz w:val="18"/>
                <w:szCs w:val="20"/>
              </w:rPr>
              <w:t>285 842 105,19</w:t>
            </w:r>
          </w:p>
        </w:tc>
        <w:tc>
          <w:tcPr>
            <w:tcW w:w="1525" w:type="dxa"/>
            <w:vAlign w:val="center"/>
          </w:tcPr>
          <w:p w14:paraId="746A1DC9" w14:textId="77777777" w:rsidR="004A3DBC" w:rsidRPr="00404DA5" w:rsidRDefault="004A3DBC" w:rsidP="00C22C26">
            <w:pPr>
              <w:jc w:val="center"/>
              <w:rPr>
                <w:rFonts w:cs="Calibri"/>
                <w:sz w:val="18"/>
                <w:szCs w:val="20"/>
              </w:rPr>
            </w:pPr>
            <w:r w:rsidRPr="00404DA5">
              <w:rPr>
                <w:rFonts w:cs="Calibri"/>
                <w:sz w:val="18"/>
                <w:szCs w:val="20"/>
              </w:rPr>
              <w:t>177 290 317,85</w:t>
            </w:r>
          </w:p>
        </w:tc>
      </w:tr>
      <w:tr w:rsidR="004A3DBC" w:rsidRPr="00EE5470" w14:paraId="611361AE" w14:textId="77777777" w:rsidTr="00C22C26">
        <w:tc>
          <w:tcPr>
            <w:tcW w:w="2802" w:type="dxa"/>
            <w:hideMark/>
          </w:tcPr>
          <w:p w14:paraId="402D9A63" w14:textId="77777777" w:rsidR="004A3DBC" w:rsidRPr="00404DA5" w:rsidRDefault="004A3DBC" w:rsidP="009974B7">
            <w:pPr>
              <w:rPr>
                <w:rFonts w:cs="Calibri"/>
                <w:sz w:val="18"/>
                <w:szCs w:val="20"/>
              </w:rPr>
            </w:pPr>
            <w:r w:rsidRPr="00404DA5">
              <w:rPr>
                <w:rFonts w:cs="Calibri"/>
                <w:sz w:val="18"/>
                <w:szCs w:val="20"/>
              </w:rPr>
              <w:t>Działanie 2.3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Strategii ZIT dla Koszalińsko-Kołobrzesko-Białogardzkiego Obszaru Funkcjonalnego</w:t>
            </w:r>
          </w:p>
        </w:tc>
        <w:tc>
          <w:tcPr>
            <w:tcW w:w="1134" w:type="dxa"/>
            <w:vAlign w:val="center"/>
          </w:tcPr>
          <w:p w14:paraId="30888ED9" w14:textId="77777777" w:rsidR="004A3DBC" w:rsidRPr="00404DA5" w:rsidRDefault="004A3DBC" w:rsidP="00C22C26">
            <w:pPr>
              <w:jc w:val="center"/>
              <w:rPr>
                <w:rFonts w:cs="Calibri"/>
                <w:sz w:val="18"/>
                <w:szCs w:val="20"/>
              </w:rPr>
            </w:pPr>
            <w:r w:rsidRPr="00404DA5">
              <w:rPr>
                <w:rFonts w:cs="Calibri"/>
                <w:sz w:val="18"/>
                <w:szCs w:val="20"/>
              </w:rPr>
              <w:t>90 358 800,00</w:t>
            </w:r>
          </w:p>
        </w:tc>
        <w:tc>
          <w:tcPr>
            <w:tcW w:w="1275" w:type="dxa"/>
            <w:vAlign w:val="center"/>
          </w:tcPr>
          <w:p w14:paraId="01DCEE3B" w14:textId="77777777" w:rsidR="004A3DBC" w:rsidRPr="00404DA5" w:rsidRDefault="004A3DBC" w:rsidP="00C22C26">
            <w:pPr>
              <w:jc w:val="center"/>
              <w:rPr>
                <w:rFonts w:cs="Calibri"/>
                <w:sz w:val="18"/>
                <w:szCs w:val="20"/>
              </w:rPr>
            </w:pPr>
            <w:r w:rsidRPr="00404DA5">
              <w:rPr>
                <w:rFonts w:cs="Calibri"/>
                <w:sz w:val="18"/>
                <w:szCs w:val="20"/>
              </w:rPr>
              <w:t>62,6%</w:t>
            </w:r>
          </w:p>
        </w:tc>
        <w:tc>
          <w:tcPr>
            <w:tcW w:w="1041" w:type="dxa"/>
            <w:vAlign w:val="center"/>
          </w:tcPr>
          <w:p w14:paraId="13AC0748" w14:textId="77777777" w:rsidR="004A3DBC" w:rsidRPr="00404DA5" w:rsidRDefault="004A3DBC" w:rsidP="00C22C26">
            <w:pPr>
              <w:jc w:val="center"/>
              <w:rPr>
                <w:rFonts w:cs="Calibri"/>
                <w:sz w:val="18"/>
                <w:szCs w:val="20"/>
              </w:rPr>
            </w:pPr>
            <w:r w:rsidRPr="00404DA5">
              <w:rPr>
                <w:rFonts w:cs="Calibri"/>
                <w:sz w:val="18"/>
                <w:szCs w:val="20"/>
              </w:rPr>
              <w:t>13</w:t>
            </w:r>
          </w:p>
        </w:tc>
        <w:tc>
          <w:tcPr>
            <w:tcW w:w="1511" w:type="dxa"/>
            <w:vAlign w:val="center"/>
          </w:tcPr>
          <w:p w14:paraId="49A01153" w14:textId="77777777" w:rsidR="004A3DBC" w:rsidRPr="00404DA5" w:rsidRDefault="004A3DBC" w:rsidP="00C22C26">
            <w:pPr>
              <w:jc w:val="center"/>
              <w:rPr>
                <w:rFonts w:cs="Calibri"/>
                <w:sz w:val="18"/>
                <w:szCs w:val="20"/>
              </w:rPr>
            </w:pPr>
            <w:r w:rsidRPr="00404DA5">
              <w:rPr>
                <w:rFonts w:cs="Calibri"/>
                <w:sz w:val="18"/>
                <w:szCs w:val="20"/>
              </w:rPr>
              <w:t>86 631 700,09</w:t>
            </w:r>
          </w:p>
        </w:tc>
        <w:tc>
          <w:tcPr>
            <w:tcW w:w="1525" w:type="dxa"/>
            <w:vAlign w:val="center"/>
          </w:tcPr>
          <w:p w14:paraId="1CC58887" w14:textId="77777777" w:rsidR="004A3DBC" w:rsidRPr="00404DA5" w:rsidRDefault="004A3DBC" w:rsidP="00C22C26">
            <w:pPr>
              <w:jc w:val="center"/>
              <w:rPr>
                <w:rFonts w:cs="Calibri"/>
                <w:sz w:val="18"/>
                <w:szCs w:val="20"/>
              </w:rPr>
            </w:pPr>
            <w:r w:rsidRPr="00404DA5">
              <w:rPr>
                <w:rFonts w:cs="Calibri"/>
                <w:sz w:val="18"/>
                <w:szCs w:val="20"/>
              </w:rPr>
              <w:t>56 584 309,77</w:t>
            </w:r>
          </w:p>
        </w:tc>
      </w:tr>
      <w:tr w:rsidR="004A3DBC" w:rsidRPr="00EE5470" w14:paraId="07D8F6DD" w14:textId="77777777" w:rsidTr="00C22C26">
        <w:tc>
          <w:tcPr>
            <w:tcW w:w="2802" w:type="dxa"/>
            <w:hideMark/>
          </w:tcPr>
          <w:p w14:paraId="3F974AB8" w14:textId="77777777" w:rsidR="004A3DBC" w:rsidRPr="00404DA5" w:rsidRDefault="004A3DBC" w:rsidP="009974B7">
            <w:pPr>
              <w:rPr>
                <w:rFonts w:cs="Calibri"/>
                <w:sz w:val="18"/>
                <w:szCs w:val="20"/>
              </w:rPr>
            </w:pPr>
            <w:r w:rsidRPr="00404DA5">
              <w:rPr>
                <w:rFonts w:cs="Calibri"/>
                <w:sz w:val="18"/>
                <w:szCs w:val="20"/>
              </w:rPr>
              <w:t>Działanie 2.4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Kontraktów Samorządowych</w:t>
            </w:r>
          </w:p>
        </w:tc>
        <w:tc>
          <w:tcPr>
            <w:tcW w:w="1134" w:type="dxa"/>
            <w:vAlign w:val="center"/>
          </w:tcPr>
          <w:p w14:paraId="2A1A4E03" w14:textId="77777777" w:rsidR="004A3DBC" w:rsidRPr="00404DA5" w:rsidRDefault="004A3DBC" w:rsidP="00C22C26">
            <w:pPr>
              <w:jc w:val="center"/>
              <w:rPr>
                <w:rFonts w:cs="Calibri"/>
                <w:sz w:val="18"/>
                <w:szCs w:val="20"/>
              </w:rPr>
            </w:pPr>
            <w:r w:rsidRPr="00404DA5">
              <w:rPr>
                <w:rFonts w:cs="Calibri"/>
                <w:sz w:val="18"/>
                <w:szCs w:val="20"/>
              </w:rPr>
              <w:t>39 800 900,00</w:t>
            </w:r>
          </w:p>
        </w:tc>
        <w:tc>
          <w:tcPr>
            <w:tcW w:w="1275" w:type="dxa"/>
            <w:vAlign w:val="center"/>
          </w:tcPr>
          <w:p w14:paraId="4E2F8269" w14:textId="77777777" w:rsidR="004A3DBC" w:rsidRPr="00404DA5" w:rsidRDefault="004A3DBC" w:rsidP="00C22C26">
            <w:pPr>
              <w:jc w:val="center"/>
              <w:rPr>
                <w:rFonts w:cs="Calibri"/>
                <w:sz w:val="18"/>
                <w:szCs w:val="20"/>
              </w:rPr>
            </w:pPr>
            <w:r w:rsidRPr="00404DA5">
              <w:rPr>
                <w:rFonts w:cs="Calibri"/>
                <w:sz w:val="18"/>
                <w:szCs w:val="20"/>
              </w:rPr>
              <w:t>61,5%</w:t>
            </w:r>
          </w:p>
        </w:tc>
        <w:tc>
          <w:tcPr>
            <w:tcW w:w="1041" w:type="dxa"/>
            <w:vAlign w:val="center"/>
          </w:tcPr>
          <w:p w14:paraId="0FAACE43" w14:textId="77777777" w:rsidR="004A3DBC" w:rsidRPr="00404DA5" w:rsidRDefault="004A3DBC" w:rsidP="00C22C26">
            <w:pPr>
              <w:jc w:val="center"/>
              <w:rPr>
                <w:rFonts w:cs="Calibri"/>
                <w:sz w:val="18"/>
                <w:szCs w:val="20"/>
              </w:rPr>
            </w:pPr>
            <w:r w:rsidRPr="00404DA5">
              <w:rPr>
                <w:rFonts w:cs="Calibri"/>
                <w:sz w:val="18"/>
                <w:szCs w:val="20"/>
              </w:rPr>
              <w:t>12</w:t>
            </w:r>
          </w:p>
        </w:tc>
        <w:tc>
          <w:tcPr>
            <w:tcW w:w="1511" w:type="dxa"/>
            <w:vAlign w:val="center"/>
          </w:tcPr>
          <w:p w14:paraId="26B7AB32" w14:textId="77777777" w:rsidR="004A3DBC" w:rsidRPr="00404DA5" w:rsidRDefault="004A3DBC" w:rsidP="00C22C26">
            <w:pPr>
              <w:jc w:val="center"/>
              <w:rPr>
                <w:rFonts w:cs="Calibri"/>
                <w:sz w:val="18"/>
                <w:szCs w:val="20"/>
              </w:rPr>
            </w:pPr>
            <w:r w:rsidRPr="00404DA5">
              <w:rPr>
                <w:rFonts w:cs="Calibri"/>
                <w:sz w:val="18"/>
                <w:szCs w:val="20"/>
              </w:rPr>
              <w:t>35 509 394,52</w:t>
            </w:r>
          </w:p>
        </w:tc>
        <w:tc>
          <w:tcPr>
            <w:tcW w:w="1525" w:type="dxa"/>
            <w:vAlign w:val="center"/>
          </w:tcPr>
          <w:p w14:paraId="6F2F623F" w14:textId="77777777" w:rsidR="004A3DBC" w:rsidRPr="00404DA5" w:rsidRDefault="004A3DBC" w:rsidP="00C22C26">
            <w:pPr>
              <w:jc w:val="center"/>
              <w:rPr>
                <w:rFonts w:cs="Calibri"/>
                <w:sz w:val="18"/>
                <w:szCs w:val="20"/>
              </w:rPr>
            </w:pPr>
            <w:r w:rsidRPr="00404DA5">
              <w:rPr>
                <w:rFonts w:cs="Calibri"/>
                <w:sz w:val="18"/>
                <w:szCs w:val="20"/>
              </w:rPr>
              <w:t>24 469 006,18</w:t>
            </w:r>
          </w:p>
        </w:tc>
      </w:tr>
    </w:tbl>
    <w:p w14:paraId="29832606" w14:textId="30B94F82" w:rsidR="00401F21" w:rsidRPr="00D21299" w:rsidRDefault="00401F21" w:rsidP="001245CE">
      <w:pPr>
        <w:spacing w:before="0"/>
        <w:rPr>
          <w:rFonts w:cs="Calibri"/>
          <w:i/>
          <w:sz w:val="18"/>
          <w:szCs w:val="20"/>
        </w:rPr>
      </w:pPr>
      <w:r w:rsidRPr="00D21299">
        <w:rPr>
          <w:rFonts w:cs="Calibri"/>
          <w:i/>
          <w:sz w:val="18"/>
          <w:szCs w:val="20"/>
        </w:rPr>
        <w:t>Źródło: obliczenia własne na podstawie danych SL 2014 (stan na dzień 07.01.2019r.)</w:t>
      </w:r>
      <w:r w:rsidR="00AA6879">
        <w:rPr>
          <w:rFonts w:cs="Calibri"/>
          <w:i/>
          <w:sz w:val="18"/>
          <w:szCs w:val="20"/>
        </w:rPr>
        <w:t>.</w:t>
      </w:r>
    </w:p>
    <w:p w14:paraId="27566E53" w14:textId="77777777" w:rsidR="000831F9" w:rsidRPr="00C22C26" w:rsidRDefault="000831F9" w:rsidP="00C22C26">
      <w:pPr>
        <w:pStyle w:val="evaluTresc"/>
        <w:rPr>
          <w:i/>
        </w:rPr>
      </w:pPr>
      <w:r w:rsidRPr="002A7A59">
        <w:t>Na poniższej mapie przedstawiono dane dotyczące wartości projektów ogółem realizowanych</w:t>
      </w:r>
      <w:r w:rsidR="00E66B89">
        <w:t xml:space="preserve"> w </w:t>
      </w:r>
      <w:r w:rsidRPr="002A7A59">
        <w:t>ramach Działań 2.</w:t>
      </w:r>
      <w:r>
        <w:t>2, 2.3 oraz 2.4</w:t>
      </w:r>
      <w:r w:rsidR="00E66B89">
        <w:t xml:space="preserve"> w </w:t>
      </w:r>
      <w:r>
        <w:t>podziale na gminy</w:t>
      </w:r>
      <w:r w:rsidR="00E66B89">
        <w:t xml:space="preserve"> w </w:t>
      </w:r>
      <w:r>
        <w:t>województwie zachodniopomorskim. Projekty</w:t>
      </w:r>
      <w:r w:rsidR="00E66B89">
        <w:t xml:space="preserve"> o </w:t>
      </w:r>
      <w:r>
        <w:t>największej wartości ogółem</w:t>
      </w:r>
      <w:r w:rsidR="00E66B89">
        <w:t xml:space="preserve"> w </w:t>
      </w:r>
      <w:r>
        <w:t>ramach wskazanych działań, są realizowane</w:t>
      </w:r>
      <w:r w:rsidR="00E66B89">
        <w:t xml:space="preserve"> w </w:t>
      </w:r>
      <w:r>
        <w:t>Szczecinie (155,7 mln zł) oraz Koszalinie (27,5 mln zł)</w:t>
      </w:r>
      <w:r w:rsidR="00703AED">
        <w:t xml:space="preserve">,w </w:t>
      </w:r>
      <w:r w:rsidRPr="00703AED">
        <w:t>Kołobrzeg</w:t>
      </w:r>
      <w:r w:rsidR="00703AED" w:rsidRPr="00703AED">
        <w:t>u</w:t>
      </w:r>
      <w:r>
        <w:t xml:space="preserve"> (24,9 mln zł) oraz Białogard</w:t>
      </w:r>
      <w:r w:rsidR="00703AED">
        <w:t>zie</w:t>
      </w:r>
      <w:r>
        <w:t xml:space="preserve"> (12,4 mln zł). Trzy ostatnie gminy należą do ZIT KKBOF, co wskazuje na zaadresowanie istotnych potrzeb związanych</w:t>
      </w:r>
      <w:r w:rsidR="00E66B89">
        <w:t xml:space="preserve"> z </w:t>
      </w:r>
      <w:r>
        <w:t>PI 4e na tych obszarach oraz skuteczne wdrażanie mechanizmu. Ponadto,</w:t>
      </w:r>
      <w:r w:rsidR="00E66B89">
        <w:t xml:space="preserve"> w </w:t>
      </w:r>
      <w:r>
        <w:t>każdej</w:t>
      </w:r>
      <w:r w:rsidR="00E66B89">
        <w:t xml:space="preserve"> z </w:t>
      </w:r>
      <w:r>
        <w:t>gmin należących do ZIT, KKBOF lub KS, wartość projektów</w:t>
      </w:r>
      <w:r w:rsidR="00E66B89">
        <w:t xml:space="preserve"> z </w:t>
      </w:r>
      <w:r>
        <w:t>działań dedykowanych stanowi minimum 24% całkowitej wartości projektów realizowanych na terenie tych gmin. Jedyną gminą realizującą projekt</w:t>
      </w:r>
      <w:r w:rsidR="00E66B89">
        <w:t xml:space="preserve"> w </w:t>
      </w:r>
      <w:r>
        <w:t>ramach PI 4e, nie objętą żadnym</w:t>
      </w:r>
      <w:r w:rsidR="00E66B89">
        <w:t xml:space="preserve"> z </w:t>
      </w:r>
      <w:r>
        <w:t>mechanizmów terytorialnych, jest gmina Trzebiatów oraz Dziwnów.</w:t>
      </w:r>
    </w:p>
    <w:p w14:paraId="39D33E32" w14:textId="77777777" w:rsidR="00401F21" w:rsidRDefault="00401F21">
      <w:pPr>
        <w:pStyle w:val="Legenda"/>
      </w:pPr>
      <w:bookmarkStart w:id="368" w:name="_Toc6521453"/>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4</w:t>
      </w:r>
      <w:r w:rsidR="006E34DC">
        <w:rPr>
          <w:noProof/>
        </w:rPr>
        <w:fldChar w:fldCharType="end"/>
      </w:r>
      <w:r>
        <w:t xml:space="preserve"> </w:t>
      </w:r>
      <w:r w:rsidRPr="00074161">
        <w:t>Wartość projektów ogółem</w:t>
      </w:r>
      <w:r w:rsidR="00E66B89">
        <w:t xml:space="preserve"> z </w:t>
      </w:r>
      <w:r w:rsidRPr="00074161">
        <w:t>Działań realizujących instrumenty terytorialne oraz analogicznego Działania wdrażanego</w:t>
      </w:r>
      <w:r w:rsidR="00E66B89">
        <w:t xml:space="preserve"> w </w:t>
      </w:r>
      <w:r w:rsidRPr="00074161">
        <w:t>całym regionie,</w:t>
      </w:r>
      <w:r w:rsidR="00E66B89">
        <w:t xml:space="preserve"> w </w:t>
      </w:r>
      <w:r w:rsidRPr="00074161">
        <w:t>podziale na gminy</w:t>
      </w:r>
      <w:r w:rsidR="00E66B89">
        <w:t xml:space="preserve"> z </w:t>
      </w:r>
      <w:r w:rsidRPr="00074161">
        <w:t>wyszczególnieniem gmin należących do ZIT/KS - PI 4e</w:t>
      </w:r>
      <w:bookmarkEnd w:id="368"/>
    </w:p>
    <w:p w14:paraId="7805C80C" w14:textId="5D7E4946" w:rsidR="00401F21" w:rsidRDefault="00C35619" w:rsidP="004A3DBC">
      <w:pPr>
        <w:rPr>
          <w:rFonts w:cs="Calibri"/>
          <w:szCs w:val="20"/>
        </w:rPr>
      </w:pPr>
      <w:r w:rsidRPr="00D508B6">
        <w:rPr>
          <w:noProof/>
        </w:rPr>
        <w:drawing>
          <wp:inline distT="0" distB="0" distL="0" distR="0" wp14:anchorId="2CFBE222" wp14:editId="7D9BCFC2">
            <wp:extent cx="5762625" cy="4076700"/>
            <wp:effectExtent l="0" t="0" r="9525" b="0"/>
            <wp:docPr id="6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10D863EE" w14:textId="77777777" w:rsidR="00401F21" w:rsidRPr="00D21299" w:rsidRDefault="00401F21" w:rsidP="00401F21">
      <w:pPr>
        <w:rPr>
          <w:i/>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52 387 422,00 zł.</w:t>
      </w:r>
      <w:r w:rsidRPr="00D21299">
        <w:rPr>
          <w:rStyle w:val="Odwoanieprzypisudolnego"/>
          <w:sz w:val="18"/>
          <w:szCs w:val="18"/>
        </w:rPr>
        <w:footnoteReference w:id="149"/>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587E66C5" w14:textId="77777777" w:rsidR="004A3DBC" w:rsidRPr="00404DA5" w:rsidRDefault="004A3DBC" w:rsidP="004A3DBC">
      <w:pPr>
        <w:rPr>
          <w:rFonts w:cs="Calibri"/>
          <w:szCs w:val="20"/>
        </w:rPr>
      </w:pPr>
      <w:r w:rsidRPr="00404DA5">
        <w:rPr>
          <w:rFonts w:cs="Calibri"/>
          <w:szCs w:val="20"/>
        </w:rPr>
        <w:t>Projekty, które związane są</w:t>
      </w:r>
      <w:r w:rsidR="00E66B89">
        <w:rPr>
          <w:rFonts w:cs="Calibri"/>
          <w:szCs w:val="20"/>
        </w:rPr>
        <w:t xml:space="preserve"> z </w:t>
      </w:r>
      <w:r w:rsidRPr="00404DA5">
        <w:rPr>
          <w:rFonts w:cs="Calibri"/>
          <w:szCs w:val="20"/>
        </w:rPr>
        <w:t>propagowaniem transportu niskoemisyjnego, są zlokalizowane głównie</w:t>
      </w:r>
      <w:r w:rsidR="00E66B89">
        <w:rPr>
          <w:rFonts w:cs="Calibri"/>
          <w:szCs w:val="20"/>
        </w:rPr>
        <w:t xml:space="preserve"> w </w:t>
      </w:r>
      <w:r w:rsidRPr="00404DA5">
        <w:rPr>
          <w:rFonts w:cs="Calibri"/>
          <w:szCs w:val="20"/>
        </w:rPr>
        <w:t>większych miastach</w:t>
      </w:r>
      <w:r w:rsidR="00E66B89">
        <w:rPr>
          <w:rFonts w:cs="Calibri"/>
          <w:szCs w:val="20"/>
        </w:rPr>
        <w:t xml:space="preserve"> i </w:t>
      </w:r>
      <w:r w:rsidRPr="00404DA5">
        <w:rPr>
          <w:rFonts w:cs="Calibri"/>
          <w:szCs w:val="20"/>
        </w:rPr>
        <w:t>ich obszarach funkcjonalnych. Porównując wkład działań dedykowanych ZIT oraz KS</w:t>
      </w:r>
      <w:r w:rsidR="00E66B89">
        <w:rPr>
          <w:rFonts w:cs="Calibri"/>
          <w:szCs w:val="20"/>
        </w:rPr>
        <w:t xml:space="preserve"> w </w:t>
      </w:r>
      <w:r w:rsidRPr="00404DA5">
        <w:rPr>
          <w:rFonts w:cs="Calibri"/>
          <w:szCs w:val="20"/>
        </w:rPr>
        <w:t xml:space="preserve">osiąganie celów PI 4e, można zwrócić uwagę, że do realizacji wskaźnika </w:t>
      </w:r>
      <w:r w:rsidRPr="00404DA5">
        <w:rPr>
          <w:rFonts w:cs="Calibri"/>
          <w:i/>
          <w:szCs w:val="20"/>
        </w:rPr>
        <w:t>Długość ścieżek rowerowych</w:t>
      </w:r>
      <w:r w:rsidR="00E66B89">
        <w:rPr>
          <w:rFonts w:cs="Calibri"/>
          <w:i/>
          <w:szCs w:val="20"/>
        </w:rPr>
        <w:t xml:space="preserve"> w </w:t>
      </w:r>
      <w:r w:rsidRPr="00404DA5">
        <w:rPr>
          <w:rFonts w:cs="Calibri"/>
          <w:szCs w:val="20"/>
        </w:rPr>
        <w:t>największym stopniu przyczynia się</w:t>
      </w:r>
      <w:r w:rsidRPr="00404DA5">
        <w:rPr>
          <w:rFonts w:cs="Calibri"/>
          <w:sz w:val="18"/>
          <w:szCs w:val="20"/>
        </w:rPr>
        <w:t xml:space="preserve"> </w:t>
      </w:r>
      <w:r w:rsidRPr="00404DA5">
        <w:rPr>
          <w:rFonts w:cs="Calibri"/>
          <w:szCs w:val="20"/>
        </w:rPr>
        <w:t xml:space="preserve">Działanie 2.3. Na podstawie podpisanych umów realizuje ono aż 68,2% założonej wartości docelowej tego wskaźnika dla całego PI 4e. </w:t>
      </w:r>
    </w:p>
    <w:p w14:paraId="04396E15" w14:textId="77777777" w:rsidR="004A3DBC" w:rsidRPr="00404DA5" w:rsidRDefault="004A3DBC" w:rsidP="004A3DBC">
      <w:pPr>
        <w:rPr>
          <w:rFonts w:cs="Calibri"/>
          <w:szCs w:val="20"/>
        </w:rPr>
      </w:pPr>
      <w:r w:rsidRPr="00404DA5">
        <w:rPr>
          <w:rFonts w:cs="Calibri"/>
          <w:szCs w:val="20"/>
        </w:rPr>
        <w:t>Jeśli chodzi zaś</w:t>
      </w:r>
      <w:r w:rsidR="00E66B89">
        <w:rPr>
          <w:rFonts w:cs="Calibri"/>
          <w:szCs w:val="20"/>
        </w:rPr>
        <w:t xml:space="preserve"> o </w:t>
      </w:r>
      <w:r w:rsidRPr="00404DA5">
        <w:rPr>
          <w:rFonts w:cs="Calibri"/>
          <w:szCs w:val="20"/>
        </w:rPr>
        <w:t xml:space="preserve">wskaźnik </w:t>
      </w:r>
      <w:r w:rsidRPr="00404DA5">
        <w:rPr>
          <w:rFonts w:cs="Calibri"/>
          <w:i/>
          <w:szCs w:val="20"/>
        </w:rPr>
        <w:t>Liczba zakupionych lub zmodernizowanych jednostek taboru pasażerskiego</w:t>
      </w:r>
      <w:r w:rsidR="00E66B89">
        <w:rPr>
          <w:rFonts w:cs="Calibri"/>
          <w:i/>
          <w:szCs w:val="20"/>
        </w:rPr>
        <w:t xml:space="preserve"> w </w:t>
      </w:r>
      <w:r w:rsidRPr="00404DA5">
        <w:rPr>
          <w:rFonts w:cs="Calibri"/>
          <w:i/>
          <w:szCs w:val="20"/>
        </w:rPr>
        <w:t>publicznym transporcie zbiorowym komunikacji miejskiej</w:t>
      </w:r>
      <w:r w:rsidRPr="00404DA5">
        <w:rPr>
          <w:rFonts w:cs="Calibri"/>
          <w:szCs w:val="20"/>
        </w:rPr>
        <w:t>,</w:t>
      </w:r>
      <w:r w:rsidR="00E66B89">
        <w:rPr>
          <w:rFonts w:cs="Calibri"/>
          <w:szCs w:val="20"/>
        </w:rPr>
        <w:t xml:space="preserve"> w </w:t>
      </w:r>
      <w:r w:rsidRPr="00404DA5">
        <w:rPr>
          <w:rFonts w:cs="Calibri"/>
          <w:szCs w:val="20"/>
        </w:rPr>
        <w:t>jego realizacji</w:t>
      </w:r>
      <w:r w:rsidR="00E66B89">
        <w:rPr>
          <w:rFonts w:cs="Calibri"/>
          <w:szCs w:val="20"/>
        </w:rPr>
        <w:t xml:space="preserve"> w </w:t>
      </w:r>
      <w:r w:rsidRPr="00404DA5">
        <w:rPr>
          <w:rFonts w:cs="Calibri"/>
          <w:szCs w:val="20"/>
        </w:rPr>
        <w:t>największym stopniu partycypuje Działanie 2.1,</w:t>
      </w:r>
      <w:r w:rsidR="00E66B89">
        <w:rPr>
          <w:rFonts w:cs="Calibri"/>
          <w:szCs w:val="20"/>
        </w:rPr>
        <w:t xml:space="preserve"> a </w:t>
      </w:r>
      <w:r w:rsidRPr="00404DA5">
        <w:rPr>
          <w:rFonts w:cs="Calibri"/>
          <w:szCs w:val="20"/>
        </w:rPr>
        <w:t>więc dostępne do realizacji dla obszaru całego województwa (lecz partycypują</w:t>
      </w:r>
      <w:r w:rsidR="00E66B89">
        <w:rPr>
          <w:rFonts w:cs="Calibri"/>
          <w:szCs w:val="20"/>
        </w:rPr>
        <w:t xml:space="preserve"> w </w:t>
      </w:r>
      <w:r w:rsidRPr="00404DA5">
        <w:rPr>
          <w:rFonts w:cs="Calibri"/>
          <w:szCs w:val="20"/>
        </w:rPr>
        <w:t>nim także obszary realizujące Działanie 2.2, 2.3</w:t>
      </w:r>
      <w:r w:rsidR="00E66B89">
        <w:rPr>
          <w:rFonts w:cs="Calibri"/>
          <w:szCs w:val="20"/>
        </w:rPr>
        <w:t xml:space="preserve"> i </w:t>
      </w:r>
      <w:r w:rsidRPr="00404DA5">
        <w:rPr>
          <w:rFonts w:cs="Calibri"/>
          <w:szCs w:val="20"/>
        </w:rPr>
        <w:t>2.4). Drugim działaniem</w:t>
      </w:r>
      <w:r w:rsidR="00E66B89">
        <w:rPr>
          <w:rFonts w:cs="Calibri"/>
          <w:szCs w:val="20"/>
        </w:rPr>
        <w:t xml:space="preserve"> w </w:t>
      </w:r>
      <w:r w:rsidRPr="00404DA5">
        <w:rPr>
          <w:rFonts w:cs="Calibri"/>
          <w:szCs w:val="20"/>
        </w:rPr>
        <w:t>największym stopniu partycypującym</w:t>
      </w:r>
      <w:r w:rsidR="00E66B89">
        <w:rPr>
          <w:rFonts w:cs="Calibri"/>
          <w:szCs w:val="20"/>
        </w:rPr>
        <w:t xml:space="preserve"> w </w:t>
      </w:r>
      <w:r w:rsidRPr="00404DA5">
        <w:rPr>
          <w:rFonts w:cs="Calibri"/>
          <w:szCs w:val="20"/>
        </w:rPr>
        <w:t>realizacji wskaźnika, jest Działanie 2.2. Jednocześnie,</w:t>
      </w:r>
      <w:r w:rsidR="00E66B89">
        <w:rPr>
          <w:rFonts w:cs="Calibri"/>
          <w:szCs w:val="20"/>
        </w:rPr>
        <w:t xml:space="preserve"> o </w:t>
      </w:r>
      <w:r w:rsidRPr="00404DA5">
        <w:rPr>
          <w:rFonts w:cs="Calibri"/>
          <w:szCs w:val="20"/>
        </w:rPr>
        <w:t xml:space="preserve">dość znacznym </w:t>
      </w:r>
      <w:r w:rsidRPr="00404DA5">
        <w:rPr>
          <w:rFonts w:cs="Calibri"/>
          <w:szCs w:val="20"/>
        </w:rPr>
        <w:lastRenderedPageBreak/>
        <w:t>rozwoju taboru autobusowego zdecydowano także</w:t>
      </w:r>
      <w:r w:rsidR="00E66B89">
        <w:rPr>
          <w:rFonts w:cs="Calibri"/>
          <w:szCs w:val="20"/>
        </w:rPr>
        <w:t xml:space="preserve"> w </w:t>
      </w:r>
      <w:r w:rsidRPr="00404DA5">
        <w:rPr>
          <w:rFonts w:cs="Calibri"/>
          <w:szCs w:val="20"/>
        </w:rPr>
        <w:t>ramach KKBOF (działanie realizuje 27,4% realizacji wartości docelowej wskaźnika) oraz Kontraktów Samorządowych (25% wartości docelowej wskaźnika). Omawiany wskaźnik jest też najbardziej zaawansowany, jeśli chodzi</w:t>
      </w:r>
      <w:r w:rsidR="00E66B89">
        <w:rPr>
          <w:rFonts w:cs="Calibri"/>
          <w:szCs w:val="20"/>
        </w:rPr>
        <w:t xml:space="preserve"> o </w:t>
      </w:r>
      <w:r w:rsidRPr="00404DA5">
        <w:rPr>
          <w:rFonts w:cs="Calibri"/>
          <w:szCs w:val="20"/>
        </w:rPr>
        <w:t>realizację na podstawie złożonych wniosków</w:t>
      </w:r>
      <w:r w:rsidR="00E66B89">
        <w:rPr>
          <w:rFonts w:cs="Calibri"/>
          <w:szCs w:val="20"/>
        </w:rPr>
        <w:t xml:space="preserve"> o </w:t>
      </w:r>
      <w:r w:rsidRPr="00404DA5">
        <w:rPr>
          <w:rFonts w:cs="Calibri"/>
          <w:szCs w:val="20"/>
        </w:rPr>
        <w:t>płatność we wszystkich typach wspieranych instrumentów terytorialnych.</w:t>
      </w:r>
      <w:r w:rsidR="008B706B">
        <w:rPr>
          <w:rFonts w:cs="Calibri"/>
          <w:szCs w:val="20"/>
        </w:rPr>
        <w:t xml:space="preserve"> </w:t>
      </w:r>
    </w:p>
    <w:p w14:paraId="2A40DF4A" w14:textId="77777777" w:rsidR="004A3DBC" w:rsidRPr="00404DA5" w:rsidRDefault="004A3DBC" w:rsidP="004A3DBC">
      <w:pPr>
        <w:rPr>
          <w:rFonts w:cs="Calibri"/>
          <w:szCs w:val="20"/>
        </w:rPr>
      </w:pPr>
      <w:r w:rsidRPr="00404DA5">
        <w:rPr>
          <w:rFonts w:cs="Calibri"/>
          <w:szCs w:val="20"/>
        </w:rPr>
        <w:t>Zintegrowane węzły przesiadkowe, jako część systemu transportu multimodalnego,</w:t>
      </w:r>
      <w:r w:rsidR="00E66B89">
        <w:rPr>
          <w:rFonts w:cs="Calibri"/>
          <w:szCs w:val="20"/>
        </w:rPr>
        <w:t xml:space="preserve"> w </w:t>
      </w:r>
      <w:r w:rsidRPr="00404DA5">
        <w:rPr>
          <w:rFonts w:cs="Calibri"/>
          <w:szCs w:val="20"/>
        </w:rPr>
        <w:t>największym stopniu są uzasadnione do umiejscowienia</w:t>
      </w:r>
      <w:r w:rsidR="00E66B89">
        <w:rPr>
          <w:rFonts w:cs="Calibri"/>
          <w:szCs w:val="20"/>
        </w:rPr>
        <w:t xml:space="preserve"> w </w:t>
      </w:r>
      <w:r w:rsidRPr="00404DA5">
        <w:rPr>
          <w:rFonts w:cs="Calibri"/>
          <w:szCs w:val="20"/>
        </w:rPr>
        <w:t>dużych miastach. Stąd też, ZIT SOM</w:t>
      </w:r>
      <w:r w:rsidR="00E66B89">
        <w:rPr>
          <w:rFonts w:cs="Calibri"/>
          <w:szCs w:val="20"/>
        </w:rPr>
        <w:t xml:space="preserve"> w </w:t>
      </w:r>
      <w:r w:rsidRPr="00404DA5">
        <w:rPr>
          <w:rFonts w:cs="Calibri"/>
          <w:szCs w:val="20"/>
        </w:rPr>
        <w:t>tym przypadku</w:t>
      </w:r>
      <w:r w:rsidR="00E66B89">
        <w:rPr>
          <w:rFonts w:cs="Calibri"/>
          <w:szCs w:val="20"/>
        </w:rPr>
        <w:t xml:space="preserve"> w </w:t>
      </w:r>
      <w:r w:rsidRPr="00404DA5">
        <w:rPr>
          <w:rFonts w:cs="Calibri"/>
          <w:szCs w:val="20"/>
        </w:rPr>
        <w:t>największym stopniu partycypuje</w:t>
      </w:r>
      <w:r w:rsidR="00E66B89">
        <w:rPr>
          <w:rFonts w:cs="Calibri"/>
          <w:szCs w:val="20"/>
        </w:rPr>
        <w:t xml:space="preserve"> w </w:t>
      </w:r>
      <w:r w:rsidRPr="00404DA5">
        <w:rPr>
          <w:rFonts w:cs="Calibri"/>
          <w:szCs w:val="20"/>
        </w:rPr>
        <w:t>ich tworzeniu, odpowiadając za 100% (6) wartości docelowej wskaźnika. Jest on także realizowany na obszarze KKBOF</w:t>
      </w:r>
      <w:r w:rsidR="00E66B89">
        <w:rPr>
          <w:rFonts w:cs="Calibri"/>
          <w:szCs w:val="20"/>
        </w:rPr>
        <w:t xml:space="preserve"> w </w:t>
      </w:r>
      <w:r w:rsidRPr="00404DA5">
        <w:rPr>
          <w:rFonts w:cs="Calibri"/>
          <w:szCs w:val="20"/>
        </w:rPr>
        <w:t>wysokości 3 oraz</w:t>
      </w:r>
      <w:r w:rsidR="00E66B89">
        <w:rPr>
          <w:rFonts w:cs="Calibri"/>
          <w:szCs w:val="20"/>
        </w:rPr>
        <w:t xml:space="preserve"> w </w:t>
      </w:r>
      <w:r w:rsidRPr="00404DA5">
        <w:rPr>
          <w:rFonts w:cs="Calibri"/>
          <w:szCs w:val="20"/>
        </w:rPr>
        <w:t>ramach KS</w:t>
      </w:r>
      <w:r w:rsidR="00E66B89">
        <w:rPr>
          <w:rFonts w:cs="Calibri"/>
          <w:szCs w:val="20"/>
        </w:rPr>
        <w:t xml:space="preserve"> w </w:t>
      </w:r>
      <w:r w:rsidRPr="00404DA5">
        <w:rPr>
          <w:rFonts w:cs="Calibri"/>
          <w:szCs w:val="20"/>
        </w:rPr>
        <w:t>wysokości 1.</w:t>
      </w:r>
    </w:p>
    <w:p w14:paraId="15C2F48D" w14:textId="77777777" w:rsidR="004A3DBC" w:rsidRPr="00EE5470" w:rsidRDefault="004A3DBC" w:rsidP="00024F00">
      <w:pPr>
        <w:pStyle w:val="Legenda"/>
        <w:spacing w:after="0"/>
      </w:pPr>
      <w:bookmarkStart w:id="369" w:name="_Toc8824274"/>
      <w:r w:rsidRPr="00EE5470">
        <w:t xml:space="preserve">Tabela </w:t>
      </w:r>
      <w:r w:rsidR="00B72A80">
        <w:fldChar w:fldCharType="begin"/>
      </w:r>
      <w:r w:rsidR="00B72A80">
        <w:instrText xml:space="preserve"> SEQ Tabela \* ARABIC </w:instrText>
      </w:r>
      <w:r w:rsidR="00B72A80">
        <w:fldChar w:fldCharType="separate"/>
      </w:r>
      <w:r w:rsidR="00763345">
        <w:rPr>
          <w:noProof/>
        </w:rPr>
        <w:t>163</w:t>
      </w:r>
      <w:r w:rsidR="00B72A80">
        <w:fldChar w:fldCharType="end"/>
      </w:r>
      <w:r w:rsidRPr="00EE5470">
        <w:t xml:space="preserve"> </w:t>
      </w:r>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 xml:space="preserve">osiąganiu celów </w:t>
      </w:r>
      <w:r w:rsidRPr="00EE5470">
        <w:t>PI 4e</w:t>
      </w:r>
      <w:bookmarkEnd w:id="369"/>
      <w:r w:rsidRPr="00EE547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980"/>
        <w:gridCol w:w="1484"/>
        <w:gridCol w:w="1549"/>
        <w:gridCol w:w="1222"/>
        <w:gridCol w:w="1509"/>
      </w:tblGrid>
      <w:tr w:rsidR="004A3DBC" w:rsidRPr="00EE5470" w14:paraId="0350B0BD" w14:textId="77777777" w:rsidTr="00C22C26">
        <w:trPr>
          <w:tblHeader/>
        </w:trPr>
        <w:tc>
          <w:tcPr>
            <w:tcW w:w="2376" w:type="dxa"/>
            <w:shd w:val="clear" w:color="auto" w:fill="DBE5F1"/>
          </w:tcPr>
          <w:p w14:paraId="732C7074" w14:textId="77777777" w:rsidR="004A3DBC" w:rsidRPr="00404DA5" w:rsidRDefault="004A3DBC" w:rsidP="008B706B">
            <w:pPr>
              <w:jc w:val="center"/>
              <w:rPr>
                <w:rFonts w:cs="Calibri"/>
                <w:sz w:val="18"/>
                <w:szCs w:val="20"/>
              </w:rPr>
            </w:pPr>
          </w:p>
        </w:tc>
        <w:tc>
          <w:tcPr>
            <w:tcW w:w="980" w:type="dxa"/>
            <w:shd w:val="clear" w:color="auto" w:fill="DBE5F1"/>
            <w:hideMark/>
          </w:tcPr>
          <w:p w14:paraId="0AE30AEE" w14:textId="77777777" w:rsidR="004A3DBC" w:rsidRPr="00404DA5" w:rsidRDefault="004A3DBC" w:rsidP="008B706B">
            <w:pPr>
              <w:jc w:val="center"/>
              <w:rPr>
                <w:rFonts w:cs="Calibri"/>
                <w:sz w:val="18"/>
                <w:szCs w:val="20"/>
              </w:rPr>
            </w:pPr>
            <w:r w:rsidRPr="00404DA5">
              <w:rPr>
                <w:rFonts w:cs="Calibri"/>
                <w:sz w:val="18"/>
                <w:szCs w:val="20"/>
              </w:rPr>
              <w:t>Wartość docelowa (2023) na poziomie PI</w:t>
            </w:r>
          </w:p>
        </w:tc>
        <w:tc>
          <w:tcPr>
            <w:tcW w:w="1530" w:type="dxa"/>
            <w:shd w:val="clear" w:color="auto" w:fill="DBE5F1"/>
            <w:hideMark/>
          </w:tcPr>
          <w:p w14:paraId="4326F872" w14:textId="77777777" w:rsidR="004A3DBC" w:rsidRPr="00404DA5" w:rsidRDefault="004A3DBC" w:rsidP="008B706B">
            <w:pPr>
              <w:jc w:val="center"/>
              <w:rPr>
                <w:rFonts w:cs="Calibri"/>
                <w:sz w:val="18"/>
                <w:szCs w:val="20"/>
              </w:rPr>
            </w:pPr>
            <w:r w:rsidRPr="00404DA5">
              <w:rPr>
                <w:rFonts w:cs="Calibri"/>
                <w:sz w:val="18"/>
                <w:szCs w:val="18"/>
              </w:rPr>
              <w:t>Realizacja wartości docelowej wskaźnika (wg UoD)</w:t>
            </w:r>
          </w:p>
        </w:tc>
        <w:tc>
          <w:tcPr>
            <w:tcW w:w="1602" w:type="dxa"/>
            <w:shd w:val="clear" w:color="auto" w:fill="DBE5F1"/>
            <w:hideMark/>
          </w:tcPr>
          <w:p w14:paraId="4915F8CB" w14:textId="77777777" w:rsidR="004A3DBC" w:rsidRPr="00404DA5" w:rsidRDefault="004A3DBC" w:rsidP="008B706B">
            <w:pPr>
              <w:jc w:val="center"/>
              <w:rPr>
                <w:rFonts w:cs="Calibri"/>
                <w:sz w:val="18"/>
                <w:szCs w:val="20"/>
              </w:rPr>
            </w:pPr>
            <w:r w:rsidRPr="00404DA5">
              <w:rPr>
                <w:rFonts w:cs="Calibri"/>
                <w:sz w:val="18"/>
                <w:szCs w:val="18"/>
              </w:rPr>
              <w:t>% realizacji wartości docelowej (wg UoD)</w:t>
            </w:r>
          </w:p>
        </w:tc>
        <w:tc>
          <w:tcPr>
            <w:tcW w:w="1242" w:type="dxa"/>
            <w:shd w:val="clear" w:color="auto" w:fill="DBE5F1"/>
            <w:hideMark/>
          </w:tcPr>
          <w:p w14:paraId="6AF6533E" w14:textId="77777777" w:rsidR="004A3DBC" w:rsidRPr="00404DA5" w:rsidRDefault="004A3DBC" w:rsidP="008B706B">
            <w:pPr>
              <w:jc w:val="center"/>
              <w:rPr>
                <w:rFonts w:cs="Calibri"/>
                <w:sz w:val="18"/>
                <w:szCs w:val="20"/>
              </w:rPr>
            </w:pPr>
            <w:r w:rsidRPr="00404DA5">
              <w:rPr>
                <w:rFonts w:cs="Calibri"/>
                <w:sz w:val="18"/>
                <w:szCs w:val="18"/>
              </w:rPr>
              <w:t>Realizacja wartości docelowej wskaźnika (wg WoP)</w:t>
            </w:r>
          </w:p>
        </w:tc>
        <w:tc>
          <w:tcPr>
            <w:tcW w:w="1558" w:type="dxa"/>
            <w:shd w:val="clear" w:color="auto" w:fill="DBE5F1"/>
            <w:hideMark/>
          </w:tcPr>
          <w:p w14:paraId="06E46704" w14:textId="77777777" w:rsidR="004A3DBC" w:rsidRPr="00404DA5" w:rsidRDefault="004A3DBC" w:rsidP="008B706B">
            <w:pPr>
              <w:jc w:val="center"/>
              <w:rPr>
                <w:rFonts w:cs="Calibri"/>
                <w:sz w:val="18"/>
                <w:szCs w:val="20"/>
              </w:rPr>
            </w:pPr>
            <w:r w:rsidRPr="00404DA5">
              <w:rPr>
                <w:rFonts w:cs="Calibri"/>
                <w:sz w:val="18"/>
                <w:szCs w:val="18"/>
              </w:rPr>
              <w:t>% realizacji wartości docelowej (wg WoP)</w:t>
            </w:r>
          </w:p>
        </w:tc>
      </w:tr>
      <w:tr w:rsidR="004A3DBC" w:rsidRPr="00EE5470" w14:paraId="0E29F73E" w14:textId="77777777" w:rsidTr="00C22C26">
        <w:tc>
          <w:tcPr>
            <w:tcW w:w="9288" w:type="dxa"/>
            <w:gridSpan w:val="6"/>
            <w:shd w:val="clear" w:color="auto" w:fill="auto"/>
            <w:hideMark/>
          </w:tcPr>
          <w:p w14:paraId="4999038C" w14:textId="77777777" w:rsidR="004A3DBC" w:rsidRPr="00404DA5" w:rsidRDefault="004A3DBC" w:rsidP="009974B7">
            <w:pPr>
              <w:jc w:val="center"/>
              <w:rPr>
                <w:rFonts w:cs="Calibri"/>
                <w:sz w:val="18"/>
                <w:szCs w:val="20"/>
              </w:rPr>
            </w:pPr>
            <w:r w:rsidRPr="00404DA5">
              <w:rPr>
                <w:rFonts w:cs="Calibri"/>
                <w:sz w:val="18"/>
                <w:szCs w:val="20"/>
              </w:rPr>
              <w:t>Działanie 2.1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p>
        </w:tc>
      </w:tr>
      <w:tr w:rsidR="004A3DBC" w:rsidRPr="00EE5470" w14:paraId="462EE467" w14:textId="77777777" w:rsidTr="00C22C26">
        <w:tc>
          <w:tcPr>
            <w:tcW w:w="2376" w:type="dxa"/>
            <w:hideMark/>
          </w:tcPr>
          <w:p w14:paraId="7AFEC6C8" w14:textId="77777777" w:rsidR="004A3DBC" w:rsidRPr="00404DA5" w:rsidRDefault="004A3DBC" w:rsidP="009974B7">
            <w:pPr>
              <w:rPr>
                <w:rFonts w:cs="Calibri"/>
                <w:sz w:val="18"/>
                <w:szCs w:val="20"/>
              </w:rPr>
            </w:pPr>
            <w:r w:rsidRPr="00404DA5">
              <w:rPr>
                <w:rFonts w:cs="Calibri"/>
                <w:sz w:val="18"/>
                <w:szCs w:val="20"/>
              </w:rPr>
              <w:t>Długość ścieżek rowerowych</w:t>
            </w:r>
          </w:p>
        </w:tc>
        <w:tc>
          <w:tcPr>
            <w:tcW w:w="980" w:type="dxa"/>
            <w:vAlign w:val="center"/>
          </w:tcPr>
          <w:p w14:paraId="1B1CEEE1" w14:textId="77777777" w:rsidR="004A3DBC" w:rsidRPr="00404DA5" w:rsidRDefault="004A3DBC" w:rsidP="00C22C26">
            <w:pPr>
              <w:jc w:val="center"/>
              <w:rPr>
                <w:rFonts w:cs="Calibri"/>
                <w:sz w:val="18"/>
                <w:szCs w:val="20"/>
              </w:rPr>
            </w:pPr>
            <w:r w:rsidRPr="00404DA5">
              <w:rPr>
                <w:rFonts w:cs="Calibri"/>
                <w:sz w:val="18"/>
                <w:szCs w:val="20"/>
              </w:rPr>
              <w:t>88</w:t>
            </w:r>
          </w:p>
        </w:tc>
        <w:tc>
          <w:tcPr>
            <w:tcW w:w="1530" w:type="dxa"/>
            <w:vAlign w:val="center"/>
          </w:tcPr>
          <w:p w14:paraId="4004E9E8" w14:textId="77777777" w:rsidR="004A3DBC" w:rsidRPr="00404DA5" w:rsidRDefault="004A3DBC" w:rsidP="00C22C26">
            <w:pPr>
              <w:jc w:val="center"/>
              <w:rPr>
                <w:rFonts w:cs="Calibri"/>
                <w:sz w:val="18"/>
                <w:szCs w:val="20"/>
              </w:rPr>
            </w:pPr>
            <w:r w:rsidRPr="00404DA5">
              <w:rPr>
                <w:rFonts w:cs="Calibri"/>
                <w:sz w:val="18"/>
                <w:szCs w:val="20"/>
              </w:rPr>
              <w:t>20,43</w:t>
            </w:r>
          </w:p>
        </w:tc>
        <w:tc>
          <w:tcPr>
            <w:tcW w:w="1602" w:type="dxa"/>
            <w:vAlign w:val="center"/>
          </w:tcPr>
          <w:p w14:paraId="178E3DA7" w14:textId="77777777" w:rsidR="004A3DBC" w:rsidRPr="00404DA5" w:rsidRDefault="004A3DBC" w:rsidP="00C22C26">
            <w:pPr>
              <w:jc w:val="center"/>
              <w:rPr>
                <w:rFonts w:cs="Calibri"/>
                <w:sz w:val="18"/>
                <w:szCs w:val="20"/>
              </w:rPr>
            </w:pPr>
            <w:r w:rsidRPr="00404DA5">
              <w:rPr>
                <w:rFonts w:cs="Calibri"/>
                <w:sz w:val="18"/>
                <w:szCs w:val="20"/>
              </w:rPr>
              <w:t>23,2%</w:t>
            </w:r>
          </w:p>
        </w:tc>
        <w:tc>
          <w:tcPr>
            <w:tcW w:w="1242" w:type="dxa"/>
            <w:vAlign w:val="center"/>
          </w:tcPr>
          <w:p w14:paraId="46DFF760" w14:textId="77777777" w:rsidR="004A3DBC" w:rsidRPr="00404DA5" w:rsidRDefault="004A3DBC" w:rsidP="00C22C26">
            <w:pPr>
              <w:jc w:val="center"/>
              <w:rPr>
                <w:rFonts w:cs="Calibri"/>
                <w:sz w:val="18"/>
                <w:szCs w:val="20"/>
              </w:rPr>
            </w:pPr>
            <w:r w:rsidRPr="00404DA5">
              <w:rPr>
                <w:rFonts w:cs="Calibri"/>
                <w:sz w:val="18"/>
                <w:szCs w:val="20"/>
              </w:rPr>
              <w:t>10,82</w:t>
            </w:r>
          </w:p>
        </w:tc>
        <w:tc>
          <w:tcPr>
            <w:tcW w:w="1558" w:type="dxa"/>
            <w:vAlign w:val="center"/>
          </w:tcPr>
          <w:p w14:paraId="1921F133" w14:textId="77777777" w:rsidR="004A3DBC" w:rsidRPr="00404DA5" w:rsidRDefault="004A3DBC" w:rsidP="00C22C26">
            <w:pPr>
              <w:jc w:val="center"/>
              <w:rPr>
                <w:rFonts w:cs="Calibri"/>
                <w:sz w:val="18"/>
                <w:szCs w:val="20"/>
              </w:rPr>
            </w:pPr>
            <w:r w:rsidRPr="00404DA5">
              <w:rPr>
                <w:rFonts w:cs="Calibri"/>
                <w:sz w:val="18"/>
                <w:szCs w:val="20"/>
              </w:rPr>
              <w:t>12,3%</w:t>
            </w:r>
          </w:p>
        </w:tc>
      </w:tr>
      <w:tr w:rsidR="004A3DBC" w:rsidRPr="00EE5470" w14:paraId="6576DE2D" w14:textId="77777777" w:rsidTr="00C22C26">
        <w:tc>
          <w:tcPr>
            <w:tcW w:w="2376" w:type="dxa"/>
            <w:hideMark/>
          </w:tcPr>
          <w:p w14:paraId="0FFD2A13" w14:textId="77777777" w:rsidR="004A3DBC" w:rsidRPr="00404DA5" w:rsidRDefault="004A3DBC" w:rsidP="009974B7">
            <w:pPr>
              <w:rPr>
                <w:rFonts w:cs="Calibri"/>
                <w:sz w:val="18"/>
                <w:szCs w:val="20"/>
              </w:rPr>
            </w:pPr>
            <w:r w:rsidRPr="00404DA5">
              <w:rPr>
                <w:rFonts w:cs="Calibri"/>
                <w:sz w:val="18"/>
                <w:szCs w:val="20"/>
              </w:rPr>
              <w:t>Liczba zakupionych lub zmodernizowanych jednostek taboru pasażerskiego</w:t>
            </w:r>
            <w:r w:rsidR="00E66B89">
              <w:rPr>
                <w:rFonts w:cs="Calibri"/>
                <w:sz w:val="18"/>
                <w:szCs w:val="20"/>
              </w:rPr>
              <w:t xml:space="preserve"> w </w:t>
            </w:r>
            <w:r w:rsidRPr="00404DA5">
              <w:rPr>
                <w:rFonts w:cs="Calibri"/>
                <w:sz w:val="18"/>
                <w:szCs w:val="20"/>
              </w:rPr>
              <w:t>publicznym transporcie zbiorowym komunikacji miejskiej</w:t>
            </w:r>
          </w:p>
        </w:tc>
        <w:tc>
          <w:tcPr>
            <w:tcW w:w="980" w:type="dxa"/>
            <w:vAlign w:val="center"/>
          </w:tcPr>
          <w:p w14:paraId="7E43C888" w14:textId="77777777" w:rsidR="004A3DBC" w:rsidRPr="00404DA5" w:rsidRDefault="004A3DBC" w:rsidP="00C22C26">
            <w:pPr>
              <w:jc w:val="center"/>
              <w:rPr>
                <w:rFonts w:cs="Calibri"/>
                <w:sz w:val="18"/>
                <w:szCs w:val="20"/>
              </w:rPr>
            </w:pPr>
            <w:r w:rsidRPr="00404DA5">
              <w:rPr>
                <w:rFonts w:cs="Calibri"/>
                <w:sz w:val="18"/>
                <w:szCs w:val="20"/>
              </w:rPr>
              <w:t>84</w:t>
            </w:r>
          </w:p>
        </w:tc>
        <w:tc>
          <w:tcPr>
            <w:tcW w:w="1530" w:type="dxa"/>
            <w:vAlign w:val="center"/>
          </w:tcPr>
          <w:p w14:paraId="0970FB00" w14:textId="77777777" w:rsidR="004A3DBC" w:rsidRPr="00404DA5" w:rsidRDefault="004A3DBC" w:rsidP="00C22C26">
            <w:pPr>
              <w:jc w:val="center"/>
              <w:rPr>
                <w:rFonts w:cs="Calibri"/>
                <w:sz w:val="18"/>
                <w:szCs w:val="20"/>
              </w:rPr>
            </w:pPr>
            <w:r w:rsidRPr="00404DA5">
              <w:rPr>
                <w:rFonts w:cs="Calibri"/>
                <w:sz w:val="18"/>
                <w:szCs w:val="20"/>
              </w:rPr>
              <w:t>43</w:t>
            </w:r>
          </w:p>
        </w:tc>
        <w:tc>
          <w:tcPr>
            <w:tcW w:w="1602" w:type="dxa"/>
            <w:vAlign w:val="center"/>
          </w:tcPr>
          <w:p w14:paraId="4E59F090" w14:textId="77777777" w:rsidR="004A3DBC" w:rsidRPr="00404DA5" w:rsidRDefault="004A3DBC" w:rsidP="00C22C26">
            <w:pPr>
              <w:jc w:val="center"/>
              <w:rPr>
                <w:rFonts w:cs="Calibri"/>
                <w:sz w:val="18"/>
                <w:szCs w:val="20"/>
              </w:rPr>
            </w:pPr>
            <w:r w:rsidRPr="00404DA5">
              <w:rPr>
                <w:rFonts w:cs="Calibri"/>
                <w:sz w:val="18"/>
                <w:szCs w:val="20"/>
              </w:rPr>
              <w:t>51,2%</w:t>
            </w:r>
          </w:p>
        </w:tc>
        <w:tc>
          <w:tcPr>
            <w:tcW w:w="1242" w:type="dxa"/>
            <w:vAlign w:val="center"/>
          </w:tcPr>
          <w:p w14:paraId="6B6E9BAD" w14:textId="77777777" w:rsidR="004A3DBC" w:rsidRPr="00404DA5" w:rsidRDefault="004A3DBC" w:rsidP="00C22C26">
            <w:pPr>
              <w:jc w:val="center"/>
              <w:rPr>
                <w:rFonts w:cs="Calibri"/>
                <w:sz w:val="18"/>
                <w:szCs w:val="20"/>
              </w:rPr>
            </w:pPr>
            <w:r w:rsidRPr="00404DA5">
              <w:rPr>
                <w:rFonts w:cs="Calibri"/>
                <w:sz w:val="18"/>
                <w:szCs w:val="20"/>
              </w:rPr>
              <w:t>4</w:t>
            </w:r>
          </w:p>
        </w:tc>
        <w:tc>
          <w:tcPr>
            <w:tcW w:w="1558" w:type="dxa"/>
            <w:vAlign w:val="center"/>
          </w:tcPr>
          <w:p w14:paraId="0D57341C" w14:textId="77777777" w:rsidR="004A3DBC" w:rsidRPr="00404DA5" w:rsidRDefault="004A3DBC" w:rsidP="00C22C26">
            <w:pPr>
              <w:jc w:val="center"/>
              <w:rPr>
                <w:rFonts w:cs="Calibri"/>
                <w:sz w:val="18"/>
                <w:szCs w:val="20"/>
              </w:rPr>
            </w:pPr>
            <w:r w:rsidRPr="00404DA5">
              <w:rPr>
                <w:rFonts w:cs="Calibri"/>
                <w:sz w:val="18"/>
                <w:szCs w:val="20"/>
              </w:rPr>
              <w:t>4,8%</w:t>
            </w:r>
          </w:p>
        </w:tc>
      </w:tr>
      <w:tr w:rsidR="004A3DBC" w:rsidRPr="00EE5470" w14:paraId="16215B37" w14:textId="77777777" w:rsidTr="00C22C26">
        <w:tc>
          <w:tcPr>
            <w:tcW w:w="2376" w:type="dxa"/>
          </w:tcPr>
          <w:p w14:paraId="1C36538B" w14:textId="77777777" w:rsidR="004A3DBC" w:rsidRPr="00404DA5" w:rsidRDefault="004A3DBC" w:rsidP="009974B7">
            <w:pPr>
              <w:rPr>
                <w:rFonts w:cs="Calibri"/>
                <w:sz w:val="18"/>
                <w:szCs w:val="20"/>
              </w:rPr>
            </w:pPr>
            <w:r w:rsidRPr="00404DA5">
              <w:rPr>
                <w:rFonts w:cs="Calibri"/>
                <w:sz w:val="18"/>
                <w:szCs w:val="20"/>
              </w:rPr>
              <w:t>Liczba wybudowanych zintegrowanych węzłów przesiadkowych</w:t>
            </w:r>
          </w:p>
        </w:tc>
        <w:tc>
          <w:tcPr>
            <w:tcW w:w="980" w:type="dxa"/>
            <w:vAlign w:val="center"/>
          </w:tcPr>
          <w:p w14:paraId="6B2FC440" w14:textId="77777777" w:rsidR="004A3DBC" w:rsidRPr="00404DA5" w:rsidRDefault="004A3DBC" w:rsidP="00C22C26">
            <w:pPr>
              <w:jc w:val="center"/>
              <w:rPr>
                <w:rFonts w:cs="Calibri"/>
                <w:sz w:val="18"/>
                <w:szCs w:val="20"/>
              </w:rPr>
            </w:pPr>
            <w:r w:rsidRPr="00404DA5">
              <w:rPr>
                <w:rFonts w:cs="Calibri"/>
                <w:sz w:val="18"/>
                <w:szCs w:val="20"/>
              </w:rPr>
              <w:t>6</w:t>
            </w:r>
          </w:p>
        </w:tc>
        <w:tc>
          <w:tcPr>
            <w:tcW w:w="1530" w:type="dxa"/>
            <w:vAlign w:val="center"/>
          </w:tcPr>
          <w:p w14:paraId="2288B367" w14:textId="77777777" w:rsidR="004A3DBC" w:rsidRPr="00404DA5" w:rsidRDefault="004A3DBC" w:rsidP="00C22C26">
            <w:pPr>
              <w:jc w:val="center"/>
              <w:rPr>
                <w:rFonts w:cs="Calibri"/>
                <w:sz w:val="18"/>
                <w:szCs w:val="20"/>
              </w:rPr>
            </w:pPr>
            <w:r w:rsidRPr="00404DA5">
              <w:rPr>
                <w:rFonts w:cs="Calibri"/>
                <w:sz w:val="18"/>
                <w:szCs w:val="20"/>
              </w:rPr>
              <w:t>0</w:t>
            </w:r>
          </w:p>
        </w:tc>
        <w:tc>
          <w:tcPr>
            <w:tcW w:w="1602" w:type="dxa"/>
            <w:vAlign w:val="center"/>
          </w:tcPr>
          <w:p w14:paraId="71573C79" w14:textId="77777777" w:rsidR="004A3DBC" w:rsidRPr="00404DA5" w:rsidRDefault="004A3DBC" w:rsidP="00C22C26">
            <w:pPr>
              <w:jc w:val="center"/>
              <w:rPr>
                <w:rFonts w:cs="Calibri"/>
                <w:sz w:val="18"/>
                <w:szCs w:val="20"/>
              </w:rPr>
            </w:pPr>
            <w:r w:rsidRPr="00404DA5">
              <w:rPr>
                <w:rFonts w:cs="Calibri"/>
                <w:sz w:val="18"/>
                <w:szCs w:val="20"/>
              </w:rPr>
              <w:t>0%</w:t>
            </w:r>
          </w:p>
        </w:tc>
        <w:tc>
          <w:tcPr>
            <w:tcW w:w="1242" w:type="dxa"/>
            <w:vAlign w:val="center"/>
          </w:tcPr>
          <w:p w14:paraId="3AB7E7CB" w14:textId="77777777" w:rsidR="00E214CA" w:rsidRDefault="00E214CA" w:rsidP="00C22C26">
            <w:pPr>
              <w:jc w:val="center"/>
              <w:rPr>
                <w:rFonts w:cs="Calibri"/>
                <w:sz w:val="18"/>
                <w:szCs w:val="20"/>
              </w:rPr>
            </w:pPr>
          </w:p>
          <w:p w14:paraId="3C4417B6" w14:textId="77777777" w:rsidR="004A3DBC" w:rsidRPr="00404DA5" w:rsidRDefault="004A3DBC" w:rsidP="00C22C26">
            <w:pPr>
              <w:jc w:val="center"/>
              <w:rPr>
                <w:rFonts w:cs="Calibri"/>
                <w:sz w:val="18"/>
                <w:szCs w:val="20"/>
              </w:rPr>
            </w:pPr>
            <w:r w:rsidRPr="00404DA5">
              <w:rPr>
                <w:rFonts w:cs="Calibri"/>
                <w:sz w:val="18"/>
                <w:szCs w:val="20"/>
              </w:rPr>
              <w:t>0</w:t>
            </w:r>
          </w:p>
          <w:p w14:paraId="1B4E671A" w14:textId="77777777" w:rsidR="004A3DBC" w:rsidRPr="00404DA5" w:rsidRDefault="004A3DBC" w:rsidP="00C22C26">
            <w:pPr>
              <w:jc w:val="center"/>
              <w:rPr>
                <w:rFonts w:cs="Calibri"/>
                <w:sz w:val="18"/>
                <w:szCs w:val="20"/>
              </w:rPr>
            </w:pPr>
          </w:p>
        </w:tc>
        <w:tc>
          <w:tcPr>
            <w:tcW w:w="1558" w:type="dxa"/>
            <w:vAlign w:val="center"/>
          </w:tcPr>
          <w:p w14:paraId="29D61CF3"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20AE0D56" w14:textId="77777777" w:rsidTr="00C22C26">
        <w:tc>
          <w:tcPr>
            <w:tcW w:w="2376" w:type="dxa"/>
          </w:tcPr>
          <w:p w14:paraId="18B504A8" w14:textId="77777777" w:rsidR="004A3DBC" w:rsidRPr="00404DA5" w:rsidRDefault="004A3DBC" w:rsidP="009974B7">
            <w:pPr>
              <w:rPr>
                <w:rFonts w:cs="Calibri"/>
                <w:sz w:val="18"/>
                <w:szCs w:val="20"/>
              </w:rPr>
            </w:pPr>
            <w:r w:rsidRPr="00404DA5">
              <w:rPr>
                <w:rFonts w:cs="Calibri"/>
                <w:sz w:val="18"/>
                <w:szCs w:val="20"/>
              </w:rPr>
              <w:t>Liczba zainstalowanych inteligentnych systemów transportowych</w:t>
            </w:r>
          </w:p>
        </w:tc>
        <w:tc>
          <w:tcPr>
            <w:tcW w:w="980" w:type="dxa"/>
            <w:vAlign w:val="center"/>
          </w:tcPr>
          <w:p w14:paraId="738052EE" w14:textId="77777777" w:rsidR="004A3DBC" w:rsidRPr="00404DA5" w:rsidRDefault="004A3DBC" w:rsidP="00C22C26">
            <w:pPr>
              <w:jc w:val="center"/>
              <w:rPr>
                <w:rFonts w:cs="Calibri"/>
                <w:sz w:val="18"/>
                <w:szCs w:val="20"/>
              </w:rPr>
            </w:pPr>
            <w:r w:rsidRPr="00404DA5">
              <w:rPr>
                <w:rFonts w:cs="Calibri"/>
                <w:sz w:val="18"/>
                <w:szCs w:val="20"/>
              </w:rPr>
              <w:t>3</w:t>
            </w:r>
          </w:p>
        </w:tc>
        <w:tc>
          <w:tcPr>
            <w:tcW w:w="1530" w:type="dxa"/>
            <w:vAlign w:val="center"/>
          </w:tcPr>
          <w:p w14:paraId="1CFA739E" w14:textId="77777777" w:rsidR="004A3DBC" w:rsidRPr="00404DA5" w:rsidRDefault="004A3DBC" w:rsidP="00C22C26">
            <w:pPr>
              <w:jc w:val="center"/>
              <w:rPr>
                <w:rFonts w:cs="Calibri"/>
                <w:sz w:val="18"/>
                <w:szCs w:val="20"/>
              </w:rPr>
            </w:pPr>
            <w:r w:rsidRPr="00404DA5">
              <w:rPr>
                <w:rFonts w:cs="Calibri"/>
                <w:sz w:val="18"/>
                <w:szCs w:val="20"/>
              </w:rPr>
              <w:t>0</w:t>
            </w:r>
          </w:p>
        </w:tc>
        <w:tc>
          <w:tcPr>
            <w:tcW w:w="1602" w:type="dxa"/>
            <w:vAlign w:val="center"/>
          </w:tcPr>
          <w:p w14:paraId="4F323151" w14:textId="77777777" w:rsidR="004A3DBC" w:rsidRPr="00404DA5" w:rsidRDefault="004A3DBC" w:rsidP="00C22C26">
            <w:pPr>
              <w:jc w:val="center"/>
              <w:rPr>
                <w:rFonts w:cs="Calibri"/>
                <w:sz w:val="18"/>
                <w:szCs w:val="20"/>
              </w:rPr>
            </w:pPr>
            <w:r w:rsidRPr="00404DA5">
              <w:rPr>
                <w:rFonts w:cs="Calibri"/>
                <w:sz w:val="18"/>
                <w:szCs w:val="20"/>
              </w:rPr>
              <w:t>0%</w:t>
            </w:r>
          </w:p>
        </w:tc>
        <w:tc>
          <w:tcPr>
            <w:tcW w:w="1242" w:type="dxa"/>
            <w:vAlign w:val="center"/>
          </w:tcPr>
          <w:p w14:paraId="539ABDC0" w14:textId="77777777" w:rsidR="00E214CA" w:rsidRDefault="00E214CA" w:rsidP="00C22C26">
            <w:pPr>
              <w:jc w:val="center"/>
              <w:rPr>
                <w:rFonts w:cs="Calibri"/>
                <w:sz w:val="18"/>
                <w:szCs w:val="20"/>
              </w:rPr>
            </w:pPr>
          </w:p>
          <w:p w14:paraId="726E59F8" w14:textId="77777777" w:rsidR="004A3DBC" w:rsidRPr="00404DA5" w:rsidRDefault="004A3DBC" w:rsidP="00C22C26">
            <w:pPr>
              <w:jc w:val="center"/>
              <w:rPr>
                <w:rFonts w:cs="Calibri"/>
                <w:sz w:val="18"/>
                <w:szCs w:val="20"/>
              </w:rPr>
            </w:pPr>
            <w:r w:rsidRPr="00404DA5">
              <w:rPr>
                <w:rFonts w:cs="Calibri"/>
                <w:sz w:val="18"/>
                <w:szCs w:val="20"/>
              </w:rPr>
              <w:t>0</w:t>
            </w:r>
          </w:p>
          <w:p w14:paraId="0E7E7C87" w14:textId="77777777" w:rsidR="004A3DBC" w:rsidRPr="00404DA5" w:rsidRDefault="004A3DBC" w:rsidP="00C22C26">
            <w:pPr>
              <w:jc w:val="center"/>
              <w:rPr>
                <w:rFonts w:cs="Calibri"/>
                <w:sz w:val="18"/>
                <w:szCs w:val="20"/>
              </w:rPr>
            </w:pPr>
          </w:p>
        </w:tc>
        <w:tc>
          <w:tcPr>
            <w:tcW w:w="1558" w:type="dxa"/>
            <w:vAlign w:val="center"/>
          </w:tcPr>
          <w:p w14:paraId="257BFD38"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1BAB4F80" w14:textId="77777777" w:rsidTr="00C22C26">
        <w:tc>
          <w:tcPr>
            <w:tcW w:w="9288" w:type="dxa"/>
            <w:gridSpan w:val="6"/>
            <w:shd w:val="clear" w:color="auto" w:fill="auto"/>
            <w:hideMark/>
          </w:tcPr>
          <w:p w14:paraId="5042545D" w14:textId="77777777" w:rsidR="004A3DBC" w:rsidRPr="00404DA5" w:rsidRDefault="004A3DBC" w:rsidP="009974B7">
            <w:pPr>
              <w:jc w:val="center"/>
              <w:rPr>
                <w:rFonts w:cs="Calibri"/>
                <w:sz w:val="18"/>
                <w:szCs w:val="20"/>
              </w:rPr>
            </w:pPr>
            <w:r w:rsidRPr="00404DA5">
              <w:rPr>
                <w:rFonts w:cs="Calibri"/>
                <w:sz w:val="18"/>
                <w:szCs w:val="20"/>
              </w:rPr>
              <w:t>Działanie 2.2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Strategii ZIT dla Szczecińskiego Obszaru Metropolitalnego</w:t>
            </w:r>
          </w:p>
        </w:tc>
      </w:tr>
      <w:tr w:rsidR="004A3DBC" w:rsidRPr="00EE5470" w14:paraId="43EC46E8" w14:textId="77777777" w:rsidTr="00C22C26">
        <w:tc>
          <w:tcPr>
            <w:tcW w:w="2376" w:type="dxa"/>
            <w:hideMark/>
          </w:tcPr>
          <w:p w14:paraId="1615A191" w14:textId="77777777" w:rsidR="004A3DBC" w:rsidRPr="00404DA5" w:rsidRDefault="004A3DBC" w:rsidP="009974B7">
            <w:pPr>
              <w:rPr>
                <w:rFonts w:cs="Calibri"/>
                <w:sz w:val="18"/>
                <w:szCs w:val="20"/>
              </w:rPr>
            </w:pPr>
            <w:r w:rsidRPr="00404DA5">
              <w:rPr>
                <w:rFonts w:cs="Calibri"/>
                <w:sz w:val="18"/>
                <w:szCs w:val="20"/>
              </w:rPr>
              <w:t>Długość ścieżek rowerowych</w:t>
            </w:r>
          </w:p>
        </w:tc>
        <w:tc>
          <w:tcPr>
            <w:tcW w:w="980" w:type="dxa"/>
            <w:vAlign w:val="center"/>
          </w:tcPr>
          <w:p w14:paraId="56E3F6C4" w14:textId="77777777" w:rsidR="004A3DBC" w:rsidRPr="00404DA5" w:rsidRDefault="004A3DBC" w:rsidP="00C22C26">
            <w:pPr>
              <w:jc w:val="center"/>
              <w:rPr>
                <w:rFonts w:cs="Calibri"/>
                <w:sz w:val="18"/>
                <w:szCs w:val="20"/>
              </w:rPr>
            </w:pPr>
            <w:r w:rsidRPr="00404DA5">
              <w:rPr>
                <w:rFonts w:cs="Calibri"/>
                <w:sz w:val="18"/>
                <w:szCs w:val="20"/>
              </w:rPr>
              <w:t>119</w:t>
            </w:r>
          </w:p>
        </w:tc>
        <w:tc>
          <w:tcPr>
            <w:tcW w:w="1530" w:type="dxa"/>
            <w:vAlign w:val="center"/>
          </w:tcPr>
          <w:p w14:paraId="027E94CC" w14:textId="77777777" w:rsidR="004A3DBC" w:rsidRPr="00404DA5" w:rsidRDefault="004A3DBC" w:rsidP="00C22C26">
            <w:pPr>
              <w:jc w:val="center"/>
              <w:rPr>
                <w:rFonts w:cs="Calibri"/>
                <w:sz w:val="18"/>
                <w:szCs w:val="20"/>
              </w:rPr>
            </w:pPr>
            <w:r w:rsidRPr="00404DA5">
              <w:rPr>
                <w:rFonts w:cs="Calibri"/>
                <w:sz w:val="18"/>
                <w:szCs w:val="20"/>
              </w:rPr>
              <w:t>38,03</w:t>
            </w:r>
          </w:p>
        </w:tc>
        <w:tc>
          <w:tcPr>
            <w:tcW w:w="1602" w:type="dxa"/>
            <w:vAlign w:val="center"/>
          </w:tcPr>
          <w:p w14:paraId="4D1F168C" w14:textId="77777777" w:rsidR="004A3DBC" w:rsidRPr="00404DA5" w:rsidRDefault="004A3DBC" w:rsidP="00C22C26">
            <w:pPr>
              <w:jc w:val="center"/>
              <w:rPr>
                <w:rFonts w:cs="Calibri"/>
                <w:sz w:val="18"/>
                <w:szCs w:val="20"/>
              </w:rPr>
            </w:pPr>
            <w:r w:rsidRPr="00404DA5">
              <w:rPr>
                <w:rFonts w:cs="Calibri"/>
                <w:sz w:val="18"/>
                <w:szCs w:val="20"/>
              </w:rPr>
              <w:t>43,2%</w:t>
            </w:r>
          </w:p>
        </w:tc>
        <w:tc>
          <w:tcPr>
            <w:tcW w:w="1242" w:type="dxa"/>
            <w:vAlign w:val="center"/>
          </w:tcPr>
          <w:p w14:paraId="3CB0DACB" w14:textId="77777777" w:rsidR="004A3DBC" w:rsidRPr="00404DA5" w:rsidRDefault="004A3DBC" w:rsidP="00C22C26">
            <w:pPr>
              <w:jc w:val="center"/>
              <w:rPr>
                <w:rFonts w:cs="Calibri"/>
                <w:sz w:val="18"/>
                <w:szCs w:val="20"/>
              </w:rPr>
            </w:pPr>
            <w:r w:rsidRPr="00404DA5">
              <w:rPr>
                <w:rFonts w:cs="Calibri"/>
                <w:sz w:val="18"/>
                <w:szCs w:val="20"/>
              </w:rPr>
              <w:t>0,96</w:t>
            </w:r>
          </w:p>
        </w:tc>
        <w:tc>
          <w:tcPr>
            <w:tcW w:w="1558" w:type="dxa"/>
            <w:vAlign w:val="center"/>
          </w:tcPr>
          <w:p w14:paraId="67C677BC" w14:textId="77777777" w:rsidR="004A3DBC" w:rsidRPr="00404DA5" w:rsidRDefault="004A3DBC" w:rsidP="00C22C26">
            <w:pPr>
              <w:jc w:val="center"/>
              <w:rPr>
                <w:rFonts w:cs="Calibri"/>
                <w:sz w:val="18"/>
                <w:szCs w:val="20"/>
              </w:rPr>
            </w:pPr>
            <w:r w:rsidRPr="00404DA5">
              <w:rPr>
                <w:rFonts w:cs="Calibri"/>
                <w:sz w:val="18"/>
                <w:szCs w:val="20"/>
              </w:rPr>
              <w:t>1,1%</w:t>
            </w:r>
          </w:p>
        </w:tc>
      </w:tr>
      <w:tr w:rsidR="004A3DBC" w:rsidRPr="00EE5470" w14:paraId="14A2555C" w14:textId="77777777" w:rsidTr="00C22C26">
        <w:tc>
          <w:tcPr>
            <w:tcW w:w="2376" w:type="dxa"/>
          </w:tcPr>
          <w:p w14:paraId="5A69036D" w14:textId="77777777" w:rsidR="004A3DBC" w:rsidRPr="00404DA5" w:rsidRDefault="004A3DBC" w:rsidP="009974B7">
            <w:pPr>
              <w:rPr>
                <w:rFonts w:cs="Calibri"/>
                <w:sz w:val="18"/>
                <w:szCs w:val="20"/>
              </w:rPr>
            </w:pPr>
            <w:r w:rsidRPr="00404DA5">
              <w:rPr>
                <w:rFonts w:cs="Calibri"/>
                <w:sz w:val="18"/>
                <w:szCs w:val="20"/>
              </w:rPr>
              <w:t>Liczba zakupionych lub zmodernizowanych jednostek taboru pasażerskiego</w:t>
            </w:r>
            <w:r w:rsidR="00E66B89">
              <w:rPr>
                <w:rFonts w:cs="Calibri"/>
                <w:sz w:val="18"/>
                <w:szCs w:val="20"/>
              </w:rPr>
              <w:t xml:space="preserve"> w </w:t>
            </w:r>
            <w:r w:rsidRPr="00404DA5">
              <w:rPr>
                <w:rFonts w:cs="Calibri"/>
                <w:sz w:val="18"/>
                <w:szCs w:val="20"/>
              </w:rPr>
              <w:t xml:space="preserve">publicznym transporcie </w:t>
            </w:r>
            <w:r w:rsidRPr="00404DA5">
              <w:rPr>
                <w:rFonts w:cs="Calibri"/>
                <w:sz w:val="18"/>
                <w:szCs w:val="20"/>
              </w:rPr>
              <w:lastRenderedPageBreak/>
              <w:t>zbiorowym komunikacji miejskiej</w:t>
            </w:r>
          </w:p>
        </w:tc>
        <w:tc>
          <w:tcPr>
            <w:tcW w:w="980" w:type="dxa"/>
            <w:vAlign w:val="center"/>
          </w:tcPr>
          <w:p w14:paraId="09B561F0" w14:textId="77777777" w:rsidR="004A3DBC" w:rsidRPr="00404DA5" w:rsidRDefault="004A3DBC" w:rsidP="00C22C26">
            <w:pPr>
              <w:jc w:val="center"/>
              <w:rPr>
                <w:rFonts w:cs="Calibri"/>
                <w:sz w:val="18"/>
                <w:szCs w:val="20"/>
              </w:rPr>
            </w:pPr>
            <w:r w:rsidRPr="00404DA5">
              <w:rPr>
                <w:rFonts w:cs="Calibri"/>
                <w:sz w:val="18"/>
                <w:szCs w:val="20"/>
              </w:rPr>
              <w:lastRenderedPageBreak/>
              <w:t>84</w:t>
            </w:r>
          </w:p>
        </w:tc>
        <w:tc>
          <w:tcPr>
            <w:tcW w:w="1530" w:type="dxa"/>
            <w:vAlign w:val="center"/>
          </w:tcPr>
          <w:p w14:paraId="0E7AF8E6" w14:textId="77777777" w:rsidR="004A3DBC" w:rsidRPr="00404DA5" w:rsidRDefault="004A3DBC" w:rsidP="00C22C26">
            <w:pPr>
              <w:jc w:val="center"/>
              <w:rPr>
                <w:rFonts w:cs="Calibri"/>
                <w:sz w:val="18"/>
                <w:szCs w:val="20"/>
              </w:rPr>
            </w:pPr>
            <w:r w:rsidRPr="00404DA5">
              <w:rPr>
                <w:rFonts w:cs="Calibri"/>
                <w:sz w:val="18"/>
                <w:szCs w:val="20"/>
              </w:rPr>
              <w:t>40</w:t>
            </w:r>
          </w:p>
        </w:tc>
        <w:tc>
          <w:tcPr>
            <w:tcW w:w="1602" w:type="dxa"/>
            <w:vAlign w:val="center"/>
          </w:tcPr>
          <w:p w14:paraId="1EAB58B0" w14:textId="77777777" w:rsidR="004A3DBC" w:rsidRPr="00404DA5" w:rsidRDefault="004A3DBC" w:rsidP="00C22C26">
            <w:pPr>
              <w:jc w:val="center"/>
              <w:rPr>
                <w:rFonts w:cs="Calibri"/>
                <w:sz w:val="18"/>
                <w:szCs w:val="20"/>
              </w:rPr>
            </w:pPr>
            <w:r w:rsidRPr="00404DA5">
              <w:rPr>
                <w:rFonts w:cs="Calibri"/>
                <w:sz w:val="18"/>
                <w:szCs w:val="20"/>
              </w:rPr>
              <w:t>47,6%</w:t>
            </w:r>
          </w:p>
        </w:tc>
        <w:tc>
          <w:tcPr>
            <w:tcW w:w="1242" w:type="dxa"/>
            <w:vAlign w:val="center"/>
          </w:tcPr>
          <w:p w14:paraId="2E761634" w14:textId="77777777" w:rsidR="004A3DBC" w:rsidRPr="00404DA5" w:rsidRDefault="004A3DBC" w:rsidP="00C22C26">
            <w:pPr>
              <w:jc w:val="center"/>
              <w:rPr>
                <w:rFonts w:cs="Calibri"/>
                <w:sz w:val="18"/>
                <w:szCs w:val="20"/>
              </w:rPr>
            </w:pPr>
            <w:r w:rsidRPr="00404DA5">
              <w:rPr>
                <w:rFonts w:cs="Calibri"/>
                <w:sz w:val="18"/>
                <w:szCs w:val="20"/>
              </w:rPr>
              <w:t>30</w:t>
            </w:r>
          </w:p>
        </w:tc>
        <w:tc>
          <w:tcPr>
            <w:tcW w:w="1558" w:type="dxa"/>
            <w:vAlign w:val="center"/>
          </w:tcPr>
          <w:p w14:paraId="033EA090" w14:textId="77777777" w:rsidR="004A3DBC" w:rsidRPr="00404DA5" w:rsidRDefault="004A3DBC" w:rsidP="00C22C26">
            <w:pPr>
              <w:jc w:val="center"/>
              <w:rPr>
                <w:rFonts w:cs="Calibri"/>
                <w:sz w:val="18"/>
                <w:szCs w:val="20"/>
              </w:rPr>
            </w:pPr>
            <w:r w:rsidRPr="00404DA5">
              <w:rPr>
                <w:rFonts w:cs="Calibri"/>
                <w:sz w:val="18"/>
                <w:szCs w:val="20"/>
              </w:rPr>
              <w:t>35,7%</w:t>
            </w:r>
          </w:p>
        </w:tc>
      </w:tr>
      <w:tr w:rsidR="004A3DBC" w:rsidRPr="00EE5470" w14:paraId="76618ED7" w14:textId="77777777" w:rsidTr="00C22C26">
        <w:tc>
          <w:tcPr>
            <w:tcW w:w="2376" w:type="dxa"/>
          </w:tcPr>
          <w:p w14:paraId="32B161DF" w14:textId="77777777" w:rsidR="004A3DBC" w:rsidRPr="00404DA5" w:rsidRDefault="004A3DBC" w:rsidP="009974B7">
            <w:pPr>
              <w:rPr>
                <w:rFonts w:cs="Calibri"/>
                <w:sz w:val="18"/>
                <w:szCs w:val="20"/>
              </w:rPr>
            </w:pPr>
            <w:r w:rsidRPr="00404DA5">
              <w:rPr>
                <w:rFonts w:cs="Calibri"/>
                <w:sz w:val="18"/>
                <w:szCs w:val="20"/>
              </w:rPr>
              <w:t>Liczba wybudowanych zintegrowanych węzłów przesiadkowych</w:t>
            </w:r>
          </w:p>
        </w:tc>
        <w:tc>
          <w:tcPr>
            <w:tcW w:w="980" w:type="dxa"/>
            <w:vAlign w:val="center"/>
          </w:tcPr>
          <w:p w14:paraId="5A048260" w14:textId="77777777" w:rsidR="004A3DBC" w:rsidRPr="00404DA5" w:rsidRDefault="004A3DBC" w:rsidP="00C22C26">
            <w:pPr>
              <w:jc w:val="center"/>
              <w:rPr>
                <w:rFonts w:cs="Calibri"/>
                <w:sz w:val="18"/>
                <w:szCs w:val="20"/>
              </w:rPr>
            </w:pPr>
            <w:r w:rsidRPr="00404DA5">
              <w:rPr>
                <w:rFonts w:cs="Calibri"/>
                <w:sz w:val="18"/>
                <w:szCs w:val="20"/>
              </w:rPr>
              <w:t>6</w:t>
            </w:r>
          </w:p>
        </w:tc>
        <w:tc>
          <w:tcPr>
            <w:tcW w:w="1530" w:type="dxa"/>
            <w:vAlign w:val="center"/>
          </w:tcPr>
          <w:p w14:paraId="7A0A78F5" w14:textId="77777777" w:rsidR="004A3DBC" w:rsidRPr="00404DA5" w:rsidRDefault="004A3DBC" w:rsidP="00C22C26">
            <w:pPr>
              <w:jc w:val="center"/>
              <w:rPr>
                <w:rFonts w:cs="Calibri"/>
                <w:sz w:val="18"/>
                <w:szCs w:val="20"/>
              </w:rPr>
            </w:pPr>
            <w:r w:rsidRPr="00404DA5">
              <w:rPr>
                <w:rFonts w:cs="Calibri"/>
                <w:sz w:val="18"/>
                <w:szCs w:val="20"/>
              </w:rPr>
              <w:t>6</w:t>
            </w:r>
          </w:p>
        </w:tc>
        <w:tc>
          <w:tcPr>
            <w:tcW w:w="1602" w:type="dxa"/>
            <w:vAlign w:val="center"/>
          </w:tcPr>
          <w:p w14:paraId="7ECF5845" w14:textId="77777777" w:rsidR="004A3DBC" w:rsidRPr="00404DA5" w:rsidRDefault="004A3DBC" w:rsidP="00C22C26">
            <w:pPr>
              <w:jc w:val="center"/>
              <w:rPr>
                <w:rFonts w:cs="Calibri"/>
                <w:sz w:val="18"/>
                <w:szCs w:val="20"/>
              </w:rPr>
            </w:pPr>
            <w:r w:rsidRPr="00404DA5">
              <w:rPr>
                <w:rFonts w:cs="Calibri"/>
                <w:sz w:val="18"/>
                <w:szCs w:val="20"/>
              </w:rPr>
              <w:t>100%</w:t>
            </w:r>
          </w:p>
        </w:tc>
        <w:tc>
          <w:tcPr>
            <w:tcW w:w="1242" w:type="dxa"/>
            <w:vAlign w:val="center"/>
          </w:tcPr>
          <w:p w14:paraId="737A4646" w14:textId="77777777" w:rsidR="00D56804" w:rsidRDefault="00D56804" w:rsidP="00C22C26">
            <w:pPr>
              <w:jc w:val="center"/>
              <w:rPr>
                <w:rFonts w:cs="Calibri"/>
                <w:sz w:val="18"/>
                <w:szCs w:val="20"/>
              </w:rPr>
            </w:pPr>
          </w:p>
          <w:p w14:paraId="34E6EB55" w14:textId="77777777" w:rsidR="004A3DBC" w:rsidRPr="00404DA5" w:rsidRDefault="004A3DBC" w:rsidP="00C22C26">
            <w:pPr>
              <w:jc w:val="center"/>
              <w:rPr>
                <w:rFonts w:cs="Calibri"/>
                <w:sz w:val="18"/>
                <w:szCs w:val="20"/>
              </w:rPr>
            </w:pPr>
            <w:r w:rsidRPr="00404DA5">
              <w:rPr>
                <w:rFonts w:cs="Calibri"/>
                <w:sz w:val="18"/>
                <w:szCs w:val="20"/>
              </w:rPr>
              <w:t>0</w:t>
            </w:r>
          </w:p>
          <w:p w14:paraId="19DEF81E" w14:textId="77777777" w:rsidR="004A3DBC" w:rsidRPr="00404DA5" w:rsidRDefault="004A3DBC" w:rsidP="00C22C26">
            <w:pPr>
              <w:jc w:val="center"/>
              <w:rPr>
                <w:rFonts w:cs="Calibri"/>
                <w:sz w:val="18"/>
                <w:szCs w:val="20"/>
              </w:rPr>
            </w:pPr>
          </w:p>
        </w:tc>
        <w:tc>
          <w:tcPr>
            <w:tcW w:w="1558" w:type="dxa"/>
            <w:vAlign w:val="center"/>
          </w:tcPr>
          <w:p w14:paraId="19E16161"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0D7E1324" w14:textId="77777777" w:rsidTr="00C22C26">
        <w:tc>
          <w:tcPr>
            <w:tcW w:w="2376" w:type="dxa"/>
          </w:tcPr>
          <w:p w14:paraId="17B1CEAF" w14:textId="77777777" w:rsidR="004A3DBC" w:rsidRPr="00404DA5" w:rsidRDefault="004A3DBC" w:rsidP="009974B7">
            <w:pPr>
              <w:rPr>
                <w:rFonts w:cs="Calibri"/>
                <w:sz w:val="18"/>
                <w:szCs w:val="20"/>
              </w:rPr>
            </w:pPr>
            <w:r w:rsidRPr="00404DA5">
              <w:rPr>
                <w:rFonts w:cs="Calibri"/>
                <w:sz w:val="18"/>
                <w:szCs w:val="20"/>
              </w:rPr>
              <w:t>Liczba zainstalowanych inteligentnych systemów transportowych</w:t>
            </w:r>
          </w:p>
        </w:tc>
        <w:tc>
          <w:tcPr>
            <w:tcW w:w="980" w:type="dxa"/>
            <w:vAlign w:val="center"/>
          </w:tcPr>
          <w:p w14:paraId="1B52DDBA" w14:textId="77777777" w:rsidR="004A3DBC" w:rsidRPr="00404DA5" w:rsidRDefault="004A3DBC" w:rsidP="00C22C26">
            <w:pPr>
              <w:jc w:val="center"/>
              <w:rPr>
                <w:rFonts w:cs="Calibri"/>
                <w:sz w:val="18"/>
                <w:szCs w:val="20"/>
              </w:rPr>
            </w:pPr>
            <w:r w:rsidRPr="00404DA5">
              <w:rPr>
                <w:rFonts w:cs="Calibri"/>
                <w:sz w:val="18"/>
                <w:szCs w:val="20"/>
              </w:rPr>
              <w:t>3</w:t>
            </w:r>
          </w:p>
        </w:tc>
        <w:tc>
          <w:tcPr>
            <w:tcW w:w="1530" w:type="dxa"/>
            <w:vAlign w:val="center"/>
          </w:tcPr>
          <w:p w14:paraId="5510ED5B" w14:textId="77777777" w:rsidR="004A3DBC" w:rsidRPr="00404DA5" w:rsidRDefault="004A3DBC" w:rsidP="00C22C26">
            <w:pPr>
              <w:jc w:val="center"/>
              <w:rPr>
                <w:rFonts w:cs="Calibri"/>
                <w:sz w:val="18"/>
                <w:szCs w:val="20"/>
              </w:rPr>
            </w:pPr>
            <w:r w:rsidRPr="00404DA5">
              <w:rPr>
                <w:rFonts w:cs="Calibri"/>
                <w:sz w:val="18"/>
                <w:szCs w:val="20"/>
              </w:rPr>
              <w:t>0</w:t>
            </w:r>
          </w:p>
        </w:tc>
        <w:tc>
          <w:tcPr>
            <w:tcW w:w="1602" w:type="dxa"/>
            <w:vAlign w:val="center"/>
          </w:tcPr>
          <w:p w14:paraId="056E8C29" w14:textId="77777777" w:rsidR="004A3DBC" w:rsidRPr="00404DA5" w:rsidRDefault="004A3DBC" w:rsidP="00C22C26">
            <w:pPr>
              <w:jc w:val="center"/>
              <w:rPr>
                <w:rFonts w:cs="Calibri"/>
                <w:sz w:val="18"/>
                <w:szCs w:val="20"/>
              </w:rPr>
            </w:pPr>
            <w:r w:rsidRPr="00404DA5">
              <w:rPr>
                <w:rFonts w:cs="Calibri"/>
                <w:sz w:val="18"/>
                <w:szCs w:val="20"/>
              </w:rPr>
              <w:t>0%</w:t>
            </w:r>
          </w:p>
        </w:tc>
        <w:tc>
          <w:tcPr>
            <w:tcW w:w="1242" w:type="dxa"/>
            <w:vAlign w:val="center"/>
          </w:tcPr>
          <w:p w14:paraId="7D03BB09" w14:textId="77777777" w:rsidR="00D56804" w:rsidRDefault="00D56804" w:rsidP="00C22C26">
            <w:pPr>
              <w:jc w:val="center"/>
              <w:rPr>
                <w:rFonts w:cs="Calibri"/>
                <w:sz w:val="18"/>
                <w:szCs w:val="20"/>
              </w:rPr>
            </w:pPr>
          </w:p>
          <w:p w14:paraId="132B46AD" w14:textId="77777777" w:rsidR="004A3DBC" w:rsidRPr="00404DA5" w:rsidRDefault="004A3DBC" w:rsidP="00C22C26">
            <w:pPr>
              <w:jc w:val="center"/>
              <w:rPr>
                <w:rFonts w:cs="Calibri"/>
                <w:sz w:val="18"/>
                <w:szCs w:val="20"/>
              </w:rPr>
            </w:pPr>
            <w:r w:rsidRPr="00404DA5">
              <w:rPr>
                <w:rFonts w:cs="Calibri"/>
                <w:sz w:val="18"/>
                <w:szCs w:val="20"/>
              </w:rPr>
              <w:t>0</w:t>
            </w:r>
          </w:p>
          <w:p w14:paraId="7E431ECE" w14:textId="77777777" w:rsidR="004A3DBC" w:rsidRPr="00404DA5" w:rsidRDefault="004A3DBC" w:rsidP="00C22C26">
            <w:pPr>
              <w:jc w:val="center"/>
              <w:rPr>
                <w:rFonts w:cs="Calibri"/>
                <w:sz w:val="18"/>
                <w:szCs w:val="20"/>
              </w:rPr>
            </w:pPr>
          </w:p>
        </w:tc>
        <w:tc>
          <w:tcPr>
            <w:tcW w:w="1558" w:type="dxa"/>
            <w:vAlign w:val="center"/>
          </w:tcPr>
          <w:p w14:paraId="7001BB5F"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7A7F2E4A" w14:textId="77777777" w:rsidTr="00C22C26">
        <w:tc>
          <w:tcPr>
            <w:tcW w:w="9288" w:type="dxa"/>
            <w:gridSpan w:val="6"/>
            <w:shd w:val="clear" w:color="auto" w:fill="auto"/>
            <w:hideMark/>
          </w:tcPr>
          <w:p w14:paraId="38B107A6" w14:textId="77777777" w:rsidR="004A3DBC" w:rsidRPr="00404DA5" w:rsidRDefault="004A3DBC" w:rsidP="009974B7">
            <w:pPr>
              <w:jc w:val="center"/>
              <w:rPr>
                <w:rFonts w:cs="Calibri"/>
                <w:sz w:val="18"/>
                <w:szCs w:val="20"/>
              </w:rPr>
            </w:pPr>
            <w:r w:rsidRPr="00404DA5">
              <w:rPr>
                <w:rFonts w:cs="Calibri"/>
                <w:sz w:val="18"/>
                <w:szCs w:val="20"/>
              </w:rPr>
              <w:t>Działanie 2.3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Strategii ZIT dla Koszalińsko-Kołobrzesko-Białogardzkiego Obszaru Funkcjonalnego</w:t>
            </w:r>
          </w:p>
        </w:tc>
      </w:tr>
      <w:tr w:rsidR="004A3DBC" w:rsidRPr="00EE5470" w14:paraId="0D91592C" w14:textId="77777777" w:rsidTr="00C22C26">
        <w:tc>
          <w:tcPr>
            <w:tcW w:w="2376" w:type="dxa"/>
            <w:hideMark/>
          </w:tcPr>
          <w:p w14:paraId="7C1FB58E" w14:textId="77777777" w:rsidR="004A3DBC" w:rsidRPr="00404DA5" w:rsidRDefault="004A3DBC" w:rsidP="009974B7">
            <w:pPr>
              <w:rPr>
                <w:rFonts w:cs="Calibri"/>
                <w:sz w:val="18"/>
                <w:szCs w:val="20"/>
              </w:rPr>
            </w:pPr>
            <w:r w:rsidRPr="00404DA5">
              <w:rPr>
                <w:rFonts w:cs="Calibri"/>
                <w:sz w:val="18"/>
                <w:szCs w:val="20"/>
              </w:rPr>
              <w:t>ścieżek rowerowych</w:t>
            </w:r>
          </w:p>
        </w:tc>
        <w:tc>
          <w:tcPr>
            <w:tcW w:w="980" w:type="dxa"/>
            <w:vAlign w:val="center"/>
          </w:tcPr>
          <w:p w14:paraId="6784FF58" w14:textId="77777777" w:rsidR="004A3DBC" w:rsidRPr="00404DA5" w:rsidRDefault="004A3DBC" w:rsidP="00C22C26">
            <w:pPr>
              <w:jc w:val="center"/>
              <w:rPr>
                <w:rFonts w:cs="Calibri"/>
                <w:sz w:val="18"/>
                <w:szCs w:val="20"/>
              </w:rPr>
            </w:pPr>
            <w:r w:rsidRPr="00404DA5">
              <w:rPr>
                <w:rFonts w:cs="Calibri"/>
                <w:sz w:val="18"/>
                <w:szCs w:val="20"/>
              </w:rPr>
              <w:t>119</w:t>
            </w:r>
          </w:p>
        </w:tc>
        <w:tc>
          <w:tcPr>
            <w:tcW w:w="1530" w:type="dxa"/>
            <w:vAlign w:val="center"/>
          </w:tcPr>
          <w:p w14:paraId="7444CF6C" w14:textId="77777777" w:rsidR="004A3DBC" w:rsidRPr="00404DA5" w:rsidRDefault="004A3DBC" w:rsidP="00C22C26">
            <w:pPr>
              <w:jc w:val="center"/>
              <w:rPr>
                <w:rFonts w:cs="Calibri"/>
                <w:sz w:val="18"/>
                <w:szCs w:val="20"/>
              </w:rPr>
            </w:pPr>
            <w:r w:rsidRPr="00404DA5">
              <w:rPr>
                <w:rFonts w:cs="Calibri"/>
                <w:sz w:val="18"/>
                <w:szCs w:val="20"/>
              </w:rPr>
              <w:t>60,03</w:t>
            </w:r>
          </w:p>
        </w:tc>
        <w:tc>
          <w:tcPr>
            <w:tcW w:w="1602" w:type="dxa"/>
            <w:vAlign w:val="center"/>
          </w:tcPr>
          <w:p w14:paraId="0ED65720" w14:textId="77777777" w:rsidR="004A3DBC" w:rsidRPr="00404DA5" w:rsidRDefault="004A3DBC" w:rsidP="00C22C26">
            <w:pPr>
              <w:jc w:val="center"/>
              <w:rPr>
                <w:rFonts w:cs="Calibri"/>
                <w:sz w:val="18"/>
                <w:szCs w:val="20"/>
              </w:rPr>
            </w:pPr>
            <w:r w:rsidRPr="00404DA5">
              <w:rPr>
                <w:rFonts w:cs="Calibri"/>
                <w:sz w:val="18"/>
                <w:szCs w:val="20"/>
              </w:rPr>
              <w:t>68,2%</w:t>
            </w:r>
          </w:p>
        </w:tc>
        <w:tc>
          <w:tcPr>
            <w:tcW w:w="1242" w:type="dxa"/>
            <w:vAlign w:val="center"/>
          </w:tcPr>
          <w:p w14:paraId="4FD927E3" w14:textId="77777777" w:rsidR="004A3DBC" w:rsidRPr="00404DA5" w:rsidRDefault="004A3DBC" w:rsidP="00C22C26">
            <w:pPr>
              <w:jc w:val="center"/>
              <w:rPr>
                <w:rFonts w:cs="Calibri"/>
                <w:sz w:val="18"/>
                <w:szCs w:val="20"/>
              </w:rPr>
            </w:pPr>
            <w:r w:rsidRPr="00404DA5">
              <w:rPr>
                <w:rFonts w:cs="Calibri"/>
                <w:sz w:val="18"/>
                <w:szCs w:val="20"/>
              </w:rPr>
              <w:t>10,67</w:t>
            </w:r>
          </w:p>
        </w:tc>
        <w:tc>
          <w:tcPr>
            <w:tcW w:w="1558" w:type="dxa"/>
            <w:vAlign w:val="center"/>
          </w:tcPr>
          <w:p w14:paraId="58DC1152" w14:textId="77777777" w:rsidR="004A3DBC" w:rsidRPr="00404DA5" w:rsidRDefault="004A3DBC" w:rsidP="00C22C26">
            <w:pPr>
              <w:jc w:val="center"/>
              <w:rPr>
                <w:rFonts w:cs="Calibri"/>
                <w:sz w:val="18"/>
                <w:szCs w:val="20"/>
              </w:rPr>
            </w:pPr>
            <w:r w:rsidRPr="00404DA5">
              <w:rPr>
                <w:rFonts w:cs="Calibri"/>
                <w:sz w:val="18"/>
                <w:szCs w:val="20"/>
              </w:rPr>
              <w:t>12,1%</w:t>
            </w:r>
          </w:p>
        </w:tc>
      </w:tr>
      <w:tr w:rsidR="004A3DBC" w:rsidRPr="00EE5470" w14:paraId="55387AD8" w14:textId="77777777" w:rsidTr="00C22C26">
        <w:tc>
          <w:tcPr>
            <w:tcW w:w="2376" w:type="dxa"/>
          </w:tcPr>
          <w:p w14:paraId="1C16B36B" w14:textId="77777777" w:rsidR="004A3DBC" w:rsidRPr="00404DA5" w:rsidRDefault="004A3DBC" w:rsidP="009974B7">
            <w:pPr>
              <w:rPr>
                <w:rFonts w:cs="Calibri"/>
                <w:sz w:val="18"/>
                <w:szCs w:val="20"/>
              </w:rPr>
            </w:pPr>
            <w:r w:rsidRPr="00404DA5">
              <w:rPr>
                <w:rFonts w:cs="Calibri"/>
                <w:sz w:val="18"/>
                <w:szCs w:val="20"/>
              </w:rPr>
              <w:t>Liczba zakupionych lub zmodernizowanych jednostek taboru pasażerskiego</w:t>
            </w:r>
            <w:r w:rsidR="00E66B89">
              <w:rPr>
                <w:rFonts w:cs="Calibri"/>
                <w:sz w:val="18"/>
                <w:szCs w:val="20"/>
              </w:rPr>
              <w:t xml:space="preserve"> w </w:t>
            </w:r>
            <w:r w:rsidRPr="00404DA5">
              <w:rPr>
                <w:rFonts w:cs="Calibri"/>
                <w:sz w:val="18"/>
                <w:szCs w:val="20"/>
              </w:rPr>
              <w:t>publicznym transporcie zbiorowym komunikacji miejskiej</w:t>
            </w:r>
          </w:p>
        </w:tc>
        <w:tc>
          <w:tcPr>
            <w:tcW w:w="980" w:type="dxa"/>
            <w:vAlign w:val="center"/>
          </w:tcPr>
          <w:p w14:paraId="2DEDDFD2" w14:textId="77777777" w:rsidR="004A3DBC" w:rsidRPr="00404DA5" w:rsidRDefault="004A3DBC" w:rsidP="00C22C26">
            <w:pPr>
              <w:jc w:val="center"/>
              <w:rPr>
                <w:rFonts w:cs="Calibri"/>
                <w:sz w:val="18"/>
                <w:szCs w:val="20"/>
              </w:rPr>
            </w:pPr>
            <w:r w:rsidRPr="00404DA5">
              <w:rPr>
                <w:rFonts w:cs="Calibri"/>
                <w:sz w:val="18"/>
                <w:szCs w:val="20"/>
              </w:rPr>
              <w:t>84</w:t>
            </w:r>
          </w:p>
        </w:tc>
        <w:tc>
          <w:tcPr>
            <w:tcW w:w="1530" w:type="dxa"/>
            <w:vAlign w:val="center"/>
          </w:tcPr>
          <w:p w14:paraId="19B04DDD" w14:textId="77777777" w:rsidR="004A3DBC" w:rsidRPr="00404DA5" w:rsidRDefault="004A3DBC" w:rsidP="00C22C26">
            <w:pPr>
              <w:jc w:val="center"/>
              <w:rPr>
                <w:rFonts w:cs="Calibri"/>
                <w:sz w:val="18"/>
                <w:szCs w:val="20"/>
              </w:rPr>
            </w:pPr>
            <w:r w:rsidRPr="00404DA5">
              <w:rPr>
                <w:rFonts w:cs="Calibri"/>
                <w:sz w:val="18"/>
                <w:szCs w:val="20"/>
              </w:rPr>
              <w:t>23</w:t>
            </w:r>
          </w:p>
        </w:tc>
        <w:tc>
          <w:tcPr>
            <w:tcW w:w="1602" w:type="dxa"/>
            <w:vAlign w:val="center"/>
          </w:tcPr>
          <w:p w14:paraId="1BA7D135" w14:textId="77777777" w:rsidR="004A3DBC" w:rsidRPr="00404DA5" w:rsidRDefault="004A3DBC" w:rsidP="00C22C26">
            <w:pPr>
              <w:jc w:val="center"/>
              <w:rPr>
                <w:rFonts w:cs="Calibri"/>
                <w:sz w:val="18"/>
                <w:szCs w:val="20"/>
              </w:rPr>
            </w:pPr>
            <w:r w:rsidRPr="00404DA5">
              <w:rPr>
                <w:rFonts w:cs="Calibri"/>
                <w:sz w:val="18"/>
                <w:szCs w:val="20"/>
              </w:rPr>
              <w:t>27,4%</w:t>
            </w:r>
          </w:p>
        </w:tc>
        <w:tc>
          <w:tcPr>
            <w:tcW w:w="1242" w:type="dxa"/>
            <w:vAlign w:val="center"/>
          </w:tcPr>
          <w:p w14:paraId="1011A165" w14:textId="77777777" w:rsidR="004A3DBC" w:rsidRPr="00404DA5" w:rsidRDefault="004A3DBC" w:rsidP="00C22C26">
            <w:pPr>
              <w:jc w:val="center"/>
              <w:rPr>
                <w:rFonts w:cs="Calibri"/>
                <w:sz w:val="18"/>
                <w:szCs w:val="20"/>
              </w:rPr>
            </w:pPr>
            <w:r w:rsidRPr="00404DA5">
              <w:rPr>
                <w:rFonts w:cs="Calibri"/>
                <w:sz w:val="18"/>
                <w:szCs w:val="20"/>
              </w:rPr>
              <w:t>15</w:t>
            </w:r>
          </w:p>
        </w:tc>
        <w:tc>
          <w:tcPr>
            <w:tcW w:w="1558" w:type="dxa"/>
            <w:vAlign w:val="center"/>
          </w:tcPr>
          <w:p w14:paraId="0F694994" w14:textId="77777777" w:rsidR="004A3DBC" w:rsidRPr="00404DA5" w:rsidRDefault="004A3DBC" w:rsidP="00C22C26">
            <w:pPr>
              <w:jc w:val="center"/>
              <w:rPr>
                <w:rFonts w:cs="Calibri"/>
                <w:sz w:val="18"/>
                <w:szCs w:val="20"/>
              </w:rPr>
            </w:pPr>
            <w:r w:rsidRPr="00404DA5">
              <w:rPr>
                <w:rFonts w:cs="Calibri"/>
                <w:sz w:val="18"/>
                <w:szCs w:val="20"/>
              </w:rPr>
              <w:t>17,9%</w:t>
            </w:r>
          </w:p>
        </w:tc>
      </w:tr>
      <w:tr w:rsidR="004A3DBC" w:rsidRPr="00EE5470" w14:paraId="6DF47458" w14:textId="77777777" w:rsidTr="00C22C26">
        <w:tc>
          <w:tcPr>
            <w:tcW w:w="2376" w:type="dxa"/>
          </w:tcPr>
          <w:p w14:paraId="72CDA6A1" w14:textId="77777777" w:rsidR="004A3DBC" w:rsidRPr="00404DA5" w:rsidRDefault="004A3DBC" w:rsidP="009974B7">
            <w:pPr>
              <w:rPr>
                <w:rFonts w:cs="Calibri"/>
                <w:sz w:val="18"/>
                <w:szCs w:val="20"/>
              </w:rPr>
            </w:pPr>
            <w:r w:rsidRPr="00404DA5">
              <w:rPr>
                <w:rFonts w:cs="Calibri"/>
                <w:sz w:val="18"/>
                <w:szCs w:val="20"/>
              </w:rPr>
              <w:t>Liczba wybudowanych zintegrowanych węzłów przesiadkowych</w:t>
            </w:r>
          </w:p>
        </w:tc>
        <w:tc>
          <w:tcPr>
            <w:tcW w:w="980" w:type="dxa"/>
            <w:vAlign w:val="center"/>
          </w:tcPr>
          <w:p w14:paraId="567E597C" w14:textId="77777777" w:rsidR="004A3DBC" w:rsidRPr="00404DA5" w:rsidRDefault="004A3DBC" w:rsidP="00C22C26">
            <w:pPr>
              <w:jc w:val="center"/>
              <w:rPr>
                <w:rFonts w:cs="Calibri"/>
                <w:sz w:val="18"/>
                <w:szCs w:val="20"/>
              </w:rPr>
            </w:pPr>
            <w:r w:rsidRPr="00404DA5">
              <w:rPr>
                <w:rFonts w:cs="Calibri"/>
                <w:sz w:val="18"/>
                <w:szCs w:val="20"/>
              </w:rPr>
              <w:t>6</w:t>
            </w:r>
          </w:p>
        </w:tc>
        <w:tc>
          <w:tcPr>
            <w:tcW w:w="1530" w:type="dxa"/>
            <w:vAlign w:val="center"/>
          </w:tcPr>
          <w:p w14:paraId="483BD292" w14:textId="77777777" w:rsidR="004A3DBC" w:rsidRPr="00404DA5" w:rsidRDefault="004A3DBC" w:rsidP="00C22C26">
            <w:pPr>
              <w:jc w:val="center"/>
              <w:rPr>
                <w:rFonts w:cs="Calibri"/>
                <w:sz w:val="18"/>
                <w:szCs w:val="20"/>
              </w:rPr>
            </w:pPr>
            <w:r w:rsidRPr="00404DA5">
              <w:rPr>
                <w:rFonts w:cs="Calibri"/>
                <w:sz w:val="18"/>
                <w:szCs w:val="20"/>
              </w:rPr>
              <w:t>3</w:t>
            </w:r>
          </w:p>
        </w:tc>
        <w:tc>
          <w:tcPr>
            <w:tcW w:w="1602" w:type="dxa"/>
            <w:vAlign w:val="center"/>
          </w:tcPr>
          <w:p w14:paraId="3A0A13CA" w14:textId="77777777" w:rsidR="004A3DBC" w:rsidRPr="00404DA5" w:rsidRDefault="004A3DBC" w:rsidP="00C22C26">
            <w:pPr>
              <w:jc w:val="center"/>
              <w:rPr>
                <w:rFonts w:cs="Calibri"/>
                <w:sz w:val="18"/>
                <w:szCs w:val="20"/>
              </w:rPr>
            </w:pPr>
            <w:r w:rsidRPr="00404DA5">
              <w:rPr>
                <w:rFonts w:cs="Calibri"/>
                <w:sz w:val="18"/>
                <w:szCs w:val="20"/>
              </w:rPr>
              <w:t>50%</w:t>
            </w:r>
          </w:p>
        </w:tc>
        <w:tc>
          <w:tcPr>
            <w:tcW w:w="1242" w:type="dxa"/>
            <w:vAlign w:val="center"/>
          </w:tcPr>
          <w:p w14:paraId="2FA603AD" w14:textId="77777777" w:rsidR="004A3DBC" w:rsidRPr="00404DA5" w:rsidRDefault="004A3DBC" w:rsidP="00C22C26">
            <w:pPr>
              <w:jc w:val="center"/>
              <w:rPr>
                <w:rFonts w:cs="Calibri"/>
                <w:sz w:val="18"/>
                <w:szCs w:val="20"/>
              </w:rPr>
            </w:pPr>
            <w:r w:rsidRPr="00404DA5">
              <w:rPr>
                <w:rFonts w:cs="Calibri"/>
                <w:sz w:val="18"/>
                <w:szCs w:val="20"/>
              </w:rPr>
              <w:t>1</w:t>
            </w:r>
          </w:p>
        </w:tc>
        <w:tc>
          <w:tcPr>
            <w:tcW w:w="1558" w:type="dxa"/>
            <w:vAlign w:val="center"/>
          </w:tcPr>
          <w:p w14:paraId="0EE7CEC7" w14:textId="77777777" w:rsidR="004A3DBC" w:rsidRPr="00404DA5" w:rsidRDefault="004A3DBC" w:rsidP="00C22C26">
            <w:pPr>
              <w:jc w:val="center"/>
              <w:rPr>
                <w:rFonts w:cs="Calibri"/>
                <w:sz w:val="18"/>
                <w:szCs w:val="20"/>
              </w:rPr>
            </w:pPr>
            <w:r w:rsidRPr="00404DA5">
              <w:rPr>
                <w:rFonts w:cs="Calibri"/>
                <w:sz w:val="18"/>
                <w:szCs w:val="20"/>
              </w:rPr>
              <w:t>16,7%</w:t>
            </w:r>
          </w:p>
        </w:tc>
      </w:tr>
      <w:tr w:rsidR="004A3DBC" w:rsidRPr="00EE5470" w14:paraId="25814905" w14:textId="77777777" w:rsidTr="00C22C26">
        <w:tc>
          <w:tcPr>
            <w:tcW w:w="2376" w:type="dxa"/>
          </w:tcPr>
          <w:p w14:paraId="56203BD1" w14:textId="77777777" w:rsidR="004A3DBC" w:rsidRPr="00404DA5" w:rsidRDefault="004A3DBC" w:rsidP="009974B7">
            <w:pPr>
              <w:rPr>
                <w:rFonts w:cs="Calibri"/>
                <w:sz w:val="18"/>
                <w:szCs w:val="20"/>
              </w:rPr>
            </w:pPr>
            <w:r w:rsidRPr="00404DA5">
              <w:rPr>
                <w:rFonts w:cs="Calibri"/>
                <w:sz w:val="18"/>
                <w:szCs w:val="20"/>
              </w:rPr>
              <w:t>Liczba zainstalowanych inteligentnych systemów transportowych</w:t>
            </w:r>
          </w:p>
        </w:tc>
        <w:tc>
          <w:tcPr>
            <w:tcW w:w="980" w:type="dxa"/>
            <w:vAlign w:val="center"/>
          </w:tcPr>
          <w:p w14:paraId="2DA3B7D7" w14:textId="77777777" w:rsidR="004A3DBC" w:rsidRPr="00404DA5" w:rsidRDefault="004A3DBC" w:rsidP="00C22C26">
            <w:pPr>
              <w:jc w:val="center"/>
              <w:rPr>
                <w:rFonts w:cs="Calibri"/>
                <w:sz w:val="18"/>
                <w:szCs w:val="20"/>
              </w:rPr>
            </w:pPr>
            <w:r w:rsidRPr="00404DA5">
              <w:rPr>
                <w:rFonts w:cs="Calibri"/>
                <w:sz w:val="18"/>
                <w:szCs w:val="20"/>
              </w:rPr>
              <w:t>3</w:t>
            </w:r>
          </w:p>
        </w:tc>
        <w:tc>
          <w:tcPr>
            <w:tcW w:w="1530" w:type="dxa"/>
            <w:vAlign w:val="center"/>
          </w:tcPr>
          <w:p w14:paraId="7CD070B1" w14:textId="77777777" w:rsidR="004A3DBC" w:rsidRPr="00404DA5" w:rsidRDefault="004A3DBC" w:rsidP="00C22C26">
            <w:pPr>
              <w:jc w:val="center"/>
              <w:rPr>
                <w:rFonts w:cs="Calibri"/>
                <w:sz w:val="18"/>
                <w:szCs w:val="20"/>
              </w:rPr>
            </w:pPr>
            <w:r w:rsidRPr="00404DA5">
              <w:rPr>
                <w:rFonts w:cs="Calibri"/>
                <w:sz w:val="18"/>
                <w:szCs w:val="20"/>
              </w:rPr>
              <w:t>0</w:t>
            </w:r>
          </w:p>
        </w:tc>
        <w:tc>
          <w:tcPr>
            <w:tcW w:w="1602" w:type="dxa"/>
            <w:vAlign w:val="center"/>
          </w:tcPr>
          <w:p w14:paraId="63804257" w14:textId="77777777" w:rsidR="004A3DBC" w:rsidRPr="00404DA5" w:rsidRDefault="004A3DBC" w:rsidP="00C22C26">
            <w:pPr>
              <w:jc w:val="center"/>
              <w:rPr>
                <w:rFonts w:cs="Calibri"/>
                <w:sz w:val="18"/>
                <w:szCs w:val="20"/>
              </w:rPr>
            </w:pPr>
            <w:r w:rsidRPr="00404DA5">
              <w:rPr>
                <w:rFonts w:cs="Calibri"/>
                <w:sz w:val="18"/>
                <w:szCs w:val="20"/>
              </w:rPr>
              <w:t>0%</w:t>
            </w:r>
          </w:p>
        </w:tc>
        <w:tc>
          <w:tcPr>
            <w:tcW w:w="1242" w:type="dxa"/>
            <w:vAlign w:val="center"/>
          </w:tcPr>
          <w:p w14:paraId="4A7DF02D" w14:textId="77777777" w:rsidR="00D56804" w:rsidRDefault="00D56804" w:rsidP="00C22C26">
            <w:pPr>
              <w:jc w:val="center"/>
              <w:rPr>
                <w:rFonts w:cs="Calibri"/>
                <w:sz w:val="18"/>
                <w:szCs w:val="20"/>
              </w:rPr>
            </w:pPr>
          </w:p>
          <w:p w14:paraId="5C73CFC1" w14:textId="77777777" w:rsidR="004A3DBC" w:rsidRPr="00404DA5" w:rsidRDefault="004A3DBC" w:rsidP="00C22C26">
            <w:pPr>
              <w:jc w:val="center"/>
              <w:rPr>
                <w:rFonts w:cs="Calibri"/>
                <w:sz w:val="18"/>
                <w:szCs w:val="20"/>
              </w:rPr>
            </w:pPr>
            <w:r w:rsidRPr="00404DA5">
              <w:rPr>
                <w:rFonts w:cs="Calibri"/>
                <w:sz w:val="18"/>
                <w:szCs w:val="20"/>
              </w:rPr>
              <w:t>0</w:t>
            </w:r>
          </w:p>
          <w:p w14:paraId="61F5FE0C" w14:textId="77777777" w:rsidR="004A3DBC" w:rsidRPr="00404DA5" w:rsidRDefault="004A3DBC" w:rsidP="00C22C26">
            <w:pPr>
              <w:jc w:val="center"/>
              <w:rPr>
                <w:rFonts w:cs="Calibri"/>
                <w:sz w:val="18"/>
                <w:szCs w:val="20"/>
              </w:rPr>
            </w:pPr>
          </w:p>
        </w:tc>
        <w:tc>
          <w:tcPr>
            <w:tcW w:w="1558" w:type="dxa"/>
            <w:vAlign w:val="center"/>
          </w:tcPr>
          <w:p w14:paraId="351FF185"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4C87EEFE" w14:textId="77777777" w:rsidTr="00C22C26">
        <w:tc>
          <w:tcPr>
            <w:tcW w:w="9288" w:type="dxa"/>
            <w:gridSpan w:val="6"/>
            <w:shd w:val="clear" w:color="auto" w:fill="auto"/>
          </w:tcPr>
          <w:p w14:paraId="6BDB0627" w14:textId="77777777" w:rsidR="004A3DBC" w:rsidRPr="00404DA5" w:rsidRDefault="004A3DBC" w:rsidP="009974B7">
            <w:pPr>
              <w:jc w:val="center"/>
              <w:rPr>
                <w:rFonts w:cs="Calibri"/>
                <w:sz w:val="18"/>
                <w:szCs w:val="20"/>
              </w:rPr>
            </w:pPr>
            <w:r w:rsidRPr="00404DA5">
              <w:rPr>
                <w:rFonts w:cs="Calibri"/>
                <w:sz w:val="18"/>
                <w:szCs w:val="20"/>
              </w:rPr>
              <w:t>Działanie 2.4 Zrównoważona multimodalna mobilność miejska</w:t>
            </w:r>
            <w:r w:rsidR="00E66B89">
              <w:rPr>
                <w:rFonts w:cs="Calibri"/>
                <w:sz w:val="18"/>
                <w:szCs w:val="20"/>
              </w:rPr>
              <w:t xml:space="preserve"> i </w:t>
            </w:r>
            <w:r w:rsidRPr="00404DA5">
              <w:rPr>
                <w:rFonts w:cs="Calibri"/>
                <w:sz w:val="18"/>
                <w:szCs w:val="20"/>
              </w:rPr>
              <w:t>działania adaptacyjne łagodzące zmiany klimatu</w:t>
            </w:r>
            <w:r w:rsidR="00E66B89">
              <w:rPr>
                <w:rFonts w:cs="Calibri"/>
                <w:sz w:val="18"/>
                <w:szCs w:val="20"/>
              </w:rPr>
              <w:t xml:space="preserve"> w </w:t>
            </w:r>
            <w:r w:rsidRPr="00404DA5">
              <w:rPr>
                <w:rFonts w:cs="Calibri"/>
                <w:sz w:val="18"/>
                <w:szCs w:val="20"/>
              </w:rPr>
              <w:t>ramach Kontraktów Samorządowych</w:t>
            </w:r>
          </w:p>
        </w:tc>
      </w:tr>
      <w:tr w:rsidR="004A3DBC" w:rsidRPr="00EE5470" w14:paraId="018A0459" w14:textId="77777777" w:rsidTr="00C22C26">
        <w:tc>
          <w:tcPr>
            <w:tcW w:w="2376" w:type="dxa"/>
          </w:tcPr>
          <w:p w14:paraId="15E8649C" w14:textId="77777777" w:rsidR="004A3DBC" w:rsidRPr="00404DA5" w:rsidRDefault="004A3DBC" w:rsidP="009974B7">
            <w:pPr>
              <w:rPr>
                <w:rFonts w:cs="Calibri"/>
                <w:sz w:val="18"/>
                <w:szCs w:val="20"/>
              </w:rPr>
            </w:pPr>
            <w:r w:rsidRPr="00404DA5">
              <w:rPr>
                <w:rFonts w:cs="Calibri"/>
                <w:sz w:val="18"/>
                <w:szCs w:val="20"/>
              </w:rPr>
              <w:t>Długość ścieżek rowerowych</w:t>
            </w:r>
          </w:p>
        </w:tc>
        <w:tc>
          <w:tcPr>
            <w:tcW w:w="980" w:type="dxa"/>
            <w:vAlign w:val="center"/>
          </w:tcPr>
          <w:p w14:paraId="0F688273" w14:textId="77777777" w:rsidR="004A3DBC" w:rsidRPr="00404DA5" w:rsidRDefault="004A3DBC" w:rsidP="00C22C26">
            <w:pPr>
              <w:jc w:val="center"/>
              <w:rPr>
                <w:rFonts w:cs="Calibri"/>
                <w:sz w:val="18"/>
                <w:szCs w:val="20"/>
              </w:rPr>
            </w:pPr>
            <w:r w:rsidRPr="00404DA5">
              <w:rPr>
                <w:rFonts w:cs="Calibri"/>
                <w:sz w:val="18"/>
                <w:szCs w:val="20"/>
              </w:rPr>
              <w:t>119</w:t>
            </w:r>
          </w:p>
        </w:tc>
        <w:tc>
          <w:tcPr>
            <w:tcW w:w="1530" w:type="dxa"/>
            <w:vAlign w:val="center"/>
          </w:tcPr>
          <w:p w14:paraId="37613E16" w14:textId="77777777" w:rsidR="004A3DBC" w:rsidRPr="00404DA5" w:rsidRDefault="004A3DBC" w:rsidP="00C22C26">
            <w:pPr>
              <w:jc w:val="center"/>
              <w:rPr>
                <w:rFonts w:cs="Calibri"/>
                <w:sz w:val="18"/>
                <w:szCs w:val="20"/>
              </w:rPr>
            </w:pPr>
            <w:r w:rsidRPr="00404DA5">
              <w:rPr>
                <w:rFonts w:cs="Calibri"/>
                <w:sz w:val="18"/>
                <w:szCs w:val="20"/>
              </w:rPr>
              <w:t>32,16</w:t>
            </w:r>
          </w:p>
        </w:tc>
        <w:tc>
          <w:tcPr>
            <w:tcW w:w="1602" w:type="dxa"/>
            <w:vAlign w:val="center"/>
          </w:tcPr>
          <w:p w14:paraId="28979056" w14:textId="77777777" w:rsidR="004A3DBC" w:rsidRPr="00404DA5" w:rsidRDefault="004A3DBC" w:rsidP="00C22C26">
            <w:pPr>
              <w:jc w:val="center"/>
              <w:rPr>
                <w:rFonts w:cs="Calibri"/>
                <w:sz w:val="18"/>
                <w:szCs w:val="20"/>
              </w:rPr>
            </w:pPr>
            <w:r w:rsidRPr="00404DA5">
              <w:rPr>
                <w:rFonts w:cs="Calibri"/>
                <w:sz w:val="18"/>
                <w:szCs w:val="20"/>
              </w:rPr>
              <w:t>36,7%</w:t>
            </w:r>
          </w:p>
        </w:tc>
        <w:tc>
          <w:tcPr>
            <w:tcW w:w="1242" w:type="dxa"/>
            <w:vAlign w:val="center"/>
          </w:tcPr>
          <w:p w14:paraId="5988EB83" w14:textId="77777777" w:rsidR="004A3DBC" w:rsidRPr="00404DA5" w:rsidRDefault="004A3DBC" w:rsidP="00C22C26">
            <w:pPr>
              <w:jc w:val="center"/>
              <w:rPr>
                <w:rFonts w:cs="Calibri"/>
                <w:sz w:val="18"/>
                <w:szCs w:val="20"/>
              </w:rPr>
            </w:pPr>
            <w:r w:rsidRPr="00404DA5">
              <w:rPr>
                <w:rFonts w:cs="Calibri"/>
                <w:sz w:val="18"/>
                <w:szCs w:val="20"/>
              </w:rPr>
              <w:t>1,29</w:t>
            </w:r>
          </w:p>
        </w:tc>
        <w:tc>
          <w:tcPr>
            <w:tcW w:w="1558" w:type="dxa"/>
            <w:vAlign w:val="center"/>
          </w:tcPr>
          <w:p w14:paraId="74BFEA3C" w14:textId="77777777" w:rsidR="004A3DBC" w:rsidRPr="00404DA5" w:rsidRDefault="004A3DBC" w:rsidP="00C22C26">
            <w:pPr>
              <w:jc w:val="center"/>
              <w:rPr>
                <w:rFonts w:cs="Calibri"/>
                <w:sz w:val="18"/>
                <w:szCs w:val="20"/>
              </w:rPr>
            </w:pPr>
            <w:r w:rsidRPr="00404DA5">
              <w:rPr>
                <w:rFonts w:cs="Calibri"/>
                <w:sz w:val="18"/>
                <w:szCs w:val="20"/>
              </w:rPr>
              <w:t>1,5%</w:t>
            </w:r>
          </w:p>
        </w:tc>
      </w:tr>
      <w:tr w:rsidR="004A3DBC" w:rsidRPr="00EE5470" w14:paraId="47FE4637" w14:textId="77777777" w:rsidTr="00C22C26">
        <w:tc>
          <w:tcPr>
            <w:tcW w:w="2376" w:type="dxa"/>
          </w:tcPr>
          <w:p w14:paraId="26D58A3F" w14:textId="77777777" w:rsidR="004A3DBC" w:rsidRPr="00404DA5" w:rsidRDefault="004A3DBC" w:rsidP="009974B7">
            <w:pPr>
              <w:rPr>
                <w:rFonts w:cs="Calibri"/>
                <w:sz w:val="18"/>
                <w:szCs w:val="20"/>
              </w:rPr>
            </w:pPr>
            <w:r w:rsidRPr="00404DA5">
              <w:rPr>
                <w:rFonts w:cs="Calibri"/>
                <w:sz w:val="18"/>
                <w:szCs w:val="20"/>
              </w:rPr>
              <w:t>Liczba zakupionych lub zmodernizowanych jednostek taboru pasażerskiego</w:t>
            </w:r>
            <w:r w:rsidR="00E66B89">
              <w:rPr>
                <w:rFonts w:cs="Calibri"/>
                <w:sz w:val="18"/>
                <w:szCs w:val="20"/>
              </w:rPr>
              <w:t xml:space="preserve"> w </w:t>
            </w:r>
            <w:r w:rsidRPr="00404DA5">
              <w:rPr>
                <w:rFonts w:cs="Calibri"/>
                <w:sz w:val="18"/>
                <w:szCs w:val="20"/>
              </w:rPr>
              <w:t>publicznym transporcie zbiorowym komunikacji miejskiej</w:t>
            </w:r>
          </w:p>
        </w:tc>
        <w:tc>
          <w:tcPr>
            <w:tcW w:w="980" w:type="dxa"/>
            <w:vAlign w:val="center"/>
          </w:tcPr>
          <w:p w14:paraId="69256A67" w14:textId="77777777" w:rsidR="004A3DBC" w:rsidRPr="00404DA5" w:rsidRDefault="004A3DBC" w:rsidP="00C22C26">
            <w:pPr>
              <w:jc w:val="center"/>
              <w:rPr>
                <w:rFonts w:cs="Calibri"/>
                <w:sz w:val="18"/>
                <w:szCs w:val="20"/>
              </w:rPr>
            </w:pPr>
            <w:r w:rsidRPr="00404DA5">
              <w:rPr>
                <w:rFonts w:cs="Calibri"/>
                <w:sz w:val="18"/>
                <w:szCs w:val="20"/>
              </w:rPr>
              <w:t>84</w:t>
            </w:r>
          </w:p>
        </w:tc>
        <w:tc>
          <w:tcPr>
            <w:tcW w:w="1530" w:type="dxa"/>
            <w:vAlign w:val="center"/>
          </w:tcPr>
          <w:p w14:paraId="5B6FDCC0" w14:textId="77777777" w:rsidR="004A3DBC" w:rsidRPr="00404DA5" w:rsidRDefault="004A3DBC" w:rsidP="00C22C26">
            <w:pPr>
              <w:jc w:val="center"/>
              <w:rPr>
                <w:rFonts w:cs="Calibri"/>
                <w:sz w:val="18"/>
                <w:szCs w:val="20"/>
              </w:rPr>
            </w:pPr>
            <w:r w:rsidRPr="00404DA5">
              <w:rPr>
                <w:rFonts w:cs="Calibri"/>
                <w:sz w:val="18"/>
                <w:szCs w:val="20"/>
              </w:rPr>
              <w:t>21</w:t>
            </w:r>
          </w:p>
        </w:tc>
        <w:tc>
          <w:tcPr>
            <w:tcW w:w="1602" w:type="dxa"/>
            <w:vAlign w:val="center"/>
          </w:tcPr>
          <w:p w14:paraId="6D74A67C" w14:textId="77777777" w:rsidR="004A3DBC" w:rsidRPr="00404DA5" w:rsidRDefault="004A3DBC" w:rsidP="00C22C26">
            <w:pPr>
              <w:jc w:val="center"/>
              <w:rPr>
                <w:rFonts w:cs="Calibri"/>
                <w:sz w:val="18"/>
                <w:szCs w:val="20"/>
              </w:rPr>
            </w:pPr>
            <w:r w:rsidRPr="00404DA5">
              <w:rPr>
                <w:rFonts w:cs="Calibri"/>
                <w:sz w:val="18"/>
                <w:szCs w:val="20"/>
              </w:rPr>
              <w:t>25%</w:t>
            </w:r>
          </w:p>
        </w:tc>
        <w:tc>
          <w:tcPr>
            <w:tcW w:w="1242" w:type="dxa"/>
            <w:vAlign w:val="center"/>
          </w:tcPr>
          <w:p w14:paraId="2F23E31A" w14:textId="77777777" w:rsidR="004A3DBC" w:rsidRPr="00404DA5" w:rsidRDefault="004A3DBC" w:rsidP="00C22C26">
            <w:pPr>
              <w:jc w:val="center"/>
              <w:rPr>
                <w:rFonts w:cs="Calibri"/>
                <w:sz w:val="18"/>
                <w:szCs w:val="20"/>
              </w:rPr>
            </w:pPr>
            <w:r w:rsidRPr="00404DA5">
              <w:rPr>
                <w:rFonts w:cs="Calibri"/>
                <w:sz w:val="18"/>
                <w:szCs w:val="20"/>
              </w:rPr>
              <w:t>7</w:t>
            </w:r>
          </w:p>
        </w:tc>
        <w:tc>
          <w:tcPr>
            <w:tcW w:w="1558" w:type="dxa"/>
            <w:vAlign w:val="center"/>
          </w:tcPr>
          <w:p w14:paraId="0ECC2042" w14:textId="77777777" w:rsidR="004A3DBC" w:rsidRPr="00404DA5" w:rsidRDefault="004A3DBC" w:rsidP="00C22C26">
            <w:pPr>
              <w:jc w:val="center"/>
              <w:rPr>
                <w:rFonts w:cs="Calibri"/>
                <w:sz w:val="18"/>
                <w:szCs w:val="20"/>
              </w:rPr>
            </w:pPr>
            <w:r w:rsidRPr="00404DA5">
              <w:rPr>
                <w:rFonts w:cs="Calibri"/>
                <w:sz w:val="18"/>
                <w:szCs w:val="20"/>
              </w:rPr>
              <w:t>8,3%</w:t>
            </w:r>
          </w:p>
        </w:tc>
      </w:tr>
      <w:tr w:rsidR="004A3DBC" w:rsidRPr="00EE5470" w14:paraId="5643E836" w14:textId="77777777" w:rsidTr="00C22C26">
        <w:tc>
          <w:tcPr>
            <w:tcW w:w="2376" w:type="dxa"/>
          </w:tcPr>
          <w:p w14:paraId="00D87557" w14:textId="77777777" w:rsidR="004A3DBC" w:rsidRPr="00404DA5" w:rsidRDefault="004A3DBC" w:rsidP="009974B7">
            <w:pPr>
              <w:rPr>
                <w:rFonts w:cs="Calibri"/>
                <w:sz w:val="18"/>
                <w:szCs w:val="20"/>
              </w:rPr>
            </w:pPr>
            <w:r w:rsidRPr="00404DA5">
              <w:rPr>
                <w:rFonts w:cs="Calibri"/>
                <w:sz w:val="18"/>
                <w:szCs w:val="20"/>
              </w:rPr>
              <w:lastRenderedPageBreak/>
              <w:t>Liczba wybudowanych zintegrowanych węzłów przesiadkowych</w:t>
            </w:r>
          </w:p>
        </w:tc>
        <w:tc>
          <w:tcPr>
            <w:tcW w:w="980" w:type="dxa"/>
            <w:vAlign w:val="center"/>
          </w:tcPr>
          <w:p w14:paraId="0B1A376B" w14:textId="77777777" w:rsidR="004A3DBC" w:rsidRPr="00404DA5" w:rsidRDefault="004A3DBC" w:rsidP="00C22C26">
            <w:pPr>
              <w:jc w:val="center"/>
              <w:rPr>
                <w:rFonts w:cs="Calibri"/>
                <w:sz w:val="18"/>
                <w:szCs w:val="20"/>
              </w:rPr>
            </w:pPr>
            <w:r w:rsidRPr="00404DA5">
              <w:rPr>
                <w:rFonts w:cs="Calibri"/>
                <w:sz w:val="18"/>
                <w:szCs w:val="20"/>
              </w:rPr>
              <w:t>6</w:t>
            </w:r>
          </w:p>
        </w:tc>
        <w:tc>
          <w:tcPr>
            <w:tcW w:w="1530" w:type="dxa"/>
            <w:vAlign w:val="center"/>
          </w:tcPr>
          <w:p w14:paraId="07CCA8D1" w14:textId="77777777" w:rsidR="004A3DBC" w:rsidRPr="00404DA5" w:rsidRDefault="004A3DBC" w:rsidP="00C22C26">
            <w:pPr>
              <w:jc w:val="center"/>
              <w:rPr>
                <w:rFonts w:cs="Calibri"/>
                <w:sz w:val="18"/>
                <w:szCs w:val="20"/>
              </w:rPr>
            </w:pPr>
            <w:r w:rsidRPr="00404DA5">
              <w:rPr>
                <w:rFonts w:cs="Calibri"/>
                <w:sz w:val="18"/>
                <w:szCs w:val="20"/>
              </w:rPr>
              <w:t>1</w:t>
            </w:r>
          </w:p>
        </w:tc>
        <w:tc>
          <w:tcPr>
            <w:tcW w:w="1602" w:type="dxa"/>
            <w:vAlign w:val="center"/>
          </w:tcPr>
          <w:p w14:paraId="51750798" w14:textId="77777777" w:rsidR="004A3DBC" w:rsidRPr="00404DA5" w:rsidRDefault="004A3DBC" w:rsidP="00C22C26">
            <w:pPr>
              <w:jc w:val="center"/>
              <w:rPr>
                <w:rFonts w:cs="Calibri"/>
                <w:sz w:val="18"/>
                <w:szCs w:val="20"/>
              </w:rPr>
            </w:pPr>
            <w:r w:rsidRPr="00404DA5">
              <w:rPr>
                <w:rFonts w:cs="Calibri"/>
                <w:sz w:val="18"/>
                <w:szCs w:val="20"/>
              </w:rPr>
              <w:t>16,7%</w:t>
            </w:r>
          </w:p>
        </w:tc>
        <w:tc>
          <w:tcPr>
            <w:tcW w:w="1242" w:type="dxa"/>
            <w:vAlign w:val="center"/>
          </w:tcPr>
          <w:p w14:paraId="11B1341E" w14:textId="77777777" w:rsidR="00D56804" w:rsidRDefault="00D56804" w:rsidP="00C22C26">
            <w:pPr>
              <w:jc w:val="center"/>
              <w:rPr>
                <w:rFonts w:cs="Calibri"/>
                <w:sz w:val="18"/>
                <w:szCs w:val="20"/>
              </w:rPr>
            </w:pPr>
          </w:p>
          <w:p w14:paraId="56290F41" w14:textId="77777777" w:rsidR="004A3DBC" w:rsidRPr="00404DA5" w:rsidRDefault="004A3DBC" w:rsidP="00C22C26">
            <w:pPr>
              <w:jc w:val="center"/>
              <w:rPr>
                <w:rFonts w:cs="Calibri"/>
                <w:sz w:val="18"/>
                <w:szCs w:val="20"/>
              </w:rPr>
            </w:pPr>
            <w:r w:rsidRPr="00404DA5">
              <w:rPr>
                <w:rFonts w:cs="Calibri"/>
                <w:sz w:val="18"/>
                <w:szCs w:val="20"/>
              </w:rPr>
              <w:t>0</w:t>
            </w:r>
          </w:p>
          <w:p w14:paraId="003B1ED6" w14:textId="77777777" w:rsidR="004A3DBC" w:rsidRPr="00404DA5" w:rsidRDefault="004A3DBC" w:rsidP="00C22C26">
            <w:pPr>
              <w:jc w:val="center"/>
              <w:rPr>
                <w:rFonts w:cs="Calibri"/>
                <w:sz w:val="18"/>
                <w:szCs w:val="20"/>
              </w:rPr>
            </w:pPr>
          </w:p>
        </w:tc>
        <w:tc>
          <w:tcPr>
            <w:tcW w:w="1558" w:type="dxa"/>
            <w:vAlign w:val="center"/>
          </w:tcPr>
          <w:p w14:paraId="771AB2A2" w14:textId="77777777" w:rsidR="004A3DBC" w:rsidRPr="00404DA5" w:rsidRDefault="004A3DBC" w:rsidP="00C22C26">
            <w:pPr>
              <w:jc w:val="center"/>
              <w:rPr>
                <w:rFonts w:cs="Calibri"/>
                <w:sz w:val="18"/>
                <w:szCs w:val="20"/>
              </w:rPr>
            </w:pPr>
            <w:r w:rsidRPr="00404DA5">
              <w:rPr>
                <w:rFonts w:cs="Calibri"/>
                <w:sz w:val="18"/>
                <w:szCs w:val="20"/>
              </w:rPr>
              <w:t>0%</w:t>
            </w:r>
          </w:p>
        </w:tc>
      </w:tr>
      <w:tr w:rsidR="004A3DBC" w:rsidRPr="00EE5470" w14:paraId="3F3E5765" w14:textId="77777777" w:rsidTr="00C22C26">
        <w:tc>
          <w:tcPr>
            <w:tcW w:w="2376" w:type="dxa"/>
          </w:tcPr>
          <w:p w14:paraId="0630557C" w14:textId="77777777" w:rsidR="004A3DBC" w:rsidRPr="00404DA5" w:rsidRDefault="004A3DBC" w:rsidP="009974B7">
            <w:pPr>
              <w:rPr>
                <w:rFonts w:cs="Calibri"/>
                <w:sz w:val="18"/>
                <w:szCs w:val="20"/>
              </w:rPr>
            </w:pPr>
            <w:r w:rsidRPr="00404DA5">
              <w:rPr>
                <w:rFonts w:cs="Calibri"/>
                <w:sz w:val="18"/>
                <w:szCs w:val="20"/>
              </w:rPr>
              <w:t>Liczba zainstalowanych inteligentnych systemów transportowych</w:t>
            </w:r>
          </w:p>
        </w:tc>
        <w:tc>
          <w:tcPr>
            <w:tcW w:w="980" w:type="dxa"/>
            <w:vAlign w:val="center"/>
          </w:tcPr>
          <w:p w14:paraId="074C1ED0" w14:textId="77777777" w:rsidR="004A3DBC" w:rsidRPr="00404DA5" w:rsidRDefault="004A3DBC" w:rsidP="00C22C26">
            <w:pPr>
              <w:jc w:val="center"/>
              <w:rPr>
                <w:rFonts w:cs="Calibri"/>
                <w:sz w:val="18"/>
                <w:szCs w:val="20"/>
              </w:rPr>
            </w:pPr>
            <w:r w:rsidRPr="00404DA5">
              <w:rPr>
                <w:rFonts w:cs="Calibri"/>
                <w:sz w:val="18"/>
                <w:szCs w:val="20"/>
              </w:rPr>
              <w:t>3</w:t>
            </w:r>
          </w:p>
        </w:tc>
        <w:tc>
          <w:tcPr>
            <w:tcW w:w="1530" w:type="dxa"/>
            <w:vAlign w:val="center"/>
          </w:tcPr>
          <w:p w14:paraId="0E46BDD9" w14:textId="77777777" w:rsidR="004A3DBC" w:rsidRPr="00404DA5" w:rsidRDefault="004A3DBC" w:rsidP="00C22C26">
            <w:pPr>
              <w:jc w:val="center"/>
              <w:rPr>
                <w:rFonts w:cs="Calibri"/>
                <w:sz w:val="18"/>
                <w:szCs w:val="20"/>
              </w:rPr>
            </w:pPr>
            <w:r w:rsidRPr="00404DA5">
              <w:rPr>
                <w:rFonts w:cs="Calibri"/>
                <w:sz w:val="18"/>
                <w:szCs w:val="20"/>
              </w:rPr>
              <w:t>0</w:t>
            </w:r>
          </w:p>
        </w:tc>
        <w:tc>
          <w:tcPr>
            <w:tcW w:w="1602" w:type="dxa"/>
            <w:vAlign w:val="center"/>
          </w:tcPr>
          <w:p w14:paraId="4AEDEEB8" w14:textId="77777777" w:rsidR="004A3DBC" w:rsidRPr="00404DA5" w:rsidRDefault="004A3DBC" w:rsidP="00C22C26">
            <w:pPr>
              <w:jc w:val="center"/>
              <w:rPr>
                <w:rFonts w:cs="Calibri"/>
                <w:sz w:val="18"/>
                <w:szCs w:val="20"/>
              </w:rPr>
            </w:pPr>
            <w:r w:rsidRPr="00404DA5">
              <w:rPr>
                <w:rFonts w:cs="Calibri"/>
                <w:sz w:val="18"/>
                <w:szCs w:val="20"/>
              </w:rPr>
              <w:t>0%</w:t>
            </w:r>
          </w:p>
        </w:tc>
        <w:tc>
          <w:tcPr>
            <w:tcW w:w="1242" w:type="dxa"/>
            <w:vAlign w:val="center"/>
          </w:tcPr>
          <w:p w14:paraId="24EBEE39" w14:textId="77777777" w:rsidR="00D56804" w:rsidRDefault="00D56804" w:rsidP="00C22C26">
            <w:pPr>
              <w:jc w:val="center"/>
              <w:rPr>
                <w:rFonts w:cs="Calibri"/>
                <w:sz w:val="18"/>
                <w:szCs w:val="20"/>
              </w:rPr>
            </w:pPr>
          </w:p>
          <w:p w14:paraId="0A1ED155" w14:textId="77777777" w:rsidR="004A3DBC" w:rsidRPr="00404DA5" w:rsidRDefault="004A3DBC" w:rsidP="00C22C26">
            <w:pPr>
              <w:jc w:val="center"/>
              <w:rPr>
                <w:rFonts w:cs="Calibri"/>
                <w:sz w:val="18"/>
                <w:szCs w:val="20"/>
              </w:rPr>
            </w:pPr>
            <w:r w:rsidRPr="00404DA5">
              <w:rPr>
                <w:rFonts w:cs="Calibri"/>
                <w:sz w:val="18"/>
                <w:szCs w:val="20"/>
              </w:rPr>
              <w:t>0</w:t>
            </w:r>
          </w:p>
          <w:p w14:paraId="5B516E70" w14:textId="77777777" w:rsidR="004A3DBC" w:rsidRPr="00404DA5" w:rsidRDefault="004A3DBC" w:rsidP="00C22C26">
            <w:pPr>
              <w:jc w:val="center"/>
              <w:rPr>
                <w:rFonts w:cs="Calibri"/>
                <w:sz w:val="18"/>
                <w:szCs w:val="20"/>
              </w:rPr>
            </w:pPr>
          </w:p>
        </w:tc>
        <w:tc>
          <w:tcPr>
            <w:tcW w:w="1558" w:type="dxa"/>
            <w:vAlign w:val="center"/>
          </w:tcPr>
          <w:p w14:paraId="5E06A03E" w14:textId="77777777" w:rsidR="004A3DBC" w:rsidRPr="00404DA5" w:rsidRDefault="004A3DBC" w:rsidP="00C22C26">
            <w:pPr>
              <w:jc w:val="center"/>
              <w:rPr>
                <w:rFonts w:cs="Calibri"/>
                <w:sz w:val="18"/>
                <w:szCs w:val="20"/>
              </w:rPr>
            </w:pPr>
            <w:r w:rsidRPr="00404DA5">
              <w:rPr>
                <w:rFonts w:cs="Calibri"/>
                <w:sz w:val="18"/>
                <w:szCs w:val="20"/>
              </w:rPr>
              <w:t>0%</w:t>
            </w:r>
          </w:p>
        </w:tc>
      </w:tr>
    </w:tbl>
    <w:p w14:paraId="55AB949B" w14:textId="502C0657" w:rsidR="004A3DBC" w:rsidRPr="00D21299" w:rsidRDefault="004A3DBC" w:rsidP="001245CE">
      <w:pPr>
        <w:spacing w:before="0"/>
        <w:rPr>
          <w:rFonts w:cs="Calibri"/>
          <w:i/>
          <w:sz w:val="18"/>
          <w:szCs w:val="18"/>
        </w:rPr>
      </w:pPr>
      <w:r w:rsidRPr="00D21299">
        <w:rPr>
          <w:rFonts w:cs="Calibri"/>
          <w:i/>
          <w:sz w:val="18"/>
          <w:szCs w:val="18"/>
        </w:rPr>
        <w:t>Źródło: obliczenia własne na podstawie danych SL 2014 (stan na dzień 07.01.2019)</w:t>
      </w:r>
      <w:r w:rsidR="00AA6879">
        <w:rPr>
          <w:rFonts w:cs="Calibri"/>
          <w:i/>
          <w:sz w:val="18"/>
          <w:szCs w:val="18"/>
        </w:rPr>
        <w:t>.</w:t>
      </w:r>
    </w:p>
    <w:p w14:paraId="3270F31F" w14:textId="77777777" w:rsidR="004A3DBC" w:rsidRPr="00404DA5" w:rsidRDefault="004A3DBC" w:rsidP="004A3DBC">
      <w:pPr>
        <w:rPr>
          <w:rFonts w:cs="Calibri"/>
          <w:szCs w:val="20"/>
        </w:rPr>
      </w:pPr>
      <w:r w:rsidRPr="00404DA5">
        <w:rPr>
          <w:rFonts w:cs="Calibri"/>
          <w:szCs w:val="20"/>
        </w:rPr>
        <w:t>Wdrażanie działań związanych</w:t>
      </w:r>
      <w:r w:rsidR="00E66B89">
        <w:rPr>
          <w:rFonts w:cs="Calibri"/>
          <w:szCs w:val="20"/>
        </w:rPr>
        <w:t xml:space="preserve"> z </w:t>
      </w:r>
      <w:r w:rsidRPr="00404DA5">
        <w:rPr>
          <w:rFonts w:cs="Calibri"/>
          <w:szCs w:val="20"/>
        </w:rPr>
        <w:t>realizacją instrumentów terytorialnych należy ocenić pozytywnie. Działania związane</w:t>
      </w:r>
      <w:r w:rsidR="00E66B89">
        <w:rPr>
          <w:rFonts w:cs="Calibri"/>
          <w:szCs w:val="20"/>
        </w:rPr>
        <w:t xml:space="preserve"> z </w:t>
      </w:r>
      <w:r w:rsidRPr="00404DA5">
        <w:rPr>
          <w:rFonts w:cs="Calibri"/>
          <w:szCs w:val="20"/>
        </w:rPr>
        <w:t>transportem miejskim, infrastrukturą rowerową czy węzłami przesiadkowymi, są tymi, które</w:t>
      </w:r>
      <w:r w:rsidR="00E66B89">
        <w:rPr>
          <w:rFonts w:cs="Calibri"/>
          <w:szCs w:val="20"/>
        </w:rPr>
        <w:t xml:space="preserve"> w </w:t>
      </w:r>
      <w:r w:rsidRPr="00404DA5">
        <w:rPr>
          <w:rFonts w:cs="Calibri"/>
          <w:szCs w:val="20"/>
        </w:rPr>
        <w:t>największym stopniu oddziałują na spójność przestrzenną oraz funkcjonalną miejskich obszarów funkcjonalnych, wpływając jednocześnie na zmniejszenie presji na środowisko obserwowanej</w:t>
      </w:r>
      <w:r w:rsidR="00E66B89">
        <w:rPr>
          <w:rFonts w:cs="Calibri"/>
          <w:szCs w:val="20"/>
        </w:rPr>
        <w:t xml:space="preserve"> w </w:t>
      </w:r>
      <w:r w:rsidRPr="00404DA5">
        <w:rPr>
          <w:rFonts w:cs="Calibri"/>
          <w:szCs w:val="20"/>
        </w:rPr>
        <w:t>największych miastach oraz ich otoczeniu, wywieranej przez ruch samochodów osobowych. Właściwie rozmieszczone inwestycje mogą stać się czynnikiem zachęcającym do rezygnacji</w:t>
      </w:r>
      <w:r w:rsidR="00E66B89">
        <w:rPr>
          <w:rFonts w:cs="Calibri"/>
          <w:szCs w:val="20"/>
        </w:rPr>
        <w:t xml:space="preserve"> z </w:t>
      </w:r>
      <w:r w:rsidRPr="00404DA5">
        <w:rPr>
          <w:rFonts w:cs="Calibri"/>
          <w:szCs w:val="20"/>
        </w:rPr>
        <w:t>tego środka transportu na rzecz bardziej przyjaznych środowisku. Właściwie przedstawia się rozkład zarówno zakresów projektów</w:t>
      </w:r>
      <w:r w:rsidR="00E66B89">
        <w:rPr>
          <w:rFonts w:cs="Calibri"/>
          <w:szCs w:val="20"/>
        </w:rPr>
        <w:t xml:space="preserve"> w </w:t>
      </w:r>
      <w:r w:rsidRPr="00404DA5">
        <w:rPr>
          <w:rFonts w:cs="Calibri"/>
          <w:szCs w:val="20"/>
        </w:rPr>
        <w:t>ramach instrumentów terytorialnych, jak</w:t>
      </w:r>
      <w:r w:rsidR="00E66B89">
        <w:rPr>
          <w:rFonts w:cs="Calibri"/>
          <w:szCs w:val="20"/>
        </w:rPr>
        <w:t xml:space="preserve"> i </w:t>
      </w:r>
      <w:r w:rsidRPr="00404DA5">
        <w:rPr>
          <w:rFonts w:cs="Calibri"/>
          <w:szCs w:val="20"/>
        </w:rPr>
        <w:t>proporcje nakładów finansowych dla poszczególnych obszarów miejskich. Silna partycypacja Szczecina</w:t>
      </w:r>
      <w:r w:rsidR="00E66B89">
        <w:rPr>
          <w:rFonts w:cs="Calibri"/>
          <w:szCs w:val="20"/>
        </w:rPr>
        <w:t xml:space="preserve"> i </w:t>
      </w:r>
      <w:r w:rsidRPr="00404DA5">
        <w:rPr>
          <w:rFonts w:cs="Calibri"/>
          <w:szCs w:val="20"/>
        </w:rPr>
        <w:t>jego obszaru metropolitalnego</w:t>
      </w:r>
      <w:r w:rsidR="00E66B89">
        <w:rPr>
          <w:rFonts w:cs="Calibri"/>
          <w:szCs w:val="20"/>
        </w:rPr>
        <w:t xml:space="preserve"> w </w:t>
      </w:r>
      <w:r w:rsidRPr="00404DA5">
        <w:rPr>
          <w:rFonts w:cs="Calibri"/>
          <w:szCs w:val="20"/>
        </w:rPr>
        <w:t>zakresie finansowym jak</w:t>
      </w:r>
      <w:r w:rsidR="00E66B89">
        <w:rPr>
          <w:rFonts w:cs="Calibri"/>
          <w:szCs w:val="20"/>
        </w:rPr>
        <w:t xml:space="preserve"> i </w:t>
      </w:r>
      <w:r w:rsidRPr="00404DA5">
        <w:rPr>
          <w:rFonts w:cs="Calibri"/>
          <w:szCs w:val="20"/>
        </w:rPr>
        <w:t>rzeczowym jest jak najbardziej uzasadniona. Projekty realizowane</w:t>
      </w:r>
      <w:r w:rsidR="00E66B89">
        <w:rPr>
          <w:rFonts w:cs="Calibri"/>
          <w:szCs w:val="20"/>
        </w:rPr>
        <w:t xml:space="preserve"> w </w:t>
      </w:r>
      <w:r w:rsidRPr="00404DA5">
        <w:rPr>
          <w:rFonts w:cs="Calibri"/>
          <w:szCs w:val="20"/>
        </w:rPr>
        <w:t>ramach każdego</w:t>
      </w:r>
      <w:r w:rsidR="00E66B89">
        <w:rPr>
          <w:rFonts w:cs="Calibri"/>
          <w:szCs w:val="20"/>
        </w:rPr>
        <w:t xml:space="preserve"> z </w:t>
      </w:r>
      <w:r w:rsidRPr="00404DA5">
        <w:rPr>
          <w:rFonts w:cs="Calibri"/>
          <w:szCs w:val="20"/>
        </w:rPr>
        <w:t>obszarów będą oddziaływać ponadlokalnie na redukcję problemu niskiej emisji.</w:t>
      </w:r>
    </w:p>
    <w:p w14:paraId="322BCCEC" w14:textId="77777777" w:rsidR="00223984" w:rsidRPr="00223984" w:rsidRDefault="00223984" w:rsidP="00223984">
      <w:pPr>
        <w:pStyle w:val="Nagwek4"/>
        <w:numPr>
          <w:ilvl w:val="0"/>
          <w:numId w:val="0"/>
        </w:numPr>
        <w:rPr>
          <w:rFonts w:ascii="Lato" w:eastAsia="Calibri" w:hAnsi="Lato"/>
          <w:szCs w:val="20"/>
        </w:rPr>
      </w:pPr>
      <w:r>
        <w:rPr>
          <w:rFonts w:ascii="Lato" w:eastAsia="Calibri" w:hAnsi="Lato"/>
          <w:szCs w:val="20"/>
        </w:rPr>
        <w:t>Oś priorytetowa V</w:t>
      </w:r>
    </w:p>
    <w:p w14:paraId="55613959" w14:textId="77777777" w:rsidR="00CB79B5" w:rsidRPr="00404DA5" w:rsidRDefault="00CB79B5" w:rsidP="00404DA5">
      <w:pPr>
        <w:shd w:val="clear" w:color="auto" w:fill="DBE5F1"/>
        <w:rPr>
          <w:rFonts w:eastAsia="Calibri" w:cs="Calibri"/>
          <w:b/>
          <w:szCs w:val="20"/>
        </w:rPr>
      </w:pPr>
      <w:r w:rsidRPr="00404DA5">
        <w:rPr>
          <w:rFonts w:eastAsia="Calibri" w:cs="Calibri"/>
          <w:b/>
          <w:szCs w:val="20"/>
        </w:rPr>
        <w:t>Mechanizm terytorialny</w:t>
      </w:r>
      <w:r w:rsidR="00E66B89">
        <w:rPr>
          <w:rFonts w:eastAsia="Calibri" w:cs="Calibri"/>
          <w:b/>
          <w:szCs w:val="20"/>
        </w:rPr>
        <w:t xml:space="preserve"> w </w:t>
      </w:r>
      <w:r w:rsidRPr="00404DA5">
        <w:rPr>
          <w:rFonts w:eastAsia="Calibri" w:cs="Calibri"/>
          <w:b/>
          <w:szCs w:val="20"/>
        </w:rPr>
        <w:t>PI 7b</w:t>
      </w:r>
    </w:p>
    <w:p w14:paraId="0DE1ED57" w14:textId="77777777" w:rsidR="009974B7" w:rsidRPr="000A135E" w:rsidRDefault="009974B7" w:rsidP="009974B7">
      <w:pPr>
        <w:rPr>
          <w:szCs w:val="20"/>
        </w:rPr>
      </w:pPr>
      <w:r w:rsidRPr="00404DA5">
        <w:rPr>
          <w:rFonts w:cs="Calibri"/>
          <w:szCs w:val="20"/>
        </w:rPr>
        <w:t>W OP V Zrównoważony transport Polityka Terytorialna uwzględniona została</w:t>
      </w:r>
      <w:r w:rsidR="00E66B89">
        <w:rPr>
          <w:rFonts w:cs="Calibri"/>
          <w:szCs w:val="20"/>
        </w:rPr>
        <w:t xml:space="preserve"> w </w:t>
      </w:r>
      <w:r w:rsidRPr="00404DA5">
        <w:rPr>
          <w:rFonts w:cs="Calibri"/>
          <w:szCs w:val="20"/>
        </w:rPr>
        <w:t>Działaniu</w:t>
      </w:r>
      <w:r w:rsidRPr="000A135E">
        <w:rPr>
          <w:szCs w:val="20"/>
        </w:rPr>
        <w:t xml:space="preserve"> 5.2 Budowa</w:t>
      </w:r>
      <w:r w:rsidR="00E66B89">
        <w:rPr>
          <w:szCs w:val="20"/>
        </w:rPr>
        <w:t xml:space="preserve"> i </w:t>
      </w:r>
      <w:r w:rsidRPr="000A135E">
        <w:rPr>
          <w:szCs w:val="20"/>
        </w:rPr>
        <w:t>przebudowa dróg lokalnych (gminnych</w:t>
      </w:r>
      <w:r w:rsidR="00E66B89">
        <w:rPr>
          <w:szCs w:val="20"/>
        </w:rPr>
        <w:t xml:space="preserve"> i </w:t>
      </w:r>
      <w:r w:rsidRPr="000A135E">
        <w:rPr>
          <w:szCs w:val="20"/>
        </w:rPr>
        <w:t>powiatowych)</w:t>
      </w:r>
      <w:r w:rsidR="00E66B89">
        <w:rPr>
          <w:szCs w:val="20"/>
        </w:rPr>
        <w:t xml:space="preserve"> w </w:t>
      </w:r>
      <w:r w:rsidRPr="000A135E">
        <w:rPr>
          <w:szCs w:val="20"/>
        </w:rPr>
        <w:t>ramach Strategii ZIT dla Szczecińskiego Obszaru Metropolitalnego, Działaniu 5.3 Budowa</w:t>
      </w:r>
      <w:r w:rsidR="00E66B89">
        <w:rPr>
          <w:szCs w:val="20"/>
        </w:rPr>
        <w:t xml:space="preserve"> i </w:t>
      </w:r>
      <w:r w:rsidRPr="000A135E">
        <w:rPr>
          <w:szCs w:val="20"/>
        </w:rPr>
        <w:t>przebudowa dróg lokalnych (gminnych</w:t>
      </w:r>
      <w:r w:rsidR="00E66B89">
        <w:rPr>
          <w:szCs w:val="20"/>
        </w:rPr>
        <w:t xml:space="preserve"> i </w:t>
      </w:r>
      <w:r w:rsidRPr="000A135E">
        <w:rPr>
          <w:szCs w:val="20"/>
        </w:rPr>
        <w:t>powiatowych)</w:t>
      </w:r>
      <w:r w:rsidR="00E66B89">
        <w:rPr>
          <w:szCs w:val="20"/>
        </w:rPr>
        <w:t xml:space="preserve"> w </w:t>
      </w:r>
      <w:r w:rsidRPr="000A135E">
        <w:rPr>
          <w:szCs w:val="20"/>
        </w:rPr>
        <w:t>ramach Strategii ZIT dla Koszalińsko-Kołobrzesko-Białogardzkiego Obszaru Funkcjonalnego. Projekty ZIT SOM oraz ZIT KKB</w:t>
      </w:r>
      <w:r>
        <w:rPr>
          <w:szCs w:val="20"/>
        </w:rPr>
        <w:t>O</w:t>
      </w:r>
      <w:r w:rsidRPr="000A135E">
        <w:rPr>
          <w:szCs w:val="20"/>
        </w:rPr>
        <w:t>F charakteryzują się większą skutecznością kontraktacyjną niż projekty Działania 5.4</w:t>
      </w:r>
      <w:r w:rsidR="00E66B89">
        <w:rPr>
          <w:szCs w:val="20"/>
        </w:rPr>
        <w:t xml:space="preserve"> w </w:t>
      </w:r>
      <w:r w:rsidRPr="000A135E">
        <w:rPr>
          <w:szCs w:val="20"/>
        </w:rPr>
        <w:t>ramach którego również realizowane jest wsparcie dróg lokalnych. Czynnik ten wskazuje na wysoką użyteczność narzędzia ZIT jeśli chodzi</w:t>
      </w:r>
      <w:r w:rsidR="00E66B89">
        <w:rPr>
          <w:szCs w:val="20"/>
        </w:rPr>
        <w:t xml:space="preserve"> o </w:t>
      </w:r>
      <w:r w:rsidRPr="000A135E">
        <w:rPr>
          <w:szCs w:val="20"/>
        </w:rPr>
        <w:t>stopień przygotowania projektów</w:t>
      </w:r>
      <w:r w:rsidR="00E66B89">
        <w:rPr>
          <w:szCs w:val="20"/>
        </w:rPr>
        <w:t xml:space="preserve"> i </w:t>
      </w:r>
      <w:r w:rsidRPr="000A135E">
        <w:rPr>
          <w:szCs w:val="20"/>
        </w:rPr>
        <w:t>stopień zgodności ich wdrażania</w:t>
      </w:r>
      <w:r w:rsidR="00E66B89">
        <w:rPr>
          <w:szCs w:val="20"/>
        </w:rPr>
        <w:t xml:space="preserve"> z </w:t>
      </w:r>
      <w:r w:rsidRPr="000A135E">
        <w:rPr>
          <w:szCs w:val="20"/>
        </w:rPr>
        <w:t xml:space="preserve">harmonogramem. </w:t>
      </w:r>
    </w:p>
    <w:p w14:paraId="2F5AEC90" w14:textId="77777777" w:rsidR="009974B7" w:rsidRPr="000A135E" w:rsidRDefault="009974B7" w:rsidP="00024F00">
      <w:pPr>
        <w:pStyle w:val="Legenda"/>
        <w:spacing w:after="0"/>
      </w:pPr>
      <w:bookmarkStart w:id="370" w:name="_Toc8824275"/>
      <w:r w:rsidRPr="000A135E">
        <w:lastRenderedPageBreak/>
        <w:t xml:space="preserve">Tabela </w:t>
      </w:r>
      <w:r>
        <w:fldChar w:fldCharType="begin"/>
      </w:r>
      <w:r>
        <w:instrText xml:space="preserve"> SEQ Tabela \* ARABIC </w:instrText>
      </w:r>
      <w:r>
        <w:fldChar w:fldCharType="separate"/>
      </w:r>
      <w:r w:rsidR="00763345">
        <w:rPr>
          <w:noProof/>
        </w:rPr>
        <w:t>164</w:t>
      </w:r>
      <w:r>
        <w:fldChar w:fldCharType="end"/>
      </w:r>
      <w:r w:rsidRPr="000A135E">
        <w:t xml:space="preserve"> </w:t>
      </w:r>
      <w:r>
        <w:t>Postęp finansowy Działań realizujących instrumenty terytorialne oraz analogicznego Działania wdrażanego</w:t>
      </w:r>
      <w:r w:rsidR="00E66B89">
        <w:t xml:space="preserve"> w </w:t>
      </w:r>
      <w:r>
        <w:t>całym regionie -</w:t>
      </w:r>
      <w:r w:rsidRPr="000A135E">
        <w:t xml:space="preserve"> PI 7b</w:t>
      </w:r>
      <w:bookmarkEnd w:id="3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182"/>
        <w:gridCol w:w="1367"/>
        <w:gridCol w:w="1359"/>
        <w:gridCol w:w="1070"/>
        <w:gridCol w:w="1472"/>
      </w:tblGrid>
      <w:tr w:rsidR="009974B7" w:rsidRPr="000A135E" w14:paraId="2252DD10" w14:textId="77777777" w:rsidTr="00C22C26">
        <w:trPr>
          <w:trHeight w:val="781"/>
          <w:tblHeader/>
        </w:trPr>
        <w:tc>
          <w:tcPr>
            <w:tcW w:w="7083" w:type="dxa"/>
            <w:shd w:val="clear" w:color="auto" w:fill="DBE5F1"/>
          </w:tcPr>
          <w:p w14:paraId="4E320E81" w14:textId="77777777" w:rsidR="009974B7" w:rsidRPr="008B706B" w:rsidRDefault="009974B7" w:rsidP="008B706B">
            <w:pPr>
              <w:jc w:val="center"/>
              <w:rPr>
                <w:rFonts w:cs="Calibri"/>
                <w:sz w:val="18"/>
                <w:szCs w:val="18"/>
              </w:rPr>
            </w:pPr>
          </w:p>
        </w:tc>
        <w:tc>
          <w:tcPr>
            <w:tcW w:w="1276" w:type="dxa"/>
            <w:shd w:val="clear" w:color="auto" w:fill="DBE5F1"/>
          </w:tcPr>
          <w:p w14:paraId="71633B8F" w14:textId="77777777" w:rsidR="009974B7" w:rsidRPr="008B706B" w:rsidRDefault="009974B7" w:rsidP="008B706B">
            <w:pPr>
              <w:jc w:val="center"/>
              <w:rPr>
                <w:rFonts w:cs="Calibri"/>
                <w:sz w:val="18"/>
                <w:szCs w:val="18"/>
              </w:rPr>
            </w:pPr>
            <w:r w:rsidRPr="008B706B">
              <w:rPr>
                <w:rFonts w:cs="Calibri"/>
                <w:sz w:val="18"/>
                <w:szCs w:val="18"/>
              </w:rPr>
              <w:t>Alokacja na Działanie</w:t>
            </w:r>
            <w:r w:rsidRPr="008B706B">
              <w:rPr>
                <w:rStyle w:val="Odwoanieprzypisudolnego"/>
                <w:rFonts w:cs="Calibri"/>
                <w:sz w:val="18"/>
                <w:szCs w:val="18"/>
              </w:rPr>
              <w:footnoteReference w:id="150"/>
            </w:r>
          </w:p>
        </w:tc>
        <w:tc>
          <w:tcPr>
            <w:tcW w:w="1417" w:type="dxa"/>
            <w:shd w:val="clear" w:color="auto" w:fill="DBE5F1"/>
          </w:tcPr>
          <w:p w14:paraId="06F0CED8" w14:textId="77777777" w:rsidR="009974B7" w:rsidRPr="008B706B" w:rsidRDefault="009974B7" w:rsidP="008B706B">
            <w:pPr>
              <w:jc w:val="center"/>
              <w:rPr>
                <w:rFonts w:cs="Calibri"/>
                <w:sz w:val="18"/>
                <w:szCs w:val="18"/>
              </w:rPr>
            </w:pPr>
            <w:r w:rsidRPr="008B706B">
              <w:rPr>
                <w:rFonts w:cs="Calibri"/>
                <w:sz w:val="18"/>
                <w:szCs w:val="18"/>
              </w:rPr>
              <w:t>Poziom kontraktacji</w:t>
            </w:r>
            <w:r w:rsidRPr="008B706B">
              <w:rPr>
                <w:rStyle w:val="Odwoanieprzypisudolnego"/>
                <w:rFonts w:cs="Calibri"/>
                <w:sz w:val="18"/>
                <w:szCs w:val="18"/>
              </w:rPr>
              <w:footnoteReference w:id="151"/>
            </w:r>
          </w:p>
        </w:tc>
        <w:tc>
          <w:tcPr>
            <w:tcW w:w="1418" w:type="dxa"/>
            <w:shd w:val="clear" w:color="auto" w:fill="DBE5F1"/>
          </w:tcPr>
          <w:p w14:paraId="5F3BEB8A" w14:textId="77777777" w:rsidR="009974B7" w:rsidRPr="008B706B" w:rsidRDefault="009974B7" w:rsidP="008B706B">
            <w:pPr>
              <w:jc w:val="center"/>
              <w:rPr>
                <w:rFonts w:cs="Calibri"/>
                <w:sz w:val="18"/>
                <w:szCs w:val="18"/>
              </w:rPr>
            </w:pPr>
            <w:r w:rsidRPr="008B706B">
              <w:rPr>
                <w:rFonts w:cs="Calibri"/>
                <w:sz w:val="18"/>
                <w:szCs w:val="18"/>
              </w:rPr>
              <w:t>Liczba realizowanych projektów</w:t>
            </w:r>
          </w:p>
        </w:tc>
        <w:tc>
          <w:tcPr>
            <w:tcW w:w="1275" w:type="dxa"/>
            <w:shd w:val="clear" w:color="auto" w:fill="DBE5F1"/>
          </w:tcPr>
          <w:p w14:paraId="18C7FA62" w14:textId="77777777" w:rsidR="009974B7" w:rsidRPr="008B706B" w:rsidRDefault="009974B7" w:rsidP="008B706B">
            <w:pPr>
              <w:jc w:val="center"/>
              <w:rPr>
                <w:rFonts w:cs="Calibri"/>
                <w:sz w:val="18"/>
                <w:szCs w:val="18"/>
              </w:rPr>
            </w:pPr>
            <w:r w:rsidRPr="008B706B">
              <w:rPr>
                <w:rFonts w:cs="Calibri"/>
                <w:sz w:val="18"/>
                <w:szCs w:val="18"/>
              </w:rPr>
              <w:t>Wartość projektów ogółem</w:t>
            </w:r>
          </w:p>
        </w:tc>
        <w:tc>
          <w:tcPr>
            <w:tcW w:w="1525" w:type="dxa"/>
            <w:shd w:val="clear" w:color="auto" w:fill="DBE5F1"/>
          </w:tcPr>
          <w:p w14:paraId="4ADD2EA2" w14:textId="77777777" w:rsidR="009974B7" w:rsidRPr="008B706B" w:rsidRDefault="009974B7" w:rsidP="008B706B">
            <w:pPr>
              <w:jc w:val="center"/>
              <w:rPr>
                <w:rFonts w:cs="Calibri"/>
                <w:sz w:val="18"/>
                <w:szCs w:val="18"/>
              </w:rPr>
            </w:pPr>
            <w:r w:rsidRPr="008B706B">
              <w:rPr>
                <w:rFonts w:cs="Calibri"/>
                <w:sz w:val="18"/>
                <w:szCs w:val="18"/>
              </w:rPr>
              <w:t>Wartość dofinansowania UE</w:t>
            </w:r>
          </w:p>
        </w:tc>
      </w:tr>
      <w:tr w:rsidR="009974B7" w:rsidRPr="000A135E" w14:paraId="00F0D873" w14:textId="77777777" w:rsidTr="009974B7">
        <w:trPr>
          <w:trHeight w:val="367"/>
        </w:trPr>
        <w:tc>
          <w:tcPr>
            <w:tcW w:w="7083" w:type="dxa"/>
            <w:shd w:val="clear" w:color="auto" w:fill="auto"/>
          </w:tcPr>
          <w:p w14:paraId="5FF76AFA" w14:textId="77777777" w:rsidR="009974B7" w:rsidRPr="00404DA5" w:rsidRDefault="009974B7" w:rsidP="009974B7">
            <w:pPr>
              <w:rPr>
                <w:rFonts w:cs="Calibri"/>
                <w:sz w:val="18"/>
                <w:szCs w:val="18"/>
              </w:rPr>
            </w:pPr>
            <w:r w:rsidRPr="00404DA5">
              <w:rPr>
                <w:rFonts w:cs="Calibri"/>
                <w:sz w:val="18"/>
                <w:szCs w:val="18"/>
              </w:rPr>
              <w:t>Działanie 5.4 Budowa</w:t>
            </w:r>
            <w:r w:rsidR="00E66B89">
              <w:rPr>
                <w:rFonts w:cs="Calibri"/>
                <w:sz w:val="18"/>
                <w:szCs w:val="18"/>
              </w:rPr>
              <w:t xml:space="preserve"> i </w:t>
            </w:r>
            <w:r w:rsidRPr="00404DA5">
              <w:rPr>
                <w:rFonts w:cs="Calibri"/>
                <w:sz w:val="18"/>
                <w:szCs w:val="18"/>
              </w:rPr>
              <w:t xml:space="preserve">przebudowa dróg powiatowych </w:t>
            </w:r>
          </w:p>
        </w:tc>
        <w:tc>
          <w:tcPr>
            <w:tcW w:w="1276" w:type="dxa"/>
            <w:shd w:val="clear" w:color="auto" w:fill="auto"/>
            <w:vAlign w:val="center"/>
          </w:tcPr>
          <w:p w14:paraId="31CFF38E" w14:textId="77777777" w:rsidR="009974B7" w:rsidRPr="00404DA5" w:rsidRDefault="009974B7" w:rsidP="009974B7">
            <w:pPr>
              <w:jc w:val="center"/>
              <w:rPr>
                <w:rFonts w:cs="Calibri"/>
                <w:color w:val="000000"/>
                <w:sz w:val="18"/>
                <w:szCs w:val="18"/>
              </w:rPr>
            </w:pPr>
            <w:r w:rsidRPr="00404DA5">
              <w:rPr>
                <w:rFonts w:cs="Calibri"/>
                <w:color w:val="000000"/>
                <w:sz w:val="18"/>
                <w:szCs w:val="18"/>
              </w:rPr>
              <w:t>53 347 370,82</w:t>
            </w:r>
          </w:p>
        </w:tc>
        <w:tc>
          <w:tcPr>
            <w:tcW w:w="1417" w:type="dxa"/>
            <w:shd w:val="clear" w:color="auto" w:fill="auto"/>
            <w:vAlign w:val="center"/>
          </w:tcPr>
          <w:p w14:paraId="11BF564C" w14:textId="77777777" w:rsidR="009974B7" w:rsidRPr="00404DA5" w:rsidRDefault="009974B7" w:rsidP="009974B7">
            <w:pPr>
              <w:jc w:val="center"/>
              <w:rPr>
                <w:rFonts w:cs="Calibri"/>
                <w:color w:val="000000"/>
                <w:sz w:val="18"/>
                <w:szCs w:val="18"/>
              </w:rPr>
            </w:pPr>
            <w:r w:rsidRPr="00404DA5">
              <w:rPr>
                <w:rFonts w:cs="Calibri"/>
                <w:color w:val="000000"/>
                <w:sz w:val="18"/>
                <w:szCs w:val="18"/>
              </w:rPr>
              <w:t>38,4%</w:t>
            </w:r>
          </w:p>
        </w:tc>
        <w:tc>
          <w:tcPr>
            <w:tcW w:w="1418" w:type="dxa"/>
            <w:shd w:val="clear" w:color="auto" w:fill="auto"/>
            <w:vAlign w:val="center"/>
          </w:tcPr>
          <w:p w14:paraId="745E4E90" w14:textId="77777777" w:rsidR="009974B7" w:rsidRPr="00404DA5" w:rsidRDefault="009974B7" w:rsidP="009974B7">
            <w:pPr>
              <w:jc w:val="center"/>
              <w:rPr>
                <w:rFonts w:cs="Calibri"/>
                <w:sz w:val="18"/>
                <w:szCs w:val="18"/>
              </w:rPr>
            </w:pPr>
            <w:r w:rsidRPr="00404DA5">
              <w:rPr>
                <w:rFonts w:cs="Calibri"/>
                <w:sz w:val="18"/>
                <w:szCs w:val="18"/>
              </w:rPr>
              <w:t>7</w:t>
            </w:r>
          </w:p>
        </w:tc>
        <w:tc>
          <w:tcPr>
            <w:tcW w:w="1275" w:type="dxa"/>
            <w:shd w:val="clear" w:color="auto" w:fill="auto"/>
            <w:vAlign w:val="center"/>
          </w:tcPr>
          <w:p w14:paraId="60F8E9EA" w14:textId="77777777" w:rsidR="009974B7" w:rsidRPr="00404DA5" w:rsidRDefault="009974B7" w:rsidP="009974B7">
            <w:pPr>
              <w:jc w:val="center"/>
              <w:rPr>
                <w:rFonts w:cs="Calibri"/>
                <w:color w:val="000000"/>
                <w:sz w:val="18"/>
                <w:szCs w:val="18"/>
              </w:rPr>
            </w:pPr>
            <w:r w:rsidRPr="00404DA5">
              <w:rPr>
                <w:rFonts w:cs="Calibri"/>
                <w:color w:val="000000"/>
                <w:sz w:val="18"/>
                <w:szCs w:val="18"/>
              </w:rPr>
              <w:t>36 616 100,95</w:t>
            </w:r>
          </w:p>
          <w:p w14:paraId="48329CBC" w14:textId="77777777" w:rsidR="009974B7" w:rsidRPr="00404DA5" w:rsidRDefault="009974B7" w:rsidP="009974B7">
            <w:pPr>
              <w:jc w:val="center"/>
              <w:rPr>
                <w:rFonts w:cs="Calibri"/>
                <w:color w:val="000000"/>
                <w:sz w:val="18"/>
                <w:szCs w:val="18"/>
              </w:rPr>
            </w:pPr>
          </w:p>
        </w:tc>
        <w:tc>
          <w:tcPr>
            <w:tcW w:w="1525" w:type="dxa"/>
            <w:shd w:val="clear" w:color="auto" w:fill="auto"/>
            <w:vAlign w:val="center"/>
          </w:tcPr>
          <w:p w14:paraId="58B3B342" w14:textId="77777777" w:rsidR="009974B7" w:rsidRPr="00404DA5" w:rsidRDefault="009974B7" w:rsidP="009974B7">
            <w:pPr>
              <w:jc w:val="center"/>
              <w:rPr>
                <w:rFonts w:cs="Calibri"/>
                <w:color w:val="000000"/>
                <w:sz w:val="18"/>
                <w:szCs w:val="18"/>
              </w:rPr>
            </w:pPr>
            <w:r w:rsidRPr="00404DA5">
              <w:rPr>
                <w:rFonts w:cs="Calibri"/>
                <w:color w:val="000000"/>
                <w:sz w:val="18"/>
                <w:szCs w:val="18"/>
              </w:rPr>
              <w:t>20 480 970,44</w:t>
            </w:r>
          </w:p>
        </w:tc>
      </w:tr>
      <w:tr w:rsidR="009974B7" w:rsidRPr="000A135E" w14:paraId="1E8C237E" w14:textId="77777777" w:rsidTr="009974B7">
        <w:trPr>
          <w:trHeight w:val="585"/>
        </w:trPr>
        <w:tc>
          <w:tcPr>
            <w:tcW w:w="7083" w:type="dxa"/>
            <w:shd w:val="clear" w:color="auto" w:fill="auto"/>
          </w:tcPr>
          <w:p w14:paraId="32AC75B7" w14:textId="77777777" w:rsidR="009974B7" w:rsidRPr="00404DA5" w:rsidRDefault="009974B7" w:rsidP="009974B7">
            <w:pPr>
              <w:rPr>
                <w:rFonts w:cs="Calibri"/>
                <w:sz w:val="18"/>
                <w:szCs w:val="18"/>
              </w:rPr>
            </w:pPr>
            <w:r w:rsidRPr="00404DA5">
              <w:rPr>
                <w:rFonts w:cs="Calibri"/>
                <w:sz w:val="18"/>
                <w:szCs w:val="18"/>
              </w:rPr>
              <w:t>Działanie 5.2 Budowa</w:t>
            </w:r>
            <w:r w:rsidR="00E66B89">
              <w:rPr>
                <w:rFonts w:cs="Calibri"/>
                <w:sz w:val="18"/>
                <w:szCs w:val="18"/>
              </w:rPr>
              <w:t xml:space="preserve"> i </w:t>
            </w:r>
            <w:r w:rsidRPr="00404DA5">
              <w:rPr>
                <w:rFonts w:cs="Calibri"/>
                <w:sz w:val="18"/>
                <w:szCs w:val="18"/>
              </w:rPr>
              <w:t>przebudowa dróg lokalnych (gminnych</w:t>
            </w:r>
            <w:r w:rsidR="00E66B89">
              <w:rPr>
                <w:rFonts w:cs="Calibri"/>
                <w:sz w:val="18"/>
                <w:szCs w:val="18"/>
              </w:rPr>
              <w:t xml:space="preserve"> i </w:t>
            </w:r>
            <w:r w:rsidRPr="00404DA5">
              <w:rPr>
                <w:rFonts w:cs="Calibri"/>
                <w:sz w:val="18"/>
                <w:szCs w:val="18"/>
              </w:rPr>
              <w:t>powiatowych)</w:t>
            </w:r>
            <w:r w:rsidR="00E66B89">
              <w:rPr>
                <w:rFonts w:cs="Calibri"/>
                <w:sz w:val="18"/>
                <w:szCs w:val="18"/>
              </w:rPr>
              <w:t xml:space="preserve"> w </w:t>
            </w:r>
            <w:r w:rsidRPr="00404DA5">
              <w:rPr>
                <w:rFonts w:cs="Calibri"/>
                <w:sz w:val="18"/>
                <w:szCs w:val="18"/>
              </w:rPr>
              <w:t xml:space="preserve">ramach Strategii ZIT dla Szczecińskiego Obszaru Metropolitalnego </w:t>
            </w:r>
          </w:p>
        </w:tc>
        <w:tc>
          <w:tcPr>
            <w:tcW w:w="1276" w:type="dxa"/>
            <w:shd w:val="clear" w:color="auto" w:fill="auto"/>
            <w:vAlign w:val="center"/>
          </w:tcPr>
          <w:p w14:paraId="1D2CC154" w14:textId="77777777" w:rsidR="009974B7" w:rsidRPr="00404DA5" w:rsidRDefault="009974B7" w:rsidP="009974B7">
            <w:pPr>
              <w:jc w:val="center"/>
              <w:rPr>
                <w:rFonts w:cs="Calibri"/>
                <w:color w:val="000000"/>
                <w:sz w:val="18"/>
                <w:szCs w:val="18"/>
              </w:rPr>
            </w:pPr>
            <w:r w:rsidRPr="00404DA5">
              <w:rPr>
                <w:rFonts w:cs="Calibri"/>
                <w:color w:val="000000"/>
                <w:sz w:val="18"/>
                <w:szCs w:val="18"/>
              </w:rPr>
              <w:t>34 422 400,00</w:t>
            </w:r>
          </w:p>
        </w:tc>
        <w:tc>
          <w:tcPr>
            <w:tcW w:w="1417" w:type="dxa"/>
            <w:shd w:val="clear" w:color="auto" w:fill="auto"/>
            <w:vAlign w:val="center"/>
          </w:tcPr>
          <w:p w14:paraId="59017C4F" w14:textId="77777777" w:rsidR="009974B7" w:rsidRPr="00404DA5" w:rsidRDefault="009974B7" w:rsidP="009974B7">
            <w:pPr>
              <w:jc w:val="center"/>
              <w:rPr>
                <w:rFonts w:cs="Calibri"/>
                <w:color w:val="000000"/>
                <w:sz w:val="18"/>
                <w:szCs w:val="18"/>
              </w:rPr>
            </w:pPr>
            <w:r w:rsidRPr="00404DA5">
              <w:rPr>
                <w:rFonts w:cs="Calibri"/>
                <w:color w:val="000000"/>
                <w:sz w:val="18"/>
                <w:szCs w:val="18"/>
              </w:rPr>
              <w:t>97,6%</w:t>
            </w:r>
          </w:p>
        </w:tc>
        <w:tc>
          <w:tcPr>
            <w:tcW w:w="1418" w:type="dxa"/>
            <w:shd w:val="clear" w:color="auto" w:fill="auto"/>
            <w:vAlign w:val="center"/>
          </w:tcPr>
          <w:p w14:paraId="290ABB27" w14:textId="77777777" w:rsidR="009974B7" w:rsidRPr="00404DA5" w:rsidRDefault="009974B7" w:rsidP="009974B7">
            <w:pPr>
              <w:jc w:val="center"/>
              <w:rPr>
                <w:rFonts w:cs="Calibri"/>
                <w:sz w:val="18"/>
                <w:szCs w:val="18"/>
              </w:rPr>
            </w:pPr>
            <w:r w:rsidRPr="00404DA5">
              <w:rPr>
                <w:rFonts w:cs="Calibri"/>
                <w:sz w:val="18"/>
                <w:szCs w:val="18"/>
              </w:rPr>
              <w:t>10</w:t>
            </w:r>
          </w:p>
        </w:tc>
        <w:tc>
          <w:tcPr>
            <w:tcW w:w="1275" w:type="dxa"/>
            <w:shd w:val="clear" w:color="auto" w:fill="auto"/>
            <w:vAlign w:val="center"/>
          </w:tcPr>
          <w:p w14:paraId="1BBA9E3D" w14:textId="77777777" w:rsidR="009974B7" w:rsidRPr="00404DA5" w:rsidRDefault="009974B7" w:rsidP="009974B7">
            <w:pPr>
              <w:jc w:val="center"/>
              <w:rPr>
                <w:rFonts w:cs="Calibri"/>
                <w:color w:val="000000"/>
                <w:sz w:val="18"/>
                <w:szCs w:val="18"/>
              </w:rPr>
            </w:pPr>
            <w:r w:rsidRPr="00404DA5">
              <w:rPr>
                <w:rFonts w:cs="Calibri"/>
                <w:color w:val="000000"/>
                <w:sz w:val="18"/>
                <w:szCs w:val="18"/>
              </w:rPr>
              <w:t>74 673 738,32</w:t>
            </w:r>
          </w:p>
        </w:tc>
        <w:tc>
          <w:tcPr>
            <w:tcW w:w="1525" w:type="dxa"/>
            <w:shd w:val="clear" w:color="auto" w:fill="auto"/>
            <w:vAlign w:val="center"/>
          </w:tcPr>
          <w:p w14:paraId="6155402F" w14:textId="77777777" w:rsidR="009974B7" w:rsidRPr="00404DA5" w:rsidRDefault="009974B7" w:rsidP="009974B7">
            <w:pPr>
              <w:jc w:val="center"/>
              <w:rPr>
                <w:rFonts w:cs="Calibri"/>
                <w:color w:val="000000"/>
                <w:sz w:val="18"/>
                <w:szCs w:val="18"/>
              </w:rPr>
            </w:pPr>
            <w:r w:rsidRPr="00404DA5">
              <w:rPr>
                <w:rFonts w:cs="Calibri"/>
                <w:color w:val="000000"/>
                <w:sz w:val="18"/>
                <w:szCs w:val="18"/>
              </w:rPr>
              <w:t>33 579 095,96</w:t>
            </w:r>
          </w:p>
        </w:tc>
      </w:tr>
      <w:tr w:rsidR="009974B7" w:rsidRPr="000A135E" w14:paraId="70458415" w14:textId="77777777" w:rsidTr="009974B7">
        <w:trPr>
          <w:trHeight w:val="769"/>
        </w:trPr>
        <w:tc>
          <w:tcPr>
            <w:tcW w:w="7083" w:type="dxa"/>
            <w:shd w:val="clear" w:color="auto" w:fill="auto"/>
          </w:tcPr>
          <w:p w14:paraId="013A5924" w14:textId="77777777" w:rsidR="009974B7" w:rsidRPr="00404DA5" w:rsidRDefault="009974B7" w:rsidP="009974B7">
            <w:pPr>
              <w:rPr>
                <w:rFonts w:cs="Calibri"/>
                <w:sz w:val="18"/>
                <w:szCs w:val="18"/>
              </w:rPr>
            </w:pPr>
            <w:r w:rsidRPr="00404DA5">
              <w:rPr>
                <w:rFonts w:cs="Calibri"/>
                <w:sz w:val="18"/>
                <w:szCs w:val="18"/>
              </w:rPr>
              <w:t>Działanie 5.3 Budowa</w:t>
            </w:r>
            <w:r w:rsidR="00E66B89">
              <w:rPr>
                <w:rFonts w:cs="Calibri"/>
                <w:sz w:val="18"/>
                <w:szCs w:val="18"/>
              </w:rPr>
              <w:t xml:space="preserve"> i </w:t>
            </w:r>
            <w:r w:rsidRPr="00404DA5">
              <w:rPr>
                <w:rFonts w:cs="Calibri"/>
                <w:sz w:val="18"/>
                <w:szCs w:val="18"/>
              </w:rPr>
              <w:t>przebudowa dróg lokalnych (gminnych</w:t>
            </w:r>
            <w:r w:rsidR="00E66B89">
              <w:rPr>
                <w:rFonts w:cs="Calibri"/>
                <w:sz w:val="18"/>
                <w:szCs w:val="18"/>
              </w:rPr>
              <w:t xml:space="preserve"> i </w:t>
            </w:r>
            <w:r w:rsidRPr="00404DA5">
              <w:rPr>
                <w:rFonts w:cs="Calibri"/>
                <w:sz w:val="18"/>
                <w:szCs w:val="18"/>
              </w:rPr>
              <w:t>powiatowych)</w:t>
            </w:r>
            <w:r w:rsidR="00E66B89">
              <w:rPr>
                <w:rFonts w:cs="Calibri"/>
                <w:sz w:val="18"/>
                <w:szCs w:val="18"/>
              </w:rPr>
              <w:t xml:space="preserve"> w </w:t>
            </w:r>
            <w:r w:rsidRPr="00404DA5">
              <w:rPr>
                <w:rFonts w:cs="Calibri"/>
                <w:sz w:val="18"/>
                <w:szCs w:val="18"/>
              </w:rPr>
              <w:t xml:space="preserve">ramach Strategii ZIT dla Koszalińsko-Kołobrzesko-Białogardzkiego Obszaru Funkcjonalnego </w:t>
            </w:r>
          </w:p>
        </w:tc>
        <w:tc>
          <w:tcPr>
            <w:tcW w:w="1276" w:type="dxa"/>
            <w:shd w:val="clear" w:color="auto" w:fill="auto"/>
            <w:vAlign w:val="center"/>
          </w:tcPr>
          <w:p w14:paraId="367A6EAE" w14:textId="77777777" w:rsidR="009974B7" w:rsidRPr="00404DA5" w:rsidRDefault="009974B7" w:rsidP="009974B7">
            <w:pPr>
              <w:jc w:val="center"/>
              <w:rPr>
                <w:rFonts w:cs="Calibri"/>
                <w:color w:val="000000"/>
                <w:sz w:val="18"/>
                <w:szCs w:val="18"/>
              </w:rPr>
            </w:pPr>
            <w:r w:rsidRPr="00404DA5">
              <w:rPr>
                <w:rFonts w:cs="Calibri"/>
                <w:color w:val="000000"/>
                <w:sz w:val="18"/>
                <w:szCs w:val="18"/>
              </w:rPr>
              <w:t>17 211 200,00</w:t>
            </w:r>
          </w:p>
        </w:tc>
        <w:tc>
          <w:tcPr>
            <w:tcW w:w="1417" w:type="dxa"/>
            <w:shd w:val="clear" w:color="auto" w:fill="auto"/>
            <w:vAlign w:val="center"/>
          </w:tcPr>
          <w:p w14:paraId="11F4D052" w14:textId="77777777" w:rsidR="009974B7" w:rsidRPr="00404DA5" w:rsidRDefault="009974B7" w:rsidP="009974B7">
            <w:pPr>
              <w:jc w:val="center"/>
              <w:rPr>
                <w:rFonts w:cs="Calibri"/>
                <w:color w:val="000000"/>
                <w:sz w:val="18"/>
                <w:szCs w:val="18"/>
              </w:rPr>
            </w:pPr>
            <w:r w:rsidRPr="00404DA5">
              <w:rPr>
                <w:rFonts w:cs="Calibri"/>
                <w:color w:val="000000"/>
                <w:sz w:val="18"/>
                <w:szCs w:val="18"/>
              </w:rPr>
              <w:t>72,2%</w:t>
            </w:r>
          </w:p>
        </w:tc>
        <w:tc>
          <w:tcPr>
            <w:tcW w:w="1418" w:type="dxa"/>
            <w:shd w:val="clear" w:color="auto" w:fill="auto"/>
            <w:vAlign w:val="center"/>
          </w:tcPr>
          <w:p w14:paraId="77E8A730" w14:textId="77777777" w:rsidR="009974B7" w:rsidRPr="00404DA5" w:rsidRDefault="009974B7" w:rsidP="009974B7">
            <w:pPr>
              <w:jc w:val="center"/>
              <w:rPr>
                <w:rFonts w:cs="Calibri"/>
                <w:sz w:val="18"/>
                <w:szCs w:val="18"/>
              </w:rPr>
            </w:pPr>
            <w:r w:rsidRPr="00404DA5">
              <w:rPr>
                <w:rFonts w:cs="Calibri"/>
                <w:sz w:val="18"/>
                <w:szCs w:val="18"/>
              </w:rPr>
              <w:t>4</w:t>
            </w:r>
          </w:p>
        </w:tc>
        <w:tc>
          <w:tcPr>
            <w:tcW w:w="1275" w:type="dxa"/>
            <w:shd w:val="clear" w:color="auto" w:fill="auto"/>
            <w:vAlign w:val="center"/>
          </w:tcPr>
          <w:p w14:paraId="3362CEA1" w14:textId="77777777" w:rsidR="009974B7" w:rsidRPr="00404DA5" w:rsidRDefault="009974B7" w:rsidP="009974B7">
            <w:pPr>
              <w:jc w:val="center"/>
              <w:rPr>
                <w:rFonts w:cs="Calibri"/>
                <w:color w:val="000000"/>
                <w:sz w:val="18"/>
                <w:szCs w:val="18"/>
              </w:rPr>
            </w:pPr>
            <w:r w:rsidRPr="00404DA5">
              <w:rPr>
                <w:rFonts w:cs="Calibri"/>
                <w:color w:val="000000"/>
                <w:sz w:val="18"/>
                <w:szCs w:val="18"/>
              </w:rPr>
              <w:t>19 496 574,29</w:t>
            </w:r>
          </w:p>
        </w:tc>
        <w:tc>
          <w:tcPr>
            <w:tcW w:w="1525" w:type="dxa"/>
            <w:shd w:val="clear" w:color="auto" w:fill="auto"/>
            <w:vAlign w:val="center"/>
          </w:tcPr>
          <w:p w14:paraId="709DC96E" w14:textId="77777777" w:rsidR="009974B7" w:rsidRPr="00404DA5" w:rsidRDefault="009974B7" w:rsidP="009974B7">
            <w:pPr>
              <w:jc w:val="center"/>
              <w:rPr>
                <w:rFonts w:cs="Calibri"/>
                <w:color w:val="000000"/>
                <w:sz w:val="18"/>
                <w:szCs w:val="18"/>
              </w:rPr>
            </w:pPr>
            <w:r w:rsidRPr="00404DA5">
              <w:rPr>
                <w:rFonts w:cs="Calibri"/>
                <w:color w:val="000000"/>
                <w:sz w:val="18"/>
                <w:szCs w:val="18"/>
              </w:rPr>
              <w:t>12 428 166,94</w:t>
            </w:r>
          </w:p>
        </w:tc>
      </w:tr>
    </w:tbl>
    <w:p w14:paraId="35E91509" w14:textId="77777777" w:rsidR="009974B7" w:rsidRPr="00D21299" w:rsidRDefault="009974B7" w:rsidP="001245CE">
      <w:pPr>
        <w:spacing w:before="0"/>
        <w:rPr>
          <w:rFonts w:cs="Calibri"/>
          <w:i/>
          <w:sz w:val="18"/>
          <w:szCs w:val="18"/>
        </w:rPr>
      </w:pPr>
      <w:r w:rsidRPr="00D21299">
        <w:rPr>
          <w:rFonts w:cs="Calibri"/>
          <w:i/>
          <w:sz w:val="18"/>
          <w:szCs w:val="18"/>
        </w:rPr>
        <w:t>Źródło: obliczenia własne na podstawie danych SL 2014 (stan na dzień 07.01.2019r.).</w:t>
      </w:r>
    </w:p>
    <w:p w14:paraId="49D8DA67" w14:textId="77777777" w:rsidR="00A905E5" w:rsidRDefault="00A905E5" w:rsidP="009974B7">
      <w:r>
        <w:t>Na poniższej mapie przedstawiono dane dotyczące wartości projektów ogółem realizowanych</w:t>
      </w:r>
      <w:r w:rsidR="00E66B89">
        <w:t xml:space="preserve"> w </w:t>
      </w:r>
      <w:r>
        <w:t>ramach Działań 5.4, 5.2</w:t>
      </w:r>
      <w:r w:rsidR="00E66B89">
        <w:t xml:space="preserve"> i </w:t>
      </w:r>
      <w:r>
        <w:t>5.3</w:t>
      </w:r>
      <w:r w:rsidR="00E66B89">
        <w:t xml:space="preserve"> w </w:t>
      </w:r>
      <w:r>
        <w:t>podziale na gminy</w:t>
      </w:r>
      <w:r w:rsidR="00E66B89">
        <w:t xml:space="preserve"> w </w:t>
      </w:r>
      <w:r>
        <w:t>województwie zachodniopomorskim. Projekty</w:t>
      </w:r>
      <w:r w:rsidR="00E66B89">
        <w:t xml:space="preserve"> o </w:t>
      </w:r>
      <w:r>
        <w:t>największej wartości ogółem,</w:t>
      </w:r>
      <w:r w:rsidR="00E66B89">
        <w:t xml:space="preserve"> w </w:t>
      </w:r>
      <w:r>
        <w:t>ramach tych Działań, są realizowane</w:t>
      </w:r>
      <w:r w:rsidR="00E66B89">
        <w:t xml:space="preserve"> w </w:t>
      </w:r>
      <w:r>
        <w:t>gminie wiejskiej Stargard (18,3 mln zł), gminie Police (17,4 mln zł) oraz gminie Będzino (11,2 mln zł). Są to gminy należące do obszarów objętych mechanizmem ZIT, co pozwala twierdzić, że mechanizm ukierunkowania interwencji</w:t>
      </w:r>
      <w:r w:rsidR="00E66B89">
        <w:t xml:space="preserve"> w </w:t>
      </w:r>
      <w:r>
        <w:t>tym obszarze wsparcia okazuje się skuteczny. Dodatkowo, jak pokazały szczegółowe analizy,</w:t>
      </w:r>
      <w:r w:rsidR="00E66B89">
        <w:t xml:space="preserve"> w </w:t>
      </w:r>
      <w:r>
        <w:t>każdej</w:t>
      </w:r>
      <w:r w:rsidR="00E66B89">
        <w:t xml:space="preserve"> z </w:t>
      </w:r>
      <w:r>
        <w:t>gmin należących do związków ZIT (tych, na terenie których realizowane są projekty</w:t>
      </w:r>
      <w:r w:rsidR="00E66B89">
        <w:t xml:space="preserve"> z </w:t>
      </w:r>
      <w:r>
        <w:t>tych konkretnych Działań), wartość projektów</w:t>
      </w:r>
      <w:r w:rsidR="00E66B89">
        <w:t xml:space="preserve"> z </w:t>
      </w:r>
      <w:r>
        <w:t>Działań dedykowanych ZIT stanowi minimum 50% całkowitej wartości projektów realizowanych na terenie tych gmin. Co więcej,</w:t>
      </w:r>
      <w:r w:rsidR="00E66B89">
        <w:t xml:space="preserve"> w </w:t>
      </w:r>
      <w:r>
        <w:t>większości tych gmin, środki</w:t>
      </w:r>
      <w:r w:rsidR="00E66B89">
        <w:t xml:space="preserve"> z </w:t>
      </w:r>
      <w:r>
        <w:t>Działania ZIT stanowią jedyne źródło finansowania inwestycji</w:t>
      </w:r>
      <w:r w:rsidR="00E66B89">
        <w:t xml:space="preserve"> z </w:t>
      </w:r>
      <w:r>
        <w:t>zakresu budowy</w:t>
      </w:r>
      <w:r w:rsidR="00E66B89">
        <w:t xml:space="preserve"> i </w:t>
      </w:r>
      <w:r>
        <w:t>przebudowy dróg lokalnych. Warto dodać, że</w:t>
      </w:r>
      <w:r w:rsidR="00E66B89">
        <w:t xml:space="preserve"> w </w:t>
      </w:r>
      <w:r>
        <w:t>gminach spoza obszaru ZIT, największe środki na realizację podobnych projektów uzyskała gmina Mirosławiec (5,6 mln zł),</w:t>
      </w:r>
      <w:r w:rsidR="00E66B89">
        <w:t xml:space="preserve"> a w </w:t>
      </w:r>
      <w:r>
        <w:t>pozostałych gminach (tych spoza związków ZIT) wartość ogółem środków przeznaczonych na budowę</w:t>
      </w:r>
      <w:r w:rsidR="00E66B89">
        <w:t xml:space="preserve"> i </w:t>
      </w:r>
      <w:r>
        <w:t>przebudowę dróg wynosi około 3 mln zł.</w:t>
      </w:r>
    </w:p>
    <w:p w14:paraId="1F3F7CFC" w14:textId="77777777" w:rsidR="00A905E5" w:rsidRDefault="00A905E5" w:rsidP="00C22C26">
      <w:pPr>
        <w:pStyle w:val="TytuTAB"/>
      </w:pPr>
      <w:bookmarkStart w:id="371" w:name="_Toc6521454"/>
      <w:r w:rsidRPr="00D4293A">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5</w:t>
      </w:r>
      <w:r w:rsidR="006E34DC">
        <w:rPr>
          <w:noProof/>
        </w:rPr>
        <w:fldChar w:fldCharType="end"/>
      </w:r>
      <w:r w:rsidRPr="00D4293A">
        <w:t xml:space="preserve"> Wartość projektów ogółem</w:t>
      </w:r>
      <w:r w:rsidR="00E66B89">
        <w:t xml:space="preserve"> z </w:t>
      </w:r>
      <w:r w:rsidRPr="00D4293A">
        <w:t>Działań realizujących instrumenty terytorialne oraz analogicznego Działania wdrażanego</w:t>
      </w:r>
      <w:r w:rsidR="00E66B89">
        <w:t xml:space="preserve"> w </w:t>
      </w:r>
      <w:r w:rsidRPr="00D4293A">
        <w:t>całym regionie,</w:t>
      </w:r>
      <w:r w:rsidR="00E66B89">
        <w:t xml:space="preserve"> w </w:t>
      </w:r>
      <w:r w:rsidRPr="00D4293A">
        <w:t>podziale na gminy</w:t>
      </w:r>
      <w:r w:rsidR="00E66B89">
        <w:t xml:space="preserve"> z </w:t>
      </w:r>
      <w:r w:rsidRPr="00D4293A">
        <w:t>wyszczególnieniem gmin należących do ZIT/KS - PI 7b</w:t>
      </w:r>
      <w:bookmarkEnd w:id="371"/>
    </w:p>
    <w:p w14:paraId="61AA81AC" w14:textId="4EABC682" w:rsidR="00A905E5" w:rsidRDefault="00C35619" w:rsidP="001D3274">
      <w:pPr>
        <w:spacing w:before="0" w:after="0"/>
        <w:rPr>
          <w:rFonts w:cs="Calibri"/>
          <w:szCs w:val="20"/>
        </w:rPr>
      </w:pPr>
      <w:r w:rsidRPr="005F04FC">
        <w:rPr>
          <w:rFonts w:cs="Calibri"/>
          <w:noProof/>
          <w:szCs w:val="20"/>
        </w:rPr>
        <w:drawing>
          <wp:inline distT="0" distB="0" distL="0" distR="0" wp14:anchorId="561F0F56" wp14:editId="3AB50C75">
            <wp:extent cx="5762625" cy="4076700"/>
            <wp:effectExtent l="0" t="0" r="9525" b="0"/>
            <wp:docPr id="67" name="Obraz 19" descr="Opis: C:\Users\lenovo\Desktop\mid term WZP\realizacja\RK\RK 18.04\Mapy ZIT KS WZ\Mapa 3 PO POPRAWKACH\Mapa 3 PI 7b_P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Opis: C:\Users\lenovo\Desktop\mid term WZP\realizacja\RK\RK 18.04\Mapy ZIT KS WZ\Mapa 3 PO POPRAWKACH\Mapa 3 PI 7b_POP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653D912D" w14:textId="77777777" w:rsidR="00A905E5" w:rsidRPr="00D21299" w:rsidRDefault="00A905E5" w:rsidP="001D3274">
      <w:pPr>
        <w:spacing w:before="0"/>
        <w:rPr>
          <w:rFonts w:cs="Calibri"/>
          <w:sz w:val="18"/>
          <w:szCs w:val="18"/>
        </w:rPr>
      </w:pPr>
      <w:r w:rsidRPr="00D21299">
        <w:rPr>
          <w:i/>
          <w:sz w:val="18"/>
          <w:szCs w:val="18"/>
        </w:rPr>
        <w:t>Źródło: opracowanie własne na podstawie bazy zawartych UoD</w:t>
      </w:r>
      <w:r w:rsidR="00E66B89" w:rsidRPr="00D21299">
        <w:rPr>
          <w:i/>
          <w:sz w:val="18"/>
          <w:szCs w:val="18"/>
        </w:rPr>
        <w:t xml:space="preserve"> z </w:t>
      </w:r>
      <w:r w:rsidRPr="00D21299">
        <w:rPr>
          <w:i/>
          <w:sz w:val="18"/>
          <w:szCs w:val="18"/>
        </w:rPr>
        <w:t>07.01.2019 roku.</w:t>
      </w:r>
      <w:r w:rsidRPr="00D21299">
        <w:rPr>
          <w:rStyle w:val="Odwoanieprzypisudolnego"/>
          <w:sz w:val="18"/>
          <w:szCs w:val="18"/>
        </w:rPr>
        <w:footnoteReference w:id="152"/>
      </w:r>
      <w:r w:rsidRPr="00D21299">
        <w:rPr>
          <w:i/>
          <w:sz w:val="18"/>
          <w:szCs w:val="18"/>
        </w:rPr>
        <w:t xml:space="preserve"> </w:t>
      </w:r>
    </w:p>
    <w:p w14:paraId="05F7688F" w14:textId="77777777" w:rsidR="009974B7" w:rsidRPr="00404DA5" w:rsidRDefault="009974B7" w:rsidP="009974B7">
      <w:pPr>
        <w:rPr>
          <w:rFonts w:cs="Calibri"/>
          <w:szCs w:val="20"/>
        </w:rPr>
      </w:pPr>
      <w:r w:rsidRPr="00404DA5">
        <w:rPr>
          <w:rFonts w:cs="Calibri"/>
          <w:szCs w:val="20"/>
        </w:rPr>
        <w:t>Projekty PI 7b wdrażane</w:t>
      </w:r>
      <w:r w:rsidR="00E66B89">
        <w:rPr>
          <w:rFonts w:cs="Calibri"/>
          <w:szCs w:val="20"/>
        </w:rPr>
        <w:t xml:space="preserve"> w </w:t>
      </w:r>
      <w:r w:rsidRPr="00404DA5">
        <w:rPr>
          <w:rFonts w:cs="Calibri"/>
          <w:szCs w:val="20"/>
        </w:rPr>
        <w:t>mechanizmie terytorialnym charakteryzują się wyższym udziałem</w:t>
      </w:r>
      <w:r w:rsidR="00E66B89">
        <w:rPr>
          <w:rFonts w:cs="Calibri"/>
          <w:szCs w:val="20"/>
        </w:rPr>
        <w:t xml:space="preserve"> w </w:t>
      </w:r>
      <w:r w:rsidRPr="00404DA5">
        <w:rPr>
          <w:rFonts w:cs="Calibri"/>
          <w:szCs w:val="20"/>
        </w:rPr>
        <w:t>budowie nowych dróg</w:t>
      </w:r>
      <w:r w:rsidR="00E66B89">
        <w:rPr>
          <w:rFonts w:cs="Calibri"/>
          <w:szCs w:val="20"/>
        </w:rPr>
        <w:t xml:space="preserve"> w </w:t>
      </w:r>
      <w:r w:rsidRPr="00404DA5">
        <w:rPr>
          <w:rFonts w:cs="Calibri"/>
          <w:szCs w:val="20"/>
        </w:rPr>
        <w:t>regionie</w:t>
      </w:r>
      <w:r w:rsidR="00E66B89">
        <w:rPr>
          <w:rFonts w:cs="Calibri"/>
          <w:szCs w:val="20"/>
        </w:rPr>
        <w:t xml:space="preserve"> w </w:t>
      </w:r>
      <w:r w:rsidRPr="00404DA5">
        <w:rPr>
          <w:rFonts w:cs="Calibri"/>
          <w:szCs w:val="20"/>
        </w:rPr>
        <w:t>porównaniu</w:t>
      </w:r>
      <w:r w:rsidR="00E66B89">
        <w:rPr>
          <w:rFonts w:cs="Calibri"/>
          <w:szCs w:val="20"/>
        </w:rPr>
        <w:t xml:space="preserve"> z </w:t>
      </w:r>
      <w:r w:rsidRPr="00404DA5">
        <w:rPr>
          <w:rFonts w:cs="Calibri"/>
          <w:szCs w:val="20"/>
        </w:rPr>
        <w:t>projektami dróg lokalnych wdrażanymi poza podejściem zintegrowanym.</w:t>
      </w:r>
      <w:r w:rsidR="00E66B89">
        <w:rPr>
          <w:rFonts w:cs="Calibri"/>
          <w:szCs w:val="20"/>
        </w:rPr>
        <w:t xml:space="preserve"> W </w:t>
      </w:r>
      <w:r w:rsidRPr="00404DA5">
        <w:rPr>
          <w:rFonts w:cs="Calibri"/>
          <w:szCs w:val="20"/>
        </w:rPr>
        <w:t xml:space="preserve">mniejszym stopniu jednak przyczyniają się do osiągania wskaźnika Ram Wykonania </w:t>
      </w:r>
      <w:r w:rsidRPr="00C22C26">
        <w:rPr>
          <w:i/>
        </w:rPr>
        <w:t>Całkowita długość przebudowanych lub zmodernizowanych dróg</w:t>
      </w:r>
      <w:r w:rsidR="00D56804">
        <w:rPr>
          <w:rFonts w:cs="Calibri"/>
          <w:szCs w:val="20"/>
        </w:rPr>
        <w:t>,</w:t>
      </w:r>
      <w:r w:rsidRPr="00404DA5">
        <w:rPr>
          <w:rFonts w:cs="Calibri"/>
          <w:szCs w:val="20"/>
        </w:rPr>
        <w:t xml:space="preserve"> co wynika</w:t>
      </w:r>
      <w:r w:rsidR="00E66B89">
        <w:rPr>
          <w:rFonts w:cs="Calibri"/>
          <w:szCs w:val="20"/>
        </w:rPr>
        <w:t xml:space="preserve"> z </w:t>
      </w:r>
      <w:r w:rsidRPr="00404DA5">
        <w:rPr>
          <w:rFonts w:cs="Calibri"/>
          <w:szCs w:val="20"/>
        </w:rPr>
        <w:t>ich specyfiki – koncentracji na wyprowadzaniu ruchu tranzytowego</w:t>
      </w:r>
      <w:r w:rsidR="00E66B89">
        <w:rPr>
          <w:rFonts w:cs="Calibri"/>
          <w:szCs w:val="20"/>
        </w:rPr>
        <w:t xml:space="preserve"> z </w:t>
      </w:r>
      <w:r w:rsidRPr="00404DA5">
        <w:rPr>
          <w:rFonts w:cs="Calibri"/>
          <w:szCs w:val="20"/>
        </w:rPr>
        <w:t>miast, zapełnianiu luk</w:t>
      </w:r>
      <w:r w:rsidR="00E66B89">
        <w:rPr>
          <w:rFonts w:cs="Calibri"/>
          <w:szCs w:val="20"/>
        </w:rPr>
        <w:t xml:space="preserve"> w </w:t>
      </w:r>
      <w:r w:rsidRPr="00404DA5">
        <w:rPr>
          <w:rFonts w:cs="Calibri"/>
          <w:szCs w:val="20"/>
        </w:rPr>
        <w:t>sieci transportowej danego obszaru funkcjonalnego.</w:t>
      </w:r>
    </w:p>
    <w:p w14:paraId="7F72D710" w14:textId="77777777" w:rsidR="009974B7" w:rsidRPr="000A135E" w:rsidRDefault="009974B7" w:rsidP="00024F00">
      <w:pPr>
        <w:pStyle w:val="Legenda"/>
        <w:spacing w:after="0"/>
      </w:pPr>
      <w:bookmarkStart w:id="372" w:name="_Toc8824276"/>
      <w:r w:rsidRPr="000A135E">
        <w:t xml:space="preserve">Tabela </w:t>
      </w:r>
      <w:r>
        <w:fldChar w:fldCharType="begin"/>
      </w:r>
      <w:r>
        <w:instrText xml:space="preserve"> SEQ Tabela \* ARABIC </w:instrText>
      </w:r>
      <w:r>
        <w:fldChar w:fldCharType="separate"/>
      </w:r>
      <w:r w:rsidR="00763345">
        <w:rPr>
          <w:noProof/>
        </w:rPr>
        <w:t>165</w:t>
      </w:r>
      <w:r>
        <w:fldChar w:fldCharType="end"/>
      </w:r>
      <w:r w:rsidRPr="000A135E">
        <w:t xml:space="preserve"> </w:t>
      </w:r>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osiąganiu celów</w:t>
      </w:r>
      <w:r w:rsidRPr="000A135E">
        <w:t xml:space="preserve"> PI 7b</w:t>
      </w:r>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474"/>
        <w:gridCol w:w="1492"/>
        <w:gridCol w:w="1093"/>
        <w:gridCol w:w="1497"/>
        <w:gridCol w:w="1098"/>
      </w:tblGrid>
      <w:tr w:rsidR="009974B7" w:rsidRPr="000A135E" w14:paraId="5A7F4C8E" w14:textId="77777777" w:rsidTr="00C22C26">
        <w:trPr>
          <w:tblHeader/>
        </w:trPr>
        <w:tc>
          <w:tcPr>
            <w:tcW w:w="0" w:type="auto"/>
            <w:shd w:val="clear" w:color="auto" w:fill="DBE5F1"/>
          </w:tcPr>
          <w:p w14:paraId="73B18BF4" w14:textId="77777777" w:rsidR="009974B7" w:rsidRPr="008B706B" w:rsidRDefault="009974B7" w:rsidP="008B706B">
            <w:pPr>
              <w:jc w:val="center"/>
              <w:rPr>
                <w:rFonts w:cs="Calibri"/>
                <w:sz w:val="18"/>
                <w:szCs w:val="18"/>
              </w:rPr>
            </w:pPr>
          </w:p>
        </w:tc>
        <w:tc>
          <w:tcPr>
            <w:tcW w:w="0" w:type="auto"/>
            <w:shd w:val="clear" w:color="auto" w:fill="DBE5F1"/>
          </w:tcPr>
          <w:p w14:paraId="7D52F551" w14:textId="77777777" w:rsidR="009974B7" w:rsidRPr="008B706B" w:rsidRDefault="009974B7" w:rsidP="008B706B">
            <w:pPr>
              <w:jc w:val="center"/>
              <w:rPr>
                <w:rFonts w:cs="Calibri"/>
                <w:sz w:val="18"/>
                <w:szCs w:val="18"/>
              </w:rPr>
            </w:pPr>
            <w:r w:rsidRPr="008B706B">
              <w:rPr>
                <w:rFonts w:cs="Calibri"/>
                <w:sz w:val="18"/>
                <w:szCs w:val="18"/>
              </w:rPr>
              <w:t>Wartość docelowa (2023) na poziomie PI</w:t>
            </w:r>
          </w:p>
        </w:tc>
        <w:tc>
          <w:tcPr>
            <w:tcW w:w="0" w:type="auto"/>
            <w:shd w:val="clear" w:color="auto" w:fill="DBE5F1"/>
          </w:tcPr>
          <w:p w14:paraId="729A10FE" w14:textId="77777777" w:rsidR="009974B7" w:rsidRPr="008B706B" w:rsidRDefault="009974B7" w:rsidP="008B706B">
            <w:pPr>
              <w:jc w:val="center"/>
              <w:rPr>
                <w:rFonts w:cs="Calibri"/>
                <w:sz w:val="18"/>
                <w:szCs w:val="18"/>
              </w:rPr>
            </w:pPr>
            <w:r w:rsidRPr="008B706B">
              <w:rPr>
                <w:rFonts w:cs="Calibri"/>
                <w:sz w:val="18"/>
                <w:szCs w:val="18"/>
              </w:rPr>
              <w:t>Realizacja wartości docelowej (wg UoD)</w:t>
            </w:r>
          </w:p>
        </w:tc>
        <w:tc>
          <w:tcPr>
            <w:tcW w:w="0" w:type="auto"/>
            <w:shd w:val="clear" w:color="auto" w:fill="DBE5F1"/>
          </w:tcPr>
          <w:p w14:paraId="1B8AE81F" w14:textId="77777777" w:rsidR="009974B7" w:rsidRPr="008B706B" w:rsidRDefault="009974B7" w:rsidP="008B706B">
            <w:pPr>
              <w:jc w:val="center"/>
              <w:rPr>
                <w:rFonts w:cs="Calibri"/>
                <w:sz w:val="18"/>
                <w:szCs w:val="18"/>
              </w:rPr>
            </w:pPr>
            <w:r w:rsidRPr="008B706B">
              <w:rPr>
                <w:rFonts w:cs="Calibri"/>
                <w:sz w:val="18"/>
                <w:szCs w:val="18"/>
              </w:rPr>
              <w:t>% realizacji (wg UoD)</w:t>
            </w:r>
          </w:p>
        </w:tc>
        <w:tc>
          <w:tcPr>
            <w:tcW w:w="0" w:type="auto"/>
            <w:shd w:val="clear" w:color="auto" w:fill="DBE5F1"/>
          </w:tcPr>
          <w:p w14:paraId="3AF7ACE0" w14:textId="77777777" w:rsidR="009974B7" w:rsidRPr="008B706B" w:rsidRDefault="009974B7" w:rsidP="008B706B">
            <w:pPr>
              <w:jc w:val="center"/>
              <w:rPr>
                <w:rFonts w:cs="Calibri"/>
                <w:sz w:val="18"/>
                <w:szCs w:val="18"/>
              </w:rPr>
            </w:pPr>
            <w:r w:rsidRPr="008B706B">
              <w:rPr>
                <w:rFonts w:cs="Calibri"/>
                <w:sz w:val="18"/>
                <w:szCs w:val="18"/>
              </w:rPr>
              <w:t>Realizacja wartości docelowej (wg WoP)</w:t>
            </w:r>
          </w:p>
        </w:tc>
        <w:tc>
          <w:tcPr>
            <w:tcW w:w="0" w:type="auto"/>
            <w:shd w:val="clear" w:color="auto" w:fill="DBE5F1"/>
          </w:tcPr>
          <w:p w14:paraId="4AAFEF62" w14:textId="77777777" w:rsidR="009974B7" w:rsidRPr="008B706B" w:rsidRDefault="009974B7" w:rsidP="008B706B">
            <w:pPr>
              <w:jc w:val="center"/>
              <w:rPr>
                <w:rFonts w:cs="Calibri"/>
                <w:sz w:val="18"/>
                <w:szCs w:val="18"/>
              </w:rPr>
            </w:pPr>
            <w:r w:rsidRPr="008B706B">
              <w:rPr>
                <w:rFonts w:cs="Calibri"/>
                <w:sz w:val="18"/>
                <w:szCs w:val="18"/>
              </w:rPr>
              <w:t>% realizacji (wg WoP)</w:t>
            </w:r>
          </w:p>
        </w:tc>
      </w:tr>
      <w:tr w:rsidR="009974B7" w:rsidRPr="000A135E" w14:paraId="4612DDC7" w14:textId="77777777" w:rsidTr="009974B7">
        <w:tc>
          <w:tcPr>
            <w:tcW w:w="0" w:type="auto"/>
            <w:gridSpan w:val="6"/>
            <w:shd w:val="clear" w:color="auto" w:fill="auto"/>
          </w:tcPr>
          <w:p w14:paraId="60A8C823" w14:textId="77777777" w:rsidR="009974B7" w:rsidRPr="00404DA5" w:rsidRDefault="009974B7" w:rsidP="009974B7">
            <w:pPr>
              <w:jc w:val="center"/>
              <w:rPr>
                <w:rFonts w:cs="Calibri"/>
                <w:sz w:val="18"/>
                <w:szCs w:val="18"/>
              </w:rPr>
            </w:pPr>
            <w:r w:rsidRPr="00404DA5">
              <w:rPr>
                <w:rFonts w:cs="Calibri"/>
                <w:sz w:val="18"/>
                <w:szCs w:val="18"/>
              </w:rPr>
              <w:t>Działanie 5.4 Budowa</w:t>
            </w:r>
            <w:r w:rsidR="00E66B89">
              <w:rPr>
                <w:rFonts w:cs="Calibri"/>
                <w:sz w:val="18"/>
                <w:szCs w:val="18"/>
              </w:rPr>
              <w:t xml:space="preserve"> i </w:t>
            </w:r>
            <w:r w:rsidRPr="00404DA5">
              <w:rPr>
                <w:rFonts w:cs="Calibri"/>
                <w:sz w:val="18"/>
                <w:szCs w:val="18"/>
              </w:rPr>
              <w:t>przebudowa dróg powiatowych</w:t>
            </w:r>
          </w:p>
        </w:tc>
      </w:tr>
      <w:tr w:rsidR="009974B7" w:rsidRPr="000A135E" w14:paraId="41C73B11" w14:textId="77777777" w:rsidTr="00C22C26">
        <w:tc>
          <w:tcPr>
            <w:tcW w:w="0" w:type="auto"/>
          </w:tcPr>
          <w:p w14:paraId="5CD2E6D2" w14:textId="77777777" w:rsidR="009974B7" w:rsidRPr="00404DA5" w:rsidRDefault="009974B7" w:rsidP="009974B7">
            <w:pPr>
              <w:rPr>
                <w:rFonts w:cs="Calibri"/>
                <w:sz w:val="18"/>
                <w:szCs w:val="18"/>
              </w:rPr>
            </w:pPr>
            <w:r w:rsidRPr="00404DA5">
              <w:rPr>
                <w:rFonts w:cs="Calibri"/>
                <w:sz w:val="18"/>
                <w:szCs w:val="18"/>
              </w:rPr>
              <w:lastRenderedPageBreak/>
              <w:t xml:space="preserve"> </w:t>
            </w:r>
            <w:r w:rsidRPr="00404DA5">
              <w:rPr>
                <w:rFonts w:cs="Calibri"/>
                <w:i/>
                <w:sz w:val="18"/>
                <w:szCs w:val="18"/>
              </w:rPr>
              <w:t>Całkowita długość nowych dróg (CI)</w:t>
            </w:r>
          </w:p>
        </w:tc>
        <w:tc>
          <w:tcPr>
            <w:tcW w:w="0" w:type="auto"/>
          </w:tcPr>
          <w:p w14:paraId="21EDE3BA" w14:textId="77777777" w:rsidR="009974B7" w:rsidRPr="00404DA5" w:rsidRDefault="009974B7" w:rsidP="00C22C26">
            <w:pPr>
              <w:jc w:val="center"/>
              <w:rPr>
                <w:rFonts w:cs="Calibri"/>
                <w:sz w:val="18"/>
                <w:szCs w:val="18"/>
              </w:rPr>
            </w:pPr>
            <w:r w:rsidRPr="00404DA5">
              <w:rPr>
                <w:rFonts w:cs="Calibri"/>
                <w:sz w:val="18"/>
                <w:szCs w:val="18"/>
              </w:rPr>
              <w:t>5</w:t>
            </w:r>
          </w:p>
        </w:tc>
        <w:tc>
          <w:tcPr>
            <w:tcW w:w="0" w:type="auto"/>
          </w:tcPr>
          <w:p w14:paraId="3E461D74" w14:textId="77777777" w:rsidR="009974B7" w:rsidRPr="00404DA5" w:rsidRDefault="009974B7" w:rsidP="00C22C26">
            <w:pPr>
              <w:jc w:val="center"/>
              <w:rPr>
                <w:rFonts w:cs="Calibri"/>
                <w:sz w:val="18"/>
                <w:szCs w:val="18"/>
              </w:rPr>
            </w:pPr>
            <w:r w:rsidRPr="00404DA5">
              <w:rPr>
                <w:rFonts w:cs="Calibri"/>
                <w:sz w:val="18"/>
                <w:szCs w:val="18"/>
              </w:rPr>
              <w:t>0</w:t>
            </w:r>
          </w:p>
        </w:tc>
        <w:tc>
          <w:tcPr>
            <w:tcW w:w="0" w:type="auto"/>
          </w:tcPr>
          <w:p w14:paraId="22E4BE8A" w14:textId="77777777" w:rsidR="009974B7" w:rsidRPr="00404DA5" w:rsidRDefault="009974B7" w:rsidP="00C22C26">
            <w:pPr>
              <w:jc w:val="center"/>
              <w:rPr>
                <w:rFonts w:cs="Calibri"/>
                <w:color w:val="000000"/>
                <w:sz w:val="18"/>
                <w:szCs w:val="18"/>
              </w:rPr>
            </w:pPr>
            <w:r w:rsidRPr="00404DA5">
              <w:rPr>
                <w:rFonts w:cs="Calibri"/>
                <w:color w:val="000000"/>
                <w:sz w:val="18"/>
                <w:szCs w:val="18"/>
              </w:rPr>
              <w:t>0,0%</w:t>
            </w:r>
          </w:p>
        </w:tc>
        <w:tc>
          <w:tcPr>
            <w:tcW w:w="0" w:type="auto"/>
          </w:tcPr>
          <w:p w14:paraId="3C6E6DFA" w14:textId="77777777" w:rsidR="009974B7" w:rsidRPr="00404DA5" w:rsidRDefault="009974B7" w:rsidP="00C22C26">
            <w:pPr>
              <w:jc w:val="center"/>
              <w:rPr>
                <w:rFonts w:cs="Calibri"/>
                <w:sz w:val="18"/>
                <w:szCs w:val="18"/>
              </w:rPr>
            </w:pPr>
            <w:r w:rsidRPr="00404DA5">
              <w:rPr>
                <w:rFonts w:cs="Calibri"/>
                <w:sz w:val="18"/>
                <w:szCs w:val="18"/>
              </w:rPr>
              <w:t>0</w:t>
            </w:r>
          </w:p>
        </w:tc>
        <w:tc>
          <w:tcPr>
            <w:tcW w:w="0" w:type="auto"/>
          </w:tcPr>
          <w:p w14:paraId="737DF259" w14:textId="77777777" w:rsidR="009974B7" w:rsidRPr="00404DA5" w:rsidRDefault="009974B7" w:rsidP="00C22C26">
            <w:pPr>
              <w:jc w:val="center"/>
              <w:rPr>
                <w:rFonts w:cs="Calibri"/>
                <w:color w:val="000000"/>
                <w:sz w:val="18"/>
                <w:szCs w:val="18"/>
              </w:rPr>
            </w:pPr>
            <w:r w:rsidRPr="00404DA5">
              <w:rPr>
                <w:rFonts w:cs="Calibri"/>
                <w:color w:val="000000"/>
                <w:sz w:val="18"/>
                <w:szCs w:val="18"/>
              </w:rPr>
              <w:t>0,0%</w:t>
            </w:r>
          </w:p>
        </w:tc>
      </w:tr>
      <w:tr w:rsidR="009974B7" w:rsidRPr="000A135E" w14:paraId="03B040C6" w14:textId="77777777" w:rsidTr="00C22C26">
        <w:tc>
          <w:tcPr>
            <w:tcW w:w="0" w:type="auto"/>
          </w:tcPr>
          <w:p w14:paraId="1331C309" w14:textId="77777777" w:rsidR="009974B7" w:rsidRPr="00404DA5" w:rsidRDefault="009974B7" w:rsidP="009974B7">
            <w:pPr>
              <w:rPr>
                <w:rFonts w:cs="Calibri"/>
                <w:sz w:val="18"/>
                <w:szCs w:val="18"/>
              </w:rPr>
            </w:pPr>
            <w:r w:rsidRPr="00404DA5">
              <w:rPr>
                <w:rFonts w:cs="Calibri"/>
                <w:sz w:val="18"/>
                <w:szCs w:val="18"/>
              </w:rPr>
              <w:t xml:space="preserve"> </w:t>
            </w:r>
            <w:r w:rsidRPr="00404DA5">
              <w:rPr>
                <w:rFonts w:cs="Calibri"/>
                <w:i/>
                <w:sz w:val="18"/>
                <w:szCs w:val="18"/>
              </w:rPr>
              <w:t>Całkowita długość przebudowanych lub zmodernizowanych dróg (CI)</w:t>
            </w:r>
          </w:p>
        </w:tc>
        <w:tc>
          <w:tcPr>
            <w:tcW w:w="0" w:type="auto"/>
          </w:tcPr>
          <w:p w14:paraId="7713EB29" w14:textId="77777777" w:rsidR="009974B7" w:rsidRPr="00404DA5" w:rsidRDefault="009974B7" w:rsidP="00C22C26">
            <w:pPr>
              <w:jc w:val="center"/>
              <w:rPr>
                <w:rFonts w:cs="Calibri"/>
                <w:sz w:val="18"/>
                <w:szCs w:val="18"/>
              </w:rPr>
            </w:pPr>
            <w:r w:rsidRPr="00404DA5">
              <w:rPr>
                <w:rFonts w:cs="Calibri"/>
                <w:sz w:val="18"/>
                <w:szCs w:val="18"/>
              </w:rPr>
              <w:t>190</w:t>
            </w:r>
          </w:p>
        </w:tc>
        <w:tc>
          <w:tcPr>
            <w:tcW w:w="0" w:type="auto"/>
          </w:tcPr>
          <w:p w14:paraId="52317B41" w14:textId="77777777" w:rsidR="009974B7" w:rsidRPr="00404DA5" w:rsidRDefault="009974B7" w:rsidP="00C22C26">
            <w:pPr>
              <w:jc w:val="center"/>
              <w:rPr>
                <w:rFonts w:cs="Calibri"/>
                <w:color w:val="000000"/>
                <w:sz w:val="18"/>
                <w:szCs w:val="18"/>
              </w:rPr>
            </w:pPr>
            <w:r w:rsidRPr="00404DA5">
              <w:rPr>
                <w:rFonts w:cs="Calibri"/>
                <w:color w:val="000000"/>
                <w:sz w:val="18"/>
                <w:szCs w:val="18"/>
              </w:rPr>
              <w:t>23,52</w:t>
            </w:r>
          </w:p>
        </w:tc>
        <w:tc>
          <w:tcPr>
            <w:tcW w:w="0" w:type="auto"/>
          </w:tcPr>
          <w:p w14:paraId="4F525417" w14:textId="77777777" w:rsidR="009974B7" w:rsidRPr="00404DA5" w:rsidRDefault="009974B7" w:rsidP="00C22C26">
            <w:pPr>
              <w:jc w:val="center"/>
              <w:rPr>
                <w:rFonts w:cs="Calibri"/>
                <w:color w:val="000000"/>
                <w:sz w:val="18"/>
                <w:szCs w:val="18"/>
              </w:rPr>
            </w:pPr>
            <w:r w:rsidRPr="00404DA5">
              <w:rPr>
                <w:rFonts w:cs="Calibri"/>
                <w:color w:val="000000"/>
                <w:sz w:val="18"/>
                <w:szCs w:val="18"/>
              </w:rPr>
              <w:t>12,4%</w:t>
            </w:r>
          </w:p>
        </w:tc>
        <w:tc>
          <w:tcPr>
            <w:tcW w:w="0" w:type="auto"/>
          </w:tcPr>
          <w:p w14:paraId="2470CA47" w14:textId="77777777" w:rsidR="009974B7" w:rsidRPr="00404DA5" w:rsidRDefault="009974B7" w:rsidP="00C22C26">
            <w:pPr>
              <w:jc w:val="center"/>
              <w:rPr>
                <w:rFonts w:cs="Calibri"/>
                <w:color w:val="000000"/>
                <w:sz w:val="18"/>
                <w:szCs w:val="18"/>
              </w:rPr>
            </w:pPr>
            <w:r w:rsidRPr="00404DA5">
              <w:rPr>
                <w:rFonts w:cs="Calibri"/>
                <w:color w:val="000000"/>
                <w:sz w:val="18"/>
                <w:szCs w:val="18"/>
              </w:rPr>
              <w:t>3,06</w:t>
            </w:r>
          </w:p>
        </w:tc>
        <w:tc>
          <w:tcPr>
            <w:tcW w:w="0" w:type="auto"/>
          </w:tcPr>
          <w:p w14:paraId="160CCA0E" w14:textId="77777777" w:rsidR="009974B7" w:rsidRPr="00404DA5" w:rsidRDefault="009974B7" w:rsidP="00C22C26">
            <w:pPr>
              <w:jc w:val="center"/>
              <w:rPr>
                <w:rFonts w:cs="Calibri"/>
                <w:color w:val="000000"/>
                <w:sz w:val="18"/>
                <w:szCs w:val="18"/>
              </w:rPr>
            </w:pPr>
            <w:r w:rsidRPr="00404DA5">
              <w:rPr>
                <w:rFonts w:cs="Calibri"/>
                <w:color w:val="000000"/>
                <w:sz w:val="18"/>
                <w:szCs w:val="18"/>
              </w:rPr>
              <w:t>1,6%</w:t>
            </w:r>
          </w:p>
        </w:tc>
      </w:tr>
      <w:tr w:rsidR="009974B7" w:rsidRPr="000A135E" w14:paraId="07CFEF5F" w14:textId="77777777" w:rsidTr="009974B7">
        <w:tc>
          <w:tcPr>
            <w:tcW w:w="0" w:type="auto"/>
            <w:gridSpan w:val="6"/>
            <w:shd w:val="clear" w:color="auto" w:fill="auto"/>
          </w:tcPr>
          <w:p w14:paraId="1BB19C90" w14:textId="77777777" w:rsidR="009974B7" w:rsidRPr="00404DA5" w:rsidRDefault="009974B7" w:rsidP="009974B7">
            <w:pPr>
              <w:jc w:val="center"/>
              <w:rPr>
                <w:rFonts w:cs="Calibri"/>
                <w:sz w:val="18"/>
                <w:szCs w:val="18"/>
              </w:rPr>
            </w:pPr>
            <w:r w:rsidRPr="00404DA5">
              <w:rPr>
                <w:rFonts w:cs="Calibri"/>
                <w:sz w:val="18"/>
                <w:szCs w:val="18"/>
              </w:rPr>
              <w:t>Działanie 5.2 Budowa</w:t>
            </w:r>
            <w:r w:rsidR="00E66B89">
              <w:rPr>
                <w:rFonts w:cs="Calibri"/>
                <w:sz w:val="18"/>
                <w:szCs w:val="18"/>
              </w:rPr>
              <w:t xml:space="preserve"> i </w:t>
            </w:r>
            <w:r w:rsidRPr="00404DA5">
              <w:rPr>
                <w:rFonts w:cs="Calibri"/>
                <w:sz w:val="18"/>
                <w:szCs w:val="18"/>
              </w:rPr>
              <w:t>przebudowa dróg lokalnych (gminnych</w:t>
            </w:r>
            <w:r w:rsidR="00E66B89">
              <w:rPr>
                <w:rFonts w:cs="Calibri"/>
                <w:sz w:val="18"/>
                <w:szCs w:val="18"/>
              </w:rPr>
              <w:t xml:space="preserve"> i </w:t>
            </w:r>
            <w:r w:rsidRPr="00404DA5">
              <w:rPr>
                <w:rFonts w:cs="Calibri"/>
                <w:sz w:val="18"/>
                <w:szCs w:val="18"/>
              </w:rPr>
              <w:t>powiatowych)</w:t>
            </w:r>
            <w:r w:rsidR="00E66B89">
              <w:rPr>
                <w:rFonts w:cs="Calibri"/>
                <w:sz w:val="18"/>
                <w:szCs w:val="18"/>
              </w:rPr>
              <w:t xml:space="preserve"> w </w:t>
            </w:r>
            <w:r w:rsidRPr="00404DA5">
              <w:rPr>
                <w:rFonts w:cs="Calibri"/>
                <w:sz w:val="18"/>
                <w:szCs w:val="18"/>
              </w:rPr>
              <w:t>ramach Strategii ZIT dla Szczecińskiego Obszaru Metropolitalnego</w:t>
            </w:r>
          </w:p>
        </w:tc>
      </w:tr>
      <w:tr w:rsidR="009974B7" w:rsidRPr="000A135E" w14:paraId="1CA08863" w14:textId="77777777" w:rsidTr="00C22C26">
        <w:tc>
          <w:tcPr>
            <w:tcW w:w="0" w:type="auto"/>
          </w:tcPr>
          <w:p w14:paraId="4F1EC5AF" w14:textId="77777777" w:rsidR="009974B7" w:rsidRPr="00404DA5" w:rsidRDefault="009974B7" w:rsidP="009974B7">
            <w:pPr>
              <w:rPr>
                <w:rFonts w:cs="Calibri"/>
                <w:sz w:val="18"/>
                <w:szCs w:val="18"/>
              </w:rPr>
            </w:pPr>
            <w:r w:rsidRPr="00404DA5">
              <w:rPr>
                <w:rFonts w:cs="Calibri"/>
                <w:sz w:val="18"/>
                <w:szCs w:val="18"/>
              </w:rPr>
              <w:t xml:space="preserve"> </w:t>
            </w:r>
            <w:r w:rsidRPr="00404DA5">
              <w:rPr>
                <w:rFonts w:cs="Calibri"/>
                <w:i/>
                <w:sz w:val="18"/>
                <w:szCs w:val="18"/>
              </w:rPr>
              <w:t>Całkowita długość nowych dróg (CI)</w:t>
            </w:r>
          </w:p>
        </w:tc>
        <w:tc>
          <w:tcPr>
            <w:tcW w:w="0" w:type="auto"/>
          </w:tcPr>
          <w:p w14:paraId="6A92B0ED" w14:textId="77777777" w:rsidR="009974B7" w:rsidRPr="00404DA5" w:rsidRDefault="009974B7" w:rsidP="00C22C26">
            <w:pPr>
              <w:jc w:val="center"/>
              <w:rPr>
                <w:rFonts w:cs="Calibri"/>
                <w:sz w:val="18"/>
                <w:szCs w:val="18"/>
              </w:rPr>
            </w:pPr>
            <w:r w:rsidRPr="00404DA5">
              <w:rPr>
                <w:rFonts w:cs="Calibri"/>
                <w:sz w:val="18"/>
                <w:szCs w:val="18"/>
              </w:rPr>
              <w:t>5</w:t>
            </w:r>
          </w:p>
        </w:tc>
        <w:tc>
          <w:tcPr>
            <w:tcW w:w="0" w:type="auto"/>
          </w:tcPr>
          <w:p w14:paraId="189A5296" w14:textId="77777777" w:rsidR="009974B7" w:rsidRPr="00404DA5" w:rsidRDefault="009974B7" w:rsidP="00C22C26">
            <w:pPr>
              <w:jc w:val="center"/>
              <w:rPr>
                <w:rFonts w:cs="Calibri"/>
                <w:color w:val="000000"/>
                <w:sz w:val="18"/>
                <w:szCs w:val="18"/>
              </w:rPr>
            </w:pPr>
            <w:r w:rsidRPr="00404DA5">
              <w:rPr>
                <w:rFonts w:cs="Calibri"/>
                <w:color w:val="000000"/>
                <w:sz w:val="18"/>
                <w:szCs w:val="18"/>
              </w:rPr>
              <w:t>0,81</w:t>
            </w:r>
          </w:p>
        </w:tc>
        <w:tc>
          <w:tcPr>
            <w:tcW w:w="0" w:type="auto"/>
          </w:tcPr>
          <w:p w14:paraId="735EF9D7" w14:textId="77777777" w:rsidR="009974B7" w:rsidRPr="00404DA5" w:rsidRDefault="009974B7" w:rsidP="00C22C26">
            <w:pPr>
              <w:jc w:val="center"/>
              <w:rPr>
                <w:rFonts w:cs="Calibri"/>
                <w:color w:val="000000"/>
                <w:sz w:val="18"/>
                <w:szCs w:val="18"/>
              </w:rPr>
            </w:pPr>
            <w:r w:rsidRPr="00404DA5">
              <w:rPr>
                <w:rFonts w:cs="Calibri"/>
                <w:color w:val="000000"/>
                <w:sz w:val="18"/>
                <w:szCs w:val="18"/>
              </w:rPr>
              <w:t>16,2%</w:t>
            </w:r>
          </w:p>
        </w:tc>
        <w:tc>
          <w:tcPr>
            <w:tcW w:w="0" w:type="auto"/>
          </w:tcPr>
          <w:p w14:paraId="1DA39389" w14:textId="77777777" w:rsidR="009974B7" w:rsidRPr="00404DA5" w:rsidRDefault="009974B7" w:rsidP="00C22C26">
            <w:pPr>
              <w:jc w:val="center"/>
              <w:rPr>
                <w:rFonts w:cs="Calibri"/>
                <w:sz w:val="18"/>
                <w:szCs w:val="18"/>
              </w:rPr>
            </w:pPr>
            <w:r w:rsidRPr="00404DA5">
              <w:rPr>
                <w:rFonts w:cs="Calibri"/>
                <w:sz w:val="18"/>
                <w:szCs w:val="18"/>
              </w:rPr>
              <w:t>0</w:t>
            </w:r>
          </w:p>
        </w:tc>
        <w:tc>
          <w:tcPr>
            <w:tcW w:w="0" w:type="auto"/>
          </w:tcPr>
          <w:p w14:paraId="275FADF0" w14:textId="77777777" w:rsidR="009974B7" w:rsidRPr="00404DA5" w:rsidRDefault="009974B7" w:rsidP="00C22C26">
            <w:pPr>
              <w:jc w:val="center"/>
              <w:rPr>
                <w:rFonts w:cs="Calibri"/>
                <w:color w:val="000000"/>
                <w:sz w:val="18"/>
                <w:szCs w:val="18"/>
              </w:rPr>
            </w:pPr>
            <w:r w:rsidRPr="00404DA5">
              <w:rPr>
                <w:rFonts w:cs="Calibri"/>
                <w:color w:val="000000"/>
                <w:sz w:val="18"/>
                <w:szCs w:val="18"/>
              </w:rPr>
              <w:t>0,0%</w:t>
            </w:r>
          </w:p>
        </w:tc>
      </w:tr>
      <w:tr w:rsidR="009974B7" w:rsidRPr="000A135E" w14:paraId="0208FAF2" w14:textId="77777777" w:rsidTr="00C22C26">
        <w:tc>
          <w:tcPr>
            <w:tcW w:w="0" w:type="auto"/>
          </w:tcPr>
          <w:p w14:paraId="559CFA48" w14:textId="77777777" w:rsidR="009974B7" w:rsidRPr="00404DA5" w:rsidRDefault="009974B7" w:rsidP="009974B7">
            <w:pPr>
              <w:rPr>
                <w:rFonts w:cs="Calibri"/>
                <w:sz w:val="18"/>
                <w:szCs w:val="18"/>
              </w:rPr>
            </w:pPr>
            <w:r w:rsidRPr="00404DA5">
              <w:rPr>
                <w:rFonts w:cs="Calibri"/>
                <w:sz w:val="18"/>
                <w:szCs w:val="18"/>
              </w:rPr>
              <w:t xml:space="preserve"> </w:t>
            </w:r>
            <w:r w:rsidRPr="00404DA5">
              <w:rPr>
                <w:rFonts w:cs="Calibri"/>
                <w:i/>
                <w:sz w:val="18"/>
                <w:szCs w:val="18"/>
              </w:rPr>
              <w:t>Całkowita długość przebudowanych lub zmodernizowanych dróg (CI)</w:t>
            </w:r>
          </w:p>
        </w:tc>
        <w:tc>
          <w:tcPr>
            <w:tcW w:w="0" w:type="auto"/>
          </w:tcPr>
          <w:p w14:paraId="023A7E77" w14:textId="77777777" w:rsidR="009974B7" w:rsidRPr="00404DA5" w:rsidRDefault="009974B7" w:rsidP="00C22C26">
            <w:pPr>
              <w:jc w:val="center"/>
              <w:rPr>
                <w:rFonts w:cs="Calibri"/>
                <w:sz w:val="18"/>
                <w:szCs w:val="18"/>
              </w:rPr>
            </w:pPr>
            <w:r w:rsidRPr="00404DA5">
              <w:rPr>
                <w:rFonts w:cs="Calibri"/>
                <w:sz w:val="18"/>
                <w:szCs w:val="18"/>
              </w:rPr>
              <w:t>190</w:t>
            </w:r>
          </w:p>
        </w:tc>
        <w:tc>
          <w:tcPr>
            <w:tcW w:w="0" w:type="auto"/>
          </w:tcPr>
          <w:p w14:paraId="19125AB3" w14:textId="77777777" w:rsidR="009974B7" w:rsidRPr="00404DA5" w:rsidRDefault="009974B7" w:rsidP="00C22C26">
            <w:pPr>
              <w:jc w:val="center"/>
              <w:rPr>
                <w:rFonts w:cs="Calibri"/>
                <w:color w:val="000000"/>
                <w:sz w:val="18"/>
                <w:szCs w:val="18"/>
              </w:rPr>
            </w:pPr>
            <w:r w:rsidRPr="00404DA5">
              <w:rPr>
                <w:rFonts w:cs="Calibri"/>
                <w:color w:val="000000"/>
                <w:sz w:val="18"/>
                <w:szCs w:val="18"/>
              </w:rPr>
              <w:t>11,63</w:t>
            </w:r>
          </w:p>
        </w:tc>
        <w:tc>
          <w:tcPr>
            <w:tcW w:w="0" w:type="auto"/>
          </w:tcPr>
          <w:p w14:paraId="702E32BC" w14:textId="77777777" w:rsidR="009974B7" w:rsidRPr="00404DA5" w:rsidRDefault="009974B7" w:rsidP="00C22C26">
            <w:pPr>
              <w:jc w:val="center"/>
              <w:rPr>
                <w:rFonts w:cs="Calibri"/>
                <w:color w:val="000000"/>
                <w:sz w:val="18"/>
                <w:szCs w:val="18"/>
              </w:rPr>
            </w:pPr>
            <w:r w:rsidRPr="00404DA5">
              <w:rPr>
                <w:rFonts w:cs="Calibri"/>
                <w:color w:val="000000"/>
                <w:sz w:val="18"/>
                <w:szCs w:val="18"/>
              </w:rPr>
              <w:t>6,1%</w:t>
            </w:r>
          </w:p>
        </w:tc>
        <w:tc>
          <w:tcPr>
            <w:tcW w:w="0" w:type="auto"/>
          </w:tcPr>
          <w:p w14:paraId="375D3F7F" w14:textId="77777777" w:rsidR="009974B7" w:rsidRPr="00404DA5" w:rsidRDefault="009974B7" w:rsidP="00C22C26">
            <w:pPr>
              <w:jc w:val="center"/>
              <w:rPr>
                <w:rFonts w:cs="Calibri"/>
                <w:color w:val="000000"/>
                <w:sz w:val="18"/>
                <w:szCs w:val="18"/>
              </w:rPr>
            </w:pPr>
            <w:r w:rsidRPr="00404DA5">
              <w:rPr>
                <w:rFonts w:cs="Calibri"/>
                <w:color w:val="000000"/>
                <w:sz w:val="18"/>
                <w:szCs w:val="18"/>
              </w:rPr>
              <w:t>1,89</w:t>
            </w:r>
          </w:p>
        </w:tc>
        <w:tc>
          <w:tcPr>
            <w:tcW w:w="0" w:type="auto"/>
          </w:tcPr>
          <w:p w14:paraId="0F59C5E1" w14:textId="77777777" w:rsidR="009974B7" w:rsidRPr="00404DA5" w:rsidRDefault="009974B7" w:rsidP="00C22C26">
            <w:pPr>
              <w:jc w:val="center"/>
              <w:rPr>
                <w:rFonts w:cs="Calibri"/>
                <w:color w:val="000000"/>
                <w:sz w:val="18"/>
                <w:szCs w:val="18"/>
              </w:rPr>
            </w:pPr>
            <w:r w:rsidRPr="00404DA5">
              <w:rPr>
                <w:rFonts w:cs="Calibri"/>
                <w:color w:val="000000"/>
                <w:sz w:val="18"/>
                <w:szCs w:val="18"/>
              </w:rPr>
              <w:t>1,0%</w:t>
            </w:r>
          </w:p>
        </w:tc>
      </w:tr>
      <w:tr w:rsidR="009974B7" w:rsidRPr="000A135E" w14:paraId="7E7326EA" w14:textId="77777777" w:rsidTr="009974B7">
        <w:tc>
          <w:tcPr>
            <w:tcW w:w="0" w:type="auto"/>
            <w:gridSpan w:val="6"/>
            <w:shd w:val="clear" w:color="auto" w:fill="auto"/>
          </w:tcPr>
          <w:p w14:paraId="2D8FBDDA" w14:textId="77777777" w:rsidR="009974B7" w:rsidRPr="00404DA5" w:rsidRDefault="009974B7" w:rsidP="009974B7">
            <w:pPr>
              <w:jc w:val="center"/>
              <w:rPr>
                <w:rFonts w:cs="Calibri"/>
                <w:sz w:val="18"/>
                <w:szCs w:val="18"/>
              </w:rPr>
            </w:pPr>
            <w:r w:rsidRPr="00404DA5">
              <w:rPr>
                <w:rFonts w:cs="Calibri"/>
                <w:sz w:val="18"/>
                <w:szCs w:val="18"/>
              </w:rPr>
              <w:t>Działanie 5.3 Budowa</w:t>
            </w:r>
            <w:r w:rsidR="00E66B89">
              <w:rPr>
                <w:rFonts w:cs="Calibri"/>
                <w:sz w:val="18"/>
                <w:szCs w:val="18"/>
              </w:rPr>
              <w:t xml:space="preserve"> i </w:t>
            </w:r>
            <w:r w:rsidRPr="00404DA5">
              <w:rPr>
                <w:rFonts w:cs="Calibri"/>
                <w:sz w:val="18"/>
                <w:szCs w:val="18"/>
              </w:rPr>
              <w:t>przebudowa dróg lokalnych (gminnych</w:t>
            </w:r>
            <w:r w:rsidR="00E66B89">
              <w:rPr>
                <w:rFonts w:cs="Calibri"/>
                <w:sz w:val="18"/>
                <w:szCs w:val="18"/>
              </w:rPr>
              <w:t xml:space="preserve"> i </w:t>
            </w:r>
            <w:r w:rsidRPr="00404DA5">
              <w:rPr>
                <w:rFonts w:cs="Calibri"/>
                <w:sz w:val="18"/>
                <w:szCs w:val="18"/>
              </w:rPr>
              <w:t>powiatowych)</w:t>
            </w:r>
            <w:r w:rsidR="00E66B89">
              <w:rPr>
                <w:rFonts w:cs="Calibri"/>
                <w:sz w:val="18"/>
                <w:szCs w:val="18"/>
              </w:rPr>
              <w:t xml:space="preserve"> w </w:t>
            </w:r>
            <w:r w:rsidRPr="00404DA5">
              <w:rPr>
                <w:rFonts w:cs="Calibri"/>
                <w:sz w:val="18"/>
                <w:szCs w:val="18"/>
              </w:rPr>
              <w:t>ramach Strategii ZIT dla Koszalińsko-Kołobrzesko-Białogardzkiego Obszaru Funkcjonalnego</w:t>
            </w:r>
          </w:p>
        </w:tc>
      </w:tr>
      <w:tr w:rsidR="009974B7" w:rsidRPr="000A135E" w14:paraId="50CA33AF" w14:textId="77777777" w:rsidTr="00C22C26">
        <w:trPr>
          <w:trHeight w:val="987"/>
        </w:trPr>
        <w:tc>
          <w:tcPr>
            <w:tcW w:w="0" w:type="auto"/>
            <w:vAlign w:val="center"/>
          </w:tcPr>
          <w:p w14:paraId="22A8E43C" w14:textId="77777777" w:rsidR="009974B7" w:rsidRPr="00F42EF6" w:rsidRDefault="009974B7" w:rsidP="00C22C26">
            <w:pPr>
              <w:jc w:val="left"/>
              <w:rPr>
                <w:rFonts w:cs="Calibri"/>
                <w:i/>
                <w:sz w:val="18"/>
                <w:szCs w:val="18"/>
              </w:rPr>
            </w:pPr>
            <w:r w:rsidRPr="00F42EF6">
              <w:rPr>
                <w:rFonts w:cs="Calibri"/>
                <w:i/>
                <w:sz w:val="18"/>
                <w:szCs w:val="18"/>
              </w:rPr>
              <w:t>Całkowita długość nowych dróg (CI)</w:t>
            </w:r>
          </w:p>
        </w:tc>
        <w:tc>
          <w:tcPr>
            <w:tcW w:w="0" w:type="auto"/>
          </w:tcPr>
          <w:p w14:paraId="444883C6" w14:textId="77777777" w:rsidR="009974B7" w:rsidRPr="00404DA5" w:rsidRDefault="009974B7" w:rsidP="00C22C26">
            <w:pPr>
              <w:jc w:val="center"/>
              <w:rPr>
                <w:rFonts w:cs="Calibri"/>
                <w:sz w:val="18"/>
                <w:szCs w:val="18"/>
              </w:rPr>
            </w:pPr>
            <w:r w:rsidRPr="00404DA5">
              <w:rPr>
                <w:rFonts w:cs="Calibri"/>
                <w:sz w:val="18"/>
                <w:szCs w:val="18"/>
              </w:rPr>
              <w:t>5</w:t>
            </w:r>
          </w:p>
        </w:tc>
        <w:tc>
          <w:tcPr>
            <w:tcW w:w="0" w:type="auto"/>
          </w:tcPr>
          <w:p w14:paraId="2CF422B1" w14:textId="77777777" w:rsidR="009974B7" w:rsidRPr="000D3F1C" w:rsidRDefault="009974B7" w:rsidP="00C22C26">
            <w:pPr>
              <w:jc w:val="center"/>
              <w:rPr>
                <w:sz w:val="18"/>
              </w:rPr>
            </w:pPr>
            <w:r w:rsidRPr="000D3F1C">
              <w:rPr>
                <w:sz w:val="18"/>
              </w:rPr>
              <w:t>0,98</w:t>
            </w:r>
          </w:p>
        </w:tc>
        <w:tc>
          <w:tcPr>
            <w:tcW w:w="0" w:type="auto"/>
          </w:tcPr>
          <w:p w14:paraId="2CE39906" w14:textId="77777777" w:rsidR="009974B7" w:rsidRPr="000D3F1C" w:rsidRDefault="009974B7" w:rsidP="00C22C26">
            <w:pPr>
              <w:jc w:val="center"/>
              <w:rPr>
                <w:sz w:val="18"/>
              </w:rPr>
            </w:pPr>
            <w:r w:rsidRPr="000D3F1C">
              <w:rPr>
                <w:sz w:val="18"/>
              </w:rPr>
              <w:t>19,6%</w:t>
            </w:r>
          </w:p>
        </w:tc>
        <w:tc>
          <w:tcPr>
            <w:tcW w:w="0" w:type="auto"/>
          </w:tcPr>
          <w:p w14:paraId="327241EA" w14:textId="77777777" w:rsidR="009974B7" w:rsidRPr="00404DA5" w:rsidRDefault="009974B7" w:rsidP="00C22C26">
            <w:pPr>
              <w:jc w:val="center"/>
              <w:rPr>
                <w:rFonts w:cs="Calibri"/>
                <w:sz w:val="18"/>
                <w:szCs w:val="18"/>
              </w:rPr>
            </w:pPr>
            <w:r w:rsidRPr="00404DA5">
              <w:rPr>
                <w:rFonts w:cs="Calibri"/>
                <w:sz w:val="18"/>
                <w:szCs w:val="18"/>
              </w:rPr>
              <w:t>0</w:t>
            </w:r>
          </w:p>
        </w:tc>
        <w:tc>
          <w:tcPr>
            <w:tcW w:w="0" w:type="auto"/>
          </w:tcPr>
          <w:p w14:paraId="64577377" w14:textId="77777777" w:rsidR="009974B7" w:rsidRPr="00F42EF6" w:rsidRDefault="009974B7" w:rsidP="00C22C26">
            <w:pPr>
              <w:jc w:val="center"/>
              <w:rPr>
                <w:rFonts w:cs="Calibri"/>
                <w:sz w:val="18"/>
                <w:szCs w:val="18"/>
              </w:rPr>
            </w:pPr>
          </w:p>
          <w:p w14:paraId="09F584AF" w14:textId="77777777" w:rsidR="009974B7" w:rsidRPr="000D3F1C" w:rsidRDefault="009974B7" w:rsidP="00C22C26">
            <w:pPr>
              <w:jc w:val="center"/>
              <w:rPr>
                <w:sz w:val="18"/>
              </w:rPr>
            </w:pPr>
            <w:r w:rsidRPr="000D3F1C">
              <w:rPr>
                <w:sz w:val="18"/>
              </w:rPr>
              <w:t>0,0%</w:t>
            </w:r>
          </w:p>
          <w:p w14:paraId="2AEFE8FE" w14:textId="77777777" w:rsidR="009974B7" w:rsidRPr="00404DA5" w:rsidRDefault="009974B7" w:rsidP="00D56804">
            <w:pPr>
              <w:jc w:val="center"/>
              <w:rPr>
                <w:rFonts w:cs="Calibri"/>
                <w:sz w:val="18"/>
                <w:szCs w:val="18"/>
              </w:rPr>
            </w:pPr>
          </w:p>
        </w:tc>
      </w:tr>
      <w:tr w:rsidR="009974B7" w:rsidRPr="000A135E" w14:paraId="49081AE8" w14:textId="77777777" w:rsidTr="00C22C26">
        <w:tc>
          <w:tcPr>
            <w:tcW w:w="0" w:type="auto"/>
          </w:tcPr>
          <w:p w14:paraId="782DB17D" w14:textId="77777777" w:rsidR="009974B7" w:rsidRPr="00404DA5" w:rsidRDefault="009974B7" w:rsidP="009974B7">
            <w:pPr>
              <w:rPr>
                <w:rFonts w:cs="Calibri"/>
                <w:i/>
                <w:sz w:val="18"/>
                <w:szCs w:val="18"/>
              </w:rPr>
            </w:pPr>
            <w:r w:rsidRPr="00404DA5">
              <w:rPr>
                <w:rFonts w:cs="Calibri"/>
                <w:i/>
                <w:sz w:val="18"/>
                <w:szCs w:val="18"/>
              </w:rPr>
              <w:t xml:space="preserve"> Całkowita długość przebudowanych lub zmodernizowanych dróg (CI)</w:t>
            </w:r>
          </w:p>
        </w:tc>
        <w:tc>
          <w:tcPr>
            <w:tcW w:w="0" w:type="auto"/>
          </w:tcPr>
          <w:p w14:paraId="0BFEFE5A" w14:textId="77777777" w:rsidR="009974B7" w:rsidRPr="00404DA5" w:rsidRDefault="009974B7" w:rsidP="00C22C26">
            <w:pPr>
              <w:jc w:val="center"/>
              <w:rPr>
                <w:rFonts w:cs="Calibri"/>
                <w:sz w:val="18"/>
                <w:szCs w:val="18"/>
              </w:rPr>
            </w:pPr>
            <w:r w:rsidRPr="00404DA5">
              <w:rPr>
                <w:rFonts w:cs="Calibri"/>
                <w:sz w:val="18"/>
                <w:szCs w:val="18"/>
              </w:rPr>
              <w:t>190</w:t>
            </w:r>
          </w:p>
        </w:tc>
        <w:tc>
          <w:tcPr>
            <w:tcW w:w="0" w:type="auto"/>
          </w:tcPr>
          <w:p w14:paraId="50707293" w14:textId="77777777" w:rsidR="009974B7" w:rsidRPr="00404DA5" w:rsidRDefault="009974B7" w:rsidP="00C22C26">
            <w:pPr>
              <w:jc w:val="center"/>
              <w:rPr>
                <w:rFonts w:cs="Calibri"/>
                <w:color w:val="000000"/>
                <w:sz w:val="18"/>
                <w:szCs w:val="18"/>
              </w:rPr>
            </w:pPr>
            <w:r w:rsidRPr="00404DA5">
              <w:rPr>
                <w:rFonts w:cs="Calibri"/>
                <w:color w:val="000000"/>
                <w:sz w:val="18"/>
                <w:szCs w:val="18"/>
              </w:rPr>
              <w:t>7,62</w:t>
            </w:r>
          </w:p>
        </w:tc>
        <w:tc>
          <w:tcPr>
            <w:tcW w:w="0" w:type="auto"/>
          </w:tcPr>
          <w:p w14:paraId="04E84DDE" w14:textId="77777777" w:rsidR="009974B7" w:rsidRPr="00404DA5" w:rsidRDefault="009974B7" w:rsidP="00C22C26">
            <w:pPr>
              <w:jc w:val="center"/>
              <w:rPr>
                <w:rFonts w:cs="Calibri"/>
                <w:color w:val="000000"/>
                <w:sz w:val="18"/>
                <w:szCs w:val="18"/>
              </w:rPr>
            </w:pPr>
            <w:r w:rsidRPr="00404DA5">
              <w:rPr>
                <w:rFonts w:cs="Calibri"/>
                <w:color w:val="000000"/>
                <w:sz w:val="18"/>
                <w:szCs w:val="18"/>
              </w:rPr>
              <w:t>4,0%</w:t>
            </w:r>
          </w:p>
        </w:tc>
        <w:tc>
          <w:tcPr>
            <w:tcW w:w="0" w:type="auto"/>
          </w:tcPr>
          <w:p w14:paraId="5EFFF6AB" w14:textId="77777777" w:rsidR="009974B7" w:rsidRPr="00404DA5" w:rsidRDefault="009974B7" w:rsidP="00C22C26">
            <w:pPr>
              <w:jc w:val="center"/>
              <w:rPr>
                <w:rFonts w:cs="Calibri"/>
                <w:sz w:val="18"/>
                <w:szCs w:val="18"/>
              </w:rPr>
            </w:pPr>
            <w:r w:rsidRPr="00404DA5">
              <w:rPr>
                <w:rFonts w:cs="Calibri"/>
                <w:sz w:val="18"/>
                <w:szCs w:val="18"/>
              </w:rPr>
              <w:t>0</w:t>
            </w:r>
          </w:p>
        </w:tc>
        <w:tc>
          <w:tcPr>
            <w:tcW w:w="0" w:type="auto"/>
          </w:tcPr>
          <w:p w14:paraId="1CA6E0BB" w14:textId="77777777" w:rsidR="009974B7" w:rsidRPr="00404DA5" w:rsidRDefault="009974B7" w:rsidP="00C22C26">
            <w:pPr>
              <w:jc w:val="center"/>
              <w:rPr>
                <w:rFonts w:cs="Calibri"/>
                <w:color w:val="000000"/>
                <w:sz w:val="18"/>
                <w:szCs w:val="18"/>
              </w:rPr>
            </w:pPr>
            <w:r w:rsidRPr="00404DA5">
              <w:rPr>
                <w:rFonts w:cs="Calibri"/>
                <w:color w:val="000000"/>
                <w:sz w:val="18"/>
                <w:szCs w:val="18"/>
              </w:rPr>
              <w:t>0,0%</w:t>
            </w:r>
          </w:p>
        </w:tc>
      </w:tr>
    </w:tbl>
    <w:p w14:paraId="56FD203B" w14:textId="77777777" w:rsidR="009974B7" w:rsidRPr="00D21299" w:rsidRDefault="009974B7" w:rsidP="001245CE">
      <w:pPr>
        <w:spacing w:before="0"/>
        <w:rPr>
          <w:rFonts w:cs="Calibri"/>
          <w:i/>
          <w:sz w:val="18"/>
          <w:szCs w:val="18"/>
        </w:rPr>
      </w:pPr>
      <w:r w:rsidRPr="00D21299">
        <w:rPr>
          <w:rFonts w:cs="Calibri"/>
          <w:i/>
          <w:sz w:val="18"/>
          <w:szCs w:val="18"/>
        </w:rPr>
        <w:t>Źródło: obliczenia własne na podstawie danych SL 2014 (stan na dzień 07.01.2019).</w:t>
      </w:r>
    </w:p>
    <w:p w14:paraId="47CA4B21" w14:textId="77777777" w:rsidR="00CB79B5" w:rsidRDefault="00CB79B5" w:rsidP="00145C9E">
      <w:pPr>
        <w:pStyle w:val="Nagwek4"/>
        <w:numPr>
          <w:ilvl w:val="0"/>
          <w:numId w:val="0"/>
        </w:numPr>
        <w:rPr>
          <w:rFonts w:ascii="Lato" w:eastAsia="Calibri" w:hAnsi="Lato"/>
          <w:szCs w:val="20"/>
        </w:rPr>
      </w:pPr>
      <w:r>
        <w:rPr>
          <w:rFonts w:ascii="Lato" w:eastAsia="Calibri" w:hAnsi="Lato"/>
          <w:szCs w:val="20"/>
        </w:rPr>
        <w:t>Oś priorytetowa VI</w:t>
      </w:r>
    </w:p>
    <w:p w14:paraId="36B106B5" w14:textId="77777777" w:rsidR="00CB79B5" w:rsidRPr="00404DA5" w:rsidRDefault="00CB79B5" w:rsidP="00404DA5">
      <w:pPr>
        <w:shd w:val="clear" w:color="auto" w:fill="DBE5F1"/>
        <w:rPr>
          <w:rFonts w:eastAsia="Calibri" w:cs="Calibri"/>
          <w:b/>
          <w:szCs w:val="20"/>
        </w:rPr>
      </w:pPr>
      <w:r w:rsidRPr="00404DA5">
        <w:rPr>
          <w:rFonts w:eastAsia="Calibri" w:cs="Calibri"/>
          <w:b/>
          <w:szCs w:val="20"/>
        </w:rPr>
        <w:t>Mechanizm terytorialny</w:t>
      </w:r>
      <w:r w:rsidR="00E66B89">
        <w:rPr>
          <w:rFonts w:eastAsia="Calibri" w:cs="Calibri"/>
          <w:b/>
          <w:szCs w:val="20"/>
        </w:rPr>
        <w:t xml:space="preserve"> w </w:t>
      </w:r>
      <w:r w:rsidRPr="00404DA5">
        <w:rPr>
          <w:rFonts w:eastAsia="Calibri" w:cs="Calibri"/>
          <w:b/>
          <w:szCs w:val="20"/>
        </w:rPr>
        <w:t>PI 8iv</w:t>
      </w:r>
    </w:p>
    <w:p w14:paraId="405B1FCD" w14:textId="77777777" w:rsidR="006627AC" w:rsidRPr="00404DA5" w:rsidRDefault="006627AC" w:rsidP="006627AC">
      <w:pPr>
        <w:rPr>
          <w:rFonts w:cs="Calibri"/>
          <w:szCs w:val="20"/>
        </w:rPr>
      </w:pPr>
      <w:r w:rsidRPr="00404DA5">
        <w:rPr>
          <w:rFonts w:cs="Calibri"/>
          <w:szCs w:val="20"/>
        </w:rPr>
        <w:t>W OP VI Instrument terytorialny dotyczy PI 8iv</w:t>
      </w:r>
      <w:r w:rsidR="00E66B89">
        <w:rPr>
          <w:rFonts w:cs="Calibri"/>
          <w:szCs w:val="20"/>
        </w:rPr>
        <w:t xml:space="preserve"> i </w:t>
      </w:r>
      <w:r w:rsidRPr="00404DA5">
        <w:rPr>
          <w:rFonts w:cs="Calibri"/>
          <w:szCs w:val="20"/>
        </w:rPr>
        <w:t>jest wdrażanych</w:t>
      </w:r>
      <w:r w:rsidR="00E66B89">
        <w:rPr>
          <w:rFonts w:cs="Calibri"/>
          <w:szCs w:val="20"/>
        </w:rPr>
        <w:t xml:space="preserve"> w </w:t>
      </w:r>
      <w:r w:rsidRPr="00404DA5">
        <w:rPr>
          <w:rFonts w:cs="Calibri"/>
          <w:szCs w:val="20"/>
        </w:rPr>
        <w:t xml:space="preserve">ramach Działania 6.7. </w:t>
      </w:r>
      <w:r w:rsidRPr="00404DA5">
        <w:rPr>
          <w:rFonts w:cs="Calibri"/>
          <w:i/>
          <w:szCs w:val="20"/>
        </w:rPr>
        <w:t>Programy zapewnienia</w:t>
      </w:r>
      <w:r w:rsidR="00E66B89">
        <w:rPr>
          <w:rFonts w:cs="Calibri"/>
          <w:i/>
          <w:szCs w:val="20"/>
        </w:rPr>
        <w:t xml:space="preserve"> i </w:t>
      </w:r>
      <w:r w:rsidRPr="00404DA5">
        <w:rPr>
          <w:rFonts w:cs="Calibri"/>
          <w:i/>
          <w:szCs w:val="20"/>
        </w:rPr>
        <w:t>zwiększenia dostępu do opieki nad dziećmi</w:t>
      </w:r>
      <w:r w:rsidR="00E66B89">
        <w:rPr>
          <w:rFonts w:cs="Calibri"/>
          <w:i/>
          <w:szCs w:val="20"/>
        </w:rPr>
        <w:t xml:space="preserve"> w </w:t>
      </w:r>
      <w:r w:rsidRPr="00404DA5">
        <w:rPr>
          <w:rFonts w:cs="Calibri"/>
          <w:i/>
          <w:szCs w:val="20"/>
        </w:rPr>
        <w:t>wieku do lat 3</w:t>
      </w:r>
      <w:r w:rsidR="00E66B89">
        <w:rPr>
          <w:rFonts w:cs="Calibri"/>
          <w:i/>
          <w:szCs w:val="20"/>
        </w:rPr>
        <w:t xml:space="preserve"> w </w:t>
      </w:r>
      <w:r w:rsidRPr="00404DA5">
        <w:rPr>
          <w:rFonts w:cs="Calibri"/>
          <w:i/>
          <w:szCs w:val="20"/>
        </w:rPr>
        <w:t xml:space="preserve">ramach Kontraktów Samorządowych </w:t>
      </w:r>
      <w:r w:rsidRPr="00404DA5">
        <w:rPr>
          <w:rFonts w:cs="Calibri"/>
          <w:szCs w:val="20"/>
        </w:rPr>
        <w:t>(KS). Działania</w:t>
      </w:r>
      <w:r w:rsidR="00E66B89">
        <w:rPr>
          <w:rFonts w:cs="Calibri"/>
          <w:szCs w:val="20"/>
        </w:rPr>
        <w:t xml:space="preserve"> w </w:t>
      </w:r>
      <w:r w:rsidRPr="00404DA5">
        <w:rPr>
          <w:rFonts w:cs="Calibri"/>
          <w:szCs w:val="20"/>
        </w:rPr>
        <w:t>ramach przedmiotowego PI służą tworzeniu sprzyjających warunków łączenia roli społecznej (rodzica/ opiekuna dziecka)</w:t>
      </w:r>
      <w:r w:rsidR="00E66B89">
        <w:rPr>
          <w:rFonts w:cs="Calibri"/>
          <w:szCs w:val="20"/>
        </w:rPr>
        <w:t xml:space="preserve"> z </w:t>
      </w:r>
      <w:r w:rsidRPr="00404DA5">
        <w:rPr>
          <w:rFonts w:cs="Calibri"/>
          <w:szCs w:val="20"/>
        </w:rPr>
        <w:t>rolą zawodową,</w:t>
      </w:r>
      <w:r w:rsidR="00E66B89">
        <w:rPr>
          <w:rFonts w:cs="Calibri"/>
          <w:szCs w:val="20"/>
        </w:rPr>
        <w:t xml:space="preserve"> w </w:t>
      </w:r>
      <w:r w:rsidRPr="00404DA5">
        <w:rPr>
          <w:rFonts w:cs="Calibri"/>
          <w:szCs w:val="20"/>
        </w:rPr>
        <w:t>szczególności poprzez rozwój opieki instytucjonalnej</w:t>
      </w:r>
      <w:r w:rsidR="00E66B89">
        <w:rPr>
          <w:rFonts w:cs="Calibri"/>
          <w:szCs w:val="20"/>
        </w:rPr>
        <w:t xml:space="preserve"> i </w:t>
      </w:r>
      <w:r w:rsidRPr="00404DA5">
        <w:rPr>
          <w:rFonts w:cs="Calibri"/>
          <w:szCs w:val="20"/>
        </w:rPr>
        <w:t>nieinstytucjonalnej nad dziećmi do 3 roku życia. Interwencja przewiduje m.in. tworzenie nowych miejsc opieki</w:t>
      </w:r>
      <w:r w:rsidR="00E66B89">
        <w:rPr>
          <w:rFonts w:cs="Calibri"/>
          <w:szCs w:val="20"/>
        </w:rPr>
        <w:t xml:space="preserve"> w </w:t>
      </w:r>
      <w:r w:rsidRPr="00404DA5">
        <w:rPr>
          <w:rFonts w:cs="Calibri"/>
          <w:szCs w:val="20"/>
        </w:rPr>
        <w:t>już funkcjonujących instytucjonalnych podmiotach opieki nad dziećmi oraz</w:t>
      </w:r>
      <w:r w:rsidR="00E66B89">
        <w:rPr>
          <w:rFonts w:cs="Calibri"/>
          <w:szCs w:val="20"/>
        </w:rPr>
        <w:t xml:space="preserve"> w </w:t>
      </w:r>
      <w:r w:rsidRPr="00404DA5">
        <w:rPr>
          <w:rFonts w:cs="Calibri"/>
          <w:szCs w:val="20"/>
        </w:rPr>
        <w:t>nowych placówkach wraz</w:t>
      </w:r>
      <w:r w:rsidR="00E66B89">
        <w:rPr>
          <w:rFonts w:cs="Calibri"/>
          <w:szCs w:val="20"/>
        </w:rPr>
        <w:t xml:space="preserve"> z </w:t>
      </w:r>
      <w:r w:rsidRPr="00404DA5">
        <w:rPr>
          <w:rFonts w:cs="Calibri"/>
          <w:szCs w:val="20"/>
        </w:rPr>
        <w:t>finansowaniem ich działalności przez pierwszy okres funkcjonowania.</w:t>
      </w:r>
      <w:r w:rsidR="00E66B89">
        <w:rPr>
          <w:rFonts w:cs="Calibri"/>
          <w:szCs w:val="20"/>
        </w:rPr>
        <w:t xml:space="preserve"> W </w:t>
      </w:r>
      <w:r w:rsidRPr="00404DA5">
        <w:rPr>
          <w:rFonts w:cs="Calibri"/>
          <w:szCs w:val="20"/>
        </w:rPr>
        <w:t>ramach działania planuje się również realizację przedsięwzięć mających na celu tworzenie przyzakładowych żłobków/klubów dziecięcych na obszarach charakteryzujących się dużą koncentracją zakładów pracy np. strefy ekonomiczne czy parki naukowo-technologiczne. Zgodnie</w:t>
      </w:r>
      <w:r w:rsidR="00E66B89">
        <w:rPr>
          <w:rFonts w:cs="Calibri"/>
          <w:szCs w:val="20"/>
        </w:rPr>
        <w:t xml:space="preserve"> z </w:t>
      </w:r>
      <w:r w:rsidRPr="00404DA5">
        <w:rPr>
          <w:rFonts w:cs="Calibri"/>
          <w:szCs w:val="20"/>
        </w:rPr>
        <w:t>założeniami, zapewnienie warunków do rozwoju nieinstytucjonalnych form opieki nad dziećmi miało odbywać się przy zapewnieniu programów nabywania kwalifikacji koniecznych przy tego typu pracy. Beneficjenci uprawnieni do ubiegania się</w:t>
      </w:r>
      <w:r w:rsidR="00E66B89">
        <w:rPr>
          <w:rFonts w:cs="Calibri"/>
          <w:szCs w:val="20"/>
        </w:rPr>
        <w:t xml:space="preserve"> o </w:t>
      </w:r>
      <w:r w:rsidRPr="00404DA5">
        <w:rPr>
          <w:rFonts w:cs="Calibri"/>
          <w:szCs w:val="20"/>
        </w:rPr>
        <w:t>dofinansowanie projektów</w:t>
      </w:r>
      <w:r w:rsidR="00E66B89">
        <w:rPr>
          <w:rFonts w:cs="Calibri"/>
          <w:szCs w:val="20"/>
        </w:rPr>
        <w:t xml:space="preserve"> w </w:t>
      </w:r>
      <w:r w:rsidRPr="00404DA5">
        <w:rPr>
          <w:rFonts w:cs="Calibri"/>
          <w:szCs w:val="20"/>
        </w:rPr>
        <w:t xml:space="preserve">ramach analizowanego Działania to jednostki </w:t>
      </w:r>
      <w:r w:rsidRPr="00404DA5">
        <w:rPr>
          <w:rFonts w:cs="Calibri"/>
          <w:szCs w:val="20"/>
        </w:rPr>
        <w:lastRenderedPageBreak/>
        <w:t>samorządu terytorialnego/jst, ich związki</w:t>
      </w:r>
      <w:r w:rsidR="00E66B89">
        <w:rPr>
          <w:rFonts w:cs="Calibri"/>
          <w:szCs w:val="20"/>
        </w:rPr>
        <w:t xml:space="preserve"> i </w:t>
      </w:r>
      <w:r w:rsidRPr="00404DA5">
        <w:rPr>
          <w:rFonts w:cs="Calibri"/>
          <w:szCs w:val="20"/>
        </w:rPr>
        <w:t>stowarzyszenia, jednostki organizacyjne jst. Projekty są wyłaniane do dofinansowania</w:t>
      </w:r>
      <w:r w:rsidR="00E66B89">
        <w:rPr>
          <w:rFonts w:cs="Calibri"/>
          <w:szCs w:val="20"/>
        </w:rPr>
        <w:t xml:space="preserve"> w </w:t>
      </w:r>
      <w:r w:rsidRPr="00404DA5">
        <w:rPr>
          <w:rFonts w:cs="Calibri"/>
          <w:szCs w:val="20"/>
        </w:rPr>
        <w:t>trybie konkursowym.</w:t>
      </w:r>
    </w:p>
    <w:p w14:paraId="02DFD158" w14:textId="77777777" w:rsidR="006627AC" w:rsidRPr="00404DA5" w:rsidRDefault="006627AC" w:rsidP="006627AC">
      <w:pPr>
        <w:rPr>
          <w:rFonts w:cs="Calibri"/>
          <w:szCs w:val="20"/>
        </w:rPr>
      </w:pPr>
      <w:r w:rsidRPr="00404DA5">
        <w:rPr>
          <w:rFonts w:cs="Calibri"/>
          <w:szCs w:val="20"/>
        </w:rPr>
        <w:t>Porównując stopień kontraktacji alokacji</w:t>
      </w:r>
      <w:r w:rsidR="00E66B89">
        <w:rPr>
          <w:rFonts w:cs="Calibri"/>
          <w:szCs w:val="20"/>
        </w:rPr>
        <w:t xml:space="preserve"> w </w:t>
      </w:r>
      <w:r w:rsidRPr="00404DA5">
        <w:rPr>
          <w:rFonts w:cs="Calibri"/>
          <w:szCs w:val="20"/>
        </w:rPr>
        <w:t>Działaniu 6.6 (w którym interwencja dotyczy całego obszaru województwa)</w:t>
      </w:r>
      <w:r w:rsidR="00E66B89">
        <w:rPr>
          <w:rFonts w:cs="Calibri"/>
          <w:szCs w:val="20"/>
        </w:rPr>
        <w:t xml:space="preserve"> z </w:t>
      </w:r>
      <w:r w:rsidRPr="00404DA5">
        <w:rPr>
          <w:rFonts w:cs="Calibri"/>
          <w:szCs w:val="20"/>
        </w:rPr>
        <w:t>Działaniem 6.7 (realizującym instrument terytorialny</w:t>
      </w:r>
      <w:r w:rsidR="00E66B89">
        <w:rPr>
          <w:rFonts w:cs="Calibri"/>
          <w:szCs w:val="20"/>
        </w:rPr>
        <w:t xml:space="preserve"> w </w:t>
      </w:r>
      <w:r w:rsidRPr="00404DA5">
        <w:rPr>
          <w:rFonts w:cs="Calibri"/>
          <w:szCs w:val="20"/>
        </w:rPr>
        <w:t>formule KS - mającej na celu jednolity gospodarczy rozwój danego obszaru, oparty na celach rozwojowych wspólnie zdefiniowanych przez kilka samorządów terytorialnych), należy</w:t>
      </w:r>
      <w:r w:rsidR="00E66B89">
        <w:rPr>
          <w:rFonts w:cs="Calibri"/>
          <w:szCs w:val="20"/>
        </w:rPr>
        <w:t xml:space="preserve"> w </w:t>
      </w:r>
      <w:r w:rsidRPr="00404DA5">
        <w:rPr>
          <w:rFonts w:cs="Calibri"/>
          <w:szCs w:val="20"/>
        </w:rPr>
        <w:t>pierwszej kolejności zwrócić uwagę na bardzo niski</w:t>
      </w:r>
      <w:r w:rsidR="00E66B89">
        <w:rPr>
          <w:rFonts w:cs="Calibri"/>
          <w:szCs w:val="20"/>
        </w:rPr>
        <w:t xml:space="preserve"> w </w:t>
      </w:r>
      <w:r w:rsidRPr="00404DA5">
        <w:rPr>
          <w:rFonts w:cs="Calibri"/>
          <w:szCs w:val="20"/>
        </w:rPr>
        <w:t>stosunku do Działania 6.6 poziom kontraktacji środków</w:t>
      </w:r>
      <w:r w:rsidR="00E66B89">
        <w:rPr>
          <w:rFonts w:cs="Calibri"/>
          <w:szCs w:val="20"/>
        </w:rPr>
        <w:t xml:space="preserve"> w </w:t>
      </w:r>
      <w:r w:rsidRPr="00404DA5">
        <w:rPr>
          <w:rFonts w:cs="Calibri"/>
          <w:szCs w:val="20"/>
        </w:rPr>
        <w:t xml:space="preserve">Działaniu 6.7, odpowiednio: 54% do 16%. Warto jednak zauważyć, że począwszy </w:t>
      </w:r>
      <w:r>
        <w:rPr>
          <w:rFonts w:cs="Calibri"/>
          <w:szCs w:val="20"/>
        </w:rPr>
        <w:t>od</w:t>
      </w:r>
      <w:r w:rsidRPr="00404DA5">
        <w:rPr>
          <w:rFonts w:cs="Calibri"/>
          <w:szCs w:val="20"/>
        </w:rPr>
        <w:t xml:space="preserve"> września 2015 r. do grudnia 2018 r.</w:t>
      </w:r>
      <w:r w:rsidR="00E66B89">
        <w:rPr>
          <w:rFonts w:cs="Calibri"/>
          <w:szCs w:val="20"/>
        </w:rPr>
        <w:t xml:space="preserve"> w </w:t>
      </w:r>
      <w:r w:rsidRPr="00404DA5">
        <w:rPr>
          <w:rFonts w:cs="Calibri"/>
          <w:szCs w:val="20"/>
        </w:rPr>
        <w:t>ramach PI 8iv łącznie przeprowadzono pięć naborów wniosków</w:t>
      </w:r>
      <w:r w:rsidR="00E66B89">
        <w:rPr>
          <w:rFonts w:cs="Calibri"/>
          <w:szCs w:val="20"/>
        </w:rPr>
        <w:t xml:space="preserve"> o </w:t>
      </w:r>
      <w:r w:rsidRPr="00404DA5">
        <w:rPr>
          <w:rFonts w:cs="Calibri"/>
          <w:szCs w:val="20"/>
        </w:rPr>
        <w:t xml:space="preserve">dofinansowanie projektów </w:t>
      </w:r>
      <w:r w:rsidRPr="00404DA5">
        <w:rPr>
          <w:rFonts w:cs="Calibri"/>
          <w:szCs w:val="20"/>
        </w:rPr>
        <w:noBreakHyphen/>
      </w:r>
      <w:r w:rsidR="00E66B89">
        <w:rPr>
          <w:rFonts w:cs="Calibri"/>
          <w:szCs w:val="20"/>
        </w:rPr>
        <w:t xml:space="preserve"> w </w:t>
      </w:r>
      <w:r w:rsidRPr="00404DA5">
        <w:rPr>
          <w:rFonts w:cs="Calibri"/>
          <w:szCs w:val="20"/>
        </w:rPr>
        <w:t>Działaniu 6.6 aż cztery nabory;</w:t>
      </w:r>
      <w:r w:rsidR="00E66B89">
        <w:rPr>
          <w:rFonts w:cs="Calibri"/>
          <w:szCs w:val="20"/>
        </w:rPr>
        <w:t xml:space="preserve"> w </w:t>
      </w:r>
      <w:r w:rsidRPr="00404DA5">
        <w:rPr>
          <w:rFonts w:cs="Calibri"/>
          <w:szCs w:val="20"/>
        </w:rPr>
        <w:t>Działaniu 6.7 tylko jeden nabór.</w:t>
      </w:r>
    </w:p>
    <w:p w14:paraId="5F6ED696" w14:textId="77777777" w:rsidR="006627AC" w:rsidRPr="00404DA5" w:rsidRDefault="006627AC" w:rsidP="006627AC">
      <w:pPr>
        <w:rPr>
          <w:rFonts w:cs="Calibri"/>
          <w:szCs w:val="20"/>
        </w:rPr>
      </w:pPr>
      <w:r w:rsidRPr="00404DA5">
        <w:rPr>
          <w:rFonts w:cs="Calibri"/>
          <w:szCs w:val="20"/>
        </w:rPr>
        <w:t>W stosunku do Działania 6.6.</w:t>
      </w:r>
      <w:r w:rsidR="00E66B89">
        <w:rPr>
          <w:rFonts w:cs="Calibri"/>
          <w:szCs w:val="20"/>
        </w:rPr>
        <w:t xml:space="preserve"> w </w:t>
      </w:r>
      <w:r w:rsidRPr="00404DA5">
        <w:rPr>
          <w:rFonts w:cs="Calibri"/>
          <w:szCs w:val="20"/>
        </w:rPr>
        <w:t>Działaniu 6.7 obserwujemy również niższą średnią wartość dofinansowania projektów. Co ważne, alokacja</w:t>
      </w:r>
      <w:r w:rsidR="00E66B89">
        <w:rPr>
          <w:rFonts w:cs="Calibri"/>
          <w:szCs w:val="20"/>
        </w:rPr>
        <w:t xml:space="preserve"> w </w:t>
      </w:r>
      <w:r w:rsidRPr="00404DA5">
        <w:rPr>
          <w:rFonts w:cs="Calibri"/>
          <w:szCs w:val="20"/>
        </w:rPr>
        <w:t>Działaniu 6.7 jest czterokrotnie niższa od alokacji</w:t>
      </w:r>
      <w:r w:rsidR="00E66B89">
        <w:rPr>
          <w:rFonts w:cs="Calibri"/>
          <w:szCs w:val="20"/>
        </w:rPr>
        <w:t xml:space="preserve"> w </w:t>
      </w:r>
      <w:r w:rsidRPr="00404DA5">
        <w:rPr>
          <w:rFonts w:cs="Calibri"/>
          <w:szCs w:val="20"/>
        </w:rPr>
        <w:t>Działaniu 6.6 natomiast liczba projektów realizowanych</w:t>
      </w:r>
      <w:r w:rsidR="00E66B89">
        <w:rPr>
          <w:rFonts w:cs="Calibri"/>
          <w:szCs w:val="20"/>
        </w:rPr>
        <w:t xml:space="preserve"> w </w:t>
      </w:r>
      <w:r w:rsidRPr="00404DA5">
        <w:rPr>
          <w:rFonts w:cs="Calibri"/>
          <w:szCs w:val="20"/>
        </w:rPr>
        <w:t>Działaniu 6.6 przewyższa niemalże 12-krotnie liczbę projektów wdrażanych</w:t>
      </w:r>
      <w:r w:rsidR="00E66B89">
        <w:rPr>
          <w:rFonts w:cs="Calibri"/>
          <w:szCs w:val="20"/>
        </w:rPr>
        <w:t xml:space="preserve"> w </w:t>
      </w:r>
      <w:r w:rsidRPr="00404DA5">
        <w:rPr>
          <w:rFonts w:cs="Calibri"/>
          <w:szCs w:val="20"/>
        </w:rPr>
        <w:t>Działaniu 6.7.</w:t>
      </w:r>
    </w:p>
    <w:p w14:paraId="3A2B2C7C" w14:textId="77777777" w:rsidR="006627AC" w:rsidRPr="00404DA5" w:rsidRDefault="006627AC" w:rsidP="006627AC">
      <w:pPr>
        <w:rPr>
          <w:rFonts w:cs="Calibri"/>
          <w:szCs w:val="20"/>
        </w:rPr>
      </w:pPr>
      <w:r w:rsidRPr="00404DA5">
        <w:rPr>
          <w:rFonts w:cs="Calibri"/>
          <w:szCs w:val="20"/>
        </w:rPr>
        <w:t>Działanie 6.6. cieszy się zainteresowaniem wśród podmiotów uprawnionych do ubiegania się</w:t>
      </w:r>
      <w:r w:rsidR="00E66B89">
        <w:rPr>
          <w:rFonts w:cs="Calibri"/>
          <w:szCs w:val="20"/>
        </w:rPr>
        <w:t xml:space="preserve"> o </w:t>
      </w:r>
      <w:r w:rsidRPr="00404DA5">
        <w:rPr>
          <w:rFonts w:cs="Calibri"/>
          <w:szCs w:val="20"/>
        </w:rPr>
        <w:t>dofinansowanie projektów. Dla Działania 6.7 odnotowano niski poziom zainteresowania ubieganiem się</w:t>
      </w:r>
      <w:r w:rsidR="00E66B89">
        <w:rPr>
          <w:rFonts w:cs="Calibri"/>
          <w:szCs w:val="20"/>
        </w:rPr>
        <w:t xml:space="preserve"> o </w:t>
      </w:r>
      <w:r w:rsidRPr="00404DA5">
        <w:rPr>
          <w:rFonts w:cs="Calibri"/>
          <w:szCs w:val="20"/>
        </w:rPr>
        <w:t>dofinansowanie projektów wśród uprawnionych podmiotów</w:t>
      </w:r>
      <w:r w:rsidR="008B706B">
        <w:rPr>
          <w:rFonts w:cs="Calibri"/>
          <w:szCs w:val="20"/>
        </w:rPr>
        <w:t xml:space="preserve"> </w:t>
      </w:r>
      <w:r w:rsidRPr="00404DA5">
        <w:rPr>
          <w:rFonts w:cs="Calibri"/>
          <w:szCs w:val="20"/>
        </w:rPr>
        <w:noBreakHyphen/>
      </w:r>
      <w:r w:rsidR="00E66B89">
        <w:rPr>
          <w:rFonts w:cs="Calibri"/>
          <w:szCs w:val="20"/>
        </w:rPr>
        <w:t xml:space="preserve"> w </w:t>
      </w:r>
      <w:r w:rsidRPr="00404DA5">
        <w:rPr>
          <w:rFonts w:cs="Calibri"/>
          <w:szCs w:val="20"/>
        </w:rPr>
        <w:t>ramach pierwszego naboru, wnioski</w:t>
      </w:r>
      <w:r w:rsidR="00E66B89">
        <w:rPr>
          <w:rFonts w:cs="Calibri"/>
          <w:szCs w:val="20"/>
        </w:rPr>
        <w:t xml:space="preserve"> o </w:t>
      </w:r>
      <w:r w:rsidRPr="00404DA5">
        <w:rPr>
          <w:rFonts w:cs="Calibri"/>
          <w:szCs w:val="20"/>
        </w:rPr>
        <w:t>dofinansowanie projektów złożyły tylko cztery gminy: Węgorzyno, Złocieniec, Pełczyce, Wałcz,</w:t>
      </w:r>
      <w:r w:rsidR="00E66B89">
        <w:rPr>
          <w:rFonts w:cs="Calibri"/>
          <w:szCs w:val="20"/>
        </w:rPr>
        <w:t xml:space="preserve"> z </w:t>
      </w:r>
      <w:r w:rsidRPr="00404DA5">
        <w:rPr>
          <w:rFonts w:cs="Calibri"/>
          <w:szCs w:val="20"/>
        </w:rPr>
        <w:t>czego do dofinansowania wybrano trzy projekty.</w:t>
      </w:r>
    </w:p>
    <w:p w14:paraId="2556626C" w14:textId="77777777" w:rsidR="006627AC" w:rsidRPr="00EE5470" w:rsidRDefault="006627AC" w:rsidP="00024F00">
      <w:pPr>
        <w:pStyle w:val="Legenda"/>
        <w:spacing w:after="0"/>
      </w:pPr>
      <w:bookmarkStart w:id="373" w:name="_Toc8824277"/>
      <w:r w:rsidRPr="00EE5470">
        <w:t xml:space="preserve">Tabela </w:t>
      </w:r>
      <w:r w:rsidR="00B72A80">
        <w:fldChar w:fldCharType="begin"/>
      </w:r>
      <w:r w:rsidR="00B72A80">
        <w:instrText xml:space="preserve"> SEQ Tabela \* ARABIC </w:instrText>
      </w:r>
      <w:r w:rsidR="00B72A80">
        <w:fldChar w:fldCharType="separate"/>
      </w:r>
      <w:r w:rsidR="00763345">
        <w:rPr>
          <w:noProof/>
        </w:rPr>
        <w:t>166</w:t>
      </w:r>
      <w:r w:rsidR="00B72A80">
        <w:fldChar w:fldCharType="end"/>
      </w:r>
      <w:r w:rsidRPr="00EE5470">
        <w:t xml:space="preserve"> </w:t>
      </w:r>
      <w:r>
        <w:t>Postęp finansowy Działań realizujących instrumenty terytorialne oraz analogicznego Działania wdrażanego</w:t>
      </w:r>
      <w:r w:rsidR="00E66B89">
        <w:t xml:space="preserve"> w </w:t>
      </w:r>
      <w:r>
        <w:t>całym regionie -</w:t>
      </w:r>
      <w:r w:rsidRPr="00EE5470">
        <w:t xml:space="preserve"> PI 8iv</w:t>
      </w:r>
      <w:bookmarkEnd w:id="3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275"/>
        <w:gridCol w:w="1382"/>
        <w:gridCol w:w="1028"/>
        <w:gridCol w:w="1554"/>
      </w:tblGrid>
      <w:tr w:rsidR="006627AC" w:rsidRPr="00EE5470" w14:paraId="42E3FAEB" w14:textId="77777777" w:rsidTr="001D3274">
        <w:trPr>
          <w:tblHeader/>
        </w:trPr>
        <w:tc>
          <w:tcPr>
            <w:tcW w:w="1980" w:type="dxa"/>
            <w:shd w:val="clear" w:color="auto" w:fill="DBE5F1"/>
          </w:tcPr>
          <w:p w14:paraId="7E0A86BF" w14:textId="77777777" w:rsidR="006627AC" w:rsidRPr="00404DA5" w:rsidRDefault="006627AC" w:rsidP="008B706B">
            <w:pPr>
              <w:jc w:val="center"/>
              <w:rPr>
                <w:rFonts w:cs="Calibri"/>
                <w:sz w:val="18"/>
                <w:szCs w:val="20"/>
              </w:rPr>
            </w:pPr>
          </w:p>
        </w:tc>
        <w:tc>
          <w:tcPr>
            <w:tcW w:w="1843" w:type="dxa"/>
            <w:shd w:val="clear" w:color="auto" w:fill="DBE5F1"/>
            <w:hideMark/>
          </w:tcPr>
          <w:p w14:paraId="74E05275" w14:textId="77777777" w:rsidR="006627AC" w:rsidRPr="00404DA5" w:rsidRDefault="006627AC" w:rsidP="008B706B">
            <w:pPr>
              <w:jc w:val="center"/>
              <w:rPr>
                <w:rFonts w:cs="Calibri"/>
                <w:sz w:val="18"/>
                <w:szCs w:val="20"/>
              </w:rPr>
            </w:pPr>
            <w:r w:rsidRPr="00404DA5">
              <w:rPr>
                <w:rFonts w:cs="Calibri"/>
                <w:sz w:val="18"/>
                <w:szCs w:val="20"/>
              </w:rPr>
              <w:t>Alokacja na Działanie</w:t>
            </w:r>
            <w:r w:rsidR="00E60726">
              <w:rPr>
                <w:rStyle w:val="Odwoanieprzypisudolnego"/>
                <w:rFonts w:cs="Calibri"/>
                <w:sz w:val="18"/>
                <w:szCs w:val="20"/>
              </w:rPr>
              <w:footnoteReference w:id="153"/>
            </w:r>
            <w:r w:rsidRPr="00404DA5">
              <w:rPr>
                <w:rFonts w:cs="Calibri"/>
                <w:sz w:val="18"/>
                <w:szCs w:val="20"/>
              </w:rPr>
              <w:t xml:space="preserve"> </w:t>
            </w:r>
          </w:p>
        </w:tc>
        <w:tc>
          <w:tcPr>
            <w:tcW w:w="1275" w:type="dxa"/>
            <w:shd w:val="clear" w:color="auto" w:fill="DBE5F1"/>
            <w:hideMark/>
          </w:tcPr>
          <w:p w14:paraId="5CC8431F" w14:textId="77777777" w:rsidR="006627AC" w:rsidRPr="00404DA5" w:rsidRDefault="006627AC" w:rsidP="008B706B">
            <w:pPr>
              <w:jc w:val="center"/>
              <w:rPr>
                <w:rFonts w:cs="Calibri"/>
                <w:sz w:val="18"/>
                <w:szCs w:val="20"/>
              </w:rPr>
            </w:pPr>
            <w:r w:rsidRPr="00404DA5">
              <w:rPr>
                <w:rFonts w:cs="Calibri"/>
                <w:sz w:val="18"/>
                <w:szCs w:val="20"/>
              </w:rPr>
              <w:t>Poziom kontraktacji</w:t>
            </w:r>
            <w:r w:rsidR="00E60726">
              <w:rPr>
                <w:rStyle w:val="Odwoanieprzypisudolnego"/>
                <w:rFonts w:cs="Calibri"/>
                <w:sz w:val="18"/>
                <w:szCs w:val="20"/>
              </w:rPr>
              <w:footnoteReference w:id="154"/>
            </w:r>
            <w:r w:rsidRPr="00404DA5">
              <w:rPr>
                <w:rFonts w:cs="Calibri"/>
                <w:sz w:val="18"/>
                <w:szCs w:val="20"/>
              </w:rPr>
              <w:t xml:space="preserve"> </w:t>
            </w:r>
          </w:p>
        </w:tc>
        <w:tc>
          <w:tcPr>
            <w:tcW w:w="1382" w:type="dxa"/>
            <w:shd w:val="clear" w:color="auto" w:fill="DBE5F1"/>
            <w:hideMark/>
          </w:tcPr>
          <w:p w14:paraId="09C3D667" w14:textId="77777777" w:rsidR="006627AC" w:rsidRPr="00404DA5" w:rsidRDefault="006627AC" w:rsidP="008B706B">
            <w:pPr>
              <w:jc w:val="center"/>
              <w:rPr>
                <w:rFonts w:cs="Calibri"/>
                <w:sz w:val="18"/>
                <w:szCs w:val="20"/>
              </w:rPr>
            </w:pPr>
            <w:r w:rsidRPr="00404DA5">
              <w:rPr>
                <w:rFonts w:cs="Calibri"/>
                <w:sz w:val="18"/>
                <w:szCs w:val="20"/>
              </w:rPr>
              <w:t>Liczba realizowanych projektów</w:t>
            </w:r>
          </w:p>
        </w:tc>
        <w:tc>
          <w:tcPr>
            <w:tcW w:w="1028" w:type="dxa"/>
            <w:shd w:val="clear" w:color="auto" w:fill="DBE5F1"/>
            <w:hideMark/>
          </w:tcPr>
          <w:p w14:paraId="3904F49A" w14:textId="77777777" w:rsidR="006627AC" w:rsidRPr="00404DA5" w:rsidRDefault="006627AC" w:rsidP="008B706B">
            <w:pPr>
              <w:jc w:val="center"/>
              <w:rPr>
                <w:rFonts w:cs="Calibri"/>
                <w:sz w:val="18"/>
                <w:szCs w:val="20"/>
              </w:rPr>
            </w:pPr>
            <w:r w:rsidRPr="00404DA5">
              <w:rPr>
                <w:rFonts w:cs="Calibri"/>
                <w:sz w:val="18"/>
                <w:szCs w:val="20"/>
              </w:rPr>
              <w:t>Wartość projektów ogółem</w:t>
            </w:r>
          </w:p>
        </w:tc>
        <w:tc>
          <w:tcPr>
            <w:tcW w:w="1554" w:type="dxa"/>
            <w:shd w:val="clear" w:color="auto" w:fill="DBE5F1"/>
            <w:hideMark/>
          </w:tcPr>
          <w:p w14:paraId="0E2880DB" w14:textId="77777777" w:rsidR="006627AC" w:rsidRPr="00404DA5" w:rsidRDefault="006627AC" w:rsidP="008B706B">
            <w:pPr>
              <w:jc w:val="center"/>
              <w:rPr>
                <w:rFonts w:cs="Calibri"/>
                <w:sz w:val="18"/>
                <w:szCs w:val="20"/>
              </w:rPr>
            </w:pPr>
            <w:r w:rsidRPr="00404DA5">
              <w:rPr>
                <w:rFonts w:cs="Calibri"/>
                <w:sz w:val="18"/>
                <w:szCs w:val="20"/>
              </w:rPr>
              <w:t>Wartość dofinansowania UE</w:t>
            </w:r>
          </w:p>
        </w:tc>
      </w:tr>
      <w:tr w:rsidR="006627AC" w:rsidRPr="00EE5470" w14:paraId="68762FBF" w14:textId="77777777" w:rsidTr="001D3274">
        <w:tc>
          <w:tcPr>
            <w:tcW w:w="1980" w:type="dxa"/>
            <w:shd w:val="clear" w:color="auto" w:fill="auto"/>
          </w:tcPr>
          <w:p w14:paraId="3F1DED67" w14:textId="77777777" w:rsidR="006627AC" w:rsidRPr="00404DA5" w:rsidRDefault="006627AC" w:rsidP="009974B7">
            <w:pPr>
              <w:rPr>
                <w:rFonts w:cs="Calibri"/>
                <w:sz w:val="18"/>
                <w:szCs w:val="20"/>
              </w:rPr>
            </w:pPr>
            <w:r w:rsidRPr="00404DA5">
              <w:rPr>
                <w:rFonts w:cs="Calibri"/>
                <w:sz w:val="18"/>
                <w:szCs w:val="20"/>
              </w:rPr>
              <w:t>Działanie 6.6 Programy zapewnienia</w:t>
            </w:r>
            <w:r w:rsidR="00E66B89">
              <w:rPr>
                <w:rFonts w:cs="Calibri"/>
                <w:sz w:val="18"/>
                <w:szCs w:val="20"/>
              </w:rPr>
              <w:t xml:space="preserve"> i </w:t>
            </w:r>
            <w:r w:rsidRPr="00404DA5">
              <w:rPr>
                <w:rFonts w:cs="Calibri"/>
                <w:sz w:val="18"/>
                <w:szCs w:val="20"/>
              </w:rPr>
              <w:t>zwiększenia dostępu do opieki nad dziećmi</w:t>
            </w:r>
            <w:r w:rsidR="00E66B89">
              <w:rPr>
                <w:rFonts w:cs="Calibri"/>
                <w:sz w:val="18"/>
                <w:szCs w:val="20"/>
              </w:rPr>
              <w:t xml:space="preserve"> w </w:t>
            </w:r>
            <w:r w:rsidRPr="00404DA5">
              <w:rPr>
                <w:rFonts w:cs="Calibri"/>
                <w:sz w:val="18"/>
                <w:szCs w:val="20"/>
              </w:rPr>
              <w:t>wieku do lat 3</w:t>
            </w:r>
          </w:p>
        </w:tc>
        <w:tc>
          <w:tcPr>
            <w:tcW w:w="1843" w:type="dxa"/>
            <w:shd w:val="clear" w:color="auto" w:fill="auto"/>
          </w:tcPr>
          <w:p w14:paraId="1DBD1168" w14:textId="60F3AEAF" w:rsidR="006627AC" w:rsidRPr="001D3274" w:rsidRDefault="006627AC" w:rsidP="009974B7">
            <w:pPr>
              <w:rPr>
                <w:rFonts w:cs="Calibri"/>
                <w:sz w:val="18"/>
                <w:szCs w:val="20"/>
              </w:rPr>
            </w:pPr>
            <w:r w:rsidRPr="00404DA5">
              <w:rPr>
                <w:rFonts w:cs="Calibri"/>
                <w:sz w:val="18"/>
                <w:szCs w:val="20"/>
              </w:rPr>
              <w:t>21 900 000,00 EUR [alokacja UE (z RW) na Działanie po uwzględnieniu zmian</w:t>
            </w:r>
            <w:r w:rsidR="00E66B89">
              <w:rPr>
                <w:rFonts w:cs="Calibri"/>
                <w:sz w:val="18"/>
                <w:szCs w:val="20"/>
              </w:rPr>
              <w:t xml:space="preserve"> w </w:t>
            </w:r>
            <w:r w:rsidR="001D3274">
              <w:rPr>
                <w:rFonts w:cs="Calibri"/>
                <w:sz w:val="18"/>
                <w:szCs w:val="20"/>
              </w:rPr>
              <w:t xml:space="preserve">Programie], </w:t>
            </w:r>
            <w:r w:rsidRPr="00404DA5">
              <w:rPr>
                <w:rFonts w:cs="Calibri"/>
                <w:b/>
                <w:sz w:val="18"/>
                <w:szCs w:val="20"/>
              </w:rPr>
              <w:t xml:space="preserve">tj. 94 231 320,00 zł </w:t>
            </w:r>
          </w:p>
        </w:tc>
        <w:tc>
          <w:tcPr>
            <w:tcW w:w="1275" w:type="dxa"/>
            <w:shd w:val="clear" w:color="auto" w:fill="auto"/>
          </w:tcPr>
          <w:p w14:paraId="7951774E" w14:textId="77777777" w:rsidR="006627AC" w:rsidRPr="00404DA5" w:rsidRDefault="006627AC" w:rsidP="009974B7">
            <w:pPr>
              <w:rPr>
                <w:rFonts w:cs="Calibri"/>
                <w:sz w:val="18"/>
                <w:szCs w:val="20"/>
              </w:rPr>
            </w:pPr>
            <w:r w:rsidRPr="00404DA5">
              <w:rPr>
                <w:rFonts w:cs="Calibri"/>
                <w:sz w:val="18"/>
                <w:szCs w:val="18"/>
              </w:rPr>
              <w:t xml:space="preserve">54% alokacji UE ogółem (z RW) na Działanie </w:t>
            </w:r>
          </w:p>
        </w:tc>
        <w:tc>
          <w:tcPr>
            <w:tcW w:w="1382" w:type="dxa"/>
            <w:shd w:val="clear" w:color="auto" w:fill="auto"/>
          </w:tcPr>
          <w:p w14:paraId="455AD1D6" w14:textId="77777777" w:rsidR="006627AC" w:rsidRPr="00404DA5" w:rsidRDefault="006627AC" w:rsidP="009974B7">
            <w:pPr>
              <w:rPr>
                <w:rFonts w:cs="Calibri"/>
                <w:sz w:val="18"/>
                <w:szCs w:val="20"/>
              </w:rPr>
            </w:pPr>
            <w:r w:rsidRPr="00404DA5">
              <w:rPr>
                <w:rFonts w:cs="Calibri"/>
                <w:sz w:val="18"/>
                <w:szCs w:val="20"/>
              </w:rPr>
              <w:t>35</w:t>
            </w:r>
          </w:p>
        </w:tc>
        <w:tc>
          <w:tcPr>
            <w:tcW w:w="1028" w:type="dxa"/>
            <w:shd w:val="clear" w:color="auto" w:fill="auto"/>
          </w:tcPr>
          <w:p w14:paraId="4830EB2A" w14:textId="77777777" w:rsidR="006627AC" w:rsidRPr="00404DA5" w:rsidRDefault="006627AC" w:rsidP="009974B7">
            <w:pPr>
              <w:rPr>
                <w:rFonts w:cs="Calibri"/>
                <w:sz w:val="18"/>
                <w:szCs w:val="18"/>
              </w:rPr>
            </w:pPr>
            <w:r w:rsidRPr="00404DA5">
              <w:rPr>
                <w:rFonts w:cs="Calibri"/>
                <w:sz w:val="18"/>
                <w:szCs w:val="18"/>
              </w:rPr>
              <w:t>59 934 645,18 zł</w:t>
            </w:r>
          </w:p>
        </w:tc>
        <w:tc>
          <w:tcPr>
            <w:tcW w:w="1554" w:type="dxa"/>
            <w:shd w:val="clear" w:color="auto" w:fill="auto"/>
          </w:tcPr>
          <w:p w14:paraId="17BA7DBB" w14:textId="77777777" w:rsidR="006627AC" w:rsidRPr="00404DA5" w:rsidRDefault="006627AC" w:rsidP="009974B7">
            <w:pPr>
              <w:rPr>
                <w:rFonts w:cs="Calibri"/>
                <w:sz w:val="18"/>
                <w:szCs w:val="18"/>
              </w:rPr>
            </w:pPr>
            <w:r w:rsidRPr="00404DA5">
              <w:rPr>
                <w:rFonts w:cs="Calibri"/>
                <w:sz w:val="18"/>
                <w:szCs w:val="18"/>
              </w:rPr>
              <w:t xml:space="preserve">50 914 113,46 zł </w:t>
            </w:r>
          </w:p>
        </w:tc>
      </w:tr>
      <w:tr w:rsidR="006627AC" w:rsidRPr="00EE5470" w14:paraId="78B97735" w14:textId="77777777" w:rsidTr="001D3274">
        <w:tc>
          <w:tcPr>
            <w:tcW w:w="1980" w:type="dxa"/>
            <w:shd w:val="clear" w:color="auto" w:fill="auto"/>
          </w:tcPr>
          <w:p w14:paraId="191290CD" w14:textId="77777777" w:rsidR="006627AC" w:rsidRPr="00404DA5" w:rsidRDefault="006627AC" w:rsidP="009974B7">
            <w:pPr>
              <w:rPr>
                <w:rFonts w:cs="Calibri"/>
                <w:sz w:val="18"/>
                <w:szCs w:val="20"/>
              </w:rPr>
            </w:pPr>
            <w:r w:rsidRPr="00404DA5">
              <w:rPr>
                <w:rFonts w:cs="Calibri"/>
                <w:sz w:val="18"/>
                <w:szCs w:val="20"/>
              </w:rPr>
              <w:t>Działanie 6.7 Programy zapewnienia</w:t>
            </w:r>
            <w:r w:rsidR="00E66B89">
              <w:rPr>
                <w:rFonts w:cs="Calibri"/>
                <w:sz w:val="18"/>
                <w:szCs w:val="20"/>
              </w:rPr>
              <w:t xml:space="preserve"> i </w:t>
            </w:r>
            <w:r w:rsidRPr="00404DA5">
              <w:rPr>
                <w:rFonts w:cs="Calibri"/>
                <w:sz w:val="18"/>
                <w:szCs w:val="20"/>
              </w:rPr>
              <w:t>zwiększenia dostępu do opieki nad dziećmi</w:t>
            </w:r>
            <w:r w:rsidR="00E66B89">
              <w:rPr>
                <w:rFonts w:cs="Calibri"/>
                <w:sz w:val="18"/>
                <w:szCs w:val="20"/>
              </w:rPr>
              <w:t xml:space="preserve"> w </w:t>
            </w:r>
            <w:r w:rsidRPr="00404DA5">
              <w:rPr>
                <w:rFonts w:cs="Calibri"/>
                <w:sz w:val="18"/>
                <w:szCs w:val="20"/>
              </w:rPr>
              <w:t>wieku do lat 3</w:t>
            </w:r>
            <w:r w:rsidR="00E66B89">
              <w:rPr>
                <w:rFonts w:cs="Calibri"/>
                <w:sz w:val="18"/>
                <w:szCs w:val="20"/>
              </w:rPr>
              <w:t xml:space="preserve"> w </w:t>
            </w:r>
            <w:r w:rsidRPr="00404DA5">
              <w:rPr>
                <w:rFonts w:cs="Calibri"/>
                <w:sz w:val="18"/>
                <w:szCs w:val="20"/>
              </w:rPr>
              <w:t>ramach Kontraktów Samorządowych</w:t>
            </w:r>
          </w:p>
        </w:tc>
        <w:tc>
          <w:tcPr>
            <w:tcW w:w="1843" w:type="dxa"/>
            <w:shd w:val="clear" w:color="auto" w:fill="auto"/>
          </w:tcPr>
          <w:p w14:paraId="3EF8B3BE" w14:textId="769AFDA1" w:rsidR="006627AC" w:rsidRPr="001D3274" w:rsidRDefault="006627AC" w:rsidP="009974B7">
            <w:pPr>
              <w:rPr>
                <w:rFonts w:cs="Calibri"/>
                <w:sz w:val="18"/>
                <w:szCs w:val="20"/>
              </w:rPr>
            </w:pPr>
            <w:r w:rsidRPr="00404DA5">
              <w:rPr>
                <w:rFonts w:cs="Calibri"/>
                <w:sz w:val="18"/>
                <w:szCs w:val="20"/>
              </w:rPr>
              <w:t>5 000 000,00 EUR [alokacja UE ogółem (z RW) na Działanie po uwzględnieniu zmian</w:t>
            </w:r>
            <w:r w:rsidR="00E66B89">
              <w:rPr>
                <w:rFonts w:cs="Calibri"/>
                <w:sz w:val="18"/>
                <w:szCs w:val="20"/>
              </w:rPr>
              <w:t xml:space="preserve"> w </w:t>
            </w:r>
            <w:r w:rsidR="001D3274">
              <w:rPr>
                <w:rFonts w:cs="Calibri"/>
                <w:sz w:val="18"/>
                <w:szCs w:val="20"/>
              </w:rPr>
              <w:t xml:space="preserve">Programie], </w:t>
            </w:r>
            <w:r w:rsidRPr="00404DA5">
              <w:rPr>
                <w:rFonts w:cs="Calibri"/>
                <w:b/>
                <w:sz w:val="18"/>
                <w:szCs w:val="20"/>
              </w:rPr>
              <w:t>tj. 21 514 000,00 zł</w:t>
            </w:r>
          </w:p>
        </w:tc>
        <w:tc>
          <w:tcPr>
            <w:tcW w:w="1275" w:type="dxa"/>
            <w:shd w:val="clear" w:color="auto" w:fill="auto"/>
          </w:tcPr>
          <w:p w14:paraId="66146540" w14:textId="77777777" w:rsidR="006627AC" w:rsidRPr="00404DA5" w:rsidRDefault="006627AC" w:rsidP="009974B7">
            <w:pPr>
              <w:rPr>
                <w:rFonts w:cs="Calibri"/>
                <w:sz w:val="18"/>
                <w:szCs w:val="20"/>
              </w:rPr>
            </w:pPr>
            <w:r w:rsidRPr="00404DA5">
              <w:rPr>
                <w:rFonts w:cs="Calibri"/>
                <w:sz w:val="18"/>
                <w:szCs w:val="18"/>
              </w:rPr>
              <w:t>16% alokacji UE ogółem (z RW) na Działanie</w:t>
            </w:r>
          </w:p>
        </w:tc>
        <w:tc>
          <w:tcPr>
            <w:tcW w:w="1382" w:type="dxa"/>
            <w:shd w:val="clear" w:color="auto" w:fill="auto"/>
          </w:tcPr>
          <w:p w14:paraId="377D314D" w14:textId="77777777" w:rsidR="006627AC" w:rsidRPr="00404DA5" w:rsidRDefault="006627AC" w:rsidP="009974B7">
            <w:pPr>
              <w:rPr>
                <w:rFonts w:cs="Calibri"/>
                <w:sz w:val="18"/>
                <w:szCs w:val="20"/>
              </w:rPr>
            </w:pPr>
            <w:r w:rsidRPr="00404DA5">
              <w:rPr>
                <w:rFonts w:cs="Calibri"/>
                <w:sz w:val="18"/>
                <w:szCs w:val="20"/>
              </w:rPr>
              <w:t>3</w:t>
            </w:r>
          </w:p>
        </w:tc>
        <w:tc>
          <w:tcPr>
            <w:tcW w:w="1028" w:type="dxa"/>
            <w:shd w:val="clear" w:color="auto" w:fill="auto"/>
          </w:tcPr>
          <w:p w14:paraId="58D923C6" w14:textId="77777777" w:rsidR="006627AC" w:rsidRPr="00404DA5" w:rsidRDefault="006627AC" w:rsidP="009974B7">
            <w:pPr>
              <w:rPr>
                <w:rFonts w:cs="Calibri"/>
                <w:sz w:val="18"/>
                <w:szCs w:val="18"/>
              </w:rPr>
            </w:pPr>
            <w:r w:rsidRPr="00404DA5">
              <w:rPr>
                <w:rFonts w:cs="Calibri"/>
                <w:sz w:val="18"/>
                <w:szCs w:val="18"/>
              </w:rPr>
              <w:t>4 046 460,14 zł</w:t>
            </w:r>
          </w:p>
        </w:tc>
        <w:tc>
          <w:tcPr>
            <w:tcW w:w="1554" w:type="dxa"/>
            <w:shd w:val="clear" w:color="auto" w:fill="auto"/>
          </w:tcPr>
          <w:p w14:paraId="1D3E43BD" w14:textId="77777777" w:rsidR="006627AC" w:rsidRPr="00404DA5" w:rsidRDefault="006627AC" w:rsidP="009974B7">
            <w:pPr>
              <w:rPr>
                <w:rFonts w:cs="Calibri"/>
                <w:sz w:val="18"/>
                <w:szCs w:val="18"/>
              </w:rPr>
            </w:pPr>
            <w:r w:rsidRPr="00404DA5">
              <w:rPr>
                <w:rFonts w:cs="Calibri"/>
                <w:sz w:val="18"/>
                <w:szCs w:val="18"/>
              </w:rPr>
              <w:t xml:space="preserve">3 439 491,10 zł </w:t>
            </w:r>
          </w:p>
        </w:tc>
      </w:tr>
    </w:tbl>
    <w:p w14:paraId="7E1F2C61" w14:textId="77777777" w:rsidR="006627AC" w:rsidRPr="00D21299" w:rsidRDefault="006627AC" w:rsidP="001245CE">
      <w:pPr>
        <w:spacing w:before="0"/>
        <w:rPr>
          <w:rFonts w:cs="Calibri"/>
          <w:i/>
          <w:sz w:val="18"/>
          <w:szCs w:val="18"/>
        </w:rPr>
      </w:pPr>
      <w:r w:rsidRPr="00D21299">
        <w:rPr>
          <w:rFonts w:cs="Calibri"/>
          <w:i/>
          <w:sz w:val="18"/>
          <w:szCs w:val="18"/>
        </w:rPr>
        <w:t>Źródło:</w:t>
      </w:r>
      <w:r w:rsidR="008B706B" w:rsidRPr="00D21299">
        <w:rPr>
          <w:rFonts w:cs="Calibri"/>
          <w:i/>
          <w:sz w:val="18"/>
          <w:szCs w:val="18"/>
        </w:rPr>
        <w:t xml:space="preserve"> </w:t>
      </w:r>
      <w:r w:rsidRPr="00D21299">
        <w:rPr>
          <w:rFonts w:cs="Calibri"/>
          <w:i/>
          <w:sz w:val="18"/>
          <w:szCs w:val="18"/>
        </w:rPr>
        <w:t>RPO WZ 2014-2020</w:t>
      </w:r>
      <w:r w:rsidR="00E66B89" w:rsidRPr="00D21299">
        <w:rPr>
          <w:rFonts w:cs="Calibri"/>
          <w:i/>
          <w:sz w:val="18"/>
          <w:szCs w:val="18"/>
        </w:rPr>
        <w:t xml:space="preserve"> z </w:t>
      </w:r>
      <w:r w:rsidRPr="00D21299">
        <w:rPr>
          <w:rFonts w:cs="Calibri"/>
          <w:i/>
          <w:sz w:val="18"/>
          <w:szCs w:val="18"/>
        </w:rPr>
        <w:t>26.07.2018 r., obliczenia własne na podstawie danych SL2014 na dzień 07.01.2019 r.</w:t>
      </w:r>
    </w:p>
    <w:p w14:paraId="0CF67675" w14:textId="77777777" w:rsidR="00574E31" w:rsidRPr="00C22C26" w:rsidRDefault="00574E31" w:rsidP="006627AC">
      <w:pPr>
        <w:rPr>
          <w:szCs w:val="22"/>
        </w:rPr>
      </w:pPr>
      <w:r>
        <w:t>Na poniższej mapie przedstawiono dane dotyczące wartości projektów ogółem realizowanych</w:t>
      </w:r>
      <w:r w:rsidR="00E66B89">
        <w:t xml:space="preserve"> w </w:t>
      </w:r>
      <w:r>
        <w:t>ramach Działania 6.7,</w:t>
      </w:r>
      <w:r w:rsidR="00E66B89">
        <w:t xml:space="preserve"> w </w:t>
      </w:r>
      <w:r>
        <w:t>podziale na gminy województwa zachodniopomorskiego.</w:t>
      </w:r>
      <w:r w:rsidR="00E66B89">
        <w:t xml:space="preserve"> W </w:t>
      </w:r>
      <w:r>
        <w:t>ramach wskazanego Działania projekty</w:t>
      </w:r>
      <w:r w:rsidR="00E66B89">
        <w:t xml:space="preserve"> o </w:t>
      </w:r>
      <w:r>
        <w:t>największej wartości ogółem są wdrażane</w:t>
      </w:r>
      <w:r w:rsidR="00E66B89">
        <w:t xml:space="preserve"> w </w:t>
      </w:r>
      <w:r>
        <w:t>gminie Wałcz (2,6 zł mln)</w:t>
      </w:r>
      <w:r w:rsidR="00E66B89">
        <w:t xml:space="preserve"> i </w:t>
      </w:r>
      <w:r>
        <w:t xml:space="preserve">Złocieniec </w:t>
      </w:r>
      <w:r>
        <w:lastRenderedPageBreak/>
        <w:t>(1,4 mln zł). Wymienione gminy</w:t>
      </w:r>
      <w:r w:rsidR="00E66B89">
        <w:t xml:space="preserve"> w </w:t>
      </w:r>
      <w:r>
        <w:t>największym stopniu skorzystały ze wsparcia dedykowanego / odnoszącego się do KS.</w:t>
      </w:r>
      <w:r w:rsidR="00E66B89">
        <w:t xml:space="preserve"> W </w:t>
      </w:r>
      <w:r>
        <w:t>mniejszym stopniu skorzystała</w:t>
      </w:r>
      <w:r w:rsidR="00E66B89">
        <w:t xml:space="preserve"> z </w:t>
      </w:r>
      <w:r>
        <w:t>niego gmina Pełczyce (650 tys. zł) oraz gmina Węgorzyno (747,6 tys. zł). Wartość projektów dofinansowanych</w:t>
      </w:r>
      <w:r w:rsidR="00E66B89">
        <w:t xml:space="preserve"> z </w:t>
      </w:r>
      <w:r>
        <w:t>Działania dedykowanego KS, wdrażanych</w:t>
      </w:r>
      <w:r w:rsidR="00E66B89">
        <w:t xml:space="preserve"> w </w:t>
      </w:r>
      <w:r>
        <w:t>gminach objętych KS (tj. tych, na terenie których realizowane są projekty</w:t>
      </w:r>
      <w:r w:rsidR="00E66B89">
        <w:t xml:space="preserve"> z </w:t>
      </w:r>
      <w:r>
        <w:t>Działania 6.7), stanowi mniej niż połowę (41,3%) całkowitej wartości projektów realizowanych na terenie tych gmin. Co istotne, dla większości gmin objętych KS jedynym źródłem finansowania przedsięwzięć określonych dla PI 8iv jest jednak Działanie 6.6</w:t>
      </w:r>
      <w:r w:rsidR="00E66B89">
        <w:t xml:space="preserve"> a </w:t>
      </w:r>
      <w:r>
        <w:t>nie 6.7. Projekty</w:t>
      </w:r>
      <w:r w:rsidR="00E66B89">
        <w:t xml:space="preserve"> o </w:t>
      </w:r>
      <w:r>
        <w:t>największej wartości ogółem wdrażane</w:t>
      </w:r>
      <w:r w:rsidR="00E66B89">
        <w:t xml:space="preserve"> w </w:t>
      </w:r>
      <w:r>
        <w:t>ramach PI 8iv dotyczą dużych ośrodków miejskich: Szczecin (18,3 mln zł) oraz Koszalin (11,4 mln zł); jak również Stargard (2,3 mln zł). Są to miasta/gminy należące do obszarów objętych mechanizmem ZIT</w:t>
      </w:r>
      <w:r w:rsidR="00E66B89">
        <w:t xml:space="preserve"> a </w:t>
      </w:r>
      <w:r>
        <w:t>nie KS.</w:t>
      </w:r>
    </w:p>
    <w:p w14:paraId="662B2BA9" w14:textId="77777777" w:rsidR="00542759" w:rsidRDefault="00542759">
      <w:pPr>
        <w:pStyle w:val="Legenda"/>
      </w:pPr>
      <w:bookmarkStart w:id="374" w:name="_Toc6521455"/>
      <w:r>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6</w:t>
      </w:r>
      <w:r w:rsidR="006E34DC">
        <w:rPr>
          <w:noProof/>
        </w:rPr>
        <w:fldChar w:fldCharType="end"/>
      </w:r>
      <w:r>
        <w:t xml:space="preserve"> </w:t>
      </w:r>
      <w:r w:rsidRPr="00D2662A">
        <w:t>Wartość projektów ogółem</w:t>
      </w:r>
      <w:r w:rsidR="00E66B89">
        <w:t xml:space="preserve"> z </w:t>
      </w:r>
      <w:r w:rsidRPr="00D2662A">
        <w:t>Działań realizujących instrumenty terytorialne oraz analogicznego Działania wdrażanego</w:t>
      </w:r>
      <w:r w:rsidR="00E66B89">
        <w:t xml:space="preserve"> w </w:t>
      </w:r>
      <w:r w:rsidRPr="00D2662A">
        <w:t>całym regionie,</w:t>
      </w:r>
      <w:r w:rsidR="00E66B89">
        <w:t xml:space="preserve"> w </w:t>
      </w:r>
      <w:r w:rsidRPr="00D2662A">
        <w:t>podziale na gminy</w:t>
      </w:r>
      <w:r w:rsidR="00E66B89">
        <w:t xml:space="preserve"> z </w:t>
      </w:r>
      <w:r w:rsidRPr="00D2662A">
        <w:t>wyszczególnieniem gmin należących do ZIT/KS - PI 8iv</w:t>
      </w:r>
      <w:bookmarkEnd w:id="374"/>
    </w:p>
    <w:p w14:paraId="2136E556" w14:textId="3F699BC1" w:rsidR="00542759" w:rsidRDefault="00C35619" w:rsidP="006627AC">
      <w:pPr>
        <w:rPr>
          <w:rFonts w:cs="Calibri"/>
          <w:i/>
          <w:sz w:val="16"/>
          <w:szCs w:val="16"/>
        </w:rPr>
      </w:pPr>
      <w:r w:rsidRPr="00D508B6">
        <w:rPr>
          <w:noProof/>
        </w:rPr>
        <w:drawing>
          <wp:inline distT="0" distB="0" distL="0" distR="0" wp14:anchorId="009C400C" wp14:editId="4A4E784A">
            <wp:extent cx="5762625" cy="4076700"/>
            <wp:effectExtent l="0" t="0" r="9525" b="0"/>
            <wp:docPr id="6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5208E025" w14:textId="77777777" w:rsidR="00542759" w:rsidRPr="00D21299" w:rsidRDefault="00542759" w:rsidP="00542759">
      <w:pPr>
        <w:rPr>
          <w:i/>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13 992 000,00 zł.</w:t>
      </w:r>
      <w:r w:rsidRPr="00D21299">
        <w:rPr>
          <w:rStyle w:val="Odwoanieprzypisudolnego"/>
          <w:sz w:val="18"/>
          <w:szCs w:val="18"/>
        </w:rPr>
        <w:footnoteReference w:id="155"/>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0C6D4491" w14:textId="77777777" w:rsidR="001D3274" w:rsidRDefault="001D3274">
      <w:pPr>
        <w:spacing w:before="0" w:after="0" w:line="240" w:lineRule="auto"/>
        <w:jc w:val="left"/>
        <w:rPr>
          <w:rFonts w:cs="Calibri"/>
          <w:szCs w:val="20"/>
        </w:rPr>
      </w:pPr>
      <w:r>
        <w:rPr>
          <w:rFonts w:cs="Calibri"/>
          <w:szCs w:val="20"/>
        </w:rPr>
        <w:br w:type="page"/>
      </w:r>
    </w:p>
    <w:p w14:paraId="3CCFB108" w14:textId="265B0220" w:rsidR="001D3274" w:rsidRPr="00404DA5" w:rsidRDefault="006627AC" w:rsidP="006627AC">
      <w:pPr>
        <w:rPr>
          <w:rFonts w:cs="Calibri"/>
          <w:szCs w:val="20"/>
        </w:rPr>
      </w:pPr>
      <w:r w:rsidRPr="00404DA5">
        <w:rPr>
          <w:rFonts w:cs="Calibri"/>
          <w:szCs w:val="20"/>
        </w:rPr>
        <w:lastRenderedPageBreak/>
        <w:t>Za sprawą zdecydowanie mniejszej alokacji na Działanie 6.7</w:t>
      </w:r>
      <w:r>
        <w:rPr>
          <w:rFonts w:cs="Calibri"/>
          <w:szCs w:val="20"/>
        </w:rPr>
        <w:t>,</w:t>
      </w:r>
      <w:r w:rsidR="00E66B89">
        <w:rPr>
          <w:rFonts w:cs="Calibri"/>
          <w:szCs w:val="20"/>
        </w:rPr>
        <w:t xml:space="preserve"> a </w:t>
      </w:r>
      <w:r w:rsidRPr="00404DA5">
        <w:rPr>
          <w:rFonts w:cs="Calibri"/>
          <w:szCs w:val="20"/>
        </w:rPr>
        <w:t>zatem również mniejszej liczby projektów, na wyraźnie niższym poziomie kształtuje się postęp rzeczowy</w:t>
      </w:r>
      <w:r w:rsidR="00E66B89">
        <w:rPr>
          <w:rFonts w:cs="Calibri"/>
          <w:szCs w:val="20"/>
        </w:rPr>
        <w:t xml:space="preserve"> w </w:t>
      </w:r>
      <w:r w:rsidRPr="00404DA5">
        <w:rPr>
          <w:rFonts w:cs="Calibri"/>
          <w:szCs w:val="20"/>
        </w:rPr>
        <w:t>Działaniu 6.7</w:t>
      </w:r>
      <w:r w:rsidR="00E66B89">
        <w:rPr>
          <w:rFonts w:cs="Calibri"/>
          <w:szCs w:val="20"/>
        </w:rPr>
        <w:t xml:space="preserve"> w </w:t>
      </w:r>
      <w:r w:rsidRPr="00404DA5">
        <w:rPr>
          <w:rFonts w:cs="Calibri"/>
          <w:szCs w:val="20"/>
        </w:rPr>
        <w:t>stosunku Działania 6.6. Natomiast podobnie jak</w:t>
      </w:r>
      <w:r w:rsidR="00E66B89">
        <w:rPr>
          <w:rFonts w:cs="Calibri"/>
          <w:szCs w:val="20"/>
        </w:rPr>
        <w:t xml:space="preserve"> w </w:t>
      </w:r>
      <w:r w:rsidRPr="00404DA5">
        <w:rPr>
          <w:rFonts w:cs="Calibri"/>
          <w:szCs w:val="20"/>
        </w:rPr>
        <w:t>Działaniu 6.6</w:t>
      </w:r>
      <w:r w:rsidR="00E66B89">
        <w:rPr>
          <w:rFonts w:cs="Calibri"/>
          <w:szCs w:val="20"/>
        </w:rPr>
        <w:t xml:space="preserve"> w </w:t>
      </w:r>
      <w:r w:rsidRPr="00404DA5">
        <w:rPr>
          <w:rFonts w:cs="Calibri"/>
          <w:szCs w:val="20"/>
        </w:rPr>
        <w:t>Działaniu 6.7 postęp</w:t>
      </w:r>
      <w:r w:rsidR="00E66B89">
        <w:rPr>
          <w:rFonts w:cs="Calibri"/>
          <w:szCs w:val="20"/>
        </w:rPr>
        <w:t xml:space="preserve"> w </w:t>
      </w:r>
      <w:r w:rsidRPr="00404DA5">
        <w:rPr>
          <w:rFonts w:cs="Calibri"/>
          <w:szCs w:val="20"/>
        </w:rPr>
        <w:t>realizacji wskaźników obserwujemy</w:t>
      </w:r>
      <w:r w:rsidR="00E66B89">
        <w:rPr>
          <w:rFonts w:cs="Calibri"/>
          <w:szCs w:val="20"/>
        </w:rPr>
        <w:t xml:space="preserve"> w </w:t>
      </w:r>
      <w:r w:rsidRPr="00404DA5">
        <w:rPr>
          <w:rFonts w:cs="Calibri"/>
          <w:szCs w:val="20"/>
        </w:rPr>
        <w:t>szczególności</w:t>
      </w:r>
      <w:r w:rsidR="00E66B89">
        <w:rPr>
          <w:rFonts w:cs="Calibri"/>
          <w:szCs w:val="20"/>
        </w:rPr>
        <w:t xml:space="preserve"> w </w:t>
      </w:r>
      <w:r w:rsidRPr="00404DA5">
        <w:rPr>
          <w:rFonts w:cs="Calibri"/>
          <w:szCs w:val="20"/>
        </w:rPr>
        <w:t>deklaracjach beneficjentów (tj. umowach</w:t>
      </w:r>
      <w:r w:rsidR="00E66B89">
        <w:rPr>
          <w:rFonts w:cs="Calibri"/>
          <w:szCs w:val="20"/>
        </w:rPr>
        <w:t xml:space="preserve"> o </w:t>
      </w:r>
      <w:r w:rsidRPr="00404DA5">
        <w:rPr>
          <w:rFonts w:cs="Calibri"/>
          <w:szCs w:val="20"/>
        </w:rPr>
        <w:t>dofinansowanie).</w:t>
      </w:r>
    </w:p>
    <w:p w14:paraId="421F0CB3" w14:textId="77777777" w:rsidR="006627AC" w:rsidRPr="00404DA5" w:rsidRDefault="006627AC" w:rsidP="00024F00">
      <w:pPr>
        <w:pStyle w:val="Legenda"/>
        <w:spacing w:after="0"/>
      </w:pPr>
      <w:bookmarkStart w:id="375" w:name="_Toc8824278"/>
      <w:r w:rsidRPr="00404DA5">
        <w:t xml:space="preserve">Tabela </w:t>
      </w:r>
      <w:r w:rsidR="00B72A80">
        <w:fldChar w:fldCharType="begin"/>
      </w:r>
      <w:r w:rsidR="00B72A80">
        <w:instrText xml:space="preserve"> SEQ Tabela \* ARABIC </w:instrText>
      </w:r>
      <w:r w:rsidR="00B72A80">
        <w:fldChar w:fldCharType="separate"/>
      </w:r>
      <w:r w:rsidR="00763345">
        <w:rPr>
          <w:noProof/>
        </w:rPr>
        <w:t>167</w:t>
      </w:r>
      <w:r w:rsidR="00B72A80">
        <w:fldChar w:fldCharType="end"/>
      </w:r>
      <w:r w:rsidRPr="00404DA5">
        <w:t xml:space="preserve"> </w:t>
      </w:r>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 xml:space="preserve">osiąganiu celów </w:t>
      </w:r>
      <w:r w:rsidRPr="00404DA5">
        <w:t>PI 8iv</w:t>
      </w:r>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2126"/>
        <w:gridCol w:w="709"/>
        <w:gridCol w:w="941"/>
        <w:gridCol w:w="1032"/>
        <w:gridCol w:w="1032"/>
        <w:gridCol w:w="1032"/>
        <w:gridCol w:w="1032"/>
      </w:tblGrid>
      <w:tr w:rsidR="006627AC" w:rsidRPr="00EE5470" w14:paraId="7BF2DA59" w14:textId="77777777" w:rsidTr="00C22C26">
        <w:trPr>
          <w:tblHeader/>
        </w:trPr>
        <w:tc>
          <w:tcPr>
            <w:tcW w:w="675" w:type="dxa"/>
            <w:shd w:val="clear" w:color="auto" w:fill="DBE5F1"/>
          </w:tcPr>
          <w:p w14:paraId="3C37044C" w14:textId="77777777" w:rsidR="006627AC" w:rsidRPr="00404DA5" w:rsidRDefault="006627AC" w:rsidP="009974B7">
            <w:pPr>
              <w:jc w:val="center"/>
              <w:rPr>
                <w:rFonts w:cs="Calibri"/>
                <w:sz w:val="18"/>
                <w:szCs w:val="18"/>
              </w:rPr>
            </w:pPr>
            <w:r w:rsidRPr="00404DA5">
              <w:rPr>
                <w:rFonts w:cs="Calibri"/>
                <w:sz w:val="18"/>
                <w:szCs w:val="18"/>
              </w:rPr>
              <w:t>Typ wskaźnika</w:t>
            </w:r>
          </w:p>
        </w:tc>
        <w:tc>
          <w:tcPr>
            <w:tcW w:w="709" w:type="dxa"/>
            <w:shd w:val="clear" w:color="auto" w:fill="DBE5F1"/>
          </w:tcPr>
          <w:p w14:paraId="25ACA636" w14:textId="77777777" w:rsidR="006627AC" w:rsidRPr="00404DA5" w:rsidRDefault="006627AC" w:rsidP="009974B7">
            <w:pPr>
              <w:jc w:val="center"/>
              <w:rPr>
                <w:rFonts w:cs="Calibri"/>
                <w:sz w:val="18"/>
                <w:szCs w:val="18"/>
              </w:rPr>
            </w:pPr>
            <w:r w:rsidRPr="00404DA5">
              <w:rPr>
                <w:rFonts w:cs="Calibri"/>
                <w:sz w:val="18"/>
                <w:szCs w:val="18"/>
              </w:rPr>
              <w:t>Działania</w:t>
            </w:r>
          </w:p>
        </w:tc>
        <w:tc>
          <w:tcPr>
            <w:tcW w:w="2126" w:type="dxa"/>
            <w:shd w:val="clear" w:color="auto" w:fill="DBE5F1"/>
          </w:tcPr>
          <w:p w14:paraId="6B712DD9" w14:textId="77777777" w:rsidR="006627AC" w:rsidRPr="00404DA5" w:rsidRDefault="006627AC" w:rsidP="009974B7">
            <w:pPr>
              <w:rPr>
                <w:rFonts w:cs="Calibri"/>
                <w:sz w:val="18"/>
                <w:szCs w:val="18"/>
              </w:rPr>
            </w:pPr>
            <w:r w:rsidRPr="00404DA5">
              <w:rPr>
                <w:rFonts w:cs="Calibri"/>
                <w:sz w:val="18"/>
                <w:szCs w:val="18"/>
              </w:rPr>
              <w:t>Wskaźnik</w:t>
            </w:r>
          </w:p>
        </w:tc>
        <w:tc>
          <w:tcPr>
            <w:tcW w:w="709" w:type="dxa"/>
            <w:shd w:val="clear" w:color="auto" w:fill="DBE5F1"/>
          </w:tcPr>
          <w:p w14:paraId="6FF8BB91" w14:textId="77777777" w:rsidR="006627AC" w:rsidRPr="00404DA5" w:rsidRDefault="006627AC" w:rsidP="009974B7">
            <w:pPr>
              <w:jc w:val="center"/>
              <w:rPr>
                <w:rFonts w:cs="Calibri"/>
                <w:sz w:val="18"/>
                <w:szCs w:val="18"/>
              </w:rPr>
            </w:pPr>
            <w:r w:rsidRPr="00404DA5">
              <w:rPr>
                <w:rFonts w:cs="Calibri"/>
                <w:sz w:val="18"/>
                <w:szCs w:val="18"/>
              </w:rPr>
              <w:t>Jedn. pomiaru</w:t>
            </w:r>
          </w:p>
        </w:tc>
        <w:tc>
          <w:tcPr>
            <w:tcW w:w="941" w:type="dxa"/>
            <w:shd w:val="clear" w:color="auto" w:fill="DBE5F1"/>
          </w:tcPr>
          <w:p w14:paraId="34408C82" w14:textId="77777777" w:rsidR="006627AC" w:rsidRPr="00404DA5" w:rsidRDefault="006627AC" w:rsidP="009974B7">
            <w:pPr>
              <w:jc w:val="center"/>
              <w:rPr>
                <w:rFonts w:cs="Calibri"/>
                <w:sz w:val="18"/>
                <w:szCs w:val="18"/>
              </w:rPr>
            </w:pPr>
            <w:r w:rsidRPr="00404DA5">
              <w:rPr>
                <w:rFonts w:cs="Calibri"/>
                <w:sz w:val="18"/>
                <w:szCs w:val="18"/>
              </w:rPr>
              <w:t>Wartość docelowa (2023)</w:t>
            </w:r>
          </w:p>
        </w:tc>
        <w:tc>
          <w:tcPr>
            <w:tcW w:w="1032" w:type="dxa"/>
            <w:shd w:val="clear" w:color="auto" w:fill="DBE5F1"/>
          </w:tcPr>
          <w:p w14:paraId="2B5B212F" w14:textId="77777777" w:rsidR="006627AC" w:rsidRPr="00404DA5" w:rsidRDefault="006627AC" w:rsidP="009974B7">
            <w:pPr>
              <w:jc w:val="center"/>
              <w:rPr>
                <w:rFonts w:cs="Calibri"/>
                <w:sz w:val="18"/>
                <w:szCs w:val="18"/>
              </w:rPr>
            </w:pPr>
            <w:r w:rsidRPr="00404DA5">
              <w:rPr>
                <w:rFonts w:cs="Calibri"/>
                <w:sz w:val="18"/>
                <w:szCs w:val="18"/>
              </w:rPr>
              <w:t>Realizacja wskaźnika (wg UoD)</w:t>
            </w:r>
          </w:p>
        </w:tc>
        <w:tc>
          <w:tcPr>
            <w:tcW w:w="1032" w:type="dxa"/>
            <w:shd w:val="clear" w:color="auto" w:fill="DBE5F1"/>
          </w:tcPr>
          <w:p w14:paraId="6214C643" w14:textId="77777777" w:rsidR="006627AC" w:rsidRPr="00404DA5" w:rsidRDefault="006627AC" w:rsidP="009974B7">
            <w:pPr>
              <w:jc w:val="center"/>
              <w:rPr>
                <w:rFonts w:cs="Calibri"/>
                <w:sz w:val="18"/>
                <w:szCs w:val="18"/>
              </w:rPr>
            </w:pPr>
            <w:r w:rsidRPr="00404DA5">
              <w:rPr>
                <w:rFonts w:cs="Calibri"/>
                <w:sz w:val="18"/>
                <w:szCs w:val="18"/>
              </w:rPr>
              <w:t>% realizacji wartości docelowej (wg UoD)</w:t>
            </w:r>
          </w:p>
        </w:tc>
        <w:tc>
          <w:tcPr>
            <w:tcW w:w="1032" w:type="dxa"/>
            <w:shd w:val="clear" w:color="auto" w:fill="DBE5F1"/>
          </w:tcPr>
          <w:p w14:paraId="5206EF66" w14:textId="77777777" w:rsidR="006627AC" w:rsidRPr="00404DA5" w:rsidRDefault="006627AC" w:rsidP="009974B7">
            <w:pPr>
              <w:jc w:val="center"/>
              <w:rPr>
                <w:rFonts w:cs="Calibri"/>
                <w:sz w:val="18"/>
                <w:szCs w:val="18"/>
              </w:rPr>
            </w:pPr>
            <w:r w:rsidRPr="00404DA5">
              <w:rPr>
                <w:rFonts w:cs="Calibri"/>
                <w:sz w:val="18"/>
                <w:szCs w:val="18"/>
              </w:rPr>
              <w:t>Realizacja wskaźnika (wg WoP)</w:t>
            </w:r>
          </w:p>
        </w:tc>
        <w:tc>
          <w:tcPr>
            <w:tcW w:w="1032" w:type="dxa"/>
            <w:shd w:val="clear" w:color="auto" w:fill="DBE5F1"/>
          </w:tcPr>
          <w:p w14:paraId="6F1B0DF1" w14:textId="77777777" w:rsidR="006627AC" w:rsidRPr="00404DA5" w:rsidRDefault="006627AC" w:rsidP="009974B7">
            <w:pPr>
              <w:jc w:val="center"/>
              <w:rPr>
                <w:rFonts w:cs="Calibri"/>
                <w:sz w:val="18"/>
                <w:szCs w:val="18"/>
              </w:rPr>
            </w:pPr>
            <w:r w:rsidRPr="00404DA5">
              <w:rPr>
                <w:rFonts w:cs="Calibri"/>
                <w:sz w:val="18"/>
                <w:szCs w:val="18"/>
              </w:rPr>
              <w:t>% realizacji wartości docelowej (wg WoP)</w:t>
            </w:r>
          </w:p>
        </w:tc>
      </w:tr>
      <w:tr w:rsidR="006627AC" w:rsidRPr="00EE5470" w14:paraId="2EE484F5" w14:textId="77777777" w:rsidTr="009974B7">
        <w:tc>
          <w:tcPr>
            <w:tcW w:w="675" w:type="dxa"/>
            <w:shd w:val="clear" w:color="auto" w:fill="auto"/>
            <w:vAlign w:val="center"/>
          </w:tcPr>
          <w:p w14:paraId="2EAF75A7" w14:textId="77777777" w:rsidR="006627AC" w:rsidRPr="00404DA5" w:rsidRDefault="006627AC" w:rsidP="009974B7">
            <w:pPr>
              <w:jc w:val="center"/>
              <w:rPr>
                <w:rFonts w:cs="Calibri"/>
                <w:sz w:val="18"/>
                <w:szCs w:val="18"/>
              </w:rPr>
            </w:pPr>
            <w:r w:rsidRPr="00404DA5">
              <w:rPr>
                <w:rFonts w:cs="Calibri"/>
                <w:sz w:val="18"/>
                <w:szCs w:val="18"/>
              </w:rPr>
              <w:t>WP</w:t>
            </w:r>
          </w:p>
        </w:tc>
        <w:tc>
          <w:tcPr>
            <w:tcW w:w="709" w:type="dxa"/>
            <w:shd w:val="clear" w:color="auto" w:fill="auto"/>
            <w:vAlign w:val="center"/>
          </w:tcPr>
          <w:p w14:paraId="1C41621C" w14:textId="77777777" w:rsidR="006627AC" w:rsidRPr="00404DA5" w:rsidRDefault="006627AC" w:rsidP="009974B7">
            <w:pPr>
              <w:jc w:val="center"/>
              <w:rPr>
                <w:rFonts w:cs="Calibri"/>
                <w:sz w:val="18"/>
                <w:szCs w:val="18"/>
              </w:rPr>
            </w:pPr>
            <w:r w:rsidRPr="00404DA5">
              <w:rPr>
                <w:rFonts w:cs="Calibri"/>
                <w:sz w:val="18"/>
                <w:szCs w:val="18"/>
              </w:rPr>
              <w:t>6.6</w:t>
            </w:r>
          </w:p>
          <w:p w14:paraId="135D88DE"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06586513" w14:textId="77777777" w:rsidR="006627AC" w:rsidRPr="00404DA5" w:rsidRDefault="006627AC" w:rsidP="009974B7">
            <w:pPr>
              <w:rPr>
                <w:rFonts w:cs="Calibri"/>
                <w:sz w:val="18"/>
                <w:szCs w:val="18"/>
              </w:rPr>
            </w:pPr>
            <w:r w:rsidRPr="00404DA5">
              <w:rPr>
                <w:rFonts w:cs="Calibri"/>
                <w:sz w:val="18"/>
                <w:szCs w:val="18"/>
              </w:rPr>
              <w:t>Liczba osób opiekujących się dziećmi</w:t>
            </w:r>
            <w:r w:rsidR="00E66B89">
              <w:rPr>
                <w:rFonts w:cs="Calibri"/>
                <w:sz w:val="18"/>
                <w:szCs w:val="18"/>
              </w:rPr>
              <w:t xml:space="preserve"> w </w:t>
            </w:r>
            <w:r w:rsidRPr="00404DA5">
              <w:rPr>
                <w:rFonts w:cs="Calibri"/>
                <w:sz w:val="18"/>
                <w:szCs w:val="18"/>
              </w:rPr>
              <w:t>wieku do lat 3 objętych wsparciem</w:t>
            </w:r>
            <w:r w:rsidR="00E66B89">
              <w:rPr>
                <w:rFonts w:cs="Calibri"/>
                <w:sz w:val="18"/>
                <w:szCs w:val="18"/>
              </w:rPr>
              <w:t xml:space="preserve"> w </w:t>
            </w:r>
            <w:r w:rsidRPr="00404DA5">
              <w:rPr>
                <w:rFonts w:cs="Calibri"/>
                <w:sz w:val="18"/>
                <w:szCs w:val="18"/>
              </w:rPr>
              <w:t>programie</w:t>
            </w:r>
          </w:p>
        </w:tc>
        <w:tc>
          <w:tcPr>
            <w:tcW w:w="709" w:type="dxa"/>
            <w:shd w:val="clear" w:color="auto" w:fill="auto"/>
            <w:vAlign w:val="center"/>
          </w:tcPr>
          <w:p w14:paraId="082A34C4" w14:textId="77777777" w:rsidR="006627AC" w:rsidRPr="00404DA5" w:rsidRDefault="006627AC" w:rsidP="009974B7">
            <w:pPr>
              <w:jc w:val="center"/>
              <w:rPr>
                <w:rFonts w:cs="Calibri"/>
                <w:sz w:val="18"/>
                <w:szCs w:val="18"/>
              </w:rPr>
            </w:pPr>
            <w:r w:rsidRPr="00404DA5">
              <w:rPr>
                <w:rFonts w:cs="Calibri"/>
                <w:sz w:val="18"/>
                <w:szCs w:val="18"/>
              </w:rPr>
              <w:t>osoby</w:t>
            </w:r>
          </w:p>
        </w:tc>
        <w:tc>
          <w:tcPr>
            <w:tcW w:w="941" w:type="dxa"/>
            <w:shd w:val="clear" w:color="auto" w:fill="auto"/>
            <w:vAlign w:val="center"/>
          </w:tcPr>
          <w:p w14:paraId="5636F2C8" w14:textId="77777777" w:rsidR="006627AC" w:rsidRPr="00404DA5" w:rsidRDefault="006627AC" w:rsidP="009974B7">
            <w:pPr>
              <w:jc w:val="center"/>
              <w:rPr>
                <w:rFonts w:cs="Calibri"/>
                <w:sz w:val="18"/>
                <w:szCs w:val="18"/>
              </w:rPr>
            </w:pPr>
            <w:r w:rsidRPr="00404DA5">
              <w:rPr>
                <w:rFonts w:cs="Calibri"/>
                <w:sz w:val="18"/>
                <w:szCs w:val="18"/>
              </w:rPr>
              <w:t>2 900</w:t>
            </w:r>
          </w:p>
        </w:tc>
        <w:tc>
          <w:tcPr>
            <w:tcW w:w="1032" w:type="dxa"/>
            <w:shd w:val="clear" w:color="auto" w:fill="auto"/>
            <w:vAlign w:val="center"/>
          </w:tcPr>
          <w:p w14:paraId="150CC99C" w14:textId="77777777" w:rsidR="006627AC" w:rsidRPr="00404DA5" w:rsidRDefault="006627AC" w:rsidP="009974B7">
            <w:pPr>
              <w:jc w:val="center"/>
              <w:rPr>
                <w:rFonts w:cs="Calibri"/>
                <w:sz w:val="18"/>
                <w:szCs w:val="18"/>
              </w:rPr>
            </w:pPr>
            <w:r w:rsidRPr="00404DA5">
              <w:rPr>
                <w:rFonts w:cs="Calibri"/>
                <w:sz w:val="18"/>
                <w:szCs w:val="18"/>
              </w:rPr>
              <w:t>2 244</w:t>
            </w:r>
          </w:p>
        </w:tc>
        <w:tc>
          <w:tcPr>
            <w:tcW w:w="1032" w:type="dxa"/>
            <w:shd w:val="clear" w:color="auto" w:fill="auto"/>
            <w:vAlign w:val="center"/>
          </w:tcPr>
          <w:p w14:paraId="269F2F2E" w14:textId="77777777" w:rsidR="006627AC" w:rsidRPr="00404DA5" w:rsidRDefault="006627AC" w:rsidP="009974B7">
            <w:pPr>
              <w:jc w:val="center"/>
              <w:rPr>
                <w:rFonts w:cs="Calibri"/>
                <w:sz w:val="18"/>
                <w:szCs w:val="18"/>
              </w:rPr>
            </w:pPr>
            <w:r w:rsidRPr="00404DA5">
              <w:rPr>
                <w:rFonts w:cs="Calibri"/>
                <w:sz w:val="18"/>
                <w:szCs w:val="18"/>
              </w:rPr>
              <w:t>77%</w:t>
            </w:r>
          </w:p>
        </w:tc>
        <w:tc>
          <w:tcPr>
            <w:tcW w:w="1032" w:type="dxa"/>
            <w:shd w:val="clear" w:color="auto" w:fill="auto"/>
            <w:vAlign w:val="center"/>
          </w:tcPr>
          <w:p w14:paraId="43E1B274" w14:textId="77777777" w:rsidR="006627AC" w:rsidRPr="00404DA5" w:rsidRDefault="006627AC" w:rsidP="009974B7">
            <w:pPr>
              <w:jc w:val="center"/>
              <w:rPr>
                <w:rFonts w:cs="Calibri"/>
                <w:sz w:val="18"/>
                <w:szCs w:val="18"/>
              </w:rPr>
            </w:pPr>
            <w:r w:rsidRPr="00404DA5">
              <w:rPr>
                <w:rFonts w:cs="Calibri"/>
                <w:sz w:val="18"/>
                <w:szCs w:val="18"/>
              </w:rPr>
              <w:t>709</w:t>
            </w:r>
          </w:p>
        </w:tc>
        <w:tc>
          <w:tcPr>
            <w:tcW w:w="1032" w:type="dxa"/>
            <w:shd w:val="clear" w:color="auto" w:fill="auto"/>
            <w:vAlign w:val="center"/>
          </w:tcPr>
          <w:p w14:paraId="4487F591" w14:textId="77777777" w:rsidR="006627AC" w:rsidRPr="00404DA5" w:rsidRDefault="006627AC" w:rsidP="009974B7">
            <w:pPr>
              <w:jc w:val="center"/>
              <w:rPr>
                <w:rFonts w:cs="Calibri"/>
                <w:sz w:val="18"/>
                <w:szCs w:val="18"/>
              </w:rPr>
            </w:pPr>
            <w:r w:rsidRPr="00404DA5">
              <w:rPr>
                <w:rFonts w:cs="Calibri"/>
                <w:sz w:val="18"/>
                <w:szCs w:val="18"/>
              </w:rPr>
              <w:t>24%</w:t>
            </w:r>
          </w:p>
        </w:tc>
      </w:tr>
      <w:tr w:rsidR="006627AC" w:rsidRPr="00EE5470" w14:paraId="63FDEAFD" w14:textId="77777777" w:rsidTr="009974B7">
        <w:tc>
          <w:tcPr>
            <w:tcW w:w="675" w:type="dxa"/>
            <w:shd w:val="clear" w:color="auto" w:fill="auto"/>
            <w:vAlign w:val="center"/>
          </w:tcPr>
          <w:p w14:paraId="0FCD7736" w14:textId="77777777" w:rsidR="006627AC" w:rsidRPr="00404DA5" w:rsidRDefault="006627AC" w:rsidP="009974B7">
            <w:pPr>
              <w:jc w:val="center"/>
              <w:rPr>
                <w:rFonts w:cs="Calibri"/>
                <w:sz w:val="18"/>
                <w:szCs w:val="18"/>
              </w:rPr>
            </w:pPr>
          </w:p>
        </w:tc>
        <w:tc>
          <w:tcPr>
            <w:tcW w:w="709" w:type="dxa"/>
            <w:shd w:val="clear" w:color="auto" w:fill="auto"/>
            <w:vAlign w:val="center"/>
          </w:tcPr>
          <w:p w14:paraId="5862FBAD" w14:textId="77777777" w:rsidR="006627AC" w:rsidRPr="00404DA5" w:rsidRDefault="006627AC" w:rsidP="009974B7">
            <w:pPr>
              <w:jc w:val="center"/>
              <w:rPr>
                <w:rFonts w:cs="Calibri"/>
                <w:sz w:val="18"/>
                <w:szCs w:val="18"/>
              </w:rPr>
            </w:pPr>
            <w:r w:rsidRPr="00404DA5">
              <w:rPr>
                <w:rFonts w:cs="Calibri"/>
                <w:sz w:val="18"/>
                <w:szCs w:val="18"/>
              </w:rPr>
              <w:t>6.6</w:t>
            </w:r>
          </w:p>
        </w:tc>
        <w:tc>
          <w:tcPr>
            <w:tcW w:w="2126" w:type="dxa"/>
            <w:shd w:val="clear" w:color="auto" w:fill="auto"/>
            <w:vAlign w:val="center"/>
          </w:tcPr>
          <w:p w14:paraId="685E0A5D" w14:textId="77777777" w:rsidR="006627AC" w:rsidRPr="00404DA5" w:rsidRDefault="006627AC" w:rsidP="009974B7">
            <w:pPr>
              <w:rPr>
                <w:rFonts w:cs="Calibri"/>
                <w:sz w:val="18"/>
                <w:szCs w:val="18"/>
              </w:rPr>
            </w:pPr>
          </w:p>
        </w:tc>
        <w:tc>
          <w:tcPr>
            <w:tcW w:w="709" w:type="dxa"/>
            <w:shd w:val="clear" w:color="auto" w:fill="auto"/>
            <w:vAlign w:val="center"/>
          </w:tcPr>
          <w:p w14:paraId="7AC08EEA" w14:textId="77777777" w:rsidR="006627AC" w:rsidRPr="00404DA5" w:rsidRDefault="006627AC" w:rsidP="009974B7">
            <w:pPr>
              <w:jc w:val="center"/>
              <w:rPr>
                <w:rFonts w:cs="Calibri"/>
                <w:sz w:val="18"/>
                <w:szCs w:val="18"/>
              </w:rPr>
            </w:pPr>
          </w:p>
        </w:tc>
        <w:tc>
          <w:tcPr>
            <w:tcW w:w="941" w:type="dxa"/>
            <w:shd w:val="clear" w:color="auto" w:fill="auto"/>
            <w:vAlign w:val="center"/>
          </w:tcPr>
          <w:p w14:paraId="48378DE2"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164B0014" w14:textId="77777777" w:rsidR="006627AC" w:rsidRPr="00404DA5" w:rsidRDefault="006627AC" w:rsidP="009974B7">
            <w:pPr>
              <w:jc w:val="center"/>
              <w:rPr>
                <w:rFonts w:cs="Calibri"/>
                <w:sz w:val="18"/>
                <w:szCs w:val="18"/>
              </w:rPr>
            </w:pPr>
            <w:r w:rsidRPr="00404DA5">
              <w:rPr>
                <w:rFonts w:cs="Calibri"/>
                <w:sz w:val="18"/>
                <w:szCs w:val="18"/>
              </w:rPr>
              <w:t>2 159</w:t>
            </w:r>
          </w:p>
        </w:tc>
        <w:tc>
          <w:tcPr>
            <w:tcW w:w="1032" w:type="dxa"/>
            <w:shd w:val="clear" w:color="auto" w:fill="auto"/>
            <w:vAlign w:val="center"/>
          </w:tcPr>
          <w:p w14:paraId="564EC519" w14:textId="77777777" w:rsidR="006627AC" w:rsidRPr="00404DA5" w:rsidRDefault="006627AC" w:rsidP="009974B7">
            <w:pPr>
              <w:jc w:val="center"/>
              <w:rPr>
                <w:rFonts w:cs="Calibri"/>
                <w:sz w:val="18"/>
                <w:szCs w:val="18"/>
              </w:rPr>
            </w:pPr>
          </w:p>
        </w:tc>
        <w:tc>
          <w:tcPr>
            <w:tcW w:w="1032" w:type="dxa"/>
            <w:shd w:val="clear" w:color="auto" w:fill="auto"/>
            <w:vAlign w:val="center"/>
          </w:tcPr>
          <w:p w14:paraId="26EC3503" w14:textId="77777777" w:rsidR="006627AC" w:rsidRPr="00404DA5" w:rsidRDefault="006627AC" w:rsidP="009974B7">
            <w:pPr>
              <w:jc w:val="center"/>
              <w:rPr>
                <w:rFonts w:cs="Calibri"/>
                <w:sz w:val="18"/>
                <w:szCs w:val="18"/>
              </w:rPr>
            </w:pPr>
            <w:r w:rsidRPr="00404DA5">
              <w:rPr>
                <w:rFonts w:cs="Calibri"/>
                <w:sz w:val="18"/>
                <w:szCs w:val="18"/>
              </w:rPr>
              <w:t>690</w:t>
            </w:r>
          </w:p>
        </w:tc>
        <w:tc>
          <w:tcPr>
            <w:tcW w:w="1032" w:type="dxa"/>
            <w:shd w:val="clear" w:color="auto" w:fill="auto"/>
            <w:vAlign w:val="center"/>
          </w:tcPr>
          <w:p w14:paraId="4EBA8144" w14:textId="77777777" w:rsidR="006627AC" w:rsidRPr="00404DA5" w:rsidRDefault="006627AC" w:rsidP="009974B7">
            <w:pPr>
              <w:jc w:val="center"/>
              <w:rPr>
                <w:rFonts w:cs="Calibri"/>
                <w:sz w:val="18"/>
                <w:szCs w:val="18"/>
              </w:rPr>
            </w:pPr>
          </w:p>
        </w:tc>
      </w:tr>
      <w:tr w:rsidR="006627AC" w:rsidRPr="00EE5470" w14:paraId="45551200" w14:textId="77777777" w:rsidTr="009974B7">
        <w:tc>
          <w:tcPr>
            <w:tcW w:w="675" w:type="dxa"/>
            <w:shd w:val="clear" w:color="auto" w:fill="auto"/>
            <w:vAlign w:val="center"/>
          </w:tcPr>
          <w:p w14:paraId="1F2CCB39" w14:textId="77777777" w:rsidR="006627AC" w:rsidRPr="00404DA5" w:rsidRDefault="006627AC" w:rsidP="009974B7">
            <w:pPr>
              <w:jc w:val="center"/>
              <w:rPr>
                <w:rFonts w:cs="Calibri"/>
                <w:sz w:val="18"/>
                <w:szCs w:val="18"/>
              </w:rPr>
            </w:pPr>
          </w:p>
        </w:tc>
        <w:tc>
          <w:tcPr>
            <w:tcW w:w="709" w:type="dxa"/>
            <w:shd w:val="clear" w:color="auto" w:fill="auto"/>
            <w:vAlign w:val="center"/>
          </w:tcPr>
          <w:p w14:paraId="147CFEFC"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1A4EC2A5" w14:textId="77777777" w:rsidR="006627AC" w:rsidRPr="00404DA5" w:rsidRDefault="006627AC" w:rsidP="009974B7">
            <w:pPr>
              <w:rPr>
                <w:rFonts w:cs="Calibri"/>
                <w:sz w:val="18"/>
                <w:szCs w:val="18"/>
              </w:rPr>
            </w:pPr>
          </w:p>
        </w:tc>
        <w:tc>
          <w:tcPr>
            <w:tcW w:w="709" w:type="dxa"/>
            <w:shd w:val="clear" w:color="auto" w:fill="auto"/>
            <w:vAlign w:val="center"/>
          </w:tcPr>
          <w:p w14:paraId="5A8DF727" w14:textId="77777777" w:rsidR="006627AC" w:rsidRPr="00404DA5" w:rsidRDefault="006627AC" w:rsidP="009974B7">
            <w:pPr>
              <w:jc w:val="center"/>
              <w:rPr>
                <w:rFonts w:cs="Calibri"/>
                <w:sz w:val="18"/>
                <w:szCs w:val="18"/>
              </w:rPr>
            </w:pPr>
          </w:p>
        </w:tc>
        <w:tc>
          <w:tcPr>
            <w:tcW w:w="941" w:type="dxa"/>
            <w:shd w:val="clear" w:color="auto" w:fill="auto"/>
            <w:vAlign w:val="center"/>
          </w:tcPr>
          <w:p w14:paraId="134F6A63"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68B11BEC" w14:textId="77777777" w:rsidR="006627AC" w:rsidRPr="00404DA5" w:rsidRDefault="006627AC" w:rsidP="009974B7">
            <w:pPr>
              <w:jc w:val="center"/>
              <w:rPr>
                <w:rFonts w:cs="Calibri"/>
                <w:sz w:val="18"/>
                <w:szCs w:val="18"/>
              </w:rPr>
            </w:pPr>
            <w:r w:rsidRPr="00404DA5">
              <w:rPr>
                <w:rFonts w:cs="Calibri"/>
                <w:sz w:val="18"/>
                <w:szCs w:val="18"/>
              </w:rPr>
              <w:t>85</w:t>
            </w:r>
          </w:p>
        </w:tc>
        <w:tc>
          <w:tcPr>
            <w:tcW w:w="1032" w:type="dxa"/>
            <w:shd w:val="clear" w:color="auto" w:fill="auto"/>
            <w:vAlign w:val="center"/>
          </w:tcPr>
          <w:p w14:paraId="6D892345" w14:textId="77777777" w:rsidR="006627AC" w:rsidRPr="00404DA5" w:rsidRDefault="006627AC" w:rsidP="009974B7">
            <w:pPr>
              <w:jc w:val="center"/>
              <w:rPr>
                <w:rFonts w:cs="Calibri"/>
                <w:sz w:val="18"/>
                <w:szCs w:val="18"/>
              </w:rPr>
            </w:pPr>
          </w:p>
        </w:tc>
        <w:tc>
          <w:tcPr>
            <w:tcW w:w="1032" w:type="dxa"/>
            <w:shd w:val="clear" w:color="auto" w:fill="auto"/>
            <w:vAlign w:val="center"/>
          </w:tcPr>
          <w:p w14:paraId="411AF58B" w14:textId="77777777" w:rsidR="006627AC" w:rsidRPr="00404DA5" w:rsidRDefault="006627AC" w:rsidP="009974B7">
            <w:pPr>
              <w:jc w:val="center"/>
              <w:rPr>
                <w:rFonts w:cs="Calibri"/>
                <w:sz w:val="18"/>
                <w:szCs w:val="18"/>
              </w:rPr>
            </w:pPr>
            <w:r w:rsidRPr="00404DA5">
              <w:rPr>
                <w:rFonts w:cs="Calibri"/>
                <w:sz w:val="18"/>
                <w:szCs w:val="18"/>
              </w:rPr>
              <w:t>19</w:t>
            </w:r>
          </w:p>
        </w:tc>
        <w:tc>
          <w:tcPr>
            <w:tcW w:w="1032" w:type="dxa"/>
            <w:shd w:val="clear" w:color="auto" w:fill="auto"/>
            <w:vAlign w:val="center"/>
          </w:tcPr>
          <w:p w14:paraId="424AA97E" w14:textId="77777777" w:rsidR="006627AC" w:rsidRPr="00404DA5" w:rsidRDefault="006627AC" w:rsidP="009974B7">
            <w:pPr>
              <w:jc w:val="center"/>
              <w:rPr>
                <w:rFonts w:cs="Calibri"/>
                <w:sz w:val="18"/>
                <w:szCs w:val="18"/>
              </w:rPr>
            </w:pPr>
          </w:p>
        </w:tc>
      </w:tr>
      <w:tr w:rsidR="006627AC" w:rsidRPr="00EE5470" w14:paraId="1B04B62D" w14:textId="77777777" w:rsidTr="009974B7">
        <w:tc>
          <w:tcPr>
            <w:tcW w:w="675" w:type="dxa"/>
            <w:shd w:val="clear" w:color="auto" w:fill="auto"/>
            <w:vAlign w:val="center"/>
          </w:tcPr>
          <w:p w14:paraId="6BA071EC" w14:textId="77777777" w:rsidR="006627AC" w:rsidRPr="00404DA5" w:rsidRDefault="006627AC" w:rsidP="009974B7">
            <w:pPr>
              <w:jc w:val="center"/>
              <w:rPr>
                <w:sz w:val="18"/>
                <w:szCs w:val="18"/>
              </w:rPr>
            </w:pPr>
            <w:r w:rsidRPr="00404DA5">
              <w:rPr>
                <w:rFonts w:cs="Calibri"/>
                <w:sz w:val="18"/>
                <w:szCs w:val="18"/>
              </w:rPr>
              <w:t>WP</w:t>
            </w:r>
          </w:p>
        </w:tc>
        <w:tc>
          <w:tcPr>
            <w:tcW w:w="709" w:type="dxa"/>
            <w:shd w:val="clear" w:color="auto" w:fill="auto"/>
            <w:vAlign w:val="center"/>
          </w:tcPr>
          <w:p w14:paraId="053F6878" w14:textId="77777777" w:rsidR="006627AC" w:rsidRPr="00404DA5" w:rsidRDefault="006627AC" w:rsidP="009974B7">
            <w:pPr>
              <w:jc w:val="center"/>
              <w:rPr>
                <w:rFonts w:cs="Calibri"/>
                <w:sz w:val="18"/>
                <w:szCs w:val="18"/>
              </w:rPr>
            </w:pPr>
            <w:r w:rsidRPr="00404DA5">
              <w:rPr>
                <w:rFonts w:cs="Calibri"/>
                <w:sz w:val="18"/>
                <w:szCs w:val="18"/>
              </w:rPr>
              <w:t>6.6</w:t>
            </w:r>
          </w:p>
          <w:p w14:paraId="6C976F46"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0894CCAA" w14:textId="77777777" w:rsidR="006627AC" w:rsidRPr="00404DA5" w:rsidRDefault="006627AC" w:rsidP="009974B7">
            <w:pPr>
              <w:rPr>
                <w:rFonts w:cs="Calibri"/>
                <w:sz w:val="18"/>
                <w:szCs w:val="18"/>
              </w:rPr>
            </w:pPr>
            <w:r w:rsidRPr="00404DA5">
              <w:rPr>
                <w:rFonts w:cs="Calibri"/>
                <w:sz w:val="18"/>
                <w:szCs w:val="18"/>
              </w:rPr>
              <w:t>Liczba utworzonych miejsc opieki nad dziećmi</w:t>
            </w:r>
            <w:r w:rsidR="00E66B89">
              <w:rPr>
                <w:rFonts w:cs="Calibri"/>
                <w:sz w:val="18"/>
                <w:szCs w:val="18"/>
              </w:rPr>
              <w:t xml:space="preserve"> w </w:t>
            </w:r>
            <w:r w:rsidRPr="00404DA5">
              <w:rPr>
                <w:rFonts w:cs="Calibri"/>
                <w:sz w:val="18"/>
                <w:szCs w:val="18"/>
              </w:rPr>
              <w:t>wieku do lat 3</w:t>
            </w:r>
          </w:p>
        </w:tc>
        <w:tc>
          <w:tcPr>
            <w:tcW w:w="709" w:type="dxa"/>
            <w:shd w:val="clear" w:color="auto" w:fill="auto"/>
            <w:vAlign w:val="center"/>
          </w:tcPr>
          <w:p w14:paraId="4F7C4F87" w14:textId="77777777" w:rsidR="006627AC" w:rsidRPr="00404DA5" w:rsidRDefault="006627AC" w:rsidP="009974B7">
            <w:pPr>
              <w:jc w:val="center"/>
              <w:rPr>
                <w:rFonts w:cs="Calibri"/>
                <w:sz w:val="18"/>
                <w:szCs w:val="18"/>
              </w:rPr>
            </w:pPr>
            <w:r w:rsidRPr="00404DA5">
              <w:rPr>
                <w:rFonts w:cs="Calibri"/>
                <w:sz w:val="18"/>
                <w:szCs w:val="18"/>
              </w:rPr>
              <w:t>szt.</w:t>
            </w:r>
          </w:p>
        </w:tc>
        <w:tc>
          <w:tcPr>
            <w:tcW w:w="941" w:type="dxa"/>
            <w:shd w:val="clear" w:color="auto" w:fill="auto"/>
            <w:vAlign w:val="center"/>
          </w:tcPr>
          <w:p w14:paraId="6F03C99A" w14:textId="77777777" w:rsidR="006627AC" w:rsidRPr="00404DA5" w:rsidRDefault="006627AC" w:rsidP="009974B7">
            <w:pPr>
              <w:jc w:val="center"/>
              <w:rPr>
                <w:rFonts w:cs="Calibri"/>
                <w:sz w:val="18"/>
                <w:szCs w:val="18"/>
              </w:rPr>
            </w:pPr>
            <w:r w:rsidRPr="00404DA5">
              <w:rPr>
                <w:rFonts w:cs="Calibri"/>
                <w:sz w:val="18"/>
                <w:szCs w:val="18"/>
              </w:rPr>
              <w:t>2 900</w:t>
            </w:r>
          </w:p>
        </w:tc>
        <w:tc>
          <w:tcPr>
            <w:tcW w:w="1032" w:type="dxa"/>
            <w:shd w:val="clear" w:color="auto" w:fill="auto"/>
            <w:vAlign w:val="center"/>
          </w:tcPr>
          <w:p w14:paraId="7F5A17CC" w14:textId="77777777" w:rsidR="006627AC" w:rsidRPr="00404DA5" w:rsidRDefault="006627AC" w:rsidP="009974B7">
            <w:pPr>
              <w:jc w:val="center"/>
              <w:rPr>
                <w:rFonts w:cs="Calibri"/>
                <w:sz w:val="18"/>
                <w:szCs w:val="18"/>
              </w:rPr>
            </w:pPr>
            <w:r w:rsidRPr="00404DA5">
              <w:rPr>
                <w:rFonts w:cs="Calibri"/>
                <w:sz w:val="18"/>
                <w:szCs w:val="18"/>
              </w:rPr>
              <w:t>1 226</w:t>
            </w:r>
          </w:p>
        </w:tc>
        <w:tc>
          <w:tcPr>
            <w:tcW w:w="1032" w:type="dxa"/>
            <w:shd w:val="clear" w:color="auto" w:fill="auto"/>
            <w:vAlign w:val="center"/>
          </w:tcPr>
          <w:p w14:paraId="3E4FDAE1" w14:textId="77777777" w:rsidR="006627AC" w:rsidRPr="00404DA5" w:rsidRDefault="006627AC" w:rsidP="009974B7">
            <w:pPr>
              <w:jc w:val="center"/>
              <w:rPr>
                <w:rFonts w:cs="Calibri"/>
                <w:sz w:val="18"/>
                <w:szCs w:val="18"/>
              </w:rPr>
            </w:pPr>
            <w:r w:rsidRPr="00404DA5">
              <w:rPr>
                <w:rFonts w:cs="Calibri"/>
                <w:sz w:val="18"/>
                <w:szCs w:val="18"/>
              </w:rPr>
              <w:t>42%</w:t>
            </w:r>
          </w:p>
        </w:tc>
        <w:tc>
          <w:tcPr>
            <w:tcW w:w="1032" w:type="dxa"/>
            <w:shd w:val="clear" w:color="auto" w:fill="auto"/>
            <w:vAlign w:val="center"/>
          </w:tcPr>
          <w:p w14:paraId="188CC7A0" w14:textId="77777777" w:rsidR="006627AC" w:rsidRPr="00404DA5" w:rsidRDefault="006627AC" w:rsidP="009974B7">
            <w:pPr>
              <w:jc w:val="center"/>
              <w:rPr>
                <w:rFonts w:cs="Calibri"/>
                <w:sz w:val="18"/>
                <w:szCs w:val="18"/>
              </w:rPr>
            </w:pPr>
            <w:r w:rsidRPr="00404DA5">
              <w:rPr>
                <w:rFonts w:cs="Calibri"/>
                <w:sz w:val="18"/>
                <w:szCs w:val="18"/>
              </w:rPr>
              <w:t>400</w:t>
            </w:r>
          </w:p>
        </w:tc>
        <w:tc>
          <w:tcPr>
            <w:tcW w:w="1032" w:type="dxa"/>
            <w:shd w:val="clear" w:color="auto" w:fill="auto"/>
            <w:vAlign w:val="center"/>
          </w:tcPr>
          <w:p w14:paraId="6BD30F74" w14:textId="77777777" w:rsidR="006627AC" w:rsidRPr="00404DA5" w:rsidRDefault="006627AC" w:rsidP="009974B7">
            <w:pPr>
              <w:jc w:val="center"/>
              <w:rPr>
                <w:rFonts w:cs="Calibri"/>
                <w:sz w:val="18"/>
                <w:szCs w:val="18"/>
              </w:rPr>
            </w:pPr>
            <w:r w:rsidRPr="00404DA5">
              <w:rPr>
                <w:rFonts w:cs="Calibri"/>
                <w:sz w:val="18"/>
                <w:szCs w:val="18"/>
              </w:rPr>
              <w:t>14%</w:t>
            </w:r>
          </w:p>
        </w:tc>
      </w:tr>
      <w:tr w:rsidR="006627AC" w:rsidRPr="00EE5470" w14:paraId="6FFA2926" w14:textId="77777777" w:rsidTr="009974B7">
        <w:tc>
          <w:tcPr>
            <w:tcW w:w="675" w:type="dxa"/>
            <w:shd w:val="clear" w:color="auto" w:fill="auto"/>
            <w:vAlign w:val="center"/>
          </w:tcPr>
          <w:p w14:paraId="1ECD9884" w14:textId="77777777" w:rsidR="006627AC" w:rsidRPr="00404DA5" w:rsidRDefault="006627AC" w:rsidP="009974B7">
            <w:pPr>
              <w:jc w:val="center"/>
              <w:rPr>
                <w:rFonts w:cs="Calibri"/>
                <w:sz w:val="18"/>
                <w:szCs w:val="18"/>
              </w:rPr>
            </w:pPr>
          </w:p>
        </w:tc>
        <w:tc>
          <w:tcPr>
            <w:tcW w:w="709" w:type="dxa"/>
            <w:shd w:val="clear" w:color="auto" w:fill="auto"/>
            <w:vAlign w:val="center"/>
          </w:tcPr>
          <w:p w14:paraId="5060D452" w14:textId="77777777" w:rsidR="006627AC" w:rsidRPr="00404DA5" w:rsidRDefault="006627AC" w:rsidP="009974B7">
            <w:pPr>
              <w:jc w:val="center"/>
              <w:rPr>
                <w:rFonts w:cs="Calibri"/>
                <w:sz w:val="18"/>
                <w:szCs w:val="18"/>
              </w:rPr>
            </w:pPr>
            <w:r w:rsidRPr="00404DA5">
              <w:rPr>
                <w:rFonts w:cs="Calibri"/>
                <w:sz w:val="18"/>
                <w:szCs w:val="18"/>
              </w:rPr>
              <w:t>6.6</w:t>
            </w:r>
          </w:p>
        </w:tc>
        <w:tc>
          <w:tcPr>
            <w:tcW w:w="2126" w:type="dxa"/>
            <w:shd w:val="clear" w:color="auto" w:fill="auto"/>
            <w:vAlign w:val="center"/>
          </w:tcPr>
          <w:p w14:paraId="2DBE3BDC" w14:textId="77777777" w:rsidR="006627AC" w:rsidRPr="00404DA5" w:rsidRDefault="006627AC" w:rsidP="009974B7">
            <w:pPr>
              <w:rPr>
                <w:rFonts w:cs="Calibri"/>
                <w:sz w:val="18"/>
                <w:szCs w:val="18"/>
              </w:rPr>
            </w:pPr>
          </w:p>
        </w:tc>
        <w:tc>
          <w:tcPr>
            <w:tcW w:w="709" w:type="dxa"/>
            <w:shd w:val="clear" w:color="auto" w:fill="auto"/>
            <w:vAlign w:val="center"/>
          </w:tcPr>
          <w:p w14:paraId="760B3A3D" w14:textId="77777777" w:rsidR="006627AC" w:rsidRPr="00404DA5" w:rsidRDefault="006627AC" w:rsidP="009974B7">
            <w:pPr>
              <w:jc w:val="center"/>
              <w:rPr>
                <w:rFonts w:cs="Calibri"/>
                <w:sz w:val="18"/>
                <w:szCs w:val="18"/>
              </w:rPr>
            </w:pPr>
          </w:p>
        </w:tc>
        <w:tc>
          <w:tcPr>
            <w:tcW w:w="941" w:type="dxa"/>
            <w:shd w:val="clear" w:color="auto" w:fill="auto"/>
            <w:vAlign w:val="center"/>
          </w:tcPr>
          <w:p w14:paraId="27C635C4"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7A096090" w14:textId="77777777" w:rsidR="006627AC" w:rsidRPr="00404DA5" w:rsidRDefault="006627AC" w:rsidP="009974B7">
            <w:pPr>
              <w:jc w:val="center"/>
              <w:rPr>
                <w:rFonts w:cs="Calibri"/>
                <w:sz w:val="18"/>
                <w:szCs w:val="18"/>
              </w:rPr>
            </w:pPr>
            <w:r w:rsidRPr="00404DA5">
              <w:rPr>
                <w:rFonts w:cs="Calibri"/>
                <w:sz w:val="18"/>
                <w:szCs w:val="18"/>
              </w:rPr>
              <w:t>1 168</w:t>
            </w:r>
          </w:p>
        </w:tc>
        <w:tc>
          <w:tcPr>
            <w:tcW w:w="1032" w:type="dxa"/>
            <w:shd w:val="clear" w:color="auto" w:fill="auto"/>
            <w:vAlign w:val="center"/>
          </w:tcPr>
          <w:p w14:paraId="54CA75A3" w14:textId="77777777" w:rsidR="006627AC" w:rsidRPr="00404DA5" w:rsidRDefault="006627AC" w:rsidP="009974B7">
            <w:pPr>
              <w:jc w:val="center"/>
              <w:rPr>
                <w:rFonts w:cs="Calibri"/>
                <w:sz w:val="18"/>
                <w:szCs w:val="18"/>
              </w:rPr>
            </w:pPr>
          </w:p>
        </w:tc>
        <w:tc>
          <w:tcPr>
            <w:tcW w:w="1032" w:type="dxa"/>
            <w:shd w:val="clear" w:color="auto" w:fill="auto"/>
            <w:vAlign w:val="center"/>
          </w:tcPr>
          <w:p w14:paraId="760FDBD5" w14:textId="77777777" w:rsidR="006627AC" w:rsidRPr="00404DA5" w:rsidRDefault="006627AC" w:rsidP="009974B7">
            <w:pPr>
              <w:jc w:val="center"/>
              <w:rPr>
                <w:rFonts w:cs="Calibri"/>
                <w:sz w:val="18"/>
                <w:szCs w:val="18"/>
              </w:rPr>
            </w:pPr>
            <w:r w:rsidRPr="00404DA5">
              <w:rPr>
                <w:rFonts w:cs="Calibri"/>
                <w:sz w:val="18"/>
                <w:szCs w:val="18"/>
              </w:rPr>
              <w:t>386</w:t>
            </w:r>
          </w:p>
        </w:tc>
        <w:tc>
          <w:tcPr>
            <w:tcW w:w="1032" w:type="dxa"/>
            <w:shd w:val="clear" w:color="auto" w:fill="auto"/>
            <w:vAlign w:val="center"/>
          </w:tcPr>
          <w:p w14:paraId="5971709D" w14:textId="77777777" w:rsidR="006627AC" w:rsidRPr="00404DA5" w:rsidRDefault="006627AC" w:rsidP="009974B7">
            <w:pPr>
              <w:jc w:val="center"/>
              <w:rPr>
                <w:rFonts w:cs="Calibri"/>
                <w:sz w:val="18"/>
                <w:szCs w:val="18"/>
              </w:rPr>
            </w:pPr>
          </w:p>
        </w:tc>
      </w:tr>
      <w:tr w:rsidR="006627AC" w:rsidRPr="00EE5470" w14:paraId="7D6F3245" w14:textId="77777777" w:rsidTr="009974B7">
        <w:tc>
          <w:tcPr>
            <w:tcW w:w="675" w:type="dxa"/>
            <w:shd w:val="clear" w:color="auto" w:fill="auto"/>
            <w:vAlign w:val="center"/>
          </w:tcPr>
          <w:p w14:paraId="6B098925" w14:textId="77777777" w:rsidR="006627AC" w:rsidRPr="00404DA5" w:rsidRDefault="006627AC" w:rsidP="009974B7">
            <w:pPr>
              <w:jc w:val="center"/>
              <w:rPr>
                <w:rFonts w:cs="Calibri"/>
                <w:sz w:val="18"/>
                <w:szCs w:val="18"/>
              </w:rPr>
            </w:pPr>
          </w:p>
        </w:tc>
        <w:tc>
          <w:tcPr>
            <w:tcW w:w="709" w:type="dxa"/>
            <w:shd w:val="clear" w:color="auto" w:fill="auto"/>
            <w:vAlign w:val="center"/>
          </w:tcPr>
          <w:p w14:paraId="67DF3179"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7879D17C" w14:textId="77777777" w:rsidR="006627AC" w:rsidRPr="00404DA5" w:rsidRDefault="006627AC" w:rsidP="009974B7">
            <w:pPr>
              <w:rPr>
                <w:rFonts w:cs="Calibri"/>
                <w:sz w:val="18"/>
                <w:szCs w:val="18"/>
              </w:rPr>
            </w:pPr>
          </w:p>
        </w:tc>
        <w:tc>
          <w:tcPr>
            <w:tcW w:w="709" w:type="dxa"/>
            <w:shd w:val="clear" w:color="auto" w:fill="auto"/>
            <w:vAlign w:val="center"/>
          </w:tcPr>
          <w:p w14:paraId="74667CC7" w14:textId="77777777" w:rsidR="006627AC" w:rsidRPr="00404DA5" w:rsidRDefault="006627AC" w:rsidP="009974B7">
            <w:pPr>
              <w:jc w:val="center"/>
              <w:rPr>
                <w:rFonts w:cs="Calibri"/>
                <w:sz w:val="18"/>
                <w:szCs w:val="18"/>
              </w:rPr>
            </w:pPr>
          </w:p>
        </w:tc>
        <w:tc>
          <w:tcPr>
            <w:tcW w:w="941" w:type="dxa"/>
            <w:shd w:val="clear" w:color="auto" w:fill="auto"/>
            <w:vAlign w:val="center"/>
          </w:tcPr>
          <w:p w14:paraId="1ACDCC84"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642B9EEB" w14:textId="77777777" w:rsidR="006627AC" w:rsidRPr="00404DA5" w:rsidRDefault="006627AC" w:rsidP="009974B7">
            <w:pPr>
              <w:jc w:val="center"/>
              <w:rPr>
                <w:rFonts w:cs="Calibri"/>
                <w:sz w:val="18"/>
                <w:szCs w:val="18"/>
              </w:rPr>
            </w:pPr>
            <w:r w:rsidRPr="00404DA5">
              <w:rPr>
                <w:rFonts w:cs="Calibri"/>
                <w:sz w:val="18"/>
                <w:szCs w:val="18"/>
              </w:rPr>
              <w:t>58</w:t>
            </w:r>
          </w:p>
        </w:tc>
        <w:tc>
          <w:tcPr>
            <w:tcW w:w="1032" w:type="dxa"/>
            <w:shd w:val="clear" w:color="auto" w:fill="auto"/>
            <w:vAlign w:val="center"/>
          </w:tcPr>
          <w:p w14:paraId="787C9BB2" w14:textId="77777777" w:rsidR="006627AC" w:rsidRPr="00404DA5" w:rsidRDefault="006627AC" w:rsidP="009974B7">
            <w:pPr>
              <w:jc w:val="center"/>
              <w:rPr>
                <w:rFonts w:cs="Calibri"/>
                <w:sz w:val="18"/>
                <w:szCs w:val="18"/>
              </w:rPr>
            </w:pPr>
          </w:p>
        </w:tc>
        <w:tc>
          <w:tcPr>
            <w:tcW w:w="1032" w:type="dxa"/>
            <w:shd w:val="clear" w:color="auto" w:fill="auto"/>
            <w:vAlign w:val="center"/>
          </w:tcPr>
          <w:p w14:paraId="5F6E054E" w14:textId="77777777" w:rsidR="006627AC" w:rsidRPr="00404DA5" w:rsidRDefault="006627AC" w:rsidP="009974B7">
            <w:pPr>
              <w:jc w:val="center"/>
              <w:rPr>
                <w:rFonts w:cs="Calibri"/>
                <w:sz w:val="18"/>
                <w:szCs w:val="18"/>
              </w:rPr>
            </w:pPr>
            <w:r w:rsidRPr="00404DA5">
              <w:rPr>
                <w:rFonts w:cs="Calibri"/>
                <w:sz w:val="18"/>
                <w:szCs w:val="18"/>
              </w:rPr>
              <w:t>14</w:t>
            </w:r>
          </w:p>
        </w:tc>
        <w:tc>
          <w:tcPr>
            <w:tcW w:w="1032" w:type="dxa"/>
            <w:shd w:val="clear" w:color="auto" w:fill="auto"/>
            <w:vAlign w:val="center"/>
          </w:tcPr>
          <w:p w14:paraId="1ACE751A" w14:textId="77777777" w:rsidR="006627AC" w:rsidRPr="00404DA5" w:rsidRDefault="006627AC" w:rsidP="009974B7">
            <w:pPr>
              <w:jc w:val="center"/>
              <w:rPr>
                <w:rFonts w:cs="Calibri"/>
                <w:sz w:val="18"/>
                <w:szCs w:val="18"/>
              </w:rPr>
            </w:pPr>
          </w:p>
        </w:tc>
      </w:tr>
      <w:tr w:rsidR="006627AC" w:rsidRPr="00EE5470" w14:paraId="39E40A0E" w14:textId="77777777" w:rsidTr="009974B7">
        <w:tc>
          <w:tcPr>
            <w:tcW w:w="675" w:type="dxa"/>
            <w:shd w:val="clear" w:color="auto" w:fill="auto"/>
            <w:vAlign w:val="center"/>
          </w:tcPr>
          <w:p w14:paraId="2DE87A60" w14:textId="77777777" w:rsidR="006627AC" w:rsidRPr="00404DA5" w:rsidRDefault="006627AC" w:rsidP="009974B7">
            <w:pPr>
              <w:jc w:val="center"/>
              <w:rPr>
                <w:sz w:val="18"/>
                <w:szCs w:val="18"/>
              </w:rPr>
            </w:pPr>
            <w:r w:rsidRPr="00404DA5">
              <w:rPr>
                <w:rFonts w:cs="Calibri"/>
                <w:sz w:val="18"/>
                <w:szCs w:val="18"/>
              </w:rPr>
              <w:t>WR</w:t>
            </w:r>
          </w:p>
        </w:tc>
        <w:tc>
          <w:tcPr>
            <w:tcW w:w="709" w:type="dxa"/>
            <w:shd w:val="clear" w:color="auto" w:fill="auto"/>
            <w:vAlign w:val="center"/>
          </w:tcPr>
          <w:p w14:paraId="4AAB91B6" w14:textId="77777777" w:rsidR="006627AC" w:rsidRPr="00404DA5" w:rsidRDefault="006627AC" w:rsidP="009974B7">
            <w:pPr>
              <w:jc w:val="center"/>
              <w:rPr>
                <w:rFonts w:cs="Calibri"/>
                <w:sz w:val="18"/>
                <w:szCs w:val="18"/>
              </w:rPr>
            </w:pPr>
            <w:r w:rsidRPr="00404DA5">
              <w:rPr>
                <w:rFonts w:cs="Calibri"/>
                <w:sz w:val="18"/>
                <w:szCs w:val="18"/>
              </w:rPr>
              <w:t>6.6</w:t>
            </w:r>
          </w:p>
          <w:p w14:paraId="3301CEFB" w14:textId="77777777" w:rsidR="006627AC" w:rsidRPr="00404DA5" w:rsidRDefault="006627AC" w:rsidP="009974B7">
            <w:pPr>
              <w:jc w:val="center"/>
              <w:rPr>
                <w:rFonts w:cs="Calibri"/>
                <w:bCs/>
                <w:sz w:val="18"/>
                <w:szCs w:val="18"/>
              </w:rPr>
            </w:pPr>
            <w:r w:rsidRPr="00404DA5">
              <w:rPr>
                <w:rFonts w:cs="Calibri"/>
                <w:sz w:val="18"/>
                <w:szCs w:val="18"/>
              </w:rPr>
              <w:t>6.7</w:t>
            </w:r>
          </w:p>
        </w:tc>
        <w:tc>
          <w:tcPr>
            <w:tcW w:w="2126" w:type="dxa"/>
            <w:shd w:val="clear" w:color="auto" w:fill="auto"/>
            <w:vAlign w:val="center"/>
          </w:tcPr>
          <w:p w14:paraId="676E412F" w14:textId="77777777" w:rsidR="006627AC" w:rsidRPr="00404DA5" w:rsidRDefault="006627AC" w:rsidP="009974B7">
            <w:pPr>
              <w:rPr>
                <w:rFonts w:cs="Calibri"/>
                <w:bCs/>
                <w:sz w:val="18"/>
                <w:szCs w:val="18"/>
              </w:rPr>
            </w:pPr>
            <w:r w:rsidRPr="00404DA5">
              <w:rPr>
                <w:rFonts w:cs="Calibri"/>
                <w:bCs/>
                <w:sz w:val="18"/>
                <w:szCs w:val="18"/>
              </w:rPr>
              <w:t>Liczba osób, które powróciły na rynek pracy po przerwie związanej</w:t>
            </w:r>
            <w:r w:rsidR="00E66B89">
              <w:rPr>
                <w:rFonts w:cs="Calibri"/>
                <w:bCs/>
                <w:sz w:val="18"/>
                <w:szCs w:val="18"/>
              </w:rPr>
              <w:t xml:space="preserve"> z </w:t>
            </w:r>
            <w:r w:rsidRPr="00404DA5">
              <w:rPr>
                <w:rFonts w:cs="Calibri"/>
                <w:bCs/>
                <w:sz w:val="18"/>
                <w:szCs w:val="18"/>
              </w:rPr>
              <w:t>urodzeniem/ wychowaniem dziecka lub utrzymały zatrudnienie, po opuszczeniu programu</w:t>
            </w:r>
          </w:p>
        </w:tc>
        <w:tc>
          <w:tcPr>
            <w:tcW w:w="709" w:type="dxa"/>
            <w:shd w:val="clear" w:color="auto" w:fill="auto"/>
            <w:vAlign w:val="center"/>
          </w:tcPr>
          <w:p w14:paraId="0BC7854A" w14:textId="77777777" w:rsidR="006627AC" w:rsidRPr="00404DA5" w:rsidRDefault="006627AC" w:rsidP="009974B7">
            <w:pPr>
              <w:jc w:val="center"/>
              <w:rPr>
                <w:rFonts w:cs="Calibri"/>
                <w:bCs/>
                <w:sz w:val="18"/>
                <w:szCs w:val="18"/>
              </w:rPr>
            </w:pPr>
            <w:r w:rsidRPr="00404DA5">
              <w:rPr>
                <w:rFonts w:cs="Calibri"/>
                <w:bCs/>
                <w:sz w:val="18"/>
                <w:szCs w:val="18"/>
              </w:rPr>
              <w:t>%</w:t>
            </w:r>
          </w:p>
        </w:tc>
        <w:tc>
          <w:tcPr>
            <w:tcW w:w="941" w:type="dxa"/>
            <w:shd w:val="clear" w:color="auto" w:fill="auto"/>
            <w:vAlign w:val="center"/>
          </w:tcPr>
          <w:p w14:paraId="005119DD" w14:textId="77777777" w:rsidR="006627AC" w:rsidRPr="00404DA5" w:rsidRDefault="006627AC" w:rsidP="009974B7">
            <w:pPr>
              <w:jc w:val="center"/>
              <w:rPr>
                <w:rFonts w:cs="Calibri"/>
                <w:sz w:val="18"/>
                <w:szCs w:val="18"/>
              </w:rPr>
            </w:pPr>
            <w:r w:rsidRPr="00404DA5">
              <w:rPr>
                <w:rFonts w:cs="Calibri"/>
                <w:sz w:val="18"/>
                <w:szCs w:val="18"/>
              </w:rPr>
              <w:t>80</w:t>
            </w:r>
          </w:p>
        </w:tc>
        <w:tc>
          <w:tcPr>
            <w:tcW w:w="1032" w:type="dxa"/>
            <w:shd w:val="clear" w:color="auto" w:fill="auto"/>
            <w:vAlign w:val="center"/>
          </w:tcPr>
          <w:p w14:paraId="4259ECAE" w14:textId="77777777" w:rsidR="006627AC" w:rsidRPr="00404DA5" w:rsidRDefault="006627AC" w:rsidP="009974B7">
            <w:pPr>
              <w:jc w:val="center"/>
              <w:rPr>
                <w:rFonts w:cs="Calibri"/>
                <w:sz w:val="18"/>
                <w:szCs w:val="18"/>
              </w:rPr>
            </w:pPr>
            <w:r w:rsidRPr="00404DA5">
              <w:rPr>
                <w:rFonts w:cs="Calibri"/>
                <w:sz w:val="18"/>
                <w:szCs w:val="18"/>
              </w:rPr>
              <w:t>1 485</w:t>
            </w:r>
          </w:p>
        </w:tc>
        <w:tc>
          <w:tcPr>
            <w:tcW w:w="1032" w:type="dxa"/>
            <w:shd w:val="clear" w:color="auto" w:fill="auto"/>
            <w:vAlign w:val="center"/>
          </w:tcPr>
          <w:p w14:paraId="0ED9AE4D" w14:textId="77777777" w:rsidR="006627AC" w:rsidRPr="00404DA5" w:rsidRDefault="006627AC" w:rsidP="009974B7">
            <w:pPr>
              <w:jc w:val="center"/>
              <w:rPr>
                <w:rFonts w:cs="Calibri"/>
                <w:sz w:val="18"/>
                <w:szCs w:val="18"/>
              </w:rPr>
            </w:pPr>
            <w:r w:rsidRPr="00404DA5">
              <w:rPr>
                <w:rFonts w:cs="Calibri"/>
                <w:sz w:val="18"/>
                <w:szCs w:val="18"/>
              </w:rPr>
              <w:t>83%</w:t>
            </w:r>
          </w:p>
        </w:tc>
        <w:tc>
          <w:tcPr>
            <w:tcW w:w="1032" w:type="dxa"/>
            <w:shd w:val="clear" w:color="auto" w:fill="auto"/>
            <w:vAlign w:val="center"/>
          </w:tcPr>
          <w:p w14:paraId="50006EBA" w14:textId="77777777" w:rsidR="006627AC" w:rsidRPr="00404DA5" w:rsidRDefault="006627AC" w:rsidP="009974B7">
            <w:pPr>
              <w:jc w:val="center"/>
              <w:rPr>
                <w:rFonts w:cs="Calibri"/>
                <w:sz w:val="18"/>
                <w:szCs w:val="18"/>
              </w:rPr>
            </w:pPr>
            <w:r w:rsidRPr="00404DA5">
              <w:rPr>
                <w:rFonts w:cs="Calibri"/>
                <w:sz w:val="18"/>
                <w:szCs w:val="18"/>
              </w:rPr>
              <w:t>56</w:t>
            </w:r>
          </w:p>
        </w:tc>
        <w:tc>
          <w:tcPr>
            <w:tcW w:w="1032" w:type="dxa"/>
            <w:shd w:val="clear" w:color="auto" w:fill="auto"/>
            <w:vAlign w:val="center"/>
          </w:tcPr>
          <w:p w14:paraId="3BA4BC99" w14:textId="77777777" w:rsidR="006627AC" w:rsidRPr="00404DA5" w:rsidRDefault="006627AC" w:rsidP="009974B7">
            <w:pPr>
              <w:jc w:val="center"/>
              <w:rPr>
                <w:rFonts w:cs="Calibri"/>
                <w:sz w:val="18"/>
                <w:szCs w:val="18"/>
              </w:rPr>
            </w:pPr>
            <w:r w:rsidRPr="00404DA5">
              <w:rPr>
                <w:rFonts w:cs="Calibri"/>
                <w:sz w:val="18"/>
                <w:szCs w:val="18"/>
              </w:rPr>
              <w:t>10%</w:t>
            </w:r>
          </w:p>
        </w:tc>
      </w:tr>
      <w:tr w:rsidR="006627AC" w:rsidRPr="00EE5470" w14:paraId="2CC11086" w14:textId="77777777" w:rsidTr="009974B7">
        <w:tc>
          <w:tcPr>
            <w:tcW w:w="675" w:type="dxa"/>
            <w:shd w:val="clear" w:color="auto" w:fill="auto"/>
            <w:vAlign w:val="center"/>
          </w:tcPr>
          <w:p w14:paraId="7C629812" w14:textId="77777777" w:rsidR="006627AC" w:rsidRPr="00404DA5" w:rsidRDefault="006627AC" w:rsidP="009974B7">
            <w:pPr>
              <w:jc w:val="center"/>
              <w:rPr>
                <w:rFonts w:cs="Calibri"/>
                <w:sz w:val="18"/>
                <w:szCs w:val="18"/>
              </w:rPr>
            </w:pPr>
          </w:p>
        </w:tc>
        <w:tc>
          <w:tcPr>
            <w:tcW w:w="709" w:type="dxa"/>
            <w:shd w:val="clear" w:color="auto" w:fill="auto"/>
            <w:vAlign w:val="center"/>
          </w:tcPr>
          <w:p w14:paraId="6D70D456" w14:textId="77777777" w:rsidR="006627AC" w:rsidRPr="00404DA5" w:rsidRDefault="006627AC" w:rsidP="009974B7">
            <w:pPr>
              <w:jc w:val="center"/>
              <w:rPr>
                <w:rFonts w:cs="Calibri"/>
                <w:sz w:val="18"/>
                <w:szCs w:val="18"/>
              </w:rPr>
            </w:pPr>
            <w:r w:rsidRPr="00404DA5">
              <w:rPr>
                <w:rFonts w:cs="Calibri"/>
                <w:sz w:val="18"/>
                <w:szCs w:val="18"/>
              </w:rPr>
              <w:t>6.6</w:t>
            </w:r>
          </w:p>
        </w:tc>
        <w:tc>
          <w:tcPr>
            <w:tcW w:w="2126" w:type="dxa"/>
            <w:shd w:val="clear" w:color="auto" w:fill="auto"/>
            <w:vAlign w:val="center"/>
          </w:tcPr>
          <w:p w14:paraId="1C8ED35E" w14:textId="77777777" w:rsidR="006627AC" w:rsidRPr="00404DA5" w:rsidRDefault="006627AC" w:rsidP="009974B7">
            <w:pPr>
              <w:rPr>
                <w:rFonts w:cs="Calibri"/>
                <w:bCs/>
                <w:sz w:val="18"/>
                <w:szCs w:val="18"/>
              </w:rPr>
            </w:pPr>
          </w:p>
        </w:tc>
        <w:tc>
          <w:tcPr>
            <w:tcW w:w="709" w:type="dxa"/>
            <w:shd w:val="clear" w:color="auto" w:fill="auto"/>
            <w:vAlign w:val="center"/>
          </w:tcPr>
          <w:p w14:paraId="2E4F74D2" w14:textId="77777777" w:rsidR="006627AC" w:rsidRPr="00404DA5" w:rsidRDefault="006627AC" w:rsidP="009974B7">
            <w:pPr>
              <w:jc w:val="center"/>
              <w:rPr>
                <w:rFonts w:cs="Calibri"/>
                <w:bCs/>
                <w:sz w:val="18"/>
                <w:szCs w:val="18"/>
              </w:rPr>
            </w:pPr>
          </w:p>
        </w:tc>
        <w:tc>
          <w:tcPr>
            <w:tcW w:w="941" w:type="dxa"/>
            <w:shd w:val="clear" w:color="auto" w:fill="auto"/>
            <w:vAlign w:val="center"/>
          </w:tcPr>
          <w:p w14:paraId="3941748E"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1F214461" w14:textId="77777777" w:rsidR="006627AC" w:rsidRPr="00404DA5" w:rsidRDefault="006627AC" w:rsidP="009974B7">
            <w:pPr>
              <w:jc w:val="center"/>
              <w:rPr>
                <w:rFonts w:cs="Calibri"/>
                <w:sz w:val="18"/>
                <w:szCs w:val="18"/>
              </w:rPr>
            </w:pPr>
            <w:r w:rsidRPr="00404DA5">
              <w:rPr>
                <w:rFonts w:cs="Calibri"/>
                <w:sz w:val="18"/>
                <w:szCs w:val="18"/>
              </w:rPr>
              <w:t>1 440</w:t>
            </w:r>
          </w:p>
        </w:tc>
        <w:tc>
          <w:tcPr>
            <w:tcW w:w="1032" w:type="dxa"/>
            <w:shd w:val="clear" w:color="auto" w:fill="auto"/>
            <w:vAlign w:val="center"/>
          </w:tcPr>
          <w:p w14:paraId="5A48FA14" w14:textId="77777777" w:rsidR="006627AC" w:rsidRPr="00404DA5" w:rsidRDefault="006627AC" w:rsidP="009974B7">
            <w:pPr>
              <w:jc w:val="center"/>
              <w:rPr>
                <w:rFonts w:cs="Calibri"/>
                <w:sz w:val="18"/>
                <w:szCs w:val="18"/>
              </w:rPr>
            </w:pPr>
          </w:p>
        </w:tc>
        <w:tc>
          <w:tcPr>
            <w:tcW w:w="1032" w:type="dxa"/>
            <w:shd w:val="clear" w:color="auto" w:fill="auto"/>
            <w:vAlign w:val="center"/>
          </w:tcPr>
          <w:p w14:paraId="3CAEBDFD" w14:textId="77777777" w:rsidR="006627AC" w:rsidRPr="00404DA5" w:rsidRDefault="006627AC" w:rsidP="009974B7">
            <w:pPr>
              <w:jc w:val="center"/>
              <w:rPr>
                <w:rFonts w:cs="Calibri"/>
                <w:sz w:val="18"/>
                <w:szCs w:val="18"/>
              </w:rPr>
            </w:pPr>
            <w:r w:rsidRPr="00404DA5">
              <w:rPr>
                <w:rFonts w:cs="Calibri"/>
                <w:sz w:val="18"/>
                <w:szCs w:val="18"/>
              </w:rPr>
              <w:t>56</w:t>
            </w:r>
          </w:p>
        </w:tc>
        <w:tc>
          <w:tcPr>
            <w:tcW w:w="1032" w:type="dxa"/>
            <w:shd w:val="clear" w:color="auto" w:fill="auto"/>
            <w:vAlign w:val="center"/>
          </w:tcPr>
          <w:p w14:paraId="16BB5BE5" w14:textId="77777777" w:rsidR="006627AC" w:rsidRPr="00404DA5" w:rsidRDefault="006627AC" w:rsidP="009974B7">
            <w:pPr>
              <w:jc w:val="center"/>
              <w:rPr>
                <w:rFonts w:cs="Calibri"/>
                <w:sz w:val="18"/>
                <w:szCs w:val="18"/>
              </w:rPr>
            </w:pPr>
          </w:p>
        </w:tc>
      </w:tr>
      <w:tr w:rsidR="006627AC" w:rsidRPr="00EE5470" w14:paraId="7310E339" w14:textId="77777777" w:rsidTr="009974B7">
        <w:tc>
          <w:tcPr>
            <w:tcW w:w="675" w:type="dxa"/>
            <w:shd w:val="clear" w:color="auto" w:fill="auto"/>
            <w:vAlign w:val="center"/>
          </w:tcPr>
          <w:p w14:paraId="05A39E3A" w14:textId="77777777" w:rsidR="006627AC" w:rsidRPr="00404DA5" w:rsidRDefault="006627AC" w:rsidP="009974B7">
            <w:pPr>
              <w:jc w:val="center"/>
              <w:rPr>
                <w:rFonts w:cs="Calibri"/>
                <w:sz w:val="18"/>
                <w:szCs w:val="18"/>
              </w:rPr>
            </w:pPr>
          </w:p>
        </w:tc>
        <w:tc>
          <w:tcPr>
            <w:tcW w:w="709" w:type="dxa"/>
            <w:shd w:val="clear" w:color="auto" w:fill="auto"/>
            <w:vAlign w:val="center"/>
          </w:tcPr>
          <w:p w14:paraId="70F9DDBA"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3CBC0D6D" w14:textId="77777777" w:rsidR="006627AC" w:rsidRPr="00404DA5" w:rsidRDefault="006627AC" w:rsidP="009974B7">
            <w:pPr>
              <w:rPr>
                <w:rFonts w:cs="Calibri"/>
                <w:bCs/>
                <w:sz w:val="18"/>
                <w:szCs w:val="18"/>
              </w:rPr>
            </w:pPr>
          </w:p>
        </w:tc>
        <w:tc>
          <w:tcPr>
            <w:tcW w:w="709" w:type="dxa"/>
            <w:shd w:val="clear" w:color="auto" w:fill="auto"/>
            <w:vAlign w:val="center"/>
          </w:tcPr>
          <w:p w14:paraId="155BD4F5" w14:textId="77777777" w:rsidR="006627AC" w:rsidRPr="00404DA5" w:rsidRDefault="006627AC" w:rsidP="009974B7">
            <w:pPr>
              <w:jc w:val="center"/>
              <w:rPr>
                <w:rFonts w:cs="Calibri"/>
                <w:bCs/>
                <w:sz w:val="18"/>
                <w:szCs w:val="18"/>
              </w:rPr>
            </w:pPr>
          </w:p>
        </w:tc>
        <w:tc>
          <w:tcPr>
            <w:tcW w:w="941" w:type="dxa"/>
            <w:shd w:val="clear" w:color="auto" w:fill="auto"/>
            <w:vAlign w:val="center"/>
          </w:tcPr>
          <w:p w14:paraId="7F0583FB"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11A5313E" w14:textId="77777777" w:rsidR="006627AC" w:rsidRPr="00404DA5" w:rsidRDefault="006627AC" w:rsidP="009974B7">
            <w:pPr>
              <w:jc w:val="center"/>
              <w:rPr>
                <w:rFonts w:cs="Calibri"/>
                <w:sz w:val="18"/>
                <w:szCs w:val="18"/>
              </w:rPr>
            </w:pPr>
            <w:r w:rsidRPr="00404DA5">
              <w:rPr>
                <w:rFonts w:cs="Calibri"/>
                <w:sz w:val="18"/>
                <w:szCs w:val="18"/>
              </w:rPr>
              <w:t>45</w:t>
            </w:r>
          </w:p>
        </w:tc>
        <w:tc>
          <w:tcPr>
            <w:tcW w:w="1032" w:type="dxa"/>
            <w:shd w:val="clear" w:color="auto" w:fill="auto"/>
            <w:vAlign w:val="center"/>
          </w:tcPr>
          <w:p w14:paraId="095ED126" w14:textId="77777777" w:rsidR="006627AC" w:rsidRPr="00404DA5" w:rsidRDefault="006627AC" w:rsidP="009974B7">
            <w:pPr>
              <w:jc w:val="center"/>
              <w:rPr>
                <w:rFonts w:cs="Calibri"/>
                <w:sz w:val="18"/>
                <w:szCs w:val="18"/>
              </w:rPr>
            </w:pPr>
          </w:p>
        </w:tc>
        <w:tc>
          <w:tcPr>
            <w:tcW w:w="1032" w:type="dxa"/>
            <w:shd w:val="clear" w:color="auto" w:fill="auto"/>
            <w:vAlign w:val="center"/>
          </w:tcPr>
          <w:p w14:paraId="158A4612" w14:textId="77777777" w:rsidR="006627AC" w:rsidRPr="00404DA5" w:rsidRDefault="006627AC" w:rsidP="009974B7">
            <w:pPr>
              <w:jc w:val="center"/>
              <w:rPr>
                <w:rFonts w:cs="Calibri"/>
                <w:sz w:val="18"/>
                <w:szCs w:val="18"/>
              </w:rPr>
            </w:pPr>
            <w:r w:rsidRPr="00404DA5">
              <w:rPr>
                <w:rFonts w:cs="Calibri"/>
                <w:sz w:val="18"/>
                <w:szCs w:val="18"/>
              </w:rPr>
              <w:t>0</w:t>
            </w:r>
          </w:p>
        </w:tc>
        <w:tc>
          <w:tcPr>
            <w:tcW w:w="1032" w:type="dxa"/>
            <w:shd w:val="clear" w:color="auto" w:fill="auto"/>
            <w:vAlign w:val="center"/>
          </w:tcPr>
          <w:p w14:paraId="74AEDAE8" w14:textId="77777777" w:rsidR="006627AC" w:rsidRPr="00404DA5" w:rsidRDefault="006627AC" w:rsidP="009974B7">
            <w:pPr>
              <w:jc w:val="center"/>
              <w:rPr>
                <w:rFonts w:cs="Calibri"/>
                <w:sz w:val="18"/>
                <w:szCs w:val="18"/>
              </w:rPr>
            </w:pPr>
          </w:p>
        </w:tc>
      </w:tr>
      <w:tr w:rsidR="006627AC" w:rsidRPr="00EE5470" w14:paraId="55DD834C" w14:textId="77777777" w:rsidTr="009974B7">
        <w:tc>
          <w:tcPr>
            <w:tcW w:w="675" w:type="dxa"/>
            <w:shd w:val="clear" w:color="auto" w:fill="auto"/>
            <w:vAlign w:val="center"/>
          </w:tcPr>
          <w:p w14:paraId="69EA061A" w14:textId="77777777" w:rsidR="006627AC" w:rsidRPr="00404DA5" w:rsidRDefault="006627AC" w:rsidP="009974B7">
            <w:pPr>
              <w:jc w:val="center"/>
              <w:rPr>
                <w:sz w:val="18"/>
                <w:szCs w:val="18"/>
              </w:rPr>
            </w:pPr>
            <w:r w:rsidRPr="00404DA5">
              <w:rPr>
                <w:sz w:val="18"/>
                <w:szCs w:val="18"/>
              </w:rPr>
              <w:t>WR</w:t>
            </w:r>
          </w:p>
        </w:tc>
        <w:tc>
          <w:tcPr>
            <w:tcW w:w="709" w:type="dxa"/>
            <w:shd w:val="clear" w:color="auto" w:fill="auto"/>
            <w:vAlign w:val="center"/>
          </w:tcPr>
          <w:p w14:paraId="51F91226" w14:textId="77777777" w:rsidR="006627AC" w:rsidRPr="00404DA5" w:rsidRDefault="006627AC" w:rsidP="009974B7">
            <w:pPr>
              <w:jc w:val="center"/>
              <w:rPr>
                <w:rFonts w:cs="Calibri"/>
                <w:sz w:val="18"/>
                <w:szCs w:val="18"/>
              </w:rPr>
            </w:pPr>
            <w:r w:rsidRPr="00404DA5">
              <w:rPr>
                <w:rFonts w:cs="Calibri"/>
                <w:sz w:val="18"/>
                <w:szCs w:val="18"/>
              </w:rPr>
              <w:t>6.6</w:t>
            </w:r>
          </w:p>
          <w:p w14:paraId="5B3A1B90"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5F404265" w14:textId="77777777" w:rsidR="006627AC" w:rsidRPr="00404DA5" w:rsidRDefault="006627AC" w:rsidP="009974B7">
            <w:pPr>
              <w:rPr>
                <w:rFonts w:cs="Calibri"/>
                <w:sz w:val="18"/>
                <w:szCs w:val="18"/>
              </w:rPr>
            </w:pPr>
            <w:r w:rsidRPr="00404DA5">
              <w:rPr>
                <w:rFonts w:cs="Calibri"/>
                <w:sz w:val="18"/>
                <w:szCs w:val="18"/>
              </w:rPr>
              <w:t>Liczba osób pozostających bez pracy, które znalazły pracę lub poszukują pracy po opuszczeniu programu</w:t>
            </w:r>
          </w:p>
        </w:tc>
        <w:tc>
          <w:tcPr>
            <w:tcW w:w="709" w:type="dxa"/>
            <w:shd w:val="clear" w:color="auto" w:fill="auto"/>
            <w:vAlign w:val="center"/>
          </w:tcPr>
          <w:p w14:paraId="3F4009CA" w14:textId="77777777" w:rsidR="006627AC" w:rsidRPr="00404DA5" w:rsidRDefault="006627AC" w:rsidP="009974B7">
            <w:pPr>
              <w:jc w:val="center"/>
              <w:rPr>
                <w:rFonts w:cs="Calibri"/>
                <w:sz w:val="18"/>
                <w:szCs w:val="18"/>
              </w:rPr>
            </w:pPr>
            <w:r w:rsidRPr="00404DA5">
              <w:rPr>
                <w:rFonts w:cs="Calibri"/>
                <w:sz w:val="18"/>
                <w:szCs w:val="18"/>
              </w:rPr>
              <w:t>%</w:t>
            </w:r>
          </w:p>
        </w:tc>
        <w:tc>
          <w:tcPr>
            <w:tcW w:w="941" w:type="dxa"/>
            <w:shd w:val="clear" w:color="auto" w:fill="auto"/>
            <w:vAlign w:val="center"/>
          </w:tcPr>
          <w:p w14:paraId="16C44FD8" w14:textId="77777777" w:rsidR="006627AC" w:rsidRPr="00404DA5" w:rsidRDefault="006627AC" w:rsidP="009974B7">
            <w:pPr>
              <w:jc w:val="center"/>
              <w:rPr>
                <w:rFonts w:cs="Calibri"/>
                <w:sz w:val="18"/>
                <w:szCs w:val="18"/>
              </w:rPr>
            </w:pPr>
            <w:r w:rsidRPr="00404DA5">
              <w:rPr>
                <w:rFonts w:cs="Calibri"/>
                <w:sz w:val="18"/>
                <w:szCs w:val="18"/>
              </w:rPr>
              <w:t>20</w:t>
            </w:r>
          </w:p>
        </w:tc>
        <w:tc>
          <w:tcPr>
            <w:tcW w:w="1032" w:type="dxa"/>
            <w:shd w:val="clear" w:color="auto" w:fill="auto"/>
            <w:vAlign w:val="center"/>
          </w:tcPr>
          <w:p w14:paraId="0437D38F" w14:textId="77777777" w:rsidR="006627AC" w:rsidRPr="00404DA5" w:rsidRDefault="006627AC" w:rsidP="009974B7">
            <w:pPr>
              <w:jc w:val="center"/>
              <w:rPr>
                <w:rFonts w:cs="Calibri"/>
                <w:sz w:val="18"/>
                <w:szCs w:val="18"/>
              </w:rPr>
            </w:pPr>
            <w:r w:rsidRPr="00404DA5">
              <w:rPr>
                <w:rFonts w:cs="Calibri"/>
                <w:sz w:val="18"/>
                <w:szCs w:val="18"/>
              </w:rPr>
              <w:t>727</w:t>
            </w:r>
          </w:p>
        </w:tc>
        <w:tc>
          <w:tcPr>
            <w:tcW w:w="1032" w:type="dxa"/>
            <w:shd w:val="clear" w:color="auto" w:fill="auto"/>
            <w:vAlign w:val="center"/>
          </w:tcPr>
          <w:p w14:paraId="6CBBD05D" w14:textId="77777777" w:rsidR="006627AC" w:rsidRPr="00404DA5" w:rsidRDefault="006627AC" w:rsidP="009974B7">
            <w:pPr>
              <w:jc w:val="center"/>
              <w:rPr>
                <w:rFonts w:cs="Calibri"/>
                <w:sz w:val="18"/>
                <w:szCs w:val="18"/>
              </w:rPr>
            </w:pPr>
            <w:r w:rsidRPr="00404DA5">
              <w:rPr>
                <w:rFonts w:cs="Calibri"/>
                <w:sz w:val="18"/>
                <w:szCs w:val="18"/>
              </w:rPr>
              <w:t>162%</w:t>
            </w:r>
          </w:p>
        </w:tc>
        <w:tc>
          <w:tcPr>
            <w:tcW w:w="1032" w:type="dxa"/>
            <w:shd w:val="clear" w:color="auto" w:fill="auto"/>
            <w:vAlign w:val="center"/>
          </w:tcPr>
          <w:p w14:paraId="7C35818F" w14:textId="77777777" w:rsidR="006627AC" w:rsidRPr="00404DA5" w:rsidRDefault="006627AC" w:rsidP="009974B7">
            <w:pPr>
              <w:jc w:val="center"/>
              <w:rPr>
                <w:rFonts w:cs="Calibri"/>
                <w:sz w:val="18"/>
                <w:szCs w:val="18"/>
              </w:rPr>
            </w:pPr>
            <w:r w:rsidRPr="00404DA5">
              <w:rPr>
                <w:rFonts w:cs="Calibri"/>
                <w:sz w:val="18"/>
                <w:szCs w:val="18"/>
              </w:rPr>
              <w:t>82</w:t>
            </w:r>
          </w:p>
        </w:tc>
        <w:tc>
          <w:tcPr>
            <w:tcW w:w="1032" w:type="dxa"/>
            <w:shd w:val="clear" w:color="auto" w:fill="auto"/>
            <w:vAlign w:val="center"/>
          </w:tcPr>
          <w:p w14:paraId="2BB83BDE" w14:textId="77777777" w:rsidR="006627AC" w:rsidRPr="00404DA5" w:rsidRDefault="006627AC" w:rsidP="009974B7">
            <w:pPr>
              <w:jc w:val="center"/>
              <w:rPr>
                <w:rFonts w:cs="Calibri"/>
                <w:sz w:val="18"/>
                <w:szCs w:val="18"/>
              </w:rPr>
            </w:pPr>
            <w:r w:rsidRPr="00404DA5">
              <w:rPr>
                <w:rFonts w:cs="Calibri"/>
                <w:sz w:val="18"/>
                <w:szCs w:val="18"/>
              </w:rPr>
              <w:t>58%</w:t>
            </w:r>
          </w:p>
        </w:tc>
      </w:tr>
      <w:tr w:rsidR="006627AC" w:rsidRPr="00EE5470" w14:paraId="6117A947" w14:textId="77777777" w:rsidTr="009974B7">
        <w:tc>
          <w:tcPr>
            <w:tcW w:w="675" w:type="dxa"/>
            <w:shd w:val="clear" w:color="auto" w:fill="auto"/>
            <w:vAlign w:val="center"/>
          </w:tcPr>
          <w:p w14:paraId="2E02D7AC" w14:textId="77777777" w:rsidR="006627AC" w:rsidRPr="00404DA5" w:rsidRDefault="006627AC" w:rsidP="009974B7">
            <w:pPr>
              <w:jc w:val="center"/>
              <w:rPr>
                <w:sz w:val="18"/>
                <w:szCs w:val="18"/>
              </w:rPr>
            </w:pPr>
          </w:p>
        </w:tc>
        <w:tc>
          <w:tcPr>
            <w:tcW w:w="709" w:type="dxa"/>
            <w:shd w:val="clear" w:color="auto" w:fill="auto"/>
            <w:vAlign w:val="center"/>
          </w:tcPr>
          <w:p w14:paraId="3E18ABE3" w14:textId="77777777" w:rsidR="006627AC" w:rsidRPr="00404DA5" w:rsidRDefault="006627AC" w:rsidP="009974B7">
            <w:pPr>
              <w:jc w:val="center"/>
              <w:rPr>
                <w:rFonts w:cs="Calibri"/>
                <w:sz w:val="18"/>
                <w:szCs w:val="18"/>
              </w:rPr>
            </w:pPr>
            <w:r w:rsidRPr="00404DA5">
              <w:rPr>
                <w:rFonts w:cs="Calibri"/>
                <w:sz w:val="18"/>
                <w:szCs w:val="18"/>
              </w:rPr>
              <w:t>6.6</w:t>
            </w:r>
          </w:p>
        </w:tc>
        <w:tc>
          <w:tcPr>
            <w:tcW w:w="2126" w:type="dxa"/>
            <w:shd w:val="clear" w:color="auto" w:fill="auto"/>
            <w:vAlign w:val="center"/>
          </w:tcPr>
          <w:p w14:paraId="53870B77" w14:textId="77777777" w:rsidR="006627AC" w:rsidRPr="00404DA5" w:rsidRDefault="006627AC" w:rsidP="009974B7">
            <w:pPr>
              <w:rPr>
                <w:rFonts w:cs="Calibri"/>
                <w:sz w:val="18"/>
                <w:szCs w:val="18"/>
              </w:rPr>
            </w:pPr>
          </w:p>
        </w:tc>
        <w:tc>
          <w:tcPr>
            <w:tcW w:w="709" w:type="dxa"/>
            <w:shd w:val="clear" w:color="auto" w:fill="auto"/>
            <w:vAlign w:val="center"/>
          </w:tcPr>
          <w:p w14:paraId="7ECFB290" w14:textId="77777777" w:rsidR="006627AC" w:rsidRPr="00404DA5" w:rsidRDefault="006627AC" w:rsidP="009974B7">
            <w:pPr>
              <w:jc w:val="center"/>
              <w:rPr>
                <w:rFonts w:cs="Calibri"/>
                <w:sz w:val="18"/>
                <w:szCs w:val="18"/>
              </w:rPr>
            </w:pPr>
          </w:p>
        </w:tc>
        <w:tc>
          <w:tcPr>
            <w:tcW w:w="941" w:type="dxa"/>
            <w:shd w:val="clear" w:color="auto" w:fill="auto"/>
            <w:vAlign w:val="center"/>
          </w:tcPr>
          <w:p w14:paraId="01023275"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4C565499" w14:textId="77777777" w:rsidR="006627AC" w:rsidRPr="00404DA5" w:rsidRDefault="006627AC" w:rsidP="009974B7">
            <w:pPr>
              <w:jc w:val="center"/>
              <w:rPr>
                <w:rFonts w:cs="Calibri"/>
                <w:sz w:val="18"/>
                <w:szCs w:val="18"/>
              </w:rPr>
            </w:pPr>
            <w:r w:rsidRPr="00404DA5">
              <w:rPr>
                <w:rFonts w:cs="Calibri"/>
                <w:sz w:val="18"/>
                <w:szCs w:val="18"/>
              </w:rPr>
              <w:t>687</w:t>
            </w:r>
          </w:p>
        </w:tc>
        <w:tc>
          <w:tcPr>
            <w:tcW w:w="1032" w:type="dxa"/>
            <w:shd w:val="clear" w:color="auto" w:fill="auto"/>
            <w:vAlign w:val="center"/>
          </w:tcPr>
          <w:p w14:paraId="26F83DDD" w14:textId="77777777" w:rsidR="006627AC" w:rsidRPr="00404DA5" w:rsidRDefault="006627AC" w:rsidP="009974B7">
            <w:pPr>
              <w:jc w:val="center"/>
              <w:rPr>
                <w:rFonts w:cs="Calibri"/>
                <w:sz w:val="18"/>
                <w:szCs w:val="18"/>
              </w:rPr>
            </w:pPr>
          </w:p>
        </w:tc>
        <w:tc>
          <w:tcPr>
            <w:tcW w:w="1032" w:type="dxa"/>
            <w:shd w:val="clear" w:color="auto" w:fill="auto"/>
            <w:vAlign w:val="center"/>
          </w:tcPr>
          <w:p w14:paraId="1C6A02C8" w14:textId="77777777" w:rsidR="006627AC" w:rsidRPr="00404DA5" w:rsidRDefault="006627AC" w:rsidP="009974B7">
            <w:pPr>
              <w:jc w:val="center"/>
              <w:rPr>
                <w:rFonts w:cs="Calibri"/>
                <w:sz w:val="18"/>
                <w:szCs w:val="18"/>
              </w:rPr>
            </w:pPr>
            <w:r w:rsidRPr="00404DA5">
              <w:rPr>
                <w:rFonts w:cs="Calibri"/>
                <w:sz w:val="18"/>
                <w:szCs w:val="18"/>
              </w:rPr>
              <w:t>82</w:t>
            </w:r>
          </w:p>
        </w:tc>
        <w:tc>
          <w:tcPr>
            <w:tcW w:w="1032" w:type="dxa"/>
            <w:shd w:val="clear" w:color="auto" w:fill="auto"/>
            <w:vAlign w:val="center"/>
          </w:tcPr>
          <w:p w14:paraId="29F96EAD" w14:textId="77777777" w:rsidR="006627AC" w:rsidRPr="00404DA5" w:rsidRDefault="006627AC" w:rsidP="009974B7">
            <w:pPr>
              <w:jc w:val="center"/>
              <w:rPr>
                <w:rFonts w:cs="Calibri"/>
                <w:sz w:val="18"/>
                <w:szCs w:val="18"/>
              </w:rPr>
            </w:pPr>
          </w:p>
        </w:tc>
      </w:tr>
      <w:tr w:rsidR="006627AC" w:rsidRPr="00EE5470" w14:paraId="6707B26E" w14:textId="77777777" w:rsidTr="009974B7">
        <w:tc>
          <w:tcPr>
            <w:tcW w:w="675" w:type="dxa"/>
            <w:shd w:val="clear" w:color="auto" w:fill="auto"/>
            <w:vAlign w:val="center"/>
          </w:tcPr>
          <w:p w14:paraId="63C5FF1A" w14:textId="77777777" w:rsidR="006627AC" w:rsidRPr="00404DA5" w:rsidRDefault="006627AC" w:rsidP="009974B7">
            <w:pPr>
              <w:jc w:val="center"/>
              <w:rPr>
                <w:sz w:val="18"/>
                <w:szCs w:val="18"/>
              </w:rPr>
            </w:pPr>
          </w:p>
        </w:tc>
        <w:tc>
          <w:tcPr>
            <w:tcW w:w="709" w:type="dxa"/>
            <w:shd w:val="clear" w:color="auto" w:fill="auto"/>
            <w:vAlign w:val="center"/>
          </w:tcPr>
          <w:p w14:paraId="3DD88161" w14:textId="77777777" w:rsidR="006627AC" w:rsidRPr="00404DA5" w:rsidRDefault="006627AC" w:rsidP="009974B7">
            <w:pPr>
              <w:jc w:val="center"/>
              <w:rPr>
                <w:rFonts w:cs="Calibri"/>
                <w:sz w:val="18"/>
                <w:szCs w:val="18"/>
              </w:rPr>
            </w:pPr>
            <w:r w:rsidRPr="00404DA5">
              <w:rPr>
                <w:rFonts w:cs="Calibri"/>
                <w:sz w:val="18"/>
                <w:szCs w:val="18"/>
              </w:rPr>
              <w:t>6.7</w:t>
            </w:r>
          </w:p>
        </w:tc>
        <w:tc>
          <w:tcPr>
            <w:tcW w:w="2126" w:type="dxa"/>
            <w:shd w:val="clear" w:color="auto" w:fill="auto"/>
            <w:vAlign w:val="center"/>
          </w:tcPr>
          <w:p w14:paraId="35E84686" w14:textId="77777777" w:rsidR="006627AC" w:rsidRPr="00404DA5" w:rsidRDefault="006627AC" w:rsidP="009974B7">
            <w:pPr>
              <w:rPr>
                <w:rFonts w:cs="Calibri"/>
                <w:sz w:val="18"/>
                <w:szCs w:val="18"/>
              </w:rPr>
            </w:pPr>
          </w:p>
        </w:tc>
        <w:tc>
          <w:tcPr>
            <w:tcW w:w="709" w:type="dxa"/>
            <w:shd w:val="clear" w:color="auto" w:fill="auto"/>
            <w:vAlign w:val="center"/>
          </w:tcPr>
          <w:p w14:paraId="2AE645D1" w14:textId="77777777" w:rsidR="006627AC" w:rsidRPr="00404DA5" w:rsidRDefault="006627AC" w:rsidP="009974B7">
            <w:pPr>
              <w:jc w:val="center"/>
              <w:rPr>
                <w:rFonts w:cs="Calibri"/>
                <w:sz w:val="18"/>
                <w:szCs w:val="18"/>
              </w:rPr>
            </w:pPr>
          </w:p>
        </w:tc>
        <w:tc>
          <w:tcPr>
            <w:tcW w:w="941" w:type="dxa"/>
            <w:shd w:val="clear" w:color="auto" w:fill="auto"/>
            <w:vAlign w:val="center"/>
          </w:tcPr>
          <w:p w14:paraId="5F11332C" w14:textId="77777777" w:rsidR="006627AC" w:rsidRPr="00404DA5" w:rsidRDefault="006627AC" w:rsidP="009974B7">
            <w:pPr>
              <w:jc w:val="center"/>
              <w:rPr>
                <w:rFonts w:cs="Calibri"/>
                <w:sz w:val="18"/>
                <w:szCs w:val="18"/>
              </w:rPr>
            </w:pPr>
            <w:r w:rsidRPr="00404DA5">
              <w:rPr>
                <w:rFonts w:cs="Calibri"/>
                <w:sz w:val="18"/>
                <w:szCs w:val="18"/>
              </w:rPr>
              <w:t>n/d</w:t>
            </w:r>
          </w:p>
        </w:tc>
        <w:tc>
          <w:tcPr>
            <w:tcW w:w="1032" w:type="dxa"/>
            <w:shd w:val="clear" w:color="auto" w:fill="auto"/>
            <w:vAlign w:val="center"/>
          </w:tcPr>
          <w:p w14:paraId="31E50D6E" w14:textId="77777777" w:rsidR="006627AC" w:rsidRPr="00404DA5" w:rsidRDefault="006627AC" w:rsidP="009974B7">
            <w:pPr>
              <w:jc w:val="center"/>
              <w:rPr>
                <w:rFonts w:cs="Calibri"/>
                <w:sz w:val="18"/>
                <w:szCs w:val="18"/>
              </w:rPr>
            </w:pPr>
            <w:r w:rsidRPr="00404DA5">
              <w:rPr>
                <w:rFonts w:cs="Calibri"/>
                <w:sz w:val="18"/>
                <w:szCs w:val="18"/>
              </w:rPr>
              <w:t>40</w:t>
            </w:r>
          </w:p>
        </w:tc>
        <w:tc>
          <w:tcPr>
            <w:tcW w:w="1032" w:type="dxa"/>
            <w:shd w:val="clear" w:color="auto" w:fill="auto"/>
            <w:vAlign w:val="center"/>
          </w:tcPr>
          <w:p w14:paraId="3B4104C3" w14:textId="77777777" w:rsidR="006627AC" w:rsidRPr="00404DA5" w:rsidRDefault="006627AC" w:rsidP="009974B7">
            <w:pPr>
              <w:jc w:val="center"/>
              <w:rPr>
                <w:rFonts w:cs="Calibri"/>
                <w:sz w:val="18"/>
                <w:szCs w:val="18"/>
              </w:rPr>
            </w:pPr>
          </w:p>
        </w:tc>
        <w:tc>
          <w:tcPr>
            <w:tcW w:w="1032" w:type="dxa"/>
            <w:shd w:val="clear" w:color="auto" w:fill="auto"/>
            <w:vAlign w:val="center"/>
          </w:tcPr>
          <w:p w14:paraId="48607179" w14:textId="77777777" w:rsidR="006627AC" w:rsidRPr="00404DA5" w:rsidRDefault="006627AC" w:rsidP="009974B7">
            <w:pPr>
              <w:jc w:val="center"/>
              <w:rPr>
                <w:rFonts w:cs="Calibri"/>
                <w:sz w:val="18"/>
                <w:szCs w:val="18"/>
              </w:rPr>
            </w:pPr>
            <w:r w:rsidRPr="00404DA5">
              <w:rPr>
                <w:rFonts w:cs="Calibri"/>
                <w:sz w:val="18"/>
                <w:szCs w:val="18"/>
              </w:rPr>
              <w:t>0</w:t>
            </w:r>
          </w:p>
        </w:tc>
        <w:tc>
          <w:tcPr>
            <w:tcW w:w="1032" w:type="dxa"/>
            <w:shd w:val="clear" w:color="auto" w:fill="auto"/>
            <w:vAlign w:val="center"/>
          </w:tcPr>
          <w:p w14:paraId="36EE177C" w14:textId="77777777" w:rsidR="006627AC" w:rsidRPr="00404DA5" w:rsidRDefault="006627AC" w:rsidP="009974B7">
            <w:pPr>
              <w:jc w:val="center"/>
              <w:rPr>
                <w:rFonts w:cs="Calibri"/>
                <w:sz w:val="18"/>
                <w:szCs w:val="18"/>
              </w:rPr>
            </w:pPr>
          </w:p>
        </w:tc>
      </w:tr>
    </w:tbl>
    <w:p w14:paraId="2D55239E" w14:textId="77777777" w:rsidR="006627AC" w:rsidRPr="00D21299" w:rsidRDefault="006627AC" w:rsidP="001245CE">
      <w:pPr>
        <w:spacing w:before="0"/>
        <w:rPr>
          <w:rFonts w:cs="Calibri"/>
          <w:i/>
          <w:sz w:val="18"/>
          <w:szCs w:val="18"/>
        </w:rPr>
      </w:pPr>
      <w:r w:rsidRPr="00D21299">
        <w:rPr>
          <w:rFonts w:cs="Calibri"/>
          <w:i/>
          <w:sz w:val="18"/>
          <w:szCs w:val="18"/>
        </w:rPr>
        <w:t>Źródło:</w:t>
      </w:r>
      <w:r w:rsidR="008B706B" w:rsidRPr="00D21299">
        <w:rPr>
          <w:rFonts w:cs="Calibri"/>
          <w:i/>
          <w:sz w:val="18"/>
          <w:szCs w:val="18"/>
        </w:rPr>
        <w:t xml:space="preserve"> </w:t>
      </w:r>
      <w:r w:rsidRPr="00D21299">
        <w:rPr>
          <w:rFonts w:cs="Calibri"/>
          <w:i/>
          <w:sz w:val="18"/>
          <w:szCs w:val="18"/>
        </w:rPr>
        <w:t>RPO WZ 2014-2020</w:t>
      </w:r>
      <w:r w:rsidR="00E66B89" w:rsidRPr="00D21299">
        <w:rPr>
          <w:rFonts w:cs="Calibri"/>
          <w:i/>
          <w:sz w:val="18"/>
          <w:szCs w:val="18"/>
        </w:rPr>
        <w:t xml:space="preserve"> z </w:t>
      </w:r>
      <w:r w:rsidRPr="00D21299">
        <w:rPr>
          <w:rFonts w:cs="Calibri"/>
          <w:i/>
          <w:sz w:val="18"/>
          <w:szCs w:val="18"/>
        </w:rPr>
        <w:t>26.07.2018 r., obliczenia własne na podstawie danych SL2014 na dzień 07.01.2019 r.</w:t>
      </w:r>
    </w:p>
    <w:p w14:paraId="36442F54" w14:textId="77777777" w:rsidR="006627AC" w:rsidRPr="00404DA5" w:rsidRDefault="006627AC" w:rsidP="006627AC">
      <w:pPr>
        <w:rPr>
          <w:rFonts w:cs="Calibri"/>
          <w:szCs w:val="20"/>
        </w:rPr>
      </w:pPr>
      <w:r w:rsidRPr="00404DA5">
        <w:rPr>
          <w:rFonts w:cs="Calibri"/>
          <w:szCs w:val="20"/>
        </w:rPr>
        <w:t>Wdrażanie działań związanych</w:t>
      </w:r>
      <w:r w:rsidR="00E66B89">
        <w:rPr>
          <w:rFonts w:cs="Calibri"/>
          <w:szCs w:val="20"/>
        </w:rPr>
        <w:t xml:space="preserve"> z </w:t>
      </w:r>
      <w:r w:rsidRPr="00404DA5">
        <w:rPr>
          <w:rFonts w:cs="Calibri"/>
          <w:szCs w:val="20"/>
        </w:rPr>
        <w:t>realizacją instrumentu terytorialnego</w:t>
      </w:r>
      <w:r w:rsidR="00E66B89">
        <w:rPr>
          <w:rFonts w:cs="Calibri"/>
          <w:szCs w:val="20"/>
        </w:rPr>
        <w:t xml:space="preserve"> w </w:t>
      </w:r>
      <w:r w:rsidRPr="00404DA5">
        <w:rPr>
          <w:rFonts w:cs="Calibri"/>
          <w:szCs w:val="20"/>
        </w:rPr>
        <w:t>formule KS</w:t>
      </w:r>
      <w:r w:rsidR="00E66B89">
        <w:rPr>
          <w:rFonts w:cs="Calibri"/>
          <w:szCs w:val="20"/>
        </w:rPr>
        <w:t xml:space="preserve"> w </w:t>
      </w:r>
      <w:r w:rsidRPr="00404DA5">
        <w:rPr>
          <w:rFonts w:cs="Calibri"/>
          <w:szCs w:val="20"/>
        </w:rPr>
        <w:t>ramach PI 8iv należy ocenić umiarkowanie pozytywnie</w:t>
      </w:r>
      <w:r w:rsidR="00E66B89">
        <w:rPr>
          <w:rFonts w:cs="Calibri"/>
          <w:szCs w:val="20"/>
        </w:rPr>
        <w:t xml:space="preserve"> w </w:t>
      </w:r>
      <w:r w:rsidRPr="00404DA5">
        <w:rPr>
          <w:rFonts w:cs="Calibri"/>
          <w:szCs w:val="20"/>
        </w:rPr>
        <w:t>szczególności ze względu na relatywnie niski potencjał</w:t>
      </w:r>
      <w:r w:rsidR="00E66B89">
        <w:rPr>
          <w:rFonts w:cs="Calibri"/>
          <w:szCs w:val="20"/>
        </w:rPr>
        <w:t xml:space="preserve"> w </w:t>
      </w:r>
      <w:r w:rsidRPr="00404DA5">
        <w:rPr>
          <w:rFonts w:cs="Calibri"/>
          <w:szCs w:val="20"/>
        </w:rPr>
        <w:t xml:space="preserve">zakresie absorpcji środków przeznaczonych na Działanie 6.7. </w:t>
      </w:r>
      <w:bookmarkStart w:id="376" w:name="_Hlk5262278"/>
      <w:r w:rsidRPr="00404DA5">
        <w:rPr>
          <w:rFonts w:cs="Calibri"/>
          <w:szCs w:val="20"/>
        </w:rPr>
        <w:t>Źródeł niskich możliwości absorpcyjnych należy upatrywać</w:t>
      </w:r>
      <w:r w:rsidR="00E66B89">
        <w:rPr>
          <w:rFonts w:cs="Calibri"/>
          <w:szCs w:val="20"/>
        </w:rPr>
        <w:t xml:space="preserve"> w </w:t>
      </w:r>
      <w:r w:rsidRPr="00404DA5">
        <w:rPr>
          <w:rFonts w:cs="Calibri"/>
          <w:szCs w:val="20"/>
        </w:rPr>
        <w:t>ujawnianych przez jednostki samorządu terytorialnego niepokojach związanych</w:t>
      </w:r>
      <w:r w:rsidR="00E66B89">
        <w:rPr>
          <w:rFonts w:cs="Calibri"/>
          <w:szCs w:val="20"/>
        </w:rPr>
        <w:t xml:space="preserve"> z </w:t>
      </w:r>
      <w:r w:rsidRPr="00404DA5">
        <w:rPr>
          <w:rFonts w:cs="Calibri"/>
          <w:szCs w:val="20"/>
        </w:rPr>
        <w:t>samą formułą KS polegającą na wspólnej realizacji projektu przez kilka samorządów terytorialnych oraz</w:t>
      </w:r>
      <w:r w:rsidR="00E66B89">
        <w:rPr>
          <w:rFonts w:cs="Calibri"/>
          <w:szCs w:val="20"/>
        </w:rPr>
        <w:t xml:space="preserve"> w </w:t>
      </w:r>
      <w:r w:rsidRPr="00404DA5">
        <w:rPr>
          <w:rFonts w:cs="Calibri"/>
          <w:szCs w:val="20"/>
        </w:rPr>
        <w:t>występujących</w:t>
      </w:r>
      <w:r w:rsidR="00E66B89">
        <w:rPr>
          <w:rFonts w:cs="Calibri"/>
          <w:szCs w:val="20"/>
        </w:rPr>
        <w:t xml:space="preserve"> z </w:t>
      </w:r>
      <w:r w:rsidRPr="00404DA5">
        <w:rPr>
          <w:rFonts w:cs="Calibri"/>
          <w:szCs w:val="20"/>
        </w:rPr>
        <w:t>tego tytułu dodatkowych obciążeniach</w:t>
      </w:r>
      <w:r w:rsidR="00E66B89">
        <w:rPr>
          <w:rFonts w:cs="Calibri"/>
          <w:szCs w:val="20"/>
        </w:rPr>
        <w:t xml:space="preserve"> w </w:t>
      </w:r>
      <w:r w:rsidRPr="00404DA5">
        <w:rPr>
          <w:rFonts w:cs="Calibri"/>
          <w:szCs w:val="20"/>
        </w:rPr>
        <w:t>realizacji projektów. Diagnozowane obawy</w:t>
      </w:r>
      <w:r w:rsidR="00E66B89">
        <w:rPr>
          <w:rFonts w:cs="Calibri"/>
          <w:szCs w:val="20"/>
        </w:rPr>
        <w:t xml:space="preserve"> i </w:t>
      </w:r>
      <w:r w:rsidRPr="00404DA5">
        <w:rPr>
          <w:rFonts w:cs="Calibri"/>
          <w:szCs w:val="20"/>
        </w:rPr>
        <w:t>niepokoje bardzo dobrze ilustruje poniższa wypowiedź jednego</w:t>
      </w:r>
      <w:r w:rsidR="00E66B89">
        <w:rPr>
          <w:rFonts w:cs="Calibri"/>
          <w:szCs w:val="20"/>
        </w:rPr>
        <w:t xml:space="preserve"> z </w:t>
      </w:r>
      <w:r w:rsidRPr="00404DA5">
        <w:rPr>
          <w:rFonts w:cs="Calibri"/>
          <w:szCs w:val="20"/>
        </w:rPr>
        <w:t>respondentów uczestniczącego</w:t>
      </w:r>
      <w:r w:rsidR="00E66B89">
        <w:rPr>
          <w:rFonts w:cs="Calibri"/>
          <w:szCs w:val="20"/>
        </w:rPr>
        <w:t xml:space="preserve"> w </w:t>
      </w:r>
      <w:r w:rsidRPr="00404DA5">
        <w:rPr>
          <w:rFonts w:cs="Calibri"/>
          <w:szCs w:val="20"/>
        </w:rPr>
        <w:t>badaniu:</w:t>
      </w:r>
    </w:p>
    <w:bookmarkEnd w:id="376"/>
    <w:p w14:paraId="70D87591" w14:textId="77777777" w:rsidR="006627AC" w:rsidRPr="00404DA5" w:rsidRDefault="006627AC" w:rsidP="006627AC">
      <w:pPr>
        <w:rPr>
          <w:rFonts w:cs="Calibri"/>
          <w:i/>
          <w:szCs w:val="20"/>
        </w:rPr>
      </w:pPr>
      <w:r w:rsidRPr="00404DA5">
        <w:rPr>
          <w:rFonts w:cs="Calibri"/>
          <w:i/>
          <w:szCs w:val="20"/>
        </w:rPr>
        <w:t>„(…)</w:t>
      </w:r>
      <w:r w:rsidR="00E66B89">
        <w:rPr>
          <w:rFonts w:cs="Calibri"/>
          <w:i/>
          <w:szCs w:val="20"/>
        </w:rPr>
        <w:t xml:space="preserve"> w </w:t>
      </w:r>
      <w:r w:rsidRPr="00404DA5">
        <w:rPr>
          <w:rFonts w:cs="Calibri"/>
          <w:i/>
          <w:szCs w:val="20"/>
        </w:rPr>
        <w:t>przypadku kontraktu jest tego więcej, ponieważ musimy się niejako</w:t>
      </w:r>
      <w:r w:rsidR="00E66B89">
        <w:rPr>
          <w:rFonts w:cs="Calibri"/>
          <w:i/>
          <w:szCs w:val="20"/>
        </w:rPr>
        <w:t xml:space="preserve"> z </w:t>
      </w:r>
      <w:r w:rsidRPr="00404DA5">
        <w:rPr>
          <w:rFonts w:cs="Calibri"/>
          <w:i/>
          <w:szCs w:val="20"/>
        </w:rPr>
        <w:t>projektów indywidualnie sprawozdawać</w:t>
      </w:r>
      <w:r w:rsidR="00E66B89">
        <w:rPr>
          <w:rFonts w:cs="Calibri"/>
          <w:i/>
          <w:szCs w:val="20"/>
        </w:rPr>
        <w:t xml:space="preserve"> i </w:t>
      </w:r>
      <w:r w:rsidRPr="00404DA5">
        <w:rPr>
          <w:rFonts w:cs="Calibri"/>
          <w:i/>
          <w:szCs w:val="20"/>
        </w:rPr>
        <w:t>musimy też raz na pół roku sprawozdanie</w:t>
      </w:r>
      <w:r w:rsidR="00E66B89">
        <w:rPr>
          <w:rFonts w:cs="Calibri"/>
          <w:i/>
          <w:szCs w:val="20"/>
        </w:rPr>
        <w:t xml:space="preserve"> z </w:t>
      </w:r>
      <w:r w:rsidRPr="00404DA5">
        <w:rPr>
          <w:rFonts w:cs="Calibri"/>
          <w:i/>
          <w:szCs w:val="20"/>
        </w:rPr>
        <w:t>całego kontraktu złożyć. Więc jakby tej pracy jest ciut więcej</w:t>
      </w:r>
      <w:r w:rsidR="00E66B89">
        <w:rPr>
          <w:rFonts w:cs="Calibri"/>
          <w:i/>
          <w:szCs w:val="20"/>
        </w:rPr>
        <w:t xml:space="preserve"> i </w:t>
      </w:r>
      <w:r w:rsidRPr="00404DA5">
        <w:rPr>
          <w:rFonts w:cs="Calibri"/>
          <w:i/>
          <w:szCs w:val="20"/>
        </w:rPr>
        <w:t>też jest taka groźba, może groźba to źle brzmi, ale jest zapis</w:t>
      </w:r>
      <w:r w:rsidR="00E66B89">
        <w:rPr>
          <w:rFonts w:cs="Calibri"/>
          <w:i/>
          <w:szCs w:val="20"/>
        </w:rPr>
        <w:t xml:space="preserve"> w </w:t>
      </w:r>
      <w:r w:rsidRPr="00404DA5">
        <w:rPr>
          <w:rFonts w:cs="Calibri"/>
          <w:i/>
          <w:szCs w:val="20"/>
        </w:rPr>
        <w:t>kontrakcie, że</w:t>
      </w:r>
      <w:r w:rsidR="00E66B89">
        <w:rPr>
          <w:rFonts w:cs="Calibri"/>
          <w:i/>
          <w:szCs w:val="20"/>
        </w:rPr>
        <w:t xml:space="preserve"> w </w:t>
      </w:r>
      <w:r w:rsidRPr="00404DA5">
        <w:rPr>
          <w:rFonts w:cs="Calibri"/>
          <w:i/>
          <w:szCs w:val="20"/>
        </w:rPr>
        <w:t>przypadku, kiedy któryś</w:t>
      </w:r>
      <w:r w:rsidR="00E66B89">
        <w:rPr>
          <w:rFonts w:cs="Calibri"/>
          <w:i/>
          <w:szCs w:val="20"/>
        </w:rPr>
        <w:t xml:space="preserve"> z </w:t>
      </w:r>
      <w:r w:rsidRPr="00404DA5">
        <w:rPr>
          <w:rFonts w:cs="Calibri"/>
          <w:i/>
          <w:szCs w:val="20"/>
        </w:rPr>
        <w:t>projektów, który jest objęty kontraktem, miałby nie być realizowany, któraś</w:t>
      </w:r>
      <w:r w:rsidR="00E66B89">
        <w:rPr>
          <w:rFonts w:cs="Calibri"/>
          <w:i/>
          <w:szCs w:val="20"/>
        </w:rPr>
        <w:t xml:space="preserve"> z </w:t>
      </w:r>
      <w:r w:rsidRPr="00404DA5">
        <w:rPr>
          <w:rFonts w:cs="Calibri"/>
          <w:i/>
          <w:szCs w:val="20"/>
        </w:rPr>
        <w:t>gmin by się wycofała</w:t>
      </w:r>
      <w:r w:rsidR="00E66B89">
        <w:rPr>
          <w:rFonts w:cs="Calibri"/>
          <w:i/>
          <w:szCs w:val="20"/>
        </w:rPr>
        <w:t xml:space="preserve"> z </w:t>
      </w:r>
      <w:r w:rsidRPr="00404DA5">
        <w:rPr>
          <w:rFonts w:cs="Calibri"/>
          <w:i/>
          <w:szCs w:val="20"/>
        </w:rPr>
        <w:t>różnych przyczyn, to instytucja zarządzająca może, ale oczywiście nie musi, taki kontrakt poddać</w:t>
      </w:r>
      <w:r w:rsidR="00E66B89">
        <w:rPr>
          <w:rFonts w:cs="Calibri"/>
          <w:i/>
          <w:szCs w:val="20"/>
        </w:rPr>
        <w:t xml:space="preserve"> w </w:t>
      </w:r>
      <w:r w:rsidRPr="00404DA5">
        <w:rPr>
          <w:rFonts w:cs="Calibri"/>
          <w:i/>
          <w:szCs w:val="20"/>
        </w:rPr>
        <w:t>wątpliwość</w:t>
      </w:r>
      <w:r w:rsidR="00E66B89">
        <w:rPr>
          <w:rFonts w:cs="Calibri"/>
          <w:i/>
          <w:szCs w:val="20"/>
        </w:rPr>
        <w:t xml:space="preserve"> i </w:t>
      </w:r>
      <w:r w:rsidRPr="00404DA5">
        <w:rPr>
          <w:rFonts w:cs="Calibri"/>
          <w:i/>
          <w:szCs w:val="20"/>
        </w:rPr>
        <w:t>go rozwiązać.</w:t>
      </w:r>
      <w:r w:rsidR="00E66B89">
        <w:rPr>
          <w:rFonts w:cs="Calibri"/>
          <w:i/>
          <w:szCs w:val="20"/>
        </w:rPr>
        <w:t xml:space="preserve"> I </w:t>
      </w:r>
      <w:r w:rsidRPr="00404DA5">
        <w:rPr>
          <w:rFonts w:cs="Calibri"/>
          <w:i/>
          <w:szCs w:val="20"/>
        </w:rPr>
        <w:t xml:space="preserve">to jest, dla gmin też pewne niebezpieczeństwo, bo są różne sytuacje </w:t>
      </w:r>
      <w:r w:rsidRPr="00404DA5">
        <w:rPr>
          <w:rFonts w:cs="Calibri"/>
          <w:i/>
          <w:szCs w:val="20"/>
        </w:rPr>
        <w:noBreakHyphen/>
        <w:t xml:space="preserve"> wiemy</w:t>
      </w:r>
      <w:r w:rsidR="00E66B89">
        <w:rPr>
          <w:rFonts w:cs="Calibri"/>
          <w:i/>
          <w:szCs w:val="20"/>
        </w:rPr>
        <w:t xml:space="preserve"> o </w:t>
      </w:r>
      <w:r w:rsidRPr="00404DA5">
        <w:rPr>
          <w:rFonts w:cs="Calibri"/>
          <w:i/>
          <w:szCs w:val="20"/>
        </w:rPr>
        <w:t>tym, że teraz,</w:t>
      </w:r>
      <w:r w:rsidR="00E66B89">
        <w:rPr>
          <w:rFonts w:cs="Calibri"/>
          <w:i/>
          <w:szCs w:val="20"/>
        </w:rPr>
        <w:t xml:space="preserve"> w </w:t>
      </w:r>
      <w:r w:rsidRPr="00404DA5">
        <w:rPr>
          <w:rFonts w:cs="Calibri"/>
          <w:i/>
          <w:szCs w:val="20"/>
        </w:rPr>
        <w:t>poprzednim roku, były wybierane nowe władze gmin</w:t>
      </w:r>
      <w:r w:rsidR="00E66B89">
        <w:rPr>
          <w:rFonts w:cs="Calibri"/>
          <w:i/>
          <w:szCs w:val="20"/>
        </w:rPr>
        <w:t xml:space="preserve"> i </w:t>
      </w:r>
      <w:r w:rsidRPr="00404DA5">
        <w:rPr>
          <w:rFonts w:cs="Calibri"/>
          <w:i/>
          <w:szCs w:val="20"/>
        </w:rPr>
        <w:t>nie zawsze ta polityka jest kontynuowana, czy</w:t>
      </w:r>
      <w:r w:rsidR="00E66B89">
        <w:rPr>
          <w:rFonts w:cs="Calibri"/>
          <w:i/>
          <w:szCs w:val="20"/>
        </w:rPr>
        <w:t xml:space="preserve"> z </w:t>
      </w:r>
      <w:r w:rsidRPr="00404DA5">
        <w:rPr>
          <w:rFonts w:cs="Calibri"/>
          <w:i/>
          <w:szCs w:val="20"/>
        </w:rPr>
        <w:t>taką chęcią, jak była na samym początku deklarowana.</w:t>
      </w:r>
      <w:r w:rsidR="00E66B89">
        <w:rPr>
          <w:rFonts w:cs="Calibri"/>
          <w:i/>
          <w:szCs w:val="20"/>
        </w:rPr>
        <w:t xml:space="preserve"> W </w:t>
      </w:r>
      <w:r w:rsidRPr="00404DA5">
        <w:rPr>
          <w:rFonts w:cs="Calibri"/>
          <w:i/>
          <w:szCs w:val="20"/>
        </w:rPr>
        <w:t>związku</w:t>
      </w:r>
      <w:r w:rsidR="00E66B89">
        <w:rPr>
          <w:rFonts w:cs="Calibri"/>
          <w:i/>
          <w:szCs w:val="20"/>
        </w:rPr>
        <w:t xml:space="preserve"> z </w:t>
      </w:r>
      <w:r w:rsidRPr="00404DA5">
        <w:rPr>
          <w:rFonts w:cs="Calibri"/>
          <w:i/>
          <w:szCs w:val="20"/>
        </w:rPr>
        <w:t>tym jest to niebezpieczeństwo, że gdyby coś się zdarzyło, to wszystkie gminy mogą ucierpieć, (…) kontrakt jest rozwiązywany, więc wszyscy by musieli takie środki zwracać”</w:t>
      </w:r>
      <w:r w:rsidRPr="00404DA5">
        <w:rPr>
          <w:rStyle w:val="Odwoanieprzypisudolnego"/>
          <w:rFonts w:cs="Calibri"/>
          <w:i/>
          <w:szCs w:val="20"/>
        </w:rPr>
        <w:footnoteReference w:id="156"/>
      </w:r>
    </w:p>
    <w:p w14:paraId="3B232387" w14:textId="77777777" w:rsidR="006627AC" w:rsidRPr="00404DA5" w:rsidRDefault="006627AC" w:rsidP="006627AC">
      <w:pPr>
        <w:rPr>
          <w:rFonts w:cs="Calibri"/>
          <w:szCs w:val="20"/>
        </w:rPr>
      </w:pPr>
      <w:r w:rsidRPr="00404DA5">
        <w:rPr>
          <w:rFonts w:cs="Calibri"/>
          <w:szCs w:val="20"/>
        </w:rPr>
        <w:t>Dla skutecznej realizacji projektów znaczenie ma również sytuacja na rynku podwykonawców, dostęp do podwykonawców oraz zmiany</w:t>
      </w:r>
      <w:r w:rsidR="00E66B89">
        <w:rPr>
          <w:rFonts w:cs="Calibri"/>
          <w:szCs w:val="20"/>
        </w:rPr>
        <w:t xml:space="preserve"> w </w:t>
      </w:r>
      <w:r w:rsidRPr="00404DA5">
        <w:rPr>
          <w:rFonts w:cs="Calibri"/>
          <w:szCs w:val="20"/>
        </w:rPr>
        <w:t>cenach produktów</w:t>
      </w:r>
      <w:r w:rsidR="00E66B89">
        <w:rPr>
          <w:rFonts w:cs="Calibri"/>
          <w:szCs w:val="20"/>
        </w:rPr>
        <w:t xml:space="preserve"> i </w:t>
      </w:r>
      <w:r w:rsidRPr="00404DA5">
        <w:rPr>
          <w:rFonts w:cs="Calibri"/>
          <w:szCs w:val="20"/>
        </w:rPr>
        <w:t>usług; choć należy zauważyć, że czynnik ten determinuje</w:t>
      </w:r>
      <w:r w:rsidR="00E66B89">
        <w:rPr>
          <w:rFonts w:cs="Calibri"/>
          <w:szCs w:val="20"/>
        </w:rPr>
        <w:t xml:space="preserve"> w </w:t>
      </w:r>
      <w:r w:rsidRPr="00404DA5">
        <w:rPr>
          <w:rFonts w:cs="Calibri"/>
          <w:szCs w:val="20"/>
        </w:rPr>
        <w:t>podobnym stopniu projekty realizowane</w:t>
      </w:r>
      <w:r w:rsidR="00E66B89">
        <w:rPr>
          <w:rFonts w:cs="Calibri"/>
          <w:szCs w:val="20"/>
        </w:rPr>
        <w:t xml:space="preserve"> w </w:t>
      </w:r>
      <w:r w:rsidRPr="00404DA5">
        <w:rPr>
          <w:rFonts w:cs="Calibri"/>
          <w:szCs w:val="20"/>
        </w:rPr>
        <w:t>działaniu 6.7 co</w:t>
      </w:r>
      <w:r w:rsidR="00E66B89">
        <w:rPr>
          <w:rFonts w:cs="Calibri"/>
          <w:szCs w:val="20"/>
        </w:rPr>
        <w:t xml:space="preserve"> w </w:t>
      </w:r>
      <w:r w:rsidRPr="00404DA5">
        <w:rPr>
          <w:rFonts w:cs="Calibri"/>
          <w:szCs w:val="20"/>
        </w:rPr>
        <w:t>Działaniu 6.6</w:t>
      </w:r>
    </w:p>
    <w:p w14:paraId="4E16C297" w14:textId="77777777" w:rsidR="006627AC" w:rsidRDefault="006627AC" w:rsidP="006627AC">
      <w:pPr>
        <w:rPr>
          <w:rFonts w:cs="Calibri"/>
          <w:i/>
          <w:szCs w:val="20"/>
        </w:rPr>
      </w:pPr>
      <w:r w:rsidRPr="00404DA5">
        <w:rPr>
          <w:rFonts w:cs="Calibri"/>
          <w:i/>
          <w:szCs w:val="20"/>
        </w:rPr>
        <w:t>„Niektóre gminy</w:t>
      </w:r>
      <w:r w:rsidR="00E66B89">
        <w:rPr>
          <w:rFonts w:cs="Calibri"/>
          <w:i/>
          <w:szCs w:val="20"/>
        </w:rPr>
        <w:t xml:space="preserve"> w </w:t>
      </w:r>
      <w:r w:rsidRPr="00404DA5">
        <w:rPr>
          <w:rFonts w:cs="Calibri"/>
          <w:i/>
          <w:szCs w:val="20"/>
        </w:rPr>
        <w:t>ogóle nie rozpoczęły s</w:t>
      </w:r>
      <w:r>
        <w:rPr>
          <w:rFonts w:cs="Calibri"/>
          <w:i/>
          <w:szCs w:val="20"/>
        </w:rPr>
        <w:t>wo</w:t>
      </w:r>
      <w:r w:rsidRPr="00404DA5">
        <w:rPr>
          <w:rFonts w:cs="Calibri"/>
          <w:i/>
          <w:szCs w:val="20"/>
        </w:rPr>
        <w:t>ich projektów, właśnie dlatego, że mają pewne problemy chociażby</w:t>
      </w:r>
      <w:r w:rsidR="00E66B89">
        <w:rPr>
          <w:rFonts w:cs="Calibri"/>
          <w:i/>
          <w:szCs w:val="20"/>
        </w:rPr>
        <w:t xml:space="preserve"> z </w:t>
      </w:r>
      <w:r w:rsidRPr="00404DA5">
        <w:rPr>
          <w:rFonts w:cs="Calibri"/>
          <w:i/>
          <w:szCs w:val="20"/>
        </w:rPr>
        <w:t>wyłonieniem wykonawców, (…) ceny usług czy robót budowlanych poszły szalenie do góry</w:t>
      </w:r>
      <w:r w:rsidR="00E66B89">
        <w:rPr>
          <w:rFonts w:cs="Calibri"/>
          <w:i/>
          <w:szCs w:val="20"/>
        </w:rPr>
        <w:t xml:space="preserve"> w </w:t>
      </w:r>
      <w:r w:rsidRPr="00404DA5">
        <w:rPr>
          <w:rFonts w:cs="Calibri"/>
          <w:i/>
          <w:szCs w:val="20"/>
        </w:rPr>
        <w:t>stosunku do tego, co było pierwotnie (zakładane – przypis badacza). Minęły tak naprawdę, 4 lata od momentu, kiedy my zgłosiliśmy akces do kontraktu, zaproponowaliśmy pewne projekty, to był 2015 rok chyba,</w:t>
      </w:r>
      <w:r w:rsidR="00E66B89">
        <w:rPr>
          <w:rFonts w:cs="Calibri"/>
          <w:i/>
          <w:szCs w:val="20"/>
        </w:rPr>
        <w:t xml:space="preserve"> a </w:t>
      </w:r>
      <w:r w:rsidRPr="00404DA5">
        <w:rPr>
          <w:rFonts w:cs="Calibri"/>
          <w:i/>
          <w:szCs w:val="20"/>
        </w:rPr>
        <w:t>później już podpisanie umów 2016 rok. Wtedy bazowaliśmy na cenach, które istniały wówczas. To wszystko się bardzo zmieniło”</w:t>
      </w:r>
      <w:r w:rsidRPr="00404DA5">
        <w:rPr>
          <w:rStyle w:val="Odwoanieprzypisudolnego"/>
          <w:rFonts w:cs="Calibri"/>
          <w:i/>
          <w:szCs w:val="20"/>
        </w:rPr>
        <w:footnoteReference w:id="157"/>
      </w:r>
      <w:r w:rsidRPr="00404DA5">
        <w:rPr>
          <w:rFonts w:cs="Calibri"/>
          <w:i/>
          <w:szCs w:val="20"/>
        </w:rPr>
        <w:t>.</w:t>
      </w:r>
    </w:p>
    <w:p w14:paraId="5A33FECF" w14:textId="77777777" w:rsidR="006627AC" w:rsidRPr="00A87D0A" w:rsidRDefault="006627AC" w:rsidP="006627AC">
      <w:pPr>
        <w:rPr>
          <w:rFonts w:eastAsia="Calibri"/>
        </w:rPr>
      </w:pPr>
      <w:r>
        <w:rPr>
          <w:rFonts w:eastAsia="Calibri"/>
        </w:rPr>
        <w:t>Istotnym czynnikiem zewnętrznym decydującym</w:t>
      </w:r>
      <w:r w:rsidR="00E66B89">
        <w:rPr>
          <w:rFonts w:eastAsia="Calibri"/>
        </w:rPr>
        <w:t xml:space="preserve"> o </w:t>
      </w:r>
      <w:r w:rsidRPr="00A87D0A">
        <w:rPr>
          <w:rFonts w:eastAsia="Calibri"/>
        </w:rPr>
        <w:t>niski</w:t>
      </w:r>
      <w:r>
        <w:rPr>
          <w:rFonts w:eastAsia="Calibri"/>
        </w:rPr>
        <w:t>m</w:t>
      </w:r>
      <w:r w:rsidRPr="00A87D0A">
        <w:rPr>
          <w:rFonts w:eastAsia="Calibri"/>
        </w:rPr>
        <w:t xml:space="preserve"> potencja</w:t>
      </w:r>
      <w:r>
        <w:rPr>
          <w:rFonts w:eastAsia="Calibri"/>
        </w:rPr>
        <w:t>le</w:t>
      </w:r>
      <w:r w:rsidR="00E66B89">
        <w:rPr>
          <w:rFonts w:eastAsia="Calibri"/>
        </w:rPr>
        <w:t xml:space="preserve"> w </w:t>
      </w:r>
      <w:r w:rsidRPr="00A87D0A">
        <w:rPr>
          <w:rFonts w:eastAsia="Calibri"/>
        </w:rPr>
        <w:t xml:space="preserve">zakresie absorpcji środków przeznaczonych na Działanie 6.7 </w:t>
      </w:r>
      <w:r>
        <w:rPr>
          <w:rFonts w:eastAsia="Calibri"/>
        </w:rPr>
        <w:t xml:space="preserve">są </w:t>
      </w:r>
      <w:r w:rsidRPr="00A87D0A">
        <w:rPr>
          <w:rFonts w:eastAsia="Calibri"/>
        </w:rPr>
        <w:t>formalno-prawn</w:t>
      </w:r>
      <w:r>
        <w:rPr>
          <w:rFonts w:eastAsia="Calibri"/>
        </w:rPr>
        <w:t>e aspekty</w:t>
      </w:r>
      <w:r w:rsidRPr="00A87D0A">
        <w:rPr>
          <w:rFonts w:eastAsia="Calibri"/>
        </w:rPr>
        <w:t xml:space="preserve"> utworzeni</w:t>
      </w:r>
      <w:r>
        <w:rPr>
          <w:rFonts w:eastAsia="Calibri"/>
        </w:rPr>
        <w:t>a</w:t>
      </w:r>
      <w:r w:rsidRPr="00A87D0A">
        <w:rPr>
          <w:rFonts w:eastAsia="Calibri"/>
        </w:rPr>
        <w:t xml:space="preserve"> miejsca opieki nad dziećmi do lat 3. </w:t>
      </w:r>
      <w:r>
        <w:rPr>
          <w:rFonts w:eastAsia="Calibri"/>
        </w:rPr>
        <w:t>Ponadto,</w:t>
      </w:r>
      <w:r w:rsidR="00E66B89">
        <w:rPr>
          <w:rFonts w:eastAsia="Calibri"/>
        </w:rPr>
        <w:t xml:space="preserve"> w </w:t>
      </w:r>
      <w:r w:rsidRPr="00A87D0A">
        <w:rPr>
          <w:rFonts w:eastAsia="Calibri"/>
        </w:rPr>
        <w:t>projektach konieczne jest zapewnienia trwałości utworzonego miejsca opieki, co jest czynnikiem zniechęcających jednostki samorządu terytorialnego do wspólnego ubiegania się</w:t>
      </w:r>
      <w:r w:rsidR="00E66B89">
        <w:rPr>
          <w:rFonts w:eastAsia="Calibri"/>
        </w:rPr>
        <w:t xml:space="preserve"> o </w:t>
      </w:r>
      <w:r w:rsidRPr="00A87D0A">
        <w:rPr>
          <w:rFonts w:eastAsia="Calibri"/>
        </w:rPr>
        <w:t>środki.</w:t>
      </w:r>
    </w:p>
    <w:p w14:paraId="3F39DD8F" w14:textId="77777777" w:rsidR="001D3274" w:rsidRDefault="001D3274">
      <w:pPr>
        <w:spacing w:before="0" w:after="0" w:line="240" w:lineRule="auto"/>
        <w:jc w:val="left"/>
        <w:rPr>
          <w:rFonts w:eastAsia="Calibri"/>
          <w:b/>
          <w:bCs/>
          <w:i/>
          <w:iCs/>
          <w:color w:val="4F81BD"/>
          <w:szCs w:val="20"/>
          <w:lang w:val="x-none" w:eastAsia="x-none"/>
        </w:rPr>
      </w:pPr>
      <w:r>
        <w:rPr>
          <w:rFonts w:eastAsia="Calibri"/>
          <w:szCs w:val="20"/>
        </w:rPr>
        <w:br w:type="page"/>
      </w:r>
    </w:p>
    <w:p w14:paraId="17C330E1" w14:textId="56EC3854" w:rsidR="00CB79B5" w:rsidRDefault="00CB79B5" w:rsidP="00145C9E">
      <w:pPr>
        <w:pStyle w:val="Nagwek4"/>
        <w:numPr>
          <w:ilvl w:val="0"/>
          <w:numId w:val="0"/>
        </w:numPr>
        <w:rPr>
          <w:rFonts w:ascii="Lato" w:eastAsia="Calibri" w:hAnsi="Lato"/>
          <w:szCs w:val="20"/>
        </w:rPr>
      </w:pPr>
      <w:r>
        <w:rPr>
          <w:rFonts w:ascii="Lato" w:eastAsia="Calibri" w:hAnsi="Lato"/>
          <w:szCs w:val="20"/>
        </w:rPr>
        <w:lastRenderedPageBreak/>
        <w:t>Oś priorytetowa VIII</w:t>
      </w:r>
    </w:p>
    <w:p w14:paraId="3636EDDF" w14:textId="77777777" w:rsidR="00CB79B5" w:rsidRPr="00404DA5" w:rsidRDefault="00CB79B5" w:rsidP="00404DA5">
      <w:pPr>
        <w:shd w:val="clear" w:color="auto" w:fill="DBE5F1"/>
        <w:rPr>
          <w:rFonts w:eastAsia="Calibri" w:cs="Calibri"/>
          <w:b/>
          <w:szCs w:val="20"/>
        </w:rPr>
      </w:pPr>
      <w:r w:rsidRPr="00404DA5">
        <w:rPr>
          <w:rFonts w:eastAsia="Calibri" w:cs="Calibri"/>
          <w:b/>
          <w:szCs w:val="20"/>
        </w:rPr>
        <w:t>Mechanizmy terytorialne</w:t>
      </w:r>
      <w:r w:rsidR="00E66B89">
        <w:rPr>
          <w:rFonts w:eastAsia="Calibri" w:cs="Calibri"/>
          <w:b/>
          <w:szCs w:val="20"/>
        </w:rPr>
        <w:t xml:space="preserve"> w </w:t>
      </w:r>
      <w:r w:rsidRPr="00404DA5">
        <w:rPr>
          <w:rFonts w:eastAsia="Calibri" w:cs="Calibri"/>
          <w:b/>
          <w:szCs w:val="20"/>
        </w:rPr>
        <w:t>PI 10i</w:t>
      </w:r>
    </w:p>
    <w:p w14:paraId="74505E73" w14:textId="77777777" w:rsidR="00291431" w:rsidRPr="00404DA5" w:rsidRDefault="00291431" w:rsidP="00291431">
      <w:pPr>
        <w:rPr>
          <w:rFonts w:cs="Calibri"/>
          <w:szCs w:val="20"/>
        </w:rPr>
      </w:pPr>
      <w:r w:rsidRPr="00404DA5">
        <w:rPr>
          <w:rFonts w:cs="Calibri"/>
          <w:szCs w:val="20"/>
        </w:rPr>
        <w:t>Instrument ZIT</w:t>
      </w:r>
      <w:r w:rsidR="00E66B89">
        <w:rPr>
          <w:rFonts w:cs="Calibri"/>
          <w:szCs w:val="20"/>
        </w:rPr>
        <w:t xml:space="preserve"> w </w:t>
      </w:r>
      <w:r w:rsidRPr="00404DA5">
        <w:rPr>
          <w:rFonts w:cs="Calibri"/>
          <w:szCs w:val="20"/>
        </w:rPr>
        <w:t>priorytecie inwestycyjnym 10i zaplanowano dla Działania 8.3 (ZIT SOM) oraz Działania 8.4 (ZIT KKBOF). Ponadto</w:t>
      </w:r>
      <w:r w:rsidR="00E66B89">
        <w:rPr>
          <w:rFonts w:cs="Calibri"/>
          <w:szCs w:val="20"/>
        </w:rPr>
        <w:t xml:space="preserve"> w </w:t>
      </w:r>
      <w:r w:rsidRPr="00404DA5">
        <w:rPr>
          <w:rFonts w:cs="Calibri"/>
          <w:szCs w:val="20"/>
        </w:rPr>
        <w:t>Priorytecie tym zastosowano interwencję</w:t>
      </w:r>
      <w:r w:rsidR="00E66B89">
        <w:rPr>
          <w:rFonts w:cs="Calibri"/>
          <w:szCs w:val="20"/>
        </w:rPr>
        <w:t xml:space="preserve"> w </w:t>
      </w:r>
      <w:r w:rsidRPr="00404DA5">
        <w:rPr>
          <w:rFonts w:cs="Calibri"/>
          <w:szCs w:val="20"/>
        </w:rPr>
        <w:t xml:space="preserve">ramach Kontraktów Samorządowych (Działanie 8.5). Pod względem zakresu interwencji największa różnica między tymi </w:t>
      </w:r>
      <w:r>
        <w:rPr>
          <w:rFonts w:cs="Calibri"/>
          <w:szCs w:val="20"/>
        </w:rPr>
        <w:t>D</w:t>
      </w:r>
      <w:r w:rsidRPr="00404DA5">
        <w:rPr>
          <w:rFonts w:cs="Calibri"/>
          <w:szCs w:val="20"/>
        </w:rPr>
        <w:t>ziałaniami odnosi się do braku wsparcia dla edukacji przedszkolnej</w:t>
      </w:r>
      <w:r w:rsidR="00E66B89">
        <w:rPr>
          <w:rFonts w:cs="Calibri"/>
          <w:szCs w:val="20"/>
        </w:rPr>
        <w:t xml:space="preserve"> w </w:t>
      </w:r>
      <w:r w:rsidRPr="00404DA5">
        <w:rPr>
          <w:rFonts w:cs="Calibri"/>
          <w:szCs w:val="20"/>
        </w:rPr>
        <w:t xml:space="preserve">ramach ZIT Szczecińskiego Obszaru Metropolitalnego. </w:t>
      </w:r>
    </w:p>
    <w:p w14:paraId="4A4444D5" w14:textId="77777777" w:rsidR="00291431" w:rsidRPr="00404DA5" w:rsidRDefault="00291431" w:rsidP="00291431">
      <w:pPr>
        <w:rPr>
          <w:rFonts w:cs="Calibri"/>
          <w:color w:val="FF0000"/>
          <w:szCs w:val="20"/>
        </w:rPr>
      </w:pPr>
      <w:r w:rsidRPr="00404DA5">
        <w:rPr>
          <w:rFonts w:cs="Calibri"/>
          <w:szCs w:val="20"/>
        </w:rPr>
        <w:t>Porównując stopień kontraktacji Działań 8.1</w:t>
      </w:r>
      <w:r w:rsidR="00E66B89">
        <w:rPr>
          <w:rFonts w:cs="Calibri"/>
          <w:szCs w:val="20"/>
        </w:rPr>
        <w:t xml:space="preserve"> i </w:t>
      </w:r>
      <w:r w:rsidRPr="00404DA5">
        <w:rPr>
          <w:rFonts w:cs="Calibri"/>
          <w:szCs w:val="20"/>
        </w:rPr>
        <w:t>8.2, skierowanych do całego obszaru województwa</w:t>
      </w:r>
      <w:r w:rsidR="00E66B89">
        <w:rPr>
          <w:rFonts w:cs="Calibri"/>
          <w:szCs w:val="20"/>
        </w:rPr>
        <w:t xml:space="preserve"> z </w:t>
      </w:r>
      <w:r w:rsidRPr="00404DA5">
        <w:rPr>
          <w:rFonts w:cs="Calibri"/>
          <w:szCs w:val="20"/>
        </w:rPr>
        <w:t>działaniami realizującymi instrumenty terytorialne, można zwrócić uwagę, że szczególnie wysokim poziomem kontraktacji wyróżniają się działania 8.3 (96,6% zakontraktowanej alokacji)</w:t>
      </w:r>
      <w:r w:rsidR="00E66B89">
        <w:rPr>
          <w:rFonts w:cs="Calibri"/>
          <w:szCs w:val="20"/>
        </w:rPr>
        <w:t xml:space="preserve"> i </w:t>
      </w:r>
      <w:r w:rsidRPr="00404DA5">
        <w:rPr>
          <w:rFonts w:cs="Calibri"/>
          <w:szCs w:val="20"/>
        </w:rPr>
        <w:t>8.5 (94,4%). Interwencja</w:t>
      </w:r>
      <w:r w:rsidR="00E66B89">
        <w:rPr>
          <w:rFonts w:cs="Calibri"/>
          <w:szCs w:val="20"/>
        </w:rPr>
        <w:t xml:space="preserve"> w </w:t>
      </w:r>
      <w:r w:rsidRPr="00404DA5">
        <w:rPr>
          <w:rFonts w:cs="Calibri"/>
          <w:szCs w:val="20"/>
        </w:rPr>
        <w:t>obszarze szkolnictwa ogólnego</w:t>
      </w:r>
      <w:r w:rsidR="00E66B89">
        <w:rPr>
          <w:rFonts w:cs="Calibri"/>
          <w:szCs w:val="20"/>
        </w:rPr>
        <w:t xml:space="preserve"> i </w:t>
      </w:r>
      <w:r w:rsidRPr="00404DA5">
        <w:rPr>
          <w:rFonts w:cs="Calibri"/>
          <w:szCs w:val="20"/>
        </w:rPr>
        <w:t>przedszkoli jest znacznie mniej skuteczna</w:t>
      </w:r>
      <w:r w:rsidR="00E66B89">
        <w:rPr>
          <w:rFonts w:cs="Calibri"/>
          <w:szCs w:val="20"/>
        </w:rPr>
        <w:t xml:space="preserve"> w </w:t>
      </w:r>
      <w:r w:rsidRPr="00404DA5">
        <w:rPr>
          <w:rFonts w:cs="Calibri"/>
          <w:szCs w:val="20"/>
        </w:rPr>
        <w:t>ramach ZIT dla Koszalińsko-Kołobrzesko-Białogardzkiego Obszaru Funkcjonalnego (65,6%),</w:t>
      </w:r>
      <w:r w:rsidR="00E66B89">
        <w:rPr>
          <w:rFonts w:cs="Calibri"/>
          <w:szCs w:val="20"/>
        </w:rPr>
        <w:t xml:space="preserve"> w </w:t>
      </w:r>
      <w:r w:rsidRPr="00404DA5">
        <w:rPr>
          <w:rFonts w:cs="Calibri"/>
          <w:szCs w:val="20"/>
        </w:rPr>
        <w:t>którym realizowanych było dotychczas</w:t>
      </w:r>
      <w:r>
        <w:rPr>
          <w:rFonts w:cs="Calibri"/>
          <w:szCs w:val="20"/>
        </w:rPr>
        <w:t xml:space="preserve"> </w:t>
      </w:r>
      <w:r w:rsidRPr="00404DA5">
        <w:rPr>
          <w:rFonts w:cs="Calibri"/>
          <w:szCs w:val="20"/>
        </w:rPr>
        <w:t>zaledwie 9 projektów. Także</w:t>
      </w:r>
      <w:r w:rsidR="00E66B89">
        <w:rPr>
          <w:rFonts w:cs="Calibri"/>
          <w:szCs w:val="20"/>
        </w:rPr>
        <w:t xml:space="preserve"> w </w:t>
      </w:r>
      <w:r w:rsidRPr="00404DA5">
        <w:rPr>
          <w:rFonts w:cs="Calibri"/>
          <w:szCs w:val="20"/>
        </w:rPr>
        <w:t>tym Priorytecie Inwestycyjnym rozkład kosztów projektów kształtuje się adekwatnie do rangi ośrodków miejskich, których dotyczą poszczególne działania. Obserwowana jest znacznie niższa średnia wartość realizowanych projektów</w:t>
      </w:r>
      <w:r w:rsidR="00E66B89">
        <w:rPr>
          <w:rFonts w:cs="Calibri"/>
          <w:szCs w:val="20"/>
        </w:rPr>
        <w:t xml:space="preserve"> w </w:t>
      </w:r>
      <w:r w:rsidRPr="00404DA5">
        <w:rPr>
          <w:rFonts w:cs="Calibri"/>
          <w:szCs w:val="20"/>
        </w:rPr>
        <w:t>ramach Kontraktów Samorządowych,</w:t>
      </w:r>
      <w:r w:rsidR="00E66B89">
        <w:rPr>
          <w:rFonts w:cs="Calibri"/>
          <w:szCs w:val="20"/>
        </w:rPr>
        <w:t xml:space="preserve"> w </w:t>
      </w:r>
      <w:r w:rsidRPr="00404DA5">
        <w:rPr>
          <w:rFonts w:cs="Calibri"/>
          <w:szCs w:val="20"/>
        </w:rPr>
        <w:t xml:space="preserve">porównaniu do Szczecińskiego Obszaru Metropolitalnego. </w:t>
      </w:r>
    </w:p>
    <w:p w14:paraId="38117E50" w14:textId="77777777" w:rsidR="00291431" w:rsidRPr="00EE5470" w:rsidRDefault="00291431" w:rsidP="00024F00">
      <w:pPr>
        <w:pStyle w:val="Legenda"/>
        <w:spacing w:after="0"/>
      </w:pPr>
      <w:bookmarkStart w:id="377" w:name="_Toc8824279"/>
      <w:r w:rsidRPr="00EE5470">
        <w:t xml:space="preserve">Tabela </w:t>
      </w:r>
      <w:r>
        <w:fldChar w:fldCharType="begin"/>
      </w:r>
      <w:r>
        <w:instrText xml:space="preserve"> SEQ Tabela \* ARABIC </w:instrText>
      </w:r>
      <w:r>
        <w:fldChar w:fldCharType="separate"/>
      </w:r>
      <w:r w:rsidR="00763345">
        <w:rPr>
          <w:noProof/>
        </w:rPr>
        <w:t>168</w:t>
      </w:r>
      <w:r>
        <w:fldChar w:fldCharType="end"/>
      </w:r>
      <w:r w:rsidRPr="00EE5470">
        <w:t xml:space="preserve"> </w:t>
      </w:r>
      <w:r>
        <w:t>Postęp finansowy Działań realizujących instrumenty terytorialne oraz analogicznego Działania wdrażanego</w:t>
      </w:r>
      <w:r w:rsidR="00E66B89">
        <w:t xml:space="preserve"> w </w:t>
      </w:r>
      <w:r>
        <w:t>całym regionie -</w:t>
      </w:r>
      <w:r w:rsidRPr="00EE5470">
        <w:t xml:space="preserve"> PI 10i</w:t>
      </w:r>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474"/>
        <w:gridCol w:w="1181"/>
        <w:gridCol w:w="1374"/>
        <w:gridCol w:w="1051"/>
        <w:gridCol w:w="1480"/>
      </w:tblGrid>
      <w:tr w:rsidR="00291431" w:rsidRPr="00EE5470" w14:paraId="4A37BFD0" w14:textId="77777777" w:rsidTr="00C22C26">
        <w:trPr>
          <w:tblHeader/>
        </w:trPr>
        <w:tc>
          <w:tcPr>
            <w:tcW w:w="0" w:type="auto"/>
            <w:shd w:val="clear" w:color="auto" w:fill="DBE5F1"/>
            <w:vAlign w:val="center"/>
          </w:tcPr>
          <w:p w14:paraId="1227A239" w14:textId="77777777" w:rsidR="00291431" w:rsidRPr="00404DA5" w:rsidRDefault="00291431" w:rsidP="00370D80">
            <w:pPr>
              <w:jc w:val="center"/>
              <w:rPr>
                <w:rFonts w:cs="Calibri"/>
                <w:sz w:val="18"/>
                <w:szCs w:val="18"/>
              </w:rPr>
            </w:pPr>
          </w:p>
        </w:tc>
        <w:tc>
          <w:tcPr>
            <w:tcW w:w="0" w:type="auto"/>
            <w:shd w:val="clear" w:color="auto" w:fill="DBE5F1"/>
            <w:vAlign w:val="center"/>
          </w:tcPr>
          <w:p w14:paraId="15873269" w14:textId="77777777" w:rsidR="00291431" w:rsidRPr="00404DA5" w:rsidRDefault="00291431" w:rsidP="00370D80">
            <w:pPr>
              <w:jc w:val="center"/>
              <w:rPr>
                <w:rFonts w:cs="Calibri"/>
                <w:sz w:val="18"/>
                <w:szCs w:val="18"/>
              </w:rPr>
            </w:pPr>
            <w:r w:rsidRPr="00404DA5">
              <w:rPr>
                <w:rFonts w:cs="Calibri"/>
                <w:sz w:val="18"/>
                <w:szCs w:val="18"/>
              </w:rPr>
              <w:t>Alokacja na Działanie</w:t>
            </w:r>
          </w:p>
        </w:tc>
        <w:tc>
          <w:tcPr>
            <w:tcW w:w="0" w:type="auto"/>
            <w:shd w:val="clear" w:color="auto" w:fill="DBE5F1"/>
            <w:vAlign w:val="center"/>
          </w:tcPr>
          <w:p w14:paraId="7EA5A77A" w14:textId="77777777" w:rsidR="00291431" w:rsidRPr="00404DA5" w:rsidRDefault="00291431" w:rsidP="00370D80">
            <w:pPr>
              <w:jc w:val="center"/>
              <w:rPr>
                <w:rFonts w:cs="Calibri"/>
                <w:sz w:val="18"/>
                <w:szCs w:val="18"/>
              </w:rPr>
            </w:pPr>
            <w:r w:rsidRPr="00404DA5">
              <w:rPr>
                <w:rFonts w:cs="Calibri"/>
                <w:sz w:val="18"/>
                <w:szCs w:val="18"/>
              </w:rPr>
              <w:t>Poziom kontraktacji</w:t>
            </w:r>
          </w:p>
        </w:tc>
        <w:tc>
          <w:tcPr>
            <w:tcW w:w="0" w:type="auto"/>
            <w:shd w:val="clear" w:color="auto" w:fill="DBE5F1"/>
            <w:vAlign w:val="center"/>
          </w:tcPr>
          <w:p w14:paraId="34170282" w14:textId="77777777" w:rsidR="00291431" w:rsidRPr="00404DA5" w:rsidRDefault="00291431" w:rsidP="00370D80">
            <w:pPr>
              <w:jc w:val="center"/>
              <w:rPr>
                <w:rFonts w:cs="Calibri"/>
                <w:sz w:val="18"/>
                <w:szCs w:val="18"/>
              </w:rPr>
            </w:pPr>
            <w:r w:rsidRPr="00404DA5">
              <w:rPr>
                <w:rFonts w:cs="Calibri"/>
                <w:sz w:val="18"/>
                <w:szCs w:val="18"/>
              </w:rPr>
              <w:t>Liczba realizowanych projektów</w:t>
            </w:r>
          </w:p>
        </w:tc>
        <w:tc>
          <w:tcPr>
            <w:tcW w:w="0" w:type="auto"/>
            <w:shd w:val="clear" w:color="auto" w:fill="DBE5F1"/>
            <w:vAlign w:val="center"/>
          </w:tcPr>
          <w:p w14:paraId="71C8138F" w14:textId="77777777" w:rsidR="00291431" w:rsidRPr="00404DA5" w:rsidRDefault="00291431" w:rsidP="00370D80">
            <w:pPr>
              <w:jc w:val="center"/>
              <w:rPr>
                <w:rFonts w:cs="Calibri"/>
                <w:sz w:val="18"/>
                <w:szCs w:val="18"/>
              </w:rPr>
            </w:pPr>
            <w:r w:rsidRPr="00404DA5">
              <w:rPr>
                <w:rFonts w:cs="Calibri"/>
                <w:sz w:val="18"/>
                <w:szCs w:val="18"/>
              </w:rPr>
              <w:t>Wartość projektów ogółem</w:t>
            </w:r>
          </w:p>
        </w:tc>
        <w:tc>
          <w:tcPr>
            <w:tcW w:w="0" w:type="auto"/>
            <w:shd w:val="clear" w:color="auto" w:fill="DBE5F1"/>
            <w:vAlign w:val="center"/>
          </w:tcPr>
          <w:p w14:paraId="23A34917" w14:textId="77777777" w:rsidR="00291431" w:rsidRPr="00404DA5" w:rsidRDefault="00291431" w:rsidP="00370D80">
            <w:pPr>
              <w:jc w:val="center"/>
              <w:rPr>
                <w:rFonts w:cs="Calibri"/>
                <w:sz w:val="18"/>
                <w:szCs w:val="18"/>
              </w:rPr>
            </w:pPr>
            <w:r w:rsidRPr="00404DA5">
              <w:rPr>
                <w:rFonts w:cs="Calibri"/>
                <w:sz w:val="18"/>
                <w:szCs w:val="18"/>
              </w:rPr>
              <w:t>Wartość dofinansowania UE</w:t>
            </w:r>
          </w:p>
        </w:tc>
      </w:tr>
      <w:tr w:rsidR="00291431" w:rsidRPr="00EE5470" w14:paraId="3641E4EC" w14:textId="77777777" w:rsidTr="00C22C26">
        <w:tc>
          <w:tcPr>
            <w:tcW w:w="0" w:type="auto"/>
            <w:shd w:val="clear" w:color="auto" w:fill="auto"/>
            <w:vAlign w:val="center"/>
          </w:tcPr>
          <w:p w14:paraId="57C65AD7" w14:textId="77777777" w:rsidR="00291431" w:rsidRPr="00404DA5" w:rsidRDefault="00291431" w:rsidP="00370D80">
            <w:pPr>
              <w:rPr>
                <w:rFonts w:cs="Calibri"/>
                <w:sz w:val="18"/>
                <w:szCs w:val="18"/>
              </w:rPr>
            </w:pPr>
            <w:r w:rsidRPr="00404DA5">
              <w:rPr>
                <w:rFonts w:cs="Calibri"/>
                <w:sz w:val="18"/>
                <w:szCs w:val="18"/>
              </w:rPr>
              <w:t>Działanie 8.1 Upowszechnienie edukacji przedszkolnej</w:t>
            </w:r>
          </w:p>
        </w:tc>
        <w:tc>
          <w:tcPr>
            <w:tcW w:w="0" w:type="auto"/>
            <w:shd w:val="clear" w:color="auto" w:fill="auto"/>
            <w:vAlign w:val="center"/>
          </w:tcPr>
          <w:p w14:paraId="6F97C07F" w14:textId="77777777" w:rsidR="00291431" w:rsidRPr="00404DA5" w:rsidRDefault="00291431" w:rsidP="00370D80">
            <w:pPr>
              <w:jc w:val="center"/>
              <w:rPr>
                <w:rFonts w:cs="Calibri"/>
                <w:sz w:val="18"/>
                <w:szCs w:val="20"/>
              </w:rPr>
            </w:pPr>
            <w:r w:rsidRPr="009F44D1">
              <w:rPr>
                <w:rFonts w:cs="Calibri"/>
                <w:sz w:val="18"/>
                <w:szCs w:val="20"/>
              </w:rPr>
              <w:t>20</w:t>
            </w:r>
            <w:r>
              <w:rPr>
                <w:rFonts w:cs="Calibri"/>
                <w:sz w:val="18"/>
                <w:szCs w:val="20"/>
              </w:rPr>
              <w:t xml:space="preserve"> </w:t>
            </w:r>
            <w:r w:rsidRPr="009F44D1">
              <w:rPr>
                <w:rFonts w:cs="Calibri"/>
                <w:sz w:val="18"/>
                <w:szCs w:val="20"/>
              </w:rPr>
              <w:t>483</w:t>
            </w:r>
            <w:r>
              <w:rPr>
                <w:rFonts w:cs="Calibri"/>
                <w:sz w:val="18"/>
                <w:szCs w:val="20"/>
              </w:rPr>
              <w:t> </w:t>
            </w:r>
            <w:r w:rsidRPr="009F44D1">
              <w:rPr>
                <w:rFonts w:cs="Calibri"/>
                <w:sz w:val="18"/>
                <w:szCs w:val="20"/>
              </w:rPr>
              <w:t>230</w:t>
            </w:r>
            <w:r>
              <w:rPr>
                <w:rFonts w:cs="Calibri"/>
                <w:sz w:val="18"/>
                <w:szCs w:val="20"/>
              </w:rPr>
              <w:t xml:space="preserve"> EUR </w:t>
            </w:r>
            <w:r w:rsidRPr="00404DA5">
              <w:rPr>
                <w:rFonts w:cs="Calibri"/>
                <w:sz w:val="18"/>
                <w:szCs w:val="20"/>
              </w:rPr>
              <w:t>[alokacja UE ogółem na Działanie po uwzględnieniu zmian</w:t>
            </w:r>
            <w:r w:rsidR="00E66B89">
              <w:rPr>
                <w:rFonts w:cs="Calibri"/>
                <w:sz w:val="18"/>
                <w:szCs w:val="20"/>
              </w:rPr>
              <w:t xml:space="preserve"> w </w:t>
            </w:r>
            <w:r w:rsidRPr="00404DA5">
              <w:rPr>
                <w:rFonts w:cs="Calibri"/>
                <w:sz w:val="18"/>
                <w:szCs w:val="20"/>
              </w:rPr>
              <w:t>Programie]</w:t>
            </w:r>
          </w:p>
          <w:p w14:paraId="2BC0B289" w14:textId="77777777" w:rsidR="00291431" w:rsidRPr="00404DA5" w:rsidRDefault="00291431" w:rsidP="00370D80">
            <w:pPr>
              <w:jc w:val="center"/>
              <w:rPr>
                <w:rFonts w:cs="Calibri"/>
                <w:color w:val="000000"/>
                <w:sz w:val="18"/>
                <w:szCs w:val="18"/>
              </w:rPr>
            </w:pPr>
            <w:r>
              <w:rPr>
                <w:rFonts w:cs="Calibri"/>
                <w:b/>
                <w:color w:val="000000"/>
                <w:sz w:val="18"/>
                <w:szCs w:val="18"/>
              </w:rPr>
              <w:t>t</w:t>
            </w:r>
            <w:r w:rsidRPr="00E26420">
              <w:rPr>
                <w:rFonts w:cs="Calibri"/>
                <w:b/>
                <w:color w:val="000000"/>
                <w:sz w:val="18"/>
                <w:szCs w:val="18"/>
              </w:rPr>
              <w:t>j. 88 135 242,04 zł</w:t>
            </w:r>
          </w:p>
        </w:tc>
        <w:tc>
          <w:tcPr>
            <w:tcW w:w="0" w:type="auto"/>
            <w:shd w:val="clear" w:color="auto" w:fill="auto"/>
            <w:vAlign w:val="center"/>
          </w:tcPr>
          <w:p w14:paraId="1A8E08EA" w14:textId="77777777" w:rsidR="00291431" w:rsidRDefault="00291431" w:rsidP="00370D80">
            <w:pPr>
              <w:jc w:val="center"/>
              <w:rPr>
                <w:rFonts w:cs="Calibri"/>
                <w:color w:val="000000"/>
                <w:sz w:val="18"/>
                <w:szCs w:val="18"/>
              </w:rPr>
            </w:pPr>
            <w:r w:rsidRPr="00404DA5">
              <w:rPr>
                <w:rFonts w:cs="Calibri"/>
                <w:color w:val="000000"/>
                <w:sz w:val="18"/>
                <w:szCs w:val="18"/>
              </w:rPr>
              <w:t>37,3%</w:t>
            </w:r>
          </w:p>
          <w:p w14:paraId="55F8B600" w14:textId="77777777" w:rsidR="00291431" w:rsidRPr="00404DA5" w:rsidRDefault="00291431" w:rsidP="00370D80">
            <w:pPr>
              <w:jc w:val="center"/>
              <w:rPr>
                <w:rFonts w:cs="Calibri"/>
                <w:color w:val="000000"/>
                <w:sz w:val="18"/>
                <w:szCs w:val="18"/>
              </w:rPr>
            </w:pPr>
            <w:r w:rsidRPr="00404DA5">
              <w:rPr>
                <w:rFonts w:cs="Calibri"/>
                <w:sz w:val="18"/>
                <w:szCs w:val="18"/>
              </w:rPr>
              <w:t>alokacji UE ogółem na Działanie</w:t>
            </w:r>
          </w:p>
        </w:tc>
        <w:tc>
          <w:tcPr>
            <w:tcW w:w="0" w:type="auto"/>
            <w:shd w:val="clear" w:color="auto" w:fill="auto"/>
            <w:vAlign w:val="center"/>
          </w:tcPr>
          <w:p w14:paraId="416AF24B" w14:textId="77777777" w:rsidR="00291431" w:rsidRPr="00404DA5" w:rsidRDefault="00291431" w:rsidP="00370D80">
            <w:pPr>
              <w:jc w:val="center"/>
              <w:rPr>
                <w:rFonts w:cs="Calibri"/>
                <w:sz w:val="18"/>
                <w:szCs w:val="18"/>
              </w:rPr>
            </w:pPr>
            <w:r w:rsidRPr="00404DA5">
              <w:rPr>
                <w:rFonts w:cs="Calibri"/>
                <w:sz w:val="18"/>
                <w:szCs w:val="18"/>
              </w:rPr>
              <w:t>54</w:t>
            </w:r>
          </w:p>
        </w:tc>
        <w:tc>
          <w:tcPr>
            <w:tcW w:w="0" w:type="auto"/>
            <w:shd w:val="clear" w:color="auto" w:fill="auto"/>
            <w:vAlign w:val="center"/>
          </w:tcPr>
          <w:p w14:paraId="3EDE0E59" w14:textId="77777777" w:rsidR="00291431" w:rsidRPr="00404DA5" w:rsidRDefault="00291431" w:rsidP="00370D80">
            <w:pPr>
              <w:jc w:val="center"/>
              <w:rPr>
                <w:rFonts w:cs="Calibri"/>
                <w:color w:val="000000"/>
                <w:sz w:val="18"/>
                <w:szCs w:val="18"/>
              </w:rPr>
            </w:pPr>
            <w:r w:rsidRPr="00404DA5">
              <w:rPr>
                <w:rFonts w:cs="Calibri"/>
                <w:color w:val="000000"/>
                <w:sz w:val="18"/>
                <w:szCs w:val="18"/>
              </w:rPr>
              <w:t>38 778 548,54</w:t>
            </w:r>
            <w:r>
              <w:rPr>
                <w:rFonts w:cs="Calibri"/>
                <w:color w:val="000000"/>
                <w:sz w:val="18"/>
                <w:szCs w:val="18"/>
              </w:rPr>
              <w:t xml:space="preserve"> zł</w:t>
            </w:r>
          </w:p>
          <w:p w14:paraId="67D943C5" w14:textId="77777777" w:rsidR="00291431" w:rsidRPr="00404DA5" w:rsidRDefault="00291431" w:rsidP="00370D80">
            <w:pPr>
              <w:jc w:val="center"/>
              <w:rPr>
                <w:rFonts w:cs="Calibri"/>
                <w:color w:val="000000"/>
                <w:sz w:val="18"/>
                <w:szCs w:val="18"/>
              </w:rPr>
            </w:pPr>
          </w:p>
        </w:tc>
        <w:tc>
          <w:tcPr>
            <w:tcW w:w="0" w:type="auto"/>
            <w:shd w:val="clear" w:color="auto" w:fill="auto"/>
            <w:vAlign w:val="center"/>
          </w:tcPr>
          <w:p w14:paraId="1509DBCC" w14:textId="77777777" w:rsidR="00291431" w:rsidRPr="00404DA5" w:rsidRDefault="00291431" w:rsidP="00370D80">
            <w:pPr>
              <w:jc w:val="center"/>
              <w:rPr>
                <w:rFonts w:cs="Calibri"/>
                <w:color w:val="000000"/>
                <w:sz w:val="18"/>
                <w:szCs w:val="18"/>
              </w:rPr>
            </w:pPr>
            <w:r w:rsidRPr="00404DA5">
              <w:rPr>
                <w:rFonts w:cs="Calibri"/>
                <w:color w:val="000000"/>
                <w:sz w:val="18"/>
                <w:szCs w:val="18"/>
              </w:rPr>
              <w:t>32 842 302,31</w:t>
            </w:r>
            <w:r>
              <w:rPr>
                <w:rFonts w:cs="Calibri"/>
                <w:color w:val="000000"/>
                <w:sz w:val="18"/>
                <w:szCs w:val="18"/>
              </w:rPr>
              <w:t xml:space="preserve"> zł</w:t>
            </w:r>
          </w:p>
        </w:tc>
      </w:tr>
      <w:tr w:rsidR="00291431" w:rsidRPr="00EE5470" w14:paraId="5BFF77C6" w14:textId="77777777" w:rsidTr="00C22C26">
        <w:tc>
          <w:tcPr>
            <w:tcW w:w="0" w:type="auto"/>
            <w:shd w:val="clear" w:color="auto" w:fill="auto"/>
            <w:vAlign w:val="center"/>
          </w:tcPr>
          <w:p w14:paraId="18F7F3F9" w14:textId="77777777" w:rsidR="00291431" w:rsidRPr="00404DA5" w:rsidRDefault="00291431" w:rsidP="00370D80">
            <w:pPr>
              <w:rPr>
                <w:rFonts w:cs="Calibri"/>
                <w:sz w:val="18"/>
                <w:szCs w:val="18"/>
              </w:rPr>
            </w:pPr>
            <w:r w:rsidRPr="00404DA5">
              <w:rPr>
                <w:rFonts w:cs="Calibri"/>
                <w:sz w:val="18"/>
                <w:szCs w:val="18"/>
              </w:rPr>
              <w:t>Działanie 8.2 Wsparcie szkół</w:t>
            </w:r>
            <w:r w:rsidR="00E66B89">
              <w:rPr>
                <w:rFonts w:cs="Calibri"/>
                <w:sz w:val="18"/>
                <w:szCs w:val="18"/>
              </w:rPr>
              <w:t xml:space="preserve"> i </w:t>
            </w:r>
            <w:r w:rsidRPr="00404DA5">
              <w:rPr>
                <w:rFonts w:cs="Calibri"/>
                <w:sz w:val="18"/>
                <w:szCs w:val="18"/>
              </w:rPr>
              <w:t>placówek prowadzących kształcenie ogólne oraz uczniów uczestniczących</w:t>
            </w:r>
            <w:r w:rsidR="00E66B89">
              <w:rPr>
                <w:rFonts w:cs="Calibri"/>
                <w:sz w:val="18"/>
                <w:szCs w:val="18"/>
              </w:rPr>
              <w:t xml:space="preserve"> w </w:t>
            </w:r>
            <w:r w:rsidRPr="00404DA5">
              <w:rPr>
                <w:rFonts w:cs="Calibri"/>
                <w:sz w:val="18"/>
                <w:szCs w:val="18"/>
              </w:rPr>
              <w:t>kształceniu podstawowym</w:t>
            </w:r>
            <w:r w:rsidR="00E66B89">
              <w:rPr>
                <w:rFonts w:cs="Calibri"/>
                <w:sz w:val="18"/>
                <w:szCs w:val="18"/>
              </w:rPr>
              <w:t xml:space="preserve"> i </w:t>
            </w:r>
            <w:r w:rsidRPr="00404DA5">
              <w:rPr>
                <w:rFonts w:cs="Calibri"/>
                <w:sz w:val="18"/>
                <w:szCs w:val="18"/>
              </w:rPr>
              <w:t>ponadpodstawowym, gimnazjalnym</w:t>
            </w:r>
            <w:r w:rsidR="00E66B89">
              <w:rPr>
                <w:rFonts w:cs="Calibri"/>
                <w:sz w:val="18"/>
                <w:szCs w:val="18"/>
              </w:rPr>
              <w:t xml:space="preserve"> i </w:t>
            </w:r>
            <w:r w:rsidRPr="00404DA5">
              <w:rPr>
                <w:rFonts w:cs="Calibri"/>
                <w:sz w:val="18"/>
                <w:szCs w:val="18"/>
              </w:rPr>
              <w:t>ponadgimnazjalnym</w:t>
            </w:r>
          </w:p>
        </w:tc>
        <w:tc>
          <w:tcPr>
            <w:tcW w:w="0" w:type="auto"/>
            <w:shd w:val="clear" w:color="auto" w:fill="auto"/>
            <w:vAlign w:val="center"/>
          </w:tcPr>
          <w:p w14:paraId="7B5760CF" w14:textId="77777777" w:rsidR="00291431" w:rsidRDefault="00291431" w:rsidP="00370D80">
            <w:pPr>
              <w:jc w:val="center"/>
              <w:rPr>
                <w:rFonts w:cs="Calibri"/>
                <w:sz w:val="18"/>
                <w:szCs w:val="20"/>
              </w:rPr>
            </w:pPr>
            <w:r w:rsidRPr="009F44D1">
              <w:rPr>
                <w:rFonts w:cs="Calibri"/>
                <w:sz w:val="18"/>
                <w:szCs w:val="20"/>
              </w:rPr>
              <w:t>3</w:t>
            </w:r>
            <w:r>
              <w:rPr>
                <w:rFonts w:cs="Calibri"/>
                <w:sz w:val="18"/>
                <w:szCs w:val="20"/>
              </w:rPr>
              <w:t xml:space="preserve"> </w:t>
            </w:r>
            <w:r w:rsidRPr="009F44D1">
              <w:rPr>
                <w:rFonts w:cs="Calibri"/>
                <w:sz w:val="18"/>
                <w:szCs w:val="20"/>
              </w:rPr>
              <w:t>931</w:t>
            </w:r>
            <w:r>
              <w:rPr>
                <w:rFonts w:cs="Calibri"/>
                <w:sz w:val="18"/>
                <w:szCs w:val="20"/>
              </w:rPr>
              <w:t xml:space="preserve"> </w:t>
            </w:r>
            <w:r w:rsidRPr="009F44D1">
              <w:rPr>
                <w:rFonts w:cs="Calibri"/>
                <w:sz w:val="18"/>
                <w:szCs w:val="20"/>
              </w:rPr>
              <w:t xml:space="preserve">770 </w:t>
            </w:r>
            <w:r>
              <w:rPr>
                <w:rFonts w:cs="Calibri"/>
                <w:sz w:val="18"/>
                <w:szCs w:val="20"/>
              </w:rPr>
              <w:t xml:space="preserve">EUR </w:t>
            </w:r>
            <w:r w:rsidRPr="00404DA5">
              <w:rPr>
                <w:rFonts w:cs="Calibri"/>
                <w:sz w:val="18"/>
                <w:szCs w:val="20"/>
              </w:rPr>
              <w:t>[alokacja UE ogółem na Działanie po uwzględnieniu zmian</w:t>
            </w:r>
            <w:r w:rsidR="00E66B89">
              <w:rPr>
                <w:rFonts w:cs="Calibri"/>
                <w:sz w:val="18"/>
                <w:szCs w:val="20"/>
              </w:rPr>
              <w:t xml:space="preserve"> w </w:t>
            </w:r>
            <w:r w:rsidRPr="00404DA5">
              <w:rPr>
                <w:rFonts w:cs="Calibri"/>
                <w:sz w:val="18"/>
                <w:szCs w:val="20"/>
              </w:rPr>
              <w:t>Programie]</w:t>
            </w:r>
          </w:p>
          <w:p w14:paraId="6229DEBB" w14:textId="77777777" w:rsidR="00291431" w:rsidRPr="00404DA5" w:rsidRDefault="00291431" w:rsidP="00370D80">
            <w:pPr>
              <w:jc w:val="center"/>
              <w:rPr>
                <w:rFonts w:cs="Calibri"/>
                <w:color w:val="000000"/>
                <w:sz w:val="18"/>
                <w:szCs w:val="18"/>
              </w:rPr>
            </w:pPr>
            <w:r w:rsidRPr="00E26420">
              <w:rPr>
                <w:rFonts w:cs="Calibri"/>
                <w:b/>
                <w:sz w:val="18"/>
                <w:szCs w:val="20"/>
              </w:rPr>
              <w:t xml:space="preserve">tj. </w:t>
            </w:r>
            <w:r w:rsidRPr="00E26420">
              <w:rPr>
                <w:rFonts w:cs="Calibri"/>
                <w:b/>
                <w:color w:val="000000"/>
                <w:sz w:val="18"/>
                <w:szCs w:val="18"/>
              </w:rPr>
              <w:t>16 917 619,96 zł</w:t>
            </w:r>
          </w:p>
        </w:tc>
        <w:tc>
          <w:tcPr>
            <w:tcW w:w="0" w:type="auto"/>
            <w:shd w:val="clear" w:color="auto" w:fill="auto"/>
            <w:vAlign w:val="center"/>
          </w:tcPr>
          <w:p w14:paraId="7B529DBF" w14:textId="77777777" w:rsidR="00291431" w:rsidRDefault="00291431" w:rsidP="00370D80">
            <w:pPr>
              <w:jc w:val="center"/>
              <w:rPr>
                <w:rFonts w:cs="Calibri"/>
                <w:color w:val="000000"/>
                <w:sz w:val="18"/>
                <w:szCs w:val="18"/>
              </w:rPr>
            </w:pPr>
            <w:r w:rsidRPr="00404DA5">
              <w:rPr>
                <w:rFonts w:cs="Calibri"/>
                <w:color w:val="000000"/>
                <w:sz w:val="18"/>
                <w:szCs w:val="18"/>
              </w:rPr>
              <w:t>94,0%</w:t>
            </w:r>
          </w:p>
          <w:p w14:paraId="2B7AA538" w14:textId="77777777" w:rsidR="00291431" w:rsidRPr="00404DA5" w:rsidRDefault="00291431" w:rsidP="00370D80">
            <w:pPr>
              <w:jc w:val="center"/>
              <w:rPr>
                <w:rFonts w:cs="Calibri"/>
                <w:color w:val="000000"/>
                <w:sz w:val="18"/>
                <w:szCs w:val="18"/>
              </w:rPr>
            </w:pPr>
            <w:r w:rsidRPr="00404DA5">
              <w:rPr>
                <w:rFonts w:cs="Calibri"/>
                <w:sz w:val="18"/>
                <w:szCs w:val="18"/>
              </w:rPr>
              <w:t>alokacji UE ogółem na Działanie</w:t>
            </w:r>
          </w:p>
        </w:tc>
        <w:tc>
          <w:tcPr>
            <w:tcW w:w="0" w:type="auto"/>
            <w:shd w:val="clear" w:color="auto" w:fill="auto"/>
            <w:vAlign w:val="center"/>
          </w:tcPr>
          <w:p w14:paraId="1B212080" w14:textId="77777777" w:rsidR="00291431" w:rsidRPr="00404DA5" w:rsidRDefault="00291431" w:rsidP="00370D80">
            <w:pPr>
              <w:jc w:val="center"/>
              <w:rPr>
                <w:rFonts w:cs="Calibri"/>
                <w:sz w:val="18"/>
                <w:szCs w:val="18"/>
              </w:rPr>
            </w:pPr>
            <w:r w:rsidRPr="00404DA5">
              <w:rPr>
                <w:rFonts w:cs="Calibri"/>
                <w:sz w:val="18"/>
                <w:szCs w:val="18"/>
              </w:rPr>
              <w:t>22</w:t>
            </w:r>
          </w:p>
        </w:tc>
        <w:tc>
          <w:tcPr>
            <w:tcW w:w="0" w:type="auto"/>
            <w:shd w:val="clear" w:color="auto" w:fill="auto"/>
            <w:vAlign w:val="center"/>
          </w:tcPr>
          <w:p w14:paraId="60E88918" w14:textId="77777777" w:rsidR="00291431" w:rsidRPr="00404DA5" w:rsidRDefault="00291431" w:rsidP="00370D80">
            <w:pPr>
              <w:jc w:val="center"/>
              <w:rPr>
                <w:rFonts w:cs="Calibri"/>
                <w:color w:val="000000"/>
                <w:sz w:val="18"/>
                <w:szCs w:val="18"/>
              </w:rPr>
            </w:pPr>
            <w:r w:rsidRPr="00404DA5">
              <w:rPr>
                <w:rFonts w:cs="Calibri"/>
                <w:color w:val="000000"/>
                <w:sz w:val="18"/>
                <w:szCs w:val="18"/>
              </w:rPr>
              <w:t>18 703 705,07</w:t>
            </w:r>
            <w:r>
              <w:rPr>
                <w:rFonts w:cs="Calibri"/>
                <w:color w:val="000000"/>
                <w:sz w:val="18"/>
                <w:szCs w:val="18"/>
              </w:rPr>
              <w:t xml:space="preserve"> zł</w:t>
            </w:r>
          </w:p>
        </w:tc>
        <w:tc>
          <w:tcPr>
            <w:tcW w:w="0" w:type="auto"/>
            <w:shd w:val="clear" w:color="auto" w:fill="auto"/>
            <w:vAlign w:val="center"/>
          </w:tcPr>
          <w:p w14:paraId="53E03935" w14:textId="77777777" w:rsidR="00291431" w:rsidRPr="00404DA5" w:rsidRDefault="00291431" w:rsidP="00370D80">
            <w:pPr>
              <w:jc w:val="center"/>
              <w:rPr>
                <w:rFonts w:cs="Calibri"/>
                <w:color w:val="000000"/>
                <w:sz w:val="18"/>
                <w:szCs w:val="18"/>
              </w:rPr>
            </w:pPr>
            <w:r w:rsidRPr="00404DA5">
              <w:rPr>
                <w:rFonts w:cs="Calibri"/>
                <w:color w:val="000000"/>
                <w:sz w:val="18"/>
                <w:szCs w:val="18"/>
              </w:rPr>
              <w:t>15 898 098,93</w:t>
            </w:r>
            <w:r>
              <w:rPr>
                <w:rFonts w:cs="Calibri"/>
                <w:color w:val="000000"/>
                <w:sz w:val="18"/>
                <w:szCs w:val="18"/>
              </w:rPr>
              <w:t xml:space="preserve"> zł</w:t>
            </w:r>
          </w:p>
        </w:tc>
      </w:tr>
      <w:tr w:rsidR="00291431" w:rsidRPr="00EE5470" w14:paraId="77EA4608" w14:textId="77777777" w:rsidTr="00C22C26">
        <w:tc>
          <w:tcPr>
            <w:tcW w:w="0" w:type="auto"/>
            <w:shd w:val="clear" w:color="auto" w:fill="auto"/>
            <w:vAlign w:val="center"/>
          </w:tcPr>
          <w:p w14:paraId="72A2D8BE" w14:textId="77777777" w:rsidR="00291431" w:rsidRPr="00404DA5" w:rsidRDefault="00291431" w:rsidP="00370D80">
            <w:pPr>
              <w:rPr>
                <w:rFonts w:cs="Calibri"/>
                <w:sz w:val="18"/>
                <w:szCs w:val="18"/>
              </w:rPr>
            </w:pPr>
            <w:r w:rsidRPr="00404DA5">
              <w:rPr>
                <w:rFonts w:cs="Calibri"/>
                <w:sz w:val="18"/>
                <w:szCs w:val="18"/>
              </w:rPr>
              <w:t>Działanie 8.3 Wsparcie szkół</w:t>
            </w:r>
            <w:r w:rsidR="00E66B89">
              <w:rPr>
                <w:rFonts w:cs="Calibri"/>
                <w:sz w:val="18"/>
                <w:szCs w:val="18"/>
              </w:rPr>
              <w:t xml:space="preserve"> i </w:t>
            </w:r>
            <w:r w:rsidRPr="00404DA5">
              <w:rPr>
                <w:rFonts w:cs="Calibri"/>
                <w:sz w:val="18"/>
                <w:szCs w:val="18"/>
              </w:rPr>
              <w:t>placówek prowadzących kształcenie ogólne oraz uczniów uczestniczących</w:t>
            </w:r>
            <w:r w:rsidR="00E66B89">
              <w:rPr>
                <w:rFonts w:cs="Calibri"/>
                <w:sz w:val="18"/>
                <w:szCs w:val="18"/>
              </w:rPr>
              <w:t xml:space="preserve"> w </w:t>
            </w:r>
            <w:r w:rsidRPr="00404DA5">
              <w:rPr>
                <w:rFonts w:cs="Calibri"/>
                <w:sz w:val="18"/>
                <w:szCs w:val="18"/>
              </w:rPr>
              <w:t xml:space="preserve">kształceniu podstawowym, </w:t>
            </w:r>
            <w:r w:rsidRPr="00404DA5">
              <w:rPr>
                <w:rFonts w:cs="Calibri"/>
                <w:sz w:val="18"/>
                <w:szCs w:val="18"/>
              </w:rPr>
              <w:lastRenderedPageBreak/>
              <w:t>gimnazjalnym, ponadpodstawowym</w:t>
            </w:r>
            <w:r w:rsidR="00E66B89">
              <w:rPr>
                <w:rFonts w:cs="Calibri"/>
                <w:sz w:val="18"/>
                <w:szCs w:val="18"/>
              </w:rPr>
              <w:t xml:space="preserve"> i </w:t>
            </w:r>
            <w:r w:rsidRPr="00404DA5">
              <w:rPr>
                <w:rFonts w:cs="Calibri"/>
                <w:sz w:val="18"/>
                <w:szCs w:val="18"/>
              </w:rPr>
              <w:t>ponadgimnazjalnym</w:t>
            </w:r>
            <w:r w:rsidR="00E66B89">
              <w:rPr>
                <w:rFonts w:cs="Calibri"/>
                <w:sz w:val="18"/>
                <w:szCs w:val="18"/>
              </w:rPr>
              <w:t xml:space="preserve"> w </w:t>
            </w:r>
            <w:r w:rsidRPr="00404DA5">
              <w:rPr>
                <w:rFonts w:cs="Calibri"/>
                <w:sz w:val="18"/>
                <w:szCs w:val="18"/>
              </w:rPr>
              <w:t>ramach Strategii ZIT dla Szczecińskiego Obszaru Metropolitalnego</w:t>
            </w:r>
          </w:p>
        </w:tc>
        <w:tc>
          <w:tcPr>
            <w:tcW w:w="0" w:type="auto"/>
            <w:shd w:val="clear" w:color="auto" w:fill="auto"/>
            <w:vAlign w:val="center"/>
          </w:tcPr>
          <w:p w14:paraId="6C61EDDA" w14:textId="77777777" w:rsidR="00291431" w:rsidRDefault="00291431" w:rsidP="00370D80">
            <w:pPr>
              <w:jc w:val="center"/>
              <w:rPr>
                <w:rFonts w:cs="Calibri"/>
                <w:sz w:val="18"/>
                <w:szCs w:val="20"/>
              </w:rPr>
            </w:pPr>
            <w:r w:rsidRPr="009F44D1">
              <w:rPr>
                <w:rFonts w:cs="Calibri"/>
                <w:sz w:val="18"/>
                <w:szCs w:val="20"/>
              </w:rPr>
              <w:lastRenderedPageBreak/>
              <w:t>7</w:t>
            </w:r>
            <w:r>
              <w:rPr>
                <w:rFonts w:cs="Calibri"/>
                <w:sz w:val="18"/>
                <w:szCs w:val="20"/>
              </w:rPr>
              <w:t xml:space="preserve"> </w:t>
            </w:r>
            <w:r w:rsidRPr="009F44D1">
              <w:rPr>
                <w:rFonts w:cs="Calibri"/>
                <w:sz w:val="18"/>
                <w:szCs w:val="20"/>
              </w:rPr>
              <w:t>800</w:t>
            </w:r>
            <w:r>
              <w:rPr>
                <w:rFonts w:cs="Calibri"/>
                <w:sz w:val="18"/>
                <w:szCs w:val="20"/>
              </w:rPr>
              <w:t xml:space="preserve"> </w:t>
            </w:r>
            <w:r w:rsidRPr="009F44D1">
              <w:rPr>
                <w:rFonts w:cs="Calibri"/>
                <w:sz w:val="18"/>
                <w:szCs w:val="20"/>
              </w:rPr>
              <w:t xml:space="preserve">000 </w:t>
            </w:r>
            <w:r>
              <w:rPr>
                <w:rFonts w:cs="Calibri"/>
                <w:sz w:val="18"/>
                <w:szCs w:val="20"/>
              </w:rPr>
              <w:t xml:space="preserve">EUR </w:t>
            </w:r>
            <w:r w:rsidRPr="00404DA5">
              <w:rPr>
                <w:rFonts w:cs="Calibri"/>
                <w:sz w:val="18"/>
                <w:szCs w:val="20"/>
              </w:rPr>
              <w:t xml:space="preserve">[alokacja UE ogółem na Działanie po uwzględnieniu </w:t>
            </w:r>
            <w:r w:rsidRPr="00404DA5">
              <w:rPr>
                <w:rFonts w:cs="Calibri"/>
                <w:sz w:val="18"/>
                <w:szCs w:val="20"/>
              </w:rPr>
              <w:lastRenderedPageBreak/>
              <w:t>zmian</w:t>
            </w:r>
            <w:r w:rsidR="00E66B89">
              <w:rPr>
                <w:rFonts w:cs="Calibri"/>
                <w:sz w:val="18"/>
                <w:szCs w:val="20"/>
              </w:rPr>
              <w:t xml:space="preserve"> w </w:t>
            </w:r>
            <w:r w:rsidRPr="00404DA5">
              <w:rPr>
                <w:rFonts w:cs="Calibri"/>
                <w:sz w:val="18"/>
                <w:szCs w:val="20"/>
              </w:rPr>
              <w:t>Programie]</w:t>
            </w:r>
          </w:p>
          <w:p w14:paraId="03EEB5B7" w14:textId="77777777" w:rsidR="00291431" w:rsidRPr="00E26420" w:rsidRDefault="00291431" w:rsidP="00370D80">
            <w:pPr>
              <w:jc w:val="center"/>
              <w:rPr>
                <w:rFonts w:cs="Calibri"/>
                <w:b/>
                <w:color w:val="000000"/>
                <w:sz w:val="18"/>
                <w:szCs w:val="18"/>
              </w:rPr>
            </w:pPr>
            <w:r w:rsidRPr="00E26420">
              <w:rPr>
                <w:rFonts w:cs="Calibri"/>
                <w:b/>
                <w:sz w:val="18"/>
                <w:szCs w:val="20"/>
              </w:rPr>
              <w:t>tj.</w:t>
            </w:r>
          </w:p>
          <w:p w14:paraId="77BDE825" w14:textId="77777777" w:rsidR="00291431" w:rsidRPr="00404DA5" w:rsidRDefault="00291431" w:rsidP="00370D80">
            <w:pPr>
              <w:jc w:val="center"/>
              <w:rPr>
                <w:rFonts w:cs="Calibri"/>
                <w:color w:val="000000"/>
                <w:sz w:val="18"/>
                <w:szCs w:val="18"/>
              </w:rPr>
            </w:pPr>
            <w:r w:rsidRPr="00E26420">
              <w:rPr>
                <w:rFonts w:cs="Calibri"/>
                <w:b/>
                <w:color w:val="000000"/>
                <w:sz w:val="18"/>
                <w:szCs w:val="18"/>
              </w:rPr>
              <w:t>33 561 840,00 zł</w:t>
            </w:r>
          </w:p>
        </w:tc>
        <w:tc>
          <w:tcPr>
            <w:tcW w:w="0" w:type="auto"/>
            <w:shd w:val="clear" w:color="auto" w:fill="auto"/>
            <w:vAlign w:val="center"/>
          </w:tcPr>
          <w:p w14:paraId="4B7FDC43" w14:textId="77777777" w:rsidR="00291431" w:rsidRDefault="00291431" w:rsidP="00370D80">
            <w:pPr>
              <w:jc w:val="center"/>
              <w:rPr>
                <w:rFonts w:cs="Calibri"/>
                <w:color w:val="000000"/>
                <w:sz w:val="18"/>
                <w:szCs w:val="18"/>
              </w:rPr>
            </w:pPr>
            <w:r w:rsidRPr="00404DA5">
              <w:rPr>
                <w:rFonts w:cs="Calibri"/>
                <w:color w:val="000000"/>
                <w:sz w:val="18"/>
                <w:szCs w:val="18"/>
              </w:rPr>
              <w:lastRenderedPageBreak/>
              <w:t>96,6%</w:t>
            </w:r>
          </w:p>
          <w:p w14:paraId="0331C3E5" w14:textId="77777777" w:rsidR="00291431" w:rsidRPr="00404DA5" w:rsidRDefault="00291431" w:rsidP="00370D80">
            <w:pPr>
              <w:jc w:val="center"/>
              <w:rPr>
                <w:rFonts w:cs="Calibri"/>
                <w:color w:val="000000"/>
                <w:sz w:val="18"/>
                <w:szCs w:val="18"/>
              </w:rPr>
            </w:pPr>
            <w:r w:rsidRPr="00404DA5">
              <w:rPr>
                <w:rFonts w:cs="Calibri"/>
                <w:sz w:val="18"/>
                <w:szCs w:val="18"/>
              </w:rPr>
              <w:t>alokacji UE ogółem na Działanie</w:t>
            </w:r>
          </w:p>
        </w:tc>
        <w:tc>
          <w:tcPr>
            <w:tcW w:w="0" w:type="auto"/>
            <w:shd w:val="clear" w:color="auto" w:fill="auto"/>
            <w:vAlign w:val="center"/>
          </w:tcPr>
          <w:p w14:paraId="2734DB98" w14:textId="77777777" w:rsidR="00291431" w:rsidRPr="00404DA5" w:rsidRDefault="00291431" w:rsidP="00370D80">
            <w:pPr>
              <w:jc w:val="center"/>
              <w:rPr>
                <w:rFonts w:cs="Calibri"/>
                <w:sz w:val="18"/>
                <w:szCs w:val="18"/>
              </w:rPr>
            </w:pPr>
            <w:r w:rsidRPr="00404DA5">
              <w:rPr>
                <w:rFonts w:cs="Calibri"/>
                <w:sz w:val="18"/>
                <w:szCs w:val="18"/>
              </w:rPr>
              <w:t>33</w:t>
            </w:r>
          </w:p>
        </w:tc>
        <w:tc>
          <w:tcPr>
            <w:tcW w:w="0" w:type="auto"/>
            <w:shd w:val="clear" w:color="auto" w:fill="auto"/>
            <w:vAlign w:val="center"/>
          </w:tcPr>
          <w:p w14:paraId="31D920ED" w14:textId="77777777" w:rsidR="00291431" w:rsidRPr="00404DA5" w:rsidRDefault="00291431" w:rsidP="00370D80">
            <w:pPr>
              <w:jc w:val="center"/>
              <w:rPr>
                <w:rFonts w:cs="Calibri"/>
                <w:color w:val="000000"/>
                <w:sz w:val="18"/>
                <w:szCs w:val="18"/>
              </w:rPr>
            </w:pPr>
            <w:r w:rsidRPr="00404DA5">
              <w:rPr>
                <w:rFonts w:cs="Calibri"/>
                <w:color w:val="000000"/>
                <w:sz w:val="18"/>
                <w:szCs w:val="18"/>
              </w:rPr>
              <w:t>38 132 406,77</w:t>
            </w:r>
            <w:r>
              <w:rPr>
                <w:rFonts w:cs="Calibri"/>
                <w:color w:val="000000"/>
                <w:sz w:val="18"/>
                <w:szCs w:val="18"/>
              </w:rPr>
              <w:t xml:space="preserve"> zł</w:t>
            </w:r>
          </w:p>
        </w:tc>
        <w:tc>
          <w:tcPr>
            <w:tcW w:w="0" w:type="auto"/>
            <w:shd w:val="clear" w:color="auto" w:fill="auto"/>
            <w:vAlign w:val="center"/>
          </w:tcPr>
          <w:p w14:paraId="71D0F23F" w14:textId="77777777" w:rsidR="00291431" w:rsidRPr="00404DA5" w:rsidRDefault="00291431" w:rsidP="00370D80">
            <w:pPr>
              <w:jc w:val="center"/>
              <w:rPr>
                <w:rFonts w:cs="Calibri"/>
                <w:color w:val="000000"/>
                <w:sz w:val="18"/>
                <w:szCs w:val="18"/>
              </w:rPr>
            </w:pPr>
            <w:r w:rsidRPr="00404DA5">
              <w:rPr>
                <w:rFonts w:cs="Calibri"/>
                <w:color w:val="000000"/>
                <w:sz w:val="18"/>
                <w:szCs w:val="18"/>
              </w:rPr>
              <w:t>32 412 545,61</w:t>
            </w:r>
            <w:r>
              <w:rPr>
                <w:rFonts w:cs="Calibri"/>
                <w:color w:val="000000"/>
                <w:sz w:val="18"/>
                <w:szCs w:val="18"/>
              </w:rPr>
              <w:t xml:space="preserve"> zł</w:t>
            </w:r>
          </w:p>
        </w:tc>
      </w:tr>
      <w:tr w:rsidR="00291431" w:rsidRPr="00EE5470" w14:paraId="32207503" w14:textId="77777777" w:rsidTr="00C22C26">
        <w:tc>
          <w:tcPr>
            <w:tcW w:w="0" w:type="auto"/>
            <w:shd w:val="clear" w:color="auto" w:fill="auto"/>
            <w:vAlign w:val="center"/>
          </w:tcPr>
          <w:p w14:paraId="718D9784" w14:textId="77777777" w:rsidR="00291431" w:rsidRPr="00404DA5" w:rsidRDefault="00291431" w:rsidP="00370D80">
            <w:pPr>
              <w:rPr>
                <w:rFonts w:cs="Calibri"/>
                <w:sz w:val="18"/>
                <w:szCs w:val="18"/>
              </w:rPr>
            </w:pPr>
            <w:r w:rsidRPr="00404DA5">
              <w:rPr>
                <w:rFonts w:cs="Calibri"/>
                <w:sz w:val="18"/>
                <w:szCs w:val="18"/>
              </w:rPr>
              <w:t>Działanie 8.4 Upowszechnienie edukacji przedszkolnej oraz wsparcie szkół</w:t>
            </w:r>
            <w:r w:rsidR="00E66B89">
              <w:rPr>
                <w:rFonts w:cs="Calibri"/>
                <w:sz w:val="18"/>
                <w:szCs w:val="18"/>
              </w:rPr>
              <w:t xml:space="preserve"> i </w:t>
            </w:r>
            <w:r w:rsidRPr="00404DA5">
              <w:rPr>
                <w:rFonts w:cs="Calibri"/>
                <w:sz w:val="18"/>
                <w:szCs w:val="18"/>
              </w:rPr>
              <w:t>placówek prowadzących kształcenie ogólne oraz uczniów uczestniczących</w:t>
            </w:r>
            <w:r w:rsidR="00E66B89">
              <w:rPr>
                <w:rFonts w:cs="Calibri"/>
                <w:sz w:val="18"/>
                <w:szCs w:val="18"/>
              </w:rPr>
              <w:t xml:space="preserve"> w </w:t>
            </w:r>
            <w:r w:rsidRPr="00404DA5">
              <w:rPr>
                <w:rFonts w:cs="Calibri"/>
                <w:sz w:val="18"/>
                <w:szCs w:val="18"/>
              </w:rPr>
              <w:t>kształceniu podstawowym, gimnazjalnym, ponadpodstawowym</w:t>
            </w:r>
            <w:r w:rsidR="00E66B89">
              <w:rPr>
                <w:rFonts w:cs="Calibri"/>
                <w:sz w:val="18"/>
                <w:szCs w:val="18"/>
              </w:rPr>
              <w:t xml:space="preserve"> i </w:t>
            </w:r>
            <w:r w:rsidRPr="00404DA5">
              <w:rPr>
                <w:rFonts w:cs="Calibri"/>
                <w:sz w:val="18"/>
                <w:szCs w:val="18"/>
              </w:rPr>
              <w:t>ponadgimnazjalnym</w:t>
            </w:r>
            <w:r w:rsidR="00E66B89">
              <w:rPr>
                <w:rFonts w:cs="Calibri"/>
                <w:sz w:val="18"/>
                <w:szCs w:val="18"/>
              </w:rPr>
              <w:t xml:space="preserve"> w </w:t>
            </w:r>
            <w:r w:rsidRPr="00404DA5">
              <w:rPr>
                <w:rFonts w:cs="Calibri"/>
                <w:sz w:val="18"/>
                <w:szCs w:val="18"/>
              </w:rPr>
              <w:t>ramach Strategii ZIT dla Koszalińsko-Kołobrzesko-Białogardzkiego Obszaru Funkcjonalnego</w:t>
            </w:r>
          </w:p>
        </w:tc>
        <w:tc>
          <w:tcPr>
            <w:tcW w:w="0" w:type="auto"/>
            <w:shd w:val="clear" w:color="auto" w:fill="auto"/>
            <w:vAlign w:val="center"/>
          </w:tcPr>
          <w:p w14:paraId="5FFA9179" w14:textId="77777777" w:rsidR="00291431" w:rsidRDefault="00291431" w:rsidP="00370D80">
            <w:pPr>
              <w:jc w:val="center"/>
              <w:rPr>
                <w:rFonts w:cs="Calibri"/>
                <w:sz w:val="18"/>
                <w:szCs w:val="20"/>
              </w:rPr>
            </w:pPr>
            <w:r w:rsidRPr="009F44D1">
              <w:rPr>
                <w:rFonts w:cs="Calibri"/>
                <w:sz w:val="18"/>
                <w:szCs w:val="20"/>
              </w:rPr>
              <w:t>4</w:t>
            </w:r>
            <w:r>
              <w:rPr>
                <w:rFonts w:cs="Calibri"/>
                <w:sz w:val="18"/>
                <w:szCs w:val="20"/>
              </w:rPr>
              <w:t xml:space="preserve"> </w:t>
            </w:r>
            <w:r w:rsidRPr="009F44D1">
              <w:rPr>
                <w:rFonts w:cs="Calibri"/>
                <w:sz w:val="18"/>
                <w:szCs w:val="20"/>
              </w:rPr>
              <w:t>000</w:t>
            </w:r>
            <w:r>
              <w:rPr>
                <w:rFonts w:cs="Calibri"/>
                <w:sz w:val="18"/>
                <w:szCs w:val="20"/>
              </w:rPr>
              <w:t xml:space="preserve"> </w:t>
            </w:r>
            <w:r w:rsidRPr="009F44D1">
              <w:rPr>
                <w:rFonts w:cs="Calibri"/>
                <w:sz w:val="18"/>
                <w:szCs w:val="20"/>
              </w:rPr>
              <w:t xml:space="preserve">000 </w:t>
            </w:r>
            <w:r>
              <w:rPr>
                <w:rFonts w:cs="Calibri"/>
                <w:sz w:val="18"/>
                <w:szCs w:val="20"/>
              </w:rPr>
              <w:t xml:space="preserve">EUR </w:t>
            </w:r>
            <w:r w:rsidRPr="00404DA5">
              <w:rPr>
                <w:rFonts w:cs="Calibri"/>
                <w:sz w:val="18"/>
                <w:szCs w:val="20"/>
              </w:rPr>
              <w:t>[alokacja UE ogółem na Działanie po uwzględnieniu zmian</w:t>
            </w:r>
            <w:r w:rsidR="00E66B89">
              <w:rPr>
                <w:rFonts w:cs="Calibri"/>
                <w:sz w:val="18"/>
                <w:szCs w:val="20"/>
              </w:rPr>
              <w:t xml:space="preserve"> w </w:t>
            </w:r>
            <w:r w:rsidRPr="00404DA5">
              <w:rPr>
                <w:rFonts w:cs="Calibri"/>
                <w:sz w:val="18"/>
                <w:szCs w:val="20"/>
              </w:rPr>
              <w:t>Programie]</w:t>
            </w:r>
          </w:p>
          <w:p w14:paraId="2AABA5CD" w14:textId="77777777" w:rsidR="00291431" w:rsidRPr="00E26420" w:rsidRDefault="00291431" w:rsidP="00370D80">
            <w:pPr>
              <w:jc w:val="center"/>
              <w:rPr>
                <w:rFonts w:cs="Calibri"/>
                <w:b/>
                <w:color w:val="000000"/>
                <w:sz w:val="18"/>
                <w:szCs w:val="18"/>
              </w:rPr>
            </w:pPr>
            <w:r w:rsidRPr="00E26420">
              <w:rPr>
                <w:rFonts w:cs="Calibri"/>
                <w:b/>
                <w:sz w:val="18"/>
                <w:szCs w:val="20"/>
              </w:rPr>
              <w:t>tj.</w:t>
            </w:r>
          </w:p>
          <w:p w14:paraId="160470F5"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t>17 211 200,00</w:t>
            </w:r>
          </w:p>
          <w:p w14:paraId="436E256B" w14:textId="77777777" w:rsidR="00291431" w:rsidRPr="00404DA5" w:rsidRDefault="00291431" w:rsidP="00370D80">
            <w:pPr>
              <w:jc w:val="center"/>
              <w:rPr>
                <w:rFonts w:cs="Calibri"/>
                <w:color w:val="000000"/>
                <w:sz w:val="18"/>
                <w:szCs w:val="18"/>
              </w:rPr>
            </w:pPr>
            <w:r w:rsidRPr="00E26420">
              <w:rPr>
                <w:rFonts w:cs="Calibri"/>
                <w:b/>
                <w:sz w:val="18"/>
                <w:szCs w:val="18"/>
              </w:rPr>
              <w:t>zł</w:t>
            </w:r>
          </w:p>
        </w:tc>
        <w:tc>
          <w:tcPr>
            <w:tcW w:w="0" w:type="auto"/>
            <w:shd w:val="clear" w:color="auto" w:fill="auto"/>
            <w:vAlign w:val="center"/>
          </w:tcPr>
          <w:p w14:paraId="739E5F79" w14:textId="77777777" w:rsidR="00291431" w:rsidRDefault="00291431" w:rsidP="00370D80">
            <w:pPr>
              <w:jc w:val="center"/>
              <w:rPr>
                <w:rFonts w:cs="Calibri"/>
                <w:color w:val="000000"/>
                <w:sz w:val="18"/>
                <w:szCs w:val="18"/>
              </w:rPr>
            </w:pPr>
            <w:r w:rsidRPr="00404DA5">
              <w:rPr>
                <w:rFonts w:cs="Calibri"/>
                <w:color w:val="000000"/>
                <w:sz w:val="18"/>
                <w:szCs w:val="18"/>
              </w:rPr>
              <w:t>65,6%</w:t>
            </w:r>
          </w:p>
          <w:p w14:paraId="1DC18A7D" w14:textId="77777777" w:rsidR="00291431" w:rsidRPr="00404DA5" w:rsidRDefault="00291431" w:rsidP="00370D80">
            <w:pPr>
              <w:jc w:val="center"/>
              <w:rPr>
                <w:rFonts w:cs="Calibri"/>
                <w:color w:val="000000"/>
                <w:sz w:val="18"/>
                <w:szCs w:val="18"/>
              </w:rPr>
            </w:pPr>
            <w:r w:rsidRPr="00404DA5">
              <w:rPr>
                <w:rFonts w:cs="Calibri"/>
                <w:sz w:val="18"/>
                <w:szCs w:val="18"/>
              </w:rPr>
              <w:t>alokacji UE ogółem na Działanie</w:t>
            </w:r>
          </w:p>
        </w:tc>
        <w:tc>
          <w:tcPr>
            <w:tcW w:w="0" w:type="auto"/>
            <w:shd w:val="clear" w:color="auto" w:fill="auto"/>
            <w:vAlign w:val="center"/>
          </w:tcPr>
          <w:p w14:paraId="24EA95AF" w14:textId="77777777" w:rsidR="00291431" w:rsidRPr="00404DA5" w:rsidRDefault="00291431" w:rsidP="00370D80">
            <w:pPr>
              <w:jc w:val="center"/>
              <w:rPr>
                <w:rFonts w:cs="Calibri"/>
                <w:sz w:val="18"/>
                <w:szCs w:val="18"/>
              </w:rPr>
            </w:pPr>
            <w:r w:rsidRPr="00404DA5">
              <w:rPr>
                <w:rFonts w:cs="Calibri"/>
                <w:sz w:val="18"/>
                <w:szCs w:val="18"/>
              </w:rPr>
              <w:t>9</w:t>
            </w:r>
          </w:p>
        </w:tc>
        <w:tc>
          <w:tcPr>
            <w:tcW w:w="0" w:type="auto"/>
            <w:shd w:val="clear" w:color="auto" w:fill="auto"/>
            <w:vAlign w:val="center"/>
          </w:tcPr>
          <w:p w14:paraId="567D1DDC" w14:textId="77777777" w:rsidR="00291431" w:rsidRPr="00404DA5" w:rsidRDefault="00291431" w:rsidP="00370D80">
            <w:pPr>
              <w:jc w:val="center"/>
              <w:rPr>
                <w:rFonts w:cs="Calibri"/>
                <w:color w:val="000000"/>
                <w:sz w:val="18"/>
                <w:szCs w:val="18"/>
              </w:rPr>
            </w:pPr>
            <w:r w:rsidRPr="00404DA5">
              <w:rPr>
                <w:rFonts w:cs="Calibri"/>
                <w:color w:val="000000"/>
                <w:sz w:val="18"/>
                <w:szCs w:val="18"/>
              </w:rPr>
              <w:t>13 289 605,46</w:t>
            </w:r>
            <w:r>
              <w:rPr>
                <w:rFonts w:cs="Calibri"/>
                <w:color w:val="000000"/>
                <w:sz w:val="18"/>
                <w:szCs w:val="18"/>
              </w:rPr>
              <w:t xml:space="preserve"> zł</w:t>
            </w:r>
          </w:p>
        </w:tc>
        <w:tc>
          <w:tcPr>
            <w:tcW w:w="0" w:type="auto"/>
            <w:shd w:val="clear" w:color="auto" w:fill="auto"/>
            <w:vAlign w:val="center"/>
          </w:tcPr>
          <w:p w14:paraId="18EF5F1C" w14:textId="77777777" w:rsidR="00291431" w:rsidRPr="00404DA5" w:rsidRDefault="00291431" w:rsidP="00370D80">
            <w:pPr>
              <w:jc w:val="center"/>
              <w:rPr>
                <w:rFonts w:cs="Calibri"/>
                <w:color w:val="000000"/>
                <w:sz w:val="18"/>
                <w:szCs w:val="18"/>
              </w:rPr>
            </w:pPr>
            <w:r w:rsidRPr="00404DA5">
              <w:rPr>
                <w:rFonts w:cs="Calibri"/>
                <w:color w:val="000000"/>
                <w:sz w:val="18"/>
                <w:szCs w:val="18"/>
              </w:rPr>
              <w:t>11 284 046,32</w:t>
            </w:r>
            <w:r>
              <w:rPr>
                <w:rFonts w:cs="Calibri"/>
                <w:color w:val="000000"/>
                <w:sz w:val="18"/>
                <w:szCs w:val="18"/>
              </w:rPr>
              <w:t xml:space="preserve"> zł</w:t>
            </w:r>
          </w:p>
        </w:tc>
      </w:tr>
      <w:tr w:rsidR="00291431" w:rsidRPr="00EE5470" w14:paraId="56287CC2" w14:textId="77777777" w:rsidTr="00C22C26">
        <w:tc>
          <w:tcPr>
            <w:tcW w:w="0" w:type="auto"/>
            <w:shd w:val="clear" w:color="auto" w:fill="auto"/>
            <w:vAlign w:val="center"/>
          </w:tcPr>
          <w:p w14:paraId="2235C4A4" w14:textId="77777777" w:rsidR="00291431" w:rsidRPr="00404DA5" w:rsidRDefault="00291431" w:rsidP="00370D80">
            <w:pPr>
              <w:rPr>
                <w:rFonts w:cs="Calibri"/>
                <w:sz w:val="18"/>
                <w:szCs w:val="18"/>
              </w:rPr>
            </w:pPr>
            <w:r w:rsidRPr="00404DA5">
              <w:rPr>
                <w:rFonts w:cs="Calibri"/>
                <w:sz w:val="18"/>
                <w:szCs w:val="18"/>
              </w:rPr>
              <w:t>Działanie 8.5 Upowszechnienie edukacji przedszkolnej oraz wsparcie szkół</w:t>
            </w:r>
            <w:r w:rsidR="00E66B89">
              <w:rPr>
                <w:rFonts w:cs="Calibri"/>
                <w:sz w:val="18"/>
                <w:szCs w:val="18"/>
              </w:rPr>
              <w:t xml:space="preserve"> i </w:t>
            </w:r>
            <w:r w:rsidRPr="00404DA5">
              <w:rPr>
                <w:rFonts w:cs="Calibri"/>
                <w:sz w:val="18"/>
                <w:szCs w:val="18"/>
              </w:rPr>
              <w:t>placówek prowadzących kształcenie ogólne oraz uczniów uczestniczących</w:t>
            </w:r>
            <w:r w:rsidR="00E66B89">
              <w:rPr>
                <w:rFonts w:cs="Calibri"/>
                <w:sz w:val="18"/>
                <w:szCs w:val="18"/>
              </w:rPr>
              <w:t xml:space="preserve"> w </w:t>
            </w:r>
            <w:r w:rsidRPr="00404DA5">
              <w:rPr>
                <w:rFonts w:cs="Calibri"/>
                <w:sz w:val="18"/>
                <w:szCs w:val="18"/>
              </w:rPr>
              <w:t>kształceniu podstawowym, gimnazjalnym</w:t>
            </w:r>
            <w:r w:rsidR="00E66B89">
              <w:rPr>
                <w:rFonts w:cs="Calibri"/>
                <w:sz w:val="18"/>
                <w:szCs w:val="18"/>
              </w:rPr>
              <w:t xml:space="preserve"> i </w:t>
            </w:r>
            <w:r w:rsidRPr="00404DA5">
              <w:rPr>
                <w:rFonts w:cs="Calibri"/>
                <w:sz w:val="18"/>
                <w:szCs w:val="18"/>
              </w:rPr>
              <w:t>ponadgimnazjalnym</w:t>
            </w:r>
            <w:r w:rsidR="00E66B89">
              <w:rPr>
                <w:rFonts w:cs="Calibri"/>
                <w:sz w:val="18"/>
                <w:szCs w:val="18"/>
              </w:rPr>
              <w:t xml:space="preserve"> w </w:t>
            </w:r>
            <w:r w:rsidRPr="00404DA5">
              <w:rPr>
                <w:rFonts w:cs="Calibri"/>
                <w:sz w:val="18"/>
                <w:szCs w:val="18"/>
              </w:rPr>
              <w:t>ramach Kontraktów Samorządowych</w:t>
            </w:r>
          </w:p>
        </w:tc>
        <w:tc>
          <w:tcPr>
            <w:tcW w:w="0" w:type="auto"/>
            <w:shd w:val="clear" w:color="auto" w:fill="auto"/>
            <w:vAlign w:val="center"/>
          </w:tcPr>
          <w:p w14:paraId="03C5852C" w14:textId="77777777" w:rsidR="00291431" w:rsidRDefault="00291431" w:rsidP="00370D80">
            <w:pPr>
              <w:jc w:val="center"/>
              <w:rPr>
                <w:rFonts w:cs="Calibri"/>
                <w:sz w:val="18"/>
                <w:szCs w:val="20"/>
              </w:rPr>
            </w:pPr>
            <w:r w:rsidRPr="009F44D1">
              <w:rPr>
                <w:rFonts w:cs="Calibri"/>
                <w:sz w:val="18"/>
                <w:szCs w:val="20"/>
              </w:rPr>
              <w:t>4</w:t>
            </w:r>
            <w:r>
              <w:rPr>
                <w:rFonts w:cs="Calibri"/>
                <w:sz w:val="18"/>
                <w:szCs w:val="20"/>
              </w:rPr>
              <w:t xml:space="preserve"> </w:t>
            </w:r>
            <w:r w:rsidRPr="009F44D1">
              <w:rPr>
                <w:rFonts w:cs="Calibri"/>
                <w:sz w:val="18"/>
                <w:szCs w:val="20"/>
              </w:rPr>
              <w:t>685</w:t>
            </w:r>
            <w:r>
              <w:rPr>
                <w:rFonts w:cs="Calibri"/>
                <w:sz w:val="18"/>
                <w:szCs w:val="20"/>
              </w:rPr>
              <w:t xml:space="preserve"> </w:t>
            </w:r>
            <w:r w:rsidRPr="009F44D1">
              <w:rPr>
                <w:rFonts w:cs="Calibri"/>
                <w:sz w:val="18"/>
                <w:szCs w:val="20"/>
              </w:rPr>
              <w:t xml:space="preserve">000 </w:t>
            </w:r>
            <w:r>
              <w:rPr>
                <w:rFonts w:cs="Calibri"/>
                <w:sz w:val="18"/>
                <w:szCs w:val="20"/>
              </w:rPr>
              <w:t xml:space="preserve">EUR </w:t>
            </w:r>
            <w:r w:rsidRPr="00404DA5">
              <w:rPr>
                <w:rFonts w:cs="Calibri"/>
                <w:sz w:val="18"/>
                <w:szCs w:val="20"/>
              </w:rPr>
              <w:t>[alokacja UE ogółem na Działanie po uwzględnieniu zmian</w:t>
            </w:r>
            <w:r w:rsidR="00E66B89">
              <w:rPr>
                <w:rFonts w:cs="Calibri"/>
                <w:sz w:val="18"/>
                <w:szCs w:val="20"/>
              </w:rPr>
              <w:t xml:space="preserve"> w </w:t>
            </w:r>
            <w:r w:rsidRPr="00404DA5">
              <w:rPr>
                <w:rFonts w:cs="Calibri"/>
                <w:sz w:val="18"/>
                <w:szCs w:val="20"/>
              </w:rPr>
              <w:t>Programie]</w:t>
            </w:r>
          </w:p>
          <w:p w14:paraId="4B92A84C" w14:textId="77777777" w:rsidR="00291431" w:rsidRPr="00E26420" w:rsidRDefault="00291431" w:rsidP="00370D80">
            <w:pPr>
              <w:jc w:val="center"/>
              <w:rPr>
                <w:rFonts w:cs="Calibri"/>
                <w:b/>
                <w:color w:val="000000"/>
                <w:sz w:val="18"/>
                <w:szCs w:val="18"/>
              </w:rPr>
            </w:pPr>
            <w:r w:rsidRPr="00E26420">
              <w:rPr>
                <w:rFonts w:cs="Calibri"/>
                <w:b/>
                <w:sz w:val="18"/>
                <w:szCs w:val="20"/>
              </w:rPr>
              <w:t>tj.</w:t>
            </w:r>
          </w:p>
          <w:p w14:paraId="544F581B"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t>20 158 618,00</w:t>
            </w:r>
          </w:p>
          <w:p w14:paraId="02F3DE40" w14:textId="77777777" w:rsidR="00291431" w:rsidRPr="00404DA5" w:rsidRDefault="00291431" w:rsidP="00370D80">
            <w:pPr>
              <w:jc w:val="center"/>
              <w:rPr>
                <w:rFonts w:cs="Calibri"/>
                <w:sz w:val="18"/>
                <w:szCs w:val="18"/>
              </w:rPr>
            </w:pPr>
            <w:r w:rsidRPr="00E26420">
              <w:rPr>
                <w:rFonts w:cs="Calibri"/>
                <w:b/>
                <w:sz w:val="18"/>
                <w:szCs w:val="18"/>
              </w:rPr>
              <w:t>zł</w:t>
            </w:r>
          </w:p>
        </w:tc>
        <w:tc>
          <w:tcPr>
            <w:tcW w:w="0" w:type="auto"/>
            <w:shd w:val="clear" w:color="auto" w:fill="auto"/>
            <w:vAlign w:val="center"/>
          </w:tcPr>
          <w:p w14:paraId="60A1F9F1" w14:textId="77777777" w:rsidR="00291431" w:rsidRDefault="00291431" w:rsidP="00370D80">
            <w:pPr>
              <w:jc w:val="center"/>
              <w:rPr>
                <w:rFonts w:cs="Calibri"/>
                <w:color w:val="000000"/>
                <w:sz w:val="18"/>
                <w:szCs w:val="18"/>
              </w:rPr>
            </w:pPr>
            <w:r w:rsidRPr="00404DA5">
              <w:rPr>
                <w:rFonts w:cs="Calibri"/>
                <w:color w:val="000000"/>
                <w:sz w:val="18"/>
                <w:szCs w:val="18"/>
              </w:rPr>
              <w:t>94,4%</w:t>
            </w:r>
          </w:p>
          <w:p w14:paraId="40FE7156" w14:textId="77777777" w:rsidR="00291431" w:rsidRPr="00404DA5" w:rsidRDefault="00291431" w:rsidP="00370D80">
            <w:pPr>
              <w:jc w:val="center"/>
              <w:rPr>
                <w:rFonts w:cs="Calibri"/>
                <w:color w:val="000000"/>
                <w:sz w:val="18"/>
                <w:szCs w:val="18"/>
              </w:rPr>
            </w:pPr>
            <w:r w:rsidRPr="00404DA5">
              <w:rPr>
                <w:rFonts w:cs="Calibri"/>
                <w:sz w:val="18"/>
                <w:szCs w:val="18"/>
              </w:rPr>
              <w:t>alokacji UE ogółem na Działanie</w:t>
            </w:r>
          </w:p>
        </w:tc>
        <w:tc>
          <w:tcPr>
            <w:tcW w:w="0" w:type="auto"/>
            <w:shd w:val="clear" w:color="auto" w:fill="auto"/>
            <w:vAlign w:val="center"/>
          </w:tcPr>
          <w:p w14:paraId="7C4ED877" w14:textId="77777777" w:rsidR="00291431" w:rsidRPr="00404DA5" w:rsidRDefault="00291431" w:rsidP="00370D80">
            <w:pPr>
              <w:jc w:val="center"/>
              <w:rPr>
                <w:rFonts w:cs="Calibri"/>
                <w:sz w:val="18"/>
                <w:szCs w:val="18"/>
              </w:rPr>
            </w:pPr>
            <w:r w:rsidRPr="00404DA5">
              <w:rPr>
                <w:rFonts w:cs="Calibri"/>
                <w:sz w:val="18"/>
                <w:szCs w:val="18"/>
              </w:rPr>
              <w:t>44</w:t>
            </w:r>
          </w:p>
        </w:tc>
        <w:tc>
          <w:tcPr>
            <w:tcW w:w="0" w:type="auto"/>
            <w:shd w:val="clear" w:color="auto" w:fill="auto"/>
            <w:vAlign w:val="center"/>
          </w:tcPr>
          <w:p w14:paraId="77D34078" w14:textId="77777777" w:rsidR="00291431" w:rsidRPr="00404DA5" w:rsidRDefault="00291431" w:rsidP="00370D80">
            <w:pPr>
              <w:jc w:val="center"/>
              <w:rPr>
                <w:rFonts w:cs="Calibri"/>
                <w:color w:val="000000"/>
                <w:sz w:val="18"/>
                <w:szCs w:val="18"/>
              </w:rPr>
            </w:pPr>
            <w:r w:rsidRPr="00404DA5">
              <w:rPr>
                <w:rFonts w:cs="Calibri"/>
                <w:color w:val="000000"/>
                <w:sz w:val="18"/>
                <w:szCs w:val="18"/>
              </w:rPr>
              <w:t>22 700 990,57</w:t>
            </w:r>
            <w:r>
              <w:rPr>
                <w:rFonts w:cs="Calibri"/>
                <w:color w:val="000000"/>
                <w:sz w:val="18"/>
                <w:szCs w:val="18"/>
              </w:rPr>
              <w:t xml:space="preserve"> zł</w:t>
            </w:r>
          </w:p>
        </w:tc>
        <w:tc>
          <w:tcPr>
            <w:tcW w:w="0" w:type="auto"/>
            <w:shd w:val="clear" w:color="auto" w:fill="auto"/>
            <w:vAlign w:val="center"/>
          </w:tcPr>
          <w:p w14:paraId="7E5D2384" w14:textId="77777777" w:rsidR="00291431" w:rsidRPr="00404DA5" w:rsidRDefault="00291431" w:rsidP="00370D80">
            <w:pPr>
              <w:jc w:val="center"/>
              <w:rPr>
                <w:rFonts w:cs="Calibri"/>
                <w:color w:val="000000"/>
                <w:sz w:val="18"/>
                <w:szCs w:val="18"/>
              </w:rPr>
            </w:pPr>
            <w:r w:rsidRPr="00404DA5">
              <w:rPr>
                <w:rFonts w:cs="Calibri"/>
                <w:color w:val="000000"/>
                <w:sz w:val="18"/>
                <w:szCs w:val="18"/>
              </w:rPr>
              <w:t>19 030 670,85</w:t>
            </w:r>
            <w:r>
              <w:rPr>
                <w:rFonts w:cs="Calibri"/>
                <w:color w:val="000000"/>
                <w:sz w:val="18"/>
                <w:szCs w:val="18"/>
              </w:rPr>
              <w:t xml:space="preserve"> zł</w:t>
            </w:r>
          </w:p>
        </w:tc>
      </w:tr>
    </w:tbl>
    <w:p w14:paraId="6A46F76A" w14:textId="77777777" w:rsidR="00291431" w:rsidRPr="00D21299" w:rsidRDefault="00291431" w:rsidP="001245CE">
      <w:pPr>
        <w:spacing w:before="0"/>
        <w:rPr>
          <w:rFonts w:cs="Calibri"/>
          <w:i/>
          <w:sz w:val="18"/>
          <w:szCs w:val="18"/>
        </w:rPr>
      </w:pPr>
      <w:r w:rsidRPr="00D21299">
        <w:rPr>
          <w:rFonts w:cs="Calibri"/>
          <w:i/>
          <w:sz w:val="18"/>
          <w:szCs w:val="18"/>
        </w:rPr>
        <w:t>Źródło: obliczenia własne na podstawie danych SL 2014 (stan na dzień 07.01.2019r.).</w:t>
      </w:r>
    </w:p>
    <w:p w14:paraId="3F8E8EA6" w14:textId="77777777" w:rsidR="00291431" w:rsidRDefault="00291431" w:rsidP="00291431">
      <w:r>
        <w:t>Na poniższej mapie przedstawiono dane dotyczące wartości projektów ogółem realizowanych</w:t>
      </w:r>
      <w:r w:rsidR="00E66B89">
        <w:t xml:space="preserve"> w </w:t>
      </w:r>
      <w:r>
        <w:t>ramach Działań 8.1, 8.2, 8.3, 8.4, 8.5</w:t>
      </w:r>
      <w:r w:rsidR="00E66B89">
        <w:t xml:space="preserve"> w </w:t>
      </w:r>
      <w:r>
        <w:t>podziale na gminy województwa zachodniopomorskiego.</w:t>
      </w:r>
      <w:r w:rsidR="00E66B89">
        <w:t xml:space="preserve"> W </w:t>
      </w:r>
      <w:r>
        <w:t>obrębie tych Działań projekty</w:t>
      </w:r>
      <w:r w:rsidR="00E66B89">
        <w:t xml:space="preserve"> o </w:t>
      </w:r>
      <w:r>
        <w:t>największej wartości ogółem są realizowane</w:t>
      </w:r>
      <w:r w:rsidR="00E66B89">
        <w:t xml:space="preserve"> w </w:t>
      </w:r>
      <w:r>
        <w:t>gminach Szczecin (</w:t>
      </w:r>
      <w:r w:rsidRPr="00F64747">
        <w:t>19</w:t>
      </w:r>
      <w:r>
        <w:t xml:space="preserve"> mln zł), Police</w:t>
      </w:r>
      <w:r w:rsidRPr="00F64747">
        <w:t xml:space="preserve"> </w:t>
      </w:r>
      <w:r>
        <w:t>(</w:t>
      </w:r>
      <w:r w:rsidRPr="00F64747">
        <w:t>11</w:t>
      </w:r>
      <w:r>
        <w:t>.</w:t>
      </w:r>
      <w:r w:rsidRPr="00F64747">
        <w:t>8</w:t>
      </w:r>
      <w:r>
        <w:t xml:space="preserve"> mln zł), Koszalin (9,7 mln zł) oraz Goleniów (4,0 mln zł). Wszystkie te gminy,</w:t>
      </w:r>
      <w:r w:rsidR="00E66B89">
        <w:t xml:space="preserve"> z </w:t>
      </w:r>
      <w:r>
        <w:t xml:space="preserve">wyjątkiem Koszalina (który należy do obszaru ZIT KKBOF), należą do obszarów objętych mechanizmem ZIT SOM. </w:t>
      </w:r>
      <w:r w:rsidRPr="00C10974">
        <w:t>Udział wartości projektów</w:t>
      </w:r>
      <w:r w:rsidR="00E66B89">
        <w:t xml:space="preserve"> z </w:t>
      </w:r>
      <w:r w:rsidRPr="00C10974">
        <w:t>Działania ZIT SOM</w:t>
      </w:r>
      <w:r w:rsidR="00E66B89">
        <w:t xml:space="preserve"> w </w:t>
      </w:r>
      <w:r w:rsidRPr="00C10974">
        <w:t xml:space="preserve">całkowitej </w:t>
      </w:r>
      <w:r>
        <w:t>wartości projektów</w:t>
      </w:r>
      <w:r w:rsidR="00E66B89">
        <w:t xml:space="preserve"> w </w:t>
      </w:r>
      <w:r>
        <w:t>PI 10i wynosił</w:t>
      </w:r>
      <w:r w:rsidR="00E66B89">
        <w:t xml:space="preserve"> w </w:t>
      </w:r>
      <w:r>
        <w:t>dniu 7.01.2019 54,2% (8,7 mln zł) dla Szczecina, 88% (10,4 mln zł) dla Polic oraz 86,9% (3,5 mln zł) dla Goleniowa. Najniższy udział</w:t>
      </w:r>
      <w:r w:rsidRPr="00C10974">
        <w:t xml:space="preserve"> wartości projektów</w:t>
      </w:r>
      <w:r w:rsidR="00E66B89">
        <w:t xml:space="preserve"> z </w:t>
      </w:r>
      <w:r w:rsidRPr="00C10974">
        <w:t>Działania</w:t>
      </w:r>
      <w:r>
        <w:t xml:space="preserve"> 8.3 (skierowanego do </w:t>
      </w:r>
      <w:r w:rsidRPr="00C10974">
        <w:t>ZIT SOM</w:t>
      </w:r>
      <w:r>
        <w:t>)</w:t>
      </w:r>
      <w:r w:rsidR="00E66B89">
        <w:t xml:space="preserve"> w </w:t>
      </w:r>
      <w:r w:rsidRPr="00C10974">
        <w:t>całkowitej wartości projektów</w:t>
      </w:r>
      <w:r w:rsidR="00E66B89">
        <w:t xml:space="preserve"> w </w:t>
      </w:r>
      <w:r>
        <w:t xml:space="preserve">ramach </w:t>
      </w:r>
      <w:r w:rsidRPr="00C10974">
        <w:t>PI 10i</w:t>
      </w:r>
      <w:r>
        <w:t xml:space="preserve"> obserwowany jest</w:t>
      </w:r>
      <w:r w:rsidR="00E66B89">
        <w:t xml:space="preserve"> w </w:t>
      </w:r>
      <w:r>
        <w:t xml:space="preserve">gminach </w:t>
      </w:r>
      <w:r w:rsidRPr="00C10974">
        <w:t>Stargard</w:t>
      </w:r>
      <w:r>
        <w:t xml:space="preserve"> (36,1%) oraz </w:t>
      </w:r>
      <w:r w:rsidRPr="00C10974">
        <w:t>Kołbaskowo</w:t>
      </w:r>
      <w:r>
        <w:t xml:space="preserve"> (44,4%).</w:t>
      </w:r>
      <w:r w:rsidR="00E66B89">
        <w:t xml:space="preserve"> W </w:t>
      </w:r>
      <w:r>
        <w:t xml:space="preserve">większości gmin, których siedzibą jest niewielka miejscowość (Kobylanka, Stepnica, </w:t>
      </w:r>
      <w:r w:rsidRPr="00C10974">
        <w:t xml:space="preserve">Stare </w:t>
      </w:r>
      <w:r w:rsidRPr="00C10974">
        <w:lastRenderedPageBreak/>
        <w:t>Czarnowo</w:t>
      </w:r>
      <w:r>
        <w:t>) projekty realizowane</w:t>
      </w:r>
      <w:r w:rsidR="00E66B89">
        <w:t xml:space="preserve"> w </w:t>
      </w:r>
      <w:r>
        <w:t>Działaniu 8.3 są jedynym rodzajem interwencji finansowanej</w:t>
      </w:r>
      <w:r w:rsidR="00E66B89">
        <w:t xml:space="preserve"> z </w:t>
      </w:r>
      <w:r>
        <w:t>EFS skierowanym do edukacji ogólnej</w:t>
      </w:r>
      <w:r w:rsidR="00E66B89">
        <w:t xml:space="preserve"> i </w:t>
      </w:r>
      <w:r>
        <w:t xml:space="preserve">przedszkolnej. </w:t>
      </w:r>
      <w:r w:rsidRPr="00C10974">
        <w:t>Udział wartości projektów</w:t>
      </w:r>
      <w:r w:rsidR="00E66B89">
        <w:t xml:space="preserve"> z </w:t>
      </w:r>
      <w:r w:rsidRPr="00C10974">
        <w:t>Działania ZIT SOM</w:t>
      </w:r>
      <w:r w:rsidR="00E66B89">
        <w:t xml:space="preserve"> w </w:t>
      </w:r>
      <w:r w:rsidRPr="00C10974">
        <w:t>całkowitej</w:t>
      </w:r>
      <w:r w:rsidR="00C22C26">
        <w:t xml:space="preserve"> </w:t>
      </w:r>
      <w:r>
        <w:t>wartości projektów</w:t>
      </w:r>
      <w:r w:rsidR="00E66B89">
        <w:t xml:space="preserve"> w </w:t>
      </w:r>
      <w:r>
        <w:t xml:space="preserve">PI 10i dla całości obszaru ZIT SOM wyniósł 70,9%. </w:t>
      </w:r>
    </w:p>
    <w:p w14:paraId="5B035AC8" w14:textId="77777777" w:rsidR="00291431" w:rsidRDefault="00291431" w:rsidP="00291431">
      <w:r>
        <w:t>Niewiele mniejszy jest u</w:t>
      </w:r>
      <w:r w:rsidRPr="00C10974">
        <w:t>dział wartości projektów</w:t>
      </w:r>
      <w:r w:rsidR="00E66B89">
        <w:t xml:space="preserve"> z </w:t>
      </w:r>
      <w:r>
        <w:t>Działania</w:t>
      </w:r>
      <w:r w:rsidRPr="00C10974">
        <w:t xml:space="preserve"> </w:t>
      </w:r>
      <w:r>
        <w:t xml:space="preserve">8.4, skierowanego do ZIT </w:t>
      </w:r>
      <w:r w:rsidRPr="00DF0686">
        <w:t>Koszalińsko-Kołobrzesko-Białogardzkiego Obszaru Funkcjonalnego</w:t>
      </w:r>
      <w:r>
        <w:t xml:space="preserve"> (KKBOF),</w:t>
      </w:r>
      <w:r w:rsidR="00E66B89">
        <w:t xml:space="preserve"> w </w:t>
      </w:r>
      <w:r w:rsidRPr="00C10974">
        <w:t>całkowitej</w:t>
      </w:r>
      <w:r w:rsidR="00C22C26">
        <w:t xml:space="preserve"> </w:t>
      </w:r>
      <w:r>
        <w:t>wartości projektów realizowanych</w:t>
      </w:r>
      <w:r w:rsidR="00E66B89">
        <w:t xml:space="preserve"> w </w:t>
      </w:r>
      <w:r>
        <w:t>ramach PI 10i na tym obszarze. Wynosi on 67,3%. Dla 6 gmin należących do ZIT KKBOF wartość projektów</w:t>
      </w:r>
      <w:r w:rsidR="00E66B89">
        <w:t xml:space="preserve"> w </w:t>
      </w:r>
      <w:r>
        <w:t>Działaniu 8.4 stanowiła całość środków przeznaczonych na interwencję</w:t>
      </w:r>
      <w:r w:rsidR="00E66B89">
        <w:t xml:space="preserve"> w </w:t>
      </w:r>
      <w:r>
        <w:t>ramach PI 10i.</w:t>
      </w:r>
      <w:r w:rsidR="00E66B89">
        <w:t xml:space="preserve"> Z </w:t>
      </w:r>
      <w:r>
        <w:t>kolei dla 3 innych gmin (</w:t>
      </w:r>
      <w:r w:rsidRPr="002C2F77">
        <w:t>Kołobrzeg</w:t>
      </w:r>
      <w:r>
        <w:t xml:space="preserve">, </w:t>
      </w:r>
      <w:r w:rsidRPr="002C2F77">
        <w:t>Biesiekierz</w:t>
      </w:r>
      <w:r>
        <w:t xml:space="preserve">, </w:t>
      </w:r>
      <w:r w:rsidRPr="002C2F77">
        <w:t>Bobolice</w:t>
      </w:r>
      <w:r>
        <w:t>) całość interwencji</w:t>
      </w:r>
      <w:r w:rsidR="00E66B89">
        <w:t xml:space="preserve"> w </w:t>
      </w:r>
      <w:r>
        <w:t>ramach PI 10i finansowana była</w:t>
      </w:r>
      <w:r w:rsidR="00E66B89">
        <w:t xml:space="preserve"> w </w:t>
      </w:r>
      <w:r>
        <w:t>Działaniu 8.1 realizowanym na obszarze całego województwa zachodniopomorskiego. Należy jednocześnie zauważyć, że na obszarze 9 gmin należących do ZIT KKBOF nie realizowano żadnego projektu finansowanego</w:t>
      </w:r>
      <w:r w:rsidR="00E66B89">
        <w:t xml:space="preserve"> z </w:t>
      </w:r>
      <w:r>
        <w:t>EFS skierowanego do edukacji ogólnej oraz przedszkolnej.</w:t>
      </w:r>
      <w:r w:rsidRPr="00C5250B">
        <w:t xml:space="preserve"> </w:t>
      </w:r>
      <w:r>
        <w:t>Projekty</w:t>
      </w:r>
      <w:r w:rsidR="00E66B89">
        <w:t xml:space="preserve"> o </w:t>
      </w:r>
      <w:r>
        <w:t>największej wartości ogółem,</w:t>
      </w:r>
      <w:r w:rsidR="00E66B89">
        <w:t xml:space="preserve"> w </w:t>
      </w:r>
      <w:r>
        <w:t xml:space="preserve">ramach tego Działania realizowane były na terenie gmin </w:t>
      </w:r>
      <w:r w:rsidRPr="00A25843">
        <w:t>Koszalin</w:t>
      </w:r>
      <w:r>
        <w:t xml:space="preserve"> (6,6 mln zł), </w:t>
      </w:r>
      <w:r w:rsidRPr="00A25843">
        <w:t>Gościno</w:t>
      </w:r>
      <w:r>
        <w:t xml:space="preserve"> (1,5 mln zł) oraz </w:t>
      </w:r>
      <w:r w:rsidRPr="00A25843">
        <w:t>Siemyśl</w:t>
      </w:r>
      <w:r>
        <w:t xml:space="preserve"> (1,3 mln zł).</w:t>
      </w:r>
    </w:p>
    <w:p w14:paraId="2ABE9AC0" w14:textId="77777777" w:rsidR="00291431" w:rsidRDefault="00291431" w:rsidP="00291431">
      <w:r>
        <w:t>Interwencja ograniczona terytorialnie do obszarów objętych KS stanowiła mniejszy wkład</w:t>
      </w:r>
      <w:r w:rsidR="00E66B89">
        <w:t xml:space="preserve"> w </w:t>
      </w:r>
      <w:r>
        <w:t>całość interwencji</w:t>
      </w:r>
      <w:r w:rsidR="00E66B89">
        <w:t xml:space="preserve"> w </w:t>
      </w:r>
      <w:r>
        <w:t>ramach PI 10i, niż</w:t>
      </w:r>
      <w:r w:rsidR="00E66B89">
        <w:t xml:space="preserve"> w </w:t>
      </w:r>
      <w:r>
        <w:t>przypadku obszarów należących do Zintegrowanych Inwestycji Terytorialnych (ZIT SOM</w:t>
      </w:r>
      <w:r w:rsidR="00E66B89">
        <w:t xml:space="preserve"> i </w:t>
      </w:r>
      <w:r>
        <w:t>ZIT KKBOF). Wciąż jednak u</w:t>
      </w:r>
      <w:r w:rsidRPr="00C10974">
        <w:t>dział wartości projektów</w:t>
      </w:r>
      <w:r w:rsidR="00E66B89">
        <w:t xml:space="preserve"> z </w:t>
      </w:r>
      <w:r>
        <w:t>Działania</w:t>
      </w:r>
      <w:r w:rsidRPr="00C10974">
        <w:t xml:space="preserve"> </w:t>
      </w:r>
      <w:r>
        <w:t>8.5, skierowanego do obszarów objętych Kontraktami Samorządowymi, stanowił więcej niż połowę wartości projektów realizowanych</w:t>
      </w:r>
      <w:r w:rsidR="00E66B89">
        <w:t xml:space="preserve"> w </w:t>
      </w:r>
      <w:r>
        <w:t>ramach PI10i na tym terenie (59,1%). Projekty</w:t>
      </w:r>
      <w:r w:rsidR="00E66B89">
        <w:t xml:space="preserve"> o </w:t>
      </w:r>
      <w:r>
        <w:t>największej wartości ogółem,</w:t>
      </w:r>
      <w:r w:rsidR="00E66B89">
        <w:t xml:space="preserve"> w </w:t>
      </w:r>
      <w:r>
        <w:t xml:space="preserve">ramach tego Działania, realizowane były na terenie gmin </w:t>
      </w:r>
      <w:r w:rsidRPr="00DC000A">
        <w:t xml:space="preserve">Szczecinek </w:t>
      </w:r>
      <w:r>
        <w:t>(2,7 mln zł), Wałcz (2,2 mln zł) oraz Pełczyce (1,6 mln zł).</w:t>
      </w:r>
      <w:r w:rsidR="00E66B89">
        <w:t xml:space="preserve"> W </w:t>
      </w:r>
      <w:r>
        <w:t>wielu gminach, szczególnie objętych KS:</w:t>
      </w:r>
      <w:r w:rsidRPr="00DC000A">
        <w:t xml:space="preserve"> „Metalowa dźwignia regionu</w:t>
      </w:r>
      <w:r>
        <w:t>” oraz</w:t>
      </w:r>
      <w:r w:rsidR="00C22C26">
        <w:t xml:space="preserve"> </w:t>
      </w:r>
      <w:r w:rsidRPr="00DC000A">
        <w:t>„Rozwój społeczno</w:t>
      </w:r>
      <w:r w:rsidR="00703AED">
        <w:t>-</w:t>
      </w:r>
      <w:r w:rsidRPr="00DC000A">
        <w:t>gospodarczy obszaru „Pyrzyce +”</w:t>
      </w:r>
      <w:r>
        <w:t>,</w:t>
      </w:r>
      <w:r w:rsidRPr="00DC000A">
        <w:t xml:space="preserve"> </w:t>
      </w:r>
      <w:r w:rsidRPr="00044F1E">
        <w:t>projekty realizowane</w:t>
      </w:r>
      <w:r w:rsidR="00E66B89">
        <w:t xml:space="preserve"> w </w:t>
      </w:r>
      <w:r w:rsidRPr="00044F1E">
        <w:t>Działaniu 8.</w:t>
      </w:r>
      <w:r>
        <w:t>5</w:t>
      </w:r>
      <w:r w:rsidRPr="00044F1E">
        <w:t xml:space="preserve"> są jedynym rodzajem interwencji finansowanej</w:t>
      </w:r>
      <w:r w:rsidR="00E66B89">
        <w:t xml:space="preserve"> z </w:t>
      </w:r>
      <w:r w:rsidRPr="00044F1E">
        <w:t xml:space="preserve">EFS skierowanym </w:t>
      </w:r>
      <w:r>
        <w:t>na wsparcie</w:t>
      </w:r>
      <w:r w:rsidRPr="00044F1E">
        <w:t xml:space="preserve"> edukacji ogólnej</w:t>
      </w:r>
      <w:r w:rsidR="00E66B89">
        <w:t xml:space="preserve"> i </w:t>
      </w:r>
      <w:r w:rsidRPr="00044F1E">
        <w:t>przedszkolnej.</w:t>
      </w:r>
      <w:r>
        <w:t xml:space="preserve"> Należy także zauważyć, że na każdym</w:t>
      </w:r>
      <w:r w:rsidR="00E66B89">
        <w:t xml:space="preserve"> z </w:t>
      </w:r>
      <w:r>
        <w:t>6 obszarów objętych KS realizowano co najmniej 4 projekty</w:t>
      </w:r>
      <w:r w:rsidR="00E66B89">
        <w:t xml:space="preserve"> w </w:t>
      </w:r>
      <w:r>
        <w:t>ramach Działania 8.5.</w:t>
      </w:r>
    </w:p>
    <w:p w14:paraId="6D438765" w14:textId="77777777" w:rsidR="00291431" w:rsidRPr="00404DA5" w:rsidRDefault="00291431" w:rsidP="00291431">
      <w:pPr>
        <w:rPr>
          <w:rFonts w:cs="Calibri"/>
          <w:szCs w:val="20"/>
        </w:rPr>
      </w:pPr>
      <w:r>
        <w:t>Przytoczone dane pozwalają stwierdzić, że mechanizm ukierunkowania interwencji</w:t>
      </w:r>
      <w:r w:rsidR="00E66B89">
        <w:t xml:space="preserve"> w </w:t>
      </w:r>
      <w:r w:rsidRPr="00044F1E">
        <w:t>edukacji ogólnej</w:t>
      </w:r>
      <w:r w:rsidR="00E66B89">
        <w:t xml:space="preserve"> i </w:t>
      </w:r>
      <w:r w:rsidRPr="00044F1E">
        <w:t xml:space="preserve">przedszkolnej </w:t>
      </w:r>
      <w:r>
        <w:t>jest skuteczny. Najwyższa skuteczność obserwowana jest</w:t>
      </w:r>
      <w:r w:rsidR="00E66B89">
        <w:t xml:space="preserve"> w </w:t>
      </w:r>
      <w:r>
        <w:t>przypadku interwencji skierowanej do obszaru SOM. Nieco niższa, ale wciąż wysoka jest skuteczność ukierunkowania interwencji</w:t>
      </w:r>
      <w:r w:rsidR="00E66B89">
        <w:t xml:space="preserve"> w </w:t>
      </w:r>
      <w:r>
        <w:t>ramach ZIT KKBOF oraz KS.</w:t>
      </w:r>
    </w:p>
    <w:p w14:paraId="52AE311D" w14:textId="77777777" w:rsidR="008F1CDB" w:rsidRDefault="008F1CDB">
      <w:pPr>
        <w:pStyle w:val="Legenda"/>
      </w:pPr>
      <w:bookmarkStart w:id="378" w:name="_Toc6521456"/>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7</w:t>
      </w:r>
      <w:r w:rsidR="006E34DC">
        <w:rPr>
          <w:noProof/>
        </w:rPr>
        <w:fldChar w:fldCharType="end"/>
      </w:r>
      <w:r>
        <w:t xml:space="preserve"> </w:t>
      </w:r>
      <w:r w:rsidRPr="000D4451">
        <w:t>Wartość projektów ogółem</w:t>
      </w:r>
      <w:r w:rsidR="00E66B89">
        <w:t xml:space="preserve"> z </w:t>
      </w:r>
      <w:r w:rsidRPr="000D4451">
        <w:t>Działań realizujących instrumenty terytorialne oraz analogicznego Działania wdrażanego</w:t>
      </w:r>
      <w:r w:rsidR="00E66B89">
        <w:t xml:space="preserve"> w </w:t>
      </w:r>
      <w:r w:rsidRPr="000D4451">
        <w:t>całym regionie,</w:t>
      </w:r>
      <w:r w:rsidR="00E66B89">
        <w:t xml:space="preserve"> w </w:t>
      </w:r>
      <w:r w:rsidRPr="000D4451">
        <w:t>podziale na gminy</w:t>
      </w:r>
      <w:r w:rsidR="00E66B89">
        <w:t xml:space="preserve"> z </w:t>
      </w:r>
      <w:r w:rsidRPr="000D4451">
        <w:t>wyszczególnieniem gmin należących do ZIT/KS - PI 10i</w:t>
      </w:r>
      <w:bookmarkEnd w:id="378"/>
    </w:p>
    <w:p w14:paraId="7F9F1673" w14:textId="542E1504" w:rsidR="008F1CDB" w:rsidRDefault="00C35619" w:rsidP="00CB79B5">
      <w:pPr>
        <w:rPr>
          <w:rFonts w:cs="Calibri"/>
          <w:szCs w:val="20"/>
        </w:rPr>
      </w:pPr>
      <w:r w:rsidRPr="00D508B6">
        <w:rPr>
          <w:noProof/>
        </w:rPr>
        <w:drawing>
          <wp:inline distT="0" distB="0" distL="0" distR="0" wp14:anchorId="0551ABC2" wp14:editId="735D0FA5">
            <wp:extent cx="5762625" cy="4076700"/>
            <wp:effectExtent l="0" t="0" r="9525" b="0"/>
            <wp:docPr id="6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152D2FB8" w14:textId="77777777" w:rsidR="008F1CDB" w:rsidRPr="00D21299" w:rsidRDefault="008F1CDB" w:rsidP="008F1CDB">
      <w:pPr>
        <w:rPr>
          <w:i/>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1 534 627,04 zł.</w:t>
      </w:r>
      <w:r w:rsidRPr="00D21299">
        <w:rPr>
          <w:rStyle w:val="Odwoanieprzypisudolnego"/>
          <w:sz w:val="18"/>
          <w:szCs w:val="18"/>
        </w:rPr>
        <w:footnoteReference w:id="158"/>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018C55BA" w14:textId="77777777" w:rsidR="00291431" w:rsidRDefault="00291431" w:rsidP="00291431">
      <w:pPr>
        <w:rPr>
          <w:rFonts w:cs="Calibri"/>
          <w:szCs w:val="20"/>
        </w:rPr>
      </w:pPr>
      <w:r w:rsidRPr="00404DA5">
        <w:rPr>
          <w:rFonts w:cs="Calibri"/>
          <w:szCs w:val="20"/>
        </w:rPr>
        <w:t>Projekty związane</w:t>
      </w:r>
      <w:r w:rsidR="00E66B89">
        <w:rPr>
          <w:rFonts w:cs="Calibri"/>
          <w:szCs w:val="20"/>
        </w:rPr>
        <w:t xml:space="preserve"> z </w:t>
      </w:r>
      <w:r w:rsidRPr="00404DA5">
        <w:rPr>
          <w:rFonts w:cs="Calibri"/>
          <w:szCs w:val="20"/>
        </w:rPr>
        <w:t>edukacją przedszkolną</w:t>
      </w:r>
      <w:r w:rsidR="00E66B89">
        <w:rPr>
          <w:rFonts w:cs="Calibri"/>
          <w:szCs w:val="20"/>
        </w:rPr>
        <w:t xml:space="preserve"> i </w:t>
      </w:r>
      <w:r w:rsidRPr="00404DA5">
        <w:rPr>
          <w:rFonts w:cs="Calibri"/>
          <w:szCs w:val="20"/>
        </w:rPr>
        <w:t>ogólną nie rozkładają się równomiernie na obszarze województwa zachodniopomorskiego.</w:t>
      </w:r>
      <w:r w:rsidR="00E66B89">
        <w:rPr>
          <w:rFonts w:cs="Calibri"/>
          <w:szCs w:val="20"/>
        </w:rPr>
        <w:t xml:space="preserve"> Z </w:t>
      </w:r>
      <w:r w:rsidRPr="00404DA5">
        <w:rPr>
          <w:rFonts w:cs="Calibri"/>
          <w:szCs w:val="20"/>
        </w:rPr>
        <w:t>tego też powodu widoczna jest różnica</w:t>
      </w:r>
      <w:r w:rsidR="00E66B89">
        <w:rPr>
          <w:rFonts w:cs="Calibri"/>
          <w:szCs w:val="20"/>
        </w:rPr>
        <w:t xml:space="preserve"> w </w:t>
      </w:r>
      <w:r w:rsidRPr="00404DA5">
        <w:rPr>
          <w:rFonts w:cs="Calibri"/>
          <w:szCs w:val="20"/>
        </w:rPr>
        <w:t>stopniu,</w:t>
      </w:r>
      <w:r w:rsidR="00E66B89">
        <w:rPr>
          <w:rFonts w:cs="Calibri"/>
          <w:szCs w:val="20"/>
        </w:rPr>
        <w:t xml:space="preserve"> w </w:t>
      </w:r>
      <w:r w:rsidRPr="00404DA5">
        <w:rPr>
          <w:rFonts w:cs="Calibri"/>
          <w:szCs w:val="20"/>
        </w:rPr>
        <w:t xml:space="preserve">jakim Działania dedykowane do poszczególnych obszarów przyczyniają się do realizacji wskaźników Priorytetu Inwestycyjnego 10i. Zaobserwować to można na przykładzie wskaźnika </w:t>
      </w:r>
      <w:r w:rsidRPr="00404DA5">
        <w:rPr>
          <w:rFonts w:cs="Calibri"/>
          <w:i/>
          <w:szCs w:val="20"/>
        </w:rPr>
        <w:t>Liczba nauczycieli objętych wsparciem</w:t>
      </w:r>
      <w:r w:rsidR="00E66B89">
        <w:rPr>
          <w:rFonts w:cs="Calibri"/>
          <w:i/>
          <w:szCs w:val="20"/>
        </w:rPr>
        <w:t xml:space="preserve"> w </w:t>
      </w:r>
      <w:r w:rsidRPr="00404DA5">
        <w:rPr>
          <w:rFonts w:cs="Calibri"/>
          <w:i/>
          <w:szCs w:val="20"/>
        </w:rPr>
        <w:t>programie</w:t>
      </w:r>
      <w:r w:rsidRPr="00404DA5">
        <w:rPr>
          <w:rFonts w:cs="Calibri"/>
          <w:szCs w:val="20"/>
        </w:rPr>
        <w:t>.</w:t>
      </w:r>
      <w:r w:rsidR="00E66B89">
        <w:rPr>
          <w:rFonts w:cs="Calibri"/>
          <w:szCs w:val="20"/>
        </w:rPr>
        <w:t xml:space="preserve"> W </w:t>
      </w:r>
      <w:r w:rsidRPr="00404DA5">
        <w:rPr>
          <w:rFonts w:cs="Calibri"/>
          <w:szCs w:val="20"/>
        </w:rPr>
        <w:t>ramach Działania 8.3 (ZIT SOM) wskaźnik ten osiągną</w:t>
      </w:r>
      <w:r>
        <w:rPr>
          <w:rFonts w:cs="Calibri"/>
          <w:szCs w:val="20"/>
        </w:rPr>
        <w:t>ł</w:t>
      </w:r>
      <w:r w:rsidRPr="00404DA5">
        <w:rPr>
          <w:rFonts w:cs="Calibri"/>
          <w:szCs w:val="20"/>
        </w:rPr>
        <w:t xml:space="preserve"> zdecydowanie najwyższą wartość, większą niż</w:t>
      </w:r>
      <w:r w:rsidR="00E66B89">
        <w:rPr>
          <w:rFonts w:cs="Calibri"/>
          <w:szCs w:val="20"/>
        </w:rPr>
        <w:t xml:space="preserve"> w </w:t>
      </w:r>
      <w:r>
        <w:rPr>
          <w:rFonts w:cs="Calibri"/>
          <w:szCs w:val="20"/>
        </w:rPr>
        <w:t>D</w:t>
      </w:r>
      <w:r w:rsidRPr="00404DA5">
        <w:rPr>
          <w:rFonts w:cs="Calibri"/>
          <w:szCs w:val="20"/>
        </w:rPr>
        <w:t>ziałaniu skierowanym do województwa jako całości (8.2)</w:t>
      </w:r>
      <w:r w:rsidR="00E66B89">
        <w:rPr>
          <w:rFonts w:cs="Calibri"/>
          <w:szCs w:val="20"/>
        </w:rPr>
        <w:t xml:space="preserve"> i </w:t>
      </w:r>
      <w:r w:rsidRPr="00404DA5">
        <w:rPr>
          <w:rFonts w:cs="Calibri"/>
          <w:szCs w:val="20"/>
        </w:rPr>
        <w:t>pozostałych dwóch Działaniach ograniczonych terytorialnie (8.4</w:t>
      </w:r>
      <w:r w:rsidR="00E66B89">
        <w:rPr>
          <w:rFonts w:cs="Calibri"/>
          <w:szCs w:val="20"/>
        </w:rPr>
        <w:t xml:space="preserve"> i </w:t>
      </w:r>
      <w:r w:rsidRPr="00404DA5">
        <w:rPr>
          <w:rFonts w:cs="Calibri"/>
          <w:szCs w:val="20"/>
        </w:rPr>
        <w:t>8.5).</w:t>
      </w:r>
      <w:r w:rsidR="00E66B89">
        <w:rPr>
          <w:rFonts w:cs="Calibri"/>
          <w:szCs w:val="20"/>
        </w:rPr>
        <w:t xml:space="preserve"> W </w:t>
      </w:r>
      <w:r w:rsidRPr="00404DA5">
        <w:rPr>
          <w:rFonts w:cs="Calibri"/>
          <w:szCs w:val="20"/>
        </w:rPr>
        <w:t xml:space="preserve">najmniejszym stopniu do osiągania docelowych wartości wskaźników przyczynia się </w:t>
      </w:r>
      <w:r>
        <w:rPr>
          <w:rFonts w:cs="Calibri"/>
          <w:szCs w:val="20"/>
        </w:rPr>
        <w:t>D</w:t>
      </w:r>
      <w:r w:rsidRPr="00404DA5">
        <w:rPr>
          <w:rFonts w:cs="Calibri"/>
          <w:szCs w:val="20"/>
        </w:rPr>
        <w:t>ziałanie 8.4 dedykowane Koszalińsko-Kołobrzesko-Białogardzkiemu Obszarowi Funkcjonalnemu.</w:t>
      </w:r>
    </w:p>
    <w:p w14:paraId="75FA9F4C" w14:textId="77777777" w:rsidR="001245CE" w:rsidRPr="00EE5470" w:rsidRDefault="001245CE" w:rsidP="00291431">
      <w:pPr>
        <w:rPr>
          <w:rFonts w:eastAsia="Lato"/>
          <w:b/>
          <w:i/>
          <w:color w:val="FF0000"/>
          <w:szCs w:val="20"/>
        </w:rPr>
      </w:pPr>
    </w:p>
    <w:p w14:paraId="7FC176AA" w14:textId="77777777" w:rsidR="00291431" w:rsidRPr="00C22C26" w:rsidRDefault="00291431" w:rsidP="00291431">
      <w:pPr>
        <w:pStyle w:val="TytuTAB"/>
        <w:rPr>
          <w:sz w:val="16"/>
          <w:szCs w:val="16"/>
        </w:rPr>
      </w:pPr>
    </w:p>
    <w:p w14:paraId="1919E83C" w14:textId="3B90D828" w:rsidR="002B785E" w:rsidRPr="00024F00" w:rsidRDefault="002B785E" w:rsidP="00024F00">
      <w:pPr>
        <w:pStyle w:val="Legenda"/>
        <w:spacing w:after="0"/>
      </w:pPr>
      <w:bookmarkStart w:id="379" w:name="_Toc8824280"/>
      <w:r>
        <w:t xml:space="preserve">Tabela </w:t>
      </w:r>
      <w:r w:rsidR="006E34DC">
        <w:fldChar w:fldCharType="begin"/>
      </w:r>
      <w:r w:rsidR="006E34DC">
        <w:instrText xml:space="preserve"> SEQ Tabela \* ARABIC </w:instrText>
      </w:r>
      <w:r w:rsidR="006E34DC">
        <w:fldChar w:fldCharType="separate"/>
      </w:r>
      <w:r w:rsidR="00763345">
        <w:rPr>
          <w:noProof/>
        </w:rPr>
        <w:t>169</w:t>
      </w:r>
      <w:r w:rsidR="006E34DC">
        <w:fldChar w:fldCharType="end"/>
      </w:r>
      <w:r w:rsidR="00FF67C4" w:rsidRPr="00024F00">
        <w:t xml:space="preserve"> </w:t>
      </w:r>
      <w:r w:rsidR="00FF67C4">
        <w:t>Udział projektów, z wybranych Działań realizujących instrumenty terytorialne oraz analogicznego Działania/Działań wdrażanego w całym regionie, w osiąganiu celów</w:t>
      </w:r>
      <w:r w:rsidR="00FF67C4" w:rsidRPr="00EE5470">
        <w:t xml:space="preserve"> PI</w:t>
      </w:r>
      <w:r w:rsidR="00FF67C4" w:rsidRPr="00024F00">
        <w:t xml:space="preserve"> 10i</w:t>
      </w:r>
      <w:bookmarkEnd w:id="3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00"/>
        <w:gridCol w:w="1537"/>
        <w:gridCol w:w="929"/>
        <w:gridCol w:w="826"/>
        <w:gridCol w:w="974"/>
        <w:gridCol w:w="974"/>
        <w:gridCol w:w="974"/>
        <w:gridCol w:w="974"/>
      </w:tblGrid>
      <w:tr w:rsidR="00291431" w:rsidRPr="00CE4959" w14:paraId="7B8795A2" w14:textId="77777777" w:rsidTr="002B785E">
        <w:trPr>
          <w:tblHeader/>
        </w:trPr>
        <w:tc>
          <w:tcPr>
            <w:tcW w:w="974" w:type="dxa"/>
            <w:shd w:val="clear" w:color="auto" w:fill="DBE5F1"/>
            <w:vAlign w:val="center"/>
          </w:tcPr>
          <w:p w14:paraId="3BF25D82" w14:textId="77777777" w:rsidR="00291431" w:rsidRPr="005F38D8" w:rsidRDefault="00291431" w:rsidP="00C22C26">
            <w:pPr>
              <w:rPr>
                <w:rFonts w:cs="Calibri"/>
                <w:sz w:val="18"/>
                <w:szCs w:val="18"/>
              </w:rPr>
            </w:pPr>
            <w:r w:rsidRPr="005F38D8">
              <w:rPr>
                <w:rFonts w:cs="Calibri"/>
                <w:sz w:val="18"/>
                <w:szCs w:val="18"/>
              </w:rPr>
              <w:t>Typ wskaźnika</w:t>
            </w:r>
          </w:p>
        </w:tc>
        <w:tc>
          <w:tcPr>
            <w:tcW w:w="900" w:type="dxa"/>
            <w:shd w:val="clear" w:color="auto" w:fill="DBE5F1"/>
            <w:vAlign w:val="center"/>
          </w:tcPr>
          <w:p w14:paraId="5BFA0C15" w14:textId="77777777" w:rsidR="00291431" w:rsidRPr="005F38D8" w:rsidRDefault="00291431" w:rsidP="00C22C26">
            <w:pPr>
              <w:rPr>
                <w:rFonts w:cs="Calibri"/>
                <w:sz w:val="18"/>
                <w:szCs w:val="18"/>
              </w:rPr>
            </w:pPr>
            <w:r w:rsidRPr="005F38D8">
              <w:rPr>
                <w:rFonts w:cs="Calibri"/>
                <w:sz w:val="18"/>
                <w:szCs w:val="18"/>
              </w:rPr>
              <w:t>Działania</w:t>
            </w:r>
          </w:p>
        </w:tc>
        <w:tc>
          <w:tcPr>
            <w:tcW w:w="1537" w:type="dxa"/>
            <w:shd w:val="clear" w:color="auto" w:fill="DBE5F1"/>
            <w:vAlign w:val="center"/>
          </w:tcPr>
          <w:p w14:paraId="22AE62E3" w14:textId="77777777" w:rsidR="00291431" w:rsidRPr="006B4D67" w:rsidRDefault="00291431" w:rsidP="00C22C26">
            <w:pPr>
              <w:rPr>
                <w:rFonts w:cs="Calibri"/>
                <w:sz w:val="18"/>
                <w:szCs w:val="18"/>
              </w:rPr>
            </w:pPr>
            <w:r w:rsidRPr="006B4D67">
              <w:rPr>
                <w:rFonts w:cs="Calibri"/>
                <w:sz w:val="18"/>
                <w:szCs w:val="18"/>
              </w:rPr>
              <w:t>Wskaźnik</w:t>
            </w:r>
          </w:p>
        </w:tc>
        <w:tc>
          <w:tcPr>
            <w:tcW w:w="929" w:type="dxa"/>
            <w:shd w:val="clear" w:color="auto" w:fill="DBE5F1"/>
            <w:vAlign w:val="center"/>
          </w:tcPr>
          <w:p w14:paraId="17146F77" w14:textId="77777777" w:rsidR="00291431" w:rsidRPr="006B4D67" w:rsidRDefault="00291431" w:rsidP="00C22C26">
            <w:pPr>
              <w:rPr>
                <w:rFonts w:cs="Calibri"/>
                <w:sz w:val="18"/>
                <w:szCs w:val="18"/>
              </w:rPr>
            </w:pPr>
            <w:r w:rsidRPr="006B4D67">
              <w:rPr>
                <w:rFonts w:cs="Calibri"/>
                <w:sz w:val="18"/>
                <w:szCs w:val="18"/>
              </w:rPr>
              <w:t>Wartość docelowa (2023)</w:t>
            </w:r>
          </w:p>
        </w:tc>
        <w:tc>
          <w:tcPr>
            <w:tcW w:w="826" w:type="dxa"/>
            <w:shd w:val="clear" w:color="auto" w:fill="DBE5F1"/>
            <w:vAlign w:val="center"/>
          </w:tcPr>
          <w:p w14:paraId="0604E946" w14:textId="77777777" w:rsidR="00291431" w:rsidRPr="006B4D67" w:rsidRDefault="00291431" w:rsidP="00C22C26">
            <w:pPr>
              <w:rPr>
                <w:rFonts w:cs="Calibri"/>
                <w:sz w:val="18"/>
                <w:szCs w:val="18"/>
              </w:rPr>
            </w:pPr>
            <w:r w:rsidRPr="006B4D67">
              <w:rPr>
                <w:rFonts w:cs="Calibri"/>
                <w:sz w:val="18"/>
                <w:szCs w:val="18"/>
              </w:rPr>
              <w:t>Jedn. pomiaru</w:t>
            </w:r>
          </w:p>
        </w:tc>
        <w:tc>
          <w:tcPr>
            <w:tcW w:w="974" w:type="dxa"/>
            <w:shd w:val="clear" w:color="auto" w:fill="DBE5F1"/>
            <w:vAlign w:val="center"/>
          </w:tcPr>
          <w:p w14:paraId="0575C906" w14:textId="77777777" w:rsidR="00291431" w:rsidRPr="006B4D67" w:rsidRDefault="00291431" w:rsidP="00C22C26">
            <w:pPr>
              <w:rPr>
                <w:rFonts w:cs="Calibri"/>
                <w:sz w:val="18"/>
                <w:szCs w:val="18"/>
              </w:rPr>
            </w:pPr>
            <w:r w:rsidRPr="006B4D67">
              <w:rPr>
                <w:rFonts w:cs="Calibri"/>
                <w:sz w:val="18"/>
                <w:szCs w:val="18"/>
              </w:rPr>
              <w:t>Realizacja wartości docelowej (wg UoD)</w:t>
            </w:r>
          </w:p>
        </w:tc>
        <w:tc>
          <w:tcPr>
            <w:tcW w:w="974" w:type="dxa"/>
            <w:shd w:val="clear" w:color="auto" w:fill="DBE5F1"/>
            <w:vAlign w:val="center"/>
          </w:tcPr>
          <w:p w14:paraId="12AD8D33" w14:textId="77777777" w:rsidR="00291431" w:rsidRPr="00823EC4" w:rsidRDefault="00291431" w:rsidP="00C22C26">
            <w:pPr>
              <w:rPr>
                <w:rFonts w:cs="Calibri"/>
                <w:sz w:val="18"/>
                <w:szCs w:val="18"/>
              </w:rPr>
            </w:pPr>
            <w:r w:rsidRPr="00823EC4">
              <w:rPr>
                <w:rFonts w:cs="Calibri"/>
                <w:sz w:val="18"/>
                <w:szCs w:val="18"/>
              </w:rPr>
              <w:t>% realizacji wartości docelowej (wg UoD)</w:t>
            </w:r>
          </w:p>
        </w:tc>
        <w:tc>
          <w:tcPr>
            <w:tcW w:w="974" w:type="dxa"/>
            <w:shd w:val="clear" w:color="auto" w:fill="DBE5F1"/>
            <w:vAlign w:val="center"/>
          </w:tcPr>
          <w:p w14:paraId="270EA2D6" w14:textId="77777777" w:rsidR="00291431" w:rsidRPr="00855170" w:rsidRDefault="00291431" w:rsidP="00C22C26">
            <w:pPr>
              <w:rPr>
                <w:rFonts w:cs="Calibri"/>
                <w:sz w:val="18"/>
                <w:szCs w:val="18"/>
              </w:rPr>
            </w:pPr>
            <w:r w:rsidRPr="00855170">
              <w:rPr>
                <w:rFonts w:cs="Calibri"/>
                <w:sz w:val="18"/>
                <w:szCs w:val="18"/>
              </w:rPr>
              <w:t>Realizacja wartości docelowej (wg WoP)</w:t>
            </w:r>
          </w:p>
        </w:tc>
        <w:tc>
          <w:tcPr>
            <w:tcW w:w="974" w:type="dxa"/>
            <w:shd w:val="clear" w:color="auto" w:fill="DBE5F1"/>
            <w:vAlign w:val="center"/>
          </w:tcPr>
          <w:p w14:paraId="7789C641" w14:textId="77777777" w:rsidR="00291431" w:rsidRPr="00C9053B" w:rsidRDefault="00291431" w:rsidP="00C22C26">
            <w:pPr>
              <w:rPr>
                <w:rFonts w:cs="Calibri"/>
                <w:sz w:val="18"/>
                <w:szCs w:val="18"/>
              </w:rPr>
            </w:pPr>
            <w:r w:rsidRPr="00C9053B">
              <w:rPr>
                <w:rFonts w:cs="Calibri"/>
                <w:sz w:val="18"/>
                <w:szCs w:val="18"/>
              </w:rPr>
              <w:t>% realizacji wartości docelowej (wg WoP)</w:t>
            </w:r>
          </w:p>
        </w:tc>
      </w:tr>
      <w:tr w:rsidR="00291431" w:rsidRPr="00CE4959" w14:paraId="2BF684DB" w14:textId="77777777" w:rsidTr="002B785E">
        <w:tc>
          <w:tcPr>
            <w:tcW w:w="974" w:type="dxa"/>
            <w:vAlign w:val="center"/>
          </w:tcPr>
          <w:p w14:paraId="1B8468F5" w14:textId="77777777" w:rsidR="00291431" w:rsidRPr="00C22C26" w:rsidRDefault="00291431" w:rsidP="00370D80">
            <w:pPr>
              <w:jc w:val="center"/>
              <w:rPr>
                <w:rFonts w:cs="Calibri"/>
                <w:sz w:val="18"/>
                <w:szCs w:val="18"/>
              </w:rPr>
            </w:pPr>
            <w:r w:rsidRPr="00C22C26">
              <w:rPr>
                <w:rFonts w:cs="Calibri"/>
                <w:sz w:val="18"/>
                <w:szCs w:val="18"/>
              </w:rPr>
              <w:t>WP</w:t>
            </w:r>
          </w:p>
        </w:tc>
        <w:tc>
          <w:tcPr>
            <w:tcW w:w="900" w:type="dxa"/>
            <w:vAlign w:val="center"/>
          </w:tcPr>
          <w:p w14:paraId="41BB314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p w14:paraId="455E6C6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p w14:paraId="52726032"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p w14:paraId="08E14CC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p w14:paraId="464A8C36" w14:textId="77777777" w:rsidR="00291431" w:rsidRPr="00C22C26" w:rsidRDefault="00291431" w:rsidP="00370D80">
            <w:pPr>
              <w:jc w:val="center"/>
              <w:rPr>
                <w:rFonts w:cs="Calibri"/>
                <w:i/>
                <w:sz w:val="18"/>
                <w:szCs w:val="18"/>
              </w:rPr>
            </w:pPr>
            <w:r w:rsidRPr="00C22C26">
              <w:rPr>
                <w:rFonts w:cs="Calibri"/>
                <w:bCs/>
                <w:color w:val="000000"/>
                <w:sz w:val="18"/>
                <w:szCs w:val="18"/>
              </w:rPr>
              <w:t>8.5</w:t>
            </w:r>
          </w:p>
        </w:tc>
        <w:tc>
          <w:tcPr>
            <w:tcW w:w="1537" w:type="dxa"/>
            <w:shd w:val="clear" w:color="auto" w:fill="auto"/>
            <w:vAlign w:val="center"/>
          </w:tcPr>
          <w:p w14:paraId="34F1D660" w14:textId="77777777" w:rsidR="00291431" w:rsidRPr="00C22C26" w:rsidRDefault="00291431" w:rsidP="00C22C26">
            <w:pPr>
              <w:rPr>
                <w:rFonts w:cs="Calibri"/>
                <w:sz w:val="18"/>
                <w:szCs w:val="18"/>
              </w:rPr>
            </w:pPr>
            <w:r w:rsidRPr="00C22C26">
              <w:rPr>
                <w:rFonts w:cs="Calibri"/>
                <w:sz w:val="18"/>
                <w:szCs w:val="18"/>
              </w:rPr>
              <w:t>Liczba nauczycieli objętych wsparciem</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3CB9E3C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4 468</w:t>
            </w:r>
          </w:p>
        </w:tc>
        <w:tc>
          <w:tcPr>
            <w:tcW w:w="826" w:type="dxa"/>
            <w:vAlign w:val="center"/>
          </w:tcPr>
          <w:p w14:paraId="426477BA" w14:textId="77777777" w:rsidR="00291431" w:rsidRPr="00C22C26" w:rsidRDefault="00291431" w:rsidP="00370D80">
            <w:pPr>
              <w:jc w:val="center"/>
              <w:rPr>
                <w:rFonts w:cs="Calibri"/>
                <w:color w:val="000000"/>
                <w:sz w:val="18"/>
                <w:szCs w:val="18"/>
              </w:rPr>
            </w:pPr>
            <w:r w:rsidRPr="00C22C26">
              <w:rPr>
                <w:rFonts w:cs="Calibri"/>
                <w:sz w:val="18"/>
                <w:szCs w:val="18"/>
              </w:rPr>
              <w:t>osoby</w:t>
            </w:r>
          </w:p>
        </w:tc>
        <w:tc>
          <w:tcPr>
            <w:tcW w:w="974" w:type="dxa"/>
            <w:shd w:val="clear" w:color="auto" w:fill="auto"/>
            <w:vAlign w:val="center"/>
          </w:tcPr>
          <w:p w14:paraId="2351EF04" w14:textId="77777777" w:rsidR="00291431" w:rsidRPr="00C22C26" w:rsidRDefault="00291431" w:rsidP="00370D80">
            <w:pPr>
              <w:jc w:val="center"/>
              <w:rPr>
                <w:rFonts w:cs="Calibri"/>
                <w:sz w:val="18"/>
                <w:szCs w:val="18"/>
              </w:rPr>
            </w:pPr>
            <w:r w:rsidRPr="00C22C26">
              <w:rPr>
                <w:rFonts w:cs="Calibri"/>
                <w:color w:val="000000"/>
                <w:sz w:val="18"/>
                <w:szCs w:val="18"/>
              </w:rPr>
              <w:t>3 653</w:t>
            </w:r>
          </w:p>
        </w:tc>
        <w:tc>
          <w:tcPr>
            <w:tcW w:w="974" w:type="dxa"/>
            <w:shd w:val="clear" w:color="auto" w:fill="auto"/>
            <w:vAlign w:val="center"/>
          </w:tcPr>
          <w:p w14:paraId="194B3B21" w14:textId="77777777" w:rsidR="00291431" w:rsidRPr="00C22C26" w:rsidRDefault="00291431" w:rsidP="00370D80">
            <w:pPr>
              <w:jc w:val="center"/>
              <w:rPr>
                <w:rFonts w:cs="Calibri"/>
                <w:sz w:val="18"/>
                <w:szCs w:val="18"/>
              </w:rPr>
            </w:pPr>
            <w:r w:rsidRPr="00C22C26">
              <w:rPr>
                <w:rFonts w:cs="Calibri"/>
                <w:sz w:val="18"/>
                <w:szCs w:val="18"/>
              </w:rPr>
              <w:t>82%</w:t>
            </w:r>
          </w:p>
        </w:tc>
        <w:tc>
          <w:tcPr>
            <w:tcW w:w="974" w:type="dxa"/>
            <w:shd w:val="clear" w:color="auto" w:fill="auto"/>
            <w:vAlign w:val="center"/>
          </w:tcPr>
          <w:p w14:paraId="7628302F" w14:textId="77777777" w:rsidR="00291431" w:rsidRPr="00C22C26" w:rsidRDefault="00291431" w:rsidP="00370D80">
            <w:pPr>
              <w:jc w:val="center"/>
              <w:rPr>
                <w:rFonts w:cs="Calibri"/>
                <w:sz w:val="18"/>
                <w:szCs w:val="18"/>
              </w:rPr>
            </w:pPr>
            <w:r w:rsidRPr="00C22C26">
              <w:rPr>
                <w:rFonts w:cs="Calibri"/>
                <w:color w:val="000000"/>
                <w:sz w:val="18"/>
                <w:szCs w:val="18"/>
              </w:rPr>
              <w:t>1 009</w:t>
            </w:r>
          </w:p>
        </w:tc>
        <w:tc>
          <w:tcPr>
            <w:tcW w:w="974" w:type="dxa"/>
            <w:shd w:val="clear" w:color="auto" w:fill="auto"/>
            <w:vAlign w:val="center"/>
          </w:tcPr>
          <w:p w14:paraId="7ECD7B0C" w14:textId="77777777" w:rsidR="00291431" w:rsidRPr="00C22C26" w:rsidRDefault="00291431" w:rsidP="00370D80">
            <w:pPr>
              <w:jc w:val="center"/>
              <w:rPr>
                <w:rFonts w:cs="Calibri"/>
                <w:sz w:val="18"/>
                <w:szCs w:val="18"/>
              </w:rPr>
            </w:pPr>
            <w:r w:rsidRPr="00C22C26">
              <w:rPr>
                <w:rFonts w:cs="Calibri"/>
                <w:sz w:val="18"/>
                <w:szCs w:val="18"/>
              </w:rPr>
              <w:t>41%</w:t>
            </w:r>
          </w:p>
        </w:tc>
      </w:tr>
      <w:tr w:rsidR="00291431" w:rsidRPr="00CE4959" w14:paraId="4A409223" w14:textId="77777777" w:rsidTr="002B785E">
        <w:tc>
          <w:tcPr>
            <w:tcW w:w="974" w:type="dxa"/>
            <w:vAlign w:val="center"/>
          </w:tcPr>
          <w:p w14:paraId="2B538506" w14:textId="77777777" w:rsidR="00291431" w:rsidRPr="00C22C26" w:rsidRDefault="00291431" w:rsidP="00370D80">
            <w:pPr>
              <w:jc w:val="center"/>
              <w:rPr>
                <w:rFonts w:cs="Calibri"/>
                <w:i/>
                <w:sz w:val="18"/>
                <w:szCs w:val="18"/>
              </w:rPr>
            </w:pPr>
          </w:p>
        </w:tc>
        <w:tc>
          <w:tcPr>
            <w:tcW w:w="900" w:type="dxa"/>
            <w:vAlign w:val="center"/>
          </w:tcPr>
          <w:p w14:paraId="3E230B40" w14:textId="77777777" w:rsidR="00291431" w:rsidRPr="00C22C26" w:rsidRDefault="00291431" w:rsidP="00370D80">
            <w:pPr>
              <w:jc w:val="center"/>
              <w:rPr>
                <w:rFonts w:cs="Calibri"/>
                <w:i/>
                <w:sz w:val="18"/>
                <w:szCs w:val="18"/>
              </w:rPr>
            </w:pPr>
            <w:r w:rsidRPr="00C22C26">
              <w:rPr>
                <w:rFonts w:cs="Calibri"/>
                <w:bCs/>
                <w:color w:val="000000"/>
                <w:sz w:val="18"/>
                <w:szCs w:val="18"/>
              </w:rPr>
              <w:t>8.1</w:t>
            </w:r>
          </w:p>
        </w:tc>
        <w:tc>
          <w:tcPr>
            <w:tcW w:w="1537" w:type="dxa"/>
            <w:shd w:val="clear" w:color="auto" w:fill="auto"/>
            <w:vAlign w:val="center"/>
          </w:tcPr>
          <w:p w14:paraId="61736872" w14:textId="77777777" w:rsidR="00291431" w:rsidRPr="00C22C26" w:rsidRDefault="00291431" w:rsidP="00C22C26">
            <w:pPr>
              <w:rPr>
                <w:rFonts w:cs="Calibri"/>
                <w:sz w:val="18"/>
                <w:szCs w:val="18"/>
              </w:rPr>
            </w:pPr>
          </w:p>
        </w:tc>
        <w:tc>
          <w:tcPr>
            <w:tcW w:w="929" w:type="dxa"/>
            <w:shd w:val="clear" w:color="auto" w:fill="auto"/>
            <w:vAlign w:val="center"/>
          </w:tcPr>
          <w:p w14:paraId="237AC138"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37535916"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138D6F5F" w14:textId="77777777" w:rsidR="00291431" w:rsidRPr="00C22C26" w:rsidRDefault="00291431" w:rsidP="00370D80">
            <w:pPr>
              <w:jc w:val="center"/>
              <w:rPr>
                <w:rFonts w:cs="Calibri"/>
                <w:sz w:val="18"/>
                <w:szCs w:val="18"/>
              </w:rPr>
            </w:pPr>
            <w:r w:rsidRPr="00C22C26">
              <w:rPr>
                <w:rFonts w:cs="Calibri"/>
                <w:color w:val="000000"/>
                <w:sz w:val="18"/>
                <w:szCs w:val="18"/>
              </w:rPr>
              <w:t>247</w:t>
            </w:r>
          </w:p>
        </w:tc>
        <w:tc>
          <w:tcPr>
            <w:tcW w:w="974" w:type="dxa"/>
            <w:shd w:val="clear" w:color="auto" w:fill="auto"/>
            <w:vAlign w:val="center"/>
          </w:tcPr>
          <w:p w14:paraId="33F642D7" w14:textId="77777777" w:rsidR="00291431" w:rsidRPr="00C22C26" w:rsidRDefault="00291431" w:rsidP="00370D80">
            <w:pPr>
              <w:jc w:val="center"/>
              <w:rPr>
                <w:rFonts w:cs="Calibri"/>
                <w:sz w:val="18"/>
                <w:szCs w:val="18"/>
              </w:rPr>
            </w:pPr>
          </w:p>
        </w:tc>
        <w:tc>
          <w:tcPr>
            <w:tcW w:w="974" w:type="dxa"/>
            <w:shd w:val="clear" w:color="auto" w:fill="auto"/>
            <w:vAlign w:val="center"/>
          </w:tcPr>
          <w:p w14:paraId="096EF5D8" w14:textId="77777777" w:rsidR="00291431" w:rsidRPr="00C22C26" w:rsidRDefault="00291431" w:rsidP="00370D80">
            <w:pPr>
              <w:jc w:val="center"/>
              <w:rPr>
                <w:rFonts w:cs="Calibri"/>
                <w:sz w:val="18"/>
                <w:szCs w:val="18"/>
              </w:rPr>
            </w:pPr>
            <w:r w:rsidRPr="00C22C26">
              <w:rPr>
                <w:rFonts w:cs="Calibri"/>
                <w:color w:val="000000"/>
                <w:sz w:val="18"/>
                <w:szCs w:val="18"/>
              </w:rPr>
              <w:t>216</w:t>
            </w:r>
          </w:p>
        </w:tc>
        <w:tc>
          <w:tcPr>
            <w:tcW w:w="974" w:type="dxa"/>
            <w:shd w:val="clear" w:color="auto" w:fill="auto"/>
            <w:vAlign w:val="center"/>
          </w:tcPr>
          <w:p w14:paraId="00DA1ABE" w14:textId="77777777" w:rsidR="00291431" w:rsidRPr="00C22C26" w:rsidRDefault="00291431" w:rsidP="00370D80">
            <w:pPr>
              <w:jc w:val="center"/>
              <w:rPr>
                <w:rFonts w:cs="Calibri"/>
                <w:sz w:val="18"/>
                <w:szCs w:val="18"/>
              </w:rPr>
            </w:pPr>
          </w:p>
        </w:tc>
      </w:tr>
      <w:tr w:rsidR="00291431" w:rsidRPr="00CE4959" w14:paraId="1C467522" w14:textId="77777777" w:rsidTr="002B785E">
        <w:tc>
          <w:tcPr>
            <w:tcW w:w="974" w:type="dxa"/>
            <w:vAlign w:val="center"/>
          </w:tcPr>
          <w:p w14:paraId="2A331B83" w14:textId="77777777" w:rsidR="00291431" w:rsidRPr="00C22C26" w:rsidDel="00E2671B" w:rsidRDefault="00291431" w:rsidP="00370D80">
            <w:pPr>
              <w:jc w:val="center"/>
              <w:rPr>
                <w:rFonts w:cs="Calibri"/>
                <w:i/>
                <w:sz w:val="18"/>
                <w:szCs w:val="18"/>
              </w:rPr>
            </w:pPr>
          </w:p>
        </w:tc>
        <w:tc>
          <w:tcPr>
            <w:tcW w:w="900" w:type="dxa"/>
            <w:vAlign w:val="center"/>
          </w:tcPr>
          <w:p w14:paraId="05B34AE2" w14:textId="77777777" w:rsidR="00291431" w:rsidRPr="00C22C26" w:rsidDel="00E2671B" w:rsidRDefault="00291431" w:rsidP="00370D80">
            <w:pPr>
              <w:jc w:val="center"/>
              <w:rPr>
                <w:rFonts w:cs="Calibri"/>
                <w:i/>
                <w:sz w:val="18"/>
                <w:szCs w:val="18"/>
              </w:rPr>
            </w:pPr>
            <w:r w:rsidRPr="00C22C26">
              <w:rPr>
                <w:rFonts w:cs="Calibri"/>
                <w:bCs/>
                <w:color w:val="000000"/>
                <w:sz w:val="18"/>
                <w:szCs w:val="18"/>
              </w:rPr>
              <w:t>8.2</w:t>
            </w:r>
          </w:p>
        </w:tc>
        <w:tc>
          <w:tcPr>
            <w:tcW w:w="1537" w:type="dxa"/>
            <w:shd w:val="clear" w:color="auto" w:fill="auto"/>
            <w:vAlign w:val="center"/>
          </w:tcPr>
          <w:p w14:paraId="4A4C6EDB" w14:textId="77777777" w:rsidR="00291431" w:rsidRPr="00C22C26" w:rsidRDefault="00291431" w:rsidP="00C22C26">
            <w:pPr>
              <w:rPr>
                <w:rFonts w:cs="Calibri"/>
                <w:sz w:val="18"/>
                <w:szCs w:val="18"/>
              </w:rPr>
            </w:pPr>
          </w:p>
        </w:tc>
        <w:tc>
          <w:tcPr>
            <w:tcW w:w="929" w:type="dxa"/>
            <w:shd w:val="clear" w:color="auto" w:fill="auto"/>
            <w:vAlign w:val="center"/>
          </w:tcPr>
          <w:p w14:paraId="7145AE95"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194780F8" w14:textId="77777777" w:rsidR="00291431" w:rsidRPr="00C22C26" w:rsidRDefault="00291431" w:rsidP="00370D80">
            <w:pPr>
              <w:jc w:val="center"/>
              <w:rPr>
                <w:rFonts w:cs="Calibri"/>
                <w:sz w:val="18"/>
                <w:szCs w:val="18"/>
              </w:rPr>
            </w:pPr>
          </w:p>
        </w:tc>
        <w:tc>
          <w:tcPr>
            <w:tcW w:w="974" w:type="dxa"/>
            <w:shd w:val="clear" w:color="auto" w:fill="auto"/>
            <w:vAlign w:val="center"/>
          </w:tcPr>
          <w:p w14:paraId="672B60DD" w14:textId="77777777" w:rsidR="00291431" w:rsidRPr="00C22C26" w:rsidRDefault="00291431" w:rsidP="00370D80">
            <w:pPr>
              <w:jc w:val="center"/>
              <w:rPr>
                <w:rFonts w:cs="Calibri"/>
                <w:sz w:val="18"/>
                <w:szCs w:val="18"/>
              </w:rPr>
            </w:pPr>
            <w:r w:rsidRPr="00C22C26">
              <w:rPr>
                <w:rFonts w:cs="Calibri"/>
                <w:sz w:val="18"/>
                <w:szCs w:val="18"/>
              </w:rPr>
              <w:t>769</w:t>
            </w:r>
          </w:p>
        </w:tc>
        <w:tc>
          <w:tcPr>
            <w:tcW w:w="974" w:type="dxa"/>
            <w:shd w:val="clear" w:color="auto" w:fill="auto"/>
            <w:vAlign w:val="center"/>
          </w:tcPr>
          <w:p w14:paraId="062FF606" w14:textId="77777777" w:rsidR="00291431" w:rsidRPr="00C22C26" w:rsidRDefault="00291431" w:rsidP="00370D80">
            <w:pPr>
              <w:jc w:val="center"/>
              <w:rPr>
                <w:rFonts w:cs="Calibri"/>
                <w:sz w:val="18"/>
                <w:szCs w:val="18"/>
              </w:rPr>
            </w:pPr>
          </w:p>
        </w:tc>
        <w:tc>
          <w:tcPr>
            <w:tcW w:w="974" w:type="dxa"/>
            <w:shd w:val="clear" w:color="auto" w:fill="auto"/>
            <w:vAlign w:val="center"/>
          </w:tcPr>
          <w:p w14:paraId="78FE01B1" w14:textId="77777777" w:rsidR="00291431" w:rsidRPr="00C22C26" w:rsidRDefault="00291431" w:rsidP="00370D80">
            <w:pPr>
              <w:jc w:val="center"/>
              <w:rPr>
                <w:rFonts w:cs="Calibri"/>
                <w:sz w:val="18"/>
                <w:szCs w:val="18"/>
              </w:rPr>
            </w:pPr>
            <w:r w:rsidRPr="00C22C26">
              <w:rPr>
                <w:rFonts w:cs="Calibri"/>
                <w:sz w:val="18"/>
                <w:szCs w:val="18"/>
              </w:rPr>
              <w:t>518</w:t>
            </w:r>
          </w:p>
        </w:tc>
        <w:tc>
          <w:tcPr>
            <w:tcW w:w="974" w:type="dxa"/>
            <w:shd w:val="clear" w:color="auto" w:fill="auto"/>
            <w:vAlign w:val="center"/>
          </w:tcPr>
          <w:p w14:paraId="4393E860" w14:textId="77777777" w:rsidR="00291431" w:rsidRPr="00C22C26" w:rsidRDefault="00291431" w:rsidP="00370D80">
            <w:pPr>
              <w:jc w:val="center"/>
              <w:rPr>
                <w:rFonts w:cs="Calibri"/>
                <w:sz w:val="18"/>
                <w:szCs w:val="18"/>
              </w:rPr>
            </w:pPr>
          </w:p>
        </w:tc>
      </w:tr>
      <w:tr w:rsidR="00291431" w:rsidRPr="00CE4959" w14:paraId="2B3259BB" w14:textId="77777777" w:rsidTr="002B785E">
        <w:tc>
          <w:tcPr>
            <w:tcW w:w="974" w:type="dxa"/>
            <w:vAlign w:val="center"/>
          </w:tcPr>
          <w:p w14:paraId="56084D0D" w14:textId="77777777" w:rsidR="00291431" w:rsidRPr="00C22C26" w:rsidDel="00E2671B" w:rsidRDefault="00291431" w:rsidP="00370D80">
            <w:pPr>
              <w:jc w:val="center"/>
              <w:rPr>
                <w:rFonts w:cs="Calibri"/>
                <w:i/>
                <w:sz w:val="18"/>
                <w:szCs w:val="18"/>
              </w:rPr>
            </w:pPr>
          </w:p>
        </w:tc>
        <w:tc>
          <w:tcPr>
            <w:tcW w:w="900" w:type="dxa"/>
            <w:vAlign w:val="center"/>
          </w:tcPr>
          <w:p w14:paraId="1780D24D" w14:textId="77777777" w:rsidR="00291431" w:rsidRPr="00C22C26" w:rsidDel="00E2671B" w:rsidRDefault="00291431" w:rsidP="00370D80">
            <w:pPr>
              <w:jc w:val="center"/>
              <w:rPr>
                <w:rFonts w:cs="Calibri"/>
                <w:i/>
                <w:sz w:val="18"/>
                <w:szCs w:val="18"/>
              </w:rPr>
            </w:pPr>
            <w:r w:rsidRPr="00C22C26">
              <w:rPr>
                <w:rFonts w:cs="Calibri"/>
                <w:bCs/>
                <w:color w:val="000000"/>
                <w:sz w:val="18"/>
                <w:szCs w:val="18"/>
              </w:rPr>
              <w:t>8.3</w:t>
            </w:r>
          </w:p>
        </w:tc>
        <w:tc>
          <w:tcPr>
            <w:tcW w:w="1537" w:type="dxa"/>
            <w:shd w:val="clear" w:color="auto" w:fill="auto"/>
            <w:vAlign w:val="center"/>
          </w:tcPr>
          <w:p w14:paraId="4410A100" w14:textId="77777777" w:rsidR="00291431" w:rsidRPr="00C22C26" w:rsidRDefault="00291431" w:rsidP="00C22C26">
            <w:pPr>
              <w:rPr>
                <w:rFonts w:cs="Calibri"/>
                <w:sz w:val="18"/>
                <w:szCs w:val="18"/>
              </w:rPr>
            </w:pPr>
          </w:p>
        </w:tc>
        <w:tc>
          <w:tcPr>
            <w:tcW w:w="929" w:type="dxa"/>
            <w:shd w:val="clear" w:color="auto" w:fill="auto"/>
            <w:vAlign w:val="center"/>
          </w:tcPr>
          <w:p w14:paraId="4CFD4C59"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shd w:val="clear" w:color="auto" w:fill="auto"/>
            <w:vAlign w:val="center"/>
          </w:tcPr>
          <w:p w14:paraId="2C66D9E2" w14:textId="77777777" w:rsidR="00291431" w:rsidRPr="00C22C26" w:rsidRDefault="00291431" w:rsidP="00370D80">
            <w:pPr>
              <w:jc w:val="center"/>
              <w:rPr>
                <w:rFonts w:cs="Calibri"/>
                <w:sz w:val="18"/>
                <w:szCs w:val="18"/>
              </w:rPr>
            </w:pPr>
          </w:p>
        </w:tc>
        <w:tc>
          <w:tcPr>
            <w:tcW w:w="974" w:type="dxa"/>
            <w:shd w:val="clear" w:color="auto" w:fill="auto"/>
            <w:vAlign w:val="center"/>
          </w:tcPr>
          <w:p w14:paraId="00C18DFE" w14:textId="77777777" w:rsidR="00291431" w:rsidRPr="00C22C26" w:rsidRDefault="00291431" w:rsidP="00370D80">
            <w:pPr>
              <w:jc w:val="center"/>
              <w:rPr>
                <w:rFonts w:cs="Calibri"/>
                <w:sz w:val="18"/>
                <w:szCs w:val="18"/>
              </w:rPr>
            </w:pPr>
            <w:r w:rsidRPr="00C22C26">
              <w:rPr>
                <w:rFonts w:cs="Calibri"/>
                <w:sz w:val="18"/>
                <w:szCs w:val="18"/>
              </w:rPr>
              <w:t>1 248</w:t>
            </w:r>
          </w:p>
        </w:tc>
        <w:tc>
          <w:tcPr>
            <w:tcW w:w="974" w:type="dxa"/>
            <w:shd w:val="clear" w:color="auto" w:fill="auto"/>
            <w:vAlign w:val="center"/>
          </w:tcPr>
          <w:p w14:paraId="1C71096A" w14:textId="77777777" w:rsidR="00291431" w:rsidRPr="00C22C26" w:rsidRDefault="00291431" w:rsidP="00370D80">
            <w:pPr>
              <w:jc w:val="center"/>
              <w:rPr>
                <w:rFonts w:cs="Calibri"/>
                <w:sz w:val="18"/>
                <w:szCs w:val="18"/>
              </w:rPr>
            </w:pPr>
          </w:p>
        </w:tc>
        <w:tc>
          <w:tcPr>
            <w:tcW w:w="974" w:type="dxa"/>
            <w:shd w:val="clear" w:color="auto" w:fill="auto"/>
            <w:vAlign w:val="center"/>
          </w:tcPr>
          <w:p w14:paraId="3782ED91" w14:textId="77777777" w:rsidR="00291431" w:rsidRPr="00C22C26" w:rsidRDefault="00291431" w:rsidP="00370D80">
            <w:pPr>
              <w:jc w:val="center"/>
              <w:rPr>
                <w:rFonts w:cs="Calibri"/>
                <w:sz w:val="18"/>
                <w:szCs w:val="18"/>
              </w:rPr>
            </w:pPr>
            <w:r w:rsidRPr="00C22C26">
              <w:rPr>
                <w:rFonts w:cs="Calibri"/>
                <w:sz w:val="18"/>
                <w:szCs w:val="18"/>
              </w:rPr>
              <w:t>265</w:t>
            </w:r>
          </w:p>
        </w:tc>
        <w:tc>
          <w:tcPr>
            <w:tcW w:w="974" w:type="dxa"/>
            <w:shd w:val="clear" w:color="auto" w:fill="auto"/>
            <w:vAlign w:val="center"/>
          </w:tcPr>
          <w:p w14:paraId="34E0B2A6" w14:textId="77777777" w:rsidR="00291431" w:rsidRPr="00C22C26" w:rsidRDefault="00291431" w:rsidP="00370D80">
            <w:pPr>
              <w:jc w:val="center"/>
              <w:rPr>
                <w:rFonts w:cs="Calibri"/>
                <w:sz w:val="18"/>
                <w:szCs w:val="18"/>
              </w:rPr>
            </w:pPr>
          </w:p>
        </w:tc>
      </w:tr>
      <w:tr w:rsidR="00291431" w:rsidRPr="00CE4959" w14:paraId="3A1CB457" w14:textId="77777777" w:rsidTr="002B785E">
        <w:tc>
          <w:tcPr>
            <w:tcW w:w="974" w:type="dxa"/>
            <w:vAlign w:val="center"/>
          </w:tcPr>
          <w:p w14:paraId="45A92317" w14:textId="77777777" w:rsidR="00291431" w:rsidRPr="00C22C26" w:rsidRDefault="00291431" w:rsidP="00370D80">
            <w:pPr>
              <w:jc w:val="center"/>
              <w:rPr>
                <w:rFonts w:cs="Calibri"/>
                <w:i/>
                <w:sz w:val="18"/>
                <w:szCs w:val="18"/>
              </w:rPr>
            </w:pPr>
          </w:p>
        </w:tc>
        <w:tc>
          <w:tcPr>
            <w:tcW w:w="900" w:type="dxa"/>
            <w:vAlign w:val="center"/>
          </w:tcPr>
          <w:p w14:paraId="04B40020" w14:textId="77777777" w:rsidR="00291431" w:rsidRPr="00C22C26" w:rsidRDefault="00291431" w:rsidP="00370D80">
            <w:pPr>
              <w:jc w:val="center"/>
              <w:rPr>
                <w:rFonts w:cs="Calibri"/>
                <w:i/>
                <w:sz w:val="18"/>
                <w:szCs w:val="18"/>
              </w:rPr>
            </w:pPr>
            <w:r w:rsidRPr="00C22C26">
              <w:rPr>
                <w:rFonts w:cs="Calibri"/>
                <w:bCs/>
                <w:color w:val="000000"/>
                <w:sz w:val="18"/>
                <w:szCs w:val="18"/>
              </w:rPr>
              <w:t>8.4</w:t>
            </w:r>
          </w:p>
        </w:tc>
        <w:tc>
          <w:tcPr>
            <w:tcW w:w="1537" w:type="dxa"/>
            <w:shd w:val="clear" w:color="auto" w:fill="auto"/>
            <w:vAlign w:val="center"/>
          </w:tcPr>
          <w:p w14:paraId="08758C24" w14:textId="77777777" w:rsidR="00291431" w:rsidRPr="00C22C26" w:rsidRDefault="00291431" w:rsidP="00C22C26">
            <w:pPr>
              <w:rPr>
                <w:rFonts w:cs="Calibri"/>
                <w:sz w:val="18"/>
                <w:szCs w:val="18"/>
              </w:rPr>
            </w:pPr>
          </w:p>
        </w:tc>
        <w:tc>
          <w:tcPr>
            <w:tcW w:w="929" w:type="dxa"/>
            <w:shd w:val="clear" w:color="auto" w:fill="auto"/>
            <w:vAlign w:val="center"/>
          </w:tcPr>
          <w:p w14:paraId="208E039E"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shd w:val="clear" w:color="auto" w:fill="auto"/>
            <w:vAlign w:val="center"/>
          </w:tcPr>
          <w:p w14:paraId="032D8344" w14:textId="77777777" w:rsidR="00291431" w:rsidRPr="00C22C26" w:rsidRDefault="00291431" w:rsidP="00370D80">
            <w:pPr>
              <w:jc w:val="center"/>
              <w:rPr>
                <w:rFonts w:cs="Calibri"/>
                <w:sz w:val="18"/>
                <w:szCs w:val="18"/>
              </w:rPr>
            </w:pPr>
          </w:p>
        </w:tc>
        <w:tc>
          <w:tcPr>
            <w:tcW w:w="974" w:type="dxa"/>
            <w:shd w:val="clear" w:color="auto" w:fill="auto"/>
            <w:vAlign w:val="center"/>
          </w:tcPr>
          <w:p w14:paraId="04118A65" w14:textId="77777777" w:rsidR="00291431" w:rsidRPr="00C22C26" w:rsidRDefault="00291431" w:rsidP="00370D80">
            <w:pPr>
              <w:jc w:val="center"/>
              <w:rPr>
                <w:rFonts w:cs="Calibri"/>
                <w:sz w:val="18"/>
                <w:szCs w:val="18"/>
              </w:rPr>
            </w:pPr>
            <w:r w:rsidRPr="00C22C26">
              <w:rPr>
                <w:rFonts w:cs="Calibri"/>
                <w:sz w:val="18"/>
                <w:szCs w:val="18"/>
              </w:rPr>
              <w:t>571</w:t>
            </w:r>
          </w:p>
        </w:tc>
        <w:tc>
          <w:tcPr>
            <w:tcW w:w="974" w:type="dxa"/>
            <w:shd w:val="clear" w:color="auto" w:fill="auto"/>
            <w:vAlign w:val="center"/>
          </w:tcPr>
          <w:p w14:paraId="2FF6EB22" w14:textId="77777777" w:rsidR="00291431" w:rsidRPr="00C22C26" w:rsidRDefault="00291431" w:rsidP="00370D80">
            <w:pPr>
              <w:jc w:val="center"/>
              <w:rPr>
                <w:rFonts w:cs="Calibri"/>
                <w:sz w:val="18"/>
                <w:szCs w:val="18"/>
              </w:rPr>
            </w:pPr>
          </w:p>
        </w:tc>
        <w:tc>
          <w:tcPr>
            <w:tcW w:w="974" w:type="dxa"/>
            <w:shd w:val="clear" w:color="auto" w:fill="auto"/>
            <w:vAlign w:val="center"/>
          </w:tcPr>
          <w:p w14:paraId="2EA748CA" w14:textId="77777777" w:rsidR="00291431" w:rsidRPr="00C22C26" w:rsidRDefault="00291431" w:rsidP="00370D80">
            <w:pPr>
              <w:jc w:val="center"/>
              <w:rPr>
                <w:rFonts w:cs="Calibri"/>
                <w:sz w:val="18"/>
                <w:szCs w:val="18"/>
              </w:rPr>
            </w:pPr>
            <w:r w:rsidRPr="00C22C26">
              <w:rPr>
                <w:rFonts w:cs="Calibri"/>
                <w:sz w:val="18"/>
                <w:szCs w:val="18"/>
              </w:rPr>
              <w:t>344</w:t>
            </w:r>
          </w:p>
        </w:tc>
        <w:tc>
          <w:tcPr>
            <w:tcW w:w="974" w:type="dxa"/>
            <w:shd w:val="clear" w:color="auto" w:fill="auto"/>
            <w:vAlign w:val="center"/>
          </w:tcPr>
          <w:p w14:paraId="62A048FB" w14:textId="77777777" w:rsidR="00291431" w:rsidRPr="00C22C26" w:rsidRDefault="00291431" w:rsidP="00370D80">
            <w:pPr>
              <w:jc w:val="center"/>
              <w:rPr>
                <w:rFonts w:cs="Calibri"/>
                <w:sz w:val="18"/>
                <w:szCs w:val="18"/>
              </w:rPr>
            </w:pPr>
          </w:p>
        </w:tc>
      </w:tr>
      <w:tr w:rsidR="00291431" w:rsidRPr="00CE4959" w14:paraId="1C95673C" w14:textId="77777777" w:rsidTr="002B785E">
        <w:tc>
          <w:tcPr>
            <w:tcW w:w="974" w:type="dxa"/>
            <w:vAlign w:val="center"/>
          </w:tcPr>
          <w:p w14:paraId="7A3F4605" w14:textId="77777777" w:rsidR="00291431" w:rsidRPr="00C22C26" w:rsidRDefault="00291431" w:rsidP="00370D80">
            <w:pPr>
              <w:jc w:val="center"/>
              <w:rPr>
                <w:rFonts w:cs="Calibri"/>
                <w:i/>
                <w:sz w:val="18"/>
                <w:szCs w:val="18"/>
              </w:rPr>
            </w:pPr>
          </w:p>
        </w:tc>
        <w:tc>
          <w:tcPr>
            <w:tcW w:w="900" w:type="dxa"/>
            <w:vAlign w:val="center"/>
          </w:tcPr>
          <w:p w14:paraId="686E148A" w14:textId="77777777" w:rsidR="00291431" w:rsidRPr="00C22C26" w:rsidRDefault="00291431" w:rsidP="00370D80">
            <w:pPr>
              <w:jc w:val="center"/>
              <w:rPr>
                <w:rFonts w:cs="Calibri"/>
                <w:i/>
                <w:sz w:val="18"/>
                <w:szCs w:val="18"/>
              </w:rPr>
            </w:pPr>
            <w:r w:rsidRPr="00C22C26">
              <w:rPr>
                <w:rFonts w:cs="Calibri"/>
                <w:bCs/>
                <w:color w:val="000000"/>
                <w:sz w:val="18"/>
                <w:szCs w:val="18"/>
              </w:rPr>
              <w:t>8.5</w:t>
            </w:r>
          </w:p>
        </w:tc>
        <w:tc>
          <w:tcPr>
            <w:tcW w:w="1537" w:type="dxa"/>
            <w:shd w:val="clear" w:color="auto" w:fill="auto"/>
            <w:vAlign w:val="center"/>
          </w:tcPr>
          <w:p w14:paraId="6216F388" w14:textId="77777777" w:rsidR="00291431" w:rsidRPr="00C22C26" w:rsidRDefault="00291431" w:rsidP="00C22C26">
            <w:pPr>
              <w:rPr>
                <w:rFonts w:cs="Calibri"/>
                <w:sz w:val="18"/>
                <w:szCs w:val="18"/>
              </w:rPr>
            </w:pPr>
          </w:p>
        </w:tc>
        <w:tc>
          <w:tcPr>
            <w:tcW w:w="929" w:type="dxa"/>
            <w:shd w:val="clear" w:color="auto" w:fill="auto"/>
            <w:vAlign w:val="center"/>
          </w:tcPr>
          <w:p w14:paraId="25899CD9"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shd w:val="clear" w:color="auto" w:fill="auto"/>
            <w:vAlign w:val="center"/>
          </w:tcPr>
          <w:p w14:paraId="2B52EEA6" w14:textId="77777777" w:rsidR="00291431" w:rsidRPr="00C22C26" w:rsidRDefault="00291431" w:rsidP="00370D80">
            <w:pPr>
              <w:jc w:val="center"/>
              <w:rPr>
                <w:rFonts w:cs="Calibri"/>
                <w:sz w:val="18"/>
                <w:szCs w:val="18"/>
              </w:rPr>
            </w:pPr>
          </w:p>
        </w:tc>
        <w:tc>
          <w:tcPr>
            <w:tcW w:w="974" w:type="dxa"/>
            <w:shd w:val="clear" w:color="auto" w:fill="auto"/>
            <w:vAlign w:val="center"/>
          </w:tcPr>
          <w:p w14:paraId="279A2A87" w14:textId="77777777" w:rsidR="00291431" w:rsidRPr="00C22C26" w:rsidRDefault="00291431" w:rsidP="00370D80">
            <w:pPr>
              <w:jc w:val="center"/>
              <w:rPr>
                <w:rFonts w:cs="Calibri"/>
                <w:sz w:val="18"/>
                <w:szCs w:val="18"/>
              </w:rPr>
            </w:pPr>
            <w:r w:rsidRPr="00C22C26">
              <w:rPr>
                <w:rFonts w:cs="Calibri"/>
                <w:sz w:val="18"/>
                <w:szCs w:val="18"/>
              </w:rPr>
              <w:t>818</w:t>
            </w:r>
          </w:p>
        </w:tc>
        <w:tc>
          <w:tcPr>
            <w:tcW w:w="974" w:type="dxa"/>
            <w:shd w:val="clear" w:color="auto" w:fill="auto"/>
            <w:vAlign w:val="center"/>
          </w:tcPr>
          <w:p w14:paraId="605E36D0" w14:textId="77777777" w:rsidR="00291431" w:rsidRPr="00C22C26" w:rsidRDefault="00291431" w:rsidP="00370D80">
            <w:pPr>
              <w:jc w:val="center"/>
              <w:rPr>
                <w:rFonts w:cs="Calibri"/>
                <w:sz w:val="18"/>
                <w:szCs w:val="18"/>
              </w:rPr>
            </w:pPr>
          </w:p>
        </w:tc>
        <w:tc>
          <w:tcPr>
            <w:tcW w:w="974" w:type="dxa"/>
            <w:shd w:val="clear" w:color="auto" w:fill="auto"/>
            <w:vAlign w:val="center"/>
          </w:tcPr>
          <w:p w14:paraId="1969A521" w14:textId="77777777" w:rsidR="00291431" w:rsidRPr="00C22C26" w:rsidRDefault="00291431" w:rsidP="00370D80">
            <w:pPr>
              <w:jc w:val="center"/>
              <w:rPr>
                <w:rFonts w:cs="Calibri"/>
                <w:sz w:val="18"/>
                <w:szCs w:val="18"/>
              </w:rPr>
            </w:pPr>
            <w:r w:rsidRPr="00C22C26">
              <w:rPr>
                <w:rFonts w:cs="Calibri"/>
                <w:sz w:val="18"/>
                <w:szCs w:val="18"/>
              </w:rPr>
              <w:t>507</w:t>
            </w:r>
          </w:p>
        </w:tc>
        <w:tc>
          <w:tcPr>
            <w:tcW w:w="974" w:type="dxa"/>
            <w:shd w:val="clear" w:color="auto" w:fill="auto"/>
            <w:vAlign w:val="center"/>
          </w:tcPr>
          <w:p w14:paraId="04F0951F" w14:textId="77777777" w:rsidR="00291431" w:rsidRPr="00C22C26" w:rsidRDefault="00291431" w:rsidP="00370D80">
            <w:pPr>
              <w:jc w:val="center"/>
              <w:rPr>
                <w:rFonts w:cs="Calibri"/>
                <w:sz w:val="18"/>
                <w:szCs w:val="18"/>
              </w:rPr>
            </w:pPr>
          </w:p>
        </w:tc>
      </w:tr>
      <w:tr w:rsidR="00291431" w:rsidRPr="00CE4959" w14:paraId="7CE8E825" w14:textId="77777777" w:rsidTr="002B785E">
        <w:tc>
          <w:tcPr>
            <w:tcW w:w="974" w:type="dxa"/>
            <w:vAlign w:val="center"/>
          </w:tcPr>
          <w:p w14:paraId="2AA61947" w14:textId="77777777" w:rsidR="00291431" w:rsidRPr="00C22C26" w:rsidRDefault="00291431" w:rsidP="00370D80">
            <w:pPr>
              <w:jc w:val="center"/>
              <w:rPr>
                <w:rFonts w:cs="Calibri"/>
                <w:i/>
                <w:color w:val="000000"/>
                <w:sz w:val="18"/>
                <w:szCs w:val="18"/>
              </w:rPr>
            </w:pPr>
            <w:r w:rsidRPr="00C22C26">
              <w:rPr>
                <w:rFonts w:cs="Calibri"/>
                <w:sz w:val="18"/>
                <w:szCs w:val="18"/>
              </w:rPr>
              <w:t>WR</w:t>
            </w:r>
          </w:p>
        </w:tc>
        <w:tc>
          <w:tcPr>
            <w:tcW w:w="900" w:type="dxa"/>
            <w:vAlign w:val="center"/>
          </w:tcPr>
          <w:p w14:paraId="4124804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p w14:paraId="3059E23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p w14:paraId="0347F0D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p w14:paraId="79EFE71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p w14:paraId="0381158F"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8.5</w:t>
            </w:r>
          </w:p>
        </w:tc>
        <w:tc>
          <w:tcPr>
            <w:tcW w:w="1537" w:type="dxa"/>
            <w:shd w:val="clear" w:color="auto" w:fill="auto"/>
            <w:vAlign w:val="center"/>
          </w:tcPr>
          <w:p w14:paraId="0A24BBFC" w14:textId="77777777" w:rsidR="00291431" w:rsidRPr="00C22C26" w:rsidRDefault="00291431" w:rsidP="00C22C26">
            <w:pPr>
              <w:rPr>
                <w:rFonts w:cs="Calibri"/>
                <w:sz w:val="18"/>
                <w:szCs w:val="18"/>
              </w:rPr>
            </w:pPr>
            <w:r w:rsidRPr="00C22C26">
              <w:rPr>
                <w:rFonts w:cs="Calibri"/>
                <w:color w:val="000000"/>
                <w:sz w:val="18"/>
                <w:szCs w:val="18"/>
              </w:rPr>
              <w:t>Liczba nauczycieli, którzy uzyskali kwalifikacje lub nabyli kompetencje po opuszczeniu programu [osoby]</w:t>
            </w:r>
          </w:p>
        </w:tc>
        <w:tc>
          <w:tcPr>
            <w:tcW w:w="929" w:type="dxa"/>
            <w:shd w:val="clear" w:color="auto" w:fill="auto"/>
            <w:vAlign w:val="center"/>
          </w:tcPr>
          <w:p w14:paraId="3E4C6C64" w14:textId="77777777" w:rsidR="00291431" w:rsidRPr="00C22C26" w:rsidRDefault="00291431" w:rsidP="00370D80">
            <w:pPr>
              <w:jc w:val="center"/>
              <w:rPr>
                <w:rFonts w:cs="Calibri"/>
                <w:sz w:val="18"/>
                <w:szCs w:val="18"/>
              </w:rPr>
            </w:pPr>
            <w:r w:rsidRPr="00C22C26">
              <w:rPr>
                <w:rFonts w:cs="Calibri"/>
                <w:bCs/>
                <w:color w:val="000000"/>
                <w:sz w:val="18"/>
                <w:szCs w:val="18"/>
              </w:rPr>
              <w:t>92%</w:t>
            </w:r>
          </w:p>
        </w:tc>
        <w:tc>
          <w:tcPr>
            <w:tcW w:w="826" w:type="dxa"/>
            <w:vAlign w:val="center"/>
          </w:tcPr>
          <w:p w14:paraId="14E71ADD" w14:textId="77777777" w:rsidR="00291431" w:rsidRPr="00C22C26" w:rsidRDefault="00291431" w:rsidP="00370D80">
            <w:pPr>
              <w:jc w:val="center"/>
              <w:rPr>
                <w:rFonts w:cs="Calibri"/>
                <w:color w:val="000000"/>
                <w:sz w:val="18"/>
                <w:szCs w:val="18"/>
              </w:rPr>
            </w:pPr>
            <w:r w:rsidRPr="00C22C26">
              <w:rPr>
                <w:rFonts w:cs="Calibri"/>
                <w:color w:val="000000"/>
                <w:sz w:val="18"/>
                <w:szCs w:val="18"/>
              </w:rPr>
              <w:t>%</w:t>
            </w:r>
          </w:p>
        </w:tc>
        <w:tc>
          <w:tcPr>
            <w:tcW w:w="974" w:type="dxa"/>
            <w:shd w:val="clear" w:color="auto" w:fill="auto"/>
            <w:vAlign w:val="center"/>
          </w:tcPr>
          <w:p w14:paraId="00FE3E4C" w14:textId="77777777" w:rsidR="00291431" w:rsidRPr="00C22C26" w:rsidRDefault="00291431" w:rsidP="00370D80">
            <w:pPr>
              <w:jc w:val="center"/>
              <w:rPr>
                <w:rFonts w:cs="Calibri"/>
                <w:sz w:val="18"/>
                <w:szCs w:val="18"/>
              </w:rPr>
            </w:pPr>
            <w:r w:rsidRPr="00C22C26">
              <w:rPr>
                <w:rFonts w:cs="Calibri"/>
                <w:sz w:val="18"/>
                <w:szCs w:val="18"/>
              </w:rPr>
              <w:t>96,5%</w:t>
            </w:r>
          </w:p>
        </w:tc>
        <w:tc>
          <w:tcPr>
            <w:tcW w:w="974" w:type="dxa"/>
            <w:shd w:val="clear" w:color="auto" w:fill="auto"/>
            <w:vAlign w:val="center"/>
          </w:tcPr>
          <w:p w14:paraId="34A88AF4" w14:textId="77777777" w:rsidR="00291431" w:rsidRPr="00C22C26" w:rsidRDefault="00291431" w:rsidP="00370D80">
            <w:pPr>
              <w:jc w:val="center"/>
              <w:rPr>
                <w:rFonts w:cs="Calibri"/>
                <w:sz w:val="18"/>
                <w:szCs w:val="18"/>
              </w:rPr>
            </w:pPr>
            <w:r w:rsidRPr="00C22C26">
              <w:rPr>
                <w:rFonts w:cs="Calibri"/>
                <w:sz w:val="18"/>
                <w:szCs w:val="18"/>
              </w:rPr>
              <w:t>105%</w:t>
            </w:r>
          </w:p>
        </w:tc>
        <w:tc>
          <w:tcPr>
            <w:tcW w:w="974" w:type="dxa"/>
            <w:shd w:val="clear" w:color="auto" w:fill="auto"/>
            <w:vAlign w:val="center"/>
          </w:tcPr>
          <w:p w14:paraId="40E785F6" w14:textId="77777777" w:rsidR="00291431" w:rsidRPr="00C22C26" w:rsidRDefault="00291431" w:rsidP="00370D80">
            <w:pPr>
              <w:jc w:val="center"/>
              <w:rPr>
                <w:rFonts w:cs="Calibri"/>
                <w:sz w:val="18"/>
                <w:szCs w:val="18"/>
              </w:rPr>
            </w:pPr>
            <w:r w:rsidRPr="00C22C26">
              <w:rPr>
                <w:rFonts w:cs="Calibri"/>
                <w:sz w:val="18"/>
                <w:szCs w:val="18"/>
              </w:rPr>
              <w:t>99,5%</w:t>
            </w:r>
          </w:p>
        </w:tc>
        <w:tc>
          <w:tcPr>
            <w:tcW w:w="974" w:type="dxa"/>
            <w:shd w:val="clear" w:color="auto" w:fill="auto"/>
            <w:vAlign w:val="center"/>
          </w:tcPr>
          <w:p w14:paraId="0D0B131D" w14:textId="77777777" w:rsidR="00291431" w:rsidRPr="00C22C26" w:rsidRDefault="00291431" w:rsidP="00370D80">
            <w:pPr>
              <w:jc w:val="center"/>
              <w:rPr>
                <w:rFonts w:cs="Calibri"/>
                <w:sz w:val="18"/>
                <w:szCs w:val="18"/>
              </w:rPr>
            </w:pPr>
            <w:r w:rsidRPr="00C22C26">
              <w:rPr>
                <w:rFonts w:cs="Calibri"/>
                <w:sz w:val="18"/>
                <w:szCs w:val="18"/>
              </w:rPr>
              <w:t>59%</w:t>
            </w:r>
          </w:p>
        </w:tc>
      </w:tr>
      <w:tr w:rsidR="00291431" w:rsidRPr="00CE4959" w14:paraId="09EA4BFA" w14:textId="77777777" w:rsidTr="002B785E">
        <w:tc>
          <w:tcPr>
            <w:tcW w:w="974" w:type="dxa"/>
            <w:vAlign w:val="center"/>
          </w:tcPr>
          <w:p w14:paraId="0E1EBE84" w14:textId="77777777" w:rsidR="00291431" w:rsidRPr="00C22C26" w:rsidRDefault="00291431" w:rsidP="00370D80">
            <w:pPr>
              <w:jc w:val="center"/>
              <w:rPr>
                <w:rFonts w:cs="Calibri"/>
                <w:i/>
                <w:color w:val="000000"/>
                <w:sz w:val="18"/>
                <w:szCs w:val="18"/>
              </w:rPr>
            </w:pPr>
          </w:p>
        </w:tc>
        <w:tc>
          <w:tcPr>
            <w:tcW w:w="900" w:type="dxa"/>
            <w:vAlign w:val="center"/>
          </w:tcPr>
          <w:p w14:paraId="4C7F9728"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8.1</w:t>
            </w:r>
          </w:p>
        </w:tc>
        <w:tc>
          <w:tcPr>
            <w:tcW w:w="1537" w:type="dxa"/>
            <w:shd w:val="clear" w:color="auto" w:fill="auto"/>
            <w:vAlign w:val="center"/>
          </w:tcPr>
          <w:p w14:paraId="55D6C521" w14:textId="77777777" w:rsidR="00291431" w:rsidRPr="00C22C26" w:rsidRDefault="00291431" w:rsidP="00C22C26">
            <w:pPr>
              <w:rPr>
                <w:rFonts w:cs="Calibri"/>
                <w:sz w:val="18"/>
                <w:szCs w:val="18"/>
              </w:rPr>
            </w:pPr>
          </w:p>
        </w:tc>
        <w:tc>
          <w:tcPr>
            <w:tcW w:w="929" w:type="dxa"/>
            <w:shd w:val="clear" w:color="auto" w:fill="auto"/>
            <w:vAlign w:val="center"/>
          </w:tcPr>
          <w:p w14:paraId="2B555689"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03E58D8E"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18743484" w14:textId="77777777" w:rsidR="00291431" w:rsidRPr="00C22C26" w:rsidRDefault="00291431" w:rsidP="00370D80">
            <w:pPr>
              <w:jc w:val="center"/>
              <w:rPr>
                <w:rFonts w:cs="Calibri"/>
                <w:sz w:val="18"/>
                <w:szCs w:val="18"/>
              </w:rPr>
            </w:pPr>
            <w:r w:rsidRPr="00C22C26">
              <w:rPr>
                <w:rFonts w:cs="Calibri"/>
                <w:color w:val="000000"/>
                <w:sz w:val="18"/>
                <w:szCs w:val="18"/>
              </w:rPr>
              <w:t>241</w:t>
            </w:r>
          </w:p>
        </w:tc>
        <w:tc>
          <w:tcPr>
            <w:tcW w:w="974" w:type="dxa"/>
            <w:shd w:val="clear" w:color="auto" w:fill="auto"/>
            <w:vAlign w:val="center"/>
          </w:tcPr>
          <w:p w14:paraId="3D0F5AB5" w14:textId="77777777" w:rsidR="00291431" w:rsidRPr="00C22C26" w:rsidRDefault="00291431" w:rsidP="00370D80">
            <w:pPr>
              <w:jc w:val="center"/>
              <w:rPr>
                <w:rFonts w:cs="Calibri"/>
                <w:sz w:val="18"/>
                <w:szCs w:val="18"/>
              </w:rPr>
            </w:pPr>
          </w:p>
        </w:tc>
        <w:tc>
          <w:tcPr>
            <w:tcW w:w="974" w:type="dxa"/>
            <w:shd w:val="clear" w:color="auto" w:fill="auto"/>
            <w:vAlign w:val="center"/>
          </w:tcPr>
          <w:p w14:paraId="1117B8C9" w14:textId="77777777" w:rsidR="00291431" w:rsidRPr="00C22C26" w:rsidRDefault="00291431" w:rsidP="00370D80">
            <w:pPr>
              <w:jc w:val="center"/>
              <w:rPr>
                <w:rFonts w:cs="Calibri"/>
                <w:sz w:val="18"/>
                <w:szCs w:val="18"/>
              </w:rPr>
            </w:pPr>
            <w:r w:rsidRPr="00C22C26">
              <w:rPr>
                <w:rFonts w:cs="Calibri"/>
                <w:color w:val="000000"/>
                <w:sz w:val="18"/>
                <w:szCs w:val="18"/>
              </w:rPr>
              <w:t>164</w:t>
            </w:r>
          </w:p>
        </w:tc>
        <w:tc>
          <w:tcPr>
            <w:tcW w:w="974" w:type="dxa"/>
            <w:shd w:val="clear" w:color="auto" w:fill="auto"/>
            <w:vAlign w:val="center"/>
          </w:tcPr>
          <w:p w14:paraId="5618A121" w14:textId="77777777" w:rsidR="00291431" w:rsidRPr="00C22C26" w:rsidRDefault="00291431" w:rsidP="00370D80">
            <w:pPr>
              <w:jc w:val="center"/>
              <w:rPr>
                <w:rFonts w:cs="Calibri"/>
                <w:sz w:val="18"/>
                <w:szCs w:val="18"/>
              </w:rPr>
            </w:pPr>
          </w:p>
        </w:tc>
      </w:tr>
      <w:tr w:rsidR="00291431" w:rsidRPr="00CE4959" w14:paraId="5AD98457" w14:textId="77777777" w:rsidTr="002B785E">
        <w:tc>
          <w:tcPr>
            <w:tcW w:w="974" w:type="dxa"/>
            <w:vAlign w:val="center"/>
          </w:tcPr>
          <w:p w14:paraId="7C717941" w14:textId="77777777" w:rsidR="00291431" w:rsidRPr="00C22C26" w:rsidRDefault="00291431" w:rsidP="00370D80">
            <w:pPr>
              <w:jc w:val="center"/>
              <w:rPr>
                <w:rFonts w:cs="Calibri"/>
                <w:i/>
                <w:color w:val="000000"/>
                <w:sz w:val="18"/>
                <w:szCs w:val="18"/>
              </w:rPr>
            </w:pPr>
          </w:p>
        </w:tc>
        <w:tc>
          <w:tcPr>
            <w:tcW w:w="900" w:type="dxa"/>
            <w:vAlign w:val="center"/>
          </w:tcPr>
          <w:p w14:paraId="28459EBD"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8.2</w:t>
            </w:r>
          </w:p>
        </w:tc>
        <w:tc>
          <w:tcPr>
            <w:tcW w:w="1537" w:type="dxa"/>
            <w:shd w:val="clear" w:color="auto" w:fill="auto"/>
            <w:vAlign w:val="center"/>
          </w:tcPr>
          <w:p w14:paraId="11E77056" w14:textId="77777777" w:rsidR="00291431" w:rsidRPr="00C22C26" w:rsidRDefault="00291431" w:rsidP="00C22C26">
            <w:pPr>
              <w:rPr>
                <w:rFonts w:cs="Calibri"/>
                <w:sz w:val="18"/>
                <w:szCs w:val="18"/>
              </w:rPr>
            </w:pPr>
          </w:p>
        </w:tc>
        <w:tc>
          <w:tcPr>
            <w:tcW w:w="929" w:type="dxa"/>
            <w:shd w:val="clear" w:color="auto" w:fill="auto"/>
            <w:vAlign w:val="center"/>
          </w:tcPr>
          <w:p w14:paraId="76CD4524"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3BE2753B"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79B83BB6" w14:textId="77777777" w:rsidR="00291431" w:rsidRPr="00C22C26" w:rsidRDefault="00291431" w:rsidP="00370D80">
            <w:pPr>
              <w:jc w:val="center"/>
              <w:rPr>
                <w:rFonts w:cs="Calibri"/>
                <w:sz w:val="18"/>
                <w:szCs w:val="18"/>
              </w:rPr>
            </w:pPr>
            <w:r w:rsidRPr="00C22C26">
              <w:rPr>
                <w:rFonts w:cs="Calibri"/>
                <w:color w:val="000000"/>
                <w:sz w:val="18"/>
                <w:szCs w:val="18"/>
              </w:rPr>
              <w:t>753</w:t>
            </w:r>
          </w:p>
        </w:tc>
        <w:tc>
          <w:tcPr>
            <w:tcW w:w="974" w:type="dxa"/>
            <w:shd w:val="clear" w:color="auto" w:fill="auto"/>
            <w:vAlign w:val="center"/>
          </w:tcPr>
          <w:p w14:paraId="2BD7A8CF" w14:textId="77777777" w:rsidR="00291431" w:rsidRPr="00C22C26" w:rsidRDefault="00291431" w:rsidP="00370D80">
            <w:pPr>
              <w:jc w:val="center"/>
              <w:rPr>
                <w:rFonts w:cs="Calibri"/>
                <w:sz w:val="18"/>
                <w:szCs w:val="18"/>
              </w:rPr>
            </w:pPr>
          </w:p>
        </w:tc>
        <w:tc>
          <w:tcPr>
            <w:tcW w:w="974" w:type="dxa"/>
            <w:shd w:val="clear" w:color="auto" w:fill="auto"/>
            <w:vAlign w:val="center"/>
          </w:tcPr>
          <w:p w14:paraId="0B73D210" w14:textId="77777777" w:rsidR="00291431" w:rsidRPr="00C22C26" w:rsidRDefault="00291431" w:rsidP="00370D80">
            <w:pPr>
              <w:jc w:val="center"/>
              <w:rPr>
                <w:rFonts w:cs="Calibri"/>
                <w:sz w:val="18"/>
                <w:szCs w:val="18"/>
              </w:rPr>
            </w:pPr>
            <w:r w:rsidRPr="00C22C26">
              <w:rPr>
                <w:rFonts w:cs="Calibri"/>
                <w:color w:val="000000"/>
                <w:sz w:val="18"/>
                <w:szCs w:val="18"/>
              </w:rPr>
              <w:t>283</w:t>
            </w:r>
          </w:p>
        </w:tc>
        <w:tc>
          <w:tcPr>
            <w:tcW w:w="974" w:type="dxa"/>
            <w:shd w:val="clear" w:color="auto" w:fill="auto"/>
            <w:vAlign w:val="center"/>
          </w:tcPr>
          <w:p w14:paraId="754E6083" w14:textId="77777777" w:rsidR="00291431" w:rsidRPr="00C22C26" w:rsidRDefault="00291431" w:rsidP="00370D80">
            <w:pPr>
              <w:jc w:val="center"/>
              <w:rPr>
                <w:rFonts w:cs="Calibri"/>
                <w:sz w:val="18"/>
                <w:szCs w:val="18"/>
              </w:rPr>
            </w:pPr>
          </w:p>
        </w:tc>
      </w:tr>
      <w:tr w:rsidR="00291431" w:rsidRPr="00CE4959" w14:paraId="1C42D6C9" w14:textId="77777777" w:rsidTr="002B785E">
        <w:tc>
          <w:tcPr>
            <w:tcW w:w="974" w:type="dxa"/>
            <w:vAlign w:val="center"/>
          </w:tcPr>
          <w:p w14:paraId="65B6D618" w14:textId="77777777" w:rsidR="00291431" w:rsidRPr="00C22C26" w:rsidRDefault="00291431" w:rsidP="00370D80">
            <w:pPr>
              <w:jc w:val="center"/>
              <w:rPr>
                <w:rFonts w:cs="Calibri"/>
                <w:i/>
                <w:color w:val="000000"/>
                <w:sz w:val="18"/>
                <w:szCs w:val="18"/>
              </w:rPr>
            </w:pPr>
          </w:p>
        </w:tc>
        <w:tc>
          <w:tcPr>
            <w:tcW w:w="900" w:type="dxa"/>
            <w:vAlign w:val="center"/>
          </w:tcPr>
          <w:p w14:paraId="3240446A"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8.3</w:t>
            </w:r>
          </w:p>
        </w:tc>
        <w:tc>
          <w:tcPr>
            <w:tcW w:w="1537" w:type="dxa"/>
            <w:shd w:val="clear" w:color="auto" w:fill="auto"/>
            <w:vAlign w:val="center"/>
          </w:tcPr>
          <w:p w14:paraId="668D6D59" w14:textId="77777777" w:rsidR="00291431" w:rsidRPr="00C22C26" w:rsidRDefault="00291431" w:rsidP="00C22C26">
            <w:pPr>
              <w:rPr>
                <w:rFonts w:cs="Calibri"/>
                <w:sz w:val="18"/>
                <w:szCs w:val="18"/>
              </w:rPr>
            </w:pPr>
          </w:p>
        </w:tc>
        <w:tc>
          <w:tcPr>
            <w:tcW w:w="929" w:type="dxa"/>
            <w:shd w:val="clear" w:color="auto" w:fill="auto"/>
            <w:vAlign w:val="center"/>
          </w:tcPr>
          <w:p w14:paraId="5AA8DD2D"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1B39EC21"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18246D3B" w14:textId="77777777" w:rsidR="00291431" w:rsidRPr="00C22C26" w:rsidRDefault="00291431" w:rsidP="00370D80">
            <w:pPr>
              <w:jc w:val="center"/>
              <w:rPr>
                <w:rFonts w:cs="Calibri"/>
                <w:sz w:val="18"/>
                <w:szCs w:val="18"/>
              </w:rPr>
            </w:pPr>
            <w:r w:rsidRPr="00C22C26">
              <w:rPr>
                <w:rFonts w:cs="Calibri"/>
                <w:color w:val="000000"/>
                <w:sz w:val="18"/>
                <w:szCs w:val="18"/>
              </w:rPr>
              <w:t>1 164</w:t>
            </w:r>
          </w:p>
        </w:tc>
        <w:tc>
          <w:tcPr>
            <w:tcW w:w="974" w:type="dxa"/>
            <w:shd w:val="clear" w:color="auto" w:fill="auto"/>
            <w:vAlign w:val="center"/>
          </w:tcPr>
          <w:p w14:paraId="487F2F99" w14:textId="77777777" w:rsidR="00291431" w:rsidRPr="00C22C26" w:rsidRDefault="00291431" w:rsidP="00370D80">
            <w:pPr>
              <w:jc w:val="center"/>
              <w:rPr>
                <w:rFonts w:cs="Calibri"/>
                <w:sz w:val="18"/>
                <w:szCs w:val="18"/>
              </w:rPr>
            </w:pPr>
          </w:p>
        </w:tc>
        <w:tc>
          <w:tcPr>
            <w:tcW w:w="974" w:type="dxa"/>
            <w:shd w:val="clear" w:color="auto" w:fill="auto"/>
            <w:vAlign w:val="center"/>
          </w:tcPr>
          <w:p w14:paraId="5251DF24" w14:textId="77777777" w:rsidR="00291431" w:rsidRPr="00C22C26" w:rsidRDefault="00291431" w:rsidP="00370D80">
            <w:pPr>
              <w:jc w:val="center"/>
              <w:rPr>
                <w:rFonts w:cs="Calibri"/>
                <w:sz w:val="18"/>
                <w:szCs w:val="18"/>
              </w:rPr>
            </w:pPr>
            <w:r w:rsidRPr="00C22C26">
              <w:rPr>
                <w:rFonts w:cs="Calibri"/>
                <w:color w:val="000000"/>
                <w:sz w:val="18"/>
                <w:szCs w:val="18"/>
              </w:rPr>
              <w:t>154</w:t>
            </w:r>
          </w:p>
        </w:tc>
        <w:tc>
          <w:tcPr>
            <w:tcW w:w="974" w:type="dxa"/>
            <w:shd w:val="clear" w:color="auto" w:fill="auto"/>
            <w:vAlign w:val="center"/>
          </w:tcPr>
          <w:p w14:paraId="29EA4AC3" w14:textId="77777777" w:rsidR="00291431" w:rsidRPr="00C22C26" w:rsidRDefault="00291431" w:rsidP="00370D80">
            <w:pPr>
              <w:jc w:val="center"/>
              <w:rPr>
                <w:rFonts w:cs="Calibri"/>
                <w:sz w:val="18"/>
                <w:szCs w:val="18"/>
              </w:rPr>
            </w:pPr>
          </w:p>
        </w:tc>
      </w:tr>
      <w:tr w:rsidR="00291431" w:rsidRPr="00CE4959" w14:paraId="12A316C2" w14:textId="77777777" w:rsidTr="002B785E">
        <w:tc>
          <w:tcPr>
            <w:tcW w:w="974" w:type="dxa"/>
            <w:vAlign w:val="center"/>
          </w:tcPr>
          <w:p w14:paraId="4B369C7C" w14:textId="77777777" w:rsidR="00291431" w:rsidRPr="00C22C26" w:rsidRDefault="00291431" w:rsidP="00370D80">
            <w:pPr>
              <w:jc w:val="center"/>
              <w:rPr>
                <w:rFonts w:cs="Calibri"/>
                <w:i/>
                <w:color w:val="000000"/>
                <w:sz w:val="18"/>
                <w:szCs w:val="18"/>
              </w:rPr>
            </w:pPr>
          </w:p>
        </w:tc>
        <w:tc>
          <w:tcPr>
            <w:tcW w:w="900" w:type="dxa"/>
            <w:vAlign w:val="center"/>
          </w:tcPr>
          <w:p w14:paraId="091E151F" w14:textId="77777777" w:rsidR="00291431" w:rsidRPr="00C22C26" w:rsidRDefault="00291431" w:rsidP="00370D80">
            <w:pPr>
              <w:jc w:val="center"/>
              <w:rPr>
                <w:rFonts w:cs="Calibri"/>
                <w:color w:val="000000"/>
                <w:sz w:val="18"/>
                <w:szCs w:val="18"/>
              </w:rPr>
            </w:pPr>
            <w:r w:rsidRPr="00C22C26">
              <w:rPr>
                <w:rFonts w:cs="Calibri"/>
                <w:bCs/>
                <w:color w:val="000000"/>
                <w:sz w:val="18"/>
                <w:szCs w:val="18"/>
              </w:rPr>
              <w:t>8.4</w:t>
            </w:r>
          </w:p>
        </w:tc>
        <w:tc>
          <w:tcPr>
            <w:tcW w:w="1537" w:type="dxa"/>
            <w:shd w:val="clear" w:color="auto" w:fill="auto"/>
            <w:vAlign w:val="center"/>
          </w:tcPr>
          <w:p w14:paraId="621CF218" w14:textId="77777777" w:rsidR="00291431" w:rsidRPr="00C22C26" w:rsidRDefault="00291431" w:rsidP="00C22C26">
            <w:pPr>
              <w:rPr>
                <w:rFonts w:cs="Calibri"/>
                <w:sz w:val="18"/>
                <w:szCs w:val="18"/>
              </w:rPr>
            </w:pPr>
          </w:p>
        </w:tc>
        <w:tc>
          <w:tcPr>
            <w:tcW w:w="929" w:type="dxa"/>
            <w:shd w:val="clear" w:color="auto" w:fill="auto"/>
            <w:vAlign w:val="center"/>
          </w:tcPr>
          <w:p w14:paraId="0B806687"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57E9FA6B"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4638CF9C" w14:textId="77777777" w:rsidR="00291431" w:rsidRPr="00C22C26" w:rsidRDefault="00291431" w:rsidP="00370D80">
            <w:pPr>
              <w:jc w:val="center"/>
              <w:rPr>
                <w:rFonts w:cs="Calibri"/>
                <w:sz w:val="18"/>
                <w:szCs w:val="18"/>
              </w:rPr>
            </w:pPr>
            <w:r w:rsidRPr="00C22C26">
              <w:rPr>
                <w:rFonts w:cs="Calibri"/>
                <w:color w:val="000000"/>
                <w:sz w:val="18"/>
                <w:szCs w:val="18"/>
              </w:rPr>
              <w:t>569</w:t>
            </w:r>
          </w:p>
        </w:tc>
        <w:tc>
          <w:tcPr>
            <w:tcW w:w="974" w:type="dxa"/>
            <w:shd w:val="clear" w:color="auto" w:fill="auto"/>
            <w:vAlign w:val="center"/>
          </w:tcPr>
          <w:p w14:paraId="0C816D5D" w14:textId="77777777" w:rsidR="00291431" w:rsidRPr="00C22C26" w:rsidRDefault="00291431" w:rsidP="00370D80">
            <w:pPr>
              <w:jc w:val="center"/>
              <w:rPr>
                <w:rFonts w:cs="Calibri"/>
                <w:sz w:val="18"/>
                <w:szCs w:val="18"/>
              </w:rPr>
            </w:pPr>
          </w:p>
        </w:tc>
        <w:tc>
          <w:tcPr>
            <w:tcW w:w="974" w:type="dxa"/>
            <w:shd w:val="clear" w:color="auto" w:fill="auto"/>
            <w:vAlign w:val="center"/>
          </w:tcPr>
          <w:p w14:paraId="5C4D4C85" w14:textId="77777777" w:rsidR="00291431" w:rsidRPr="00C22C26" w:rsidRDefault="00291431" w:rsidP="00370D80">
            <w:pPr>
              <w:jc w:val="center"/>
              <w:rPr>
                <w:rFonts w:cs="Calibri"/>
                <w:sz w:val="18"/>
                <w:szCs w:val="18"/>
              </w:rPr>
            </w:pPr>
            <w:r w:rsidRPr="00C22C26">
              <w:rPr>
                <w:rFonts w:cs="Calibri"/>
                <w:color w:val="000000"/>
                <w:sz w:val="18"/>
                <w:szCs w:val="18"/>
              </w:rPr>
              <w:t>218</w:t>
            </w:r>
          </w:p>
        </w:tc>
        <w:tc>
          <w:tcPr>
            <w:tcW w:w="974" w:type="dxa"/>
            <w:shd w:val="clear" w:color="auto" w:fill="auto"/>
            <w:vAlign w:val="center"/>
          </w:tcPr>
          <w:p w14:paraId="1C7D6BF3" w14:textId="77777777" w:rsidR="00291431" w:rsidRPr="00C22C26" w:rsidRDefault="00291431" w:rsidP="00370D80">
            <w:pPr>
              <w:jc w:val="center"/>
              <w:rPr>
                <w:rFonts w:cs="Calibri"/>
                <w:sz w:val="18"/>
                <w:szCs w:val="18"/>
              </w:rPr>
            </w:pPr>
          </w:p>
        </w:tc>
      </w:tr>
      <w:tr w:rsidR="00291431" w:rsidRPr="00CE4959" w14:paraId="6A3AA57F" w14:textId="77777777" w:rsidTr="002B785E">
        <w:tc>
          <w:tcPr>
            <w:tcW w:w="974" w:type="dxa"/>
            <w:vAlign w:val="center"/>
          </w:tcPr>
          <w:p w14:paraId="15ACBCE9" w14:textId="77777777" w:rsidR="00291431" w:rsidRPr="00C22C26" w:rsidRDefault="00291431" w:rsidP="00370D80">
            <w:pPr>
              <w:jc w:val="center"/>
              <w:rPr>
                <w:rFonts w:cs="Calibri"/>
                <w:i/>
                <w:color w:val="000000"/>
                <w:sz w:val="18"/>
                <w:szCs w:val="18"/>
              </w:rPr>
            </w:pPr>
          </w:p>
        </w:tc>
        <w:tc>
          <w:tcPr>
            <w:tcW w:w="900" w:type="dxa"/>
            <w:vAlign w:val="center"/>
          </w:tcPr>
          <w:p w14:paraId="1ED80579" w14:textId="77777777" w:rsidR="00291431" w:rsidRPr="00C22C26" w:rsidRDefault="00291431" w:rsidP="00370D80">
            <w:pPr>
              <w:jc w:val="center"/>
              <w:rPr>
                <w:rFonts w:cs="Calibri"/>
                <w:color w:val="000000"/>
                <w:sz w:val="18"/>
                <w:szCs w:val="18"/>
              </w:rPr>
            </w:pPr>
            <w:r w:rsidRPr="00C22C26">
              <w:rPr>
                <w:rFonts w:cs="Calibri"/>
                <w:color w:val="000000"/>
                <w:sz w:val="18"/>
                <w:szCs w:val="18"/>
              </w:rPr>
              <w:t>8.5</w:t>
            </w:r>
          </w:p>
        </w:tc>
        <w:tc>
          <w:tcPr>
            <w:tcW w:w="1537" w:type="dxa"/>
            <w:shd w:val="clear" w:color="auto" w:fill="auto"/>
            <w:vAlign w:val="center"/>
          </w:tcPr>
          <w:p w14:paraId="6056A9BA" w14:textId="77777777" w:rsidR="00291431" w:rsidRPr="00C22C26" w:rsidRDefault="00291431" w:rsidP="00C22C26">
            <w:pPr>
              <w:rPr>
                <w:rFonts w:cs="Calibri"/>
                <w:sz w:val="18"/>
                <w:szCs w:val="18"/>
              </w:rPr>
            </w:pPr>
          </w:p>
        </w:tc>
        <w:tc>
          <w:tcPr>
            <w:tcW w:w="929" w:type="dxa"/>
            <w:shd w:val="clear" w:color="auto" w:fill="auto"/>
            <w:vAlign w:val="center"/>
          </w:tcPr>
          <w:p w14:paraId="77BA3C4D"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3EA86037"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5C7FFCC3" w14:textId="77777777" w:rsidR="00291431" w:rsidRPr="00C22C26" w:rsidRDefault="00291431" w:rsidP="00370D80">
            <w:pPr>
              <w:jc w:val="center"/>
              <w:rPr>
                <w:rFonts w:cs="Calibri"/>
                <w:sz w:val="18"/>
                <w:szCs w:val="18"/>
              </w:rPr>
            </w:pPr>
            <w:r w:rsidRPr="00C22C26">
              <w:rPr>
                <w:rFonts w:cs="Calibri"/>
                <w:color w:val="000000"/>
                <w:sz w:val="18"/>
                <w:szCs w:val="18"/>
              </w:rPr>
              <w:t>799</w:t>
            </w:r>
          </w:p>
        </w:tc>
        <w:tc>
          <w:tcPr>
            <w:tcW w:w="974" w:type="dxa"/>
            <w:shd w:val="clear" w:color="auto" w:fill="auto"/>
            <w:vAlign w:val="center"/>
          </w:tcPr>
          <w:p w14:paraId="3510BC6D" w14:textId="77777777" w:rsidR="00291431" w:rsidRPr="00C22C26" w:rsidRDefault="00291431" w:rsidP="00370D80">
            <w:pPr>
              <w:jc w:val="center"/>
              <w:rPr>
                <w:rFonts w:cs="Calibri"/>
                <w:sz w:val="18"/>
                <w:szCs w:val="18"/>
              </w:rPr>
            </w:pPr>
          </w:p>
        </w:tc>
        <w:tc>
          <w:tcPr>
            <w:tcW w:w="974" w:type="dxa"/>
            <w:shd w:val="clear" w:color="auto" w:fill="auto"/>
            <w:vAlign w:val="center"/>
          </w:tcPr>
          <w:p w14:paraId="5E19778A" w14:textId="77777777" w:rsidR="00291431" w:rsidRPr="00C22C26" w:rsidRDefault="00291431" w:rsidP="00370D80">
            <w:pPr>
              <w:jc w:val="center"/>
              <w:rPr>
                <w:rFonts w:cs="Calibri"/>
                <w:sz w:val="18"/>
                <w:szCs w:val="18"/>
              </w:rPr>
            </w:pPr>
            <w:r w:rsidRPr="00C22C26">
              <w:rPr>
                <w:rFonts w:cs="Calibri"/>
                <w:color w:val="000000"/>
                <w:sz w:val="18"/>
                <w:szCs w:val="18"/>
              </w:rPr>
              <w:t>190</w:t>
            </w:r>
          </w:p>
        </w:tc>
        <w:tc>
          <w:tcPr>
            <w:tcW w:w="974" w:type="dxa"/>
            <w:shd w:val="clear" w:color="auto" w:fill="auto"/>
            <w:vAlign w:val="center"/>
          </w:tcPr>
          <w:p w14:paraId="120BD016" w14:textId="77777777" w:rsidR="00291431" w:rsidRPr="00C22C26" w:rsidRDefault="00291431" w:rsidP="00370D80">
            <w:pPr>
              <w:jc w:val="center"/>
              <w:rPr>
                <w:rFonts w:cs="Calibri"/>
                <w:sz w:val="18"/>
                <w:szCs w:val="18"/>
              </w:rPr>
            </w:pPr>
          </w:p>
        </w:tc>
      </w:tr>
      <w:tr w:rsidR="00291431" w:rsidRPr="00CE4959" w14:paraId="54D41C4D" w14:textId="77777777" w:rsidTr="002B785E">
        <w:tc>
          <w:tcPr>
            <w:tcW w:w="974" w:type="dxa"/>
            <w:vAlign w:val="center"/>
          </w:tcPr>
          <w:p w14:paraId="66EBDA3E" w14:textId="77777777" w:rsidR="00291431" w:rsidRPr="00C22C26" w:rsidRDefault="00291431" w:rsidP="00370D80">
            <w:pPr>
              <w:jc w:val="center"/>
              <w:rPr>
                <w:rFonts w:cs="Calibri"/>
                <w:color w:val="000000"/>
                <w:sz w:val="18"/>
                <w:szCs w:val="18"/>
              </w:rPr>
            </w:pPr>
            <w:r w:rsidRPr="00C22C26">
              <w:rPr>
                <w:rFonts w:cs="Calibri"/>
                <w:color w:val="000000"/>
                <w:sz w:val="18"/>
                <w:szCs w:val="18"/>
              </w:rPr>
              <w:t>WP</w:t>
            </w:r>
          </w:p>
        </w:tc>
        <w:tc>
          <w:tcPr>
            <w:tcW w:w="900" w:type="dxa"/>
            <w:vAlign w:val="center"/>
          </w:tcPr>
          <w:p w14:paraId="012065F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p w14:paraId="52F3E48E"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p w14:paraId="71940E26"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lastRenderedPageBreak/>
              <w:t>8.5</w:t>
            </w:r>
          </w:p>
        </w:tc>
        <w:tc>
          <w:tcPr>
            <w:tcW w:w="1537" w:type="dxa"/>
            <w:shd w:val="clear" w:color="auto" w:fill="auto"/>
            <w:vAlign w:val="center"/>
          </w:tcPr>
          <w:p w14:paraId="57EFC90E" w14:textId="77777777" w:rsidR="00291431" w:rsidRPr="00C22C26" w:rsidRDefault="00291431" w:rsidP="00C22C26">
            <w:pPr>
              <w:rPr>
                <w:rFonts w:cs="Calibri"/>
                <w:sz w:val="18"/>
                <w:szCs w:val="18"/>
              </w:rPr>
            </w:pPr>
            <w:r w:rsidRPr="00C22C26">
              <w:rPr>
                <w:rFonts w:cs="Calibri"/>
                <w:bCs/>
                <w:sz w:val="18"/>
                <w:szCs w:val="18"/>
              </w:rPr>
              <w:lastRenderedPageBreak/>
              <w:t>Liczba dzieci objętych</w:t>
            </w:r>
            <w:r w:rsidR="00E66B89">
              <w:rPr>
                <w:rFonts w:cs="Calibri"/>
                <w:bCs/>
                <w:sz w:val="18"/>
                <w:szCs w:val="18"/>
              </w:rPr>
              <w:t xml:space="preserve"> w </w:t>
            </w:r>
            <w:r w:rsidRPr="00C22C26">
              <w:rPr>
                <w:rFonts w:cs="Calibri"/>
                <w:bCs/>
                <w:sz w:val="18"/>
                <w:szCs w:val="18"/>
              </w:rPr>
              <w:t xml:space="preserve">ramach programu </w:t>
            </w:r>
            <w:r w:rsidRPr="00C22C26">
              <w:rPr>
                <w:rFonts w:cs="Calibri"/>
                <w:bCs/>
                <w:sz w:val="18"/>
                <w:szCs w:val="18"/>
              </w:rPr>
              <w:lastRenderedPageBreak/>
              <w:t>dodatkowymi zajęciami zwiększającymi ich szanse edukacyjne</w:t>
            </w:r>
            <w:r w:rsidR="00E66B89">
              <w:rPr>
                <w:rFonts w:cs="Calibri"/>
                <w:bCs/>
                <w:sz w:val="18"/>
                <w:szCs w:val="18"/>
              </w:rPr>
              <w:t xml:space="preserve"> w </w:t>
            </w:r>
            <w:r w:rsidRPr="00C22C26">
              <w:rPr>
                <w:rFonts w:cs="Calibri"/>
                <w:bCs/>
                <w:sz w:val="18"/>
                <w:szCs w:val="18"/>
              </w:rPr>
              <w:t>edukacji przedszkolnej</w:t>
            </w:r>
          </w:p>
        </w:tc>
        <w:tc>
          <w:tcPr>
            <w:tcW w:w="929" w:type="dxa"/>
            <w:shd w:val="clear" w:color="auto" w:fill="auto"/>
            <w:vAlign w:val="center"/>
          </w:tcPr>
          <w:p w14:paraId="250104AA" w14:textId="77777777" w:rsidR="00291431" w:rsidRPr="00C22C26" w:rsidRDefault="00291431" w:rsidP="00370D80">
            <w:pPr>
              <w:jc w:val="center"/>
              <w:rPr>
                <w:rFonts w:cs="Calibri"/>
                <w:sz w:val="18"/>
                <w:szCs w:val="18"/>
              </w:rPr>
            </w:pPr>
            <w:r w:rsidRPr="00C22C26">
              <w:rPr>
                <w:rFonts w:cs="Calibri"/>
                <w:sz w:val="18"/>
                <w:szCs w:val="18"/>
              </w:rPr>
              <w:lastRenderedPageBreak/>
              <w:t>12000</w:t>
            </w:r>
          </w:p>
        </w:tc>
        <w:tc>
          <w:tcPr>
            <w:tcW w:w="826" w:type="dxa"/>
            <w:vAlign w:val="center"/>
          </w:tcPr>
          <w:p w14:paraId="331CBAC9" w14:textId="77777777" w:rsidR="00291431" w:rsidRPr="00C22C26" w:rsidRDefault="00291431" w:rsidP="00370D80">
            <w:pPr>
              <w:jc w:val="center"/>
              <w:rPr>
                <w:rFonts w:cs="Calibri"/>
                <w:color w:val="000000"/>
                <w:sz w:val="18"/>
                <w:szCs w:val="18"/>
              </w:rPr>
            </w:pPr>
            <w:r w:rsidRPr="00C22C26">
              <w:rPr>
                <w:rFonts w:cs="Calibri"/>
                <w:sz w:val="18"/>
                <w:szCs w:val="18"/>
              </w:rPr>
              <w:t>osoby</w:t>
            </w:r>
          </w:p>
        </w:tc>
        <w:tc>
          <w:tcPr>
            <w:tcW w:w="974" w:type="dxa"/>
            <w:shd w:val="clear" w:color="auto" w:fill="auto"/>
            <w:vAlign w:val="center"/>
          </w:tcPr>
          <w:p w14:paraId="7036805E" w14:textId="77777777" w:rsidR="00291431" w:rsidRPr="00C22C26" w:rsidRDefault="00291431" w:rsidP="00370D80">
            <w:pPr>
              <w:jc w:val="center"/>
              <w:rPr>
                <w:rFonts w:cs="Calibri"/>
                <w:sz w:val="18"/>
                <w:szCs w:val="18"/>
              </w:rPr>
            </w:pPr>
            <w:r w:rsidRPr="00C22C26">
              <w:rPr>
                <w:rFonts w:cs="Calibri"/>
                <w:sz w:val="18"/>
                <w:szCs w:val="18"/>
              </w:rPr>
              <w:t>3313</w:t>
            </w:r>
          </w:p>
        </w:tc>
        <w:tc>
          <w:tcPr>
            <w:tcW w:w="974" w:type="dxa"/>
            <w:shd w:val="clear" w:color="auto" w:fill="auto"/>
            <w:vAlign w:val="center"/>
          </w:tcPr>
          <w:p w14:paraId="75E77DB2" w14:textId="77777777" w:rsidR="00291431" w:rsidRPr="00C22C26" w:rsidRDefault="00291431" w:rsidP="00370D80">
            <w:pPr>
              <w:jc w:val="center"/>
              <w:rPr>
                <w:rFonts w:cs="Calibri"/>
                <w:sz w:val="18"/>
                <w:szCs w:val="18"/>
              </w:rPr>
            </w:pPr>
            <w:r w:rsidRPr="00C22C26">
              <w:rPr>
                <w:rFonts w:cs="Calibri"/>
                <w:sz w:val="18"/>
                <w:szCs w:val="18"/>
              </w:rPr>
              <w:t>28%</w:t>
            </w:r>
          </w:p>
        </w:tc>
        <w:tc>
          <w:tcPr>
            <w:tcW w:w="974" w:type="dxa"/>
            <w:shd w:val="clear" w:color="auto" w:fill="auto"/>
            <w:vAlign w:val="center"/>
          </w:tcPr>
          <w:p w14:paraId="4CCE1711" w14:textId="77777777" w:rsidR="00291431" w:rsidRPr="00C22C26" w:rsidRDefault="00291431" w:rsidP="00370D80">
            <w:pPr>
              <w:jc w:val="center"/>
              <w:rPr>
                <w:rFonts w:cs="Calibri"/>
                <w:sz w:val="18"/>
                <w:szCs w:val="18"/>
              </w:rPr>
            </w:pPr>
            <w:r w:rsidRPr="00C22C26">
              <w:rPr>
                <w:rFonts w:cs="Calibri"/>
                <w:sz w:val="18"/>
                <w:szCs w:val="18"/>
              </w:rPr>
              <w:t>3185</w:t>
            </w:r>
          </w:p>
        </w:tc>
        <w:tc>
          <w:tcPr>
            <w:tcW w:w="974" w:type="dxa"/>
            <w:shd w:val="clear" w:color="auto" w:fill="auto"/>
            <w:vAlign w:val="center"/>
          </w:tcPr>
          <w:p w14:paraId="1957B554" w14:textId="77777777" w:rsidR="00291431" w:rsidRPr="00C22C26" w:rsidRDefault="00291431" w:rsidP="00370D80">
            <w:pPr>
              <w:jc w:val="center"/>
              <w:rPr>
                <w:rFonts w:cs="Calibri"/>
                <w:sz w:val="18"/>
                <w:szCs w:val="18"/>
              </w:rPr>
            </w:pPr>
            <w:r w:rsidRPr="00C22C26">
              <w:rPr>
                <w:rFonts w:cs="Calibri"/>
                <w:sz w:val="18"/>
                <w:szCs w:val="18"/>
              </w:rPr>
              <w:t>27%</w:t>
            </w:r>
          </w:p>
        </w:tc>
      </w:tr>
      <w:tr w:rsidR="00291431" w:rsidRPr="00CE4959" w14:paraId="5476A153" w14:textId="77777777" w:rsidTr="002B785E">
        <w:tc>
          <w:tcPr>
            <w:tcW w:w="974" w:type="dxa"/>
            <w:vAlign w:val="center"/>
          </w:tcPr>
          <w:p w14:paraId="684E8612" w14:textId="77777777" w:rsidR="00291431" w:rsidRPr="00C22C26" w:rsidRDefault="00291431" w:rsidP="00370D80">
            <w:pPr>
              <w:jc w:val="center"/>
              <w:rPr>
                <w:rFonts w:cs="Calibri"/>
                <w:bCs/>
                <w:color w:val="000000"/>
                <w:sz w:val="18"/>
                <w:szCs w:val="18"/>
              </w:rPr>
            </w:pPr>
          </w:p>
        </w:tc>
        <w:tc>
          <w:tcPr>
            <w:tcW w:w="900" w:type="dxa"/>
            <w:vAlign w:val="center"/>
          </w:tcPr>
          <w:p w14:paraId="277A410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tc>
        <w:tc>
          <w:tcPr>
            <w:tcW w:w="1537" w:type="dxa"/>
            <w:shd w:val="clear" w:color="auto" w:fill="auto"/>
            <w:vAlign w:val="center"/>
          </w:tcPr>
          <w:p w14:paraId="181E4167"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BBFD04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8A7098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B25DEB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3 016</w:t>
            </w:r>
          </w:p>
        </w:tc>
        <w:tc>
          <w:tcPr>
            <w:tcW w:w="974" w:type="dxa"/>
            <w:shd w:val="clear" w:color="auto" w:fill="auto"/>
            <w:vAlign w:val="center"/>
          </w:tcPr>
          <w:p w14:paraId="26DE7F7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0CD598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2 853</w:t>
            </w:r>
          </w:p>
        </w:tc>
        <w:tc>
          <w:tcPr>
            <w:tcW w:w="974" w:type="dxa"/>
            <w:shd w:val="clear" w:color="auto" w:fill="auto"/>
            <w:vAlign w:val="center"/>
          </w:tcPr>
          <w:p w14:paraId="20F0E464" w14:textId="77777777" w:rsidR="00291431" w:rsidRPr="00C22C26" w:rsidRDefault="00291431" w:rsidP="00370D80">
            <w:pPr>
              <w:jc w:val="center"/>
              <w:rPr>
                <w:rFonts w:cs="Calibri"/>
                <w:bCs/>
                <w:color w:val="000000"/>
                <w:sz w:val="18"/>
                <w:szCs w:val="18"/>
              </w:rPr>
            </w:pPr>
          </w:p>
        </w:tc>
      </w:tr>
      <w:tr w:rsidR="00291431" w:rsidRPr="00CE4959" w14:paraId="221923A8" w14:textId="77777777" w:rsidTr="002B785E">
        <w:tc>
          <w:tcPr>
            <w:tcW w:w="974" w:type="dxa"/>
            <w:vAlign w:val="center"/>
          </w:tcPr>
          <w:p w14:paraId="6617D48D" w14:textId="77777777" w:rsidR="00291431" w:rsidRPr="00C22C26" w:rsidRDefault="00291431" w:rsidP="00370D80">
            <w:pPr>
              <w:jc w:val="center"/>
              <w:rPr>
                <w:rFonts w:cs="Calibri"/>
                <w:bCs/>
                <w:color w:val="000000"/>
                <w:sz w:val="18"/>
                <w:szCs w:val="18"/>
              </w:rPr>
            </w:pPr>
          </w:p>
        </w:tc>
        <w:tc>
          <w:tcPr>
            <w:tcW w:w="900" w:type="dxa"/>
            <w:vAlign w:val="center"/>
          </w:tcPr>
          <w:p w14:paraId="3B42188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71B42E83"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869434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9463BED"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675E41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200</w:t>
            </w:r>
          </w:p>
        </w:tc>
        <w:tc>
          <w:tcPr>
            <w:tcW w:w="974" w:type="dxa"/>
            <w:shd w:val="clear" w:color="auto" w:fill="auto"/>
            <w:vAlign w:val="center"/>
          </w:tcPr>
          <w:p w14:paraId="33BC1CE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2AD758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238</w:t>
            </w:r>
          </w:p>
        </w:tc>
        <w:tc>
          <w:tcPr>
            <w:tcW w:w="974" w:type="dxa"/>
            <w:shd w:val="clear" w:color="auto" w:fill="auto"/>
            <w:vAlign w:val="center"/>
          </w:tcPr>
          <w:p w14:paraId="63828AF1" w14:textId="77777777" w:rsidR="00291431" w:rsidRPr="00C22C26" w:rsidRDefault="00291431" w:rsidP="00370D80">
            <w:pPr>
              <w:jc w:val="center"/>
              <w:rPr>
                <w:rFonts w:cs="Calibri"/>
                <w:bCs/>
                <w:color w:val="000000"/>
                <w:sz w:val="18"/>
                <w:szCs w:val="18"/>
              </w:rPr>
            </w:pPr>
          </w:p>
        </w:tc>
      </w:tr>
      <w:tr w:rsidR="00291431" w:rsidRPr="00CE4959" w14:paraId="35E342B2" w14:textId="77777777" w:rsidTr="002B785E">
        <w:tc>
          <w:tcPr>
            <w:tcW w:w="974" w:type="dxa"/>
            <w:vAlign w:val="center"/>
          </w:tcPr>
          <w:p w14:paraId="3979B148" w14:textId="77777777" w:rsidR="00291431" w:rsidRPr="00C22C26" w:rsidRDefault="00291431" w:rsidP="00370D80">
            <w:pPr>
              <w:jc w:val="center"/>
              <w:rPr>
                <w:rFonts w:cs="Calibri"/>
                <w:bCs/>
                <w:color w:val="000000"/>
                <w:sz w:val="18"/>
                <w:szCs w:val="18"/>
              </w:rPr>
            </w:pPr>
          </w:p>
        </w:tc>
        <w:tc>
          <w:tcPr>
            <w:tcW w:w="900" w:type="dxa"/>
            <w:vAlign w:val="center"/>
          </w:tcPr>
          <w:p w14:paraId="0C92FB6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7DC3C65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A9C86E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1EFB4C4"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3F6982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97</w:t>
            </w:r>
          </w:p>
        </w:tc>
        <w:tc>
          <w:tcPr>
            <w:tcW w:w="974" w:type="dxa"/>
            <w:shd w:val="clear" w:color="auto" w:fill="auto"/>
            <w:vAlign w:val="center"/>
          </w:tcPr>
          <w:p w14:paraId="4638A913"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6BB169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94</w:t>
            </w:r>
          </w:p>
        </w:tc>
        <w:tc>
          <w:tcPr>
            <w:tcW w:w="974" w:type="dxa"/>
            <w:shd w:val="clear" w:color="auto" w:fill="auto"/>
            <w:vAlign w:val="center"/>
          </w:tcPr>
          <w:p w14:paraId="525F87A2" w14:textId="77777777" w:rsidR="00291431" w:rsidRPr="00C22C26" w:rsidRDefault="00291431" w:rsidP="00370D80">
            <w:pPr>
              <w:jc w:val="center"/>
              <w:rPr>
                <w:rFonts w:cs="Calibri"/>
                <w:bCs/>
                <w:color w:val="000000"/>
                <w:sz w:val="18"/>
                <w:szCs w:val="18"/>
              </w:rPr>
            </w:pPr>
          </w:p>
        </w:tc>
      </w:tr>
      <w:tr w:rsidR="00291431" w:rsidRPr="00CE4959" w14:paraId="3C7A5A06" w14:textId="77777777" w:rsidTr="002B785E">
        <w:tc>
          <w:tcPr>
            <w:tcW w:w="974" w:type="dxa"/>
            <w:vAlign w:val="center"/>
          </w:tcPr>
          <w:p w14:paraId="6A826F4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WP</w:t>
            </w:r>
          </w:p>
        </w:tc>
        <w:tc>
          <w:tcPr>
            <w:tcW w:w="900" w:type="dxa"/>
            <w:vAlign w:val="center"/>
          </w:tcPr>
          <w:p w14:paraId="28F3844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p w14:paraId="21268C4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p w14:paraId="5EE1777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0AB1A026" w14:textId="77777777" w:rsidR="00291431" w:rsidRPr="00C22C26" w:rsidRDefault="00291431" w:rsidP="00C22C26">
            <w:pPr>
              <w:rPr>
                <w:rFonts w:cs="Calibri"/>
                <w:bCs/>
                <w:color w:val="000000"/>
                <w:sz w:val="18"/>
                <w:szCs w:val="18"/>
              </w:rPr>
            </w:pPr>
            <w:r w:rsidRPr="00C22C26">
              <w:rPr>
                <w:rFonts w:cs="Calibri"/>
                <w:bCs/>
                <w:color w:val="000000"/>
                <w:sz w:val="18"/>
                <w:szCs w:val="18"/>
              </w:rPr>
              <w:t>Liczba miejsc wychowania przedszkolnego dofinansowanych</w:t>
            </w:r>
            <w:r w:rsidR="00E66B89">
              <w:rPr>
                <w:rFonts w:cs="Calibri"/>
                <w:bCs/>
                <w:color w:val="000000"/>
                <w:sz w:val="18"/>
                <w:szCs w:val="18"/>
              </w:rPr>
              <w:t xml:space="preserve"> w </w:t>
            </w:r>
            <w:r w:rsidRPr="00C22C26">
              <w:rPr>
                <w:rFonts w:cs="Calibri"/>
                <w:bCs/>
                <w:color w:val="000000"/>
                <w:sz w:val="18"/>
                <w:szCs w:val="18"/>
              </w:rPr>
              <w:t>programie</w:t>
            </w:r>
          </w:p>
        </w:tc>
        <w:tc>
          <w:tcPr>
            <w:tcW w:w="929" w:type="dxa"/>
            <w:shd w:val="clear" w:color="auto" w:fill="auto"/>
            <w:vAlign w:val="center"/>
          </w:tcPr>
          <w:p w14:paraId="5B598BF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12000</w:t>
            </w:r>
          </w:p>
        </w:tc>
        <w:tc>
          <w:tcPr>
            <w:tcW w:w="826" w:type="dxa"/>
            <w:vAlign w:val="center"/>
          </w:tcPr>
          <w:p w14:paraId="155AC152" w14:textId="77777777" w:rsidR="00291431" w:rsidRPr="00C22C26" w:rsidRDefault="00291431" w:rsidP="00370D80">
            <w:pPr>
              <w:jc w:val="center"/>
              <w:rPr>
                <w:rFonts w:cs="Calibri"/>
                <w:bCs/>
                <w:color w:val="000000"/>
                <w:sz w:val="18"/>
                <w:szCs w:val="18"/>
              </w:rPr>
            </w:pPr>
            <w:r>
              <w:rPr>
                <w:rFonts w:cs="Calibri"/>
                <w:bCs/>
                <w:color w:val="000000"/>
                <w:sz w:val="18"/>
                <w:szCs w:val="18"/>
              </w:rPr>
              <w:t>s</w:t>
            </w:r>
            <w:r w:rsidRPr="00C22C26">
              <w:rPr>
                <w:rFonts w:cs="Calibri"/>
                <w:bCs/>
                <w:color w:val="000000"/>
                <w:sz w:val="18"/>
                <w:szCs w:val="18"/>
              </w:rPr>
              <w:t>zt.</w:t>
            </w:r>
          </w:p>
        </w:tc>
        <w:tc>
          <w:tcPr>
            <w:tcW w:w="974" w:type="dxa"/>
            <w:shd w:val="clear" w:color="auto" w:fill="auto"/>
            <w:vAlign w:val="center"/>
          </w:tcPr>
          <w:p w14:paraId="55B72AA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2249</w:t>
            </w:r>
          </w:p>
        </w:tc>
        <w:tc>
          <w:tcPr>
            <w:tcW w:w="974" w:type="dxa"/>
            <w:shd w:val="clear" w:color="auto" w:fill="auto"/>
            <w:vAlign w:val="center"/>
          </w:tcPr>
          <w:p w14:paraId="6EECF80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19%</w:t>
            </w:r>
          </w:p>
        </w:tc>
        <w:tc>
          <w:tcPr>
            <w:tcW w:w="974" w:type="dxa"/>
            <w:shd w:val="clear" w:color="auto" w:fill="auto"/>
            <w:vAlign w:val="center"/>
          </w:tcPr>
          <w:p w14:paraId="13F4F65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1841</w:t>
            </w:r>
          </w:p>
        </w:tc>
        <w:tc>
          <w:tcPr>
            <w:tcW w:w="974" w:type="dxa"/>
            <w:shd w:val="clear" w:color="auto" w:fill="auto"/>
            <w:vAlign w:val="center"/>
          </w:tcPr>
          <w:p w14:paraId="379A7B5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15%</w:t>
            </w:r>
          </w:p>
        </w:tc>
      </w:tr>
      <w:tr w:rsidR="00291431" w:rsidRPr="00CE4959" w14:paraId="22A78447" w14:textId="77777777" w:rsidTr="002B785E">
        <w:tc>
          <w:tcPr>
            <w:tcW w:w="974" w:type="dxa"/>
            <w:vAlign w:val="center"/>
          </w:tcPr>
          <w:p w14:paraId="3CDC7278" w14:textId="77777777" w:rsidR="00291431" w:rsidRPr="00C22C26" w:rsidRDefault="00291431" w:rsidP="00370D80">
            <w:pPr>
              <w:jc w:val="center"/>
              <w:rPr>
                <w:rFonts w:cs="Calibri"/>
                <w:bCs/>
                <w:color w:val="000000"/>
                <w:sz w:val="18"/>
                <w:szCs w:val="18"/>
              </w:rPr>
            </w:pPr>
          </w:p>
        </w:tc>
        <w:tc>
          <w:tcPr>
            <w:tcW w:w="900" w:type="dxa"/>
            <w:vAlign w:val="center"/>
          </w:tcPr>
          <w:p w14:paraId="70203AB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8.1</w:t>
            </w:r>
          </w:p>
        </w:tc>
        <w:tc>
          <w:tcPr>
            <w:tcW w:w="1537" w:type="dxa"/>
            <w:shd w:val="clear" w:color="auto" w:fill="auto"/>
            <w:vAlign w:val="center"/>
          </w:tcPr>
          <w:p w14:paraId="1F793F2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9783EFE"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51553DD"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E3F2AF6" w14:textId="77777777" w:rsidR="00291431" w:rsidRPr="00C22C26" w:rsidRDefault="00291431" w:rsidP="00370D80">
            <w:pPr>
              <w:jc w:val="center"/>
              <w:rPr>
                <w:rFonts w:cs="Calibri"/>
                <w:bCs/>
                <w:color w:val="000000"/>
                <w:sz w:val="18"/>
                <w:szCs w:val="18"/>
              </w:rPr>
            </w:pPr>
            <w:r w:rsidRPr="00C22C26">
              <w:rPr>
                <w:sz w:val="18"/>
                <w:szCs w:val="18"/>
              </w:rPr>
              <w:t>2 038</w:t>
            </w:r>
          </w:p>
        </w:tc>
        <w:tc>
          <w:tcPr>
            <w:tcW w:w="974" w:type="dxa"/>
            <w:shd w:val="clear" w:color="auto" w:fill="auto"/>
            <w:vAlign w:val="center"/>
          </w:tcPr>
          <w:p w14:paraId="58600BDD"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7B3F7B8" w14:textId="77777777" w:rsidR="00291431" w:rsidRPr="00C22C26" w:rsidRDefault="00291431" w:rsidP="00370D80">
            <w:pPr>
              <w:jc w:val="center"/>
              <w:rPr>
                <w:rFonts w:cs="Calibri"/>
                <w:bCs/>
                <w:color w:val="000000"/>
                <w:sz w:val="18"/>
                <w:szCs w:val="18"/>
              </w:rPr>
            </w:pPr>
            <w:r w:rsidRPr="00C22C26">
              <w:rPr>
                <w:sz w:val="18"/>
                <w:szCs w:val="18"/>
              </w:rPr>
              <w:t>1 642</w:t>
            </w:r>
          </w:p>
        </w:tc>
        <w:tc>
          <w:tcPr>
            <w:tcW w:w="974" w:type="dxa"/>
            <w:shd w:val="clear" w:color="auto" w:fill="auto"/>
            <w:vAlign w:val="center"/>
          </w:tcPr>
          <w:p w14:paraId="4E335743" w14:textId="77777777" w:rsidR="00291431" w:rsidRPr="00C22C26" w:rsidRDefault="00291431" w:rsidP="00370D80">
            <w:pPr>
              <w:jc w:val="center"/>
              <w:rPr>
                <w:rFonts w:cs="Calibri"/>
                <w:bCs/>
                <w:color w:val="000000"/>
                <w:sz w:val="18"/>
                <w:szCs w:val="18"/>
              </w:rPr>
            </w:pPr>
          </w:p>
        </w:tc>
      </w:tr>
      <w:tr w:rsidR="00291431" w:rsidRPr="00CE4959" w14:paraId="6002C31F" w14:textId="77777777" w:rsidTr="002B785E">
        <w:tc>
          <w:tcPr>
            <w:tcW w:w="974" w:type="dxa"/>
            <w:vAlign w:val="center"/>
          </w:tcPr>
          <w:p w14:paraId="0F8A5098" w14:textId="77777777" w:rsidR="00291431" w:rsidRPr="00C22C26" w:rsidRDefault="00291431" w:rsidP="00370D80">
            <w:pPr>
              <w:jc w:val="center"/>
              <w:rPr>
                <w:rFonts w:cs="Calibri"/>
                <w:bCs/>
                <w:color w:val="000000"/>
                <w:sz w:val="18"/>
                <w:szCs w:val="18"/>
              </w:rPr>
            </w:pPr>
          </w:p>
        </w:tc>
        <w:tc>
          <w:tcPr>
            <w:tcW w:w="900" w:type="dxa"/>
            <w:vAlign w:val="center"/>
          </w:tcPr>
          <w:p w14:paraId="48427E8E"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39FDF54A"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EB7DA5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E40403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1ECDE3E" w14:textId="77777777" w:rsidR="00291431" w:rsidRPr="00C22C26" w:rsidRDefault="00291431" w:rsidP="00370D80">
            <w:pPr>
              <w:jc w:val="center"/>
              <w:rPr>
                <w:rFonts w:cs="Calibri"/>
                <w:bCs/>
                <w:color w:val="000000"/>
                <w:sz w:val="18"/>
                <w:szCs w:val="18"/>
              </w:rPr>
            </w:pPr>
            <w:r w:rsidRPr="00C22C26">
              <w:rPr>
                <w:sz w:val="18"/>
                <w:szCs w:val="18"/>
              </w:rPr>
              <w:t>140</w:t>
            </w:r>
          </w:p>
        </w:tc>
        <w:tc>
          <w:tcPr>
            <w:tcW w:w="974" w:type="dxa"/>
            <w:shd w:val="clear" w:color="auto" w:fill="auto"/>
            <w:vAlign w:val="center"/>
          </w:tcPr>
          <w:p w14:paraId="4716BCF3"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E5B9A9B" w14:textId="77777777" w:rsidR="00291431" w:rsidRPr="00C22C26" w:rsidRDefault="00291431" w:rsidP="00370D80">
            <w:pPr>
              <w:jc w:val="center"/>
              <w:rPr>
                <w:rFonts w:cs="Calibri"/>
                <w:bCs/>
                <w:color w:val="000000"/>
                <w:sz w:val="18"/>
                <w:szCs w:val="18"/>
              </w:rPr>
            </w:pPr>
            <w:r w:rsidRPr="00C22C26">
              <w:rPr>
                <w:sz w:val="18"/>
                <w:szCs w:val="18"/>
              </w:rPr>
              <w:t>141</w:t>
            </w:r>
          </w:p>
        </w:tc>
        <w:tc>
          <w:tcPr>
            <w:tcW w:w="974" w:type="dxa"/>
            <w:shd w:val="clear" w:color="auto" w:fill="auto"/>
            <w:vAlign w:val="center"/>
          </w:tcPr>
          <w:p w14:paraId="2B470E77" w14:textId="77777777" w:rsidR="00291431" w:rsidRPr="00C22C26" w:rsidRDefault="00291431" w:rsidP="00370D80">
            <w:pPr>
              <w:jc w:val="center"/>
              <w:rPr>
                <w:rFonts w:cs="Calibri"/>
                <w:bCs/>
                <w:color w:val="000000"/>
                <w:sz w:val="18"/>
                <w:szCs w:val="18"/>
              </w:rPr>
            </w:pPr>
          </w:p>
        </w:tc>
      </w:tr>
      <w:tr w:rsidR="00291431" w:rsidRPr="00CE4959" w14:paraId="3DC4FBA6" w14:textId="77777777" w:rsidTr="002B785E">
        <w:tc>
          <w:tcPr>
            <w:tcW w:w="974" w:type="dxa"/>
            <w:vAlign w:val="center"/>
          </w:tcPr>
          <w:p w14:paraId="65045892" w14:textId="77777777" w:rsidR="00291431" w:rsidRPr="00C22C26" w:rsidRDefault="00291431" w:rsidP="00370D80">
            <w:pPr>
              <w:jc w:val="center"/>
              <w:rPr>
                <w:rFonts w:cs="Calibri"/>
                <w:bCs/>
                <w:color w:val="000000"/>
                <w:sz w:val="18"/>
                <w:szCs w:val="18"/>
              </w:rPr>
            </w:pPr>
          </w:p>
        </w:tc>
        <w:tc>
          <w:tcPr>
            <w:tcW w:w="900" w:type="dxa"/>
            <w:vAlign w:val="center"/>
          </w:tcPr>
          <w:p w14:paraId="72C6D0D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5046FFAE"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4ECB90F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728492D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30236C4" w14:textId="77777777" w:rsidR="00291431" w:rsidRPr="00C22C26" w:rsidRDefault="00291431" w:rsidP="00370D80">
            <w:pPr>
              <w:jc w:val="center"/>
              <w:rPr>
                <w:rFonts w:cs="Calibri"/>
                <w:bCs/>
                <w:color w:val="000000"/>
                <w:sz w:val="18"/>
                <w:szCs w:val="18"/>
              </w:rPr>
            </w:pPr>
            <w:r w:rsidRPr="00C22C26">
              <w:rPr>
                <w:sz w:val="18"/>
                <w:szCs w:val="18"/>
              </w:rPr>
              <w:t>71</w:t>
            </w:r>
          </w:p>
        </w:tc>
        <w:tc>
          <w:tcPr>
            <w:tcW w:w="974" w:type="dxa"/>
            <w:shd w:val="clear" w:color="auto" w:fill="auto"/>
            <w:vAlign w:val="center"/>
          </w:tcPr>
          <w:p w14:paraId="66FBF65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B271C9B" w14:textId="77777777" w:rsidR="00291431" w:rsidRPr="00C22C26" w:rsidRDefault="00291431" w:rsidP="00370D80">
            <w:pPr>
              <w:jc w:val="center"/>
              <w:rPr>
                <w:rFonts w:cs="Calibri"/>
                <w:bCs/>
                <w:color w:val="000000"/>
                <w:sz w:val="18"/>
                <w:szCs w:val="18"/>
              </w:rPr>
            </w:pPr>
            <w:r w:rsidRPr="00C22C26">
              <w:rPr>
                <w:sz w:val="18"/>
                <w:szCs w:val="18"/>
              </w:rPr>
              <w:t>58</w:t>
            </w:r>
          </w:p>
        </w:tc>
        <w:tc>
          <w:tcPr>
            <w:tcW w:w="974" w:type="dxa"/>
            <w:shd w:val="clear" w:color="auto" w:fill="auto"/>
            <w:vAlign w:val="center"/>
          </w:tcPr>
          <w:p w14:paraId="568169CF" w14:textId="77777777" w:rsidR="00291431" w:rsidRPr="00C22C26" w:rsidRDefault="00291431" w:rsidP="00370D80">
            <w:pPr>
              <w:jc w:val="center"/>
              <w:rPr>
                <w:rFonts w:cs="Calibri"/>
                <w:bCs/>
                <w:color w:val="000000"/>
                <w:sz w:val="18"/>
                <w:szCs w:val="18"/>
              </w:rPr>
            </w:pPr>
          </w:p>
        </w:tc>
      </w:tr>
      <w:tr w:rsidR="00291431" w:rsidRPr="00CE4959" w14:paraId="1AC36033" w14:textId="77777777" w:rsidTr="002B785E">
        <w:tc>
          <w:tcPr>
            <w:tcW w:w="974" w:type="dxa"/>
            <w:vAlign w:val="center"/>
          </w:tcPr>
          <w:p w14:paraId="48F6D3CA" w14:textId="77777777" w:rsidR="00291431" w:rsidRPr="00C22C26" w:rsidRDefault="00291431" w:rsidP="00370D80">
            <w:pPr>
              <w:jc w:val="center"/>
              <w:rPr>
                <w:rFonts w:cs="Calibri"/>
                <w:bCs/>
                <w:color w:val="000000"/>
                <w:sz w:val="18"/>
                <w:szCs w:val="18"/>
              </w:rPr>
            </w:pPr>
            <w:r w:rsidRPr="00C22C26">
              <w:rPr>
                <w:sz w:val="18"/>
                <w:szCs w:val="18"/>
              </w:rPr>
              <w:t>WP</w:t>
            </w:r>
          </w:p>
        </w:tc>
        <w:tc>
          <w:tcPr>
            <w:tcW w:w="900" w:type="dxa"/>
            <w:vAlign w:val="center"/>
          </w:tcPr>
          <w:p w14:paraId="4027C6F9"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51090916" w14:textId="77777777" w:rsidR="00291431" w:rsidRPr="00C22C26" w:rsidRDefault="00291431" w:rsidP="00C22C26">
            <w:pPr>
              <w:rPr>
                <w:rFonts w:cs="Calibri"/>
                <w:bCs/>
                <w:color w:val="000000"/>
                <w:sz w:val="18"/>
                <w:szCs w:val="18"/>
              </w:rPr>
            </w:pPr>
            <w:r w:rsidRPr="00C22C26">
              <w:rPr>
                <w:rFonts w:cs="Calibri"/>
                <w:sz w:val="18"/>
                <w:szCs w:val="18"/>
              </w:rPr>
              <w:t>Liczba nauczycieli objętych wsparciem</w:t>
            </w:r>
            <w:r w:rsidR="00E66B89">
              <w:rPr>
                <w:rFonts w:cs="Calibri"/>
                <w:sz w:val="18"/>
                <w:szCs w:val="18"/>
              </w:rPr>
              <w:t xml:space="preserve"> z </w:t>
            </w:r>
            <w:r w:rsidRPr="00C22C26">
              <w:rPr>
                <w:rFonts w:cs="Calibri"/>
                <w:sz w:val="18"/>
                <w:szCs w:val="18"/>
              </w:rPr>
              <w:t>zakresu TIK</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62AE6788" w14:textId="77777777" w:rsidR="00291431" w:rsidRPr="00C22C26" w:rsidRDefault="00291431" w:rsidP="00370D80">
            <w:pPr>
              <w:jc w:val="center"/>
              <w:rPr>
                <w:rFonts w:cs="Calibri"/>
                <w:bCs/>
                <w:color w:val="000000"/>
                <w:sz w:val="18"/>
                <w:szCs w:val="18"/>
              </w:rPr>
            </w:pPr>
            <w:r w:rsidRPr="00C22C26">
              <w:rPr>
                <w:rFonts w:cs="Calibri"/>
                <w:sz w:val="18"/>
                <w:szCs w:val="18"/>
              </w:rPr>
              <w:t>1698</w:t>
            </w:r>
          </w:p>
        </w:tc>
        <w:tc>
          <w:tcPr>
            <w:tcW w:w="826" w:type="dxa"/>
            <w:vAlign w:val="center"/>
          </w:tcPr>
          <w:p w14:paraId="57C6C4BD" w14:textId="77777777" w:rsidR="00291431" w:rsidRPr="00C22C26" w:rsidRDefault="00291431" w:rsidP="00370D80">
            <w:pPr>
              <w:jc w:val="center"/>
              <w:rPr>
                <w:rFonts w:cs="Calibri"/>
                <w:bCs/>
                <w:color w:val="000000"/>
                <w:sz w:val="18"/>
                <w:szCs w:val="18"/>
              </w:rPr>
            </w:pPr>
            <w:r w:rsidRPr="00C22C26">
              <w:rPr>
                <w:rFonts w:cs="Calibri"/>
                <w:sz w:val="18"/>
                <w:szCs w:val="18"/>
              </w:rPr>
              <w:t>osoby</w:t>
            </w:r>
          </w:p>
        </w:tc>
        <w:tc>
          <w:tcPr>
            <w:tcW w:w="974" w:type="dxa"/>
            <w:shd w:val="clear" w:color="auto" w:fill="auto"/>
            <w:vAlign w:val="center"/>
          </w:tcPr>
          <w:p w14:paraId="7F767BEB" w14:textId="77777777" w:rsidR="00291431" w:rsidRPr="00C22C26" w:rsidRDefault="00291431" w:rsidP="00370D80">
            <w:pPr>
              <w:jc w:val="center"/>
              <w:rPr>
                <w:rFonts w:cs="Calibri"/>
                <w:bCs/>
                <w:color w:val="000000"/>
                <w:sz w:val="18"/>
                <w:szCs w:val="18"/>
              </w:rPr>
            </w:pPr>
            <w:r w:rsidRPr="00C22C26">
              <w:rPr>
                <w:rFonts w:cs="Calibri"/>
                <w:sz w:val="18"/>
                <w:szCs w:val="18"/>
              </w:rPr>
              <w:t>2139</w:t>
            </w:r>
          </w:p>
        </w:tc>
        <w:tc>
          <w:tcPr>
            <w:tcW w:w="974" w:type="dxa"/>
            <w:shd w:val="clear" w:color="auto" w:fill="auto"/>
            <w:vAlign w:val="center"/>
          </w:tcPr>
          <w:p w14:paraId="7F7CF0D6" w14:textId="77777777" w:rsidR="00291431" w:rsidRPr="00C22C26" w:rsidRDefault="00291431" w:rsidP="00370D80">
            <w:pPr>
              <w:jc w:val="center"/>
              <w:rPr>
                <w:rFonts w:cs="Calibri"/>
                <w:bCs/>
                <w:color w:val="000000"/>
                <w:sz w:val="18"/>
                <w:szCs w:val="18"/>
              </w:rPr>
            </w:pPr>
            <w:r w:rsidRPr="00C22C26">
              <w:rPr>
                <w:rFonts w:cs="Calibri"/>
                <w:sz w:val="18"/>
                <w:szCs w:val="18"/>
              </w:rPr>
              <w:t>126%</w:t>
            </w:r>
          </w:p>
        </w:tc>
        <w:tc>
          <w:tcPr>
            <w:tcW w:w="974" w:type="dxa"/>
            <w:shd w:val="clear" w:color="auto" w:fill="auto"/>
            <w:vAlign w:val="center"/>
          </w:tcPr>
          <w:p w14:paraId="7730355A" w14:textId="77777777" w:rsidR="00291431" w:rsidRPr="00C22C26" w:rsidRDefault="00291431" w:rsidP="00370D80">
            <w:pPr>
              <w:jc w:val="center"/>
              <w:rPr>
                <w:rFonts w:cs="Calibri"/>
                <w:bCs/>
                <w:color w:val="000000"/>
                <w:sz w:val="18"/>
                <w:szCs w:val="18"/>
              </w:rPr>
            </w:pPr>
            <w:r w:rsidRPr="00C22C26">
              <w:rPr>
                <w:rFonts w:cs="Calibri"/>
                <w:sz w:val="18"/>
                <w:szCs w:val="18"/>
              </w:rPr>
              <w:t>952</w:t>
            </w:r>
          </w:p>
        </w:tc>
        <w:tc>
          <w:tcPr>
            <w:tcW w:w="974" w:type="dxa"/>
            <w:shd w:val="clear" w:color="auto" w:fill="auto"/>
            <w:vAlign w:val="center"/>
          </w:tcPr>
          <w:p w14:paraId="0F7BC864" w14:textId="77777777" w:rsidR="00291431" w:rsidRPr="00C22C26" w:rsidRDefault="00291431" w:rsidP="00370D80">
            <w:pPr>
              <w:jc w:val="center"/>
              <w:rPr>
                <w:rFonts w:cs="Calibri"/>
                <w:bCs/>
                <w:color w:val="000000"/>
                <w:sz w:val="18"/>
                <w:szCs w:val="18"/>
              </w:rPr>
            </w:pPr>
            <w:r w:rsidRPr="00C22C26">
              <w:rPr>
                <w:rFonts w:cs="Calibri"/>
                <w:sz w:val="18"/>
                <w:szCs w:val="18"/>
              </w:rPr>
              <w:t>56%</w:t>
            </w:r>
          </w:p>
        </w:tc>
      </w:tr>
      <w:tr w:rsidR="00291431" w:rsidRPr="00CE4959" w14:paraId="16480BED" w14:textId="77777777" w:rsidTr="002B785E">
        <w:tc>
          <w:tcPr>
            <w:tcW w:w="974" w:type="dxa"/>
            <w:vAlign w:val="center"/>
          </w:tcPr>
          <w:p w14:paraId="544E3D06" w14:textId="77777777" w:rsidR="00291431" w:rsidRPr="00C22C26" w:rsidRDefault="00291431" w:rsidP="00370D80">
            <w:pPr>
              <w:jc w:val="center"/>
              <w:rPr>
                <w:rFonts w:cs="Calibri"/>
                <w:i/>
                <w:color w:val="000000"/>
                <w:sz w:val="18"/>
                <w:szCs w:val="18"/>
              </w:rPr>
            </w:pPr>
          </w:p>
        </w:tc>
        <w:tc>
          <w:tcPr>
            <w:tcW w:w="900" w:type="dxa"/>
            <w:vAlign w:val="center"/>
          </w:tcPr>
          <w:p w14:paraId="5887E75E"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70C3F95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941193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170CC50"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F5AEC89" w14:textId="77777777" w:rsidR="00291431" w:rsidRPr="00C22C26" w:rsidRDefault="00291431" w:rsidP="00370D80">
            <w:pPr>
              <w:jc w:val="center"/>
              <w:rPr>
                <w:rFonts w:cs="Calibri"/>
                <w:bCs/>
                <w:color w:val="000000"/>
                <w:sz w:val="18"/>
                <w:szCs w:val="18"/>
              </w:rPr>
            </w:pPr>
            <w:r w:rsidRPr="00C22C26">
              <w:rPr>
                <w:sz w:val="18"/>
                <w:szCs w:val="18"/>
              </w:rPr>
              <w:t>471</w:t>
            </w:r>
          </w:p>
        </w:tc>
        <w:tc>
          <w:tcPr>
            <w:tcW w:w="974" w:type="dxa"/>
            <w:shd w:val="clear" w:color="auto" w:fill="auto"/>
            <w:vAlign w:val="center"/>
          </w:tcPr>
          <w:p w14:paraId="7E310494"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989A68A" w14:textId="77777777" w:rsidR="00291431" w:rsidRPr="00C22C26" w:rsidRDefault="00291431" w:rsidP="00370D80">
            <w:pPr>
              <w:jc w:val="center"/>
              <w:rPr>
                <w:rFonts w:cs="Calibri"/>
                <w:bCs/>
                <w:color w:val="000000"/>
                <w:sz w:val="18"/>
                <w:szCs w:val="18"/>
              </w:rPr>
            </w:pPr>
            <w:r w:rsidRPr="00C22C26">
              <w:rPr>
                <w:sz w:val="18"/>
                <w:szCs w:val="18"/>
              </w:rPr>
              <w:t>363</w:t>
            </w:r>
          </w:p>
        </w:tc>
        <w:tc>
          <w:tcPr>
            <w:tcW w:w="974" w:type="dxa"/>
            <w:shd w:val="clear" w:color="auto" w:fill="auto"/>
            <w:vAlign w:val="center"/>
          </w:tcPr>
          <w:p w14:paraId="70C6D0E0" w14:textId="77777777" w:rsidR="00291431" w:rsidRPr="00C22C26" w:rsidRDefault="00291431" w:rsidP="00370D80">
            <w:pPr>
              <w:jc w:val="center"/>
              <w:rPr>
                <w:rFonts w:cs="Calibri"/>
                <w:bCs/>
                <w:color w:val="000000"/>
                <w:sz w:val="18"/>
                <w:szCs w:val="18"/>
              </w:rPr>
            </w:pPr>
          </w:p>
        </w:tc>
      </w:tr>
      <w:tr w:rsidR="00291431" w:rsidRPr="00CE4959" w14:paraId="28FF149C" w14:textId="77777777" w:rsidTr="002B785E">
        <w:tc>
          <w:tcPr>
            <w:tcW w:w="974" w:type="dxa"/>
            <w:vAlign w:val="center"/>
          </w:tcPr>
          <w:p w14:paraId="64FE41F6" w14:textId="77777777" w:rsidR="00291431" w:rsidRPr="00C22C26" w:rsidRDefault="00291431" w:rsidP="00370D80">
            <w:pPr>
              <w:jc w:val="center"/>
              <w:rPr>
                <w:rFonts w:cs="Calibri"/>
                <w:i/>
                <w:color w:val="000000"/>
                <w:sz w:val="18"/>
                <w:szCs w:val="18"/>
              </w:rPr>
            </w:pPr>
          </w:p>
        </w:tc>
        <w:tc>
          <w:tcPr>
            <w:tcW w:w="900" w:type="dxa"/>
            <w:vAlign w:val="center"/>
          </w:tcPr>
          <w:p w14:paraId="0935636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6033CCAC"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E3FC34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2F33E1C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46A28DF" w14:textId="77777777" w:rsidR="00291431" w:rsidRPr="00C22C26" w:rsidRDefault="00291431" w:rsidP="00370D80">
            <w:pPr>
              <w:jc w:val="center"/>
              <w:rPr>
                <w:rFonts w:cs="Calibri"/>
                <w:bCs/>
                <w:color w:val="000000"/>
                <w:sz w:val="18"/>
                <w:szCs w:val="18"/>
              </w:rPr>
            </w:pPr>
            <w:r w:rsidRPr="00C22C26">
              <w:rPr>
                <w:sz w:val="18"/>
                <w:szCs w:val="18"/>
              </w:rPr>
              <w:t>729</w:t>
            </w:r>
          </w:p>
        </w:tc>
        <w:tc>
          <w:tcPr>
            <w:tcW w:w="974" w:type="dxa"/>
            <w:shd w:val="clear" w:color="auto" w:fill="auto"/>
            <w:vAlign w:val="center"/>
          </w:tcPr>
          <w:p w14:paraId="27AEE41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B70B0D9" w14:textId="77777777" w:rsidR="00291431" w:rsidRPr="00C22C26" w:rsidRDefault="00291431" w:rsidP="00370D80">
            <w:pPr>
              <w:jc w:val="center"/>
              <w:rPr>
                <w:rFonts w:cs="Calibri"/>
                <w:bCs/>
                <w:color w:val="000000"/>
                <w:sz w:val="18"/>
                <w:szCs w:val="18"/>
              </w:rPr>
            </w:pPr>
            <w:r w:rsidRPr="00C22C26">
              <w:rPr>
                <w:sz w:val="18"/>
                <w:szCs w:val="18"/>
              </w:rPr>
              <w:t>90</w:t>
            </w:r>
          </w:p>
        </w:tc>
        <w:tc>
          <w:tcPr>
            <w:tcW w:w="974" w:type="dxa"/>
            <w:shd w:val="clear" w:color="auto" w:fill="auto"/>
            <w:vAlign w:val="center"/>
          </w:tcPr>
          <w:p w14:paraId="2D3D7004" w14:textId="77777777" w:rsidR="00291431" w:rsidRPr="00C22C26" w:rsidRDefault="00291431" w:rsidP="00370D80">
            <w:pPr>
              <w:jc w:val="center"/>
              <w:rPr>
                <w:rFonts w:cs="Calibri"/>
                <w:bCs/>
                <w:color w:val="000000"/>
                <w:sz w:val="18"/>
                <w:szCs w:val="18"/>
              </w:rPr>
            </w:pPr>
          </w:p>
        </w:tc>
      </w:tr>
      <w:tr w:rsidR="00291431" w:rsidRPr="00CE4959" w14:paraId="6A00D064" w14:textId="77777777" w:rsidTr="002B785E">
        <w:tc>
          <w:tcPr>
            <w:tcW w:w="974" w:type="dxa"/>
            <w:vAlign w:val="center"/>
          </w:tcPr>
          <w:p w14:paraId="5CC65F44" w14:textId="77777777" w:rsidR="00291431" w:rsidRPr="00C22C26" w:rsidRDefault="00291431" w:rsidP="00370D80">
            <w:pPr>
              <w:jc w:val="center"/>
              <w:rPr>
                <w:rFonts w:cs="Calibri"/>
                <w:i/>
                <w:color w:val="000000"/>
                <w:sz w:val="18"/>
                <w:szCs w:val="18"/>
              </w:rPr>
            </w:pPr>
          </w:p>
        </w:tc>
        <w:tc>
          <w:tcPr>
            <w:tcW w:w="900" w:type="dxa"/>
            <w:vAlign w:val="center"/>
          </w:tcPr>
          <w:p w14:paraId="41418F31"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0B1F1C5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438E679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9297BC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77E4C4C" w14:textId="77777777" w:rsidR="00291431" w:rsidRPr="00C22C26" w:rsidRDefault="00291431" w:rsidP="00370D80">
            <w:pPr>
              <w:jc w:val="center"/>
              <w:rPr>
                <w:rFonts w:cs="Calibri"/>
                <w:bCs/>
                <w:color w:val="000000"/>
                <w:sz w:val="18"/>
                <w:szCs w:val="18"/>
              </w:rPr>
            </w:pPr>
            <w:r w:rsidRPr="00C22C26">
              <w:rPr>
                <w:sz w:val="18"/>
                <w:szCs w:val="18"/>
              </w:rPr>
              <w:t>279</w:t>
            </w:r>
          </w:p>
        </w:tc>
        <w:tc>
          <w:tcPr>
            <w:tcW w:w="974" w:type="dxa"/>
            <w:shd w:val="clear" w:color="auto" w:fill="auto"/>
            <w:vAlign w:val="center"/>
          </w:tcPr>
          <w:p w14:paraId="2341D2A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F3A4E38" w14:textId="77777777" w:rsidR="00291431" w:rsidRPr="00C22C26" w:rsidRDefault="00291431" w:rsidP="00370D80">
            <w:pPr>
              <w:jc w:val="center"/>
              <w:rPr>
                <w:rFonts w:cs="Calibri"/>
                <w:bCs/>
                <w:color w:val="000000"/>
                <w:sz w:val="18"/>
                <w:szCs w:val="18"/>
              </w:rPr>
            </w:pPr>
            <w:r w:rsidRPr="00C22C26">
              <w:rPr>
                <w:sz w:val="18"/>
                <w:szCs w:val="18"/>
              </w:rPr>
              <w:t>198</w:t>
            </w:r>
          </w:p>
        </w:tc>
        <w:tc>
          <w:tcPr>
            <w:tcW w:w="974" w:type="dxa"/>
            <w:shd w:val="clear" w:color="auto" w:fill="auto"/>
            <w:vAlign w:val="center"/>
          </w:tcPr>
          <w:p w14:paraId="6AD78B1D" w14:textId="77777777" w:rsidR="00291431" w:rsidRPr="00C22C26" w:rsidRDefault="00291431" w:rsidP="00370D80">
            <w:pPr>
              <w:jc w:val="center"/>
              <w:rPr>
                <w:rFonts w:cs="Calibri"/>
                <w:bCs/>
                <w:color w:val="000000"/>
                <w:sz w:val="18"/>
                <w:szCs w:val="18"/>
              </w:rPr>
            </w:pPr>
          </w:p>
        </w:tc>
      </w:tr>
      <w:tr w:rsidR="00291431" w:rsidRPr="00CE4959" w14:paraId="792FE83A" w14:textId="77777777" w:rsidTr="002B785E">
        <w:tc>
          <w:tcPr>
            <w:tcW w:w="974" w:type="dxa"/>
            <w:vAlign w:val="center"/>
          </w:tcPr>
          <w:p w14:paraId="3C478C15" w14:textId="77777777" w:rsidR="00291431" w:rsidRPr="00C22C26" w:rsidRDefault="00291431" w:rsidP="00370D80">
            <w:pPr>
              <w:jc w:val="center"/>
              <w:rPr>
                <w:rFonts w:cs="Calibri"/>
                <w:i/>
                <w:color w:val="000000"/>
                <w:sz w:val="18"/>
                <w:szCs w:val="18"/>
              </w:rPr>
            </w:pPr>
          </w:p>
        </w:tc>
        <w:tc>
          <w:tcPr>
            <w:tcW w:w="900" w:type="dxa"/>
            <w:vAlign w:val="center"/>
          </w:tcPr>
          <w:p w14:paraId="1FD5CFD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6893D04F"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9AB590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D83B58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0D75D7A" w14:textId="77777777" w:rsidR="00291431" w:rsidRPr="00C22C26" w:rsidRDefault="00291431" w:rsidP="00370D80">
            <w:pPr>
              <w:jc w:val="center"/>
              <w:rPr>
                <w:rFonts w:cs="Calibri"/>
                <w:bCs/>
                <w:color w:val="000000"/>
                <w:sz w:val="18"/>
                <w:szCs w:val="18"/>
              </w:rPr>
            </w:pPr>
            <w:r w:rsidRPr="00C22C26">
              <w:rPr>
                <w:sz w:val="18"/>
                <w:szCs w:val="18"/>
              </w:rPr>
              <w:t>660</w:t>
            </w:r>
          </w:p>
        </w:tc>
        <w:tc>
          <w:tcPr>
            <w:tcW w:w="974" w:type="dxa"/>
            <w:shd w:val="clear" w:color="auto" w:fill="auto"/>
            <w:vAlign w:val="center"/>
          </w:tcPr>
          <w:p w14:paraId="3129C09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9CE9F06" w14:textId="77777777" w:rsidR="00291431" w:rsidRPr="00C22C26" w:rsidRDefault="00291431" w:rsidP="00370D80">
            <w:pPr>
              <w:jc w:val="center"/>
              <w:rPr>
                <w:sz w:val="18"/>
                <w:szCs w:val="18"/>
              </w:rPr>
            </w:pPr>
            <w:r w:rsidRPr="00C22C26">
              <w:rPr>
                <w:sz w:val="18"/>
                <w:szCs w:val="18"/>
              </w:rPr>
              <w:t>301</w:t>
            </w:r>
          </w:p>
        </w:tc>
        <w:tc>
          <w:tcPr>
            <w:tcW w:w="974" w:type="dxa"/>
            <w:shd w:val="clear" w:color="auto" w:fill="auto"/>
            <w:vAlign w:val="center"/>
          </w:tcPr>
          <w:p w14:paraId="76B7832A" w14:textId="77777777" w:rsidR="00291431" w:rsidRPr="00C22C26" w:rsidRDefault="00291431" w:rsidP="00370D80">
            <w:pPr>
              <w:jc w:val="center"/>
              <w:rPr>
                <w:rFonts w:cs="Calibri"/>
                <w:bCs/>
                <w:color w:val="000000"/>
                <w:sz w:val="18"/>
                <w:szCs w:val="18"/>
              </w:rPr>
            </w:pPr>
          </w:p>
        </w:tc>
      </w:tr>
      <w:tr w:rsidR="00291431" w:rsidRPr="00CE4959" w14:paraId="1F9A7250" w14:textId="77777777" w:rsidTr="002B785E">
        <w:tc>
          <w:tcPr>
            <w:tcW w:w="974" w:type="dxa"/>
            <w:vAlign w:val="center"/>
          </w:tcPr>
          <w:p w14:paraId="3DECF095" w14:textId="77777777" w:rsidR="00291431" w:rsidRPr="00C22C26" w:rsidRDefault="00291431" w:rsidP="00370D80">
            <w:pPr>
              <w:jc w:val="center"/>
              <w:rPr>
                <w:rFonts w:cs="Calibri"/>
                <w:i/>
                <w:color w:val="000000"/>
                <w:sz w:val="18"/>
                <w:szCs w:val="18"/>
              </w:rPr>
            </w:pPr>
            <w:r w:rsidRPr="00C22C26">
              <w:rPr>
                <w:sz w:val="18"/>
                <w:szCs w:val="18"/>
              </w:rPr>
              <w:t>WR</w:t>
            </w:r>
          </w:p>
        </w:tc>
        <w:tc>
          <w:tcPr>
            <w:tcW w:w="900" w:type="dxa"/>
            <w:vAlign w:val="center"/>
          </w:tcPr>
          <w:p w14:paraId="45D6532E"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4A41D763" w14:textId="77777777" w:rsidR="00291431" w:rsidRPr="00C22C26" w:rsidRDefault="00291431" w:rsidP="00C22C26">
            <w:pPr>
              <w:rPr>
                <w:rFonts w:cs="Calibri"/>
                <w:bCs/>
                <w:color w:val="000000"/>
                <w:sz w:val="18"/>
                <w:szCs w:val="18"/>
              </w:rPr>
            </w:pPr>
            <w:r w:rsidRPr="00C22C26">
              <w:rPr>
                <w:rFonts w:cs="Calibri"/>
                <w:sz w:val="18"/>
                <w:szCs w:val="18"/>
              </w:rPr>
              <w:t>Liczba szkół</w:t>
            </w:r>
            <w:r w:rsidR="00E66B89">
              <w:rPr>
                <w:rFonts w:cs="Calibri"/>
                <w:sz w:val="18"/>
                <w:szCs w:val="18"/>
              </w:rPr>
              <w:t xml:space="preserve"> i </w:t>
            </w:r>
            <w:r w:rsidRPr="00C22C26">
              <w:rPr>
                <w:rFonts w:cs="Calibri"/>
                <w:sz w:val="18"/>
                <w:szCs w:val="18"/>
              </w:rPr>
              <w:t xml:space="preserve">placówek systemu oświaty wykorzystujących sprzęt TIK do prowadzenia </w:t>
            </w:r>
            <w:r w:rsidRPr="00C22C26">
              <w:rPr>
                <w:rFonts w:cs="Calibri"/>
                <w:sz w:val="18"/>
                <w:szCs w:val="18"/>
              </w:rPr>
              <w:lastRenderedPageBreak/>
              <w:t>zajęć edukacyjnych</w:t>
            </w:r>
          </w:p>
        </w:tc>
        <w:tc>
          <w:tcPr>
            <w:tcW w:w="929" w:type="dxa"/>
            <w:shd w:val="clear" w:color="auto" w:fill="auto"/>
            <w:vAlign w:val="center"/>
          </w:tcPr>
          <w:p w14:paraId="5AF0DC56" w14:textId="77777777" w:rsidR="00291431" w:rsidRPr="00C22C26" w:rsidRDefault="00291431" w:rsidP="00370D80">
            <w:pPr>
              <w:jc w:val="center"/>
              <w:rPr>
                <w:rFonts w:cs="Calibri"/>
                <w:bCs/>
                <w:color w:val="000000"/>
                <w:sz w:val="18"/>
                <w:szCs w:val="18"/>
              </w:rPr>
            </w:pPr>
            <w:r w:rsidRPr="00C22C26">
              <w:rPr>
                <w:rFonts w:cs="Calibri"/>
                <w:sz w:val="18"/>
                <w:szCs w:val="18"/>
              </w:rPr>
              <w:lastRenderedPageBreak/>
              <w:t>97%</w:t>
            </w:r>
          </w:p>
          <w:p w14:paraId="6541B43E" w14:textId="77777777" w:rsidR="00291431" w:rsidRPr="00C22C26" w:rsidRDefault="00291431" w:rsidP="00370D80">
            <w:pPr>
              <w:jc w:val="center"/>
              <w:rPr>
                <w:rFonts w:cs="Calibri"/>
                <w:bCs/>
                <w:color w:val="000000"/>
                <w:sz w:val="18"/>
                <w:szCs w:val="18"/>
              </w:rPr>
            </w:pPr>
          </w:p>
        </w:tc>
        <w:tc>
          <w:tcPr>
            <w:tcW w:w="826" w:type="dxa"/>
            <w:vAlign w:val="center"/>
          </w:tcPr>
          <w:p w14:paraId="24ACA908" w14:textId="77777777" w:rsidR="00291431" w:rsidRPr="00C22C26" w:rsidRDefault="00291431" w:rsidP="00370D80">
            <w:pPr>
              <w:jc w:val="center"/>
              <w:rPr>
                <w:rFonts w:cs="Calibri"/>
                <w:sz w:val="18"/>
                <w:szCs w:val="18"/>
              </w:rPr>
            </w:pPr>
            <w:r w:rsidRPr="00C22C26">
              <w:rPr>
                <w:rFonts w:cs="Calibri"/>
                <w:sz w:val="18"/>
                <w:szCs w:val="18"/>
              </w:rPr>
              <w:t>%</w:t>
            </w:r>
          </w:p>
        </w:tc>
        <w:tc>
          <w:tcPr>
            <w:tcW w:w="974" w:type="dxa"/>
            <w:shd w:val="clear" w:color="auto" w:fill="auto"/>
            <w:vAlign w:val="center"/>
          </w:tcPr>
          <w:p w14:paraId="0EDD7113" w14:textId="77777777" w:rsidR="00291431" w:rsidRPr="00C22C26" w:rsidRDefault="00291431" w:rsidP="00370D80">
            <w:pPr>
              <w:jc w:val="center"/>
              <w:rPr>
                <w:rFonts w:cs="Calibri"/>
                <w:sz w:val="18"/>
                <w:szCs w:val="18"/>
              </w:rPr>
            </w:pPr>
            <w:r w:rsidRPr="00C22C26">
              <w:rPr>
                <w:rFonts w:cs="Calibri"/>
                <w:sz w:val="18"/>
                <w:szCs w:val="18"/>
              </w:rPr>
              <w:t>97,3%</w:t>
            </w:r>
          </w:p>
        </w:tc>
        <w:tc>
          <w:tcPr>
            <w:tcW w:w="974" w:type="dxa"/>
            <w:shd w:val="clear" w:color="auto" w:fill="auto"/>
            <w:vAlign w:val="center"/>
          </w:tcPr>
          <w:p w14:paraId="60479F39" w14:textId="77777777" w:rsidR="00291431" w:rsidRPr="00C22C26" w:rsidRDefault="00291431" w:rsidP="00370D80">
            <w:pPr>
              <w:jc w:val="center"/>
              <w:rPr>
                <w:rFonts w:cs="Calibri"/>
                <w:bCs/>
                <w:color w:val="000000"/>
                <w:sz w:val="18"/>
                <w:szCs w:val="18"/>
              </w:rPr>
            </w:pPr>
            <w:r w:rsidRPr="00C22C26">
              <w:rPr>
                <w:rFonts w:cs="Calibri"/>
                <w:sz w:val="18"/>
                <w:szCs w:val="18"/>
              </w:rPr>
              <w:t>100%</w:t>
            </w:r>
          </w:p>
        </w:tc>
        <w:tc>
          <w:tcPr>
            <w:tcW w:w="974" w:type="dxa"/>
            <w:shd w:val="clear" w:color="auto" w:fill="auto"/>
            <w:vAlign w:val="center"/>
          </w:tcPr>
          <w:p w14:paraId="36B425D3"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381BDA82" w14:textId="77777777" w:rsidR="00291431" w:rsidRPr="00C22C26" w:rsidRDefault="00291431" w:rsidP="00370D80">
            <w:pPr>
              <w:jc w:val="center"/>
              <w:rPr>
                <w:rFonts w:cs="Calibri"/>
                <w:bCs/>
                <w:color w:val="000000"/>
                <w:sz w:val="18"/>
                <w:szCs w:val="18"/>
              </w:rPr>
            </w:pPr>
            <w:r w:rsidRPr="00C22C26">
              <w:rPr>
                <w:rFonts w:cs="Calibri"/>
                <w:sz w:val="18"/>
                <w:szCs w:val="18"/>
              </w:rPr>
              <w:t>0%</w:t>
            </w:r>
          </w:p>
        </w:tc>
      </w:tr>
      <w:tr w:rsidR="00291431" w:rsidRPr="00CE4959" w14:paraId="3F1C036B" w14:textId="77777777" w:rsidTr="002B785E">
        <w:tc>
          <w:tcPr>
            <w:tcW w:w="974" w:type="dxa"/>
            <w:vAlign w:val="center"/>
          </w:tcPr>
          <w:p w14:paraId="03202CAD" w14:textId="77777777" w:rsidR="00291431" w:rsidRPr="00C22C26" w:rsidRDefault="00291431" w:rsidP="00370D80">
            <w:pPr>
              <w:jc w:val="center"/>
              <w:rPr>
                <w:rFonts w:cs="Calibri"/>
                <w:i/>
                <w:color w:val="000000"/>
                <w:sz w:val="18"/>
                <w:szCs w:val="18"/>
              </w:rPr>
            </w:pPr>
          </w:p>
        </w:tc>
        <w:tc>
          <w:tcPr>
            <w:tcW w:w="900" w:type="dxa"/>
            <w:vAlign w:val="center"/>
          </w:tcPr>
          <w:p w14:paraId="045E928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3B275EC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06B785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5F532F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AB0395F" w14:textId="77777777" w:rsidR="00291431" w:rsidRPr="00C22C26" w:rsidRDefault="00291431" w:rsidP="00370D80">
            <w:pPr>
              <w:jc w:val="center"/>
              <w:rPr>
                <w:rFonts w:cs="Calibri"/>
                <w:bCs/>
                <w:color w:val="000000"/>
                <w:sz w:val="18"/>
                <w:szCs w:val="18"/>
              </w:rPr>
            </w:pPr>
            <w:r w:rsidRPr="00C22C26">
              <w:rPr>
                <w:sz w:val="18"/>
                <w:szCs w:val="18"/>
              </w:rPr>
              <w:t>52</w:t>
            </w:r>
          </w:p>
        </w:tc>
        <w:tc>
          <w:tcPr>
            <w:tcW w:w="974" w:type="dxa"/>
            <w:shd w:val="clear" w:color="auto" w:fill="auto"/>
            <w:vAlign w:val="center"/>
          </w:tcPr>
          <w:p w14:paraId="2595A19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865F566"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7A84436F" w14:textId="77777777" w:rsidR="00291431" w:rsidRPr="00C22C26" w:rsidRDefault="00291431" w:rsidP="00370D80">
            <w:pPr>
              <w:jc w:val="center"/>
              <w:rPr>
                <w:rFonts w:cs="Calibri"/>
                <w:bCs/>
                <w:color w:val="000000"/>
                <w:sz w:val="18"/>
                <w:szCs w:val="18"/>
              </w:rPr>
            </w:pPr>
          </w:p>
        </w:tc>
      </w:tr>
      <w:tr w:rsidR="00291431" w:rsidRPr="00CE4959" w14:paraId="571650DD" w14:textId="77777777" w:rsidTr="002B785E">
        <w:tc>
          <w:tcPr>
            <w:tcW w:w="974" w:type="dxa"/>
            <w:vAlign w:val="center"/>
          </w:tcPr>
          <w:p w14:paraId="30BBF0B8" w14:textId="77777777" w:rsidR="00291431" w:rsidRPr="00C22C26" w:rsidRDefault="00291431" w:rsidP="00370D80">
            <w:pPr>
              <w:jc w:val="center"/>
              <w:rPr>
                <w:rFonts w:cs="Calibri"/>
                <w:i/>
                <w:color w:val="000000"/>
                <w:sz w:val="18"/>
                <w:szCs w:val="18"/>
              </w:rPr>
            </w:pPr>
          </w:p>
        </w:tc>
        <w:tc>
          <w:tcPr>
            <w:tcW w:w="900" w:type="dxa"/>
            <w:vAlign w:val="center"/>
          </w:tcPr>
          <w:p w14:paraId="350E9C4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0C8F57E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22BB3D2"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119E720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6886DCD" w14:textId="77777777" w:rsidR="00291431" w:rsidRPr="00C22C26" w:rsidRDefault="00291431" w:rsidP="00370D80">
            <w:pPr>
              <w:jc w:val="center"/>
              <w:rPr>
                <w:rFonts w:cs="Calibri"/>
                <w:bCs/>
                <w:color w:val="000000"/>
                <w:sz w:val="18"/>
                <w:szCs w:val="18"/>
              </w:rPr>
            </w:pPr>
            <w:r w:rsidRPr="00C22C26">
              <w:rPr>
                <w:sz w:val="18"/>
                <w:szCs w:val="18"/>
              </w:rPr>
              <w:t>66</w:t>
            </w:r>
          </w:p>
        </w:tc>
        <w:tc>
          <w:tcPr>
            <w:tcW w:w="974" w:type="dxa"/>
            <w:shd w:val="clear" w:color="auto" w:fill="auto"/>
            <w:vAlign w:val="center"/>
          </w:tcPr>
          <w:p w14:paraId="3AE9185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B582E75"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20FAF85A" w14:textId="77777777" w:rsidR="00291431" w:rsidRPr="00C22C26" w:rsidRDefault="00291431" w:rsidP="00370D80">
            <w:pPr>
              <w:jc w:val="center"/>
              <w:rPr>
                <w:rFonts w:cs="Calibri"/>
                <w:bCs/>
                <w:color w:val="000000"/>
                <w:sz w:val="18"/>
                <w:szCs w:val="18"/>
              </w:rPr>
            </w:pPr>
          </w:p>
        </w:tc>
      </w:tr>
      <w:tr w:rsidR="00291431" w:rsidRPr="00CE4959" w14:paraId="1BB6F7BF" w14:textId="77777777" w:rsidTr="002B785E">
        <w:tc>
          <w:tcPr>
            <w:tcW w:w="974" w:type="dxa"/>
            <w:vAlign w:val="center"/>
          </w:tcPr>
          <w:p w14:paraId="0E2902A8" w14:textId="77777777" w:rsidR="00291431" w:rsidRPr="00C22C26" w:rsidRDefault="00291431" w:rsidP="00370D80">
            <w:pPr>
              <w:jc w:val="center"/>
              <w:rPr>
                <w:rFonts w:cs="Calibri"/>
                <w:i/>
                <w:color w:val="000000"/>
                <w:sz w:val="18"/>
                <w:szCs w:val="18"/>
              </w:rPr>
            </w:pPr>
          </w:p>
        </w:tc>
        <w:tc>
          <w:tcPr>
            <w:tcW w:w="900" w:type="dxa"/>
            <w:vAlign w:val="center"/>
          </w:tcPr>
          <w:p w14:paraId="5657AEB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7CD75BFA"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6CF0856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23B66F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BE9C668" w14:textId="77777777" w:rsidR="00291431" w:rsidRPr="00C22C26" w:rsidRDefault="00291431" w:rsidP="00370D80">
            <w:pPr>
              <w:jc w:val="center"/>
              <w:rPr>
                <w:rFonts w:cs="Calibri"/>
                <w:bCs/>
                <w:color w:val="000000"/>
                <w:sz w:val="18"/>
                <w:szCs w:val="18"/>
              </w:rPr>
            </w:pPr>
            <w:r w:rsidRPr="00C22C26">
              <w:rPr>
                <w:sz w:val="18"/>
                <w:szCs w:val="18"/>
              </w:rPr>
              <w:t>33</w:t>
            </w:r>
          </w:p>
        </w:tc>
        <w:tc>
          <w:tcPr>
            <w:tcW w:w="974" w:type="dxa"/>
            <w:shd w:val="clear" w:color="auto" w:fill="auto"/>
            <w:vAlign w:val="center"/>
          </w:tcPr>
          <w:p w14:paraId="726D51D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6EA22BC"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3F4380F4" w14:textId="77777777" w:rsidR="00291431" w:rsidRPr="00C22C26" w:rsidRDefault="00291431" w:rsidP="00370D80">
            <w:pPr>
              <w:jc w:val="center"/>
              <w:rPr>
                <w:rFonts w:cs="Calibri"/>
                <w:bCs/>
                <w:color w:val="000000"/>
                <w:sz w:val="18"/>
                <w:szCs w:val="18"/>
              </w:rPr>
            </w:pPr>
          </w:p>
        </w:tc>
      </w:tr>
      <w:tr w:rsidR="00291431" w:rsidRPr="00CE4959" w14:paraId="6FF3CBAF" w14:textId="77777777" w:rsidTr="002B785E">
        <w:tc>
          <w:tcPr>
            <w:tcW w:w="974" w:type="dxa"/>
            <w:vAlign w:val="center"/>
          </w:tcPr>
          <w:p w14:paraId="554B0B77" w14:textId="77777777" w:rsidR="00291431" w:rsidRPr="00C22C26" w:rsidRDefault="00291431" w:rsidP="00370D80">
            <w:pPr>
              <w:jc w:val="center"/>
              <w:rPr>
                <w:rFonts w:cs="Calibri"/>
                <w:i/>
                <w:color w:val="000000"/>
                <w:sz w:val="18"/>
                <w:szCs w:val="18"/>
              </w:rPr>
            </w:pPr>
          </w:p>
        </w:tc>
        <w:tc>
          <w:tcPr>
            <w:tcW w:w="900" w:type="dxa"/>
            <w:vAlign w:val="center"/>
          </w:tcPr>
          <w:p w14:paraId="3B03AD1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17145BE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316226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3339F5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E73B999" w14:textId="77777777" w:rsidR="00291431" w:rsidRPr="00C22C26" w:rsidRDefault="00291431" w:rsidP="00370D80">
            <w:pPr>
              <w:jc w:val="center"/>
              <w:rPr>
                <w:rFonts w:cs="Calibri"/>
                <w:bCs/>
                <w:color w:val="000000"/>
                <w:sz w:val="18"/>
                <w:szCs w:val="18"/>
              </w:rPr>
            </w:pPr>
            <w:r w:rsidRPr="00C22C26">
              <w:rPr>
                <w:sz w:val="18"/>
                <w:szCs w:val="18"/>
              </w:rPr>
              <w:t>62</w:t>
            </w:r>
          </w:p>
        </w:tc>
        <w:tc>
          <w:tcPr>
            <w:tcW w:w="974" w:type="dxa"/>
            <w:shd w:val="clear" w:color="auto" w:fill="auto"/>
            <w:vAlign w:val="center"/>
          </w:tcPr>
          <w:p w14:paraId="68A404E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75C306F"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26BB0677" w14:textId="77777777" w:rsidR="00291431" w:rsidRPr="00C22C26" w:rsidRDefault="00291431" w:rsidP="00370D80">
            <w:pPr>
              <w:jc w:val="center"/>
              <w:rPr>
                <w:rFonts w:cs="Calibri"/>
                <w:bCs/>
                <w:color w:val="000000"/>
                <w:sz w:val="18"/>
                <w:szCs w:val="18"/>
              </w:rPr>
            </w:pPr>
          </w:p>
        </w:tc>
      </w:tr>
      <w:tr w:rsidR="00291431" w:rsidRPr="00CE4959" w14:paraId="46B84634" w14:textId="77777777" w:rsidTr="002B785E">
        <w:tc>
          <w:tcPr>
            <w:tcW w:w="974" w:type="dxa"/>
            <w:vAlign w:val="center"/>
          </w:tcPr>
          <w:p w14:paraId="76D9EB36" w14:textId="77777777" w:rsidR="00291431" w:rsidRPr="00C22C26" w:rsidRDefault="00291431" w:rsidP="00370D80">
            <w:pPr>
              <w:jc w:val="center"/>
              <w:rPr>
                <w:rFonts w:cs="Calibri"/>
                <w:i/>
                <w:color w:val="000000"/>
                <w:sz w:val="18"/>
                <w:szCs w:val="18"/>
              </w:rPr>
            </w:pPr>
            <w:r w:rsidRPr="00C22C26">
              <w:rPr>
                <w:sz w:val="18"/>
                <w:szCs w:val="18"/>
              </w:rPr>
              <w:t>WP</w:t>
            </w:r>
          </w:p>
        </w:tc>
        <w:tc>
          <w:tcPr>
            <w:tcW w:w="900" w:type="dxa"/>
            <w:vAlign w:val="center"/>
          </w:tcPr>
          <w:p w14:paraId="21217386"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1B59ADBB" w14:textId="77777777" w:rsidR="00291431" w:rsidRPr="00C22C26" w:rsidRDefault="00291431" w:rsidP="00C22C26">
            <w:pPr>
              <w:rPr>
                <w:rFonts w:cs="Calibri"/>
                <w:bCs/>
                <w:color w:val="000000"/>
                <w:sz w:val="18"/>
                <w:szCs w:val="18"/>
              </w:rPr>
            </w:pPr>
            <w:r w:rsidRPr="00C22C26">
              <w:rPr>
                <w:rFonts w:cs="Calibri"/>
                <w:sz w:val="18"/>
                <w:szCs w:val="18"/>
              </w:rPr>
              <w:t>Liczba szkół</w:t>
            </w:r>
            <w:r w:rsidR="00E66B89">
              <w:rPr>
                <w:rFonts w:cs="Calibri"/>
                <w:sz w:val="18"/>
                <w:szCs w:val="18"/>
              </w:rPr>
              <w:t xml:space="preserve"> i </w:t>
            </w:r>
            <w:r w:rsidRPr="00C22C26">
              <w:rPr>
                <w:rFonts w:cs="Calibri"/>
                <w:sz w:val="18"/>
                <w:szCs w:val="18"/>
              </w:rPr>
              <w:t>placówek systemu oświaty wyposażonych</w:t>
            </w:r>
            <w:r w:rsidR="00E66B89">
              <w:rPr>
                <w:rFonts w:cs="Calibri"/>
                <w:sz w:val="18"/>
                <w:szCs w:val="18"/>
              </w:rPr>
              <w:t xml:space="preserve"> w </w:t>
            </w:r>
            <w:r w:rsidRPr="00C22C26">
              <w:rPr>
                <w:rFonts w:cs="Calibri"/>
                <w:sz w:val="18"/>
                <w:szCs w:val="18"/>
              </w:rPr>
              <w:t>ramach programu</w:t>
            </w:r>
            <w:r w:rsidR="00E66B89">
              <w:rPr>
                <w:rFonts w:cs="Calibri"/>
                <w:sz w:val="18"/>
                <w:szCs w:val="18"/>
              </w:rPr>
              <w:t xml:space="preserve"> w </w:t>
            </w:r>
            <w:r w:rsidRPr="00C22C26">
              <w:rPr>
                <w:rFonts w:cs="Calibri"/>
                <w:sz w:val="18"/>
                <w:szCs w:val="18"/>
              </w:rPr>
              <w:t>sprzęt TIK do prowadzenia zajęć edukacyjnych</w:t>
            </w:r>
          </w:p>
        </w:tc>
        <w:tc>
          <w:tcPr>
            <w:tcW w:w="929" w:type="dxa"/>
            <w:shd w:val="clear" w:color="auto" w:fill="auto"/>
            <w:vAlign w:val="center"/>
          </w:tcPr>
          <w:p w14:paraId="5A6A8E70" w14:textId="77777777" w:rsidR="00291431" w:rsidRPr="00C22C26" w:rsidRDefault="00291431" w:rsidP="00370D80">
            <w:pPr>
              <w:jc w:val="center"/>
              <w:rPr>
                <w:rFonts w:cs="Calibri"/>
                <w:bCs/>
                <w:color w:val="000000"/>
                <w:sz w:val="18"/>
                <w:szCs w:val="18"/>
              </w:rPr>
            </w:pPr>
            <w:r w:rsidRPr="00C22C26">
              <w:rPr>
                <w:rFonts w:cs="Calibri"/>
                <w:sz w:val="18"/>
                <w:szCs w:val="18"/>
              </w:rPr>
              <w:t>80</w:t>
            </w:r>
          </w:p>
        </w:tc>
        <w:tc>
          <w:tcPr>
            <w:tcW w:w="826" w:type="dxa"/>
            <w:vAlign w:val="center"/>
          </w:tcPr>
          <w:p w14:paraId="44E73EAC" w14:textId="77777777" w:rsidR="00291431" w:rsidRPr="00C22C26" w:rsidRDefault="00291431" w:rsidP="00370D80">
            <w:pPr>
              <w:jc w:val="center"/>
              <w:rPr>
                <w:rFonts w:cs="Calibri"/>
                <w:bCs/>
                <w:color w:val="000000"/>
                <w:sz w:val="18"/>
                <w:szCs w:val="18"/>
              </w:rPr>
            </w:pPr>
            <w:r>
              <w:rPr>
                <w:rFonts w:cs="Calibri"/>
                <w:sz w:val="18"/>
                <w:szCs w:val="18"/>
              </w:rPr>
              <w:t>s</w:t>
            </w:r>
            <w:r w:rsidRPr="00C22C26">
              <w:rPr>
                <w:rFonts w:cs="Calibri"/>
                <w:sz w:val="18"/>
                <w:szCs w:val="18"/>
              </w:rPr>
              <w:t>zt</w:t>
            </w:r>
            <w:r>
              <w:rPr>
                <w:rFonts w:cs="Calibri"/>
                <w:sz w:val="18"/>
                <w:szCs w:val="18"/>
              </w:rPr>
              <w:t>.</w:t>
            </w:r>
          </w:p>
        </w:tc>
        <w:tc>
          <w:tcPr>
            <w:tcW w:w="974" w:type="dxa"/>
            <w:shd w:val="clear" w:color="auto" w:fill="auto"/>
            <w:vAlign w:val="center"/>
          </w:tcPr>
          <w:p w14:paraId="765C1A1B" w14:textId="77777777" w:rsidR="00291431" w:rsidRPr="00C22C26" w:rsidRDefault="00291431" w:rsidP="00370D80">
            <w:pPr>
              <w:jc w:val="center"/>
              <w:rPr>
                <w:rFonts w:cs="Calibri"/>
                <w:bCs/>
                <w:color w:val="000000"/>
                <w:sz w:val="18"/>
                <w:szCs w:val="18"/>
              </w:rPr>
            </w:pPr>
            <w:r w:rsidRPr="00C22C26">
              <w:rPr>
                <w:rFonts w:cs="Calibri"/>
                <w:sz w:val="18"/>
                <w:szCs w:val="18"/>
              </w:rPr>
              <w:t>219</w:t>
            </w:r>
          </w:p>
        </w:tc>
        <w:tc>
          <w:tcPr>
            <w:tcW w:w="974" w:type="dxa"/>
            <w:shd w:val="clear" w:color="auto" w:fill="auto"/>
            <w:vAlign w:val="center"/>
          </w:tcPr>
          <w:p w14:paraId="466284E7" w14:textId="77777777" w:rsidR="00291431" w:rsidRPr="00C22C26" w:rsidRDefault="00291431" w:rsidP="00370D80">
            <w:pPr>
              <w:jc w:val="center"/>
              <w:rPr>
                <w:rFonts w:cs="Calibri"/>
                <w:bCs/>
                <w:color w:val="000000"/>
                <w:sz w:val="18"/>
                <w:szCs w:val="18"/>
              </w:rPr>
            </w:pPr>
            <w:r w:rsidRPr="00C22C26">
              <w:rPr>
                <w:rFonts w:cs="Calibri"/>
                <w:sz w:val="18"/>
                <w:szCs w:val="18"/>
              </w:rPr>
              <w:t>274%</w:t>
            </w:r>
          </w:p>
        </w:tc>
        <w:tc>
          <w:tcPr>
            <w:tcW w:w="974" w:type="dxa"/>
            <w:shd w:val="clear" w:color="auto" w:fill="auto"/>
            <w:vAlign w:val="center"/>
          </w:tcPr>
          <w:p w14:paraId="4C917EF0" w14:textId="77777777" w:rsidR="00291431" w:rsidRPr="00C22C26" w:rsidRDefault="00291431" w:rsidP="00370D80">
            <w:pPr>
              <w:jc w:val="center"/>
              <w:rPr>
                <w:rFonts w:cs="Calibri"/>
                <w:bCs/>
                <w:color w:val="000000"/>
                <w:sz w:val="18"/>
                <w:szCs w:val="18"/>
              </w:rPr>
            </w:pPr>
            <w:r w:rsidRPr="00C22C26">
              <w:rPr>
                <w:rFonts w:cs="Calibri"/>
                <w:sz w:val="18"/>
                <w:szCs w:val="18"/>
              </w:rPr>
              <w:t>152</w:t>
            </w:r>
          </w:p>
        </w:tc>
        <w:tc>
          <w:tcPr>
            <w:tcW w:w="974" w:type="dxa"/>
            <w:shd w:val="clear" w:color="auto" w:fill="auto"/>
            <w:vAlign w:val="center"/>
          </w:tcPr>
          <w:p w14:paraId="04BFA20C" w14:textId="77777777" w:rsidR="00291431" w:rsidRPr="00C22C26" w:rsidRDefault="00291431" w:rsidP="00370D80">
            <w:pPr>
              <w:jc w:val="center"/>
              <w:rPr>
                <w:rFonts w:cs="Calibri"/>
                <w:bCs/>
                <w:color w:val="000000"/>
                <w:sz w:val="18"/>
                <w:szCs w:val="18"/>
              </w:rPr>
            </w:pPr>
            <w:r w:rsidRPr="00C22C26">
              <w:rPr>
                <w:rFonts w:cs="Calibri"/>
                <w:sz w:val="18"/>
                <w:szCs w:val="18"/>
              </w:rPr>
              <w:t>190%</w:t>
            </w:r>
          </w:p>
        </w:tc>
      </w:tr>
      <w:tr w:rsidR="00291431" w:rsidRPr="00CE4959" w14:paraId="5D104846" w14:textId="77777777" w:rsidTr="002B785E">
        <w:tc>
          <w:tcPr>
            <w:tcW w:w="974" w:type="dxa"/>
            <w:vAlign w:val="center"/>
          </w:tcPr>
          <w:p w14:paraId="266A1A4D" w14:textId="77777777" w:rsidR="00291431" w:rsidRPr="00C22C26" w:rsidRDefault="00291431" w:rsidP="00370D80">
            <w:pPr>
              <w:jc w:val="center"/>
              <w:rPr>
                <w:rFonts w:cs="Calibri"/>
                <w:i/>
                <w:color w:val="000000"/>
                <w:sz w:val="18"/>
                <w:szCs w:val="18"/>
              </w:rPr>
            </w:pPr>
          </w:p>
        </w:tc>
        <w:tc>
          <w:tcPr>
            <w:tcW w:w="900" w:type="dxa"/>
            <w:vAlign w:val="center"/>
          </w:tcPr>
          <w:p w14:paraId="4F7FB48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713E17A7"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61E55B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4CBCEB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9C5E5A0" w14:textId="77777777" w:rsidR="00291431" w:rsidRPr="00C22C26" w:rsidRDefault="00291431" w:rsidP="00370D80">
            <w:pPr>
              <w:jc w:val="center"/>
              <w:rPr>
                <w:rFonts w:cs="Calibri"/>
                <w:bCs/>
                <w:color w:val="000000"/>
                <w:sz w:val="18"/>
                <w:szCs w:val="18"/>
              </w:rPr>
            </w:pPr>
            <w:r w:rsidRPr="00C22C26">
              <w:rPr>
                <w:sz w:val="18"/>
                <w:szCs w:val="18"/>
              </w:rPr>
              <w:t>52</w:t>
            </w:r>
          </w:p>
        </w:tc>
        <w:tc>
          <w:tcPr>
            <w:tcW w:w="974" w:type="dxa"/>
            <w:shd w:val="clear" w:color="auto" w:fill="auto"/>
            <w:vAlign w:val="center"/>
          </w:tcPr>
          <w:p w14:paraId="5806E5D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BAD5F13" w14:textId="77777777" w:rsidR="00291431" w:rsidRPr="00C22C26" w:rsidRDefault="00291431" w:rsidP="00370D80">
            <w:pPr>
              <w:jc w:val="center"/>
              <w:rPr>
                <w:rFonts w:cs="Calibri"/>
                <w:bCs/>
                <w:color w:val="000000"/>
                <w:sz w:val="18"/>
                <w:szCs w:val="18"/>
              </w:rPr>
            </w:pPr>
            <w:r w:rsidRPr="00C22C26">
              <w:rPr>
                <w:sz w:val="18"/>
                <w:szCs w:val="18"/>
              </w:rPr>
              <w:t>41</w:t>
            </w:r>
          </w:p>
        </w:tc>
        <w:tc>
          <w:tcPr>
            <w:tcW w:w="974" w:type="dxa"/>
            <w:shd w:val="clear" w:color="auto" w:fill="auto"/>
            <w:vAlign w:val="center"/>
          </w:tcPr>
          <w:p w14:paraId="6525252E" w14:textId="77777777" w:rsidR="00291431" w:rsidRPr="00C22C26" w:rsidRDefault="00291431" w:rsidP="00370D80">
            <w:pPr>
              <w:jc w:val="center"/>
              <w:rPr>
                <w:rFonts w:cs="Calibri"/>
                <w:bCs/>
                <w:color w:val="000000"/>
                <w:sz w:val="18"/>
                <w:szCs w:val="18"/>
              </w:rPr>
            </w:pPr>
          </w:p>
        </w:tc>
      </w:tr>
      <w:tr w:rsidR="00291431" w:rsidRPr="00CE4959" w14:paraId="74525EB1" w14:textId="77777777" w:rsidTr="002B785E">
        <w:tc>
          <w:tcPr>
            <w:tcW w:w="974" w:type="dxa"/>
            <w:vAlign w:val="center"/>
          </w:tcPr>
          <w:p w14:paraId="54B19B37" w14:textId="77777777" w:rsidR="00291431" w:rsidRPr="00C22C26" w:rsidRDefault="00291431" w:rsidP="00370D80">
            <w:pPr>
              <w:jc w:val="center"/>
              <w:rPr>
                <w:rFonts w:cs="Calibri"/>
                <w:i/>
                <w:color w:val="000000"/>
                <w:sz w:val="18"/>
                <w:szCs w:val="18"/>
              </w:rPr>
            </w:pPr>
          </w:p>
        </w:tc>
        <w:tc>
          <w:tcPr>
            <w:tcW w:w="900" w:type="dxa"/>
            <w:vAlign w:val="center"/>
          </w:tcPr>
          <w:p w14:paraId="3C9C7B80"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5A3AB44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9227B9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AEBC5A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20AEFFD" w14:textId="77777777" w:rsidR="00291431" w:rsidRPr="00C22C26" w:rsidRDefault="00291431" w:rsidP="00370D80">
            <w:pPr>
              <w:jc w:val="center"/>
              <w:rPr>
                <w:rFonts w:cs="Calibri"/>
                <w:bCs/>
                <w:color w:val="000000"/>
                <w:sz w:val="18"/>
                <w:szCs w:val="18"/>
              </w:rPr>
            </w:pPr>
            <w:r w:rsidRPr="00C22C26">
              <w:rPr>
                <w:sz w:val="18"/>
                <w:szCs w:val="18"/>
              </w:rPr>
              <w:t>68</w:t>
            </w:r>
          </w:p>
        </w:tc>
        <w:tc>
          <w:tcPr>
            <w:tcW w:w="974" w:type="dxa"/>
            <w:shd w:val="clear" w:color="auto" w:fill="auto"/>
            <w:vAlign w:val="center"/>
          </w:tcPr>
          <w:p w14:paraId="18A57F9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01CDD63" w14:textId="77777777" w:rsidR="00291431" w:rsidRPr="00C22C26" w:rsidRDefault="00291431" w:rsidP="00370D80">
            <w:pPr>
              <w:jc w:val="center"/>
              <w:rPr>
                <w:rFonts w:cs="Calibri"/>
                <w:bCs/>
                <w:color w:val="000000"/>
                <w:sz w:val="18"/>
                <w:szCs w:val="18"/>
              </w:rPr>
            </w:pPr>
            <w:r w:rsidRPr="00C22C26">
              <w:rPr>
                <w:sz w:val="18"/>
                <w:szCs w:val="18"/>
              </w:rPr>
              <w:t>23</w:t>
            </w:r>
          </w:p>
        </w:tc>
        <w:tc>
          <w:tcPr>
            <w:tcW w:w="974" w:type="dxa"/>
            <w:shd w:val="clear" w:color="auto" w:fill="auto"/>
            <w:vAlign w:val="center"/>
          </w:tcPr>
          <w:p w14:paraId="0E65D96A" w14:textId="77777777" w:rsidR="00291431" w:rsidRPr="00C22C26" w:rsidRDefault="00291431" w:rsidP="00370D80">
            <w:pPr>
              <w:jc w:val="center"/>
              <w:rPr>
                <w:rFonts w:cs="Calibri"/>
                <w:bCs/>
                <w:color w:val="000000"/>
                <w:sz w:val="18"/>
                <w:szCs w:val="18"/>
              </w:rPr>
            </w:pPr>
          </w:p>
        </w:tc>
      </w:tr>
      <w:tr w:rsidR="00291431" w:rsidRPr="00CE4959" w14:paraId="0EBF76FE" w14:textId="77777777" w:rsidTr="002B785E">
        <w:tc>
          <w:tcPr>
            <w:tcW w:w="974" w:type="dxa"/>
            <w:vAlign w:val="center"/>
          </w:tcPr>
          <w:p w14:paraId="1707AC6E" w14:textId="77777777" w:rsidR="00291431" w:rsidRPr="00C22C26" w:rsidRDefault="00291431" w:rsidP="00370D80">
            <w:pPr>
              <w:jc w:val="center"/>
              <w:rPr>
                <w:rFonts w:cs="Calibri"/>
                <w:i/>
                <w:color w:val="000000"/>
                <w:sz w:val="18"/>
                <w:szCs w:val="18"/>
              </w:rPr>
            </w:pPr>
          </w:p>
        </w:tc>
        <w:tc>
          <w:tcPr>
            <w:tcW w:w="900" w:type="dxa"/>
            <w:vAlign w:val="center"/>
          </w:tcPr>
          <w:p w14:paraId="1C6EC2D1"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60349102"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BABE5B2"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C97D40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7AED044" w14:textId="77777777" w:rsidR="00291431" w:rsidRPr="00C22C26" w:rsidRDefault="00291431" w:rsidP="00370D80">
            <w:pPr>
              <w:jc w:val="center"/>
              <w:rPr>
                <w:rFonts w:cs="Calibri"/>
                <w:bCs/>
                <w:color w:val="000000"/>
                <w:sz w:val="18"/>
                <w:szCs w:val="18"/>
              </w:rPr>
            </w:pPr>
            <w:r w:rsidRPr="00C22C26">
              <w:rPr>
                <w:sz w:val="18"/>
                <w:szCs w:val="18"/>
              </w:rPr>
              <w:t>33</w:t>
            </w:r>
          </w:p>
        </w:tc>
        <w:tc>
          <w:tcPr>
            <w:tcW w:w="974" w:type="dxa"/>
            <w:shd w:val="clear" w:color="auto" w:fill="auto"/>
            <w:vAlign w:val="center"/>
          </w:tcPr>
          <w:p w14:paraId="28787694"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069D63F" w14:textId="77777777" w:rsidR="00291431" w:rsidRPr="00C22C26" w:rsidRDefault="00291431" w:rsidP="00370D80">
            <w:pPr>
              <w:jc w:val="center"/>
              <w:rPr>
                <w:rFonts w:cs="Calibri"/>
                <w:bCs/>
                <w:color w:val="000000"/>
                <w:sz w:val="18"/>
                <w:szCs w:val="18"/>
              </w:rPr>
            </w:pPr>
            <w:r w:rsidRPr="00C22C26">
              <w:rPr>
                <w:sz w:val="18"/>
                <w:szCs w:val="18"/>
              </w:rPr>
              <w:t>30</w:t>
            </w:r>
          </w:p>
        </w:tc>
        <w:tc>
          <w:tcPr>
            <w:tcW w:w="974" w:type="dxa"/>
            <w:shd w:val="clear" w:color="auto" w:fill="auto"/>
            <w:vAlign w:val="center"/>
          </w:tcPr>
          <w:p w14:paraId="674CF77D" w14:textId="77777777" w:rsidR="00291431" w:rsidRPr="00C22C26" w:rsidRDefault="00291431" w:rsidP="00370D80">
            <w:pPr>
              <w:jc w:val="center"/>
              <w:rPr>
                <w:rFonts w:cs="Calibri"/>
                <w:bCs/>
                <w:color w:val="000000"/>
                <w:sz w:val="18"/>
                <w:szCs w:val="18"/>
              </w:rPr>
            </w:pPr>
          </w:p>
        </w:tc>
      </w:tr>
      <w:tr w:rsidR="00291431" w:rsidRPr="00CE4959" w14:paraId="0E0F756C" w14:textId="77777777" w:rsidTr="002B785E">
        <w:tc>
          <w:tcPr>
            <w:tcW w:w="974" w:type="dxa"/>
            <w:vAlign w:val="center"/>
          </w:tcPr>
          <w:p w14:paraId="6244960F" w14:textId="77777777" w:rsidR="00291431" w:rsidRPr="00C22C26" w:rsidRDefault="00291431" w:rsidP="00370D80">
            <w:pPr>
              <w:jc w:val="center"/>
              <w:rPr>
                <w:rFonts w:cs="Calibri"/>
                <w:i/>
                <w:color w:val="000000"/>
                <w:sz w:val="18"/>
                <w:szCs w:val="18"/>
              </w:rPr>
            </w:pPr>
          </w:p>
        </w:tc>
        <w:tc>
          <w:tcPr>
            <w:tcW w:w="900" w:type="dxa"/>
            <w:vAlign w:val="center"/>
          </w:tcPr>
          <w:p w14:paraId="7C3DA89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6479C5AE"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EA184C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5703EC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E24583E" w14:textId="77777777" w:rsidR="00291431" w:rsidRPr="00C22C26" w:rsidRDefault="00291431" w:rsidP="00370D80">
            <w:pPr>
              <w:jc w:val="center"/>
              <w:rPr>
                <w:rFonts w:cs="Calibri"/>
                <w:bCs/>
                <w:color w:val="000000"/>
                <w:sz w:val="18"/>
                <w:szCs w:val="18"/>
              </w:rPr>
            </w:pPr>
            <w:r w:rsidRPr="00C22C26">
              <w:rPr>
                <w:sz w:val="18"/>
                <w:szCs w:val="18"/>
              </w:rPr>
              <w:t>66</w:t>
            </w:r>
          </w:p>
        </w:tc>
        <w:tc>
          <w:tcPr>
            <w:tcW w:w="974" w:type="dxa"/>
            <w:shd w:val="clear" w:color="auto" w:fill="auto"/>
            <w:vAlign w:val="center"/>
          </w:tcPr>
          <w:p w14:paraId="135A0C1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08F2986" w14:textId="77777777" w:rsidR="00291431" w:rsidRPr="00C22C26" w:rsidRDefault="00291431" w:rsidP="00370D80">
            <w:pPr>
              <w:jc w:val="center"/>
              <w:rPr>
                <w:rFonts w:cs="Calibri"/>
                <w:bCs/>
                <w:color w:val="000000"/>
                <w:sz w:val="18"/>
                <w:szCs w:val="18"/>
              </w:rPr>
            </w:pPr>
            <w:r w:rsidRPr="00C22C26">
              <w:rPr>
                <w:sz w:val="18"/>
                <w:szCs w:val="18"/>
              </w:rPr>
              <w:t>58</w:t>
            </w:r>
          </w:p>
        </w:tc>
        <w:tc>
          <w:tcPr>
            <w:tcW w:w="974" w:type="dxa"/>
            <w:shd w:val="clear" w:color="auto" w:fill="auto"/>
            <w:vAlign w:val="center"/>
          </w:tcPr>
          <w:p w14:paraId="0F38B89F" w14:textId="77777777" w:rsidR="00291431" w:rsidRPr="00C22C26" w:rsidRDefault="00291431" w:rsidP="00370D80">
            <w:pPr>
              <w:jc w:val="center"/>
              <w:rPr>
                <w:rFonts w:cs="Calibri"/>
                <w:bCs/>
                <w:color w:val="000000"/>
                <w:sz w:val="18"/>
                <w:szCs w:val="18"/>
              </w:rPr>
            </w:pPr>
          </w:p>
        </w:tc>
      </w:tr>
      <w:tr w:rsidR="00291431" w:rsidRPr="00CE4959" w14:paraId="530064E8" w14:textId="77777777" w:rsidTr="002B785E">
        <w:tc>
          <w:tcPr>
            <w:tcW w:w="974" w:type="dxa"/>
            <w:vAlign w:val="center"/>
          </w:tcPr>
          <w:p w14:paraId="02185E0F" w14:textId="77777777" w:rsidR="00291431" w:rsidRPr="00C22C26" w:rsidRDefault="00291431" w:rsidP="00370D80">
            <w:pPr>
              <w:jc w:val="center"/>
              <w:rPr>
                <w:rFonts w:cs="Calibri"/>
                <w:i/>
                <w:color w:val="000000"/>
                <w:sz w:val="18"/>
                <w:szCs w:val="18"/>
              </w:rPr>
            </w:pPr>
            <w:r w:rsidRPr="00C22C26">
              <w:rPr>
                <w:sz w:val="18"/>
                <w:szCs w:val="18"/>
              </w:rPr>
              <w:t>WP</w:t>
            </w:r>
          </w:p>
        </w:tc>
        <w:tc>
          <w:tcPr>
            <w:tcW w:w="900" w:type="dxa"/>
            <w:vAlign w:val="center"/>
          </w:tcPr>
          <w:p w14:paraId="7BDD088D"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699DFA07" w14:textId="77777777" w:rsidR="00291431" w:rsidRPr="00C22C26" w:rsidRDefault="00291431" w:rsidP="00C22C26">
            <w:pPr>
              <w:rPr>
                <w:rFonts w:cs="Calibri"/>
                <w:bCs/>
                <w:color w:val="000000"/>
                <w:sz w:val="18"/>
                <w:szCs w:val="18"/>
              </w:rPr>
            </w:pPr>
            <w:r w:rsidRPr="00C22C26">
              <w:rPr>
                <w:rFonts w:cs="Calibri"/>
                <w:sz w:val="18"/>
                <w:szCs w:val="18"/>
              </w:rPr>
              <w:t>Liczba szkół, których pracownie przedmiotowe zostały doposażone</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6C8DCDF5" w14:textId="77777777" w:rsidR="00291431" w:rsidRPr="00C22C26" w:rsidRDefault="00291431" w:rsidP="00370D80">
            <w:pPr>
              <w:jc w:val="center"/>
              <w:rPr>
                <w:rFonts w:cs="Calibri"/>
                <w:bCs/>
                <w:color w:val="000000"/>
                <w:sz w:val="18"/>
                <w:szCs w:val="18"/>
              </w:rPr>
            </w:pPr>
            <w:r w:rsidRPr="00C22C26">
              <w:rPr>
                <w:rFonts w:cs="Calibri"/>
                <w:sz w:val="18"/>
                <w:szCs w:val="18"/>
              </w:rPr>
              <w:t>124</w:t>
            </w:r>
          </w:p>
        </w:tc>
        <w:tc>
          <w:tcPr>
            <w:tcW w:w="826" w:type="dxa"/>
            <w:vAlign w:val="center"/>
          </w:tcPr>
          <w:p w14:paraId="17233408" w14:textId="77777777" w:rsidR="00291431" w:rsidRPr="00C22C26" w:rsidRDefault="00291431" w:rsidP="00370D80">
            <w:pPr>
              <w:jc w:val="center"/>
              <w:rPr>
                <w:rFonts w:cs="Calibri"/>
                <w:bCs/>
                <w:color w:val="000000"/>
                <w:sz w:val="18"/>
                <w:szCs w:val="18"/>
              </w:rPr>
            </w:pPr>
            <w:r>
              <w:rPr>
                <w:rFonts w:cs="Calibri"/>
                <w:sz w:val="18"/>
                <w:szCs w:val="18"/>
              </w:rPr>
              <w:t>s</w:t>
            </w:r>
            <w:r w:rsidRPr="00C22C26">
              <w:rPr>
                <w:rFonts w:cs="Calibri"/>
                <w:sz w:val="18"/>
                <w:szCs w:val="18"/>
              </w:rPr>
              <w:t>zt.</w:t>
            </w:r>
          </w:p>
        </w:tc>
        <w:tc>
          <w:tcPr>
            <w:tcW w:w="974" w:type="dxa"/>
            <w:shd w:val="clear" w:color="auto" w:fill="auto"/>
            <w:vAlign w:val="center"/>
          </w:tcPr>
          <w:p w14:paraId="3C8FCC7B" w14:textId="77777777" w:rsidR="00291431" w:rsidRPr="00C22C26" w:rsidRDefault="00291431" w:rsidP="00370D80">
            <w:pPr>
              <w:jc w:val="center"/>
              <w:rPr>
                <w:rFonts w:cs="Calibri"/>
                <w:bCs/>
                <w:color w:val="000000"/>
                <w:sz w:val="18"/>
                <w:szCs w:val="18"/>
              </w:rPr>
            </w:pPr>
            <w:r w:rsidRPr="00C22C26">
              <w:rPr>
                <w:rFonts w:cs="Calibri"/>
                <w:sz w:val="18"/>
                <w:szCs w:val="18"/>
              </w:rPr>
              <w:t>225</w:t>
            </w:r>
          </w:p>
        </w:tc>
        <w:tc>
          <w:tcPr>
            <w:tcW w:w="974" w:type="dxa"/>
            <w:shd w:val="clear" w:color="auto" w:fill="auto"/>
            <w:vAlign w:val="center"/>
          </w:tcPr>
          <w:p w14:paraId="73A45FA6" w14:textId="77777777" w:rsidR="00291431" w:rsidRPr="00C22C26" w:rsidRDefault="00291431" w:rsidP="00370D80">
            <w:pPr>
              <w:jc w:val="center"/>
              <w:rPr>
                <w:rFonts w:cs="Calibri"/>
                <w:bCs/>
                <w:color w:val="000000"/>
                <w:sz w:val="18"/>
                <w:szCs w:val="18"/>
              </w:rPr>
            </w:pPr>
            <w:r w:rsidRPr="00C22C26">
              <w:rPr>
                <w:rFonts w:cs="Calibri"/>
                <w:sz w:val="18"/>
                <w:szCs w:val="18"/>
              </w:rPr>
              <w:t>181%</w:t>
            </w:r>
          </w:p>
        </w:tc>
        <w:tc>
          <w:tcPr>
            <w:tcW w:w="974" w:type="dxa"/>
            <w:shd w:val="clear" w:color="auto" w:fill="auto"/>
            <w:vAlign w:val="center"/>
          </w:tcPr>
          <w:p w14:paraId="03F662C3" w14:textId="77777777" w:rsidR="00291431" w:rsidRPr="00C22C26" w:rsidRDefault="00291431" w:rsidP="00370D80">
            <w:pPr>
              <w:jc w:val="center"/>
              <w:rPr>
                <w:rFonts w:cs="Calibri"/>
                <w:bCs/>
                <w:color w:val="000000"/>
                <w:sz w:val="18"/>
                <w:szCs w:val="18"/>
              </w:rPr>
            </w:pPr>
            <w:r w:rsidRPr="00C22C26">
              <w:rPr>
                <w:rFonts w:cs="Calibri"/>
                <w:sz w:val="18"/>
                <w:szCs w:val="18"/>
              </w:rPr>
              <w:t>134</w:t>
            </w:r>
          </w:p>
        </w:tc>
        <w:tc>
          <w:tcPr>
            <w:tcW w:w="974" w:type="dxa"/>
            <w:shd w:val="clear" w:color="auto" w:fill="auto"/>
            <w:vAlign w:val="center"/>
          </w:tcPr>
          <w:p w14:paraId="1E378545" w14:textId="77777777" w:rsidR="00291431" w:rsidRPr="00C22C26" w:rsidRDefault="00291431" w:rsidP="00370D80">
            <w:pPr>
              <w:jc w:val="center"/>
              <w:rPr>
                <w:rFonts w:cs="Calibri"/>
                <w:bCs/>
                <w:color w:val="000000"/>
                <w:sz w:val="18"/>
                <w:szCs w:val="18"/>
              </w:rPr>
            </w:pPr>
            <w:r w:rsidRPr="00C22C26">
              <w:rPr>
                <w:rFonts w:cs="Calibri"/>
                <w:sz w:val="18"/>
                <w:szCs w:val="18"/>
              </w:rPr>
              <w:t>108%</w:t>
            </w:r>
          </w:p>
        </w:tc>
      </w:tr>
      <w:tr w:rsidR="00291431" w:rsidRPr="00CE4959" w14:paraId="08918775" w14:textId="77777777" w:rsidTr="002B785E">
        <w:tc>
          <w:tcPr>
            <w:tcW w:w="974" w:type="dxa"/>
            <w:vAlign w:val="center"/>
          </w:tcPr>
          <w:p w14:paraId="512C0500" w14:textId="77777777" w:rsidR="00291431" w:rsidRPr="00C22C26" w:rsidRDefault="00291431" w:rsidP="00370D80">
            <w:pPr>
              <w:jc w:val="center"/>
              <w:rPr>
                <w:rFonts w:cs="Calibri"/>
                <w:i/>
                <w:color w:val="000000"/>
                <w:sz w:val="18"/>
                <w:szCs w:val="18"/>
              </w:rPr>
            </w:pPr>
          </w:p>
        </w:tc>
        <w:tc>
          <w:tcPr>
            <w:tcW w:w="900" w:type="dxa"/>
            <w:vAlign w:val="center"/>
          </w:tcPr>
          <w:p w14:paraId="20C8C05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5087C6A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3DD214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55373F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D95BC20" w14:textId="77777777" w:rsidR="00291431" w:rsidRPr="00C22C26" w:rsidRDefault="00291431" w:rsidP="00370D80">
            <w:pPr>
              <w:jc w:val="center"/>
              <w:rPr>
                <w:rFonts w:cs="Calibri"/>
                <w:bCs/>
                <w:color w:val="000000"/>
                <w:sz w:val="18"/>
                <w:szCs w:val="18"/>
              </w:rPr>
            </w:pPr>
            <w:r w:rsidRPr="00C22C26">
              <w:rPr>
                <w:sz w:val="18"/>
                <w:szCs w:val="18"/>
              </w:rPr>
              <w:t>53</w:t>
            </w:r>
          </w:p>
        </w:tc>
        <w:tc>
          <w:tcPr>
            <w:tcW w:w="974" w:type="dxa"/>
            <w:shd w:val="clear" w:color="auto" w:fill="auto"/>
            <w:vAlign w:val="center"/>
          </w:tcPr>
          <w:p w14:paraId="745F043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C30D3A4" w14:textId="77777777" w:rsidR="00291431" w:rsidRPr="00C22C26" w:rsidRDefault="00291431" w:rsidP="00370D80">
            <w:pPr>
              <w:jc w:val="center"/>
              <w:rPr>
                <w:rFonts w:cs="Calibri"/>
                <w:bCs/>
                <w:color w:val="000000"/>
                <w:sz w:val="18"/>
                <w:szCs w:val="18"/>
              </w:rPr>
            </w:pPr>
            <w:r w:rsidRPr="00C22C26">
              <w:rPr>
                <w:sz w:val="18"/>
                <w:szCs w:val="18"/>
              </w:rPr>
              <w:t>36</w:t>
            </w:r>
          </w:p>
        </w:tc>
        <w:tc>
          <w:tcPr>
            <w:tcW w:w="974" w:type="dxa"/>
            <w:shd w:val="clear" w:color="auto" w:fill="auto"/>
            <w:vAlign w:val="center"/>
          </w:tcPr>
          <w:p w14:paraId="783446EA" w14:textId="77777777" w:rsidR="00291431" w:rsidRPr="00C22C26" w:rsidRDefault="00291431" w:rsidP="00370D80">
            <w:pPr>
              <w:jc w:val="center"/>
              <w:rPr>
                <w:rFonts w:cs="Calibri"/>
                <w:bCs/>
                <w:color w:val="000000"/>
                <w:sz w:val="18"/>
                <w:szCs w:val="18"/>
              </w:rPr>
            </w:pPr>
          </w:p>
        </w:tc>
      </w:tr>
      <w:tr w:rsidR="00291431" w:rsidRPr="00CE4959" w14:paraId="1A1284E1" w14:textId="77777777" w:rsidTr="002B785E">
        <w:tc>
          <w:tcPr>
            <w:tcW w:w="974" w:type="dxa"/>
            <w:vAlign w:val="center"/>
          </w:tcPr>
          <w:p w14:paraId="52063E23" w14:textId="77777777" w:rsidR="00291431" w:rsidRPr="00C22C26" w:rsidRDefault="00291431" w:rsidP="00370D80">
            <w:pPr>
              <w:jc w:val="center"/>
              <w:rPr>
                <w:rFonts w:cs="Calibri"/>
                <w:i/>
                <w:color w:val="000000"/>
                <w:sz w:val="18"/>
                <w:szCs w:val="18"/>
              </w:rPr>
            </w:pPr>
          </w:p>
        </w:tc>
        <w:tc>
          <w:tcPr>
            <w:tcW w:w="900" w:type="dxa"/>
            <w:vAlign w:val="center"/>
          </w:tcPr>
          <w:p w14:paraId="548AAC1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66F9C7D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774BE9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74BFF91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3C3286B" w14:textId="77777777" w:rsidR="00291431" w:rsidRPr="00C22C26" w:rsidRDefault="00291431" w:rsidP="00370D80">
            <w:pPr>
              <w:jc w:val="center"/>
              <w:rPr>
                <w:rFonts w:cs="Calibri"/>
                <w:bCs/>
                <w:color w:val="000000"/>
                <w:sz w:val="18"/>
                <w:szCs w:val="18"/>
              </w:rPr>
            </w:pPr>
            <w:r w:rsidRPr="00C22C26">
              <w:rPr>
                <w:sz w:val="18"/>
                <w:szCs w:val="18"/>
              </w:rPr>
              <w:t>72</w:t>
            </w:r>
          </w:p>
        </w:tc>
        <w:tc>
          <w:tcPr>
            <w:tcW w:w="974" w:type="dxa"/>
            <w:shd w:val="clear" w:color="auto" w:fill="auto"/>
            <w:vAlign w:val="center"/>
          </w:tcPr>
          <w:p w14:paraId="70F2548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BA1C012" w14:textId="77777777" w:rsidR="00291431" w:rsidRPr="00C22C26" w:rsidRDefault="00291431" w:rsidP="00370D80">
            <w:pPr>
              <w:jc w:val="center"/>
              <w:rPr>
                <w:rFonts w:cs="Calibri"/>
                <w:bCs/>
                <w:color w:val="000000"/>
                <w:sz w:val="18"/>
                <w:szCs w:val="18"/>
              </w:rPr>
            </w:pPr>
            <w:r w:rsidRPr="00C22C26">
              <w:rPr>
                <w:sz w:val="18"/>
                <w:szCs w:val="18"/>
              </w:rPr>
              <w:t>19</w:t>
            </w:r>
          </w:p>
        </w:tc>
        <w:tc>
          <w:tcPr>
            <w:tcW w:w="974" w:type="dxa"/>
            <w:shd w:val="clear" w:color="auto" w:fill="auto"/>
            <w:vAlign w:val="center"/>
          </w:tcPr>
          <w:p w14:paraId="2752444A" w14:textId="77777777" w:rsidR="00291431" w:rsidRPr="00C22C26" w:rsidRDefault="00291431" w:rsidP="00370D80">
            <w:pPr>
              <w:jc w:val="center"/>
              <w:rPr>
                <w:rFonts w:cs="Calibri"/>
                <w:bCs/>
                <w:color w:val="000000"/>
                <w:sz w:val="18"/>
                <w:szCs w:val="18"/>
              </w:rPr>
            </w:pPr>
          </w:p>
        </w:tc>
      </w:tr>
      <w:tr w:rsidR="00291431" w:rsidRPr="00CE4959" w14:paraId="0F2C3E97" w14:textId="77777777" w:rsidTr="002B785E">
        <w:tc>
          <w:tcPr>
            <w:tcW w:w="974" w:type="dxa"/>
            <w:vAlign w:val="center"/>
          </w:tcPr>
          <w:p w14:paraId="538075D7" w14:textId="77777777" w:rsidR="00291431" w:rsidRPr="00C22C26" w:rsidRDefault="00291431" w:rsidP="00370D80">
            <w:pPr>
              <w:jc w:val="center"/>
              <w:rPr>
                <w:rFonts w:cs="Calibri"/>
                <w:i/>
                <w:color w:val="000000"/>
                <w:sz w:val="18"/>
                <w:szCs w:val="18"/>
              </w:rPr>
            </w:pPr>
          </w:p>
        </w:tc>
        <w:tc>
          <w:tcPr>
            <w:tcW w:w="900" w:type="dxa"/>
            <w:vAlign w:val="center"/>
          </w:tcPr>
          <w:p w14:paraId="0235AB9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6004D50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46DACE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6E8F540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B97E4F8" w14:textId="77777777" w:rsidR="00291431" w:rsidRPr="00C22C26" w:rsidRDefault="00291431" w:rsidP="00370D80">
            <w:pPr>
              <w:jc w:val="center"/>
              <w:rPr>
                <w:rFonts w:cs="Calibri"/>
                <w:bCs/>
                <w:color w:val="000000"/>
                <w:sz w:val="18"/>
                <w:szCs w:val="18"/>
              </w:rPr>
            </w:pPr>
            <w:r w:rsidRPr="00C22C26">
              <w:rPr>
                <w:sz w:val="18"/>
                <w:szCs w:val="18"/>
              </w:rPr>
              <w:t>34</w:t>
            </w:r>
          </w:p>
        </w:tc>
        <w:tc>
          <w:tcPr>
            <w:tcW w:w="974" w:type="dxa"/>
            <w:shd w:val="clear" w:color="auto" w:fill="auto"/>
            <w:vAlign w:val="center"/>
          </w:tcPr>
          <w:p w14:paraId="5D37AFC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C5F02D1" w14:textId="77777777" w:rsidR="00291431" w:rsidRPr="00C22C26" w:rsidRDefault="00291431" w:rsidP="00370D80">
            <w:pPr>
              <w:jc w:val="center"/>
              <w:rPr>
                <w:rFonts w:cs="Calibri"/>
                <w:bCs/>
                <w:color w:val="000000"/>
                <w:sz w:val="18"/>
                <w:szCs w:val="18"/>
              </w:rPr>
            </w:pPr>
            <w:r w:rsidRPr="00C22C26">
              <w:rPr>
                <w:sz w:val="18"/>
                <w:szCs w:val="18"/>
              </w:rPr>
              <w:t>29</w:t>
            </w:r>
          </w:p>
        </w:tc>
        <w:tc>
          <w:tcPr>
            <w:tcW w:w="974" w:type="dxa"/>
            <w:shd w:val="clear" w:color="auto" w:fill="auto"/>
            <w:vAlign w:val="center"/>
          </w:tcPr>
          <w:p w14:paraId="23FBD522" w14:textId="77777777" w:rsidR="00291431" w:rsidRPr="00C22C26" w:rsidRDefault="00291431" w:rsidP="00370D80">
            <w:pPr>
              <w:jc w:val="center"/>
              <w:rPr>
                <w:rFonts w:cs="Calibri"/>
                <w:bCs/>
                <w:color w:val="000000"/>
                <w:sz w:val="18"/>
                <w:szCs w:val="18"/>
              </w:rPr>
            </w:pPr>
          </w:p>
        </w:tc>
      </w:tr>
      <w:tr w:rsidR="00291431" w:rsidRPr="00CE4959" w14:paraId="78B8503E" w14:textId="77777777" w:rsidTr="002B785E">
        <w:tc>
          <w:tcPr>
            <w:tcW w:w="974" w:type="dxa"/>
            <w:vAlign w:val="center"/>
          </w:tcPr>
          <w:p w14:paraId="2F69D40A" w14:textId="77777777" w:rsidR="00291431" w:rsidRPr="00C22C26" w:rsidRDefault="00291431" w:rsidP="00370D80">
            <w:pPr>
              <w:jc w:val="center"/>
              <w:rPr>
                <w:rFonts w:cs="Calibri"/>
                <w:i/>
                <w:color w:val="000000"/>
                <w:sz w:val="18"/>
                <w:szCs w:val="18"/>
              </w:rPr>
            </w:pPr>
          </w:p>
        </w:tc>
        <w:tc>
          <w:tcPr>
            <w:tcW w:w="900" w:type="dxa"/>
            <w:vAlign w:val="center"/>
          </w:tcPr>
          <w:p w14:paraId="09F84B6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1571FBCD"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0D5963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2CF1161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7E98D8E" w14:textId="77777777" w:rsidR="00291431" w:rsidRPr="00C22C26" w:rsidRDefault="00291431" w:rsidP="00370D80">
            <w:pPr>
              <w:jc w:val="center"/>
              <w:rPr>
                <w:rFonts w:cs="Calibri"/>
                <w:bCs/>
                <w:color w:val="000000"/>
                <w:sz w:val="18"/>
                <w:szCs w:val="18"/>
              </w:rPr>
            </w:pPr>
            <w:r w:rsidRPr="00C22C26">
              <w:rPr>
                <w:sz w:val="18"/>
                <w:szCs w:val="18"/>
              </w:rPr>
              <w:t>66</w:t>
            </w:r>
          </w:p>
        </w:tc>
        <w:tc>
          <w:tcPr>
            <w:tcW w:w="974" w:type="dxa"/>
            <w:shd w:val="clear" w:color="auto" w:fill="auto"/>
            <w:vAlign w:val="center"/>
          </w:tcPr>
          <w:p w14:paraId="15E85D93"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E5A93D7" w14:textId="77777777" w:rsidR="00291431" w:rsidRPr="00C22C26" w:rsidRDefault="00291431" w:rsidP="00370D80">
            <w:pPr>
              <w:jc w:val="center"/>
              <w:rPr>
                <w:rFonts w:cs="Calibri"/>
                <w:bCs/>
                <w:color w:val="000000"/>
                <w:sz w:val="18"/>
                <w:szCs w:val="18"/>
              </w:rPr>
            </w:pPr>
            <w:r w:rsidRPr="00C22C26">
              <w:rPr>
                <w:sz w:val="18"/>
                <w:szCs w:val="18"/>
              </w:rPr>
              <w:t>50</w:t>
            </w:r>
          </w:p>
        </w:tc>
        <w:tc>
          <w:tcPr>
            <w:tcW w:w="974" w:type="dxa"/>
            <w:shd w:val="clear" w:color="auto" w:fill="auto"/>
            <w:vAlign w:val="center"/>
          </w:tcPr>
          <w:p w14:paraId="43E664DD" w14:textId="77777777" w:rsidR="00291431" w:rsidRPr="00C22C26" w:rsidRDefault="00291431" w:rsidP="00370D80">
            <w:pPr>
              <w:jc w:val="center"/>
              <w:rPr>
                <w:rFonts w:cs="Calibri"/>
                <w:bCs/>
                <w:color w:val="000000"/>
                <w:sz w:val="18"/>
                <w:szCs w:val="18"/>
              </w:rPr>
            </w:pPr>
          </w:p>
        </w:tc>
      </w:tr>
      <w:tr w:rsidR="00291431" w:rsidRPr="00CE4959" w14:paraId="67E1E918" w14:textId="77777777" w:rsidTr="002B785E">
        <w:tc>
          <w:tcPr>
            <w:tcW w:w="974" w:type="dxa"/>
            <w:vAlign w:val="center"/>
          </w:tcPr>
          <w:p w14:paraId="51EB522F" w14:textId="77777777" w:rsidR="00291431" w:rsidRPr="00C22C26" w:rsidRDefault="00291431" w:rsidP="00370D80">
            <w:pPr>
              <w:jc w:val="center"/>
              <w:rPr>
                <w:rFonts w:cs="Calibri"/>
                <w:i/>
                <w:color w:val="000000"/>
                <w:sz w:val="18"/>
                <w:szCs w:val="18"/>
              </w:rPr>
            </w:pPr>
            <w:r w:rsidRPr="00C22C26">
              <w:rPr>
                <w:sz w:val="18"/>
                <w:szCs w:val="18"/>
              </w:rPr>
              <w:lastRenderedPageBreak/>
              <w:t>WR</w:t>
            </w:r>
          </w:p>
        </w:tc>
        <w:tc>
          <w:tcPr>
            <w:tcW w:w="900" w:type="dxa"/>
            <w:vAlign w:val="center"/>
          </w:tcPr>
          <w:p w14:paraId="4BBCB20F"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2107D340" w14:textId="77777777" w:rsidR="00291431" w:rsidRPr="00C22C26" w:rsidRDefault="00291431" w:rsidP="00C22C26">
            <w:pPr>
              <w:rPr>
                <w:rFonts w:cs="Calibri"/>
                <w:bCs/>
                <w:color w:val="000000"/>
                <w:sz w:val="18"/>
                <w:szCs w:val="18"/>
              </w:rPr>
            </w:pPr>
            <w:r w:rsidRPr="00C22C26">
              <w:rPr>
                <w:rFonts w:cs="Calibri"/>
                <w:sz w:val="18"/>
                <w:szCs w:val="18"/>
              </w:rPr>
              <w:t>Liczba szkół,</w:t>
            </w:r>
            <w:r w:rsidR="00E66B89">
              <w:rPr>
                <w:rFonts w:cs="Calibri"/>
                <w:sz w:val="18"/>
                <w:szCs w:val="18"/>
              </w:rPr>
              <w:t xml:space="preserve"> w </w:t>
            </w:r>
            <w:r w:rsidRPr="00C22C26">
              <w:rPr>
                <w:rFonts w:cs="Calibri"/>
                <w:sz w:val="18"/>
                <w:szCs w:val="18"/>
              </w:rPr>
              <w:t>których pracownie przedmiotowe wykorzystują doposażenie do prowadzenia zajęć edukacyjnych</w:t>
            </w:r>
          </w:p>
        </w:tc>
        <w:tc>
          <w:tcPr>
            <w:tcW w:w="929" w:type="dxa"/>
            <w:shd w:val="clear" w:color="auto" w:fill="auto"/>
            <w:vAlign w:val="center"/>
          </w:tcPr>
          <w:p w14:paraId="44400402" w14:textId="77777777" w:rsidR="00291431" w:rsidRPr="00C22C26" w:rsidRDefault="00291431" w:rsidP="00370D80">
            <w:pPr>
              <w:jc w:val="center"/>
              <w:rPr>
                <w:rFonts w:cs="Calibri"/>
                <w:bCs/>
                <w:color w:val="000000"/>
                <w:sz w:val="18"/>
                <w:szCs w:val="18"/>
              </w:rPr>
            </w:pPr>
            <w:r w:rsidRPr="00C22C26">
              <w:rPr>
                <w:rFonts w:cs="Calibri"/>
                <w:sz w:val="18"/>
                <w:szCs w:val="18"/>
              </w:rPr>
              <w:t>97%</w:t>
            </w:r>
          </w:p>
        </w:tc>
        <w:tc>
          <w:tcPr>
            <w:tcW w:w="826" w:type="dxa"/>
            <w:vAlign w:val="center"/>
          </w:tcPr>
          <w:p w14:paraId="66E69EAF" w14:textId="77777777" w:rsidR="00291431" w:rsidRPr="00C22C26" w:rsidRDefault="00291431" w:rsidP="00370D80">
            <w:pPr>
              <w:jc w:val="center"/>
              <w:rPr>
                <w:rFonts w:cs="Calibri"/>
                <w:sz w:val="18"/>
                <w:szCs w:val="18"/>
              </w:rPr>
            </w:pPr>
            <w:r w:rsidRPr="00C22C26">
              <w:rPr>
                <w:rFonts w:cs="Calibri"/>
                <w:sz w:val="18"/>
                <w:szCs w:val="18"/>
              </w:rPr>
              <w:t>%</w:t>
            </w:r>
          </w:p>
        </w:tc>
        <w:tc>
          <w:tcPr>
            <w:tcW w:w="974" w:type="dxa"/>
            <w:shd w:val="clear" w:color="auto" w:fill="auto"/>
            <w:vAlign w:val="center"/>
          </w:tcPr>
          <w:p w14:paraId="3862973C" w14:textId="77777777" w:rsidR="00291431" w:rsidRPr="00C22C26" w:rsidRDefault="00291431" w:rsidP="00370D80">
            <w:pPr>
              <w:jc w:val="center"/>
              <w:rPr>
                <w:rFonts w:cs="Calibri"/>
                <w:sz w:val="18"/>
                <w:szCs w:val="18"/>
              </w:rPr>
            </w:pPr>
            <w:r w:rsidRPr="00C22C26">
              <w:rPr>
                <w:rFonts w:cs="Calibri"/>
                <w:sz w:val="18"/>
                <w:szCs w:val="18"/>
              </w:rPr>
              <w:t>100%</w:t>
            </w:r>
          </w:p>
        </w:tc>
        <w:tc>
          <w:tcPr>
            <w:tcW w:w="974" w:type="dxa"/>
            <w:shd w:val="clear" w:color="auto" w:fill="auto"/>
            <w:vAlign w:val="center"/>
          </w:tcPr>
          <w:p w14:paraId="3950B5B5" w14:textId="77777777" w:rsidR="00291431" w:rsidRPr="00C22C26" w:rsidRDefault="00291431" w:rsidP="00370D80">
            <w:pPr>
              <w:jc w:val="center"/>
              <w:rPr>
                <w:rFonts w:cs="Calibri"/>
                <w:bCs/>
                <w:color w:val="000000"/>
                <w:sz w:val="18"/>
                <w:szCs w:val="18"/>
              </w:rPr>
            </w:pPr>
            <w:r w:rsidRPr="00C22C26">
              <w:rPr>
                <w:rFonts w:cs="Calibri"/>
                <w:sz w:val="18"/>
                <w:szCs w:val="18"/>
              </w:rPr>
              <w:t>103%</w:t>
            </w:r>
          </w:p>
        </w:tc>
        <w:tc>
          <w:tcPr>
            <w:tcW w:w="974" w:type="dxa"/>
            <w:shd w:val="clear" w:color="auto" w:fill="auto"/>
            <w:vAlign w:val="center"/>
          </w:tcPr>
          <w:p w14:paraId="6857C395"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09F71B60" w14:textId="77777777" w:rsidR="00291431" w:rsidRPr="00C22C26" w:rsidRDefault="00291431" w:rsidP="00370D80">
            <w:pPr>
              <w:jc w:val="center"/>
              <w:rPr>
                <w:rFonts w:cs="Calibri"/>
                <w:bCs/>
                <w:color w:val="000000"/>
                <w:sz w:val="18"/>
                <w:szCs w:val="18"/>
              </w:rPr>
            </w:pPr>
            <w:r w:rsidRPr="00C22C26">
              <w:rPr>
                <w:rFonts w:cs="Calibri"/>
                <w:sz w:val="18"/>
                <w:szCs w:val="18"/>
              </w:rPr>
              <w:t>0%</w:t>
            </w:r>
          </w:p>
        </w:tc>
      </w:tr>
      <w:tr w:rsidR="00291431" w:rsidRPr="00CE4959" w14:paraId="10762D10" w14:textId="77777777" w:rsidTr="002B785E">
        <w:tc>
          <w:tcPr>
            <w:tcW w:w="974" w:type="dxa"/>
            <w:vAlign w:val="center"/>
          </w:tcPr>
          <w:p w14:paraId="60B838E6" w14:textId="77777777" w:rsidR="00291431" w:rsidRPr="00C22C26" w:rsidRDefault="00291431" w:rsidP="00370D80">
            <w:pPr>
              <w:jc w:val="center"/>
              <w:rPr>
                <w:rFonts w:cs="Calibri"/>
                <w:i/>
                <w:color w:val="000000"/>
                <w:sz w:val="18"/>
                <w:szCs w:val="18"/>
              </w:rPr>
            </w:pPr>
          </w:p>
        </w:tc>
        <w:tc>
          <w:tcPr>
            <w:tcW w:w="900" w:type="dxa"/>
            <w:vAlign w:val="center"/>
          </w:tcPr>
          <w:p w14:paraId="166BC11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3EDAB07F"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66B1D39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F1072A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50B15C2" w14:textId="77777777" w:rsidR="00291431" w:rsidRPr="00C22C26" w:rsidRDefault="00291431" w:rsidP="00370D80">
            <w:pPr>
              <w:jc w:val="center"/>
              <w:rPr>
                <w:rFonts w:cs="Calibri"/>
                <w:bCs/>
                <w:color w:val="000000"/>
                <w:sz w:val="18"/>
                <w:szCs w:val="18"/>
              </w:rPr>
            </w:pPr>
            <w:r w:rsidRPr="00C22C26">
              <w:rPr>
                <w:sz w:val="18"/>
                <w:szCs w:val="18"/>
              </w:rPr>
              <w:t>53</w:t>
            </w:r>
          </w:p>
        </w:tc>
        <w:tc>
          <w:tcPr>
            <w:tcW w:w="974" w:type="dxa"/>
            <w:shd w:val="clear" w:color="auto" w:fill="auto"/>
            <w:vAlign w:val="center"/>
          </w:tcPr>
          <w:p w14:paraId="554E89F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10ED3E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0</w:t>
            </w:r>
          </w:p>
        </w:tc>
        <w:tc>
          <w:tcPr>
            <w:tcW w:w="974" w:type="dxa"/>
            <w:shd w:val="clear" w:color="auto" w:fill="auto"/>
            <w:vAlign w:val="center"/>
          </w:tcPr>
          <w:p w14:paraId="70E4B164" w14:textId="77777777" w:rsidR="00291431" w:rsidRPr="00C22C26" w:rsidRDefault="00291431" w:rsidP="00370D80">
            <w:pPr>
              <w:jc w:val="center"/>
              <w:rPr>
                <w:rFonts w:cs="Calibri"/>
                <w:bCs/>
                <w:color w:val="000000"/>
                <w:sz w:val="18"/>
                <w:szCs w:val="18"/>
              </w:rPr>
            </w:pPr>
          </w:p>
        </w:tc>
      </w:tr>
      <w:tr w:rsidR="00291431" w:rsidRPr="00CE4959" w14:paraId="10F8CDB3" w14:textId="77777777" w:rsidTr="002B785E">
        <w:tc>
          <w:tcPr>
            <w:tcW w:w="974" w:type="dxa"/>
            <w:vAlign w:val="center"/>
          </w:tcPr>
          <w:p w14:paraId="20AB694D" w14:textId="77777777" w:rsidR="00291431" w:rsidRPr="00C22C26" w:rsidRDefault="00291431" w:rsidP="00370D80">
            <w:pPr>
              <w:jc w:val="center"/>
              <w:rPr>
                <w:rFonts w:cs="Calibri"/>
                <w:i/>
                <w:color w:val="000000"/>
                <w:sz w:val="18"/>
                <w:szCs w:val="18"/>
              </w:rPr>
            </w:pPr>
          </w:p>
        </w:tc>
        <w:tc>
          <w:tcPr>
            <w:tcW w:w="900" w:type="dxa"/>
            <w:vAlign w:val="center"/>
          </w:tcPr>
          <w:p w14:paraId="6AF36212"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1606481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A08AEC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A264EB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AA628A1" w14:textId="77777777" w:rsidR="00291431" w:rsidRPr="00C22C26" w:rsidRDefault="00291431" w:rsidP="00370D80">
            <w:pPr>
              <w:jc w:val="center"/>
              <w:rPr>
                <w:rFonts w:cs="Calibri"/>
                <w:bCs/>
                <w:color w:val="000000"/>
                <w:sz w:val="18"/>
                <w:szCs w:val="18"/>
              </w:rPr>
            </w:pPr>
            <w:r w:rsidRPr="00C22C26">
              <w:rPr>
                <w:sz w:val="18"/>
                <w:szCs w:val="18"/>
              </w:rPr>
              <w:t>70</w:t>
            </w:r>
          </w:p>
        </w:tc>
        <w:tc>
          <w:tcPr>
            <w:tcW w:w="974" w:type="dxa"/>
            <w:shd w:val="clear" w:color="auto" w:fill="auto"/>
            <w:vAlign w:val="center"/>
          </w:tcPr>
          <w:p w14:paraId="53718F24"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68D2C3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0</w:t>
            </w:r>
          </w:p>
        </w:tc>
        <w:tc>
          <w:tcPr>
            <w:tcW w:w="974" w:type="dxa"/>
            <w:shd w:val="clear" w:color="auto" w:fill="auto"/>
            <w:vAlign w:val="center"/>
          </w:tcPr>
          <w:p w14:paraId="30E65FDF" w14:textId="77777777" w:rsidR="00291431" w:rsidRPr="00C22C26" w:rsidRDefault="00291431" w:rsidP="00370D80">
            <w:pPr>
              <w:jc w:val="center"/>
              <w:rPr>
                <w:rFonts w:cs="Calibri"/>
                <w:bCs/>
                <w:color w:val="000000"/>
                <w:sz w:val="18"/>
                <w:szCs w:val="18"/>
              </w:rPr>
            </w:pPr>
          </w:p>
        </w:tc>
      </w:tr>
      <w:tr w:rsidR="00291431" w:rsidRPr="00CE4959" w14:paraId="3BEFE24D" w14:textId="77777777" w:rsidTr="002B785E">
        <w:tc>
          <w:tcPr>
            <w:tcW w:w="974" w:type="dxa"/>
            <w:vAlign w:val="center"/>
          </w:tcPr>
          <w:p w14:paraId="33F7FDC8" w14:textId="77777777" w:rsidR="00291431" w:rsidRPr="00C22C26" w:rsidRDefault="00291431" w:rsidP="00370D80">
            <w:pPr>
              <w:jc w:val="center"/>
              <w:rPr>
                <w:rFonts w:cs="Calibri"/>
                <w:i/>
                <w:color w:val="000000"/>
                <w:sz w:val="18"/>
                <w:szCs w:val="18"/>
              </w:rPr>
            </w:pPr>
          </w:p>
        </w:tc>
        <w:tc>
          <w:tcPr>
            <w:tcW w:w="900" w:type="dxa"/>
            <w:vAlign w:val="center"/>
          </w:tcPr>
          <w:p w14:paraId="4BCFAC82"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7919E2AC"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119CC7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05C5749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3171888" w14:textId="77777777" w:rsidR="00291431" w:rsidRPr="00C22C26" w:rsidRDefault="00291431" w:rsidP="00370D80">
            <w:pPr>
              <w:jc w:val="center"/>
              <w:rPr>
                <w:rFonts w:cs="Calibri"/>
                <w:bCs/>
                <w:color w:val="000000"/>
                <w:sz w:val="18"/>
                <w:szCs w:val="18"/>
              </w:rPr>
            </w:pPr>
            <w:r w:rsidRPr="00C22C26">
              <w:rPr>
                <w:sz w:val="18"/>
                <w:szCs w:val="18"/>
              </w:rPr>
              <w:t>36</w:t>
            </w:r>
          </w:p>
        </w:tc>
        <w:tc>
          <w:tcPr>
            <w:tcW w:w="974" w:type="dxa"/>
            <w:shd w:val="clear" w:color="auto" w:fill="auto"/>
            <w:vAlign w:val="center"/>
          </w:tcPr>
          <w:p w14:paraId="2814D20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1CB22D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0</w:t>
            </w:r>
          </w:p>
        </w:tc>
        <w:tc>
          <w:tcPr>
            <w:tcW w:w="974" w:type="dxa"/>
            <w:shd w:val="clear" w:color="auto" w:fill="auto"/>
            <w:vAlign w:val="center"/>
          </w:tcPr>
          <w:p w14:paraId="2904E5C8" w14:textId="77777777" w:rsidR="00291431" w:rsidRPr="00C22C26" w:rsidRDefault="00291431" w:rsidP="00370D80">
            <w:pPr>
              <w:jc w:val="center"/>
              <w:rPr>
                <w:rFonts w:cs="Calibri"/>
                <w:bCs/>
                <w:color w:val="000000"/>
                <w:sz w:val="18"/>
                <w:szCs w:val="18"/>
              </w:rPr>
            </w:pPr>
          </w:p>
        </w:tc>
      </w:tr>
      <w:tr w:rsidR="00291431" w:rsidRPr="00CE4959" w14:paraId="62129B0D" w14:textId="77777777" w:rsidTr="002B785E">
        <w:tc>
          <w:tcPr>
            <w:tcW w:w="974" w:type="dxa"/>
            <w:vAlign w:val="center"/>
          </w:tcPr>
          <w:p w14:paraId="7CC98A19" w14:textId="77777777" w:rsidR="00291431" w:rsidRPr="00C22C26" w:rsidRDefault="00291431" w:rsidP="00370D80">
            <w:pPr>
              <w:jc w:val="center"/>
              <w:rPr>
                <w:rFonts w:cs="Calibri"/>
                <w:i/>
                <w:color w:val="000000"/>
                <w:sz w:val="18"/>
                <w:szCs w:val="18"/>
              </w:rPr>
            </w:pPr>
          </w:p>
        </w:tc>
        <w:tc>
          <w:tcPr>
            <w:tcW w:w="900" w:type="dxa"/>
            <w:vAlign w:val="center"/>
          </w:tcPr>
          <w:p w14:paraId="5AC3D10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2536BB68"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FC051A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00981C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7C5ABA2" w14:textId="77777777" w:rsidR="00291431" w:rsidRPr="00C22C26" w:rsidRDefault="00291431" w:rsidP="00370D80">
            <w:pPr>
              <w:jc w:val="center"/>
              <w:rPr>
                <w:rFonts w:cs="Calibri"/>
                <w:bCs/>
                <w:color w:val="000000"/>
                <w:sz w:val="18"/>
                <w:szCs w:val="18"/>
              </w:rPr>
            </w:pPr>
            <w:r w:rsidRPr="00C22C26">
              <w:rPr>
                <w:sz w:val="18"/>
                <w:szCs w:val="18"/>
              </w:rPr>
              <w:t>66</w:t>
            </w:r>
          </w:p>
        </w:tc>
        <w:tc>
          <w:tcPr>
            <w:tcW w:w="974" w:type="dxa"/>
            <w:shd w:val="clear" w:color="auto" w:fill="auto"/>
            <w:vAlign w:val="center"/>
          </w:tcPr>
          <w:p w14:paraId="155619A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321FCAC"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0</w:t>
            </w:r>
          </w:p>
        </w:tc>
        <w:tc>
          <w:tcPr>
            <w:tcW w:w="974" w:type="dxa"/>
            <w:shd w:val="clear" w:color="auto" w:fill="auto"/>
            <w:vAlign w:val="center"/>
          </w:tcPr>
          <w:p w14:paraId="69E71B63" w14:textId="77777777" w:rsidR="00291431" w:rsidRPr="00C22C26" w:rsidRDefault="00291431" w:rsidP="00370D80">
            <w:pPr>
              <w:jc w:val="center"/>
              <w:rPr>
                <w:rFonts w:cs="Calibri"/>
                <w:bCs/>
                <w:color w:val="000000"/>
                <w:sz w:val="18"/>
                <w:szCs w:val="18"/>
              </w:rPr>
            </w:pPr>
          </w:p>
        </w:tc>
      </w:tr>
      <w:tr w:rsidR="00291431" w:rsidRPr="00CE4959" w14:paraId="08451BDD" w14:textId="77777777" w:rsidTr="002B785E">
        <w:tc>
          <w:tcPr>
            <w:tcW w:w="974" w:type="dxa"/>
            <w:vAlign w:val="center"/>
          </w:tcPr>
          <w:p w14:paraId="7ED325C0" w14:textId="77777777" w:rsidR="00291431" w:rsidRPr="00C22C26" w:rsidRDefault="00291431" w:rsidP="00370D80">
            <w:pPr>
              <w:jc w:val="center"/>
              <w:rPr>
                <w:rFonts w:cs="Calibri"/>
                <w:i/>
                <w:color w:val="000000"/>
                <w:sz w:val="18"/>
                <w:szCs w:val="18"/>
              </w:rPr>
            </w:pPr>
            <w:r w:rsidRPr="00C22C26">
              <w:rPr>
                <w:sz w:val="18"/>
                <w:szCs w:val="18"/>
              </w:rPr>
              <w:t>WP</w:t>
            </w:r>
          </w:p>
        </w:tc>
        <w:tc>
          <w:tcPr>
            <w:tcW w:w="900" w:type="dxa"/>
            <w:vAlign w:val="center"/>
          </w:tcPr>
          <w:p w14:paraId="055C2366"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3AC6C238" w14:textId="77777777" w:rsidR="00291431" w:rsidRPr="00C22C26" w:rsidRDefault="00291431" w:rsidP="00C22C26">
            <w:pPr>
              <w:rPr>
                <w:rFonts w:cs="Calibri"/>
                <w:bCs/>
                <w:color w:val="000000"/>
                <w:sz w:val="18"/>
                <w:szCs w:val="18"/>
              </w:rPr>
            </w:pPr>
            <w:r w:rsidRPr="00C22C26">
              <w:rPr>
                <w:rFonts w:cs="Calibri"/>
                <w:sz w:val="18"/>
                <w:szCs w:val="18"/>
              </w:rPr>
              <w:t>Liczba uczniów objętych wsparciem</w:t>
            </w:r>
            <w:r w:rsidR="00E66B89">
              <w:rPr>
                <w:rFonts w:cs="Calibri"/>
                <w:sz w:val="18"/>
                <w:szCs w:val="18"/>
              </w:rPr>
              <w:t xml:space="preserve"> w </w:t>
            </w:r>
            <w:r w:rsidRPr="00C22C26">
              <w:rPr>
                <w:rFonts w:cs="Calibri"/>
                <w:sz w:val="18"/>
                <w:szCs w:val="18"/>
              </w:rPr>
              <w:t>zakresie rozwijania kompetencji kluczowych lub umiejętności uniwersalnych</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7615A0BA" w14:textId="77777777" w:rsidR="00291431" w:rsidRPr="00C22C26" w:rsidRDefault="00291431" w:rsidP="00370D80">
            <w:pPr>
              <w:jc w:val="center"/>
              <w:rPr>
                <w:rFonts w:cs="Calibri"/>
                <w:bCs/>
                <w:color w:val="000000"/>
                <w:sz w:val="18"/>
                <w:szCs w:val="18"/>
              </w:rPr>
            </w:pPr>
            <w:r w:rsidRPr="00C22C26">
              <w:rPr>
                <w:rFonts w:cs="Calibri"/>
                <w:sz w:val="18"/>
                <w:szCs w:val="18"/>
              </w:rPr>
              <w:t>6427</w:t>
            </w:r>
          </w:p>
        </w:tc>
        <w:tc>
          <w:tcPr>
            <w:tcW w:w="826" w:type="dxa"/>
            <w:vAlign w:val="center"/>
          </w:tcPr>
          <w:p w14:paraId="36C3FD3A" w14:textId="77777777" w:rsidR="00291431" w:rsidRPr="00C22C26" w:rsidRDefault="00291431" w:rsidP="00370D80">
            <w:pPr>
              <w:jc w:val="center"/>
              <w:rPr>
                <w:rFonts w:cs="Calibri"/>
                <w:bCs/>
                <w:color w:val="000000"/>
                <w:sz w:val="18"/>
                <w:szCs w:val="18"/>
              </w:rPr>
            </w:pPr>
            <w:r w:rsidRPr="00C22C26">
              <w:rPr>
                <w:rFonts w:cs="Calibri"/>
                <w:sz w:val="18"/>
                <w:szCs w:val="18"/>
              </w:rPr>
              <w:t>osoby</w:t>
            </w:r>
          </w:p>
        </w:tc>
        <w:tc>
          <w:tcPr>
            <w:tcW w:w="974" w:type="dxa"/>
            <w:shd w:val="clear" w:color="auto" w:fill="auto"/>
            <w:vAlign w:val="center"/>
          </w:tcPr>
          <w:p w14:paraId="17D66514" w14:textId="77777777" w:rsidR="00291431" w:rsidRPr="00C22C26" w:rsidRDefault="00291431" w:rsidP="00370D80">
            <w:pPr>
              <w:jc w:val="center"/>
              <w:rPr>
                <w:rFonts w:cs="Calibri"/>
                <w:bCs/>
                <w:color w:val="000000"/>
                <w:sz w:val="18"/>
                <w:szCs w:val="18"/>
              </w:rPr>
            </w:pPr>
            <w:r w:rsidRPr="00C22C26">
              <w:rPr>
                <w:rFonts w:cs="Calibri"/>
                <w:sz w:val="18"/>
                <w:szCs w:val="18"/>
              </w:rPr>
              <w:t>36211</w:t>
            </w:r>
          </w:p>
        </w:tc>
        <w:tc>
          <w:tcPr>
            <w:tcW w:w="974" w:type="dxa"/>
            <w:shd w:val="clear" w:color="auto" w:fill="auto"/>
            <w:vAlign w:val="center"/>
          </w:tcPr>
          <w:p w14:paraId="16F05CED" w14:textId="77777777" w:rsidR="00291431" w:rsidRPr="00C22C26" w:rsidRDefault="00291431" w:rsidP="00370D80">
            <w:pPr>
              <w:jc w:val="center"/>
              <w:rPr>
                <w:rFonts w:cs="Calibri"/>
                <w:bCs/>
                <w:color w:val="000000"/>
                <w:sz w:val="18"/>
                <w:szCs w:val="18"/>
              </w:rPr>
            </w:pPr>
            <w:r w:rsidRPr="00C22C26">
              <w:rPr>
                <w:rFonts w:cs="Calibri"/>
                <w:sz w:val="18"/>
                <w:szCs w:val="18"/>
              </w:rPr>
              <w:t>563%</w:t>
            </w:r>
          </w:p>
        </w:tc>
        <w:tc>
          <w:tcPr>
            <w:tcW w:w="974" w:type="dxa"/>
            <w:shd w:val="clear" w:color="auto" w:fill="auto"/>
            <w:vAlign w:val="center"/>
          </w:tcPr>
          <w:p w14:paraId="1E29AD77" w14:textId="77777777" w:rsidR="00291431" w:rsidRPr="00C22C26" w:rsidRDefault="00291431" w:rsidP="00370D80">
            <w:pPr>
              <w:jc w:val="center"/>
              <w:rPr>
                <w:rFonts w:cs="Calibri"/>
                <w:bCs/>
                <w:color w:val="000000"/>
                <w:sz w:val="18"/>
                <w:szCs w:val="18"/>
              </w:rPr>
            </w:pPr>
            <w:r w:rsidRPr="00C22C26">
              <w:rPr>
                <w:rFonts w:cs="Calibri"/>
                <w:sz w:val="18"/>
                <w:szCs w:val="18"/>
              </w:rPr>
              <w:t>24469</w:t>
            </w:r>
          </w:p>
        </w:tc>
        <w:tc>
          <w:tcPr>
            <w:tcW w:w="974" w:type="dxa"/>
            <w:shd w:val="clear" w:color="auto" w:fill="auto"/>
            <w:vAlign w:val="center"/>
          </w:tcPr>
          <w:p w14:paraId="3FF07F01" w14:textId="77777777" w:rsidR="00291431" w:rsidRPr="00C22C26" w:rsidRDefault="00291431" w:rsidP="00370D80">
            <w:pPr>
              <w:jc w:val="center"/>
              <w:rPr>
                <w:rFonts w:cs="Calibri"/>
                <w:bCs/>
                <w:color w:val="000000"/>
                <w:sz w:val="18"/>
                <w:szCs w:val="18"/>
              </w:rPr>
            </w:pPr>
            <w:r w:rsidRPr="00C22C26">
              <w:rPr>
                <w:rFonts w:cs="Calibri"/>
                <w:sz w:val="18"/>
                <w:szCs w:val="18"/>
              </w:rPr>
              <w:t>381%</w:t>
            </w:r>
          </w:p>
        </w:tc>
      </w:tr>
      <w:tr w:rsidR="00291431" w:rsidRPr="00CE4959" w14:paraId="68CA84DF" w14:textId="77777777" w:rsidTr="002B785E">
        <w:tc>
          <w:tcPr>
            <w:tcW w:w="974" w:type="dxa"/>
            <w:vAlign w:val="center"/>
          </w:tcPr>
          <w:p w14:paraId="5E4AA03C" w14:textId="77777777" w:rsidR="00291431" w:rsidRPr="00C22C26" w:rsidRDefault="00291431" w:rsidP="00370D80">
            <w:pPr>
              <w:jc w:val="center"/>
              <w:rPr>
                <w:rFonts w:cs="Calibri"/>
                <w:i/>
                <w:color w:val="000000"/>
                <w:sz w:val="18"/>
                <w:szCs w:val="18"/>
              </w:rPr>
            </w:pPr>
          </w:p>
        </w:tc>
        <w:tc>
          <w:tcPr>
            <w:tcW w:w="900" w:type="dxa"/>
            <w:vAlign w:val="center"/>
          </w:tcPr>
          <w:p w14:paraId="6FF20B6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33ACD7BF"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8DD862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356FDF0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FCCFCF8" w14:textId="77777777" w:rsidR="00291431" w:rsidRPr="00C22C26" w:rsidRDefault="00291431" w:rsidP="00370D80">
            <w:pPr>
              <w:jc w:val="center"/>
              <w:rPr>
                <w:rFonts w:cs="Calibri"/>
                <w:bCs/>
                <w:color w:val="000000"/>
                <w:sz w:val="18"/>
                <w:szCs w:val="18"/>
              </w:rPr>
            </w:pPr>
            <w:r w:rsidRPr="00C22C26">
              <w:rPr>
                <w:sz w:val="18"/>
                <w:szCs w:val="18"/>
              </w:rPr>
              <w:t>7 060</w:t>
            </w:r>
          </w:p>
        </w:tc>
        <w:tc>
          <w:tcPr>
            <w:tcW w:w="974" w:type="dxa"/>
            <w:shd w:val="clear" w:color="auto" w:fill="auto"/>
            <w:vAlign w:val="center"/>
          </w:tcPr>
          <w:p w14:paraId="16118A9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9FF7EAE" w14:textId="77777777" w:rsidR="00291431" w:rsidRPr="00C22C26" w:rsidRDefault="00291431" w:rsidP="00370D80">
            <w:pPr>
              <w:jc w:val="center"/>
              <w:rPr>
                <w:rFonts w:cs="Calibri"/>
                <w:bCs/>
                <w:color w:val="000000"/>
                <w:sz w:val="18"/>
                <w:szCs w:val="18"/>
              </w:rPr>
            </w:pPr>
            <w:r w:rsidRPr="00C22C26">
              <w:rPr>
                <w:sz w:val="18"/>
                <w:szCs w:val="18"/>
              </w:rPr>
              <w:t>5 200</w:t>
            </w:r>
          </w:p>
        </w:tc>
        <w:tc>
          <w:tcPr>
            <w:tcW w:w="974" w:type="dxa"/>
            <w:shd w:val="clear" w:color="auto" w:fill="auto"/>
            <w:vAlign w:val="center"/>
          </w:tcPr>
          <w:p w14:paraId="19ABA44B" w14:textId="77777777" w:rsidR="00291431" w:rsidRPr="00C22C26" w:rsidRDefault="00291431" w:rsidP="00370D80">
            <w:pPr>
              <w:jc w:val="center"/>
              <w:rPr>
                <w:rFonts w:cs="Calibri"/>
                <w:bCs/>
                <w:color w:val="000000"/>
                <w:sz w:val="18"/>
                <w:szCs w:val="18"/>
              </w:rPr>
            </w:pPr>
          </w:p>
        </w:tc>
      </w:tr>
      <w:tr w:rsidR="00291431" w:rsidRPr="00CE4959" w14:paraId="6372360D" w14:textId="77777777" w:rsidTr="002B785E">
        <w:tc>
          <w:tcPr>
            <w:tcW w:w="974" w:type="dxa"/>
            <w:vAlign w:val="center"/>
          </w:tcPr>
          <w:p w14:paraId="3C583E9F" w14:textId="77777777" w:rsidR="00291431" w:rsidRPr="00C22C26" w:rsidRDefault="00291431" w:rsidP="00370D80">
            <w:pPr>
              <w:jc w:val="center"/>
              <w:rPr>
                <w:rFonts w:cs="Calibri"/>
                <w:i/>
                <w:color w:val="000000"/>
                <w:sz w:val="18"/>
                <w:szCs w:val="18"/>
              </w:rPr>
            </w:pPr>
          </w:p>
        </w:tc>
        <w:tc>
          <w:tcPr>
            <w:tcW w:w="900" w:type="dxa"/>
            <w:vAlign w:val="center"/>
          </w:tcPr>
          <w:p w14:paraId="20672AE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30E5FB9F"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1F2C77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9DB361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9B6CE9F" w14:textId="77777777" w:rsidR="00291431" w:rsidRPr="00C22C26" w:rsidRDefault="00291431" w:rsidP="00370D80">
            <w:pPr>
              <w:jc w:val="center"/>
              <w:rPr>
                <w:rFonts w:cs="Calibri"/>
                <w:bCs/>
                <w:color w:val="000000"/>
                <w:sz w:val="18"/>
                <w:szCs w:val="18"/>
              </w:rPr>
            </w:pPr>
            <w:r w:rsidRPr="00C22C26">
              <w:rPr>
                <w:sz w:val="18"/>
                <w:szCs w:val="18"/>
              </w:rPr>
              <w:t>9 721</w:t>
            </w:r>
          </w:p>
        </w:tc>
        <w:tc>
          <w:tcPr>
            <w:tcW w:w="974" w:type="dxa"/>
            <w:shd w:val="clear" w:color="auto" w:fill="auto"/>
            <w:vAlign w:val="center"/>
          </w:tcPr>
          <w:p w14:paraId="0521986F"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4E198A9" w14:textId="77777777" w:rsidR="00291431" w:rsidRPr="00C22C26" w:rsidRDefault="00291431" w:rsidP="00370D80">
            <w:pPr>
              <w:jc w:val="center"/>
              <w:rPr>
                <w:rFonts w:cs="Calibri"/>
                <w:bCs/>
                <w:color w:val="000000"/>
                <w:sz w:val="18"/>
                <w:szCs w:val="18"/>
              </w:rPr>
            </w:pPr>
            <w:r w:rsidRPr="00C22C26">
              <w:rPr>
                <w:sz w:val="18"/>
                <w:szCs w:val="18"/>
              </w:rPr>
              <w:t>3 480</w:t>
            </w:r>
          </w:p>
        </w:tc>
        <w:tc>
          <w:tcPr>
            <w:tcW w:w="974" w:type="dxa"/>
            <w:shd w:val="clear" w:color="auto" w:fill="auto"/>
            <w:vAlign w:val="center"/>
          </w:tcPr>
          <w:p w14:paraId="0DAA9065" w14:textId="77777777" w:rsidR="00291431" w:rsidRPr="00C22C26" w:rsidRDefault="00291431" w:rsidP="00370D80">
            <w:pPr>
              <w:jc w:val="center"/>
              <w:rPr>
                <w:rFonts w:cs="Calibri"/>
                <w:bCs/>
                <w:color w:val="000000"/>
                <w:sz w:val="18"/>
                <w:szCs w:val="18"/>
              </w:rPr>
            </w:pPr>
          </w:p>
        </w:tc>
      </w:tr>
      <w:tr w:rsidR="00291431" w:rsidRPr="00CE4959" w14:paraId="5DBD78EC" w14:textId="77777777" w:rsidTr="002B785E">
        <w:tc>
          <w:tcPr>
            <w:tcW w:w="974" w:type="dxa"/>
            <w:vAlign w:val="center"/>
          </w:tcPr>
          <w:p w14:paraId="2F9075E1" w14:textId="77777777" w:rsidR="00291431" w:rsidRPr="00C22C26" w:rsidRDefault="00291431" w:rsidP="00370D80">
            <w:pPr>
              <w:jc w:val="center"/>
              <w:rPr>
                <w:rFonts w:cs="Calibri"/>
                <w:i/>
                <w:color w:val="000000"/>
                <w:sz w:val="18"/>
                <w:szCs w:val="18"/>
              </w:rPr>
            </w:pPr>
          </w:p>
        </w:tc>
        <w:tc>
          <w:tcPr>
            <w:tcW w:w="900" w:type="dxa"/>
            <w:vAlign w:val="center"/>
          </w:tcPr>
          <w:p w14:paraId="5406F47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29DCFD6E"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DF31F0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12FA46F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681D331" w14:textId="77777777" w:rsidR="00291431" w:rsidRPr="00C22C26" w:rsidRDefault="00291431" w:rsidP="00370D80">
            <w:pPr>
              <w:jc w:val="center"/>
              <w:rPr>
                <w:rFonts w:cs="Calibri"/>
                <w:bCs/>
                <w:color w:val="000000"/>
                <w:sz w:val="18"/>
                <w:szCs w:val="18"/>
              </w:rPr>
            </w:pPr>
            <w:r w:rsidRPr="00C22C26">
              <w:rPr>
                <w:sz w:val="18"/>
                <w:szCs w:val="18"/>
              </w:rPr>
              <w:t>6 460</w:t>
            </w:r>
          </w:p>
        </w:tc>
        <w:tc>
          <w:tcPr>
            <w:tcW w:w="974" w:type="dxa"/>
            <w:shd w:val="clear" w:color="auto" w:fill="auto"/>
            <w:vAlign w:val="center"/>
          </w:tcPr>
          <w:p w14:paraId="5D8FC7A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FEA5A9B" w14:textId="77777777" w:rsidR="00291431" w:rsidRPr="00C22C26" w:rsidRDefault="00291431" w:rsidP="00370D80">
            <w:pPr>
              <w:jc w:val="center"/>
              <w:rPr>
                <w:rFonts w:cs="Calibri"/>
                <w:bCs/>
                <w:color w:val="000000"/>
                <w:sz w:val="18"/>
                <w:szCs w:val="18"/>
              </w:rPr>
            </w:pPr>
            <w:r w:rsidRPr="00C22C26">
              <w:rPr>
                <w:sz w:val="18"/>
                <w:szCs w:val="18"/>
              </w:rPr>
              <w:t>5 436</w:t>
            </w:r>
          </w:p>
        </w:tc>
        <w:tc>
          <w:tcPr>
            <w:tcW w:w="974" w:type="dxa"/>
            <w:shd w:val="clear" w:color="auto" w:fill="auto"/>
            <w:vAlign w:val="center"/>
          </w:tcPr>
          <w:p w14:paraId="0CA2D476" w14:textId="77777777" w:rsidR="00291431" w:rsidRPr="00C22C26" w:rsidRDefault="00291431" w:rsidP="00370D80">
            <w:pPr>
              <w:jc w:val="center"/>
              <w:rPr>
                <w:rFonts w:cs="Calibri"/>
                <w:bCs/>
                <w:color w:val="000000"/>
                <w:sz w:val="18"/>
                <w:szCs w:val="18"/>
              </w:rPr>
            </w:pPr>
          </w:p>
        </w:tc>
      </w:tr>
      <w:tr w:rsidR="00291431" w:rsidRPr="00CE4959" w14:paraId="4ABA9510" w14:textId="77777777" w:rsidTr="002B785E">
        <w:tc>
          <w:tcPr>
            <w:tcW w:w="974" w:type="dxa"/>
            <w:vAlign w:val="center"/>
          </w:tcPr>
          <w:p w14:paraId="48D4EF91" w14:textId="77777777" w:rsidR="00291431" w:rsidRPr="00C22C26" w:rsidRDefault="00291431" w:rsidP="00370D80">
            <w:pPr>
              <w:jc w:val="center"/>
              <w:rPr>
                <w:rFonts w:cs="Calibri"/>
                <w:i/>
                <w:color w:val="000000"/>
                <w:sz w:val="18"/>
                <w:szCs w:val="18"/>
              </w:rPr>
            </w:pPr>
          </w:p>
        </w:tc>
        <w:tc>
          <w:tcPr>
            <w:tcW w:w="900" w:type="dxa"/>
            <w:vAlign w:val="center"/>
          </w:tcPr>
          <w:p w14:paraId="2BF774D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4F4AAD9B"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EF2E80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7BD254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E4BAD4C" w14:textId="77777777" w:rsidR="00291431" w:rsidRPr="00C22C26" w:rsidRDefault="00291431" w:rsidP="00370D80">
            <w:pPr>
              <w:jc w:val="center"/>
              <w:rPr>
                <w:rFonts w:cs="Calibri"/>
                <w:bCs/>
                <w:color w:val="000000"/>
                <w:sz w:val="18"/>
                <w:szCs w:val="18"/>
              </w:rPr>
            </w:pPr>
            <w:r w:rsidRPr="00C22C26">
              <w:rPr>
                <w:sz w:val="18"/>
                <w:szCs w:val="18"/>
              </w:rPr>
              <w:t>12 970</w:t>
            </w:r>
          </w:p>
        </w:tc>
        <w:tc>
          <w:tcPr>
            <w:tcW w:w="974" w:type="dxa"/>
            <w:shd w:val="clear" w:color="auto" w:fill="auto"/>
            <w:vAlign w:val="center"/>
          </w:tcPr>
          <w:p w14:paraId="7843FF4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3A5D369" w14:textId="77777777" w:rsidR="00291431" w:rsidRPr="00C22C26" w:rsidRDefault="00291431" w:rsidP="00370D80">
            <w:pPr>
              <w:jc w:val="center"/>
              <w:rPr>
                <w:rFonts w:cs="Calibri"/>
                <w:bCs/>
                <w:color w:val="000000"/>
                <w:sz w:val="18"/>
                <w:szCs w:val="18"/>
              </w:rPr>
            </w:pPr>
            <w:r w:rsidRPr="00C22C26">
              <w:rPr>
                <w:sz w:val="18"/>
                <w:szCs w:val="18"/>
              </w:rPr>
              <w:t>10 353</w:t>
            </w:r>
          </w:p>
        </w:tc>
        <w:tc>
          <w:tcPr>
            <w:tcW w:w="974" w:type="dxa"/>
            <w:shd w:val="clear" w:color="auto" w:fill="auto"/>
            <w:vAlign w:val="center"/>
          </w:tcPr>
          <w:p w14:paraId="6BAC4406" w14:textId="77777777" w:rsidR="00291431" w:rsidRPr="00C22C26" w:rsidRDefault="00291431" w:rsidP="00370D80">
            <w:pPr>
              <w:jc w:val="center"/>
              <w:rPr>
                <w:rFonts w:cs="Calibri"/>
                <w:bCs/>
                <w:color w:val="000000"/>
                <w:sz w:val="18"/>
                <w:szCs w:val="18"/>
              </w:rPr>
            </w:pPr>
          </w:p>
        </w:tc>
      </w:tr>
      <w:tr w:rsidR="00291431" w:rsidRPr="00CE4959" w14:paraId="435DA587" w14:textId="77777777" w:rsidTr="002B785E">
        <w:tc>
          <w:tcPr>
            <w:tcW w:w="974" w:type="dxa"/>
            <w:vAlign w:val="center"/>
          </w:tcPr>
          <w:p w14:paraId="72F55C74" w14:textId="77777777" w:rsidR="00291431" w:rsidRPr="00C22C26" w:rsidRDefault="00291431" w:rsidP="00370D80">
            <w:pPr>
              <w:jc w:val="center"/>
              <w:rPr>
                <w:rFonts w:cs="Calibri"/>
                <w:i/>
                <w:color w:val="000000"/>
                <w:sz w:val="18"/>
                <w:szCs w:val="18"/>
              </w:rPr>
            </w:pPr>
            <w:r w:rsidRPr="00C22C26">
              <w:rPr>
                <w:sz w:val="18"/>
                <w:szCs w:val="18"/>
              </w:rPr>
              <w:t>WR</w:t>
            </w:r>
          </w:p>
        </w:tc>
        <w:tc>
          <w:tcPr>
            <w:tcW w:w="900" w:type="dxa"/>
            <w:vAlign w:val="center"/>
          </w:tcPr>
          <w:p w14:paraId="49E8BF95" w14:textId="77777777" w:rsidR="00291431" w:rsidRPr="00C22C26" w:rsidRDefault="00291431" w:rsidP="00370D80">
            <w:pPr>
              <w:jc w:val="center"/>
              <w:rPr>
                <w:rFonts w:cs="Calibri"/>
                <w:bCs/>
                <w:color w:val="000000"/>
                <w:sz w:val="18"/>
                <w:szCs w:val="18"/>
              </w:rPr>
            </w:pPr>
            <w:r w:rsidRPr="00C22C26">
              <w:rPr>
                <w:rFonts w:cs="Calibri"/>
                <w:sz w:val="18"/>
                <w:szCs w:val="18"/>
              </w:rPr>
              <w:t>8.2, 8.3, 8.4, 8.5</w:t>
            </w:r>
          </w:p>
        </w:tc>
        <w:tc>
          <w:tcPr>
            <w:tcW w:w="1537" w:type="dxa"/>
            <w:shd w:val="clear" w:color="auto" w:fill="auto"/>
            <w:vAlign w:val="center"/>
          </w:tcPr>
          <w:p w14:paraId="010A9146" w14:textId="77777777" w:rsidR="00291431" w:rsidRPr="00C22C26" w:rsidRDefault="00291431" w:rsidP="00C22C26">
            <w:pPr>
              <w:rPr>
                <w:rFonts w:cs="Calibri"/>
                <w:bCs/>
                <w:color w:val="000000"/>
                <w:sz w:val="18"/>
                <w:szCs w:val="18"/>
              </w:rPr>
            </w:pPr>
            <w:r w:rsidRPr="00C22C26">
              <w:rPr>
                <w:rFonts w:cs="Calibri"/>
                <w:sz w:val="18"/>
                <w:szCs w:val="18"/>
              </w:rPr>
              <w:t>Liczba uczniów, którzy nabyli kompetencje kluczowe lub umiejętności uniwersalne po opuszczeniu programu</w:t>
            </w:r>
          </w:p>
        </w:tc>
        <w:tc>
          <w:tcPr>
            <w:tcW w:w="929" w:type="dxa"/>
            <w:shd w:val="clear" w:color="auto" w:fill="auto"/>
            <w:vAlign w:val="center"/>
          </w:tcPr>
          <w:p w14:paraId="0D73CB40" w14:textId="77777777" w:rsidR="00291431" w:rsidRPr="00C22C26" w:rsidRDefault="00291431" w:rsidP="00370D80">
            <w:pPr>
              <w:jc w:val="center"/>
              <w:rPr>
                <w:rFonts w:cs="Calibri"/>
                <w:bCs/>
                <w:color w:val="000000"/>
                <w:sz w:val="18"/>
                <w:szCs w:val="18"/>
              </w:rPr>
            </w:pPr>
            <w:r w:rsidRPr="001A45BA">
              <w:rPr>
                <w:rFonts w:cs="Calibri"/>
                <w:sz w:val="18"/>
                <w:szCs w:val="18"/>
              </w:rPr>
              <w:t>85%</w:t>
            </w:r>
          </w:p>
        </w:tc>
        <w:tc>
          <w:tcPr>
            <w:tcW w:w="826" w:type="dxa"/>
            <w:vAlign w:val="center"/>
          </w:tcPr>
          <w:p w14:paraId="2E491F28" w14:textId="77777777" w:rsidR="00291431" w:rsidRPr="00C22C26" w:rsidRDefault="00291431" w:rsidP="00370D80">
            <w:pPr>
              <w:jc w:val="center"/>
              <w:rPr>
                <w:rFonts w:cs="Calibri"/>
                <w:bCs/>
                <w:color w:val="000000"/>
                <w:sz w:val="18"/>
                <w:szCs w:val="18"/>
              </w:rPr>
            </w:pPr>
            <w:r w:rsidRPr="008162FD">
              <w:rPr>
                <w:rFonts w:cs="Calibri"/>
                <w:sz w:val="18"/>
                <w:szCs w:val="18"/>
              </w:rPr>
              <w:t>%</w:t>
            </w:r>
          </w:p>
        </w:tc>
        <w:tc>
          <w:tcPr>
            <w:tcW w:w="974" w:type="dxa"/>
            <w:shd w:val="clear" w:color="auto" w:fill="auto"/>
            <w:vAlign w:val="center"/>
          </w:tcPr>
          <w:p w14:paraId="463D1CC2" w14:textId="77777777" w:rsidR="00291431" w:rsidRPr="00C22C26" w:rsidRDefault="00291431" w:rsidP="00370D80">
            <w:pPr>
              <w:jc w:val="center"/>
              <w:rPr>
                <w:rFonts w:cs="Calibri"/>
                <w:sz w:val="18"/>
                <w:szCs w:val="18"/>
              </w:rPr>
            </w:pPr>
            <w:r w:rsidRPr="00C22C26">
              <w:rPr>
                <w:rFonts w:cs="Calibri"/>
                <w:sz w:val="18"/>
                <w:szCs w:val="18"/>
              </w:rPr>
              <w:t>89,9%</w:t>
            </w:r>
          </w:p>
        </w:tc>
        <w:tc>
          <w:tcPr>
            <w:tcW w:w="974" w:type="dxa"/>
            <w:shd w:val="clear" w:color="auto" w:fill="auto"/>
            <w:vAlign w:val="center"/>
          </w:tcPr>
          <w:p w14:paraId="31850ACB" w14:textId="77777777" w:rsidR="00291431" w:rsidRPr="00C22C26" w:rsidRDefault="00291431" w:rsidP="00370D80">
            <w:pPr>
              <w:jc w:val="center"/>
              <w:rPr>
                <w:rFonts w:cs="Calibri"/>
                <w:bCs/>
                <w:color w:val="000000"/>
                <w:sz w:val="18"/>
                <w:szCs w:val="18"/>
              </w:rPr>
            </w:pPr>
            <w:r w:rsidRPr="00C22C26">
              <w:rPr>
                <w:rFonts w:cs="Calibri"/>
                <w:sz w:val="18"/>
                <w:szCs w:val="18"/>
              </w:rPr>
              <w:t>106%</w:t>
            </w:r>
          </w:p>
        </w:tc>
        <w:tc>
          <w:tcPr>
            <w:tcW w:w="974" w:type="dxa"/>
            <w:shd w:val="clear" w:color="auto" w:fill="auto"/>
            <w:vAlign w:val="center"/>
          </w:tcPr>
          <w:p w14:paraId="57FBD47A" w14:textId="77777777" w:rsidR="00291431" w:rsidRPr="00C22C26" w:rsidRDefault="00291431" w:rsidP="00370D80">
            <w:pPr>
              <w:jc w:val="center"/>
              <w:rPr>
                <w:rFonts w:cs="Calibri"/>
                <w:sz w:val="18"/>
                <w:szCs w:val="18"/>
              </w:rPr>
            </w:pPr>
            <w:r w:rsidRPr="00C22C26">
              <w:rPr>
                <w:rFonts w:cs="Calibri"/>
                <w:sz w:val="18"/>
                <w:szCs w:val="18"/>
              </w:rPr>
              <w:t>25,5%</w:t>
            </w:r>
          </w:p>
        </w:tc>
        <w:tc>
          <w:tcPr>
            <w:tcW w:w="974" w:type="dxa"/>
            <w:shd w:val="clear" w:color="auto" w:fill="auto"/>
            <w:vAlign w:val="center"/>
          </w:tcPr>
          <w:p w14:paraId="73133824" w14:textId="77777777" w:rsidR="00291431" w:rsidRPr="00C22C26" w:rsidRDefault="00291431" w:rsidP="00370D80">
            <w:pPr>
              <w:jc w:val="center"/>
              <w:rPr>
                <w:rFonts w:cs="Calibri"/>
                <w:bCs/>
                <w:color w:val="000000"/>
                <w:sz w:val="18"/>
                <w:szCs w:val="18"/>
              </w:rPr>
            </w:pPr>
            <w:r w:rsidRPr="00C22C26">
              <w:rPr>
                <w:rFonts w:cs="Calibri"/>
                <w:sz w:val="18"/>
                <w:szCs w:val="18"/>
              </w:rPr>
              <w:t>30%</w:t>
            </w:r>
          </w:p>
        </w:tc>
      </w:tr>
      <w:tr w:rsidR="00291431" w:rsidRPr="00CE4959" w14:paraId="2DDC245F" w14:textId="77777777" w:rsidTr="002B785E">
        <w:tc>
          <w:tcPr>
            <w:tcW w:w="974" w:type="dxa"/>
            <w:vAlign w:val="center"/>
          </w:tcPr>
          <w:p w14:paraId="7AA40DF9" w14:textId="77777777" w:rsidR="00291431" w:rsidRPr="00C22C26" w:rsidRDefault="00291431" w:rsidP="00370D80">
            <w:pPr>
              <w:jc w:val="center"/>
              <w:rPr>
                <w:rFonts w:cs="Calibri"/>
                <w:i/>
                <w:color w:val="000000"/>
                <w:sz w:val="18"/>
                <w:szCs w:val="18"/>
              </w:rPr>
            </w:pPr>
          </w:p>
        </w:tc>
        <w:tc>
          <w:tcPr>
            <w:tcW w:w="900" w:type="dxa"/>
            <w:vAlign w:val="center"/>
          </w:tcPr>
          <w:p w14:paraId="02B8F2C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8.2</w:t>
            </w:r>
          </w:p>
        </w:tc>
        <w:tc>
          <w:tcPr>
            <w:tcW w:w="1537" w:type="dxa"/>
            <w:shd w:val="clear" w:color="auto" w:fill="auto"/>
            <w:vAlign w:val="center"/>
          </w:tcPr>
          <w:p w14:paraId="0C47B1AA"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5777EA8"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442D0D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25255D1" w14:textId="77777777" w:rsidR="00291431" w:rsidRPr="00C22C26" w:rsidRDefault="00291431" w:rsidP="00370D80">
            <w:pPr>
              <w:jc w:val="center"/>
              <w:rPr>
                <w:rFonts w:cs="Calibri"/>
                <w:bCs/>
                <w:color w:val="000000"/>
                <w:sz w:val="18"/>
                <w:szCs w:val="18"/>
              </w:rPr>
            </w:pPr>
            <w:r w:rsidRPr="00C22C26">
              <w:rPr>
                <w:sz w:val="18"/>
                <w:szCs w:val="18"/>
              </w:rPr>
              <w:t>6 470</w:t>
            </w:r>
          </w:p>
        </w:tc>
        <w:tc>
          <w:tcPr>
            <w:tcW w:w="974" w:type="dxa"/>
            <w:shd w:val="clear" w:color="auto" w:fill="auto"/>
            <w:vAlign w:val="center"/>
          </w:tcPr>
          <w:p w14:paraId="3BB315F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05F1CF7" w14:textId="77777777" w:rsidR="00291431" w:rsidRPr="00C22C26" w:rsidRDefault="00291431" w:rsidP="00370D80">
            <w:pPr>
              <w:jc w:val="center"/>
              <w:rPr>
                <w:rFonts w:cs="Calibri"/>
                <w:bCs/>
                <w:color w:val="000000"/>
                <w:sz w:val="18"/>
                <w:szCs w:val="18"/>
              </w:rPr>
            </w:pPr>
            <w:r w:rsidRPr="00C22C26">
              <w:rPr>
                <w:sz w:val="18"/>
                <w:szCs w:val="18"/>
              </w:rPr>
              <w:t>1 132</w:t>
            </w:r>
          </w:p>
        </w:tc>
        <w:tc>
          <w:tcPr>
            <w:tcW w:w="974" w:type="dxa"/>
            <w:shd w:val="clear" w:color="auto" w:fill="auto"/>
            <w:vAlign w:val="center"/>
          </w:tcPr>
          <w:p w14:paraId="3BE72751" w14:textId="77777777" w:rsidR="00291431" w:rsidRPr="00C22C26" w:rsidRDefault="00291431" w:rsidP="00370D80">
            <w:pPr>
              <w:jc w:val="center"/>
              <w:rPr>
                <w:rFonts w:cs="Calibri"/>
                <w:bCs/>
                <w:color w:val="000000"/>
                <w:sz w:val="18"/>
                <w:szCs w:val="18"/>
              </w:rPr>
            </w:pPr>
          </w:p>
        </w:tc>
      </w:tr>
      <w:tr w:rsidR="00291431" w:rsidRPr="00CE4959" w14:paraId="7F29F354" w14:textId="77777777" w:rsidTr="002B785E">
        <w:tc>
          <w:tcPr>
            <w:tcW w:w="974" w:type="dxa"/>
            <w:vAlign w:val="center"/>
          </w:tcPr>
          <w:p w14:paraId="716C1119" w14:textId="77777777" w:rsidR="00291431" w:rsidRPr="00C22C26" w:rsidRDefault="00291431" w:rsidP="00370D80">
            <w:pPr>
              <w:jc w:val="center"/>
              <w:rPr>
                <w:rFonts w:cs="Calibri"/>
                <w:i/>
                <w:color w:val="000000"/>
                <w:sz w:val="18"/>
                <w:szCs w:val="18"/>
              </w:rPr>
            </w:pPr>
          </w:p>
        </w:tc>
        <w:tc>
          <w:tcPr>
            <w:tcW w:w="900" w:type="dxa"/>
            <w:vAlign w:val="center"/>
          </w:tcPr>
          <w:p w14:paraId="59D8DBF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8.3</w:t>
            </w:r>
          </w:p>
        </w:tc>
        <w:tc>
          <w:tcPr>
            <w:tcW w:w="1537" w:type="dxa"/>
            <w:shd w:val="clear" w:color="auto" w:fill="auto"/>
            <w:vAlign w:val="center"/>
          </w:tcPr>
          <w:p w14:paraId="6F7ADA7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71BAAE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B77FEB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5737F0F" w14:textId="77777777" w:rsidR="00291431" w:rsidRPr="00C22C26" w:rsidRDefault="00291431" w:rsidP="00370D80">
            <w:pPr>
              <w:jc w:val="center"/>
              <w:rPr>
                <w:rFonts w:cs="Calibri"/>
                <w:bCs/>
                <w:color w:val="000000"/>
                <w:sz w:val="18"/>
                <w:szCs w:val="18"/>
              </w:rPr>
            </w:pPr>
            <w:r w:rsidRPr="00C22C26">
              <w:rPr>
                <w:sz w:val="18"/>
                <w:szCs w:val="18"/>
              </w:rPr>
              <w:t>8 586</w:t>
            </w:r>
          </w:p>
        </w:tc>
        <w:tc>
          <w:tcPr>
            <w:tcW w:w="974" w:type="dxa"/>
            <w:shd w:val="clear" w:color="auto" w:fill="auto"/>
            <w:vAlign w:val="center"/>
          </w:tcPr>
          <w:p w14:paraId="5ADE2E5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8A50C9D" w14:textId="77777777" w:rsidR="00291431" w:rsidRPr="00C22C26" w:rsidRDefault="00291431" w:rsidP="00370D80">
            <w:pPr>
              <w:jc w:val="center"/>
              <w:rPr>
                <w:rFonts w:cs="Calibri"/>
                <w:bCs/>
                <w:color w:val="000000"/>
                <w:sz w:val="18"/>
                <w:szCs w:val="18"/>
              </w:rPr>
            </w:pPr>
            <w:r w:rsidRPr="00C22C26">
              <w:rPr>
                <w:sz w:val="18"/>
                <w:szCs w:val="18"/>
              </w:rPr>
              <w:t>527</w:t>
            </w:r>
          </w:p>
        </w:tc>
        <w:tc>
          <w:tcPr>
            <w:tcW w:w="974" w:type="dxa"/>
            <w:shd w:val="clear" w:color="auto" w:fill="auto"/>
            <w:vAlign w:val="center"/>
          </w:tcPr>
          <w:p w14:paraId="0EE19551" w14:textId="77777777" w:rsidR="00291431" w:rsidRPr="00C22C26" w:rsidRDefault="00291431" w:rsidP="00370D80">
            <w:pPr>
              <w:jc w:val="center"/>
              <w:rPr>
                <w:rFonts w:cs="Calibri"/>
                <w:bCs/>
                <w:color w:val="000000"/>
                <w:sz w:val="18"/>
                <w:szCs w:val="18"/>
              </w:rPr>
            </w:pPr>
          </w:p>
        </w:tc>
      </w:tr>
      <w:tr w:rsidR="00291431" w:rsidRPr="00CE4959" w14:paraId="36D947EB" w14:textId="77777777" w:rsidTr="002B785E">
        <w:tc>
          <w:tcPr>
            <w:tcW w:w="974" w:type="dxa"/>
            <w:vAlign w:val="center"/>
          </w:tcPr>
          <w:p w14:paraId="0768D27C" w14:textId="77777777" w:rsidR="00291431" w:rsidRPr="00C22C26" w:rsidRDefault="00291431" w:rsidP="00370D80">
            <w:pPr>
              <w:jc w:val="center"/>
              <w:rPr>
                <w:rFonts w:cs="Calibri"/>
                <w:i/>
                <w:color w:val="000000"/>
                <w:sz w:val="18"/>
                <w:szCs w:val="18"/>
              </w:rPr>
            </w:pPr>
          </w:p>
        </w:tc>
        <w:tc>
          <w:tcPr>
            <w:tcW w:w="900" w:type="dxa"/>
            <w:vAlign w:val="center"/>
          </w:tcPr>
          <w:p w14:paraId="5B5F80F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8.4</w:t>
            </w:r>
          </w:p>
        </w:tc>
        <w:tc>
          <w:tcPr>
            <w:tcW w:w="1537" w:type="dxa"/>
            <w:shd w:val="clear" w:color="auto" w:fill="auto"/>
            <w:vAlign w:val="center"/>
          </w:tcPr>
          <w:p w14:paraId="79E44E9C" w14:textId="77777777" w:rsidR="00291431" w:rsidRPr="00C22C26" w:rsidRDefault="00291431" w:rsidP="00370D80">
            <w:pPr>
              <w:jc w:val="center"/>
              <w:rPr>
                <w:rFonts w:cs="Calibri"/>
                <w:bCs/>
                <w:color w:val="000000"/>
                <w:sz w:val="18"/>
                <w:szCs w:val="18"/>
              </w:rPr>
            </w:pPr>
          </w:p>
        </w:tc>
        <w:tc>
          <w:tcPr>
            <w:tcW w:w="929" w:type="dxa"/>
            <w:shd w:val="clear" w:color="auto" w:fill="auto"/>
            <w:vAlign w:val="center"/>
          </w:tcPr>
          <w:p w14:paraId="46A8BBA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523478D8"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20CDB9F" w14:textId="77777777" w:rsidR="00291431" w:rsidRPr="00C22C26" w:rsidRDefault="00291431" w:rsidP="00370D80">
            <w:pPr>
              <w:jc w:val="center"/>
              <w:rPr>
                <w:rFonts w:cs="Calibri"/>
                <w:bCs/>
                <w:color w:val="000000"/>
                <w:sz w:val="18"/>
                <w:szCs w:val="18"/>
              </w:rPr>
            </w:pPr>
            <w:r w:rsidRPr="00C22C26">
              <w:rPr>
                <w:sz w:val="18"/>
                <w:szCs w:val="18"/>
              </w:rPr>
              <w:t>6 319</w:t>
            </w:r>
          </w:p>
        </w:tc>
        <w:tc>
          <w:tcPr>
            <w:tcW w:w="974" w:type="dxa"/>
            <w:shd w:val="clear" w:color="auto" w:fill="auto"/>
            <w:vAlign w:val="center"/>
          </w:tcPr>
          <w:p w14:paraId="025244D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927E365" w14:textId="77777777" w:rsidR="00291431" w:rsidRPr="00C22C26" w:rsidRDefault="00291431" w:rsidP="00370D80">
            <w:pPr>
              <w:jc w:val="center"/>
              <w:rPr>
                <w:rFonts w:cs="Calibri"/>
                <w:bCs/>
                <w:color w:val="000000"/>
                <w:sz w:val="18"/>
                <w:szCs w:val="18"/>
              </w:rPr>
            </w:pPr>
            <w:r w:rsidRPr="00C22C26">
              <w:rPr>
                <w:sz w:val="18"/>
                <w:szCs w:val="18"/>
              </w:rPr>
              <w:t>1 429</w:t>
            </w:r>
          </w:p>
        </w:tc>
        <w:tc>
          <w:tcPr>
            <w:tcW w:w="974" w:type="dxa"/>
            <w:shd w:val="clear" w:color="auto" w:fill="auto"/>
            <w:vAlign w:val="center"/>
          </w:tcPr>
          <w:p w14:paraId="7A4B53C3" w14:textId="77777777" w:rsidR="00291431" w:rsidRPr="00C22C26" w:rsidRDefault="00291431" w:rsidP="00370D80">
            <w:pPr>
              <w:jc w:val="center"/>
              <w:rPr>
                <w:rFonts w:cs="Calibri"/>
                <w:bCs/>
                <w:color w:val="000000"/>
                <w:sz w:val="18"/>
                <w:szCs w:val="18"/>
              </w:rPr>
            </w:pPr>
          </w:p>
        </w:tc>
      </w:tr>
      <w:tr w:rsidR="00291431" w:rsidRPr="00CE4959" w14:paraId="6AC3F8D8" w14:textId="77777777" w:rsidTr="002B785E">
        <w:tc>
          <w:tcPr>
            <w:tcW w:w="974" w:type="dxa"/>
            <w:vAlign w:val="center"/>
          </w:tcPr>
          <w:p w14:paraId="48A8C163" w14:textId="77777777" w:rsidR="00291431" w:rsidRPr="00C22C26" w:rsidRDefault="00291431" w:rsidP="00370D80">
            <w:pPr>
              <w:jc w:val="center"/>
              <w:rPr>
                <w:rFonts w:cs="Calibri"/>
                <w:i/>
                <w:color w:val="000000"/>
                <w:sz w:val="18"/>
                <w:szCs w:val="18"/>
              </w:rPr>
            </w:pPr>
          </w:p>
        </w:tc>
        <w:tc>
          <w:tcPr>
            <w:tcW w:w="900" w:type="dxa"/>
            <w:vAlign w:val="center"/>
          </w:tcPr>
          <w:p w14:paraId="0D0FC39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8.5</w:t>
            </w:r>
          </w:p>
        </w:tc>
        <w:tc>
          <w:tcPr>
            <w:tcW w:w="1537" w:type="dxa"/>
            <w:shd w:val="clear" w:color="auto" w:fill="auto"/>
            <w:vAlign w:val="center"/>
          </w:tcPr>
          <w:p w14:paraId="30CF3C6B" w14:textId="77777777" w:rsidR="00291431" w:rsidRPr="00C22C26" w:rsidRDefault="00291431" w:rsidP="00370D80">
            <w:pPr>
              <w:jc w:val="center"/>
              <w:rPr>
                <w:rFonts w:cs="Calibri"/>
                <w:bCs/>
                <w:color w:val="000000"/>
                <w:sz w:val="18"/>
                <w:szCs w:val="18"/>
              </w:rPr>
            </w:pPr>
          </w:p>
        </w:tc>
        <w:tc>
          <w:tcPr>
            <w:tcW w:w="929" w:type="dxa"/>
            <w:shd w:val="clear" w:color="auto" w:fill="auto"/>
            <w:vAlign w:val="center"/>
          </w:tcPr>
          <w:p w14:paraId="194D9011"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n/d</w:t>
            </w:r>
          </w:p>
        </w:tc>
        <w:tc>
          <w:tcPr>
            <w:tcW w:w="826" w:type="dxa"/>
            <w:vAlign w:val="center"/>
          </w:tcPr>
          <w:p w14:paraId="4F9CA2AF"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719EA7E" w14:textId="77777777" w:rsidR="00291431" w:rsidRPr="00C22C26" w:rsidRDefault="00291431" w:rsidP="00370D80">
            <w:pPr>
              <w:jc w:val="center"/>
              <w:rPr>
                <w:rFonts w:cs="Calibri"/>
                <w:bCs/>
                <w:color w:val="000000"/>
                <w:sz w:val="18"/>
                <w:szCs w:val="18"/>
              </w:rPr>
            </w:pPr>
            <w:r w:rsidRPr="00C22C26">
              <w:rPr>
                <w:sz w:val="18"/>
                <w:szCs w:val="18"/>
              </w:rPr>
              <w:t>11 184</w:t>
            </w:r>
          </w:p>
        </w:tc>
        <w:tc>
          <w:tcPr>
            <w:tcW w:w="974" w:type="dxa"/>
            <w:shd w:val="clear" w:color="auto" w:fill="auto"/>
            <w:vAlign w:val="center"/>
          </w:tcPr>
          <w:p w14:paraId="4845B23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4D3155E" w14:textId="77777777" w:rsidR="00291431" w:rsidRPr="00C22C26" w:rsidRDefault="00291431" w:rsidP="00370D80">
            <w:pPr>
              <w:jc w:val="center"/>
              <w:rPr>
                <w:rFonts w:cs="Calibri"/>
                <w:bCs/>
                <w:color w:val="000000"/>
                <w:sz w:val="18"/>
                <w:szCs w:val="18"/>
              </w:rPr>
            </w:pPr>
            <w:r w:rsidRPr="00C22C26">
              <w:rPr>
                <w:sz w:val="18"/>
                <w:szCs w:val="18"/>
              </w:rPr>
              <w:t>3 151</w:t>
            </w:r>
          </w:p>
        </w:tc>
        <w:tc>
          <w:tcPr>
            <w:tcW w:w="974" w:type="dxa"/>
            <w:shd w:val="clear" w:color="auto" w:fill="auto"/>
            <w:vAlign w:val="center"/>
          </w:tcPr>
          <w:p w14:paraId="20E776C4" w14:textId="77777777" w:rsidR="00291431" w:rsidRPr="00C22C26" w:rsidRDefault="00291431" w:rsidP="00370D80">
            <w:pPr>
              <w:jc w:val="center"/>
              <w:rPr>
                <w:rFonts w:cs="Calibri"/>
                <w:bCs/>
                <w:color w:val="000000"/>
                <w:sz w:val="18"/>
                <w:szCs w:val="18"/>
              </w:rPr>
            </w:pPr>
          </w:p>
        </w:tc>
      </w:tr>
    </w:tbl>
    <w:p w14:paraId="7B2E66C8" w14:textId="43FC28D2" w:rsidR="00291431" w:rsidRPr="00D21299" w:rsidRDefault="00291431" w:rsidP="001245CE">
      <w:pPr>
        <w:spacing w:before="0"/>
        <w:rPr>
          <w:rFonts w:cs="Calibri"/>
          <w:i/>
          <w:sz w:val="18"/>
          <w:szCs w:val="18"/>
        </w:rPr>
      </w:pPr>
      <w:r w:rsidRPr="00D21299">
        <w:rPr>
          <w:rFonts w:cs="Calibri"/>
          <w:i/>
          <w:sz w:val="18"/>
          <w:szCs w:val="18"/>
        </w:rPr>
        <w:t>Źródło: obliczenia własne na podstawie danych SL 2014 (stan na dzień 07.01.2019)</w:t>
      </w:r>
      <w:r w:rsidR="00AA6879">
        <w:rPr>
          <w:rFonts w:cs="Calibri"/>
          <w:i/>
          <w:sz w:val="18"/>
          <w:szCs w:val="18"/>
        </w:rPr>
        <w:t>.</w:t>
      </w:r>
    </w:p>
    <w:p w14:paraId="3E2A1193" w14:textId="77777777" w:rsidR="00291431" w:rsidRPr="00EE5470" w:rsidRDefault="00291431" w:rsidP="00291431">
      <w:pPr>
        <w:spacing w:line="276" w:lineRule="auto"/>
      </w:pPr>
      <w:r w:rsidRPr="00404DA5">
        <w:rPr>
          <w:rFonts w:cs="Calibri"/>
          <w:szCs w:val="20"/>
        </w:rPr>
        <w:t>Na podstawie dostępnych</w:t>
      </w:r>
      <w:r>
        <w:rPr>
          <w:rFonts w:cs="Calibri"/>
          <w:szCs w:val="20"/>
        </w:rPr>
        <w:t xml:space="preserve"> danych,</w:t>
      </w:r>
      <w:r w:rsidRPr="00404DA5">
        <w:rPr>
          <w:rFonts w:cs="Calibri"/>
          <w:szCs w:val="20"/>
        </w:rPr>
        <w:t xml:space="preserve"> nie sposób jednoznacznie porównać skuteczności projektów Polityki Terytorialnej oraz</w:t>
      </w:r>
      <w:r>
        <w:rPr>
          <w:rFonts w:cs="Calibri"/>
          <w:szCs w:val="20"/>
        </w:rPr>
        <w:t xml:space="preserve"> tych </w:t>
      </w:r>
      <w:r w:rsidRPr="00404DA5">
        <w:rPr>
          <w:rFonts w:cs="Calibri"/>
          <w:szCs w:val="20"/>
        </w:rPr>
        <w:t>realizowanych na terenie całego regionu. Obserwowane są znaczne różnice</w:t>
      </w:r>
      <w:r w:rsidR="00E66B89">
        <w:rPr>
          <w:rFonts w:cs="Calibri"/>
          <w:szCs w:val="20"/>
        </w:rPr>
        <w:t xml:space="preserve"> w </w:t>
      </w:r>
      <w:r w:rsidRPr="00404DA5">
        <w:rPr>
          <w:rFonts w:cs="Calibri"/>
          <w:szCs w:val="20"/>
        </w:rPr>
        <w:t>skuteczności interwencji pomiędzy projektami Polityki Terytorialnej, co wynika zarówno</w:t>
      </w:r>
      <w:r w:rsidR="00E66B89">
        <w:rPr>
          <w:rFonts w:cs="Calibri"/>
          <w:szCs w:val="20"/>
        </w:rPr>
        <w:t xml:space="preserve"> z </w:t>
      </w:r>
      <w:r w:rsidRPr="00404DA5">
        <w:rPr>
          <w:rFonts w:cs="Calibri"/>
          <w:szCs w:val="20"/>
        </w:rPr>
        <w:t>różnic między regionami objętymi danym</w:t>
      </w:r>
      <w:r>
        <w:rPr>
          <w:rFonts w:cs="Calibri"/>
          <w:szCs w:val="20"/>
        </w:rPr>
        <w:t>i</w:t>
      </w:r>
      <w:r w:rsidRPr="00404DA5">
        <w:rPr>
          <w:rFonts w:cs="Calibri"/>
          <w:szCs w:val="20"/>
        </w:rPr>
        <w:t xml:space="preserve"> Działani</w:t>
      </w:r>
      <w:r>
        <w:rPr>
          <w:rFonts w:cs="Calibri"/>
          <w:szCs w:val="20"/>
        </w:rPr>
        <w:t>ami</w:t>
      </w:r>
      <w:r w:rsidRPr="00404DA5">
        <w:rPr>
          <w:rFonts w:cs="Calibri"/>
          <w:szCs w:val="20"/>
        </w:rPr>
        <w:t>, jak również typami projektów włączonych do poszczególnych Działań.</w:t>
      </w:r>
      <w:r w:rsidRPr="00EE5470">
        <w:t xml:space="preserve"> </w:t>
      </w:r>
    </w:p>
    <w:p w14:paraId="6EF1053F" w14:textId="77777777" w:rsidR="00291431" w:rsidRPr="00404DA5" w:rsidRDefault="00291431" w:rsidP="00291431">
      <w:pPr>
        <w:shd w:val="clear" w:color="auto" w:fill="DBE5F1"/>
        <w:rPr>
          <w:rFonts w:eastAsia="Calibri" w:cs="Calibri"/>
          <w:b/>
          <w:szCs w:val="20"/>
        </w:rPr>
      </w:pPr>
      <w:r w:rsidRPr="00404DA5">
        <w:rPr>
          <w:rFonts w:eastAsia="Calibri" w:cs="Calibri"/>
          <w:b/>
          <w:szCs w:val="20"/>
        </w:rPr>
        <w:t>Mechanizmy terytorialne</w:t>
      </w:r>
      <w:r w:rsidR="00E66B89">
        <w:rPr>
          <w:rFonts w:eastAsia="Calibri" w:cs="Calibri"/>
          <w:b/>
          <w:szCs w:val="20"/>
        </w:rPr>
        <w:t xml:space="preserve"> w </w:t>
      </w:r>
      <w:r w:rsidRPr="00404DA5">
        <w:rPr>
          <w:rFonts w:eastAsia="Calibri" w:cs="Calibri"/>
          <w:b/>
          <w:szCs w:val="20"/>
        </w:rPr>
        <w:t>PI 10iv</w:t>
      </w:r>
    </w:p>
    <w:p w14:paraId="2F6341B7" w14:textId="77777777" w:rsidR="00291431" w:rsidRPr="00404DA5" w:rsidRDefault="00291431" w:rsidP="00291431">
      <w:pPr>
        <w:spacing w:line="276" w:lineRule="auto"/>
        <w:rPr>
          <w:rFonts w:cs="Calibri"/>
          <w:szCs w:val="20"/>
        </w:rPr>
      </w:pPr>
      <w:r w:rsidRPr="00404DA5">
        <w:rPr>
          <w:rFonts w:cs="Calibri"/>
          <w:szCs w:val="20"/>
        </w:rPr>
        <w:t>Instrument ZIT</w:t>
      </w:r>
      <w:r w:rsidR="00E66B89">
        <w:rPr>
          <w:rFonts w:cs="Calibri"/>
          <w:szCs w:val="20"/>
        </w:rPr>
        <w:t xml:space="preserve"> w </w:t>
      </w:r>
      <w:r w:rsidRPr="00404DA5">
        <w:rPr>
          <w:rFonts w:cs="Calibri"/>
          <w:szCs w:val="20"/>
        </w:rPr>
        <w:t>priorytecie inwestycyjnym 10iv zaplanowano dla Działania 8.7 (ZIT SOM) oraz Działania 8.8 (ZIT KKBOF). Ponadto</w:t>
      </w:r>
      <w:r w:rsidR="00E66B89">
        <w:rPr>
          <w:rFonts w:cs="Calibri"/>
          <w:szCs w:val="20"/>
        </w:rPr>
        <w:t xml:space="preserve"> w </w:t>
      </w:r>
      <w:r w:rsidRPr="00404DA5">
        <w:rPr>
          <w:rFonts w:cs="Calibri"/>
          <w:szCs w:val="20"/>
        </w:rPr>
        <w:t>Priorytecie tym zastosowano interwencję</w:t>
      </w:r>
      <w:r w:rsidR="00E66B89">
        <w:rPr>
          <w:rFonts w:cs="Calibri"/>
          <w:szCs w:val="20"/>
        </w:rPr>
        <w:t xml:space="preserve"> w </w:t>
      </w:r>
      <w:r w:rsidRPr="00404DA5">
        <w:rPr>
          <w:rFonts w:cs="Calibri"/>
          <w:szCs w:val="20"/>
        </w:rPr>
        <w:t>ramach Kontraktów Samorządowych (Działanie 8.9). Pod względem zakresu interwencji różnice między tymi działaniami są znacznie mniejsze niż</w:t>
      </w:r>
      <w:r w:rsidR="00E66B89">
        <w:rPr>
          <w:rFonts w:cs="Calibri"/>
          <w:szCs w:val="20"/>
        </w:rPr>
        <w:t xml:space="preserve"> w </w:t>
      </w:r>
      <w:r w:rsidRPr="00404DA5">
        <w:rPr>
          <w:rFonts w:cs="Calibri"/>
          <w:szCs w:val="20"/>
        </w:rPr>
        <w:t>Priorytecie Inwestycyjnym 10i, stąd porównanie ich skuteczności jest bardziej adekwatne.</w:t>
      </w:r>
    </w:p>
    <w:p w14:paraId="0DDCDED4" w14:textId="77777777" w:rsidR="00291431" w:rsidRPr="00404DA5" w:rsidRDefault="00291431" w:rsidP="00291431">
      <w:pPr>
        <w:spacing w:line="276" w:lineRule="auto"/>
        <w:rPr>
          <w:rFonts w:cs="Calibri"/>
          <w:szCs w:val="20"/>
        </w:rPr>
      </w:pPr>
      <w:r w:rsidRPr="00404DA5">
        <w:rPr>
          <w:rFonts w:cs="Calibri"/>
          <w:szCs w:val="20"/>
        </w:rPr>
        <w:t>Widać wyraźnie, że skuteczność interwencji</w:t>
      </w:r>
      <w:r w:rsidR="00E66B89">
        <w:rPr>
          <w:rFonts w:cs="Calibri"/>
          <w:szCs w:val="20"/>
        </w:rPr>
        <w:t xml:space="preserve"> w </w:t>
      </w:r>
      <w:r w:rsidRPr="00404DA5">
        <w:rPr>
          <w:rFonts w:cs="Calibri"/>
          <w:szCs w:val="20"/>
        </w:rPr>
        <w:t>ramach Działania 8.7, skierowanego do Szczecińskiego Obszaru Metropolitalnego jest wyższa niż</w:t>
      </w:r>
      <w:r w:rsidR="00E66B89">
        <w:rPr>
          <w:rFonts w:cs="Calibri"/>
          <w:szCs w:val="20"/>
        </w:rPr>
        <w:t xml:space="preserve"> w </w:t>
      </w:r>
      <w:r w:rsidRPr="00404DA5">
        <w:rPr>
          <w:rFonts w:cs="Calibri"/>
          <w:szCs w:val="20"/>
        </w:rPr>
        <w:t>Działaniu prowadzonym na terenie całego województwa, jak też innych Działań regionalnych.</w:t>
      </w:r>
      <w:r w:rsidR="00E66B89">
        <w:rPr>
          <w:rFonts w:cs="Calibri"/>
          <w:szCs w:val="20"/>
        </w:rPr>
        <w:t xml:space="preserve"> W </w:t>
      </w:r>
      <w:r w:rsidRPr="00404DA5">
        <w:rPr>
          <w:rFonts w:cs="Calibri"/>
          <w:szCs w:val="20"/>
        </w:rPr>
        <w:t>Działaniu 8.7</w:t>
      </w:r>
      <w:r>
        <w:rPr>
          <w:rFonts w:cs="Calibri"/>
          <w:szCs w:val="20"/>
        </w:rPr>
        <w:t>,</w:t>
      </w:r>
      <w:r w:rsidRPr="00404DA5">
        <w:rPr>
          <w:rFonts w:cs="Calibri"/>
          <w:szCs w:val="20"/>
        </w:rPr>
        <w:t xml:space="preserve"> do dnia 7.01.2019</w:t>
      </w:r>
      <w:r>
        <w:rPr>
          <w:rFonts w:cs="Calibri"/>
          <w:szCs w:val="20"/>
        </w:rPr>
        <w:t xml:space="preserve"> r.,</w:t>
      </w:r>
      <w:r w:rsidRPr="00404DA5">
        <w:rPr>
          <w:rFonts w:cs="Calibri"/>
          <w:szCs w:val="20"/>
        </w:rPr>
        <w:t xml:space="preserve"> zakontraktowano 77,1% alokowanych środków. Pozostałe </w:t>
      </w:r>
      <w:r>
        <w:rPr>
          <w:rFonts w:cs="Calibri"/>
          <w:szCs w:val="20"/>
        </w:rPr>
        <w:t>D</w:t>
      </w:r>
      <w:r w:rsidRPr="00404DA5">
        <w:rPr>
          <w:rFonts w:cs="Calibri"/>
          <w:szCs w:val="20"/>
        </w:rPr>
        <w:t>ziałania</w:t>
      </w:r>
      <w:r w:rsidR="00E66B89">
        <w:rPr>
          <w:rFonts w:cs="Calibri"/>
          <w:szCs w:val="20"/>
        </w:rPr>
        <w:t xml:space="preserve"> w </w:t>
      </w:r>
      <w:r w:rsidRPr="00404DA5">
        <w:rPr>
          <w:rFonts w:cs="Calibri"/>
          <w:szCs w:val="20"/>
        </w:rPr>
        <w:t>ramach Polityki Terytorialnej mają niższy poziom kontrakcji niż</w:t>
      </w:r>
      <w:r w:rsidR="00E66B89">
        <w:rPr>
          <w:rFonts w:cs="Calibri"/>
          <w:szCs w:val="20"/>
        </w:rPr>
        <w:t xml:space="preserve"> w </w:t>
      </w:r>
      <w:r w:rsidRPr="00404DA5">
        <w:rPr>
          <w:rFonts w:cs="Calibri"/>
          <w:szCs w:val="20"/>
        </w:rPr>
        <w:t>Działaniu 8.6 realizowan</w:t>
      </w:r>
      <w:r>
        <w:rPr>
          <w:rFonts w:cs="Calibri"/>
          <w:szCs w:val="20"/>
        </w:rPr>
        <w:t>ym</w:t>
      </w:r>
      <w:r w:rsidRPr="00404DA5">
        <w:rPr>
          <w:rFonts w:cs="Calibri"/>
          <w:szCs w:val="20"/>
        </w:rPr>
        <w:t xml:space="preserve"> na terenie całego województwa,</w:t>
      </w:r>
      <w:r w:rsidR="00E66B89">
        <w:rPr>
          <w:rFonts w:cs="Calibri"/>
          <w:szCs w:val="20"/>
        </w:rPr>
        <w:t xml:space="preserve"> w </w:t>
      </w:r>
      <w:r w:rsidRPr="00404DA5">
        <w:rPr>
          <w:rFonts w:cs="Calibri"/>
          <w:szCs w:val="20"/>
        </w:rPr>
        <w:t>którym</w:t>
      </w:r>
      <w:r>
        <w:rPr>
          <w:rFonts w:cs="Calibri"/>
          <w:szCs w:val="20"/>
        </w:rPr>
        <w:t xml:space="preserve"> to</w:t>
      </w:r>
      <w:r w:rsidRPr="00404DA5">
        <w:rPr>
          <w:rFonts w:cs="Calibri"/>
          <w:szCs w:val="20"/>
        </w:rPr>
        <w:t xml:space="preserve"> kontrakcja osiągnęła poziom 71,4%.</w:t>
      </w:r>
      <w:r w:rsidR="00E66B89">
        <w:rPr>
          <w:rFonts w:cs="Calibri"/>
          <w:szCs w:val="20"/>
        </w:rPr>
        <w:t xml:space="preserve"> W </w:t>
      </w:r>
      <w:r w:rsidRPr="00404DA5">
        <w:rPr>
          <w:rFonts w:cs="Calibri"/>
          <w:szCs w:val="20"/>
        </w:rPr>
        <w:t>Działaniu ZIT dla Koszalińsko-Kołobrzesko-Białogardzkiego Obszaru Funkcjonalnego (8.8) poziom kontrakcji wyniósł 58,7%,</w:t>
      </w:r>
      <w:r w:rsidR="00E66B89">
        <w:rPr>
          <w:rFonts w:cs="Calibri"/>
          <w:szCs w:val="20"/>
        </w:rPr>
        <w:t xml:space="preserve"> a w </w:t>
      </w:r>
      <w:r w:rsidRPr="00404DA5">
        <w:rPr>
          <w:rFonts w:cs="Calibri"/>
          <w:szCs w:val="20"/>
        </w:rPr>
        <w:t>Działaniu 8.9 realizowanym</w:t>
      </w:r>
      <w:r w:rsidR="00E66B89">
        <w:rPr>
          <w:rFonts w:cs="Calibri"/>
          <w:szCs w:val="20"/>
        </w:rPr>
        <w:t xml:space="preserve"> w </w:t>
      </w:r>
      <w:r w:rsidRPr="00404DA5">
        <w:rPr>
          <w:rFonts w:cs="Calibri"/>
          <w:szCs w:val="20"/>
        </w:rPr>
        <w:t>ramach</w:t>
      </w:r>
      <w:r>
        <w:rPr>
          <w:rFonts w:cs="Calibri"/>
          <w:szCs w:val="20"/>
        </w:rPr>
        <w:t xml:space="preserve"> </w:t>
      </w:r>
      <w:r w:rsidRPr="00404DA5">
        <w:rPr>
          <w:rFonts w:cs="Calibri"/>
          <w:szCs w:val="20"/>
        </w:rPr>
        <w:t>Kontraktów Samorządowych – 59,6%.</w:t>
      </w:r>
    </w:p>
    <w:p w14:paraId="6D5D1A38" w14:textId="77777777" w:rsidR="00291431" w:rsidRPr="00EE5470" w:rsidRDefault="00291431" w:rsidP="00024F00">
      <w:pPr>
        <w:pStyle w:val="Legenda"/>
        <w:spacing w:after="0"/>
      </w:pPr>
      <w:bookmarkStart w:id="380" w:name="_Toc8824281"/>
      <w:r w:rsidRPr="00EE5470">
        <w:t xml:space="preserve">Tabela </w:t>
      </w:r>
      <w:r>
        <w:fldChar w:fldCharType="begin"/>
      </w:r>
      <w:r>
        <w:instrText xml:space="preserve"> SEQ Tabela \* ARABIC </w:instrText>
      </w:r>
      <w:r>
        <w:fldChar w:fldCharType="separate"/>
      </w:r>
      <w:r w:rsidR="00763345">
        <w:rPr>
          <w:noProof/>
        </w:rPr>
        <w:t>170</w:t>
      </w:r>
      <w:r>
        <w:fldChar w:fldCharType="end"/>
      </w:r>
      <w:r w:rsidRPr="00EE5470">
        <w:t xml:space="preserve"> </w:t>
      </w:r>
      <w:r>
        <w:t>Postęp finansowy Działań realizujących instrumenty terytorialne oraz analogicznego Działania wdrażanego</w:t>
      </w:r>
      <w:r w:rsidR="00E66B89">
        <w:t xml:space="preserve"> w </w:t>
      </w:r>
      <w:r>
        <w:t>całym regionie -</w:t>
      </w:r>
      <w:r w:rsidRPr="00EE5470">
        <w:t xml:space="preserve"> PI 10iv</w:t>
      </w:r>
      <w:bookmarkEnd w:id="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557"/>
        <w:gridCol w:w="1233"/>
        <w:gridCol w:w="1390"/>
        <w:gridCol w:w="1066"/>
        <w:gridCol w:w="1491"/>
      </w:tblGrid>
      <w:tr w:rsidR="00291431" w:rsidRPr="00EE5470" w14:paraId="0DE55209" w14:textId="77777777" w:rsidTr="00C22C26">
        <w:trPr>
          <w:tblHeader/>
        </w:trPr>
        <w:tc>
          <w:tcPr>
            <w:tcW w:w="0" w:type="auto"/>
            <w:shd w:val="clear" w:color="auto" w:fill="DBE5F1"/>
          </w:tcPr>
          <w:p w14:paraId="27C3C0D2" w14:textId="77777777" w:rsidR="00291431" w:rsidRPr="00404DA5" w:rsidRDefault="00291431" w:rsidP="00C22C26">
            <w:pPr>
              <w:rPr>
                <w:rFonts w:cs="Calibri"/>
                <w:sz w:val="18"/>
                <w:szCs w:val="18"/>
              </w:rPr>
            </w:pPr>
          </w:p>
        </w:tc>
        <w:tc>
          <w:tcPr>
            <w:tcW w:w="0" w:type="auto"/>
            <w:shd w:val="clear" w:color="auto" w:fill="DBE5F1"/>
          </w:tcPr>
          <w:p w14:paraId="1BC8F01D" w14:textId="77777777" w:rsidR="00291431" w:rsidRPr="00404DA5" w:rsidRDefault="00291431" w:rsidP="00C22C26">
            <w:pPr>
              <w:rPr>
                <w:rFonts w:cs="Calibri"/>
                <w:sz w:val="18"/>
                <w:szCs w:val="18"/>
              </w:rPr>
            </w:pPr>
            <w:r w:rsidRPr="00404DA5">
              <w:rPr>
                <w:rFonts w:cs="Calibri"/>
                <w:sz w:val="18"/>
                <w:szCs w:val="18"/>
              </w:rPr>
              <w:t>Alokacja na Działanie</w:t>
            </w:r>
          </w:p>
        </w:tc>
        <w:tc>
          <w:tcPr>
            <w:tcW w:w="0" w:type="auto"/>
            <w:shd w:val="clear" w:color="auto" w:fill="DBE5F1"/>
          </w:tcPr>
          <w:p w14:paraId="06B04861" w14:textId="77777777" w:rsidR="00291431" w:rsidRPr="00404DA5" w:rsidRDefault="00291431" w:rsidP="00C22C26">
            <w:pPr>
              <w:rPr>
                <w:rFonts w:cs="Calibri"/>
                <w:sz w:val="18"/>
                <w:szCs w:val="18"/>
              </w:rPr>
            </w:pPr>
            <w:r w:rsidRPr="00404DA5">
              <w:rPr>
                <w:rFonts w:cs="Calibri"/>
                <w:sz w:val="18"/>
                <w:szCs w:val="18"/>
              </w:rPr>
              <w:t>Poziom kontraktacji</w:t>
            </w:r>
          </w:p>
        </w:tc>
        <w:tc>
          <w:tcPr>
            <w:tcW w:w="0" w:type="auto"/>
            <w:shd w:val="clear" w:color="auto" w:fill="DBE5F1"/>
          </w:tcPr>
          <w:p w14:paraId="33D55B6D" w14:textId="77777777" w:rsidR="00291431" w:rsidRPr="00404DA5" w:rsidRDefault="00291431" w:rsidP="00C22C26">
            <w:pPr>
              <w:rPr>
                <w:rFonts w:cs="Calibri"/>
                <w:sz w:val="18"/>
                <w:szCs w:val="18"/>
              </w:rPr>
            </w:pPr>
            <w:r w:rsidRPr="00404DA5">
              <w:rPr>
                <w:rFonts w:cs="Calibri"/>
                <w:sz w:val="18"/>
                <w:szCs w:val="18"/>
              </w:rPr>
              <w:t>Liczba realizowanych projektów</w:t>
            </w:r>
          </w:p>
        </w:tc>
        <w:tc>
          <w:tcPr>
            <w:tcW w:w="0" w:type="auto"/>
            <w:shd w:val="clear" w:color="auto" w:fill="DBE5F1"/>
          </w:tcPr>
          <w:p w14:paraId="1B212231" w14:textId="77777777" w:rsidR="00291431" w:rsidRPr="00404DA5" w:rsidRDefault="00291431" w:rsidP="00C22C26">
            <w:pPr>
              <w:rPr>
                <w:rFonts w:cs="Calibri"/>
                <w:sz w:val="18"/>
                <w:szCs w:val="18"/>
              </w:rPr>
            </w:pPr>
            <w:r w:rsidRPr="00404DA5">
              <w:rPr>
                <w:rFonts w:cs="Calibri"/>
                <w:sz w:val="18"/>
                <w:szCs w:val="18"/>
              </w:rPr>
              <w:t>Wartość projektów ogółem</w:t>
            </w:r>
          </w:p>
        </w:tc>
        <w:tc>
          <w:tcPr>
            <w:tcW w:w="0" w:type="auto"/>
            <w:shd w:val="clear" w:color="auto" w:fill="DBE5F1"/>
          </w:tcPr>
          <w:p w14:paraId="6129711D" w14:textId="77777777" w:rsidR="00291431" w:rsidRPr="00404DA5" w:rsidRDefault="00291431" w:rsidP="00C22C26">
            <w:pPr>
              <w:rPr>
                <w:rFonts w:cs="Calibri"/>
                <w:sz w:val="18"/>
                <w:szCs w:val="18"/>
              </w:rPr>
            </w:pPr>
            <w:r w:rsidRPr="00404DA5">
              <w:rPr>
                <w:rFonts w:cs="Calibri"/>
                <w:sz w:val="18"/>
                <w:szCs w:val="18"/>
              </w:rPr>
              <w:t>Wartość dofinansowania UE</w:t>
            </w:r>
          </w:p>
        </w:tc>
      </w:tr>
      <w:tr w:rsidR="00291431" w:rsidRPr="00EE5470" w14:paraId="087DB555" w14:textId="77777777" w:rsidTr="00C22C26">
        <w:tc>
          <w:tcPr>
            <w:tcW w:w="0" w:type="auto"/>
            <w:shd w:val="clear" w:color="auto" w:fill="auto"/>
          </w:tcPr>
          <w:p w14:paraId="3188D759" w14:textId="77777777" w:rsidR="00291431" w:rsidRPr="00404DA5" w:rsidRDefault="00291431" w:rsidP="00370D80">
            <w:pPr>
              <w:rPr>
                <w:rFonts w:cs="Calibri"/>
                <w:sz w:val="18"/>
                <w:szCs w:val="18"/>
              </w:rPr>
            </w:pPr>
            <w:r w:rsidRPr="00404DA5">
              <w:rPr>
                <w:rFonts w:cs="Calibri"/>
                <w:sz w:val="18"/>
                <w:szCs w:val="18"/>
              </w:rPr>
              <w:t>Działanie 8.6 Wsparcie szkół</w:t>
            </w:r>
            <w:r w:rsidR="00E66B89">
              <w:rPr>
                <w:rFonts w:cs="Calibri"/>
                <w:sz w:val="18"/>
                <w:szCs w:val="18"/>
              </w:rPr>
              <w:t xml:space="preserve"> i </w:t>
            </w:r>
            <w:r w:rsidRPr="00404DA5">
              <w:rPr>
                <w:rFonts w:cs="Calibri"/>
                <w:sz w:val="18"/>
                <w:szCs w:val="18"/>
              </w:rPr>
              <w:t>placówek prowadzących kształcenie zawodowe oraz uczniów uczestniczących</w:t>
            </w:r>
            <w:r w:rsidR="00E66B89">
              <w:rPr>
                <w:rFonts w:cs="Calibri"/>
                <w:sz w:val="18"/>
                <w:szCs w:val="18"/>
              </w:rPr>
              <w:t xml:space="preserve"> w </w:t>
            </w:r>
            <w:r w:rsidRPr="00404DA5">
              <w:rPr>
                <w:rFonts w:cs="Calibri"/>
                <w:sz w:val="18"/>
                <w:szCs w:val="18"/>
              </w:rPr>
              <w:t>kształceniu zawodowym</w:t>
            </w:r>
            <w:r w:rsidR="00E66B89">
              <w:rPr>
                <w:rFonts w:cs="Calibri"/>
                <w:sz w:val="18"/>
                <w:szCs w:val="18"/>
              </w:rPr>
              <w:t xml:space="preserve"> i </w:t>
            </w:r>
            <w:r w:rsidRPr="00404DA5">
              <w:rPr>
                <w:rFonts w:cs="Calibri"/>
                <w:sz w:val="18"/>
                <w:szCs w:val="18"/>
              </w:rPr>
              <w:t>osób dorosłych uczestniczących</w:t>
            </w:r>
            <w:r w:rsidR="00E66B89">
              <w:rPr>
                <w:rFonts w:cs="Calibri"/>
                <w:sz w:val="18"/>
                <w:szCs w:val="18"/>
              </w:rPr>
              <w:t xml:space="preserve"> </w:t>
            </w:r>
            <w:r w:rsidR="00E66B89">
              <w:rPr>
                <w:rFonts w:cs="Calibri"/>
                <w:sz w:val="18"/>
                <w:szCs w:val="18"/>
              </w:rPr>
              <w:lastRenderedPageBreak/>
              <w:t>w </w:t>
            </w:r>
            <w:r w:rsidRPr="00404DA5">
              <w:rPr>
                <w:rFonts w:cs="Calibri"/>
                <w:sz w:val="18"/>
                <w:szCs w:val="18"/>
              </w:rPr>
              <w:t xml:space="preserve">pozaszkolnych formach kształcenia zawodowego </w:t>
            </w:r>
          </w:p>
        </w:tc>
        <w:tc>
          <w:tcPr>
            <w:tcW w:w="0" w:type="auto"/>
            <w:shd w:val="clear" w:color="auto" w:fill="auto"/>
            <w:vAlign w:val="center"/>
          </w:tcPr>
          <w:p w14:paraId="69BA2E06" w14:textId="77777777" w:rsidR="00291431" w:rsidRDefault="00291431" w:rsidP="00370D80">
            <w:pPr>
              <w:jc w:val="center"/>
              <w:rPr>
                <w:rFonts w:cs="Calibri"/>
                <w:sz w:val="18"/>
                <w:szCs w:val="20"/>
              </w:rPr>
            </w:pPr>
            <w:r w:rsidRPr="002C52D3">
              <w:rPr>
                <w:rFonts w:cs="Calibri"/>
                <w:sz w:val="18"/>
                <w:szCs w:val="20"/>
              </w:rPr>
              <w:lastRenderedPageBreak/>
              <w:t>39</w:t>
            </w:r>
            <w:r>
              <w:rPr>
                <w:rFonts w:cs="Calibri"/>
                <w:sz w:val="18"/>
                <w:szCs w:val="20"/>
              </w:rPr>
              <w:t xml:space="preserve"> </w:t>
            </w:r>
            <w:r w:rsidRPr="002C52D3">
              <w:rPr>
                <w:rFonts w:cs="Calibri"/>
                <w:sz w:val="18"/>
                <w:szCs w:val="20"/>
              </w:rPr>
              <w:t>891</w:t>
            </w:r>
            <w:r>
              <w:rPr>
                <w:rFonts w:cs="Calibri"/>
                <w:sz w:val="18"/>
                <w:szCs w:val="20"/>
              </w:rPr>
              <w:t xml:space="preserve"> </w:t>
            </w:r>
            <w:r w:rsidRPr="002C52D3">
              <w:rPr>
                <w:rFonts w:cs="Calibri"/>
                <w:sz w:val="18"/>
                <w:szCs w:val="20"/>
              </w:rPr>
              <w:t xml:space="preserve">295 </w:t>
            </w:r>
            <w:r>
              <w:rPr>
                <w:rFonts w:cs="Calibri"/>
                <w:sz w:val="18"/>
                <w:szCs w:val="20"/>
              </w:rPr>
              <w:t xml:space="preserve">EUR </w:t>
            </w:r>
            <w:r w:rsidRPr="00404DA5">
              <w:rPr>
                <w:rFonts w:cs="Calibri"/>
                <w:sz w:val="18"/>
                <w:szCs w:val="20"/>
              </w:rPr>
              <w:t>[alokacja UE ogółem (z RW) na Działanie po uwzględnieniu zmian</w:t>
            </w:r>
            <w:r w:rsidR="00E66B89">
              <w:rPr>
                <w:rFonts w:cs="Calibri"/>
                <w:sz w:val="18"/>
                <w:szCs w:val="20"/>
              </w:rPr>
              <w:t xml:space="preserve"> w </w:t>
            </w:r>
            <w:r w:rsidRPr="00404DA5">
              <w:rPr>
                <w:rFonts w:cs="Calibri"/>
                <w:sz w:val="18"/>
                <w:szCs w:val="20"/>
              </w:rPr>
              <w:t>Programie]</w:t>
            </w:r>
          </w:p>
          <w:p w14:paraId="26847AF7" w14:textId="77777777" w:rsidR="00291431" w:rsidRPr="009007F6" w:rsidRDefault="00291431" w:rsidP="00370D80">
            <w:pPr>
              <w:jc w:val="center"/>
              <w:rPr>
                <w:rFonts w:cs="Calibri"/>
                <w:b/>
                <w:color w:val="000000"/>
                <w:sz w:val="18"/>
                <w:szCs w:val="18"/>
              </w:rPr>
            </w:pPr>
            <w:r w:rsidRPr="009007F6">
              <w:rPr>
                <w:rFonts w:cs="Calibri"/>
                <w:b/>
                <w:sz w:val="18"/>
                <w:szCs w:val="20"/>
              </w:rPr>
              <w:t>tj.</w:t>
            </w:r>
          </w:p>
          <w:p w14:paraId="436E26F4"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lastRenderedPageBreak/>
              <w:t>171 644 264,13</w:t>
            </w:r>
          </w:p>
          <w:p w14:paraId="73D93495" w14:textId="77777777" w:rsidR="00291431" w:rsidRPr="00404DA5" w:rsidRDefault="00291431" w:rsidP="00370D80">
            <w:pPr>
              <w:jc w:val="center"/>
              <w:rPr>
                <w:rFonts w:cs="Calibri"/>
                <w:color w:val="000000"/>
                <w:sz w:val="18"/>
                <w:szCs w:val="18"/>
              </w:rPr>
            </w:pPr>
            <w:r w:rsidRPr="00E26420">
              <w:rPr>
                <w:rFonts w:cs="Calibri"/>
                <w:b/>
                <w:color w:val="000000"/>
                <w:sz w:val="18"/>
                <w:szCs w:val="18"/>
              </w:rPr>
              <w:t>zł</w:t>
            </w:r>
            <w:r>
              <w:rPr>
                <w:rFonts w:cs="Calibri"/>
                <w:color w:val="000000"/>
                <w:sz w:val="18"/>
                <w:szCs w:val="18"/>
              </w:rPr>
              <w:t xml:space="preserve"> </w:t>
            </w:r>
          </w:p>
        </w:tc>
        <w:tc>
          <w:tcPr>
            <w:tcW w:w="0" w:type="auto"/>
            <w:shd w:val="clear" w:color="auto" w:fill="auto"/>
            <w:vAlign w:val="center"/>
          </w:tcPr>
          <w:p w14:paraId="6EC31F14" w14:textId="77777777" w:rsidR="00291431" w:rsidRPr="00404DA5" w:rsidRDefault="00291431" w:rsidP="00370D80">
            <w:pPr>
              <w:jc w:val="center"/>
              <w:rPr>
                <w:rFonts w:cs="Calibri"/>
                <w:color w:val="000000"/>
                <w:sz w:val="18"/>
                <w:szCs w:val="18"/>
              </w:rPr>
            </w:pPr>
            <w:r w:rsidRPr="00404DA5">
              <w:rPr>
                <w:rFonts w:cs="Calibri"/>
                <w:color w:val="000000"/>
                <w:sz w:val="18"/>
                <w:szCs w:val="18"/>
              </w:rPr>
              <w:lastRenderedPageBreak/>
              <w:t>71,4%</w:t>
            </w:r>
            <w:r>
              <w:rPr>
                <w:rFonts w:cs="Calibri"/>
                <w:color w:val="000000"/>
                <w:sz w:val="18"/>
                <w:szCs w:val="18"/>
              </w:rPr>
              <w:t xml:space="preserve"> </w:t>
            </w:r>
            <w:r w:rsidRPr="00404DA5">
              <w:rPr>
                <w:rFonts w:cs="Calibri"/>
                <w:sz w:val="18"/>
                <w:szCs w:val="18"/>
              </w:rPr>
              <w:t>alokacji UE ogółem (z RW) na Działanie</w:t>
            </w:r>
          </w:p>
        </w:tc>
        <w:tc>
          <w:tcPr>
            <w:tcW w:w="0" w:type="auto"/>
            <w:shd w:val="clear" w:color="auto" w:fill="auto"/>
            <w:vAlign w:val="center"/>
          </w:tcPr>
          <w:p w14:paraId="4E8C3248" w14:textId="77777777" w:rsidR="00291431" w:rsidRPr="00404DA5" w:rsidRDefault="00291431" w:rsidP="00370D80">
            <w:pPr>
              <w:jc w:val="center"/>
              <w:rPr>
                <w:rFonts w:cs="Calibri"/>
                <w:sz w:val="18"/>
                <w:szCs w:val="18"/>
              </w:rPr>
            </w:pPr>
            <w:r w:rsidRPr="00404DA5">
              <w:rPr>
                <w:rFonts w:cs="Calibri"/>
                <w:sz w:val="18"/>
                <w:szCs w:val="18"/>
              </w:rPr>
              <w:t>138</w:t>
            </w:r>
          </w:p>
        </w:tc>
        <w:tc>
          <w:tcPr>
            <w:tcW w:w="0" w:type="auto"/>
            <w:shd w:val="clear" w:color="auto" w:fill="auto"/>
            <w:vAlign w:val="center"/>
          </w:tcPr>
          <w:p w14:paraId="7371E346" w14:textId="77777777" w:rsidR="00291431" w:rsidRDefault="00291431" w:rsidP="00370D80">
            <w:pPr>
              <w:jc w:val="center"/>
              <w:rPr>
                <w:rFonts w:cs="Calibri"/>
                <w:color w:val="000000"/>
                <w:sz w:val="18"/>
                <w:szCs w:val="18"/>
              </w:rPr>
            </w:pPr>
            <w:r w:rsidRPr="00404DA5">
              <w:rPr>
                <w:rFonts w:cs="Calibri"/>
                <w:color w:val="000000"/>
                <w:sz w:val="18"/>
                <w:szCs w:val="18"/>
              </w:rPr>
              <w:t>144 280 702,68</w:t>
            </w:r>
          </w:p>
          <w:p w14:paraId="7328DC94" w14:textId="77777777" w:rsidR="00291431" w:rsidRPr="00404DA5" w:rsidRDefault="00291431" w:rsidP="00370D80">
            <w:pPr>
              <w:jc w:val="center"/>
              <w:rPr>
                <w:rFonts w:cs="Calibri"/>
                <w:color w:val="000000"/>
                <w:sz w:val="18"/>
                <w:szCs w:val="18"/>
              </w:rPr>
            </w:pPr>
            <w:r>
              <w:rPr>
                <w:rFonts w:cs="Calibri"/>
                <w:color w:val="000000"/>
                <w:sz w:val="18"/>
                <w:szCs w:val="18"/>
              </w:rPr>
              <w:t>zł</w:t>
            </w:r>
          </w:p>
        </w:tc>
        <w:tc>
          <w:tcPr>
            <w:tcW w:w="0" w:type="auto"/>
            <w:shd w:val="clear" w:color="auto" w:fill="auto"/>
            <w:vAlign w:val="center"/>
          </w:tcPr>
          <w:p w14:paraId="01A30631" w14:textId="77777777" w:rsidR="00291431" w:rsidRDefault="00291431" w:rsidP="00370D80">
            <w:pPr>
              <w:jc w:val="center"/>
              <w:rPr>
                <w:rFonts w:cs="Calibri"/>
                <w:color w:val="000000"/>
                <w:sz w:val="18"/>
                <w:szCs w:val="18"/>
              </w:rPr>
            </w:pPr>
            <w:r w:rsidRPr="00404DA5">
              <w:rPr>
                <w:rFonts w:cs="Calibri"/>
                <w:color w:val="000000"/>
                <w:sz w:val="18"/>
                <w:szCs w:val="18"/>
              </w:rPr>
              <w:t>122 638 596,85</w:t>
            </w:r>
          </w:p>
          <w:p w14:paraId="663132FB" w14:textId="77777777" w:rsidR="00291431" w:rsidRPr="00404DA5" w:rsidRDefault="00291431" w:rsidP="00370D80">
            <w:pPr>
              <w:jc w:val="center"/>
              <w:rPr>
                <w:rFonts w:cs="Calibri"/>
                <w:color w:val="000000"/>
                <w:sz w:val="18"/>
                <w:szCs w:val="18"/>
              </w:rPr>
            </w:pPr>
            <w:r>
              <w:rPr>
                <w:rFonts w:cs="Calibri"/>
                <w:color w:val="000000"/>
                <w:sz w:val="18"/>
                <w:szCs w:val="18"/>
              </w:rPr>
              <w:t>zł</w:t>
            </w:r>
          </w:p>
        </w:tc>
      </w:tr>
      <w:tr w:rsidR="00291431" w:rsidRPr="00EE5470" w14:paraId="391553B5" w14:textId="77777777" w:rsidTr="00C22C26">
        <w:tc>
          <w:tcPr>
            <w:tcW w:w="0" w:type="auto"/>
            <w:shd w:val="clear" w:color="auto" w:fill="auto"/>
          </w:tcPr>
          <w:p w14:paraId="59A23D44" w14:textId="77777777" w:rsidR="00291431" w:rsidRPr="00404DA5" w:rsidRDefault="00291431" w:rsidP="00370D80">
            <w:pPr>
              <w:rPr>
                <w:sz w:val="18"/>
                <w:szCs w:val="18"/>
              </w:rPr>
            </w:pPr>
            <w:r w:rsidRPr="00404DA5">
              <w:rPr>
                <w:sz w:val="18"/>
                <w:szCs w:val="18"/>
              </w:rPr>
              <w:t>Działanie 8.7 Wsparcie szkół</w:t>
            </w:r>
            <w:r w:rsidR="00E66B89">
              <w:rPr>
                <w:sz w:val="18"/>
                <w:szCs w:val="18"/>
              </w:rPr>
              <w:t xml:space="preserve"> i </w:t>
            </w:r>
            <w:r w:rsidRPr="00404DA5">
              <w:rPr>
                <w:sz w:val="18"/>
                <w:szCs w:val="18"/>
              </w:rPr>
              <w:t>placówek prowadzących kształcenie zawodowe oraz uczniów uczestniczących</w:t>
            </w:r>
            <w:r w:rsidR="00E66B89">
              <w:rPr>
                <w:sz w:val="18"/>
                <w:szCs w:val="18"/>
              </w:rPr>
              <w:t xml:space="preserve"> w </w:t>
            </w:r>
            <w:r w:rsidRPr="00404DA5">
              <w:rPr>
                <w:sz w:val="18"/>
                <w:szCs w:val="18"/>
              </w:rPr>
              <w:t>kształceniu zawodowym</w:t>
            </w:r>
            <w:r w:rsidR="00E66B89">
              <w:rPr>
                <w:sz w:val="18"/>
                <w:szCs w:val="18"/>
              </w:rPr>
              <w:t xml:space="preserve"> i </w:t>
            </w:r>
            <w:r w:rsidRPr="00404DA5">
              <w:rPr>
                <w:sz w:val="18"/>
                <w:szCs w:val="18"/>
              </w:rPr>
              <w:t>osób dorosłych uczestniczących</w:t>
            </w:r>
            <w:r w:rsidR="00E66B89">
              <w:rPr>
                <w:sz w:val="18"/>
                <w:szCs w:val="18"/>
              </w:rPr>
              <w:t xml:space="preserve"> w </w:t>
            </w:r>
            <w:r w:rsidRPr="00404DA5">
              <w:rPr>
                <w:sz w:val="18"/>
                <w:szCs w:val="18"/>
              </w:rPr>
              <w:t>pozaszkolnych formach kształcenia zawodowego</w:t>
            </w:r>
            <w:r w:rsidR="00E66B89">
              <w:rPr>
                <w:sz w:val="18"/>
                <w:szCs w:val="18"/>
              </w:rPr>
              <w:t xml:space="preserve"> w </w:t>
            </w:r>
            <w:r w:rsidRPr="00404DA5">
              <w:rPr>
                <w:sz w:val="18"/>
                <w:szCs w:val="18"/>
              </w:rPr>
              <w:t xml:space="preserve">ramach Strategii ZIT dla Szczecińskiego Obszaru Metropolitalnego </w:t>
            </w:r>
          </w:p>
        </w:tc>
        <w:tc>
          <w:tcPr>
            <w:tcW w:w="0" w:type="auto"/>
            <w:shd w:val="clear" w:color="auto" w:fill="auto"/>
            <w:vAlign w:val="center"/>
          </w:tcPr>
          <w:p w14:paraId="40154D2B" w14:textId="77777777" w:rsidR="00291431" w:rsidRDefault="00291431" w:rsidP="00370D80">
            <w:pPr>
              <w:jc w:val="center"/>
              <w:rPr>
                <w:rFonts w:cs="Calibri"/>
                <w:sz w:val="18"/>
                <w:szCs w:val="20"/>
              </w:rPr>
            </w:pPr>
            <w:r w:rsidRPr="002C52D3">
              <w:rPr>
                <w:rFonts w:cs="Calibri"/>
                <w:sz w:val="18"/>
                <w:szCs w:val="20"/>
              </w:rPr>
              <w:t>3</w:t>
            </w:r>
            <w:r>
              <w:rPr>
                <w:rFonts w:cs="Calibri"/>
                <w:sz w:val="18"/>
                <w:szCs w:val="20"/>
              </w:rPr>
              <w:t xml:space="preserve"> </w:t>
            </w:r>
            <w:r w:rsidRPr="002C52D3">
              <w:rPr>
                <w:rFonts w:cs="Calibri"/>
                <w:sz w:val="18"/>
                <w:szCs w:val="20"/>
              </w:rPr>
              <w:t>400</w:t>
            </w:r>
            <w:r>
              <w:rPr>
                <w:rFonts w:cs="Calibri"/>
                <w:sz w:val="18"/>
                <w:szCs w:val="20"/>
              </w:rPr>
              <w:t xml:space="preserve"> </w:t>
            </w:r>
            <w:r w:rsidRPr="002C52D3">
              <w:rPr>
                <w:rFonts w:cs="Calibri"/>
                <w:sz w:val="18"/>
                <w:szCs w:val="20"/>
              </w:rPr>
              <w:t xml:space="preserve">000 </w:t>
            </w:r>
            <w:r>
              <w:rPr>
                <w:rFonts w:cs="Calibri"/>
                <w:sz w:val="18"/>
                <w:szCs w:val="20"/>
              </w:rPr>
              <w:t xml:space="preserve">EUR </w:t>
            </w:r>
            <w:r w:rsidRPr="00404DA5">
              <w:rPr>
                <w:rFonts w:cs="Calibri"/>
                <w:sz w:val="18"/>
                <w:szCs w:val="20"/>
              </w:rPr>
              <w:t>[alokacja UE ogółem</w:t>
            </w:r>
            <w:r>
              <w:rPr>
                <w:rFonts w:cs="Calibri"/>
                <w:sz w:val="18"/>
                <w:szCs w:val="20"/>
              </w:rPr>
              <w:t xml:space="preserve"> </w:t>
            </w:r>
            <w:r w:rsidRPr="00404DA5">
              <w:rPr>
                <w:rFonts w:cs="Calibri"/>
                <w:sz w:val="18"/>
                <w:szCs w:val="20"/>
              </w:rPr>
              <w:t>na Działanie po uwzględnieniu zmian</w:t>
            </w:r>
            <w:r w:rsidR="00E66B89">
              <w:rPr>
                <w:rFonts w:cs="Calibri"/>
                <w:sz w:val="18"/>
                <w:szCs w:val="20"/>
              </w:rPr>
              <w:t xml:space="preserve"> w </w:t>
            </w:r>
            <w:r w:rsidRPr="00404DA5">
              <w:rPr>
                <w:rFonts w:cs="Calibri"/>
                <w:sz w:val="18"/>
                <w:szCs w:val="20"/>
              </w:rPr>
              <w:t>Programie]</w:t>
            </w:r>
          </w:p>
          <w:p w14:paraId="0C3E40F1" w14:textId="77777777" w:rsidR="00291431" w:rsidRPr="009007F6" w:rsidRDefault="00291431" w:rsidP="00370D80">
            <w:pPr>
              <w:jc w:val="center"/>
              <w:rPr>
                <w:rFonts w:cs="Calibri"/>
                <w:b/>
                <w:color w:val="000000"/>
                <w:sz w:val="18"/>
                <w:szCs w:val="18"/>
              </w:rPr>
            </w:pPr>
            <w:r w:rsidRPr="009007F6">
              <w:rPr>
                <w:rFonts w:cs="Calibri"/>
                <w:b/>
                <w:sz w:val="18"/>
                <w:szCs w:val="20"/>
              </w:rPr>
              <w:t>tj.</w:t>
            </w:r>
          </w:p>
          <w:p w14:paraId="4B4E1A9E"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t>14 629 520,00</w:t>
            </w:r>
          </w:p>
          <w:p w14:paraId="0E5FFAAA" w14:textId="77777777" w:rsidR="00291431" w:rsidRPr="00404DA5" w:rsidRDefault="00291431" w:rsidP="00370D80">
            <w:pPr>
              <w:jc w:val="center"/>
              <w:rPr>
                <w:rFonts w:cs="Calibri"/>
                <w:color w:val="000000"/>
                <w:sz w:val="18"/>
                <w:szCs w:val="18"/>
              </w:rPr>
            </w:pPr>
            <w:r w:rsidRPr="00E26420">
              <w:rPr>
                <w:rFonts w:cs="Calibri"/>
                <w:b/>
                <w:color w:val="000000"/>
                <w:sz w:val="18"/>
                <w:szCs w:val="18"/>
              </w:rPr>
              <w:t>zł</w:t>
            </w:r>
          </w:p>
        </w:tc>
        <w:tc>
          <w:tcPr>
            <w:tcW w:w="0" w:type="auto"/>
            <w:shd w:val="clear" w:color="auto" w:fill="auto"/>
            <w:vAlign w:val="center"/>
          </w:tcPr>
          <w:p w14:paraId="13200861" w14:textId="77777777" w:rsidR="00291431" w:rsidRPr="00404DA5" w:rsidRDefault="00291431" w:rsidP="00370D80">
            <w:pPr>
              <w:jc w:val="center"/>
              <w:rPr>
                <w:rFonts w:cs="Calibri"/>
                <w:color w:val="000000"/>
                <w:sz w:val="18"/>
                <w:szCs w:val="18"/>
              </w:rPr>
            </w:pPr>
            <w:r w:rsidRPr="00404DA5">
              <w:rPr>
                <w:rFonts w:cs="Calibri"/>
                <w:color w:val="000000"/>
                <w:sz w:val="18"/>
                <w:szCs w:val="18"/>
              </w:rPr>
              <w:t>77,1%</w:t>
            </w:r>
            <w:r>
              <w:rPr>
                <w:rFonts w:cs="Calibri"/>
                <w:color w:val="000000"/>
                <w:sz w:val="18"/>
                <w:szCs w:val="18"/>
              </w:rPr>
              <w:t xml:space="preserve"> </w:t>
            </w:r>
            <w:r w:rsidRPr="00404DA5">
              <w:rPr>
                <w:rFonts w:cs="Calibri"/>
                <w:sz w:val="18"/>
                <w:szCs w:val="18"/>
              </w:rPr>
              <w:t>alokacji UE ogółem na Działanie</w:t>
            </w:r>
          </w:p>
          <w:p w14:paraId="4EEE22B1" w14:textId="77777777" w:rsidR="00291431" w:rsidRPr="00404DA5" w:rsidRDefault="00291431" w:rsidP="00370D80">
            <w:pPr>
              <w:jc w:val="center"/>
              <w:rPr>
                <w:rFonts w:cs="Calibri"/>
                <w:sz w:val="18"/>
                <w:szCs w:val="18"/>
              </w:rPr>
            </w:pPr>
          </w:p>
        </w:tc>
        <w:tc>
          <w:tcPr>
            <w:tcW w:w="0" w:type="auto"/>
            <w:shd w:val="clear" w:color="auto" w:fill="auto"/>
            <w:vAlign w:val="center"/>
          </w:tcPr>
          <w:p w14:paraId="20B5B5A5" w14:textId="77777777" w:rsidR="00291431" w:rsidRPr="00404DA5" w:rsidRDefault="00291431" w:rsidP="00370D80">
            <w:pPr>
              <w:jc w:val="center"/>
              <w:rPr>
                <w:rFonts w:cs="Calibri"/>
                <w:sz w:val="18"/>
                <w:szCs w:val="18"/>
              </w:rPr>
            </w:pPr>
            <w:r w:rsidRPr="00404DA5">
              <w:rPr>
                <w:rFonts w:cs="Calibri"/>
                <w:sz w:val="18"/>
                <w:szCs w:val="18"/>
              </w:rPr>
              <w:t>7</w:t>
            </w:r>
          </w:p>
        </w:tc>
        <w:tc>
          <w:tcPr>
            <w:tcW w:w="0" w:type="auto"/>
            <w:shd w:val="clear" w:color="auto" w:fill="auto"/>
            <w:vAlign w:val="center"/>
          </w:tcPr>
          <w:p w14:paraId="76065082" w14:textId="77777777" w:rsidR="00291431" w:rsidRDefault="00291431" w:rsidP="00370D80">
            <w:pPr>
              <w:jc w:val="center"/>
              <w:rPr>
                <w:rFonts w:cs="Calibri"/>
                <w:color w:val="000000"/>
                <w:sz w:val="18"/>
                <w:szCs w:val="18"/>
              </w:rPr>
            </w:pPr>
            <w:r w:rsidRPr="00404DA5">
              <w:rPr>
                <w:rFonts w:cs="Calibri"/>
                <w:color w:val="000000"/>
                <w:sz w:val="18"/>
                <w:szCs w:val="18"/>
              </w:rPr>
              <w:t>13 272 967,59</w:t>
            </w:r>
          </w:p>
          <w:p w14:paraId="6B4B75B3" w14:textId="77777777" w:rsidR="00291431" w:rsidRPr="00404DA5" w:rsidRDefault="00291431" w:rsidP="00370D80">
            <w:pPr>
              <w:jc w:val="center"/>
              <w:rPr>
                <w:rFonts w:cs="Calibri"/>
                <w:color w:val="000000"/>
                <w:sz w:val="18"/>
                <w:szCs w:val="18"/>
              </w:rPr>
            </w:pPr>
            <w:r>
              <w:rPr>
                <w:rFonts w:cs="Calibri"/>
                <w:color w:val="000000"/>
                <w:sz w:val="18"/>
                <w:szCs w:val="18"/>
              </w:rPr>
              <w:t>zł</w:t>
            </w:r>
          </w:p>
        </w:tc>
        <w:tc>
          <w:tcPr>
            <w:tcW w:w="0" w:type="auto"/>
            <w:shd w:val="clear" w:color="auto" w:fill="auto"/>
            <w:vAlign w:val="center"/>
          </w:tcPr>
          <w:p w14:paraId="48EF3236" w14:textId="77777777" w:rsidR="00291431" w:rsidRDefault="00291431" w:rsidP="00370D80">
            <w:pPr>
              <w:jc w:val="center"/>
              <w:rPr>
                <w:rFonts w:cs="Calibri"/>
                <w:color w:val="000000"/>
                <w:sz w:val="18"/>
                <w:szCs w:val="18"/>
              </w:rPr>
            </w:pPr>
            <w:r w:rsidRPr="00404DA5">
              <w:rPr>
                <w:rFonts w:cs="Calibri"/>
                <w:color w:val="000000"/>
                <w:sz w:val="18"/>
                <w:szCs w:val="18"/>
              </w:rPr>
              <w:t>11 282 022,43</w:t>
            </w:r>
          </w:p>
          <w:p w14:paraId="1B6627E6" w14:textId="77777777" w:rsidR="00291431" w:rsidRPr="00404DA5" w:rsidRDefault="00291431" w:rsidP="00370D80">
            <w:pPr>
              <w:jc w:val="center"/>
              <w:rPr>
                <w:rFonts w:cs="Calibri"/>
                <w:color w:val="000000"/>
                <w:sz w:val="18"/>
                <w:szCs w:val="18"/>
              </w:rPr>
            </w:pPr>
            <w:r>
              <w:rPr>
                <w:rFonts w:cs="Calibri"/>
                <w:color w:val="000000"/>
                <w:sz w:val="18"/>
                <w:szCs w:val="18"/>
              </w:rPr>
              <w:t>zł</w:t>
            </w:r>
          </w:p>
        </w:tc>
      </w:tr>
      <w:tr w:rsidR="00291431" w:rsidRPr="00EE5470" w14:paraId="43B7D1E6" w14:textId="77777777" w:rsidTr="00C22C26">
        <w:tc>
          <w:tcPr>
            <w:tcW w:w="0" w:type="auto"/>
            <w:shd w:val="clear" w:color="auto" w:fill="auto"/>
          </w:tcPr>
          <w:p w14:paraId="02392697" w14:textId="77777777" w:rsidR="00291431" w:rsidRPr="00404DA5" w:rsidRDefault="00291431" w:rsidP="00370D80">
            <w:pPr>
              <w:rPr>
                <w:sz w:val="18"/>
                <w:szCs w:val="18"/>
              </w:rPr>
            </w:pPr>
            <w:r w:rsidRPr="00404DA5">
              <w:rPr>
                <w:sz w:val="18"/>
                <w:szCs w:val="18"/>
              </w:rPr>
              <w:t>Działanie 8.8 Wsparcie szkół</w:t>
            </w:r>
            <w:r w:rsidR="00E66B89">
              <w:rPr>
                <w:sz w:val="18"/>
                <w:szCs w:val="18"/>
              </w:rPr>
              <w:t xml:space="preserve"> i </w:t>
            </w:r>
            <w:r w:rsidRPr="00404DA5">
              <w:rPr>
                <w:sz w:val="18"/>
                <w:szCs w:val="18"/>
              </w:rPr>
              <w:t>placówek prowadzących kształcenie zawodowe oraz uczniów uczestniczących</w:t>
            </w:r>
            <w:r w:rsidR="00E66B89">
              <w:rPr>
                <w:sz w:val="18"/>
                <w:szCs w:val="18"/>
              </w:rPr>
              <w:t xml:space="preserve"> w </w:t>
            </w:r>
            <w:r w:rsidRPr="00404DA5">
              <w:rPr>
                <w:sz w:val="18"/>
                <w:szCs w:val="18"/>
              </w:rPr>
              <w:t>kształceniu zawodowym</w:t>
            </w:r>
            <w:r w:rsidR="00E66B89">
              <w:rPr>
                <w:sz w:val="18"/>
                <w:szCs w:val="18"/>
              </w:rPr>
              <w:t xml:space="preserve"> i </w:t>
            </w:r>
            <w:r w:rsidRPr="00404DA5">
              <w:rPr>
                <w:sz w:val="18"/>
                <w:szCs w:val="18"/>
              </w:rPr>
              <w:t>osób dorosłych uczestniczących</w:t>
            </w:r>
            <w:r w:rsidR="00E66B89">
              <w:rPr>
                <w:sz w:val="18"/>
                <w:szCs w:val="18"/>
              </w:rPr>
              <w:t xml:space="preserve"> w </w:t>
            </w:r>
            <w:r w:rsidRPr="00404DA5">
              <w:rPr>
                <w:sz w:val="18"/>
                <w:szCs w:val="18"/>
              </w:rPr>
              <w:t>pozaszkolnych formach kształcenia zawodowego</w:t>
            </w:r>
            <w:r w:rsidR="00E66B89">
              <w:rPr>
                <w:sz w:val="18"/>
                <w:szCs w:val="18"/>
              </w:rPr>
              <w:t xml:space="preserve"> w </w:t>
            </w:r>
            <w:r w:rsidRPr="00404DA5">
              <w:rPr>
                <w:sz w:val="18"/>
                <w:szCs w:val="18"/>
              </w:rPr>
              <w:t xml:space="preserve">ramach Strategii ZIT dla Koszalińsko-Kołobrzesko-Białogardzkiego Obszaru Funkcjonalnego </w:t>
            </w:r>
          </w:p>
        </w:tc>
        <w:tc>
          <w:tcPr>
            <w:tcW w:w="0" w:type="auto"/>
            <w:shd w:val="clear" w:color="auto" w:fill="auto"/>
            <w:vAlign w:val="center"/>
          </w:tcPr>
          <w:p w14:paraId="658A2E8B" w14:textId="77777777" w:rsidR="00291431" w:rsidRDefault="00291431" w:rsidP="00370D80">
            <w:pPr>
              <w:jc w:val="center"/>
              <w:rPr>
                <w:rFonts w:cs="Calibri"/>
                <w:sz w:val="18"/>
                <w:szCs w:val="20"/>
              </w:rPr>
            </w:pPr>
            <w:r w:rsidRPr="002C52D3">
              <w:rPr>
                <w:rFonts w:cs="Calibri"/>
                <w:sz w:val="18"/>
                <w:szCs w:val="20"/>
              </w:rPr>
              <w:t>2</w:t>
            </w:r>
            <w:r>
              <w:rPr>
                <w:rFonts w:cs="Calibri"/>
                <w:sz w:val="18"/>
                <w:szCs w:val="20"/>
              </w:rPr>
              <w:t xml:space="preserve"> </w:t>
            </w:r>
            <w:r w:rsidRPr="002C52D3">
              <w:rPr>
                <w:rFonts w:cs="Calibri"/>
                <w:sz w:val="18"/>
                <w:szCs w:val="20"/>
              </w:rPr>
              <w:t>000</w:t>
            </w:r>
            <w:r>
              <w:rPr>
                <w:rFonts w:cs="Calibri"/>
                <w:sz w:val="18"/>
                <w:szCs w:val="20"/>
              </w:rPr>
              <w:t xml:space="preserve"> </w:t>
            </w:r>
            <w:r w:rsidRPr="002C52D3">
              <w:rPr>
                <w:rFonts w:cs="Calibri"/>
                <w:sz w:val="18"/>
                <w:szCs w:val="20"/>
              </w:rPr>
              <w:t xml:space="preserve">000 </w:t>
            </w:r>
            <w:r>
              <w:rPr>
                <w:rFonts w:cs="Calibri"/>
                <w:sz w:val="18"/>
                <w:szCs w:val="20"/>
              </w:rPr>
              <w:t xml:space="preserve">EUR </w:t>
            </w:r>
            <w:r w:rsidRPr="00404DA5">
              <w:rPr>
                <w:rFonts w:cs="Calibri"/>
                <w:sz w:val="18"/>
                <w:szCs w:val="20"/>
              </w:rPr>
              <w:t>[alokacja UE ogółem</w:t>
            </w:r>
            <w:r>
              <w:rPr>
                <w:rFonts w:cs="Calibri"/>
                <w:sz w:val="18"/>
                <w:szCs w:val="20"/>
              </w:rPr>
              <w:t xml:space="preserve"> </w:t>
            </w:r>
            <w:r w:rsidRPr="00404DA5">
              <w:rPr>
                <w:rFonts w:cs="Calibri"/>
                <w:sz w:val="18"/>
                <w:szCs w:val="20"/>
              </w:rPr>
              <w:t>na Działanie po uwzględnieniu zmian</w:t>
            </w:r>
            <w:r w:rsidR="00E66B89">
              <w:rPr>
                <w:rFonts w:cs="Calibri"/>
                <w:sz w:val="18"/>
                <w:szCs w:val="20"/>
              </w:rPr>
              <w:t xml:space="preserve"> w </w:t>
            </w:r>
            <w:r w:rsidRPr="00404DA5">
              <w:rPr>
                <w:rFonts w:cs="Calibri"/>
                <w:sz w:val="18"/>
                <w:szCs w:val="20"/>
              </w:rPr>
              <w:t>Programie]</w:t>
            </w:r>
          </w:p>
          <w:p w14:paraId="0128737A" w14:textId="77777777" w:rsidR="00291431" w:rsidRPr="009007F6" w:rsidRDefault="00291431" w:rsidP="00370D80">
            <w:pPr>
              <w:jc w:val="center"/>
              <w:rPr>
                <w:rFonts w:cs="Calibri"/>
                <w:b/>
                <w:color w:val="000000"/>
                <w:sz w:val="18"/>
                <w:szCs w:val="18"/>
              </w:rPr>
            </w:pPr>
            <w:r w:rsidRPr="009007F6">
              <w:rPr>
                <w:rFonts w:cs="Calibri"/>
                <w:b/>
                <w:sz w:val="18"/>
                <w:szCs w:val="20"/>
              </w:rPr>
              <w:t>tj.</w:t>
            </w:r>
          </w:p>
          <w:p w14:paraId="07E2C5CC"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t>8 605 600,00</w:t>
            </w:r>
          </w:p>
          <w:p w14:paraId="21CAD89D" w14:textId="77777777" w:rsidR="00291431" w:rsidRPr="00404DA5" w:rsidRDefault="00291431" w:rsidP="00370D80">
            <w:pPr>
              <w:jc w:val="center"/>
              <w:rPr>
                <w:rFonts w:cs="Calibri"/>
                <w:color w:val="000000"/>
                <w:sz w:val="18"/>
                <w:szCs w:val="18"/>
              </w:rPr>
            </w:pPr>
            <w:r w:rsidRPr="00E26420">
              <w:rPr>
                <w:rFonts w:cs="Calibri"/>
                <w:b/>
                <w:color w:val="000000"/>
                <w:sz w:val="18"/>
                <w:szCs w:val="18"/>
              </w:rPr>
              <w:t>zł</w:t>
            </w:r>
          </w:p>
        </w:tc>
        <w:tc>
          <w:tcPr>
            <w:tcW w:w="0" w:type="auto"/>
            <w:shd w:val="clear" w:color="auto" w:fill="auto"/>
            <w:vAlign w:val="center"/>
          </w:tcPr>
          <w:p w14:paraId="7DE4B22C" w14:textId="77777777" w:rsidR="00291431" w:rsidRPr="00404DA5" w:rsidRDefault="00291431" w:rsidP="00370D80">
            <w:pPr>
              <w:jc w:val="center"/>
              <w:rPr>
                <w:rFonts w:cs="Calibri"/>
                <w:color w:val="000000"/>
                <w:sz w:val="18"/>
                <w:szCs w:val="18"/>
              </w:rPr>
            </w:pPr>
            <w:r w:rsidRPr="00404DA5">
              <w:rPr>
                <w:rFonts w:cs="Calibri"/>
                <w:color w:val="000000"/>
                <w:sz w:val="18"/>
                <w:szCs w:val="18"/>
              </w:rPr>
              <w:t>58,7%</w:t>
            </w:r>
            <w:r>
              <w:rPr>
                <w:rFonts w:cs="Calibri"/>
                <w:color w:val="000000"/>
                <w:sz w:val="18"/>
                <w:szCs w:val="18"/>
              </w:rPr>
              <w:t xml:space="preserve"> </w:t>
            </w:r>
            <w:r w:rsidRPr="00404DA5">
              <w:rPr>
                <w:rFonts w:cs="Calibri"/>
                <w:sz w:val="18"/>
                <w:szCs w:val="18"/>
              </w:rPr>
              <w:t>alokacji UE ogółem na Działanie</w:t>
            </w:r>
          </w:p>
        </w:tc>
        <w:tc>
          <w:tcPr>
            <w:tcW w:w="0" w:type="auto"/>
            <w:shd w:val="clear" w:color="auto" w:fill="auto"/>
            <w:vAlign w:val="center"/>
          </w:tcPr>
          <w:p w14:paraId="49942DD8" w14:textId="77777777" w:rsidR="00291431" w:rsidRPr="00404DA5" w:rsidRDefault="00291431" w:rsidP="00370D80">
            <w:pPr>
              <w:jc w:val="center"/>
              <w:rPr>
                <w:rFonts w:cs="Calibri"/>
                <w:sz w:val="18"/>
                <w:szCs w:val="18"/>
              </w:rPr>
            </w:pPr>
            <w:r w:rsidRPr="00404DA5">
              <w:rPr>
                <w:rFonts w:cs="Calibri"/>
                <w:sz w:val="18"/>
                <w:szCs w:val="18"/>
              </w:rPr>
              <w:t>5</w:t>
            </w:r>
          </w:p>
        </w:tc>
        <w:tc>
          <w:tcPr>
            <w:tcW w:w="0" w:type="auto"/>
            <w:shd w:val="clear" w:color="auto" w:fill="auto"/>
            <w:vAlign w:val="center"/>
          </w:tcPr>
          <w:p w14:paraId="54AF9042" w14:textId="77777777" w:rsidR="00291431" w:rsidRDefault="00291431" w:rsidP="00370D80">
            <w:pPr>
              <w:jc w:val="center"/>
              <w:rPr>
                <w:rFonts w:cs="Calibri"/>
                <w:color w:val="000000"/>
                <w:sz w:val="18"/>
                <w:szCs w:val="18"/>
              </w:rPr>
            </w:pPr>
            <w:r w:rsidRPr="00404DA5">
              <w:rPr>
                <w:rFonts w:cs="Calibri"/>
                <w:color w:val="000000"/>
                <w:sz w:val="18"/>
                <w:szCs w:val="18"/>
              </w:rPr>
              <w:t>5 943 586,20</w:t>
            </w:r>
          </w:p>
          <w:p w14:paraId="6E3E172E" w14:textId="77777777" w:rsidR="00291431" w:rsidRPr="00404DA5" w:rsidRDefault="00291431" w:rsidP="00370D80">
            <w:pPr>
              <w:jc w:val="center"/>
              <w:rPr>
                <w:rFonts w:cs="Calibri"/>
                <w:color w:val="000000"/>
                <w:sz w:val="18"/>
                <w:szCs w:val="18"/>
              </w:rPr>
            </w:pPr>
            <w:r>
              <w:rPr>
                <w:rFonts w:cs="Calibri"/>
                <w:color w:val="000000"/>
                <w:sz w:val="18"/>
                <w:szCs w:val="18"/>
              </w:rPr>
              <w:t>zł</w:t>
            </w:r>
          </w:p>
        </w:tc>
        <w:tc>
          <w:tcPr>
            <w:tcW w:w="0" w:type="auto"/>
            <w:shd w:val="clear" w:color="auto" w:fill="auto"/>
            <w:vAlign w:val="center"/>
          </w:tcPr>
          <w:p w14:paraId="5F0C2C6E" w14:textId="77777777" w:rsidR="00291431" w:rsidRDefault="00291431" w:rsidP="00370D80">
            <w:pPr>
              <w:jc w:val="center"/>
              <w:rPr>
                <w:rFonts w:cs="Calibri"/>
                <w:color w:val="000000"/>
                <w:sz w:val="18"/>
                <w:szCs w:val="18"/>
              </w:rPr>
            </w:pPr>
            <w:r w:rsidRPr="00404DA5">
              <w:rPr>
                <w:rFonts w:cs="Calibri"/>
                <w:color w:val="000000"/>
                <w:sz w:val="18"/>
                <w:szCs w:val="18"/>
              </w:rPr>
              <w:t>5 052 040,76</w:t>
            </w:r>
          </w:p>
          <w:p w14:paraId="71116760" w14:textId="77777777" w:rsidR="00291431" w:rsidRPr="00404DA5" w:rsidRDefault="00291431" w:rsidP="00370D80">
            <w:pPr>
              <w:jc w:val="center"/>
              <w:rPr>
                <w:rFonts w:cs="Calibri"/>
                <w:color w:val="000000"/>
                <w:sz w:val="18"/>
                <w:szCs w:val="18"/>
              </w:rPr>
            </w:pPr>
            <w:r>
              <w:rPr>
                <w:rFonts w:cs="Calibri"/>
                <w:color w:val="000000"/>
                <w:sz w:val="18"/>
                <w:szCs w:val="18"/>
              </w:rPr>
              <w:t>zł</w:t>
            </w:r>
          </w:p>
        </w:tc>
      </w:tr>
      <w:tr w:rsidR="00291431" w:rsidRPr="00EE5470" w14:paraId="39D884DC" w14:textId="77777777" w:rsidTr="00C22C26">
        <w:tc>
          <w:tcPr>
            <w:tcW w:w="0" w:type="auto"/>
            <w:shd w:val="clear" w:color="auto" w:fill="auto"/>
          </w:tcPr>
          <w:p w14:paraId="7DFC407D" w14:textId="77777777" w:rsidR="00291431" w:rsidRPr="00404DA5" w:rsidRDefault="00291431" w:rsidP="00370D80">
            <w:pPr>
              <w:rPr>
                <w:sz w:val="18"/>
                <w:szCs w:val="18"/>
              </w:rPr>
            </w:pPr>
            <w:r w:rsidRPr="00404DA5">
              <w:rPr>
                <w:sz w:val="18"/>
                <w:szCs w:val="18"/>
              </w:rPr>
              <w:t>Działanie 8.9 Wsparcie szkół</w:t>
            </w:r>
            <w:r w:rsidR="00E66B89">
              <w:rPr>
                <w:sz w:val="18"/>
                <w:szCs w:val="18"/>
              </w:rPr>
              <w:t xml:space="preserve"> i </w:t>
            </w:r>
            <w:r w:rsidRPr="00404DA5">
              <w:rPr>
                <w:sz w:val="18"/>
                <w:szCs w:val="18"/>
              </w:rPr>
              <w:t>placówek prowadzących kształcenie zawodowe oraz uczniów uczestniczących</w:t>
            </w:r>
            <w:r w:rsidR="00E66B89">
              <w:rPr>
                <w:sz w:val="18"/>
                <w:szCs w:val="18"/>
              </w:rPr>
              <w:t xml:space="preserve"> w </w:t>
            </w:r>
            <w:r w:rsidRPr="00404DA5">
              <w:rPr>
                <w:sz w:val="18"/>
                <w:szCs w:val="18"/>
              </w:rPr>
              <w:t>kształceniu zawodowym</w:t>
            </w:r>
            <w:r w:rsidR="00E66B89">
              <w:rPr>
                <w:sz w:val="18"/>
                <w:szCs w:val="18"/>
              </w:rPr>
              <w:t xml:space="preserve"> i </w:t>
            </w:r>
            <w:r w:rsidRPr="00404DA5">
              <w:rPr>
                <w:sz w:val="18"/>
                <w:szCs w:val="18"/>
              </w:rPr>
              <w:t>osób dorosłych uczestniczących</w:t>
            </w:r>
            <w:r w:rsidR="00E66B89">
              <w:rPr>
                <w:sz w:val="18"/>
                <w:szCs w:val="18"/>
              </w:rPr>
              <w:t xml:space="preserve"> w </w:t>
            </w:r>
            <w:r w:rsidRPr="00404DA5">
              <w:rPr>
                <w:sz w:val="18"/>
                <w:szCs w:val="18"/>
              </w:rPr>
              <w:t>pozaszkolnych formach kształcenia zawodowego</w:t>
            </w:r>
            <w:r w:rsidR="00E66B89">
              <w:rPr>
                <w:sz w:val="18"/>
                <w:szCs w:val="18"/>
              </w:rPr>
              <w:t xml:space="preserve"> w </w:t>
            </w:r>
            <w:r w:rsidRPr="00404DA5">
              <w:rPr>
                <w:sz w:val="18"/>
                <w:szCs w:val="18"/>
              </w:rPr>
              <w:t xml:space="preserve">ramach Kontraktów Samorządowych </w:t>
            </w:r>
          </w:p>
        </w:tc>
        <w:tc>
          <w:tcPr>
            <w:tcW w:w="0" w:type="auto"/>
            <w:shd w:val="clear" w:color="auto" w:fill="auto"/>
            <w:vAlign w:val="center"/>
          </w:tcPr>
          <w:p w14:paraId="5142F6BE" w14:textId="77777777" w:rsidR="00291431" w:rsidRDefault="00291431" w:rsidP="00370D80">
            <w:pPr>
              <w:jc w:val="center"/>
              <w:rPr>
                <w:rFonts w:cs="Calibri"/>
                <w:sz w:val="18"/>
                <w:szCs w:val="20"/>
              </w:rPr>
            </w:pPr>
            <w:r w:rsidRPr="002C52D3">
              <w:rPr>
                <w:rFonts w:cs="Calibri"/>
                <w:sz w:val="18"/>
                <w:szCs w:val="20"/>
              </w:rPr>
              <w:t>10</w:t>
            </w:r>
            <w:r>
              <w:rPr>
                <w:rFonts w:cs="Calibri"/>
                <w:sz w:val="18"/>
                <w:szCs w:val="20"/>
              </w:rPr>
              <w:t xml:space="preserve"> </w:t>
            </w:r>
            <w:r w:rsidRPr="002C52D3">
              <w:rPr>
                <w:rFonts w:cs="Calibri"/>
                <w:sz w:val="18"/>
                <w:szCs w:val="20"/>
              </w:rPr>
              <w:t>000</w:t>
            </w:r>
            <w:r>
              <w:rPr>
                <w:rFonts w:cs="Calibri"/>
                <w:sz w:val="18"/>
                <w:szCs w:val="20"/>
              </w:rPr>
              <w:t xml:space="preserve"> </w:t>
            </w:r>
            <w:r w:rsidRPr="002C52D3">
              <w:rPr>
                <w:rFonts w:cs="Calibri"/>
                <w:sz w:val="18"/>
                <w:szCs w:val="20"/>
              </w:rPr>
              <w:t xml:space="preserve">000 </w:t>
            </w:r>
            <w:r>
              <w:rPr>
                <w:rFonts w:cs="Calibri"/>
                <w:sz w:val="18"/>
                <w:szCs w:val="20"/>
              </w:rPr>
              <w:t xml:space="preserve">EUR </w:t>
            </w:r>
            <w:r w:rsidRPr="00404DA5">
              <w:rPr>
                <w:rFonts w:cs="Calibri"/>
                <w:sz w:val="18"/>
                <w:szCs w:val="20"/>
              </w:rPr>
              <w:t>[alokacja UE ogółem na Działanie po uwzględnieniu zmian</w:t>
            </w:r>
            <w:r w:rsidR="00E66B89">
              <w:rPr>
                <w:rFonts w:cs="Calibri"/>
                <w:sz w:val="18"/>
                <w:szCs w:val="20"/>
              </w:rPr>
              <w:t xml:space="preserve"> w </w:t>
            </w:r>
            <w:r w:rsidRPr="00404DA5">
              <w:rPr>
                <w:rFonts w:cs="Calibri"/>
                <w:sz w:val="18"/>
                <w:szCs w:val="20"/>
              </w:rPr>
              <w:t>Programie]</w:t>
            </w:r>
          </w:p>
          <w:p w14:paraId="1100B044" w14:textId="77777777" w:rsidR="00291431" w:rsidRPr="002D28D4" w:rsidRDefault="00291431" w:rsidP="00370D80">
            <w:pPr>
              <w:jc w:val="center"/>
              <w:rPr>
                <w:rFonts w:cs="Calibri"/>
                <w:b/>
                <w:color w:val="000000"/>
                <w:sz w:val="18"/>
                <w:szCs w:val="18"/>
              </w:rPr>
            </w:pPr>
            <w:r w:rsidRPr="009007F6">
              <w:rPr>
                <w:rFonts w:cs="Calibri"/>
                <w:b/>
                <w:sz w:val="18"/>
                <w:szCs w:val="20"/>
              </w:rPr>
              <w:t>tj.</w:t>
            </w:r>
          </w:p>
          <w:p w14:paraId="6276E0FD" w14:textId="77777777" w:rsidR="00291431" w:rsidRPr="00E26420" w:rsidRDefault="00291431" w:rsidP="00370D80">
            <w:pPr>
              <w:jc w:val="center"/>
              <w:rPr>
                <w:rFonts w:cs="Calibri"/>
                <w:b/>
                <w:color w:val="000000"/>
                <w:sz w:val="18"/>
                <w:szCs w:val="18"/>
              </w:rPr>
            </w:pPr>
            <w:r w:rsidRPr="00E26420">
              <w:rPr>
                <w:rFonts w:cs="Calibri"/>
                <w:b/>
                <w:color w:val="000000"/>
                <w:sz w:val="18"/>
                <w:szCs w:val="18"/>
              </w:rPr>
              <w:t>43 028 000,00</w:t>
            </w:r>
          </w:p>
          <w:p w14:paraId="05A24446" w14:textId="77777777" w:rsidR="00291431" w:rsidRPr="00404DA5" w:rsidRDefault="00291431" w:rsidP="00370D80">
            <w:pPr>
              <w:jc w:val="center"/>
              <w:rPr>
                <w:rFonts w:cs="Calibri"/>
                <w:color w:val="000000"/>
                <w:sz w:val="18"/>
                <w:szCs w:val="18"/>
              </w:rPr>
            </w:pPr>
            <w:r w:rsidRPr="00E26420">
              <w:rPr>
                <w:rFonts w:cs="Calibri"/>
                <w:b/>
                <w:color w:val="000000"/>
                <w:sz w:val="18"/>
                <w:szCs w:val="18"/>
              </w:rPr>
              <w:t>zł</w:t>
            </w:r>
          </w:p>
        </w:tc>
        <w:tc>
          <w:tcPr>
            <w:tcW w:w="0" w:type="auto"/>
            <w:shd w:val="clear" w:color="auto" w:fill="auto"/>
            <w:vAlign w:val="center"/>
          </w:tcPr>
          <w:p w14:paraId="3D21D64B" w14:textId="77777777" w:rsidR="00291431" w:rsidRPr="00404DA5" w:rsidRDefault="00291431" w:rsidP="00370D80">
            <w:pPr>
              <w:jc w:val="center"/>
              <w:rPr>
                <w:rFonts w:cs="Calibri"/>
                <w:color w:val="000000"/>
                <w:sz w:val="18"/>
                <w:szCs w:val="18"/>
              </w:rPr>
            </w:pPr>
            <w:r w:rsidRPr="00404DA5">
              <w:rPr>
                <w:rFonts w:cs="Calibri"/>
                <w:color w:val="000000"/>
                <w:sz w:val="18"/>
                <w:szCs w:val="18"/>
              </w:rPr>
              <w:t>59,6%</w:t>
            </w:r>
            <w:r>
              <w:rPr>
                <w:rFonts w:cs="Calibri"/>
                <w:color w:val="000000"/>
                <w:sz w:val="18"/>
                <w:szCs w:val="18"/>
              </w:rPr>
              <w:t xml:space="preserve"> </w:t>
            </w:r>
            <w:r w:rsidRPr="00404DA5">
              <w:rPr>
                <w:rFonts w:cs="Calibri"/>
                <w:sz w:val="18"/>
                <w:szCs w:val="18"/>
              </w:rPr>
              <w:t>alokacji UE ogółem na Działanie</w:t>
            </w:r>
          </w:p>
        </w:tc>
        <w:tc>
          <w:tcPr>
            <w:tcW w:w="0" w:type="auto"/>
            <w:shd w:val="clear" w:color="auto" w:fill="auto"/>
            <w:vAlign w:val="center"/>
          </w:tcPr>
          <w:p w14:paraId="5626E32C" w14:textId="77777777" w:rsidR="00291431" w:rsidRPr="00404DA5" w:rsidRDefault="00291431" w:rsidP="00370D80">
            <w:pPr>
              <w:jc w:val="center"/>
              <w:rPr>
                <w:rFonts w:cs="Calibri"/>
                <w:sz w:val="18"/>
                <w:szCs w:val="18"/>
              </w:rPr>
            </w:pPr>
            <w:r w:rsidRPr="00404DA5">
              <w:rPr>
                <w:rFonts w:cs="Calibri"/>
                <w:sz w:val="18"/>
                <w:szCs w:val="18"/>
              </w:rPr>
              <w:t>8</w:t>
            </w:r>
          </w:p>
        </w:tc>
        <w:tc>
          <w:tcPr>
            <w:tcW w:w="0" w:type="auto"/>
            <w:shd w:val="clear" w:color="auto" w:fill="auto"/>
            <w:vAlign w:val="center"/>
          </w:tcPr>
          <w:p w14:paraId="2CE5E65A" w14:textId="77777777" w:rsidR="00291431" w:rsidRDefault="00291431" w:rsidP="00370D80">
            <w:pPr>
              <w:jc w:val="center"/>
              <w:rPr>
                <w:rFonts w:cs="Calibri"/>
                <w:color w:val="000000"/>
                <w:sz w:val="18"/>
                <w:szCs w:val="18"/>
              </w:rPr>
            </w:pPr>
            <w:r w:rsidRPr="00404DA5">
              <w:rPr>
                <w:rFonts w:cs="Calibri"/>
                <w:color w:val="000000"/>
                <w:sz w:val="18"/>
                <w:szCs w:val="18"/>
              </w:rPr>
              <w:t>30 228 684,18</w:t>
            </w:r>
          </w:p>
          <w:p w14:paraId="0AC2DC98" w14:textId="77777777" w:rsidR="00291431" w:rsidRPr="00404DA5" w:rsidRDefault="00291431" w:rsidP="00370D80">
            <w:pPr>
              <w:jc w:val="center"/>
              <w:rPr>
                <w:rFonts w:cs="Calibri"/>
                <w:color w:val="000000"/>
                <w:sz w:val="18"/>
                <w:szCs w:val="18"/>
              </w:rPr>
            </w:pPr>
            <w:r>
              <w:rPr>
                <w:rFonts w:cs="Calibri"/>
                <w:color w:val="000000"/>
                <w:sz w:val="18"/>
                <w:szCs w:val="18"/>
              </w:rPr>
              <w:t>zł</w:t>
            </w:r>
          </w:p>
        </w:tc>
        <w:tc>
          <w:tcPr>
            <w:tcW w:w="0" w:type="auto"/>
            <w:shd w:val="clear" w:color="auto" w:fill="auto"/>
            <w:vAlign w:val="center"/>
          </w:tcPr>
          <w:p w14:paraId="70957B26" w14:textId="77777777" w:rsidR="00291431" w:rsidRDefault="00291431" w:rsidP="00370D80">
            <w:pPr>
              <w:jc w:val="center"/>
              <w:rPr>
                <w:rFonts w:cs="Calibri"/>
                <w:color w:val="000000"/>
                <w:sz w:val="18"/>
                <w:szCs w:val="18"/>
              </w:rPr>
            </w:pPr>
            <w:r w:rsidRPr="00404DA5">
              <w:rPr>
                <w:rFonts w:cs="Calibri"/>
                <w:color w:val="000000"/>
                <w:sz w:val="18"/>
                <w:szCs w:val="18"/>
              </w:rPr>
              <w:t>25 632 687,03</w:t>
            </w:r>
          </w:p>
          <w:p w14:paraId="31A24908" w14:textId="77777777" w:rsidR="00291431" w:rsidRPr="00404DA5" w:rsidRDefault="00291431" w:rsidP="00370D80">
            <w:pPr>
              <w:jc w:val="center"/>
              <w:rPr>
                <w:rFonts w:cs="Calibri"/>
                <w:color w:val="000000"/>
                <w:sz w:val="18"/>
                <w:szCs w:val="18"/>
              </w:rPr>
            </w:pPr>
            <w:r>
              <w:rPr>
                <w:rFonts w:cs="Calibri"/>
                <w:color w:val="000000"/>
                <w:sz w:val="18"/>
                <w:szCs w:val="18"/>
              </w:rPr>
              <w:t>zł</w:t>
            </w:r>
          </w:p>
        </w:tc>
      </w:tr>
    </w:tbl>
    <w:p w14:paraId="426DB44E" w14:textId="3BB6EBBD" w:rsidR="00291431" w:rsidRPr="00D21299" w:rsidRDefault="00291431" w:rsidP="0028542B">
      <w:pPr>
        <w:spacing w:before="0"/>
        <w:rPr>
          <w:rFonts w:cs="Calibri"/>
          <w:i/>
          <w:sz w:val="18"/>
          <w:szCs w:val="18"/>
        </w:rPr>
      </w:pPr>
      <w:r w:rsidRPr="00D21299">
        <w:rPr>
          <w:rFonts w:cs="Calibri"/>
          <w:i/>
          <w:sz w:val="18"/>
          <w:szCs w:val="18"/>
        </w:rPr>
        <w:t>Źródło: obliczenia własne na podstawie danych SL 2014 (stan na dzień 07.01.2019r.)</w:t>
      </w:r>
      <w:r w:rsidR="00AA6879">
        <w:rPr>
          <w:rFonts w:cs="Calibri"/>
          <w:i/>
          <w:sz w:val="18"/>
          <w:szCs w:val="18"/>
        </w:rPr>
        <w:t>.</w:t>
      </w:r>
    </w:p>
    <w:p w14:paraId="05AAD9A6" w14:textId="77777777" w:rsidR="00291431" w:rsidRDefault="00291431" w:rsidP="00291431">
      <w:r>
        <w:t>Na poniższej mapie przedstawiono dane dotyczące wartości projektów ogółem realizowanych</w:t>
      </w:r>
      <w:r w:rsidR="00E66B89">
        <w:t xml:space="preserve"> w </w:t>
      </w:r>
      <w:r>
        <w:t>ramach Działań 8.6, 8.7, 8.8, 8.9</w:t>
      </w:r>
      <w:r w:rsidR="00E66B89">
        <w:t xml:space="preserve"> w </w:t>
      </w:r>
      <w:r>
        <w:t>podziale na gminy województwa zachodniopomorskiego. Projekty</w:t>
      </w:r>
      <w:r w:rsidR="00E66B89">
        <w:t xml:space="preserve"> o </w:t>
      </w:r>
      <w:r>
        <w:t>największej wartości ogółem</w:t>
      </w:r>
      <w:r w:rsidR="00E66B89">
        <w:t xml:space="preserve"> w </w:t>
      </w:r>
      <w:r>
        <w:t>ramach tych Działań są realizowane</w:t>
      </w:r>
      <w:r w:rsidR="00E66B89">
        <w:t xml:space="preserve"> w </w:t>
      </w:r>
      <w:r>
        <w:t>gminach Szczecin (4</w:t>
      </w:r>
      <w:r w:rsidRPr="00F64747">
        <w:t>0</w:t>
      </w:r>
      <w:r>
        <w:t xml:space="preserve"> mln zł), </w:t>
      </w:r>
      <w:r>
        <w:lastRenderedPageBreak/>
        <w:t>Koszalin (10 mln zł), Police</w:t>
      </w:r>
      <w:r w:rsidRPr="00F64747">
        <w:t xml:space="preserve"> </w:t>
      </w:r>
      <w:r>
        <w:t>(8,</w:t>
      </w:r>
      <w:r w:rsidRPr="00F64747">
        <w:t>8</w:t>
      </w:r>
      <w:r>
        <w:t xml:space="preserve"> mln zł), </w:t>
      </w:r>
      <w:r w:rsidRPr="001108CD">
        <w:t xml:space="preserve">Świnoujście </w:t>
      </w:r>
      <w:r>
        <w:t xml:space="preserve">(6,1 mln zł) oraz </w:t>
      </w:r>
      <w:r w:rsidRPr="001108CD">
        <w:t>Stargard</w:t>
      </w:r>
      <w:r>
        <w:t xml:space="preserve"> (3,5 mln). Wszystkie</w:t>
      </w:r>
      <w:r w:rsidR="00E66B89">
        <w:t xml:space="preserve"> z </w:t>
      </w:r>
      <w:r>
        <w:t>tych miejscowości,</w:t>
      </w:r>
      <w:r w:rsidR="00E66B89">
        <w:t xml:space="preserve"> z </w:t>
      </w:r>
      <w:r>
        <w:t xml:space="preserve">wyjątkiem Koszalina, należą do obszarów objętych mechanizmem ZIT SOM. We wszystkich gminach, których siedzibą jest niewielka miejscowość (Kobylanka, Stepnica, </w:t>
      </w:r>
      <w:r w:rsidRPr="00C10974">
        <w:t>Stare Czarnowo</w:t>
      </w:r>
      <w:r>
        <w:t xml:space="preserve">, </w:t>
      </w:r>
      <w:r w:rsidRPr="00F549A7">
        <w:t>Kołbaskowo</w:t>
      </w:r>
      <w:r>
        <w:t xml:space="preserve">, </w:t>
      </w:r>
      <w:r w:rsidRPr="00F549A7">
        <w:t>Nowe Warpno</w:t>
      </w:r>
      <w:r>
        <w:t xml:space="preserve">, </w:t>
      </w:r>
      <w:r w:rsidRPr="00F549A7">
        <w:t>Dobra</w:t>
      </w:r>
      <w:r>
        <w:t>), projekty realizowane</w:t>
      </w:r>
      <w:r w:rsidR="00E66B89">
        <w:t xml:space="preserve"> w </w:t>
      </w:r>
      <w:r>
        <w:t>Działaniu 8.7 (przeznaczonym dla ZIT SOM) są jedynym rodzajem interwencji finansowanej</w:t>
      </w:r>
      <w:r w:rsidR="00E66B89">
        <w:t xml:space="preserve"> z </w:t>
      </w:r>
      <w:r>
        <w:t>EFS skierowanym na wsparcie kształcenia zawodowego</w:t>
      </w:r>
      <w:r w:rsidR="00E66B89">
        <w:t xml:space="preserve"> i </w:t>
      </w:r>
      <w:r>
        <w:t>ustawicznego.</w:t>
      </w:r>
      <w:r w:rsidR="00E66B89">
        <w:t xml:space="preserve"> W </w:t>
      </w:r>
      <w:r>
        <w:t xml:space="preserve">przypadku większych miejscowości udział </w:t>
      </w:r>
      <w:r w:rsidRPr="00C10974">
        <w:t>projektów</w:t>
      </w:r>
      <w:r w:rsidR="00E66B89">
        <w:t xml:space="preserve"> z </w:t>
      </w:r>
      <w:r w:rsidRPr="00C10974">
        <w:t xml:space="preserve">Działania ZIT SOM </w:t>
      </w:r>
      <w:r>
        <w:t>(8.7)</w:t>
      </w:r>
      <w:r w:rsidR="00E66B89">
        <w:t xml:space="preserve"> w </w:t>
      </w:r>
      <w:r w:rsidRPr="00C10974">
        <w:t>całkowitej</w:t>
      </w:r>
      <w:r w:rsidR="00C22C26">
        <w:t xml:space="preserve"> </w:t>
      </w:r>
      <w:r>
        <w:t>wartości projektów</w:t>
      </w:r>
      <w:r w:rsidR="00E66B89">
        <w:t xml:space="preserve"> w </w:t>
      </w:r>
      <w:r>
        <w:t>PI 10iv jest niewielki</w:t>
      </w:r>
      <w:r w:rsidR="00E66B89">
        <w:t xml:space="preserve"> i </w:t>
      </w:r>
      <w:r>
        <w:t xml:space="preserve">waha się od 1-3% (Police, Stargard, </w:t>
      </w:r>
      <w:r w:rsidRPr="001108CD">
        <w:t>Świnoujści</w:t>
      </w:r>
      <w:r>
        <w:t>e) do 30% (Szczecin).</w:t>
      </w:r>
    </w:p>
    <w:p w14:paraId="066C6975" w14:textId="77777777" w:rsidR="00291431" w:rsidRDefault="00291431" w:rsidP="00291431">
      <w:r>
        <w:t>Także</w:t>
      </w:r>
      <w:r w:rsidR="00E66B89">
        <w:t xml:space="preserve"> w </w:t>
      </w:r>
      <w:r>
        <w:t>przypadku wsparcia</w:t>
      </w:r>
      <w:r w:rsidR="00E66B89">
        <w:t xml:space="preserve"> w </w:t>
      </w:r>
      <w:r>
        <w:t>zakresie kształcenia zawodowego</w:t>
      </w:r>
      <w:r w:rsidR="00E66B89">
        <w:t xml:space="preserve"> i </w:t>
      </w:r>
      <w:r>
        <w:t>ustawicznego na obszarze ZIT KKBOF rysuje się podział na większe miejscowości (Koszalin, Kołobrzeg, Białogard), które realizują projekty</w:t>
      </w:r>
      <w:r w:rsidR="00E66B89">
        <w:t xml:space="preserve"> o </w:t>
      </w:r>
      <w:r>
        <w:t>największej skumulowanej wartości,</w:t>
      </w:r>
      <w:r w:rsidR="00E66B89">
        <w:t xml:space="preserve"> z </w:t>
      </w:r>
      <w:r>
        <w:t>których jednak mniejsza część jest finansowana</w:t>
      </w:r>
      <w:r w:rsidR="00E66B89">
        <w:t xml:space="preserve"> w </w:t>
      </w:r>
      <w:r>
        <w:t>ramach instrumentów terytorialnych (Działania 8.8) oraz mniejsze miejscowości, dla których wsparcie realizowane</w:t>
      </w:r>
      <w:r w:rsidR="00E66B89">
        <w:t xml:space="preserve"> w </w:t>
      </w:r>
      <w:r>
        <w:t xml:space="preserve">ramach ZIT KKBOF ma kluczowe znaczenie dla osiągania celów PI 10iv. Prawie wszystkie gminy pozbawione znaczących ośrodków miejskich (np. Sianów, Mielno, </w:t>
      </w:r>
      <w:r w:rsidR="00703AED">
        <w:t>Świeszyno</w:t>
      </w:r>
      <w:r>
        <w:t>) całość interwencji</w:t>
      </w:r>
      <w:r w:rsidR="00E66B89">
        <w:t xml:space="preserve"> w </w:t>
      </w:r>
      <w:r>
        <w:t>ramach PI 10iv realizują</w:t>
      </w:r>
      <w:r w:rsidR="00E66B89">
        <w:t xml:space="preserve"> w </w:t>
      </w:r>
      <w:r>
        <w:t>Działaniu 8.8.</w:t>
      </w:r>
    </w:p>
    <w:p w14:paraId="0816712B" w14:textId="77777777" w:rsidR="00291431" w:rsidRDefault="00291431" w:rsidP="00291431">
      <w:r>
        <w:t>Projekty finansowane</w:t>
      </w:r>
      <w:r w:rsidR="00E66B89">
        <w:t xml:space="preserve"> w </w:t>
      </w:r>
      <w:r>
        <w:t>ramach Działania 8.9, kierowanego do obszarów objętych Kontraktami Samorządowymi, realizowano</w:t>
      </w:r>
      <w:r w:rsidR="00E66B89">
        <w:t xml:space="preserve"> w </w:t>
      </w:r>
      <w:r>
        <w:t>21</w:t>
      </w:r>
      <w:r w:rsidR="00E66B89">
        <w:t xml:space="preserve"> z </w:t>
      </w:r>
      <w:r>
        <w:t>44 gmin objętych tymi Kontraktami.</w:t>
      </w:r>
      <w:r w:rsidR="00E66B89">
        <w:t xml:space="preserve"> W </w:t>
      </w:r>
      <w:r>
        <w:t>13</w:t>
      </w:r>
      <w:r w:rsidR="00E66B89">
        <w:t xml:space="preserve"> z </w:t>
      </w:r>
      <w:r>
        <w:t>tych 21 gmin stanowiły one jedyny rodzaj wsparcia realizowanego</w:t>
      </w:r>
      <w:r w:rsidR="00E66B89">
        <w:t xml:space="preserve"> w </w:t>
      </w:r>
      <w:r>
        <w:t>ramach PI 10iv. Projekty</w:t>
      </w:r>
      <w:r w:rsidR="00E66B89">
        <w:t xml:space="preserve"> o </w:t>
      </w:r>
      <w:r>
        <w:t>największej wartości ogółem</w:t>
      </w:r>
      <w:r w:rsidR="00E66B89">
        <w:t xml:space="preserve"> w </w:t>
      </w:r>
      <w:r>
        <w:t>ramach tego Działania są realizowane</w:t>
      </w:r>
      <w:r w:rsidR="00E66B89">
        <w:t xml:space="preserve"> w </w:t>
      </w:r>
      <w:r>
        <w:t xml:space="preserve">gminach Szczecinek (4,1 mln zł), </w:t>
      </w:r>
      <w:r w:rsidRPr="00D61567">
        <w:t xml:space="preserve">Barlinek </w:t>
      </w:r>
      <w:r>
        <w:t xml:space="preserve">(2,4 mln zł) i </w:t>
      </w:r>
      <w:r w:rsidRPr="00D61567">
        <w:t>Mirosławiec</w:t>
      </w:r>
      <w:r w:rsidRPr="00F64747">
        <w:t xml:space="preserve"> </w:t>
      </w:r>
      <w:r>
        <w:t>(2,1 mln zł).</w:t>
      </w:r>
    </w:p>
    <w:p w14:paraId="600032EB" w14:textId="77777777" w:rsidR="00291431" w:rsidRDefault="00291431" w:rsidP="00291431">
      <w:r>
        <w:t>Przytoczone dane pozwalają stwierdzić, że mechanizm ukierunkowania interwencji</w:t>
      </w:r>
      <w:r w:rsidR="00E66B89">
        <w:t xml:space="preserve"> w </w:t>
      </w:r>
      <w:r>
        <w:t>kształceniu zawodowym</w:t>
      </w:r>
      <w:r w:rsidR="00E66B89">
        <w:t xml:space="preserve"> i </w:t>
      </w:r>
      <w:r>
        <w:t>ustawicznym</w:t>
      </w:r>
      <w:r w:rsidRPr="00044F1E">
        <w:t xml:space="preserve"> </w:t>
      </w:r>
      <w:r>
        <w:t>jest skuteczny. Pozwala on na dotarcie ze wsparciem do gmin pozbawionych znaczących ośrodków miejskich.</w:t>
      </w:r>
      <w:r w:rsidR="00E66B89">
        <w:t xml:space="preserve"> W </w:t>
      </w:r>
      <w:r>
        <w:t>przypadku większych miejscowości mechanizm terytorialny ma mniejsze znaczenie</w:t>
      </w:r>
      <w:r w:rsidR="00E66B89">
        <w:t xml:space="preserve"> w </w:t>
      </w:r>
      <w:r>
        <w:t>całości interwencji realizowanej</w:t>
      </w:r>
      <w:r w:rsidR="00E66B89">
        <w:t xml:space="preserve"> w </w:t>
      </w:r>
      <w:r>
        <w:t>ramach PI 10iv.</w:t>
      </w:r>
    </w:p>
    <w:p w14:paraId="02AE5956" w14:textId="77777777" w:rsidR="00030FE3" w:rsidRDefault="00030FE3">
      <w:pPr>
        <w:pStyle w:val="Legenda"/>
      </w:pPr>
      <w:bookmarkStart w:id="381" w:name="_Toc6521457"/>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8</w:t>
      </w:r>
      <w:r w:rsidR="006E34DC">
        <w:rPr>
          <w:noProof/>
        </w:rPr>
        <w:fldChar w:fldCharType="end"/>
      </w:r>
      <w:r>
        <w:t xml:space="preserve"> </w:t>
      </w:r>
      <w:r w:rsidRPr="00A22A14">
        <w:t>Wartość projektów ogółem</w:t>
      </w:r>
      <w:r w:rsidR="00E66B89">
        <w:t xml:space="preserve"> z </w:t>
      </w:r>
      <w:r w:rsidRPr="00A22A14">
        <w:t>Działań realizujących instrumenty terytorialne oraz analogicznego Działania wdrażanego</w:t>
      </w:r>
      <w:r w:rsidR="00E66B89">
        <w:t xml:space="preserve"> w </w:t>
      </w:r>
      <w:r w:rsidRPr="00A22A14">
        <w:t>całym regionie,</w:t>
      </w:r>
      <w:r w:rsidR="00E66B89">
        <w:t xml:space="preserve"> w </w:t>
      </w:r>
      <w:r w:rsidRPr="00A22A14">
        <w:t>podziale na gminy</w:t>
      </w:r>
      <w:r w:rsidR="00E66B89">
        <w:t xml:space="preserve"> z </w:t>
      </w:r>
      <w:r w:rsidRPr="00A22A14">
        <w:t>wyszczególnieniem gmin należących do ZIT/KS - PI 10iv</w:t>
      </w:r>
      <w:bookmarkEnd w:id="381"/>
    </w:p>
    <w:p w14:paraId="75A5E44C" w14:textId="1E06535D" w:rsidR="00030FE3" w:rsidRDefault="00C35619" w:rsidP="00CB79B5">
      <w:pPr>
        <w:rPr>
          <w:rFonts w:cs="Garamond"/>
          <w:i/>
          <w:sz w:val="16"/>
          <w:szCs w:val="20"/>
          <w:lang w:eastAsia="ar-SA"/>
        </w:rPr>
      </w:pPr>
      <w:r w:rsidRPr="00D508B6">
        <w:rPr>
          <w:noProof/>
        </w:rPr>
        <w:drawing>
          <wp:inline distT="0" distB="0" distL="0" distR="0" wp14:anchorId="2936E914" wp14:editId="6C3A922A">
            <wp:extent cx="5762625" cy="4076700"/>
            <wp:effectExtent l="0" t="0" r="9525" b="0"/>
            <wp:docPr id="70"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78343051" w14:textId="77777777" w:rsidR="00030FE3" w:rsidRPr="00D21299" w:rsidRDefault="00030FE3" w:rsidP="00030FE3">
      <w:pPr>
        <w:rPr>
          <w:i/>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00E66B89" w:rsidRPr="00D21299">
        <w:rPr>
          <w:i/>
          <w:sz w:val="18"/>
          <w:szCs w:val="18"/>
        </w:rPr>
        <w:t xml:space="preserve"> Z </w:t>
      </w:r>
      <w:r w:rsidRPr="00D21299">
        <w:rPr>
          <w:i/>
          <w:sz w:val="18"/>
          <w:szCs w:val="18"/>
        </w:rPr>
        <w:t>uwagi na to, że dla części projektów</w:t>
      </w:r>
      <w:r w:rsidR="00E66B89" w:rsidRPr="00D21299">
        <w:rPr>
          <w:i/>
          <w:sz w:val="18"/>
          <w:szCs w:val="18"/>
        </w:rPr>
        <w:t xml:space="preserve"> w </w:t>
      </w:r>
      <w:r w:rsidRPr="00D21299">
        <w:rPr>
          <w:i/>
          <w:sz w:val="18"/>
          <w:szCs w:val="18"/>
        </w:rPr>
        <w:t>bazie nie zostały przypisane konkretne gminy jako miejsce realizacji, na mapie nie uwzględniono projektów</w:t>
      </w:r>
      <w:r w:rsidR="00E66B89" w:rsidRPr="00D21299">
        <w:rPr>
          <w:i/>
          <w:sz w:val="18"/>
          <w:szCs w:val="18"/>
        </w:rPr>
        <w:t xml:space="preserve"> o </w:t>
      </w:r>
      <w:r w:rsidRPr="00D21299">
        <w:rPr>
          <w:i/>
          <w:sz w:val="18"/>
          <w:szCs w:val="18"/>
        </w:rPr>
        <w:t>łącznej wartości ogółem 65 637 570,83 zł.</w:t>
      </w:r>
      <w:r w:rsidRPr="00D21299">
        <w:rPr>
          <w:rStyle w:val="Odwoanieprzypisudolnego"/>
          <w:sz w:val="18"/>
          <w:szCs w:val="18"/>
        </w:rPr>
        <w:footnoteReference w:id="159"/>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052E9C2D" w14:textId="77777777" w:rsidR="00291431" w:rsidRPr="00EE5470" w:rsidRDefault="00291431" w:rsidP="00291431">
      <w:pPr>
        <w:rPr>
          <w:rFonts w:cs="Garamond"/>
          <w:i/>
          <w:sz w:val="16"/>
          <w:szCs w:val="20"/>
          <w:lang w:eastAsia="ar-SA"/>
        </w:rPr>
      </w:pPr>
      <w:r w:rsidRPr="00404DA5">
        <w:rPr>
          <w:rFonts w:cs="Calibri"/>
          <w:szCs w:val="20"/>
        </w:rPr>
        <w:t>Porównując poszczególne wskaźniki mierzące skuteczność interwencji</w:t>
      </w:r>
      <w:r w:rsidR="00E66B89">
        <w:rPr>
          <w:rFonts w:cs="Calibri"/>
          <w:szCs w:val="20"/>
        </w:rPr>
        <w:t xml:space="preserve"> w </w:t>
      </w:r>
      <w:r w:rsidRPr="00404DA5">
        <w:rPr>
          <w:rFonts w:cs="Calibri"/>
          <w:szCs w:val="20"/>
        </w:rPr>
        <w:t>ramach Priorytetu Inwestycyjnego 10iv należy stwierdzić, że</w:t>
      </w:r>
      <w:r w:rsidR="00E66B89">
        <w:rPr>
          <w:rFonts w:cs="Calibri"/>
          <w:szCs w:val="20"/>
        </w:rPr>
        <w:t xml:space="preserve"> w </w:t>
      </w:r>
      <w:r w:rsidRPr="00404DA5">
        <w:rPr>
          <w:rFonts w:cs="Calibri"/>
          <w:szCs w:val="20"/>
        </w:rPr>
        <w:t xml:space="preserve">największym stopniu do ich realizacji przyczynia się Działanie 8.6 realizowane na terenie całego województwa zachodniopomorskiego. Na przykład obecny poziom wskaźnika </w:t>
      </w:r>
      <w:r w:rsidRPr="00404DA5">
        <w:rPr>
          <w:rFonts w:cs="Calibri"/>
          <w:i/>
          <w:szCs w:val="20"/>
        </w:rPr>
        <w:t>Liczba nauczycieli kształcenia zawodowego oraz instruktorów praktycznej nauki zawodu objętych wsparciem</w:t>
      </w:r>
      <w:r w:rsidR="00E66B89">
        <w:rPr>
          <w:rFonts w:cs="Calibri"/>
          <w:i/>
          <w:szCs w:val="20"/>
        </w:rPr>
        <w:t xml:space="preserve"> w </w:t>
      </w:r>
      <w:r w:rsidRPr="00404DA5">
        <w:rPr>
          <w:rFonts w:cs="Calibri"/>
          <w:i/>
          <w:szCs w:val="20"/>
        </w:rPr>
        <w:t>programie</w:t>
      </w:r>
      <w:r w:rsidRPr="00404DA5">
        <w:rPr>
          <w:rFonts w:cs="Calibri"/>
          <w:szCs w:val="20"/>
        </w:rPr>
        <w:t xml:space="preserve"> został osiągnięty</w:t>
      </w:r>
      <w:r w:rsidR="00E66B89">
        <w:rPr>
          <w:rFonts w:cs="Calibri"/>
          <w:szCs w:val="20"/>
        </w:rPr>
        <w:t xml:space="preserve"> w </w:t>
      </w:r>
      <w:r w:rsidRPr="00404DA5">
        <w:rPr>
          <w:rFonts w:cs="Calibri"/>
          <w:szCs w:val="20"/>
        </w:rPr>
        <w:t>64% dzięki projektom realizowanym</w:t>
      </w:r>
      <w:r w:rsidR="00E66B89">
        <w:rPr>
          <w:rFonts w:cs="Calibri"/>
          <w:szCs w:val="20"/>
        </w:rPr>
        <w:t xml:space="preserve"> w </w:t>
      </w:r>
      <w:r w:rsidRPr="00404DA5">
        <w:rPr>
          <w:rFonts w:cs="Calibri"/>
          <w:szCs w:val="20"/>
        </w:rPr>
        <w:t>ramach Działania 8.6,</w:t>
      </w:r>
      <w:r w:rsidR="00E66B89">
        <w:rPr>
          <w:rFonts w:cs="Calibri"/>
          <w:szCs w:val="20"/>
        </w:rPr>
        <w:t xml:space="preserve"> w </w:t>
      </w:r>
      <w:r w:rsidRPr="00404DA5">
        <w:rPr>
          <w:rFonts w:cs="Calibri"/>
          <w:szCs w:val="20"/>
        </w:rPr>
        <w:t>24% dzięki Działaniu 8.7 (ZIT SOM),</w:t>
      </w:r>
      <w:r w:rsidR="00E66B89">
        <w:rPr>
          <w:rFonts w:cs="Calibri"/>
          <w:szCs w:val="20"/>
        </w:rPr>
        <w:t xml:space="preserve"> w </w:t>
      </w:r>
      <w:r w:rsidRPr="00404DA5">
        <w:rPr>
          <w:rFonts w:cs="Calibri"/>
          <w:szCs w:val="20"/>
        </w:rPr>
        <w:t xml:space="preserve">7% - </w:t>
      </w:r>
      <w:r>
        <w:rPr>
          <w:rFonts w:cs="Calibri"/>
          <w:szCs w:val="20"/>
        </w:rPr>
        <w:t xml:space="preserve">dzięki </w:t>
      </w:r>
      <w:r w:rsidRPr="00404DA5">
        <w:rPr>
          <w:rFonts w:cs="Calibri"/>
          <w:szCs w:val="20"/>
        </w:rPr>
        <w:t>Działaniu 8.9 (Kontrakty Samorządowe),</w:t>
      </w:r>
      <w:r w:rsidR="00E66B89">
        <w:rPr>
          <w:rFonts w:cs="Calibri"/>
          <w:szCs w:val="20"/>
        </w:rPr>
        <w:t xml:space="preserve"> a </w:t>
      </w:r>
      <w:r w:rsidRPr="00404DA5">
        <w:rPr>
          <w:rFonts w:cs="Calibri"/>
          <w:szCs w:val="20"/>
        </w:rPr>
        <w:t>tylko</w:t>
      </w:r>
      <w:r w:rsidR="00E66B89">
        <w:rPr>
          <w:rFonts w:cs="Calibri"/>
          <w:szCs w:val="20"/>
        </w:rPr>
        <w:t xml:space="preserve"> w </w:t>
      </w:r>
      <w:r w:rsidRPr="00404DA5">
        <w:rPr>
          <w:rFonts w:cs="Calibri"/>
          <w:szCs w:val="20"/>
        </w:rPr>
        <w:t xml:space="preserve">3% - </w:t>
      </w:r>
      <w:r>
        <w:rPr>
          <w:rFonts w:cs="Calibri"/>
          <w:szCs w:val="20"/>
        </w:rPr>
        <w:t xml:space="preserve">dzięki </w:t>
      </w:r>
      <w:r w:rsidRPr="00404DA5">
        <w:rPr>
          <w:rFonts w:cs="Calibri"/>
          <w:szCs w:val="20"/>
        </w:rPr>
        <w:t>Działaniu 8.8. (ZIT KKBOF). Obserwowane proporcje rysują się podobnie także</w:t>
      </w:r>
      <w:r w:rsidR="00E66B89">
        <w:rPr>
          <w:rFonts w:cs="Calibri"/>
          <w:szCs w:val="20"/>
        </w:rPr>
        <w:t xml:space="preserve"> w </w:t>
      </w:r>
      <w:r w:rsidRPr="00404DA5">
        <w:rPr>
          <w:rFonts w:cs="Calibri"/>
          <w:szCs w:val="20"/>
        </w:rPr>
        <w:t xml:space="preserve">odniesieniu do innych wskaźników </w:t>
      </w:r>
      <w:r>
        <w:rPr>
          <w:rFonts w:cs="Calibri"/>
          <w:szCs w:val="20"/>
        </w:rPr>
        <w:t>PI</w:t>
      </w:r>
      <w:r w:rsidRPr="00404DA5">
        <w:rPr>
          <w:rFonts w:cs="Calibri"/>
          <w:szCs w:val="20"/>
        </w:rPr>
        <w:t xml:space="preserve"> 10iv.</w:t>
      </w:r>
    </w:p>
    <w:p w14:paraId="682A0A7D" w14:textId="77777777" w:rsidR="00291431" w:rsidRPr="00EE5470" w:rsidRDefault="00291431" w:rsidP="00024F00">
      <w:pPr>
        <w:pStyle w:val="Legenda"/>
        <w:spacing w:after="0"/>
      </w:pPr>
      <w:bookmarkStart w:id="382" w:name="_Toc8824282"/>
      <w:r w:rsidRPr="00EE5470">
        <w:lastRenderedPageBreak/>
        <w:t xml:space="preserve">Tabela </w:t>
      </w:r>
      <w:r w:rsidRPr="00024F00">
        <w:fldChar w:fldCharType="begin"/>
      </w:r>
      <w:r>
        <w:instrText xml:space="preserve"> SEQ Tabela \* ARABIC </w:instrText>
      </w:r>
      <w:r w:rsidRPr="00024F00">
        <w:fldChar w:fldCharType="separate"/>
      </w:r>
      <w:r w:rsidR="00763345">
        <w:rPr>
          <w:noProof/>
        </w:rPr>
        <w:t>171</w:t>
      </w:r>
      <w:r w:rsidRPr="00024F00">
        <w:fldChar w:fldCharType="end"/>
      </w:r>
      <w:r w:rsidRPr="00EE5470">
        <w:t xml:space="preserve"> </w:t>
      </w:r>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osiąganiu celów</w:t>
      </w:r>
      <w:r w:rsidRPr="00EE5470">
        <w:t xml:space="preserve"> PI 10iv</w:t>
      </w:r>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00"/>
        <w:gridCol w:w="1537"/>
        <w:gridCol w:w="929"/>
        <w:gridCol w:w="826"/>
        <w:gridCol w:w="974"/>
        <w:gridCol w:w="974"/>
        <w:gridCol w:w="974"/>
        <w:gridCol w:w="974"/>
      </w:tblGrid>
      <w:tr w:rsidR="00291431" w:rsidRPr="00021563" w14:paraId="5750DF02" w14:textId="77777777" w:rsidTr="00C22C26">
        <w:trPr>
          <w:tblHeader/>
        </w:trPr>
        <w:tc>
          <w:tcPr>
            <w:tcW w:w="972" w:type="dxa"/>
            <w:shd w:val="clear" w:color="auto" w:fill="DBE5F1"/>
            <w:vAlign w:val="center"/>
          </w:tcPr>
          <w:p w14:paraId="2FE15AB1" w14:textId="77777777" w:rsidR="00291431" w:rsidRPr="005F38D8" w:rsidRDefault="00291431" w:rsidP="00C22C26">
            <w:pPr>
              <w:rPr>
                <w:rFonts w:cs="Calibri"/>
                <w:sz w:val="18"/>
                <w:szCs w:val="18"/>
              </w:rPr>
            </w:pPr>
            <w:r w:rsidRPr="005F38D8">
              <w:rPr>
                <w:rFonts w:cs="Calibri"/>
                <w:sz w:val="18"/>
                <w:szCs w:val="18"/>
              </w:rPr>
              <w:t>Typ wskaźnika</w:t>
            </w:r>
          </w:p>
        </w:tc>
        <w:tc>
          <w:tcPr>
            <w:tcW w:w="899" w:type="dxa"/>
            <w:shd w:val="clear" w:color="auto" w:fill="DBE5F1"/>
            <w:vAlign w:val="center"/>
          </w:tcPr>
          <w:p w14:paraId="736106BF" w14:textId="77777777" w:rsidR="00291431" w:rsidRPr="006B4D67" w:rsidRDefault="00291431" w:rsidP="00C22C26">
            <w:pPr>
              <w:rPr>
                <w:rFonts w:cs="Calibri"/>
                <w:sz w:val="18"/>
                <w:szCs w:val="18"/>
              </w:rPr>
            </w:pPr>
            <w:r w:rsidRPr="006B4D67">
              <w:rPr>
                <w:rFonts w:cs="Calibri"/>
                <w:sz w:val="18"/>
                <w:szCs w:val="18"/>
              </w:rPr>
              <w:t>Działania</w:t>
            </w:r>
          </w:p>
        </w:tc>
        <w:tc>
          <w:tcPr>
            <w:tcW w:w="1540" w:type="dxa"/>
            <w:shd w:val="clear" w:color="auto" w:fill="DBE5F1"/>
            <w:vAlign w:val="center"/>
          </w:tcPr>
          <w:p w14:paraId="6C4CD468" w14:textId="77777777" w:rsidR="00291431" w:rsidRPr="006B4D67" w:rsidRDefault="00291431" w:rsidP="00C22C26">
            <w:pPr>
              <w:rPr>
                <w:rFonts w:cs="Calibri"/>
                <w:sz w:val="18"/>
                <w:szCs w:val="18"/>
              </w:rPr>
            </w:pPr>
            <w:r w:rsidRPr="006B4D67">
              <w:rPr>
                <w:rFonts w:cs="Calibri"/>
                <w:sz w:val="18"/>
                <w:szCs w:val="18"/>
              </w:rPr>
              <w:t>Wskaźnik</w:t>
            </w:r>
          </w:p>
        </w:tc>
        <w:tc>
          <w:tcPr>
            <w:tcW w:w="929" w:type="dxa"/>
            <w:shd w:val="clear" w:color="auto" w:fill="DBE5F1"/>
            <w:vAlign w:val="center"/>
          </w:tcPr>
          <w:p w14:paraId="5A7D7FE8" w14:textId="77777777" w:rsidR="00291431" w:rsidRPr="00823EC4" w:rsidRDefault="00291431" w:rsidP="00C22C26">
            <w:pPr>
              <w:rPr>
                <w:rFonts w:cs="Calibri"/>
                <w:sz w:val="18"/>
                <w:szCs w:val="18"/>
              </w:rPr>
            </w:pPr>
            <w:r w:rsidRPr="00823EC4">
              <w:rPr>
                <w:rFonts w:cs="Calibri"/>
                <w:sz w:val="18"/>
                <w:szCs w:val="18"/>
              </w:rPr>
              <w:t>Wartość docelowa (2023)</w:t>
            </w:r>
          </w:p>
        </w:tc>
        <w:tc>
          <w:tcPr>
            <w:tcW w:w="826" w:type="dxa"/>
            <w:shd w:val="clear" w:color="auto" w:fill="DBE5F1"/>
            <w:vAlign w:val="center"/>
          </w:tcPr>
          <w:p w14:paraId="1BA0D74D" w14:textId="77777777" w:rsidR="00291431" w:rsidRPr="00855170" w:rsidRDefault="00291431" w:rsidP="00C22C26">
            <w:pPr>
              <w:rPr>
                <w:rFonts w:cs="Calibri"/>
                <w:sz w:val="18"/>
                <w:szCs w:val="18"/>
              </w:rPr>
            </w:pPr>
            <w:r w:rsidRPr="00855170">
              <w:rPr>
                <w:rFonts w:cs="Calibri"/>
                <w:sz w:val="18"/>
                <w:szCs w:val="18"/>
              </w:rPr>
              <w:t>Jedn. pomiaru</w:t>
            </w:r>
          </w:p>
        </w:tc>
        <w:tc>
          <w:tcPr>
            <w:tcW w:w="974" w:type="dxa"/>
            <w:shd w:val="clear" w:color="auto" w:fill="DBE5F1"/>
            <w:vAlign w:val="center"/>
          </w:tcPr>
          <w:p w14:paraId="04706DA8" w14:textId="77777777" w:rsidR="00291431" w:rsidRPr="00C9053B" w:rsidRDefault="00291431" w:rsidP="00C22C26">
            <w:pPr>
              <w:rPr>
                <w:rFonts w:cs="Calibri"/>
                <w:sz w:val="18"/>
                <w:szCs w:val="18"/>
              </w:rPr>
            </w:pPr>
            <w:r w:rsidRPr="00C9053B">
              <w:rPr>
                <w:rFonts w:cs="Calibri"/>
                <w:sz w:val="18"/>
                <w:szCs w:val="18"/>
              </w:rPr>
              <w:t>Realizacja wartości docelowej (wg UoD)</w:t>
            </w:r>
          </w:p>
        </w:tc>
        <w:tc>
          <w:tcPr>
            <w:tcW w:w="974" w:type="dxa"/>
            <w:shd w:val="clear" w:color="auto" w:fill="DBE5F1"/>
            <w:vAlign w:val="center"/>
          </w:tcPr>
          <w:p w14:paraId="682B80D9" w14:textId="77777777" w:rsidR="00291431" w:rsidRPr="005F38D8" w:rsidRDefault="00291431" w:rsidP="00C22C26">
            <w:pPr>
              <w:rPr>
                <w:rFonts w:cs="Calibri"/>
                <w:sz w:val="18"/>
                <w:szCs w:val="18"/>
              </w:rPr>
            </w:pPr>
            <w:r w:rsidRPr="00C9053B">
              <w:rPr>
                <w:rFonts w:cs="Calibri"/>
                <w:sz w:val="18"/>
                <w:szCs w:val="18"/>
              </w:rPr>
              <w:t>% realizacji wartości docelowej (</w:t>
            </w:r>
            <w:r w:rsidRPr="005F38D8">
              <w:rPr>
                <w:rFonts w:cs="Calibri"/>
                <w:sz w:val="18"/>
                <w:szCs w:val="18"/>
              </w:rPr>
              <w:t>wg UoD)</w:t>
            </w:r>
          </w:p>
        </w:tc>
        <w:tc>
          <w:tcPr>
            <w:tcW w:w="974" w:type="dxa"/>
            <w:shd w:val="clear" w:color="auto" w:fill="DBE5F1"/>
            <w:vAlign w:val="center"/>
          </w:tcPr>
          <w:p w14:paraId="67FAF539" w14:textId="77777777" w:rsidR="00291431" w:rsidRPr="005F38D8" w:rsidRDefault="00291431" w:rsidP="00C22C26">
            <w:pPr>
              <w:rPr>
                <w:rFonts w:cs="Calibri"/>
                <w:sz w:val="18"/>
                <w:szCs w:val="18"/>
              </w:rPr>
            </w:pPr>
            <w:r w:rsidRPr="005F38D8">
              <w:rPr>
                <w:rFonts w:cs="Calibri"/>
                <w:sz w:val="18"/>
                <w:szCs w:val="18"/>
              </w:rPr>
              <w:t>Realizacja wartości docelowej (wg WoP)</w:t>
            </w:r>
          </w:p>
        </w:tc>
        <w:tc>
          <w:tcPr>
            <w:tcW w:w="974" w:type="dxa"/>
            <w:shd w:val="clear" w:color="auto" w:fill="DBE5F1"/>
            <w:vAlign w:val="center"/>
          </w:tcPr>
          <w:p w14:paraId="219E773B" w14:textId="77777777" w:rsidR="00291431" w:rsidRPr="005F38D8" w:rsidRDefault="00291431" w:rsidP="00C22C26">
            <w:pPr>
              <w:rPr>
                <w:rFonts w:cs="Calibri"/>
                <w:sz w:val="18"/>
                <w:szCs w:val="18"/>
              </w:rPr>
            </w:pPr>
            <w:r w:rsidRPr="005F38D8">
              <w:rPr>
                <w:rFonts w:cs="Calibri"/>
                <w:sz w:val="18"/>
                <w:szCs w:val="18"/>
              </w:rPr>
              <w:t>% realizacji wartości docelowej (wg WoP)</w:t>
            </w:r>
          </w:p>
        </w:tc>
      </w:tr>
      <w:tr w:rsidR="00291431" w:rsidRPr="00021563" w14:paraId="71472671" w14:textId="77777777" w:rsidTr="00C22C26">
        <w:tc>
          <w:tcPr>
            <w:tcW w:w="972" w:type="dxa"/>
            <w:vAlign w:val="center"/>
          </w:tcPr>
          <w:p w14:paraId="548841FE" w14:textId="77777777" w:rsidR="00291431" w:rsidRPr="00C22C26" w:rsidRDefault="00291431" w:rsidP="00370D80">
            <w:pPr>
              <w:jc w:val="center"/>
              <w:rPr>
                <w:rFonts w:cs="Calibri"/>
                <w:i/>
                <w:sz w:val="18"/>
                <w:szCs w:val="18"/>
              </w:rPr>
            </w:pPr>
            <w:r w:rsidRPr="00C22C26">
              <w:rPr>
                <w:rFonts w:cs="Calibri"/>
                <w:sz w:val="18"/>
                <w:szCs w:val="18"/>
              </w:rPr>
              <w:t>WP</w:t>
            </w:r>
          </w:p>
        </w:tc>
        <w:tc>
          <w:tcPr>
            <w:tcW w:w="899" w:type="dxa"/>
            <w:vAlign w:val="center"/>
          </w:tcPr>
          <w:p w14:paraId="0A588731" w14:textId="77777777" w:rsidR="00291431" w:rsidRPr="00C22C26" w:rsidRDefault="00291431" w:rsidP="00370D80">
            <w:pPr>
              <w:jc w:val="center"/>
              <w:rPr>
                <w:rFonts w:cs="Calibri"/>
                <w:i/>
                <w:sz w:val="18"/>
                <w:szCs w:val="18"/>
              </w:rPr>
            </w:pPr>
            <w:r w:rsidRPr="00C22C26">
              <w:rPr>
                <w:rFonts w:cs="Calibri"/>
                <w:sz w:val="18"/>
                <w:szCs w:val="18"/>
              </w:rPr>
              <w:t>8,6</w:t>
            </w:r>
          </w:p>
        </w:tc>
        <w:tc>
          <w:tcPr>
            <w:tcW w:w="1540" w:type="dxa"/>
            <w:shd w:val="clear" w:color="auto" w:fill="auto"/>
            <w:vAlign w:val="center"/>
          </w:tcPr>
          <w:p w14:paraId="01471515" w14:textId="77777777" w:rsidR="00291431" w:rsidRPr="00C22C26" w:rsidRDefault="00291431" w:rsidP="00C22C26">
            <w:pPr>
              <w:rPr>
                <w:rFonts w:cs="Calibri"/>
                <w:i/>
                <w:sz w:val="18"/>
                <w:szCs w:val="18"/>
              </w:rPr>
            </w:pPr>
            <w:r w:rsidRPr="00C22C26">
              <w:rPr>
                <w:rFonts w:cs="Calibri"/>
                <w:sz w:val="18"/>
                <w:szCs w:val="18"/>
              </w:rPr>
              <w:t>Liczba uczniów objętych wsparciem</w:t>
            </w:r>
            <w:r w:rsidR="00E66B89">
              <w:rPr>
                <w:rFonts w:cs="Calibri"/>
                <w:sz w:val="18"/>
                <w:szCs w:val="18"/>
              </w:rPr>
              <w:t xml:space="preserve"> w </w:t>
            </w:r>
            <w:r w:rsidRPr="00C22C26">
              <w:rPr>
                <w:rFonts w:cs="Calibri"/>
                <w:sz w:val="18"/>
                <w:szCs w:val="18"/>
              </w:rPr>
              <w:t>zakresie rozwijania kompetencji kluczowych lub umiejętności uniwersalnych</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1F007589"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4 468</w:t>
            </w:r>
          </w:p>
        </w:tc>
        <w:tc>
          <w:tcPr>
            <w:tcW w:w="826" w:type="dxa"/>
            <w:vAlign w:val="center"/>
          </w:tcPr>
          <w:p w14:paraId="6FA9D75E" w14:textId="77777777" w:rsidR="00291431" w:rsidRPr="00C22C26" w:rsidRDefault="00291431" w:rsidP="00370D80">
            <w:pPr>
              <w:jc w:val="center"/>
              <w:rPr>
                <w:rFonts w:cs="Calibri"/>
                <w:color w:val="000000"/>
                <w:sz w:val="18"/>
                <w:szCs w:val="18"/>
              </w:rPr>
            </w:pPr>
            <w:r w:rsidRPr="00C22C26">
              <w:rPr>
                <w:rFonts w:cs="Calibri"/>
                <w:sz w:val="18"/>
                <w:szCs w:val="18"/>
              </w:rPr>
              <w:t>osoby</w:t>
            </w:r>
          </w:p>
        </w:tc>
        <w:tc>
          <w:tcPr>
            <w:tcW w:w="974" w:type="dxa"/>
            <w:shd w:val="clear" w:color="auto" w:fill="auto"/>
            <w:vAlign w:val="center"/>
          </w:tcPr>
          <w:p w14:paraId="61B82B3E"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715FD5F1"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049F7863"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74DA2EED" w14:textId="77777777" w:rsidR="00291431" w:rsidRPr="00C22C26" w:rsidRDefault="00291431" w:rsidP="00370D80">
            <w:pPr>
              <w:jc w:val="center"/>
              <w:rPr>
                <w:rFonts w:cs="Calibri"/>
                <w:sz w:val="18"/>
                <w:szCs w:val="18"/>
              </w:rPr>
            </w:pPr>
            <w:r w:rsidRPr="00C22C26">
              <w:rPr>
                <w:rFonts w:cs="Calibri"/>
                <w:sz w:val="18"/>
                <w:szCs w:val="18"/>
              </w:rPr>
              <w:t>0%</w:t>
            </w:r>
          </w:p>
        </w:tc>
      </w:tr>
      <w:tr w:rsidR="00291431" w:rsidRPr="00021563" w14:paraId="40637B52" w14:textId="77777777" w:rsidTr="00C22C26">
        <w:tc>
          <w:tcPr>
            <w:tcW w:w="972" w:type="dxa"/>
            <w:vAlign w:val="center"/>
          </w:tcPr>
          <w:p w14:paraId="519AB011" w14:textId="77777777" w:rsidR="00291431" w:rsidRPr="00C22C26" w:rsidDel="00E2671B" w:rsidRDefault="00291431" w:rsidP="00370D80">
            <w:pPr>
              <w:jc w:val="center"/>
              <w:rPr>
                <w:rFonts w:cs="Calibri"/>
                <w:i/>
                <w:sz w:val="18"/>
                <w:szCs w:val="18"/>
              </w:rPr>
            </w:pPr>
            <w:r w:rsidRPr="00C22C26">
              <w:rPr>
                <w:rFonts w:cs="Calibri"/>
                <w:sz w:val="18"/>
                <w:szCs w:val="18"/>
              </w:rPr>
              <w:t>WR</w:t>
            </w:r>
          </w:p>
        </w:tc>
        <w:tc>
          <w:tcPr>
            <w:tcW w:w="899" w:type="dxa"/>
            <w:vAlign w:val="center"/>
          </w:tcPr>
          <w:p w14:paraId="36614F1F" w14:textId="77777777" w:rsidR="00291431" w:rsidRPr="00C22C26" w:rsidDel="00E2671B" w:rsidRDefault="00291431" w:rsidP="00370D80">
            <w:pPr>
              <w:jc w:val="center"/>
              <w:rPr>
                <w:rFonts w:cs="Calibri"/>
                <w:i/>
                <w:sz w:val="18"/>
                <w:szCs w:val="18"/>
              </w:rPr>
            </w:pPr>
            <w:r w:rsidRPr="00C22C26">
              <w:rPr>
                <w:rFonts w:cs="Calibri"/>
                <w:sz w:val="18"/>
                <w:szCs w:val="18"/>
              </w:rPr>
              <w:t>8,6</w:t>
            </w:r>
          </w:p>
        </w:tc>
        <w:tc>
          <w:tcPr>
            <w:tcW w:w="1540" w:type="dxa"/>
            <w:shd w:val="clear" w:color="auto" w:fill="auto"/>
            <w:vAlign w:val="center"/>
          </w:tcPr>
          <w:p w14:paraId="4E253506" w14:textId="77777777" w:rsidR="00291431" w:rsidRPr="00C22C26" w:rsidRDefault="00291431" w:rsidP="00C22C26">
            <w:pPr>
              <w:rPr>
                <w:rFonts w:cs="Calibri"/>
                <w:i/>
                <w:sz w:val="18"/>
                <w:szCs w:val="18"/>
              </w:rPr>
            </w:pPr>
            <w:r w:rsidRPr="00C22C26">
              <w:rPr>
                <w:rFonts w:cs="Calibri"/>
                <w:sz w:val="18"/>
                <w:szCs w:val="18"/>
              </w:rPr>
              <w:t>Liczba uczniów, którzy nabyli kompetencje kluczowe lub umiejętności uniwersalne po opuszczeniu programu</w:t>
            </w:r>
          </w:p>
        </w:tc>
        <w:tc>
          <w:tcPr>
            <w:tcW w:w="929" w:type="dxa"/>
            <w:shd w:val="clear" w:color="auto" w:fill="auto"/>
            <w:vAlign w:val="center"/>
          </w:tcPr>
          <w:p w14:paraId="046FFC14" w14:textId="77777777" w:rsidR="00291431" w:rsidRPr="00C22C26" w:rsidRDefault="00291431" w:rsidP="00370D80">
            <w:pPr>
              <w:jc w:val="center"/>
              <w:rPr>
                <w:rFonts w:cs="Calibri"/>
                <w:bCs/>
                <w:color w:val="000000"/>
                <w:sz w:val="18"/>
                <w:szCs w:val="18"/>
              </w:rPr>
            </w:pPr>
            <w:r w:rsidRPr="00C22C26">
              <w:rPr>
                <w:rFonts w:cs="Calibri"/>
                <w:sz w:val="18"/>
                <w:szCs w:val="18"/>
              </w:rPr>
              <w:t>85%</w:t>
            </w:r>
          </w:p>
        </w:tc>
        <w:tc>
          <w:tcPr>
            <w:tcW w:w="826" w:type="dxa"/>
            <w:vAlign w:val="center"/>
          </w:tcPr>
          <w:p w14:paraId="57263706" w14:textId="77777777" w:rsidR="00291431" w:rsidRPr="00C22C26" w:rsidRDefault="00291431" w:rsidP="00370D80">
            <w:pPr>
              <w:jc w:val="center"/>
              <w:rPr>
                <w:rFonts w:cs="Calibri"/>
                <w:sz w:val="18"/>
                <w:szCs w:val="18"/>
              </w:rPr>
            </w:pPr>
            <w:r w:rsidRPr="00C22C26">
              <w:rPr>
                <w:rFonts w:cs="Calibri"/>
                <w:sz w:val="18"/>
                <w:szCs w:val="18"/>
              </w:rPr>
              <w:t>%</w:t>
            </w:r>
          </w:p>
        </w:tc>
        <w:tc>
          <w:tcPr>
            <w:tcW w:w="974" w:type="dxa"/>
            <w:shd w:val="clear" w:color="auto" w:fill="auto"/>
            <w:vAlign w:val="center"/>
          </w:tcPr>
          <w:p w14:paraId="7019BE03"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269B7B51"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35D6A094"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05DB128E" w14:textId="77777777" w:rsidR="00291431" w:rsidRPr="00C22C26" w:rsidRDefault="00291431" w:rsidP="00370D80">
            <w:pPr>
              <w:jc w:val="center"/>
              <w:rPr>
                <w:rFonts w:cs="Calibri"/>
                <w:sz w:val="18"/>
                <w:szCs w:val="18"/>
              </w:rPr>
            </w:pPr>
            <w:r w:rsidRPr="00C22C26">
              <w:rPr>
                <w:rFonts w:cs="Calibri"/>
                <w:sz w:val="18"/>
                <w:szCs w:val="18"/>
              </w:rPr>
              <w:t>0%</w:t>
            </w:r>
          </w:p>
        </w:tc>
      </w:tr>
      <w:tr w:rsidR="00291431" w:rsidRPr="00021563" w14:paraId="3C595BE9" w14:textId="77777777" w:rsidTr="00C22C26">
        <w:tc>
          <w:tcPr>
            <w:tcW w:w="972" w:type="dxa"/>
            <w:vAlign w:val="center"/>
          </w:tcPr>
          <w:p w14:paraId="437ED94C" w14:textId="77777777" w:rsidR="00291431" w:rsidRPr="00C22C26" w:rsidDel="00E2671B" w:rsidRDefault="00291431" w:rsidP="00370D80">
            <w:pPr>
              <w:jc w:val="center"/>
              <w:rPr>
                <w:rFonts w:cs="Calibri"/>
                <w:i/>
                <w:sz w:val="18"/>
                <w:szCs w:val="18"/>
              </w:rPr>
            </w:pPr>
            <w:r w:rsidRPr="00C22C26">
              <w:rPr>
                <w:sz w:val="18"/>
                <w:szCs w:val="18"/>
              </w:rPr>
              <w:t>WP</w:t>
            </w:r>
          </w:p>
        </w:tc>
        <w:tc>
          <w:tcPr>
            <w:tcW w:w="899" w:type="dxa"/>
            <w:vAlign w:val="center"/>
          </w:tcPr>
          <w:p w14:paraId="746310A6" w14:textId="77777777" w:rsidR="00291431" w:rsidRPr="00C22C26" w:rsidDel="00E2671B" w:rsidRDefault="00291431" w:rsidP="00370D80">
            <w:pPr>
              <w:jc w:val="center"/>
              <w:rPr>
                <w:rFonts w:cs="Calibri"/>
                <w:i/>
                <w:sz w:val="18"/>
                <w:szCs w:val="18"/>
              </w:rPr>
            </w:pPr>
            <w:r w:rsidRPr="00C22C26">
              <w:rPr>
                <w:rFonts w:cs="Calibri"/>
                <w:bCs/>
                <w:sz w:val="18"/>
                <w:szCs w:val="18"/>
              </w:rPr>
              <w:t>8.6, 8.7, 8.8, 8.9</w:t>
            </w:r>
          </w:p>
        </w:tc>
        <w:tc>
          <w:tcPr>
            <w:tcW w:w="1540" w:type="dxa"/>
            <w:shd w:val="clear" w:color="auto" w:fill="auto"/>
            <w:vAlign w:val="center"/>
          </w:tcPr>
          <w:p w14:paraId="17829A8E" w14:textId="77777777" w:rsidR="00291431" w:rsidRPr="00C22C26" w:rsidRDefault="00291431" w:rsidP="00C22C26">
            <w:pPr>
              <w:rPr>
                <w:rFonts w:cs="Calibri"/>
                <w:i/>
                <w:sz w:val="18"/>
                <w:szCs w:val="18"/>
              </w:rPr>
            </w:pPr>
            <w:r w:rsidRPr="00C22C26">
              <w:rPr>
                <w:rFonts w:cs="Calibri"/>
                <w:bCs/>
                <w:sz w:val="18"/>
                <w:szCs w:val="18"/>
              </w:rPr>
              <w:t>Liczba nauczycieli kształcenia zawodowego oraz instruktorów praktycznej nauki zawodu objętych wsparciem</w:t>
            </w:r>
            <w:r w:rsidR="00E66B89">
              <w:rPr>
                <w:rFonts w:cs="Calibri"/>
                <w:bCs/>
                <w:sz w:val="18"/>
                <w:szCs w:val="18"/>
              </w:rPr>
              <w:t xml:space="preserve"> w </w:t>
            </w:r>
            <w:r w:rsidRPr="00C22C26">
              <w:rPr>
                <w:rFonts w:cs="Calibri"/>
                <w:bCs/>
                <w:sz w:val="18"/>
                <w:szCs w:val="18"/>
              </w:rPr>
              <w:t>programie</w:t>
            </w:r>
          </w:p>
        </w:tc>
        <w:tc>
          <w:tcPr>
            <w:tcW w:w="929" w:type="dxa"/>
            <w:shd w:val="clear" w:color="auto" w:fill="auto"/>
            <w:vAlign w:val="center"/>
          </w:tcPr>
          <w:p w14:paraId="087002F2" w14:textId="77777777" w:rsidR="00291431" w:rsidRPr="00C22C26" w:rsidRDefault="00291431" w:rsidP="00370D80">
            <w:pPr>
              <w:jc w:val="center"/>
              <w:rPr>
                <w:rFonts w:cs="Calibri"/>
                <w:bCs/>
                <w:color w:val="000000"/>
                <w:sz w:val="18"/>
                <w:szCs w:val="18"/>
              </w:rPr>
            </w:pPr>
            <w:r w:rsidRPr="00C22C26">
              <w:rPr>
                <w:rFonts w:cs="Calibri"/>
                <w:sz w:val="18"/>
                <w:szCs w:val="18"/>
              </w:rPr>
              <w:t>1 175</w:t>
            </w:r>
          </w:p>
        </w:tc>
        <w:tc>
          <w:tcPr>
            <w:tcW w:w="826" w:type="dxa"/>
            <w:shd w:val="clear" w:color="auto" w:fill="auto"/>
            <w:vAlign w:val="center"/>
          </w:tcPr>
          <w:p w14:paraId="4C2DAAB9" w14:textId="77777777" w:rsidR="00291431" w:rsidRPr="00C22C26" w:rsidRDefault="00291431" w:rsidP="00370D80">
            <w:pPr>
              <w:jc w:val="center"/>
              <w:rPr>
                <w:rFonts w:cs="Calibri"/>
                <w:sz w:val="18"/>
                <w:szCs w:val="18"/>
              </w:rPr>
            </w:pPr>
            <w:r w:rsidRPr="00C22C26">
              <w:rPr>
                <w:rFonts w:cs="Calibri"/>
                <w:sz w:val="18"/>
                <w:szCs w:val="18"/>
              </w:rPr>
              <w:t>osoby</w:t>
            </w:r>
          </w:p>
        </w:tc>
        <w:tc>
          <w:tcPr>
            <w:tcW w:w="974" w:type="dxa"/>
            <w:shd w:val="clear" w:color="auto" w:fill="auto"/>
            <w:vAlign w:val="center"/>
          </w:tcPr>
          <w:p w14:paraId="0EFB4683" w14:textId="77777777" w:rsidR="00291431" w:rsidRPr="00C22C26" w:rsidRDefault="00291431" w:rsidP="00370D80">
            <w:pPr>
              <w:jc w:val="center"/>
              <w:rPr>
                <w:rFonts w:cs="Calibri"/>
                <w:sz w:val="18"/>
                <w:szCs w:val="18"/>
              </w:rPr>
            </w:pPr>
            <w:r w:rsidRPr="00C22C26">
              <w:rPr>
                <w:rFonts w:cs="Calibri"/>
                <w:sz w:val="18"/>
                <w:szCs w:val="18"/>
              </w:rPr>
              <w:t>617</w:t>
            </w:r>
          </w:p>
        </w:tc>
        <w:tc>
          <w:tcPr>
            <w:tcW w:w="974" w:type="dxa"/>
            <w:shd w:val="clear" w:color="auto" w:fill="auto"/>
            <w:vAlign w:val="center"/>
          </w:tcPr>
          <w:p w14:paraId="58CCD81F" w14:textId="77777777" w:rsidR="00291431" w:rsidRPr="00C22C26" w:rsidRDefault="00291431" w:rsidP="00370D80">
            <w:pPr>
              <w:jc w:val="center"/>
              <w:rPr>
                <w:rFonts w:cs="Calibri"/>
                <w:sz w:val="18"/>
                <w:szCs w:val="18"/>
              </w:rPr>
            </w:pPr>
            <w:r w:rsidRPr="00C22C26">
              <w:rPr>
                <w:rFonts w:cs="Calibri"/>
                <w:sz w:val="18"/>
                <w:szCs w:val="18"/>
              </w:rPr>
              <w:t>53%</w:t>
            </w:r>
          </w:p>
        </w:tc>
        <w:tc>
          <w:tcPr>
            <w:tcW w:w="974" w:type="dxa"/>
            <w:shd w:val="clear" w:color="auto" w:fill="auto"/>
            <w:vAlign w:val="center"/>
          </w:tcPr>
          <w:p w14:paraId="458BF082" w14:textId="77777777" w:rsidR="00291431" w:rsidRPr="00C22C26" w:rsidRDefault="00291431" w:rsidP="00370D80">
            <w:pPr>
              <w:jc w:val="center"/>
              <w:rPr>
                <w:rFonts w:cs="Calibri"/>
                <w:sz w:val="18"/>
                <w:szCs w:val="18"/>
              </w:rPr>
            </w:pPr>
            <w:r w:rsidRPr="00C22C26">
              <w:rPr>
                <w:rFonts w:cs="Calibri"/>
                <w:sz w:val="18"/>
                <w:szCs w:val="18"/>
              </w:rPr>
              <w:t>259</w:t>
            </w:r>
          </w:p>
        </w:tc>
        <w:tc>
          <w:tcPr>
            <w:tcW w:w="974" w:type="dxa"/>
            <w:shd w:val="clear" w:color="auto" w:fill="auto"/>
            <w:vAlign w:val="center"/>
          </w:tcPr>
          <w:p w14:paraId="24967D80" w14:textId="77777777" w:rsidR="00291431" w:rsidRPr="00C22C26" w:rsidRDefault="00291431" w:rsidP="00370D80">
            <w:pPr>
              <w:jc w:val="center"/>
              <w:rPr>
                <w:rFonts w:cs="Calibri"/>
                <w:sz w:val="18"/>
                <w:szCs w:val="18"/>
              </w:rPr>
            </w:pPr>
            <w:r w:rsidRPr="00C22C26">
              <w:rPr>
                <w:rFonts w:cs="Calibri"/>
                <w:sz w:val="18"/>
                <w:szCs w:val="18"/>
              </w:rPr>
              <w:t>22%</w:t>
            </w:r>
          </w:p>
        </w:tc>
      </w:tr>
      <w:tr w:rsidR="00291431" w:rsidRPr="00021563" w14:paraId="11BFC08C" w14:textId="77777777" w:rsidTr="00C22C26">
        <w:tc>
          <w:tcPr>
            <w:tcW w:w="972" w:type="dxa"/>
            <w:vAlign w:val="center"/>
          </w:tcPr>
          <w:p w14:paraId="4B27CD44" w14:textId="77777777" w:rsidR="00291431" w:rsidRPr="00C22C26" w:rsidRDefault="00291431" w:rsidP="00370D80">
            <w:pPr>
              <w:jc w:val="center"/>
              <w:rPr>
                <w:rFonts w:cs="Calibri"/>
                <w:i/>
                <w:sz w:val="18"/>
                <w:szCs w:val="18"/>
              </w:rPr>
            </w:pPr>
          </w:p>
        </w:tc>
        <w:tc>
          <w:tcPr>
            <w:tcW w:w="899" w:type="dxa"/>
            <w:vAlign w:val="center"/>
          </w:tcPr>
          <w:p w14:paraId="50FA7874" w14:textId="77777777" w:rsidR="00291431" w:rsidRPr="00C22C26" w:rsidRDefault="00291431" w:rsidP="00370D80">
            <w:pPr>
              <w:jc w:val="center"/>
              <w:rPr>
                <w:rFonts w:cs="Calibri"/>
                <w:i/>
                <w:sz w:val="18"/>
                <w:szCs w:val="18"/>
              </w:rPr>
            </w:pPr>
            <w:r w:rsidRPr="00C22C26">
              <w:rPr>
                <w:rFonts w:cs="Calibri"/>
                <w:bCs/>
                <w:color w:val="000000"/>
                <w:sz w:val="18"/>
                <w:szCs w:val="18"/>
              </w:rPr>
              <w:t>8.6</w:t>
            </w:r>
          </w:p>
        </w:tc>
        <w:tc>
          <w:tcPr>
            <w:tcW w:w="1540" w:type="dxa"/>
            <w:shd w:val="clear" w:color="auto" w:fill="auto"/>
            <w:vAlign w:val="center"/>
          </w:tcPr>
          <w:p w14:paraId="33EBD04F" w14:textId="77777777" w:rsidR="00291431" w:rsidRPr="00C22C26" w:rsidRDefault="00291431" w:rsidP="00C22C26">
            <w:pPr>
              <w:rPr>
                <w:rFonts w:cs="Calibri"/>
                <w:i/>
                <w:sz w:val="18"/>
                <w:szCs w:val="18"/>
              </w:rPr>
            </w:pPr>
          </w:p>
        </w:tc>
        <w:tc>
          <w:tcPr>
            <w:tcW w:w="929" w:type="dxa"/>
            <w:shd w:val="clear" w:color="auto" w:fill="auto"/>
            <w:vAlign w:val="center"/>
          </w:tcPr>
          <w:p w14:paraId="78A33C30"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shd w:val="clear" w:color="auto" w:fill="auto"/>
            <w:vAlign w:val="center"/>
          </w:tcPr>
          <w:p w14:paraId="2949074F" w14:textId="77777777" w:rsidR="00291431" w:rsidRPr="00C22C26" w:rsidRDefault="00291431" w:rsidP="00370D80">
            <w:pPr>
              <w:jc w:val="center"/>
              <w:rPr>
                <w:rFonts w:cs="Calibri"/>
                <w:sz w:val="18"/>
                <w:szCs w:val="18"/>
              </w:rPr>
            </w:pPr>
          </w:p>
        </w:tc>
        <w:tc>
          <w:tcPr>
            <w:tcW w:w="974" w:type="dxa"/>
            <w:shd w:val="clear" w:color="auto" w:fill="auto"/>
            <w:vAlign w:val="center"/>
          </w:tcPr>
          <w:p w14:paraId="71AA1D90" w14:textId="77777777" w:rsidR="00291431" w:rsidRPr="00C22C26" w:rsidRDefault="00291431" w:rsidP="00370D80">
            <w:pPr>
              <w:jc w:val="center"/>
              <w:rPr>
                <w:rFonts w:cs="Calibri"/>
                <w:sz w:val="18"/>
                <w:szCs w:val="18"/>
              </w:rPr>
            </w:pPr>
            <w:r w:rsidRPr="00C22C26">
              <w:rPr>
                <w:sz w:val="18"/>
                <w:szCs w:val="18"/>
              </w:rPr>
              <w:t>399</w:t>
            </w:r>
          </w:p>
        </w:tc>
        <w:tc>
          <w:tcPr>
            <w:tcW w:w="974" w:type="dxa"/>
            <w:shd w:val="clear" w:color="auto" w:fill="auto"/>
            <w:vAlign w:val="center"/>
          </w:tcPr>
          <w:p w14:paraId="263D2289" w14:textId="77777777" w:rsidR="00291431" w:rsidRPr="00C22C26" w:rsidRDefault="00291431" w:rsidP="00370D80">
            <w:pPr>
              <w:jc w:val="center"/>
              <w:rPr>
                <w:rFonts w:cs="Calibri"/>
                <w:sz w:val="18"/>
                <w:szCs w:val="18"/>
              </w:rPr>
            </w:pPr>
          </w:p>
        </w:tc>
        <w:tc>
          <w:tcPr>
            <w:tcW w:w="974" w:type="dxa"/>
            <w:shd w:val="clear" w:color="auto" w:fill="auto"/>
            <w:vAlign w:val="center"/>
          </w:tcPr>
          <w:p w14:paraId="1262BA1D" w14:textId="77777777" w:rsidR="00291431" w:rsidRPr="00C22C26" w:rsidRDefault="00291431" w:rsidP="00370D80">
            <w:pPr>
              <w:jc w:val="center"/>
              <w:rPr>
                <w:rFonts w:cs="Calibri"/>
                <w:sz w:val="18"/>
                <w:szCs w:val="18"/>
              </w:rPr>
            </w:pPr>
            <w:r w:rsidRPr="00C22C26">
              <w:rPr>
                <w:sz w:val="18"/>
                <w:szCs w:val="18"/>
              </w:rPr>
              <w:t>157</w:t>
            </w:r>
          </w:p>
        </w:tc>
        <w:tc>
          <w:tcPr>
            <w:tcW w:w="974" w:type="dxa"/>
            <w:shd w:val="clear" w:color="auto" w:fill="auto"/>
            <w:vAlign w:val="center"/>
          </w:tcPr>
          <w:p w14:paraId="708AA3ED" w14:textId="77777777" w:rsidR="00291431" w:rsidRPr="00C22C26" w:rsidRDefault="00291431" w:rsidP="00370D80">
            <w:pPr>
              <w:jc w:val="center"/>
              <w:rPr>
                <w:rFonts w:cs="Calibri"/>
                <w:sz w:val="18"/>
                <w:szCs w:val="18"/>
              </w:rPr>
            </w:pPr>
          </w:p>
        </w:tc>
      </w:tr>
      <w:tr w:rsidR="00291431" w:rsidRPr="00021563" w14:paraId="3FB51711" w14:textId="77777777" w:rsidTr="00C22C26">
        <w:tc>
          <w:tcPr>
            <w:tcW w:w="972" w:type="dxa"/>
            <w:vAlign w:val="center"/>
          </w:tcPr>
          <w:p w14:paraId="044A81AC" w14:textId="77777777" w:rsidR="00291431" w:rsidRPr="00C22C26" w:rsidRDefault="00291431" w:rsidP="00370D80">
            <w:pPr>
              <w:jc w:val="center"/>
              <w:rPr>
                <w:rFonts w:cs="Calibri"/>
                <w:i/>
                <w:sz w:val="18"/>
                <w:szCs w:val="18"/>
              </w:rPr>
            </w:pPr>
          </w:p>
        </w:tc>
        <w:tc>
          <w:tcPr>
            <w:tcW w:w="899" w:type="dxa"/>
            <w:vAlign w:val="center"/>
          </w:tcPr>
          <w:p w14:paraId="395D498C" w14:textId="77777777" w:rsidR="00291431" w:rsidRPr="00C22C26" w:rsidRDefault="00291431" w:rsidP="00370D80">
            <w:pPr>
              <w:jc w:val="center"/>
              <w:rPr>
                <w:rFonts w:cs="Calibri"/>
                <w:i/>
                <w:sz w:val="18"/>
                <w:szCs w:val="18"/>
              </w:rPr>
            </w:pPr>
            <w:r w:rsidRPr="00C22C26">
              <w:rPr>
                <w:rFonts w:cs="Calibri"/>
                <w:bCs/>
                <w:color w:val="000000"/>
                <w:sz w:val="18"/>
                <w:szCs w:val="18"/>
              </w:rPr>
              <w:t>8.7</w:t>
            </w:r>
          </w:p>
        </w:tc>
        <w:tc>
          <w:tcPr>
            <w:tcW w:w="1540" w:type="dxa"/>
            <w:shd w:val="clear" w:color="auto" w:fill="auto"/>
            <w:vAlign w:val="center"/>
          </w:tcPr>
          <w:p w14:paraId="4ADB6430" w14:textId="77777777" w:rsidR="00291431" w:rsidRPr="00C22C26" w:rsidRDefault="00291431" w:rsidP="00C22C26">
            <w:pPr>
              <w:rPr>
                <w:rFonts w:cs="Calibri"/>
                <w:i/>
                <w:sz w:val="18"/>
                <w:szCs w:val="18"/>
              </w:rPr>
            </w:pPr>
          </w:p>
        </w:tc>
        <w:tc>
          <w:tcPr>
            <w:tcW w:w="929" w:type="dxa"/>
            <w:shd w:val="clear" w:color="auto" w:fill="auto"/>
            <w:vAlign w:val="center"/>
          </w:tcPr>
          <w:p w14:paraId="5D9F6798"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shd w:val="clear" w:color="auto" w:fill="auto"/>
            <w:vAlign w:val="center"/>
          </w:tcPr>
          <w:p w14:paraId="47560A1C" w14:textId="77777777" w:rsidR="00291431" w:rsidRPr="00C22C26" w:rsidRDefault="00291431" w:rsidP="00370D80">
            <w:pPr>
              <w:jc w:val="center"/>
              <w:rPr>
                <w:rFonts w:cs="Calibri"/>
                <w:sz w:val="18"/>
                <w:szCs w:val="18"/>
              </w:rPr>
            </w:pPr>
          </w:p>
        </w:tc>
        <w:tc>
          <w:tcPr>
            <w:tcW w:w="974" w:type="dxa"/>
            <w:shd w:val="clear" w:color="auto" w:fill="auto"/>
            <w:vAlign w:val="center"/>
          </w:tcPr>
          <w:p w14:paraId="4ACEB07C" w14:textId="77777777" w:rsidR="00291431" w:rsidRPr="00C22C26" w:rsidRDefault="00291431" w:rsidP="00370D80">
            <w:pPr>
              <w:jc w:val="center"/>
              <w:rPr>
                <w:rFonts w:cs="Calibri"/>
                <w:sz w:val="18"/>
                <w:szCs w:val="18"/>
              </w:rPr>
            </w:pPr>
            <w:r w:rsidRPr="00C22C26">
              <w:rPr>
                <w:sz w:val="18"/>
                <w:szCs w:val="18"/>
              </w:rPr>
              <w:t>21</w:t>
            </w:r>
          </w:p>
        </w:tc>
        <w:tc>
          <w:tcPr>
            <w:tcW w:w="974" w:type="dxa"/>
            <w:shd w:val="clear" w:color="auto" w:fill="auto"/>
            <w:vAlign w:val="center"/>
          </w:tcPr>
          <w:p w14:paraId="7655567E" w14:textId="77777777" w:rsidR="00291431" w:rsidRPr="00C22C26" w:rsidRDefault="00291431" w:rsidP="00370D80">
            <w:pPr>
              <w:jc w:val="center"/>
              <w:rPr>
                <w:rFonts w:cs="Calibri"/>
                <w:sz w:val="18"/>
                <w:szCs w:val="18"/>
              </w:rPr>
            </w:pPr>
          </w:p>
        </w:tc>
        <w:tc>
          <w:tcPr>
            <w:tcW w:w="974" w:type="dxa"/>
            <w:shd w:val="clear" w:color="auto" w:fill="auto"/>
            <w:vAlign w:val="center"/>
          </w:tcPr>
          <w:p w14:paraId="42E40A9F" w14:textId="77777777" w:rsidR="00291431" w:rsidRPr="00C22C26" w:rsidRDefault="00291431" w:rsidP="00370D80">
            <w:pPr>
              <w:jc w:val="center"/>
              <w:rPr>
                <w:rFonts w:cs="Calibri"/>
                <w:sz w:val="18"/>
                <w:szCs w:val="18"/>
              </w:rPr>
            </w:pPr>
            <w:r w:rsidRPr="00C22C26">
              <w:rPr>
                <w:sz w:val="18"/>
                <w:szCs w:val="18"/>
              </w:rPr>
              <w:t>16</w:t>
            </w:r>
          </w:p>
        </w:tc>
        <w:tc>
          <w:tcPr>
            <w:tcW w:w="974" w:type="dxa"/>
            <w:shd w:val="clear" w:color="auto" w:fill="auto"/>
            <w:vAlign w:val="center"/>
          </w:tcPr>
          <w:p w14:paraId="41785080" w14:textId="77777777" w:rsidR="00291431" w:rsidRPr="00C22C26" w:rsidRDefault="00291431" w:rsidP="00370D80">
            <w:pPr>
              <w:jc w:val="center"/>
              <w:rPr>
                <w:rFonts w:cs="Calibri"/>
                <w:sz w:val="18"/>
                <w:szCs w:val="18"/>
              </w:rPr>
            </w:pPr>
          </w:p>
        </w:tc>
      </w:tr>
      <w:tr w:rsidR="00291431" w:rsidRPr="00021563" w14:paraId="05B42F79" w14:textId="77777777" w:rsidTr="00C22C26">
        <w:tc>
          <w:tcPr>
            <w:tcW w:w="972" w:type="dxa"/>
            <w:vAlign w:val="center"/>
          </w:tcPr>
          <w:p w14:paraId="2142B57A" w14:textId="77777777" w:rsidR="00291431" w:rsidRPr="00C22C26" w:rsidRDefault="00291431" w:rsidP="00370D80">
            <w:pPr>
              <w:jc w:val="center"/>
              <w:rPr>
                <w:rFonts w:cs="Calibri"/>
                <w:i/>
                <w:color w:val="000000"/>
                <w:sz w:val="18"/>
                <w:szCs w:val="18"/>
              </w:rPr>
            </w:pPr>
          </w:p>
        </w:tc>
        <w:tc>
          <w:tcPr>
            <w:tcW w:w="899" w:type="dxa"/>
            <w:vAlign w:val="center"/>
          </w:tcPr>
          <w:p w14:paraId="1738DC0B"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8.8</w:t>
            </w:r>
          </w:p>
        </w:tc>
        <w:tc>
          <w:tcPr>
            <w:tcW w:w="1540" w:type="dxa"/>
            <w:shd w:val="clear" w:color="auto" w:fill="auto"/>
            <w:vAlign w:val="center"/>
          </w:tcPr>
          <w:p w14:paraId="7B5E59D9" w14:textId="77777777" w:rsidR="00291431" w:rsidRPr="00C22C26" w:rsidRDefault="00291431" w:rsidP="00C22C26">
            <w:pPr>
              <w:rPr>
                <w:rFonts w:cs="Calibri"/>
                <w:i/>
                <w:sz w:val="18"/>
                <w:szCs w:val="18"/>
              </w:rPr>
            </w:pPr>
          </w:p>
        </w:tc>
        <w:tc>
          <w:tcPr>
            <w:tcW w:w="929" w:type="dxa"/>
            <w:shd w:val="clear" w:color="auto" w:fill="auto"/>
            <w:vAlign w:val="center"/>
          </w:tcPr>
          <w:p w14:paraId="6DA9E173"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293AF04A"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552115EE" w14:textId="77777777" w:rsidR="00291431" w:rsidRPr="00C22C26" w:rsidRDefault="00291431" w:rsidP="00370D80">
            <w:pPr>
              <w:jc w:val="center"/>
              <w:rPr>
                <w:rFonts w:cs="Calibri"/>
                <w:sz w:val="18"/>
                <w:szCs w:val="18"/>
              </w:rPr>
            </w:pPr>
            <w:r w:rsidRPr="00C22C26">
              <w:rPr>
                <w:sz w:val="18"/>
                <w:szCs w:val="18"/>
              </w:rPr>
              <w:t>46</w:t>
            </w:r>
          </w:p>
        </w:tc>
        <w:tc>
          <w:tcPr>
            <w:tcW w:w="974" w:type="dxa"/>
            <w:shd w:val="clear" w:color="auto" w:fill="auto"/>
            <w:vAlign w:val="center"/>
          </w:tcPr>
          <w:p w14:paraId="71533D80" w14:textId="77777777" w:rsidR="00291431" w:rsidRPr="00C22C26" w:rsidRDefault="00291431" w:rsidP="00370D80">
            <w:pPr>
              <w:jc w:val="center"/>
              <w:rPr>
                <w:rFonts w:cs="Calibri"/>
                <w:sz w:val="18"/>
                <w:szCs w:val="18"/>
              </w:rPr>
            </w:pPr>
          </w:p>
        </w:tc>
        <w:tc>
          <w:tcPr>
            <w:tcW w:w="974" w:type="dxa"/>
            <w:shd w:val="clear" w:color="auto" w:fill="auto"/>
            <w:vAlign w:val="center"/>
          </w:tcPr>
          <w:p w14:paraId="216B42E0" w14:textId="77777777" w:rsidR="00291431" w:rsidRPr="00C22C26" w:rsidRDefault="00291431" w:rsidP="00370D80">
            <w:pPr>
              <w:jc w:val="center"/>
              <w:rPr>
                <w:rFonts w:cs="Calibri"/>
                <w:sz w:val="18"/>
                <w:szCs w:val="18"/>
              </w:rPr>
            </w:pPr>
            <w:r w:rsidRPr="00C22C26">
              <w:rPr>
                <w:sz w:val="18"/>
                <w:szCs w:val="18"/>
              </w:rPr>
              <w:t>38</w:t>
            </w:r>
          </w:p>
        </w:tc>
        <w:tc>
          <w:tcPr>
            <w:tcW w:w="974" w:type="dxa"/>
            <w:shd w:val="clear" w:color="auto" w:fill="auto"/>
            <w:vAlign w:val="center"/>
          </w:tcPr>
          <w:p w14:paraId="2AF14A17" w14:textId="77777777" w:rsidR="00291431" w:rsidRPr="00C22C26" w:rsidRDefault="00291431" w:rsidP="00370D80">
            <w:pPr>
              <w:jc w:val="center"/>
              <w:rPr>
                <w:rFonts w:cs="Calibri"/>
                <w:sz w:val="18"/>
                <w:szCs w:val="18"/>
              </w:rPr>
            </w:pPr>
          </w:p>
        </w:tc>
      </w:tr>
      <w:tr w:rsidR="00291431" w:rsidRPr="00021563" w14:paraId="179BF64C" w14:textId="77777777" w:rsidTr="00C22C26">
        <w:tc>
          <w:tcPr>
            <w:tcW w:w="972" w:type="dxa"/>
            <w:vAlign w:val="center"/>
          </w:tcPr>
          <w:p w14:paraId="6C8DE3A3" w14:textId="77777777" w:rsidR="00291431" w:rsidRPr="00C22C26" w:rsidRDefault="00291431" w:rsidP="00370D80">
            <w:pPr>
              <w:jc w:val="center"/>
              <w:rPr>
                <w:rFonts w:cs="Calibri"/>
                <w:i/>
                <w:color w:val="000000"/>
                <w:sz w:val="18"/>
                <w:szCs w:val="18"/>
              </w:rPr>
            </w:pPr>
          </w:p>
        </w:tc>
        <w:tc>
          <w:tcPr>
            <w:tcW w:w="899" w:type="dxa"/>
            <w:vAlign w:val="center"/>
          </w:tcPr>
          <w:p w14:paraId="1A62C447"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8.9</w:t>
            </w:r>
          </w:p>
        </w:tc>
        <w:tc>
          <w:tcPr>
            <w:tcW w:w="1540" w:type="dxa"/>
            <w:shd w:val="clear" w:color="auto" w:fill="auto"/>
            <w:vAlign w:val="center"/>
          </w:tcPr>
          <w:p w14:paraId="5A10862C" w14:textId="77777777" w:rsidR="00291431" w:rsidRPr="00C22C26" w:rsidRDefault="00291431" w:rsidP="00C22C26">
            <w:pPr>
              <w:rPr>
                <w:rFonts w:cs="Calibri"/>
                <w:i/>
                <w:sz w:val="18"/>
                <w:szCs w:val="18"/>
              </w:rPr>
            </w:pPr>
          </w:p>
        </w:tc>
        <w:tc>
          <w:tcPr>
            <w:tcW w:w="929" w:type="dxa"/>
            <w:shd w:val="clear" w:color="auto" w:fill="auto"/>
            <w:vAlign w:val="center"/>
          </w:tcPr>
          <w:p w14:paraId="46F83088"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3A6AB67C"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2AE78E29" w14:textId="77777777" w:rsidR="00291431" w:rsidRPr="00C22C26" w:rsidRDefault="00291431" w:rsidP="00370D80">
            <w:pPr>
              <w:jc w:val="center"/>
              <w:rPr>
                <w:rFonts w:cs="Calibri"/>
                <w:sz w:val="18"/>
                <w:szCs w:val="18"/>
              </w:rPr>
            </w:pPr>
            <w:r w:rsidRPr="00C22C26">
              <w:rPr>
                <w:sz w:val="18"/>
                <w:szCs w:val="18"/>
              </w:rPr>
              <w:t>151</w:t>
            </w:r>
          </w:p>
        </w:tc>
        <w:tc>
          <w:tcPr>
            <w:tcW w:w="974" w:type="dxa"/>
            <w:shd w:val="clear" w:color="auto" w:fill="auto"/>
            <w:vAlign w:val="center"/>
          </w:tcPr>
          <w:p w14:paraId="10458FF1" w14:textId="77777777" w:rsidR="00291431" w:rsidRPr="00C22C26" w:rsidRDefault="00291431" w:rsidP="00370D80">
            <w:pPr>
              <w:jc w:val="center"/>
              <w:rPr>
                <w:rFonts w:cs="Calibri"/>
                <w:sz w:val="18"/>
                <w:szCs w:val="18"/>
              </w:rPr>
            </w:pPr>
          </w:p>
        </w:tc>
        <w:tc>
          <w:tcPr>
            <w:tcW w:w="974" w:type="dxa"/>
            <w:shd w:val="clear" w:color="auto" w:fill="auto"/>
            <w:vAlign w:val="center"/>
          </w:tcPr>
          <w:p w14:paraId="57AFCA3F" w14:textId="77777777" w:rsidR="00291431" w:rsidRPr="00C22C26" w:rsidRDefault="00291431" w:rsidP="00370D80">
            <w:pPr>
              <w:jc w:val="center"/>
              <w:rPr>
                <w:rFonts w:cs="Calibri"/>
                <w:sz w:val="18"/>
                <w:szCs w:val="18"/>
              </w:rPr>
            </w:pPr>
            <w:r w:rsidRPr="00C22C26">
              <w:rPr>
                <w:sz w:val="18"/>
                <w:szCs w:val="18"/>
              </w:rPr>
              <w:t>48</w:t>
            </w:r>
          </w:p>
        </w:tc>
        <w:tc>
          <w:tcPr>
            <w:tcW w:w="974" w:type="dxa"/>
            <w:shd w:val="clear" w:color="auto" w:fill="auto"/>
            <w:vAlign w:val="center"/>
          </w:tcPr>
          <w:p w14:paraId="0DEEA77C" w14:textId="77777777" w:rsidR="00291431" w:rsidRPr="00C22C26" w:rsidRDefault="00291431" w:rsidP="00370D80">
            <w:pPr>
              <w:jc w:val="center"/>
              <w:rPr>
                <w:rFonts w:cs="Calibri"/>
                <w:sz w:val="18"/>
                <w:szCs w:val="18"/>
              </w:rPr>
            </w:pPr>
          </w:p>
        </w:tc>
      </w:tr>
      <w:tr w:rsidR="00291431" w:rsidRPr="00021563" w14:paraId="1FBE3C07" w14:textId="77777777" w:rsidTr="00C22C26">
        <w:tc>
          <w:tcPr>
            <w:tcW w:w="972" w:type="dxa"/>
            <w:vAlign w:val="center"/>
          </w:tcPr>
          <w:p w14:paraId="55448891" w14:textId="77777777" w:rsidR="00291431" w:rsidRPr="00C22C26" w:rsidRDefault="00291431" w:rsidP="00370D80">
            <w:pPr>
              <w:jc w:val="center"/>
              <w:rPr>
                <w:rFonts w:cs="Calibri"/>
                <w:i/>
                <w:color w:val="000000"/>
                <w:sz w:val="18"/>
                <w:szCs w:val="18"/>
              </w:rPr>
            </w:pPr>
            <w:r w:rsidRPr="00C22C26">
              <w:rPr>
                <w:sz w:val="18"/>
                <w:szCs w:val="18"/>
              </w:rPr>
              <w:t>WR</w:t>
            </w:r>
          </w:p>
        </w:tc>
        <w:tc>
          <w:tcPr>
            <w:tcW w:w="899" w:type="dxa"/>
            <w:vAlign w:val="center"/>
          </w:tcPr>
          <w:p w14:paraId="4137FD0A" w14:textId="77777777" w:rsidR="00291431" w:rsidRPr="00C22C26" w:rsidRDefault="00291431" w:rsidP="00370D80">
            <w:pPr>
              <w:jc w:val="center"/>
              <w:rPr>
                <w:rFonts w:cs="Calibri"/>
                <w:i/>
                <w:color w:val="000000"/>
                <w:sz w:val="18"/>
                <w:szCs w:val="18"/>
              </w:rPr>
            </w:pPr>
            <w:r w:rsidRPr="00C22C26">
              <w:rPr>
                <w:rFonts w:cs="Calibri"/>
                <w:sz w:val="18"/>
                <w:szCs w:val="18"/>
              </w:rPr>
              <w:t>8.6, 8.7, 8.8, 8.9</w:t>
            </w:r>
          </w:p>
        </w:tc>
        <w:tc>
          <w:tcPr>
            <w:tcW w:w="1540" w:type="dxa"/>
            <w:shd w:val="clear" w:color="auto" w:fill="auto"/>
            <w:vAlign w:val="center"/>
          </w:tcPr>
          <w:p w14:paraId="1BF344B9" w14:textId="77777777" w:rsidR="00291431" w:rsidRPr="00C22C26" w:rsidRDefault="00291431" w:rsidP="00C22C26">
            <w:pPr>
              <w:rPr>
                <w:rFonts w:cs="Calibri"/>
                <w:i/>
                <w:sz w:val="18"/>
                <w:szCs w:val="18"/>
              </w:rPr>
            </w:pPr>
            <w:r w:rsidRPr="00C22C26">
              <w:rPr>
                <w:rFonts w:cs="Calibri"/>
                <w:sz w:val="18"/>
                <w:szCs w:val="18"/>
              </w:rPr>
              <w:t xml:space="preserve">Liczba nauczycieli kształcenia zawodowego </w:t>
            </w:r>
            <w:r w:rsidRPr="00C22C26">
              <w:rPr>
                <w:rFonts w:cs="Calibri"/>
                <w:sz w:val="18"/>
                <w:szCs w:val="18"/>
              </w:rPr>
              <w:lastRenderedPageBreak/>
              <w:t>oraz instruktorów praktycznej nauki zawodu, którzy uzyskali kwalifikacje lub nabyli kompetencje po opuszczeniu programu</w:t>
            </w:r>
          </w:p>
        </w:tc>
        <w:tc>
          <w:tcPr>
            <w:tcW w:w="929" w:type="dxa"/>
            <w:shd w:val="clear" w:color="auto" w:fill="auto"/>
            <w:vAlign w:val="center"/>
          </w:tcPr>
          <w:p w14:paraId="5EA029BF" w14:textId="77777777" w:rsidR="00291431" w:rsidRPr="00C22C26" w:rsidRDefault="00291431" w:rsidP="00370D80">
            <w:pPr>
              <w:jc w:val="center"/>
              <w:rPr>
                <w:rFonts w:cs="Calibri"/>
                <w:sz w:val="18"/>
                <w:szCs w:val="18"/>
              </w:rPr>
            </w:pPr>
            <w:r w:rsidRPr="00C22C26">
              <w:rPr>
                <w:rFonts w:cs="Calibri"/>
                <w:sz w:val="18"/>
                <w:szCs w:val="18"/>
              </w:rPr>
              <w:lastRenderedPageBreak/>
              <w:t>92%</w:t>
            </w:r>
          </w:p>
        </w:tc>
        <w:tc>
          <w:tcPr>
            <w:tcW w:w="826" w:type="dxa"/>
            <w:vAlign w:val="center"/>
          </w:tcPr>
          <w:p w14:paraId="416E7B99" w14:textId="77777777" w:rsidR="00291431" w:rsidRPr="00C22C26" w:rsidRDefault="00291431" w:rsidP="00370D80">
            <w:pPr>
              <w:jc w:val="center"/>
              <w:rPr>
                <w:rFonts w:cs="Calibri"/>
                <w:sz w:val="18"/>
                <w:szCs w:val="18"/>
              </w:rPr>
            </w:pPr>
            <w:r w:rsidRPr="00C22C26">
              <w:rPr>
                <w:rFonts w:cs="Calibri"/>
                <w:sz w:val="18"/>
                <w:szCs w:val="18"/>
              </w:rPr>
              <w:t>%</w:t>
            </w:r>
          </w:p>
        </w:tc>
        <w:tc>
          <w:tcPr>
            <w:tcW w:w="974" w:type="dxa"/>
            <w:shd w:val="clear" w:color="auto" w:fill="auto"/>
            <w:vAlign w:val="center"/>
          </w:tcPr>
          <w:p w14:paraId="4688760C" w14:textId="77777777" w:rsidR="00291431" w:rsidRPr="00C22C26" w:rsidRDefault="00291431" w:rsidP="00370D80">
            <w:pPr>
              <w:jc w:val="center"/>
              <w:rPr>
                <w:rFonts w:cs="Calibri"/>
                <w:sz w:val="18"/>
                <w:szCs w:val="18"/>
              </w:rPr>
            </w:pPr>
            <w:r w:rsidRPr="00C22C26">
              <w:rPr>
                <w:rFonts w:cs="Calibri"/>
                <w:sz w:val="18"/>
                <w:szCs w:val="18"/>
              </w:rPr>
              <w:t>98,2%</w:t>
            </w:r>
          </w:p>
        </w:tc>
        <w:tc>
          <w:tcPr>
            <w:tcW w:w="974" w:type="dxa"/>
            <w:shd w:val="clear" w:color="auto" w:fill="auto"/>
            <w:vAlign w:val="center"/>
          </w:tcPr>
          <w:p w14:paraId="7C257F8D" w14:textId="77777777" w:rsidR="00291431" w:rsidRPr="00C22C26" w:rsidRDefault="00291431" w:rsidP="00370D80">
            <w:pPr>
              <w:jc w:val="center"/>
              <w:rPr>
                <w:rFonts w:cs="Calibri"/>
                <w:sz w:val="18"/>
                <w:szCs w:val="18"/>
              </w:rPr>
            </w:pPr>
            <w:r w:rsidRPr="00C22C26">
              <w:rPr>
                <w:rFonts w:cs="Calibri"/>
                <w:sz w:val="18"/>
                <w:szCs w:val="18"/>
              </w:rPr>
              <w:t>107%</w:t>
            </w:r>
          </w:p>
        </w:tc>
        <w:tc>
          <w:tcPr>
            <w:tcW w:w="974" w:type="dxa"/>
            <w:shd w:val="clear" w:color="auto" w:fill="auto"/>
            <w:vAlign w:val="center"/>
          </w:tcPr>
          <w:p w14:paraId="459B3238" w14:textId="77777777" w:rsidR="00291431" w:rsidRPr="00C22C26" w:rsidRDefault="00291431" w:rsidP="00370D80">
            <w:pPr>
              <w:jc w:val="center"/>
              <w:rPr>
                <w:rFonts w:cs="Calibri"/>
                <w:sz w:val="18"/>
                <w:szCs w:val="18"/>
              </w:rPr>
            </w:pPr>
            <w:r w:rsidRPr="00C22C26">
              <w:rPr>
                <w:rFonts w:cs="Calibri"/>
                <w:sz w:val="18"/>
                <w:szCs w:val="18"/>
              </w:rPr>
              <w:t>61%</w:t>
            </w:r>
          </w:p>
        </w:tc>
        <w:tc>
          <w:tcPr>
            <w:tcW w:w="974" w:type="dxa"/>
            <w:shd w:val="clear" w:color="auto" w:fill="auto"/>
            <w:vAlign w:val="center"/>
          </w:tcPr>
          <w:p w14:paraId="6DE25AB1" w14:textId="77777777" w:rsidR="00291431" w:rsidRPr="00C22C26" w:rsidRDefault="00291431" w:rsidP="00370D80">
            <w:pPr>
              <w:jc w:val="center"/>
              <w:rPr>
                <w:rFonts w:cs="Calibri"/>
                <w:sz w:val="18"/>
                <w:szCs w:val="18"/>
              </w:rPr>
            </w:pPr>
            <w:r w:rsidRPr="00C22C26">
              <w:rPr>
                <w:rFonts w:cs="Calibri"/>
                <w:sz w:val="18"/>
                <w:szCs w:val="18"/>
              </w:rPr>
              <w:t>66%</w:t>
            </w:r>
          </w:p>
        </w:tc>
      </w:tr>
      <w:tr w:rsidR="00291431" w:rsidRPr="00021563" w14:paraId="35A07B65" w14:textId="77777777" w:rsidTr="00C22C26">
        <w:tc>
          <w:tcPr>
            <w:tcW w:w="972" w:type="dxa"/>
            <w:vAlign w:val="center"/>
          </w:tcPr>
          <w:p w14:paraId="6011989B" w14:textId="77777777" w:rsidR="00291431" w:rsidRPr="00C22C26" w:rsidRDefault="00291431" w:rsidP="00370D80">
            <w:pPr>
              <w:jc w:val="center"/>
              <w:rPr>
                <w:rFonts w:cs="Calibri"/>
                <w:i/>
                <w:color w:val="000000"/>
                <w:sz w:val="18"/>
                <w:szCs w:val="18"/>
              </w:rPr>
            </w:pPr>
          </w:p>
        </w:tc>
        <w:tc>
          <w:tcPr>
            <w:tcW w:w="899" w:type="dxa"/>
            <w:vAlign w:val="center"/>
          </w:tcPr>
          <w:p w14:paraId="1E1857C4"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8.6</w:t>
            </w:r>
          </w:p>
        </w:tc>
        <w:tc>
          <w:tcPr>
            <w:tcW w:w="1540" w:type="dxa"/>
            <w:shd w:val="clear" w:color="auto" w:fill="auto"/>
            <w:vAlign w:val="center"/>
          </w:tcPr>
          <w:p w14:paraId="26EBAB6F" w14:textId="77777777" w:rsidR="00291431" w:rsidRPr="00C22C26" w:rsidRDefault="00291431" w:rsidP="00C22C26">
            <w:pPr>
              <w:rPr>
                <w:rFonts w:cs="Calibri"/>
                <w:i/>
                <w:sz w:val="18"/>
                <w:szCs w:val="18"/>
              </w:rPr>
            </w:pPr>
          </w:p>
        </w:tc>
        <w:tc>
          <w:tcPr>
            <w:tcW w:w="929" w:type="dxa"/>
            <w:shd w:val="clear" w:color="auto" w:fill="auto"/>
            <w:vAlign w:val="center"/>
          </w:tcPr>
          <w:p w14:paraId="3A1C81C3"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72AAF7C5"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23F029EB" w14:textId="77777777" w:rsidR="00291431" w:rsidRPr="00C22C26" w:rsidRDefault="00291431" w:rsidP="00370D80">
            <w:pPr>
              <w:jc w:val="center"/>
              <w:rPr>
                <w:rFonts w:cs="Calibri"/>
                <w:sz w:val="18"/>
                <w:szCs w:val="18"/>
              </w:rPr>
            </w:pPr>
            <w:r w:rsidRPr="00C22C26">
              <w:rPr>
                <w:sz w:val="18"/>
                <w:szCs w:val="18"/>
              </w:rPr>
              <w:t>397</w:t>
            </w:r>
          </w:p>
        </w:tc>
        <w:tc>
          <w:tcPr>
            <w:tcW w:w="974" w:type="dxa"/>
            <w:shd w:val="clear" w:color="auto" w:fill="auto"/>
            <w:vAlign w:val="center"/>
          </w:tcPr>
          <w:p w14:paraId="4F84DED5" w14:textId="77777777" w:rsidR="00291431" w:rsidRPr="00C22C26" w:rsidRDefault="00291431" w:rsidP="00370D80">
            <w:pPr>
              <w:jc w:val="center"/>
              <w:rPr>
                <w:rFonts w:cs="Calibri"/>
                <w:sz w:val="18"/>
                <w:szCs w:val="18"/>
              </w:rPr>
            </w:pPr>
          </w:p>
        </w:tc>
        <w:tc>
          <w:tcPr>
            <w:tcW w:w="974" w:type="dxa"/>
            <w:shd w:val="clear" w:color="auto" w:fill="auto"/>
            <w:vAlign w:val="center"/>
          </w:tcPr>
          <w:p w14:paraId="37656FA4" w14:textId="77777777" w:rsidR="00291431" w:rsidRPr="00C22C26" w:rsidRDefault="00291431" w:rsidP="00370D80">
            <w:pPr>
              <w:jc w:val="center"/>
              <w:rPr>
                <w:rFonts w:cs="Calibri"/>
                <w:sz w:val="18"/>
                <w:szCs w:val="18"/>
              </w:rPr>
            </w:pPr>
            <w:r w:rsidRPr="00C22C26">
              <w:rPr>
                <w:sz w:val="18"/>
                <w:szCs w:val="18"/>
              </w:rPr>
              <w:t>100</w:t>
            </w:r>
          </w:p>
        </w:tc>
        <w:tc>
          <w:tcPr>
            <w:tcW w:w="974" w:type="dxa"/>
            <w:shd w:val="clear" w:color="auto" w:fill="auto"/>
            <w:vAlign w:val="center"/>
          </w:tcPr>
          <w:p w14:paraId="4978AD63" w14:textId="77777777" w:rsidR="00291431" w:rsidRPr="00C22C26" w:rsidRDefault="00291431" w:rsidP="00370D80">
            <w:pPr>
              <w:jc w:val="center"/>
              <w:rPr>
                <w:rFonts w:cs="Calibri"/>
                <w:sz w:val="18"/>
                <w:szCs w:val="18"/>
              </w:rPr>
            </w:pPr>
          </w:p>
        </w:tc>
      </w:tr>
      <w:tr w:rsidR="00291431" w:rsidRPr="00021563" w14:paraId="2861492B" w14:textId="77777777" w:rsidTr="00C22C26">
        <w:tc>
          <w:tcPr>
            <w:tcW w:w="972" w:type="dxa"/>
            <w:vAlign w:val="center"/>
          </w:tcPr>
          <w:p w14:paraId="68AA8FA8" w14:textId="77777777" w:rsidR="00291431" w:rsidRPr="00C22C26" w:rsidRDefault="00291431" w:rsidP="00370D80">
            <w:pPr>
              <w:jc w:val="center"/>
              <w:rPr>
                <w:rFonts w:cs="Calibri"/>
                <w:i/>
                <w:color w:val="000000"/>
                <w:sz w:val="18"/>
                <w:szCs w:val="18"/>
              </w:rPr>
            </w:pPr>
          </w:p>
        </w:tc>
        <w:tc>
          <w:tcPr>
            <w:tcW w:w="899" w:type="dxa"/>
            <w:vAlign w:val="center"/>
          </w:tcPr>
          <w:p w14:paraId="7256022F" w14:textId="77777777" w:rsidR="00291431" w:rsidRPr="00C22C26" w:rsidRDefault="00291431" w:rsidP="00370D80">
            <w:pPr>
              <w:jc w:val="center"/>
              <w:rPr>
                <w:rFonts w:cs="Calibri"/>
                <w:color w:val="000000"/>
                <w:sz w:val="18"/>
                <w:szCs w:val="18"/>
              </w:rPr>
            </w:pPr>
            <w:r w:rsidRPr="00C22C26">
              <w:rPr>
                <w:rFonts w:cs="Calibri"/>
                <w:bCs/>
                <w:color w:val="000000"/>
                <w:sz w:val="18"/>
                <w:szCs w:val="18"/>
              </w:rPr>
              <w:t>8.7</w:t>
            </w:r>
          </w:p>
        </w:tc>
        <w:tc>
          <w:tcPr>
            <w:tcW w:w="1540" w:type="dxa"/>
            <w:shd w:val="clear" w:color="auto" w:fill="auto"/>
            <w:vAlign w:val="center"/>
          </w:tcPr>
          <w:p w14:paraId="689EC354" w14:textId="77777777" w:rsidR="00291431" w:rsidRPr="00C22C26" w:rsidRDefault="00291431" w:rsidP="00C22C26">
            <w:pPr>
              <w:rPr>
                <w:rFonts w:cs="Calibri"/>
                <w:i/>
                <w:sz w:val="18"/>
                <w:szCs w:val="18"/>
              </w:rPr>
            </w:pPr>
          </w:p>
        </w:tc>
        <w:tc>
          <w:tcPr>
            <w:tcW w:w="929" w:type="dxa"/>
            <w:shd w:val="clear" w:color="auto" w:fill="auto"/>
            <w:vAlign w:val="center"/>
          </w:tcPr>
          <w:p w14:paraId="2DB849E7"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11F7FB56"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7171D29A" w14:textId="77777777" w:rsidR="00291431" w:rsidRPr="00C22C26" w:rsidRDefault="00291431" w:rsidP="00370D80">
            <w:pPr>
              <w:jc w:val="center"/>
              <w:rPr>
                <w:rFonts w:cs="Calibri"/>
                <w:sz w:val="18"/>
                <w:szCs w:val="18"/>
              </w:rPr>
            </w:pPr>
            <w:r w:rsidRPr="00C22C26">
              <w:rPr>
                <w:sz w:val="18"/>
                <w:szCs w:val="18"/>
              </w:rPr>
              <w:t>20</w:t>
            </w:r>
          </w:p>
        </w:tc>
        <w:tc>
          <w:tcPr>
            <w:tcW w:w="974" w:type="dxa"/>
            <w:shd w:val="clear" w:color="auto" w:fill="auto"/>
            <w:vAlign w:val="center"/>
          </w:tcPr>
          <w:p w14:paraId="36A95F46" w14:textId="77777777" w:rsidR="00291431" w:rsidRPr="00C22C26" w:rsidRDefault="00291431" w:rsidP="00370D80">
            <w:pPr>
              <w:jc w:val="center"/>
              <w:rPr>
                <w:rFonts w:cs="Calibri"/>
                <w:sz w:val="18"/>
                <w:szCs w:val="18"/>
              </w:rPr>
            </w:pPr>
          </w:p>
        </w:tc>
        <w:tc>
          <w:tcPr>
            <w:tcW w:w="974" w:type="dxa"/>
            <w:shd w:val="clear" w:color="auto" w:fill="auto"/>
            <w:vAlign w:val="center"/>
          </w:tcPr>
          <w:p w14:paraId="1AB8C7B0" w14:textId="77777777" w:rsidR="00291431" w:rsidRPr="00C22C26" w:rsidRDefault="00291431" w:rsidP="00370D80">
            <w:pPr>
              <w:jc w:val="center"/>
              <w:rPr>
                <w:rFonts w:cs="Calibri"/>
                <w:sz w:val="18"/>
                <w:szCs w:val="18"/>
              </w:rPr>
            </w:pPr>
            <w:r w:rsidRPr="00C22C26">
              <w:rPr>
                <w:sz w:val="18"/>
                <w:szCs w:val="18"/>
              </w:rPr>
              <w:t>14</w:t>
            </w:r>
          </w:p>
        </w:tc>
        <w:tc>
          <w:tcPr>
            <w:tcW w:w="974" w:type="dxa"/>
            <w:shd w:val="clear" w:color="auto" w:fill="auto"/>
            <w:vAlign w:val="center"/>
          </w:tcPr>
          <w:p w14:paraId="3DD17AD0" w14:textId="77777777" w:rsidR="00291431" w:rsidRPr="00C22C26" w:rsidRDefault="00291431" w:rsidP="00370D80">
            <w:pPr>
              <w:jc w:val="center"/>
              <w:rPr>
                <w:rFonts w:cs="Calibri"/>
                <w:sz w:val="18"/>
                <w:szCs w:val="18"/>
              </w:rPr>
            </w:pPr>
          </w:p>
        </w:tc>
      </w:tr>
      <w:tr w:rsidR="00291431" w:rsidRPr="00021563" w14:paraId="4092D9EA" w14:textId="77777777" w:rsidTr="00C22C26">
        <w:tc>
          <w:tcPr>
            <w:tcW w:w="972" w:type="dxa"/>
            <w:vAlign w:val="center"/>
          </w:tcPr>
          <w:p w14:paraId="3740B4AA" w14:textId="77777777" w:rsidR="00291431" w:rsidRPr="00C22C26" w:rsidRDefault="00291431" w:rsidP="00370D80">
            <w:pPr>
              <w:jc w:val="center"/>
              <w:rPr>
                <w:rFonts w:cs="Calibri"/>
                <w:i/>
                <w:color w:val="000000"/>
                <w:sz w:val="18"/>
                <w:szCs w:val="18"/>
              </w:rPr>
            </w:pPr>
          </w:p>
        </w:tc>
        <w:tc>
          <w:tcPr>
            <w:tcW w:w="899" w:type="dxa"/>
            <w:vAlign w:val="center"/>
          </w:tcPr>
          <w:p w14:paraId="485FA085" w14:textId="77777777" w:rsidR="00291431" w:rsidRPr="00C22C26" w:rsidRDefault="00291431" w:rsidP="00370D80">
            <w:pPr>
              <w:jc w:val="center"/>
              <w:rPr>
                <w:rFonts w:cs="Calibri"/>
                <w:color w:val="000000"/>
                <w:sz w:val="18"/>
                <w:szCs w:val="18"/>
              </w:rPr>
            </w:pPr>
            <w:r w:rsidRPr="00C22C26">
              <w:rPr>
                <w:rFonts w:cs="Calibri"/>
                <w:bCs/>
                <w:color w:val="000000"/>
                <w:sz w:val="18"/>
                <w:szCs w:val="18"/>
              </w:rPr>
              <w:t>8.8</w:t>
            </w:r>
          </w:p>
        </w:tc>
        <w:tc>
          <w:tcPr>
            <w:tcW w:w="1540" w:type="dxa"/>
            <w:shd w:val="clear" w:color="auto" w:fill="auto"/>
            <w:vAlign w:val="center"/>
          </w:tcPr>
          <w:p w14:paraId="179DE217" w14:textId="77777777" w:rsidR="00291431" w:rsidRPr="00C22C26" w:rsidRDefault="00291431" w:rsidP="00C22C26">
            <w:pPr>
              <w:rPr>
                <w:rFonts w:cs="Calibri"/>
                <w:i/>
                <w:sz w:val="18"/>
                <w:szCs w:val="18"/>
              </w:rPr>
            </w:pPr>
          </w:p>
        </w:tc>
        <w:tc>
          <w:tcPr>
            <w:tcW w:w="929" w:type="dxa"/>
            <w:shd w:val="clear" w:color="auto" w:fill="auto"/>
            <w:vAlign w:val="center"/>
          </w:tcPr>
          <w:p w14:paraId="1EF742AE"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0EC5DB24"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5774A3F5" w14:textId="77777777" w:rsidR="00291431" w:rsidRPr="00C22C26" w:rsidRDefault="00291431" w:rsidP="00370D80">
            <w:pPr>
              <w:jc w:val="center"/>
              <w:rPr>
                <w:rFonts w:cs="Calibri"/>
                <w:sz w:val="18"/>
                <w:szCs w:val="18"/>
              </w:rPr>
            </w:pPr>
            <w:r w:rsidRPr="00C22C26">
              <w:rPr>
                <w:sz w:val="18"/>
                <w:szCs w:val="18"/>
              </w:rPr>
              <w:t>41</w:t>
            </w:r>
          </w:p>
        </w:tc>
        <w:tc>
          <w:tcPr>
            <w:tcW w:w="974" w:type="dxa"/>
            <w:shd w:val="clear" w:color="auto" w:fill="auto"/>
            <w:vAlign w:val="center"/>
          </w:tcPr>
          <w:p w14:paraId="30C2CA77" w14:textId="77777777" w:rsidR="00291431" w:rsidRPr="00C22C26" w:rsidRDefault="00291431" w:rsidP="00370D80">
            <w:pPr>
              <w:jc w:val="center"/>
              <w:rPr>
                <w:rFonts w:cs="Calibri"/>
                <w:sz w:val="18"/>
                <w:szCs w:val="18"/>
              </w:rPr>
            </w:pPr>
          </w:p>
        </w:tc>
        <w:tc>
          <w:tcPr>
            <w:tcW w:w="974" w:type="dxa"/>
            <w:shd w:val="clear" w:color="auto" w:fill="auto"/>
            <w:vAlign w:val="center"/>
          </w:tcPr>
          <w:p w14:paraId="3BDE169D" w14:textId="77777777" w:rsidR="00291431" w:rsidRPr="00C22C26" w:rsidRDefault="00291431" w:rsidP="00370D80">
            <w:pPr>
              <w:jc w:val="center"/>
              <w:rPr>
                <w:rFonts w:cs="Calibri"/>
                <w:sz w:val="18"/>
                <w:szCs w:val="18"/>
              </w:rPr>
            </w:pPr>
            <w:r w:rsidRPr="00C22C26">
              <w:rPr>
                <w:sz w:val="18"/>
                <w:szCs w:val="18"/>
              </w:rPr>
              <w:t>33</w:t>
            </w:r>
          </w:p>
        </w:tc>
        <w:tc>
          <w:tcPr>
            <w:tcW w:w="974" w:type="dxa"/>
            <w:shd w:val="clear" w:color="auto" w:fill="auto"/>
            <w:vAlign w:val="center"/>
          </w:tcPr>
          <w:p w14:paraId="521667A4" w14:textId="77777777" w:rsidR="00291431" w:rsidRPr="00C22C26" w:rsidRDefault="00291431" w:rsidP="00370D80">
            <w:pPr>
              <w:jc w:val="center"/>
              <w:rPr>
                <w:rFonts w:cs="Calibri"/>
                <w:sz w:val="18"/>
                <w:szCs w:val="18"/>
              </w:rPr>
            </w:pPr>
          </w:p>
        </w:tc>
      </w:tr>
      <w:tr w:rsidR="00291431" w:rsidRPr="00021563" w14:paraId="113CD6C1" w14:textId="77777777" w:rsidTr="00C22C26">
        <w:tc>
          <w:tcPr>
            <w:tcW w:w="972" w:type="dxa"/>
            <w:vAlign w:val="center"/>
          </w:tcPr>
          <w:p w14:paraId="5CBECFF4" w14:textId="77777777" w:rsidR="00291431" w:rsidRPr="00C22C26" w:rsidRDefault="00291431" w:rsidP="00370D80">
            <w:pPr>
              <w:jc w:val="center"/>
              <w:rPr>
                <w:rFonts w:cs="Calibri"/>
                <w:color w:val="000000"/>
                <w:sz w:val="18"/>
                <w:szCs w:val="18"/>
              </w:rPr>
            </w:pPr>
          </w:p>
        </w:tc>
        <w:tc>
          <w:tcPr>
            <w:tcW w:w="899" w:type="dxa"/>
            <w:vAlign w:val="center"/>
          </w:tcPr>
          <w:p w14:paraId="1F3CBDB3" w14:textId="77777777" w:rsidR="00291431" w:rsidRPr="00C22C26" w:rsidRDefault="00291431" w:rsidP="00370D80">
            <w:pPr>
              <w:jc w:val="center"/>
              <w:rPr>
                <w:rFonts w:cs="Calibri"/>
                <w:i/>
                <w:color w:val="000000"/>
                <w:sz w:val="18"/>
                <w:szCs w:val="18"/>
              </w:rPr>
            </w:pPr>
            <w:r w:rsidRPr="00C22C26">
              <w:rPr>
                <w:rFonts w:cs="Calibri"/>
                <w:bCs/>
                <w:color w:val="000000"/>
                <w:sz w:val="18"/>
                <w:szCs w:val="18"/>
              </w:rPr>
              <w:t>8.9</w:t>
            </w:r>
          </w:p>
        </w:tc>
        <w:tc>
          <w:tcPr>
            <w:tcW w:w="1540" w:type="dxa"/>
            <w:shd w:val="clear" w:color="auto" w:fill="auto"/>
            <w:vAlign w:val="center"/>
          </w:tcPr>
          <w:p w14:paraId="784651BE" w14:textId="77777777" w:rsidR="00291431" w:rsidRPr="00C22C26" w:rsidRDefault="00291431" w:rsidP="00C22C26">
            <w:pPr>
              <w:rPr>
                <w:rFonts w:cs="Calibri"/>
                <w:i/>
                <w:sz w:val="18"/>
                <w:szCs w:val="18"/>
              </w:rPr>
            </w:pPr>
          </w:p>
        </w:tc>
        <w:tc>
          <w:tcPr>
            <w:tcW w:w="929" w:type="dxa"/>
            <w:shd w:val="clear" w:color="auto" w:fill="auto"/>
            <w:vAlign w:val="center"/>
          </w:tcPr>
          <w:p w14:paraId="3CBADE6F" w14:textId="77777777" w:rsidR="00291431" w:rsidRPr="00C22C26" w:rsidRDefault="00291431" w:rsidP="00370D80">
            <w:pPr>
              <w:jc w:val="center"/>
              <w:rPr>
                <w:rFonts w:cs="Calibri"/>
                <w:sz w:val="18"/>
                <w:szCs w:val="18"/>
              </w:rPr>
            </w:pPr>
            <w:r w:rsidRPr="00C22C26">
              <w:rPr>
                <w:rFonts w:cs="Calibri"/>
                <w:sz w:val="18"/>
                <w:szCs w:val="18"/>
              </w:rPr>
              <w:t>n/d</w:t>
            </w:r>
          </w:p>
        </w:tc>
        <w:tc>
          <w:tcPr>
            <w:tcW w:w="826" w:type="dxa"/>
            <w:vAlign w:val="center"/>
          </w:tcPr>
          <w:p w14:paraId="67F41E44" w14:textId="77777777" w:rsidR="00291431" w:rsidRPr="00C22C26" w:rsidRDefault="00291431" w:rsidP="00370D80">
            <w:pPr>
              <w:jc w:val="center"/>
              <w:rPr>
                <w:rFonts w:cs="Calibri"/>
                <w:color w:val="000000"/>
                <w:sz w:val="18"/>
                <w:szCs w:val="18"/>
              </w:rPr>
            </w:pPr>
          </w:p>
        </w:tc>
        <w:tc>
          <w:tcPr>
            <w:tcW w:w="974" w:type="dxa"/>
            <w:shd w:val="clear" w:color="auto" w:fill="auto"/>
            <w:vAlign w:val="center"/>
          </w:tcPr>
          <w:p w14:paraId="1B39FDA8" w14:textId="77777777" w:rsidR="00291431" w:rsidRPr="00C22C26" w:rsidRDefault="00291431" w:rsidP="00370D80">
            <w:pPr>
              <w:jc w:val="center"/>
              <w:rPr>
                <w:rFonts w:cs="Calibri"/>
                <w:sz w:val="18"/>
                <w:szCs w:val="18"/>
              </w:rPr>
            </w:pPr>
            <w:r w:rsidRPr="00C22C26">
              <w:rPr>
                <w:sz w:val="18"/>
                <w:szCs w:val="18"/>
              </w:rPr>
              <w:t>148</w:t>
            </w:r>
          </w:p>
        </w:tc>
        <w:tc>
          <w:tcPr>
            <w:tcW w:w="974" w:type="dxa"/>
            <w:shd w:val="clear" w:color="auto" w:fill="auto"/>
            <w:vAlign w:val="center"/>
          </w:tcPr>
          <w:p w14:paraId="1AC4DF8A" w14:textId="77777777" w:rsidR="00291431" w:rsidRPr="00C22C26" w:rsidRDefault="00291431" w:rsidP="00370D80">
            <w:pPr>
              <w:jc w:val="center"/>
              <w:rPr>
                <w:rFonts w:cs="Calibri"/>
                <w:sz w:val="18"/>
                <w:szCs w:val="18"/>
              </w:rPr>
            </w:pPr>
          </w:p>
        </w:tc>
        <w:tc>
          <w:tcPr>
            <w:tcW w:w="974" w:type="dxa"/>
            <w:shd w:val="clear" w:color="auto" w:fill="auto"/>
            <w:vAlign w:val="center"/>
          </w:tcPr>
          <w:p w14:paraId="0DC06BE1" w14:textId="77777777" w:rsidR="00291431" w:rsidRPr="00C22C26" w:rsidRDefault="00291431" w:rsidP="00370D80">
            <w:pPr>
              <w:jc w:val="center"/>
              <w:rPr>
                <w:rFonts w:cs="Calibri"/>
                <w:sz w:val="18"/>
                <w:szCs w:val="18"/>
              </w:rPr>
            </w:pPr>
            <w:r w:rsidRPr="00C22C26">
              <w:rPr>
                <w:sz w:val="18"/>
                <w:szCs w:val="18"/>
              </w:rPr>
              <w:t>11</w:t>
            </w:r>
          </w:p>
        </w:tc>
        <w:tc>
          <w:tcPr>
            <w:tcW w:w="974" w:type="dxa"/>
            <w:shd w:val="clear" w:color="auto" w:fill="auto"/>
            <w:vAlign w:val="center"/>
          </w:tcPr>
          <w:p w14:paraId="29F759CD" w14:textId="77777777" w:rsidR="00291431" w:rsidRPr="00C22C26" w:rsidRDefault="00291431" w:rsidP="00370D80">
            <w:pPr>
              <w:jc w:val="center"/>
              <w:rPr>
                <w:rFonts w:cs="Calibri"/>
                <w:sz w:val="18"/>
                <w:szCs w:val="18"/>
              </w:rPr>
            </w:pPr>
          </w:p>
        </w:tc>
      </w:tr>
      <w:tr w:rsidR="00291431" w:rsidRPr="00021563" w14:paraId="71CDBC96" w14:textId="77777777" w:rsidTr="00C22C26">
        <w:tc>
          <w:tcPr>
            <w:tcW w:w="972" w:type="dxa"/>
            <w:vAlign w:val="center"/>
          </w:tcPr>
          <w:p w14:paraId="66077650" w14:textId="77777777" w:rsidR="00291431" w:rsidRPr="00C22C26" w:rsidRDefault="00291431" w:rsidP="00370D80">
            <w:pPr>
              <w:jc w:val="center"/>
              <w:rPr>
                <w:rFonts w:cs="Calibri"/>
                <w:bCs/>
                <w:color w:val="000000"/>
                <w:sz w:val="18"/>
                <w:szCs w:val="18"/>
              </w:rPr>
            </w:pPr>
            <w:r w:rsidRPr="00C22C26">
              <w:rPr>
                <w:sz w:val="18"/>
                <w:szCs w:val="18"/>
              </w:rPr>
              <w:t>WP</w:t>
            </w:r>
          </w:p>
        </w:tc>
        <w:tc>
          <w:tcPr>
            <w:tcW w:w="899" w:type="dxa"/>
            <w:vAlign w:val="center"/>
          </w:tcPr>
          <w:p w14:paraId="4752D0DA" w14:textId="77777777" w:rsidR="00291431" w:rsidRPr="00C22C26" w:rsidRDefault="00291431" w:rsidP="00370D80">
            <w:pPr>
              <w:jc w:val="center"/>
              <w:rPr>
                <w:rFonts w:cs="Calibri"/>
                <w:bCs/>
                <w:color w:val="000000"/>
                <w:sz w:val="18"/>
                <w:szCs w:val="18"/>
              </w:rPr>
            </w:pPr>
            <w:r w:rsidRPr="00C22C26">
              <w:rPr>
                <w:rFonts w:cs="Calibri"/>
                <w:sz w:val="18"/>
                <w:szCs w:val="18"/>
              </w:rPr>
              <w:t>8.6, 8.7, 8.8, 8.9</w:t>
            </w:r>
          </w:p>
        </w:tc>
        <w:tc>
          <w:tcPr>
            <w:tcW w:w="1540" w:type="dxa"/>
            <w:shd w:val="clear" w:color="auto" w:fill="auto"/>
            <w:vAlign w:val="center"/>
          </w:tcPr>
          <w:p w14:paraId="4F23035A" w14:textId="77777777" w:rsidR="00291431" w:rsidRPr="00C22C26" w:rsidRDefault="00291431" w:rsidP="00C22C26">
            <w:pPr>
              <w:rPr>
                <w:rFonts w:cs="Calibri"/>
                <w:bCs/>
                <w:color w:val="000000"/>
                <w:sz w:val="18"/>
                <w:szCs w:val="18"/>
              </w:rPr>
            </w:pPr>
            <w:r w:rsidRPr="00C22C26">
              <w:rPr>
                <w:rFonts w:cs="Calibri"/>
                <w:sz w:val="18"/>
                <w:szCs w:val="18"/>
              </w:rPr>
              <w:t>Liczba osób uczestniczących</w:t>
            </w:r>
            <w:r w:rsidR="00E66B89">
              <w:rPr>
                <w:rFonts w:cs="Calibri"/>
                <w:sz w:val="18"/>
                <w:szCs w:val="18"/>
              </w:rPr>
              <w:t xml:space="preserve"> w </w:t>
            </w:r>
            <w:r w:rsidRPr="00C22C26">
              <w:rPr>
                <w:rFonts w:cs="Calibri"/>
                <w:sz w:val="18"/>
                <w:szCs w:val="18"/>
              </w:rPr>
              <w:t>pozaszkolnych formach kształcenia</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0D446A77" w14:textId="77777777" w:rsidR="00291431" w:rsidRPr="00C22C26" w:rsidRDefault="00291431" w:rsidP="00370D80">
            <w:pPr>
              <w:jc w:val="center"/>
              <w:rPr>
                <w:rFonts w:cs="Calibri"/>
                <w:bCs/>
                <w:color w:val="000000"/>
                <w:sz w:val="18"/>
                <w:szCs w:val="18"/>
              </w:rPr>
            </w:pPr>
            <w:r w:rsidRPr="00C22C26">
              <w:rPr>
                <w:rFonts w:cs="Calibri"/>
                <w:sz w:val="18"/>
                <w:szCs w:val="18"/>
              </w:rPr>
              <w:t>11 752</w:t>
            </w:r>
          </w:p>
        </w:tc>
        <w:tc>
          <w:tcPr>
            <w:tcW w:w="826" w:type="dxa"/>
            <w:vAlign w:val="center"/>
          </w:tcPr>
          <w:p w14:paraId="14B517BF" w14:textId="77777777" w:rsidR="00291431" w:rsidRPr="00C22C26" w:rsidRDefault="00291431" w:rsidP="00370D80">
            <w:pPr>
              <w:jc w:val="center"/>
              <w:rPr>
                <w:rFonts w:cs="Calibri"/>
                <w:bCs/>
                <w:color w:val="000000"/>
                <w:sz w:val="18"/>
                <w:szCs w:val="18"/>
              </w:rPr>
            </w:pPr>
            <w:r w:rsidRPr="00C22C26">
              <w:rPr>
                <w:rFonts w:cs="Calibri"/>
                <w:sz w:val="18"/>
                <w:szCs w:val="18"/>
              </w:rPr>
              <w:t>osoby</w:t>
            </w:r>
          </w:p>
        </w:tc>
        <w:tc>
          <w:tcPr>
            <w:tcW w:w="974" w:type="dxa"/>
            <w:shd w:val="clear" w:color="auto" w:fill="auto"/>
            <w:vAlign w:val="center"/>
          </w:tcPr>
          <w:p w14:paraId="025CBCED" w14:textId="77777777" w:rsidR="00291431" w:rsidRPr="00C22C26" w:rsidRDefault="00291431" w:rsidP="00370D80">
            <w:pPr>
              <w:jc w:val="center"/>
              <w:rPr>
                <w:rFonts w:cs="Calibri"/>
                <w:bCs/>
                <w:color w:val="000000"/>
                <w:sz w:val="18"/>
                <w:szCs w:val="18"/>
              </w:rPr>
            </w:pPr>
            <w:r w:rsidRPr="00C22C26">
              <w:rPr>
                <w:rFonts w:cs="Calibri"/>
                <w:sz w:val="18"/>
                <w:szCs w:val="18"/>
              </w:rPr>
              <w:t>23 633</w:t>
            </w:r>
          </w:p>
        </w:tc>
        <w:tc>
          <w:tcPr>
            <w:tcW w:w="974" w:type="dxa"/>
            <w:shd w:val="clear" w:color="auto" w:fill="auto"/>
            <w:vAlign w:val="center"/>
          </w:tcPr>
          <w:p w14:paraId="3AC88EF7" w14:textId="77777777" w:rsidR="00291431" w:rsidRPr="00C22C26" w:rsidRDefault="00291431" w:rsidP="00370D80">
            <w:pPr>
              <w:jc w:val="center"/>
              <w:rPr>
                <w:rFonts w:cs="Calibri"/>
                <w:bCs/>
                <w:color w:val="000000"/>
                <w:sz w:val="18"/>
                <w:szCs w:val="18"/>
              </w:rPr>
            </w:pPr>
            <w:r w:rsidRPr="00C22C26">
              <w:rPr>
                <w:rFonts w:cs="Calibri"/>
                <w:sz w:val="18"/>
                <w:szCs w:val="18"/>
              </w:rPr>
              <w:t>201%</w:t>
            </w:r>
          </w:p>
        </w:tc>
        <w:tc>
          <w:tcPr>
            <w:tcW w:w="974" w:type="dxa"/>
            <w:shd w:val="clear" w:color="auto" w:fill="auto"/>
            <w:vAlign w:val="center"/>
          </w:tcPr>
          <w:p w14:paraId="3B215C6B" w14:textId="77777777" w:rsidR="00291431" w:rsidRPr="00C22C26" w:rsidRDefault="00291431" w:rsidP="00370D80">
            <w:pPr>
              <w:jc w:val="center"/>
              <w:rPr>
                <w:rFonts w:cs="Calibri"/>
                <w:bCs/>
                <w:color w:val="000000"/>
                <w:sz w:val="18"/>
                <w:szCs w:val="18"/>
              </w:rPr>
            </w:pPr>
            <w:r w:rsidRPr="00C22C26">
              <w:rPr>
                <w:rFonts w:cs="Calibri"/>
                <w:sz w:val="18"/>
                <w:szCs w:val="18"/>
              </w:rPr>
              <w:t>8 239</w:t>
            </w:r>
          </w:p>
        </w:tc>
        <w:tc>
          <w:tcPr>
            <w:tcW w:w="974" w:type="dxa"/>
            <w:shd w:val="clear" w:color="auto" w:fill="auto"/>
            <w:vAlign w:val="center"/>
          </w:tcPr>
          <w:p w14:paraId="09E358AE" w14:textId="77777777" w:rsidR="00291431" w:rsidRPr="00C22C26" w:rsidRDefault="00291431" w:rsidP="00370D80">
            <w:pPr>
              <w:jc w:val="center"/>
              <w:rPr>
                <w:rFonts w:cs="Calibri"/>
                <w:bCs/>
                <w:color w:val="000000"/>
                <w:sz w:val="18"/>
                <w:szCs w:val="18"/>
              </w:rPr>
            </w:pPr>
            <w:r w:rsidRPr="00C22C26">
              <w:rPr>
                <w:rFonts w:cs="Calibri"/>
                <w:sz w:val="18"/>
                <w:szCs w:val="18"/>
              </w:rPr>
              <w:t>70%</w:t>
            </w:r>
          </w:p>
        </w:tc>
      </w:tr>
      <w:tr w:rsidR="00291431" w:rsidRPr="00021563" w14:paraId="10B34D60" w14:textId="77777777" w:rsidTr="00C22C26">
        <w:tc>
          <w:tcPr>
            <w:tcW w:w="972" w:type="dxa"/>
            <w:vAlign w:val="center"/>
          </w:tcPr>
          <w:p w14:paraId="7CC8BB3A" w14:textId="77777777" w:rsidR="00291431" w:rsidRPr="00C22C26" w:rsidRDefault="00291431" w:rsidP="00370D80">
            <w:pPr>
              <w:jc w:val="center"/>
              <w:rPr>
                <w:rFonts w:cs="Calibri"/>
                <w:bCs/>
                <w:color w:val="000000"/>
                <w:sz w:val="18"/>
                <w:szCs w:val="18"/>
              </w:rPr>
            </w:pPr>
          </w:p>
        </w:tc>
        <w:tc>
          <w:tcPr>
            <w:tcW w:w="899" w:type="dxa"/>
            <w:vAlign w:val="center"/>
          </w:tcPr>
          <w:p w14:paraId="3BC3A04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5AE86F2D"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1FDF1B5"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62E76D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F92A20C" w14:textId="77777777" w:rsidR="00291431" w:rsidRPr="00C22C26" w:rsidRDefault="00291431" w:rsidP="00370D80">
            <w:pPr>
              <w:jc w:val="center"/>
              <w:rPr>
                <w:rFonts w:cs="Calibri"/>
                <w:bCs/>
                <w:color w:val="000000"/>
                <w:sz w:val="18"/>
                <w:szCs w:val="18"/>
              </w:rPr>
            </w:pPr>
            <w:r w:rsidRPr="00C22C26">
              <w:rPr>
                <w:sz w:val="18"/>
                <w:szCs w:val="18"/>
              </w:rPr>
              <w:t>18 218</w:t>
            </w:r>
          </w:p>
        </w:tc>
        <w:tc>
          <w:tcPr>
            <w:tcW w:w="974" w:type="dxa"/>
            <w:shd w:val="clear" w:color="auto" w:fill="auto"/>
            <w:vAlign w:val="center"/>
          </w:tcPr>
          <w:p w14:paraId="175F952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8EAD1FD" w14:textId="77777777" w:rsidR="00291431" w:rsidRPr="00C22C26" w:rsidRDefault="00291431" w:rsidP="00370D80">
            <w:pPr>
              <w:jc w:val="center"/>
              <w:rPr>
                <w:rFonts w:cs="Calibri"/>
                <w:bCs/>
                <w:color w:val="000000"/>
                <w:sz w:val="18"/>
                <w:szCs w:val="18"/>
              </w:rPr>
            </w:pPr>
            <w:r w:rsidRPr="00C22C26">
              <w:rPr>
                <w:sz w:val="18"/>
                <w:szCs w:val="18"/>
              </w:rPr>
              <w:t>6 006</w:t>
            </w:r>
          </w:p>
        </w:tc>
        <w:tc>
          <w:tcPr>
            <w:tcW w:w="974" w:type="dxa"/>
            <w:shd w:val="clear" w:color="auto" w:fill="auto"/>
            <w:vAlign w:val="center"/>
          </w:tcPr>
          <w:p w14:paraId="7386AD4D" w14:textId="77777777" w:rsidR="00291431" w:rsidRPr="00C22C26" w:rsidRDefault="00291431" w:rsidP="00370D80">
            <w:pPr>
              <w:jc w:val="center"/>
              <w:rPr>
                <w:rFonts w:cs="Calibri"/>
                <w:bCs/>
                <w:color w:val="000000"/>
                <w:sz w:val="18"/>
                <w:szCs w:val="18"/>
              </w:rPr>
            </w:pPr>
          </w:p>
        </w:tc>
      </w:tr>
      <w:tr w:rsidR="00291431" w:rsidRPr="00021563" w14:paraId="7BB48281" w14:textId="77777777" w:rsidTr="00C22C26">
        <w:tc>
          <w:tcPr>
            <w:tcW w:w="972" w:type="dxa"/>
            <w:vAlign w:val="center"/>
          </w:tcPr>
          <w:p w14:paraId="49AC0CA7" w14:textId="77777777" w:rsidR="00291431" w:rsidRPr="00C22C26" w:rsidRDefault="00291431" w:rsidP="00370D80">
            <w:pPr>
              <w:jc w:val="center"/>
              <w:rPr>
                <w:rFonts w:cs="Calibri"/>
                <w:bCs/>
                <w:color w:val="000000"/>
                <w:sz w:val="18"/>
                <w:szCs w:val="18"/>
              </w:rPr>
            </w:pPr>
          </w:p>
        </w:tc>
        <w:tc>
          <w:tcPr>
            <w:tcW w:w="899" w:type="dxa"/>
            <w:vAlign w:val="center"/>
          </w:tcPr>
          <w:p w14:paraId="686E4605"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6981287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AFA9110"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199BC3E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7B6DAB2" w14:textId="77777777" w:rsidR="00291431" w:rsidRPr="00C22C26" w:rsidRDefault="00291431" w:rsidP="00370D80">
            <w:pPr>
              <w:jc w:val="center"/>
              <w:rPr>
                <w:rFonts w:cs="Calibri"/>
                <w:bCs/>
                <w:color w:val="000000"/>
                <w:sz w:val="18"/>
                <w:szCs w:val="18"/>
              </w:rPr>
            </w:pPr>
            <w:r w:rsidRPr="00C22C26">
              <w:rPr>
                <w:sz w:val="18"/>
                <w:szCs w:val="18"/>
              </w:rPr>
              <w:t>1 521</w:t>
            </w:r>
          </w:p>
        </w:tc>
        <w:tc>
          <w:tcPr>
            <w:tcW w:w="974" w:type="dxa"/>
            <w:shd w:val="clear" w:color="auto" w:fill="auto"/>
            <w:vAlign w:val="center"/>
          </w:tcPr>
          <w:p w14:paraId="0CF0A27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695E490" w14:textId="77777777" w:rsidR="00291431" w:rsidRPr="00C22C26" w:rsidRDefault="00291431" w:rsidP="00370D80">
            <w:pPr>
              <w:jc w:val="center"/>
              <w:rPr>
                <w:rFonts w:cs="Calibri"/>
                <w:bCs/>
                <w:color w:val="000000"/>
                <w:sz w:val="18"/>
                <w:szCs w:val="18"/>
              </w:rPr>
            </w:pPr>
            <w:r w:rsidRPr="00C22C26">
              <w:rPr>
                <w:sz w:val="18"/>
                <w:szCs w:val="18"/>
              </w:rPr>
              <w:t>1 137</w:t>
            </w:r>
          </w:p>
        </w:tc>
        <w:tc>
          <w:tcPr>
            <w:tcW w:w="974" w:type="dxa"/>
            <w:shd w:val="clear" w:color="auto" w:fill="auto"/>
            <w:vAlign w:val="center"/>
          </w:tcPr>
          <w:p w14:paraId="3F6E0B4E" w14:textId="77777777" w:rsidR="00291431" w:rsidRPr="00C22C26" w:rsidRDefault="00291431" w:rsidP="00370D80">
            <w:pPr>
              <w:jc w:val="center"/>
              <w:rPr>
                <w:rFonts w:cs="Calibri"/>
                <w:bCs/>
                <w:color w:val="000000"/>
                <w:sz w:val="18"/>
                <w:szCs w:val="18"/>
              </w:rPr>
            </w:pPr>
          </w:p>
        </w:tc>
      </w:tr>
      <w:tr w:rsidR="00291431" w:rsidRPr="00021563" w14:paraId="106C89C0" w14:textId="77777777" w:rsidTr="00C22C26">
        <w:tc>
          <w:tcPr>
            <w:tcW w:w="972" w:type="dxa"/>
            <w:vAlign w:val="center"/>
          </w:tcPr>
          <w:p w14:paraId="56FF8087" w14:textId="77777777" w:rsidR="00291431" w:rsidRPr="00C22C26" w:rsidRDefault="00291431" w:rsidP="00370D80">
            <w:pPr>
              <w:jc w:val="center"/>
              <w:rPr>
                <w:rFonts w:cs="Calibri"/>
                <w:bCs/>
                <w:color w:val="000000"/>
                <w:sz w:val="18"/>
                <w:szCs w:val="18"/>
              </w:rPr>
            </w:pPr>
          </w:p>
        </w:tc>
        <w:tc>
          <w:tcPr>
            <w:tcW w:w="899" w:type="dxa"/>
            <w:vAlign w:val="center"/>
          </w:tcPr>
          <w:p w14:paraId="22F2AA04"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52710F4D"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664F17C"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79910D3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CB40743" w14:textId="77777777" w:rsidR="00291431" w:rsidRPr="00C22C26" w:rsidRDefault="00291431" w:rsidP="00370D80">
            <w:pPr>
              <w:jc w:val="center"/>
              <w:rPr>
                <w:rFonts w:cs="Calibri"/>
                <w:bCs/>
                <w:color w:val="000000"/>
                <w:sz w:val="18"/>
                <w:szCs w:val="18"/>
              </w:rPr>
            </w:pPr>
            <w:r w:rsidRPr="00C22C26">
              <w:rPr>
                <w:sz w:val="18"/>
                <w:szCs w:val="18"/>
              </w:rPr>
              <w:t>607</w:t>
            </w:r>
          </w:p>
        </w:tc>
        <w:tc>
          <w:tcPr>
            <w:tcW w:w="974" w:type="dxa"/>
            <w:shd w:val="clear" w:color="auto" w:fill="auto"/>
            <w:vAlign w:val="center"/>
          </w:tcPr>
          <w:p w14:paraId="318775E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4C3BDBF" w14:textId="77777777" w:rsidR="00291431" w:rsidRPr="00C22C26" w:rsidRDefault="00291431" w:rsidP="00370D80">
            <w:pPr>
              <w:jc w:val="center"/>
              <w:rPr>
                <w:rFonts w:cs="Calibri"/>
                <w:bCs/>
                <w:color w:val="000000"/>
                <w:sz w:val="18"/>
                <w:szCs w:val="18"/>
              </w:rPr>
            </w:pPr>
            <w:r w:rsidRPr="00C22C26">
              <w:rPr>
                <w:sz w:val="18"/>
                <w:szCs w:val="18"/>
              </w:rPr>
              <w:t>473</w:t>
            </w:r>
          </w:p>
        </w:tc>
        <w:tc>
          <w:tcPr>
            <w:tcW w:w="974" w:type="dxa"/>
            <w:shd w:val="clear" w:color="auto" w:fill="auto"/>
            <w:vAlign w:val="center"/>
          </w:tcPr>
          <w:p w14:paraId="54530826" w14:textId="77777777" w:rsidR="00291431" w:rsidRPr="00C22C26" w:rsidRDefault="00291431" w:rsidP="00370D80">
            <w:pPr>
              <w:jc w:val="center"/>
              <w:rPr>
                <w:rFonts w:cs="Calibri"/>
                <w:bCs/>
                <w:color w:val="000000"/>
                <w:sz w:val="18"/>
                <w:szCs w:val="18"/>
              </w:rPr>
            </w:pPr>
          </w:p>
        </w:tc>
      </w:tr>
      <w:tr w:rsidR="00291431" w:rsidRPr="00021563" w14:paraId="5407E953" w14:textId="77777777" w:rsidTr="00C22C26">
        <w:tc>
          <w:tcPr>
            <w:tcW w:w="972" w:type="dxa"/>
            <w:vAlign w:val="center"/>
          </w:tcPr>
          <w:p w14:paraId="2EED4C77" w14:textId="77777777" w:rsidR="00291431" w:rsidRPr="00C22C26" w:rsidRDefault="00291431" w:rsidP="00370D80">
            <w:pPr>
              <w:jc w:val="center"/>
              <w:rPr>
                <w:rFonts w:cs="Calibri"/>
                <w:bCs/>
                <w:color w:val="000000"/>
                <w:sz w:val="18"/>
                <w:szCs w:val="18"/>
              </w:rPr>
            </w:pPr>
          </w:p>
        </w:tc>
        <w:tc>
          <w:tcPr>
            <w:tcW w:w="899" w:type="dxa"/>
            <w:vAlign w:val="center"/>
          </w:tcPr>
          <w:p w14:paraId="609B302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3C93D1A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DDE4943"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3AD4A2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A02D0EC" w14:textId="77777777" w:rsidR="00291431" w:rsidRPr="00C22C26" w:rsidRDefault="00291431" w:rsidP="00370D80">
            <w:pPr>
              <w:jc w:val="center"/>
              <w:rPr>
                <w:rFonts w:cs="Calibri"/>
                <w:bCs/>
                <w:color w:val="000000"/>
                <w:sz w:val="18"/>
                <w:szCs w:val="18"/>
              </w:rPr>
            </w:pPr>
            <w:r w:rsidRPr="00C22C26">
              <w:rPr>
                <w:sz w:val="18"/>
                <w:szCs w:val="18"/>
              </w:rPr>
              <w:t>3 287</w:t>
            </w:r>
          </w:p>
        </w:tc>
        <w:tc>
          <w:tcPr>
            <w:tcW w:w="974" w:type="dxa"/>
            <w:shd w:val="clear" w:color="auto" w:fill="auto"/>
            <w:vAlign w:val="center"/>
          </w:tcPr>
          <w:p w14:paraId="6915D94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63C858F" w14:textId="77777777" w:rsidR="00291431" w:rsidRPr="00C22C26" w:rsidRDefault="00291431" w:rsidP="00370D80">
            <w:pPr>
              <w:jc w:val="center"/>
              <w:rPr>
                <w:rFonts w:cs="Calibri"/>
                <w:bCs/>
                <w:color w:val="000000"/>
                <w:sz w:val="18"/>
                <w:szCs w:val="18"/>
              </w:rPr>
            </w:pPr>
            <w:r w:rsidRPr="00C22C26">
              <w:rPr>
                <w:sz w:val="18"/>
                <w:szCs w:val="18"/>
              </w:rPr>
              <w:t>623</w:t>
            </w:r>
          </w:p>
        </w:tc>
        <w:tc>
          <w:tcPr>
            <w:tcW w:w="974" w:type="dxa"/>
            <w:shd w:val="clear" w:color="auto" w:fill="auto"/>
            <w:vAlign w:val="center"/>
          </w:tcPr>
          <w:p w14:paraId="5ADC647D" w14:textId="77777777" w:rsidR="00291431" w:rsidRPr="00C22C26" w:rsidRDefault="00291431" w:rsidP="00370D80">
            <w:pPr>
              <w:jc w:val="center"/>
              <w:rPr>
                <w:rFonts w:cs="Calibri"/>
                <w:bCs/>
                <w:color w:val="000000"/>
                <w:sz w:val="18"/>
                <w:szCs w:val="18"/>
              </w:rPr>
            </w:pPr>
          </w:p>
        </w:tc>
      </w:tr>
      <w:tr w:rsidR="00291431" w:rsidRPr="00021563" w14:paraId="29C378FC" w14:textId="77777777" w:rsidTr="00C22C26">
        <w:tc>
          <w:tcPr>
            <w:tcW w:w="972" w:type="dxa"/>
            <w:vAlign w:val="center"/>
          </w:tcPr>
          <w:p w14:paraId="4E8EEDCB" w14:textId="77777777" w:rsidR="00291431" w:rsidRPr="00C22C26" w:rsidRDefault="00291431" w:rsidP="00370D80">
            <w:pPr>
              <w:jc w:val="center"/>
              <w:rPr>
                <w:rFonts w:cs="Calibri"/>
                <w:bCs/>
                <w:color w:val="000000"/>
                <w:sz w:val="18"/>
                <w:szCs w:val="18"/>
              </w:rPr>
            </w:pPr>
            <w:r w:rsidRPr="00C22C26">
              <w:rPr>
                <w:sz w:val="18"/>
                <w:szCs w:val="18"/>
              </w:rPr>
              <w:t>WP</w:t>
            </w:r>
          </w:p>
        </w:tc>
        <w:tc>
          <w:tcPr>
            <w:tcW w:w="899" w:type="dxa"/>
            <w:vAlign w:val="center"/>
          </w:tcPr>
          <w:p w14:paraId="5C455A03" w14:textId="77777777" w:rsidR="00291431" w:rsidRPr="00C22C26" w:rsidRDefault="00291431" w:rsidP="00370D80">
            <w:pPr>
              <w:jc w:val="center"/>
              <w:rPr>
                <w:rFonts w:cs="Calibri"/>
                <w:bCs/>
                <w:color w:val="000000"/>
                <w:sz w:val="18"/>
                <w:szCs w:val="18"/>
              </w:rPr>
            </w:pPr>
            <w:r w:rsidRPr="00C22C26">
              <w:rPr>
                <w:rFonts w:cs="Calibri"/>
                <w:sz w:val="18"/>
                <w:szCs w:val="18"/>
              </w:rPr>
              <w:t>8.6, 8.7, 8.8, 8.9</w:t>
            </w:r>
          </w:p>
        </w:tc>
        <w:tc>
          <w:tcPr>
            <w:tcW w:w="1540" w:type="dxa"/>
            <w:shd w:val="clear" w:color="auto" w:fill="auto"/>
            <w:vAlign w:val="center"/>
          </w:tcPr>
          <w:p w14:paraId="6B9B1A0D" w14:textId="77777777" w:rsidR="00291431" w:rsidRPr="00C22C26" w:rsidRDefault="00291431" w:rsidP="00C22C26">
            <w:pPr>
              <w:rPr>
                <w:rFonts w:cs="Calibri"/>
                <w:bCs/>
                <w:color w:val="000000"/>
                <w:sz w:val="18"/>
                <w:szCs w:val="18"/>
              </w:rPr>
            </w:pPr>
            <w:r w:rsidRPr="00C22C26">
              <w:rPr>
                <w:rFonts w:cs="Calibri"/>
                <w:sz w:val="18"/>
                <w:szCs w:val="18"/>
              </w:rPr>
              <w:t>Liczba podmiotów realizujących zadania centrum kształcenia zawodowego</w:t>
            </w:r>
            <w:r w:rsidR="00E66B89">
              <w:rPr>
                <w:rFonts w:cs="Calibri"/>
                <w:sz w:val="18"/>
                <w:szCs w:val="18"/>
              </w:rPr>
              <w:t xml:space="preserve"> i </w:t>
            </w:r>
            <w:r w:rsidRPr="00C22C26">
              <w:rPr>
                <w:rFonts w:cs="Calibri"/>
                <w:sz w:val="18"/>
                <w:szCs w:val="18"/>
              </w:rPr>
              <w:t>ustawicznego objętych wsparciem</w:t>
            </w:r>
            <w:r w:rsidR="00E66B89">
              <w:rPr>
                <w:rFonts w:cs="Calibri"/>
                <w:sz w:val="18"/>
                <w:szCs w:val="18"/>
              </w:rPr>
              <w:t xml:space="preserve"> w </w:t>
            </w:r>
            <w:r w:rsidRPr="00C22C26">
              <w:rPr>
                <w:rFonts w:cs="Calibri"/>
                <w:sz w:val="18"/>
                <w:szCs w:val="18"/>
              </w:rPr>
              <w:t>programie</w:t>
            </w:r>
          </w:p>
        </w:tc>
        <w:tc>
          <w:tcPr>
            <w:tcW w:w="929" w:type="dxa"/>
            <w:shd w:val="clear" w:color="auto" w:fill="auto"/>
            <w:vAlign w:val="center"/>
          </w:tcPr>
          <w:p w14:paraId="38435351" w14:textId="77777777" w:rsidR="00291431" w:rsidRPr="00C22C26" w:rsidRDefault="00291431" w:rsidP="00370D80">
            <w:pPr>
              <w:jc w:val="center"/>
              <w:rPr>
                <w:rFonts w:cs="Calibri"/>
                <w:bCs/>
                <w:color w:val="000000"/>
                <w:sz w:val="18"/>
                <w:szCs w:val="18"/>
              </w:rPr>
            </w:pPr>
            <w:r w:rsidRPr="00C22C26">
              <w:rPr>
                <w:rFonts w:cs="Calibri"/>
                <w:sz w:val="18"/>
                <w:szCs w:val="18"/>
              </w:rPr>
              <w:t>12</w:t>
            </w:r>
          </w:p>
        </w:tc>
        <w:tc>
          <w:tcPr>
            <w:tcW w:w="826" w:type="dxa"/>
            <w:vAlign w:val="center"/>
          </w:tcPr>
          <w:p w14:paraId="09E0282A" w14:textId="77777777" w:rsidR="00291431" w:rsidRPr="00C22C26" w:rsidRDefault="00291431" w:rsidP="00370D80">
            <w:pPr>
              <w:jc w:val="center"/>
              <w:rPr>
                <w:rFonts w:cs="Calibri"/>
                <w:bCs/>
                <w:color w:val="000000"/>
                <w:sz w:val="18"/>
                <w:szCs w:val="18"/>
              </w:rPr>
            </w:pPr>
            <w:r>
              <w:rPr>
                <w:rFonts w:cs="Calibri"/>
                <w:sz w:val="18"/>
                <w:szCs w:val="18"/>
              </w:rPr>
              <w:t>s</w:t>
            </w:r>
            <w:r w:rsidRPr="00C22C26">
              <w:rPr>
                <w:rFonts w:cs="Calibri"/>
                <w:sz w:val="18"/>
                <w:szCs w:val="18"/>
              </w:rPr>
              <w:t>zt.</w:t>
            </w:r>
          </w:p>
        </w:tc>
        <w:tc>
          <w:tcPr>
            <w:tcW w:w="974" w:type="dxa"/>
            <w:shd w:val="clear" w:color="auto" w:fill="auto"/>
            <w:vAlign w:val="center"/>
          </w:tcPr>
          <w:p w14:paraId="77718FA6" w14:textId="77777777" w:rsidR="00291431" w:rsidRPr="00C22C26" w:rsidRDefault="00291431" w:rsidP="00370D80">
            <w:pPr>
              <w:jc w:val="center"/>
              <w:rPr>
                <w:rFonts w:cs="Calibri"/>
                <w:bCs/>
                <w:color w:val="000000"/>
                <w:sz w:val="18"/>
                <w:szCs w:val="18"/>
              </w:rPr>
            </w:pPr>
            <w:r w:rsidRPr="00C22C26">
              <w:rPr>
                <w:rFonts w:cs="Calibri"/>
                <w:sz w:val="18"/>
                <w:szCs w:val="18"/>
              </w:rPr>
              <w:t>30</w:t>
            </w:r>
          </w:p>
        </w:tc>
        <w:tc>
          <w:tcPr>
            <w:tcW w:w="974" w:type="dxa"/>
            <w:shd w:val="clear" w:color="auto" w:fill="auto"/>
            <w:vAlign w:val="center"/>
          </w:tcPr>
          <w:p w14:paraId="5AA0BC94" w14:textId="77777777" w:rsidR="00291431" w:rsidRPr="00C22C26" w:rsidRDefault="00291431" w:rsidP="00370D80">
            <w:pPr>
              <w:jc w:val="center"/>
              <w:rPr>
                <w:rFonts w:cs="Calibri"/>
                <w:bCs/>
                <w:color w:val="000000"/>
                <w:sz w:val="18"/>
                <w:szCs w:val="18"/>
              </w:rPr>
            </w:pPr>
            <w:r w:rsidRPr="00C22C26">
              <w:rPr>
                <w:rFonts w:cs="Calibri"/>
                <w:sz w:val="18"/>
                <w:szCs w:val="18"/>
              </w:rPr>
              <w:t>250%</w:t>
            </w:r>
          </w:p>
        </w:tc>
        <w:tc>
          <w:tcPr>
            <w:tcW w:w="974" w:type="dxa"/>
            <w:shd w:val="clear" w:color="auto" w:fill="auto"/>
            <w:vAlign w:val="center"/>
          </w:tcPr>
          <w:p w14:paraId="636F5B8C" w14:textId="77777777" w:rsidR="00291431" w:rsidRPr="00C22C26" w:rsidRDefault="00291431" w:rsidP="00370D80">
            <w:pPr>
              <w:jc w:val="center"/>
              <w:rPr>
                <w:rFonts w:cs="Calibri"/>
                <w:bCs/>
                <w:color w:val="000000"/>
                <w:sz w:val="18"/>
                <w:szCs w:val="18"/>
              </w:rPr>
            </w:pPr>
            <w:r w:rsidRPr="00C22C26">
              <w:rPr>
                <w:rFonts w:cs="Calibri"/>
                <w:sz w:val="18"/>
                <w:szCs w:val="18"/>
              </w:rPr>
              <w:t>21</w:t>
            </w:r>
          </w:p>
        </w:tc>
        <w:tc>
          <w:tcPr>
            <w:tcW w:w="974" w:type="dxa"/>
            <w:shd w:val="clear" w:color="auto" w:fill="auto"/>
            <w:vAlign w:val="center"/>
          </w:tcPr>
          <w:p w14:paraId="4217E546" w14:textId="77777777" w:rsidR="00291431" w:rsidRPr="00C22C26" w:rsidRDefault="00291431" w:rsidP="00370D80">
            <w:pPr>
              <w:jc w:val="center"/>
              <w:rPr>
                <w:rFonts w:cs="Calibri"/>
                <w:bCs/>
                <w:color w:val="000000"/>
                <w:sz w:val="18"/>
                <w:szCs w:val="18"/>
              </w:rPr>
            </w:pPr>
            <w:r w:rsidRPr="00C22C26">
              <w:rPr>
                <w:rFonts w:cs="Calibri"/>
                <w:sz w:val="18"/>
                <w:szCs w:val="18"/>
              </w:rPr>
              <w:t>175%</w:t>
            </w:r>
          </w:p>
        </w:tc>
      </w:tr>
      <w:tr w:rsidR="00291431" w:rsidRPr="00021563" w14:paraId="173FA0D5" w14:textId="77777777" w:rsidTr="00C22C26">
        <w:tc>
          <w:tcPr>
            <w:tcW w:w="972" w:type="dxa"/>
            <w:vAlign w:val="center"/>
          </w:tcPr>
          <w:p w14:paraId="4B052B1F" w14:textId="77777777" w:rsidR="00291431" w:rsidRPr="00C22C26" w:rsidRDefault="00291431" w:rsidP="00370D80">
            <w:pPr>
              <w:jc w:val="center"/>
              <w:rPr>
                <w:rFonts w:cs="Calibri"/>
                <w:bCs/>
                <w:color w:val="000000"/>
                <w:sz w:val="18"/>
                <w:szCs w:val="18"/>
              </w:rPr>
            </w:pPr>
          </w:p>
        </w:tc>
        <w:tc>
          <w:tcPr>
            <w:tcW w:w="899" w:type="dxa"/>
            <w:vAlign w:val="center"/>
          </w:tcPr>
          <w:p w14:paraId="20541A5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5583E39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FBEB2C1"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11DC77F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1F34779" w14:textId="77777777" w:rsidR="00291431" w:rsidRPr="00C22C26" w:rsidRDefault="00291431" w:rsidP="00370D80">
            <w:pPr>
              <w:jc w:val="center"/>
              <w:rPr>
                <w:rFonts w:cs="Calibri"/>
                <w:bCs/>
                <w:color w:val="000000"/>
                <w:sz w:val="18"/>
                <w:szCs w:val="18"/>
              </w:rPr>
            </w:pPr>
            <w:r w:rsidRPr="00C22C26">
              <w:rPr>
                <w:sz w:val="18"/>
                <w:szCs w:val="18"/>
              </w:rPr>
              <w:t>12</w:t>
            </w:r>
          </w:p>
        </w:tc>
        <w:tc>
          <w:tcPr>
            <w:tcW w:w="974" w:type="dxa"/>
            <w:shd w:val="clear" w:color="auto" w:fill="auto"/>
            <w:vAlign w:val="center"/>
          </w:tcPr>
          <w:p w14:paraId="7D09D9C0"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DF3910F" w14:textId="77777777" w:rsidR="00291431" w:rsidRPr="00C22C26" w:rsidRDefault="00291431" w:rsidP="00370D80">
            <w:pPr>
              <w:jc w:val="center"/>
              <w:rPr>
                <w:rFonts w:cs="Calibri"/>
                <w:bCs/>
                <w:color w:val="000000"/>
                <w:sz w:val="18"/>
                <w:szCs w:val="18"/>
              </w:rPr>
            </w:pPr>
            <w:r w:rsidRPr="00C22C26">
              <w:rPr>
                <w:sz w:val="18"/>
                <w:szCs w:val="18"/>
              </w:rPr>
              <w:t>7</w:t>
            </w:r>
          </w:p>
        </w:tc>
        <w:tc>
          <w:tcPr>
            <w:tcW w:w="974" w:type="dxa"/>
            <w:shd w:val="clear" w:color="auto" w:fill="auto"/>
            <w:vAlign w:val="center"/>
          </w:tcPr>
          <w:p w14:paraId="0410E576" w14:textId="77777777" w:rsidR="00291431" w:rsidRPr="00C22C26" w:rsidRDefault="00291431" w:rsidP="00370D80">
            <w:pPr>
              <w:jc w:val="center"/>
              <w:rPr>
                <w:rFonts w:cs="Calibri"/>
                <w:bCs/>
                <w:color w:val="000000"/>
                <w:sz w:val="18"/>
                <w:szCs w:val="18"/>
              </w:rPr>
            </w:pPr>
          </w:p>
        </w:tc>
      </w:tr>
      <w:tr w:rsidR="00291431" w:rsidRPr="00021563" w14:paraId="7DFD8408" w14:textId="77777777" w:rsidTr="00C22C26">
        <w:tc>
          <w:tcPr>
            <w:tcW w:w="972" w:type="dxa"/>
            <w:vAlign w:val="center"/>
          </w:tcPr>
          <w:p w14:paraId="7F09D15C" w14:textId="77777777" w:rsidR="00291431" w:rsidRPr="00C22C26" w:rsidRDefault="00291431" w:rsidP="00370D80">
            <w:pPr>
              <w:jc w:val="center"/>
              <w:rPr>
                <w:rFonts w:cs="Calibri"/>
                <w:bCs/>
                <w:color w:val="000000"/>
                <w:sz w:val="18"/>
                <w:szCs w:val="18"/>
              </w:rPr>
            </w:pPr>
          </w:p>
        </w:tc>
        <w:tc>
          <w:tcPr>
            <w:tcW w:w="899" w:type="dxa"/>
            <w:vAlign w:val="center"/>
          </w:tcPr>
          <w:p w14:paraId="36B1A94A"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58B840E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F9E4FD5"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6769728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35B57D8"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7245D92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CA88548"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680E0C5F" w14:textId="77777777" w:rsidR="00291431" w:rsidRPr="00C22C26" w:rsidRDefault="00291431" w:rsidP="00370D80">
            <w:pPr>
              <w:jc w:val="center"/>
              <w:rPr>
                <w:rFonts w:cs="Calibri"/>
                <w:bCs/>
                <w:color w:val="000000"/>
                <w:sz w:val="18"/>
                <w:szCs w:val="18"/>
              </w:rPr>
            </w:pPr>
          </w:p>
        </w:tc>
      </w:tr>
      <w:tr w:rsidR="00291431" w:rsidRPr="00021563" w14:paraId="4D1D889E" w14:textId="77777777" w:rsidTr="00C22C26">
        <w:tc>
          <w:tcPr>
            <w:tcW w:w="972" w:type="dxa"/>
            <w:vAlign w:val="center"/>
          </w:tcPr>
          <w:p w14:paraId="01BF19DA" w14:textId="77777777" w:rsidR="00291431" w:rsidRPr="00C22C26" w:rsidRDefault="00291431" w:rsidP="00370D80">
            <w:pPr>
              <w:jc w:val="center"/>
              <w:rPr>
                <w:rFonts w:cs="Calibri"/>
                <w:i/>
                <w:color w:val="000000"/>
                <w:sz w:val="18"/>
                <w:szCs w:val="18"/>
              </w:rPr>
            </w:pPr>
          </w:p>
        </w:tc>
        <w:tc>
          <w:tcPr>
            <w:tcW w:w="899" w:type="dxa"/>
            <w:vAlign w:val="center"/>
          </w:tcPr>
          <w:p w14:paraId="1B4F65E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500476F4"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5654560A"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7C75B0F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A1222A8" w14:textId="77777777" w:rsidR="00291431" w:rsidRPr="00C22C26" w:rsidRDefault="00291431" w:rsidP="00370D80">
            <w:pPr>
              <w:jc w:val="center"/>
              <w:rPr>
                <w:rFonts w:cs="Calibri"/>
                <w:bCs/>
                <w:color w:val="000000"/>
                <w:sz w:val="18"/>
                <w:szCs w:val="18"/>
              </w:rPr>
            </w:pPr>
            <w:r w:rsidRPr="00C22C26">
              <w:rPr>
                <w:sz w:val="18"/>
                <w:szCs w:val="18"/>
              </w:rPr>
              <w:t>1</w:t>
            </w:r>
          </w:p>
        </w:tc>
        <w:tc>
          <w:tcPr>
            <w:tcW w:w="974" w:type="dxa"/>
            <w:shd w:val="clear" w:color="auto" w:fill="auto"/>
            <w:vAlign w:val="center"/>
          </w:tcPr>
          <w:p w14:paraId="34C872D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8EAFDA6" w14:textId="77777777" w:rsidR="00291431" w:rsidRPr="00C22C26" w:rsidRDefault="00291431" w:rsidP="00370D80">
            <w:pPr>
              <w:jc w:val="center"/>
              <w:rPr>
                <w:rFonts w:cs="Calibri"/>
                <w:bCs/>
                <w:color w:val="000000"/>
                <w:sz w:val="18"/>
                <w:szCs w:val="18"/>
              </w:rPr>
            </w:pPr>
            <w:r w:rsidRPr="00C22C26">
              <w:rPr>
                <w:sz w:val="18"/>
                <w:szCs w:val="18"/>
              </w:rPr>
              <w:t>1</w:t>
            </w:r>
          </w:p>
        </w:tc>
        <w:tc>
          <w:tcPr>
            <w:tcW w:w="974" w:type="dxa"/>
            <w:shd w:val="clear" w:color="auto" w:fill="auto"/>
            <w:vAlign w:val="center"/>
          </w:tcPr>
          <w:p w14:paraId="3A1184B9" w14:textId="77777777" w:rsidR="00291431" w:rsidRPr="00C22C26" w:rsidRDefault="00291431" w:rsidP="00370D80">
            <w:pPr>
              <w:jc w:val="center"/>
              <w:rPr>
                <w:rFonts w:cs="Calibri"/>
                <w:bCs/>
                <w:color w:val="000000"/>
                <w:sz w:val="18"/>
                <w:szCs w:val="18"/>
              </w:rPr>
            </w:pPr>
          </w:p>
        </w:tc>
      </w:tr>
      <w:tr w:rsidR="00291431" w:rsidRPr="00021563" w14:paraId="6B3A0B4C" w14:textId="77777777" w:rsidTr="00C22C26">
        <w:tc>
          <w:tcPr>
            <w:tcW w:w="972" w:type="dxa"/>
            <w:vAlign w:val="center"/>
          </w:tcPr>
          <w:p w14:paraId="010F0652" w14:textId="77777777" w:rsidR="00291431" w:rsidRPr="00C22C26" w:rsidRDefault="00291431" w:rsidP="00370D80">
            <w:pPr>
              <w:jc w:val="center"/>
              <w:rPr>
                <w:rFonts w:cs="Calibri"/>
                <w:i/>
                <w:color w:val="000000"/>
                <w:sz w:val="18"/>
                <w:szCs w:val="18"/>
              </w:rPr>
            </w:pPr>
          </w:p>
        </w:tc>
        <w:tc>
          <w:tcPr>
            <w:tcW w:w="899" w:type="dxa"/>
            <w:vAlign w:val="center"/>
          </w:tcPr>
          <w:p w14:paraId="38722100"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0D68D31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97719B6"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3922145D"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B7404EE" w14:textId="77777777" w:rsidR="00291431" w:rsidRPr="00C22C26" w:rsidRDefault="00291431" w:rsidP="00370D80">
            <w:pPr>
              <w:jc w:val="center"/>
              <w:rPr>
                <w:rFonts w:cs="Calibri"/>
                <w:bCs/>
                <w:color w:val="000000"/>
                <w:sz w:val="18"/>
                <w:szCs w:val="18"/>
              </w:rPr>
            </w:pPr>
            <w:r w:rsidRPr="00C22C26">
              <w:rPr>
                <w:sz w:val="18"/>
                <w:szCs w:val="18"/>
              </w:rPr>
              <w:t>17</w:t>
            </w:r>
          </w:p>
        </w:tc>
        <w:tc>
          <w:tcPr>
            <w:tcW w:w="974" w:type="dxa"/>
            <w:shd w:val="clear" w:color="auto" w:fill="auto"/>
            <w:vAlign w:val="center"/>
          </w:tcPr>
          <w:p w14:paraId="5CEE13CC"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47A6455" w14:textId="77777777" w:rsidR="00291431" w:rsidRPr="00C22C26" w:rsidRDefault="00291431" w:rsidP="00370D80">
            <w:pPr>
              <w:jc w:val="center"/>
              <w:rPr>
                <w:rFonts w:cs="Calibri"/>
                <w:bCs/>
                <w:color w:val="000000"/>
                <w:sz w:val="18"/>
                <w:szCs w:val="18"/>
              </w:rPr>
            </w:pPr>
            <w:r w:rsidRPr="00C22C26">
              <w:rPr>
                <w:sz w:val="18"/>
                <w:szCs w:val="18"/>
              </w:rPr>
              <w:t>13</w:t>
            </w:r>
          </w:p>
        </w:tc>
        <w:tc>
          <w:tcPr>
            <w:tcW w:w="974" w:type="dxa"/>
            <w:shd w:val="clear" w:color="auto" w:fill="auto"/>
            <w:vAlign w:val="center"/>
          </w:tcPr>
          <w:p w14:paraId="5667E7F2" w14:textId="77777777" w:rsidR="00291431" w:rsidRPr="00C22C26" w:rsidRDefault="00291431" w:rsidP="00370D80">
            <w:pPr>
              <w:jc w:val="center"/>
              <w:rPr>
                <w:rFonts w:cs="Calibri"/>
                <w:bCs/>
                <w:color w:val="000000"/>
                <w:sz w:val="18"/>
                <w:szCs w:val="18"/>
              </w:rPr>
            </w:pPr>
          </w:p>
        </w:tc>
      </w:tr>
      <w:tr w:rsidR="00291431" w:rsidRPr="00021563" w14:paraId="1B3101A2" w14:textId="77777777" w:rsidTr="00C22C26">
        <w:tc>
          <w:tcPr>
            <w:tcW w:w="972" w:type="dxa"/>
            <w:vAlign w:val="center"/>
          </w:tcPr>
          <w:p w14:paraId="2CD06164" w14:textId="77777777" w:rsidR="00291431" w:rsidRPr="00C22C26" w:rsidRDefault="00291431" w:rsidP="00370D80">
            <w:pPr>
              <w:jc w:val="center"/>
              <w:rPr>
                <w:rFonts w:cs="Calibri"/>
                <w:i/>
                <w:color w:val="000000"/>
                <w:sz w:val="18"/>
                <w:szCs w:val="18"/>
              </w:rPr>
            </w:pPr>
            <w:r w:rsidRPr="00C22C26">
              <w:rPr>
                <w:sz w:val="18"/>
                <w:szCs w:val="18"/>
              </w:rPr>
              <w:t>WP</w:t>
            </w:r>
          </w:p>
        </w:tc>
        <w:tc>
          <w:tcPr>
            <w:tcW w:w="899" w:type="dxa"/>
            <w:vAlign w:val="center"/>
          </w:tcPr>
          <w:p w14:paraId="5134F9B1" w14:textId="77777777" w:rsidR="00291431" w:rsidRPr="00C22C26" w:rsidRDefault="00291431" w:rsidP="00370D80">
            <w:pPr>
              <w:jc w:val="center"/>
              <w:rPr>
                <w:rFonts w:cs="Calibri"/>
                <w:bCs/>
                <w:color w:val="000000"/>
                <w:sz w:val="18"/>
                <w:szCs w:val="18"/>
              </w:rPr>
            </w:pPr>
            <w:r w:rsidRPr="00C22C26">
              <w:rPr>
                <w:sz w:val="18"/>
                <w:szCs w:val="18"/>
              </w:rPr>
              <w:t>8.6, 8.7, 8.8, 8.9</w:t>
            </w:r>
          </w:p>
        </w:tc>
        <w:tc>
          <w:tcPr>
            <w:tcW w:w="1540" w:type="dxa"/>
            <w:shd w:val="clear" w:color="auto" w:fill="auto"/>
            <w:vAlign w:val="center"/>
          </w:tcPr>
          <w:p w14:paraId="785BD643" w14:textId="77777777" w:rsidR="00291431" w:rsidRPr="00C22C26" w:rsidRDefault="00291431" w:rsidP="00C22C26">
            <w:pPr>
              <w:rPr>
                <w:rFonts w:cs="Calibri"/>
                <w:bCs/>
                <w:color w:val="000000"/>
                <w:sz w:val="18"/>
                <w:szCs w:val="18"/>
              </w:rPr>
            </w:pPr>
            <w:r w:rsidRPr="00C22C26">
              <w:rPr>
                <w:sz w:val="18"/>
                <w:szCs w:val="18"/>
              </w:rPr>
              <w:t>Liczba szkół</w:t>
            </w:r>
            <w:r w:rsidR="00E66B89">
              <w:rPr>
                <w:sz w:val="18"/>
                <w:szCs w:val="18"/>
              </w:rPr>
              <w:t xml:space="preserve"> i </w:t>
            </w:r>
            <w:r w:rsidRPr="00C22C26">
              <w:rPr>
                <w:sz w:val="18"/>
                <w:szCs w:val="18"/>
              </w:rPr>
              <w:t>placówek kształcenia zawodowego doposażonych</w:t>
            </w:r>
            <w:r w:rsidR="00E66B89">
              <w:rPr>
                <w:sz w:val="18"/>
                <w:szCs w:val="18"/>
              </w:rPr>
              <w:t xml:space="preserve"> w </w:t>
            </w:r>
            <w:r w:rsidRPr="00C22C26">
              <w:rPr>
                <w:sz w:val="18"/>
                <w:szCs w:val="18"/>
              </w:rPr>
              <w:t>programie</w:t>
            </w:r>
            <w:r w:rsidR="00E66B89">
              <w:rPr>
                <w:sz w:val="18"/>
                <w:szCs w:val="18"/>
              </w:rPr>
              <w:t xml:space="preserve"> w </w:t>
            </w:r>
            <w:r w:rsidRPr="00C22C26">
              <w:rPr>
                <w:sz w:val="18"/>
                <w:szCs w:val="18"/>
              </w:rPr>
              <w:t>sprzęt</w:t>
            </w:r>
            <w:r w:rsidR="00E66B89">
              <w:rPr>
                <w:sz w:val="18"/>
                <w:szCs w:val="18"/>
              </w:rPr>
              <w:t xml:space="preserve"> i </w:t>
            </w:r>
            <w:r w:rsidRPr="00C22C26">
              <w:rPr>
                <w:sz w:val="18"/>
                <w:szCs w:val="18"/>
              </w:rPr>
              <w:t>materiały dydaktyczne niezbędne do realizacji kształcenia zawodowego</w:t>
            </w:r>
          </w:p>
        </w:tc>
        <w:tc>
          <w:tcPr>
            <w:tcW w:w="929" w:type="dxa"/>
            <w:shd w:val="clear" w:color="auto" w:fill="auto"/>
            <w:vAlign w:val="center"/>
          </w:tcPr>
          <w:p w14:paraId="7637B5CF" w14:textId="77777777" w:rsidR="00291431" w:rsidRPr="00C22C26" w:rsidRDefault="00291431" w:rsidP="00370D80">
            <w:pPr>
              <w:jc w:val="center"/>
              <w:rPr>
                <w:rFonts w:cs="Calibri"/>
                <w:bCs/>
                <w:color w:val="000000"/>
                <w:sz w:val="18"/>
                <w:szCs w:val="18"/>
              </w:rPr>
            </w:pPr>
            <w:r w:rsidRPr="00AB2876">
              <w:rPr>
                <w:sz w:val="18"/>
                <w:szCs w:val="18"/>
              </w:rPr>
              <w:t>92</w:t>
            </w:r>
          </w:p>
        </w:tc>
        <w:tc>
          <w:tcPr>
            <w:tcW w:w="826" w:type="dxa"/>
            <w:vAlign w:val="center"/>
          </w:tcPr>
          <w:p w14:paraId="5246AE93" w14:textId="77777777" w:rsidR="00291431" w:rsidRPr="00C22C26" w:rsidRDefault="00291431" w:rsidP="00370D80">
            <w:pPr>
              <w:jc w:val="center"/>
              <w:rPr>
                <w:rFonts w:cs="Calibri"/>
                <w:bCs/>
                <w:color w:val="000000"/>
                <w:sz w:val="18"/>
                <w:szCs w:val="18"/>
              </w:rPr>
            </w:pPr>
            <w:r>
              <w:rPr>
                <w:sz w:val="18"/>
                <w:szCs w:val="18"/>
              </w:rPr>
              <w:t>s</w:t>
            </w:r>
            <w:r w:rsidRPr="007A6D6B">
              <w:rPr>
                <w:sz w:val="18"/>
                <w:szCs w:val="18"/>
              </w:rPr>
              <w:t>zt.</w:t>
            </w:r>
          </w:p>
        </w:tc>
        <w:tc>
          <w:tcPr>
            <w:tcW w:w="974" w:type="dxa"/>
            <w:shd w:val="clear" w:color="auto" w:fill="auto"/>
            <w:vAlign w:val="center"/>
          </w:tcPr>
          <w:p w14:paraId="7CA41849" w14:textId="77777777" w:rsidR="00291431" w:rsidRPr="00C22C26" w:rsidRDefault="00291431" w:rsidP="00370D80">
            <w:pPr>
              <w:jc w:val="center"/>
              <w:rPr>
                <w:rFonts w:cs="Calibri"/>
                <w:bCs/>
                <w:color w:val="000000"/>
                <w:sz w:val="18"/>
                <w:szCs w:val="18"/>
              </w:rPr>
            </w:pPr>
            <w:r w:rsidRPr="00C22C26">
              <w:rPr>
                <w:sz w:val="18"/>
                <w:szCs w:val="18"/>
              </w:rPr>
              <w:t>152</w:t>
            </w:r>
          </w:p>
        </w:tc>
        <w:tc>
          <w:tcPr>
            <w:tcW w:w="974" w:type="dxa"/>
            <w:shd w:val="clear" w:color="auto" w:fill="auto"/>
            <w:vAlign w:val="center"/>
          </w:tcPr>
          <w:p w14:paraId="3E44B563" w14:textId="77777777" w:rsidR="00291431" w:rsidRPr="00C22C26" w:rsidRDefault="00291431" w:rsidP="00370D80">
            <w:pPr>
              <w:jc w:val="center"/>
              <w:rPr>
                <w:rFonts w:cs="Calibri"/>
                <w:bCs/>
                <w:color w:val="000000"/>
                <w:sz w:val="18"/>
                <w:szCs w:val="18"/>
              </w:rPr>
            </w:pPr>
            <w:r w:rsidRPr="00C22C26">
              <w:rPr>
                <w:sz w:val="18"/>
                <w:szCs w:val="18"/>
              </w:rPr>
              <w:t>165%</w:t>
            </w:r>
          </w:p>
        </w:tc>
        <w:tc>
          <w:tcPr>
            <w:tcW w:w="974" w:type="dxa"/>
            <w:shd w:val="clear" w:color="auto" w:fill="auto"/>
            <w:vAlign w:val="center"/>
          </w:tcPr>
          <w:p w14:paraId="6CEF5D05" w14:textId="77777777" w:rsidR="00291431" w:rsidRPr="00C22C26" w:rsidRDefault="00291431" w:rsidP="00370D80">
            <w:pPr>
              <w:jc w:val="center"/>
              <w:rPr>
                <w:rFonts w:cs="Calibri"/>
                <w:bCs/>
                <w:color w:val="000000"/>
                <w:sz w:val="18"/>
                <w:szCs w:val="18"/>
              </w:rPr>
            </w:pPr>
            <w:r w:rsidRPr="00C22C26">
              <w:rPr>
                <w:sz w:val="18"/>
                <w:szCs w:val="18"/>
              </w:rPr>
              <w:t>98</w:t>
            </w:r>
          </w:p>
        </w:tc>
        <w:tc>
          <w:tcPr>
            <w:tcW w:w="974" w:type="dxa"/>
            <w:shd w:val="clear" w:color="auto" w:fill="auto"/>
            <w:vAlign w:val="center"/>
          </w:tcPr>
          <w:p w14:paraId="35D082A7" w14:textId="77777777" w:rsidR="00291431" w:rsidRPr="00C22C26" w:rsidRDefault="00291431" w:rsidP="00370D80">
            <w:pPr>
              <w:jc w:val="center"/>
              <w:rPr>
                <w:rFonts w:cs="Calibri"/>
                <w:bCs/>
                <w:color w:val="000000"/>
                <w:sz w:val="18"/>
                <w:szCs w:val="18"/>
              </w:rPr>
            </w:pPr>
            <w:r w:rsidRPr="00C22C26">
              <w:rPr>
                <w:sz w:val="18"/>
                <w:szCs w:val="18"/>
              </w:rPr>
              <w:t>107%</w:t>
            </w:r>
          </w:p>
        </w:tc>
      </w:tr>
      <w:tr w:rsidR="00291431" w:rsidRPr="00021563" w14:paraId="748C01FC" w14:textId="77777777" w:rsidTr="00C22C26">
        <w:tc>
          <w:tcPr>
            <w:tcW w:w="972" w:type="dxa"/>
            <w:vAlign w:val="center"/>
          </w:tcPr>
          <w:p w14:paraId="421869D6" w14:textId="77777777" w:rsidR="00291431" w:rsidRPr="00C22C26" w:rsidRDefault="00291431" w:rsidP="00370D80">
            <w:pPr>
              <w:jc w:val="center"/>
              <w:rPr>
                <w:rFonts w:cs="Calibri"/>
                <w:i/>
                <w:color w:val="000000"/>
                <w:sz w:val="18"/>
                <w:szCs w:val="18"/>
              </w:rPr>
            </w:pPr>
          </w:p>
        </w:tc>
        <w:tc>
          <w:tcPr>
            <w:tcW w:w="899" w:type="dxa"/>
            <w:vAlign w:val="center"/>
          </w:tcPr>
          <w:p w14:paraId="3DA1033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65064CD2"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DBDF253"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3B06326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7C90BA8" w14:textId="77777777" w:rsidR="00291431" w:rsidRPr="00C22C26" w:rsidRDefault="00291431" w:rsidP="00370D80">
            <w:pPr>
              <w:jc w:val="center"/>
              <w:rPr>
                <w:rFonts w:cs="Calibri"/>
                <w:bCs/>
                <w:color w:val="000000"/>
                <w:sz w:val="18"/>
                <w:szCs w:val="18"/>
              </w:rPr>
            </w:pPr>
            <w:r w:rsidRPr="00C22C26">
              <w:rPr>
                <w:sz w:val="18"/>
                <w:szCs w:val="18"/>
              </w:rPr>
              <w:t>106</w:t>
            </w:r>
          </w:p>
        </w:tc>
        <w:tc>
          <w:tcPr>
            <w:tcW w:w="974" w:type="dxa"/>
            <w:shd w:val="clear" w:color="auto" w:fill="auto"/>
            <w:vAlign w:val="center"/>
          </w:tcPr>
          <w:p w14:paraId="76D1359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3021B4D" w14:textId="77777777" w:rsidR="00291431" w:rsidRPr="00C22C26" w:rsidRDefault="00291431" w:rsidP="00370D80">
            <w:pPr>
              <w:jc w:val="center"/>
              <w:rPr>
                <w:sz w:val="18"/>
                <w:szCs w:val="18"/>
              </w:rPr>
            </w:pPr>
            <w:r w:rsidRPr="00C22C26">
              <w:rPr>
                <w:sz w:val="18"/>
                <w:szCs w:val="18"/>
              </w:rPr>
              <w:t>57</w:t>
            </w:r>
          </w:p>
        </w:tc>
        <w:tc>
          <w:tcPr>
            <w:tcW w:w="974" w:type="dxa"/>
            <w:shd w:val="clear" w:color="auto" w:fill="auto"/>
            <w:vAlign w:val="center"/>
          </w:tcPr>
          <w:p w14:paraId="12DE4865" w14:textId="77777777" w:rsidR="00291431" w:rsidRPr="00C22C26" w:rsidRDefault="00291431" w:rsidP="00370D80">
            <w:pPr>
              <w:jc w:val="center"/>
              <w:rPr>
                <w:rFonts w:cs="Calibri"/>
                <w:bCs/>
                <w:color w:val="000000"/>
                <w:sz w:val="18"/>
                <w:szCs w:val="18"/>
              </w:rPr>
            </w:pPr>
          </w:p>
        </w:tc>
      </w:tr>
      <w:tr w:rsidR="00291431" w:rsidRPr="00021563" w14:paraId="1A70FC96" w14:textId="77777777" w:rsidTr="00C22C26">
        <w:tc>
          <w:tcPr>
            <w:tcW w:w="972" w:type="dxa"/>
            <w:vAlign w:val="center"/>
          </w:tcPr>
          <w:p w14:paraId="3A3522B3" w14:textId="77777777" w:rsidR="00291431" w:rsidRPr="00C22C26" w:rsidRDefault="00291431" w:rsidP="00370D80">
            <w:pPr>
              <w:jc w:val="center"/>
              <w:rPr>
                <w:rFonts w:cs="Calibri"/>
                <w:i/>
                <w:color w:val="000000"/>
                <w:sz w:val="18"/>
                <w:szCs w:val="18"/>
              </w:rPr>
            </w:pPr>
          </w:p>
        </w:tc>
        <w:tc>
          <w:tcPr>
            <w:tcW w:w="899" w:type="dxa"/>
            <w:vAlign w:val="center"/>
          </w:tcPr>
          <w:p w14:paraId="2380F423"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2522A4A7"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D136E83"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D837B3F"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281BE9B1" w14:textId="77777777" w:rsidR="00291431" w:rsidRPr="00C22C26" w:rsidRDefault="00291431" w:rsidP="00370D80">
            <w:pPr>
              <w:jc w:val="center"/>
              <w:rPr>
                <w:rFonts w:cs="Calibri"/>
                <w:bCs/>
                <w:color w:val="000000"/>
                <w:sz w:val="18"/>
                <w:szCs w:val="18"/>
              </w:rPr>
            </w:pPr>
            <w:r w:rsidRPr="00C22C26">
              <w:rPr>
                <w:sz w:val="18"/>
                <w:szCs w:val="18"/>
              </w:rPr>
              <w:t>9</w:t>
            </w:r>
          </w:p>
        </w:tc>
        <w:tc>
          <w:tcPr>
            <w:tcW w:w="974" w:type="dxa"/>
            <w:shd w:val="clear" w:color="auto" w:fill="auto"/>
            <w:vAlign w:val="center"/>
          </w:tcPr>
          <w:p w14:paraId="51E101E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0136D50" w14:textId="77777777" w:rsidR="00291431" w:rsidRPr="00C22C26" w:rsidRDefault="00291431" w:rsidP="00370D80">
            <w:pPr>
              <w:jc w:val="center"/>
              <w:rPr>
                <w:rFonts w:cs="Calibri"/>
                <w:bCs/>
                <w:color w:val="000000"/>
                <w:sz w:val="18"/>
                <w:szCs w:val="18"/>
              </w:rPr>
            </w:pPr>
            <w:r w:rsidRPr="00C22C26">
              <w:rPr>
                <w:sz w:val="18"/>
                <w:szCs w:val="18"/>
              </w:rPr>
              <w:t>13</w:t>
            </w:r>
          </w:p>
        </w:tc>
        <w:tc>
          <w:tcPr>
            <w:tcW w:w="974" w:type="dxa"/>
            <w:shd w:val="clear" w:color="auto" w:fill="auto"/>
            <w:vAlign w:val="center"/>
          </w:tcPr>
          <w:p w14:paraId="445560D7" w14:textId="77777777" w:rsidR="00291431" w:rsidRPr="00C22C26" w:rsidRDefault="00291431" w:rsidP="00370D80">
            <w:pPr>
              <w:jc w:val="center"/>
              <w:rPr>
                <w:rFonts w:cs="Calibri"/>
                <w:bCs/>
                <w:color w:val="000000"/>
                <w:sz w:val="18"/>
                <w:szCs w:val="18"/>
              </w:rPr>
            </w:pPr>
          </w:p>
        </w:tc>
      </w:tr>
      <w:tr w:rsidR="00291431" w:rsidRPr="00021563" w14:paraId="19DA48E4" w14:textId="77777777" w:rsidTr="00C22C26">
        <w:tc>
          <w:tcPr>
            <w:tcW w:w="972" w:type="dxa"/>
            <w:vAlign w:val="center"/>
          </w:tcPr>
          <w:p w14:paraId="7B96D038" w14:textId="77777777" w:rsidR="00291431" w:rsidRPr="00C22C26" w:rsidRDefault="00291431" w:rsidP="00370D80">
            <w:pPr>
              <w:jc w:val="center"/>
              <w:rPr>
                <w:rFonts w:cs="Calibri"/>
                <w:i/>
                <w:color w:val="000000"/>
                <w:sz w:val="18"/>
                <w:szCs w:val="18"/>
              </w:rPr>
            </w:pPr>
          </w:p>
        </w:tc>
        <w:tc>
          <w:tcPr>
            <w:tcW w:w="899" w:type="dxa"/>
            <w:vAlign w:val="center"/>
          </w:tcPr>
          <w:p w14:paraId="63BEEA5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2E318232"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C5C8989"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451530A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8F82F03" w14:textId="77777777" w:rsidR="00291431" w:rsidRPr="00C22C26" w:rsidRDefault="00291431" w:rsidP="00370D80">
            <w:pPr>
              <w:jc w:val="center"/>
              <w:rPr>
                <w:rFonts w:cs="Calibri"/>
                <w:bCs/>
                <w:color w:val="000000"/>
                <w:sz w:val="18"/>
                <w:szCs w:val="18"/>
              </w:rPr>
            </w:pPr>
            <w:r w:rsidRPr="00C22C26">
              <w:rPr>
                <w:sz w:val="18"/>
                <w:szCs w:val="18"/>
              </w:rPr>
              <w:t>8</w:t>
            </w:r>
          </w:p>
        </w:tc>
        <w:tc>
          <w:tcPr>
            <w:tcW w:w="974" w:type="dxa"/>
            <w:shd w:val="clear" w:color="auto" w:fill="auto"/>
            <w:vAlign w:val="center"/>
          </w:tcPr>
          <w:p w14:paraId="443076B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246D7D2" w14:textId="77777777" w:rsidR="00291431" w:rsidRPr="00C22C26" w:rsidRDefault="00291431" w:rsidP="00370D80">
            <w:pPr>
              <w:jc w:val="center"/>
              <w:rPr>
                <w:rFonts w:cs="Calibri"/>
                <w:bCs/>
                <w:color w:val="000000"/>
                <w:sz w:val="18"/>
                <w:szCs w:val="18"/>
              </w:rPr>
            </w:pPr>
            <w:r w:rsidRPr="00C22C26">
              <w:rPr>
                <w:sz w:val="18"/>
                <w:szCs w:val="18"/>
              </w:rPr>
              <w:t>7</w:t>
            </w:r>
          </w:p>
        </w:tc>
        <w:tc>
          <w:tcPr>
            <w:tcW w:w="974" w:type="dxa"/>
            <w:shd w:val="clear" w:color="auto" w:fill="auto"/>
            <w:vAlign w:val="center"/>
          </w:tcPr>
          <w:p w14:paraId="42D25381" w14:textId="77777777" w:rsidR="00291431" w:rsidRPr="00C22C26" w:rsidRDefault="00291431" w:rsidP="00370D80">
            <w:pPr>
              <w:jc w:val="center"/>
              <w:rPr>
                <w:rFonts w:cs="Calibri"/>
                <w:bCs/>
                <w:color w:val="000000"/>
                <w:sz w:val="18"/>
                <w:szCs w:val="18"/>
              </w:rPr>
            </w:pPr>
          </w:p>
        </w:tc>
      </w:tr>
      <w:tr w:rsidR="00291431" w:rsidRPr="00021563" w14:paraId="161DD99E" w14:textId="77777777" w:rsidTr="00C22C26">
        <w:tc>
          <w:tcPr>
            <w:tcW w:w="972" w:type="dxa"/>
            <w:vAlign w:val="center"/>
          </w:tcPr>
          <w:p w14:paraId="662B222D" w14:textId="77777777" w:rsidR="00291431" w:rsidRPr="00C22C26" w:rsidRDefault="00291431" w:rsidP="00370D80">
            <w:pPr>
              <w:jc w:val="center"/>
              <w:rPr>
                <w:rFonts w:cs="Calibri"/>
                <w:i/>
                <w:color w:val="000000"/>
                <w:sz w:val="18"/>
                <w:szCs w:val="18"/>
              </w:rPr>
            </w:pPr>
          </w:p>
        </w:tc>
        <w:tc>
          <w:tcPr>
            <w:tcW w:w="899" w:type="dxa"/>
            <w:vAlign w:val="center"/>
          </w:tcPr>
          <w:p w14:paraId="1FCAFFE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49C7F571"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71FD68E"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3B76CBA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76F4C69" w14:textId="77777777" w:rsidR="00291431" w:rsidRPr="00C22C26" w:rsidRDefault="00291431" w:rsidP="00370D80">
            <w:pPr>
              <w:jc w:val="center"/>
              <w:rPr>
                <w:rFonts w:cs="Calibri"/>
                <w:bCs/>
                <w:color w:val="000000"/>
                <w:sz w:val="18"/>
                <w:szCs w:val="18"/>
              </w:rPr>
            </w:pPr>
            <w:r w:rsidRPr="00C22C26">
              <w:rPr>
                <w:sz w:val="18"/>
                <w:szCs w:val="18"/>
              </w:rPr>
              <w:t>29</w:t>
            </w:r>
          </w:p>
        </w:tc>
        <w:tc>
          <w:tcPr>
            <w:tcW w:w="974" w:type="dxa"/>
            <w:shd w:val="clear" w:color="auto" w:fill="auto"/>
            <w:vAlign w:val="center"/>
          </w:tcPr>
          <w:p w14:paraId="63D33F5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A310B33" w14:textId="77777777" w:rsidR="00291431" w:rsidRPr="00C22C26" w:rsidRDefault="00291431" w:rsidP="00370D80">
            <w:pPr>
              <w:jc w:val="center"/>
              <w:rPr>
                <w:rFonts w:cs="Calibri"/>
                <w:bCs/>
                <w:color w:val="000000"/>
                <w:sz w:val="18"/>
                <w:szCs w:val="18"/>
              </w:rPr>
            </w:pPr>
            <w:r w:rsidRPr="00C22C26">
              <w:rPr>
                <w:sz w:val="18"/>
                <w:szCs w:val="18"/>
              </w:rPr>
              <w:t>21</w:t>
            </w:r>
          </w:p>
        </w:tc>
        <w:tc>
          <w:tcPr>
            <w:tcW w:w="974" w:type="dxa"/>
            <w:shd w:val="clear" w:color="auto" w:fill="auto"/>
            <w:vAlign w:val="center"/>
          </w:tcPr>
          <w:p w14:paraId="06877846" w14:textId="77777777" w:rsidR="00291431" w:rsidRPr="00C22C26" w:rsidRDefault="00291431" w:rsidP="00370D80">
            <w:pPr>
              <w:jc w:val="center"/>
              <w:rPr>
                <w:rFonts w:cs="Calibri"/>
                <w:bCs/>
                <w:color w:val="000000"/>
                <w:sz w:val="18"/>
                <w:szCs w:val="18"/>
              </w:rPr>
            </w:pPr>
          </w:p>
        </w:tc>
      </w:tr>
      <w:tr w:rsidR="00291431" w:rsidRPr="00021563" w14:paraId="6A4FDC40" w14:textId="77777777" w:rsidTr="00C22C26">
        <w:tc>
          <w:tcPr>
            <w:tcW w:w="972" w:type="dxa"/>
            <w:vAlign w:val="center"/>
          </w:tcPr>
          <w:p w14:paraId="1232411E" w14:textId="77777777" w:rsidR="00291431" w:rsidRPr="00C22C26" w:rsidRDefault="00291431" w:rsidP="00370D80">
            <w:pPr>
              <w:jc w:val="center"/>
              <w:rPr>
                <w:rFonts w:cs="Calibri"/>
                <w:i/>
                <w:color w:val="000000"/>
                <w:sz w:val="18"/>
                <w:szCs w:val="18"/>
              </w:rPr>
            </w:pPr>
            <w:r w:rsidRPr="00C22C26">
              <w:rPr>
                <w:sz w:val="18"/>
                <w:szCs w:val="18"/>
              </w:rPr>
              <w:t>WP</w:t>
            </w:r>
          </w:p>
        </w:tc>
        <w:tc>
          <w:tcPr>
            <w:tcW w:w="899" w:type="dxa"/>
            <w:vAlign w:val="center"/>
          </w:tcPr>
          <w:p w14:paraId="2CF8D0A6" w14:textId="77777777" w:rsidR="00291431" w:rsidRPr="00C22C26" w:rsidRDefault="00291431" w:rsidP="00370D80">
            <w:pPr>
              <w:jc w:val="center"/>
              <w:rPr>
                <w:rFonts w:cs="Calibri"/>
                <w:bCs/>
                <w:color w:val="000000"/>
                <w:sz w:val="18"/>
                <w:szCs w:val="18"/>
              </w:rPr>
            </w:pPr>
            <w:r w:rsidRPr="00C22C26">
              <w:rPr>
                <w:sz w:val="18"/>
                <w:szCs w:val="18"/>
              </w:rPr>
              <w:t>8.6, 8.7, 8.8, 8.9</w:t>
            </w:r>
          </w:p>
        </w:tc>
        <w:tc>
          <w:tcPr>
            <w:tcW w:w="1540" w:type="dxa"/>
            <w:shd w:val="clear" w:color="auto" w:fill="auto"/>
            <w:vAlign w:val="center"/>
          </w:tcPr>
          <w:p w14:paraId="60694559" w14:textId="77777777" w:rsidR="00291431" w:rsidRPr="00C22C26" w:rsidRDefault="00291431" w:rsidP="00C22C26">
            <w:pPr>
              <w:rPr>
                <w:rFonts w:cs="Calibri"/>
                <w:bCs/>
                <w:color w:val="000000"/>
                <w:sz w:val="18"/>
                <w:szCs w:val="18"/>
              </w:rPr>
            </w:pPr>
            <w:r w:rsidRPr="00C22C26">
              <w:rPr>
                <w:sz w:val="18"/>
                <w:szCs w:val="18"/>
              </w:rPr>
              <w:t>Liczba uczniów szkół</w:t>
            </w:r>
            <w:r w:rsidR="00E66B89">
              <w:rPr>
                <w:sz w:val="18"/>
                <w:szCs w:val="18"/>
              </w:rPr>
              <w:t xml:space="preserve"> i </w:t>
            </w:r>
            <w:r w:rsidRPr="00C22C26">
              <w:rPr>
                <w:sz w:val="18"/>
                <w:szCs w:val="18"/>
              </w:rPr>
              <w:t>placówek kształcenia zawodowego uczestniczących</w:t>
            </w:r>
            <w:r w:rsidR="00E66B89">
              <w:rPr>
                <w:sz w:val="18"/>
                <w:szCs w:val="18"/>
              </w:rPr>
              <w:t xml:space="preserve"> w </w:t>
            </w:r>
            <w:r w:rsidRPr="00C22C26">
              <w:rPr>
                <w:sz w:val="18"/>
                <w:szCs w:val="18"/>
              </w:rPr>
              <w:t>stażach</w:t>
            </w:r>
            <w:r w:rsidR="00E66B89">
              <w:rPr>
                <w:sz w:val="18"/>
                <w:szCs w:val="18"/>
              </w:rPr>
              <w:t xml:space="preserve"> i </w:t>
            </w:r>
            <w:r w:rsidRPr="00C22C26">
              <w:rPr>
                <w:sz w:val="18"/>
                <w:szCs w:val="18"/>
              </w:rPr>
              <w:t>praktykach</w:t>
            </w:r>
            <w:r w:rsidR="00E66B89">
              <w:rPr>
                <w:sz w:val="18"/>
                <w:szCs w:val="18"/>
              </w:rPr>
              <w:t xml:space="preserve"> u </w:t>
            </w:r>
            <w:r w:rsidRPr="00C22C26">
              <w:rPr>
                <w:sz w:val="18"/>
                <w:szCs w:val="18"/>
              </w:rPr>
              <w:t>pracodawcy</w:t>
            </w:r>
          </w:p>
        </w:tc>
        <w:tc>
          <w:tcPr>
            <w:tcW w:w="929" w:type="dxa"/>
            <w:shd w:val="clear" w:color="auto" w:fill="auto"/>
            <w:vAlign w:val="center"/>
          </w:tcPr>
          <w:p w14:paraId="41964764" w14:textId="77777777" w:rsidR="00291431" w:rsidRPr="00C22C26" w:rsidRDefault="00291431" w:rsidP="00370D80">
            <w:pPr>
              <w:jc w:val="center"/>
              <w:rPr>
                <w:rFonts w:cs="Calibri"/>
                <w:bCs/>
                <w:color w:val="000000"/>
                <w:sz w:val="18"/>
                <w:szCs w:val="18"/>
              </w:rPr>
            </w:pPr>
            <w:r w:rsidRPr="00C22C26">
              <w:rPr>
                <w:sz w:val="18"/>
                <w:szCs w:val="18"/>
              </w:rPr>
              <w:t>12 943</w:t>
            </w:r>
          </w:p>
        </w:tc>
        <w:tc>
          <w:tcPr>
            <w:tcW w:w="826" w:type="dxa"/>
            <w:vAlign w:val="center"/>
          </w:tcPr>
          <w:p w14:paraId="3D3D9BEC" w14:textId="77777777" w:rsidR="00291431" w:rsidRPr="00C22C26" w:rsidRDefault="00291431" w:rsidP="00370D80">
            <w:pPr>
              <w:jc w:val="center"/>
              <w:rPr>
                <w:rFonts w:cs="Calibri"/>
                <w:bCs/>
                <w:color w:val="000000"/>
                <w:sz w:val="18"/>
                <w:szCs w:val="18"/>
              </w:rPr>
            </w:pPr>
            <w:r w:rsidRPr="00C22C26">
              <w:rPr>
                <w:rFonts w:cs="Calibri"/>
                <w:sz w:val="18"/>
                <w:szCs w:val="18"/>
              </w:rPr>
              <w:t>osoby</w:t>
            </w:r>
          </w:p>
        </w:tc>
        <w:tc>
          <w:tcPr>
            <w:tcW w:w="974" w:type="dxa"/>
            <w:shd w:val="clear" w:color="auto" w:fill="auto"/>
            <w:vAlign w:val="center"/>
          </w:tcPr>
          <w:p w14:paraId="7F938958" w14:textId="77777777" w:rsidR="00291431" w:rsidRPr="00C22C26" w:rsidRDefault="00291431" w:rsidP="00370D80">
            <w:pPr>
              <w:jc w:val="center"/>
              <w:rPr>
                <w:rFonts w:cs="Calibri"/>
                <w:bCs/>
                <w:color w:val="000000"/>
                <w:sz w:val="18"/>
                <w:szCs w:val="18"/>
              </w:rPr>
            </w:pPr>
            <w:r w:rsidRPr="00C22C26">
              <w:rPr>
                <w:sz w:val="18"/>
                <w:szCs w:val="18"/>
              </w:rPr>
              <w:t>11 149</w:t>
            </w:r>
          </w:p>
        </w:tc>
        <w:tc>
          <w:tcPr>
            <w:tcW w:w="974" w:type="dxa"/>
            <w:shd w:val="clear" w:color="auto" w:fill="auto"/>
            <w:vAlign w:val="center"/>
          </w:tcPr>
          <w:p w14:paraId="5A08E24A" w14:textId="77777777" w:rsidR="00291431" w:rsidRPr="00C22C26" w:rsidRDefault="00291431" w:rsidP="00370D80">
            <w:pPr>
              <w:jc w:val="center"/>
              <w:rPr>
                <w:rFonts w:cs="Calibri"/>
                <w:bCs/>
                <w:color w:val="000000"/>
                <w:sz w:val="18"/>
                <w:szCs w:val="18"/>
              </w:rPr>
            </w:pPr>
            <w:r w:rsidRPr="00C22C26">
              <w:rPr>
                <w:sz w:val="18"/>
                <w:szCs w:val="18"/>
              </w:rPr>
              <w:t>86%</w:t>
            </w:r>
          </w:p>
        </w:tc>
        <w:tc>
          <w:tcPr>
            <w:tcW w:w="974" w:type="dxa"/>
            <w:shd w:val="clear" w:color="auto" w:fill="auto"/>
            <w:vAlign w:val="center"/>
          </w:tcPr>
          <w:p w14:paraId="21DE0B53" w14:textId="77777777" w:rsidR="00291431" w:rsidRPr="00C22C26" w:rsidRDefault="00291431" w:rsidP="00370D80">
            <w:pPr>
              <w:jc w:val="center"/>
              <w:rPr>
                <w:rFonts w:cs="Calibri"/>
                <w:bCs/>
                <w:color w:val="000000"/>
                <w:sz w:val="18"/>
                <w:szCs w:val="18"/>
              </w:rPr>
            </w:pPr>
            <w:r w:rsidRPr="00C22C26">
              <w:rPr>
                <w:sz w:val="18"/>
                <w:szCs w:val="18"/>
              </w:rPr>
              <w:t>3890</w:t>
            </w:r>
          </w:p>
        </w:tc>
        <w:tc>
          <w:tcPr>
            <w:tcW w:w="974" w:type="dxa"/>
            <w:shd w:val="clear" w:color="auto" w:fill="auto"/>
            <w:vAlign w:val="center"/>
          </w:tcPr>
          <w:p w14:paraId="5E652BD8" w14:textId="77777777" w:rsidR="00291431" w:rsidRPr="00C22C26" w:rsidRDefault="00291431" w:rsidP="00370D80">
            <w:pPr>
              <w:jc w:val="center"/>
              <w:rPr>
                <w:rFonts w:cs="Calibri"/>
                <w:bCs/>
                <w:color w:val="000000"/>
                <w:sz w:val="18"/>
                <w:szCs w:val="18"/>
              </w:rPr>
            </w:pPr>
            <w:r w:rsidRPr="00C22C26">
              <w:rPr>
                <w:sz w:val="18"/>
                <w:szCs w:val="18"/>
              </w:rPr>
              <w:t>30%</w:t>
            </w:r>
          </w:p>
        </w:tc>
      </w:tr>
      <w:tr w:rsidR="00291431" w:rsidRPr="00021563" w14:paraId="1D7A43BD" w14:textId="77777777" w:rsidTr="00C22C26">
        <w:tc>
          <w:tcPr>
            <w:tcW w:w="972" w:type="dxa"/>
            <w:vAlign w:val="center"/>
          </w:tcPr>
          <w:p w14:paraId="14C17AD7" w14:textId="77777777" w:rsidR="00291431" w:rsidRPr="00C22C26" w:rsidRDefault="00291431" w:rsidP="00370D80">
            <w:pPr>
              <w:jc w:val="center"/>
              <w:rPr>
                <w:rFonts w:cs="Calibri"/>
                <w:i/>
                <w:color w:val="000000"/>
                <w:sz w:val="18"/>
                <w:szCs w:val="18"/>
              </w:rPr>
            </w:pPr>
          </w:p>
        </w:tc>
        <w:tc>
          <w:tcPr>
            <w:tcW w:w="899" w:type="dxa"/>
            <w:vAlign w:val="center"/>
          </w:tcPr>
          <w:p w14:paraId="5D9239A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4DBBD586"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39FB658C"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7C738CF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77F3C927" w14:textId="77777777" w:rsidR="00291431" w:rsidRPr="00C22C26" w:rsidRDefault="00291431" w:rsidP="00370D80">
            <w:pPr>
              <w:jc w:val="center"/>
              <w:rPr>
                <w:rFonts w:cs="Calibri"/>
                <w:bCs/>
                <w:color w:val="000000"/>
                <w:sz w:val="18"/>
                <w:szCs w:val="18"/>
              </w:rPr>
            </w:pPr>
            <w:r w:rsidRPr="00C22C26">
              <w:rPr>
                <w:sz w:val="18"/>
                <w:szCs w:val="18"/>
              </w:rPr>
              <w:t>6 311</w:t>
            </w:r>
          </w:p>
        </w:tc>
        <w:tc>
          <w:tcPr>
            <w:tcW w:w="974" w:type="dxa"/>
            <w:shd w:val="clear" w:color="auto" w:fill="auto"/>
            <w:vAlign w:val="center"/>
          </w:tcPr>
          <w:p w14:paraId="5E78CCE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B58F3B5" w14:textId="77777777" w:rsidR="00291431" w:rsidRPr="00C22C26" w:rsidRDefault="00291431" w:rsidP="00370D80">
            <w:pPr>
              <w:jc w:val="center"/>
              <w:rPr>
                <w:rFonts w:cs="Calibri"/>
                <w:bCs/>
                <w:color w:val="000000"/>
                <w:sz w:val="18"/>
                <w:szCs w:val="18"/>
              </w:rPr>
            </w:pPr>
            <w:r w:rsidRPr="00C22C26">
              <w:rPr>
                <w:sz w:val="18"/>
                <w:szCs w:val="18"/>
              </w:rPr>
              <w:t>2 375</w:t>
            </w:r>
          </w:p>
        </w:tc>
        <w:tc>
          <w:tcPr>
            <w:tcW w:w="974" w:type="dxa"/>
            <w:shd w:val="clear" w:color="auto" w:fill="auto"/>
            <w:vAlign w:val="center"/>
          </w:tcPr>
          <w:p w14:paraId="7E8A5F63" w14:textId="77777777" w:rsidR="00291431" w:rsidRPr="00C22C26" w:rsidRDefault="00291431" w:rsidP="00370D80">
            <w:pPr>
              <w:jc w:val="center"/>
              <w:rPr>
                <w:rFonts w:cs="Calibri"/>
                <w:bCs/>
                <w:color w:val="000000"/>
                <w:sz w:val="18"/>
                <w:szCs w:val="18"/>
              </w:rPr>
            </w:pPr>
          </w:p>
        </w:tc>
      </w:tr>
      <w:tr w:rsidR="00291431" w:rsidRPr="00021563" w14:paraId="1890CB5A" w14:textId="77777777" w:rsidTr="00C22C26">
        <w:tc>
          <w:tcPr>
            <w:tcW w:w="972" w:type="dxa"/>
            <w:vAlign w:val="center"/>
          </w:tcPr>
          <w:p w14:paraId="76857D5A" w14:textId="77777777" w:rsidR="00291431" w:rsidRPr="00C22C26" w:rsidRDefault="00291431" w:rsidP="00370D80">
            <w:pPr>
              <w:jc w:val="center"/>
              <w:rPr>
                <w:rFonts w:cs="Calibri"/>
                <w:i/>
                <w:color w:val="000000"/>
                <w:sz w:val="18"/>
                <w:szCs w:val="18"/>
              </w:rPr>
            </w:pPr>
          </w:p>
        </w:tc>
        <w:tc>
          <w:tcPr>
            <w:tcW w:w="899" w:type="dxa"/>
            <w:vAlign w:val="center"/>
          </w:tcPr>
          <w:p w14:paraId="7A26E1C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40B06157"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49931C8C"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BBB0DD0"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20DAE11" w14:textId="77777777" w:rsidR="00291431" w:rsidRPr="00C22C26" w:rsidRDefault="00291431" w:rsidP="00370D80">
            <w:pPr>
              <w:jc w:val="center"/>
              <w:rPr>
                <w:rFonts w:cs="Calibri"/>
                <w:bCs/>
                <w:color w:val="000000"/>
                <w:sz w:val="18"/>
                <w:szCs w:val="18"/>
              </w:rPr>
            </w:pPr>
            <w:r w:rsidRPr="00C22C26">
              <w:rPr>
                <w:sz w:val="18"/>
                <w:szCs w:val="18"/>
              </w:rPr>
              <w:t>1 269</w:t>
            </w:r>
          </w:p>
        </w:tc>
        <w:tc>
          <w:tcPr>
            <w:tcW w:w="974" w:type="dxa"/>
            <w:shd w:val="clear" w:color="auto" w:fill="auto"/>
            <w:vAlign w:val="center"/>
          </w:tcPr>
          <w:p w14:paraId="21DBA349"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213EA96" w14:textId="77777777" w:rsidR="00291431" w:rsidRPr="00C22C26" w:rsidRDefault="00291431" w:rsidP="00370D80">
            <w:pPr>
              <w:jc w:val="center"/>
              <w:rPr>
                <w:rFonts w:cs="Calibri"/>
                <w:bCs/>
                <w:color w:val="000000"/>
                <w:sz w:val="18"/>
                <w:szCs w:val="18"/>
              </w:rPr>
            </w:pPr>
            <w:r w:rsidRPr="00C22C26">
              <w:rPr>
                <w:sz w:val="18"/>
                <w:szCs w:val="18"/>
              </w:rPr>
              <w:t>504</w:t>
            </w:r>
          </w:p>
        </w:tc>
        <w:tc>
          <w:tcPr>
            <w:tcW w:w="974" w:type="dxa"/>
            <w:shd w:val="clear" w:color="auto" w:fill="auto"/>
            <w:vAlign w:val="center"/>
          </w:tcPr>
          <w:p w14:paraId="511B1F68" w14:textId="77777777" w:rsidR="00291431" w:rsidRPr="00C22C26" w:rsidRDefault="00291431" w:rsidP="00370D80">
            <w:pPr>
              <w:jc w:val="center"/>
              <w:rPr>
                <w:rFonts w:cs="Calibri"/>
                <w:bCs/>
                <w:color w:val="000000"/>
                <w:sz w:val="18"/>
                <w:szCs w:val="18"/>
              </w:rPr>
            </w:pPr>
          </w:p>
        </w:tc>
      </w:tr>
      <w:tr w:rsidR="00291431" w:rsidRPr="00021563" w14:paraId="08197D64" w14:textId="77777777" w:rsidTr="00C22C26">
        <w:tc>
          <w:tcPr>
            <w:tcW w:w="972" w:type="dxa"/>
            <w:vAlign w:val="center"/>
          </w:tcPr>
          <w:p w14:paraId="05D5FBC3" w14:textId="77777777" w:rsidR="00291431" w:rsidRPr="00C22C26" w:rsidRDefault="00291431" w:rsidP="00370D80">
            <w:pPr>
              <w:jc w:val="center"/>
              <w:rPr>
                <w:rFonts w:cs="Calibri"/>
                <w:i/>
                <w:color w:val="000000"/>
                <w:sz w:val="18"/>
                <w:szCs w:val="18"/>
              </w:rPr>
            </w:pPr>
          </w:p>
        </w:tc>
        <w:tc>
          <w:tcPr>
            <w:tcW w:w="899" w:type="dxa"/>
            <w:vAlign w:val="center"/>
          </w:tcPr>
          <w:p w14:paraId="7D2826E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086A500E"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718DE999"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6C477B7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D5902EA" w14:textId="77777777" w:rsidR="00291431" w:rsidRPr="00C22C26" w:rsidRDefault="00291431" w:rsidP="00370D80">
            <w:pPr>
              <w:jc w:val="center"/>
              <w:rPr>
                <w:rFonts w:cs="Calibri"/>
                <w:bCs/>
                <w:color w:val="000000"/>
                <w:sz w:val="18"/>
                <w:szCs w:val="18"/>
              </w:rPr>
            </w:pPr>
            <w:r w:rsidRPr="00C22C26">
              <w:rPr>
                <w:sz w:val="18"/>
                <w:szCs w:val="18"/>
              </w:rPr>
              <w:t>229</w:t>
            </w:r>
          </w:p>
        </w:tc>
        <w:tc>
          <w:tcPr>
            <w:tcW w:w="974" w:type="dxa"/>
            <w:shd w:val="clear" w:color="auto" w:fill="auto"/>
            <w:vAlign w:val="center"/>
          </w:tcPr>
          <w:p w14:paraId="2AD18DC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4389256" w14:textId="77777777" w:rsidR="00291431" w:rsidRPr="00C22C26" w:rsidRDefault="00291431" w:rsidP="00370D80">
            <w:pPr>
              <w:jc w:val="center"/>
              <w:rPr>
                <w:rFonts w:cs="Calibri"/>
                <w:bCs/>
                <w:color w:val="000000"/>
                <w:sz w:val="18"/>
                <w:szCs w:val="18"/>
              </w:rPr>
            </w:pPr>
            <w:r w:rsidRPr="00C22C26">
              <w:rPr>
                <w:sz w:val="18"/>
                <w:szCs w:val="18"/>
              </w:rPr>
              <w:t>78</w:t>
            </w:r>
          </w:p>
        </w:tc>
        <w:tc>
          <w:tcPr>
            <w:tcW w:w="974" w:type="dxa"/>
            <w:shd w:val="clear" w:color="auto" w:fill="auto"/>
            <w:vAlign w:val="center"/>
          </w:tcPr>
          <w:p w14:paraId="4952C9EE" w14:textId="77777777" w:rsidR="00291431" w:rsidRPr="00C22C26" w:rsidRDefault="00291431" w:rsidP="00370D80">
            <w:pPr>
              <w:jc w:val="center"/>
              <w:rPr>
                <w:rFonts w:cs="Calibri"/>
                <w:bCs/>
                <w:color w:val="000000"/>
                <w:sz w:val="18"/>
                <w:szCs w:val="18"/>
              </w:rPr>
            </w:pPr>
          </w:p>
        </w:tc>
      </w:tr>
      <w:tr w:rsidR="00291431" w:rsidRPr="00021563" w14:paraId="1F592A99" w14:textId="77777777" w:rsidTr="00C22C26">
        <w:tc>
          <w:tcPr>
            <w:tcW w:w="972" w:type="dxa"/>
            <w:vAlign w:val="center"/>
          </w:tcPr>
          <w:p w14:paraId="54EC1535" w14:textId="77777777" w:rsidR="00291431" w:rsidRPr="00C22C26" w:rsidRDefault="00291431" w:rsidP="00370D80">
            <w:pPr>
              <w:jc w:val="center"/>
              <w:rPr>
                <w:rFonts w:cs="Calibri"/>
                <w:i/>
                <w:color w:val="000000"/>
                <w:sz w:val="18"/>
                <w:szCs w:val="18"/>
              </w:rPr>
            </w:pPr>
          </w:p>
        </w:tc>
        <w:tc>
          <w:tcPr>
            <w:tcW w:w="899" w:type="dxa"/>
            <w:vAlign w:val="center"/>
          </w:tcPr>
          <w:p w14:paraId="7FF66EB6"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2C0241DE"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6DA59DF7"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05A9EF0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3441218" w14:textId="77777777" w:rsidR="00291431" w:rsidRPr="00C22C26" w:rsidRDefault="00291431" w:rsidP="00370D80">
            <w:pPr>
              <w:jc w:val="center"/>
              <w:rPr>
                <w:rFonts w:cs="Calibri"/>
                <w:bCs/>
                <w:color w:val="000000"/>
                <w:sz w:val="18"/>
                <w:szCs w:val="18"/>
              </w:rPr>
            </w:pPr>
            <w:r w:rsidRPr="00C22C26">
              <w:rPr>
                <w:sz w:val="18"/>
                <w:szCs w:val="18"/>
              </w:rPr>
              <w:t>3 340</w:t>
            </w:r>
          </w:p>
        </w:tc>
        <w:tc>
          <w:tcPr>
            <w:tcW w:w="974" w:type="dxa"/>
            <w:shd w:val="clear" w:color="auto" w:fill="auto"/>
            <w:vAlign w:val="center"/>
          </w:tcPr>
          <w:p w14:paraId="45771D2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5A6335E" w14:textId="77777777" w:rsidR="00291431" w:rsidRPr="00C22C26" w:rsidRDefault="00291431" w:rsidP="00370D80">
            <w:pPr>
              <w:jc w:val="center"/>
              <w:rPr>
                <w:rFonts w:cs="Calibri"/>
                <w:bCs/>
                <w:color w:val="000000"/>
                <w:sz w:val="18"/>
                <w:szCs w:val="18"/>
              </w:rPr>
            </w:pPr>
            <w:r w:rsidRPr="00C22C26">
              <w:rPr>
                <w:sz w:val="18"/>
                <w:szCs w:val="18"/>
              </w:rPr>
              <w:t>933</w:t>
            </w:r>
          </w:p>
        </w:tc>
        <w:tc>
          <w:tcPr>
            <w:tcW w:w="974" w:type="dxa"/>
            <w:shd w:val="clear" w:color="auto" w:fill="auto"/>
            <w:vAlign w:val="center"/>
          </w:tcPr>
          <w:p w14:paraId="540D5A97" w14:textId="77777777" w:rsidR="00291431" w:rsidRPr="00C22C26" w:rsidRDefault="00291431" w:rsidP="00370D80">
            <w:pPr>
              <w:jc w:val="center"/>
              <w:rPr>
                <w:rFonts w:cs="Calibri"/>
                <w:bCs/>
                <w:color w:val="000000"/>
                <w:sz w:val="18"/>
                <w:szCs w:val="18"/>
              </w:rPr>
            </w:pPr>
          </w:p>
        </w:tc>
      </w:tr>
      <w:tr w:rsidR="00291431" w:rsidRPr="00021563" w14:paraId="2ABCF3F3" w14:textId="77777777" w:rsidTr="00C22C26">
        <w:tc>
          <w:tcPr>
            <w:tcW w:w="972" w:type="dxa"/>
            <w:vAlign w:val="center"/>
          </w:tcPr>
          <w:p w14:paraId="3AC3FDF5" w14:textId="77777777" w:rsidR="00291431" w:rsidRPr="00C22C26" w:rsidRDefault="00291431" w:rsidP="00370D80">
            <w:pPr>
              <w:jc w:val="center"/>
              <w:rPr>
                <w:sz w:val="18"/>
                <w:szCs w:val="18"/>
              </w:rPr>
            </w:pPr>
            <w:r w:rsidRPr="00C22C26">
              <w:rPr>
                <w:sz w:val="18"/>
                <w:szCs w:val="18"/>
              </w:rPr>
              <w:lastRenderedPageBreak/>
              <w:t>WR</w:t>
            </w:r>
          </w:p>
        </w:tc>
        <w:tc>
          <w:tcPr>
            <w:tcW w:w="899" w:type="dxa"/>
            <w:vAlign w:val="center"/>
          </w:tcPr>
          <w:p w14:paraId="0BF279B2" w14:textId="77777777" w:rsidR="00291431" w:rsidRPr="00C22C26" w:rsidRDefault="00291431" w:rsidP="00370D80">
            <w:pPr>
              <w:jc w:val="center"/>
              <w:rPr>
                <w:sz w:val="18"/>
                <w:szCs w:val="18"/>
              </w:rPr>
            </w:pPr>
            <w:r w:rsidRPr="00C22C26">
              <w:rPr>
                <w:sz w:val="18"/>
                <w:szCs w:val="18"/>
              </w:rPr>
              <w:t>8.6, 8.7, 8.8., 8.9</w:t>
            </w:r>
          </w:p>
        </w:tc>
        <w:tc>
          <w:tcPr>
            <w:tcW w:w="1540" w:type="dxa"/>
            <w:shd w:val="clear" w:color="auto" w:fill="auto"/>
            <w:vAlign w:val="center"/>
          </w:tcPr>
          <w:p w14:paraId="70336566" w14:textId="77777777" w:rsidR="00291431" w:rsidRPr="00C22C26" w:rsidRDefault="00291431" w:rsidP="00C22C26">
            <w:pPr>
              <w:rPr>
                <w:sz w:val="18"/>
                <w:szCs w:val="18"/>
              </w:rPr>
            </w:pPr>
            <w:r w:rsidRPr="00C22C26">
              <w:rPr>
                <w:sz w:val="18"/>
                <w:szCs w:val="18"/>
              </w:rPr>
              <w:t>Liczba osób, które uzyskały kwalifikacje</w:t>
            </w:r>
            <w:r w:rsidR="00E66B89">
              <w:rPr>
                <w:sz w:val="18"/>
                <w:szCs w:val="18"/>
              </w:rPr>
              <w:t xml:space="preserve"> w </w:t>
            </w:r>
            <w:r w:rsidRPr="00C22C26">
              <w:rPr>
                <w:sz w:val="18"/>
                <w:szCs w:val="18"/>
              </w:rPr>
              <w:t>ramach pozaszkolnych form kształcenia</w:t>
            </w:r>
          </w:p>
        </w:tc>
        <w:tc>
          <w:tcPr>
            <w:tcW w:w="929" w:type="dxa"/>
            <w:shd w:val="clear" w:color="auto" w:fill="auto"/>
            <w:vAlign w:val="center"/>
          </w:tcPr>
          <w:p w14:paraId="7EC5DBAF" w14:textId="77777777" w:rsidR="00291431" w:rsidRPr="00C22C26" w:rsidRDefault="00291431" w:rsidP="00370D80">
            <w:pPr>
              <w:jc w:val="center"/>
              <w:rPr>
                <w:sz w:val="18"/>
                <w:szCs w:val="18"/>
              </w:rPr>
            </w:pPr>
            <w:r w:rsidRPr="00804D28">
              <w:rPr>
                <w:sz w:val="18"/>
                <w:szCs w:val="18"/>
              </w:rPr>
              <w:t>31%</w:t>
            </w:r>
          </w:p>
        </w:tc>
        <w:tc>
          <w:tcPr>
            <w:tcW w:w="826" w:type="dxa"/>
            <w:vAlign w:val="center"/>
          </w:tcPr>
          <w:p w14:paraId="0789BC7E" w14:textId="77777777" w:rsidR="00291431" w:rsidRPr="00C22C26" w:rsidRDefault="00291431" w:rsidP="00370D80">
            <w:pPr>
              <w:jc w:val="center"/>
              <w:rPr>
                <w:sz w:val="18"/>
                <w:szCs w:val="18"/>
              </w:rPr>
            </w:pPr>
            <w:r w:rsidRPr="008162FD">
              <w:rPr>
                <w:sz w:val="18"/>
                <w:szCs w:val="18"/>
              </w:rPr>
              <w:t>%</w:t>
            </w:r>
          </w:p>
        </w:tc>
        <w:tc>
          <w:tcPr>
            <w:tcW w:w="974" w:type="dxa"/>
            <w:shd w:val="clear" w:color="auto" w:fill="auto"/>
            <w:vAlign w:val="center"/>
          </w:tcPr>
          <w:p w14:paraId="4A10E140" w14:textId="77777777" w:rsidR="00291431" w:rsidRPr="00C22C26" w:rsidRDefault="00291431" w:rsidP="00370D80">
            <w:pPr>
              <w:jc w:val="center"/>
              <w:rPr>
                <w:sz w:val="18"/>
                <w:szCs w:val="18"/>
              </w:rPr>
            </w:pPr>
            <w:r w:rsidRPr="00C22C26">
              <w:rPr>
                <w:sz w:val="18"/>
                <w:szCs w:val="18"/>
              </w:rPr>
              <w:t>83%</w:t>
            </w:r>
          </w:p>
        </w:tc>
        <w:tc>
          <w:tcPr>
            <w:tcW w:w="974" w:type="dxa"/>
            <w:shd w:val="clear" w:color="auto" w:fill="auto"/>
            <w:vAlign w:val="center"/>
          </w:tcPr>
          <w:p w14:paraId="049E25ED" w14:textId="77777777" w:rsidR="00291431" w:rsidRPr="00C22C26" w:rsidRDefault="00291431" w:rsidP="00370D80">
            <w:pPr>
              <w:jc w:val="center"/>
              <w:rPr>
                <w:sz w:val="18"/>
                <w:szCs w:val="18"/>
              </w:rPr>
            </w:pPr>
            <w:r w:rsidRPr="00C22C26">
              <w:rPr>
                <w:sz w:val="18"/>
                <w:szCs w:val="18"/>
              </w:rPr>
              <w:t>268%</w:t>
            </w:r>
          </w:p>
        </w:tc>
        <w:tc>
          <w:tcPr>
            <w:tcW w:w="974" w:type="dxa"/>
            <w:shd w:val="clear" w:color="auto" w:fill="auto"/>
            <w:vAlign w:val="center"/>
          </w:tcPr>
          <w:p w14:paraId="4221A820" w14:textId="77777777" w:rsidR="00291431" w:rsidRPr="00C22C26" w:rsidRDefault="00291431" w:rsidP="00370D80">
            <w:pPr>
              <w:jc w:val="center"/>
              <w:rPr>
                <w:sz w:val="18"/>
                <w:szCs w:val="18"/>
              </w:rPr>
            </w:pPr>
            <w:r w:rsidRPr="00C22C26">
              <w:rPr>
                <w:sz w:val="18"/>
                <w:szCs w:val="18"/>
              </w:rPr>
              <w:t>52,7%</w:t>
            </w:r>
          </w:p>
        </w:tc>
        <w:tc>
          <w:tcPr>
            <w:tcW w:w="974" w:type="dxa"/>
            <w:shd w:val="clear" w:color="auto" w:fill="auto"/>
            <w:vAlign w:val="center"/>
          </w:tcPr>
          <w:p w14:paraId="203BA1DA" w14:textId="77777777" w:rsidR="00291431" w:rsidRPr="00C22C26" w:rsidRDefault="00291431" w:rsidP="00370D80">
            <w:pPr>
              <w:jc w:val="center"/>
              <w:rPr>
                <w:sz w:val="18"/>
                <w:szCs w:val="18"/>
              </w:rPr>
            </w:pPr>
            <w:r w:rsidRPr="00C22C26">
              <w:rPr>
                <w:sz w:val="18"/>
                <w:szCs w:val="18"/>
              </w:rPr>
              <w:t>170%</w:t>
            </w:r>
          </w:p>
        </w:tc>
      </w:tr>
      <w:tr w:rsidR="00291431" w:rsidRPr="00021563" w14:paraId="1A9C94BC" w14:textId="77777777" w:rsidTr="00C22C26">
        <w:tc>
          <w:tcPr>
            <w:tcW w:w="972" w:type="dxa"/>
            <w:vAlign w:val="center"/>
          </w:tcPr>
          <w:p w14:paraId="2DE77D42" w14:textId="77777777" w:rsidR="00291431" w:rsidRPr="00C22C26" w:rsidRDefault="00291431" w:rsidP="00370D80">
            <w:pPr>
              <w:jc w:val="center"/>
              <w:rPr>
                <w:rFonts w:cs="Calibri"/>
                <w:i/>
                <w:color w:val="000000"/>
                <w:sz w:val="18"/>
                <w:szCs w:val="18"/>
              </w:rPr>
            </w:pPr>
          </w:p>
        </w:tc>
        <w:tc>
          <w:tcPr>
            <w:tcW w:w="899" w:type="dxa"/>
            <w:vAlign w:val="center"/>
          </w:tcPr>
          <w:p w14:paraId="24BD077F"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02D567A9"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4FF66DAC"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3BDA50E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15F8517" w14:textId="77777777" w:rsidR="00291431" w:rsidRPr="00C22C26" w:rsidRDefault="00291431" w:rsidP="00370D80">
            <w:pPr>
              <w:jc w:val="center"/>
              <w:rPr>
                <w:rFonts w:cs="Calibri"/>
                <w:bCs/>
                <w:color w:val="000000"/>
                <w:sz w:val="18"/>
                <w:szCs w:val="18"/>
              </w:rPr>
            </w:pPr>
            <w:r w:rsidRPr="00C22C26">
              <w:rPr>
                <w:sz w:val="18"/>
                <w:szCs w:val="18"/>
              </w:rPr>
              <w:t>15 360</w:t>
            </w:r>
          </w:p>
        </w:tc>
        <w:tc>
          <w:tcPr>
            <w:tcW w:w="974" w:type="dxa"/>
            <w:shd w:val="clear" w:color="auto" w:fill="auto"/>
            <w:vAlign w:val="center"/>
          </w:tcPr>
          <w:p w14:paraId="088199E7"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EF9DE86" w14:textId="77777777" w:rsidR="00291431" w:rsidRPr="00C22C26" w:rsidRDefault="00291431" w:rsidP="00370D80">
            <w:pPr>
              <w:jc w:val="center"/>
              <w:rPr>
                <w:rFonts w:cs="Calibri"/>
                <w:bCs/>
                <w:color w:val="000000"/>
                <w:sz w:val="18"/>
                <w:szCs w:val="18"/>
              </w:rPr>
            </w:pPr>
            <w:r w:rsidRPr="00C22C26">
              <w:rPr>
                <w:sz w:val="18"/>
                <w:szCs w:val="18"/>
              </w:rPr>
              <w:t>3 160</w:t>
            </w:r>
          </w:p>
        </w:tc>
        <w:tc>
          <w:tcPr>
            <w:tcW w:w="974" w:type="dxa"/>
            <w:shd w:val="clear" w:color="auto" w:fill="auto"/>
            <w:vAlign w:val="center"/>
          </w:tcPr>
          <w:p w14:paraId="02DAAFF2" w14:textId="77777777" w:rsidR="00291431" w:rsidRPr="00C22C26" w:rsidRDefault="00291431" w:rsidP="00370D80">
            <w:pPr>
              <w:jc w:val="center"/>
              <w:rPr>
                <w:rFonts w:cs="Calibri"/>
                <w:bCs/>
                <w:color w:val="000000"/>
                <w:sz w:val="18"/>
                <w:szCs w:val="18"/>
              </w:rPr>
            </w:pPr>
          </w:p>
        </w:tc>
      </w:tr>
      <w:tr w:rsidR="00291431" w:rsidRPr="00021563" w14:paraId="59BF48C9" w14:textId="77777777" w:rsidTr="00C22C26">
        <w:tc>
          <w:tcPr>
            <w:tcW w:w="972" w:type="dxa"/>
            <w:vAlign w:val="center"/>
          </w:tcPr>
          <w:p w14:paraId="04029E29" w14:textId="77777777" w:rsidR="00291431" w:rsidRPr="00C22C26" w:rsidRDefault="00291431" w:rsidP="00370D80">
            <w:pPr>
              <w:jc w:val="center"/>
              <w:rPr>
                <w:rFonts w:cs="Calibri"/>
                <w:i/>
                <w:color w:val="000000"/>
                <w:sz w:val="18"/>
                <w:szCs w:val="18"/>
              </w:rPr>
            </w:pPr>
          </w:p>
        </w:tc>
        <w:tc>
          <w:tcPr>
            <w:tcW w:w="899" w:type="dxa"/>
            <w:vAlign w:val="center"/>
          </w:tcPr>
          <w:p w14:paraId="737A354D"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325BC3D5"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5749BC6"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6588A2C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5DA1180" w14:textId="77777777" w:rsidR="00291431" w:rsidRPr="00C22C26" w:rsidRDefault="00291431" w:rsidP="00370D80">
            <w:pPr>
              <w:jc w:val="center"/>
              <w:rPr>
                <w:rFonts w:cs="Calibri"/>
                <w:bCs/>
                <w:color w:val="000000"/>
                <w:sz w:val="18"/>
                <w:szCs w:val="18"/>
              </w:rPr>
            </w:pPr>
            <w:r w:rsidRPr="00C22C26">
              <w:rPr>
                <w:sz w:val="18"/>
                <w:szCs w:val="18"/>
              </w:rPr>
              <w:t>1 054</w:t>
            </w:r>
          </w:p>
        </w:tc>
        <w:tc>
          <w:tcPr>
            <w:tcW w:w="974" w:type="dxa"/>
            <w:shd w:val="clear" w:color="auto" w:fill="auto"/>
            <w:vAlign w:val="center"/>
          </w:tcPr>
          <w:p w14:paraId="59DE277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A9D5434" w14:textId="77777777" w:rsidR="00291431" w:rsidRPr="00C22C26" w:rsidRDefault="00291431" w:rsidP="00370D80">
            <w:pPr>
              <w:jc w:val="center"/>
              <w:rPr>
                <w:rFonts w:cs="Calibri"/>
                <w:bCs/>
                <w:color w:val="000000"/>
                <w:sz w:val="18"/>
                <w:szCs w:val="18"/>
              </w:rPr>
            </w:pPr>
            <w:r w:rsidRPr="00C22C26">
              <w:rPr>
                <w:sz w:val="18"/>
                <w:szCs w:val="18"/>
              </w:rPr>
              <w:t>710</w:t>
            </w:r>
          </w:p>
        </w:tc>
        <w:tc>
          <w:tcPr>
            <w:tcW w:w="974" w:type="dxa"/>
            <w:shd w:val="clear" w:color="auto" w:fill="auto"/>
            <w:vAlign w:val="center"/>
          </w:tcPr>
          <w:p w14:paraId="40B42369" w14:textId="77777777" w:rsidR="00291431" w:rsidRPr="00C22C26" w:rsidRDefault="00291431" w:rsidP="00370D80">
            <w:pPr>
              <w:jc w:val="center"/>
              <w:rPr>
                <w:rFonts w:cs="Calibri"/>
                <w:bCs/>
                <w:color w:val="000000"/>
                <w:sz w:val="18"/>
                <w:szCs w:val="18"/>
              </w:rPr>
            </w:pPr>
          </w:p>
        </w:tc>
      </w:tr>
      <w:tr w:rsidR="00291431" w:rsidRPr="00021563" w14:paraId="089199DB" w14:textId="77777777" w:rsidTr="00C22C26">
        <w:tc>
          <w:tcPr>
            <w:tcW w:w="972" w:type="dxa"/>
            <w:vAlign w:val="center"/>
          </w:tcPr>
          <w:p w14:paraId="1A583877" w14:textId="77777777" w:rsidR="00291431" w:rsidRPr="00C22C26" w:rsidRDefault="00291431" w:rsidP="00370D80">
            <w:pPr>
              <w:jc w:val="center"/>
              <w:rPr>
                <w:rFonts w:cs="Calibri"/>
                <w:i/>
                <w:color w:val="000000"/>
                <w:sz w:val="18"/>
                <w:szCs w:val="18"/>
              </w:rPr>
            </w:pPr>
          </w:p>
        </w:tc>
        <w:tc>
          <w:tcPr>
            <w:tcW w:w="899" w:type="dxa"/>
            <w:vAlign w:val="center"/>
          </w:tcPr>
          <w:p w14:paraId="457AE0D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1611112C"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27CC6FC5"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68E8A78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0704435" w14:textId="77777777" w:rsidR="00291431" w:rsidRPr="00C22C26" w:rsidRDefault="00291431" w:rsidP="00370D80">
            <w:pPr>
              <w:jc w:val="center"/>
              <w:rPr>
                <w:rFonts w:cs="Calibri"/>
                <w:bCs/>
                <w:color w:val="000000"/>
                <w:sz w:val="18"/>
                <w:szCs w:val="18"/>
              </w:rPr>
            </w:pPr>
            <w:r w:rsidRPr="00C22C26">
              <w:rPr>
                <w:sz w:val="18"/>
                <w:szCs w:val="18"/>
              </w:rPr>
              <w:t>420</w:t>
            </w:r>
          </w:p>
        </w:tc>
        <w:tc>
          <w:tcPr>
            <w:tcW w:w="974" w:type="dxa"/>
            <w:shd w:val="clear" w:color="auto" w:fill="auto"/>
            <w:vAlign w:val="center"/>
          </w:tcPr>
          <w:p w14:paraId="2DF56E63"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B988A3B" w14:textId="77777777" w:rsidR="00291431" w:rsidRPr="00C22C26" w:rsidRDefault="00291431" w:rsidP="00370D80">
            <w:pPr>
              <w:jc w:val="center"/>
              <w:rPr>
                <w:rFonts w:cs="Calibri"/>
                <w:bCs/>
                <w:color w:val="000000"/>
                <w:sz w:val="18"/>
                <w:szCs w:val="18"/>
              </w:rPr>
            </w:pPr>
            <w:r w:rsidRPr="00C22C26">
              <w:rPr>
                <w:sz w:val="18"/>
                <w:szCs w:val="18"/>
              </w:rPr>
              <w:t>319</w:t>
            </w:r>
          </w:p>
        </w:tc>
        <w:tc>
          <w:tcPr>
            <w:tcW w:w="974" w:type="dxa"/>
            <w:shd w:val="clear" w:color="auto" w:fill="auto"/>
            <w:vAlign w:val="center"/>
          </w:tcPr>
          <w:p w14:paraId="65FBD119" w14:textId="77777777" w:rsidR="00291431" w:rsidRPr="00C22C26" w:rsidRDefault="00291431" w:rsidP="00370D80">
            <w:pPr>
              <w:jc w:val="center"/>
              <w:rPr>
                <w:rFonts w:cs="Calibri"/>
                <w:bCs/>
                <w:color w:val="000000"/>
                <w:sz w:val="18"/>
                <w:szCs w:val="18"/>
              </w:rPr>
            </w:pPr>
          </w:p>
        </w:tc>
      </w:tr>
      <w:tr w:rsidR="00291431" w:rsidRPr="00021563" w14:paraId="75ECB844" w14:textId="77777777" w:rsidTr="00C22C26">
        <w:tc>
          <w:tcPr>
            <w:tcW w:w="972" w:type="dxa"/>
            <w:vAlign w:val="center"/>
          </w:tcPr>
          <w:p w14:paraId="54C81E01" w14:textId="77777777" w:rsidR="00291431" w:rsidRPr="00C22C26" w:rsidRDefault="00291431" w:rsidP="00370D80">
            <w:pPr>
              <w:jc w:val="center"/>
              <w:rPr>
                <w:rFonts w:cs="Calibri"/>
                <w:i/>
                <w:color w:val="000000"/>
                <w:sz w:val="18"/>
                <w:szCs w:val="18"/>
              </w:rPr>
            </w:pPr>
          </w:p>
        </w:tc>
        <w:tc>
          <w:tcPr>
            <w:tcW w:w="899" w:type="dxa"/>
            <w:vAlign w:val="center"/>
          </w:tcPr>
          <w:p w14:paraId="1C33F61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10748F26"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62A46085"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5717C59A"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6048561" w14:textId="77777777" w:rsidR="00291431" w:rsidRPr="00C22C26" w:rsidRDefault="00291431" w:rsidP="00370D80">
            <w:pPr>
              <w:jc w:val="center"/>
              <w:rPr>
                <w:rFonts w:cs="Calibri"/>
                <w:bCs/>
                <w:color w:val="000000"/>
                <w:sz w:val="18"/>
                <w:szCs w:val="18"/>
              </w:rPr>
            </w:pPr>
            <w:r w:rsidRPr="00C22C26">
              <w:rPr>
                <w:sz w:val="18"/>
                <w:szCs w:val="18"/>
              </w:rPr>
              <w:t>2 793</w:t>
            </w:r>
          </w:p>
        </w:tc>
        <w:tc>
          <w:tcPr>
            <w:tcW w:w="974" w:type="dxa"/>
            <w:shd w:val="clear" w:color="auto" w:fill="auto"/>
            <w:vAlign w:val="center"/>
          </w:tcPr>
          <w:p w14:paraId="367DAB50"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E21E412" w14:textId="77777777" w:rsidR="00291431" w:rsidRPr="00C22C26" w:rsidRDefault="00291431" w:rsidP="00370D80">
            <w:pPr>
              <w:jc w:val="center"/>
              <w:rPr>
                <w:rFonts w:cs="Calibri"/>
                <w:bCs/>
                <w:color w:val="000000"/>
                <w:sz w:val="18"/>
                <w:szCs w:val="18"/>
              </w:rPr>
            </w:pPr>
            <w:r w:rsidRPr="00C22C26">
              <w:rPr>
                <w:sz w:val="18"/>
                <w:szCs w:val="18"/>
              </w:rPr>
              <w:t>150</w:t>
            </w:r>
          </w:p>
        </w:tc>
        <w:tc>
          <w:tcPr>
            <w:tcW w:w="974" w:type="dxa"/>
            <w:shd w:val="clear" w:color="auto" w:fill="auto"/>
            <w:vAlign w:val="center"/>
          </w:tcPr>
          <w:p w14:paraId="45374F5F" w14:textId="77777777" w:rsidR="00291431" w:rsidRPr="00C22C26" w:rsidRDefault="00291431" w:rsidP="00370D80">
            <w:pPr>
              <w:jc w:val="center"/>
              <w:rPr>
                <w:rFonts w:cs="Calibri"/>
                <w:bCs/>
                <w:color w:val="000000"/>
                <w:sz w:val="18"/>
                <w:szCs w:val="18"/>
              </w:rPr>
            </w:pPr>
          </w:p>
        </w:tc>
      </w:tr>
      <w:tr w:rsidR="00291431" w:rsidRPr="00021563" w14:paraId="7AF31139" w14:textId="77777777" w:rsidTr="00C22C26">
        <w:tc>
          <w:tcPr>
            <w:tcW w:w="972" w:type="dxa"/>
            <w:vAlign w:val="center"/>
          </w:tcPr>
          <w:p w14:paraId="1565F0DB" w14:textId="77777777" w:rsidR="00291431" w:rsidRPr="00C22C26" w:rsidRDefault="00291431" w:rsidP="00370D80">
            <w:pPr>
              <w:jc w:val="center"/>
              <w:rPr>
                <w:rFonts w:cs="Calibri"/>
                <w:i/>
                <w:color w:val="000000"/>
                <w:sz w:val="18"/>
                <w:szCs w:val="18"/>
              </w:rPr>
            </w:pPr>
            <w:r w:rsidRPr="00C22C26">
              <w:rPr>
                <w:sz w:val="18"/>
                <w:szCs w:val="18"/>
              </w:rPr>
              <w:t>WR</w:t>
            </w:r>
          </w:p>
        </w:tc>
        <w:tc>
          <w:tcPr>
            <w:tcW w:w="899" w:type="dxa"/>
            <w:vAlign w:val="center"/>
          </w:tcPr>
          <w:p w14:paraId="02D5C79F" w14:textId="77777777" w:rsidR="00291431" w:rsidRPr="00C22C26" w:rsidRDefault="00291431" w:rsidP="00370D80">
            <w:pPr>
              <w:jc w:val="center"/>
              <w:rPr>
                <w:rFonts w:cs="Calibri"/>
                <w:bCs/>
                <w:color w:val="000000"/>
                <w:sz w:val="18"/>
                <w:szCs w:val="18"/>
              </w:rPr>
            </w:pPr>
            <w:r w:rsidRPr="00C22C26">
              <w:rPr>
                <w:rFonts w:cs="Calibri"/>
                <w:sz w:val="18"/>
                <w:szCs w:val="18"/>
              </w:rPr>
              <w:t>8.6, 8.7, 8.8., 8.9</w:t>
            </w:r>
          </w:p>
        </w:tc>
        <w:tc>
          <w:tcPr>
            <w:tcW w:w="1540" w:type="dxa"/>
            <w:shd w:val="clear" w:color="auto" w:fill="auto"/>
            <w:vAlign w:val="center"/>
          </w:tcPr>
          <w:p w14:paraId="5E57CBDE" w14:textId="77777777" w:rsidR="00291431" w:rsidRPr="00C22C26" w:rsidRDefault="00291431" w:rsidP="00C22C26">
            <w:pPr>
              <w:rPr>
                <w:rFonts w:cs="Calibri"/>
                <w:bCs/>
                <w:color w:val="000000"/>
                <w:sz w:val="18"/>
                <w:szCs w:val="18"/>
              </w:rPr>
            </w:pPr>
            <w:r w:rsidRPr="00C22C26">
              <w:rPr>
                <w:rFonts w:cs="Calibri"/>
                <w:sz w:val="18"/>
                <w:szCs w:val="18"/>
              </w:rPr>
              <w:t>Liczba szkół</w:t>
            </w:r>
            <w:r w:rsidR="00E66B89">
              <w:rPr>
                <w:rFonts w:cs="Calibri"/>
                <w:sz w:val="18"/>
                <w:szCs w:val="18"/>
              </w:rPr>
              <w:t xml:space="preserve"> i </w:t>
            </w:r>
            <w:r w:rsidRPr="00C22C26">
              <w:rPr>
                <w:rFonts w:cs="Calibri"/>
                <w:sz w:val="18"/>
                <w:szCs w:val="18"/>
              </w:rPr>
              <w:t>placówek kształcenia zawodowego wykorzystujących doposażenie zakupione dzięki EFS</w:t>
            </w:r>
          </w:p>
        </w:tc>
        <w:tc>
          <w:tcPr>
            <w:tcW w:w="929" w:type="dxa"/>
            <w:shd w:val="clear" w:color="auto" w:fill="auto"/>
            <w:vAlign w:val="center"/>
          </w:tcPr>
          <w:p w14:paraId="6934EAD3" w14:textId="77777777" w:rsidR="00291431" w:rsidRPr="00C22C26" w:rsidRDefault="00291431" w:rsidP="00370D80">
            <w:pPr>
              <w:jc w:val="center"/>
              <w:rPr>
                <w:rFonts w:cs="Calibri"/>
                <w:bCs/>
                <w:color w:val="000000"/>
                <w:sz w:val="18"/>
                <w:szCs w:val="18"/>
              </w:rPr>
            </w:pPr>
            <w:r w:rsidRPr="00117577">
              <w:rPr>
                <w:rFonts w:cs="Calibri"/>
                <w:sz w:val="18"/>
                <w:szCs w:val="18"/>
              </w:rPr>
              <w:t>97%</w:t>
            </w:r>
          </w:p>
        </w:tc>
        <w:tc>
          <w:tcPr>
            <w:tcW w:w="826" w:type="dxa"/>
            <w:vAlign w:val="center"/>
          </w:tcPr>
          <w:p w14:paraId="2E219611" w14:textId="77777777" w:rsidR="00291431" w:rsidRPr="00C22C26" w:rsidRDefault="00291431" w:rsidP="00370D80">
            <w:pPr>
              <w:jc w:val="center"/>
              <w:rPr>
                <w:rFonts w:cs="Calibri"/>
                <w:sz w:val="18"/>
                <w:szCs w:val="18"/>
              </w:rPr>
            </w:pPr>
            <w:r w:rsidRPr="008162FD">
              <w:rPr>
                <w:rFonts w:cs="Calibri"/>
                <w:sz w:val="18"/>
                <w:szCs w:val="18"/>
              </w:rPr>
              <w:t>%</w:t>
            </w:r>
          </w:p>
        </w:tc>
        <w:tc>
          <w:tcPr>
            <w:tcW w:w="974" w:type="dxa"/>
            <w:shd w:val="clear" w:color="auto" w:fill="auto"/>
            <w:vAlign w:val="center"/>
          </w:tcPr>
          <w:p w14:paraId="5986D5DA" w14:textId="77777777" w:rsidR="00291431" w:rsidRPr="00C22C26" w:rsidRDefault="00291431" w:rsidP="00370D80">
            <w:pPr>
              <w:jc w:val="center"/>
              <w:rPr>
                <w:rFonts w:cs="Calibri"/>
                <w:sz w:val="18"/>
                <w:szCs w:val="18"/>
              </w:rPr>
            </w:pPr>
            <w:r w:rsidRPr="00C22C26">
              <w:rPr>
                <w:rFonts w:cs="Calibri"/>
                <w:sz w:val="18"/>
                <w:szCs w:val="18"/>
              </w:rPr>
              <w:t>100%</w:t>
            </w:r>
          </w:p>
        </w:tc>
        <w:tc>
          <w:tcPr>
            <w:tcW w:w="974" w:type="dxa"/>
            <w:shd w:val="clear" w:color="auto" w:fill="auto"/>
            <w:vAlign w:val="center"/>
          </w:tcPr>
          <w:p w14:paraId="24C6F792" w14:textId="77777777" w:rsidR="00291431" w:rsidRPr="00C22C26" w:rsidRDefault="00291431" w:rsidP="00370D80">
            <w:pPr>
              <w:jc w:val="center"/>
              <w:rPr>
                <w:rFonts w:cs="Calibri"/>
                <w:bCs/>
                <w:color w:val="000000"/>
                <w:sz w:val="18"/>
                <w:szCs w:val="18"/>
              </w:rPr>
            </w:pPr>
            <w:r w:rsidRPr="00C22C26">
              <w:rPr>
                <w:rFonts w:cs="Calibri"/>
                <w:sz w:val="18"/>
                <w:szCs w:val="18"/>
              </w:rPr>
              <w:t>104%</w:t>
            </w:r>
          </w:p>
        </w:tc>
        <w:tc>
          <w:tcPr>
            <w:tcW w:w="974" w:type="dxa"/>
            <w:shd w:val="clear" w:color="auto" w:fill="auto"/>
            <w:vAlign w:val="center"/>
          </w:tcPr>
          <w:p w14:paraId="00145AAF" w14:textId="77777777" w:rsidR="00291431" w:rsidRPr="00C22C26" w:rsidRDefault="00291431" w:rsidP="00370D80">
            <w:pPr>
              <w:jc w:val="center"/>
              <w:rPr>
                <w:rFonts w:cs="Calibri"/>
                <w:sz w:val="18"/>
                <w:szCs w:val="18"/>
              </w:rPr>
            </w:pPr>
            <w:r w:rsidRPr="00C22C26">
              <w:rPr>
                <w:rFonts w:cs="Calibri"/>
                <w:sz w:val="18"/>
                <w:szCs w:val="18"/>
              </w:rPr>
              <w:t>0%</w:t>
            </w:r>
          </w:p>
        </w:tc>
        <w:tc>
          <w:tcPr>
            <w:tcW w:w="974" w:type="dxa"/>
            <w:shd w:val="clear" w:color="auto" w:fill="auto"/>
            <w:vAlign w:val="center"/>
          </w:tcPr>
          <w:p w14:paraId="27E7995B" w14:textId="77777777" w:rsidR="00291431" w:rsidRPr="00C22C26" w:rsidRDefault="00291431" w:rsidP="00370D80">
            <w:pPr>
              <w:jc w:val="center"/>
              <w:rPr>
                <w:rFonts w:cs="Calibri"/>
                <w:bCs/>
                <w:color w:val="000000"/>
                <w:sz w:val="18"/>
                <w:szCs w:val="18"/>
              </w:rPr>
            </w:pPr>
            <w:r w:rsidRPr="00C22C26">
              <w:rPr>
                <w:rFonts w:cs="Calibri"/>
                <w:sz w:val="18"/>
                <w:szCs w:val="18"/>
              </w:rPr>
              <w:t>0%</w:t>
            </w:r>
          </w:p>
        </w:tc>
      </w:tr>
      <w:tr w:rsidR="00291431" w:rsidRPr="00021563" w14:paraId="7B61C462" w14:textId="77777777" w:rsidTr="00C22C26">
        <w:tc>
          <w:tcPr>
            <w:tcW w:w="972" w:type="dxa"/>
            <w:vAlign w:val="center"/>
          </w:tcPr>
          <w:p w14:paraId="59E8A507" w14:textId="77777777" w:rsidR="00291431" w:rsidRPr="00C22C26" w:rsidRDefault="00291431" w:rsidP="00370D80">
            <w:pPr>
              <w:jc w:val="center"/>
              <w:rPr>
                <w:rFonts w:cs="Calibri"/>
                <w:i/>
                <w:color w:val="000000"/>
                <w:sz w:val="18"/>
                <w:szCs w:val="18"/>
              </w:rPr>
            </w:pPr>
          </w:p>
        </w:tc>
        <w:tc>
          <w:tcPr>
            <w:tcW w:w="899" w:type="dxa"/>
            <w:vAlign w:val="center"/>
          </w:tcPr>
          <w:p w14:paraId="4D0FD7FB"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8.6</w:t>
            </w:r>
          </w:p>
        </w:tc>
        <w:tc>
          <w:tcPr>
            <w:tcW w:w="1540" w:type="dxa"/>
            <w:shd w:val="clear" w:color="auto" w:fill="auto"/>
            <w:vAlign w:val="center"/>
          </w:tcPr>
          <w:p w14:paraId="73DD9B3C"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179951F2"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6FE98235"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C352E87" w14:textId="77777777" w:rsidR="00291431" w:rsidRPr="00C22C26" w:rsidRDefault="00291431" w:rsidP="00370D80">
            <w:pPr>
              <w:jc w:val="center"/>
              <w:rPr>
                <w:rFonts w:cs="Calibri"/>
                <w:bCs/>
                <w:color w:val="000000"/>
                <w:sz w:val="18"/>
                <w:szCs w:val="18"/>
              </w:rPr>
            </w:pPr>
            <w:r w:rsidRPr="00C22C26">
              <w:rPr>
                <w:sz w:val="18"/>
                <w:szCs w:val="18"/>
              </w:rPr>
              <w:t>107</w:t>
            </w:r>
          </w:p>
        </w:tc>
        <w:tc>
          <w:tcPr>
            <w:tcW w:w="974" w:type="dxa"/>
            <w:shd w:val="clear" w:color="auto" w:fill="auto"/>
            <w:vAlign w:val="center"/>
          </w:tcPr>
          <w:p w14:paraId="4F46D3DF"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6B3B0254"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51D53512" w14:textId="77777777" w:rsidR="00291431" w:rsidRPr="00C22C26" w:rsidRDefault="00291431" w:rsidP="00370D80">
            <w:pPr>
              <w:jc w:val="center"/>
              <w:rPr>
                <w:rFonts w:cs="Calibri"/>
                <w:bCs/>
                <w:color w:val="000000"/>
                <w:sz w:val="18"/>
                <w:szCs w:val="18"/>
              </w:rPr>
            </w:pPr>
          </w:p>
        </w:tc>
      </w:tr>
      <w:tr w:rsidR="00291431" w:rsidRPr="00021563" w14:paraId="42CFE037" w14:textId="77777777" w:rsidTr="00C22C26">
        <w:tc>
          <w:tcPr>
            <w:tcW w:w="972" w:type="dxa"/>
            <w:vAlign w:val="center"/>
          </w:tcPr>
          <w:p w14:paraId="70B7E36D" w14:textId="77777777" w:rsidR="00291431" w:rsidRPr="00C22C26" w:rsidRDefault="00291431" w:rsidP="00370D80">
            <w:pPr>
              <w:jc w:val="center"/>
              <w:rPr>
                <w:rFonts w:cs="Calibri"/>
                <w:i/>
                <w:color w:val="000000"/>
                <w:sz w:val="18"/>
                <w:szCs w:val="18"/>
              </w:rPr>
            </w:pPr>
          </w:p>
        </w:tc>
        <w:tc>
          <w:tcPr>
            <w:tcW w:w="899" w:type="dxa"/>
            <w:vAlign w:val="center"/>
          </w:tcPr>
          <w:p w14:paraId="599CC84E"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8.7</w:t>
            </w:r>
          </w:p>
        </w:tc>
        <w:tc>
          <w:tcPr>
            <w:tcW w:w="1540" w:type="dxa"/>
            <w:shd w:val="clear" w:color="auto" w:fill="auto"/>
            <w:vAlign w:val="center"/>
          </w:tcPr>
          <w:p w14:paraId="6EBD2DFA"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6A99C142"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798017B"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D7D92DE" w14:textId="77777777" w:rsidR="00291431" w:rsidRPr="00C22C26" w:rsidRDefault="00291431" w:rsidP="00370D80">
            <w:pPr>
              <w:jc w:val="center"/>
              <w:rPr>
                <w:rFonts w:cs="Calibri"/>
                <w:bCs/>
                <w:color w:val="000000"/>
                <w:sz w:val="18"/>
                <w:szCs w:val="18"/>
              </w:rPr>
            </w:pPr>
            <w:r w:rsidRPr="00C22C26">
              <w:rPr>
                <w:sz w:val="18"/>
                <w:szCs w:val="18"/>
              </w:rPr>
              <w:t>9</w:t>
            </w:r>
          </w:p>
        </w:tc>
        <w:tc>
          <w:tcPr>
            <w:tcW w:w="974" w:type="dxa"/>
            <w:shd w:val="clear" w:color="auto" w:fill="auto"/>
            <w:vAlign w:val="center"/>
          </w:tcPr>
          <w:p w14:paraId="2578178E"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0B2C7250"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432A24BB" w14:textId="77777777" w:rsidR="00291431" w:rsidRPr="00C22C26" w:rsidRDefault="00291431" w:rsidP="00370D80">
            <w:pPr>
              <w:jc w:val="center"/>
              <w:rPr>
                <w:rFonts w:cs="Calibri"/>
                <w:bCs/>
                <w:color w:val="000000"/>
                <w:sz w:val="18"/>
                <w:szCs w:val="18"/>
              </w:rPr>
            </w:pPr>
          </w:p>
        </w:tc>
      </w:tr>
      <w:tr w:rsidR="00291431" w:rsidRPr="00021563" w14:paraId="43998751" w14:textId="77777777" w:rsidTr="00C22C26">
        <w:tc>
          <w:tcPr>
            <w:tcW w:w="972" w:type="dxa"/>
            <w:vAlign w:val="center"/>
          </w:tcPr>
          <w:p w14:paraId="3BD9865B" w14:textId="77777777" w:rsidR="00291431" w:rsidRPr="00C22C26" w:rsidRDefault="00291431" w:rsidP="00370D80">
            <w:pPr>
              <w:jc w:val="center"/>
              <w:rPr>
                <w:rFonts w:cs="Calibri"/>
                <w:i/>
                <w:color w:val="000000"/>
                <w:sz w:val="18"/>
                <w:szCs w:val="18"/>
              </w:rPr>
            </w:pPr>
          </w:p>
        </w:tc>
        <w:tc>
          <w:tcPr>
            <w:tcW w:w="899" w:type="dxa"/>
            <w:vAlign w:val="center"/>
          </w:tcPr>
          <w:p w14:paraId="23042BE0"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8.8</w:t>
            </w:r>
          </w:p>
        </w:tc>
        <w:tc>
          <w:tcPr>
            <w:tcW w:w="1540" w:type="dxa"/>
            <w:shd w:val="clear" w:color="auto" w:fill="auto"/>
            <w:vAlign w:val="center"/>
          </w:tcPr>
          <w:p w14:paraId="7213E98B"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00F36A0B"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1537D4E2"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19EE8E03" w14:textId="77777777" w:rsidR="00291431" w:rsidRPr="00C22C26" w:rsidRDefault="00291431" w:rsidP="00370D80">
            <w:pPr>
              <w:jc w:val="center"/>
              <w:rPr>
                <w:rFonts w:cs="Calibri"/>
                <w:bCs/>
                <w:color w:val="000000"/>
                <w:sz w:val="18"/>
                <w:szCs w:val="18"/>
              </w:rPr>
            </w:pPr>
            <w:r w:rsidRPr="00C22C26">
              <w:rPr>
                <w:sz w:val="18"/>
                <w:szCs w:val="18"/>
              </w:rPr>
              <w:t>8</w:t>
            </w:r>
          </w:p>
        </w:tc>
        <w:tc>
          <w:tcPr>
            <w:tcW w:w="974" w:type="dxa"/>
            <w:shd w:val="clear" w:color="auto" w:fill="auto"/>
            <w:vAlign w:val="center"/>
          </w:tcPr>
          <w:p w14:paraId="6FCAD900"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53F3B744"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47CAA144" w14:textId="77777777" w:rsidR="00291431" w:rsidRPr="00C22C26" w:rsidRDefault="00291431" w:rsidP="00370D80">
            <w:pPr>
              <w:jc w:val="center"/>
              <w:rPr>
                <w:rFonts w:cs="Calibri"/>
                <w:bCs/>
                <w:color w:val="000000"/>
                <w:sz w:val="18"/>
                <w:szCs w:val="18"/>
              </w:rPr>
            </w:pPr>
          </w:p>
        </w:tc>
      </w:tr>
      <w:tr w:rsidR="00291431" w:rsidRPr="00021563" w14:paraId="4A57E26B" w14:textId="77777777" w:rsidTr="00C22C26">
        <w:tc>
          <w:tcPr>
            <w:tcW w:w="972" w:type="dxa"/>
            <w:vAlign w:val="center"/>
          </w:tcPr>
          <w:p w14:paraId="73E9118E" w14:textId="77777777" w:rsidR="00291431" w:rsidRPr="00C22C26" w:rsidRDefault="00291431" w:rsidP="00370D80">
            <w:pPr>
              <w:jc w:val="center"/>
              <w:rPr>
                <w:rFonts w:cs="Calibri"/>
                <w:i/>
                <w:color w:val="000000"/>
                <w:sz w:val="18"/>
                <w:szCs w:val="18"/>
              </w:rPr>
            </w:pPr>
          </w:p>
        </w:tc>
        <w:tc>
          <w:tcPr>
            <w:tcW w:w="899" w:type="dxa"/>
            <w:vAlign w:val="center"/>
          </w:tcPr>
          <w:p w14:paraId="4F535A57" w14:textId="77777777" w:rsidR="00291431" w:rsidRPr="00C22C26" w:rsidRDefault="00291431" w:rsidP="00370D80">
            <w:pPr>
              <w:jc w:val="center"/>
              <w:rPr>
                <w:rFonts w:cs="Calibri"/>
                <w:bCs/>
                <w:color w:val="000000"/>
                <w:sz w:val="18"/>
                <w:szCs w:val="18"/>
              </w:rPr>
            </w:pPr>
            <w:r w:rsidRPr="00C22C26">
              <w:rPr>
                <w:rFonts w:cs="Calibri"/>
                <w:bCs/>
                <w:color w:val="000000"/>
                <w:sz w:val="18"/>
                <w:szCs w:val="18"/>
              </w:rPr>
              <w:t>8.9</w:t>
            </w:r>
          </w:p>
        </w:tc>
        <w:tc>
          <w:tcPr>
            <w:tcW w:w="1540" w:type="dxa"/>
            <w:shd w:val="clear" w:color="auto" w:fill="auto"/>
            <w:vAlign w:val="center"/>
          </w:tcPr>
          <w:p w14:paraId="4BBD88DB" w14:textId="77777777" w:rsidR="00291431" w:rsidRPr="00C22C26" w:rsidRDefault="00291431" w:rsidP="00C22C26">
            <w:pPr>
              <w:rPr>
                <w:rFonts w:cs="Calibri"/>
                <w:bCs/>
                <w:color w:val="000000"/>
                <w:sz w:val="18"/>
                <w:szCs w:val="18"/>
              </w:rPr>
            </w:pPr>
          </w:p>
        </w:tc>
        <w:tc>
          <w:tcPr>
            <w:tcW w:w="929" w:type="dxa"/>
            <w:shd w:val="clear" w:color="auto" w:fill="auto"/>
            <w:vAlign w:val="center"/>
          </w:tcPr>
          <w:p w14:paraId="41381DD0" w14:textId="77777777" w:rsidR="00291431" w:rsidRPr="00C22C26" w:rsidRDefault="00291431" w:rsidP="00370D80">
            <w:pPr>
              <w:jc w:val="center"/>
              <w:rPr>
                <w:rFonts w:cs="Calibri"/>
                <w:bCs/>
                <w:color w:val="000000"/>
                <w:sz w:val="18"/>
                <w:szCs w:val="18"/>
              </w:rPr>
            </w:pPr>
            <w:r w:rsidRPr="00C22C26">
              <w:rPr>
                <w:rFonts w:cs="Calibri"/>
                <w:sz w:val="18"/>
                <w:szCs w:val="18"/>
              </w:rPr>
              <w:t>n/d</w:t>
            </w:r>
          </w:p>
        </w:tc>
        <w:tc>
          <w:tcPr>
            <w:tcW w:w="826" w:type="dxa"/>
            <w:vAlign w:val="center"/>
          </w:tcPr>
          <w:p w14:paraId="20DC8FC1"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488394C3" w14:textId="77777777" w:rsidR="00291431" w:rsidRPr="00C22C26" w:rsidRDefault="00291431" w:rsidP="00370D80">
            <w:pPr>
              <w:jc w:val="center"/>
              <w:rPr>
                <w:rFonts w:cs="Calibri"/>
                <w:bCs/>
                <w:color w:val="000000"/>
                <w:sz w:val="18"/>
                <w:szCs w:val="18"/>
              </w:rPr>
            </w:pPr>
            <w:r w:rsidRPr="00C22C26">
              <w:rPr>
                <w:sz w:val="18"/>
                <w:szCs w:val="18"/>
              </w:rPr>
              <w:t>29</w:t>
            </w:r>
          </w:p>
        </w:tc>
        <w:tc>
          <w:tcPr>
            <w:tcW w:w="974" w:type="dxa"/>
            <w:shd w:val="clear" w:color="auto" w:fill="auto"/>
            <w:vAlign w:val="center"/>
          </w:tcPr>
          <w:p w14:paraId="7AEED8C6" w14:textId="77777777" w:rsidR="00291431" w:rsidRPr="00C22C26" w:rsidRDefault="00291431" w:rsidP="00370D80">
            <w:pPr>
              <w:jc w:val="center"/>
              <w:rPr>
                <w:rFonts w:cs="Calibri"/>
                <w:bCs/>
                <w:color w:val="000000"/>
                <w:sz w:val="18"/>
                <w:szCs w:val="18"/>
              </w:rPr>
            </w:pPr>
          </w:p>
        </w:tc>
        <w:tc>
          <w:tcPr>
            <w:tcW w:w="974" w:type="dxa"/>
            <w:shd w:val="clear" w:color="auto" w:fill="auto"/>
            <w:vAlign w:val="center"/>
          </w:tcPr>
          <w:p w14:paraId="37FF1F43" w14:textId="77777777" w:rsidR="00291431" w:rsidRPr="00C22C26" w:rsidRDefault="00291431" w:rsidP="00370D80">
            <w:pPr>
              <w:jc w:val="center"/>
              <w:rPr>
                <w:rFonts w:cs="Calibri"/>
                <w:bCs/>
                <w:color w:val="000000"/>
                <w:sz w:val="18"/>
                <w:szCs w:val="18"/>
              </w:rPr>
            </w:pPr>
            <w:r w:rsidRPr="00C22C26">
              <w:rPr>
                <w:sz w:val="18"/>
                <w:szCs w:val="18"/>
              </w:rPr>
              <w:t>0</w:t>
            </w:r>
          </w:p>
        </w:tc>
        <w:tc>
          <w:tcPr>
            <w:tcW w:w="974" w:type="dxa"/>
            <w:shd w:val="clear" w:color="auto" w:fill="auto"/>
            <w:vAlign w:val="center"/>
          </w:tcPr>
          <w:p w14:paraId="515F2694" w14:textId="77777777" w:rsidR="00291431" w:rsidRPr="00C22C26" w:rsidRDefault="00291431" w:rsidP="00370D80">
            <w:pPr>
              <w:jc w:val="center"/>
              <w:rPr>
                <w:rFonts w:cs="Calibri"/>
                <w:bCs/>
                <w:color w:val="000000"/>
                <w:sz w:val="18"/>
                <w:szCs w:val="18"/>
              </w:rPr>
            </w:pPr>
          </w:p>
        </w:tc>
      </w:tr>
    </w:tbl>
    <w:p w14:paraId="2895F6DE" w14:textId="2E303DBC" w:rsidR="00291431" w:rsidRPr="00D21299" w:rsidRDefault="00291431" w:rsidP="0028542B">
      <w:pPr>
        <w:spacing w:before="0"/>
        <w:rPr>
          <w:rFonts w:cs="Calibri"/>
          <w:i/>
          <w:sz w:val="18"/>
          <w:szCs w:val="18"/>
        </w:rPr>
      </w:pPr>
      <w:r w:rsidRPr="00D21299">
        <w:rPr>
          <w:rFonts w:cs="Calibri"/>
          <w:i/>
          <w:sz w:val="18"/>
          <w:szCs w:val="18"/>
        </w:rPr>
        <w:t>Źródło: obliczenia własne na podstawie danych S</w:t>
      </w:r>
      <w:r w:rsidR="0049276B">
        <w:rPr>
          <w:rFonts w:cs="Calibri"/>
          <w:i/>
          <w:sz w:val="18"/>
          <w:szCs w:val="18"/>
        </w:rPr>
        <w:t>L 2014 (stan na dzień 07.01.2019).</w:t>
      </w:r>
    </w:p>
    <w:p w14:paraId="1C2C6DE1" w14:textId="77777777" w:rsidR="00145C9E" w:rsidRPr="00145C9E" w:rsidRDefault="00145C9E" w:rsidP="00145C9E">
      <w:pPr>
        <w:pStyle w:val="Nagwek4"/>
        <w:numPr>
          <w:ilvl w:val="0"/>
          <w:numId w:val="0"/>
        </w:numPr>
        <w:rPr>
          <w:rFonts w:ascii="Lato" w:eastAsia="Calibri" w:hAnsi="Lato"/>
          <w:szCs w:val="20"/>
        </w:rPr>
      </w:pPr>
      <w:r>
        <w:rPr>
          <w:rFonts w:ascii="Lato" w:eastAsia="Calibri" w:hAnsi="Lato"/>
          <w:szCs w:val="20"/>
        </w:rPr>
        <w:t>Oś priorytetowa IX</w:t>
      </w:r>
    </w:p>
    <w:p w14:paraId="6F80124C" w14:textId="77777777" w:rsidR="00DD2068" w:rsidRPr="00404DA5" w:rsidRDefault="00DD2068" w:rsidP="00DD2068">
      <w:pPr>
        <w:rPr>
          <w:rFonts w:cs="Calibri"/>
          <w:szCs w:val="20"/>
        </w:rPr>
      </w:pPr>
      <w:r w:rsidRPr="00404DA5">
        <w:rPr>
          <w:rFonts w:cs="Calibri"/>
          <w:szCs w:val="20"/>
        </w:rPr>
        <w:t>W OP IX Infrastruktura publiczna Polityka Terytorialna znajduje swoje odzwierciedlenie</w:t>
      </w:r>
      <w:r w:rsidR="00E66B89">
        <w:rPr>
          <w:rFonts w:cs="Calibri"/>
          <w:szCs w:val="20"/>
        </w:rPr>
        <w:t xml:space="preserve"> w </w:t>
      </w:r>
      <w:r w:rsidRPr="00404DA5">
        <w:rPr>
          <w:rFonts w:cs="Calibri"/>
          <w:szCs w:val="20"/>
        </w:rPr>
        <w:t>dedykowaniu Działań projektom realizowanym</w:t>
      </w:r>
      <w:r w:rsidR="00E66B89">
        <w:rPr>
          <w:rFonts w:cs="Calibri"/>
          <w:szCs w:val="20"/>
        </w:rPr>
        <w:t xml:space="preserve"> w </w:t>
      </w:r>
      <w:r w:rsidRPr="00404DA5">
        <w:rPr>
          <w:rFonts w:cs="Calibri"/>
          <w:szCs w:val="20"/>
        </w:rPr>
        <w:t>ramach Kontraktów Samorządowych.</w:t>
      </w:r>
      <w:r w:rsidR="00E66B89">
        <w:rPr>
          <w:rFonts w:cs="Calibri"/>
          <w:szCs w:val="20"/>
        </w:rPr>
        <w:t xml:space="preserve"> W </w:t>
      </w:r>
      <w:r w:rsidRPr="00404DA5">
        <w:rPr>
          <w:rFonts w:cs="Calibri"/>
          <w:szCs w:val="20"/>
        </w:rPr>
        <w:t>ramach PI 10a przyporządkowano Kontraktom Samorządowym alokację na wsparcie infrastruktury szkolnictwa zawodowego</w:t>
      </w:r>
      <w:r>
        <w:rPr>
          <w:rFonts w:cs="Calibri"/>
          <w:szCs w:val="20"/>
        </w:rPr>
        <w:t>, kształcenia ogólnego</w:t>
      </w:r>
      <w:r w:rsidRPr="00404DA5">
        <w:rPr>
          <w:rFonts w:cs="Calibri"/>
          <w:szCs w:val="20"/>
        </w:rPr>
        <w:t xml:space="preserve"> oraz utworzenie subregionalnych instytucji popularyzujących naukę</w:t>
      </w:r>
      <w:r w:rsidR="00E66B89">
        <w:rPr>
          <w:rFonts w:cs="Calibri"/>
          <w:szCs w:val="20"/>
        </w:rPr>
        <w:t xml:space="preserve"> i </w:t>
      </w:r>
      <w:r w:rsidRPr="00404DA5">
        <w:rPr>
          <w:rFonts w:cs="Calibri"/>
          <w:szCs w:val="20"/>
        </w:rPr>
        <w:t>innowacje. Projekty realizowane</w:t>
      </w:r>
      <w:r w:rsidR="00E66B89">
        <w:rPr>
          <w:rFonts w:cs="Calibri"/>
          <w:szCs w:val="20"/>
        </w:rPr>
        <w:t xml:space="preserve"> w </w:t>
      </w:r>
      <w:r w:rsidRPr="00404DA5">
        <w:rPr>
          <w:rFonts w:cs="Calibri"/>
          <w:szCs w:val="20"/>
        </w:rPr>
        <w:t>podejściu terytorialnym charakteryzują się wyższą skutecznością kontraktacyjną</w:t>
      </w:r>
      <w:r w:rsidR="00E66B89">
        <w:rPr>
          <w:rFonts w:cs="Calibri"/>
          <w:szCs w:val="20"/>
        </w:rPr>
        <w:t xml:space="preserve"> w </w:t>
      </w:r>
      <w:r w:rsidRPr="00404DA5">
        <w:rPr>
          <w:rFonts w:cs="Calibri"/>
          <w:szCs w:val="20"/>
        </w:rPr>
        <w:t>obszarze wsparcia szkolnictwa zawodowego niż Działanie realizowane poza Polityką Terytorialną</w:t>
      </w:r>
      <w:r>
        <w:rPr>
          <w:rFonts w:cs="Calibri"/>
          <w:szCs w:val="20"/>
        </w:rPr>
        <w:t xml:space="preserve">, głównie ze względu na ich uruchomienie przed pozostałymi naborami. </w:t>
      </w:r>
    </w:p>
    <w:p w14:paraId="1F4AEB57" w14:textId="77777777" w:rsidR="00DD2068" w:rsidRPr="000A135E" w:rsidRDefault="00DD2068" w:rsidP="00024F00">
      <w:pPr>
        <w:pStyle w:val="Legenda"/>
        <w:spacing w:after="0"/>
      </w:pPr>
      <w:bookmarkStart w:id="383" w:name="_Toc8824283"/>
      <w:r w:rsidRPr="000A135E">
        <w:lastRenderedPageBreak/>
        <w:t xml:space="preserve">Tabela </w:t>
      </w:r>
      <w:r>
        <w:fldChar w:fldCharType="begin"/>
      </w:r>
      <w:r>
        <w:instrText xml:space="preserve"> SEQ Tabela \* ARABIC </w:instrText>
      </w:r>
      <w:r>
        <w:fldChar w:fldCharType="separate"/>
      </w:r>
      <w:r w:rsidR="00763345">
        <w:rPr>
          <w:noProof/>
        </w:rPr>
        <w:t>172</w:t>
      </w:r>
      <w:r>
        <w:fldChar w:fldCharType="end"/>
      </w:r>
      <w:r w:rsidRPr="000A135E">
        <w:t xml:space="preserve"> </w:t>
      </w:r>
      <w:r>
        <w:t>Postęp finansowy Działań realizujących instrumenty terytorialne oraz analogicznego Działania wdrażanego</w:t>
      </w:r>
      <w:r w:rsidR="00E66B89">
        <w:t xml:space="preserve"> w </w:t>
      </w:r>
      <w:r>
        <w:t>całym regionie -</w:t>
      </w:r>
      <w:r w:rsidRPr="000A135E">
        <w:t xml:space="preserve"> PI 10a</w:t>
      </w:r>
      <w:bookmarkEnd w:id="3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192"/>
        <w:gridCol w:w="1378"/>
        <w:gridCol w:w="1394"/>
        <w:gridCol w:w="1070"/>
        <w:gridCol w:w="1494"/>
      </w:tblGrid>
      <w:tr w:rsidR="00DD2068" w:rsidRPr="000A135E" w14:paraId="406C8053" w14:textId="77777777" w:rsidTr="005F04FC">
        <w:trPr>
          <w:tblHeader/>
        </w:trPr>
        <w:tc>
          <w:tcPr>
            <w:tcW w:w="0" w:type="auto"/>
            <w:shd w:val="clear" w:color="auto" w:fill="DBE5F1"/>
          </w:tcPr>
          <w:p w14:paraId="18333AA8" w14:textId="77777777" w:rsidR="00DD2068" w:rsidRPr="008B706B" w:rsidRDefault="00DD2068" w:rsidP="007A5088">
            <w:pPr>
              <w:rPr>
                <w:rFonts w:cs="Calibri"/>
                <w:sz w:val="18"/>
                <w:szCs w:val="18"/>
              </w:rPr>
            </w:pPr>
          </w:p>
        </w:tc>
        <w:tc>
          <w:tcPr>
            <w:tcW w:w="0" w:type="auto"/>
            <w:shd w:val="clear" w:color="auto" w:fill="DBE5F1"/>
          </w:tcPr>
          <w:p w14:paraId="005DEE8A" w14:textId="77777777" w:rsidR="00DD2068" w:rsidRPr="008B706B" w:rsidRDefault="00DD2068" w:rsidP="007A5088">
            <w:pPr>
              <w:rPr>
                <w:rFonts w:cs="Calibri"/>
                <w:sz w:val="18"/>
                <w:szCs w:val="18"/>
              </w:rPr>
            </w:pPr>
            <w:r w:rsidRPr="008B706B">
              <w:rPr>
                <w:rFonts w:cs="Calibri"/>
                <w:sz w:val="18"/>
                <w:szCs w:val="18"/>
              </w:rPr>
              <w:t>Alokacja na Działanie</w:t>
            </w:r>
            <w:r w:rsidR="00E60726">
              <w:rPr>
                <w:rStyle w:val="Odwoanieprzypisudolnego"/>
                <w:rFonts w:cs="Calibri"/>
                <w:sz w:val="18"/>
                <w:szCs w:val="18"/>
              </w:rPr>
              <w:footnoteReference w:id="160"/>
            </w:r>
            <w:r w:rsidRPr="008B706B">
              <w:rPr>
                <w:rFonts w:cs="Calibri"/>
                <w:sz w:val="18"/>
                <w:szCs w:val="18"/>
              </w:rPr>
              <w:t xml:space="preserve"> </w:t>
            </w:r>
          </w:p>
        </w:tc>
        <w:tc>
          <w:tcPr>
            <w:tcW w:w="0" w:type="auto"/>
            <w:shd w:val="clear" w:color="auto" w:fill="DBE5F1"/>
          </w:tcPr>
          <w:p w14:paraId="2E94DDC1" w14:textId="77777777" w:rsidR="00DD2068" w:rsidRPr="008B706B" w:rsidRDefault="00DD2068" w:rsidP="007A5088">
            <w:pPr>
              <w:rPr>
                <w:rFonts w:cs="Calibri"/>
                <w:sz w:val="18"/>
                <w:szCs w:val="18"/>
              </w:rPr>
            </w:pPr>
            <w:r w:rsidRPr="008B706B">
              <w:rPr>
                <w:rFonts w:cs="Calibri"/>
                <w:sz w:val="18"/>
                <w:szCs w:val="18"/>
              </w:rPr>
              <w:t>Poziom kontraktacji</w:t>
            </w:r>
            <w:r w:rsidR="00E60726">
              <w:rPr>
                <w:rStyle w:val="Odwoanieprzypisudolnego"/>
                <w:rFonts w:cs="Calibri"/>
                <w:sz w:val="18"/>
                <w:szCs w:val="18"/>
              </w:rPr>
              <w:footnoteReference w:id="161"/>
            </w:r>
            <w:r w:rsidRPr="008B706B">
              <w:rPr>
                <w:rFonts w:cs="Calibri"/>
                <w:sz w:val="18"/>
                <w:szCs w:val="18"/>
              </w:rPr>
              <w:t xml:space="preserve"> </w:t>
            </w:r>
          </w:p>
        </w:tc>
        <w:tc>
          <w:tcPr>
            <w:tcW w:w="0" w:type="auto"/>
            <w:shd w:val="clear" w:color="auto" w:fill="DBE5F1"/>
          </w:tcPr>
          <w:p w14:paraId="200C02BE" w14:textId="77777777" w:rsidR="00DD2068" w:rsidRPr="008B706B" w:rsidRDefault="00DD2068" w:rsidP="007A5088">
            <w:pPr>
              <w:rPr>
                <w:rFonts w:cs="Calibri"/>
                <w:sz w:val="18"/>
                <w:szCs w:val="18"/>
              </w:rPr>
            </w:pPr>
            <w:r w:rsidRPr="008B706B">
              <w:rPr>
                <w:rFonts w:cs="Calibri"/>
                <w:sz w:val="18"/>
                <w:szCs w:val="18"/>
              </w:rPr>
              <w:t>Liczba realizowanych projektów</w:t>
            </w:r>
          </w:p>
        </w:tc>
        <w:tc>
          <w:tcPr>
            <w:tcW w:w="0" w:type="auto"/>
            <w:shd w:val="clear" w:color="auto" w:fill="DBE5F1"/>
          </w:tcPr>
          <w:p w14:paraId="07D1FBC8" w14:textId="77777777" w:rsidR="00DD2068" w:rsidRPr="008B706B" w:rsidRDefault="00DD2068" w:rsidP="007A5088">
            <w:pPr>
              <w:rPr>
                <w:rFonts w:cs="Calibri"/>
                <w:sz w:val="18"/>
                <w:szCs w:val="18"/>
              </w:rPr>
            </w:pPr>
            <w:r w:rsidRPr="008B706B">
              <w:rPr>
                <w:rFonts w:cs="Calibri"/>
                <w:sz w:val="18"/>
                <w:szCs w:val="18"/>
              </w:rPr>
              <w:t>Wartość projektów ogółem</w:t>
            </w:r>
          </w:p>
        </w:tc>
        <w:tc>
          <w:tcPr>
            <w:tcW w:w="0" w:type="auto"/>
            <w:shd w:val="clear" w:color="auto" w:fill="DBE5F1"/>
          </w:tcPr>
          <w:p w14:paraId="1DB4E972" w14:textId="77777777" w:rsidR="00DD2068" w:rsidRPr="008B706B" w:rsidRDefault="00DD2068" w:rsidP="007A5088">
            <w:pPr>
              <w:rPr>
                <w:rFonts w:cs="Calibri"/>
                <w:sz w:val="18"/>
                <w:szCs w:val="18"/>
              </w:rPr>
            </w:pPr>
            <w:r w:rsidRPr="008B706B">
              <w:rPr>
                <w:rFonts w:cs="Calibri"/>
                <w:sz w:val="18"/>
                <w:szCs w:val="18"/>
              </w:rPr>
              <w:t>Wartość dofinansowania UE</w:t>
            </w:r>
          </w:p>
        </w:tc>
      </w:tr>
      <w:tr w:rsidR="00DD2068" w:rsidRPr="000A135E" w14:paraId="2FCEB832" w14:textId="77777777" w:rsidTr="007A5088">
        <w:tc>
          <w:tcPr>
            <w:tcW w:w="0" w:type="auto"/>
            <w:shd w:val="clear" w:color="auto" w:fill="auto"/>
          </w:tcPr>
          <w:p w14:paraId="1D83B5B0" w14:textId="77777777" w:rsidR="00DD2068" w:rsidRPr="00404DA5" w:rsidRDefault="00DD2068" w:rsidP="007A5088">
            <w:pPr>
              <w:rPr>
                <w:rFonts w:cs="Calibri"/>
                <w:sz w:val="18"/>
                <w:szCs w:val="18"/>
              </w:rPr>
            </w:pPr>
            <w:r w:rsidRPr="00404DA5">
              <w:rPr>
                <w:rFonts w:cs="Calibri"/>
                <w:sz w:val="18"/>
                <w:szCs w:val="18"/>
              </w:rPr>
              <w:t>Działanie 9.4 Inwestycje</w:t>
            </w:r>
            <w:r w:rsidR="00E66B89">
              <w:rPr>
                <w:rFonts w:cs="Calibri"/>
                <w:sz w:val="18"/>
                <w:szCs w:val="18"/>
              </w:rPr>
              <w:t xml:space="preserve"> w </w:t>
            </w:r>
            <w:r w:rsidRPr="00404DA5">
              <w:rPr>
                <w:rFonts w:cs="Calibri"/>
                <w:sz w:val="18"/>
                <w:szCs w:val="18"/>
              </w:rPr>
              <w:t>infrastrukturę podmiotów prowadzących kształcenie ogólne na poziomie podstawowym, gimnazjalnym</w:t>
            </w:r>
            <w:r w:rsidR="00E66B89">
              <w:rPr>
                <w:rFonts w:cs="Calibri"/>
                <w:sz w:val="18"/>
                <w:szCs w:val="18"/>
              </w:rPr>
              <w:t xml:space="preserve"> i </w:t>
            </w:r>
            <w:r w:rsidRPr="00404DA5">
              <w:rPr>
                <w:rFonts w:cs="Calibri"/>
                <w:sz w:val="18"/>
                <w:szCs w:val="18"/>
              </w:rPr>
              <w:t>ponadgimnazjalnym</w:t>
            </w:r>
            <w:r w:rsidR="00436235">
              <w:rPr>
                <w:rStyle w:val="Odwoanieprzypisudolnego"/>
                <w:rFonts w:cs="Calibri"/>
                <w:sz w:val="18"/>
                <w:szCs w:val="18"/>
              </w:rPr>
              <w:footnoteReference w:id="162"/>
            </w:r>
            <w:r w:rsidRPr="00404DA5">
              <w:rPr>
                <w:rFonts w:cs="Calibri"/>
                <w:sz w:val="18"/>
                <w:szCs w:val="18"/>
              </w:rPr>
              <w:t xml:space="preserve"> </w:t>
            </w:r>
          </w:p>
        </w:tc>
        <w:tc>
          <w:tcPr>
            <w:tcW w:w="0" w:type="auto"/>
            <w:shd w:val="clear" w:color="auto" w:fill="auto"/>
            <w:vAlign w:val="center"/>
          </w:tcPr>
          <w:p w14:paraId="60DDE9FE" w14:textId="77777777" w:rsidR="00DD2068" w:rsidRPr="00404DA5" w:rsidRDefault="00DD2068" w:rsidP="00C22C26">
            <w:pPr>
              <w:jc w:val="center"/>
              <w:rPr>
                <w:rFonts w:cs="Calibri"/>
                <w:sz w:val="18"/>
                <w:szCs w:val="18"/>
              </w:rPr>
            </w:pPr>
            <w:r w:rsidRPr="00404DA5">
              <w:rPr>
                <w:rFonts w:cs="Calibri"/>
                <w:sz w:val="18"/>
                <w:szCs w:val="18"/>
              </w:rPr>
              <w:t>-</w:t>
            </w:r>
          </w:p>
        </w:tc>
        <w:tc>
          <w:tcPr>
            <w:tcW w:w="0" w:type="auto"/>
            <w:shd w:val="clear" w:color="auto" w:fill="auto"/>
            <w:vAlign w:val="center"/>
          </w:tcPr>
          <w:p w14:paraId="3C6692EF" w14:textId="77777777" w:rsidR="00DD2068" w:rsidRPr="00404DA5" w:rsidRDefault="00DD2068" w:rsidP="00C22C26">
            <w:pPr>
              <w:jc w:val="center"/>
              <w:rPr>
                <w:rFonts w:cs="Calibri"/>
                <w:sz w:val="18"/>
                <w:szCs w:val="18"/>
              </w:rPr>
            </w:pPr>
            <w:r w:rsidRPr="00404DA5">
              <w:rPr>
                <w:rFonts w:cs="Calibri"/>
                <w:sz w:val="18"/>
                <w:szCs w:val="18"/>
              </w:rPr>
              <w:t>-</w:t>
            </w:r>
          </w:p>
        </w:tc>
        <w:tc>
          <w:tcPr>
            <w:tcW w:w="0" w:type="auto"/>
            <w:shd w:val="clear" w:color="auto" w:fill="auto"/>
            <w:vAlign w:val="center"/>
          </w:tcPr>
          <w:p w14:paraId="461FB69D" w14:textId="77777777" w:rsidR="00DD2068" w:rsidRPr="00404DA5" w:rsidRDefault="00DD2068" w:rsidP="00C22C26">
            <w:pPr>
              <w:jc w:val="center"/>
              <w:rPr>
                <w:rFonts w:cs="Calibri"/>
                <w:sz w:val="18"/>
                <w:szCs w:val="18"/>
              </w:rPr>
            </w:pPr>
            <w:r w:rsidRPr="00404DA5">
              <w:rPr>
                <w:rFonts w:cs="Calibri"/>
                <w:sz w:val="18"/>
                <w:szCs w:val="18"/>
              </w:rPr>
              <w:t>-</w:t>
            </w:r>
          </w:p>
        </w:tc>
        <w:tc>
          <w:tcPr>
            <w:tcW w:w="0" w:type="auto"/>
            <w:shd w:val="clear" w:color="auto" w:fill="auto"/>
            <w:vAlign w:val="center"/>
          </w:tcPr>
          <w:p w14:paraId="49AD6C11" w14:textId="77777777" w:rsidR="00DD2068" w:rsidRPr="00404DA5" w:rsidRDefault="00DD2068" w:rsidP="00C22C26">
            <w:pPr>
              <w:jc w:val="center"/>
              <w:rPr>
                <w:rFonts w:cs="Calibri"/>
                <w:sz w:val="18"/>
                <w:szCs w:val="18"/>
              </w:rPr>
            </w:pPr>
            <w:r w:rsidRPr="00404DA5">
              <w:rPr>
                <w:rFonts w:cs="Calibri"/>
                <w:sz w:val="18"/>
                <w:szCs w:val="18"/>
              </w:rPr>
              <w:t>-</w:t>
            </w:r>
          </w:p>
        </w:tc>
        <w:tc>
          <w:tcPr>
            <w:tcW w:w="0" w:type="auto"/>
            <w:shd w:val="clear" w:color="auto" w:fill="auto"/>
            <w:vAlign w:val="center"/>
          </w:tcPr>
          <w:p w14:paraId="1D17A983" w14:textId="77777777" w:rsidR="00DD2068" w:rsidRPr="00404DA5" w:rsidRDefault="00DD2068" w:rsidP="00C22C26">
            <w:pPr>
              <w:jc w:val="center"/>
              <w:rPr>
                <w:rFonts w:cs="Calibri"/>
                <w:sz w:val="18"/>
                <w:szCs w:val="18"/>
              </w:rPr>
            </w:pPr>
            <w:r w:rsidRPr="00404DA5">
              <w:rPr>
                <w:rFonts w:cs="Calibri"/>
                <w:sz w:val="18"/>
                <w:szCs w:val="18"/>
              </w:rPr>
              <w:t>-</w:t>
            </w:r>
          </w:p>
        </w:tc>
      </w:tr>
      <w:tr w:rsidR="00DD2068" w:rsidRPr="000A135E" w14:paraId="7E48CCB8" w14:textId="77777777" w:rsidTr="007A5088">
        <w:tc>
          <w:tcPr>
            <w:tcW w:w="0" w:type="auto"/>
            <w:shd w:val="clear" w:color="auto" w:fill="auto"/>
          </w:tcPr>
          <w:p w14:paraId="287D1315" w14:textId="77777777" w:rsidR="00DD2068" w:rsidRPr="00404DA5" w:rsidRDefault="00DD2068" w:rsidP="007A5088">
            <w:pPr>
              <w:rPr>
                <w:rFonts w:cs="Calibri"/>
                <w:sz w:val="18"/>
                <w:szCs w:val="18"/>
              </w:rPr>
            </w:pPr>
            <w:r w:rsidRPr="00404DA5">
              <w:rPr>
                <w:rFonts w:cs="Calibri"/>
                <w:sz w:val="18"/>
                <w:szCs w:val="18"/>
              </w:rPr>
              <w:t>Działanie 9.5 Inwestycje</w:t>
            </w:r>
            <w:r w:rsidR="00E66B89">
              <w:rPr>
                <w:rFonts w:cs="Calibri"/>
                <w:sz w:val="18"/>
                <w:szCs w:val="18"/>
              </w:rPr>
              <w:t xml:space="preserve"> w </w:t>
            </w:r>
            <w:r w:rsidRPr="00404DA5">
              <w:rPr>
                <w:rFonts w:cs="Calibri"/>
                <w:sz w:val="18"/>
                <w:szCs w:val="18"/>
              </w:rPr>
              <w:t>infrastrukturę podmiotów prowadzących kształcenie ogólne na poziomie podstawowym, gimnazjalnym</w:t>
            </w:r>
            <w:r w:rsidR="00E66B89">
              <w:rPr>
                <w:rFonts w:cs="Calibri"/>
                <w:sz w:val="18"/>
                <w:szCs w:val="18"/>
              </w:rPr>
              <w:t xml:space="preserve"> i </w:t>
            </w:r>
            <w:r w:rsidRPr="00404DA5">
              <w:rPr>
                <w:rFonts w:cs="Calibri"/>
                <w:sz w:val="18"/>
                <w:szCs w:val="18"/>
              </w:rPr>
              <w:t>ponadgimnazjalnym</w:t>
            </w:r>
            <w:r w:rsidR="00E66B89">
              <w:rPr>
                <w:rFonts w:cs="Calibri"/>
                <w:sz w:val="18"/>
                <w:szCs w:val="18"/>
              </w:rPr>
              <w:t xml:space="preserve"> w </w:t>
            </w:r>
            <w:r w:rsidRPr="00404DA5">
              <w:rPr>
                <w:rFonts w:cs="Calibri"/>
                <w:sz w:val="18"/>
                <w:szCs w:val="18"/>
              </w:rPr>
              <w:t xml:space="preserve">ramach Kontraktów Samorządowych </w:t>
            </w:r>
          </w:p>
        </w:tc>
        <w:tc>
          <w:tcPr>
            <w:tcW w:w="0" w:type="auto"/>
            <w:shd w:val="clear" w:color="auto" w:fill="auto"/>
            <w:vAlign w:val="center"/>
          </w:tcPr>
          <w:p w14:paraId="6151D9F4" w14:textId="77777777" w:rsidR="00DD2068" w:rsidRPr="00404DA5" w:rsidRDefault="00DD2068" w:rsidP="00C22C26">
            <w:pPr>
              <w:jc w:val="center"/>
              <w:rPr>
                <w:rFonts w:cs="Calibri"/>
                <w:color w:val="000000"/>
                <w:sz w:val="18"/>
                <w:szCs w:val="18"/>
              </w:rPr>
            </w:pPr>
            <w:r w:rsidRPr="00404DA5">
              <w:rPr>
                <w:rFonts w:cs="Calibri"/>
                <w:color w:val="000000"/>
                <w:sz w:val="18"/>
                <w:szCs w:val="18"/>
              </w:rPr>
              <w:t>4 302 800,00</w:t>
            </w:r>
          </w:p>
        </w:tc>
        <w:tc>
          <w:tcPr>
            <w:tcW w:w="0" w:type="auto"/>
            <w:shd w:val="clear" w:color="auto" w:fill="auto"/>
            <w:vAlign w:val="center"/>
          </w:tcPr>
          <w:p w14:paraId="1C2350DE" w14:textId="77777777" w:rsidR="00DD2068" w:rsidRPr="00404DA5" w:rsidRDefault="00DD2068" w:rsidP="00C22C26">
            <w:pPr>
              <w:jc w:val="center"/>
              <w:rPr>
                <w:rFonts w:cs="Calibri"/>
                <w:color w:val="000000"/>
                <w:sz w:val="18"/>
                <w:szCs w:val="18"/>
              </w:rPr>
            </w:pPr>
            <w:r w:rsidRPr="00404DA5">
              <w:rPr>
                <w:rFonts w:cs="Calibri"/>
                <w:color w:val="000000"/>
                <w:sz w:val="18"/>
                <w:szCs w:val="18"/>
              </w:rPr>
              <w:t>33,5%</w:t>
            </w:r>
          </w:p>
        </w:tc>
        <w:tc>
          <w:tcPr>
            <w:tcW w:w="0" w:type="auto"/>
            <w:shd w:val="clear" w:color="auto" w:fill="auto"/>
            <w:vAlign w:val="center"/>
          </w:tcPr>
          <w:p w14:paraId="11E2055B" w14:textId="77777777" w:rsidR="00DD2068" w:rsidRPr="00404DA5" w:rsidRDefault="00DD2068" w:rsidP="00C22C26">
            <w:pPr>
              <w:jc w:val="center"/>
              <w:rPr>
                <w:rFonts w:cs="Calibri"/>
                <w:sz w:val="18"/>
                <w:szCs w:val="18"/>
              </w:rPr>
            </w:pPr>
            <w:r w:rsidRPr="00404DA5">
              <w:rPr>
                <w:rFonts w:cs="Calibri"/>
                <w:sz w:val="18"/>
                <w:szCs w:val="18"/>
              </w:rPr>
              <w:t>5</w:t>
            </w:r>
          </w:p>
        </w:tc>
        <w:tc>
          <w:tcPr>
            <w:tcW w:w="0" w:type="auto"/>
            <w:shd w:val="clear" w:color="auto" w:fill="auto"/>
            <w:vAlign w:val="center"/>
          </w:tcPr>
          <w:p w14:paraId="26F42A15" w14:textId="77777777" w:rsidR="00DD2068" w:rsidRPr="00404DA5" w:rsidRDefault="00DD2068" w:rsidP="00C22C26">
            <w:pPr>
              <w:jc w:val="center"/>
              <w:rPr>
                <w:rFonts w:cs="Calibri"/>
                <w:color w:val="000000"/>
                <w:sz w:val="18"/>
                <w:szCs w:val="18"/>
              </w:rPr>
            </w:pPr>
            <w:r w:rsidRPr="00404DA5">
              <w:rPr>
                <w:rFonts w:cs="Calibri"/>
                <w:color w:val="000000"/>
                <w:sz w:val="18"/>
                <w:szCs w:val="18"/>
              </w:rPr>
              <w:t>3 829 880,29</w:t>
            </w:r>
          </w:p>
        </w:tc>
        <w:tc>
          <w:tcPr>
            <w:tcW w:w="0" w:type="auto"/>
            <w:shd w:val="clear" w:color="auto" w:fill="auto"/>
            <w:vAlign w:val="center"/>
          </w:tcPr>
          <w:p w14:paraId="7FFF400A" w14:textId="77777777" w:rsidR="00DD2068" w:rsidRPr="00404DA5" w:rsidRDefault="00DD2068" w:rsidP="00C22C26">
            <w:pPr>
              <w:jc w:val="center"/>
              <w:rPr>
                <w:rFonts w:cs="Calibri"/>
                <w:color w:val="000000"/>
                <w:sz w:val="18"/>
                <w:szCs w:val="18"/>
              </w:rPr>
            </w:pPr>
            <w:r w:rsidRPr="00404DA5">
              <w:rPr>
                <w:rFonts w:cs="Calibri"/>
                <w:color w:val="000000"/>
                <w:sz w:val="18"/>
                <w:szCs w:val="18"/>
              </w:rPr>
              <w:t>1 442 772,49</w:t>
            </w:r>
          </w:p>
        </w:tc>
      </w:tr>
      <w:tr w:rsidR="00DD2068" w:rsidRPr="000A135E" w14:paraId="7A648FAF" w14:textId="77777777" w:rsidTr="007A5088">
        <w:tc>
          <w:tcPr>
            <w:tcW w:w="0" w:type="auto"/>
            <w:shd w:val="clear" w:color="auto" w:fill="auto"/>
          </w:tcPr>
          <w:p w14:paraId="49E2B03F" w14:textId="77777777" w:rsidR="00DD2068" w:rsidRPr="00404DA5" w:rsidRDefault="00DD2068" w:rsidP="007A5088">
            <w:pPr>
              <w:rPr>
                <w:rFonts w:cs="Calibri"/>
                <w:sz w:val="18"/>
                <w:szCs w:val="18"/>
              </w:rPr>
            </w:pPr>
            <w:r w:rsidRPr="00404DA5">
              <w:rPr>
                <w:rFonts w:cs="Calibri"/>
                <w:sz w:val="18"/>
                <w:szCs w:val="18"/>
              </w:rPr>
              <w:t xml:space="preserve">Działanie 9.6 Ośrodki popularyzujące naukę </w:t>
            </w:r>
          </w:p>
        </w:tc>
        <w:tc>
          <w:tcPr>
            <w:tcW w:w="0" w:type="auto"/>
            <w:shd w:val="clear" w:color="auto" w:fill="auto"/>
            <w:vAlign w:val="center"/>
          </w:tcPr>
          <w:p w14:paraId="18902F0A" w14:textId="77777777" w:rsidR="00DD2068" w:rsidRPr="00404DA5" w:rsidRDefault="00DD2068" w:rsidP="00C22C26">
            <w:pPr>
              <w:jc w:val="center"/>
              <w:rPr>
                <w:rFonts w:cs="Calibri"/>
                <w:color w:val="000000"/>
                <w:sz w:val="18"/>
                <w:szCs w:val="18"/>
              </w:rPr>
            </w:pPr>
            <w:r w:rsidRPr="00404DA5">
              <w:rPr>
                <w:rFonts w:cs="Calibri"/>
                <w:color w:val="000000"/>
                <w:sz w:val="18"/>
                <w:szCs w:val="18"/>
              </w:rPr>
              <w:t>64 542 000,00</w:t>
            </w:r>
          </w:p>
        </w:tc>
        <w:tc>
          <w:tcPr>
            <w:tcW w:w="0" w:type="auto"/>
            <w:shd w:val="clear" w:color="auto" w:fill="auto"/>
            <w:vAlign w:val="center"/>
          </w:tcPr>
          <w:p w14:paraId="6E69576A" w14:textId="77777777" w:rsidR="00DD2068" w:rsidRPr="00404DA5" w:rsidRDefault="00DD2068" w:rsidP="00C22C26">
            <w:pPr>
              <w:jc w:val="center"/>
              <w:rPr>
                <w:rFonts w:cs="Calibri"/>
                <w:color w:val="000000"/>
                <w:sz w:val="18"/>
                <w:szCs w:val="18"/>
              </w:rPr>
            </w:pPr>
            <w:r w:rsidRPr="00404DA5">
              <w:rPr>
                <w:rFonts w:cs="Calibri"/>
                <w:color w:val="000000"/>
                <w:sz w:val="18"/>
                <w:szCs w:val="18"/>
              </w:rPr>
              <w:t>91,7%</w:t>
            </w:r>
          </w:p>
        </w:tc>
        <w:tc>
          <w:tcPr>
            <w:tcW w:w="0" w:type="auto"/>
            <w:shd w:val="clear" w:color="auto" w:fill="auto"/>
            <w:vAlign w:val="center"/>
          </w:tcPr>
          <w:p w14:paraId="5A4B73F8" w14:textId="77777777" w:rsidR="00DD2068" w:rsidRPr="00404DA5" w:rsidRDefault="00DD2068" w:rsidP="00C22C26">
            <w:pPr>
              <w:jc w:val="center"/>
              <w:rPr>
                <w:rFonts w:cs="Calibri"/>
                <w:sz w:val="18"/>
                <w:szCs w:val="18"/>
              </w:rPr>
            </w:pPr>
            <w:r w:rsidRPr="00404DA5">
              <w:rPr>
                <w:rFonts w:cs="Calibri"/>
                <w:sz w:val="18"/>
                <w:szCs w:val="18"/>
              </w:rPr>
              <w:t>1</w:t>
            </w:r>
          </w:p>
        </w:tc>
        <w:tc>
          <w:tcPr>
            <w:tcW w:w="0" w:type="auto"/>
            <w:shd w:val="clear" w:color="auto" w:fill="auto"/>
            <w:vAlign w:val="center"/>
          </w:tcPr>
          <w:p w14:paraId="1BACD1AE" w14:textId="77777777" w:rsidR="00DD2068" w:rsidRPr="00404DA5" w:rsidRDefault="00DD2068" w:rsidP="00C22C26">
            <w:pPr>
              <w:jc w:val="center"/>
              <w:rPr>
                <w:rFonts w:cs="Calibri"/>
                <w:color w:val="000000"/>
                <w:sz w:val="18"/>
                <w:szCs w:val="18"/>
              </w:rPr>
            </w:pPr>
            <w:r w:rsidRPr="00404DA5">
              <w:rPr>
                <w:rFonts w:cs="Calibri"/>
                <w:color w:val="000000"/>
                <w:sz w:val="18"/>
                <w:szCs w:val="18"/>
              </w:rPr>
              <w:t>86 574 939,18</w:t>
            </w:r>
          </w:p>
        </w:tc>
        <w:tc>
          <w:tcPr>
            <w:tcW w:w="0" w:type="auto"/>
            <w:shd w:val="clear" w:color="auto" w:fill="auto"/>
            <w:vAlign w:val="center"/>
          </w:tcPr>
          <w:p w14:paraId="4FF4B8DB" w14:textId="77777777" w:rsidR="00DD2068" w:rsidRPr="00404DA5" w:rsidRDefault="00DD2068" w:rsidP="00C22C26">
            <w:pPr>
              <w:jc w:val="center"/>
              <w:rPr>
                <w:rFonts w:cs="Calibri"/>
                <w:color w:val="000000"/>
                <w:sz w:val="18"/>
                <w:szCs w:val="18"/>
              </w:rPr>
            </w:pPr>
            <w:r w:rsidRPr="00404DA5">
              <w:rPr>
                <w:rFonts w:cs="Calibri"/>
                <w:color w:val="000000"/>
                <w:sz w:val="18"/>
                <w:szCs w:val="18"/>
              </w:rPr>
              <w:t>59 212 300,26</w:t>
            </w:r>
          </w:p>
        </w:tc>
      </w:tr>
      <w:tr w:rsidR="00DD2068" w:rsidRPr="000A135E" w14:paraId="7BC0671F" w14:textId="77777777" w:rsidTr="007A5088">
        <w:tc>
          <w:tcPr>
            <w:tcW w:w="0" w:type="auto"/>
            <w:shd w:val="clear" w:color="auto" w:fill="auto"/>
          </w:tcPr>
          <w:p w14:paraId="7EE91C83" w14:textId="77777777" w:rsidR="00DD2068" w:rsidRPr="00404DA5" w:rsidRDefault="00DD2068" w:rsidP="007A5088">
            <w:pPr>
              <w:rPr>
                <w:rFonts w:cs="Calibri"/>
                <w:sz w:val="18"/>
                <w:szCs w:val="18"/>
              </w:rPr>
            </w:pPr>
            <w:r w:rsidRPr="00404DA5">
              <w:rPr>
                <w:rFonts w:cs="Calibri"/>
                <w:sz w:val="18"/>
                <w:szCs w:val="18"/>
              </w:rPr>
              <w:t>Działanie 9.7 Ośrodki popularyzujące naukę</w:t>
            </w:r>
            <w:r w:rsidR="00E66B89">
              <w:rPr>
                <w:rFonts w:cs="Calibri"/>
                <w:sz w:val="18"/>
                <w:szCs w:val="18"/>
              </w:rPr>
              <w:t xml:space="preserve"> w </w:t>
            </w:r>
            <w:r w:rsidRPr="00404DA5">
              <w:rPr>
                <w:rFonts w:cs="Calibri"/>
                <w:sz w:val="18"/>
                <w:szCs w:val="18"/>
              </w:rPr>
              <w:t xml:space="preserve">ramach Kontraktów Samorządowych </w:t>
            </w:r>
          </w:p>
        </w:tc>
        <w:tc>
          <w:tcPr>
            <w:tcW w:w="0" w:type="auto"/>
            <w:shd w:val="clear" w:color="auto" w:fill="auto"/>
            <w:vAlign w:val="center"/>
          </w:tcPr>
          <w:p w14:paraId="4FF7DC2E" w14:textId="77777777" w:rsidR="00DD2068" w:rsidRPr="00404DA5" w:rsidRDefault="00DD2068" w:rsidP="00C22C26">
            <w:pPr>
              <w:jc w:val="center"/>
              <w:rPr>
                <w:rFonts w:cs="Calibri"/>
                <w:color w:val="000000"/>
                <w:sz w:val="18"/>
                <w:szCs w:val="18"/>
              </w:rPr>
            </w:pPr>
            <w:r w:rsidRPr="00404DA5">
              <w:rPr>
                <w:rFonts w:cs="Calibri"/>
                <w:color w:val="000000"/>
                <w:sz w:val="18"/>
                <w:szCs w:val="18"/>
              </w:rPr>
              <w:t>8 605 600,00</w:t>
            </w:r>
          </w:p>
        </w:tc>
        <w:tc>
          <w:tcPr>
            <w:tcW w:w="0" w:type="auto"/>
            <w:shd w:val="clear" w:color="auto" w:fill="auto"/>
            <w:vAlign w:val="center"/>
          </w:tcPr>
          <w:p w14:paraId="72C69DA9" w14:textId="77777777" w:rsidR="00DD2068" w:rsidRPr="00404DA5" w:rsidRDefault="00DD2068" w:rsidP="00C22C26">
            <w:pPr>
              <w:jc w:val="center"/>
              <w:rPr>
                <w:rFonts w:cs="Calibri"/>
                <w:color w:val="000000"/>
                <w:sz w:val="18"/>
                <w:szCs w:val="18"/>
              </w:rPr>
            </w:pPr>
            <w:r w:rsidRPr="00404DA5">
              <w:rPr>
                <w:rFonts w:cs="Calibri"/>
                <w:color w:val="000000"/>
                <w:sz w:val="18"/>
                <w:szCs w:val="18"/>
              </w:rPr>
              <w:t>71,9%</w:t>
            </w:r>
          </w:p>
        </w:tc>
        <w:tc>
          <w:tcPr>
            <w:tcW w:w="0" w:type="auto"/>
            <w:shd w:val="clear" w:color="auto" w:fill="auto"/>
            <w:vAlign w:val="center"/>
          </w:tcPr>
          <w:p w14:paraId="489B4B23" w14:textId="77777777" w:rsidR="00DD2068" w:rsidRPr="00404DA5" w:rsidRDefault="00DD2068" w:rsidP="00C22C26">
            <w:pPr>
              <w:jc w:val="center"/>
              <w:rPr>
                <w:rFonts w:cs="Calibri"/>
                <w:sz w:val="18"/>
                <w:szCs w:val="18"/>
              </w:rPr>
            </w:pPr>
            <w:r w:rsidRPr="00404DA5">
              <w:rPr>
                <w:rFonts w:cs="Calibri"/>
                <w:sz w:val="18"/>
                <w:szCs w:val="18"/>
              </w:rPr>
              <w:t>3</w:t>
            </w:r>
          </w:p>
        </w:tc>
        <w:tc>
          <w:tcPr>
            <w:tcW w:w="0" w:type="auto"/>
            <w:shd w:val="clear" w:color="auto" w:fill="auto"/>
            <w:vAlign w:val="center"/>
          </w:tcPr>
          <w:p w14:paraId="089E698A" w14:textId="77777777" w:rsidR="00DD2068" w:rsidRPr="00404DA5" w:rsidRDefault="00DD2068" w:rsidP="00C22C26">
            <w:pPr>
              <w:jc w:val="center"/>
              <w:rPr>
                <w:rFonts w:cs="Calibri"/>
                <w:color w:val="000000"/>
                <w:sz w:val="18"/>
                <w:szCs w:val="18"/>
              </w:rPr>
            </w:pPr>
            <w:r w:rsidRPr="00404DA5">
              <w:rPr>
                <w:rFonts w:cs="Calibri"/>
                <w:color w:val="000000"/>
                <w:sz w:val="18"/>
                <w:szCs w:val="18"/>
              </w:rPr>
              <w:t>9 881 219,25</w:t>
            </w:r>
          </w:p>
        </w:tc>
        <w:tc>
          <w:tcPr>
            <w:tcW w:w="0" w:type="auto"/>
            <w:shd w:val="clear" w:color="auto" w:fill="auto"/>
            <w:vAlign w:val="center"/>
          </w:tcPr>
          <w:p w14:paraId="40439538" w14:textId="77777777" w:rsidR="00DD2068" w:rsidRPr="00404DA5" w:rsidRDefault="00DD2068" w:rsidP="00C22C26">
            <w:pPr>
              <w:jc w:val="center"/>
              <w:rPr>
                <w:rFonts w:cs="Calibri"/>
                <w:color w:val="000000"/>
                <w:sz w:val="18"/>
                <w:szCs w:val="18"/>
              </w:rPr>
            </w:pPr>
            <w:r w:rsidRPr="00404DA5">
              <w:rPr>
                <w:rFonts w:cs="Calibri"/>
                <w:color w:val="000000"/>
                <w:sz w:val="18"/>
                <w:szCs w:val="18"/>
              </w:rPr>
              <w:t>6 185 449,94</w:t>
            </w:r>
          </w:p>
        </w:tc>
      </w:tr>
      <w:tr w:rsidR="00DD2068" w:rsidRPr="000A135E" w14:paraId="1115171D" w14:textId="77777777" w:rsidTr="007A5088">
        <w:tc>
          <w:tcPr>
            <w:tcW w:w="0" w:type="auto"/>
            <w:shd w:val="clear" w:color="auto" w:fill="auto"/>
          </w:tcPr>
          <w:p w14:paraId="1F41120A" w14:textId="77777777" w:rsidR="00DD2068" w:rsidRPr="00404DA5" w:rsidRDefault="00DD2068" w:rsidP="007A5088">
            <w:pPr>
              <w:rPr>
                <w:rFonts w:cs="Calibri"/>
                <w:sz w:val="18"/>
                <w:szCs w:val="18"/>
              </w:rPr>
            </w:pPr>
            <w:r w:rsidRPr="00404DA5">
              <w:rPr>
                <w:rFonts w:cs="Calibri"/>
                <w:sz w:val="18"/>
                <w:szCs w:val="18"/>
              </w:rPr>
              <w:t xml:space="preserve">Działanie 9.8 Infrastruktura szkolnictwa zawodowego </w:t>
            </w:r>
          </w:p>
        </w:tc>
        <w:tc>
          <w:tcPr>
            <w:tcW w:w="0" w:type="auto"/>
            <w:shd w:val="clear" w:color="auto" w:fill="auto"/>
            <w:vAlign w:val="center"/>
          </w:tcPr>
          <w:p w14:paraId="1E5DD430" w14:textId="77777777" w:rsidR="00DD2068" w:rsidRPr="00404DA5" w:rsidRDefault="00DD2068" w:rsidP="00C22C26">
            <w:pPr>
              <w:jc w:val="center"/>
              <w:rPr>
                <w:rFonts w:cs="Calibri"/>
                <w:color w:val="000000"/>
                <w:sz w:val="18"/>
                <w:szCs w:val="18"/>
              </w:rPr>
            </w:pPr>
            <w:r w:rsidRPr="00404DA5">
              <w:rPr>
                <w:rFonts w:cs="Calibri"/>
                <w:color w:val="000000"/>
                <w:sz w:val="18"/>
                <w:szCs w:val="18"/>
              </w:rPr>
              <w:t>55 936 400,00</w:t>
            </w:r>
          </w:p>
        </w:tc>
        <w:tc>
          <w:tcPr>
            <w:tcW w:w="0" w:type="auto"/>
            <w:shd w:val="clear" w:color="auto" w:fill="auto"/>
            <w:vAlign w:val="center"/>
          </w:tcPr>
          <w:p w14:paraId="10A20504" w14:textId="77777777" w:rsidR="00DD2068" w:rsidRPr="00404DA5" w:rsidRDefault="00DD2068" w:rsidP="00C22C26">
            <w:pPr>
              <w:jc w:val="center"/>
              <w:rPr>
                <w:rFonts w:cs="Calibri"/>
                <w:color w:val="000000"/>
                <w:sz w:val="18"/>
                <w:szCs w:val="18"/>
              </w:rPr>
            </w:pPr>
            <w:r w:rsidRPr="00404DA5">
              <w:rPr>
                <w:rFonts w:cs="Calibri"/>
                <w:color w:val="000000"/>
                <w:sz w:val="18"/>
                <w:szCs w:val="18"/>
              </w:rPr>
              <w:t>44,5%</w:t>
            </w:r>
          </w:p>
        </w:tc>
        <w:tc>
          <w:tcPr>
            <w:tcW w:w="0" w:type="auto"/>
            <w:shd w:val="clear" w:color="auto" w:fill="auto"/>
            <w:vAlign w:val="center"/>
          </w:tcPr>
          <w:p w14:paraId="32A71A2F" w14:textId="77777777" w:rsidR="00DD2068" w:rsidRPr="00404DA5" w:rsidRDefault="00DD2068" w:rsidP="00C22C26">
            <w:pPr>
              <w:jc w:val="center"/>
              <w:rPr>
                <w:rFonts w:cs="Calibri"/>
                <w:sz w:val="18"/>
                <w:szCs w:val="18"/>
              </w:rPr>
            </w:pPr>
            <w:r w:rsidRPr="00404DA5">
              <w:rPr>
                <w:rFonts w:cs="Calibri"/>
                <w:sz w:val="18"/>
                <w:szCs w:val="18"/>
              </w:rPr>
              <w:t>9</w:t>
            </w:r>
          </w:p>
        </w:tc>
        <w:tc>
          <w:tcPr>
            <w:tcW w:w="0" w:type="auto"/>
            <w:shd w:val="clear" w:color="auto" w:fill="auto"/>
            <w:vAlign w:val="center"/>
          </w:tcPr>
          <w:p w14:paraId="4FA44B99" w14:textId="77777777" w:rsidR="00DD2068" w:rsidRPr="00404DA5" w:rsidRDefault="00DD2068" w:rsidP="00C22C26">
            <w:pPr>
              <w:jc w:val="center"/>
              <w:rPr>
                <w:rFonts w:cs="Calibri"/>
                <w:color w:val="000000"/>
                <w:sz w:val="18"/>
                <w:szCs w:val="18"/>
              </w:rPr>
            </w:pPr>
            <w:r w:rsidRPr="00404DA5">
              <w:rPr>
                <w:rFonts w:cs="Calibri"/>
                <w:color w:val="000000"/>
                <w:sz w:val="18"/>
                <w:szCs w:val="18"/>
              </w:rPr>
              <w:t>29 510 285,32</w:t>
            </w:r>
          </w:p>
        </w:tc>
        <w:tc>
          <w:tcPr>
            <w:tcW w:w="0" w:type="auto"/>
            <w:shd w:val="clear" w:color="auto" w:fill="auto"/>
            <w:vAlign w:val="center"/>
          </w:tcPr>
          <w:p w14:paraId="6CF51435" w14:textId="77777777" w:rsidR="00DD2068" w:rsidRPr="00404DA5" w:rsidRDefault="00DD2068" w:rsidP="00C22C26">
            <w:pPr>
              <w:jc w:val="center"/>
              <w:rPr>
                <w:rFonts w:cs="Calibri"/>
                <w:color w:val="000000"/>
                <w:sz w:val="18"/>
                <w:szCs w:val="18"/>
              </w:rPr>
            </w:pPr>
            <w:r w:rsidRPr="00404DA5">
              <w:rPr>
                <w:rFonts w:cs="Calibri"/>
                <w:color w:val="000000"/>
                <w:sz w:val="18"/>
                <w:szCs w:val="18"/>
              </w:rPr>
              <w:t>24 906 925,64</w:t>
            </w:r>
          </w:p>
        </w:tc>
      </w:tr>
      <w:tr w:rsidR="00DD2068" w:rsidRPr="000A135E" w14:paraId="63D81BF9" w14:textId="77777777" w:rsidTr="007A5088">
        <w:tc>
          <w:tcPr>
            <w:tcW w:w="0" w:type="auto"/>
            <w:shd w:val="clear" w:color="auto" w:fill="auto"/>
          </w:tcPr>
          <w:p w14:paraId="71246FB3" w14:textId="77777777" w:rsidR="00DD2068" w:rsidRPr="00404DA5" w:rsidRDefault="00DD2068" w:rsidP="007A5088">
            <w:pPr>
              <w:rPr>
                <w:rFonts w:cs="Calibri"/>
                <w:sz w:val="18"/>
                <w:szCs w:val="18"/>
              </w:rPr>
            </w:pPr>
            <w:r w:rsidRPr="00404DA5">
              <w:rPr>
                <w:rFonts w:cs="Calibri"/>
                <w:sz w:val="18"/>
                <w:szCs w:val="18"/>
              </w:rPr>
              <w:t>Działanie 9.9 Infrastruktura szkolnictwa zawodowego</w:t>
            </w:r>
            <w:r w:rsidR="00E66B89">
              <w:rPr>
                <w:rFonts w:cs="Calibri"/>
                <w:sz w:val="18"/>
                <w:szCs w:val="18"/>
              </w:rPr>
              <w:t xml:space="preserve"> w </w:t>
            </w:r>
            <w:r w:rsidRPr="00404DA5">
              <w:rPr>
                <w:rFonts w:cs="Calibri"/>
                <w:sz w:val="18"/>
                <w:szCs w:val="18"/>
              </w:rPr>
              <w:t xml:space="preserve">ramach Kontraktów Samorządowych </w:t>
            </w:r>
          </w:p>
        </w:tc>
        <w:tc>
          <w:tcPr>
            <w:tcW w:w="0" w:type="auto"/>
            <w:shd w:val="clear" w:color="auto" w:fill="auto"/>
            <w:vAlign w:val="center"/>
          </w:tcPr>
          <w:p w14:paraId="1DDE20C3" w14:textId="77777777" w:rsidR="00DD2068" w:rsidRPr="00404DA5" w:rsidRDefault="00DD2068" w:rsidP="00C22C26">
            <w:pPr>
              <w:jc w:val="center"/>
              <w:rPr>
                <w:rFonts w:cs="Calibri"/>
                <w:color w:val="000000"/>
                <w:sz w:val="18"/>
                <w:szCs w:val="18"/>
              </w:rPr>
            </w:pPr>
            <w:r w:rsidRPr="00404DA5">
              <w:rPr>
                <w:rFonts w:cs="Calibri"/>
                <w:color w:val="000000"/>
                <w:sz w:val="18"/>
                <w:szCs w:val="18"/>
              </w:rPr>
              <w:t>17 211 200,00</w:t>
            </w:r>
          </w:p>
        </w:tc>
        <w:tc>
          <w:tcPr>
            <w:tcW w:w="0" w:type="auto"/>
            <w:shd w:val="clear" w:color="auto" w:fill="auto"/>
            <w:vAlign w:val="center"/>
          </w:tcPr>
          <w:p w14:paraId="6D9BA0B2" w14:textId="77777777" w:rsidR="00DD2068" w:rsidRPr="00404DA5" w:rsidRDefault="00DD2068" w:rsidP="00C22C26">
            <w:pPr>
              <w:jc w:val="center"/>
              <w:rPr>
                <w:rFonts w:cs="Calibri"/>
                <w:color w:val="000000"/>
                <w:sz w:val="18"/>
                <w:szCs w:val="18"/>
              </w:rPr>
            </w:pPr>
            <w:r w:rsidRPr="00404DA5">
              <w:rPr>
                <w:rFonts w:cs="Calibri"/>
                <w:color w:val="000000"/>
                <w:sz w:val="18"/>
                <w:szCs w:val="18"/>
              </w:rPr>
              <w:t>90,6%</w:t>
            </w:r>
          </w:p>
        </w:tc>
        <w:tc>
          <w:tcPr>
            <w:tcW w:w="0" w:type="auto"/>
            <w:shd w:val="clear" w:color="auto" w:fill="auto"/>
            <w:vAlign w:val="center"/>
          </w:tcPr>
          <w:p w14:paraId="0670ADED" w14:textId="77777777" w:rsidR="00DD2068" w:rsidRPr="00404DA5" w:rsidRDefault="00DD2068" w:rsidP="00C22C26">
            <w:pPr>
              <w:jc w:val="center"/>
              <w:rPr>
                <w:rFonts w:cs="Calibri"/>
                <w:sz w:val="18"/>
                <w:szCs w:val="18"/>
              </w:rPr>
            </w:pPr>
            <w:r w:rsidRPr="00404DA5">
              <w:rPr>
                <w:rFonts w:cs="Calibri"/>
                <w:sz w:val="18"/>
                <w:szCs w:val="18"/>
              </w:rPr>
              <w:t>6</w:t>
            </w:r>
          </w:p>
        </w:tc>
        <w:tc>
          <w:tcPr>
            <w:tcW w:w="0" w:type="auto"/>
            <w:shd w:val="clear" w:color="auto" w:fill="auto"/>
            <w:vAlign w:val="center"/>
          </w:tcPr>
          <w:p w14:paraId="2BCD07E2" w14:textId="77777777" w:rsidR="00DD2068" w:rsidRPr="00404DA5" w:rsidRDefault="00DD2068" w:rsidP="00C22C26">
            <w:pPr>
              <w:jc w:val="center"/>
              <w:rPr>
                <w:rFonts w:cs="Calibri"/>
                <w:color w:val="000000"/>
                <w:sz w:val="18"/>
                <w:szCs w:val="18"/>
              </w:rPr>
            </w:pPr>
            <w:r w:rsidRPr="00404DA5">
              <w:rPr>
                <w:rFonts w:cs="Calibri"/>
                <w:color w:val="000000"/>
                <w:sz w:val="18"/>
                <w:szCs w:val="18"/>
              </w:rPr>
              <w:t>20 482 558,31</w:t>
            </w:r>
          </w:p>
        </w:tc>
        <w:tc>
          <w:tcPr>
            <w:tcW w:w="0" w:type="auto"/>
            <w:shd w:val="clear" w:color="auto" w:fill="auto"/>
            <w:vAlign w:val="center"/>
          </w:tcPr>
          <w:p w14:paraId="73B43813" w14:textId="77777777" w:rsidR="00DD2068" w:rsidRPr="00404DA5" w:rsidRDefault="00DD2068" w:rsidP="00C22C26">
            <w:pPr>
              <w:jc w:val="center"/>
              <w:rPr>
                <w:rFonts w:cs="Calibri"/>
                <w:color w:val="000000"/>
                <w:sz w:val="18"/>
                <w:szCs w:val="18"/>
              </w:rPr>
            </w:pPr>
            <w:r w:rsidRPr="00404DA5">
              <w:rPr>
                <w:rFonts w:cs="Calibri"/>
                <w:color w:val="000000"/>
                <w:sz w:val="18"/>
                <w:szCs w:val="18"/>
              </w:rPr>
              <w:t>15 600 504,54</w:t>
            </w:r>
          </w:p>
        </w:tc>
      </w:tr>
    </w:tbl>
    <w:p w14:paraId="74B60F06" w14:textId="77777777" w:rsidR="00DD2068" w:rsidRPr="00D21299" w:rsidRDefault="00DD2068" w:rsidP="0028542B">
      <w:pPr>
        <w:spacing w:before="0"/>
        <w:rPr>
          <w:rFonts w:cs="Calibri"/>
          <w:i/>
          <w:sz w:val="18"/>
          <w:szCs w:val="18"/>
        </w:rPr>
      </w:pPr>
      <w:r w:rsidRPr="00D21299">
        <w:rPr>
          <w:rFonts w:cs="Calibri"/>
          <w:i/>
          <w:sz w:val="18"/>
          <w:szCs w:val="18"/>
        </w:rPr>
        <w:t>Źródło: obliczenia własne na podstawie danych SL 2014 (stan na dzień 07.01.2019r.).</w:t>
      </w:r>
    </w:p>
    <w:p w14:paraId="076B44C8" w14:textId="77777777" w:rsidR="00432330" w:rsidRPr="00C22C26" w:rsidRDefault="00432330" w:rsidP="00DD2068">
      <w:r>
        <w:t>Na poniższej mapie przedstawiono dane dotyczące wartości projektów ogółem realizowanych</w:t>
      </w:r>
      <w:r w:rsidR="00E66B89">
        <w:t xml:space="preserve"> w </w:t>
      </w:r>
      <w:r>
        <w:t xml:space="preserve">ramach Działań </w:t>
      </w:r>
      <w:r w:rsidR="00E10937">
        <w:t>9</w:t>
      </w:r>
      <w:r>
        <w:t xml:space="preserve">.4, </w:t>
      </w:r>
      <w:r w:rsidR="00E10937">
        <w:t>9.5, 9.6, 9.7, 9.8</w:t>
      </w:r>
      <w:r w:rsidR="00E66B89">
        <w:t xml:space="preserve"> i </w:t>
      </w:r>
      <w:r w:rsidR="00E10937">
        <w:t>9.9</w:t>
      </w:r>
      <w:r w:rsidR="00E66B89">
        <w:t xml:space="preserve"> w </w:t>
      </w:r>
      <w:r>
        <w:t xml:space="preserve">podziale na gminy. </w:t>
      </w:r>
      <w:r w:rsidR="006249E8">
        <w:t>Projekt</w:t>
      </w:r>
      <w:r w:rsidR="00041C52">
        <w:t>y</w:t>
      </w:r>
      <w:r w:rsidR="00E66B89">
        <w:t xml:space="preserve"> o </w:t>
      </w:r>
      <w:r w:rsidR="006249E8">
        <w:t>największej wartości ogółem,</w:t>
      </w:r>
      <w:r w:rsidR="00E66B89">
        <w:t xml:space="preserve"> w </w:t>
      </w:r>
      <w:r w:rsidR="006249E8">
        <w:t xml:space="preserve">ramach tych Działań </w:t>
      </w:r>
      <w:r w:rsidR="00041C52">
        <w:t xml:space="preserve">są </w:t>
      </w:r>
      <w:r w:rsidR="006249E8">
        <w:t>realizowan</w:t>
      </w:r>
      <w:r w:rsidR="00041C52">
        <w:t>e</w:t>
      </w:r>
      <w:r w:rsidR="00E66B89">
        <w:t xml:space="preserve"> w </w:t>
      </w:r>
      <w:r w:rsidR="006249E8">
        <w:t xml:space="preserve">Szczecinie (94,6 mln zł). 2/3 projektów realizowanych było w ramach KS - wsparcie mechanizmu terytorialnego objęło kwotę ponad 3,1 mln zł. </w:t>
      </w:r>
      <w:r w:rsidR="009F3ADB">
        <w:t>Największe wsparcie</w:t>
      </w:r>
      <w:r w:rsidR="00E66B89">
        <w:t xml:space="preserve"> z </w:t>
      </w:r>
      <w:r w:rsidR="009F3ADB">
        <w:t>zakresu KS objęło gminę Wałcz (7,5 mln zł), Szczecinek (7,2 mln zł) oraz Nowogard (5,2 mln zł).</w:t>
      </w:r>
      <w:r w:rsidR="00443D3E">
        <w:t xml:space="preserve"> Jedynie gmina Szczecinek</w:t>
      </w:r>
      <w:r w:rsidR="00E66B89">
        <w:t xml:space="preserve"> i </w:t>
      </w:r>
      <w:r w:rsidR="00443D3E">
        <w:t>Pyrzyce otrzymały wsparcie zarówno</w:t>
      </w:r>
      <w:r w:rsidR="00E66B89">
        <w:t xml:space="preserve"> w </w:t>
      </w:r>
      <w:r w:rsidR="00443D3E">
        <w:t>ramach KS jak</w:t>
      </w:r>
      <w:r w:rsidR="00E66B89">
        <w:t xml:space="preserve"> i </w:t>
      </w:r>
      <w:r w:rsidR="00443D3E">
        <w:t xml:space="preserve">Działania </w:t>
      </w:r>
      <w:r w:rsidR="00041C52">
        <w:t>skierowanego do całego regionu</w:t>
      </w:r>
      <w:r w:rsidR="00443D3E">
        <w:t>: Szczecinek łącznie 9,5 mln zł,</w:t>
      </w:r>
      <w:r w:rsidR="00E66B89">
        <w:t xml:space="preserve"> a </w:t>
      </w:r>
      <w:r w:rsidR="00443D3E">
        <w:t>Pyrzyce 2,5 mln zł.</w:t>
      </w:r>
      <w:r w:rsidR="00C22C26">
        <w:t xml:space="preserve"> </w:t>
      </w:r>
    </w:p>
    <w:p w14:paraId="393A59D7" w14:textId="77777777" w:rsidR="005D1592" w:rsidRDefault="005D1592">
      <w:pPr>
        <w:pStyle w:val="Legenda"/>
      </w:pPr>
      <w:bookmarkStart w:id="384" w:name="_Toc6521458"/>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9</w:t>
      </w:r>
      <w:r w:rsidR="006E34DC">
        <w:rPr>
          <w:noProof/>
        </w:rPr>
        <w:fldChar w:fldCharType="end"/>
      </w:r>
      <w:r>
        <w:t xml:space="preserve"> </w:t>
      </w:r>
      <w:r w:rsidRPr="00796B83">
        <w:t>Wartość projektów ogółem</w:t>
      </w:r>
      <w:r w:rsidR="00E66B89">
        <w:t xml:space="preserve"> z </w:t>
      </w:r>
      <w:r w:rsidRPr="00796B83">
        <w:t>Działań realizujących instrumenty terytorialne oraz analogicznego Działania wdrażanego</w:t>
      </w:r>
      <w:r w:rsidR="00E66B89">
        <w:t xml:space="preserve"> w </w:t>
      </w:r>
      <w:r w:rsidRPr="00796B83">
        <w:t>całym regionie,</w:t>
      </w:r>
      <w:r w:rsidR="00E66B89">
        <w:t xml:space="preserve"> w </w:t>
      </w:r>
      <w:r w:rsidRPr="00796B83">
        <w:t>podziale na gminy</w:t>
      </w:r>
      <w:r w:rsidR="00E66B89">
        <w:t xml:space="preserve"> z </w:t>
      </w:r>
      <w:r w:rsidRPr="00796B83">
        <w:t>wyszczególnieniem gmin należących do ZIT/KS - PI 10a</w:t>
      </w:r>
      <w:bookmarkEnd w:id="384"/>
    </w:p>
    <w:p w14:paraId="0E9554E4" w14:textId="2FA3665E" w:rsidR="005D1592" w:rsidRPr="00891BC3" w:rsidRDefault="00C35619" w:rsidP="00DD2068">
      <w:pPr>
        <w:rPr>
          <w:rFonts w:cs="Calibri"/>
          <w:i/>
          <w:sz w:val="18"/>
          <w:szCs w:val="20"/>
        </w:rPr>
      </w:pPr>
      <w:r w:rsidRPr="00D508B6">
        <w:rPr>
          <w:noProof/>
        </w:rPr>
        <w:drawing>
          <wp:inline distT="0" distB="0" distL="0" distR="0" wp14:anchorId="3A985AB2" wp14:editId="6F12646C">
            <wp:extent cx="5762625" cy="4076700"/>
            <wp:effectExtent l="0" t="0" r="9525" b="0"/>
            <wp:docPr id="71"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11E662C2" w14:textId="77777777" w:rsidR="005D1592" w:rsidRPr="00D21299" w:rsidRDefault="005D1592" w:rsidP="005D1592">
      <w:pPr>
        <w:rPr>
          <w:i/>
          <w:sz w:val="18"/>
          <w:szCs w:val="18"/>
        </w:rPr>
      </w:pPr>
      <w:r w:rsidRPr="00D21299">
        <w:rPr>
          <w:i/>
          <w:sz w:val="18"/>
          <w:szCs w:val="18"/>
        </w:rPr>
        <w:t>Źródło: opracowanie własne na podstawie bazy UoD</w:t>
      </w:r>
      <w:r w:rsidR="00E66B89" w:rsidRPr="00D21299">
        <w:rPr>
          <w:i/>
          <w:sz w:val="18"/>
          <w:szCs w:val="18"/>
        </w:rPr>
        <w:t xml:space="preserve"> z </w:t>
      </w:r>
      <w:r w:rsidRPr="00D21299">
        <w:rPr>
          <w:i/>
          <w:sz w:val="18"/>
          <w:szCs w:val="18"/>
        </w:rPr>
        <w:t>07.01.2019 roku.</w:t>
      </w:r>
      <w:r w:rsidRPr="00D21299">
        <w:rPr>
          <w:rStyle w:val="Odwoanieprzypisudolnego"/>
          <w:sz w:val="18"/>
          <w:szCs w:val="18"/>
        </w:rPr>
        <w:footnoteReference w:id="163"/>
      </w:r>
      <w:r w:rsidRPr="00D21299">
        <w:rPr>
          <w:i/>
          <w:sz w:val="18"/>
          <w:szCs w:val="18"/>
        </w:rPr>
        <w:t xml:space="preserve"> KS 1 - Kontrakt Samorządowy „Inwestycja</w:t>
      </w:r>
      <w:r w:rsidR="00E66B89" w:rsidRPr="00D21299">
        <w:rPr>
          <w:i/>
          <w:sz w:val="18"/>
          <w:szCs w:val="18"/>
        </w:rPr>
        <w:t xml:space="preserve"> w </w:t>
      </w:r>
      <w:r w:rsidRPr="00D21299">
        <w:rPr>
          <w:i/>
          <w:sz w:val="18"/>
          <w:szCs w:val="18"/>
        </w:rPr>
        <w:t>rozwój gospodarczy Gmin Nowogard, Maszewo, Osina</w:t>
      </w:r>
      <w:r w:rsidR="00E66B89" w:rsidRPr="00D21299">
        <w:rPr>
          <w:i/>
          <w:sz w:val="18"/>
          <w:szCs w:val="18"/>
        </w:rPr>
        <w:t xml:space="preserve"> i </w:t>
      </w:r>
      <w:r w:rsidRPr="00D21299">
        <w:rPr>
          <w:i/>
          <w:sz w:val="18"/>
          <w:szCs w:val="18"/>
        </w:rPr>
        <w:t>Powiatu Goleniowskiego – drogą do efektywnego kształcenia zawodowego”; KS 2 - Kontrakt Samorządowy „Lider Pojezierzy”; KS 3 - Kontrakt Samorządowy „Metalowa dźwignia regionu”; KS 4 - Kontrakt Samorządowy „Rozwój społeczno – gospodarczy obszaru „Pyrzyce +”; KS 5 - Kontrakt Samorządowy „Strefa Centralna”; KS 6 - Kontrakt Samorządowy „Szczecinek”.</w:t>
      </w:r>
    </w:p>
    <w:p w14:paraId="4E675B3B" w14:textId="77777777" w:rsidR="00DD2068" w:rsidRPr="000A135E" w:rsidRDefault="00DD2068" w:rsidP="00DD2068">
      <w:pPr>
        <w:pStyle w:val="evaluTresc"/>
      </w:pPr>
      <w:r w:rsidRPr="000A135E">
        <w:t>Skala wsparcia</w:t>
      </w:r>
      <w:r w:rsidR="00E66B89">
        <w:t xml:space="preserve"> w </w:t>
      </w:r>
      <w:r w:rsidRPr="000A135E">
        <w:t>projektach realizowanych</w:t>
      </w:r>
      <w:r w:rsidR="00E66B89">
        <w:t xml:space="preserve"> w </w:t>
      </w:r>
      <w:r w:rsidRPr="000A135E">
        <w:t>ramach Kontraktów Samorządowych jest niższa od efektów zakładanych</w:t>
      </w:r>
      <w:r w:rsidR="00E66B89">
        <w:t xml:space="preserve"> w </w:t>
      </w:r>
      <w:r w:rsidRPr="000A135E">
        <w:t>projektach wdrażanych poza Polityką Terytorialną, co wynika</w:t>
      </w:r>
      <w:r w:rsidR="00E66B89">
        <w:t xml:space="preserve"> z </w:t>
      </w:r>
      <w:r w:rsidRPr="000A135E">
        <w:t xml:space="preserve">proporcji alokacji przeznaczonej na oba podejścia. Użyteczność zastosowania instrumentu Kontraktów </w:t>
      </w:r>
      <w:r>
        <w:t>Samorządowych</w:t>
      </w:r>
      <w:r w:rsidRPr="000A135E">
        <w:t xml:space="preserve"> jest jednak bezsporna. Dzięki jego zastosowaniu możliwe jest wdrażanie rozwiązań istotnych</w:t>
      </w:r>
      <w:r w:rsidR="00E66B89">
        <w:t xml:space="preserve"> w </w:t>
      </w:r>
      <w:r w:rsidRPr="000A135E">
        <w:t xml:space="preserve">skali subregionalnej, integrujących lokalne zasoby. </w:t>
      </w:r>
    </w:p>
    <w:p w14:paraId="6E23CD75" w14:textId="77777777" w:rsidR="00DD2068" w:rsidRPr="000A135E" w:rsidRDefault="00DD2068" w:rsidP="00024F00">
      <w:pPr>
        <w:pStyle w:val="Legenda"/>
        <w:spacing w:after="0"/>
      </w:pPr>
      <w:bookmarkStart w:id="385" w:name="_Toc8824284"/>
      <w:r w:rsidRPr="000A135E">
        <w:lastRenderedPageBreak/>
        <w:t xml:space="preserve">Tabela </w:t>
      </w:r>
      <w:r>
        <w:fldChar w:fldCharType="begin"/>
      </w:r>
      <w:r>
        <w:instrText xml:space="preserve"> SEQ Tabela \* ARABIC </w:instrText>
      </w:r>
      <w:r>
        <w:fldChar w:fldCharType="separate"/>
      </w:r>
      <w:r w:rsidR="00763345">
        <w:rPr>
          <w:noProof/>
        </w:rPr>
        <w:t>173</w:t>
      </w:r>
      <w:r>
        <w:fldChar w:fldCharType="end"/>
      </w:r>
      <w:r w:rsidRPr="000A135E">
        <w:t xml:space="preserve"> </w:t>
      </w:r>
      <w:r>
        <w:t>Udział projektów,</w:t>
      </w:r>
      <w:r w:rsidR="00E66B89">
        <w:t xml:space="preserve"> z </w:t>
      </w:r>
      <w:r>
        <w:t>wybranych Działań realizujących instrumenty terytorialne oraz analogicznego Działania/Działań wdrażanego</w:t>
      </w:r>
      <w:r w:rsidR="00E66B89">
        <w:t xml:space="preserve"> w </w:t>
      </w:r>
      <w:r>
        <w:t>całym regionie,</w:t>
      </w:r>
      <w:r w:rsidR="00E66B89">
        <w:t xml:space="preserve"> w </w:t>
      </w:r>
      <w:r>
        <w:t>osiąganiu celów</w:t>
      </w:r>
      <w:r w:rsidRPr="000A135E">
        <w:t xml:space="preserve"> PI 10a</w:t>
      </w:r>
      <w:bookmarkEnd w:id="385"/>
      <w:r w:rsidRPr="000A135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79"/>
        <w:gridCol w:w="1309"/>
        <w:gridCol w:w="1320"/>
        <w:gridCol w:w="1312"/>
        <w:gridCol w:w="1324"/>
      </w:tblGrid>
      <w:tr w:rsidR="00DD2068" w:rsidRPr="000A135E" w14:paraId="52F5A094" w14:textId="77777777" w:rsidTr="00C22C26">
        <w:trPr>
          <w:tblHeader/>
        </w:trPr>
        <w:tc>
          <w:tcPr>
            <w:tcW w:w="0" w:type="auto"/>
            <w:shd w:val="clear" w:color="auto" w:fill="DBE5F1"/>
          </w:tcPr>
          <w:p w14:paraId="6E8DF856" w14:textId="77777777" w:rsidR="00DD2068" w:rsidRPr="008B706B" w:rsidRDefault="00DD2068" w:rsidP="008B706B">
            <w:pPr>
              <w:jc w:val="center"/>
              <w:rPr>
                <w:rFonts w:cs="Calibri"/>
                <w:sz w:val="18"/>
                <w:szCs w:val="18"/>
              </w:rPr>
            </w:pPr>
          </w:p>
        </w:tc>
        <w:tc>
          <w:tcPr>
            <w:tcW w:w="0" w:type="auto"/>
            <w:shd w:val="clear" w:color="auto" w:fill="DBE5F1"/>
          </w:tcPr>
          <w:p w14:paraId="577CFEBE" w14:textId="77777777" w:rsidR="00DD2068" w:rsidRPr="008B706B" w:rsidRDefault="00DD2068" w:rsidP="008B706B">
            <w:pPr>
              <w:jc w:val="center"/>
              <w:rPr>
                <w:rFonts w:cs="Calibri"/>
                <w:sz w:val="18"/>
                <w:szCs w:val="18"/>
              </w:rPr>
            </w:pPr>
            <w:r w:rsidRPr="008B706B">
              <w:rPr>
                <w:rFonts w:cs="Calibri"/>
                <w:sz w:val="18"/>
                <w:szCs w:val="18"/>
              </w:rPr>
              <w:t>Wartość docelowa (2023) na poziomie PI</w:t>
            </w:r>
          </w:p>
        </w:tc>
        <w:tc>
          <w:tcPr>
            <w:tcW w:w="0" w:type="auto"/>
            <w:shd w:val="clear" w:color="auto" w:fill="DBE5F1"/>
          </w:tcPr>
          <w:p w14:paraId="71459078" w14:textId="77777777" w:rsidR="00DD2068" w:rsidRPr="008B706B" w:rsidRDefault="00DD2068" w:rsidP="008B706B">
            <w:pPr>
              <w:jc w:val="center"/>
              <w:rPr>
                <w:rFonts w:cs="Calibri"/>
                <w:sz w:val="18"/>
                <w:szCs w:val="18"/>
              </w:rPr>
            </w:pPr>
            <w:r w:rsidRPr="008B706B">
              <w:rPr>
                <w:rFonts w:cs="Calibri"/>
                <w:sz w:val="18"/>
                <w:szCs w:val="18"/>
              </w:rPr>
              <w:t>Realizacja wartości docelowej (wg UoD)</w:t>
            </w:r>
          </w:p>
        </w:tc>
        <w:tc>
          <w:tcPr>
            <w:tcW w:w="0" w:type="auto"/>
            <w:shd w:val="clear" w:color="auto" w:fill="DBE5F1"/>
          </w:tcPr>
          <w:p w14:paraId="14C43672" w14:textId="77777777" w:rsidR="00DD2068" w:rsidRPr="008B706B" w:rsidRDefault="00DD2068" w:rsidP="008B706B">
            <w:pPr>
              <w:jc w:val="center"/>
              <w:rPr>
                <w:rFonts w:cs="Calibri"/>
                <w:sz w:val="18"/>
                <w:szCs w:val="18"/>
              </w:rPr>
            </w:pPr>
            <w:r w:rsidRPr="008B706B">
              <w:rPr>
                <w:rFonts w:cs="Calibri"/>
                <w:sz w:val="18"/>
                <w:szCs w:val="18"/>
              </w:rPr>
              <w:t>% realizacji wartości docelowej (wg UoD)</w:t>
            </w:r>
          </w:p>
        </w:tc>
        <w:tc>
          <w:tcPr>
            <w:tcW w:w="0" w:type="auto"/>
            <w:shd w:val="clear" w:color="auto" w:fill="DBE5F1"/>
          </w:tcPr>
          <w:p w14:paraId="466967CA" w14:textId="77777777" w:rsidR="00DD2068" w:rsidRPr="008B706B" w:rsidRDefault="00DD2068" w:rsidP="008B706B">
            <w:pPr>
              <w:jc w:val="center"/>
              <w:rPr>
                <w:rFonts w:cs="Calibri"/>
                <w:sz w:val="18"/>
                <w:szCs w:val="18"/>
              </w:rPr>
            </w:pPr>
            <w:r w:rsidRPr="008B706B">
              <w:rPr>
                <w:rFonts w:cs="Calibri"/>
                <w:sz w:val="18"/>
                <w:szCs w:val="18"/>
              </w:rPr>
              <w:t>Realizacja wartości docelowej (wg WoP)</w:t>
            </w:r>
          </w:p>
        </w:tc>
        <w:tc>
          <w:tcPr>
            <w:tcW w:w="0" w:type="auto"/>
            <w:shd w:val="clear" w:color="auto" w:fill="DBE5F1"/>
          </w:tcPr>
          <w:p w14:paraId="54BF88F2" w14:textId="77777777" w:rsidR="00DD2068" w:rsidRPr="008B706B" w:rsidRDefault="00DD2068" w:rsidP="008B706B">
            <w:pPr>
              <w:jc w:val="center"/>
              <w:rPr>
                <w:rFonts w:cs="Calibri"/>
                <w:sz w:val="18"/>
                <w:szCs w:val="18"/>
              </w:rPr>
            </w:pPr>
            <w:r w:rsidRPr="008B706B">
              <w:rPr>
                <w:rFonts w:cs="Calibri"/>
                <w:sz w:val="18"/>
                <w:szCs w:val="18"/>
              </w:rPr>
              <w:t>% realizacji wartości docelowej (wg WoP)</w:t>
            </w:r>
          </w:p>
        </w:tc>
      </w:tr>
      <w:tr w:rsidR="00DD2068" w:rsidRPr="000A135E" w14:paraId="02D12345" w14:textId="77777777" w:rsidTr="007A5088">
        <w:tc>
          <w:tcPr>
            <w:tcW w:w="0" w:type="auto"/>
            <w:gridSpan w:val="6"/>
            <w:shd w:val="clear" w:color="auto" w:fill="auto"/>
          </w:tcPr>
          <w:p w14:paraId="341E207D" w14:textId="77777777" w:rsidR="00DD2068" w:rsidRPr="00404DA5" w:rsidRDefault="00DD2068" w:rsidP="007A5088">
            <w:pPr>
              <w:jc w:val="center"/>
              <w:rPr>
                <w:rFonts w:cs="Calibri"/>
                <w:sz w:val="18"/>
                <w:szCs w:val="18"/>
              </w:rPr>
            </w:pPr>
            <w:r w:rsidRPr="00404DA5">
              <w:rPr>
                <w:rFonts w:cs="Calibri"/>
                <w:sz w:val="18"/>
                <w:szCs w:val="18"/>
              </w:rPr>
              <w:t>Działanie 9.4 Inwestycje</w:t>
            </w:r>
            <w:r w:rsidR="00E66B89">
              <w:rPr>
                <w:rFonts w:cs="Calibri"/>
                <w:sz w:val="18"/>
                <w:szCs w:val="18"/>
              </w:rPr>
              <w:t xml:space="preserve"> w </w:t>
            </w:r>
            <w:r w:rsidRPr="00404DA5">
              <w:rPr>
                <w:rFonts w:cs="Calibri"/>
                <w:sz w:val="18"/>
                <w:szCs w:val="18"/>
              </w:rPr>
              <w:t>infrastrukturę podmiotów prowadzących kształcenie ogólne na poziomie podstawowym, gimnazjalnym</w:t>
            </w:r>
            <w:r w:rsidR="00E66B89">
              <w:rPr>
                <w:rFonts w:cs="Calibri"/>
                <w:sz w:val="18"/>
                <w:szCs w:val="18"/>
              </w:rPr>
              <w:t xml:space="preserve"> i </w:t>
            </w:r>
            <w:r w:rsidRPr="00404DA5">
              <w:rPr>
                <w:rFonts w:cs="Calibri"/>
                <w:sz w:val="18"/>
                <w:szCs w:val="18"/>
              </w:rPr>
              <w:t>ponadgimnazjalnym</w:t>
            </w:r>
          </w:p>
        </w:tc>
      </w:tr>
      <w:tr w:rsidR="00DD2068" w:rsidRPr="000A135E" w14:paraId="18B87465" w14:textId="77777777" w:rsidTr="007A5088">
        <w:tc>
          <w:tcPr>
            <w:tcW w:w="0" w:type="auto"/>
            <w:shd w:val="clear" w:color="auto" w:fill="auto"/>
          </w:tcPr>
          <w:p w14:paraId="2C42C8F6" w14:textId="77777777" w:rsidR="00DD2068" w:rsidRPr="00404DA5" w:rsidRDefault="00DD2068" w:rsidP="007A5088">
            <w:pPr>
              <w:rPr>
                <w:rFonts w:cs="Calibri"/>
                <w:sz w:val="18"/>
                <w:szCs w:val="18"/>
              </w:rPr>
            </w:pPr>
            <w:r w:rsidRPr="00404DA5">
              <w:rPr>
                <w:rFonts w:cs="Calibri"/>
                <w:i/>
                <w:sz w:val="18"/>
                <w:szCs w:val="18"/>
              </w:rPr>
              <w:t>Liczba wspartych obiektów infrastruktury edukacji ogólnej</w:t>
            </w:r>
          </w:p>
        </w:tc>
        <w:tc>
          <w:tcPr>
            <w:tcW w:w="0" w:type="auto"/>
            <w:shd w:val="clear" w:color="auto" w:fill="auto"/>
            <w:vAlign w:val="center"/>
          </w:tcPr>
          <w:p w14:paraId="1924565F" w14:textId="77777777" w:rsidR="00DD2068" w:rsidRPr="00404DA5" w:rsidRDefault="00DD2068" w:rsidP="00C22C26">
            <w:pPr>
              <w:jc w:val="center"/>
              <w:rPr>
                <w:rFonts w:cs="Calibri"/>
                <w:sz w:val="18"/>
                <w:szCs w:val="18"/>
              </w:rPr>
            </w:pPr>
            <w:r w:rsidRPr="00404DA5">
              <w:rPr>
                <w:rFonts w:cs="Calibri"/>
                <w:sz w:val="18"/>
                <w:szCs w:val="18"/>
              </w:rPr>
              <w:t>6</w:t>
            </w:r>
          </w:p>
        </w:tc>
        <w:tc>
          <w:tcPr>
            <w:tcW w:w="0" w:type="auto"/>
            <w:shd w:val="clear" w:color="auto" w:fill="auto"/>
            <w:vAlign w:val="center"/>
          </w:tcPr>
          <w:p w14:paraId="22122C31"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2E3617B0"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c>
          <w:tcPr>
            <w:tcW w:w="0" w:type="auto"/>
            <w:shd w:val="clear" w:color="auto" w:fill="auto"/>
            <w:vAlign w:val="center"/>
          </w:tcPr>
          <w:p w14:paraId="6C378424"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28D544AD"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r>
      <w:tr w:rsidR="00DD2068" w:rsidRPr="000A135E" w14:paraId="3B76123F" w14:textId="77777777" w:rsidTr="007A5088">
        <w:tc>
          <w:tcPr>
            <w:tcW w:w="0" w:type="auto"/>
            <w:gridSpan w:val="6"/>
            <w:shd w:val="clear" w:color="auto" w:fill="auto"/>
          </w:tcPr>
          <w:p w14:paraId="77560E78" w14:textId="77777777" w:rsidR="00DD2068" w:rsidRPr="00404DA5" w:rsidRDefault="00DD2068" w:rsidP="007A5088">
            <w:pPr>
              <w:jc w:val="center"/>
              <w:rPr>
                <w:rFonts w:cs="Calibri"/>
                <w:sz w:val="18"/>
                <w:szCs w:val="18"/>
              </w:rPr>
            </w:pPr>
            <w:r w:rsidRPr="00404DA5">
              <w:rPr>
                <w:rFonts w:cs="Calibri"/>
                <w:sz w:val="18"/>
                <w:szCs w:val="18"/>
              </w:rPr>
              <w:t>Działanie 9.5 Inwestycje</w:t>
            </w:r>
            <w:r w:rsidR="00E66B89">
              <w:rPr>
                <w:rFonts w:cs="Calibri"/>
                <w:sz w:val="18"/>
                <w:szCs w:val="18"/>
              </w:rPr>
              <w:t xml:space="preserve"> w </w:t>
            </w:r>
            <w:r w:rsidRPr="00404DA5">
              <w:rPr>
                <w:rFonts w:cs="Calibri"/>
                <w:sz w:val="18"/>
                <w:szCs w:val="18"/>
              </w:rPr>
              <w:t>infrastrukturę podmiotów prowadzących kształcenie ogólne na poziomie podstawowym, gimnazjalnym</w:t>
            </w:r>
            <w:r w:rsidR="00E66B89">
              <w:rPr>
                <w:rFonts w:cs="Calibri"/>
                <w:sz w:val="18"/>
                <w:szCs w:val="18"/>
              </w:rPr>
              <w:t xml:space="preserve"> i </w:t>
            </w:r>
            <w:r w:rsidRPr="00404DA5">
              <w:rPr>
                <w:rFonts w:cs="Calibri"/>
                <w:sz w:val="18"/>
                <w:szCs w:val="18"/>
              </w:rPr>
              <w:t>ponadgimnazjalnym</w:t>
            </w:r>
            <w:r w:rsidR="00E66B89">
              <w:rPr>
                <w:rFonts w:cs="Calibri"/>
                <w:sz w:val="18"/>
                <w:szCs w:val="18"/>
              </w:rPr>
              <w:t xml:space="preserve"> w </w:t>
            </w:r>
            <w:r w:rsidRPr="00404DA5">
              <w:rPr>
                <w:rFonts w:cs="Calibri"/>
                <w:sz w:val="18"/>
                <w:szCs w:val="18"/>
              </w:rPr>
              <w:t>ramach Kontraktów Samorządowych</w:t>
            </w:r>
          </w:p>
        </w:tc>
      </w:tr>
      <w:tr w:rsidR="00DD2068" w:rsidRPr="000A135E" w14:paraId="561D389D" w14:textId="77777777" w:rsidTr="007A5088">
        <w:tc>
          <w:tcPr>
            <w:tcW w:w="0" w:type="auto"/>
            <w:shd w:val="clear" w:color="auto" w:fill="auto"/>
          </w:tcPr>
          <w:p w14:paraId="3BA6D015" w14:textId="77777777" w:rsidR="00DD2068" w:rsidRPr="00404DA5" w:rsidRDefault="00DD2068" w:rsidP="007A5088">
            <w:pPr>
              <w:rPr>
                <w:rFonts w:cs="Calibri"/>
                <w:sz w:val="18"/>
                <w:szCs w:val="18"/>
              </w:rPr>
            </w:pPr>
            <w:r w:rsidRPr="00404DA5">
              <w:rPr>
                <w:rFonts w:cs="Calibri"/>
                <w:i/>
                <w:sz w:val="18"/>
                <w:szCs w:val="18"/>
              </w:rPr>
              <w:t>Liczba wspartych obiektów infrastruktury edukacji ogólnej</w:t>
            </w:r>
          </w:p>
        </w:tc>
        <w:tc>
          <w:tcPr>
            <w:tcW w:w="0" w:type="auto"/>
            <w:shd w:val="clear" w:color="auto" w:fill="auto"/>
            <w:vAlign w:val="center"/>
          </w:tcPr>
          <w:p w14:paraId="09897D44" w14:textId="77777777" w:rsidR="00DD2068" w:rsidRPr="00404DA5" w:rsidRDefault="00DD2068" w:rsidP="00C22C26">
            <w:pPr>
              <w:jc w:val="center"/>
              <w:rPr>
                <w:rFonts w:cs="Calibri"/>
                <w:sz w:val="18"/>
                <w:szCs w:val="18"/>
              </w:rPr>
            </w:pPr>
            <w:r w:rsidRPr="00404DA5">
              <w:rPr>
                <w:rFonts w:cs="Calibri"/>
                <w:sz w:val="18"/>
                <w:szCs w:val="18"/>
              </w:rPr>
              <w:t>6</w:t>
            </w:r>
          </w:p>
        </w:tc>
        <w:tc>
          <w:tcPr>
            <w:tcW w:w="0" w:type="auto"/>
            <w:shd w:val="clear" w:color="auto" w:fill="auto"/>
            <w:vAlign w:val="center"/>
          </w:tcPr>
          <w:p w14:paraId="7A973FB0" w14:textId="77777777" w:rsidR="00DD2068" w:rsidRPr="00404DA5" w:rsidRDefault="00DD2068" w:rsidP="00C22C26">
            <w:pPr>
              <w:jc w:val="center"/>
              <w:rPr>
                <w:rFonts w:cs="Calibri"/>
                <w:sz w:val="18"/>
                <w:szCs w:val="18"/>
              </w:rPr>
            </w:pPr>
            <w:r w:rsidRPr="00404DA5">
              <w:rPr>
                <w:rFonts w:cs="Calibri"/>
                <w:sz w:val="18"/>
                <w:szCs w:val="18"/>
              </w:rPr>
              <w:t>7</w:t>
            </w:r>
          </w:p>
        </w:tc>
        <w:tc>
          <w:tcPr>
            <w:tcW w:w="0" w:type="auto"/>
            <w:shd w:val="clear" w:color="auto" w:fill="auto"/>
            <w:vAlign w:val="center"/>
          </w:tcPr>
          <w:p w14:paraId="177346AA" w14:textId="77777777" w:rsidR="00DD2068" w:rsidRPr="00404DA5" w:rsidRDefault="00DD2068" w:rsidP="00C22C26">
            <w:pPr>
              <w:jc w:val="center"/>
              <w:rPr>
                <w:rFonts w:cs="Calibri"/>
                <w:color w:val="000000"/>
                <w:sz w:val="18"/>
                <w:szCs w:val="18"/>
              </w:rPr>
            </w:pPr>
            <w:r w:rsidRPr="00404DA5">
              <w:rPr>
                <w:rFonts w:cs="Calibri"/>
                <w:color w:val="000000"/>
                <w:sz w:val="18"/>
                <w:szCs w:val="18"/>
              </w:rPr>
              <w:t>116,7%</w:t>
            </w:r>
          </w:p>
        </w:tc>
        <w:tc>
          <w:tcPr>
            <w:tcW w:w="0" w:type="auto"/>
            <w:shd w:val="clear" w:color="auto" w:fill="auto"/>
            <w:vAlign w:val="center"/>
          </w:tcPr>
          <w:p w14:paraId="3C6AA7D2" w14:textId="77777777" w:rsidR="00DD2068" w:rsidRPr="00404DA5" w:rsidRDefault="00DD2068" w:rsidP="00C22C26">
            <w:pPr>
              <w:jc w:val="center"/>
              <w:rPr>
                <w:rFonts w:cs="Calibri"/>
                <w:sz w:val="18"/>
                <w:szCs w:val="18"/>
              </w:rPr>
            </w:pPr>
            <w:r w:rsidRPr="00404DA5">
              <w:rPr>
                <w:rFonts w:cs="Calibri"/>
                <w:sz w:val="18"/>
                <w:szCs w:val="18"/>
              </w:rPr>
              <w:t>3</w:t>
            </w:r>
          </w:p>
        </w:tc>
        <w:tc>
          <w:tcPr>
            <w:tcW w:w="0" w:type="auto"/>
            <w:shd w:val="clear" w:color="auto" w:fill="auto"/>
            <w:vAlign w:val="center"/>
          </w:tcPr>
          <w:p w14:paraId="62B508BD" w14:textId="77777777" w:rsidR="00DD2068" w:rsidRPr="00404DA5" w:rsidRDefault="00DD2068" w:rsidP="00C22C26">
            <w:pPr>
              <w:jc w:val="center"/>
              <w:rPr>
                <w:rFonts w:cs="Calibri"/>
                <w:color w:val="000000"/>
                <w:sz w:val="18"/>
                <w:szCs w:val="18"/>
              </w:rPr>
            </w:pPr>
            <w:r w:rsidRPr="00404DA5">
              <w:rPr>
                <w:rFonts w:cs="Calibri"/>
                <w:color w:val="000000"/>
                <w:sz w:val="18"/>
                <w:szCs w:val="18"/>
              </w:rPr>
              <w:t>50,0%</w:t>
            </w:r>
          </w:p>
        </w:tc>
      </w:tr>
      <w:tr w:rsidR="00DD2068" w:rsidRPr="000A135E" w14:paraId="7729F0D7" w14:textId="77777777" w:rsidTr="007A5088">
        <w:tc>
          <w:tcPr>
            <w:tcW w:w="0" w:type="auto"/>
            <w:shd w:val="clear" w:color="auto" w:fill="auto"/>
          </w:tcPr>
          <w:p w14:paraId="3A11C5D6" w14:textId="77777777" w:rsidR="00DD2068" w:rsidRPr="00404DA5" w:rsidRDefault="00DD2068" w:rsidP="007A5088">
            <w:pPr>
              <w:rPr>
                <w:rFonts w:cs="Calibri"/>
                <w:sz w:val="18"/>
                <w:szCs w:val="18"/>
              </w:rPr>
            </w:pPr>
            <w:r w:rsidRPr="00404DA5">
              <w:rPr>
                <w:rFonts w:cs="Calibri"/>
                <w:i/>
                <w:sz w:val="18"/>
                <w:szCs w:val="18"/>
              </w:rPr>
              <w:t>Liczba miejsc</w:t>
            </w:r>
            <w:r w:rsidR="00E66B89">
              <w:rPr>
                <w:rFonts w:cs="Calibri"/>
                <w:i/>
                <w:sz w:val="18"/>
                <w:szCs w:val="18"/>
              </w:rPr>
              <w:t xml:space="preserve"> w </w:t>
            </w:r>
            <w:r w:rsidRPr="00404DA5">
              <w:rPr>
                <w:rFonts w:cs="Calibri"/>
                <w:i/>
                <w:sz w:val="18"/>
                <w:szCs w:val="18"/>
              </w:rPr>
              <w:t>objętej wsparciem infrastrukturze</w:t>
            </w:r>
            <w:r w:rsidR="00E66B89">
              <w:rPr>
                <w:rFonts w:cs="Calibri"/>
                <w:i/>
                <w:sz w:val="18"/>
                <w:szCs w:val="18"/>
              </w:rPr>
              <w:t xml:space="preserve"> w </w:t>
            </w:r>
            <w:r w:rsidRPr="00404DA5">
              <w:rPr>
                <w:rFonts w:cs="Calibri"/>
                <w:i/>
                <w:sz w:val="18"/>
                <w:szCs w:val="18"/>
              </w:rPr>
              <w:t>zakresie opieki nad dziećmi lub infrastrukturze edukacyjnej</w:t>
            </w:r>
          </w:p>
        </w:tc>
        <w:tc>
          <w:tcPr>
            <w:tcW w:w="0" w:type="auto"/>
            <w:shd w:val="clear" w:color="auto" w:fill="auto"/>
            <w:vAlign w:val="center"/>
          </w:tcPr>
          <w:p w14:paraId="56DF84AC" w14:textId="77777777" w:rsidR="00DD2068" w:rsidRPr="00404DA5" w:rsidRDefault="00DD2068" w:rsidP="00C22C26">
            <w:pPr>
              <w:jc w:val="center"/>
              <w:rPr>
                <w:rFonts w:cs="Calibri"/>
                <w:color w:val="000000"/>
                <w:sz w:val="18"/>
                <w:szCs w:val="18"/>
              </w:rPr>
            </w:pPr>
            <w:r w:rsidRPr="00404DA5">
              <w:rPr>
                <w:rFonts w:cs="Calibri"/>
                <w:color w:val="000000"/>
                <w:sz w:val="18"/>
                <w:szCs w:val="18"/>
              </w:rPr>
              <w:t>5822</w:t>
            </w:r>
          </w:p>
        </w:tc>
        <w:tc>
          <w:tcPr>
            <w:tcW w:w="0" w:type="auto"/>
            <w:shd w:val="clear" w:color="auto" w:fill="auto"/>
            <w:vAlign w:val="center"/>
          </w:tcPr>
          <w:p w14:paraId="57F1A3D5" w14:textId="77777777" w:rsidR="00DD2068" w:rsidRPr="00404DA5" w:rsidRDefault="00DD2068" w:rsidP="00C22C26">
            <w:pPr>
              <w:jc w:val="center"/>
              <w:rPr>
                <w:rFonts w:cs="Calibri"/>
                <w:color w:val="000000"/>
                <w:sz w:val="18"/>
                <w:szCs w:val="18"/>
              </w:rPr>
            </w:pPr>
            <w:r w:rsidRPr="00404DA5">
              <w:rPr>
                <w:rFonts w:cs="Calibri"/>
                <w:color w:val="000000"/>
                <w:sz w:val="18"/>
                <w:szCs w:val="18"/>
              </w:rPr>
              <w:t>1 333</w:t>
            </w:r>
          </w:p>
        </w:tc>
        <w:tc>
          <w:tcPr>
            <w:tcW w:w="0" w:type="auto"/>
            <w:shd w:val="clear" w:color="auto" w:fill="auto"/>
            <w:vAlign w:val="center"/>
          </w:tcPr>
          <w:p w14:paraId="6C270B0D" w14:textId="77777777" w:rsidR="00DD2068" w:rsidRPr="00404DA5" w:rsidRDefault="00DD2068" w:rsidP="00C22C26">
            <w:pPr>
              <w:jc w:val="center"/>
              <w:rPr>
                <w:rFonts w:cs="Calibri"/>
                <w:color w:val="000000"/>
                <w:sz w:val="18"/>
                <w:szCs w:val="18"/>
              </w:rPr>
            </w:pPr>
            <w:r w:rsidRPr="00404DA5">
              <w:rPr>
                <w:rFonts w:cs="Calibri"/>
                <w:color w:val="000000"/>
                <w:sz w:val="18"/>
                <w:szCs w:val="18"/>
              </w:rPr>
              <w:t>22,9%</w:t>
            </w:r>
          </w:p>
        </w:tc>
        <w:tc>
          <w:tcPr>
            <w:tcW w:w="0" w:type="auto"/>
            <w:shd w:val="clear" w:color="auto" w:fill="auto"/>
            <w:vAlign w:val="center"/>
          </w:tcPr>
          <w:p w14:paraId="30DFE869" w14:textId="77777777" w:rsidR="00DD2068" w:rsidRPr="00404DA5" w:rsidRDefault="00DD2068" w:rsidP="00C22C26">
            <w:pPr>
              <w:jc w:val="center"/>
              <w:rPr>
                <w:rFonts w:cs="Calibri"/>
                <w:sz w:val="18"/>
                <w:szCs w:val="18"/>
              </w:rPr>
            </w:pPr>
            <w:r w:rsidRPr="00404DA5">
              <w:rPr>
                <w:rFonts w:cs="Calibri"/>
                <w:sz w:val="18"/>
                <w:szCs w:val="18"/>
              </w:rPr>
              <w:t>72</w:t>
            </w:r>
          </w:p>
        </w:tc>
        <w:tc>
          <w:tcPr>
            <w:tcW w:w="0" w:type="auto"/>
            <w:shd w:val="clear" w:color="auto" w:fill="auto"/>
            <w:vAlign w:val="center"/>
          </w:tcPr>
          <w:p w14:paraId="18E3D332" w14:textId="77777777" w:rsidR="00DD2068" w:rsidRPr="00404DA5" w:rsidRDefault="00DD2068" w:rsidP="00C22C26">
            <w:pPr>
              <w:jc w:val="center"/>
              <w:rPr>
                <w:rFonts w:cs="Calibri"/>
                <w:color w:val="000000"/>
                <w:sz w:val="18"/>
                <w:szCs w:val="18"/>
              </w:rPr>
            </w:pPr>
            <w:r w:rsidRPr="00404DA5">
              <w:rPr>
                <w:rFonts w:cs="Calibri"/>
                <w:color w:val="000000"/>
                <w:sz w:val="18"/>
                <w:szCs w:val="18"/>
              </w:rPr>
              <w:t>1,2%</w:t>
            </w:r>
          </w:p>
        </w:tc>
      </w:tr>
      <w:tr w:rsidR="00DD2068" w:rsidRPr="000A135E" w14:paraId="43D45466" w14:textId="77777777" w:rsidTr="007A5088">
        <w:tc>
          <w:tcPr>
            <w:tcW w:w="0" w:type="auto"/>
            <w:gridSpan w:val="6"/>
            <w:shd w:val="clear" w:color="auto" w:fill="auto"/>
          </w:tcPr>
          <w:p w14:paraId="1F09537B" w14:textId="77777777" w:rsidR="00DD2068" w:rsidRPr="00404DA5" w:rsidRDefault="00DD2068" w:rsidP="007A5088">
            <w:pPr>
              <w:jc w:val="center"/>
              <w:rPr>
                <w:rFonts w:cs="Calibri"/>
                <w:sz w:val="18"/>
                <w:szCs w:val="18"/>
              </w:rPr>
            </w:pPr>
            <w:r w:rsidRPr="00404DA5">
              <w:rPr>
                <w:rFonts w:cs="Calibri"/>
                <w:sz w:val="18"/>
                <w:szCs w:val="18"/>
              </w:rPr>
              <w:t>Działanie 9.6 Ośrodki popularyzujące naukę</w:t>
            </w:r>
          </w:p>
        </w:tc>
      </w:tr>
      <w:tr w:rsidR="00DD2068" w:rsidRPr="000A135E" w14:paraId="0D9D273D" w14:textId="77777777" w:rsidTr="007A5088">
        <w:tc>
          <w:tcPr>
            <w:tcW w:w="0" w:type="auto"/>
            <w:shd w:val="clear" w:color="auto" w:fill="auto"/>
          </w:tcPr>
          <w:p w14:paraId="43B6A82B" w14:textId="77777777" w:rsidR="00DD2068" w:rsidRPr="00404DA5" w:rsidRDefault="00DD2068" w:rsidP="007A5088">
            <w:pPr>
              <w:rPr>
                <w:rFonts w:cs="Calibri"/>
                <w:sz w:val="18"/>
                <w:szCs w:val="18"/>
              </w:rPr>
            </w:pPr>
            <w:r w:rsidRPr="00404DA5">
              <w:rPr>
                <w:rFonts w:cs="Calibri"/>
                <w:i/>
                <w:sz w:val="18"/>
                <w:szCs w:val="18"/>
              </w:rPr>
              <w:t>Liczba wspartych instytucji popularyzujących naukę</w:t>
            </w:r>
            <w:r w:rsidR="00E66B89">
              <w:rPr>
                <w:rFonts w:cs="Calibri"/>
                <w:i/>
                <w:sz w:val="18"/>
                <w:szCs w:val="18"/>
              </w:rPr>
              <w:t xml:space="preserve"> i </w:t>
            </w:r>
            <w:r w:rsidRPr="00404DA5">
              <w:rPr>
                <w:rFonts w:cs="Calibri"/>
                <w:i/>
                <w:sz w:val="18"/>
                <w:szCs w:val="18"/>
              </w:rPr>
              <w:t>innowacje</w:t>
            </w:r>
          </w:p>
        </w:tc>
        <w:tc>
          <w:tcPr>
            <w:tcW w:w="0" w:type="auto"/>
            <w:shd w:val="clear" w:color="auto" w:fill="auto"/>
            <w:vAlign w:val="center"/>
          </w:tcPr>
          <w:p w14:paraId="515E4EAA" w14:textId="77777777" w:rsidR="00DD2068" w:rsidRPr="00404DA5" w:rsidRDefault="00DD2068" w:rsidP="00C22C26">
            <w:pPr>
              <w:jc w:val="center"/>
              <w:rPr>
                <w:rFonts w:cs="Calibri"/>
                <w:sz w:val="18"/>
                <w:szCs w:val="18"/>
              </w:rPr>
            </w:pPr>
            <w:r w:rsidRPr="00404DA5">
              <w:rPr>
                <w:rFonts w:cs="Calibri"/>
                <w:sz w:val="18"/>
                <w:szCs w:val="18"/>
              </w:rPr>
              <w:t>7</w:t>
            </w:r>
          </w:p>
        </w:tc>
        <w:tc>
          <w:tcPr>
            <w:tcW w:w="0" w:type="auto"/>
            <w:shd w:val="clear" w:color="auto" w:fill="auto"/>
            <w:vAlign w:val="center"/>
          </w:tcPr>
          <w:p w14:paraId="29FCAFD1" w14:textId="77777777" w:rsidR="00DD2068" w:rsidRPr="00404DA5" w:rsidRDefault="00DD2068" w:rsidP="00C22C26">
            <w:pPr>
              <w:jc w:val="center"/>
              <w:rPr>
                <w:rFonts w:cs="Calibri"/>
                <w:sz w:val="18"/>
                <w:szCs w:val="18"/>
              </w:rPr>
            </w:pPr>
            <w:r w:rsidRPr="00404DA5">
              <w:rPr>
                <w:rFonts w:cs="Calibri"/>
                <w:sz w:val="18"/>
                <w:szCs w:val="18"/>
              </w:rPr>
              <w:t>1</w:t>
            </w:r>
          </w:p>
        </w:tc>
        <w:tc>
          <w:tcPr>
            <w:tcW w:w="0" w:type="auto"/>
            <w:shd w:val="clear" w:color="auto" w:fill="auto"/>
            <w:vAlign w:val="center"/>
          </w:tcPr>
          <w:p w14:paraId="5DF1B985" w14:textId="77777777" w:rsidR="00DD2068" w:rsidRPr="00404DA5" w:rsidRDefault="00DD2068" w:rsidP="00C22C26">
            <w:pPr>
              <w:jc w:val="center"/>
              <w:rPr>
                <w:rFonts w:cs="Calibri"/>
                <w:color w:val="000000"/>
                <w:sz w:val="18"/>
                <w:szCs w:val="18"/>
              </w:rPr>
            </w:pPr>
            <w:r w:rsidRPr="00404DA5">
              <w:rPr>
                <w:rFonts w:cs="Calibri"/>
                <w:color w:val="000000"/>
                <w:sz w:val="18"/>
                <w:szCs w:val="18"/>
              </w:rPr>
              <w:t>14,3%</w:t>
            </w:r>
          </w:p>
        </w:tc>
        <w:tc>
          <w:tcPr>
            <w:tcW w:w="0" w:type="auto"/>
            <w:shd w:val="clear" w:color="auto" w:fill="auto"/>
            <w:vAlign w:val="center"/>
          </w:tcPr>
          <w:p w14:paraId="1D66FFEE"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1375146C"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r>
      <w:tr w:rsidR="00DD2068" w:rsidRPr="000A135E" w14:paraId="08808F01" w14:textId="77777777" w:rsidTr="007A5088">
        <w:tc>
          <w:tcPr>
            <w:tcW w:w="0" w:type="auto"/>
            <w:shd w:val="clear" w:color="auto" w:fill="auto"/>
          </w:tcPr>
          <w:p w14:paraId="60F704E2" w14:textId="77777777" w:rsidR="00DD2068" w:rsidRPr="00404DA5" w:rsidRDefault="00DD2068" w:rsidP="007A5088">
            <w:pPr>
              <w:rPr>
                <w:rFonts w:cs="Calibri"/>
                <w:sz w:val="18"/>
                <w:szCs w:val="18"/>
              </w:rPr>
            </w:pPr>
            <w:r w:rsidRPr="00404DA5">
              <w:rPr>
                <w:rFonts w:cs="Calibri"/>
                <w:i/>
                <w:sz w:val="18"/>
                <w:szCs w:val="18"/>
              </w:rPr>
              <w:t>Liczba odwiedzających instytucje popularyzujące naukę</w:t>
            </w:r>
            <w:r w:rsidR="00E66B89">
              <w:rPr>
                <w:rFonts w:cs="Calibri"/>
                <w:i/>
                <w:sz w:val="18"/>
                <w:szCs w:val="18"/>
              </w:rPr>
              <w:t xml:space="preserve"> i </w:t>
            </w:r>
            <w:r w:rsidRPr="00404DA5">
              <w:rPr>
                <w:rFonts w:cs="Calibri"/>
                <w:i/>
                <w:sz w:val="18"/>
                <w:szCs w:val="18"/>
              </w:rPr>
              <w:t>innowacje</w:t>
            </w:r>
            <w:r w:rsidR="00E66B89">
              <w:rPr>
                <w:rFonts w:cs="Calibri"/>
                <w:i/>
                <w:sz w:val="18"/>
                <w:szCs w:val="18"/>
              </w:rPr>
              <w:t xml:space="preserve"> w </w:t>
            </w:r>
            <w:r w:rsidRPr="00404DA5">
              <w:rPr>
                <w:rFonts w:cs="Calibri"/>
                <w:i/>
                <w:sz w:val="18"/>
                <w:szCs w:val="18"/>
              </w:rPr>
              <w:t>zorganizowanych grupach szkolnych</w:t>
            </w:r>
          </w:p>
        </w:tc>
        <w:tc>
          <w:tcPr>
            <w:tcW w:w="0" w:type="auto"/>
            <w:shd w:val="clear" w:color="auto" w:fill="auto"/>
            <w:vAlign w:val="center"/>
          </w:tcPr>
          <w:p w14:paraId="7F833501" w14:textId="77777777" w:rsidR="00DD2068" w:rsidRPr="00404DA5" w:rsidRDefault="00DD2068" w:rsidP="00C22C26">
            <w:pPr>
              <w:jc w:val="center"/>
              <w:rPr>
                <w:rFonts w:cs="Calibri"/>
                <w:color w:val="000000"/>
                <w:sz w:val="18"/>
                <w:szCs w:val="18"/>
              </w:rPr>
            </w:pPr>
            <w:r w:rsidRPr="00404DA5">
              <w:rPr>
                <w:rFonts w:cs="Calibri"/>
                <w:color w:val="000000"/>
                <w:sz w:val="18"/>
                <w:szCs w:val="18"/>
              </w:rPr>
              <w:t>49200</w:t>
            </w:r>
          </w:p>
        </w:tc>
        <w:tc>
          <w:tcPr>
            <w:tcW w:w="0" w:type="auto"/>
            <w:shd w:val="clear" w:color="auto" w:fill="auto"/>
            <w:vAlign w:val="center"/>
          </w:tcPr>
          <w:p w14:paraId="67955E92" w14:textId="77777777" w:rsidR="00DD2068" w:rsidRPr="00404DA5" w:rsidRDefault="00DD2068" w:rsidP="00C22C26">
            <w:pPr>
              <w:jc w:val="center"/>
              <w:rPr>
                <w:rFonts w:cs="Calibri"/>
                <w:sz w:val="18"/>
                <w:szCs w:val="18"/>
              </w:rPr>
            </w:pPr>
            <w:r w:rsidRPr="00404DA5">
              <w:rPr>
                <w:rFonts w:cs="Calibri"/>
                <w:sz w:val="18"/>
                <w:szCs w:val="18"/>
              </w:rPr>
              <w:t>108000</w:t>
            </w:r>
          </w:p>
        </w:tc>
        <w:tc>
          <w:tcPr>
            <w:tcW w:w="0" w:type="auto"/>
            <w:shd w:val="clear" w:color="auto" w:fill="auto"/>
            <w:vAlign w:val="center"/>
          </w:tcPr>
          <w:p w14:paraId="685A06F1" w14:textId="77777777" w:rsidR="00DD2068" w:rsidRPr="00404DA5" w:rsidRDefault="00DD2068" w:rsidP="00C22C26">
            <w:pPr>
              <w:jc w:val="center"/>
              <w:rPr>
                <w:rFonts w:cs="Calibri"/>
                <w:color w:val="000000"/>
                <w:sz w:val="18"/>
                <w:szCs w:val="18"/>
              </w:rPr>
            </w:pPr>
            <w:r w:rsidRPr="00404DA5">
              <w:rPr>
                <w:rFonts w:cs="Calibri"/>
                <w:color w:val="000000"/>
                <w:sz w:val="18"/>
                <w:szCs w:val="18"/>
              </w:rPr>
              <w:t>219,5%</w:t>
            </w:r>
          </w:p>
        </w:tc>
        <w:tc>
          <w:tcPr>
            <w:tcW w:w="0" w:type="auto"/>
            <w:shd w:val="clear" w:color="auto" w:fill="auto"/>
            <w:vAlign w:val="center"/>
          </w:tcPr>
          <w:p w14:paraId="60C927B6"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20055AFE"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r>
      <w:tr w:rsidR="00DD2068" w:rsidRPr="000A135E" w14:paraId="1E9125C8" w14:textId="77777777" w:rsidTr="007A5088">
        <w:tc>
          <w:tcPr>
            <w:tcW w:w="0" w:type="auto"/>
            <w:gridSpan w:val="6"/>
            <w:shd w:val="clear" w:color="auto" w:fill="auto"/>
          </w:tcPr>
          <w:p w14:paraId="46FACCD7" w14:textId="77777777" w:rsidR="00DD2068" w:rsidRPr="00404DA5" w:rsidRDefault="00DD2068" w:rsidP="007A5088">
            <w:pPr>
              <w:jc w:val="center"/>
              <w:rPr>
                <w:rFonts w:cs="Calibri"/>
                <w:sz w:val="18"/>
                <w:szCs w:val="18"/>
              </w:rPr>
            </w:pPr>
            <w:r w:rsidRPr="00404DA5">
              <w:rPr>
                <w:rFonts w:cs="Calibri"/>
                <w:sz w:val="18"/>
                <w:szCs w:val="18"/>
              </w:rPr>
              <w:t>Działanie 9.7 Ośrodki popularyzujące naukę</w:t>
            </w:r>
            <w:r w:rsidR="00E66B89">
              <w:rPr>
                <w:rFonts w:cs="Calibri"/>
                <w:sz w:val="18"/>
                <w:szCs w:val="18"/>
              </w:rPr>
              <w:t xml:space="preserve"> w </w:t>
            </w:r>
            <w:r w:rsidRPr="00404DA5">
              <w:rPr>
                <w:rFonts w:cs="Calibri"/>
                <w:sz w:val="18"/>
                <w:szCs w:val="18"/>
              </w:rPr>
              <w:t>ramach Kontraktów Samorządowych</w:t>
            </w:r>
          </w:p>
        </w:tc>
      </w:tr>
      <w:tr w:rsidR="00DD2068" w:rsidRPr="000A135E" w14:paraId="6E59FFA3" w14:textId="77777777" w:rsidTr="007A5088">
        <w:tc>
          <w:tcPr>
            <w:tcW w:w="0" w:type="auto"/>
            <w:shd w:val="clear" w:color="auto" w:fill="auto"/>
          </w:tcPr>
          <w:p w14:paraId="41631CAF" w14:textId="77777777" w:rsidR="00DD2068" w:rsidRPr="00404DA5" w:rsidRDefault="00DD2068" w:rsidP="007A5088">
            <w:pPr>
              <w:rPr>
                <w:rFonts w:cs="Calibri"/>
                <w:sz w:val="18"/>
                <w:szCs w:val="18"/>
              </w:rPr>
            </w:pPr>
            <w:r w:rsidRPr="00404DA5">
              <w:rPr>
                <w:rFonts w:cs="Calibri"/>
                <w:i/>
                <w:sz w:val="18"/>
                <w:szCs w:val="18"/>
              </w:rPr>
              <w:t>Liczba wspartych instytucji popularyzujących naukę</w:t>
            </w:r>
            <w:r w:rsidR="00E66B89">
              <w:rPr>
                <w:rFonts w:cs="Calibri"/>
                <w:i/>
                <w:sz w:val="18"/>
                <w:szCs w:val="18"/>
              </w:rPr>
              <w:t xml:space="preserve"> i </w:t>
            </w:r>
            <w:r w:rsidRPr="00404DA5">
              <w:rPr>
                <w:rFonts w:cs="Calibri"/>
                <w:i/>
                <w:sz w:val="18"/>
                <w:szCs w:val="18"/>
              </w:rPr>
              <w:t>innowacje</w:t>
            </w:r>
          </w:p>
        </w:tc>
        <w:tc>
          <w:tcPr>
            <w:tcW w:w="0" w:type="auto"/>
            <w:shd w:val="clear" w:color="auto" w:fill="auto"/>
            <w:vAlign w:val="center"/>
          </w:tcPr>
          <w:p w14:paraId="125033CD" w14:textId="77777777" w:rsidR="00DD2068" w:rsidRPr="00404DA5" w:rsidRDefault="00DD2068" w:rsidP="00C22C26">
            <w:pPr>
              <w:jc w:val="center"/>
              <w:rPr>
                <w:rFonts w:cs="Calibri"/>
                <w:sz w:val="18"/>
                <w:szCs w:val="18"/>
              </w:rPr>
            </w:pPr>
            <w:r w:rsidRPr="00404DA5">
              <w:rPr>
                <w:rFonts w:cs="Calibri"/>
                <w:sz w:val="18"/>
                <w:szCs w:val="18"/>
              </w:rPr>
              <w:t>7</w:t>
            </w:r>
          </w:p>
        </w:tc>
        <w:tc>
          <w:tcPr>
            <w:tcW w:w="0" w:type="auto"/>
            <w:shd w:val="clear" w:color="auto" w:fill="auto"/>
            <w:vAlign w:val="center"/>
          </w:tcPr>
          <w:p w14:paraId="29E00B3A" w14:textId="77777777" w:rsidR="00DD2068" w:rsidRPr="00404DA5" w:rsidRDefault="00DD2068" w:rsidP="00C22C26">
            <w:pPr>
              <w:jc w:val="center"/>
              <w:rPr>
                <w:rFonts w:cs="Calibri"/>
                <w:sz w:val="18"/>
                <w:szCs w:val="18"/>
              </w:rPr>
            </w:pPr>
            <w:r w:rsidRPr="00404DA5">
              <w:rPr>
                <w:rFonts w:cs="Calibri"/>
                <w:sz w:val="18"/>
                <w:szCs w:val="18"/>
              </w:rPr>
              <w:t>3</w:t>
            </w:r>
          </w:p>
        </w:tc>
        <w:tc>
          <w:tcPr>
            <w:tcW w:w="0" w:type="auto"/>
            <w:shd w:val="clear" w:color="auto" w:fill="auto"/>
            <w:vAlign w:val="center"/>
          </w:tcPr>
          <w:p w14:paraId="131B7C0D" w14:textId="77777777" w:rsidR="00DD2068" w:rsidRPr="00404DA5" w:rsidRDefault="00DD2068" w:rsidP="00C22C26">
            <w:pPr>
              <w:jc w:val="center"/>
              <w:rPr>
                <w:rFonts w:cs="Calibri"/>
                <w:color w:val="000000"/>
                <w:sz w:val="18"/>
                <w:szCs w:val="18"/>
              </w:rPr>
            </w:pPr>
            <w:r w:rsidRPr="00404DA5">
              <w:rPr>
                <w:rFonts w:cs="Calibri"/>
                <w:color w:val="000000"/>
                <w:sz w:val="18"/>
                <w:szCs w:val="18"/>
              </w:rPr>
              <w:t>42,9%</w:t>
            </w:r>
          </w:p>
        </w:tc>
        <w:tc>
          <w:tcPr>
            <w:tcW w:w="0" w:type="auto"/>
            <w:shd w:val="clear" w:color="auto" w:fill="auto"/>
            <w:vAlign w:val="center"/>
          </w:tcPr>
          <w:p w14:paraId="2072B93E" w14:textId="77777777" w:rsidR="00DD2068" w:rsidRPr="00404DA5" w:rsidRDefault="00DD2068" w:rsidP="00C22C26">
            <w:pPr>
              <w:jc w:val="center"/>
              <w:rPr>
                <w:rFonts w:cs="Calibri"/>
                <w:sz w:val="18"/>
                <w:szCs w:val="18"/>
              </w:rPr>
            </w:pPr>
            <w:r w:rsidRPr="00404DA5">
              <w:rPr>
                <w:rFonts w:cs="Calibri"/>
                <w:sz w:val="18"/>
                <w:szCs w:val="18"/>
              </w:rPr>
              <w:t>1</w:t>
            </w:r>
          </w:p>
        </w:tc>
        <w:tc>
          <w:tcPr>
            <w:tcW w:w="0" w:type="auto"/>
            <w:shd w:val="clear" w:color="auto" w:fill="auto"/>
            <w:vAlign w:val="center"/>
          </w:tcPr>
          <w:p w14:paraId="6C39540A" w14:textId="77777777" w:rsidR="00DD2068" w:rsidRPr="00404DA5" w:rsidRDefault="00DD2068" w:rsidP="00C22C26">
            <w:pPr>
              <w:jc w:val="center"/>
              <w:rPr>
                <w:rFonts w:cs="Calibri"/>
                <w:color w:val="000000"/>
                <w:sz w:val="18"/>
                <w:szCs w:val="18"/>
              </w:rPr>
            </w:pPr>
            <w:r w:rsidRPr="00404DA5">
              <w:rPr>
                <w:rFonts w:cs="Calibri"/>
                <w:color w:val="000000"/>
                <w:sz w:val="18"/>
                <w:szCs w:val="18"/>
              </w:rPr>
              <w:t>14,3%</w:t>
            </w:r>
          </w:p>
        </w:tc>
      </w:tr>
      <w:tr w:rsidR="00DD2068" w:rsidRPr="000A135E" w14:paraId="11080D29" w14:textId="77777777" w:rsidTr="007A5088">
        <w:tc>
          <w:tcPr>
            <w:tcW w:w="0" w:type="auto"/>
            <w:shd w:val="clear" w:color="auto" w:fill="auto"/>
          </w:tcPr>
          <w:p w14:paraId="0DB101BC" w14:textId="77777777" w:rsidR="00DD2068" w:rsidRPr="00404DA5" w:rsidRDefault="00DD2068" w:rsidP="007A5088">
            <w:pPr>
              <w:rPr>
                <w:rFonts w:cs="Calibri"/>
                <w:sz w:val="18"/>
                <w:szCs w:val="18"/>
              </w:rPr>
            </w:pPr>
            <w:r w:rsidRPr="00404DA5">
              <w:rPr>
                <w:rFonts w:cs="Calibri"/>
                <w:i/>
                <w:sz w:val="18"/>
                <w:szCs w:val="18"/>
              </w:rPr>
              <w:t>Liczba odwiedzających instytucje popularyzujące naukę</w:t>
            </w:r>
            <w:r w:rsidR="00E66B89">
              <w:rPr>
                <w:rFonts w:cs="Calibri"/>
                <w:i/>
                <w:sz w:val="18"/>
                <w:szCs w:val="18"/>
              </w:rPr>
              <w:t xml:space="preserve"> i </w:t>
            </w:r>
            <w:r w:rsidRPr="00404DA5">
              <w:rPr>
                <w:rFonts w:cs="Calibri"/>
                <w:i/>
                <w:sz w:val="18"/>
                <w:szCs w:val="18"/>
              </w:rPr>
              <w:t>innowacje</w:t>
            </w:r>
            <w:r w:rsidR="00E66B89">
              <w:rPr>
                <w:rFonts w:cs="Calibri"/>
                <w:i/>
                <w:sz w:val="18"/>
                <w:szCs w:val="18"/>
              </w:rPr>
              <w:t xml:space="preserve"> w </w:t>
            </w:r>
            <w:r w:rsidRPr="00404DA5">
              <w:rPr>
                <w:rFonts w:cs="Calibri"/>
                <w:i/>
                <w:sz w:val="18"/>
                <w:szCs w:val="18"/>
              </w:rPr>
              <w:t>zorganizowanych grupach szkolnych</w:t>
            </w:r>
          </w:p>
        </w:tc>
        <w:tc>
          <w:tcPr>
            <w:tcW w:w="0" w:type="auto"/>
            <w:shd w:val="clear" w:color="auto" w:fill="auto"/>
            <w:vAlign w:val="center"/>
          </w:tcPr>
          <w:p w14:paraId="5A9C43F7" w14:textId="77777777" w:rsidR="00DD2068" w:rsidRPr="00404DA5" w:rsidRDefault="00DD2068" w:rsidP="00C22C26">
            <w:pPr>
              <w:jc w:val="center"/>
              <w:rPr>
                <w:rFonts w:cs="Calibri"/>
                <w:color w:val="000000"/>
                <w:sz w:val="18"/>
                <w:szCs w:val="18"/>
              </w:rPr>
            </w:pPr>
            <w:r w:rsidRPr="00404DA5">
              <w:rPr>
                <w:rFonts w:cs="Calibri"/>
                <w:color w:val="000000"/>
                <w:sz w:val="18"/>
                <w:szCs w:val="18"/>
              </w:rPr>
              <w:t>49200</w:t>
            </w:r>
          </w:p>
          <w:p w14:paraId="37E83D30" w14:textId="77777777" w:rsidR="00DD2068" w:rsidRPr="00404DA5" w:rsidRDefault="00DD2068" w:rsidP="00C22C26">
            <w:pPr>
              <w:jc w:val="center"/>
              <w:rPr>
                <w:rFonts w:cs="Calibri"/>
                <w:sz w:val="18"/>
                <w:szCs w:val="18"/>
              </w:rPr>
            </w:pPr>
          </w:p>
        </w:tc>
        <w:tc>
          <w:tcPr>
            <w:tcW w:w="0" w:type="auto"/>
            <w:shd w:val="clear" w:color="auto" w:fill="auto"/>
            <w:vAlign w:val="center"/>
          </w:tcPr>
          <w:p w14:paraId="638027D6" w14:textId="77777777" w:rsidR="00DD2068" w:rsidRPr="00404DA5" w:rsidRDefault="00DD2068" w:rsidP="00C22C26">
            <w:pPr>
              <w:jc w:val="center"/>
              <w:rPr>
                <w:rFonts w:cs="Calibri"/>
                <w:color w:val="000000"/>
                <w:sz w:val="18"/>
                <w:szCs w:val="18"/>
              </w:rPr>
            </w:pPr>
            <w:r w:rsidRPr="00404DA5">
              <w:rPr>
                <w:rFonts w:cs="Calibri"/>
                <w:color w:val="000000"/>
                <w:sz w:val="18"/>
                <w:szCs w:val="18"/>
              </w:rPr>
              <w:t>15 400</w:t>
            </w:r>
          </w:p>
          <w:p w14:paraId="46852EEF" w14:textId="77777777" w:rsidR="00DD2068" w:rsidRPr="00404DA5" w:rsidRDefault="00DD2068" w:rsidP="00C22C26">
            <w:pPr>
              <w:jc w:val="center"/>
              <w:rPr>
                <w:rFonts w:cs="Calibri"/>
                <w:sz w:val="18"/>
                <w:szCs w:val="18"/>
              </w:rPr>
            </w:pPr>
          </w:p>
        </w:tc>
        <w:tc>
          <w:tcPr>
            <w:tcW w:w="0" w:type="auto"/>
            <w:shd w:val="clear" w:color="auto" w:fill="auto"/>
            <w:vAlign w:val="center"/>
          </w:tcPr>
          <w:p w14:paraId="7E6659C4" w14:textId="77777777" w:rsidR="00DD2068" w:rsidRPr="00404DA5" w:rsidRDefault="00DD2068" w:rsidP="00C22C26">
            <w:pPr>
              <w:jc w:val="center"/>
              <w:rPr>
                <w:rFonts w:cs="Calibri"/>
                <w:color w:val="000000"/>
                <w:sz w:val="18"/>
                <w:szCs w:val="18"/>
              </w:rPr>
            </w:pPr>
            <w:r w:rsidRPr="00404DA5">
              <w:rPr>
                <w:rFonts w:cs="Calibri"/>
                <w:color w:val="000000"/>
                <w:sz w:val="18"/>
                <w:szCs w:val="18"/>
              </w:rPr>
              <w:t>31,3%</w:t>
            </w:r>
          </w:p>
          <w:p w14:paraId="378EB754" w14:textId="77777777" w:rsidR="00DD2068" w:rsidRPr="00404DA5" w:rsidRDefault="00DD2068" w:rsidP="00C22C26">
            <w:pPr>
              <w:jc w:val="center"/>
              <w:rPr>
                <w:rFonts w:cs="Calibri"/>
                <w:sz w:val="18"/>
                <w:szCs w:val="18"/>
              </w:rPr>
            </w:pPr>
          </w:p>
        </w:tc>
        <w:tc>
          <w:tcPr>
            <w:tcW w:w="0" w:type="auto"/>
            <w:shd w:val="clear" w:color="auto" w:fill="auto"/>
            <w:vAlign w:val="center"/>
          </w:tcPr>
          <w:p w14:paraId="791BE68E" w14:textId="77777777" w:rsidR="00DD2068" w:rsidRPr="00404DA5" w:rsidRDefault="00DD2068" w:rsidP="00C22C26">
            <w:pPr>
              <w:jc w:val="center"/>
              <w:rPr>
                <w:rFonts w:cs="Calibri"/>
                <w:color w:val="000000"/>
                <w:sz w:val="18"/>
                <w:szCs w:val="18"/>
              </w:rPr>
            </w:pPr>
            <w:r w:rsidRPr="00404DA5">
              <w:rPr>
                <w:rFonts w:cs="Calibri"/>
                <w:color w:val="000000"/>
                <w:sz w:val="18"/>
                <w:szCs w:val="18"/>
              </w:rPr>
              <w:t>4 385</w:t>
            </w:r>
          </w:p>
          <w:p w14:paraId="3E68DC02" w14:textId="77777777" w:rsidR="00DD2068" w:rsidRPr="00404DA5" w:rsidRDefault="00DD2068" w:rsidP="00C22C26">
            <w:pPr>
              <w:jc w:val="center"/>
              <w:rPr>
                <w:rFonts w:cs="Calibri"/>
                <w:sz w:val="18"/>
                <w:szCs w:val="18"/>
              </w:rPr>
            </w:pPr>
          </w:p>
        </w:tc>
        <w:tc>
          <w:tcPr>
            <w:tcW w:w="0" w:type="auto"/>
            <w:shd w:val="clear" w:color="auto" w:fill="auto"/>
            <w:vAlign w:val="center"/>
          </w:tcPr>
          <w:p w14:paraId="57CD0D78" w14:textId="77777777" w:rsidR="00DD2068" w:rsidRPr="00404DA5" w:rsidRDefault="00DD2068" w:rsidP="00C22C26">
            <w:pPr>
              <w:jc w:val="center"/>
              <w:rPr>
                <w:rFonts w:cs="Calibri"/>
                <w:color w:val="000000"/>
                <w:sz w:val="18"/>
                <w:szCs w:val="18"/>
              </w:rPr>
            </w:pPr>
            <w:r w:rsidRPr="00404DA5">
              <w:rPr>
                <w:rFonts w:cs="Calibri"/>
                <w:color w:val="000000"/>
                <w:sz w:val="18"/>
                <w:szCs w:val="18"/>
              </w:rPr>
              <w:t>8,9%</w:t>
            </w:r>
          </w:p>
          <w:p w14:paraId="708A9F24" w14:textId="77777777" w:rsidR="00DD2068" w:rsidRPr="00404DA5" w:rsidRDefault="00DD2068" w:rsidP="00C22C26">
            <w:pPr>
              <w:jc w:val="center"/>
              <w:rPr>
                <w:rFonts w:cs="Calibri"/>
                <w:sz w:val="18"/>
                <w:szCs w:val="18"/>
              </w:rPr>
            </w:pPr>
          </w:p>
        </w:tc>
      </w:tr>
      <w:tr w:rsidR="00DD2068" w:rsidRPr="000A135E" w14:paraId="412278DB" w14:textId="77777777" w:rsidTr="007A5088">
        <w:tc>
          <w:tcPr>
            <w:tcW w:w="0" w:type="auto"/>
            <w:gridSpan w:val="6"/>
            <w:shd w:val="clear" w:color="auto" w:fill="auto"/>
            <w:vAlign w:val="center"/>
          </w:tcPr>
          <w:p w14:paraId="7CED92B7" w14:textId="77777777" w:rsidR="00DD2068" w:rsidRPr="00404DA5" w:rsidRDefault="00DD2068" w:rsidP="007A5088">
            <w:pPr>
              <w:jc w:val="center"/>
              <w:rPr>
                <w:rFonts w:cs="Calibri"/>
                <w:sz w:val="18"/>
                <w:szCs w:val="18"/>
              </w:rPr>
            </w:pPr>
            <w:r w:rsidRPr="00404DA5">
              <w:rPr>
                <w:rFonts w:cs="Calibri"/>
                <w:sz w:val="18"/>
                <w:szCs w:val="18"/>
              </w:rPr>
              <w:t>Działanie 9.8 Infrastruktura szkolnictwa zawodowego</w:t>
            </w:r>
          </w:p>
        </w:tc>
      </w:tr>
      <w:tr w:rsidR="00DD2068" w:rsidRPr="000A135E" w14:paraId="33AA8CFF" w14:textId="77777777" w:rsidTr="007A5088">
        <w:tc>
          <w:tcPr>
            <w:tcW w:w="0" w:type="auto"/>
            <w:shd w:val="clear" w:color="auto" w:fill="auto"/>
          </w:tcPr>
          <w:p w14:paraId="6283457E" w14:textId="77777777" w:rsidR="00DD2068" w:rsidRPr="00404DA5" w:rsidRDefault="00DD2068" w:rsidP="007A5088">
            <w:pPr>
              <w:rPr>
                <w:rFonts w:cs="Calibri"/>
                <w:sz w:val="18"/>
                <w:szCs w:val="18"/>
              </w:rPr>
            </w:pPr>
            <w:r w:rsidRPr="00404DA5">
              <w:rPr>
                <w:rFonts w:cs="Calibri"/>
                <w:i/>
                <w:sz w:val="18"/>
                <w:szCs w:val="18"/>
              </w:rPr>
              <w:t>Liczba wspartych obiektów infrastruktury kształcenia zawodowego</w:t>
            </w:r>
          </w:p>
        </w:tc>
        <w:tc>
          <w:tcPr>
            <w:tcW w:w="0" w:type="auto"/>
            <w:shd w:val="clear" w:color="auto" w:fill="auto"/>
            <w:vAlign w:val="center"/>
          </w:tcPr>
          <w:p w14:paraId="610DEE1B" w14:textId="77777777" w:rsidR="00DD2068" w:rsidRPr="00404DA5" w:rsidRDefault="00DD2068" w:rsidP="00C22C26">
            <w:pPr>
              <w:jc w:val="center"/>
              <w:rPr>
                <w:rFonts w:cs="Calibri"/>
                <w:sz w:val="18"/>
                <w:szCs w:val="18"/>
              </w:rPr>
            </w:pPr>
            <w:r w:rsidRPr="00404DA5">
              <w:rPr>
                <w:rFonts w:cs="Calibri"/>
                <w:sz w:val="18"/>
                <w:szCs w:val="18"/>
              </w:rPr>
              <w:t>18</w:t>
            </w:r>
          </w:p>
        </w:tc>
        <w:tc>
          <w:tcPr>
            <w:tcW w:w="0" w:type="auto"/>
            <w:shd w:val="clear" w:color="auto" w:fill="auto"/>
            <w:vAlign w:val="center"/>
          </w:tcPr>
          <w:p w14:paraId="6E745AE5" w14:textId="77777777" w:rsidR="00DD2068" w:rsidRPr="00404DA5" w:rsidRDefault="00DD2068" w:rsidP="00C22C26">
            <w:pPr>
              <w:jc w:val="center"/>
              <w:rPr>
                <w:rFonts w:cs="Calibri"/>
                <w:sz w:val="18"/>
                <w:szCs w:val="18"/>
              </w:rPr>
            </w:pPr>
            <w:r w:rsidRPr="00404DA5">
              <w:rPr>
                <w:rFonts w:cs="Calibri"/>
                <w:sz w:val="18"/>
                <w:szCs w:val="18"/>
              </w:rPr>
              <w:t>10</w:t>
            </w:r>
          </w:p>
        </w:tc>
        <w:tc>
          <w:tcPr>
            <w:tcW w:w="0" w:type="auto"/>
            <w:shd w:val="clear" w:color="auto" w:fill="auto"/>
            <w:vAlign w:val="center"/>
          </w:tcPr>
          <w:p w14:paraId="00D00246" w14:textId="77777777" w:rsidR="00DD2068" w:rsidRPr="00404DA5" w:rsidRDefault="00DD2068" w:rsidP="00C22C26">
            <w:pPr>
              <w:jc w:val="center"/>
              <w:rPr>
                <w:rFonts w:cs="Calibri"/>
                <w:color w:val="000000"/>
                <w:sz w:val="18"/>
                <w:szCs w:val="18"/>
              </w:rPr>
            </w:pPr>
            <w:r w:rsidRPr="00404DA5">
              <w:rPr>
                <w:rFonts w:cs="Calibri"/>
                <w:color w:val="000000"/>
                <w:sz w:val="18"/>
                <w:szCs w:val="18"/>
              </w:rPr>
              <w:t>55,6%</w:t>
            </w:r>
          </w:p>
        </w:tc>
        <w:tc>
          <w:tcPr>
            <w:tcW w:w="0" w:type="auto"/>
            <w:shd w:val="clear" w:color="auto" w:fill="auto"/>
            <w:vAlign w:val="center"/>
          </w:tcPr>
          <w:p w14:paraId="46F3ED4E"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16E393D2"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r>
      <w:tr w:rsidR="00DD2068" w:rsidRPr="000A135E" w14:paraId="6FCE009B" w14:textId="77777777" w:rsidTr="007A5088">
        <w:tc>
          <w:tcPr>
            <w:tcW w:w="0" w:type="auto"/>
            <w:shd w:val="clear" w:color="auto" w:fill="auto"/>
          </w:tcPr>
          <w:p w14:paraId="30EFE4D6" w14:textId="77777777" w:rsidR="00DD2068" w:rsidRPr="00404DA5" w:rsidRDefault="00DD2068" w:rsidP="007A5088">
            <w:pPr>
              <w:rPr>
                <w:rFonts w:cs="Calibri"/>
                <w:sz w:val="18"/>
                <w:szCs w:val="18"/>
              </w:rPr>
            </w:pPr>
            <w:r w:rsidRPr="00404DA5">
              <w:rPr>
                <w:rFonts w:cs="Calibri"/>
                <w:i/>
                <w:sz w:val="18"/>
                <w:szCs w:val="18"/>
              </w:rPr>
              <w:lastRenderedPageBreak/>
              <w:t>Liczba miejsc</w:t>
            </w:r>
            <w:r w:rsidR="00E66B89">
              <w:rPr>
                <w:rFonts w:cs="Calibri"/>
                <w:i/>
                <w:sz w:val="18"/>
                <w:szCs w:val="18"/>
              </w:rPr>
              <w:t xml:space="preserve"> w </w:t>
            </w:r>
            <w:r w:rsidRPr="00404DA5">
              <w:rPr>
                <w:rFonts w:cs="Calibri"/>
                <w:i/>
                <w:sz w:val="18"/>
                <w:szCs w:val="18"/>
              </w:rPr>
              <w:t>objętej wsparciem infrastrukturze</w:t>
            </w:r>
            <w:r w:rsidR="00E66B89">
              <w:rPr>
                <w:rFonts w:cs="Calibri"/>
                <w:i/>
                <w:sz w:val="18"/>
                <w:szCs w:val="18"/>
              </w:rPr>
              <w:t xml:space="preserve"> w </w:t>
            </w:r>
            <w:r w:rsidRPr="00404DA5">
              <w:rPr>
                <w:rFonts w:cs="Calibri"/>
                <w:i/>
                <w:sz w:val="18"/>
                <w:szCs w:val="18"/>
              </w:rPr>
              <w:t>zakresie opieki nad dziećmi lub infrastrukturze edukacyjnej</w:t>
            </w:r>
          </w:p>
        </w:tc>
        <w:tc>
          <w:tcPr>
            <w:tcW w:w="0" w:type="auto"/>
            <w:shd w:val="clear" w:color="auto" w:fill="auto"/>
            <w:vAlign w:val="center"/>
          </w:tcPr>
          <w:p w14:paraId="7E2AA32E" w14:textId="77777777" w:rsidR="00DD2068" w:rsidRPr="00404DA5" w:rsidRDefault="00DD2068" w:rsidP="00C22C26">
            <w:pPr>
              <w:jc w:val="center"/>
              <w:rPr>
                <w:rFonts w:cs="Calibri"/>
                <w:color w:val="000000"/>
                <w:sz w:val="18"/>
                <w:szCs w:val="18"/>
              </w:rPr>
            </w:pPr>
            <w:r w:rsidRPr="00404DA5">
              <w:rPr>
                <w:rFonts w:cs="Calibri"/>
                <w:color w:val="000000"/>
                <w:sz w:val="18"/>
                <w:szCs w:val="18"/>
              </w:rPr>
              <w:t>5822</w:t>
            </w:r>
          </w:p>
        </w:tc>
        <w:tc>
          <w:tcPr>
            <w:tcW w:w="0" w:type="auto"/>
            <w:shd w:val="clear" w:color="auto" w:fill="auto"/>
            <w:vAlign w:val="center"/>
          </w:tcPr>
          <w:p w14:paraId="44C319D1" w14:textId="77777777" w:rsidR="00DD2068" w:rsidRPr="00404DA5" w:rsidRDefault="00DD2068" w:rsidP="00C22C26">
            <w:pPr>
              <w:jc w:val="center"/>
              <w:rPr>
                <w:rFonts w:cs="Calibri"/>
                <w:color w:val="000000"/>
                <w:sz w:val="18"/>
                <w:szCs w:val="18"/>
              </w:rPr>
            </w:pPr>
            <w:r w:rsidRPr="00404DA5">
              <w:rPr>
                <w:rFonts w:cs="Calibri"/>
                <w:color w:val="000000"/>
                <w:sz w:val="18"/>
                <w:szCs w:val="18"/>
              </w:rPr>
              <w:t>4 835</w:t>
            </w:r>
          </w:p>
        </w:tc>
        <w:tc>
          <w:tcPr>
            <w:tcW w:w="0" w:type="auto"/>
            <w:shd w:val="clear" w:color="auto" w:fill="auto"/>
            <w:vAlign w:val="center"/>
          </w:tcPr>
          <w:p w14:paraId="0BC23561" w14:textId="77777777" w:rsidR="00DD2068" w:rsidRPr="00404DA5" w:rsidRDefault="00DD2068" w:rsidP="00C22C26">
            <w:pPr>
              <w:jc w:val="center"/>
              <w:rPr>
                <w:rFonts w:cs="Calibri"/>
                <w:color w:val="000000"/>
                <w:sz w:val="18"/>
                <w:szCs w:val="18"/>
              </w:rPr>
            </w:pPr>
            <w:r w:rsidRPr="00404DA5">
              <w:rPr>
                <w:rFonts w:cs="Calibri"/>
                <w:color w:val="000000"/>
                <w:sz w:val="18"/>
                <w:szCs w:val="18"/>
              </w:rPr>
              <w:t>83,0%</w:t>
            </w:r>
          </w:p>
        </w:tc>
        <w:tc>
          <w:tcPr>
            <w:tcW w:w="0" w:type="auto"/>
            <w:shd w:val="clear" w:color="auto" w:fill="auto"/>
            <w:vAlign w:val="center"/>
          </w:tcPr>
          <w:p w14:paraId="34868489"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27973B63" w14:textId="77777777" w:rsidR="00DD2068" w:rsidRPr="00404DA5" w:rsidRDefault="00DD2068" w:rsidP="00C22C26">
            <w:pPr>
              <w:jc w:val="center"/>
              <w:rPr>
                <w:rFonts w:cs="Calibri"/>
                <w:color w:val="000000"/>
                <w:sz w:val="18"/>
                <w:szCs w:val="18"/>
              </w:rPr>
            </w:pPr>
            <w:r w:rsidRPr="00404DA5">
              <w:rPr>
                <w:rFonts w:cs="Calibri"/>
                <w:color w:val="000000"/>
                <w:sz w:val="18"/>
                <w:szCs w:val="18"/>
              </w:rPr>
              <w:t>0,0%</w:t>
            </w:r>
          </w:p>
        </w:tc>
      </w:tr>
      <w:tr w:rsidR="00DD2068" w:rsidRPr="000A135E" w14:paraId="344220C1" w14:textId="77777777" w:rsidTr="007A5088">
        <w:tc>
          <w:tcPr>
            <w:tcW w:w="0" w:type="auto"/>
            <w:gridSpan w:val="6"/>
            <w:shd w:val="clear" w:color="auto" w:fill="auto"/>
            <w:vAlign w:val="center"/>
          </w:tcPr>
          <w:p w14:paraId="4CFA2AA0" w14:textId="77777777" w:rsidR="00DD2068" w:rsidRPr="00404DA5" w:rsidRDefault="00DD2068" w:rsidP="007A5088">
            <w:pPr>
              <w:jc w:val="center"/>
              <w:rPr>
                <w:rFonts w:cs="Calibri"/>
                <w:sz w:val="18"/>
                <w:szCs w:val="18"/>
              </w:rPr>
            </w:pPr>
            <w:r w:rsidRPr="00404DA5">
              <w:rPr>
                <w:rFonts w:cs="Calibri"/>
                <w:sz w:val="18"/>
                <w:szCs w:val="18"/>
              </w:rPr>
              <w:t>Działanie 9.9 Infrastruktura szkolnictwa zawodowego</w:t>
            </w:r>
            <w:r w:rsidR="00E66B89">
              <w:rPr>
                <w:rFonts w:cs="Calibri"/>
                <w:sz w:val="18"/>
                <w:szCs w:val="18"/>
              </w:rPr>
              <w:t xml:space="preserve"> w </w:t>
            </w:r>
            <w:r w:rsidRPr="00404DA5">
              <w:rPr>
                <w:rFonts w:cs="Calibri"/>
                <w:sz w:val="18"/>
                <w:szCs w:val="18"/>
              </w:rPr>
              <w:t>ramach Kontraktów Samorządowych</w:t>
            </w:r>
          </w:p>
        </w:tc>
      </w:tr>
      <w:tr w:rsidR="00DD2068" w:rsidRPr="000A135E" w14:paraId="4B7A3856" w14:textId="77777777" w:rsidTr="007A5088">
        <w:tc>
          <w:tcPr>
            <w:tcW w:w="0" w:type="auto"/>
            <w:shd w:val="clear" w:color="auto" w:fill="auto"/>
          </w:tcPr>
          <w:p w14:paraId="67EF63C7" w14:textId="77777777" w:rsidR="00DD2068" w:rsidRPr="00404DA5" w:rsidRDefault="00DD2068" w:rsidP="007A5088">
            <w:pPr>
              <w:rPr>
                <w:rFonts w:cs="Calibri"/>
                <w:sz w:val="18"/>
                <w:szCs w:val="18"/>
              </w:rPr>
            </w:pPr>
            <w:r w:rsidRPr="00404DA5">
              <w:rPr>
                <w:rFonts w:cs="Calibri"/>
                <w:i/>
                <w:sz w:val="18"/>
                <w:szCs w:val="18"/>
              </w:rPr>
              <w:t>Liczba wspartych obiektów infrastruktury kształcenia zawodowego</w:t>
            </w:r>
          </w:p>
        </w:tc>
        <w:tc>
          <w:tcPr>
            <w:tcW w:w="0" w:type="auto"/>
            <w:shd w:val="clear" w:color="auto" w:fill="auto"/>
            <w:vAlign w:val="center"/>
          </w:tcPr>
          <w:p w14:paraId="65D3B710" w14:textId="77777777" w:rsidR="00DD2068" w:rsidRPr="00404DA5" w:rsidRDefault="00DD2068" w:rsidP="00C22C26">
            <w:pPr>
              <w:jc w:val="center"/>
              <w:rPr>
                <w:rFonts w:cs="Calibri"/>
                <w:sz w:val="18"/>
                <w:szCs w:val="18"/>
              </w:rPr>
            </w:pPr>
            <w:r w:rsidRPr="00404DA5">
              <w:rPr>
                <w:rFonts w:cs="Calibri"/>
                <w:sz w:val="18"/>
                <w:szCs w:val="18"/>
              </w:rPr>
              <w:t>18</w:t>
            </w:r>
          </w:p>
        </w:tc>
        <w:tc>
          <w:tcPr>
            <w:tcW w:w="0" w:type="auto"/>
            <w:shd w:val="clear" w:color="auto" w:fill="auto"/>
            <w:vAlign w:val="center"/>
          </w:tcPr>
          <w:p w14:paraId="0622BEA0" w14:textId="77777777" w:rsidR="00DD2068" w:rsidRPr="00404DA5" w:rsidRDefault="00DD2068" w:rsidP="00C22C26">
            <w:pPr>
              <w:jc w:val="center"/>
              <w:rPr>
                <w:rFonts w:cs="Calibri"/>
                <w:sz w:val="18"/>
                <w:szCs w:val="18"/>
              </w:rPr>
            </w:pPr>
            <w:r w:rsidRPr="00404DA5">
              <w:rPr>
                <w:rFonts w:cs="Calibri"/>
                <w:sz w:val="18"/>
                <w:szCs w:val="18"/>
              </w:rPr>
              <w:t>10</w:t>
            </w:r>
          </w:p>
        </w:tc>
        <w:tc>
          <w:tcPr>
            <w:tcW w:w="0" w:type="auto"/>
            <w:shd w:val="clear" w:color="auto" w:fill="auto"/>
            <w:vAlign w:val="center"/>
          </w:tcPr>
          <w:p w14:paraId="7DF7C37B" w14:textId="77777777" w:rsidR="00DD2068" w:rsidRPr="00404DA5" w:rsidRDefault="00DD2068" w:rsidP="00C22C26">
            <w:pPr>
              <w:jc w:val="center"/>
              <w:rPr>
                <w:rFonts w:cs="Calibri"/>
                <w:color w:val="000000"/>
                <w:sz w:val="18"/>
                <w:szCs w:val="18"/>
              </w:rPr>
            </w:pPr>
            <w:r w:rsidRPr="00404DA5">
              <w:rPr>
                <w:rFonts w:cs="Calibri"/>
                <w:color w:val="000000"/>
                <w:sz w:val="18"/>
                <w:szCs w:val="18"/>
              </w:rPr>
              <w:t>55,6%</w:t>
            </w:r>
          </w:p>
        </w:tc>
        <w:tc>
          <w:tcPr>
            <w:tcW w:w="0" w:type="auto"/>
            <w:shd w:val="clear" w:color="auto" w:fill="auto"/>
            <w:vAlign w:val="center"/>
          </w:tcPr>
          <w:p w14:paraId="25135134" w14:textId="77777777" w:rsidR="00DD2068" w:rsidRPr="00404DA5" w:rsidRDefault="00DD2068" w:rsidP="00C22C26">
            <w:pPr>
              <w:jc w:val="center"/>
              <w:rPr>
                <w:rFonts w:cs="Calibri"/>
                <w:sz w:val="18"/>
                <w:szCs w:val="18"/>
              </w:rPr>
            </w:pPr>
            <w:r w:rsidRPr="00404DA5">
              <w:rPr>
                <w:rFonts w:cs="Calibri"/>
                <w:sz w:val="18"/>
                <w:szCs w:val="18"/>
              </w:rPr>
              <w:t>0,5</w:t>
            </w:r>
          </w:p>
        </w:tc>
        <w:tc>
          <w:tcPr>
            <w:tcW w:w="0" w:type="auto"/>
            <w:shd w:val="clear" w:color="auto" w:fill="auto"/>
            <w:vAlign w:val="center"/>
          </w:tcPr>
          <w:p w14:paraId="711EF3C1" w14:textId="77777777" w:rsidR="00DD2068" w:rsidRPr="00404DA5" w:rsidRDefault="00DD2068" w:rsidP="00C22C26">
            <w:pPr>
              <w:jc w:val="center"/>
              <w:rPr>
                <w:rFonts w:cs="Calibri"/>
                <w:color w:val="000000"/>
                <w:sz w:val="18"/>
                <w:szCs w:val="18"/>
              </w:rPr>
            </w:pPr>
            <w:r w:rsidRPr="00404DA5">
              <w:rPr>
                <w:rFonts w:cs="Calibri"/>
                <w:color w:val="000000"/>
                <w:sz w:val="18"/>
                <w:szCs w:val="18"/>
              </w:rPr>
              <w:t>2,8%</w:t>
            </w:r>
          </w:p>
        </w:tc>
      </w:tr>
      <w:tr w:rsidR="00DD2068" w:rsidRPr="000A135E" w14:paraId="7D90245B" w14:textId="77777777" w:rsidTr="007A5088">
        <w:tc>
          <w:tcPr>
            <w:tcW w:w="0" w:type="auto"/>
            <w:shd w:val="clear" w:color="auto" w:fill="auto"/>
          </w:tcPr>
          <w:p w14:paraId="2AD01396" w14:textId="77777777" w:rsidR="00DD2068" w:rsidRPr="00404DA5" w:rsidRDefault="00DD2068" w:rsidP="007A5088">
            <w:pPr>
              <w:rPr>
                <w:rFonts w:cs="Calibri"/>
                <w:sz w:val="18"/>
                <w:szCs w:val="18"/>
              </w:rPr>
            </w:pPr>
            <w:r w:rsidRPr="00404DA5">
              <w:rPr>
                <w:rFonts w:cs="Calibri"/>
                <w:i/>
                <w:sz w:val="18"/>
                <w:szCs w:val="18"/>
              </w:rPr>
              <w:t>Liczba miejsc</w:t>
            </w:r>
            <w:r w:rsidR="00E66B89">
              <w:rPr>
                <w:rFonts w:cs="Calibri"/>
                <w:i/>
                <w:sz w:val="18"/>
                <w:szCs w:val="18"/>
              </w:rPr>
              <w:t xml:space="preserve"> w </w:t>
            </w:r>
            <w:r w:rsidRPr="00404DA5">
              <w:rPr>
                <w:rFonts w:cs="Calibri"/>
                <w:i/>
                <w:sz w:val="18"/>
                <w:szCs w:val="18"/>
              </w:rPr>
              <w:t>objętej wsparciem infrastrukturze</w:t>
            </w:r>
            <w:r w:rsidR="00E66B89">
              <w:rPr>
                <w:rFonts w:cs="Calibri"/>
                <w:i/>
                <w:sz w:val="18"/>
                <w:szCs w:val="18"/>
              </w:rPr>
              <w:t xml:space="preserve"> w </w:t>
            </w:r>
            <w:r w:rsidRPr="00404DA5">
              <w:rPr>
                <w:rFonts w:cs="Calibri"/>
                <w:i/>
                <w:sz w:val="18"/>
                <w:szCs w:val="18"/>
              </w:rPr>
              <w:t>zakresie opieki nad dziećmi lub infrastrukturze edukacyjnej</w:t>
            </w:r>
          </w:p>
        </w:tc>
        <w:tc>
          <w:tcPr>
            <w:tcW w:w="0" w:type="auto"/>
            <w:shd w:val="clear" w:color="auto" w:fill="auto"/>
            <w:vAlign w:val="center"/>
          </w:tcPr>
          <w:p w14:paraId="0B8C1AE4" w14:textId="77777777" w:rsidR="00DD2068" w:rsidRPr="00404DA5" w:rsidRDefault="00DD2068" w:rsidP="00C22C26">
            <w:pPr>
              <w:jc w:val="center"/>
              <w:rPr>
                <w:rFonts w:cs="Calibri"/>
                <w:color w:val="000000"/>
                <w:sz w:val="18"/>
                <w:szCs w:val="18"/>
              </w:rPr>
            </w:pPr>
            <w:r w:rsidRPr="00404DA5">
              <w:rPr>
                <w:rFonts w:cs="Calibri"/>
                <w:color w:val="000000"/>
                <w:sz w:val="18"/>
                <w:szCs w:val="18"/>
              </w:rPr>
              <w:t>5822</w:t>
            </w:r>
          </w:p>
        </w:tc>
        <w:tc>
          <w:tcPr>
            <w:tcW w:w="0" w:type="auto"/>
            <w:shd w:val="clear" w:color="auto" w:fill="auto"/>
            <w:vAlign w:val="center"/>
          </w:tcPr>
          <w:p w14:paraId="18F0558D" w14:textId="77777777" w:rsidR="00DD2068" w:rsidRPr="00404DA5" w:rsidRDefault="00DD2068" w:rsidP="00C22C26">
            <w:pPr>
              <w:jc w:val="center"/>
              <w:rPr>
                <w:rFonts w:cs="Calibri"/>
                <w:color w:val="000000"/>
                <w:sz w:val="18"/>
                <w:szCs w:val="18"/>
              </w:rPr>
            </w:pPr>
            <w:r w:rsidRPr="00404DA5">
              <w:rPr>
                <w:rFonts w:cs="Calibri"/>
                <w:color w:val="000000"/>
                <w:sz w:val="18"/>
                <w:szCs w:val="18"/>
              </w:rPr>
              <w:t>1 500</w:t>
            </w:r>
          </w:p>
        </w:tc>
        <w:tc>
          <w:tcPr>
            <w:tcW w:w="0" w:type="auto"/>
            <w:shd w:val="clear" w:color="auto" w:fill="auto"/>
            <w:vAlign w:val="center"/>
          </w:tcPr>
          <w:p w14:paraId="570EC8F4" w14:textId="77777777" w:rsidR="00DD2068" w:rsidRPr="00404DA5" w:rsidRDefault="00DD2068" w:rsidP="00C22C26">
            <w:pPr>
              <w:jc w:val="center"/>
              <w:rPr>
                <w:rFonts w:cs="Calibri"/>
                <w:color w:val="000000"/>
                <w:sz w:val="18"/>
                <w:szCs w:val="18"/>
              </w:rPr>
            </w:pPr>
            <w:r w:rsidRPr="00404DA5">
              <w:rPr>
                <w:rFonts w:cs="Calibri"/>
                <w:color w:val="000000"/>
                <w:sz w:val="18"/>
                <w:szCs w:val="18"/>
              </w:rPr>
              <w:t>25,8%</w:t>
            </w:r>
          </w:p>
        </w:tc>
        <w:tc>
          <w:tcPr>
            <w:tcW w:w="0" w:type="auto"/>
            <w:shd w:val="clear" w:color="auto" w:fill="auto"/>
            <w:vAlign w:val="center"/>
          </w:tcPr>
          <w:p w14:paraId="6D402476" w14:textId="77777777" w:rsidR="00DD2068" w:rsidRPr="00404DA5" w:rsidRDefault="00DD2068" w:rsidP="00C22C26">
            <w:pPr>
              <w:jc w:val="center"/>
              <w:rPr>
                <w:rFonts w:cs="Calibri"/>
                <w:sz w:val="18"/>
                <w:szCs w:val="18"/>
              </w:rPr>
            </w:pPr>
            <w:r w:rsidRPr="00404DA5">
              <w:rPr>
                <w:rFonts w:cs="Calibri"/>
                <w:sz w:val="18"/>
                <w:szCs w:val="18"/>
              </w:rPr>
              <w:t>0</w:t>
            </w:r>
          </w:p>
        </w:tc>
        <w:tc>
          <w:tcPr>
            <w:tcW w:w="0" w:type="auto"/>
            <w:shd w:val="clear" w:color="auto" w:fill="auto"/>
            <w:vAlign w:val="center"/>
          </w:tcPr>
          <w:p w14:paraId="50C3AB51" w14:textId="77777777" w:rsidR="00DD2068" w:rsidRPr="00404DA5" w:rsidRDefault="00DD2068" w:rsidP="00C22C26">
            <w:pPr>
              <w:jc w:val="center"/>
              <w:rPr>
                <w:rFonts w:cs="Calibri"/>
                <w:color w:val="000000"/>
                <w:sz w:val="18"/>
                <w:szCs w:val="18"/>
              </w:rPr>
            </w:pPr>
            <w:r w:rsidRPr="00404DA5">
              <w:rPr>
                <w:rFonts w:cs="Calibri"/>
                <w:color w:val="000000"/>
                <w:sz w:val="18"/>
                <w:szCs w:val="18"/>
              </w:rPr>
              <w:t>0</w:t>
            </w:r>
          </w:p>
        </w:tc>
      </w:tr>
    </w:tbl>
    <w:p w14:paraId="1DCFA069" w14:textId="77777777" w:rsidR="00DD2068" w:rsidRPr="00D21299" w:rsidRDefault="00DD2068" w:rsidP="0028542B">
      <w:pPr>
        <w:spacing w:before="0"/>
        <w:rPr>
          <w:rFonts w:cs="Calibri"/>
          <w:i/>
          <w:sz w:val="18"/>
          <w:szCs w:val="18"/>
        </w:rPr>
      </w:pPr>
      <w:r w:rsidRPr="00D21299">
        <w:rPr>
          <w:rFonts w:cs="Calibri"/>
          <w:i/>
          <w:sz w:val="18"/>
          <w:szCs w:val="18"/>
        </w:rPr>
        <w:t>Źródło: obliczenia własne na podstawie danych SL 2014 (stan na dzień 07.01.2019).</w:t>
      </w:r>
    </w:p>
    <w:p w14:paraId="41499E9B" w14:textId="77777777" w:rsidR="00DD2068" w:rsidRDefault="00DD2068" w:rsidP="00DD2068">
      <w:pPr>
        <w:rPr>
          <w:rFonts w:ascii="Times New Roman" w:hAnsi="Times New Roman"/>
          <w:sz w:val="24"/>
        </w:rPr>
      </w:pPr>
      <w:r>
        <w:t>Powyżej przedstawione dane</w:t>
      </w:r>
      <w:r w:rsidR="00E66B89">
        <w:t xml:space="preserve"> i </w:t>
      </w:r>
      <w:r>
        <w:t>informacje wskazują na skuteczność oraz użyteczność wsparcia realizowanego</w:t>
      </w:r>
      <w:r w:rsidR="00E66B89">
        <w:t xml:space="preserve"> w </w:t>
      </w:r>
      <w:r>
        <w:t>ramach ZIT oraz KS. Pozwala to wskazać, że wsparcie</w:t>
      </w:r>
      <w:r w:rsidR="00E66B89">
        <w:t xml:space="preserve"> w </w:t>
      </w:r>
      <w:r>
        <w:t>ramach takich instrumentów powinno być kontynuowane</w:t>
      </w:r>
      <w:r w:rsidR="00E66B89">
        <w:t xml:space="preserve"> w </w:t>
      </w:r>
      <w:r>
        <w:t>przyszłości.</w:t>
      </w:r>
      <w:r w:rsidR="00E66B89">
        <w:t xml:space="preserve"> W </w:t>
      </w:r>
      <w:r>
        <w:t>przypadku KS warto także wskazać na bardzo pozytywne oceny tego nowatorskiego instrumentu polityki terytorialnej, przedstawione</w:t>
      </w:r>
      <w:r w:rsidR="00E66B89">
        <w:t xml:space="preserve"> w </w:t>
      </w:r>
      <w:r>
        <w:t>raporcie oceniającym wszystkie instrumenty terytorialne realizowane</w:t>
      </w:r>
      <w:r w:rsidR="00E66B89">
        <w:t xml:space="preserve"> w </w:t>
      </w:r>
      <w:r>
        <w:t>Polsce</w:t>
      </w:r>
      <w:r w:rsidR="00411E02">
        <w:rPr>
          <w:rStyle w:val="Odwoanieprzypisudolnego"/>
        </w:rPr>
        <w:footnoteReference w:id="164"/>
      </w:r>
      <w:r w:rsidR="006F306E">
        <w:t>.</w:t>
      </w:r>
      <w:r>
        <w:t xml:space="preserve"> Autorzy raportu rekomendują także wprowadzenie takiego instrumentu</w:t>
      </w:r>
      <w:r w:rsidR="00E66B89">
        <w:t xml:space="preserve"> w </w:t>
      </w:r>
      <w:r>
        <w:t>całym kraju, wskazując m.in., że „cennym efektem tego modelu rozwojowego jest stopniowa aktywizacja środowisk lokalnych wokół mechanizmów wykorzystania tego instrumentu</w:t>
      </w:r>
      <w:r w:rsidR="00E66B89">
        <w:t xml:space="preserve"> i </w:t>
      </w:r>
      <w:r>
        <w:t>akceptacja wydatkowania środków na cele rozwoju,</w:t>
      </w:r>
      <w:r w:rsidR="00E66B89">
        <w:t xml:space="preserve"> a </w:t>
      </w:r>
      <w:r>
        <w:t>nie bezpośrednie”. Wniosek ten warto jednak uzupełnić</w:t>
      </w:r>
      <w:r w:rsidR="00E66B89">
        <w:t xml:space="preserve"> o </w:t>
      </w:r>
      <w:r>
        <w:t>dane jakościowe</w:t>
      </w:r>
      <w:r w:rsidR="00E66B89">
        <w:t xml:space="preserve"> i </w:t>
      </w:r>
      <w:r>
        <w:t>ilościowe zebrane</w:t>
      </w:r>
      <w:r w:rsidR="00E66B89">
        <w:t xml:space="preserve"> w </w:t>
      </w:r>
      <w:r>
        <w:t>ramach procesu badawczego, które pozwoliły zaproponować również możliwe kierunki zmian we wdrażaniu Polityki Terytorialnej</w:t>
      </w:r>
      <w:r w:rsidR="00E66B89">
        <w:t xml:space="preserve"> w </w:t>
      </w:r>
      <w:r>
        <w:t>przyszłości</w:t>
      </w:r>
      <w:r>
        <w:rPr>
          <w:rStyle w:val="Odwoanieprzypisudolnego"/>
        </w:rPr>
        <w:footnoteReference w:id="165"/>
      </w:r>
      <w:r>
        <w:t>.</w:t>
      </w:r>
      <w:r>
        <w:rPr>
          <w:rFonts w:ascii="Times New Roman" w:hAnsi="Times New Roman"/>
          <w:sz w:val="24"/>
        </w:rPr>
        <w:t xml:space="preserve"> </w:t>
      </w:r>
    </w:p>
    <w:p w14:paraId="40567E92" w14:textId="77777777" w:rsidR="00DA062B" w:rsidRDefault="00AA41E5" w:rsidP="00C10C7F">
      <w:pPr>
        <w:rPr>
          <w:rFonts w:cs="Calibri"/>
          <w:szCs w:val="20"/>
        </w:rPr>
      </w:pPr>
      <w:r>
        <w:rPr>
          <w:rFonts w:cs="Calibri"/>
          <w:szCs w:val="20"/>
        </w:rPr>
        <w:t>Przedstawiciele podmiotów zaangażowanych</w:t>
      </w:r>
      <w:r w:rsidR="00E66B89">
        <w:rPr>
          <w:rFonts w:cs="Calibri"/>
          <w:szCs w:val="20"/>
        </w:rPr>
        <w:t xml:space="preserve"> w </w:t>
      </w:r>
      <w:r>
        <w:rPr>
          <w:rFonts w:cs="Calibri"/>
          <w:szCs w:val="20"/>
        </w:rPr>
        <w:t>realizację obu tych instrumentów podkreślali zgodnie</w:t>
      </w:r>
      <w:r w:rsidR="00E66B89">
        <w:rPr>
          <w:rFonts w:cs="Calibri"/>
          <w:szCs w:val="20"/>
        </w:rPr>
        <w:t xml:space="preserve"> w </w:t>
      </w:r>
      <w:r>
        <w:rPr>
          <w:rFonts w:cs="Calibri"/>
          <w:szCs w:val="20"/>
        </w:rPr>
        <w:t>wywiadach pogłębionych, że instrumenty te są trafnym narzędziem wspierającym rozwój ich obszarów oraz całego regionu.</w:t>
      </w:r>
      <w:r w:rsidR="00E55D06">
        <w:rPr>
          <w:rFonts w:cs="Calibri"/>
          <w:szCs w:val="20"/>
        </w:rPr>
        <w:t xml:space="preserve"> </w:t>
      </w:r>
      <w:r w:rsidR="00DA062B">
        <w:rPr>
          <w:rFonts w:cs="Calibri"/>
          <w:szCs w:val="20"/>
        </w:rPr>
        <w:t>Podkreślano ich wpływ na rozwój</w:t>
      </w:r>
      <w:r w:rsidR="00B32239">
        <w:rPr>
          <w:rFonts w:cs="Calibri"/>
          <w:szCs w:val="20"/>
        </w:rPr>
        <w:t xml:space="preserve"> partnerstw</w:t>
      </w:r>
      <w:r w:rsidR="00FB03FC">
        <w:rPr>
          <w:rFonts w:cs="Calibri"/>
          <w:szCs w:val="20"/>
        </w:rPr>
        <w:t>, wymiany doświadczeń</w:t>
      </w:r>
      <w:r w:rsidR="00B32239">
        <w:rPr>
          <w:rFonts w:cs="Calibri"/>
          <w:szCs w:val="20"/>
        </w:rPr>
        <w:t xml:space="preserve"> oraz</w:t>
      </w:r>
      <w:r w:rsidR="00DA062B">
        <w:rPr>
          <w:rFonts w:cs="Calibri"/>
          <w:szCs w:val="20"/>
        </w:rPr>
        <w:t xml:space="preserve"> współpracy między </w:t>
      </w:r>
      <w:r w:rsidR="0062611E">
        <w:rPr>
          <w:rFonts w:cs="Calibri"/>
          <w:szCs w:val="20"/>
        </w:rPr>
        <w:t>poszczególnymi</w:t>
      </w:r>
      <w:r w:rsidR="00592B70">
        <w:rPr>
          <w:rFonts w:cs="Calibri"/>
          <w:szCs w:val="20"/>
        </w:rPr>
        <w:t xml:space="preserve"> samorządami -</w:t>
      </w:r>
      <w:r w:rsidR="00DA062B">
        <w:rPr>
          <w:rFonts w:cs="Calibri"/>
          <w:szCs w:val="20"/>
        </w:rPr>
        <w:t xml:space="preserve"> </w:t>
      </w:r>
      <w:r w:rsidR="0062611E">
        <w:rPr>
          <w:rFonts w:cs="Calibri"/>
          <w:szCs w:val="20"/>
        </w:rPr>
        <w:t>współpracy,</w:t>
      </w:r>
      <w:r w:rsidR="00DA062B">
        <w:rPr>
          <w:rFonts w:cs="Calibri"/>
          <w:szCs w:val="20"/>
        </w:rPr>
        <w:t xml:space="preserve"> która najpewniej nie zaistniałaby</w:t>
      </w:r>
      <w:r w:rsidR="00E66B89">
        <w:rPr>
          <w:rFonts w:cs="Calibri"/>
          <w:szCs w:val="20"/>
        </w:rPr>
        <w:t xml:space="preserve"> w </w:t>
      </w:r>
      <w:r w:rsidR="00DA062B">
        <w:rPr>
          <w:rFonts w:cs="Calibri"/>
          <w:szCs w:val="20"/>
        </w:rPr>
        <w:t>takiej formie</w:t>
      </w:r>
      <w:r w:rsidR="00E66B89">
        <w:rPr>
          <w:rFonts w:cs="Calibri"/>
          <w:szCs w:val="20"/>
        </w:rPr>
        <w:t xml:space="preserve"> i </w:t>
      </w:r>
      <w:r w:rsidR="00DA062B">
        <w:rPr>
          <w:rFonts w:cs="Calibri"/>
          <w:szCs w:val="20"/>
        </w:rPr>
        <w:t xml:space="preserve">skali </w:t>
      </w:r>
      <w:r w:rsidR="0062611E">
        <w:rPr>
          <w:rFonts w:cs="Calibri"/>
          <w:szCs w:val="20"/>
        </w:rPr>
        <w:t>bez wdrożenia tych instrumentów</w:t>
      </w:r>
      <w:r w:rsidR="00005634">
        <w:rPr>
          <w:rFonts w:cs="Calibri"/>
          <w:szCs w:val="20"/>
        </w:rPr>
        <w:t xml:space="preserve"> (w konkursach kierowanych do wszystkich, poszczególne podmioty konkurują ze sobą,</w:t>
      </w:r>
      <w:r w:rsidR="00E66B89">
        <w:rPr>
          <w:rFonts w:cs="Calibri"/>
          <w:szCs w:val="20"/>
        </w:rPr>
        <w:t xml:space="preserve"> a </w:t>
      </w:r>
      <w:r w:rsidR="00005634">
        <w:rPr>
          <w:rFonts w:cs="Calibri"/>
          <w:szCs w:val="20"/>
        </w:rPr>
        <w:t>nie współpracują)</w:t>
      </w:r>
      <w:r w:rsidR="0062611E">
        <w:rPr>
          <w:rFonts w:cs="Calibri"/>
          <w:szCs w:val="20"/>
        </w:rPr>
        <w:t>.</w:t>
      </w:r>
      <w:r w:rsidR="00E66B89">
        <w:rPr>
          <w:rFonts w:cs="Calibri"/>
          <w:szCs w:val="20"/>
        </w:rPr>
        <w:t xml:space="preserve"> W </w:t>
      </w:r>
      <w:r w:rsidR="00EF161F">
        <w:rPr>
          <w:rFonts w:cs="Calibri"/>
          <w:szCs w:val="20"/>
        </w:rPr>
        <w:t>większości przypadków nie doszłoby bowiem nawet do próby poszukiwania wspólnych potrzeb oraz pomysł</w:t>
      </w:r>
      <w:r w:rsidR="00005634">
        <w:rPr>
          <w:rFonts w:cs="Calibri"/>
          <w:szCs w:val="20"/>
        </w:rPr>
        <w:t>ów</w:t>
      </w:r>
      <w:r w:rsidR="00EF161F">
        <w:rPr>
          <w:rFonts w:cs="Calibri"/>
          <w:szCs w:val="20"/>
        </w:rPr>
        <w:t xml:space="preserve"> na ich realizację</w:t>
      </w:r>
      <w:r w:rsidR="00E66B89">
        <w:rPr>
          <w:rFonts w:cs="Calibri"/>
          <w:szCs w:val="20"/>
        </w:rPr>
        <w:t xml:space="preserve"> w </w:t>
      </w:r>
      <w:r w:rsidR="00EF161F">
        <w:rPr>
          <w:rFonts w:cs="Calibri"/>
          <w:szCs w:val="20"/>
        </w:rPr>
        <w:t>szerszej skali (wykraczającej poza obszar jednego samorządu).</w:t>
      </w:r>
      <w:r w:rsidR="00E66B89">
        <w:rPr>
          <w:rFonts w:cs="Calibri"/>
          <w:szCs w:val="20"/>
        </w:rPr>
        <w:t xml:space="preserve"> W </w:t>
      </w:r>
      <w:r w:rsidR="0062611E">
        <w:rPr>
          <w:rFonts w:cs="Calibri"/>
          <w:szCs w:val="20"/>
        </w:rPr>
        <w:t>wywiadach zwracano uwagę również na to, że bardzo ważnym aspektem tych instrumentów była</w:t>
      </w:r>
      <w:r w:rsidR="00E66B89">
        <w:rPr>
          <w:rFonts w:cs="Calibri"/>
          <w:szCs w:val="20"/>
        </w:rPr>
        <w:t xml:space="preserve"> i </w:t>
      </w:r>
      <w:r w:rsidR="0062611E">
        <w:rPr>
          <w:rFonts w:cs="Calibri"/>
          <w:szCs w:val="20"/>
        </w:rPr>
        <w:t>jest świadomość</w:t>
      </w:r>
      <w:r w:rsidR="00E66B89">
        <w:rPr>
          <w:rFonts w:cs="Calibri"/>
          <w:szCs w:val="20"/>
        </w:rPr>
        <w:t xml:space="preserve"> z </w:t>
      </w:r>
      <w:r w:rsidR="0062611E">
        <w:rPr>
          <w:rFonts w:cs="Calibri"/>
          <w:szCs w:val="20"/>
        </w:rPr>
        <w:t xml:space="preserve">góry określonych środków, które </w:t>
      </w:r>
      <w:r w:rsidR="0062611E">
        <w:rPr>
          <w:rFonts w:cs="Calibri"/>
          <w:szCs w:val="20"/>
        </w:rPr>
        <w:lastRenderedPageBreak/>
        <w:t>zostaną przeznaczone na dany obszar,</w:t>
      </w:r>
      <w:r w:rsidR="00E66B89">
        <w:rPr>
          <w:rFonts w:cs="Calibri"/>
          <w:szCs w:val="20"/>
        </w:rPr>
        <w:t xml:space="preserve"> a </w:t>
      </w:r>
      <w:r w:rsidR="0062611E">
        <w:rPr>
          <w:rFonts w:cs="Calibri"/>
          <w:szCs w:val="20"/>
        </w:rPr>
        <w:t xml:space="preserve">często </w:t>
      </w:r>
      <w:r w:rsidR="00B32239">
        <w:rPr>
          <w:rFonts w:cs="Calibri"/>
          <w:szCs w:val="20"/>
        </w:rPr>
        <w:t xml:space="preserve">także </w:t>
      </w:r>
      <w:r w:rsidR="0062611E">
        <w:rPr>
          <w:rFonts w:cs="Calibri"/>
          <w:szCs w:val="20"/>
        </w:rPr>
        <w:t>na konkretne projekty – zidentyfikowane</w:t>
      </w:r>
      <w:r w:rsidR="00EF161F">
        <w:rPr>
          <w:rFonts w:cs="Calibri"/>
          <w:szCs w:val="20"/>
        </w:rPr>
        <w:t>, przemyślane</w:t>
      </w:r>
      <w:r w:rsidR="00E66B89">
        <w:rPr>
          <w:rFonts w:cs="Calibri"/>
          <w:szCs w:val="20"/>
        </w:rPr>
        <w:t xml:space="preserve"> i </w:t>
      </w:r>
      <w:r w:rsidR="00EF161F">
        <w:rPr>
          <w:rFonts w:cs="Calibri"/>
          <w:szCs w:val="20"/>
        </w:rPr>
        <w:t xml:space="preserve">rzetelnie </w:t>
      </w:r>
      <w:r w:rsidR="0062611E">
        <w:rPr>
          <w:rFonts w:cs="Calibri"/>
          <w:szCs w:val="20"/>
        </w:rPr>
        <w:t xml:space="preserve">przygotowane wcześniej. </w:t>
      </w:r>
      <w:r w:rsidR="00B32239">
        <w:rPr>
          <w:rFonts w:cs="Calibri"/>
          <w:szCs w:val="20"/>
        </w:rPr>
        <w:t>Dzięki tej świadomości, samorządy mogą</w:t>
      </w:r>
      <w:r w:rsidR="00E66B89">
        <w:rPr>
          <w:rFonts w:cs="Calibri"/>
          <w:szCs w:val="20"/>
        </w:rPr>
        <w:t xml:space="preserve"> w </w:t>
      </w:r>
      <w:r w:rsidR="00B32239">
        <w:rPr>
          <w:rFonts w:cs="Calibri"/>
          <w:szCs w:val="20"/>
        </w:rPr>
        <w:t>większym stopniu skupić się na tym, by lepiej przygotować się do udziału</w:t>
      </w:r>
      <w:r w:rsidR="00E66B89">
        <w:rPr>
          <w:rFonts w:cs="Calibri"/>
          <w:szCs w:val="20"/>
        </w:rPr>
        <w:t xml:space="preserve"> w </w:t>
      </w:r>
      <w:r w:rsidR="00B32239">
        <w:rPr>
          <w:rFonts w:cs="Calibri"/>
          <w:szCs w:val="20"/>
        </w:rPr>
        <w:t xml:space="preserve">konkursach </w:t>
      </w:r>
      <w:r w:rsidR="006F306E">
        <w:rPr>
          <w:rFonts w:cs="Calibri"/>
          <w:szCs w:val="20"/>
        </w:rPr>
        <w:t>ogłaszanych</w:t>
      </w:r>
      <w:r w:rsidR="00E66B89">
        <w:rPr>
          <w:rFonts w:cs="Calibri"/>
          <w:szCs w:val="20"/>
        </w:rPr>
        <w:t xml:space="preserve"> w </w:t>
      </w:r>
      <w:r w:rsidR="006F306E">
        <w:rPr>
          <w:rFonts w:cs="Calibri"/>
          <w:szCs w:val="20"/>
        </w:rPr>
        <w:t>ramach innych Działań RPO – tj. tych, które nie są dedykowane mechanizmom ZIT/KS.</w:t>
      </w:r>
      <w:r w:rsidR="00E66B89">
        <w:rPr>
          <w:rFonts w:cs="Calibri"/>
          <w:szCs w:val="20"/>
        </w:rPr>
        <w:t xml:space="preserve"> W </w:t>
      </w:r>
      <w:r w:rsidR="0062611E">
        <w:rPr>
          <w:rFonts w:cs="Calibri"/>
          <w:szCs w:val="20"/>
        </w:rPr>
        <w:t xml:space="preserve">tym zakresie podkreślić należy </w:t>
      </w:r>
      <w:r w:rsidR="00B32239">
        <w:rPr>
          <w:rFonts w:cs="Calibri"/>
          <w:szCs w:val="20"/>
        </w:rPr>
        <w:t xml:space="preserve">także to, że oba te instrumenty </w:t>
      </w:r>
      <w:r w:rsidR="0062611E">
        <w:rPr>
          <w:rFonts w:cs="Calibri"/>
          <w:szCs w:val="20"/>
        </w:rPr>
        <w:t xml:space="preserve">są </w:t>
      </w:r>
      <w:r w:rsidR="00B32239">
        <w:rPr>
          <w:rFonts w:cs="Calibri"/>
          <w:szCs w:val="20"/>
        </w:rPr>
        <w:t xml:space="preserve">dość </w:t>
      </w:r>
      <w:r w:rsidR="0062611E">
        <w:rPr>
          <w:rFonts w:cs="Calibri"/>
          <w:szCs w:val="20"/>
        </w:rPr>
        <w:t xml:space="preserve">atrakcyjne ze względu na </w:t>
      </w:r>
      <w:r w:rsidR="0062611E" w:rsidRPr="0062611E">
        <w:rPr>
          <w:rFonts w:cs="Calibri"/>
          <w:szCs w:val="20"/>
        </w:rPr>
        <w:t>większą szansę otrzymania dofinansowania</w:t>
      </w:r>
      <w:r w:rsidR="0062611E">
        <w:rPr>
          <w:rFonts w:cs="Calibri"/>
          <w:szCs w:val="20"/>
        </w:rPr>
        <w:t xml:space="preserve"> przez gminy wiejskie i</w:t>
      </w:r>
      <w:r w:rsidR="00B32239">
        <w:rPr>
          <w:rFonts w:cs="Calibri"/>
          <w:szCs w:val="20"/>
        </w:rPr>
        <w:t>/lub</w:t>
      </w:r>
      <w:r w:rsidR="0062611E">
        <w:rPr>
          <w:rFonts w:cs="Calibri"/>
          <w:szCs w:val="20"/>
        </w:rPr>
        <w:t xml:space="preserve"> mniejsze gminy miejskie, które</w:t>
      </w:r>
      <w:r w:rsidR="008B706B">
        <w:rPr>
          <w:rFonts w:cs="Calibri"/>
          <w:szCs w:val="20"/>
        </w:rPr>
        <w:t xml:space="preserve"> </w:t>
      </w:r>
      <w:r w:rsidR="006F306E">
        <w:rPr>
          <w:rFonts w:cs="Calibri"/>
          <w:szCs w:val="20"/>
        </w:rPr>
        <w:t>-</w:t>
      </w:r>
      <w:r w:rsidR="00E66B89">
        <w:rPr>
          <w:rFonts w:cs="Calibri"/>
          <w:szCs w:val="20"/>
        </w:rPr>
        <w:t xml:space="preserve"> w </w:t>
      </w:r>
      <w:r w:rsidR="0062611E">
        <w:rPr>
          <w:rFonts w:cs="Calibri"/>
          <w:szCs w:val="20"/>
        </w:rPr>
        <w:t>przypadku udziału</w:t>
      </w:r>
      <w:r w:rsidR="00E66B89">
        <w:rPr>
          <w:rFonts w:cs="Calibri"/>
          <w:szCs w:val="20"/>
        </w:rPr>
        <w:t xml:space="preserve"> w </w:t>
      </w:r>
      <w:r w:rsidR="0062611E">
        <w:rPr>
          <w:rFonts w:cs="Calibri"/>
          <w:szCs w:val="20"/>
        </w:rPr>
        <w:t xml:space="preserve">konkursach skierowanych dla całego regionu </w:t>
      </w:r>
      <w:r w:rsidR="006F306E">
        <w:rPr>
          <w:rFonts w:cs="Calibri"/>
          <w:szCs w:val="20"/>
        </w:rPr>
        <w:t xml:space="preserve">- </w:t>
      </w:r>
      <w:r w:rsidR="0062611E">
        <w:rPr>
          <w:rFonts w:cs="Calibri"/>
          <w:szCs w:val="20"/>
        </w:rPr>
        <w:t>musiałyby konkurować</w:t>
      </w:r>
      <w:r w:rsidR="008B706B">
        <w:rPr>
          <w:rFonts w:cs="Calibri"/>
          <w:szCs w:val="20"/>
        </w:rPr>
        <w:t xml:space="preserve"> </w:t>
      </w:r>
      <w:r w:rsidR="006F306E">
        <w:rPr>
          <w:rFonts w:cs="Calibri"/>
          <w:szCs w:val="20"/>
        </w:rPr>
        <w:t>ze</w:t>
      </w:r>
      <w:r w:rsidR="008B706B">
        <w:rPr>
          <w:rFonts w:cs="Calibri"/>
          <w:szCs w:val="20"/>
        </w:rPr>
        <w:t> </w:t>
      </w:r>
      <w:r w:rsidR="0062611E">
        <w:rPr>
          <w:rFonts w:cs="Calibri"/>
          <w:szCs w:val="20"/>
        </w:rPr>
        <w:t>znacznie większymi</w:t>
      </w:r>
      <w:r w:rsidR="00E66B89">
        <w:rPr>
          <w:rFonts w:cs="Calibri"/>
          <w:szCs w:val="20"/>
        </w:rPr>
        <w:t xml:space="preserve"> i </w:t>
      </w:r>
      <w:r w:rsidR="0062611E">
        <w:rPr>
          <w:rFonts w:cs="Calibri"/>
          <w:szCs w:val="20"/>
        </w:rPr>
        <w:t>lepiej przygotowanymi samorządami</w:t>
      </w:r>
      <w:r w:rsidR="00E66B89">
        <w:rPr>
          <w:rFonts w:cs="Calibri"/>
          <w:szCs w:val="20"/>
        </w:rPr>
        <w:t xml:space="preserve"> w </w:t>
      </w:r>
      <w:r w:rsidR="0062611E">
        <w:rPr>
          <w:rFonts w:cs="Calibri"/>
          <w:szCs w:val="20"/>
        </w:rPr>
        <w:t>regionie (posiadającymi lepsze kadry odpowiadające za przygotowanie wniosków, ale też mogące wykazać znacznie większe szacowane efekty</w:t>
      </w:r>
      <w:r w:rsidR="00E66B89">
        <w:rPr>
          <w:rFonts w:cs="Calibri"/>
          <w:szCs w:val="20"/>
        </w:rPr>
        <w:t xml:space="preserve"> z </w:t>
      </w:r>
      <w:r w:rsidR="0062611E">
        <w:rPr>
          <w:rFonts w:cs="Calibri"/>
          <w:szCs w:val="20"/>
        </w:rPr>
        <w:t>uwagi na liczbę mieszkańców czy inne, komplementarne inwestycje)</w:t>
      </w:r>
      <w:r w:rsidR="003459B6">
        <w:rPr>
          <w:rFonts w:cs="Calibri"/>
          <w:szCs w:val="20"/>
        </w:rPr>
        <w:t>,</w:t>
      </w:r>
      <w:r w:rsidR="00E66B89">
        <w:rPr>
          <w:rFonts w:cs="Calibri"/>
          <w:szCs w:val="20"/>
        </w:rPr>
        <w:t xml:space="preserve"> w </w:t>
      </w:r>
      <w:r w:rsidR="003459B6">
        <w:rPr>
          <w:rFonts w:cs="Calibri"/>
          <w:szCs w:val="20"/>
        </w:rPr>
        <w:t>efekcie czego ich szansa na pozyskanie środków byłaby znacznie mniejsza</w:t>
      </w:r>
      <w:r w:rsidR="0062611E">
        <w:rPr>
          <w:rFonts w:cs="Calibri"/>
          <w:szCs w:val="20"/>
        </w:rPr>
        <w:t>.</w:t>
      </w:r>
      <w:r w:rsidR="006F306E">
        <w:rPr>
          <w:rFonts w:cs="Calibri"/>
          <w:szCs w:val="20"/>
        </w:rPr>
        <w:t xml:space="preserve"> Pozytywne opinie na temat KS wyrażali także uczestnicy panelu ekspertów, wskazując, że jest to narzędzie do bardziej skutecznego oraz efektywnego wdrażania całej interwencji,</w:t>
      </w:r>
      <w:r w:rsidR="00E66B89">
        <w:rPr>
          <w:rFonts w:cs="Calibri"/>
          <w:szCs w:val="20"/>
        </w:rPr>
        <w:t xml:space="preserve"> a </w:t>
      </w:r>
      <w:r w:rsidR="006F306E">
        <w:rPr>
          <w:rFonts w:cs="Calibri"/>
          <w:szCs w:val="20"/>
        </w:rPr>
        <w:t>dodatkowo motywujące poszczególne samorządy do nawiązywania współpracy – bez której pojedyncze JST mogłyby mieć coraz większe problemy</w:t>
      </w:r>
      <w:r w:rsidR="00E66B89">
        <w:rPr>
          <w:rFonts w:cs="Calibri"/>
          <w:szCs w:val="20"/>
        </w:rPr>
        <w:t xml:space="preserve"> w </w:t>
      </w:r>
      <w:r w:rsidR="006F306E">
        <w:rPr>
          <w:rFonts w:cs="Calibri"/>
          <w:szCs w:val="20"/>
        </w:rPr>
        <w:t>obliczu wyzwań społecznych</w:t>
      </w:r>
      <w:r w:rsidR="00E66B89">
        <w:rPr>
          <w:rFonts w:cs="Calibri"/>
          <w:szCs w:val="20"/>
        </w:rPr>
        <w:t xml:space="preserve"> i </w:t>
      </w:r>
      <w:r w:rsidR="006F306E">
        <w:rPr>
          <w:rFonts w:cs="Calibri"/>
          <w:szCs w:val="20"/>
        </w:rPr>
        <w:t>gospodarczych.</w:t>
      </w:r>
    </w:p>
    <w:p w14:paraId="51426DD8" w14:textId="77777777" w:rsidR="003B6875" w:rsidRDefault="005351F2" w:rsidP="00C10C7F">
      <w:pPr>
        <w:rPr>
          <w:rFonts w:cs="Calibri"/>
          <w:szCs w:val="20"/>
        </w:rPr>
      </w:pPr>
      <w:r>
        <w:rPr>
          <w:rFonts w:cs="Calibri"/>
          <w:szCs w:val="20"/>
        </w:rPr>
        <w:t>Mimo pozytywnych ocen,</w:t>
      </w:r>
      <w:r w:rsidR="00E66B89">
        <w:rPr>
          <w:rFonts w:cs="Calibri"/>
          <w:szCs w:val="20"/>
        </w:rPr>
        <w:t xml:space="preserve"> w </w:t>
      </w:r>
      <w:r>
        <w:rPr>
          <w:rFonts w:cs="Calibri"/>
          <w:szCs w:val="20"/>
        </w:rPr>
        <w:t xml:space="preserve">badaniu </w:t>
      </w:r>
      <w:r w:rsidR="006F306E">
        <w:rPr>
          <w:rFonts w:cs="Calibri"/>
          <w:szCs w:val="20"/>
        </w:rPr>
        <w:t>ilościowym</w:t>
      </w:r>
      <w:r>
        <w:rPr>
          <w:rFonts w:cs="Calibri"/>
          <w:szCs w:val="20"/>
        </w:rPr>
        <w:t xml:space="preserve"> nie wszyscy badani zgadzali się ze stwierdzeniem, że typ wsparcia odpowiada wszystkim istniejącym potrzebom rozwojowym – więcej negatywnych opinii</w:t>
      </w:r>
      <w:r w:rsidR="00E66B89">
        <w:rPr>
          <w:rFonts w:cs="Calibri"/>
          <w:szCs w:val="20"/>
        </w:rPr>
        <w:t xml:space="preserve"> w </w:t>
      </w:r>
      <w:r>
        <w:rPr>
          <w:rFonts w:cs="Calibri"/>
          <w:szCs w:val="20"/>
        </w:rPr>
        <w:t>tym zakresie prezentowali przedstawiciele KS.</w:t>
      </w:r>
      <w:r w:rsidR="00E66B89">
        <w:rPr>
          <w:rFonts w:cs="Calibri"/>
          <w:szCs w:val="20"/>
        </w:rPr>
        <w:t xml:space="preserve"> W </w:t>
      </w:r>
      <w:r w:rsidR="00A335CA">
        <w:rPr>
          <w:rFonts w:cs="Calibri"/>
          <w:szCs w:val="20"/>
        </w:rPr>
        <w:t xml:space="preserve">przypadku ZIT badani wskazywali niemal zgodnie, że zabrakło im wsparcia </w:t>
      </w:r>
      <w:r w:rsidR="006F306E">
        <w:rPr>
          <w:rFonts w:cs="Calibri"/>
          <w:szCs w:val="20"/>
        </w:rPr>
        <w:t xml:space="preserve">- </w:t>
      </w:r>
      <w:r w:rsidR="00A335CA">
        <w:rPr>
          <w:rFonts w:cs="Calibri"/>
          <w:szCs w:val="20"/>
        </w:rPr>
        <w:t>lub było ono niedostateczne</w:t>
      </w:r>
      <w:r w:rsidR="008B706B">
        <w:rPr>
          <w:rFonts w:cs="Calibri"/>
          <w:szCs w:val="20"/>
        </w:rPr>
        <w:t xml:space="preserve"> </w:t>
      </w:r>
      <w:r w:rsidR="006F306E">
        <w:rPr>
          <w:rFonts w:cs="Calibri"/>
          <w:szCs w:val="20"/>
        </w:rPr>
        <w:t>-</w:t>
      </w:r>
      <w:r w:rsidR="00E66B89">
        <w:rPr>
          <w:rFonts w:cs="Calibri"/>
          <w:szCs w:val="20"/>
        </w:rPr>
        <w:t xml:space="preserve"> w </w:t>
      </w:r>
      <w:r w:rsidR="00A335CA">
        <w:rPr>
          <w:rFonts w:cs="Calibri"/>
          <w:szCs w:val="20"/>
        </w:rPr>
        <w:t>takich obszarach jak termomodernizacja</w:t>
      </w:r>
      <w:r w:rsidR="003700A8">
        <w:rPr>
          <w:rFonts w:cs="Calibri"/>
          <w:szCs w:val="20"/>
        </w:rPr>
        <w:t>, rewitalizacja</w:t>
      </w:r>
      <w:r w:rsidR="00E66B89">
        <w:rPr>
          <w:rFonts w:cs="Calibri"/>
          <w:szCs w:val="20"/>
        </w:rPr>
        <w:t xml:space="preserve"> i </w:t>
      </w:r>
      <w:r w:rsidR="00A335CA">
        <w:rPr>
          <w:rFonts w:cs="Calibri"/>
          <w:szCs w:val="20"/>
        </w:rPr>
        <w:t>drogi lokalne.</w:t>
      </w:r>
      <w:r w:rsidR="00E66B89">
        <w:rPr>
          <w:rFonts w:cs="Calibri"/>
          <w:szCs w:val="20"/>
        </w:rPr>
        <w:t xml:space="preserve"> W </w:t>
      </w:r>
      <w:r w:rsidR="00A335CA">
        <w:rPr>
          <w:rFonts w:cs="Calibri"/>
          <w:szCs w:val="20"/>
        </w:rPr>
        <w:t>przypadku KS wskazywano zaś na takie deficytowe obszary wsparcia, jak: drogi lokalne, ścieżki rowerowe, kanalizacja</w:t>
      </w:r>
      <w:r w:rsidR="00E66B89">
        <w:rPr>
          <w:rFonts w:cs="Calibri"/>
          <w:szCs w:val="20"/>
        </w:rPr>
        <w:t xml:space="preserve"> i </w:t>
      </w:r>
      <w:r w:rsidR="00A335CA">
        <w:rPr>
          <w:rFonts w:cs="Calibri"/>
          <w:szCs w:val="20"/>
        </w:rPr>
        <w:t>gospodarka wodno-ściekowa, turystyka</w:t>
      </w:r>
      <w:r w:rsidR="00E66B89">
        <w:rPr>
          <w:rFonts w:cs="Calibri"/>
          <w:szCs w:val="20"/>
        </w:rPr>
        <w:t xml:space="preserve"> i </w:t>
      </w:r>
      <w:r w:rsidR="00A335CA">
        <w:rPr>
          <w:rFonts w:cs="Calibri"/>
          <w:szCs w:val="20"/>
        </w:rPr>
        <w:t>rozwój zasobów endogenicznych.</w:t>
      </w:r>
      <w:r w:rsidR="00E66B89">
        <w:rPr>
          <w:rFonts w:cs="Calibri"/>
          <w:szCs w:val="20"/>
        </w:rPr>
        <w:t xml:space="preserve"> Z </w:t>
      </w:r>
      <w:r w:rsidR="00D2054F">
        <w:rPr>
          <w:rFonts w:cs="Calibri"/>
          <w:szCs w:val="20"/>
        </w:rPr>
        <w:t>drugiej zaś strony, zdecydowana większość badanych uznała, że wsparcie</w:t>
      </w:r>
      <w:r w:rsidR="00E66B89">
        <w:rPr>
          <w:rFonts w:cs="Calibri"/>
          <w:szCs w:val="20"/>
        </w:rPr>
        <w:t xml:space="preserve"> w </w:t>
      </w:r>
      <w:r w:rsidR="00D2054F">
        <w:rPr>
          <w:rFonts w:cs="Calibri"/>
          <w:szCs w:val="20"/>
        </w:rPr>
        <w:t>ramach CT 3 (na tworzenie</w:t>
      </w:r>
      <w:r w:rsidR="00E66B89">
        <w:rPr>
          <w:rFonts w:cs="Calibri"/>
          <w:szCs w:val="20"/>
        </w:rPr>
        <w:t xml:space="preserve"> i </w:t>
      </w:r>
      <w:r w:rsidR="00D2054F">
        <w:rPr>
          <w:rFonts w:cs="Calibri"/>
          <w:szCs w:val="20"/>
        </w:rPr>
        <w:t>rozbudowę infrastruktury na rzecz rozwoju gospodarczego</w:t>
      </w:r>
      <w:r w:rsidR="00E66B89">
        <w:rPr>
          <w:rFonts w:cs="Calibri"/>
          <w:szCs w:val="20"/>
        </w:rPr>
        <w:t xml:space="preserve"> w </w:t>
      </w:r>
      <w:r w:rsidR="00D2054F">
        <w:rPr>
          <w:rFonts w:cs="Calibri"/>
          <w:szCs w:val="20"/>
        </w:rPr>
        <w:t>ramach tak ZIT, jak</w:t>
      </w:r>
      <w:r w:rsidR="00E66B89">
        <w:rPr>
          <w:rFonts w:cs="Calibri"/>
          <w:szCs w:val="20"/>
        </w:rPr>
        <w:t xml:space="preserve"> i </w:t>
      </w:r>
      <w:r w:rsidR="00D2054F">
        <w:rPr>
          <w:rFonts w:cs="Calibri"/>
          <w:szCs w:val="20"/>
        </w:rPr>
        <w:t>KS) jest mało adekwatne do identyfikowanych potrzeb.</w:t>
      </w:r>
    </w:p>
    <w:p w14:paraId="7C7CEA41" w14:textId="77777777" w:rsidR="00E55D06" w:rsidRDefault="00E55D06" w:rsidP="00024F00">
      <w:pPr>
        <w:pStyle w:val="Legenda"/>
        <w:spacing w:after="0"/>
      </w:pPr>
      <w:bookmarkStart w:id="386" w:name="_Toc5311905"/>
      <w:r>
        <w:t xml:space="preserve">Wykres </w:t>
      </w:r>
      <w:r w:rsidR="00CD6DE8">
        <w:fldChar w:fldCharType="begin"/>
      </w:r>
      <w:r w:rsidR="00CD6DE8">
        <w:instrText xml:space="preserve"> SEQ Wykres \* ARABIC </w:instrText>
      </w:r>
      <w:r w:rsidR="00CD6DE8">
        <w:fldChar w:fldCharType="separate"/>
      </w:r>
      <w:r w:rsidR="00763345">
        <w:rPr>
          <w:noProof/>
        </w:rPr>
        <w:t>40</w:t>
      </w:r>
      <w:r w:rsidR="00CD6DE8">
        <w:fldChar w:fldCharType="end"/>
      </w:r>
      <w:r>
        <w:t xml:space="preserve"> Ocena trafności zakresu przedmiotowego wsparcia realizowanego</w:t>
      </w:r>
      <w:r w:rsidR="00E66B89">
        <w:t xml:space="preserve"> w </w:t>
      </w:r>
      <w:r>
        <w:t>ramach ZIT</w:t>
      </w:r>
      <w:r w:rsidR="00E66B89">
        <w:t xml:space="preserve"> i </w:t>
      </w:r>
      <w:r>
        <w:t>KS</w:t>
      </w:r>
      <w:bookmarkEnd w:id="386"/>
    </w:p>
    <w:p w14:paraId="5F33CA4E" w14:textId="288931E9" w:rsidR="006F306E" w:rsidRDefault="00C35619" w:rsidP="00CA715D">
      <w:pPr>
        <w:spacing w:before="0" w:after="0"/>
        <w:rPr>
          <w:rFonts w:cs="Calibri"/>
          <w:szCs w:val="20"/>
        </w:rPr>
      </w:pPr>
      <w:r w:rsidRPr="00D508B6">
        <w:rPr>
          <w:noProof/>
        </w:rPr>
        <w:drawing>
          <wp:inline distT="0" distB="0" distL="0" distR="0" wp14:anchorId="01DC4296" wp14:editId="12E9A5C5">
            <wp:extent cx="5739130" cy="2094865"/>
            <wp:effectExtent l="0" t="0" r="13970" b="635"/>
            <wp:docPr id="7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E4F491" w14:textId="77777777" w:rsidR="00A87FA0" w:rsidRPr="00D21299" w:rsidRDefault="00A87FA0" w:rsidP="0028542B">
      <w:pPr>
        <w:spacing w:before="0"/>
        <w:rPr>
          <w:rFonts w:cs="Calibri"/>
          <w:i/>
          <w:sz w:val="18"/>
          <w:szCs w:val="18"/>
        </w:rPr>
      </w:pPr>
      <w:r w:rsidRPr="00D21299">
        <w:rPr>
          <w:rFonts w:cs="Calibri"/>
          <w:i/>
          <w:sz w:val="18"/>
          <w:szCs w:val="18"/>
        </w:rPr>
        <w:t>Źródło: opracowanie własne na podstawie badania beneficjentów</w:t>
      </w:r>
      <w:r w:rsidR="00E66B89" w:rsidRPr="00D21299">
        <w:rPr>
          <w:rFonts w:cs="Calibri"/>
          <w:i/>
          <w:sz w:val="18"/>
          <w:szCs w:val="18"/>
        </w:rPr>
        <w:t xml:space="preserve"> i </w:t>
      </w:r>
      <w:r w:rsidRPr="00D21299">
        <w:rPr>
          <w:rFonts w:cs="Calibri"/>
          <w:i/>
          <w:sz w:val="18"/>
          <w:szCs w:val="18"/>
        </w:rPr>
        <w:t>wnioskodawców nieskutecznych RPO WZ 2014-2020.</w:t>
      </w:r>
    </w:p>
    <w:p w14:paraId="4A873D89" w14:textId="77777777" w:rsidR="00E7355B" w:rsidRDefault="00E7355B" w:rsidP="00C10C7F">
      <w:pPr>
        <w:rPr>
          <w:rFonts w:cs="Calibri"/>
          <w:szCs w:val="20"/>
        </w:rPr>
      </w:pPr>
      <w:r>
        <w:rPr>
          <w:rFonts w:cs="Calibri"/>
          <w:szCs w:val="20"/>
        </w:rPr>
        <w:t>Potrzebę rozszerzenia</w:t>
      </w:r>
      <w:r w:rsidR="00D2054F">
        <w:rPr>
          <w:rFonts w:cs="Calibri"/>
          <w:szCs w:val="20"/>
        </w:rPr>
        <w:t>/zmiany</w:t>
      </w:r>
      <w:r>
        <w:rPr>
          <w:rFonts w:cs="Calibri"/>
          <w:szCs w:val="20"/>
        </w:rPr>
        <w:t xml:space="preserve"> zakresu wsparcia dostrzegali także rozmówcy</w:t>
      </w:r>
      <w:r w:rsidR="00E66B89">
        <w:rPr>
          <w:rFonts w:cs="Calibri"/>
          <w:szCs w:val="20"/>
        </w:rPr>
        <w:t xml:space="preserve"> w </w:t>
      </w:r>
      <w:r>
        <w:rPr>
          <w:rFonts w:cs="Calibri"/>
          <w:szCs w:val="20"/>
        </w:rPr>
        <w:t>trakcie wywiadów pogłębionych (przedstawiciele IP ZIT oraz JST-liderów KS).</w:t>
      </w:r>
      <w:r w:rsidR="00E66B89">
        <w:rPr>
          <w:rFonts w:cs="Calibri"/>
          <w:szCs w:val="20"/>
        </w:rPr>
        <w:t xml:space="preserve"> W </w:t>
      </w:r>
      <w:r>
        <w:rPr>
          <w:rFonts w:cs="Calibri"/>
          <w:szCs w:val="20"/>
        </w:rPr>
        <w:t xml:space="preserve">przypadku ZIT wskazywano także na </w:t>
      </w:r>
      <w:r w:rsidR="003004FD">
        <w:rPr>
          <w:rFonts w:cs="Calibri"/>
          <w:szCs w:val="20"/>
        </w:rPr>
        <w:t>konieczność</w:t>
      </w:r>
      <w:r>
        <w:rPr>
          <w:rFonts w:cs="Calibri"/>
          <w:szCs w:val="20"/>
        </w:rPr>
        <w:t xml:space="preserve"> większego zaangażowania IP</w:t>
      </w:r>
      <w:r w:rsidR="00E66B89">
        <w:rPr>
          <w:rFonts w:cs="Calibri"/>
          <w:szCs w:val="20"/>
        </w:rPr>
        <w:t xml:space="preserve"> w </w:t>
      </w:r>
      <w:r>
        <w:rPr>
          <w:rFonts w:cs="Calibri"/>
          <w:szCs w:val="20"/>
        </w:rPr>
        <w:t>kształt</w:t>
      </w:r>
      <w:r w:rsidR="003700A8">
        <w:rPr>
          <w:rFonts w:cs="Calibri"/>
          <w:szCs w:val="20"/>
        </w:rPr>
        <w:t>/zakres</w:t>
      </w:r>
      <w:r>
        <w:rPr>
          <w:rFonts w:cs="Calibri"/>
          <w:szCs w:val="20"/>
        </w:rPr>
        <w:t xml:space="preserve"> przyszłej interwencji -</w:t>
      </w:r>
      <w:r w:rsidR="00E66B89">
        <w:rPr>
          <w:rFonts w:cs="Calibri"/>
          <w:szCs w:val="20"/>
        </w:rPr>
        <w:t xml:space="preserve"> w </w:t>
      </w:r>
      <w:r>
        <w:rPr>
          <w:rFonts w:cs="Calibri"/>
          <w:szCs w:val="20"/>
        </w:rPr>
        <w:t>tym,</w:t>
      </w:r>
      <w:r w:rsidR="00E66B89">
        <w:rPr>
          <w:rFonts w:cs="Calibri"/>
          <w:szCs w:val="20"/>
        </w:rPr>
        <w:t xml:space="preserve"> w </w:t>
      </w:r>
      <w:r>
        <w:rPr>
          <w:rFonts w:cs="Calibri"/>
          <w:szCs w:val="20"/>
        </w:rPr>
        <w:t>negocjacje</w:t>
      </w:r>
      <w:r w:rsidR="00E66B89">
        <w:rPr>
          <w:rFonts w:cs="Calibri"/>
          <w:szCs w:val="20"/>
        </w:rPr>
        <w:t xml:space="preserve"> z </w:t>
      </w:r>
      <w:r>
        <w:rPr>
          <w:rFonts w:cs="Calibri"/>
          <w:szCs w:val="20"/>
        </w:rPr>
        <w:t xml:space="preserve">MIiR oraz KE. </w:t>
      </w:r>
      <w:r w:rsidR="006F306E">
        <w:rPr>
          <w:rFonts w:cs="Calibri"/>
          <w:szCs w:val="20"/>
        </w:rPr>
        <w:t>Postulat</w:t>
      </w:r>
      <w:r w:rsidR="00C22C26">
        <w:rPr>
          <w:rFonts w:cs="Calibri"/>
          <w:szCs w:val="20"/>
        </w:rPr>
        <w:t xml:space="preserve"> </w:t>
      </w:r>
      <w:r w:rsidR="006F306E">
        <w:rPr>
          <w:rFonts w:cs="Calibri"/>
          <w:szCs w:val="20"/>
        </w:rPr>
        <w:t>taki jest zgodny ze stanowiskiem IZ RPO WZ przekazanym</w:t>
      </w:r>
      <w:r w:rsidR="00E66B89">
        <w:rPr>
          <w:rFonts w:cs="Calibri"/>
          <w:szCs w:val="20"/>
        </w:rPr>
        <w:t xml:space="preserve"> w </w:t>
      </w:r>
      <w:r w:rsidR="006F306E">
        <w:rPr>
          <w:rFonts w:cs="Calibri"/>
          <w:szCs w:val="20"/>
        </w:rPr>
        <w:t>trakcie panelu ekspertów – przedstawiciele IZ wskazali bowiem otwartość oraz chęć organizowania spotkań roboczych</w:t>
      </w:r>
      <w:r w:rsidR="00E66B89">
        <w:rPr>
          <w:rFonts w:cs="Calibri"/>
          <w:szCs w:val="20"/>
        </w:rPr>
        <w:t xml:space="preserve"> z </w:t>
      </w:r>
      <w:r w:rsidR="006F306E">
        <w:rPr>
          <w:rFonts w:cs="Calibri"/>
          <w:szCs w:val="20"/>
        </w:rPr>
        <w:t>przedstawicielami samorządów</w:t>
      </w:r>
      <w:r w:rsidR="00E66B89">
        <w:rPr>
          <w:rFonts w:cs="Calibri"/>
          <w:szCs w:val="20"/>
        </w:rPr>
        <w:t xml:space="preserve"> w </w:t>
      </w:r>
      <w:r w:rsidR="006F306E">
        <w:rPr>
          <w:rFonts w:cs="Calibri"/>
          <w:szCs w:val="20"/>
        </w:rPr>
        <w:t>regionie</w:t>
      </w:r>
      <w:r w:rsidR="00E66B89">
        <w:rPr>
          <w:rFonts w:cs="Calibri"/>
          <w:szCs w:val="20"/>
        </w:rPr>
        <w:t xml:space="preserve"> w </w:t>
      </w:r>
      <w:r w:rsidR="006F306E">
        <w:rPr>
          <w:rFonts w:cs="Calibri"/>
          <w:szCs w:val="20"/>
        </w:rPr>
        <w:t xml:space="preserve">celu wypracowywania rozwiązań służących optymalizacji wdrażania ZIT/KS. </w:t>
      </w:r>
      <w:r w:rsidR="003004FD">
        <w:rPr>
          <w:rFonts w:cs="Calibri"/>
          <w:szCs w:val="20"/>
        </w:rPr>
        <w:t>Przedstawiciele JST zaangażowanych</w:t>
      </w:r>
      <w:r w:rsidR="00E66B89">
        <w:rPr>
          <w:rFonts w:cs="Calibri"/>
          <w:szCs w:val="20"/>
        </w:rPr>
        <w:t xml:space="preserve"> w </w:t>
      </w:r>
      <w:r w:rsidR="003004FD">
        <w:rPr>
          <w:rFonts w:cs="Calibri"/>
          <w:szCs w:val="20"/>
        </w:rPr>
        <w:t>KS wskazywali, że z</w:t>
      </w:r>
      <w:r w:rsidR="003004FD" w:rsidRPr="003004FD">
        <w:rPr>
          <w:rFonts w:cs="Calibri"/>
          <w:szCs w:val="20"/>
        </w:rPr>
        <w:t>akres interwencji KS nie do końca odpowiada na potrzeby rozwojowe identyfikowane</w:t>
      </w:r>
      <w:r w:rsidR="00E66B89">
        <w:rPr>
          <w:rFonts w:cs="Calibri"/>
          <w:szCs w:val="20"/>
        </w:rPr>
        <w:t xml:space="preserve"> w </w:t>
      </w:r>
      <w:r w:rsidR="003004FD" w:rsidRPr="003004FD">
        <w:rPr>
          <w:rFonts w:cs="Calibri"/>
          <w:szCs w:val="20"/>
        </w:rPr>
        <w:t>ramach partnerstw. Samorządy mogły ubiegać się</w:t>
      </w:r>
      <w:r w:rsidR="00E66B89">
        <w:rPr>
          <w:rFonts w:cs="Calibri"/>
          <w:szCs w:val="20"/>
        </w:rPr>
        <w:t xml:space="preserve"> o </w:t>
      </w:r>
      <w:r w:rsidR="003004FD" w:rsidRPr="003004FD">
        <w:rPr>
          <w:rFonts w:cs="Calibri"/>
          <w:szCs w:val="20"/>
        </w:rPr>
        <w:t>wsparcie jedynie</w:t>
      </w:r>
      <w:r w:rsidR="00E66B89">
        <w:rPr>
          <w:rFonts w:cs="Calibri"/>
          <w:szCs w:val="20"/>
        </w:rPr>
        <w:t xml:space="preserve"> z </w:t>
      </w:r>
      <w:r w:rsidR="003004FD" w:rsidRPr="003004FD">
        <w:rPr>
          <w:rFonts w:cs="Calibri"/>
          <w:szCs w:val="20"/>
        </w:rPr>
        <w:t>kilku PI. Każdy</w:t>
      </w:r>
      <w:r w:rsidR="00E66B89">
        <w:rPr>
          <w:rFonts w:cs="Calibri"/>
          <w:szCs w:val="20"/>
        </w:rPr>
        <w:t xml:space="preserve"> z </w:t>
      </w:r>
      <w:r w:rsidR="003004FD" w:rsidRPr="003004FD">
        <w:rPr>
          <w:rFonts w:cs="Calibri"/>
          <w:szCs w:val="20"/>
        </w:rPr>
        <w:t>partnerów ma</w:t>
      </w:r>
      <w:r w:rsidR="003004FD">
        <w:rPr>
          <w:rFonts w:cs="Calibri"/>
          <w:szCs w:val="20"/>
        </w:rPr>
        <w:t xml:space="preserve"> zaś</w:t>
      </w:r>
      <w:r w:rsidR="003004FD" w:rsidRPr="003004FD">
        <w:rPr>
          <w:rFonts w:cs="Calibri"/>
          <w:szCs w:val="20"/>
        </w:rPr>
        <w:t xml:space="preserve"> swoje problemy</w:t>
      </w:r>
      <w:r w:rsidR="00E66B89">
        <w:rPr>
          <w:rFonts w:cs="Calibri"/>
          <w:szCs w:val="20"/>
        </w:rPr>
        <w:t xml:space="preserve"> i </w:t>
      </w:r>
      <w:r w:rsidR="003004FD" w:rsidRPr="003004FD">
        <w:rPr>
          <w:rFonts w:cs="Calibri"/>
          <w:szCs w:val="20"/>
        </w:rPr>
        <w:t>zadania do zrealizowania, które nie do końca są spójne. Konieczność zintegrowania założonych</w:t>
      </w:r>
      <w:r w:rsidR="00E66B89">
        <w:rPr>
          <w:rFonts w:cs="Calibri"/>
          <w:szCs w:val="20"/>
        </w:rPr>
        <w:t xml:space="preserve"> w </w:t>
      </w:r>
      <w:r w:rsidR="003004FD" w:rsidRPr="003004FD">
        <w:rPr>
          <w:rFonts w:cs="Calibri"/>
          <w:szCs w:val="20"/>
        </w:rPr>
        <w:t>ramach KS działań wymusza</w:t>
      </w:r>
      <w:r w:rsidR="003004FD">
        <w:rPr>
          <w:rFonts w:cs="Calibri"/>
          <w:szCs w:val="20"/>
        </w:rPr>
        <w:t>ła</w:t>
      </w:r>
      <w:r w:rsidR="003004FD" w:rsidRPr="003004FD">
        <w:rPr>
          <w:rFonts w:cs="Calibri"/>
          <w:szCs w:val="20"/>
        </w:rPr>
        <w:t xml:space="preserve"> na partnerach rezygnację</w:t>
      </w:r>
      <w:r w:rsidR="00E66B89">
        <w:rPr>
          <w:rFonts w:cs="Calibri"/>
          <w:szCs w:val="20"/>
        </w:rPr>
        <w:t xml:space="preserve"> z </w:t>
      </w:r>
      <w:r w:rsidR="003004FD" w:rsidRPr="003004FD">
        <w:rPr>
          <w:rFonts w:cs="Calibri"/>
          <w:szCs w:val="20"/>
        </w:rPr>
        <w:t>zaspokojenia części potrzeb</w:t>
      </w:r>
      <w:r w:rsidR="00E66B89">
        <w:rPr>
          <w:rFonts w:cs="Calibri"/>
          <w:szCs w:val="20"/>
        </w:rPr>
        <w:t xml:space="preserve"> i </w:t>
      </w:r>
      <w:r w:rsidR="003004FD" w:rsidRPr="003004FD">
        <w:rPr>
          <w:rFonts w:cs="Calibri"/>
          <w:szCs w:val="20"/>
        </w:rPr>
        <w:t xml:space="preserve">realizację działań niejako </w:t>
      </w:r>
      <w:r w:rsidR="003004FD" w:rsidRPr="003004FD">
        <w:rPr>
          <w:rFonts w:cs="Calibri"/>
          <w:szCs w:val="20"/>
        </w:rPr>
        <w:lastRenderedPageBreak/>
        <w:t>narzuconych przez konieczność dopasowania się do pozostałych partnerów. Większą użyteczność osiąg</w:t>
      </w:r>
      <w:r w:rsidR="005351F2">
        <w:rPr>
          <w:rFonts w:cs="Calibri"/>
          <w:szCs w:val="20"/>
        </w:rPr>
        <w:t xml:space="preserve">nięto </w:t>
      </w:r>
      <w:r w:rsidR="003004FD" w:rsidRPr="003004FD">
        <w:rPr>
          <w:rFonts w:cs="Calibri"/>
          <w:szCs w:val="20"/>
        </w:rPr>
        <w:t>by</w:t>
      </w:r>
      <w:r w:rsidR="003004FD">
        <w:rPr>
          <w:rFonts w:cs="Calibri"/>
          <w:szCs w:val="20"/>
        </w:rPr>
        <w:t xml:space="preserve"> (zdaniem rozmówców)</w:t>
      </w:r>
      <w:r w:rsidR="003004FD" w:rsidRPr="003004FD">
        <w:rPr>
          <w:rFonts w:cs="Calibri"/>
          <w:szCs w:val="20"/>
        </w:rPr>
        <w:t>, gdyby samorządom umożliwiono realizację projektów odpowiadających na wskazane przez nich faktyczne potrzeby</w:t>
      </w:r>
      <w:r w:rsidR="003004FD">
        <w:rPr>
          <w:rFonts w:cs="Calibri"/>
          <w:szCs w:val="20"/>
        </w:rPr>
        <w:t>,</w:t>
      </w:r>
      <w:r w:rsidR="003004FD" w:rsidRPr="003004FD">
        <w:rPr>
          <w:rFonts w:cs="Calibri"/>
          <w:szCs w:val="20"/>
        </w:rPr>
        <w:t xml:space="preserve"> jakie występują na ich terenie.</w:t>
      </w:r>
      <w:r w:rsidR="003004FD">
        <w:rPr>
          <w:rFonts w:cs="Calibri"/>
          <w:szCs w:val="20"/>
        </w:rPr>
        <w:t xml:space="preserve"> Postulat wydaje się słuszny, aczkolwiek zdaniem ewaluatora rozdrobnienie wsparcia na wiele PI nie przyniosłoby zapewne efektu </w:t>
      </w:r>
      <w:r w:rsidR="005351F2">
        <w:rPr>
          <w:rFonts w:cs="Calibri"/>
          <w:szCs w:val="20"/>
        </w:rPr>
        <w:t>skali</w:t>
      </w:r>
      <w:r w:rsidR="003004FD">
        <w:rPr>
          <w:rFonts w:cs="Calibri"/>
          <w:szCs w:val="20"/>
        </w:rPr>
        <w:t xml:space="preserve"> na obszarze wszystkich</w:t>
      </w:r>
      <w:r w:rsidR="005351F2">
        <w:rPr>
          <w:rFonts w:cs="Calibri"/>
          <w:szCs w:val="20"/>
        </w:rPr>
        <w:t>/większości</w:t>
      </w:r>
      <w:r w:rsidR="003004FD">
        <w:rPr>
          <w:rFonts w:cs="Calibri"/>
          <w:szCs w:val="20"/>
        </w:rPr>
        <w:t xml:space="preserve"> partnerów. </w:t>
      </w:r>
      <w:r w:rsidR="006F306E">
        <w:rPr>
          <w:rFonts w:cs="Calibri"/>
          <w:szCs w:val="20"/>
        </w:rPr>
        <w:t xml:space="preserve">Wniosek taki potwierdzili także uczestnicy przeprowadzonego panelu ekspertów. </w:t>
      </w:r>
      <w:r w:rsidR="003004FD">
        <w:rPr>
          <w:rFonts w:cs="Calibri"/>
          <w:szCs w:val="20"/>
        </w:rPr>
        <w:t>Dlatego też, wydaje się, iż</w:t>
      </w:r>
      <w:r w:rsidR="00E66B89">
        <w:rPr>
          <w:rFonts w:cs="Calibri"/>
          <w:szCs w:val="20"/>
        </w:rPr>
        <w:t xml:space="preserve"> w </w:t>
      </w:r>
      <w:r w:rsidR="003004FD">
        <w:rPr>
          <w:rFonts w:cs="Calibri"/>
          <w:szCs w:val="20"/>
        </w:rPr>
        <w:t>przypadku kontynuacji tego instrumentu, punktem wyjścia musi być rzetelna</w:t>
      </w:r>
      <w:r w:rsidR="00E66B89">
        <w:rPr>
          <w:rFonts w:cs="Calibri"/>
          <w:szCs w:val="20"/>
        </w:rPr>
        <w:t xml:space="preserve"> i </w:t>
      </w:r>
      <w:r w:rsidR="003004FD">
        <w:rPr>
          <w:rFonts w:cs="Calibri"/>
          <w:szCs w:val="20"/>
        </w:rPr>
        <w:t>szczegółowa diagnoza potrzeb rozwojowych wszystkich JST,</w:t>
      </w:r>
      <w:r w:rsidR="00E66B89">
        <w:rPr>
          <w:rFonts w:cs="Calibri"/>
          <w:szCs w:val="20"/>
        </w:rPr>
        <w:t xml:space="preserve"> a </w:t>
      </w:r>
      <w:r w:rsidR="003004FD">
        <w:rPr>
          <w:rFonts w:cs="Calibri"/>
          <w:szCs w:val="20"/>
        </w:rPr>
        <w:t xml:space="preserve">następnie wybranie tych najważniejszych dla większości partnerów. </w:t>
      </w:r>
    </w:p>
    <w:p w14:paraId="415088F6" w14:textId="77777777" w:rsidR="00A80B3E" w:rsidRPr="008B706B" w:rsidRDefault="00A80B3E" w:rsidP="00C10C7F">
      <w:pPr>
        <w:rPr>
          <w:rFonts w:cs="Calibri"/>
          <w:b/>
          <w:szCs w:val="20"/>
        </w:rPr>
      </w:pPr>
      <w:r w:rsidRPr="008B706B">
        <w:rPr>
          <w:rFonts w:cs="Calibri"/>
          <w:b/>
          <w:szCs w:val="20"/>
        </w:rPr>
        <w:t xml:space="preserve">REKOMENDACJA: </w:t>
      </w:r>
      <w:r>
        <w:rPr>
          <w:rFonts w:cs="Calibri"/>
          <w:b/>
          <w:szCs w:val="20"/>
        </w:rPr>
        <w:t>Zaleca się zwiększenie udziału partnerów (ZIT</w:t>
      </w:r>
      <w:r w:rsidR="00E66B89">
        <w:rPr>
          <w:rFonts w:cs="Calibri"/>
          <w:b/>
          <w:szCs w:val="20"/>
        </w:rPr>
        <w:t xml:space="preserve"> i </w:t>
      </w:r>
      <w:r>
        <w:rPr>
          <w:rFonts w:cs="Calibri"/>
          <w:b/>
          <w:szCs w:val="20"/>
        </w:rPr>
        <w:t>KS)</w:t>
      </w:r>
      <w:r w:rsidR="00E66B89">
        <w:rPr>
          <w:rFonts w:cs="Calibri"/>
          <w:b/>
          <w:szCs w:val="20"/>
        </w:rPr>
        <w:t xml:space="preserve"> w </w:t>
      </w:r>
      <w:r>
        <w:rPr>
          <w:rFonts w:cs="Calibri"/>
          <w:b/>
          <w:szCs w:val="20"/>
        </w:rPr>
        <w:t>identyfikowaniu obszarów, jakie będą obejmowane interwencją ze środków RPO WZ</w:t>
      </w:r>
      <w:r w:rsidR="00E66B89">
        <w:rPr>
          <w:rFonts w:cs="Calibri"/>
          <w:b/>
          <w:szCs w:val="20"/>
        </w:rPr>
        <w:t xml:space="preserve"> w </w:t>
      </w:r>
      <w:r>
        <w:rPr>
          <w:rFonts w:cs="Calibri"/>
          <w:b/>
          <w:szCs w:val="20"/>
        </w:rPr>
        <w:t>przyszłości. Przedstawiciele ZIT</w:t>
      </w:r>
      <w:r w:rsidR="00E66B89">
        <w:rPr>
          <w:rFonts w:cs="Calibri"/>
          <w:b/>
          <w:szCs w:val="20"/>
        </w:rPr>
        <w:t xml:space="preserve"> i </w:t>
      </w:r>
      <w:r>
        <w:rPr>
          <w:rFonts w:cs="Calibri"/>
          <w:b/>
          <w:szCs w:val="20"/>
        </w:rPr>
        <w:t>KS powinni mieć także wpływ na ostateczny podział dostępnych środków</w:t>
      </w:r>
      <w:r w:rsidR="00E66B89">
        <w:rPr>
          <w:rFonts w:cs="Calibri"/>
          <w:b/>
          <w:szCs w:val="20"/>
        </w:rPr>
        <w:t xml:space="preserve"> w </w:t>
      </w:r>
      <w:r>
        <w:rPr>
          <w:rFonts w:cs="Calibri"/>
          <w:b/>
          <w:szCs w:val="20"/>
        </w:rPr>
        <w:t>ramach poszczególnych PI/Działań.</w:t>
      </w:r>
      <w:r w:rsidR="00E66B89">
        <w:rPr>
          <w:rFonts w:cs="Calibri"/>
          <w:b/>
          <w:szCs w:val="20"/>
        </w:rPr>
        <w:t xml:space="preserve"> Z </w:t>
      </w:r>
      <w:r>
        <w:rPr>
          <w:rFonts w:cs="Calibri"/>
          <w:b/>
          <w:szCs w:val="20"/>
        </w:rPr>
        <w:t>drugiej strony, zasadnym wydaje się wybór tylko kilku (głównych) obszarów interwencji, które będą realizowane</w:t>
      </w:r>
      <w:r w:rsidR="00E66B89">
        <w:rPr>
          <w:rFonts w:cs="Calibri"/>
          <w:b/>
          <w:szCs w:val="20"/>
        </w:rPr>
        <w:t xml:space="preserve"> w </w:t>
      </w:r>
      <w:r>
        <w:rPr>
          <w:rFonts w:cs="Calibri"/>
          <w:b/>
          <w:szCs w:val="20"/>
        </w:rPr>
        <w:t>formie ZIT / KS</w:t>
      </w:r>
      <w:r w:rsidR="00EB4A0A">
        <w:rPr>
          <w:rFonts w:cs="Calibri"/>
          <w:b/>
          <w:szCs w:val="20"/>
        </w:rPr>
        <w:t xml:space="preserve"> –</w:t>
      </w:r>
      <w:r w:rsidR="00E66B89">
        <w:rPr>
          <w:rFonts w:cs="Calibri"/>
          <w:b/>
          <w:szCs w:val="20"/>
        </w:rPr>
        <w:t xml:space="preserve"> w </w:t>
      </w:r>
      <w:r w:rsidR="00EB4A0A">
        <w:rPr>
          <w:rFonts w:cs="Calibri"/>
          <w:b/>
          <w:szCs w:val="20"/>
        </w:rPr>
        <w:t xml:space="preserve">ten sposób nie nastąpi rozproszenie efektów poprzez </w:t>
      </w:r>
      <w:r w:rsidR="00E07E7C">
        <w:rPr>
          <w:rFonts w:cs="Calibri"/>
          <w:b/>
          <w:szCs w:val="20"/>
        </w:rPr>
        <w:t>realizację</w:t>
      </w:r>
      <w:r w:rsidR="00EB4A0A">
        <w:rPr>
          <w:rFonts w:cs="Calibri"/>
          <w:b/>
          <w:szCs w:val="20"/>
        </w:rPr>
        <w:t xml:space="preserve"> wielu </w:t>
      </w:r>
      <w:r w:rsidR="00E07E7C">
        <w:rPr>
          <w:rFonts w:cs="Calibri"/>
          <w:b/>
          <w:szCs w:val="20"/>
        </w:rPr>
        <w:t>punktowych</w:t>
      </w:r>
      <w:r w:rsidR="00E66B89">
        <w:rPr>
          <w:rFonts w:cs="Calibri"/>
          <w:b/>
          <w:szCs w:val="20"/>
        </w:rPr>
        <w:t xml:space="preserve"> i </w:t>
      </w:r>
      <w:r w:rsidR="00EB4A0A">
        <w:rPr>
          <w:rFonts w:cs="Calibri"/>
          <w:b/>
          <w:szCs w:val="20"/>
        </w:rPr>
        <w:t>różnych projektów na danym obszarze.</w:t>
      </w:r>
      <w:r w:rsidR="008B706B">
        <w:rPr>
          <w:rFonts w:cs="Calibri"/>
          <w:b/>
          <w:szCs w:val="20"/>
        </w:rPr>
        <w:t xml:space="preserve"> </w:t>
      </w:r>
    </w:p>
    <w:p w14:paraId="49A31730" w14:textId="77777777" w:rsidR="00A87FA0" w:rsidRDefault="00A87FA0" w:rsidP="00C10C7F">
      <w:pPr>
        <w:rPr>
          <w:rFonts w:cs="Calibri"/>
          <w:szCs w:val="20"/>
        </w:rPr>
      </w:pPr>
      <w:r>
        <w:rPr>
          <w:rFonts w:cs="Calibri"/>
          <w:szCs w:val="20"/>
        </w:rPr>
        <w:t>Pozytywne opinie dotyczą efektów realizowanych projektów. Badani najczęściej wskaz</w:t>
      </w:r>
      <w:r w:rsidR="003004FD">
        <w:rPr>
          <w:rFonts w:cs="Calibri"/>
          <w:szCs w:val="20"/>
        </w:rPr>
        <w:t>yw</w:t>
      </w:r>
      <w:r>
        <w:rPr>
          <w:rFonts w:cs="Calibri"/>
          <w:szCs w:val="20"/>
        </w:rPr>
        <w:t>ali, że inwestycje te wzmacniają mocne strony obszarów metropolitalnych/funkcjonalnych oraz zmniejszają dysproporcje między tymi obszarami</w:t>
      </w:r>
      <w:r w:rsidR="00E66B89">
        <w:rPr>
          <w:rFonts w:cs="Calibri"/>
          <w:szCs w:val="20"/>
        </w:rPr>
        <w:t xml:space="preserve"> a </w:t>
      </w:r>
      <w:r>
        <w:rPr>
          <w:rFonts w:cs="Calibri"/>
          <w:szCs w:val="20"/>
        </w:rPr>
        <w:t>resztą regionu.</w:t>
      </w:r>
    </w:p>
    <w:p w14:paraId="10BD73C4" w14:textId="77777777" w:rsidR="004E242D" w:rsidRDefault="004E242D" w:rsidP="00024F00">
      <w:pPr>
        <w:pStyle w:val="Legenda"/>
        <w:spacing w:after="0"/>
      </w:pPr>
      <w:bookmarkStart w:id="387" w:name="_Toc5311906"/>
      <w:r>
        <w:t xml:space="preserve">Wykres </w:t>
      </w:r>
      <w:r w:rsidR="00CD6DE8">
        <w:fldChar w:fldCharType="begin"/>
      </w:r>
      <w:r w:rsidR="00CD6DE8">
        <w:instrText xml:space="preserve"> SEQ Wykres \* ARABIC </w:instrText>
      </w:r>
      <w:r w:rsidR="00CD6DE8">
        <w:fldChar w:fldCharType="separate"/>
      </w:r>
      <w:r w:rsidR="00763345">
        <w:rPr>
          <w:noProof/>
        </w:rPr>
        <w:t>41</w:t>
      </w:r>
      <w:r w:rsidR="00CD6DE8">
        <w:fldChar w:fldCharType="end"/>
      </w:r>
      <w:r>
        <w:t xml:space="preserve"> Wpływ projektów ZIT / KS na wzmacnianie mocnych stron obszarów ZIT/KS</w:t>
      </w:r>
      <w:bookmarkEnd w:id="387"/>
    </w:p>
    <w:p w14:paraId="4F0EEC30" w14:textId="2EE7EC3E" w:rsidR="006F306E" w:rsidRDefault="00C35619" w:rsidP="00CA715D">
      <w:pPr>
        <w:spacing w:before="0" w:after="0"/>
        <w:rPr>
          <w:rFonts w:cs="Calibri"/>
          <w:szCs w:val="20"/>
        </w:rPr>
      </w:pPr>
      <w:r w:rsidRPr="00D508B6">
        <w:rPr>
          <w:noProof/>
        </w:rPr>
        <w:drawing>
          <wp:inline distT="0" distB="0" distL="0" distR="0" wp14:anchorId="79F31D1A" wp14:editId="626DF1F3">
            <wp:extent cx="5739130" cy="1845310"/>
            <wp:effectExtent l="0" t="0" r="13970" b="2540"/>
            <wp:docPr id="73"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A87B9F1" w14:textId="77777777" w:rsidR="004E242D" w:rsidRPr="00D21299" w:rsidRDefault="004E242D" w:rsidP="0028542B">
      <w:pPr>
        <w:spacing w:before="0"/>
        <w:rPr>
          <w:rFonts w:cs="Calibri"/>
          <w:i/>
          <w:sz w:val="18"/>
          <w:szCs w:val="18"/>
        </w:rPr>
      </w:pPr>
      <w:r w:rsidRPr="00D21299">
        <w:rPr>
          <w:rFonts w:cs="Calibri"/>
          <w:i/>
          <w:sz w:val="18"/>
          <w:szCs w:val="18"/>
        </w:rPr>
        <w:t>Źródło: opracowanie własne na podstawie badania beneficjentów</w:t>
      </w:r>
      <w:r w:rsidR="00E66B89" w:rsidRPr="00D21299">
        <w:rPr>
          <w:rFonts w:cs="Calibri"/>
          <w:i/>
          <w:sz w:val="18"/>
          <w:szCs w:val="18"/>
        </w:rPr>
        <w:t xml:space="preserve"> i </w:t>
      </w:r>
      <w:r w:rsidRPr="00D21299">
        <w:rPr>
          <w:rFonts w:cs="Calibri"/>
          <w:i/>
          <w:sz w:val="18"/>
          <w:szCs w:val="18"/>
        </w:rPr>
        <w:t>wnioskodawców nieskutecznych RPO WZ 2014-2020.</w:t>
      </w:r>
    </w:p>
    <w:p w14:paraId="13F5177D" w14:textId="77777777" w:rsidR="004E242D" w:rsidRDefault="004E242D" w:rsidP="00024F00">
      <w:pPr>
        <w:pStyle w:val="Legenda"/>
        <w:spacing w:after="0"/>
      </w:pPr>
      <w:bookmarkStart w:id="388" w:name="_Toc5311907"/>
      <w:r>
        <w:t xml:space="preserve">Wykres </w:t>
      </w:r>
      <w:r w:rsidR="00CD6DE8">
        <w:fldChar w:fldCharType="begin"/>
      </w:r>
      <w:r w:rsidR="00CD6DE8">
        <w:instrText xml:space="preserve"> SEQ Wykres \* ARABIC </w:instrText>
      </w:r>
      <w:r w:rsidR="00CD6DE8">
        <w:fldChar w:fldCharType="separate"/>
      </w:r>
      <w:r w:rsidR="00763345">
        <w:rPr>
          <w:noProof/>
        </w:rPr>
        <w:t>42</w:t>
      </w:r>
      <w:r w:rsidR="00CD6DE8">
        <w:fldChar w:fldCharType="end"/>
      </w:r>
      <w:r>
        <w:t xml:space="preserve"> Wpływ projektów ZIT / KS na dysproporcje rozwojowe istniejące wewnątrz województwa zachodniopomorskiego</w:t>
      </w:r>
      <w:bookmarkEnd w:id="388"/>
    </w:p>
    <w:p w14:paraId="3C92CE15" w14:textId="43E48A7E" w:rsidR="006F306E" w:rsidRDefault="00C35619" w:rsidP="00CA715D">
      <w:pPr>
        <w:spacing w:before="0" w:after="0"/>
        <w:rPr>
          <w:rFonts w:cs="Calibri"/>
          <w:szCs w:val="20"/>
        </w:rPr>
      </w:pPr>
      <w:r w:rsidRPr="00D508B6">
        <w:rPr>
          <w:noProof/>
        </w:rPr>
        <w:drawing>
          <wp:inline distT="0" distB="0" distL="0" distR="0" wp14:anchorId="7EB05984" wp14:editId="7AEBD202">
            <wp:extent cx="5757545" cy="2395855"/>
            <wp:effectExtent l="0" t="0" r="14605" b="4445"/>
            <wp:docPr id="7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6F8D3E4" w14:textId="77777777" w:rsidR="004E242D" w:rsidRPr="00D21299" w:rsidRDefault="004E242D" w:rsidP="0028542B">
      <w:pPr>
        <w:spacing w:before="0"/>
        <w:rPr>
          <w:rFonts w:cs="Calibri"/>
          <w:i/>
          <w:sz w:val="18"/>
          <w:szCs w:val="18"/>
        </w:rPr>
      </w:pPr>
      <w:r w:rsidRPr="00D21299">
        <w:rPr>
          <w:rFonts w:cs="Calibri"/>
          <w:i/>
          <w:sz w:val="18"/>
          <w:szCs w:val="18"/>
        </w:rPr>
        <w:t>Źródło: opracowanie własne na podstawie badania beneficjentów</w:t>
      </w:r>
      <w:r w:rsidR="00E66B89" w:rsidRPr="00D21299">
        <w:rPr>
          <w:rFonts w:cs="Calibri"/>
          <w:i/>
          <w:sz w:val="18"/>
          <w:szCs w:val="18"/>
        </w:rPr>
        <w:t xml:space="preserve"> i </w:t>
      </w:r>
      <w:r w:rsidRPr="00D21299">
        <w:rPr>
          <w:rFonts w:cs="Calibri"/>
          <w:i/>
          <w:sz w:val="18"/>
          <w:szCs w:val="18"/>
        </w:rPr>
        <w:t>wnioskodawców nieskutecznych RPO WZ 2014-2020.</w:t>
      </w:r>
    </w:p>
    <w:p w14:paraId="72E5D0FB" w14:textId="77777777" w:rsidR="003459B6" w:rsidRDefault="0099494A" w:rsidP="00C10C7F">
      <w:pPr>
        <w:rPr>
          <w:rFonts w:cs="Calibri"/>
          <w:szCs w:val="20"/>
        </w:rPr>
      </w:pPr>
      <w:r>
        <w:rPr>
          <w:rFonts w:cs="Calibri"/>
          <w:szCs w:val="20"/>
        </w:rPr>
        <w:lastRenderedPageBreak/>
        <w:t>Respondenci badania CAWI byli także pytani</w:t>
      </w:r>
      <w:r w:rsidR="00E66B89">
        <w:rPr>
          <w:rFonts w:cs="Calibri"/>
          <w:szCs w:val="20"/>
        </w:rPr>
        <w:t xml:space="preserve"> o </w:t>
      </w:r>
      <w:r>
        <w:rPr>
          <w:rFonts w:cs="Calibri"/>
          <w:szCs w:val="20"/>
        </w:rPr>
        <w:t>to czy</w:t>
      </w:r>
      <w:r w:rsidR="00E66B89">
        <w:rPr>
          <w:rFonts w:cs="Calibri"/>
          <w:szCs w:val="20"/>
        </w:rPr>
        <w:t xml:space="preserve"> w </w:t>
      </w:r>
      <w:r>
        <w:rPr>
          <w:rFonts w:cs="Calibri"/>
          <w:szCs w:val="20"/>
        </w:rPr>
        <w:t xml:space="preserve">wyniku realizowanych projektów ZIT / KS nastąpi poprawa </w:t>
      </w:r>
      <w:r w:rsidR="006F306E">
        <w:rPr>
          <w:rFonts w:cs="Calibri"/>
          <w:szCs w:val="20"/>
        </w:rPr>
        <w:t>na ich obszarze</w:t>
      </w:r>
      <w:r w:rsidR="00E66B89">
        <w:rPr>
          <w:rFonts w:cs="Calibri"/>
          <w:szCs w:val="20"/>
        </w:rPr>
        <w:t xml:space="preserve"> w </w:t>
      </w:r>
      <w:r>
        <w:rPr>
          <w:rFonts w:cs="Calibri"/>
          <w:szCs w:val="20"/>
        </w:rPr>
        <w:t xml:space="preserve">zakresie wybranych aspektów społeczno-gospodarczych. </w:t>
      </w:r>
      <w:r w:rsidR="00A335CA">
        <w:rPr>
          <w:rFonts w:cs="Calibri"/>
          <w:szCs w:val="20"/>
        </w:rPr>
        <w:t>Najwięcej badanych wskazało, że realizowane inwestycje poprawią jakość życia mieszkańców oraz dostępność komunikacyjną.</w:t>
      </w:r>
      <w:r w:rsidR="00E66B89">
        <w:rPr>
          <w:rFonts w:cs="Calibri"/>
          <w:szCs w:val="20"/>
        </w:rPr>
        <w:t xml:space="preserve"> W </w:t>
      </w:r>
      <w:r w:rsidR="00A335CA">
        <w:rPr>
          <w:rFonts w:cs="Calibri"/>
          <w:szCs w:val="20"/>
        </w:rPr>
        <w:t>niemal każdym przypadku więcej pozytywnych wskazań dotyczy</w:t>
      </w:r>
      <w:r w:rsidR="005351F2">
        <w:rPr>
          <w:rFonts w:cs="Calibri"/>
          <w:szCs w:val="20"/>
        </w:rPr>
        <w:t xml:space="preserve"> jednak</w:t>
      </w:r>
      <w:r w:rsidR="00A335CA">
        <w:rPr>
          <w:rFonts w:cs="Calibri"/>
          <w:szCs w:val="20"/>
        </w:rPr>
        <w:t xml:space="preserve"> ZIT</w:t>
      </w:r>
      <w:r w:rsidR="005351F2">
        <w:rPr>
          <w:rFonts w:cs="Calibri"/>
          <w:szCs w:val="20"/>
        </w:rPr>
        <w:t xml:space="preserve"> -</w:t>
      </w:r>
      <w:r w:rsidR="00A335CA">
        <w:rPr>
          <w:rFonts w:cs="Calibri"/>
          <w:szCs w:val="20"/>
        </w:rPr>
        <w:t xml:space="preserve"> wyjątkiem jest tylko aspekt dotyczący miejsc pracy dla mieszkańców.</w:t>
      </w:r>
      <w:r w:rsidR="00E66B89">
        <w:rPr>
          <w:rFonts w:cs="Calibri"/>
          <w:szCs w:val="20"/>
        </w:rPr>
        <w:t xml:space="preserve"> O </w:t>
      </w:r>
      <w:r w:rsidR="00005634">
        <w:rPr>
          <w:rFonts w:cs="Calibri"/>
          <w:szCs w:val="20"/>
        </w:rPr>
        <w:t>pozytywnym wpływie tych projektów świadczą także informacje</w:t>
      </w:r>
      <w:r w:rsidR="00E66B89">
        <w:rPr>
          <w:rFonts w:cs="Calibri"/>
          <w:szCs w:val="20"/>
        </w:rPr>
        <w:t xml:space="preserve"> z </w:t>
      </w:r>
      <w:r w:rsidR="00005634">
        <w:rPr>
          <w:rFonts w:cs="Calibri"/>
          <w:szCs w:val="20"/>
        </w:rPr>
        <w:t>wywiadów. Rozmówcy podkreślali, że przewagą tych projektów jest właśnie ich zasięg terytorialny – realizowanie inwestycji</w:t>
      </w:r>
      <w:r w:rsidR="00E66B89">
        <w:rPr>
          <w:rFonts w:cs="Calibri"/>
          <w:szCs w:val="20"/>
        </w:rPr>
        <w:t xml:space="preserve"> o </w:t>
      </w:r>
      <w:r w:rsidR="00005634">
        <w:rPr>
          <w:rFonts w:cs="Calibri"/>
          <w:szCs w:val="20"/>
        </w:rPr>
        <w:t>znacznej skali,</w:t>
      </w:r>
      <w:r w:rsidR="00E66B89">
        <w:rPr>
          <w:rFonts w:cs="Calibri"/>
          <w:szCs w:val="20"/>
        </w:rPr>
        <w:t xml:space="preserve"> a </w:t>
      </w:r>
      <w:r w:rsidR="00005634">
        <w:rPr>
          <w:rFonts w:cs="Calibri"/>
          <w:szCs w:val="20"/>
        </w:rPr>
        <w:t>nie tylko punktowych (przykładem mogą być np. inwestycje</w:t>
      </w:r>
      <w:r w:rsidR="00E66B89">
        <w:rPr>
          <w:rFonts w:cs="Calibri"/>
          <w:szCs w:val="20"/>
        </w:rPr>
        <w:t xml:space="preserve"> w </w:t>
      </w:r>
      <w:r w:rsidR="00005634">
        <w:rPr>
          <w:rFonts w:cs="Calibri"/>
          <w:szCs w:val="20"/>
        </w:rPr>
        <w:t>transport niskoemisyjny, ścieżki rowerowe, SKM, itp.).</w:t>
      </w:r>
    </w:p>
    <w:p w14:paraId="758F1063" w14:textId="77777777" w:rsidR="00C26DC0" w:rsidRDefault="00C26DC0" w:rsidP="00024F00">
      <w:pPr>
        <w:pStyle w:val="Legenda"/>
        <w:spacing w:after="0"/>
      </w:pPr>
      <w:bookmarkStart w:id="389" w:name="_Toc5311908"/>
      <w:r>
        <w:t xml:space="preserve">Wykres </w:t>
      </w:r>
      <w:r w:rsidR="00CD6DE8">
        <w:fldChar w:fldCharType="begin"/>
      </w:r>
      <w:r w:rsidR="00CD6DE8">
        <w:instrText xml:space="preserve"> SEQ Wykres \* ARABIC </w:instrText>
      </w:r>
      <w:r w:rsidR="00CD6DE8">
        <w:fldChar w:fldCharType="separate"/>
      </w:r>
      <w:r w:rsidR="00763345">
        <w:rPr>
          <w:noProof/>
        </w:rPr>
        <w:t>43</w:t>
      </w:r>
      <w:r w:rsidR="00CD6DE8">
        <w:fldChar w:fldCharType="end"/>
      </w:r>
      <w:r>
        <w:t xml:space="preserve"> Wpływ projektów ZIT / KS na poprawę wybranych aspektów sytuacji społeczno-gospodarczej obszarów, na których są one realizowane</w:t>
      </w:r>
      <w:bookmarkEnd w:id="389"/>
    </w:p>
    <w:p w14:paraId="0C7492B0" w14:textId="2F0611D3" w:rsidR="006F306E" w:rsidRDefault="00C35619" w:rsidP="00CA715D">
      <w:pPr>
        <w:spacing w:before="0" w:after="0"/>
        <w:rPr>
          <w:rFonts w:cs="Calibri"/>
          <w:szCs w:val="20"/>
        </w:rPr>
      </w:pPr>
      <w:r w:rsidRPr="00D508B6">
        <w:rPr>
          <w:noProof/>
        </w:rPr>
        <w:drawing>
          <wp:inline distT="0" distB="0" distL="0" distR="0" wp14:anchorId="4E672373" wp14:editId="0F078856">
            <wp:extent cx="5750560" cy="2225040"/>
            <wp:effectExtent l="0" t="0" r="2540" b="3810"/>
            <wp:docPr id="75"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F2C32FD" w14:textId="77777777" w:rsidR="00C26DC0" w:rsidRPr="00D21299" w:rsidRDefault="00C26DC0" w:rsidP="0028542B">
      <w:pPr>
        <w:spacing w:before="0"/>
        <w:rPr>
          <w:rFonts w:cs="Calibri"/>
          <w:i/>
          <w:sz w:val="18"/>
          <w:szCs w:val="18"/>
        </w:rPr>
      </w:pPr>
      <w:r w:rsidRPr="00D21299">
        <w:rPr>
          <w:rFonts w:cs="Calibri"/>
          <w:i/>
          <w:sz w:val="18"/>
          <w:szCs w:val="18"/>
        </w:rPr>
        <w:t>Źródło: opracowanie własne na podstawie badania beneficjentów</w:t>
      </w:r>
      <w:r w:rsidR="00E66B89" w:rsidRPr="00D21299">
        <w:rPr>
          <w:rFonts w:cs="Calibri"/>
          <w:i/>
          <w:sz w:val="18"/>
          <w:szCs w:val="18"/>
        </w:rPr>
        <w:t xml:space="preserve"> i </w:t>
      </w:r>
      <w:r w:rsidRPr="00D21299">
        <w:rPr>
          <w:rFonts w:cs="Calibri"/>
          <w:i/>
          <w:sz w:val="18"/>
          <w:szCs w:val="18"/>
        </w:rPr>
        <w:t>wnioskodawców nieskutecznych RPO WZ 2014-2020.</w:t>
      </w:r>
    </w:p>
    <w:p w14:paraId="0DAD17F0" w14:textId="77777777" w:rsidR="00832107" w:rsidRDefault="00D2054F" w:rsidP="00C10C7F">
      <w:pPr>
        <w:rPr>
          <w:rFonts w:cs="Calibri"/>
          <w:szCs w:val="20"/>
        </w:rPr>
      </w:pPr>
      <w:r>
        <w:rPr>
          <w:rFonts w:cs="Calibri"/>
          <w:szCs w:val="20"/>
        </w:rPr>
        <w:t>Zarówno</w:t>
      </w:r>
      <w:r w:rsidR="00E66B89">
        <w:rPr>
          <w:rFonts w:cs="Calibri"/>
          <w:szCs w:val="20"/>
        </w:rPr>
        <w:t xml:space="preserve"> w </w:t>
      </w:r>
      <w:r>
        <w:rPr>
          <w:rFonts w:cs="Calibri"/>
          <w:szCs w:val="20"/>
        </w:rPr>
        <w:t>przypadku ZIT, jak</w:t>
      </w:r>
      <w:r w:rsidR="00E66B89">
        <w:rPr>
          <w:rFonts w:cs="Calibri"/>
          <w:szCs w:val="20"/>
        </w:rPr>
        <w:t xml:space="preserve"> i </w:t>
      </w:r>
      <w:r>
        <w:rPr>
          <w:rFonts w:cs="Calibri"/>
          <w:szCs w:val="20"/>
        </w:rPr>
        <w:t>KS zgłaszany jest postulat zwiększania alokacji na obszary, które dotychczas cieszyły się największym zainteresowaniem oraz na obszary,</w:t>
      </w:r>
      <w:r w:rsidR="00E66B89">
        <w:rPr>
          <w:rFonts w:cs="Calibri"/>
          <w:szCs w:val="20"/>
        </w:rPr>
        <w:t xml:space="preserve"> w </w:t>
      </w:r>
      <w:r>
        <w:rPr>
          <w:rFonts w:cs="Calibri"/>
          <w:szCs w:val="20"/>
        </w:rPr>
        <w:t xml:space="preserve">których nadal występują </w:t>
      </w:r>
      <w:r w:rsidR="009C4037">
        <w:rPr>
          <w:rFonts w:cs="Calibri"/>
          <w:szCs w:val="20"/>
        </w:rPr>
        <w:t>lub będą</w:t>
      </w:r>
      <w:r w:rsidR="00E66B89">
        <w:rPr>
          <w:rFonts w:cs="Calibri"/>
          <w:szCs w:val="20"/>
        </w:rPr>
        <w:t xml:space="preserve"> w </w:t>
      </w:r>
      <w:r w:rsidR="009C4037">
        <w:rPr>
          <w:rFonts w:cs="Calibri"/>
          <w:szCs w:val="20"/>
        </w:rPr>
        <w:t xml:space="preserve">przyszłości identyfikowane nowe </w:t>
      </w:r>
      <w:r>
        <w:rPr>
          <w:rFonts w:cs="Calibri"/>
          <w:szCs w:val="20"/>
        </w:rPr>
        <w:t>potrzeby (np. gospodarka niskoemisyjna, edukacja). Pośrednim rozwiązaniem może być mechanizm realokacji środków</w:t>
      </w:r>
      <w:r w:rsidR="00E66B89">
        <w:rPr>
          <w:rFonts w:cs="Calibri"/>
          <w:szCs w:val="20"/>
        </w:rPr>
        <w:t xml:space="preserve"> z </w:t>
      </w:r>
      <w:r>
        <w:rPr>
          <w:rFonts w:cs="Calibri"/>
          <w:szCs w:val="20"/>
        </w:rPr>
        <w:t>jednego obszaru wsparcia na drugi</w:t>
      </w:r>
      <w:r w:rsidR="00A9664D">
        <w:rPr>
          <w:rFonts w:cs="Calibri"/>
          <w:szCs w:val="20"/>
        </w:rPr>
        <w:t>,</w:t>
      </w:r>
      <w:r w:rsidR="00E66B89">
        <w:rPr>
          <w:rFonts w:cs="Calibri"/>
          <w:szCs w:val="20"/>
        </w:rPr>
        <w:t xml:space="preserve"> w </w:t>
      </w:r>
      <w:r>
        <w:rPr>
          <w:rFonts w:cs="Calibri"/>
          <w:szCs w:val="20"/>
        </w:rPr>
        <w:t>ramach przyzna</w:t>
      </w:r>
      <w:r w:rsidR="00865ABA">
        <w:rPr>
          <w:rFonts w:cs="Calibri"/>
          <w:szCs w:val="20"/>
        </w:rPr>
        <w:t>ne</w:t>
      </w:r>
      <w:r>
        <w:rPr>
          <w:rFonts w:cs="Calibri"/>
          <w:szCs w:val="20"/>
        </w:rPr>
        <w:t>j puli środków. Mechanizm ten skutecznie stosowany jest</w:t>
      </w:r>
      <w:r w:rsidR="00E66B89">
        <w:rPr>
          <w:rFonts w:cs="Calibri"/>
          <w:szCs w:val="20"/>
        </w:rPr>
        <w:t xml:space="preserve"> w </w:t>
      </w:r>
      <w:r>
        <w:rPr>
          <w:rFonts w:cs="Calibri"/>
          <w:szCs w:val="20"/>
        </w:rPr>
        <w:t>przypadku ZIT. A</w:t>
      </w:r>
      <w:r w:rsidR="003459B6" w:rsidRPr="003459B6">
        <w:rPr>
          <w:rFonts w:cs="Calibri"/>
          <w:szCs w:val="20"/>
        </w:rPr>
        <w:t>ktualizacja Strategii ZIT umożliwia dość sprawne przesuwanie środków tam, gdzie</w:t>
      </w:r>
      <w:r w:rsidR="00E66B89">
        <w:rPr>
          <w:rFonts w:cs="Calibri"/>
          <w:szCs w:val="20"/>
        </w:rPr>
        <w:t xml:space="preserve"> w </w:t>
      </w:r>
      <w:r w:rsidR="003459B6" w:rsidRPr="003459B6">
        <w:rPr>
          <w:rFonts w:cs="Calibri"/>
          <w:szCs w:val="20"/>
        </w:rPr>
        <w:t xml:space="preserve">danym momencie </w:t>
      </w:r>
      <w:r w:rsidR="00A9664D">
        <w:rPr>
          <w:rFonts w:cs="Calibri"/>
          <w:szCs w:val="20"/>
        </w:rPr>
        <w:t xml:space="preserve">identyfikowane </w:t>
      </w:r>
      <w:r w:rsidR="003459B6" w:rsidRPr="003459B6">
        <w:rPr>
          <w:rFonts w:cs="Calibri"/>
          <w:szCs w:val="20"/>
        </w:rPr>
        <w:t>są potrzeby.</w:t>
      </w:r>
      <w:r w:rsidR="00EF161F">
        <w:rPr>
          <w:rFonts w:cs="Calibri"/>
          <w:szCs w:val="20"/>
        </w:rPr>
        <w:t xml:space="preserve"> Przykładowo SSOM</w:t>
      </w:r>
      <w:r w:rsidR="00B32239">
        <w:rPr>
          <w:rFonts w:cs="Calibri"/>
          <w:szCs w:val="20"/>
        </w:rPr>
        <w:t xml:space="preserve"> oraz KKBOF</w:t>
      </w:r>
      <w:r w:rsidR="00EF161F">
        <w:rPr>
          <w:rFonts w:cs="Calibri"/>
          <w:szCs w:val="20"/>
        </w:rPr>
        <w:t xml:space="preserve"> dokonało przesunięcia części środków</w:t>
      </w:r>
      <w:r w:rsidR="00E66B89">
        <w:rPr>
          <w:rFonts w:cs="Calibri"/>
          <w:szCs w:val="20"/>
        </w:rPr>
        <w:t xml:space="preserve"> z </w:t>
      </w:r>
      <w:r w:rsidR="00EF161F">
        <w:rPr>
          <w:rFonts w:cs="Calibri"/>
          <w:szCs w:val="20"/>
        </w:rPr>
        <w:t>CT 3 do CT 4</w:t>
      </w:r>
      <w:r w:rsidR="00E66B89">
        <w:rPr>
          <w:rFonts w:cs="Calibri"/>
          <w:szCs w:val="20"/>
        </w:rPr>
        <w:t xml:space="preserve"> z </w:t>
      </w:r>
      <w:r w:rsidR="00EF161F">
        <w:rPr>
          <w:rFonts w:cs="Calibri"/>
          <w:szCs w:val="20"/>
        </w:rPr>
        <w:t xml:space="preserve">uwagi na </w:t>
      </w:r>
      <w:r w:rsidR="009402A1">
        <w:rPr>
          <w:rFonts w:cs="Calibri"/>
          <w:szCs w:val="20"/>
        </w:rPr>
        <w:t>niemożność wydatkowania</w:t>
      </w:r>
      <w:r w:rsidR="00E66B89">
        <w:rPr>
          <w:rFonts w:cs="Calibri"/>
          <w:szCs w:val="20"/>
        </w:rPr>
        <w:t xml:space="preserve"> w </w:t>
      </w:r>
      <w:r w:rsidR="009402A1">
        <w:rPr>
          <w:rFonts w:cs="Calibri"/>
          <w:szCs w:val="20"/>
        </w:rPr>
        <w:t xml:space="preserve">pełni przeznaczonej alokacji na CT 3. </w:t>
      </w:r>
      <w:r w:rsidR="003700A8">
        <w:rPr>
          <w:rFonts w:cs="Calibri"/>
          <w:szCs w:val="20"/>
        </w:rPr>
        <w:t>Instrument ZIT jest zatem dobrym narzędziem do reagowania na zachodzące zmiany społeczno-gospodarcze na danym obszarze – pozwala sprawnie dostosować zakres</w:t>
      </w:r>
      <w:r w:rsidR="00E66B89">
        <w:rPr>
          <w:rFonts w:cs="Calibri"/>
          <w:szCs w:val="20"/>
        </w:rPr>
        <w:t xml:space="preserve"> i </w:t>
      </w:r>
      <w:r w:rsidR="003700A8">
        <w:rPr>
          <w:rFonts w:cs="Calibri"/>
          <w:szCs w:val="20"/>
        </w:rPr>
        <w:t>charakter wsparcia do tych zmian</w:t>
      </w:r>
      <w:r w:rsidR="00B32239">
        <w:rPr>
          <w:rFonts w:cs="Calibri"/>
          <w:szCs w:val="20"/>
        </w:rPr>
        <w:t xml:space="preserve"> zachodzących</w:t>
      </w:r>
      <w:r w:rsidR="00E66B89">
        <w:rPr>
          <w:rFonts w:cs="Calibri"/>
          <w:szCs w:val="20"/>
        </w:rPr>
        <w:t xml:space="preserve"> w </w:t>
      </w:r>
      <w:r w:rsidR="00B32239">
        <w:rPr>
          <w:rFonts w:cs="Calibri"/>
          <w:szCs w:val="20"/>
        </w:rPr>
        <w:t>skali lokalnej,</w:t>
      </w:r>
      <w:r w:rsidR="00E66B89">
        <w:rPr>
          <w:rFonts w:cs="Calibri"/>
          <w:szCs w:val="20"/>
        </w:rPr>
        <w:t xml:space="preserve"> a </w:t>
      </w:r>
      <w:r w:rsidR="00B32239">
        <w:rPr>
          <w:rFonts w:cs="Calibri"/>
          <w:szCs w:val="20"/>
        </w:rPr>
        <w:t>nie tylko krajowej czy regionalnej</w:t>
      </w:r>
      <w:r w:rsidR="003700A8">
        <w:rPr>
          <w:rFonts w:cs="Calibri"/>
          <w:szCs w:val="20"/>
        </w:rPr>
        <w:t xml:space="preserve">. </w:t>
      </w:r>
    </w:p>
    <w:p w14:paraId="447C07C3" w14:textId="77777777" w:rsidR="003459B6" w:rsidRDefault="009C4037" w:rsidP="00C10C7F">
      <w:pPr>
        <w:rPr>
          <w:rFonts w:cs="Calibri"/>
          <w:szCs w:val="20"/>
        </w:rPr>
      </w:pPr>
      <w:r>
        <w:rPr>
          <w:rFonts w:cs="Calibri"/>
          <w:szCs w:val="20"/>
        </w:rPr>
        <w:t xml:space="preserve">W KS mechanizm taki nie został </w:t>
      </w:r>
      <w:r w:rsidR="00832107">
        <w:rPr>
          <w:rFonts w:cs="Calibri"/>
          <w:szCs w:val="20"/>
        </w:rPr>
        <w:t>zastosowany</w:t>
      </w:r>
      <w:r>
        <w:rPr>
          <w:rFonts w:cs="Calibri"/>
          <w:szCs w:val="20"/>
        </w:rPr>
        <w:t>.</w:t>
      </w:r>
      <w:r w:rsidR="00E66B89">
        <w:rPr>
          <w:rFonts w:cs="Calibri"/>
          <w:szCs w:val="20"/>
        </w:rPr>
        <w:t xml:space="preserve"> W </w:t>
      </w:r>
      <w:r w:rsidR="00832107" w:rsidRPr="003459B6">
        <w:rPr>
          <w:rFonts w:cs="Calibri"/>
          <w:szCs w:val="20"/>
        </w:rPr>
        <w:t>przypadku rezygnacji</w:t>
      </w:r>
      <w:r w:rsidR="00E66B89">
        <w:rPr>
          <w:rFonts w:cs="Calibri"/>
          <w:szCs w:val="20"/>
        </w:rPr>
        <w:t xml:space="preserve"> z </w:t>
      </w:r>
      <w:r w:rsidR="00832107" w:rsidRPr="003459B6">
        <w:rPr>
          <w:rFonts w:cs="Calibri"/>
          <w:szCs w:val="20"/>
        </w:rPr>
        <w:t>realizacji części projektów</w:t>
      </w:r>
      <w:r w:rsidR="00832107">
        <w:rPr>
          <w:rFonts w:cs="Calibri"/>
          <w:szCs w:val="20"/>
        </w:rPr>
        <w:t xml:space="preserve"> przez któregoś</w:t>
      </w:r>
      <w:r w:rsidR="00E66B89">
        <w:rPr>
          <w:rFonts w:cs="Calibri"/>
          <w:szCs w:val="20"/>
        </w:rPr>
        <w:t xml:space="preserve"> z </w:t>
      </w:r>
      <w:r w:rsidR="00832107">
        <w:rPr>
          <w:rFonts w:cs="Calibri"/>
          <w:szCs w:val="20"/>
        </w:rPr>
        <w:t>partnera Kontraktu</w:t>
      </w:r>
      <w:r w:rsidR="00832107" w:rsidRPr="003459B6">
        <w:rPr>
          <w:rFonts w:cs="Calibri"/>
          <w:szCs w:val="20"/>
        </w:rPr>
        <w:t xml:space="preserve"> </w:t>
      </w:r>
      <w:r w:rsidR="00832107">
        <w:rPr>
          <w:rFonts w:cs="Calibri"/>
          <w:szCs w:val="20"/>
        </w:rPr>
        <w:t>lub</w:t>
      </w:r>
      <w:r w:rsidR="00E66B89">
        <w:rPr>
          <w:rFonts w:cs="Calibri"/>
          <w:szCs w:val="20"/>
        </w:rPr>
        <w:t xml:space="preserve"> w </w:t>
      </w:r>
      <w:r w:rsidR="00832107">
        <w:rPr>
          <w:rFonts w:cs="Calibri"/>
          <w:szCs w:val="20"/>
        </w:rPr>
        <w:t>przypadku uzyskania oszczędności</w:t>
      </w:r>
      <w:r w:rsidR="00E66B89">
        <w:rPr>
          <w:rFonts w:cs="Calibri"/>
          <w:szCs w:val="20"/>
        </w:rPr>
        <w:t xml:space="preserve"> w </w:t>
      </w:r>
      <w:r w:rsidR="00832107">
        <w:rPr>
          <w:rFonts w:cs="Calibri"/>
          <w:szCs w:val="20"/>
        </w:rPr>
        <w:t>już realizowanych projektach</w:t>
      </w:r>
      <w:r w:rsidR="00832107" w:rsidRPr="003459B6">
        <w:rPr>
          <w:rFonts w:cs="Calibri"/>
          <w:szCs w:val="20"/>
        </w:rPr>
        <w:t xml:space="preserve">, </w:t>
      </w:r>
      <w:r w:rsidR="00832107">
        <w:rPr>
          <w:rFonts w:cs="Calibri"/>
          <w:szCs w:val="20"/>
        </w:rPr>
        <w:t>uwolnione/uzyskane środki trafiają ponownie do wspólnej puli RPO WZ,</w:t>
      </w:r>
      <w:r w:rsidR="00E66B89">
        <w:rPr>
          <w:rFonts w:cs="Calibri"/>
          <w:szCs w:val="20"/>
        </w:rPr>
        <w:t xml:space="preserve"> z </w:t>
      </w:r>
      <w:r w:rsidR="00832107">
        <w:rPr>
          <w:rFonts w:cs="Calibri"/>
          <w:szCs w:val="20"/>
        </w:rPr>
        <w:t>której ponownie</w:t>
      </w:r>
      <w:r w:rsidR="00E66B89">
        <w:rPr>
          <w:rFonts w:cs="Calibri"/>
          <w:szCs w:val="20"/>
        </w:rPr>
        <w:t xml:space="preserve"> o </w:t>
      </w:r>
      <w:r w:rsidR="00A9664D">
        <w:rPr>
          <w:rFonts w:cs="Calibri"/>
          <w:szCs w:val="20"/>
        </w:rPr>
        <w:t>wsparcie</w:t>
      </w:r>
      <w:r w:rsidR="006F306E">
        <w:rPr>
          <w:rFonts w:cs="Calibri"/>
          <w:szCs w:val="20"/>
        </w:rPr>
        <w:t xml:space="preserve"> </w:t>
      </w:r>
      <w:r w:rsidR="00832107">
        <w:rPr>
          <w:rFonts w:cs="Calibri"/>
          <w:szCs w:val="20"/>
        </w:rPr>
        <w:t>mogą</w:t>
      </w:r>
      <w:r w:rsidR="008B706B">
        <w:rPr>
          <w:rFonts w:cs="Calibri"/>
          <w:szCs w:val="20"/>
        </w:rPr>
        <w:t xml:space="preserve"> </w:t>
      </w:r>
      <w:r w:rsidR="00832107">
        <w:rPr>
          <w:rFonts w:cs="Calibri"/>
          <w:szCs w:val="20"/>
        </w:rPr>
        <w:t>ubiegać się</w:t>
      </w:r>
      <w:r w:rsidR="00E66B89">
        <w:rPr>
          <w:rFonts w:cs="Calibri"/>
          <w:szCs w:val="20"/>
        </w:rPr>
        <w:t xml:space="preserve"> w </w:t>
      </w:r>
      <w:r w:rsidR="00832107">
        <w:rPr>
          <w:rFonts w:cs="Calibri"/>
          <w:szCs w:val="20"/>
        </w:rPr>
        <w:t>drodze konkursu wszystkie KS. Wydaje się, że rozwiązanie takie nie jest do końca sprawiedliwe – nie nagradza skuteczności</w:t>
      </w:r>
      <w:r w:rsidR="00E66B89">
        <w:rPr>
          <w:rFonts w:cs="Calibri"/>
          <w:szCs w:val="20"/>
        </w:rPr>
        <w:t xml:space="preserve"> i </w:t>
      </w:r>
      <w:r w:rsidR="00832107">
        <w:rPr>
          <w:rFonts w:cs="Calibri"/>
          <w:szCs w:val="20"/>
        </w:rPr>
        <w:t>efektywności działań podejmowanych przez beneficjentów, którzy są</w:t>
      </w:r>
      <w:r w:rsidR="00E66B89">
        <w:rPr>
          <w:rFonts w:cs="Calibri"/>
          <w:szCs w:val="20"/>
        </w:rPr>
        <w:t xml:space="preserve"> w </w:t>
      </w:r>
      <w:r w:rsidR="00832107">
        <w:rPr>
          <w:rFonts w:cs="Calibri"/>
          <w:szCs w:val="20"/>
        </w:rPr>
        <w:t>stanie uzyskać oszczędności</w:t>
      </w:r>
      <w:r w:rsidR="00E66B89">
        <w:rPr>
          <w:rFonts w:cs="Calibri"/>
          <w:szCs w:val="20"/>
        </w:rPr>
        <w:t xml:space="preserve"> w </w:t>
      </w:r>
      <w:r w:rsidR="00832107">
        <w:rPr>
          <w:rFonts w:cs="Calibri"/>
          <w:szCs w:val="20"/>
        </w:rPr>
        <w:t>projektach. Dlatego też wśród członków KS powszechny jest postulat przypisania na stałe do danego KS raz pozyskanych,</w:t>
      </w:r>
      <w:r w:rsidR="00E66B89">
        <w:rPr>
          <w:rFonts w:cs="Calibri"/>
          <w:szCs w:val="20"/>
        </w:rPr>
        <w:t xml:space="preserve"> w </w:t>
      </w:r>
      <w:r w:rsidR="00832107">
        <w:rPr>
          <w:rFonts w:cs="Calibri"/>
          <w:szCs w:val="20"/>
        </w:rPr>
        <w:t>drodze konkursu, środków.</w:t>
      </w:r>
      <w:r w:rsidR="00E66B89">
        <w:rPr>
          <w:rFonts w:cs="Calibri"/>
          <w:szCs w:val="20"/>
        </w:rPr>
        <w:t xml:space="preserve"> W </w:t>
      </w:r>
      <w:r w:rsidR="00832107">
        <w:rPr>
          <w:rFonts w:cs="Calibri"/>
          <w:szCs w:val="20"/>
        </w:rPr>
        <w:t>ich opinii uwolnione lub zaoszczędzone środki finansowe powinny</w:t>
      </w:r>
      <w:r w:rsidR="00E66B89">
        <w:rPr>
          <w:rFonts w:cs="Calibri"/>
          <w:szCs w:val="20"/>
        </w:rPr>
        <w:t xml:space="preserve"> w </w:t>
      </w:r>
      <w:r w:rsidR="00832107">
        <w:rPr>
          <w:rFonts w:cs="Calibri"/>
          <w:szCs w:val="20"/>
        </w:rPr>
        <w:t>pierwszej kolejności –</w:t>
      </w:r>
      <w:r w:rsidR="00E66B89">
        <w:rPr>
          <w:rFonts w:cs="Calibri"/>
          <w:szCs w:val="20"/>
        </w:rPr>
        <w:t xml:space="preserve"> i </w:t>
      </w:r>
      <w:r w:rsidR="00832107">
        <w:rPr>
          <w:rFonts w:cs="Calibri"/>
          <w:szCs w:val="20"/>
        </w:rPr>
        <w:t>po uzgodnieniach</w:t>
      </w:r>
      <w:r w:rsidR="00E66B89">
        <w:rPr>
          <w:rFonts w:cs="Calibri"/>
          <w:szCs w:val="20"/>
        </w:rPr>
        <w:t xml:space="preserve"> z </w:t>
      </w:r>
      <w:r w:rsidR="00832107">
        <w:rPr>
          <w:rFonts w:cs="Calibri"/>
          <w:szCs w:val="20"/>
        </w:rPr>
        <w:t>IZ – służyć do realizacji kolejnych przedsięwzięć partnerów. Oczywiście warunkiem musiałaby być zgodność tych projektów</w:t>
      </w:r>
      <w:r w:rsidR="00E66B89">
        <w:rPr>
          <w:rFonts w:cs="Calibri"/>
          <w:szCs w:val="20"/>
        </w:rPr>
        <w:t xml:space="preserve"> z </w:t>
      </w:r>
      <w:r w:rsidR="00832107">
        <w:rPr>
          <w:rFonts w:cs="Calibri"/>
          <w:szCs w:val="20"/>
        </w:rPr>
        <w:t>celami danego Działania/PI RPO WZ. Niezbędne byłoby dokonanie zmian</w:t>
      </w:r>
      <w:r w:rsidR="00E66B89">
        <w:rPr>
          <w:rFonts w:cs="Calibri"/>
          <w:szCs w:val="20"/>
        </w:rPr>
        <w:t xml:space="preserve"> w </w:t>
      </w:r>
      <w:r w:rsidR="00832107">
        <w:rPr>
          <w:rFonts w:cs="Calibri"/>
          <w:szCs w:val="20"/>
        </w:rPr>
        <w:t xml:space="preserve">regulaminie kontraktów, by tego typu działanie umożliwić. </w:t>
      </w:r>
      <w:r w:rsidR="006F306E">
        <w:rPr>
          <w:rFonts w:cs="Calibri"/>
          <w:szCs w:val="20"/>
        </w:rPr>
        <w:t>Wydaje się jednak, że</w:t>
      </w:r>
      <w:r w:rsidR="00E66B89">
        <w:rPr>
          <w:rFonts w:cs="Calibri"/>
          <w:szCs w:val="20"/>
        </w:rPr>
        <w:t xml:space="preserve"> w </w:t>
      </w:r>
      <w:r w:rsidR="00A9664D">
        <w:rPr>
          <w:rFonts w:cs="Calibri"/>
          <w:szCs w:val="20"/>
        </w:rPr>
        <w:t>przyszłości powinna zostać wprowadzona co najmniej</w:t>
      </w:r>
      <w:r w:rsidR="00832107">
        <w:rPr>
          <w:rFonts w:cs="Calibri"/>
          <w:szCs w:val="20"/>
        </w:rPr>
        <w:t xml:space="preserve"> zmiana</w:t>
      </w:r>
      <w:r w:rsidR="00E66B89">
        <w:rPr>
          <w:rFonts w:cs="Calibri"/>
          <w:szCs w:val="20"/>
        </w:rPr>
        <w:t xml:space="preserve"> w </w:t>
      </w:r>
      <w:r w:rsidR="00832107">
        <w:rPr>
          <w:rFonts w:cs="Calibri"/>
          <w:szCs w:val="20"/>
        </w:rPr>
        <w:t xml:space="preserve">zakresie gospodarowania oszczędnościami. </w:t>
      </w:r>
    </w:p>
    <w:p w14:paraId="654298CE" w14:textId="77777777" w:rsidR="00D76EDF" w:rsidRPr="008B706B" w:rsidRDefault="00D76EDF" w:rsidP="00C10C7F">
      <w:pPr>
        <w:rPr>
          <w:rFonts w:cs="Calibri"/>
          <w:b/>
          <w:szCs w:val="20"/>
        </w:rPr>
      </w:pPr>
      <w:r w:rsidRPr="008B706B">
        <w:rPr>
          <w:rFonts w:cs="Calibri"/>
          <w:b/>
          <w:szCs w:val="20"/>
        </w:rPr>
        <w:lastRenderedPageBreak/>
        <w:t>REKOMENDACJA:</w:t>
      </w:r>
      <w:r>
        <w:rPr>
          <w:rFonts w:cs="Calibri"/>
          <w:b/>
          <w:szCs w:val="20"/>
        </w:rPr>
        <w:t xml:space="preserve"> Zaleca się dokonanie zmian</w:t>
      </w:r>
      <w:r w:rsidR="00E66B89">
        <w:rPr>
          <w:rFonts w:cs="Calibri"/>
          <w:b/>
          <w:szCs w:val="20"/>
        </w:rPr>
        <w:t xml:space="preserve"> w </w:t>
      </w:r>
      <w:r>
        <w:rPr>
          <w:rFonts w:cs="Calibri"/>
          <w:b/>
          <w:szCs w:val="20"/>
        </w:rPr>
        <w:t>instrumencie jakim są Kontrakty Samorządowe</w:t>
      </w:r>
      <w:r w:rsidR="00E66B89">
        <w:rPr>
          <w:rFonts w:cs="Calibri"/>
          <w:b/>
          <w:szCs w:val="20"/>
        </w:rPr>
        <w:t xml:space="preserve"> w </w:t>
      </w:r>
      <w:r>
        <w:rPr>
          <w:rFonts w:cs="Calibri"/>
          <w:b/>
          <w:szCs w:val="20"/>
        </w:rPr>
        <w:t>kierunku przypisania</w:t>
      </w:r>
      <w:r w:rsidR="00A9664D">
        <w:rPr>
          <w:rFonts w:cs="Calibri"/>
          <w:b/>
          <w:szCs w:val="20"/>
        </w:rPr>
        <w:t>,</w:t>
      </w:r>
      <w:r>
        <w:rPr>
          <w:rFonts w:cs="Calibri"/>
          <w:b/>
          <w:szCs w:val="20"/>
        </w:rPr>
        <w:t xml:space="preserve"> raz pozyskanych</w:t>
      </w:r>
      <w:r w:rsidR="00A9664D">
        <w:rPr>
          <w:rFonts w:cs="Calibri"/>
          <w:b/>
          <w:szCs w:val="20"/>
        </w:rPr>
        <w:t>,</w:t>
      </w:r>
      <w:r>
        <w:rPr>
          <w:rFonts w:cs="Calibri"/>
          <w:b/>
          <w:szCs w:val="20"/>
        </w:rPr>
        <w:t xml:space="preserve"> środków do danego Kontraktu na stałe. Oznaczałoby to, że uwolnione środki</w:t>
      </w:r>
      <w:r w:rsidR="00E66B89">
        <w:rPr>
          <w:rFonts w:cs="Calibri"/>
          <w:b/>
          <w:szCs w:val="20"/>
        </w:rPr>
        <w:t xml:space="preserve"> z </w:t>
      </w:r>
      <w:r>
        <w:rPr>
          <w:rFonts w:cs="Calibri"/>
          <w:b/>
          <w:szCs w:val="20"/>
        </w:rPr>
        <w:t>uwagi na niepodjęcie realizacji jakiegoś projektu oraz środki pochodzące</w:t>
      </w:r>
      <w:r w:rsidR="00E66B89">
        <w:rPr>
          <w:rFonts w:cs="Calibri"/>
          <w:b/>
          <w:szCs w:val="20"/>
        </w:rPr>
        <w:t xml:space="preserve"> z </w:t>
      </w:r>
      <w:r>
        <w:rPr>
          <w:rFonts w:cs="Calibri"/>
          <w:b/>
          <w:szCs w:val="20"/>
        </w:rPr>
        <w:t>oszczędności</w:t>
      </w:r>
      <w:r w:rsidR="00A9664D">
        <w:rPr>
          <w:rFonts w:cs="Calibri"/>
          <w:b/>
          <w:szCs w:val="20"/>
        </w:rPr>
        <w:t>,</w:t>
      </w:r>
      <w:r>
        <w:rPr>
          <w:rFonts w:cs="Calibri"/>
          <w:b/>
          <w:szCs w:val="20"/>
        </w:rPr>
        <w:t xml:space="preserve"> służyć mogłyby do realizacji innych projektów na terenie tego KS</w:t>
      </w:r>
      <w:r w:rsidR="00770E7D">
        <w:rPr>
          <w:rFonts w:cs="Calibri"/>
          <w:b/>
          <w:szCs w:val="20"/>
        </w:rPr>
        <w:t xml:space="preserve"> (projektów, które zostały uprzednio zidentyfikowane</w:t>
      </w:r>
      <w:r w:rsidR="00E66B89">
        <w:rPr>
          <w:rFonts w:cs="Calibri"/>
          <w:b/>
          <w:szCs w:val="20"/>
        </w:rPr>
        <w:t xml:space="preserve"> i </w:t>
      </w:r>
      <w:r w:rsidR="00770E7D">
        <w:rPr>
          <w:rFonts w:cs="Calibri"/>
          <w:b/>
          <w:szCs w:val="20"/>
        </w:rPr>
        <w:t>są</w:t>
      </w:r>
      <w:r>
        <w:rPr>
          <w:rFonts w:cs="Calibri"/>
          <w:b/>
          <w:szCs w:val="20"/>
        </w:rPr>
        <w:t xml:space="preserve"> zgodne</w:t>
      </w:r>
      <w:r w:rsidR="00E66B89">
        <w:rPr>
          <w:rFonts w:cs="Calibri"/>
          <w:b/>
          <w:szCs w:val="20"/>
        </w:rPr>
        <w:t xml:space="preserve"> z </w:t>
      </w:r>
      <w:r>
        <w:rPr>
          <w:rFonts w:cs="Calibri"/>
          <w:b/>
          <w:szCs w:val="20"/>
        </w:rPr>
        <w:t>celami Działań/PI RPO WZ wdrażanych</w:t>
      </w:r>
      <w:r w:rsidR="00E66B89">
        <w:rPr>
          <w:rFonts w:cs="Calibri"/>
          <w:b/>
          <w:szCs w:val="20"/>
        </w:rPr>
        <w:t xml:space="preserve"> w </w:t>
      </w:r>
      <w:r>
        <w:rPr>
          <w:rFonts w:cs="Calibri"/>
          <w:b/>
          <w:szCs w:val="20"/>
        </w:rPr>
        <w:t>KS</w:t>
      </w:r>
      <w:r w:rsidR="00770E7D">
        <w:rPr>
          <w:rFonts w:cs="Calibri"/>
          <w:b/>
          <w:szCs w:val="20"/>
        </w:rPr>
        <w:t>)</w:t>
      </w:r>
      <w:r>
        <w:rPr>
          <w:rFonts w:cs="Calibri"/>
          <w:b/>
          <w:szCs w:val="20"/>
        </w:rPr>
        <w:t>. Ewentualna decyzja</w:t>
      </w:r>
      <w:r w:rsidR="00E66B89">
        <w:rPr>
          <w:rFonts w:cs="Calibri"/>
          <w:b/>
          <w:szCs w:val="20"/>
        </w:rPr>
        <w:t xml:space="preserve"> o </w:t>
      </w:r>
      <w:r>
        <w:rPr>
          <w:rFonts w:cs="Calibri"/>
          <w:b/>
          <w:szCs w:val="20"/>
        </w:rPr>
        <w:t>odebraniu takich środków przez IZ RPO WZ mogłaby mieć miejsce jedynie</w:t>
      </w:r>
      <w:r w:rsidR="00E66B89">
        <w:rPr>
          <w:rFonts w:cs="Calibri"/>
          <w:b/>
          <w:szCs w:val="20"/>
        </w:rPr>
        <w:t xml:space="preserve"> w </w:t>
      </w:r>
      <w:r>
        <w:rPr>
          <w:rFonts w:cs="Calibri"/>
          <w:b/>
          <w:szCs w:val="20"/>
        </w:rPr>
        <w:t>ściśle określonych przypadkach, np. znaczących opóźnień</w:t>
      </w:r>
      <w:r w:rsidR="00E66B89">
        <w:rPr>
          <w:rFonts w:cs="Calibri"/>
          <w:b/>
          <w:szCs w:val="20"/>
        </w:rPr>
        <w:t xml:space="preserve"> w </w:t>
      </w:r>
      <w:r>
        <w:rPr>
          <w:rFonts w:cs="Calibri"/>
          <w:b/>
          <w:szCs w:val="20"/>
        </w:rPr>
        <w:t>realizacji projektów, zagrożeni</w:t>
      </w:r>
      <w:r w:rsidR="00865ABA">
        <w:rPr>
          <w:rFonts w:cs="Calibri"/>
          <w:b/>
          <w:szCs w:val="20"/>
        </w:rPr>
        <w:t>a</w:t>
      </w:r>
      <w:r>
        <w:rPr>
          <w:rFonts w:cs="Calibri"/>
          <w:b/>
          <w:szCs w:val="20"/>
        </w:rPr>
        <w:t xml:space="preserve"> realizacji celów</w:t>
      </w:r>
      <w:r w:rsidR="00E66B89">
        <w:rPr>
          <w:rFonts w:cs="Calibri"/>
          <w:b/>
          <w:szCs w:val="20"/>
        </w:rPr>
        <w:t xml:space="preserve"> w </w:t>
      </w:r>
      <w:r>
        <w:rPr>
          <w:rFonts w:cs="Calibri"/>
          <w:b/>
          <w:szCs w:val="20"/>
        </w:rPr>
        <w:t>wymaganych terminach, zbyt powoln</w:t>
      </w:r>
      <w:r w:rsidR="00865ABA">
        <w:rPr>
          <w:rFonts w:cs="Calibri"/>
          <w:b/>
          <w:szCs w:val="20"/>
        </w:rPr>
        <w:t>ego</w:t>
      </w:r>
      <w:r>
        <w:rPr>
          <w:rFonts w:cs="Calibri"/>
          <w:b/>
          <w:szCs w:val="20"/>
        </w:rPr>
        <w:t xml:space="preserve"> wydatkowani</w:t>
      </w:r>
      <w:r w:rsidR="00865ABA">
        <w:rPr>
          <w:rFonts w:cs="Calibri"/>
          <w:b/>
          <w:szCs w:val="20"/>
        </w:rPr>
        <w:t>a</w:t>
      </w:r>
      <w:r>
        <w:rPr>
          <w:rFonts w:cs="Calibri"/>
          <w:b/>
          <w:szCs w:val="20"/>
        </w:rPr>
        <w:t xml:space="preserve"> środków. </w:t>
      </w:r>
    </w:p>
    <w:p w14:paraId="46ED164A" w14:textId="77777777" w:rsidR="006F306E" w:rsidRDefault="00601AD9" w:rsidP="006F306E">
      <w:pPr>
        <w:rPr>
          <w:rFonts w:cs="Calibri"/>
          <w:szCs w:val="20"/>
        </w:rPr>
      </w:pPr>
      <w:r>
        <w:rPr>
          <w:rFonts w:cs="Calibri"/>
          <w:bCs/>
          <w:szCs w:val="20"/>
        </w:rPr>
        <w:t>W trakcie prowadzonych wywiadów na temat ZIT</w:t>
      </w:r>
      <w:r w:rsidR="00E66B89">
        <w:rPr>
          <w:rFonts w:cs="Calibri"/>
          <w:bCs/>
          <w:szCs w:val="20"/>
        </w:rPr>
        <w:t xml:space="preserve"> i </w:t>
      </w:r>
      <w:r>
        <w:rPr>
          <w:rFonts w:cs="Calibri"/>
          <w:bCs/>
          <w:szCs w:val="20"/>
        </w:rPr>
        <w:t>KS, przedstawiciele IP oraz beneficjentów wskazywali również na problem łączenia wsparcia oraz wydatków</w:t>
      </w:r>
      <w:r w:rsidR="00E66B89">
        <w:rPr>
          <w:rFonts w:cs="Calibri"/>
          <w:bCs/>
          <w:szCs w:val="20"/>
        </w:rPr>
        <w:t xml:space="preserve"> z </w:t>
      </w:r>
      <w:r>
        <w:rPr>
          <w:rFonts w:cs="Calibri"/>
          <w:bCs/>
          <w:szCs w:val="20"/>
        </w:rPr>
        <w:t>EFRR</w:t>
      </w:r>
      <w:r w:rsidR="00E66B89">
        <w:rPr>
          <w:rFonts w:cs="Calibri"/>
          <w:bCs/>
          <w:szCs w:val="20"/>
        </w:rPr>
        <w:t xml:space="preserve"> i </w:t>
      </w:r>
      <w:r>
        <w:rPr>
          <w:rFonts w:cs="Calibri"/>
          <w:bCs/>
          <w:szCs w:val="20"/>
        </w:rPr>
        <w:t>EFS</w:t>
      </w:r>
      <w:r w:rsidR="00E66B89">
        <w:rPr>
          <w:rFonts w:cs="Calibri"/>
          <w:bCs/>
          <w:szCs w:val="20"/>
        </w:rPr>
        <w:t xml:space="preserve"> w </w:t>
      </w:r>
      <w:r>
        <w:rPr>
          <w:rFonts w:cs="Calibri"/>
          <w:bCs/>
          <w:szCs w:val="20"/>
        </w:rPr>
        <w:t>ramach jednego projektu.</w:t>
      </w:r>
      <w:r w:rsidR="00E66B89">
        <w:rPr>
          <w:rFonts w:cs="Calibri"/>
          <w:bCs/>
          <w:szCs w:val="20"/>
        </w:rPr>
        <w:t xml:space="preserve"> W </w:t>
      </w:r>
      <w:r>
        <w:rPr>
          <w:rFonts w:cs="Calibri"/>
          <w:bCs/>
          <w:szCs w:val="20"/>
        </w:rPr>
        <w:t xml:space="preserve">opinii partnerów KS, </w:t>
      </w:r>
      <w:r w:rsidRPr="00601AD9">
        <w:rPr>
          <w:rFonts w:cs="Calibri"/>
          <w:bCs/>
          <w:szCs w:val="20"/>
        </w:rPr>
        <w:t>większe powiązanie projektów „miękkich”</w:t>
      </w:r>
      <w:r w:rsidR="00E66B89">
        <w:rPr>
          <w:rFonts w:cs="Calibri"/>
          <w:bCs/>
          <w:szCs w:val="20"/>
        </w:rPr>
        <w:t xml:space="preserve"> z </w:t>
      </w:r>
      <w:r w:rsidRPr="00601AD9">
        <w:rPr>
          <w:rFonts w:cs="Calibri"/>
          <w:bCs/>
          <w:szCs w:val="20"/>
        </w:rPr>
        <w:t>"twardymi” by</w:t>
      </w:r>
      <w:r>
        <w:rPr>
          <w:rFonts w:cs="Calibri"/>
          <w:bCs/>
          <w:szCs w:val="20"/>
        </w:rPr>
        <w:t>ł</w:t>
      </w:r>
      <w:r w:rsidRPr="00601AD9">
        <w:rPr>
          <w:rFonts w:cs="Calibri"/>
          <w:bCs/>
          <w:szCs w:val="20"/>
        </w:rPr>
        <w:t xml:space="preserve">oby </w:t>
      </w:r>
      <w:r>
        <w:rPr>
          <w:rFonts w:cs="Calibri"/>
          <w:bCs/>
          <w:szCs w:val="20"/>
        </w:rPr>
        <w:t xml:space="preserve">znacznie </w:t>
      </w:r>
      <w:r w:rsidRPr="00601AD9">
        <w:rPr>
          <w:rFonts w:cs="Calibri"/>
          <w:bCs/>
          <w:szCs w:val="20"/>
        </w:rPr>
        <w:t>efektywniejsze</w:t>
      </w:r>
      <w:r w:rsidR="00E66B89">
        <w:rPr>
          <w:rFonts w:cs="Calibri"/>
          <w:bCs/>
          <w:szCs w:val="20"/>
        </w:rPr>
        <w:t xml:space="preserve"> w </w:t>
      </w:r>
      <w:r w:rsidRPr="00601AD9">
        <w:rPr>
          <w:rFonts w:cs="Calibri"/>
          <w:bCs/>
          <w:szCs w:val="20"/>
        </w:rPr>
        <w:t>wyniku uzyskania kompleksowego wsparcia</w:t>
      </w:r>
      <w:r w:rsidR="00E66B89">
        <w:rPr>
          <w:rFonts w:cs="Calibri"/>
          <w:bCs/>
          <w:szCs w:val="20"/>
        </w:rPr>
        <w:t xml:space="preserve"> w </w:t>
      </w:r>
      <w:r w:rsidRPr="00601AD9">
        <w:rPr>
          <w:rFonts w:cs="Calibri"/>
          <w:bCs/>
          <w:szCs w:val="20"/>
        </w:rPr>
        <w:t>danej dziedzinie</w:t>
      </w:r>
      <w:r w:rsidR="00E66B89">
        <w:rPr>
          <w:rFonts w:cs="Calibri"/>
          <w:bCs/>
          <w:szCs w:val="20"/>
        </w:rPr>
        <w:t xml:space="preserve"> i </w:t>
      </w:r>
      <w:r>
        <w:rPr>
          <w:rFonts w:cs="Calibri"/>
          <w:bCs/>
          <w:szCs w:val="20"/>
        </w:rPr>
        <w:t>na danym obszarze</w:t>
      </w:r>
      <w:r w:rsidRPr="00601AD9">
        <w:rPr>
          <w:rFonts w:cs="Calibri"/>
          <w:bCs/>
          <w:szCs w:val="20"/>
        </w:rPr>
        <w:t>. Poniekąd tak jest</w:t>
      </w:r>
      <w:r w:rsidR="00A9664D">
        <w:rPr>
          <w:rFonts w:cs="Calibri"/>
          <w:bCs/>
          <w:szCs w:val="20"/>
        </w:rPr>
        <w:t xml:space="preserve">, </w:t>
      </w:r>
      <w:r w:rsidRPr="00601AD9">
        <w:rPr>
          <w:rFonts w:cs="Calibri"/>
          <w:bCs/>
          <w:szCs w:val="20"/>
        </w:rPr>
        <w:t>ale</w:t>
      </w:r>
      <w:r>
        <w:rPr>
          <w:rFonts w:cs="Calibri"/>
          <w:bCs/>
          <w:szCs w:val="20"/>
        </w:rPr>
        <w:t xml:space="preserve"> zdaniem badanych</w:t>
      </w:r>
      <w:r w:rsidRPr="00601AD9">
        <w:rPr>
          <w:rFonts w:cs="Calibri"/>
          <w:bCs/>
          <w:szCs w:val="20"/>
        </w:rPr>
        <w:t xml:space="preserve"> jest to zdecydowanie za mało. </w:t>
      </w:r>
      <w:r>
        <w:rPr>
          <w:rFonts w:cs="Calibri"/>
          <w:bCs/>
          <w:szCs w:val="20"/>
        </w:rPr>
        <w:t>Przykładowo</w:t>
      </w:r>
      <w:r w:rsidRPr="00601AD9">
        <w:rPr>
          <w:rFonts w:cs="Calibri"/>
          <w:bCs/>
          <w:szCs w:val="20"/>
        </w:rPr>
        <w:t xml:space="preserve"> realizacja projektów miękkich wspomagana jest tylko działaniami</w:t>
      </w:r>
      <w:r w:rsidR="00E66B89">
        <w:rPr>
          <w:rFonts w:cs="Calibri"/>
          <w:bCs/>
          <w:szCs w:val="20"/>
        </w:rPr>
        <w:t xml:space="preserve"> w </w:t>
      </w:r>
      <w:r w:rsidRPr="00601AD9">
        <w:rPr>
          <w:rFonts w:cs="Calibri"/>
          <w:bCs/>
          <w:szCs w:val="20"/>
        </w:rPr>
        <w:t>ramach cross</w:t>
      </w:r>
      <w:r>
        <w:rPr>
          <w:rFonts w:cs="Calibri"/>
          <w:bCs/>
          <w:szCs w:val="20"/>
        </w:rPr>
        <w:t>-financing</w:t>
      </w:r>
      <w:r w:rsidR="007F0C09">
        <w:rPr>
          <w:rFonts w:cs="Calibri"/>
          <w:bCs/>
          <w:szCs w:val="20"/>
        </w:rPr>
        <w:t>’</w:t>
      </w:r>
      <w:r>
        <w:rPr>
          <w:rFonts w:cs="Calibri"/>
          <w:bCs/>
          <w:szCs w:val="20"/>
        </w:rPr>
        <w:t>u</w:t>
      </w:r>
      <w:r w:rsidR="00E66B89">
        <w:rPr>
          <w:rFonts w:cs="Calibri"/>
          <w:bCs/>
          <w:szCs w:val="20"/>
        </w:rPr>
        <w:t xml:space="preserve"> i </w:t>
      </w:r>
      <w:r w:rsidRPr="00601AD9">
        <w:rPr>
          <w:rFonts w:cs="Calibri"/>
          <w:bCs/>
          <w:szCs w:val="20"/>
        </w:rPr>
        <w:t>kosztów pośrednich – procentowy ich udział uniemożliwia</w:t>
      </w:r>
      <w:r>
        <w:rPr>
          <w:rFonts w:cs="Calibri"/>
          <w:bCs/>
          <w:szCs w:val="20"/>
        </w:rPr>
        <w:t xml:space="preserve"> jednak zdaniem rozmówców skuteczne,</w:t>
      </w:r>
      <w:r w:rsidRPr="00601AD9">
        <w:rPr>
          <w:rFonts w:cs="Calibri"/>
          <w:bCs/>
          <w:szCs w:val="20"/>
        </w:rPr>
        <w:t xml:space="preserve"> efektywne</w:t>
      </w:r>
      <w:r w:rsidR="00E66B89">
        <w:rPr>
          <w:rFonts w:cs="Calibri"/>
          <w:bCs/>
          <w:szCs w:val="20"/>
        </w:rPr>
        <w:t xml:space="preserve"> i </w:t>
      </w:r>
      <w:r w:rsidRPr="00601AD9">
        <w:rPr>
          <w:rFonts w:cs="Calibri"/>
          <w:bCs/>
          <w:szCs w:val="20"/>
        </w:rPr>
        <w:t>pełne wdrożenie projektów</w:t>
      </w:r>
      <w:r w:rsidR="00E66B89">
        <w:rPr>
          <w:rFonts w:cs="Calibri"/>
          <w:bCs/>
          <w:szCs w:val="20"/>
        </w:rPr>
        <w:t xml:space="preserve"> i </w:t>
      </w:r>
      <w:r>
        <w:rPr>
          <w:rFonts w:cs="Calibri"/>
          <w:bCs/>
          <w:szCs w:val="20"/>
        </w:rPr>
        <w:t>ich efektów</w:t>
      </w:r>
      <w:r w:rsidRPr="00601AD9">
        <w:rPr>
          <w:rFonts w:cs="Calibri"/>
          <w:bCs/>
          <w:szCs w:val="20"/>
        </w:rPr>
        <w:t>.</w:t>
      </w:r>
      <w:r>
        <w:rPr>
          <w:rFonts w:cs="Calibri"/>
          <w:bCs/>
          <w:szCs w:val="20"/>
        </w:rPr>
        <w:t xml:space="preserve"> Zgodnie</w:t>
      </w:r>
      <w:r w:rsidR="00E66B89">
        <w:rPr>
          <w:rFonts w:cs="Calibri"/>
          <w:bCs/>
          <w:szCs w:val="20"/>
        </w:rPr>
        <w:t xml:space="preserve"> z </w:t>
      </w:r>
      <w:r>
        <w:rPr>
          <w:rFonts w:cs="Calibri"/>
          <w:bCs/>
          <w:szCs w:val="20"/>
        </w:rPr>
        <w:t>SOOP, limity cross-financing</w:t>
      </w:r>
      <w:r w:rsidR="007F0C09">
        <w:rPr>
          <w:rFonts w:cs="Calibri"/>
          <w:bCs/>
          <w:szCs w:val="20"/>
        </w:rPr>
        <w:t>’</w:t>
      </w:r>
      <w:r>
        <w:rPr>
          <w:rFonts w:cs="Calibri"/>
          <w:bCs/>
          <w:szCs w:val="20"/>
        </w:rPr>
        <w:t>u wahają się od 10 do 20%</w:t>
      </w:r>
      <w:r w:rsidR="00E66B89">
        <w:rPr>
          <w:rFonts w:cs="Calibri"/>
          <w:bCs/>
          <w:szCs w:val="20"/>
        </w:rPr>
        <w:t xml:space="preserve"> w </w:t>
      </w:r>
      <w:r>
        <w:rPr>
          <w:rFonts w:cs="Calibri"/>
          <w:bCs/>
          <w:szCs w:val="20"/>
        </w:rPr>
        <w:t>zależności od Działania. Do tego dochodzą także wydatki, jakie mogą być poniesione na zakup środków trwałych</w:t>
      </w:r>
      <w:r w:rsidR="00E66B89">
        <w:rPr>
          <w:rFonts w:cs="Calibri"/>
          <w:bCs/>
          <w:szCs w:val="20"/>
        </w:rPr>
        <w:t xml:space="preserve"> w </w:t>
      </w:r>
      <w:r>
        <w:rPr>
          <w:rFonts w:cs="Calibri"/>
          <w:bCs/>
          <w:szCs w:val="20"/>
        </w:rPr>
        <w:t>projektach EFS – wydatki takie mogą stanowić,</w:t>
      </w:r>
      <w:r w:rsidR="00E66B89">
        <w:rPr>
          <w:rFonts w:cs="Calibri"/>
          <w:bCs/>
          <w:szCs w:val="20"/>
        </w:rPr>
        <w:t xml:space="preserve"> w </w:t>
      </w:r>
      <w:r>
        <w:rPr>
          <w:rFonts w:cs="Calibri"/>
          <w:bCs/>
          <w:szCs w:val="20"/>
        </w:rPr>
        <w:t>zależności od Działania, od 10 do nawet 40% wszystkich wydatków kwalifikowalnych. Jednym</w:t>
      </w:r>
      <w:r w:rsidR="00E66B89">
        <w:rPr>
          <w:rFonts w:cs="Calibri"/>
          <w:bCs/>
          <w:szCs w:val="20"/>
        </w:rPr>
        <w:t xml:space="preserve"> z </w:t>
      </w:r>
      <w:r>
        <w:rPr>
          <w:rFonts w:cs="Calibri"/>
          <w:bCs/>
          <w:szCs w:val="20"/>
        </w:rPr>
        <w:t xml:space="preserve">rozwiązań, które mogłoby wyjść naprzeciw takim trudnościom, </w:t>
      </w:r>
      <w:r w:rsidR="00351CBD">
        <w:rPr>
          <w:rFonts w:cs="Calibri"/>
          <w:bCs/>
          <w:szCs w:val="20"/>
        </w:rPr>
        <w:t>byłaby</w:t>
      </w:r>
      <w:r>
        <w:rPr>
          <w:rFonts w:cs="Calibri"/>
          <w:bCs/>
          <w:szCs w:val="20"/>
        </w:rPr>
        <w:t xml:space="preserve"> realizacja projektów zintegrowanych, zawierających jednocześnie komponent EFS oraz EFRR. </w:t>
      </w:r>
      <w:r w:rsidR="006F306E">
        <w:rPr>
          <w:rFonts w:cs="Calibri"/>
          <w:bCs/>
          <w:szCs w:val="20"/>
        </w:rPr>
        <w:t>Kwestia ta była przedmiotem dyskusji podczas panelu ekspertów.</w:t>
      </w:r>
      <w:r w:rsidR="00E66B89">
        <w:rPr>
          <w:rFonts w:cs="Calibri"/>
          <w:bCs/>
          <w:szCs w:val="20"/>
        </w:rPr>
        <w:t xml:space="preserve"> Z </w:t>
      </w:r>
      <w:r w:rsidR="006F306E">
        <w:rPr>
          <w:rFonts w:cs="Calibri"/>
          <w:bCs/>
          <w:szCs w:val="20"/>
        </w:rPr>
        <w:t>jednej strony zwracano uwagę na zasadność</w:t>
      </w:r>
      <w:r w:rsidR="00E66B89">
        <w:rPr>
          <w:rFonts w:cs="Calibri"/>
          <w:bCs/>
          <w:szCs w:val="20"/>
        </w:rPr>
        <w:t xml:space="preserve"> i </w:t>
      </w:r>
      <w:r w:rsidR="006F306E">
        <w:rPr>
          <w:rFonts w:cs="Calibri"/>
          <w:bCs/>
          <w:szCs w:val="20"/>
        </w:rPr>
        <w:t>potrzebę wdrożenia takich projektów,</w:t>
      </w:r>
      <w:r w:rsidR="00E66B89">
        <w:rPr>
          <w:rFonts w:cs="Calibri"/>
          <w:bCs/>
          <w:szCs w:val="20"/>
        </w:rPr>
        <w:t xml:space="preserve"> z </w:t>
      </w:r>
      <w:r w:rsidR="006F306E">
        <w:rPr>
          <w:rFonts w:cs="Calibri"/>
          <w:bCs/>
          <w:szCs w:val="20"/>
        </w:rPr>
        <w:t>drugiej zaś podkreślano, że system wdrażania programów operacyjnych nie jest aktualnie przystosowany do takiego rozwiązania – trudności występowałyby najpewniej zarówno na poziomie regionu, poziomie centralnym,</w:t>
      </w:r>
      <w:r w:rsidR="00E66B89">
        <w:rPr>
          <w:rFonts w:cs="Calibri"/>
          <w:bCs/>
          <w:szCs w:val="20"/>
        </w:rPr>
        <w:t xml:space="preserve"> a </w:t>
      </w:r>
      <w:r w:rsidR="006F306E">
        <w:rPr>
          <w:rFonts w:cs="Calibri"/>
          <w:bCs/>
          <w:szCs w:val="20"/>
        </w:rPr>
        <w:t>być może</w:t>
      </w:r>
      <w:r w:rsidR="00E66B89">
        <w:rPr>
          <w:rFonts w:cs="Calibri"/>
          <w:bCs/>
          <w:szCs w:val="20"/>
        </w:rPr>
        <w:t xml:space="preserve"> i </w:t>
      </w:r>
      <w:r w:rsidR="006F306E">
        <w:rPr>
          <w:rFonts w:cs="Calibri"/>
          <w:bCs/>
          <w:szCs w:val="20"/>
        </w:rPr>
        <w:t>poziomie KE. Eksperci wyrażali także obawy</w:t>
      </w:r>
      <w:r w:rsidR="00E66B89">
        <w:rPr>
          <w:rFonts w:cs="Calibri"/>
          <w:bCs/>
          <w:szCs w:val="20"/>
        </w:rPr>
        <w:t xml:space="preserve"> w </w:t>
      </w:r>
      <w:r w:rsidR="006F306E">
        <w:rPr>
          <w:rFonts w:cs="Calibri"/>
          <w:bCs/>
          <w:szCs w:val="20"/>
        </w:rPr>
        <w:t>zakresie tego czy sami beneficjenci są już na tyle przygotowani, by podjąć się realizacji projektów</w:t>
      </w:r>
      <w:r w:rsidR="00E66B89">
        <w:rPr>
          <w:rFonts w:cs="Calibri"/>
          <w:bCs/>
          <w:szCs w:val="20"/>
        </w:rPr>
        <w:t xml:space="preserve"> w </w:t>
      </w:r>
      <w:r w:rsidR="006F306E">
        <w:rPr>
          <w:rFonts w:cs="Calibri"/>
          <w:bCs/>
          <w:szCs w:val="20"/>
        </w:rPr>
        <w:t>pełni zintegrowanych.</w:t>
      </w:r>
      <w:r w:rsidR="006F306E">
        <w:rPr>
          <w:rFonts w:cs="Calibri"/>
          <w:szCs w:val="20"/>
        </w:rPr>
        <w:t xml:space="preserve"> W celu pogłębienia informacji na ten temat, przeanalizowano sposób wdrażania takich projektów</w:t>
      </w:r>
      <w:r w:rsidR="00E66B89">
        <w:rPr>
          <w:rFonts w:cs="Calibri"/>
          <w:szCs w:val="20"/>
        </w:rPr>
        <w:t xml:space="preserve"> w </w:t>
      </w:r>
      <w:r w:rsidR="006F306E">
        <w:rPr>
          <w:rFonts w:cs="Calibri"/>
          <w:szCs w:val="20"/>
        </w:rPr>
        <w:t xml:space="preserve">innych RPO. </w:t>
      </w:r>
    </w:p>
    <w:p w14:paraId="107CED9A" w14:textId="77777777" w:rsidR="00601AD9" w:rsidRPr="00D73F69" w:rsidRDefault="00601AD9" w:rsidP="00601AD9">
      <w:pPr>
        <w:rPr>
          <w:rFonts w:cs="Calibri"/>
          <w:szCs w:val="20"/>
        </w:rPr>
      </w:pPr>
      <w:r w:rsidRPr="00D73F69">
        <w:rPr>
          <w:rFonts w:cs="Calibri"/>
          <w:szCs w:val="20"/>
        </w:rPr>
        <w:t xml:space="preserve">W poszczególnych regionach przyjęto różne </w:t>
      </w:r>
      <w:r w:rsidR="006F306E" w:rsidRPr="00D73F69">
        <w:rPr>
          <w:rFonts w:cs="Calibri"/>
          <w:szCs w:val="20"/>
        </w:rPr>
        <w:t>podejści</w:t>
      </w:r>
      <w:r w:rsidR="006F306E">
        <w:rPr>
          <w:rFonts w:cs="Calibri"/>
          <w:szCs w:val="20"/>
        </w:rPr>
        <w:t xml:space="preserve">a </w:t>
      </w:r>
      <w:r w:rsidR="00A43511">
        <w:rPr>
          <w:rFonts w:cs="Calibri"/>
          <w:szCs w:val="20"/>
        </w:rPr>
        <w:t xml:space="preserve">we wdrażaniu </w:t>
      </w:r>
      <w:r w:rsidR="006F306E">
        <w:rPr>
          <w:rFonts w:cs="Calibri"/>
          <w:szCs w:val="20"/>
        </w:rPr>
        <w:t xml:space="preserve">takich </w:t>
      </w:r>
      <w:r w:rsidR="00A43511">
        <w:rPr>
          <w:rFonts w:cs="Calibri"/>
          <w:szCs w:val="20"/>
        </w:rPr>
        <w:t>projektów</w:t>
      </w:r>
      <w:r w:rsidRPr="00D73F69">
        <w:rPr>
          <w:rFonts w:cs="Calibri"/>
          <w:szCs w:val="20"/>
        </w:rPr>
        <w:t>.</w:t>
      </w:r>
      <w:r w:rsidR="00E66B89">
        <w:rPr>
          <w:rFonts w:cs="Calibri"/>
          <w:szCs w:val="20"/>
        </w:rPr>
        <w:t xml:space="preserve"> W </w:t>
      </w:r>
      <w:r w:rsidRPr="00D73F69">
        <w:rPr>
          <w:rFonts w:cs="Calibri"/>
          <w:szCs w:val="20"/>
        </w:rPr>
        <w:t>niektórych organizowane były konkursy zintegrowane, gdzie wnioskodawcy składali kompletne wnioski</w:t>
      </w:r>
      <w:r w:rsidR="00E66B89">
        <w:rPr>
          <w:rFonts w:cs="Calibri"/>
          <w:szCs w:val="20"/>
        </w:rPr>
        <w:t xml:space="preserve"> o </w:t>
      </w:r>
      <w:r w:rsidRPr="00D73F69">
        <w:rPr>
          <w:rFonts w:cs="Calibri"/>
          <w:szCs w:val="20"/>
        </w:rPr>
        <w:t>dofinansowanie projekt</w:t>
      </w:r>
      <w:r w:rsidR="00A43511">
        <w:rPr>
          <w:rFonts w:cs="Calibri"/>
          <w:szCs w:val="20"/>
        </w:rPr>
        <w:t>u</w:t>
      </w:r>
      <w:r w:rsidRPr="00D73F69">
        <w:rPr>
          <w:rFonts w:cs="Calibri"/>
          <w:szCs w:val="20"/>
        </w:rPr>
        <w:t xml:space="preserve"> infrastrukturalnego</w:t>
      </w:r>
      <w:r w:rsidR="00E66B89">
        <w:rPr>
          <w:rFonts w:cs="Calibri"/>
          <w:szCs w:val="20"/>
        </w:rPr>
        <w:t xml:space="preserve"> i </w:t>
      </w:r>
      <w:r w:rsidRPr="00D73F69">
        <w:rPr>
          <w:rFonts w:cs="Calibri"/>
          <w:szCs w:val="20"/>
        </w:rPr>
        <w:t>miękkiego. Przykładem może być województwo kujawsko-pomorskie, gdzie po pierwszych doświadczeniach zrezygnowano</w:t>
      </w:r>
      <w:r w:rsidR="00E66B89">
        <w:rPr>
          <w:rFonts w:cs="Calibri"/>
          <w:szCs w:val="20"/>
        </w:rPr>
        <w:t xml:space="preserve"> z </w:t>
      </w:r>
      <w:r w:rsidRPr="00D73F69">
        <w:rPr>
          <w:rFonts w:cs="Calibri"/>
          <w:szCs w:val="20"/>
        </w:rPr>
        <w:t>tego rozwiązania na rzecz odrębnych konkursów</w:t>
      </w:r>
      <w:r w:rsidR="00E66B89">
        <w:rPr>
          <w:rFonts w:cs="Calibri"/>
          <w:szCs w:val="20"/>
        </w:rPr>
        <w:t xml:space="preserve"> i </w:t>
      </w:r>
      <w:r w:rsidRPr="00D73F69">
        <w:rPr>
          <w:rFonts w:cs="Calibri"/>
          <w:szCs w:val="20"/>
        </w:rPr>
        <w:t>deklaracji we wniosku</w:t>
      </w:r>
      <w:r w:rsidR="00E66B89">
        <w:rPr>
          <w:rFonts w:cs="Calibri"/>
          <w:szCs w:val="20"/>
        </w:rPr>
        <w:t xml:space="preserve"> o </w:t>
      </w:r>
      <w:r w:rsidRPr="00D73F69">
        <w:rPr>
          <w:rFonts w:cs="Calibri"/>
          <w:szCs w:val="20"/>
        </w:rPr>
        <w:t>dofinansowanie projektu EFRR</w:t>
      </w:r>
      <w:r w:rsidR="00E66B89">
        <w:rPr>
          <w:rFonts w:cs="Calibri"/>
          <w:szCs w:val="20"/>
        </w:rPr>
        <w:t xml:space="preserve"> o </w:t>
      </w:r>
      <w:r w:rsidRPr="00D73F69">
        <w:rPr>
          <w:rFonts w:cs="Calibri"/>
          <w:szCs w:val="20"/>
        </w:rPr>
        <w:t>komplementarności inwestycji</w:t>
      </w:r>
      <w:r w:rsidR="00E66B89">
        <w:rPr>
          <w:rFonts w:cs="Calibri"/>
          <w:szCs w:val="20"/>
        </w:rPr>
        <w:t xml:space="preserve"> z </w:t>
      </w:r>
      <w:r w:rsidRPr="00D73F69">
        <w:rPr>
          <w:rFonts w:cs="Calibri"/>
          <w:szCs w:val="20"/>
        </w:rPr>
        <w:t>projektem EFS (w obszarze edukacji). Pierwsza formuła okazała się bowiem nieefektywna, zarówno</w:t>
      </w:r>
      <w:r w:rsidR="00E66B89">
        <w:rPr>
          <w:rFonts w:cs="Calibri"/>
          <w:szCs w:val="20"/>
        </w:rPr>
        <w:t xml:space="preserve"> z </w:t>
      </w:r>
      <w:r w:rsidRPr="00D73F69">
        <w:rPr>
          <w:rFonts w:cs="Calibri"/>
          <w:szCs w:val="20"/>
        </w:rPr>
        <w:t>punktu widzenia prac po stronie instytucji organizującej konkurs (problematyczność przeprowadzenia oceny wniosku</w:t>
      </w:r>
      <w:r w:rsidR="00E66B89">
        <w:rPr>
          <w:rFonts w:cs="Calibri"/>
          <w:szCs w:val="20"/>
        </w:rPr>
        <w:t xml:space="preserve"> o </w:t>
      </w:r>
      <w:r w:rsidRPr="00D73F69">
        <w:rPr>
          <w:rFonts w:cs="Calibri"/>
          <w:szCs w:val="20"/>
        </w:rPr>
        <w:t>dofinansowanie przez dwa różne departamenty, niedostosowanie systemu informatycznego do takich przypadków), jak również</w:t>
      </w:r>
      <w:r w:rsidR="00E66B89">
        <w:rPr>
          <w:rFonts w:cs="Calibri"/>
          <w:szCs w:val="20"/>
        </w:rPr>
        <w:t xml:space="preserve"> z </w:t>
      </w:r>
      <w:r w:rsidRPr="00D73F69">
        <w:rPr>
          <w:rFonts w:cs="Calibri"/>
          <w:szCs w:val="20"/>
        </w:rPr>
        <w:t xml:space="preserve">punktu widzenia sekwencyjności wdrażania projektów. Złożenie </w:t>
      </w:r>
      <w:r w:rsidR="00A9664D">
        <w:rPr>
          <w:rFonts w:cs="Calibri"/>
          <w:szCs w:val="20"/>
        </w:rPr>
        <w:t>WoD</w:t>
      </w:r>
      <w:r w:rsidRPr="00D73F69">
        <w:rPr>
          <w:rFonts w:cs="Calibri"/>
          <w:szCs w:val="20"/>
        </w:rPr>
        <w:t xml:space="preserve"> projektu EFS razem</w:t>
      </w:r>
      <w:r w:rsidR="00E66B89">
        <w:rPr>
          <w:rFonts w:cs="Calibri"/>
          <w:szCs w:val="20"/>
        </w:rPr>
        <w:t xml:space="preserve"> z </w:t>
      </w:r>
      <w:r w:rsidR="00A9664D">
        <w:rPr>
          <w:rFonts w:cs="Calibri"/>
          <w:szCs w:val="20"/>
        </w:rPr>
        <w:t>WoD</w:t>
      </w:r>
      <w:r w:rsidRPr="00D73F69">
        <w:rPr>
          <w:rFonts w:cs="Calibri"/>
          <w:szCs w:val="20"/>
        </w:rPr>
        <w:t xml:space="preserve"> projektu EFRR powodowało bowiem, że po zakończeniu inwestycji, co ma miejsce rok, dwa</w:t>
      </w:r>
      <w:r w:rsidR="00E66B89">
        <w:rPr>
          <w:rFonts w:cs="Calibri"/>
          <w:szCs w:val="20"/>
        </w:rPr>
        <w:t xml:space="preserve"> a </w:t>
      </w:r>
      <w:r w:rsidRPr="00D73F69">
        <w:rPr>
          <w:rFonts w:cs="Calibri"/>
          <w:szCs w:val="20"/>
        </w:rPr>
        <w:t xml:space="preserve">nawet trzy lata po złożeniu </w:t>
      </w:r>
      <w:r w:rsidR="00A9664D">
        <w:rPr>
          <w:rFonts w:cs="Calibri"/>
          <w:szCs w:val="20"/>
        </w:rPr>
        <w:t>WoD</w:t>
      </w:r>
      <w:r w:rsidRPr="00D73F69">
        <w:rPr>
          <w:rFonts w:cs="Calibri"/>
          <w:szCs w:val="20"/>
        </w:rPr>
        <w:t>, złożone projekty EFS wymagały aktualizacji (np. ze względu na zmiany przepisów</w:t>
      </w:r>
      <w:r w:rsidR="00E66B89">
        <w:rPr>
          <w:rFonts w:cs="Calibri"/>
          <w:szCs w:val="20"/>
        </w:rPr>
        <w:t xml:space="preserve"> w </w:t>
      </w:r>
      <w:r w:rsidRPr="00D73F69">
        <w:rPr>
          <w:rFonts w:cs="Calibri"/>
          <w:szCs w:val="20"/>
        </w:rPr>
        <w:t>obszarze edukacji)</w:t>
      </w:r>
      <w:r w:rsidR="00E66B89">
        <w:rPr>
          <w:rFonts w:cs="Calibri"/>
          <w:szCs w:val="20"/>
        </w:rPr>
        <w:t xml:space="preserve"> i </w:t>
      </w:r>
      <w:r w:rsidRPr="00D73F69">
        <w:rPr>
          <w:rFonts w:cs="Calibri"/>
          <w:szCs w:val="20"/>
        </w:rPr>
        <w:t>ponownego wyliczenia kosztów (np.</w:t>
      </w:r>
      <w:r w:rsidR="00E66B89">
        <w:rPr>
          <w:rFonts w:cs="Calibri"/>
          <w:szCs w:val="20"/>
        </w:rPr>
        <w:t xml:space="preserve"> w </w:t>
      </w:r>
      <w:r w:rsidRPr="00D73F69">
        <w:rPr>
          <w:rFonts w:cs="Calibri"/>
          <w:szCs w:val="20"/>
        </w:rPr>
        <w:t>związku ze zmianami wynagrodzeń dla nauczycieli).</w:t>
      </w:r>
      <w:r w:rsidR="00E66B89">
        <w:rPr>
          <w:rFonts w:cs="Calibri"/>
          <w:szCs w:val="20"/>
        </w:rPr>
        <w:t xml:space="preserve"> W </w:t>
      </w:r>
      <w:r w:rsidRPr="00D73F69">
        <w:rPr>
          <w:rFonts w:cs="Calibri"/>
          <w:szCs w:val="20"/>
        </w:rPr>
        <w:t xml:space="preserve">kolejnych konkursach IZ RPO WK-P zmieniła zatem zasady, wprowadzając rozwiązanie, aby do </w:t>
      </w:r>
      <w:r w:rsidR="00F4087F">
        <w:rPr>
          <w:rFonts w:cs="Calibri"/>
          <w:szCs w:val="20"/>
        </w:rPr>
        <w:t>WoD</w:t>
      </w:r>
      <w:r w:rsidRPr="00D73F69">
        <w:rPr>
          <w:rFonts w:cs="Calibri"/>
          <w:szCs w:val="20"/>
        </w:rPr>
        <w:t xml:space="preserve"> projektu EFRR dołączać jedynie ogólny opis projektu kompetencyjnego,</w:t>
      </w:r>
      <w:r w:rsidR="00E66B89">
        <w:rPr>
          <w:rFonts w:cs="Calibri"/>
          <w:szCs w:val="20"/>
        </w:rPr>
        <w:t xml:space="preserve"> a </w:t>
      </w:r>
      <w:r w:rsidRPr="00D73F69">
        <w:rPr>
          <w:rFonts w:cs="Calibri"/>
          <w:szCs w:val="20"/>
        </w:rPr>
        <w:t>nie pełny wniosek</w:t>
      </w:r>
      <w:r w:rsidR="00E66B89">
        <w:rPr>
          <w:rFonts w:cs="Calibri"/>
          <w:szCs w:val="20"/>
        </w:rPr>
        <w:t xml:space="preserve"> o </w:t>
      </w:r>
      <w:r w:rsidRPr="00D73F69">
        <w:rPr>
          <w:rFonts w:cs="Calibri"/>
          <w:szCs w:val="20"/>
        </w:rPr>
        <w:t>dofinansowanie</w:t>
      </w:r>
      <w:r w:rsidRPr="00D73F69">
        <w:rPr>
          <w:szCs w:val="20"/>
          <w:vertAlign w:val="superscript"/>
        </w:rPr>
        <w:footnoteReference w:id="166"/>
      </w:r>
      <w:r w:rsidRPr="00D73F69">
        <w:rPr>
          <w:rFonts w:cs="Calibri"/>
          <w:szCs w:val="20"/>
        </w:rPr>
        <w:t>.</w:t>
      </w:r>
      <w:r w:rsidR="00E66B89">
        <w:rPr>
          <w:rFonts w:cs="Calibri"/>
          <w:szCs w:val="20"/>
        </w:rPr>
        <w:t xml:space="preserve"> W </w:t>
      </w:r>
      <w:r w:rsidRPr="00D73F69">
        <w:rPr>
          <w:rFonts w:cs="Calibri"/>
          <w:szCs w:val="20"/>
        </w:rPr>
        <w:t>WRPO 2014+ nabory na projekty EFS są organizowane wcześniej niż na projekty EFRR.</w:t>
      </w:r>
      <w:r w:rsidR="00E66B89">
        <w:rPr>
          <w:rFonts w:cs="Calibri"/>
          <w:szCs w:val="20"/>
        </w:rPr>
        <w:t xml:space="preserve"> W </w:t>
      </w:r>
      <w:r w:rsidRPr="00D73F69">
        <w:rPr>
          <w:rFonts w:cs="Calibri"/>
          <w:szCs w:val="20"/>
        </w:rPr>
        <w:t>dotychczasowym wdrażaniu Programu zdarzały się sytuacje, kiedy ocena merytoryczna</w:t>
      </w:r>
      <w:r w:rsidR="00E66B89">
        <w:rPr>
          <w:rFonts w:cs="Calibri"/>
          <w:szCs w:val="20"/>
        </w:rPr>
        <w:t xml:space="preserve"> w </w:t>
      </w:r>
      <w:r w:rsidRPr="00D73F69">
        <w:rPr>
          <w:rFonts w:cs="Calibri"/>
          <w:szCs w:val="20"/>
        </w:rPr>
        <w:t>konkursie EFRR była przesuwana ze względu na to, iż termin oceny formalno-merytorycznej wniosków złożonych</w:t>
      </w:r>
      <w:r w:rsidR="00E66B89">
        <w:rPr>
          <w:rFonts w:cs="Calibri"/>
          <w:szCs w:val="20"/>
        </w:rPr>
        <w:t xml:space="preserve"> </w:t>
      </w:r>
      <w:r w:rsidR="00E66B89">
        <w:rPr>
          <w:rFonts w:cs="Calibri"/>
          <w:szCs w:val="20"/>
        </w:rPr>
        <w:lastRenderedPageBreak/>
        <w:t>w </w:t>
      </w:r>
      <w:r w:rsidRPr="00D73F69">
        <w:rPr>
          <w:rFonts w:cs="Calibri"/>
          <w:szCs w:val="20"/>
        </w:rPr>
        <w:t xml:space="preserve">konkursie dla Poddziałania EFS został wydłużony ze względu na bardzo dużą liczbę wniosków </w:t>
      </w:r>
      <w:r w:rsidR="00A43511" w:rsidRPr="00D73F69">
        <w:rPr>
          <w:rFonts w:cs="Calibri"/>
          <w:szCs w:val="20"/>
        </w:rPr>
        <w:t>złożonych</w:t>
      </w:r>
      <w:r w:rsidRPr="00D73F69">
        <w:rPr>
          <w:rFonts w:cs="Calibri"/>
          <w:szCs w:val="20"/>
        </w:rPr>
        <w:t xml:space="preserve"> do Poddziałania </w:t>
      </w:r>
      <w:r w:rsidR="00F4087F" w:rsidRPr="00D73F69">
        <w:rPr>
          <w:rFonts w:cs="Calibri"/>
          <w:szCs w:val="20"/>
        </w:rPr>
        <w:t>EF</w:t>
      </w:r>
      <w:r w:rsidR="00F4087F">
        <w:rPr>
          <w:rFonts w:cs="Calibri"/>
          <w:szCs w:val="20"/>
        </w:rPr>
        <w:t>R</w:t>
      </w:r>
      <w:r w:rsidR="00703AED">
        <w:rPr>
          <w:rFonts w:cs="Calibri"/>
          <w:szCs w:val="20"/>
        </w:rPr>
        <w:t>R</w:t>
      </w:r>
      <w:r w:rsidR="00F4087F" w:rsidRPr="00D73F69">
        <w:rPr>
          <w:rFonts w:cs="Calibri"/>
          <w:szCs w:val="20"/>
        </w:rPr>
        <w:t xml:space="preserve"> </w:t>
      </w:r>
      <w:r w:rsidRPr="00D73F69">
        <w:rPr>
          <w:rFonts w:cs="Calibri"/>
          <w:szCs w:val="20"/>
        </w:rPr>
        <w:t xml:space="preserve">(dotyczy m.in. Poddziałania 9.3.3 </w:t>
      </w:r>
      <w:r w:rsidRPr="00D73F69">
        <w:rPr>
          <w:rFonts w:cs="Calibri"/>
          <w:i/>
          <w:szCs w:val="20"/>
        </w:rPr>
        <w:t>Inwestowanie</w:t>
      </w:r>
      <w:r w:rsidR="00E66B89">
        <w:rPr>
          <w:rFonts w:cs="Calibri"/>
          <w:i/>
          <w:szCs w:val="20"/>
        </w:rPr>
        <w:t xml:space="preserve"> w </w:t>
      </w:r>
      <w:r w:rsidRPr="00D73F69">
        <w:rPr>
          <w:rFonts w:cs="Calibri"/>
          <w:i/>
          <w:szCs w:val="20"/>
        </w:rPr>
        <w:t>rozwój infrastruktury edukacji ogólnokształcącej</w:t>
      </w:r>
      <w:r w:rsidRPr="00D73F69">
        <w:rPr>
          <w:rFonts w:cs="Calibri"/>
          <w:szCs w:val="20"/>
        </w:rPr>
        <w:t xml:space="preserve"> oraz Poddziałania 8.1.2 </w:t>
      </w:r>
      <w:r w:rsidRPr="00D73F69">
        <w:rPr>
          <w:rFonts w:cs="Calibri"/>
          <w:i/>
          <w:szCs w:val="20"/>
        </w:rPr>
        <w:t>Kształcenie ogólne - projekty konkursowe).</w:t>
      </w:r>
      <w:r w:rsidRPr="00D73F69">
        <w:rPr>
          <w:rFonts w:cs="Calibri"/>
          <w:szCs w:val="20"/>
        </w:rPr>
        <w:t xml:space="preserve"> Różne jest też podejście do tego, kiedy można rozpocząć realizację projektu EFS.</w:t>
      </w:r>
      <w:r w:rsidR="00E66B89">
        <w:rPr>
          <w:rFonts w:cs="Calibri"/>
          <w:szCs w:val="20"/>
        </w:rPr>
        <w:t xml:space="preserve"> W </w:t>
      </w:r>
      <w:r w:rsidRPr="00D73F69">
        <w:rPr>
          <w:rFonts w:cs="Calibri"/>
          <w:szCs w:val="20"/>
        </w:rPr>
        <w:t>niektórych regionach, np.</w:t>
      </w:r>
      <w:r w:rsidR="00E66B89">
        <w:rPr>
          <w:rFonts w:cs="Calibri"/>
          <w:szCs w:val="20"/>
        </w:rPr>
        <w:t xml:space="preserve"> w </w:t>
      </w:r>
      <w:r w:rsidRPr="00D73F69">
        <w:rPr>
          <w:rFonts w:cs="Calibri"/>
          <w:szCs w:val="20"/>
        </w:rPr>
        <w:t>RPO województwa podkarpackiego, warunkiem rozpoczęcia realizacji projektu kompetencyjnego</w:t>
      </w:r>
      <w:r w:rsidR="00E66B89">
        <w:rPr>
          <w:rFonts w:cs="Calibri"/>
          <w:szCs w:val="20"/>
        </w:rPr>
        <w:t xml:space="preserve"> w </w:t>
      </w:r>
      <w:r w:rsidRPr="00D73F69">
        <w:rPr>
          <w:rFonts w:cs="Calibri"/>
          <w:szCs w:val="20"/>
        </w:rPr>
        <w:t>obszarze edukacji przedszkolnej jest zakończenie projektu inwestycyjnego. Komórka odpowiedzialna za wdrażanie EFS czeka więc na informację</w:t>
      </w:r>
      <w:r w:rsidR="00E66B89">
        <w:rPr>
          <w:rFonts w:cs="Calibri"/>
          <w:szCs w:val="20"/>
        </w:rPr>
        <w:t xml:space="preserve"> z </w:t>
      </w:r>
      <w:r w:rsidRPr="00D73F69">
        <w:rPr>
          <w:rFonts w:cs="Calibri"/>
          <w:szCs w:val="20"/>
        </w:rPr>
        <w:t>Departamentu EFRR.</w:t>
      </w:r>
      <w:r w:rsidR="00E66B89">
        <w:rPr>
          <w:rFonts w:cs="Calibri"/>
          <w:szCs w:val="20"/>
        </w:rPr>
        <w:t xml:space="preserve"> W </w:t>
      </w:r>
      <w:r w:rsidRPr="00D73F69">
        <w:rPr>
          <w:rFonts w:cs="Calibri"/>
          <w:szCs w:val="20"/>
        </w:rPr>
        <w:t>efekcie IZ RPO województwa podkarpackiego identyfikuje duże opóźnienia</w:t>
      </w:r>
      <w:r w:rsidR="00E66B89">
        <w:rPr>
          <w:rFonts w:cs="Calibri"/>
          <w:szCs w:val="20"/>
        </w:rPr>
        <w:t xml:space="preserve"> w </w:t>
      </w:r>
      <w:r w:rsidRPr="00D73F69">
        <w:rPr>
          <w:rFonts w:cs="Calibri"/>
          <w:szCs w:val="20"/>
        </w:rPr>
        <w:t>rozliczaniu</w:t>
      </w:r>
      <w:r w:rsidR="00E66B89">
        <w:rPr>
          <w:rFonts w:cs="Calibri"/>
          <w:szCs w:val="20"/>
        </w:rPr>
        <w:t xml:space="preserve"> w </w:t>
      </w:r>
      <w:r w:rsidRPr="00D73F69">
        <w:rPr>
          <w:rFonts w:cs="Calibri"/>
          <w:szCs w:val="20"/>
        </w:rPr>
        <w:t>Działaniach EFS, gdzie przewidziano mechanizm komplementarności międzyfunduszowej.</w:t>
      </w:r>
      <w:r w:rsidR="00E66B89">
        <w:rPr>
          <w:rFonts w:cs="Calibri"/>
          <w:szCs w:val="20"/>
        </w:rPr>
        <w:t xml:space="preserve"> W </w:t>
      </w:r>
      <w:r w:rsidRPr="00D73F69">
        <w:rPr>
          <w:rFonts w:cs="Calibri"/>
          <w:szCs w:val="20"/>
        </w:rPr>
        <w:t>województwie wielkopolskim nie ma</w:t>
      </w:r>
      <w:r w:rsidR="00E66B89">
        <w:rPr>
          <w:rFonts w:cs="Calibri"/>
          <w:szCs w:val="20"/>
        </w:rPr>
        <w:t xml:space="preserve"> z </w:t>
      </w:r>
      <w:r w:rsidR="00A43511">
        <w:rPr>
          <w:rFonts w:cs="Calibri"/>
          <w:szCs w:val="20"/>
        </w:rPr>
        <w:t>kolei</w:t>
      </w:r>
      <w:r w:rsidRPr="00D73F69">
        <w:rPr>
          <w:rFonts w:cs="Calibri"/>
          <w:szCs w:val="20"/>
        </w:rPr>
        <w:t xml:space="preserve"> takiego ograniczenia. Zakłada się jedynie, co ma odzwierciedlenie</w:t>
      </w:r>
      <w:r w:rsidR="00E66B89">
        <w:rPr>
          <w:rFonts w:cs="Calibri"/>
          <w:szCs w:val="20"/>
        </w:rPr>
        <w:t xml:space="preserve"> w </w:t>
      </w:r>
      <w:r w:rsidRPr="00D73F69">
        <w:rPr>
          <w:rFonts w:cs="Calibri"/>
          <w:szCs w:val="20"/>
        </w:rPr>
        <w:t>dokumentacji konkursowej, że termin rozpoczęcia projektów EFS zintegrowanych</w:t>
      </w:r>
      <w:r w:rsidR="00E66B89">
        <w:rPr>
          <w:rFonts w:cs="Calibri"/>
          <w:szCs w:val="20"/>
        </w:rPr>
        <w:t xml:space="preserve"> z </w:t>
      </w:r>
      <w:r w:rsidRPr="00D73F69">
        <w:rPr>
          <w:rFonts w:cs="Calibri"/>
          <w:szCs w:val="20"/>
        </w:rPr>
        <w:t>projektami EFRR może przesunąć się</w:t>
      </w:r>
      <w:r w:rsidR="00E66B89">
        <w:rPr>
          <w:rFonts w:cs="Calibri"/>
          <w:szCs w:val="20"/>
        </w:rPr>
        <w:t xml:space="preserve"> w </w:t>
      </w:r>
      <w:r w:rsidRPr="00D73F69">
        <w:rPr>
          <w:rFonts w:cs="Calibri"/>
          <w:szCs w:val="20"/>
        </w:rPr>
        <w:t xml:space="preserve">czasie. </w:t>
      </w:r>
      <w:r w:rsidR="00351CBD">
        <w:rPr>
          <w:rFonts w:cs="Calibri"/>
          <w:szCs w:val="20"/>
        </w:rPr>
        <w:t>Również</w:t>
      </w:r>
      <w:r w:rsidR="00E66B89">
        <w:rPr>
          <w:rFonts w:cs="Calibri"/>
          <w:szCs w:val="20"/>
        </w:rPr>
        <w:t xml:space="preserve"> w </w:t>
      </w:r>
      <w:r w:rsidR="00351CBD">
        <w:rPr>
          <w:rFonts w:cs="Calibri"/>
          <w:szCs w:val="20"/>
        </w:rPr>
        <w:t>RPO woj. podlaskiego wdrażane są projekty zintegrowane (zawierające zarówno komponent EFRR, jak</w:t>
      </w:r>
      <w:r w:rsidR="00E66B89">
        <w:rPr>
          <w:rFonts w:cs="Calibri"/>
          <w:szCs w:val="20"/>
        </w:rPr>
        <w:t xml:space="preserve"> i </w:t>
      </w:r>
      <w:r w:rsidR="00351CBD">
        <w:rPr>
          <w:rFonts w:cs="Calibri"/>
          <w:szCs w:val="20"/>
        </w:rPr>
        <w:t xml:space="preserve">EFS). </w:t>
      </w:r>
      <w:r w:rsidR="00351CBD" w:rsidRPr="00F255D1">
        <w:t>W</w:t>
      </w:r>
      <w:r w:rsidR="00351CBD" w:rsidRPr="00F255D1">
        <w:rPr>
          <w:rFonts w:cs="Arial"/>
        </w:rPr>
        <w:t xml:space="preserve">ybierane </w:t>
      </w:r>
      <w:r w:rsidR="00351CBD">
        <w:rPr>
          <w:rFonts w:cs="Arial"/>
        </w:rPr>
        <w:t>są one</w:t>
      </w:r>
      <w:r w:rsidR="00E66B89">
        <w:rPr>
          <w:rFonts w:cs="Arial"/>
        </w:rPr>
        <w:t xml:space="preserve"> w </w:t>
      </w:r>
      <w:r w:rsidR="00351CBD" w:rsidRPr="00F255D1">
        <w:rPr>
          <w:rFonts w:cs="Arial"/>
        </w:rPr>
        <w:t>obszarach wymagających komplementarnych</w:t>
      </w:r>
      <w:r w:rsidR="00E66B89">
        <w:rPr>
          <w:rFonts w:cs="Arial"/>
        </w:rPr>
        <w:t xml:space="preserve"> i </w:t>
      </w:r>
      <w:r w:rsidR="00351CBD" w:rsidRPr="00F255D1">
        <w:rPr>
          <w:rFonts w:cs="Arial"/>
        </w:rPr>
        <w:t>skoordynowanych rozwiązań, dla których uzasadniona jest realiza</w:t>
      </w:r>
      <w:r w:rsidR="00351CBD">
        <w:rPr>
          <w:rFonts w:cs="Arial"/>
        </w:rPr>
        <w:t>cja co najmniej dwóch projektów</w:t>
      </w:r>
      <w:r w:rsidR="00351CBD" w:rsidRPr="00F255D1">
        <w:rPr>
          <w:rFonts w:cs="Arial"/>
        </w:rPr>
        <w:t xml:space="preserve"> finansowanych</w:t>
      </w:r>
      <w:r w:rsidR="00351CBD">
        <w:rPr>
          <w:rFonts w:cs="Arial"/>
        </w:rPr>
        <w:t xml:space="preserve"> </w:t>
      </w:r>
      <w:r w:rsidR="00351CBD" w:rsidRPr="00F255D1">
        <w:rPr>
          <w:rFonts w:cs="Arial"/>
        </w:rPr>
        <w:t>ze śro</w:t>
      </w:r>
      <w:r w:rsidR="00351CBD">
        <w:rPr>
          <w:rFonts w:cs="Arial"/>
        </w:rPr>
        <w:t>dków jednego lub dwóch funduszy</w:t>
      </w:r>
      <w:r w:rsidR="00351CBD" w:rsidRPr="00F255D1">
        <w:rPr>
          <w:rFonts w:cs="Arial"/>
        </w:rPr>
        <w:t xml:space="preserve">. </w:t>
      </w:r>
      <w:r w:rsidR="00351CBD">
        <w:rPr>
          <w:rFonts w:cs="Arial"/>
        </w:rPr>
        <w:t>Projekty zintegrowane są stosowane</w:t>
      </w:r>
      <w:r w:rsidR="00E66B89">
        <w:rPr>
          <w:rFonts w:cs="Arial"/>
        </w:rPr>
        <w:t xml:space="preserve"> w </w:t>
      </w:r>
      <w:r w:rsidR="00351CBD">
        <w:rPr>
          <w:rFonts w:cs="Arial"/>
        </w:rPr>
        <w:t>przypadku projektów komplementarnych, wzmacniających realizację celów</w:t>
      </w:r>
      <w:r w:rsidR="00E66B89">
        <w:rPr>
          <w:rFonts w:cs="Arial"/>
        </w:rPr>
        <w:t xml:space="preserve"> i </w:t>
      </w:r>
      <w:r w:rsidR="00351CBD">
        <w:rPr>
          <w:rFonts w:cs="Arial"/>
        </w:rPr>
        <w:t>przynoszących jednocześnie efekt synergii.</w:t>
      </w:r>
      <w:r w:rsidR="00E66B89">
        <w:rPr>
          <w:rFonts w:cs="Arial"/>
        </w:rPr>
        <w:t xml:space="preserve"> W </w:t>
      </w:r>
      <w:r w:rsidR="00351CBD">
        <w:t>tym </w:t>
      </w:r>
      <w:r w:rsidR="00351CBD" w:rsidRPr="00F255D1">
        <w:t>przypadku zastosowanie mają dodatkowo odpowiednie kryteria wyboru projekt</w:t>
      </w:r>
      <w:r w:rsidR="00351CBD">
        <w:t>ów</w:t>
      </w:r>
      <w:r w:rsidR="00351CBD" w:rsidRPr="00F255D1">
        <w:t xml:space="preserve"> oraz </w:t>
      </w:r>
      <w:r w:rsidR="00351CBD">
        <w:t xml:space="preserve">odpowiednio </w:t>
      </w:r>
      <w:r w:rsidR="00351CBD" w:rsidRPr="00F255D1">
        <w:t>ukierunkowana dokumentacja konkursowa</w:t>
      </w:r>
      <w:r w:rsidR="00E66B89">
        <w:t xml:space="preserve"> i </w:t>
      </w:r>
      <w:r w:rsidR="00351CBD" w:rsidRPr="00F255D1">
        <w:t>mechanizm komplementarności</w:t>
      </w:r>
      <w:r w:rsidR="00351CBD">
        <w:t xml:space="preserve"> –</w:t>
      </w:r>
      <w:r w:rsidR="00E66B89">
        <w:t xml:space="preserve"> w </w:t>
      </w:r>
      <w:r w:rsidR="00351CBD" w:rsidRPr="00F255D1">
        <w:t>zakresie sprzężenia harmonogramów naborów projektów</w:t>
      </w:r>
      <w:r w:rsidR="00351CBD">
        <w:t>,</w:t>
      </w:r>
      <w:r w:rsidR="00E66B89">
        <w:t xml:space="preserve"> w </w:t>
      </w:r>
      <w:r w:rsidR="00351CBD" w:rsidRPr="00F255D1">
        <w:t xml:space="preserve">ramach różnych instrumentów wsparcia. </w:t>
      </w:r>
      <w:r w:rsidR="00351CBD">
        <w:t>M</w:t>
      </w:r>
      <w:r w:rsidR="00351CBD" w:rsidRPr="00F255D1">
        <w:t xml:space="preserve">a </w:t>
      </w:r>
      <w:r w:rsidR="00351CBD">
        <w:t xml:space="preserve">to </w:t>
      </w:r>
      <w:r w:rsidR="00351CBD" w:rsidRPr="00F255D1">
        <w:t>na celu skoordyno</w:t>
      </w:r>
      <w:r w:rsidR="00351CBD">
        <w:t>wanie obszarów strategicznych</w:t>
      </w:r>
      <w:r w:rsidR="00E66B89">
        <w:t xml:space="preserve"> i </w:t>
      </w:r>
      <w:r w:rsidR="00351CBD" w:rsidRPr="00F255D1">
        <w:t>tworzenie spójnego, zintegrowanego podejścia terytorialne</w:t>
      </w:r>
      <w:r w:rsidR="00351CBD">
        <w:t>go.</w:t>
      </w:r>
      <w:r w:rsidR="00E66B89">
        <w:t xml:space="preserve"> W </w:t>
      </w:r>
      <w:r w:rsidR="00351CBD">
        <w:t>badaniu prowadzonym</w:t>
      </w:r>
      <w:r w:rsidR="00E66B89">
        <w:t xml:space="preserve"> w </w:t>
      </w:r>
      <w:r w:rsidR="00351CBD">
        <w:t>2018 roku</w:t>
      </w:r>
      <w:r w:rsidR="00351CBD">
        <w:rPr>
          <w:rStyle w:val="Odwoanieprzypisudolnego"/>
        </w:rPr>
        <w:footnoteReference w:id="167"/>
      </w:r>
      <w:r w:rsidR="00351CBD">
        <w:t xml:space="preserve"> stwierdzono jednak, że realizacja tego typu projektów jest utrudniona</w:t>
      </w:r>
      <w:r w:rsidR="00E66B89">
        <w:t xml:space="preserve"> z </w:t>
      </w:r>
      <w:r w:rsidR="00351CBD">
        <w:t>uwagi na przyjęte zasady ich wdrażania – powodzenie projektu zintegrowanego jako całości uzależnione jest od tego czy projekty finansowane zarówno</w:t>
      </w:r>
      <w:r w:rsidR="00E66B89">
        <w:t xml:space="preserve"> z </w:t>
      </w:r>
      <w:r w:rsidR="00351CBD">
        <w:t>EFS jak</w:t>
      </w:r>
      <w:r w:rsidR="00E66B89">
        <w:t xml:space="preserve"> i </w:t>
      </w:r>
      <w:r w:rsidR="00351CBD">
        <w:t>EFRR zostaną zrealizowane</w:t>
      </w:r>
      <w:r w:rsidR="00E66B89">
        <w:t xml:space="preserve"> i </w:t>
      </w:r>
      <w:r w:rsidR="00351CBD">
        <w:t>rozliczone (problem</w:t>
      </w:r>
      <w:r w:rsidR="00E66B89">
        <w:t xml:space="preserve"> z </w:t>
      </w:r>
      <w:r w:rsidR="00351CBD">
        <w:t>jedną częścią przełoży się bezpośrednio na problemy całego projektu) - ale też brak rozwiązań systemowych wypracowanych</w:t>
      </w:r>
      <w:r w:rsidR="00E66B89">
        <w:t xml:space="preserve"> w </w:t>
      </w:r>
      <w:r w:rsidR="00351CBD">
        <w:t>skali całego kraju (przede wszystkim odpowiedniej funkcjonalności SL2014, która pozwalałaby</w:t>
      </w:r>
      <w:r w:rsidR="00E66B89">
        <w:t xml:space="preserve"> w </w:t>
      </w:r>
      <w:r w:rsidR="00351CBD">
        <w:t>prosty sposób takie projekty wprowadzać do systemu jako jeden projekt). Problemem okazała się również realizacja takich projektów</w:t>
      </w:r>
      <w:r w:rsidR="00E66B89">
        <w:t xml:space="preserve"> w </w:t>
      </w:r>
      <w:r w:rsidR="00351CBD">
        <w:t>trybie konkursowym.</w:t>
      </w:r>
      <w:r w:rsidR="00E66B89">
        <w:t xml:space="preserve"> Z </w:t>
      </w:r>
      <w:r w:rsidR="00351CBD">
        <w:t>drugiej strony, jednym</w:t>
      </w:r>
      <w:r w:rsidR="00E66B89">
        <w:t xml:space="preserve"> z </w:t>
      </w:r>
      <w:r w:rsidR="00351CBD">
        <w:t>najlepiej ocenianych elementów projektów zintegrowanych były wówczas procedury</w:t>
      </w:r>
      <w:r w:rsidR="00E66B89">
        <w:t xml:space="preserve"> i </w:t>
      </w:r>
      <w:r w:rsidR="00351CBD">
        <w:t>rozwiązania</w:t>
      </w:r>
      <w:r w:rsidR="00E66B89">
        <w:t xml:space="preserve"> w </w:t>
      </w:r>
      <w:r w:rsidR="00351CBD">
        <w:t>zakresie zapewniania komplementarności inwestycji – dla porównania relatywnie słabiej oceniono mechanizmy komplementarności między działaniami EFS</w:t>
      </w:r>
      <w:r w:rsidR="00E66B89">
        <w:t xml:space="preserve"> i </w:t>
      </w:r>
      <w:r w:rsidR="00351CBD">
        <w:t>EFRR</w:t>
      </w:r>
      <w:r w:rsidR="00E66B89">
        <w:t xml:space="preserve"> w </w:t>
      </w:r>
      <w:r w:rsidR="00351CBD">
        <w:t>przypadku, gdy projekty realizowane są od siebie niezależnie (w tych przypadkach komplementarność powinna być zapewniona za pomocą harmonogramów naborów, co</w:t>
      </w:r>
      <w:r w:rsidR="00E66B89">
        <w:t xml:space="preserve"> w </w:t>
      </w:r>
      <w:r w:rsidR="00351CBD">
        <w:t>opinii badanych nie zawsze się udaje skoordynować).</w:t>
      </w:r>
    </w:p>
    <w:p w14:paraId="23B3E2D2" w14:textId="77777777" w:rsidR="00601AD9" w:rsidRPr="00D73F69" w:rsidRDefault="00351CBD" w:rsidP="00601AD9">
      <w:pPr>
        <w:rPr>
          <w:rFonts w:cs="Calibri"/>
          <w:szCs w:val="20"/>
        </w:rPr>
      </w:pPr>
      <w:r>
        <w:rPr>
          <w:rFonts w:cs="Calibri"/>
          <w:szCs w:val="20"/>
        </w:rPr>
        <w:t>B</w:t>
      </w:r>
      <w:r w:rsidR="00601AD9" w:rsidRPr="00D73F69">
        <w:rPr>
          <w:rFonts w:cs="Calibri"/>
          <w:szCs w:val="20"/>
        </w:rPr>
        <w:t>rak jednoznacznych wytycznych ze strony IK UP</w:t>
      </w:r>
      <w:r w:rsidR="00E66B89">
        <w:rPr>
          <w:rFonts w:cs="Calibri"/>
          <w:szCs w:val="20"/>
        </w:rPr>
        <w:t xml:space="preserve"> w </w:t>
      </w:r>
      <w:r w:rsidR="00601AD9" w:rsidRPr="00D73F69">
        <w:rPr>
          <w:rFonts w:cs="Calibri"/>
          <w:szCs w:val="20"/>
        </w:rPr>
        <w:t>zakresie systemu wyboru</w:t>
      </w:r>
      <w:r w:rsidR="00E66B89">
        <w:rPr>
          <w:rFonts w:cs="Calibri"/>
          <w:szCs w:val="20"/>
        </w:rPr>
        <w:t xml:space="preserve"> i </w:t>
      </w:r>
      <w:r w:rsidR="00601AD9" w:rsidRPr="00D73F69">
        <w:rPr>
          <w:rFonts w:cs="Calibri"/>
          <w:szCs w:val="20"/>
        </w:rPr>
        <w:t>realizacji projektów zintegrowanych dwufunduszowych spowodował, że poszczególne IZ RPO przyjmowały różne rozwiązania, które okazywały się mieć różną skuteczność. Można też sformułować wniosek, iż nie udało się wypracować optymalnego systemu wdrażania projektów zintegrowanych,</w:t>
      </w:r>
      <w:r w:rsidR="00E66B89">
        <w:rPr>
          <w:rFonts w:cs="Calibri"/>
          <w:szCs w:val="20"/>
        </w:rPr>
        <w:t xml:space="preserve"> a </w:t>
      </w:r>
      <w:r w:rsidR="00601AD9" w:rsidRPr="00D73F69">
        <w:rPr>
          <w:rFonts w:cs="Calibri"/>
          <w:szCs w:val="20"/>
        </w:rPr>
        <w:t>przyjęte rozwiązania</w:t>
      </w:r>
      <w:r w:rsidR="00E66B89">
        <w:rPr>
          <w:rFonts w:cs="Calibri"/>
          <w:szCs w:val="20"/>
        </w:rPr>
        <w:t xml:space="preserve"> w </w:t>
      </w:r>
      <w:r w:rsidR="00601AD9" w:rsidRPr="00D73F69">
        <w:rPr>
          <w:rFonts w:cs="Calibri"/>
          <w:szCs w:val="20"/>
        </w:rPr>
        <w:t>niedostateczny sposób sprzyjają wdrażaniu interwencji</w:t>
      </w:r>
      <w:r w:rsidR="00E66B89">
        <w:rPr>
          <w:rFonts w:cs="Calibri"/>
          <w:szCs w:val="20"/>
        </w:rPr>
        <w:t xml:space="preserve"> w </w:t>
      </w:r>
      <w:r w:rsidR="00601AD9" w:rsidRPr="00D73F69">
        <w:rPr>
          <w:rFonts w:cs="Calibri"/>
          <w:szCs w:val="20"/>
        </w:rPr>
        <w:t>sposób skoordynowany. Przyczyny, poza brakiem dostatecznej koordynacji ze strony IK UP, leżą po stronie niedostosowania systemów wdrażania Programów, niedostosowania sposobu działania instytucji do koordynowania dwufunduszowych projektów (m.in. ich struktur</w:t>
      </w:r>
      <w:r w:rsidR="00E66B89">
        <w:rPr>
          <w:rFonts w:cs="Calibri"/>
          <w:szCs w:val="20"/>
        </w:rPr>
        <w:t xml:space="preserve"> i </w:t>
      </w:r>
      <w:r w:rsidR="00601AD9" w:rsidRPr="00D73F69">
        <w:rPr>
          <w:rFonts w:cs="Calibri"/>
          <w:szCs w:val="20"/>
        </w:rPr>
        <w:t>powiazań),</w:t>
      </w:r>
      <w:r w:rsidR="00E66B89">
        <w:rPr>
          <w:rFonts w:cs="Calibri"/>
          <w:szCs w:val="20"/>
        </w:rPr>
        <w:t xml:space="preserve"> a </w:t>
      </w:r>
      <w:r w:rsidR="00601AD9" w:rsidRPr="00D73F69">
        <w:rPr>
          <w:rFonts w:cs="Calibri"/>
          <w:szCs w:val="20"/>
        </w:rPr>
        <w:t>także braku dostatecznych narzędzi wypracowanych na szczeblu krajowym do koordynowania</w:t>
      </w:r>
      <w:r w:rsidR="00E66B89">
        <w:rPr>
          <w:rFonts w:cs="Calibri"/>
          <w:szCs w:val="20"/>
        </w:rPr>
        <w:t xml:space="preserve"> i </w:t>
      </w:r>
      <w:r w:rsidR="00601AD9" w:rsidRPr="00D73F69">
        <w:rPr>
          <w:rFonts w:cs="Calibri"/>
          <w:szCs w:val="20"/>
        </w:rPr>
        <w:t xml:space="preserve">monitorowania takich projektów. </w:t>
      </w:r>
      <w:r w:rsidR="00F4087F">
        <w:rPr>
          <w:rFonts w:cs="Calibri"/>
          <w:szCs w:val="20"/>
        </w:rPr>
        <w:t>Na podobne trudności wskazywali także uczestnicy panelu ekspertów.</w:t>
      </w:r>
      <w:r w:rsidR="006F306E" w:rsidRPr="00D73F69">
        <w:rPr>
          <w:rFonts w:cs="Calibri"/>
          <w:szCs w:val="20"/>
        </w:rPr>
        <w:t xml:space="preserve"> </w:t>
      </w:r>
      <w:r w:rsidR="00601AD9" w:rsidRPr="00D73F69">
        <w:rPr>
          <w:rFonts w:cs="Calibri"/>
          <w:szCs w:val="20"/>
        </w:rPr>
        <w:t xml:space="preserve">Przyczyny niedostatecznej efektywności wdrażania </w:t>
      </w:r>
      <w:r w:rsidR="00601AD9" w:rsidRPr="00D73F69">
        <w:rPr>
          <w:rFonts w:cs="Calibri"/>
          <w:szCs w:val="20"/>
        </w:rPr>
        <w:lastRenderedPageBreak/>
        <w:t>projektów zintegrowanych są również zewnętrzne</w:t>
      </w:r>
      <w:r w:rsidR="00E66B89">
        <w:rPr>
          <w:rFonts w:cs="Calibri"/>
          <w:szCs w:val="20"/>
        </w:rPr>
        <w:t xml:space="preserve"> i </w:t>
      </w:r>
      <w:r w:rsidR="00601AD9" w:rsidRPr="00D73F69">
        <w:rPr>
          <w:rFonts w:cs="Calibri"/>
          <w:szCs w:val="20"/>
        </w:rPr>
        <w:t>są związane</w:t>
      </w:r>
      <w:r w:rsidR="00E66B89">
        <w:rPr>
          <w:rFonts w:cs="Calibri"/>
          <w:szCs w:val="20"/>
        </w:rPr>
        <w:t xml:space="preserve"> z </w:t>
      </w:r>
      <w:r w:rsidR="00601AD9" w:rsidRPr="00D73F69">
        <w:rPr>
          <w:rFonts w:cs="Calibri"/>
          <w:szCs w:val="20"/>
        </w:rPr>
        <w:t>czynnikami wpływającymi m.in. na opóźnienia</w:t>
      </w:r>
      <w:r w:rsidR="00E66B89">
        <w:rPr>
          <w:rFonts w:cs="Calibri"/>
          <w:szCs w:val="20"/>
        </w:rPr>
        <w:t xml:space="preserve"> w </w:t>
      </w:r>
      <w:r w:rsidR="00601AD9" w:rsidRPr="00D73F69">
        <w:rPr>
          <w:rFonts w:cs="Calibri"/>
          <w:szCs w:val="20"/>
        </w:rPr>
        <w:t>realizacji zależnych od siebie projektów.</w:t>
      </w:r>
    </w:p>
    <w:p w14:paraId="47115CC5" w14:textId="77777777" w:rsidR="004C51C7" w:rsidRPr="008B706B" w:rsidRDefault="00601AD9" w:rsidP="00C10C7F">
      <w:pPr>
        <w:rPr>
          <w:rFonts w:cs="Calibri"/>
          <w:bCs/>
          <w:szCs w:val="20"/>
        </w:rPr>
      </w:pPr>
      <w:r w:rsidRPr="00D73F69">
        <w:rPr>
          <w:rFonts w:cs="Calibri"/>
          <w:b/>
          <w:szCs w:val="20"/>
        </w:rPr>
        <w:t xml:space="preserve">REKOMENDACJA: </w:t>
      </w:r>
      <w:r w:rsidR="00351CBD">
        <w:rPr>
          <w:rFonts w:cs="Calibri"/>
          <w:b/>
          <w:szCs w:val="20"/>
        </w:rPr>
        <w:t>Zaleca się przeanalizowanie zasadności</w:t>
      </w:r>
      <w:r w:rsidR="00E66B89">
        <w:rPr>
          <w:rFonts w:cs="Calibri"/>
          <w:b/>
          <w:szCs w:val="20"/>
        </w:rPr>
        <w:t xml:space="preserve"> i </w:t>
      </w:r>
      <w:r w:rsidR="00351CBD">
        <w:rPr>
          <w:rFonts w:cs="Calibri"/>
          <w:b/>
          <w:szCs w:val="20"/>
        </w:rPr>
        <w:t>możliwości realizacji projektów zintegrowanych</w:t>
      </w:r>
      <w:r w:rsidR="00E66B89">
        <w:rPr>
          <w:rFonts w:cs="Calibri"/>
          <w:b/>
          <w:szCs w:val="20"/>
        </w:rPr>
        <w:t xml:space="preserve"> w </w:t>
      </w:r>
      <w:r w:rsidR="00351CBD">
        <w:rPr>
          <w:rFonts w:cs="Calibri"/>
          <w:b/>
          <w:szCs w:val="20"/>
        </w:rPr>
        <w:t>ramach RPO WZ 2020+. Niezbędne</w:t>
      </w:r>
      <w:r w:rsidR="00E66B89">
        <w:rPr>
          <w:rFonts w:cs="Calibri"/>
          <w:b/>
          <w:szCs w:val="20"/>
        </w:rPr>
        <w:t xml:space="preserve"> w </w:t>
      </w:r>
      <w:r w:rsidR="00351CBD">
        <w:rPr>
          <w:rFonts w:cs="Calibri"/>
          <w:b/>
          <w:szCs w:val="20"/>
        </w:rPr>
        <w:t>tym celu byłoby jednak wypracowanie wspólnych</w:t>
      </w:r>
      <w:r w:rsidR="00E66B89">
        <w:rPr>
          <w:rFonts w:cs="Calibri"/>
          <w:b/>
          <w:szCs w:val="20"/>
        </w:rPr>
        <w:t xml:space="preserve"> i </w:t>
      </w:r>
      <w:r w:rsidR="00841D0E">
        <w:rPr>
          <w:rFonts w:cs="Calibri"/>
          <w:b/>
          <w:szCs w:val="20"/>
        </w:rPr>
        <w:t>optymalnych</w:t>
      </w:r>
      <w:r w:rsidR="00351CBD">
        <w:rPr>
          <w:rFonts w:cs="Calibri"/>
          <w:b/>
          <w:szCs w:val="20"/>
        </w:rPr>
        <w:t xml:space="preserve"> rozwiązań wdrożeniowych</w:t>
      </w:r>
      <w:r w:rsidR="00A51EB4">
        <w:rPr>
          <w:rFonts w:cs="Calibri"/>
          <w:b/>
          <w:szCs w:val="20"/>
        </w:rPr>
        <w:t xml:space="preserve"> oraz systemowych</w:t>
      </w:r>
      <w:r w:rsidR="00351CBD">
        <w:rPr>
          <w:rFonts w:cs="Calibri"/>
          <w:b/>
          <w:szCs w:val="20"/>
        </w:rPr>
        <w:t xml:space="preserve"> </w:t>
      </w:r>
      <w:r w:rsidR="006F306E">
        <w:rPr>
          <w:rFonts w:cs="Calibri"/>
          <w:b/>
          <w:szCs w:val="20"/>
        </w:rPr>
        <w:t>między</w:t>
      </w:r>
      <w:r w:rsidR="00351CBD">
        <w:rPr>
          <w:rFonts w:cs="Calibri"/>
          <w:b/>
          <w:szCs w:val="20"/>
        </w:rPr>
        <w:t xml:space="preserve"> wszystkimi IZ RPO</w:t>
      </w:r>
      <w:r w:rsidR="00E66B89">
        <w:rPr>
          <w:rFonts w:cs="Calibri"/>
          <w:b/>
          <w:szCs w:val="20"/>
        </w:rPr>
        <w:t xml:space="preserve"> w </w:t>
      </w:r>
      <w:r w:rsidR="00351CBD">
        <w:rPr>
          <w:rFonts w:cs="Calibri"/>
          <w:b/>
          <w:szCs w:val="20"/>
        </w:rPr>
        <w:t xml:space="preserve">kraju oraz IK UP. </w:t>
      </w:r>
      <w:r w:rsidR="00F148E5">
        <w:rPr>
          <w:rFonts w:cs="Calibri"/>
          <w:b/>
          <w:szCs w:val="20"/>
        </w:rPr>
        <w:t>Alternatywnym działaniem mogłoby być</w:t>
      </w:r>
      <w:r w:rsidRPr="00D73F69">
        <w:rPr>
          <w:rFonts w:cs="Calibri"/>
          <w:b/>
          <w:szCs w:val="20"/>
        </w:rPr>
        <w:t xml:space="preserve"> </w:t>
      </w:r>
      <w:r w:rsidR="006F306E" w:rsidRPr="00D73F69">
        <w:rPr>
          <w:rFonts w:cs="Calibri"/>
          <w:b/>
          <w:szCs w:val="20"/>
        </w:rPr>
        <w:t>zwiększeni</w:t>
      </w:r>
      <w:r w:rsidR="006F306E">
        <w:rPr>
          <w:rFonts w:cs="Calibri"/>
          <w:b/>
          <w:szCs w:val="20"/>
        </w:rPr>
        <w:t>e</w:t>
      </w:r>
      <w:r w:rsidR="006F306E" w:rsidRPr="00D73F69">
        <w:rPr>
          <w:rFonts w:cs="Calibri"/>
          <w:b/>
          <w:szCs w:val="20"/>
        </w:rPr>
        <w:t xml:space="preserve"> </w:t>
      </w:r>
      <w:r w:rsidRPr="00D73F69">
        <w:rPr>
          <w:rFonts w:cs="Calibri"/>
          <w:b/>
          <w:szCs w:val="20"/>
        </w:rPr>
        <w:t>poziomu cross-financingu</w:t>
      </w:r>
      <w:r w:rsidR="00E66B89">
        <w:rPr>
          <w:rFonts w:cs="Calibri"/>
          <w:b/>
          <w:szCs w:val="20"/>
        </w:rPr>
        <w:t xml:space="preserve"> w </w:t>
      </w:r>
      <w:r w:rsidR="00F148E5">
        <w:rPr>
          <w:rFonts w:cs="Calibri"/>
          <w:b/>
          <w:szCs w:val="20"/>
        </w:rPr>
        <w:t>ramach poszczególnych form interwencji</w:t>
      </w:r>
      <w:r w:rsidRPr="00D73F69">
        <w:rPr>
          <w:rFonts w:cs="Calibri"/>
          <w:szCs w:val="20"/>
        </w:rPr>
        <w:t xml:space="preserve">. </w:t>
      </w:r>
    </w:p>
    <w:p w14:paraId="0020BA2D" w14:textId="77777777" w:rsidR="00B673BB" w:rsidRPr="00801DB4" w:rsidRDefault="00B673BB" w:rsidP="00B673BB">
      <w:pPr>
        <w:pStyle w:val="Nagwek1"/>
      </w:pPr>
      <w:bookmarkStart w:id="390" w:name="_Toc6523755"/>
      <w:r w:rsidRPr="00801DB4">
        <w:t>OCENA SKUTECZNOŚCI ZASTOSOWANYCH FORM INTERWENCJI – DOTACJE, POMOC ZWROTNA LUB INSTRUMENTY FINANSOWE</w:t>
      </w:r>
      <w:bookmarkEnd w:id="390"/>
    </w:p>
    <w:p w14:paraId="02930434" w14:textId="77777777" w:rsidR="00B673BB" w:rsidRPr="00404DA5" w:rsidRDefault="00B673BB" w:rsidP="00B673BB">
      <w:pPr>
        <w:shd w:val="clear" w:color="auto" w:fill="DBE5F1"/>
        <w:rPr>
          <w:rFonts w:cs="Calibri"/>
          <w:szCs w:val="20"/>
        </w:rPr>
      </w:pPr>
      <w:r w:rsidRPr="00404DA5">
        <w:rPr>
          <w:rFonts w:cs="Calibri"/>
          <w:szCs w:val="20"/>
        </w:rPr>
        <w:t>10. Czy zastosowane formy interwencji, tj. dotacje, pomoc zwrotna lub instrumenty finansowe są optymalną formą wsparcia projektów</w:t>
      </w:r>
      <w:r w:rsidR="00E66B89">
        <w:rPr>
          <w:rFonts w:cs="Calibri"/>
          <w:szCs w:val="20"/>
        </w:rPr>
        <w:t xml:space="preserve"> w </w:t>
      </w:r>
      <w:r w:rsidRPr="00404DA5">
        <w:rPr>
          <w:rFonts w:cs="Calibri"/>
          <w:szCs w:val="20"/>
        </w:rPr>
        <w:t>poszczególnych obszarach?</w:t>
      </w:r>
    </w:p>
    <w:p w14:paraId="5D14E6AD" w14:textId="77777777" w:rsidR="00B673BB" w:rsidRDefault="00B673BB" w:rsidP="00B673BB">
      <w:pPr>
        <w:rPr>
          <w:szCs w:val="20"/>
        </w:rPr>
      </w:pPr>
      <w:r w:rsidRPr="0049564C">
        <w:rPr>
          <w:szCs w:val="20"/>
        </w:rPr>
        <w:t xml:space="preserve">Do analizy </w:t>
      </w:r>
      <w:r>
        <w:rPr>
          <w:szCs w:val="20"/>
        </w:rPr>
        <w:t xml:space="preserve">od strony zwrotnych instrumentów finansowych </w:t>
      </w:r>
      <w:r w:rsidRPr="0049564C">
        <w:rPr>
          <w:szCs w:val="20"/>
        </w:rPr>
        <w:t xml:space="preserve">zakwalifikowano </w:t>
      </w:r>
      <w:r>
        <w:rPr>
          <w:szCs w:val="20"/>
        </w:rPr>
        <w:t>D</w:t>
      </w:r>
      <w:r w:rsidRPr="0049564C">
        <w:rPr>
          <w:szCs w:val="20"/>
        </w:rPr>
        <w:t>ziałania: 1.9, 1.17 oraz 6.4, które są elementami projektu zintegrowanego „Wspieranie przedsiębiorczości poprzez Fundusz Funduszy Pomorza Zachodniego JEREMIE+”.</w:t>
      </w:r>
      <w:r>
        <w:rPr>
          <w:szCs w:val="20"/>
        </w:rPr>
        <w:t xml:space="preserve"> Dotacje, tj. bezzwrotne instrumenty finansowe zostały zidentyfikowane w następujących działaniach: 1.1, 1.2, 1.4, 1.5, 1.6, 1.7, 1.8, 1.15, 1.16 oraz 6.5.</w:t>
      </w:r>
      <w:r w:rsidR="00E66B89">
        <w:rPr>
          <w:szCs w:val="20"/>
        </w:rPr>
        <w:t xml:space="preserve"> W </w:t>
      </w:r>
      <w:r>
        <w:rPr>
          <w:szCs w:val="20"/>
        </w:rPr>
        <w:t>ramach EFS instrumenty finansowe bezzwrotne zostały również zidentyfikowane</w:t>
      </w:r>
      <w:r w:rsidR="00E66B89">
        <w:rPr>
          <w:szCs w:val="20"/>
        </w:rPr>
        <w:t xml:space="preserve"> w </w:t>
      </w:r>
      <w:r>
        <w:rPr>
          <w:szCs w:val="20"/>
        </w:rPr>
        <w:t>Działaniu 7.4, ale</w:t>
      </w:r>
      <w:r w:rsidR="00E66B89">
        <w:rPr>
          <w:szCs w:val="20"/>
        </w:rPr>
        <w:t xml:space="preserve"> z </w:t>
      </w:r>
      <w:r>
        <w:rPr>
          <w:szCs w:val="20"/>
        </w:rPr>
        <w:t>powodu brak wspólnego mianownika, tj. podstawy do analizy porównawczej</w:t>
      </w:r>
      <w:r w:rsidR="00E66B89">
        <w:rPr>
          <w:szCs w:val="20"/>
        </w:rPr>
        <w:t xml:space="preserve"> z </w:t>
      </w:r>
      <w:r>
        <w:rPr>
          <w:szCs w:val="20"/>
        </w:rPr>
        <w:t>Działaniami 6.4</w:t>
      </w:r>
      <w:r w:rsidR="00E66B89">
        <w:rPr>
          <w:szCs w:val="20"/>
        </w:rPr>
        <w:t xml:space="preserve"> i </w:t>
      </w:r>
      <w:r>
        <w:rPr>
          <w:szCs w:val="20"/>
        </w:rPr>
        <w:t>6.5 nie zostało ono uwzględnione w przeprowadzonej analizie.</w:t>
      </w:r>
      <w:r w:rsidR="00E66B89">
        <w:rPr>
          <w:szCs w:val="20"/>
        </w:rPr>
        <w:t xml:space="preserve"> Z </w:t>
      </w:r>
      <w:r>
        <w:rPr>
          <w:szCs w:val="20"/>
        </w:rPr>
        <w:t>analogicznych przyczyn nie brano pod uwagę działania 1.3 dla EFFR.</w:t>
      </w:r>
    </w:p>
    <w:p w14:paraId="05E27460" w14:textId="77777777" w:rsidR="00B673BB" w:rsidRDefault="00B673BB" w:rsidP="00B673BB">
      <w:pPr>
        <w:rPr>
          <w:szCs w:val="20"/>
        </w:rPr>
      </w:pPr>
      <w:r>
        <w:rPr>
          <w:szCs w:val="20"/>
        </w:rPr>
        <w:t>Już na wstępie analizy należy podkreślić, że bezpośrednie porównywanie zidentyfikowanych Działań nie jest możliwe, ponieważ mają one heterogeniczne struktury, założenia, cele</w:t>
      </w:r>
      <w:r w:rsidR="00E66B89">
        <w:rPr>
          <w:szCs w:val="20"/>
        </w:rPr>
        <w:t xml:space="preserve"> i </w:t>
      </w:r>
      <w:r>
        <w:rPr>
          <w:szCs w:val="20"/>
        </w:rPr>
        <w:t>wskaźniki.</w:t>
      </w:r>
      <w:r w:rsidR="00E66B89">
        <w:rPr>
          <w:szCs w:val="20"/>
        </w:rPr>
        <w:t xml:space="preserve"> W </w:t>
      </w:r>
      <w:r>
        <w:rPr>
          <w:szCs w:val="20"/>
        </w:rPr>
        <w:t>związku</w:t>
      </w:r>
      <w:r w:rsidR="00E66B89">
        <w:rPr>
          <w:szCs w:val="20"/>
        </w:rPr>
        <w:t xml:space="preserve"> z </w:t>
      </w:r>
      <w:r>
        <w:rPr>
          <w:szCs w:val="20"/>
        </w:rPr>
        <w:t>powyższym, podjęto następujące kroki.</w:t>
      </w:r>
      <w:r w:rsidR="00E66B89">
        <w:rPr>
          <w:szCs w:val="20"/>
        </w:rPr>
        <w:t xml:space="preserve"> W </w:t>
      </w:r>
      <w:r>
        <w:rPr>
          <w:szCs w:val="20"/>
        </w:rPr>
        <w:t>celu osiągnięcia stopnia porównywalności, tj. wspólnego mianownika, wymienione powyżej Działania wdrażane</w:t>
      </w:r>
      <w:r w:rsidR="00E66B89">
        <w:rPr>
          <w:szCs w:val="20"/>
        </w:rPr>
        <w:t xml:space="preserve"> w </w:t>
      </w:r>
      <w:r>
        <w:rPr>
          <w:szCs w:val="20"/>
        </w:rPr>
        <w:t>ramach EFFR podzielono (na podstawie ich celów szczegółowych) na dwie grupy: Działania związane</w:t>
      </w:r>
      <w:r w:rsidR="00E66B89">
        <w:rPr>
          <w:szCs w:val="20"/>
        </w:rPr>
        <w:t xml:space="preserve"> z </w:t>
      </w:r>
      <w:r>
        <w:rPr>
          <w:szCs w:val="20"/>
        </w:rPr>
        <w:t>promowaniem innowacyjności (np. 1.1, 1.9) oraz Działania wspierające rozwój przedsiębiorstw, gdzie innowacyjność nie jest głównym elementem interwencji (np. 1.6, 1.17).</w:t>
      </w:r>
    </w:p>
    <w:p w14:paraId="5B972BE3" w14:textId="77777777" w:rsidR="00B673BB" w:rsidRDefault="00B673BB" w:rsidP="00B673BB">
      <w:pPr>
        <w:rPr>
          <w:szCs w:val="20"/>
        </w:rPr>
      </w:pPr>
      <w:r>
        <w:rPr>
          <w:szCs w:val="20"/>
        </w:rPr>
        <w:t>Odnośnie do EFS, obydwa analizowane Działania to kategorie interwencji związane</w:t>
      </w:r>
      <w:r w:rsidR="00E66B89">
        <w:rPr>
          <w:szCs w:val="20"/>
        </w:rPr>
        <w:t xml:space="preserve"> z </w:t>
      </w:r>
      <w:r>
        <w:rPr>
          <w:szCs w:val="20"/>
        </w:rPr>
        <w:t>zapewnieniem d</w:t>
      </w:r>
      <w:r w:rsidRPr="00824A51">
        <w:rPr>
          <w:szCs w:val="20"/>
        </w:rPr>
        <w:t>ostęp</w:t>
      </w:r>
      <w:r>
        <w:rPr>
          <w:szCs w:val="20"/>
        </w:rPr>
        <w:t>u</w:t>
      </w:r>
      <w:r w:rsidRPr="00824A51">
        <w:rPr>
          <w:szCs w:val="20"/>
        </w:rPr>
        <w:t xml:space="preserve"> do zatrudnienia dla osób poszukujących pracy</w:t>
      </w:r>
      <w:r>
        <w:rPr>
          <w:szCs w:val="20"/>
        </w:rPr>
        <w:t xml:space="preserve">, </w:t>
      </w:r>
      <w:r w:rsidRPr="00824A51">
        <w:rPr>
          <w:szCs w:val="20"/>
        </w:rPr>
        <w:t>osób biernych zawodowo, bezrobotnych</w:t>
      </w:r>
      <w:r w:rsidR="00E66B89">
        <w:rPr>
          <w:szCs w:val="20"/>
        </w:rPr>
        <w:t xml:space="preserve"> i </w:t>
      </w:r>
      <w:r w:rsidRPr="00824A51">
        <w:rPr>
          <w:szCs w:val="20"/>
        </w:rPr>
        <w:t>oddalonych od rynku pracy</w:t>
      </w:r>
      <w:r>
        <w:rPr>
          <w:szCs w:val="20"/>
        </w:rPr>
        <w:t>,</w:t>
      </w:r>
      <w:r w:rsidRPr="00824A51">
        <w:rPr>
          <w:szCs w:val="20"/>
        </w:rPr>
        <w:t xml:space="preserve"> </w:t>
      </w:r>
      <w:r>
        <w:rPr>
          <w:szCs w:val="20"/>
        </w:rPr>
        <w:t>oraz</w:t>
      </w:r>
      <w:r w:rsidR="00E66B89">
        <w:rPr>
          <w:szCs w:val="20"/>
        </w:rPr>
        <w:t xml:space="preserve"> z </w:t>
      </w:r>
      <w:r>
        <w:rPr>
          <w:szCs w:val="20"/>
        </w:rPr>
        <w:t>rozwojem p</w:t>
      </w:r>
      <w:r w:rsidRPr="00824A51">
        <w:rPr>
          <w:szCs w:val="20"/>
        </w:rPr>
        <w:t>rac</w:t>
      </w:r>
      <w:r>
        <w:rPr>
          <w:szCs w:val="20"/>
        </w:rPr>
        <w:t>y</w:t>
      </w:r>
      <w:r w:rsidRPr="00824A51">
        <w:rPr>
          <w:szCs w:val="20"/>
        </w:rPr>
        <w:t xml:space="preserve"> na własny rachunek, przedsiębiorczoś</w:t>
      </w:r>
      <w:r>
        <w:rPr>
          <w:szCs w:val="20"/>
        </w:rPr>
        <w:t>ci</w:t>
      </w:r>
      <w:r w:rsidR="00E66B89">
        <w:rPr>
          <w:szCs w:val="20"/>
        </w:rPr>
        <w:t xml:space="preserve"> i </w:t>
      </w:r>
      <w:r w:rsidRPr="00824A51">
        <w:rPr>
          <w:szCs w:val="20"/>
        </w:rPr>
        <w:t>tworzeni</w:t>
      </w:r>
      <w:r>
        <w:rPr>
          <w:szCs w:val="20"/>
        </w:rPr>
        <w:t>a</w:t>
      </w:r>
      <w:r w:rsidRPr="00824A51">
        <w:rPr>
          <w:szCs w:val="20"/>
        </w:rPr>
        <w:t xml:space="preserve"> przedsiębiorstw</w:t>
      </w:r>
      <w:r>
        <w:rPr>
          <w:szCs w:val="20"/>
        </w:rPr>
        <w:t xml:space="preserve"> służące </w:t>
      </w:r>
      <w:r w:rsidRPr="00CE6B44">
        <w:rPr>
          <w:szCs w:val="20"/>
        </w:rPr>
        <w:t>wsparci</w:t>
      </w:r>
      <w:r>
        <w:rPr>
          <w:szCs w:val="20"/>
        </w:rPr>
        <w:t>u</w:t>
      </w:r>
      <w:r w:rsidRPr="00CE6B44">
        <w:rPr>
          <w:szCs w:val="20"/>
        </w:rPr>
        <w:t xml:space="preserve"> osób planujących rozpoczęcie własnej działalności gospodarczej, co </w:t>
      </w:r>
      <w:r>
        <w:rPr>
          <w:szCs w:val="20"/>
        </w:rPr>
        <w:t xml:space="preserve">ma </w:t>
      </w:r>
      <w:r w:rsidRPr="00CE6B44">
        <w:rPr>
          <w:szCs w:val="20"/>
        </w:rPr>
        <w:t>przyczyni</w:t>
      </w:r>
      <w:r>
        <w:rPr>
          <w:szCs w:val="20"/>
        </w:rPr>
        <w:t>ać</w:t>
      </w:r>
      <w:r w:rsidRPr="00CE6B44">
        <w:rPr>
          <w:szCs w:val="20"/>
        </w:rPr>
        <w:t xml:space="preserve"> się do wzrostu zatrudnienia</w:t>
      </w:r>
      <w:r w:rsidR="00E66B89">
        <w:rPr>
          <w:szCs w:val="20"/>
        </w:rPr>
        <w:t xml:space="preserve"> w </w:t>
      </w:r>
      <w:r w:rsidRPr="00CE6B44">
        <w:rPr>
          <w:szCs w:val="20"/>
        </w:rPr>
        <w:t>regionie</w:t>
      </w:r>
      <w:r>
        <w:rPr>
          <w:szCs w:val="20"/>
        </w:rPr>
        <w:t xml:space="preserve"> (Działanie 6.4); jak również </w:t>
      </w:r>
      <w:r>
        <w:rPr>
          <w:szCs w:val="20"/>
        </w:rPr>
        <w:noBreakHyphen/>
        <w:t xml:space="preserve"> przewidujące zastosowanie </w:t>
      </w:r>
      <w:r w:rsidRPr="00A632AA">
        <w:rPr>
          <w:szCs w:val="20"/>
        </w:rPr>
        <w:t>wachlarz</w:t>
      </w:r>
      <w:r w:rsidR="00703AED">
        <w:rPr>
          <w:szCs w:val="20"/>
        </w:rPr>
        <w:t>a</w:t>
      </w:r>
      <w:r w:rsidRPr="00A632AA">
        <w:rPr>
          <w:szCs w:val="20"/>
        </w:rPr>
        <w:t xml:space="preserve"> </w:t>
      </w:r>
      <w:r w:rsidR="00703AED" w:rsidRPr="00A632AA">
        <w:rPr>
          <w:szCs w:val="20"/>
        </w:rPr>
        <w:t xml:space="preserve"> </w:t>
      </w:r>
      <w:r>
        <w:rPr>
          <w:szCs w:val="20"/>
        </w:rPr>
        <w:t>usług</w:t>
      </w:r>
      <w:r w:rsidR="00E66B89">
        <w:rPr>
          <w:szCs w:val="20"/>
        </w:rPr>
        <w:t xml:space="preserve"> i </w:t>
      </w:r>
      <w:r>
        <w:rPr>
          <w:szCs w:val="20"/>
        </w:rPr>
        <w:t>instrumentów</w:t>
      </w:r>
      <w:r w:rsidRPr="00A632AA">
        <w:rPr>
          <w:szCs w:val="20"/>
        </w:rPr>
        <w:t xml:space="preserve">, </w:t>
      </w:r>
      <w:r>
        <w:rPr>
          <w:szCs w:val="20"/>
        </w:rPr>
        <w:t>służących</w:t>
      </w:r>
      <w:r w:rsidRPr="00A632AA">
        <w:rPr>
          <w:szCs w:val="20"/>
        </w:rPr>
        <w:t xml:space="preserve"> zmniejszeni</w:t>
      </w:r>
      <w:r>
        <w:rPr>
          <w:szCs w:val="20"/>
        </w:rPr>
        <w:t>u</w:t>
      </w:r>
      <w:r w:rsidRPr="00A632AA">
        <w:rPr>
          <w:szCs w:val="20"/>
        </w:rPr>
        <w:t xml:space="preserve"> bezrobocia</w:t>
      </w:r>
      <w:r w:rsidR="00E66B89">
        <w:rPr>
          <w:szCs w:val="20"/>
        </w:rPr>
        <w:t xml:space="preserve"> w </w:t>
      </w:r>
      <w:r w:rsidRPr="00A632AA">
        <w:rPr>
          <w:szCs w:val="20"/>
        </w:rPr>
        <w:t>województwie</w:t>
      </w:r>
      <w:r>
        <w:rPr>
          <w:szCs w:val="20"/>
        </w:rPr>
        <w:t>,</w:t>
      </w:r>
      <w:r w:rsidR="00E66B89">
        <w:rPr>
          <w:szCs w:val="20"/>
        </w:rPr>
        <w:t xml:space="preserve"> w </w:t>
      </w:r>
      <w:r>
        <w:rPr>
          <w:szCs w:val="20"/>
        </w:rPr>
        <w:t xml:space="preserve">tym właśnie poprzez </w:t>
      </w:r>
      <w:r w:rsidRPr="00A632AA">
        <w:rPr>
          <w:szCs w:val="20"/>
        </w:rPr>
        <w:t>wsparcie rozpoczęci</w:t>
      </w:r>
      <w:r>
        <w:rPr>
          <w:szCs w:val="20"/>
        </w:rPr>
        <w:t>a</w:t>
      </w:r>
      <w:r w:rsidRPr="00A632AA">
        <w:rPr>
          <w:szCs w:val="20"/>
        </w:rPr>
        <w:t xml:space="preserve"> działalności gospodarczej </w:t>
      </w:r>
      <w:r>
        <w:rPr>
          <w:szCs w:val="20"/>
        </w:rPr>
        <w:t xml:space="preserve">(Działanie 6.5), </w:t>
      </w:r>
      <w:r w:rsidRPr="00A632AA">
        <w:rPr>
          <w:szCs w:val="20"/>
        </w:rPr>
        <w:t>udzielane wyłącznie osobom znajdującym się</w:t>
      </w:r>
      <w:r w:rsidR="00E66B89">
        <w:rPr>
          <w:szCs w:val="20"/>
        </w:rPr>
        <w:t xml:space="preserve"> w </w:t>
      </w:r>
      <w:r w:rsidRPr="00A632AA">
        <w:rPr>
          <w:szCs w:val="20"/>
        </w:rPr>
        <w:t>najtrudniejszej sytuacji na rynku pracy przez powiatowe urzędy pracy</w:t>
      </w:r>
      <w:r>
        <w:rPr>
          <w:szCs w:val="20"/>
        </w:rPr>
        <w:t>.</w:t>
      </w:r>
    </w:p>
    <w:p w14:paraId="517B9954" w14:textId="77777777" w:rsidR="00B673BB" w:rsidRPr="005B6336" w:rsidRDefault="00B673BB" w:rsidP="00B673BB">
      <w:pPr>
        <w:rPr>
          <w:szCs w:val="20"/>
        </w:rPr>
      </w:pPr>
      <w:r>
        <w:rPr>
          <w:szCs w:val="20"/>
        </w:rPr>
        <w:t>W celu zwiększenia stopnia porównywalności, Działania</w:t>
      </w:r>
      <w:r w:rsidR="00E66B89">
        <w:rPr>
          <w:szCs w:val="20"/>
        </w:rPr>
        <w:t xml:space="preserve"> w </w:t>
      </w:r>
      <w:r>
        <w:rPr>
          <w:szCs w:val="20"/>
        </w:rPr>
        <w:t>ramach EFFR będą porównywane</w:t>
      </w:r>
      <w:r w:rsidR="00E66B89">
        <w:rPr>
          <w:szCs w:val="20"/>
        </w:rPr>
        <w:t xml:space="preserve"> z </w:t>
      </w:r>
      <w:r>
        <w:rPr>
          <w:szCs w:val="20"/>
        </w:rPr>
        <w:t xml:space="preserve">perspektywy wskaźnika </w:t>
      </w:r>
      <w:r>
        <w:rPr>
          <w:i/>
          <w:szCs w:val="20"/>
        </w:rPr>
        <w:t>Liczba przedsiębiorstw otrzymujących dotacje</w:t>
      </w:r>
      <w:r>
        <w:rPr>
          <w:szCs w:val="20"/>
        </w:rPr>
        <w:t>. Jest to wspólny element, który występuje</w:t>
      </w:r>
      <w:r w:rsidR="00E66B89">
        <w:rPr>
          <w:szCs w:val="20"/>
        </w:rPr>
        <w:t xml:space="preserve"> w </w:t>
      </w:r>
      <w:r>
        <w:rPr>
          <w:szCs w:val="20"/>
        </w:rPr>
        <w:t>przypadku każdego</w:t>
      </w:r>
      <w:r w:rsidR="00E66B89">
        <w:rPr>
          <w:szCs w:val="20"/>
        </w:rPr>
        <w:t xml:space="preserve"> z </w:t>
      </w:r>
      <w:r>
        <w:rPr>
          <w:szCs w:val="20"/>
        </w:rPr>
        <w:t>analizowanych działań, zatem jest to bardzo dobry wspólny mianownik. Dla Działań analizowanych</w:t>
      </w:r>
      <w:r w:rsidR="00E66B89">
        <w:rPr>
          <w:szCs w:val="20"/>
        </w:rPr>
        <w:t xml:space="preserve"> w </w:t>
      </w:r>
      <w:r>
        <w:rPr>
          <w:szCs w:val="20"/>
        </w:rPr>
        <w:t xml:space="preserve">ramach EFS wspólnym miernikiem jest wskaźnik </w:t>
      </w:r>
      <w:r w:rsidRPr="00A632AA">
        <w:rPr>
          <w:i/>
          <w:szCs w:val="20"/>
        </w:rPr>
        <w:t>Liczba utworzonych miejsc pracy</w:t>
      </w:r>
      <w:r w:rsidR="00E66B89">
        <w:rPr>
          <w:i/>
          <w:szCs w:val="20"/>
        </w:rPr>
        <w:t xml:space="preserve"> w </w:t>
      </w:r>
      <w:r w:rsidRPr="00A632AA">
        <w:rPr>
          <w:i/>
          <w:szCs w:val="20"/>
        </w:rPr>
        <w:t>ramach udzielonych</w:t>
      </w:r>
      <w:r w:rsidR="00E66B89">
        <w:rPr>
          <w:i/>
          <w:szCs w:val="20"/>
        </w:rPr>
        <w:t xml:space="preserve"> z </w:t>
      </w:r>
      <w:r w:rsidRPr="00A632AA">
        <w:rPr>
          <w:i/>
          <w:szCs w:val="20"/>
        </w:rPr>
        <w:t>EFS środków na podjęcie działalności gospodarczej</w:t>
      </w:r>
      <w:r>
        <w:rPr>
          <w:szCs w:val="20"/>
        </w:rPr>
        <w:t>. Tu należy zaznaczyć, że dla Działania 6.4 na podstawie wniosków</w:t>
      </w:r>
      <w:r w:rsidR="00E66B89">
        <w:rPr>
          <w:szCs w:val="20"/>
        </w:rPr>
        <w:t xml:space="preserve"> o </w:t>
      </w:r>
      <w:r>
        <w:rPr>
          <w:szCs w:val="20"/>
        </w:rPr>
        <w:t xml:space="preserve">płatność wartość tego wskaźnika w okresie wdrażania Programu nie była osiągana, jednak zastosowanie tego wskaźnika jest jedynym możliwym rozwiązaniem pozwalającym na dokonanie porównania. </w:t>
      </w:r>
      <w:r w:rsidRPr="00266E09">
        <w:rPr>
          <w:szCs w:val="20"/>
        </w:rPr>
        <w:t xml:space="preserve">Dodatkowo należy zwrócić uwagę na </w:t>
      </w:r>
      <w:r w:rsidRPr="00266E09">
        <w:rPr>
          <w:szCs w:val="20"/>
        </w:rPr>
        <w:lastRenderedPageBreak/>
        <w:t>fakt, że na chwilę wykonywania analizy nie ma danych</w:t>
      </w:r>
      <w:r w:rsidR="00E66B89">
        <w:rPr>
          <w:szCs w:val="20"/>
        </w:rPr>
        <w:t xml:space="preserve"> o </w:t>
      </w:r>
      <w:r>
        <w:rPr>
          <w:szCs w:val="20"/>
        </w:rPr>
        <w:t xml:space="preserve">wskaźnikach </w:t>
      </w:r>
      <w:r w:rsidRPr="00266E09">
        <w:rPr>
          <w:szCs w:val="20"/>
        </w:rPr>
        <w:t>dla Działań, dla których zakończono już konkursy (np. Działanie 1.2, 1.16)</w:t>
      </w:r>
      <w:r>
        <w:rPr>
          <w:szCs w:val="20"/>
        </w:rPr>
        <w:t xml:space="preserve"> oraz, że</w:t>
      </w:r>
      <w:r w:rsidR="00E66B89">
        <w:rPr>
          <w:szCs w:val="20"/>
        </w:rPr>
        <w:t xml:space="preserve"> w </w:t>
      </w:r>
      <w:r>
        <w:rPr>
          <w:szCs w:val="20"/>
        </w:rPr>
        <w:t>analizie występują nabory pozakonkursowe (Działanie 1.17). Wymienione</w:t>
      </w:r>
      <w:r w:rsidR="00E66B89">
        <w:rPr>
          <w:szCs w:val="20"/>
        </w:rPr>
        <w:t xml:space="preserve"> w </w:t>
      </w:r>
      <w:r>
        <w:rPr>
          <w:szCs w:val="20"/>
        </w:rPr>
        <w:t xml:space="preserve">tym akapicie elementy należy zatem traktować jako założenia konieczne do wykonania badania oraz ograniczenia przeprowadzonej analizy. </w:t>
      </w:r>
    </w:p>
    <w:p w14:paraId="0DB5FAA5" w14:textId="77777777" w:rsidR="00B673BB" w:rsidRDefault="00B673BB" w:rsidP="00024F00">
      <w:pPr>
        <w:pStyle w:val="Legenda"/>
        <w:spacing w:after="0"/>
      </w:pPr>
      <w:bookmarkStart w:id="391" w:name="_Toc8824285"/>
      <w:r>
        <w:t xml:space="preserve">Tabela </w:t>
      </w:r>
      <w:r w:rsidR="006E34DC">
        <w:fldChar w:fldCharType="begin"/>
      </w:r>
      <w:r w:rsidR="006E34DC">
        <w:instrText xml:space="preserve"> SEQ Tabela \* ARABIC </w:instrText>
      </w:r>
      <w:r w:rsidR="006E34DC">
        <w:fldChar w:fldCharType="separate"/>
      </w:r>
      <w:r w:rsidR="00763345">
        <w:rPr>
          <w:noProof/>
        </w:rPr>
        <w:t>174</w:t>
      </w:r>
      <w:r w:rsidR="006E34DC">
        <w:fldChar w:fldCharType="end"/>
      </w:r>
      <w:r>
        <w:t>. Podział działań do analizy instrumentów finansowych</w:t>
      </w:r>
      <w:bookmarkEnd w:id="3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673BB" w:rsidRPr="005E01F0" w14:paraId="254AA162" w14:textId="77777777" w:rsidTr="00026C04">
        <w:trPr>
          <w:trHeight w:val="283"/>
          <w:tblHeader/>
        </w:trPr>
        <w:tc>
          <w:tcPr>
            <w:tcW w:w="4531" w:type="dxa"/>
            <w:shd w:val="clear" w:color="auto" w:fill="DEEAF6" w:themeFill="accent1" w:themeFillTint="33"/>
          </w:tcPr>
          <w:p w14:paraId="195D383A" w14:textId="77777777" w:rsidR="00B673BB" w:rsidRPr="005F04FC" w:rsidRDefault="00B673BB" w:rsidP="00B673BB">
            <w:pPr>
              <w:rPr>
                <w:sz w:val="18"/>
                <w:szCs w:val="20"/>
              </w:rPr>
            </w:pPr>
            <w:r w:rsidRPr="005F04FC">
              <w:rPr>
                <w:sz w:val="18"/>
                <w:szCs w:val="20"/>
              </w:rPr>
              <w:t>Działania związane</w:t>
            </w:r>
            <w:r w:rsidR="00E66B89" w:rsidRPr="005F04FC">
              <w:rPr>
                <w:sz w:val="18"/>
                <w:szCs w:val="20"/>
              </w:rPr>
              <w:t xml:space="preserve"> z </w:t>
            </w:r>
            <w:r w:rsidRPr="005F04FC">
              <w:rPr>
                <w:sz w:val="18"/>
                <w:szCs w:val="20"/>
              </w:rPr>
              <w:t>promowaniem innowacyjności</w:t>
            </w:r>
          </w:p>
        </w:tc>
        <w:tc>
          <w:tcPr>
            <w:tcW w:w="4531" w:type="dxa"/>
            <w:shd w:val="clear" w:color="auto" w:fill="DEEAF6" w:themeFill="accent1" w:themeFillTint="33"/>
          </w:tcPr>
          <w:p w14:paraId="2842C9F6" w14:textId="77777777" w:rsidR="00B673BB" w:rsidRPr="005F04FC" w:rsidRDefault="00B673BB" w:rsidP="00B673BB">
            <w:pPr>
              <w:rPr>
                <w:sz w:val="18"/>
                <w:szCs w:val="20"/>
              </w:rPr>
            </w:pPr>
            <w:r w:rsidRPr="005F04FC">
              <w:rPr>
                <w:sz w:val="18"/>
                <w:szCs w:val="20"/>
              </w:rPr>
              <w:t>Działanie wspierające rozwój przedsiębiorstw, gdzie innowacyjność nie jest głównym elementem inicjatywy</w:t>
            </w:r>
          </w:p>
        </w:tc>
      </w:tr>
      <w:tr w:rsidR="00B673BB" w:rsidRPr="005E01F0" w14:paraId="08885EA2" w14:textId="77777777" w:rsidTr="005F04FC">
        <w:trPr>
          <w:trHeight w:val="283"/>
        </w:trPr>
        <w:tc>
          <w:tcPr>
            <w:tcW w:w="9062" w:type="dxa"/>
            <w:gridSpan w:val="2"/>
            <w:shd w:val="clear" w:color="auto" w:fill="auto"/>
          </w:tcPr>
          <w:p w14:paraId="3B1DFD3A" w14:textId="77777777" w:rsidR="00B673BB" w:rsidRPr="005F04FC" w:rsidRDefault="00B673BB" w:rsidP="005F04FC">
            <w:pPr>
              <w:jc w:val="center"/>
              <w:rPr>
                <w:sz w:val="18"/>
                <w:szCs w:val="20"/>
              </w:rPr>
            </w:pPr>
            <w:r w:rsidRPr="005F04FC">
              <w:rPr>
                <w:sz w:val="18"/>
                <w:szCs w:val="20"/>
              </w:rPr>
              <w:t>Instrumenty finansowe bezzwrotne (dotacje)</w:t>
            </w:r>
          </w:p>
        </w:tc>
      </w:tr>
      <w:tr w:rsidR="00B673BB" w:rsidRPr="005E01F0" w14:paraId="67C78DA3" w14:textId="77777777" w:rsidTr="005F04FC">
        <w:trPr>
          <w:trHeight w:val="283"/>
        </w:trPr>
        <w:tc>
          <w:tcPr>
            <w:tcW w:w="4531" w:type="dxa"/>
            <w:shd w:val="clear" w:color="auto" w:fill="auto"/>
          </w:tcPr>
          <w:p w14:paraId="72A3280B" w14:textId="77777777" w:rsidR="00B673BB" w:rsidRPr="005F04FC" w:rsidRDefault="00B673BB" w:rsidP="00B673BB">
            <w:pPr>
              <w:rPr>
                <w:sz w:val="18"/>
                <w:szCs w:val="20"/>
              </w:rPr>
            </w:pPr>
            <w:r w:rsidRPr="005F04FC">
              <w:rPr>
                <w:sz w:val="18"/>
                <w:szCs w:val="20"/>
              </w:rPr>
              <w:t>1.1, 1,2, 1,4, 1,5, 1,7, 1,8</w:t>
            </w:r>
          </w:p>
        </w:tc>
        <w:tc>
          <w:tcPr>
            <w:tcW w:w="4531" w:type="dxa"/>
            <w:shd w:val="clear" w:color="auto" w:fill="auto"/>
          </w:tcPr>
          <w:p w14:paraId="78441ADD" w14:textId="77777777" w:rsidR="00B673BB" w:rsidRPr="005F04FC" w:rsidRDefault="00B673BB" w:rsidP="00B673BB">
            <w:pPr>
              <w:rPr>
                <w:sz w:val="18"/>
                <w:szCs w:val="20"/>
              </w:rPr>
            </w:pPr>
            <w:r w:rsidRPr="005F04FC">
              <w:rPr>
                <w:sz w:val="18"/>
                <w:szCs w:val="20"/>
              </w:rPr>
              <w:t>1.6, 1.15, 1.16</w:t>
            </w:r>
          </w:p>
        </w:tc>
      </w:tr>
      <w:tr w:rsidR="00B673BB" w:rsidRPr="005E01F0" w14:paraId="0703700C" w14:textId="77777777" w:rsidTr="005F04FC">
        <w:trPr>
          <w:trHeight w:val="283"/>
        </w:trPr>
        <w:tc>
          <w:tcPr>
            <w:tcW w:w="9062" w:type="dxa"/>
            <w:gridSpan w:val="2"/>
            <w:shd w:val="clear" w:color="auto" w:fill="auto"/>
          </w:tcPr>
          <w:p w14:paraId="6D91A212" w14:textId="77777777" w:rsidR="00B673BB" w:rsidRPr="005F04FC" w:rsidRDefault="00B673BB" w:rsidP="005F04FC">
            <w:pPr>
              <w:jc w:val="center"/>
              <w:rPr>
                <w:sz w:val="18"/>
                <w:szCs w:val="20"/>
              </w:rPr>
            </w:pPr>
            <w:r w:rsidRPr="005F04FC">
              <w:rPr>
                <w:sz w:val="18"/>
                <w:szCs w:val="20"/>
              </w:rPr>
              <w:t>Instrumenty finansowe zwrotne (pożyczki)</w:t>
            </w:r>
          </w:p>
        </w:tc>
      </w:tr>
      <w:tr w:rsidR="00B673BB" w:rsidRPr="005E01F0" w14:paraId="38A16DA7" w14:textId="77777777" w:rsidTr="005F04FC">
        <w:trPr>
          <w:trHeight w:val="283"/>
        </w:trPr>
        <w:tc>
          <w:tcPr>
            <w:tcW w:w="4531" w:type="dxa"/>
            <w:shd w:val="clear" w:color="auto" w:fill="auto"/>
          </w:tcPr>
          <w:p w14:paraId="29EE383B" w14:textId="77777777" w:rsidR="00B673BB" w:rsidRPr="005F04FC" w:rsidRDefault="00B673BB" w:rsidP="00B673BB">
            <w:pPr>
              <w:rPr>
                <w:sz w:val="18"/>
                <w:szCs w:val="20"/>
              </w:rPr>
            </w:pPr>
            <w:r w:rsidRPr="005F04FC">
              <w:rPr>
                <w:sz w:val="18"/>
                <w:szCs w:val="20"/>
              </w:rPr>
              <w:t>1.9</w:t>
            </w:r>
          </w:p>
        </w:tc>
        <w:tc>
          <w:tcPr>
            <w:tcW w:w="4531" w:type="dxa"/>
            <w:shd w:val="clear" w:color="auto" w:fill="auto"/>
          </w:tcPr>
          <w:p w14:paraId="32EFE7EE" w14:textId="77777777" w:rsidR="00B673BB" w:rsidRPr="005F04FC" w:rsidRDefault="00B673BB" w:rsidP="00B673BB">
            <w:pPr>
              <w:rPr>
                <w:sz w:val="18"/>
                <w:szCs w:val="20"/>
              </w:rPr>
            </w:pPr>
            <w:r w:rsidRPr="005F04FC">
              <w:rPr>
                <w:sz w:val="18"/>
                <w:szCs w:val="20"/>
              </w:rPr>
              <w:t>1.17</w:t>
            </w:r>
          </w:p>
        </w:tc>
      </w:tr>
    </w:tbl>
    <w:p w14:paraId="23F8717E" w14:textId="77777777" w:rsidR="00B673BB" w:rsidRPr="00D21299" w:rsidRDefault="00B673BB" w:rsidP="0028542B">
      <w:pPr>
        <w:spacing w:before="0"/>
        <w:rPr>
          <w:rFonts w:cs="Calibri"/>
          <w:i/>
          <w:sz w:val="18"/>
          <w:szCs w:val="18"/>
        </w:rPr>
      </w:pPr>
      <w:r w:rsidRPr="00D21299">
        <w:rPr>
          <w:rFonts w:cs="Calibri"/>
          <w:i/>
          <w:sz w:val="18"/>
          <w:szCs w:val="18"/>
        </w:rPr>
        <w:t>Źródło: opracowanie własne.</w:t>
      </w:r>
    </w:p>
    <w:p w14:paraId="0D26AFBD" w14:textId="77777777" w:rsidR="00B673BB" w:rsidRDefault="00B673BB" w:rsidP="00B673BB">
      <w:pPr>
        <w:pStyle w:val="Nagwek2"/>
      </w:pPr>
      <w:bookmarkStart w:id="392" w:name="_Toc6523756"/>
      <w:r>
        <w:t>Działania związane</w:t>
      </w:r>
      <w:r w:rsidR="00E66B89">
        <w:t xml:space="preserve"> z </w:t>
      </w:r>
      <w:r>
        <w:t>promowaniem innowacyjności</w:t>
      </w:r>
      <w:bookmarkEnd w:id="392"/>
    </w:p>
    <w:p w14:paraId="2030ABA5" w14:textId="77777777" w:rsidR="00B673BB" w:rsidRDefault="00B673BB" w:rsidP="00B673BB">
      <w:r>
        <w:t>Z analizowanych Działań wynika, że najwyższy stopień osiągnięcia wartości końcowej wskaźnika</w:t>
      </w:r>
      <w:r w:rsidR="00E66B89">
        <w:t xml:space="preserve"> w </w:t>
      </w:r>
      <w:r>
        <w:t xml:space="preserve">Programie (tj. wartości zaplanowanej na 2023 r.) </w:t>
      </w:r>
      <w:r>
        <w:rPr>
          <w:i/>
        </w:rPr>
        <w:t>Liczba przedsiębiorstw otrzymujących wsparcie</w:t>
      </w:r>
      <w:r>
        <w:t xml:space="preserve"> odnotowujemy (wg WoP)</w:t>
      </w:r>
      <w:r w:rsidR="00E66B89">
        <w:t xml:space="preserve"> w </w:t>
      </w:r>
      <w:r>
        <w:t>Działaniu 1.1 (57,58%),</w:t>
      </w:r>
      <w:r w:rsidR="00E66B89">
        <w:t xml:space="preserve"> a </w:t>
      </w:r>
      <w:r>
        <w:t>następnie</w:t>
      </w:r>
      <w:r w:rsidR="00E66B89">
        <w:t xml:space="preserve"> w </w:t>
      </w:r>
      <w:r>
        <w:t>Działaniu 1.9 (15,61%). Dla pozostałych Działań analizowana wartość jest równa bądź bliska zeru. Najwyższy prognozowany stopień osiągnięcia wartości końcowej</w:t>
      </w:r>
      <w:r w:rsidR="00E66B89">
        <w:t xml:space="preserve"> w </w:t>
      </w:r>
      <w:r>
        <w:t>programie na podstawie umów</w:t>
      </w:r>
      <w:r w:rsidR="00E66B89">
        <w:t xml:space="preserve"> o </w:t>
      </w:r>
      <w:r>
        <w:t>dofinansowanie dla analizowanego wskaźnika również przypisany jest Działaniu 1.1 (166,67%). Na drugim miejscu</w:t>
      </w:r>
      <w:r w:rsidR="00E66B89">
        <w:t xml:space="preserve"> w </w:t>
      </w:r>
      <w:r>
        <w:t>opisywanym zestawieniu jest Działanie 1.9 (72,60%),</w:t>
      </w:r>
      <w:r w:rsidR="00E66B89">
        <w:t xml:space="preserve"> a </w:t>
      </w:r>
      <w:r>
        <w:t>za nim Działanie 1.2 (27,27%).</w:t>
      </w:r>
    </w:p>
    <w:p w14:paraId="0635A572" w14:textId="77777777" w:rsidR="00B673BB" w:rsidRDefault="00B673BB" w:rsidP="00B673BB">
      <w:r>
        <w:t>Według prognoz ilościowych zakładających przeznaczenie całej dotacji pozostałej</w:t>
      </w:r>
      <w:r w:rsidR="00E66B89">
        <w:t xml:space="preserve"> w </w:t>
      </w:r>
      <w:r>
        <w:t>Działaniu na dany wskaźnik, prognozowany stopień osiągnięcia wartości wskaźnika</w:t>
      </w:r>
      <w:r w:rsidR="00E66B89">
        <w:t xml:space="preserve"> w </w:t>
      </w:r>
      <w:r>
        <w:t>Programie jest najwyższy</w:t>
      </w:r>
      <w:r w:rsidR="00E66B89">
        <w:t xml:space="preserve"> w </w:t>
      </w:r>
      <w:r>
        <w:t>Działaniu 1.1 (507,0%).</w:t>
      </w:r>
      <w:r w:rsidR="00E66B89">
        <w:t xml:space="preserve"> W </w:t>
      </w:r>
      <w:r>
        <w:t>następnej kolejności znajduje się Działanie 1.2 (179,3%)</w:t>
      </w:r>
      <w:r w:rsidR="00E66B89">
        <w:t xml:space="preserve"> i </w:t>
      </w:r>
      <w:r>
        <w:t>Działanie 1.9 (72,6%).</w:t>
      </w:r>
      <w:r w:rsidR="00E66B89">
        <w:t xml:space="preserve"> W </w:t>
      </w:r>
      <w:r>
        <w:t>przypadku pozostałych Działań prognozowane wartości są zdecydowanie niższe. Wyniki prognoz nie zmieniają się</w:t>
      </w:r>
      <w:r w:rsidR="00E66B89">
        <w:t xml:space="preserve"> w </w:t>
      </w:r>
      <w:r>
        <w:t xml:space="preserve">przypadku przyjęcia założenia </w:t>
      </w:r>
      <w:r w:rsidRPr="00C07626">
        <w:t>proporcjonalnego podziału pozostałej alokacji na dany wskaźnik zgodnie</w:t>
      </w:r>
      <w:r w:rsidR="00E66B89">
        <w:t xml:space="preserve"> z </w:t>
      </w:r>
      <w:r w:rsidRPr="00C07626">
        <w:t>dotychczasową proporcją</w:t>
      </w:r>
      <w:r>
        <w:t>.</w:t>
      </w:r>
    </w:p>
    <w:p w14:paraId="5318CB59" w14:textId="77777777" w:rsidR="00B673BB" w:rsidRDefault="00B673BB" w:rsidP="00024F00">
      <w:pPr>
        <w:pStyle w:val="Legenda"/>
        <w:spacing w:after="0"/>
      </w:pPr>
      <w:bookmarkStart w:id="393" w:name="_Toc8824286"/>
      <w:r>
        <w:t xml:space="preserve">Tabela </w:t>
      </w:r>
      <w:r w:rsidR="006E34DC">
        <w:fldChar w:fldCharType="begin"/>
      </w:r>
      <w:r w:rsidR="006E34DC">
        <w:instrText xml:space="preserve"> SEQ Tabela \* ARABIC </w:instrText>
      </w:r>
      <w:r w:rsidR="006E34DC">
        <w:fldChar w:fldCharType="separate"/>
      </w:r>
      <w:r w:rsidR="00763345">
        <w:rPr>
          <w:noProof/>
        </w:rPr>
        <w:t>175</w:t>
      </w:r>
      <w:r w:rsidR="006E34DC">
        <w:fldChar w:fldCharType="end"/>
      </w:r>
      <w:r>
        <w:t>. Wartości wskaźnika „</w:t>
      </w:r>
      <w:r w:rsidRPr="00BA2717">
        <w:t>Liczba przedsiębiorstw otrzymujących wsparcie (CI)</w:t>
      </w:r>
      <w:r>
        <w:t>” dla wybranych Działań</w:t>
      </w:r>
      <w:bookmarkEnd w:id="393"/>
    </w:p>
    <w:tbl>
      <w:tblPr>
        <w:tblW w:w="0" w:type="auto"/>
        <w:tblLook w:val="04A0" w:firstRow="1" w:lastRow="0" w:firstColumn="1" w:lastColumn="0" w:noHBand="0" w:noVBand="1"/>
      </w:tblPr>
      <w:tblGrid>
        <w:gridCol w:w="1407"/>
        <w:gridCol w:w="1333"/>
        <w:gridCol w:w="951"/>
        <w:gridCol w:w="1561"/>
        <w:gridCol w:w="1866"/>
        <w:gridCol w:w="1944"/>
      </w:tblGrid>
      <w:tr w:rsidR="00B673BB" w:rsidRPr="00FB360B" w14:paraId="20DAE679" w14:textId="77777777" w:rsidTr="00026C04">
        <w:trPr>
          <w:trHeight w:val="1069"/>
          <w:tblHead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hideMark/>
          </w:tcPr>
          <w:p w14:paraId="793DF35D" w14:textId="77777777" w:rsidR="00B673BB" w:rsidRPr="00FB360B" w:rsidRDefault="00B673BB" w:rsidP="00B673BB">
            <w:pPr>
              <w:spacing w:after="0" w:line="240" w:lineRule="auto"/>
              <w:rPr>
                <w:color w:val="000000"/>
                <w:sz w:val="18"/>
                <w:szCs w:val="18"/>
              </w:rPr>
            </w:pPr>
            <w:r w:rsidRPr="00FB360B">
              <w:rPr>
                <w:color w:val="000000"/>
                <w:sz w:val="18"/>
                <w:szCs w:val="18"/>
              </w:rPr>
              <w:t>Rodzaj instrumentu finansowego</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58AE356A" w14:textId="77777777" w:rsidR="00B673BB" w:rsidRPr="00FB360B" w:rsidRDefault="00B673BB" w:rsidP="00B673BB">
            <w:pPr>
              <w:spacing w:after="0" w:line="240" w:lineRule="auto"/>
              <w:rPr>
                <w:color w:val="000000"/>
                <w:sz w:val="18"/>
                <w:szCs w:val="18"/>
              </w:rPr>
            </w:pPr>
            <w:r w:rsidRPr="00FB360B">
              <w:rPr>
                <w:color w:val="000000"/>
                <w:sz w:val="18"/>
                <w:szCs w:val="18"/>
              </w:rPr>
              <w:t>Priorytet inwestycyjny</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2E43FC73" w14:textId="77777777" w:rsidR="00B673BB" w:rsidRPr="00FB360B" w:rsidRDefault="00B673BB" w:rsidP="00B673BB">
            <w:pPr>
              <w:spacing w:after="0" w:line="240" w:lineRule="auto"/>
              <w:rPr>
                <w:color w:val="000000"/>
                <w:sz w:val="18"/>
                <w:szCs w:val="18"/>
              </w:rPr>
            </w:pPr>
            <w:r w:rsidRPr="00FB360B">
              <w:rPr>
                <w:color w:val="000000"/>
                <w:sz w:val="18"/>
                <w:szCs w:val="18"/>
              </w:rPr>
              <w:t>Działanie</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0138928F" w14:textId="77777777" w:rsidR="00B673BB" w:rsidRPr="00FB360B" w:rsidRDefault="00B673BB" w:rsidP="00B673BB">
            <w:pPr>
              <w:spacing w:after="0" w:line="240" w:lineRule="auto"/>
              <w:rPr>
                <w:color w:val="000000"/>
                <w:sz w:val="18"/>
                <w:szCs w:val="18"/>
              </w:rPr>
            </w:pPr>
            <w:r w:rsidRPr="00FB360B">
              <w:rPr>
                <w:color w:val="000000"/>
                <w:sz w:val="18"/>
                <w:szCs w:val="18"/>
              </w:rPr>
              <w:t>Stopień o</w:t>
            </w:r>
            <w:r>
              <w:rPr>
                <w:color w:val="000000"/>
                <w:sz w:val="18"/>
                <w:szCs w:val="18"/>
              </w:rPr>
              <w:t>siągnięcia wartości końcowej</w:t>
            </w:r>
            <w:r w:rsidR="00E66B89">
              <w:rPr>
                <w:color w:val="000000"/>
                <w:sz w:val="18"/>
                <w:szCs w:val="18"/>
              </w:rPr>
              <w:t xml:space="preserve"> w </w:t>
            </w:r>
            <w:r>
              <w:rPr>
                <w:color w:val="000000"/>
                <w:sz w:val="18"/>
                <w:szCs w:val="18"/>
              </w:rPr>
              <w:t>p</w:t>
            </w:r>
            <w:r w:rsidRPr="00FB360B">
              <w:rPr>
                <w:color w:val="000000"/>
                <w:sz w:val="18"/>
                <w:szCs w:val="18"/>
              </w:rPr>
              <w:t>rogramie</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725B3610" w14:textId="77777777" w:rsidR="00B673BB" w:rsidRPr="00FB360B" w:rsidRDefault="00B673BB" w:rsidP="00B673BB">
            <w:pPr>
              <w:spacing w:after="0" w:line="240" w:lineRule="auto"/>
              <w:rPr>
                <w:color w:val="000000"/>
                <w:sz w:val="18"/>
                <w:szCs w:val="18"/>
              </w:rPr>
            </w:pPr>
            <w:r w:rsidRPr="00FB360B">
              <w:rPr>
                <w:color w:val="000000"/>
                <w:sz w:val="18"/>
                <w:szCs w:val="18"/>
              </w:rPr>
              <w:t>Prognozowany stopień osiągnięcia wartości końcowej</w:t>
            </w:r>
            <w:r w:rsidR="00E66B89">
              <w:rPr>
                <w:color w:val="000000"/>
                <w:sz w:val="18"/>
                <w:szCs w:val="18"/>
              </w:rPr>
              <w:t xml:space="preserve"> w </w:t>
            </w:r>
            <w:r>
              <w:rPr>
                <w:color w:val="000000"/>
                <w:sz w:val="18"/>
                <w:szCs w:val="18"/>
              </w:rPr>
              <w:t>p</w:t>
            </w:r>
            <w:r w:rsidRPr="00FB360B">
              <w:rPr>
                <w:color w:val="000000"/>
                <w:sz w:val="18"/>
                <w:szCs w:val="18"/>
              </w:rPr>
              <w:t xml:space="preserve">rogramie </w:t>
            </w:r>
          </w:p>
        </w:tc>
        <w:tc>
          <w:tcPr>
            <w:tcW w:w="0" w:type="auto"/>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3035F3E8" w14:textId="117BB2B4" w:rsidR="00B673BB" w:rsidRPr="00FB360B" w:rsidRDefault="00B673BB" w:rsidP="00B673BB">
            <w:pPr>
              <w:spacing w:after="0" w:line="240" w:lineRule="auto"/>
              <w:rPr>
                <w:color w:val="000000"/>
                <w:sz w:val="18"/>
                <w:szCs w:val="18"/>
              </w:rPr>
            </w:pPr>
            <w:r w:rsidRPr="00FB360B">
              <w:rPr>
                <w:color w:val="000000"/>
                <w:sz w:val="18"/>
                <w:szCs w:val="18"/>
              </w:rPr>
              <w:t>Prognoza</w:t>
            </w:r>
            <w:r w:rsidR="00E66B89">
              <w:rPr>
                <w:color w:val="000000"/>
                <w:sz w:val="18"/>
                <w:szCs w:val="18"/>
              </w:rPr>
              <w:t xml:space="preserve"> w </w:t>
            </w:r>
            <w:r w:rsidRPr="00FB360B">
              <w:rPr>
                <w:color w:val="000000"/>
                <w:sz w:val="18"/>
                <w:szCs w:val="18"/>
              </w:rPr>
              <w:t>przypadku przeznaczenia ca</w:t>
            </w:r>
            <w:r>
              <w:rPr>
                <w:color w:val="000000"/>
                <w:sz w:val="18"/>
                <w:szCs w:val="18"/>
              </w:rPr>
              <w:t>łej pozostałej alokacji na dany</w:t>
            </w:r>
            <w:r w:rsidRPr="00FB360B">
              <w:rPr>
                <w:color w:val="000000"/>
                <w:sz w:val="18"/>
                <w:szCs w:val="18"/>
              </w:rPr>
              <w:t xml:space="preserve"> wskaźnik</w:t>
            </w:r>
            <w:r w:rsidR="0049276B">
              <w:rPr>
                <w:rStyle w:val="Odwoanieprzypisudolnego"/>
                <w:color w:val="000000"/>
                <w:sz w:val="18"/>
                <w:szCs w:val="18"/>
              </w:rPr>
              <w:footnoteReference w:id="168"/>
            </w:r>
          </w:p>
        </w:tc>
      </w:tr>
      <w:tr w:rsidR="00B673BB" w:rsidRPr="00FB360B" w14:paraId="6633B290"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8659C" w14:textId="77777777" w:rsidR="00B673BB" w:rsidRPr="00FB360B" w:rsidRDefault="00B673BB" w:rsidP="00B673BB">
            <w:pPr>
              <w:spacing w:after="0" w:line="240" w:lineRule="auto"/>
              <w:rPr>
                <w:color w:val="000000"/>
                <w:sz w:val="18"/>
                <w:szCs w:val="18"/>
              </w:rPr>
            </w:pPr>
            <w:r w:rsidRPr="00FB360B">
              <w:rPr>
                <w:color w:val="000000"/>
                <w:sz w:val="18"/>
                <w:szCs w:val="18"/>
              </w:rPr>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0AEEC740" w14:textId="77777777" w:rsidR="00B673BB" w:rsidRPr="00FB360B" w:rsidRDefault="00B673BB" w:rsidP="00B673BB">
            <w:pPr>
              <w:spacing w:after="0" w:line="240" w:lineRule="auto"/>
              <w:rPr>
                <w:color w:val="000000"/>
                <w:sz w:val="18"/>
                <w:szCs w:val="18"/>
              </w:rPr>
            </w:pPr>
            <w:r w:rsidRPr="00FB360B">
              <w:rPr>
                <w:color w:val="000000"/>
                <w:sz w:val="18"/>
                <w:szCs w:val="18"/>
              </w:rPr>
              <w:t>01b</w:t>
            </w:r>
          </w:p>
        </w:tc>
        <w:tc>
          <w:tcPr>
            <w:tcW w:w="0" w:type="auto"/>
            <w:tcBorders>
              <w:top w:val="nil"/>
              <w:left w:val="nil"/>
              <w:bottom w:val="single" w:sz="4" w:space="0" w:color="auto"/>
              <w:right w:val="single" w:sz="4" w:space="0" w:color="auto"/>
            </w:tcBorders>
            <w:shd w:val="clear" w:color="auto" w:fill="auto"/>
            <w:noWrap/>
            <w:vAlign w:val="bottom"/>
            <w:hideMark/>
          </w:tcPr>
          <w:p w14:paraId="055E90DC" w14:textId="77777777" w:rsidR="00B673BB" w:rsidRPr="00FB360B" w:rsidRDefault="00B673BB" w:rsidP="00B673BB">
            <w:pPr>
              <w:spacing w:after="0" w:line="240" w:lineRule="auto"/>
              <w:rPr>
                <w:color w:val="000000"/>
                <w:sz w:val="18"/>
                <w:szCs w:val="18"/>
              </w:rPr>
            </w:pPr>
            <w:r w:rsidRPr="00FB360B">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14:paraId="17E7FAA7" w14:textId="77777777" w:rsidR="00B673BB" w:rsidRPr="00FB360B" w:rsidRDefault="00B673BB" w:rsidP="00B673BB">
            <w:pPr>
              <w:spacing w:after="0" w:line="240" w:lineRule="auto"/>
              <w:jc w:val="right"/>
              <w:rPr>
                <w:color w:val="000000"/>
                <w:sz w:val="18"/>
                <w:szCs w:val="18"/>
              </w:rPr>
            </w:pPr>
            <w:r w:rsidRPr="00FB360B">
              <w:rPr>
                <w:color w:val="000000"/>
                <w:sz w:val="18"/>
                <w:szCs w:val="18"/>
              </w:rPr>
              <w:t>57,58%</w:t>
            </w:r>
          </w:p>
        </w:tc>
        <w:tc>
          <w:tcPr>
            <w:tcW w:w="0" w:type="auto"/>
            <w:tcBorders>
              <w:top w:val="nil"/>
              <w:left w:val="nil"/>
              <w:bottom w:val="single" w:sz="4" w:space="0" w:color="auto"/>
              <w:right w:val="single" w:sz="4" w:space="0" w:color="auto"/>
            </w:tcBorders>
            <w:shd w:val="clear" w:color="auto" w:fill="auto"/>
            <w:noWrap/>
            <w:vAlign w:val="bottom"/>
            <w:hideMark/>
          </w:tcPr>
          <w:p w14:paraId="39878B05" w14:textId="77777777" w:rsidR="00B673BB" w:rsidRPr="00FB360B" w:rsidRDefault="00B673BB" w:rsidP="00B673BB">
            <w:pPr>
              <w:spacing w:after="0" w:line="240" w:lineRule="auto"/>
              <w:jc w:val="right"/>
              <w:rPr>
                <w:color w:val="000000"/>
                <w:sz w:val="18"/>
                <w:szCs w:val="18"/>
              </w:rPr>
            </w:pPr>
            <w:r w:rsidRPr="00FB360B">
              <w:rPr>
                <w:color w:val="000000"/>
                <w:sz w:val="18"/>
                <w:szCs w:val="18"/>
              </w:rPr>
              <w:t>166,67%</w:t>
            </w:r>
          </w:p>
        </w:tc>
        <w:tc>
          <w:tcPr>
            <w:tcW w:w="0" w:type="auto"/>
            <w:tcBorders>
              <w:top w:val="nil"/>
              <w:left w:val="nil"/>
              <w:bottom w:val="single" w:sz="4" w:space="0" w:color="auto"/>
              <w:right w:val="single" w:sz="4" w:space="0" w:color="auto"/>
            </w:tcBorders>
            <w:shd w:val="clear" w:color="auto" w:fill="auto"/>
            <w:noWrap/>
            <w:vAlign w:val="bottom"/>
            <w:hideMark/>
          </w:tcPr>
          <w:p w14:paraId="1FED1B0E" w14:textId="77777777" w:rsidR="00B673BB" w:rsidRPr="00FB360B" w:rsidRDefault="00B673BB" w:rsidP="00B673BB">
            <w:pPr>
              <w:spacing w:after="0" w:line="240" w:lineRule="auto"/>
              <w:jc w:val="right"/>
              <w:rPr>
                <w:color w:val="000000"/>
                <w:sz w:val="18"/>
                <w:szCs w:val="18"/>
              </w:rPr>
            </w:pPr>
            <w:r w:rsidRPr="00FB360B">
              <w:rPr>
                <w:color w:val="000000"/>
                <w:sz w:val="18"/>
                <w:szCs w:val="18"/>
              </w:rPr>
              <w:t>507,00%</w:t>
            </w:r>
          </w:p>
        </w:tc>
      </w:tr>
      <w:tr w:rsidR="00B673BB" w:rsidRPr="00FB360B" w14:paraId="04F9CB27"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62D47" w14:textId="77777777" w:rsidR="00B673BB" w:rsidRPr="00FB360B" w:rsidRDefault="00B673BB" w:rsidP="00B673BB">
            <w:pPr>
              <w:spacing w:after="0" w:line="240" w:lineRule="auto"/>
              <w:rPr>
                <w:color w:val="000000"/>
                <w:sz w:val="18"/>
                <w:szCs w:val="18"/>
              </w:rPr>
            </w:pPr>
            <w:r w:rsidRPr="00FB360B">
              <w:rPr>
                <w:color w:val="000000"/>
                <w:sz w:val="18"/>
                <w:szCs w:val="18"/>
              </w:rPr>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4D13FD5F" w14:textId="77777777" w:rsidR="00B673BB" w:rsidRPr="00FB360B" w:rsidRDefault="00B673BB" w:rsidP="00B673BB">
            <w:pPr>
              <w:spacing w:after="0" w:line="240" w:lineRule="auto"/>
              <w:rPr>
                <w:color w:val="000000"/>
                <w:sz w:val="18"/>
                <w:szCs w:val="18"/>
              </w:rPr>
            </w:pPr>
            <w:r w:rsidRPr="00FB360B">
              <w:rPr>
                <w:color w:val="000000"/>
                <w:sz w:val="18"/>
                <w:szCs w:val="18"/>
              </w:rPr>
              <w:t>01b</w:t>
            </w:r>
          </w:p>
        </w:tc>
        <w:tc>
          <w:tcPr>
            <w:tcW w:w="0" w:type="auto"/>
            <w:tcBorders>
              <w:top w:val="nil"/>
              <w:left w:val="nil"/>
              <w:bottom w:val="single" w:sz="4" w:space="0" w:color="auto"/>
              <w:right w:val="single" w:sz="4" w:space="0" w:color="auto"/>
            </w:tcBorders>
            <w:shd w:val="clear" w:color="auto" w:fill="auto"/>
            <w:noWrap/>
            <w:vAlign w:val="bottom"/>
            <w:hideMark/>
          </w:tcPr>
          <w:p w14:paraId="12EBF3AA" w14:textId="77777777" w:rsidR="00B673BB" w:rsidRPr="00FB360B" w:rsidRDefault="00B673BB" w:rsidP="00B673BB">
            <w:pPr>
              <w:spacing w:after="0" w:line="240" w:lineRule="auto"/>
              <w:rPr>
                <w:color w:val="000000"/>
                <w:sz w:val="18"/>
                <w:szCs w:val="18"/>
              </w:rPr>
            </w:pPr>
            <w:r w:rsidRPr="00FB360B">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14:paraId="00EF858C"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7FE2F597" w14:textId="77777777" w:rsidR="00B673BB" w:rsidRPr="00FB360B" w:rsidRDefault="00B673BB" w:rsidP="00B673BB">
            <w:pPr>
              <w:spacing w:after="0" w:line="240" w:lineRule="auto"/>
              <w:jc w:val="right"/>
              <w:rPr>
                <w:color w:val="000000"/>
                <w:sz w:val="18"/>
                <w:szCs w:val="18"/>
              </w:rPr>
            </w:pPr>
            <w:r w:rsidRPr="00FB360B">
              <w:rPr>
                <w:color w:val="000000"/>
                <w:sz w:val="18"/>
                <w:szCs w:val="18"/>
              </w:rPr>
              <w:t>27,27%</w:t>
            </w:r>
          </w:p>
        </w:tc>
        <w:tc>
          <w:tcPr>
            <w:tcW w:w="0" w:type="auto"/>
            <w:tcBorders>
              <w:top w:val="nil"/>
              <w:left w:val="nil"/>
              <w:bottom w:val="single" w:sz="4" w:space="0" w:color="auto"/>
              <w:right w:val="single" w:sz="4" w:space="0" w:color="auto"/>
            </w:tcBorders>
            <w:shd w:val="clear" w:color="auto" w:fill="auto"/>
            <w:noWrap/>
            <w:vAlign w:val="bottom"/>
            <w:hideMark/>
          </w:tcPr>
          <w:p w14:paraId="40F4A8BA" w14:textId="77777777" w:rsidR="00B673BB" w:rsidRPr="00FB360B" w:rsidRDefault="00B673BB" w:rsidP="00B673BB">
            <w:pPr>
              <w:spacing w:after="0" w:line="240" w:lineRule="auto"/>
              <w:jc w:val="right"/>
              <w:rPr>
                <w:color w:val="000000"/>
                <w:sz w:val="18"/>
                <w:szCs w:val="18"/>
              </w:rPr>
            </w:pPr>
            <w:r w:rsidRPr="00FB360B">
              <w:rPr>
                <w:color w:val="000000"/>
                <w:sz w:val="18"/>
                <w:szCs w:val="18"/>
              </w:rPr>
              <w:t>179,30%</w:t>
            </w:r>
          </w:p>
        </w:tc>
      </w:tr>
      <w:tr w:rsidR="00B673BB" w:rsidRPr="00FB360B" w14:paraId="027F6999"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35A00" w14:textId="77777777" w:rsidR="00B673BB" w:rsidRPr="00FB360B" w:rsidRDefault="00B673BB" w:rsidP="00B673BB">
            <w:pPr>
              <w:spacing w:after="0" w:line="240" w:lineRule="auto"/>
              <w:rPr>
                <w:color w:val="000000"/>
                <w:sz w:val="18"/>
                <w:szCs w:val="18"/>
              </w:rPr>
            </w:pPr>
            <w:r w:rsidRPr="00FB360B">
              <w:rPr>
                <w:color w:val="000000"/>
                <w:sz w:val="18"/>
                <w:szCs w:val="18"/>
              </w:rPr>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7BD0B319" w14:textId="77777777" w:rsidR="00B673BB" w:rsidRPr="00FB360B" w:rsidRDefault="00B673BB" w:rsidP="00B673BB">
            <w:pPr>
              <w:spacing w:after="0" w:line="240" w:lineRule="auto"/>
              <w:rPr>
                <w:color w:val="000000"/>
                <w:sz w:val="18"/>
                <w:szCs w:val="18"/>
              </w:rPr>
            </w:pPr>
            <w:r w:rsidRPr="00FB360B">
              <w:rPr>
                <w:color w:val="000000"/>
                <w:sz w:val="18"/>
                <w:szCs w:val="18"/>
              </w:rPr>
              <w:t>03c</w:t>
            </w:r>
          </w:p>
        </w:tc>
        <w:tc>
          <w:tcPr>
            <w:tcW w:w="0" w:type="auto"/>
            <w:tcBorders>
              <w:top w:val="nil"/>
              <w:left w:val="nil"/>
              <w:bottom w:val="single" w:sz="4" w:space="0" w:color="auto"/>
              <w:right w:val="single" w:sz="4" w:space="0" w:color="auto"/>
            </w:tcBorders>
            <w:shd w:val="clear" w:color="auto" w:fill="auto"/>
            <w:noWrap/>
            <w:vAlign w:val="bottom"/>
            <w:hideMark/>
          </w:tcPr>
          <w:p w14:paraId="1073C517" w14:textId="77777777" w:rsidR="00B673BB" w:rsidRPr="00FB360B" w:rsidRDefault="00B673BB" w:rsidP="00B673BB">
            <w:pPr>
              <w:spacing w:after="0" w:line="240" w:lineRule="auto"/>
              <w:rPr>
                <w:color w:val="000000"/>
                <w:sz w:val="18"/>
                <w:szCs w:val="18"/>
              </w:rPr>
            </w:pPr>
            <w:r w:rsidRPr="00FB360B">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14:paraId="445CB256"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333262D0"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2F0589AC"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0,00%</w:t>
            </w:r>
          </w:p>
        </w:tc>
      </w:tr>
      <w:tr w:rsidR="00B673BB" w:rsidRPr="00FB360B" w14:paraId="0328B8A3"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2CB73" w14:textId="77777777" w:rsidR="00B673BB" w:rsidRPr="00FB360B" w:rsidRDefault="00B673BB" w:rsidP="00B673BB">
            <w:pPr>
              <w:spacing w:after="0" w:line="240" w:lineRule="auto"/>
              <w:rPr>
                <w:color w:val="000000"/>
                <w:sz w:val="18"/>
                <w:szCs w:val="18"/>
              </w:rPr>
            </w:pPr>
            <w:r w:rsidRPr="00FB360B">
              <w:rPr>
                <w:color w:val="000000"/>
                <w:sz w:val="18"/>
                <w:szCs w:val="18"/>
              </w:rPr>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1F43F5D0" w14:textId="77777777" w:rsidR="00B673BB" w:rsidRPr="00FB360B" w:rsidRDefault="00B673BB" w:rsidP="00B673BB">
            <w:pPr>
              <w:spacing w:after="0" w:line="240" w:lineRule="auto"/>
              <w:rPr>
                <w:color w:val="000000"/>
                <w:sz w:val="18"/>
                <w:szCs w:val="18"/>
              </w:rPr>
            </w:pPr>
            <w:r w:rsidRPr="00FB360B">
              <w:rPr>
                <w:color w:val="000000"/>
                <w:sz w:val="18"/>
                <w:szCs w:val="18"/>
              </w:rPr>
              <w:t>03c</w:t>
            </w:r>
          </w:p>
        </w:tc>
        <w:tc>
          <w:tcPr>
            <w:tcW w:w="0" w:type="auto"/>
            <w:tcBorders>
              <w:top w:val="nil"/>
              <w:left w:val="nil"/>
              <w:bottom w:val="single" w:sz="4" w:space="0" w:color="auto"/>
              <w:right w:val="single" w:sz="4" w:space="0" w:color="auto"/>
            </w:tcBorders>
            <w:shd w:val="clear" w:color="auto" w:fill="auto"/>
            <w:noWrap/>
            <w:vAlign w:val="bottom"/>
            <w:hideMark/>
          </w:tcPr>
          <w:p w14:paraId="0D3A00DC" w14:textId="77777777" w:rsidR="00B673BB" w:rsidRPr="00FB360B" w:rsidRDefault="00B673BB" w:rsidP="00B673BB">
            <w:pPr>
              <w:spacing w:after="0" w:line="240" w:lineRule="auto"/>
              <w:rPr>
                <w:color w:val="000000"/>
                <w:sz w:val="18"/>
                <w:szCs w:val="18"/>
              </w:rPr>
            </w:pPr>
            <w:r w:rsidRPr="00FB360B">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14:paraId="053FB8AA" w14:textId="77777777" w:rsidR="00B673BB" w:rsidRPr="00FB360B" w:rsidRDefault="00B673BB" w:rsidP="00B673BB">
            <w:pPr>
              <w:spacing w:after="0" w:line="240" w:lineRule="auto"/>
              <w:jc w:val="right"/>
              <w:rPr>
                <w:color w:val="000000"/>
                <w:sz w:val="18"/>
                <w:szCs w:val="18"/>
              </w:rPr>
            </w:pPr>
            <w:r w:rsidRPr="00FB360B">
              <w:rPr>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bottom"/>
            <w:hideMark/>
          </w:tcPr>
          <w:p w14:paraId="789C02D5" w14:textId="77777777" w:rsidR="00B673BB" w:rsidRPr="00FB360B" w:rsidRDefault="00B673BB" w:rsidP="00B673BB">
            <w:pPr>
              <w:spacing w:after="0" w:line="240" w:lineRule="auto"/>
              <w:jc w:val="right"/>
              <w:rPr>
                <w:color w:val="000000"/>
                <w:sz w:val="18"/>
                <w:szCs w:val="18"/>
              </w:rPr>
            </w:pPr>
            <w:r w:rsidRPr="00FB360B">
              <w:rPr>
                <w:color w:val="000000"/>
                <w:sz w:val="18"/>
                <w:szCs w:val="18"/>
              </w:rPr>
              <w:t>4,62%</w:t>
            </w:r>
          </w:p>
        </w:tc>
        <w:tc>
          <w:tcPr>
            <w:tcW w:w="0" w:type="auto"/>
            <w:tcBorders>
              <w:top w:val="nil"/>
              <w:left w:val="nil"/>
              <w:bottom w:val="single" w:sz="4" w:space="0" w:color="auto"/>
              <w:right w:val="single" w:sz="4" w:space="0" w:color="auto"/>
            </w:tcBorders>
            <w:shd w:val="clear" w:color="auto" w:fill="auto"/>
            <w:noWrap/>
            <w:vAlign w:val="bottom"/>
            <w:hideMark/>
          </w:tcPr>
          <w:p w14:paraId="1425A49C" w14:textId="77777777" w:rsidR="00B673BB" w:rsidRPr="00FB360B" w:rsidRDefault="00B673BB" w:rsidP="00B673BB">
            <w:pPr>
              <w:spacing w:after="0" w:line="240" w:lineRule="auto"/>
              <w:jc w:val="right"/>
              <w:rPr>
                <w:color w:val="000000"/>
                <w:sz w:val="18"/>
                <w:szCs w:val="18"/>
              </w:rPr>
            </w:pPr>
            <w:r w:rsidRPr="00FB360B">
              <w:rPr>
                <w:color w:val="000000"/>
                <w:sz w:val="18"/>
                <w:szCs w:val="18"/>
              </w:rPr>
              <w:t>10,70%</w:t>
            </w:r>
          </w:p>
        </w:tc>
      </w:tr>
      <w:tr w:rsidR="00B673BB" w:rsidRPr="00FB360B" w14:paraId="458773C2"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FEF06" w14:textId="77777777" w:rsidR="00B673BB" w:rsidRPr="00FB360B" w:rsidRDefault="00B673BB" w:rsidP="00B673BB">
            <w:pPr>
              <w:spacing w:after="0" w:line="240" w:lineRule="auto"/>
              <w:rPr>
                <w:color w:val="000000"/>
                <w:sz w:val="18"/>
                <w:szCs w:val="18"/>
              </w:rPr>
            </w:pPr>
            <w:r w:rsidRPr="00FB360B">
              <w:rPr>
                <w:color w:val="000000"/>
                <w:sz w:val="18"/>
                <w:szCs w:val="18"/>
              </w:rPr>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4BC1A0A8" w14:textId="77777777" w:rsidR="00B673BB" w:rsidRPr="00FB360B" w:rsidRDefault="00B673BB" w:rsidP="00B673BB">
            <w:pPr>
              <w:spacing w:after="0" w:line="240" w:lineRule="auto"/>
              <w:rPr>
                <w:color w:val="000000"/>
                <w:sz w:val="18"/>
                <w:szCs w:val="18"/>
              </w:rPr>
            </w:pPr>
            <w:r w:rsidRPr="00FB360B">
              <w:rPr>
                <w:color w:val="000000"/>
                <w:sz w:val="18"/>
                <w:szCs w:val="18"/>
              </w:rPr>
              <w:t>03c</w:t>
            </w:r>
          </w:p>
        </w:tc>
        <w:tc>
          <w:tcPr>
            <w:tcW w:w="0" w:type="auto"/>
            <w:tcBorders>
              <w:top w:val="nil"/>
              <w:left w:val="nil"/>
              <w:bottom w:val="single" w:sz="4" w:space="0" w:color="auto"/>
              <w:right w:val="single" w:sz="4" w:space="0" w:color="auto"/>
            </w:tcBorders>
            <w:shd w:val="clear" w:color="auto" w:fill="auto"/>
            <w:noWrap/>
            <w:vAlign w:val="bottom"/>
            <w:hideMark/>
          </w:tcPr>
          <w:p w14:paraId="5E3D37F4" w14:textId="77777777" w:rsidR="00B673BB" w:rsidRPr="00FB360B" w:rsidRDefault="00B673BB" w:rsidP="00B673BB">
            <w:pPr>
              <w:spacing w:after="0" w:line="240" w:lineRule="auto"/>
              <w:rPr>
                <w:color w:val="000000"/>
                <w:sz w:val="18"/>
                <w:szCs w:val="18"/>
              </w:rPr>
            </w:pPr>
            <w:r w:rsidRPr="00FB360B">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14:paraId="6D986D32"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14:paraId="0BA2040A" w14:textId="77777777" w:rsidR="00B673BB" w:rsidRPr="00FB360B" w:rsidRDefault="00B673BB" w:rsidP="00B673BB">
            <w:pPr>
              <w:spacing w:after="0" w:line="240" w:lineRule="auto"/>
              <w:jc w:val="right"/>
              <w:rPr>
                <w:color w:val="000000"/>
                <w:sz w:val="18"/>
                <w:szCs w:val="18"/>
              </w:rPr>
            </w:pPr>
            <w:r w:rsidRPr="00FB360B">
              <w:rPr>
                <w:color w:val="000000"/>
                <w:sz w:val="18"/>
                <w:szCs w:val="18"/>
              </w:rPr>
              <w:t>0,81%</w:t>
            </w:r>
          </w:p>
        </w:tc>
        <w:tc>
          <w:tcPr>
            <w:tcW w:w="0" w:type="auto"/>
            <w:tcBorders>
              <w:top w:val="nil"/>
              <w:left w:val="nil"/>
              <w:bottom w:val="single" w:sz="4" w:space="0" w:color="auto"/>
              <w:right w:val="single" w:sz="4" w:space="0" w:color="auto"/>
            </w:tcBorders>
            <w:shd w:val="clear" w:color="auto" w:fill="auto"/>
            <w:noWrap/>
            <w:vAlign w:val="bottom"/>
            <w:hideMark/>
          </w:tcPr>
          <w:p w14:paraId="6181A442" w14:textId="77777777" w:rsidR="00B673BB" w:rsidRPr="00FB360B" w:rsidRDefault="00B673BB" w:rsidP="00B673BB">
            <w:pPr>
              <w:spacing w:after="0" w:line="240" w:lineRule="auto"/>
              <w:jc w:val="right"/>
              <w:rPr>
                <w:color w:val="000000"/>
                <w:sz w:val="18"/>
                <w:szCs w:val="18"/>
              </w:rPr>
            </w:pPr>
            <w:r w:rsidRPr="00FB360B">
              <w:rPr>
                <w:color w:val="000000"/>
                <w:sz w:val="18"/>
                <w:szCs w:val="18"/>
              </w:rPr>
              <w:t>1,90%</w:t>
            </w:r>
          </w:p>
        </w:tc>
      </w:tr>
      <w:tr w:rsidR="00B673BB" w:rsidRPr="00FB360B" w14:paraId="6E54E33C"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0B603" w14:textId="77777777" w:rsidR="00B673BB" w:rsidRPr="00FB360B" w:rsidRDefault="00B673BB" w:rsidP="00B673BB">
            <w:pPr>
              <w:spacing w:after="0" w:line="240" w:lineRule="auto"/>
              <w:rPr>
                <w:color w:val="000000"/>
                <w:sz w:val="18"/>
                <w:szCs w:val="18"/>
              </w:rPr>
            </w:pPr>
            <w:r w:rsidRPr="00FB360B">
              <w:rPr>
                <w:color w:val="000000"/>
                <w:sz w:val="18"/>
                <w:szCs w:val="18"/>
              </w:rPr>
              <w:lastRenderedPageBreak/>
              <w:t>Bezzwrotny</w:t>
            </w:r>
          </w:p>
        </w:tc>
        <w:tc>
          <w:tcPr>
            <w:tcW w:w="0" w:type="auto"/>
            <w:tcBorders>
              <w:top w:val="nil"/>
              <w:left w:val="nil"/>
              <w:bottom w:val="single" w:sz="4" w:space="0" w:color="auto"/>
              <w:right w:val="single" w:sz="4" w:space="0" w:color="auto"/>
            </w:tcBorders>
            <w:shd w:val="clear" w:color="auto" w:fill="auto"/>
            <w:noWrap/>
            <w:vAlign w:val="bottom"/>
            <w:hideMark/>
          </w:tcPr>
          <w:p w14:paraId="17037772" w14:textId="77777777" w:rsidR="00B673BB" w:rsidRPr="00FB360B" w:rsidRDefault="00B673BB" w:rsidP="00B673BB">
            <w:pPr>
              <w:spacing w:after="0" w:line="240" w:lineRule="auto"/>
              <w:rPr>
                <w:color w:val="000000"/>
                <w:sz w:val="18"/>
                <w:szCs w:val="18"/>
              </w:rPr>
            </w:pPr>
            <w:r w:rsidRPr="00FB360B">
              <w:rPr>
                <w:color w:val="000000"/>
                <w:sz w:val="18"/>
                <w:szCs w:val="18"/>
              </w:rPr>
              <w:t>03c</w:t>
            </w:r>
          </w:p>
        </w:tc>
        <w:tc>
          <w:tcPr>
            <w:tcW w:w="0" w:type="auto"/>
            <w:tcBorders>
              <w:top w:val="nil"/>
              <w:left w:val="nil"/>
              <w:bottom w:val="single" w:sz="4" w:space="0" w:color="auto"/>
              <w:right w:val="single" w:sz="4" w:space="0" w:color="auto"/>
            </w:tcBorders>
            <w:shd w:val="clear" w:color="auto" w:fill="auto"/>
            <w:noWrap/>
            <w:vAlign w:val="bottom"/>
            <w:hideMark/>
          </w:tcPr>
          <w:p w14:paraId="7B0A08AF" w14:textId="77777777" w:rsidR="00B673BB" w:rsidRPr="00FB360B" w:rsidRDefault="00B673BB" w:rsidP="00B673BB">
            <w:pPr>
              <w:spacing w:after="0" w:line="240" w:lineRule="auto"/>
              <w:rPr>
                <w:color w:val="000000"/>
                <w:sz w:val="18"/>
                <w:szCs w:val="18"/>
              </w:rPr>
            </w:pPr>
            <w:r w:rsidRPr="00FB360B">
              <w:rPr>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14:paraId="4AFC0B39" w14:textId="77777777" w:rsidR="00B673BB" w:rsidRPr="00FB360B" w:rsidRDefault="00B673BB" w:rsidP="00B673BB">
            <w:pPr>
              <w:spacing w:after="0" w:line="240" w:lineRule="auto"/>
              <w:jc w:val="right"/>
              <w:rPr>
                <w:color w:val="000000"/>
                <w:sz w:val="18"/>
                <w:szCs w:val="18"/>
              </w:rPr>
            </w:pPr>
            <w:r w:rsidRPr="00FB360B">
              <w:rPr>
                <w:color w:val="000000"/>
                <w:sz w:val="18"/>
                <w:szCs w:val="18"/>
              </w:rPr>
              <w:t>0,06%</w:t>
            </w:r>
          </w:p>
        </w:tc>
        <w:tc>
          <w:tcPr>
            <w:tcW w:w="0" w:type="auto"/>
            <w:tcBorders>
              <w:top w:val="nil"/>
              <w:left w:val="nil"/>
              <w:bottom w:val="single" w:sz="4" w:space="0" w:color="auto"/>
              <w:right w:val="single" w:sz="4" w:space="0" w:color="auto"/>
            </w:tcBorders>
            <w:shd w:val="clear" w:color="auto" w:fill="auto"/>
            <w:noWrap/>
            <w:vAlign w:val="bottom"/>
            <w:hideMark/>
          </w:tcPr>
          <w:p w14:paraId="4247680B" w14:textId="77777777" w:rsidR="00B673BB" w:rsidRPr="00FB360B" w:rsidRDefault="00B673BB" w:rsidP="00B673BB">
            <w:pPr>
              <w:spacing w:after="0" w:line="240" w:lineRule="auto"/>
              <w:jc w:val="right"/>
              <w:rPr>
                <w:color w:val="000000"/>
                <w:sz w:val="18"/>
                <w:szCs w:val="18"/>
              </w:rPr>
            </w:pPr>
            <w:r w:rsidRPr="00FB360B">
              <w:rPr>
                <w:color w:val="000000"/>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14:paraId="486F3BC5" w14:textId="77777777" w:rsidR="00B673BB" w:rsidRPr="00FB360B" w:rsidRDefault="00B673BB" w:rsidP="00B673BB">
            <w:pPr>
              <w:spacing w:after="0" w:line="240" w:lineRule="auto"/>
              <w:jc w:val="right"/>
              <w:rPr>
                <w:color w:val="000000"/>
                <w:sz w:val="18"/>
                <w:szCs w:val="18"/>
              </w:rPr>
            </w:pPr>
            <w:r w:rsidRPr="00FB360B">
              <w:rPr>
                <w:color w:val="000000"/>
                <w:sz w:val="18"/>
                <w:szCs w:val="18"/>
              </w:rPr>
              <w:t>2,00%</w:t>
            </w:r>
          </w:p>
        </w:tc>
      </w:tr>
      <w:tr w:rsidR="00B673BB" w:rsidRPr="00FB360B" w14:paraId="719CFC8F" w14:textId="77777777" w:rsidTr="00B673B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E5980" w14:textId="77777777" w:rsidR="00B673BB" w:rsidRPr="00FB360B" w:rsidRDefault="00B673BB" w:rsidP="00B673BB">
            <w:pPr>
              <w:spacing w:after="0" w:line="240" w:lineRule="auto"/>
              <w:rPr>
                <w:color w:val="000000"/>
                <w:sz w:val="18"/>
                <w:szCs w:val="18"/>
              </w:rPr>
            </w:pPr>
            <w:r w:rsidRPr="00FB360B">
              <w:rPr>
                <w:color w:val="000000"/>
                <w:sz w:val="18"/>
                <w:szCs w:val="18"/>
              </w:rPr>
              <w:t>Zwrotny</w:t>
            </w:r>
          </w:p>
        </w:tc>
        <w:tc>
          <w:tcPr>
            <w:tcW w:w="0" w:type="auto"/>
            <w:tcBorders>
              <w:top w:val="nil"/>
              <w:left w:val="nil"/>
              <w:bottom w:val="single" w:sz="4" w:space="0" w:color="auto"/>
              <w:right w:val="single" w:sz="4" w:space="0" w:color="auto"/>
            </w:tcBorders>
            <w:shd w:val="clear" w:color="auto" w:fill="auto"/>
            <w:noWrap/>
            <w:vAlign w:val="bottom"/>
            <w:hideMark/>
          </w:tcPr>
          <w:p w14:paraId="5ADC6222" w14:textId="77777777" w:rsidR="00B673BB" w:rsidRPr="00FB360B" w:rsidRDefault="00B673BB" w:rsidP="00B673BB">
            <w:pPr>
              <w:spacing w:after="0" w:line="240" w:lineRule="auto"/>
              <w:rPr>
                <w:color w:val="000000"/>
                <w:sz w:val="18"/>
                <w:szCs w:val="18"/>
              </w:rPr>
            </w:pPr>
            <w:r w:rsidRPr="00FB360B">
              <w:rPr>
                <w:color w:val="000000"/>
                <w:sz w:val="18"/>
                <w:szCs w:val="18"/>
              </w:rPr>
              <w:t>03c</w:t>
            </w:r>
          </w:p>
        </w:tc>
        <w:tc>
          <w:tcPr>
            <w:tcW w:w="0" w:type="auto"/>
            <w:tcBorders>
              <w:top w:val="nil"/>
              <w:left w:val="nil"/>
              <w:bottom w:val="single" w:sz="4" w:space="0" w:color="auto"/>
              <w:right w:val="single" w:sz="4" w:space="0" w:color="auto"/>
            </w:tcBorders>
            <w:shd w:val="clear" w:color="auto" w:fill="auto"/>
            <w:noWrap/>
            <w:vAlign w:val="bottom"/>
            <w:hideMark/>
          </w:tcPr>
          <w:p w14:paraId="53AD9C00" w14:textId="77777777" w:rsidR="00B673BB" w:rsidRPr="00FB360B" w:rsidRDefault="00B673BB" w:rsidP="00B673BB">
            <w:pPr>
              <w:spacing w:after="0" w:line="240" w:lineRule="auto"/>
              <w:rPr>
                <w:color w:val="000000"/>
                <w:sz w:val="18"/>
                <w:szCs w:val="18"/>
              </w:rPr>
            </w:pPr>
            <w:r w:rsidRPr="00FB360B">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14:paraId="46468A2F" w14:textId="77777777" w:rsidR="00B673BB" w:rsidRPr="00FB360B" w:rsidRDefault="00B673BB" w:rsidP="00B673BB">
            <w:pPr>
              <w:spacing w:after="0" w:line="240" w:lineRule="auto"/>
              <w:jc w:val="right"/>
              <w:rPr>
                <w:color w:val="000000"/>
                <w:sz w:val="18"/>
                <w:szCs w:val="18"/>
              </w:rPr>
            </w:pPr>
            <w:r w:rsidRPr="00FB360B">
              <w:rPr>
                <w:color w:val="000000"/>
                <w:sz w:val="18"/>
                <w:szCs w:val="18"/>
              </w:rPr>
              <w:t>15,61%</w:t>
            </w:r>
          </w:p>
        </w:tc>
        <w:tc>
          <w:tcPr>
            <w:tcW w:w="0" w:type="auto"/>
            <w:tcBorders>
              <w:top w:val="nil"/>
              <w:left w:val="nil"/>
              <w:bottom w:val="single" w:sz="4" w:space="0" w:color="auto"/>
              <w:right w:val="single" w:sz="4" w:space="0" w:color="auto"/>
            </w:tcBorders>
            <w:shd w:val="clear" w:color="auto" w:fill="auto"/>
            <w:noWrap/>
            <w:vAlign w:val="bottom"/>
            <w:hideMark/>
          </w:tcPr>
          <w:p w14:paraId="1B301347" w14:textId="77777777" w:rsidR="00B673BB" w:rsidRPr="00FB360B" w:rsidRDefault="00B673BB" w:rsidP="00B673BB">
            <w:pPr>
              <w:spacing w:after="0" w:line="240" w:lineRule="auto"/>
              <w:jc w:val="right"/>
              <w:rPr>
                <w:color w:val="000000"/>
                <w:sz w:val="18"/>
                <w:szCs w:val="18"/>
              </w:rPr>
            </w:pPr>
            <w:r w:rsidRPr="00FB360B">
              <w:rPr>
                <w:color w:val="000000"/>
                <w:sz w:val="18"/>
                <w:szCs w:val="18"/>
              </w:rPr>
              <w:t>72,60%</w:t>
            </w:r>
          </w:p>
        </w:tc>
        <w:tc>
          <w:tcPr>
            <w:tcW w:w="0" w:type="auto"/>
            <w:tcBorders>
              <w:top w:val="nil"/>
              <w:left w:val="nil"/>
              <w:bottom w:val="single" w:sz="4" w:space="0" w:color="auto"/>
              <w:right w:val="single" w:sz="4" w:space="0" w:color="auto"/>
            </w:tcBorders>
            <w:shd w:val="clear" w:color="auto" w:fill="auto"/>
            <w:noWrap/>
            <w:vAlign w:val="bottom"/>
            <w:hideMark/>
          </w:tcPr>
          <w:p w14:paraId="1E605B58" w14:textId="77777777" w:rsidR="00B673BB" w:rsidRPr="00FB360B" w:rsidRDefault="00B673BB" w:rsidP="00B673BB">
            <w:pPr>
              <w:spacing w:after="0" w:line="240" w:lineRule="auto"/>
              <w:jc w:val="right"/>
              <w:rPr>
                <w:color w:val="000000"/>
                <w:sz w:val="18"/>
                <w:szCs w:val="18"/>
              </w:rPr>
            </w:pPr>
            <w:r w:rsidRPr="00FB360B">
              <w:rPr>
                <w:color w:val="000000"/>
                <w:sz w:val="18"/>
                <w:szCs w:val="18"/>
              </w:rPr>
              <w:t>72,60%</w:t>
            </w:r>
          </w:p>
        </w:tc>
      </w:tr>
    </w:tbl>
    <w:p w14:paraId="2D3CE9B3" w14:textId="2EE13A06" w:rsidR="00B673BB" w:rsidRPr="00D21299" w:rsidRDefault="00B673BB" w:rsidP="001D3274">
      <w:pPr>
        <w:rPr>
          <w:i/>
          <w:sz w:val="18"/>
          <w:szCs w:val="18"/>
        </w:rPr>
      </w:pPr>
      <w:r w:rsidRPr="00D21299">
        <w:rPr>
          <w:rFonts w:cs="Calibri"/>
          <w:i/>
          <w:sz w:val="18"/>
          <w:szCs w:val="18"/>
        </w:rPr>
        <w:t>Źródło: obliczenia własne na podstawie danych SL 2014 (stan na dzień 07.01.2019).</w:t>
      </w:r>
    </w:p>
    <w:p w14:paraId="14DE3313" w14:textId="77777777" w:rsidR="00B673BB" w:rsidRDefault="00B673BB" w:rsidP="00B673BB">
      <w:r w:rsidRPr="007E250A">
        <w:t>Na podstawie przeprowadzonej analizy wskaźnik</w:t>
      </w:r>
      <w:r>
        <w:t>a</w:t>
      </w:r>
      <w:r w:rsidRPr="007E250A">
        <w:t xml:space="preserve"> można </w:t>
      </w:r>
      <w:r>
        <w:t>w</w:t>
      </w:r>
      <w:r w:rsidRPr="007E250A">
        <w:t>nioskować, że zwrotne instrumenty finansowe nie są dobrym narzędziem do tworzeni</w:t>
      </w:r>
      <w:r w:rsidRPr="008B3BF9">
        <w:t xml:space="preserve">a warunków sprzyjających </w:t>
      </w:r>
      <w:r>
        <w:t>budowaniu</w:t>
      </w:r>
      <w:r w:rsidRPr="007E250A">
        <w:t xml:space="preserve"> innowacyjnego sektora mikro, małych</w:t>
      </w:r>
      <w:r w:rsidR="00E66B89">
        <w:t xml:space="preserve"> i </w:t>
      </w:r>
      <w:r w:rsidRPr="007E250A">
        <w:t>średnich przedsiębiorstw</w:t>
      </w:r>
      <w:r w:rsidR="00E66B89">
        <w:t xml:space="preserve"> w </w:t>
      </w:r>
      <w:r w:rsidRPr="007E250A">
        <w:t>województwie zachodniopomorskim.</w:t>
      </w:r>
      <w:r w:rsidRPr="001F2C7D">
        <w:t xml:space="preserve"> </w:t>
      </w:r>
    </w:p>
    <w:p w14:paraId="2B5A187A" w14:textId="77777777" w:rsidR="00B673BB" w:rsidRDefault="00B673BB" w:rsidP="00B673BB">
      <w:r w:rsidRPr="007E250A">
        <w:t>Jedną</w:t>
      </w:r>
      <w:r w:rsidR="00E66B89">
        <w:t xml:space="preserve"> z </w:t>
      </w:r>
      <w:r w:rsidRPr="007E250A">
        <w:t>głównych przyczyn</w:t>
      </w:r>
      <w:r>
        <w:t xml:space="preserve"> tej sytuacji</w:t>
      </w:r>
      <w:r w:rsidRPr="007E250A">
        <w:t>, jest fakt, że inwestycje</w:t>
      </w:r>
      <w:r w:rsidR="00E66B89">
        <w:t xml:space="preserve"> w </w:t>
      </w:r>
      <w:r w:rsidRPr="007E250A">
        <w:t>działalność innowacyjną są obarczone wysokim ryzykiem. Oznacza to, że</w:t>
      </w:r>
      <w:r w:rsidR="00E66B89">
        <w:t xml:space="preserve"> w </w:t>
      </w:r>
      <w:r w:rsidRPr="007E250A">
        <w:t>przypadku niepowodzenia inwestycji, przedsiębiorca jest nadal zobowiązany do zwrócenia otrzymanych</w:t>
      </w:r>
      <w:r w:rsidRPr="00073C93">
        <w:t xml:space="preserve"> </w:t>
      </w:r>
      <w:r w:rsidRPr="007E250A">
        <w:t xml:space="preserve">funduszy, </w:t>
      </w:r>
      <w:r>
        <w:t>które</w:t>
      </w:r>
      <w:r w:rsidRPr="007E250A">
        <w:t xml:space="preserve"> wyda</w:t>
      </w:r>
      <w:r>
        <w:t>ł</w:t>
      </w:r>
      <w:r w:rsidRPr="007E250A">
        <w:t>. Taki scenariusz jest szczególnie kłopotliwy</w:t>
      </w:r>
      <w:r w:rsidR="00E66B89">
        <w:t xml:space="preserve"> z </w:t>
      </w:r>
      <w:r w:rsidRPr="007E250A">
        <w:t>perspektywy kontynuacji prowadzenia działalności dla mikro, małych</w:t>
      </w:r>
      <w:r w:rsidR="00E66B89">
        <w:t xml:space="preserve"> i </w:t>
      </w:r>
      <w:r w:rsidRPr="007E250A">
        <w:t>średnich przedsiębiorstw. Co ciekawe, opinie zebrane</w:t>
      </w:r>
      <w:r w:rsidR="00E66B89">
        <w:t xml:space="preserve"> w </w:t>
      </w:r>
      <w:r w:rsidRPr="007E250A">
        <w:t>ramach wywiadów przeczą tej (ogólnej) hipotezie. Należałoby zbadać / skontrolować na jakiego rodzaju działania innowacyjne przeznaczane są otrzymane środki. Jeśli jest to innowacja oparta</w:t>
      </w:r>
      <w:r w:rsidR="00E66B89">
        <w:t xml:space="preserve"> o </w:t>
      </w:r>
      <w:r w:rsidRPr="007E250A">
        <w:t>imitację (np. sprowadzanie produktów, usług, rozwiązań</w:t>
      </w:r>
      <w:r w:rsidR="00E66B89">
        <w:t xml:space="preserve"> z </w:t>
      </w:r>
      <w:r w:rsidRPr="007E250A">
        <w:t>zagranicy do Polski), to nie można tu mówić</w:t>
      </w:r>
      <w:r w:rsidR="00E66B89">
        <w:t xml:space="preserve"> o </w:t>
      </w:r>
      <w:r w:rsidRPr="007E250A">
        <w:t>prawdziwej innowacji,</w:t>
      </w:r>
      <w:r w:rsidR="00E66B89">
        <w:t xml:space="preserve"> a </w:t>
      </w:r>
      <w:r w:rsidRPr="007E250A">
        <w:t>co za tym idzie ryzyko podjętego „działania innowacyjnego” jest zdecydowanie niższe. Zakup sprawdzonego już rozwiązania, które rzeczywiście może być nowe dla firmy lub dla rynku, jest zdecydowanie bliższy (głównie pod względem ryzyka) zakupowi kapitału rzeczowego niż prawdziwej innowacji. Kolejnym wyzwaniem jest minimalny wkład własny</w:t>
      </w:r>
      <w:r w:rsidR="00E66B89">
        <w:t xml:space="preserve"> w </w:t>
      </w:r>
      <w:r w:rsidRPr="007E250A">
        <w:t>wysokości 15% wydatków kwalifikowanych</w:t>
      </w:r>
      <w:r>
        <w:t xml:space="preserve"> (zwłaszcza</w:t>
      </w:r>
      <w:r w:rsidR="00E66B89">
        <w:t xml:space="preserve"> w </w:t>
      </w:r>
      <w:r>
        <w:t>przypadku instrumentów finansowych zwrotnych jak</w:t>
      </w:r>
      <w:r w:rsidR="00E66B89">
        <w:t xml:space="preserve"> w </w:t>
      </w:r>
      <w:r>
        <w:t>Działaniu 1.9)</w:t>
      </w:r>
      <w:r w:rsidRPr="00C22C26">
        <w:t>. Należy pamiętać, że mikro, małe</w:t>
      </w:r>
      <w:r w:rsidR="00E66B89">
        <w:t xml:space="preserve"> i </w:t>
      </w:r>
      <w:r w:rsidRPr="00C22C26">
        <w:t>średnie przedsiębiorstwa są jednostkami</w:t>
      </w:r>
      <w:r w:rsidR="00E66B89">
        <w:t xml:space="preserve"> o </w:t>
      </w:r>
      <w:r w:rsidRPr="00C22C26">
        <w:t>relatywnie ograniczonych wolnych funduszach,</w:t>
      </w:r>
      <w:r w:rsidR="00E66B89">
        <w:t xml:space="preserve"> a </w:t>
      </w:r>
      <w:r w:rsidRPr="00C22C26">
        <w:t>część</w:t>
      </w:r>
      <w:r w:rsidR="00E66B89">
        <w:t xml:space="preserve"> z </w:t>
      </w:r>
      <w:r w:rsidRPr="00C22C26">
        <w:t>nich stanowi zabezpieczenie ciągłości działalności na wypadek efektów egzogenicznych (np. problemy</w:t>
      </w:r>
      <w:r w:rsidR="00E66B89">
        <w:t xml:space="preserve"> z </w:t>
      </w:r>
      <w:r w:rsidRPr="00C22C26">
        <w:t>terminowym regulowaniem płatności przez klientów). Zatem, wymaganie by mikro, małe</w:t>
      </w:r>
      <w:r w:rsidR="00E66B89">
        <w:t xml:space="preserve"> i </w:t>
      </w:r>
      <w:r w:rsidRPr="00C22C26">
        <w:t>średnie przedsiębiorstwa przeznaczyły część wolnego kapitału inwestycyjnego na inwestycje, których niepowodzenie skutkuje nie tylko utratą środków własnych, ale również pożyczonych środków zwrotnych jest kolejnym hamulcem</w:t>
      </w:r>
      <w:r w:rsidR="00E66B89">
        <w:t xml:space="preserve"> w </w:t>
      </w:r>
      <w:r w:rsidRPr="00C22C26">
        <w:t>wykorzystywaniu potencjału Działania 1.9 przez grupy docelowe.</w:t>
      </w:r>
    </w:p>
    <w:p w14:paraId="3A69B91E" w14:textId="77777777" w:rsidR="00C22C26" w:rsidRDefault="00B673BB" w:rsidP="00C22C26">
      <w:r w:rsidRPr="00D87C77">
        <w:t>W tym miejscu należy jednak zaznaczyć, że podczas wywiadu</w:t>
      </w:r>
      <w:r w:rsidR="00E66B89">
        <w:t xml:space="preserve"> z </w:t>
      </w:r>
      <w:r w:rsidRPr="00D87C77">
        <w:t xml:space="preserve">przedstawicielem Instytucji </w:t>
      </w:r>
      <w:r>
        <w:t>Zarządzającej</w:t>
      </w:r>
      <w:r w:rsidRPr="00D87C77">
        <w:t xml:space="preserve"> Program</w:t>
      </w:r>
      <w:r>
        <w:t>em</w:t>
      </w:r>
      <w:r w:rsidRPr="00D87C77">
        <w:t xml:space="preserve"> </w:t>
      </w:r>
      <w:r>
        <w:t>stwierdzono</w:t>
      </w:r>
      <w:r w:rsidRPr="00D87C77">
        <w:t>, że od strony instrumentów finansowych Działanie 1.9 radzi sobie bardzo dobrze. Jednym</w:t>
      </w:r>
      <w:r w:rsidR="00E66B89">
        <w:t xml:space="preserve"> z </w:t>
      </w:r>
      <w:r w:rsidRPr="00D87C77">
        <w:t>elementów przyczyniających się do skutecznej realizacji opisywanych instrumentów</w:t>
      </w:r>
      <w:r w:rsidR="00E66B89">
        <w:t xml:space="preserve"> w </w:t>
      </w:r>
      <w:r w:rsidRPr="00D87C77">
        <w:t xml:space="preserve">Działaniu 1.9 jest fakt, </w:t>
      </w:r>
      <w:r w:rsidRPr="007E3ED0">
        <w:t xml:space="preserve">że </w:t>
      </w:r>
      <w:r w:rsidRPr="000B34F3">
        <w:t>Bank Gospodarstwa Krajowego jako Menadżer Funduszu Funduszy (MFF)</w:t>
      </w:r>
      <w:r w:rsidRPr="007E3ED0">
        <w:t xml:space="preserve"> dobrze radzi sobie</w:t>
      </w:r>
      <w:r w:rsidR="00E66B89">
        <w:t xml:space="preserve"> z </w:t>
      </w:r>
      <w:r>
        <w:t>wdrażaniem interwencji</w:t>
      </w:r>
      <w:r w:rsidRPr="007E3ED0">
        <w:t>. Kolejnym elementem wpływającym pozytywnie na skuteczną realizację tej formy wsparcia jest charakterystyka grupy docelowej. Instrumenty finansowe zwrotne (pożyczki) są głównie wykorzystywane przez mikroprzedsiębiorstwa,</w:t>
      </w:r>
      <w:r w:rsidR="00E66B89">
        <w:t xml:space="preserve"> a </w:t>
      </w:r>
      <w:r w:rsidRPr="007E3ED0">
        <w:t>przede wszystkim start-upy.</w:t>
      </w:r>
      <w:r>
        <w:t xml:space="preserve"> Widać zatem, że istnieje potrzeba finansowania tego typu rozwiązaniami przedsiębiorstw, które mają problem</w:t>
      </w:r>
      <w:r w:rsidR="00E66B89">
        <w:t xml:space="preserve"> z </w:t>
      </w:r>
      <w:r>
        <w:t>pozyskaniem pieniądza kredytowego na komercyjnym rynku finansowym. Brak tej zdolności może być związany</w:t>
      </w:r>
      <w:r w:rsidR="00E66B89">
        <w:t xml:space="preserve"> z </w:t>
      </w:r>
      <w:r>
        <w:t>faktem, że mikro lub młode przedsiębiorstwa często nie mogą wykazać stałych lub wystarczających źródeł dochodów oraz aktywów</w:t>
      </w:r>
      <w:r w:rsidR="00E66B89">
        <w:t xml:space="preserve"> o </w:t>
      </w:r>
      <w:r>
        <w:t>wartości wystarczającej by mogły one zostać uznane za zabezpieczenie pożyczki. Kolejną barierą związaną</w:t>
      </w:r>
      <w:r w:rsidR="00E66B89">
        <w:t xml:space="preserve"> z </w:t>
      </w:r>
      <w:r>
        <w:t>pozyskaniem pieniądza kredytowego</w:t>
      </w:r>
      <w:r w:rsidR="00E66B89">
        <w:t xml:space="preserve"> w </w:t>
      </w:r>
      <w:r>
        <w:t>prywatnym sektorze finansowym jest wysoki stopień ryzyka związany</w:t>
      </w:r>
      <w:r w:rsidR="00E66B89">
        <w:t xml:space="preserve"> z </w:t>
      </w:r>
      <w:r>
        <w:t xml:space="preserve">działalnością B+R. </w:t>
      </w:r>
      <w:r w:rsidRPr="008F36A5">
        <w:t>Należy pamiętać, że generalnie im mniejsze</w:t>
      </w:r>
      <w:r w:rsidR="00E66B89">
        <w:t xml:space="preserve"> i </w:t>
      </w:r>
      <w:r w:rsidRPr="008F36A5">
        <w:t>nowsze przedsiębiorstwo, tym mniejszy jest potencjał finansowy</w:t>
      </w:r>
      <w:r w:rsidR="00E66B89">
        <w:t xml:space="preserve"> i </w:t>
      </w:r>
      <w:r w:rsidRPr="008F36A5">
        <w:t>tym większa awersja do ryzyka.</w:t>
      </w:r>
      <w:r>
        <w:t xml:space="preserve"> Zatem jeśli mowa</w:t>
      </w:r>
      <w:r w:rsidR="00E66B89">
        <w:t xml:space="preserve"> o </w:t>
      </w:r>
      <w:r>
        <w:t>mikroprzedsiębiorstwach lub sta</w:t>
      </w:r>
      <w:r w:rsidR="00703AED">
        <w:t>r</w:t>
      </w:r>
      <w:r>
        <w:t xml:space="preserve">t-upach, które potrzebują finansowania zewnętrznego na działania innowacyjne – zwłaszcza we </w:t>
      </w:r>
      <w:r>
        <w:lastRenderedPageBreak/>
        <w:t>wczesnych etapach prac B+R, np. na stadium projektu – finansowanie</w:t>
      </w:r>
      <w:r w:rsidR="00E66B89">
        <w:t xml:space="preserve"> z </w:t>
      </w:r>
      <w:r>
        <w:t>sektora publicznego może być jednym rozwiązaniem.</w:t>
      </w:r>
    </w:p>
    <w:p w14:paraId="04EF819A" w14:textId="77777777" w:rsidR="00B673BB" w:rsidRPr="005F68FB" w:rsidRDefault="00B673BB" w:rsidP="00C22C26">
      <w:pPr>
        <w:pStyle w:val="Nagwek2"/>
      </w:pPr>
      <w:bookmarkStart w:id="394" w:name="_Toc6523757"/>
      <w:r w:rsidRPr="005F68FB">
        <w:t xml:space="preserve">Porównanie Działań 6.4 </w:t>
      </w:r>
      <w:r w:rsidR="00E66B89">
        <w:t>i </w:t>
      </w:r>
      <w:r w:rsidRPr="005F68FB">
        <w:t>6.5</w:t>
      </w:r>
      <w:bookmarkEnd w:id="394"/>
      <w:r w:rsidRPr="005F68FB">
        <w:t xml:space="preserve"> </w:t>
      </w:r>
    </w:p>
    <w:p w14:paraId="734BB248" w14:textId="77777777" w:rsidR="00B673BB" w:rsidRDefault="00B673BB" w:rsidP="00B673BB">
      <w:r>
        <w:t xml:space="preserve">Dla Działania 6.5 stopień osiągnięcia wartości końcowej wskaźnika </w:t>
      </w:r>
      <w:r w:rsidRPr="00C22C26">
        <w:rPr>
          <w:i/>
        </w:rPr>
        <w:t>Liczba utworzonych miejsc pracy</w:t>
      </w:r>
      <w:r w:rsidR="00E66B89">
        <w:rPr>
          <w:i/>
        </w:rPr>
        <w:t xml:space="preserve"> w </w:t>
      </w:r>
      <w:r w:rsidRPr="00C22C26">
        <w:rPr>
          <w:i/>
        </w:rPr>
        <w:t>ramach udzielonych</w:t>
      </w:r>
      <w:r w:rsidR="00E66B89">
        <w:rPr>
          <w:i/>
        </w:rPr>
        <w:t xml:space="preserve"> z </w:t>
      </w:r>
      <w:r w:rsidRPr="00C22C26">
        <w:rPr>
          <w:i/>
        </w:rPr>
        <w:t>EFS środków na podjęcie działalności gospodarczej</w:t>
      </w:r>
      <w:r>
        <w:t xml:space="preserve"> wynosi 66,57%.</w:t>
      </w:r>
      <w:r w:rsidR="00E66B89">
        <w:t xml:space="preserve"> O </w:t>
      </w:r>
      <w:r>
        <w:t>ile prognozowany (na podstawie umów</w:t>
      </w:r>
      <w:r w:rsidR="00E66B89">
        <w:t xml:space="preserve"> o </w:t>
      </w:r>
      <w:r>
        <w:t>dofinansowanie) stopień osiągnięcia wartości końcowej wskaźnika jest wyższy dla Działania 6.4 (83,08% vs. 75,65% dla Działania 6.5),</w:t>
      </w:r>
      <w:r w:rsidR="00E66B89">
        <w:t xml:space="preserve"> o </w:t>
      </w:r>
      <w:r>
        <w:t>tyle</w:t>
      </w:r>
      <w:r w:rsidR="00E66B89">
        <w:t xml:space="preserve"> w </w:t>
      </w:r>
      <w:r>
        <w:t>przypadku prognozy ilościowej zakładającej wykorzystanie całej pozostałej</w:t>
      </w:r>
      <w:r w:rsidR="00E66B89">
        <w:t xml:space="preserve"> w </w:t>
      </w:r>
      <w:r>
        <w:t>Działaniu alokacji, jak</w:t>
      </w:r>
      <w:r w:rsidR="00E66B89">
        <w:t xml:space="preserve"> i </w:t>
      </w:r>
      <w:r>
        <w:t>jej proporcjonalne przypisanie Działanie 6.5 wypada znacznie lepiej niż Działanie 6.4: 192,24% vs. 101,67%</w:t>
      </w:r>
      <w:r w:rsidR="00E66B89">
        <w:t xml:space="preserve"> i </w:t>
      </w:r>
      <w:r>
        <w:t>163,55%</w:t>
      </w:r>
      <w:r w:rsidR="00E66B89">
        <w:t xml:space="preserve"> i </w:t>
      </w:r>
      <w:r>
        <w:t>101,67%, odpowiednio.</w:t>
      </w:r>
    </w:p>
    <w:p w14:paraId="3A035CFB" w14:textId="77777777" w:rsidR="00B673BB" w:rsidRDefault="00B673BB" w:rsidP="00024F00">
      <w:pPr>
        <w:pStyle w:val="Legenda"/>
        <w:spacing w:after="0"/>
      </w:pPr>
      <w:bookmarkStart w:id="395" w:name="_Toc8824287"/>
      <w:r>
        <w:t xml:space="preserve">Tabela </w:t>
      </w:r>
      <w:r w:rsidR="006E34DC">
        <w:fldChar w:fldCharType="begin"/>
      </w:r>
      <w:r w:rsidR="006E34DC">
        <w:instrText xml:space="preserve"> SEQ Tabela \* ARABIC </w:instrText>
      </w:r>
      <w:r w:rsidR="006E34DC">
        <w:fldChar w:fldCharType="separate"/>
      </w:r>
      <w:r w:rsidR="00763345">
        <w:rPr>
          <w:noProof/>
        </w:rPr>
        <w:t>176</w:t>
      </w:r>
      <w:r w:rsidR="006E34DC">
        <w:fldChar w:fldCharType="end"/>
      </w:r>
      <w:r>
        <w:t xml:space="preserve">. </w:t>
      </w:r>
      <w:r w:rsidRPr="00BE386D">
        <w:t>Wartości wskaźnika „</w:t>
      </w:r>
      <w:r w:rsidRPr="00BA2717">
        <w:t>Liczba utworzonych miejsc pracy</w:t>
      </w:r>
      <w:r w:rsidR="00E66B89">
        <w:t xml:space="preserve"> w </w:t>
      </w:r>
      <w:r w:rsidRPr="00BA2717">
        <w:t>ramach udzielonych</w:t>
      </w:r>
      <w:r w:rsidR="00E66B89">
        <w:t xml:space="preserve"> z </w:t>
      </w:r>
      <w:r w:rsidRPr="00BA2717">
        <w:t>EFS środków na podjęcie działalności gospodarczej</w:t>
      </w:r>
      <w:r w:rsidRPr="00BE386D">
        <w:t>” dla wybranych Działań</w:t>
      </w:r>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41"/>
        <w:gridCol w:w="951"/>
        <w:gridCol w:w="1207"/>
        <w:gridCol w:w="1396"/>
        <w:gridCol w:w="1396"/>
        <w:gridCol w:w="1412"/>
      </w:tblGrid>
      <w:tr w:rsidR="00B673BB" w:rsidRPr="006D699C" w14:paraId="06382E4A" w14:textId="77777777" w:rsidTr="00026C04">
        <w:trPr>
          <w:trHeight w:val="1582"/>
          <w:tblHeader/>
        </w:trPr>
        <w:tc>
          <w:tcPr>
            <w:tcW w:w="787" w:type="pct"/>
            <w:shd w:val="clear" w:color="auto" w:fill="DEEAF6" w:themeFill="accent1" w:themeFillTint="33"/>
            <w:vAlign w:val="bottom"/>
            <w:hideMark/>
          </w:tcPr>
          <w:p w14:paraId="2E12E785" w14:textId="77777777" w:rsidR="00B673BB" w:rsidRPr="006D699C" w:rsidRDefault="00B673BB" w:rsidP="00B673BB">
            <w:pPr>
              <w:spacing w:after="0" w:line="240" w:lineRule="auto"/>
              <w:rPr>
                <w:color w:val="000000"/>
                <w:sz w:val="18"/>
              </w:rPr>
            </w:pPr>
            <w:r w:rsidRPr="006D699C">
              <w:rPr>
                <w:color w:val="000000"/>
                <w:sz w:val="18"/>
              </w:rPr>
              <w:t>Rodzaj instrument finansowego</w:t>
            </w:r>
          </w:p>
        </w:tc>
        <w:tc>
          <w:tcPr>
            <w:tcW w:w="887" w:type="pct"/>
            <w:shd w:val="clear" w:color="auto" w:fill="DEEAF6" w:themeFill="accent1" w:themeFillTint="33"/>
            <w:vAlign w:val="bottom"/>
            <w:hideMark/>
          </w:tcPr>
          <w:p w14:paraId="2648A718" w14:textId="77777777" w:rsidR="00B673BB" w:rsidRPr="006D699C" w:rsidRDefault="00B673BB" w:rsidP="00B673BB">
            <w:pPr>
              <w:spacing w:after="0" w:line="240" w:lineRule="auto"/>
              <w:rPr>
                <w:color w:val="000000"/>
                <w:sz w:val="18"/>
              </w:rPr>
            </w:pPr>
            <w:r w:rsidRPr="006D699C">
              <w:rPr>
                <w:color w:val="000000"/>
                <w:sz w:val="18"/>
              </w:rPr>
              <w:t>Priorytet inwestycyjny</w:t>
            </w:r>
          </w:p>
        </w:tc>
        <w:tc>
          <w:tcPr>
            <w:tcW w:w="487" w:type="pct"/>
            <w:shd w:val="clear" w:color="auto" w:fill="DEEAF6" w:themeFill="accent1" w:themeFillTint="33"/>
            <w:vAlign w:val="bottom"/>
            <w:hideMark/>
          </w:tcPr>
          <w:p w14:paraId="4C3F0C06" w14:textId="77777777" w:rsidR="00B673BB" w:rsidRPr="006D699C" w:rsidRDefault="00B673BB" w:rsidP="00B673BB">
            <w:pPr>
              <w:spacing w:after="0" w:line="240" w:lineRule="auto"/>
              <w:rPr>
                <w:color w:val="000000"/>
                <w:sz w:val="18"/>
              </w:rPr>
            </w:pPr>
            <w:r w:rsidRPr="006D699C">
              <w:rPr>
                <w:color w:val="000000"/>
                <w:sz w:val="18"/>
              </w:rPr>
              <w:t>Działanie</w:t>
            </w:r>
          </w:p>
        </w:tc>
        <w:tc>
          <w:tcPr>
            <w:tcW w:w="666" w:type="pct"/>
            <w:shd w:val="clear" w:color="auto" w:fill="DEEAF6" w:themeFill="accent1" w:themeFillTint="33"/>
            <w:vAlign w:val="bottom"/>
            <w:hideMark/>
          </w:tcPr>
          <w:p w14:paraId="29BD26E3" w14:textId="77777777" w:rsidR="00B673BB" w:rsidRPr="006D699C" w:rsidRDefault="00B673BB" w:rsidP="00B673BB">
            <w:pPr>
              <w:spacing w:after="0" w:line="240" w:lineRule="auto"/>
              <w:rPr>
                <w:color w:val="000000"/>
                <w:sz w:val="18"/>
              </w:rPr>
            </w:pPr>
            <w:r w:rsidRPr="006D699C">
              <w:rPr>
                <w:color w:val="000000"/>
                <w:sz w:val="18"/>
              </w:rPr>
              <w:t xml:space="preserve">Stopień osiągnięcia </w:t>
            </w:r>
            <w:r>
              <w:rPr>
                <w:color w:val="000000"/>
                <w:sz w:val="18"/>
              </w:rPr>
              <w:t>wartości końcowej</w:t>
            </w:r>
            <w:r w:rsidR="00E66B89">
              <w:rPr>
                <w:color w:val="000000"/>
                <w:sz w:val="18"/>
              </w:rPr>
              <w:t xml:space="preserve"> w </w:t>
            </w:r>
            <w:r>
              <w:rPr>
                <w:color w:val="000000"/>
                <w:sz w:val="18"/>
              </w:rPr>
              <w:t>programie</w:t>
            </w:r>
          </w:p>
        </w:tc>
        <w:tc>
          <w:tcPr>
            <w:tcW w:w="716" w:type="pct"/>
            <w:shd w:val="clear" w:color="auto" w:fill="DEEAF6" w:themeFill="accent1" w:themeFillTint="33"/>
            <w:vAlign w:val="bottom"/>
            <w:hideMark/>
          </w:tcPr>
          <w:p w14:paraId="58898ABC" w14:textId="77777777" w:rsidR="00B673BB" w:rsidRPr="006D699C" w:rsidRDefault="00B673BB" w:rsidP="00B673BB">
            <w:pPr>
              <w:spacing w:after="0" w:line="240" w:lineRule="auto"/>
              <w:rPr>
                <w:color w:val="000000"/>
                <w:sz w:val="18"/>
              </w:rPr>
            </w:pPr>
            <w:r w:rsidRPr="006D699C">
              <w:rPr>
                <w:color w:val="000000"/>
                <w:sz w:val="18"/>
              </w:rPr>
              <w:t>Prognozowany stopień o</w:t>
            </w:r>
            <w:r>
              <w:rPr>
                <w:color w:val="000000"/>
                <w:sz w:val="18"/>
              </w:rPr>
              <w:t>siągnięcia wartości końcowej</w:t>
            </w:r>
            <w:r w:rsidR="00E66B89">
              <w:rPr>
                <w:color w:val="000000"/>
                <w:sz w:val="18"/>
              </w:rPr>
              <w:t xml:space="preserve"> w </w:t>
            </w:r>
            <w:r>
              <w:rPr>
                <w:color w:val="000000"/>
                <w:sz w:val="18"/>
              </w:rPr>
              <w:t>programie</w:t>
            </w:r>
          </w:p>
        </w:tc>
        <w:tc>
          <w:tcPr>
            <w:tcW w:w="716" w:type="pct"/>
            <w:shd w:val="clear" w:color="auto" w:fill="DEEAF6" w:themeFill="accent1" w:themeFillTint="33"/>
            <w:vAlign w:val="bottom"/>
            <w:hideMark/>
          </w:tcPr>
          <w:p w14:paraId="2F9C37F2" w14:textId="77777777" w:rsidR="00B673BB" w:rsidRPr="006D699C" w:rsidRDefault="00B673BB" w:rsidP="00B673BB">
            <w:pPr>
              <w:spacing w:after="0" w:line="240" w:lineRule="auto"/>
              <w:rPr>
                <w:color w:val="000000"/>
                <w:sz w:val="18"/>
              </w:rPr>
            </w:pPr>
            <w:r w:rsidRPr="006D699C">
              <w:rPr>
                <w:color w:val="000000"/>
                <w:sz w:val="18"/>
              </w:rPr>
              <w:t>Prognozowany % os</w:t>
            </w:r>
            <w:r>
              <w:rPr>
                <w:color w:val="000000"/>
                <w:sz w:val="18"/>
              </w:rPr>
              <w:t>iągnięcia wartości wskaźnika</w:t>
            </w:r>
            <w:r w:rsidR="00E66B89">
              <w:rPr>
                <w:color w:val="000000"/>
                <w:sz w:val="18"/>
              </w:rPr>
              <w:t xml:space="preserve"> w </w:t>
            </w:r>
            <w:r>
              <w:rPr>
                <w:color w:val="000000"/>
                <w:sz w:val="18"/>
              </w:rPr>
              <w:t>p</w:t>
            </w:r>
            <w:r w:rsidRPr="006D699C">
              <w:rPr>
                <w:color w:val="000000"/>
                <w:sz w:val="18"/>
              </w:rPr>
              <w:t xml:space="preserve">rogramie </w:t>
            </w:r>
            <w:r>
              <w:rPr>
                <w:color w:val="000000"/>
                <w:sz w:val="18"/>
              </w:rPr>
              <w:t xml:space="preserve">– całość pozostałej alokacji </w:t>
            </w:r>
          </w:p>
        </w:tc>
        <w:tc>
          <w:tcPr>
            <w:tcW w:w="740" w:type="pct"/>
            <w:shd w:val="clear" w:color="auto" w:fill="DEEAF6" w:themeFill="accent1" w:themeFillTint="33"/>
            <w:vAlign w:val="bottom"/>
            <w:hideMark/>
          </w:tcPr>
          <w:p w14:paraId="171B1D1A" w14:textId="77777777" w:rsidR="00B673BB" w:rsidRPr="006D699C" w:rsidRDefault="00B673BB" w:rsidP="00B673BB">
            <w:pPr>
              <w:spacing w:after="0" w:line="240" w:lineRule="auto"/>
              <w:rPr>
                <w:color w:val="000000"/>
                <w:sz w:val="18"/>
              </w:rPr>
            </w:pPr>
            <w:r>
              <w:rPr>
                <w:color w:val="000000"/>
                <w:sz w:val="18"/>
              </w:rPr>
              <w:t>Pr</w:t>
            </w:r>
            <w:r w:rsidRPr="006D699C">
              <w:rPr>
                <w:color w:val="000000"/>
                <w:sz w:val="18"/>
              </w:rPr>
              <w:t>ognozowany % osiągnięcia wartości wskaźnika</w:t>
            </w:r>
            <w:r w:rsidR="00E66B89">
              <w:rPr>
                <w:color w:val="000000"/>
                <w:sz w:val="18"/>
              </w:rPr>
              <w:t xml:space="preserve"> w </w:t>
            </w:r>
            <w:r>
              <w:rPr>
                <w:color w:val="000000"/>
                <w:sz w:val="18"/>
              </w:rPr>
              <w:t>p</w:t>
            </w:r>
            <w:r w:rsidRPr="006D699C">
              <w:rPr>
                <w:color w:val="000000"/>
                <w:sz w:val="18"/>
              </w:rPr>
              <w:t>rogramie</w:t>
            </w:r>
            <w:r>
              <w:rPr>
                <w:color w:val="000000"/>
                <w:sz w:val="18"/>
              </w:rPr>
              <w:t xml:space="preserve"> – proporcjonalne przypisanie</w:t>
            </w:r>
          </w:p>
        </w:tc>
      </w:tr>
      <w:tr w:rsidR="00B673BB" w:rsidRPr="006D699C" w14:paraId="46E9163B" w14:textId="77777777" w:rsidTr="00B673BB">
        <w:trPr>
          <w:trHeight w:val="288"/>
        </w:trPr>
        <w:tc>
          <w:tcPr>
            <w:tcW w:w="787" w:type="pct"/>
            <w:shd w:val="clear" w:color="auto" w:fill="auto"/>
            <w:noWrap/>
            <w:vAlign w:val="bottom"/>
            <w:hideMark/>
          </w:tcPr>
          <w:p w14:paraId="34547712" w14:textId="77777777" w:rsidR="00B673BB" w:rsidRPr="006D699C" w:rsidRDefault="00B673BB" w:rsidP="00B673BB">
            <w:pPr>
              <w:spacing w:after="0" w:line="240" w:lineRule="auto"/>
              <w:rPr>
                <w:color w:val="000000"/>
                <w:sz w:val="18"/>
              </w:rPr>
            </w:pPr>
            <w:r w:rsidRPr="006D699C">
              <w:rPr>
                <w:color w:val="000000"/>
                <w:sz w:val="18"/>
              </w:rPr>
              <w:t>Bezzwrotny</w:t>
            </w:r>
          </w:p>
        </w:tc>
        <w:tc>
          <w:tcPr>
            <w:tcW w:w="887" w:type="pct"/>
            <w:shd w:val="clear" w:color="auto" w:fill="auto"/>
            <w:noWrap/>
            <w:vAlign w:val="bottom"/>
            <w:hideMark/>
          </w:tcPr>
          <w:p w14:paraId="2768AB22" w14:textId="77777777" w:rsidR="00B673BB" w:rsidRPr="006D699C" w:rsidRDefault="00B673BB" w:rsidP="00B673BB">
            <w:pPr>
              <w:spacing w:after="0" w:line="240" w:lineRule="auto"/>
              <w:rPr>
                <w:color w:val="000000"/>
                <w:sz w:val="18"/>
              </w:rPr>
            </w:pPr>
            <w:r w:rsidRPr="006D699C">
              <w:rPr>
                <w:color w:val="000000"/>
                <w:sz w:val="18"/>
              </w:rPr>
              <w:t>8i</w:t>
            </w:r>
          </w:p>
        </w:tc>
        <w:tc>
          <w:tcPr>
            <w:tcW w:w="487" w:type="pct"/>
            <w:shd w:val="clear" w:color="auto" w:fill="auto"/>
            <w:noWrap/>
            <w:vAlign w:val="bottom"/>
            <w:hideMark/>
          </w:tcPr>
          <w:p w14:paraId="7579F6AA" w14:textId="77777777" w:rsidR="00B673BB" w:rsidRPr="006D699C" w:rsidRDefault="00B673BB" w:rsidP="00B673BB">
            <w:pPr>
              <w:spacing w:after="0" w:line="240" w:lineRule="auto"/>
              <w:rPr>
                <w:color w:val="000000"/>
                <w:sz w:val="18"/>
              </w:rPr>
            </w:pPr>
            <w:r w:rsidRPr="006D699C">
              <w:rPr>
                <w:color w:val="000000"/>
                <w:sz w:val="18"/>
              </w:rPr>
              <w:t>6.5</w:t>
            </w:r>
          </w:p>
        </w:tc>
        <w:tc>
          <w:tcPr>
            <w:tcW w:w="666" w:type="pct"/>
            <w:shd w:val="clear" w:color="auto" w:fill="auto"/>
            <w:noWrap/>
            <w:vAlign w:val="bottom"/>
            <w:hideMark/>
          </w:tcPr>
          <w:p w14:paraId="62F8C441" w14:textId="77777777" w:rsidR="00B673BB" w:rsidRPr="006D699C" w:rsidRDefault="00B673BB" w:rsidP="00B673BB">
            <w:pPr>
              <w:spacing w:after="0" w:line="240" w:lineRule="auto"/>
              <w:jc w:val="right"/>
              <w:rPr>
                <w:color w:val="000000"/>
                <w:sz w:val="18"/>
              </w:rPr>
            </w:pPr>
            <w:r w:rsidRPr="006D699C">
              <w:rPr>
                <w:color w:val="000000"/>
                <w:sz w:val="18"/>
              </w:rPr>
              <w:t>66,57%</w:t>
            </w:r>
          </w:p>
        </w:tc>
        <w:tc>
          <w:tcPr>
            <w:tcW w:w="716" w:type="pct"/>
            <w:shd w:val="clear" w:color="auto" w:fill="auto"/>
            <w:noWrap/>
            <w:vAlign w:val="bottom"/>
            <w:hideMark/>
          </w:tcPr>
          <w:p w14:paraId="7C8DCC0C" w14:textId="77777777" w:rsidR="00B673BB" w:rsidRPr="006D699C" w:rsidRDefault="00B673BB" w:rsidP="00B673BB">
            <w:pPr>
              <w:spacing w:after="0" w:line="240" w:lineRule="auto"/>
              <w:jc w:val="right"/>
              <w:rPr>
                <w:color w:val="000000"/>
                <w:sz w:val="18"/>
              </w:rPr>
            </w:pPr>
            <w:r w:rsidRPr="006D699C">
              <w:rPr>
                <w:color w:val="000000"/>
                <w:sz w:val="18"/>
              </w:rPr>
              <w:t>75,65%</w:t>
            </w:r>
          </w:p>
        </w:tc>
        <w:tc>
          <w:tcPr>
            <w:tcW w:w="716" w:type="pct"/>
            <w:shd w:val="clear" w:color="auto" w:fill="auto"/>
            <w:noWrap/>
            <w:vAlign w:val="bottom"/>
            <w:hideMark/>
          </w:tcPr>
          <w:p w14:paraId="66D9F1C7" w14:textId="77777777" w:rsidR="00B673BB" w:rsidRPr="006D699C" w:rsidRDefault="00B673BB" w:rsidP="00B673BB">
            <w:pPr>
              <w:spacing w:after="0" w:line="240" w:lineRule="auto"/>
              <w:jc w:val="right"/>
              <w:rPr>
                <w:color w:val="000000"/>
                <w:sz w:val="18"/>
              </w:rPr>
            </w:pPr>
            <w:r w:rsidRPr="006D699C">
              <w:rPr>
                <w:color w:val="000000"/>
                <w:sz w:val="18"/>
              </w:rPr>
              <w:t>192,24%</w:t>
            </w:r>
          </w:p>
        </w:tc>
        <w:tc>
          <w:tcPr>
            <w:tcW w:w="740" w:type="pct"/>
            <w:shd w:val="clear" w:color="auto" w:fill="auto"/>
            <w:noWrap/>
            <w:vAlign w:val="bottom"/>
            <w:hideMark/>
          </w:tcPr>
          <w:p w14:paraId="521D3E3A" w14:textId="77777777" w:rsidR="00B673BB" w:rsidRPr="006D699C" w:rsidRDefault="00B673BB" w:rsidP="00B673BB">
            <w:pPr>
              <w:spacing w:after="0" w:line="240" w:lineRule="auto"/>
              <w:jc w:val="right"/>
              <w:rPr>
                <w:color w:val="000000"/>
                <w:sz w:val="18"/>
              </w:rPr>
            </w:pPr>
            <w:r w:rsidRPr="006D699C">
              <w:rPr>
                <w:color w:val="000000"/>
                <w:sz w:val="18"/>
              </w:rPr>
              <w:t>163,55%</w:t>
            </w:r>
          </w:p>
        </w:tc>
      </w:tr>
      <w:tr w:rsidR="00B673BB" w:rsidRPr="006D699C" w14:paraId="06A7BA9C" w14:textId="77777777" w:rsidTr="00B673BB">
        <w:trPr>
          <w:trHeight w:val="288"/>
        </w:trPr>
        <w:tc>
          <w:tcPr>
            <w:tcW w:w="787" w:type="pct"/>
            <w:shd w:val="clear" w:color="auto" w:fill="auto"/>
            <w:noWrap/>
            <w:vAlign w:val="bottom"/>
            <w:hideMark/>
          </w:tcPr>
          <w:p w14:paraId="7706A322" w14:textId="77777777" w:rsidR="00B673BB" w:rsidRPr="006D699C" w:rsidRDefault="00B673BB" w:rsidP="00B673BB">
            <w:pPr>
              <w:spacing w:after="0" w:line="240" w:lineRule="auto"/>
              <w:rPr>
                <w:color w:val="000000"/>
                <w:sz w:val="18"/>
              </w:rPr>
            </w:pPr>
            <w:r w:rsidRPr="006D699C">
              <w:rPr>
                <w:color w:val="000000"/>
                <w:sz w:val="18"/>
              </w:rPr>
              <w:t>Zwrotny</w:t>
            </w:r>
          </w:p>
        </w:tc>
        <w:tc>
          <w:tcPr>
            <w:tcW w:w="887" w:type="pct"/>
            <w:shd w:val="clear" w:color="auto" w:fill="auto"/>
            <w:noWrap/>
            <w:vAlign w:val="bottom"/>
            <w:hideMark/>
          </w:tcPr>
          <w:p w14:paraId="54AD370D" w14:textId="77777777" w:rsidR="00B673BB" w:rsidRPr="006D699C" w:rsidRDefault="00B673BB" w:rsidP="00B673BB">
            <w:pPr>
              <w:spacing w:after="0" w:line="240" w:lineRule="auto"/>
              <w:rPr>
                <w:color w:val="000000"/>
                <w:sz w:val="18"/>
              </w:rPr>
            </w:pPr>
            <w:r w:rsidRPr="006D699C">
              <w:rPr>
                <w:color w:val="000000"/>
                <w:sz w:val="18"/>
              </w:rPr>
              <w:t>8iii</w:t>
            </w:r>
          </w:p>
        </w:tc>
        <w:tc>
          <w:tcPr>
            <w:tcW w:w="487" w:type="pct"/>
            <w:shd w:val="clear" w:color="auto" w:fill="auto"/>
            <w:noWrap/>
            <w:vAlign w:val="bottom"/>
            <w:hideMark/>
          </w:tcPr>
          <w:p w14:paraId="1425D68D" w14:textId="77777777" w:rsidR="00B673BB" w:rsidRPr="006D699C" w:rsidRDefault="00B673BB" w:rsidP="00B673BB">
            <w:pPr>
              <w:spacing w:after="0" w:line="240" w:lineRule="auto"/>
              <w:rPr>
                <w:color w:val="000000"/>
                <w:sz w:val="18"/>
              </w:rPr>
            </w:pPr>
            <w:r w:rsidRPr="006D699C">
              <w:rPr>
                <w:color w:val="000000"/>
                <w:sz w:val="18"/>
              </w:rPr>
              <w:t>6.4</w:t>
            </w:r>
          </w:p>
        </w:tc>
        <w:tc>
          <w:tcPr>
            <w:tcW w:w="666" w:type="pct"/>
            <w:shd w:val="clear" w:color="auto" w:fill="auto"/>
            <w:noWrap/>
            <w:vAlign w:val="bottom"/>
            <w:hideMark/>
          </w:tcPr>
          <w:p w14:paraId="0AA4971F" w14:textId="77777777" w:rsidR="00B673BB" w:rsidRPr="006D699C" w:rsidRDefault="00B673BB" w:rsidP="00B673BB">
            <w:pPr>
              <w:spacing w:after="0" w:line="240" w:lineRule="auto"/>
              <w:jc w:val="right"/>
              <w:rPr>
                <w:color w:val="000000"/>
                <w:sz w:val="18"/>
              </w:rPr>
            </w:pPr>
            <w:r w:rsidRPr="006D699C">
              <w:rPr>
                <w:color w:val="000000"/>
                <w:sz w:val="18"/>
              </w:rPr>
              <w:t>0,00%</w:t>
            </w:r>
          </w:p>
        </w:tc>
        <w:tc>
          <w:tcPr>
            <w:tcW w:w="716" w:type="pct"/>
            <w:shd w:val="clear" w:color="auto" w:fill="auto"/>
            <w:noWrap/>
            <w:vAlign w:val="bottom"/>
            <w:hideMark/>
          </w:tcPr>
          <w:p w14:paraId="67464711" w14:textId="77777777" w:rsidR="00B673BB" w:rsidRPr="006D699C" w:rsidRDefault="00B673BB" w:rsidP="00B673BB">
            <w:pPr>
              <w:spacing w:after="0" w:line="240" w:lineRule="auto"/>
              <w:jc w:val="right"/>
              <w:rPr>
                <w:color w:val="000000"/>
                <w:sz w:val="18"/>
              </w:rPr>
            </w:pPr>
            <w:r w:rsidRPr="006D699C">
              <w:rPr>
                <w:color w:val="000000"/>
                <w:sz w:val="18"/>
              </w:rPr>
              <w:t>83,08%</w:t>
            </w:r>
          </w:p>
        </w:tc>
        <w:tc>
          <w:tcPr>
            <w:tcW w:w="716" w:type="pct"/>
            <w:shd w:val="clear" w:color="auto" w:fill="auto"/>
            <w:noWrap/>
            <w:vAlign w:val="bottom"/>
            <w:hideMark/>
          </w:tcPr>
          <w:p w14:paraId="0E2149F8" w14:textId="77777777" w:rsidR="00B673BB" w:rsidRPr="006D699C" w:rsidRDefault="00B673BB" w:rsidP="00B673BB">
            <w:pPr>
              <w:spacing w:after="0" w:line="240" w:lineRule="auto"/>
              <w:jc w:val="right"/>
              <w:rPr>
                <w:color w:val="000000"/>
                <w:sz w:val="18"/>
              </w:rPr>
            </w:pPr>
            <w:r w:rsidRPr="006D699C">
              <w:rPr>
                <w:color w:val="000000"/>
                <w:sz w:val="18"/>
              </w:rPr>
              <w:t>101,67%</w:t>
            </w:r>
          </w:p>
        </w:tc>
        <w:tc>
          <w:tcPr>
            <w:tcW w:w="740" w:type="pct"/>
            <w:shd w:val="clear" w:color="auto" w:fill="auto"/>
            <w:noWrap/>
            <w:vAlign w:val="bottom"/>
            <w:hideMark/>
          </w:tcPr>
          <w:p w14:paraId="2E1F6D10" w14:textId="77777777" w:rsidR="00B673BB" w:rsidRPr="006D699C" w:rsidRDefault="00B673BB" w:rsidP="00B673BB">
            <w:pPr>
              <w:spacing w:after="0" w:line="240" w:lineRule="auto"/>
              <w:jc w:val="right"/>
              <w:rPr>
                <w:color w:val="000000"/>
                <w:sz w:val="18"/>
              </w:rPr>
            </w:pPr>
            <w:r w:rsidRPr="006D699C">
              <w:rPr>
                <w:color w:val="000000"/>
                <w:sz w:val="18"/>
              </w:rPr>
              <w:t>101,67%</w:t>
            </w:r>
          </w:p>
        </w:tc>
      </w:tr>
    </w:tbl>
    <w:p w14:paraId="6BAEA432" w14:textId="77777777" w:rsidR="00B673BB" w:rsidRPr="00D21299" w:rsidRDefault="00B673BB" w:rsidP="0028542B">
      <w:pPr>
        <w:spacing w:before="0"/>
        <w:rPr>
          <w:rFonts w:cs="Calibri"/>
          <w:i/>
          <w:sz w:val="18"/>
          <w:szCs w:val="18"/>
        </w:rPr>
      </w:pPr>
      <w:r w:rsidRPr="00D21299">
        <w:rPr>
          <w:rFonts w:cs="Calibri"/>
          <w:i/>
          <w:sz w:val="18"/>
          <w:szCs w:val="18"/>
        </w:rPr>
        <w:t>Źródło: obliczenia własne na podstawie danych SL 2014 (stan na dzień 07.01.2019).</w:t>
      </w:r>
    </w:p>
    <w:p w14:paraId="25DE14D7" w14:textId="77777777" w:rsidR="00B673BB" w:rsidRPr="00F64591" w:rsidRDefault="00B673BB" w:rsidP="00B673BB">
      <w:r>
        <w:t>Na podstawie przeprowadzonej analizy porównawczej, można sformułować wniosek, że instrumenty finansowe bezzwrotne są właściwszym rozwiązaniem</w:t>
      </w:r>
      <w:r w:rsidR="00E66B89">
        <w:t xml:space="preserve"> w </w:t>
      </w:r>
      <w:r>
        <w:t>przypadku inicjatyw, których celem jest tworzenie miejsc pracy</w:t>
      </w:r>
      <w:r w:rsidR="00E66B89">
        <w:t xml:space="preserve"> w </w:t>
      </w:r>
      <w:r w:rsidRPr="00BA2717">
        <w:t>ramach udzielonych środków na podjęcie działalności gospodarczej</w:t>
      </w:r>
      <w:r>
        <w:t>.</w:t>
      </w:r>
    </w:p>
    <w:p w14:paraId="53D24D8D" w14:textId="77777777" w:rsidR="00B673BB" w:rsidRPr="00A405DF" w:rsidRDefault="00B673BB" w:rsidP="00B673BB">
      <w:r w:rsidRPr="00A405DF">
        <w:t>Problemem</w:t>
      </w:r>
      <w:r w:rsidR="00E66B89">
        <w:t xml:space="preserve"> w </w:t>
      </w:r>
      <w:r w:rsidRPr="00A405DF">
        <w:t xml:space="preserve">przypadku </w:t>
      </w:r>
      <w:r>
        <w:t>realizacji celów związanych ze wsparciem</w:t>
      </w:r>
      <w:r w:rsidR="00E66B89">
        <w:t xml:space="preserve"> w </w:t>
      </w:r>
      <w:r>
        <w:t xml:space="preserve">formie </w:t>
      </w:r>
      <w:r w:rsidRPr="00A405DF">
        <w:t>instrumentów finansowych zwrotnych może być fakt, że</w:t>
      </w:r>
      <w:r w:rsidR="00E66B89">
        <w:t xml:space="preserve"> w </w:t>
      </w:r>
      <w:r w:rsidRPr="00A405DF">
        <w:t>grup</w:t>
      </w:r>
      <w:r>
        <w:t>ie</w:t>
      </w:r>
      <w:r w:rsidRPr="00A405DF">
        <w:t xml:space="preserve"> docelowej Działania 6.4 </w:t>
      </w:r>
      <w:r>
        <w:t>znajdują się</w:t>
      </w:r>
      <w:r w:rsidRPr="00A405DF">
        <w:t xml:space="preserve"> osoby</w:t>
      </w:r>
      <w:r w:rsidR="00E66B89">
        <w:t xml:space="preserve"> o </w:t>
      </w:r>
      <w:r w:rsidRPr="00A405DF">
        <w:t>niskich dochodach</w:t>
      </w:r>
      <w:r>
        <w:t>,</w:t>
      </w:r>
      <w:r w:rsidRPr="00A405DF">
        <w:t xml:space="preserve"> osoby</w:t>
      </w:r>
      <w:r w:rsidR="00E66B89">
        <w:t xml:space="preserve"> w </w:t>
      </w:r>
      <w:r w:rsidRPr="00A405DF">
        <w:t>wieku 50 lat</w:t>
      </w:r>
      <w:r w:rsidR="00E66B89">
        <w:t xml:space="preserve"> i </w:t>
      </w:r>
      <w:r w:rsidRPr="00A405DF">
        <w:t>więcej, osoby długotrwale bezrobotne</w:t>
      </w:r>
      <w:r>
        <w:t>,</w:t>
      </w:r>
      <w:r w:rsidRPr="00A405DF">
        <w:t xml:space="preserve"> osoby</w:t>
      </w:r>
      <w:r w:rsidR="00E66B89">
        <w:t xml:space="preserve"> o </w:t>
      </w:r>
      <w:r w:rsidRPr="00A405DF">
        <w:t>niskich kwalifikacjach, osoby</w:t>
      </w:r>
      <w:r w:rsidR="00E66B89">
        <w:t xml:space="preserve"> o </w:t>
      </w:r>
      <w:r w:rsidRPr="00A405DF">
        <w:t>statusie ubogich pracujących</w:t>
      </w:r>
      <w:r>
        <w:t>,</w:t>
      </w:r>
      <w:r w:rsidRPr="00A405DF">
        <w:t xml:space="preserve"> dla których idea instrumentu zwrotnego – zwłaszcza połączonego</w:t>
      </w:r>
      <w:r w:rsidR="00E66B89">
        <w:t xml:space="preserve"> z </w:t>
      </w:r>
      <w:r w:rsidRPr="00A405DF">
        <w:t>koniecznością wkładu własnego – jest barierą</w:t>
      </w:r>
      <w:r w:rsidR="00E66B89">
        <w:t xml:space="preserve"> w </w:t>
      </w:r>
      <w:r w:rsidRPr="00A405DF">
        <w:t>podejmowaniu decyzji</w:t>
      </w:r>
      <w:r w:rsidR="00E66B89">
        <w:t xml:space="preserve"> o </w:t>
      </w:r>
      <w:r w:rsidRPr="00A405DF">
        <w:t xml:space="preserve">przystąpieniu do programu. Fakt, że trudność we wdrażaniu Działania 6.4 </w:t>
      </w:r>
      <w:r>
        <w:t>jest związana</w:t>
      </w:r>
      <w:r w:rsidR="00E66B89">
        <w:t xml:space="preserve"> z </w:t>
      </w:r>
      <w:r w:rsidRPr="00A405DF">
        <w:t>grup</w:t>
      </w:r>
      <w:r>
        <w:t>ą</w:t>
      </w:r>
      <w:r w:rsidRPr="00A405DF">
        <w:t xml:space="preserve"> docelow</w:t>
      </w:r>
      <w:r>
        <w:t>ą</w:t>
      </w:r>
      <w:r w:rsidRPr="00A405DF">
        <w:t xml:space="preserve"> został również podkreślony </w:t>
      </w:r>
      <w:r>
        <w:t xml:space="preserve">podczas wywiadu </w:t>
      </w:r>
      <w:r w:rsidRPr="00A405DF">
        <w:t xml:space="preserve">przez </w:t>
      </w:r>
      <w:r>
        <w:t>przedstawiciela instytucji wdrażającej Program</w:t>
      </w:r>
      <w:r w:rsidRPr="00A405DF">
        <w:t>.</w:t>
      </w:r>
      <w:r w:rsidR="00E66B89">
        <w:t xml:space="preserve"> W </w:t>
      </w:r>
      <w:r>
        <w:t>opinii osoby uczestniczącej</w:t>
      </w:r>
      <w:r w:rsidR="00E66B89">
        <w:t xml:space="preserve"> w </w:t>
      </w:r>
      <w:r>
        <w:t>badaniu (udzielającej wywiadu)</w:t>
      </w:r>
      <w:r w:rsidRPr="00A405DF">
        <w:t>, nawet przy preferencyjnym oprocentowaniu instrumentu finansowego zwrotnego (0,185%) problemem jest sama idea spłacenia dofinansowania plus wymagane zabezpieczenia</w:t>
      </w:r>
      <w:r>
        <w:t xml:space="preserve"> współwystępująca</w:t>
      </w:r>
      <w:r w:rsidR="00E66B89">
        <w:t xml:space="preserve"> z </w:t>
      </w:r>
      <w:r>
        <w:t>niską świadomością na temat preferencyjnych warunków pozyskania pożyczki/skorzystania ze wsparcia</w:t>
      </w:r>
      <w:r w:rsidRPr="00A405DF">
        <w:t>. Kluczowe są tu zatem działania informacyjno-promocyjne</w:t>
      </w:r>
      <w:r>
        <w:t xml:space="preserve"> skierowane do grupy docelowej</w:t>
      </w:r>
      <w:r w:rsidRPr="00A405DF">
        <w:t>.</w:t>
      </w:r>
      <w:r>
        <w:t xml:space="preserve"> Powinny one służyć wzrostowi wiedzy</w:t>
      </w:r>
      <w:r w:rsidR="00E66B89">
        <w:t xml:space="preserve"> o </w:t>
      </w:r>
      <w:r>
        <w:t>oferowanych (korzystnych) warunkach kredytowania jak również akcentować możliwości wykorzystania na rynku pracy (w dłuższej perspektywie czasu) wiedzy, umiejętności</w:t>
      </w:r>
      <w:r w:rsidR="00E66B89">
        <w:t xml:space="preserve"> i </w:t>
      </w:r>
      <w:r>
        <w:t>doświadczeń nabytych dzięki skorzystaniu ze wsparcia</w:t>
      </w:r>
      <w:r w:rsidR="00E66B89">
        <w:t xml:space="preserve"> i </w:t>
      </w:r>
      <w:r>
        <w:t>podjęciu aktywności</w:t>
      </w:r>
      <w:r w:rsidR="00E66B89">
        <w:t xml:space="preserve"> w </w:t>
      </w:r>
      <w:r>
        <w:t xml:space="preserve">celu </w:t>
      </w:r>
      <w:r w:rsidRPr="005D5650">
        <w:t>za</w:t>
      </w:r>
      <w:r>
        <w:t>łożenia</w:t>
      </w:r>
      <w:r w:rsidR="00E66B89">
        <w:t xml:space="preserve"> i </w:t>
      </w:r>
      <w:r w:rsidRPr="005D5650">
        <w:t>prowadzeni</w:t>
      </w:r>
      <w:r>
        <w:t>a</w:t>
      </w:r>
      <w:r w:rsidRPr="005D5650">
        <w:t xml:space="preserve"> działalności gospodarczej</w:t>
      </w:r>
      <w:r>
        <w:t>.</w:t>
      </w:r>
    </w:p>
    <w:p w14:paraId="45F60512" w14:textId="77777777" w:rsidR="00B673BB" w:rsidRPr="00A405DF" w:rsidRDefault="00B673BB" w:rsidP="00B673BB">
      <w:r>
        <w:t>Na brak p</w:t>
      </w:r>
      <w:r w:rsidRPr="00A405DF">
        <w:t>ostęp</w:t>
      </w:r>
      <w:r>
        <w:t xml:space="preserve">u rzeczowego </w:t>
      </w:r>
      <w:r w:rsidRPr="00A405DF">
        <w:t>(</w:t>
      </w:r>
      <w:r>
        <w:t>wg. WoP</w:t>
      </w:r>
      <w:r w:rsidR="00E66B89">
        <w:t xml:space="preserve"> w </w:t>
      </w:r>
      <w:r w:rsidRPr="00A405DF">
        <w:t>Działani</w:t>
      </w:r>
      <w:r>
        <w:t>u</w:t>
      </w:r>
      <w:r w:rsidRPr="00A405DF">
        <w:t xml:space="preserve"> 6.4 </w:t>
      </w:r>
      <w:r>
        <w:t>wpływa</w:t>
      </w:r>
      <w:r w:rsidRPr="00A405DF">
        <w:t xml:space="preserve"> fakt, że działanie to </w:t>
      </w:r>
      <w:r>
        <w:t>pozostawało</w:t>
      </w:r>
      <w:r w:rsidR="00E66B89">
        <w:t xml:space="preserve"> w </w:t>
      </w:r>
      <w:r>
        <w:t>okresie wdrażania Programu</w:t>
      </w:r>
      <w:r w:rsidRPr="00A405DF">
        <w:t xml:space="preserve"> przez jakiś czas bez pośrednika finansowego</w:t>
      </w:r>
      <w:r>
        <w:t xml:space="preserve"> (n</w:t>
      </w:r>
      <w:r w:rsidRPr="00A405DF">
        <w:t>ależy przypomnieć, że r</w:t>
      </w:r>
      <w:r w:rsidRPr="00A405DF">
        <w:rPr>
          <w:rFonts w:cs="Calibri"/>
          <w:szCs w:val="20"/>
        </w:rPr>
        <w:t>ozwiązano Umowę Operacyjną</w:t>
      </w:r>
      <w:r w:rsidR="00E66B89">
        <w:rPr>
          <w:rFonts w:cs="Calibri"/>
          <w:szCs w:val="20"/>
        </w:rPr>
        <w:t xml:space="preserve"> z </w:t>
      </w:r>
      <w:r w:rsidRPr="00A405DF">
        <w:rPr>
          <w:rFonts w:cs="Calibri"/>
          <w:szCs w:val="20"/>
        </w:rPr>
        <w:t>konsorcjum ECDF S.A.</w:t>
      </w:r>
      <w:r w:rsidR="00E66B89">
        <w:rPr>
          <w:rFonts w:cs="Calibri"/>
          <w:szCs w:val="20"/>
        </w:rPr>
        <w:t xml:space="preserve"> i </w:t>
      </w:r>
      <w:r w:rsidRPr="00A405DF">
        <w:rPr>
          <w:rFonts w:cs="Calibri"/>
          <w:szCs w:val="20"/>
        </w:rPr>
        <w:t>MEGA SONIC S.A. jako Pośrednikiem Finansowym</w:t>
      </w:r>
      <w:r>
        <w:rPr>
          <w:rFonts w:cs="Calibri"/>
          <w:szCs w:val="20"/>
        </w:rPr>
        <w:t>)</w:t>
      </w:r>
      <w:r w:rsidRPr="00A405DF">
        <w:rPr>
          <w:rFonts w:cs="Calibri"/>
          <w:szCs w:val="20"/>
        </w:rPr>
        <w:t>.</w:t>
      </w:r>
    </w:p>
    <w:p w14:paraId="0A2D5E22" w14:textId="77777777" w:rsidR="00B673BB" w:rsidRPr="00A405DF" w:rsidRDefault="00B673BB" w:rsidP="00B673BB">
      <w:pPr>
        <w:pStyle w:val="Nagwek2"/>
      </w:pPr>
      <w:bookmarkStart w:id="396" w:name="_Toc6523758"/>
      <w:r w:rsidRPr="00A405DF">
        <w:lastRenderedPageBreak/>
        <w:t>Charakterystyka wykorzystania instrumentów finansowych</w:t>
      </w:r>
      <w:r w:rsidR="00E66B89">
        <w:t xml:space="preserve"> z </w:t>
      </w:r>
      <w:r w:rsidRPr="00A405DF">
        <w:t>RPO WZ</w:t>
      </w:r>
      <w:bookmarkEnd w:id="396"/>
      <w:r w:rsidRPr="00A405DF">
        <w:t xml:space="preserve"> </w:t>
      </w:r>
    </w:p>
    <w:p w14:paraId="0980E29F" w14:textId="77777777" w:rsidR="00B673BB" w:rsidRPr="00A405DF" w:rsidRDefault="00B673BB" w:rsidP="00B673BB">
      <w:pPr>
        <w:rPr>
          <w:szCs w:val="20"/>
        </w:rPr>
      </w:pPr>
      <w:r w:rsidRPr="00A405DF">
        <w:rPr>
          <w:szCs w:val="20"/>
        </w:rPr>
        <w:t>Wyniki badania CAWI (n=68) wskazują na pożyczkę inwestycyjną, jako główny rodzaj instrumentu finansowego RPO WZ,</w:t>
      </w:r>
      <w:r w:rsidR="00E66B89">
        <w:rPr>
          <w:szCs w:val="20"/>
        </w:rPr>
        <w:t xml:space="preserve"> z </w:t>
      </w:r>
      <w:r w:rsidRPr="00A405DF">
        <w:rPr>
          <w:szCs w:val="20"/>
        </w:rPr>
        <w:t>którego korzystał respondent</w:t>
      </w:r>
      <w:r w:rsidR="00E66B89">
        <w:rPr>
          <w:szCs w:val="20"/>
        </w:rPr>
        <w:t xml:space="preserve"> w </w:t>
      </w:r>
      <w:r w:rsidRPr="00A405DF">
        <w:rPr>
          <w:szCs w:val="20"/>
        </w:rPr>
        <w:t>okresie ostatnich pięciu lat (49%).</w:t>
      </w:r>
      <w:r w:rsidR="00E66B89">
        <w:rPr>
          <w:szCs w:val="20"/>
        </w:rPr>
        <w:t xml:space="preserve"> W </w:t>
      </w:r>
      <w:r w:rsidRPr="00A405DF">
        <w:rPr>
          <w:szCs w:val="20"/>
        </w:rPr>
        <w:t>drugiej kolejności znajdują się mikropożyczki (44%),</w:t>
      </w:r>
      <w:r w:rsidR="00E66B89">
        <w:rPr>
          <w:szCs w:val="20"/>
        </w:rPr>
        <w:t xml:space="preserve"> a </w:t>
      </w:r>
      <w:r w:rsidRPr="00A405DF">
        <w:rPr>
          <w:szCs w:val="20"/>
        </w:rPr>
        <w:t>następnie pożyczka obrotowo-inwestycyjna (12%)</w:t>
      </w:r>
      <w:r w:rsidR="00E66B89">
        <w:rPr>
          <w:szCs w:val="20"/>
        </w:rPr>
        <w:t xml:space="preserve"> i </w:t>
      </w:r>
      <w:r w:rsidRPr="00A405DF">
        <w:rPr>
          <w:szCs w:val="20"/>
        </w:rPr>
        <w:t>na końcu mikropożyczka na rozpoczęcie działalności gospodarczej/oraz na utworzenie dodatkowego miejsca pracy (6%).</w:t>
      </w:r>
      <w:r w:rsidR="00E66B89">
        <w:rPr>
          <w:szCs w:val="20"/>
        </w:rPr>
        <w:t xml:space="preserve"> W </w:t>
      </w:r>
      <w:r>
        <w:rPr>
          <w:szCs w:val="20"/>
        </w:rPr>
        <w:t xml:space="preserve">zakresie </w:t>
      </w:r>
      <w:r w:rsidRPr="00A405DF">
        <w:rPr>
          <w:szCs w:val="20"/>
        </w:rPr>
        <w:t>przeznaczenia instrumentów finansowych</w:t>
      </w:r>
      <w:r w:rsidR="00E66B89">
        <w:rPr>
          <w:szCs w:val="20"/>
        </w:rPr>
        <w:t xml:space="preserve"> z </w:t>
      </w:r>
      <w:r w:rsidRPr="00A405DF">
        <w:rPr>
          <w:szCs w:val="20"/>
        </w:rPr>
        <w:t>RPO WZ, liderem jest zakup środków trwałych (np. maszyn</w:t>
      </w:r>
      <w:r>
        <w:rPr>
          <w:szCs w:val="20"/>
        </w:rPr>
        <w:t>y</w:t>
      </w:r>
      <w:r w:rsidR="00E66B89">
        <w:rPr>
          <w:szCs w:val="20"/>
        </w:rPr>
        <w:t xml:space="preserve"> i </w:t>
      </w:r>
      <w:r w:rsidRPr="00A405DF">
        <w:rPr>
          <w:szCs w:val="20"/>
        </w:rPr>
        <w:t>urządzenia, linia technologiczna) – 51%. Również wysoką popularnością cieszą się inwestycje budowlane (w tym remont</w:t>
      </w:r>
      <w:r w:rsidR="00E66B89">
        <w:rPr>
          <w:szCs w:val="20"/>
        </w:rPr>
        <w:t xml:space="preserve"> i </w:t>
      </w:r>
      <w:r w:rsidRPr="00A405DF">
        <w:rPr>
          <w:szCs w:val="20"/>
        </w:rPr>
        <w:t>modernizacja)</w:t>
      </w:r>
      <w:r>
        <w:rPr>
          <w:szCs w:val="20"/>
        </w:rPr>
        <w:t xml:space="preserve"> </w:t>
      </w:r>
      <w:r w:rsidRPr="00A405DF">
        <w:rPr>
          <w:szCs w:val="20"/>
        </w:rPr>
        <w:t>/</w:t>
      </w:r>
      <w:r>
        <w:rPr>
          <w:szCs w:val="20"/>
        </w:rPr>
        <w:t xml:space="preserve"> </w:t>
      </w:r>
      <w:r w:rsidRPr="00A405DF">
        <w:rPr>
          <w:szCs w:val="20"/>
        </w:rPr>
        <w:t>zakup nieruchomości (44%) oraz zakup środku transportu (34%). Daleko</w:t>
      </w:r>
      <w:r w:rsidR="00E66B89">
        <w:rPr>
          <w:szCs w:val="20"/>
        </w:rPr>
        <w:t xml:space="preserve"> w </w:t>
      </w:r>
      <w:r w:rsidRPr="00A405DF">
        <w:rPr>
          <w:szCs w:val="20"/>
        </w:rPr>
        <w:t>tyle są takie przeznaczenia instrumentów finansowych</w:t>
      </w:r>
      <w:r w:rsidR="00E66B89">
        <w:rPr>
          <w:szCs w:val="20"/>
        </w:rPr>
        <w:t xml:space="preserve"> z </w:t>
      </w:r>
      <w:r w:rsidRPr="00A405DF">
        <w:rPr>
          <w:szCs w:val="20"/>
        </w:rPr>
        <w:t>RPO WZ jak zakładanie działalności gospodarczej (7%), tworzenie miejsc pracy (6%), czy inwestycje</w:t>
      </w:r>
      <w:r w:rsidR="00E66B89">
        <w:rPr>
          <w:szCs w:val="20"/>
        </w:rPr>
        <w:t xml:space="preserve"> w </w:t>
      </w:r>
      <w:r w:rsidRPr="00A405DF">
        <w:rPr>
          <w:szCs w:val="20"/>
        </w:rPr>
        <w:t>technologie informacyjno-komunikacyjne (np. zakup komputerów, systemy wspierające zarządzanie firmą, sprzedaż przez Internet) (4%). 1% ankietowanych wskazał na zakup wartości niematerialnych</w:t>
      </w:r>
      <w:r w:rsidR="00E66B89">
        <w:rPr>
          <w:szCs w:val="20"/>
        </w:rPr>
        <w:t xml:space="preserve"> i </w:t>
      </w:r>
      <w:r w:rsidRPr="00A405DF">
        <w:rPr>
          <w:szCs w:val="20"/>
        </w:rPr>
        <w:t>prawnych. Wyniki te wskazują, że wykorzystanie instrumentów finansowych</w:t>
      </w:r>
      <w:r w:rsidR="00E66B89">
        <w:rPr>
          <w:szCs w:val="20"/>
        </w:rPr>
        <w:t xml:space="preserve"> z </w:t>
      </w:r>
      <w:r w:rsidRPr="00A405DF">
        <w:rPr>
          <w:szCs w:val="20"/>
        </w:rPr>
        <w:t>RPO WZ na nową działalność jest bardzo niskie. Firmy korzystające</w:t>
      </w:r>
      <w:r w:rsidR="00E66B89">
        <w:rPr>
          <w:szCs w:val="20"/>
        </w:rPr>
        <w:t xml:space="preserve"> z </w:t>
      </w:r>
      <w:r w:rsidRPr="00A405DF">
        <w:rPr>
          <w:szCs w:val="20"/>
        </w:rPr>
        <w:t>analizowanego rozwiązania przede wszystkim inwestują przyznane fundusze</w:t>
      </w:r>
      <w:r w:rsidR="00E66B89">
        <w:rPr>
          <w:szCs w:val="20"/>
        </w:rPr>
        <w:t xml:space="preserve"> w </w:t>
      </w:r>
      <w:r w:rsidRPr="00A405DF">
        <w:rPr>
          <w:szCs w:val="20"/>
        </w:rPr>
        <w:t>rozwój środków trwałych (w tym rozwiązania technologiczne). Wykorzystanie opisywanych funduszy na zakładanie działalności lub jej rozwój poprzez pozyskiwanie nowych rynków (finansowanie ekspansji na rynki zagraniczne) czy inwestycje</w:t>
      </w:r>
      <w:r w:rsidR="00E66B89">
        <w:rPr>
          <w:szCs w:val="20"/>
        </w:rPr>
        <w:t xml:space="preserve"> w </w:t>
      </w:r>
      <w:r w:rsidRPr="00A405DF">
        <w:rPr>
          <w:szCs w:val="20"/>
        </w:rPr>
        <w:t>kapitał ludzki (tworzenie miejsc pracy) jest na bardzo małym lub wręcz zerowym poziomie (np. korzystanie</w:t>
      </w:r>
      <w:r w:rsidR="00E66B89">
        <w:rPr>
          <w:szCs w:val="20"/>
        </w:rPr>
        <w:t xml:space="preserve"> z </w:t>
      </w:r>
      <w:r w:rsidRPr="00A405DF">
        <w:rPr>
          <w:szCs w:val="20"/>
        </w:rPr>
        <w:t xml:space="preserve">zewnętrznych usług doradczych). </w:t>
      </w:r>
    </w:p>
    <w:p w14:paraId="30829DF1" w14:textId="77777777" w:rsidR="00B673BB" w:rsidRPr="00A405DF" w:rsidRDefault="00B673BB" w:rsidP="00B673BB">
      <w:pPr>
        <w:rPr>
          <w:szCs w:val="20"/>
        </w:rPr>
      </w:pPr>
      <w:r>
        <w:rPr>
          <w:szCs w:val="20"/>
        </w:rPr>
        <w:t>Spośród wszystkich</w:t>
      </w:r>
      <w:r w:rsidRPr="00A405DF">
        <w:rPr>
          <w:szCs w:val="20"/>
        </w:rPr>
        <w:t xml:space="preserve"> ankietowanych respondentów 31% podejmowało próbę pozyskania środków finansowych na powyższe cele</w:t>
      </w:r>
      <w:r w:rsidR="00E66B89">
        <w:rPr>
          <w:szCs w:val="20"/>
        </w:rPr>
        <w:t xml:space="preserve"> z </w:t>
      </w:r>
      <w:r w:rsidRPr="00A405DF">
        <w:rPr>
          <w:szCs w:val="20"/>
        </w:rPr>
        <w:t>innych źródeł.</w:t>
      </w:r>
      <w:r w:rsidR="00E66B89">
        <w:rPr>
          <w:szCs w:val="20"/>
        </w:rPr>
        <w:t xml:space="preserve"> W </w:t>
      </w:r>
      <w:r w:rsidRPr="00A405DF">
        <w:rPr>
          <w:szCs w:val="20"/>
        </w:rPr>
        <w:t xml:space="preserve">zdecydowanej większości </w:t>
      </w:r>
      <w:r>
        <w:rPr>
          <w:szCs w:val="20"/>
        </w:rPr>
        <w:t>deklarowano chęć</w:t>
      </w:r>
      <w:r w:rsidRPr="00A405DF">
        <w:rPr>
          <w:szCs w:val="20"/>
        </w:rPr>
        <w:t xml:space="preserve"> skorzysta</w:t>
      </w:r>
      <w:r>
        <w:rPr>
          <w:szCs w:val="20"/>
        </w:rPr>
        <w:t>nia</w:t>
      </w:r>
      <w:r w:rsidR="00E66B89">
        <w:rPr>
          <w:szCs w:val="20"/>
        </w:rPr>
        <w:t xml:space="preserve"> z </w:t>
      </w:r>
      <w:r w:rsidRPr="00A405DF">
        <w:rPr>
          <w:szCs w:val="20"/>
        </w:rPr>
        <w:t>pożyczek/kredytów inwestycyjnych</w:t>
      </w:r>
      <w:r w:rsidR="00E66B89">
        <w:rPr>
          <w:szCs w:val="20"/>
        </w:rPr>
        <w:t xml:space="preserve"> z </w:t>
      </w:r>
      <w:r w:rsidRPr="00A405DF">
        <w:rPr>
          <w:szCs w:val="20"/>
        </w:rPr>
        <w:t>instytucji finansowych (71%); następnie</w:t>
      </w:r>
      <w:r w:rsidR="00E66B89">
        <w:rPr>
          <w:szCs w:val="20"/>
        </w:rPr>
        <w:t xml:space="preserve"> z </w:t>
      </w:r>
      <w:r w:rsidRPr="00A405DF">
        <w:rPr>
          <w:szCs w:val="20"/>
        </w:rPr>
        <w:t>leasingu (33%), dotacji ze środków Unii Europejskiej (24%)</w:t>
      </w:r>
      <w:r w:rsidR="00E66B89">
        <w:rPr>
          <w:szCs w:val="20"/>
        </w:rPr>
        <w:t xml:space="preserve"> i </w:t>
      </w:r>
      <w:r w:rsidRPr="00A405DF">
        <w:rPr>
          <w:szCs w:val="20"/>
        </w:rPr>
        <w:t>pożyczek/kredytów obrotowych lub</w:t>
      </w:r>
      <w:r w:rsidR="00E66B89">
        <w:rPr>
          <w:szCs w:val="20"/>
        </w:rPr>
        <w:t xml:space="preserve"> w </w:t>
      </w:r>
      <w:r w:rsidRPr="00A405DF">
        <w:rPr>
          <w:szCs w:val="20"/>
        </w:rPr>
        <w:t>rachunku bieżącym</w:t>
      </w:r>
      <w:r w:rsidR="00E66B89">
        <w:rPr>
          <w:szCs w:val="20"/>
        </w:rPr>
        <w:t xml:space="preserve"> w </w:t>
      </w:r>
      <w:r w:rsidRPr="00A405DF">
        <w:rPr>
          <w:szCs w:val="20"/>
        </w:rPr>
        <w:t>instytucji finansowych (14%).</w:t>
      </w:r>
      <w:r w:rsidR="00E66B89">
        <w:rPr>
          <w:szCs w:val="20"/>
        </w:rPr>
        <w:t xml:space="preserve"> W </w:t>
      </w:r>
      <w:r w:rsidRPr="00A405DF">
        <w:rPr>
          <w:szCs w:val="20"/>
        </w:rPr>
        <w:t>przypadku 5% mowa była</w:t>
      </w:r>
      <w:r w:rsidR="00E66B89">
        <w:rPr>
          <w:szCs w:val="20"/>
        </w:rPr>
        <w:t xml:space="preserve"> o </w:t>
      </w:r>
      <w:r w:rsidRPr="00A405DF">
        <w:rPr>
          <w:szCs w:val="20"/>
        </w:rPr>
        <w:t>pożyczkach od rodziny, znajomych, partnerów biznesowych. Wyniki badania wskazują, że przedsiębiorcy chętnie korzystają</w:t>
      </w:r>
      <w:r w:rsidR="00E66B89">
        <w:rPr>
          <w:szCs w:val="20"/>
        </w:rPr>
        <w:t xml:space="preserve"> z </w:t>
      </w:r>
      <w:r w:rsidRPr="00A405DF">
        <w:rPr>
          <w:szCs w:val="20"/>
        </w:rPr>
        <w:t>instrumentów finansowych zwrotnych. Może to być związane</w:t>
      </w:r>
      <w:r w:rsidR="00E66B89">
        <w:rPr>
          <w:szCs w:val="20"/>
        </w:rPr>
        <w:t xml:space="preserve"> z </w:t>
      </w:r>
      <w:r w:rsidRPr="00A405DF">
        <w:rPr>
          <w:szCs w:val="20"/>
        </w:rPr>
        <w:t>faktem, że inwestycje pieniądza kredytowego</w:t>
      </w:r>
      <w:r w:rsidR="00E66B89">
        <w:rPr>
          <w:szCs w:val="20"/>
        </w:rPr>
        <w:t xml:space="preserve"> w </w:t>
      </w:r>
      <w:r w:rsidRPr="00A405DF">
        <w:rPr>
          <w:szCs w:val="20"/>
        </w:rPr>
        <w:t>kapitał rzeczowy (główny cel przeznaczenia tych funduszy) jest inwestycją</w:t>
      </w:r>
      <w:r w:rsidR="00E66B89">
        <w:rPr>
          <w:szCs w:val="20"/>
        </w:rPr>
        <w:t xml:space="preserve"> o </w:t>
      </w:r>
      <w:r w:rsidRPr="00A405DF">
        <w:rPr>
          <w:szCs w:val="20"/>
        </w:rPr>
        <w:t>relatywnie (np. do inwestycji</w:t>
      </w:r>
      <w:r w:rsidR="00E66B89">
        <w:rPr>
          <w:szCs w:val="20"/>
        </w:rPr>
        <w:t xml:space="preserve"> w </w:t>
      </w:r>
      <w:r w:rsidRPr="00A405DF">
        <w:rPr>
          <w:szCs w:val="20"/>
        </w:rPr>
        <w:t xml:space="preserve">działania innowacyjne) niskim poziomie ryzyka (zawsze można upłynnić wcześniej zakupiony kapitał rzeczowy). Dodatkowym elementem wpływającym na otrzymane wyniki może być bardzo dobra koniunktura gospodarcza, która objawia się wysoką konsumpcją. </w:t>
      </w:r>
    </w:p>
    <w:p w14:paraId="1DF1F886" w14:textId="77777777" w:rsidR="00B673BB" w:rsidRPr="00A405DF" w:rsidRDefault="00B673BB" w:rsidP="00B673BB">
      <w:pPr>
        <w:rPr>
          <w:szCs w:val="20"/>
        </w:rPr>
      </w:pPr>
      <w:r w:rsidRPr="00A405DF">
        <w:rPr>
          <w:szCs w:val="20"/>
        </w:rPr>
        <w:t>Zaskakujące jest wskazanie, że głównym (53%) powodem nieuzyskania/nieskorzystania</w:t>
      </w:r>
      <w:r w:rsidR="00E66B89">
        <w:rPr>
          <w:szCs w:val="20"/>
        </w:rPr>
        <w:t xml:space="preserve"> z </w:t>
      </w:r>
      <w:r w:rsidRPr="00A405DF">
        <w:rPr>
          <w:szCs w:val="20"/>
        </w:rPr>
        <w:t>finansowania</w:t>
      </w:r>
      <w:r w:rsidR="00E66B89">
        <w:rPr>
          <w:szCs w:val="20"/>
        </w:rPr>
        <w:t xml:space="preserve"> z </w:t>
      </w:r>
      <w:r w:rsidRPr="00A405DF">
        <w:rPr>
          <w:szCs w:val="20"/>
        </w:rPr>
        <w:t xml:space="preserve">innych źródeł jest zbyt wysokie </w:t>
      </w:r>
      <w:r w:rsidR="00703AED" w:rsidRPr="00A405DF">
        <w:rPr>
          <w:szCs w:val="20"/>
        </w:rPr>
        <w:t>oprocentowani</w:t>
      </w:r>
      <w:r w:rsidR="00703AED">
        <w:rPr>
          <w:szCs w:val="20"/>
        </w:rPr>
        <w:t>e</w:t>
      </w:r>
      <w:r w:rsidRPr="00A405DF">
        <w:rPr>
          <w:szCs w:val="20"/>
        </w:rPr>
        <w:t>. Jest to wyniki zaskakujący, ponieważ obecnie na rynku panują historycznie niskie stopy procentowe, co przekłada się na bardzo niski koszt pieniądza kredytowego dla firm niefinansowych. Następnie wymieniono zbyt długą</w:t>
      </w:r>
      <w:r w:rsidR="00E66B89">
        <w:rPr>
          <w:szCs w:val="20"/>
        </w:rPr>
        <w:t xml:space="preserve"> i </w:t>
      </w:r>
      <w:r w:rsidRPr="00A405DF">
        <w:rPr>
          <w:szCs w:val="20"/>
        </w:rPr>
        <w:t>czasochłonną procedurę (19%).</w:t>
      </w:r>
      <w:r w:rsidR="00E66B89">
        <w:rPr>
          <w:szCs w:val="20"/>
        </w:rPr>
        <w:t xml:space="preserve"> W </w:t>
      </w:r>
      <w:r w:rsidRPr="00A405DF">
        <w:rPr>
          <w:szCs w:val="20"/>
        </w:rPr>
        <w:t>następnej kolejności znajdowały się takie powody jak np. zbyt krótki okres prowadzenia działalności (12%). Takie wyniki nie przekreślają instrumentów finansowych zwrotnych, ale nakładają na nie wymóg możliwości finansowania (np. wydłużenie okresu zwrotu</w:t>
      </w:r>
      <w:r w:rsidR="00E66B89">
        <w:rPr>
          <w:szCs w:val="20"/>
        </w:rPr>
        <w:t xml:space="preserve"> w </w:t>
      </w:r>
      <w:r w:rsidRPr="00A405DF">
        <w:rPr>
          <w:szCs w:val="20"/>
        </w:rPr>
        <w:t>zamian za niskie oprocentowanie) oraz ograniczenia obciążenia administracyjnego. Wyniki sugerują również, że nowe przedsiębiorstwa mają trudność</w:t>
      </w:r>
      <w:r w:rsidR="00E66B89">
        <w:rPr>
          <w:szCs w:val="20"/>
        </w:rPr>
        <w:t xml:space="preserve"> w </w:t>
      </w:r>
      <w:r w:rsidRPr="00A405DF">
        <w:rPr>
          <w:szCs w:val="20"/>
        </w:rPr>
        <w:t>pozyskiwaniu finansowania zewnętrznego, zatem jest to obszar wymagający interwencji sektora prywatnego.</w:t>
      </w:r>
    </w:p>
    <w:p w14:paraId="66D7FB94" w14:textId="77777777" w:rsidR="00B673BB" w:rsidRPr="00A405DF" w:rsidRDefault="00B673BB" w:rsidP="00B673BB">
      <w:pPr>
        <w:rPr>
          <w:szCs w:val="20"/>
        </w:rPr>
      </w:pPr>
      <w:r w:rsidRPr="00A405DF">
        <w:rPr>
          <w:szCs w:val="20"/>
        </w:rPr>
        <w:t>Główną korzyścią płynącą</w:t>
      </w:r>
      <w:r w:rsidR="00E66B89">
        <w:rPr>
          <w:szCs w:val="20"/>
        </w:rPr>
        <w:t xml:space="preserve"> z </w:t>
      </w:r>
      <w:r w:rsidRPr="00A405DF">
        <w:rPr>
          <w:szCs w:val="20"/>
        </w:rPr>
        <w:t>wykorzystania instrumentów finansowych</w:t>
      </w:r>
      <w:r w:rsidR="00E66B89">
        <w:rPr>
          <w:szCs w:val="20"/>
        </w:rPr>
        <w:t xml:space="preserve"> z </w:t>
      </w:r>
      <w:r w:rsidRPr="00A405DF">
        <w:rPr>
          <w:szCs w:val="20"/>
        </w:rPr>
        <w:t>RPO WZ jest zwiększenie liczby klientów (48%),</w:t>
      </w:r>
      <w:r w:rsidR="00E66B89">
        <w:rPr>
          <w:szCs w:val="20"/>
        </w:rPr>
        <w:t xml:space="preserve"> a </w:t>
      </w:r>
      <w:r w:rsidRPr="00A405DF">
        <w:rPr>
          <w:szCs w:val="20"/>
        </w:rPr>
        <w:t>następnie: wprowadzenie do oferty firmy nowych lub istotnie ulepszonych wyrobów lub usług stanowiących innowację poziomie firmy (36%), zwiększenie zatrudnienia (24%), wprowadzenie do oferty firmy nowych lub istotnie ulepszonych wyrobów lub usług stanowiących innowację na poziomie rynku, na którym firma funkcjonuje (21%) oraz poprawa bezpieczeństwa</w:t>
      </w:r>
      <w:r w:rsidR="00E66B89">
        <w:rPr>
          <w:szCs w:val="20"/>
        </w:rPr>
        <w:t xml:space="preserve"> i </w:t>
      </w:r>
      <w:r w:rsidRPr="00A405DF">
        <w:rPr>
          <w:szCs w:val="20"/>
        </w:rPr>
        <w:t xml:space="preserve">higieny pracy (20%). Wyniki wskazują na zdecydowanie nakierowanie działalności na pozyskanie klienta, ale klienta </w:t>
      </w:r>
      <w:r w:rsidRPr="00A405DF">
        <w:rPr>
          <w:szCs w:val="20"/>
        </w:rPr>
        <w:lastRenderedPageBreak/>
        <w:t>krajowego. Nadal widać brak inwestycji firm</w:t>
      </w:r>
      <w:r w:rsidR="00E66B89">
        <w:rPr>
          <w:szCs w:val="20"/>
        </w:rPr>
        <w:t xml:space="preserve"> w </w:t>
      </w:r>
      <w:r w:rsidRPr="00A405DF">
        <w:rPr>
          <w:szCs w:val="20"/>
        </w:rPr>
        <w:t>kapitał ludzki (podniesienie kwalifikacji kadry, nawiązanie współpracy</w:t>
      </w:r>
      <w:r w:rsidR="00E66B89">
        <w:rPr>
          <w:szCs w:val="20"/>
        </w:rPr>
        <w:t xml:space="preserve"> z </w:t>
      </w:r>
      <w:r w:rsidRPr="00A405DF">
        <w:rPr>
          <w:szCs w:val="20"/>
        </w:rPr>
        <w:t>jednostkami naukowymi</w:t>
      </w:r>
      <w:r w:rsidR="00E66B89">
        <w:rPr>
          <w:szCs w:val="20"/>
        </w:rPr>
        <w:t xml:space="preserve"> i </w:t>
      </w:r>
      <w:r w:rsidRPr="00A405DF">
        <w:rPr>
          <w:szCs w:val="20"/>
        </w:rPr>
        <w:t>badawczo rozwojowymi).</w:t>
      </w:r>
    </w:p>
    <w:p w14:paraId="06DB40E0" w14:textId="77777777" w:rsidR="00B673BB" w:rsidRPr="00A405DF" w:rsidRDefault="00B673BB" w:rsidP="00B673BB">
      <w:pPr>
        <w:rPr>
          <w:szCs w:val="20"/>
        </w:rPr>
      </w:pPr>
      <w:r w:rsidRPr="00A405DF">
        <w:rPr>
          <w:szCs w:val="20"/>
        </w:rPr>
        <w:t>Instrumenty finansowe</w:t>
      </w:r>
      <w:r w:rsidR="00E66B89">
        <w:rPr>
          <w:szCs w:val="20"/>
        </w:rPr>
        <w:t xml:space="preserve"> z </w:t>
      </w:r>
      <w:r w:rsidRPr="00A405DF">
        <w:rPr>
          <w:szCs w:val="20"/>
        </w:rPr>
        <w:t>RPO WZ miały największy wpływ na wzrost potencjału inwestycyjnego przedsiębiorstwa (co pokrywa się</w:t>
      </w:r>
      <w:r w:rsidR="00E66B89">
        <w:rPr>
          <w:szCs w:val="20"/>
        </w:rPr>
        <w:t xml:space="preserve"> z </w:t>
      </w:r>
      <w:r w:rsidRPr="00A405DF">
        <w:rPr>
          <w:szCs w:val="20"/>
        </w:rPr>
        <w:t>wynikami mówiącymi</w:t>
      </w:r>
      <w:r w:rsidR="00E66B89">
        <w:rPr>
          <w:szCs w:val="20"/>
        </w:rPr>
        <w:t xml:space="preserve"> o </w:t>
      </w:r>
      <w:r w:rsidRPr="00A405DF">
        <w:rPr>
          <w:szCs w:val="20"/>
        </w:rPr>
        <w:t>inwestycji</w:t>
      </w:r>
      <w:r w:rsidR="00E66B89">
        <w:rPr>
          <w:szCs w:val="20"/>
        </w:rPr>
        <w:t xml:space="preserve"> w </w:t>
      </w:r>
      <w:r w:rsidRPr="00A405DF">
        <w:rPr>
          <w:szCs w:val="20"/>
        </w:rPr>
        <w:t>kapitał rzeczowy), następnie na nawiązanie i/lub poszerzenie współpracy</w:t>
      </w:r>
      <w:r w:rsidR="00E66B89">
        <w:rPr>
          <w:szCs w:val="20"/>
        </w:rPr>
        <w:t xml:space="preserve"> z </w:t>
      </w:r>
      <w:r w:rsidRPr="00A405DF">
        <w:rPr>
          <w:szCs w:val="20"/>
        </w:rPr>
        <w:t>inni przedsiębiorstwami, technologiczną modernizację firmy (z wyłączeniem technologii inwestycyjnych) oraz podniesienie jakości</w:t>
      </w:r>
      <w:r w:rsidR="00E66B89">
        <w:rPr>
          <w:szCs w:val="20"/>
        </w:rPr>
        <w:t xml:space="preserve"> i </w:t>
      </w:r>
      <w:r w:rsidRPr="00A405DF">
        <w:rPr>
          <w:szCs w:val="20"/>
        </w:rPr>
        <w:t>efektywności zarządzania.</w:t>
      </w:r>
      <w:r>
        <w:rPr>
          <w:szCs w:val="20"/>
        </w:rPr>
        <w:t xml:space="preserve"> </w:t>
      </w:r>
    </w:p>
    <w:p w14:paraId="24547844" w14:textId="77777777" w:rsidR="00B673BB" w:rsidRPr="00A405DF" w:rsidRDefault="00B673BB" w:rsidP="00B673BB">
      <w:pPr>
        <w:rPr>
          <w:szCs w:val="20"/>
        </w:rPr>
      </w:pPr>
      <w:r w:rsidRPr="00A405DF">
        <w:rPr>
          <w:szCs w:val="20"/>
        </w:rPr>
        <w:t>Przechodząc do analizy funkcjonowania instrumentów finansowych</w:t>
      </w:r>
      <w:r w:rsidR="00E66B89">
        <w:rPr>
          <w:szCs w:val="20"/>
        </w:rPr>
        <w:t xml:space="preserve"> z </w:t>
      </w:r>
      <w:r w:rsidRPr="00A405DF">
        <w:rPr>
          <w:szCs w:val="20"/>
        </w:rPr>
        <w:t>RPO WZ od strony operacyjnej, najczęstszym źródłem pierwszej informacji</w:t>
      </w:r>
      <w:r w:rsidR="00E66B89">
        <w:rPr>
          <w:szCs w:val="20"/>
        </w:rPr>
        <w:t xml:space="preserve"> o </w:t>
      </w:r>
      <w:r w:rsidRPr="00A405DF">
        <w:rPr>
          <w:szCs w:val="20"/>
        </w:rPr>
        <w:t>ofercie jest instytucja finansująca (27%).</w:t>
      </w:r>
      <w:r w:rsidR="00E66B89">
        <w:rPr>
          <w:szCs w:val="20"/>
        </w:rPr>
        <w:t xml:space="preserve"> W </w:t>
      </w:r>
      <w:r w:rsidRPr="00A405DF">
        <w:rPr>
          <w:szCs w:val="20"/>
        </w:rPr>
        <w:t>drugiej kolejności są doradcy (25%), strony internetowe instytucji finansującej (21%)</w:t>
      </w:r>
      <w:r w:rsidR="00E66B89">
        <w:rPr>
          <w:szCs w:val="20"/>
        </w:rPr>
        <w:t xml:space="preserve"> i </w:t>
      </w:r>
      <w:r w:rsidRPr="00A405DF">
        <w:rPr>
          <w:szCs w:val="20"/>
        </w:rPr>
        <w:t>storna internetowa Urzędu Marszałkowskiego (16%). Większość respondentów uważa, że jest dobrze poinformowana</w:t>
      </w:r>
      <w:r w:rsidR="00E66B89">
        <w:rPr>
          <w:szCs w:val="20"/>
        </w:rPr>
        <w:t xml:space="preserve"> o </w:t>
      </w:r>
      <w:r w:rsidRPr="00A405DF">
        <w:rPr>
          <w:szCs w:val="20"/>
        </w:rPr>
        <w:t>ofercie finansowania zwrotnego, przydatnego do finansowania własnej działalności (60,3%), ale tylko połowa (50%) uważa, że informacje na ten temat są łatwo dostępne</w:t>
      </w:r>
      <w:r w:rsidR="00E66B89">
        <w:rPr>
          <w:szCs w:val="20"/>
        </w:rPr>
        <w:t xml:space="preserve"> i </w:t>
      </w:r>
      <w:r w:rsidRPr="00A405DF">
        <w:rPr>
          <w:szCs w:val="20"/>
        </w:rPr>
        <w:t>wystarczające. Najlepiej respondenci oceniają wsparcie</w:t>
      </w:r>
      <w:r w:rsidR="00E66B89">
        <w:rPr>
          <w:szCs w:val="20"/>
        </w:rPr>
        <w:t xml:space="preserve"> w </w:t>
      </w:r>
      <w:r w:rsidRPr="00A405DF">
        <w:rPr>
          <w:szCs w:val="20"/>
        </w:rPr>
        <w:t>procesie pozyskiwania finansowania ze strony pracowników podmiotu udzielającego finansowanie (66,2% jako „bardzo dobrze”, 27,9% jako „raczej dobrze”) oraz czas podejmowania decyzji przez podmiot udzielający finansowania (54,4% jako „bardzo dobrze”, 39,7% jako „raczej dobrze”). Najgorzej ocenianym elementem</w:t>
      </w:r>
      <w:r w:rsidR="00E66B89">
        <w:rPr>
          <w:szCs w:val="20"/>
        </w:rPr>
        <w:t xml:space="preserve"> w </w:t>
      </w:r>
      <w:r w:rsidRPr="00A405DF">
        <w:rPr>
          <w:szCs w:val="20"/>
        </w:rPr>
        <w:t>procesie pozyskiwania finansowani</w:t>
      </w:r>
      <w:r>
        <w:rPr>
          <w:szCs w:val="20"/>
        </w:rPr>
        <w:t>a</w:t>
      </w:r>
      <w:r w:rsidRPr="00A405DF">
        <w:rPr>
          <w:szCs w:val="20"/>
        </w:rPr>
        <w:t xml:space="preserve"> zwrotnego</w:t>
      </w:r>
      <w:r w:rsidR="00E66B89">
        <w:rPr>
          <w:szCs w:val="20"/>
        </w:rPr>
        <w:t xml:space="preserve"> w </w:t>
      </w:r>
      <w:r w:rsidRPr="00A405DF">
        <w:rPr>
          <w:szCs w:val="20"/>
        </w:rPr>
        <w:t>porównaniu</w:t>
      </w:r>
      <w:r w:rsidR="00E66B89">
        <w:rPr>
          <w:szCs w:val="20"/>
        </w:rPr>
        <w:t xml:space="preserve"> z </w:t>
      </w:r>
      <w:r w:rsidRPr="00A405DF">
        <w:rPr>
          <w:szCs w:val="20"/>
        </w:rPr>
        <w:t>finansowaniem komercyjnym jest koszt pozyskania finansowania (51,5% jako „bardzo dobrze”, 38,2% jako „raczej dobrze”). Jak można zauważyć, każdy</w:t>
      </w:r>
      <w:r w:rsidR="00E66B89">
        <w:rPr>
          <w:szCs w:val="20"/>
        </w:rPr>
        <w:t xml:space="preserve"> z </w:t>
      </w:r>
      <w:r w:rsidRPr="00A405DF">
        <w:rPr>
          <w:szCs w:val="20"/>
        </w:rPr>
        <w:t>ocenianych elementów był oceniony</w:t>
      </w:r>
      <w:r w:rsidR="00E66B89">
        <w:rPr>
          <w:szCs w:val="20"/>
        </w:rPr>
        <w:t xml:space="preserve"> w </w:t>
      </w:r>
      <w:r w:rsidRPr="00A405DF">
        <w:rPr>
          <w:szCs w:val="20"/>
        </w:rPr>
        <w:t>największej proporcji jako „bardzo dobrze” lub „raczej dobrze”). Główną barierą</w:t>
      </w:r>
      <w:r w:rsidR="00E66B89">
        <w:rPr>
          <w:szCs w:val="20"/>
        </w:rPr>
        <w:t xml:space="preserve"> w </w:t>
      </w:r>
      <w:r w:rsidRPr="00A405DF">
        <w:rPr>
          <w:szCs w:val="20"/>
        </w:rPr>
        <w:t>dostępie do źródeł finansowania zwrotnego oferowanego</w:t>
      </w:r>
      <w:r w:rsidR="00E66B89">
        <w:rPr>
          <w:szCs w:val="20"/>
        </w:rPr>
        <w:t xml:space="preserve"> w </w:t>
      </w:r>
      <w:r w:rsidRPr="00A405DF">
        <w:rPr>
          <w:szCs w:val="20"/>
        </w:rPr>
        <w:t>RPO WZ jest brak wiedzy</w:t>
      </w:r>
      <w:r w:rsidR="00E66B89">
        <w:rPr>
          <w:szCs w:val="20"/>
        </w:rPr>
        <w:t xml:space="preserve"> o </w:t>
      </w:r>
      <w:r w:rsidRPr="00A405DF">
        <w:rPr>
          <w:szCs w:val="20"/>
        </w:rPr>
        <w:t>instrumentach finansowania zwrotnego (25%), duża liczba wymaganych dokumentów (14,7%)</w:t>
      </w:r>
      <w:r w:rsidR="00E66B89">
        <w:rPr>
          <w:szCs w:val="20"/>
        </w:rPr>
        <w:t xml:space="preserve"> i </w:t>
      </w:r>
      <w:r w:rsidRPr="00A405DF">
        <w:rPr>
          <w:szCs w:val="20"/>
        </w:rPr>
        <w:t>brak wiedzy</w:t>
      </w:r>
      <w:r w:rsidR="00E66B89">
        <w:rPr>
          <w:szCs w:val="20"/>
        </w:rPr>
        <w:t xml:space="preserve"> o </w:t>
      </w:r>
      <w:r w:rsidRPr="00A405DF">
        <w:rPr>
          <w:szCs w:val="20"/>
        </w:rPr>
        <w:t>podmiotach oferujących finansowanie zwrotne (10,3%). Co ważne, koszty pozyskania finansowania zwrotnego zostały zidentyfikowane, jako bariera tylko</w:t>
      </w:r>
      <w:r>
        <w:rPr>
          <w:szCs w:val="20"/>
        </w:rPr>
        <w:t xml:space="preserve"> przez </w:t>
      </w:r>
      <w:r w:rsidRPr="00A405DF">
        <w:rPr>
          <w:szCs w:val="20"/>
        </w:rPr>
        <w:t>1,5% respondentów. 19,1%</w:t>
      </w:r>
      <w:r w:rsidR="00E66B89">
        <w:rPr>
          <w:szCs w:val="20"/>
        </w:rPr>
        <w:t xml:space="preserve"> z </w:t>
      </w:r>
      <w:r w:rsidRPr="00A405DF">
        <w:rPr>
          <w:szCs w:val="20"/>
        </w:rPr>
        <w:t xml:space="preserve">respondentów twierdzi, że nie dostrzega żadnych barier. </w:t>
      </w:r>
    </w:p>
    <w:p w14:paraId="57968698" w14:textId="77777777" w:rsidR="00B673BB" w:rsidRPr="00A405DF" w:rsidRDefault="00B673BB" w:rsidP="00B673BB">
      <w:pPr>
        <w:pStyle w:val="Nagwek2"/>
      </w:pPr>
      <w:bookmarkStart w:id="397" w:name="_Toc6523759"/>
      <w:r w:rsidRPr="00A405DF">
        <w:t>Wnioski odnośnie do oceny skuteczności zastosowanych instrumentów finansowych</w:t>
      </w:r>
      <w:bookmarkEnd w:id="397"/>
      <w:r w:rsidRPr="00A405DF">
        <w:t xml:space="preserve"> </w:t>
      </w:r>
    </w:p>
    <w:p w14:paraId="44B65068" w14:textId="77777777" w:rsidR="00B673BB" w:rsidRPr="00A405DF" w:rsidRDefault="00B673BB" w:rsidP="00B673BB">
      <w:r w:rsidRPr="00A405DF">
        <w:t>Przeprowadzona analiza przede wszystkim pokazuje, że przedsiębiorcy nie są</w:t>
      </w:r>
      <w:r w:rsidR="00E66B89">
        <w:t xml:space="preserve"> w </w:t>
      </w:r>
      <w:r>
        <w:t xml:space="preserve">pełni </w:t>
      </w:r>
      <w:r w:rsidRPr="00A405DF">
        <w:t>odstrasz</w:t>
      </w:r>
      <w:r>
        <w:t>e</w:t>
      </w:r>
      <w:r w:rsidRPr="00A405DF">
        <w:t>ni ideą instrumentów finansowych zwrotnych.</w:t>
      </w:r>
      <w:r w:rsidR="00E66B89">
        <w:t xml:space="preserve"> Z </w:t>
      </w:r>
      <w:r>
        <w:t>drugiej jednak strony, z</w:t>
      </w:r>
      <w:r w:rsidRPr="00A405DF">
        <w:t>arówno analiza wskaźnikowa, jak</w:t>
      </w:r>
      <w:r w:rsidR="00E66B89">
        <w:t xml:space="preserve"> i </w:t>
      </w:r>
      <w:r w:rsidRPr="00A405DF">
        <w:t>analiza wyników badania CAWI wskazują jednak, że instrumenty finansowe zwrotne nie są skutecznym sposobem finansowania działalności innowacyjnej oraz budowania kapitału ludzkiego, który jest koniecznym elementem</w:t>
      </w:r>
      <w:r w:rsidR="00E66B89">
        <w:t xml:space="preserve"> w </w:t>
      </w:r>
      <w:r w:rsidRPr="00A405DF">
        <w:t xml:space="preserve">obecnej dobie </w:t>
      </w:r>
      <w:r>
        <w:t>konkurencyjności</w:t>
      </w:r>
      <w:r w:rsidRPr="00A405DF">
        <w:t xml:space="preserve"> budowanej na wiedzy. </w:t>
      </w:r>
      <w:r>
        <w:t>Wyniki badania CAWI oraz analiza wskaźnikowa pokazują również, że instrumenty finansowe zwrotne</w:t>
      </w:r>
      <w:r w:rsidR="00E66B89">
        <w:t xml:space="preserve"> w </w:t>
      </w:r>
      <w:r>
        <w:t>bardzo małym stopniu są wykorzystywane</w:t>
      </w:r>
      <w:r w:rsidR="00E66B89">
        <w:t xml:space="preserve"> w </w:t>
      </w:r>
      <w:r>
        <w:t>przypadku rozwoju przedsiębiorstw</w:t>
      </w:r>
      <w:r w:rsidR="00E66B89">
        <w:t xml:space="preserve"> w </w:t>
      </w:r>
      <w:r>
        <w:t>sposób niezwiązany</w:t>
      </w:r>
      <w:r w:rsidR="00E66B89">
        <w:t xml:space="preserve"> z </w:t>
      </w:r>
      <w:r>
        <w:t>innowacyjnością, np. szukanie nowych rynków zagranicą (Działanie 1.15).</w:t>
      </w:r>
    </w:p>
    <w:p w14:paraId="213781CC" w14:textId="77777777" w:rsidR="00B673BB" w:rsidRPr="00A405DF" w:rsidRDefault="00B673BB" w:rsidP="00B673BB">
      <w:r w:rsidRPr="00A405DF">
        <w:t>W przypadku, gdy celem jest stymulowanie innowacyjności</w:t>
      </w:r>
      <w:r w:rsidR="00E66B89">
        <w:t xml:space="preserve"> w </w:t>
      </w:r>
      <w:r w:rsidRPr="00A405DF">
        <w:t>pierwszej kolejności rekomenduje się stosowanie instrumentów finansowych niezwrotnych. Takie rozwiązanie, nawet przy wymaganym wkładzie własnym,</w:t>
      </w:r>
      <w:r w:rsidR="00E66B89">
        <w:t xml:space="preserve"> w </w:t>
      </w:r>
      <w:r w:rsidRPr="00A405DF">
        <w:t>sposób zdecydowany ograniczy potencjalne straty związane</w:t>
      </w:r>
      <w:r w:rsidR="00E66B89">
        <w:t xml:space="preserve"> z </w:t>
      </w:r>
      <w:r w:rsidRPr="00A405DF">
        <w:t>zakończeniem działania B+R.</w:t>
      </w:r>
      <w:r w:rsidR="00E66B89">
        <w:t xml:space="preserve"> W </w:t>
      </w:r>
      <w:r w:rsidRPr="00A405DF">
        <w:t>drugiej kolejności rekomenduj</w:t>
      </w:r>
      <w:r>
        <w:t>e</w:t>
      </w:r>
      <w:r w:rsidRPr="00A405DF">
        <w:t xml:space="preserve"> się stosowanie instrumentów finansowych bezzwrotnych </w:t>
      </w:r>
      <w:r>
        <w:t>połączone</w:t>
      </w:r>
      <w:r w:rsidR="00E66B89">
        <w:t xml:space="preserve"> z </w:t>
      </w:r>
      <w:r>
        <w:t>brakiem</w:t>
      </w:r>
      <w:r w:rsidRPr="00A405DF">
        <w:t xml:space="preserve"> wkładu własnego ze strony beneficjenta.</w:t>
      </w:r>
    </w:p>
    <w:p w14:paraId="697B24AE" w14:textId="77777777" w:rsidR="00B673BB" w:rsidRPr="00A405DF" w:rsidRDefault="00B673BB" w:rsidP="00B673BB">
      <w:r w:rsidRPr="00A405DF">
        <w:t>Temat wkładu własnego oraz stosowania instrumentów finansowych zwrotnych jest również bardzo istotny</w:t>
      </w:r>
      <w:r w:rsidR="00E66B89">
        <w:t xml:space="preserve"> w </w:t>
      </w:r>
      <w:r w:rsidRPr="00A405DF">
        <w:t>przypadku programów chcących zaangażować osoby</w:t>
      </w:r>
      <w:r w:rsidR="00E66B89">
        <w:t xml:space="preserve"> o </w:t>
      </w:r>
      <w:r w:rsidRPr="00A405DF">
        <w:t>niskim lub zerowym dochodzie.</w:t>
      </w:r>
      <w:r>
        <w:t xml:space="preserve"> </w:t>
      </w:r>
    </w:p>
    <w:p w14:paraId="343B228B" w14:textId="77777777" w:rsidR="00B673BB" w:rsidRPr="00A405DF" w:rsidRDefault="00B673BB" w:rsidP="00B673BB">
      <w:r w:rsidRPr="00A405DF">
        <w:t>Dla inicjatyw mających na celu zwiększenie kapitału rzeczowego przedsiębiorców, możliwe</w:t>
      </w:r>
      <w:r w:rsidR="00E66B89">
        <w:t xml:space="preserve"> i </w:t>
      </w:r>
      <w:r w:rsidRPr="00A405DF">
        <w:t>skuteczne jest stosowanie instrumentów finansowych zwrotnych. Jest to związane</w:t>
      </w:r>
      <w:r w:rsidR="00E66B89">
        <w:t xml:space="preserve"> z </w:t>
      </w:r>
      <w:r w:rsidRPr="00A405DF">
        <w:t>relatywnie niskim ryzykiem inwestycji</w:t>
      </w:r>
      <w:r w:rsidR="00E66B89">
        <w:t xml:space="preserve"> w </w:t>
      </w:r>
      <w:r w:rsidRPr="00A405DF">
        <w:t xml:space="preserve">kapitał rzeczowy, które jest dalej ograniczane przez możliwość upłynnienia zakupionego kapitału rzeczowego (tj. pozbycie się części kosztu stałego przedsiębiorstwa). Dodatkowo należy </w:t>
      </w:r>
      <w:r w:rsidRPr="00A405DF">
        <w:lastRenderedPageBreak/>
        <w:t>pamiętać, że zakupiony kapitał rzeczowy (w przeciwieństwie do inwestycji</w:t>
      </w:r>
      <w:r w:rsidR="00E66B89">
        <w:t xml:space="preserve"> w </w:t>
      </w:r>
      <w:r w:rsidRPr="00A405DF">
        <w:t>działania innowacyjne lub akumulację kapitału ludzkiego) zwiększa aktywa firmy, które mogą posłużyć jako podstawa do zwiększenia pasywów poprzez finansowanie pieniądzem kredytowym pozyskanym</w:t>
      </w:r>
      <w:r w:rsidR="00E66B89">
        <w:t xml:space="preserve"> w </w:t>
      </w:r>
      <w:r w:rsidRPr="00A405DF">
        <w:t>sektorze finansowym.</w:t>
      </w:r>
    </w:p>
    <w:p w14:paraId="5BA90796" w14:textId="77777777" w:rsidR="00B673BB" w:rsidRPr="00FD0D93" w:rsidRDefault="00B673BB" w:rsidP="00B673BB">
      <w:r w:rsidRPr="00A405DF">
        <w:t xml:space="preserve">Wnioski odnośnie do instrumentów finansowych </w:t>
      </w:r>
      <w:r>
        <w:t xml:space="preserve">zwrotnych </w:t>
      </w:r>
      <w:r w:rsidRPr="00A405DF">
        <w:t>związanych</w:t>
      </w:r>
      <w:r w:rsidR="00E66B89">
        <w:t xml:space="preserve"> z </w:t>
      </w:r>
      <w:r w:rsidRPr="00A405DF">
        <w:t>Działaniem 1.9 (Priorytet inwestycyjny 3c) pokrywają się</w:t>
      </w:r>
      <w:r w:rsidR="00E66B89">
        <w:t xml:space="preserve"> z </w:t>
      </w:r>
      <w:r w:rsidRPr="00A405DF">
        <w:t>kluczowymi wnioskami ewaluacji ex-ante instrumentów finansowych wdrażanych</w:t>
      </w:r>
      <w:r w:rsidR="00E66B89">
        <w:t xml:space="preserve"> w </w:t>
      </w:r>
      <w:r w:rsidRPr="00A405DF">
        <w:t>województwie zachodniopomorskim</w:t>
      </w:r>
      <w:r w:rsidR="00E66B89">
        <w:t xml:space="preserve"> w </w:t>
      </w:r>
      <w:r w:rsidRPr="00A405DF">
        <w:t>latach 2014-2020. Zarówno wyniki badania CAWI, wyniki analizy wskaźnikowej oraz wyniki wspomnianej ewaluacji zgadzają się odnośnie występowania luki</w:t>
      </w:r>
      <w:r w:rsidR="00E66B89">
        <w:t xml:space="preserve"> w </w:t>
      </w:r>
      <w:r w:rsidRPr="00A405DF">
        <w:t>finansowaniu oraz że to właśnie ta luka powinna być adresatem działań promujących rozwój przedsiębiorstw.</w:t>
      </w:r>
      <w:r w:rsidR="00E66B89">
        <w:t xml:space="preserve"> W </w:t>
      </w:r>
      <w:r w:rsidRPr="00A405DF">
        <w:t>szczególności istnieje potrzeba wspierania mniejszych przedsiębiorstw (IDI). Jednym</w:t>
      </w:r>
      <w:r w:rsidR="00E66B89">
        <w:t xml:space="preserve"> z </w:t>
      </w:r>
      <w:r w:rsidRPr="00A405DF">
        <w:t xml:space="preserve">wyników ewaluacji ex-ante jest udzielenie dotacji na przygotowanie transakcji pożyczki typu „mezzanine”. Wyniki badania CAWI podtrzymują tę rekomendację. Tylko dla połowy ankietowanych </w:t>
      </w:r>
      <w:r w:rsidRPr="00A405DF">
        <w:rPr>
          <w:szCs w:val="20"/>
        </w:rPr>
        <w:t>informacja na temat finansowania zwrotnego jest łatwo dostępna</w:t>
      </w:r>
      <w:r w:rsidR="00E66B89">
        <w:rPr>
          <w:szCs w:val="20"/>
        </w:rPr>
        <w:t xml:space="preserve"> i </w:t>
      </w:r>
      <w:r w:rsidRPr="00A405DF">
        <w:rPr>
          <w:szCs w:val="20"/>
        </w:rPr>
        <w:t>wystarczająca. Lepsze zrozumienie korzyści, ale</w:t>
      </w:r>
      <w:r w:rsidR="00E66B89">
        <w:rPr>
          <w:szCs w:val="20"/>
        </w:rPr>
        <w:t xml:space="preserve"> i </w:t>
      </w:r>
      <w:r w:rsidRPr="00A405DF">
        <w:rPr>
          <w:szCs w:val="20"/>
        </w:rPr>
        <w:t>obowiązków beneficjentów powinno przełożyć się na szybsze podejmowanie przez nich decyzji odnośnie aplikowania</w:t>
      </w:r>
      <w:r w:rsidR="00E66B89">
        <w:rPr>
          <w:szCs w:val="20"/>
        </w:rPr>
        <w:t xml:space="preserve"> o </w:t>
      </w:r>
      <w:r w:rsidRPr="00A405DF">
        <w:rPr>
          <w:szCs w:val="20"/>
        </w:rPr>
        <w:t>fundusze. Innymi słowy, pomoc</w:t>
      </w:r>
      <w:r w:rsidR="00E66B89">
        <w:rPr>
          <w:szCs w:val="20"/>
        </w:rPr>
        <w:t xml:space="preserve"> w </w:t>
      </w:r>
      <w:r w:rsidRPr="00A405DF">
        <w:rPr>
          <w:szCs w:val="20"/>
        </w:rPr>
        <w:t xml:space="preserve">stylu </w:t>
      </w:r>
      <w:r w:rsidRPr="00A405DF">
        <w:t>mezzanine powinna przełożyć się na spadek problemów administracyjno-informacyjnych,</w:t>
      </w:r>
      <w:r w:rsidR="00E66B89">
        <w:t xml:space="preserve"> z </w:t>
      </w:r>
      <w:r w:rsidRPr="00A405DF">
        <w:t>którymi borykają się potencjalni beneficjenci. Udzielenie takie</w:t>
      </w:r>
      <w:r>
        <w:t>go</w:t>
      </w:r>
      <w:r w:rsidRPr="00A405DF">
        <w:t xml:space="preserve"> dodatkowego wsparcia ograniczy również koszty po stronie aplikującego, co może mieć kluczowe znaczenie dla mniejszych przedsiębiorstw. Kolejną kluczową propozycją wynikającą</w:t>
      </w:r>
      <w:r w:rsidR="00E66B89">
        <w:t xml:space="preserve"> z </w:t>
      </w:r>
      <w:r w:rsidRPr="00A405DF">
        <w:t>ewaluacji ex-ante jest subsydiowanie odsetek od kredytów komercyjnych lub wsparcie</w:t>
      </w:r>
      <w:r w:rsidR="00E66B89">
        <w:t xml:space="preserve"> w </w:t>
      </w:r>
      <w:r w:rsidRPr="00A405DF">
        <w:t>postaci poręczenia.</w:t>
      </w:r>
      <w:r w:rsidR="00E66B89">
        <w:t xml:space="preserve"> O </w:t>
      </w:r>
      <w:r w:rsidRPr="00A405DF">
        <w:t>ile idea dalszego wsparcia przedsiębiorstw jest zrozumiała,</w:t>
      </w:r>
      <w:r w:rsidR="00E66B89">
        <w:t xml:space="preserve"> o </w:t>
      </w:r>
      <w:r w:rsidRPr="00A405DF">
        <w:t>tyle rekomendacja by objęto nim podmioty, które „nie mają większych problemów</w:t>
      </w:r>
      <w:r w:rsidR="00E66B89">
        <w:t xml:space="preserve"> z </w:t>
      </w:r>
      <w:r w:rsidRPr="00A405DF">
        <w:t>pozyskaniem finansowania zwrotnego</w:t>
      </w:r>
      <w:r w:rsidR="00E66B89">
        <w:t xml:space="preserve"> i </w:t>
      </w:r>
      <w:r w:rsidRPr="00A405DF">
        <w:t>których ryzyko finansowe jest na ograniczonym, przeciętnym poziomie” kł</w:t>
      </w:r>
      <w:r>
        <w:t>ó</w:t>
      </w:r>
      <w:r w:rsidRPr="00A405DF">
        <w:t>ci się</w:t>
      </w:r>
      <w:r w:rsidR="00E66B89">
        <w:t xml:space="preserve"> z </w:t>
      </w:r>
      <w:r w:rsidRPr="00A405DF">
        <w:t>ideą wspierania mikro, małych</w:t>
      </w:r>
      <w:r w:rsidR="00E66B89">
        <w:t xml:space="preserve"> i </w:t>
      </w:r>
      <w:r w:rsidRPr="00A405DF">
        <w:t>częściowo średnich przedsiębiorstw – zwłaszcza, gdy te przedsiębiorstwa angażują się</w:t>
      </w:r>
      <w:r w:rsidR="00E66B89">
        <w:t xml:space="preserve"> w </w:t>
      </w:r>
      <w:r w:rsidRPr="00A405DF">
        <w:t xml:space="preserve">działania innowacyjne niosące ze sobą bardzo wysoki poziom ryzyka. Tę hipotezę popiera uwaga </w:t>
      </w:r>
      <w:r>
        <w:t xml:space="preserve">respondenta - </w:t>
      </w:r>
      <w:r w:rsidRPr="00A405DF">
        <w:t>eksperta, który zaznaczył, że głównymi odbiorcami instrumentów finansowych zwrotnych (w Działaniu 1.9) są mikro firmy,</w:t>
      </w:r>
      <w:r w:rsidR="00E66B89">
        <w:t xml:space="preserve"> w </w:t>
      </w:r>
      <w:r w:rsidRPr="00A405DF">
        <w:t>tym przede wszystkim start-upy (IDI). Rekomendacją tego badania jest wspieranie pomocy typu mezzanine, ale powinna ona być kierowana do podmiotów</w:t>
      </w:r>
      <w:r w:rsidR="00E66B89">
        <w:t xml:space="preserve"> o </w:t>
      </w:r>
      <w:r w:rsidRPr="00A405DF">
        <w:t>niskiej zdolności kredytowej,</w:t>
      </w:r>
      <w:r w:rsidR="00E66B89">
        <w:t xml:space="preserve"> a </w:t>
      </w:r>
      <w:r w:rsidRPr="00A405DF">
        <w:t>element ryzyka powinien nie być minimalizowany, ale właściwie zarządzany.</w:t>
      </w:r>
      <w:r w:rsidR="00E66B89">
        <w:t xml:space="preserve"> W </w:t>
      </w:r>
      <w:r w:rsidRPr="00A405DF">
        <w:t xml:space="preserve">przypadku </w:t>
      </w:r>
      <w:r>
        <w:t>PI</w:t>
      </w:r>
      <w:r w:rsidRPr="00A405DF">
        <w:t xml:space="preserve"> 3a rekomendacje ewaluacji ex-ante dotyczą wsparcia miękkiego (np. doradztwo, szkolenia). Takie miękkie wsparcie może przyjąć formę bezpośrednią (np. oferta pośrednika finansowego – wg ewaluacji ex-ante) lub może przyjąć formę niebezpośrednią, tj. instrumentów finansowych bezzwrotnych (np. fundusze na ustalone programy szkoleń – wg obecnej ewaluacji).</w:t>
      </w:r>
      <w:r>
        <w:t xml:space="preserve"> </w:t>
      </w:r>
    </w:p>
    <w:p w14:paraId="7E94DE34" w14:textId="77777777" w:rsidR="00094427" w:rsidRPr="00801DB4" w:rsidRDefault="00BE254B" w:rsidP="00D45914">
      <w:pPr>
        <w:pStyle w:val="Nagwek1"/>
      </w:pPr>
      <w:bookmarkStart w:id="398" w:name="_Toc6523760"/>
      <w:r w:rsidRPr="00801DB4">
        <w:t>OCENA SKUTECZNOŚCI SYSTEMU ZARZĄDZANIA RPO WZ 2014-2020</w:t>
      </w:r>
      <w:bookmarkEnd w:id="398"/>
    </w:p>
    <w:p w14:paraId="301D737E" w14:textId="77777777" w:rsidR="00526AA8" w:rsidRPr="00404DA5" w:rsidRDefault="00526AA8" w:rsidP="00526AA8">
      <w:pPr>
        <w:shd w:val="clear" w:color="auto" w:fill="DBE5F1"/>
        <w:rPr>
          <w:rFonts w:cs="Calibri"/>
          <w:szCs w:val="20"/>
        </w:rPr>
      </w:pPr>
      <w:r w:rsidRPr="00404DA5">
        <w:rPr>
          <w:rFonts w:cs="Calibri"/>
          <w:szCs w:val="20"/>
        </w:rPr>
        <w:t>6. Czy</w:t>
      </w:r>
      <w:r w:rsidR="00E66B89">
        <w:rPr>
          <w:rFonts w:cs="Calibri"/>
          <w:szCs w:val="20"/>
        </w:rPr>
        <w:t xml:space="preserve"> i w </w:t>
      </w:r>
      <w:r w:rsidRPr="00404DA5">
        <w:rPr>
          <w:rFonts w:cs="Calibri"/>
          <w:szCs w:val="20"/>
        </w:rPr>
        <w:t>jakim stopniu system instytucjonalny skutecznie wspiera realizację RPO WZ, czy potrzebne są dostosowania</w:t>
      </w:r>
      <w:r w:rsidR="00E66B89">
        <w:rPr>
          <w:rFonts w:cs="Calibri"/>
          <w:szCs w:val="20"/>
        </w:rPr>
        <w:t xml:space="preserve"> w </w:t>
      </w:r>
      <w:r w:rsidRPr="00404DA5">
        <w:rPr>
          <w:rFonts w:cs="Calibri"/>
          <w:szCs w:val="20"/>
        </w:rPr>
        <w:t>zakresie wsparcia instytucjonalnego,</w:t>
      </w:r>
      <w:r w:rsidR="00E66B89">
        <w:rPr>
          <w:rFonts w:cs="Calibri"/>
          <w:szCs w:val="20"/>
        </w:rPr>
        <w:t xml:space="preserve"> w </w:t>
      </w:r>
      <w:r w:rsidRPr="00404DA5">
        <w:rPr>
          <w:rFonts w:cs="Calibri"/>
          <w:szCs w:val="20"/>
        </w:rPr>
        <w:t>tym stworzenie dodatkowych regulacji wspierających system realizacji polityki spójności?</w:t>
      </w:r>
      <w:r w:rsidR="00E66B89">
        <w:rPr>
          <w:rFonts w:cs="Calibri"/>
          <w:szCs w:val="20"/>
        </w:rPr>
        <w:t xml:space="preserve"> W </w:t>
      </w:r>
      <w:r w:rsidRPr="00404DA5">
        <w:rPr>
          <w:rFonts w:cs="Calibri"/>
          <w:szCs w:val="20"/>
        </w:rPr>
        <w:t>jakim stopniu działania związane</w:t>
      </w:r>
      <w:r w:rsidR="00E66B89">
        <w:rPr>
          <w:rFonts w:cs="Calibri"/>
          <w:szCs w:val="20"/>
        </w:rPr>
        <w:t xml:space="preserve"> z </w:t>
      </w:r>
      <w:r w:rsidRPr="00404DA5">
        <w:rPr>
          <w:rFonts w:cs="Calibri"/>
          <w:szCs w:val="20"/>
        </w:rPr>
        <w:t>zarządzaniem interwencją RPO WZ wpływały na skuteczność</w:t>
      </w:r>
      <w:r w:rsidR="00E66B89">
        <w:rPr>
          <w:rFonts w:cs="Calibri"/>
          <w:szCs w:val="20"/>
        </w:rPr>
        <w:t xml:space="preserve"> i </w:t>
      </w:r>
      <w:r w:rsidRPr="00404DA5">
        <w:rPr>
          <w:rFonts w:cs="Calibri"/>
          <w:szCs w:val="20"/>
        </w:rPr>
        <w:t>efektywność udzielanego wsparcia? (czyli harmonogram realizacji projektów oraz trafność ich doboru</w:t>
      </w:r>
      <w:r w:rsidR="00E66B89">
        <w:rPr>
          <w:rFonts w:cs="Calibri"/>
          <w:szCs w:val="20"/>
        </w:rPr>
        <w:t xml:space="preserve"> w </w:t>
      </w:r>
      <w:r w:rsidRPr="00404DA5">
        <w:rPr>
          <w:rFonts w:cs="Calibri"/>
          <w:szCs w:val="20"/>
        </w:rPr>
        <w:t>kontekście generowanych efektów</w:t>
      </w:r>
      <w:r w:rsidR="00E66B89">
        <w:rPr>
          <w:rFonts w:cs="Calibri"/>
          <w:szCs w:val="20"/>
        </w:rPr>
        <w:t xml:space="preserve"> i </w:t>
      </w:r>
      <w:r w:rsidRPr="00404DA5">
        <w:rPr>
          <w:rFonts w:cs="Calibri"/>
          <w:szCs w:val="20"/>
        </w:rPr>
        <w:t>realizowanych celów, proces wyboru</w:t>
      </w:r>
      <w:r w:rsidR="00E66B89">
        <w:rPr>
          <w:rFonts w:cs="Calibri"/>
          <w:szCs w:val="20"/>
        </w:rPr>
        <w:t xml:space="preserve"> i </w:t>
      </w:r>
      <w:r w:rsidRPr="00404DA5">
        <w:rPr>
          <w:rFonts w:cs="Calibri"/>
          <w:szCs w:val="20"/>
        </w:rPr>
        <w:t>działania informacyjno-promocyjne)</w:t>
      </w:r>
    </w:p>
    <w:p w14:paraId="74E47353" w14:textId="77777777" w:rsidR="00526AA8" w:rsidRPr="00404DA5" w:rsidRDefault="00526AA8" w:rsidP="00526AA8">
      <w:pPr>
        <w:shd w:val="clear" w:color="auto" w:fill="DBE5F1"/>
        <w:rPr>
          <w:rFonts w:cs="Calibri"/>
          <w:szCs w:val="20"/>
        </w:rPr>
      </w:pPr>
      <w:r w:rsidRPr="00404DA5">
        <w:rPr>
          <w:rFonts w:cs="Calibri"/>
          <w:szCs w:val="20"/>
        </w:rPr>
        <w:t>7. Czy konieczne było wprowadzenie środków zaradczych służących zwiększeniu skuteczności wdrażania interwencji</w:t>
      </w:r>
      <w:r w:rsidR="00E66B89">
        <w:rPr>
          <w:rFonts w:cs="Calibri"/>
          <w:szCs w:val="20"/>
        </w:rPr>
        <w:t xml:space="preserve"> w </w:t>
      </w:r>
      <w:r w:rsidRPr="00404DA5">
        <w:rPr>
          <w:rFonts w:cs="Calibri"/>
          <w:szCs w:val="20"/>
        </w:rPr>
        <w:t>ramach poszczególnych osi priorytetowych/ Programu? Jakie środki zostały wprowadzone? Czy</w:t>
      </w:r>
      <w:r w:rsidR="00E66B89">
        <w:rPr>
          <w:rFonts w:cs="Calibri"/>
          <w:szCs w:val="20"/>
        </w:rPr>
        <w:t xml:space="preserve"> i w </w:t>
      </w:r>
      <w:r w:rsidRPr="00404DA5">
        <w:rPr>
          <w:rFonts w:cs="Calibri"/>
          <w:szCs w:val="20"/>
        </w:rPr>
        <w:t>jakim zakresie przyniosły one oczekiwane efekty?</w:t>
      </w:r>
    </w:p>
    <w:p w14:paraId="7B292D16" w14:textId="77777777" w:rsidR="00526AA8" w:rsidRPr="00404DA5" w:rsidRDefault="00526AA8" w:rsidP="00526AA8">
      <w:pPr>
        <w:shd w:val="clear" w:color="auto" w:fill="DBE5F1"/>
        <w:rPr>
          <w:rFonts w:cs="Calibri"/>
          <w:szCs w:val="20"/>
        </w:rPr>
      </w:pPr>
      <w:r w:rsidRPr="00404DA5">
        <w:rPr>
          <w:rFonts w:cs="Calibri"/>
          <w:szCs w:val="20"/>
        </w:rPr>
        <w:lastRenderedPageBreak/>
        <w:t>18. Czy instytucje zaangażowane we wdrażanie interwencji są gotowe do podjęcia dodatkowych obowiązków wynikających</w:t>
      </w:r>
      <w:r w:rsidR="00E66B89">
        <w:rPr>
          <w:rFonts w:cs="Calibri"/>
          <w:szCs w:val="20"/>
        </w:rPr>
        <w:t xml:space="preserve"> z </w:t>
      </w:r>
      <w:r w:rsidRPr="00404DA5">
        <w:rPr>
          <w:rFonts w:cs="Calibri"/>
          <w:szCs w:val="20"/>
        </w:rPr>
        <w:t>ewentualnego przyznania danej osi priorytetowej/ działaniu dodatkowych środków finansowych?</w:t>
      </w:r>
    </w:p>
    <w:p w14:paraId="75B3A198" w14:textId="77777777" w:rsidR="00526AA8" w:rsidRPr="00404DA5" w:rsidRDefault="00526AA8" w:rsidP="00526AA8">
      <w:pPr>
        <w:shd w:val="clear" w:color="auto" w:fill="DBE5F1"/>
        <w:rPr>
          <w:rFonts w:cs="Calibri"/>
          <w:szCs w:val="20"/>
        </w:rPr>
      </w:pPr>
      <w:r w:rsidRPr="00404DA5">
        <w:rPr>
          <w:rFonts w:cs="Calibri"/>
          <w:szCs w:val="20"/>
        </w:rPr>
        <w:t>15. Czy należy wdrożyć dodatkowe rozwiązania instytucjonalne</w:t>
      </w:r>
      <w:r w:rsidR="00E66B89">
        <w:rPr>
          <w:rFonts w:cs="Calibri"/>
          <w:szCs w:val="20"/>
        </w:rPr>
        <w:t xml:space="preserve"> w </w:t>
      </w:r>
      <w:r w:rsidRPr="00404DA5">
        <w:rPr>
          <w:rFonts w:cs="Calibri"/>
          <w:szCs w:val="20"/>
        </w:rPr>
        <w:t>celu zapewnienia większej skuteczności</w:t>
      </w:r>
      <w:r w:rsidR="00E66B89">
        <w:rPr>
          <w:rFonts w:cs="Calibri"/>
          <w:szCs w:val="20"/>
        </w:rPr>
        <w:t xml:space="preserve"> i </w:t>
      </w:r>
      <w:r w:rsidRPr="00404DA5">
        <w:rPr>
          <w:rFonts w:cs="Calibri"/>
          <w:szCs w:val="20"/>
        </w:rPr>
        <w:t>efektywności realizacji interwencji? Jakie rozwiązania przyczyniają się do osiągnięcia tego celu?</w:t>
      </w:r>
    </w:p>
    <w:p w14:paraId="074B471F" w14:textId="77777777" w:rsidR="00526AA8" w:rsidRPr="007262F7" w:rsidRDefault="00526AA8" w:rsidP="00526AA8">
      <w:r w:rsidRPr="007262F7">
        <w:t>Podstawę systemu realizacji RPO WZ tworzą dokumenty zewnętrzne (akty prawne unijne</w:t>
      </w:r>
      <w:r w:rsidR="00E66B89">
        <w:t xml:space="preserve"> i </w:t>
      </w:r>
      <w:r w:rsidRPr="007262F7">
        <w:t>krajowe oraz wytyczne ministra właściwego ds. rozwoju regionalnego) oraz wewnętrzne,</w:t>
      </w:r>
      <w:r w:rsidR="00E66B89">
        <w:t xml:space="preserve"> w </w:t>
      </w:r>
      <w:r w:rsidRPr="007262F7">
        <w:t>szczególności</w:t>
      </w:r>
      <w:r w:rsidRPr="007262F7">
        <w:rPr>
          <w:rStyle w:val="Odwoanieprzypisudolnego"/>
        </w:rPr>
        <w:footnoteReference w:id="169"/>
      </w:r>
      <w:r w:rsidRPr="007262F7">
        <w:t>:</w:t>
      </w:r>
    </w:p>
    <w:p w14:paraId="6DF43053" w14:textId="77777777" w:rsidR="00526AA8" w:rsidRPr="007262F7" w:rsidRDefault="00703AED" w:rsidP="00093E14">
      <w:pPr>
        <w:numPr>
          <w:ilvl w:val="0"/>
          <w:numId w:val="12"/>
        </w:numPr>
        <w:tabs>
          <w:tab w:val="left" w:pos="709"/>
        </w:tabs>
        <w:ind w:left="709" w:hanging="284"/>
        <w:rPr>
          <w:b/>
        </w:rPr>
      </w:pPr>
      <w:r>
        <w:t>S</w:t>
      </w:r>
      <w:r w:rsidRPr="007262F7">
        <w:t xml:space="preserve">zczegółowy </w:t>
      </w:r>
      <w:r w:rsidR="00526AA8" w:rsidRPr="007262F7">
        <w:t>opis osi priorytetowych RPO WZ 2014-2020 (SOOP)</w:t>
      </w:r>
      <w:r w:rsidR="004E27AD">
        <w:t>,</w:t>
      </w:r>
    </w:p>
    <w:p w14:paraId="4BEEC59B" w14:textId="77777777" w:rsidR="00526AA8" w:rsidRPr="007262F7" w:rsidRDefault="00703AED" w:rsidP="00093E14">
      <w:pPr>
        <w:numPr>
          <w:ilvl w:val="0"/>
          <w:numId w:val="12"/>
        </w:numPr>
        <w:tabs>
          <w:tab w:val="left" w:pos="709"/>
        </w:tabs>
        <w:ind w:left="709" w:hanging="284"/>
        <w:rPr>
          <w:b/>
        </w:rPr>
      </w:pPr>
      <w:r>
        <w:t>O</w:t>
      </w:r>
      <w:r w:rsidRPr="007262F7">
        <w:t xml:space="preserve">pis </w:t>
      </w:r>
      <w:r w:rsidR="00526AA8" w:rsidRPr="007262F7">
        <w:t>funkcji</w:t>
      </w:r>
      <w:r w:rsidR="00E66B89">
        <w:t xml:space="preserve"> i </w:t>
      </w:r>
      <w:r w:rsidR="00526AA8" w:rsidRPr="007262F7">
        <w:t>procedur IZ RPO WZ 2014-2020 (OFiP),</w:t>
      </w:r>
    </w:p>
    <w:p w14:paraId="221FA30D" w14:textId="77777777" w:rsidR="00526AA8" w:rsidRPr="007262F7" w:rsidRDefault="00526AA8" w:rsidP="00093E14">
      <w:pPr>
        <w:numPr>
          <w:ilvl w:val="0"/>
          <w:numId w:val="12"/>
        </w:numPr>
        <w:tabs>
          <w:tab w:val="left" w:pos="709"/>
        </w:tabs>
        <w:ind w:left="709" w:hanging="284"/>
        <w:rPr>
          <w:b/>
        </w:rPr>
      </w:pPr>
      <w:r w:rsidRPr="007262F7">
        <w:t>Zasady IZ RPO WZ 2014-2020, określające jednolite warunki realizacji RPO WZ 2014-2020</w:t>
      </w:r>
      <w:r w:rsidR="004E27AD">
        <w:t>,</w:t>
      </w:r>
    </w:p>
    <w:p w14:paraId="32BEF819" w14:textId="77777777" w:rsidR="00526AA8" w:rsidRPr="007262F7" w:rsidRDefault="00526AA8" w:rsidP="00093E14">
      <w:pPr>
        <w:numPr>
          <w:ilvl w:val="0"/>
          <w:numId w:val="12"/>
        </w:numPr>
        <w:tabs>
          <w:tab w:val="left" w:pos="709"/>
        </w:tabs>
        <w:ind w:left="709" w:hanging="284"/>
        <w:rPr>
          <w:b/>
        </w:rPr>
      </w:pPr>
      <w:r w:rsidRPr="007262F7">
        <w:t>Interpretacje horyzontalne wydawane przez Instytucję Zarządzającą</w:t>
      </w:r>
      <w:r w:rsidR="004E27AD">
        <w:t>,</w:t>
      </w:r>
    </w:p>
    <w:p w14:paraId="6340B0C5" w14:textId="77777777" w:rsidR="00526AA8" w:rsidRPr="007262F7" w:rsidRDefault="00526AA8" w:rsidP="00093E14">
      <w:pPr>
        <w:numPr>
          <w:ilvl w:val="0"/>
          <w:numId w:val="12"/>
        </w:numPr>
        <w:tabs>
          <w:tab w:val="left" w:pos="709"/>
        </w:tabs>
        <w:ind w:left="709" w:hanging="284"/>
      </w:pPr>
      <w:r w:rsidRPr="007262F7">
        <w:t>Instrukcje Wykonawcze Instytucji Zarządzającej,</w:t>
      </w:r>
    </w:p>
    <w:p w14:paraId="43CA5FAA" w14:textId="77777777" w:rsidR="00526AA8" w:rsidRPr="007262F7" w:rsidRDefault="00526AA8" w:rsidP="00093E14">
      <w:pPr>
        <w:numPr>
          <w:ilvl w:val="0"/>
          <w:numId w:val="12"/>
        </w:numPr>
        <w:tabs>
          <w:tab w:val="left" w:pos="709"/>
        </w:tabs>
        <w:ind w:left="709" w:hanging="284"/>
        <w:rPr>
          <w:b/>
        </w:rPr>
      </w:pPr>
      <w:r w:rsidRPr="007262F7">
        <w:t>Instrukcje Wykonawcze Instytucji Pośredniczącej</w:t>
      </w:r>
      <w:r w:rsidR="00E66B89">
        <w:t xml:space="preserve"> w </w:t>
      </w:r>
      <w:r w:rsidRPr="007262F7">
        <w:t>tym Instytucji Pośredniczących ZIT,</w:t>
      </w:r>
    </w:p>
    <w:p w14:paraId="45C4DE64" w14:textId="77777777" w:rsidR="00526AA8" w:rsidRPr="008B706B" w:rsidRDefault="00526AA8" w:rsidP="00093E14">
      <w:pPr>
        <w:numPr>
          <w:ilvl w:val="0"/>
          <w:numId w:val="12"/>
        </w:numPr>
        <w:tabs>
          <w:tab w:val="left" w:pos="709"/>
          <w:tab w:val="left" w:pos="1560"/>
        </w:tabs>
        <w:ind w:left="709" w:hanging="284"/>
        <w:rPr>
          <w:b/>
        </w:rPr>
      </w:pPr>
      <w:r w:rsidRPr="007262F7">
        <w:t>Inne (np. tryb wyłaniania kandydatów na ekspertów</w:t>
      </w:r>
      <w:r w:rsidR="00E66B89">
        <w:t xml:space="preserve"> w </w:t>
      </w:r>
      <w:r w:rsidRPr="007262F7">
        <w:t>ramach RPO WZ 2014-2020, monitoring pracy ekspertów, regulaminy pracy KOP, itp.).</w:t>
      </w:r>
    </w:p>
    <w:p w14:paraId="2C946FCE" w14:textId="77777777" w:rsidR="00286397" w:rsidRPr="008B706B" w:rsidRDefault="00AD4B52" w:rsidP="008B706B">
      <w:pPr>
        <w:tabs>
          <w:tab w:val="left" w:pos="709"/>
          <w:tab w:val="left" w:pos="1560"/>
        </w:tabs>
      </w:pPr>
      <w:r>
        <w:t>W rozdziale przedstawiono opis</w:t>
      </w:r>
      <w:r w:rsidR="00E66B89">
        <w:t xml:space="preserve"> i </w:t>
      </w:r>
      <w:r>
        <w:t>ocenę elementów wpływających na skuteczność wdrażania Programu. Na początku opisano instytucje jakie biorą udział we wdrażaniu Programu oraz ich rolę,</w:t>
      </w:r>
      <w:r w:rsidR="00E66B89">
        <w:t xml:space="preserve"> a </w:t>
      </w:r>
      <w:r>
        <w:t>także dokonano oceny ich potencjału. Następnie przedstawiono wpływ rozplanowania harmonogramów naborów na wdrażanie Programu. Uwzględniono aspekt czasu trwania poszczególnych etapów od momentu złożenia wniosku</w:t>
      </w:r>
      <w:r w:rsidR="00E66B89">
        <w:t xml:space="preserve"> o </w:t>
      </w:r>
      <w:r>
        <w:t>dofinansowanie do podpisania umowy</w:t>
      </w:r>
      <w:r w:rsidR="00E66B89">
        <w:t xml:space="preserve"> o </w:t>
      </w:r>
      <w:r>
        <w:t>dofinansowanie,</w:t>
      </w:r>
      <w:r w:rsidR="00E66B89">
        <w:t xml:space="preserve"> a </w:t>
      </w:r>
      <w:r w:rsidR="0038101F">
        <w:t>także</w:t>
      </w:r>
      <w:r>
        <w:t xml:space="preserve"> rozliczenie środków. </w:t>
      </w:r>
      <w:r w:rsidR="009E03BA">
        <w:t xml:space="preserve">Oceniono również podejmowane działania informacyjno-promocyjne, które są kolejnym elementem przyczyniającym się do </w:t>
      </w:r>
      <w:r w:rsidR="009E03BA">
        <w:rPr>
          <w:szCs w:val="20"/>
        </w:rPr>
        <w:t>zwiększania skuteczności wdrażania interwencji,</w:t>
      </w:r>
      <w:r w:rsidR="00E66B89">
        <w:rPr>
          <w:szCs w:val="20"/>
        </w:rPr>
        <w:t xml:space="preserve"> a </w:t>
      </w:r>
      <w:r w:rsidR="009E03BA">
        <w:rPr>
          <w:szCs w:val="20"/>
        </w:rPr>
        <w:t>także kryteria</w:t>
      </w:r>
      <w:r w:rsidR="00E66B89">
        <w:rPr>
          <w:szCs w:val="20"/>
        </w:rPr>
        <w:t xml:space="preserve"> i </w:t>
      </w:r>
      <w:r w:rsidR="009E03BA">
        <w:rPr>
          <w:szCs w:val="20"/>
        </w:rPr>
        <w:t xml:space="preserve">proces wyboru projektów </w:t>
      </w:r>
      <w:r w:rsidR="0023696E">
        <w:rPr>
          <w:szCs w:val="20"/>
        </w:rPr>
        <w:t xml:space="preserve">- </w:t>
      </w:r>
      <w:r w:rsidR="009E03BA">
        <w:rPr>
          <w:szCs w:val="20"/>
        </w:rPr>
        <w:t>pod kątem zapewnienia wyboru projektów realizujących cele Programu.</w:t>
      </w:r>
      <w:r w:rsidR="0023696E">
        <w:rPr>
          <w:szCs w:val="20"/>
        </w:rPr>
        <w:t xml:space="preserve"> Opisano także wpływ użyteczności systemów informatycznych m.in. na sprawozdawczość</w:t>
      </w:r>
      <w:r w:rsidR="00E66B89">
        <w:rPr>
          <w:szCs w:val="20"/>
        </w:rPr>
        <w:t xml:space="preserve"> i </w:t>
      </w:r>
      <w:r w:rsidR="0023696E">
        <w:rPr>
          <w:szCs w:val="20"/>
        </w:rPr>
        <w:t>rozliczanie.</w:t>
      </w:r>
      <w:r w:rsidR="00442D1F">
        <w:rPr>
          <w:szCs w:val="20"/>
        </w:rPr>
        <w:t xml:space="preserve"> Na koniec</w:t>
      </w:r>
      <w:r w:rsidR="00712232">
        <w:rPr>
          <w:szCs w:val="20"/>
        </w:rPr>
        <w:t xml:space="preserve"> podjęto kwestię problemów we wdrażaniu jakie wystąpiły</w:t>
      </w:r>
      <w:r w:rsidR="00E66B89">
        <w:rPr>
          <w:szCs w:val="20"/>
        </w:rPr>
        <w:t xml:space="preserve"> w </w:t>
      </w:r>
      <w:r w:rsidR="00712232">
        <w:rPr>
          <w:szCs w:val="20"/>
        </w:rPr>
        <w:t xml:space="preserve">trakcie wdrażania oraz środków zaradczych jakie podjęto lub zaplanowano do </w:t>
      </w:r>
      <w:r w:rsidR="0038101F">
        <w:rPr>
          <w:szCs w:val="20"/>
        </w:rPr>
        <w:t>zastosowania</w:t>
      </w:r>
      <w:r w:rsidR="00712232">
        <w:rPr>
          <w:szCs w:val="20"/>
        </w:rPr>
        <w:t>. Ostatnim elementem oceny jest podsumowanie gotowości instytucji do podjęcia obowiązków związanych</w:t>
      </w:r>
      <w:r w:rsidR="00E66B89">
        <w:rPr>
          <w:szCs w:val="20"/>
        </w:rPr>
        <w:t xml:space="preserve"> z </w:t>
      </w:r>
      <w:r w:rsidR="00712232">
        <w:rPr>
          <w:szCs w:val="20"/>
        </w:rPr>
        <w:t>ewentualnym przyznaniem dodatkowych środków finansowych.</w:t>
      </w:r>
    </w:p>
    <w:p w14:paraId="559204A1" w14:textId="77777777" w:rsidR="00526AA8" w:rsidRPr="000551C0" w:rsidRDefault="00526AA8" w:rsidP="00526AA8">
      <w:pPr>
        <w:pStyle w:val="Nagwek4"/>
        <w:numPr>
          <w:ilvl w:val="0"/>
          <w:numId w:val="0"/>
        </w:numPr>
        <w:rPr>
          <w:rFonts w:ascii="Lato" w:eastAsia="Calibri" w:hAnsi="Lato"/>
          <w:szCs w:val="20"/>
        </w:rPr>
      </w:pPr>
      <w:r w:rsidRPr="000551C0">
        <w:rPr>
          <w:rFonts w:ascii="Lato" w:eastAsia="Calibri" w:hAnsi="Lato"/>
          <w:szCs w:val="20"/>
        </w:rPr>
        <w:t>Instytucje uczestniczące we wdrażaniu RPO WZ 2014-2020</w:t>
      </w:r>
    </w:p>
    <w:p w14:paraId="5DC889AD" w14:textId="77777777" w:rsidR="00526AA8" w:rsidRDefault="00526AA8" w:rsidP="00526AA8">
      <w:r>
        <w:t>We wdrażaniu RPO WZ 2014-2020 uczestniczy Instytucja Zarządzająca (IZ)</w:t>
      </w:r>
      <w:r w:rsidR="004E27AD">
        <w:t>, tj.</w:t>
      </w:r>
      <w:r>
        <w:t xml:space="preserve"> Urząd Marszałkowski Województwa Zachodniopomorskiego, Instytucja Pośrednicząca (IP) </w:t>
      </w:r>
      <w:r w:rsidRPr="001F02D2">
        <w:t>WUP Szczecin</w:t>
      </w:r>
      <w:r>
        <w:t xml:space="preserve">, IP ZIT </w:t>
      </w:r>
      <w:r w:rsidRPr="001F02D2">
        <w:t>Koszalińsko-Kołobrzesko-Białogardzki Obszar Funkcjonalny</w:t>
      </w:r>
      <w:r>
        <w:t xml:space="preserve"> (IP ZIT KKBOF) oraz IP ZIT </w:t>
      </w:r>
      <w:r w:rsidRPr="001F02D2">
        <w:t>Stowarzyszenie Szczecińskiego Obszaru Metropolitalnego</w:t>
      </w:r>
      <w:r>
        <w:t xml:space="preserve"> (IP ZIT SSOM). Do maja 2017 r. funkcję IP pełnił także </w:t>
      </w:r>
      <w:r w:rsidRPr="003572FF">
        <w:t>WFOŚiGW</w:t>
      </w:r>
      <w:r w:rsidR="00E66B89">
        <w:t xml:space="preserve"> w </w:t>
      </w:r>
      <w:r w:rsidRPr="003572FF">
        <w:t>Szczecinie</w:t>
      </w:r>
      <w:r>
        <w:t>, jednak jego zadania</w:t>
      </w:r>
      <w:r w:rsidR="00E66B89">
        <w:t xml:space="preserve"> w </w:t>
      </w:r>
      <w:r>
        <w:t>zakresie realizacji RPO WZ przekazano</w:t>
      </w:r>
      <w:r w:rsidR="004E27AD">
        <w:t>,</w:t>
      </w:r>
      <w:r>
        <w:t xml:space="preserve"> powołanemu</w:t>
      </w:r>
      <w:r w:rsidR="00E66B89">
        <w:t xml:space="preserve"> w </w:t>
      </w:r>
      <w:r>
        <w:t xml:space="preserve">strukturach </w:t>
      </w:r>
      <w:r w:rsidR="004E27AD">
        <w:t>IZ,</w:t>
      </w:r>
      <w:r>
        <w:t xml:space="preserve"> </w:t>
      </w:r>
      <w:r w:rsidRPr="003572FF">
        <w:t>Wydział</w:t>
      </w:r>
      <w:r>
        <w:t>owi</w:t>
      </w:r>
      <w:r w:rsidRPr="003572FF">
        <w:t xml:space="preserve"> Wdrażania Działań Środowiskowych RPO (WWŚRPO).</w:t>
      </w:r>
    </w:p>
    <w:p w14:paraId="71568EFB" w14:textId="77777777" w:rsidR="00526AA8" w:rsidRPr="008E12F0" w:rsidRDefault="00526AA8" w:rsidP="00526AA8">
      <w:r w:rsidRPr="001B1400">
        <w:t xml:space="preserve">Za system koordynacji RPO WZ 2014-2020 odpowiada Wydział Zarządzania Strategicznego </w:t>
      </w:r>
      <w:r w:rsidR="00CC0714">
        <w:t xml:space="preserve">(WZS) </w:t>
      </w:r>
      <w:r w:rsidRPr="001B1400">
        <w:t>oraz Gabinet Marszałka (w zakresie informacji</w:t>
      </w:r>
      <w:r w:rsidR="00E66B89">
        <w:t xml:space="preserve"> i </w:t>
      </w:r>
      <w:r w:rsidRPr="001B1400">
        <w:t>promocji) wykonujący zadania Instytucji Zarządzającej RPO WZ 2014-2020.</w:t>
      </w:r>
      <w:r>
        <w:t xml:space="preserve"> Działający</w:t>
      </w:r>
      <w:r w:rsidR="00E66B89">
        <w:t xml:space="preserve"> w </w:t>
      </w:r>
      <w:r>
        <w:t xml:space="preserve">ramach IZ Wydział Wdrażania RPO </w:t>
      </w:r>
      <w:r w:rsidR="00CC0714">
        <w:t xml:space="preserve">(WWRPO) </w:t>
      </w:r>
      <w:r>
        <w:t>odpowiada za realizację</w:t>
      </w:r>
      <w:r w:rsidR="00E66B89">
        <w:t xml:space="preserve"> </w:t>
      </w:r>
      <w:r w:rsidR="00E66B89">
        <w:lastRenderedPageBreak/>
        <w:t>i </w:t>
      </w:r>
      <w:r>
        <w:t>wdrażanie Programu. Poza IZ za realizację niektórych elementów</w:t>
      </w:r>
      <w:r w:rsidR="00E66B89">
        <w:t xml:space="preserve"> w </w:t>
      </w:r>
      <w:r>
        <w:t xml:space="preserve">ramach </w:t>
      </w:r>
      <w:r w:rsidRPr="001B1400">
        <w:t>RPO WZ</w:t>
      </w:r>
      <w:r>
        <w:t xml:space="preserve"> odpowiedzialne są IP, m.in. za: </w:t>
      </w:r>
      <w:r w:rsidRPr="009C0F61">
        <w:t>wybór projektów do dofinansowania</w:t>
      </w:r>
      <w:r>
        <w:t xml:space="preserve"> (biorąc pod uwagę cały proces od ogłoszenia konkursu naboru do rozliczenia</w:t>
      </w:r>
      <w:r w:rsidR="00E66B89">
        <w:t xml:space="preserve"> i </w:t>
      </w:r>
      <w:r>
        <w:t>kontroli projektów), prowadzenie monitoringu danych RPO WZ,</w:t>
      </w:r>
      <w:r w:rsidR="00E66B89">
        <w:t xml:space="preserve"> w </w:t>
      </w:r>
      <w:r>
        <w:t xml:space="preserve">tym </w:t>
      </w:r>
      <w:r w:rsidR="004E27AD">
        <w:t>R</w:t>
      </w:r>
      <w:r>
        <w:t xml:space="preserve">am </w:t>
      </w:r>
      <w:r w:rsidR="004E27AD">
        <w:t>Wykonania</w:t>
      </w:r>
      <w:r>
        <w:t xml:space="preserve">, prowadzenie </w:t>
      </w:r>
      <w:r w:rsidRPr="009C0F61">
        <w:t>działań informacyjno-promocyjnych</w:t>
      </w:r>
      <w:r w:rsidR="00E66B89">
        <w:t xml:space="preserve"> i </w:t>
      </w:r>
      <w:r w:rsidRPr="009C0F61">
        <w:t>szkoleniowych</w:t>
      </w:r>
      <w:r w:rsidR="00E66B89">
        <w:t xml:space="preserve"> w </w:t>
      </w:r>
      <w:r w:rsidRPr="009C0F61">
        <w:t>zakresie RPO WZ</w:t>
      </w:r>
      <w:r>
        <w:t xml:space="preserve"> oraz </w:t>
      </w:r>
      <w:r w:rsidRPr="009C0F61">
        <w:t>współprac</w:t>
      </w:r>
      <w:r>
        <w:t>ę</w:t>
      </w:r>
      <w:r w:rsidR="00E66B89">
        <w:t xml:space="preserve"> z </w:t>
      </w:r>
      <w:r>
        <w:t>IZ</w:t>
      </w:r>
      <w:r w:rsidR="00E66B89">
        <w:t xml:space="preserve"> w </w:t>
      </w:r>
      <w:r w:rsidRPr="009C0F61">
        <w:t>zakresie ewaluacji RPO WZ</w:t>
      </w:r>
      <w:r>
        <w:t>. IP ZIT realizujące zadania</w:t>
      </w:r>
      <w:r w:rsidR="00E66B89">
        <w:t xml:space="preserve"> w </w:t>
      </w:r>
      <w:r>
        <w:t>ramach RPO WZ są odpowiedzialne m.in. za ustalenie</w:t>
      </w:r>
      <w:r w:rsidR="004E27AD">
        <w:t>,</w:t>
      </w:r>
      <w:r>
        <w:t xml:space="preserve"> wraz</w:t>
      </w:r>
      <w:r w:rsidR="00E66B89">
        <w:t xml:space="preserve"> z </w:t>
      </w:r>
      <w:r w:rsidR="004E27AD">
        <w:t>IZ,</w:t>
      </w:r>
      <w:r>
        <w:t xml:space="preserve"> listy projektów pozakonkursowych, </w:t>
      </w:r>
      <w:r w:rsidRPr="001016AB">
        <w:t>współprac</w:t>
      </w:r>
      <w:r>
        <w:t>ę</w:t>
      </w:r>
      <w:r w:rsidR="00E66B89">
        <w:t xml:space="preserve"> z </w:t>
      </w:r>
      <w:r>
        <w:t>IZ</w:t>
      </w:r>
      <w:r w:rsidRPr="001016AB">
        <w:t xml:space="preserve"> przy przygotowywaniu kryteriów wyboru projektów dla </w:t>
      </w:r>
      <w:r w:rsidR="004E27AD">
        <w:t>D</w:t>
      </w:r>
      <w:r w:rsidRPr="001016AB">
        <w:t>ziałań służących wdrażaniu ZIT</w:t>
      </w:r>
      <w:r>
        <w:t xml:space="preserve"> (uwzględniając zgodność ze Strategią ZIT), zadania</w:t>
      </w:r>
      <w:r w:rsidR="00E66B89">
        <w:t xml:space="preserve"> w </w:t>
      </w:r>
      <w:r>
        <w:t>zakresie monitorowania</w:t>
      </w:r>
      <w:r w:rsidR="00E66B89">
        <w:t xml:space="preserve"> i </w:t>
      </w:r>
      <w:r>
        <w:t>sprawozdawczości, współpracę</w:t>
      </w:r>
      <w:r w:rsidR="00E66B89">
        <w:t xml:space="preserve"> z </w:t>
      </w:r>
      <w:r>
        <w:t>IZ</w:t>
      </w:r>
      <w:r w:rsidR="00E66B89">
        <w:t xml:space="preserve"> w </w:t>
      </w:r>
      <w:r>
        <w:t>zakresie promocji</w:t>
      </w:r>
      <w:r w:rsidR="00E66B89">
        <w:t xml:space="preserve"> i </w:t>
      </w:r>
      <w:r>
        <w:t>ewaluacji RPO WZ</w:t>
      </w:r>
      <w:r>
        <w:rPr>
          <w:rStyle w:val="Odwoanieprzypisudolnego"/>
        </w:rPr>
        <w:footnoteReference w:id="170"/>
      </w:r>
      <w:r>
        <w:t>.</w:t>
      </w:r>
    </w:p>
    <w:p w14:paraId="20B82AEC"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54535D66"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1D32FEB4"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48620167"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72DCA73A"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160861F8" w14:textId="77777777" w:rsidR="00526AA8" w:rsidRPr="00404DA5" w:rsidRDefault="00526AA8" w:rsidP="00093E14">
      <w:pPr>
        <w:pStyle w:val="Akapitzlist"/>
        <w:keepNext/>
        <w:keepLines/>
        <w:numPr>
          <w:ilvl w:val="0"/>
          <w:numId w:val="11"/>
        </w:numPr>
        <w:spacing w:before="200" w:after="0" w:line="240" w:lineRule="auto"/>
        <w:contextualSpacing w:val="0"/>
        <w:jc w:val="left"/>
        <w:outlineLvl w:val="2"/>
        <w:rPr>
          <w:rFonts w:ascii="Lato" w:eastAsia="Lato" w:hAnsi="Lato"/>
          <w:b/>
          <w:bCs/>
          <w:vanish/>
          <w:color w:val="4F81BD"/>
          <w:sz w:val="20"/>
          <w:szCs w:val="24"/>
          <w:lang w:eastAsia="pl-PL"/>
        </w:rPr>
      </w:pPr>
    </w:p>
    <w:p w14:paraId="5AA33159" w14:textId="77777777" w:rsidR="00526AA8" w:rsidRDefault="00526AA8" w:rsidP="00526AA8">
      <w:r w:rsidRPr="00513492">
        <w:t xml:space="preserve">Budowa potencjału instytucji </w:t>
      </w:r>
      <w:r>
        <w:t>RPO WZ 2014-2020</w:t>
      </w:r>
      <w:r w:rsidRPr="00513492">
        <w:t xml:space="preserve"> to przede wszystkim zapewnienie właściwego poziomu zatrudnienia, niezbędnego do sprawnej realizacji zadań</w:t>
      </w:r>
      <w:r>
        <w:t xml:space="preserve"> – rozumianego jako odpowiednią liczbę pracowników</w:t>
      </w:r>
      <w:r w:rsidR="00E66B89">
        <w:t xml:space="preserve"> o </w:t>
      </w:r>
      <w:r>
        <w:t>właściwych kompetencjach</w:t>
      </w:r>
      <w:r w:rsidRPr="00513492">
        <w:t xml:space="preserve">. </w:t>
      </w:r>
      <w:r w:rsidRPr="00A600AE">
        <w:t>Od 201</w:t>
      </w:r>
      <w:r>
        <w:t>5</w:t>
      </w:r>
      <w:r w:rsidRPr="00A600AE">
        <w:t xml:space="preserve"> roku systematycznie </w:t>
      </w:r>
      <w:r w:rsidRPr="008B706B">
        <w:t>wzrastała liczba etatów</w:t>
      </w:r>
      <w:r w:rsidR="00E66B89">
        <w:t xml:space="preserve"> i </w:t>
      </w:r>
      <w:r w:rsidRPr="008B706B">
        <w:t>pracowników zatrudnionych</w:t>
      </w:r>
      <w:r w:rsidR="00E66B89">
        <w:t xml:space="preserve"> w </w:t>
      </w:r>
      <w:r w:rsidRPr="008B706B">
        <w:t>instytucjach systemu RPO WZ,</w:t>
      </w:r>
      <w:r w:rsidRPr="004E27AD">
        <w:t xml:space="preserve"> </w:t>
      </w:r>
      <w:r w:rsidRPr="00A600AE">
        <w:t>zaangażowanych</w:t>
      </w:r>
      <w:r w:rsidR="00E66B89">
        <w:t xml:space="preserve"> w </w:t>
      </w:r>
      <w:r w:rsidRPr="00A600AE">
        <w:t>zadania związane</w:t>
      </w:r>
      <w:r w:rsidR="00E66B89">
        <w:t xml:space="preserve"> z </w:t>
      </w:r>
      <w:r w:rsidRPr="00A600AE">
        <w:t>perspektywą 2014-2020.</w:t>
      </w:r>
      <w:r w:rsidR="00E66B89">
        <w:t xml:space="preserve"> W </w:t>
      </w:r>
      <w:r w:rsidRPr="00A600AE">
        <w:t xml:space="preserve">roku 2015 było to </w:t>
      </w:r>
      <w:r>
        <w:t>144</w:t>
      </w:r>
      <w:r w:rsidRPr="00A600AE">
        <w:t xml:space="preserve"> etat</w:t>
      </w:r>
      <w:r>
        <w:t>ów (155 osób</w:t>
      </w:r>
      <w:r w:rsidRPr="00A600AE">
        <w:t>),</w:t>
      </w:r>
      <w:r w:rsidR="00E66B89">
        <w:t xml:space="preserve"> w </w:t>
      </w:r>
      <w:r w:rsidRPr="00A600AE">
        <w:t>roku 2016</w:t>
      </w:r>
      <w:r w:rsidR="004E27AD">
        <w:t xml:space="preserve"> -</w:t>
      </w:r>
      <w:r w:rsidRPr="00A600AE">
        <w:t xml:space="preserve"> kiedy wdrażanie Programu nabrało rozpędu</w:t>
      </w:r>
      <w:r w:rsidRPr="00B8538A">
        <w:rPr>
          <w:szCs w:val="20"/>
        </w:rPr>
        <w:t xml:space="preserve"> </w:t>
      </w:r>
      <w:r w:rsidRPr="00A600AE">
        <w:rPr>
          <w:szCs w:val="20"/>
        </w:rPr>
        <w:t>oraz funkcjonować zaczęła IP ZIT</w:t>
      </w:r>
      <w:r w:rsidR="004E27AD">
        <w:t xml:space="preserve"> -</w:t>
      </w:r>
      <w:r w:rsidRPr="00A600AE">
        <w:t xml:space="preserve"> zatrudnienie osiągnęło poziom </w:t>
      </w:r>
      <w:r>
        <w:t xml:space="preserve">272 </w:t>
      </w:r>
      <w:r w:rsidRPr="00A600AE">
        <w:t>etat</w:t>
      </w:r>
      <w:r>
        <w:t>ów</w:t>
      </w:r>
      <w:r w:rsidRPr="00A600AE">
        <w:t xml:space="preserve"> (</w:t>
      </w:r>
      <w:r>
        <w:t>340</w:t>
      </w:r>
      <w:r w:rsidRPr="00A600AE">
        <w:t xml:space="preserve"> osób), by</w:t>
      </w:r>
      <w:r w:rsidR="00E66B89">
        <w:t xml:space="preserve"> w </w:t>
      </w:r>
      <w:r w:rsidRPr="00A600AE">
        <w:t xml:space="preserve">roku 2018 dojść do </w:t>
      </w:r>
      <w:r w:rsidR="00506A65">
        <w:t xml:space="preserve">liczby </w:t>
      </w:r>
      <w:r>
        <w:t xml:space="preserve">375 </w:t>
      </w:r>
      <w:r w:rsidRPr="00A600AE">
        <w:t>etat</w:t>
      </w:r>
      <w:r>
        <w:t>ów</w:t>
      </w:r>
      <w:r w:rsidRPr="00A600AE">
        <w:t xml:space="preserve"> (</w:t>
      </w:r>
      <w:r>
        <w:t xml:space="preserve">393 </w:t>
      </w:r>
      <w:r w:rsidR="00506A65">
        <w:t>osób</w:t>
      </w:r>
      <w:r w:rsidRPr="00A600AE">
        <w:t>).</w:t>
      </w:r>
    </w:p>
    <w:p w14:paraId="41A8FD65" w14:textId="77777777" w:rsidR="00526AA8" w:rsidRPr="00644A85" w:rsidRDefault="00526AA8" w:rsidP="00024F00">
      <w:pPr>
        <w:pStyle w:val="Legenda"/>
        <w:spacing w:after="0"/>
      </w:pPr>
      <w:bookmarkStart w:id="399" w:name="_Toc5311909"/>
      <w:r w:rsidRPr="00644A85">
        <w:t xml:space="preserve">Wykres </w:t>
      </w:r>
      <w:r w:rsidR="00B72A80">
        <w:fldChar w:fldCharType="begin"/>
      </w:r>
      <w:r w:rsidR="00B72A80">
        <w:instrText xml:space="preserve"> SEQ Wykres \* ARABIC </w:instrText>
      </w:r>
      <w:r w:rsidR="00B72A80">
        <w:fldChar w:fldCharType="separate"/>
      </w:r>
      <w:r w:rsidR="00763345">
        <w:rPr>
          <w:noProof/>
        </w:rPr>
        <w:t>44</w:t>
      </w:r>
      <w:r w:rsidR="00B72A80">
        <w:fldChar w:fldCharType="end"/>
      </w:r>
      <w:r w:rsidRPr="00644A85">
        <w:t xml:space="preserve"> Liczba etatów</w:t>
      </w:r>
      <w:r w:rsidR="00E66B89">
        <w:t xml:space="preserve"> i </w:t>
      </w:r>
      <w:r w:rsidRPr="00644A85">
        <w:t>osób</w:t>
      </w:r>
      <w:r w:rsidR="00E66B89">
        <w:t xml:space="preserve"> w </w:t>
      </w:r>
      <w:r w:rsidRPr="00644A85">
        <w:t>jednostkach zaangażowanych we wdrażani</w:t>
      </w:r>
      <w:r w:rsidR="00656CDC">
        <w:t>e</w:t>
      </w:r>
      <w:r w:rsidRPr="00644A85">
        <w:t xml:space="preserve"> RPO</w:t>
      </w:r>
      <w:bookmarkEnd w:id="399"/>
    </w:p>
    <w:p w14:paraId="0B0DF246" w14:textId="314F23C8" w:rsidR="00526AA8" w:rsidRDefault="00C35619" w:rsidP="00CA715D">
      <w:pPr>
        <w:spacing w:before="0" w:after="0" w:line="276" w:lineRule="auto"/>
        <w:jc w:val="left"/>
      </w:pPr>
      <w:r w:rsidRPr="00D508B6">
        <w:rPr>
          <w:noProof/>
        </w:rPr>
        <w:drawing>
          <wp:inline distT="0" distB="0" distL="0" distR="0" wp14:anchorId="65C7CE6A" wp14:editId="584384EC">
            <wp:extent cx="5671185" cy="1691005"/>
            <wp:effectExtent l="0" t="0" r="5715" b="4445"/>
            <wp:docPr id="76"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1140E18" w14:textId="77777777" w:rsidR="00526AA8" w:rsidRPr="00E4475B" w:rsidRDefault="00526AA8" w:rsidP="0028542B">
      <w:pPr>
        <w:spacing w:before="0"/>
        <w:rPr>
          <w:rFonts w:cs="Calibri"/>
          <w:i/>
          <w:sz w:val="18"/>
          <w:szCs w:val="20"/>
        </w:rPr>
      </w:pPr>
      <w:r w:rsidRPr="00E4475B">
        <w:rPr>
          <w:rFonts w:cs="Calibri"/>
          <w:i/>
          <w:sz w:val="18"/>
          <w:szCs w:val="20"/>
        </w:rPr>
        <w:t>Źródło: na podstawie opracowania MIiR pn. Potencjał administracyjny systemu instytucjonalnego służącego realizacji Umowy Partnerstwa</w:t>
      </w:r>
      <w:r w:rsidR="00E66B89" w:rsidRPr="00E4475B">
        <w:rPr>
          <w:rFonts w:cs="Calibri"/>
          <w:i/>
          <w:sz w:val="18"/>
          <w:szCs w:val="20"/>
        </w:rPr>
        <w:t xml:space="preserve"> w </w:t>
      </w:r>
      <w:r w:rsidRPr="00E4475B">
        <w:rPr>
          <w:rFonts w:cs="Calibri"/>
          <w:i/>
          <w:sz w:val="18"/>
          <w:szCs w:val="20"/>
        </w:rPr>
        <w:t>zakresie Polityki Spójności (stan na dzień 30.06.2015; 31.03.2016; 30.06.2018).</w:t>
      </w:r>
    </w:p>
    <w:p w14:paraId="4B1CE194" w14:textId="1D92C5F8" w:rsidR="004A1C36" w:rsidRDefault="00526AA8" w:rsidP="00526AA8">
      <w:r>
        <w:t>Znaczny wzrost liczby etatów</w:t>
      </w:r>
      <w:r w:rsidR="00E66B89">
        <w:t xml:space="preserve"> i </w:t>
      </w:r>
      <w:r>
        <w:t>zatrudnionych pracowników był niezbędny biorąc pod uwagę liczbę konkursów, naborów</w:t>
      </w:r>
      <w:r w:rsidR="00CD46D7">
        <w:t>,</w:t>
      </w:r>
      <w:r w:rsidR="008B706B">
        <w:t> </w:t>
      </w:r>
      <w:r>
        <w:t>wniosków</w:t>
      </w:r>
      <w:r w:rsidR="00CD46D7">
        <w:t xml:space="preserve"> oraz zawartych umów</w:t>
      </w:r>
      <w:r>
        <w:t>. Od 2015 roku (</w:t>
      </w:r>
      <w:r w:rsidR="005C3E9A">
        <w:t>2</w:t>
      </w:r>
      <w:r>
        <w:t>0 zatwierdzonych wniosków) liczba złożonych</w:t>
      </w:r>
      <w:r w:rsidR="00C22C26">
        <w:t xml:space="preserve"> </w:t>
      </w:r>
      <w:r>
        <w:t>wniosków wzrosła diametralnie:</w:t>
      </w:r>
      <w:r w:rsidR="00E66B89">
        <w:t xml:space="preserve"> w </w:t>
      </w:r>
      <w:r>
        <w:t>2016</w:t>
      </w:r>
      <w:r w:rsidR="00506A65">
        <w:t xml:space="preserve"> r.</w:t>
      </w:r>
      <w:r>
        <w:t xml:space="preserve"> z</w:t>
      </w:r>
      <w:r w:rsidR="00F52EDD">
        <w:t>łożono</w:t>
      </w:r>
      <w:r>
        <w:t xml:space="preserve"> 6</w:t>
      </w:r>
      <w:r w:rsidR="00F52EDD">
        <w:t>52</w:t>
      </w:r>
      <w:r>
        <w:t xml:space="preserve"> wniosk</w:t>
      </w:r>
      <w:r w:rsidR="00F52EDD">
        <w:t>i</w:t>
      </w:r>
      <w:r>
        <w:t>,</w:t>
      </w:r>
      <w:r w:rsidR="00E66B89">
        <w:t xml:space="preserve"> w </w:t>
      </w:r>
      <w:r>
        <w:t>2017</w:t>
      </w:r>
      <w:r w:rsidR="00506A65">
        <w:t xml:space="preserve"> r.</w:t>
      </w:r>
      <w:r>
        <w:t xml:space="preserve"> – aż </w:t>
      </w:r>
      <w:r w:rsidR="00F52EDD">
        <w:t>1062</w:t>
      </w:r>
      <w:r>
        <w:t>,</w:t>
      </w:r>
      <w:r w:rsidR="008B706B">
        <w:t xml:space="preserve"> </w:t>
      </w:r>
      <w:r w:rsidR="0096307B">
        <w:t>w</w:t>
      </w:r>
      <w:r w:rsidR="008B706B">
        <w:t> </w:t>
      </w:r>
      <w:r>
        <w:t xml:space="preserve">2018 liczba ta </w:t>
      </w:r>
      <w:r w:rsidR="00506A65">
        <w:t>wyniosła</w:t>
      </w:r>
      <w:r w:rsidR="00F52EDD">
        <w:t xml:space="preserve"> 668,</w:t>
      </w:r>
      <w:r w:rsidR="00E66B89">
        <w:t xml:space="preserve"> a </w:t>
      </w:r>
      <w:r w:rsidR="00F52EDD">
        <w:t>na początku 2019 roku (do 11 lutego) – 62 wnioski</w:t>
      </w:r>
      <w:r>
        <w:rPr>
          <w:rStyle w:val="Odwoanieprzypisudolnego"/>
        </w:rPr>
        <w:footnoteReference w:id="171"/>
      </w:r>
      <w:r>
        <w:t>.</w:t>
      </w:r>
      <w:r w:rsidR="00E66B89">
        <w:t xml:space="preserve"> W </w:t>
      </w:r>
      <w:r w:rsidR="00CD46D7">
        <w:t>celach informacyjnych – by pokazać skalę wdrażanej interwencji,</w:t>
      </w:r>
      <w:r w:rsidR="00E66B89">
        <w:t xml:space="preserve"> w </w:t>
      </w:r>
      <w:r w:rsidR="00CD46D7">
        <w:t>którą zaangażowani są pracownicy IZ</w:t>
      </w:r>
      <w:r w:rsidR="00E66B89">
        <w:t xml:space="preserve"> i </w:t>
      </w:r>
      <w:r w:rsidR="00CD46D7">
        <w:t xml:space="preserve">IP RPO – przedstawiono na poniższej mapie </w:t>
      </w:r>
      <w:r w:rsidR="00217CFE">
        <w:t>liczebność</w:t>
      </w:r>
      <w:r w:rsidR="00E66B89">
        <w:t xml:space="preserve"> i </w:t>
      </w:r>
      <w:r w:rsidR="00217CFE">
        <w:t>wartość projektów realizowanych</w:t>
      </w:r>
      <w:r w:rsidR="00E66B89">
        <w:t xml:space="preserve"> w </w:t>
      </w:r>
      <w:r w:rsidR="00217CFE">
        <w:t>ramach RPO WZ</w:t>
      </w:r>
      <w:r w:rsidR="00CD46D7">
        <w:t xml:space="preserve"> 2014-2020</w:t>
      </w:r>
      <w:r w:rsidR="00E66B89">
        <w:t xml:space="preserve"> w </w:t>
      </w:r>
      <w:r w:rsidR="00CD46D7">
        <w:t>podziale na powiaty</w:t>
      </w:r>
      <w:r w:rsidR="00217CFE">
        <w:t xml:space="preserve">. </w:t>
      </w:r>
      <w:r w:rsidR="004A1C36">
        <w:t xml:space="preserve">Najwięcej projektów realizowane jest w Szczecinie </w:t>
      </w:r>
      <w:r w:rsidR="00952E85">
        <w:t>(209),</w:t>
      </w:r>
      <w:r w:rsidR="004A1C36">
        <w:t xml:space="preserve"> </w:t>
      </w:r>
      <w:r w:rsidR="00952E85">
        <w:t>w </w:t>
      </w:r>
      <w:r w:rsidR="004A1C36">
        <w:t>powiecie stargardzkim (140)</w:t>
      </w:r>
      <w:r w:rsidR="00952E85">
        <w:t xml:space="preserve"> oraz choszczeńskim (118)</w:t>
      </w:r>
      <w:r w:rsidR="004A1C36">
        <w:t xml:space="preserve">, a najmniej w Świnoujściu (35 projektów). </w:t>
      </w:r>
      <w:r w:rsidR="00181125">
        <w:t>B</w:t>
      </w:r>
      <w:r w:rsidR="00181125" w:rsidRPr="00181125">
        <w:t>iorąc</w:t>
      </w:r>
      <w:r w:rsidR="00181125">
        <w:t xml:space="preserve"> zaś</w:t>
      </w:r>
      <w:r w:rsidR="00181125" w:rsidRPr="00181125">
        <w:t xml:space="preserve"> pod uwagę wartość </w:t>
      </w:r>
      <w:r w:rsidR="00181125">
        <w:t xml:space="preserve">realizowanych projektów, </w:t>
      </w:r>
      <w:r w:rsidR="00952E85">
        <w:t xml:space="preserve">na pierwszym miejscu również znajduje się Szczecin (1,1 mld zł), na drugim </w:t>
      </w:r>
      <w:r w:rsidR="00181125" w:rsidRPr="00181125">
        <w:t>powi</w:t>
      </w:r>
      <w:r w:rsidR="00952E85">
        <w:t>at stargardzki</w:t>
      </w:r>
      <w:r w:rsidR="00181125">
        <w:t xml:space="preserve"> (291,4 mln zł)</w:t>
      </w:r>
      <w:r w:rsidR="00952E85">
        <w:t>, a na trzecim powiat</w:t>
      </w:r>
      <w:r w:rsidR="00181125">
        <w:t> </w:t>
      </w:r>
      <w:r w:rsidR="00952E85">
        <w:t>policki</w:t>
      </w:r>
      <w:r w:rsidR="00181125" w:rsidRPr="00181125">
        <w:t xml:space="preserve"> (282,9 mln zł). Najmniejszą łączną wartość projektów </w:t>
      </w:r>
      <w:r w:rsidR="00952E85">
        <w:t>notuje się zaś</w:t>
      </w:r>
      <w:r w:rsidR="00181125" w:rsidRPr="00181125">
        <w:t xml:space="preserve"> w powiecie pyrzyckim (60,3 mln zł) oraz białogardzkim (90 mln zł).</w:t>
      </w:r>
    </w:p>
    <w:p w14:paraId="288A39BA" w14:textId="77777777" w:rsidR="00E7064B" w:rsidRDefault="00E7064B" w:rsidP="00E7064B">
      <w:pPr>
        <w:pStyle w:val="Legenda"/>
      </w:pPr>
      <w:bookmarkStart w:id="400" w:name="_Toc6521459"/>
      <w:r>
        <w:lastRenderedPageBreak/>
        <w:t xml:space="preserve">Mapa </w:t>
      </w:r>
      <w:r w:rsidR="006E34DC">
        <w:rPr>
          <w:noProof/>
        </w:rPr>
        <w:fldChar w:fldCharType="begin"/>
      </w:r>
      <w:r w:rsidR="006E34DC">
        <w:rPr>
          <w:noProof/>
        </w:rPr>
        <w:instrText xml:space="preserve"> SEQ Mapa \* ARABIC </w:instrText>
      </w:r>
      <w:r w:rsidR="006E34DC">
        <w:rPr>
          <w:noProof/>
        </w:rPr>
        <w:fldChar w:fldCharType="separate"/>
      </w:r>
      <w:r w:rsidR="00763345">
        <w:rPr>
          <w:noProof/>
        </w:rPr>
        <w:t>10</w:t>
      </w:r>
      <w:r w:rsidR="006E34DC">
        <w:rPr>
          <w:noProof/>
        </w:rPr>
        <w:fldChar w:fldCharType="end"/>
      </w:r>
      <w:r>
        <w:t xml:space="preserve"> </w:t>
      </w:r>
      <w:r w:rsidRPr="003063E8">
        <w:t>Wartość</w:t>
      </w:r>
      <w:r w:rsidR="00E66B89">
        <w:t xml:space="preserve"> i </w:t>
      </w:r>
      <w:r>
        <w:t xml:space="preserve">liczba </w:t>
      </w:r>
      <w:r w:rsidRPr="003063E8">
        <w:t>projektów ogółem</w:t>
      </w:r>
      <w:r w:rsidR="000168E1">
        <w:t xml:space="preserve"> wg powiatów</w:t>
      </w:r>
      <w:bookmarkEnd w:id="400"/>
    </w:p>
    <w:p w14:paraId="59D56F75" w14:textId="15457042" w:rsidR="00E7064B" w:rsidRDefault="00C35619" w:rsidP="00E7064B">
      <w:r w:rsidRPr="00D508B6">
        <w:rPr>
          <w:noProof/>
        </w:rPr>
        <w:drawing>
          <wp:inline distT="0" distB="0" distL="0" distR="0" wp14:anchorId="3D4697F8" wp14:editId="7823ECEE">
            <wp:extent cx="5762625" cy="4371975"/>
            <wp:effectExtent l="0" t="0" r="9525" b="9525"/>
            <wp:docPr id="77" name="Obraz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625" cy="4371975"/>
                    </a:xfrm>
                    <a:prstGeom prst="rect">
                      <a:avLst/>
                    </a:prstGeom>
                    <a:noFill/>
                    <a:ln>
                      <a:noFill/>
                    </a:ln>
                  </pic:spPr>
                </pic:pic>
              </a:graphicData>
            </a:graphic>
          </wp:inline>
        </w:drawing>
      </w:r>
    </w:p>
    <w:p w14:paraId="6C21C201" w14:textId="77777777" w:rsidR="00E7064B" w:rsidRPr="00E4475B" w:rsidRDefault="00E7064B" w:rsidP="00E7064B">
      <w:pPr>
        <w:rPr>
          <w:sz w:val="18"/>
          <w:szCs w:val="18"/>
        </w:rPr>
      </w:pPr>
      <w:r w:rsidRPr="00E4475B">
        <w:rPr>
          <w:i/>
          <w:sz w:val="18"/>
          <w:szCs w:val="18"/>
        </w:rPr>
        <w:t>Źródło: opracowanie własne na podstawie bazy UoD</w:t>
      </w:r>
      <w:r w:rsidR="00E66B89" w:rsidRPr="00E4475B">
        <w:rPr>
          <w:i/>
          <w:sz w:val="18"/>
          <w:szCs w:val="18"/>
        </w:rPr>
        <w:t xml:space="preserve"> z </w:t>
      </w:r>
      <w:r w:rsidRPr="00E4475B">
        <w:rPr>
          <w:i/>
          <w:sz w:val="18"/>
          <w:szCs w:val="18"/>
        </w:rPr>
        <w:t>07.01.2019 roku.</w:t>
      </w:r>
      <w:r w:rsidR="00E66B89" w:rsidRPr="00E4475B">
        <w:rPr>
          <w:i/>
          <w:sz w:val="18"/>
          <w:szCs w:val="18"/>
        </w:rPr>
        <w:t xml:space="preserve"> Z </w:t>
      </w:r>
      <w:r w:rsidRPr="00E4475B">
        <w:rPr>
          <w:i/>
          <w:sz w:val="18"/>
          <w:szCs w:val="18"/>
        </w:rPr>
        <w:t>uwagi na to, że dla części projektów</w:t>
      </w:r>
      <w:r w:rsidR="00E66B89" w:rsidRPr="00E4475B">
        <w:rPr>
          <w:i/>
          <w:sz w:val="18"/>
          <w:szCs w:val="18"/>
        </w:rPr>
        <w:t xml:space="preserve"> w </w:t>
      </w:r>
      <w:r w:rsidRPr="00E4475B">
        <w:rPr>
          <w:i/>
          <w:sz w:val="18"/>
          <w:szCs w:val="18"/>
        </w:rPr>
        <w:t>bazie nie zostały przypisane konkretne powiaty jako miejsce realizacji, na mapie nie uwzględniono projektów</w:t>
      </w:r>
      <w:r w:rsidR="00E66B89" w:rsidRPr="00E4475B">
        <w:rPr>
          <w:i/>
          <w:sz w:val="18"/>
          <w:szCs w:val="18"/>
        </w:rPr>
        <w:t xml:space="preserve"> o </w:t>
      </w:r>
      <w:r w:rsidRPr="00E4475B">
        <w:rPr>
          <w:i/>
          <w:sz w:val="18"/>
          <w:szCs w:val="18"/>
        </w:rPr>
        <w:t xml:space="preserve">łącznej wartości ogółem </w:t>
      </w:r>
      <w:r w:rsidR="00CD46D7" w:rsidRPr="00E4475B">
        <w:rPr>
          <w:i/>
          <w:sz w:val="18"/>
          <w:szCs w:val="18"/>
        </w:rPr>
        <w:t>1 453 912 885,90</w:t>
      </w:r>
      <w:r w:rsidRPr="00E4475B">
        <w:rPr>
          <w:i/>
          <w:sz w:val="18"/>
          <w:szCs w:val="18"/>
        </w:rPr>
        <w:t xml:space="preserve"> zł.</w:t>
      </w:r>
      <w:r w:rsidRPr="00E4475B">
        <w:rPr>
          <w:rStyle w:val="Odwoanieprzypisudolnego"/>
          <w:sz w:val="18"/>
          <w:szCs w:val="18"/>
        </w:rPr>
        <w:footnoteReference w:id="172"/>
      </w:r>
      <w:r w:rsidRPr="00E4475B">
        <w:rPr>
          <w:sz w:val="18"/>
          <w:szCs w:val="18"/>
        </w:rPr>
        <w:t xml:space="preserve"> </w:t>
      </w:r>
    </w:p>
    <w:p w14:paraId="661C8CC8" w14:textId="77777777" w:rsidR="00526AA8" w:rsidRDefault="00526AA8" w:rsidP="00526AA8">
      <w:r>
        <w:t>Na początku obecnej perspektywy część pracowników była nadal zaangażowana</w:t>
      </w:r>
      <w:r w:rsidR="00E66B89">
        <w:t xml:space="preserve"> w </w:t>
      </w:r>
      <w:r>
        <w:t xml:space="preserve">sprawy </w:t>
      </w:r>
      <w:r w:rsidR="00506A65">
        <w:t>związane</w:t>
      </w:r>
      <w:r w:rsidR="00E66B89">
        <w:t xml:space="preserve"> z </w:t>
      </w:r>
      <w:r w:rsidR="00506A65">
        <w:t xml:space="preserve">perspektywą </w:t>
      </w:r>
      <w:r>
        <w:t>2007-2013</w:t>
      </w:r>
      <w:r w:rsidR="00E66B89">
        <w:t xml:space="preserve"> i </w:t>
      </w:r>
      <w:r>
        <w:t>równocześnie</w:t>
      </w:r>
      <w:r w:rsidR="00506A65">
        <w:t xml:space="preserve"> perspektywą</w:t>
      </w:r>
      <w:r>
        <w:t xml:space="preserve"> 2014-2020.</w:t>
      </w:r>
      <w:r w:rsidR="00E66B89">
        <w:t xml:space="preserve"> W </w:t>
      </w:r>
      <w:r w:rsidR="00307E3B">
        <w:t>samej IZ Liczba osób zaangażowanych</w:t>
      </w:r>
      <w:r w:rsidR="00E66B89">
        <w:t xml:space="preserve"> w </w:t>
      </w:r>
      <w:r w:rsidR="00307E3B">
        <w:t>realizację PO 2014-2020 oraz NSRO 2007-2013 przedstawiała się następująco:</w:t>
      </w:r>
    </w:p>
    <w:p w14:paraId="7051CE90" w14:textId="77777777" w:rsidR="00307E3B" w:rsidRDefault="00307E3B" w:rsidP="00024F00">
      <w:pPr>
        <w:pStyle w:val="Legenda"/>
        <w:spacing w:after="0"/>
      </w:pPr>
      <w:bookmarkStart w:id="401" w:name="_Toc8824288"/>
      <w:r>
        <w:t xml:space="preserve">Tabela </w:t>
      </w:r>
      <w:r w:rsidR="006E34DC">
        <w:fldChar w:fldCharType="begin"/>
      </w:r>
      <w:r w:rsidR="006E34DC">
        <w:instrText xml:space="preserve"> SEQ Tabela \* ARABIC </w:instrText>
      </w:r>
      <w:r w:rsidR="006E34DC">
        <w:fldChar w:fldCharType="separate"/>
      </w:r>
      <w:r w:rsidR="00763345">
        <w:rPr>
          <w:noProof/>
        </w:rPr>
        <w:t>177</w:t>
      </w:r>
      <w:r w:rsidR="006E34DC">
        <w:fldChar w:fldCharType="end"/>
      </w:r>
      <w:r>
        <w:t xml:space="preserve"> Dane dot. stanu zatrudnienia</w:t>
      </w:r>
      <w:r w:rsidR="00E66B89">
        <w:t xml:space="preserve"> w </w:t>
      </w:r>
      <w:r>
        <w:t>IZ RPO WZ</w:t>
      </w:r>
      <w:r w:rsidR="00E66B89">
        <w:t xml:space="preserve"> w </w:t>
      </w:r>
      <w:r>
        <w:t>latach 2014-2018</w:t>
      </w:r>
      <w:bookmarkEnd w:id="401"/>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813"/>
        <w:gridCol w:w="815"/>
        <w:gridCol w:w="815"/>
        <w:gridCol w:w="815"/>
        <w:gridCol w:w="813"/>
        <w:gridCol w:w="815"/>
        <w:gridCol w:w="815"/>
        <w:gridCol w:w="815"/>
        <w:gridCol w:w="815"/>
      </w:tblGrid>
      <w:tr w:rsidR="00307E3B" w:rsidRPr="00036905" w14:paraId="170F7F57" w14:textId="77777777" w:rsidTr="00E6171D">
        <w:trPr>
          <w:trHeight w:val="287"/>
          <w:tblHeader/>
        </w:trPr>
        <w:tc>
          <w:tcPr>
            <w:tcW w:w="1123" w:type="pct"/>
            <w:shd w:val="clear" w:color="auto" w:fill="DEEAF6" w:themeFill="accent1" w:themeFillTint="33"/>
            <w:vAlign w:val="center"/>
          </w:tcPr>
          <w:p w14:paraId="0D6E5876" w14:textId="77777777" w:rsidR="00307E3B" w:rsidRPr="005F04FC" w:rsidRDefault="00307E3B" w:rsidP="005F04FC">
            <w:pPr>
              <w:jc w:val="center"/>
              <w:rPr>
                <w:sz w:val="16"/>
                <w:lang w:eastAsia="en-US"/>
              </w:rPr>
            </w:pPr>
            <w:r w:rsidRPr="005F04FC">
              <w:rPr>
                <w:sz w:val="16"/>
                <w:lang w:eastAsia="en-US"/>
              </w:rPr>
              <w:t>Półrocze -&gt;</w:t>
            </w:r>
          </w:p>
        </w:tc>
        <w:tc>
          <w:tcPr>
            <w:tcW w:w="430" w:type="pct"/>
            <w:shd w:val="clear" w:color="auto" w:fill="DEEAF6" w:themeFill="accent1" w:themeFillTint="33"/>
            <w:vAlign w:val="center"/>
          </w:tcPr>
          <w:p w14:paraId="5D445AF1" w14:textId="77777777" w:rsidR="00307E3B" w:rsidRPr="005F04FC" w:rsidRDefault="00307E3B" w:rsidP="005F04FC">
            <w:pPr>
              <w:jc w:val="center"/>
              <w:rPr>
                <w:sz w:val="16"/>
                <w:lang w:eastAsia="en-US"/>
              </w:rPr>
            </w:pPr>
            <w:r w:rsidRPr="005F04FC">
              <w:rPr>
                <w:rFonts w:cs="Calibri"/>
                <w:sz w:val="16"/>
                <w:szCs w:val="16"/>
              </w:rPr>
              <w:t>I 2014</w:t>
            </w:r>
          </w:p>
        </w:tc>
        <w:tc>
          <w:tcPr>
            <w:tcW w:w="431" w:type="pct"/>
            <w:shd w:val="clear" w:color="auto" w:fill="DEEAF6" w:themeFill="accent1" w:themeFillTint="33"/>
            <w:noWrap/>
            <w:vAlign w:val="center"/>
          </w:tcPr>
          <w:p w14:paraId="2261B29C" w14:textId="77777777" w:rsidR="00307E3B" w:rsidRPr="005F04FC" w:rsidRDefault="00307E3B" w:rsidP="005F04FC">
            <w:pPr>
              <w:jc w:val="center"/>
              <w:rPr>
                <w:sz w:val="16"/>
                <w:lang w:eastAsia="en-US"/>
              </w:rPr>
            </w:pPr>
            <w:r w:rsidRPr="005F04FC">
              <w:rPr>
                <w:rFonts w:cs="Calibri"/>
                <w:sz w:val="16"/>
                <w:szCs w:val="16"/>
              </w:rPr>
              <w:t>II 2014</w:t>
            </w:r>
          </w:p>
        </w:tc>
        <w:tc>
          <w:tcPr>
            <w:tcW w:w="431" w:type="pct"/>
            <w:shd w:val="clear" w:color="auto" w:fill="DEEAF6" w:themeFill="accent1" w:themeFillTint="33"/>
            <w:noWrap/>
            <w:vAlign w:val="center"/>
          </w:tcPr>
          <w:p w14:paraId="190DC318" w14:textId="77777777" w:rsidR="00307E3B" w:rsidRPr="005F04FC" w:rsidRDefault="00307E3B" w:rsidP="005F04FC">
            <w:pPr>
              <w:jc w:val="center"/>
              <w:rPr>
                <w:sz w:val="16"/>
                <w:lang w:eastAsia="en-US"/>
              </w:rPr>
            </w:pPr>
            <w:r w:rsidRPr="005F04FC">
              <w:rPr>
                <w:rFonts w:cs="Calibri"/>
                <w:sz w:val="16"/>
                <w:szCs w:val="16"/>
              </w:rPr>
              <w:t>I 2015</w:t>
            </w:r>
          </w:p>
        </w:tc>
        <w:tc>
          <w:tcPr>
            <w:tcW w:w="431" w:type="pct"/>
            <w:shd w:val="clear" w:color="auto" w:fill="DEEAF6" w:themeFill="accent1" w:themeFillTint="33"/>
            <w:noWrap/>
            <w:vAlign w:val="center"/>
          </w:tcPr>
          <w:p w14:paraId="400240F1" w14:textId="77777777" w:rsidR="00307E3B" w:rsidRPr="005F04FC" w:rsidRDefault="00307E3B" w:rsidP="005F04FC">
            <w:pPr>
              <w:jc w:val="center"/>
              <w:rPr>
                <w:sz w:val="16"/>
                <w:lang w:eastAsia="en-US"/>
              </w:rPr>
            </w:pPr>
            <w:r w:rsidRPr="005F04FC">
              <w:rPr>
                <w:rFonts w:cs="Calibri"/>
                <w:sz w:val="16"/>
                <w:szCs w:val="16"/>
              </w:rPr>
              <w:t>I 2016</w:t>
            </w:r>
            <w:r w:rsidRPr="005F04FC">
              <w:rPr>
                <w:rStyle w:val="Odwoanieprzypisudolnego"/>
                <w:rFonts w:cs="Calibri"/>
                <w:sz w:val="16"/>
                <w:szCs w:val="16"/>
              </w:rPr>
              <w:footnoteReference w:id="173"/>
            </w:r>
          </w:p>
        </w:tc>
        <w:tc>
          <w:tcPr>
            <w:tcW w:w="430" w:type="pct"/>
            <w:shd w:val="clear" w:color="auto" w:fill="DEEAF6" w:themeFill="accent1" w:themeFillTint="33"/>
            <w:noWrap/>
            <w:vAlign w:val="center"/>
          </w:tcPr>
          <w:p w14:paraId="3182337F" w14:textId="77777777" w:rsidR="00307E3B" w:rsidRPr="005F04FC" w:rsidRDefault="00307E3B" w:rsidP="005F04FC">
            <w:pPr>
              <w:jc w:val="center"/>
              <w:rPr>
                <w:sz w:val="16"/>
                <w:lang w:eastAsia="en-US"/>
              </w:rPr>
            </w:pPr>
            <w:r w:rsidRPr="005F04FC">
              <w:rPr>
                <w:rFonts w:cs="Calibri"/>
                <w:sz w:val="16"/>
                <w:szCs w:val="16"/>
              </w:rPr>
              <w:t>II 2016</w:t>
            </w:r>
            <w:r w:rsidRPr="005F04FC">
              <w:rPr>
                <w:rStyle w:val="Odwoanieprzypisudolnego"/>
                <w:rFonts w:cs="Calibri"/>
                <w:sz w:val="16"/>
                <w:szCs w:val="16"/>
              </w:rPr>
              <w:footnoteReference w:id="174"/>
            </w:r>
          </w:p>
        </w:tc>
        <w:tc>
          <w:tcPr>
            <w:tcW w:w="431" w:type="pct"/>
            <w:shd w:val="clear" w:color="auto" w:fill="DEEAF6" w:themeFill="accent1" w:themeFillTint="33"/>
            <w:noWrap/>
            <w:vAlign w:val="center"/>
          </w:tcPr>
          <w:p w14:paraId="6AFE4FB9" w14:textId="77777777" w:rsidR="00307E3B" w:rsidRPr="005F04FC" w:rsidRDefault="00307E3B" w:rsidP="005F04FC">
            <w:pPr>
              <w:jc w:val="center"/>
              <w:rPr>
                <w:sz w:val="16"/>
                <w:lang w:eastAsia="en-US"/>
              </w:rPr>
            </w:pPr>
            <w:r w:rsidRPr="005F04FC">
              <w:rPr>
                <w:rFonts w:cs="Calibri"/>
                <w:sz w:val="16"/>
                <w:szCs w:val="16"/>
              </w:rPr>
              <w:t>I 2017</w:t>
            </w:r>
            <w:r w:rsidRPr="005F04FC">
              <w:rPr>
                <w:rStyle w:val="Odwoanieprzypisudolnego"/>
                <w:rFonts w:cs="Calibri"/>
                <w:sz w:val="16"/>
                <w:szCs w:val="16"/>
              </w:rPr>
              <w:footnoteReference w:id="175"/>
            </w:r>
          </w:p>
        </w:tc>
        <w:tc>
          <w:tcPr>
            <w:tcW w:w="431" w:type="pct"/>
            <w:shd w:val="clear" w:color="auto" w:fill="DEEAF6" w:themeFill="accent1" w:themeFillTint="33"/>
            <w:vAlign w:val="center"/>
          </w:tcPr>
          <w:p w14:paraId="39455C13" w14:textId="77777777" w:rsidR="00307E3B" w:rsidRPr="005F04FC" w:rsidRDefault="00307E3B" w:rsidP="005F04FC">
            <w:pPr>
              <w:jc w:val="center"/>
              <w:rPr>
                <w:sz w:val="16"/>
                <w:lang w:eastAsia="en-US"/>
              </w:rPr>
            </w:pPr>
            <w:r w:rsidRPr="005F04FC">
              <w:rPr>
                <w:rFonts w:cs="Calibri"/>
                <w:sz w:val="16"/>
                <w:szCs w:val="16"/>
              </w:rPr>
              <w:t>II 2017</w:t>
            </w:r>
          </w:p>
        </w:tc>
        <w:tc>
          <w:tcPr>
            <w:tcW w:w="431" w:type="pct"/>
            <w:shd w:val="clear" w:color="auto" w:fill="DEEAF6" w:themeFill="accent1" w:themeFillTint="33"/>
            <w:noWrap/>
            <w:vAlign w:val="center"/>
          </w:tcPr>
          <w:p w14:paraId="34EA2616" w14:textId="77777777" w:rsidR="00307E3B" w:rsidRPr="005F04FC" w:rsidRDefault="00307E3B" w:rsidP="005F04FC">
            <w:pPr>
              <w:jc w:val="center"/>
              <w:rPr>
                <w:sz w:val="16"/>
                <w:lang w:eastAsia="en-US"/>
              </w:rPr>
            </w:pPr>
            <w:r w:rsidRPr="005F04FC">
              <w:rPr>
                <w:rFonts w:cs="Calibri"/>
                <w:sz w:val="16"/>
                <w:szCs w:val="16"/>
              </w:rPr>
              <w:t>I 2018</w:t>
            </w:r>
          </w:p>
        </w:tc>
        <w:tc>
          <w:tcPr>
            <w:tcW w:w="431" w:type="pct"/>
            <w:shd w:val="clear" w:color="auto" w:fill="DEEAF6" w:themeFill="accent1" w:themeFillTint="33"/>
            <w:vAlign w:val="center"/>
          </w:tcPr>
          <w:p w14:paraId="15C3E406" w14:textId="77777777" w:rsidR="00307E3B" w:rsidRPr="005F04FC" w:rsidRDefault="00307E3B" w:rsidP="005F04FC">
            <w:pPr>
              <w:jc w:val="center"/>
              <w:rPr>
                <w:sz w:val="16"/>
                <w:lang w:eastAsia="en-US"/>
              </w:rPr>
            </w:pPr>
            <w:r w:rsidRPr="005F04FC">
              <w:rPr>
                <w:rFonts w:cs="Calibri"/>
                <w:sz w:val="16"/>
                <w:szCs w:val="16"/>
              </w:rPr>
              <w:t>II 2018</w:t>
            </w:r>
          </w:p>
        </w:tc>
      </w:tr>
      <w:tr w:rsidR="00307E3B" w:rsidRPr="00036905" w14:paraId="54B17306" w14:textId="77777777" w:rsidTr="005F04FC">
        <w:trPr>
          <w:trHeight w:val="287"/>
        </w:trPr>
        <w:tc>
          <w:tcPr>
            <w:tcW w:w="1123" w:type="pct"/>
            <w:shd w:val="clear" w:color="auto" w:fill="auto"/>
            <w:vAlign w:val="center"/>
          </w:tcPr>
          <w:p w14:paraId="4894F92F" w14:textId="77777777" w:rsidR="00307E3B" w:rsidRPr="005F04FC" w:rsidRDefault="00307E3B" w:rsidP="005F04FC">
            <w:pPr>
              <w:jc w:val="left"/>
              <w:rPr>
                <w:sz w:val="16"/>
                <w:lang w:eastAsia="en-US"/>
              </w:rPr>
            </w:pPr>
            <w:r w:rsidRPr="005F04FC">
              <w:rPr>
                <w:rFonts w:cs="Calibri"/>
                <w:color w:val="000000"/>
                <w:sz w:val="16"/>
                <w:szCs w:val="16"/>
              </w:rPr>
              <w:t>Liczba (…) zaangażowanych</w:t>
            </w:r>
            <w:r w:rsidR="00E66B89" w:rsidRPr="005F04FC">
              <w:rPr>
                <w:rFonts w:cs="Calibri"/>
                <w:color w:val="000000"/>
                <w:sz w:val="16"/>
                <w:szCs w:val="16"/>
              </w:rPr>
              <w:t xml:space="preserve"> w </w:t>
            </w:r>
            <w:r w:rsidRPr="005F04FC">
              <w:rPr>
                <w:rFonts w:cs="Calibri"/>
                <w:color w:val="000000"/>
                <w:sz w:val="16"/>
                <w:szCs w:val="16"/>
              </w:rPr>
              <w:t>realizację PO 2014-2020 [etaty]</w:t>
            </w:r>
          </w:p>
        </w:tc>
        <w:tc>
          <w:tcPr>
            <w:tcW w:w="430" w:type="pct"/>
            <w:shd w:val="clear" w:color="auto" w:fill="auto"/>
            <w:vAlign w:val="center"/>
          </w:tcPr>
          <w:p w14:paraId="16284BFB" w14:textId="77777777" w:rsidR="00307E3B" w:rsidRPr="005F04FC" w:rsidRDefault="00A54285" w:rsidP="005F04FC">
            <w:pPr>
              <w:jc w:val="center"/>
              <w:rPr>
                <w:sz w:val="16"/>
                <w:lang w:eastAsia="en-US"/>
              </w:rPr>
            </w:pPr>
            <w:r w:rsidRPr="005F04FC">
              <w:rPr>
                <w:rFonts w:cs="Calibri"/>
                <w:color w:val="000000"/>
                <w:sz w:val="16"/>
                <w:szCs w:val="16"/>
              </w:rPr>
              <w:t>nd</w:t>
            </w:r>
          </w:p>
        </w:tc>
        <w:tc>
          <w:tcPr>
            <w:tcW w:w="431" w:type="pct"/>
            <w:shd w:val="clear" w:color="auto" w:fill="auto"/>
            <w:noWrap/>
            <w:vAlign w:val="center"/>
          </w:tcPr>
          <w:p w14:paraId="22F78FBD" w14:textId="77777777" w:rsidR="00307E3B" w:rsidRPr="005F04FC" w:rsidRDefault="00307E3B" w:rsidP="005F04FC">
            <w:pPr>
              <w:jc w:val="center"/>
              <w:rPr>
                <w:sz w:val="16"/>
                <w:lang w:eastAsia="en-US"/>
              </w:rPr>
            </w:pPr>
            <w:r w:rsidRPr="005F04FC">
              <w:rPr>
                <w:rFonts w:cs="Calibri"/>
                <w:color w:val="000000"/>
                <w:sz w:val="16"/>
                <w:szCs w:val="16"/>
              </w:rPr>
              <w:t>38,83</w:t>
            </w:r>
          </w:p>
        </w:tc>
        <w:tc>
          <w:tcPr>
            <w:tcW w:w="431" w:type="pct"/>
            <w:shd w:val="clear" w:color="auto" w:fill="auto"/>
            <w:noWrap/>
            <w:vAlign w:val="center"/>
          </w:tcPr>
          <w:p w14:paraId="0E51F7F1" w14:textId="77777777" w:rsidR="00307E3B" w:rsidRPr="005F04FC" w:rsidRDefault="00307E3B" w:rsidP="005F04FC">
            <w:pPr>
              <w:jc w:val="center"/>
              <w:rPr>
                <w:sz w:val="16"/>
                <w:lang w:eastAsia="en-US"/>
              </w:rPr>
            </w:pPr>
            <w:r w:rsidRPr="005F04FC">
              <w:rPr>
                <w:rFonts w:cs="Calibri"/>
                <w:color w:val="000000"/>
                <w:sz w:val="16"/>
                <w:szCs w:val="16"/>
              </w:rPr>
              <w:t>56,68</w:t>
            </w:r>
          </w:p>
        </w:tc>
        <w:tc>
          <w:tcPr>
            <w:tcW w:w="431" w:type="pct"/>
            <w:shd w:val="clear" w:color="auto" w:fill="auto"/>
            <w:noWrap/>
            <w:vAlign w:val="center"/>
          </w:tcPr>
          <w:p w14:paraId="79A18774" w14:textId="77777777" w:rsidR="00307E3B" w:rsidRPr="005F04FC" w:rsidRDefault="00307E3B" w:rsidP="005F04FC">
            <w:pPr>
              <w:jc w:val="center"/>
              <w:rPr>
                <w:sz w:val="16"/>
                <w:lang w:eastAsia="en-US"/>
              </w:rPr>
            </w:pPr>
            <w:r w:rsidRPr="005F04FC">
              <w:rPr>
                <w:rFonts w:cs="Calibri"/>
                <w:color w:val="000000"/>
                <w:sz w:val="16"/>
                <w:szCs w:val="16"/>
              </w:rPr>
              <w:t>109,13</w:t>
            </w:r>
          </w:p>
        </w:tc>
        <w:tc>
          <w:tcPr>
            <w:tcW w:w="430" w:type="pct"/>
            <w:shd w:val="clear" w:color="auto" w:fill="auto"/>
            <w:noWrap/>
            <w:vAlign w:val="center"/>
          </w:tcPr>
          <w:p w14:paraId="44D6621B" w14:textId="77777777" w:rsidR="00307E3B" w:rsidRPr="005F04FC" w:rsidRDefault="00307E3B" w:rsidP="005F04FC">
            <w:pPr>
              <w:jc w:val="center"/>
              <w:rPr>
                <w:sz w:val="16"/>
                <w:lang w:eastAsia="en-US"/>
              </w:rPr>
            </w:pPr>
            <w:r w:rsidRPr="005F04FC">
              <w:rPr>
                <w:rFonts w:cs="Calibri"/>
                <w:color w:val="000000"/>
                <w:sz w:val="16"/>
                <w:szCs w:val="16"/>
              </w:rPr>
              <w:t>182</w:t>
            </w:r>
          </w:p>
        </w:tc>
        <w:tc>
          <w:tcPr>
            <w:tcW w:w="431" w:type="pct"/>
            <w:shd w:val="clear" w:color="auto" w:fill="auto"/>
            <w:noWrap/>
            <w:vAlign w:val="center"/>
          </w:tcPr>
          <w:p w14:paraId="6F7E6E1D" w14:textId="77777777" w:rsidR="00307E3B" w:rsidRPr="005F04FC" w:rsidRDefault="00307E3B" w:rsidP="005F04FC">
            <w:pPr>
              <w:jc w:val="center"/>
              <w:rPr>
                <w:sz w:val="16"/>
                <w:lang w:eastAsia="en-US"/>
              </w:rPr>
            </w:pPr>
            <w:r w:rsidRPr="005F04FC">
              <w:rPr>
                <w:rFonts w:cs="Calibri"/>
                <w:color w:val="000000"/>
                <w:sz w:val="16"/>
                <w:szCs w:val="16"/>
              </w:rPr>
              <w:t>207,45</w:t>
            </w:r>
          </w:p>
        </w:tc>
        <w:tc>
          <w:tcPr>
            <w:tcW w:w="431" w:type="pct"/>
            <w:shd w:val="clear" w:color="auto" w:fill="auto"/>
            <w:vAlign w:val="center"/>
          </w:tcPr>
          <w:p w14:paraId="6053333D" w14:textId="77777777" w:rsidR="00307E3B" w:rsidRPr="005F04FC" w:rsidRDefault="00307E3B" w:rsidP="005F04FC">
            <w:pPr>
              <w:jc w:val="center"/>
              <w:rPr>
                <w:sz w:val="16"/>
                <w:lang w:eastAsia="en-US"/>
              </w:rPr>
            </w:pPr>
            <w:r w:rsidRPr="005F04FC">
              <w:rPr>
                <w:rFonts w:cs="Calibri"/>
                <w:color w:val="000000"/>
                <w:sz w:val="16"/>
                <w:szCs w:val="16"/>
              </w:rPr>
              <w:t>225,35</w:t>
            </w:r>
          </w:p>
        </w:tc>
        <w:tc>
          <w:tcPr>
            <w:tcW w:w="431" w:type="pct"/>
            <w:shd w:val="clear" w:color="auto" w:fill="auto"/>
            <w:noWrap/>
            <w:vAlign w:val="center"/>
          </w:tcPr>
          <w:p w14:paraId="72E189CB" w14:textId="77777777" w:rsidR="00307E3B" w:rsidRPr="005F04FC" w:rsidRDefault="00307E3B" w:rsidP="005F04FC">
            <w:pPr>
              <w:jc w:val="center"/>
              <w:rPr>
                <w:sz w:val="16"/>
                <w:lang w:eastAsia="en-US"/>
              </w:rPr>
            </w:pPr>
            <w:r w:rsidRPr="005F04FC">
              <w:rPr>
                <w:rFonts w:cs="Calibri"/>
                <w:color w:val="000000"/>
                <w:sz w:val="16"/>
                <w:szCs w:val="16"/>
              </w:rPr>
              <w:t>232,05</w:t>
            </w:r>
          </w:p>
        </w:tc>
        <w:tc>
          <w:tcPr>
            <w:tcW w:w="431" w:type="pct"/>
            <w:shd w:val="clear" w:color="auto" w:fill="auto"/>
            <w:vAlign w:val="center"/>
          </w:tcPr>
          <w:p w14:paraId="51701A65" w14:textId="77777777" w:rsidR="00307E3B" w:rsidRPr="005F04FC" w:rsidRDefault="00307E3B" w:rsidP="005F04FC">
            <w:pPr>
              <w:jc w:val="center"/>
              <w:rPr>
                <w:sz w:val="16"/>
              </w:rPr>
            </w:pPr>
            <w:r w:rsidRPr="005F04FC">
              <w:rPr>
                <w:rFonts w:cs="Calibri"/>
                <w:color w:val="000000"/>
                <w:sz w:val="16"/>
                <w:szCs w:val="16"/>
              </w:rPr>
              <w:t>242,65</w:t>
            </w:r>
          </w:p>
        </w:tc>
      </w:tr>
      <w:tr w:rsidR="00307E3B" w:rsidRPr="00036905" w14:paraId="1FE98B0C" w14:textId="77777777" w:rsidTr="005F04FC">
        <w:trPr>
          <w:trHeight w:val="287"/>
        </w:trPr>
        <w:tc>
          <w:tcPr>
            <w:tcW w:w="1123" w:type="pct"/>
            <w:shd w:val="clear" w:color="auto" w:fill="auto"/>
            <w:vAlign w:val="center"/>
          </w:tcPr>
          <w:p w14:paraId="3696A152" w14:textId="77777777" w:rsidR="00307E3B" w:rsidRPr="005F04FC" w:rsidRDefault="00307E3B" w:rsidP="005F04FC">
            <w:pPr>
              <w:jc w:val="left"/>
              <w:rPr>
                <w:sz w:val="16"/>
                <w:lang w:eastAsia="en-US"/>
              </w:rPr>
            </w:pPr>
            <w:r w:rsidRPr="005F04FC">
              <w:rPr>
                <w:rFonts w:cs="Calibri"/>
                <w:color w:val="000000"/>
                <w:sz w:val="16"/>
                <w:szCs w:val="16"/>
              </w:rPr>
              <w:lastRenderedPageBreak/>
              <w:t>Liczba (…) zaangażowanych</w:t>
            </w:r>
            <w:r w:rsidR="00E66B89" w:rsidRPr="005F04FC">
              <w:rPr>
                <w:rFonts w:cs="Calibri"/>
                <w:color w:val="000000"/>
                <w:sz w:val="16"/>
                <w:szCs w:val="16"/>
              </w:rPr>
              <w:t xml:space="preserve"> w </w:t>
            </w:r>
            <w:r w:rsidRPr="005F04FC">
              <w:rPr>
                <w:rFonts w:cs="Calibri"/>
                <w:color w:val="000000"/>
                <w:sz w:val="16"/>
                <w:szCs w:val="16"/>
              </w:rPr>
              <w:t>realizację PO 2014-2020 [osoby]</w:t>
            </w:r>
          </w:p>
        </w:tc>
        <w:tc>
          <w:tcPr>
            <w:tcW w:w="430" w:type="pct"/>
            <w:shd w:val="clear" w:color="auto" w:fill="auto"/>
            <w:vAlign w:val="center"/>
          </w:tcPr>
          <w:p w14:paraId="4BB78F18" w14:textId="77777777" w:rsidR="00307E3B" w:rsidRPr="005F04FC" w:rsidRDefault="00A54285" w:rsidP="005F04FC">
            <w:pPr>
              <w:jc w:val="center"/>
              <w:rPr>
                <w:sz w:val="16"/>
                <w:lang w:eastAsia="en-US"/>
              </w:rPr>
            </w:pPr>
            <w:r w:rsidRPr="005F04FC">
              <w:rPr>
                <w:rFonts w:cs="Calibri"/>
                <w:color w:val="000000"/>
                <w:sz w:val="16"/>
                <w:szCs w:val="16"/>
              </w:rPr>
              <w:t>nd</w:t>
            </w:r>
          </w:p>
        </w:tc>
        <w:tc>
          <w:tcPr>
            <w:tcW w:w="431" w:type="pct"/>
            <w:shd w:val="clear" w:color="auto" w:fill="auto"/>
            <w:noWrap/>
            <w:vAlign w:val="center"/>
          </w:tcPr>
          <w:p w14:paraId="5BF9706C" w14:textId="77777777" w:rsidR="00307E3B" w:rsidRPr="005F04FC" w:rsidRDefault="00307E3B" w:rsidP="005F04FC">
            <w:pPr>
              <w:jc w:val="center"/>
              <w:rPr>
                <w:sz w:val="16"/>
                <w:lang w:eastAsia="en-US"/>
              </w:rPr>
            </w:pPr>
            <w:r w:rsidRPr="005F04FC">
              <w:rPr>
                <w:rFonts w:cs="Calibri"/>
                <w:color w:val="000000"/>
                <w:sz w:val="16"/>
                <w:szCs w:val="16"/>
              </w:rPr>
              <w:t>72</w:t>
            </w:r>
          </w:p>
        </w:tc>
        <w:tc>
          <w:tcPr>
            <w:tcW w:w="431" w:type="pct"/>
            <w:shd w:val="clear" w:color="auto" w:fill="auto"/>
            <w:noWrap/>
            <w:vAlign w:val="center"/>
          </w:tcPr>
          <w:p w14:paraId="0B5ABDDF" w14:textId="77777777" w:rsidR="00307E3B" w:rsidRPr="005F04FC" w:rsidRDefault="00307E3B" w:rsidP="005F04FC">
            <w:pPr>
              <w:jc w:val="center"/>
              <w:rPr>
                <w:sz w:val="16"/>
                <w:lang w:eastAsia="en-US"/>
              </w:rPr>
            </w:pPr>
            <w:r w:rsidRPr="005F04FC">
              <w:rPr>
                <w:rFonts w:cs="Calibri"/>
                <w:color w:val="000000"/>
                <w:sz w:val="16"/>
                <w:szCs w:val="16"/>
              </w:rPr>
              <w:t>84</w:t>
            </w:r>
          </w:p>
        </w:tc>
        <w:tc>
          <w:tcPr>
            <w:tcW w:w="431" w:type="pct"/>
            <w:shd w:val="clear" w:color="auto" w:fill="auto"/>
            <w:noWrap/>
            <w:vAlign w:val="center"/>
          </w:tcPr>
          <w:p w14:paraId="3332D74C" w14:textId="77777777" w:rsidR="00307E3B" w:rsidRPr="005F04FC" w:rsidRDefault="00307E3B" w:rsidP="005F04FC">
            <w:pPr>
              <w:jc w:val="center"/>
              <w:rPr>
                <w:sz w:val="16"/>
                <w:lang w:eastAsia="en-US"/>
              </w:rPr>
            </w:pPr>
            <w:r w:rsidRPr="005F04FC">
              <w:rPr>
                <w:rFonts w:cs="Calibri"/>
                <w:color w:val="000000"/>
                <w:sz w:val="16"/>
                <w:szCs w:val="16"/>
              </w:rPr>
              <w:t>160</w:t>
            </w:r>
          </w:p>
        </w:tc>
        <w:tc>
          <w:tcPr>
            <w:tcW w:w="430" w:type="pct"/>
            <w:shd w:val="clear" w:color="auto" w:fill="auto"/>
            <w:noWrap/>
            <w:vAlign w:val="center"/>
          </w:tcPr>
          <w:p w14:paraId="407A5CCB" w14:textId="77777777" w:rsidR="00307E3B" w:rsidRPr="005F04FC" w:rsidRDefault="00307E3B" w:rsidP="005F04FC">
            <w:pPr>
              <w:jc w:val="center"/>
              <w:rPr>
                <w:sz w:val="16"/>
                <w:lang w:eastAsia="en-US"/>
              </w:rPr>
            </w:pPr>
            <w:r w:rsidRPr="005F04FC">
              <w:rPr>
                <w:rFonts w:cs="Calibri"/>
                <w:color w:val="000000"/>
                <w:sz w:val="16"/>
                <w:szCs w:val="16"/>
              </w:rPr>
              <w:t>193</w:t>
            </w:r>
          </w:p>
        </w:tc>
        <w:tc>
          <w:tcPr>
            <w:tcW w:w="431" w:type="pct"/>
            <w:shd w:val="clear" w:color="auto" w:fill="auto"/>
            <w:noWrap/>
            <w:vAlign w:val="center"/>
          </w:tcPr>
          <w:p w14:paraId="3146BDF3" w14:textId="77777777" w:rsidR="00307E3B" w:rsidRPr="005F04FC" w:rsidRDefault="00307E3B" w:rsidP="005F04FC">
            <w:pPr>
              <w:jc w:val="center"/>
              <w:rPr>
                <w:sz w:val="16"/>
                <w:lang w:eastAsia="en-US"/>
              </w:rPr>
            </w:pPr>
            <w:r w:rsidRPr="005F04FC">
              <w:rPr>
                <w:rFonts w:cs="Calibri"/>
                <w:color w:val="000000"/>
                <w:sz w:val="16"/>
                <w:szCs w:val="16"/>
              </w:rPr>
              <w:t>207</w:t>
            </w:r>
          </w:p>
        </w:tc>
        <w:tc>
          <w:tcPr>
            <w:tcW w:w="431" w:type="pct"/>
            <w:shd w:val="clear" w:color="auto" w:fill="auto"/>
            <w:vAlign w:val="center"/>
          </w:tcPr>
          <w:p w14:paraId="01F1E3D4" w14:textId="77777777" w:rsidR="00307E3B" w:rsidRPr="005F04FC" w:rsidRDefault="00307E3B" w:rsidP="005F04FC">
            <w:pPr>
              <w:jc w:val="center"/>
              <w:rPr>
                <w:sz w:val="16"/>
                <w:lang w:eastAsia="en-US"/>
              </w:rPr>
            </w:pPr>
            <w:r w:rsidRPr="005F04FC">
              <w:rPr>
                <w:rFonts w:cs="Calibri"/>
                <w:color w:val="000000"/>
                <w:sz w:val="16"/>
                <w:szCs w:val="16"/>
              </w:rPr>
              <w:t>218</w:t>
            </w:r>
          </w:p>
        </w:tc>
        <w:tc>
          <w:tcPr>
            <w:tcW w:w="431" w:type="pct"/>
            <w:shd w:val="clear" w:color="auto" w:fill="auto"/>
            <w:noWrap/>
            <w:vAlign w:val="center"/>
          </w:tcPr>
          <w:p w14:paraId="37BDF99C" w14:textId="77777777" w:rsidR="00307E3B" w:rsidRPr="005F04FC" w:rsidRDefault="00307E3B" w:rsidP="005F04FC">
            <w:pPr>
              <w:jc w:val="center"/>
              <w:rPr>
                <w:sz w:val="16"/>
                <w:lang w:eastAsia="en-US"/>
              </w:rPr>
            </w:pPr>
            <w:r w:rsidRPr="005F04FC">
              <w:rPr>
                <w:rFonts w:cs="Calibri"/>
                <w:color w:val="000000"/>
                <w:sz w:val="16"/>
                <w:szCs w:val="16"/>
              </w:rPr>
              <w:t>221</w:t>
            </w:r>
          </w:p>
        </w:tc>
        <w:tc>
          <w:tcPr>
            <w:tcW w:w="431" w:type="pct"/>
            <w:shd w:val="clear" w:color="auto" w:fill="auto"/>
            <w:vAlign w:val="center"/>
          </w:tcPr>
          <w:p w14:paraId="0E1D94FE" w14:textId="77777777" w:rsidR="00307E3B" w:rsidRPr="005F04FC" w:rsidRDefault="00307E3B" w:rsidP="005F04FC">
            <w:pPr>
              <w:jc w:val="center"/>
              <w:rPr>
                <w:sz w:val="16"/>
              </w:rPr>
            </w:pPr>
            <w:r w:rsidRPr="005F04FC">
              <w:rPr>
                <w:rFonts w:cs="Calibri"/>
                <w:color w:val="000000"/>
                <w:sz w:val="16"/>
                <w:szCs w:val="16"/>
              </w:rPr>
              <w:t>242</w:t>
            </w:r>
          </w:p>
        </w:tc>
      </w:tr>
      <w:tr w:rsidR="00307E3B" w:rsidRPr="00036905" w14:paraId="3267AC23" w14:textId="77777777" w:rsidTr="005F04FC">
        <w:trPr>
          <w:trHeight w:val="487"/>
        </w:trPr>
        <w:tc>
          <w:tcPr>
            <w:tcW w:w="1123" w:type="pct"/>
            <w:shd w:val="clear" w:color="auto" w:fill="auto"/>
            <w:vAlign w:val="center"/>
          </w:tcPr>
          <w:p w14:paraId="5D881CBB" w14:textId="77777777" w:rsidR="00307E3B" w:rsidRPr="005F04FC" w:rsidRDefault="00307E3B" w:rsidP="005F04FC">
            <w:pPr>
              <w:jc w:val="left"/>
              <w:rPr>
                <w:sz w:val="16"/>
                <w:lang w:eastAsia="en-US"/>
              </w:rPr>
            </w:pPr>
            <w:r w:rsidRPr="005F04FC">
              <w:rPr>
                <w:rFonts w:cs="Calibri"/>
                <w:color w:val="000000"/>
                <w:sz w:val="16"/>
                <w:szCs w:val="16"/>
              </w:rPr>
              <w:t>Liczba (…) zaangażowanych</w:t>
            </w:r>
            <w:r w:rsidR="00E66B89" w:rsidRPr="005F04FC">
              <w:rPr>
                <w:rFonts w:cs="Calibri"/>
                <w:color w:val="000000"/>
                <w:sz w:val="16"/>
                <w:szCs w:val="16"/>
              </w:rPr>
              <w:t xml:space="preserve"> w </w:t>
            </w:r>
            <w:r w:rsidRPr="005F04FC">
              <w:rPr>
                <w:rFonts w:cs="Calibri"/>
                <w:color w:val="000000"/>
                <w:sz w:val="16"/>
                <w:szCs w:val="16"/>
              </w:rPr>
              <w:t>realizację NSRO 2007-2013 [etaty]</w:t>
            </w:r>
          </w:p>
        </w:tc>
        <w:tc>
          <w:tcPr>
            <w:tcW w:w="430" w:type="pct"/>
            <w:shd w:val="clear" w:color="auto" w:fill="auto"/>
            <w:vAlign w:val="center"/>
          </w:tcPr>
          <w:p w14:paraId="49C315D0" w14:textId="77777777" w:rsidR="00307E3B" w:rsidRPr="005F04FC" w:rsidRDefault="00307E3B" w:rsidP="005F04FC">
            <w:pPr>
              <w:jc w:val="center"/>
              <w:rPr>
                <w:sz w:val="16"/>
                <w:lang w:eastAsia="en-US"/>
              </w:rPr>
            </w:pPr>
            <w:r w:rsidRPr="005F04FC">
              <w:rPr>
                <w:rFonts w:cs="Calibri"/>
                <w:color w:val="000000"/>
                <w:sz w:val="16"/>
                <w:szCs w:val="16"/>
              </w:rPr>
              <w:t>163,18</w:t>
            </w:r>
          </w:p>
        </w:tc>
        <w:tc>
          <w:tcPr>
            <w:tcW w:w="431" w:type="pct"/>
            <w:shd w:val="clear" w:color="auto" w:fill="auto"/>
            <w:noWrap/>
            <w:vAlign w:val="center"/>
          </w:tcPr>
          <w:p w14:paraId="5C28AB45" w14:textId="77777777" w:rsidR="00307E3B" w:rsidRPr="005F04FC" w:rsidRDefault="00307E3B" w:rsidP="005F04FC">
            <w:pPr>
              <w:jc w:val="center"/>
              <w:rPr>
                <w:sz w:val="16"/>
                <w:lang w:eastAsia="en-US"/>
              </w:rPr>
            </w:pPr>
            <w:r w:rsidRPr="005F04FC">
              <w:rPr>
                <w:rFonts w:cs="Calibri"/>
                <w:color w:val="000000"/>
                <w:sz w:val="16"/>
                <w:szCs w:val="16"/>
              </w:rPr>
              <w:t>156,30</w:t>
            </w:r>
          </w:p>
        </w:tc>
        <w:tc>
          <w:tcPr>
            <w:tcW w:w="431" w:type="pct"/>
            <w:shd w:val="clear" w:color="auto" w:fill="auto"/>
            <w:noWrap/>
            <w:vAlign w:val="center"/>
          </w:tcPr>
          <w:p w14:paraId="1F3F66B0" w14:textId="77777777" w:rsidR="00307E3B" w:rsidRPr="005F04FC" w:rsidRDefault="00307E3B" w:rsidP="005F04FC">
            <w:pPr>
              <w:jc w:val="center"/>
              <w:rPr>
                <w:sz w:val="16"/>
                <w:lang w:eastAsia="en-US"/>
              </w:rPr>
            </w:pPr>
            <w:r w:rsidRPr="005F04FC">
              <w:rPr>
                <w:rFonts w:cs="Calibri"/>
                <w:color w:val="000000"/>
                <w:sz w:val="16"/>
                <w:szCs w:val="16"/>
              </w:rPr>
              <w:t>144</w:t>
            </w:r>
          </w:p>
        </w:tc>
        <w:tc>
          <w:tcPr>
            <w:tcW w:w="431" w:type="pct"/>
            <w:shd w:val="clear" w:color="auto" w:fill="auto"/>
            <w:noWrap/>
            <w:vAlign w:val="center"/>
          </w:tcPr>
          <w:p w14:paraId="5E5321A3" w14:textId="77777777" w:rsidR="00307E3B" w:rsidRPr="005F04FC" w:rsidRDefault="00307E3B" w:rsidP="005F04FC">
            <w:pPr>
              <w:jc w:val="center"/>
              <w:rPr>
                <w:sz w:val="16"/>
                <w:lang w:eastAsia="en-US"/>
              </w:rPr>
            </w:pPr>
            <w:r w:rsidRPr="005F04FC">
              <w:rPr>
                <w:rFonts w:cs="Calibri"/>
                <w:color w:val="000000"/>
                <w:sz w:val="16"/>
                <w:szCs w:val="16"/>
              </w:rPr>
              <w:t>111,31</w:t>
            </w:r>
          </w:p>
        </w:tc>
        <w:tc>
          <w:tcPr>
            <w:tcW w:w="430" w:type="pct"/>
            <w:shd w:val="clear" w:color="auto" w:fill="auto"/>
            <w:noWrap/>
            <w:vAlign w:val="center"/>
          </w:tcPr>
          <w:p w14:paraId="363E50CB" w14:textId="77777777" w:rsidR="00307E3B" w:rsidRPr="005F04FC" w:rsidRDefault="00307E3B" w:rsidP="005F04FC">
            <w:pPr>
              <w:jc w:val="center"/>
              <w:rPr>
                <w:sz w:val="16"/>
                <w:lang w:eastAsia="en-US"/>
              </w:rPr>
            </w:pPr>
            <w:r w:rsidRPr="005F04FC">
              <w:rPr>
                <w:rFonts w:cs="Calibri"/>
                <w:color w:val="000000"/>
                <w:sz w:val="16"/>
                <w:szCs w:val="16"/>
              </w:rPr>
              <w:t>33,74</w:t>
            </w:r>
          </w:p>
        </w:tc>
        <w:tc>
          <w:tcPr>
            <w:tcW w:w="431" w:type="pct"/>
            <w:shd w:val="clear" w:color="auto" w:fill="auto"/>
            <w:noWrap/>
            <w:vAlign w:val="center"/>
          </w:tcPr>
          <w:p w14:paraId="0FAE48C7" w14:textId="77777777" w:rsidR="00307E3B" w:rsidRPr="005F04FC" w:rsidRDefault="00307E3B" w:rsidP="005F04FC">
            <w:pPr>
              <w:jc w:val="center"/>
              <w:rPr>
                <w:sz w:val="16"/>
                <w:lang w:eastAsia="en-US"/>
              </w:rPr>
            </w:pPr>
            <w:r w:rsidRPr="005F04FC">
              <w:rPr>
                <w:rFonts w:cs="Calibri"/>
                <w:color w:val="000000"/>
                <w:sz w:val="16"/>
                <w:szCs w:val="16"/>
              </w:rPr>
              <w:t>38,71</w:t>
            </w:r>
          </w:p>
        </w:tc>
        <w:tc>
          <w:tcPr>
            <w:tcW w:w="431" w:type="pct"/>
            <w:shd w:val="clear" w:color="auto" w:fill="auto"/>
            <w:vAlign w:val="center"/>
          </w:tcPr>
          <w:p w14:paraId="2C2AA348" w14:textId="77777777" w:rsidR="00307E3B" w:rsidRPr="005F04FC" w:rsidRDefault="00307E3B" w:rsidP="005F04FC">
            <w:pPr>
              <w:jc w:val="center"/>
              <w:rPr>
                <w:sz w:val="16"/>
                <w:lang w:eastAsia="en-US"/>
              </w:rPr>
            </w:pPr>
            <w:r w:rsidRPr="005F04FC">
              <w:rPr>
                <w:rFonts w:cs="Calibri"/>
                <w:color w:val="000000"/>
                <w:sz w:val="16"/>
                <w:szCs w:val="16"/>
              </w:rPr>
              <w:t>11</w:t>
            </w:r>
          </w:p>
        </w:tc>
        <w:tc>
          <w:tcPr>
            <w:tcW w:w="431" w:type="pct"/>
            <w:shd w:val="clear" w:color="auto" w:fill="auto"/>
            <w:noWrap/>
            <w:vAlign w:val="center"/>
          </w:tcPr>
          <w:p w14:paraId="7AC6C257" w14:textId="77777777" w:rsidR="00307E3B" w:rsidRPr="005F04FC" w:rsidRDefault="00307E3B" w:rsidP="005F04FC">
            <w:pPr>
              <w:jc w:val="center"/>
              <w:rPr>
                <w:sz w:val="16"/>
                <w:lang w:eastAsia="en-US"/>
              </w:rPr>
            </w:pPr>
            <w:r w:rsidRPr="005F04FC">
              <w:rPr>
                <w:rFonts w:cs="Calibri"/>
                <w:color w:val="000000"/>
                <w:sz w:val="16"/>
                <w:szCs w:val="16"/>
              </w:rPr>
              <w:t>11,45</w:t>
            </w:r>
          </w:p>
        </w:tc>
        <w:tc>
          <w:tcPr>
            <w:tcW w:w="431" w:type="pct"/>
            <w:shd w:val="clear" w:color="auto" w:fill="auto"/>
            <w:vAlign w:val="center"/>
          </w:tcPr>
          <w:p w14:paraId="361A84DC" w14:textId="77777777" w:rsidR="00307E3B" w:rsidRPr="005F04FC" w:rsidRDefault="00307E3B" w:rsidP="005F04FC">
            <w:pPr>
              <w:jc w:val="center"/>
              <w:rPr>
                <w:sz w:val="16"/>
              </w:rPr>
            </w:pPr>
            <w:r w:rsidRPr="005F04FC">
              <w:rPr>
                <w:rFonts w:cs="Calibri"/>
                <w:color w:val="000000"/>
                <w:sz w:val="16"/>
                <w:szCs w:val="16"/>
              </w:rPr>
              <w:t>7</w:t>
            </w:r>
          </w:p>
        </w:tc>
      </w:tr>
      <w:tr w:rsidR="00307E3B" w:rsidRPr="00036905" w14:paraId="2A027D67" w14:textId="77777777" w:rsidTr="005F04FC">
        <w:trPr>
          <w:trHeight w:val="487"/>
        </w:trPr>
        <w:tc>
          <w:tcPr>
            <w:tcW w:w="1123" w:type="pct"/>
            <w:shd w:val="clear" w:color="auto" w:fill="auto"/>
            <w:vAlign w:val="center"/>
          </w:tcPr>
          <w:p w14:paraId="4E4387BE" w14:textId="77777777" w:rsidR="00307E3B" w:rsidRPr="005F04FC" w:rsidRDefault="00307E3B" w:rsidP="005F04FC">
            <w:pPr>
              <w:jc w:val="left"/>
              <w:rPr>
                <w:sz w:val="16"/>
                <w:lang w:eastAsia="en-US"/>
              </w:rPr>
            </w:pPr>
            <w:r w:rsidRPr="005F04FC">
              <w:rPr>
                <w:rFonts w:cs="Calibri"/>
                <w:color w:val="000000"/>
                <w:sz w:val="16"/>
                <w:szCs w:val="16"/>
              </w:rPr>
              <w:t>Liczba (…) zaangażowanych</w:t>
            </w:r>
            <w:r w:rsidR="00E66B89" w:rsidRPr="005F04FC">
              <w:rPr>
                <w:rFonts w:cs="Calibri"/>
                <w:color w:val="000000"/>
                <w:sz w:val="16"/>
                <w:szCs w:val="16"/>
              </w:rPr>
              <w:t xml:space="preserve"> w </w:t>
            </w:r>
            <w:r w:rsidRPr="005F04FC">
              <w:rPr>
                <w:rFonts w:cs="Calibri"/>
                <w:color w:val="000000"/>
                <w:sz w:val="16"/>
                <w:szCs w:val="16"/>
              </w:rPr>
              <w:t>realizację NSRO 2007-2013 [osoby]</w:t>
            </w:r>
          </w:p>
        </w:tc>
        <w:tc>
          <w:tcPr>
            <w:tcW w:w="430" w:type="pct"/>
            <w:shd w:val="clear" w:color="auto" w:fill="auto"/>
            <w:vAlign w:val="center"/>
          </w:tcPr>
          <w:p w14:paraId="0FBB5360" w14:textId="77777777" w:rsidR="00307E3B" w:rsidRPr="005F04FC" w:rsidRDefault="00307E3B" w:rsidP="005F04FC">
            <w:pPr>
              <w:jc w:val="center"/>
              <w:rPr>
                <w:sz w:val="16"/>
                <w:lang w:eastAsia="en-US"/>
              </w:rPr>
            </w:pPr>
            <w:r w:rsidRPr="005F04FC">
              <w:rPr>
                <w:rFonts w:cs="Calibri"/>
                <w:color w:val="000000"/>
                <w:sz w:val="16"/>
                <w:szCs w:val="16"/>
              </w:rPr>
              <w:t>188</w:t>
            </w:r>
          </w:p>
        </w:tc>
        <w:tc>
          <w:tcPr>
            <w:tcW w:w="431" w:type="pct"/>
            <w:shd w:val="clear" w:color="auto" w:fill="auto"/>
            <w:noWrap/>
            <w:vAlign w:val="center"/>
          </w:tcPr>
          <w:p w14:paraId="207A4B11" w14:textId="77777777" w:rsidR="00307E3B" w:rsidRPr="005F04FC" w:rsidRDefault="00307E3B" w:rsidP="005F04FC">
            <w:pPr>
              <w:jc w:val="center"/>
              <w:rPr>
                <w:sz w:val="16"/>
                <w:lang w:eastAsia="en-US"/>
              </w:rPr>
            </w:pPr>
            <w:r w:rsidRPr="005F04FC">
              <w:rPr>
                <w:rFonts w:cs="Calibri"/>
                <w:color w:val="000000"/>
                <w:sz w:val="16"/>
                <w:szCs w:val="16"/>
              </w:rPr>
              <w:t>188</w:t>
            </w:r>
          </w:p>
        </w:tc>
        <w:tc>
          <w:tcPr>
            <w:tcW w:w="431" w:type="pct"/>
            <w:shd w:val="clear" w:color="auto" w:fill="auto"/>
            <w:noWrap/>
            <w:vAlign w:val="center"/>
          </w:tcPr>
          <w:p w14:paraId="0E9E7FB4" w14:textId="77777777" w:rsidR="00307E3B" w:rsidRPr="005F04FC" w:rsidRDefault="00307E3B" w:rsidP="005F04FC">
            <w:pPr>
              <w:jc w:val="center"/>
              <w:rPr>
                <w:sz w:val="16"/>
                <w:lang w:eastAsia="en-US"/>
              </w:rPr>
            </w:pPr>
            <w:r w:rsidRPr="005F04FC">
              <w:rPr>
                <w:rFonts w:cs="Calibri"/>
                <w:color w:val="000000"/>
                <w:sz w:val="16"/>
                <w:szCs w:val="16"/>
              </w:rPr>
              <w:t>155</w:t>
            </w:r>
          </w:p>
        </w:tc>
        <w:tc>
          <w:tcPr>
            <w:tcW w:w="431" w:type="pct"/>
            <w:shd w:val="clear" w:color="auto" w:fill="auto"/>
            <w:noWrap/>
            <w:vAlign w:val="center"/>
          </w:tcPr>
          <w:p w14:paraId="7195DC87" w14:textId="77777777" w:rsidR="00307E3B" w:rsidRPr="005F04FC" w:rsidRDefault="00307E3B" w:rsidP="005F04FC">
            <w:pPr>
              <w:jc w:val="center"/>
              <w:rPr>
                <w:sz w:val="16"/>
                <w:lang w:eastAsia="en-US"/>
              </w:rPr>
            </w:pPr>
            <w:r w:rsidRPr="005F04FC">
              <w:rPr>
                <w:rFonts w:cs="Calibri"/>
                <w:color w:val="000000"/>
                <w:sz w:val="16"/>
                <w:szCs w:val="16"/>
              </w:rPr>
              <w:t>178</w:t>
            </w:r>
          </w:p>
        </w:tc>
        <w:tc>
          <w:tcPr>
            <w:tcW w:w="430" w:type="pct"/>
            <w:shd w:val="clear" w:color="auto" w:fill="auto"/>
            <w:noWrap/>
            <w:vAlign w:val="center"/>
          </w:tcPr>
          <w:p w14:paraId="1D3A1377" w14:textId="77777777" w:rsidR="00307E3B" w:rsidRPr="005F04FC" w:rsidRDefault="00307E3B" w:rsidP="005F04FC">
            <w:pPr>
              <w:jc w:val="center"/>
              <w:rPr>
                <w:sz w:val="16"/>
                <w:lang w:eastAsia="en-US"/>
              </w:rPr>
            </w:pPr>
            <w:r w:rsidRPr="005F04FC">
              <w:rPr>
                <w:rFonts w:cs="Calibri"/>
                <w:color w:val="000000"/>
                <w:sz w:val="16"/>
                <w:szCs w:val="16"/>
              </w:rPr>
              <w:t>62</w:t>
            </w:r>
          </w:p>
        </w:tc>
        <w:tc>
          <w:tcPr>
            <w:tcW w:w="431" w:type="pct"/>
            <w:shd w:val="clear" w:color="auto" w:fill="auto"/>
            <w:noWrap/>
            <w:vAlign w:val="center"/>
          </w:tcPr>
          <w:p w14:paraId="58098FC6" w14:textId="77777777" w:rsidR="00307E3B" w:rsidRPr="005F04FC" w:rsidRDefault="00307E3B" w:rsidP="005F04FC">
            <w:pPr>
              <w:jc w:val="center"/>
              <w:rPr>
                <w:sz w:val="16"/>
                <w:lang w:eastAsia="en-US"/>
              </w:rPr>
            </w:pPr>
            <w:r w:rsidRPr="005F04FC">
              <w:rPr>
                <w:rFonts w:cs="Calibri"/>
                <w:color w:val="000000"/>
                <w:sz w:val="16"/>
                <w:szCs w:val="16"/>
              </w:rPr>
              <w:t>81</w:t>
            </w:r>
          </w:p>
        </w:tc>
        <w:tc>
          <w:tcPr>
            <w:tcW w:w="431" w:type="pct"/>
            <w:shd w:val="clear" w:color="auto" w:fill="auto"/>
            <w:vAlign w:val="center"/>
          </w:tcPr>
          <w:p w14:paraId="01DD8D14" w14:textId="77777777" w:rsidR="00307E3B" w:rsidRPr="005F04FC" w:rsidRDefault="00307E3B" w:rsidP="005F04FC">
            <w:pPr>
              <w:jc w:val="center"/>
              <w:rPr>
                <w:sz w:val="16"/>
                <w:lang w:eastAsia="en-US"/>
              </w:rPr>
            </w:pPr>
            <w:r w:rsidRPr="005F04FC">
              <w:rPr>
                <w:rFonts w:cs="Calibri"/>
                <w:color w:val="000000"/>
                <w:sz w:val="16"/>
                <w:szCs w:val="16"/>
              </w:rPr>
              <w:t>26</w:t>
            </w:r>
          </w:p>
        </w:tc>
        <w:tc>
          <w:tcPr>
            <w:tcW w:w="431" w:type="pct"/>
            <w:shd w:val="clear" w:color="auto" w:fill="auto"/>
            <w:noWrap/>
            <w:vAlign w:val="center"/>
          </w:tcPr>
          <w:p w14:paraId="2B79EC31" w14:textId="77777777" w:rsidR="00307E3B" w:rsidRPr="005F04FC" w:rsidRDefault="00307E3B" w:rsidP="005F04FC">
            <w:pPr>
              <w:jc w:val="center"/>
              <w:rPr>
                <w:sz w:val="16"/>
                <w:lang w:eastAsia="en-US"/>
              </w:rPr>
            </w:pPr>
            <w:r w:rsidRPr="005F04FC">
              <w:rPr>
                <w:rFonts w:cs="Calibri"/>
                <w:color w:val="000000"/>
                <w:sz w:val="16"/>
                <w:szCs w:val="16"/>
              </w:rPr>
              <w:t>37</w:t>
            </w:r>
          </w:p>
        </w:tc>
        <w:tc>
          <w:tcPr>
            <w:tcW w:w="431" w:type="pct"/>
            <w:shd w:val="clear" w:color="auto" w:fill="auto"/>
            <w:vAlign w:val="center"/>
          </w:tcPr>
          <w:p w14:paraId="7F66E8EB" w14:textId="77777777" w:rsidR="00307E3B" w:rsidRPr="005F04FC" w:rsidRDefault="00307E3B" w:rsidP="005F04FC">
            <w:pPr>
              <w:jc w:val="center"/>
              <w:rPr>
                <w:sz w:val="16"/>
              </w:rPr>
            </w:pPr>
            <w:r w:rsidRPr="005F04FC">
              <w:rPr>
                <w:rFonts w:cs="Calibri"/>
                <w:color w:val="000000"/>
                <w:sz w:val="16"/>
                <w:szCs w:val="16"/>
              </w:rPr>
              <w:t>40</w:t>
            </w:r>
          </w:p>
        </w:tc>
      </w:tr>
    </w:tbl>
    <w:p w14:paraId="3C919FFA" w14:textId="77777777" w:rsidR="00307E3B" w:rsidRPr="00E4475B" w:rsidRDefault="00307E3B" w:rsidP="0028542B">
      <w:pPr>
        <w:spacing w:before="0"/>
        <w:rPr>
          <w:rFonts w:cs="Calibri"/>
          <w:i/>
          <w:sz w:val="18"/>
          <w:szCs w:val="18"/>
        </w:rPr>
      </w:pPr>
      <w:r w:rsidRPr="00E4475B">
        <w:rPr>
          <w:rFonts w:cs="Calibri"/>
          <w:i/>
          <w:sz w:val="18"/>
          <w:szCs w:val="18"/>
        </w:rPr>
        <w:t>Źródło: opracowanie własne na podstawie ankiet „ZDOLNOŚĆ ADMINISTRACYJNA JEDNOSTEK ZAANGAŻOWANYCH WE WDRAŻANIE PROGRAMÓW OPERACYJNYCH NA LATA 2014-2020 FINANSOWANYCH</w:t>
      </w:r>
      <w:r w:rsidR="00E66B89" w:rsidRPr="00E4475B">
        <w:rPr>
          <w:rFonts w:cs="Calibri"/>
          <w:i/>
          <w:sz w:val="18"/>
          <w:szCs w:val="18"/>
        </w:rPr>
        <w:t xml:space="preserve"> Z </w:t>
      </w:r>
      <w:r w:rsidRPr="00E4475B">
        <w:rPr>
          <w:rFonts w:cs="Calibri"/>
          <w:i/>
          <w:sz w:val="18"/>
          <w:szCs w:val="18"/>
        </w:rPr>
        <w:t>EFRR, EFS</w:t>
      </w:r>
      <w:r w:rsidR="00E66B89" w:rsidRPr="00E4475B">
        <w:rPr>
          <w:rFonts w:cs="Calibri"/>
          <w:i/>
          <w:sz w:val="18"/>
          <w:szCs w:val="18"/>
        </w:rPr>
        <w:t xml:space="preserve"> I </w:t>
      </w:r>
      <w:r w:rsidRPr="00E4475B">
        <w:rPr>
          <w:rFonts w:cs="Calibri"/>
          <w:i/>
          <w:sz w:val="18"/>
          <w:szCs w:val="18"/>
        </w:rPr>
        <w:t>FS”.</w:t>
      </w:r>
    </w:p>
    <w:p w14:paraId="39B2FF34" w14:textId="77777777" w:rsidR="000057DA" w:rsidRDefault="00526AA8" w:rsidP="00526AA8">
      <w:pPr>
        <w:rPr>
          <w:szCs w:val="20"/>
        </w:rPr>
      </w:pPr>
      <w:r>
        <w:t xml:space="preserve">Czynnikiem wpływającym na sprawne wdrażanie </w:t>
      </w:r>
      <w:r w:rsidR="00506A65">
        <w:t>P</w:t>
      </w:r>
      <w:r>
        <w:t xml:space="preserve">rogramu jest także </w:t>
      </w:r>
      <w:r w:rsidRPr="008B706B">
        <w:rPr>
          <w:b/>
        </w:rPr>
        <w:t>rotacja kadr</w:t>
      </w:r>
      <w:r>
        <w:t>.</w:t>
      </w:r>
      <w:r w:rsidR="00E66B89">
        <w:t xml:space="preserve"> Z </w:t>
      </w:r>
      <w:r>
        <w:rPr>
          <w:szCs w:val="20"/>
        </w:rPr>
        <w:t xml:space="preserve">badań jakościowych wynika, </w:t>
      </w:r>
      <w:r w:rsidRPr="00506A65">
        <w:rPr>
          <w:szCs w:val="20"/>
        </w:rPr>
        <w:t xml:space="preserve">że </w:t>
      </w:r>
      <w:r w:rsidRPr="008B706B">
        <w:rPr>
          <w:szCs w:val="20"/>
        </w:rPr>
        <w:t>system realizacji RPO WZ 2014-2020 boryka się</w:t>
      </w:r>
      <w:r w:rsidR="00E66B89">
        <w:rPr>
          <w:szCs w:val="20"/>
        </w:rPr>
        <w:t xml:space="preserve"> z </w:t>
      </w:r>
      <w:r w:rsidRPr="008B706B">
        <w:rPr>
          <w:szCs w:val="20"/>
        </w:rPr>
        <w:t>dużą rotacją kadr</w:t>
      </w:r>
      <w:r w:rsidR="00E66B89">
        <w:rPr>
          <w:szCs w:val="20"/>
        </w:rPr>
        <w:t xml:space="preserve"> w </w:t>
      </w:r>
      <w:r w:rsidRPr="008B706B">
        <w:rPr>
          <w:szCs w:val="20"/>
        </w:rPr>
        <w:t>jednostkach wdrożeniowych</w:t>
      </w:r>
      <w:r w:rsidRPr="00506A65">
        <w:rPr>
          <w:szCs w:val="20"/>
        </w:rPr>
        <w:t>.</w:t>
      </w:r>
      <w:r>
        <w:rPr>
          <w:szCs w:val="20"/>
        </w:rPr>
        <w:t xml:space="preserve"> </w:t>
      </w:r>
      <w:r w:rsidR="002A73C8">
        <w:rPr>
          <w:szCs w:val="20"/>
        </w:rPr>
        <w:t>Wyraźnie widać to zjawisko biorąc pod uwagę wyniki ankiet</w:t>
      </w:r>
      <w:r w:rsidR="00E66B89">
        <w:rPr>
          <w:szCs w:val="20"/>
        </w:rPr>
        <w:t xml:space="preserve"> o </w:t>
      </w:r>
      <w:r w:rsidR="002A73C8">
        <w:rPr>
          <w:szCs w:val="20"/>
        </w:rPr>
        <w:t>potencjale instytucjonalnym.</w:t>
      </w:r>
    </w:p>
    <w:p w14:paraId="22F54F60" w14:textId="77777777" w:rsidR="00036905" w:rsidRDefault="00036905" w:rsidP="00024F00">
      <w:pPr>
        <w:pStyle w:val="Legenda"/>
        <w:spacing w:after="0"/>
      </w:pPr>
      <w:bookmarkStart w:id="402" w:name="_Toc8824289"/>
      <w:r>
        <w:t xml:space="preserve">Tabela </w:t>
      </w:r>
      <w:r w:rsidR="006E34DC">
        <w:fldChar w:fldCharType="begin"/>
      </w:r>
      <w:r w:rsidR="006E34DC">
        <w:instrText xml:space="preserve"> SEQ Tabela \* ARABIC </w:instrText>
      </w:r>
      <w:r w:rsidR="006E34DC">
        <w:fldChar w:fldCharType="separate"/>
      </w:r>
      <w:r w:rsidR="00763345">
        <w:rPr>
          <w:noProof/>
        </w:rPr>
        <w:t>178</w:t>
      </w:r>
      <w:r w:rsidR="006E34DC">
        <w:fldChar w:fldCharType="end"/>
      </w:r>
      <w:r>
        <w:t xml:space="preserve"> Dane dot. rotacji pracowników</w:t>
      </w:r>
      <w:r w:rsidR="00E66B89">
        <w:t xml:space="preserve"> w </w:t>
      </w:r>
      <w:r>
        <w:t>IZ RPO WZ</w:t>
      </w:r>
      <w:r w:rsidR="00E66B89">
        <w:t xml:space="preserve"> w </w:t>
      </w:r>
      <w:r>
        <w:t>latach 2014-2018</w:t>
      </w:r>
      <w:bookmarkEnd w:id="402"/>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813"/>
        <w:gridCol w:w="815"/>
        <w:gridCol w:w="815"/>
        <w:gridCol w:w="815"/>
        <w:gridCol w:w="813"/>
        <w:gridCol w:w="815"/>
        <w:gridCol w:w="815"/>
        <w:gridCol w:w="815"/>
        <w:gridCol w:w="815"/>
      </w:tblGrid>
      <w:tr w:rsidR="00036905" w:rsidRPr="00036905" w14:paraId="6BD379F4" w14:textId="77777777" w:rsidTr="00E6171D">
        <w:trPr>
          <w:trHeight w:val="287"/>
          <w:tblHeader/>
        </w:trPr>
        <w:tc>
          <w:tcPr>
            <w:tcW w:w="1123" w:type="pct"/>
            <w:shd w:val="clear" w:color="auto" w:fill="DEEAF6" w:themeFill="accent1" w:themeFillTint="33"/>
            <w:vAlign w:val="center"/>
          </w:tcPr>
          <w:p w14:paraId="37F2D56A" w14:textId="77777777" w:rsidR="00036905" w:rsidRPr="005F04FC" w:rsidRDefault="00934A8D" w:rsidP="005F04FC">
            <w:pPr>
              <w:jc w:val="center"/>
              <w:rPr>
                <w:sz w:val="16"/>
                <w:lang w:eastAsia="en-US"/>
              </w:rPr>
            </w:pPr>
            <w:r w:rsidRPr="005F04FC">
              <w:rPr>
                <w:sz w:val="16"/>
                <w:lang w:eastAsia="en-US"/>
              </w:rPr>
              <w:t>Półrocze -&gt;</w:t>
            </w:r>
          </w:p>
        </w:tc>
        <w:tc>
          <w:tcPr>
            <w:tcW w:w="430" w:type="pct"/>
            <w:shd w:val="clear" w:color="auto" w:fill="DEEAF6" w:themeFill="accent1" w:themeFillTint="33"/>
            <w:vAlign w:val="center"/>
          </w:tcPr>
          <w:p w14:paraId="79F21E8B" w14:textId="77777777" w:rsidR="00036905" w:rsidRPr="005F04FC" w:rsidRDefault="00036905" w:rsidP="005F04FC">
            <w:pPr>
              <w:jc w:val="center"/>
              <w:rPr>
                <w:sz w:val="16"/>
                <w:lang w:eastAsia="en-US"/>
              </w:rPr>
            </w:pPr>
            <w:r w:rsidRPr="005F04FC">
              <w:rPr>
                <w:rFonts w:cs="Calibri"/>
                <w:sz w:val="16"/>
                <w:szCs w:val="16"/>
              </w:rPr>
              <w:t>I 2014</w:t>
            </w:r>
          </w:p>
        </w:tc>
        <w:tc>
          <w:tcPr>
            <w:tcW w:w="431" w:type="pct"/>
            <w:shd w:val="clear" w:color="auto" w:fill="DEEAF6" w:themeFill="accent1" w:themeFillTint="33"/>
            <w:noWrap/>
            <w:vAlign w:val="center"/>
          </w:tcPr>
          <w:p w14:paraId="588AAEEF" w14:textId="77777777" w:rsidR="00036905" w:rsidRPr="005F04FC" w:rsidRDefault="00036905" w:rsidP="005F04FC">
            <w:pPr>
              <w:jc w:val="center"/>
              <w:rPr>
                <w:sz w:val="16"/>
                <w:lang w:eastAsia="en-US"/>
              </w:rPr>
            </w:pPr>
            <w:r w:rsidRPr="005F04FC">
              <w:rPr>
                <w:rFonts w:cs="Calibri"/>
                <w:sz w:val="16"/>
                <w:szCs w:val="16"/>
              </w:rPr>
              <w:t>II 2014</w:t>
            </w:r>
          </w:p>
        </w:tc>
        <w:tc>
          <w:tcPr>
            <w:tcW w:w="431" w:type="pct"/>
            <w:shd w:val="clear" w:color="auto" w:fill="DEEAF6" w:themeFill="accent1" w:themeFillTint="33"/>
            <w:noWrap/>
            <w:vAlign w:val="center"/>
          </w:tcPr>
          <w:p w14:paraId="5B65EB27" w14:textId="77777777" w:rsidR="00036905" w:rsidRPr="005F04FC" w:rsidRDefault="00036905" w:rsidP="005F04FC">
            <w:pPr>
              <w:jc w:val="center"/>
              <w:rPr>
                <w:sz w:val="16"/>
                <w:lang w:eastAsia="en-US"/>
              </w:rPr>
            </w:pPr>
            <w:r w:rsidRPr="005F04FC">
              <w:rPr>
                <w:rFonts w:cs="Calibri"/>
                <w:sz w:val="16"/>
                <w:szCs w:val="16"/>
              </w:rPr>
              <w:t>I 2015</w:t>
            </w:r>
          </w:p>
        </w:tc>
        <w:tc>
          <w:tcPr>
            <w:tcW w:w="431" w:type="pct"/>
            <w:shd w:val="clear" w:color="auto" w:fill="DEEAF6" w:themeFill="accent1" w:themeFillTint="33"/>
            <w:noWrap/>
            <w:vAlign w:val="center"/>
          </w:tcPr>
          <w:p w14:paraId="6FFB1952" w14:textId="77777777" w:rsidR="00036905" w:rsidRPr="005F04FC" w:rsidRDefault="00036905" w:rsidP="005F04FC">
            <w:pPr>
              <w:jc w:val="center"/>
              <w:rPr>
                <w:sz w:val="16"/>
                <w:lang w:eastAsia="en-US"/>
              </w:rPr>
            </w:pPr>
            <w:r w:rsidRPr="005F04FC">
              <w:rPr>
                <w:rFonts w:cs="Calibri"/>
                <w:sz w:val="16"/>
                <w:szCs w:val="16"/>
              </w:rPr>
              <w:t>I 2016</w:t>
            </w:r>
            <w:r w:rsidRPr="005F04FC">
              <w:rPr>
                <w:rStyle w:val="Odwoanieprzypisudolnego"/>
                <w:rFonts w:cs="Calibri"/>
                <w:sz w:val="16"/>
                <w:szCs w:val="16"/>
              </w:rPr>
              <w:footnoteReference w:id="176"/>
            </w:r>
          </w:p>
        </w:tc>
        <w:tc>
          <w:tcPr>
            <w:tcW w:w="430" w:type="pct"/>
            <w:shd w:val="clear" w:color="auto" w:fill="DEEAF6" w:themeFill="accent1" w:themeFillTint="33"/>
            <w:noWrap/>
            <w:vAlign w:val="center"/>
          </w:tcPr>
          <w:p w14:paraId="0F075D0C" w14:textId="77777777" w:rsidR="00036905" w:rsidRPr="005F04FC" w:rsidRDefault="00036905" w:rsidP="005F04FC">
            <w:pPr>
              <w:jc w:val="center"/>
              <w:rPr>
                <w:sz w:val="16"/>
                <w:lang w:eastAsia="en-US"/>
              </w:rPr>
            </w:pPr>
            <w:r w:rsidRPr="005F04FC">
              <w:rPr>
                <w:rFonts w:cs="Calibri"/>
                <w:sz w:val="16"/>
                <w:szCs w:val="16"/>
              </w:rPr>
              <w:t>II 2016</w:t>
            </w:r>
            <w:r w:rsidRPr="005F04FC">
              <w:rPr>
                <w:rStyle w:val="Odwoanieprzypisudolnego"/>
                <w:rFonts w:cs="Calibri"/>
                <w:sz w:val="16"/>
                <w:szCs w:val="16"/>
              </w:rPr>
              <w:footnoteReference w:id="177"/>
            </w:r>
          </w:p>
        </w:tc>
        <w:tc>
          <w:tcPr>
            <w:tcW w:w="431" w:type="pct"/>
            <w:shd w:val="clear" w:color="auto" w:fill="DEEAF6" w:themeFill="accent1" w:themeFillTint="33"/>
            <w:noWrap/>
            <w:vAlign w:val="center"/>
          </w:tcPr>
          <w:p w14:paraId="28894B62" w14:textId="77777777" w:rsidR="00036905" w:rsidRPr="005F04FC" w:rsidRDefault="00036905" w:rsidP="005F04FC">
            <w:pPr>
              <w:jc w:val="center"/>
              <w:rPr>
                <w:sz w:val="16"/>
                <w:lang w:eastAsia="en-US"/>
              </w:rPr>
            </w:pPr>
            <w:r w:rsidRPr="005F04FC">
              <w:rPr>
                <w:rFonts w:cs="Calibri"/>
                <w:sz w:val="16"/>
                <w:szCs w:val="16"/>
              </w:rPr>
              <w:t>I 2017</w:t>
            </w:r>
            <w:r w:rsidRPr="005F04FC">
              <w:rPr>
                <w:rStyle w:val="Odwoanieprzypisudolnego"/>
                <w:rFonts w:cs="Calibri"/>
                <w:sz w:val="16"/>
                <w:szCs w:val="16"/>
              </w:rPr>
              <w:footnoteReference w:id="178"/>
            </w:r>
          </w:p>
        </w:tc>
        <w:tc>
          <w:tcPr>
            <w:tcW w:w="431" w:type="pct"/>
            <w:shd w:val="clear" w:color="auto" w:fill="DEEAF6" w:themeFill="accent1" w:themeFillTint="33"/>
            <w:vAlign w:val="center"/>
          </w:tcPr>
          <w:p w14:paraId="361DC705" w14:textId="77777777" w:rsidR="00036905" w:rsidRPr="005F04FC" w:rsidRDefault="00036905" w:rsidP="005F04FC">
            <w:pPr>
              <w:jc w:val="center"/>
              <w:rPr>
                <w:sz w:val="16"/>
                <w:lang w:eastAsia="en-US"/>
              </w:rPr>
            </w:pPr>
            <w:r w:rsidRPr="005F04FC">
              <w:rPr>
                <w:rFonts w:cs="Calibri"/>
                <w:sz w:val="16"/>
                <w:szCs w:val="16"/>
              </w:rPr>
              <w:t>II 2017</w:t>
            </w:r>
          </w:p>
        </w:tc>
        <w:tc>
          <w:tcPr>
            <w:tcW w:w="431" w:type="pct"/>
            <w:shd w:val="clear" w:color="auto" w:fill="DEEAF6" w:themeFill="accent1" w:themeFillTint="33"/>
            <w:noWrap/>
            <w:vAlign w:val="center"/>
          </w:tcPr>
          <w:p w14:paraId="2F68CB2E" w14:textId="77777777" w:rsidR="00036905" w:rsidRPr="005F04FC" w:rsidRDefault="00036905" w:rsidP="005F04FC">
            <w:pPr>
              <w:jc w:val="center"/>
              <w:rPr>
                <w:sz w:val="16"/>
                <w:lang w:eastAsia="en-US"/>
              </w:rPr>
            </w:pPr>
            <w:r w:rsidRPr="005F04FC">
              <w:rPr>
                <w:rFonts w:cs="Calibri"/>
                <w:sz w:val="16"/>
                <w:szCs w:val="16"/>
              </w:rPr>
              <w:t>I 2018</w:t>
            </w:r>
          </w:p>
        </w:tc>
        <w:tc>
          <w:tcPr>
            <w:tcW w:w="431" w:type="pct"/>
            <w:shd w:val="clear" w:color="auto" w:fill="DEEAF6" w:themeFill="accent1" w:themeFillTint="33"/>
            <w:vAlign w:val="center"/>
          </w:tcPr>
          <w:p w14:paraId="62477EAC" w14:textId="77777777" w:rsidR="00036905" w:rsidRPr="005F04FC" w:rsidRDefault="00036905" w:rsidP="005F04FC">
            <w:pPr>
              <w:jc w:val="center"/>
              <w:rPr>
                <w:sz w:val="16"/>
                <w:lang w:eastAsia="en-US"/>
              </w:rPr>
            </w:pPr>
            <w:r w:rsidRPr="005F04FC">
              <w:rPr>
                <w:rFonts w:cs="Calibri"/>
                <w:sz w:val="16"/>
                <w:szCs w:val="16"/>
              </w:rPr>
              <w:t>II 2018</w:t>
            </w:r>
          </w:p>
        </w:tc>
      </w:tr>
      <w:tr w:rsidR="00036905" w:rsidRPr="00036905" w14:paraId="51B44F78" w14:textId="77777777" w:rsidTr="005F04FC">
        <w:trPr>
          <w:trHeight w:val="287"/>
        </w:trPr>
        <w:tc>
          <w:tcPr>
            <w:tcW w:w="1123" w:type="pct"/>
            <w:shd w:val="clear" w:color="auto" w:fill="auto"/>
            <w:vAlign w:val="center"/>
            <w:hideMark/>
          </w:tcPr>
          <w:p w14:paraId="2AFA6DF1" w14:textId="77777777" w:rsidR="00036905" w:rsidRPr="005F04FC" w:rsidRDefault="00036905" w:rsidP="005F04FC">
            <w:pPr>
              <w:jc w:val="left"/>
              <w:rPr>
                <w:sz w:val="16"/>
                <w:lang w:eastAsia="en-US"/>
              </w:rPr>
            </w:pPr>
            <w:r w:rsidRPr="005F04FC">
              <w:rPr>
                <w:sz w:val="16"/>
                <w:lang w:eastAsia="en-US"/>
              </w:rPr>
              <w:t>liczba osób, które zaprzestały pracy</w:t>
            </w:r>
          </w:p>
        </w:tc>
        <w:tc>
          <w:tcPr>
            <w:tcW w:w="430" w:type="pct"/>
            <w:shd w:val="clear" w:color="auto" w:fill="auto"/>
          </w:tcPr>
          <w:p w14:paraId="64588A65" w14:textId="77777777" w:rsidR="00036905" w:rsidRPr="005F04FC" w:rsidRDefault="00036905" w:rsidP="005F04FC">
            <w:pPr>
              <w:jc w:val="center"/>
              <w:rPr>
                <w:sz w:val="16"/>
                <w:lang w:eastAsia="en-US"/>
              </w:rPr>
            </w:pPr>
            <w:r w:rsidRPr="005F04FC">
              <w:rPr>
                <w:sz w:val="16"/>
                <w:lang w:eastAsia="en-US"/>
              </w:rPr>
              <w:t>6</w:t>
            </w:r>
          </w:p>
        </w:tc>
        <w:tc>
          <w:tcPr>
            <w:tcW w:w="431" w:type="pct"/>
            <w:shd w:val="clear" w:color="auto" w:fill="auto"/>
            <w:noWrap/>
          </w:tcPr>
          <w:p w14:paraId="33C22859" w14:textId="77777777" w:rsidR="00036905" w:rsidRPr="005F04FC" w:rsidRDefault="00036905" w:rsidP="005F04FC">
            <w:pPr>
              <w:jc w:val="center"/>
              <w:rPr>
                <w:sz w:val="16"/>
                <w:lang w:eastAsia="en-US"/>
              </w:rPr>
            </w:pPr>
            <w:r w:rsidRPr="005F04FC">
              <w:rPr>
                <w:sz w:val="16"/>
                <w:lang w:eastAsia="en-US"/>
              </w:rPr>
              <w:t>3</w:t>
            </w:r>
          </w:p>
        </w:tc>
        <w:tc>
          <w:tcPr>
            <w:tcW w:w="431" w:type="pct"/>
            <w:shd w:val="clear" w:color="auto" w:fill="auto"/>
            <w:noWrap/>
          </w:tcPr>
          <w:p w14:paraId="3A92A823" w14:textId="77777777" w:rsidR="00036905" w:rsidRPr="005F04FC" w:rsidRDefault="001B2DBF" w:rsidP="005F04FC">
            <w:pPr>
              <w:jc w:val="center"/>
              <w:rPr>
                <w:sz w:val="16"/>
                <w:lang w:eastAsia="en-US"/>
              </w:rPr>
            </w:pPr>
            <w:r w:rsidRPr="005F04FC">
              <w:rPr>
                <w:sz w:val="16"/>
                <w:lang w:eastAsia="en-US"/>
              </w:rPr>
              <w:t>2</w:t>
            </w:r>
          </w:p>
        </w:tc>
        <w:tc>
          <w:tcPr>
            <w:tcW w:w="431" w:type="pct"/>
            <w:shd w:val="clear" w:color="auto" w:fill="auto"/>
            <w:noWrap/>
          </w:tcPr>
          <w:p w14:paraId="27491D55" w14:textId="77777777" w:rsidR="00036905" w:rsidRPr="005F04FC" w:rsidRDefault="00C9271A" w:rsidP="005F04FC">
            <w:pPr>
              <w:jc w:val="center"/>
              <w:rPr>
                <w:sz w:val="16"/>
                <w:lang w:eastAsia="en-US"/>
              </w:rPr>
            </w:pPr>
            <w:r w:rsidRPr="005F04FC">
              <w:rPr>
                <w:sz w:val="16"/>
                <w:lang w:eastAsia="en-US"/>
              </w:rPr>
              <w:t>nd</w:t>
            </w:r>
          </w:p>
        </w:tc>
        <w:tc>
          <w:tcPr>
            <w:tcW w:w="430" w:type="pct"/>
            <w:shd w:val="clear" w:color="auto" w:fill="auto"/>
            <w:noWrap/>
          </w:tcPr>
          <w:p w14:paraId="3AF71ED2" w14:textId="77777777" w:rsidR="00036905" w:rsidRPr="005F04FC" w:rsidRDefault="00036905" w:rsidP="005F04FC">
            <w:pPr>
              <w:jc w:val="center"/>
              <w:rPr>
                <w:sz w:val="16"/>
                <w:lang w:eastAsia="en-US"/>
              </w:rPr>
            </w:pPr>
            <w:r w:rsidRPr="005F04FC">
              <w:rPr>
                <w:sz w:val="16"/>
                <w:lang w:eastAsia="en-US"/>
              </w:rPr>
              <w:t>6</w:t>
            </w:r>
          </w:p>
        </w:tc>
        <w:tc>
          <w:tcPr>
            <w:tcW w:w="431" w:type="pct"/>
            <w:shd w:val="clear" w:color="auto" w:fill="auto"/>
            <w:noWrap/>
          </w:tcPr>
          <w:p w14:paraId="35662912" w14:textId="77777777" w:rsidR="00036905" w:rsidRPr="005F04FC" w:rsidRDefault="00036905" w:rsidP="005F04FC">
            <w:pPr>
              <w:jc w:val="center"/>
              <w:rPr>
                <w:sz w:val="16"/>
                <w:lang w:eastAsia="en-US"/>
              </w:rPr>
            </w:pPr>
            <w:r w:rsidRPr="005F04FC">
              <w:rPr>
                <w:sz w:val="16"/>
                <w:lang w:eastAsia="en-US"/>
              </w:rPr>
              <w:t>5</w:t>
            </w:r>
          </w:p>
        </w:tc>
        <w:tc>
          <w:tcPr>
            <w:tcW w:w="431" w:type="pct"/>
            <w:shd w:val="clear" w:color="auto" w:fill="auto"/>
          </w:tcPr>
          <w:p w14:paraId="2B4255A8" w14:textId="77777777" w:rsidR="00036905" w:rsidRPr="005F04FC" w:rsidRDefault="00036905" w:rsidP="005F04FC">
            <w:pPr>
              <w:jc w:val="center"/>
              <w:rPr>
                <w:sz w:val="16"/>
                <w:lang w:eastAsia="en-US"/>
              </w:rPr>
            </w:pPr>
            <w:r w:rsidRPr="005F04FC">
              <w:rPr>
                <w:sz w:val="16"/>
                <w:lang w:eastAsia="en-US"/>
              </w:rPr>
              <w:t>21</w:t>
            </w:r>
          </w:p>
        </w:tc>
        <w:tc>
          <w:tcPr>
            <w:tcW w:w="431" w:type="pct"/>
            <w:shd w:val="clear" w:color="auto" w:fill="auto"/>
            <w:noWrap/>
          </w:tcPr>
          <w:p w14:paraId="2ADCD7C3" w14:textId="77777777" w:rsidR="00036905" w:rsidRPr="005F04FC" w:rsidRDefault="00036905" w:rsidP="005F04FC">
            <w:pPr>
              <w:jc w:val="center"/>
              <w:rPr>
                <w:sz w:val="16"/>
                <w:lang w:eastAsia="en-US"/>
              </w:rPr>
            </w:pPr>
            <w:r w:rsidRPr="005F04FC">
              <w:rPr>
                <w:sz w:val="16"/>
                <w:lang w:eastAsia="en-US"/>
              </w:rPr>
              <w:t>19</w:t>
            </w:r>
          </w:p>
        </w:tc>
        <w:tc>
          <w:tcPr>
            <w:tcW w:w="431" w:type="pct"/>
            <w:shd w:val="clear" w:color="auto" w:fill="auto"/>
          </w:tcPr>
          <w:p w14:paraId="754E237C" w14:textId="77777777" w:rsidR="00036905" w:rsidRPr="005F04FC" w:rsidRDefault="00036905" w:rsidP="005F04FC">
            <w:pPr>
              <w:jc w:val="center"/>
              <w:rPr>
                <w:sz w:val="16"/>
              </w:rPr>
            </w:pPr>
            <w:r w:rsidRPr="005F04FC">
              <w:rPr>
                <w:sz w:val="16"/>
              </w:rPr>
              <w:t>14</w:t>
            </w:r>
          </w:p>
        </w:tc>
      </w:tr>
      <w:tr w:rsidR="00036905" w:rsidRPr="00036905" w14:paraId="5AD90375" w14:textId="77777777" w:rsidTr="005F04FC">
        <w:trPr>
          <w:trHeight w:val="287"/>
        </w:trPr>
        <w:tc>
          <w:tcPr>
            <w:tcW w:w="1123" w:type="pct"/>
            <w:shd w:val="clear" w:color="auto" w:fill="auto"/>
            <w:vAlign w:val="center"/>
            <w:hideMark/>
          </w:tcPr>
          <w:p w14:paraId="0D599F84" w14:textId="77777777" w:rsidR="00036905" w:rsidRPr="005F04FC" w:rsidRDefault="00036905" w:rsidP="005F04FC">
            <w:pPr>
              <w:jc w:val="left"/>
              <w:rPr>
                <w:sz w:val="16"/>
                <w:lang w:eastAsia="en-US"/>
              </w:rPr>
            </w:pPr>
            <w:r w:rsidRPr="005F04FC">
              <w:rPr>
                <w:sz w:val="16"/>
                <w:lang w:eastAsia="en-US"/>
              </w:rPr>
              <w:t>Liczba osób, które rozpoczęły pracę</w:t>
            </w:r>
            <w:r w:rsidR="00E66B89" w:rsidRPr="005F04FC">
              <w:rPr>
                <w:sz w:val="16"/>
                <w:lang w:eastAsia="en-US"/>
              </w:rPr>
              <w:t xml:space="preserve"> w </w:t>
            </w:r>
            <w:r w:rsidRPr="005F04FC">
              <w:rPr>
                <w:sz w:val="16"/>
                <w:lang w:eastAsia="en-US"/>
              </w:rPr>
              <w:t>instytucji</w:t>
            </w:r>
          </w:p>
        </w:tc>
        <w:tc>
          <w:tcPr>
            <w:tcW w:w="430" w:type="pct"/>
            <w:shd w:val="clear" w:color="auto" w:fill="auto"/>
          </w:tcPr>
          <w:p w14:paraId="4249342A" w14:textId="77777777" w:rsidR="00036905" w:rsidRPr="005F04FC" w:rsidRDefault="00036905" w:rsidP="005F04FC">
            <w:pPr>
              <w:jc w:val="center"/>
              <w:rPr>
                <w:sz w:val="16"/>
                <w:lang w:eastAsia="en-US"/>
              </w:rPr>
            </w:pPr>
            <w:r w:rsidRPr="005F04FC">
              <w:rPr>
                <w:sz w:val="16"/>
                <w:lang w:eastAsia="en-US"/>
              </w:rPr>
              <w:t>4</w:t>
            </w:r>
          </w:p>
        </w:tc>
        <w:tc>
          <w:tcPr>
            <w:tcW w:w="431" w:type="pct"/>
            <w:shd w:val="clear" w:color="auto" w:fill="auto"/>
            <w:noWrap/>
          </w:tcPr>
          <w:p w14:paraId="0D63055B" w14:textId="77777777" w:rsidR="00036905" w:rsidRPr="005F04FC" w:rsidRDefault="00036905" w:rsidP="005F04FC">
            <w:pPr>
              <w:jc w:val="center"/>
              <w:rPr>
                <w:sz w:val="16"/>
                <w:lang w:eastAsia="en-US"/>
              </w:rPr>
            </w:pPr>
            <w:r w:rsidRPr="005F04FC">
              <w:rPr>
                <w:sz w:val="16"/>
                <w:lang w:eastAsia="en-US"/>
              </w:rPr>
              <w:t>6</w:t>
            </w:r>
          </w:p>
        </w:tc>
        <w:tc>
          <w:tcPr>
            <w:tcW w:w="431" w:type="pct"/>
            <w:shd w:val="clear" w:color="auto" w:fill="auto"/>
            <w:noWrap/>
          </w:tcPr>
          <w:p w14:paraId="2AD11C39" w14:textId="77777777" w:rsidR="00036905" w:rsidRPr="005F04FC" w:rsidRDefault="001B2DBF" w:rsidP="005F04FC">
            <w:pPr>
              <w:jc w:val="center"/>
              <w:rPr>
                <w:sz w:val="16"/>
                <w:lang w:eastAsia="en-US"/>
              </w:rPr>
            </w:pPr>
            <w:r w:rsidRPr="005F04FC">
              <w:rPr>
                <w:sz w:val="16"/>
                <w:lang w:eastAsia="en-US"/>
              </w:rPr>
              <w:t>5</w:t>
            </w:r>
          </w:p>
        </w:tc>
        <w:tc>
          <w:tcPr>
            <w:tcW w:w="431" w:type="pct"/>
            <w:shd w:val="clear" w:color="auto" w:fill="auto"/>
            <w:noWrap/>
          </w:tcPr>
          <w:p w14:paraId="333477F8" w14:textId="77777777" w:rsidR="00036905" w:rsidRPr="005F04FC" w:rsidRDefault="00C9271A" w:rsidP="005F04FC">
            <w:pPr>
              <w:jc w:val="center"/>
              <w:rPr>
                <w:sz w:val="16"/>
                <w:lang w:eastAsia="en-US"/>
              </w:rPr>
            </w:pPr>
            <w:r w:rsidRPr="005F04FC">
              <w:rPr>
                <w:sz w:val="16"/>
                <w:lang w:eastAsia="en-US"/>
              </w:rPr>
              <w:t>nd</w:t>
            </w:r>
          </w:p>
        </w:tc>
        <w:tc>
          <w:tcPr>
            <w:tcW w:w="430" w:type="pct"/>
            <w:shd w:val="clear" w:color="auto" w:fill="auto"/>
            <w:noWrap/>
          </w:tcPr>
          <w:p w14:paraId="7EEB46F2" w14:textId="77777777" w:rsidR="00036905" w:rsidRPr="005F04FC" w:rsidRDefault="00036905" w:rsidP="005F04FC">
            <w:pPr>
              <w:jc w:val="center"/>
              <w:rPr>
                <w:sz w:val="16"/>
                <w:lang w:eastAsia="en-US"/>
              </w:rPr>
            </w:pPr>
            <w:r w:rsidRPr="005F04FC">
              <w:rPr>
                <w:sz w:val="16"/>
                <w:lang w:eastAsia="en-US"/>
              </w:rPr>
              <w:t>11</w:t>
            </w:r>
          </w:p>
        </w:tc>
        <w:tc>
          <w:tcPr>
            <w:tcW w:w="431" w:type="pct"/>
            <w:shd w:val="clear" w:color="auto" w:fill="auto"/>
            <w:noWrap/>
          </w:tcPr>
          <w:p w14:paraId="230DBAA9" w14:textId="77777777" w:rsidR="00036905" w:rsidRPr="005F04FC" w:rsidRDefault="00036905" w:rsidP="005F04FC">
            <w:pPr>
              <w:jc w:val="center"/>
              <w:rPr>
                <w:sz w:val="16"/>
                <w:lang w:eastAsia="en-US"/>
              </w:rPr>
            </w:pPr>
            <w:r w:rsidRPr="005F04FC">
              <w:rPr>
                <w:sz w:val="16"/>
                <w:lang w:eastAsia="en-US"/>
              </w:rPr>
              <w:t>12</w:t>
            </w:r>
          </w:p>
        </w:tc>
        <w:tc>
          <w:tcPr>
            <w:tcW w:w="431" w:type="pct"/>
            <w:shd w:val="clear" w:color="auto" w:fill="auto"/>
          </w:tcPr>
          <w:p w14:paraId="60BEABE6" w14:textId="77777777" w:rsidR="00036905" w:rsidRPr="005F04FC" w:rsidRDefault="00036905" w:rsidP="005F04FC">
            <w:pPr>
              <w:jc w:val="center"/>
              <w:rPr>
                <w:sz w:val="16"/>
                <w:lang w:eastAsia="en-US"/>
              </w:rPr>
            </w:pPr>
            <w:r w:rsidRPr="005F04FC">
              <w:rPr>
                <w:sz w:val="16"/>
                <w:lang w:eastAsia="en-US"/>
              </w:rPr>
              <w:t>41</w:t>
            </w:r>
          </w:p>
        </w:tc>
        <w:tc>
          <w:tcPr>
            <w:tcW w:w="431" w:type="pct"/>
            <w:shd w:val="clear" w:color="auto" w:fill="auto"/>
            <w:noWrap/>
          </w:tcPr>
          <w:p w14:paraId="0DD593D7" w14:textId="77777777" w:rsidR="00036905" w:rsidRPr="005F04FC" w:rsidRDefault="00036905" w:rsidP="005F04FC">
            <w:pPr>
              <w:jc w:val="center"/>
              <w:rPr>
                <w:sz w:val="16"/>
                <w:lang w:eastAsia="en-US"/>
              </w:rPr>
            </w:pPr>
            <w:r w:rsidRPr="005F04FC">
              <w:rPr>
                <w:sz w:val="16"/>
                <w:lang w:eastAsia="en-US"/>
              </w:rPr>
              <w:t>18</w:t>
            </w:r>
          </w:p>
        </w:tc>
        <w:tc>
          <w:tcPr>
            <w:tcW w:w="431" w:type="pct"/>
            <w:shd w:val="clear" w:color="auto" w:fill="auto"/>
          </w:tcPr>
          <w:p w14:paraId="55954731" w14:textId="77777777" w:rsidR="00036905" w:rsidRPr="005F04FC" w:rsidRDefault="00036905" w:rsidP="005F04FC">
            <w:pPr>
              <w:jc w:val="center"/>
              <w:rPr>
                <w:sz w:val="16"/>
              </w:rPr>
            </w:pPr>
            <w:r w:rsidRPr="005F04FC">
              <w:rPr>
                <w:sz w:val="16"/>
              </w:rPr>
              <w:t>23</w:t>
            </w:r>
          </w:p>
        </w:tc>
      </w:tr>
      <w:tr w:rsidR="00036905" w:rsidRPr="00036905" w14:paraId="309ACADF" w14:textId="77777777" w:rsidTr="005F04FC">
        <w:trPr>
          <w:trHeight w:val="487"/>
        </w:trPr>
        <w:tc>
          <w:tcPr>
            <w:tcW w:w="1123" w:type="pct"/>
            <w:shd w:val="clear" w:color="auto" w:fill="auto"/>
            <w:vAlign w:val="center"/>
            <w:hideMark/>
          </w:tcPr>
          <w:p w14:paraId="5266857B" w14:textId="77777777" w:rsidR="00036905" w:rsidRPr="005F04FC" w:rsidRDefault="00036905" w:rsidP="005F04FC">
            <w:pPr>
              <w:jc w:val="left"/>
              <w:rPr>
                <w:sz w:val="16"/>
                <w:lang w:eastAsia="en-US"/>
              </w:rPr>
            </w:pPr>
            <w:r w:rsidRPr="005F04FC">
              <w:rPr>
                <w:sz w:val="16"/>
                <w:lang w:eastAsia="en-US"/>
              </w:rPr>
              <w:t>Zaspokojenie potrzeb kadrowych - liczba etatów, jaka jest niezbędna do prawidłowej obsługi środków strukturalnych</w:t>
            </w:r>
            <w:r w:rsidR="00E66B89" w:rsidRPr="005F04FC">
              <w:rPr>
                <w:sz w:val="16"/>
                <w:lang w:eastAsia="en-US"/>
              </w:rPr>
              <w:t xml:space="preserve"> w </w:t>
            </w:r>
            <w:r w:rsidRPr="005F04FC">
              <w:rPr>
                <w:sz w:val="16"/>
                <w:lang w:eastAsia="en-US"/>
              </w:rPr>
              <w:t>instytucji; dotyczy perspektywy finansowej 2014-2020</w:t>
            </w:r>
          </w:p>
        </w:tc>
        <w:tc>
          <w:tcPr>
            <w:tcW w:w="430" w:type="pct"/>
            <w:shd w:val="clear" w:color="auto" w:fill="auto"/>
          </w:tcPr>
          <w:p w14:paraId="421BA1B1" w14:textId="77777777" w:rsidR="00036905" w:rsidRPr="005F04FC" w:rsidRDefault="00036905" w:rsidP="005F04FC">
            <w:pPr>
              <w:jc w:val="center"/>
              <w:rPr>
                <w:sz w:val="16"/>
                <w:lang w:eastAsia="en-US"/>
              </w:rPr>
            </w:pPr>
            <w:r w:rsidRPr="005F04FC">
              <w:rPr>
                <w:sz w:val="16"/>
                <w:lang w:eastAsia="en-US"/>
              </w:rPr>
              <w:t>0</w:t>
            </w:r>
          </w:p>
        </w:tc>
        <w:tc>
          <w:tcPr>
            <w:tcW w:w="431" w:type="pct"/>
            <w:shd w:val="clear" w:color="auto" w:fill="auto"/>
            <w:noWrap/>
          </w:tcPr>
          <w:p w14:paraId="3916CD41" w14:textId="77777777" w:rsidR="00036905" w:rsidRPr="005F04FC" w:rsidRDefault="00C9271A" w:rsidP="005F04FC">
            <w:pPr>
              <w:jc w:val="center"/>
              <w:rPr>
                <w:sz w:val="16"/>
                <w:lang w:eastAsia="en-US"/>
              </w:rPr>
            </w:pPr>
            <w:r w:rsidRPr="005F04FC">
              <w:rPr>
                <w:sz w:val="16"/>
                <w:lang w:eastAsia="en-US"/>
              </w:rPr>
              <w:t>nd</w:t>
            </w:r>
          </w:p>
        </w:tc>
        <w:tc>
          <w:tcPr>
            <w:tcW w:w="431" w:type="pct"/>
            <w:shd w:val="clear" w:color="auto" w:fill="auto"/>
            <w:noWrap/>
          </w:tcPr>
          <w:p w14:paraId="3ACD1B2B" w14:textId="77777777" w:rsidR="00036905" w:rsidRPr="005F04FC" w:rsidRDefault="00C9271A" w:rsidP="005F04FC">
            <w:pPr>
              <w:jc w:val="center"/>
              <w:rPr>
                <w:sz w:val="16"/>
                <w:lang w:eastAsia="en-US"/>
              </w:rPr>
            </w:pPr>
            <w:r w:rsidRPr="005F04FC">
              <w:rPr>
                <w:sz w:val="16"/>
                <w:lang w:eastAsia="en-US"/>
              </w:rPr>
              <w:t>nd</w:t>
            </w:r>
          </w:p>
        </w:tc>
        <w:tc>
          <w:tcPr>
            <w:tcW w:w="431" w:type="pct"/>
            <w:shd w:val="clear" w:color="auto" w:fill="auto"/>
            <w:noWrap/>
          </w:tcPr>
          <w:p w14:paraId="69981151" w14:textId="77777777" w:rsidR="00036905" w:rsidRPr="005F04FC" w:rsidRDefault="00036905" w:rsidP="005F04FC">
            <w:pPr>
              <w:jc w:val="center"/>
              <w:rPr>
                <w:sz w:val="16"/>
                <w:lang w:eastAsia="en-US"/>
              </w:rPr>
            </w:pPr>
            <w:r w:rsidRPr="005F04FC">
              <w:rPr>
                <w:sz w:val="16"/>
                <w:lang w:eastAsia="en-US"/>
              </w:rPr>
              <w:t>0</w:t>
            </w:r>
          </w:p>
        </w:tc>
        <w:tc>
          <w:tcPr>
            <w:tcW w:w="430" w:type="pct"/>
            <w:shd w:val="clear" w:color="auto" w:fill="auto"/>
            <w:noWrap/>
          </w:tcPr>
          <w:p w14:paraId="09DD4252" w14:textId="77777777" w:rsidR="00036905" w:rsidRPr="005F04FC" w:rsidRDefault="00C9271A" w:rsidP="005F04FC">
            <w:pPr>
              <w:jc w:val="center"/>
              <w:rPr>
                <w:sz w:val="16"/>
                <w:lang w:eastAsia="en-US"/>
              </w:rPr>
            </w:pPr>
            <w:r w:rsidRPr="005F04FC">
              <w:rPr>
                <w:sz w:val="16"/>
                <w:lang w:eastAsia="en-US"/>
              </w:rPr>
              <w:t>nd</w:t>
            </w:r>
          </w:p>
        </w:tc>
        <w:tc>
          <w:tcPr>
            <w:tcW w:w="431" w:type="pct"/>
            <w:shd w:val="clear" w:color="auto" w:fill="auto"/>
            <w:noWrap/>
          </w:tcPr>
          <w:p w14:paraId="0845FADD" w14:textId="77777777" w:rsidR="00036905" w:rsidRPr="005F04FC" w:rsidRDefault="00036905" w:rsidP="005F04FC">
            <w:pPr>
              <w:jc w:val="center"/>
              <w:rPr>
                <w:sz w:val="16"/>
                <w:lang w:eastAsia="en-US"/>
              </w:rPr>
            </w:pPr>
            <w:r w:rsidRPr="005F04FC">
              <w:rPr>
                <w:sz w:val="16"/>
                <w:lang w:eastAsia="en-US"/>
              </w:rPr>
              <w:t>16</w:t>
            </w:r>
          </w:p>
        </w:tc>
        <w:tc>
          <w:tcPr>
            <w:tcW w:w="431" w:type="pct"/>
            <w:shd w:val="clear" w:color="auto" w:fill="auto"/>
          </w:tcPr>
          <w:p w14:paraId="7FB5B72A" w14:textId="77777777" w:rsidR="00036905" w:rsidRPr="005F04FC" w:rsidRDefault="00036905" w:rsidP="005F04FC">
            <w:pPr>
              <w:jc w:val="center"/>
              <w:rPr>
                <w:sz w:val="16"/>
                <w:lang w:eastAsia="en-US"/>
              </w:rPr>
            </w:pPr>
            <w:r w:rsidRPr="005F04FC">
              <w:rPr>
                <w:sz w:val="16"/>
                <w:lang w:eastAsia="en-US"/>
              </w:rPr>
              <w:t>9</w:t>
            </w:r>
          </w:p>
        </w:tc>
        <w:tc>
          <w:tcPr>
            <w:tcW w:w="431" w:type="pct"/>
            <w:shd w:val="clear" w:color="auto" w:fill="auto"/>
            <w:noWrap/>
          </w:tcPr>
          <w:p w14:paraId="7940C003" w14:textId="77777777" w:rsidR="00036905" w:rsidRPr="005F04FC" w:rsidRDefault="00036905" w:rsidP="005F04FC">
            <w:pPr>
              <w:jc w:val="center"/>
              <w:rPr>
                <w:sz w:val="16"/>
                <w:lang w:eastAsia="en-US"/>
              </w:rPr>
            </w:pPr>
            <w:r w:rsidRPr="005F04FC">
              <w:rPr>
                <w:sz w:val="16"/>
                <w:lang w:eastAsia="en-US"/>
              </w:rPr>
              <w:t>10</w:t>
            </w:r>
          </w:p>
        </w:tc>
        <w:tc>
          <w:tcPr>
            <w:tcW w:w="431" w:type="pct"/>
            <w:shd w:val="clear" w:color="auto" w:fill="auto"/>
          </w:tcPr>
          <w:p w14:paraId="441339BC" w14:textId="77777777" w:rsidR="00036905" w:rsidRPr="005F04FC" w:rsidRDefault="00036905" w:rsidP="005F04FC">
            <w:pPr>
              <w:jc w:val="center"/>
              <w:rPr>
                <w:sz w:val="16"/>
              </w:rPr>
            </w:pPr>
            <w:r w:rsidRPr="005F04FC">
              <w:rPr>
                <w:sz w:val="16"/>
              </w:rPr>
              <w:t>11</w:t>
            </w:r>
          </w:p>
        </w:tc>
      </w:tr>
    </w:tbl>
    <w:p w14:paraId="3D65A43B" w14:textId="77777777" w:rsidR="00036905" w:rsidRPr="00E4475B" w:rsidRDefault="00036905" w:rsidP="0028542B">
      <w:pPr>
        <w:spacing w:before="0"/>
        <w:rPr>
          <w:rFonts w:cs="Calibri"/>
          <w:i/>
          <w:sz w:val="18"/>
          <w:szCs w:val="18"/>
        </w:rPr>
      </w:pPr>
      <w:r w:rsidRPr="00E4475B">
        <w:rPr>
          <w:rFonts w:cs="Calibri"/>
          <w:i/>
          <w:sz w:val="18"/>
          <w:szCs w:val="18"/>
        </w:rPr>
        <w:t>Źródło: opracowanie własne na podstawie ankiet „ZDOLNOŚĆ ADMINISTRACYJNA JEDNOSTEK ZAANGAŻOWANYCH WE WDRAŻANIE PROGRAMÓW OPERACYJNYCH NA LATA 2014-2020 FINANSOWANYCH</w:t>
      </w:r>
      <w:r w:rsidR="00E66B89" w:rsidRPr="00E4475B">
        <w:rPr>
          <w:rFonts w:cs="Calibri"/>
          <w:i/>
          <w:sz w:val="18"/>
          <w:szCs w:val="18"/>
        </w:rPr>
        <w:t xml:space="preserve"> Z </w:t>
      </w:r>
      <w:r w:rsidRPr="00E4475B">
        <w:rPr>
          <w:rFonts w:cs="Calibri"/>
          <w:i/>
          <w:sz w:val="18"/>
          <w:szCs w:val="18"/>
        </w:rPr>
        <w:t>EFRR, EFS</w:t>
      </w:r>
      <w:r w:rsidR="00E66B89" w:rsidRPr="00E4475B">
        <w:rPr>
          <w:rFonts w:cs="Calibri"/>
          <w:i/>
          <w:sz w:val="18"/>
          <w:szCs w:val="18"/>
        </w:rPr>
        <w:t xml:space="preserve"> I </w:t>
      </w:r>
      <w:r w:rsidRPr="00E4475B">
        <w:rPr>
          <w:rFonts w:cs="Calibri"/>
          <w:i/>
          <w:sz w:val="18"/>
          <w:szCs w:val="18"/>
        </w:rPr>
        <w:t>FS”.</w:t>
      </w:r>
    </w:p>
    <w:p w14:paraId="0A88A732" w14:textId="0DC39685" w:rsidR="00E6171D" w:rsidRPr="001D3274" w:rsidRDefault="00526AA8" w:rsidP="001D3274">
      <w:pPr>
        <w:rPr>
          <w:szCs w:val="20"/>
        </w:rPr>
      </w:pPr>
      <w:r>
        <w:rPr>
          <w:szCs w:val="20"/>
        </w:rPr>
        <w:t>W</w:t>
      </w:r>
      <w:r w:rsidR="002A73C8">
        <w:rPr>
          <w:szCs w:val="20"/>
        </w:rPr>
        <w:t xml:space="preserve"> drugiej połowie 2017 roku</w:t>
      </w:r>
      <w:r w:rsidR="00E66B89">
        <w:rPr>
          <w:szCs w:val="20"/>
        </w:rPr>
        <w:t xml:space="preserve"> w </w:t>
      </w:r>
      <w:r w:rsidR="002A73C8">
        <w:rPr>
          <w:szCs w:val="20"/>
        </w:rPr>
        <w:t>samej IZ zaprzestało pracy 21 osób – we wcześniejszych latach liczba pracowników, którzy zaprzestali pracy nie przekroczyła 6 osób. Należy zauważyć, że już</w:t>
      </w:r>
      <w:r w:rsidR="00E66B89">
        <w:rPr>
          <w:szCs w:val="20"/>
        </w:rPr>
        <w:t xml:space="preserve"> w </w:t>
      </w:r>
      <w:r w:rsidR="002A73C8">
        <w:rPr>
          <w:szCs w:val="20"/>
        </w:rPr>
        <w:t>poprzednim okresie sprawozdawczym (obejmując</w:t>
      </w:r>
      <w:r w:rsidR="009627EC">
        <w:rPr>
          <w:szCs w:val="20"/>
        </w:rPr>
        <w:t>ym</w:t>
      </w:r>
      <w:r w:rsidR="002A73C8">
        <w:rPr>
          <w:szCs w:val="20"/>
        </w:rPr>
        <w:t xml:space="preserve"> okres IV kwartału 2016</w:t>
      </w:r>
      <w:r w:rsidR="00E66B89">
        <w:rPr>
          <w:szCs w:val="20"/>
        </w:rPr>
        <w:t xml:space="preserve"> i I </w:t>
      </w:r>
      <w:r w:rsidR="002A73C8">
        <w:rPr>
          <w:szCs w:val="20"/>
        </w:rPr>
        <w:t>kwartału 2017) wskazano na potrzebę zwiększenia potrzeb kadrowych</w:t>
      </w:r>
      <w:r w:rsidR="00E66B89">
        <w:rPr>
          <w:szCs w:val="20"/>
        </w:rPr>
        <w:t xml:space="preserve"> o </w:t>
      </w:r>
      <w:r w:rsidR="002A73C8">
        <w:rPr>
          <w:szCs w:val="20"/>
        </w:rPr>
        <w:t>16 etatów, aby móc sprawnie realizować działania</w:t>
      </w:r>
      <w:r w:rsidR="00E66B89">
        <w:rPr>
          <w:szCs w:val="20"/>
        </w:rPr>
        <w:t xml:space="preserve"> </w:t>
      </w:r>
      <w:r w:rsidR="00E66B89">
        <w:rPr>
          <w:szCs w:val="20"/>
        </w:rPr>
        <w:lastRenderedPageBreak/>
        <w:t>w </w:t>
      </w:r>
      <w:r w:rsidR="002A73C8">
        <w:rPr>
          <w:szCs w:val="20"/>
        </w:rPr>
        <w:t xml:space="preserve">perspektywie 2014-2020. </w:t>
      </w:r>
      <w:r w:rsidR="00E13442">
        <w:rPr>
          <w:szCs w:val="20"/>
        </w:rPr>
        <w:t>Z</w:t>
      </w:r>
      <w:r w:rsidR="008467BC">
        <w:rPr>
          <w:szCs w:val="20"/>
        </w:rPr>
        <w:t xml:space="preserve">e </w:t>
      </w:r>
      <w:r w:rsidR="00E13442">
        <w:rPr>
          <w:szCs w:val="20"/>
        </w:rPr>
        <w:t xml:space="preserve">względu </w:t>
      </w:r>
      <w:r w:rsidR="008467BC">
        <w:rPr>
          <w:szCs w:val="20"/>
        </w:rPr>
        <w:t xml:space="preserve">na </w:t>
      </w:r>
      <w:r w:rsidR="00E13442">
        <w:rPr>
          <w:szCs w:val="20"/>
        </w:rPr>
        <w:t>duż</w:t>
      </w:r>
      <w:r w:rsidR="008467BC">
        <w:rPr>
          <w:szCs w:val="20"/>
        </w:rPr>
        <w:t>e</w:t>
      </w:r>
      <w:r w:rsidR="00E13442">
        <w:rPr>
          <w:szCs w:val="20"/>
        </w:rPr>
        <w:t xml:space="preserve"> potrzeb</w:t>
      </w:r>
      <w:r w:rsidR="008467BC">
        <w:rPr>
          <w:szCs w:val="20"/>
        </w:rPr>
        <w:t>y</w:t>
      </w:r>
      <w:r w:rsidR="00E13442">
        <w:rPr>
          <w:szCs w:val="20"/>
        </w:rPr>
        <w:t xml:space="preserve"> kadrow</w:t>
      </w:r>
      <w:r w:rsidR="008467BC">
        <w:rPr>
          <w:szCs w:val="20"/>
        </w:rPr>
        <w:t>e</w:t>
      </w:r>
      <w:r w:rsidR="00E13442">
        <w:rPr>
          <w:szCs w:val="20"/>
        </w:rPr>
        <w:t xml:space="preserve"> oraz duż</w:t>
      </w:r>
      <w:r w:rsidR="008467BC">
        <w:rPr>
          <w:szCs w:val="20"/>
        </w:rPr>
        <w:t>ą</w:t>
      </w:r>
      <w:r w:rsidR="00E13442">
        <w:rPr>
          <w:szCs w:val="20"/>
        </w:rPr>
        <w:t xml:space="preserve"> liczb</w:t>
      </w:r>
      <w:r w:rsidR="008467BC">
        <w:rPr>
          <w:szCs w:val="20"/>
        </w:rPr>
        <w:t>ę</w:t>
      </w:r>
      <w:r w:rsidR="00E13442">
        <w:rPr>
          <w:szCs w:val="20"/>
        </w:rPr>
        <w:t xml:space="preserve"> pracowników, którzy zrezygnowali</w:t>
      </w:r>
      <w:r w:rsidR="00E66B89">
        <w:rPr>
          <w:szCs w:val="20"/>
        </w:rPr>
        <w:t xml:space="preserve"> z </w:t>
      </w:r>
      <w:r w:rsidR="00E13442">
        <w:rPr>
          <w:szCs w:val="20"/>
        </w:rPr>
        <w:t>pracy</w:t>
      </w:r>
      <w:r w:rsidR="008467BC">
        <w:rPr>
          <w:szCs w:val="20"/>
        </w:rPr>
        <w:t>,</w:t>
      </w:r>
      <w:r w:rsidR="00E66B89">
        <w:rPr>
          <w:szCs w:val="20"/>
        </w:rPr>
        <w:t xml:space="preserve"> w </w:t>
      </w:r>
      <w:r w:rsidR="00E13442">
        <w:rPr>
          <w:szCs w:val="20"/>
        </w:rPr>
        <w:t>drugim półroczu 2017 roku odnotowano bardzo wysoki odsetek nowo zatrudnionych osób – 41.</w:t>
      </w:r>
      <w:r w:rsidR="00E66B89">
        <w:rPr>
          <w:szCs w:val="20"/>
        </w:rPr>
        <w:t xml:space="preserve"> W </w:t>
      </w:r>
      <w:r w:rsidR="00FC7CE3">
        <w:rPr>
          <w:szCs w:val="20"/>
        </w:rPr>
        <w:t xml:space="preserve">pierwszej połowie 2018 </w:t>
      </w:r>
      <w:r>
        <w:rPr>
          <w:szCs w:val="20"/>
        </w:rPr>
        <w:t>roku</w:t>
      </w:r>
      <w:r w:rsidR="00E66B89">
        <w:rPr>
          <w:szCs w:val="20"/>
        </w:rPr>
        <w:t xml:space="preserve"> w </w:t>
      </w:r>
      <w:r>
        <w:rPr>
          <w:szCs w:val="20"/>
        </w:rPr>
        <w:t>ramach IZ zaprzestało pracy 19 pracowników. Braki kadrowe uzupełniono prawie</w:t>
      </w:r>
      <w:r w:rsidR="00E66B89">
        <w:rPr>
          <w:szCs w:val="20"/>
        </w:rPr>
        <w:t xml:space="preserve"> w </w:t>
      </w:r>
      <w:r>
        <w:rPr>
          <w:szCs w:val="20"/>
        </w:rPr>
        <w:t>stu procentach – pracę</w:t>
      </w:r>
      <w:r w:rsidR="00E66B89">
        <w:rPr>
          <w:szCs w:val="20"/>
        </w:rPr>
        <w:t xml:space="preserve"> w </w:t>
      </w:r>
      <w:r>
        <w:rPr>
          <w:szCs w:val="20"/>
        </w:rPr>
        <w:t>instytucji rozpoczęło 18 osób, spośród których zdecydowana większość pochodziła</w:t>
      </w:r>
      <w:r w:rsidR="00E66B89">
        <w:rPr>
          <w:szCs w:val="20"/>
        </w:rPr>
        <w:t xml:space="preserve"> z </w:t>
      </w:r>
      <w:r>
        <w:rPr>
          <w:szCs w:val="20"/>
        </w:rPr>
        <w:t>sektora prywatnego.</w:t>
      </w:r>
      <w:r w:rsidR="00E66B89">
        <w:rPr>
          <w:szCs w:val="20"/>
        </w:rPr>
        <w:t xml:space="preserve"> W </w:t>
      </w:r>
      <w:r w:rsidR="00E13442">
        <w:rPr>
          <w:szCs w:val="20"/>
        </w:rPr>
        <w:t>drugiej połowie 2018 roku zjawisko dużej rotacji kadr nadal występowało – odeszło 14 pracowników,</w:t>
      </w:r>
      <w:r w:rsidR="00E66B89">
        <w:rPr>
          <w:szCs w:val="20"/>
        </w:rPr>
        <w:t xml:space="preserve"> a </w:t>
      </w:r>
      <w:r w:rsidR="00E13442">
        <w:rPr>
          <w:szCs w:val="20"/>
        </w:rPr>
        <w:t>przyjęto 23,</w:t>
      </w:r>
      <w:r w:rsidR="00E66B89">
        <w:rPr>
          <w:szCs w:val="20"/>
        </w:rPr>
        <w:t xml:space="preserve"> z </w:t>
      </w:r>
      <w:r w:rsidR="00E13442">
        <w:rPr>
          <w:szCs w:val="20"/>
        </w:rPr>
        <w:t>czego prawie połowa pochodziła</w:t>
      </w:r>
      <w:r w:rsidR="00E66B89">
        <w:rPr>
          <w:szCs w:val="20"/>
        </w:rPr>
        <w:t xml:space="preserve"> z </w:t>
      </w:r>
      <w:r w:rsidR="00E13442">
        <w:rPr>
          <w:szCs w:val="20"/>
        </w:rPr>
        <w:t xml:space="preserve">sektora prywatnego. </w:t>
      </w:r>
      <w:r>
        <w:rPr>
          <w:szCs w:val="20"/>
        </w:rPr>
        <w:t>Wśród nowych pracowników znalazły się także osoby n</w:t>
      </w:r>
      <w:r w:rsidRPr="00197642">
        <w:rPr>
          <w:szCs w:val="20"/>
        </w:rPr>
        <w:t>ie zajmujące się tematyką funduszy europejskich</w:t>
      </w:r>
      <w:r w:rsidR="00506A65">
        <w:rPr>
          <w:szCs w:val="20"/>
        </w:rPr>
        <w:t>,</w:t>
      </w:r>
      <w:r w:rsidRPr="00197642">
        <w:rPr>
          <w:szCs w:val="20"/>
        </w:rPr>
        <w:t xml:space="preserve"> </w:t>
      </w:r>
      <w:r>
        <w:rPr>
          <w:szCs w:val="20"/>
        </w:rPr>
        <w:t>pochodzące</w:t>
      </w:r>
      <w:r w:rsidR="00E66B89">
        <w:rPr>
          <w:szCs w:val="20"/>
        </w:rPr>
        <w:t xml:space="preserve"> z </w:t>
      </w:r>
      <w:r w:rsidRPr="00197642">
        <w:rPr>
          <w:szCs w:val="20"/>
        </w:rPr>
        <w:t>komór</w:t>
      </w:r>
      <w:r>
        <w:rPr>
          <w:szCs w:val="20"/>
        </w:rPr>
        <w:t>ek</w:t>
      </w:r>
      <w:r w:rsidRPr="00197642">
        <w:rPr>
          <w:szCs w:val="20"/>
        </w:rPr>
        <w:t xml:space="preserve"> organizacyjn</w:t>
      </w:r>
      <w:r>
        <w:rPr>
          <w:szCs w:val="20"/>
        </w:rPr>
        <w:t>ych</w:t>
      </w:r>
      <w:r w:rsidRPr="00197642">
        <w:rPr>
          <w:szCs w:val="20"/>
        </w:rPr>
        <w:t xml:space="preserve"> innych jednostek administracji publicznej</w:t>
      </w:r>
      <w:r>
        <w:rPr>
          <w:szCs w:val="20"/>
        </w:rPr>
        <w:t>. IZ pozyskała również pracowników</w:t>
      </w:r>
      <w:r w:rsidR="00E66B89">
        <w:rPr>
          <w:szCs w:val="20"/>
        </w:rPr>
        <w:t xml:space="preserve"> z </w:t>
      </w:r>
      <w:r w:rsidRPr="00197642">
        <w:rPr>
          <w:szCs w:val="20"/>
        </w:rPr>
        <w:t>Samorządow</w:t>
      </w:r>
      <w:r>
        <w:rPr>
          <w:szCs w:val="20"/>
        </w:rPr>
        <w:t>ych</w:t>
      </w:r>
      <w:r w:rsidRPr="00197642">
        <w:rPr>
          <w:szCs w:val="20"/>
        </w:rPr>
        <w:t xml:space="preserve"> Jednost</w:t>
      </w:r>
      <w:r>
        <w:rPr>
          <w:szCs w:val="20"/>
        </w:rPr>
        <w:t>ek</w:t>
      </w:r>
      <w:r w:rsidRPr="00197642">
        <w:rPr>
          <w:szCs w:val="20"/>
        </w:rPr>
        <w:t xml:space="preserve"> Organizacyjn</w:t>
      </w:r>
      <w:r>
        <w:rPr>
          <w:szCs w:val="20"/>
        </w:rPr>
        <w:t>ych oraz</w:t>
      </w:r>
      <w:r w:rsidR="00E66B89">
        <w:rPr>
          <w:szCs w:val="20"/>
        </w:rPr>
        <w:t xml:space="preserve"> z </w:t>
      </w:r>
      <w:r>
        <w:rPr>
          <w:szCs w:val="20"/>
        </w:rPr>
        <w:t>wewnętrznej rekrutacji. Rotacja pracowników jest niekorzystna, szczególnie jeżeli jej wynikiem jest trwały odpływ pracowników,</w:t>
      </w:r>
      <w:r w:rsidR="00E66B89">
        <w:rPr>
          <w:szCs w:val="20"/>
        </w:rPr>
        <w:t xml:space="preserve"> a </w:t>
      </w:r>
      <w:r>
        <w:rPr>
          <w:szCs w:val="20"/>
        </w:rPr>
        <w:t>wraz</w:t>
      </w:r>
      <w:r w:rsidR="00E66B89">
        <w:rPr>
          <w:szCs w:val="20"/>
        </w:rPr>
        <w:t xml:space="preserve"> z </w:t>
      </w:r>
      <w:r>
        <w:rPr>
          <w:szCs w:val="20"/>
        </w:rPr>
        <w:t>nimi wiedza</w:t>
      </w:r>
      <w:r w:rsidR="00E66B89">
        <w:rPr>
          <w:szCs w:val="20"/>
        </w:rPr>
        <w:t xml:space="preserve"> i </w:t>
      </w:r>
      <w:r>
        <w:rPr>
          <w:szCs w:val="20"/>
        </w:rPr>
        <w:t>doświadczenie instytucji, które tworzą pracownicy długo zajmujący się daną dziedziną.</w:t>
      </w:r>
      <w:r w:rsidR="00E66B89">
        <w:rPr>
          <w:szCs w:val="20"/>
        </w:rPr>
        <w:t xml:space="preserve"> Z </w:t>
      </w:r>
      <w:r>
        <w:rPr>
          <w:szCs w:val="20"/>
        </w:rPr>
        <w:t>wywiadów pogłębionych wynika, że nabór nowych pracowników wiąże się</w:t>
      </w:r>
      <w:r w:rsidR="00E66B89">
        <w:rPr>
          <w:szCs w:val="20"/>
        </w:rPr>
        <w:t xml:space="preserve"> z </w:t>
      </w:r>
      <w:r>
        <w:rPr>
          <w:szCs w:val="20"/>
        </w:rPr>
        <w:t>koniecznością poświęcenia wiele czasu na ich szkolenie, wprowadzenie</w:t>
      </w:r>
      <w:r w:rsidR="00E66B89">
        <w:rPr>
          <w:szCs w:val="20"/>
        </w:rPr>
        <w:t xml:space="preserve"> w </w:t>
      </w:r>
      <w:r w:rsidR="00506A65">
        <w:rPr>
          <w:szCs w:val="20"/>
        </w:rPr>
        <w:t>wykonywane zadania</w:t>
      </w:r>
      <w:r>
        <w:rPr>
          <w:szCs w:val="20"/>
        </w:rPr>
        <w:t xml:space="preserve"> </w:t>
      </w:r>
      <w:r w:rsidR="00506A65">
        <w:rPr>
          <w:szCs w:val="20"/>
        </w:rPr>
        <w:t xml:space="preserve">danej </w:t>
      </w:r>
      <w:r>
        <w:rPr>
          <w:szCs w:val="20"/>
        </w:rPr>
        <w:t>komórki oraz przekazanie wiedzy</w:t>
      </w:r>
      <w:r w:rsidR="00506A65">
        <w:rPr>
          <w:szCs w:val="20"/>
        </w:rPr>
        <w:t xml:space="preserve"> -</w:t>
      </w:r>
      <w:r>
        <w:rPr>
          <w:szCs w:val="20"/>
        </w:rPr>
        <w:t xml:space="preserve"> co wzmaga dodatkowe obciążenia dla dotychczasowych pracowników. IZ</w:t>
      </w:r>
      <w:r w:rsidR="00E66B89">
        <w:rPr>
          <w:szCs w:val="20"/>
        </w:rPr>
        <w:t xml:space="preserve"> i </w:t>
      </w:r>
      <w:r>
        <w:rPr>
          <w:szCs w:val="20"/>
        </w:rPr>
        <w:t>IP zapewniają</w:t>
      </w:r>
      <w:r w:rsidR="007C251B">
        <w:rPr>
          <w:szCs w:val="20"/>
        </w:rPr>
        <w:t xml:space="preserve"> co prawda</w:t>
      </w:r>
      <w:r>
        <w:rPr>
          <w:szCs w:val="20"/>
        </w:rPr>
        <w:t xml:space="preserve"> pracownikom szkolenia, m.in. dotyczące funduszy UE, kwestii horyzontalnych, finansów</w:t>
      </w:r>
      <w:r w:rsidR="00E66B89">
        <w:rPr>
          <w:szCs w:val="20"/>
        </w:rPr>
        <w:t xml:space="preserve"> i </w:t>
      </w:r>
      <w:r>
        <w:rPr>
          <w:szCs w:val="20"/>
        </w:rPr>
        <w:t>księgowości oraz organizacji</w:t>
      </w:r>
      <w:r w:rsidR="00E66B89">
        <w:rPr>
          <w:szCs w:val="20"/>
        </w:rPr>
        <w:t xml:space="preserve"> i </w:t>
      </w:r>
      <w:r>
        <w:rPr>
          <w:szCs w:val="20"/>
        </w:rPr>
        <w:t>zarządzania, jednak specyfika wdrażania Programu wymaga również dużego zaangażowania dotychczasowych pracowników</w:t>
      </w:r>
      <w:r w:rsidR="00E66B89">
        <w:rPr>
          <w:szCs w:val="20"/>
        </w:rPr>
        <w:t xml:space="preserve"> w </w:t>
      </w:r>
      <w:r>
        <w:rPr>
          <w:szCs w:val="20"/>
        </w:rPr>
        <w:t>przekazanie wiedzy</w:t>
      </w:r>
      <w:r w:rsidR="00E66B89">
        <w:rPr>
          <w:szCs w:val="20"/>
        </w:rPr>
        <w:t xml:space="preserve"> w </w:t>
      </w:r>
      <w:r>
        <w:rPr>
          <w:szCs w:val="20"/>
        </w:rPr>
        <w:t xml:space="preserve">trybie roboczym. Pracownicy korzystają również ze szkoleń informatycznych oraz </w:t>
      </w:r>
      <w:r w:rsidR="007C251B">
        <w:rPr>
          <w:szCs w:val="20"/>
        </w:rPr>
        <w:t>językowych</w:t>
      </w:r>
      <w:r>
        <w:rPr>
          <w:szCs w:val="20"/>
        </w:rPr>
        <w:t>. Jak pokazuje poniższy wykres,</w:t>
      </w:r>
      <w:r w:rsidR="00E66B89">
        <w:rPr>
          <w:szCs w:val="20"/>
        </w:rPr>
        <w:t xml:space="preserve"> w </w:t>
      </w:r>
      <w:r>
        <w:rPr>
          <w:szCs w:val="20"/>
        </w:rPr>
        <w:t>2018 roku znacząco wzrosła liczba szkoleń pracowników IZ</w:t>
      </w:r>
      <w:r w:rsidR="00E66B89">
        <w:rPr>
          <w:szCs w:val="20"/>
        </w:rPr>
        <w:t xml:space="preserve"> i </w:t>
      </w:r>
      <w:r>
        <w:rPr>
          <w:szCs w:val="20"/>
        </w:rPr>
        <w:t>IP</w:t>
      </w:r>
      <w:r w:rsidR="00E66B89">
        <w:rPr>
          <w:szCs w:val="20"/>
        </w:rPr>
        <w:t xml:space="preserve"> z </w:t>
      </w:r>
      <w:r>
        <w:rPr>
          <w:szCs w:val="20"/>
        </w:rPr>
        <w:t xml:space="preserve">zakresu funduszy UE względem </w:t>
      </w:r>
      <w:r w:rsidR="007C251B">
        <w:rPr>
          <w:szCs w:val="20"/>
        </w:rPr>
        <w:t>stanu</w:t>
      </w:r>
      <w:r w:rsidR="00E66B89">
        <w:rPr>
          <w:szCs w:val="20"/>
        </w:rPr>
        <w:t xml:space="preserve"> z </w:t>
      </w:r>
      <w:r>
        <w:rPr>
          <w:szCs w:val="20"/>
        </w:rPr>
        <w:t>2015 roku. Liczba szkoleń dotyczących kwestii horyzontalnych utrzymuje się na podobnym poziomie.</w:t>
      </w:r>
      <w:r w:rsidR="00E66B89">
        <w:rPr>
          <w:szCs w:val="20"/>
        </w:rPr>
        <w:t xml:space="preserve"> W </w:t>
      </w:r>
      <w:r>
        <w:rPr>
          <w:szCs w:val="20"/>
        </w:rPr>
        <w:t>roku 2018 wzrosła też liczba szkoleń informatycznych</w:t>
      </w:r>
      <w:r w:rsidR="007C251B">
        <w:rPr>
          <w:szCs w:val="20"/>
        </w:rPr>
        <w:t>,</w:t>
      </w:r>
      <w:r>
        <w:rPr>
          <w:szCs w:val="20"/>
        </w:rPr>
        <w:t xml:space="preserve"> zapewne za sprawą wdrażania nowych funkcjonalności</w:t>
      </w:r>
      <w:r w:rsidR="00E66B89">
        <w:rPr>
          <w:szCs w:val="20"/>
        </w:rPr>
        <w:t xml:space="preserve"> w </w:t>
      </w:r>
      <w:r>
        <w:rPr>
          <w:szCs w:val="20"/>
        </w:rPr>
        <w:t>programach używanych do obsługi projektów, elektronizacji zamówień publicznych</w:t>
      </w:r>
      <w:r w:rsidR="007C251B">
        <w:rPr>
          <w:szCs w:val="20"/>
        </w:rPr>
        <w:t>,</w:t>
      </w:r>
      <w:r>
        <w:rPr>
          <w:szCs w:val="20"/>
        </w:rPr>
        <w:t xml:space="preserve"> częściowego </w:t>
      </w:r>
      <w:r w:rsidR="006A5EAC">
        <w:rPr>
          <w:szCs w:val="20"/>
        </w:rPr>
        <w:t xml:space="preserve">przejścia na </w:t>
      </w:r>
      <w:r w:rsidR="0041531A">
        <w:rPr>
          <w:szCs w:val="20"/>
        </w:rPr>
        <w:t xml:space="preserve">elektroniczny </w:t>
      </w:r>
      <w:bookmarkStart w:id="403" w:name="_Toc5311910"/>
      <w:r w:rsidR="001D3274">
        <w:rPr>
          <w:szCs w:val="20"/>
        </w:rPr>
        <w:t>obieg dokumentów itd.</w:t>
      </w:r>
    </w:p>
    <w:p w14:paraId="41D905DD" w14:textId="7AC59F99" w:rsidR="00526AA8" w:rsidRDefault="00526AA8" w:rsidP="00024F00">
      <w:pPr>
        <w:pStyle w:val="Legenda"/>
        <w:spacing w:after="0"/>
      </w:pPr>
      <w:r>
        <w:t xml:space="preserve">Wykres </w:t>
      </w:r>
      <w:r w:rsidR="00CD6DE8">
        <w:fldChar w:fldCharType="begin"/>
      </w:r>
      <w:r w:rsidR="00CD6DE8">
        <w:instrText xml:space="preserve"> SEQ Wykres \* ARABIC </w:instrText>
      </w:r>
      <w:r w:rsidR="00CD6DE8">
        <w:fldChar w:fldCharType="separate"/>
      </w:r>
      <w:r w:rsidR="00763345">
        <w:rPr>
          <w:noProof/>
        </w:rPr>
        <w:t>45</w:t>
      </w:r>
      <w:r w:rsidR="00CD6DE8">
        <w:fldChar w:fldCharType="end"/>
      </w:r>
      <w:r>
        <w:t xml:space="preserve"> </w:t>
      </w:r>
      <w:r w:rsidRPr="00654BE1">
        <w:t>Liczba pracowników instytucji zaangażowanych we wdrażanie RPO WZ, która wzięła udział</w:t>
      </w:r>
      <w:r w:rsidR="00E66B89">
        <w:t xml:space="preserve"> w </w:t>
      </w:r>
      <w:r w:rsidRPr="00654BE1">
        <w:t>szkoleniach</w:t>
      </w:r>
      <w:r w:rsidR="00E66B89">
        <w:t xml:space="preserve"> z </w:t>
      </w:r>
      <w:r w:rsidRPr="00654BE1">
        <w:t>wyodrębnionych bloków tematycznych</w:t>
      </w:r>
      <w:bookmarkEnd w:id="403"/>
    </w:p>
    <w:p w14:paraId="3DC2D6E9" w14:textId="3FA0CC9E" w:rsidR="00526AA8" w:rsidRDefault="00C35619" w:rsidP="00CA715D">
      <w:pPr>
        <w:spacing w:before="0" w:after="0"/>
      </w:pPr>
      <w:r w:rsidRPr="00D508B6">
        <w:rPr>
          <w:noProof/>
        </w:rPr>
        <w:drawing>
          <wp:inline distT="0" distB="0" distL="0" distR="0" wp14:anchorId="5840C84E" wp14:editId="7E167C05">
            <wp:extent cx="5737860" cy="1737360"/>
            <wp:effectExtent l="0" t="0" r="15240" b="15240"/>
            <wp:docPr id="78"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6BB8A7F" w14:textId="77777777" w:rsidR="00526AA8" w:rsidRPr="00E4475B" w:rsidRDefault="00526AA8" w:rsidP="0028542B">
      <w:pPr>
        <w:spacing w:before="0"/>
        <w:rPr>
          <w:rFonts w:cs="Calibri"/>
          <w:i/>
          <w:sz w:val="18"/>
          <w:szCs w:val="18"/>
        </w:rPr>
      </w:pPr>
      <w:r w:rsidRPr="00E4475B">
        <w:rPr>
          <w:rFonts w:cs="Calibri"/>
          <w:i/>
          <w:sz w:val="18"/>
          <w:szCs w:val="18"/>
        </w:rPr>
        <w:t>Źródło: na podstawie opracowania MIiR pn. Potencjał administracyjny systemu instytucjonalnego służącego realizacji Umowy Partnerstwa</w:t>
      </w:r>
      <w:r w:rsidR="00E66B89" w:rsidRPr="00E4475B">
        <w:rPr>
          <w:rFonts w:cs="Calibri"/>
          <w:i/>
          <w:sz w:val="18"/>
          <w:szCs w:val="18"/>
        </w:rPr>
        <w:t xml:space="preserve"> w </w:t>
      </w:r>
      <w:r w:rsidRPr="00E4475B">
        <w:rPr>
          <w:rFonts w:cs="Calibri"/>
          <w:i/>
          <w:sz w:val="18"/>
          <w:szCs w:val="18"/>
        </w:rPr>
        <w:t>zakresie Polityki Spójności, stan na dzień 30.06.2015 oraz ankiet „zdolność administracyjna jednostek zaangażowanych we wdrażanie programów operacyjnych na lata 2014-2020 finansowanych</w:t>
      </w:r>
      <w:r w:rsidR="00E66B89" w:rsidRPr="00E4475B">
        <w:rPr>
          <w:rFonts w:cs="Calibri"/>
          <w:i/>
          <w:sz w:val="18"/>
          <w:szCs w:val="18"/>
        </w:rPr>
        <w:t xml:space="preserve"> z </w:t>
      </w:r>
      <w:r w:rsidRPr="00E4475B">
        <w:rPr>
          <w:rFonts w:cs="Calibri"/>
          <w:i/>
          <w:sz w:val="18"/>
          <w:szCs w:val="18"/>
        </w:rPr>
        <w:t>EFRR, EFS</w:t>
      </w:r>
      <w:r w:rsidR="00E66B89" w:rsidRPr="00E4475B">
        <w:rPr>
          <w:rFonts w:cs="Calibri"/>
          <w:i/>
          <w:sz w:val="18"/>
          <w:szCs w:val="18"/>
        </w:rPr>
        <w:t xml:space="preserve"> i </w:t>
      </w:r>
      <w:r w:rsidRPr="00E4475B">
        <w:rPr>
          <w:rFonts w:cs="Calibri"/>
          <w:i/>
          <w:sz w:val="18"/>
          <w:szCs w:val="18"/>
        </w:rPr>
        <w:t>FS” wg stanu na dzień 30.06.2018 r.</w:t>
      </w:r>
    </w:p>
    <w:p w14:paraId="13BD32E2" w14:textId="77777777" w:rsidR="00920D56" w:rsidRPr="006558FF" w:rsidRDefault="00920D56" w:rsidP="008B706B">
      <w:pPr>
        <w:tabs>
          <w:tab w:val="left" w:pos="2940"/>
        </w:tabs>
        <w:rPr>
          <w:szCs w:val="20"/>
        </w:rPr>
      </w:pPr>
      <w:r>
        <w:t xml:space="preserve">Z badań </w:t>
      </w:r>
      <w:r w:rsidR="00F57406">
        <w:t>wynika również występowanie problemu</w:t>
      </w:r>
      <w:r w:rsidR="00E66B89">
        <w:t xml:space="preserve"> z </w:t>
      </w:r>
      <w:r w:rsidR="00F57406">
        <w:t>pozyskiwaniem nowych ekspertów. Powodem najczęściej są mało atrakcyjne warunki finansowe</w:t>
      </w:r>
      <w:r w:rsidR="00E66B89">
        <w:t xml:space="preserve"> w </w:t>
      </w:r>
      <w:r w:rsidR="00764B62">
        <w:t xml:space="preserve">porównaniu do stawek proponowanych przez sektor prywatny </w:t>
      </w:r>
      <w:r w:rsidR="00F57406">
        <w:t>oraz niskie bezrobocie. Oba te elementy skutkują brakiem obawy</w:t>
      </w:r>
      <w:r w:rsidR="00E66B89">
        <w:t xml:space="preserve"> o </w:t>
      </w:r>
      <w:r w:rsidR="00F57406">
        <w:t>trudności</w:t>
      </w:r>
      <w:r w:rsidR="00E66B89">
        <w:t xml:space="preserve"> w </w:t>
      </w:r>
      <w:r w:rsidR="00F57406">
        <w:t>dostaniu się do pracy</w:t>
      </w:r>
      <w:r w:rsidR="00E66B89">
        <w:t xml:space="preserve"> w </w:t>
      </w:r>
      <w:r w:rsidR="00F57406">
        <w:t>innym miejscu</w:t>
      </w:r>
      <w:r w:rsidR="00E66B89">
        <w:t xml:space="preserve"> i </w:t>
      </w:r>
      <w:r w:rsidR="00F57406">
        <w:t>częstą zmianą miejsca zatrudnienia.</w:t>
      </w:r>
      <w:r w:rsidR="00E66B89">
        <w:t xml:space="preserve"> W </w:t>
      </w:r>
      <w:r w:rsidR="00764B62">
        <w:t>porównaniu do pozostałych województw, województwo zachodniopomorskie znajduje się 7 miejscu jeśli chodzi</w:t>
      </w:r>
      <w:r w:rsidR="00E66B89">
        <w:t xml:space="preserve"> o </w:t>
      </w:r>
      <w:r w:rsidR="00764B62">
        <w:t>średnie wynagrodzenie brutto</w:t>
      </w:r>
      <w:r w:rsidR="00E66B89">
        <w:t xml:space="preserve"> z </w:t>
      </w:r>
      <w:r w:rsidR="00764B62">
        <w:t>kadrą kierowniczą</w:t>
      </w:r>
      <w:r w:rsidR="00E66B89">
        <w:t xml:space="preserve"> w </w:t>
      </w:r>
      <w:r w:rsidR="00764B62">
        <w:t>instytucjach realizujących poszczególne RPO (</w:t>
      </w:r>
      <w:r w:rsidR="00B86632">
        <w:t xml:space="preserve">4887 zł) oraz </w:t>
      </w:r>
      <w:r w:rsidR="00B86632">
        <w:lastRenderedPageBreak/>
        <w:t>na 5 miejscu analizując wynagrodzenie bez kadry kierowniczej (4361 zł brutto)</w:t>
      </w:r>
      <w:r w:rsidR="00B86632">
        <w:rPr>
          <w:rStyle w:val="Odwoanieprzypisudolnego"/>
        </w:rPr>
        <w:footnoteReference w:id="179"/>
      </w:r>
      <w:r w:rsidR="00B86632">
        <w:t>.</w:t>
      </w:r>
      <w:r w:rsidR="00370077">
        <w:t xml:space="preserve"> </w:t>
      </w:r>
      <w:r w:rsidR="00B91B17">
        <w:rPr>
          <w:szCs w:val="20"/>
        </w:rPr>
        <w:t>Oprócz motywowania finansowego, bardzo ważna jest pozafinansowa motywacja pracowników.</w:t>
      </w:r>
      <w:r w:rsidR="00E66B89">
        <w:rPr>
          <w:szCs w:val="20"/>
        </w:rPr>
        <w:t xml:space="preserve"> W </w:t>
      </w:r>
      <w:r w:rsidR="00B91B17">
        <w:rPr>
          <w:szCs w:val="20"/>
        </w:rPr>
        <w:t>ocenie ewaluatorów, będzie ona skuteczna pod warunkiem zapewnienia odpowiedniego poziomu dochodów zapewniających zaspokojenie podstawowych potrzeb pracowników.</w:t>
      </w:r>
      <w:r w:rsidR="00E66B89">
        <w:rPr>
          <w:szCs w:val="20"/>
        </w:rPr>
        <w:t xml:space="preserve"> W </w:t>
      </w:r>
      <w:r w:rsidR="00B91B17">
        <w:rPr>
          <w:szCs w:val="20"/>
        </w:rPr>
        <w:t>przypadku zbyt niskiego wynagrodzenia za pracę, działania</w:t>
      </w:r>
      <w:r w:rsidR="00E66B89">
        <w:rPr>
          <w:szCs w:val="20"/>
        </w:rPr>
        <w:t xml:space="preserve"> w </w:t>
      </w:r>
      <w:r w:rsidR="00B91B17">
        <w:rPr>
          <w:szCs w:val="20"/>
        </w:rPr>
        <w:t>ramach pozapłacowego systemu motywacji mogą nie okazać się</w:t>
      </w:r>
      <w:r w:rsidR="009261FF">
        <w:rPr>
          <w:szCs w:val="20"/>
        </w:rPr>
        <w:t xml:space="preserve"> </w:t>
      </w:r>
      <w:r w:rsidR="00B91B17">
        <w:rPr>
          <w:szCs w:val="20"/>
        </w:rPr>
        <w:t xml:space="preserve">skuteczne. </w:t>
      </w:r>
    </w:p>
    <w:p w14:paraId="5C55CE9C" w14:textId="77777777" w:rsidR="00526AA8" w:rsidRDefault="00526AA8" w:rsidP="00526AA8">
      <w:r>
        <w:t>N</w:t>
      </w:r>
      <w:r w:rsidRPr="002C15EA">
        <w:t>iezbędnym narzędziem do realizowania większości</w:t>
      </w:r>
      <w:r>
        <w:t xml:space="preserve"> </w:t>
      </w:r>
      <w:r w:rsidRPr="002C15EA">
        <w:t>funkcji, które są stawiane przed instytucją</w:t>
      </w:r>
      <w:r>
        <w:t xml:space="preserve"> jest także s</w:t>
      </w:r>
      <w:r w:rsidRPr="002C15EA">
        <w:t>prawna</w:t>
      </w:r>
      <w:r w:rsidR="00E66B89">
        <w:t xml:space="preserve"> i </w:t>
      </w:r>
      <w:r w:rsidRPr="002C15EA">
        <w:t xml:space="preserve">skuteczna komunikacja </w:t>
      </w:r>
      <w:r w:rsidR="001951B5">
        <w:t>oraz</w:t>
      </w:r>
      <w:r w:rsidRPr="002C15EA">
        <w:t xml:space="preserve"> współpraca. </w:t>
      </w:r>
      <w:r>
        <w:t>Wnioski</w:t>
      </w:r>
      <w:r w:rsidR="00E66B89">
        <w:t xml:space="preserve"> z </w:t>
      </w:r>
      <w:r>
        <w:t xml:space="preserve">badań jakościowych wskazują na </w:t>
      </w:r>
      <w:r w:rsidRPr="00F66324">
        <w:rPr>
          <w:b/>
        </w:rPr>
        <w:t>potrzebę poprawienia komunikacji między instytucjami biorącymi udział we wdrażaniu Programu</w:t>
      </w:r>
      <w:r w:rsidRPr="00CD6DBD">
        <w:rPr>
          <w:b/>
        </w:rPr>
        <w:t>,</w:t>
      </w:r>
      <w:r w:rsidR="00E66B89">
        <w:rPr>
          <w:b/>
        </w:rPr>
        <w:t xml:space="preserve"> w </w:t>
      </w:r>
      <w:r w:rsidRPr="00CD6DBD">
        <w:rPr>
          <w:b/>
        </w:rPr>
        <w:t>tym</w:t>
      </w:r>
      <w:r>
        <w:t xml:space="preserve"> </w:t>
      </w:r>
      <w:r w:rsidRPr="00CD6DBD">
        <w:rPr>
          <w:b/>
        </w:rPr>
        <w:t>potrzeb</w:t>
      </w:r>
      <w:r w:rsidR="001951B5">
        <w:rPr>
          <w:b/>
        </w:rPr>
        <w:t>ę</w:t>
      </w:r>
      <w:r w:rsidRPr="00CD6DBD">
        <w:rPr>
          <w:b/>
        </w:rPr>
        <w:t xml:space="preserve"> usprawnienia komunikacji</w:t>
      </w:r>
      <w:r w:rsidR="00E66B89">
        <w:rPr>
          <w:b/>
        </w:rPr>
        <w:t xml:space="preserve"> w </w:t>
      </w:r>
      <w:r w:rsidRPr="00CD6DBD">
        <w:rPr>
          <w:b/>
        </w:rPr>
        <w:t>samej IZ pomiędzy WZS</w:t>
      </w:r>
      <w:r w:rsidR="00E66B89">
        <w:rPr>
          <w:b/>
        </w:rPr>
        <w:t xml:space="preserve"> a </w:t>
      </w:r>
      <w:r w:rsidRPr="00CD6DBD">
        <w:rPr>
          <w:b/>
        </w:rPr>
        <w:t>WWRPO</w:t>
      </w:r>
      <w:r w:rsidR="000779D4">
        <w:rPr>
          <w:b/>
        </w:rPr>
        <w:t>,</w:t>
      </w:r>
      <w:r w:rsidR="00E66B89">
        <w:rPr>
          <w:b/>
        </w:rPr>
        <w:t xml:space="preserve"> a </w:t>
      </w:r>
      <w:r w:rsidR="000779D4">
        <w:rPr>
          <w:b/>
        </w:rPr>
        <w:t>także pomiędzy</w:t>
      </w:r>
      <w:r w:rsidR="00565685">
        <w:rPr>
          <w:b/>
        </w:rPr>
        <w:t xml:space="preserve"> IZ</w:t>
      </w:r>
      <w:r w:rsidR="00E66B89">
        <w:rPr>
          <w:b/>
        </w:rPr>
        <w:t xml:space="preserve"> a </w:t>
      </w:r>
      <w:r w:rsidR="00565685">
        <w:rPr>
          <w:b/>
        </w:rPr>
        <w:t>IP</w:t>
      </w:r>
      <w:r w:rsidR="00D063AD">
        <w:rPr>
          <w:b/>
        </w:rPr>
        <w:t xml:space="preserve"> (WUP Szczecin oraz IP ZIT)</w:t>
      </w:r>
      <w:r>
        <w:t>.</w:t>
      </w:r>
      <w:r w:rsidR="00E66B89">
        <w:t xml:space="preserve"> W </w:t>
      </w:r>
      <w:r>
        <w:t xml:space="preserve">ramach IZ powołano jednostkę koordynacyjną, która organizuje spotkania koordynacyjne dla </w:t>
      </w:r>
      <w:r w:rsidRPr="00F32F6B">
        <w:t xml:space="preserve">wszystkich zaangażowanych stron </w:t>
      </w:r>
      <w:r>
        <w:t xml:space="preserve">tj. </w:t>
      </w:r>
      <w:r w:rsidRPr="00F32F6B">
        <w:t>IZ, IP</w:t>
      </w:r>
      <w:r>
        <w:t xml:space="preserve"> oraz</w:t>
      </w:r>
      <w:r w:rsidRPr="00F32F6B">
        <w:t xml:space="preserve"> IP ZIT.</w:t>
      </w:r>
      <w:r>
        <w:t xml:space="preserve"> Na spotkaniach przedstawiany jest stan wdrażania</w:t>
      </w:r>
      <w:r w:rsidR="00E66B89">
        <w:t xml:space="preserve"> i </w:t>
      </w:r>
      <w:r>
        <w:t xml:space="preserve">omawiane różne jego aspekty. Instytucje mogą także zgłosić kwestie problematyczne, </w:t>
      </w:r>
      <w:r w:rsidR="001951B5">
        <w:t>wobec których</w:t>
      </w:r>
      <w:r>
        <w:t xml:space="preserve"> uczestnicy spotkań starają się znaleźć rozwiązania</w:t>
      </w:r>
      <w:r>
        <w:rPr>
          <w:rStyle w:val="Odwoanieprzypisudolnego"/>
        </w:rPr>
        <w:footnoteReference w:id="180"/>
      </w:r>
      <w:r>
        <w:t>. Wg informacji</w:t>
      </w:r>
      <w:r w:rsidR="00E66B89">
        <w:t xml:space="preserve"> z </w:t>
      </w:r>
      <w:r>
        <w:t>ostatniego dostępnego sprawozdania</w:t>
      </w:r>
      <w:r w:rsidR="00E66B89">
        <w:t xml:space="preserve"> z </w:t>
      </w:r>
      <w:r>
        <w:t>wdrażania RPO WZ 2014-2020</w:t>
      </w:r>
      <w:r w:rsidR="00E66B89">
        <w:t xml:space="preserve"> w </w:t>
      </w:r>
      <w:r>
        <w:t>roku 2017 odbyły się 3 spotkania koordynacyjne. Analiza liczby spotkań</w:t>
      </w:r>
      <w:r w:rsidR="00E66B89">
        <w:t xml:space="preserve"> i </w:t>
      </w:r>
      <w:r>
        <w:t>wyniki wywiadów pogłębionych wskazują, że spotkania jednostki koordynacyjnej odbywają się zbyt rzadko. Co więcej</w:t>
      </w:r>
      <w:r w:rsidR="001951B5">
        <w:t>,</w:t>
      </w:r>
      <w:r>
        <w:t xml:space="preserve"> zbyt duża liczba osób uczestniczących</w:t>
      </w:r>
      <w:r w:rsidR="00E66B89">
        <w:t xml:space="preserve"> w </w:t>
      </w:r>
      <w:r>
        <w:t>spotkaniach nie sprzyja wypracowywaniu konkretnych rozwiązań. Pomysł powołania takiego forum współpracy</w:t>
      </w:r>
      <w:r w:rsidR="00E66B89">
        <w:t xml:space="preserve"> i </w:t>
      </w:r>
      <w:r>
        <w:t>wymiany informacji jest bardzo korzystny dla sprawnego wdrażania Programu, jednak spotkania członków powinny odbywać się dużo częściej, np.</w:t>
      </w:r>
      <w:r w:rsidR="00E66B89">
        <w:t xml:space="preserve"> w </w:t>
      </w:r>
      <w:r>
        <w:t xml:space="preserve">formie comiesięcznej. Potwierdzają to </w:t>
      </w:r>
      <w:r w:rsidR="00043B85">
        <w:t>informacje</w:t>
      </w:r>
      <w:r w:rsidR="00E66B89">
        <w:t xml:space="preserve"> z </w:t>
      </w:r>
      <w:r>
        <w:t>wywiadów pogłębionych,</w:t>
      </w:r>
      <w:r w:rsidR="00E66B89">
        <w:t xml:space="preserve"> w </w:t>
      </w:r>
      <w:r>
        <w:t xml:space="preserve">których wskazano ponadto na potrzebę nadania temu forum współpracy kompetencji, które pozwolą </w:t>
      </w:r>
      <w:r w:rsidR="00043B85">
        <w:t>kolegialnie</w:t>
      </w:r>
      <w:r>
        <w:t xml:space="preserve"> rozstrzygać bieżące sprawy</w:t>
      </w:r>
      <w:r w:rsidR="00043B85">
        <w:t xml:space="preserve"> -</w:t>
      </w:r>
      <w:r>
        <w:t xml:space="preserve"> szczególnie jeżeli </w:t>
      </w:r>
      <w:r w:rsidR="00043B85">
        <w:t xml:space="preserve">problemy </w:t>
      </w:r>
      <w:r>
        <w:t>występują</w:t>
      </w:r>
      <w:r w:rsidR="00E66B89">
        <w:t xml:space="preserve"> w </w:t>
      </w:r>
      <w:r>
        <w:t xml:space="preserve">kilku komórkach. Pozwoli to zniwelować ryzyko różnej interpretacji tych samych </w:t>
      </w:r>
      <w:r w:rsidR="00043B85">
        <w:t>kwestii merytorycznych -</w:t>
      </w:r>
      <w:r>
        <w:t xml:space="preserve"> co jest tym bardziej istotne</w:t>
      </w:r>
      <w:r w:rsidR="00043B85">
        <w:t>,</w:t>
      </w:r>
      <w:r>
        <w:t xml:space="preserve"> jeżeli </w:t>
      </w:r>
      <w:r w:rsidR="00043B85">
        <w:t xml:space="preserve">rozstrzygnięcia takie </w:t>
      </w:r>
      <w:r>
        <w:t>są przekazywane</w:t>
      </w:r>
      <w:r w:rsidR="00043B85">
        <w:t>, przez różne komórki,</w:t>
      </w:r>
      <w:r>
        <w:t xml:space="preserve"> do tego samego beneficjenta</w:t>
      </w:r>
      <w:r>
        <w:rPr>
          <w:rStyle w:val="Odwoanieprzypisudolnego"/>
        </w:rPr>
        <w:footnoteReference w:id="181"/>
      </w:r>
      <w:r>
        <w:t>.</w:t>
      </w:r>
      <w:r w:rsidR="00E66B89">
        <w:t xml:space="preserve"> W </w:t>
      </w:r>
      <w:r>
        <w:t>wywiadach pogłębionych wskazano, iż przypisan</w:t>
      </w:r>
      <w:r w:rsidR="007429B4">
        <w:t>e WZS</w:t>
      </w:r>
      <w:r w:rsidR="008B706B">
        <w:t xml:space="preserve"> </w:t>
      </w:r>
      <w:r>
        <w:t>zada</w:t>
      </w:r>
      <w:r w:rsidR="007429B4">
        <w:t>nia</w:t>
      </w:r>
      <w:r>
        <w:t xml:space="preserve"> koordyn</w:t>
      </w:r>
      <w:r w:rsidR="007429B4">
        <w:t>acyjne nie pozwalają</w:t>
      </w:r>
      <w:r w:rsidR="00E66B89">
        <w:t xml:space="preserve"> w </w:t>
      </w:r>
      <w:r w:rsidR="007429B4">
        <w:t>pełni na</w:t>
      </w:r>
      <w:r w:rsidR="00043B85">
        <w:t xml:space="preserve"> </w:t>
      </w:r>
      <w:r w:rsidR="007429B4">
        <w:t>kierowanie</w:t>
      </w:r>
      <w:r w:rsidR="00020AD7">
        <w:t xml:space="preserve"> zadaniami</w:t>
      </w:r>
      <w:r w:rsidR="00E66B89">
        <w:t xml:space="preserve"> w </w:t>
      </w:r>
      <w:r w:rsidR="00020AD7">
        <w:t>ramach IZ nad realizacją Programu,</w:t>
      </w:r>
      <w:r>
        <w:t xml:space="preserve"> przez co</w:t>
      </w:r>
      <w:r w:rsidR="00E66B89">
        <w:t xml:space="preserve"> w </w:t>
      </w:r>
      <w:r>
        <w:t>samej IZ zauważane są obszary dot. współpracy, które można</w:t>
      </w:r>
      <w:r w:rsidR="00043B85">
        <w:t xml:space="preserve"> jeszcze</w:t>
      </w:r>
      <w:r>
        <w:t xml:space="preserve"> usprawnić. Wydziały te są wobec siebie równorzędne </w:t>
      </w:r>
      <w:r w:rsidR="00043B85">
        <w:t>-</w:t>
      </w:r>
      <w:r w:rsidR="00E66B89">
        <w:t xml:space="preserve"> w </w:t>
      </w:r>
      <w:r>
        <w:t>systemie zarządzania RPO WZ 2014-2020 znajdują się na tym samym poziomie zarządzania</w:t>
      </w:r>
      <w:r w:rsidR="00043B85">
        <w:t xml:space="preserve"> -</w:t>
      </w:r>
      <w:r>
        <w:t xml:space="preserve"> co może prowadzić czasem do pewnego rodzaju paraliżu decyzyjnego – wydziały mogą wystosować jedynie zalecenia względem siebie</w:t>
      </w:r>
      <w:r w:rsidR="00043B85">
        <w:t xml:space="preserve"> nawzajem</w:t>
      </w:r>
      <w:r>
        <w:t>. Na konieczność podjęcia działań wzmacniających współpracę Wydziału Zarządzania</w:t>
      </w:r>
      <w:r w:rsidR="00E66B89">
        <w:t xml:space="preserve"> i </w:t>
      </w:r>
      <w:r>
        <w:t>Wdrażania wskazano już</w:t>
      </w:r>
      <w:r w:rsidR="00E66B89">
        <w:t xml:space="preserve"> w </w:t>
      </w:r>
      <w:r>
        <w:t>badaniu dot. oceny postępu wdrażania RPO WZ 2007-2013</w:t>
      </w:r>
      <w:r>
        <w:rPr>
          <w:rStyle w:val="Odwoanieprzypisudolnego"/>
        </w:rPr>
        <w:footnoteReference w:id="182"/>
      </w:r>
      <w:r>
        <w:t xml:space="preserve"> - potrzeba działań</w:t>
      </w:r>
      <w:r w:rsidR="00E66B89">
        <w:t xml:space="preserve"> w </w:t>
      </w:r>
      <w:r>
        <w:t xml:space="preserve">tym zakresie pozostaje aktualna. Rozwiązaniem, które usprawniłoby komunikację między komórkami </w:t>
      </w:r>
      <w:r w:rsidR="00043B85">
        <w:t>IZ,</w:t>
      </w:r>
      <w:r>
        <w:t xml:space="preserve"> byłoby </w:t>
      </w:r>
      <w:r w:rsidRPr="00E77542">
        <w:rPr>
          <w:b/>
        </w:rPr>
        <w:t>powołanie zespołu</w:t>
      </w:r>
      <w:r w:rsidR="00043B85">
        <w:rPr>
          <w:b/>
        </w:rPr>
        <w:t xml:space="preserve"> roboczego</w:t>
      </w:r>
      <w:r w:rsidRPr="00E77542">
        <w:rPr>
          <w:b/>
        </w:rPr>
        <w:t xml:space="preserve"> złożonego</w:t>
      </w:r>
      <w:r w:rsidR="00E66B89">
        <w:rPr>
          <w:b/>
        </w:rPr>
        <w:t xml:space="preserve"> z </w:t>
      </w:r>
      <w:r w:rsidRPr="00E77542">
        <w:rPr>
          <w:b/>
        </w:rPr>
        <w:t>kilku pracowników – przedstawicieli wydziałów</w:t>
      </w:r>
      <w:r>
        <w:rPr>
          <w:b/>
        </w:rPr>
        <w:t xml:space="preserve"> UM</w:t>
      </w:r>
      <w:r w:rsidRPr="00E77542">
        <w:rPr>
          <w:b/>
        </w:rPr>
        <w:t>, którzy są zaangażowani we wdrażanie Programu</w:t>
      </w:r>
      <w:r>
        <w:t>. Ważna byłaby tutaj formuła niezbyt licznego grona pracowników, ponieważ</w:t>
      </w:r>
      <w:r w:rsidR="00E66B89">
        <w:t xml:space="preserve"> w </w:t>
      </w:r>
      <w:r>
        <w:t>mniejszym gremium łatwiej wypracować konkretne rozwiązania. Priorytetowym zadaniem tego zespołu byłoby organizowanie cyklicznych spotkań roboczych – np. co 2 tygodnie,</w:t>
      </w:r>
      <w:r w:rsidR="00E66B89">
        <w:t xml:space="preserve"> a w </w:t>
      </w:r>
      <w:r>
        <w:t>miarę potrzeb ad hoc –</w:t>
      </w:r>
      <w:r w:rsidR="00E66B89">
        <w:t xml:space="preserve"> i </w:t>
      </w:r>
      <w:r>
        <w:t>sprawozdawanie sytuacji</w:t>
      </w:r>
      <w:r w:rsidR="00E66B89">
        <w:t xml:space="preserve"> z </w:t>
      </w:r>
      <w:r>
        <w:t>realizacji Programu</w:t>
      </w:r>
      <w:r w:rsidR="00E66B89">
        <w:t xml:space="preserve"> z </w:t>
      </w:r>
      <w:r>
        <w:t>perspektywy poszczególnych wydziałów.</w:t>
      </w:r>
      <w:r w:rsidR="00E66B89">
        <w:t xml:space="preserve"> W </w:t>
      </w:r>
      <w:r>
        <w:t>przypadku występowania problemów wypracowywane byłyby propozycje ich rozwiązań. Grupa miałaby też na celu bieżący monitoring postępów wdrażania</w:t>
      </w:r>
      <w:r w:rsidR="00043B85">
        <w:t xml:space="preserve">, dzięki czemu możliwe byłoby </w:t>
      </w:r>
      <w:r>
        <w:t xml:space="preserve">wcześniejsze </w:t>
      </w:r>
      <w:r w:rsidR="00043B85">
        <w:t>identyfikowanie</w:t>
      </w:r>
      <w:r>
        <w:t xml:space="preserve"> zagrożeń</w:t>
      </w:r>
      <w:r w:rsidR="00E66B89">
        <w:t xml:space="preserve"> i </w:t>
      </w:r>
      <w:r>
        <w:t>wspólne wypracowanie planu działania</w:t>
      </w:r>
      <w:r w:rsidR="00286397">
        <w:t>.</w:t>
      </w:r>
      <w:r>
        <w:t xml:space="preserve"> Pomogłoby to uniknąć konieczności reagowania na problem dopiero, gdy </w:t>
      </w:r>
      <w:r>
        <w:lastRenderedPageBreak/>
        <w:t>zaistnieje</w:t>
      </w:r>
      <w:r w:rsidR="00E66B89">
        <w:t xml:space="preserve"> i </w:t>
      </w:r>
      <w:r>
        <w:t>zwiększyło</w:t>
      </w:r>
      <w:r w:rsidR="00286397">
        <w:t>by</w:t>
      </w:r>
      <w:r>
        <w:t xml:space="preserve"> prawdopodobieństwo wyeliminowania niektórych trudności zanim sprawiłyby realny</w:t>
      </w:r>
      <w:r w:rsidR="00E66B89">
        <w:t xml:space="preserve"> i </w:t>
      </w:r>
      <w:r w:rsidR="00286397">
        <w:t>istotny</w:t>
      </w:r>
      <w:r>
        <w:t xml:space="preserve"> problem w</w:t>
      </w:r>
      <w:r w:rsidR="00286397">
        <w:t>e</w:t>
      </w:r>
      <w:r>
        <w:t xml:space="preserve"> wdrażaniu Programu.</w:t>
      </w:r>
    </w:p>
    <w:p w14:paraId="62E40D96" w14:textId="77777777" w:rsidR="00526AA8" w:rsidRPr="00634940" w:rsidRDefault="00526AA8" w:rsidP="00526AA8">
      <w:pPr>
        <w:pStyle w:val="Nagwek4"/>
        <w:numPr>
          <w:ilvl w:val="0"/>
          <w:numId w:val="0"/>
        </w:numPr>
        <w:rPr>
          <w:rFonts w:ascii="Lato" w:eastAsia="Calibri" w:hAnsi="Lato"/>
          <w:szCs w:val="20"/>
        </w:rPr>
      </w:pPr>
      <w:r>
        <w:rPr>
          <w:rFonts w:ascii="Lato" w:eastAsia="Calibri" w:hAnsi="Lato"/>
          <w:szCs w:val="20"/>
        </w:rPr>
        <w:t>C</w:t>
      </w:r>
      <w:r w:rsidRPr="00634940">
        <w:rPr>
          <w:rFonts w:ascii="Lato" w:eastAsia="Calibri" w:hAnsi="Lato"/>
          <w:szCs w:val="20"/>
        </w:rPr>
        <w:t xml:space="preserve">zas trwania </w:t>
      </w:r>
      <w:r>
        <w:rPr>
          <w:rFonts w:ascii="Lato" w:eastAsia="Calibri" w:hAnsi="Lato"/>
          <w:szCs w:val="20"/>
        </w:rPr>
        <w:t>etapów</w:t>
      </w:r>
      <w:r w:rsidR="00E66B89">
        <w:rPr>
          <w:rFonts w:ascii="Lato" w:eastAsia="Calibri" w:hAnsi="Lato"/>
          <w:szCs w:val="20"/>
        </w:rPr>
        <w:t xml:space="preserve"> i </w:t>
      </w:r>
      <w:r>
        <w:rPr>
          <w:rFonts w:ascii="Lato" w:eastAsia="Calibri" w:hAnsi="Lato"/>
          <w:szCs w:val="20"/>
        </w:rPr>
        <w:t>harmonogramy</w:t>
      </w:r>
    </w:p>
    <w:p w14:paraId="61EA284E" w14:textId="77777777" w:rsidR="00526AA8" w:rsidRPr="00A600AE" w:rsidRDefault="006838C0" w:rsidP="00526AA8">
      <w:r>
        <w:t>Dla oceny skuteczności systemu zarządzania nie bez znaczenia jest rozplanowanie</w:t>
      </w:r>
      <w:r w:rsidR="00E66B89">
        <w:t xml:space="preserve"> w </w:t>
      </w:r>
      <w:r>
        <w:t>czasie harmonogramów naborów</w:t>
      </w:r>
      <w:r w:rsidR="00E66B89">
        <w:t xml:space="preserve"> i </w:t>
      </w:r>
      <w:r>
        <w:t>czas jaki zajmuje procedowane wniosków</w:t>
      </w:r>
      <w:r w:rsidR="00E66B89">
        <w:t xml:space="preserve"> o </w:t>
      </w:r>
      <w:r>
        <w:t>dofinansowanie. Oba te elementy wpływają bowiem na rozpoczęcie</w:t>
      </w:r>
      <w:r w:rsidR="00E66B89">
        <w:t xml:space="preserve"> i </w:t>
      </w:r>
      <w:r>
        <w:t>realizację projektów, dzięki którym osiągane są cele założone</w:t>
      </w:r>
      <w:r w:rsidR="00E66B89">
        <w:t xml:space="preserve"> w </w:t>
      </w:r>
      <w:r>
        <w:t xml:space="preserve">Programie. </w:t>
      </w:r>
      <w:r w:rsidR="00526AA8">
        <w:t>C</w:t>
      </w:r>
      <w:r w:rsidR="00526AA8" w:rsidRPr="0029075A">
        <w:t>ały cykl pomyślnego</w:t>
      </w:r>
      <w:r w:rsidR="00526AA8">
        <w:t xml:space="preserve"> </w:t>
      </w:r>
      <w:r w:rsidR="00526AA8" w:rsidRPr="0029075A">
        <w:t>procedowania</w:t>
      </w:r>
      <w:r w:rsidR="00526AA8">
        <w:t xml:space="preserve"> nad WoD zajmuje średnio 251 dni. Najwięcej obciążeń dla instytucji</w:t>
      </w:r>
      <w:r w:rsidR="00286397">
        <w:t>,</w:t>
      </w:r>
      <w:r w:rsidR="00526AA8">
        <w:t xml:space="preserve"> na etapie procedowania nad WoD</w:t>
      </w:r>
      <w:r w:rsidR="00286397">
        <w:t>,</w:t>
      </w:r>
      <w:r w:rsidR="00526AA8">
        <w:t xml:space="preserve"> obserwuje się na etapie weryfikacji</w:t>
      </w:r>
      <w:r w:rsidR="00E66B89">
        <w:t xml:space="preserve"> i </w:t>
      </w:r>
      <w:r w:rsidR="00526AA8">
        <w:t xml:space="preserve">oceny wniosków – od początku weryfikacji do zatwierdzenia lub odrzucenia wniosku </w:t>
      </w:r>
      <w:r w:rsidR="00286397">
        <w:t xml:space="preserve">średnio mija </w:t>
      </w:r>
      <w:r w:rsidR="00526AA8">
        <w:t>152 dni (159 dni dla trybu konkursowego</w:t>
      </w:r>
      <w:r w:rsidR="00E66B89">
        <w:t xml:space="preserve"> i </w:t>
      </w:r>
      <w:r w:rsidR="00526AA8">
        <w:t>71 dla pozakonkursowego). Dłużej etap ten przebiega</w:t>
      </w:r>
      <w:r w:rsidR="00E66B89">
        <w:t xml:space="preserve"> w </w:t>
      </w:r>
      <w:r w:rsidR="00526AA8">
        <w:t>przypadku projektów EFRR niż EFS ze względu na ich złożony charakter, więcej szczegółów technicznych oraz dodatkowych dokumentów, zezwoleń, zaświadczeń itp. Następny etap</w:t>
      </w:r>
      <w:r w:rsidR="00286397">
        <w:t>,</w:t>
      </w:r>
      <w:r w:rsidR="00526AA8">
        <w:t xml:space="preserve"> od zatwierdzenia wniosku do podpisania umowy</w:t>
      </w:r>
      <w:r w:rsidR="00286397">
        <w:t>,</w:t>
      </w:r>
      <w:r w:rsidR="00526AA8">
        <w:t xml:space="preserve"> zajmuje średnio 94 dni (tryb konkursowy 101 dni, tryb pozakonkursowy 45 dni). </w:t>
      </w:r>
    </w:p>
    <w:p w14:paraId="6F1918FE" w14:textId="77777777" w:rsidR="00526AA8" w:rsidRDefault="00526AA8" w:rsidP="00CA715D">
      <w:pPr>
        <w:pStyle w:val="Legenda"/>
        <w:spacing w:after="0"/>
      </w:pPr>
      <w:bookmarkStart w:id="404" w:name="_Toc5311927"/>
      <w:r>
        <w:t xml:space="preserve">Rysunek </w:t>
      </w:r>
      <w:r w:rsidR="00CD6DE8">
        <w:rPr>
          <w:noProof/>
        </w:rPr>
        <w:fldChar w:fldCharType="begin"/>
      </w:r>
      <w:r w:rsidR="00CD6DE8">
        <w:rPr>
          <w:noProof/>
        </w:rPr>
        <w:instrText xml:space="preserve"> SEQ Rysunek \* ARABIC </w:instrText>
      </w:r>
      <w:r w:rsidR="00CD6DE8">
        <w:rPr>
          <w:noProof/>
        </w:rPr>
        <w:fldChar w:fldCharType="separate"/>
      </w:r>
      <w:r w:rsidR="00763345">
        <w:rPr>
          <w:noProof/>
        </w:rPr>
        <w:t>1</w:t>
      </w:r>
      <w:r w:rsidR="00CD6DE8">
        <w:rPr>
          <w:noProof/>
        </w:rPr>
        <w:fldChar w:fldCharType="end"/>
      </w:r>
      <w:r>
        <w:t xml:space="preserve"> </w:t>
      </w:r>
      <w:r w:rsidRPr="002E167A">
        <w:t>Średnia liczba dni potrzebnych na procedowanie wniosk</w:t>
      </w:r>
      <w:r>
        <w:t>u</w:t>
      </w:r>
      <w:r w:rsidR="00E66B89">
        <w:t xml:space="preserve"> o </w:t>
      </w:r>
      <w:r w:rsidRPr="002E167A">
        <w:t>dofinansowanie do podpisania umowy</w:t>
      </w:r>
      <w:bookmarkEnd w:id="404"/>
    </w:p>
    <w:p w14:paraId="30E0AE41" w14:textId="0A5CAFFF" w:rsidR="00526AA8" w:rsidRDefault="00C35619" w:rsidP="00C22C26">
      <w:pPr>
        <w:pStyle w:val="TytuTAB"/>
      </w:pPr>
      <w:r w:rsidRPr="00D508B6">
        <w:rPr>
          <w:noProof/>
          <w:lang w:val="pl-PL" w:eastAsia="pl-PL"/>
        </w:rPr>
        <w:drawing>
          <wp:inline distT="0" distB="0" distL="0" distR="0" wp14:anchorId="48512F8D" wp14:editId="41198052">
            <wp:extent cx="5721350" cy="3200400"/>
            <wp:effectExtent l="0" t="0" r="0" b="0"/>
            <wp:docPr id="7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3689AF55" w14:textId="77777777" w:rsidR="00526AA8" w:rsidRPr="00E4475B" w:rsidRDefault="00526AA8" w:rsidP="0028542B">
      <w:pPr>
        <w:spacing w:before="0"/>
        <w:rPr>
          <w:rFonts w:cs="Calibri"/>
          <w:i/>
          <w:sz w:val="18"/>
          <w:szCs w:val="18"/>
        </w:rPr>
      </w:pPr>
      <w:r w:rsidRPr="00E4475B">
        <w:rPr>
          <w:rFonts w:cs="Calibri"/>
          <w:i/>
          <w:sz w:val="18"/>
          <w:szCs w:val="18"/>
        </w:rPr>
        <w:t>Źródło: opracowanie własne na podstawie danych przekazanych przez Zamawiającego (stan</w:t>
      </w:r>
      <w:r w:rsidR="00E66B89" w:rsidRPr="00E4475B">
        <w:rPr>
          <w:rFonts w:cs="Calibri"/>
          <w:i/>
          <w:sz w:val="18"/>
          <w:szCs w:val="18"/>
        </w:rPr>
        <w:t xml:space="preserve"> z </w:t>
      </w:r>
      <w:r w:rsidRPr="00E4475B">
        <w:rPr>
          <w:rFonts w:cs="Calibri"/>
          <w:i/>
          <w:sz w:val="18"/>
          <w:szCs w:val="18"/>
        </w:rPr>
        <w:t>dnia 27.11.2018r.).</w:t>
      </w:r>
    </w:p>
    <w:p w14:paraId="5B1820CD" w14:textId="77777777" w:rsidR="00526AA8" w:rsidRDefault="00526AA8" w:rsidP="00526AA8">
      <w:r>
        <w:t>Między podpisaniem umowy</w:t>
      </w:r>
      <w:r w:rsidR="00E66B89">
        <w:t xml:space="preserve"> a </w:t>
      </w:r>
      <w:r>
        <w:t>złożeniem pierwszego sprawozdawczego wniosku</w:t>
      </w:r>
      <w:r w:rsidR="00E66B89">
        <w:t xml:space="preserve"> o </w:t>
      </w:r>
      <w:r>
        <w:t>płatność upływa średnio 118 dni (tryb konkursowy 123 dni, tryb pozakonkursowy 84 dni), natomiast do złożenia pierwszego WoP finansowego</w:t>
      </w:r>
      <w:r w:rsidR="00286397">
        <w:t xml:space="preserve"> mija</w:t>
      </w:r>
      <w:r>
        <w:t xml:space="preserve"> średnio 91 dni (tryb konkursowy 92 dni, tryb pozakonkursowy 85 dni). Cały cykl procedowania nad WoP finansowym zajmuje średnio 90 dni, natomiast WoP końcowym 72 dni. Średni czas poświęcony na zatwierdzenie każdego WoP wynosi 27 dni</w:t>
      </w:r>
      <w:r w:rsidR="00143722">
        <w:t>.</w:t>
      </w:r>
      <w:r>
        <w:t xml:space="preserve"> </w:t>
      </w:r>
    </w:p>
    <w:p w14:paraId="47AF38E8" w14:textId="77777777" w:rsidR="00526AA8" w:rsidRDefault="00526AA8">
      <w:pPr>
        <w:pStyle w:val="Legenda"/>
      </w:pPr>
      <w:bookmarkStart w:id="405" w:name="_Toc5311928"/>
      <w:r>
        <w:lastRenderedPageBreak/>
        <w:t xml:space="preserve">Rysunek </w:t>
      </w:r>
      <w:r w:rsidR="00CD6DE8">
        <w:rPr>
          <w:noProof/>
        </w:rPr>
        <w:fldChar w:fldCharType="begin"/>
      </w:r>
      <w:r w:rsidR="00CD6DE8">
        <w:rPr>
          <w:noProof/>
        </w:rPr>
        <w:instrText xml:space="preserve"> SEQ Rysunek \* ARABIC </w:instrText>
      </w:r>
      <w:r w:rsidR="00CD6DE8">
        <w:rPr>
          <w:noProof/>
        </w:rPr>
        <w:fldChar w:fldCharType="separate"/>
      </w:r>
      <w:r w:rsidR="00763345">
        <w:rPr>
          <w:noProof/>
        </w:rPr>
        <w:t>2</w:t>
      </w:r>
      <w:r w:rsidR="00CD6DE8">
        <w:rPr>
          <w:noProof/>
        </w:rPr>
        <w:fldChar w:fldCharType="end"/>
      </w:r>
      <w:r>
        <w:t xml:space="preserve"> Czasy trwania etapów</w:t>
      </w:r>
      <w:bookmarkEnd w:id="405"/>
    </w:p>
    <w:p w14:paraId="2826ED5B" w14:textId="3811F20D" w:rsidR="00526AA8" w:rsidRPr="00A600AE" w:rsidRDefault="00C35619" w:rsidP="00526AA8">
      <w:r w:rsidRPr="00D508B6">
        <w:rPr>
          <w:noProof/>
        </w:rPr>
        <w:drawing>
          <wp:inline distT="0" distB="0" distL="0" distR="0" wp14:anchorId="6D9A1E8B" wp14:editId="0804831D">
            <wp:extent cx="5487035" cy="2600077"/>
            <wp:effectExtent l="0" t="0" r="0" b="0"/>
            <wp:docPr id="8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86C8410" w14:textId="77777777" w:rsidR="00526AA8" w:rsidRPr="00E4475B" w:rsidRDefault="00526AA8" w:rsidP="0028542B">
      <w:pPr>
        <w:spacing w:before="0"/>
        <w:rPr>
          <w:rFonts w:cs="Calibri"/>
          <w:i/>
          <w:sz w:val="18"/>
          <w:szCs w:val="18"/>
        </w:rPr>
      </w:pPr>
      <w:r w:rsidRPr="00E4475B">
        <w:rPr>
          <w:rFonts w:cs="Calibri"/>
          <w:i/>
          <w:sz w:val="18"/>
          <w:szCs w:val="18"/>
        </w:rPr>
        <w:t>Źródło: opracowanie własne na podstawie danych przekazanych przez Zamawiającego (stan</w:t>
      </w:r>
      <w:r w:rsidR="00E66B89" w:rsidRPr="00E4475B">
        <w:rPr>
          <w:rFonts w:cs="Calibri"/>
          <w:i/>
          <w:sz w:val="18"/>
          <w:szCs w:val="18"/>
        </w:rPr>
        <w:t xml:space="preserve"> z </w:t>
      </w:r>
      <w:r w:rsidRPr="00E4475B">
        <w:rPr>
          <w:rFonts w:cs="Calibri"/>
          <w:i/>
          <w:sz w:val="18"/>
          <w:szCs w:val="18"/>
        </w:rPr>
        <w:t>dnia 27.11.2018r.).</w:t>
      </w:r>
    </w:p>
    <w:p w14:paraId="76134901" w14:textId="77777777" w:rsidR="00526AA8" w:rsidRDefault="00526AA8" w:rsidP="00526AA8">
      <w:pPr>
        <w:pStyle w:val="evaluTresc"/>
      </w:pPr>
      <w:r>
        <w:t>Analizując powyższe statystyki należy mieć na uwadze, że jest to uśredniona liczba dni. Każdy etap rozpatrywania wniosku</w:t>
      </w:r>
      <w:r w:rsidR="00E66B89">
        <w:t xml:space="preserve"> i </w:t>
      </w:r>
      <w:r>
        <w:t>realizacji projektu charakteryzuje się swoją specyfiką</w:t>
      </w:r>
      <w:r w:rsidR="00E66B89">
        <w:t xml:space="preserve"> i </w:t>
      </w:r>
      <w:r>
        <w:t xml:space="preserve">koniecznością </w:t>
      </w:r>
      <w:r w:rsidR="00286397">
        <w:t>uwzględniania nietypowych,</w:t>
      </w:r>
      <w:r w:rsidR="00E66B89">
        <w:t xml:space="preserve"> a </w:t>
      </w:r>
      <w:r w:rsidR="00286397">
        <w:t>zarazem szczegółowych kwestii</w:t>
      </w:r>
      <w:r>
        <w:t>. Należy także podkreślić, że procedura odwoławcza może składać się</w:t>
      </w:r>
      <w:r w:rsidR="00E66B89">
        <w:t xml:space="preserve"> z </w:t>
      </w:r>
      <w:r>
        <w:t>kilku etapów,</w:t>
      </w:r>
      <w:r w:rsidR="00E66B89">
        <w:t xml:space="preserve"> z </w:t>
      </w:r>
      <w:r>
        <w:t xml:space="preserve">których każdy może trwać </w:t>
      </w:r>
      <w:r w:rsidR="00286397">
        <w:t xml:space="preserve">dość </w:t>
      </w:r>
      <w:r>
        <w:t xml:space="preserve">długo ze względu na potrzebę prawidłowej </w:t>
      </w:r>
      <w:r w:rsidR="00286397">
        <w:t>analizy</w:t>
      </w:r>
      <w:r>
        <w:t>. Takie projekty są uwzględnianie</w:t>
      </w:r>
      <w:r w:rsidR="00E66B89">
        <w:t xml:space="preserve"> w </w:t>
      </w:r>
      <w:r>
        <w:t>całościowych statystykach</w:t>
      </w:r>
      <w:r w:rsidR="00E66B89">
        <w:t xml:space="preserve"> i </w:t>
      </w:r>
      <w:r>
        <w:t xml:space="preserve">wpływają na </w:t>
      </w:r>
      <w:r w:rsidR="00286397">
        <w:t xml:space="preserve">podawaną wyżej </w:t>
      </w:r>
      <w:r>
        <w:t xml:space="preserve">średnią liczbę dni. Rozmówcy wywiadów pogłębionych przyznawali, że czasami ocena wniosku </w:t>
      </w:r>
      <w:r w:rsidR="003D45BC">
        <w:t xml:space="preserve">trwała </w:t>
      </w:r>
      <w:r>
        <w:t xml:space="preserve">zbyt </w:t>
      </w:r>
      <w:r w:rsidR="003D45BC">
        <w:t>długo</w:t>
      </w:r>
      <w:r>
        <w:t>, jednak</w:t>
      </w:r>
      <w:r w:rsidR="00E66B89">
        <w:t xml:space="preserve"> w </w:t>
      </w:r>
      <w:r>
        <w:t>niektórych naborach czas oceny ulega</w:t>
      </w:r>
      <w:r w:rsidR="00286397">
        <w:t>ł już</w:t>
      </w:r>
      <w:r>
        <w:t xml:space="preserve"> skróceniu. Zbyt długi czas oceny,</w:t>
      </w:r>
      <w:r w:rsidR="00E66B89">
        <w:t xml:space="preserve"> a </w:t>
      </w:r>
      <w:r>
        <w:t>następnie zatwierdzenia WoP</w:t>
      </w:r>
      <w:r w:rsidR="00286397">
        <w:t>,</w:t>
      </w:r>
      <w:r>
        <w:t xml:space="preserve"> wpływa</w:t>
      </w:r>
      <w:r w:rsidR="003D45BC">
        <w:t>ć może</w:t>
      </w:r>
      <w:r w:rsidR="00286397">
        <w:t xml:space="preserve"> szczególnie</w:t>
      </w:r>
      <w:r>
        <w:t xml:space="preserve"> negatywnie na projekty innowacyjne,</w:t>
      </w:r>
      <w:r w:rsidR="00E66B89">
        <w:t xml:space="preserve"> w </w:t>
      </w:r>
      <w:r>
        <w:t>których czas ma szczególne znaczenie –</w:t>
      </w:r>
      <w:r w:rsidR="00E66B89">
        <w:t xml:space="preserve"> w </w:t>
      </w:r>
      <w:r>
        <w:t>wielu przypadkach postępujący rozwój technologiczny wpływa na przeterminowanie się założonych</w:t>
      </w:r>
      <w:r w:rsidR="00E66B89">
        <w:t xml:space="preserve"> w </w:t>
      </w:r>
      <w:r>
        <w:t xml:space="preserve">projekcie technologii. </w:t>
      </w:r>
      <w:r w:rsidRPr="001049A3">
        <w:t>Analiza czasu trwania procesu oceny</w:t>
      </w:r>
      <w:r w:rsidR="00E66B89">
        <w:t xml:space="preserve"> w </w:t>
      </w:r>
      <w:r w:rsidRPr="001049A3">
        <w:t>relacji do liczby złożonych wniosków</w:t>
      </w:r>
      <w:r w:rsidR="00286397">
        <w:t xml:space="preserve"> -</w:t>
      </w:r>
      <w:r>
        <w:t xml:space="preserve"> przeprowadzona na potrzeby ewaluacji kryteriów RPO WZ 2014-2020</w:t>
      </w:r>
      <w:r w:rsidR="00286397">
        <w:t xml:space="preserve"> -</w:t>
      </w:r>
      <w:r>
        <w:t xml:space="preserve"> wskazała, że „</w:t>
      </w:r>
      <w:r w:rsidRPr="00C91A28">
        <w:t>większy nacisk położony jest na to, by generować jak najmniejsze opóźnienia</w:t>
      </w:r>
      <w:r w:rsidR="00E66B89">
        <w:t xml:space="preserve"> w </w:t>
      </w:r>
      <w:r w:rsidRPr="00C91A28">
        <w:t>naborach</w:t>
      </w:r>
      <w:r w:rsidR="00E66B89">
        <w:t xml:space="preserve"> o </w:t>
      </w:r>
      <w:r w:rsidRPr="00C91A28">
        <w:t>relatywnie dużej liczebności złożonych wniosków, mniejszy zaś na to, by</w:t>
      </w:r>
      <w:r w:rsidR="00E66B89">
        <w:t xml:space="preserve"> w </w:t>
      </w:r>
      <w:r w:rsidRPr="00C91A28">
        <w:t>sytuacji stosunkowo małej liczby złożonych wniosków dążyć do jak największego skrócenia czasu trwania oceny</w:t>
      </w:r>
      <w:r>
        <w:t>”</w:t>
      </w:r>
      <w:r>
        <w:rPr>
          <w:rStyle w:val="Odwoanieprzypisudolnego"/>
        </w:rPr>
        <w:footnoteReference w:id="183"/>
      </w:r>
      <w:r w:rsidRPr="00C91A28">
        <w:t>.</w:t>
      </w:r>
      <w:r w:rsidR="007E7C1F">
        <w:t xml:space="preserve"> Dla porównania, średni czas trwania naboru</w:t>
      </w:r>
      <w:r w:rsidR="00E66B89">
        <w:t xml:space="preserve"> w </w:t>
      </w:r>
      <w:r w:rsidR="007E7C1F">
        <w:t xml:space="preserve">RPO WL </w:t>
      </w:r>
      <w:r w:rsidR="00082434">
        <w:t xml:space="preserve">2014-2020 </w:t>
      </w:r>
      <w:r w:rsidR="007E7C1F">
        <w:t>wynosi 67 dni</w:t>
      </w:r>
      <w:r w:rsidR="00082434">
        <w:t>,</w:t>
      </w:r>
      <w:r w:rsidR="00E66B89">
        <w:t xml:space="preserve"> a </w:t>
      </w:r>
      <w:r w:rsidR="00082434">
        <w:t>zatem dużo mniej niż</w:t>
      </w:r>
      <w:r w:rsidR="00E66B89">
        <w:t xml:space="preserve"> w </w:t>
      </w:r>
      <w:r w:rsidR="00082434">
        <w:t>RPO WZ</w:t>
      </w:r>
      <w:r w:rsidR="00AD4B52">
        <w:t xml:space="preserve"> 2014-2020</w:t>
      </w:r>
      <w:r w:rsidR="007E7C1F">
        <w:t>.</w:t>
      </w:r>
    </w:p>
    <w:p w14:paraId="5CE49A7B" w14:textId="77777777" w:rsidR="00526AA8" w:rsidRPr="008B706B" w:rsidRDefault="00526AA8" w:rsidP="00526AA8">
      <w:pPr>
        <w:rPr>
          <w:b/>
        </w:rPr>
      </w:pPr>
      <w:r>
        <w:t>A</w:t>
      </w:r>
      <w:r w:rsidRPr="00E929F0">
        <w:t>nalizie poddano</w:t>
      </w:r>
      <w:r w:rsidR="003D45BC">
        <w:t xml:space="preserve"> także</w:t>
      </w:r>
      <w:r w:rsidRPr="00E929F0">
        <w:t xml:space="preserve"> </w:t>
      </w:r>
      <w:r>
        <w:t>częstość zmian harmonogramów naborów. Najwięcej zmian dokonano</w:t>
      </w:r>
      <w:r w:rsidR="00E66B89">
        <w:t xml:space="preserve"> w </w:t>
      </w:r>
      <w:r>
        <w:t>2017 roku – 7 razy, średnio raz na dwa miesiące. Niewiele mniej zmian - 6 - dokonano</w:t>
      </w:r>
      <w:r w:rsidR="00E66B89">
        <w:t xml:space="preserve"> w </w:t>
      </w:r>
      <w:r>
        <w:t>roku 2016.</w:t>
      </w:r>
      <w:r w:rsidR="00E66B89">
        <w:t xml:space="preserve"> W </w:t>
      </w:r>
      <w:r>
        <w:t>początkowej fazie wdrażania perspektywy (2015 r.) harmonogramy naborów zmieniono 3 razy, natomiast</w:t>
      </w:r>
      <w:r w:rsidR="00E66B89">
        <w:t xml:space="preserve"> w </w:t>
      </w:r>
      <w:r>
        <w:t>ostatni</w:t>
      </w:r>
      <w:r w:rsidR="00782AD7">
        <w:t>m</w:t>
      </w:r>
      <w:r>
        <w:t xml:space="preserve"> </w:t>
      </w:r>
      <w:r w:rsidR="00782AD7">
        <w:t>roku (2018)</w:t>
      </w:r>
      <w:r w:rsidR="00E66B89">
        <w:t xml:space="preserve"> i </w:t>
      </w:r>
      <w:r w:rsidR="00782AD7">
        <w:t>na początku 2019</w:t>
      </w:r>
      <w:r>
        <w:t xml:space="preserve"> dokonano po dwie zmiany harmonogramów naborów. </w:t>
      </w:r>
      <w:r w:rsidR="003D45BC">
        <w:t>Liczba</w:t>
      </w:r>
      <w:r w:rsidR="008B706B">
        <w:t xml:space="preserve"> </w:t>
      </w:r>
      <w:r w:rsidR="003D45BC">
        <w:t>zmian harmonogramów na takim poziomie nie wydaje się zbyt uciążliwa dla potencjalnych wnioskodawców, ponadto jest to proces naturalny</w:t>
      </w:r>
      <w:r w:rsidR="00E66B89">
        <w:t xml:space="preserve"> w </w:t>
      </w:r>
      <w:r w:rsidR="003D45BC">
        <w:t xml:space="preserve">trakcie wdrażania Programu. </w:t>
      </w:r>
      <w:r>
        <w:t>Większość wnioskodawców (87%</w:t>
      </w:r>
      <w:r w:rsidR="003D45BC">
        <w:t>, n=</w:t>
      </w:r>
      <w:r w:rsidR="00D469BD">
        <w:t>643</w:t>
      </w:r>
      <w:r>
        <w:t>) oceniła, że harmonogramy naborów były publikowane wystarczająco wcześnie – nieco lepiej ocenili to wnioskodawcy EFS (90%</w:t>
      </w:r>
      <w:r w:rsidR="003D45BC">
        <w:t>, n=</w:t>
      </w:r>
      <w:r w:rsidR="00D469BD">
        <w:t>282</w:t>
      </w:r>
      <w:r>
        <w:t>)</w:t>
      </w:r>
      <w:r w:rsidR="003D45BC">
        <w:t>,</w:t>
      </w:r>
      <w:r>
        <w:t xml:space="preserve"> niż EFRR (83%</w:t>
      </w:r>
      <w:r w:rsidR="003D45BC">
        <w:t>, n=</w:t>
      </w:r>
      <w:r w:rsidR="00D469BD">
        <w:t>361</w:t>
      </w:r>
      <w:r>
        <w:t>). Należy mieć na uwadze, że planowanie harmonogramów naborów</w:t>
      </w:r>
      <w:r w:rsidR="00E66B89">
        <w:t xml:space="preserve"> z </w:t>
      </w:r>
      <w:r>
        <w:t>wyprzedzeniem pozwala oszczędzić wnioskodawcom części obciążeń. Potencjalni wnioskodawcy znając</w:t>
      </w:r>
      <w:r w:rsidR="00E66B89">
        <w:t xml:space="preserve"> z </w:t>
      </w:r>
      <w:r>
        <w:t>wyprzedzeniem terminy naborów mogą dużo wcześniej rozpocząć pozyskiwanie niezbędnych dokumentów</w:t>
      </w:r>
      <w:r w:rsidR="00E66B89">
        <w:t xml:space="preserve"> i </w:t>
      </w:r>
      <w:r>
        <w:t xml:space="preserve">przygotowywanie </w:t>
      </w:r>
      <w:r>
        <w:lastRenderedPageBreak/>
        <w:t>projektu oraz rozplanować strategię działania</w:t>
      </w:r>
      <w:r w:rsidR="003D45BC">
        <w:t>,</w:t>
      </w:r>
      <w:r>
        <w:t xml:space="preserve"> uwzględniając możliwe do pozyskania środki unijne. Najlepszym rozwiązaniem byłoby planowanie</w:t>
      </w:r>
      <w:r w:rsidR="00E66B89">
        <w:t xml:space="preserve"> i </w:t>
      </w:r>
      <w:r>
        <w:t>umieszczanie harmonogramów naborów na całą perspektywę, jednak jak pokazuje doświadczenie</w:t>
      </w:r>
      <w:r w:rsidR="00E66B89">
        <w:t xml:space="preserve"> z </w:t>
      </w:r>
      <w:r>
        <w:t>2017 roku</w:t>
      </w:r>
      <w:r w:rsidR="003D45BC">
        <w:t>,</w:t>
      </w:r>
      <w:r>
        <w:t xml:space="preserve"> różne czynniki zewnętrzne mogą sprawić, że nie </w:t>
      </w:r>
      <w:r w:rsidR="003D45BC">
        <w:t>będzie</w:t>
      </w:r>
      <w:r>
        <w:t xml:space="preserve"> to możliwe. Na dużą liczbę zmian harmonogramów</w:t>
      </w:r>
      <w:r w:rsidR="00E66B89">
        <w:t xml:space="preserve"> w </w:t>
      </w:r>
      <w:r>
        <w:t>drugiej połowie 2016 roku</w:t>
      </w:r>
      <w:r w:rsidR="00E66B89">
        <w:t xml:space="preserve"> i w </w:t>
      </w:r>
      <w:r>
        <w:t>trzech pierwszych kwartałach 2017 roku wpływ mogło mieć wypracowywanie,</w:t>
      </w:r>
      <w:r w:rsidR="00E66B89">
        <w:t xml:space="preserve"> a </w:t>
      </w:r>
      <w:r>
        <w:t>potem przyjęcie ustawy wdrożeniowej, która przyniosła zmiany</w:t>
      </w:r>
      <w:r w:rsidR="00E66B89">
        <w:t xml:space="preserve"> w </w:t>
      </w:r>
      <w:r>
        <w:t xml:space="preserve">systemie wdrażania RPO WZ. </w:t>
      </w:r>
      <w:r w:rsidRPr="008B706B">
        <w:rPr>
          <w:b/>
        </w:rPr>
        <w:t>Należałoby rozważyć umieszczanie harmonogramów naborów</w:t>
      </w:r>
      <w:r w:rsidR="00E66B89">
        <w:rPr>
          <w:b/>
        </w:rPr>
        <w:t xml:space="preserve"> w </w:t>
      </w:r>
      <w:r w:rsidRPr="008B706B">
        <w:rPr>
          <w:b/>
        </w:rPr>
        <w:t xml:space="preserve">perspektywie przynajmniej 2-letniej, co zapewniłoby większą przewidywalność </w:t>
      </w:r>
      <w:r w:rsidR="003D45BC" w:rsidRPr="008B706B">
        <w:rPr>
          <w:b/>
        </w:rPr>
        <w:t xml:space="preserve">planowanych </w:t>
      </w:r>
      <w:r w:rsidRPr="008B706B">
        <w:rPr>
          <w:b/>
        </w:rPr>
        <w:t>działań dla potencjalnych wnioskodawców.</w:t>
      </w:r>
    </w:p>
    <w:p w14:paraId="490748E9" w14:textId="77777777" w:rsidR="00526AA8" w:rsidRPr="00D86BE6" w:rsidRDefault="00526AA8" w:rsidP="00526AA8">
      <w:pPr>
        <w:pStyle w:val="Nagwek4"/>
        <w:numPr>
          <w:ilvl w:val="0"/>
          <w:numId w:val="0"/>
        </w:numPr>
        <w:rPr>
          <w:rFonts w:ascii="Lato" w:eastAsia="Calibri" w:hAnsi="Lato"/>
          <w:szCs w:val="20"/>
        </w:rPr>
      </w:pPr>
      <w:r w:rsidRPr="00D86BE6">
        <w:rPr>
          <w:rFonts w:ascii="Lato" w:eastAsia="Calibri" w:hAnsi="Lato"/>
          <w:szCs w:val="20"/>
        </w:rPr>
        <w:t>Działania informacyjno-promocyjne</w:t>
      </w:r>
    </w:p>
    <w:p w14:paraId="3784DF86" w14:textId="77777777" w:rsidR="00526AA8" w:rsidRDefault="003D45BC" w:rsidP="00526AA8">
      <w:pPr>
        <w:rPr>
          <w:szCs w:val="20"/>
        </w:rPr>
      </w:pPr>
      <w:r>
        <w:rPr>
          <w:szCs w:val="20"/>
        </w:rPr>
        <w:t>Kolejnym działaniem jakie podejmować mogą instytucje wdrażające</w:t>
      </w:r>
      <w:r w:rsidR="00E66B89">
        <w:rPr>
          <w:szCs w:val="20"/>
        </w:rPr>
        <w:t xml:space="preserve"> w </w:t>
      </w:r>
      <w:r>
        <w:rPr>
          <w:szCs w:val="20"/>
        </w:rPr>
        <w:t xml:space="preserve">celu zwiększania skuteczności wdrażania interwencji są działania informacyjno-promocyjne. </w:t>
      </w:r>
      <w:r w:rsidR="00526AA8" w:rsidRPr="00A600AE">
        <w:rPr>
          <w:szCs w:val="20"/>
        </w:rPr>
        <w:t>IZ RPO W</w:t>
      </w:r>
      <w:r w:rsidR="00526AA8">
        <w:rPr>
          <w:szCs w:val="20"/>
        </w:rPr>
        <w:t>Z</w:t>
      </w:r>
      <w:r w:rsidR="00526AA8" w:rsidRPr="00A600AE">
        <w:rPr>
          <w:szCs w:val="20"/>
        </w:rPr>
        <w:t xml:space="preserve"> 2014-2020 podejmowała </w:t>
      </w:r>
      <w:r w:rsidR="006D5A71">
        <w:rPr>
          <w:szCs w:val="20"/>
        </w:rPr>
        <w:t xml:space="preserve">dotychczas </w:t>
      </w:r>
      <w:r w:rsidR="00526AA8" w:rsidRPr="00A600AE">
        <w:rPr>
          <w:szCs w:val="20"/>
        </w:rPr>
        <w:t xml:space="preserve">liczne </w:t>
      </w:r>
      <w:r w:rsidR="00526AA8" w:rsidRPr="00EE373D">
        <w:rPr>
          <w:szCs w:val="20"/>
        </w:rPr>
        <w:t>działania informacyjno-promocyjne</w:t>
      </w:r>
      <w:r w:rsidR="00526AA8" w:rsidRPr="00A600AE">
        <w:rPr>
          <w:szCs w:val="20"/>
        </w:rPr>
        <w:t>, mające na celu promowanie możliwości uzyskania dofinansowania</w:t>
      </w:r>
      <w:r w:rsidR="00E66B89">
        <w:rPr>
          <w:szCs w:val="20"/>
        </w:rPr>
        <w:t xml:space="preserve"> w </w:t>
      </w:r>
      <w:r w:rsidR="00526AA8" w:rsidRPr="00A600AE">
        <w:rPr>
          <w:szCs w:val="20"/>
        </w:rPr>
        <w:t xml:space="preserve">ramach Programu. </w:t>
      </w:r>
    </w:p>
    <w:p w14:paraId="7F7FD917" w14:textId="77777777" w:rsidR="00526AA8" w:rsidRDefault="00526AA8" w:rsidP="00526AA8">
      <w:pPr>
        <w:rPr>
          <w:szCs w:val="20"/>
        </w:rPr>
      </w:pPr>
      <w:r w:rsidRPr="00A600AE">
        <w:rPr>
          <w:szCs w:val="20"/>
        </w:rPr>
        <w:t xml:space="preserve">Badanie </w:t>
      </w:r>
      <w:r>
        <w:rPr>
          <w:szCs w:val="20"/>
        </w:rPr>
        <w:t>wnioskodawców</w:t>
      </w:r>
      <w:r w:rsidRPr="00A600AE">
        <w:rPr>
          <w:szCs w:val="20"/>
        </w:rPr>
        <w:t xml:space="preserve"> przeprowadzone na potrzeby niniejszej ewaluacji mid-term, potwierdza wysoką skuteczność </w:t>
      </w:r>
      <w:r w:rsidR="006D5A71">
        <w:rPr>
          <w:szCs w:val="20"/>
        </w:rPr>
        <w:t xml:space="preserve">tych </w:t>
      </w:r>
      <w:r w:rsidRPr="00A600AE">
        <w:rPr>
          <w:szCs w:val="20"/>
        </w:rPr>
        <w:t>działań informacyjnych</w:t>
      </w:r>
      <w:r>
        <w:rPr>
          <w:szCs w:val="20"/>
        </w:rPr>
        <w:t xml:space="preserve">. </w:t>
      </w:r>
      <w:r w:rsidRPr="00A600AE">
        <w:rPr>
          <w:szCs w:val="20"/>
        </w:rPr>
        <w:t xml:space="preserve">Zdecydowana większość </w:t>
      </w:r>
      <w:r>
        <w:rPr>
          <w:szCs w:val="20"/>
        </w:rPr>
        <w:t>wnioskodawców (83%</w:t>
      </w:r>
      <w:r w:rsidR="006D5A71">
        <w:rPr>
          <w:szCs w:val="20"/>
        </w:rPr>
        <w:t>, n=</w:t>
      </w:r>
      <w:r w:rsidR="00D01920">
        <w:rPr>
          <w:szCs w:val="20"/>
        </w:rPr>
        <w:t>643</w:t>
      </w:r>
      <w:r>
        <w:rPr>
          <w:szCs w:val="20"/>
        </w:rPr>
        <w:t>)</w:t>
      </w:r>
      <w:r w:rsidRPr="00A600AE">
        <w:rPr>
          <w:szCs w:val="20"/>
        </w:rPr>
        <w:t xml:space="preserve"> wysoko oceniła dostęp do informacji potrzebnych na etapie przygotowania wniosku</w:t>
      </w:r>
      <w:r w:rsidR="00E66B89">
        <w:rPr>
          <w:szCs w:val="20"/>
        </w:rPr>
        <w:t xml:space="preserve"> o </w:t>
      </w:r>
      <w:r w:rsidRPr="00A600AE">
        <w:rPr>
          <w:szCs w:val="20"/>
        </w:rPr>
        <w:t xml:space="preserve">dofinansowanie, choć jednocześnie </w:t>
      </w:r>
      <w:r>
        <w:rPr>
          <w:szCs w:val="20"/>
        </w:rPr>
        <w:t>34</w:t>
      </w:r>
      <w:r w:rsidRPr="00A600AE">
        <w:rPr>
          <w:szCs w:val="20"/>
        </w:rPr>
        <w:t xml:space="preserve">% </w:t>
      </w:r>
      <w:r w:rsidR="00D01920">
        <w:rPr>
          <w:szCs w:val="20"/>
        </w:rPr>
        <w:t xml:space="preserve">(n=643) </w:t>
      </w:r>
      <w:r w:rsidRPr="00A600AE">
        <w:rPr>
          <w:szCs w:val="20"/>
        </w:rPr>
        <w:t>respondentów wskazało, że brakowało im zrozumiałych</w:t>
      </w:r>
      <w:r w:rsidR="00E66B89">
        <w:rPr>
          <w:szCs w:val="20"/>
        </w:rPr>
        <w:t xml:space="preserve"> i </w:t>
      </w:r>
      <w:r w:rsidRPr="00A600AE">
        <w:rPr>
          <w:szCs w:val="20"/>
        </w:rPr>
        <w:t>praktycznych informacji dotyczących zasad przygotowania wniosku</w:t>
      </w:r>
      <w:r w:rsidR="00E66B89">
        <w:rPr>
          <w:szCs w:val="20"/>
        </w:rPr>
        <w:t xml:space="preserve"> i </w:t>
      </w:r>
      <w:r w:rsidRPr="00A600AE">
        <w:rPr>
          <w:szCs w:val="20"/>
        </w:rPr>
        <w:t xml:space="preserve">dokumentacji projektowej. </w:t>
      </w:r>
      <w:r>
        <w:rPr>
          <w:szCs w:val="20"/>
        </w:rPr>
        <w:t xml:space="preserve">Prawie ¼ </w:t>
      </w:r>
      <w:r w:rsidR="00D01920">
        <w:rPr>
          <w:szCs w:val="20"/>
        </w:rPr>
        <w:t xml:space="preserve">(n=643) </w:t>
      </w:r>
      <w:r>
        <w:rPr>
          <w:szCs w:val="20"/>
        </w:rPr>
        <w:t>badanych wnioskodawców zarówno EFS jak</w:t>
      </w:r>
      <w:r w:rsidR="00E66B89">
        <w:rPr>
          <w:szCs w:val="20"/>
        </w:rPr>
        <w:t xml:space="preserve"> i </w:t>
      </w:r>
      <w:r>
        <w:rPr>
          <w:szCs w:val="20"/>
        </w:rPr>
        <w:t xml:space="preserve">EFRR wskazała także na problem </w:t>
      </w:r>
      <w:r w:rsidRPr="007C1FCC">
        <w:rPr>
          <w:szCs w:val="20"/>
        </w:rPr>
        <w:t>ze zrozumieniem zapisów</w:t>
      </w:r>
      <w:r w:rsidR="00E66B89">
        <w:rPr>
          <w:szCs w:val="20"/>
        </w:rPr>
        <w:t xml:space="preserve"> w </w:t>
      </w:r>
      <w:r w:rsidRPr="007C1FCC">
        <w:rPr>
          <w:szCs w:val="20"/>
        </w:rPr>
        <w:t>regulaminie konkursu lub dokumentach potrzebnych na etapie przygotowania wniosku</w:t>
      </w:r>
      <w:r>
        <w:rPr>
          <w:szCs w:val="20"/>
        </w:rPr>
        <w:t xml:space="preserve">. </w:t>
      </w:r>
      <w:r>
        <w:t>68%</w:t>
      </w:r>
      <w:r w:rsidR="006D5A71">
        <w:t xml:space="preserve"> (n=214)</w:t>
      </w:r>
      <w:r>
        <w:t xml:space="preserve"> wnioskodawców, którzy wzięli udział</w:t>
      </w:r>
      <w:r w:rsidR="00E66B89">
        <w:t xml:space="preserve"> w </w:t>
      </w:r>
      <w:r>
        <w:t>badaniu zwróciło się do IOK lub PIFE</w:t>
      </w:r>
      <w:r w:rsidR="00E66B89">
        <w:t xml:space="preserve"> o </w:t>
      </w:r>
      <w:r>
        <w:t>pomoc lub wyjaśnienia,</w:t>
      </w:r>
      <w:r w:rsidR="00E66B89">
        <w:t xml:space="preserve"> a w </w:t>
      </w:r>
      <w:r w:rsidR="006D5A71">
        <w:t>tej grupie badanych</w:t>
      </w:r>
      <w:r>
        <w:t xml:space="preserve"> </w:t>
      </w:r>
      <w:r w:rsidR="006D5A71">
        <w:t>64</w:t>
      </w:r>
      <w:r>
        <w:t>%</w:t>
      </w:r>
      <w:r w:rsidR="006D5A71">
        <w:t xml:space="preserve"> (n=145)</w:t>
      </w:r>
      <w:r>
        <w:t xml:space="preserve"> uzyskało wystarczającą pomoc. Zdecydowana większość wnioskodawców, którzy wskazali na niewystarczającą pomoc wymieniała nieprecyzyjne odpowiedzi pracowników instytucji, do których się zwracali. Dodatkowo odpowiedzi</w:t>
      </w:r>
      <w:r w:rsidR="006D5A71">
        <w:t>,</w:t>
      </w:r>
      <w:r>
        <w:t xml:space="preserve"> jakie uzyskiwali nie były </w:t>
      </w:r>
      <w:r w:rsidR="006D5A71">
        <w:t xml:space="preserve">ich zdaniem </w:t>
      </w:r>
      <w:r>
        <w:t>wiążące</w:t>
      </w:r>
      <w:r w:rsidR="00E66B89">
        <w:t xml:space="preserve"> i w </w:t>
      </w:r>
      <w:r>
        <w:t xml:space="preserve">przypadku kwestii spornych nie mogli powołać się na interpretacje uzyskane we wspomnianych instytucjach. </w:t>
      </w:r>
      <w:r>
        <w:rPr>
          <w:szCs w:val="20"/>
        </w:rPr>
        <w:t>Zdaniem ponad połowy wnioskodawców w</w:t>
      </w:r>
      <w:r w:rsidRPr="00E219FA">
        <w:rPr>
          <w:szCs w:val="20"/>
        </w:rPr>
        <w:t>e wniosku trzeba podać zbyt szczegółowe dane, które mogą się zmienić</w:t>
      </w:r>
      <w:r w:rsidR="00E66B89">
        <w:rPr>
          <w:szCs w:val="20"/>
        </w:rPr>
        <w:t xml:space="preserve"> w </w:t>
      </w:r>
      <w:r w:rsidRPr="00E219FA">
        <w:rPr>
          <w:szCs w:val="20"/>
        </w:rPr>
        <w:t>trakcie realizacji projektu</w:t>
      </w:r>
      <w:r>
        <w:rPr>
          <w:szCs w:val="20"/>
        </w:rPr>
        <w:t>, przede wszystkim: p</w:t>
      </w:r>
      <w:r w:rsidRPr="004C22DA">
        <w:rPr>
          <w:szCs w:val="20"/>
        </w:rPr>
        <w:t>arametry, szczegóły techniczne urządzeń, sprzętu, materiałów przewidzianych do zakupu</w:t>
      </w:r>
      <w:r w:rsidR="00E66B89">
        <w:rPr>
          <w:szCs w:val="20"/>
        </w:rPr>
        <w:t xml:space="preserve"> w </w:t>
      </w:r>
      <w:r w:rsidRPr="004C22DA">
        <w:rPr>
          <w:szCs w:val="20"/>
        </w:rPr>
        <w:t>projekcie</w:t>
      </w:r>
      <w:r>
        <w:rPr>
          <w:szCs w:val="20"/>
        </w:rPr>
        <w:t>, t</w:t>
      </w:r>
      <w:r w:rsidRPr="00BF1DE5">
        <w:rPr>
          <w:szCs w:val="20"/>
        </w:rPr>
        <w:t>erminy realizacji poszczególnych zadań, etapów projektu</w:t>
      </w:r>
      <w:r>
        <w:rPr>
          <w:szCs w:val="20"/>
        </w:rPr>
        <w:t xml:space="preserve">, </w:t>
      </w:r>
      <w:r w:rsidRPr="00BF1DE5">
        <w:rPr>
          <w:szCs w:val="20"/>
        </w:rPr>
        <w:t>elementy składowe budżetu (kategorie), wartość poszczególnych kosztów</w:t>
      </w:r>
      <w:r>
        <w:rPr>
          <w:szCs w:val="20"/>
        </w:rPr>
        <w:t>.</w:t>
      </w:r>
    </w:p>
    <w:p w14:paraId="66B83725" w14:textId="77777777" w:rsidR="00526AA8" w:rsidRDefault="00526AA8" w:rsidP="00024F00">
      <w:pPr>
        <w:pStyle w:val="Legenda"/>
        <w:spacing w:after="0"/>
      </w:pPr>
      <w:bookmarkStart w:id="406" w:name="_Toc5311911"/>
      <w:r w:rsidRPr="00644A85">
        <w:lastRenderedPageBreak/>
        <w:t xml:space="preserve">Wykres </w:t>
      </w:r>
      <w:r w:rsidR="00B72A80">
        <w:fldChar w:fldCharType="begin"/>
      </w:r>
      <w:r w:rsidR="00B72A80">
        <w:instrText xml:space="preserve"> SEQ Wykres \* ARABIC </w:instrText>
      </w:r>
      <w:r w:rsidR="00B72A80">
        <w:fldChar w:fldCharType="separate"/>
      </w:r>
      <w:r w:rsidR="00763345">
        <w:rPr>
          <w:noProof/>
        </w:rPr>
        <w:t>46</w:t>
      </w:r>
      <w:r w:rsidR="00B72A80">
        <w:fldChar w:fldCharType="end"/>
      </w:r>
      <w:r w:rsidRPr="00644A85">
        <w:t xml:space="preserve"> Ocena etapu opracowania wniosku</w:t>
      </w:r>
      <w:r w:rsidR="00E66B89">
        <w:t xml:space="preserve"> o </w:t>
      </w:r>
      <w:r w:rsidRPr="00644A85">
        <w:t>dofinansowanie – opinie wnioskodawców RPO WZ 2014-2020</w:t>
      </w:r>
      <w:bookmarkEnd w:id="406"/>
    </w:p>
    <w:p w14:paraId="442886F2" w14:textId="646F9325" w:rsidR="00526AA8" w:rsidRPr="00644A85" w:rsidRDefault="00C35619" w:rsidP="00CA715D">
      <w:pPr>
        <w:pStyle w:val="TytuTAB"/>
        <w:spacing w:before="0" w:after="0"/>
      </w:pPr>
      <w:r w:rsidRPr="00D508B6">
        <w:rPr>
          <w:noProof/>
          <w:lang w:val="pl-PL" w:eastAsia="pl-PL"/>
        </w:rPr>
        <w:drawing>
          <wp:inline distT="0" distB="0" distL="0" distR="0" wp14:anchorId="4C92B108" wp14:editId="6791E220">
            <wp:extent cx="5757545" cy="2776855"/>
            <wp:effectExtent l="0" t="0" r="14605" b="4445"/>
            <wp:docPr id="81"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1CDB918" w14:textId="77777777" w:rsidR="00526AA8" w:rsidRPr="00E4475B" w:rsidRDefault="00526AA8" w:rsidP="0028542B">
      <w:pPr>
        <w:spacing w:before="0"/>
        <w:rPr>
          <w:rFonts w:cs="Calibri"/>
          <w:i/>
          <w:sz w:val="18"/>
          <w:szCs w:val="20"/>
        </w:rPr>
      </w:pPr>
      <w:r w:rsidRPr="00E4475B">
        <w:rPr>
          <w:rFonts w:cs="Calibri"/>
          <w:i/>
          <w:sz w:val="18"/>
          <w:szCs w:val="20"/>
        </w:rPr>
        <w:t>Źródło: opracowanie własne na podstawie badania beneficjentów</w:t>
      </w:r>
      <w:r w:rsidR="00E66B89" w:rsidRPr="00E4475B">
        <w:rPr>
          <w:rFonts w:cs="Calibri"/>
          <w:i/>
          <w:sz w:val="18"/>
          <w:szCs w:val="20"/>
        </w:rPr>
        <w:t xml:space="preserve"> i </w:t>
      </w:r>
      <w:r w:rsidRPr="00E4475B">
        <w:rPr>
          <w:rFonts w:cs="Calibri"/>
          <w:i/>
          <w:sz w:val="18"/>
          <w:szCs w:val="20"/>
        </w:rPr>
        <w:t>wnioskodawców nieskutecznych RPO WZ 2014-2020, n=643; pokazano sumę odpowiedzi „zgadzam się”</w:t>
      </w:r>
      <w:r w:rsidR="00E66B89" w:rsidRPr="00E4475B">
        <w:rPr>
          <w:rFonts w:cs="Calibri"/>
          <w:i/>
          <w:sz w:val="18"/>
          <w:szCs w:val="20"/>
        </w:rPr>
        <w:t xml:space="preserve"> i </w:t>
      </w:r>
      <w:r w:rsidRPr="00E4475B">
        <w:rPr>
          <w:rFonts w:cs="Calibri"/>
          <w:i/>
          <w:sz w:val="18"/>
          <w:szCs w:val="20"/>
        </w:rPr>
        <w:t>„raczej się zgadzam”.</w:t>
      </w:r>
    </w:p>
    <w:p w14:paraId="2C42BCFD" w14:textId="77777777" w:rsidR="00526AA8" w:rsidRPr="00901725" w:rsidRDefault="00526AA8" w:rsidP="00526AA8">
      <w:pPr>
        <w:pStyle w:val="Nagwek4"/>
        <w:numPr>
          <w:ilvl w:val="0"/>
          <w:numId w:val="0"/>
        </w:numPr>
        <w:rPr>
          <w:rFonts w:ascii="Lato" w:eastAsia="Calibri" w:hAnsi="Lato"/>
          <w:szCs w:val="20"/>
        </w:rPr>
      </w:pPr>
      <w:r w:rsidRPr="00901725">
        <w:rPr>
          <w:rFonts w:ascii="Lato" w:eastAsia="Calibri" w:hAnsi="Lato"/>
          <w:szCs w:val="20"/>
        </w:rPr>
        <w:t>Kryteria</w:t>
      </w:r>
      <w:r w:rsidR="00E66B89">
        <w:rPr>
          <w:rFonts w:ascii="Lato" w:eastAsia="Calibri" w:hAnsi="Lato"/>
          <w:szCs w:val="20"/>
        </w:rPr>
        <w:t xml:space="preserve"> i </w:t>
      </w:r>
      <w:r>
        <w:rPr>
          <w:rFonts w:ascii="Lato" w:eastAsia="Calibri" w:hAnsi="Lato"/>
          <w:szCs w:val="20"/>
        </w:rPr>
        <w:t>proces wyboru</w:t>
      </w:r>
      <w:r w:rsidRPr="00901725">
        <w:rPr>
          <w:rFonts w:ascii="Lato" w:eastAsia="Calibri" w:hAnsi="Lato"/>
          <w:szCs w:val="20"/>
        </w:rPr>
        <w:t xml:space="preserve"> projektów</w:t>
      </w:r>
    </w:p>
    <w:p w14:paraId="175905A3" w14:textId="77777777" w:rsidR="00D512AD" w:rsidRDefault="00D512AD" w:rsidP="00526AA8">
      <w:r>
        <w:t>IZ</w:t>
      </w:r>
      <w:r w:rsidR="00E66B89">
        <w:t xml:space="preserve"> i </w:t>
      </w:r>
      <w:r>
        <w:t>IP mogą oddziaływać na postęp wdrażania Programu także poprzez dobrze przygotowane kryteria oceny oraz efektywnie zorganizowany proces naboru</w:t>
      </w:r>
      <w:r w:rsidR="00E66B89">
        <w:t xml:space="preserve"> i </w:t>
      </w:r>
      <w:r>
        <w:t>wyboru projektów. Na przestrzeni lat 2014-2018 dokonywano licznych aktualizacji</w:t>
      </w:r>
      <w:r w:rsidR="00E66B89">
        <w:t xml:space="preserve"> i </w:t>
      </w:r>
      <w:r>
        <w:t>zmian</w:t>
      </w:r>
      <w:r w:rsidR="00E66B89">
        <w:t xml:space="preserve"> w </w:t>
      </w:r>
      <w:r>
        <w:t>systemie kryteriów, zwiększając ich skuteczność</w:t>
      </w:r>
      <w:r w:rsidR="00E66B89">
        <w:t xml:space="preserve"> i </w:t>
      </w:r>
      <w:r>
        <w:t xml:space="preserve">użyteczność. </w:t>
      </w:r>
    </w:p>
    <w:p w14:paraId="4D39FBE1" w14:textId="77777777" w:rsidR="00526AA8" w:rsidRPr="00397DFD" w:rsidRDefault="00526AA8" w:rsidP="00526AA8">
      <w:r>
        <w:t>Kryteria oceny projektów miały pozytywny wpływ na podniesienie wartości merytorycznej projektu lub jakości technicznych stosowanych</w:t>
      </w:r>
      <w:r w:rsidR="00E66B89">
        <w:t xml:space="preserve"> w </w:t>
      </w:r>
      <w:r>
        <w:t>projekcie dla 43% wnioskodawców – nieco więcej ocen pozytywnych odnotowano wśród wnioskodawców EFS. Dla 45% wnioskodawców EFS z</w:t>
      </w:r>
      <w:r w:rsidRPr="00543EAF">
        <w:t>apisy wytycznych</w:t>
      </w:r>
      <w:r w:rsidR="00E66B89">
        <w:t xml:space="preserve"> w </w:t>
      </w:r>
      <w:r w:rsidRPr="00543EAF">
        <w:t>zakresie realizacji projektów współfinansowanych</w:t>
      </w:r>
      <w:r w:rsidR="00E66B89">
        <w:t xml:space="preserve"> z </w:t>
      </w:r>
      <w:r w:rsidRPr="00543EAF">
        <w:t>EFS sprawiły, że projekty</w:t>
      </w:r>
      <w:r w:rsidR="00E66B89">
        <w:t xml:space="preserve"> w </w:t>
      </w:r>
      <w:r w:rsidRPr="00543EAF">
        <w:t xml:space="preserve">mniejszym stopniu odpowiadały </w:t>
      </w:r>
      <w:r>
        <w:t>ich realnym potrzebom. Oceny wnioskodawców nie wskazują jednoznacznie czy kryteria oceny projektów</w:t>
      </w:r>
      <w:r w:rsidR="00D512AD">
        <w:t>,</w:t>
      </w:r>
      <w:r>
        <w:t xml:space="preserve"> ich zdaniem</w:t>
      </w:r>
      <w:r w:rsidR="00D512AD">
        <w:t>,</w:t>
      </w:r>
      <w:r w:rsidR="00E66B89">
        <w:t xml:space="preserve"> w </w:t>
      </w:r>
      <w:r>
        <w:t>odpowiednim stopniu punktują wartość merytoryczną projektu – około 1/3 wnioskodawców odpowiedziała twierdząco, mniej więcej podobny odsetek był przeciwnego zdania</w:t>
      </w:r>
      <w:r w:rsidR="00E66B89">
        <w:t xml:space="preserve"> i </w:t>
      </w:r>
      <w:r>
        <w:t>identyczny odsetek nie potrafił ocenić tej kwestii. Nieco lepiej kryteria merytoryczne ocenili wnioskodawcy EFFR.</w:t>
      </w:r>
    </w:p>
    <w:p w14:paraId="4480D362" w14:textId="77777777" w:rsidR="00526AA8" w:rsidRPr="00644A85" w:rsidRDefault="00526AA8" w:rsidP="00024F00">
      <w:pPr>
        <w:pStyle w:val="Legenda"/>
        <w:spacing w:after="0"/>
      </w:pPr>
      <w:bookmarkStart w:id="407" w:name="_Toc5311912"/>
      <w:r w:rsidRPr="00644A85">
        <w:lastRenderedPageBreak/>
        <w:t xml:space="preserve">Wykres </w:t>
      </w:r>
      <w:r w:rsidR="00B72A80">
        <w:fldChar w:fldCharType="begin"/>
      </w:r>
      <w:r w:rsidR="00B72A80">
        <w:instrText xml:space="preserve"> SEQ Wykres \* ARABIC </w:instrText>
      </w:r>
      <w:r w:rsidR="00B72A80">
        <w:fldChar w:fldCharType="separate"/>
      </w:r>
      <w:r w:rsidR="00763345">
        <w:rPr>
          <w:noProof/>
        </w:rPr>
        <w:t>47</w:t>
      </w:r>
      <w:r w:rsidR="00B72A80">
        <w:fldChar w:fldCharType="end"/>
      </w:r>
      <w:r w:rsidRPr="00644A85">
        <w:t xml:space="preserve"> Ocena kryteriów wyboru projektów</w:t>
      </w:r>
      <w:bookmarkEnd w:id="407"/>
    </w:p>
    <w:p w14:paraId="1D3A3EFB" w14:textId="5F2A4D87" w:rsidR="00526AA8" w:rsidRPr="00404DA5" w:rsidRDefault="00C35619" w:rsidP="00CA715D">
      <w:pPr>
        <w:spacing w:before="0" w:after="0" w:line="276" w:lineRule="auto"/>
        <w:jc w:val="left"/>
        <w:rPr>
          <w:b/>
          <w:bCs/>
          <w:color w:val="365F91"/>
          <w:sz w:val="28"/>
          <w:szCs w:val="28"/>
        </w:rPr>
      </w:pPr>
      <w:r w:rsidRPr="00D508B6">
        <w:rPr>
          <w:noProof/>
        </w:rPr>
        <w:drawing>
          <wp:inline distT="0" distB="0" distL="0" distR="0" wp14:anchorId="329E6789" wp14:editId="7225B23B">
            <wp:extent cx="3090545" cy="2401294"/>
            <wp:effectExtent l="0" t="0" r="14605" b="18415"/>
            <wp:docPr id="82" name="Wykre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D508B6">
        <w:rPr>
          <w:noProof/>
        </w:rPr>
        <w:drawing>
          <wp:inline distT="0" distB="0" distL="0" distR="0" wp14:anchorId="01F6AE44" wp14:editId="4E55A5FF">
            <wp:extent cx="2587625" cy="2409245"/>
            <wp:effectExtent l="0" t="0" r="3175" b="10160"/>
            <wp:docPr id="83"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E8ED7A2" w14:textId="77777777" w:rsidR="00526AA8" w:rsidRPr="00E4475B" w:rsidRDefault="00526AA8" w:rsidP="0028542B">
      <w:pPr>
        <w:spacing w:before="0"/>
        <w:rPr>
          <w:rFonts w:cs="Calibri"/>
          <w:i/>
          <w:sz w:val="18"/>
          <w:szCs w:val="20"/>
        </w:rPr>
      </w:pPr>
      <w:r w:rsidRPr="00E4475B">
        <w:rPr>
          <w:rFonts w:cs="Calibri"/>
          <w:i/>
          <w:sz w:val="18"/>
          <w:szCs w:val="20"/>
        </w:rPr>
        <w:t>Źródło: opracowanie własne na podstawie badania beneficjentów</w:t>
      </w:r>
      <w:r w:rsidR="00E66B89" w:rsidRPr="00E4475B">
        <w:rPr>
          <w:rFonts w:cs="Calibri"/>
          <w:i/>
          <w:sz w:val="18"/>
          <w:szCs w:val="20"/>
        </w:rPr>
        <w:t xml:space="preserve"> i </w:t>
      </w:r>
      <w:r w:rsidRPr="00E4475B">
        <w:rPr>
          <w:rFonts w:cs="Calibri"/>
          <w:i/>
          <w:sz w:val="18"/>
          <w:szCs w:val="20"/>
        </w:rPr>
        <w:t>wnioskodawców nieskutecznych RPO WZ 2014-2020, n=643, pokazano sumę odpowiedzi „zgadzam się”</w:t>
      </w:r>
      <w:r w:rsidR="00E66B89" w:rsidRPr="00E4475B">
        <w:rPr>
          <w:rFonts w:cs="Calibri"/>
          <w:i/>
          <w:sz w:val="18"/>
          <w:szCs w:val="20"/>
        </w:rPr>
        <w:t xml:space="preserve"> i </w:t>
      </w:r>
      <w:r w:rsidRPr="00E4475B">
        <w:rPr>
          <w:rFonts w:cs="Calibri"/>
          <w:i/>
          <w:sz w:val="18"/>
          <w:szCs w:val="20"/>
        </w:rPr>
        <w:t>„raczej się zgadzam” oraz „raczej się nie zgadzam”</w:t>
      </w:r>
      <w:r w:rsidR="00E66B89" w:rsidRPr="00E4475B">
        <w:rPr>
          <w:rFonts w:cs="Calibri"/>
          <w:i/>
          <w:sz w:val="18"/>
          <w:szCs w:val="20"/>
        </w:rPr>
        <w:t xml:space="preserve"> i </w:t>
      </w:r>
      <w:r w:rsidRPr="00E4475B">
        <w:rPr>
          <w:rFonts w:cs="Calibri"/>
          <w:i/>
          <w:sz w:val="18"/>
          <w:szCs w:val="20"/>
        </w:rPr>
        <w:t>„nie zgadzam się”.</w:t>
      </w:r>
    </w:p>
    <w:p w14:paraId="28F34163" w14:textId="77777777" w:rsidR="00526AA8" w:rsidRPr="00397DFD" w:rsidRDefault="00526AA8" w:rsidP="00526AA8">
      <w:r>
        <w:t>System realizacji zapewnia wnioskodawcom możliwość uzupełnienia wniosków,</w:t>
      </w:r>
      <w:r w:rsidR="00E66B89">
        <w:t xml:space="preserve"> w </w:t>
      </w:r>
      <w:r>
        <w:t>tym celu IOK kieruje wezwanie</w:t>
      </w:r>
      <w:r w:rsidR="00E66B89">
        <w:t xml:space="preserve"> w </w:t>
      </w:r>
      <w:r>
        <w:t>celu uzupełnienia kwestii formalnych lub też zgłasza uwagi merytoryczne. Dotychczas IOK wzywała do wyjaśnień aż 70% badanych beneficjentów oraz 56% wnioskodawców, których projekty ostatecznie nie zostały</w:t>
      </w:r>
      <w:r w:rsidR="00D512AD">
        <w:t xml:space="preserve"> jednak</w:t>
      </w:r>
      <w:r>
        <w:t xml:space="preserve"> zakwalifikowane do dofinansowania</w:t>
      </w:r>
      <w:r w:rsidR="00D512AD">
        <w:t xml:space="preserve"> (n=</w:t>
      </w:r>
      <w:r w:rsidR="006B23B5">
        <w:t>643</w:t>
      </w:r>
      <w:r w:rsidR="00D512AD">
        <w:t>)</w:t>
      </w:r>
      <w:r>
        <w:t>. Na pozytywne oddziaływanie uwag IOK na projekty wskazało 45% wnioskodawców</w:t>
      </w:r>
      <w:r w:rsidR="00D512AD">
        <w:t xml:space="preserve"> (n=</w:t>
      </w:r>
      <w:r w:rsidR="008475F6">
        <w:t>220</w:t>
      </w:r>
      <w:r w:rsidR="00D512AD">
        <w:t>)</w:t>
      </w:r>
      <w:r>
        <w:t>.</w:t>
      </w:r>
      <w:r w:rsidR="00E66B89">
        <w:t xml:space="preserve"> W </w:t>
      </w:r>
      <w:r>
        <w:t>większości opinii</w:t>
      </w:r>
      <w:r w:rsidR="00D512AD">
        <w:t>,</w:t>
      </w:r>
      <w:r>
        <w:t xml:space="preserve"> uwagi IOK podwyższały jakość projektu</w:t>
      </w:r>
      <w:r w:rsidR="00D512AD">
        <w:t xml:space="preserve"> – wskazało tak </w:t>
      </w:r>
      <w:r>
        <w:t>57%</w:t>
      </w:r>
      <w:r w:rsidR="00D512AD">
        <w:t xml:space="preserve"> badanych (n=</w:t>
      </w:r>
      <w:r w:rsidR="008475F6">
        <w:t>100</w:t>
      </w:r>
      <w:r w:rsidR="00D512AD">
        <w:t>)</w:t>
      </w:r>
      <w:r>
        <w:t>. Część wnioskodawców wskazała również p</w:t>
      </w:r>
      <w:r w:rsidRPr="00A226BE">
        <w:t>odwyższenie jakości rozwiązań technicznych stosowanych</w:t>
      </w:r>
      <w:r w:rsidR="00E66B89">
        <w:t xml:space="preserve"> w </w:t>
      </w:r>
      <w:r w:rsidRPr="00A226BE">
        <w:t>projekcie</w:t>
      </w:r>
      <w:r>
        <w:t xml:space="preserve"> (16%</w:t>
      </w:r>
      <w:r w:rsidR="008475F6">
        <w:t>, n=100</w:t>
      </w:r>
      <w:r>
        <w:t>), czy u</w:t>
      </w:r>
      <w:r w:rsidRPr="00A226BE">
        <w:t>zyskanie dodatkowych, nieplanowanych wcześniej efektów</w:t>
      </w:r>
      <w:r>
        <w:t xml:space="preserve"> (13%</w:t>
      </w:r>
      <w:r w:rsidR="008475F6">
        <w:t>, n=100</w:t>
      </w:r>
      <w:r>
        <w:t>). Większość wnioskodawców nie odebrała uwag IOK jako ingerencji</w:t>
      </w:r>
      <w:r w:rsidR="00E66B89">
        <w:t xml:space="preserve"> w </w:t>
      </w:r>
      <w:r>
        <w:t>swój projekt. Dla większości badanych wnioskodawców uwagi IOK nie wpływały również na zmniejszenie realizacji potrzeb, na które miał odpowiadać ich wniosek.</w:t>
      </w:r>
    </w:p>
    <w:p w14:paraId="17203D26" w14:textId="77777777" w:rsidR="00526AA8" w:rsidRPr="00644A85" w:rsidRDefault="00526AA8" w:rsidP="00024F00">
      <w:pPr>
        <w:pStyle w:val="Legenda"/>
        <w:spacing w:after="0"/>
      </w:pPr>
      <w:bookmarkStart w:id="408" w:name="_Toc5311913"/>
      <w:r w:rsidRPr="00644A85">
        <w:t xml:space="preserve">Wykres </w:t>
      </w:r>
      <w:r w:rsidR="00B72A80">
        <w:fldChar w:fldCharType="begin"/>
      </w:r>
      <w:r w:rsidR="00B72A80">
        <w:instrText xml:space="preserve"> SEQ Wykres \* ARABIC </w:instrText>
      </w:r>
      <w:r w:rsidR="00B72A80">
        <w:fldChar w:fldCharType="separate"/>
      </w:r>
      <w:r w:rsidR="00763345">
        <w:rPr>
          <w:noProof/>
        </w:rPr>
        <w:t>48</w:t>
      </w:r>
      <w:r w:rsidR="00B72A80">
        <w:fldChar w:fldCharType="end"/>
      </w:r>
      <w:r w:rsidRPr="00644A85">
        <w:t xml:space="preserve"> Ocena działań IOK</w:t>
      </w:r>
      <w:bookmarkEnd w:id="408"/>
    </w:p>
    <w:p w14:paraId="4AD68789" w14:textId="6EEDCCE7" w:rsidR="00526AA8" w:rsidRPr="00404DA5" w:rsidRDefault="00C35619" w:rsidP="00CA715D">
      <w:pPr>
        <w:spacing w:before="0" w:after="0" w:line="276" w:lineRule="auto"/>
        <w:jc w:val="left"/>
        <w:rPr>
          <w:b/>
          <w:bCs/>
          <w:color w:val="365F91"/>
          <w:sz w:val="28"/>
          <w:szCs w:val="28"/>
        </w:rPr>
      </w:pPr>
      <w:r w:rsidRPr="00D508B6">
        <w:rPr>
          <w:noProof/>
        </w:rPr>
        <w:drawing>
          <wp:inline distT="0" distB="0" distL="0" distR="0" wp14:anchorId="6F8822B8" wp14:editId="039902C6">
            <wp:extent cx="3036570" cy="2584174"/>
            <wp:effectExtent l="0" t="0" r="11430" b="6985"/>
            <wp:docPr id="84" name="Wykre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D508B6">
        <w:rPr>
          <w:noProof/>
        </w:rPr>
        <w:drawing>
          <wp:inline distT="0" distB="0" distL="0" distR="0" wp14:anchorId="54A8D9A4" wp14:editId="15B1642B">
            <wp:extent cx="2671445" cy="2584174"/>
            <wp:effectExtent l="0" t="0" r="14605" b="6985"/>
            <wp:docPr id="85"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31A7D78" w14:textId="77777777" w:rsidR="00526AA8" w:rsidRPr="00E4475B" w:rsidRDefault="00526AA8" w:rsidP="0028542B">
      <w:pPr>
        <w:spacing w:before="0"/>
        <w:rPr>
          <w:rFonts w:cs="Calibri"/>
          <w:i/>
          <w:sz w:val="18"/>
          <w:szCs w:val="20"/>
        </w:rPr>
      </w:pPr>
      <w:r w:rsidRPr="00E4475B">
        <w:rPr>
          <w:rFonts w:cs="Calibri"/>
          <w:i/>
          <w:sz w:val="18"/>
          <w:szCs w:val="20"/>
        </w:rPr>
        <w:t>Źródło: opracowanie własne na podstawie badania beneficjentów</w:t>
      </w:r>
      <w:r w:rsidR="00E66B89" w:rsidRPr="00E4475B">
        <w:rPr>
          <w:rFonts w:cs="Calibri"/>
          <w:i/>
          <w:sz w:val="18"/>
          <w:szCs w:val="20"/>
        </w:rPr>
        <w:t xml:space="preserve"> i </w:t>
      </w:r>
      <w:r w:rsidRPr="00E4475B">
        <w:rPr>
          <w:rFonts w:cs="Calibri"/>
          <w:i/>
          <w:sz w:val="18"/>
          <w:szCs w:val="20"/>
        </w:rPr>
        <w:t>wnioskodawców nieskutecznych RPO WZ 2014-2020, n=220, pokazano sumę odpowiedzi „zgadzam się”</w:t>
      </w:r>
      <w:r w:rsidR="00E66B89" w:rsidRPr="00E4475B">
        <w:rPr>
          <w:rFonts w:cs="Calibri"/>
          <w:i/>
          <w:sz w:val="18"/>
          <w:szCs w:val="20"/>
        </w:rPr>
        <w:t xml:space="preserve"> i </w:t>
      </w:r>
      <w:r w:rsidRPr="00E4475B">
        <w:rPr>
          <w:rFonts w:cs="Calibri"/>
          <w:i/>
          <w:sz w:val="18"/>
          <w:szCs w:val="20"/>
        </w:rPr>
        <w:t>„raczej się zgadzam” oraz „raczej się nie zgadzam”</w:t>
      </w:r>
      <w:r w:rsidR="00E66B89" w:rsidRPr="00E4475B">
        <w:rPr>
          <w:rFonts w:cs="Calibri"/>
          <w:i/>
          <w:sz w:val="18"/>
          <w:szCs w:val="20"/>
        </w:rPr>
        <w:t xml:space="preserve"> i </w:t>
      </w:r>
      <w:r w:rsidRPr="00E4475B">
        <w:rPr>
          <w:rFonts w:cs="Calibri"/>
          <w:i/>
          <w:sz w:val="18"/>
          <w:szCs w:val="20"/>
        </w:rPr>
        <w:t>„nie zgadzam się”.</w:t>
      </w:r>
    </w:p>
    <w:p w14:paraId="4A4C313F" w14:textId="77777777" w:rsidR="00526AA8" w:rsidRDefault="00526AA8" w:rsidP="00526AA8">
      <w:r>
        <w:t>Wnioskodawcy ocenili także dokumentację konieczną do zgromadzenia</w:t>
      </w:r>
      <w:r w:rsidR="00E66B89">
        <w:t xml:space="preserve"> i </w:t>
      </w:r>
      <w:r>
        <w:t>złożenia wraz</w:t>
      </w:r>
      <w:r w:rsidR="00E66B89">
        <w:t xml:space="preserve"> z </w:t>
      </w:r>
      <w:r>
        <w:t>WoD – niemal 40%</w:t>
      </w:r>
      <w:r w:rsidR="00E66B89">
        <w:t xml:space="preserve"> z </w:t>
      </w:r>
      <w:r w:rsidR="00D512AD">
        <w:t>nich</w:t>
      </w:r>
      <w:r>
        <w:t xml:space="preserve"> </w:t>
      </w:r>
      <w:r w:rsidR="00D512AD">
        <w:t>przyznało</w:t>
      </w:r>
      <w:r>
        <w:t>, że d</w:t>
      </w:r>
      <w:r w:rsidRPr="00EA1E5D">
        <w:t>okumentacja konieczna do zgromadzenia była zbyt obszerna</w:t>
      </w:r>
      <w:r w:rsidR="00E66B89">
        <w:t xml:space="preserve"> i </w:t>
      </w:r>
      <w:r w:rsidRPr="00EA1E5D">
        <w:t>utrudniała ubieganie się</w:t>
      </w:r>
      <w:r w:rsidR="00E66B89">
        <w:t xml:space="preserve"> o </w:t>
      </w:r>
      <w:r w:rsidRPr="00EA1E5D">
        <w:t>dofinansowanie</w:t>
      </w:r>
      <w:r>
        <w:t>.</w:t>
      </w:r>
      <w:r w:rsidR="00E66B89">
        <w:t xml:space="preserve"> W </w:t>
      </w:r>
      <w:r>
        <w:t xml:space="preserve">ramach </w:t>
      </w:r>
      <w:r w:rsidR="00EF6E58">
        <w:t xml:space="preserve">konkursów </w:t>
      </w:r>
      <w:r>
        <w:t xml:space="preserve">EFRR </w:t>
      </w:r>
      <w:r w:rsidR="00EF6E58">
        <w:t xml:space="preserve">wymaga się zwykle </w:t>
      </w:r>
      <w:r>
        <w:t>większ</w:t>
      </w:r>
      <w:r w:rsidR="00EF6E58">
        <w:t>ej</w:t>
      </w:r>
      <w:r>
        <w:t xml:space="preserve"> liczb</w:t>
      </w:r>
      <w:r w:rsidR="00EF6E58">
        <w:t xml:space="preserve">y </w:t>
      </w:r>
      <w:r w:rsidR="00EF6E58">
        <w:lastRenderedPageBreak/>
        <w:t>załączników niż</w:t>
      </w:r>
      <w:r w:rsidR="00E66B89">
        <w:t xml:space="preserve"> w </w:t>
      </w:r>
      <w:r w:rsidR="00EF6E58">
        <w:t xml:space="preserve">EFS. </w:t>
      </w:r>
      <w:r>
        <w:t xml:space="preserve">Pozyskanie niektórych pozwoleń lub zaświadczeń nie jest </w:t>
      </w:r>
      <w:r w:rsidR="00D512AD">
        <w:t>możliwe</w:t>
      </w:r>
      <w:r>
        <w:t xml:space="preserve"> </w:t>
      </w:r>
      <w:r w:rsidR="00D512AD">
        <w:t>„od ręki”</w:t>
      </w:r>
      <w:r>
        <w:t xml:space="preserve">, </w:t>
      </w:r>
      <w:r w:rsidR="00D512AD">
        <w:t>ich uzyskanie</w:t>
      </w:r>
      <w:r>
        <w:t xml:space="preserve"> było problematyczne dla 26% wnioskodawców EFRR na etapie przygotowywania projektu. N</w:t>
      </w:r>
      <w:r w:rsidRPr="004D4D3B">
        <w:t>ajwiększ</w:t>
      </w:r>
      <w:r>
        <w:t>e</w:t>
      </w:r>
      <w:r w:rsidRPr="004D4D3B">
        <w:t xml:space="preserve"> obciążenia administracyjn</w:t>
      </w:r>
      <w:r>
        <w:t>e</w:t>
      </w:r>
      <w:r w:rsidRPr="004D4D3B">
        <w:t xml:space="preserve"> na etapie przygotowywania dokumentacji aplikacyjnej przez wnioskodawców </w:t>
      </w:r>
      <w:r>
        <w:t xml:space="preserve">dotyczą zwykle </w:t>
      </w:r>
      <w:r w:rsidRPr="004D4D3B">
        <w:t>przygotowywania studium wykonalności (EFRR) oraz budżetu projektu (EFS)</w:t>
      </w:r>
      <w:r>
        <w:rPr>
          <w:rStyle w:val="Odwoanieprzypisudolnego"/>
        </w:rPr>
        <w:footnoteReference w:id="184"/>
      </w:r>
      <w:r w:rsidRPr="004D4D3B">
        <w:t>.</w:t>
      </w:r>
    </w:p>
    <w:p w14:paraId="680A10C1" w14:textId="77777777" w:rsidR="00526AA8" w:rsidRDefault="008F4A09" w:rsidP="00526AA8">
      <w:r>
        <w:t>Wnioskodawcy, których starania</w:t>
      </w:r>
      <w:r w:rsidR="00E66B89">
        <w:t xml:space="preserve"> o </w:t>
      </w:r>
      <w:r>
        <w:t xml:space="preserve">dofinansowanie okazały się nieskuteczne najczęściej wskazywali na odrzucenie projektu na etapie </w:t>
      </w:r>
      <w:r w:rsidR="00526AA8" w:rsidRPr="00404DA5">
        <w:t>oceny formalno-merytorycznej</w:t>
      </w:r>
      <w:r>
        <w:t xml:space="preserve"> (24%)</w:t>
      </w:r>
      <w:r w:rsidR="00526AA8" w:rsidRPr="00404DA5">
        <w:t xml:space="preserve">, </w:t>
      </w:r>
      <w:r w:rsidR="00254593">
        <w:t>natomiast</w:t>
      </w:r>
      <w:r w:rsidR="00526AA8" w:rsidRPr="00404DA5">
        <w:t xml:space="preserve"> 13%</w:t>
      </w:r>
      <w:r w:rsidR="00254593">
        <w:t xml:space="preserve"> </w:t>
      </w:r>
      <w:r w:rsidR="00526AA8" w:rsidRPr="00404DA5">
        <w:t>nie przeszła samej oceny formalnej</w:t>
      </w:r>
      <w:r w:rsidR="00254593">
        <w:t xml:space="preserve"> (n=206)</w:t>
      </w:r>
      <w:r>
        <w:t>.</w:t>
      </w:r>
      <w:r w:rsidR="00526AA8" w:rsidRPr="00404DA5">
        <w:t xml:space="preserve"> </w:t>
      </w:r>
      <w:r w:rsidR="00254593">
        <w:t>Kolejny odsetek -</w:t>
      </w:r>
      <w:r w:rsidR="00526AA8" w:rsidRPr="00404DA5">
        <w:t xml:space="preserve"> 12% </w:t>
      </w:r>
      <w:r w:rsidR="00D512AD">
        <w:t xml:space="preserve">- </w:t>
      </w:r>
      <w:r w:rsidR="00526AA8" w:rsidRPr="00404DA5">
        <w:t>po pozytywnej ocenie formalnej</w:t>
      </w:r>
      <w:r w:rsidR="00D512AD">
        <w:t xml:space="preserve"> -</w:t>
      </w:r>
      <w:r w:rsidR="00526AA8" w:rsidRPr="00404DA5">
        <w:t xml:space="preserve"> nie uzyskało wystarczające</w:t>
      </w:r>
      <w:r w:rsidR="00526AA8">
        <w:t>j</w:t>
      </w:r>
      <w:r w:rsidR="00526AA8" w:rsidRPr="00404DA5">
        <w:t xml:space="preserve"> licz</w:t>
      </w:r>
      <w:r w:rsidR="00526AA8">
        <w:t>b</w:t>
      </w:r>
      <w:r w:rsidR="00526AA8" w:rsidRPr="00404DA5">
        <w:t>y punktów podczas oceny merytorycznej</w:t>
      </w:r>
      <w:r w:rsidR="002558DC">
        <w:t xml:space="preserve"> (n=206)</w:t>
      </w:r>
      <w:r w:rsidR="00526AA8" w:rsidRPr="00404DA5">
        <w:t>. Tylko 1%</w:t>
      </w:r>
      <w:r w:rsidR="00CD4E20">
        <w:t xml:space="preserve"> </w:t>
      </w:r>
      <w:r w:rsidR="00526AA8" w:rsidRPr="00404DA5">
        <w:t xml:space="preserve">badanych </w:t>
      </w:r>
      <w:r w:rsidR="00CD4E20">
        <w:t>wskazał na własną decyzję</w:t>
      </w:r>
      <w:r w:rsidR="00E66B89">
        <w:t xml:space="preserve"> o </w:t>
      </w:r>
      <w:r w:rsidR="00CD4E20">
        <w:t>rezygnacji</w:t>
      </w:r>
      <w:r w:rsidR="00E66B89">
        <w:t xml:space="preserve"> z </w:t>
      </w:r>
      <w:r w:rsidR="00526AA8" w:rsidRPr="00404DA5">
        <w:t>podpisania umowy</w:t>
      </w:r>
      <w:r w:rsidR="00E66B89">
        <w:t xml:space="preserve"> o </w:t>
      </w:r>
      <w:r w:rsidR="00526AA8" w:rsidRPr="00404DA5">
        <w:t>dofinansowanie</w:t>
      </w:r>
      <w:r w:rsidR="002558DC">
        <w:t xml:space="preserve"> (n=206)</w:t>
      </w:r>
      <w:r w:rsidR="00526AA8" w:rsidRPr="00404DA5">
        <w:t>. Spośród badanych wnioskodawców, których projekt nie został zatwierdzony</w:t>
      </w:r>
      <w:r w:rsidR="00D512AD">
        <w:t xml:space="preserve"> (n=</w:t>
      </w:r>
      <w:r w:rsidR="009B6F33">
        <w:t>206</w:t>
      </w:r>
      <w:r w:rsidR="00D512AD">
        <w:t>),</w:t>
      </w:r>
      <w:r w:rsidR="00526AA8" w:rsidRPr="00404DA5">
        <w:t xml:space="preserve"> 42% planuje złożyć projekt</w:t>
      </w:r>
      <w:r w:rsidR="00E66B89">
        <w:t xml:space="preserve"> w </w:t>
      </w:r>
      <w:r w:rsidR="00526AA8" w:rsidRPr="00404DA5">
        <w:t>kolejnych naborach RPO WZ 2014-2020.</w:t>
      </w:r>
    </w:p>
    <w:p w14:paraId="6531B844" w14:textId="77777777" w:rsidR="00526AA8" w:rsidRPr="00404DA5" w:rsidRDefault="00526AA8" w:rsidP="00526AA8">
      <w:r>
        <w:t>W badaniu poświęconym ocenie kryteriów RPO WZ 2014-2020 ewaluatorzy ocenili, że</w:t>
      </w:r>
      <w:r w:rsidR="00E66B89">
        <w:t xml:space="preserve"> w </w:t>
      </w:r>
      <w:r w:rsidRPr="004D4D3B">
        <w:t xml:space="preserve">ramach systemu </w:t>
      </w:r>
      <w:r>
        <w:t>funkcjonują</w:t>
      </w:r>
      <w:r w:rsidRPr="004D4D3B">
        <w:t xml:space="preserve"> rozwiązania zapewniając</w:t>
      </w:r>
      <w:r>
        <w:t>e</w:t>
      </w:r>
      <w:r w:rsidRPr="004D4D3B">
        <w:t xml:space="preserve"> transparentność systemu wyboru projektów</w:t>
      </w:r>
      <w:r w:rsidR="002C6712">
        <w:t xml:space="preserve"> na co wskazał brak uchybień</w:t>
      </w:r>
      <w:r w:rsidR="00E66B89">
        <w:t xml:space="preserve"> w </w:t>
      </w:r>
      <w:r w:rsidR="002C6712">
        <w:t>obszarze przejrzystości dokumentów regulujących działanie RPO WZ 2014-2020. Pozytywnie oceniono także zasadę bezstronności,</w:t>
      </w:r>
      <w:r w:rsidR="00E66B89">
        <w:t xml:space="preserve"> a </w:t>
      </w:r>
      <w:r w:rsidR="002C6712">
        <w:t>narzędzia wykorzystywane do jej zapewnienia jako skuteczne.</w:t>
      </w:r>
      <w:r w:rsidR="006A67AB">
        <w:t xml:space="preserve"> Ewal</w:t>
      </w:r>
      <w:r w:rsidR="008F25B5">
        <w:t>u</w:t>
      </w:r>
      <w:r w:rsidR="006A67AB">
        <w:t>atorzy dokonali też szczegółowej oceny kryteriów</w:t>
      </w:r>
      <w:r w:rsidR="008F25B5">
        <w:t xml:space="preserve">. </w:t>
      </w:r>
      <w:r w:rsidR="008F25B5">
        <w:rPr>
          <w:szCs w:val="20"/>
        </w:rPr>
        <w:t>Stwierdzono, iż „nie wszystkie kryteria wyboru</w:t>
      </w:r>
      <w:r w:rsidR="00E66B89">
        <w:rPr>
          <w:szCs w:val="20"/>
        </w:rPr>
        <w:t xml:space="preserve"> w </w:t>
      </w:r>
      <w:r w:rsidR="008F25B5">
        <w:rPr>
          <w:szCs w:val="20"/>
        </w:rPr>
        <w:t>ramach poszczególnych Działań przyczyniają się do wyboru projektów realizujących wskaźniki założone</w:t>
      </w:r>
      <w:r w:rsidR="00E66B89">
        <w:rPr>
          <w:szCs w:val="20"/>
        </w:rPr>
        <w:t xml:space="preserve"> w </w:t>
      </w:r>
      <w:r w:rsidR="008F25B5">
        <w:rPr>
          <w:szCs w:val="20"/>
        </w:rPr>
        <w:t xml:space="preserve">Ramach Wykonania”, co wynika ze specyfiki wskaźników RW – nie odzwierciedlają one „wszystkich rodzajów efektów specyficznych dla poszczególnych obszarów interwencji”, jednak </w:t>
      </w:r>
      <w:r w:rsidR="002C06AA">
        <w:rPr>
          <w:szCs w:val="20"/>
        </w:rPr>
        <w:t>nie stoi to</w:t>
      </w:r>
      <w:r w:rsidR="00E66B89">
        <w:rPr>
          <w:szCs w:val="20"/>
        </w:rPr>
        <w:t xml:space="preserve"> w </w:t>
      </w:r>
      <w:r w:rsidR="002C06AA">
        <w:rPr>
          <w:szCs w:val="20"/>
        </w:rPr>
        <w:t>sprzeczności</w:t>
      </w:r>
      <w:r w:rsidR="00E66B89">
        <w:rPr>
          <w:szCs w:val="20"/>
        </w:rPr>
        <w:t xml:space="preserve"> z </w:t>
      </w:r>
      <w:r w:rsidR="008F25B5">
        <w:rPr>
          <w:szCs w:val="20"/>
        </w:rPr>
        <w:t>wytycznymi ministerialnymi</w:t>
      </w:r>
      <w:r w:rsidR="00EB5216">
        <w:rPr>
          <w:szCs w:val="20"/>
        </w:rPr>
        <w:t xml:space="preserve">. Co więcej </w:t>
      </w:r>
      <w:bookmarkStart w:id="409" w:name="_Hlk5289538"/>
      <w:r w:rsidR="00EB5216">
        <w:rPr>
          <w:szCs w:val="20"/>
        </w:rPr>
        <w:t>różnorodność kryteriów gwarantuje komplementarność względem celów RPO WZ 2014-2020</w:t>
      </w:r>
      <w:r w:rsidR="007451D3">
        <w:rPr>
          <w:szCs w:val="20"/>
        </w:rPr>
        <w:t>,</w:t>
      </w:r>
      <w:r w:rsidR="00E66B89">
        <w:rPr>
          <w:szCs w:val="20"/>
        </w:rPr>
        <w:t xml:space="preserve"> a </w:t>
      </w:r>
      <w:r w:rsidR="007451D3">
        <w:rPr>
          <w:szCs w:val="20"/>
        </w:rPr>
        <w:t>także</w:t>
      </w:r>
      <w:r w:rsidR="00E66B89">
        <w:rPr>
          <w:szCs w:val="20"/>
        </w:rPr>
        <w:t xml:space="preserve"> w </w:t>
      </w:r>
      <w:r w:rsidR="007451D3">
        <w:rPr>
          <w:szCs w:val="20"/>
        </w:rPr>
        <w:t>zakresie identyfikacji</w:t>
      </w:r>
      <w:r w:rsidR="00E66B89">
        <w:rPr>
          <w:szCs w:val="20"/>
        </w:rPr>
        <w:t xml:space="preserve"> i </w:t>
      </w:r>
      <w:r w:rsidR="007451D3">
        <w:rPr>
          <w:szCs w:val="20"/>
        </w:rPr>
        <w:t xml:space="preserve">wyboru projektów komplementarnych. </w:t>
      </w:r>
      <w:bookmarkEnd w:id="409"/>
      <w:r w:rsidR="00482764">
        <w:rPr>
          <w:szCs w:val="20"/>
        </w:rPr>
        <w:t>Kryteria weryfikują również kwestię trwałości projektów – dokonywana jest nie tylko ocena trwałości, ale też ocena czynników pozytywnych</w:t>
      </w:r>
      <w:r w:rsidR="00E66B89">
        <w:rPr>
          <w:szCs w:val="20"/>
        </w:rPr>
        <w:t xml:space="preserve"> i </w:t>
      </w:r>
      <w:r w:rsidR="00482764">
        <w:rPr>
          <w:szCs w:val="20"/>
        </w:rPr>
        <w:t>negatywnych, które mogą mieć na nią wpływ</w:t>
      </w:r>
      <w:r w:rsidR="00E66B89">
        <w:rPr>
          <w:szCs w:val="20"/>
        </w:rPr>
        <w:t xml:space="preserve"> w </w:t>
      </w:r>
      <w:r w:rsidR="00482764">
        <w:rPr>
          <w:szCs w:val="20"/>
        </w:rPr>
        <w:t>przyszłości</w:t>
      </w:r>
      <w:r>
        <w:rPr>
          <w:rStyle w:val="Odwoanieprzypisudolnego"/>
        </w:rPr>
        <w:footnoteReference w:id="185"/>
      </w:r>
      <w:r>
        <w:t>.</w:t>
      </w:r>
    </w:p>
    <w:p w14:paraId="3F770815" w14:textId="77777777" w:rsidR="00526AA8" w:rsidRPr="00697366" w:rsidRDefault="00526AA8" w:rsidP="00526AA8">
      <w:pPr>
        <w:pStyle w:val="Nagwek4"/>
        <w:numPr>
          <w:ilvl w:val="0"/>
          <w:numId w:val="0"/>
        </w:numPr>
        <w:rPr>
          <w:rFonts w:ascii="Lato" w:eastAsia="Calibri" w:hAnsi="Lato"/>
          <w:szCs w:val="20"/>
        </w:rPr>
      </w:pPr>
      <w:r>
        <w:rPr>
          <w:rFonts w:ascii="Lato" w:eastAsia="Calibri" w:hAnsi="Lato"/>
          <w:szCs w:val="20"/>
        </w:rPr>
        <w:t>Sprawozdawczość, systemy informatyczne</w:t>
      </w:r>
      <w:r w:rsidR="00E66B89">
        <w:rPr>
          <w:rFonts w:ascii="Lato" w:eastAsia="Calibri" w:hAnsi="Lato"/>
          <w:szCs w:val="20"/>
        </w:rPr>
        <w:t xml:space="preserve"> i </w:t>
      </w:r>
      <w:r>
        <w:rPr>
          <w:rFonts w:ascii="Lato" w:eastAsia="Calibri" w:hAnsi="Lato"/>
          <w:szCs w:val="20"/>
        </w:rPr>
        <w:t>rozliczanie</w:t>
      </w:r>
    </w:p>
    <w:p w14:paraId="547DDF60" w14:textId="77777777" w:rsidR="00526AA8" w:rsidRDefault="00526AA8" w:rsidP="00526AA8">
      <w:pPr>
        <w:pStyle w:val="evaluTresc"/>
      </w:pPr>
      <w:r>
        <w:t>68% spośród badanych beneficjentów złożyło przynajmniej jeden wniosek</w:t>
      </w:r>
      <w:r w:rsidR="00E66B89">
        <w:t xml:space="preserve"> o </w:t>
      </w:r>
      <w:r>
        <w:t>płatność.</w:t>
      </w:r>
      <w:r w:rsidR="00E66B89">
        <w:t xml:space="preserve"> W </w:t>
      </w:r>
      <w:r>
        <w:t>większości beneficjenci nie mają zastrzeżeń do obowiązków sprawozdawczych jakie nakłada na nich otrzymane dofinansowanie – 69% beneficjentów uważa, że obowiązki są adekwatne do wysokości otrzymanego dofinansowania. Spory odsetek beneficjentów (57%) nie widzi także potrzeby dokonywania zmian</w:t>
      </w:r>
      <w:r w:rsidR="00E66B89">
        <w:t xml:space="preserve"> w </w:t>
      </w:r>
      <w:r>
        <w:t xml:space="preserve">systemie sprawozdawczości. Beneficjenci, którzy widzą potrzebę zmian wskazali przede wszystkim na konieczność uproszczenia zasad sprawozdawczości – obecnie wymaga się wielu szczegółowych informacji, które generują </w:t>
      </w:r>
      <w:r w:rsidR="00D512AD">
        <w:t xml:space="preserve">obciążenia </w:t>
      </w:r>
      <w:r>
        <w:t>po stronie beneficjentów. Drugą kwestią, na którą zwrócili uwagę beneficjenci</w:t>
      </w:r>
      <w:r w:rsidR="00D512AD">
        <w:t>,</w:t>
      </w:r>
      <w:r>
        <w:t xml:space="preserve"> są zbyt częste okresy sprawozdawczości – co 3 miesiące.</w:t>
      </w:r>
      <w:r w:rsidR="00E66B89">
        <w:t xml:space="preserve"> W </w:t>
      </w:r>
      <w:r>
        <w:t>zależności od długości trwania projektu i/lub wysokości dofinansowania można</w:t>
      </w:r>
      <w:r w:rsidR="0024382D">
        <w:t xml:space="preserve"> byłoby teoretycznie</w:t>
      </w:r>
      <w:r>
        <w:t xml:space="preserve"> rozważyć wydłużenie tego okresu do 6 miesięcy</w:t>
      </w:r>
      <w:r w:rsidR="00D512AD">
        <w:t>, jednak zdaniem ewaluatora mogłoby to negatywnie wpłynąć na proces monitorowania postępu realizacji</w:t>
      </w:r>
      <w:r w:rsidR="00E66B89">
        <w:t xml:space="preserve"> i </w:t>
      </w:r>
      <w:r w:rsidR="00D512AD">
        <w:t>identyfikowania trudności</w:t>
      </w:r>
      <w:r>
        <w:t xml:space="preserve">. Należy </w:t>
      </w:r>
      <w:r w:rsidR="0024382D">
        <w:t>przy okazji</w:t>
      </w:r>
      <w:r>
        <w:t xml:space="preserve"> podkreślić, że elektronizacja</w:t>
      </w:r>
      <w:r w:rsidR="00E66B89">
        <w:t xml:space="preserve"> w </w:t>
      </w:r>
      <w:r>
        <w:t>kontaktach między IZ/IP</w:t>
      </w:r>
      <w:r w:rsidR="00E66B89">
        <w:t xml:space="preserve"> a </w:t>
      </w:r>
      <w:r>
        <w:t>beneficjentami znacznie usprawniła proces składania</w:t>
      </w:r>
      <w:r w:rsidR="00E66B89">
        <w:t xml:space="preserve"> i </w:t>
      </w:r>
      <w:r>
        <w:t>zatwierdzania dokumentów</w:t>
      </w:r>
      <w:r w:rsidR="0024382D">
        <w:t>, zatem obowiązki sprawozdawcze nie powinny być już tak uciążliwe jak dawniej</w:t>
      </w:r>
      <w:r>
        <w:t xml:space="preserve">. Kolejną kwestią jest </w:t>
      </w:r>
      <w:r w:rsidRPr="009E1B63">
        <w:rPr>
          <w:b/>
        </w:rPr>
        <w:t>konieczność ciągłego doskonalenia systemu SL</w:t>
      </w:r>
      <w:r w:rsidR="00E66B89">
        <w:t xml:space="preserve"> i </w:t>
      </w:r>
      <w:r>
        <w:t>dbanie</w:t>
      </w:r>
      <w:r w:rsidR="00E66B89">
        <w:t xml:space="preserve"> o </w:t>
      </w:r>
      <w:r>
        <w:t>wysoką skuteczność jego działania</w:t>
      </w:r>
      <w:r w:rsidR="0024382D">
        <w:t>.</w:t>
      </w:r>
      <w:r>
        <w:t xml:space="preserve"> </w:t>
      </w:r>
      <w:r w:rsidR="0024382D">
        <w:t>N</w:t>
      </w:r>
      <w:r>
        <w:t>iektórzy beneficjenci wskazywali na przerwy</w:t>
      </w:r>
      <w:r w:rsidR="00E66B89">
        <w:t xml:space="preserve"> w </w:t>
      </w:r>
      <w:r>
        <w:t>działaniu systemu, długi czas zapisywania się odpowiedzi lub nie zapisywanie się</w:t>
      </w:r>
      <w:r w:rsidR="00E66B89">
        <w:t xml:space="preserve"> w </w:t>
      </w:r>
      <w:r>
        <w:t>systemie. Wszystkie te elementy związane</w:t>
      </w:r>
      <w:r w:rsidR="00E66B89">
        <w:t xml:space="preserve"> z </w:t>
      </w:r>
      <w:r>
        <w:t xml:space="preserve">technicznymi </w:t>
      </w:r>
      <w:r>
        <w:lastRenderedPageBreak/>
        <w:t>problemami systemu wymuszają na beneficjentach poświęcenie większej ilości czasu</w:t>
      </w:r>
      <w:r w:rsidR="00E66B89">
        <w:t xml:space="preserve"> i </w:t>
      </w:r>
      <w:r>
        <w:t xml:space="preserve">dodatkowe obciążenia. </w:t>
      </w:r>
      <w:r w:rsidRPr="007824E1">
        <w:t xml:space="preserve">Problemy </w:t>
      </w:r>
      <w:r>
        <w:t xml:space="preserve">techniczne </w:t>
      </w:r>
      <w:r w:rsidRPr="007824E1">
        <w:t>związane</w:t>
      </w:r>
      <w:r w:rsidR="00E66B89">
        <w:t xml:space="preserve"> z </w:t>
      </w:r>
      <w:r w:rsidRPr="007824E1">
        <w:t>funkcjonowaniem systemu SL2014</w:t>
      </w:r>
      <w:r>
        <w:t xml:space="preserve"> dotyczą również IP – poza spowolnieniami</w:t>
      </w:r>
      <w:r w:rsidRPr="007824E1">
        <w:t xml:space="preserve"> </w:t>
      </w:r>
      <w:r>
        <w:t>wymienionymi przez beneficjentów</w:t>
      </w:r>
      <w:r w:rsidR="00E66B89">
        <w:t xml:space="preserve"> w </w:t>
      </w:r>
      <w:r>
        <w:t>badaniu CAWI</w:t>
      </w:r>
      <w:r w:rsidR="0024382D">
        <w:t>,</w:t>
      </w:r>
      <w:r w:rsidR="00E66B89">
        <w:t xml:space="preserve"> w </w:t>
      </w:r>
      <w:r>
        <w:t xml:space="preserve">informacjach kwartalnych wskazano jeszcze na częstą </w:t>
      </w:r>
      <w:r w:rsidRPr="007824E1">
        <w:t>awaryjność</w:t>
      </w:r>
      <w:r>
        <w:t xml:space="preserve"> systemu</w:t>
      </w:r>
      <w:r w:rsidRPr="007824E1">
        <w:t>, częste problemy</w:t>
      </w:r>
      <w:r w:rsidR="00E66B89">
        <w:t xml:space="preserve"> z </w:t>
      </w:r>
      <w:r w:rsidRPr="007824E1">
        <w:t>logowaniem</w:t>
      </w:r>
      <w:r>
        <w:t xml:space="preserve"> czy k</w:t>
      </w:r>
      <w:r w:rsidRPr="007824E1">
        <w:t>onieczność ręcznego wpisywania danych</w:t>
      </w:r>
      <w:r>
        <w:rPr>
          <w:rStyle w:val="Odwoanieprzypisudolnego"/>
        </w:rPr>
        <w:footnoteReference w:id="186"/>
      </w:r>
      <w:r>
        <w:t>. Utrudnienia spowodowane nieprawidłową działalnością systemu są cyklicznie zgłaszane przez IP do IZ RPO WZ.</w:t>
      </w:r>
    </w:p>
    <w:p w14:paraId="7BEF463B" w14:textId="77777777" w:rsidR="00526AA8" w:rsidRDefault="00545AB8" w:rsidP="00526AA8">
      <w:pPr>
        <w:pStyle w:val="evaluTresc"/>
      </w:pPr>
      <w:r>
        <w:t>O</w:t>
      </w:r>
      <w:r w:rsidR="00526AA8">
        <w:t xml:space="preserve">dsetki odpowiedzi </w:t>
      </w:r>
      <w:r>
        <w:t xml:space="preserve">beneficjentów dotyczące różnych elementów systemu rozliczania kosztów </w:t>
      </w:r>
      <w:r w:rsidR="00526AA8">
        <w:t xml:space="preserve">są zbliżone. Jakkolwiek poziom dofinansowania projektu został uznany jako zadowalający przez zdecydowaną większość beneficjentów (76%), </w:t>
      </w:r>
      <w:r w:rsidR="000D7B04">
        <w:t>to ocena</w:t>
      </w:r>
      <w:r w:rsidR="00526AA8">
        <w:t xml:space="preserve"> poziom</w:t>
      </w:r>
      <w:r w:rsidR="000D7B04">
        <w:t>u</w:t>
      </w:r>
      <w:r w:rsidR="00526AA8">
        <w:t xml:space="preserve"> kosztów pośrednich</w:t>
      </w:r>
      <w:r w:rsidR="000D7B04">
        <w:t xml:space="preserve"> jest zróżnicowana</w:t>
      </w:r>
      <w:r w:rsidR="00526AA8">
        <w:t xml:space="preserve"> – ok 1/3 badanych uznała, że jest </w:t>
      </w:r>
      <w:r w:rsidR="000D7B04">
        <w:t xml:space="preserve">on </w:t>
      </w:r>
      <w:r w:rsidR="00526AA8">
        <w:t xml:space="preserve">za niski, dla 28% beneficjentów wpłynęło to negatywnie na wartość merytoryczną projektu </w:t>
      </w:r>
      <w:r w:rsidR="000D7B04">
        <w:t>(</w:t>
      </w:r>
      <w:r w:rsidR="00526AA8">
        <w:t>taki sam odsetek dotyczył beneficjentów EFS</w:t>
      </w:r>
      <w:r w:rsidR="00E66B89">
        <w:t xml:space="preserve"> i </w:t>
      </w:r>
      <w:r w:rsidR="00526AA8">
        <w:t>EFRR</w:t>
      </w:r>
      <w:r w:rsidR="000D7B04">
        <w:t>)</w:t>
      </w:r>
      <w:r w:rsidR="00526AA8">
        <w:t>. Identyczny odsetek beneficjentów był przeciwnego zdania</w:t>
      </w:r>
      <w:r w:rsidR="00E66B89">
        <w:t xml:space="preserve"> i </w:t>
      </w:r>
      <w:r w:rsidR="00526AA8">
        <w:t>taki sam odsetek nie potrafił ocenić tej kwestii. Prawie połowa beneficjentów była zdania, że należałoby umożliwić rozliczanie kosztów pośrednich bez powiązania</w:t>
      </w:r>
      <w:r w:rsidR="00E66B89">
        <w:t xml:space="preserve"> z </w:t>
      </w:r>
      <w:r w:rsidR="00526AA8">
        <w:t>kosztami merytorycznymi</w:t>
      </w:r>
      <w:r w:rsidR="000D7B04">
        <w:t>, co jednak wydaje się sprzeczne</w:t>
      </w:r>
      <w:r w:rsidR="00E66B89">
        <w:t xml:space="preserve"> z </w:t>
      </w:r>
      <w:r w:rsidR="000D7B04">
        <w:t>Wytycznymi dotyczącymi kwalifikowalności</w:t>
      </w:r>
      <w:r w:rsidR="00526AA8">
        <w:t xml:space="preserve">. </w:t>
      </w:r>
    </w:p>
    <w:p w14:paraId="256635E7" w14:textId="77777777" w:rsidR="00526AA8" w:rsidRDefault="000D7B04" w:rsidP="00526AA8">
      <w:pPr>
        <w:pStyle w:val="evaluTresc"/>
      </w:pPr>
      <w:r>
        <w:t>P</w:t>
      </w:r>
      <w:r w:rsidR="00526AA8">
        <w:t>rawie połowa badanych beneficjentów nie widzi potrzeby zwiększania środków na działania promocyjne projektów, jednak około 1/3 beneficjentów –</w:t>
      </w:r>
      <w:r w:rsidR="00E66B89">
        <w:t xml:space="preserve"> w </w:t>
      </w:r>
      <w:r w:rsidR="00526AA8">
        <w:t xml:space="preserve">większości EFS – sygnalizuje </w:t>
      </w:r>
      <w:r>
        <w:t>taką potrzebę</w:t>
      </w:r>
      <w:r w:rsidR="00526AA8">
        <w:t>. Prawdopodobnie jest to związane</w:t>
      </w:r>
      <w:r w:rsidR="00E66B89">
        <w:t xml:space="preserve"> z </w:t>
      </w:r>
      <w:r w:rsidR="00526AA8">
        <w:t xml:space="preserve">problemami na etapie rekrutacji uczestników projektów EFS. Część beneficjentów miała również problemy związane ze zbyt długim oczekiwaniem na </w:t>
      </w:r>
      <w:r w:rsidR="00526AA8" w:rsidRPr="00CE24A1">
        <w:t>płatności ze strony instytucji finansującej projekt</w:t>
      </w:r>
      <w:r w:rsidR="00526AA8">
        <w:t>.</w:t>
      </w:r>
    </w:p>
    <w:p w14:paraId="5D2EAB1E" w14:textId="77777777" w:rsidR="00526AA8" w:rsidRDefault="00526AA8" w:rsidP="00024F00">
      <w:pPr>
        <w:pStyle w:val="Legenda"/>
        <w:spacing w:after="0"/>
      </w:pPr>
      <w:bookmarkStart w:id="410" w:name="_Toc8824290"/>
      <w:r w:rsidRPr="00644A85">
        <w:t xml:space="preserve">Tabela </w:t>
      </w:r>
      <w:r w:rsidR="00B72A80">
        <w:fldChar w:fldCharType="begin"/>
      </w:r>
      <w:r w:rsidR="00B72A80">
        <w:instrText xml:space="preserve"> SEQ Tabela \* ARABIC </w:instrText>
      </w:r>
      <w:r w:rsidR="00B72A80">
        <w:fldChar w:fldCharType="separate"/>
      </w:r>
      <w:r w:rsidR="00763345">
        <w:rPr>
          <w:noProof/>
        </w:rPr>
        <w:t>179</w:t>
      </w:r>
      <w:r w:rsidR="00B72A80">
        <w:fldChar w:fldCharType="end"/>
      </w:r>
      <w:r w:rsidRPr="00644A85">
        <w:t xml:space="preserve"> Ocena sprawozdawczości</w:t>
      </w:r>
      <w:r w:rsidR="00E66B89">
        <w:t xml:space="preserve"> i </w:t>
      </w:r>
      <w:r w:rsidRPr="00644A85">
        <w:t>kwestii dot. kosztów projektów</w:t>
      </w:r>
      <w:r>
        <w:t xml:space="preserve"> przez beneficjentów</w:t>
      </w:r>
      <w:bookmarkEnd w:id="410"/>
    </w:p>
    <w:tbl>
      <w:tblPr>
        <w:tblW w:w="9031" w:type="dxa"/>
        <w:tblCellMar>
          <w:left w:w="70" w:type="dxa"/>
          <w:right w:w="70" w:type="dxa"/>
        </w:tblCellMar>
        <w:tblLook w:val="04A0" w:firstRow="1" w:lastRow="0" w:firstColumn="1" w:lastColumn="0" w:noHBand="0" w:noVBand="1"/>
      </w:tblPr>
      <w:tblGrid>
        <w:gridCol w:w="2935"/>
        <w:gridCol w:w="1191"/>
        <w:gridCol w:w="1191"/>
        <w:gridCol w:w="1191"/>
        <w:gridCol w:w="1191"/>
        <w:gridCol w:w="1332"/>
      </w:tblGrid>
      <w:tr w:rsidR="00F2122D" w:rsidRPr="00F2122D" w14:paraId="7FA44350" w14:textId="77777777" w:rsidTr="00C22C26">
        <w:trPr>
          <w:trHeight w:val="20"/>
          <w:tblHeader/>
        </w:trPr>
        <w:tc>
          <w:tcPr>
            <w:tcW w:w="293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626793AF"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 </w:t>
            </w:r>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3A998F18" w14:textId="77777777" w:rsidR="00F2122D" w:rsidRPr="00F2122D" w:rsidRDefault="00F2122D" w:rsidP="00C22C26">
            <w:pPr>
              <w:spacing w:before="0" w:after="0" w:line="240" w:lineRule="auto"/>
              <w:jc w:val="center"/>
              <w:rPr>
                <w:rFonts w:cs="Calibri"/>
                <w:color w:val="000000"/>
                <w:sz w:val="18"/>
                <w:szCs w:val="18"/>
              </w:rPr>
            </w:pPr>
            <w:r w:rsidRPr="00F2122D">
              <w:rPr>
                <w:rFonts w:cs="Calibri"/>
                <w:color w:val="000000"/>
                <w:sz w:val="18"/>
                <w:szCs w:val="18"/>
              </w:rPr>
              <w:t>Zgadzam się</w:t>
            </w:r>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3013627D" w14:textId="77777777" w:rsidR="00F2122D" w:rsidRPr="00F2122D" w:rsidRDefault="00F2122D" w:rsidP="00C22C26">
            <w:pPr>
              <w:spacing w:before="0" w:after="0" w:line="240" w:lineRule="auto"/>
              <w:jc w:val="center"/>
              <w:rPr>
                <w:rFonts w:cs="Calibri"/>
                <w:color w:val="000000"/>
                <w:sz w:val="18"/>
                <w:szCs w:val="18"/>
              </w:rPr>
            </w:pPr>
            <w:r w:rsidRPr="00F2122D">
              <w:rPr>
                <w:rFonts w:cs="Calibri"/>
                <w:color w:val="000000"/>
                <w:sz w:val="18"/>
                <w:szCs w:val="18"/>
              </w:rPr>
              <w:t>Raczej się zgadzam</w:t>
            </w:r>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72B615EC" w14:textId="77777777" w:rsidR="00F2122D" w:rsidRPr="00F2122D" w:rsidRDefault="00F2122D" w:rsidP="00C22C26">
            <w:pPr>
              <w:spacing w:before="0" w:after="0" w:line="240" w:lineRule="auto"/>
              <w:jc w:val="center"/>
              <w:rPr>
                <w:rFonts w:cs="Calibri"/>
                <w:color w:val="000000"/>
                <w:sz w:val="18"/>
                <w:szCs w:val="18"/>
              </w:rPr>
            </w:pPr>
            <w:r w:rsidRPr="00F2122D">
              <w:rPr>
                <w:rFonts w:cs="Calibri"/>
                <w:color w:val="000000"/>
                <w:sz w:val="18"/>
                <w:szCs w:val="18"/>
              </w:rPr>
              <w:t>Raczej się NIE zgadzam</w:t>
            </w:r>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4E73E7A2" w14:textId="77777777" w:rsidR="00F2122D" w:rsidRPr="00F2122D" w:rsidRDefault="00F2122D" w:rsidP="00C22C26">
            <w:pPr>
              <w:spacing w:before="0" w:after="0" w:line="240" w:lineRule="auto"/>
              <w:jc w:val="center"/>
              <w:rPr>
                <w:rFonts w:cs="Calibri"/>
                <w:color w:val="000000"/>
                <w:sz w:val="18"/>
                <w:szCs w:val="18"/>
              </w:rPr>
            </w:pPr>
            <w:r w:rsidRPr="00F2122D">
              <w:rPr>
                <w:rFonts w:cs="Calibri"/>
                <w:color w:val="000000"/>
                <w:sz w:val="18"/>
                <w:szCs w:val="18"/>
              </w:rPr>
              <w:t>NIE zgadzam się</w:t>
            </w:r>
          </w:p>
        </w:tc>
        <w:tc>
          <w:tcPr>
            <w:tcW w:w="1332" w:type="dxa"/>
            <w:tcBorders>
              <w:top w:val="single" w:sz="4" w:space="0" w:color="auto"/>
              <w:left w:val="nil"/>
              <w:bottom w:val="single" w:sz="4" w:space="0" w:color="auto"/>
              <w:right w:val="single" w:sz="4" w:space="0" w:color="auto"/>
            </w:tcBorders>
            <w:shd w:val="clear" w:color="000000" w:fill="DCE6F1"/>
            <w:vAlign w:val="center"/>
            <w:hideMark/>
          </w:tcPr>
          <w:p w14:paraId="4F8A1714" w14:textId="77777777" w:rsidR="00F2122D" w:rsidRPr="00F2122D" w:rsidRDefault="00F2122D" w:rsidP="00C22C26">
            <w:pPr>
              <w:spacing w:before="0" w:after="0" w:line="240" w:lineRule="auto"/>
              <w:jc w:val="center"/>
              <w:rPr>
                <w:rFonts w:cs="Calibri"/>
                <w:color w:val="000000"/>
                <w:sz w:val="18"/>
                <w:szCs w:val="18"/>
              </w:rPr>
            </w:pPr>
            <w:r w:rsidRPr="00F2122D">
              <w:rPr>
                <w:rFonts w:cs="Calibri"/>
                <w:color w:val="000000"/>
                <w:sz w:val="18"/>
                <w:szCs w:val="18"/>
              </w:rPr>
              <w:t>Trudno powiedzieć| Nie dotyczy</w:t>
            </w:r>
          </w:p>
        </w:tc>
      </w:tr>
      <w:tr w:rsidR="00F2122D" w:rsidRPr="00F2122D" w14:paraId="1B1794CF"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5BB7473A" w14:textId="77777777" w:rsidR="00F2122D" w:rsidRPr="00F2122D" w:rsidRDefault="00F2122D" w:rsidP="00F2122D">
            <w:pPr>
              <w:spacing w:before="0" w:after="0" w:line="240" w:lineRule="auto"/>
              <w:jc w:val="left"/>
              <w:rPr>
                <w:rFonts w:cs="Calibri"/>
                <w:color w:val="000000"/>
                <w:sz w:val="18"/>
                <w:szCs w:val="18"/>
              </w:rPr>
            </w:pPr>
            <w:r w:rsidRPr="00F2122D">
              <w:rPr>
                <w:rFonts w:cs="Calibri"/>
                <w:color w:val="000000"/>
                <w:sz w:val="18"/>
                <w:szCs w:val="18"/>
              </w:rPr>
              <w:t>Obowiązki sprawozdawcze są adekwatne do wysokości dofinansowania</w:t>
            </w:r>
          </w:p>
        </w:tc>
        <w:tc>
          <w:tcPr>
            <w:tcW w:w="1191" w:type="dxa"/>
            <w:tcBorders>
              <w:top w:val="single" w:sz="4" w:space="0" w:color="auto"/>
              <w:left w:val="single" w:sz="4" w:space="0" w:color="auto"/>
              <w:bottom w:val="single" w:sz="4" w:space="0" w:color="auto"/>
              <w:right w:val="single" w:sz="4" w:space="0" w:color="auto"/>
            </w:tcBorders>
            <w:shd w:val="clear" w:color="000000" w:fill="A0BBDF"/>
            <w:noWrap/>
            <w:vAlign w:val="center"/>
            <w:hideMark/>
          </w:tcPr>
          <w:p w14:paraId="21345CF4"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34%</w:t>
            </w:r>
          </w:p>
        </w:tc>
        <w:tc>
          <w:tcPr>
            <w:tcW w:w="1191" w:type="dxa"/>
            <w:tcBorders>
              <w:top w:val="single" w:sz="4" w:space="0" w:color="auto"/>
              <w:left w:val="single" w:sz="4" w:space="0" w:color="auto"/>
              <w:bottom w:val="single" w:sz="4" w:space="0" w:color="auto"/>
              <w:right w:val="single" w:sz="4" w:space="0" w:color="auto"/>
            </w:tcBorders>
            <w:shd w:val="clear" w:color="000000" w:fill="9EBADE"/>
            <w:noWrap/>
            <w:vAlign w:val="center"/>
            <w:hideMark/>
          </w:tcPr>
          <w:p w14:paraId="70DED128"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35%</w:t>
            </w:r>
          </w:p>
        </w:tc>
        <w:tc>
          <w:tcPr>
            <w:tcW w:w="1191" w:type="dxa"/>
            <w:tcBorders>
              <w:top w:val="single" w:sz="4" w:space="0" w:color="auto"/>
              <w:left w:val="single" w:sz="4" w:space="0" w:color="auto"/>
              <w:bottom w:val="single" w:sz="4" w:space="0" w:color="auto"/>
              <w:right w:val="single" w:sz="4" w:space="0" w:color="auto"/>
            </w:tcBorders>
            <w:shd w:val="clear" w:color="000000" w:fill="FAC8CB"/>
            <w:noWrap/>
            <w:vAlign w:val="center"/>
            <w:hideMark/>
          </w:tcPr>
          <w:p w14:paraId="2F0AE78A"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13%</w:t>
            </w:r>
          </w:p>
        </w:tc>
        <w:tc>
          <w:tcPr>
            <w:tcW w:w="1191" w:type="dxa"/>
            <w:tcBorders>
              <w:top w:val="single" w:sz="4" w:space="0" w:color="auto"/>
              <w:left w:val="single" w:sz="4" w:space="0" w:color="auto"/>
              <w:bottom w:val="single" w:sz="4" w:space="0" w:color="auto"/>
              <w:right w:val="single" w:sz="4" w:space="0" w:color="auto"/>
            </w:tcBorders>
            <w:shd w:val="clear" w:color="000000" w:fill="F88B8D"/>
            <w:noWrap/>
            <w:vAlign w:val="center"/>
            <w:hideMark/>
          </w:tcPr>
          <w:p w14:paraId="50616449"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8%</w:t>
            </w:r>
          </w:p>
        </w:tc>
        <w:tc>
          <w:tcPr>
            <w:tcW w:w="1332" w:type="dxa"/>
            <w:tcBorders>
              <w:top w:val="single" w:sz="4" w:space="0" w:color="auto"/>
              <w:left w:val="single" w:sz="4" w:space="0" w:color="auto"/>
              <w:bottom w:val="single" w:sz="4" w:space="0" w:color="auto"/>
              <w:right w:val="single" w:sz="4" w:space="0" w:color="auto"/>
            </w:tcBorders>
            <w:shd w:val="clear" w:color="000000" w:fill="FAB4B6"/>
            <w:noWrap/>
            <w:vAlign w:val="center"/>
            <w:hideMark/>
          </w:tcPr>
          <w:p w14:paraId="4351257A"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11%</w:t>
            </w:r>
          </w:p>
        </w:tc>
      </w:tr>
      <w:tr w:rsidR="00F2122D" w:rsidRPr="00F2122D" w14:paraId="78C29A71"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72B49AB8"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System sprawozdawczości wymaga zmian</w:t>
            </w:r>
          </w:p>
        </w:tc>
        <w:tc>
          <w:tcPr>
            <w:tcW w:w="1191" w:type="dxa"/>
            <w:tcBorders>
              <w:top w:val="single" w:sz="4" w:space="0" w:color="auto"/>
              <w:left w:val="single" w:sz="4" w:space="0" w:color="auto"/>
              <w:bottom w:val="single" w:sz="4" w:space="0" w:color="auto"/>
              <w:right w:val="single" w:sz="4" w:space="0" w:color="auto"/>
            </w:tcBorders>
            <w:shd w:val="clear" w:color="000000" w:fill="F9A6A8"/>
            <w:noWrap/>
            <w:vAlign w:val="center"/>
            <w:hideMark/>
          </w:tcPr>
          <w:p w14:paraId="15A076AA"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10%</w:t>
            </w:r>
          </w:p>
        </w:tc>
        <w:tc>
          <w:tcPr>
            <w:tcW w:w="1191" w:type="dxa"/>
            <w:tcBorders>
              <w:top w:val="single" w:sz="4" w:space="0" w:color="auto"/>
              <w:left w:val="single" w:sz="4" w:space="0" w:color="auto"/>
              <w:bottom w:val="single" w:sz="4" w:space="0" w:color="auto"/>
              <w:right w:val="single" w:sz="4" w:space="0" w:color="auto"/>
            </w:tcBorders>
            <w:shd w:val="clear" w:color="000000" w:fill="F9A9AC"/>
            <w:noWrap/>
            <w:vAlign w:val="center"/>
            <w:hideMark/>
          </w:tcPr>
          <w:p w14:paraId="47F507F0"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10%</w:t>
            </w:r>
          </w:p>
        </w:tc>
        <w:tc>
          <w:tcPr>
            <w:tcW w:w="1191" w:type="dxa"/>
            <w:tcBorders>
              <w:top w:val="single" w:sz="4" w:space="0" w:color="auto"/>
              <w:left w:val="single" w:sz="4" w:space="0" w:color="auto"/>
              <w:bottom w:val="single" w:sz="4" w:space="0" w:color="auto"/>
              <w:right w:val="single" w:sz="4" w:space="0" w:color="auto"/>
            </w:tcBorders>
            <w:shd w:val="clear" w:color="000000" w:fill="84A8D5"/>
            <w:noWrap/>
            <w:vAlign w:val="center"/>
            <w:hideMark/>
          </w:tcPr>
          <w:p w14:paraId="1E3E5429"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40%</w:t>
            </w:r>
          </w:p>
        </w:tc>
        <w:tc>
          <w:tcPr>
            <w:tcW w:w="1191" w:type="dxa"/>
            <w:tcBorders>
              <w:top w:val="single" w:sz="4" w:space="0" w:color="auto"/>
              <w:left w:val="single" w:sz="4" w:space="0" w:color="auto"/>
              <w:bottom w:val="single" w:sz="4" w:space="0" w:color="auto"/>
              <w:right w:val="single" w:sz="4" w:space="0" w:color="auto"/>
            </w:tcBorders>
            <w:shd w:val="clear" w:color="000000" w:fill="FBFBFF"/>
            <w:noWrap/>
            <w:vAlign w:val="center"/>
            <w:hideMark/>
          </w:tcPr>
          <w:p w14:paraId="582F77CB"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17%</w:t>
            </w:r>
          </w:p>
        </w:tc>
        <w:tc>
          <w:tcPr>
            <w:tcW w:w="1332" w:type="dxa"/>
            <w:tcBorders>
              <w:top w:val="single" w:sz="4" w:space="0" w:color="auto"/>
              <w:left w:val="single" w:sz="4" w:space="0" w:color="auto"/>
              <w:bottom w:val="single" w:sz="4" w:space="0" w:color="auto"/>
              <w:right w:val="single" w:sz="4" w:space="0" w:color="auto"/>
            </w:tcBorders>
            <w:shd w:val="clear" w:color="000000" w:fill="D9E4F3"/>
            <w:noWrap/>
            <w:vAlign w:val="center"/>
            <w:hideMark/>
          </w:tcPr>
          <w:p w14:paraId="30138ADA"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23%</w:t>
            </w:r>
          </w:p>
        </w:tc>
      </w:tr>
      <w:tr w:rsidR="00F2122D" w:rsidRPr="00F2122D" w14:paraId="1776B2F4"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5CABEBAB"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Zakres wydatków kwalifikowanych jest odpowiednio skonstruowany</w:t>
            </w:r>
          </w:p>
        </w:tc>
        <w:tc>
          <w:tcPr>
            <w:tcW w:w="1191" w:type="dxa"/>
            <w:tcBorders>
              <w:top w:val="single" w:sz="4" w:space="0" w:color="auto"/>
              <w:left w:val="single" w:sz="4" w:space="0" w:color="auto"/>
              <w:bottom w:val="single" w:sz="4" w:space="0" w:color="auto"/>
              <w:right w:val="single" w:sz="4" w:space="0" w:color="auto"/>
            </w:tcBorders>
            <w:shd w:val="clear" w:color="000000" w:fill="BDD0E9"/>
            <w:noWrap/>
            <w:vAlign w:val="center"/>
            <w:hideMark/>
          </w:tcPr>
          <w:p w14:paraId="4A7CDA75"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29%</w:t>
            </w:r>
          </w:p>
        </w:tc>
        <w:tc>
          <w:tcPr>
            <w:tcW w:w="1191" w:type="dxa"/>
            <w:tcBorders>
              <w:top w:val="single" w:sz="4" w:space="0" w:color="auto"/>
              <w:left w:val="single" w:sz="4" w:space="0" w:color="auto"/>
              <w:bottom w:val="single" w:sz="4" w:space="0" w:color="auto"/>
              <w:right w:val="single" w:sz="4" w:space="0" w:color="auto"/>
            </w:tcBorders>
            <w:shd w:val="clear" w:color="000000" w:fill="5D8DC8"/>
            <w:noWrap/>
            <w:vAlign w:val="center"/>
            <w:hideMark/>
          </w:tcPr>
          <w:p w14:paraId="32D5A474"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47%</w:t>
            </w:r>
          </w:p>
        </w:tc>
        <w:tc>
          <w:tcPr>
            <w:tcW w:w="1191" w:type="dxa"/>
            <w:tcBorders>
              <w:top w:val="single" w:sz="4" w:space="0" w:color="auto"/>
              <w:left w:val="single" w:sz="4" w:space="0" w:color="auto"/>
              <w:bottom w:val="single" w:sz="4" w:space="0" w:color="auto"/>
              <w:right w:val="single" w:sz="4" w:space="0" w:color="auto"/>
            </w:tcBorders>
            <w:shd w:val="clear" w:color="000000" w:fill="F99C9E"/>
            <w:noWrap/>
            <w:vAlign w:val="center"/>
            <w:hideMark/>
          </w:tcPr>
          <w:p w14:paraId="4912C9D6"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9%</w:t>
            </w:r>
          </w:p>
        </w:tc>
        <w:tc>
          <w:tcPr>
            <w:tcW w:w="119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0D5EC75"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5%</w:t>
            </w:r>
          </w:p>
        </w:tc>
        <w:tc>
          <w:tcPr>
            <w:tcW w:w="1332" w:type="dxa"/>
            <w:tcBorders>
              <w:top w:val="single" w:sz="4" w:space="0" w:color="auto"/>
              <w:left w:val="single" w:sz="4" w:space="0" w:color="auto"/>
              <w:bottom w:val="single" w:sz="4" w:space="0" w:color="auto"/>
              <w:right w:val="single" w:sz="4" w:space="0" w:color="auto"/>
            </w:tcBorders>
            <w:shd w:val="clear" w:color="000000" w:fill="F9B0B3"/>
            <w:noWrap/>
            <w:vAlign w:val="center"/>
            <w:hideMark/>
          </w:tcPr>
          <w:p w14:paraId="59DD3CEA"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11%</w:t>
            </w:r>
          </w:p>
        </w:tc>
      </w:tr>
      <w:tr w:rsidR="00F2122D" w:rsidRPr="00F2122D" w14:paraId="576B0447"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3FBBFB3B"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Poziom dofinansowania projektu jest zadowalający</w:t>
            </w:r>
          </w:p>
        </w:tc>
        <w:tc>
          <w:tcPr>
            <w:tcW w:w="1191" w:type="dxa"/>
            <w:tcBorders>
              <w:top w:val="single" w:sz="4" w:space="0" w:color="auto"/>
              <w:left w:val="single" w:sz="4" w:space="0" w:color="auto"/>
              <w:bottom w:val="single" w:sz="4" w:space="0" w:color="auto"/>
              <w:right w:val="single" w:sz="4" w:space="0" w:color="auto"/>
            </w:tcBorders>
            <w:shd w:val="clear" w:color="000000" w:fill="79A0D1"/>
            <w:noWrap/>
            <w:vAlign w:val="center"/>
            <w:hideMark/>
          </w:tcPr>
          <w:p w14:paraId="29A1CFF1"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42%</w:t>
            </w:r>
          </w:p>
        </w:tc>
        <w:tc>
          <w:tcPr>
            <w:tcW w:w="1191" w:type="dxa"/>
            <w:tcBorders>
              <w:top w:val="single" w:sz="4" w:space="0" w:color="auto"/>
              <w:left w:val="single" w:sz="4" w:space="0" w:color="auto"/>
              <w:bottom w:val="single" w:sz="4" w:space="0" w:color="auto"/>
              <w:right w:val="single" w:sz="4" w:space="0" w:color="auto"/>
            </w:tcBorders>
            <w:shd w:val="clear" w:color="000000" w:fill="A0BBDF"/>
            <w:noWrap/>
            <w:vAlign w:val="center"/>
            <w:hideMark/>
          </w:tcPr>
          <w:p w14:paraId="3FB30B4B"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34%</w:t>
            </w:r>
          </w:p>
        </w:tc>
        <w:tc>
          <w:tcPr>
            <w:tcW w:w="1191" w:type="dxa"/>
            <w:tcBorders>
              <w:top w:val="single" w:sz="4" w:space="0" w:color="auto"/>
              <w:left w:val="single" w:sz="4" w:space="0" w:color="auto"/>
              <w:bottom w:val="single" w:sz="4" w:space="0" w:color="auto"/>
              <w:right w:val="single" w:sz="4" w:space="0" w:color="auto"/>
            </w:tcBorders>
            <w:shd w:val="clear" w:color="000000" w:fill="F9A9AC"/>
            <w:noWrap/>
            <w:vAlign w:val="center"/>
            <w:hideMark/>
          </w:tcPr>
          <w:p w14:paraId="52C525AB"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10%</w:t>
            </w:r>
          </w:p>
        </w:tc>
        <w:tc>
          <w:tcPr>
            <w:tcW w:w="1191" w:type="dxa"/>
            <w:tcBorders>
              <w:top w:val="single" w:sz="4" w:space="0" w:color="auto"/>
              <w:left w:val="single" w:sz="4" w:space="0" w:color="auto"/>
              <w:bottom w:val="single" w:sz="4" w:space="0" w:color="auto"/>
              <w:right w:val="single" w:sz="4" w:space="0" w:color="auto"/>
            </w:tcBorders>
            <w:shd w:val="clear" w:color="000000" w:fill="F9989B"/>
            <w:noWrap/>
            <w:vAlign w:val="center"/>
            <w:hideMark/>
          </w:tcPr>
          <w:p w14:paraId="704300C3"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9%</w:t>
            </w:r>
          </w:p>
        </w:tc>
        <w:tc>
          <w:tcPr>
            <w:tcW w:w="1332" w:type="dxa"/>
            <w:tcBorders>
              <w:top w:val="single" w:sz="4" w:space="0" w:color="auto"/>
              <w:left w:val="single" w:sz="4" w:space="0" w:color="auto"/>
              <w:bottom w:val="single" w:sz="4" w:space="0" w:color="auto"/>
              <w:right w:val="single" w:sz="4" w:space="0" w:color="auto"/>
            </w:tcBorders>
            <w:shd w:val="clear" w:color="000000" w:fill="F86F71"/>
            <w:noWrap/>
            <w:vAlign w:val="center"/>
            <w:hideMark/>
          </w:tcPr>
          <w:p w14:paraId="55812B67"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5%</w:t>
            </w:r>
          </w:p>
        </w:tc>
      </w:tr>
      <w:tr w:rsidR="00F2122D" w:rsidRPr="00F2122D" w14:paraId="5F483A0F"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3F900D48"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Poziom kosztów pośrednich jest zbyt mały</w:t>
            </w:r>
          </w:p>
        </w:tc>
        <w:tc>
          <w:tcPr>
            <w:tcW w:w="1191" w:type="dxa"/>
            <w:tcBorders>
              <w:top w:val="single" w:sz="4" w:space="0" w:color="auto"/>
              <w:left w:val="single" w:sz="4" w:space="0" w:color="auto"/>
              <w:bottom w:val="single" w:sz="4" w:space="0" w:color="auto"/>
              <w:right w:val="single" w:sz="4" w:space="0" w:color="auto"/>
            </w:tcBorders>
            <w:shd w:val="clear" w:color="000000" w:fill="FBF1F4"/>
            <w:noWrap/>
            <w:vAlign w:val="center"/>
            <w:hideMark/>
          </w:tcPr>
          <w:p w14:paraId="145A55CE"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16%</w:t>
            </w:r>
          </w:p>
        </w:tc>
        <w:tc>
          <w:tcPr>
            <w:tcW w:w="1191" w:type="dxa"/>
            <w:tcBorders>
              <w:top w:val="single" w:sz="4" w:space="0" w:color="auto"/>
              <w:left w:val="single" w:sz="4" w:space="0" w:color="auto"/>
              <w:bottom w:val="single" w:sz="4" w:space="0" w:color="auto"/>
              <w:right w:val="single" w:sz="4" w:space="0" w:color="auto"/>
            </w:tcBorders>
            <w:shd w:val="clear" w:color="000000" w:fill="F5F7FD"/>
            <w:noWrap/>
            <w:vAlign w:val="center"/>
            <w:hideMark/>
          </w:tcPr>
          <w:p w14:paraId="689A80B9"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18%</w:t>
            </w:r>
          </w:p>
        </w:tc>
        <w:tc>
          <w:tcPr>
            <w:tcW w:w="1191" w:type="dxa"/>
            <w:tcBorders>
              <w:top w:val="single" w:sz="4" w:space="0" w:color="auto"/>
              <w:left w:val="single" w:sz="4" w:space="0" w:color="auto"/>
              <w:bottom w:val="single" w:sz="4" w:space="0" w:color="auto"/>
              <w:right w:val="single" w:sz="4" w:space="0" w:color="auto"/>
            </w:tcBorders>
            <w:shd w:val="clear" w:color="000000" w:fill="F2F5FC"/>
            <w:noWrap/>
            <w:vAlign w:val="center"/>
            <w:hideMark/>
          </w:tcPr>
          <w:p w14:paraId="0A491E97"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19%</w:t>
            </w:r>
          </w:p>
        </w:tc>
        <w:tc>
          <w:tcPr>
            <w:tcW w:w="1191" w:type="dxa"/>
            <w:tcBorders>
              <w:top w:val="single" w:sz="4" w:space="0" w:color="auto"/>
              <w:left w:val="single" w:sz="4" w:space="0" w:color="auto"/>
              <w:bottom w:val="single" w:sz="4" w:space="0" w:color="auto"/>
              <w:right w:val="single" w:sz="4" w:space="0" w:color="auto"/>
            </w:tcBorders>
            <w:shd w:val="clear" w:color="000000" w:fill="FBD9DC"/>
            <w:noWrap/>
            <w:vAlign w:val="center"/>
            <w:hideMark/>
          </w:tcPr>
          <w:p w14:paraId="3227311E"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14%</w:t>
            </w:r>
          </w:p>
        </w:tc>
        <w:tc>
          <w:tcPr>
            <w:tcW w:w="1332" w:type="dxa"/>
            <w:tcBorders>
              <w:top w:val="single" w:sz="4" w:space="0" w:color="auto"/>
              <w:left w:val="single" w:sz="4" w:space="0" w:color="auto"/>
              <w:bottom w:val="single" w:sz="4" w:space="0" w:color="auto"/>
              <w:right w:val="single" w:sz="4" w:space="0" w:color="auto"/>
            </w:tcBorders>
            <w:shd w:val="clear" w:color="000000" w:fill="A6BFE1"/>
            <w:noWrap/>
            <w:vAlign w:val="center"/>
            <w:hideMark/>
          </w:tcPr>
          <w:p w14:paraId="24941076"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33%</w:t>
            </w:r>
          </w:p>
        </w:tc>
      </w:tr>
      <w:tr w:rsidR="00F2122D" w:rsidRPr="00F2122D" w14:paraId="69B409B4"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70E83E51"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Poziom dofinansowania działań promocyjnych jest zbyt mały</w:t>
            </w:r>
          </w:p>
        </w:tc>
        <w:tc>
          <w:tcPr>
            <w:tcW w:w="1191" w:type="dxa"/>
            <w:tcBorders>
              <w:top w:val="single" w:sz="4" w:space="0" w:color="auto"/>
              <w:left w:val="single" w:sz="4" w:space="0" w:color="auto"/>
              <w:bottom w:val="single" w:sz="4" w:space="0" w:color="auto"/>
              <w:right w:val="single" w:sz="4" w:space="0" w:color="auto"/>
            </w:tcBorders>
            <w:shd w:val="clear" w:color="000000" w:fill="FBEEF1"/>
            <w:noWrap/>
            <w:vAlign w:val="center"/>
            <w:hideMark/>
          </w:tcPr>
          <w:p w14:paraId="18ABA6B5"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16%</w:t>
            </w:r>
          </w:p>
        </w:tc>
        <w:tc>
          <w:tcPr>
            <w:tcW w:w="1191" w:type="dxa"/>
            <w:tcBorders>
              <w:top w:val="single" w:sz="4" w:space="0" w:color="auto"/>
              <w:left w:val="single" w:sz="4" w:space="0" w:color="auto"/>
              <w:bottom w:val="single" w:sz="4" w:space="0" w:color="auto"/>
              <w:right w:val="single" w:sz="4" w:space="0" w:color="auto"/>
            </w:tcBorders>
            <w:shd w:val="clear" w:color="000000" w:fill="FBEEF1"/>
            <w:noWrap/>
            <w:vAlign w:val="center"/>
            <w:hideMark/>
          </w:tcPr>
          <w:p w14:paraId="0C273C35"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16%</w:t>
            </w:r>
          </w:p>
        </w:tc>
        <w:tc>
          <w:tcPr>
            <w:tcW w:w="1191" w:type="dxa"/>
            <w:tcBorders>
              <w:top w:val="single" w:sz="4" w:space="0" w:color="auto"/>
              <w:left w:val="single" w:sz="4" w:space="0" w:color="auto"/>
              <w:bottom w:val="single" w:sz="4" w:space="0" w:color="auto"/>
              <w:right w:val="single" w:sz="4" w:space="0" w:color="auto"/>
            </w:tcBorders>
            <w:shd w:val="clear" w:color="000000" w:fill="E5ECF7"/>
            <w:noWrap/>
            <w:vAlign w:val="center"/>
            <w:hideMark/>
          </w:tcPr>
          <w:p w14:paraId="583D778C"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21%</w:t>
            </w:r>
          </w:p>
        </w:tc>
        <w:tc>
          <w:tcPr>
            <w:tcW w:w="1191" w:type="dxa"/>
            <w:tcBorders>
              <w:top w:val="single" w:sz="4" w:space="0" w:color="auto"/>
              <w:left w:val="single" w:sz="4" w:space="0" w:color="auto"/>
              <w:bottom w:val="single" w:sz="4" w:space="0" w:color="auto"/>
              <w:right w:val="single" w:sz="4" w:space="0" w:color="auto"/>
            </w:tcBorders>
            <w:shd w:val="clear" w:color="000000" w:fill="D9E4F3"/>
            <w:noWrap/>
            <w:vAlign w:val="center"/>
            <w:hideMark/>
          </w:tcPr>
          <w:p w14:paraId="49201BD6"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23%</w:t>
            </w:r>
          </w:p>
        </w:tc>
        <w:tc>
          <w:tcPr>
            <w:tcW w:w="1332" w:type="dxa"/>
            <w:tcBorders>
              <w:top w:val="single" w:sz="4" w:space="0" w:color="auto"/>
              <w:left w:val="single" w:sz="4" w:space="0" w:color="auto"/>
              <w:bottom w:val="single" w:sz="4" w:space="0" w:color="auto"/>
              <w:right w:val="single" w:sz="4" w:space="0" w:color="auto"/>
            </w:tcBorders>
            <w:shd w:val="clear" w:color="000000" w:fill="D6E2F2"/>
            <w:noWrap/>
            <w:vAlign w:val="center"/>
            <w:hideMark/>
          </w:tcPr>
          <w:p w14:paraId="6FD8C2BF"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24%</w:t>
            </w:r>
          </w:p>
        </w:tc>
      </w:tr>
      <w:tr w:rsidR="00F2122D" w:rsidRPr="00F2122D" w14:paraId="66356C3F"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3AE52305"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Należy umożliwić rozliczanie kosztów pośrednich bez powiązania</w:t>
            </w:r>
            <w:r w:rsidR="00E66B89">
              <w:rPr>
                <w:rFonts w:cs="Calibri"/>
                <w:sz w:val="18"/>
                <w:szCs w:val="18"/>
              </w:rPr>
              <w:t xml:space="preserve"> z </w:t>
            </w:r>
            <w:r w:rsidRPr="00F2122D">
              <w:rPr>
                <w:rFonts w:cs="Calibri"/>
                <w:sz w:val="18"/>
                <w:szCs w:val="18"/>
              </w:rPr>
              <w:t>kosztami merytorycznymi</w:t>
            </w:r>
          </w:p>
        </w:tc>
        <w:tc>
          <w:tcPr>
            <w:tcW w:w="1191" w:type="dxa"/>
            <w:tcBorders>
              <w:top w:val="single" w:sz="4" w:space="0" w:color="auto"/>
              <w:left w:val="single" w:sz="4" w:space="0" w:color="auto"/>
              <w:bottom w:val="single" w:sz="4" w:space="0" w:color="auto"/>
              <w:right w:val="single" w:sz="4" w:space="0" w:color="auto"/>
            </w:tcBorders>
            <w:shd w:val="clear" w:color="000000" w:fill="BACEE8"/>
            <w:noWrap/>
            <w:vAlign w:val="center"/>
            <w:hideMark/>
          </w:tcPr>
          <w:p w14:paraId="037D4E7D"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29%</w:t>
            </w:r>
          </w:p>
        </w:tc>
        <w:tc>
          <w:tcPr>
            <w:tcW w:w="119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938B273"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17%</w:t>
            </w:r>
          </w:p>
        </w:tc>
        <w:tc>
          <w:tcPr>
            <w:tcW w:w="1191" w:type="dxa"/>
            <w:tcBorders>
              <w:top w:val="single" w:sz="4" w:space="0" w:color="auto"/>
              <w:left w:val="single" w:sz="4" w:space="0" w:color="auto"/>
              <w:bottom w:val="single" w:sz="4" w:space="0" w:color="auto"/>
              <w:right w:val="single" w:sz="4" w:space="0" w:color="auto"/>
            </w:tcBorders>
            <w:shd w:val="clear" w:color="000000" w:fill="F9989B"/>
            <w:noWrap/>
            <w:vAlign w:val="center"/>
            <w:hideMark/>
          </w:tcPr>
          <w:p w14:paraId="0F22E9F4"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9%</w:t>
            </w:r>
          </w:p>
        </w:tc>
        <w:tc>
          <w:tcPr>
            <w:tcW w:w="1191" w:type="dxa"/>
            <w:tcBorders>
              <w:top w:val="single" w:sz="4" w:space="0" w:color="auto"/>
              <w:left w:val="single" w:sz="4" w:space="0" w:color="auto"/>
              <w:bottom w:val="single" w:sz="4" w:space="0" w:color="auto"/>
              <w:right w:val="single" w:sz="4" w:space="0" w:color="auto"/>
            </w:tcBorders>
            <w:shd w:val="clear" w:color="000000" w:fill="F9989B"/>
            <w:noWrap/>
            <w:vAlign w:val="center"/>
            <w:hideMark/>
          </w:tcPr>
          <w:p w14:paraId="4975F900"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9%</w:t>
            </w:r>
          </w:p>
        </w:tc>
        <w:tc>
          <w:tcPr>
            <w:tcW w:w="1332" w:type="dxa"/>
            <w:tcBorders>
              <w:top w:val="single" w:sz="4" w:space="0" w:color="auto"/>
              <w:left w:val="single" w:sz="4" w:space="0" w:color="auto"/>
              <w:bottom w:val="single" w:sz="4" w:space="0" w:color="auto"/>
              <w:right w:val="single" w:sz="4" w:space="0" w:color="auto"/>
            </w:tcBorders>
            <w:shd w:val="clear" w:color="000000" w:fill="94B3DB"/>
            <w:noWrap/>
            <w:vAlign w:val="center"/>
            <w:hideMark/>
          </w:tcPr>
          <w:p w14:paraId="4DDE5A27"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37%</w:t>
            </w:r>
          </w:p>
        </w:tc>
      </w:tr>
      <w:tr w:rsidR="00F2122D" w:rsidRPr="00F2122D" w14:paraId="3830B701"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2A86A42D"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Zastosowane metody uproszczonego rozliczania wydatków nie są dostatecznie uproszczone</w:t>
            </w:r>
          </w:p>
        </w:tc>
        <w:tc>
          <w:tcPr>
            <w:tcW w:w="1191" w:type="dxa"/>
            <w:tcBorders>
              <w:top w:val="single" w:sz="4" w:space="0" w:color="auto"/>
              <w:left w:val="single" w:sz="4" w:space="0" w:color="auto"/>
              <w:bottom w:val="single" w:sz="4" w:space="0" w:color="auto"/>
              <w:right w:val="single" w:sz="4" w:space="0" w:color="auto"/>
            </w:tcBorders>
            <w:shd w:val="clear" w:color="000000" w:fill="FAB7BA"/>
            <w:noWrap/>
            <w:vAlign w:val="center"/>
            <w:hideMark/>
          </w:tcPr>
          <w:p w14:paraId="0A550C6C"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11%</w:t>
            </w:r>
          </w:p>
        </w:tc>
        <w:tc>
          <w:tcPr>
            <w:tcW w:w="1191" w:type="dxa"/>
            <w:tcBorders>
              <w:top w:val="single" w:sz="4" w:space="0" w:color="auto"/>
              <w:left w:val="single" w:sz="4" w:space="0" w:color="auto"/>
              <w:bottom w:val="single" w:sz="4" w:space="0" w:color="auto"/>
              <w:right w:val="single" w:sz="4" w:space="0" w:color="auto"/>
            </w:tcBorders>
            <w:shd w:val="clear" w:color="000000" w:fill="FAD6D9"/>
            <w:noWrap/>
            <w:vAlign w:val="center"/>
            <w:hideMark/>
          </w:tcPr>
          <w:p w14:paraId="7BCA35F1"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14%</w:t>
            </w:r>
          </w:p>
        </w:tc>
        <w:tc>
          <w:tcPr>
            <w:tcW w:w="1191" w:type="dxa"/>
            <w:tcBorders>
              <w:top w:val="single" w:sz="4" w:space="0" w:color="auto"/>
              <w:left w:val="single" w:sz="4" w:space="0" w:color="auto"/>
              <w:bottom w:val="single" w:sz="4" w:space="0" w:color="auto"/>
              <w:right w:val="single" w:sz="4" w:space="0" w:color="auto"/>
            </w:tcBorders>
            <w:shd w:val="clear" w:color="000000" w:fill="FAD2D5"/>
            <w:noWrap/>
            <w:vAlign w:val="center"/>
            <w:hideMark/>
          </w:tcPr>
          <w:p w14:paraId="17844CEC"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13%</w:t>
            </w:r>
          </w:p>
        </w:tc>
        <w:tc>
          <w:tcPr>
            <w:tcW w:w="1191" w:type="dxa"/>
            <w:tcBorders>
              <w:top w:val="single" w:sz="4" w:space="0" w:color="auto"/>
              <w:left w:val="single" w:sz="4" w:space="0" w:color="auto"/>
              <w:bottom w:val="single" w:sz="4" w:space="0" w:color="auto"/>
              <w:right w:val="single" w:sz="4" w:space="0" w:color="auto"/>
            </w:tcBorders>
            <w:shd w:val="clear" w:color="000000" w:fill="FBDDE0"/>
            <w:noWrap/>
            <w:vAlign w:val="center"/>
            <w:hideMark/>
          </w:tcPr>
          <w:p w14:paraId="4987C2A4"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14%</w:t>
            </w:r>
          </w:p>
        </w:tc>
        <w:tc>
          <w:tcPr>
            <w:tcW w:w="1332"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842DD4C"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47%</w:t>
            </w:r>
          </w:p>
        </w:tc>
      </w:tr>
      <w:tr w:rsidR="00F2122D" w:rsidRPr="00F2122D" w14:paraId="11F7785F" w14:textId="77777777" w:rsidTr="00C22C26">
        <w:trPr>
          <w:trHeight w:val="2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3FE967B9" w14:textId="77777777" w:rsidR="00F2122D" w:rsidRPr="00F2122D" w:rsidRDefault="00F2122D" w:rsidP="00F2122D">
            <w:pPr>
              <w:spacing w:before="0" w:after="0" w:line="240" w:lineRule="auto"/>
              <w:jc w:val="left"/>
              <w:rPr>
                <w:rFonts w:cs="Calibri"/>
                <w:sz w:val="18"/>
                <w:szCs w:val="18"/>
              </w:rPr>
            </w:pPr>
            <w:r w:rsidRPr="00F2122D">
              <w:rPr>
                <w:rFonts w:cs="Calibri"/>
                <w:sz w:val="18"/>
                <w:szCs w:val="18"/>
              </w:rPr>
              <w:t>Czas oczekiwania na płatności ze strony instytucji finansującej projekt był zbyt długi</w:t>
            </w:r>
            <w:r w:rsidR="00E66B89">
              <w:rPr>
                <w:rFonts w:cs="Calibri"/>
                <w:sz w:val="18"/>
                <w:szCs w:val="18"/>
              </w:rPr>
              <w:t xml:space="preserve"> w </w:t>
            </w:r>
            <w:r w:rsidRPr="00F2122D">
              <w:rPr>
                <w:rFonts w:cs="Calibri"/>
                <w:sz w:val="18"/>
                <w:szCs w:val="18"/>
              </w:rPr>
              <w:t>stosunku do naszych potrzeb</w:t>
            </w:r>
          </w:p>
        </w:tc>
        <w:tc>
          <w:tcPr>
            <w:tcW w:w="1191" w:type="dxa"/>
            <w:tcBorders>
              <w:top w:val="single" w:sz="4" w:space="0" w:color="auto"/>
              <w:left w:val="single" w:sz="4" w:space="0" w:color="auto"/>
              <w:bottom w:val="single" w:sz="4" w:space="0" w:color="auto"/>
              <w:right w:val="single" w:sz="4" w:space="0" w:color="auto"/>
            </w:tcBorders>
            <w:shd w:val="clear" w:color="000000" w:fill="C9D8ED"/>
            <w:noWrap/>
            <w:vAlign w:val="center"/>
            <w:hideMark/>
          </w:tcPr>
          <w:p w14:paraId="783CED2F"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27%</w:t>
            </w:r>
          </w:p>
        </w:tc>
        <w:tc>
          <w:tcPr>
            <w:tcW w:w="1191" w:type="dxa"/>
            <w:tcBorders>
              <w:top w:val="single" w:sz="4" w:space="0" w:color="auto"/>
              <w:left w:val="single" w:sz="4" w:space="0" w:color="auto"/>
              <w:bottom w:val="single" w:sz="4" w:space="0" w:color="auto"/>
              <w:right w:val="single" w:sz="4" w:space="0" w:color="auto"/>
            </w:tcBorders>
            <w:shd w:val="clear" w:color="000000" w:fill="F7F8FD"/>
            <w:noWrap/>
            <w:vAlign w:val="center"/>
            <w:hideMark/>
          </w:tcPr>
          <w:p w14:paraId="54642121"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18%</w:t>
            </w:r>
          </w:p>
        </w:tc>
        <w:tc>
          <w:tcPr>
            <w:tcW w:w="1191" w:type="dxa"/>
            <w:tcBorders>
              <w:top w:val="single" w:sz="4" w:space="0" w:color="auto"/>
              <w:left w:val="single" w:sz="4" w:space="0" w:color="auto"/>
              <w:bottom w:val="single" w:sz="4" w:space="0" w:color="auto"/>
              <w:right w:val="single" w:sz="4" w:space="0" w:color="auto"/>
            </w:tcBorders>
            <w:shd w:val="clear" w:color="000000" w:fill="D8E3F3"/>
            <w:noWrap/>
            <w:vAlign w:val="center"/>
            <w:hideMark/>
          </w:tcPr>
          <w:p w14:paraId="2057CEF9"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24%</w:t>
            </w:r>
          </w:p>
        </w:tc>
        <w:tc>
          <w:tcPr>
            <w:tcW w:w="1191" w:type="dxa"/>
            <w:tcBorders>
              <w:top w:val="single" w:sz="4" w:space="0" w:color="auto"/>
              <w:left w:val="single" w:sz="4" w:space="0" w:color="auto"/>
              <w:bottom w:val="single" w:sz="4" w:space="0" w:color="auto"/>
              <w:right w:val="single" w:sz="4" w:space="0" w:color="auto"/>
            </w:tcBorders>
            <w:shd w:val="clear" w:color="000000" w:fill="F7F8FD"/>
            <w:noWrap/>
            <w:vAlign w:val="center"/>
            <w:hideMark/>
          </w:tcPr>
          <w:p w14:paraId="63ABF415"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18%</w:t>
            </w:r>
          </w:p>
        </w:tc>
        <w:tc>
          <w:tcPr>
            <w:tcW w:w="1332" w:type="dxa"/>
            <w:tcBorders>
              <w:top w:val="single" w:sz="4" w:space="0" w:color="auto"/>
              <w:left w:val="single" w:sz="4" w:space="0" w:color="auto"/>
              <w:bottom w:val="single" w:sz="4" w:space="0" w:color="auto"/>
              <w:right w:val="single" w:sz="4" w:space="0" w:color="auto"/>
            </w:tcBorders>
            <w:shd w:val="clear" w:color="000000" w:fill="FBD9DC"/>
            <w:noWrap/>
            <w:vAlign w:val="center"/>
            <w:hideMark/>
          </w:tcPr>
          <w:p w14:paraId="56BFAA5C" w14:textId="77777777" w:rsidR="00F2122D" w:rsidRPr="00F2122D" w:rsidRDefault="00F2122D" w:rsidP="00F2122D">
            <w:pPr>
              <w:spacing w:before="0" w:after="0" w:line="240" w:lineRule="auto"/>
              <w:jc w:val="right"/>
              <w:rPr>
                <w:rFonts w:cs="Calibri"/>
                <w:color w:val="000000"/>
                <w:sz w:val="18"/>
                <w:szCs w:val="18"/>
              </w:rPr>
            </w:pPr>
            <w:r w:rsidRPr="00F2122D">
              <w:rPr>
                <w:rFonts w:cs="Calibri"/>
                <w:color w:val="000000"/>
                <w:sz w:val="18"/>
                <w:szCs w:val="18"/>
              </w:rPr>
              <w:t>14%</w:t>
            </w:r>
          </w:p>
        </w:tc>
      </w:tr>
    </w:tbl>
    <w:p w14:paraId="5DD18C08" w14:textId="77777777" w:rsidR="00526AA8" w:rsidRPr="00E4475B" w:rsidRDefault="00526AA8" w:rsidP="0028542B">
      <w:pPr>
        <w:spacing w:before="0"/>
        <w:rPr>
          <w:rFonts w:cs="Calibri"/>
          <w:i/>
          <w:sz w:val="18"/>
          <w:szCs w:val="20"/>
        </w:rPr>
      </w:pPr>
      <w:r w:rsidRPr="00E4475B">
        <w:rPr>
          <w:rFonts w:cs="Calibri"/>
          <w:i/>
          <w:sz w:val="18"/>
          <w:szCs w:val="20"/>
        </w:rPr>
        <w:t>Źródło: opracowanie własne na podstawie badania beneficjentów RPO WZ 2014-2020, n=358.</w:t>
      </w:r>
    </w:p>
    <w:p w14:paraId="4AF5FF99" w14:textId="77777777" w:rsidR="00526AA8" w:rsidRDefault="00526AA8" w:rsidP="00526AA8">
      <w:pPr>
        <w:pStyle w:val="evaluTresc"/>
      </w:pPr>
      <w:r>
        <w:lastRenderedPageBreak/>
        <w:t>Poza obciążeniami związanymi ze sprawozdawczością</w:t>
      </w:r>
      <w:r w:rsidR="00BF0516">
        <w:t>,</w:t>
      </w:r>
      <w:r>
        <w:t xml:space="preserve"> beneficjenci mieli do czynienia także</w:t>
      </w:r>
      <w:r w:rsidR="00E66B89">
        <w:t xml:space="preserve"> z </w:t>
      </w:r>
      <w:r>
        <w:t>innymi trudnościami na etapie realizacji projekt</w:t>
      </w:r>
      <w:r w:rsidR="00BF0516">
        <w:t>ów</w:t>
      </w:r>
      <w:r>
        <w:t>. Najwięcej trudności sprawiało beneficjentom znalezienie wykonawców</w:t>
      </w:r>
      <w:r w:rsidR="00BF0516">
        <w:t xml:space="preserve"> -</w:t>
      </w:r>
      <w:r>
        <w:t xml:space="preserve"> przede wszystkim</w:t>
      </w:r>
      <w:r w:rsidR="00E66B89">
        <w:t xml:space="preserve"> z </w:t>
      </w:r>
      <w:r>
        <w:t>uwzględnieniem prawa zamówień publicznych. Drugim</w:t>
      </w:r>
      <w:r w:rsidR="00E66B89">
        <w:t xml:space="preserve"> z </w:t>
      </w:r>
      <w:r>
        <w:t>kolei problemem</w:t>
      </w:r>
      <w:r w:rsidR="00E66B89">
        <w:t xml:space="preserve"> z </w:t>
      </w:r>
      <w:r>
        <w:t>jakim musieli zmierzyć się beneficjenci był istotny wzrost kosztów realizacji projektu,</w:t>
      </w:r>
      <w:r w:rsidR="00E66B89">
        <w:t xml:space="preserve"> a </w:t>
      </w:r>
      <w:r>
        <w:t>następnie problemy</w:t>
      </w:r>
      <w:r w:rsidR="00E66B89">
        <w:t xml:space="preserve"> z </w:t>
      </w:r>
      <w:r>
        <w:t>przepisami (ich interpretacją lub zmianą) oraz problemy na etapie realizacji projektu</w:t>
      </w:r>
      <w:r w:rsidR="00E66B89">
        <w:t xml:space="preserve"> w </w:t>
      </w:r>
      <w:r>
        <w:t>zakresie robót, zakupów lub dostaw –</w:t>
      </w:r>
      <w:r w:rsidR="00E66B89">
        <w:t xml:space="preserve"> w </w:t>
      </w:r>
      <w:r>
        <w:t>zależności od finansowania (EFS czy EFRR). Beneficjenci mieli problem</w:t>
      </w:r>
      <w:r w:rsidR="00E66B89">
        <w:t xml:space="preserve"> z </w:t>
      </w:r>
      <w:r>
        <w:t>właściwą interpretacją nowych przepisów dot. ochrony danych osobowych, wytycznych dot. transportu publicznego, zmiany przepisów dotyczących prawa wodnego, prawidłowego wyłonienia podwykonawców zgodnie</w:t>
      </w:r>
      <w:r w:rsidR="00E66B89">
        <w:t xml:space="preserve"> z </w:t>
      </w:r>
      <w:r>
        <w:t>przepisami PZP i/lub zasadą konkurencyjności, czy też interpretacją przepisów związanych</w:t>
      </w:r>
      <w:r w:rsidR="00E66B89">
        <w:t xml:space="preserve"> z </w:t>
      </w:r>
      <w:r w:rsidRPr="00727F69">
        <w:t>udzielaniem uczestnikom projektu instrumentów aktywnej integracji</w:t>
      </w:r>
      <w:r w:rsidR="00E66B89">
        <w:t xml:space="preserve"> o </w:t>
      </w:r>
      <w:r w:rsidRPr="00727F69">
        <w:t>charakterze zawodowym</w:t>
      </w:r>
      <w:r w:rsidR="00E66B89">
        <w:t xml:space="preserve"> i </w:t>
      </w:r>
      <w:r>
        <w:t>innych przepisów regulujących zatrudnienie. Problemy ze stosowaniem</w:t>
      </w:r>
      <w:r w:rsidR="00BF0516">
        <w:t>,</w:t>
      </w:r>
      <w:r>
        <w:t xml:space="preserve"> przez beneficjentów</w:t>
      </w:r>
      <w:r w:rsidR="00BF0516">
        <w:t>,</w:t>
      </w:r>
      <w:r>
        <w:t xml:space="preserve"> zasady konkurencyjności potwierdzili także rozmówcy wywiadów pogłębionych. Błędy</w:t>
      </w:r>
      <w:r w:rsidR="00E66B89">
        <w:t xml:space="preserve"> w </w:t>
      </w:r>
      <w:r>
        <w:t>tym zakresie skutkują koniecznością złożenia korekt przez beneficjentów</w:t>
      </w:r>
      <w:r w:rsidR="00BF0516">
        <w:t>, co</w:t>
      </w:r>
      <w:r>
        <w:t xml:space="preserve"> wydłuża czas zatwierdzenia kolejnych WoP oraz wpływa na przesuwanie się realizacji poszczególnych zadań</w:t>
      </w:r>
      <w:r w:rsidR="00E66B89">
        <w:t xml:space="preserve"> w </w:t>
      </w:r>
      <w:r>
        <w:t>projekcie. Dodatkowo niewłaściwe stosowanie zasady konkurencyjności grozi karami nakładanymi na beneficjentów. Poza problemami</w:t>
      </w:r>
      <w:r w:rsidR="00E66B89">
        <w:t xml:space="preserve"> z </w:t>
      </w:r>
      <w:r>
        <w:t>interpretacją przepisów problemy</w:t>
      </w:r>
      <w:r w:rsidR="00E66B89">
        <w:t xml:space="preserve"> z </w:t>
      </w:r>
      <w:r>
        <w:t>przepisami dotyczyły m.in. zdobycia pozwoleń środowiskowych</w:t>
      </w:r>
      <w:r w:rsidR="00E66B89">
        <w:t xml:space="preserve"> i </w:t>
      </w:r>
      <w:r>
        <w:t>technicznych oraz pozwoleń na budowę. Jak wynika</w:t>
      </w:r>
      <w:r w:rsidR="00E66B89">
        <w:t xml:space="preserve"> z </w:t>
      </w:r>
      <w:r>
        <w:t>badań ilościowych niektórzy beneficjenci zarówno EFS jak</w:t>
      </w:r>
      <w:r w:rsidR="00E66B89">
        <w:t xml:space="preserve"> i </w:t>
      </w:r>
      <w:r>
        <w:t>EFRR zetknęli się</w:t>
      </w:r>
      <w:r w:rsidR="00E66B89">
        <w:t xml:space="preserve"> z </w:t>
      </w:r>
      <w:r>
        <w:t>trudnościami związanymi</w:t>
      </w:r>
      <w:r w:rsidR="00E66B89">
        <w:t xml:space="preserve"> z </w:t>
      </w:r>
      <w:r>
        <w:t xml:space="preserve">zapewnieniem odpowiednio wykwalifikowanej kadry przy realizacji projektu. </w:t>
      </w:r>
      <w:r w:rsidR="009F676A">
        <w:t>B</w:t>
      </w:r>
      <w:r>
        <w:t>eneficjen</w:t>
      </w:r>
      <w:r w:rsidR="009F676A">
        <w:t>ci</w:t>
      </w:r>
      <w:r>
        <w:t xml:space="preserve"> EFS </w:t>
      </w:r>
      <w:r w:rsidR="009F676A">
        <w:t xml:space="preserve">wskazywali na </w:t>
      </w:r>
      <w:r>
        <w:t>trudności</w:t>
      </w:r>
      <w:r w:rsidR="00E66B89">
        <w:t xml:space="preserve"> z </w:t>
      </w:r>
      <w:r>
        <w:t xml:space="preserve">rekrutacją uczestników </w:t>
      </w:r>
      <w:r w:rsidR="009F676A">
        <w:t>projektów</w:t>
      </w:r>
      <w:r>
        <w:t>,</w:t>
      </w:r>
      <w:r w:rsidR="00E66B89">
        <w:t xml:space="preserve"> a </w:t>
      </w:r>
      <w:r>
        <w:t>także</w:t>
      </w:r>
      <w:r w:rsidR="009F676A">
        <w:t xml:space="preserve"> na</w:t>
      </w:r>
      <w:r w:rsidR="008B706B">
        <w:t xml:space="preserve"> </w:t>
      </w:r>
      <w:r>
        <w:t>problemy</w:t>
      </w:r>
      <w:r w:rsidR="00E66B89">
        <w:t xml:space="preserve"> z </w:t>
      </w:r>
      <w:r>
        <w:t>zakończeniem uczestnictwa</w:t>
      </w:r>
      <w:r w:rsidR="00E66B89">
        <w:t xml:space="preserve"> w </w:t>
      </w:r>
      <w:r>
        <w:t>projekcie przez osoby</w:t>
      </w:r>
      <w:r w:rsidR="009F676A">
        <w:t xml:space="preserve"> już</w:t>
      </w:r>
      <w:r>
        <w:t xml:space="preserve"> zrekrutowane do projektu. </w:t>
      </w:r>
    </w:p>
    <w:p w14:paraId="5A5B719D" w14:textId="77777777" w:rsidR="00526AA8" w:rsidRPr="00644A85" w:rsidRDefault="00526AA8" w:rsidP="00024F00">
      <w:pPr>
        <w:pStyle w:val="Legenda"/>
        <w:spacing w:after="0"/>
      </w:pPr>
      <w:bookmarkStart w:id="411" w:name="_Toc5311914"/>
      <w:r w:rsidRPr="00644A85">
        <w:t xml:space="preserve">Wykres </w:t>
      </w:r>
      <w:r w:rsidR="00B72A80">
        <w:fldChar w:fldCharType="begin"/>
      </w:r>
      <w:r w:rsidR="00B72A80">
        <w:instrText xml:space="preserve"> SEQ Wykres \* ARABIC </w:instrText>
      </w:r>
      <w:r w:rsidR="00B72A80">
        <w:fldChar w:fldCharType="separate"/>
      </w:r>
      <w:r w:rsidR="00763345">
        <w:rPr>
          <w:noProof/>
        </w:rPr>
        <w:t>49</w:t>
      </w:r>
      <w:r w:rsidR="00B72A80">
        <w:fldChar w:fldCharType="end"/>
      </w:r>
      <w:r w:rsidRPr="00644A85">
        <w:t xml:space="preserve"> Trudności jakie wystąpiły na etapie realizacji projektu</w:t>
      </w:r>
      <w:r w:rsidR="00E66B89">
        <w:t xml:space="preserve"> w </w:t>
      </w:r>
      <w:r>
        <w:t>ocenie beneficjentów</w:t>
      </w:r>
      <w:bookmarkEnd w:id="411"/>
    </w:p>
    <w:p w14:paraId="0122767F" w14:textId="5B510A08" w:rsidR="00526AA8" w:rsidRPr="00404DA5" w:rsidRDefault="00C35619" w:rsidP="00CA715D">
      <w:pPr>
        <w:spacing w:before="0" w:after="0"/>
        <w:rPr>
          <w:rFonts w:cs="Calibri"/>
          <w:szCs w:val="20"/>
        </w:rPr>
      </w:pPr>
      <w:r w:rsidRPr="00D508B6">
        <w:rPr>
          <w:noProof/>
        </w:rPr>
        <w:drawing>
          <wp:inline distT="0" distB="0" distL="0" distR="0" wp14:anchorId="6CB24F9A" wp14:editId="30161C86">
            <wp:extent cx="5753100" cy="4330065"/>
            <wp:effectExtent l="0" t="0" r="0" b="13335"/>
            <wp:docPr id="86" name="Wykres 18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2288D2D" w14:textId="77777777" w:rsidR="00526AA8" w:rsidRPr="00E4475B" w:rsidRDefault="00526AA8" w:rsidP="0028542B">
      <w:pPr>
        <w:spacing w:before="0"/>
        <w:rPr>
          <w:rFonts w:cs="Calibri"/>
          <w:i/>
          <w:sz w:val="18"/>
          <w:szCs w:val="20"/>
        </w:rPr>
      </w:pPr>
      <w:r w:rsidRPr="00E4475B">
        <w:rPr>
          <w:rFonts w:cs="Calibri"/>
          <w:i/>
          <w:sz w:val="18"/>
          <w:szCs w:val="20"/>
        </w:rPr>
        <w:t>Źródło: opracowanie własne na podstawie badania beneficjentów RPO WZ 2014-2020, n=437, na wykresie nie pokazano wyników dla odpowiedzi „nie wiem/trudno powiedzieć” ani „inne”.</w:t>
      </w:r>
    </w:p>
    <w:p w14:paraId="08BCC32E" w14:textId="77777777" w:rsidR="00526AA8" w:rsidRPr="00404DA5" w:rsidRDefault="00526AA8" w:rsidP="00526AA8">
      <w:pPr>
        <w:rPr>
          <w:rFonts w:cs="Calibri"/>
          <w:szCs w:val="20"/>
        </w:rPr>
      </w:pPr>
      <w:r w:rsidRPr="00404DA5">
        <w:rPr>
          <w:rFonts w:cs="Calibri"/>
          <w:szCs w:val="20"/>
        </w:rPr>
        <w:lastRenderedPageBreak/>
        <w:t xml:space="preserve">Beneficjenci wskazali, że skutkami powyższych trudności może być przede wszystkim wydłużenie okresu realizacji projektu – wskazała na to niemal połowa </w:t>
      </w:r>
      <w:r w:rsidR="009F676A">
        <w:rPr>
          <w:rFonts w:cs="Calibri"/>
          <w:szCs w:val="20"/>
        </w:rPr>
        <w:t xml:space="preserve">tych </w:t>
      </w:r>
      <w:r w:rsidRPr="00404DA5">
        <w:rPr>
          <w:rFonts w:cs="Calibri"/>
          <w:szCs w:val="20"/>
        </w:rPr>
        <w:t xml:space="preserve">badanych, którzy doświadczyli trudności podczas realizacji projektu. Innym </w:t>
      </w:r>
      <w:r w:rsidR="009F676A">
        <w:rPr>
          <w:rFonts w:cs="Calibri"/>
          <w:szCs w:val="20"/>
        </w:rPr>
        <w:t>problemem,</w:t>
      </w:r>
      <w:r w:rsidRPr="00404DA5">
        <w:rPr>
          <w:rFonts w:cs="Calibri"/>
          <w:szCs w:val="20"/>
        </w:rPr>
        <w:t xml:space="preserve"> wskazanym przez około ¼ beneficjentów</w:t>
      </w:r>
      <w:r w:rsidR="009F676A">
        <w:rPr>
          <w:rFonts w:cs="Calibri"/>
          <w:szCs w:val="20"/>
        </w:rPr>
        <w:t>,</w:t>
      </w:r>
      <w:r w:rsidRPr="00404DA5">
        <w:rPr>
          <w:rFonts w:cs="Calibri"/>
          <w:szCs w:val="20"/>
        </w:rPr>
        <w:t xml:space="preserve"> może być ryzyko uznania niektórych kosztów za niekwalifikowalne,</w:t>
      </w:r>
      <w:r w:rsidR="00E66B89">
        <w:rPr>
          <w:rFonts w:cs="Calibri"/>
          <w:szCs w:val="20"/>
        </w:rPr>
        <w:t xml:space="preserve"> a w </w:t>
      </w:r>
      <w:r w:rsidRPr="00404DA5">
        <w:rPr>
          <w:rFonts w:cs="Calibri"/>
          <w:szCs w:val="20"/>
        </w:rPr>
        <w:t>najgorszym wypadku</w:t>
      </w:r>
      <w:r w:rsidR="009F676A">
        <w:rPr>
          <w:rFonts w:cs="Calibri"/>
          <w:szCs w:val="20"/>
        </w:rPr>
        <w:t xml:space="preserve"> -</w:t>
      </w:r>
      <w:r w:rsidRPr="00404DA5">
        <w:rPr>
          <w:rFonts w:cs="Calibri"/>
          <w:szCs w:val="20"/>
        </w:rPr>
        <w:t xml:space="preserve"> zwrot środków i/lub ryzyko nieosiągnięcia zakładanych wskaźników</w:t>
      </w:r>
      <w:r w:rsidR="00E66B89">
        <w:rPr>
          <w:rFonts w:cs="Calibri"/>
          <w:szCs w:val="20"/>
        </w:rPr>
        <w:t xml:space="preserve"> w </w:t>
      </w:r>
      <w:r w:rsidRPr="00404DA5">
        <w:rPr>
          <w:rFonts w:cs="Calibri"/>
          <w:szCs w:val="20"/>
        </w:rPr>
        <w:t>projekcie. Aby poradzić sobie</w:t>
      </w:r>
      <w:r w:rsidR="00E66B89">
        <w:rPr>
          <w:rFonts w:cs="Calibri"/>
          <w:szCs w:val="20"/>
        </w:rPr>
        <w:t xml:space="preserve"> z </w:t>
      </w:r>
      <w:r w:rsidRPr="00404DA5">
        <w:rPr>
          <w:rFonts w:cs="Calibri"/>
          <w:szCs w:val="20"/>
        </w:rPr>
        <w:t>trudnościami niecała 1/5 beneficjentów zaznaczyła, że czasami występuje potrzeba skoncentrowania działań projektowych</w:t>
      </w:r>
      <w:r w:rsidR="00E66B89">
        <w:rPr>
          <w:rFonts w:cs="Calibri"/>
          <w:szCs w:val="20"/>
        </w:rPr>
        <w:t xml:space="preserve"> w </w:t>
      </w:r>
      <w:r w:rsidRPr="00404DA5">
        <w:rPr>
          <w:rFonts w:cs="Calibri"/>
          <w:szCs w:val="20"/>
        </w:rPr>
        <w:t>krótszym czasie lub zmodyfikowania zakresu merytorycznego działań</w:t>
      </w:r>
      <w:r w:rsidR="00E66B89">
        <w:rPr>
          <w:rFonts w:cs="Calibri"/>
          <w:szCs w:val="20"/>
        </w:rPr>
        <w:t xml:space="preserve"> w </w:t>
      </w:r>
      <w:r w:rsidRPr="00404DA5">
        <w:rPr>
          <w:rFonts w:cs="Calibri"/>
          <w:szCs w:val="20"/>
        </w:rPr>
        <w:t>projekcie. Niektórzy beneficjenci (11%) mają lub mieli</w:t>
      </w:r>
      <w:r w:rsidR="00E66B89">
        <w:rPr>
          <w:rFonts w:cs="Calibri"/>
          <w:szCs w:val="20"/>
        </w:rPr>
        <w:t xml:space="preserve"> w </w:t>
      </w:r>
      <w:r w:rsidRPr="00404DA5">
        <w:rPr>
          <w:rFonts w:cs="Calibri"/>
          <w:szCs w:val="20"/>
        </w:rPr>
        <w:t>tej sytuacji problemy</w:t>
      </w:r>
      <w:r w:rsidR="00E66B89">
        <w:rPr>
          <w:rFonts w:cs="Calibri"/>
          <w:szCs w:val="20"/>
        </w:rPr>
        <w:t xml:space="preserve"> z </w:t>
      </w:r>
      <w:r w:rsidRPr="00404DA5">
        <w:rPr>
          <w:rFonts w:cs="Calibri"/>
          <w:szCs w:val="20"/>
        </w:rPr>
        <w:t>zapewnieniem spójności między poszczególnymi działaniami</w:t>
      </w:r>
      <w:r w:rsidR="00E66B89">
        <w:rPr>
          <w:rFonts w:cs="Calibri"/>
          <w:szCs w:val="20"/>
        </w:rPr>
        <w:t xml:space="preserve"> w </w:t>
      </w:r>
      <w:r w:rsidRPr="00404DA5">
        <w:rPr>
          <w:rFonts w:cs="Calibri"/>
          <w:szCs w:val="20"/>
        </w:rPr>
        <w:t>projekcie,</w:t>
      </w:r>
      <w:r w:rsidR="00E66B89">
        <w:rPr>
          <w:rFonts w:cs="Calibri"/>
          <w:szCs w:val="20"/>
        </w:rPr>
        <w:t xml:space="preserve"> a </w:t>
      </w:r>
      <w:r w:rsidRPr="00404DA5">
        <w:rPr>
          <w:rFonts w:cs="Calibri"/>
          <w:szCs w:val="20"/>
        </w:rPr>
        <w:t>9% beneficjentów musiała zrezygnować</w:t>
      </w:r>
      <w:r w:rsidR="00E66B89">
        <w:rPr>
          <w:rFonts w:cs="Calibri"/>
          <w:szCs w:val="20"/>
        </w:rPr>
        <w:t xml:space="preserve"> z </w:t>
      </w:r>
      <w:r w:rsidRPr="00404DA5">
        <w:rPr>
          <w:rFonts w:cs="Calibri"/>
          <w:szCs w:val="20"/>
        </w:rPr>
        <w:t>części działań projektowych. Mimo wskazanych trudności</w:t>
      </w:r>
      <w:r w:rsidR="009F676A">
        <w:rPr>
          <w:rFonts w:cs="Calibri"/>
          <w:szCs w:val="20"/>
        </w:rPr>
        <w:t>,</w:t>
      </w:r>
      <w:r w:rsidRPr="00404DA5">
        <w:rPr>
          <w:rFonts w:cs="Calibri"/>
          <w:szCs w:val="20"/>
        </w:rPr>
        <w:t xml:space="preserve"> większość beneficjentów nie musiała wnioskować</w:t>
      </w:r>
      <w:r w:rsidR="00E66B89">
        <w:rPr>
          <w:rFonts w:cs="Calibri"/>
          <w:szCs w:val="20"/>
        </w:rPr>
        <w:t xml:space="preserve"> o </w:t>
      </w:r>
      <w:r w:rsidRPr="00404DA5">
        <w:rPr>
          <w:rFonts w:cs="Calibri"/>
          <w:szCs w:val="20"/>
        </w:rPr>
        <w:t>zwiększenie budżetu przewidzianego na realizację projektu. Wśród 22% badanych beneficjentów, którzy wskazali na konieczność zwiększenia środków finansowych</w:t>
      </w:r>
      <w:r w:rsidR="00E66B89">
        <w:rPr>
          <w:rFonts w:cs="Calibri"/>
          <w:szCs w:val="20"/>
        </w:rPr>
        <w:t xml:space="preserve"> w </w:t>
      </w:r>
      <w:r w:rsidRPr="00404DA5">
        <w:rPr>
          <w:rFonts w:cs="Calibri"/>
          <w:szCs w:val="20"/>
        </w:rPr>
        <w:t>projekcie, przyczyny były związane najczęściej</w:t>
      </w:r>
      <w:r w:rsidR="00E66B89">
        <w:rPr>
          <w:rFonts w:cs="Calibri"/>
          <w:szCs w:val="20"/>
        </w:rPr>
        <w:t xml:space="preserve"> z </w:t>
      </w:r>
      <w:r w:rsidRPr="00404DA5">
        <w:rPr>
          <w:rFonts w:cs="Calibri"/>
          <w:szCs w:val="20"/>
        </w:rPr>
        <w:t>inflacją</w:t>
      </w:r>
      <w:r w:rsidR="00E66B89">
        <w:rPr>
          <w:rFonts w:cs="Calibri"/>
          <w:szCs w:val="20"/>
        </w:rPr>
        <w:t xml:space="preserve"> i </w:t>
      </w:r>
      <w:r w:rsidRPr="00404DA5">
        <w:rPr>
          <w:rFonts w:cs="Calibri"/>
          <w:szCs w:val="20"/>
        </w:rPr>
        <w:t>wzrostem płacy minimalnej oraz ogólnym wzrostem cen</w:t>
      </w:r>
      <w:r w:rsidR="00E66B89">
        <w:rPr>
          <w:rFonts w:cs="Calibri"/>
          <w:szCs w:val="20"/>
        </w:rPr>
        <w:t xml:space="preserve"> i </w:t>
      </w:r>
      <w:r w:rsidRPr="00404DA5">
        <w:rPr>
          <w:rFonts w:cs="Calibri"/>
          <w:szCs w:val="20"/>
        </w:rPr>
        <w:t>kosztów,</w:t>
      </w:r>
      <w:r w:rsidR="00E66B89">
        <w:rPr>
          <w:rFonts w:cs="Calibri"/>
          <w:szCs w:val="20"/>
        </w:rPr>
        <w:t xml:space="preserve"> w </w:t>
      </w:r>
      <w:r w:rsidRPr="00404DA5">
        <w:rPr>
          <w:rFonts w:cs="Calibri"/>
          <w:szCs w:val="20"/>
        </w:rPr>
        <w:t>tym cen materiałów budowlanych. Problemem na etapie wyboru podwykonawców były także wartości złożonych ofert</w:t>
      </w:r>
      <w:r w:rsidR="009F676A">
        <w:rPr>
          <w:rFonts w:cs="Calibri"/>
          <w:szCs w:val="20"/>
        </w:rPr>
        <w:t xml:space="preserve"> -</w:t>
      </w:r>
      <w:r w:rsidRPr="00404DA5">
        <w:rPr>
          <w:rFonts w:cs="Calibri"/>
          <w:szCs w:val="20"/>
        </w:rPr>
        <w:t xml:space="preserve"> przewyższające założone na etapie WoD szacunki finansowe.</w:t>
      </w:r>
    </w:p>
    <w:p w14:paraId="4C9873CB" w14:textId="77777777" w:rsidR="00526AA8" w:rsidRDefault="00526AA8" w:rsidP="00526AA8">
      <w:pPr>
        <w:rPr>
          <w:rFonts w:cs="Calibri"/>
          <w:szCs w:val="20"/>
        </w:rPr>
      </w:pPr>
      <w:r w:rsidRPr="00404DA5">
        <w:rPr>
          <w:rFonts w:cs="Calibri"/>
          <w:szCs w:val="20"/>
        </w:rPr>
        <w:t>W wywiadach pogłębionych zwracano uwagę na potrzebę dobrej współpracy opiekuna projektu</w:t>
      </w:r>
      <w:r w:rsidR="00E66B89">
        <w:rPr>
          <w:rFonts w:cs="Calibri"/>
          <w:szCs w:val="20"/>
        </w:rPr>
        <w:t xml:space="preserve"> z </w:t>
      </w:r>
      <w:r w:rsidRPr="00404DA5">
        <w:rPr>
          <w:rFonts w:cs="Calibri"/>
          <w:szCs w:val="20"/>
        </w:rPr>
        <w:t>beneficjentem – chodzi przede wszystkim</w:t>
      </w:r>
      <w:r w:rsidR="00E66B89">
        <w:rPr>
          <w:rFonts w:cs="Calibri"/>
          <w:szCs w:val="20"/>
        </w:rPr>
        <w:t xml:space="preserve"> o </w:t>
      </w:r>
      <w:r w:rsidRPr="00404DA5">
        <w:rPr>
          <w:rFonts w:cs="Calibri"/>
          <w:szCs w:val="20"/>
        </w:rPr>
        <w:t>współpracę po podpisaniu umowy</w:t>
      </w:r>
      <w:r w:rsidR="00E66B89">
        <w:rPr>
          <w:rFonts w:cs="Calibri"/>
          <w:szCs w:val="20"/>
        </w:rPr>
        <w:t xml:space="preserve"> o </w:t>
      </w:r>
      <w:r w:rsidRPr="00404DA5">
        <w:rPr>
          <w:rFonts w:cs="Calibri"/>
          <w:szCs w:val="20"/>
        </w:rPr>
        <w:t>dofinansowanie,</w:t>
      </w:r>
      <w:r w:rsidR="00E66B89">
        <w:rPr>
          <w:rFonts w:cs="Calibri"/>
          <w:szCs w:val="20"/>
        </w:rPr>
        <w:t xml:space="preserve"> a </w:t>
      </w:r>
      <w:r w:rsidRPr="00404DA5">
        <w:rPr>
          <w:rFonts w:cs="Calibri"/>
          <w:szCs w:val="20"/>
        </w:rPr>
        <w:t xml:space="preserve">nie konsultacje na etapie </w:t>
      </w:r>
      <w:r w:rsidR="004802D1" w:rsidRPr="00404DA5">
        <w:rPr>
          <w:rFonts w:cs="Calibri"/>
          <w:szCs w:val="20"/>
        </w:rPr>
        <w:t>składani</w:t>
      </w:r>
      <w:r w:rsidR="004802D1">
        <w:rPr>
          <w:rFonts w:cs="Calibri"/>
          <w:szCs w:val="20"/>
        </w:rPr>
        <w:t>a</w:t>
      </w:r>
      <w:r w:rsidR="004802D1" w:rsidRPr="00404DA5">
        <w:rPr>
          <w:rFonts w:cs="Calibri"/>
          <w:szCs w:val="20"/>
        </w:rPr>
        <w:t xml:space="preserve"> </w:t>
      </w:r>
      <w:r w:rsidRPr="00404DA5">
        <w:rPr>
          <w:rFonts w:cs="Calibri"/>
          <w:szCs w:val="20"/>
        </w:rPr>
        <w:t>wniosku. Ścisła współpraca</w:t>
      </w:r>
      <w:r w:rsidR="00E66B89">
        <w:rPr>
          <w:rFonts w:cs="Calibri"/>
          <w:szCs w:val="20"/>
        </w:rPr>
        <w:t xml:space="preserve"> z </w:t>
      </w:r>
      <w:r w:rsidRPr="00404DA5">
        <w:rPr>
          <w:rFonts w:cs="Calibri"/>
          <w:szCs w:val="20"/>
        </w:rPr>
        <w:t>opiekun</w:t>
      </w:r>
      <w:r w:rsidR="004802D1">
        <w:rPr>
          <w:rFonts w:cs="Calibri"/>
          <w:szCs w:val="20"/>
        </w:rPr>
        <w:t>em</w:t>
      </w:r>
      <w:r w:rsidRPr="00404DA5">
        <w:rPr>
          <w:rFonts w:cs="Calibri"/>
          <w:szCs w:val="20"/>
        </w:rPr>
        <w:t xml:space="preserve"> zwiększa szansę na sprawną</w:t>
      </w:r>
      <w:r w:rsidR="00E66B89">
        <w:rPr>
          <w:rFonts w:cs="Calibri"/>
          <w:szCs w:val="20"/>
        </w:rPr>
        <w:t xml:space="preserve"> i </w:t>
      </w:r>
      <w:r w:rsidRPr="00404DA5">
        <w:rPr>
          <w:rFonts w:cs="Calibri"/>
          <w:szCs w:val="20"/>
        </w:rPr>
        <w:t>właściwą realizację projektu. Obecnie, jak wskazano</w:t>
      </w:r>
      <w:r w:rsidR="00E66B89">
        <w:rPr>
          <w:rFonts w:cs="Calibri"/>
          <w:szCs w:val="20"/>
        </w:rPr>
        <w:t xml:space="preserve"> w </w:t>
      </w:r>
      <w:r w:rsidRPr="00404DA5">
        <w:rPr>
          <w:rFonts w:cs="Calibri"/>
          <w:szCs w:val="20"/>
        </w:rPr>
        <w:t>wywiadach pogłębionych</w:t>
      </w:r>
      <w:r w:rsidR="004802D1">
        <w:rPr>
          <w:rFonts w:cs="Calibri"/>
          <w:szCs w:val="20"/>
        </w:rPr>
        <w:t>,</w:t>
      </w:r>
      <w:r w:rsidRPr="00404DA5">
        <w:rPr>
          <w:rFonts w:cs="Calibri"/>
          <w:szCs w:val="20"/>
        </w:rPr>
        <w:t xml:space="preserve"> współpraca ta przebiega niejednolicie</w:t>
      </w:r>
      <w:r w:rsidR="004802D1">
        <w:rPr>
          <w:rFonts w:cs="Calibri"/>
          <w:szCs w:val="20"/>
        </w:rPr>
        <w:t xml:space="preserve"> -</w:t>
      </w:r>
      <w:r w:rsidRPr="00404DA5">
        <w:rPr>
          <w:rFonts w:cs="Calibri"/>
          <w:szCs w:val="20"/>
        </w:rPr>
        <w:t xml:space="preserve"> co wynika prawdopodobnie ze zbyt dużej liczby projektów przypadających na jednego pracownika odpowiedzialnego za wdrażanie. Skuteczna współpraca</w:t>
      </w:r>
      <w:r w:rsidR="00E66B89">
        <w:rPr>
          <w:rFonts w:cs="Calibri"/>
          <w:szCs w:val="20"/>
        </w:rPr>
        <w:t xml:space="preserve"> z </w:t>
      </w:r>
      <w:r w:rsidRPr="00404DA5">
        <w:rPr>
          <w:rFonts w:cs="Calibri"/>
          <w:szCs w:val="20"/>
        </w:rPr>
        <w:t>beneficjentami może zapobiec rozwiązywaniu umów przed zakończenie</w:t>
      </w:r>
      <w:r>
        <w:rPr>
          <w:rFonts w:cs="Calibri"/>
          <w:szCs w:val="20"/>
        </w:rPr>
        <w:t>m</w:t>
      </w:r>
      <w:r w:rsidRPr="00404DA5">
        <w:rPr>
          <w:rFonts w:cs="Calibri"/>
          <w:szCs w:val="20"/>
        </w:rPr>
        <w:t xml:space="preserve"> realizacji projektu</w:t>
      </w:r>
      <w:r w:rsidR="004802D1">
        <w:rPr>
          <w:rFonts w:cs="Calibri"/>
          <w:szCs w:val="20"/>
        </w:rPr>
        <w:t>, może też skutkować</w:t>
      </w:r>
      <w:r w:rsidRPr="00404DA5">
        <w:rPr>
          <w:rFonts w:cs="Calibri"/>
          <w:szCs w:val="20"/>
        </w:rPr>
        <w:t xml:space="preserve"> zmniejszeniem liczby korekt składanych WoP. Beneficjenci zniechęceni liczbą nakładanych korekt często nie decydują się na ponowne ubieganie się</w:t>
      </w:r>
      <w:r w:rsidR="00E66B89">
        <w:rPr>
          <w:rFonts w:cs="Calibri"/>
          <w:szCs w:val="20"/>
        </w:rPr>
        <w:t xml:space="preserve"> o </w:t>
      </w:r>
      <w:r w:rsidRPr="00404DA5">
        <w:rPr>
          <w:rFonts w:cs="Calibri"/>
          <w:szCs w:val="20"/>
        </w:rPr>
        <w:t>środki. Co zrozumiałe, lepszą skutecznością zarówno</w:t>
      </w:r>
      <w:r w:rsidR="00E66B89">
        <w:rPr>
          <w:rFonts w:cs="Calibri"/>
          <w:szCs w:val="20"/>
        </w:rPr>
        <w:t xml:space="preserve"> w </w:t>
      </w:r>
      <w:r w:rsidRPr="00404DA5">
        <w:rPr>
          <w:rFonts w:cs="Calibri"/>
          <w:szCs w:val="20"/>
        </w:rPr>
        <w:t>składaniu wniosków jak</w:t>
      </w:r>
      <w:r w:rsidR="00E66B89">
        <w:rPr>
          <w:rFonts w:cs="Calibri"/>
          <w:szCs w:val="20"/>
        </w:rPr>
        <w:t xml:space="preserve"> i </w:t>
      </w:r>
      <w:r w:rsidRPr="00404DA5">
        <w:rPr>
          <w:rFonts w:cs="Calibri"/>
          <w:szCs w:val="20"/>
        </w:rPr>
        <w:t>realizacji projektów charakteryzują się beneficjenci posiadający doświadczenie</w:t>
      </w:r>
      <w:r w:rsidR="00E66B89">
        <w:rPr>
          <w:rFonts w:cs="Calibri"/>
          <w:szCs w:val="20"/>
        </w:rPr>
        <w:t xml:space="preserve"> w </w:t>
      </w:r>
      <w:r w:rsidRPr="00404DA5">
        <w:rPr>
          <w:rFonts w:cs="Calibri"/>
          <w:szCs w:val="20"/>
        </w:rPr>
        <w:t>realizacji projektów unijnych.</w:t>
      </w:r>
    </w:p>
    <w:p w14:paraId="0F9F1E29" w14:textId="77777777" w:rsidR="00526AA8" w:rsidRDefault="00526AA8" w:rsidP="00526AA8">
      <w:pPr>
        <w:pStyle w:val="Nagwek4"/>
        <w:numPr>
          <w:ilvl w:val="0"/>
          <w:numId w:val="0"/>
        </w:numPr>
        <w:rPr>
          <w:rFonts w:ascii="Lato" w:eastAsia="Calibri" w:hAnsi="Lato"/>
          <w:szCs w:val="20"/>
        </w:rPr>
      </w:pPr>
      <w:r w:rsidRPr="008B706B">
        <w:rPr>
          <w:rFonts w:ascii="Lato" w:eastAsia="Calibri" w:hAnsi="Lato"/>
          <w:szCs w:val="20"/>
        </w:rPr>
        <w:t>Problemy we wdrażaniu oraz podjęte lub planowane do podjęcia środki zaradcze</w:t>
      </w:r>
    </w:p>
    <w:p w14:paraId="6654B9CC" w14:textId="77777777" w:rsidR="00526AA8" w:rsidRDefault="00526AA8" w:rsidP="00526AA8">
      <w:pPr>
        <w:rPr>
          <w:rFonts w:eastAsia="Calibri"/>
        </w:rPr>
      </w:pPr>
      <w:r>
        <w:rPr>
          <w:rFonts w:eastAsia="Calibri"/>
          <w:b/>
        </w:rPr>
        <w:t>Najczęstsze</w:t>
      </w:r>
      <w:r w:rsidRPr="008B706B">
        <w:rPr>
          <w:rFonts w:eastAsia="Calibri"/>
          <w:b/>
        </w:rPr>
        <w:t xml:space="preserve"> utrudnie</w:t>
      </w:r>
      <w:r>
        <w:rPr>
          <w:rFonts w:eastAsia="Calibri"/>
          <w:b/>
        </w:rPr>
        <w:t>nia</w:t>
      </w:r>
      <w:r w:rsidRPr="008B706B">
        <w:rPr>
          <w:rFonts w:eastAsia="Calibri"/>
          <w:b/>
        </w:rPr>
        <w:t xml:space="preserve"> we wdrażaniu Programu </w:t>
      </w:r>
      <w:r>
        <w:rPr>
          <w:rFonts w:eastAsia="Calibri"/>
          <w:b/>
        </w:rPr>
        <w:t>wiązały się</w:t>
      </w:r>
      <w:r w:rsidR="00093F3F">
        <w:rPr>
          <w:rFonts w:eastAsia="Calibri"/>
          <w:b/>
        </w:rPr>
        <w:t xml:space="preserve"> dotychczas</w:t>
      </w:r>
      <w:r w:rsidR="00E66B89">
        <w:rPr>
          <w:rFonts w:eastAsia="Calibri"/>
          <w:b/>
        </w:rPr>
        <w:t xml:space="preserve"> z </w:t>
      </w:r>
      <w:r w:rsidRPr="008B706B">
        <w:rPr>
          <w:rFonts w:eastAsia="Calibri"/>
          <w:b/>
        </w:rPr>
        <w:t>koniecznoś</w:t>
      </w:r>
      <w:r>
        <w:rPr>
          <w:rFonts w:eastAsia="Calibri"/>
          <w:b/>
        </w:rPr>
        <w:t>cią</w:t>
      </w:r>
      <w:r w:rsidRPr="008B706B">
        <w:rPr>
          <w:rFonts w:eastAsia="Calibri"/>
          <w:b/>
        </w:rPr>
        <w:t xml:space="preserve"> oczekiwania na zatwierdzenie dokumentów krajowych</w:t>
      </w:r>
      <w:r w:rsidR="00E66B89">
        <w:rPr>
          <w:rFonts w:eastAsia="Calibri"/>
          <w:b/>
        </w:rPr>
        <w:t xml:space="preserve"> i </w:t>
      </w:r>
      <w:r w:rsidR="008755C3">
        <w:rPr>
          <w:rFonts w:eastAsia="Calibri"/>
          <w:b/>
        </w:rPr>
        <w:t xml:space="preserve">unijnych </w:t>
      </w:r>
      <w:r w:rsidRPr="008B706B">
        <w:rPr>
          <w:rFonts w:eastAsia="Calibri"/>
          <w:b/>
        </w:rPr>
        <w:t>lub ich brak</w:t>
      </w:r>
      <w:r w:rsidR="00E66B89">
        <w:rPr>
          <w:rFonts w:eastAsia="Calibri"/>
        </w:rPr>
        <w:t xml:space="preserve"> w </w:t>
      </w:r>
      <w:r w:rsidRPr="00AC0EDA">
        <w:rPr>
          <w:rFonts w:eastAsia="Calibri"/>
          <w:b/>
        </w:rPr>
        <w:t>momencie wdrażania interwencji</w:t>
      </w:r>
      <w:r w:rsidR="008755C3">
        <w:rPr>
          <w:rFonts w:eastAsia="Calibri"/>
          <w:b/>
        </w:rPr>
        <w:t>.</w:t>
      </w:r>
      <w:r w:rsidR="00E66B89">
        <w:rPr>
          <w:rFonts w:eastAsia="Calibri"/>
          <w:b/>
        </w:rPr>
        <w:t xml:space="preserve"> </w:t>
      </w:r>
      <w:r w:rsidR="00E66B89" w:rsidRPr="004E7B42">
        <w:rPr>
          <w:rFonts w:eastAsia="Calibri"/>
        </w:rPr>
        <w:t>W</w:t>
      </w:r>
      <w:r w:rsidR="00E66B89">
        <w:rPr>
          <w:rFonts w:eastAsia="Calibri"/>
          <w:b/>
        </w:rPr>
        <w:t> </w:t>
      </w:r>
      <w:r w:rsidRPr="00923875">
        <w:rPr>
          <w:rFonts w:eastAsia="Calibri"/>
        </w:rPr>
        <w:t xml:space="preserve">październiku 2015 roku IZ zatwierdziła </w:t>
      </w:r>
      <w:r>
        <w:rPr>
          <w:rFonts w:eastAsia="Calibri"/>
        </w:rPr>
        <w:t xml:space="preserve">pierwszy </w:t>
      </w:r>
      <w:r w:rsidRPr="00923875">
        <w:rPr>
          <w:rFonts w:eastAsia="Calibri"/>
        </w:rPr>
        <w:t>pakiet wytycznych programowych dotyczących wdrażania RPO WZ</w:t>
      </w:r>
      <w:r>
        <w:rPr>
          <w:rFonts w:eastAsia="Calibri"/>
        </w:rPr>
        <w:t xml:space="preserve"> </w:t>
      </w:r>
      <w:r w:rsidRPr="00923875">
        <w:rPr>
          <w:rFonts w:eastAsia="Calibri"/>
        </w:rPr>
        <w:t>2014-2020</w:t>
      </w:r>
      <w:r>
        <w:rPr>
          <w:rStyle w:val="Odwoanieprzypisudolnego"/>
          <w:rFonts w:eastAsia="Calibri"/>
        </w:rPr>
        <w:footnoteReference w:id="187"/>
      </w:r>
      <w:r w:rsidRPr="00923875">
        <w:rPr>
          <w:rFonts w:eastAsia="Calibri"/>
          <w:b/>
        </w:rPr>
        <w:t>.</w:t>
      </w:r>
      <w:r>
        <w:rPr>
          <w:rFonts w:eastAsia="Calibri"/>
          <w:b/>
        </w:rPr>
        <w:t xml:space="preserve"> </w:t>
      </w:r>
      <w:r w:rsidRPr="00502CFA">
        <w:rPr>
          <w:rFonts w:eastAsia="Calibri"/>
          <w:b/>
        </w:rPr>
        <w:t>Opóźnienia we wdrażaniu spowodowała np. nowelizacja ustawy wdrożeniowej.</w:t>
      </w:r>
      <w:r>
        <w:rPr>
          <w:rFonts w:eastAsia="Calibri"/>
        </w:rPr>
        <w:t xml:space="preserve"> Zmiany</w:t>
      </w:r>
      <w:r w:rsidR="00E66B89">
        <w:rPr>
          <w:rFonts w:eastAsia="Calibri"/>
        </w:rPr>
        <w:t xml:space="preserve"> w </w:t>
      </w:r>
      <w:r w:rsidRPr="008F1E0C">
        <w:rPr>
          <w:rFonts w:eastAsia="Calibri"/>
        </w:rPr>
        <w:t>mechanizm</w:t>
      </w:r>
      <w:r>
        <w:rPr>
          <w:rFonts w:eastAsia="Calibri"/>
        </w:rPr>
        <w:t>ach</w:t>
      </w:r>
      <w:r w:rsidRPr="008F1E0C">
        <w:rPr>
          <w:rFonts w:eastAsia="Calibri"/>
        </w:rPr>
        <w:t xml:space="preserve"> koordynacji realizacji programów operacyjnych</w:t>
      </w:r>
      <w:r w:rsidRPr="008F1E0C">
        <w:t xml:space="preserve"> </w:t>
      </w:r>
      <w:r w:rsidRPr="008F1E0C">
        <w:rPr>
          <w:rFonts w:eastAsia="Calibri"/>
        </w:rPr>
        <w:t>oraz zasad wdrażania środków polityki spójności</w:t>
      </w:r>
      <w:r>
        <w:rPr>
          <w:rFonts w:eastAsia="Calibri"/>
        </w:rPr>
        <w:t xml:space="preserve"> wymogły dokonanie modyfikacji</w:t>
      </w:r>
      <w:r w:rsidR="00E66B89">
        <w:rPr>
          <w:rFonts w:eastAsia="Calibri"/>
        </w:rPr>
        <w:t xml:space="preserve"> w </w:t>
      </w:r>
      <w:r>
        <w:rPr>
          <w:rFonts w:eastAsia="Calibri"/>
        </w:rPr>
        <w:t>dotychczas istniejących dokumentach służących wdrażaniu RPO WZ 2014-2020. Wpłynęło to na opóźnienia</w:t>
      </w:r>
      <w:r w:rsidR="00E66B89">
        <w:rPr>
          <w:rFonts w:eastAsia="Calibri"/>
        </w:rPr>
        <w:t xml:space="preserve"> w </w:t>
      </w:r>
      <w:r>
        <w:rPr>
          <w:rFonts w:eastAsia="Calibri"/>
        </w:rPr>
        <w:t>rozpoczęciu niektórych naborów, przez co część naborów nałożyła się na siebie</w:t>
      </w:r>
      <w:r w:rsidR="00E66B89">
        <w:rPr>
          <w:rFonts w:eastAsia="Calibri"/>
        </w:rPr>
        <w:t xml:space="preserve"> w </w:t>
      </w:r>
      <w:r>
        <w:rPr>
          <w:rFonts w:eastAsia="Calibri"/>
        </w:rPr>
        <w:t>czasie</w:t>
      </w:r>
      <w:r w:rsidR="00093F3F">
        <w:rPr>
          <w:rFonts w:eastAsia="Calibri"/>
        </w:rPr>
        <w:t xml:space="preserve"> - </w:t>
      </w:r>
      <w:r>
        <w:rPr>
          <w:rFonts w:eastAsia="Calibri"/>
        </w:rPr>
        <w:t>powodując większe obciążenia zarówno dla wnioskodawców, którzy chcieli skorzystać ze wsparcia</w:t>
      </w:r>
      <w:r w:rsidR="00E66B89">
        <w:rPr>
          <w:rFonts w:eastAsia="Calibri"/>
        </w:rPr>
        <w:t xml:space="preserve"> z </w:t>
      </w:r>
      <w:r>
        <w:rPr>
          <w:rFonts w:eastAsia="Calibri"/>
        </w:rPr>
        <w:t>kilku konkursów</w:t>
      </w:r>
      <w:r w:rsidR="00093F3F">
        <w:rPr>
          <w:rFonts w:eastAsia="Calibri"/>
        </w:rPr>
        <w:t>,</w:t>
      </w:r>
      <w:r>
        <w:rPr>
          <w:rFonts w:eastAsia="Calibri"/>
        </w:rPr>
        <w:t xml:space="preserve"> jak</w:t>
      </w:r>
      <w:r w:rsidR="00E66B89">
        <w:rPr>
          <w:rFonts w:eastAsia="Calibri"/>
        </w:rPr>
        <w:t xml:space="preserve"> i </w:t>
      </w:r>
      <w:r>
        <w:rPr>
          <w:rFonts w:eastAsia="Calibri"/>
        </w:rPr>
        <w:t>dla instytucji dokonujących oceny wniosków.</w:t>
      </w:r>
      <w:r w:rsidRPr="008F1E0C">
        <w:rPr>
          <w:rFonts w:eastAsia="Calibri"/>
        </w:rPr>
        <w:t xml:space="preserve"> </w:t>
      </w:r>
      <w:r>
        <w:rPr>
          <w:rFonts w:eastAsia="Calibri"/>
        </w:rPr>
        <w:t xml:space="preserve">Aby zminimalizować obciążenie pracowników dokonujących oceny </w:t>
      </w:r>
      <w:r w:rsidR="00757175">
        <w:rPr>
          <w:rFonts w:eastAsia="Calibri"/>
        </w:rPr>
        <w:t>dopuszczono</w:t>
      </w:r>
      <w:r>
        <w:rPr>
          <w:rFonts w:eastAsia="Calibri"/>
        </w:rPr>
        <w:t xml:space="preserve"> m.in.</w:t>
      </w:r>
      <w:r w:rsidR="004D3070">
        <w:rPr>
          <w:rFonts w:eastAsia="Calibri"/>
        </w:rPr>
        <w:t xml:space="preserve"> </w:t>
      </w:r>
      <w:r>
        <w:rPr>
          <w:rFonts w:eastAsia="Calibri"/>
        </w:rPr>
        <w:t>rezygn</w:t>
      </w:r>
      <w:r w:rsidR="00300A1A">
        <w:rPr>
          <w:rFonts w:eastAsia="Calibri"/>
        </w:rPr>
        <w:t>ację</w:t>
      </w:r>
      <w:r w:rsidR="00E66B89">
        <w:rPr>
          <w:rFonts w:eastAsia="Calibri"/>
        </w:rPr>
        <w:t xml:space="preserve"> z </w:t>
      </w:r>
      <w:r>
        <w:rPr>
          <w:rFonts w:eastAsia="Calibri"/>
        </w:rPr>
        <w:t>zasady „dwóch par oczu”</w:t>
      </w:r>
      <w:r w:rsidR="00300A1A">
        <w:rPr>
          <w:rFonts w:eastAsia="Calibri"/>
        </w:rPr>
        <w:t xml:space="preserve"> podczas weryfikacji wymogów formalnych, oceny wstępnej</w:t>
      </w:r>
      <w:r w:rsidR="00E66B89">
        <w:rPr>
          <w:rFonts w:eastAsia="Calibri"/>
        </w:rPr>
        <w:t xml:space="preserve"> i </w:t>
      </w:r>
      <w:r w:rsidR="00300A1A">
        <w:rPr>
          <w:rFonts w:eastAsia="Calibri"/>
        </w:rPr>
        <w:t>oceny merytorycznej</w:t>
      </w:r>
      <w:r w:rsidR="00E66B89">
        <w:rPr>
          <w:rFonts w:eastAsia="Calibri"/>
        </w:rPr>
        <w:t xml:space="preserve"> I </w:t>
      </w:r>
      <w:r w:rsidR="00300A1A">
        <w:rPr>
          <w:rFonts w:eastAsia="Calibri"/>
        </w:rPr>
        <w:t>stopnia</w:t>
      </w:r>
      <w:r w:rsidR="00E66B89">
        <w:rPr>
          <w:rFonts w:eastAsia="Calibri"/>
        </w:rPr>
        <w:t xml:space="preserve"> w </w:t>
      </w:r>
      <w:r w:rsidR="00300A1A">
        <w:rPr>
          <w:rFonts w:eastAsia="Calibri"/>
        </w:rPr>
        <w:t>ramach EFRR</w:t>
      </w:r>
      <w:r>
        <w:rPr>
          <w:rFonts w:eastAsia="Calibri"/>
        </w:rPr>
        <w:t>. Niewątpliwie odciążyło to częściowo pracowników instytucji, jednak należy mieć na uwadze, że zasada ta jest jednym</w:t>
      </w:r>
      <w:r w:rsidR="00E66B89">
        <w:rPr>
          <w:rFonts w:eastAsia="Calibri"/>
        </w:rPr>
        <w:t xml:space="preserve"> z </w:t>
      </w:r>
      <w:r>
        <w:rPr>
          <w:rFonts w:eastAsia="Calibri"/>
        </w:rPr>
        <w:t>elementów</w:t>
      </w:r>
      <w:r w:rsidR="00093F3F">
        <w:rPr>
          <w:rFonts w:eastAsia="Calibri"/>
        </w:rPr>
        <w:t xml:space="preserve"> mających</w:t>
      </w:r>
      <w:r>
        <w:rPr>
          <w:rFonts w:eastAsia="Calibri"/>
        </w:rPr>
        <w:t xml:space="preserve"> zapewnia</w:t>
      </w:r>
      <w:r w:rsidR="00093F3F">
        <w:rPr>
          <w:rFonts w:eastAsia="Calibri"/>
        </w:rPr>
        <w:t>ć</w:t>
      </w:r>
      <w:r>
        <w:rPr>
          <w:rFonts w:eastAsia="Calibri"/>
        </w:rPr>
        <w:t xml:space="preserve"> bezstronność oceny</w:t>
      </w:r>
      <w:r>
        <w:rPr>
          <w:rStyle w:val="Odwoanieprzypisudolnego"/>
          <w:rFonts w:eastAsia="Calibri"/>
        </w:rPr>
        <w:footnoteReference w:id="188"/>
      </w:r>
      <w:r>
        <w:rPr>
          <w:rFonts w:eastAsia="Calibri"/>
        </w:rPr>
        <w:t>.</w:t>
      </w:r>
      <w:r w:rsidR="00E66B89">
        <w:rPr>
          <w:rFonts w:eastAsia="Calibri"/>
        </w:rPr>
        <w:t xml:space="preserve"> W </w:t>
      </w:r>
      <w:r>
        <w:rPr>
          <w:rFonts w:eastAsia="Calibri"/>
        </w:rPr>
        <w:t>początkowej fazie perspektywy 2014-2020 IZ borykała się</w:t>
      </w:r>
      <w:r w:rsidR="00E66B89">
        <w:rPr>
          <w:rFonts w:eastAsia="Calibri"/>
        </w:rPr>
        <w:t xml:space="preserve"> z </w:t>
      </w:r>
      <w:r>
        <w:rPr>
          <w:rFonts w:eastAsia="Calibri"/>
        </w:rPr>
        <w:t xml:space="preserve">problemami przy uruchomieniu </w:t>
      </w:r>
      <w:r w:rsidRPr="001D4B70">
        <w:rPr>
          <w:rFonts w:eastAsia="Calibri"/>
        </w:rPr>
        <w:t>naboru</w:t>
      </w:r>
      <w:r w:rsidR="00E66B89">
        <w:rPr>
          <w:rFonts w:eastAsia="Calibri"/>
        </w:rPr>
        <w:t xml:space="preserve"> w </w:t>
      </w:r>
      <w:r w:rsidRPr="001D4B70">
        <w:rPr>
          <w:rFonts w:eastAsia="Calibri"/>
        </w:rPr>
        <w:t xml:space="preserve">Działaniu 1.6 </w:t>
      </w:r>
      <w:r w:rsidRPr="008B706B">
        <w:rPr>
          <w:rFonts w:eastAsia="Calibri"/>
          <w:i/>
        </w:rPr>
        <w:t xml:space="preserve">Tworzenie nowych miejsc pracy </w:t>
      </w:r>
      <w:r w:rsidRPr="008B706B">
        <w:rPr>
          <w:rFonts w:eastAsia="Calibri"/>
          <w:i/>
        </w:rPr>
        <w:lastRenderedPageBreak/>
        <w:t>na obszarze Specjalnej Stefy Włączenia</w:t>
      </w:r>
      <w:r>
        <w:rPr>
          <w:rFonts w:eastAsia="Calibri"/>
        </w:rPr>
        <w:t xml:space="preserve"> ze względu na </w:t>
      </w:r>
      <w:r w:rsidRPr="003B703F">
        <w:rPr>
          <w:rFonts w:eastAsia="Calibri"/>
          <w:b/>
        </w:rPr>
        <w:t>brak Rozporządzenia Ministra Infrastruktury</w:t>
      </w:r>
      <w:r w:rsidR="00E66B89">
        <w:rPr>
          <w:rFonts w:eastAsia="Calibri"/>
          <w:b/>
        </w:rPr>
        <w:t xml:space="preserve"> i </w:t>
      </w:r>
      <w:r w:rsidRPr="003B703F">
        <w:rPr>
          <w:rFonts w:eastAsia="Calibri"/>
          <w:b/>
        </w:rPr>
        <w:t>Rozwoju</w:t>
      </w:r>
      <w:r w:rsidR="00E66B89">
        <w:rPr>
          <w:rFonts w:eastAsia="Calibri"/>
          <w:b/>
        </w:rPr>
        <w:t xml:space="preserve"> w </w:t>
      </w:r>
      <w:r w:rsidRPr="003B703F">
        <w:rPr>
          <w:rFonts w:eastAsia="Calibri"/>
          <w:b/>
        </w:rPr>
        <w:t>sprawie udzielania regionalnej pomocy inwestycyjnej</w:t>
      </w:r>
      <w:r w:rsidR="00E66B89">
        <w:rPr>
          <w:rFonts w:eastAsia="Calibri"/>
          <w:b/>
        </w:rPr>
        <w:t xml:space="preserve"> w </w:t>
      </w:r>
      <w:r w:rsidRPr="003B703F">
        <w:rPr>
          <w:rFonts w:eastAsia="Calibri"/>
          <w:b/>
        </w:rPr>
        <w:t>ramach regionalnych programów operacyjnych na lata 2014-2020</w:t>
      </w:r>
      <w:r>
        <w:rPr>
          <w:rFonts w:eastAsia="Calibri"/>
        </w:rPr>
        <w:t>. Ostatecznie zdecydowano</w:t>
      </w:r>
      <w:r w:rsidR="00E66B89">
        <w:rPr>
          <w:rFonts w:eastAsia="Calibri"/>
        </w:rPr>
        <w:t xml:space="preserve"> o </w:t>
      </w:r>
      <w:r w:rsidRPr="001D4B70">
        <w:rPr>
          <w:rFonts w:eastAsia="Calibri"/>
        </w:rPr>
        <w:t>zastosowaniu rozporządzenia KE 651/2014 jako podsta</w:t>
      </w:r>
      <w:r>
        <w:rPr>
          <w:rFonts w:eastAsia="Calibri"/>
        </w:rPr>
        <w:t>w</w:t>
      </w:r>
      <w:r w:rsidRPr="001D4B70">
        <w:rPr>
          <w:rFonts w:eastAsia="Calibri"/>
        </w:rPr>
        <w:t>y prawnej udzielania wsparcia</w:t>
      </w:r>
      <w:r>
        <w:rPr>
          <w:rFonts w:eastAsia="Calibri"/>
        </w:rPr>
        <w:t>.</w:t>
      </w:r>
      <w:r w:rsidR="00E66B89">
        <w:rPr>
          <w:rFonts w:eastAsia="Calibri"/>
        </w:rPr>
        <w:t xml:space="preserve"> W </w:t>
      </w:r>
      <w:r>
        <w:rPr>
          <w:rFonts w:eastAsia="Calibri"/>
        </w:rPr>
        <w:t>latach 2015</w:t>
      </w:r>
      <w:r w:rsidR="00E66B89">
        <w:rPr>
          <w:rFonts w:eastAsia="Calibri"/>
        </w:rPr>
        <w:t xml:space="preserve"> i </w:t>
      </w:r>
      <w:r>
        <w:rPr>
          <w:rFonts w:eastAsia="Calibri"/>
        </w:rPr>
        <w:t xml:space="preserve">2016 IZ zgłaszała także </w:t>
      </w:r>
      <w:r w:rsidRPr="00AD594C">
        <w:rPr>
          <w:rFonts w:eastAsia="Calibri"/>
        </w:rPr>
        <w:t>utrudni</w:t>
      </w:r>
      <w:r>
        <w:rPr>
          <w:rFonts w:eastAsia="Calibri"/>
        </w:rPr>
        <w:t>enia</w:t>
      </w:r>
      <w:r w:rsidR="00093F3F">
        <w:rPr>
          <w:rFonts w:eastAsia="Calibri"/>
        </w:rPr>
        <w:t>,</w:t>
      </w:r>
      <w:r w:rsidR="00E66B89">
        <w:rPr>
          <w:rFonts w:eastAsia="Calibri"/>
        </w:rPr>
        <w:t xml:space="preserve"> w </w:t>
      </w:r>
      <w:r w:rsidRPr="00AD594C">
        <w:rPr>
          <w:rFonts w:eastAsia="Calibri"/>
        </w:rPr>
        <w:t>zaplanowani</w:t>
      </w:r>
      <w:r>
        <w:rPr>
          <w:rFonts w:eastAsia="Calibri"/>
        </w:rPr>
        <w:t>u</w:t>
      </w:r>
      <w:r w:rsidRPr="00AD594C">
        <w:rPr>
          <w:rFonts w:eastAsia="Calibri"/>
        </w:rPr>
        <w:t xml:space="preserve"> naborów</w:t>
      </w:r>
      <w:r w:rsidR="00E66B89">
        <w:rPr>
          <w:rFonts w:eastAsia="Calibri"/>
        </w:rPr>
        <w:t xml:space="preserve"> w </w:t>
      </w:r>
      <w:r w:rsidRPr="00AD594C">
        <w:rPr>
          <w:rFonts w:eastAsia="Calibri"/>
        </w:rPr>
        <w:t>zakresie działań zdrowotnych</w:t>
      </w:r>
      <w:r w:rsidR="00093F3F">
        <w:rPr>
          <w:rFonts w:eastAsia="Calibri"/>
        </w:rPr>
        <w:t>,</w:t>
      </w:r>
      <w:r w:rsidRPr="00AD594C">
        <w:rPr>
          <w:rFonts w:eastAsia="Calibri"/>
        </w:rPr>
        <w:t xml:space="preserve"> </w:t>
      </w:r>
      <w:r>
        <w:rPr>
          <w:rFonts w:eastAsia="Calibri"/>
        </w:rPr>
        <w:t xml:space="preserve">spowodowane </w:t>
      </w:r>
      <w:r w:rsidRPr="003B703F">
        <w:rPr>
          <w:rFonts w:eastAsia="Calibri"/>
          <w:b/>
        </w:rPr>
        <w:t>brakującymi dokumentami</w:t>
      </w:r>
      <w:r w:rsidR="00E66B89">
        <w:rPr>
          <w:rFonts w:eastAsia="Calibri"/>
          <w:b/>
        </w:rPr>
        <w:t xml:space="preserve"> w </w:t>
      </w:r>
      <w:r w:rsidRPr="003B703F">
        <w:rPr>
          <w:rFonts w:eastAsia="Calibri"/>
          <w:b/>
        </w:rPr>
        <w:t>zakresie Map Potrzeb Zdrowotnych oraz niezakończonego opracowania linii demarkacyjnej pomiędzy RPO</w:t>
      </w:r>
      <w:r w:rsidR="00E66B89">
        <w:rPr>
          <w:rFonts w:eastAsia="Calibri"/>
          <w:b/>
        </w:rPr>
        <w:t xml:space="preserve"> a </w:t>
      </w:r>
      <w:r w:rsidRPr="003B703F">
        <w:rPr>
          <w:rFonts w:eastAsia="Calibri"/>
          <w:b/>
        </w:rPr>
        <w:t>działaniami MZ na poziomie krajowym</w:t>
      </w:r>
      <w:r>
        <w:rPr>
          <w:rFonts w:eastAsia="Calibri"/>
        </w:rPr>
        <w:t>. Był to czynnik niezależny od IZ RPO WZ,</w:t>
      </w:r>
      <w:r w:rsidR="00E66B89">
        <w:rPr>
          <w:rFonts w:eastAsia="Calibri"/>
        </w:rPr>
        <w:t xml:space="preserve"> a </w:t>
      </w:r>
      <w:r>
        <w:rPr>
          <w:rFonts w:eastAsia="Calibri"/>
        </w:rPr>
        <w:t>dostępne środki zapobiegawcze polegały na monitowaniu MIiR przy okazji różnych pól współpracy</w:t>
      </w:r>
      <w:r w:rsidR="00E66B89">
        <w:rPr>
          <w:rFonts w:eastAsia="Calibri"/>
        </w:rPr>
        <w:t xml:space="preserve"> i </w:t>
      </w:r>
      <w:r>
        <w:rPr>
          <w:rFonts w:eastAsia="Calibri"/>
        </w:rPr>
        <w:t xml:space="preserve">za pośrednictwem Komitetu Sterującego powołanego przy MZ. IZ odnotowała także </w:t>
      </w:r>
      <w:r w:rsidRPr="003B703F">
        <w:rPr>
          <w:rFonts w:eastAsia="Calibri"/>
          <w:b/>
        </w:rPr>
        <w:t>problem ze zbyt szczegółowymi wytycznymi MIiR</w:t>
      </w:r>
      <w:r w:rsidR="00E66B89">
        <w:rPr>
          <w:rFonts w:eastAsia="Calibri"/>
          <w:b/>
        </w:rPr>
        <w:t xml:space="preserve"> w </w:t>
      </w:r>
      <w:r w:rsidRPr="003B703F">
        <w:rPr>
          <w:rFonts w:eastAsia="Calibri"/>
          <w:b/>
        </w:rPr>
        <w:t>zakresie edukacji ogólnej</w:t>
      </w:r>
      <w:r>
        <w:rPr>
          <w:rFonts w:eastAsia="Calibri"/>
        </w:rPr>
        <w:t>, które były sprzeczne</w:t>
      </w:r>
      <w:r w:rsidR="00E66B89">
        <w:rPr>
          <w:rFonts w:eastAsia="Calibri"/>
        </w:rPr>
        <w:t xml:space="preserve"> z </w:t>
      </w:r>
      <w:r>
        <w:rPr>
          <w:rFonts w:eastAsia="Calibri"/>
        </w:rPr>
        <w:t>wypracowanymi</w:t>
      </w:r>
      <w:r w:rsidR="00E66B89">
        <w:rPr>
          <w:rFonts w:eastAsia="Calibri"/>
        </w:rPr>
        <w:t xml:space="preserve"> z </w:t>
      </w:r>
      <w:r>
        <w:rPr>
          <w:rFonts w:eastAsia="Calibri"/>
        </w:rPr>
        <w:t>KE postanowieniami dla województwa zachodniopomorskiego.</w:t>
      </w:r>
      <w:r w:rsidR="00E66B89">
        <w:rPr>
          <w:rFonts w:eastAsia="Calibri"/>
        </w:rPr>
        <w:t xml:space="preserve"> Z </w:t>
      </w:r>
      <w:r>
        <w:rPr>
          <w:rFonts w:eastAsia="Calibri"/>
        </w:rPr>
        <w:t>uwagi na konieczność zastosowania się do wytycznych ministerialnych</w:t>
      </w:r>
      <w:r w:rsidR="00093F3F">
        <w:rPr>
          <w:rFonts w:eastAsia="Calibri"/>
        </w:rPr>
        <w:t>,</w:t>
      </w:r>
      <w:r>
        <w:rPr>
          <w:rFonts w:eastAsia="Calibri"/>
        </w:rPr>
        <w:t xml:space="preserve"> IZ podjęła działania</w:t>
      </w:r>
      <w:r w:rsidR="00E66B89">
        <w:rPr>
          <w:rFonts w:eastAsia="Calibri"/>
        </w:rPr>
        <w:t xml:space="preserve"> o </w:t>
      </w:r>
      <w:r>
        <w:rPr>
          <w:rFonts w:eastAsia="Calibri"/>
        </w:rPr>
        <w:t>charakterze konsultacyjnym</w:t>
      </w:r>
      <w:r w:rsidR="00E66B89">
        <w:rPr>
          <w:rFonts w:eastAsia="Calibri"/>
        </w:rPr>
        <w:t xml:space="preserve"> w </w:t>
      </w:r>
      <w:r>
        <w:rPr>
          <w:rFonts w:eastAsia="Calibri"/>
        </w:rPr>
        <w:t>celu wyeliminowania sprzeczności</w:t>
      </w:r>
      <w:r w:rsidR="00093F3F">
        <w:rPr>
          <w:rFonts w:eastAsia="Calibri"/>
        </w:rPr>
        <w:t>.</w:t>
      </w:r>
      <w:r>
        <w:rPr>
          <w:rFonts w:eastAsia="Calibri"/>
        </w:rPr>
        <w:t xml:space="preserve"> </w:t>
      </w:r>
      <w:r w:rsidR="00093F3F">
        <w:rPr>
          <w:rFonts w:eastAsia="Calibri"/>
        </w:rPr>
        <w:t>J</w:t>
      </w:r>
      <w:r>
        <w:rPr>
          <w:rFonts w:eastAsia="Calibri"/>
        </w:rPr>
        <w:t>ednak</w:t>
      </w:r>
      <w:r w:rsidR="00E66B89">
        <w:rPr>
          <w:rFonts w:eastAsia="Calibri"/>
        </w:rPr>
        <w:t xml:space="preserve"> z </w:t>
      </w:r>
      <w:r>
        <w:rPr>
          <w:rFonts w:eastAsia="Calibri"/>
        </w:rPr>
        <w:t>racji na przedłużający się czas wypracowania konsensusu</w:t>
      </w:r>
      <w:r w:rsidR="00093F3F">
        <w:rPr>
          <w:rFonts w:eastAsia="Calibri"/>
        </w:rPr>
        <w:t>,</w:t>
      </w:r>
      <w:r>
        <w:rPr>
          <w:rFonts w:eastAsia="Calibri"/>
        </w:rPr>
        <w:t xml:space="preserve"> bariera ta towarzyszyła wdrażaniu Programu od III kwartału 2015 roku nawet do III kwartału 2017 r.</w:t>
      </w:r>
      <w:r>
        <w:rPr>
          <w:rStyle w:val="Odwoanieprzypisudolnego"/>
          <w:rFonts w:eastAsia="Calibri"/>
        </w:rPr>
        <w:footnoteReference w:id="189"/>
      </w:r>
      <w:r w:rsidR="00E66B89">
        <w:rPr>
          <w:rFonts w:eastAsia="Calibri"/>
        </w:rPr>
        <w:t xml:space="preserve"> W </w:t>
      </w:r>
      <w:r>
        <w:rPr>
          <w:rFonts w:eastAsia="Calibri"/>
        </w:rPr>
        <w:t>informacjach kwartalnych</w:t>
      </w:r>
      <w:r w:rsidR="00E66B89">
        <w:rPr>
          <w:rFonts w:eastAsia="Calibri"/>
        </w:rPr>
        <w:t xml:space="preserve"> z </w:t>
      </w:r>
      <w:r>
        <w:rPr>
          <w:rFonts w:eastAsia="Calibri"/>
        </w:rPr>
        <w:t>wdrażania Programu wskazano również, że i</w:t>
      </w:r>
      <w:r w:rsidRPr="004A73D1">
        <w:rPr>
          <w:rFonts w:eastAsia="Calibri"/>
          <w:b/>
        </w:rPr>
        <w:t>stotnym utrudnieniem</w:t>
      </w:r>
      <w:r w:rsidR="00F26A3C">
        <w:rPr>
          <w:rFonts w:eastAsia="Calibri"/>
          <w:b/>
        </w:rPr>
        <w:t xml:space="preserve"> -</w:t>
      </w:r>
      <w:r w:rsidR="00E66B89">
        <w:rPr>
          <w:rFonts w:eastAsia="Calibri"/>
          <w:b/>
        </w:rPr>
        <w:t xml:space="preserve"> w </w:t>
      </w:r>
      <w:r w:rsidRPr="004A73D1">
        <w:rPr>
          <w:rFonts w:eastAsia="Calibri"/>
          <w:b/>
        </w:rPr>
        <w:t>połowie okresu wdrażania Programu</w:t>
      </w:r>
      <w:r w:rsidR="00F26A3C">
        <w:rPr>
          <w:rFonts w:eastAsia="Calibri"/>
          <w:b/>
        </w:rPr>
        <w:t xml:space="preserve"> -</w:t>
      </w:r>
      <w:r w:rsidRPr="004A73D1">
        <w:rPr>
          <w:rFonts w:eastAsia="Calibri"/>
          <w:b/>
        </w:rPr>
        <w:t xml:space="preserve"> były przedłużające się negocjacje</w:t>
      </w:r>
      <w:r w:rsidR="00E66B89">
        <w:rPr>
          <w:rFonts w:eastAsia="Calibri"/>
          <w:b/>
        </w:rPr>
        <w:t xml:space="preserve"> w </w:t>
      </w:r>
      <w:r w:rsidRPr="004A73D1">
        <w:rPr>
          <w:rFonts w:eastAsia="Calibri"/>
          <w:b/>
        </w:rPr>
        <w:t>sprawie zmian</w:t>
      </w:r>
      <w:r w:rsidR="00E66B89">
        <w:rPr>
          <w:rFonts w:eastAsia="Calibri"/>
          <w:b/>
        </w:rPr>
        <w:t xml:space="preserve"> w </w:t>
      </w:r>
      <w:r w:rsidRPr="004A73D1">
        <w:rPr>
          <w:rFonts w:eastAsia="Calibri"/>
          <w:b/>
        </w:rPr>
        <w:t>Umowie Partnerstwa</w:t>
      </w:r>
      <w:r>
        <w:rPr>
          <w:rFonts w:eastAsia="Calibri"/>
          <w:b/>
        </w:rPr>
        <w:t xml:space="preserve">, </w:t>
      </w:r>
      <w:r w:rsidRPr="00916AF3">
        <w:rPr>
          <w:rFonts w:eastAsia="Calibri"/>
        </w:rPr>
        <w:t>co wpły</w:t>
      </w:r>
      <w:r>
        <w:rPr>
          <w:rFonts w:eastAsia="Calibri"/>
        </w:rPr>
        <w:t>nęło</w:t>
      </w:r>
      <w:r w:rsidRPr="00916AF3">
        <w:rPr>
          <w:rFonts w:eastAsia="Calibri"/>
        </w:rPr>
        <w:t xml:space="preserve"> na </w:t>
      </w:r>
      <w:r>
        <w:rPr>
          <w:rFonts w:eastAsia="Calibri"/>
        </w:rPr>
        <w:t>niemożność</w:t>
      </w:r>
      <w:r w:rsidRPr="00916AF3">
        <w:rPr>
          <w:rFonts w:eastAsia="Calibri"/>
        </w:rPr>
        <w:t xml:space="preserve"> dokonania zmian</w:t>
      </w:r>
      <w:r w:rsidR="00E66B89">
        <w:rPr>
          <w:rFonts w:eastAsia="Calibri"/>
        </w:rPr>
        <w:t xml:space="preserve"> w </w:t>
      </w:r>
      <w:r w:rsidRPr="00916AF3">
        <w:rPr>
          <w:rFonts w:eastAsia="Calibri"/>
        </w:rPr>
        <w:t>RPO WZ</w:t>
      </w:r>
      <w:r>
        <w:rPr>
          <w:rFonts w:eastAsia="Calibri"/>
        </w:rPr>
        <w:t xml:space="preserve"> związanych m.in. </w:t>
      </w:r>
      <w:r w:rsidRPr="00916AF3">
        <w:rPr>
          <w:rFonts w:eastAsia="Calibri"/>
        </w:rPr>
        <w:t>ze zmianami kategorii interwencji</w:t>
      </w:r>
      <w:r w:rsidR="00E66B89">
        <w:rPr>
          <w:rFonts w:eastAsia="Calibri"/>
        </w:rPr>
        <w:t xml:space="preserve"> w </w:t>
      </w:r>
      <w:r w:rsidRPr="00916AF3">
        <w:rPr>
          <w:rFonts w:eastAsia="Calibri"/>
        </w:rPr>
        <w:t>ramach priorytetów inwestycyjnych.</w:t>
      </w:r>
      <w:r>
        <w:rPr>
          <w:rFonts w:eastAsia="Calibri"/>
        </w:rPr>
        <w:t xml:space="preserve"> Problematyczny ze względu na ocenę zgodności </w:t>
      </w:r>
      <w:r w:rsidR="001F2FC0">
        <w:rPr>
          <w:rFonts w:eastAsia="Calibri"/>
        </w:rPr>
        <w:t xml:space="preserve">planowanych </w:t>
      </w:r>
      <w:r>
        <w:rPr>
          <w:rFonts w:eastAsia="Calibri"/>
        </w:rPr>
        <w:t>projekt</w:t>
      </w:r>
      <w:r w:rsidR="001F2FC0">
        <w:rPr>
          <w:rFonts w:eastAsia="Calibri"/>
        </w:rPr>
        <w:t>ów</w:t>
      </w:r>
      <w:r w:rsidR="00E66B89">
        <w:rPr>
          <w:rFonts w:eastAsia="Calibri"/>
        </w:rPr>
        <w:t xml:space="preserve"> z </w:t>
      </w:r>
      <w:r>
        <w:rPr>
          <w:rFonts w:eastAsia="Calibri"/>
        </w:rPr>
        <w:t xml:space="preserve">obowiązującym prawem krajowym był także </w:t>
      </w:r>
      <w:r w:rsidRPr="00BC0557">
        <w:rPr>
          <w:rFonts w:eastAsia="Calibri"/>
          <w:b/>
        </w:rPr>
        <w:t xml:space="preserve">brak zapowiadanej aktualizacji </w:t>
      </w:r>
      <w:r>
        <w:rPr>
          <w:rFonts w:eastAsia="Calibri"/>
          <w:b/>
        </w:rPr>
        <w:t>KPOŚK,</w:t>
      </w:r>
      <w:r w:rsidR="00E66B89">
        <w:rPr>
          <w:rFonts w:eastAsia="Calibri"/>
          <w:b/>
        </w:rPr>
        <w:t xml:space="preserve"> a </w:t>
      </w:r>
      <w:r>
        <w:rPr>
          <w:rFonts w:eastAsia="Calibri"/>
          <w:b/>
        </w:rPr>
        <w:t>także p</w:t>
      </w:r>
      <w:r w:rsidRPr="000B2CDB">
        <w:rPr>
          <w:rFonts w:eastAsia="Calibri"/>
          <w:b/>
        </w:rPr>
        <w:t>rzedłużające się procedowanie dokumentów strategicznych dla gospodarki wodnej</w:t>
      </w:r>
      <w:r>
        <w:rPr>
          <w:rStyle w:val="Odwoanieprzypisudolnego"/>
          <w:rFonts w:eastAsia="Calibri"/>
          <w:b/>
        </w:rPr>
        <w:footnoteReference w:id="190"/>
      </w:r>
      <w:r>
        <w:rPr>
          <w:rFonts w:eastAsia="Calibri"/>
        </w:rPr>
        <w:t>. Opóźnienia związane</w:t>
      </w:r>
      <w:r w:rsidR="00E66B89">
        <w:rPr>
          <w:rFonts w:eastAsia="Calibri"/>
        </w:rPr>
        <w:t xml:space="preserve"> z </w:t>
      </w:r>
      <w:r>
        <w:rPr>
          <w:rFonts w:eastAsia="Calibri"/>
        </w:rPr>
        <w:t>wyborem projektów do dofinansowania wpływały na późniejsze rozpoczęcie ich realizacji,</w:t>
      </w:r>
      <w:r w:rsidR="00E66B89">
        <w:rPr>
          <w:rFonts w:eastAsia="Calibri"/>
        </w:rPr>
        <w:t xml:space="preserve"> a </w:t>
      </w:r>
      <w:r>
        <w:rPr>
          <w:rFonts w:eastAsia="Calibri"/>
        </w:rPr>
        <w:t>co za tym idzie zwiększenie ryzyka nieosiągnięcia wskaźników.</w:t>
      </w:r>
      <w:r w:rsidR="00E66B89">
        <w:rPr>
          <w:rFonts w:eastAsia="Calibri"/>
        </w:rPr>
        <w:t xml:space="preserve"> Z </w:t>
      </w:r>
      <w:r>
        <w:rPr>
          <w:rFonts w:eastAsia="Calibri"/>
        </w:rPr>
        <w:t>uwagi, iż ww. czynniki miały charakter niezależny od IZ, podjęcie działań, które</w:t>
      </w:r>
      <w:r w:rsidR="00E66B89">
        <w:rPr>
          <w:rFonts w:eastAsia="Calibri"/>
        </w:rPr>
        <w:t xml:space="preserve"> w </w:t>
      </w:r>
      <w:r>
        <w:rPr>
          <w:rFonts w:eastAsia="Calibri"/>
        </w:rPr>
        <w:t>krótkim czasie wyeliminowałyby te bariery było niemożliwe</w:t>
      </w:r>
      <w:r w:rsidR="00E66B89">
        <w:rPr>
          <w:rFonts w:eastAsia="Calibri"/>
        </w:rPr>
        <w:t xml:space="preserve"> i </w:t>
      </w:r>
      <w:r>
        <w:rPr>
          <w:rFonts w:eastAsia="Calibri"/>
        </w:rPr>
        <w:t xml:space="preserve">zależało od wielu innych czynników. Powołanie nowej instytucji </w:t>
      </w:r>
      <w:r w:rsidRPr="00B76A34">
        <w:rPr>
          <w:rFonts w:eastAsia="Calibri"/>
        </w:rPr>
        <w:t>Państwowe Gospodarstwo Wodne „Wody Polskie”</w:t>
      </w:r>
      <w:r>
        <w:rPr>
          <w:rFonts w:eastAsia="Calibri"/>
        </w:rPr>
        <w:t xml:space="preserve"> -</w:t>
      </w:r>
      <w:r w:rsidRPr="00B76A34">
        <w:rPr>
          <w:rFonts w:eastAsia="Calibri"/>
        </w:rPr>
        <w:t xml:space="preserve"> która zastąpiła Zachodniopomorski Zarząd Melioracji</w:t>
      </w:r>
      <w:r w:rsidR="00E66B89">
        <w:rPr>
          <w:rFonts w:eastAsia="Calibri"/>
        </w:rPr>
        <w:t xml:space="preserve"> i </w:t>
      </w:r>
      <w:r w:rsidRPr="00B76A34">
        <w:rPr>
          <w:rFonts w:eastAsia="Calibri"/>
        </w:rPr>
        <w:t xml:space="preserve">Urządzeń Wodnych </w:t>
      </w:r>
      <w:r w:rsidR="001F2FC0">
        <w:rPr>
          <w:rFonts w:eastAsia="Calibri"/>
        </w:rPr>
        <w:t xml:space="preserve">- </w:t>
      </w:r>
      <w:r>
        <w:rPr>
          <w:rFonts w:eastAsia="Calibri"/>
        </w:rPr>
        <w:t>zrodził</w:t>
      </w:r>
      <w:r w:rsidR="001F2FC0">
        <w:rPr>
          <w:rFonts w:eastAsia="Calibri"/>
        </w:rPr>
        <w:t>o</w:t>
      </w:r>
      <w:r>
        <w:rPr>
          <w:rFonts w:eastAsia="Calibri"/>
        </w:rPr>
        <w:t xml:space="preserve"> </w:t>
      </w:r>
      <w:r w:rsidR="002122C6">
        <w:rPr>
          <w:rFonts w:eastAsia="Calibri"/>
        </w:rPr>
        <w:t>pewne opóźnienia</w:t>
      </w:r>
      <w:r>
        <w:rPr>
          <w:rFonts w:eastAsia="Calibri"/>
        </w:rPr>
        <w:t xml:space="preserve"> administracyjno-formalne</w:t>
      </w:r>
      <w:r w:rsidR="002122C6">
        <w:rPr>
          <w:rFonts w:eastAsia="Calibri"/>
        </w:rPr>
        <w:t xml:space="preserve">. Nowa </w:t>
      </w:r>
      <w:r w:rsidR="00AF5282">
        <w:rPr>
          <w:rFonts w:eastAsia="Calibri"/>
        </w:rPr>
        <w:t>i</w:t>
      </w:r>
      <w:r w:rsidR="002122C6">
        <w:rPr>
          <w:rFonts w:eastAsia="Calibri"/>
        </w:rPr>
        <w:t>nstytucja</w:t>
      </w:r>
      <w:r>
        <w:rPr>
          <w:rFonts w:eastAsia="Calibri"/>
        </w:rPr>
        <w:t xml:space="preserve"> </w:t>
      </w:r>
      <w:r w:rsidR="00AF5282">
        <w:rPr>
          <w:rFonts w:eastAsia="Calibri"/>
        </w:rPr>
        <w:t xml:space="preserve">przejęła bowiem </w:t>
      </w:r>
      <w:r w:rsidR="00AF5282" w:rsidRPr="00B76A34">
        <w:rPr>
          <w:rFonts w:eastAsia="Calibri"/>
        </w:rPr>
        <w:t>planowane do realizacji zadania</w:t>
      </w:r>
      <w:r w:rsidR="00E66B89">
        <w:rPr>
          <w:rFonts w:eastAsia="Calibri"/>
        </w:rPr>
        <w:t xml:space="preserve"> i </w:t>
      </w:r>
      <w:r w:rsidR="00AF5282">
        <w:rPr>
          <w:rFonts w:eastAsia="Calibri"/>
        </w:rPr>
        <w:t>obowiązki</w:t>
      </w:r>
      <w:r w:rsidR="00E66B89">
        <w:rPr>
          <w:rFonts w:eastAsia="Calibri"/>
        </w:rPr>
        <w:t xml:space="preserve"> w </w:t>
      </w:r>
      <w:r w:rsidR="00AF5282" w:rsidRPr="00B76A34">
        <w:rPr>
          <w:rFonts w:eastAsia="Calibri"/>
        </w:rPr>
        <w:t xml:space="preserve">ramach </w:t>
      </w:r>
      <w:r w:rsidR="00AF5282">
        <w:rPr>
          <w:rFonts w:eastAsia="Calibri"/>
        </w:rPr>
        <w:t>D</w:t>
      </w:r>
      <w:r w:rsidR="00AF5282" w:rsidRPr="00B76A34">
        <w:rPr>
          <w:rFonts w:eastAsia="Calibri"/>
        </w:rPr>
        <w:t>ziałania 3.1 oraz 3.2.</w:t>
      </w:r>
      <w:r w:rsidR="00A64A2B">
        <w:rPr>
          <w:rFonts w:eastAsia="Calibri"/>
        </w:rPr>
        <w:t>,</w:t>
      </w:r>
      <w:r w:rsidR="00E66B89">
        <w:rPr>
          <w:rFonts w:eastAsia="Calibri"/>
        </w:rPr>
        <w:t xml:space="preserve"> a w </w:t>
      </w:r>
      <w:r w:rsidR="00014D5D">
        <w:rPr>
          <w:rFonts w:eastAsia="Calibri"/>
        </w:rPr>
        <w:t>celu sprawnego przekazania instrukcji potrzebna była pomoc IZ,</w:t>
      </w:r>
      <w:r w:rsidR="00A64A2B">
        <w:rPr>
          <w:rFonts w:eastAsia="Calibri"/>
        </w:rPr>
        <w:t xml:space="preserve"> </w:t>
      </w:r>
      <w:r w:rsidR="00AF5282">
        <w:rPr>
          <w:rFonts w:eastAsia="Calibri"/>
        </w:rPr>
        <w:t xml:space="preserve">co pociągnęło za sobą </w:t>
      </w:r>
      <w:r>
        <w:rPr>
          <w:rFonts w:eastAsia="Calibri"/>
        </w:rPr>
        <w:t>konieczność wygospodarowani</w:t>
      </w:r>
      <w:r w:rsidR="001F2FC0">
        <w:rPr>
          <w:rFonts w:eastAsia="Calibri"/>
        </w:rPr>
        <w:t>a</w:t>
      </w:r>
      <w:r>
        <w:rPr>
          <w:rFonts w:eastAsia="Calibri"/>
        </w:rPr>
        <w:t xml:space="preserve"> </w:t>
      </w:r>
      <w:r w:rsidR="00014D5D">
        <w:rPr>
          <w:rFonts w:eastAsia="Calibri"/>
        </w:rPr>
        <w:t>czasu przez pracowników zaangażowanych we wprowadzenie nowej instytucji do systemu</w:t>
      </w:r>
      <w:r>
        <w:rPr>
          <w:rFonts w:eastAsia="Calibri"/>
        </w:rPr>
        <w:t>. Aby sprawnie</w:t>
      </w:r>
      <w:r w:rsidR="00E66B89">
        <w:rPr>
          <w:rFonts w:eastAsia="Calibri"/>
        </w:rPr>
        <w:t xml:space="preserve"> i </w:t>
      </w:r>
      <w:r>
        <w:rPr>
          <w:rFonts w:eastAsia="Calibri"/>
        </w:rPr>
        <w:t>bez uszczerbku dla powodzenia przeprowadzanej interwencji przejść przez okres przejmowania obowiązków przez nową instytucję</w:t>
      </w:r>
      <w:r w:rsidR="001F2FC0">
        <w:rPr>
          <w:rFonts w:eastAsia="Calibri"/>
        </w:rPr>
        <w:t>,</w:t>
      </w:r>
      <w:r>
        <w:rPr>
          <w:rFonts w:eastAsia="Calibri"/>
        </w:rPr>
        <w:t xml:space="preserve"> powołano </w:t>
      </w:r>
      <w:r w:rsidRPr="00B76A34">
        <w:rPr>
          <w:rFonts w:eastAsia="Calibri"/>
        </w:rPr>
        <w:t>specjaln</w:t>
      </w:r>
      <w:r>
        <w:rPr>
          <w:rFonts w:eastAsia="Calibri"/>
        </w:rPr>
        <w:t>y</w:t>
      </w:r>
      <w:r w:rsidRPr="00B76A34">
        <w:rPr>
          <w:rFonts w:eastAsia="Calibri"/>
        </w:rPr>
        <w:t xml:space="preserve"> podzesp</w:t>
      </w:r>
      <w:r>
        <w:rPr>
          <w:rFonts w:eastAsia="Calibri"/>
        </w:rPr>
        <w:t>ół</w:t>
      </w:r>
      <w:r w:rsidRPr="00B76A34">
        <w:rPr>
          <w:rFonts w:eastAsia="Calibri"/>
        </w:rPr>
        <w:t xml:space="preserve"> ds. procesów inwestycji</w:t>
      </w:r>
      <w:r>
        <w:rPr>
          <w:rFonts w:eastAsia="Calibri"/>
        </w:rPr>
        <w:t xml:space="preserve">, co należy uznać za skuteczną reakcję na </w:t>
      </w:r>
      <w:r w:rsidR="001F2FC0">
        <w:rPr>
          <w:rFonts w:eastAsia="Calibri"/>
        </w:rPr>
        <w:t xml:space="preserve">zaistniały </w:t>
      </w:r>
      <w:r>
        <w:rPr>
          <w:rFonts w:eastAsia="Calibri"/>
        </w:rPr>
        <w:t>problem. Na poziomie RPO WZ 2014-2020 podejmowano także starania</w:t>
      </w:r>
      <w:r w:rsidR="00E66B89">
        <w:rPr>
          <w:rFonts w:eastAsia="Calibri"/>
        </w:rPr>
        <w:t xml:space="preserve"> o </w:t>
      </w:r>
      <w:r w:rsidRPr="002F3AFC">
        <w:rPr>
          <w:rFonts w:eastAsia="Calibri"/>
        </w:rPr>
        <w:t>rozszerzenia grupy docelowej dla priorytetu inwestycyjnego 8iii</w:t>
      </w:r>
      <w:r w:rsidR="00E66B89">
        <w:rPr>
          <w:rFonts w:eastAsia="Calibri"/>
        </w:rPr>
        <w:t xml:space="preserve"> o </w:t>
      </w:r>
      <w:r w:rsidRPr="002F3AFC">
        <w:rPr>
          <w:rFonts w:eastAsia="Calibri"/>
        </w:rPr>
        <w:t>osoby poniżej 29 roku życia</w:t>
      </w:r>
      <w:r w:rsidR="00E66B89">
        <w:rPr>
          <w:rFonts w:eastAsia="Calibri"/>
        </w:rPr>
        <w:t xml:space="preserve"> w </w:t>
      </w:r>
      <w:r>
        <w:rPr>
          <w:rFonts w:eastAsia="Calibri"/>
        </w:rPr>
        <w:t>związku</w:t>
      </w:r>
      <w:r w:rsidR="00E66B89">
        <w:rPr>
          <w:rFonts w:eastAsia="Calibri"/>
        </w:rPr>
        <w:t xml:space="preserve"> z </w:t>
      </w:r>
      <w:r w:rsidRPr="00671365">
        <w:rPr>
          <w:rFonts w:eastAsia="Calibri"/>
          <w:b/>
        </w:rPr>
        <w:t>trudnościami we wdrażaniu instrumentów finansowych (pożyczek)</w:t>
      </w:r>
      <w:r w:rsidRPr="002F3AFC">
        <w:rPr>
          <w:rFonts w:eastAsia="Calibri"/>
        </w:rPr>
        <w:t xml:space="preserve"> </w:t>
      </w:r>
      <w:r w:rsidRPr="00671365">
        <w:rPr>
          <w:rFonts w:eastAsia="Calibri"/>
          <w:b/>
        </w:rPr>
        <w:t>dla osób bezrobotnych powyżej 29 r.ż.</w:t>
      </w:r>
      <w:r w:rsidR="00E66B89">
        <w:rPr>
          <w:rFonts w:eastAsia="Calibri"/>
        </w:rPr>
        <w:t xml:space="preserve"> W </w:t>
      </w:r>
      <w:r>
        <w:rPr>
          <w:rFonts w:eastAsia="Calibri"/>
        </w:rPr>
        <w:t>związku</w:t>
      </w:r>
      <w:r w:rsidR="00E66B89">
        <w:rPr>
          <w:rFonts w:eastAsia="Calibri"/>
        </w:rPr>
        <w:t xml:space="preserve"> z </w:t>
      </w:r>
      <w:r>
        <w:rPr>
          <w:rFonts w:eastAsia="Calibri"/>
        </w:rPr>
        <w:t xml:space="preserve">przedłużającym się </w:t>
      </w:r>
      <w:r w:rsidR="001F2FC0">
        <w:rPr>
          <w:rFonts w:eastAsia="Calibri"/>
        </w:rPr>
        <w:t>podjęciem</w:t>
      </w:r>
      <w:r>
        <w:rPr>
          <w:rFonts w:eastAsia="Calibri"/>
        </w:rPr>
        <w:t xml:space="preserve"> decyzji</w:t>
      </w:r>
      <w:r w:rsidR="00E66B89">
        <w:rPr>
          <w:rFonts w:eastAsia="Calibri"/>
        </w:rPr>
        <w:t xml:space="preserve"> i </w:t>
      </w:r>
      <w:r>
        <w:rPr>
          <w:rFonts w:eastAsia="Calibri"/>
        </w:rPr>
        <w:t>oszacowaniem dużych trudności</w:t>
      </w:r>
      <w:r w:rsidR="00E66B89">
        <w:rPr>
          <w:rFonts w:eastAsia="Calibri"/>
        </w:rPr>
        <w:t xml:space="preserve"> w </w:t>
      </w:r>
      <w:r>
        <w:rPr>
          <w:rFonts w:eastAsia="Calibri"/>
        </w:rPr>
        <w:t>rekrutacji zakładanych uczestników wsparcia</w:t>
      </w:r>
      <w:r w:rsidR="001F2FC0">
        <w:rPr>
          <w:rFonts w:eastAsia="Calibri"/>
        </w:rPr>
        <w:t>,</w:t>
      </w:r>
      <w:r>
        <w:rPr>
          <w:rFonts w:eastAsia="Calibri"/>
        </w:rPr>
        <w:t xml:space="preserve"> rozważano także rozszerzenie </w:t>
      </w:r>
      <w:r w:rsidR="001F2FC0">
        <w:rPr>
          <w:rFonts w:eastAsia="Calibri"/>
        </w:rPr>
        <w:t>kategorii</w:t>
      </w:r>
      <w:r>
        <w:rPr>
          <w:rFonts w:eastAsia="Calibri"/>
        </w:rPr>
        <w:t xml:space="preserve"> docelowej</w:t>
      </w:r>
      <w:r w:rsidR="00E66B89">
        <w:rPr>
          <w:rFonts w:eastAsia="Calibri"/>
        </w:rPr>
        <w:t xml:space="preserve"> o </w:t>
      </w:r>
      <w:r>
        <w:rPr>
          <w:rFonts w:eastAsia="Calibri"/>
        </w:rPr>
        <w:t>kolejne grupy</w:t>
      </w:r>
      <w:r>
        <w:rPr>
          <w:rStyle w:val="Odwoanieprzypisudolnego"/>
          <w:rFonts w:eastAsia="Calibri"/>
        </w:rPr>
        <w:footnoteReference w:id="191"/>
      </w:r>
      <w:r>
        <w:rPr>
          <w:rFonts w:eastAsia="Calibri"/>
        </w:rPr>
        <w:t xml:space="preserve">. </w:t>
      </w:r>
    </w:p>
    <w:p w14:paraId="5B68BC12" w14:textId="77777777" w:rsidR="00526AA8" w:rsidRPr="004E2CFA" w:rsidRDefault="00526AA8" w:rsidP="00526AA8">
      <w:pPr>
        <w:rPr>
          <w:rFonts w:eastAsia="Calibri"/>
        </w:rPr>
      </w:pPr>
      <w:r w:rsidRPr="00A7010B">
        <w:rPr>
          <w:rFonts w:eastAsia="Calibri"/>
          <w:b/>
        </w:rPr>
        <w:t>Istotnym utrudnieniem wdrażania Programu była reforma edukacji, która przyniosła reorganizację całego systemu oświaty</w:t>
      </w:r>
      <w:r w:rsidR="001F2FC0">
        <w:rPr>
          <w:rFonts w:eastAsia="Calibri"/>
          <w:b/>
        </w:rPr>
        <w:t xml:space="preserve"> -</w:t>
      </w:r>
      <w:r w:rsidR="00E66B89">
        <w:rPr>
          <w:rFonts w:eastAsia="Calibri"/>
          <w:b/>
        </w:rPr>
        <w:t xml:space="preserve"> w </w:t>
      </w:r>
      <w:r w:rsidRPr="00A7010B">
        <w:rPr>
          <w:rFonts w:eastAsia="Calibri"/>
          <w:b/>
        </w:rPr>
        <w:t>tym likwidacji poszczególnych typów szkół, podstawy programowej itp.</w:t>
      </w:r>
      <w:r>
        <w:rPr>
          <w:rFonts w:eastAsia="Calibri"/>
          <w:b/>
        </w:rPr>
        <w:t xml:space="preserve"> </w:t>
      </w:r>
      <w:r>
        <w:rPr>
          <w:rFonts w:eastAsia="Calibri"/>
        </w:rPr>
        <w:t>Zanim zatwierdzono ostateczny kształt ustawy, wnioskodawcy nie wiedzieli według których dokumentów powinni tworzyć planowane projekty</w:t>
      </w:r>
      <w:r w:rsidR="001F2FC0">
        <w:rPr>
          <w:rFonts w:eastAsia="Calibri"/>
        </w:rPr>
        <w:t xml:space="preserve"> -</w:t>
      </w:r>
      <w:r>
        <w:rPr>
          <w:rFonts w:eastAsia="Calibri"/>
        </w:rPr>
        <w:t xml:space="preserve"> tym bardziej, że zmiany dotyczyły fundamentalnych kwestii mających wpływ na planowanie całego wsparcia, np. wsparcia dla konkretnego typu szkoły.</w:t>
      </w:r>
      <w:r w:rsidR="00E66B89">
        <w:rPr>
          <w:rFonts w:eastAsia="Calibri"/>
        </w:rPr>
        <w:t xml:space="preserve"> </w:t>
      </w:r>
      <w:r w:rsidR="00E66B89">
        <w:rPr>
          <w:rFonts w:eastAsia="Calibri"/>
        </w:rPr>
        <w:lastRenderedPageBreak/>
        <w:t>W </w:t>
      </w:r>
      <w:r>
        <w:rPr>
          <w:rFonts w:eastAsia="Calibri"/>
        </w:rPr>
        <w:t>naborach, które trwały</w:t>
      </w:r>
      <w:r w:rsidR="00E66B89">
        <w:rPr>
          <w:rFonts w:eastAsia="Calibri"/>
        </w:rPr>
        <w:t xml:space="preserve"> w </w:t>
      </w:r>
      <w:r>
        <w:rPr>
          <w:rFonts w:eastAsia="Calibri"/>
        </w:rPr>
        <w:t>trakcie wypracowywania ostatecznego kształtu reformy wnioskodawcy zgłaszali wiele pytań do IZ,</w:t>
      </w:r>
      <w:r w:rsidR="00E66B89">
        <w:rPr>
          <w:rFonts w:eastAsia="Calibri"/>
        </w:rPr>
        <w:t xml:space="preserve"> a </w:t>
      </w:r>
      <w:r>
        <w:rPr>
          <w:rFonts w:eastAsia="Calibri"/>
        </w:rPr>
        <w:t>ostatecznie musieli projektować wsparcie powołując się na dotychczas obowiązujące prawo</w:t>
      </w:r>
      <w:r w:rsidR="00E66B89">
        <w:rPr>
          <w:rFonts w:eastAsia="Calibri"/>
        </w:rPr>
        <w:t xml:space="preserve"> w </w:t>
      </w:r>
      <w:r>
        <w:rPr>
          <w:rFonts w:eastAsia="Calibri"/>
        </w:rPr>
        <w:t>zakresie edukacji.</w:t>
      </w:r>
      <w:r w:rsidR="00E66B89">
        <w:rPr>
          <w:rFonts w:eastAsia="Calibri"/>
        </w:rPr>
        <w:t xml:space="preserve"> W </w:t>
      </w:r>
      <w:r>
        <w:rPr>
          <w:rFonts w:eastAsia="Calibri"/>
        </w:rPr>
        <w:t>następstwie tego, po wejściu</w:t>
      </w:r>
      <w:r w:rsidR="00E66B89">
        <w:rPr>
          <w:rFonts w:eastAsia="Calibri"/>
        </w:rPr>
        <w:t xml:space="preserve"> w </w:t>
      </w:r>
      <w:r>
        <w:rPr>
          <w:rFonts w:eastAsia="Calibri"/>
        </w:rPr>
        <w:t>życie nowej ustawy</w:t>
      </w:r>
      <w:r w:rsidR="001F2FC0">
        <w:rPr>
          <w:rFonts w:eastAsia="Calibri"/>
        </w:rPr>
        <w:t>,</w:t>
      </w:r>
      <w:r>
        <w:rPr>
          <w:rFonts w:eastAsia="Calibri"/>
        </w:rPr>
        <w:t xml:space="preserve"> niektóre elementy zaplanowanego wsparcia nie przekładały się na nowe zapisy, co skutkowało m.in. potencjalnymi problemami</w:t>
      </w:r>
      <w:r w:rsidR="00E66B89">
        <w:rPr>
          <w:rFonts w:eastAsia="Calibri"/>
        </w:rPr>
        <w:t xml:space="preserve"> w </w:t>
      </w:r>
      <w:r>
        <w:rPr>
          <w:rFonts w:eastAsia="Calibri"/>
        </w:rPr>
        <w:t>osiągnięciu wskaźników. Obawiano się także, iż</w:t>
      </w:r>
      <w:r w:rsidR="00E66B89">
        <w:rPr>
          <w:rFonts w:eastAsia="Calibri"/>
        </w:rPr>
        <w:t xml:space="preserve"> z </w:t>
      </w:r>
      <w:r>
        <w:rPr>
          <w:rFonts w:eastAsia="Calibri"/>
        </w:rPr>
        <w:t>powodu likwidacji niektórych placówek</w:t>
      </w:r>
      <w:r w:rsidR="00E66B89">
        <w:rPr>
          <w:rFonts w:eastAsia="Calibri"/>
        </w:rPr>
        <w:t xml:space="preserve"> i </w:t>
      </w:r>
      <w:r>
        <w:rPr>
          <w:rFonts w:eastAsia="Calibri"/>
        </w:rPr>
        <w:t>konieczności wypłacania odpraw dla nauczycieli</w:t>
      </w:r>
      <w:r w:rsidR="001F2FC0">
        <w:rPr>
          <w:rFonts w:eastAsia="Calibri"/>
        </w:rPr>
        <w:t>,</w:t>
      </w:r>
      <w:r>
        <w:rPr>
          <w:rFonts w:eastAsia="Calibri"/>
        </w:rPr>
        <w:t xml:space="preserve"> wnioskodawcy nie będą</w:t>
      </w:r>
      <w:r w:rsidR="00E66B89">
        <w:rPr>
          <w:rFonts w:eastAsia="Calibri"/>
        </w:rPr>
        <w:t xml:space="preserve"> w </w:t>
      </w:r>
      <w:r>
        <w:rPr>
          <w:rFonts w:eastAsia="Calibri"/>
        </w:rPr>
        <w:t>stanie zapewnić wkładu własnego</w:t>
      </w:r>
      <w:r w:rsidR="00E66B89">
        <w:rPr>
          <w:rFonts w:eastAsia="Calibri"/>
        </w:rPr>
        <w:t xml:space="preserve"> w </w:t>
      </w:r>
      <w:r>
        <w:rPr>
          <w:rFonts w:eastAsia="Calibri"/>
        </w:rPr>
        <w:t>projekty</w:t>
      </w:r>
      <w:r>
        <w:rPr>
          <w:rStyle w:val="Odwoanieprzypisudolnego"/>
          <w:rFonts w:eastAsia="Calibri"/>
        </w:rPr>
        <w:footnoteReference w:id="192"/>
      </w:r>
      <w:r>
        <w:rPr>
          <w:rFonts w:eastAsia="Calibri"/>
        </w:rPr>
        <w:t>. Mimo bieżących konsultacji IZ</w:t>
      </w:r>
      <w:r w:rsidR="00E66B89">
        <w:rPr>
          <w:rFonts w:eastAsia="Calibri"/>
        </w:rPr>
        <w:t xml:space="preserve"> z </w:t>
      </w:r>
      <w:r w:rsidRPr="005D66F8">
        <w:rPr>
          <w:rFonts w:eastAsia="Calibri"/>
        </w:rPr>
        <w:t>M</w:t>
      </w:r>
      <w:r w:rsidR="00990613">
        <w:rPr>
          <w:rFonts w:eastAsia="Calibri"/>
        </w:rPr>
        <w:t>Ii</w:t>
      </w:r>
      <w:r w:rsidRPr="005D66F8">
        <w:rPr>
          <w:rFonts w:eastAsia="Calibri"/>
        </w:rPr>
        <w:t>R</w:t>
      </w:r>
      <w:r w:rsidR="00E66B89">
        <w:rPr>
          <w:rFonts w:eastAsia="Calibri"/>
        </w:rPr>
        <w:t xml:space="preserve"> i </w:t>
      </w:r>
      <w:r w:rsidRPr="005D66F8">
        <w:rPr>
          <w:rFonts w:eastAsia="Calibri"/>
        </w:rPr>
        <w:t>MEN, samorządami oraz KE</w:t>
      </w:r>
      <w:r w:rsidR="001F2FC0">
        <w:rPr>
          <w:rFonts w:eastAsia="Calibri"/>
        </w:rPr>
        <w:t xml:space="preserve"> -</w:t>
      </w:r>
      <w:r w:rsidR="00E66B89">
        <w:rPr>
          <w:rFonts w:eastAsia="Calibri"/>
        </w:rPr>
        <w:t xml:space="preserve"> w </w:t>
      </w:r>
      <w:r w:rsidRPr="005D66F8">
        <w:rPr>
          <w:rFonts w:eastAsia="Calibri"/>
        </w:rPr>
        <w:t>zakresie prowadzonych zmian</w:t>
      </w:r>
      <w:r w:rsidR="001F2FC0">
        <w:rPr>
          <w:rFonts w:eastAsia="Calibri"/>
        </w:rPr>
        <w:t xml:space="preserve"> -</w:t>
      </w:r>
      <w:r>
        <w:rPr>
          <w:rFonts w:eastAsia="Calibri"/>
        </w:rPr>
        <w:t xml:space="preserve"> niewątpliwie należy uznać tak gruntowną reformę</w:t>
      </w:r>
      <w:r w:rsidR="00E66B89">
        <w:rPr>
          <w:rFonts w:eastAsia="Calibri"/>
        </w:rPr>
        <w:t xml:space="preserve"> w </w:t>
      </w:r>
      <w:r>
        <w:rPr>
          <w:rFonts w:eastAsia="Calibri"/>
        </w:rPr>
        <w:t>obszarze edukacji za czynnik utrudniający wdrażanie RPO WZ 2014-2020.</w:t>
      </w:r>
    </w:p>
    <w:p w14:paraId="5C03ED22" w14:textId="77777777" w:rsidR="00526AA8" w:rsidRDefault="00526AA8" w:rsidP="00526AA8">
      <w:pPr>
        <w:rPr>
          <w:rFonts w:eastAsia="Calibri"/>
        </w:rPr>
      </w:pPr>
      <w:r>
        <w:rPr>
          <w:rFonts w:eastAsia="Calibri"/>
        </w:rPr>
        <w:t>W związku ze zmianami jakie pojawiły się</w:t>
      </w:r>
      <w:r w:rsidR="00E66B89">
        <w:rPr>
          <w:rFonts w:eastAsia="Calibri"/>
        </w:rPr>
        <w:t xml:space="preserve"> w </w:t>
      </w:r>
      <w:r w:rsidR="001F2FC0">
        <w:rPr>
          <w:rFonts w:eastAsia="Calibri"/>
        </w:rPr>
        <w:t>latach</w:t>
      </w:r>
      <w:r>
        <w:rPr>
          <w:rFonts w:eastAsia="Calibri"/>
        </w:rPr>
        <w:t xml:space="preserve"> 2014-20</w:t>
      </w:r>
      <w:r w:rsidR="001F2FC0">
        <w:rPr>
          <w:rFonts w:eastAsia="Calibri"/>
        </w:rPr>
        <w:t>19,</w:t>
      </w:r>
      <w:r>
        <w:rPr>
          <w:rFonts w:eastAsia="Calibri"/>
        </w:rPr>
        <w:t xml:space="preserve"> spodziewane były </w:t>
      </w:r>
      <w:r w:rsidRPr="004E06C6">
        <w:rPr>
          <w:rFonts w:eastAsia="Calibri"/>
          <w:b/>
        </w:rPr>
        <w:t>problemy</w:t>
      </w:r>
      <w:r w:rsidR="00E66B89">
        <w:rPr>
          <w:rFonts w:eastAsia="Calibri"/>
          <w:b/>
        </w:rPr>
        <w:t xml:space="preserve"> w </w:t>
      </w:r>
      <w:r w:rsidRPr="004E06C6">
        <w:rPr>
          <w:rFonts w:eastAsia="Calibri"/>
          <w:b/>
        </w:rPr>
        <w:t>interpretacji niektórych przepisów</w:t>
      </w:r>
      <w:r>
        <w:rPr>
          <w:rFonts w:eastAsia="Calibri"/>
          <w:b/>
        </w:rPr>
        <w:t>.</w:t>
      </w:r>
      <w:r>
        <w:rPr>
          <w:rFonts w:eastAsia="Calibri"/>
        </w:rPr>
        <w:t xml:space="preserve"> IZ odnotowała trudności</w:t>
      </w:r>
      <w:r w:rsidR="001F2FC0">
        <w:rPr>
          <w:rFonts w:eastAsia="Calibri"/>
        </w:rPr>
        <w:t>,</w:t>
      </w:r>
      <w:r w:rsidR="00E66B89">
        <w:rPr>
          <w:rFonts w:eastAsia="Calibri"/>
        </w:rPr>
        <w:t xml:space="preserve"> w </w:t>
      </w:r>
      <w:r w:rsidRPr="004E06C6">
        <w:rPr>
          <w:rFonts w:eastAsia="Calibri"/>
        </w:rPr>
        <w:t>przygotowaniu dokumentacji konkursowej</w:t>
      </w:r>
      <w:r w:rsidR="00E66B89">
        <w:rPr>
          <w:rFonts w:eastAsia="Calibri"/>
        </w:rPr>
        <w:t xml:space="preserve"> i w </w:t>
      </w:r>
      <w:r w:rsidRPr="004E06C6">
        <w:rPr>
          <w:rFonts w:eastAsia="Calibri"/>
        </w:rPr>
        <w:t>identyfikacji projektów wykluczonych ze wsparcia</w:t>
      </w:r>
      <w:r w:rsidR="001F2FC0">
        <w:rPr>
          <w:rFonts w:eastAsia="Calibri"/>
        </w:rPr>
        <w:t>,</w:t>
      </w:r>
      <w:r>
        <w:rPr>
          <w:rFonts w:eastAsia="Calibri"/>
        </w:rPr>
        <w:t xml:space="preserve"> związane</w:t>
      </w:r>
      <w:r w:rsidR="00E66B89">
        <w:rPr>
          <w:rFonts w:eastAsia="Calibri"/>
        </w:rPr>
        <w:t xml:space="preserve"> z </w:t>
      </w:r>
      <w:r>
        <w:rPr>
          <w:rFonts w:eastAsia="Calibri"/>
        </w:rPr>
        <w:t xml:space="preserve">interpretacją </w:t>
      </w:r>
      <w:r w:rsidRPr="004E06C6">
        <w:rPr>
          <w:rFonts w:eastAsia="Calibri"/>
        </w:rPr>
        <w:t>zapisów Rozporządzenia Komisji (UE) NR 651/2014</w:t>
      </w:r>
      <w:r w:rsidR="00E66B89">
        <w:rPr>
          <w:rFonts w:eastAsia="Calibri"/>
        </w:rPr>
        <w:t xml:space="preserve"> z </w:t>
      </w:r>
      <w:r w:rsidRPr="004E06C6">
        <w:rPr>
          <w:rFonts w:eastAsia="Calibri"/>
        </w:rPr>
        <w:t xml:space="preserve">dnia 17 czerwca 2014 r. </w:t>
      </w:r>
      <w:r>
        <w:rPr>
          <w:rFonts w:eastAsia="Calibri"/>
        </w:rPr>
        <w:t xml:space="preserve">dot. </w:t>
      </w:r>
      <w:r w:rsidRPr="004E06C6">
        <w:rPr>
          <w:rFonts w:eastAsia="Calibri"/>
        </w:rPr>
        <w:t>uzna</w:t>
      </w:r>
      <w:r>
        <w:rPr>
          <w:rFonts w:eastAsia="Calibri"/>
        </w:rPr>
        <w:t>wania</w:t>
      </w:r>
      <w:r w:rsidRPr="004E06C6">
        <w:rPr>
          <w:rFonts w:eastAsia="Calibri"/>
        </w:rPr>
        <w:t xml:space="preserve"> niektór</w:t>
      </w:r>
      <w:r>
        <w:rPr>
          <w:rFonts w:eastAsia="Calibri"/>
        </w:rPr>
        <w:t>ych</w:t>
      </w:r>
      <w:r w:rsidRPr="004E06C6">
        <w:rPr>
          <w:rFonts w:eastAsia="Calibri"/>
        </w:rPr>
        <w:t xml:space="preserve"> rodzaj</w:t>
      </w:r>
      <w:r>
        <w:rPr>
          <w:rFonts w:eastAsia="Calibri"/>
        </w:rPr>
        <w:t>ów</w:t>
      </w:r>
      <w:r w:rsidRPr="004E06C6">
        <w:rPr>
          <w:rFonts w:eastAsia="Calibri"/>
        </w:rPr>
        <w:t xml:space="preserve"> pomocy za zgodne</w:t>
      </w:r>
      <w:r w:rsidR="00E66B89">
        <w:rPr>
          <w:rFonts w:eastAsia="Calibri"/>
        </w:rPr>
        <w:t xml:space="preserve"> z </w:t>
      </w:r>
      <w:r w:rsidRPr="004E06C6">
        <w:rPr>
          <w:rFonts w:eastAsia="Calibri"/>
        </w:rPr>
        <w:t>rynkiem wewnętrznym</w:t>
      </w:r>
      <w:r w:rsidR="00E66B89">
        <w:rPr>
          <w:rFonts w:eastAsia="Calibri"/>
        </w:rPr>
        <w:t xml:space="preserve"> w </w:t>
      </w:r>
      <w:r w:rsidRPr="004E06C6">
        <w:rPr>
          <w:rFonts w:eastAsia="Calibri"/>
        </w:rPr>
        <w:t>zastosowaniu art. 107</w:t>
      </w:r>
      <w:r w:rsidR="00E66B89">
        <w:rPr>
          <w:rFonts w:eastAsia="Calibri"/>
        </w:rPr>
        <w:t xml:space="preserve"> i </w:t>
      </w:r>
      <w:r w:rsidRPr="004E06C6">
        <w:rPr>
          <w:rFonts w:eastAsia="Calibri"/>
        </w:rPr>
        <w:t>108</w:t>
      </w:r>
      <w:r>
        <w:rPr>
          <w:rFonts w:eastAsia="Calibri"/>
        </w:rPr>
        <w:t>. Zmiany dokonywane</w:t>
      </w:r>
      <w:r w:rsidR="00E66B89">
        <w:rPr>
          <w:rFonts w:eastAsia="Calibri"/>
        </w:rPr>
        <w:t xml:space="preserve"> w </w:t>
      </w:r>
      <w:r>
        <w:rPr>
          <w:rFonts w:eastAsia="Calibri"/>
        </w:rPr>
        <w:t>wytycznych</w:t>
      </w:r>
      <w:r w:rsidR="00E66B89">
        <w:rPr>
          <w:rFonts w:eastAsia="Calibri"/>
        </w:rPr>
        <w:t xml:space="preserve"> w </w:t>
      </w:r>
      <w:r>
        <w:rPr>
          <w:rFonts w:eastAsia="Calibri"/>
        </w:rPr>
        <w:t>trakcie trwania naborów oraz na etapie podpisywania umów również rodziły problemy</w:t>
      </w:r>
      <w:r w:rsidR="00E66B89">
        <w:rPr>
          <w:rFonts w:eastAsia="Calibri"/>
        </w:rPr>
        <w:t xml:space="preserve"> w </w:t>
      </w:r>
      <w:r>
        <w:rPr>
          <w:rFonts w:eastAsia="Calibri"/>
        </w:rPr>
        <w:t xml:space="preserve">interpretacji sytuacji wnioskodawców, którzy uzyskali pozytywną decyzję na dofinansowanie, jednak nie podpisali jeszcze umowy. </w:t>
      </w:r>
      <w:r w:rsidRPr="0025602D">
        <w:rPr>
          <w:rFonts w:eastAsia="Calibri"/>
        </w:rPr>
        <w:t>Brak odpowiednich interpretacji dokumentów programowych</w:t>
      </w:r>
      <w:r>
        <w:rPr>
          <w:rFonts w:eastAsia="Calibri"/>
        </w:rPr>
        <w:t xml:space="preserve"> spowodował także falę pytań od wnioskodawców</w:t>
      </w:r>
      <w:r>
        <w:rPr>
          <w:rStyle w:val="Odwoanieprzypisudolnego"/>
          <w:rFonts w:eastAsia="Calibri"/>
        </w:rPr>
        <w:footnoteReference w:id="193"/>
      </w:r>
      <w:r>
        <w:rPr>
          <w:rFonts w:eastAsia="Calibri"/>
        </w:rPr>
        <w:t>. Zapewnienie jednoznacznych</w:t>
      </w:r>
      <w:r w:rsidR="00E66B89">
        <w:rPr>
          <w:rFonts w:eastAsia="Calibri"/>
        </w:rPr>
        <w:t xml:space="preserve"> i </w:t>
      </w:r>
      <w:r>
        <w:rPr>
          <w:rFonts w:eastAsia="Calibri"/>
        </w:rPr>
        <w:t>bezstronnych interpretacji wymagało uzyskania opinii MIiR, więc działania IZ mogły koncentrować się głównie na monitowaniu tej kwestii</w:t>
      </w:r>
      <w:r w:rsidR="00E66B89">
        <w:rPr>
          <w:rFonts w:eastAsia="Calibri"/>
        </w:rPr>
        <w:t xml:space="preserve"> w </w:t>
      </w:r>
      <w:r>
        <w:rPr>
          <w:rFonts w:eastAsia="Calibri"/>
        </w:rPr>
        <w:t>Ministerstwie. IZ</w:t>
      </w:r>
      <w:r w:rsidR="00E66B89">
        <w:rPr>
          <w:rFonts w:eastAsia="Calibri"/>
        </w:rPr>
        <w:t xml:space="preserve"> w </w:t>
      </w:r>
      <w:r>
        <w:rPr>
          <w:rFonts w:eastAsia="Calibri"/>
        </w:rPr>
        <w:t>miarę możliwości na bieżąco informowała wnioskodawców</w:t>
      </w:r>
      <w:r w:rsidR="00E66B89">
        <w:rPr>
          <w:rFonts w:eastAsia="Calibri"/>
        </w:rPr>
        <w:t xml:space="preserve"> o </w:t>
      </w:r>
      <w:r>
        <w:rPr>
          <w:rFonts w:eastAsia="Calibri"/>
        </w:rPr>
        <w:t>rozumieniu nowych wytycznych poprzez umieszczanie informacji na stronie internetowej RPO WZ,</w:t>
      </w:r>
      <w:r w:rsidR="00E66B89">
        <w:rPr>
          <w:rFonts w:eastAsia="Calibri"/>
        </w:rPr>
        <w:t xml:space="preserve"> a </w:t>
      </w:r>
      <w:r>
        <w:rPr>
          <w:rFonts w:eastAsia="Calibri"/>
        </w:rPr>
        <w:t xml:space="preserve">także </w:t>
      </w:r>
      <w:r w:rsidR="00BA5090">
        <w:rPr>
          <w:rFonts w:eastAsia="Calibri"/>
        </w:rPr>
        <w:t>poprzez</w:t>
      </w:r>
      <w:r>
        <w:rPr>
          <w:rFonts w:eastAsia="Calibri"/>
        </w:rPr>
        <w:t xml:space="preserve"> konsultacje telefoniczne</w:t>
      </w:r>
      <w:r w:rsidR="00E66B89">
        <w:rPr>
          <w:rFonts w:eastAsia="Calibri"/>
        </w:rPr>
        <w:t xml:space="preserve"> i </w:t>
      </w:r>
      <w:r>
        <w:rPr>
          <w:rFonts w:eastAsia="Calibri"/>
        </w:rPr>
        <w:t>mailowe oraz udzielanie porad</w:t>
      </w:r>
      <w:r w:rsidR="00E66B89">
        <w:rPr>
          <w:rFonts w:eastAsia="Calibri"/>
        </w:rPr>
        <w:t xml:space="preserve"> w </w:t>
      </w:r>
      <w:r>
        <w:rPr>
          <w:rFonts w:eastAsia="Calibri"/>
        </w:rPr>
        <w:t>PIFE.</w:t>
      </w:r>
    </w:p>
    <w:p w14:paraId="1DAD0F17" w14:textId="77777777" w:rsidR="00526AA8" w:rsidRDefault="00526AA8" w:rsidP="00526AA8">
      <w:pPr>
        <w:rPr>
          <w:rFonts w:eastAsia="Calibri"/>
        </w:rPr>
      </w:pPr>
      <w:r>
        <w:rPr>
          <w:rFonts w:eastAsia="Calibri"/>
        </w:rPr>
        <w:t xml:space="preserve">W sprawozdaniach kwartalnych wskazywano również na inne </w:t>
      </w:r>
      <w:r w:rsidRPr="00935FE4">
        <w:rPr>
          <w:rFonts w:eastAsia="Calibri"/>
          <w:b/>
        </w:rPr>
        <w:t>problemy</w:t>
      </w:r>
      <w:r w:rsidR="00E66B89">
        <w:rPr>
          <w:rFonts w:eastAsia="Calibri"/>
          <w:b/>
        </w:rPr>
        <w:t xml:space="preserve"> z </w:t>
      </w:r>
      <w:r w:rsidRPr="00935FE4">
        <w:rPr>
          <w:rFonts w:eastAsia="Calibri"/>
          <w:b/>
        </w:rPr>
        <w:t>naborami</w:t>
      </w:r>
      <w:r>
        <w:rPr>
          <w:rFonts w:eastAsia="Calibri"/>
        </w:rPr>
        <w:t>. Nabór wniosków</w:t>
      </w:r>
      <w:r w:rsidR="00E66B89">
        <w:rPr>
          <w:rFonts w:eastAsia="Calibri"/>
        </w:rPr>
        <w:t xml:space="preserve"> w </w:t>
      </w:r>
      <w:r>
        <w:rPr>
          <w:rFonts w:eastAsia="Calibri"/>
        </w:rPr>
        <w:t>ramach</w:t>
      </w:r>
      <w:r w:rsidRPr="00830BB4">
        <w:rPr>
          <w:rFonts w:eastAsia="Calibri"/>
        </w:rPr>
        <w:t xml:space="preserve"> Działania 7.1</w:t>
      </w:r>
      <w:r w:rsidR="00BA5090">
        <w:rPr>
          <w:rFonts w:eastAsia="Calibri"/>
        </w:rPr>
        <w:t>,</w:t>
      </w:r>
      <w:r>
        <w:rPr>
          <w:rFonts w:eastAsia="Calibri"/>
        </w:rPr>
        <w:t xml:space="preserve"> zarówno</w:t>
      </w:r>
      <w:r w:rsidR="00E66B89">
        <w:rPr>
          <w:rFonts w:eastAsia="Calibri"/>
        </w:rPr>
        <w:t xml:space="preserve"> w </w:t>
      </w:r>
      <w:r>
        <w:rPr>
          <w:rFonts w:eastAsia="Calibri"/>
        </w:rPr>
        <w:t>trybie konkursowym jak</w:t>
      </w:r>
      <w:r w:rsidR="00E66B89">
        <w:rPr>
          <w:rFonts w:eastAsia="Calibri"/>
        </w:rPr>
        <w:t xml:space="preserve"> i </w:t>
      </w:r>
      <w:r>
        <w:rPr>
          <w:rFonts w:eastAsia="Calibri"/>
        </w:rPr>
        <w:t>pozakonkursowym</w:t>
      </w:r>
      <w:r w:rsidR="00BA5090">
        <w:rPr>
          <w:rFonts w:eastAsia="Calibri"/>
        </w:rPr>
        <w:t>,</w:t>
      </w:r>
      <w:r>
        <w:rPr>
          <w:rFonts w:eastAsia="Calibri"/>
        </w:rPr>
        <w:t xml:space="preserve"> nie cieszył się dużym zainteresowaniem wnioskodawców. Od początku ogłoszenia naborów zauważano </w:t>
      </w:r>
      <w:r w:rsidRPr="00935FE4">
        <w:rPr>
          <w:rFonts w:eastAsia="Calibri"/>
          <w:b/>
        </w:rPr>
        <w:t>niechęć wnioskodawców do składania wniosków</w:t>
      </w:r>
      <w:r w:rsidR="00E66B89">
        <w:rPr>
          <w:rFonts w:eastAsia="Calibri"/>
        </w:rPr>
        <w:t xml:space="preserve"> w </w:t>
      </w:r>
      <w:r>
        <w:rPr>
          <w:rFonts w:eastAsia="Calibri"/>
        </w:rPr>
        <w:t xml:space="preserve">ramach tego </w:t>
      </w:r>
      <w:r w:rsidR="00BA5090">
        <w:rPr>
          <w:rFonts w:eastAsia="Calibri"/>
        </w:rPr>
        <w:t>D</w:t>
      </w:r>
      <w:r>
        <w:rPr>
          <w:rFonts w:eastAsia="Calibri"/>
        </w:rPr>
        <w:t>ziałania.</w:t>
      </w:r>
      <w:r w:rsidR="00E66B89">
        <w:rPr>
          <w:rFonts w:eastAsia="Calibri"/>
        </w:rPr>
        <w:t xml:space="preserve"> W </w:t>
      </w:r>
      <w:r>
        <w:rPr>
          <w:rFonts w:eastAsia="Calibri"/>
        </w:rPr>
        <w:t>przypadku naborów pozakonkursowych</w:t>
      </w:r>
      <w:r w:rsidR="00B3085C">
        <w:rPr>
          <w:rFonts w:eastAsia="Calibri"/>
        </w:rPr>
        <w:t>,</w:t>
      </w:r>
      <w:r>
        <w:rPr>
          <w:rFonts w:eastAsia="Calibri"/>
        </w:rPr>
        <w:t xml:space="preserve"> IZ wezwała wnioskodawców, którzy zadeklarowali złożenie projektów do złożenia wniosków</w:t>
      </w:r>
      <w:r w:rsidR="00E66B89">
        <w:rPr>
          <w:rFonts w:eastAsia="Calibri"/>
        </w:rPr>
        <w:t xml:space="preserve"> i </w:t>
      </w:r>
      <w:r>
        <w:rPr>
          <w:rFonts w:eastAsia="Calibri"/>
        </w:rPr>
        <w:t>wydłużyła czas naboru. Natomiast</w:t>
      </w:r>
      <w:r w:rsidR="00E66B89">
        <w:rPr>
          <w:rFonts w:eastAsia="Calibri"/>
        </w:rPr>
        <w:t xml:space="preserve"> w </w:t>
      </w:r>
      <w:r>
        <w:rPr>
          <w:rFonts w:eastAsia="Calibri"/>
        </w:rPr>
        <w:t>trybie konkursowym przewidziano ogłoszenie kolejnych naborów, wydłużeni</w:t>
      </w:r>
      <w:r w:rsidR="00B3085C">
        <w:rPr>
          <w:rFonts w:eastAsia="Calibri"/>
        </w:rPr>
        <w:t>e</w:t>
      </w:r>
      <w:r>
        <w:rPr>
          <w:rFonts w:eastAsia="Calibri"/>
        </w:rPr>
        <w:t xml:space="preserve"> czasu trwania już aktywnych oraz zorganizowanie spotkań dla wnioskodawców </w:t>
      </w:r>
      <w:r w:rsidR="00B3085C">
        <w:rPr>
          <w:rFonts w:eastAsia="Calibri"/>
        </w:rPr>
        <w:t>poświęconych</w:t>
      </w:r>
      <w:r>
        <w:rPr>
          <w:rFonts w:eastAsia="Calibri"/>
        </w:rPr>
        <w:t xml:space="preserve"> omawianiu najczęstszych błędów podczas wnioskowania. </w:t>
      </w:r>
    </w:p>
    <w:p w14:paraId="1328A1C0" w14:textId="77777777" w:rsidR="00526AA8" w:rsidRDefault="00526AA8" w:rsidP="00526AA8">
      <w:pPr>
        <w:rPr>
          <w:rFonts w:eastAsia="Calibri"/>
        </w:rPr>
      </w:pPr>
      <w:r>
        <w:rPr>
          <w:rFonts w:eastAsia="Calibri"/>
        </w:rPr>
        <w:t xml:space="preserve">Wystąpiły też </w:t>
      </w:r>
      <w:r w:rsidRPr="00935FE4">
        <w:rPr>
          <w:rFonts w:eastAsia="Calibri"/>
          <w:b/>
        </w:rPr>
        <w:t>problemy wewnętrzne beneficjentów</w:t>
      </w:r>
      <w:r>
        <w:rPr>
          <w:rFonts w:eastAsia="Calibri"/>
        </w:rPr>
        <w:t>, na które IZ nie miała bezpośredniego wpływu – objawiały się</w:t>
      </w:r>
      <w:r w:rsidR="00B3085C">
        <w:rPr>
          <w:rFonts w:eastAsia="Calibri"/>
        </w:rPr>
        <w:t xml:space="preserve"> one</w:t>
      </w:r>
      <w:r>
        <w:rPr>
          <w:rFonts w:eastAsia="Calibri"/>
        </w:rPr>
        <w:t xml:space="preserve"> głównie wnioskami</w:t>
      </w:r>
      <w:r w:rsidR="00E66B89">
        <w:rPr>
          <w:rFonts w:eastAsia="Calibri"/>
        </w:rPr>
        <w:t xml:space="preserve"> o </w:t>
      </w:r>
      <w:r>
        <w:rPr>
          <w:rFonts w:eastAsia="Calibri"/>
        </w:rPr>
        <w:t>wydłużenie czasu trwania naborów, co było rozpatrywane przez IZ dopiero po uzyskaniu wyjaśnień</w:t>
      </w:r>
      <w:r w:rsidR="00E66B89">
        <w:rPr>
          <w:rFonts w:eastAsia="Calibri"/>
        </w:rPr>
        <w:t xml:space="preserve"> i </w:t>
      </w:r>
      <w:r>
        <w:rPr>
          <w:rFonts w:eastAsia="Calibri"/>
        </w:rPr>
        <w:t>przeanalizowaniu możliwości wydłużenia składania wniosków. Do IZ wpływały również wnioski</w:t>
      </w:r>
      <w:r w:rsidR="00E66B89">
        <w:rPr>
          <w:rFonts w:eastAsia="Calibri"/>
        </w:rPr>
        <w:t xml:space="preserve"> o </w:t>
      </w:r>
      <w:r>
        <w:rPr>
          <w:rFonts w:eastAsia="Calibri"/>
        </w:rPr>
        <w:t>wydłużenie czasu przewidzianego na podpisanie umowy ze względu na przedłużające się pozyskiwanie dokumentów wymaganych do uzyskania dofinansowania EFRR. Wszystkie przypadki były rozpatrywane indywidualnie przez opiekunów projektów</w:t>
      </w:r>
      <w:r w:rsidR="00E66B89">
        <w:rPr>
          <w:rFonts w:eastAsia="Calibri"/>
        </w:rPr>
        <w:t xml:space="preserve"> a </w:t>
      </w:r>
      <w:r>
        <w:rPr>
          <w:rFonts w:eastAsia="Calibri"/>
        </w:rPr>
        <w:t>beneficjenci wzywani do wyjaśnień</w:t>
      </w:r>
      <w:r>
        <w:rPr>
          <w:rStyle w:val="Odwoanieprzypisudolnego"/>
          <w:rFonts w:eastAsia="Calibri"/>
        </w:rPr>
        <w:footnoteReference w:id="194"/>
      </w:r>
      <w:r>
        <w:rPr>
          <w:rFonts w:eastAsia="Calibri"/>
        </w:rPr>
        <w:t>. Problemy wewnętrzne wnioskodawców związane</w:t>
      </w:r>
      <w:r w:rsidR="00E66B89">
        <w:rPr>
          <w:rFonts w:eastAsia="Calibri"/>
        </w:rPr>
        <w:t xml:space="preserve"> z </w:t>
      </w:r>
      <w:r>
        <w:rPr>
          <w:rFonts w:eastAsia="Calibri"/>
        </w:rPr>
        <w:t xml:space="preserve">błędnym zrozumieniem dokumentacji aplikacyjnej pociągały za sobą </w:t>
      </w:r>
      <w:r w:rsidRPr="00E056AF">
        <w:rPr>
          <w:rFonts w:eastAsia="Calibri"/>
        </w:rPr>
        <w:t>liczne niespójności we wnioskach, błędy formalne</w:t>
      </w:r>
      <w:r w:rsidR="00E66B89">
        <w:rPr>
          <w:rFonts w:eastAsia="Calibri"/>
        </w:rPr>
        <w:t xml:space="preserve"> i </w:t>
      </w:r>
      <w:r w:rsidRPr="00E056AF">
        <w:rPr>
          <w:rFonts w:eastAsia="Calibri"/>
        </w:rPr>
        <w:t>merytoryczne</w:t>
      </w:r>
      <w:r>
        <w:rPr>
          <w:rFonts w:eastAsia="Calibri"/>
        </w:rPr>
        <w:t>. IOK zmuszone były wielokrotnie</w:t>
      </w:r>
      <w:r w:rsidRPr="00E056AF">
        <w:rPr>
          <w:rFonts w:eastAsia="Calibri"/>
        </w:rPr>
        <w:t xml:space="preserve"> odsyła</w:t>
      </w:r>
      <w:r>
        <w:rPr>
          <w:rFonts w:eastAsia="Calibri"/>
        </w:rPr>
        <w:t>ć</w:t>
      </w:r>
      <w:r w:rsidRPr="00E056AF">
        <w:rPr>
          <w:rFonts w:eastAsia="Calibri"/>
        </w:rPr>
        <w:t xml:space="preserve"> wniosk</w:t>
      </w:r>
      <w:r>
        <w:rPr>
          <w:rFonts w:eastAsia="Calibri"/>
        </w:rPr>
        <w:t>i</w:t>
      </w:r>
      <w:r w:rsidRPr="00E056AF">
        <w:rPr>
          <w:rFonts w:eastAsia="Calibri"/>
        </w:rPr>
        <w:t xml:space="preserve"> do poprawy</w:t>
      </w:r>
      <w:r>
        <w:rPr>
          <w:rFonts w:eastAsia="Calibri"/>
        </w:rPr>
        <w:t>, co</w:t>
      </w:r>
      <w:r w:rsidRPr="00E056AF">
        <w:rPr>
          <w:rFonts w:eastAsia="Calibri"/>
        </w:rPr>
        <w:t xml:space="preserve"> powod</w:t>
      </w:r>
      <w:r>
        <w:rPr>
          <w:rFonts w:eastAsia="Calibri"/>
        </w:rPr>
        <w:t>owało</w:t>
      </w:r>
      <w:r w:rsidRPr="00E056AF">
        <w:rPr>
          <w:rFonts w:eastAsia="Calibri"/>
        </w:rPr>
        <w:t xml:space="preserve"> </w:t>
      </w:r>
      <w:r w:rsidRPr="00674A9B">
        <w:rPr>
          <w:rFonts w:eastAsia="Calibri"/>
          <w:b/>
        </w:rPr>
        <w:t>skrócenie czasu na ocenę</w:t>
      </w:r>
      <w:r>
        <w:rPr>
          <w:rFonts w:eastAsia="Calibri"/>
        </w:rPr>
        <w:t xml:space="preserve"> całościową wniosków</w:t>
      </w:r>
      <w:r w:rsidR="00E66B89">
        <w:rPr>
          <w:rFonts w:eastAsia="Calibri"/>
        </w:rPr>
        <w:t xml:space="preserve"> i </w:t>
      </w:r>
      <w:r>
        <w:rPr>
          <w:rFonts w:eastAsia="Calibri"/>
        </w:rPr>
        <w:t xml:space="preserve">niejednokrotnie </w:t>
      </w:r>
      <w:r w:rsidRPr="00674A9B">
        <w:rPr>
          <w:rFonts w:eastAsia="Calibri"/>
        </w:rPr>
        <w:t>problem</w:t>
      </w:r>
      <w:r w:rsidR="00E66B89">
        <w:rPr>
          <w:rFonts w:eastAsia="Calibri"/>
        </w:rPr>
        <w:t xml:space="preserve"> z </w:t>
      </w:r>
      <w:r w:rsidRPr="00674A9B">
        <w:rPr>
          <w:rFonts w:eastAsia="Calibri"/>
        </w:rPr>
        <w:t>dotrzymywanie</w:t>
      </w:r>
      <w:r w:rsidR="00B3085C">
        <w:rPr>
          <w:rFonts w:eastAsia="Calibri"/>
        </w:rPr>
        <w:t>m</w:t>
      </w:r>
      <w:r w:rsidRPr="00674A9B">
        <w:rPr>
          <w:rFonts w:eastAsia="Calibri"/>
        </w:rPr>
        <w:t xml:space="preserve"> terminów </w:t>
      </w:r>
      <w:r w:rsidRPr="00674A9B">
        <w:rPr>
          <w:rFonts w:eastAsia="Calibri"/>
        </w:rPr>
        <w:lastRenderedPageBreak/>
        <w:t>oceny</w:t>
      </w:r>
      <w:r>
        <w:rPr>
          <w:rFonts w:eastAsia="Calibri"/>
        </w:rPr>
        <w:t>. Działania</w:t>
      </w:r>
      <w:r w:rsidR="00B3085C">
        <w:rPr>
          <w:rFonts w:eastAsia="Calibri"/>
        </w:rPr>
        <w:t>,</w:t>
      </w:r>
      <w:r>
        <w:rPr>
          <w:rFonts w:eastAsia="Calibri"/>
        </w:rPr>
        <w:t xml:space="preserve"> jakie mogła podjąć IZ</w:t>
      </w:r>
      <w:r w:rsidR="00E66B89">
        <w:rPr>
          <w:rFonts w:eastAsia="Calibri"/>
        </w:rPr>
        <w:t xml:space="preserve"> i </w:t>
      </w:r>
      <w:r>
        <w:rPr>
          <w:rFonts w:eastAsia="Calibri"/>
        </w:rPr>
        <w:t>IP</w:t>
      </w:r>
      <w:r w:rsidR="00B3085C">
        <w:rPr>
          <w:rFonts w:eastAsia="Calibri"/>
        </w:rPr>
        <w:t>,</w:t>
      </w:r>
      <w:r>
        <w:rPr>
          <w:rFonts w:eastAsia="Calibri"/>
        </w:rPr>
        <w:t xml:space="preserve"> polegały na zwiększeniu działań informacyjnych poprzez s</w:t>
      </w:r>
      <w:r w:rsidRPr="0001397A">
        <w:rPr>
          <w:rFonts w:eastAsia="Calibri"/>
        </w:rPr>
        <w:t>potkania</w:t>
      </w:r>
      <w:r w:rsidR="00E66B89">
        <w:rPr>
          <w:rFonts w:eastAsia="Calibri"/>
        </w:rPr>
        <w:t xml:space="preserve"> w </w:t>
      </w:r>
      <w:r w:rsidRPr="0001397A">
        <w:rPr>
          <w:rFonts w:eastAsia="Calibri"/>
        </w:rPr>
        <w:t>Punkcie Informacyjnym</w:t>
      </w:r>
      <w:r w:rsidR="00E66B89">
        <w:rPr>
          <w:rFonts w:eastAsia="Calibri"/>
        </w:rPr>
        <w:t xml:space="preserve"> z </w:t>
      </w:r>
      <w:r w:rsidR="00B3085C">
        <w:rPr>
          <w:rFonts w:eastAsia="Calibri"/>
        </w:rPr>
        <w:t>b</w:t>
      </w:r>
      <w:r w:rsidRPr="0001397A">
        <w:rPr>
          <w:rFonts w:eastAsia="Calibri"/>
        </w:rPr>
        <w:t>eneficjentami, konsultacje</w:t>
      </w:r>
      <w:r>
        <w:rPr>
          <w:rFonts w:eastAsia="Calibri"/>
        </w:rPr>
        <w:t xml:space="preserve"> itp. Obciążenia pracowników odpowiedzialnych za rozliczanie projektów wynikają także</w:t>
      </w:r>
      <w:r w:rsidR="00E66B89">
        <w:rPr>
          <w:rFonts w:eastAsia="Calibri"/>
        </w:rPr>
        <w:t xml:space="preserve"> z </w:t>
      </w:r>
      <w:r>
        <w:rPr>
          <w:rFonts w:eastAsia="Calibri"/>
        </w:rPr>
        <w:t>błędów we wnioskach</w:t>
      </w:r>
      <w:r w:rsidR="00E66B89">
        <w:rPr>
          <w:rFonts w:eastAsia="Calibri"/>
        </w:rPr>
        <w:t xml:space="preserve"> o </w:t>
      </w:r>
      <w:r>
        <w:rPr>
          <w:rFonts w:eastAsia="Calibri"/>
        </w:rPr>
        <w:t>płatność składanych przez beneficjentów. Częstokroć</w:t>
      </w:r>
      <w:r w:rsidR="00B3085C">
        <w:rPr>
          <w:rFonts w:eastAsia="Calibri"/>
        </w:rPr>
        <w:t>,</w:t>
      </w:r>
      <w:r>
        <w:rPr>
          <w:rFonts w:eastAsia="Calibri"/>
        </w:rPr>
        <w:t xml:space="preserve"> poza błędami</w:t>
      </w:r>
      <w:r w:rsidR="00E66B89">
        <w:rPr>
          <w:rFonts w:eastAsia="Calibri"/>
        </w:rPr>
        <w:t xml:space="preserve"> w </w:t>
      </w:r>
      <w:r>
        <w:rPr>
          <w:rFonts w:eastAsia="Calibri"/>
        </w:rPr>
        <w:t>WoP</w:t>
      </w:r>
      <w:r w:rsidR="00B3085C">
        <w:rPr>
          <w:rFonts w:eastAsia="Calibri"/>
        </w:rPr>
        <w:t>,</w:t>
      </w:r>
      <w:r>
        <w:rPr>
          <w:rFonts w:eastAsia="Calibri"/>
        </w:rPr>
        <w:t xml:space="preserve"> beneficjenci nie załączali wymaganych załączników. IZ</w:t>
      </w:r>
      <w:r w:rsidR="00E66B89">
        <w:rPr>
          <w:rFonts w:eastAsia="Calibri"/>
        </w:rPr>
        <w:t xml:space="preserve"> i </w:t>
      </w:r>
      <w:r>
        <w:rPr>
          <w:rFonts w:eastAsia="Calibri"/>
        </w:rPr>
        <w:t>IP prowadzą b</w:t>
      </w:r>
      <w:r w:rsidRPr="00C92C31">
        <w:rPr>
          <w:rFonts w:eastAsia="Calibri"/>
        </w:rPr>
        <w:t>ieżąc</w:t>
      </w:r>
      <w:r>
        <w:rPr>
          <w:rFonts w:eastAsia="Calibri"/>
        </w:rPr>
        <w:t>y</w:t>
      </w:r>
      <w:r w:rsidRPr="00C92C31">
        <w:rPr>
          <w:rFonts w:eastAsia="Calibri"/>
        </w:rPr>
        <w:t xml:space="preserve"> monitor</w:t>
      </w:r>
      <w:r>
        <w:rPr>
          <w:rFonts w:eastAsia="Calibri"/>
        </w:rPr>
        <w:t>ing</w:t>
      </w:r>
      <w:r w:rsidRPr="00C92C31">
        <w:rPr>
          <w:rFonts w:eastAsia="Calibri"/>
        </w:rPr>
        <w:t xml:space="preserve"> realizacji przez beneficjentów obowiązków wynikających</w:t>
      </w:r>
      <w:r w:rsidR="00E66B89">
        <w:rPr>
          <w:rFonts w:eastAsia="Calibri"/>
        </w:rPr>
        <w:t xml:space="preserve"> z </w:t>
      </w:r>
      <w:r w:rsidRPr="00C92C31">
        <w:rPr>
          <w:rFonts w:eastAsia="Calibri"/>
        </w:rPr>
        <w:t>umów</w:t>
      </w:r>
      <w:r w:rsidR="00E66B89">
        <w:rPr>
          <w:rFonts w:eastAsia="Calibri"/>
        </w:rPr>
        <w:t xml:space="preserve"> o </w:t>
      </w:r>
      <w:r w:rsidRPr="00C92C31">
        <w:rPr>
          <w:rFonts w:eastAsia="Calibri"/>
        </w:rPr>
        <w:t>dofinansowanie</w:t>
      </w:r>
      <w:r w:rsidR="00E66B89">
        <w:rPr>
          <w:rFonts w:eastAsia="Calibri"/>
        </w:rPr>
        <w:t xml:space="preserve"> i w </w:t>
      </w:r>
      <w:r>
        <w:rPr>
          <w:rFonts w:eastAsia="Calibri"/>
        </w:rPr>
        <w:t>razie występowania wskazanych sytuacji wzywali beneficjentów do wywiązania się</w:t>
      </w:r>
      <w:r w:rsidR="00E66B89">
        <w:rPr>
          <w:rFonts w:eastAsia="Calibri"/>
        </w:rPr>
        <w:t xml:space="preserve"> z </w:t>
      </w:r>
      <w:r>
        <w:rPr>
          <w:rFonts w:eastAsia="Calibri"/>
        </w:rPr>
        <w:t>obowiązków narzuconych umową</w:t>
      </w:r>
      <w:r w:rsidR="00E66B89">
        <w:rPr>
          <w:rFonts w:eastAsia="Calibri"/>
        </w:rPr>
        <w:t xml:space="preserve"> o </w:t>
      </w:r>
      <w:r>
        <w:rPr>
          <w:rFonts w:eastAsia="Calibri"/>
        </w:rPr>
        <w:t>dofinansowanie</w:t>
      </w:r>
      <w:r>
        <w:rPr>
          <w:rStyle w:val="Odwoanieprzypisudolnego"/>
          <w:rFonts w:eastAsia="Calibri"/>
        </w:rPr>
        <w:footnoteReference w:id="195"/>
      </w:r>
      <w:r w:rsidRPr="00C92C31">
        <w:rPr>
          <w:rFonts w:eastAsia="Calibri"/>
        </w:rPr>
        <w:t>.</w:t>
      </w:r>
      <w:r>
        <w:rPr>
          <w:rFonts w:eastAsia="Calibri"/>
        </w:rPr>
        <w:t xml:space="preserve"> </w:t>
      </w:r>
      <w:r w:rsidR="0041531A">
        <w:rPr>
          <w:rFonts w:eastAsia="Calibri"/>
        </w:rPr>
        <w:t>Problemem beneficjentów będących instytucjami publicznymi, na który zwrócono uwagę podczas panelu ekspertów jest słaba jakość kadr,</w:t>
      </w:r>
      <w:r w:rsidR="00E66B89">
        <w:rPr>
          <w:rFonts w:eastAsia="Calibri"/>
        </w:rPr>
        <w:t xml:space="preserve"> w </w:t>
      </w:r>
      <w:r w:rsidR="0041531A">
        <w:rPr>
          <w:rFonts w:eastAsia="Calibri"/>
        </w:rPr>
        <w:t xml:space="preserve">wyniku czego instytucje często zlecają przygotowywanie projektów firmom zewnętrznym/ consultingowym. </w:t>
      </w:r>
      <w:r w:rsidR="00A75E5C">
        <w:rPr>
          <w:rFonts w:eastAsia="Calibri"/>
        </w:rPr>
        <w:t>F</w:t>
      </w:r>
      <w:r w:rsidR="00373BAB">
        <w:rPr>
          <w:rFonts w:eastAsia="Calibri"/>
        </w:rPr>
        <w:t xml:space="preserve">irmy consultingowe </w:t>
      </w:r>
      <w:r w:rsidR="00A75E5C">
        <w:rPr>
          <w:rFonts w:eastAsia="Calibri"/>
        </w:rPr>
        <w:t>wyspecjalizowały się</w:t>
      </w:r>
      <w:r w:rsidR="00E66B89">
        <w:rPr>
          <w:rFonts w:eastAsia="Calibri"/>
        </w:rPr>
        <w:t xml:space="preserve"> w </w:t>
      </w:r>
      <w:r w:rsidR="00373BAB">
        <w:rPr>
          <w:rFonts w:eastAsia="Calibri"/>
        </w:rPr>
        <w:t>pisaniu projektów pod kryteria konkursów, co gwarantuje przyznaniem dofinansowania</w:t>
      </w:r>
      <w:r w:rsidR="00A75E5C">
        <w:rPr>
          <w:rFonts w:eastAsia="Calibri"/>
        </w:rPr>
        <w:t xml:space="preserve"> lecz nie zawsze </w:t>
      </w:r>
      <w:r w:rsidR="00DC0BB6">
        <w:rPr>
          <w:rFonts w:eastAsia="Calibri"/>
        </w:rPr>
        <w:t>realizuje</w:t>
      </w:r>
      <w:r w:rsidR="00E66B89">
        <w:rPr>
          <w:rFonts w:eastAsia="Calibri"/>
        </w:rPr>
        <w:t xml:space="preserve"> w </w:t>
      </w:r>
      <w:r w:rsidR="00DC0BB6">
        <w:rPr>
          <w:rFonts w:eastAsia="Calibri"/>
        </w:rPr>
        <w:t>pełni</w:t>
      </w:r>
      <w:r w:rsidR="00A75E5C">
        <w:rPr>
          <w:rFonts w:eastAsia="Calibri"/>
        </w:rPr>
        <w:t xml:space="preserve"> potrzeby danego beneficjenta</w:t>
      </w:r>
      <w:r w:rsidR="00373BAB">
        <w:rPr>
          <w:rFonts w:eastAsia="Calibri"/>
        </w:rPr>
        <w:t xml:space="preserve">. </w:t>
      </w:r>
      <w:r w:rsidR="00DC0BB6">
        <w:rPr>
          <w:rFonts w:eastAsia="Calibri"/>
        </w:rPr>
        <w:t>Z</w:t>
      </w:r>
      <w:r w:rsidR="00373BAB">
        <w:rPr>
          <w:rFonts w:eastAsia="Calibri"/>
        </w:rPr>
        <w:t>darzają się przypadki, że gdy przychodzi do realizacji projektów beneficjenci zderzają się</w:t>
      </w:r>
      <w:r w:rsidR="00E66B89">
        <w:rPr>
          <w:rFonts w:eastAsia="Calibri"/>
        </w:rPr>
        <w:t xml:space="preserve"> z </w:t>
      </w:r>
      <w:r w:rsidR="00373BAB">
        <w:rPr>
          <w:rFonts w:eastAsia="Calibri"/>
        </w:rPr>
        <w:t xml:space="preserve">problemami </w:t>
      </w:r>
      <w:r w:rsidR="00DC0BB6">
        <w:rPr>
          <w:rFonts w:eastAsia="Calibri"/>
        </w:rPr>
        <w:t xml:space="preserve">realizacyjnymi spowodowanymi przez </w:t>
      </w:r>
      <w:r w:rsidR="00373BAB">
        <w:rPr>
          <w:rFonts w:eastAsia="Calibri"/>
        </w:rPr>
        <w:t>wyśrubowan</w:t>
      </w:r>
      <w:r w:rsidR="00DC0BB6">
        <w:rPr>
          <w:rFonts w:eastAsia="Calibri"/>
        </w:rPr>
        <w:t>e</w:t>
      </w:r>
      <w:r w:rsidR="00373BAB">
        <w:rPr>
          <w:rFonts w:eastAsia="Calibri"/>
        </w:rPr>
        <w:t xml:space="preserve"> zapis</w:t>
      </w:r>
      <w:r w:rsidR="00DC0BB6">
        <w:rPr>
          <w:rFonts w:eastAsia="Calibri"/>
        </w:rPr>
        <w:t>y</w:t>
      </w:r>
      <w:r w:rsidR="00373BAB">
        <w:rPr>
          <w:rFonts w:eastAsia="Calibri"/>
        </w:rPr>
        <w:t xml:space="preserve"> </w:t>
      </w:r>
      <w:r w:rsidR="00DC0BB6">
        <w:rPr>
          <w:rFonts w:eastAsia="Calibri"/>
        </w:rPr>
        <w:t>własnych projektów.</w:t>
      </w:r>
    </w:p>
    <w:p w14:paraId="18D205AA" w14:textId="77777777" w:rsidR="00786A72" w:rsidRDefault="00C0068E" w:rsidP="00526AA8">
      <w:pPr>
        <w:rPr>
          <w:rFonts w:eastAsia="Calibri"/>
        </w:rPr>
      </w:pPr>
      <w:r>
        <w:rPr>
          <w:rFonts w:eastAsia="Calibri"/>
        </w:rPr>
        <w:t>P</w:t>
      </w:r>
      <w:r w:rsidR="00B814E9">
        <w:rPr>
          <w:rFonts w:eastAsia="Calibri"/>
        </w:rPr>
        <w:t xml:space="preserve">rzykładem międzynarodowych </w:t>
      </w:r>
      <w:r>
        <w:rPr>
          <w:rFonts w:eastAsia="Calibri"/>
        </w:rPr>
        <w:t>rozwiązań</w:t>
      </w:r>
      <w:r w:rsidR="00B814E9">
        <w:rPr>
          <w:rFonts w:eastAsia="Calibri"/>
        </w:rPr>
        <w:t xml:space="preserve"> </w:t>
      </w:r>
      <w:r>
        <w:rPr>
          <w:rFonts w:eastAsia="Calibri"/>
        </w:rPr>
        <w:t>przyjętych</w:t>
      </w:r>
      <w:r w:rsidR="00E66B89">
        <w:rPr>
          <w:rFonts w:eastAsia="Calibri"/>
        </w:rPr>
        <w:t xml:space="preserve"> w </w:t>
      </w:r>
      <w:r w:rsidR="00B814E9">
        <w:rPr>
          <w:rFonts w:eastAsia="Calibri"/>
        </w:rPr>
        <w:t xml:space="preserve">systemie realizacji </w:t>
      </w:r>
      <w:r w:rsidR="006C3690">
        <w:rPr>
          <w:rFonts w:eastAsia="Calibri"/>
        </w:rPr>
        <w:t>PO</w:t>
      </w:r>
      <w:r w:rsidR="00B814E9">
        <w:rPr>
          <w:rFonts w:eastAsia="Calibri"/>
        </w:rPr>
        <w:t>, który byłby porównywalny</w:t>
      </w:r>
      <w:r w:rsidR="00E66B89">
        <w:rPr>
          <w:rFonts w:eastAsia="Calibri"/>
        </w:rPr>
        <w:t xml:space="preserve"> z </w:t>
      </w:r>
      <w:r w:rsidR="00B814E9">
        <w:rPr>
          <w:rFonts w:eastAsia="Calibri"/>
        </w:rPr>
        <w:t>RPO WZ</w:t>
      </w:r>
      <w:r>
        <w:rPr>
          <w:rFonts w:eastAsia="Calibri"/>
        </w:rPr>
        <w:t>,</w:t>
      </w:r>
      <w:r w:rsidR="00B814E9">
        <w:rPr>
          <w:rFonts w:eastAsia="Calibri"/>
        </w:rPr>
        <w:t xml:space="preserve"> są rozwiązania przyjęte</w:t>
      </w:r>
      <w:r w:rsidR="00E66B89">
        <w:rPr>
          <w:rFonts w:eastAsia="Calibri"/>
        </w:rPr>
        <w:t xml:space="preserve"> w </w:t>
      </w:r>
      <w:r w:rsidR="00B814E9" w:rsidRPr="00B814E9">
        <w:rPr>
          <w:rFonts w:eastAsia="Calibri"/>
        </w:rPr>
        <w:t>Regionalny</w:t>
      </w:r>
      <w:r w:rsidR="00B814E9">
        <w:rPr>
          <w:rFonts w:eastAsia="Calibri"/>
        </w:rPr>
        <w:t>m</w:t>
      </w:r>
      <w:r w:rsidR="00B814E9" w:rsidRPr="00B814E9">
        <w:rPr>
          <w:rFonts w:eastAsia="Calibri"/>
        </w:rPr>
        <w:t xml:space="preserve"> program</w:t>
      </w:r>
      <w:r w:rsidR="00B814E9">
        <w:rPr>
          <w:rFonts w:eastAsia="Calibri"/>
        </w:rPr>
        <w:t>ie</w:t>
      </w:r>
      <w:r w:rsidR="00B814E9" w:rsidRPr="00B814E9">
        <w:rPr>
          <w:rFonts w:eastAsia="Calibri"/>
        </w:rPr>
        <w:t xml:space="preserve"> operacyjny</w:t>
      </w:r>
      <w:r w:rsidR="00B814E9">
        <w:rPr>
          <w:rFonts w:eastAsia="Calibri"/>
        </w:rPr>
        <w:t>m</w:t>
      </w:r>
      <w:r w:rsidR="00B814E9" w:rsidRPr="00B814E9">
        <w:rPr>
          <w:rFonts w:eastAsia="Calibri"/>
        </w:rPr>
        <w:t xml:space="preserve"> EFRR dla regionu Zachodnia Walia</w:t>
      </w:r>
      <w:r w:rsidR="00E66B89">
        <w:rPr>
          <w:rFonts w:eastAsia="Calibri"/>
        </w:rPr>
        <w:t xml:space="preserve"> i </w:t>
      </w:r>
      <w:r w:rsidR="00B814E9" w:rsidRPr="00B814E9">
        <w:rPr>
          <w:rFonts w:eastAsia="Calibri"/>
        </w:rPr>
        <w:t>Doliny (West Wales and the Valleys ERDF)</w:t>
      </w:r>
      <w:r w:rsidR="00E66B89">
        <w:rPr>
          <w:rFonts w:eastAsia="Calibri"/>
        </w:rPr>
        <w:t xml:space="preserve"> i </w:t>
      </w:r>
      <w:r w:rsidR="00B814E9" w:rsidRPr="00B814E9">
        <w:rPr>
          <w:rFonts w:eastAsia="Calibri"/>
        </w:rPr>
        <w:t>regionalny</w:t>
      </w:r>
      <w:r w:rsidR="00B814E9">
        <w:rPr>
          <w:rFonts w:eastAsia="Calibri"/>
        </w:rPr>
        <w:t>m</w:t>
      </w:r>
      <w:r w:rsidR="00B814E9" w:rsidRPr="00B814E9">
        <w:rPr>
          <w:rFonts w:eastAsia="Calibri"/>
        </w:rPr>
        <w:t xml:space="preserve"> program</w:t>
      </w:r>
      <w:r w:rsidR="00B814E9">
        <w:rPr>
          <w:rFonts w:eastAsia="Calibri"/>
        </w:rPr>
        <w:t>ie</w:t>
      </w:r>
      <w:r w:rsidR="00B814E9" w:rsidRPr="00B814E9">
        <w:rPr>
          <w:rFonts w:eastAsia="Calibri"/>
        </w:rPr>
        <w:t xml:space="preserve"> operacyjny</w:t>
      </w:r>
      <w:r w:rsidR="00B814E9">
        <w:rPr>
          <w:rFonts w:eastAsia="Calibri"/>
        </w:rPr>
        <w:t>m</w:t>
      </w:r>
      <w:r w:rsidR="00B814E9" w:rsidRPr="00B814E9">
        <w:rPr>
          <w:rFonts w:eastAsia="Calibri"/>
        </w:rPr>
        <w:t xml:space="preserve"> EF</w:t>
      </w:r>
      <w:r w:rsidR="00B814E9">
        <w:rPr>
          <w:rFonts w:eastAsia="Calibri"/>
        </w:rPr>
        <w:t>S</w:t>
      </w:r>
      <w:r w:rsidR="00B814E9" w:rsidRPr="00B814E9">
        <w:rPr>
          <w:rFonts w:eastAsia="Calibri"/>
        </w:rPr>
        <w:t xml:space="preserve"> dla regionu Zachodnia Walia</w:t>
      </w:r>
      <w:r w:rsidR="00E66B89">
        <w:rPr>
          <w:rFonts w:eastAsia="Calibri"/>
        </w:rPr>
        <w:t xml:space="preserve"> i </w:t>
      </w:r>
      <w:r w:rsidR="00B814E9" w:rsidRPr="00B814E9">
        <w:rPr>
          <w:rFonts w:eastAsia="Calibri"/>
        </w:rPr>
        <w:t>Doliny (West Wales and the Valleys ESF).</w:t>
      </w:r>
      <w:r w:rsidR="008B7FC0">
        <w:rPr>
          <w:rFonts w:eastAsia="Calibri"/>
        </w:rPr>
        <w:t xml:space="preserve"> Jak wspomniano</w:t>
      </w:r>
      <w:r w:rsidR="00E66B89">
        <w:rPr>
          <w:rFonts w:eastAsia="Calibri"/>
        </w:rPr>
        <w:t xml:space="preserve"> w </w:t>
      </w:r>
      <w:r w:rsidR="008B7FC0">
        <w:rPr>
          <w:rFonts w:eastAsia="Calibri"/>
        </w:rPr>
        <w:t>rozdziale dot. OP VII, jednym</w:t>
      </w:r>
      <w:r w:rsidR="00E66B89">
        <w:rPr>
          <w:rFonts w:eastAsia="Calibri"/>
        </w:rPr>
        <w:t xml:space="preserve"> z </w:t>
      </w:r>
      <w:r w:rsidR="008B7FC0">
        <w:rPr>
          <w:rFonts w:eastAsia="Calibri"/>
        </w:rPr>
        <w:t xml:space="preserve">czynników sukcesu </w:t>
      </w:r>
      <w:r w:rsidR="00796F61">
        <w:rPr>
          <w:rFonts w:eastAsia="Calibri"/>
        </w:rPr>
        <w:t xml:space="preserve">programu </w:t>
      </w:r>
      <w:r w:rsidR="006C3690">
        <w:rPr>
          <w:rFonts w:eastAsia="Calibri"/>
        </w:rPr>
        <w:t>poddanego analizie</w:t>
      </w:r>
      <w:r w:rsidR="00796F61">
        <w:rPr>
          <w:rFonts w:eastAsia="Calibri"/>
        </w:rPr>
        <w:t xml:space="preserve"> benchmarking</w:t>
      </w:r>
      <w:r w:rsidR="006C3690">
        <w:rPr>
          <w:rFonts w:eastAsia="Calibri"/>
        </w:rPr>
        <w:t>owej</w:t>
      </w:r>
      <w:r w:rsidR="00796F61">
        <w:rPr>
          <w:rFonts w:eastAsia="Calibri"/>
        </w:rPr>
        <w:t xml:space="preserve"> </w:t>
      </w:r>
      <w:r w:rsidR="008B7FC0">
        <w:rPr>
          <w:rFonts w:eastAsia="Calibri"/>
        </w:rPr>
        <w:t>była realizacja projektów długoletnich,</w:t>
      </w:r>
      <w:r w:rsidR="00E66B89">
        <w:rPr>
          <w:rFonts w:eastAsia="Calibri"/>
        </w:rPr>
        <w:t xml:space="preserve"> w </w:t>
      </w:r>
      <w:r w:rsidR="008B7FC0">
        <w:rPr>
          <w:rFonts w:eastAsia="Calibri"/>
        </w:rPr>
        <w:t>których beneficjenci mieli możliwość dostosowywania działań do zmieniającego się otoczenia prawno-gospodarczego.</w:t>
      </w:r>
      <w:r w:rsidR="00796F61">
        <w:rPr>
          <w:rFonts w:eastAsia="Calibri"/>
        </w:rPr>
        <w:t xml:space="preserve"> Metody</w:t>
      </w:r>
      <w:r w:rsidR="00E66B89">
        <w:rPr>
          <w:rFonts w:eastAsia="Calibri"/>
        </w:rPr>
        <w:t xml:space="preserve"> i </w:t>
      </w:r>
      <w:r w:rsidR="00796F61">
        <w:rPr>
          <w:rFonts w:eastAsia="Calibri"/>
        </w:rPr>
        <w:t>narzędzia mogły być poddawane zmianom, aby jak najlepiej wykorzystać przyznane środki biorąc pod uwagę czynniki zewnętrzne, które nie zostały przewidziane lub nie mogły być przewidziane na etapie planowania.</w:t>
      </w:r>
      <w:r w:rsidR="006C522F">
        <w:rPr>
          <w:rFonts w:eastAsia="Calibri"/>
        </w:rPr>
        <w:t xml:space="preserve"> Realizacja projektów długoletnich przyczyniła się także do trwałości interwencji – zachowana została ciągłość wsparcia zidentyfikowan</w:t>
      </w:r>
      <w:r w:rsidR="006C3690">
        <w:rPr>
          <w:rFonts w:eastAsia="Calibri"/>
        </w:rPr>
        <w:t>ych</w:t>
      </w:r>
      <w:r w:rsidR="006C522F">
        <w:rPr>
          <w:rFonts w:eastAsia="Calibri"/>
        </w:rPr>
        <w:t xml:space="preserve"> </w:t>
      </w:r>
      <w:r w:rsidR="00967F16">
        <w:rPr>
          <w:rFonts w:eastAsia="Calibri"/>
        </w:rPr>
        <w:t xml:space="preserve">wcześniej </w:t>
      </w:r>
      <w:r w:rsidR="006C522F">
        <w:rPr>
          <w:rFonts w:eastAsia="Calibri"/>
        </w:rPr>
        <w:t>potrzeb.</w:t>
      </w:r>
      <w:r w:rsidR="00E23AAE">
        <w:rPr>
          <w:rFonts w:eastAsia="Calibri"/>
        </w:rPr>
        <w:t xml:space="preserve"> </w:t>
      </w:r>
      <w:r w:rsidR="0059131E">
        <w:rPr>
          <w:rFonts w:eastAsia="Calibri"/>
        </w:rPr>
        <w:t>Przyjęte k</w:t>
      </w:r>
      <w:r w:rsidR="00E23AAE">
        <w:rPr>
          <w:rFonts w:eastAsia="Calibri"/>
        </w:rPr>
        <w:t>ryteria wyboru projektów badają komplementarność projektów</w:t>
      </w:r>
      <w:r w:rsidR="00E66B89">
        <w:rPr>
          <w:rFonts w:eastAsia="Calibri"/>
        </w:rPr>
        <w:t xml:space="preserve"> z </w:t>
      </w:r>
      <w:r w:rsidR="00E23AAE">
        <w:rPr>
          <w:rFonts w:eastAsia="Calibri"/>
        </w:rPr>
        <w:t>innymi źródłami finansowania</w:t>
      </w:r>
      <w:r w:rsidR="00E66B89">
        <w:rPr>
          <w:rFonts w:eastAsia="Calibri"/>
        </w:rPr>
        <w:t xml:space="preserve"> i </w:t>
      </w:r>
      <w:r w:rsidR="00E23AAE">
        <w:rPr>
          <w:rFonts w:eastAsia="Calibri"/>
        </w:rPr>
        <w:t>to właśnie projekty realizujące najwięcej celów</w:t>
      </w:r>
      <w:r w:rsidR="00E66B89">
        <w:rPr>
          <w:rFonts w:eastAsia="Calibri"/>
        </w:rPr>
        <w:t xml:space="preserve"> i </w:t>
      </w:r>
      <w:r w:rsidR="00E23AAE">
        <w:rPr>
          <w:rFonts w:eastAsia="Calibri"/>
        </w:rPr>
        <w:t>priorytetów</w:t>
      </w:r>
      <w:r w:rsidR="00E66B89">
        <w:rPr>
          <w:rFonts w:eastAsia="Calibri"/>
        </w:rPr>
        <w:t xml:space="preserve"> z </w:t>
      </w:r>
      <w:r w:rsidR="00E23AAE">
        <w:rPr>
          <w:rFonts w:eastAsia="Calibri"/>
        </w:rPr>
        <w:t>różnych źródeł finansowania są najbardziej wspierane.</w:t>
      </w:r>
    </w:p>
    <w:p w14:paraId="4C30061A" w14:textId="77777777" w:rsidR="00317456" w:rsidRDefault="00C0068E" w:rsidP="00526AA8">
      <w:pPr>
        <w:rPr>
          <w:rFonts w:eastAsia="Calibri"/>
        </w:rPr>
      </w:pPr>
      <w:r>
        <w:rPr>
          <w:rFonts w:eastAsia="Calibri"/>
        </w:rPr>
        <w:t>W porównywanym programie w</w:t>
      </w:r>
      <w:r w:rsidR="00F07A9D">
        <w:rPr>
          <w:rFonts w:eastAsia="Calibri"/>
        </w:rPr>
        <w:t>prowadzono także usprawnienia mające na celu zmniejszenie obciążeń administracyjnych dla beneficjentów</w:t>
      </w:r>
      <w:r w:rsidR="00436246">
        <w:rPr>
          <w:rFonts w:eastAsia="Calibri"/>
        </w:rPr>
        <w:t>.</w:t>
      </w:r>
      <w:r w:rsidR="00F07A9D">
        <w:rPr>
          <w:rFonts w:eastAsia="Calibri"/>
        </w:rPr>
        <w:t xml:space="preserve"> </w:t>
      </w:r>
      <w:r w:rsidR="00436246">
        <w:rPr>
          <w:rFonts w:eastAsia="Calibri"/>
        </w:rPr>
        <w:t>P</w:t>
      </w:r>
      <w:r w:rsidR="00F07A9D">
        <w:rPr>
          <w:rFonts w:eastAsia="Calibri"/>
        </w:rPr>
        <w:t>odobnie jak</w:t>
      </w:r>
      <w:r w:rsidR="00E66B89">
        <w:rPr>
          <w:rFonts w:eastAsia="Calibri"/>
        </w:rPr>
        <w:t xml:space="preserve"> w </w:t>
      </w:r>
      <w:r w:rsidR="00F07A9D">
        <w:rPr>
          <w:rFonts w:eastAsia="Calibri"/>
        </w:rPr>
        <w:t>RPO WZ zastosowano system informatyczny, który ma na celu harmonizację procesów</w:t>
      </w:r>
      <w:r w:rsidR="00E66B89">
        <w:rPr>
          <w:rFonts w:eastAsia="Calibri"/>
        </w:rPr>
        <w:t xml:space="preserve"> w </w:t>
      </w:r>
      <w:r w:rsidR="00F07A9D">
        <w:rPr>
          <w:rFonts w:eastAsia="Calibri"/>
        </w:rPr>
        <w:t>ramach funduszy strukturalnych</w:t>
      </w:r>
      <w:r w:rsidR="00E66B89">
        <w:rPr>
          <w:rFonts w:eastAsia="Calibri"/>
        </w:rPr>
        <w:t xml:space="preserve"> i </w:t>
      </w:r>
      <w:r w:rsidR="00F07A9D">
        <w:rPr>
          <w:rFonts w:eastAsia="Calibri"/>
        </w:rPr>
        <w:t>umożliwia beneficjentom przekazywanie danych sprawozdawczych</w:t>
      </w:r>
      <w:r w:rsidR="00E66B89">
        <w:rPr>
          <w:rFonts w:eastAsia="Calibri"/>
        </w:rPr>
        <w:t xml:space="preserve"> i </w:t>
      </w:r>
      <w:r w:rsidR="00F07A9D">
        <w:rPr>
          <w:rFonts w:eastAsia="Calibri"/>
        </w:rPr>
        <w:t>monitoringowych bezpośrednio przez portal internetowy. Usprawniło to wymianę dokumentacji, przyspieszyło procesy związane</w:t>
      </w:r>
      <w:r w:rsidR="00E66B89">
        <w:rPr>
          <w:rFonts w:eastAsia="Calibri"/>
        </w:rPr>
        <w:t xml:space="preserve"> z </w:t>
      </w:r>
      <w:r w:rsidR="00F07A9D">
        <w:rPr>
          <w:rFonts w:eastAsia="Calibri"/>
        </w:rPr>
        <w:t>wdrażaniem programu</w:t>
      </w:r>
      <w:r w:rsidR="00E66B89">
        <w:rPr>
          <w:rFonts w:eastAsia="Calibri"/>
        </w:rPr>
        <w:t xml:space="preserve"> i </w:t>
      </w:r>
      <w:r w:rsidR="00F07A9D">
        <w:rPr>
          <w:rFonts w:eastAsia="Calibri"/>
        </w:rPr>
        <w:t>realizację płatności na rzecz beneficjentów.</w:t>
      </w:r>
      <w:r w:rsidR="00975948">
        <w:rPr>
          <w:rFonts w:eastAsia="Calibri"/>
        </w:rPr>
        <w:t xml:space="preserve"> </w:t>
      </w:r>
      <w:r w:rsidR="005E255B">
        <w:rPr>
          <w:rFonts w:eastAsia="Calibri"/>
        </w:rPr>
        <w:t>Beneficjentom przypisano także tego samego opiekuna projektu</w:t>
      </w:r>
      <w:r w:rsidR="003E2D60">
        <w:rPr>
          <w:rFonts w:eastAsia="Calibri"/>
        </w:rPr>
        <w:t xml:space="preserve"> (</w:t>
      </w:r>
      <w:r w:rsidR="003E2D60" w:rsidRPr="003E2D60">
        <w:rPr>
          <w:rFonts w:eastAsia="Calibri"/>
        </w:rPr>
        <w:t>Project Development Officer</w:t>
      </w:r>
      <w:r w:rsidR="003E2D60">
        <w:rPr>
          <w:rFonts w:eastAsia="Calibri"/>
        </w:rPr>
        <w:t>)</w:t>
      </w:r>
      <w:r w:rsidR="005E255B">
        <w:rPr>
          <w:rFonts w:eastAsia="Calibri"/>
        </w:rPr>
        <w:t>, który towarzyszy im przez cały cykl życia projektu: od momentu aplikowania</w:t>
      </w:r>
      <w:r w:rsidR="00E66B89">
        <w:rPr>
          <w:rFonts w:eastAsia="Calibri"/>
        </w:rPr>
        <w:t xml:space="preserve"> o </w:t>
      </w:r>
      <w:r w:rsidR="005E255B">
        <w:rPr>
          <w:rFonts w:eastAsia="Calibri"/>
        </w:rPr>
        <w:t>środki, przez realizację projektu, aż po jego rozliczenie</w:t>
      </w:r>
      <w:r w:rsidR="00E66B89">
        <w:rPr>
          <w:rFonts w:eastAsia="Calibri"/>
        </w:rPr>
        <w:t xml:space="preserve"> i </w:t>
      </w:r>
      <w:r w:rsidR="005E255B">
        <w:rPr>
          <w:rFonts w:eastAsia="Calibri"/>
        </w:rPr>
        <w:t>zatwierdzenie.</w:t>
      </w:r>
      <w:r w:rsidR="00E66B89">
        <w:rPr>
          <w:rFonts w:eastAsia="Calibri"/>
        </w:rPr>
        <w:t xml:space="preserve"> W </w:t>
      </w:r>
      <w:r w:rsidR="009E5A3C">
        <w:rPr>
          <w:rFonts w:eastAsia="Calibri"/>
        </w:rPr>
        <w:t xml:space="preserve">zakresie działań informacyjno-promocyjnych </w:t>
      </w:r>
      <w:r w:rsidR="001E39EE">
        <w:rPr>
          <w:rFonts w:eastAsia="Calibri"/>
        </w:rPr>
        <w:t>na stronach internetowych poświęconych PO publikowane są</w:t>
      </w:r>
      <w:r w:rsidR="00BE5721">
        <w:rPr>
          <w:rFonts w:eastAsia="Calibri"/>
        </w:rPr>
        <w:t xml:space="preserve"> m.in.</w:t>
      </w:r>
      <w:r w:rsidR="001E39EE">
        <w:rPr>
          <w:rFonts w:eastAsia="Calibri"/>
        </w:rPr>
        <w:t xml:space="preserve"> informacje</w:t>
      </w:r>
      <w:r w:rsidR="00E66B89">
        <w:rPr>
          <w:rFonts w:eastAsia="Calibri"/>
        </w:rPr>
        <w:t xml:space="preserve"> o </w:t>
      </w:r>
      <w:r w:rsidR="00B91F55">
        <w:rPr>
          <w:rFonts w:eastAsia="Calibri"/>
        </w:rPr>
        <w:t>zasadach kwalifikowalności środków</w:t>
      </w:r>
      <w:r w:rsidR="00E66B89">
        <w:rPr>
          <w:rFonts w:eastAsia="Calibri"/>
        </w:rPr>
        <w:t xml:space="preserve"> i </w:t>
      </w:r>
      <w:r w:rsidR="00B91F55">
        <w:rPr>
          <w:rFonts w:eastAsia="Calibri"/>
        </w:rPr>
        <w:t>ich harmonizacji.</w:t>
      </w:r>
      <w:r w:rsidR="00C86D37">
        <w:rPr>
          <w:rFonts w:eastAsia="Calibri"/>
        </w:rPr>
        <w:t xml:space="preserve"> </w:t>
      </w:r>
      <w:r w:rsidR="001A3707">
        <w:rPr>
          <w:rFonts w:eastAsia="Calibri"/>
        </w:rPr>
        <w:t xml:space="preserve">Nacisk kładziony </w:t>
      </w:r>
      <w:r>
        <w:rPr>
          <w:rFonts w:eastAsia="Calibri"/>
        </w:rPr>
        <w:t>jest</w:t>
      </w:r>
      <w:r w:rsidR="001A3707">
        <w:rPr>
          <w:rFonts w:eastAsia="Calibri"/>
        </w:rPr>
        <w:t xml:space="preserve"> na zachęcanie beneficjentów do korzystania</w:t>
      </w:r>
      <w:r w:rsidR="00E66B89">
        <w:rPr>
          <w:rFonts w:eastAsia="Calibri"/>
        </w:rPr>
        <w:t xml:space="preserve"> z </w:t>
      </w:r>
      <w:r w:rsidR="001A3707">
        <w:rPr>
          <w:rFonts w:eastAsia="Calibri"/>
        </w:rPr>
        <w:t xml:space="preserve">uproszczonego zwrotu kosztów (ryczałt, koszty jednostkowe) – aby przybliżyć tę kwestię beneficjentom na stronach internetowych udostępniono szczegółowe wytyczne. </w:t>
      </w:r>
      <w:r w:rsidR="00C86D37">
        <w:rPr>
          <w:rFonts w:eastAsia="Calibri"/>
        </w:rPr>
        <w:t xml:space="preserve">Dla wnioskodawców prowadzone </w:t>
      </w:r>
      <w:r w:rsidR="00291FF7">
        <w:rPr>
          <w:rFonts w:eastAsia="Calibri"/>
        </w:rPr>
        <w:t>były</w:t>
      </w:r>
      <w:r w:rsidR="00C86D37">
        <w:rPr>
          <w:rFonts w:eastAsia="Calibri"/>
        </w:rPr>
        <w:t xml:space="preserve"> także warsztaty</w:t>
      </w:r>
      <w:r w:rsidR="00E66B89">
        <w:rPr>
          <w:rFonts w:eastAsia="Calibri"/>
        </w:rPr>
        <w:t xml:space="preserve"> i </w:t>
      </w:r>
      <w:r w:rsidR="00C86D37">
        <w:rPr>
          <w:rFonts w:eastAsia="Calibri"/>
        </w:rPr>
        <w:t>szkolenia</w:t>
      </w:r>
      <w:r w:rsidR="00E66B89">
        <w:rPr>
          <w:rFonts w:eastAsia="Calibri"/>
        </w:rPr>
        <w:t xml:space="preserve"> z </w:t>
      </w:r>
      <w:r w:rsidR="00A34CD0">
        <w:rPr>
          <w:rFonts w:eastAsia="Calibri"/>
        </w:rPr>
        <w:t>przedstawicielami kluczowych sektorów mające na celu wyjaśnienie</w:t>
      </w:r>
      <w:r w:rsidR="00E66B89">
        <w:rPr>
          <w:rFonts w:eastAsia="Calibri"/>
        </w:rPr>
        <w:t xml:space="preserve"> i </w:t>
      </w:r>
      <w:r w:rsidR="00A34CD0">
        <w:rPr>
          <w:rFonts w:eastAsia="Calibri"/>
        </w:rPr>
        <w:t>wyeliminowanie barier dot. pote</w:t>
      </w:r>
      <w:r w:rsidR="009B0EC6">
        <w:rPr>
          <w:rFonts w:eastAsia="Calibri"/>
        </w:rPr>
        <w:t>ncjału absorpcyjnego.</w:t>
      </w:r>
      <w:r w:rsidR="00291FF7">
        <w:rPr>
          <w:rFonts w:eastAsia="Calibri"/>
        </w:rPr>
        <w:t xml:space="preserve"> </w:t>
      </w:r>
      <w:r w:rsidR="00E608FF">
        <w:rPr>
          <w:rFonts w:eastAsia="Calibri"/>
        </w:rPr>
        <w:t>Rząd Walijski zdecydował także</w:t>
      </w:r>
      <w:r w:rsidR="00E66B89">
        <w:rPr>
          <w:rFonts w:eastAsia="Calibri"/>
        </w:rPr>
        <w:t xml:space="preserve"> o </w:t>
      </w:r>
      <w:r w:rsidR="00E608FF">
        <w:rPr>
          <w:rFonts w:eastAsia="Calibri"/>
        </w:rPr>
        <w:t xml:space="preserve">wprowadzeniu uproszczeń polegających na </w:t>
      </w:r>
      <w:r w:rsidR="000C6569">
        <w:rPr>
          <w:rFonts w:eastAsia="Calibri"/>
        </w:rPr>
        <w:t>skróceniu okresu przechowywania dokumentów projektowych</w:t>
      </w:r>
      <w:r w:rsidR="00307DD3">
        <w:rPr>
          <w:rFonts w:eastAsia="Calibri"/>
        </w:rPr>
        <w:t xml:space="preserve">. Podejmowane są także próby </w:t>
      </w:r>
      <w:r w:rsidR="007550BA">
        <w:rPr>
          <w:rFonts w:eastAsia="Calibri"/>
        </w:rPr>
        <w:t>wyeliminowania duplikowania się audytów ze strony</w:t>
      </w:r>
      <w:r w:rsidR="00AE3619">
        <w:rPr>
          <w:rFonts w:eastAsia="Calibri"/>
        </w:rPr>
        <w:t xml:space="preserve"> instytucji audytowej</w:t>
      </w:r>
      <w:r w:rsidR="00E66B89">
        <w:rPr>
          <w:rFonts w:eastAsia="Calibri"/>
        </w:rPr>
        <w:t xml:space="preserve"> i </w:t>
      </w:r>
      <w:r w:rsidR="00AE3619">
        <w:rPr>
          <w:rFonts w:eastAsia="Calibri"/>
        </w:rPr>
        <w:t>KE</w:t>
      </w:r>
      <w:r w:rsidR="00E66B89">
        <w:rPr>
          <w:rFonts w:eastAsia="Calibri"/>
        </w:rPr>
        <w:t xml:space="preserve"> w </w:t>
      </w:r>
      <w:r w:rsidR="00AE3619">
        <w:rPr>
          <w:rFonts w:eastAsia="Calibri"/>
        </w:rPr>
        <w:t>tym samym roku.</w:t>
      </w:r>
    </w:p>
    <w:p w14:paraId="6966E7E3" w14:textId="77777777" w:rsidR="00526AA8" w:rsidRPr="00C84991" w:rsidRDefault="00526AA8" w:rsidP="00526AA8">
      <w:pPr>
        <w:pStyle w:val="Nagwek4"/>
        <w:numPr>
          <w:ilvl w:val="0"/>
          <w:numId w:val="0"/>
        </w:numPr>
        <w:rPr>
          <w:rFonts w:ascii="Lato" w:eastAsia="Calibri" w:hAnsi="Lato"/>
          <w:szCs w:val="20"/>
        </w:rPr>
      </w:pPr>
      <w:r w:rsidRPr="00C84991">
        <w:rPr>
          <w:rFonts w:ascii="Lato" w:eastAsia="Calibri" w:hAnsi="Lato"/>
          <w:szCs w:val="20"/>
        </w:rPr>
        <w:lastRenderedPageBreak/>
        <w:t>Gotowość instytucji do podjęcia dodatkowych obowiązków</w:t>
      </w:r>
    </w:p>
    <w:p w14:paraId="2BDAE481" w14:textId="77777777" w:rsidR="00526AA8" w:rsidRDefault="00526AA8" w:rsidP="00526AA8">
      <w:r>
        <w:t>Punktem wyjścia do oceny</w:t>
      </w:r>
      <w:r w:rsidR="00B3085C">
        <w:t xml:space="preserve"> gotowości IZ</w:t>
      </w:r>
      <w:r w:rsidR="00E66B89">
        <w:t xml:space="preserve"> i </w:t>
      </w:r>
      <w:r w:rsidR="00B3085C">
        <w:t>IP do podejmowania nowych zadań, związanych</w:t>
      </w:r>
      <w:r w:rsidR="00E66B89">
        <w:t xml:space="preserve"> z </w:t>
      </w:r>
      <w:r w:rsidR="00B3085C">
        <w:t>wdrażaniem Programu,</w:t>
      </w:r>
      <w:r>
        <w:t xml:space="preserve"> może być </w:t>
      </w:r>
      <w:r w:rsidR="00B3085C">
        <w:t>analiza</w:t>
      </w:r>
      <w:r>
        <w:t> poziom</w:t>
      </w:r>
      <w:r w:rsidR="00B3085C">
        <w:t>u</w:t>
      </w:r>
      <w:r>
        <w:t xml:space="preserve"> kontraktacji oraz liczb</w:t>
      </w:r>
      <w:r w:rsidR="00B3085C">
        <w:t>y</w:t>
      </w:r>
      <w:r>
        <w:t xml:space="preserve"> wdrażanych projektów. Zgodnie</w:t>
      </w:r>
      <w:r w:rsidR="00E66B89">
        <w:t xml:space="preserve"> z </w:t>
      </w:r>
      <w:r>
        <w:t>danymi, poziom kontraktacji</w:t>
      </w:r>
      <w:r w:rsidR="00E66B89">
        <w:t xml:space="preserve"> z </w:t>
      </w:r>
      <w:r>
        <w:t>ramami wykonania (wedle stanu na dzień 7.01.2018r.) wyniósł 6</w:t>
      </w:r>
      <w:r w:rsidR="00442460">
        <w:t>0</w:t>
      </w:r>
      <w:r>
        <w:t>,4%, co oznacza, że do wykorzystania pozostało jeszcze 3</w:t>
      </w:r>
      <w:r w:rsidR="00442460">
        <w:t>9</w:t>
      </w:r>
      <w:r>
        <w:t>,6% alokacji przewidzianej na wszystkie omawiane priorytety inwestycyjne.</w:t>
      </w:r>
      <w:r w:rsidR="00E66B89">
        <w:t xml:space="preserve"> Z </w:t>
      </w:r>
      <w:r>
        <w:t>pewnością zmiany</w:t>
      </w:r>
      <w:r w:rsidR="00E66B89">
        <w:t xml:space="preserve"> w </w:t>
      </w:r>
      <w:r>
        <w:t>poziomie kontraktacji przyniosą jeszcze rozstrzygnięcia niedawno zakończonych</w:t>
      </w:r>
      <w:r w:rsidR="00E66B89">
        <w:t xml:space="preserve"> i </w:t>
      </w:r>
      <w:r>
        <w:t>trwających konkursów.</w:t>
      </w:r>
      <w:r w:rsidR="00B3085C">
        <w:t xml:space="preserve"> Taki poziom kontraktacji mógłby</w:t>
      </w:r>
      <w:r w:rsidR="00202FB8">
        <w:t xml:space="preserve"> teoretycznie</w:t>
      </w:r>
      <w:r w:rsidR="00B3085C">
        <w:t xml:space="preserve"> sugerować, że największe obciążenie systemu wdrażania</w:t>
      </w:r>
      <w:r w:rsidR="00E66B89">
        <w:t xml:space="preserve"> i </w:t>
      </w:r>
      <w:r w:rsidR="00B3085C">
        <w:t>osób</w:t>
      </w:r>
      <w:r w:rsidR="00E66B89">
        <w:t xml:space="preserve"> w </w:t>
      </w:r>
      <w:r w:rsidR="00B3085C">
        <w:t xml:space="preserve">ten system zaangażowanych </w:t>
      </w:r>
      <w:r w:rsidR="00202FB8">
        <w:t>już minęło.</w:t>
      </w:r>
      <w:r>
        <w:t xml:space="preserve"> Trzeba mieć jednak na uwadze, że zawarte umowy będą powodować zwiększanie się liczby</w:t>
      </w:r>
      <w:r w:rsidR="00E66B89">
        <w:t xml:space="preserve"> i </w:t>
      </w:r>
      <w:r>
        <w:t>zakresu zadań związanych</w:t>
      </w:r>
      <w:r w:rsidR="00E66B89">
        <w:t xml:space="preserve"> z </w:t>
      </w:r>
      <w:r>
        <w:t>realizacją, monitorowaniem, kontrolą</w:t>
      </w:r>
      <w:r w:rsidR="00E66B89">
        <w:t xml:space="preserve"> i </w:t>
      </w:r>
      <w:r>
        <w:t>rozliczaniem tych projektów - co</w:t>
      </w:r>
      <w:r w:rsidR="00E66B89">
        <w:t xml:space="preserve"> w </w:t>
      </w:r>
      <w:r>
        <w:t>efekcie nie spowoduje, że pracownicy będą po tym etapie (tj. ocenie</w:t>
      </w:r>
      <w:r w:rsidR="00E66B89">
        <w:t xml:space="preserve"> i </w:t>
      </w:r>
      <w:r>
        <w:t>podpisaniu umów) mniej obciążeni pracą (zmieni się tylko rodzaj</w:t>
      </w:r>
      <w:r w:rsidR="00E66B89">
        <w:t xml:space="preserve"> i </w:t>
      </w:r>
      <w:r>
        <w:t>charakter zadań, które będą wówczas wykonywane).</w:t>
      </w:r>
    </w:p>
    <w:p w14:paraId="077CF811" w14:textId="77777777" w:rsidR="00526AA8" w:rsidRDefault="00526AA8" w:rsidP="00526AA8">
      <w:r>
        <w:t>Poniżej przedstawiono informację na temat liczby aktualnych projektów, które powinny zakończyć się</w:t>
      </w:r>
      <w:r w:rsidR="00E66B89">
        <w:t xml:space="preserve"> w </w:t>
      </w:r>
      <w:r>
        <w:t>poszczególnych latach – oczywiście należy mieć na uwadze, że</w:t>
      </w:r>
      <w:r w:rsidR="00E66B89">
        <w:t xml:space="preserve"> w </w:t>
      </w:r>
      <w:r>
        <w:t>części projektów jest duże prawdopodobieństwo, że dojdzie do aneksowania umów</w:t>
      </w:r>
      <w:r w:rsidR="00E66B89">
        <w:t xml:space="preserve"> i </w:t>
      </w:r>
      <w:r>
        <w:t>zmiany planowanej daty zakończenia na późniejszą.</w:t>
      </w:r>
    </w:p>
    <w:p w14:paraId="6045576D" w14:textId="77777777" w:rsidR="00DF284B" w:rsidRPr="006558FF" w:rsidRDefault="00526AA8" w:rsidP="00024F00">
      <w:pPr>
        <w:pStyle w:val="Legenda"/>
        <w:spacing w:after="0"/>
      </w:pPr>
      <w:bookmarkStart w:id="412" w:name="_Toc8824291"/>
      <w:r>
        <w:t xml:space="preserve">Tabela </w:t>
      </w:r>
      <w:r w:rsidR="00CD6DE8" w:rsidRPr="00024F00">
        <w:fldChar w:fldCharType="begin"/>
      </w:r>
      <w:r w:rsidR="00CD6DE8">
        <w:instrText xml:space="preserve"> SEQ Tabela \* ARABIC </w:instrText>
      </w:r>
      <w:r w:rsidR="00CD6DE8" w:rsidRPr="00024F00">
        <w:fldChar w:fldCharType="separate"/>
      </w:r>
      <w:r w:rsidR="00763345">
        <w:rPr>
          <w:noProof/>
        </w:rPr>
        <w:t>180</w:t>
      </w:r>
      <w:r w:rsidR="00CD6DE8" w:rsidRPr="00024F00">
        <w:fldChar w:fldCharType="end"/>
      </w:r>
      <w:r>
        <w:t xml:space="preserve"> </w:t>
      </w:r>
      <w:r w:rsidRPr="00A379E5">
        <w:t xml:space="preserve">Podział liczby projektów ze względu na planowany rok ich zakończenia </w:t>
      </w:r>
      <w:r>
        <w:t>dla umów zawartych</w:t>
      </w:r>
      <w:r w:rsidR="00E66B89">
        <w:t xml:space="preserve"> w </w:t>
      </w:r>
      <w:r>
        <w:t>latach 2015-2019</w:t>
      </w:r>
      <w:bookmarkEnd w:id="412"/>
    </w:p>
    <w:tbl>
      <w:tblPr>
        <w:tblW w:w="5000" w:type="pct"/>
        <w:tblCellMar>
          <w:left w:w="70" w:type="dxa"/>
          <w:right w:w="70" w:type="dxa"/>
        </w:tblCellMar>
        <w:tblLook w:val="04A0" w:firstRow="1" w:lastRow="0" w:firstColumn="1" w:lastColumn="0" w:noHBand="0" w:noVBand="1"/>
      </w:tblPr>
      <w:tblGrid>
        <w:gridCol w:w="1101"/>
        <w:gridCol w:w="1332"/>
        <w:gridCol w:w="1186"/>
        <w:gridCol w:w="456"/>
        <w:gridCol w:w="495"/>
        <w:gridCol w:w="553"/>
        <w:gridCol w:w="553"/>
        <w:gridCol w:w="496"/>
        <w:gridCol w:w="554"/>
        <w:gridCol w:w="611"/>
        <w:gridCol w:w="668"/>
        <w:gridCol w:w="554"/>
        <w:gridCol w:w="493"/>
      </w:tblGrid>
      <w:tr w:rsidR="00C22C26" w:rsidRPr="00DF284B" w14:paraId="07A27081" w14:textId="77777777" w:rsidTr="00E6171D">
        <w:trPr>
          <w:trHeight w:val="1200"/>
          <w:tblHeader/>
        </w:trPr>
        <w:tc>
          <w:tcPr>
            <w:tcW w:w="598" w:type="pct"/>
            <w:tcBorders>
              <w:top w:val="single" w:sz="8" w:space="0" w:color="auto"/>
              <w:left w:val="single" w:sz="8" w:space="0" w:color="auto"/>
              <w:bottom w:val="single" w:sz="4" w:space="0" w:color="auto"/>
              <w:right w:val="single" w:sz="4" w:space="0" w:color="auto"/>
            </w:tcBorders>
            <w:shd w:val="clear" w:color="000000" w:fill="D9E1F2"/>
            <w:vAlign w:val="center"/>
            <w:hideMark/>
          </w:tcPr>
          <w:p w14:paraId="5F37D3BA" w14:textId="77777777" w:rsidR="00DF284B" w:rsidRPr="00DF284B" w:rsidRDefault="00DF284B" w:rsidP="00DF284B">
            <w:pPr>
              <w:spacing w:before="0" w:after="0" w:line="240" w:lineRule="auto"/>
              <w:jc w:val="center"/>
              <w:rPr>
                <w:rFonts w:cs="Calibri"/>
                <w:sz w:val="18"/>
                <w:szCs w:val="18"/>
              </w:rPr>
            </w:pPr>
            <w:r w:rsidRPr="00DF284B">
              <w:rPr>
                <w:rFonts w:cs="Calibri"/>
                <w:sz w:val="18"/>
                <w:szCs w:val="18"/>
              </w:rPr>
              <w:t>Rok zakończenia realizacji projektu</w:t>
            </w:r>
          </w:p>
        </w:tc>
        <w:tc>
          <w:tcPr>
            <w:tcW w:w="739" w:type="pct"/>
            <w:tcBorders>
              <w:top w:val="single" w:sz="8" w:space="0" w:color="auto"/>
              <w:left w:val="nil"/>
              <w:bottom w:val="single" w:sz="4" w:space="0" w:color="auto"/>
              <w:right w:val="single" w:sz="4" w:space="0" w:color="auto"/>
            </w:tcBorders>
            <w:shd w:val="clear" w:color="000000" w:fill="D9E1F2"/>
            <w:vAlign w:val="center"/>
            <w:hideMark/>
          </w:tcPr>
          <w:p w14:paraId="7BC26C52" w14:textId="77777777" w:rsidR="00DF284B" w:rsidRPr="00DF284B" w:rsidRDefault="00DF284B" w:rsidP="00DF284B">
            <w:pPr>
              <w:spacing w:before="0" w:after="0" w:line="240" w:lineRule="auto"/>
              <w:jc w:val="center"/>
              <w:rPr>
                <w:rFonts w:cs="Calibri"/>
                <w:sz w:val="18"/>
                <w:szCs w:val="18"/>
              </w:rPr>
            </w:pPr>
            <w:r w:rsidRPr="00DF284B">
              <w:rPr>
                <w:rFonts w:cs="Calibri"/>
                <w:sz w:val="18"/>
                <w:szCs w:val="18"/>
              </w:rPr>
              <w:t>Liczba projektów planowanych do zakończenia</w:t>
            </w:r>
          </w:p>
        </w:tc>
        <w:tc>
          <w:tcPr>
            <w:tcW w:w="631" w:type="pct"/>
            <w:tcBorders>
              <w:top w:val="single" w:sz="8" w:space="0" w:color="auto"/>
              <w:left w:val="nil"/>
              <w:bottom w:val="single" w:sz="4" w:space="0" w:color="auto"/>
              <w:right w:val="single" w:sz="8" w:space="0" w:color="auto"/>
            </w:tcBorders>
            <w:shd w:val="clear" w:color="000000" w:fill="D9E1F2"/>
            <w:vAlign w:val="center"/>
            <w:hideMark/>
          </w:tcPr>
          <w:p w14:paraId="6CC27940"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Odsetek projektów planowanych do zakończenia</w:t>
            </w:r>
          </w:p>
        </w:tc>
        <w:tc>
          <w:tcPr>
            <w:tcW w:w="255" w:type="pct"/>
            <w:tcBorders>
              <w:top w:val="single" w:sz="8" w:space="0" w:color="auto"/>
              <w:left w:val="nil"/>
              <w:bottom w:val="single" w:sz="4" w:space="0" w:color="auto"/>
              <w:right w:val="single" w:sz="4" w:space="0" w:color="auto"/>
            </w:tcBorders>
            <w:shd w:val="clear" w:color="000000" w:fill="D9E1F2"/>
            <w:vAlign w:val="center"/>
            <w:hideMark/>
          </w:tcPr>
          <w:p w14:paraId="7BB28901"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I</w:t>
            </w:r>
          </w:p>
        </w:tc>
        <w:tc>
          <w:tcPr>
            <w:tcW w:w="277" w:type="pct"/>
            <w:tcBorders>
              <w:top w:val="single" w:sz="8" w:space="0" w:color="auto"/>
              <w:left w:val="nil"/>
              <w:bottom w:val="single" w:sz="4" w:space="0" w:color="auto"/>
              <w:right w:val="single" w:sz="4" w:space="0" w:color="auto"/>
            </w:tcBorders>
            <w:shd w:val="clear" w:color="000000" w:fill="D9E1F2"/>
            <w:vAlign w:val="center"/>
            <w:hideMark/>
          </w:tcPr>
          <w:p w14:paraId="0B3ED5D7"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II</w:t>
            </w:r>
          </w:p>
        </w:tc>
        <w:tc>
          <w:tcPr>
            <w:tcW w:w="309" w:type="pct"/>
            <w:tcBorders>
              <w:top w:val="single" w:sz="8" w:space="0" w:color="auto"/>
              <w:left w:val="nil"/>
              <w:bottom w:val="single" w:sz="4" w:space="0" w:color="auto"/>
              <w:right w:val="single" w:sz="4" w:space="0" w:color="auto"/>
            </w:tcBorders>
            <w:shd w:val="clear" w:color="000000" w:fill="D9E1F2"/>
            <w:vAlign w:val="center"/>
            <w:hideMark/>
          </w:tcPr>
          <w:p w14:paraId="049E50EE"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III</w:t>
            </w:r>
          </w:p>
        </w:tc>
        <w:tc>
          <w:tcPr>
            <w:tcW w:w="309" w:type="pct"/>
            <w:tcBorders>
              <w:top w:val="single" w:sz="8" w:space="0" w:color="auto"/>
              <w:left w:val="nil"/>
              <w:bottom w:val="single" w:sz="4" w:space="0" w:color="auto"/>
              <w:right w:val="single" w:sz="4" w:space="0" w:color="auto"/>
            </w:tcBorders>
            <w:shd w:val="clear" w:color="000000" w:fill="D9E1F2"/>
            <w:vAlign w:val="center"/>
            <w:hideMark/>
          </w:tcPr>
          <w:p w14:paraId="48937A4D"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IV</w:t>
            </w:r>
          </w:p>
        </w:tc>
        <w:tc>
          <w:tcPr>
            <w:tcW w:w="277" w:type="pct"/>
            <w:tcBorders>
              <w:top w:val="single" w:sz="8" w:space="0" w:color="auto"/>
              <w:left w:val="nil"/>
              <w:bottom w:val="single" w:sz="4" w:space="0" w:color="auto"/>
              <w:right w:val="single" w:sz="4" w:space="0" w:color="auto"/>
            </w:tcBorders>
            <w:shd w:val="clear" w:color="000000" w:fill="D9E1F2"/>
            <w:vAlign w:val="center"/>
            <w:hideMark/>
          </w:tcPr>
          <w:p w14:paraId="5CC7AC85"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V</w:t>
            </w:r>
          </w:p>
        </w:tc>
        <w:tc>
          <w:tcPr>
            <w:tcW w:w="309" w:type="pct"/>
            <w:tcBorders>
              <w:top w:val="single" w:sz="8" w:space="0" w:color="auto"/>
              <w:left w:val="nil"/>
              <w:bottom w:val="single" w:sz="4" w:space="0" w:color="auto"/>
              <w:right w:val="single" w:sz="4" w:space="0" w:color="auto"/>
            </w:tcBorders>
            <w:shd w:val="clear" w:color="000000" w:fill="D9E1F2"/>
            <w:vAlign w:val="center"/>
            <w:hideMark/>
          </w:tcPr>
          <w:p w14:paraId="73324E45"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VI</w:t>
            </w:r>
          </w:p>
        </w:tc>
        <w:tc>
          <w:tcPr>
            <w:tcW w:w="340" w:type="pct"/>
            <w:tcBorders>
              <w:top w:val="single" w:sz="8" w:space="0" w:color="auto"/>
              <w:left w:val="nil"/>
              <w:bottom w:val="single" w:sz="4" w:space="0" w:color="auto"/>
              <w:right w:val="single" w:sz="4" w:space="0" w:color="auto"/>
            </w:tcBorders>
            <w:shd w:val="clear" w:color="000000" w:fill="D9E1F2"/>
            <w:vAlign w:val="center"/>
            <w:hideMark/>
          </w:tcPr>
          <w:p w14:paraId="6BF192BE"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VII</w:t>
            </w:r>
          </w:p>
        </w:tc>
        <w:tc>
          <w:tcPr>
            <w:tcW w:w="372" w:type="pct"/>
            <w:tcBorders>
              <w:top w:val="single" w:sz="8" w:space="0" w:color="auto"/>
              <w:left w:val="nil"/>
              <w:bottom w:val="single" w:sz="4" w:space="0" w:color="auto"/>
              <w:right w:val="single" w:sz="4" w:space="0" w:color="auto"/>
            </w:tcBorders>
            <w:shd w:val="clear" w:color="000000" w:fill="D9E1F2"/>
            <w:vAlign w:val="center"/>
            <w:hideMark/>
          </w:tcPr>
          <w:p w14:paraId="2D976F99"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VIII</w:t>
            </w:r>
          </w:p>
        </w:tc>
        <w:tc>
          <w:tcPr>
            <w:tcW w:w="309" w:type="pct"/>
            <w:tcBorders>
              <w:top w:val="single" w:sz="8" w:space="0" w:color="auto"/>
              <w:left w:val="nil"/>
              <w:bottom w:val="single" w:sz="4" w:space="0" w:color="auto"/>
              <w:right w:val="single" w:sz="4" w:space="0" w:color="auto"/>
            </w:tcBorders>
            <w:shd w:val="clear" w:color="000000" w:fill="D9E1F2"/>
            <w:vAlign w:val="center"/>
            <w:hideMark/>
          </w:tcPr>
          <w:p w14:paraId="25A0FBB4"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IX</w:t>
            </w:r>
          </w:p>
        </w:tc>
        <w:tc>
          <w:tcPr>
            <w:tcW w:w="277" w:type="pct"/>
            <w:tcBorders>
              <w:top w:val="single" w:sz="8" w:space="0" w:color="auto"/>
              <w:left w:val="nil"/>
              <w:bottom w:val="single" w:sz="4" w:space="0" w:color="auto"/>
              <w:right w:val="single" w:sz="8" w:space="0" w:color="auto"/>
            </w:tcBorders>
            <w:shd w:val="clear" w:color="000000" w:fill="D9E1F2"/>
            <w:vAlign w:val="center"/>
            <w:hideMark/>
          </w:tcPr>
          <w:p w14:paraId="2BE4E7EE" w14:textId="77777777" w:rsidR="00DF284B" w:rsidRPr="00DF284B" w:rsidRDefault="00DF284B" w:rsidP="00DF284B">
            <w:pPr>
              <w:spacing w:before="0" w:after="0" w:line="240" w:lineRule="auto"/>
              <w:jc w:val="center"/>
              <w:rPr>
                <w:rFonts w:cs="Calibri"/>
                <w:color w:val="000000"/>
                <w:sz w:val="18"/>
                <w:szCs w:val="18"/>
              </w:rPr>
            </w:pPr>
            <w:r w:rsidRPr="00DF284B">
              <w:rPr>
                <w:rFonts w:cs="Calibri"/>
                <w:color w:val="000000"/>
                <w:sz w:val="18"/>
                <w:szCs w:val="18"/>
              </w:rPr>
              <w:t>OP X</w:t>
            </w:r>
          </w:p>
        </w:tc>
      </w:tr>
      <w:tr w:rsidR="00C22C26" w:rsidRPr="00DF284B" w14:paraId="3B2B35F0"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7DC2AC92"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2015</w:t>
            </w:r>
          </w:p>
        </w:tc>
        <w:tc>
          <w:tcPr>
            <w:tcW w:w="739" w:type="pct"/>
            <w:tcBorders>
              <w:top w:val="nil"/>
              <w:left w:val="nil"/>
              <w:bottom w:val="single" w:sz="4" w:space="0" w:color="auto"/>
              <w:right w:val="single" w:sz="4" w:space="0" w:color="auto"/>
            </w:tcBorders>
            <w:shd w:val="clear" w:color="auto" w:fill="auto"/>
            <w:noWrap/>
            <w:vAlign w:val="center"/>
            <w:hideMark/>
          </w:tcPr>
          <w:p w14:paraId="30636795"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5</w:t>
            </w:r>
          </w:p>
        </w:tc>
        <w:tc>
          <w:tcPr>
            <w:tcW w:w="631" w:type="pct"/>
            <w:tcBorders>
              <w:top w:val="nil"/>
              <w:left w:val="nil"/>
              <w:bottom w:val="single" w:sz="4" w:space="0" w:color="auto"/>
              <w:right w:val="single" w:sz="8" w:space="0" w:color="auto"/>
            </w:tcBorders>
            <w:shd w:val="clear" w:color="auto" w:fill="auto"/>
            <w:noWrap/>
            <w:vAlign w:val="center"/>
            <w:hideMark/>
          </w:tcPr>
          <w:p w14:paraId="7089936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0,3%</w:t>
            </w:r>
          </w:p>
        </w:tc>
        <w:tc>
          <w:tcPr>
            <w:tcW w:w="255"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8E97D55"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A23AF"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7C970"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7B7D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55B8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4ED08"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6457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2CB80"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45EA5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8" w:space="0" w:color="auto"/>
            </w:tcBorders>
            <w:shd w:val="clear" w:color="000000" w:fill="F9FBFD"/>
            <w:noWrap/>
            <w:vAlign w:val="center"/>
            <w:hideMark/>
          </w:tcPr>
          <w:p w14:paraId="443B8A08"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5</w:t>
            </w:r>
          </w:p>
        </w:tc>
      </w:tr>
      <w:tr w:rsidR="00C22C26" w:rsidRPr="00DF284B" w14:paraId="43833A6A"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03C11AA6"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2016</w:t>
            </w:r>
          </w:p>
        </w:tc>
        <w:tc>
          <w:tcPr>
            <w:tcW w:w="739" w:type="pct"/>
            <w:tcBorders>
              <w:top w:val="nil"/>
              <w:left w:val="nil"/>
              <w:bottom w:val="single" w:sz="4" w:space="0" w:color="auto"/>
              <w:right w:val="single" w:sz="4" w:space="0" w:color="auto"/>
            </w:tcBorders>
            <w:shd w:val="clear" w:color="auto" w:fill="auto"/>
            <w:noWrap/>
            <w:vAlign w:val="center"/>
            <w:hideMark/>
          </w:tcPr>
          <w:p w14:paraId="2227F958"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53</w:t>
            </w:r>
          </w:p>
        </w:tc>
        <w:tc>
          <w:tcPr>
            <w:tcW w:w="631" w:type="pct"/>
            <w:tcBorders>
              <w:top w:val="nil"/>
              <w:left w:val="nil"/>
              <w:bottom w:val="single" w:sz="4" w:space="0" w:color="auto"/>
              <w:right w:val="single" w:sz="8" w:space="0" w:color="auto"/>
            </w:tcBorders>
            <w:shd w:val="clear" w:color="auto" w:fill="auto"/>
            <w:noWrap/>
            <w:vAlign w:val="center"/>
            <w:hideMark/>
          </w:tcPr>
          <w:p w14:paraId="729570C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3,5%</w:t>
            </w:r>
          </w:p>
        </w:tc>
        <w:tc>
          <w:tcPr>
            <w:tcW w:w="255"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A15150E"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596E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2E0BB79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F369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DFEFF"/>
            <w:noWrap/>
            <w:vAlign w:val="center"/>
            <w:hideMark/>
          </w:tcPr>
          <w:p w14:paraId="1B2DCF58"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w:t>
            </w:r>
          </w:p>
        </w:tc>
        <w:tc>
          <w:tcPr>
            <w:tcW w:w="309" w:type="pct"/>
            <w:tcBorders>
              <w:top w:val="single" w:sz="4" w:space="0" w:color="auto"/>
              <w:left w:val="single" w:sz="4" w:space="0" w:color="auto"/>
              <w:bottom w:val="single" w:sz="4" w:space="0" w:color="auto"/>
              <w:right w:val="single" w:sz="4" w:space="0" w:color="auto"/>
            </w:tcBorders>
            <w:shd w:val="clear" w:color="000000" w:fill="CBD8EF"/>
            <w:noWrap/>
            <w:vAlign w:val="center"/>
            <w:hideMark/>
          </w:tcPr>
          <w:p w14:paraId="477814F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40</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867A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E109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E77C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8" w:space="0" w:color="auto"/>
            </w:tcBorders>
            <w:shd w:val="clear" w:color="000000" w:fill="F6F9FD"/>
            <w:noWrap/>
            <w:vAlign w:val="center"/>
            <w:hideMark/>
          </w:tcPr>
          <w:p w14:paraId="7D15AC63"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7</w:t>
            </w:r>
          </w:p>
        </w:tc>
      </w:tr>
      <w:tr w:rsidR="00C22C26" w:rsidRPr="00DF284B" w14:paraId="164502E7"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1C64D671"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2017</w:t>
            </w:r>
          </w:p>
        </w:tc>
        <w:tc>
          <w:tcPr>
            <w:tcW w:w="739" w:type="pct"/>
            <w:tcBorders>
              <w:top w:val="nil"/>
              <w:left w:val="nil"/>
              <w:bottom w:val="single" w:sz="4" w:space="0" w:color="auto"/>
              <w:right w:val="single" w:sz="4" w:space="0" w:color="auto"/>
            </w:tcBorders>
            <w:shd w:val="clear" w:color="auto" w:fill="auto"/>
            <w:noWrap/>
            <w:vAlign w:val="center"/>
            <w:hideMark/>
          </w:tcPr>
          <w:p w14:paraId="63837009"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141</w:t>
            </w:r>
          </w:p>
        </w:tc>
        <w:tc>
          <w:tcPr>
            <w:tcW w:w="631" w:type="pct"/>
            <w:tcBorders>
              <w:top w:val="nil"/>
              <w:left w:val="nil"/>
              <w:bottom w:val="single" w:sz="4" w:space="0" w:color="auto"/>
              <w:right w:val="single" w:sz="8" w:space="0" w:color="auto"/>
            </w:tcBorders>
            <w:shd w:val="clear" w:color="auto" w:fill="auto"/>
            <w:noWrap/>
            <w:vAlign w:val="center"/>
            <w:hideMark/>
          </w:tcPr>
          <w:p w14:paraId="446DF1F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9,3%</w:t>
            </w:r>
          </w:p>
        </w:tc>
        <w:tc>
          <w:tcPr>
            <w:tcW w:w="255" w:type="pct"/>
            <w:tcBorders>
              <w:top w:val="single" w:sz="4" w:space="0" w:color="auto"/>
              <w:left w:val="single" w:sz="8" w:space="0" w:color="auto"/>
              <w:bottom w:val="single" w:sz="4" w:space="0" w:color="auto"/>
              <w:right w:val="single" w:sz="4" w:space="0" w:color="auto"/>
            </w:tcBorders>
            <w:shd w:val="clear" w:color="000000" w:fill="D0DCF1"/>
            <w:noWrap/>
            <w:vAlign w:val="center"/>
            <w:hideMark/>
          </w:tcPr>
          <w:p w14:paraId="48E7A13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36</w:t>
            </w:r>
          </w:p>
        </w:tc>
        <w:tc>
          <w:tcPr>
            <w:tcW w:w="277" w:type="pct"/>
            <w:tcBorders>
              <w:top w:val="single" w:sz="4" w:space="0" w:color="auto"/>
              <w:left w:val="single" w:sz="4" w:space="0" w:color="auto"/>
              <w:bottom w:val="single" w:sz="4" w:space="0" w:color="auto"/>
              <w:right w:val="single" w:sz="4" w:space="0" w:color="auto"/>
            </w:tcBorders>
            <w:shd w:val="clear" w:color="000000" w:fill="DBE4F4"/>
            <w:noWrap/>
            <w:vAlign w:val="center"/>
            <w:hideMark/>
          </w:tcPr>
          <w:p w14:paraId="79217035"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28</w:t>
            </w:r>
          </w:p>
        </w:tc>
        <w:tc>
          <w:tcPr>
            <w:tcW w:w="309" w:type="pct"/>
            <w:tcBorders>
              <w:top w:val="single" w:sz="4" w:space="0" w:color="auto"/>
              <w:left w:val="single" w:sz="4" w:space="0" w:color="auto"/>
              <w:bottom w:val="single" w:sz="4" w:space="0" w:color="auto"/>
              <w:right w:val="single" w:sz="4" w:space="0" w:color="auto"/>
            </w:tcBorders>
            <w:shd w:val="clear" w:color="000000" w:fill="EEF3FA"/>
            <w:noWrap/>
            <w:vAlign w:val="center"/>
            <w:hideMark/>
          </w:tcPr>
          <w:p w14:paraId="12DA934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13</w:t>
            </w:r>
          </w:p>
        </w:tc>
        <w:tc>
          <w:tcPr>
            <w:tcW w:w="309" w:type="pct"/>
            <w:tcBorders>
              <w:top w:val="single" w:sz="4" w:space="0" w:color="auto"/>
              <w:left w:val="single" w:sz="4" w:space="0" w:color="auto"/>
              <w:bottom w:val="single" w:sz="4" w:space="0" w:color="auto"/>
              <w:right w:val="single" w:sz="4" w:space="0" w:color="auto"/>
            </w:tcBorders>
            <w:shd w:val="clear" w:color="000000" w:fill="FDFEFF"/>
            <w:noWrap/>
            <w:vAlign w:val="center"/>
            <w:hideMark/>
          </w:tcPr>
          <w:p w14:paraId="66518FC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w:t>
            </w:r>
          </w:p>
        </w:tc>
        <w:tc>
          <w:tcPr>
            <w:tcW w:w="277" w:type="pct"/>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6205452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w:t>
            </w:r>
          </w:p>
        </w:tc>
        <w:tc>
          <w:tcPr>
            <w:tcW w:w="309" w:type="pct"/>
            <w:tcBorders>
              <w:top w:val="single" w:sz="4" w:space="0" w:color="auto"/>
              <w:left w:val="single" w:sz="4" w:space="0" w:color="auto"/>
              <w:bottom w:val="single" w:sz="4" w:space="0" w:color="auto"/>
              <w:right w:val="single" w:sz="4" w:space="0" w:color="auto"/>
            </w:tcBorders>
            <w:shd w:val="clear" w:color="000000" w:fill="E0E8F6"/>
            <w:noWrap/>
            <w:vAlign w:val="center"/>
            <w:hideMark/>
          </w:tcPr>
          <w:p w14:paraId="7F3A6857"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24</w:t>
            </w:r>
          </w:p>
        </w:tc>
        <w:tc>
          <w:tcPr>
            <w:tcW w:w="340" w:type="pct"/>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7EC1D1E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w:t>
            </w:r>
          </w:p>
        </w:tc>
        <w:tc>
          <w:tcPr>
            <w:tcW w:w="372" w:type="pct"/>
            <w:tcBorders>
              <w:top w:val="single" w:sz="4" w:space="0" w:color="auto"/>
              <w:left w:val="single" w:sz="4" w:space="0" w:color="auto"/>
              <w:bottom w:val="single" w:sz="4" w:space="0" w:color="auto"/>
              <w:right w:val="single" w:sz="4" w:space="0" w:color="auto"/>
            </w:tcBorders>
            <w:shd w:val="clear" w:color="000000" w:fill="E7EDF8"/>
            <w:noWrap/>
            <w:vAlign w:val="center"/>
            <w:hideMark/>
          </w:tcPr>
          <w:p w14:paraId="6C9DA3B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19</w:t>
            </w:r>
          </w:p>
        </w:tc>
        <w:tc>
          <w:tcPr>
            <w:tcW w:w="309" w:type="pct"/>
            <w:tcBorders>
              <w:top w:val="single" w:sz="4" w:space="0" w:color="auto"/>
              <w:left w:val="single" w:sz="4" w:space="0" w:color="auto"/>
              <w:bottom w:val="single" w:sz="4" w:space="0" w:color="auto"/>
              <w:right w:val="single" w:sz="4" w:space="0" w:color="auto"/>
            </w:tcBorders>
            <w:shd w:val="clear" w:color="000000" w:fill="FDFEFF"/>
            <w:noWrap/>
            <w:vAlign w:val="center"/>
            <w:hideMark/>
          </w:tcPr>
          <w:p w14:paraId="769F855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w:t>
            </w:r>
          </w:p>
        </w:tc>
        <w:tc>
          <w:tcPr>
            <w:tcW w:w="277" w:type="pct"/>
            <w:tcBorders>
              <w:top w:val="single" w:sz="4" w:space="0" w:color="auto"/>
              <w:left w:val="single" w:sz="4" w:space="0" w:color="auto"/>
              <w:bottom w:val="single" w:sz="4" w:space="0" w:color="auto"/>
              <w:right w:val="single" w:sz="8" w:space="0" w:color="auto"/>
            </w:tcBorders>
            <w:shd w:val="clear" w:color="000000" w:fill="F4F7FC"/>
            <w:noWrap/>
            <w:vAlign w:val="center"/>
            <w:hideMark/>
          </w:tcPr>
          <w:p w14:paraId="60CC3CC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w:t>
            </w:r>
          </w:p>
        </w:tc>
      </w:tr>
      <w:tr w:rsidR="00C22C26" w:rsidRPr="00DF284B" w14:paraId="7A5F5823"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708D1282"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2018</w:t>
            </w:r>
          </w:p>
        </w:tc>
        <w:tc>
          <w:tcPr>
            <w:tcW w:w="739" w:type="pct"/>
            <w:tcBorders>
              <w:top w:val="nil"/>
              <w:left w:val="nil"/>
              <w:bottom w:val="single" w:sz="4" w:space="0" w:color="auto"/>
              <w:right w:val="single" w:sz="4" w:space="0" w:color="auto"/>
            </w:tcBorders>
            <w:shd w:val="clear" w:color="auto" w:fill="auto"/>
            <w:noWrap/>
            <w:vAlign w:val="center"/>
            <w:hideMark/>
          </w:tcPr>
          <w:p w14:paraId="6F0C0713"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504</w:t>
            </w:r>
          </w:p>
        </w:tc>
        <w:tc>
          <w:tcPr>
            <w:tcW w:w="631" w:type="pct"/>
            <w:tcBorders>
              <w:top w:val="nil"/>
              <w:left w:val="nil"/>
              <w:bottom w:val="single" w:sz="4" w:space="0" w:color="auto"/>
              <w:right w:val="single" w:sz="8" w:space="0" w:color="auto"/>
            </w:tcBorders>
            <w:shd w:val="clear" w:color="auto" w:fill="auto"/>
            <w:noWrap/>
            <w:vAlign w:val="center"/>
            <w:hideMark/>
          </w:tcPr>
          <w:p w14:paraId="3B785BD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33,2%</w:t>
            </w:r>
          </w:p>
        </w:tc>
        <w:tc>
          <w:tcPr>
            <w:tcW w:w="255" w:type="pct"/>
            <w:tcBorders>
              <w:top w:val="single" w:sz="4" w:space="0" w:color="auto"/>
              <w:left w:val="single" w:sz="8" w:space="0" w:color="auto"/>
              <w:bottom w:val="single" w:sz="4" w:space="0" w:color="auto"/>
              <w:right w:val="single" w:sz="4" w:space="0" w:color="auto"/>
            </w:tcBorders>
            <w:shd w:val="clear" w:color="000000" w:fill="4C78C7"/>
            <w:noWrap/>
            <w:vAlign w:val="center"/>
            <w:hideMark/>
          </w:tcPr>
          <w:p w14:paraId="1368FFC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137</w:t>
            </w:r>
          </w:p>
        </w:tc>
        <w:tc>
          <w:tcPr>
            <w:tcW w:w="277" w:type="pct"/>
            <w:tcBorders>
              <w:top w:val="single" w:sz="4" w:space="0" w:color="auto"/>
              <w:left w:val="single" w:sz="4" w:space="0" w:color="auto"/>
              <w:bottom w:val="single" w:sz="4" w:space="0" w:color="auto"/>
              <w:right w:val="single" w:sz="4" w:space="0" w:color="auto"/>
            </w:tcBorders>
            <w:shd w:val="clear" w:color="000000" w:fill="82A1D8"/>
            <w:noWrap/>
            <w:vAlign w:val="center"/>
            <w:hideMark/>
          </w:tcPr>
          <w:p w14:paraId="3E2974F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96</w:t>
            </w:r>
          </w:p>
        </w:tc>
        <w:tc>
          <w:tcPr>
            <w:tcW w:w="309" w:type="pct"/>
            <w:tcBorders>
              <w:top w:val="single" w:sz="4" w:space="0" w:color="auto"/>
              <w:left w:val="single" w:sz="4" w:space="0" w:color="auto"/>
              <w:bottom w:val="single" w:sz="4" w:space="0" w:color="auto"/>
              <w:right w:val="single" w:sz="4" w:space="0" w:color="auto"/>
            </w:tcBorders>
            <w:shd w:val="clear" w:color="000000" w:fill="F4F7FC"/>
            <w:noWrap/>
            <w:vAlign w:val="center"/>
            <w:hideMark/>
          </w:tcPr>
          <w:p w14:paraId="57793BB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w:t>
            </w:r>
          </w:p>
        </w:tc>
        <w:tc>
          <w:tcPr>
            <w:tcW w:w="309" w:type="pct"/>
            <w:tcBorders>
              <w:top w:val="single" w:sz="4" w:space="0" w:color="auto"/>
              <w:left w:val="single" w:sz="4" w:space="0" w:color="auto"/>
              <w:bottom w:val="single" w:sz="4" w:space="0" w:color="auto"/>
              <w:right w:val="single" w:sz="4" w:space="0" w:color="auto"/>
            </w:tcBorders>
            <w:shd w:val="clear" w:color="000000" w:fill="B1C4E7"/>
            <w:noWrap/>
            <w:vAlign w:val="center"/>
            <w:hideMark/>
          </w:tcPr>
          <w:p w14:paraId="60F4AB5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60</w:t>
            </w:r>
          </w:p>
        </w:tc>
        <w:tc>
          <w:tcPr>
            <w:tcW w:w="277"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14:paraId="255E8DA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16</w:t>
            </w:r>
          </w:p>
        </w:tc>
        <w:tc>
          <w:tcPr>
            <w:tcW w:w="309" w:type="pct"/>
            <w:tcBorders>
              <w:top w:val="single" w:sz="4" w:space="0" w:color="auto"/>
              <w:left w:val="single" w:sz="4" w:space="0" w:color="auto"/>
              <w:bottom w:val="single" w:sz="4" w:space="0" w:color="auto"/>
              <w:right w:val="single" w:sz="4" w:space="0" w:color="auto"/>
            </w:tcBorders>
            <w:shd w:val="clear" w:color="000000" w:fill="D0DCF1"/>
            <w:noWrap/>
            <w:vAlign w:val="center"/>
            <w:hideMark/>
          </w:tcPr>
          <w:p w14:paraId="376D70C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36</w:t>
            </w:r>
          </w:p>
        </w:tc>
        <w:tc>
          <w:tcPr>
            <w:tcW w:w="340" w:type="pct"/>
            <w:tcBorders>
              <w:top w:val="single" w:sz="4" w:space="0" w:color="auto"/>
              <w:left w:val="single" w:sz="4" w:space="0" w:color="auto"/>
              <w:bottom w:val="single" w:sz="4" w:space="0" w:color="auto"/>
              <w:right w:val="single" w:sz="4" w:space="0" w:color="auto"/>
            </w:tcBorders>
            <w:shd w:val="clear" w:color="000000" w:fill="E9EFF8"/>
            <w:noWrap/>
            <w:vAlign w:val="center"/>
            <w:hideMark/>
          </w:tcPr>
          <w:p w14:paraId="7C8D2B3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17</w:t>
            </w:r>
          </w:p>
        </w:tc>
        <w:tc>
          <w:tcPr>
            <w:tcW w:w="372" w:type="pct"/>
            <w:tcBorders>
              <w:top w:val="single" w:sz="4" w:space="0" w:color="auto"/>
              <w:left w:val="single" w:sz="4" w:space="0" w:color="auto"/>
              <w:bottom w:val="single" w:sz="4" w:space="0" w:color="auto"/>
              <w:right w:val="single" w:sz="4" w:space="0" w:color="auto"/>
            </w:tcBorders>
            <w:shd w:val="clear" w:color="000000" w:fill="7A9BD5"/>
            <w:noWrap/>
            <w:vAlign w:val="center"/>
            <w:hideMark/>
          </w:tcPr>
          <w:p w14:paraId="4EC0709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102</w:t>
            </w:r>
          </w:p>
        </w:tc>
        <w:tc>
          <w:tcPr>
            <w:tcW w:w="309" w:type="pct"/>
            <w:tcBorders>
              <w:top w:val="single" w:sz="4" w:space="0" w:color="auto"/>
              <w:left w:val="single" w:sz="4" w:space="0" w:color="auto"/>
              <w:bottom w:val="single" w:sz="4" w:space="0" w:color="auto"/>
              <w:right w:val="single" w:sz="4" w:space="0" w:color="auto"/>
            </w:tcBorders>
            <w:shd w:val="clear" w:color="000000" w:fill="E1E9F6"/>
            <w:noWrap/>
            <w:vAlign w:val="center"/>
            <w:hideMark/>
          </w:tcPr>
          <w:p w14:paraId="47AB4783"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23</w:t>
            </w:r>
          </w:p>
        </w:tc>
        <w:tc>
          <w:tcPr>
            <w:tcW w:w="277" w:type="pct"/>
            <w:tcBorders>
              <w:top w:val="single" w:sz="4" w:space="0" w:color="auto"/>
              <w:left w:val="single" w:sz="4" w:space="0" w:color="auto"/>
              <w:bottom w:val="single" w:sz="4" w:space="0" w:color="auto"/>
              <w:right w:val="single" w:sz="8" w:space="0" w:color="auto"/>
            </w:tcBorders>
            <w:shd w:val="clear" w:color="000000" w:fill="F5F8FC"/>
            <w:noWrap/>
            <w:vAlign w:val="center"/>
            <w:hideMark/>
          </w:tcPr>
          <w:p w14:paraId="10E34875"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8</w:t>
            </w:r>
          </w:p>
        </w:tc>
      </w:tr>
      <w:tr w:rsidR="00C22C26" w:rsidRPr="00DF284B" w14:paraId="18D45FA8"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36C53A4A"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2019</w:t>
            </w:r>
          </w:p>
        </w:tc>
        <w:tc>
          <w:tcPr>
            <w:tcW w:w="739" w:type="pct"/>
            <w:tcBorders>
              <w:top w:val="nil"/>
              <w:left w:val="nil"/>
              <w:bottom w:val="single" w:sz="4" w:space="0" w:color="auto"/>
              <w:right w:val="single" w:sz="4" w:space="0" w:color="auto"/>
            </w:tcBorders>
            <w:shd w:val="clear" w:color="auto" w:fill="auto"/>
            <w:noWrap/>
            <w:vAlign w:val="center"/>
            <w:hideMark/>
          </w:tcPr>
          <w:p w14:paraId="475A0139"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511</w:t>
            </w:r>
          </w:p>
        </w:tc>
        <w:tc>
          <w:tcPr>
            <w:tcW w:w="631" w:type="pct"/>
            <w:tcBorders>
              <w:top w:val="nil"/>
              <w:left w:val="nil"/>
              <w:bottom w:val="single" w:sz="4" w:space="0" w:color="auto"/>
              <w:right w:val="single" w:sz="8" w:space="0" w:color="auto"/>
            </w:tcBorders>
            <w:shd w:val="clear" w:color="auto" w:fill="auto"/>
            <w:noWrap/>
            <w:vAlign w:val="center"/>
            <w:hideMark/>
          </w:tcPr>
          <w:p w14:paraId="62EDC777"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33,7%</w:t>
            </w:r>
          </w:p>
        </w:tc>
        <w:tc>
          <w:tcPr>
            <w:tcW w:w="255" w:type="pct"/>
            <w:tcBorders>
              <w:top w:val="single" w:sz="4" w:space="0" w:color="auto"/>
              <w:left w:val="single" w:sz="8" w:space="0" w:color="auto"/>
              <w:bottom w:val="single" w:sz="4" w:space="0" w:color="auto"/>
              <w:right w:val="single" w:sz="4" w:space="0" w:color="auto"/>
            </w:tcBorders>
            <w:shd w:val="clear" w:color="000000" w:fill="B4C6E8"/>
            <w:noWrap/>
            <w:vAlign w:val="center"/>
            <w:hideMark/>
          </w:tcPr>
          <w:p w14:paraId="5709FF50"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58</w:t>
            </w:r>
          </w:p>
        </w:tc>
        <w:tc>
          <w:tcPr>
            <w:tcW w:w="277" w:type="pc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5948D2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143</w:t>
            </w:r>
          </w:p>
        </w:tc>
        <w:tc>
          <w:tcPr>
            <w:tcW w:w="309" w:type="pct"/>
            <w:tcBorders>
              <w:top w:val="single" w:sz="4" w:space="0" w:color="auto"/>
              <w:left w:val="single" w:sz="4" w:space="0" w:color="auto"/>
              <w:bottom w:val="single" w:sz="4" w:space="0" w:color="auto"/>
              <w:right w:val="single" w:sz="4" w:space="0" w:color="auto"/>
            </w:tcBorders>
            <w:shd w:val="clear" w:color="000000" w:fill="ECF1F9"/>
            <w:noWrap/>
            <w:vAlign w:val="center"/>
            <w:hideMark/>
          </w:tcPr>
          <w:p w14:paraId="1EF8235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15</w:t>
            </w:r>
          </w:p>
        </w:tc>
        <w:tc>
          <w:tcPr>
            <w:tcW w:w="309"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14:paraId="30711C2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16</w:t>
            </w:r>
          </w:p>
        </w:tc>
        <w:tc>
          <w:tcPr>
            <w:tcW w:w="277" w:type="pct"/>
            <w:tcBorders>
              <w:top w:val="single" w:sz="4" w:space="0" w:color="auto"/>
              <w:left w:val="single" w:sz="4" w:space="0" w:color="auto"/>
              <w:bottom w:val="single" w:sz="4" w:space="0" w:color="auto"/>
              <w:right w:val="single" w:sz="4" w:space="0" w:color="auto"/>
            </w:tcBorders>
            <w:shd w:val="clear" w:color="000000" w:fill="F0F4FB"/>
            <w:noWrap/>
            <w:vAlign w:val="center"/>
            <w:hideMark/>
          </w:tcPr>
          <w:p w14:paraId="7E519938"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12</w:t>
            </w:r>
          </w:p>
        </w:tc>
        <w:tc>
          <w:tcPr>
            <w:tcW w:w="309" w:type="pct"/>
            <w:tcBorders>
              <w:top w:val="single" w:sz="4" w:space="0" w:color="auto"/>
              <w:left w:val="single" w:sz="4" w:space="0" w:color="auto"/>
              <w:bottom w:val="single" w:sz="4" w:space="0" w:color="auto"/>
              <w:right w:val="single" w:sz="4" w:space="0" w:color="auto"/>
            </w:tcBorders>
            <w:shd w:val="clear" w:color="000000" w:fill="D7E1F3"/>
            <w:noWrap/>
            <w:vAlign w:val="center"/>
            <w:hideMark/>
          </w:tcPr>
          <w:p w14:paraId="1B6FFB1F"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31</w:t>
            </w:r>
          </w:p>
        </w:tc>
        <w:tc>
          <w:tcPr>
            <w:tcW w:w="340" w:type="pct"/>
            <w:tcBorders>
              <w:top w:val="single" w:sz="4" w:space="0" w:color="auto"/>
              <w:left w:val="single" w:sz="4" w:space="0" w:color="auto"/>
              <w:bottom w:val="single" w:sz="4" w:space="0" w:color="auto"/>
              <w:right w:val="single" w:sz="4" w:space="0" w:color="auto"/>
            </w:tcBorders>
            <w:shd w:val="clear" w:color="000000" w:fill="A4BAE3"/>
            <w:noWrap/>
            <w:vAlign w:val="center"/>
            <w:hideMark/>
          </w:tcPr>
          <w:p w14:paraId="32019ED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70</w:t>
            </w:r>
          </w:p>
        </w:tc>
        <w:tc>
          <w:tcPr>
            <w:tcW w:w="372" w:type="pct"/>
            <w:tcBorders>
              <w:top w:val="single" w:sz="4" w:space="0" w:color="auto"/>
              <w:left w:val="single" w:sz="4" w:space="0" w:color="auto"/>
              <w:bottom w:val="single" w:sz="4" w:space="0" w:color="auto"/>
              <w:right w:val="single" w:sz="4" w:space="0" w:color="auto"/>
            </w:tcBorders>
            <w:shd w:val="clear" w:color="000000" w:fill="547EC9"/>
            <w:noWrap/>
            <w:vAlign w:val="center"/>
            <w:hideMark/>
          </w:tcPr>
          <w:p w14:paraId="0336878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131</w:t>
            </w:r>
          </w:p>
        </w:tc>
        <w:tc>
          <w:tcPr>
            <w:tcW w:w="309" w:type="pct"/>
            <w:tcBorders>
              <w:top w:val="single" w:sz="4" w:space="0" w:color="auto"/>
              <w:left w:val="single" w:sz="4" w:space="0" w:color="auto"/>
              <w:bottom w:val="single" w:sz="4" w:space="0" w:color="auto"/>
              <w:right w:val="single" w:sz="4" w:space="0" w:color="auto"/>
            </w:tcBorders>
            <w:shd w:val="clear" w:color="000000" w:fill="DDE6F5"/>
            <w:noWrap/>
            <w:vAlign w:val="center"/>
            <w:hideMark/>
          </w:tcPr>
          <w:p w14:paraId="5DF90F97"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26</w:t>
            </w:r>
          </w:p>
        </w:tc>
        <w:tc>
          <w:tcPr>
            <w:tcW w:w="277" w:type="pct"/>
            <w:tcBorders>
              <w:top w:val="single" w:sz="4" w:space="0" w:color="auto"/>
              <w:left w:val="single" w:sz="4" w:space="0" w:color="auto"/>
              <w:bottom w:val="single" w:sz="4" w:space="0" w:color="auto"/>
              <w:right w:val="single" w:sz="8" w:space="0" w:color="auto"/>
            </w:tcBorders>
            <w:shd w:val="clear" w:color="000000" w:fill="F4F7FC"/>
            <w:noWrap/>
            <w:vAlign w:val="center"/>
            <w:hideMark/>
          </w:tcPr>
          <w:p w14:paraId="36D808BF"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w:t>
            </w:r>
          </w:p>
        </w:tc>
      </w:tr>
      <w:tr w:rsidR="00C22C26" w:rsidRPr="00DF284B" w14:paraId="740E4EA9"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26666276"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2020</w:t>
            </w:r>
          </w:p>
        </w:tc>
        <w:tc>
          <w:tcPr>
            <w:tcW w:w="739" w:type="pct"/>
            <w:tcBorders>
              <w:top w:val="nil"/>
              <w:left w:val="nil"/>
              <w:bottom w:val="single" w:sz="4" w:space="0" w:color="auto"/>
              <w:right w:val="single" w:sz="4" w:space="0" w:color="auto"/>
            </w:tcBorders>
            <w:shd w:val="clear" w:color="auto" w:fill="auto"/>
            <w:noWrap/>
            <w:vAlign w:val="center"/>
            <w:hideMark/>
          </w:tcPr>
          <w:p w14:paraId="40DC05B6"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228</w:t>
            </w:r>
          </w:p>
        </w:tc>
        <w:tc>
          <w:tcPr>
            <w:tcW w:w="631" w:type="pct"/>
            <w:tcBorders>
              <w:top w:val="nil"/>
              <w:left w:val="nil"/>
              <w:bottom w:val="single" w:sz="4" w:space="0" w:color="auto"/>
              <w:right w:val="single" w:sz="8" w:space="0" w:color="auto"/>
            </w:tcBorders>
            <w:shd w:val="clear" w:color="auto" w:fill="auto"/>
            <w:noWrap/>
            <w:vAlign w:val="center"/>
            <w:hideMark/>
          </w:tcPr>
          <w:p w14:paraId="53D3DD7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15,0%</w:t>
            </w:r>
          </w:p>
        </w:tc>
        <w:tc>
          <w:tcPr>
            <w:tcW w:w="255" w:type="pct"/>
            <w:tcBorders>
              <w:top w:val="single" w:sz="4" w:space="0" w:color="auto"/>
              <w:left w:val="single" w:sz="8" w:space="0" w:color="auto"/>
              <w:bottom w:val="single" w:sz="4" w:space="0" w:color="auto"/>
              <w:right w:val="single" w:sz="4" w:space="0" w:color="auto"/>
            </w:tcBorders>
            <w:shd w:val="clear" w:color="000000" w:fill="E3EAF6"/>
            <w:noWrap/>
            <w:vAlign w:val="center"/>
            <w:hideMark/>
          </w:tcPr>
          <w:p w14:paraId="01E45A4E"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22</w:t>
            </w:r>
          </w:p>
        </w:tc>
        <w:tc>
          <w:tcPr>
            <w:tcW w:w="277" w:type="pct"/>
            <w:tcBorders>
              <w:top w:val="single" w:sz="4" w:space="0" w:color="auto"/>
              <w:left w:val="single" w:sz="4" w:space="0" w:color="auto"/>
              <w:bottom w:val="single" w:sz="4" w:space="0" w:color="auto"/>
              <w:right w:val="single" w:sz="4" w:space="0" w:color="auto"/>
            </w:tcBorders>
            <w:shd w:val="clear" w:color="000000" w:fill="E7EDF8"/>
            <w:noWrap/>
            <w:vAlign w:val="center"/>
            <w:hideMark/>
          </w:tcPr>
          <w:p w14:paraId="306912A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19</w:t>
            </w:r>
          </w:p>
        </w:tc>
        <w:tc>
          <w:tcPr>
            <w:tcW w:w="309" w:type="pct"/>
            <w:tcBorders>
              <w:top w:val="single" w:sz="4" w:space="0" w:color="auto"/>
              <w:left w:val="single" w:sz="4" w:space="0" w:color="auto"/>
              <w:bottom w:val="single" w:sz="4" w:space="0" w:color="auto"/>
              <w:right w:val="single" w:sz="4" w:space="0" w:color="auto"/>
            </w:tcBorders>
            <w:shd w:val="clear" w:color="000000" w:fill="F2F6FB"/>
            <w:noWrap/>
            <w:vAlign w:val="center"/>
            <w:hideMark/>
          </w:tcPr>
          <w:p w14:paraId="49FDE3A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10</w:t>
            </w:r>
          </w:p>
        </w:tc>
        <w:tc>
          <w:tcPr>
            <w:tcW w:w="309" w:type="pct"/>
            <w:tcBorders>
              <w:top w:val="single" w:sz="4" w:space="0" w:color="auto"/>
              <w:left w:val="single" w:sz="4" w:space="0" w:color="auto"/>
              <w:bottom w:val="single" w:sz="4" w:space="0" w:color="auto"/>
              <w:right w:val="single" w:sz="4" w:space="0" w:color="auto"/>
            </w:tcBorders>
            <w:shd w:val="clear" w:color="000000" w:fill="F6F9FD"/>
            <w:noWrap/>
            <w:vAlign w:val="center"/>
            <w:hideMark/>
          </w:tcPr>
          <w:p w14:paraId="2C13F4C8"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7</w:t>
            </w:r>
          </w:p>
        </w:tc>
        <w:tc>
          <w:tcPr>
            <w:tcW w:w="277" w:type="pct"/>
            <w:tcBorders>
              <w:top w:val="single" w:sz="4" w:space="0" w:color="auto"/>
              <w:left w:val="single" w:sz="4" w:space="0" w:color="auto"/>
              <w:bottom w:val="single" w:sz="4" w:space="0" w:color="auto"/>
              <w:right w:val="single" w:sz="4" w:space="0" w:color="auto"/>
            </w:tcBorders>
            <w:shd w:val="clear" w:color="000000" w:fill="F1F5FB"/>
            <w:noWrap/>
            <w:vAlign w:val="center"/>
            <w:hideMark/>
          </w:tcPr>
          <w:p w14:paraId="14A2787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11</w:t>
            </w:r>
          </w:p>
        </w:tc>
        <w:tc>
          <w:tcPr>
            <w:tcW w:w="309" w:type="pct"/>
            <w:tcBorders>
              <w:top w:val="single" w:sz="4" w:space="0" w:color="auto"/>
              <w:left w:val="single" w:sz="4" w:space="0" w:color="auto"/>
              <w:bottom w:val="single" w:sz="4" w:space="0" w:color="auto"/>
              <w:right w:val="single" w:sz="4" w:space="0" w:color="auto"/>
            </w:tcBorders>
            <w:shd w:val="clear" w:color="000000" w:fill="E1E9F6"/>
            <w:noWrap/>
            <w:vAlign w:val="center"/>
            <w:hideMark/>
          </w:tcPr>
          <w:p w14:paraId="37F3747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23</w:t>
            </w:r>
          </w:p>
        </w:tc>
        <w:tc>
          <w:tcPr>
            <w:tcW w:w="340" w:type="pct"/>
            <w:tcBorders>
              <w:top w:val="single" w:sz="4" w:space="0" w:color="auto"/>
              <w:left w:val="single" w:sz="4" w:space="0" w:color="auto"/>
              <w:bottom w:val="single" w:sz="4" w:space="0" w:color="auto"/>
              <w:right w:val="single" w:sz="4" w:space="0" w:color="auto"/>
            </w:tcBorders>
            <w:shd w:val="clear" w:color="000000" w:fill="CBD8EF"/>
            <w:noWrap/>
            <w:vAlign w:val="center"/>
            <w:hideMark/>
          </w:tcPr>
          <w:p w14:paraId="11C71AC0"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40</w:t>
            </w:r>
          </w:p>
        </w:tc>
        <w:tc>
          <w:tcPr>
            <w:tcW w:w="372" w:type="pct"/>
            <w:tcBorders>
              <w:top w:val="single" w:sz="4" w:space="0" w:color="auto"/>
              <w:left w:val="single" w:sz="4" w:space="0" w:color="auto"/>
              <w:bottom w:val="single" w:sz="4" w:space="0" w:color="auto"/>
              <w:right w:val="single" w:sz="4" w:space="0" w:color="auto"/>
            </w:tcBorders>
            <w:shd w:val="clear" w:color="000000" w:fill="9CB5E0"/>
            <w:noWrap/>
            <w:vAlign w:val="center"/>
            <w:hideMark/>
          </w:tcPr>
          <w:p w14:paraId="1E59E95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76</w:t>
            </w:r>
          </w:p>
        </w:tc>
        <w:tc>
          <w:tcPr>
            <w:tcW w:w="309" w:type="pct"/>
            <w:tcBorders>
              <w:top w:val="single" w:sz="4" w:space="0" w:color="auto"/>
              <w:left w:val="single" w:sz="4" w:space="0" w:color="auto"/>
              <w:bottom w:val="single" w:sz="4" w:space="0" w:color="auto"/>
              <w:right w:val="single" w:sz="4" w:space="0" w:color="auto"/>
            </w:tcBorders>
            <w:shd w:val="clear" w:color="000000" w:fill="E5ECF7"/>
            <w:noWrap/>
            <w:vAlign w:val="center"/>
            <w:hideMark/>
          </w:tcPr>
          <w:p w14:paraId="7A5A04F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20</w:t>
            </w:r>
          </w:p>
        </w:tc>
        <w:tc>
          <w:tcPr>
            <w:tcW w:w="277"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A7DB825"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r>
      <w:tr w:rsidR="00C22C26" w:rsidRPr="00DF284B" w14:paraId="2DE559D1"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63ECA6D3"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2021</w:t>
            </w:r>
          </w:p>
        </w:tc>
        <w:tc>
          <w:tcPr>
            <w:tcW w:w="739" w:type="pct"/>
            <w:tcBorders>
              <w:top w:val="nil"/>
              <w:left w:val="nil"/>
              <w:bottom w:val="single" w:sz="4" w:space="0" w:color="auto"/>
              <w:right w:val="single" w:sz="4" w:space="0" w:color="auto"/>
            </w:tcBorders>
            <w:shd w:val="clear" w:color="auto" w:fill="auto"/>
            <w:noWrap/>
            <w:vAlign w:val="center"/>
            <w:hideMark/>
          </w:tcPr>
          <w:p w14:paraId="08C8C931"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49</w:t>
            </w:r>
          </w:p>
        </w:tc>
        <w:tc>
          <w:tcPr>
            <w:tcW w:w="631" w:type="pct"/>
            <w:tcBorders>
              <w:top w:val="nil"/>
              <w:left w:val="nil"/>
              <w:bottom w:val="single" w:sz="4" w:space="0" w:color="auto"/>
              <w:right w:val="single" w:sz="8" w:space="0" w:color="auto"/>
            </w:tcBorders>
            <w:shd w:val="clear" w:color="auto" w:fill="auto"/>
            <w:noWrap/>
            <w:vAlign w:val="center"/>
            <w:hideMark/>
          </w:tcPr>
          <w:p w14:paraId="19DB1CC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3,2%</w:t>
            </w:r>
          </w:p>
        </w:tc>
        <w:tc>
          <w:tcPr>
            <w:tcW w:w="255" w:type="pct"/>
            <w:tcBorders>
              <w:top w:val="single" w:sz="4" w:space="0" w:color="auto"/>
              <w:left w:val="single" w:sz="8" w:space="0" w:color="auto"/>
              <w:bottom w:val="single" w:sz="4" w:space="0" w:color="auto"/>
              <w:right w:val="single" w:sz="4" w:space="0" w:color="auto"/>
            </w:tcBorders>
            <w:shd w:val="clear" w:color="000000" w:fill="F9FBFD"/>
            <w:noWrap/>
            <w:vAlign w:val="center"/>
            <w:hideMark/>
          </w:tcPr>
          <w:p w14:paraId="05EC4FDF"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5</w:t>
            </w:r>
          </w:p>
        </w:tc>
        <w:tc>
          <w:tcPr>
            <w:tcW w:w="277" w:type="pct"/>
            <w:tcBorders>
              <w:top w:val="single" w:sz="4" w:space="0" w:color="auto"/>
              <w:left w:val="single" w:sz="4" w:space="0" w:color="auto"/>
              <w:bottom w:val="single" w:sz="4" w:space="0" w:color="auto"/>
              <w:right w:val="single" w:sz="4" w:space="0" w:color="auto"/>
            </w:tcBorders>
            <w:shd w:val="clear" w:color="000000" w:fill="FCFDFE"/>
            <w:noWrap/>
            <w:vAlign w:val="center"/>
            <w:hideMark/>
          </w:tcPr>
          <w:p w14:paraId="55C0D35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w:t>
            </w:r>
          </w:p>
        </w:tc>
        <w:tc>
          <w:tcPr>
            <w:tcW w:w="309" w:type="pct"/>
            <w:tcBorders>
              <w:top w:val="single" w:sz="4" w:space="0" w:color="auto"/>
              <w:left w:val="single" w:sz="4" w:space="0" w:color="auto"/>
              <w:bottom w:val="single" w:sz="4" w:space="0" w:color="auto"/>
              <w:right w:val="single" w:sz="4" w:space="0" w:color="auto"/>
            </w:tcBorders>
            <w:shd w:val="clear" w:color="000000" w:fill="FEFFFF"/>
            <w:noWrap/>
            <w:vAlign w:val="center"/>
            <w:hideMark/>
          </w:tcPr>
          <w:p w14:paraId="617956D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w:t>
            </w:r>
          </w:p>
        </w:tc>
        <w:tc>
          <w:tcPr>
            <w:tcW w:w="309" w:type="pct"/>
            <w:tcBorders>
              <w:top w:val="single" w:sz="4" w:space="0" w:color="auto"/>
              <w:left w:val="single" w:sz="4" w:space="0" w:color="auto"/>
              <w:bottom w:val="single" w:sz="4" w:space="0" w:color="auto"/>
              <w:right w:val="single" w:sz="4" w:space="0" w:color="auto"/>
            </w:tcBorders>
            <w:shd w:val="clear" w:color="000000" w:fill="FEFFFF"/>
            <w:noWrap/>
            <w:vAlign w:val="center"/>
            <w:hideMark/>
          </w:tcPr>
          <w:p w14:paraId="0705A84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5D01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4F7FC"/>
            <w:noWrap/>
            <w:vAlign w:val="center"/>
            <w:hideMark/>
          </w:tcPr>
          <w:p w14:paraId="02DDA8F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w:t>
            </w:r>
          </w:p>
        </w:tc>
        <w:tc>
          <w:tcPr>
            <w:tcW w:w="340" w:type="pct"/>
            <w:tcBorders>
              <w:top w:val="single" w:sz="4" w:space="0" w:color="auto"/>
              <w:left w:val="single" w:sz="4" w:space="0" w:color="auto"/>
              <w:bottom w:val="single" w:sz="4" w:space="0" w:color="auto"/>
              <w:right w:val="single" w:sz="4" w:space="0" w:color="auto"/>
            </w:tcBorders>
            <w:shd w:val="clear" w:color="000000" w:fill="F4F7FC"/>
            <w:noWrap/>
            <w:vAlign w:val="center"/>
            <w:hideMark/>
          </w:tcPr>
          <w:p w14:paraId="0CA83A6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9</w:t>
            </w:r>
          </w:p>
        </w:tc>
        <w:tc>
          <w:tcPr>
            <w:tcW w:w="372"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14:paraId="2CD4D151"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16</w:t>
            </w:r>
          </w:p>
        </w:tc>
        <w:tc>
          <w:tcPr>
            <w:tcW w:w="309" w:type="pct"/>
            <w:tcBorders>
              <w:top w:val="single" w:sz="4" w:space="0" w:color="auto"/>
              <w:left w:val="single" w:sz="4" w:space="0" w:color="auto"/>
              <w:bottom w:val="single" w:sz="4" w:space="0" w:color="auto"/>
              <w:right w:val="single" w:sz="4" w:space="0" w:color="auto"/>
            </w:tcBorders>
            <w:shd w:val="clear" w:color="000000" w:fill="F9FBFD"/>
            <w:noWrap/>
            <w:vAlign w:val="center"/>
            <w:hideMark/>
          </w:tcPr>
          <w:p w14:paraId="7B6EE9B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5</w:t>
            </w:r>
          </w:p>
        </w:tc>
        <w:tc>
          <w:tcPr>
            <w:tcW w:w="277"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909894E"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r>
      <w:tr w:rsidR="00C22C26" w:rsidRPr="00DF284B" w14:paraId="01B8E214"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52B370A8"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2022</w:t>
            </w:r>
          </w:p>
        </w:tc>
        <w:tc>
          <w:tcPr>
            <w:tcW w:w="739" w:type="pct"/>
            <w:tcBorders>
              <w:top w:val="nil"/>
              <w:left w:val="nil"/>
              <w:bottom w:val="single" w:sz="4" w:space="0" w:color="auto"/>
              <w:right w:val="single" w:sz="4" w:space="0" w:color="auto"/>
            </w:tcBorders>
            <w:shd w:val="clear" w:color="auto" w:fill="auto"/>
            <w:noWrap/>
            <w:vAlign w:val="center"/>
            <w:hideMark/>
          </w:tcPr>
          <w:p w14:paraId="48F5ACAE"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10</w:t>
            </w:r>
          </w:p>
        </w:tc>
        <w:tc>
          <w:tcPr>
            <w:tcW w:w="631" w:type="pct"/>
            <w:tcBorders>
              <w:top w:val="nil"/>
              <w:left w:val="nil"/>
              <w:bottom w:val="single" w:sz="4" w:space="0" w:color="auto"/>
              <w:right w:val="single" w:sz="8" w:space="0" w:color="auto"/>
            </w:tcBorders>
            <w:shd w:val="clear" w:color="auto" w:fill="auto"/>
            <w:noWrap/>
            <w:vAlign w:val="center"/>
            <w:hideMark/>
          </w:tcPr>
          <w:p w14:paraId="13EE6C4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0,7%</w:t>
            </w:r>
          </w:p>
        </w:tc>
        <w:tc>
          <w:tcPr>
            <w:tcW w:w="255"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CBC83D6"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CFDFE"/>
            <w:noWrap/>
            <w:vAlign w:val="center"/>
            <w:hideMark/>
          </w:tcPr>
          <w:p w14:paraId="271A6A62"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w:t>
            </w:r>
          </w:p>
        </w:tc>
        <w:tc>
          <w:tcPr>
            <w:tcW w:w="309" w:type="pct"/>
            <w:tcBorders>
              <w:top w:val="single" w:sz="4" w:space="0" w:color="auto"/>
              <w:left w:val="single" w:sz="4" w:space="0" w:color="auto"/>
              <w:bottom w:val="single" w:sz="4" w:space="0" w:color="auto"/>
              <w:right w:val="single" w:sz="4" w:space="0" w:color="auto"/>
            </w:tcBorders>
            <w:shd w:val="clear" w:color="000000" w:fill="FEFFFF"/>
            <w:noWrap/>
            <w:vAlign w:val="center"/>
            <w:hideMark/>
          </w:tcPr>
          <w:p w14:paraId="3B6FE993"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07A2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BFF0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32127"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BDA2A"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72" w:type="pct"/>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4FBD66F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w:t>
            </w:r>
          </w:p>
        </w:tc>
        <w:tc>
          <w:tcPr>
            <w:tcW w:w="309" w:type="pct"/>
            <w:tcBorders>
              <w:top w:val="single" w:sz="4" w:space="0" w:color="auto"/>
              <w:left w:val="single" w:sz="4" w:space="0" w:color="auto"/>
              <w:bottom w:val="single" w:sz="4" w:space="0" w:color="auto"/>
              <w:right w:val="single" w:sz="4" w:space="0" w:color="auto"/>
            </w:tcBorders>
            <w:shd w:val="clear" w:color="000000" w:fill="FDFEFF"/>
            <w:noWrap/>
            <w:vAlign w:val="center"/>
            <w:hideMark/>
          </w:tcPr>
          <w:p w14:paraId="30249057"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w:t>
            </w:r>
          </w:p>
        </w:tc>
        <w:tc>
          <w:tcPr>
            <w:tcW w:w="277"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05C2155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r>
      <w:tr w:rsidR="00C22C26" w:rsidRPr="00DF284B" w14:paraId="75D51296" w14:textId="77777777" w:rsidTr="00E6171D">
        <w:trPr>
          <w:trHeight w:val="300"/>
        </w:trPr>
        <w:tc>
          <w:tcPr>
            <w:tcW w:w="598" w:type="pct"/>
            <w:tcBorders>
              <w:top w:val="nil"/>
              <w:left w:val="single" w:sz="8" w:space="0" w:color="auto"/>
              <w:bottom w:val="single" w:sz="4" w:space="0" w:color="auto"/>
              <w:right w:val="single" w:sz="4" w:space="0" w:color="auto"/>
            </w:tcBorders>
            <w:shd w:val="clear" w:color="auto" w:fill="auto"/>
            <w:vAlign w:val="center"/>
            <w:hideMark/>
          </w:tcPr>
          <w:p w14:paraId="2CC5D356" w14:textId="77777777" w:rsidR="00DF284B" w:rsidRPr="00DF284B" w:rsidRDefault="00DF284B" w:rsidP="00D063AD">
            <w:pPr>
              <w:spacing w:before="0" w:after="0" w:line="240" w:lineRule="auto"/>
              <w:jc w:val="center"/>
              <w:rPr>
                <w:rFonts w:cs="Calibri"/>
                <w:color w:val="000000"/>
                <w:sz w:val="18"/>
                <w:szCs w:val="18"/>
              </w:rPr>
            </w:pPr>
            <w:r w:rsidRPr="00DF284B">
              <w:rPr>
                <w:rFonts w:cs="Calibri"/>
                <w:color w:val="000000"/>
                <w:sz w:val="18"/>
                <w:szCs w:val="18"/>
              </w:rPr>
              <w:t>2023</w:t>
            </w:r>
          </w:p>
        </w:tc>
        <w:tc>
          <w:tcPr>
            <w:tcW w:w="739" w:type="pct"/>
            <w:tcBorders>
              <w:top w:val="nil"/>
              <w:left w:val="nil"/>
              <w:bottom w:val="single" w:sz="4" w:space="0" w:color="auto"/>
              <w:right w:val="single" w:sz="4" w:space="0" w:color="auto"/>
            </w:tcBorders>
            <w:shd w:val="clear" w:color="auto" w:fill="auto"/>
            <w:noWrap/>
            <w:vAlign w:val="center"/>
            <w:hideMark/>
          </w:tcPr>
          <w:p w14:paraId="3C495B51" w14:textId="77777777" w:rsidR="00DF284B" w:rsidRPr="00DF284B" w:rsidRDefault="00DF284B">
            <w:pPr>
              <w:spacing w:before="0" w:after="0" w:line="240" w:lineRule="auto"/>
              <w:jc w:val="center"/>
              <w:rPr>
                <w:rFonts w:cs="Calibri"/>
                <w:color w:val="000000"/>
                <w:sz w:val="18"/>
                <w:szCs w:val="18"/>
              </w:rPr>
            </w:pPr>
            <w:r w:rsidRPr="00DF284B">
              <w:rPr>
                <w:rFonts w:cs="Calibri"/>
                <w:color w:val="000000"/>
                <w:sz w:val="18"/>
                <w:szCs w:val="18"/>
              </w:rPr>
              <w:t>15</w:t>
            </w:r>
          </w:p>
        </w:tc>
        <w:tc>
          <w:tcPr>
            <w:tcW w:w="631" w:type="pct"/>
            <w:tcBorders>
              <w:top w:val="nil"/>
              <w:left w:val="nil"/>
              <w:bottom w:val="single" w:sz="4" w:space="0" w:color="auto"/>
              <w:right w:val="single" w:sz="8" w:space="0" w:color="auto"/>
            </w:tcBorders>
            <w:shd w:val="clear" w:color="auto" w:fill="auto"/>
            <w:noWrap/>
            <w:vAlign w:val="center"/>
            <w:hideMark/>
          </w:tcPr>
          <w:p w14:paraId="6541116F"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1,0%</w:t>
            </w:r>
          </w:p>
        </w:tc>
        <w:tc>
          <w:tcPr>
            <w:tcW w:w="255" w:type="pct"/>
            <w:tcBorders>
              <w:top w:val="single" w:sz="4" w:space="0" w:color="auto"/>
              <w:left w:val="single" w:sz="8" w:space="0" w:color="auto"/>
              <w:bottom w:val="single" w:sz="4" w:space="0" w:color="auto"/>
              <w:right w:val="single" w:sz="4" w:space="0" w:color="auto"/>
            </w:tcBorders>
            <w:shd w:val="clear" w:color="000000" w:fill="FDFEFF"/>
            <w:noWrap/>
            <w:vAlign w:val="center"/>
            <w:hideMark/>
          </w:tcPr>
          <w:p w14:paraId="0C46B574"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2</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BECB9"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536EB"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EFFFF"/>
            <w:noWrap/>
            <w:vAlign w:val="center"/>
            <w:hideMark/>
          </w:tcPr>
          <w:p w14:paraId="4A38BAA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1</w:t>
            </w:r>
          </w:p>
        </w:tc>
        <w:tc>
          <w:tcPr>
            <w:tcW w:w="2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E4880"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309" w:type="pct"/>
            <w:tcBorders>
              <w:top w:val="single" w:sz="4" w:space="0" w:color="auto"/>
              <w:left w:val="single" w:sz="4" w:space="0" w:color="auto"/>
              <w:bottom w:val="single" w:sz="4" w:space="0" w:color="auto"/>
              <w:right w:val="single" w:sz="4" w:space="0" w:color="auto"/>
            </w:tcBorders>
            <w:shd w:val="clear" w:color="000000" w:fill="FCFDFE"/>
            <w:noWrap/>
            <w:vAlign w:val="center"/>
            <w:hideMark/>
          </w:tcPr>
          <w:p w14:paraId="2510458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3</w:t>
            </w:r>
          </w:p>
        </w:tc>
        <w:tc>
          <w:tcPr>
            <w:tcW w:w="340" w:type="pct"/>
            <w:tcBorders>
              <w:top w:val="single" w:sz="4" w:space="0" w:color="auto"/>
              <w:left w:val="single" w:sz="4" w:space="0" w:color="auto"/>
              <w:bottom w:val="single" w:sz="4" w:space="0" w:color="auto"/>
              <w:right w:val="single" w:sz="4" w:space="0" w:color="auto"/>
            </w:tcBorders>
            <w:shd w:val="clear" w:color="000000" w:fill="FAFCFE"/>
            <w:noWrap/>
            <w:vAlign w:val="center"/>
            <w:hideMark/>
          </w:tcPr>
          <w:p w14:paraId="7C48C6D3"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4</w:t>
            </w:r>
          </w:p>
        </w:tc>
        <w:tc>
          <w:tcPr>
            <w:tcW w:w="372" w:type="pct"/>
            <w:tcBorders>
              <w:top w:val="single" w:sz="4" w:space="0" w:color="auto"/>
              <w:left w:val="single" w:sz="4" w:space="0" w:color="auto"/>
              <w:bottom w:val="single" w:sz="4" w:space="0" w:color="auto"/>
              <w:right w:val="single" w:sz="4" w:space="0" w:color="auto"/>
            </w:tcBorders>
            <w:shd w:val="clear" w:color="000000" w:fill="F9FBFD"/>
            <w:noWrap/>
            <w:vAlign w:val="center"/>
            <w:hideMark/>
          </w:tcPr>
          <w:p w14:paraId="0F008AFC"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5</w:t>
            </w:r>
          </w:p>
        </w:tc>
        <w:tc>
          <w:tcPr>
            <w:tcW w:w="3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0A29E"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c>
          <w:tcPr>
            <w:tcW w:w="277" w:type="pc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ECB3C4D" w14:textId="77777777" w:rsidR="00DF284B" w:rsidRPr="00DF284B" w:rsidRDefault="00DF284B">
            <w:pPr>
              <w:spacing w:before="0" w:after="0" w:line="240" w:lineRule="auto"/>
              <w:jc w:val="right"/>
              <w:rPr>
                <w:rFonts w:cs="Calibri"/>
                <w:color w:val="000000"/>
                <w:sz w:val="18"/>
                <w:szCs w:val="18"/>
              </w:rPr>
            </w:pPr>
            <w:r w:rsidRPr="00DF284B">
              <w:rPr>
                <w:rFonts w:cs="Calibri"/>
                <w:color w:val="000000"/>
                <w:sz w:val="18"/>
                <w:szCs w:val="18"/>
              </w:rPr>
              <w:t>0</w:t>
            </w:r>
          </w:p>
        </w:tc>
      </w:tr>
      <w:tr w:rsidR="00DF284B" w:rsidRPr="00DF284B" w14:paraId="64EB8622" w14:textId="77777777" w:rsidTr="00E6171D">
        <w:trPr>
          <w:trHeight w:val="315"/>
        </w:trPr>
        <w:tc>
          <w:tcPr>
            <w:tcW w:w="598" w:type="pct"/>
            <w:tcBorders>
              <w:top w:val="nil"/>
              <w:left w:val="single" w:sz="8" w:space="0" w:color="auto"/>
              <w:bottom w:val="single" w:sz="8" w:space="0" w:color="auto"/>
              <w:right w:val="single" w:sz="4" w:space="0" w:color="auto"/>
            </w:tcBorders>
            <w:shd w:val="clear" w:color="auto" w:fill="auto"/>
            <w:vAlign w:val="center"/>
            <w:hideMark/>
          </w:tcPr>
          <w:p w14:paraId="0A3702AD" w14:textId="77777777" w:rsidR="00DF284B" w:rsidRPr="00AD5B58" w:rsidRDefault="00DF284B" w:rsidP="00D063AD">
            <w:pPr>
              <w:spacing w:before="0" w:after="0" w:line="240" w:lineRule="auto"/>
              <w:jc w:val="center"/>
              <w:rPr>
                <w:rFonts w:cs="Calibri"/>
                <w:b/>
                <w:bCs/>
                <w:color w:val="000000"/>
                <w:sz w:val="18"/>
                <w:szCs w:val="18"/>
              </w:rPr>
            </w:pPr>
            <w:r w:rsidRPr="00AD5B58">
              <w:rPr>
                <w:rFonts w:cs="Calibri"/>
                <w:b/>
                <w:bCs/>
                <w:color w:val="000000"/>
                <w:sz w:val="18"/>
                <w:szCs w:val="18"/>
              </w:rPr>
              <w:t>Ogółem</w:t>
            </w:r>
          </w:p>
        </w:tc>
        <w:tc>
          <w:tcPr>
            <w:tcW w:w="739" w:type="pct"/>
            <w:tcBorders>
              <w:top w:val="nil"/>
              <w:left w:val="nil"/>
              <w:bottom w:val="single" w:sz="8" w:space="0" w:color="auto"/>
              <w:right w:val="single" w:sz="4" w:space="0" w:color="auto"/>
            </w:tcBorders>
            <w:shd w:val="clear" w:color="auto" w:fill="auto"/>
            <w:noWrap/>
            <w:vAlign w:val="center"/>
            <w:hideMark/>
          </w:tcPr>
          <w:p w14:paraId="7B6E55D3" w14:textId="77777777" w:rsidR="00DF284B" w:rsidRPr="00AD5B58" w:rsidRDefault="00DF284B">
            <w:pPr>
              <w:spacing w:before="0" w:after="0" w:line="240" w:lineRule="auto"/>
              <w:jc w:val="center"/>
              <w:rPr>
                <w:rFonts w:cs="Calibri"/>
                <w:b/>
                <w:bCs/>
                <w:color w:val="000000"/>
                <w:sz w:val="18"/>
                <w:szCs w:val="18"/>
              </w:rPr>
            </w:pPr>
            <w:r w:rsidRPr="00AD5B58">
              <w:rPr>
                <w:rFonts w:cs="Calibri"/>
                <w:b/>
                <w:bCs/>
                <w:color w:val="000000"/>
                <w:sz w:val="18"/>
                <w:szCs w:val="18"/>
              </w:rPr>
              <w:t>1516</w:t>
            </w:r>
          </w:p>
        </w:tc>
        <w:tc>
          <w:tcPr>
            <w:tcW w:w="631" w:type="pct"/>
            <w:tcBorders>
              <w:top w:val="nil"/>
              <w:left w:val="nil"/>
              <w:bottom w:val="single" w:sz="8" w:space="0" w:color="auto"/>
              <w:right w:val="single" w:sz="8" w:space="0" w:color="auto"/>
            </w:tcBorders>
            <w:shd w:val="clear" w:color="auto" w:fill="auto"/>
            <w:noWrap/>
            <w:vAlign w:val="center"/>
            <w:hideMark/>
          </w:tcPr>
          <w:p w14:paraId="52DF7B95"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100%</w:t>
            </w:r>
          </w:p>
        </w:tc>
        <w:tc>
          <w:tcPr>
            <w:tcW w:w="255" w:type="pct"/>
            <w:tcBorders>
              <w:top w:val="nil"/>
              <w:left w:val="nil"/>
              <w:bottom w:val="single" w:sz="8" w:space="0" w:color="auto"/>
              <w:right w:val="single" w:sz="4" w:space="0" w:color="auto"/>
            </w:tcBorders>
            <w:shd w:val="clear" w:color="auto" w:fill="auto"/>
            <w:noWrap/>
            <w:vAlign w:val="center"/>
            <w:hideMark/>
          </w:tcPr>
          <w:p w14:paraId="6294EDC0"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260</w:t>
            </w:r>
          </w:p>
        </w:tc>
        <w:tc>
          <w:tcPr>
            <w:tcW w:w="277" w:type="pct"/>
            <w:tcBorders>
              <w:top w:val="nil"/>
              <w:left w:val="nil"/>
              <w:bottom w:val="single" w:sz="8" w:space="0" w:color="auto"/>
              <w:right w:val="single" w:sz="4" w:space="0" w:color="auto"/>
            </w:tcBorders>
            <w:shd w:val="clear" w:color="auto" w:fill="auto"/>
            <w:noWrap/>
            <w:vAlign w:val="center"/>
            <w:hideMark/>
          </w:tcPr>
          <w:p w14:paraId="0671CACD"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292</w:t>
            </w:r>
          </w:p>
        </w:tc>
        <w:tc>
          <w:tcPr>
            <w:tcW w:w="309" w:type="pct"/>
            <w:tcBorders>
              <w:top w:val="nil"/>
              <w:left w:val="nil"/>
              <w:bottom w:val="single" w:sz="8" w:space="0" w:color="auto"/>
              <w:right w:val="single" w:sz="4" w:space="0" w:color="auto"/>
            </w:tcBorders>
            <w:shd w:val="clear" w:color="auto" w:fill="auto"/>
            <w:noWrap/>
            <w:vAlign w:val="center"/>
            <w:hideMark/>
          </w:tcPr>
          <w:p w14:paraId="567DCB1A"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53</w:t>
            </w:r>
          </w:p>
        </w:tc>
        <w:tc>
          <w:tcPr>
            <w:tcW w:w="309" w:type="pct"/>
            <w:tcBorders>
              <w:top w:val="nil"/>
              <w:left w:val="nil"/>
              <w:bottom w:val="single" w:sz="8" w:space="0" w:color="auto"/>
              <w:right w:val="single" w:sz="4" w:space="0" w:color="auto"/>
            </w:tcBorders>
            <w:shd w:val="clear" w:color="auto" w:fill="auto"/>
            <w:noWrap/>
            <w:vAlign w:val="center"/>
            <w:hideMark/>
          </w:tcPr>
          <w:p w14:paraId="32E579DD"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87</w:t>
            </w:r>
          </w:p>
        </w:tc>
        <w:tc>
          <w:tcPr>
            <w:tcW w:w="277" w:type="pct"/>
            <w:tcBorders>
              <w:top w:val="nil"/>
              <w:left w:val="nil"/>
              <w:bottom w:val="single" w:sz="8" w:space="0" w:color="auto"/>
              <w:right w:val="single" w:sz="4" w:space="0" w:color="auto"/>
            </w:tcBorders>
            <w:shd w:val="clear" w:color="auto" w:fill="auto"/>
            <w:noWrap/>
            <w:vAlign w:val="center"/>
            <w:hideMark/>
          </w:tcPr>
          <w:p w14:paraId="2880EFD3"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45</w:t>
            </w:r>
          </w:p>
        </w:tc>
        <w:tc>
          <w:tcPr>
            <w:tcW w:w="309" w:type="pct"/>
            <w:tcBorders>
              <w:top w:val="nil"/>
              <w:left w:val="nil"/>
              <w:bottom w:val="single" w:sz="8" w:space="0" w:color="auto"/>
              <w:right w:val="single" w:sz="4" w:space="0" w:color="auto"/>
            </w:tcBorders>
            <w:shd w:val="clear" w:color="auto" w:fill="auto"/>
            <w:noWrap/>
            <w:vAlign w:val="center"/>
            <w:hideMark/>
          </w:tcPr>
          <w:p w14:paraId="757D31A3"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166</w:t>
            </w:r>
          </w:p>
        </w:tc>
        <w:tc>
          <w:tcPr>
            <w:tcW w:w="340" w:type="pct"/>
            <w:tcBorders>
              <w:top w:val="nil"/>
              <w:left w:val="nil"/>
              <w:bottom w:val="single" w:sz="8" w:space="0" w:color="auto"/>
              <w:right w:val="single" w:sz="4" w:space="0" w:color="auto"/>
            </w:tcBorders>
            <w:shd w:val="clear" w:color="auto" w:fill="auto"/>
            <w:noWrap/>
            <w:vAlign w:val="center"/>
            <w:hideMark/>
          </w:tcPr>
          <w:p w14:paraId="5EE63F10"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144</w:t>
            </w:r>
          </w:p>
        </w:tc>
        <w:tc>
          <w:tcPr>
            <w:tcW w:w="372" w:type="pct"/>
            <w:tcBorders>
              <w:top w:val="nil"/>
              <w:left w:val="nil"/>
              <w:bottom w:val="single" w:sz="8" w:space="0" w:color="auto"/>
              <w:right w:val="single" w:sz="4" w:space="0" w:color="auto"/>
            </w:tcBorders>
            <w:shd w:val="clear" w:color="auto" w:fill="auto"/>
            <w:noWrap/>
            <w:vAlign w:val="center"/>
            <w:hideMark/>
          </w:tcPr>
          <w:p w14:paraId="420E249A"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353</w:t>
            </w:r>
          </w:p>
        </w:tc>
        <w:tc>
          <w:tcPr>
            <w:tcW w:w="309" w:type="pct"/>
            <w:tcBorders>
              <w:top w:val="nil"/>
              <w:left w:val="nil"/>
              <w:bottom w:val="single" w:sz="8" w:space="0" w:color="auto"/>
              <w:right w:val="single" w:sz="4" w:space="0" w:color="auto"/>
            </w:tcBorders>
            <w:shd w:val="clear" w:color="auto" w:fill="auto"/>
            <w:noWrap/>
            <w:vAlign w:val="center"/>
            <w:hideMark/>
          </w:tcPr>
          <w:p w14:paraId="339EEEFA"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78</w:t>
            </w:r>
          </w:p>
        </w:tc>
        <w:tc>
          <w:tcPr>
            <w:tcW w:w="277" w:type="pct"/>
            <w:tcBorders>
              <w:top w:val="nil"/>
              <w:left w:val="nil"/>
              <w:bottom w:val="single" w:sz="8" w:space="0" w:color="auto"/>
              <w:right w:val="single" w:sz="8" w:space="0" w:color="auto"/>
            </w:tcBorders>
            <w:shd w:val="clear" w:color="auto" w:fill="auto"/>
            <w:noWrap/>
            <w:vAlign w:val="center"/>
            <w:hideMark/>
          </w:tcPr>
          <w:p w14:paraId="7342CE26" w14:textId="77777777" w:rsidR="00DF284B" w:rsidRPr="00AD5B58" w:rsidRDefault="00DF284B">
            <w:pPr>
              <w:spacing w:before="0" w:after="0" w:line="240" w:lineRule="auto"/>
              <w:jc w:val="right"/>
              <w:rPr>
                <w:rFonts w:cs="Calibri"/>
                <w:b/>
                <w:bCs/>
                <w:color w:val="000000"/>
                <w:sz w:val="18"/>
                <w:szCs w:val="18"/>
              </w:rPr>
            </w:pPr>
            <w:r w:rsidRPr="00AD5B58">
              <w:rPr>
                <w:rFonts w:cs="Calibri"/>
                <w:b/>
                <w:bCs/>
                <w:color w:val="000000"/>
                <w:sz w:val="18"/>
                <w:szCs w:val="18"/>
              </w:rPr>
              <w:t>38</w:t>
            </w:r>
          </w:p>
        </w:tc>
      </w:tr>
    </w:tbl>
    <w:p w14:paraId="3A85A9C8" w14:textId="77777777" w:rsidR="00526AA8" w:rsidRPr="00E4475B" w:rsidRDefault="00526AA8" w:rsidP="008B706B">
      <w:pPr>
        <w:spacing w:before="0"/>
        <w:rPr>
          <w:rFonts w:cs="Calibri"/>
          <w:i/>
          <w:sz w:val="18"/>
          <w:szCs w:val="20"/>
        </w:rPr>
      </w:pPr>
      <w:r w:rsidRPr="00E4475B">
        <w:rPr>
          <w:rFonts w:cs="Calibri"/>
          <w:i/>
          <w:sz w:val="18"/>
          <w:szCs w:val="20"/>
        </w:rPr>
        <w:t>Źródło: Opracowanie własne na podstawie bazy zawartych UoD, stan na dzień 7.01.2018r.</w:t>
      </w:r>
    </w:p>
    <w:p w14:paraId="34CF38EB" w14:textId="77777777" w:rsidR="00526AA8" w:rsidRDefault="00526AA8" w:rsidP="00526AA8">
      <w:r>
        <w:t xml:space="preserve">Z powyższej tabeli wynika, że większość realizowanych aktualnie projektów, powinno zakończyć się do końca 2020 roku. </w:t>
      </w:r>
      <w:r w:rsidR="00DD1D97">
        <w:t>Po 2019 roku</w:t>
      </w:r>
      <w:r>
        <w:t xml:space="preserve"> najwięcej projektów będzie zakończonych</w:t>
      </w:r>
      <w:r w:rsidR="00E66B89">
        <w:t xml:space="preserve"> w </w:t>
      </w:r>
      <w:r>
        <w:t>ramach OP VII (28%), OP IX (26%), OP V (24%), OP VIII (22%)</w:t>
      </w:r>
      <w:r w:rsidR="00E66B89">
        <w:t xml:space="preserve"> i </w:t>
      </w:r>
      <w:r>
        <w:t>OP III (19%). Dane te pośrednio</w:t>
      </w:r>
      <w:r w:rsidRPr="00A96AC2">
        <w:t xml:space="preserve"> </w:t>
      </w:r>
      <w:r>
        <w:t>pokazują jak mogłoby,</w:t>
      </w:r>
      <w:r w:rsidR="00E66B89">
        <w:t xml:space="preserve"> w </w:t>
      </w:r>
      <w:r>
        <w:t>kolejnych latach, wyglądać obciążenie obowiązkami pracowników instytucji wdrażających. Do tego należy uwzględnić jednak konieczność wdrażania nowych projektów, które będą wybrane</w:t>
      </w:r>
      <w:r w:rsidR="00E66B89">
        <w:t xml:space="preserve"> i </w:t>
      </w:r>
      <w:r>
        <w:t>realizowane</w:t>
      </w:r>
      <w:r w:rsidR="00E66B89">
        <w:t xml:space="preserve"> w </w:t>
      </w:r>
      <w:r>
        <w:t>ramach jeszcze trwających</w:t>
      </w:r>
      <w:r w:rsidR="00384277">
        <w:t>/planowanych</w:t>
      </w:r>
      <w:r>
        <w:t xml:space="preserve"> konkursów. Poza tym, fakt zakończenia rzeczowej realizacji inwestycji nie powoduje zakończenia prac po stronie IP/IZ. Zakończone projekty są rozliczane, monitorowane</w:t>
      </w:r>
      <w:r w:rsidR="00E66B89">
        <w:t xml:space="preserve"> i </w:t>
      </w:r>
      <w:r>
        <w:t>kontrolowane – np.</w:t>
      </w:r>
      <w:r w:rsidR="00E66B89">
        <w:t xml:space="preserve"> w </w:t>
      </w:r>
      <w:r>
        <w:t>zakresie utrzymania trwałości efektów – co powoduje, że pracownicy instytucji</w:t>
      </w:r>
      <w:r w:rsidR="00E66B89">
        <w:t xml:space="preserve"> w </w:t>
      </w:r>
      <w:r>
        <w:t>dalszym ciągu angażowani są</w:t>
      </w:r>
      <w:r w:rsidR="00E66B89">
        <w:t xml:space="preserve"> w </w:t>
      </w:r>
      <w:r>
        <w:t>liczne zadania</w:t>
      </w:r>
      <w:r w:rsidR="00E66B89">
        <w:t xml:space="preserve"> z </w:t>
      </w:r>
      <w:r>
        <w:t>tym związane. Ponadto, należy przypuszczać (na podstawie wyników badań terenowych), że –</w:t>
      </w:r>
      <w:r w:rsidR="00E66B89">
        <w:t xml:space="preserve"> w </w:t>
      </w:r>
      <w:r>
        <w:t>przypadku części projektów - zakładane terminy zakończenia zostaną jeszcze przesunięte</w:t>
      </w:r>
      <w:r w:rsidR="00E66B89">
        <w:t xml:space="preserve"> w </w:t>
      </w:r>
      <w:r>
        <w:t>związku</w:t>
      </w:r>
      <w:r w:rsidR="00E66B89">
        <w:t xml:space="preserve"> z </w:t>
      </w:r>
      <w:r>
        <w:t>problemami,</w:t>
      </w:r>
      <w:r w:rsidR="00E66B89">
        <w:t xml:space="preserve"> z </w:t>
      </w:r>
      <w:r>
        <w:t>jakimi borykają się aktualnie/będą się borykać beneficjenci (przede wszystkim są to problemy</w:t>
      </w:r>
      <w:r w:rsidR="00E66B89">
        <w:t xml:space="preserve"> z </w:t>
      </w:r>
      <w:r>
        <w:t>wykonawcami oraz trudności wynikające ze wzrostu kosztów poszczególnych pozycji projektów</w:t>
      </w:r>
      <w:r w:rsidRPr="00717883">
        <w:t>).</w:t>
      </w:r>
    </w:p>
    <w:p w14:paraId="0CC7725B" w14:textId="77777777" w:rsidR="00526AA8" w:rsidRDefault="00526AA8" w:rsidP="00526AA8">
      <w:r>
        <w:lastRenderedPageBreak/>
        <w:t>Biorąc pod uwagę powyższe analizy należy przypuszczać, iż instytucje zaangażowane we wdrażanie RPO WZ są gotowe na przyjęcie dodatkowych zobowiązań. Pomimo obciążeń jakie wystąpią</w:t>
      </w:r>
      <w:r w:rsidR="00E66B89">
        <w:t xml:space="preserve"> w </w:t>
      </w:r>
      <w:r>
        <w:t>najbliższych latach związane</w:t>
      </w:r>
      <w:r w:rsidR="00E66B89">
        <w:t xml:space="preserve"> z </w:t>
      </w:r>
      <w:r>
        <w:t>rozliczaniem kończących się projektów, monitorowaniem</w:t>
      </w:r>
      <w:r w:rsidR="00E66B89">
        <w:t xml:space="preserve"> i </w:t>
      </w:r>
      <w:r>
        <w:t>kontrolowaniem oraz realizacją nowych projektów wyłonionych</w:t>
      </w:r>
      <w:r w:rsidR="00E66B89">
        <w:t xml:space="preserve"> w </w:t>
      </w:r>
      <w:r>
        <w:t xml:space="preserve">naborach, których zakończenie zostało zaplanowane pod koniec tej perspektywy, należy zauważyć, że </w:t>
      </w:r>
      <w:r w:rsidR="00384277">
        <w:t>dotychczas</w:t>
      </w:r>
      <w:r>
        <w:t xml:space="preserve"> zakończyła się</w:t>
      </w:r>
      <w:r w:rsidR="00384277">
        <w:t xml:space="preserve"> lub niebawem zakończy</w:t>
      </w:r>
      <w:r>
        <w:t xml:space="preserve"> realizacja dużej części projektów. </w:t>
      </w:r>
      <w:r w:rsidR="00CF0608">
        <w:t xml:space="preserve">Należy także podkreślić </w:t>
      </w:r>
      <w:r w:rsidR="00CF0608" w:rsidRPr="00C22C26">
        <w:rPr>
          <w:b/>
        </w:rPr>
        <w:t xml:space="preserve">właściwe </w:t>
      </w:r>
      <w:r w:rsidR="00DC6B1F" w:rsidRPr="00C22C26">
        <w:rPr>
          <w:b/>
        </w:rPr>
        <w:t>rozplanowanie organizacji wdrażania programu, czyli</w:t>
      </w:r>
      <w:r w:rsidR="00E66B89">
        <w:rPr>
          <w:b/>
        </w:rPr>
        <w:t xml:space="preserve"> w </w:t>
      </w:r>
      <w:r w:rsidR="00DC6B1F" w:rsidRPr="00C22C26">
        <w:rPr>
          <w:b/>
        </w:rPr>
        <w:t xml:space="preserve">pierwszej kolejności uruchomienie trudniejszych do </w:t>
      </w:r>
      <w:r w:rsidR="0057098B">
        <w:rPr>
          <w:b/>
        </w:rPr>
        <w:t>realizacji</w:t>
      </w:r>
      <w:r w:rsidR="00DC6B1F" w:rsidRPr="00C22C26">
        <w:rPr>
          <w:b/>
        </w:rPr>
        <w:t xml:space="preserve"> Działań,</w:t>
      </w:r>
      <w:r w:rsidR="00E66B89">
        <w:rPr>
          <w:b/>
        </w:rPr>
        <w:t xml:space="preserve"> w </w:t>
      </w:r>
      <w:r w:rsidR="00DC6B1F" w:rsidRPr="00C22C26">
        <w:rPr>
          <w:b/>
        </w:rPr>
        <w:t>których projekty trwają najdłużej</w:t>
      </w:r>
      <w:r w:rsidR="00DC6B1F">
        <w:t>, np. projekty kolejowe</w:t>
      </w:r>
      <w:r w:rsidR="00DC6B1F">
        <w:rPr>
          <w:rStyle w:val="Odwoanieprzypisudolnego"/>
        </w:rPr>
        <w:footnoteReference w:id="196"/>
      </w:r>
      <w:r w:rsidR="00DC6B1F">
        <w:t>.</w:t>
      </w:r>
    </w:p>
    <w:p w14:paraId="5A7ABE83" w14:textId="42F633AF" w:rsidR="00384277" w:rsidRPr="008B706B" w:rsidRDefault="009D382C" w:rsidP="00526AA8">
      <w:pPr>
        <w:rPr>
          <w:rFonts w:eastAsia="Calibri"/>
        </w:rPr>
      </w:pPr>
      <w:r>
        <w:t xml:space="preserve">Podsumowując, należy podkreślić, że </w:t>
      </w:r>
      <w:r w:rsidRPr="00B0153A">
        <w:rPr>
          <w:b/>
        </w:rPr>
        <w:t>działania podejmowane</w:t>
      </w:r>
      <w:r w:rsidR="00E66B89">
        <w:rPr>
          <w:b/>
        </w:rPr>
        <w:t xml:space="preserve"> w </w:t>
      </w:r>
      <w:r w:rsidRPr="00B0153A">
        <w:rPr>
          <w:b/>
        </w:rPr>
        <w:t xml:space="preserve">ramach </w:t>
      </w:r>
      <w:r w:rsidRPr="00B0153A">
        <w:rPr>
          <w:rFonts w:cs="Calibri"/>
          <w:b/>
          <w:szCs w:val="20"/>
        </w:rPr>
        <w:t xml:space="preserve">systemu instytucjonalnego skutecznie wspierają realizację RPO WZ. </w:t>
      </w:r>
      <w:r>
        <w:rPr>
          <w:rFonts w:cs="Calibri"/>
          <w:szCs w:val="20"/>
        </w:rPr>
        <w:t>Świadczy</w:t>
      </w:r>
      <w:r w:rsidR="00E66B89">
        <w:rPr>
          <w:rFonts w:cs="Calibri"/>
          <w:szCs w:val="20"/>
        </w:rPr>
        <w:t xml:space="preserve"> o </w:t>
      </w:r>
      <w:r>
        <w:rPr>
          <w:rFonts w:cs="Calibri"/>
          <w:szCs w:val="20"/>
        </w:rPr>
        <w:t>tym wysoki poziom osiągnięcia wskaźników Ram Wykonania omówiony szerzej</w:t>
      </w:r>
      <w:r w:rsidR="00E66B89">
        <w:rPr>
          <w:rFonts w:cs="Calibri"/>
          <w:szCs w:val="20"/>
        </w:rPr>
        <w:t xml:space="preserve"> w </w:t>
      </w:r>
      <w:r>
        <w:rPr>
          <w:rFonts w:cs="Calibri"/>
          <w:szCs w:val="20"/>
        </w:rPr>
        <w:t>rozdziale 3. Jak wynika</w:t>
      </w:r>
      <w:r w:rsidR="00E66B89">
        <w:rPr>
          <w:rFonts w:cs="Calibri"/>
          <w:szCs w:val="20"/>
        </w:rPr>
        <w:t xml:space="preserve"> z </w:t>
      </w:r>
      <w:r>
        <w:rPr>
          <w:rFonts w:cs="Calibri"/>
          <w:szCs w:val="20"/>
        </w:rPr>
        <w:t>informacji kwartalnych</w:t>
      </w:r>
      <w:r w:rsidR="00E66B89">
        <w:rPr>
          <w:rFonts w:cs="Calibri"/>
          <w:szCs w:val="20"/>
        </w:rPr>
        <w:t xml:space="preserve"> z </w:t>
      </w:r>
      <w:r>
        <w:rPr>
          <w:rFonts w:cs="Calibri"/>
          <w:szCs w:val="20"/>
        </w:rPr>
        <w:t>realizacji RPO WZ,</w:t>
      </w:r>
      <w:r w:rsidR="00E66B89">
        <w:rPr>
          <w:rFonts w:cs="Calibri"/>
          <w:szCs w:val="20"/>
        </w:rPr>
        <w:t xml:space="preserve"> w </w:t>
      </w:r>
      <w:r w:rsidRPr="00B0153A">
        <w:rPr>
          <w:rFonts w:cs="Calibri"/>
          <w:b/>
          <w:szCs w:val="20"/>
        </w:rPr>
        <w:t>trakcie dotychczasowego wdrażania Programu pojawiały się co prawda zagrożenia nieosiągnięcia wartości docelowych wskaźników, jednak IZ</w:t>
      </w:r>
      <w:r w:rsidR="00E66B89">
        <w:rPr>
          <w:rFonts w:cs="Calibri"/>
          <w:b/>
          <w:szCs w:val="20"/>
        </w:rPr>
        <w:t xml:space="preserve"> i </w:t>
      </w:r>
      <w:r w:rsidRPr="00B0153A">
        <w:rPr>
          <w:rFonts w:cs="Calibri"/>
          <w:b/>
          <w:szCs w:val="20"/>
        </w:rPr>
        <w:t>IP podejmowały środki zaradcze</w:t>
      </w:r>
      <w:r w:rsidR="00E66B89">
        <w:rPr>
          <w:rFonts w:cs="Calibri"/>
          <w:b/>
          <w:szCs w:val="20"/>
        </w:rPr>
        <w:t xml:space="preserve"> w </w:t>
      </w:r>
      <w:r w:rsidRPr="00B0153A">
        <w:rPr>
          <w:rFonts w:cs="Calibri"/>
          <w:b/>
          <w:szCs w:val="20"/>
        </w:rPr>
        <w:t>celu wyeliminowania tych ryzyk</w:t>
      </w:r>
      <w:r>
        <w:rPr>
          <w:rFonts w:cs="Calibri"/>
          <w:szCs w:val="20"/>
        </w:rPr>
        <w:t>.</w:t>
      </w:r>
      <w:r>
        <w:rPr>
          <w:rFonts w:eastAsia="Calibri"/>
        </w:rPr>
        <w:t xml:space="preserve"> Trudności jakie zidentyfikowano związane były często</w:t>
      </w:r>
      <w:r w:rsidR="00E66B89">
        <w:rPr>
          <w:rFonts w:eastAsia="Calibri"/>
        </w:rPr>
        <w:t xml:space="preserve"> z </w:t>
      </w:r>
      <w:r>
        <w:rPr>
          <w:rFonts w:eastAsia="Calibri"/>
        </w:rPr>
        <w:t>małym zainteresowaniem wnioskodawców</w:t>
      </w:r>
      <w:r w:rsidR="00FB72B6">
        <w:rPr>
          <w:rFonts w:eastAsia="Calibri"/>
        </w:rPr>
        <w:t xml:space="preserve"> aplikowaniem</w:t>
      </w:r>
      <w:r w:rsidR="00E66B89">
        <w:rPr>
          <w:rFonts w:eastAsia="Calibri"/>
        </w:rPr>
        <w:t xml:space="preserve"> o </w:t>
      </w:r>
      <w:r w:rsidR="00FB72B6">
        <w:rPr>
          <w:rFonts w:eastAsia="Calibri"/>
        </w:rPr>
        <w:t>środki</w:t>
      </w:r>
      <w:r w:rsidR="00E66B89">
        <w:rPr>
          <w:rFonts w:eastAsia="Calibri"/>
        </w:rPr>
        <w:t xml:space="preserve"> z </w:t>
      </w:r>
      <w:r w:rsidR="00FB72B6">
        <w:rPr>
          <w:rFonts w:eastAsia="Calibri"/>
        </w:rPr>
        <w:t>niektórych działań RPO WZ 2014-2020</w:t>
      </w:r>
      <w:r>
        <w:rPr>
          <w:rFonts w:eastAsia="Calibri"/>
        </w:rPr>
        <w:t xml:space="preserve">. </w:t>
      </w:r>
      <w:r w:rsidR="00FB72B6">
        <w:rPr>
          <w:rFonts w:eastAsia="Calibri"/>
        </w:rPr>
        <w:t>IZ</w:t>
      </w:r>
      <w:r w:rsidR="00E66B89">
        <w:rPr>
          <w:rFonts w:eastAsia="Calibri"/>
        </w:rPr>
        <w:t xml:space="preserve"> i </w:t>
      </w:r>
      <w:r>
        <w:rPr>
          <w:rFonts w:eastAsia="Calibri"/>
        </w:rPr>
        <w:t>IP podejmowały wówczas działa</w:t>
      </w:r>
      <w:r w:rsidR="00990613">
        <w:rPr>
          <w:rFonts w:eastAsia="Calibri"/>
        </w:rPr>
        <w:t>nia</w:t>
      </w:r>
      <w:r>
        <w:rPr>
          <w:rFonts w:eastAsia="Calibri"/>
        </w:rPr>
        <w:t xml:space="preserve"> mające na celu zwiększenie liczby wnioskujących podmiotów, m.in. poprzez r</w:t>
      </w:r>
      <w:r w:rsidRPr="00436760">
        <w:rPr>
          <w:rFonts w:eastAsia="Calibri"/>
        </w:rPr>
        <w:t>ozmowy telefoniczne, spotkania, konsultacje mailowe, szkolenia dla potencjalnych wnioskodawców</w:t>
      </w:r>
      <w:r>
        <w:rPr>
          <w:rFonts w:eastAsia="Calibri"/>
        </w:rPr>
        <w:t>, ogłaszanie dodatkowych naborów lub wydłużanie trwających.</w:t>
      </w:r>
      <w:r w:rsidR="00E66B89">
        <w:rPr>
          <w:rFonts w:eastAsia="Calibri"/>
        </w:rPr>
        <w:t xml:space="preserve"> W </w:t>
      </w:r>
      <w:r w:rsidR="00FB72B6">
        <w:rPr>
          <w:rFonts w:eastAsia="Calibri"/>
        </w:rPr>
        <w:t>razie potrzeb podejmowano także konsultacje</w:t>
      </w:r>
      <w:r w:rsidR="00E66B89">
        <w:rPr>
          <w:rFonts w:eastAsia="Calibri"/>
        </w:rPr>
        <w:t xml:space="preserve"> z </w:t>
      </w:r>
      <w:r w:rsidR="00FB72B6">
        <w:rPr>
          <w:rFonts w:eastAsia="Calibri"/>
        </w:rPr>
        <w:t>przedstawicielami MIiR</w:t>
      </w:r>
      <w:r w:rsidR="00E66B89">
        <w:rPr>
          <w:rFonts w:eastAsia="Calibri"/>
        </w:rPr>
        <w:t xml:space="preserve"> i </w:t>
      </w:r>
      <w:r w:rsidR="00FB72B6">
        <w:rPr>
          <w:rFonts w:eastAsia="Calibri"/>
        </w:rPr>
        <w:t>KE</w:t>
      </w:r>
      <w:r w:rsidR="008A1D55">
        <w:rPr>
          <w:rFonts w:eastAsia="Calibri"/>
        </w:rPr>
        <w:t>, dzięki którym interwencja miała</w:t>
      </w:r>
      <w:r w:rsidR="00E66B89">
        <w:rPr>
          <w:rFonts w:eastAsia="Calibri"/>
        </w:rPr>
        <w:t xml:space="preserve"> z </w:t>
      </w:r>
      <w:r w:rsidR="008A1D55">
        <w:rPr>
          <w:rFonts w:eastAsia="Calibri"/>
        </w:rPr>
        <w:t>jednej strony jak najlepiej odpowiadać na bieżące problemy,</w:t>
      </w:r>
      <w:r w:rsidR="00E66B89">
        <w:rPr>
          <w:rFonts w:eastAsia="Calibri"/>
        </w:rPr>
        <w:t xml:space="preserve"> a z </w:t>
      </w:r>
      <w:r w:rsidR="008A1D55">
        <w:rPr>
          <w:rFonts w:eastAsia="Calibri"/>
        </w:rPr>
        <w:t>drugiej realizować założone na etapie projektowania Programu cele.</w:t>
      </w:r>
      <w:r w:rsidR="00E66B89">
        <w:rPr>
          <w:rFonts w:eastAsia="Calibri"/>
        </w:rPr>
        <w:t xml:space="preserve"> </w:t>
      </w:r>
      <w:r w:rsidR="00E66B89" w:rsidRPr="004E7B42">
        <w:rPr>
          <w:rFonts w:eastAsia="Calibri"/>
          <w:b/>
        </w:rPr>
        <w:t>W </w:t>
      </w:r>
      <w:r w:rsidR="00FB72B6" w:rsidRPr="008B706B">
        <w:rPr>
          <w:rFonts w:eastAsia="Calibri"/>
          <w:b/>
        </w:rPr>
        <w:t>ocenie ewaluatorów zastosowano działania adekwatne do występujących problemów.</w:t>
      </w:r>
      <w:r w:rsidR="00FB72B6">
        <w:rPr>
          <w:rFonts w:eastAsia="Calibri"/>
        </w:rPr>
        <w:t xml:space="preserve"> </w:t>
      </w:r>
      <w:r w:rsidR="00546F39" w:rsidRPr="008B706B">
        <w:rPr>
          <w:rFonts w:eastAsia="Calibri"/>
          <w:b/>
        </w:rPr>
        <w:t>Analiza stanu realizacji projektów oraz przewidywanej liczby projektów, które zakończą</w:t>
      </w:r>
      <w:r w:rsidR="001A5A53" w:rsidRPr="008B706B">
        <w:rPr>
          <w:rFonts w:eastAsia="Calibri"/>
          <w:b/>
        </w:rPr>
        <w:t xml:space="preserve"> się</w:t>
      </w:r>
      <w:r w:rsidR="00E66B89">
        <w:rPr>
          <w:rFonts w:eastAsia="Calibri"/>
          <w:b/>
        </w:rPr>
        <w:t xml:space="preserve"> w </w:t>
      </w:r>
      <w:r w:rsidR="001A5A53" w:rsidRPr="008B706B">
        <w:rPr>
          <w:rFonts w:eastAsia="Calibri"/>
          <w:b/>
        </w:rPr>
        <w:t>kolejnych latach obecnej perspektywy finansowej wskazuje, że instytucje zaangażowane we wdrażanie RPO WZ 2014-2020 są gotowe na przyjęcie ewentualnych dodatkowych zobowiązań wynikających</w:t>
      </w:r>
      <w:r w:rsidR="00E66B89">
        <w:rPr>
          <w:rFonts w:eastAsia="Calibri"/>
          <w:b/>
        </w:rPr>
        <w:t xml:space="preserve"> z </w:t>
      </w:r>
      <w:r w:rsidR="001A5A53" w:rsidRPr="008B706B">
        <w:rPr>
          <w:rFonts w:eastAsia="Calibri"/>
          <w:b/>
        </w:rPr>
        <w:t xml:space="preserve">przyznania dodatkowych środków. </w:t>
      </w:r>
      <w:r w:rsidR="001A5A53">
        <w:rPr>
          <w:rFonts w:eastAsia="Calibri"/>
        </w:rPr>
        <w:t>Dowodzi tego fakt, iż większość projektów zakończy się</w:t>
      </w:r>
      <w:r w:rsidR="00E66B89">
        <w:rPr>
          <w:rFonts w:eastAsia="Calibri"/>
        </w:rPr>
        <w:t xml:space="preserve"> w </w:t>
      </w:r>
      <w:r w:rsidR="001A5A53">
        <w:rPr>
          <w:rFonts w:eastAsia="Calibri"/>
        </w:rPr>
        <w:t>roku 2019</w:t>
      </w:r>
      <w:r w:rsidR="00E66B89">
        <w:rPr>
          <w:rFonts w:eastAsia="Calibri"/>
        </w:rPr>
        <w:t xml:space="preserve"> i </w:t>
      </w:r>
      <w:r w:rsidR="001A5A53">
        <w:rPr>
          <w:rFonts w:eastAsia="Calibri"/>
        </w:rPr>
        <w:t>2020,</w:t>
      </w:r>
      <w:r w:rsidR="00E66B89">
        <w:rPr>
          <w:rFonts w:eastAsia="Calibri"/>
        </w:rPr>
        <w:t xml:space="preserve"> a </w:t>
      </w:r>
      <w:r w:rsidR="001A5A53">
        <w:rPr>
          <w:rFonts w:eastAsia="Calibri"/>
        </w:rPr>
        <w:t xml:space="preserve">liczba </w:t>
      </w:r>
      <w:r w:rsidR="00086D09">
        <w:rPr>
          <w:rFonts w:eastAsia="Calibri"/>
        </w:rPr>
        <w:t xml:space="preserve">nowych </w:t>
      </w:r>
      <w:r w:rsidR="001A5A53">
        <w:rPr>
          <w:rFonts w:eastAsia="Calibri"/>
        </w:rPr>
        <w:t>projektów, które zostaną wybrane do dofinansowania nie będzie aż tak liczna</w:t>
      </w:r>
      <w:r w:rsidR="00086D09">
        <w:rPr>
          <w:rFonts w:eastAsia="Calibri"/>
        </w:rPr>
        <w:t>,</w:t>
      </w:r>
      <w:r w:rsidR="00E66B89">
        <w:rPr>
          <w:rFonts w:eastAsia="Calibri"/>
        </w:rPr>
        <w:t xml:space="preserve"> w </w:t>
      </w:r>
      <w:r w:rsidR="00086D09">
        <w:rPr>
          <w:rFonts w:eastAsia="Calibri"/>
        </w:rPr>
        <w:t>związku</w:t>
      </w:r>
      <w:r w:rsidR="00E66B89">
        <w:rPr>
          <w:rFonts w:eastAsia="Calibri"/>
        </w:rPr>
        <w:t xml:space="preserve"> z </w:t>
      </w:r>
      <w:r w:rsidR="00086D09">
        <w:rPr>
          <w:rFonts w:eastAsia="Calibri"/>
        </w:rPr>
        <w:t xml:space="preserve">czym </w:t>
      </w:r>
      <w:r w:rsidR="00117F20">
        <w:rPr>
          <w:rFonts w:eastAsia="Calibri"/>
        </w:rPr>
        <w:t>zasoby, którymi dysponują instytucje obecnie wydają się zapewniać dalszą skuteczną realizację Programu</w:t>
      </w:r>
      <w:r w:rsidR="001A5A53">
        <w:rPr>
          <w:rFonts w:eastAsia="Calibri"/>
        </w:rPr>
        <w:t>.</w:t>
      </w:r>
      <w:r w:rsidR="00C55662">
        <w:rPr>
          <w:rFonts w:eastAsia="Calibri"/>
        </w:rPr>
        <w:t xml:space="preserve"> Jeśli chodzi</w:t>
      </w:r>
      <w:r w:rsidR="00E66B89">
        <w:rPr>
          <w:rFonts w:eastAsia="Calibri"/>
        </w:rPr>
        <w:t xml:space="preserve"> o </w:t>
      </w:r>
      <w:r w:rsidR="00C55662">
        <w:rPr>
          <w:rFonts w:eastAsia="Calibri"/>
        </w:rPr>
        <w:t>zasoby ludzkie,</w:t>
      </w:r>
      <w:r w:rsidR="00E66B89">
        <w:rPr>
          <w:rFonts w:eastAsia="Calibri"/>
        </w:rPr>
        <w:t xml:space="preserve"> w </w:t>
      </w:r>
      <w:r w:rsidR="00C55662">
        <w:rPr>
          <w:rFonts w:eastAsia="Calibri"/>
        </w:rPr>
        <w:t xml:space="preserve">zależności od bieżących potrzeb należy rozważyć wsparcie komórek zajmujących się wdrażaniem pomocą pracowników innych wydziałów lub </w:t>
      </w:r>
      <w:r w:rsidR="0071595E">
        <w:rPr>
          <w:rFonts w:eastAsia="Calibri"/>
        </w:rPr>
        <w:t xml:space="preserve">ekspertów zewnętrznych. </w:t>
      </w:r>
      <w:r w:rsidR="009F39A0">
        <w:rPr>
          <w:rFonts w:eastAsia="Calibri"/>
        </w:rPr>
        <w:t>Kwestią problematyczną związaną</w:t>
      </w:r>
      <w:r w:rsidR="00E66B89">
        <w:rPr>
          <w:rFonts w:eastAsia="Calibri"/>
        </w:rPr>
        <w:t xml:space="preserve"> z </w:t>
      </w:r>
      <w:r w:rsidR="009F39A0">
        <w:rPr>
          <w:rFonts w:eastAsia="Calibri"/>
        </w:rPr>
        <w:t xml:space="preserve">pozyskiwaniem nowych ekspertów jest wysokość zarobków. Warto rozważyć wdrożenie pozapłacowych systemów motywacyjnych dla pracowników lub </w:t>
      </w:r>
      <w:r w:rsidR="009F39A0">
        <w:rPr>
          <w:szCs w:val="20"/>
        </w:rPr>
        <w:t>szkolenie specjalistów</w:t>
      </w:r>
      <w:r w:rsidR="00E66B89">
        <w:rPr>
          <w:szCs w:val="20"/>
        </w:rPr>
        <w:t xml:space="preserve"> w </w:t>
      </w:r>
      <w:r w:rsidR="009F39A0">
        <w:rPr>
          <w:szCs w:val="20"/>
        </w:rPr>
        <w:t>ramach już posiadanych kadr – łatwiejsze wydaje się pozyskanie pracowników</w:t>
      </w:r>
      <w:r w:rsidR="00E66B89">
        <w:rPr>
          <w:szCs w:val="20"/>
        </w:rPr>
        <w:t xml:space="preserve"> o </w:t>
      </w:r>
      <w:r w:rsidR="009F39A0">
        <w:rPr>
          <w:szCs w:val="20"/>
        </w:rPr>
        <w:t>kompetencjach administracyjnych</w:t>
      </w:r>
      <w:r w:rsidR="00E66B89">
        <w:rPr>
          <w:szCs w:val="20"/>
        </w:rPr>
        <w:t xml:space="preserve"> i </w:t>
      </w:r>
      <w:r w:rsidR="009F39A0">
        <w:rPr>
          <w:szCs w:val="20"/>
        </w:rPr>
        <w:t>typowo realizacyjnych niż specjalistów</w:t>
      </w:r>
      <w:r w:rsidR="00E66B89">
        <w:rPr>
          <w:szCs w:val="20"/>
        </w:rPr>
        <w:t xml:space="preserve"> z </w:t>
      </w:r>
      <w:r w:rsidR="009F39A0">
        <w:rPr>
          <w:szCs w:val="20"/>
        </w:rPr>
        <w:t>danej dziedziny.</w:t>
      </w:r>
      <w:r w:rsidR="00CC0714">
        <w:rPr>
          <w:szCs w:val="20"/>
        </w:rPr>
        <w:t xml:space="preserve"> Korzystne dla sprawnej realizacji zadań</w:t>
      </w:r>
      <w:r w:rsidR="00E66B89">
        <w:rPr>
          <w:szCs w:val="20"/>
        </w:rPr>
        <w:t xml:space="preserve"> w </w:t>
      </w:r>
      <w:r w:rsidR="00CC0714">
        <w:rPr>
          <w:szCs w:val="20"/>
        </w:rPr>
        <w:t>ramach systemu wdrażania byłoby również usprawnienie komunikacji wewnątrz IZ (pomiędzy WZS</w:t>
      </w:r>
      <w:r w:rsidR="00E66B89">
        <w:rPr>
          <w:szCs w:val="20"/>
        </w:rPr>
        <w:t xml:space="preserve"> a </w:t>
      </w:r>
      <w:r w:rsidR="00CC0714">
        <w:rPr>
          <w:szCs w:val="20"/>
        </w:rPr>
        <w:t>WWRPO) oraz między IZ</w:t>
      </w:r>
      <w:r w:rsidR="00E66B89">
        <w:rPr>
          <w:szCs w:val="20"/>
        </w:rPr>
        <w:t xml:space="preserve"> a </w:t>
      </w:r>
      <w:r w:rsidR="00CC0714">
        <w:rPr>
          <w:szCs w:val="20"/>
        </w:rPr>
        <w:t>poszczególnymi IP, np. poprzez częstsze spotkania robocze oraz wytypowanie ciała nadającego kierunek prac, posiadającego realny mandat do koordynowania pracami pozostałych instytucji.</w:t>
      </w:r>
    </w:p>
    <w:p w14:paraId="05E1A508" w14:textId="77777777" w:rsidR="00EF4E96" w:rsidRDefault="00EF4E96">
      <w:pPr>
        <w:spacing w:before="0" w:after="0" w:line="240" w:lineRule="auto"/>
        <w:jc w:val="left"/>
        <w:rPr>
          <w:b/>
          <w:bCs/>
          <w:color w:val="365F91"/>
          <w:sz w:val="28"/>
          <w:szCs w:val="28"/>
          <w:lang w:val="x-none" w:eastAsia="x-none"/>
        </w:rPr>
      </w:pPr>
      <w:bookmarkStart w:id="413" w:name="_Toc6523761"/>
      <w:r>
        <w:br w:type="page"/>
      </w:r>
    </w:p>
    <w:p w14:paraId="31EB7CEF" w14:textId="5F777C1F" w:rsidR="00094427" w:rsidRPr="00801DB4" w:rsidRDefault="00EB56E4" w:rsidP="00D45914">
      <w:pPr>
        <w:pStyle w:val="Nagwek1"/>
      </w:pPr>
      <w:r w:rsidRPr="00801DB4">
        <w:lastRenderedPageBreak/>
        <w:t>OCENA STOPNIA REALIZACJI ZASAD HORYZONTALNYCH</w:t>
      </w:r>
      <w:r w:rsidR="00E66B89">
        <w:t xml:space="preserve"> W </w:t>
      </w:r>
      <w:r w:rsidRPr="00801DB4">
        <w:t>RAMACH RPO WZ 2014-2020</w:t>
      </w:r>
      <w:bookmarkEnd w:id="413"/>
    </w:p>
    <w:p w14:paraId="3224B265" w14:textId="77777777" w:rsidR="00094427" w:rsidRPr="00404DA5" w:rsidRDefault="00094427" w:rsidP="00404DA5">
      <w:pPr>
        <w:shd w:val="clear" w:color="auto" w:fill="DBE5F1"/>
        <w:rPr>
          <w:rFonts w:cs="Calibri"/>
          <w:szCs w:val="20"/>
        </w:rPr>
      </w:pPr>
      <w:r w:rsidRPr="00404DA5">
        <w:rPr>
          <w:rFonts w:cs="Calibri"/>
          <w:szCs w:val="20"/>
        </w:rPr>
        <w:t>19.</w:t>
      </w:r>
      <w:r w:rsidR="00E66B89">
        <w:rPr>
          <w:rFonts w:cs="Calibri"/>
          <w:szCs w:val="20"/>
        </w:rPr>
        <w:t xml:space="preserve"> W </w:t>
      </w:r>
      <w:r w:rsidRPr="00404DA5">
        <w:rPr>
          <w:rFonts w:cs="Calibri"/>
          <w:szCs w:val="20"/>
        </w:rPr>
        <w:t>jakim stopniu system realizacji RPO WZ 2014-2020,</w:t>
      </w:r>
      <w:r w:rsidR="00E66B89">
        <w:rPr>
          <w:rFonts w:cs="Calibri"/>
          <w:szCs w:val="20"/>
        </w:rPr>
        <w:t xml:space="preserve"> w </w:t>
      </w:r>
      <w:r w:rsidRPr="00404DA5">
        <w:rPr>
          <w:rFonts w:cs="Calibri"/>
          <w:szCs w:val="20"/>
        </w:rPr>
        <w:t>tym</w:t>
      </w:r>
      <w:r w:rsidR="00E66B89">
        <w:rPr>
          <w:rFonts w:cs="Calibri"/>
          <w:szCs w:val="20"/>
        </w:rPr>
        <w:t xml:space="preserve"> w </w:t>
      </w:r>
      <w:r w:rsidRPr="00404DA5">
        <w:rPr>
          <w:rFonts w:cs="Calibri"/>
          <w:szCs w:val="20"/>
        </w:rPr>
        <w:t>szczególności zaplanowane instrumenty wdrażania Programu, pozwalają na skuteczną realizację zasad horyzontalnych? Jaka jest skala</w:t>
      </w:r>
      <w:r w:rsidR="00E66B89">
        <w:rPr>
          <w:rFonts w:cs="Calibri"/>
          <w:szCs w:val="20"/>
        </w:rPr>
        <w:t xml:space="preserve"> i </w:t>
      </w:r>
      <w:r w:rsidRPr="00404DA5">
        <w:rPr>
          <w:rFonts w:cs="Calibri"/>
          <w:szCs w:val="20"/>
        </w:rPr>
        <w:t>zakres realizacji zasad horyzontalnych</w:t>
      </w:r>
      <w:r w:rsidR="00E66B89">
        <w:rPr>
          <w:rFonts w:cs="Calibri"/>
          <w:szCs w:val="20"/>
        </w:rPr>
        <w:t xml:space="preserve"> w </w:t>
      </w:r>
      <w:r w:rsidRPr="00404DA5">
        <w:rPr>
          <w:rFonts w:cs="Calibri"/>
          <w:szCs w:val="20"/>
        </w:rPr>
        <w:t>ramach poszczególnych OP RPO WZ 2014-2020? Czy,</w:t>
      </w:r>
      <w:r w:rsidR="00E66B89">
        <w:rPr>
          <w:rFonts w:cs="Calibri"/>
          <w:szCs w:val="20"/>
        </w:rPr>
        <w:t xml:space="preserve"> a </w:t>
      </w:r>
      <w:r w:rsidRPr="00404DA5">
        <w:rPr>
          <w:rFonts w:cs="Calibri"/>
          <w:szCs w:val="20"/>
        </w:rPr>
        <w:t>jeśli tak to jakie występują bariery wdrażania zasad horyzontalnych</w:t>
      </w:r>
      <w:r w:rsidR="00E66B89">
        <w:rPr>
          <w:rFonts w:cs="Calibri"/>
          <w:szCs w:val="20"/>
        </w:rPr>
        <w:t xml:space="preserve"> w </w:t>
      </w:r>
      <w:r w:rsidRPr="00404DA5">
        <w:rPr>
          <w:rFonts w:cs="Calibri"/>
          <w:szCs w:val="20"/>
        </w:rPr>
        <w:t>ramach RPO WZ 2014-2020?</w:t>
      </w:r>
    </w:p>
    <w:p w14:paraId="44DC90CD" w14:textId="77777777" w:rsidR="00E74904" w:rsidRDefault="00E74904" w:rsidP="00E74904">
      <w:pPr>
        <w:pStyle w:val="Akapitzlist"/>
        <w:spacing w:after="120" w:line="288" w:lineRule="auto"/>
        <w:ind w:left="0"/>
        <w:rPr>
          <w:rFonts w:ascii="Lato" w:hAnsi="Lato" w:cs="Arial"/>
          <w:sz w:val="20"/>
          <w:szCs w:val="20"/>
        </w:rPr>
      </w:pPr>
      <w:r>
        <w:rPr>
          <w:rFonts w:ascii="Lato" w:hAnsi="Lato" w:cs="Arial"/>
          <w:sz w:val="20"/>
          <w:szCs w:val="20"/>
        </w:rPr>
        <w:t>Unia Europejska wymaga, aby projekty realizowane</w:t>
      </w:r>
      <w:r w:rsidR="00E66B89">
        <w:rPr>
          <w:rFonts w:ascii="Lato" w:hAnsi="Lato" w:cs="Arial"/>
          <w:sz w:val="20"/>
          <w:szCs w:val="20"/>
        </w:rPr>
        <w:t xml:space="preserve"> z </w:t>
      </w:r>
      <w:r>
        <w:rPr>
          <w:rFonts w:ascii="Lato" w:hAnsi="Lato" w:cs="Arial"/>
          <w:sz w:val="20"/>
          <w:szCs w:val="20"/>
        </w:rPr>
        <w:t>udziałem Funduszy Europejskich były zgodne</w:t>
      </w:r>
      <w:r w:rsidR="00E66B89">
        <w:rPr>
          <w:rFonts w:ascii="Lato" w:hAnsi="Lato" w:cs="Arial"/>
          <w:sz w:val="20"/>
          <w:szCs w:val="20"/>
        </w:rPr>
        <w:t xml:space="preserve"> z </w:t>
      </w:r>
      <w:r>
        <w:rPr>
          <w:rFonts w:ascii="Lato" w:hAnsi="Lato" w:cs="Arial"/>
          <w:sz w:val="20"/>
          <w:szCs w:val="20"/>
        </w:rPr>
        <w:t>tzw. zasadami horyzontalnymi, czyli celami strategicznymi</w:t>
      </w:r>
      <w:r w:rsidR="00E66B89">
        <w:rPr>
          <w:rFonts w:ascii="Lato" w:hAnsi="Lato" w:cs="Arial"/>
          <w:sz w:val="20"/>
          <w:szCs w:val="20"/>
        </w:rPr>
        <w:t xml:space="preserve"> i </w:t>
      </w:r>
      <w:r>
        <w:rPr>
          <w:rFonts w:ascii="Lato" w:hAnsi="Lato" w:cs="Arial"/>
          <w:sz w:val="20"/>
          <w:szCs w:val="20"/>
        </w:rPr>
        <w:t>priorytetami rozwojowymi określonymi</w:t>
      </w:r>
      <w:r w:rsidR="00E66B89">
        <w:rPr>
          <w:rFonts w:ascii="Lato" w:hAnsi="Lato" w:cs="Arial"/>
          <w:sz w:val="20"/>
          <w:szCs w:val="20"/>
        </w:rPr>
        <w:t xml:space="preserve"> w </w:t>
      </w:r>
      <w:r>
        <w:rPr>
          <w:rFonts w:ascii="Lato" w:hAnsi="Lato" w:cs="Arial"/>
          <w:sz w:val="20"/>
          <w:szCs w:val="20"/>
        </w:rPr>
        <w:t>strategii Europa 2020.</w:t>
      </w:r>
      <w:r w:rsidR="00E66B89">
        <w:rPr>
          <w:rFonts w:ascii="Lato" w:hAnsi="Lato" w:cs="Arial"/>
          <w:sz w:val="20"/>
          <w:szCs w:val="20"/>
        </w:rPr>
        <w:t xml:space="preserve"> W </w:t>
      </w:r>
      <w:r>
        <w:rPr>
          <w:rFonts w:ascii="Lato" w:hAnsi="Lato" w:cs="Arial"/>
          <w:sz w:val="20"/>
          <w:szCs w:val="20"/>
        </w:rPr>
        <w:t>ramach RPO WZ 2014-2020 realizacja projektów zgodnie</w:t>
      </w:r>
      <w:r w:rsidR="00E66B89">
        <w:rPr>
          <w:rFonts w:ascii="Lato" w:hAnsi="Lato" w:cs="Arial"/>
          <w:sz w:val="20"/>
          <w:szCs w:val="20"/>
        </w:rPr>
        <w:t xml:space="preserve"> z </w:t>
      </w:r>
      <w:r>
        <w:rPr>
          <w:rFonts w:ascii="Lato" w:hAnsi="Lato" w:cs="Arial"/>
          <w:sz w:val="20"/>
          <w:szCs w:val="20"/>
        </w:rPr>
        <w:t>logiką interwencji ma</w:t>
      </w:r>
      <w:r w:rsidR="00E66B89">
        <w:rPr>
          <w:rFonts w:ascii="Lato" w:hAnsi="Lato" w:cs="Arial"/>
          <w:sz w:val="20"/>
          <w:szCs w:val="20"/>
        </w:rPr>
        <w:t xml:space="preserve"> z </w:t>
      </w:r>
      <w:r>
        <w:rPr>
          <w:rFonts w:ascii="Lato" w:hAnsi="Lato" w:cs="Arial"/>
          <w:sz w:val="20"/>
          <w:szCs w:val="20"/>
        </w:rPr>
        <w:t>założenia oddziaływać na realizację następujących zasad horyzontalnych:</w:t>
      </w:r>
    </w:p>
    <w:p w14:paraId="5CABE695" w14:textId="77777777" w:rsidR="00E74904" w:rsidRDefault="00E74904" w:rsidP="00093E14">
      <w:pPr>
        <w:pStyle w:val="Akapitzlist"/>
        <w:numPr>
          <w:ilvl w:val="0"/>
          <w:numId w:val="10"/>
        </w:numPr>
        <w:spacing w:after="120" w:line="288" w:lineRule="auto"/>
        <w:rPr>
          <w:rFonts w:ascii="Lato" w:hAnsi="Lato" w:cs="Arial"/>
          <w:sz w:val="20"/>
          <w:szCs w:val="20"/>
        </w:rPr>
      </w:pPr>
      <w:r>
        <w:rPr>
          <w:rFonts w:ascii="Lato" w:hAnsi="Lato" w:cs="Arial"/>
          <w:sz w:val="20"/>
          <w:szCs w:val="20"/>
        </w:rPr>
        <w:t>Zrównoważony rozwój,</w:t>
      </w:r>
    </w:p>
    <w:p w14:paraId="49B9C15D" w14:textId="77777777" w:rsidR="00E74904" w:rsidRDefault="00E74904" w:rsidP="00093E14">
      <w:pPr>
        <w:pStyle w:val="Akapitzlist"/>
        <w:numPr>
          <w:ilvl w:val="0"/>
          <w:numId w:val="10"/>
        </w:numPr>
        <w:spacing w:after="120" w:line="288" w:lineRule="auto"/>
        <w:rPr>
          <w:rFonts w:ascii="Lato" w:hAnsi="Lato" w:cs="Arial"/>
          <w:sz w:val="20"/>
          <w:szCs w:val="20"/>
        </w:rPr>
      </w:pPr>
      <w:r>
        <w:rPr>
          <w:rFonts w:ascii="Lato" w:hAnsi="Lato" w:cs="Arial"/>
          <w:sz w:val="20"/>
          <w:szCs w:val="20"/>
        </w:rPr>
        <w:t>Równość szans</w:t>
      </w:r>
      <w:r w:rsidR="00E66B89">
        <w:rPr>
          <w:rFonts w:ascii="Lato" w:hAnsi="Lato" w:cs="Arial"/>
          <w:sz w:val="20"/>
          <w:szCs w:val="20"/>
        </w:rPr>
        <w:t xml:space="preserve"> i </w:t>
      </w:r>
      <w:r>
        <w:rPr>
          <w:rFonts w:ascii="Lato" w:hAnsi="Lato" w:cs="Arial"/>
          <w:sz w:val="20"/>
          <w:szCs w:val="20"/>
        </w:rPr>
        <w:t>niedyskryminacja,</w:t>
      </w:r>
    </w:p>
    <w:p w14:paraId="763BE173" w14:textId="77777777" w:rsidR="00E74904" w:rsidRDefault="00E74904" w:rsidP="00093E14">
      <w:pPr>
        <w:pStyle w:val="Akapitzlist"/>
        <w:numPr>
          <w:ilvl w:val="0"/>
          <w:numId w:val="10"/>
        </w:numPr>
        <w:spacing w:after="120" w:line="288" w:lineRule="auto"/>
        <w:rPr>
          <w:rFonts w:ascii="Lato" w:hAnsi="Lato" w:cs="Arial"/>
          <w:sz w:val="20"/>
          <w:szCs w:val="20"/>
        </w:rPr>
      </w:pPr>
      <w:r>
        <w:rPr>
          <w:rFonts w:ascii="Lato" w:hAnsi="Lato" w:cs="Arial"/>
          <w:sz w:val="20"/>
          <w:szCs w:val="20"/>
        </w:rPr>
        <w:t>Równość płci.</w:t>
      </w:r>
    </w:p>
    <w:p w14:paraId="724502B8" w14:textId="77777777" w:rsidR="00E74904" w:rsidRDefault="00E74904" w:rsidP="00E74904">
      <w:pPr>
        <w:rPr>
          <w:rFonts w:cs="Arial"/>
        </w:rPr>
      </w:pPr>
      <w:r w:rsidRPr="008D5666">
        <w:t>Instytucja Zarz</w:t>
      </w:r>
      <w:r w:rsidRPr="008D5666">
        <w:rPr>
          <w:rFonts w:cs="Arial"/>
        </w:rPr>
        <w:t>ą</w:t>
      </w:r>
      <w:r w:rsidRPr="008D5666">
        <w:t>dzaj</w:t>
      </w:r>
      <w:r w:rsidRPr="008D5666">
        <w:rPr>
          <w:rFonts w:cs="Arial"/>
        </w:rPr>
        <w:t>ą</w:t>
      </w:r>
      <w:r w:rsidRPr="008D5666">
        <w:t xml:space="preserve">ca RPO </w:t>
      </w:r>
      <w:r>
        <w:t xml:space="preserve">WZ </w:t>
      </w:r>
      <w:r w:rsidRPr="008D5666">
        <w:t>20</w:t>
      </w:r>
      <w:r>
        <w:t>14</w:t>
      </w:r>
      <w:r w:rsidRPr="008D5666">
        <w:t>-20</w:t>
      </w:r>
      <w:r>
        <w:t>20</w:t>
      </w:r>
      <w:r w:rsidRPr="008D5666">
        <w:t xml:space="preserve"> podj</w:t>
      </w:r>
      <w:r w:rsidRPr="008D5666">
        <w:rPr>
          <w:rFonts w:cs="Arial"/>
        </w:rPr>
        <w:t>ę</w:t>
      </w:r>
      <w:r w:rsidRPr="008D5666">
        <w:rPr>
          <w:rFonts w:cs="Lato"/>
        </w:rPr>
        <w:t>ł</w:t>
      </w:r>
      <w:r w:rsidRPr="008D5666">
        <w:t>a dzia</w:t>
      </w:r>
      <w:r w:rsidRPr="008D5666">
        <w:rPr>
          <w:rFonts w:cs="Lato"/>
        </w:rPr>
        <w:t>ł</w:t>
      </w:r>
      <w:r w:rsidRPr="008D5666">
        <w:t>ania, maj</w:t>
      </w:r>
      <w:r w:rsidRPr="008D5666">
        <w:rPr>
          <w:rFonts w:cs="Arial"/>
        </w:rPr>
        <w:t>ą</w:t>
      </w:r>
      <w:r w:rsidRPr="008D5666">
        <w:t>ce na celu zapewnienie zgodno</w:t>
      </w:r>
      <w:r w:rsidRPr="008D5666">
        <w:rPr>
          <w:rFonts w:cs="Arial"/>
        </w:rPr>
        <w:t>ś</w:t>
      </w:r>
      <w:r w:rsidRPr="008D5666">
        <w:t>ci projekt</w:t>
      </w:r>
      <w:r w:rsidRPr="008D5666">
        <w:rPr>
          <w:rFonts w:cs="Lato"/>
        </w:rPr>
        <w:t>ó</w:t>
      </w:r>
      <w:r w:rsidRPr="008D5666">
        <w:t>w realizowanych</w:t>
      </w:r>
      <w:r w:rsidR="00E66B89">
        <w:t xml:space="preserve"> w </w:t>
      </w:r>
      <w:r w:rsidRPr="008D5666">
        <w:t xml:space="preserve">ramach RPO </w:t>
      </w:r>
      <w:r>
        <w:t xml:space="preserve">WZ </w:t>
      </w:r>
      <w:r w:rsidRPr="008D5666">
        <w:t>20</w:t>
      </w:r>
      <w:r>
        <w:t>14</w:t>
      </w:r>
      <w:r w:rsidRPr="008D5666">
        <w:t>-20</w:t>
      </w:r>
      <w:r>
        <w:t>20</w:t>
      </w:r>
      <w:r w:rsidR="00E66B89">
        <w:t xml:space="preserve"> z </w:t>
      </w:r>
      <w:r w:rsidRPr="008D5666">
        <w:t>przepisami wsp</w:t>
      </w:r>
      <w:r w:rsidRPr="008D5666">
        <w:rPr>
          <w:rFonts w:cs="Lato"/>
        </w:rPr>
        <w:t>ó</w:t>
      </w:r>
      <w:r w:rsidRPr="008D5666">
        <w:t>lnotowymi</w:t>
      </w:r>
      <w:r>
        <w:t>,</w:t>
      </w:r>
      <w:r w:rsidR="00E66B89">
        <w:t xml:space="preserve"> w </w:t>
      </w:r>
      <w:r>
        <w:t>tym</w:t>
      </w:r>
      <w:r w:rsidR="00E66B89">
        <w:t xml:space="preserve"> z </w:t>
      </w:r>
      <w:r w:rsidR="0074340E">
        <w:t xml:space="preserve">uwzględnieniem </w:t>
      </w:r>
      <w:r>
        <w:t xml:space="preserve">zasad horyzontalnych: </w:t>
      </w:r>
      <w:r w:rsidRPr="00404DA5">
        <w:rPr>
          <w:rFonts w:eastAsia="Calibri"/>
          <w:lang w:eastAsia="en-US"/>
        </w:rPr>
        <w:t>zrównoważony rozwój, równość szans</w:t>
      </w:r>
      <w:r w:rsidR="00E66B89">
        <w:rPr>
          <w:rFonts w:eastAsia="Calibri"/>
          <w:lang w:eastAsia="en-US"/>
        </w:rPr>
        <w:t xml:space="preserve"> i </w:t>
      </w:r>
      <w:r w:rsidRPr="00404DA5">
        <w:rPr>
          <w:rFonts w:eastAsia="Calibri"/>
          <w:lang w:eastAsia="en-US"/>
        </w:rPr>
        <w:t>niedyskryminacja, równouprawnienie płci</w:t>
      </w:r>
      <w:r w:rsidRPr="008D5666">
        <w:t xml:space="preserve">. </w:t>
      </w:r>
    </w:p>
    <w:p w14:paraId="5C86361E" w14:textId="77777777" w:rsidR="00E74904" w:rsidRPr="00404DA5" w:rsidRDefault="00E74904" w:rsidP="00E74904">
      <w:pPr>
        <w:rPr>
          <w:rFonts w:eastAsia="Calibri"/>
          <w:lang w:eastAsia="en-US"/>
        </w:rPr>
      </w:pPr>
      <w:r w:rsidRPr="00404DA5">
        <w:rPr>
          <w:rFonts w:eastAsia="Calibri"/>
          <w:lang w:eastAsia="en-US"/>
        </w:rPr>
        <w:t>Konieczność spełniania zasad horyzontalnych jest jednym</w:t>
      </w:r>
      <w:r w:rsidR="00E66B89">
        <w:rPr>
          <w:rFonts w:eastAsia="Calibri"/>
          <w:lang w:eastAsia="en-US"/>
        </w:rPr>
        <w:t xml:space="preserve"> z </w:t>
      </w:r>
      <w:r w:rsidRPr="00404DA5">
        <w:rPr>
          <w:rFonts w:eastAsia="Calibri"/>
          <w:lang w:eastAsia="en-US"/>
        </w:rPr>
        <w:t>elementów kryteriów wyboru projektów zarówno</w:t>
      </w:r>
      <w:r w:rsidR="00E66B89">
        <w:rPr>
          <w:rFonts w:eastAsia="Calibri"/>
          <w:lang w:eastAsia="en-US"/>
        </w:rPr>
        <w:t xml:space="preserve"> w </w:t>
      </w:r>
      <w:r w:rsidRPr="00404DA5">
        <w:rPr>
          <w:rFonts w:eastAsia="Calibri"/>
          <w:lang w:eastAsia="en-US"/>
        </w:rPr>
        <w:t>ramach EFS</w:t>
      </w:r>
      <w:r w:rsidR="00E66B89">
        <w:rPr>
          <w:rFonts w:eastAsia="Calibri"/>
          <w:lang w:eastAsia="en-US"/>
        </w:rPr>
        <w:t xml:space="preserve"> i </w:t>
      </w:r>
      <w:r w:rsidRPr="00404DA5">
        <w:rPr>
          <w:rFonts w:eastAsia="Calibri"/>
          <w:lang w:eastAsia="en-US"/>
        </w:rPr>
        <w:t xml:space="preserve">EFRR </w:t>
      </w:r>
      <w:r w:rsidR="0074340E">
        <w:rPr>
          <w:rFonts w:eastAsia="Calibri"/>
          <w:lang w:eastAsia="en-US"/>
        </w:rPr>
        <w:t>– element ten stanowi</w:t>
      </w:r>
      <w:r w:rsidR="0074340E" w:rsidRPr="00404DA5">
        <w:rPr>
          <w:rFonts w:eastAsia="Calibri"/>
          <w:lang w:eastAsia="en-US"/>
        </w:rPr>
        <w:t xml:space="preserve"> </w:t>
      </w:r>
      <w:r w:rsidRPr="00404DA5">
        <w:rPr>
          <w:rFonts w:eastAsia="Calibri"/>
          <w:lang w:eastAsia="en-US"/>
        </w:rPr>
        <w:t>kryterium dopuszczalności. Spójność kryteriów wyboru projektów realizowanych</w:t>
      </w:r>
      <w:r w:rsidR="00E66B89">
        <w:rPr>
          <w:rFonts w:eastAsia="Calibri"/>
          <w:lang w:eastAsia="en-US"/>
        </w:rPr>
        <w:t xml:space="preserve"> w </w:t>
      </w:r>
      <w:r w:rsidRPr="00404DA5">
        <w:rPr>
          <w:rFonts w:eastAsia="Calibri"/>
          <w:lang w:eastAsia="en-US"/>
        </w:rPr>
        <w:t>ramach RPO WZ 2014-2020</w:t>
      </w:r>
      <w:r w:rsidR="00E66B89">
        <w:rPr>
          <w:rFonts w:eastAsia="Calibri"/>
          <w:lang w:eastAsia="en-US"/>
        </w:rPr>
        <w:t xml:space="preserve"> z </w:t>
      </w:r>
      <w:r w:rsidRPr="00404DA5">
        <w:rPr>
          <w:rFonts w:eastAsia="Calibri"/>
          <w:lang w:eastAsia="en-US"/>
        </w:rPr>
        <w:t>zasadami horyzontalnymi potwierdzają</w:t>
      </w:r>
      <w:r>
        <w:rPr>
          <w:rFonts w:eastAsia="Calibri"/>
          <w:lang w:eastAsia="en-US"/>
        </w:rPr>
        <w:t>,</w:t>
      </w:r>
      <w:r w:rsidRPr="00404DA5">
        <w:rPr>
          <w:rFonts w:eastAsia="Calibri"/>
          <w:lang w:eastAsia="en-US"/>
        </w:rPr>
        <w:t xml:space="preserve"> poza analizą kryteriów przeprowadzoną przez ewaluatora</w:t>
      </w:r>
      <w:r>
        <w:rPr>
          <w:rFonts w:eastAsia="Calibri"/>
          <w:lang w:eastAsia="en-US"/>
        </w:rPr>
        <w:t>,</w:t>
      </w:r>
      <w:r w:rsidRPr="00404DA5">
        <w:rPr>
          <w:rFonts w:eastAsia="Calibri"/>
          <w:lang w:eastAsia="en-US"/>
        </w:rPr>
        <w:t xml:space="preserve"> wyniki badania ewaluacyjnego poświęconego ocenie kryteriów wyboru projektów RPO WZ 2014-2020 pt. </w:t>
      </w:r>
      <w:r w:rsidRPr="001C6ACD">
        <w:rPr>
          <w:i/>
        </w:rPr>
        <w:t>Ewaluacja bieżąca kryteriów</w:t>
      </w:r>
      <w:r w:rsidR="00E66B89">
        <w:rPr>
          <w:i/>
        </w:rPr>
        <w:t xml:space="preserve"> i </w:t>
      </w:r>
      <w:r w:rsidRPr="001C6ACD">
        <w:rPr>
          <w:i/>
        </w:rPr>
        <w:t>systemu wyboru projektów RPO WZ 2014-2020</w:t>
      </w:r>
      <w:r>
        <w:rPr>
          <w:i/>
        </w:rPr>
        <w:t xml:space="preserve"> </w:t>
      </w:r>
      <w:r w:rsidRPr="00404DA5">
        <w:rPr>
          <w:rFonts w:eastAsia="Calibri"/>
          <w:lang w:eastAsia="en-US"/>
        </w:rPr>
        <w:t>–</w:t>
      </w:r>
      <w:r w:rsidR="00E66B89">
        <w:rPr>
          <w:rFonts w:eastAsia="Calibri"/>
          <w:lang w:eastAsia="en-US"/>
        </w:rPr>
        <w:t xml:space="preserve"> w </w:t>
      </w:r>
      <w:r w:rsidRPr="00404DA5">
        <w:rPr>
          <w:rFonts w:eastAsia="Calibri"/>
          <w:lang w:eastAsia="en-US"/>
        </w:rPr>
        <w:t>wyniku analiz nie zidentyfikowano problemów</w:t>
      </w:r>
      <w:r w:rsidR="00E66B89">
        <w:rPr>
          <w:rFonts w:eastAsia="Calibri"/>
          <w:lang w:eastAsia="en-US"/>
        </w:rPr>
        <w:t xml:space="preserve"> z </w:t>
      </w:r>
      <w:r w:rsidRPr="00404DA5">
        <w:rPr>
          <w:rFonts w:eastAsia="Calibri"/>
          <w:lang w:eastAsia="en-US"/>
        </w:rPr>
        <w:t>kryteriami wyboru projektów</w:t>
      </w:r>
      <w:r w:rsidR="00E66B89">
        <w:rPr>
          <w:rFonts w:eastAsia="Calibri"/>
          <w:lang w:eastAsia="en-US"/>
        </w:rPr>
        <w:t xml:space="preserve"> w </w:t>
      </w:r>
      <w:r w:rsidRPr="00404DA5">
        <w:rPr>
          <w:rFonts w:eastAsia="Calibri"/>
          <w:lang w:eastAsia="en-US"/>
        </w:rPr>
        <w:t>tym zakresie</w:t>
      </w:r>
      <w:r w:rsidRPr="00404DA5">
        <w:rPr>
          <w:rStyle w:val="Odwoanieprzypisudolnego"/>
          <w:rFonts w:eastAsia="Calibri"/>
          <w:lang w:eastAsia="en-US"/>
        </w:rPr>
        <w:footnoteReference w:id="197"/>
      </w:r>
      <w:r w:rsidRPr="00404DA5">
        <w:rPr>
          <w:rFonts w:eastAsia="Calibri"/>
          <w:lang w:eastAsia="en-US"/>
        </w:rPr>
        <w:t>. Stwierdzono występowanie wystandaryzowanego</w:t>
      </w:r>
      <w:r w:rsidR="00E66B89">
        <w:rPr>
          <w:rFonts w:eastAsia="Calibri"/>
          <w:lang w:eastAsia="en-US"/>
        </w:rPr>
        <w:t xml:space="preserve"> i </w:t>
      </w:r>
      <w:r w:rsidRPr="00404DA5">
        <w:rPr>
          <w:rFonts w:eastAsia="Calibri"/>
          <w:lang w:eastAsia="en-US"/>
        </w:rPr>
        <w:t>spójnego podejścia</w:t>
      </w:r>
      <w:r w:rsidR="00E66B89">
        <w:rPr>
          <w:rFonts w:eastAsia="Calibri"/>
          <w:lang w:eastAsia="en-US"/>
        </w:rPr>
        <w:t xml:space="preserve"> w </w:t>
      </w:r>
      <w:r w:rsidRPr="00404DA5">
        <w:rPr>
          <w:rFonts w:eastAsia="Calibri"/>
          <w:lang w:eastAsia="en-US"/>
        </w:rPr>
        <w:t>zakresie zapewnienia spójności projektów</w:t>
      </w:r>
      <w:r w:rsidR="00E66B89">
        <w:rPr>
          <w:rFonts w:eastAsia="Calibri"/>
          <w:lang w:eastAsia="en-US"/>
        </w:rPr>
        <w:t xml:space="preserve"> z </w:t>
      </w:r>
      <w:r w:rsidRPr="00404DA5">
        <w:rPr>
          <w:rFonts w:eastAsia="Calibri"/>
          <w:lang w:eastAsia="en-US"/>
        </w:rPr>
        <w:t>zasadami realizacji polityk horyzontalnych</w:t>
      </w:r>
      <w:r w:rsidR="0074340E">
        <w:rPr>
          <w:rFonts w:eastAsia="Calibri"/>
          <w:lang w:eastAsia="en-US"/>
        </w:rPr>
        <w:t xml:space="preserve"> -</w:t>
      </w:r>
      <w:r w:rsidRPr="00404DA5">
        <w:rPr>
          <w:rFonts w:eastAsia="Calibri"/>
          <w:lang w:eastAsia="en-US"/>
        </w:rPr>
        <w:t xml:space="preserve"> przede wszystkim poprzez dostępowy charakter kryteriów, czyli konieczność spełniania kryterium przez wszystkie dofinansowane projekty. Specyfika każdego</w:t>
      </w:r>
      <w:r w:rsidR="00E66B89">
        <w:rPr>
          <w:rFonts w:eastAsia="Calibri"/>
          <w:lang w:eastAsia="en-US"/>
        </w:rPr>
        <w:t xml:space="preserve"> z </w:t>
      </w:r>
      <w:r w:rsidRPr="00404DA5">
        <w:rPr>
          <w:rFonts w:eastAsia="Calibri"/>
          <w:lang w:eastAsia="en-US"/>
        </w:rPr>
        <w:t>funduszy została uwzględniona poprzez zaakcentowanie najważniejszych</w:t>
      </w:r>
      <w:r w:rsidR="0074340E">
        <w:rPr>
          <w:rFonts w:eastAsia="Calibri"/>
          <w:lang w:eastAsia="en-US"/>
        </w:rPr>
        <w:t>,</w:t>
      </w:r>
      <w:r w:rsidR="00E66B89">
        <w:rPr>
          <w:rFonts w:eastAsia="Calibri"/>
          <w:lang w:eastAsia="en-US"/>
        </w:rPr>
        <w:t xml:space="preserve"> z </w:t>
      </w:r>
      <w:r w:rsidRPr="00404DA5">
        <w:rPr>
          <w:rFonts w:eastAsia="Calibri"/>
          <w:lang w:eastAsia="en-US"/>
        </w:rPr>
        <w:t>punktu widzenia danego funduszu</w:t>
      </w:r>
      <w:r w:rsidR="0074340E">
        <w:rPr>
          <w:rFonts w:eastAsia="Calibri"/>
          <w:lang w:eastAsia="en-US"/>
        </w:rPr>
        <w:t>,</w:t>
      </w:r>
      <w:r w:rsidRPr="00404DA5">
        <w:rPr>
          <w:rFonts w:eastAsia="Calibri"/>
          <w:lang w:eastAsia="en-US"/>
        </w:rPr>
        <w:t xml:space="preserve"> elementów</w:t>
      </w:r>
      <w:r w:rsidRPr="00404DA5">
        <w:rPr>
          <w:rStyle w:val="Odwoanieprzypisudolnego"/>
          <w:rFonts w:eastAsia="Calibri"/>
          <w:lang w:eastAsia="en-US"/>
        </w:rPr>
        <w:footnoteReference w:id="198"/>
      </w:r>
      <w:r w:rsidRPr="00404DA5">
        <w:rPr>
          <w:rFonts w:eastAsia="Calibri"/>
          <w:lang w:eastAsia="en-US"/>
        </w:rPr>
        <w:t>.</w:t>
      </w:r>
      <w:r w:rsidR="00E66B89">
        <w:rPr>
          <w:rFonts w:eastAsia="Calibri"/>
          <w:lang w:eastAsia="en-US"/>
        </w:rPr>
        <w:t xml:space="preserve"> W </w:t>
      </w:r>
      <w:r w:rsidRPr="00404DA5">
        <w:rPr>
          <w:rFonts w:eastAsia="Calibri"/>
          <w:lang w:eastAsia="en-US"/>
        </w:rPr>
        <w:t>ramach EFRR</w:t>
      </w:r>
      <w:r w:rsidRPr="00404DA5">
        <w:rPr>
          <w:rStyle w:val="Odwoanieprzypisudolnego"/>
          <w:rFonts w:eastAsia="Calibri"/>
          <w:lang w:eastAsia="en-US"/>
        </w:rPr>
        <w:footnoteReference w:id="199"/>
      </w:r>
      <w:r w:rsidRPr="00404DA5">
        <w:rPr>
          <w:rFonts w:eastAsia="Calibri"/>
          <w:lang w:eastAsia="en-US"/>
        </w:rPr>
        <w:t xml:space="preserve"> zaakcentowana została zasada zrównoważonego rozwoju (np. efektywne wykorzystanie zasobów naturalnych</w:t>
      </w:r>
      <w:r w:rsidR="00E66B89">
        <w:rPr>
          <w:rFonts w:eastAsia="Calibri"/>
          <w:lang w:eastAsia="en-US"/>
        </w:rPr>
        <w:t xml:space="preserve"> i </w:t>
      </w:r>
      <w:r w:rsidRPr="00404DA5">
        <w:rPr>
          <w:rFonts w:eastAsia="Calibri"/>
          <w:lang w:eastAsia="en-US"/>
        </w:rPr>
        <w:t xml:space="preserve">energii) oraz </w:t>
      </w:r>
      <w:r w:rsidR="0074340E" w:rsidRPr="00404DA5">
        <w:rPr>
          <w:rFonts w:eastAsia="Calibri"/>
          <w:lang w:eastAsia="en-US"/>
        </w:rPr>
        <w:t>koniecznoś</w:t>
      </w:r>
      <w:r w:rsidR="0074340E">
        <w:rPr>
          <w:rFonts w:eastAsia="Calibri"/>
          <w:lang w:eastAsia="en-US"/>
        </w:rPr>
        <w:t>ć</w:t>
      </w:r>
      <w:r w:rsidR="0074340E" w:rsidRPr="00404DA5">
        <w:rPr>
          <w:rFonts w:eastAsia="Calibri"/>
          <w:lang w:eastAsia="en-US"/>
        </w:rPr>
        <w:t xml:space="preserve"> </w:t>
      </w:r>
      <w:r w:rsidRPr="00404DA5">
        <w:rPr>
          <w:rFonts w:eastAsia="Calibri"/>
          <w:lang w:eastAsia="en-US"/>
        </w:rPr>
        <w:t>stosowania zasady uniwersalnego projektowania – OP II, III</w:t>
      </w:r>
      <w:r w:rsidR="00E66B89">
        <w:rPr>
          <w:rFonts w:eastAsia="Calibri"/>
          <w:lang w:eastAsia="en-US"/>
        </w:rPr>
        <w:t xml:space="preserve"> i </w:t>
      </w:r>
      <w:r w:rsidRPr="00404DA5">
        <w:rPr>
          <w:rFonts w:eastAsia="Calibri"/>
          <w:lang w:eastAsia="en-US"/>
        </w:rPr>
        <w:t>IV ukierunkowane są na działania prośrodowiskowe, zmniejszanie emisyjności gospodarki</w:t>
      </w:r>
      <w:r w:rsidR="00E66B89">
        <w:rPr>
          <w:rFonts w:eastAsia="Calibri"/>
          <w:lang w:eastAsia="en-US"/>
        </w:rPr>
        <w:t xml:space="preserve"> i </w:t>
      </w:r>
      <w:r w:rsidRPr="00404DA5">
        <w:rPr>
          <w:rFonts w:eastAsia="Calibri"/>
          <w:lang w:eastAsia="en-US"/>
        </w:rPr>
        <w:t>infrastruktury transportu publicznego oraz zwiększanie świadomości mieszkańców</w:t>
      </w:r>
      <w:r w:rsidR="00E66B89">
        <w:rPr>
          <w:rFonts w:eastAsia="Calibri"/>
          <w:lang w:eastAsia="en-US"/>
        </w:rPr>
        <w:t xml:space="preserve"> w </w:t>
      </w:r>
      <w:r w:rsidRPr="00404DA5">
        <w:rPr>
          <w:rFonts w:eastAsia="Calibri"/>
          <w:lang w:eastAsia="en-US"/>
        </w:rPr>
        <w:t>tym zakresie,</w:t>
      </w:r>
      <w:r w:rsidR="00E66B89">
        <w:rPr>
          <w:rFonts w:eastAsia="Calibri"/>
          <w:lang w:eastAsia="en-US"/>
        </w:rPr>
        <w:t xml:space="preserve"> a </w:t>
      </w:r>
      <w:r w:rsidRPr="00404DA5">
        <w:rPr>
          <w:rFonts w:eastAsia="Calibri"/>
          <w:lang w:eastAsia="en-US"/>
        </w:rPr>
        <w:t>także przeciwdziałanie negatywnym skutkom zmian klimatu</w:t>
      </w:r>
      <w:r w:rsidRPr="00404DA5">
        <w:rPr>
          <w:rStyle w:val="Odwoanieprzypisudolnego"/>
          <w:rFonts w:eastAsia="Calibri"/>
          <w:lang w:eastAsia="en-US"/>
        </w:rPr>
        <w:footnoteReference w:id="200"/>
      </w:r>
      <w:r w:rsidRPr="00404DA5">
        <w:rPr>
          <w:rFonts w:eastAsia="Calibri"/>
          <w:lang w:eastAsia="en-US"/>
        </w:rPr>
        <w:t>.</w:t>
      </w:r>
      <w:r w:rsidR="00E66B89">
        <w:rPr>
          <w:rFonts w:eastAsia="Calibri"/>
          <w:lang w:eastAsia="en-US"/>
        </w:rPr>
        <w:t xml:space="preserve"> W </w:t>
      </w:r>
      <w:r w:rsidRPr="00404DA5">
        <w:rPr>
          <w:rFonts w:eastAsia="Calibri"/>
          <w:lang w:eastAsia="en-US"/>
        </w:rPr>
        <w:t>EFS</w:t>
      </w:r>
      <w:r w:rsidRPr="00404DA5">
        <w:rPr>
          <w:rStyle w:val="Odwoanieprzypisudolnego"/>
          <w:rFonts w:eastAsia="Calibri"/>
          <w:lang w:eastAsia="en-US"/>
        </w:rPr>
        <w:footnoteReference w:id="201"/>
      </w:r>
      <w:r w:rsidRPr="00404DA5">
        <w:rPr>
          <w:rFonts w:eastAsia="Calibri"/>
          <w:lang w:eastAsia="en-US"/>
        </w:rPr>
        <w:t xml:space="preserve"> kluczowe znaczenie ma zasada równości szans kobiet</w:t>
      </w:r>
      <w:r w:rsidR="00E66B89">
        <w:rPr>
          <w:rFonts w:eastAsia="Calibri"/>
          <w:lang w:eastAsia="en-US"/>
        </w:rPr>
        <w:t xml:space="preserve"> i </w:t>
      </w:r>
      <w:r w:rsidRPr="00404DA5">
        <w:rPr>
          <w:rFonts w:eastAsia="Calibri"/>
          <w:lang w:eastAsia="en-US"/>
        </w:rPr>
        <w:t xml:space="preserve">mężczyzn </w:t>
      </w:r>
      <w:r w:rsidR="0074340E">
        <w:rPr>
          <w:rFonts w:eastAsia="Calibri"/>
          <w:lang w:eastAsia="en-US"/>
        </w:rPr>
        <w:t>(</w:t>
      </w:r>
      <w:r w:rsidRPr="00404DA5">
        <w:rPr>
          <w:rFonts w:eastAsia="Calibri"/>
          <w:lang w:eastAsia="en-US"/>
        </w:rPr>
        <w:t>w oparciu</w:t>
      </w:r>
      <w:r w:rsidR="00E66B89">
        <w:rPr>
          <w:rFonts w:eastAsia="Calibri"/>
          <w:lang w:eastAsia="en-US"/>
        </w:rPr>
        <w:t xml:space="preserve"> o </w:t>
      </w:r>
      <w:r w:rsidRPr="00404DA5">
        <w:rPr>
          <w:rFonts w:eastAsia="Calibri"/>
          <w:lang w:eastAsia="en-US"/>
        </w:rPr>
        <w:t>standard minimum</w:t>
      </w:r>
      <w:r w:rsidR="0074340E">
        <w:rPr>
          <w:rFonts w:eastAsia="Calibri"/>
          <w:lang w:eastAsia="en-US"/>
        </w:rPr>
        <w:t>)</w:t>
      </w:r>
      <w:r w:rsidRPr="00404DA5">
        <w:rPr>
          <w:rFonts w:eastAsia="Calibri"/>
          <w:lang w:eastAsia="en-US"/>
        </w:rPr>
        <w:t xml:space="preserve"> oraz zasada równości szans</w:t>
      </w:r>
      <w:r w:rsidR="00E66B89">
        <w:rPr>
          <w:rFonts w:eastAsia="Calibri"/>
          <w:lang w:eastAsia="en-US"/>
        </w:rPr>
        <w:t xml:space="preserve"> i </w:t>
      </w:r>
      <w:r w:rsidRPr="00404DA5">
        <w:rPr>
          <w:rFonts w:eastAsia="Calibri"/>
          <w:lang w:eastAsia="en-US"/>
        </w:rPr>
        <w:t>niedyskryminacji (np. przyznawanie pierwszeństwa projektom uwzględniającym stosowanie klauzul społecznych</w:t>
      </w:r>
      <w:r w:rsidR="00E66B89">
        <w:rPr>
          <w:rFonts w:eastAsia="Calibri"/>
          <w:lang w:eastAsia="en-US"/>
        </w:rPr>
        <w:t xml:space="preserve"> w </w:t>
      </w:r>
      <w:r w:rsidRPr="00404DA5">
        <w:rPr>
          <w:rFonts w:eastAsia="Calibri"/>
          <w:lang w:eastAsia="en-US"/>
        </w:rPr>
        <w:t>zamówieniach publicznych; ograniczenie segregacji na rynku pracy</w:t>
      </w:r>
      <w:r w:rsidR="0074340E">
        <w:rPr>
          <w:rFonts w:eastAsia="Calibri"/>
          <w:lang w:eastAsia="en-US"/>
        </w:rPr>
        <w:t>;</w:t>
      </w:r>
      <w:r w:rsidRPr="00404DA5">
        <w:rPr>
          <w:rFonts w:eastAsia="Calibri"/>
          <w:lang w:eastAsia="en-US"/>
        </w:rPr>
        <w:t xml:space="preserve"> propagowanie godzenia życia zawodowego</w:t>
      </w:r>
      <w:r w:rsidR="00E66B89">
        <w:rPr>
          <w:rFonts w:eastAsia="Calibri"/>
          <w:lang w:eastAsia="en-US"/>
        </w:rPr>
        <w:t xml:space="preserve"> i </w:t>
      </w:r>
      <w:r w:rsidRPr="00404DA5">
        <w:rPr>
          <w:rFonts w:eastAsia="Calibri"/>
          <w:lang w:eastAsia="en-US"/>
        </w:rPr>
        <w:t>osobistego; zwiększeni</w:t>
      </w:r>
      <w:r>
        <w:rPr>
          <w:rFonts w:eastAsia="Calibri"/>
          <w:lang w:eastAsia="en-US"/>
        </w:rPr>
        <w:t>e</w:t>
      </w:r>
      <w:r w:rsidRPr="00404DA5">
        <w:rPr>
          <w:rFonts w:eastAsia="Calibri"/>
          <w:lang w:eastAsia="en-US"/>
        </w:rPr>
        <w:t xml:space="preserve"> trwałego udziału kobiet</w:t>
      </w:r>
      <w:r w:rsidR="00E66B89">
        <w:rPr>
          <w:rFonts w:eastAsia="Calibri"/>
          <w:lang w:eastAsia="en-US"/>
        </w:rPr>
        <w:t xml:space="preserve"> w </w:t>
      </w:r>
      <w:r w:rsidRPr="00404DA5">
        <w:rPr>
          <w:rFonts w:eastAsia="Calibri"/>
          <w:lang w:eastAsia="en-US"/>
        </w:rPr>
        <w:t>zatrudnieniu</w:t>
      </w:r>
      <w:r w:rsidR="00E66B89">
        <w:rPr>
          <w:rFonts w:eastAsia="Calibri"/>
          <w:lang w:eastAsia="en-US"/>
        </w:rPr>
        <w:t xml:space="preserve"> i </w:t>
      </w:r>
      <w:r w:rsidRPr="00404DA5">
        <w:rPr>
          <w:rFonts w:eastAsia="Calibri"/>
          <w:lang w:eastAsia="en-US"/>
        </w:rPr>
        <w:t xml:space="preserve">rozwoju </w:t>
      </w:r>
      <w:r w:rsidRPr="00404DA5">
        <w:rPr>
          <w:rFonts w:eastAsia="Calibri"/>
          <w:lang w:eastAsia="en-US"/>
        </w:rPr>
        <w:lastRenderedPageBreak/>
        <w:t>kariery; inwestycje</w:t>
      </w:r>
      <w:r w:rsidR="00E66B89">
        <w:rPr>
          <w:rFonts w:eastAsia="Calibri"/>
          <w:lang w:eastAsia="en-US"/>
        </w:rPr>
        <w:t xml:space="preserve"> w </w:t>
      </w:r>
      <w:r w:rsidRPr="00404DA5">
        <w:rPr>
          <w:rFonts w:eastAsia="Calibri"/>
          <w:lang w:eastAsia="en-US"/>
        </w:rPr>
        <w:t>edukację; promowanie zatrudnienia, mobilności pracowników, włączenia społecznego</w:t>
      </w:r>
      <w:r w:rsidR="00E66B89">
        <w:rPr>
          <w:rFonts w:eastAsia="Calibri"/>
          <w:lang w:eastAsia="en-US"/>
        </w:rPr>
        <w:t xml:space="preserve"> i </w:t>
      </w:r>
      <w:r w:rsidRPr="00404DA5">
        <w:rPr>
          <w:rFonts w:eastAsia="Calibri"/>
          <w:lang w:eastAsia="en-US"/>
        </w:rPr>
        <w:t>zwalczania ubóstwa)</w:t>
      </w:r>
      <w:r w:rsidRPr="00404DA5">
        <w:rPr>
          <w:rStyle w:val="Odwoanieprzypisudolnego"/>
          <w:rFonts w:eastAsia="Calibri"/>
          <w:lang w:eastAsia="en-US"/>
        </w:rPr>
        <w:footnoteReference w:id="202"/>
      </w:r>
      <w:r w:rsidRPr="00404DA5">
        <w:rPr>
          <w:rFonts w:eastAsia="Calibri"/>
          <w:lang w:eastAsia="en-US"/>
        </w:rPr>
        <w:t xml:space="preserve">. </w:t>
      </w:r>
    </w:p>
    <w:p w14:paraId="23D6FEAF" w14:textId="77777777" w:rsidR="00E74904" w:rsidRPr="00404DA5" w:rsidRDefault="00E74904" w:rsidP="00E74904">
      <w:pPr>
        <w:rPr>
          <w:rFonts w:eastAsia="Calibri"/>
          <w:lang w:eastAsia="en-US"/>
        </w:rPr>
      </w:pPr>
      <w:r w:rsidRPr="00404DA5">
        <w:rPr>
          <w:rFonts w:eastAsia="Calibri"/>
          <w:lang w:eastAsia="en-US"/>
        </w:rPr>
        <w:t>Wnioskodawcy</w:t>
      </w:r>
      <w:r w:rsidR="00E66B89">
        <w:rPr>
          <w:rFonts w:eastAsia="Calibri"/>
          <w:lang w:eastAsia="en-US"/>
        </w:rPr>
        <w:t xml:space="preserve"> w </w:t>
      </w:r>
      <w:r w:rsidRPr="00404DA5">
        <w:rPr>
          <w:rFonts w:eastAsia="Calibri"/>
          <w:lang w:eastAsia="en-US"/>
        </w:rPr>
        <w:t>ramach ogłoszonych konkursów mieli zapewnione szkolenia</w:t>
      </w:r>
      <w:r w:rsidR="00E66B89">
        <w:rPr>
          <w:rFonts w:eastAsia="Calibri"/>
          <w:lang w:eastAsia="en-US"/>
        </w:rPr>
        <w:t xml:space="preserve"> i </w:t>
      </w:r>
      <w:r w:rsidRPr="00404DA5">
        <w:rPr>
          <w:rFonts w:eastAsia="Calibri"/>
          <w:lang w:eastAsia="en-US"/>
        </w:rPr>
        <w:t>spotkania mające na celu m.in. wyjaśnienie wątpliwości związanych</w:t>
      </w:r>
      <w:r w:rsidR="00E66B89">
        <w:rPr>
          <w:rFonts w:eastAsia="Calibri"/>
          <w:lang w:eastAsia="en-US"/>
        </w:rPr>
        <w:t xml:space="preserve"> z </w:t>
      </w:r>
      <w:r w:rsidRPr="00404DA5">
        <w:rPr>
          <w:rFonts w:eastAsia="Calibri"/>
          <w:lang w:eastAsia="en-US"/>
        </w:rPr>
        <w:t>uwzględnieniem zasad horyzontalnych. Informacje</w:t>
      </w:r>
      <w:r w:rsidR="00E66B89">
        <w:rPr>
          <w:rFonts w:eastAsia="Calibri"/>
          <w:lang w:eastAsia="en-US"/>
        </w:rPr>
        <w:t xml:space="preserve"> o </w:t>
      </w:r>
      <w:r w:rsidRPr="00404DA5">
        <w:rPr>
          <w:rFonts w:eastAsia="Calibri"/>
          <w:lang w:eastAsia="en-US"/>
        </w:rPr>
        <w:t>spotkaniach były publikowane</w:t>
      </w:r>
      <w:r w:rsidR="00E66B89">
        <w:rPr>
          <w:rFonts w:eastAsia="Calibri"/>
          <w:lang w:eastAsia="en-US"/>
        </w:rPr>
        <w:t xml:space="preserve"> w </w:t>
      </w:r>
      <w:r w:rsidRPr="00404DA5">
        <w:rPr>
          <w:rFonts w:eastAsia="Calibri"/>
          <w:lang w:eastAsia="en-US"/>
        </w:rPr>
        <w:t>serwisie Regionalnego Programu Operacyjnego Województwa Zachodniopomorskiego (</w:t>
      </w:r>
      <w:hyperlink r:id="rId101" w:history="1">
        <w:r w:rsidRPr="00404DA5">
          <w:rPr>
            <w:rStyle w:val="Hipercze"/>
            <w:rFonts w:eastAsia="Calibri"/>
            <w:lang w:eastAsia="en-US"/>
          </w:rPr>
          <w:t>http://www.rpo.wzp.pl</w:t>
        </w:r>
      </w:hyperlink>
      <w:r w:rsidRPr="00404DA5">
        <w:rPr>
          <w:rFonts w:eastAsia="Calibri"/>
          <w:lang w:eastAsia="en-US"/>
        </w:rPr>
        <w:t>). Większość beneficjentów (43%) nie pamiętała jednak czy spotkała się na etapie przygotowywania wniosku</w:t>
      </w:r>
      <w:r w:rsidR="00E66B89">
        <w:rPr>
          <w:rFonts w:eastAsia="Calibri"/>
          <w:lang w:eastAsia="en-US"/>
        </w:rPr>
        <w:t xml:space="preserve"> z </w:t>
      </w:r>
      <w:r w:rsidRPr="00404DA5">
        <w:rPr>
          <w:rFonts w:eastAsia="Calibri"/>
          <w:lang w:eastAsia="en-US"/>
        </w:rPr>
        <w:t>działaniami informacyjnymi</w:t>
      </w:r>
      <w:r w:rsidR="00E66B89">
        <w:rPr>
          <w:rFonts w:eastAsia="Calibri"/>
          <w:lang w:eastAsia="en-US"/>
        </w:rPr>
        <w:t xml:space="preserve"> i </w:t>
      </w:r>
      <w:r w:rsidRPr="00404DA5">
        <w:rPr>
          <w:rFonts w:eastAsia="Calibri"/>
          <w:lang w:eastAsia="en-US"/>
        </w:rPr>
        <w:t>promocyjnymi ze strony IOK zawierającymi informacje na temat zasad horyzontalnych. Niemal dwa razy więcej beneficjentów EFS niż EFRR spotkało się</w:t>
      </w:r>
      <w:r w:rsidR="00E66B89">
        <w:rPr>
          <w:rFonts w:eastAsia="Calibri"/>
          <w:lang w:eastAsia="en-US"/>
        </w:rPr>
        <w:t xml:space="preserve"> z </w:t>
      </w:r>
      <w:r w:rsidRPr="00404DA5">
        <w:rPr>
          <w:rFonts w:eastAsia="Calibri"/>
          <w:lang w:eastAsia="en-US"/>
        </w:rPr>
        <w:t>takimi działaniami ze strony IOK – podobny odsetek</w:t>
      </w:r>
      <w:r w:rsidR="00863989">
        <w:rPr>
          <w:rFonts w:eastAsia="Calibri"/>
          <w:lang w:eastAsia="en-US"/>
        </w:rPr>
        <w:t xml:space="preserve"> odnotowano</w:t>
      </w:r>
      <w:r w:rsidR="00E66B89">
        <w:rPr>
          <w:rFonts w:eastAsia="Calibri"/>
          <w:lang w:eastAsia="en-US"/>
        </w:rPr>
        <w:t xml:space="preserve"> w </w:t>
      </w:r>
      <w:r w:rsidRPr="00404DA5">
        <w:rPr>
          <w:rFonts w:eastAsia="Calibri"/>
          <w:lang w:eastAsia="en-US"/>
        </w:rPr>
        <w:t>przypadku każdej</w:t>
      </w:r>
      <w:r w:rsidR="00E66B89">
        <w:rPr>
          <w:rFonts w:eastAsia="Calibri"/>
          <w:lang w:eastAsia="en-US"/>
        </w:rPr>
        <w:t xml:space="preserve"> z </w:t>
      </w:r>
      <w:r w:rsidRPr="00404DA5">
        <w:rPr>
          <w:rFonts w:eastAsia="Calibri"/>
          <w:lang w:eastAsia="en-US"/>
        </w:rPr>
        <w:t>trzech osi priorytetowych EFS.</w:t>
      </w:r>
      <w:r w:rsidR="00E66B89">
        <w:rPr>
          <w:rFonts w:eastAsia="Calibri"/>
          <w:lang w:eastAsia="en-US"/>
        </w:rPr>
        <w:t xml:space="preserve"> W </w:t>
      </w:r>
      <w:r w:rsidRPr="00404DA5">
        <w:rPr>
          <w:rFonts w:eastAsia="Calibri"/>
          <w:lang w:eastAsia="en-US"/>
        </w:rPr>
        <w:t>przypadku EFRR</w:t>
      </w:r>
      <w:r w:rsidR="00E66B89">
        <w:rPr>
          <w:rFonts w:eastAsia="Calibri"/>
          <w:lang w:eastAsia="en-US"/>
        </w:rPr>
        <w:t xml:space="preserve"> z </w:t>
      </w:r>
      <w:r w:rsidRPr="00404DA5">
        <w:rPr>
          <w:rFonts w:eastAsia="Calibri"/>
          <w:lang w:eastAsia="en-US"/>
        </w:rPr>
        <w:t>najmniejszą liczbą komunikatów</w:t>
      </w:r>
      <w:r w:rsidR="00E66B89">
        <w:rPr>
          <w:rFonts w:eastAsia="Calibri"/>
          <w:lang w:eastAsia="en-US"/>
        </w:rPr>
        <w:t xml:space="preserve"> o </w:t>
      </w:r>
      <w:r w:rsidRPr="00404DA5">
        <w:rPr>
          <w:rFonts w:eastAsia="Calibri"/>
          <w:lang w:eastAsia="en-US"/>
        </w:rPr>
        <w:t>zasadach horyzontalnych spotkali się beneficjenci OP III oraz OP IV. Beneficjenci, którzy wskazali na styczność</w:t>
      </w:r>
      <w:r w:rsidR="00E66B89">
        <w:rPr>
          <w:rFonts w:eastAsia="Calibri"/>
          <w:lang w:eastAsia="en-US"/>
        </w:rPr>
        <w:t xml:space="preserve"> z </w:t>
      </w:r>
      <w:r w:rsidRPr="00404DA5">
        <w:rPr>
          <w:rFonts w:eastAsia="Calibri"/>
          <w:lang w:eastAsia="en-US"/>
        </w:rPr>
        <w:t>informacjami</w:t>
      </w:r>
      <w:r w:rsidR="00E66B89">
        <w:rPr>
          <w:rFonts w:eastAsia="Calibri"/>
          <w:lang w:eastAsia="en-US"/>
        </w:rPr>
        <w:t xml:space="preserve"> o </w:t>
      </w:r>
      <w:r w:rsidRPr="00404DA5">
        <w:rPr>
          <w:rFonts w:eastAsia="Calibri"/>
          <w:lang w:eastAsia="en-US"/>
        </w:rPr>
        <w:t>zasadach horyzontalnych najczęściej docierali do nich za pośrednictwem Internetu (60%)</w:t>
      </w:r>
      <w:r w:rsidR="00E66B89">
        <w:rPr>
          <w:rFonts w:eastAsia="Calibri"/>
          <w:lang w:eastAsia="en-US"/>
        </w:rPr>
        <w:t xml:space="preserve"> i </w:t>
      </w:r>
      <w:r w:rsidRPr="00404DA5">
        <w:rPr>
          <w:rFonts w:eastAsia="Calibri"/>
          <w:lang w:eastAsia="en-US"/>
        </w:rPr>
        <w:t>na szkoleniach (59%) oraz na spotkaniach dla wnioskodawców (38%). Niemal 1/3 beneficjentów otrzymywała także informację bezpośrednio od pracownika IOK (32%). Skuteczne okazały się także ulotki</w:t>
      </w:r>
      <w:r w:rsidR="00E66B89">
        <w:rPr>
          <w:rFonts w:eastAsia="Calibri"/>
          <w:lang w:eastAsia="en-US"/>
        </w:rPr>
        <w:t xml:space="preserve"> i </w:t>
      </w:r>
      <w:r w:rsidRPr="00404DA5">
        <w:rPr>
          <w:rFonts w:eastAsia="Calibri"/>
          <w:lang w:eastAsia="en-US"/>
        </w:rPr>
        <w:t>broszury (28%) oraz przekazy medialne</w:t>
      </w:r>
      <w:r w:rsidR="00E66B89">
        <w:rPr>
          <w:rFonts w:eastAsia="Calibri"/>
          <w:lang w:eastAsia="en-US"/>
        </w:rPr>
        <w:t xml:space="preserve"> i </w:t>
      </w:r>
      <w:r w:rsidRPr="00404DA5">
        <w:rPr>
          <w:rFonts w:eastAsia="Calibri"/>
          <w:lang w:eastAsia="en-US"/>
        </w:rPr>
        <w:t>radiowe (16%)</w:t>
      </w:r>
      <w:r w:rsidRPr="00404DA5">
        <w:rPr>
          <w:rStyle w:val="Odwoanieprzypisudolnego"/>
          <w:rFonts w:eastAsia="Calibri"/>
          <w:lang w:eastAsia="en-US"/>
        </w:rPr>
        <w:footnoteReference w:id="203"/>
      </w:r>
      <w:r w:rsidRPr="00404DA5">
        <w:rPr>
          <w:rFonts w:eastAsia="Calibri"/>
          <w:lang w:eastAsia="en-US"/>
        </w:rPr>
        <w:t xml:space="preserve">. </w:t>
      </w:r>
    </w:p>
    <w:p w14:paraId="09F534A1" w14:textId="77777777" w:rsidR="00E74904" w:rsidRPr="00644A85" w:rsidRDefault="00E74904" w:rsidP="009E3E23">
      <w:pPr>
        <w:pStyle w:val="Legenda"/>
        <w:spacing w:after="0"/>
      </w:pPr>
      <w:bookmarkStart w:id="414" w:name="_Toc5311915"/>
      <w:r w:rsidRPr="00644A85">
        <w:t xml:space="preserve">Wykres </w:t>
      </w:r>
      <w:r w:rsidR="004E27AD">
        <w:fldChar w:fldCharType="begin"/>
      </w:r>
      <w:r w:rsidR="004E27AD">
        <w:instrText xml:space="preserve"> SEQ Wykres \* ARABIC </w:instrText>
      </w:r>
      <w:r w:rsidR="004E27AD">
        <w:fldChar w:fldCharType="separate"/>
      </w:r>
      <w:r w:rsidR="00763345">
        <w:rPr>
          <w:noProof/>
        </w:rPr>
        <w:t>50</w:t>
      </w:r>
      <w:r w:rsidR="004E27AD">
        <w:fldChar w:fldCharType="end"/>
      </w:r>
      <w:r w:rsidRPr="00644A85">
        <w:t xml:space="preserve"> Czy beneficjenci RPO WZ 2014-2020 spotkali się</w:t>
      </w:r>
      <w:r w:rsidR="00E66B89">
        <w:t xml:space="preserve"> z </w:t>
      </w:r>
      <w:r w:rsidRPr="00644A85">
        <w:t>działaniami informacyjnymi</w:t>
      </w:r>
      <w:r w:rsidR="00E66B89">
        <w:t xml:space="preserve"> i </w:t>
      </w:r>
      <w:r w:rsidRPr="00644A85">
        <w:t>promocyjnymi podejmowanymi przez Instytucję Organizującą Konkurs dotyczącymi zasad horyzontalnych?</w:t>
      </w:r>
      <w:bookmarkEnd w:id="414"/>
    </w:p>
    <w:p w14:paraId="1EF0A8AE" w14:textId="641E6B04" w:rsidR="00E74904" w:rsidRPr="00404DA5" w:rsidRDefault="00C35619" w:rsidP="00CA715D">
      <w:pPr>
        <w:spacing w:before="0" w:after="0"/>
        <w:rPr>
          <w:rFonts w:eastAsia="Calibri"/>
          <w:lang w:eastAsia="en-US"/>
        </w:rPr>
      </w:pPr>
      <w:r w:rsidRPr="00D508B6">
        <w:rPr>
          <w:noProof/>
        </w:rPr>
        <w:drawing>
          <wp:inline distT="0" distB="0" distL="0" distR="0" wp14:anchorId="0FA4BDC9" wp14:editId="3921E36C">
            <wp:extent cx="5741670" cy="2530475"/>
            <wp:effectExtent l="0" t="0" r="11430" b="3175"/>
            <wp:docPr id="87"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183EACA"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n=437.</w:t>
      </w:r>
    </w:p>
    <w:p w14:paraId="0CD2F71E" w14:textId="46CE0C0A" w:rsidR="00E74904" w:rsidRDefault="00E74904" w:rsidP="00E74904">
      <w:r>
        <w:t>Prawie wszyscy beneficjenci, którzy wzięli udział</w:t>
      </w:r>
      <w:r w:rsidR="00E66B89">
        <w:t xml:space="preserve"> w </w:t>
      </w:r>
      <w:r>
        <w:t>szkoleniach lub spotkaniach dla wnioskodawców ocenili, że dzięki nim podnieśli poziom wiedzy na temat realizacji zasad horyzontalnych (100% pozytywnych odpowiedzi</w:t>
      </w:r>
      <w:r w:rsidR="00E66B89">
        <w:t xml:space="preserve"> w </w:t>
      </w:r>
      <w:r>
        <w:t>przypadku OP I, OP III oraz OP V). Jedynie</w:t>
      </w:r>
      <w:r w:rsidR="00E66B89">
        <w:t xml:space="preserve"> w </w:t>
      </w:r>
      <w:r>
        <w:t>OP II</w:t>
      </w:r>
      <w:r w:rsidR="00E66B89">
        <w:t xml:space="preserve"> i </w:t>
      </w:r>
      <w:r>
        <w:t>OP VII wystąpiły pewne zastrzeżenia</w:t>
      </w:r>
      <w:r w:rsidR="00E66B89">
        <w:t xml:space="preserve"> w </w:t>
      </w:r>
      <w:r>
        <w:t>zakresie skuteczności szkoleń – nieco lepsza była</w:t>
      </w:r>
      <w:r w:rsidR="00863989">
        <w:t xml:space="preserve"> tu</w:t>
      </w:r>
      <w:r>
        <w:t xml:space="preserve"> ocena dokonana przez beneficjentów EFS. </w:t>
      </w:r>
    </w:p>
    <w:p w14:paraId="145EE210" w14:textId="69F0BF92" w:rsidR="00E74904" w:rsidRPr="00644A85" w:rsidRDefault="00E74904" w:rsidP="009E3E23">
      <w:pPr>
        <w:pStyle w:val="Legenda"/>
        <w:spacing w:after="0"/>
      </w:pPr>
      <w:bookmarkStart w:id="415" w:name="_Toc5311916"/>
      <w:r w:rsidRPr="00644A85">
        <w:lastRenderedPageBreak/>
        <w:t xml:space="preserve">Wykres </w:t>
      </w:r>
      <w:r w:rsidR="004E27AD">
        <w:fldChar w:fldCharType="begin"/>
      </w:r>
      <w:r w:rsidR="004E27AD">
        <w:instrText xml:space="preserve"> SEQ Wykres \* ARABIC </w:instrText>
      </w:r>
      <w:r w:rsidR="004E27AD">
        <w:fldChar w:fldCharType="separate"/>
      </w:r>
      <w:r w:rsidR="00763345">
        <w:rPr>
          <w:noProof/>
        </w:rPr>
        <w:t>51</w:t>
      </w:r>
      <w:r w:rsidR="004E27AD">
        <w:fldChar w:fldCharType="end"/>
      </w:r>
      <w:r w:rsidRPr="00644A85">
        <w:t xml:space="preserve"> Czy szkolenia/spotkania dla wnioskodawców przyczyniły się do podniesienia wiedzy</w:t>
      </w:r>
      <w:r w:rsidR="00E66B89">
        <w:t xml:space="preserve"> z </w:t>
      </w:r>
      <w:r w:rsidRPr="00644A85">
        <w:t>zakresu zasad horyzontalnych i/lub praktycznych umiejętności wdrażania zasad horyzontalnych?</w:t>
      </w:r>
      <w:bookmarkEnd w:id="415"/>
    </w:p>
    <w:p w14:paraId="17134114" w14:textId="6F387040" w:rsidR="00E74904" w:rsidRDefault="00C35619" w:rsidP="00CA715D">
      <w:pPr>
        <w:spacing w:before="0" w:after="0"/>
        <w:rPr>
          <w:noProof/>
        </w:rPr>
      </w:pPr>
      <w:r w:rsidRPr="00D508B6">
        <w:rPr>
          <w:noProof/>
        </w:rPr>
        <w:drawing>
          <wp:inline distT="0" distB="0" distL="0" distR="0" wp14:anchorId="3E117ECB" wp14:editId="02297E52">
            <wp:extent cx="5704205" cy="2258170"/>
            <wp:effectExtent l="0" t="0" r="10795" b="8890"/>
            <wp:docPr id="88"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B457C2"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n=126.</w:t>
      </w:r>
    </w:p>
    <w:p w14:paraId="19978FDC" w14:textId="77777777" w:rsidR="00E74904" w:rsidRDefault="00E74904" w:rsidP="00E74904">
      <w:r>
        <w:t>Jak wskazano wcześniej, każdy</w:t>
      </w:r>
      <w:r w:rsidR="00E66B89">
        <w:t xml:space="preserve"> z </w:t>
      </w:r>
      <w:r>
        <w:t>funduszy charakteryzuje się nieco inną specyfiką</w:t>
      </w:r>
      <w:r w:rsidR="00E66B89">
        <w:t xml:space="preserve"> i w </w:t>
      </w:r>
      <w:r>
        <w:t>jego wdrażaniu kładziony jest inny nacisk na realizację poszczególnych zasad horyzontalnych. Odzwierciedlają to odpowiedzi beneficjentów dotyczące uwzględniania poszczególnych zasad horyzontalnych</w:t>
      </w:r>
      <w:r w:rsidR="00E66B89">
        <w:t xml:space="preserve"> w </w:t>
      </w:r>
      <w:r>
        <w:t>trakcie opracowywania projektu. Beneficjenci EFS większą uwagę przykładali do uwzględniania zasady równości szans</w:t>
      </w:r>
      <w:r w:rsidR="00E66B89">
        <w:t xml:space="preserve"> i </w:t>
      </w:r>
      <w:r>
        <w:t>niedyskryminacji, natomiast beneficjenci EFRR</w:t>
      </w:r>
      <w:r w:rsidR="00863989">
        <w:t xml:space="preserve"> -</w:t>
      </w:r>
      <w:r>
        <w:t xml:space="preserve"> do zasady zrównoważonego rozwoju. Większy odsetek odpowiedzi negatywnych</w:t>
      </w:r>
      <w:r w:rsidR="00863989">
        <w:t>,</w:t>
      </w:r>
      <w:r w:rsidR="00E66B89">
        <w:t xml:space="preserve"> w </w:t>
      </w:r>
      <w:r>
        <w:t>przypadku uwzględniania zasady zrównoważonego rozwoju</w:t>
      </w:r>
      <w:r w:rsidR="00863989">
        <w:t>,</w:t>
      </w:r>
      <w:r>
        <w:t xml:space="preserve"> wśród beneficjentów EFS może być spowodowany specyfiką projektów</w:t>
      </w:r>
      <w:r w:rsidR="00863989">
        <w:t>. J</w:t>
      </w:r>
      <w:r>
        <w:t xml:space="preserve">ednak należy podkreślić, że </w:t>
      </w:r>
      <w:r w:rsidR="00863989">
        <w:t>-</w:t>
      </w:r>
      <w:r w:rsidR="00E66B89">
        <w:t xml:space="preserve"> z </w:t>
      </w:r>
      <w:r>
        <w:t>uwagi</w:t>
      </w:r>
      <w:r w:rsidR="00863989">
        <w:t xml:space="preserve"> na to,</w:t>
      </w:r>
      <w:r>
        <w:t xml:space="preserve"> iż zgodność</w:t>
      </w:r>
      <w:r w:rsidR="00E66B89">
        <w:t xml:space="preserve"> z </w:t>
      </w:r>
      <w:r>
        <w:t>zasadami horyzontalnymi należy do kryteriów dostępowych</w:t>
      </w:r>
      <w:r w:rsidR="00863989">
        <w:t xml:space="preserve"> -</w:t>
      </w:r>
      <w:r>
        <w:t xml:space="preserve"> zarówno wnioskodawcy EFS jak</w:t>
      </w:r>
      <w:r w:rsidR="00E66B89">
        <w:t xml:space="preserve"> i </w:t>
      </w:r>
      <w:r>
        <w:t xml:space="preserve">EFRR są zobowiązani do ich uwzględnienia. Jak wskazali </w:t>
      </w:r>
      <w:r w:rsidR="00863989">
        <w:t>przedstawiciele</w:t>
      </w:r>
      <w:r>
        <w:t xml:space="preserve"> IZ występują projekty</w:t>
      </w:r>
      <w:r w:rsidR="00E66B89">
        <w:t xml:space="preserve"> z </w:t>
      </w:r>
      <w:r>
        <w:t>natury neutralne,</w:t>
      </w:r>
      <w:r w:rsidR="00E66B89">
        <w:t xml:space="preserve"> w </w:t>
      </w:r>
      <w:r>
        <w:t>których trudno wykazać spełnianie zasad horyzontalnych, np. uwzględni</w:t>
      </w:r>
      <w:r w:rsidR="00863989">
        <w:t>a</w:t>
      </w:r>
      <w:r>
        <w:t xml:space="preserve">nie zasady równości płci przy projekcie dotyczącym budowy drogi, która nie nakłada </w:t>
      </w:r>
      <w:r w:rsidR="00863989">
        <w:t xml:space="preserve">przecież </w:t>
      </w:r>
      <w:r>
        <w:t>ograniczeń na jej użytkowników.</w:t>
      </w:r>
    </w:p>
    <w:p w14:paraId="6676B15A" w14:textId="77777777" w:rsidR="00E74904" w:rsidRPr="00644A85" w:rsidRDefault="00E74904" w:rsidP="00CA715D">
      <w:pPr>
        <w:pStyle w:val="Legenda"/>
        <w:spacing w:after="0"/>
      </w:pPr>
      <w:bookmarkStart w:id="416" w:name="_Toc5311917"/>
      <w:r w:rsidRPr="00644A85">
        <w:t xml:space="preserve">Wykres </w:t>
      </w:r>
      <w:r w:rsidR="004E27AD">
        <w:fldChar w:fldCharType="begin"/>
      </w:r>
      <w:r w:rsidR="004E27AD">
        <w:instrText xml:space="preserve"> SEQ Wykres \* ARABIC </w:instrText>
      </w:r>
      <w:r w:rsidR="004E27AD">
        <w:fldChar w:fldCharType="separate"/>
      </w:r>
      <w:r w:rsidR="00763345">
        <w:rPr>
          <w:noProof/>
        </w:rPr>
        <w:t>52</w:t>
      </w:r>
      <w:r w:rsidR="004E27AD">
        <w:fldChar w:fldCharType="end"/>
      </w:r>
      <w:r w:rsidRPr="00644A85">
        <w:t xml:space="preserve"> Czy przy opracowywaniu projektu brano pod uwagę zasady horyzontalne?</w:t>
      </w:r>
      <w:bookmarkEnd w:id="416"/>
    </w:p>
    <w:p w14:paraId="727EC001" w14:textId="4D1C4EDC" w:rsidR="00E74904" w:rsidRDefault="00C35619" w:rsidP="00CA715D">
      <w:pPr>
        <w:spacing w:before="0" w:after="0"/>
        <w:rPr>
          <w:noProof/>
        </w:rPr>
      </w:pPr>
      <w:r w:rsidRPr="00D508B6">
        <w:rPr>
          <w:noProof/>
        </w:rPr>
        <w:drawing>
          <wp:inline distT="0" distB="0" distL="0" distR="0" wp14:anchorId="403A031E" wp14:editId="143B96FE">
            <wp:extent cx="5753100" cy="2911475"/>
            <wp:effectExtent l="0" t="0" r="0" b="3175"/>
            <wp:docPr id="89"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398DF4D"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n=437.</w:t>
      </w:r>
    </w:p>
    <w:p w14:paraId="1ABB470B" w14:textId="77777777" w:rsidR="00E74904" w:rsidRDefault="00E74904" w:rsidP="00E74904">
      <w:r>
        <w:t>Mimo, iż niektórzy wnioskodawcy nie pamiętali czy uwzględniali zasady horyzontalne</w:t>
      </w:r>
      <w:r w:rsidR="00E66B89">
        <w:t xml:space="preserve"> w </w:t>
      </w:r>
      <w:r>
        <w:t>swoich projektach lub wprost zaprzeczyli ich uwzględnieni</w:t>
      </w:r>
      <w:r w:rsidR="001313B8">
        <w:t>u</w:t>
      </w:r>
      <w:r>
        <w:t>, to jak pokazuj</w:t>
      </w:r>
      <w:r w:rsidR="001313B8">
        <w:t xml:space="preserve">ą wyniki </w:t>
      </w:r>
      <w:r>
        <w:t>CAWI</w:t>
      </w:r>
      <w:r w:rsidR="001313B8">
        <w:t xml:space="preserve"> -</w:t>
      </w:r>
      <w:r>
        <w:t xml:space="preserve"> bardzo mały odsetek </w:t>
      </w:r>
      <w:r>
        <w:lastRenderedPageBreak/>
        <w:t>wnioskodawców miał</w:t>
      </w:r>
      <w:r w:rsidR="001313B8">
        <w:t>o</w:t>
      </w:r>
      <w:r>
        <w:t xml:space="preserve"> jakiekolwiek problemy</w:t>
      </w:r>
      <w:r w:rsidR="00E66B89">
        <w:t xml:space="preserve"> w </w:t>
      </w:r>
      <w:r>
        <w:t>opisaniu zgodności projektu</w:t>
      </w:r>
      <w:r w:rsidR="00E66B89">
        <w:t xml:space="preserve"> z </w:t>
      </w:r>
      <w:r>
        <w:t>zasadami horyzontalnymi. Przedstawiciele IZ byli zdania, iż</w:t>
      </w:r>
      <w:r w:rsidR="00E66B89">
        <w:t xml:space="preserve"> z </w:t>
      </w:r>
      <w:r>
        <w:t>biegiem czasu wnioskodawcy coraz lepiej radzą sobie</w:t>
      </w:r>
      <w:r w:rsidR="00E66B89">
        <w:t xml:space="preserve"> z </w:t>
      </w:r>
      <w:r>
        <w:t>uzupełnianiem części wniosku opisującej spełnianie zasad horyzontalnych - mimo trudności pojawiających się</w:t>
      </w:r>
      <w:r w:rsidR="00E66B89">
        <w:t xml:space="preserve"> w </w:t>
      </w:r>
      <w:r>
        <w:t>trakcie pierwszych naborów. Kwestią, na którą należy zwrócić uwagę jest to, że weryfikacja spełniania zasad horyzontalnych przez projekty jest możliwa</w:t>
      </w:r>
      <w:r w:rsidR="00E66B89">
        <w:t xml:space="preserve"> w </w:t>
      </w:r>
      <w:r>
        <w:t>zasadzie dopiero na etapie kontroli. Wcześniej jest to traktowane bardziej na zasadzie deklaracji</w:t>
      </w:r>
      <w:r w:rsidR="00E66B89">
        <w:t xml:space="preserve"> i </w:t>
      </w:r>
      <w:r>
        <w:t>oświadczenia beneficjentów. Co prawda beneficjenci są zobowiązani do informowania</w:t>
      </w:r>
      <w:r w:rsidR="00E66B89">
        <w:t xml:space="preserve"> o </w:t>
      </w:r>
      <w:r>
        <w:t>realizacji zasad horyzontalnych we wnioskach</w:t>
      </w:r>
      <w:r w:rsidR="00E66B89">
        <w:t xml:space="preserve"> o </w:t>
      </w:r>
      <w:r>
        <w:t>płatność, jednak najczęściej dopiero po zakończeniu projektu jest możliwe pełne sprawdzenie spełniania tych zasad. Dotyczy to przede wszystkim projektów infrastrukturalnych, których efektem są rzeczywiste produkty</w:t>
      </w:r>
      <w:r w:rsidR="001313B8">
        <w:t>,</w:t>
      </w:r>
      <w:r>
        <w:t xml:space="preserve"> np.</w:t>
      </w:r>
      <w:r w:rsidR="00E66B89">
        <w:t xml:space="preserve"> w </w:t>
      </w:r>
      <w:r>
        <w:t>postaci podjazdów dla osób</w:t>
      </w:r>
      <w:r w:rsidR="00E66B89">
        <w:t xml:space="preserve"> z </w:t>
      </w:r>
      <w:r>
        <w:t>niepełnosprawnościami lub infrastruktury zbudowanej zgodnie</w:t>
      </w:r>
      <w:r w:rsidR="00E66B89">
        <w:t xml:space="preserve"> z </w:t>
      </w:r>
      <w:r>
        <w:t>zasadą uniwersalnego projektowania. Znacznie trudniej elementy te mierzy się</w:t>
      </w:r>
      <w:r w:rsidR="00E66B89">
        <w:t xml:space="preserve"> w </w:t>
      </w:r>
      <w:r>
        <w:t>projektach miękkich.</w:t>
      </w:r>
    </w:p>
    <w:p w14:paraId="1DA14212" w14:textId="77777777" w:rsidR="00E74904" w:rsidRPr="00644A85" w:rsidRDefault="00E74904" w:rsidP="00CA715D">
      <w:pPr>
        <w:pStyle w:val="Legenda"/>
        <w:spacing w:after="0"/>
      </w:pPr>
      <w:bookmarkStart w:id="417" w:name="_Toc5311929"/>
      <w:r w:rsidRPr="00644A85">
        <w:t xml:space="preserve">Rysunek </w:t>
      </w:r>
      <w:r w:rsidR="00CD6DE8">
        <w:fldChar w:fldCharType="begin"/>
      </w:r>
      <w:r w:rsidR="00CD6DE8">
        <w:instrText xml:space="preserve"> SEQ Rysunek \* ARABIC </w:instrText>
      </w:r>
      <w:r w:rsidR="00CD6DE8">
        <w:fldChar w:fldCharType="separate"/>
      </w:r>
      <w:r w:rsidR="00763345">
        <w:rPr>
          <w:noProof/>
        </w:rPr>
        <w:t>3</w:t>
      </w:r>
      <w:r w:rsidR="00CD6DE8">
        <w:fldChar w:fldCharType="end"/>
      </w:r>
      <w:r w:rsidRPr="00644A85">
        <w:t xml:space="preserve"> Czy opisanie we wniosku zgodności projektu</w:t>
      </w:r>
      <w:r w:rsidR="00E66B89">
        <w:t xml:space="preserve"> z </w:t>
      </w:r>
      <w:r w:rsidRPr="00644A85">
        <w:t>zasadami horyzontalnymi sprawiło trudność beneficjentom RPO WZ 2014-2020?</w:t>
      </w:r>
      <w:bookmarkEnd w:id="417"/>
    </w:p>
    <w:p w14:paraId="4E70748B" w14:textId="718EA451" w:rsidR="00E74904" w:rsidRDefault="00C35619" w:rsidP="00CA715D">
      <w:pPr>
        <w:spacing w:before="0" w:after="0"/>
        <w:rPr>
          <w:noProof/>
        </w:rPr>
      </w:pPr>
      <w:r w:rsidRPr="00D508B6">
        <w:rPr>
          <w:noProof/>
        </w:rPr>
        <w:drawing>
          <wp:inline distT="0" distB="0" distL="0" distR="0" wp14:anchorId="0C9679C8" wp14:editId="3A0BCB9A">
            <wp:extent cx="5762625" cy="1790700"/>
            <wp:effectExtent l="0" t="0" r="9525" b="0"/>
            <wp:docPr id="9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790700"/>
                    </a:xfrm>
                    <a:prstGeom prst="rect">
                      <a:avLst/>
                    </a:prstGeom>
                    <a:noFill/>
                    <a:ln>
                      <a:noFill/>
                    </a:ln>
                  </pic:spPr>
                </pic:pic>
              </a:graphicData>
            </a:graphic>
          </wp:inline>
        </w:drawing>
      </w:r>
    </w:p>
    <w:p w14:paraId="4B33E7B0"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(odpowiedzi dot. zasady zrównoważonego rozwoju, n=351; odpowiedzi dot. zasady równości szans</w:t>
      </w:r>
      <w:r w:rsidR="00E66B89" w:rsidRPr="00E4475B">
        <w:rPr>
          <w:rFonts w:cs="Calibri"/>
          <w:i/>
          <w:sz w:val="18"/>
          <w:szCs w:val="20"/>
        </w:rPr>
        <w:t xml:space="preserve"> i </w:t>
      </w:r>
      <w:r w:rsidRPr="00E4475B">
        <w:rPr>
          <w:rFonts w:cs="Calibri"/>
          <w:i/>
          <w:sz w:val="18"/>
          <w:szCs w:val="20"/>
        </w:rPr>
        <w:t>niedyskryminacji, n=373).</w:t>
      </w:r>
    </w:p>
    <w:p w14:paraId="214C3A0F" w14:textId="77777777" w:rsidR="00E74904" w:rsidRDefault="005C0881" w:rsidP="00E74904">
      <w:r>
        <w:t>Postęp</w:t>
      </w:r>
      <w:r w:rsidR="00E66B89">
        <w:t xml:space="preserve"> w </w:t>
      </w:r>
      <w:r>
        <w:t xml:space="preserve">zrozumieniu </w:t>
      </w:r>
      <w:r w:rsidR="00DB492E">
        <w:t>znaczenia</w:t>
      </w:r>
      <w:r>
        <w:t xml:space="preserve"> zasad horyzontalnych p</w:t>
      </w:r>
      <w:r w:rsidR="00E74904">
        <w:t xml:space="preserve">otwierdzają wyniki szczegółowej oceny </w:t>
      </w:r>
      <w:r>
        <w:t>związanych</w:t>
      </w:r>
      <w:r w:rsidR="00E66B89">
        <w:t xml:space="preserve"> z </w:t>
      </w:r>
      <w:r>
        <w:t>nimi elementów</w:t>
      </w:r>
      <w:r w:rsidR="00DB492E">
        <w:t xml:space="preserve"> przez beneficjentów</w:t>
      </w:r>
      <w:r w:rsidR="00E74904">
        <w:t>. Dla zdecydowanej większości beneficjentów</w:t>
      </w:r>
      <w:r w:rsidR="001313B8">
        <w:t>,</w:t>
      </w:r>
      <w:r w:rsidR="00E74904">
        <w:t xml:space="preserve"> pojęcia związane</w:t>
      </w:r>
      <w:r w:rsidR="00E66B89">
        <w:t xml:space="preserve"> z </w:t>
      </w:r>
      <w:r w:rsidR="00E74904">
        <w:t>zasadą zrównoważonego rozwoju</w:t>
      </w:r>
      <w:r w:rsidR="00E66B89">
        <w:t xml:space="preserve"> i </w:t>
      </w:r>
      <w:r w:rsidR="00E74904">
        <w:t>zasadami równości szans</w:t>
      </w:r>
      <w:r w:rsidR="00E66B89">
        <w:t xml:space="preserve"> i </w:t>
      </w:r>
      <w:r w:rsidR="00E74904">
        <w:t>niedyskryminacji były zrozumiałe. Przekładało się to na zrozumienie elementów wniosku dotyczących spełniania zasad horyzontalnych. Według beneficjentów przydatne były także dokumenty opisujące zasady horyzontalne zarówno na etapie przygotowywania wniosku jak</w:t>
      </w:r>
      <w:r w:rsidR="00E66B89">
        <w:t xml:space="preserve"> i </w:t>
      </w:r>
      <w:r w:rsidR="00E74904">
        <w:t>na etapie realizacji</w:t>
      </w:r>
      <w:r w:rsidR="00E66B89">
        <w:t xml:space="preserve"> i </w:t>
      </w:r>
      <w:r w:rsidR="00E74904">
        <w:t>rozliczania projektu.</w:t>
      </w:r>
    </w:p>
    <w:p w14:paraId="045C133D" w14:textId="77777777" w:rsidR="00E74904" w:rsidRPr="00644A85" w:rsidRDefault="00E74904" w:rsidP="00CA715D">
      <w:pPr>
        <w:pStyle w:val="Legenda"/>
        <w:spacing w:after="0"/>
      </w:pPr>
      <w:bookmarkStart w:id="418" w:name="_Toc5311918"/>
      <w:r w:rsidRPr="00644A85">
        <w:lastRenderedPageBreak/>
        <w:t xml:space="preserve">Wykres </w:t>
      </w:r>
      <w:r w:rsidR="004E27AD">
        <w:fldChar w:fldCharType="begin"/>
      </w:r>
      <w:r w:rsidR="004E27AD">
        <w:instrText xml:space="preserve"> SEQ Wykres \* ARABIC </w:instrText>
      </w:r>
      <w:r w:rsidR="004E27AD">
        <w:fldChar w:fldCharType="separate"/>
      </w:r>
      <w:r w:rsidR="00763345">
        <w:rPr>
          <w:noProof/>
        </w:rPr>
        <w:t>53</w:t>
      </w:r>
      <w:r w:rsidR="004E27AD">
        <w:fldChar w:fldCharType="end"/>
      </w:r>
      <w:r w:rsidRPr="00644A85">
        <w:t xml:space="preserve"> Ocena funkcjonujących</w:t>
      </w:r>
      <w:r w:rsidR="00E66B89">
        <w:t xml:space="preserve"> w </w:t>
      </w:r>
      <w:r w:rsidRPr="00644A85">
        <w:t>RPO WZ 2014-2020 zasad</w:t>
      </w:r>
      <w:r w:rsidR="00E66B89">
        <w:t xml:space="preserve"> i </w:t>
      </w:r>
      <w:r w:rsidRPr="00644A85">
        <w:t>wymogów związanych</w:t>
      </w:r>
      <w:r w:rsidR="00E66B89">
        <w:t xml:space="preserve"> z </w:t>
      </w:r>
      <w:r w:rsidRPr="00644A85">
        <w:t>zasadami horyzontalnymi przez beneficjentów RPO WZ 2014-2020.</w:t>
      </w:r>
      <w:bookmarkEnd w:id="418"/>
    </w:p>
    <w:p w14:paraId="5B5AD111" w14:textId="5C7D76A1" w:rsidR="00E74904" w:rsidRDefault="00C35619" w:rsidP="00CA715D">
      <w:pPr>
        <w:spacing w:before="0" w:after="0"/>
        <w:rPr>
          <w:noProof/>
        </w:rPr>
      </w:pPr>
      <w:r w:rsidRPr="00D508B6">
        <w:rPr>
          <w:noProof/>
        </w:rPr>
        <w:drawing>
          <wp:inline distT="0" distB="0" distL="0" distR="0" wp14:anchorId="03CAA602" wp14:editId="465F9900">
            <wp:extent cx="5753100" cy="6529070"/>
            <wp:effectExtent l="0" t="0" r="0" b="5080"/>
            <wp:docPr id="91"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6136513"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(odpowiedzi dot. zasady zrównoważonego rozwoju, n=351; odpowiedzi dot. zasady równości szans</w:t>
      </w:r>
      <w:r w:rsidR="00E66B89" w:rsidRPr="00E4475B">
        <w:rPr>
          <w:rFonts w:cs="Calibri"/>
          <w:i/>
          <w:sz w:val="18"/>
          <w:szCs w:val="20"/>
        </w:rPr>
        <w:t xml:space="preserve"> i </w:t>
      </w:r>
      <w:r w:rsidRPr="00E4475B">
        <w:rPr>
          <w:rFonts w:cs="Calibri"/>
          <w:i/>
          <w:sz w:val="18"/>
          <w:szCs w:val="20"/>
        </w:rPr>
        <w:t>niedyskryminacji, n=373).</w:t>
      </w:r>
    </w:p>
    <w:p w14:paraId="711952F4" w14:textId="77777777" w:rsidR="00E74904" w:rsidRDefault="00E74904" w:rsidP="00E74904">
      <w:r>
        <w:t>Beneficjentom EFRR trudniej niż beneficjentom EFS przyszło określenie wystąpienia trudności lub ograniczeń związanych</w:t>
      </w:r>
      <w:r w:rsidR="00E66B89">
        <w:t xml:space="preserve"> z </w:t>
      </w:r>
      <w:r>
        <w:t>koniecznością uwzględnienia zasad horyzontalnych na etapie realizacji projektu. Zdecydowana większość beneficjentów nie zauważyła jednak barier</w:t>
      </w:r>
      <w:r w:rsidR="00E66B89">
        <w:t xml:space="preserve"> w </w:t>
      </w:r>
      <w:r>
        <w:t>tym zakresie.</w:t>
      </w:r>
    </w:p>
    <w:p w14:paraId="73905EA9" w14:textId="77777777" w:rsidR="00E74904" w:rsidRPr="00644A85" w:rsidRDefault="00E74904" w:rsidP="00CA715D">
      <w:pPr>
        <w:pStyle w:val="Legenda"/>
        <w:spacing w:after="0"/>
      </w:pPr>
      <w:bookmarkStart w:id="419" w:name="_Toc5311930"/>
      <w:r w:rsidRPr="00644A85">
        <w:lastRenderedPageBreak/>
        <w:t xml:space="preserve">Rysunek </w:t>
      </w:r>
      <w:r w:rsidR="00CD6DE8">
        <w:fldChar w:fldCharType="begin"/>
      </w:r>
      <w:r w:rsidR="00CD6DE8">
        <w:instrText xml:space="preserve"> SEQ Rysunek \* ARABIC </w:instrText>
      </w:r>
      <w:r w:rsidR="00CD6DE8">
        <w:fldChar w:fldCharType="separate"/>
      </w:r>
      <w:r w:rsidR="00763345">
        <w:rPr>
          <w:noProof/>
        </w:rPr>
        <w:t>4</w:t>
      </w:r>
      <w:r w:rsidR="00CD6DE8">
        <w:fldChar w:fldCharType="end"/>
      </w:r>
      <w:r w:rsidRPr="00644A85">
        <w:t xml:space="preserve"> Czy wystąpiły trudności, ograniczenia</w:t>
      </w:r>
      <w:r w:rsidR="00E66B89">
        <w:t xml:space="preserve"> w </w:t>
      </w:r>
      <w:r w:rsidRPr="00644A85">
        <w:t>związku</w:t>
      </w:r>
      <w:r w:rsidR="00E66B89">
        <w:t xml:space="preserve"> z </w:t>
      </w:r>
      <w:r w:rsidRPr="00644A85">
        <w:t>realizacją zasad horyzontalnych</w:t>
      </w:r>
      <w:r w:rsidR="00E66B89">
        <w:t xml:space="preserve"> w </w:t>
      </w:r>
      <w:r w:rsidRPr="00644A85">
        <w:t>projekcie?</w:t>
      </w:r>
      <w:bookmarkEnd w:id="419"/>
    </w:p>
    <w:p w14:paraId="048C7BB3" w14:textId="03A4F512" w:rsidR="00E74904" w:rsidRDefault="00C35619" w:rsidP="00CA715D">
      <w:pPr>
        <w:spacing w:before="0" w:after="0"/>
        <w:rPr>
          <w:noProof/>
        </w:rPr>
      </w:pPr>
      <w:r w:rsidRPr="00D508B6">
        <w:rPr>
          <w:noProof/>
        </w:rPr>
        <w:drawing>
          <wp:inline distT="0" distB="0" distL="0" distR="0" wp14:anchorId="104F3E9F" wp14:editId="7EFE7A40">
            <wp:extent cx="5762625" cy="1562100"/>
            <wp:effectExtent l="0" t="0" r="9525" b="0"/>
            <wp:docPr id="9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562100"/>
                    </a:xfrm>
                    <a:prstGeom prst="rect">
                      <a:avLst/>
                    </a:prstGeom>
                    <a:noFill/>
                    <a:ln>
                      <a:noFill/>
                    </a:ln>
                  </pic:spPr>
                </pic:pic>
              </a:graphicData>
            </a:graphic>
          </wp:inline>
        </w:drawing>
      </w:r>
    </w:p>
    <w:p w14:paraId="1C7230B6"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(odpowiedzi dot. zasady zrównoważonego rozwoju, n=351; odpowiedzi dot. zasady równości szans</w:t>
      </w:r>
      <w:r w:rsidR="00E66B89" w:rsidRPr="00E4475B">
        <w:rPr>
          <w:rFonts w:cs="Calibri"/>
          <w:i/>
          <w:sz w:val="18"/>
          <w:szCs w:val="20"/>
        </w:rPr>
        <w:t xml:space="preserve"> i </w:t>
      </w:r>
      <w:r w:rsidRPr="00E4475B">
        <w:rPr>
          <w:rFonts w:cs="Calibri"/>
          <w:i/>
          <w:sz w:val="18"/>
          <w:szCs w:val="20"/>
        </w:rPr>
        <w:t>niedyskryminacji, n=373).</w:t>
      </w:r>
    </w:p>
    <w:p w14:paraId="63C36FCF" w14:textId="77777777" w:rsidR="00E74904" w:rsidRPr="00E86F70" w:rsidRDefault="00E74904" w:rsidP="00E74904">
      <w:pPr>
        <w:rPr>
          <w:szCs w:val="20"/>
          <w:highlight w:val="cyan"/>
        </w:rPr>
      </w:pPr>
      <w:r>
        <w:rPr>
          <w:szCs w:val="20"/>
        </w:rPr>
        <w:t>W latach 2016-2017 kryterium zgodności</w:t>
      </w:r>
      <w:r w:rsidR="00E66B89">
        <w:rPr>
          <w:szCs w:val="20"/>
        </w:rPr>
        <w:t xml:space="preserve"> z </w:t>
      </w:r>
      <w:r>
        <w:rPr>
          <w:szCs w:val="20"/>
        </w:rPr>
        <w:t>zasadami horyzontalnymi znalazło się wśród 10 kryteriów</w:t>
      </w:r>
      <w:r w:rsidR="00E66B89">
        <w:rPr>
          <w:szCs w:val="20"/>
        </w:rPr>
        <w:t xml:space="preserve"> w </w:t>
      </w:r>
      <w:r>
        <w:rPr>
          <w:szCs w:val="20"/>
        </w:rPr>
        <w:t>stosunku do których występowało najwięcej protestów wnioskodawców – 29</w:t>
      </w:r>
      <w:r w:rsidR="001E6DA0">
        <w:rPr>
          <w:szCs w:val="20"/>
        </w:rPr>
        <w:t xml:space="preserve"> protestów</w:t>
      </w:r>
      <w:r>
        <w:rPr>
          <w:rStyle w:val="Odwoanieprzypisudolnego"/>
          <w:szCs w:val="20"/>
        </w:rPr>
        <w:footnoteReference w:id="204"/>
      </w:r>
      <w:r>
        <w:rPr>
          <w:szCs w:val="20"/>
        </w:rPr>
        <w:t>.</w:t>
      </w:r>
      <w:r w:rsidR="00E66B89">
        <w:rPr>
          <w:szCs w:val="20"/>
        </w:rPr>
        <w:t xml:space="preserve"> W </w:t>
      </w:r>
      <w:r>
        <w:rPr>
          <w:szCs w:val="20"/>
        </w:rPr>
        <w:t xml:space="preserve">cytowanym badaniu wskazywano na </w:t>
      </w:r>
      <w:r w:rsidRPr="00E76B4E">
        <w:rPr>
          <w:szCs w:val="20"/>
        </w:rPr>
        <w:t>zidentyfikowanie problemów ze zrozumiałością przez wnioskodawców OP III (Działanie 3.5 Wsparcie rozwoju sieci wodociągowych) kryterium z</w:t>
      </w:r>
      <w:r w:rsidRPr="00E76B4E">
        <w:rPr>
          <w:i/>
          <w:iCs/>
          <w:szCs w:val="20"/>
        </w:rPr>
        <w:t>godność</w:t>
      </w:r>
      <w:r w:rsidR="00E66B89">
        <w:rPr>
          <w:i/>
          <w:iCs/>
          <w:szCs w:val="20"/>
        </w:rPr>
        <w:t xml:space="preserve"> z </w:t>
      </w:r>
      <w:r w:rsidRPr="00E76B4E">
        <w:rPr>
          <w:i/>
          <w:iCs/>
          <w:szCs w:val="20"/>
        </w:rPr>
        <w:t>zasadami horyzontalnymi</w:t>
      </w:r>
      <w:r w:rsidRPr="00E76B4E">
        <w:rPr>
          <w:szCs w:val="20"/>
        </w:rPr>
        <w:t>.</w:t>
      </w:r>
      <w:r w:rsidR="00E66B89">
        <w:rPr>
          <w:szCs w:val="20"/>
        </w:rPr>
        <w:t xml:space="preserve"> W </w:t>
      </w:r>
      <w:r w:rsidRPr="00E76B4E">
        <w:rPr>
          <w:szCs w:val="20"/>
        </w:rPr>
        <w:t xml:space="preserve">Działaniu 7.1 natomiast </w:t>
      </w:r>
      <w:r w:rsidR="00935AFE">
        <w:rPr>
          <w:szCs w:val="20"/>
        </w:rPr>
        <w:t>osoby</w:t>
      </w:r>
      <w:r w:rsidRPr="00E76B4E">
        <w:rPr>
          <w:szCs w:val="20"/>
        </w:rPr>
        <w:t xml:space="preserve"> </w:t>
      </w:r>
      <w:r w:rsidR="00935AFE" w:rsidRPr="00E76B4E">
        <w:rPr>
          <w:szCs w:val="20"/>
        </w:rPr>
        <w:t>oceniając</w:t>
      </w:r>
      <w:r w:rsidR="00935AFE">
        <w:rPr>
          <w:szCs w:val="20"/>
        </w:rPr>
        <w:t>e</w:t>
      </w:r>
      <w:r w:rsidR="00935AFE" w:rsidRPr="00E76B4E">
        <w:rPr>
          <w:szCs w:val="20"/>
        </w:rPr>
        <w:t xml:space="preserve"> </w:t>
      </w:r>
      <w:r w:rsidRPr="00E76B4E">
        <w:rPr>
          <w:szCs w:val="20"/>
        </w:rPr>
        <w:t>wnioski</w:t>
      </w:r>
      <w:r w:rsidR="00935AFE">
        <w:rPr>
          <w:szCs w:val="20"/>
        </w:rPr>
        <w:t xml:space="preserve"> wskazywały na</w:t>
      </w:r>
      <w:r w:rsidRPr="00E76B4E">
        <w:rPr>
          <w:szCs w:val="20"/>
        </w:rPr>
        <w:t xml:space="preserve"> identyfikowanie problemu związanego</w:t>
      </w:r>
      <w:r w:rsidR="00E66B89">
        <w:rPr>
          <w:szCs w:val="20"/>
        </w:rPr>
        <w:t xml:space="preserve"> z </w:t>
      </w:r>
      <w:r w:rsidRPr="00E76B4E">
        <w:rPr>
          <w:szCs w:val="20"/>
        </w:rPr>
        <w:t>subiektywnością oceny kryterium z</w:t>
      </w:r>
      <w:r w:rsidRPr="00E76B4E">
        <w:rPr>
          <w:i/>
          <w:iCs/>
          <w:szCs w:val="20"/>
        </w:rPr>
        <w:t>godność</w:t>
      </w:r>
      <w:r w:rsidR="00E66B89">
        <w:rPr>
          <w:i/>
          <w:iCs/>
          <w:szCs w:val="20"/>
        </w:rPr>
        <w:t xml:space="preserve"> z </w:t>
      </w:r>
      <w:r w:rsidRPr="00E76B4E">
        <w:rPr>
          <w:i/>
          <w:iCs/>
          <w:szCs w:val="20"/>
        </w:rPr>
        <w:t xml:space="preserve">zasadami horyzontalnymi </w:t>
      </w:r>
      <w:r w:rsidRPr="00E76B4E">
        <w:rPr>
          <w:iCs/>
          <w:szCs w:val="20"/>
        </w:rPr>
        <w:t xml:space="preserve">oraz jego </w:t>
      </w:r>
      <w:r w:rsidR="00935AFE" w:rsidRPr="00E76B4E">
        <w:rPr>
          <w:iCs/>
          <w:szCs w:val="20"/>
        </w:rPr>
        <w:t>nieprecyzyjnoś</w:t>
      </w:r>
      <w:r w:rsidR="00935AFE">
        <w:rPr>
          <w:iCs/>
          <w:szCs w:val="20"/>
        </w:rPr>
        <w:t>cią</w:t>
      </w:r>
      <w:r>
        <w:rPr>
          <w:rStyle w:val="Odwoanieprzypisudolnego"/>
          <w:iCs/>
          <w:szCs w:val="20"/>
        </w:rPr>
        <w:footnoteReference w:id="205"/>
      </w:r>
      <w:r w:rsidRPr="00E76B4E">
        <w:rPr>
          <w:szCs w:val="20"/>
        </w:rPr>
        <w:t>.</w:t>
      </w:r>
      <w:r>
        <w:rPr>
          <w:szCs w:val="20"/>
        </w:rPr>
        <w:t xml:space="preserve"> </w:t>
      </w:r>
    </w:p>
    <w:p w14:paraId="5BA55328" w14:textId="77777777" w:rsidR="00E74904" w:rsidRDefault="00E74904" w:rsidP="00E74904">
      <w:r>
        <w:t>Około połowa beneficjentów, którzy wzięli udział</w:t>
      </w:r>
      <w:r w:rsidR="00E66B89">
        <w:t xml:space="preserve"> w </w:t>
      </w:r>
      <w:r>
        <w:t>badaniu CAWI</w:t>
      </w:r>
      <w:r w:rsidR="00935AFE">
        <w:t>,</w:t>
      </w:r>
      <w:r>
        <w:t xml:space="preserve"> pozytywnie oceniła wpływ zasad horyzontalnych na realizację projektów</w:t>
      </w:r>
      <w:r w:rsidR="00E66B89">
        <w:t xml:space="preserve"> w </w:t>
      </w:r>
      <w:r>
        <w:t>ramach RPO WZ 2014-2020,</w:t>
      </w:r>
      <w:r w:rsidR="00E66B89">
        <w:t xml:space="preserve"> a </w:t>
      </w:r>
      <w:r>
        <w:t xml:space="preserve">około 1/3 beneficjentów nie potrafiła określić wpływu zasad horyzontalnych na </w:t>
      </w:r>
      <w:r w:rsidR="00935AFE">
        <w:t xml:space="preserve">swój </w:t>
      </w:r>
      <w:r>
        <w:t>projekt. Nieco więcej beneficjentów dostrzegło pozytywny wpływ uwzględni</w:t>
      </w:r>
      <w:r w:rsidR="00935AFE">
        <w:t>a</w:t>
      </w:r>
      <w:r>
        <w:t>nia zasady zrównoważonego rozwoju</w:t>
      </w:r>
      <w:r w:rsidR="00935AFE">
        <w:t>,</w:t>
      </w:r>
      <w:r>
        <w:t xml:space="preserve"> niż zasady równości szans</w:t>
      </w:r>
      <w:r w:rsidR="00E66B89">
        <w:t xml:space="preserve"> i </w:t>
      </w:r>
      <w:r>
        <w:t>niedyskryminacji. Większość beneficjentów była zdania, że konieczność uwzględniania zasad horyzontalnych nie spowodowała większego nakładu pracy przy przygotowywaniu projektu</w:t>
      </w:r>
      <w:r w:rsidR="00F20062">
        <w:t xml:space="preserve"> -</w:t>
      </w:r>
      <w:r>
        <w:t xml:space="preserve"> jednak wśród respondentów, którzy na to wskazali</w:t>
      </w:r>
      <w:r w:rsidR="00F20062">
        <w:t>,</w:t>
      </w:r>
      <w:r>
        <w:t xml:space="preserve"> znalazło się więcej krytycznych ocen względem zasady zrównoważonego rozwoju. Zdaniem części beneficjentów konieczność uwzględnienia zasad horyzontalnych spowodowała podwyższenie kosztów projektu</w:t>
      </w:r>
      <w:r w:rsidR="00F20062">
        <w:t xml:space="preserve"> -</w:t>
      </w:r>
      <w:r w:rsidR="00E66B89">
        <w:t xml:space="preserve"> w </w:t>
      </w:r>
      <w:r>
        <w:t>szczególności</w:t>
      </w:r>
      <w:r w:rsidR="00E66B89">
        <w:t xml:space="preserve"> w </w:t>
      </w:r>
      <w:r>
        <w:t>zakresie uwzględnienia zasady zrównoważonego rozwoju, które częściej wiążą się</w:t>
      </w:r>
      <w:r w:rsidR="00E66B89">
        <w:t xml:space="preserve"> z </w:t>
      </w:r>
      <w:r>
        <w:t xml:space="preserve">koniecznością zastosowania różnych rozwiązań prośrodowiskowych. Potwierdziły to </w:t>
      </w:r>
      <w:r w:rsidR="00F20062">
        <w:t>wywiady</w:t>
      </w:r>
      <w:r w:rsidR="00E66B89">
        <w:t xml:space="preserve"> z </w:t>
      </w:r>
      <w:r w:rsidR="00F20062">
        <w:t xml:space="preserve">przedstawicielami </w:t>
      </w:r>
      <w:r>
        <w:t>IZ –</w:t>
      </w:r>
      <w:r w:rsidR="00E66B89">
        <w:t xml:space="preserve"> w </w:t>
      </w:r>
      <w:r>
        <w:t>przypadku projektów uwzględniających zasadę zrównoważonego rozwoju</w:t>
      </w:r>
      <w:r w:rsidR="00E66B89">
        <w:t xml:space="preserve"> i </w:t>
      </w:r>
      <w:r>
        <w:t>uniwersalnego projektowania</w:t>
      </w:r>
      <w:r w:rsidR="00F20062">
        <w:t>,</w:t>
      </w:r>
      <w:r>
        <w:t xml:space="preserve"> konieczność uwzględniania odpowiednich rozwiązań spełniających te zasady bywa często kosztochłonna dla beneficjentów. Ponad połowa beneficjentów była zdania, że konieczność uwzględniania zasad horyzontalnych wcale nie powoduje utrudnień</w:t>
      </w:r>
      <w:r w:rsidR="00E66B89">
        <w:t xml:space="preserve"> w </w:t>
      </w:r>
      <w:r>
        <w:t>trakcie realizacji projektu</w:t>
      </w:r>
      <w:r w:rsidR="00F20062">
        <w:t xml:space="preserve"> -</w:t>
      </w:r>
      <w:r>
        <w:t xml:space="preserve"> jednak znalazło się grono beneficjentów, którzy byli przeciwnego zdania. Uwaga powinna zostać zwrócona także na fakt, iż około ¼ beneficjentów nie widzi potrzeby zastosowania zasady horyzontalnej</w:t>
      </w:r>
      <w:r w:rsidR="00E66B89">
        <w:t xml:space="preserve"> w </w:t>
      </w:r>
      <w:r>
        <w:t xml:space="preserve">swoim projekcie. Być może </w:t>
      </w:r>
      <w:r w:rsidRPr="008B706B">
        <w:rPr>
          <w:b/>
        </w:rPr>
        <w:t>należy zwiększyć liczbę komunikatów dotyczących szerszego kontekstu pozytywnych aspektów uwzględniania zasad horyzontalnych oraz ich istoty dla osiągania celów Programu.</w:t>
      </w:r>
    </w:p>
    <w:p w14:paraId="70740224" w14:textId="77777777" w:rsidR="00E74904" w:rsidRPr="00644A85" w:rsidRDefault="00E74904" w:rsidP="00CA715D">
      <w:pPr>
        <w:pStyle w:val="Legenda"/>
        <w:spacing w:after="0"/>
      </w:pPr>
      <w:bookmarkStart w:id="420" w:name="_Toc5311919"/>
      <w:r w:rsidRPr="00644A85">
        <w:lastRenderedPageBreak/>
        <w:t xml:space="preserve">Wykres </w:t>
      </w:r>
      <w:r w:rsidR="004E27AD">
        <w:fldChar w:fldCharType="begin"/>
      </w:r>
      <w:r w:rsidR="004E27AD">
        <w:instrText xml:space="preserve"> SEQ Wykres \* ARABIC </w:instrText>
      </w:r>
      <w:r w:rsidR="004E27AD">
        <w:fldChar w:fldCharType="separate"/>
      </w:r>
      <w:r w:rsidR="00763345">
        <w:rPr>
          <w:noProof/>
        </w:rPr>
        <w:t>54</w:t>
      </w:r>
      <w:r w:rsidR="004E27AD">
        <w:fldChar w:fldCharType="end"/>
      </w:r>
      <w:r w:rsidRPr="00644A85">
        <w:t xml:space="preserve"> Ocena wpływu zasad horyzontalnych na realizację projektów przez beneficjentów RPO WZ 2014-2020.</w:t>
      </w:r>
      <w:bookmarkEnd w:id="420"/>
    </w:p>
    <w:p w14:paraId="2D830C66" w14:textId="7E868728" w:rsidR="00E74904" w:rsidRDefault="00C35619" w:rsidP="00E74904">
      <w:pPr>
        <w:rPr>
          <w:noProof/>
        </w:rPr>
      </w:pPr>
      <w:r w:rsidRPr="00D508B6">
        <w:rPr>
          <w:noProof/>
        </w:rPr>
        <w:drawing>
          <wp:inline distT="0" distB="0" distL="0" distR="0" wp14:anchorId="4B220D76" wp14:editId="71FFD475">
            <wp:extent cx="5753100" cy="5814060"/>
            <wp:effectExtent l="0" t="0" r="0" b="15240"/>
            <wp:docPr id="93"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77F7F7F" w14:textId="77777777" w:rsidR="00E74904" w:rsidRPr="00E4475B" w:rsidRDefault="00E74904" w:rsidP="0028542B">
      <w:pPr>
        <w:spacing w:before="0"/>
        <w:rPr>
          <w:rFonts w:cs="Calibri"/>
          <w:i/>
          <w:sz w:val="18"/>
          <w:szCs w:val="20"/>
        </w:rPr>
      </w:pPr>
      <w:r w:rsidRPr="00E4475B">
        <w:rPr>
          <w:rFonts w:cs="Calibri"/>
          <w:i/>
          <w:sz w:val="18"/>
          <w:szCs w:val="20"/>
        </w:rPr>
        <w:t>Źródło: Opracowanie własne na podstawie badania CAWI</w:t>
      </w:r>
      <w:r w:rsidR="00E66B89" w:rsidRPr="00E4475B">
        <w:rPr>
          <w:rFonts w:cs="Calibri"/>
          <w:i/>
          <w:sz w:val="18"/>
          <w:szCs w:val="20"/>
        </w:rPr>
        <w:t xml:space="preserve"> z </w:t>
      </w:r>
      <w:r w:rsidRPr="00E4475B">
        <w:rPr>
          <w:rFonts w:cs="Calibri"/>
          <w:i/>
          <w:sz w:val="18"/>
          <w:szCs w:val="20"/>
        </w:rPr>
        <w:t>beneficjentami OP I-IX RPO WZ 2014-2020, (odpowiedzi dot. zasady zrównoważonego rozwoju, n=351; odpowiedzi dot. zasady równości szans</w:t>
      </w:r>
      <w:r w:rsidR="00E66B89" w:rsidRPr="00E4475B">
        <w:rPr>
          <w:rFonts w:cs="Calibri"/>
          <w:i/>
          <w:sz w:val="18"/>
          <w:szCs w:val="20"/>
        </w:rPr>
        <w:t xml:space="preserve"> i </w:t>
      </w:r>
      <w:r w:rsidRPr="00E4475B">
        <w:rPr>
          <w:rFonts w:cs="Calibri"/>
          <w:i/>
          <w:sz w:val="18"/>
          <w:szCs w:val="20"/>
        </w:rPr>
        <w:t>niedyskryminacji, n=373).</w:t>
      </w:r>
    </w:p>
    <w:p w14:paraId="114AE7D5" w14:textId="77777777" w:rsidR="00E74904" w:rsidRPr="00404DA5" w:rsidRDefault="00E74904" w:rsidP="00E74904">
      <w:pPr>
        <w:rPr>
          <w:rFonts w:eastAsia="Calibri"/>
          <w:lang w:eastAsia="en-US"/>
        </w:rPr>
      </w:pPr>
      <w:r>
        <w:rPr>
          <w:szCs w:val="20"/>
        </w:rPr>
        <w:t>Podsumowując, należy ocenić pozytywnie stopień realizacji zasad horyzontalnych przez system wdrażania RPO WZ 2014-2020. Sprzyjają temu m.in. przyjęte</w:t>
      </w:r>
      <w:r w:rsidR="00F20062">
        <w:rPr>
          <w:szCs w:val="20"/>
        </w:rPr>
        <w:t>,</w:t>
      </w:r>
      <w:r>
        <w:rPr>
          <w:szCs w:val="20"/>
        </w:rPr>
        <w:t xml:space="preserve"> na etapie projektowania wsparcia</w:t>
      </w:r>
      <w:r w:rsidR="00F20062">
        <w:rPr>
          <w:szCs w:val="20"/>
        </w:rPr>
        <w:t>,</w:t>
      </w:r>
      <w:r>
        <w:rPr>
          <w:szCs w:val="20"/>
        </w:rPr>
        <w:t xml:space="preserve"> kryteria wyboru projektów uwzględniające powyższe zasady</w:t>
      </w:r>
      <w:r w:rsidR="00F20062">
        <w:rPr>
          <w:szCs w:val="20"/>
        </w:rPr>
        <w:t xml:space="preserve"> -</w:t>
      </w:r>
      <w:r>
        <w:rPr>
          <w:szCs w:val="20"/>
        </w:rPr>
        <w:t xml:space="preserve"> pozwalające na wybór projektów uwzględniających przede wszystkim </w:t>
      </w:r>
      <w:r w:rsidRPr="004673C7">
        <w:rPr>
          <w:szCs w:val="20"/>
        </w:rPr>
        <w:t>zasad</w:t>
      </w:r>
      <w:r>
        <w:rPr>
          <w:szCs w:val="20"/>
        </w:rPr>
        <w:t>ę</w:t>
      </w:r>
      <w:r w:rsidRPr="004673C7">
        <w:rPr>
          <w:szCs w:val="20"/>
        </w:rPr>
        <w:t xml:space="preserve"> dotycząc</w:t>
      </w:r>
      <w:r>
        <w:rPr>
          <w:szCs w:val="20"/>
        </w:rPr>
        <w:t>ą</w:t>
      </w:r>
      <w:r w:rsidRPr="004673C7">
        <w:rPr>
          <w:szCs w:val="20"/>
        </w:rPr>
        <w:t xml:space="preserve"> równości szans kobiet</w:t>
      </w:r>
      <w:r w:rsidR="00E66B89">
        <w:rPr>
          <w:szCs w:val="20"/>
        </w:rPr>
        <w:t xml:space="preserve"> i </w:t>
      </w:r>
      <w:r w:rsidRPr="004673C7">
        <w:rPr>
          <w:szCs w:val="20"/>
        </w:rPr>
        <w:t>mężczyzn</w:t>
      </w:r>
      <w:r w:rsidR="00E66B89">
        <w:rPr>
          <w:szCs w:val="20"/>
        </w:rPr>
        <w:t xml:space="preserve"> i </w:t>
      </w:r>
      <w:r w:rsidRPr="004673C7">
        <w:rPr>
          <w:szCs w:val="20"/>
        </w:rPr>
        <w:t>osób</w:t>
      </w:r>
      <w:r w:rsidR="00E66B89">
        <w:rPr>
          <w:szCs w:val="20"/>
        </w:rPr>
        <w:t xml:space="preserve"> z </w:t>
      </w:r>
      <w:r w:rsidRPr="004673C7">
        <w:rPr>
          <w:szCs w:val="20"/>
        </w:rPr>
        <w:t>niepełnosprawnościami, zasad</w:t>
      </w:r>
      <w:r>
        <w:rPr>
          <w:szCs w:val="20"/>
        </w:rPr>
        <w:t>ę</w:t>
      </w:r>
      <w:r w:rsidRPr="004673C7">
        <w:rPr>
          <w:szCs w:val="20"/>
        </w:rPr>
        <w:t xml:space="preserve"> uniwersalnego projektowania oraz </w:t>
      </w:r>
      <w:r>
        <w:rPr>
          <w:szCs w:val="20"/>
        </w:rPr>
        <w:t xml:space="preserve">zasadę </w:t>
      </w:r>
      <w:r w:rsidRPr="004673C7">
        <w:rPr>
          <w:szCs w:val="20"/>
        </w:rPr>
        <w:t>zrównoważonego rozwoju</w:t>
      </w:r>
      <w:r>
        <w:rPr>
          <w:szCs w:val="20"/>
        </w:rPr>
        <w:t xml:space="preserve">. </w:t>
      </w:r>
      <w:r>
        <w:rPr>
          <w:rFonts w:cs="Arial"/>
          <w:szCs w:val="20"/>
        </w:rPr>
        <w:t>Dodatkowo kwestie te są przedmiotem oceny</w:t>
      </w:r>
      <w:r w:rsidR="00E66B89">
        <w:rPr>
          <w:rFonts w:cs="Arial"/>
          <w:szCs w:val="20"/>
        </w:rPr>
        <w:t xml:space="preserve"> w </w:t>
      </w:r>
      <w:r>
        <w:rPr>
          <w:rFonts w:cs="Arial"/>
          <w:szCs w:val="20"/>
        </w:rPr>
        <w:t>trakcie realizacji projektu</w:t>
      </w:r>
      <w:r w:rsidR="00E66B89">
        <w:rPr>
          <w:rFonts w:cs="Arial"/>
          <w:szCs w:val="20"/>
        </w:rPr>
        <w:t xml:space="preserve"> i </w:t>
      </w:r>
      <w:r>
        <w:rPr>
          <w:rFonts w:cs="Arial"/>
          <w:szCs w:val="20"/>
        </w:rPr>
        <w:t xml:space="preserve">po jego zakończeniu. </w:t>
      </w:r>
      <w:r w:rsidRPr="00714406">
        <w:rPr>
          <w:rFonts w:cs="Arial"/>
          <w:szCs w:val="20"/>
        </w:rPr>
        <w:t>Realizacja projektów zgodnie</w:t>
      </w:r>
      <w:r w:rsidR="00E66B89">
        <w:rPr>
          <w:rFonts w:cs="Arial"/>
          <w:szCs w:val="20"/>
        </w:rPr>
        <w:t xml:space="preserve"> z </w:t>
      </w:r>
      <w:r w:rsidRPr="00714406">
        <w:rPr>
          <w:rFonts w:cs="Arial"/>
          <w:szCs w:val="20"/>
        </w:rPr>
        <w:t>politykami horyzontalnymi przebiega bez trudności. Jedynie</w:t>
      </w:r>
      <w:r w:rsidR="00E66B89">
        <w:rPr>
          <w:rFonts w:cs="Arial"/>
          <w:szCs w:val="20"/>
        </w:rPr>
        <w:t xml:space="preserve"> w </w:t>
      </w:r>
      <w:r w:rsidRPr="00714406">
        <w:rPr>
          <w:rFonts w:cs="Arial"/>
          <w:szCs w:val="20"/>
        </w:rPr>
        <w:t>projektach EFS beneficjenci napotykają na problemy</w:t>
      </w:r>
      <w:r w:rsidR="00E66B89">
        <w:rPr>
          <w:rFonts w:cs="Arial"/>
          <w:szCs w:val="20"/>
        </w:rPr>
        <w:t xml:space="preserve"> w </w:t>
      </w:r>
      <w:r w:rsidRPr="00714406">
        <w:rPr>
          <w:rFonts w:cs="Arial"/>
          <w:szCs w:val="20"/>
        </w:rPr>
        <w:t xml:space="preserve">osiągnięciu zakładanej liczby uczestników </w:t>
      </w:r>
      <w:r w:rsidR="00222F10">
        <w:rPr>
          <w:rFonts w:cs="Arial"/>
          <w:szCs w:val="20"/>
        </w:rPr>
        <w:t>np.</w:t>
      </w:r>
      <w:r w:rsidR="00E66B89">
        <w:rPr>
          <w:rFonts w:cs="Arial"/>
          <w:szCs w:val="20"/>
        </w:rPr>
        <w:t xml:space="preserve"> w </w:t>
      </w:r>
      <w:r w:rsidR="00222F10">
        <w:rPr>
          <w:rFonts w:cs="Arial"/>
          <w:szCs w:val="20"/>
        </w:rPr>
        <w:t>projektach</w:t>
      </w:r>
      <w:r w:rsidR="00E66B89">
        <w:rPr>
          <w:rFonts w:cs="Arial"/>
          <w:szCs w:val="20"/>
        </w:rPr>
        <w:t xml:space="preserve"> z </w:t>
      </w:r>
      <w:r w:rsidR="00222F10">
        <w:rPr>
          <w:rFonts w:cs="Arial"/>
          <w:szCs w:val="20"/>
        </w:rPr>
        <w:t>zakresu włączenia społecznego</w:t>
      </w:r>
      <w:r w:rsidRPr="00714406">
        <w:rPr>
          <w:rFonts w:cs="Arial"/>
          <w:szCs w:val="20"/>
        </w:rPr>
        <w:t>.</w:t>
      </w:r>
      <w:r>
        <w:rPr>
          <w:rFonts w:cs="Arial"/>
          <w:szCs w:val="20"/>
        </w:rPr>
        <w:t xml:space="preserve"> </w:t>
      </w:r>
    </w:p>
    <w:p w14:paraId="01AC8ECE" w14:textId="77777777" w:rsidR="00164862" w:rsidRPr="00404DA5" w:rsidRDefault="00164862" w:rsidP="00164862">
      <w:pPr>
        <w:rPr>
          <w:rFonts w:cs="Calibri"/>
          <w:szCs w:val="20"/>
        </w:rPr>
      </w:pPr>
    </w:p>
    <w:p w14:paraId="53EF1FB2" w14:textId="77777777" w:rsidR="00094427" w:rsidRPr="00404DA5" w:rsidRDefault="00094427" w:rsidP="00C10C7F">
      <w:pPr>
        <w:rPr>
          <w:rFonts w:cs="Calibri"/>
          <w:szCs w:val="20"/>
        </w:rPr>
      </w:pPr>
    </w:p>
    <w:p w14:paraId="676CC943" w14:textId="77777777" w:rsidR="00EE58A9" w:rsidRPr="00801DB4" w:rsidRDefault="00EE58A9" w:rsidP="00EE58A9">
      <w:pPr>
        <w:pStyle w:val="Nagwek1"/>
      </w:pPr>
      <w:bookmarkStart w:id="421" w:name="_Toc6523762"/>
      <w:r w:rsidRPr="00801DB4">
        <w:t>OCENA WKŁADU INTERWENCJI REGIONALNEGO PROGRAMU OPERACYJNEGO WOJEWÓDZTWA ZACHODNIOPOMORSKIEGO 2014-2020</w:t>
      </w:r>
      <w:r w:rsidR="00E66B89">
        <w:t xml:space="preserve"> W </w:t>
      </w:r>
      <w:r w:rsidRPr="00801DB4">
        <w:t>REALIZACJĘ CELÓW STRATEGII EUROPA 2020 NA POZIOMIE OSI PRIORYTETOWYCH</w:t>
      </w:r>
      <w:bookmarkEnd w:id="421"/>
    </w:p>
    <w:p w14:paraId="5371F624" w14:textId="77777777" w:rsidR="00EE58A9" w:rsidRDefault="00EE58A9" w:rsidP="00EE58A9">
      <w:pPr>
        <w:rPr>
          <w:highlight w:val="green"/>
        </w:rPr>
      </w:pPr>
      <w:r w:rsidRPr="00234772">
        <w:rPr>
          <w:i/>
        </w:rPr>
        <w:t>Strategi</w:t>
      </w:r>
      <w:r>
        <w:rPr>
          <w:i/>
        </w:rPr>
        <w:t>a</w:t>
      </w:r>
      <w:r w:rsidRPr="00234772">
        <w:rPr>
          <w:i/>
        </w:rPr>
        <w:t xml:space="preserve"> na rzecz inteligentnego</w:t>
      </w:r>
      <w:r w:rsidR="00E66B89">
        <w:rPr>
          <w:i/>
        </w:rPr>
        <w:t xml:space="preserve"> i </w:t>
      </w:r>
      <w:r w:rsidRPr="00234772">
        <w:rPr>
          <w:i/>
        </w:rPr>
        <w:t>zrównoważonego rozwoju sprzyjającego włączeniu społecznemu</w:t>
      </w:r>
      <w:r w:rsidRPr="00234772">
        <w:t xml:space="preserve"> (</w:t>
      </w:r>
      <w:r w:rsidRPr="00234772">
        <w:rPr>
          <w:i/>
        </w:rPr>
        <w:t>Strategi</w:t>
      </w:r>
      <w:r>
        <w:rPr>
          <w:i/>
        </w:rPr>
        <w:t>a</w:t>
      </w:r>
      <w:r w:rsidRPr="00234772">
        <w:t xml:space="preserve"> </w:t>
      </w:r>
      <w:r w:rsidRPr="00234772">
        <w:rPr>
          <w:i/>
        </w:rPr>
        <w:t>Europa 2020</w:t>
      </w:r>
      <w:r w:rsidRPr="00234772">
        <w:t>) to europejski dokument strategiczny wskazujący na kierunki rozwoju UE</w:t>
      </w:r>
      <w:r w:rsidR="00E66B89">
        <w:t xml:space="preserve"> w </w:t>
      </w:r>
      <w:r w:rsidRPr="00234772">
        <w:t>horyzoncie dekady 2010-2020.</w:t>
      </w:r>
      <w:r>
        <w:t xml:space="preserve"> Jest następczynią umiarkowanie skutecznej </w:t>
      </w:r>
      <w:r>
        <w:rPr>
          <w:i/>
        </w:rPr>
        <w:t>Strategii Lizbońskiej</w:t>
      </w:r>
      <w:r w:rsidR="00E66B89">
        <w:rPr>
          <w:i/>
        </w:rPr>
        <w:t xml:space="preserve"> i </w:t>
      </w:r>
      <w:r>
        <w:t>powstawała</w:t>
      </w:r>
      <w:r w:rsidR="00E66B89">
        <w:t xml:space="preserve"> w </w:t>
      </w:r>
      <w:r>
        <w:t>okresie kryzysu 2008-2009. Ten kontekst kształtuje diagnozę</w:t>
      </w:r>
      <w:r w:rsidR="00E66B89">
        <w:t xml:space="preserve"> i </w:t>
      </w:r>
      <w:r>
        <w:t>wyzwania rozwojowe.</w:t>
      </w:r>
      <w:r w:rsidR="00E66B89">
        <w:t xml:space="preserve"> W </w:t>
      </w:r>
      <w:r>
        <w:t>szczególności wskazuje się, że Europa jest niekonkurencyjna względem Stanów Zjednoczonych, co utrudnia niwelowanie luki rozwojowej między tymi gospodarkami (w tym wyjście</w:t>
      </w:r>
      <w:r w:rsidR="00E66B89">
        <w:t xml:space="preserve"> z </w:t>
      </w:r>
      <w:r>
        <w:t>kryzysu). Dodatkowo, ujawniają się makrotrendy, które zmienią sposób gospodarowania, m.in</w:t>
      </w:r>
      <w:r w:rsidRPr="00964DBB">
        <w:t>. globalizacja, ograniczoność zasobów</w:t>
      </w:r>
      <w:r w:rsidR="00E66B89">
        <w:t xml:space="preserve"> i </w:t>
      </w:r>
      <w:r w:rsidRPr="00964DBB">
        <w:t>starzenie ludności</w:t>
      </w:r>
      <w:r>
        <w:t>. Na tej podstawie zidentyfikowano 3 priorytety rozwoju:</w:t>
      </w:r>
    </w:p>
    <w:p w14:paraId="55FCA502" w14:textId="77777777" w:rsidR="00EE58A9" w:rsidRPr="00512D05" w:rsidRDefault="00EE58A9" w:rsidP="00093E14">
      <w:pPr>
        <w:pStyle w:val="Akapitzlist"/>
        <w:numPr>
          <w:ilvl w:val="0"/>
          <w:numId w:val="22"/>
        </w:numPr>
        <w:spacing w:before="0" w:after="160" w:line="259" w:lineRule="auto"/>
        <w:rPr>
          <w:rFonts w:ascii="Lato" w:hAnsi="Lato"/>
          <w:sz w:val="20"/>
          <w:szCs w:val="20"/>
        </w:rPr>
      </w:pPr>
      <w:r w:rsidRPr="00512D05">
        <w:rPr>
          <w:rFonts w:ascii="Lato" w:hAnsi="Lato"/>
          <w:sz w:val="20"/>
          <w:szCs w:val="20"/>
        </w:rPr>
        <w:t xml:space="preserve">rozwój </w:t>
      </w:r>
      <w:r w:rsidRPr="00512D05">
        <w:rPr>
          <w:rFonts w:ascii="Lato" w:hAnsi="Lato"/>
          <w:i/>
          <w:sz w:val="20"/>
          <w:szCs w:val="20"/>
        </w:rPr>
        <w:t>inteligentny</w:t>
      </w:r>
      <w:r w:rsidRPr="00512D05">
        <w:rPr>
          <w:rFonts w:ascii="Lato" w:hAnsi="Lato"/>
          <w:sz w:val="20"/>
          <w:szCs w:val="20"/>
        </w:rPr>
        <w:t>, tj. gospodarka oparta na wiedzy</w:t>
      </w:r>
      <w:r w:rsidR="00E66B89">
        <w:rPr>
          <w:rFonts w:ascii="Lato" w:hAnsi="Lato"/>
          <w:sz w:val="20"/>
          <w:szCs w:val="20"/>
        </w:rPr>
        <w:t xml:space="preserve"> i </w:t>
      </w:r>
      <w:r w:rsidRPr="00512D05">
        <w:rPr>
          <w:rFonts w:ascii="Lato" w:hAnsi="Lato"/>
          <w:sz w:val="20"/>
          <w:szCs w:val="20"/>
        </w:rPr>
        <w:t>innowacjach;</w:t>
      </w:r>
    </w:p>
    <w:p w14:paraId="58532713" w14:textId="77777777" w:rsidR="00EE58A9" w:rsidRPr="00512D05" w:rsidRDefault="00EE58A9" w:rsidP="00093E14">
      <w:pPr>
        <w:pStyle w:val="Akapitzlist"/>
        <w:numPr>
          <w:ilvl w:val="0"/>
          <w:numId w:val="22"/>
        </w:numPr>
        <w:spacing w:before="0" w:after="160" w:line="259" w:lineRule="auto"/>
        <w:rPr>
          <w:rFonts w:ascii="Lato" w:hAnsi="Lato"/>
          <w:sz w:val="20"/>
          <w:szCs w:val="20"/>
        </w:rPr>
      </w:pPr>
      <w:r w:rsidRPr="00512D05">
        <w:rPr>
          <w:rFonts w:ascii="Lato" w:hAnsi="Lato"/>
          <w:sz w:val="20"/>
          <w:szCs w:val="20"/>
        </w:rPr>
        <w:t xml:space="preserve">rozwój </w:t>
      </w:r>
      <w:r w:rsidRPr="00512D05">
        <w:rPr>
          <w:rFonts w:ascii="Lato" w:hAnsi="Lato"/>
          <w:i/>
          <w:sz w:val="20"/>
          <w:szCs w:val="20"/>
        </w:rPr>
        <w:t>zrównoważony</w:t>
      </w:r>
      <w:r w:rsidRPr="00512D05">
        <w:rPr>
          <w:rFonts w:ascii="Lato" w:hAnsi="Lato"/>
          <w:sz w:val="20"/>
          <w:szCs w:val="20"/>
        </w:rPr>
        <w:t>, tj. wysoka efektywność wykorzystania zasobów</w:t>
      </w:r>
      <w:r w:rsidR="00E66B89">
        <w:rPr>
          <w:rFonts w:ascii="Lato" w:hAnsi="Lato"/>
          <w:sz w:val="20"/>
          <w:szCs w:val="20"/>
        </w:rPr>
        <w:t xml:space="preserve"> i </w:t>
      </w:r>
      <w:r w:rsidRPr="00512D05">
        <w:rPr>
          <w:rFonts w:ascii="Lato" w:hAnsi="Lato"/>
          <w:sz w:val="20"/>
          <w:szCs w:val="20"/>
        </w:rPr>
        <w:t>konkurencyjności;</w:t>
      </w:r>
    </w:p>
    <w:p w14:paraId="090EEC95" w14:textId="77777777" w:rsidR="00EE58A9" w:rsidRPr="00512D05" w:rsidRDefault="00EE58A9" w:rsidP="00093E14">
      <w:pPr>
        <w:pStyle w:val="Akapitzlist"/>
        <w:numPr>
          <w:ilvl w:val="0"/>
          <w:numId w:val="22"/>
        </w:numPr>
        <w:spacing w:before="0" w:after="160" w:line="259" w:lineRule="auto"/>
        <w:rPr>
          <w:rFonts w:ascii="Lato" w:hAnsi="Lato"/>
          <w:sz w:val="20"/>
          <w:szCs w:val="20"/>
        </w:rPr>
      </w:pPr>
      <w:r w:rsidRPr="00512D05">
        <w:rPr>
          <w:rFonts w:ascii="Lato" w:hAnsi="Lato"/>
          <w:sz w:val="20"/>
          <w:szCs w:val="20"/>
        </w:rPr>
        <w:t xml:space="preserve">rozwój </w:t>
      </w:r>
      <w:r w:rsidRPr="00512D05">
        <w:rPr>
          <w:rFonts w:ascii="Lato" w:hAnsi="Lato"/>
          <w:i/>
          <w:sz w:val="20"/>
          <w:szCs w:val="20"/>
        </w:rPr>
        <w:t>sprzyjający włączeniu społecznemu</w:t>
      </w:r>
      <w:r w:rsidRPr="00512D05">
        <w:rPr>
          <w:rFonts w:ascii="Lato" w:hAnsi="Lato"/>
          <w:sz w:val="20"/>
          <w:szCs w:val="20"/>
        </w:rPr>
        <w:t>, tj. dbałość</w:t>
      </w:r>
      <w:r w:rsidR="00E66B89">
        <w:rPr>
          <w:rFonts w:ascii="Lato" w:hAnsi="Lato"/>
          <w:sz w:val="20"/>
          <w:szCs w:val="20"/>
        </w:rPr>
        <w:t xml:space="preserve"> o </w:t>
      </w:r>
      <w:r w:rsidRPr="00512D05">
        <w:rPr>
          <w:rFonts w:ascii="Lato" w:hAnsi="Lato"/>
          <w:sz w:val="20"/>
          <w:szCs w:val="20"/>
        </w:rPr>
        <w:t>wysokie zatrudnienie, spójność społeczną</w:t>
      </w:r>
      <w:r w:rsidR="00E66B89">
        <w:rPr>
          <w:rFonts w:ascii="Lato" w:hAnsi="Lato"/>
          <w:sz w:val="20"/>
          <w:szCs w:val="20"/>
        </w:rPr>
        <w:t xml:space="preserve"> i </w:t>
      </w:r>
      <w:r w:rsidRPr="00512D05">
        <w:rPr>
          <w:rFonts w:ascii="Lato" w:hAnsi="Lato"/>
          <w:sz w:val="20"/>
          <w:szCs w:val="20"/>
        </w:rPr>
        <w:t>terytorialną.</w:t>
      </w:r>
    </w:p>
    <w:p w14:paraId="1C96BA17" w14:textId="77777777" w:rsidR="00EE58A9" w:rsidRDefault="00EE58A9" w:rsidP="00EE58A9">
      <w:r>
        <w:t>Priorytetom tym przypisano mierzalne wskaźniki. Osiągnięcie celów</w:t>
      </w:r>
      <w:r w:rsidR="00E66B89">
        <w:t xml:space="preserve"> w </w:t>
      </w:r>
      <w:r>
        <w:t xml:space="preserve">2020 roku </w:t>
      </w:r>
      <w:r w:rsidRPr="002E12FA">
        <w:t xml:space="preserve">stanowi miarę realizacji celu głównego </w:t>
      </w:r>
      <w:r w:rsidRPr="002E12FA">
        <w:rPr>
          <w:i/>
        </w:rPr>
        <w:t>Strategi</w:t>
      </w:r>
      <w:r>
        <w:rPr>
          <w:i/>
        </w:rPr>
        <w:t>i</w:t>
      </w:r>
      <w:r>
        <w:t>. Państwom członkowskim –</w:t>
      </w:r>
      <w:r w:rsidR="00E66B89">
        <w:t xml:space="preserve"> z </w:t>
      </w:r>
      <w:r>
        <w:t>uwagi na różne poziomy początkowe – pozwolono kształtować cele we własnym zakresie. Cele polskie zdefiniowano</w:t>
      </w:r>
      <w:r w:rsidR="00E66B89">
        <w:t xml:space="preserve"> w </w:t>
      </w:r>
      <w:bookmarkStart w:id="422" w:name="_Hlk469253"/>
      <w:r w:rsidRPr="002E12FA">
        <w:rPr>
          <w:i/>
        </w:rPr>
        <w:t>Krajowym programie reform na rzecz realizacji Strategii „Europa 2020”</w:t>
      </w:r>
      <w:r w:rsidR="00E66B89">
        <w:rPr>
          <w:i/>
        </w:rPr>
        <w:t xml:space="preserve"> w </w:t>
      </w:r>
      <w:r w:rsidRPr="002E12FA">
        <w:rPr>
          <w:i/>
        </w:rPr>
        <w:t>Polsce</w:t>
      </w:r>
      <w:bookmarkEnd w:id="422"/>
      <w:r w:rsidR="00E66B89">
        <w:t xml:space="preserve"> z </w:t>
      </w:r>
      <w:r w:rsidRPr="002E12FA">
        <w:t>2011</w:t>
      </w:r>
      <w:r>
        <w:t xml:space="preserve"> roku</w:t>
      </w:r>
      <w:r w:rsidRPr="002E12FA">
        <w:t xml:space="preserve">. </w:t>
      </w:r>
    </w:p>
    <w:p w14:paraId="5D6DD367" w14:textId="77777777" w:rsidR="00EE58A9" w:rsidRPr="00CA715D" w:rsidRDefault="00EE58A9" w:rsidP="00CA715D">
      <w:pPr>
        <w:pStyle w:val="Legenda"/>
        <w:spacing w:after="0"/>
      </w:pPr>
      <w:bookmarkStart w:id="423" w:name="_Toc3896920"/>
      <w:bookmarkStart w:id="424" w:name="_Toc8824292"/>
      <w:r w:rsidRPr="00644A85">
        <w:t xml:space="preserve">Tabela </w:t>
      </w:r>
      <w:r>
        <w:fldChar w:fldCharType="begin"/>
      </w:r>
      <w:r>
        <w:instrText xml:space="preserve"> SEQ Tabela \* ARABIC </w:instrText>
      </w:r>
      <w:r>
        <w:fldChar w:fldCharType="separate"/>
      </w:r>
      <w:r w:rsidR="00763345">
        <w:rPr>
          <w:noProof/>
        </w:rPr>
        <w:t>181</w:t>
      </w:r>
      <w:r>
        <w:fldChar w:fldCharType="end"/>
      </w:r>
      <w:r w:rsidRPr="00644A85">
        <w:t>. Wskaźniki Strategii Europa 2020</w:t>
      </w:r>
      <w:r w:rsidR="00E66B89">
        <w:t xml:space="preserve"> i </w:t>
      </w:r>
      <w:r w:rsidRPr="00644A85">
        <w:t>ich wartości docelowe</w:t>
      </w:r>
      <w:bookmarkEnd w:id="423"/>
      <w:bookmarkEnd w:id="42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559"/>
        <w:gridCol w:w="5103"/>
        <w:gridCol w:w="1134"/>
        <w:gridCol w:w="992"/>
      </w:tblGrid>
      <w:tr w:rsidR="00EE58A9" w:rsidRPr="006A0D2A" w14:paraId="1C64450A" w14:textId="77777777" w:rsidTr="005F04FC">
        <w:trPr>
          <w:trHeight w:val="228"/>
          <w:tblHeader/>
        </w:trPr>
        <w:tc>
          <w:tcPr>
            <w:tcW w:w="279" w:type="dxa"/>
            <w:shd w:val="clear" w:color="auto" w:fill="DBE5F1"/>
          </w:tcPr>
          <w:p w14:paraId="59540875" w14:textId="77777777" w:rsidR="00EE58A9" w:rsidRPr="00404DA5" w:rsidRDefault="00EE58A9" w:rsidP="00EE58A9">
            <w:pPr>
              <w:jc w:val="center"/>
              <w:rPr>
                <w:b/>
                <w:bCs/>
                <w:sz w:val="16"/>
                <w:szCs w:val="16"/>
              </w:rPr>
            </w:pPr>
          </w:p>
        </w:tc>
        <w:tc>
          <w:tcPr>
            <w:tcW w:w="1559" w:type="dxa"/>
            <w:shd w:val="clear" w:color="auto" w:fill="DBE5F1"/>
            <w:hideMark/>
          </w:tcPr>
          <w:p w14:paraId="07D55BE1" w14:textId="77777777" w:rsidR="00EE58A9" w:rsidRPr="00404DA5" w:rsidRDefault="00EE58A9" w:rsidP="00EE58A9">
            <w:pPr>
              <w:jc w:val="center"/>
              <w:rPr>
                <w:b/>
                <w:bCs/>
                <w:sz w:val="16"/>
                <w:szCs w:val="16"/>
              </w:rPr>
            </w:pPr>
            <w:r w:rsidRPr="00404DA5">
              <w:rPr>
                <w:b/>
                <w:bCs/>
                <w:sz w:val="16"/>
                <w:szCs w:val="16"/>
              </w:rPr>
              <w:t>nazwa skrócona</w:t>
            </w:r>
          </w:p>
        </w:tc>
        <w:tc>
          <w:tcPr>
            <w:tcW w:w="5103" w:type="dxa"/>
            <w:shd w:val="clear" w:color="auto" w:fill="DBE5F1"/>
            <w:hideMark/>
          </w:tcPr>
          <w:p w14:paraId="1F328561" w14:textId="77777777" w:rsidR="00EE58A9" w:rsidRPr="00404DA5" w:rsidRDefault="00EE58A9" w:rsidP="00EE58A9">
            <w:pPr>
              <w:jc w:val="center"/>
              <w:rPr>
                <w:b/>
                <w:bCs/>
                <w:sz w:val="16"/>
                <w:szCs w:val="16"/>
              </w:rPr>
            </w:pPr>
            <w:r w:rsidRPr="00404DA5">
              <w:rPr>
                <w:b/>
                <w:bCs/>
                <w:sz w:val="16"/>
                <w:szCs w:val="16"/>
              </w:rPr>
              <w:t>wskaźnik</w:t>
            </w:r>
          </w:p>
        </w:tc>
        <w:tc>
          <w:tcPr>
            <w:tcW w:w="1134" w:type="dxa"/>
            <w:shd w:val="clear" w:color="auto" w:fill="DBE5F1"/>
          </w:tcPr>
          <w:p w14:paraId="7033AE61" w14:textId="77777777" w:rsidR="00EE58A9" w:rsidRPr="00404DA5" w:rsidRDefault="00EE58A9" w:rsidP="00EE58A9">
            <w:pPr>
              <w:jc w:val="center"/>
              <w:rPr>
                <w:b/>
                <w:bCs/>
                <w:sz w:val="16"/>
                <w:szCs w:val="16"/>
              </w:rPr>
            </w:pPr>
            <w:r w:rsidRPr="00404DA5">
              <w:rPr>
                <w:b/>
                <w:bCs/>
                <w:sz w:val="16"/>
                <w:szCs w:val="16"/>
              </w:rPr>
              <w:t>cel UE</w:t>
            </w:r>
          </w:p>
        </w:tc>
        <w:tc>
          <w:tcPr>
            <w:tcW w:w="992" w:type="dxa"/>
            <w:shd w:val="clear" w:color="auto" w:fill="DBE5F1"/>
          </w:tcPr>
          <w:p w14:paraId="09B5BEC5" w14:textId="77777777" w:rsidR="00EE58A9" w:rsidRPr="00404DA5" w:rsidRDefault="00EE58A9" w:rsidP="00EE58A9">
            <w:pPr>
              <w:jc w:val="center"/>
              <w:rPr>
                <w:b/>
                <w:bCs/>
                <w:sz w:val="16"/>
                <w:szCs w:val="16"/>
              </w:rPr>
            </w:pPr>
            <w:r w:rsidRPr="00404DA5">
              <w:rPr>
                <w:b/>
                <w:bCs/>
                <w:sz w:val="16"/>
                <w:szCs w:val="16"/>
              </w:rPr>
              <w:t>cel Polski</w:t>
            </w:r>
          </w:p>
        </w:tc>
      </w:tr>
      <w:tr w:rsidR="00EE58A9" w:rsidRPr="006A0D2A" w14:paraId="60092CAD" w14:textId="77777777" w:rsidTr="00C22C26">
        <w:trPr>
          <w:trHeight w:val="228"/>
        </w:trPr>
        <w:tc>
          <w:tcPr>
            <w:tcW w:w="279" w:type="dxa"/>
            <w:shd w:val="clear" w:color="auto" w:fill="auto"/>
          </w:tcPr>
          <w:p w14:paraId="4DB95052" w14:textId="77777777" w:rsidR="00EE58A9" w:rsidRPr="00404DA5" w:rsidRDefault="00EE58A9" w:rsidP="00EE58A9">
            <w:pPr>
              <w:rPr>
                <w:b/>
                <w:sz w:val="16"/>
                <w:szCs w:val="16"/>
              </w:rPr>
            </w:pPr>
            <w:r w:rsidRPr="00404DA5">
              <w:rPr>
                <w:b/>
                <w:sz w:val="16"/>
                <w:szCs w:val="16"/>
              </w:rPr>
              <w:t>1</w:t>
            </w:r>
          </w:p>
        </w:tc>
        <w:tc>
          <w:tcPr>
            <w:tcW w:w="1559" w:type="dxa"/>
            <w:shd w:val="clear" w:color="auto" w:fill="auto"/>
            <w:noWrap/>
            <w:hideMark/>
          </w:tcPr>
          <w:p w14:paraId="594B42C3" w14:textId="77777777" w:rsidR="00EE58A9" w:rsidRPr="00404DA5" w:rsidRDefault="00EE58A9" w:rsidP="00EE58A9">
            <w:pPr>
              <w:rPr>
                <w:b/>
                <w:sz w:val="16"/>
                <w:szCs w:val="16"/>
              </w:rPr>
            </w:pPr>
            <w:r>
              <w:rPr>
                <w:b/>
                <w:sz w:val="16"/>
                <w:szCs w:val="16"/>
              </w:rPr>
              <w:t>z</w:t>
            </w:r>
            <w:r w:rsidRPr="00404DA5">
              <w:rPr>
                <w:b/>
                <w:sz w:val="16"/>
                <w:szCs w:val="16"/>
              </w:rPr>
              <w:t>atrudnienie</w:t>
            </w:r>
          </w:p>
        </w:tc>
        <w:tc>
          <w:tcPr>
            <w:tcW w:w="5103" w:type="dxa"/>
            <w:shd w:val="clear" w:color="auto" w:fill="auto"/>
            <w:noWrap/>
            <w:hideMark/>
          </w:tcPr>
          <w:p w14:paraId="374D1F0A" w14:textId="77777777" w:rsidR="00EE58A9" w:rsidRPr="00404DA5" w:rsidRDefault="00EE58A9" w:rsidP="00EE58A9">
            <w:pPr>
              <w:rPr>
                <w:sz w:val="16"/>
                <w:szCs w:val="16"/>
              </w:rPr>
            </w:pPr>
            <w:r w:rsidRPr="00404DA5">
              <w:rPr>
                <w:sz w:val="16"/>
                <w:szCs w:val="16"/>
              </w:rPr>
              <w:t>wskaźnik zatrudnienia osób</w:t>
            </w:r>
            <w:r w:rsidR="00E66B89">
              <w:rPr>
                <w:sz w:val="16"/>
                <w:szCs w:val="16"/>
              </w:rPr>
              <w:t xml:space="preserve"> w </w:t>
            </w:r>
            <w:r w:rsidRPr="00404DA5">
              <w:rPr>
                <w:sz w:val="16"/>
                <w:szCs w:val="16"/>
              </w:rPr>
              <w:t>wieku 20-64</w:t>
            </w:r>
          </w:p>
        </w:tc>
        <w:tc>
          <w:tcPr>
            <w:tcW w:w="1134" w:type="dxa"/>
            <w:shd w:val="clear" w:color="auto" w:fill="auto"/>
            <w:vAlign w:val="center"/>
          </w:tcPr>
          <w:p w14:paraId="24AC8133"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75%</w:t>
            </w:r>
          </w:p>
        </w:tc>
        <w:tc>
          <w:tcPr>
            <w:tcW w:w="992" w:type="dxa"/>
            <w:shd w:val="clear" w:color="auto" w:fill="auto"/>
            <w:noWrap/>
            <w:vAlign w:val="center"/>
          </w:tcPr>
          <w:p w14:paraId="08E54EB5"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71%</w:t>
            </w:r>
          </w:p>
        </w:tc>
      </w:tr>
      <w:tr w:rsidR="00EE58A9" w:rsidRPr="006A0D2A" w14:paraId="0B99861E" w14:textId="77777777" w:rsidTr="00C22C26">
        <w:trPr>
          <w:trHeight w:val="228"/>
        </w:trPr>
        <w:tc>
          <w:tcPr>
            <w:tcW w:w="279" w:type="dxa"/>
            <w:shd w:val="clear" w:color="auto" w:fill="auto"/>
          </w:tcPr>
          <w:p w14:paraId="5B03C828" w14:textId="77777777" w:rsidR="00EE58A9" w:rsidRPr="00404DA5" w:rsidRDefault="00EE58A9" w:rsidP="00EE58A9">
            <w:pPr>
              <w:rPr>
                <w:b/>
                <w:sz w:val="16"/>
                <w:szCs w:val="16"/>
              </w:rPr>
            </w:pPr>
            <w:r w:rsidRPr="00404DA5">
              <w:rPr>
                <w:b/>
                <w:sz w:val="16"/>
                <w:szCs w:val="16"/>
              </w:rPr>
              <w:t>2</w:t>
            </w:r>
          </w:p>
        </w:tc>
        <w:tc>
          <w:tcPr>
            <w:tcW w:w="1559" w:type="dxa"/>
            <w:shd w:val="clear" w:color="auto" w:fill="auto"/>
            <w:noWrap/>
            <w:hideMark/>
          </w:tcPr>
          <w:p w14:paraId="3B22822B" w14:textId="77777777" w:rsidR="00EE58A9" w:rsidRPr="00404DA5" w:rsidRDefault="00EE58A9" w:rsidP="00EE58A9">
            <w:pPr>
              <w:rPr>
                <w:b/>
                <w:sz w:val="16"/>
                <w:szCs w:val="16"/>
              </w:rPr>
            </w:pPr>
            <w:r w:rsidRPr="00404DA5">
              <w:rPr>
                <w:b/>
                <w:sz w:val="16"/>
                <w:szCs w:val="16"/>
              </w:rPr>
              <w:t>B+R</w:t>
            </w:r>
          </w:p>
        </w:tc>
        <w:tc>
          <w:tcPr>
            <w:tcW w:w="5103" w:type="dxa"/>
            <w:shd w:val="clear" w:color="auto" w:fill="auto"/>
            <w:noWrap/>
            <w:hideMark/>
          </w:tcPr>
          <w:p w14:paraId="35E88B15" w14:textId="77777777" w:rsidR="00EE58A9" w:rsidRPr="00404DA5" w:rsidRDefault="00EE58A9" w:rsidP="00EE58A9">
            <w:pPr>
              <w:rPr>
                <w:sz w:val="16"/>
                <w:szCs w:val="16"/>
              </w:rPr>
            </w:pPr>
            <w:r w:rsidRPr="00404DA5">
              <w:rPr>
                <w:sz w:val="16"/>
                <w:szCs w:val="16"/>
              </w:rPr>
              <w:t>nakłady na B+R</w:t>
            </w:r>
          </w:p>
        </w:tc>
        <w:tc>
          <w:tcPr>
            <w:tcW w:w="1134" w:type="dxa"/>
            <w:shd w:val="clear" w:color="auto" w:fill="auto"/>
            <w:vAlign w:val="center"/>
          </w:tcPr>
          <w:p w14:paraId="352C67D7"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3%</w:t>
            </w:r>
          </w:p>
        </w:tc>
        <w:tc>
          <w:tcPr>
            <w:tcW w:w="992" w:type="dxa"/>
            <w:shd w:val="clear" w:color="auto" w:fill="auto"/>
            <w:noWrap/>
            <w:vAlign w:val="center"/>
          </w:tcPr>
          <w:p w14:paraId="03987A53"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1.7%</w:t>
            </w:r>
          </w:p>
        </w:tc>
      </w:tr>
      <w:tr w:rsidR="00EE58A9" w:rsidRPr="006A0D2A" w14:paraId="2BDC76F3" w14:textId="77777777" w:rsidTr="00C22C26">
        <w:trPr>
          <w:trHeight w:val="228"/>
        </w:trPr>
        <w:tc>
          <w:tcPr>
            <w:tcW w:w="279" w:type="dxa"/>
            <w:shd w:val="clear" w:color="auto" w:fill="auto"/>
          </w:tcPr>
          <w:p w14:paraId="1BBAD6B6" w14:textId="77777777" w:rsidR="00EE58A9" w:rsidRPr="00404DA5" w:rsidRDefault="00EE58A9" w:rsidP="00EE58A9">
            <w:pPr>
              <w:rPr>
                <w:b/>
                <w:sz w:val="16"/>
                <w:szCs w:val="16"/>
              </w:rPr>
            </w:pPr>
            <w:r w:rsidRPr="00404DA5">
              <w:rPr>
                <w:b/>
                <w:sz w:val="16"/>
                <w:szCs w:val="16"/>
              </w:rPr>
              <w:t>3</w:t>
            </w:r>
          </w:p>
        </w:tc>
        <w:tc>
          <w:tcPr>
            <w:tcW w:w="1559" w:type="dxa"/>
            <w:shd w:val="clear" w:color="auto" w:fill="auto"/>
            <w:noWrap/>
            <w:hideMark/>
          </w:tcPr>
          <w:p w14:paraId="69CBC53A" w14:textId="77777777" w:rsidR="00EE58A9" w:rsidRPr="00404DA5" w:rsidRDefault="00EE58A9" w:rsidP="00EE58A9">
            <w:pPr>
              <w:rPr>
                <w:b/>
                <w:sz w:val="16"/>
                <w:szCs w:val="16"/>
              </w:rPr>
            </w:pPr>
            <w:r w:rsidRPr="00404DA5">
              <w:rPr>
                <w:b/>
                <w:sz w:val="16"/>
                <w:szCs w:val="16"/>
              </w:rPr>
              <w:t>gazy cieplarniane</w:t>
            </w:r>
          </w:p>
        </w:tc>
        <w:tc>
          <w:tcPr>
            <w:tcW w:w="5103" w:type="dxa"/>
            <w:shd w:val="clear" w:color="auto" w:fill="auto"/>
            <w:noWrap/>
            <w:hideMark/>
          </w:tcPr>
          <w:p w14:paraId="495A3C5A" w14:textId="77777777" w:rsidR="00EE58A9" w:rsidRPr="00404DA5" w:rsidRDefault="00EE58A9" w:rsidP="00EE58A9">
            <w:pPr>
              <w:rPr>
                <w:sz w:val="16"/>
                <w:szCs w:val="16"/>
              </w:rPr>
            </w:pPr>
            <w:r w:rsidRPr="00404DA5">
              <w:rPr>
                <w:sz w:val="16"/>
                <w:szCs w:val="16"/>
              </w:rPr>
              <w:t>emisja gazów cieplarnianych (1990=100)</w:t>
            </w:r>
          </w:p>
        </w:tc>
        <w:tc>
          <w:tcPr>
            <w:tcW w:w="1134" w:type="dxa"/>
            <w:shd w:val="clear" w:color="auto" w:fill="auto"/>
            <w:vAlign w:val="center"/>
          </w:tcPr>
          <w:p w14:paraId="25CA3352"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-20%</w:t>
            </w:r>
          </w:p>
        </w:tc>
        <w:tc>
          <w:tcPr>
            <w:tcW w:w="992" w:type="dxa"/>
            <w:shd w:val="clear" w:color="auto" w:fill="auto"/>
            <w:noWrap/>
            <w:vAlign w:val="center"/>
          </w:tcPr>
          <w:p w14:paraId="591F9679"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spadek</w:t>
            </w:r>
          </w:p>
        </w:tc>
      </w:tr>
      <w:tr w:rsidR="00EE58A9" w:rsidRPr="006A0D2A" w14:paraId="2938274D" w14:textId="77777777" w:rsidTr="00C22C26">
        <w:trPr>
          <w:trHeight w:val="228"/>
        </w:trPr>
        <w:tc>
          <w:tcPr>
            <w:tcW w:w="279" w:type="dxa"/>
            <w:shd w:val="clear" w:color="auto" w:fill="auto"/>
          </w:tcPr>
          <w:p w14:paraId="43CC1DB2" w14:textId="77777777" w:rsidR="00EE58A9" w:rsidRPr="00404DA5" w:rsidRDefault="00EE58A9" w:rsidP="00EE58A9">
            <w:pPr>
              <w:rPr>
                <w:b/>
                <w:sz w:val="16"/>
                <w:szCs w:val="16"/>
              </w:rPr>
            </w:pPr>
            <w:r w:rsidRPr="00404DA5">
              <w:rPr>
                <w:b/>
                <w:sz w:val="16"/>
                <w:szCs w:val="16"/>
              </w:rPr>
              <w:t>4</w:t>
            </w:r>
          </w:p>
        </w:tc>
        <w:tc>
          <w:tcPr>
            <w:tcW w:w="1559" w:type="dxa"/>
            <w:shd w:val="clear" w:color="auto" w:fill="auto"/>
            <w:noWrap/>
            <w:hideMark/>
          </w:tcPr>
          <w:p w14:paraId="089C1234" w14:textId="77777777" w:rsidR="00EE58A9" w:rsidRPr="00404DA5" w:rsidRDefault="00EE58A9" w:rsidP="00EE58A9">
            <w:pPr>
              <w:rPr>
                <w:b/>
                <w:sz w:val="16"/>
                <w:szCs w:val="16"/>
              </w:rPr>
            </w:pPr>
            <w:r w:rsidRPr="00404DA5">
              <w:rPr>
                <w:b/>
                <w:sz w:val="16"/>
                <w:szCs w:val="16"/>
              </w:rPr>
              <w:t>energia odnawialna</w:t>
            </w:r>
          </w:p>
        </w:tc>
        <w:tc>
          <w:tcPr>
            <w:tcW w:w="5103" w:type="dxa"/>
            <w:shd w:val="clear" w:color="auto" w:fill="auto"/>
            <w:noWrap/>
            <w:hideMark/>
          </w:tcPr>
          <w:p w14:paraId="667314E1" w14:textId="77777777" w:rsidR="00EE58A9" w:rsidRPr="00404DA5" w:rsidRDefault="00EE58A9" w:rsidP="00EE58A9">
            <w:pPr>
              <w:rPr>
                <w:sz w:val="16"/>
                <w:szCs w:val="16"/>
              </w:rPr>
            </w:pPr>
            <w:r w:rsidRPr="00404DA5">
              <w:rPr>
                <w:sz w:val="16"/>
                <w:szCs w:val="16"/>
              </w:rPr>
              <w:t>udział energii ze źródeł odnawialnych</w:t>
            </w:r>
            <w:r w:rsidR="00E66B89">
              <w:rPr>
                <w:sz w:val="16"/>
                <w:szCs w:val="16"/>
              </w:rPr>
              <w:t xml:space="preserve"> w </w:t>
            </w:r>
            <w:r w:rsidRPr="00404DA5">
              <w:rPr>
                <w:sz w:val="16"/>
                <w:szCs w:val="16"/>
              </w:rPr>
              <w:t>końcowym zużyciu energii brutto</w:t>
            </w:r>
          </w:p>
        </w:tc>
        <w:tc>
          <w:tcPr>
            <w:tcW w:w="1134" w:type="dxa"/>
            <w:shd w:val="clear" w:color="auto" w:fill="auto"/>
            <w:vAlign w:val="center"/>
          </w:tcPr>
          <w:p w14:paraId="67F4DA39"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20%</w:t>
            </w:r>
          </w:p>
        </w:tc>
        <w:tc>
          <w:tcPr>
            <w:tcW w:w="992" w:type="dxa"/>
            <w:shd w:val="clear" w:color="auto" w:fill="auto"/>
            <w:noWrap/>
            <w:vAlign w:val="center"/>
          </w:tcPr>
          <w:p w14:paraId="3764986C"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wzrost</w:t>
            </w:r>
          </w:p>
        </w:tc>
      </w:tr>
      <w:tr w:rsidR="00EE58A9" w:rsidRPr="006A0D2A" w14:paraId="762D9E1D" w14:textId="77777777" w:rsidTr="00C22C26">
        <w:trPr>
          <w:trHeight w:val="228"/>
        </w:trPr>
        <w:tc>
          <w:tcPr>
            <w:tcW w:w="279" w:type="dxa"/>
            <w:shd w:val="clear" w:color="auto" w:fill="auto"/>
          </w:tcPr>
          <w:p w14:paraId="6A48740F" w14:textId="77777777" w:rsidR="00EE58A9" w:rsidRPr="00404DA5" w:rsidRDefault="00EE58A9" w:rsidP="00EE58A9">
            <w:pPr>
              <w:rPr>
                <w:b/>
                <w:sz w:val="16"/>
                <w:szCs w:val="16"/>
              </w:rPr>
            </w:pPr>
            <w:r w:rsidRPr="00404DA5">
              <w:rPr>
                <w:b/>
                <w:sz w:val="16"/>
                <w:szCs w:val="16"/>
              </w:rPr>
              <w:t>5</w:t>
            </w:r>
          </w:p>
        </w:tc>
        <w:tc>
          <w:tcPr>
            <w:tcW w:w="1559" w:type="dxa"/>
            <w:shd w:val="clear" w:color="auto" w:fill="auto"/>
            <w:noWrap/>
            <w:hideMark/>
          </w:tcPr>
          <w:p w14:paraId="78996167" w14:textId="77777777" w:rsidR="00EE58A9" w:rsidRPr="00404DA5" w:rsidRDefault="00EE58A9" w:rsidP="00EE58A9">
            <w:pPr>
              <w:rPr>
                <w:b/>
                <w:sz w:val="16"/>
                <w:szCs w:val="16"/>
              </w:rPr>
            </w:pPr>
            <w:r w:rsidRPr="00404DA5">
              <w:rPr>
                <w:b/>
                <w:sz w:val="16"/>
                <w:szCs w:val="16"/>
              </w:rPr>
              <w:t>energia pierwotna</w:t>
            </w:r>
          </w:p>
        </w:tc>
        <w:tc>
          <w:tcPr>
            <w:tcW w:w="5103" w:type="dxa"/>
            <w:shd w:val="clear" w:color="auto" w:fill="auto"/>
            <w:noWrap/>
            <w:hideMark/>
          </w:tcPr>
          <w:p w14:paraId="2F3A9339" w14:textId="77777777" w:rsidR="00EE58A9" w:rsidRPr="00404DA5" w:rsidRDefault="00EE58A9" w:rsidP="00EE58A9">
            <w:pPr>
              <w:rPr>
                <w:sz w:val="16"/>
                <w:szCs w:val="16"/>
              </w:rPr>
            </w:pPr>
            <w:r w:rsidRPr="00404DA5">
              <w:rPr>
                <w:sz w:val="16"/>
                <w:szCs w:val="16"/>
              </w:rPr>
              <w:t>zużycie energii pierwotnej</w:t>
            </w:r>
          </w:p>
        </w:tc>
        <w:tc>
          <w:tcPr>
            <w:tcW w:w="1134" w:type="dxa"/>
            <w:shd w:val="clear" w:color="auto" w:fill="auto"/>
            <w:vAlign w:val="center"/>
          </w:tcPr>
          <w:p w14:paraId="752EAD46"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poprawa 20%</w:t>
            </w:r>
          </w:p>
        </w:tc>
        <w:tc>
          <w:tcPr>
            <w:tcW w:w="992" w:type="dxa"/>
            <w:shd w:val="clear" w:color="auto" w:fill="auto"/>
            <w:noWrap/>
            <w:vAlign w:val="center"/>
          </w:tcPr>
          <w:p w14:paraId="1ABA3FC8"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96 Mtoe</w:t>
            </w:r>
          </w:p>
        </w:tc>
      </w:tr>
      <w:tr w:rsidR="00EE58A9" w:rsidRPr="006A0D2A" w14:paraId="64B37032" w14:textId="77777777" w:rsidTr="00C22C26">
        <w:trPr>
          <w:trHeight w:val="228"/>
        </w:trPr>
        <w:tc>
          <w:tcPr>
            <w:tcW w:w="279" w:type="dxa"/>
            <w:shd w:val="clear" w:color="auto" w:fill="auto"/>
          </w:tcPr>
          <w:p w14:paraId="4F17C328" w14:textId="77777777" w:rsidR="00EE58A9" w:rsidRPr="00404DA5" w:rsidRDefault="00EE58A9" w:rsidP="00EE58A9">
            <w:pPr>
              <w:rPr>
                <w:b/>
                <w:sz w:val="16"/>
                <w:szCs w:val="16"/>
              </w:rPr>
            </w:pPr>
            <w:r w:rsidRPr="00404DA5">
              <w:rPr>
                <w:b/>
                <w:sz w:val="16"/>
                <w:szCs w:val="16"/>
              </w:rPr>
              <w:t>6</w:t>
            </w:r>
          </w:p>
        </w:tc>
        <w:tc>
          <w:tcPr>
            <w:tcW w:w="1559" w:type="dxa"/>
            <w:shd w:val="clear" w:color="auto" w:fill="auto"/>
            <w:noWrap/>
            <w:hideMark/>
          </w:tcPr>
          <w:p w14:paraId="5DA6C2DA" w14:textId="77777777" w:rsidR="00EE58A9" w:rsidRPr="00404DA5" w:rsidRDefault="00EE58A9" w:rsidP="00EE58A9">
            <w:pPr>
              <w:rPr>
                <w:b/>
                <w:sz w:val="16"/>
                <w:szCs w:val="16"/>
              </w:rPr>
            </w:pPr>
            <w:r>
              <w:rPr>
                <w:b/>
                <w:sz w:val="16"/>
                <w:szCs w:val="16"/>
              </w:rPr>
              <w:t>m</w:t>
            </w:r>
            <w:r w:rsidRPr="00404DA5">
              <w:rPr>
                <w:b/>
                <w:sz w:val="16"/>
                <w:szCs w:val="16"/>
              </w:rPr>
              <w:t>łodzież</w:t>
            </w:r>
          </w:p>
        </w:tc>
        <w:tc>
          <w:tcPr>
            <w:tcW w:w="5103" w:type="dxa"/>
            <w:shd w:val="clear" w:color="auto" w:fill="auto"/>
            <w:noWrap/>
            <w:hideMark/>
          </w:tcPr>
          <w:p w14:paraId="618DFF8F" w14:textId="77777777" w:rsidR="00EE58A9" w:rsidRPr="00404DA5" w:rsidRDefault="00EE58A9" w:rsidP="00EE58A9">
            <w:pPr>
              <w:rPr>
                <w:sz w:val="16"/>
                <w:szCs w:val="16"/>
              </w:rPr>
            </w:pPr>
            <w:r w:rsidRPr="00404DA5">
              <w:rPr>
                <w:sz w:val="16"/>
                <w:szCs w:val="16"/>
              </w:rPr>
              <w:t>młodzież niekontynuująca nauki</w:t>
            </w:r>
          </w:p>
        </w:tc>
        <w:tc>
          <w:tcPr>
            <w:tcW w:w="1134" w:type="dxa"/>
            <w:shd w:val="clear" w:color="auto" w:fill="auto"/>
            <w:vAlign w:val="center"/>
          </w:tcPr>
          <w:p w14:paraId="1F91ED0A"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10%</w:t>
            </w:r>
          </w:p>
        </w:tc>
        <w:tc>
          <w:tcPr>
            <w:tcW w:w="992" w:type="dxa"/>
            <w:shd w:val="clear" w:color="auto" w:fill="auto"/>
            <w:noWrap/>
            <w:vAlign w:val="center"/>
          </w:tcPr>
          <w:p w14:paraId="3C3F552D"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4.5%</w:t>
            </w:r>
          </w:p>
        </w:tc>
      </w:tr>
      <w:tr w:rsidR="00EE58A9" w:rsidRPr="006A0D2A" w14:paraId="5806CB66" w14:textId="77777777" w:rsidTr="00C22C26">
        <w:trPr>
          <w:trHeight w:val="228"/>
        </w:trPr>
        <w:tc>
          <w:tcPr>
            <w:tcW w:w="279" w:type="dxa"/>
            <w:shd w:val="clear" w:color="auto" w:fill="auto"/>
          </w:tcPr>
          <w:p w14:paraId="52E407A1" w14:textId="77777777" w:rsidR="00EE58A9" w:rsidRPr="00404DA5" w:rsidRDefault="00EE58A9" w:rsidP="00EE58A9">
            <w:pPr>
              <w:rPr>
                <w:b/>
                <w:sz w:val="16"/>
                <w:szCs w:val="16"/>
              </w:rPr>
            </w:pPr>
            <w:r w:rsidRPr="00404DA5">
              <w:rPr>
                <w:b/>
                <w:sz w:val="16"/>
                <w:szCs w:val="16"/>
              </w:rPr>
              <w:t>7</w:t>
            </w:r>
          </w:p>
        </w:tc>
        <w:tc>
          <w:tcPr>
            <w:tcW w:w="1559" w:type="dxa"/>
            <w:shd w:val="clear" w:color="auto" w:fill="auto"/>
            <w:noWrap/>
            <w:hideMark/>
          </w:tcPr>
          <w:p w14:paraId="110580AF" w14:textId="77777777" w:rsidR="00EE58A9" w:rsidRPr="00404DA5" w:rsidRDefault="00EE58A9" w:rsidP="00EE58A9">
            <w:pPr>
              <w:rPr>
                <w:b/>
                <w:sz w:val="16"/>
                <w:szCs w:val="16"/>
              </w:rPr>
            </w:pPr>
            <w:r>
              <w:rPr>
                <w:b/>
                <w:sz w:val="16"/>
                <w:szCs w:val="16"/>
              </w:rPr>
              <w:t>w</w:t>
            </w:r>
            <w:r w:rsidRPr="00404DA5">
              <w:rPr>
                <w:b/>
                <w:sz w:val="16"/>
                <w:szCs w:val="16"/>
              </w:rPr>
              <w:t>ykształcenie</w:t>
            </w:r>
          </w:p>
        </w:tc>
        <w:tc>
          <w:tcPr>
            <w:tcW w:w="5103" w:type="dxa"/>
            <w:shd w:val="clear" w:color="auto" w:fill="auto"/>
            <w:noWrap/>
            <w:hideMark/>
          </w:tcPr>
          <w:p w14:paraId="1B268135" w14:textId="77777777" w:rsidR="00EE58A9" w:rsidRPr="00404DA5" w:rsidRDefault="00EE58A9" w:rsidP="00EE58A9">
            <w:pPr>
              <w:rPr>
                <w:sz w:val="16"/>
                <w:szCs w:val="16"/>
              </w:rPr>
            </w:pPr>
            <w:r w:rsidRPr="00404DA5">
              <w:rPr>
                <w:sz w:val="16"/>
                <w:szCs w:val="16"/>
              </w:rPr>
              <w:t>osoby</w:t>
            </w:r>
            <w:r w:rsidR="00E66B89">
              <w:rPr>
                <w:sz w:val="16"/>
                <w:szCs w:val="16"/>
              </w:rPr>
              <w:t xml:space="preserve"> w </w:t>
            </w:r>
            <w:r w:rsidRPr="00404DA5">
              <w:rPr>
                <w:sz w:val="16"/>
                <w:szCs w:val="16"/>
              </w:rPr>
              <w:t>wieku 30-34 posiadające wyższe wykształcenie</w:t>
            </w:r>
          </w:p>
        </w:tc>
        <w:tc>
          <w:tcPr>
            <w:tcW w:w="1134" w:type="dxa"/>
            <w:shd w:val="clear" w:color="auto" w:fill="auto"/>
            <w:vAlign w:val="center"/>
          </w:tcPr>
          <w:p w14:paraId="2F379A9B"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40%</w:t>
            </w:r>
          </w:p>
        </w:tc>
        <w:tc>
          <w:tcPr>
            <w:tcW w:w="992" w:type="dxa"/>
            <w:shd w:val="clear" w:color="auto" w:fill="auto"/>
            <w:noWrap/>
            <w:vAlign w:val="center"/>
          </w:tcPr>
          <w:p w14:paraId="033309AC"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45%</w:t>
            </w:r>
          </w:p>
        </w:tc>
      </w:tr>
      <w:tr w:rsidR="00EE58A9" w:rsidRPr="006A0D2A" w14:paraId="3FC86E31" w14:textId="77777777" w:rsidTr="00C22C26">
        <w:trPr>
          <w:trHeight w:val="228"/>
        </w:trPr>
        <w:tc>
          <w:tcPr>
            <w:tcW w:w="279" w:type="dxa"/>
            <w:shd w:val="clear" w:color="auto" w:fill="auto"/>
          </w:tcPr>
          <w:p w14:paraId="17B5DF93" w14:textId="77777777" w:rsidR="00EE58A9" w:rsidRPr="00404DA5" w:rsidRDefault="00EE58A9" w:rsidP="00EE58A9">
            <w:pPr>
              <w:rPr>
                <w:b/>
                <w:sz w:val="16"/>
                <w:szCs w:val="16"/>
              </w:rPr>
            </w:pPr>
            <w:r w:rsidRPr="00404DA5">
              <w:rPr>
                <w:b/>
                <w:sz w:val="16"/>
                <w:szCs w:val="16"/>
              </w:rPr>
              <w:t>8</w:t>
            </w:r>
          </w:p>
        </w:tc>
        <w:tc>
          <w:tcPr>
            <w:tcW w:w="1559" w:type="dxa"/>
            <w:shd w:val="clear" w:color="auto" w:fill="auto"/>
            <w:noWrap/>
            <w:hideMark/>
          </w:tcPr>
          <w:p w14:paraId="374EDAE0" w14:textId="77777777" w:rsidR="00EE58A9" w:rsidRPr="00404DA5" w:rsidRDefault="00EE58A9" w:rsidP="00EE58A9">
            <w:pPr>
              <w:rPr>
                <w:b/>
                <w:sz w:val="16"/>
                <w:szCs w:val="16"/>
              </w:rPr>
            </w:pPr>
            <w:r>
              <w:rPr>
                <w:b/>
                <w:sz w:val="16"/>
                <w:szCs w:val="16"/>
              </w:rPr>
              <w:t>u</w:t>
            </w:r>
            <w:r w:rsidRPr="00404DA5">
              <w:rPr>
                <w:b/>
                <w:sz w:val="16"/>
                <w:szCs w:val="16"/>
              </w:rPr>
              <w:t>bóstwo</w:t>
            </w:r>
          </w:p>
        </w:tc>
        <w:tc>
          <w:tcPr>
            <w:tcW w:w="5103" w:type="dxa"/>
            <w:shd w:val="clear" w:color="auto" w:fill="auto"/>
            <w:noWrap/>
            <w:hideMark/>
          </w:tcPr>
          <w:p w14:paraId="672FA05C" w14:textId="77777777" w:rsidR="00EE58A9" w:rsidRPr="00404DA5" w:rsidRDefault="00EE58A9" w:rsidP="00EE58A9">
            <w:pPr>
              <w:rPr>
                <w:sz w:val="16"/>
                <w:szCs w:val="16"/>
              </w:rPr>
            </w:pPr>
            <w:r w:rsidRPr="00404DA5">
              <w:rPr>
                <w:sz w:val="16"/>
                <w:szCs w:val="16"/>
              </w:rPr>
              <w:t>wskaźnik zagrożenia ubóstwem lub wykluczeniem społecznym (wskaźnik zbiorczy)</w:t>
            </w:r>
          </w:p>
        </w:tc>
        <w:tc>
          <w:tcPr>
            <w:tcW w:w="1134" w:type="dxa"/>
            <w:shd w:val="clear" w:color="auto" w:fill="auto"/>
            <w:vAlign w:val="center"/>
          </w:tcPr>
          <w:p w14:paraId="2927D339"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20 mln</w:t>
            </w:r>
          </w:p>
        </w:tc>
        <w:tc>
          <w:tcPr>
            <w:tcW w:w="992" w:type="dxa"/>
            <w:shd w:val="clear" w:color="auto" w:fill="auto"/>
            <w:noWrap/>
            <w:vAlign w:val="center"/>
          </w:tcPr>
          <w:p w14:paraId="77DEF776" w14:textId="77777777" w:rsidR="00EE58A9" w:rsidRPr="00404DA5" w:rsidRDefault="00EE58A9" w:rsidP="00EE58A9">
            <w:pPr>
              <w:jc w:val="right"/>
              <w:rPr>
                <w:rFonts w:ascii="Calibri" w:hAnsi="Calibri"/>
                <w:color w:val="000000"/>
                <w:sz w:val="16"/>
                <w:szCs w:val="16"/>
              </w:rPr>
            </w:pPr>
            <w:r w:rsidRPr="00404DA5">
              <w:rPr>
                <w:rFonts w:ascii="Calibri" w:hAnsi="Calibri"/>
                <w:color w:val="000000"/>
                <w:sz w:val="16"/>
                <w:szCs w:val="16"/>
              </w:rPr>
              <w:t>1.5 mln</w:t>
            </w:r>
          </w:p>
        </w:tc>
      </w:tr>
    </w:tbl>
    <w:p w14:paraId="07381F40" w14:textId="77777777" w:rsidR="00EE58A9" w:rsidRPr="00121B19" w:rsidRDefault="00EE58A9" w:rsidP="0028542B">
      <w:pPr>
        <w:spacing w:before="0"/>
        <w:rPr>
          <w:rFonts w:cs="Calibri"/>
          <w:i/>
          <w:sz w:val="18"/>
          <w:szCs w:val="18"/>
        </w:rPr>
      </w:pPr>
      <w:r w:rsidRPr="00121B19">
        <w:rPr>
          <w:rFonts w:cs="Calibri"/>
          <w:i/>
          <w:sz w:val="18"/>
          <w:szCs w:val="18"/>
        </w:rPr>
        <w:t>Źródło: Opracowanie własne na podstawie Strategii Europa 2020 oraz Krajowego programu reform na rzecz realizacji Strategii „Europa 2020”</w:t>
      </w:r>
      <w:r w:rsidR="00E66B89" w:rsidRPr="00121B19">
        <w:rPr>
          <w:rFonts w:cs="Calibri"/>
          <w:i/>
          <w:sz w:val="18"/>
          <w:szCs w:val="18"/>
        </w:rPr>
        <w:t xml:space="preserve"> w </w:t>
      </w:r>
      <w:r w:rsidRPr="00121B19">
        <w:rPr>
          <w:rFonts w:cs="Calibri"/>
          <w:i/>
          <w:sz w:val="18"/>
          <w:szCs w:val="18"/>
        </w:rPr>
        <w:t>Polsce.</w:t>
      </w:r>
    </w:p>
    <w:p w14:paraId="0F139EBD" w14:textId="77777777" w:rsidR="00EE58A9" w:rsidRPr="00E70E0C" w:rsidRDefault="00EE58A9" w:rsidP="00EE58A9">
      <w:r w:rsidRPr="0073347F">
        <w:t>Jednym</w:t>
      </w:r>
      <w:r w:rsidR="00E66B89">
        <w:t xml:space="preserve"> z </w:t>
      </w:r>
      <w:r w:rsidRPr="0073347F">
        <w:t>narzędzi realizacji ww. celów jest RPO WZ.</w:t>
      </w:r>
      <w:r>
        <w:t xml:space="preserve"> Na podstawie dokumentów RPO WZ wybranym działaniom przypisano wkład do realizacji wybranych wskaźników </w:t>
      </w:r>
      <w:r>
        <w:rPr>
          <w:i/>
        </w:rPr>
        <w:t>Strategii</w:t>
      </w:r>
      <w:r>
        <w:t xml:space="preserve">. Przykładowo, do kategorii działań na rzecz wzrostu wskaźnika zatrudnienia, zaliczono wszystkie działania, które dokumenty </w:t>
      </w:r>
      <w:r>
        <w:lastRenderedPageBreak/>
        <w:t>programowe opisują jako sprzyjające aktywizacji zawodowej, nabywaniu umiejętności,</w:t>
      </w:r>
      <w:r w:rsidR="00E66B89">
        <w:t xml:space="preserve"> i </w:t>
      </w:r>
      <w:r>
        <w:t xml:space="preserve">znoszeniu barier pozostawania na </w:t>
      </w:r>
      <w:r w:rsidRPr="0073347F">
        <w:t>rynku pracy</w:t>
      </w:r>
      <w:r>
        <w:t>.</w:t>
      </w:r>
      <w:r w:rsidR="00E66B89">
        <w:t xml:space="preserve"> W </w:t>
      </w:r>
      <w:r>
        <w:t xml:space="preserve">toku analizy dokumentów uznano za takie działania </w:t>
      </w:r>
      <w:r w:rsidRPr="00AB2286">
        <w:t>1.6, 6.1-6.8, 8.1, 8.7-8.10, 9.8-9.9</w:t>
      </w:r>
      <w:r>
        <w:t xml:space="preserve"> RPO WZ. Podobnie, interwencja publiczna zorientowana na niskoemisyjność, jakość powietrza</w:t>
      </w:r>
      <w:r w:rsidR="00E66B89">
        <w:t xml:space="preserve"> i </w:t>
      </w:r>
      <w:r>
        <w:t xml:space="preserve">zrównoważony (w kontekście środowiskowym) transport została przyporządkowana jako redukująca </w:t>
      </w:r>
      <w:r w:rsidRPr="00AB2286">
        <w:t>emisję gazów cieplarnianych.</w:t>
      </w:r>
      <w:r w:rsidR="00E66B89">
        <w:t xml:space="preserve"> W </w:t>
      </w:r>
      <w:r w:rsidRPr="00AB2286">
        <w:t>RPO WZ taki charakter mają działania 2.1-2.4, 2.14, 5.5-5.</w:t>
      </w:r>
      <w:r>
        <w:t>7</w:t>
      </w:r>
      <w:r w:rsidRPr="00AB2286">
        <w:t>. Analogiczną procedurę przeprowadzono dla wszystkich poddanych analizie wskaźników. Działań poświęconych wprost edukacji wyższej</w:t>
      </w:r>
      <w:r w:rsidR="00E66B89">
        <w:t xml:space="preserve"> w </w:t>
      </w:r>
      <w:r w:rsidRPr="00AB2286">
        <w:t>RPO WZ nie znaleziono.</w:t>
      </w:r>
    </w:p>
    <w:p w14:paraId="7EBD6CE2" w14:textId="77777777" w:rsidR="00EE58A9" w:rsidRPr="00CA715D" w:rsidRDefault="00EE58A9" w:rsidP="00CA715D">
      <w:pPr>
        <w:pStyle w:val="Legenda"/>
        <w:spacing w:after="0"/>
      </w:pPr>
      <w:bookmarkStart w:id="425" w:name="_Toc3896921"/>
      <w:bookmarkStart w:id="426" w:name="_Toc8824293"/>
      <w:r w:rsidRPr="00644A85">
        <w:t xml:space="preserve">Tabela </w:t>
      </w:r>
      <w:r>
        <w:fldChar w:fldCharType="begin"/>
      </w:r>
      <w:r>
        <w:instrText xml:space="preserve"> SEQ Tabela \* ARABIC </w:instrText>
      </w:r>
      <w:r>
        <w:fldChar w:fldCharType="separate"/>
      </w:r>
      <w:r w:rsidR="00763345">
        <w:rPr>
          <w:noProof/>
        </w:rPr>
        <w:t>182</w:t>
      </w:r>
      <w:r>
        <w:fldChar w:fldCharType="end"/>
      </w:r>
      <w:r w:rsidRPr="00644A85">
        <w:t>. Obszary RPO WZ bezpośrednio wpływające na realizację Strategii Europa 2020</w:t>
      </w:r>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36"/>
        <w:gridCol w:w="1687"/>
        <w:gridCol w:w="5727"/>
        <w:gridCol w:w="1412"/>
      </w:tblGrid>
      <w:tr w:rsidR="00EE58A9" w:rsidRPr="006A0D2A" w14:paraId="04EB627A" w14:textId="77777777" w:rsidTr="005F04FC">
        <w:trPr>
          <w:trHeight w:val="228"/>
          <w:tblHeader/>
        </w:trPr>
        <w:tc>
          <w:tcPr>
            <w:tcW w:w="130" w:type="pct"/>
            <w:shd w:val="clear" w:color="auto" w:fill="DBE5F1"/>
          </w:tcPr>
          <w:p w14:paraId="44070B18" w14:textId="77777777" w:rsidR="00EE58A9" w:rsidRPr="00404DA5" w:rsidRDefault="00EE58A9" w:rsidP="00EE58A9">
            <w:pPr>
              <w:jc w:val="center"/>
              <w:rPr>
                <w:b/>
                <w:bCs/>
                <w:sz w:val="16"/>
                <w:szCs w:val="16"/>
              </w:rPr>
            </w:pPr>
          </w:p>
        </w:tc>
        <w:tc>
          <w:tcPr>
            <w:tcW w:w="931" w:type="pct"/>
            <w:shd w:val="clear" w:color="auto" w:fill="DBE5F1"/>
            <w:hideMark/>
          </w:tcPr>
          <w:p w14:paraId="5D416E42" w14:textId="77777777" w:rsidR="00EE58A9" w:rsidRPr="00404DA5" w:rsidRDefault="00EE58A9" w:rsidP="00EE58A9">
            <w:pPr>
              <w:jc w:val="center"/>
              <w:rPr>
                <w:b/>
                <w:bCs/>
                <w:sz w:val="16"/>
                <w:szCs w:val="16"/>
              </w:rPr>
            </w:pPr>
            <w:r w:rsidRPr="00404DA5">
              <w:rPr>
                <w:b/>
                <w:bCs/>
                <w:sz w:val="16"/>
                <w:szCs w:val="16"/>
              </w:rPr>
              <w:t>nazwa skrócona</w:t>
            </w:r>
          </w:p>
        </w:tc>
        <w:tc>
          <w:tcPr>
            <w:tcW w:w="3159" w:type="pct"/>
            <w:shd w:val="clear" w:color="auto" w:fill="DBE5F1"/>
          </w:tcPr>
          <w:p w14:paraId="322FD250" w14:textId="77777777" w:rsidR="00EE58A9" w:rsidRPr="00404DA5" w:rsidRDefault="00EE58A9" w:rsidP="00EE58A9">
            <w:pPr>
              <w:jc w:val="center"/>
              <w:rPr>
                <w:b/>
                <w:bCs/>
                <w:sz w:val="16"/>
                <w:szCs w:val="16"/>
              </w:rPr>
            </w:pPr>
            <w:r w:rsidRPr="00404DA5">
              <w:rPr>
                <w:b/>
                <w:bCs/>
                <w:sz w:val="16"/>
                <w:szCs w:val="16"/>
              </w:rPr>
              <w:t>zagadnienia</w:t>
            </w:r>
          </w:p>
        </w:tc>
        <w:tc>
          <w:tcPr>
            <w:tcW w:w="779" w:type="pct"/>
            <w:shd w:val="clear" w:color="auto" w:fill="DBE5F1"/>
            <w:hideMark/>
          </w:tcPr>
          <w:p w14:paraId="6FA415F6" w14:textId="77777777" w:rsidR="00EE58A9" w:rsidRPr="00404DA5" w:rsidRDefault="00EE58A9" w:rsidP="00EE58A9">
            <w:pPr>
              <w:jc w:val="center"/>
              <w:rPr>
                <w:b/>
                <w:bCs/>
                <w:sz w:val="16"/>
                <w:szCs w:val="16"/>
              </w:rPr>
            </w:pPr>
            <w:r w:rsidRPr="00404DA5">
              <w:rPr>
                <w:b/>
                <w:bCs/>
                <w:sz w:val="16"/>
                <w:szCs w:val="16"/>
              </w:rPr>
              <w:t>(pod)działania RPO WZ</w:t>
            </w:r>
          </w:p>
        </w:tc>
      </w:tr>
      <w:tr w:rsidR="00EE58A9" w:rsidRPr="006A0D2A" w14:paraId="67C35840" w14:textId="77777777" w:rsidTr="00C22C26">
        <w:trPr>
          <w:trHeight w:val="228"/>
        </w:trPr>
        <w:tc>
          <w:tcPr>
            <w:tcW w:w="130" w:type="pct"/>
            <w:shd w:val="clear" w:color="auto" w:fill="auto"/>
          </w:tcPr>
          <w:p w14:paraId="552D8935" w14:textId="77777777" w:rsidR="00EE58A9" w:rsidRPr="00404DA5" w:rsidRDefault="00EE58A9" w:rsidP="00EE58A9">
            <w:pPr>
              <w:rPr>
                <w:b/>
                <w:sz w:val="16"/>
                <w:szCs w:val="16"/>
              </w:rPr>
            </w:pPr>
            <w:r w:rsidRPr="00404DA5">
              <w:rPr>
                <w:b/>
                <w:sz w:val="16"/>
                <w:szCs w:val="16"/>
              </w:rPr>
              <w:t>1</w:t>
            </w:r>
          </w:p>
        </w:tc>
        <w:tc>
          <w:tcPr>
            <w:tcW w:w="931" w:type="pct"/>
            <w:shd w:val="clear" w:color="auto" w:fill="auto"/>
            <w:noWrap/>
            <w:hideMark/>
          </w:tcPr>
          <w:p w14:paraId="4EF59A82" w14:textId="77777777" w:rsidR="00EE58A9" w:rsidRPr="00404DA5" w:rsidRDefault="00EE58A9" w:rsidP="00EE58A9">
            <w:pPr>
              <w:rPr>
                <w:b/>
                <w:sz w:val="16"/>
                <w:szCs w:val="16"/>
              </w:rPr>
            </w:pPr>
            <w:r>
              <w:rPr>
                <w:b/>
                <w:sz w:val="16"/>
                <w:szCs w:val="16"/>
              </w:rPr>
              <w:t>z</w:t>
            </w:r>
            <w:r w:rsidRPr="00404DA5">
              <w:rPr>
                <w:b/>
                <w:sz w:val="16"/>
                <w:szCs w:val="16"/>
              </w:rPr>
              <w:t>atrudnienie</w:t>
            </w:r>
          </w:p>
        </w:tc>
        <w:tc>
          <w:tcPr>
            <w:tcW w:w="3159" w:type="pct"/>
            <w:shd w:val="clear" w:color="auto" w:fill="auto"/>
          </w:tcPr>
          <w:p w14:paraId="3F35486A" w14:textId="77777777" w:rsidR="00EE58A9" w:rsidRPr="00404DA5" w:rsidRDefault="00EE58A9" w:rsidP="00EE58A9">
            <w:pPr>
              <w:tabs>
                <w:tab w:val="left" w:pos="3920"/>
              </w:tabs>
              <w:rPr>
                <w:sz w:val="16"/>
                <w:szCs w:val="16"/>
              </w:rPr>
            </w:pPr>
            <w:r w:rsidRPr="00404DA5">
              <w:rPr>
                <w:sz w:val="16"/>
                <w:szCs w:val="16"/>
              </w:rPr>
              <w:t>rynek pracy, aktywizacja zawodowa (w tym outplacement), samozatrudnienie, kształcenie zawodowe (w tym infrastruktura), zmiana kwalifikacji, kształcenie ustawiczne, godzenie życia zawodowego</w:t>
            </w:r>
            <w:r w:rsidR="00E66B89">
              <w:rPr>
                <w:sz w:val="16"/>
                <w:szCs w:val="16"/>
              </w:rPr>
              <w:t xml:space="preserve"> i </w:t>
            </w:r>
            <w:r w:rsidRPr="00404DA5">
              <w:rPr>
                <w:sz w:val="16"/>
                <w:szCs w:val="16"/>
              </w:rPr>
              <w:t>prywatnego, opieka przedszkolna, medycyna pracy</w:t>
            </w:r>
          </w:p>
        </w:tc>
        <w:tc>
          <w:tcPr>
            <w:tcW w:w="779" w:type="pct"/>
            <w:shd w:val="clear" w:color="auto" w:fill="auto"/>
            <w:noWrap/>
          </w:tcPr>
          <w:p w14:paraId="7A27E684" w14:textId="77777777" w:rsidR="00EE58A9" w:rsidRPr="00404DA5" w:rsidRDefault="00EE58A9" w:rsidP="00EE58A9">
            <w:pPr>
              <w:rPr>
                <w:sz w:val="16"/>
                <w:szCs w:val="16"/>
              </w:rPr>
            </w:pPr>
            <w:r w:rsidRPr="00404DA5">
              <w:rPr>
                <w:sz w:val="16"/>
                <w:szCs w:val="16"/>
              </w:rPr>
              <w:t>1.6, 6.1-6.8, 8.1, 8.7-8.10, 9.8-9.9</w:t>
            </w:r>
          </w:p>
        </w:tc>
      </w:tr>
      <w:tr w:rsidR="00EE58A9" w:rsidRPr="006A0D2A" w14:paraId="097840CA" w14:textId="77777777" w:rsidTr="00C22C26">
        <w:trPr>
          <w:trHeight w:val="228"/>
        </w:trPr>
        <w:tc>
          <w:tcPr>
            <w:tcW w:w="130" w:type="pct"/>
            <w:shd w:val="clear" w:color="auto" w:fill="auto"/>
          </w:tcPr>
          <w:p w14:paraId="4C1D8AA8" w14:textId="77777777" w:rsidR="00EE58A9" w:rsidRPr="00404DA5" w:rsidRDefault="00EE58A9" w:rsidP="00EE58A9">
            <w:pPr>
              <w:rPr>
                <w:b/>
                <w:sz w:val="16"/>
                <w:szCs w:val="16"/>
              </w:rPr>
            </w:pPr>
            <w:r w:rsidRPr="00404DA5">
              <w:rPr>
                <w:b/>
                <w:sz w:val="16"/>
                <w:szCs w:val="16"/>
              </w:rPr>
              <w:t>2</w:t>
            </w:r>
          </w:p>
        </w:tc>
        <w:tc>
          <w:tcPr>
            <w:tcW w:w="931" w:type="pct"/>
            <w:shd w:val="clear" w:color="auto" w:fill="auto"/>
            <w:noWrap/>
            <w:hideMark/>
          </w:tcPr>
          <w:p w14:paraId="245D2F17" w14:textId="77777777" w:rsidR="00EE58A9" w:rsidRPr="00404DA5" w:rsidRDefault="00EE58A9" w:rsidP="00EE58A9">
            <w:pPr>
              <w:rPr>
                <w:b/>
                <w:sz w:val="16"/>
                <w:szCs w:val="16"/>
              </w:rPr>
            </w:pPr>
            <w:r w:rsidRPr="00404DA5">
              <w:rPr>
                <w:b/>
                <w:sz w:val="16"/>
                <w:szCs w:val="16"/>
              </w:rPr>
              <w:t>B+R</w:t>
            </w:r>
          </w:p>
        </w:tc>
        <w:tc>
          <w:tcPr>
            <w:tcW w:w="3159" w:type="pct"/>
            <w:shd w:val="clear" w:color="auto" w:fill="auto"/>
          </w:tcPr>
          <w:p w14:paraId="25E459F4" w14:textId="77777777" w:rsidR="00EE58A9" w:rsidRPr="00404DA5" w:rsidRDefault="00EE58A9" w:rsidP="00EE58A9">
            <w:pPr>
              <w:rPr>
                <w:sz w:val="16"/>
                <w:szCs w:val="16"/>
              </w:rPr>
            </w:pPr>
            <w:r w:rsidRPr="00404DA5">
              <w:rPr>
                <w:sz w:val="16"/>
                <w:szCs w:val="16"/>
              </w:rPr>
              <w:t xml:space="preserve">badania, rozwój (w tym infrastruktura), transfer wiedzy, wdrożenia </w:t>
            </w:r>
          </w:p>
        </w:tc>
        <w:tc>
          <w:tcPr>
            <w:tcW w:w="779" w:type="pct"/>
            <w:shd w:val="clear" w:color="auto" w:fill="auto"/>
            <w:noWrap/>
          </w:tcPr>
          <w:p w14:paraId="445B9BE4" w14:textId="77777777" w:rsidR="00EE58A9" w:rsidRPr="00404DA5" w:rsidRDefault="00EE58A9" w:rsidP="00EE58A9">
            <w:pPr>
              <w:rPr>
                <w:sz w:val="16"/>
                <w:szCs w:val="16"/>
              </w:rPr>
            </w:pPr>
            <w:r w:rsidRPr="00404DA5">
              <w:rPr>
                <w:sz w:val="16"/>
                <w:szCs w:val="16"/>
              </w:rPr>
              <w:t>1.1-1.5, 1.18</w:t>
            </w:r>
          </w:p>
        </w:tc>
      </w:tr>
      <w:tr w:rsidR="00EE58A9" w:rsidRPr="006A0D2A" w14:paraId="03C321E5" w14:textId="77777777" w:rsidTr="00C22C26">
        <w:trPr>
          <w:trHeight w:val="228"/>
        </w:trPr>
        <w:tc>
          <w:tcPr>
            <w:tcW w:w="130" w:type="pct"/>
            <w:shd w:val="clear" w:color="auto" w:fill="auto"/>
          </w:tcPr>
          <w:p w14:paraId="655A3962" w14:textId="77777777" w:rsidR="00EE58A9" w:rsidRPr="00404DA5" w:rsidRDefault="00EE58A9" w:rsidP="00EE58A9">
            <w:pPr>
              <w:rPr>
                <w:b/>
                <w:sz w:val="16"/>
                <w:szCs w:val="16"/>
              </w:rPr>
            </w:pPr>
            <w:r w:rsidRPr="00404DA5">
              <w:rPr>
                <w:b/>
                <w:sz w:val="16"/>
                <w:szCs w:val="16"/>
              </w:rPr>
              <w:t>3</w:t>
            </w:r>
          </w:p>
        </w:tc>
        <w:tc>
          <w:tcPr>
            <w:tcW w:w="931" w:type="pct"/>
            <w:shd w:val="clear" w:color="auto" w:fill="auto"/>
            <w:noWrap/>
            <w:hideMark/>
          </w:tcPr>
          <w:p w14:paraId="515840B0" w14:textId="77777777" w:rsidR="00EE58A9" w:rsidRPr="00404DA5" w:rsidRDefault="00EE58A9" w:rsidP="00EE58A9">
            <w:pPr>
              <w:rPr>
                <w:b/>
                <w:sz w:val="16"/>
                <w:szCs w:val="16"/>
              </w:rPr>
            </w:pPr>
            <w:r w:rsidRPr="00404DA5">
              <w:rPr>
                <w:b/>
                <w:sz w:val="16"/>
                <w:szCs w:val="16"/>
              </w:rPr>
              <w:t>gazy cieplarniane</w:t>
            </w:r>
          </w:p>
        </w:tc>
        <w:tc>
          <w:tcPr>
            <w:tcW w:w="3159" w:type="pct"/>
            <w:shd w:val="clear" w:color="auto" w:fill="auto"/>
          </w:tcPr>
          <w:p w14:paraId="41B682D8" w14:textId="77777777" w:rsidR="00EE58A9" w:rsidRPr="00404DA5" w:rsidRDefault="00EE58A9" w:rsidP="00EE58A9">
            <w:pPr>
              <w:rPr>
                <w:sz w:val="16"/>
                <w:szCs w:val="16"/>
              </w:rPr>
            </w:pPr>
            <w:r w:rsidRPr="00404DA5">
              <w:rPr>
                <w:sz w:val="16"/>
                <w:szCs w:val="16"/>
              </w:rPr>
              <w:t>niskoemisyjność (i jej promocja), jakość powietrza, zrównoważony transport</w:t>
            </w:r>
            <w:r>
              <w:rPr>
                <w:sz w:val="16"/>
                <w:szCs w:val="16"/>
              </w:rPr>
              <w:t xml:space="preserve"> (w tym transport wodny)</w:t>
            </w:r>
          </w:p>
        </w:tc>
        <w:tc>
          <w:tcPr>
            <w:tcW w:w="779" w:type="pct"/>
            <w:shd w:val="clear" w:color="auto" w:fill="auto"/>
            <w:noWrap/>
          </w:tcPr>
          <w:p w14:paraId="11C66952" w14:textId="77777777" w:rsidR="00EE58A9" w:rsidRPr="00404DA5" w:rsidRDefault="00EE58A9" w:rsidP="00EE58A9">
            <w:pPr>
              <w:rPr>
                <w:sz w:val="16"/>
                <w:szCs w:val="16"/>
              </w:rPr>
            </w:pPr>
            <w:r w:rsidRPr="00404DA5">
              <w:rPr>
                <w:sz w:val="16"/>
                <w:szCs w:val="16"/>
              </w:rPr>
              <w:t>2.1-2.4, 2.14, 5.5-5.6</w:t>
            </w:r>
            <w:r>
              <w:rPr>
                <w:sz w:val="16"/>
                <w:szCs w:val="16"/>
              </w:rPr>
              <w:t>, 5.7</w:t>
            </w:r>
          </w:p>
        </w:tc>
      </w:tr>
      <w:tr w:rsidR="00EE58A9" w:rsidRPr="006A0D2A" w14:paraId="4A654F6D" w14:textId="77777777" w:rsidTr="00C22C26">
        <w:trPr>
          <w:trHeight w:val="228"/>
        </w:trPr>
        <w:tc>
          <w:tcPr>
            <w:tcW w:w="130" w:type="pct"/>
            <w:shd w:val="clear" w:color="auto" w:fill="auto"/>
          </w:tcPr>
          <w:p w14:paraId="6FF7FD05" w14:textId="77777777" w:rsidR="00EE58A9" w:rsidRPr="00404DA5" w:rsidRDefault="00EE58A9" w:rsidP="00EE58A9">
            <w:pPr>
              <w:rPr>
                <w:b/>
                <w:sz w:val="16"/>
                <w:szCs w:val="16"/>
              </w:rPr>
            </w:pPr>
            <w:r w:rsidRPr="00404DA5">
              <w:rPr>
                <w:b/>
                <w:sz w:val="16"/>
                <w:szCs w:val="16"/>
              </w:rPr>
              <w:t>4</w:t>
            </w:r>
          </w:p>
        </w:tc>
        <w:tc>
          <w:tcPr>
            <w:tcW w:w="931" w:type="pct"/>
            <w:shd w:val="clear" w:color="auto" w:fill="auto"/>
            <w:noWrap/>
            <w:hideMark/>
          </w:tcPr>
          <w:p w14:paraId="17B296D0" w14:textId="77777777" w:rsidR="00EE58A9" w:rsidRPr="00404DA5" w:rsidRDefault="00EE58A9" w:rsidP="00EE58A9">
            <w:pPr>
              <w:rPr>
                <w:b/>
                <w:sz w:val="16"/>
                <w:szCs w:val="16"/>
              </w:rPr>
            </w:pPr>
            <w:r w:rsidRPr="00404DA5">
              <w:rPr>
                <w:b/>
                <w:sz w:val="16"/>
                <w:szCs w:val="16"/>
              </w:rPr>
              <w:t>energia odnawialna</w:t>
            </w:r>
          </w:p>
        </w:tc>
        <w:tc>
          <w:tcPr>
            <w:tcW w:w="3159" w:type="pct"/>
            <w:shd w:val="clear" w:color="auto" w:fill="auto"/>
          </w:tcPr>
          <w:p w14:paraId="395075EA" w14:textId="77777777" w:rsidR="00EE58A9" w:rsidRPr="00404DA5" w:rsidRDefault="00EE58A9" w:rsidP="00EE58A9">
            <w:pPr>
              <w:rPr>
                <w:sz w:val="16"/>
                <w:szCs w:val="16"/>
              </w:rPr>
            </w:pPr>
            <w:r w:rsidRPr="00404DA5">
              <w:rPr>
                <w:sz w:val="16"/>
                <w:szCs w:val="16"/>
              </w:rPr>
              <w:t>OZE, kogeneracja</w:t>
            </w:r>
          </w:p>
        </w:tc>
        <w:tc>
          <w:tcPr>
            <w:tcW w:w="779" w:type="pct"/>
            <w:shd w:val="clear" w:color="auto" w:fill="auto"/>
            <w:noWrap/>
          </w:tcPr>
          <w:p w14:paraId="5EC86F5E" w14:textId="77777777" w:rsidR="00EE58A9" w:rsidRPr="00404DA5" w:rsidRDefault="00EE58A9" w:rsidP="00EE58A9">
            <w:pPr>
              <w:rPr>
                <w:sz w:val="16"/>
                <w:szCs w:val="16"/>
              </w:rPr>
            </w:pPr>
            <w:r w:rsidRPr="00404DA5">
              <w:rPr>
                <w:sz w:val="16"/>
                <w:szCs w:val="16"/>
              </w:rPr>
              <w:t>2.9-2.11</w:t>
            </w:r>
          </w:p>
        </w:tc>
      </w:tr>
      <w:tr w:rsidR="00EE58A9" w:rsidRPr="006A0D2A" w14:paraId="5197E770" w14:textId="77777777" w:rsidTr="00C22C26">
        <w:trPr>
          <w:trHeight w:val="228"/>
        </w:trPr>
        <w:tc>
          <w:tcPr>
            <w:tcW w:w="130" w:type="pct"/>
            <w:shd w:val="clear" w:color="auto" w:fill="auto"/>
          </w:tcPr>
          <w:p w14:paraId="2BA4E01E" w14:textId="77777777" w:rsidR="00EE58A9" w:rsidRPr="00404DA5" w:rsidRDefault="00EE58A9" w:rsidP="00EE58A9">
            <w:pPr>
              <w:rPr>
                <w:b/>
                <w:sz w:val="16"/>
                <w:szCs w:val="16"/>
              </w:rPr>
            </w:pPr>
            <w:r w:rsidRPr="00404DA5">
              <w:rPr>
                <w:b/>
                <w:sz w:val="16"/>
                <w:szCs w:val="16"/>
              </w:rPr>
              <w:t>5</w:t>
            </w:r>
          </w:p>
        </w:tc>
        <w:tc>
          <w:tcPr>
            <w:tcW w:w="931" w:type="pct"/>
            <w:shd w:val="clear" w:color="auto" w:fill="auto"/>
            <w:noWrap/>
            <w:hideMark/>
          </w:tcPr>
          <w:p w14:paraId="6F36985E" w14:textId="77777777" w:rsidR="00EE58A9" w:rsidRPr="00404DA5" w:rsidRDefault="00EE58A9" w:rsidP="00EE58A9">
            <w:pPr>
              <w:rPr>
                <w:b/>
                <w:sz w:val="16"/>
                <w:szCs w:val="16"/>
              </w:rPr>
            </w:pPr>
            <w:r w:rsidRPr="00404DA5">
              <w:rPr>
                <w:b/>
                <w:sz w:val="16"/>
                <w:szCs w:val="16"/>
              </w:rPr>
              <w:t>energia pierwotna</w:t>
            </w:r>
          </w:p>
        </w:tc>
        <w:tc>
          <w:tcPr>
            <w:tcW w:w="3159" w:type="pct"/>
            <w:shd w:val="clear" w:color="auto" w:fill="auto"/>
          </w:tcPr>
          <w:p w14:paraId="1C803434" w14:textId="77777777" w:rsidR="00EE58A9" w:rsidRPr="00404DA5" w:rsidRDefault="00EE58A9" w:rsidP="00EE58A9">
            <w:pPr>
              <w:rPr>
                <w:sz w:val="16"/>
                <w:szCs w:val="16"/>
              </w:rPr>
            </w:pPr>
            <w:r w:rsidRPr="00404DA5">
              <w:rPr>
                <w:sz w:val="16"/>
                <w:szCs w:val="16"/>
              </w:rPr>
              <w:t xml:space="preserve">efektywność energetyczna, modernizacja energetyczna, termomodernizacja, wysokosprawne wytwarzanie energii, eko-przedsiębiorczość </w:t>
            </w:r>
          </w:p>
        </w:tc>
        <w:tc>
          <w:tcPr>
            <w:tcW w:w="779" w:type="pct"/>
            <w:shd w:val="clear" w:color="auto" w:fill="auto"/>
            <w:noWrap/>
          </w:tcPr>
          <w:p w14:paraId="7D5F71A6" w14:textId="77777777" w:rsidR="00EE58A9" w:rsidRPr="00404DA5" w:rsidRDefault="00EE58A9" w:rsidP="00EE58A9">
            <w:pPr>
              <w:rPr>
                <w:sz w:val="16"/>
                <w:szCs w:val="16"/>
              </w:rPr>
            </w:pPr>
            <w:r w:rsidRPr="00404DA5">
              <w:rPr>
                <w:sz w:val="16"/>
                <w:szCs w:val="16"/>
              </w:rPr>
              <w:t>2.5-2.8, 2.12-2.13</w:t>
            </w:r>
          </w:p>
        </w:tc>
      </w:tr>
      <w:tr w:rsidR="00EE58A9" w:rsidRPr="006A0D2A" w14:paraId="0EB0D1AD" w14:textId="77777777" w:rsidTr="00C22C26">
        <w:trPr>
          <w:trHeight w:val="228"/>
        </w:trPr>
        <w:tc>
          <w:tcPr>
            <w:tcW w:w="130" w:type="pct"/>
            <w:shd w:val="clear" w:color="auto" w:fill="auto"/>
          </w:tcPr>
          <w:p w14:paraId="4B969086" w14:textId="77777777" w:rsidR="00EE58A9" w:rsidRPr="00404DA5" w:rsidRDefault="00EE58A9" w:rsidP="00EE58A9">
            <w:pPr>
              <w:rPr>
                <w:b/>
                <w:sz w:val="16"/>
                <w:szCs w:val="16"/>
              </w:rPr>
            </w:pPr>
            <w:r w:rsidRPr="00404DA5">
              <w:rPr>
                <w:b/>
                <w:sz w:val="16"/>
                <w:szCs w:val="16"/>
              </w:rPr>
              <w:t>6</w:t>
            </w:r>
          </w:p>
        </w:tc>
        <w:tc>
          <w:tcPr>
            <w:tcW w:w="931" w:type="pct"/>
            <w:shd w:val="clear" w:color="auto" w:fill="auto"/>
            <w:noWrap/>
            <w:hideMark/>
          </w:tcPr>
          <w:p w14:paraId="6A33408A" w14:textId="77777777" w:rsidR="00EE58A9" w:rsidRPr="00404DA5" w:rsidRDefault="00EE58A9" w:rsidP="00EE58A9">
            <w:pPr>
              <w:rPr>
                <w:b/>
                <w:sz w:val="16"/>
                <w:szCs w:val="16"/>
              </w:rPr>
            </w:pPr>
            <w:r>
              <w:rPr>
                <w:b/>
                <w:sz w:val="16"/>
                <w:szCs w:val="16"/>
              </w:rPr>
              <w:t>m</w:t>
            </w:r>
            <w:r w:rsidRPr="00404DA5">
              <w:rPr>
                <w:b/>
                <w:sz w:val="16"/>
                <w:szCs w:val="16"/>
              </w:rPr>
              <w:t>łodzież</w:t>
            </w:r>
          </w:p>
        </w:tc>
        <w:tc>
          <w:tcPr>
            <w:tcW w:w="3159" w:type="pct"/>
            <w:shd w:val="clear" w:color="auto" w:fill="auto"/>
          </w:tcPr>
          <w:p w14:paraId="4B3FE27F" w14:textId="77777777" w:rsidR="00EE58A9" w:rsidRPr="00404DA5" w:rsidRDefault="00EE58A9" w:rsidP="00EE58A9">
            <w:pPr>
              <w:rPr>
                <w:sz w:val="16"/>
                <w:szCs w:val="16"/>
              </w:rPr>
            </w:pPr>
            <w:r w:rsidRPr="00404DA5">
              <w:rPr>
                <w:sz w:val="16"/>
                <w:szCs w:val="16"/>
              </w:rPr>
              <w:t>edukacja ogólna, edukacja powszechna</w:t>
            </w:r>
          </w:p>
        </w:tc>
        <w:tc>
          <w:tcPr>
            <w:tcW w:w="779" w:type="pct"/>
            <w:shd w:val="clear" w:color="auto" w:fill="auto"/>
            <w:noWrap/>
          </w:tcPr>
          <w:p w14:paraId="6CE0FF58" w14:textId="77777777" w:rsidR="00EE58A9" w:rsidRPr="00404DA5" w:rsidRDefault="00EE58A9" w:rsidP="00EE58A9">
            <w:pPr>
              <w:rPr>
                <w:sz w:val="16"/>
                <w:szCs w:val="16"/>
              </w:rPr>
            </w:pPr>
            <w:r w:rsidRPr="00404DA5">
              <w:rPr>
                <w:sz w:val="16"/>
                <w:szCs w:val="16"/>
              </w:rPr>
              <w:t>8.2-8.6, 9.4-9.5</w:t>
            </w:r>
          </w:p>
        </w:tc>
      </w:tr>
      <w:tr w:rsidR="00EE58A9" w:rsidRPr="006A0D2A" w14:paraId="64AF61FA" w14:textId="77777777" w:rsidTr="00C22C26">
        <w:trPr>
          <w:trHeight w:val="228"/>
        </w:trPr>
        <w:tc>
          <w:tcPr>
            <w:tcW w:w="130" w:type="pct"/>
            <w:shd w:val="clear" w:color="auto" w:fill="auto"/>
          </w:tcPr>
          <w:p w14:paraId="30689352" w14:textId="77777777" w:rsidR="00EE58A9" w:rsidRPr="00404DA5" w:rsidRDefault="00EE58A9" w:rsidP="00EE58A9">
            <w:pPr>
              <w:rPr>
                <w:b/>
                <w:sz w:val="16"/>
                <w:szCs w:val="16"/>
              </w:rPr>
            </w:pPr>
            <w:r w:rsidRPr="00404DA5">
              <w:rPr>
                <w:b/>
                <w:sz w:val="16"/>
                <w:szCs w:val="16"/>
              </w:rPr>
              <w:t>7</w:t>
            </w:r>
          </w:p>
        </w:tc>
        <w:tc>
          <w:tcPr>
            <w:tcW w:w="931" w:type="pct"/>
            <w:shd w:val="clear" w:color="auto" w:fill="auto"/>
            <w:noWrap/>
            <w:hideMark/>
          </w:tcPr>
          <w:p w14:paraId="36E8707B" w14:textId="77777777" w:rsidR="00EE58A9" w:rsidRPr="00404DA5" w:rsidRDefault="00EE58A9" w:rsidP="00EE58A9">
            <w:pPr>
              <w:rPr>
                <w:b/>
                <w:sz w:val="16"/>
                <w:szCs w:val="16"/>
              </w:rPr>
            </w:pPr>
            <w:r>
              <w:rPr>
                <w:b/>
                <w:sz w:val="16"/>
                <w:szCs w:val="16"/>
              </w:rPr>
              <w:t>w</w:t>
            </w:r>
            <w:r w:rsidRPr="00404DA5">
              <w:rPr>
                <w:b/>
                <w:sz w:val="16"/>
                <w:szCs w:val="16"/>
              </w:rPr>
              <w:t>ykształcenie</w:t>
            </w:r>
          </w:p>
        </w:tc>
        <w:tc>
          <w:tcPr>
            <w:tcW w:w="3159" w:type="pct"/>
            <w:shd w:val="clear" w:color="auto" w:fill="auto"/>
          </w:tcPr>
          <w:p w14:paraId="0E2FE14C" w14:textId="77777777" w:rsidR="00EE58A9" w:rsidRPr="00404DA5" w:rsidRDefault="00EE58A9" w:rsidP="00EE58A9">
            <w:pPr>
              <w:rPr>
                <w:sz w:val="16"/>
                <w:szCs w:val="16"/>
              </w:rPr>
            </w:pPr>
            <w:r w:rsidRPr="00404DA5">
              <w:rPr>
                <w:sz w:val="16"/>
                <w:szCs w:val="16"/>
              </w:rPr>
              <w:t>edukacja wyższa</w:t>
            </w:r>
          </w:p>
        </w:tc>
        <w:tc>
          <w:tcPr>
            <w:tcW w:w="779" w:type="pct"/>
            <w:shd w:val="clear" w:color="auto" w:fill="auto"/>
            <w:noWrap/>
          </w:tcPr>
          <w:p w14:paraId="5DE2E671" w14:textId="77777777" w:rsidR="00EE58A9" w:rsidRPr="00404DA5" w:rsidRDefault="00EE58A9" w:rsidP="00EE58A9">
            <w:pPr>
              <w:rPr>
                <w:sz w:val="16"/>
                <w:szCs w:val="16"/>
              </w:rPr>
            </w:pPr>
            <w:r w:rsidRPr="00404DA5">
              <w:rPr>
                <w:sz w:val="16"/>
                <w:szCs w:val="16"/>
              </w:rPr>
              <w:t>-</w:t>
            </w:r>
          </w:p>
        </w:tc>
      </w:tr>
      <w:tr w:rsidR="00EE58A9" w:rsidRPr="006A0D2A" w14:paraId="25958450" w14:textId="77777777" w:rsidTr="00C22C26">
        <w:trPr>
          <w:trHeight w:val="228"/>
        </w:trPr>
        <w:tc>
          <w:tcPr>
            <w:tcW w:w="130" w:type="pct"/>
            <w:shd w:val="clear" w:color="auto" w:fill="auto"/>
          </w:tcPr>
          <w:p w14:paraId="374EA75C" w14:textId="77777777" w:rsidR="00EE58A9" w:rsidRPr="00404DA5" w:rsidRDefault="00EE58A9" w:rsidP="00EE58A9">
            <w:pPr>
              <w:rPr>
                <w:b/>
                <w:sz w:val="16"/>
                <w:szCs w:val="16"/>
              </w:rPr>
            </w:pPr>
            <w:r w:rsidRPr="00404DA5">
              <w:rPr>
                <w:b/>
                <w:sz w:val="16"/>
                <w:szCs w:val="16"/>
              </w:rPr>
              <w:t>8</w:t>
            </w:r>
          </w:p>
        </w:tc>
        <w:tc>
          <w:tcPr>
            <w:tcW w:w="931" w:type="pct"/>
            <w:shd w:val="clear" w:color="auto" w:fill="auto"/>
            <w:noWrap/>
            <w:hideMark/>
          </w:tcPr>
          <w:p w14:paraId="5F7751B5" w14:textId="77777777" w:rsidR="00EE58A9" w:rsidRPr="00404DA5" w:rsidRDefault="00EE58A9" w:rsidP="00EE58A9">
            <w:pPr>
              <w:rPr>
                <w:b/>
                <w:sz w:val="16"/>
                <w:szCs w:val="16"/>
              </w:rPr>
            </w:pPr>
            <w:r>
              <w:rPr>
                <w:b/>
                <w:sz w:val="16"/>
                <w:szCs w:val="16"/>
              </w:rPr>
              <w:t>u</w:t>
            </w:r>
            <w:r w:rsidRPr="00404DA5">
              <w:rPr>
                <w:b/>
                <w:sz w:val="16"/>
                <w:szCs w:val="16"/>
              </w:rPr>
              <w:t>bóstwo</w:t>
            </w:r>
          </w:p>
        </w:tc>
        <w:tc>
          <w:tcPr>
            <w:tcW w:w="3159" w:type="pct"/>
            <w:shd w:val="clear" w:color="auto" w:fill="auto"/>
          </w:tcPr>
          <w:p w14:paraId="7F866C0F" w14:textId="77777777" w:rsidR="00EE58A9" w:rsidRPr="00404DA5" w:rsidRDefault="00EE58A9" w:rsidP="00EE58A9">
            <w:pPr>
              <w:rPr>
                <w:sz w:val="16"/>
                <w:szCs w:val="16"/>
              </w:rPr>
            </w:pPr>
            <w:bookmarkStart w:id="427" w:name="_Hlk472297"/>
            <w:r w:rsidRPr="00404DA5">
              <w:rPr>
                <w:sz w:val="16"/>
                <w:szCs w:val="16"/>
              </w:rPr>
              <w:t>rewitalizacja, usługi społeczne, usługi zdrowotne, ekonomia społeczna, osoby defaworyzowane, aktywne włączenie, kapitał społeczny</w:t>
            </w:r>
            <w:bookmarkEnd w:id="427"/>
          </w:p>
        </w:tc>
        <w:tc>
          <w:tcPr>
            <w:tcW w:w="779" w:type="pct"/>
            <w:shd w:val="clear" w:color="auto" w:fill="auto"/>
            <w:noWrap/>
          </w:tcPr>
          <w:p w14:paraId="62EC7D73" w14:textId="77777777" w:rsidR="00EE58A9" w:rsidRPr="00404DA5" w:rsidRDefault="00EE58A9" w:rsidP="00EE58A9">
            <w:pPr>
              <w:rPr>
                <w:sz w:val="16"/>
                <w:szCs w:val="16"/>
              </w:rPr>
            </w:pPr>
            <w:r w:rsidRPr="00404DA5">
              <w:rPr>
                <w:sz w:val="16"/>
                <w:szCs w:val="16"/>
              </w:rPr>
              <w:t>7.1-7.7, 9.1-9.3</w:t>
            </w:r>
          </w:p>
        </w:tc>
      </w:tr>
    </w:tbl>
    <w:p w14:paraId="7401BB3D" w14:textId="77777777" w:rsidR="00EE58A9" w:rsidRPr="00121B19" w:rsidRDefault="00EE58A9" w:rsidP="0028542B">
      <w:pPr>
        <w:spacing w:before="0"/>
        <w:rPr>
          <w:rFonts w:cs="Calibri"/>
          <w:i/>
          <w:sz w:val="18"/>
          <w:szCs w:val="18"/>
        </w:rPr>
      </w:pPr>
      <w:r w:rsidRPr="00121B19">
        <w:rPr>
          <w:rFonts w:cs="Calibri"/>
          <w:i/>
          <w:sz w:val="18"/>
          <w:szCs w:val="18"/>
        </w:rPr>
        <w:t>Źródło: Opracowanie własne na podstawie RPO WZ wraz</w:t>
      </w:r>
      <w:r w:rsidR="00E66B89" w:rsidRPr="00121B19">
        <w:rPr>
          <w:rFonts w:cs="Calibri"/>
          <w:i/>
          <w:sz w:val="18"/>
          <w:szCs w:val="18"/>
        </w:rPr>
        <w:t xml:space="preserve"> z </w:t>
      </w:r>
      <w:r w:rsidRPr="00121B19">
        <w:rPr>
          <w:rFonts w:cs="Calibri"/>
          <w:i/>
          <w:sz w:val="18"/>
          <w:szCs w:val="18"/>
        </w:rPr>
        <w:t>załącznikami, Strategii Europa 2020 oraz Umowy Partnerstwa.</w:t>
      </w:r>
    </w:p>
    <w:p w14:paraId="01790CA0" w14:textId="77777777" w:rsidR="00EE58A9" w:rsidRDefault="00EE58A9" w:rsidP="00EE58A9">
      <w:pPr>
        <w:rPr>
          <w:b/>
        </w:rPr>
      </w:pPr>
      <w:r w:rsidRPr="00FD2742">
        <w:rPr>
          <w:b/>
        </w:rPr>
        <w:t>Historyczny przebieg wskaźników Strategii Europa 2020</w:t>
      </w:r>
    </w:p>
    <w:p w14:paraId="1BE5F42C" w14:textId="77777777" w:rsidR="00EE58A9" w:rsidRPr="00FD2742" w:rsidRDefault="00EE58A9" w:rsidP="00EE58A9">
      <w:r w:rsidRPr="002F1B28">
        <w:t xml:space="preserve">Z perspektywy danych statystycznych, województwo zachodniopomorskie </w:t>
      </w:r>
      <w:r>
        <w:t>odnotowało postęp</w:t>
      </w:r>
      <w:r w:rsidR="00E66B89">
        <w:t xml:space="preserve"> w </w:t>
      </w:r>
      <w:r>
        <w:t>zakresie wskaźnika zatrudnienia, udziału wydatków B+R</w:t>
      </w:r>
      <w:r w:rsidR="00E66B89">
        <w:t xml:space="preserve"> w </w:t>
      </w:r>
      <w:r>
        <w:t>PKB, odsetku osób</w:t>
      </w:r>
      <w:r w:rsidR="00E66B89">
        <w:t xml:space="preserve"> z </w:t>
      </w:r>
      <w:r>
        <w:t>wykształceniem wyższym</w:t>
      </w:r>
      <w:r w:rsidR="00E66B89">
        <w:t xml:space="preserve"> w </w:t>
      </w:r>
      <w:r>
        <w:t>grupie wieku 30-34 oraz niwelowaniu zagrożenia ubóstwem</w:t>
      </w:r>
      <w:r w:rsidR="00E66B89">
        <w:t xml:space="preserve"> i </w:t>
      </w:r>
      <w:r>
        <w:t>wykluczeniem społecznym.</w:t>
      </w:r>
      <w:r w:rsidR="00E66B89">
        <w:t xml:space="preserve"> W </w:t>
      </w:r>
      <w:r>
        <w:t>przypadku zatrudnienia, wskaźnik dla osób</w:t>
      </w:r>
      <w:r w:rsidR="00E66B89">
        <w:t xml:space="preserve"> w </w:t>
      </w:r>
      <w:r>
        <w:t>wieku produkcyjnym wzrósł na przestrzeni lat 2000-2018</w:t>
      </w:r>
      <w:r w:rsidR="00E66B89">
        <w:t xml:space="preserve"> z </w:t>
      </w:r>
      <w:r>
        <w:t>57.4% do 68.9%. Nakłady na działalność badawczo-rozwojową wzrosły od 2002 roku od 0.26% PKB do 0.45%, przy czym należy mieć na uwadze ich dużą zmienność. Odsetek osób legitymujących się wykształceniem wyższym wśród 30-34-latków wzrósł 3.5-krotnie (12%-42.6%)</w:t>
      </w:r>
      <w:r w:rsidR="00E66B89">
        <w:t xml:space="preserve"> w </w:t>
      </w:r>
      <w:r>
        <w:t>18 lat. Zagrożenie ubóstwem</w:t>
      </w:r>
      <w:r w:rsidR="00E66B89">
        <w:t xml:space="preserve"> i </w:t>
      </w:r>
      <w:r>
        <w:t>wykluczeniem społecznym również spadło,</w:t>
      </w:r>
      <w:r w:rsidR="00E66B89">
        <w:t xml:space="preserve"> z </w:t>
      </w:r>
      <w:r>
        <w:t>32.0%</w:t>
      </w:r>
      <w:r w:rsidR="00E66B89">
        <w:t xml:space="preserve"> w </w:t>
      </w:r>
      <w:r>
        <w:t>2012 roku do 25.0%</w:t>
      </w:r>
      <w:r w:rsidR="00E66B89">
        <w:t xml:space="preserve"> w </w:t>
      </w:r>
      <w:r>
        <w:t>2018.</w:t>
      </w:r>
      <w:r w:rsidR="00E66B89">
        <w:t xml:space="preserve"> W </w:t>
      </w:r>
      <w:r>
        <w:t>przypadku pozostałych wskaźników nie ma jednoznacznego trendu (młodzież niekontynuująca nauki lub zużycie energii pierwotnej) lub obserwujemy wręcz regres (jak ma to miejsce</w:t>
      </w:r>
      <w:r w:rsidR="00E66B89">
        <w:t xml:space="preserve"> z </w:t>
      </w:r>
      <w:r>
        <w:t>emisją gazów cieplarnianych). Dane</w:t>
      </w:r>
      <w:r w:rsidR="00E66B89">
        <w:t xml:space="preserve"> o </w:t>
      </w:r>
      <w:r>
        <w:t>odsetku energii ze źródeł odnawialnych</w:t>
      </w:r>
      <w:r w:rsidR="00E66B89">
        <w:t xml:space="preserve"> w </w:t>
      </w:r>
      <w:r>
        <w:t xml:space="preserve">miksie energetycznym na poziomie regionu nie są znane, podobnie nie istnieją dane dobrze je aproksymujące. </w:t>
      </w:r>
    </w:p>
    <w:p w14:paraId="5FD50F9B" w14:textId="7B6D33A4" w:rsidR="00EE58A9" w:rsidRPr="00CA715D" w:rsidRDefault="00EE58A9" w:rsidP="00CA715D">
      <w:pPr>
        <w:pStyle w:val="Legenda"/>
        <w:spacing w:after="0"/>
      </w:pPr>
      <w:bookmarkStart w:id="428" w:name="_Toc3896922"/>
      <w:bookmarkStart w:id="429" w:name="_Toc8824294"/>
      <w:r w:rsidRPr="00644A85">
        <w:t xml:space="preserve">Tabela </w:t>
      </w:r>
      <w:r>
        <w:fldChar w:fldCharType="begin"/>
      </w:r>
      <w:r>
        <w:instrText xml:space="preserve"> SEQ Tabela \* ARABIC </w:instrText>
      </w:r>
      <w:r>
        <w:fldChar w:fldCharType="separate"/>
      </w:r>
      <w:r w:rsidR="00763345">
        <w:rPr>
          <w:noProof/>
        </w:rPr>
        <w:t>183</w:t>
      </w:r>
      <w:r>
        <w:fldChar w:fldCharType="end"/>
      </w:r>
      <w:r w:rsidRPr="00644A85">
        <w:t>. Historyczny przebieg wskaźników Strategii Europa 2020 dla województwa zachodniopomorskiego</w:t>
      </w:r>
      <w:bookmarkEnd w:id="428"/>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158"/>
        <w:gridCol w:w="865"/>
        <w:gridCol w:w="1546"/>
        <w:gridCol w:w="1702"/>
        <w:gridCol w:w="970"/>
        <w:gridCol w:w="1261"/>
        <w:gridCol w:w="872"/>
      </w:tblGrid>
      <w:tr w:rsidR="00EE58A9" w:rsidRPr="002F4797" w14:paraId="286899AD" w14:textId="77777777" w:rsidTr="005F04FC">
        <w:trPr>
          <w:trHeight w:val="227"/>
          <w:tblHeader/>
        </w:trPr>
        <w:tc>
          <w:tcPr>
            <w:tcW w:w="380" w:type="pct"/>
            <w:shd w:val="clear" w:color="auto" w:fill="DBE5F1"/>
            <w:noWrap/>
            <w:vAlign w:val="center"/>
            <w:hideMark/>
          </w:tcPr>
          <w:p w14:paraId="0BC48790" w14:textId="77777777" w:rsidR="00EE58A9" w:rsidRPr="00404DA5" w:rsidRDefault="00EE58A9" w:rsidP="00EE58A9">
            <w:pPr>
              <w:jc w:val="center"/>
              <w:rPr>
                <w:b/>
                <w:sz w:val="16"/>
                <w:szCs w:val="16"/>
              </w:rPr>
            </w:pPr>
            <w:r w:rsidRPr="00404DA5">
              <w:rPr>
                <w:b/>
                <w:sz w:val="16"/>
                <w:szCs w:val="16"/>
              </w:rPr>
              <w:t>rok</w:t>
            </w:r>
          </w:p>
        </w:tc>
        <w:tc>
          <w:tcPr>
            <w:tcW w:w="639" w:type="pct"/>
            <w:shd w:val="clear" w:color="auto" w:fill="DBE5F1"/>
            <w:vAlign w:val="center"/>
            <w:hideMark/>
          </w:tcPr>
          <w:p w14:paraId="0D915DCE" w14:textId="77777777" w:rsidR="00EE58A9" w:rsidRPr="00404DA5" w:rsidRDefault="00EE58A9" w:rsidP="00EE58A9">
            <w:pPr>
              <w:jc w:val="center"/>
              <w:rPr>
                <w:b/>
                <w:sz w:val="16"/>
                <w:szCs w:val="16"/>
              </w:rPr>
            </w:pPr>
            <w:r w:rsidRPr="00404DA5">
              <w:rPr>
                <w:b/>
                <w:sz w:val="16"/>
                <w:szCs w:val="16"/>
              </w:rPr>
              <w:t>zatrudnienie</w:t>
            </w:r>
          </w:p>
        </w:tc>
        <w:tc>
          <w:tcPr>
            <w:tcW w:w="477" w:type="pct"/>
            <w:shd w:val="clear" w:color="auto" w:fill="DBE5F1"/>
            <w:vAlign w:val="center"/>
            <w:hideMark/>
          </w:tcPr>
          <w:p w14:paraId="1CC86E0C" w14:textId="77777777" w:rsidR="00EE58A9" w:rsidRPr="00404DA5" w:rsidRDefault="00EE58A9" w:rsidP="00EE58A9">
            <w:pPr>
              <w:jc w:val="center"/>
              <w:rPr>
                <w:b/>
                <w:sz w:val="16"/>
                <w:szCs w:val="16"/>
              </w:rPr>
            </w:pPr>
            <w:r w:rsidRPr="00404DA5">
              <w:rPr>
                <w:b/>
                <w:sz w:val="16"/>
                <w:szCs w:val="16"/>
              </w:rPr>
              <w:t>B+R</w:t>
            </w:r>
          </w:p>
        </w:tc>
        <w:tc>
          <w:tcPr>
            <w:tcW w:w="853" w:type="pct"/>
            <w:shd w:val="clear" w:color="auto" w:fill="DBE5F1"/>
            <w:vAlign w:val="center"/>
            <w:hideMark/>
          </w:tcPr>
          <w:p w14:paraId="50327D67" w14:textId="77777777" w:rsidR="00EE58A9" w:rsidRPr="00404DA5" w:rsidRDefault="00EE58A9" w:rsidP="00EE58A9">
            <w:pPr>
              <w:jc w:val="center"/>
              <w:rPr>
                <w:b/>
                <w:sz w:val="16"/>
                <w:szCs w:val="16"/>
              </w:rPr>
            </w:pPr>
            <w:r w:rsidRPr="00404DA5">
              <w:rPr>
                <w:b/>
                <w:sz w:val="16"/>
                <w:szCs w:val="16"/>
              </w:rPr>
              <w:t>gazy cieplarniane</w:t>
            </w:r>
          </w:p>
        </w:tc>
        <w:tc>
          <w:tcPr>
            <w:tcW w:w="939" w:type="pct"/>
            <w:shd w:val="clear" w:color="auto" w:fill="DBE5F1"/>
            <w:vAlign w:val="center"/>
            <w:hideMark/>
          </w:tcPr>
          <w:p w14:paraId="3C01B75A" w14:textId="77777777" w:rsidR="00EE58A9" w:rsidRPr="00404DA5" w:rsidRDefault="00EE58A9" w:rsidP="00EE58A9">
            <w:pPr>
              <w:jc w:val="center"/>
              <w:rPr>
                <w:b/>
                <w:sz w:val="16"/>
                <w:szCs w:val="16"/>
              </w:rPr>
            </w:pPr>
            <w:r w:rsidRPr="00404DA5">
              <w:rPr>
                <w:b/>
                <w:sz w:val="16"/>
                <w:szCs w:val="16"/>
              </w:rPr>
              <w:t>energia pierwotna</w:t>
            </w:r>
          </w:p>
        </w:tc>
        <w:tc>
          <w:tcPr>
            <w:tcW w:w="535" w:type="pct"/>
            <w:shd w:val="clear" w:color="auto" w:fill="DBE5F1"/>
            <w:vAlign w:val="center"/>
          </w:tcPr>
          <w:p w14:paraId="28E3D6DB" w14:textId="77777777" w:rsidR="00EE58A9" w:rsidRPr="00404DA5" w:rsidRDefault="00EE58A9" w:rsidP="00EE58A9">
            <w:pPr>
              <w:jc w:val="center"/>
              <w:rPr>
                <w:b/>
                <w:sz w:val="16"/>
                <w:szCs w:val="16"/>
              </w:rPr>
            </w:pPr>
            <w:r w:rsidRPr="00404DA5">
              <w:rPr>
                <w:b/>
                <w:sz w:val="16"/>
                <w:szCs w:val="16"/>
              </w:rPr>
              <w:t>młodzież</w:t>
            </w:r>
          </w:p>
        </w:tc>
        <w:tc>
          <w:tcPr>
            <w:tcW w:w="696" w:type="pct"/>
            <w:shd w:val="clear" w:color="auto" w:fill="DBE5F1"/>
            <w:vAlign w:val="center"/>
            <w:hideMark/>
          </w:tcPr>
          <w:p w14:paraId="47B65D42" w14:textId="77777777" w:rsidR="00EE58A9" w:rsidRPr="00404DA5" w:rsidRDefault="00EE58A9" w:rsidP="00EE58A9">
            <w:pPr>
              <w:jc w:val="center"/>
              <w:rPr>
                <w:b/>
                <w:sz w:val="16"/>
                <w:szCs w:val="16"/>
              </w:rPr>
            </w:pPr>
            <w:r w:rsidRPr="00404DA5">
              <w:rPr>
                <w:b/>
                <w:sz w:val="16"/>
                <w:szCs w:val="16"/>
              </w:rPr>
              <w:t>wykształcenie</w:t>
            </w:r>
          </w:p>
        </w:tc>
        <w:tc>
          <w:tcPr>
            <w:tcW w:w="481" w:type="pct"/>
            <w:shd w:val="clear" w:color="auto" w:fill="DBE5F1"/>
            <w:vAlign w:val="center"/>
            <w:hideMark/>
          </w:tcPr>
          <w:p w14:paraId="3A2494AE" w14:textId="77777777" w:rsidR="00EE58A9" w:rsidRPr="00404DA5" w:rsidRDefault="00EE58A9" w:rsidP="00EE58A9">
            <w:pPr>
              <w:jc w:val="center"/>
              <w:rPr>
                <w:b/>
                <w:sz w:val="16"/>
                <w:szCs w:val="16"/>
              </w:rPr>
            </w:pPr>
            <w:r w:rsidRPr="00404DA5">
              <w:rPr>
                <w:b/>
                <w:sz w:val="16"/>
                <w:szCs w:val="16"/>
              </w:rPr>
              <w:t>ubóstwo</w:t>
            </w:r>
          </w:p>
        </w:tc>
      </w:tr>
      <w:tr w:rsidR="00EE58A9" w:rsidRPr="002F4797" w14:paraId="2F6B2311" w14:textId="77777777" w:rsidTr="00C22C26">
        <w:trPr>
          <w:trHeight w:val="227"/>
        </w:trPr>
        <w:tc>
          <w:tcPr>
            <w:tcW w:w="380" w:type="pct"/>
            <w:shd w:val="clear" w:color="auto" w:fill="auto"/>
            <w:noWrap/>
            <w:vAlign w:val="center"/>
          </w:tcPr>
          <w:p w14:paraId="4FDC39BE" w14:textId="77777777" w:rsidR="00EE58A9" w:rsidRPr="00404DA5" w:rsidRDefault="00EE58A9" w:rsidP="00EE58A9">
            <w:pPr>
              <w:jc w:val="center"/>
              <w:rPr>
                <w:b/>
                <w:sz w:val="16"/>
                <w:szCs w:val="16"/>
              </w:rPr>
            </w:pPr>
          </w:p>
        </w:tc>
        <w:tc>
          <w:tcPr>
            <w:tcW w:w="639" w:type="pct"/>
            <w:shd w:val="clear" w:color="auto" w:fill="auto"/>
            <w:vAlign w:val="center"/>
          </w:tcPr>
          <w:p w14:paraId="4EA01B32" w14:textId="77777777" w:rsidR="00EE58A9" w:rsidRPr="00404DA5" w:rsidRDefault="00EE58A9" w:rsidP="00EE58A9">
            <w:pPr>
              <w:jc w:val="center"/>
              <w:rPr>
                <w:b/>
                <w:sz w:val="16"/>
                <w:szCs w:val="16"/>
              </w:rPr>
            </w:pPr>
            <w:r w:rsidRPr="00404DA5">
              <w:rPr>
                <w:b/>
                <w:sz w:val="16"/>
                <w:szCs w:val="16"/>
              </w:rPr>
              <w:t>1</w:t>
            </w:r>
          </w:p>
        </w:tc>
        <w:tc>
          <w:tcPr>
            <w:tcW w:w="477" w:type="pct"/>
            <w:shd w:val="clear" w:color="auto" w:fill="auto"/>
            <w:vAlign w:val="center"/>
          </w:tcPr>
          <w:p w14:paraId="6F401997" w14:textId="77777777" w:rsidR="00EE58A9" w:rsidRPr="00404DA5" w:rsidRDefault="00EE58A9" w:rsidP="00EE58A9">
            <w:pPr>
              <w:jc w:val="center"/>
              <w:rPr>
                <w:b/>
                <w:sz w:val="16"/>
                <w:szCs w:val="16"/>
              </w:rPr>
            </w:pPr>
            <w:r w:rsidRPr="00404DA5">
              <w:rPr>
                <w:b/>
                <w:sz w:val="16"/>
                <w:szCs w:val="16"/>
              </w:rPr>
              <w:t>2</w:t>
            </w:r>
          </w:p>
        </w:tc>
        <w:tc>
          <w:tcPr>
            <w:tcW w:w="853" w:type="pct"/>
            <w:shd w:val="clear" w:color="auto" w:fill="auto"/>
            <w:vAlign w:val="center"/>
          </w:tcPr>
          <w:p w14:paraId="09229A30" w14:textId="77777777" w:rsidR="00EE58A9" w:rsidRPr="00404DA5" w:rsidRDefault="00EE58A9" w:rsidP="00EE58A9">
            <w:pPr>
              <w:jc w:val="center"/>
              <w:rPr>
                <w:b/>
                <w:sz w:val="16"/>
                <w:szCs w:val="16"/>
              </w:rPr>
            </w:pPr>
            <w:r w:rsidRPr="00404DA5">
              <w:rPr>
                <w:b/>
                <w:sz w:val="16"/>
                <w:szCs w:val="16"/>
              </w:rPr>
              <w:t>3</w:t>
            </w:r>
          </w:p>
        </w:tc>
        <w:tc>
          <w:tcPr>
            <w:tcW w:w="939" w:type="pct"/>
            <w:shd w:val="clear" w:color="auto" w:fill="auto"/>
            <w:vAlign w:val="center"/>
          </w:tcPr>
          <w:p w14:paraId="0F81DF4F" w14:textId="77777777" w:rsidR="00EE58A9" w:rsidRPr="00404DA5" w:rsidRDefault="00EE58A9" w:rsidP="00EE58A9">
            <w:pPr>
              <w:jc w:val="center"/>
              <w:rPr>
                <w:b/>
                <w:sz w:val="16"/>
                <w:szCs w:val="16"/>
              </w:rPr>
            </w:pPr>
            <w:r w:rsidRPr="00404DA5">
              <w:rPr>
                <w:b/>
                <w:sz w:val="16"/>
                <w:szCs w:val="16"/>
              </w:rPr>
              <w:t>5</w:t>
            </w:r>
          </w:p>
        </w:tc>
        <w:tc>
          <w:tcPr>
            <w:tcW w:w="535" w:type="pct"/>
            <w:shd w:val="clear" w:color="auto" w:fill="auto"/>
            <w:vAlign w:val="center"/>
          </w:tcPr>
          <w:p w14:paraId="04609233" w14:textId="77777777" w:rsidR="00EE58A9" w:rsidRPr="00404DA5" w:rsidRDefault="00EE58A9" w:rsidP="00EE58A9">
            <w:pPr>
              <w:jc w:val="center"/>
              <w:rPr>
                <w:b/>
                <w:sz w:val="16"/>
                <w:szCs w:val="16"/>
              </w:rPr>
            </w:pPr>
            <w:r w:rsidRPr="00404DA5">
              <w:rPr>
                <w:b/>
                <w:sz w:val="16"/>
                <w:szCs w:val="16"/>
              </w:rPr>
              <w:t>6</w:t>
            </w:r>
          </w:p>
        </w:tc>
        <w:tc>
          <w:tcPr>
            <w:tcW w:w="696" w:type="pct"/>
            <w:shd w:val="clear" w:color="auto" w:fill="auto"/>
            <w:vAlign w:val="center"/>
          </w:tcPr>
          <w:p w14:paraId="07D5605C" w14:textId="77777777" w:rsidR="00EE58A9" w:rsidRPr="00404DA5" w:rsidRDefault="00EE58A9" w:rsidP="00EE58A9">
            <w:pPr>
              <w:jc w:val="center"/>
              <w:rPr>
                <w:b/>
                <w:sz w:val="16"/>
                <w:szCs w:val="16"/>
              </w:rPr>
            </w:pPr>
            <w:r w:rsidRPr="00404DA5">
              <w:rPr>
                <w:b/>
                <w:sz w:val="16"/>
                <w:szCs w:val="16"/>
              </w:rPr>
              <w:t>7</w:t>
            </w:r>
          </w:p>
        </w:tc>
        <w:tc>
          <w:tcPr>
            <w:tcW w:w="481" w:type="pct"/>
            <w:shd w:val="clear" w:color="auto" w:fill="auto"/>
            <w:vAlign w:val="center"/>
          </w:tcPr>
          <w:p w14:paraId="1FDE54E2" w14:textId="77777777" w:rsidR="00EE58A9" w:rsidRPr="00404DA5" w:rsidRDefault="00EE58A9" w:rsidP="00EE58A9">
            <w:pPr>
              <w:jc w:val="center"/>
              <w:rPr>
                <w:b/>
                <w:sz w:val="16"/>
                <w:szCs w:val="16"/>
              </w:rPr>
            </w:pPr>
            <w:r w:rsidRPr="00404DA5">
              <w:rPr>
                <w:b/>
                <w:sz w:val="16"/>
                <w:szCs w:val="16"/>
              </w:rPr>
              <w:t>8</w:t>
            </w:r>
          </w:p>
        </w:tc>
      </w:tr>
      <w:tr w:rsidR="00EE58A9" w:rsidRPr="002F4797" w14:paraId="3B126AE7" w14:textId="77777777" w:rsidTr="00C22C26">
        <w:trPr>
          <w:trHeight w:val="227"/>
        </w:trPr>
        <w:tc>
          <w:tcPr>
            <w:tcW w:w="380" w:type="pct"/>
            <w:shd w:val="clear" w:color="auto" w:fill="auto"/>
            <w:noWrap/>
          </w:tcPr>
          <w:p w14:paraId="3C2D0929" w14:textId="77777777" w:rsidR="00EE58A9" w:rsidRPr="00404DA5" w:rsidRDefault="00EE58A9" w:rsidP="00EE58A9">
            <w:pPr>
              <w:jc w:val="center"/>
              <w:rPr>
                <w:sz w:val="16"/>
                <w:szCs w:val="16"/>
              </w:rPr>
            </w:pPr>
          </w:p>
        </w:tc>
        <w:tc>
          <w:tcPr>
            <w:tcW w:w="639" w:type="pct"/>
            <w:shd w:val="clear" w:color="auto" w:fill="auto"/>
          </w:tcPr>
          <w:p w14:paraId="26C53666" w14:textId="77777777" w:rsidR="00EE58A9" w:rsidRPr="00404DA5" w:rsidRDefault="00EE58A9" w:rsidP="00EE58A9">
            <w:pPr>
              <w:jc w:val="center"/>
              <w:rPr>
                <w:sz w:val="16"/>
                <w:szCs w:val="16"/>
              </w:rPr>
            </w:pPr>
            <w:r w:rsidRPr="00404DA5">
              <w:rPr>
                <w:sz w:val="16"/>
                <w:szCs w:val="16"/>
              </w:rPr>
              <w:t>%</w:t>
            </w:r>
          </w:p>
        </w:tc>
        <w:tc>
          <w:tcPr>
            <w:tcW w:w="477" w:type="pct"/>
            <w:shd w:val="clear" w:color="auto" w:fill="auto"/>
          </w:tcPr>
          <w:p w14:paraId="76C4ABFC" w14:textId="77777777" w:rsidR="00EE58A9" w:rsidRPr="00404DA5" w:rsidRDefault="00EE58A9" w:rsidP="00EE58A9">
            <w:pPr>
              <w:jc w:val="center"/>
              <w:rPr>
                <w:sz w:val="16"/>
                <w:szCs w:val="16"/>
              </w:rPr>
            </w:pPr>
            <w:r w:rsidRPr="00404DA5">
              <w:rPr>
                <w:sz w:val="16"/>
                <w:szCs w:val="16"/>
              </w:rPr>
              <w:t>%</w:t>
            </w:r>
          </w:p>
        </w:tc>
        <w:tc>
          <w:tcPr>
            <w:tcW w:w="853" w:type="pct"/>
            <w:shd w:val="clear" w:color="auto" w:fill="auto"/>
          </w:tcPr>
          <w:p w14:paraId="7206E6F1" w14:textId="77777777" w:rsidR="00EE58A9" w:rsidRPr="00404DA5" w:rsidRDefault="00EE58A9" w:rsidP="00EE58A9">
            <w:pPr>
              <w:jc w:val="center"/>
              <w:rPr>
                <w:sz w:val="16"/>
                <w:szCs w:val="16"/>
              </w:rPr>
            </w:pPr>
            <w:r w:rsidRPr="00404DA5">
              <w:rPr>
                <w:sz w:val="16"/>
                <w:szCs w:val="16"/>
              </w:rPr>
              <w:t>Gg CO</w:t>
            </w:r>
            <w:r w:rsidRPr="00404DA5">
              <w:rPr>
                <w:sz w:val="16"/>
                <w:szCs w:val="16"/>
                <w:vertAlign w:val="subscript"/>
              </w:rPr>
              <w:t>2</w:t>
            </w:r>
            <w:r w:rsidRPr="00404DA5">
              <w:rPr>
                <w:i/>
                <w:sz w:val="16"/>
                <w:szCs w:val="16"/>
              </w:rPr>
              <w:t>e</w:t>
            </w:r>
          </w:p>
        </w:tc>
        <w:tc>
          <w:tcPr>
            <w:tcW w:w="939" w:type="pct"/>
            <w:shd w:val="clear" w:color="auto" w:fill="auto"/>
          </w:tcPr>
          <w:p w14:paraId="0DD6AA42" w14:textId="77777777" w:rsidR="00EE58A9" w:rsidRPr="00404DA5" w:rsidRDefault="00EE58A9" w:rsidP="00EE58A9">
            <w:pPr>
              <w:jc w:val="center"/>
              <w:rPr>
                <w:sz w:val="16"/>
                <w:szCs w:val="16"/>
              </w:rPr>
            </w:pPr>
            <w:r w:rsidRPr="00404DA5">
              <w:rPr>
                <w:sz w:val="16"/>
                <w:szCs w:val="16"/>
              </w:rPr>
              <w:t>mld to</w:t>
            </w:r>
            <w:r w:rsidRPr="00404DA5">
              <w:rPr>
                <w:i/>
                <w:sz w:val="16"/>
                <w:szCs w:val="16"/>
              </w:rPr>
              <w:t>e</w:t>
            </w:r>
          </w:p>
        </w:tc>
        <w:tc>
          <w:tcPr>
            <w:tcW w:w="535" w:type="pct"/>
            <w:shd w:val="clear" w:color="auto" w:fill="auto"/>
          </w:tcPr>
          <w:p w14:paraId="7F4E5F71" w14:textId="77777777" w:rsidR="00EE58A9" w:rsidRPr="00404DA5" w:rsidRDefault="00EE58A9" w:rsidP="00EE58A9">
            <w:pPr>
              <w:jc w:val="center"/>
              <w:rPr>
                <w:sz w:val="16"/>
                <w:szCs w:val="16"/>
              </w:rPr>
            </w:pPr>
            <w:r w:rsidRPr="00404DA5">
              <w:rPr>
                <w:sz w:val="16"/>
                <w:szCs w:val="16"/>
              </w:rPr>
              <w:t>%</w:t>
            </w:r>
          </w:p>
        </w:tc>
        <w:tc>
          <w:tcPr>
            <w:tcW w:w="696" w:type="pct"/>
            <w:shd w:val="clear" w:color="auto" w:fill="auto"/>
          </w:tcPr>
          <w:p w14:paraId="7CB07E77" w14:textId="77777777" w:rsidR="00EE58A9" w:rsidRPr="00404DA5" w:rsidRDefault="00EE58A9" w:rsidP="00EE58A9">
            <w:pPr>
              <w:jc w:val="center"/>
              <w:rPr>
                <w:sz w:val="16"/>
                <w:szCs w:val="16"/>
              </w:rPr>
            </w:pPr>
            <w:r w:rsidRPr="00404DA5">
              <w:rPr>
                <w:sz w:val="16"/>
                <w:szCs w:val="16"/>
              </w:rPr>
              <w:t>%</w:t>
            </w:r>
          </w:p>
        </w:tc>
        <w:tc>
          <w:tcPr>
            <w:tcW w:w="481" w:type="pct"/>
            <w:shd w:val="clear" w:color="auto" w:fill="auto"/>
          </w:tcPr>
          <w:p w14:paraId="19F0845C" w14:textId="77777777" w:rsidR="00EE58A9" w:rsidRPr="00404DA5" w:rsidRDefault="00EE58A9" w:rsidP="00EE58A9">
            <w:pPr>
              <w:jc w:val="center"/>
              <w:rPr>
                <w:sz w:val="16"/>
                <w:szCs w:val="16"/>
              </w:rPr>
            </w:pPr>
            <w:r w:rsidRPr="00404DA5">
              <w:rPr>
                <w:sz w:val="16"/>
                <w:szCs w:val="16"/>
              </w:rPr>
              <w:t>%</w:t>
            </w:r>
          </w:p>
        </w:tc>
      </w:tr>
      <w:tr w:rsidR="00EE58A9" w:rsidRPr="002F4797" w14:paraId="00DA1EF4" w14:textId="77777777" w:rsidTr="00C22C26">
        <w:trPr>
          <w:trHeight w:val="227"/>
        </w:trPr>
        <w:tc>
          <w:tcPr>
            <w:tcW w:w="380" w:type="pct"/>
            <w:shd w:val="clear" w:color="auto" w:fill="auto"/>
            <w:noWrap/>
            <w:hideMark/>
          </w:tcPr>
          <w:p w14:paraId="4C9C0392" w14:textId="77777777" w:rsidR="00EE58A9" w:rsidRPr="00CC3F49" w:rsidRDefault="00EE58A9" w:rsidP="00C22C26">
            <w:pPr>
              <w:jc w:val="center"/>
              <w:rPr>
                <w:b/>
                <w:sz w:val="16"/>
                <w:szCs w:val="16"/>
              </w:rPr>
            </w:pPr>
            <w:r w:rsidRPr="00CC3F49">
              <w:rPr>
                <w:b/>
                <w:sz w:val="16"/>
                <w:szCs w:val="16"/>
              </w:rPr>
              <w:t>2000</w:t>
            </w:r>
          </w:p>
        </w:tc>
        <w:tc>
          <w:tcPr>
            <w:tcW w:w="639" w:type="pct"/>
            <w:shd w:val="clear" w:color="auto" w:fill="auto"/>
            <w:noWrap/>
            <w:vAlign w:val="bottom"/>
          </w:tcPr>
          <w:p w14:paraId="1841E836" w14:textId="77777777" w:rsidR="00EE58A9" w:rsidRPr="00C22C26" w:rsidRDefault="00EE58A9" w:rsidP="00C22C26">
            <w:pPr>
              <w:jc w:val="center"/>
              <w:rPr>
                <w:sz w:val="16"/>
              </w:rPr>
            </w:pPr>
            <w:r w:rsidRPr="00C22C26">
              <w:rPr>
                <w:sz w:val="16"/>
              </w:rPr>
              <w:t>57.4</w:t>
            </w:r>
          </w:p>
        </w:tc>
        <w:tc>
          <w:tcPr>
            <w:tcW w:w="477" w:type="pct"/>
            <w:shd w:val="clear" w:color="auto" w:fill="auto"/>
            <w:noWrap/>
            <w:vAlign w:val="bottom"/>
          </w:tcPr>
          <w:p w14:paraId="33760FDF" w14:textId="77777777" w:rsidR="00EE58A9" w:rsidRPr="00C22C26" w:rsidRDefault="00EE58A9" w:rsidP="00C22C26">
            <w:pPr>
              <w:jc w:val="center"/>
              <w:rPr>
                <w:sz w:val="16"/>
              </w:rPr>
            </w:pPr>
          </w:p>
        </w:tc>
        <w:tc>
          <w:tcPr>
            <w:tcW w:w="853" w:type="pct"/>
            <w:shd w:val="clear" w:color="auto" w:fill="auto"/>
            <w:noWrap/>
            <w:vAlign w:val="bottom"/>
          </w:tcPr>
          <w:p w14:paraId="534BB6F3" w14:textId="77777777" w:rsidR="00EE58A9" w:rsidRPr="00CC3F49" w:rsidRDefault="00EE58A9" w:rsidP="00C22C26">
            <w:pPr>
              <w:jc w:val="center"/>
              <w:rPr>
                <w:sz w:val="16"/>
                <w:szCs w:val="16"/>
              </w:rPr>
            </w:pPr>
          </w:p>
        </w:tc>
        <w:tc>
          <w:tcPr>
            <w:tcW w:w="939" w:type="pct"/>
            <w:shd w:val="clear" w:color="auto" w:fill="auto"/>
            <w:noWrap/>
            <w:vAlign w:val="bottom"/>
          </w:tcPr>
          <w:p w14:paraId="1AB6796C" w14:textId="77777777" w:rsidR="00EE58A9" w:rsidRPr="00A400EA" w:rsidRDefault="00EE58A9" w:rsidP="00C22C26">
            <w:pPr>
              <w:jc w:val="center"/>
              <w:rPr>
                <w:sz w:val="16"/>
                <w:szCs w:val="16"/>
              </w:rPr>
            </w:pPr>
          </w:p>
        </w:tc>
        <w:tc>
          <w:tcPr>
            <w:tcW w:w="535" w:type="pct"/>
            <w:shd w:val="clear" w:color="auto" w:fill="auto"/>
            <w:vAlign w:val="bottom"/>
          </w:tcPr>
          <w:p w14:paraId="655CE259" w14:textId="77777777" w:rsidR="00EE58A9" w:rsidRPr="00CC3F49" w:rsidRDefault="00EE58A9" w:rsidP="00C22C26">
            <w:pPr>
              <w:jc w:val="center"/>
              <w:rPr>
                <w:sz w:val="16"/>
                <w:szCs w:val="16"/>
              </w:rPr>
            </w:pPr>
          </w:p>
        </w:tc>
        <w:tc>
          <w:tcPr>
            <w:tcW w:w="696" w:type="pct"/>
            <w:shd w:val="clear" w:color="auto" w:fill="auto"/>
            <w:noWrap/>
            <w:vAlign w:val="bottom"/>
          </w:tcPr>
          <w:p w14:paraId="3764606D" w14:textId="77777777" w:rsidR="00EE58A9" w:rsidRPr="00CC3F49" w:rsidRDefault="00EE58A9" w:rsidP="00C22C26">
            <w:pPr>
              <w:jc w:val="center"/>
              <w:rPr>
                <w:sz w:val="16"/>
                <w:szCs w:val="16"/>
              </w:rPr>
            </w:pPr>
          </w:p>
        </w:tc>
        <w:tc>
          <w:tcPr>
            <w:tcW w:w="481" w:type="pct"/>
            <w:shd w:val="clear" w:color="auto" w:fill="auto"/>
            <w:noWrap/>
            <w:vAlign w:val="bottom"/>
          </w:tcPr>
          <w:p w14:paraId="20D40540" w14:textId="77777777" w:rsidR="00EE58A9" w:rsidRPr="00CC3F49" w:rsidRDefault="00EE58A9" w:rsidP="00C22C26">
            <w:pPr>
              <w:jc w:val="center"/>
              <w:rPr>
                <w:sz w:val="16"/>
                <w:szCs w:val="16"/>
              </w:rPr>
            </w:pPr>
          </w:p>
        </w:tc>
      </w:tr>
      <w:tr w:rsidR="00EE58A9" w:rsidRPr="002F4797" w14:paraId="09C38905" w14:textId="77777777" w:rsidTr="00C22C26">
        <w:trPr>
          <w:trHeight w:val="227"/>
        </w:trPr>
        <w:tc>
          <w:tcPr>
            <w:tcW w:w="380" w:type="pct"/>
            <w:shd w:val="clear" w:color="auto" w:fill="auto"/>
            <w:noWrap/>
            <w:hideMark/>
          </w:tcPr>
          <w:p w14:paraId="4AE21AAE" w14:textId="77777777" w:rsidR="00EE58A9" w:rsidRPr="00CC3F49" w:rsidRDefault="00EE58A9" w:rsidP="00C22C26">
            <w:pPr>
              <w:jc w:val="center"/>
              <w:rPr>
                <w:b/>
                <w:sz w:val="16"/>
                <w:szCs w:val="16"/>
              </w:rPr>
            </w:pPr>
            <w:r w:rsidRPr="00CC3F49">
              <w:rPr>
                <w:b/>
                <w:sz w:val="16"/>
                <w:szCs w:val="16"/>
              </w:rPr>
              <w:t>2001</w:t>
            </w:r>
          </w:p>
        </w:tc>
        <w:tc>
          <w:tcPr>
            <w:tcW w:w="639" w:type="pct"/>
            <w:shd w:val="clear" w:color="auto" w:fill="auto"/>
            <w:noWrap/>
            <w:vAlign w:val="bottom"/>
          </w:tcPr>
          <w:p w14:paraId="5F266D36" w14:textId="77777777" w:rsidR="00EE58A9" w:rsidRPr="00C22C26" w:rsidRDefault="00EE58A9" w:rsidP="00C22C26">
            <w:pPr>
              <w:jc w:val="center"/>
              <w:rPr>
                <w:sz w:val="16"/>
              </w:rPr>
            </w:pPr>
            <w:r w:rsidRPr="00C22C26">
              <w:rPr>
                <w:sz w:val="16"/>
              </w:rPr>
              <w:t>56.3</w:t>
            </w:r>
          </w:p>
        </w:tc>
        <w:tc>
          <w:tcPr>
            <w:tcW w:w="477" w:type="pct"/>
            <w:shd w:val="clear" w:color="auto" w:fill="auto"/>
            <w:noWrap/>
            <w:vAlign w:val="bottom"/>
          </w:tcPr>
          <w:p w14:paraId="60389A6A" w14:textId="77777777" w:rsidR="00EE58A9" w:rsidRPr="00C22C26" w:rsidRDefault="00EE58A9" w:rsidP="00C22C26">
            <w:pPr>
              <w:jc w:val="center"/>
              <w:rPr>
                <w:sz w:val="16"/>
              </w:rPr>
            </w:pPr>
          </w:p>
        </w:tc>
        <w:tc>
          <w:tcPr>
            <w:tcW w:w="853" w:type="pct"/>
            <w:shd w:val="clear" w:color="auto" w:fill="auto"/>
            <w:noWrap/>
            <w:vAlign w:val="bottom"/>
          </w:tcPr>
          <w:p w14:paraId="7688C0A0" w14:textId="77777777" w:rsidR="00EE58A9" w:rsidRPr="00CC3F49" w:rsidRDefault="00EE58A9" w:rsidP="00C22C26">
            <w:pPr>
              <w:jc w:val="center"/>
              <w:rPr>
                <w:sz w:val="16"/>
                <w:szCs w:val="16"/>
              </w:rPr>
            </w:pPr>
          </w:p>
        </w:tc>
        <w:tc>
          <w:tcPr>
            <w:tcW w:w="939" w:type="pct"/>
            <w:shd w:val="clear" w:color="auto" w:fill="auto"/>
            <w:noWrap/>
            <w:vAlign w:val="bottom"/>
          </w:tcPr>
          <w:p w14:paraId="7752BE72" w14:textId="77777777" w:rsidR="00EE58A9" w:rsidRPr="00C22C26" w:rsidRDefault="00EE58A9" w:rsidP="00C22C26">
            <w:pPr>
              <w:jc w:val="center"/>
              <w:rPr>
                <w:i/>
                <w:sz w:val="16"/>
              </w:rPr>
            </w:pPr>
            <w:r w:rsidRPr="00C22C26">
              <w:rPr>
                <w:i/>
                <w:sz w:val="16"/>
              </w:rPr>
              <w:t>3.5</w:t>
            </w:r>
          </w:p>
        </w:tc>
        <w:tc>
          <w:tcPr>
            <w:tcW w:w="535" w:type="pct"/>
            <w:shd w:val="clear" w:color="auto" w:fill="auto"/>
            <w:vAlign w:val="bottom"/>
          </w:tcPr>
          <w:p w14:paraId="3C61133A" w14:textId="77777777" w:rsidR="00EE58A9" w:rsidRPr="00C22C26" w:rsidRDefault="00EE58A9" w:rsidP="00C22C26">
            <w:pPr>
              <w:jc w:val="center"/>
              <w:rPr>
                <w:sz w:val="16"/>
              </w:rPr>
            </w:pPr>
            <w:r w:rsidRPr="00C22C26">
              <w:rPr>
                <w:sz w:val="16"/>
              </w:rPr>
              <w:t>7.6</w:t>
            </w:r>
          </w:p>
        </w:tc>
        <w:tc>
          <w:tcPr>
            <w:tcW w:w="696" w:type="pct"/>
            <w:shd w:val="clear" w:color="auto" w:fill="auto"/>
            <w:noWrap/>
            <w:vAlign w:val="bottom"/>
          </w:tcPr>
          <w:p w14:paraId="732B5CA0" w14:textId="77777777" w:rsidR="00EE58A9" w:rsidRPr="00C22C26" w:rsidRDefault="00EE58A9" w:rsidP="00C22C26">
            <w:pPr>
              <w:jc w:val="center"/>
              <w:rPr>
                <w:sz w:val="16"/>
              </w:rPr>
            </w:pPr>
            <w:r w:rsidRPr="00C22C26">
              <w:rPr>
                <w:sz w:val="16"/>
              </w:rPr>
              <w:t>12.0</w:t>
            </w:r>
          </w:p>
        </w:tc>
        <w:tc>
          <w:tcPr>
            <w:tcW w:w="481" w:type="pct"/>
            <w:shd w:val="clear" w:color="auto" w:fill="auto"/>
            <w:noWrap/>
            <w:vAlign w:val="bottom"/>
          </w:tcPr>
          <w:p w14:paraId="618D6E0B" w14:textId="77777777" w:rsidR="00EE58A9" w:rsidRPr="00CC3F49" w:rsidRDefault="00EE58A9" w:rsidP="00C22C26">
            <w:pPr>
              <w:jc w:val="center"/>
              <w:rPr>
                <w:sz w:val="16"/>
                <w:szCs w:val="16"/>
              </w:rPr>
            </w:pPr>
          </w:p>
        </w:tc>
      </w:tr>
      <w:tr w:rsidR="00EE58A9" w:rsidRPr="002F4797" w14:paraId="730467DF" w14:textId="77777777" w:rsidTr="00C22C26">
        <w:trPr>
          <w:trHeight w:val="227"/>
        </w:trPr>
        <w:tc>
          <w:tcPr>
            <w:tcW w:w="380" w:type="pct"/>
            <w:shd w:val="clear" w:color="auto" w:fill="auto"/>
            <w:noWrap/>
            <w:hideMark/>
          </w:tcPr>
          <w:p w14:paraId="2D6C434F" w14:textId="77777777" w:rsidR="00EE58A9" w:rsidRPr="00CC3F49" w:rsidRDefault="00EE58A9" w:rsidP="00C22C26">
            <w:pPr>
              <w:jc w:val="center"/>
              <w:rPr>
                <w:b/>
                <w:sz w:val="16"/>
                <w:szCs w:val="16"/>
              </w:rPr>
            </w:pPr>
            <w:r w:rsidRPr="00CC3F49">
              <w:rPr>
                <w:b/>
                <w:sz w:val="16"/>
                <w:szCs w:val="16"/>
              </w:rPr>
              <w:t>2002</w:t>
            </w:r>
          </w:p>
        </w:tc>
        <w:tc>
          <w:tcPr>
            <w:tcW w:w="639" w:type="pct"/>
            <w:shd w:val="clear" w:color="auto" w:fill="auto"/>
            <w:noWrap/>
            <w:vAlign w:val="bottom"/>
          </w:tcPr>
          <w:p w14:paraId="2D5EF3E9" w14:textId="77777777" w:rsidR="00EE58A9" w:rsidRPr="00C22C26" w:rsidRDefault="00EE58A9" w:rsidP="00C22C26">
            <w:pPr>
              <w:jc w:val="center"/>
              <w:rPr>
                <w:sz w:val="16"/>
              </w:rPr>
            </w:pPr>
            <w:r w:rsidRPr="00C22C26">
              <w:rPr>
                <w:sz w:val="16"/>
              </w:rPr>
              <w:t>52.0</w:t>
            </w:r>
          </w:p>
        </w:tc>
        <w:tc>
          <w:tcPr>
            <w:tcW w:w="477" w:type="pct"/>
            <w:shd w:val="clear" w:color="auto" w:fill="auto"/>
            <w:noWrap/>
            <w:vAlign w:val="bottom"/>
          </w:tcPr>
          <w:p w14:paraId="2EBFECB0" w14:textId="77777777" w:rsidR="00EE58A9" w:rsidRPr="00C22C26" w:rsidRDefault="00EE58A9" w:rsidP="00C22C26">
            <w:pPr>
              <w:jc w:val="center"/>
              <w:rPr>
                <w:sz w:val="16"/>
              </w:rPr>
            </w:pPr>
            <w:r w:rsidRPr="00C22C26">
              <w:rPr>
                <w:sz w:val="16"/>
              </w:rPr>
              <w:t>0.26</w:t>
            </w:r>
          </w:p>
        </w:tc>
        <w:tc>
          <w:tcPr>
            <w:tcW w:w="853" w:type="pct"/>
            <w:shd w:val="clear" w:color="auto" w:fill="auto"/>
            <w:noWrap/>
            <w:vAlign w:val="bottom"/>
          </w:tcPr>
          <w:p w14:paraId="13E7FAE0" w14:textId="77777777" w:rsidR="00EE58A9" w:rsidRPr="00C22C26" w:rsidRDefault="00EE58A9" w:rsidP="00C22C26">
            <w:pPr>
              <w:jc w:val="center"/>
              <w:rPr>
                <w:sz w:val="16"/>
              </w:rPr>
            </w:pPr>
          </w:p>
        </w:tc>
        <w:tc>
          <w:tcPr>
            <w:tcW w:w="939" w:type="pct"/>
            <w:shd w:val="clear" w:color="auto" w:fill="auto"/>
            <w:noWrap/>
            <w:vAlign w:val="bottom"/>
          </w:tcPr>
          <w:p w14:paraId="45901C2C" w14:textId="77777777" w:rsidR="00EE58A9" w:rsidRPr="00C22C26" w:rsidRDefault="00EE58A9" w:rsidP="00C22C26">
            <w:pPr>
              <w:jc w:val="center"/>
              <w:rPr>
                <w:i/>
                <w:sz w:val="16"/>
              </w:rPr>
            </w:pPr>
            <w:r w:rsidRPr="00C22C26">
              <w:rPr>
                <w:i/>
                <w:sz w:val="16"/>
              </w:rPr>
              <w:t>3.4</w:t>
            </w:r>
          </w:p>
        </w:tc>
        <w:tc>
          <w:tcPr>
            <w:tcW w:w="535" w:type="pct"/>
            <w:shd w:val="clear" w:color="auto" w:fill="auto"/>
            <w:vAlign w:val="bottom"/>
          </w:tcPr>
          <w:p w14:paraId="449591AF" w14:textId="77777777" w:rsidR="00EE58A9" w:rsidRPr="00C22C26" w:rsidRDefault="00EE58A9" w:rsidP="00C22C26">
            <w:pPr>
              <w:jc w:val="center"/>
              <w:rPr>
                <w:sz w:val="16"/>
              </w:rPr>
            </w:pPr>
            <w:r w:rsidRPr="00C22C26">
              <w:rPr>
                <w:sz w:val="16"/>
              </w:rPr>
              <w:t>9.8</w:t>
            </w:r>
          </w:p>
        </w:tc>
        <w:tc>
          <w:tcPr>
            <w:tcW w:w="696" w:type="pct"/>
            <w:shd w:val="clear" w:color="auto" w:fill="auto"/>
            <w:noWrap/>
            <w:vAlign w:val="bottom"/>
          </w:tcPr>
          <w:p w14:paraId="3902CE47" w14:textId="77777777" w:rsidR="00EE58A9" w:rsidRPr="00C22C26" w:rsidRDefault="00EE58A9" w:rsidP="00C22C26">
            <w:pPr>
              <w:jc w:val="center"/>
              <w:rPr>
                <w:sz w:val="16"/>
              </w:rPr>
            </w:pPr>
            <w:r w:rsidRPr="00C22C26">
              <w:rPr>
                <w:sz w:val="16"/>
              </w:rPr>
              <w:t>12.3</w:t>
            </w:r>
          </w:p>
        </w:tc>
        <w:tc>
          <w:tcPr>
            <w:tcW w:w="481" w:type="pct"/>
            <w:shd w:val="clear" w:color="auto" w:fill="auto"/>
            <w:noWrap/>
            <w:vAlign w:val="bottom"/>
          </w:tcPr>
          <w:p w14:paraId="3BB03C41" w14:textId="77777777" w:rsidR="00EE58A9" w:rsidRPr="00CC3F49" w:rsidRDefault="00EE58A9" w:rsidP="00C22C26">
            <w:pPr>
              <w:jc w:val="center"/>
              <w:rPr>
                <w:sz w:val="16"/>
                <w:szCs w:val="16"/>
              </w:rPr>
            </w:pPr>
          </w:p>
        </w:tc>
      </w:tr>
      <w:tr w:rsidR="00EE58A9" w:rsidRPr="002F4797" w14:paraId="3203914A" w14:textId="77777777" w:rsidTr="00C22C26">
        <w:trPr>
          <w:trHeight w:val="227"/>
        </w:trPr>
        <w:tc>
          <w:tcPr>
            <w:tcW w:w="380" w:type="pct"/>
            <w:shd w:val="clear" w:color="auto" w:fill="auto"/>
            <w:noWrap/>
            <w:hideMark/>
          </w:tcPr>
          <w:p w14:paraId="0B11C330" w14:textId="77777777" w:rsidR="00EE58A9" w:rsidRPr="00CC3F49" w:rsidRDefault="00EE58A9" w:rsidP="00C22C26">
            <w:pPr>
              <w:jc w:val="center"/>
              <w:rPr>
                <w:b/>
                <w:sz w:val="16"/>
                <w:szCs w:val="16"/>
              </w:rPr>
            </w:pPr>
            <w:r w:rsidRPr="00CC3F49">
              <w:rPr>
                <w:b/>
                <w:sz w:val="16"/>
                <w:szCs w:val="16"/>
              </w:rPr>
              <w:t>2003</w:t>
            </w:r>
          </w:p>
        </w:tc>
        <w:tc>
          <w:tcPr>
            <w:tcW w:w="639" w:type="pct"/>
            <w:shd w:val="clear" w:color="auto" w:fill="auto"/>
            <w:noWrap/>
            <w:vAlign w:val="bottom"/>
          </w:tcPr>
          <w:p w14:paraId="4379AE93" w14:textId="77777777" w:rsidR="00EE58A9" w:rsidRPr="00C22C26" w:rsidRDefault="00EE58A9" w:rsidP="00C22C26">
            <w:pPr>
              <w:jc w:val="center"/>
              <w:rPr>
                <w:sz w:val="16"/>
              </w:rPr>
            </w:pPr>
            <w:r w:rsidRPr="00C22C26">
              <w:rPr>
                <w:sz w:val="16"/>
              </w:rPr>
              <w:t>51.9</w:t>
            </w:r>
          </w:p>
        </w:tc>
        <w:tc>
          <w:tcPr>
            <w:tcW w:w="477" w:type="pct"/>
            <w:shd w:val="clear" w:color="auto" w:fill="auto"/>
            <w:noWrap/>
            <w:vAlign w:val="bottom"/>
          </w:tcPr>
          <w:p w14:paraId="2E2B28B3" w14:textId="77777777" w:rsidR="00EE58A9" w:rsidRPr="00C22C26" w:rsidRDefault="00EE58A9" w:rsidP="00C22C26">
            <w:pPr>
              <w:jc w:val="center"/>
              <w:rPr>
                <w:sz w:val="16"/>
              </w:rPr>
            </w:pPr>
            <w:r w:rsidRPr="00C22C26">
              <w:rPr>
                <w:sz w:val="16"/>
              </w:rPr>
              <w:t>0.17</w:t>
            </w:r>
          </w:p>
        </w:tc>
        <w:tc>
          <w:tcPr>
            <w:tcW w:w="853" w:type="pct"/>
            <w:shd w:val="clear" w:color="auto" w:fill="auto"/>
            <w:noWrap/>
            <w:vAlign w:val="bottom"/>
          </w:tcPr>
          <w:p w14:paraId="48C53910" w14:textId="77777777" w:rsidR="00EE58A9" w:rsidRPr="00C22C26" w:rsidRDefault="00EE58A9" w:rsidP="00C22C26">
            <w:pPr>
              <w:jc w:val="center"/>
              <w:rPr>
                <w:sz w:val="16"/>
              </w:rPr>
            </w:pPr>
          </w:p>
        </w:tc>
        <w:tc>
          <w:tcPr>
            <w:tcW w:w="939" w:type="pct"/>
            <w:shd w:val="clear" w:color="auto" w:fill="auto"/>
            <w:noWrap/>
            <w:vAlign w:val="bottom"/>
          </w:tcPr>
          <w:p w14:paraId="512AF314" w14:textId="77777777" w:rsidR="00EE58A9" w:rsidRPr="00C22C26" w:rsidRDefault="00EE58A9" w:rsidP="00C22C26">
            <w:pPr>
              <w:jc w:val="center"/>
              <w:rPr>
                <w:i/>
                <w:sz w:val="16"/>
              </w:rPr>
            </w:pPr>
            <w:r w:rsidRPr="00C22C26">
              <w:rPr>
                <w:i/>
                <w:sz w:val="16"/>
              </w:rPr>
              <w:t>3.3</w:t>
            </w:r>
          </w:p>
        </w:tc>
        <w:tc>
          <w:tcPr>
            <w:tcW w:w="535" w:type="pct"/>
            <w:shd w:val="clear" w:color="auto" w:fill="auto"/>
            <w:vAlign w:val="bottom"/>
          </w:tcPr>
          <w:p w14:paraId="77BC1F0D" w14:textId="77777777" w:rsidR="00EE58A9" w:rsidRPr="00C22C26" w:rsidRDefault="00EE58A9" w:rsidP="00C22C26">
            <w:pPr>
              <w:jc w:val="center"/>
              <w:rPr>
                <w:sz w:val="16"/>
              </w:rPr>
            </w:pPr>
            <w:r w:rsidRPr="00C22C26">
              <w:rPr>
                <w:sz w:val="16"/>
              </w:rPr>
              <w:t>9.4</w:t>
            </w:r>
          </w:p>
        </w:tc>
        <w:tc>
          <w:tcPr>
            <w:tcW w:w="696" w:type="pct"/>
            <w:shd w:val="clear" w:color="auto" w:fill="auto"/>
            <w:noWrap/>
            <w:vAlign w:val="bottom"/>
          </w:tcPr>
          <w:p w14:paraId="07003F4B" w14:textId="77777777" w:rsidR="00EE58A9" w:rsidRPr="00C22C26" w:rsidRDefault="00EE58A9" w:rsidP="00C22C26">
            <w:pPr>
              <w:jc w:val="center"/>
              <w:rPr>
                <w:sz w:val="16"/>
              </w:rPr>
            </w:pPr>
            <w:r w:rsidRPr="00C22C26">
              <w:rPr>
                <w:sz w:val="16"/>
              </w:rPr>
              <w:t>16.5</w:t>
            </w:r>
          </w:p>
        </w:tc>
        <w:tc>
          <w:tcPr>
            <w:tcW w:w="481" w:type="pct"/>
            <w:shd w:val="clear" w:color="auto" w:fill="auto"/>
            <w:noWrap/>
            <w:vAlign w:val="bottom"/>
          </w:tcPr>
          <w:p w14:paraId="2F88E69B" w14:textId="77777777" w:rsidR="00EE58A9" w:rsidRPr="00CC3F49" w:rsidRDefault="00EE58A9" w:rsidP="00C22C26">
            <w:pPr>
              <w:jc w:val="center"/>
              <w:rPr>
                <w:sz w:val="16"/>
                <w:szCs w:val="16"/>
              </w:rPr>
            </w:pPr>
          </w:p>
        </w:tc>
      </w:tr>
      <w:tr w:rsidR="00EE58A9" w:rsidRPr="002F4797" w14:paraId="4B6AAA77" w14:textId="77777777" w:rsidTr="00C22C26">
        <w:trPr>
          <w:trHeight w:val="227"/>
        </w:trPr>
        <w:tc>
          <w:tcPr>
            <w:tcW w:w="380" w:type="pct"/>
            <w:shd w:val="clear" w:color="auto" w:fill="auto"/>
            <w:noWrap/>
            <w:hideMark/>
          </w:tcPr>
          <w:p w14:paraId="4DE99A93" w14:textId="77777777" w:rsidR="00EE58A9" w:rsidRPr="00CC3F49" w:rsidRDefault="00EE58A9" w:rsidP="00C22C26">
            <w:pPr>
              <w:jc w:val="center"/>
              <w:rPr>
                <w:b/>
                <w:sz w:val="16"/>
                <w:szCs w:val="16"/>
              </w:rPr>
            </w:pPr>
            <w:r w:rsidRPr="00CC3F49">
              <w:rPr>
                <w:b/>
                <w:sz w:val="16"/>
                <w:szCs w:val="16"/>
              </w:rPr>
              <w:t>2004</w:t>
            </w:r>
          </w:p>
        </w:tc>
        <w:tc>
          <w:tcPr>
            <w:tcW w:w="639" w:type="pct"/>
            <w:shd w:val="clear" w:color="auto" w:fill="auto"/>
            <w:noWrap/>
            <w:vAlign w:val="bottom"/>
          </w:tcPr>
          <w:p w14:paraId="15DBD950" w14:textId="77777777" w:rsidR="00EE58A9" w:rsidRPr="00C22C26" w:rsidRDefault="00EE58A9" w:rsidP="00C22C26">
            <w:pPr>
              <w:jc w:val="center"/>
              <w:rPr>
                <w:sz w:val="16"/>
              </w:rPr>
            </w:pPr>
            <w:r w:rsidRPr="00C22C26">
              <w:rPr>
                <w:sz w:val="16"/>
              </w:rPr>
              <w:t>54.2</w:t>
            </w:r>
          </w:p>
        </w:tc>
        <w:tc>
          <w:tcPr>
            <w:tcW w:w="477" w:type="pct"/>
            <w:shd w:val="clear" w:color="auto" w:fill="auto"/>
            <w:noWrap/>
            <w:vAlign w:val="bottom"/>
          </w:tcPr>
          <w:p w14:paraId="2E2C98B9" w14:textId="77777777" w:rsidR="00EE58A9" w:rsidRPr="00C22C26" w:rsidRDefault="00EE58A9" w:rsidP="00C22C26">
            <w:pPr>
              <w:jc w:val="center"/>
              <w:rPr>
                <w:sz w:val="16"/>
              </w:rPr>
            </w:pPr>
            <w:r w:rsidRPr="00C22C26">
              <w:rPr>
                <w:sz w:val="16"/>
              </w:rPr>
              <w:t>0.17</w:t>
            </w:r>
          </w:p>
        </w:tc>
        <w:tc>
          <w:tcPr>
            <w:tcW w:w="853" w:type="pct"/>
            <w:shd w:val="clear" w:color="auto" w:fill="auto"/>
            <w:noWrap/>
            <w:vAlign w:val="bottom"/>
          </w:tcPr>
          <w:p w14:paraId="7FEBAFB2" w14:textId="77777777" w:rsidR="00EE58A9" w:rsidRPr="00C22C26" w:rsidRDefault="00EE58A9" w:rsidP="00C22C26">
            <w:pPr>
              <w:jc w:val="center"/>
              <w:rPr>
                <w:sz w:val="16"/>
              </w:rPr>
            </w:pPr>
          </w:p>
        </w:tc>
        <w:tc>
          <w:tcPr>
            <w:tcW w:w="939" w:type="pct"/>
            <w:shd w:val="clear" w:color="auto" w:fill="auto"/>
            <w:noWrap/>
            <w:vAlign w:val="bottom"/>
          </w:tcPr>
          <w:p w14:paraId="0FC02C3D" w14:textId="77777777" w:rsidR="00EE58A9" w:rsidRPr="00C22C26" w:rsidRDefault="00EE58A9" w:rsidP="00C22C26">
            <w:pPr>
              <w:jc w:val="center"/>
              <w:rPr>
                <w:i/>
                <w:sz w:val="16"/>
              </w:rPr>
            </w:pPr>
            <w:r w:rsidRPr="00C22C26">
              <w:rPr>
                <w:i/>
                <w:sz w:val="16"/>
              </w:rPr>
              <w:t>3.2</w:t>
            </w:r>
          </w:p>
        </w:tc>
        <w:tc>
          <w:tcPr>
            <w:tcW w:w="535" w:type="pct"/>
            <w:shd w:val="clear" w:color="auto" w:fill="auto"/>
            <w:vAlign w:val="bottom"/>
          </w:tcPr>
          <w:p w14:paraId="5A6DDB47" w14:textId="77777777" w:rsidR="00EE58A9" w:rsidRPr="00C22C26" w:rsidRDefault="00EE58A9" w:rsidP="00C22C26">
            <w:pPr>
              <w:jc w:val="center"/>
              <w:rPr>
                <w:sz w:val="16"/>
              </w:rPr>
            </w:pPr>
            <w:r w:rsidRPr="00C22C26">
              <w:rPr>
                <w:sz w:val="16"/>
              </w:rPr>
              <w:t>8.6</w:t>
            </w:r>
          </w:p>
        </w:tc>
        <w:tc>
          <w:tcPr>
            <w:tcW w:w="696" w:type="pct"/>
            <w:shd w:val="clear" w:color="auto" w:fill="auto"/>
            <w:noWrap/>
            <w:vAlign w:val="bottom"/>
          </w:tcPr>
          <w:p w14:paraId="438218B2" w14:textId="77777777" w:rsidR="00EE58A9" w:rsidRPr="00C22C26" w:rsidRDefault="00EE58A9" w:rsidP="00C22C26">
            <w:pPr>
              <w:jc w:val="center"/>
              <w:rPr>
                <w:sz w:val="16"/>
              </w:rPr>
            </w:pPr>
            <w:r w:rsidRPr="00C22C26">
              <w:rPr>
                <w:sz w:val="16"/>
              </w:rPr>
              <w:t>20.9</w:t>
            </w:r>
          </w:p>
        </w:tc>
        <w:tc>
          <w:tcPr>
            <w:tcW w:w="481" w:type="pct"/>
            <w:shd w:val="clear" w:color="auto" w:fill="auto"/>
            <w:noWrap/>
            <w:vAlign w:val="bottom"/>
          </w:tcPr>
          <w:p w14:paraId="70FA3FB3" w14:textId="77777777" w:rsidR="00EE58A9" w:rsidRPr="00CC3F49" w:rsidRDefault="00EE58A9" w:rsidP="00C22C26">
            <w:pPr>
              <w:jc w:val="center"/>
              <w:rPr>
                <w:sz w:val="16"/>
                <w:szCs w:val="16"/>
              </w:rPr>
            </w:pPr>
          </w:p>
        </w:tc>
      </w:tr>
      <w:tr w:rsidR="00EE58A9" w:rsidRPr="002F4797" w14:paraId="3422D385" w14:textId="77777777" w:rsidTr="00C22C26">
        <w:trPr>
          <w:trHeight w:val="227"/>
        </w:trPr>
        <w:tc>
          <w:tcPr>
            <w:tcW w:w="380" w:type="pct"/>
            <w:shd w:val="clear" w:color="auto" w:fill="auto"/>
            <w:noWrap/>
            <w:hideMark/>
          </w:tcPr>
          <w:p w14:paraId="561A7B8F" w14:textId="77777777" w:rsidR="00EE58A9" w:rsidRPr="00CC3F49" w:rsidRDefault="00EE58A9" w:rsidP="00C22C26">
            <w:pPr>
              <w:jc w:val="center"/>
              <w:rPr>
                <w:b/>
                <w:sz w:val="16"/>
                <w:szCs w:val="16"/>
              </w:rPr>
            </w:pPr>
            <w:r w:rsidRPr="00CC3F49">
              <w:rPr>
                <w:b/>
                <w:sz w:val="16"/>
                <w:szCs w:val="16"/>
              </w:rPr>
              <w:t>2005</w:t>
            </w:r>
          </w:p>
        </w:tc>
        <w:tc>
          <w:tcPr>
            <w:tcW w:w="639" w:type="pct"/>
            <w:shd w:val="clear" w:color="auto" w:fill="auto"/>
            <w:noWrap/>
            <w:vAlign w:val="bottom"/>
          </w:tcPr>
          <w:p w14:paraId="5102FF1B" w14:textId="77777777" w:rsidR="00EE58A9" w:rsidRPr="00C22C26" w:rsidRDefault="00EE58A9" w:rsidP="00C22C26">
            <w:pPr>
              <w:jc w:val="center"/>
              <w:rPr>
                <w:sz w:val="16"/>
              </w:rPr>
            </w:pPr>
            <w:r w:rsidRPr="00C22C26">
              <w:rPr>
                <w:sz w:val="16"/>
              </w:rPr>
              <w:t>53.9</w:t>
            </w:r>
          </w:p>
        </w:tc>
        <w:tc>
          <w:tcPr>
            <w:tcW w:w="477" w:type="pct"/>
            <w:shd w:val="clear" w:color="auto" w:fill="auto"/>
            <w:noWrap/>
            <w:vAlign w:val="bottom"/>
          </w:tcPr>
          <w:p w14:paraId="7B0186B2" w14:textId="77777777" w:rsidR="00EE58A9" w:rsidRPr="00C22C26" w:rsidRDefault="00EE58A9" w:rsidP="00C22C26">
            <w:pPr>
              <w:jc w:val="center"/>
              <w:rPr>
                <w:sz w:val="16"/>
              </w:rPr>
            </w:pPr>
            <w:r w:rsidRPr="00C22C26">
              <w:rPr>
                <w:sz w:val="16"/>
              </w:rPr>
              <w:t>0.17</w:t>
            </w:r>
          </w:p>
        </w:tc>
        <w:tc>
          <w:tcPr>
            <w:tcW w:w="853" w:type="pct"/>
            <w:shd w:val="clear" w:color="auto" w:fill="auto"/>
            <w:noWrap/>
            <w:vAlign w:val="bottom"/>
          </w:tcPr>
          <w:p w14:paraId="04995D58" w14:textId="77777777" w:rsidR="00EE58A9" w:rsidRPr="00C22C26" w:rsidRDefault="00EE58A9" w:rsidP="00C22C26">
            <w:pPr>
              <w:jc w:val="center"/>
              <w:rPr>
                <w:sz w:val="16"/>
              </w:rPr>
            </w:pPr>
          </w:p>
        </w:tc>
        <w:tc>
          <w:tcPr>
            <w:tcW w:w="939" w:type="pct"/>
            <w:shd w:val="clear" w:color="auto" w:fill="auto"/>
            <w:noWrap/>
            <w:vAlign w:val="bottom"/>
          </w:tcPr>
          <w:p w14:paraId="0A9EA40E" w14:textId="77777777" w:rsidR="00EE58A9" w:rsidRPr="00C22C26" w:rsidRDefault="00EE58A9" w:rsidP="00C22C26">
            <w:pPr>
              <w:jc w:val="center"/>
              <w:rPr>
                <w:i/>
                <w:sz w:val="16"/>
              </w:rPr>
            </w:pPr>
            <w:r w:rsidRPr="00C22C26">
              <w:rPr>
                <w:i/>
                <w:sz w:val="16"/>
              </w:rPr>
              <w:t>3.3</w:t>
            </w:r>
          </w:p>
        </w:tc>
        <w:tc>
          <w:tcPr>
            <w:tcW w:w="535" w:type="pct"/>
            <w:shd w:val="clear" w:color="auto" w:fill="auto"/>
            <w:vAlign w:val="bottom"/>
          </w:tcPr>
          <w:p w14:paraId="03087193" w14:textId="77777777" w:rsidR="00EE58A9" w:rsidRPr="00C22C26" w:rsidRDefault="00EE58A9" w:rsidP="00C22C26">
            <w:pPr>
              <w:jc w:val="center"/>
              <w:rPr>
                <w:sz w:val="16"/>
              </w:rPr>
            </w:pPr>
            <w:r w:rsidRPr="00C22C26">
              <w:rPr>
                <w:sz w:val="16"/>
              </w:rPr>
              <w:t>8.6</w:t>
            </w:r>
          </w:p>
        </w:tc>
        <w:tc>
          <w:tcPr>
            <w:tcW w:w="696" w:type="pct"/>
            <w:shd w:val="clear" w:color="auto" w:fill="auto"/>
            <w:noWrap/>
            <w:vAlign w:val="bottom"/>
          </w:tcPr>
          <w:p w14:paraId="75F9C8A0" w14:textId="77777777" w:rsidR="00EE58A9" w:rsidRPr="00C22C26" w:rsidRDefault="00EE58A9" w:rsidP="00C22C26">
            <w:pPr>
              <w:jc w:val="center"/>
              <w:rPr>
                <w:sz w:val="16"/>
              </w:rPr>
            </w:pPr>
            <w:r w:rsidRPr="00C22C26">
              <w:rPr>
                <w:sz w:val="16"/>
              </w:rPr>
              <w:t>21.0</w:t>
            </w:r>
          </w:p>
        </w:tc>
        <w:tc>
          <w:tcPr>
            <w:tcW w:w="481" w:type="pct"/>
            <w:shd w:val="clear" w:color="auto" w:fill="auto"/>
            <w:noWrap/>
            <w:vAlign w:val="bottom"/>
          </w:tcPr>
          <w:p w14:paraId="0A92931F" w14:textId="77777777" w:rsidR="00EE58A9" w:rsidRPr="00CC3F49" w:rsidRDefault="00EE58A9" w:rsidP="00C22C26">
            <w:pPr>
              <w:jc w:val="center"/>
              <w:rPr>
                <w:sz w:val="16"/>
                <w:szCs w:val="16"/>
              </w:rPr>
            </w:pPr>
          </w:p>
        </w:tc>
      </w:tr>
      <w:tr w:rsidR="00EE58A9" w:rsidRPr="002F4797" w14:paraId="5F780978" w14:textId="77777777" w:rsidTr="00C22C26">
        <w:trPr>
          <w:trHeight w:val="227"/>
        </w:trPr>
        <w:tc>
          <w:tcPr>
            <w:tcW w:w="380" w:type="pct"/>
            <w:shd w:val="clear" w:color="auto" w:fill="auto"/>
            <w:noWrap/>
            <w:hideMark/>
          </w:tcPr>
          <w:p w14:paraId="37196531" w14:textId="77777777" w:rsidR="00EE58A9" w:rsidRPr="00CC3F49" w:rsidRDefault="00EE58A9" w:rsidP="00C22C26">
            <w:pPr>
              <w:jc w:val="center"/>
              <w:rPr>
                <w:b/>
                <w:sz w:val="16"/>
                <w:szCs w:val="16"/>
              </w:rPr>
            </w:pPr>
            <w:r w:rsidRPr="00CC3F49">
              <w:rPr>
                <w:b/>
                <w:sz w:val="16"/>
                <w:szCs w:val="16"/>
              </w:rPr>
              <w:t>2006</w:t>
            </w:r>
          </w:p>
        </w:tc>
        <w:tc>
          <w:tcPr>
            <w:tcW w:w="639" w:type="pct"/>
            <w:shd w:val="clear" w:color="auto" w:fill="auto"/>
            <w:noWrap/>
            <w:vAlign w:val="bottom"/>
          </w:tcPr>
          <w:p w14:paraId="644BD467" w14:textId="77777777" w:rsidR="00EE58A9" w:rsidRPr="00C22C26" w:rsidRDefault="00EE58A9" w:rsidP="00C22C26">
            <w:pPr>
              <w:jc w:val="center"/>
              <w:rPr>
                <w:sz w:val="16"/>
              </w:rPr>
            </w:pPr>
            <w:r w:rsidRPr="00C22C26">
              <w:rPr>
                <w:sz w:val="16"/>
              </w:rPr>
              <w:t>54.5</w:t>
            </w:r>
          </w:p>
        </w:tc>
        <w:tc>
          <w:tcPr>
            <w:tcW w:w="477" w:type="pct"/>
            <w:shd w:val="clear" w:color="auto" w:fill="auto"/>
            <w:noWrap/>
            <w:vAlign w:val="bottom"/>
          </w:tcPr>
          <w:p w14:paraId="4C2057D2" w14:textId="77777777" w:rsidR="00EE58A9" w:rsidRPr="00C22C26" w:rsidRDefault="00EE58A9" w:rsidP="00C22C26">
            <w:pPr>
              <w:jc w:val="center"/>
              <w:rPr>
                <w:sz w:val="16"/>
              </w:rPr>
            </w:pPr>
            <w:r w:rsidRPr="00C22C26">
              <w:rPr>
                <w:sz w:val="16"/>
              </w:rPr>
              <w:t>0.19</w:t>
            </w:r>
          </w:p>
        </w:tc>
        <w:tc>
          <w:tcPr>
            <w:tcW w:w="853" w:type="pct"/>
            <w:shd w:val="clear" w:color="auto" w:fill="auto"/>
            <w:noWrap/>
            <w:vAlign w:val="bottom"/>
          </w:tcPr>
          <w:p w14:paraId="0FD5FC6B" w14:textId="77777777" w:rsidR="00EE58A9" w:rsidRPr="00C22C26" w:rsidRDefault="00EE58A9" w:rsidP="00C22C26">
            <w:pPr>
              <w:jc w:val="center"/>
              <w:rPr>
                <w:sz w:val="16"/>
              </w:rPr>
            </w:pPr>
          </w:p>
        </w:tc>
        <w:tc>
          <w:tcPr>
            <w:tcW w:w="939" w:type="pct"/>
            <w:shd w:val="clear" w:color="auto" w:fill="auto"/>
            <w:noWrap/>
            <w:vAlign w:val="bottom"/>
          </w:tcPr>
          <w:p w14:paraId="1F414248" w14:textId="77777777" w:rsidR="00EE58A9" w:rsidRPr="00C22C26" w:rsidRDefault="00EE58A9" w:rsidP="00C22C26">
            <w:pPr>
              <w:jc w:val="center"/>
              <w:rPr>
                <w:i/>
                <w:sz w:val="16"/>
              </w:rPr>
            </w:pPr>
            <w:r w:rsidRPr="00C22C26">
              <w:rPr>
                <w:i/>
                <w:sz w:val="16"/>
              </w:rPr>
              <w:t>3.4</w:t>
            </w:r>
          </w:p>
        </w:tc>
        <w:tc>
          <w:tcPr>
            <w:tcW w:w="535" w:type="pct"/>
            <w:shd w:val="clear" w:color="auto" w:fill="auto"/>
            <w:vAlign w:val="bottom"/>
          </w:tcPr>
          <w:p w14:paraId="25987A7B" w14:textId="77777777" w:rsidR="00EE58A9" w:rsidRPr="00C22C26" w:rsidRDefault="00EE58A9" w:rsidP="00C22C26">
            <w:pPr>
              <w:jc w:val="center"/>
              <w:rPr>
                <w:sz w:val="16"/>
              </w:rPr>
            </w:pPr>
            <w:r w:rsidRPr="00C22C26">
              <w:rPr>
                <w:sz w:val="16"/>
              </w:rPr>
              <w:t>9.7</w:t>
            </w:r>
          </w:p>
        </w:tc>
        <w:tc>
          <w:tcPr>
            <w:tcW w:w="696" w:type="pct"/>
            <w:shd w:val="clear" w:color="auto" w:fill="auto"/>
            <w:noWrap/>
            <w:vAlign w:val="bottom"/>
          </w:tcPr>
          <w:p w14:paraId="659F8E9B" w14:textId="77777777" w:rsidR="00EE58A9" w:rsidRPr="00C22C26" w:rsidRDefault="00EE58A9" w:rsidP="00C22C26">
            <w:pPr>
              <w:jc w:val="center"/>
              <w:rPr>
                <w:sz w:val="16"/>
              </w:rPr>
            </w:pPr>
            <w:r w:rsidRPr="00C22C26">
              <w:rPr>
                <w:sz w:val="16"/>
              </w:rPr>
              <w:t>24.8</w:t>
            </w:r>
          </w:p>
        </w:tc>
        <w:tc>
          <w:tcPr>
            <w:tcW w:w="481" w:type="pct"/>
            <w:shd w:val="clear" w:color="auto" w:fill="auto"/>
            <w:noWrap/>
            <w:vAlign w:val="bottom"/>
          </w:tcPr>
          <w:p w14:paraId="352ECCEA" w14:textId="77777777" w:rsidR="00EE58A9" w:rsidRPr="00CC3F49" w:rsidRDefault="00EE58A9" w:rsidP="00C22C26">
            <w:pPr>
              <w:jc w:val="center"/>
              <w:rPr>
                <w:sz w:val="16"/>
                <w:szCs w:val="16"/>
              </w:rPr>
            </w:pPr>
          </w:p>
        </w:tc>
      </w:tr>
      <w:tr w:rsidR="00EE58A9" w:rsidRPr="002F4797" w14:paraId="35EA7946" w14:textId="77777777" w:rsidTr="00C22C26">
        <w:trPr>
          <w:trHeight w:val="227"/>
        </w:trPr>
        <w:tc>
          <w:tcPr>
            <w:tcW w:w="380" w:type="pct"/>
            <w:shd w:val="clear" w:color="auto" w:fill="auto"/>
            <w:noWrap/>
            <w:hideMark/>
          </w:tcPr>
          <w:p w14:paraId="1B101FFB" w14:textId="77777777" w:rsidR="00EE58A9" w:rsidRPr="00CC3F49" w:rsidRDefault="00EE58A9" w:rsidP="00C22C26">
            <w:pPr>
              <w:jc w:val="center"/>
              <w:rPr>
                <w:b/>
                <w:sz w:val="16"/>
                <w:szCs w:val="16"/>
              </w:rPr>
            </w:pPr>
            <w:r w:rsidRPr="00CC3F49">
              <w:rPr>
                <w:b/>
                <w:sz w:val="16"/>
                <w:szCs w:val="16"/>
              </w:rPr>
              <w:t>2007</w:t>
            </w:r>
          </w:p>
        </w:tc>
        <w:tc>
          <w:tcPr>
            <w:tcW w:w="639" w:type="pct"/>
            <w:shd w:val="clear" w:color="auto" w:fill="auto"/>
            <w:noWrap/>
            <w:vAlign w:val="bottom"/>
          </w:tcPr>
          <w:p w14:paraId="54A79C6D" w14:textId="77777777" w:rsidR="00EE58A9" w:rsidRPr="00C22C26" w:rsidRDefault="00EE58A9" w:rsidP="00C22C26">
            <w:pPr>
              <w:jc w:val="center"/>
              <w:rPr>
                <w:sz w:val="16"/>
              </w:rPr>
            </w:pPr>
            <w:r w:rsidRPr="00C22C26">
              <w:rPr>
                <w:sz w:val="16"/>
              </w:rPr>
              <w:t>57.0</w:t>
            </w:r>
          </w:p>
        </w:tc>
        <w:tc>
          <w:tcPr>
            <w:tcW w:w="477" w:type="pct"/>
            <w:shd w:val="clear" w:color="auto" w:fill="auto"/>
            <w:noWrap/>
            <w:vAlign w:val="bottom"/>
          </w:tcPr>
          <w:p w14:paraId="3D28DCF0" w14:textId="77777777" w:rsidR="00EE58A9" w:rsidRPr="00C22C26" w:rsidRDefault="00EE58A9" w:rsidP="00C22C26">
            <w:pPr>
              <w:jc w:val="center"/>
              <w:rPr>
                <w:sz w:val="16"/>
              </w:rPr>
            </w:pPr>
            <w:r w:rsidRPr="00C22C26">
              <w:rPr>
                <w:sz w:val="16"/>
              </w:rPr>
              <w:t>0.24</w:t>
            </w:r>
          </w:p>
        </w:tc>
        <w:tc>
          <w:tcPr>
            <w:tcW w:w="853" w:type="pct"/>
            <w:shd w:val="clear" w:color="auto" w:fill="auto"/>
            <w:noWrap/>
            <w:vAlign w:val="bottom"/>
          </w:tcPr>
          <w:p w14:paraId="63B0A6C5" w14:textId="77777777" w:rsidR="00EE58A9" w:rsidRPr="00C22C26" w:rsidRDefault="00EE58A9" w:rsidP="00C22C26">
            <w:pPr>
              <w:jc w:val="center"/>
              <w:rPr>
                <w:sz w:val="16"/>
              </w:rPr>
            </w:pPr>
          </w:p>
        </w:tc>
        <w:tc>
          <w:tcPr>
            <w:tcW w:w="939" w:type="pct"/>
            <w:shd w:val="clear" w:color="auto" w:fill="auto"/>
            <w:noWrap/>
            <w:vAlign w:val="bottom"/>
          </w:tcPr>
          <w:p w14:paraId="0AFACDA1" w14:textId="77777777" w:rsidR="00EE58A9" w:rsidRPr="00C22C26" w:rsidRDefault="00EE58A9" w:rsidP="00C22C26">
            <w:pPr>
              <w:jc w:val="center"/>
              <w:rPr>
                <w:i/>
                <w:sz w:val="16"/>
              </w:rPr>
            </w:pPr>
            <w:r w:rsidRPr="00C22C26">
              <w:rPr>
                <w:i/>
                <w:sz w:val="16"/>
              </w:rPr>
              <w:t>3.4</w:t>
            </w:r>
          </w:p>
        </w:tc>
        <w:tc>
          <w:tcPr>
            <w:tcW w:w="535" w:type="pct"/>
            <w:shd w:val="clear" w:color="auto" w:fill="auto"/>
            <w:vAlign w:val="bottom"/>
          </w:tcPr>
          <w:p w14:paraId="52AF48D8" w14:textId="77777777" w:rsidR="00EE58A9" w:rsidRPr="00C22C26" w:rsidRDefault="00EE58A9" w:rsidP="00C22C26">
            <w:pPr>
              <w:jc w:val="center"/>
              <w:rPr>
                <w:sz w:val="16"/>
              </w:rPr>
            </w:pPr>
            <w:r w:rsidRPr="00C22C26">
              <w:rPr>
                <w:sz w:val="16"/>
              </w:rPr>
              <w:t>9.2</w:t>
            </w:r>
          </w:p>
        </w:tc>
        <w:tc>
          <w:tcPr>
            <w:tcW w:w="696" w:type="pct"/>
            <w:shd w:val="clear" w:color="auto" w:fill="auto"/>
            <w:noWrap/>
            <w:vAlign w:val="bottom"/>
          </w:tcPr>
          <w:p w14:paraId="298A5884" w14:textId="77777777" w:rsidR="00EE58A9" w:rsidRPr="00C22C26" w:rsidRDefault="00EE58A9" w:rsidP="00C22C26">
            <w:pPr>
              <w:jc w:val="center"/>
              <w:rPr>
                <w:sz w:val="16"/>
              </w:rPr>
            </w:pPr>
            <w:r w:rsidRPr="00C22C26">
              <w:rPr>
                <w:sz w:val="16"/>
              </w:rPr>
              <w:t>26.3</w:t>
            </w:r>
          </w:p>
        </w:tc>
        <w:tc>
          <w:tcPr>
            <w:tcW w:w="481" w:type="pct"/>
            <w:shd w:val="clear" w:color="auto" w:fill="auto"/>
            <w:noWrap/>
            <w:vAlign w:val="bottom"/>
          </w:tcPr>
          <w:p w14:paraId="3B7295D2" w14:textId="77777777" w:rsidR="00EE58A9" w:rsidRPr="00CC3F49" w:rsidRDefault="00EE58A9" w:rsidP="00C22C26">
            <w:pPr>
              <w:jc w:val="center"/>
              <w:rPr>
                <w:sz w:val="16"/>
                <w:szCs w:val="16"/>
              </w:rPr>
            </w:pPr>
          </w:p>
        </w:tc>
      </w:tr>
      <w:tr w:rsidR="00EE58A9" w:rsidRPr="002F4797" w14:paraId="519E42CC" w14:textId="77777777" w:rsidTr="00C22C26">
        <w:trPr>
          <w:trHeight w:val="227"/>
        </w:trPr>
        <w:tc>
          <w:tcPr>
            <w:tcW w:w="380" w:type="pct"/>
            <w:shd w:val="clear" w:color="auto" w:fill="auto"/>
            <w:noWrap/>
            <w:hideMark/>
          </w:tcPr>
          <w:p w14:paraId="7F3B400D" w14:textId="77777777" w:rsidR="00EE58A9" w:rsidRPr="00CC3F49" w:rsidRDefault="00EE58A9" w:rsidP="00C22C26">
            <w:pPr>
              <w:jc w:val="center"/>
              <w:rPr>
                <w:b/>
                <w:sz w:val="16"/>
                <w:szCs w:val="16"/>
              </w:rPr>
            </w:pPr>
            <w:r w:rsidRPr="00CC3F49">
              <w:rPr>
                <w:b/>
                <w:sz w:val="16"/>
                <w:szCs w:val="16"/>
              </w:rPr>
              <w:t>2008</w:t>
            </w:r>
          </w:p>
        </w:tc>
        <w:tc>
          <w:tcPr>
            <w:tcW w:w="639" w:type="pct"/>
            <w:shd w:val="clear" w:color="auto" w:fill="auto"/>
            <w:noWrap/>
            <w:vAlign w:val="bottom"/>
          </w:tcPr>
          <w:p w14:paraId="1F1539D2" w14:textId="77777777" w:rsidR="00EE58A9" w:rsidRPr="00C22C26" w:rsidRDefault="00EE58A9" w:rsidP="00C22C26">
            <w:pPr>
              <w:jc w:val="center"/>
              <w:rPr>
                <w:sz w:val="16"/>
              </w:rPr>
            </w:pPr>
            <w:r w:rsidRPr="00C22C26">
              <w:rPr>
                <w:sz w:val="16"/>
              </w:rPr>
              <w:t>59.4</w:t>
            </w:r>
          </w:p>
        </w:tc>
        <w:tc>
          <w:tcPr>
            <w:tcW w:w="477" w:type="pct"/>
            <w:shd w:val="clear" w:color="auto" w:fill="auto"/>
            <w:noWrap/>
            <w:vAlign w:val="bottom"/>
          </w:tcPr>
          <w:p w14:paraId="0C57F3F3" w14:textId="77777777" w:rsidR="00EE58A9" w:rsidRPr="00C22C26" w:rsidRDefault="00EE58A9" w:rsidP="00C22C26">
            <w:pPr>
              <w:jc w:val="center"/>
              <w:rPr>
                <w:sz w:val="16"/>
              </w:rPr>
            </w:pPr>
            <w:r w:rsidRPr="00C22C26">
              <w:rPr>
                <w:sz w:val="16"/>
              </w:rPr>
              <w:t>0.24</w:t>
            </w:r>
          </w:p>
        </w:tc>
        <w:tc>
          <w:tcPr>
            <w:tcW w:w="853" w:type="pct"/>
            <w:shd w:val="clear" w:color="auto" w:fill="auto"/>
            <w:noWrap/>
            <w:vAlign w:val="bottom"/>
          </w:tcPr>
          <w:p w14:paraId="25366FC5" w14:textId="77777777" w:rsidR="00EE58A9" w:rsidRPr="00C22C26" w:rsidRDefault="00EE58A9" w:rsidP="00C22C26">
            <w:pPr>
              <w:jc w:val="center"/>
              <w:rPr>
                <w:sz w:val="16"/>
              </w:rPr>
            </w:pPr>
          </w:p>
        </w:tc>
        <w:tc>
          <w:tcPr>
            <w:tcW w:w="939" w:type="pct"/>
            <w:shd w:val="clear" w:color="auto" w:fill="auto"/>
            <w:noWrap/>
            <w:vAlign w:val="bottom"/>
          </w:tcPr>
          <w:p w14:paraId="346A9EC6" w14:textId="77777777" w:rsidR="00EE58A9" w:rsidRPr="00C22C26" w:rsidRDefault="00EE58A9" w:rsidP="00C22C26">
            <w:pPr>
              <w:jc w:val="center"/>
              <w:rPr>
                <w:i/>
                <w:sz w:val="16"/>
              </w:rPr>
            </w:pPr>
            <w:r w:rsidRPr="00C22C26">
              <w:rPr>
                <w:i/>
                <w:sz w:val="16"/>
              </w:rPr>
              <w:t>3.6</w:t>
            </w:r>
          </w:p>
        </w:tc>
        <w:tc>
          <w:tcPr>
            <w:tcW w:w="535" w:type="pct"/>
            <w:shd w:val="clear" w:color="auto" w:fill="auto"/>
            <w:vAlign w:val="bottom"/>
          </w:tcPr>
          <w:p w14:paraId="7959F355" w14:textId="77777777" w:rsidR="00EE58A9" w:rsidRPr="00C22C26" w:rsidRDefault="00EE58A9" w:rsidP="00C22C26">
            <w:pPr>
              <w:jc w:val="center"/>
              <w:rPr>
                <w:sz w:val="16"/>
              </w:rPr>
            </w:pPr>
            <w:r w:rsidRPr="00C22C26">
              <w:rPr>
                <w:sz w:val="16"/>
              </w:rPr>
              <w:t>8.7</w:t>
            </w:r>
          </w:p>
        </w:tc>
        <w:tc>
          <w:tcPr>
            <w:tcW w:w="696" w:type="pct"/>
            <w:shd w:val="clear" w:color="auto" w:fill="auto"/>
            <w:noWrap/>
            <w:vAlign w:val="bottom"/>
          </w:tcPr>
          <w:p w14:paraId="0AD9092E" w14:textId="77777777" w:rsidR="00EE58A9" w:rsidRPr="00C22C26" w:rsidRDefault="00EE58A9" w:rsidP="00C22C26">
            <w:pPr>
              <w:jc w:val="center"/>
              <w:rPr>
                <w:sz w:val="16"/>
              </w:rPr>
            </w:pPr>
            <w:r w:rsidRPr="00C22C26">
              <w:rPr>
                <w:sz w:val="16"/>
              </w:rPr>
              <w:t>31.3</w:t>
            </w:r>
          </w:p>
        </w:tc>
        <w:tc>
          <w:tcPr>
            <w:tcW w:w="481" w:type="pct"/>
            <w:shd w:val="clear" w:color="auto" w:fill="auto"/>
            <w:noWrap/>
            <w:vAlign w:val="bottom"/>
          </w:tcPr>
          <w:p w14:paraId="4341E295" w14:textId="77777777" w:rsidR="00EE58A9" w:rsidRPr="00CC3F49" w:rsidRDefault="00EE58A9" w:rsidP="00C22C26">
            <w:pPr>
              <w:jc w:val="center"/>
              <w:rPr>
                <w:sz w:val="16"/>
                <w:szCs w:val="16"/>
              </w:rPr>
            </w:pPr>
          </w:p>
        </w:tc>
      </w:tr>
      <w:tr w:rsidR="00EE58A9" w:rsidRPr="002F4797" w14:paraId="228C9BF8" w14:textId="77777777" w:rsidTr="00C22C26">
        <w:trPr>
          <w:trHeight w:val="227"/>
        </w:trPr>
        <w:tc>
          <w:tcPr>
            <w:tcW w:w="380" w:type="pct"/>
            <w:shd w:val="clear" w:color="auto" w:fill="auto"/>
            <w:noWrap/>
            <w:hideMark/>
          </w:tcPr>
          <w:p w14:paraId="3F756FB0" w14:textId="77777777" w:rsidR="00EE58A9" w:rsidRPr="00CC3F49" w:rsidRDefault="00EE58A9" w:rsidP="00C22C26">
            <w:pPr>
              <w:jc w:val="center"/>
              <w:rPr>
                <w:b/>
                <w:sz w:val="16"/>
                <w:szCs w:val="16"/>
              </w:rPr>
            </w:pPr>
            <w:r w:rsidRPr="00CC3F49">
              <w:rPr>
                <w:b/>
                <w:sz w:val="16"/>
                <w:szCs w:val="16"/>
              </w:rPr>
              <w:t>2009</w:t>
            </w:r>
          </w:p>
        </w:tc>
        <w:tc>
          <w:tcPr>
            <w:tcW w:w="639" w:type="pct"/>
            <w:shd w:val="clear" w:color="auto" w:fill="auto"/>
            <w:noWrap/>
            <w:vAlign w:val="bottom"/>
          </w:tcPr>
          <w:p w14:paraId="174A9C24" w14:textId="77777777" w:rsidR="00EE58A9" w:rsidRPr="00C22C26" w:rsidRDefault="00EE58A9" w:rsidP="00C22C26">
            <w:pPr>
              <w:jc w:val="center"/>
              <w:rPr>
                <w:sz w:val="16"/>
              </w:rPr>
            </w:pPr>
            <w:r w:rsidRPr="00C22C26">
              <w:rPr>
                <w:sz w:val="16"/>
              </w:rPr>
              <w:t>60.5</w:t>
            </w:r>
          </w:p>
        </w:tc>
        <w:tc>
          <w:tcPr>
            <w:tcW w:w="477" w:type="pct"/>
            <w:shd w:val="clear" w:color="auto" w:fill="auto"/>
            <w:noWrap/>
            <w:vAlign w:val="bottom"/>
          </w:tcPr>
          <w:p w14:paraId="2454C574" w14:textId="77777777" w:rsidR="00EE58A9" w:rsidRPr="00C22C26" w:rsidRDefault="00EE58A9" w:rsidP="00C22C26">
            <w:pPr>
              <w:jc w:val="center"/>
              <w:rPr>
                <w:sz w:val="16"/>
              </w:rPr>
            </w:pPr>
            <w:r w:rsidRPr="00C22C26">
              <w:rPr>
                <w:sz w:val="16"/>
              </w:rPr>
              <w:t>0.22</w:t>
            </w:r>
          </w:p>
        </w:tc>
        <w:tc>
          <w:tcPr>
            <w:tcW w:w="853" w:type="pct"/>
            <w:shd w:val="clear" w:color="auto" w:fill="auto"/>
            <w:noWrap/>
            <w:vAlign w:val="bottom"/>
          </w:tcPr>
          <w:p w14:paraId="6327CBB4" w14:textId="77777777" w:rsidR="00EE58A9" w:rsidRPr="00C22C26" w:rsidRDefault="00EE58A9" w:rsidP="00C22C26">
            <w:pPr>
              <w:jc w:val="center"/>
              <w:rPr>
                <w:sz w:val="16"/>
              </w:rPr>
            </w:pPr>
          </w:p>
        </w:tc>
        <w:tc>
          <w:tcPr>
            <w:tcW w:w="939" w:type="pct"/>
            <w:shd w:val="clear" w:color="auto" w:fill="auto"/>
            <w:noWrap/>
            <w:vAlign w:val="bottom"/>
          </w:tcPr>
          <w:p w14:paraId="08BEAD0F" w14:textId="77777777" w:rsidR="00EE58A9" w:rsidRPr="00C22C26" w:rsidRDefault="00EE58A9" w:rsidP="00C22C26">
            <w:pPr>
              <w:jc w:val="center"/>
              <w:rPr>
                <w:i/>
                <w:sz w:val="16"/>
              </w:rPr>
            </w:pPr>
            <w:r w:rsidRPr="00C22C26">
              <w:rPr>
                <w:i/>
                <w:sz w:val="16"/>
              </w:rPr>
              <w:t>3.3</w:t>
            </w:r>
          </w:p>
        </w:tc>
        <w:tc>
          <w:tcPr>
            <w:tcW w:w="535" w:type="pct"/>
            <w:shd w:val="clear" w:color="auto" w:fill="auto"/>
            <w:vAlign w:val="bottom"/>
          </w:tcPr>
          <w:p w14:paraId="1601C4CF" w14:textId="77777777" w:rsidR="00EE58A9" w:rsidRPr="00C22C26" w:rsidRDefault="00EE58A9" w:rsidP="00C22C26">
            <w:pPr>
              <w:jc w:val="center"/>
              <w:rPr>
                <w:sz w:val="16"/>
              </w:rPr>
            </w:pPr>
            <w:r w:rsidRPr="00C22C26">
              <w:rPr>
                <w:sz w:val="16"/>
              </w:rPr>
              <w:t>8.2</w:t>
            </w:r>
          </w:p>
        </w:tc>
        <w:tc>
          <w:tcPr>
            <w:tcW w:w="696" w:type="pct"/>
            <w:shd w:val="clear" w:color="auto" w:fill="auto"/>
            <w:noWrap/>
            <w:vAlign w:val="bottom"/>
          </w:tcPr>
          <w:p w14:paraId="5CE8010E" w14:textId="77777777" w:rsidR="00EE58A9" w:rsidRPr="00C22C26" w:rsidRDefault="00EE58A9" w:rsidP="00C22C26">
            <w:pPr>
              <w:jc w:val="center"/>
              <w:rPr>
                <w:sz w:val="16"/>
              </w:rPr>
            </w:pPr>
            <w:r w:rsidRPr="00C22C26">
              <w:rPr>
                <w:sz w:val="16"/>
              </w:rPr>
              <w:t>29.3</w:t>
            </w:r>
          </w:p>
        </w:tc>
        <w:tc>
          <w:tcPr>
            <w:tcW w:w="481" w:type="pct"/>
            <w:shd w:val="clear" w:color="auto" w:fill="auto"/>
            <w:noWrap/>
            <w:vAlign w:val="bottom"/>
          </w:tcPr>
          <w:p w14:paraId="4B7D5758" w14:textId="77777777" w:rsidR="00EE58A9" w:rsidRPr="00CC3F49" w:rsidRDefault="00EE58A9" w:rsidP="00C22C26">
            <w:pPr>
              <w:jc w:val="center"/>
              <w:rPr>
                <w:sz w:val="16"/>
                <w:szCs w:val="16"/>
              </w:rPr>
            </w:pPr>
          </w:p>
        </w:tc>
      </w:tr>
      <w:tr w:rsidR="00EE58A9" w:rsidRPr="002F4797" w14:paraId="5F46FB76" w14:textId="77777777" w:rsidTr="00C22C26">
        <w:trPr>
          <w:trHeight w:val="227"/>
        </w:trPr>
        <w:tc>
          <w:tcPr>
            <w:tcW w:w="380" w:type="pct"/>
            <w:shd w:val="clear" w:color="auto" w:fill="auto"/>
            <w:noWrap/>
            <w:hideMark/>
          </w:tcPr>
          <w:p w14:paraId="07483A23" w14:textId="77777777" w:rsidR="00EE58A9" w:rsidRPr="00CC3F49" w:rsidRDefault="00EE58A9" w:rsidP="00C22C26">
            <w:pPr>
              <w:jc w:val="center"/>
              <w:rPr>
                <w:b/>
                <w:sz w:val="16"/>
                <w:szCs w:val="16"/>
              </w:rPr>
            </w:pPr>
            <w:r w:rsidRPr="00CC3F49">
              <w:rPr>
                <w:b/>
                <w:sz w:val="16"/>
                <w:szCs w:val="16"/>
              </w:rPr>
              <w:t>2010</w:t>
            </w:r>
          </w:p>
        </w:tc>
        <w:tc>
          <w:tcPr>
            <w:tcW w:w="639" w:type="pct"/>
            <w:shd w:val="clear" w:color="auto" w:fill="auto"/>
            <w:noWrap/>
            <w:vAlign w:val="bottom"/>
          </w:tcPr>
          <w:p w14:paraId="78EAF74D" w14:textId="77777777" w:rsidR="00EE58A9" w:rsidRPr="00C22C26" w:rsidRDefault="00EE58A9" w:rsidP="00C22C26">
            <w:pPr>
              <w:jc w:val="center"/>
              <w:rPr>
                <w:sz w:val="16"/>
              </w:rPr>
            </w:pPr>
            <w:r w:rsidRPr="00C22C26">
              <w:rPr>
                <w:sz w:val="16"/>
              </w:rPr>
              <w:t>58.9</w:t>
            </w:r>
          </w:p>
        </w:tc>
        <w:tc>
          <w:tcPr>
            <w:tcW w:w="477" w:type="pct"/>
            <w:shd w:val="clear" w:color="auto" w:fill="auto"/>
            <w:noWrap/>
            <w:vAlign w:val="bottom"/>
          </w:tcPr>
          <w:p w14:paraId="691E33B7" w14:textId="77777777" w:rsidR="00EE58A9" w:rsidRPr="00C22C26" w:rsidRDefault="00EE58A9" w:rsidP="00C22C26">
            <w:pPr>
              <w:jc w:val="center"/>
              <w:rPr>
                <w:sz w:val="16"/>
              </w:rPr>
            </w:pPr>
            <w:r w:rsidRPr="00C22C26">
              <w:rPr>
                <w:sz w:val="16"/>
              </w:rPr>
              <w:t>0.31</w:t>
            </w:r>
          </w:p>
        </w:tc>
        <w:tc>
          <w:tcPr>
            <w:tcW w:w="853" w:type="pct"/>
            <w:shd w:val="clear" w:color="auto" w:fill="auto"/>
            <w:noWrap/>
            <w:vAlign w:val="bottom"/>
          </w:tcPr>
          <w:p w14:paraId="46B2DF4D" w14:textId="77777777" w:rsidR="00EE58A9" w:rsidRPr="00C22C26" w:rsidRDefault="00EE58A9" w:rsidP="00C22C26">
            <w:pPr>
              <w:jc w:val="center"/>
              <w:rPr>
                <w:i/>
                <w:sz w:val="16"/>
              </w:rPr>
            </w:pPr>
            <w:r w:rsidRPr="00C22C26">
              <w:rPr>
                <w:i/>
                <w:sz w:val="16"/>
              </w:rPr>
              <w:t>16.5</w:t>
            </w:r>
          </w:p>
        </w:tc>
        <w:tc>
          <w:tcPr>
            <w:tcW w:w="939" w:type="pct"/>
            <w:shd w:val="clear" w:color="auto" w:fill="auto"/>
            <w:noWrap/>
            <w:vAlign w:val="bottom"/>
          </w:tcPr>
          <w:p w14:paraId="572D756C" w14:textId="77777777" w:rsidR="00EE58A9" w:rsidRPr="00C22C26" w:rsidRDefault="00EE58A9" w:rsidP="00C22C26">
            <w:pPr>
              <w:jc w:val="center"/>
              <w:rPr>
                <w:i/>
                <w:sz w:val="16"/>
              </w:rPr>
            </w:pPr>
            <w:r w:rsidRPr="00C22C26">
              <w:rPr>
                <w:i/>
                <w:sz w:val="16"/>
              </w:rPr>
              <w:t>3.6</w:t>
            </w:r>
          </w:p>
        </w:tc>
        <w:tc>
          <w:tcPr>
            <w:tcW w:w="535" w:type="pct"/>
            <w:shd w:val="clear" w:color="auto" w:fill="auto"/>
            <w:vAlign w:val="bottom"/>
          </w:tcPr>
          <w:p w14:paraId="05FE9205" w14:textId="77777777" w:rsidR="00EE58A9" w:rsidRPr="00C22C26" w:rsidRDefault="00EE58A9" w:rsidP="00C22C26">
            <w:pPr>
              <w:jc w:val="center"/>
              <w:rPr>
                <w:sz w:val="16"/>
              </w:rPr>
            </w:pPr>
            <w:r w:rsidRPr="00C22C26">
              <w:rPr>
                <w:sz w:val="16"/>
              </w:rPr>
              <w:t>9.1</w:t>
            </w:r>
          </w:p>
        </w:tc>
        <w:tc>
          <w:tcPr>
            <w:tcW w:w="696" w:type="pct"/>
            <w:shd w:val="clear" w:color="auto" w:fill="auto"/>
            <w:noWrap/>
            <w:vAlign w:val="bottom"/>
          </w:tcPr>
          <w:p w14:paraId="12347EDE" w14:textId="77777777" w:rsidR="00EE58A9" w:rsidRPr="00C22C26" w:rsidRDefault="00EE58A9" w:rsidP="00C22C26">
            <w:pPr>
              <w:jc w:val="center"/>
              <w:rPr>
                <w:sz w:val="16"/>
              </w:rPr>
            </w:pPr>
            <w:r w:rsidRPr="00C22C26">
              <w:rPr>
                <w:sz w:val="16"/>
              </w:rPr>
              <w:t>31.5</w:t>
            </w:r>
          </w:p>
        </w:tc>
        <w:tc>
          <w:tcPr>
            <w:tcW w:w="481" w:type="pct"/>
            <w:shd w:val="clear" w:color="auto" w:fill="auto"/>
            <w:noWrap/>
            <w:vAlign w:val="bottom"/>
          </w:tcPr>
          <w:p w14:paraId="02F3D535" w14:textId="77777777" w:rsidR="00EE58A9" w:rsidRPr="00CC3F49" w:rsidRDefault="00EE58A9" w:rsidP="00C22C26">
            <w:pPr>
              <w:jc w:val="center"/>
              <w:rPr>
                <w:sz w:val="16"/>
                <w:szCs w:val="16"/>
              </w:rPr>
            </w:pPr>
          </w:p>
        </w:tc>
      </w:tr>
      <w:tr w:rsidR="00EE58A9" w:rsidRPr="002F4797" w14:paraId="7815786D" w14:textId="77777777" w:rsidTr="00C22C26">
        <w:trPr>
          <w:trHeight w:val="227"/>
        </w:trPr>
        <w:tc>
          <w:tcPr>
            <w:tcW w:w="380" w:type="pct"/>
            <w:shd w:val="clear" w:color="auto" w:fill="auto"/>
            <w:noWrap/>
            <w:hideMark/>
          </w:tcPr>
          <w:p w14:paraId="4129DA53" w14:textId="77777777" w:rsidR="00EE58A9" w:rsidRPr="00CC3F49" w:rsidRDefault="00EE58A9" w:rsidP="00C22C26">
            <w:pPr>
              <w:jc w:val="center"/>
              <w:rPr>
                <w:b/>
                <w:sz w:val="16"/>
                <w:szCs w:val="16"/>
              </w:rPr>
            </w:pPr>
            <w:r w:rsidRPr="00CC3F49">
              <w:rPr>
                <w:b/>
                <w:sz w:val="16"/>
                <w:szCs w:val="16"/>
              </w:rPr>
              <w:t>2011</w:t>
            </w:r>
          </w:p>
        </w:tc>
        <w:tc>
          <w:tcPr>
            <w:tcW w:w="639" w:type="pct"/>
            <w:shd w:val="clear" w:color="auto" w:fill="auto"/>
            <w:noWrap/>
            <w:vAlign w:val="bottom"/>
          </w:tcPr>
          <w:p w14:paraId="7DA987AD" w14:textId="77777777" w:rsidR="00EE58A9" w:rsidRPr="00C22C26" w:rsidRDefault="00EE58A9" w:rsidP="00C22C26">
            <w:pPr>
              <w:jc w:val="center"/>
              <w:rPr>
                <w:sz w:val="16"/>
              </w:rPr>
            </w:pPr>
            <w:r w:rsidRPr="00C22C26">
              <w:rPr>
                <w:sz w:val="16"/>
              </w:rPr>
              <w:t>58.6</w:t>
            </w:r>
          </w:p>
        </w:tc>
        <w:tc>
          <w:tcPr>
            <w:tcW w:w="477" w:type="pct"/>
            <w:shd w:val="clear" w:color="auto" w:fill="auto"/>
            <w:noWrap/>
            <w:vAlign w:val="bottom"/>
          </w:tcPr>
          <w:p w14:paraId="6BC6FCC5" w14:textId="77777777" w:rsidR="00EE58A9" w:rsidRPr="00C22C26" w:rsidRDefault="00EE58A9" w:rsidP="00C22C26">
            <w:pPr>
              <w:jc w:val="center"/>
              <w:rPr>
                <w:sz w:val="16"/>
              </w:rPr>
            </w:pPr>
            <w:r w:rsidRPr="00C22C26">
              <w:rPr>
                <w:sz w:val="16"/>
              </w:rPr>
              <w:t>0.34</w:t>
            </w:r>
          </w:p>
        </w:tc>
        <w:tc>
          <w:tcPr>
            <w:tcW w:w="853" w:type="pct"/>
            <w:shd w:val="clear" w:color="auto" w:fill="auto"/>
            <w:noWrap/>
            <w:vAlign w:val="bottom"/>
          </w:tcPr>
          <w:p w14:paraId="4BDBF465" w14:textId="77777777" w:rsidR="00EE58A9" w:rsidRPr="00C22C26" w:rsidRDefault="00EE58A9" w:rsidP="00C22C26">
            <w:pPr>
              <w:jc w:val="center"/>
              <w:rPr>
                <w:i/>
                <w:sz w:val="16"/>
              </w:rPr>
            </w:pPr>
            <w:r w:rsidRPr="00C22C26">
              <w:rPr>
                <w:i/>
                <w:sz w:val="16"/>
              </w:rPr>
              <w:t>15.8</w:t>
            </w:r>
          </w:p>
        </w:tc>
        <w:tc>
          <w:tcPr>
            <w:tcW w:w="939" w:type="pct"/>
            <w:shd w:val="clear" w:color="auto" w:fill="auto"/>
            <w:noWrap/>
            <w:vAlign w:val="bottom"/>
          </w:tcPr>
          <w:p w14:paraId="503BB702" w14:textId="77777777" w:rsidR="00EE58A9" w:rsidRPr="00C22C26" w:rsidRDefault="00EE58A9" w:rsidP="00C22C26">
            <w:pPr>
              <w:jc w:val="center"/>
              <w:rPr>
                <w:i/>
                <w:sz w:val="16"/>
              </w:rPr>
            </w:pPr>
            <w:r w:rsidRPr="00C22C26">
              <w:rPr>
                <w:i/>
                <w:sz w:val="16"/>
              </w:rPr>
              <w:t>3.9</w:t>
            </w:r>
          </w:p>
        </w:tc>
        <w:tc>
          <w:tcPr>
            <w:tcW w:w="535" w:type="pct"/>
            <w:shd w:val="clear" w:color="auto" w:fill="auto"/>
            <w:vAlign w:val="bottom"/>
          </w:tcPr>
          <w:p w14:paraId="1DE8AC48" w14:textId="77777777" w:rsidR="00EE58A9" w:rsidRPr="00C22C26" w:rsidRDefault="00EE58A9" w:rsidP="00C22C26">
            <w:pPr>
              <w:jc w:val="center"/>
              <w:rPr>
                <w:sz w:val="16"/>
              </w:rPr>
            </w:pPr>
            <w:r w:rsidRPr="00C22C26">
              <w:rPr>
                <w:sz w:val="16"/>
              </w:rPr>
              <w:t>10.1</w:t>
            </w:r>
          </w:p>
        </w:tc>
        <w:tc>
          <w:tcPr>
            <w:tcW w:w="696" w:type="pct"/>
            <w:shd w:val="clear" w:color="auto" w:fill="auto"/>
            <w:noWrap/>
            <w:vAlign w:val="bottom"/>
          </w:tcPr>
          <w:p w14:paraId="022616DC" w14:textId="77777777" w:rsidR="00EE58A9" w:rsidRPr="00C22C26" w:rsidRDefault="00EE58A9" w:rsidP="00C22C26">
            <w:pPr>
              <w:jc w:val="center"/>
              <w:rPr>
                <w:sz w:val="16"/>
              </w:rPr>
            </w:pPr>
            <w:r w:rsidRPr="00C22C26">
              <w:rPr>
                <w:sz w:val="16"/>
              </w:rPr>
              <w:t>33.4</w:t>
            </w:r>
          </w:p>
        </w:tc>
        <w:tc>
          <w:tcPr>
            <w:tcW w:w="481" w:type="pct"/>
            <w:shd w:val="clear" w:color="auto" w:fill="auto"/>
            <w:noWrap/>
            <w:vAlign w:val="bottom"/>
          </w:tcPr>
          <w:p w14:paraId="0A479B17" w14:textId="77777777" w:rsidR="00EE58A9" w:rsidRPr="00CC3F49" w:rsidRDefault="00EE58A9" w:rsidP="00C22C26">
            <w:pPr>
              <w:jc w:val="center"/>
              <w:rPr>
                <w:sz w:val="16"/>
                <w:szCs w:val="16"/>
              </w:rPr>
            </w:pPr>
          </w:p>
        </w:tc>
      </w:tr>
      <w:tr w:rsidR="00EE58A9" w:rsidRPr="002F4797" w14:paraId="54FDBBA7" w14:textId="77777777" w:rsidTr="00C22C26">
        <w:trPr>
          <w:trHeight w:val="227"/>
        </w:trPr>
        <w:tc>
          <w:tcPr>
            <w:tcW w:w="380" w:type="pct"/>
            <w:shd w:val="clear" w:color="auto" w:fill="auto"/>
            <w:noWrap/>
            <w:hideMark/>
          </w:tcPr>
          <w:p w14:paraId="6AB9F1D6" w14:textId="77777777" w:rsidR="00EE58A9" w:rsidRPr="00CC3F49" w:rsidRDefault="00EE58A9" w:rsidP="00C22C26">
            <w:pPr>
              <w:jc w:val="center"/>
              <w:rPr>
                <w:b/>
                <w:sz w:val="16"/>
                <w:szCs w:val="16"/>
              </w:rPr>
            </w:pPr>
            <w:r w:rsidRPr="00CC3F49">
              <w:rPr>
                <w:b/>
                <w:sz w:val="16"/>
                <w:szCs w:val="16"/>
              </w:rPr>
              <w:t>2012</w:t>
            </w:r>
          </w:p>
        </w:tc>
        <w:tc>
          <w:tcPr>
            <w:tcW w:w="639" w:type="pct"/>
            <w:shd w:val="clear" w:color="auto" w:fill="auto"/>
            <w:noWrap/>
            <w:vAlign w:val="bottom"/>
          </w:tcPr>
          <w:p w14:paraId="7A7F8038" w14:textId="77777777" w:rsidR="00EE58A9" w:rsidRPr="00C22C26" w:rsidRDefault="00EE58A9" w:rsidP="00C22C26">
            <w:pPr>
              <w:jc w:val="center"/>
              <w:rPr>
                <w:sz w:val="16"/>
              </w:rPr>
            </w:pPr>
            <w:r w:rsidRPr="00C22C26">
              <w:rPr>
                <w:sz w:val="16"/>
              </w:rPr>
              <w:t>60.4</w:t>
            </w:r>
          </w:p>
        </w:tc>
        <w:tc>
          <w:tcPr>
            <w:tcW w:w="477" w:type="pct"/>
            <w:shd w:val="clear" w:color="auto" w:fill="auto"/>
            <w:noWrap/>
            <w:vAlign w:val="bottom"/>
          </w:tcPr>
          <w:p w14:paraId="0866F09D" w14:textId="77777777" w:rsidR="00EE58A9" w:rsidRPr="00C22C26" w:rsidRDefault="00EE58A9" w:rsidP="00C22C26">
            <w:pPr>
              <w:jc w:val="center"/>
              <w:rPr>
                <w:sz w:val="16"/>
              </w:rPr>
            </w:pPr>
            <w:r w:rsidRPr="00C22C26">
              <w:rPr>
                <w:sz w:val="16"/>
              </w:rPr>
              <w:t>0.37</w:t>
            </w:r>
          </w:p>
        </w:tc>
        <w:tc>
          <w:tcPr>
            <w:tcW w:w="853" w:type="pct"/>
            <w:shd w:val="clear" w:color="auto" w:fill="auto"/>
            <w:noWrap/>
            <w:vAlign w:val="bottom"/>
          </w:tcPr>
          <w:p w14:paraId="70296BB5" w14:textId="77777777" w:rsidR="00EE58A9" w:rsidRPr="00C22C26" w:rsidRDefault="00EE58A9" w:rsidP="00C22C26">
            <w:pPr>
              <w:jc w:val="center"/>
              <w:rPr>
                <w:i/>
                <w:sz w:val="16"/>
              </w:rPr>
            </w:pPr>
            <w:r w:rsidRPr="00C22C26">
              <w:rPr>
                <w:i/>
                <w:sz w:val="16"/>
              </w:rPr>
              <w:t>15.0</w:t>
            </w:r>
          </w:p>
        </w:tc>
        <w:tc>
          <w:tcPr>
            <w:tcW w:w="939" w:type="pct"/>
            <w:shd w:val="clear" w:color="auto" w:fill="auto"/>
            <w:noWrap/>
            <w:vAlign w:val="bottom"/>
          </w:tcPr>
          <w:p w14:paraId="0015F332" w14:textId="77777777" w:rsidR="00EE58A9" w:rsidRPr="00C22C26" w:rsidRDefault="00EE58A9" w:rsidP="00C22C26">
            <w:pPr>
              <w:jc w:val="center"/>
              <w:rPr>
                <w:i/>
                <w:sz w:val="16"/>
              </w:rPr>
            </w:pPr>
            <w:r w:rsidRPr="00C22C26">
              <w:rPr>
                <w:i/>
                <w:sz w:val="16"/>
              </w:rPr>
              <w:t>3.7</w:t>
            </w:r>
          </w:p>
        </w:tc>
        <w:tc>
          <w:tcPr>
            <w:tcW w:w="535" w:type="pct"/>
            <w:shd w:val="clear" w:color="auto" w:fill="auto"/>
            <w:vAlign w:val="bottom"/>
          </w:tcPr>
          <w:p w14:paraId="651F8321" w14:textId="77777777" w:rsidR="00EE58A9" w:rsidRPr="00C22C26" w:rsidRDefault="00EE58A9" w:rsidP="00C22C26">
            <w:pPr>
              <w:jc w:val="center"/>
              <w:rPr>
                <w:sz w:val="16"/>
              </w:rPr>
            </w:pPr>
            <w:r w:rsidRPr="00C22C26">
              <w:rPr>
                <w:sz w:val="16"/>
              </w:rPr>
              <w:t>8.6</w:t>
            </w:r>
          </w:p>
        </w:tc>
        <w:tc>
          <w:tcPr>
            <w:tcW w:w="696" w:type="pct"/>
            <w:shd w:val="clear" w:color="auto" w:fill="auto"/>
            <w:noWrap/>
            <w:vAlign w:val="bottom"/>
          </w:tcPr>
          <w:p w14:paraId="04F66B26" w14:textId="77777777" w:rsidR="00EE58A9" w:rsidRPr="00C22C26" w:rsidRDefault="00EE58A9" w:rsidP="00C22C26">
            <w:pPr>
              <w:jc w:val="center"/>
              <w:rPr>
                <w:sz w:val="16"/>
              </w:rPr>
            </w:pPr>
            <w:r w:rsidRPr="00C22C26">
              <w:rPr>
                <w:sz w:val="16"/>
              </w:rPr>
              <w:t>33.7</w:t>
            </w:r>
          </w:p>
        </w:tc>
        <w:tc>
          <w:tcPr>
            <w:tcW w:w="481" w:type="pct"/>
            <w:shd w:val="clear" w:color="auto" w:fill="auto"/>
            <w:noWrap/>
            <w:vAlign w:val="bottom"/>
          </w:tcPr>
          <w:p w14:paraId="7C794FF7" w14:textId="77777777" w:rsidR="00EE58A9" w:rsidRPr="00C22C26" w:rsidRDefault="00EE58A9" w:rsidP="00C22C26">
            <w:pPr>
              <w:jc w:val="center"/>
              <w:rPr>
                <w:i/>
                <w:sz w:val="16"/>
              </w:rPr>
            </w:pPr>
            <w:r w:rsidRPr="00C22C26">
              <w:rPr>
                <w:i/>
                <w:sz w:val="16"/>
              </w:rPr>
              <w:t>32.1</w:t>
            </w:r>
          </w:p>
        </w:tc>
      </w:tr>
      <w:tr w:rsidR="00EE58A9" w:rsidRPr="002F4797" w14:paraId="2046BCDE" w14:textId="77777777" w:rsidTr="00C22C26">
        <w:trPr>
          <w:trHeight w:val="227"/>
        </w:trPr>
        <w:tc>
          <w:tcPr>
            <w:tcW w:w="380" w:type="pct"/>
            <w:shd w:val="clear" w:color="auto" w:fill="auto"/>
            <w:noWrap/>
            <w:hideMark/>
          </w:tcPr>
          <w:p w14:paraId="2514D880" w14:textId="77777777" w:rsidR="00EE58A9" w:rsidRPr="00CC3F49" w:rsidRDefault="00EE58A9" w:rsidP="00C22C26">
            <w:pPr>
              <w:jc w:val="center"/>
              <w:rPr>
                <w:b/>
                <w:sz w:val="16"/>
                <w:szCs w:val="16"/>
              </w:rPr>
            </w:pPr>
            <w:r w:rsidRPr="00CC3F49">
              <w:rPr>
                <w:b/>
                <w:sz w:val="16"/>
                <w:szCs w:val="16"/>
              </w:rPr>
              <w:t>2013</w:t>
            </w:r>
          </w:p>
        </w:tc>
        <w:tc>
          <w:tcPr>
            <w:tcW w:w="639" w:type="pct"/>
            <w:shd w:val="clear" w:color="auto" w:fill="auto"/>
            <w:noWrap/>
            <w:vAlign w:val="bottom"/>
          </w:tcPr>
          <w:p w14:paraId="2BC27061" w14:textId="77777777" w:rsidR="00EE58A9" w:rsidRPr="00C22C26" w:rsidRDefault="00EE58A9" w:rsidP="00C22C26">
            <w:pPr>
              <w:jc w:val="center"/>
              <w:rPr>
                <w:sz w:val="16"/>
              </w:rPr>
            </w:pPr>
            <w:r w:rsidRPr="00C22C26">
              <w:rPr>
                <w:sz w:val="16"/>
              </w:rPr>
              <w:t>61.6</w:t>
            </w:r>
          </w:p>
        </w:tc>
        <w:tc>
          <w:tcPr>
            <w:tcW w:w="477" w:type="pct"/>
            <w:shd w:val="clear" w:color="auto" w:fill="auto"/>
            <w:noWrap/>
            <w:vAlign w:val="bottom"/>
          </w:tcPr>
          <w:p w14:paraId="5D5E16D2" w14:textId="77777777" w:rsidR="00EE58A9" w:rsidRPr="00C22C26" w:rsidRDefault="00EE58A9" w:rsidP="00C22C26">
            <w:pPr>
              <w:jc w:val="center"/>
              <w:rPr>
                <w:sz w:val="16"/>
              </w:rPr>
            </w:pPr>
            <w:r w:rsidRPr="00C22C26">
              <w:rPr>
                <w:sz w:val="16"/>
              </w:rPr>
              <w:t>0.30</w:t>
            </w:r>
          </w:p>
        </w:tc>
        <w:tc>
          <w:tcPr>
            <w:tcW w:w="853" w:type="pct"/>
            <w:shd w:val="clear" w:color="auto" w:fill="auto"/>
            <w:noWrap/>
            <w:vAlign w:val="bottom"/>
          </w:tcPr>
          <w:p w14:paraId="7D9E7178" w14:textId="77777777" w:rsidR="00EE58A9" w:rsidRPr="00C22C26" w:rsidRDefault="00EE58A9" w:rsidP="00C22C26">
            <w:pPr>
              <w:jc w:val="center"/>
              <w:rPr>
                <w:i/>
                <w:sz w:val="16"/>
              </w:rPr>
            </w:pPr>
            <w:r w:rsidRPr="00C22C26">
              <w:rPr>
                <w:i/>
                <w:sz w:val="16"/>
              </w:rPr>
              <w:t>14.9</w:t>
            </w:r>
          </w:p>
        </w:tc>
        <w:tc>
          <w:tcPr>
            <w:tcW w:w="939" w:type="pct"/>
            <w:shd w:val="clear" w:color="auto" w:fill="auto"/>
            <w:noWrap/>
            <w:vAlign w:val="bottom"/>
          </w:tcPr>
          <w:p w14:paraId="4273FA1C" w14:textId="77777777" w:rsidR="00EE58A9" w:rsidRPr="00C22C26" w:rsidRDefault="00EE58A9" w:rsidP="00C22C26">
            <w:pPr>
              <w:jc w:val="center"/>
              <w:rPr>
                <w:i/>
                <w:sz w:val="16"/>
              </w:rPr>
            </w:pPr>
            <w:r w:rsidRPr="00C22C26">
              <w:rPr>
                <w:i/>
                <w:sz w:val="16"/>
              </w:rPr>
              <w:t>3.7</w:t>
            </w:r>
          </w:p>
        </w:tc>
        <w:tc>
          <w:tcPr>
            <w:tcW w:w="535" w:type="pct"/>
            <w:shd w:val="clear" w:color="auto" w:fill="auto"/>
            <w:vAlign w:val="bottom"/>
          </w:tcPr>
          <w:p w14:paraId="764EE533" w14:textId="77777777" w:rsidR="00EE58A9" w:rsidRPr="00C22C26" w:rsidRDefault="00EE58A9" w:rsidP="00C22C26">
            <w:pPr>
              <w:jc w:val="center"/>
              <w:rPr>
                <w:sz w:val="16"/>
              </w:rPr>
            </w:pPr>
            <w:r w:rsidRPr="00C22C26">
              <w:rPr>
                <w:sz w:val="16"/>
              </w:rPr>
              <w:t>8.9</w:t>
            </w:r>
          </w:p>
        </w:tc>
        <w:tc>
          <w:tcPr>
            <w:tcW w:w="696" w:type="pct"/>
            <w:shd w:val="clear" w:color="auto" w:fill="auto"/>
            <w:noWrap/>
            <w:vAlign w:val="bottom"/>
          </w:tcPr>
          <w:p w14:paraId="4BBBDE59" w14:textId="77777777" w:rsidR="00EE58A9" w:rsidRPr="00C22C26" w:rsidRDefault="00EE58A9" w:rsidP="00C22C26">
            <w:pPr>
              <w:jc w:val="center"/>
              <w:rPr>
                <w:sz w:val="16"/>
              </w:rPr>
            </w:pPr>
            <w:r w:rsidRPr="00C22C26">
              <w:rPr>
                <w:sz w:val="16"/>
              </w:rPr>
              <w:t>36.5</w:t>
            </w:r>
          </w:p>
        </w:tc>
        <w:tc>
          <w:tcPr>
            <w:tcW w:w="481" w:type="pct"/>
            <w:shd w:val="clear" w:color="auto" w:fill="auto"/>
            <w:noWrap/>
            <w:vAlign w:val="bottom"/>
          </w:tcPr>
          <w:p w14:paraId="014DC9E3" w14:textId="77777777" w:rsidR="00EE58A9" w:rsidRPr="00C22C26" w:rsidRDefault="00EE58A9" w:rsidP="00C22C26">
            <w:pPr>
              <w:jc w:val="center"/>
              <w:rPr>
                <w:i/>
                <w:sz w:val="16"/>
              </w:rPr>
            </w:pPr>
            <w:r w:rsidRPr="00C22C26">
              <w:rPr>
                <w:i/>
                <w:sz w:val="16"/>
              </w:rPr>
              <w:t>26.7</w:t>
            </w:r>
          </w:p>
        </w:tc>
      </w:tr>
      <w:tr w:rsidR="00EE58A9" w:rsidRPr="002F4797" w14:paraId="4D72B17F" w14:textId="77777777" w:rsidTr="00C22C26">
        <w:trPr>
          <w:trHeight w:val="227"/>
        </w:trPr>
        <w:tc>
          <w:tcPr>
            <w:tcW w:w="380" w:type="pct"/>
            <w:shd w:val="clear" w:color="auto" w:fill="auto"/>
            <w:noWrap/>
            <w:hideMark/>
          </w:tcPr>
          <w:p w14:paraId="54C85B5A" w14:textId="77777777" w:rsidR="00EE58A9" w:rsidRPr="00CC3F49" w:rsidRDefault="00EE58A9" w:rsidP="00C22C26">
            <w:pPr>
              <w:jc w:val="center"/>
              <w:rPr>
                <w:b/>
                <w:sz w:val="16"/>
                <w:szCs w:val="16"/>
              </w:rPr>
            </w:pPr>
            <w:r w:rsidRPr="00CC3F49">
              <w:rPr>
                <w:b/>
                <w:sz w:val="16"/>
                <w:szCs w:val="16"/>
              </w:rPr>
              <w:t>2014</w:t>
            </w:r>
          </w:p>
        </w:tc>
        <w:tc>
          <w:tcPr>
            <w:tcW w:w="639" w:type="pct"/>
            <w:shd w:val="clear" w:color="auto" w:fill="auto"/>
            <w:noWrap/>
            <w:vAlign w:val="bottom"/>
          </w:tcPr>
          <w:p w14:paraId="256574B6" w14:textId="77777777" w:rsidR="00EE58A9" w:rsidRPr="00C22C26" w:rsidRDefault="00EE58A9" w:rsidP="00C22C26">
            <w:pPr>
              <w:jc w:val="center"/>
              <w:rPr>
                <w:sz w:val="16"/>
              </w:rPr>
            </w:pPr>
            <w:r w:rsidRPr="00C22C26">
              <w:rPr>
                <w:sz w:val="16"/>
              </w:rPr>
              <w:t>63.2</w:t>
            </w:r>
          </w:p>
        </w:tc>
        <w:tc>
          <w:tcPr>
            <w:tcW w:w="477" w:type="pct"/>
            <w:shd w:val="clear" w:color="auto" w:fill="auto"/>
            <w:noWrap/>
            <w:vAlign w:val="bottom"/>
          </w:tcPr>
          <w:p w14:paraId="403B2037" w14:textId="77777777" w:rsidR="00EE58A9" w:rsidRPr="00C22C26" w:rsidRDefault="00EE58A9" w:rsidP="00C22C26">
            <w:pPr>
              <w:jc w:val="center"/>
              <w:rPr>
                <w:sz w:val="16"/>
              </w:rPr>
            </w:pPr>
            <w:r w:rsidRPr="00C22C26">
              <w:rPr>
                <w:sz w:val="16"/>
              </w:rPr>
              <w:t>0.28</w:t>
            </w:r>
          </w:p>
        </w:tc>
        <w:tc>
          <w:tcPr>
            <w:tcW w:w="853" w:type="pct"/>
            <w:shd w:val="clear" w:color="auto" w:fill="auto"/>
            <w:noWrap/>
            <w:vAlign w:val="bottom"/>
          </w:tcPr>
          <w:p w14:paraId="374FBD5D" w14:textId="77777777" w:rsidR="00EE58A9" w:rsidRPr="00C22C26" w:rsidRDefault="00EE58A9" w:rsidP="00C22C26">
            <w:pPr>
              <w:jc w:val="center"/>
              <w:rPr>
                <w:i/>
                <w:sz w:val="16"/>
              </w:rPr>
            </w:pPr>
            <w:r w:rsidRPr="00C22C26">
              <w:rPr>
                <w:i/>
                <w:sz w:val="16"/>
              </w:rPr>
              <w:t>14.9</w:t>
            </w:r>
          </w:p>
        </w:tc>
        <w:tc>
          <w:tcPr>
            <w:tcW w:w="939" w:type="pct"/>
            <w:shd w:val="clear" w:color="auto" w:fill="auto"/>
            <w:noWrap/>
            <w:vAlign w:val="bottom"/>
          </w:tcPr>
          <w:p w14:paraId="09207B65" w14:textId="77777777" w:rsidR="00EE58A9" w:rsidRPr="00C22C26" w:rsidRDefault="00EE58A9" w:rsidP="00C22C26">
            <w:pPr>
              <w:jc w:val="center"/>
              <w:rPr>
                <w:i/>
                <w:sz w:val="16"/>
              </w:rPr>
            </w:pPr>
            <w:r w:rsidRPr="00C22C26">
              <w:rPr>
                <w:i/>
                <w:sz w:val="16"/>
              </w:rPr>
              <w:t>3.5</w:t>
            </w:r>
          </w:p>
        </w:tc>
        <w:tc>
          <w:tcPr>
            <w:tcW w:w="535" w:type="pct"/>
            <w:shd w:val="clear" w:color="auto" w:fill="auto"/>
            <w:vAlign w:val="bottom"/>
          </w:tcPr>
          <w:p w14:paraId="3E2A86AB" w14:textId="77777777" w:rsidR="00EE58A9" w:rsidRPr="00C22C26" w:rsidRDefault="00EE58A9" w:rsidP="00C22C26">
            <w:pPr>
              <w:jc w:val="center"/>
              <w:rPr>
                <w:sz w:val="16"/>
              </w:rPr>
            </w:pPr>
            <w:r w:rsidRPr="00C22C26">
              <w:rPr>
                <w:sz w:val="16"/>
              </w:rPr>
              <w:t>9.7</w:t>
            </w:r>
          </w:p>
        </w:tc>
        <w:tc>
          <w:tcPr>
            <w:tcW w:w="696" w:type="pct"/>
            <w:shd w:val="clear" w:color="auto" w:fill="auto"/>
            <w:noWrap/>
            <w:vAlign w:val="bottom"/>
          </w:tcPr>
          <w:p w14:paraId="007D11B6" w14:textId="77777777" w:rsidR="00EE58A9" w:rsidRPr="00C22C26" w:rsidRDefault="00EE58A9" w:rsidP="00C22C26">
            <w:pPr>
              <w:jc w:val="center"/>
              <w:rPr>
                <w:sz w:val="16"/>
              </w:rPr>
            </w:pPr>
            <w:r w:rsidRPr="00C22C26">
              <w:rPr>
                <w:sz w:val="16"/>
              </w:rPr>
              <w:t>35.4</w:t>
            </w:r>
          </w:p>
        </w:tc>
        <w:tc>
          <w:tcPr>
            <w:tcW w:w="481" w:type="pct"/>
            <w:shd w:val="clear" w:color="auto" w:fill="auto"/>
            <w:noWrap/>
            <w:vAlign w:val="bottom"/>
          </w:tcPr>
          <w:p w14:paraId="591D2073" w14:textId="77777777" w:rsidR="00EE58A9" w:rsidRPr="00C22C26" w:rsidRDefault="00EE58A9" w:rsidP="00C22C26">
            <w:pPr>
              <w:jc w:val="center"/>
              <w:rPr>
                <w:i/>
                <w:sz w:val="16"/>
              </w:rPr>
            </w:pPr>
            <w:r w:rsidRPr="00C22C26">
              <w:rPr>
                <w:i/>
                <w:sz w:val="16"/>
              </w:rPr>
              <w:t>25.2</w:t>
            </w:r>
          </w:p>
        </w:tc>
      </w:tr>
      <w:tr w:rsidR="00EE58A9" w:rsidRPr="002F4797" w14:paraId="288D3BBF" w14:textId="77777777" w:rsidTr="00C22C26">
        <w:trPr>
          <w:trHeight w:val="227"/>
        </w:trPr>
        <w:tc>
          <w:tcPr>
            <w:tcW w:w="380" w:type="pct"/>
            <w:shd w:val="clear" w:color="auto" w:fill="auto"/>
            <w:noWrap/>
            <w:hideMark/>
          </w:tcPr>
          <w:p w14:paraId="441032A6" w14:textId="77777777" w:rsidR="00EE58A9" w:rsidRPr="00CC3F49" w:rsidRDefault="00EE58A9" w:rsidP="00C22C26">
            <w:pPr>
              <w:jc w:val="center"/>
              <w:rPr>
                <w:b/>
                <w:sz w:val="16"/>
                <w:szCs w:val="16"/>
              </w:rPr>
            </w:pPr>
            <w:r w:rsidRPr="00CC3F49">
              <w:rPr>
                <w:b/>
                <w:sz w:val="16"/>
                <w:szCs w:val="16"/>
              </w:rPr>
              <w:t>2015</w:t>
            </w:r>
          </w:p>
        </w:tc>
        <w:tc>
          <w:tcPr>
            <w:tcW w:w="639" w:type="pct"/>
            <w:shd w:val="clear" w:color="auto" w:fill="auto"/>
            <w:noWrap/>
            <w:vAlign w:val="bottom"/>
          </w:tcPr>
          <w:p w14:paraId="3C73D828" w14:textId="77777777" w:rsidR="00EE58A9" w:rsidRPr="00C22C26" w:rsidRDefault="00EE58A9" w:rsidP="00C22C26">
            <w:pPr>
              <w:jc w:val="center"/>
              <w:rPr>
                <w:sz w:val="16"/>
              </w:rPr>
            </w:pPr>
            <w:r w:rsidRPr="00C22C26">
              <w:rPr>
                <w:sz w:val="16"/>
              </w:rPr>
              <w:t>64.1</w:t>
            </w:r>
          </w:p>
        </w:tc>
        <w:tc>
          <w:tcPr>
            <w:tcW w:w="477" w:type="pct"/>
            <w:shd w:val="clear" w:color="auto" w:fill="auto"/>
            <w:noWrap/>
            <w:vAlign w:val="bottom"/>
          </w:tcPr>
          <w:p w14:paraId="433845CE" w14:textId="77777777" w:rsidR="00EE58A9" w:rsidRPr="00C22C26" w:rsidRDefault="00EE58A9" w:rsidP="00C22C26">
            <w:pPr>
              <w:jc w:val="center"/>
              <w:rPr>
                <w:sz w:val="16"/>
              </w:rPr>
            </w:pPr>
            <w:r w:rsidRPr="00C22C26">
              <w:rPr>
                <w:sz w:val="16"/>
              </w:rPr>
              <w:t>0.33</w:t>
            </w:r>
          </w:p>
        </w:tc>
        <w:tc>
          <w:tcPr>
            <w:tcW w:w="853" w:type="pct"/>
            <w:shd w:val="clear" w:color="auto" w:fill="auto"/>
            <w:noWrap/>
            <w:vAlign w:val="bottom"/>
          </w:tcPr>
          <w:p w14:paraId="60DAD06B" w14:textId="77777777" w:rsidR="00EE58A9" w:rsidRPr="00C22C26" w:rsidRDefault="00EE58A9" w:rsidP="00C22C26">
            <w:pPr>
              <w:jc w:val="center"/>
              <w:rPr>
                <w:i/>
                <w:sz w:val="16"/>
              </w:rPr>
            </w:pPr>
            <w:r w:rsidRPr="00C22C26">
              <w:rPr>
                <w:i/>
                <w:sz w:val="16"/>
              </w:rPr>
              <w:t>15.7</w:t>
            </w:r>
          </w:p>
        </w:tc>
        <w:tc>
          <w:tcPr>
            <w:tcW w:w="939" w:type="pct"/>
            <w:shd w:val="clear" w:color="auto" w:fill="auto"/>
            <w:noWrap/>
            <w:vAlign w:val="bottom"/>
          </w:tcPr>
          <w:p w14:paraId="457A77E1" w14:textId="77777777" w:rsidR="00EE58A9" w:rsidRPr="00C22C26" w:rsidRDefault="00EE58A9" w:rsidP="00C22C26">
            <w:pPr>
              <w:jc w:val="center"/>
              <w:rPr>
                <w:i/>
                <w:sz w:val="16"/>
              </w:rPr>
            </w:pPr>
            <w:r w:rsidRPr="00C22C26">
              <w:rPr>
                <w:i/>
                <w:sz w:val="16"/>
              </w:rPr>
              <w:t>3.5</w:t>
            </w:r>
          </w:p>
        </w:tc>
        <w:tc>
          <w:tcPr>
            <w:tcW w:w="535" w:type="pct"/>
            <w:shd w:val="clear" w:color="auto" w:fill="auto"/>
            <w:vAlign w:val="bottom"/>
          </w:tcPr>
          <w:p w14:paraId="0655D8DF" w14:textId="77777777" w:rsidR="00EE58A9" w:rsidRPr="00C22C26" w:rsidRDefault="00EE58A9" w:rsidP="00C22C26">
            <w:pPr>
              <w:jc w:val="center"/>
              <w:rPr>
                <w:sz w:val="16"/>
              </w:rPr>
            </w:pPr>
            <w:r w:rsidRPr="00C22C26">
              <w:rPr>
                <w:sz w:val="16"/>
              </w:rPr>
              <w:t>9.7</w:t>
            </w:r>
          </w:p>
        </w:tc>
        <w:tc>
          <w:tcPr>
            <w:tcW w:w="696" w:type="pct"/>
            <w:shd w:val="clear" w:color="auto" w:fill="auto"/>
            <w:noWrap/>
            <w:vAlign w:val="bottom"/>
          </w:tcPr>
          <w:p w14:paraId="266D863B" w14:textId="77777777" w:rsidR="00EE58A9" w:rsidRPr="00C22C26" w:rsidRDefault="00EE58A9" w:rsidP="00C22C26">
            <w:pPr>
              <w:jc w:val="center"/>
              <w:rPr>
                <w:sz w:val="16"/>
              </w:rPr>
            </w:pPr>
            <w:r w:rsidRPr="00C22C26">
              <w:rPr>
                <w:sz w:val="16"/>
              </w:rPr>
              <w:t>39.9</w:t>
            </w:r>
          </w:p>
        </w:tc>
        <w:tc>
          <w:tcPr>
            <w:tcW w:w="481" w:type="pct"/>
            <w:shd w:val="clear" w:color="auto" w:fill="auto"/>
            <w:noWrap/>
            <w:vAlign w:val="bottom"/>
          </w:tcPr>
          <w:p w14:paraId="52C34725" w14:textId="77777777" w:rsidR="00EE58A9" w:rsidRPr="00C22C26" w:rsidRDefault="00EE58A9" w:rsidP="00C22C26">
            <w:pPr>
              <w:jc w:val="center"/>
              <w:rPr>
                <w:i/>
                <w:sz w:val="16"/>
              </w:rPr>
            </w:pPr>
            <w:r w:rsidRPr="00C22C26">
              <w:rPr>
                <w:i/>
                <w:sz w:val="16"/>
              </w:rPr>
              <w:t>28.2</w:t>
            </w:r>
          </w:p>
        </w:tc>
      </w:tr>
      <w:tr w:rsidR="00EE58A9" w:rsidRPr="002F4797" w14:paraId="00C196AB" w14:textId="77777777" w:rsidTr="00C22C26">
        <w:trPr>
          <w:trHeight w:val="227"/>
        </w:trPr>
        <w:tc>
          <w:tcPr>
            <w:tcW w:w="380" w:type="pct"/>
            <w:shd w:val="clear" w:color="auto" w:fill="auto"/>
            <w:noWrap/>
            <w:hideMark/>
          </w:tcPr>
          <w:p w14:paraId="4D39D80A" w14:textId="77777777" w:rsidR="00EE58A9" w:rsidRPr="00CC3F49" w:rsidRDefault="00EE58A9" w:rsidP="00C22C26">
            <w:pPr>
              <w:jc w:val="center"/>
              <w:rPr>
                <w:b/>
                <w:sz w:val="16"/>
                <w:szCs w:val="16"/>
              </w:rPr>
            </w:pPr>
            <w:r w:rsidRPr="00CC3F49">
              <w:rPr>
                <w:b/>
                <w:sz w:val="16"/>
                <w:szCs w:val="16"/>
              </w:rPr>
              <w:t>2016</w:t>
            </w:r>
          </w:p>
        </w:tc>
        <w:tc>
          <w:tcPr>
            <w:tcW w:w="639" w:type="pct"/>
            <w:shd w:val="clear" w:color="auto" w:fill="auto"/>
            <w:noWrap/>
            <w:vAlign w:val="bottom"/>
          </w:tcPr>
          <w:p w14:paraId="3F21E6AD" w14:textId="77777777" w:rsidR="00EE58A9" w:rsidRPr="00C22C26" w:rsidRDefault="00EE58A9" w:rsidP="00C22C26">
            <w:pPr>
              <w:jc w:val="center"/>
              <w:rPr>
                <w:sz w:val="16"/>
              </w:rPr>
            </w:pPr>
            <w:r w:rsidRPr="00C22C26">
              <w:rPr>
                <w:sz w:val="16"/>
              </w:rPr>
              <w:t>64.8</w:t>
            </w:r>
          </w:p>
        </w:tc>
        <w:tc>
          <w:tcPr>
            <w:tcW w:w="477" w:type="pct"/>
            <w:shd w:val="clear" w:color="auto" w:fill="auto"/>
            <w:noWrap/>
            <w:vAlign w:val="bottom"/>
          </w:tcPr>
          <w:p w14:paraId="129B5C08" w14:textId="77777777" w:rsidR="00EE58A9" w:rsidRPr="00C22C26" w:rsidRDefault="00EE58A9" w:rsidP="00C22C26">
            <w:pPr>
              <w:jc w:val="center"/>
              <w:rPr>
                <w:sz w:val="16"/>
              </w:rPr>
            </w:pPr>
            <w:r w:rsidRPr="00C22C26">
              <w:rPr>
                <w:sz w:val="16"/>
              </w:rPr>
              <w:t>0.27</w:t>
            </w:r>
          </w:p>
        </w:tc>
        <w:tc>
          <w:tcPr>
            <w:tcW w:w="853" w:type="pct"/>
            <w:shd w:val="clear" w:color="auto" w:fill="auto"/>
            <w:noWrap/>
            <w:vAlign w:val="bottom"/>
          </w:tcPr>
          <w:p w14:paraId="6D2668EF" w14:textId="77777777" w:rsidR="00EE58A9" w:rsidRPr="00C22C26" w:rsidRDefault="00EE58A9" w:rsidP="00C22C26">
            <w:pPr>
              <w:jc w:val="center"/>
              <w:rPr>
                <w:i/>
                <w:sz w:val="16"/>
              </w:rPr>
            </w:pPr>
            <w:r w:rsidRPr="00C22C26">
              <w:rPr>
                <w:i/>
                <w:sz w:val="16"/>
              </w:rPr>
              <w:t>16.5</w:t>
            </w:r>
          </w:p>
        </w:tc>
        <w:tc>
          <w:tcPr>
            <w:tcW w:w="939" w:type="pct"/>
            <w:shd w:val="clear" w:color="auto" w:fill="auto"/>
            <w:noWrap/>
            <w:vAlign w:val="bottom"/>
          </w:tcPr>
          <w:p w14:paraId="75948458" w14:textId="77777777" w:rsidR="00EE58A9" w:rsidRPr="00C22C26" w:rsidRDefault="00EE58A9" w:rsidP="00C22C26">
            <w:pPr>
              <w:jc w:val="center"/>
              <w:rPr>
                <w:i/>
                <w:sz w:val="16"/>
              </w:rPr>
            </w:pPr>
            <w:r w:rsidRPr="00C22C26">
              <w:rPr>
                <w:i/>
                <w:sz w:val="16"/>
              </w:rPr>
              <w:t>3.7</w:t>
            </w:r>
          </w:p>
        </w:tc>
        <w:tc>
          <w:tcPr>
            <w:tcW w:w="535" w:type="pct"/>
            <w:shd w:val="clear" w:color="auto" w:fill="auto"/>
            <w:vAlign w:val="bottom"/>
          </w:tcPr>
          <w:p w14:paraId="5DA616FB" w14:textId="77777777" w:rsidR="00EE58A9" w:rsidRPr="00C22C26" w:rsidRDefault="00EE58A9" w:rsidP="00C22C26">
            <w:pPr>
              <w:jc w:val="center"/>
              <w:rPr>
                <w:sz w:val="16"/>
              </w:rPr>
            </w:pPr>
            <w:r w:rsidRPr="00C22C26">
              <w:rPr>
                <w:sz w:val="16"/>
              </w:rPr>
              <w:t>10.2</w:t>
            </w:r>
          </w:p>
        </w:tc>
        <w:tc>
          <w:tcPr>
            <w:tcW w:w="696" w:type="pct"/>
            <w:shd w:val="clear" w:color="auto" w:fill="auto"/>
            <w:noWrap/>
            <w:vAlign w:val="bottom"/>
          </w:tcPr>
          <w:p w14:paraId="47CC947E" w14:textId="77777777" w:rsidR="00EE58A9" w:rsidRPr="00C22C26" w:rsidRDefault="00EE58A9" w:rsidP="00C22C26">
            <w:pPr>
              <w:jc w:val="center"/>
              <w:rPr>
                <w:sz w:val="16"/>
              </w:rPr>
            </w:pPr>
            <w:r w:rsidRPr="00C22C26">
              <w:rPr>
                <w:sz w:val="16"/>
              </w:rPr>
              <w:t>43.3</w:t>
            </w:r>
          </w:p>
        </w:tc>
        <w:tc>
          <w:tcPr>
            <w:tcW w:w="481" w:type="pct"/>
            <w:shd w:val="clear" w:color="auto" w:fill="auto"/>
            <w:noWrap/>
            <w:vAlign w:val="bottom"/>
          </w:tcPr>
          <w:p w14:paraId="0E69828A" w14:textId="77777777" w:rsidR="00EE58A9" w:rsidRPr="00C22C26" w:rsidRDefault="00EE58A9" w:rsidP="00C22C26">
            <w:pPr>
              <w:jc w:val="center"/>
              <w:rPr>
                <w:i/>
                <w:sz w:val="16"/>
              </w:rPr>
            </w:pPr>
            <w:r w:rsidRPr="00C22C26">
              <w:rPr>
                <w:i/>
                <w:sz w:val="16"/>
              </w:rPr>
              <w:t>28.1</w:t>
            </w:r>
          </w:p>
        </w:tc>
      </w:tr>
      <w:tr w:rsidR="00EE58A9" w:rsidRPr="002F4797" w14:paraId="3356DBDE" w14:textId="77777777" w:rsidTr="00C22C26">
        <w:trPr>
          <w:trHeight w:val="227"/>
        </w:trPr>
        <w:tc>
          <w:tcPr>
            <w:tcW w:w="380" w:type="pct"/>
            <w:shd w:val="clear" w:color="auto" w:fill="auto"/>
            <w:noWrap/>
            <w:hideMark/>
          </w:tcPr>
          <w:p w14:paraId="1DBDC9E2" w14:textId="77777777" w:rsidR="00EE58A9" w:rsidRPr="00CC3F49" w:rsidRDefault="00EE58A9" w:rsidP="00C22C26">
            <w:pPr>
              <w:jc w:val="center"/>
              <w:rPr>
                <w:b/>
                <w:sz w:val="16"/>
                <w:szCs w:val="16"/>
              </w:rPr>
            </w:pPr>
            <w:r w:rsidRPr="00CC3F49">
              <w:rPr>
                <w:b/>
                <w:sz w:val="16"/>
                <w:szCs w:val="16"/>
              </w:rPr>
              <w:t>2017</w:t>
            </w:r>
          </w:p>
        </w:tc>
        <w:tc>
          <w:tcPr>
            <w:tcW w:w="639" w:type="pct"/>
            <w:shd w:val="clear" w:color="auto" w:fill="auto"/>
            <w:noWrap/>
            <w:vAlign w:val="bottom"/>
          </w:tcPr>
          <w:p w14:paraId="14F69994" w14:textId="77777777" w:rsidR="00EE58A9" w:rsidRPr="00C22C26" w:rsidRDefault="00EE58A9" w:rsidP="00C22C26">
            <w:pPr>
              <w:jc w:val="center"/>
              <w:rPr>
                <w:i/>
                <w:sz w:val="16"/>
              </w:rPr>
            </w:pPr>
            <w:r w:rsidRPr="00C22C26">
              <w:rPr>
                <w:i/>
                <w:sz w:val="16"/>
              </w:rPr>
              <w:t>67.5</w:t>
            </w:r>
          </w:p>
        </w:tc>
        <w:tc>
          <w:tcPr>
            <w:tcW w:w="477" w:type="pct"/>
            <w:shd w:val="clear" w:color="auto" w:fill="auto"/>
            <w:noWrap/>
            <w:vAlign w:val="bottom"/>
          </w:tcPr>
          <w:p w14:paraId="536E83C4" w14:textId="77777777" w:rsidR="00EE58A9" w:rsidRPr="00C22C26" w:rsidRDefault="00EE58A9" w:rsidP="00C22C26">
            <w:pPr>
              <w:jc w:val="center"/>
              <w:rPr>
                <w:i/>
                <w:sz w:val="16"/>
              </w:rPr>
            </w:pPr>
            <w:r w:rsidRPr="00C22C26">
              <w:rPr>
                <w:i/>
                <w:sz w:val="16"/>
              </w:rPr>
              <w:t>0.45</w:t>
            </w:r>
          </w:p>
        </w:tc>
        <w:tc>
          <w:tcPr>
            <w:tcW w:w="853" w:type="pct"/>
            <w:shd w:val="clear" w:color="auto" w:fill="auto"/>
            <w:noWrap/>
            <w:vAlign w:val="bottom"/>
          </w:tcPr>
          <w:p w14:paraId="51C1D2DA" w14:textId="77777777" w:rsidR="00EE58A9" w:rsidRPr="00C22C26" w:rsidRDefault="00EE58A9" w:rsidP="00C22C26">
            <w:pPr>
              <w:jc w:val="center"/>
              <w:rPr>
                <w:i/>
                <w:sz w:val="16"/>
              </w:rPr>
            </w:pPr>
            <w:r w:rsidRPr="00C22C26">
              <w:rPr>
                <w:i/>
                <w:sz w:val="16"/>
              </w:rPr>
              <w:t>17.1</w:t>
            </w:r>
          </w:p>
        </w:tc>
        <w:tc>
          <w:tcPr>
            <w:tcW w:w="939" w:type="pct"/>
            <w:shd w:val="clear" w:color="auto" w:fill="auto"/>
            <w:noWrap/>
            <w:vAlign w:val="bottom"/>
          </w:tcPr>
          <w:p w14:paraId="13C2D2DC" w14:textId="77777777" w:rsidR="00EE58A9" w:rsidRPr="00C22C26" w:rsidRDefault="00EE58A9" w:rsidP="00C22C26">
            <w:pPr>
              <w:jc w:val="center"/>
              <w:rPr>
                <w:i/>
                <w:sz w:val="16"/>
              </w:rPr>
            </w:pPr>
            <w:r w:rsidRPr="00C22C26">
              <w:rPr>
                <w:i/>
                <w:sz w:val="16"/>
              </w:rPr>
              <w:t>3.4</w:t>
            </w:r>
          </w:p>
        </w:tc>
        <w:tc>
          <w:tcPr>
            <w:tcW w:w="535" w:type="pct"/>
            <w:shd w:val="clear" w:color="auto" w:fill="auto"/>
            <w:vAlign w:val="bottom"/>
          </w:tcPr>
          <w:p w14:paraId="341FF759" w14:textId="77777777" w:rsidR="00EE58A9" w:rsidRPr="00C22C26" w:rsidRDefault="00EE58A9" w:rsidP="00C22C26">
            <w:pPr>
              <w:jc w:val="center"/>
              <w:rPr>
                <w:sz w:val="16"/>
              </w:rPr>
            </w:pPr>
            <w:r w:rsidRPr="00C22C26">
              <w:rPr>
                <w:sz w:val="16"/>
              </w:rPr>
              <w:t>10.0</w:t>
            </w:r>
          </w:p>
        </w:tc>
        <w:tc>
          <w:tcPr>
            <w:tcW w:w="696" w:type="pct"/>
            <w:shd w:val="clear" w:color="auto" w:fill="auto"/>
            <w:noWrap/>
            <w:vAlign w:val="bottom"/>
          </w:tcPr>
          <w:p w14:paraId="4960D85D" w14:textId="77777777" w:rsidR="00EE58A9" w:rsidRPr="00C22C26" w:rsidRDefault="00EE58A9" w:rsidP="00C22C26">
            <w:pPr>
              <w:jc w:val="center"/>
              <w:rPr>
                <w:sz w:val="16"/>
              </w:rPr>
            </w:pPr>
            <w:r w:rsidRPr="00C22C26">
              <w:rPr>
                <w:sz w:val="16"/>
              </w:rPr>
              <w:t>41.3</w:t>
            </w:r>
          </w:p>
        </w:tc>
        <w:tc>
          <w:tcPr>
            <w:tcW w:w="481" w:type="pct"/>
            <w:shd w:val="clear" w:color="auto" w:fill="auto"/>
            <w:noWrap/>
            <w:vAlign w:val="bottom"/>
          </w:tcPr>
          <w:p w14:paraId="2359491E" w14:textId="77777777" w:rsidR="00EE58A9" w:rsidRPr="00C22C26" w:rsidRDefault="00EE58A9" w:rsidP="00C22C26">
            <w:pPr>
              <w:jc w:val="center"/>
              <w:rPr>
                <w:i/>
                <w:sz w:val="16"/>
              </w:rPr>
            </w:pPr>
            <w:r w:rsidRPr="00C22C26">
              <w:rPr>
                <w:i/>
                <w:sz w:val="16"/>
              </w:rPr>
              <w:t>25.4</w:t>
            </w:r>
          </w:p>
        </w:tc>
      </w:tr>
      <w:tr w:rsidR="00EE58A9" w:rsidRPr="002F4797" w14:paraId="3FB7BC41" w14:textId="77777777" w:rsidTr="00C22C26">
        <w:trPr>
          <w:trHeight w:val="227"/>
        </w:trPr>
        <w:tc>
          <w:tcPr>
            <w:tcW w:w="380" w:type="pct"/>
            <w:shd w:val="clear" w:color="auto" w:fill="auto"/>
            <w:noWrap/>
            <w:hideMark/>
          </w:tcPr>
          <w:p w14:paraId="263D9091" w14:textId="77777777" w:rsidR="00EE58A9" w:rsidRPr="00CC3F49" w:rsidRDefault="00EE58A9" w:rsidP="00C22C26">
            <w:pPr>
              <w:jc w:val="center"/>
              <w:rPr>
                <w:b/>
                <w:sz w:val="16"/>
                <w:szCs w:val="16"/>
              </w:rPr>
            </w:pPr>
            <w:r w:rsidRPr="00CC3F49">
              <w:rPr>
                <w:b/>
                <w:sz w:val="16"/>
                <w:szCs w:val="16"/>
              </w:rPr>
              <w:t>2018</w:t>
            </w:r>
          </w:p>
        </w:tc>
        <w:tc>
          <w:tcPr>
            <w:tcW w:w="639" w:type="pct"/>
            <w:shd w:val="clear" w:color="auto" w:fill="auto"/>
            <w:noWrap/>
            <w:vAlign w:val="bottom"/>
          </w:tcPr>
          <w:p w14:paraId="22DFD801" w14:textId="77777777" w:rsidR="00EE58A9" w:rsidRPr="00C22C26" w:rsidRDefault="00EE58A9" w:rsidP="00C22C26">
            <w:pPr>
              <w:jc w:val="center"/>
              <w:rPr>
                <w:i/>
                <w:sz w:val="16"/>
              </w:rPr>
            </w:pPr>
            <w:r w:rsidRPr="00C22C26">
              <w:rPr>
                <w:i/>
                <w:sz w:val="16"/>
              </w:rPr>
              <w:t>68.9</w:t>
            </w:r>
          </w:p>
        </w:tc>
        <w:tc>
          <w:tcPr>
            <w:tcW w:w="477" w:type="pct"/>
            <w:shd w:val="clear" w:color="auto" w:fill="auto"/>
            <w:noWrap/>
            <w:vAlign w:val="bottom"/>
          </w:tcPr>
          <w:p w14:paraId="006E633A" w14:textId="77777777" w:rsidR="00EE58A9" w:rsidRPr="00C22C26" w:rsidRDefault="00EE58A9" w:rsidP="00C22C26">
            <w:pPr>
              <w:jc w:val="center"/>
              <w:rPr>
                <w:i/>
                <w:sz w:val="16"/>
              </w:rPr>
            </w:pPr>
            <w:r w:rsidRPr="00C22C26">
              <w:rPr>
                <w:i/>
                <w:sz w:val="16"/>
              </w:rPr>
              <w:t>0.45</w:t>
            </w:r>
          </w:p>
        </w:tc>
        <w:tc>
          <w:tcPr>
            <w:tcW w:w="853" w:type="pct"/>
            <w:shd w:val="clear" w:color="auto" w:fill="auto"/>
            <w:noWrap/>
            <w:vAlign w:val="bottom"/>
          </w:tcPr>
          <w:p w14:paraId="25E158C7" w14:textId="77777777" w:rsidR="00EE58A9" w:rsidRPr="00C22C26" w:rsidRDefault="00EE58A9" w:rsidP="00C22C26">
            <w:pPr>
              <w:jc w:val="center"/>
              <w:rPr>
                <w:i/>
                <w:sz w:val="16"/>
              </w:rPr>
            </w:pPr>
            <w:r w:rsidRPr="00C22C26">
              <w:rPr>
                <w:i/>
                <w:sz w:val="16"/>
              </w:rPr>
              <w:t>17.9</w:t>
            </w:r>
          </w:p>
        </w:tc>
        <w:tc>
          <w:tcPr>
            <w:tcW w:w="939" w:type="pct"/>
            <w:shd w:val="clear" w:color="auto" w:fill="auto"/>
            <w:noWrap/>
            <w:vAlign w:val="bottom"/>
          </w:tcPr>
          <w:p w14:paraId="51178051" w14:textId="77777777" w:rsidR="00EE58A9" w:rsidRPr="00C22C26" w:rsidRDefault="00EE58A9" w:rsidP="00C22C26">
            <w:pPr>
              <w:jc w:val="center"/>
              <w:rPr>
                <w:i/>
                <w:sz w:val="16"/>
              </w:rPr>
            </w:pPr>
            <w:r w:rsidRPr="00C22C26">
              <w:rPr>
                <w:i/>
                <w:sz w:val="16"/>
              </w:rPr>
              <w:t>3.6</w:t>
            </w:r>
          </w:p>
        </w:tc>
        <w:tc>
          <w:tcPr>
            <w:tcW w:w="535" w:type="pct"/>
            <w:shd w:val="clear" w:color="auto" w:fill="auto"/>
            <w:vAlign w:val="bottom"/>
          </w:tcPr>
          <w:p w14:paraId="0DA28759" w14:textId="77777777" w:rsidR="00EE58A9" w:rsidRPr="00C22C26" w:rsidRDefault="00EE58A9" w:rsidP="00C22C26">
            <w:pPr>
              <w:jc w:val="center"/>
              <w:rPr>
                <w:i/>
                <w:sz w:val="16"/>
              </w:rPr>
            </w:pPr>
            <w:r w:rsidRPr="00C22C26">
              <w:rPr>
                <w:i/>
                <w:sz w:val="16"/>
              </w:rPr>
              <w:t>9.9</w:t>
            </w:r>
          </w:p>
        </w:tc>
        <w:tc>
          <w:tcPr>
            <w:tcW w:w="696" w:type="pct"/>
            <w:shd w:val="clear" w:color="auto" w:fill="auto"/>
            <w:noWrap/>
            <w:vAlign w:val="bottom"/>
          </w:tcPr>
          <w:p w14:paraId="2F2F09F2" w14:textId="77777777" w:rsidR="00EE58A9" w:rsidRPr="00C22C26" w:rsidRDefault="00EE58A9" w:rsidP="00C22C26">
            <w:pPr>
              <w:jc w:val="center"/>
              <w:rPr>
                <w:i/>
                <w:sz w:val="16"/>
              </w:rPr>
            </w:pPr>
            <w:r w:rsidRPr="00C22C26">
              <w:rPr>
                <w:i/>
                <w:sz w:val="16"/>
              </w:rPr>
              <w:t>42.6</w:t>
            </w:r>
          </w:p>
        </w:tc>
        <w:tc>
          <w:tcPr>
            <w:tcW w:w="481" w:type="pct"/>
            <w:shd w:val="clear" w:color="auto" w:fill="auto"/>
            <w:noWrap/>
            <w:vAlign w:val="bottom"/>
          </w:tcPr>
          <w:p w14:paraId="3A9D4DA0" w14:textId="77777777" w:rsidR="00EE58A9" w:rsidRPr="00C22C26" w:rsidRDefault="00EE58A9" w:rsidP="00C22C26">
            <w:pPr>
              <w:jc w:val="center"/>
              <w:rPr>
                <w:i/>
                <w:sz w:val="16"/>
              </w:rPr>
            </w:pPr>
            <w:r w:rsidRPr="00C22C26">
              <w:rPr>
                <w:i/>
                <w:sz w:val="16"/>
              </w:rPr>
              <w:t>25.0</w:t>
            </w:r>
          </w:p>
        </w:tc>
      </w:tr>
    </w:tbl>
    <w:p w14:paraId="06BDEE3F" w14:textId="77777777" w:rsidR="00EE58A9" w:rsidRPr="00121B19" w:rsidRDefault="00EE58A9" w:rsidP="0028542B">
      <w:pPr>
        <w:spacing w:before="0"/>
        <w:rPr>
          <w:rFonts w:cs="Calibri"/>
          <w:i/>
          <w:sz w:val="18"/>
          <w:szCs w:val="18"/>
        </w:rPr>
      </w:pPr>
      <w:r w:rsidRPr="00121B19">
        <w:rPr>
          <w:rFonts w:cs="Calibri"/>
          <w:i/>
          <w:sz w:val="18"/>
          <w:szCs w:val="18"/>
        </w:rPr>
        <w:t>Źródło: Opracowanie własne</w:t>
      </w:r>
      <w:r w:rsidR="00E66B89" w:rsidRPr="00121B19">
        <w:rPr>
          <w:rFonts w:cs="Calibri"/>
          <w:i/>
          <w:sz w:val="18"/>
          <w:szCs w:val="18"/>
        </w:rPr>
        <w:t xml:space="preserve"> w </w:t>
      </w:r>
      <w:r w:rsidRPr="00121B19">
        <w:rPr>
          <w:rFonts w:cs="Calibri"/>
          <w:i/>
          <w:sz w:val="18"/>
          <w:szCs w:val="18"/>
        </w:rPr>
        <w:t>oparciu</w:t>
      </w:r>
      <w:r w:rsidR="00E66B89" w:rsidRPr="00121B19">
        <w:rPr>
          <w:rFonts w:cs="Calibri"/>
          <w:i/>
          <w:sz w:val="18"/>
          <w:szCs w:val="18"/>
        </w:rPr>
        <w:t xml:space="preserve"> o </w:t>
      </w:r>
      <w:r w:rsidRPr="00121B19">
        <w:rPr>
          <w:rFonts w:cs="Calibri"/>
          <w:i/>
          <w:sz w:val="18"/>
          <w:szCs w:val="18"/>
        </w:rPr>
        <w:t>następujące źródła: (1, 6, 7) Eurostat; (2) BDL GUS; (3) estymacja na podstawie danych krajowych Eurostat, wyników badania GUS</w:t>
      </w:r>
      <w:r w:rsidR="00E66B89" w:rsidRPr="00121B19">
        <w:rPr>
          <w:rFonts w:cs="Calibri"/>
          <w:i/>
          <w:sz w:val="18"/>
          <w:szCs w:val="18"/>
        </w:rPr>
        <w:t xml:space="preserve"> i </w:t>
      </w:r>
      <w:r w:rsidRPr="00121B19">
        <w:rPr>
          <w:rFonts w:cs="Calibri"/>
          <w:i/>
          <w:sz w:val="18"/>
          <w:szCs w:val="18"/>
        </w:rPr>
        <w:t>KOBIZE (Waśniewska et al. 2015) oraz GUS; (5) estymacja na podstawie danych krajowych Eurostat, BDL GUS oraz GUS (8) estymacja na podstawie danych Eurostat (NTS-1)</w:t>
      </w:r>
      <w:r w:rsidR="00E66B89" w:rsidRPr="00121B19">
        <w:rPr>
          <w:rFonts w:cs="Calibri"/>
          <w:i/>
          <w:sz w:val="18"/>
          <w:szCs w:val="18"/>
        </w:rPr>
        <w:t xml:space="preserve"> i </w:t>
      </w:r>
      <w:r w:rsidRPr="00121B19">
        <w:rPr>
          <w:rFonts w:cs="Calibri"/>
          <w:i/>
          <w:sz w:val="18"/>
          <w:szCs w:val="18"/>
        </w:rPr>
        <w:t>BDL GUS.</w:t>
      </w:r>
    </w:p>
    <w:p w14:paraId="3F699831" w14:textId="77777777" w:rsidR="00EE58A9" w:rsidRPr="00121B19" w:rsidRDefault="00EE58A9" w:rsidP="00EE58A9">
      <w:pPr>
        <w:rPr>
          <w:rFonts w:cs="Calibri"/>
          <w:i/>
          <w:sz w:val="18"/>
          <w:szCs w:val="18"/>
        </w:rPr>
      </w:pPr>
      <w:r w:rsidRPr="00121B19">
        <w:rPr>
          <w:rFonts w:cs="Calibri"/>
          <w:i/>
          <w:sz w:val="18"/>
          <w:szCs w:val="18"/>
        </w:rPr>
        <w:t>Uwaga: Brak danych dla OZE (4). Dane oznaczone kursywą – oszacowanie własne. Gg CO2e – mld gramów ekwiwalentu dwutlenku węgla (miara zbiorcza dla różnych gazów cieplarnianych); toe – tony ekwiwalentu ropy naftowej.</w:t>
      </w:r>
    </w:p>
    <w:p w14:paraId="51005735" w14:textId="77777777" w:rsidR="00EE58A9" w:rsidRPr="006C0382" w:rsidRDefault="00EE58A9" w:rsidP="00EE58A9">
      <w:pPr>
        <w:rPr>
          <w:b/>
        </w:rPr>
      </w:pPr>
      <w:r w:rsidRPr="006C0382">
        <w:rPr>
          <w:b/>
        </w:rPr>
        <w:t>Struktura interwencji</w:t>
      </w:r>
      <w:r>
        <w:rPr>
          <w:b/>
        </w:rPr>
        <w:t xml:space="preserve"> RPO WZ</w:t>
      </w:r>
    </w:p>
    <w:p w14:paraId="151E6A11" w14:textId="77777777" w:rsidR="00EE58A9" w:rsidRDefault="00EE58A9" w:rsidP="00EE58A9">
      <w:r w:rsidRPr="004260D2">
        <w:t xml:space="preserve">Z perspektywy oceny wpływu RPO WZ na realizację wskaźników </w:t>
      </w:r>
      <w:r w:rsidRPr="004260D2">
        <w:rPr>
          <w:i/>
        </w:rPr>
        <w:t>Strategii Europa 2020</w:t>
      </w:r>
      <w:r w:rsidRPr="004260D2">
        <w:t xml:space="preserve">, fundamentalne znaczenie ma harmonogram konkursów. Od momentu uruchomienia środków zależy bowiem, kiedy najwcześniej można spodziewać się interwencji. </w:t>
      </w:r>
      <w:r>
        <w:t>Dla większości wskaźników, pierwsze wydatki kwalifikowane pojawiły się</w:t>
      </w:r>
      <w:r w:rsidR="00E66B89">
        <w:t xml:space="preserve"> w </w:t>
      </w:r>
      <w:r>
        <w:t>2016 roku, ale</w:t>
      </w:r>
      <w:r w:rsidR="00E66B89">
        <w:t xml:space="preserve"> o </w:t>
      </w:r>
      <w:r>
        <w:t xml:space="preserve">ich znaczącej skali można mówić dopiero od 2017 roku. Wielkość interwencji na 2020 rok przyjęto jako dopełnienie (resztę) całkowitej </w:t>
      </w:r>
      <w:r w:rsidRPr="004260D2">
        <w:t>alokacji względem zrealizowanej (2014-2018)</w:t>
      </w:r>
      <w:r w:rsidR="00E66B89">
        <w:t xml:space="preserve"> i </w:t>
      </w:r>
      <w:r w:rsidRPr="004260D2">
        <w:t xml:space="preserve">planowanej (2019) interwencji. Oznacza to, że ok. 40% środków na lata </w:t>
      </w:r>
      <w:r w:rsidRPr="004260D2">
        <w:lastRenderedPageBreak/>
        <w:t>2019-2020 wykorzystanych zostanie dopiero</w:t>
      </w:r>
      <w:r w:rsidR="00E66B89">
        <w:t xml:space="preserve"> w </w:t>
      </w:r>
      <w:r w:rsidRPr="004260D2">
        <w:t xml:space="preserve">2020 roku. Będą one miały relatywnie najsłabszy wpływ </w:t>
      </w:r>
      <w:r>
        <w:t>na</w:t>
      </w:r>
      <w:r w:rsidRPr="004260D2">
        <w:t xml:space="preserve"> realizacj</w:t>
      </w:r>
      <w:r>
        <w:t>ę</w:t>
      </w:r>
      <w:r w:rsidRPr="004260D2">
        <w:t xml:space="preserve"> </w:t>
      </w:r>
      <w:r w:rsidRPr="004260D2">
        <w:rPr>
          <w:i/>
        </w:rPr>
        <w:t>Strategii</w:t>
      </w:r>
      <w:r w:rsidRPr="004260D2">
        <w:t>.</w:t>
      </w:r>
      <w:r w:rsidR="00E66B89">
        <w:t xml:space="preserve"> W </w:t>
      </w:r>
      <w:r>
        <w:t>horyzoncie 2020 roku względnie największe środki zostaną alokowane na działania na rzecz wzrostu wskaźnika zatrudnienia, redukcji emisji gazów cieplarnianych oraz zniwelowania zagrożenia ubóstwem</w:t>
      </w:r>
      <w:r w:rsidR="00E66B89">
        <w:t xml:space="preserve"> i </w:t>
      </w:r>
      <w:r>
        <w:t>wykluczeniem społecznym.</w:t>
      </w:r>
    </w:p>
    <w:p w14:paraId="4AD7D189" w14:textId="77777777" w:rsidR="00EE58A9" w:rsidRPr="00644A85" w:rsidRDefault="00EE58A9" w:rsidP="0028542B">
      <w:pPr>
        <w:pStyle w:val="Legenda"/>
        <w:spacing w:after="0"/>
        <w:rPr>
          <w:b/>
          <w:i w:val="0"/>
        </w:rPr>
      </w:pPr>
      <w:bookmarkStart w:id="430" w:name="_Toc3896923"/>
      <w:bookmarkStart w:id="431" w:name="_Toc8824295"/>
      <w:r w:rsidRPr="00644A85">
        <w:t xml:space="preserve">Tabela </w:t>
      </w:r>
      <w:r>
        <w:rPr>
          <w:noProof/>
        </w:rPr>
        <w:fldChar w:fldCharType="begin"/>
      </w:r>
      <w:r>
        <w:rPr>
          <w:noProof/>
        </w:rPr>
        <w:instrText xml:space="preserve"> SEQ Tabela \* ARABIC </w:instrText>
      </w:r>
      <w:r>
        <w:rPr>
          <w:noProof/>
        </w:rPr>
        <w:fldChar w:fldCharType="separate"/>
      </w:r>
      <w:r w:rsidR="00763345">
        <w:rPr>
          <w:noProof/>
        </w:rPr>
        <w:t>184</w:t>
      </w:r>
      <w:r>
        <w:rPr>
          <w:noProof/>
        </w:rPr>
        <w:fldChar w:fldCharType="end"/>
      </w:r>
      <w:r w:rsidRPr="00644A85">
        <w:t>. Struktura interwencji RPO WZ</w:t>
      </w:r>
      <w:r w:rsidR="00E66B89">
        <w:t xml:space="preserve"> w </w:t>
      </w:r>
      <w:r w:rsidRPr="00644A85">
        <w:t xml:space="preserve">czasie – wielkości skumulowane (w mln </w:t>
      </w:r>
      <w:r>
        <w:t>zł</w:t>
      </w:r>
      <w:r w:rsidRPr="00644A85">
        <w:t>)</w:t>
      </w:r>
      <w:bookmarkEnd w:id="430"/>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110"/>
        <w:gridCol w:w="718"/>
        <w:gridCol w:w="1467"/>
        <w:gridCol w:w="718"/>
        <w:gridCol w:w="1531"/>
        <w:gridCol w:w="859"/>
        <w:gridCol w:w="1231"/>
        <w:gridCol w:w="840"/>
      </w:tblGrid>
      <w:tr w:rsidR="00EE58A9" w:rsidRPr="006A0D2A" w14:paraId="2EA0F2A3" w14:textId="77777777" w:rsidTr="005F04FC">
        <w:trPr>
          <w:trHeight w:val="227"/>
          <w:tblHeader/>
        </w:trPr>
        <w:tc>
          <w:tcPr>
            <w:tcW w:w="319" w:type="pct"/>
            <w:shd w:val="clear" w:color="auto" w:fill="DBE5F1"/>
            <w:noWrap/>
            <w:vAlign w:val="center"/>
            <w:hideMark/>
          </w:tcPr>
          <w:p w14:paraId="548E59EC" w14:textId="77777777" w:rsidR="00EE58A9" w:rsidRPr="00404DA5" w:rsidRDefault="00EE58A9" w:rsidP="00EE58A9">
            <w:pPr>
              <w:jc w:val="center"/>
              <w:rPr>
                <w:b/>
                <w:sz w:val="16"/>
                <w:szCs w:val="16"/>
              </w:rPr>
            </w:pPr>
            <w:r w:rsidRPr="00404DA5">
              <w:rPr>
                <w:b/>
                <w:sz w:val="16"/>
                <w:szCs w:val="16"/>
              </w:rPr>
              <w:t>rok</w:t>
            </w:r>
          </w:p>
        </w:tc>
        <w:tc>
          <w:tcPr>
            <w:tcW w:w="630" w:type="pct"/>
            <w:shd w:val="clear" w:color="auto" w:fill="DBE5F1"/>
            <w:noWrap/>
            <w:vAlign w:val="center"/>
            <w:hideMark/>
          </w:tcPr>
          <w:p w14:paraId="741C94D0" w14:textId="77777777" w:rsidR="00EE58A9" w:rsidRPr="00404DA5" w:rsidRDefault="00EE58A9" w:rsidP="00EE58A9">
            <w:pPr>
              <w:jc w:val="center"/>
              <w:rPr>
                <w:sz w:val="16"/>
                <w:szCs w:val="16"/>
              </w:rPr>
            </w:pPr>
            <w:r w:rsidRPr="00404DA5">
              <w:rPr>
                <w:b/>
                <w:sz w:val="16"/>
                <w:szCs w:val="16"/>
              </w:rPr>
              <w:t>zatrudnienie</w:t>
            </w:r>
          </w:p>
        </w:tc>
        <w:tc>
          <w:tcPr>
            <w:tcW w:w="360" w:type="pct"/>
            <w:shd w:val="clear" w:color="auto" w:fill="DBE5F1"/>
            <w:noWrap/>
            <w:vAlign w:val="center"/>
            <w:hideMark/>
          </w:tcPr>
          <w:p w14:paraId="0785E6DA" w14:textId="77777777" w:rsidR="00EE58A9" w:rsidRPr="00404DA5" w:rsidRDefault="00EE58A9" w:rsidP="00EE58A9">
            <w:pPr>
              <w:jc w:val="center"/>
              <w:rPr>
                <w:sz w:val="16"/>
                <w:szCs w:val="16"/>
              </w:rPr>
            </w:pPr>
            <w:r w:rsidRPr="00404DA5">
              <w:rPr>
                <w:b/>
                <w:sz w:val="16"/>
                <w:szCs w:val="16"/>
              </w:rPr>
              <w:t>B+R</w:t>
            </w:r>
          </w:p>
        </w:tc>
        <w:tc>
          <w:tcPr>
            <w:tcW w:w="827" w:type="pct"/>
            <w:shd w:val="clear" w:color="auto" w:fill="DBE5F1"/>
            <w:noWrap/>
            <w:vAlign w:val="center"/>
            <w:hideMark/>
          </w:tcPr>
          <w:p w14:paraId="36F5F344" w14:textId="77777777" w:rsidR="00EE58A9" w:rsidRPr="00404DA5" w:rsidRDefault="00EE58A9" w:rsidP="00EE58A9">
            <w:pPr>
              <w:jc w:val="center"/>
              <w:rPr>
                <w:sz w:val="16"/>
                <w:szCs w:val="16"/>
              </w:rPr>
            </w:pPr>
            <w:r w:rsidRPr="00404DA5">
              <w:rPr>
                <w:b/>
                <w:sz w:val="16"/>
                <w:szCs w:val="16"/>
              </w:rPr>
              <w:t>gazy cieplarniane</w:t>
            </w:r>
          </w:p>
        </w:tc>
        <w:tc>
          <w:tcPr>
            <w:tcW w:w="360" w:type="pct"/>
            <w:shd w:val="clear" w:color="auto" w:fill="DBE5F1"/>
          </w:tcPr>
          <w:p w14:paraId="148248C7" w14:textId="77777777" w:rsidR="00EE58A9" w:rsidRPr="00404DA5" w:rsidRDefault="00EE58A9" w:rsidP="00EE58A9">
            <w:pPr>
              <w:jc w:val="center"/>
              <w:rPr>
                <w:b/>
                <w:sz w:val="16"/>
                <w:szCs w:val="16"/>
              </w:rPr>
            </w:pPr>
            <w:r w:rsidRPr="00404DA5">
              <w:rPr>
                <w:b/>
                <w:sz w:val="16"/>
                <w:szCs w:val="16"/>
              </w:rPr>
              <w:t>OZE</w:t>
            </w:r>
          </w:p>
        </w:tc>
        <w:tc>
          <w:tcPr>
            <w:tcW w:w="862" w:type="pct"/>
            <w:shd w:val="clear" w:color="auto" w:fill="DBE5F1"/>
            <w:noWrap/>
            <w:vAlign w:val="center"/>
            <w:hideMark/>
          </w:tcPr>
          <w:p w14:paraId="652EC24C" w14:textId="77777777" w:rsidR="00EE58A9" w:rsidRPr="00404DA5" w:rsidRDefault="00EE58A9" w:rsidP="00EE58A9">
            <w:pPr>
              <w:jc w:val="center"/>
              <w:rPr>
                <w:sz w:val="16"/>
                <w:szCs w:val="16"/>
              </w:rPr>
            </w:pPr>
            <w:r w:rsidRPr="00404DA5">
              <w:rPr>
                <w:b/>
                <w:sz w:val="16"/>
                <w:szCs w:val="16"/>
              </w:rPr>
              <w:t>energia pierwotna</w:t>
            </w:r>
          </w:p>
        </w:tc>
        <w:tc>
          <w:tcPr>
            <w:tcW w:w="487" w:type="pct"/>
            <w:shd w:val="clear" w:color="auto" w:fill="DBE5F1"/>
            <w:vAlign w:val="center"/>
          </w:tcPr>
          <w:p w14:paraId="4DE0CCCD" w14:textId="77777777" w:rsidR="00EE58A9" w:rsidRPr="00404DA5" w:rsidRDefault="00EE58A9" w:rsidP="00EE58A9">
            <w:pPr>
              <w:jc w:val="center"/>
              <w:rPr>
                <w:sz w:val="16"/>
                <w:szCs w:val="16"/>
              </w:rPr>
            </w:pPr>
            <w:r w:rsidRPr="00404DA5">
              <w:rPr>
                <w:b/>
                <w:sz w:val="16"/>
                <w:szCs w:val="16"/>
              </w:rPr>
              <w:t>młodzież</w:t>
            </w:r>
          </w:p>
        </w:tc>
        <w:tc>
          <w:tcPr>
            <w:tcW w:w="683" w:type="pct"/>
            <w:shd w:val="clear" w:color="auto" w:fill="DBE5F1"/>
            <w:noWrap/>
            <w:vAlign w:val="center"/>
            <w:hideMark/>
          </w:tcPr>
          <w:p w14:paraId="441DC397" w14:textId="77777777" w:rsidR="00EE58A9" w:rsidRPr="00404DA5" w:rsidRDefault="00EE58A9" w:rsidP="00EE58A9">
            <w:pPr>
              <w:jc w:val="center"/>
              <w:rPr>
                <w:sz w:val="16"/>
                <w:szCs w:val="16"/>
              </w:rPr>
            </w:pPr>
            <w:r w:rsidRPr="00404DA5">
              <w:rPr>
                <w:b/>
                <w:sz w:val="16"/>
                <w:szCs w:val="16"/>
              </w:rPr>
              <w:t>wykształcenie</w:t>
            </w:r>
          </w:p>
        </w:tc>
        <w:tc>
          <w:tcPr>
            <w:tcW w:w="472" w:type="pct"/>
            <w:shd w:val="clear" w:color="auto" w:fill="DBE5F1"/>
            <w:noWrap/>
            <w:vAlign w:val="center"/>
            <w:hideMark/>
          </w:tcPr>
          <w:p w14:paraId="44E56001" w14:textId="77777777" w:rsidR="00EE58A9" w:rsidRPr="00404DA5" w:rsidRDefault="00EE58A9" w:rsidP="00EE58A9">
            <w:pPr>
              <w:jc w:val="center"/>
              <w:rPr>
                <w:sz w:val="16"/>
                <w:szCs w:val="16"/>
              </w:rPr>
            </w:pPr>
            <w:r w:rsidRPr="00404DA5">
              <w:rPr>
                <w:b/>
                <w:sz w:val="16"/>
                <w:szCs w:val="16"/>
              </w:rPr>
              <w:t>ubóstwo</w:t>
            </w:r>
          </w:p>
        </w:tc>
      </w:tr>
      <w:tr w:rsidR="00EE58A9" w:rsidRPr="006A0D2A" w14:paraId="6DCF70B2" w14:textId="77777777" w:rsidTr="00C22C26">
        <w:trPr>
          <w:trHeight w:val="227"/>
        </w:trPr>
        <w:tc>
          <w:tcPr>
            <w:tcW w:w="319" w:type="pct"/>
            <w:shd w:val="clear" w:color="auto" w:fill="auto"/>
            <w:noWrap/>
            <w:vAlign w:val="center"/>
            <w:hideMark/>
          </w:tcPr>
          <w:p w14:paraId="6F891CBF" w14:textId="77777777" w:rsidR="00EE58A9" w:rsidRPr="00404DA5" w:rsidRDefault="00EE58A9" w:rsidP="00EE58A9">
            <w:pPr>
              <w:jc w:val="center"/>
              <w:rPr>
                <w:b/>
                <w:sz w:val="16"/>
                <w:szCs w:val="16"/>
              </w:rPr>
            </w:pPr>
          </w:p>
        </w:tc>
        <w:tc>
          <w:tcPr>
            <w:tcW w:w="630" w:type="pct"/>
            <w:shd w:val="clear" w:color="auto" w:fill="auto"/>
            <w:noWrap/>
            <w:vAlign w:val="center"/>
            <w:hideMark/>
          </w:tcPr>
          <w:p w14:paraId="7A20BACD" w14:textId="77777777" w:rsidR="00EE58A9" w:rsidRPr="00404DA5" w:rsidRDefault="00EE58A9" w:rsidP="00EE58A9">
            <w:pPr>
              <w:jc w:val="center"/>
              <w:rPr>
                <w:sz w:val="16"/>
                <w:szCs w:val="16"/>
              </w:rPr>
            </w:pPr>
            <w:r w:rsidRPr="00404DA5">
              <w:rPr>
                <w:b/>
                <w:sz w:val="16"/>
                <w:szCs w:val="16"/>
              </w:rPr>
              <w:t>1</w:t>
            </w:r>
          </w:p>
        </w:tc>
        <w:tc>
          <w:tcPr>
            <w:tcW w:w="360" w:type="pct"/>
            <w:shd w:val="clear" w:color="auto" w:fill="auto"/>
            <w:noWrap/>
            <w:vAlign w:val="center"/>
            <w:hideMark/>
          </w:tcPr>
          <w:p w14:paraId="54AB4E92" w14:textId="77777777" w:rsidR="00EE58A9" w:rsidRPr="00404DA5" w:rsidRDefault="00EE58A9" w:rsidP="00EE58A9">
            <w:pPr>
              <w:jc w:val="center"/>
              <w:rPr>
                <w:sz w:val="16"/>
                <w:szCs w:val="16"/>
              </w:rPr>
            </w:pPr>
            <w:r w:rsidRPr="00404DA5">
              <w:rPr>
                <w:b/>
                <w:sz w:val="16"/>
                <w:szCs w:val="16"/>
              </w:rPr>
              <w:t>2</w:t>
            </w:r>
          </w:p>
        </w:tc>
        <w:tc>
          <w:tcPr>
            <w:tcW w:w="827" w:type="pct"/>
            <w:shd w:val="clear" w:color="auto" w:fill="auto"/>
            <w:noWrap/>
            <w:vAlign w:val="center"/>
            <w:hideMark/>
          </w:tcPr>
          <w:p w14:paraId="4AF219DE" w14:textId="77777777" w:rsidR="00EE58A9" w:rsidRPr="00404DA5" w:rsidRDefault="00EE58A9" w:rsidP="00EE58A9">
            <w:pPr>
              <w:jc w:val="center"/>
              <w:rPr>
                <w:sz w:val="16"/>
                <w:szCs w:val="16"/>
              </w:rPr>
            </w:pPr>
            <w:r w:rsidRPr="00404DA5">
              <w:rPr>
                <w:b/>
                <w:sz w:val="16"/>
                <w:szCs w:val="16"/>
              </w:rPr>
              <w:t>3</w:t>
            </w:r>
          </w:p>
        </w:tc>
        <w:tc>
          <w:tcPr>
            <w:tcW w:w="360" w:type="pct"/>
            <w:shd w:val="clear" w:color="auto" w:fill="auto"/>
          </w:tcPr>
          <w:p w14:paraId="44D749E4" w14:textId="77777777" w:rsidR="00EE58A9" w:rsidRPr="00404DA5" w:rsidRDefault="00EE58A9" w:rsidP="00EE58A9">
            <w:pPr>
              <w:jc w:val="center"/>
              <w:rPr>
                <w:b/>
                <w:sz w:val="16"/>
                <w:szCs w:val="16"/>
              </w:rPr>
            </w:pPr>
            <w:r w:rsidRPr="00404DA5">
              <w:rPr>
                <w:b/>
                <w:sz w:val="16"/>
                <w:szCs w:val="16"/>
              </w:rPr>
              <w:t>4</w:t>
            </w:r>
          </w:p>
        </w:tc>
        <w:tc>
          <w:tcPr>
            <w:tcW w:w="862" w:type="pct"/>
            <w:shd w:val="clear" w:color="auto" w:fill="auto"/>
            <w:noWrap/>
            <w:vAlign w:val="center"/>
            <w:hideMark/>
          </w:tcPr>
          <w:p w14:paraId="123A8D6B" w14:textId="77777777" w:rsidR="00EE58A9" w:rsidRPr="00404DA5" w:rsidRDefault="00EE58A9" w:rsidP="00EE58A9">
            <w:pPr>
              <w:jc w:val="center"/>
              <w:rPr>
                <w:sz w:val="16"/>
                <w:szCs w:val="16"/>
              </w:rPr>
            </w:pPr>
            <w:r w:rsidRPr="00404DA5">
              <w:rPr>
                <w:b/>
                <w:sz w:val="16"/>
                <w:szCs w:val="16"/>
              </w:rPr>
              <w:t>5</w:t>
            </w:r>
          </w:p>
        </w:tc>
        <w:tc>
          <w:tcPr>
            <w:tcW w:w="487" w:type="pct"/>
            <w:shd w:val="clear" w:color="auto" w:fill="auto"/>
            <w:vAlign w:val="center"/>
          </w:tcPr>
          <w:p w14:paraId="6B4FF053" w14:textId="77777777" w:rsidR="00EE58A9" w:rsidRPr="00404DA5" w:rsidRDefault="00EE58A9" w:rsidP="00EE58A9">
            <w:pPr>
              <w:jc w:val="center"/>
              <w:rPr>
                <w:sz w:val="16"/>
                <w:szCs w:val="16"/>
              </w:rPr>
            </w:pPr>
            <w:r w:rsidRPr="00404DA5">
              <w:rPr>
                <w:b/>
                <w:sz w:val="16"/>
                <w:szCs w:val="16"/>
              </w:rPr>
              <w:t>6</w:t>
            </w:r>
          </w:p>
        </w:tc>
        <w:tc>
          <w:tcPr>
            <w:tcW w:w="683" w:type="pct"/>
            <w:shd w:val="clear" w:color="auto" w:fill="auto"/>
            <w:noWrap/>
            <w:vAlign w:val="center"/>
            <w:hideMark/>
          </w:tcPr>
          <w:p w14:paraId="74C391AA" w14:textId="77777777" w:rsidR="00EE58A9" w:rsidRPr="00404DA5" w:rsidRDefault="00EE58A9" w:rsidP="00EE58A9">
            <w:pPr>
              <w:jc w:val="center"/>
              <w:rPr>
                <w:sz w:val="16"/>
                <w:szCs w:val="16"/>
              </w:rPr>
            </w:pPr>
            <w:r w:rsidRPr="00404DA5">
              <w:rPr>
                <w:b/>
                <w:sz w:val="16"/>
                <w:szCs w:val="16"/>
              </w:rPr>
              <w:t>7</w:t>
            </w:r>
          </w:p>
        </w:tc>
        <w:tc>
          <w:tcPr>
            <w:tcW w:w="472" w:type="pct"/>
            <w:shd w:val="clear" w:color="auto" w:fill="auto"/>
            <w:noWrap/>
            <w:vAlign w:val="center"/>
            <w:hideMark/>
          </w:tcPr>
          <w:p w14:paraId="0DB82E28" w14:textId="77777777" w:rsidR="00EE58A9" w:rsidRPr="00404DA5" w:rsidRDefault="00EE58A9" w:rsidP="00EE58A9">
            <w:pPr>
              <w:jc w:val="center"/>
              <w:rPr>
                <w:sz w:val="16"/>
                <w:szCs w:val="16"/>
              </w:rPr>
            </w:pPr>
            <w:r w:rsidRPr="00404DA5">
              <w:rPr>
                <w:b/>
                <w:sz w:val="16"/>
                <w:szCs w:val="16"/>
              </w:rPr>
              <w:t>8</w:t>
            </w:r>
          </w:p>
        </w:tc>
      </w:tr>
      <w:tr w:rsidR="00EE58A9" w:rsidRPr="006A0D2A" w14:paraId="699CF9F6" w14:textId="77777777" w:rsidTr="00C22C26">
        <w:trPr>
          <w:trHeight w:val="227"/>
        </w:trPr>
        <w:tc>
          <w:tcPr>
            <w:tcW w:w="319" w:type="pct"/>
            <w:shd w:val="clear" w:color="auto" w:fill="auto"/>
            <w:noWrap/>
          </w:tcPr>
          <w:p w14:paraId="4A235765" w14:textId="77777777" w:rsidR="00EE58A9" w:rsidRPr="00CC3F49" w:rsidRDefault="00EE58A9" w:rsidP="00C22C26">
            <w:pPr>
              <w:jc w:val="center"/>
              <w:rPr>
                <w:b/>
                <w:sz w:val="16"/>
                <w:szCs w:val="16"/>
              </w:rPr>
            </w:pPr>
            <w:r w:rsidRPr="00CC3F49">
              <w:rPr>
                <w:b/>
                <w:sz w:val="16"/>
                <w:szCs w:val="16"/>
              </w:rPr>
              <w:t>2014</w:t>
            </w:r>
          </w:p>
        </w:tc>
        <w:tc>
          <w:tcPr>
            <w:tcW w:w="630" w:type="pct"/>
            <w:shd w:val="clear" w:color="auto" w:fill="auto"/>
            <w:noWrap/>
            <w:vAlign w:val="bottom"/>
          </w:tcPr>
          <w:p w14:paraId="48DCABE9" w14:textId="77777777" w:rsidR="00EE58A9" w:rsidRPr="00C22C26" w:rsidRDefault="00EE58A9" w:rsidP="00C22C26">
            <w:pPr>
              <w:jc w:val="center"/>
              <w:rPr>
                <w:color w:val="000000"/>
                <w:sz w:val="16"/>
              </w:rPr>
            </w:pPr>
            <w:r w:rsidRPr="00C22C26">
              <w:rPr>
                <w:color w:val="000000"/>
                <w:sz w:val="16"/>
              </w:rPr>
              <w:t>0.00</w:t>
            </w:r>
          </w:p>
        </w:tc>
        <w:tc>
          <w:tcPr>
            <w:tcW w:w="360" w:type="pct"/>
            <w:shd w:val="clear" w:color="auto" w:fill="auto"/>
            <w:noWrap/>
            <w:vAlign w:val="bottom"/>
          </w:tcPr>
          <w:p w14:paraId="54BBEAE7" w14:textId="77777777" w:rsidR="00EE58A9" w:rsidRPr="00C22C26" w:rsidRDefault="00EE58A9" w:rsidP="00C22C26">
            <w:pPr>
              <w:jc w:val="center"/>
              <w:rPr>
                <w:color w:val="000000"/>
                <w:sz w:val="16"/>
              </w:rPr>
            </w:pPr>
            <w:r w:rsidRPr="00C22C26">
              <w:rPr>
                <w:color w:val="000000"/>
                <w:sz w:val="16"/>
              </w:rPr>
              <w:t>0.00</w:t>
            </w:r>
          </w:p>
        </w:tc>
        <w:tc>
          <w:tcPr>
            <w:tcW w:w="827" w:type="pct"/>
            <w:shd w:val="clear" w:color="auto" w:fill="auto"/>
            <w:noWrap/>
            <w:vAlign w:val="bottom"/>
          </w:tcPr>
          <w:p w14:paraId="482F70EA" w14:textId="77777777" w:rsidR="00EE58A9" w:rsidRPr="00C22C26" w:rsidRDefault="00EE58A9" w:rsidP="00C22C26">
            <w:pPr>
              <w:jc w:val="center"/>
              <w:rPr>
                <w:color w:val="000000"/>
                <w:sz w:val="16"/>
              </w:rPr>
            </w:pPr>
            <w:r w:rsidRPr="00C22C26">
              <w:rPr>
                <w:color w:val="000000"/>
                <w:sz w:val="16"/>
              </w:rPr>
              <w:t>0.00</w:t>
            </w:r>
          </w:p>
        </w:tc>
        <w:tc>
          <w:tcPr>
            <w:tcW w:w="360" w:type="pct"/>
            <w:shd w:val="clear" w:color="auto" w:fill="auto"/>
            <w:vAlign w:val="bottom"/>
          </w:tcPr>
          <w:p w14:paraId="5F0BA868" w14:textId="77777777" w:rsidR="00EE58A9" w:rsidRPr="00C22C26" w:rsidRDefault="00EE58A9" w:rsidP="00C22C26">
            <w:pPr>
              <w:jc w:val="center"/>
              <w:rPr>
                <w:color w:val="000000"/>
                <w:sz w:val="16"/>
              </w:rPr>
            </w:pPr>
            <w:r w:rsidRPr="00C22C26">
              <w:rPr>
                <w:color w:val="000000"/>
                <w:sz w:val="16"/>
              </w:rPr>
              <w:t>0.00</w:t>
            </w:r>
          </w:p>
        </w:tc>
        <w:tc>
          <w:tcPr>
            <w:tcW w:w="862" w:type="pct"/>
            <w:shd w:val="clear" w:color="auto" w:fill="auto"/>
            <w:noWrap/>
            <w:vAlign w:val="bottom"/>
          </w:tcPr>
          <w:p w14:paraId="5D489118" w14:textId="77777777" w:rsidR="00EE58A9" w:rsidRPr="00C22C26" w:rsidRDefault="00EE58A9" w:rsidP="00C22C26">
            <w:pPr>
              <w:jc w:val="center"/>
              <w:rPr>
                <w:color w:val="000000"/>
                <w:sz w:val="16"/>
              </w:rPr>
            </w:pPr>
            <w:r w:rsidRPr="00C22C26">
              <w:rPr>
                <w:color w:val="000000"/>
                <w:sz w:val="16"/>
              </w:rPr>
              <w:t>0.00</w:t>
            </w:r>
          </w:p>
        </w:tc>
        <w:tc>
          <w:tcPr>
            <w:tcW w:w="487" w:type="pct"/>
            <w:shd w:val="clear" w:color="auto" w:fill="auto"/>
            <w:vAlign w:val="bottom"/>
          </w:tcPr>
          <w:p w14:paraId="43F33476" w14:textId="77777777" w:rsidR="00EE58A9" w:rsidRPr="00C22C26" w:rsidRDefault="00EE58A9" w:rsidP="00C22C26">
            <w:pPr>
              <w:jc w:val="center"/>
              <w:rPr>
                <w:color w:val="000000"/>
                <w:sz w:val="16"/>
              </w:rPr>
            </w:pPr>
            <w:r w:rsidRPr="00C22C26">
              <w:rPr>
                <w:color w:val="000000"/>
                <w:sz w:val="16"/>
              </w:rPr>
              <w:t>0.00</w:t>
            </w:r>
          </w:p>
        </w:tc>
        <w:tc>
          <w:tcPr>
            <w:tcW w:w="683" w:type="pct"/>
            <w:shd w:val="clear" w:color="auto" w:fill="auto"/>
            <w:noWrap/>
            <w:vAlign w:val="bottom"/>
          </w:tcPr>
          <w:p w14:paraId="64307E8A"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33734EA6" w14:textId="77777777" w:rsidR="00EE58A9" w:rsidRPr="00C22C26" w:rsidRDefault="00EE58A9" w:rsidP="00C22C26">
            <w:pPr>
              <w:jc w:val="center"/>
              <w:rPr>
                <w:color w:val="000000"/>
                <w:sz w:val="16"/>
              </w:rPr>
            </w:pPr>
            <w:r w:rsidRPr="00C22C26">
              <w:rPr>
                <w:color w:val="000000"/>
                <w:sz w:val="16"/>
              </w:rPr>
              <w:t>0.00</w:t>
            </w:r>
          </w:p>
        </w:tc>
      </w:tr>
      <w:tr w:rsidR="00EE58A9" w:rsidRPr="006A0D2A" w14:paraId="073CCDF0" w14:textId="77777777" w:rsidTr="00C22C26">
        <w:trPr>
          <w:trHeight w:val="227"/>
        </w:trPr>
        <w:tc>
          <w:tcPr>
            <w:tcW w:w="319" w:type="pct"/>
            <w:shd w:val="clear" w:color="auto" w:fill="auto"/>
            <w:noWrap/>
          </w:tcPr>
          <w:p w14:paraId="462E5365" w14:textId="77777777" w:rsidR="00EE58A9" w:rsidRPr="00CC3F49" w:rsidRDefault="00EE58A9" w:rsidP="00C22C26">
            <w:pPr>
              <w:jc w:val="center"/>
              <w:rPr>
                <w:b/>
                <w:sz w:val="16"/>
                <w:szCs w:val="16"/>
              </w:rPr>
            </w:pPr>
            <w:r w:rsidRPr="00CC3F49">
              <w:rPr>
                <w:b/>
                <w:sz w:val="16"/>
                <w:szCs w:val="16"/>
              </w:rPr>
              <w:t>2015</w:t>
            </w:r>
          </w:p>
        </w:tc>
        <w:tc>
          <w:tcPr>
            <w:tcW w:w="630" w:type="pct"/>
            <w:shd w:val="clear" w:color="auto" w:fill="auto"/>
            <w:noWrap/>
            <w:vAlign w:val="bottom"/>
          </w:tcPr>
          <w:p w14:paraId="7A421B49" w14:textId="77777777" w:rsidR="00EE58A9" w:rsidRPr="00C22C26" w:rsidRDefault="00EE58A9" w:rsidP="00C22C26">
            <w:pPr>
              <w:jc w:val="center"/>
              <w:rPr>
                <w:color w:val="000000"/>
                <w:sz w:val="16"/>
              </w:rPr>
            </w:pPr>
            <w:r w:rsidRPr="00C22C26">
              <w:rPr>
                <w:color w:val="000000"/>
                <w:sz w:val="16"/>
              </w:rPr>
              <w:t>0.00</w:t>
            </w:r>
          </w:p>
        </w:tc>
        <w:tc>
          <w:tcPr>
            <w:tcW w:w="360" w:type="pct"/>
            <w:shd w:val="clear" w:color="auto" w:fill="auto"/>
            <w:noWrap/>
            <w:vAlign w:val="bottom"/>
          </w:tcPr>
          <w:p w14:paraId="551DB84E" w14:textId="77777777" w:rsidR="00EE58A9" w:rsidRPr="00C22C26" w:rsidRDefault="00EE58A9" w:rsidP="00C22C26">
            <w:pPr>
              <w:jc w:val="center"/>
              <w:rPr>
                <w:color w:val="000000"/>
                <w:sz w:val="16"/>
              </w:rPr>
            </w:pPr>
            <w:r w:rsidRPr="00C22C26">
              <w:rPr>
                <w:color w:val="000000"/>
                <w:sz w:val="16"/>
              </w:rPr>
              <w:t>0.00</w:t>
            </w:r>
          </w:p>
        </w:tc>
        <w:tc>
          <w:tcPr>
            <w:tcW w:w="827" w:type="pct"/>
            <w:shd w:val="clear" w:color="auto" w:fill="auto"/>
            <w:noWrap/>
            <w:vAlign w:val="bottom"/>
          </w:tcPr>
          <w:p w14:paraId="70345AAE" w14:textId="77777777" w:rsidR="00EE58A9" w:rsidRPr="00C22C26" w:rsidRDefault="00EE58A9" w:rsidP="00C22C26">
            <w:pPr>
              <w:jc w:val="center"/>
              <w:rPr>
                <w:color w:val="000000"/>
                <w:sz w:val="16"/>
              </w:rPr>
            </w:pPr>
            <w:r w:rsidRPr="00C22C26">
              <w:rPr>
                <w:color w:val="000000"/>
                <w:sz w:val="16"/>
              </w:rPr>
              <w:t>0.00</w:t>
            </w:r>
          </w:p>
        </w:tc>
        <w:tc>
          <w:tcPr>
            <w:tcW w:w="360" w:type="pct"/>
            <w:shd w:val="clear" w:color="auto" w:fill="auto"/>
            <w:vAlign w:val="bottom"/>
          </w:tcPr>
          <w:p w14:paraId="2387B6F4" w14:textId="77777777" w:rsidR="00EE58A9" w:rsidRPr="00C22C26" w:rsidRDefault="00EE58A9" w:rsidP="00C22C26">
            <w:pPr>
              <w:jc w:val="center"/>
              <w:rPr>
                <w:color w:val="000000"/>
                <w:sz w:val="16"/>
              </w:rPr>
            </w:pPr>
            <w:r w:rsidRPr="00C22C26">
              <w:rPr>
                <w:color w:val="000000"/>
                <w:sz w:val="16"/>
              </w:rPr>
              <w:t>0.00</w:t>
            </w:r>
          </w:p>
        </w:tc>
        <w:tc>
          <w:tcPr>
            <w:tcW w:w="862" w:type="pct"/>
            <w:shd w:val="clear" w:color="auto" w:fill="auto"/>
            <w:noWrap/>
            <w:vAlign w:val="bottom"/>
          </w:tcPr>
          <w:p w14:paraId="28827E4B" w14:textId="77777777" w:rsidR="00EE58A9" w:rsidRPr="00C22C26" w:rsidRDefault="00EE58A9" w:rsidP="00C22C26">
            <w:pPr>
              <w:jc w:val="center"/>
              <w:rPr>
                <w:color w:val="000000"/>
                <w:sz w:val="16"/>
              </w:rPr>
            </w:pPr>
            <w:r w:rsidRPr="00C22C26">
              <w:rPr>
                <w:color w:val="000000"/>
                <w:sz w:val="16"/>
              </w:rPr>
              <w:t>0.00</w:t>
            </w:r>
          </w:p>
        </w:tc>
        <w:tc>
          <w:tcPr>
            <w:tcW w:w="487" w:type="pct"/>
            <w:shd w:val="clear" w:color="auto" w:fill="auto"/>
            <w:vAlign w:val="bottom"/>
          </w:tcPr>
          <w:p w14:paraId="3133B9F2" w14:textId="77777777" w:rsidR="00EE58A9" w:rsidRPr="00C22C26" w:rsidRDefault="00EE58A9" w:rsidP="00C22C26">
            <w:pPr>
              <w:jc w:val="center"/>
              <w:rPr>
                <w:color w:val="000000"/>
                <w:sz w:val="16"/>
              </w:rPr>
            </w:pPr>
            <w:r w:rsidRPr="00C22C26">
              <w:rPr>
                <w:color w:val="000000"/>
                <w:sz w:val="16"/>
              </w:rPr>
              <w:t>0.00</w:t>
            </w:r>
          </w:p>
        </w:tc>
        <w:tc>
          <w:tcPr>
            <w:tcW w:w="683" w:type="pct"/>
            <w:shd w:val="clear" w:color="auto" w:fill="auto"/>
            <w:noWrap/>
            <w:vAlign w:val="bottom"/>
          </w:tcPr>
          <w:p w14:paraId="28714352"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1C30626E" w14:textId="77777777" w:rsidR="00EE58A9" w:rsidRPr="00C22C26" w:rsidRDefault="00EE58A9" w:rsidP="00C22C26">
            <w:pPr>
              <w:jc w:val="center"/>
              <w:rPr>
                <w:color w:val="000000"/>
                <w:sz w:val="16"/>
              </w:rPr>
            </w:pPr>
            <w:r w:rsidRPr="00C22C26">
              <w:rPr>
                <w:color w:val="000000"/>
                <w:sz w:val="16"/>
              </w:rPr>
              <w:t>0.00</w:t>
            </w:r>
          </w:p>
        </w:tc>
      </w:tr>
      <w:tr w:rsidR="00EE58A9" w:rsidRPr="006A0D2A" w14:paraId="6F94A4D3" w14:textId="77777777" w:rsidTr="00C22C26">
        <w:trPr>
          <w:trHeight w:val="227"/>
        </w:trPr>
        <w:tc>
          <w:tcPr>
            <w:tcW w:w="319" w:type="pct"/>
            <w:shd w:val="clear" w:color="auto" w:fill="auto"/>
            <w:noWrap/>
            <w:hideMark/>
          </w:tcPr>
          <w:p w14:paraId="42B5179A" w14:textId="77777777" w:rsidR="00EE58A9" w:rsidRPr="00CC3F49" w:rsidRDefault="00EE58A9" w:rsidP="00C22C26">
            <w:pPr>
              <w:jc w:val="center"/>
              <w:rPr>
                <w:b/>
                <w:sz w:val="16"/>
                <w:szCs w:val="16"/>
              </w:rPr>
            </w:pPr>
            <w:r w:rsidRPr="00CC3F49">
              <w:rPr>
                <w:b/>
                <w:sz w:val="16"/>
                <w:szCs w:val="16"/>
              </w:rPr>
              <w:t>2016</w:t>
            </w:r>
          </w:p>
        </w:tc>
        <w:tc>
          <w:tcPr>
            <w:tcW w:w="630" w:type="pct"/>
            <w:shd w:val="clear" w:color="auto" w:fill="auto"/>
            <w:noWrap/>
            <w:vAlign w:val="bottom"/>
          </w:tcPr>
          <w:p w14:paraId="38573740" w14:textId="77777777" w:rsidR="00EE58A9" w:rsidRPr="00C22C26" w:rsidRDefault="00EE58A9" w:rsidP="00C22C26">
            <w:pPr>
              <w:jc w:val="center"/>
              <w:rPr>
                <w:color w:val="000000"/>
                <w:sz w:val="16"/>
              </w:rPr>
            </w:pPr>
            <w:r w:rsidRPr="00C22C26">
              <w:rPr>
                <w:color w:val="000000"/>
                <w:sz w:val="16"/>
              </w:rPr>
              <w:t>217.32</w:t>
            </w:r>
          </w:p>
        </w:tc>
        <w:tc>
          <w:tcPr>
            <w:tcW w:w="360" w:type="pct"/>
            <w:shd w:val="clear" w:color="auto" w:fill="auto"/>
            <w:noWrap/>
            <w:vAlign w:val="bottom"/>
          </w:tcPr>
          <w:p w14:paraId="04EF76F5" w14:textId="77777777" w:rsidR="00EE58A9" w:rsidRPr="00C22C26" w:rsidRDefault="00EE58A9" w:rsidP="00C22C26">
            <w:pPr>
              <w:jc w:val="center"/>
              <w:rPr>
                <w:color w:val="000000"/>
                <w:sz w:val="16"/>
              </w:rPr>
            </w:pPr>
            <w:r w:rsidRPr="00C22C26">
              <w:rPr>
                <w:color w:val="000000"/>
                <w:sz w:val="16"/>
              </w:rPr>
              <w:t>0.20</w:t>
            </w:r>
          </w:p>
        </w:tc>
        <w:tc>
          <w:tcPr>
            <w:tcW w:w="827" w:type="pct"/>
            <w:shd w:val="clear" w:color="auto" w:fill="auto"/>
            <w:noWrap/>
            <w:vAlign w:val="bottom"/>
          </w:tcPr>
          <w:p w14:paraId="71B34D46" w14:textId="77777777" w:rsidR="00EE58A9" w:rsidRPr="00C22C26" w:rsidRDefault="00EE58A9" w:rsidP="00C22C26">
            <w:pPr>
              <w:jc w:val="center"/>
              <w:rPr>
                <w:color w:val="000000"/>
                <w:sz w:val="16"/>
              </w:rPr>
            </w:pPr>
            <w:r w:rsidRPr="00C22C26">
              <w:rPr>
                <w:color w:val="000000"/>
                <w:sz w:val="16"/>
              </w:rPr>
              <w:t>279.98</w:t>
            </w:r>
          </w:p>
        </w:tc>
        <w:tc>
          <w:tcPr>
            <w:tcW w:w="360" w:type="pct"/>
            <w:shd w:val="clear" w:color="auto" w:fill="auto"/>
            <w:vAlign w:val="bottom"/>
          </w:tcPr>
          <w:p w14:paraId="06A86015" w14:textId="77777777" w:rsidR="00EE58A9" w:rsidRPr="00C22C26" w:rsidRDefault="00EE58A9" w:rsidP="00C22C26">
            <w:pPr>
              <w:jc w:val="center"/>
              <w:rPr>
                <w:color w:val="000000"/>
                <w:sz w:val="16"/>
              </w:rPr>
            </w:pPr>
            <w:r w:rsidRPr="00C22C26">
              <w:rPr>
                <w:color w:val="000000"/>
                <w:sz w:val="16"/>
              </w:rPr>
              <w:t>29.18</w:t>
            </w:r>
          </w:p>
        </w:tc>
        <w:tc>
          <w:tcPr>
            <w:tcW w:w="862" w:type="pct"/>
            <w:shd w:val="clear" w:color="auto" w:fill="auto"/>
            <w:noWrap/>
            <w:vAlign w:val="bottom"/>
          </w:tcPr>
          <w:p w14:paraId="047ABD9B" w14:textId="77777777" w:rsidR="00EE58A9" w:rsidRPr="00C22C26" w:rsidRDefault="00EE58A9" w:rsidP="00C22C26">
            <w:pPr>
              <w:jc w:val="center"/>
              <w:rPr>
                <w:color w:val="000000"/>
                <w:sz w:val="16"/>
              </w:rPr>
            </w:pPr>
            <w:r w:rsidRPr="00C22C26">
              <w:rPr>
                <w:color w:val="000000"/>
                <w:sz w:val="16"/>
              </w:rPr>
              <w:t>0.00</w:t>
            </w:r>
          </w:p>
        </w:tc>
        <w:tc>
          <w:tcPr>
            <w:tcW w:w="487" w:type="pct"/>
            <w:shd w:val="clear" w:color="auto" w:fill="auto"/>
            <w:vAlign w:val="bottom"/>
          </w:tcPr>
          <w:p w14:paraId="73C88AB8" w14:textId="77777777" w:rsidR="00EE58A9" w:rsidRPr="00C22C26" w:rsidRDefault="00EE58A9" w:rsidP="00C22C26">
            <w:pPr>
              <w:jc w:val="center"/>
              <w:rPr>
                <w:color w:val="000000"/>
                <w:sz w:val="16"/>
              </w:rPr>
            </w:pPr>
            <w:r w:rsidRPr="00C22C26">
              <w:rPr>
                <w:color w:val="000000"/>
                <w:sz w:val="16"/>
              </w:rPr>
              <w:t>13.87</w:t>
            </w:r>
          </w:p>
        </w:tc>
        <w:tc>
          <w:tcPr>
            <w:tcW w:w="683" w:type="pct"/>
            <w:shd w:val="clear" w:color="auto" w:fill="auto"/>
            <w:noWrap/>
            <w:vAlign w:val="bottom"/>
          </w:tcPr>
          <w:p w14:paraId="6F7EA383"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6853BD5E" w14:textId="77777777" w:rsidR="00EE58A9" w:rsidRPr="00C22C26" w:rsidRDefault="00EE58A9" w:rsidP="00C22C26">
            <w:pPr>
              <w:jc w:val="center"/>
              <w:rPr>
                <w:color w:val="000000"/>
                <w:sz w:val="16"/>
              </w:rPr>
            </w:pPr>
            <w:r w:rsidRPr="00C22C26">
              <w:rPr>
                <w:color w:val="000000"/>
                <w:sz w:val="16"/>
              </w:rPr>
              <w:t>36.92</w:t>
            </w:r>
          </w:p>
        </w:tc>
      </w:tr>
      <w:tr w:rsidR="00EE58A9" w:rsidRPr="006A0D2A" w14:paraId="10B72094" w14:textId="77777777" w:rsidTr="00C22C26">
        <w:trPr>
          <w:trHeight w:val="227"/>
        </w:trPr>
        <w:tc>
          <w:tcPr>
            <w:tcW w:w="319" w:type="pct"/>
            <w:shd w:val="clear" w:color="auto" w:fill="auto"/>
            <w:noWrap/>
            <w:hideMark/>
          </w:tcPr>
          <w:p w14:paraId="34841F26" w14:textId="77777777" w:rsidR="00EE58A9" w:rsidRPr="00CC3F49" w:rsidRDefault="00EE58A9" w:rsidP="00C22C26">
            <w:pPr>
              <w:jc w:val="center"/>
              <w:rPr>
                <w:b/>
                <w:sz w:val="16"/>
                <w:szCs w:val="16"/>
              </w:rPr>
            </w:pPr>
            <w:r w:rsidRPr="00CC3F49">
              <w:rPr>
                <w:b/>
                <w:sz w:val="16"/>
                <w:szCs w:val="16"/>
              </w:rPr>
              <w:t>2017</w:t>
            </w:r>
          </w:p>
        </w:tc>
        <w:tc>
          <w:tcPr>
            <w:tcW w:w="630" w:type="pct"/>
            <w:shd w:val="clear" w:color="auto" w:fill="auto"/>
            <w:noWrap/>
            <w:vAlign w:val="bottom"/>
          </w:tcPr>
          <w:p w14:paraId="4BABCF3E" w14:textId="77777777" w:rsidR="00EE58A9" w:rsidRPr="00C22C26" w:rsidRDefault="00EE58A9" w:rsidP="00C22C26">
            <w:pPr>
              <w:jc w:val="center"/>
              <w:rPr>
                <w:color w:val="000000"/>
                <w:sz w:val="16"/>
              </w:rPr>
            </w:pPr>
            <w:r w:rsidRPr="00C22C26">
              <w:rPr>
                <w:color w:val="000000"/>
                <w:sz w:val="16"/>
              </w:rPr>
              <w:t>482.61</w:t>
            </w:r>
          </w:p>
        </w:tc>
        <w:tc>
          <w:tcPr>
            <w:tcW w:w="360" w:type="pct"/>
            <w:shd w:val="clear" w:color="auto" w:fill="auto"/>
            <w:noWrap/>
            <w:vAlign w:val="bottom"/>
          </w:tcPr>
          <w:p w14:paraId="193A6095" w14:textId="77777777" w:rsidR="00EE58A9" w:rsidRPr="00C22C26" w:rsidRDefault="00EE58A9" w:rsidP="00C22C26">
            <w:pPr>
              <w:jc w:val="center"/>
              <w:rPr>
                <w:color w:val="000000"/>
                <w:sz w:val="16"/>
              </w:rPr>
            </w:pPr>
            <w:r w:rsidRPr="00C22C26">
              <w:rPr>
                <w:color w:val="000000"/>
                <w:sz w:val="16"/>
              </w:rPr>
              <w:t>29.12</w:t>
            </w:r>
          </w:p>
        </w:tc>
        <w:tc>
          <w:tcPr>
            <w:tcW w:w="827" w:type="pct"/>
            <w:shd w:val="clear" w:color="auto" w:fill="auto"/>
            <w:noWrap/>
            <w:vAlign w:val="bottom"/>
          </w:tcPr>
          <w:p w14:paraId="6F97EC8C" w14:textId="77777777" w:rsidR="00EE58A9" w:rsidRPr="00C22C26" w:rsidRDefault="00EE58A9" w:rsidP="00C22C26">
            <w:pPr>
              <w:jc w:val="center"/>
              <w:rPr>
                <w:color w:val="000000"/>
                <w:sz w:val="16"/>
              </w:rPr>
            </w:pPr>
            <w:r w:rsidRPr="00C22C26">
              <w:rPr>
                <w:color w:val="000000"/>
                <w:sz w:val="16"/>
              </w:rPr>
              <w:t>926.20</w:t>
            </w:r>
          </w:p>
        </w:tc>
        <w:tc>
          <w:tcPr>
            <w:tcW w:w="360" w:type="pct"/>
            <w:shd w:val="clear" w:color="auto" w:fill="auto"/>
            <w:vAlign w:val="bottom"/>
          </w:tcPr>
          <w:p w14:paraId="325AAE72" w14:textId="77777777" w:rsidR="00EE58A9" w:rsidRPr="00C22C26" w:rsidRDefault="00EE58A9" w:rsidP="00C22C26">
            <w:pPr>
              <w:jc w:val="center"/>
              <w:rPr>
                <w:color w:val="000000"/>
                <w:sz w:val="16"/>
              </w:rPr>
            </w:pPr>
            <w:r w:rsidRPr="00C22C26">
              <w:rPr>
                <w:color w:val="000000"/>
                <w:sz w:val="16"/>
              </w:rPr>
              <w:t>89.59</w:t>
            </w:r>
          </w:p>
        </w:tc>
        <w:tc>
          <w:tcPr>
            <w:tcW w:w="862" w:type="pct"/>
            <w:shd w:val="clear" w:color="auto" w:fill="auto"/>
            <w:noWrap/>
            <w:vAlign w:val="bottom"/>
          </w:tcPr>
          <w:p w14:paraId="5BE3215B" w14:textId="77777777" w:rsidR="00EE58A9" w:rsidRPr="00C22C26" w:rsidRDefault="00EE58A9" w:rsidP="00C22C26">
            <w:pPr>
              <w:jc w:val="center"/>
              <w:rPr>
                <w:color w:val="000000"/>
                <w:sz w:val="16"/>
              </w:rPr>
            </w:pPr>
            <w:r w:rsidRPr="00C22C26">
              <w:rPr>
                <w:color w:val="000000"/>
                <w:sz w:val="16"/>
              </w:rPr>
              <w:t>91.84</w:t>
            </w:r>
          </w:p>
        </w:tc>
        <w:tc>
          <w:tcPr>
            <w:tcW w:w="487" w:type="pct"/>
            <w:shd w:val="clear" w:color="auto" w:fill="auto"/>
            <w:vAlign w:val="bottom"/>
          </w:tcPr>
          <w:p w14:paraId="33838703" w14:textId="77777777" w:rsidR="00EE58A9" w:rsidRPr="00C22C26" w:rsidRDefault="00EE58A9" w:rsidP="00C22C26">
            <w:pPr>
              <w:jc w:val="center"/>
              <w:rPr>
                <w:color w:val="000000"/>
                <w:sz w:val="16"/>
              </w:rPr>
            </w:pPr>
            <w:r w:rsidRPr="00C22C26">
              <w:rPr>
                <w:color w:val="000000"/>
                <w:sz w:val="16"/>
              </w:rPr>
              <w:t>135.14</w:t>
            </w:r>
          </w:p>
        </w:tc>
        <w:tc>
          <w:tcPr>
            <w:tcW w:w="683" w:type="pct"/>
            <w:shd w:val="clear" w:color="auto" w:fill="auto"/>
            <w:noWrap/>
            <w:vAlign w:val="bottom"/>
          </w:tcPr>
          <w:p w14:paraId="57DF4798"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2BCA7354" w14:textId="77777777" w:rsidR="00EE58A9" w:rsidRPr="00C22C26" w:rsidRDefault="00EE58A9" w:rsidP="00C22C26">
            <w:pPr>
              <w:jc w:val="center"/>
              <w:rPr>
                <w:color w:val="000000"/>
                <w:sz w:val="16"/>
              </w:rPr>
            </w:pPr>
            <w:r w:rsidRPr="00C22C26">
              <w:rPr>
                <w:color w:val="000000"/>
                <w:sz w:val="16"/>
              </w:rPr>
              <w:t>333.53</w:t>
            </w:r>
          </w:p>
        </w:tc>
      </w:tr>
      <w:tr w:rsidR="00EE58A9" w:rsidRPr="006A0D2A" w14:paraId="7F62AE4A" w14:textId="77777777" w:rsidTr="00C22C26">
        <w:trPr>
          <w:trHeight w:val="227"/>
        </w:trPr>
        <w:tc>
          <w:tcPr>
            <w:tcW w:w="319" w:type="pct"/>
            <w:shd w:val="clear" w:color="auto" w:fill="auto"/>
            <w:noWrap/>
            <w:hideMark/>
          </w:tcPr>
          <w:p w14:paraId="5C69970B" w14:textId="77777777" w:rsidR="00EE58A9" w:rsidRPr="00CC3F49" w:rsidRDefault="00EE58A9" w:rsidP="00C22C26">
            <w:pPr>
              <w:jc w:val="center"/>
              <w:rPr>
                <w:b/>
                <w:sz w:val="16"/>
                <w:szCs w:val="16"/>
              </w:rPr>
            </w:pPr>
            <w:r w:rsidRPr="00CC3F49">
              <w:rPr>
                <w:b/>
                <w:sz w:val="16"/>
                <w:szCs w:val="16"/>
              </w:rPr>
              <w:t>2018</w:t>
            </w:r>
          </w:p>
        </w:tc>
        <w:tc>
          <w:tcPr>
            <w:tcW w:w="630" w:type="pct"/>
            <w:shd w:val="clear" w:color="auto" w:fill="auto"/>
            <w:noWrap/>
            <w:vAlign w:val="bottom"/>
          </w:tcPr>
          <w:p w14:paraId="59D4738F" w14:textId="77777777" w:rsidR="00EE58A9" w:rsidRPr="00C22C26" w:rsidRDefault="00EE58A9" w:rsidP="00C22C26">
            <w:pPr>
              <w:jc w:val="center"/>
              <w:rPr>
                <w:color w:val="000000"/>
                <w:sz w:val="16"/>
              </w:rPr>
            </w:pPr>
            <w:r w:rsidRPr="00C22C26">
              <w:rPr>
                <w:color w:val="000000"/>
                <w:sz w:val="16"/>
              </w:rPr>
              <w:t>647.60</w:t>
            </w:r>
          </w:p>
        </w:tc>
        <w:tc>
          <w:tcPr>
            <w:tcW w:w="360" w:type="pct"/>
            <w:shd w:val="clear" w:color="auto" w:fill="auto"/>
            <w:noWrap/>
            <w:vAlign w:val="bottom"/>
          </w:tcPr>
          <w:p w14:paraId="46622ABD" w14:textId="77777777" w:rsidR="00EE58A9" w:rsidRPr="00C22C26" w:rsidRDefault="00EE58A9" w:rsidP="00C22C26">
            <w:pPr>
              <w:jc w:val="center"/>
              <w:rPr>
                <w:color w:val="000000"/>
                <w:sz w:val="16"/>
              </w:rPr>
            </w:pPr>
            <w:r w:rsidRPr="00C22C26">
              <w:rPr>
                <w:color w:val="000000"/>
                <w:sz w:val="16"/>
              </w:rPr>
              <w:t>126.98</w:t>
            </w:r>
          </w:p>
        </w:tc>
        <w:tc>
          <w:tcPr>
            <w:tcW w:w="827" w:type="pct"/>
            <w:shd w:val="clear" w:color="auto" w:fill="auto"/>
            <w:noWrap/>
            <w:vAlign w:val="bottom"/>
          </w:tcPr>
          <w:p w14:paraId="3F0E5CD1" w14:textId="77777777" w:rsidR="00EE58A9" w:rsidRPr="00C22C26" w:rsidRDefault="00EE58A9" w:rsidP="00C22C26">
            <w:pPr>
              <w:jc w:val="center"/>
              <w:rPr>
                <w:color w:val="000000"/>
                <w:sz w:val="16"/>
              </w:rPr>
            </w:pPr>
            <w:r w:rsidRPr="00C22C26">
              <w:rPr>
                <w:color w:val="000000"/>
                <w:sz w:val="16"/>
              </w:rPr>
              <w:t>1032.63</w:t>
            </w:r>
          </w:p>
        </w:tc>
        <w:tc>
          <w:tcPr>
            <w:tcW w:w="360" w:type="pct"/>
            <w:shd w:val="clear" w:color="auto" w:fill="auto"/>
            <w:vAlign w:val="bottom"/>
          </w:tcPr>
          <w:p w14:paraId="250B94B2" w14:textId="77777777" w:rsidR="00EE58A9" w:rsidRPr="00C22C26" w:rsidRDefault="00EE58A9" w:rsidP="00C22C26">
            <w:pPr>
              <w:jc w:val="center"/>
              <w:rPr>
                <w:color w:val="000000"/>
                <w:sz w:val="16"/>
              </w:rPr>
            </w:pPr>
            <w:r w:rsidRPr="00C22C26">
              <w:rPr>
                <w:color w:val="000000"/>
                <w:sz w:val="16"/>
              </w:rPr>
              <w:t>287.45</w:t>
            </w:r>
          </w:p>
        </w:tc>
        <w:tc>
          <w:tcPr>
            <w:tcW w:w="862" w:type="pct"/>
            <w:shd w:val="clear" w:color="auto" w:fill="auto"/>
            <w:noWrap/>
            <w:vAlign w:val="bottom"/>
          </w:tcPr>
          <w:p w14:paraId="4854312D" w14:textId="77777777" w:rsidR="00EE58A9" w:rsidRPr="00C22C26" w:rsidRDefault="00EE58A9" w:rsidP="00C22C26">
            <w:pPr>
              <w:jc w:val="center"/>
              <w:rPr>
                <w:color w:val="000000"/>
                <w:sz w:val="16"/>
              </w:rPr>
            </w:pPr>
            <w:r w:rsidRPr="00C22C26">
              <w:rPr>
                <w:color w:val="000000"/>
                <w:sz w:val="16"/>
              </w:rPr>
              <w:t>177.17</w:t>
            </w:r>
          </w:p>
        </w:tc>
        <w:tc>
          <w:tcPr>
            <w:tcW w:w="487" w:type="pct"/>
            <w:shd w:val="clear" w:color="auto" w:fill="auto"/>
            <w:vAlign w:val="bottom"/>
          </w:tcPr>
          <w:p w14:paraId="60EF743F" w14:textId="77777777" w:rsidR="00EE58A9" w:rsidRPr="00C22C26" w:rsidRDefault="00EE58A9" w:rsidP="00C22C26">
            <w:pPr>
              <w:jc w:val="center"/>
              <w:rPr>
                <w:color w:val="000000"/>
                <w:sz w:val="16"/>
              </w:rPr>
            </w:pPr>
            <w:r w:rsidRPr="00C22C26">
              <w:rPr>
                <w:color w:val="000000"/>
                <w:sz w:val="16"/>
              </w:rPr>
              <w:t>258.99</w:t>
            </w:r>
          </w:p>
        </w:tc>
        <w:tc>
          <w:tcPr>
            <w:tcW w:w="683" w:type="pct"/>
            <w:shd w:val="clear" w:color="auto" w:fill="auto"/>
            <w:noWrap/>
            <w:vAlign w:val="bottom"/>
          </w:tcPr>
          <w:p w14:paraId="5D4B7A1D"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33989396" w14:textId="77777777" w:rsidR="00EE58A9" w:rsidRPr="00C22C26" w:rsidRDefault="00EE58A9" w:rsidP="00C22C26">
            <w:pPr>
              <w:jc w:val="center"/>
              <w:rPr>
                <w:color w:val="000000"/>
                <w:sz w:val="16"/>
              </w:rPr>
            </w:pPr>
            <w:r w:rsidRPr="00C22C26">
              <w:rPr>
                <w:color w:val="000000"/>
                <w:sz w:val="16"/>
              </w:rPr>
              <w:t>586.94</w:t>
            </w:r>
          </w:p>
        </w:tc>
      </w:tr>
      <w:tr w:rsidR="00EE58A9" w:rsidRPr="006A0D2A" w14:paraId="149A99E8" w14:textId="77777777" w:rsidTr="00C22C26">
        <w:trPr>
          <w:trHeight w:val="227"/>
        </w:trPr>
        <w:tc>
          <w:tcPr>
            <w:tcW w:w="319" w:type="pct"/>
            <w:shd w:val="clear" w:color="auto" w:fill="auto"/>
            <w:noWrap/>
          </w:tcPr>
          <w:p w14:paraId="07C5540F" w14:textId="77777777" w:rsidR="00EE58A9" w:rsidRPr="00CC3F49" w:rsidRDefault="00EE58A9" w:rsidP="00C22C26">
            <w:pPr>
              <w:jc w:val="center"/>
              <w:rPr>
                <w:b/>
                <w:sz w:val="16"/>
                <w:szCs w:val="16"/>
              </w:rPr>
            </w:pPr>
            <w:r w:rsidRPr="00CC3F49">
              <w:rPr>
                <w:b/>
                <w:sz w:val="16"/>
                <w:szCs w:val="16"/>
              </w:rPr>
              <w:t>2019</w:t>
            </w:r>
          </w:p>
        </w:tc>
        <w:tc>
          <w:tcPr>
            <w:tcW w:w="630" w:type="pct"/>
            <w:shd w:val="clear" w:color="auto" w:fill="auto"/>
            <w:noWrap/>
            <w:vAlign w:val="bottom"/>
          </w:tcPr>
          <w:p w14:paraId="38366AA3" w14:textId="77777777" w:rsidR="00EE58A9" w:rsidRPr="00C22C26" w:rsidRDefault="00EE58A9" w:rsidP="00C22C26">
            <w:pPr>
              <w:jc w:val="center"/>
              <w:rPr>
                <w:color w:val="000000"/>
                <w:sz w:val="16"/>
              </w:rPr>
            </w:pPr>
            <w:r w:rsidRPr="00C22C26">
              <w:rPr>
                <w:color w:val="000000"/>
                <w:sz w:val="16"/>
              </w:rPr>
              <w:t>976.75</w:t>
            </w:r>
          </w:p>
        </w:tc>
        <w:tc>
          <w:tcPr>
            <w:tcW w:w="360" w:type="pct"/>
            <w:shd w:val="clear" w:color="auto" w:fill="auto"/>
            <w:noWrap/>
            <w:vAlign w:val="bottom"/>
          </w:tcPr>
          <w:p w14:paraId="1AA5C8FB" w14:textId="77777777" w:rsidR="00EE58A9" w:rsidRPr="00C22C26" w:rsidRDefault="00EE58A9" w:rsidP="00C22C26">
            <w:pPr>
              <w:jc w:val="center"/>
              <w:rPr>
                <w:color w:val="000000"/>
                <w:sz w:val="16"/>
              </w:rPr>
            </w:pPr>
            <w:r w:rsidRPr="00C22C26">
              <w:rPr>
                <w:color w:val="000000"/>
                <w:sz w:val="16"/>
              </w:rPr>
              <w:t>331.30</w:t>
            </w:r>
          </w:p>
        </w:tc>
        <w:tc>
          <w:tcPr>
            <w:tcW w:w="827" w:type="pct"/>
            <w:shd w:val="clear" w:color="auto" w:fill="auto"/>
            <w:noWrap/>
            <w:vAlign w:val="bottom"/>
          </w:tcPr>
          <w:p w14:paraId="651C0FE3" w14:textId="77777777" w:rsidR="00EE58A9" w:rsidRPr="00C22C26" w:rsidRDefault="00EE58A9" w:rsidP="00C22C26">
            <w:pPr>
              <w:jc w:val="center"/>
              <w:rPr>
                <w:color w:val="000000"/>
                <w:sz w:val="16"/>
              </w:rPr>
            </w:pPr>
            <w:r w:rsidRPr="00C22C26">
              <w:rPr>
                <w:color w:val="000000"/>
                <w:sz w:val="16"/>
              </w:rPr>
              <w:t>1166.42</w:t>
            </w:r>
          </w:p>
        </w:tc>
        <w:tc>
          <w:tcPr>
            <w:tcW w:w="360" w:type="pct"/>
            <w:shd w:val="clear" w:color="auto" w:fill="auto"/>
            <w:vAlign w:val="bottom"/>
          </w:tcPr>
          <w:p w14:paraId="009A54FB" w14:textId="77777777" w:rsidR="00EE58A9" w:rsidRPr="00C22C26" w:rsidRDefault="00EE58A9" w:rsidP="00C22C26">
            <w:pPr>
              <w:jc w:val="center"/>
              <w:rPr>
                <w:color w:val="000000"/>
                <w:sz w:val="16"/>
              </w:rPr>
            </w:pPr>
            <w:r w:rsidRPr="00C22C26">
              <w:rPr>
                <w:color w:val="000000"/>
                <w:sz w:val="16"/>
              </w:rPr>
              <w:t>310.86</w:t>
            </w:r>
          </w:p>
        </w:tc>
        <w:tc>
          <w:tcPr>
            <w:tcW w:w="862" w:type="pct"/>
            <w:shd w:val="clear" w:color="auto" w:fill="auto"/>
            <w:noWrap/>
            <w:vAlign w:val="bottom"/>
          </w:tcPr>
          <w:p w14:paraId="3BBAC8AC" w14:textId="77777777" w:rsidR="00EE58A9" w:rsidRPr="00C22C26" w:rsidRDefault="00EE58A9" w:rsidP="00C22C26">
            <w:pPr>
              <w:jc w:val="center"/>
              <w:rPr>
                <w:color w:val="000000"/>
                <w:sz w:val="16"/>
              </w:rPr>
            </w:pPr>
            <w:r w:rsidRPr="00C22C26">
              <w:rPr>
                <w:color w:val="000000"/>
                <w:sz w:val="16"/>
              </w:rPr>
              <w:t>258.63</w:t>
            </w:r>
          </w:p>
        </w:tc>
        <w:tc>
          <w:tcPr>
            <w:tcW w:w="487" w:type="pct"/>
            <w:shd w:val="clear" w:color="auto" w:fill="auto"/>
            <w:vAlign w:val="bottom"/>
          </w:tcPr>
          <w:p w14:paraId="07B13DC3" w14:textId="77777777" w:rsidR="00EE58A9" w:rsidRPr="00C22C26" w:rsidRDefault="00EE58A9" w:rsidP="00C22C26">
            <w:pPr>
              <w:jc w:val="center"/>
              <w:rPr>
                <w:color w:val="000000"/>
                <w:sz w:val="16"/>
              </w:rPr>
            </w:pPr>
            <w:r w:rsidRPr="00C22C26">
              <w:rPr>
                <w:color w:val="000000"/>
                <w:sz w:val="16"/>
              </w:rPr>
              <w:t>332.21</w:t>
            </w:r>
          </w:p>
        </w:tc>
        <w:tc>
          <w:tcPr>
            <w:tcW w:w="683" w:type="pct"/>
            <w:shd w:val="clear" w:color="auto" w:fill="auto"/>
            <w:noWrap/>
            <w:vAlign w:val="bottom"/>
          </w:tcPr>
          <w:p w14:paraId="359B2786"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1C4816AD" w14:textId="77777777" w:rsidR="00EE58A9" w:rsidRPr="00C22C26" w:rsidRDefault="00EE58A9" w:rsidP="00C22C26">
            <w:pPr>
              <w:jc w:val="center"/>
              <w:rPr>
                <w:color w:val="000000"/>
                <w:sz w:val="16"/>
              </w:rPr>
            </w:pPr>
            <w:r w:rsidRPr="00C22C26">
              <w:rPr>
                <w:color w:val="000000"/>
                <w:sz w:val="16"/>
              </w:rPr>
              <w:t>863.29</w:t>
            </w:r>
          </w:p>
        </w:tc>
      </w:tr>
      <w:tr w:rsidR="00EE58A9" w:rsidRPr="006A0D2A" w14:paraId="6030509D" w14:textId="77777777" w:rsidTr="00C22C26">
        <w:trPr>
          <w:trHeight w:val="227"/>
        </w:trPr>
        <w:tc>
          <w:tcPr>
            <w:tcW w:w="319" w:type="pct"/>
            <w:shd w:val="clear" w:color="auto" w:fill="auto"/>
            <w:noWrap/>
          </w:tcPr>
          <w:p w14:paraId="0A0F0F75" w14:textId="77777777" w:rsidR="00EE58A9" w:rsidRPr="00CC3F49" w:rsidRDefault="00EE58A9" w:rsidP="00C22C26">
            <w:pPr>
              <w:jc w:val="center"/>
              <w:rPr>
                <w:b/>
                <w:sz w:val="16"/>
                <w:szCs w:val="16"/>
              </w:rPr>
            </w:pPr>
            <w:r w:rsidRPr="00CC3F49">
              <w:rPr>
                <w:b/>
                <w:sz w:val="16"/>
                <w:szCs w:val="16"/>
              </w:rPr>
              <w:t>2020</w:t>
            </w:r>
          </w:p>
        </w:tc>
        <w:tc>
          <w:tcPr>
            <w:tcW w:w="630" w:type="pct"/>
            <w:shd w:val="clear" w:color="auto" w:fill="auto"/>
            <w:noWrap/>
            <w:vAlign w:val="bottom"/>
          </w:tcPr>
          <w:p w14:paraId="7ED0BB7D" w14:textId="77777777" w:rsidR="00EE58A9" w:rsidRPr="00C22C26" w:rsidRDefault="00EE58A9" w:rsidP="00C22C26">
            <w:pPr>
              <w:jc w:val="center"/>
              <w:rPr>
                <w:color w:val="000000"/>
                <w:sz w:val="16"/>
              </w:rPr>
            </w:pPr>
            <w:r w:rsidRPr="00C22C26">
              <w:rPr>
                <w:color w:val="000000"/>
                <w:sz w:val="16"/>
              </w:rPr>
              <w:t>1215.10</w:t>
            </w:r>
          </w:p>
        </w:tc>
        <w:tc>
          <w:tcPr>
            <w:tcW w:w="360" w:type="pct"/>
            <w:shd w:val="clear" w:color="auto" w:fill="auto"/>
            <w:noWrap/>
            <w:vAlign w:val="bottom"/>
          </w:tcPr>
          <w:p w14:paraId="28B5AF43" w14:textId="77777777" w:rsidR="00EE58A9" w:rsidRPr="00C22C26" w:rsidRDefault="00EE58A9" w:rsidP="00C22C26">
            <w:pPr>
              <w:jc w:val="center"/>
              <w:rPr>
                <w:color w:val="000000"/>
                <w:sz w:val="16"/>
              </w:rPr>
            </w:pPr>
            <w:r w:rsidRPr="00C22C26">
              <w:rPr>
                <w:color w:val="000000"/>
                <w:sz w:val="16"/>
              </w:rPr>
              <w:t>479.25</w:t>
            </w:r>
          </w:p>
        </w:tc>
        <w:tc>
          <w:tcPr>
            <w:tcW w:w="827" w:type="pct"/>
            <w:shd w:val="clear" w:color="auto" w:fill="auto"/>
            <w:noWrap/>
            <w:vAlign w:val="bottom"/>
          </w:tcPr>
          <w:p w14:paraId="5D1152C3" w14:textId="77777777" w:rsidR="00EE58A9" w:rsidRPr="00C22C26" w:rsidRDefault="00EE58A9" w:rsidP="00C22C26">
            <w:pPr>
              <w:jc w:val="center"/>
              <w:rPr>
                <w:color w:val="000000"/>
                <w:sz w:val="16"/>
              </w:rPr>
            </w:pPr>
            <w:r w:rsidRPr="00C22C26">
              <w:rPr>
                <w:color w:val="000000"/>
                <w:sz w:val="16"/>
              </w:rPr>
              <w:t>1263.30</w:t>
            </w:r>
          </w:p>
        </w:tc>
        <w:tc>
          <w:tcPr>
            <w:tcW w:w="360" w:type="pct"/>
            <w:shd w:val="clear" w:color="auto" w:fill="auto"/>
            <w:vAlign w:val="bottom"/>
          </w:tcPr>
          <w:p w14:paraId="7CA0F03B" w14:textId="77777777" w:rsidR="00EE58A9" w:rsidRPr="00C22C26" w:rsidRDefault="00EE58A9" w:rsidP="00C22C26">
            <w:pPr>
              <w:jc w:val="center"/>
              <w:rPr>
                <w:color w:val="000000"/>
                <w:sz w:val="16"/>
              </w:rPr>
            </w:pPr>
            <w:r w:rsidRPr="00C22C26">
              <w:rPr>
                <w:color w:val="000000"/>
                <w:sz w:val="16"/>
              </w:rPr>
              <w:t>327.81</w:t>
            </w:r>
          </w:p>
        </w:tc>
        <w:tc>
          <w:tcPr>
            <w:tcW w:w="862" w:type="pct"/>
            <w:shd w:val="clear" w:color="auto" w:fill="auto"/>
            <w:noWrap/>
            <w:vAlign w:val="bottom"/>
          </w:tcPr>
          <w:p w14:paraId="452D0F21" w14:textId="77777777" w:rsidR="00EE58A9" w:rsidRPr="00C22C26" w:rsidRDefault="00EE58A9" w:rsidP="00C22C26">
            <w:pPr>
              <w:jc w:val="center"/>
              <w:rPr>
                <w:color w:val="000000"/>
                <w:sz w:val="16"/>
              </w:rPr>
            </w:pPr>
            <w:r w:rsidRPr="00C22C26">
              <w:rPr>
                <w:color w:val="000000"/>
                <w:sz w:val="16"/>
              </w:rPr>
              <w:t>317.62</w:t>
            </w:r>
          </w:p>
        </w:tc>
        <w:tc>
          <w:tcPr>
            <w:tcW w:w="487" w:type="pct"/>
            <w:shd w:val="clear" w:color="auto" w:fill="auto"/>
            <w:vAlign w:val="bottom"/>
          </w:tcPr>
          <w:p w14:paraId="6CAA3D07" w14:textId="77777777" w:rsidR="00EE58A9" w:rsidRPr="00C22C26" w:rsidRDefault="00EE58A9" w:rsidP="00C22C26">
            <w:pPr>
              <w:jc w:val="center"/>
              <w:rPr>
                <w:color w:val="000000"/>
                <w:sz w:val="16"/>
              </w:rPr>
            </w:pPr>
            <w:r w:rsidRPr="00C22C26">
              <w:rPr>
                <w:color w:val="000000"/>
                <w:sz w:val="16"/>
              </w:rPr>
              <w:t>385.24</w:t>
            </w:r>
          </w:p>
        </w:tc>
        <w:tc>
          <w:tcPr>
            <w:tcW w:w="683" w:type="pct"/>
            <w:shd w:val="clear" w:color="auto" w:fill="auto"/>
            <w:noWrap/>
            <w:vAlign w:val="bottom"/>
          </w:tcPr>
          <w:p w14:paraId="59F41FCA" w14:textId="77777777" w:rsidR="00EE58A9" w:rsidRPr="00C22C26" w:rsidRDefault="00EE58A9" w:rsidP="00C22C26">
            <w:pPr>
              <w:jc w:val="center"/>
              <w:rPr>
                <w:color w:val="000000"/>
                <w:sz w:val="16"/>
              </w:rPr>
            </w:pPr>
            <w:r w:rsidRPr="00C22C26">
              <w:rPr>
                <w:color w:val="000000"/>
                <w:sz w:val="16"/>
              </w:rPr>
              <w:t>0.00</w:t>
            </w:r>
          </w:p>
        </w:tc>
        <w:tc>
          <w:tcPr>
            <w:tcW w:w="472" w:type="pct"/>
            <w:shd w:val="clear" w:color="auto" w:fill="auto"/>
            <w:noWrap/>
            <w:vAlign w:val="bottom"/>
          </w:tcPr>
          <w:p w14:paraId="0574781B" w14:textId="77777777" w:rsidR="00EE58A9" w:rsidRPr="00C22C26" w:rsidRDefault="00EE58A9" w:rsidP="00C22C26">
            <w:pPr>
              <w:jc w:val="center"/>
              <w:rPr>
                <w:color w:val="000000"/>
                <w:sz w:val="16"/>
              </w:rPr>
            </w:pPr>
            <w:r w:rsidRPr="00C22C26">
              <w:rPr>
                <w:color w:val="000000"/>
                <w:sz w:val="16"/>
              </w:rPr>
              <w:t>1063.41</w:t>
            </w:r>
          </w:p>
        </w:tc>
      </w:tr>
    </w:tbl>
    <w:p w14:paraId="423629EC" w14:textId="46579188" w:rsidR="00EE58A9" w:rsidRPr="00121B19" w:rsidRDefault="00EE58A9" w:rsidP="00406E24">
      <w:pPr>
        <w:spacing w:before="0"/>
        <w:rPr>
          <w:rFonts w:cs="Calibri"/>
          <w:i/>
          <w:sz w:val="18"/>
          <w:szCs w:val="18"/>
        </w:rPr>
      </w:pPr>
      <w:r w:rsidRPr="00121B19">
        <w:rPr>
          <w:rFonts w:cs="Calibri"/>
          <w:i/>
          <w:sz w:val="18"/>
          <w:szCs w:val="18"/>
        </w:rPr>
        <w:t>Źródło: Opracowanie własne na podstawie roc</w:t>
      </w:r>
      <w:r w:rsidR="00406E24">
        <w:rPr>
          <w:rFonts w:cs="Calibri"/>
          <w:i/>
          <w:sz w:val="18"/>
          <w:szCs w:val="18"/>
        </w:rPr>
        <w:t xml:space="preserve">znych harmonogramów konkursów. </w:t>
      </w:r>
      <w:r w:rsidRPr="00121B19">
        <w:rPr>
          <w:rFonts w:cs="Calibri"/>
          <w:i/>
          <w:sz w:val="18"/>
          <w:szCs w:val="18"/>
        </w:rPr>
        <w:t>Uwaga: Przedstawiono wartość wydatków kwalifikowanych wykazanych na zawartych</w:t>
      </w:r>
      <w:r w:rsidR="00E66B89" w:rsidRPr="00121B19">
        <w:rPr>
          <w:rFonts w:cs="Calibri"/>
          <w:i/>
          <w:sz w:val="18"/>
          <w:szCs w:val="18"/>
        </w:rPr>
        <w:t xml:space="preserve"> w </w:t>
      </w:r>
      <w:r w:rsidRPr="00121B19">
        <w:rPr>
          <w:rFonts w:cs="Calibri"/>
          <w:i/>
          <w:sz w:val="18"/>
          <w:szCs w:val="18"/>
        </w:rPr>
        <w:t>danym roku kalendarzowym umowach</w:t>
      </w:r>
      <w:r w:rsidR="00E66B89" w:rsidRPr="00121B19">
        <w:rPr>
          <w:rFonts w:cs="Calibri"/>
          <w:i/>
          <w:sz w:val="18"/>
          <w:szCs w:val="18"/>
        </w:rPr>
        <w:t xml:space="preserve"> o </w:t>
      </w:r>
      <w:r w:rsidRPr="00121B19">
        <w:rPr>
          <w:rFonts w:cs="Calibri"/>
          <w:i/>
          <w:sz w:val="18"/>
          <w:szCs w:val="18"/>
        </w:rPr>
        <w:t>dofinansowanie. Dane na 2020 przyjęto jako dopełnienie alokacji do względem interwencji historycznej (2014-2018)</w:t>
      </w:r>
      <w:r w:rsidR="00E66B89" w:rsidRPr="00121B19">
        <w:rPr>
          <w:rFonts w:cs="Calibri"/>
          <w:i/>
          <w:sz w:val="18"/>
          <w:szCs w:val="18"/>
        </w:rPr>
        <w:t xml:space="preserve"> i </w:t>
      </w:r>
      <w:r w:rsidRPr="00121B19">
        <w:rPr>
          <w:rFonts w:cs="Calibri"/>
          <w:i/>
          <w:sz w:val="18"/>
          <w:szCs w:val="18"/>
        </w:rPr>
        <w:t>planowanej (2019).</w:t>
      </w:r>
    </w:p>
    <w:p w14:paraId="32F315FB" w14:textId="77777777" w:rsidR="00EE58A9" w:rsidRDefault="00EE58A9" w:rsidP="00EE58A9">
      <w:pPr>
        <w:rPr>
          <w:b/>
        </w:rPr>
      </w:pPr>
      <w:r w:rsidRPr="00FD57EC">
        <w:rPr>
          <w:b/>
        </w:rPr>
        <w:t>Ocena wpływu</w:t>
      </w:r>
      <w:r>
        <w:rPr>
          <w:b/>
        </w:rPr>
        <w:t xml:space="preserve"> interwencji</w:t>
      </w:r>
      <w:r w:rsidR="00E66B89">
        <w:rPr>
          <w:b/>
        </w:rPr>
        <w:t xml:space="preserve"> w </w:t>
      </w:r>
      <w:r>
        <w:rPr>
          <w:b/>
        </w:rPr>
        <w:t>ramach RPO WZ na realizację celów Strategii Europa 2020</w:t>
      </w:r>
    </w:p>
    <w:p w14:paraId="425C1984" w14:textId="26BF05CA" w:rsidR="0028542B" w:rsidRDefault="00EE58A9">
      <w:r w:rsidRPr="0092181F">
        <w:t xml:space="preserve">Poniżej zaprezentowano rezultaty prognozy punktowej wskaźników </w:t>
      </w:r>
      <w:r w:rsidRPr="0092181F">
        <w:rPr>
          <w:i/>
        </w:rPr>
        <w:t>Strategii Europa 2020</w:t>
      </w:r>
      <w:r w:rsidRPr="0092181F">
        <w:t xml:space="preserve"> do 2023 roku</w:t>
      </w:r>
      <w:r w:rsidR="00E66B89">
        <w:t xml:space="preserve"> i </w:t>
      </w:r>
      <w:r w:rsidRPr="0092181F">
        <w:t>porównano je</w:t>
      </w:r>
      <w:r w:rsidR="00E66B89">
        <w:t xml:space="preserve"> z </w:t>
      </w:r>
      <w:r w:rsidRPr="0092181F">
        <w:t>celami sformułowanymi na poziomie krajowym. Wartości wszystkich wskaźników prognozowano przy pomocy trendu liniowego</w:t>
      </w:r>
      <w:r w:rsidR="00E66B89">
        <w:t xml:space="preserve"> z </w:t>
      </w:r>
      <w:bookmarkStart w:id="432" w:name="_Toc3896968"/>
      <w:bookmarkStart w:id="433" w:name="_Toc5311920"/>
      <w:r w:rsidR="006549D1">
        <w:t>korektą błędem.</w:t>
      </w:r>
    </w:p>
    <w:tbl>
      <w:tblPr>
        <w:tblW w:w="0" w:type="auto"/>
        <w:tblLook w:val="04A0" w:firstRow="1" w:lastRow="0" w:firstColumn="1" w:lastColumn="0" w:noHBand="0" w:noVBand="1"/>
      </w:tblPr>
      <w:tblGrid>
        <w:gridCol w:w="4986"/>
        <w:gridCol w:w="4076"/>
      </w:tblGrid>
      <w:tr w:rsidR="00EE58A9" w14:paraId="1D3E4808" w14:textId="77777777" w:rsidTr="00EE58A9">
        <w:tc>
          <w:tcPr>
            <w:tcW w:w="4986" w:type="dxa"/>
            <w:shd w:val="clear" w:color="auto" w:fill="auto"/>
          </w:tcPr>
          <w:p w14:paraId="1B471CEA" w14:textId="0072776C" w:rsidR="00EE58A9" w:rsidRPr="00047D47" w:rsidRDefault="00EE58A9" w:rsidP="00EE58A9">
            <w:pPr>
              <w:pStyle w:val="Legenda"/>
              <w:rPr>
                <w:lang w:val="pl-PL" w:eastAsia="pl-PL"/>
              </w:rPr>
            </w:pPr>
            <w:r w:rsidRPr="00047D47">
              <w:rPr>
                <w:lang w:val="pl-PL" w:eastAsia="pl-PL"/>
              </w:rPr>
              <w:t xml:space="preserve">Wykres </w:t>
            </w:r>
            <w:r w:rsidRPr="00047D47">
              <w:rPr>
                <w:lang w:val="pl-PL" w:eastAsia="pl-PL"/>
              </w:rPr>
              <w:fldChar w:fldCharType="begin"/>
            </w:r>
            <w:r w:rsidRPr="00047D47">
              <w:rPr>
                <w:noProof/>
                <w:lang w:val="pl-PL" w:eastAsia="pl-PL"/>
              </w:rPr>
              <w:instrText xml:space="preserve"> SEQ Wykres \* ARABIC </w:instrText>
            </w:r>
            <w:r w:rsidRPr="00047D47">
              <w:rPr>
                <w:lang w:val="pl-PL" w:eastAsia="pl-PL"/>
              </w:rPr>
              <w:fldChar w:fldCharType="separate"/>
            </w:r>
            <w:r w:rsidR="00763345">
              <w:rPr>
                <w:noProof/>
                <w:lang w:val="pl-PL" w:eastAsia="pl-PL"/>
              </w:rPr>
              <w:t>55</w:t>
            </w:r>
            <w:r w:rsidRPr="00047D47">
              <w:rPr>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zatrudnienie</w:t>
            </w:r>
            <w:bookmarkEnd w:id="432"/>
            <w:bookmarkEnd w:id="433"/>
          </w:p>
        </w:tc>
        <w:tc>
          <w:tcPr>
            <w:tcW w:w="4076" w:type="dxa"/>
            <w:vMerge w:val="restart"/>
            <w:shd w:val="clear" w:color="auto" w:fill="auto"/>
          </w:tcPr>
          <w:p w14:paraId="122D10A2" w14:textId="77777777" w:rsidR="00EE58A9" w:rsidRPr="00404DA5" w:rsidRDefault="00EE58A9" w:rsidP="00EE58A9">
            <w:pPr>
              <w:rPr>
                <w:b/>
              </w:rPr>
            </w:pPr>
            <w:r w:rsidRPr="00404DA5">
              <w:rPr>
                <w:b/>
              </w:rPr>
              <w:t>estymowany wpływ w:</w:t>
            </w:r>
          </w:p>
          <w:p w14:paraId="65E3BF3C"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0.78 p. proc.</w:t>
            </w:r>
          </w:p>
          <w:p w14:paraId="6D2C5D53"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2019: </w:t>
            </w:r>
            <w:r w:rsidRPr="00C22C26">
              <w:rPr>
                <w:rFonts w:ascii="Lato" w:hAnsi="Lato"/>
                <w:sz w:val="20"/>
              </w:rPr>
              <w:t>1.12</w:t>
            </w:r>
            <w:r w:rsidRPr="00C22C26">
              <w:rPr>
                <w:rFonts w:ascii="Lato" w:hAnsi="Lato"/>
                <w:b/>
                <w:sz w:val="20"/>
              </w:rPr>
              <w:t xml:space="preserve"> </w:t>
            </w:r>
            <w:r w:rsidRPr="00C22C26">
              <w:rPr>
                <w:rFonts w:ascii="Lato" w:hAnsi="Lato"/>
                <w:sz w:val="20"/>
              </w:rPr>
              <w:t>p. proc.</w:t>
            </w:r>
          </w:p>
          <w:p w14:paraId="5A053502" w14:textId="77777777" w:rsidR="00EE58A9" w:rsidRPr="00C22C26" w:rsidRDefault="00EE58A9" w:rsidP="00093E14">
            <w:pPr>
              <w:pStyle w:val="Akapitzlist"/>
              <w:numPr>
                <w:ilvl w:val="0"/>
                <w:numId w:val="23"/>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1.32 p. proc.</w:t>
            </w:r>
          </w:p>
          <w:p w14:paraId="14CF714F"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1.26 p. proc.</w:t>
            </w:r>
          </w:p>
          <w:p w14:paraId="753AA688" w14:textId="77777777" w:rsidR="00EE58A9" w:rsidRPr="00C22C26" w:rsidRDefault="00EE58A9" w:rsidP="00093E14">
            <w:pPr>
              <w:pStyle w:val="Akapitzlist"/>
              <w:numPr>
                <w:ilvl w:val="0"/>
                <w:numId w:val="23"/>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1.20 p. proc.</w:t>
            </w:r>
          </w:p>
          <w:p w14:paraId="6613B081"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2023: </w:t>
            </w:r>
            <w:r w:rsidRPr="00C22C26">
              <w:rPr>
                <w:rFonts w:ascii="Lato" w:hAnsi="Lato"/>
                <w:sz w:val="20"/>
              </w:rPr>
              <w:t>1.14 p. proc.</w:t>
            </w:r>
          </w:p>
          <w:p w14:paraId="1C6743DF" w14:textId="77777777" w:rsidR="00EE58A9" w:rsidRPr="00404DA5" w:rsidRDefault="00EE58A9" w:rsidP="00EE58A9">
            <w:pPr>
              <w:rPr>
                <w:b/>
                <w:highlight w:val="yellow"/>
              </w:rPr>
            </w:pPr>
          </w:p>
          <w:p w14:paraId="40A370EB" w14:textId="77777777" w:rsidR="00EE58A9" w:rsidRPr="00404DA5" w:rsidRDefault="00EE58A9" w:rsidP="00EE58A9">
            <w:pPr>
              <w:rPr>
                <w:b/>
              </w:rPr>
            </w:pPr>
            <w:r w:rsidRPr="00404DA5">
              <w:rPr>
                <w:b/>
              </w:rPr>
              <w:t xml:space="preserve">osiągnięcie celu w: </w:t>
            </w:r>
          </w:p>
          <w:p w14:paraId="592FB5F8"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1664D9B1"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prawdopodobnie</w:t>
            </w:r>
            <w:r w:rsidRPr="00C22C26">
              <w:rPr>
                <w:rFonts w:ascii="Lato" w:hAnsi="Lato"/>
                <w:b/>
                <w:sz w:val="20"/>
              </w:rPr>
              <w:t xml:space="preserve"> </w:t>
            </w:r>
            <w:r w:rsidRPr="00C22C26">
              <w:rPr>
                <w:rFonts w:ascii="Lato" w:hAnsi="Lato"/>
                <w:sz w:val="20"/>
              </w:rPr>
              <w:t>tak</w:t>
            </w:r>
          </w:p>
          <w:p w14:paraId="360012AC"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2023:</w:t>
            </w:r>
            <w:r w:rsidRPr="00C22C26">
              <w:rPr>
                <w:rFonts w:ascii="Lato" w:hAnsi="Lato"/>
                <w:sz w:val="20"/>
              </w:rPr>
              <w:t xml:space="preserve"> tak</w:t>
            </w:r>
          </w:p>
          <w:p w14:paraId="3BD9333E" w14:textId="77777777" w:rsidR="00EE58A9" w:rsidRPr="00404DA5" w:rsidRDefault="00EE58A9" w:rsidP="00EE58A9">
            <w:pPr>
              <w:rPr>
                <w:highlight w:val="yellow"/>
              </w:rPr>
            </w:pPr>
          </w:p>
          <w:p w14:paraId="168F9470" w14:textId="77777777" w:rsidR="00EE58A9" w:rsidRPr="0095513C" w:rsidRDefault="00EE58A9" w:rsidP="00EE58A9">
            <w:r w:rsidRPr="00E44C89">
              <w:t>W świetle prognoz, wskaźnik zatrudnienia</w:t>
            </w:r>
            <w:r w:rsidR="00E66B89">
              <w:t xml:space="preserve"> w </w:t>
            </w:r>
            <w:r w:rsidRPr="00E44C89">
              <w:t>regionie</w:t>
            </w:r>
            <w:r w:rsidR="00E66B89">
              <w:t xml:space="preserve"> w </w:t>
            </w:r>
            <w:r w:rsidRPr="00E44C89">
              <w:t>2020 roku</w:t>
            </w:r>
            <w:r w:rsidR="00E66B89">
              <w:t xml:space="preserve"> z </w:t>
            </w:r>
            <w:r w:rsidRPr="00E44C89">
              <w:t>dużym prawdopodobieństwem zostanie osiągnięty. Przy założeniu dalszego systematycznego</w:t>
            </w:r>
            <w:r>
              <w:t xml:space="preserve"> (choć umiarkowanego) jego wzrostu, </w:t>
            </w:r>
            <w:r>
              <w:lastRenderedPageBreak/>
              <w:t>realizacja celu</w:t>
            </w:r>
            <w:r w:rsidR="00E66B89">
              <w:t xml:space="preserve"> w </w:t>
            </w:r>
            <w:r>
              <w:t>2023 roku jest niezagrożona. W</w:t>
            </w:r>
            <w:r w:rsidRPr="00E44C89">
              <w:t>pływ RPO WZ na postępy</w:t>
            </w:r>
            <w:r w:rsidR="00E66B89">
              <w:t xml:space="preserve"> w </w:t>
            </w:r>
            <w:r w:rsidRPr="00E44C89">
              <w:t xml:space="preserve">osiąganiu wartości docelowych, </w:t>
            </w:r>
            <w:r>
              <w:t xml:space="preserve">wydaje się relatywnie nieduży. Wydaje się, że istotnym czynnikiem dla ostatecznej </w:t>
            </w:r>
            <w:r w:rsidRPr="00E44C89">
              <w:t xml:space="preserve">realizacji </w:t>
            </w:r>
            <w:r>
              <w:t xml:space="preserve">obok RPO może być </w:t>
            </w:r>
            <w:r w:rsidRPr="00E44C89">
              <w:t>koniunktura ogólnogospodarcza</w:t>
            </w:r>
            <w:r w:rsidR="00E66B89">
              <w:t xml:space="preserve"> w </w:t>
            </w:r>
            <w:r>
              <w:t>kraju</w:t>
            </w:r>
            <w:r w:rsidR="00E66B89">
              <w:t xml:space="preserve"> i w </w:t>
            </w:r>
            <w:r>
              <w:t>Europie.</w:t>
            </w:r>
          </w:p>
        </w:tc>
      </w:tr>
      <w:tr w:rsidR="00EE58A9" w14:paraId="3F7031DC" w14:textId="77777777" w:rsidTr="00EE58A9">
        <w:tblPrEx>
          <w:tblCellMar>
            <w:left w:w="70" w:type="dxa"/>
            <w:right w:w="70" w:type="dxa"/>
          </w:tblCellMar>
        </w:tblPrEx>
        <w:tc>
          <w:tcPr>
            <w:tcW w:w="4986" w:type="dxa"/>
            <w:shd w:val="clear" w:color="auto" w:fill="auto"/>
          </w:tcPr>
          <w:p w14:paraId="795E2F59" w14:textId="4728856D" w:rsidR="00EE58A9" w:rsidRDefault="00C35619" w:rsidP="00EE58A9">
            <w:pPr>
              <w:jc w:val="center"/>
            </w:pPr>
            <w:r w:rsidRPr="00D508B6">
              <w:rPr>
                <w:noProof/>
              </w:rPr>
              <w:drawing>
                <wp:inline distT="0" distB="0" distL="0" distR="0" wp14:anchorId="746B4E71" wp14:editId="31C3FF5E">
                  <wp:extent cx="3028950" cy="2170430"/>
                  <wp:effectExtent l="0" t="0" r="0" b="1270"/>
                  <wp:docPr id="94" name="Wykres 18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076" w:type="dxa"/>
            <w:vMerge/>
            <w:shd w:val="clear" w:color="auto" w:fill="auto"/>
          </w:tcPr>
          <w:p w14:paraId="2D4B5E5F" w14:textId="77777777" w:rsidR="00EE58A9" w:rsidRDefault="00EE58A9" w:rsidP="00EE58A9">
            <w:pPr>
              <w:jc w:val="center"/>
              <w:rPr>
                <w:noProof/>
              </w:rPr>
            </w:pPr>
          </w:p>
        </w:tc>
      </w:tr>
      <w:tr w:rsidR="00EE58A9" w14:paraId="1B880284" w14:textId="77777777" w:rsidTr="00EE58A9">
        <w:tc>
          <w:tcPr>
            <w:tcW w:w="4986" w:type="dxa"/>
            <w:shd w:val="clear" w:color="auto" w:fill="auto"/>
          </w:tcPr>
          <w:p w14:paraId="4E35AC79" w14:textId="77777777" w:rsidR="00EE58A9" w:rsidRPr="00121B19" w:rsidRDefault="00EE58A9" w:rsidP="00EE58A9">
            <w:pPr>
              <w:rPr>
                <w:i/>
                <w:sz w:val="18"/>
                <w:szCs w:val="18"/>
              </w:rPr>
            </w:pPr>
            <w:r w:rsidRPr="00121B19">
              <w:rPr>
                <w:i/>
                <w:sz w:val="18"/>
                <w:szCs w:val="18"/>
              </w:rPr>
              <w:t>Źródło: Oszacowanie własne</w:t>
            </w:r>
          </w:p>
          <w:p w14:paraId="7C2678D7" w14:textId="77777777" w:rsidR="00EE58A9" w:rsidRPr="00404DA5" w:rsidRDefault="00EE58A9" w:rsidP="00EE58A9">
            <w:pPr>
              <w:rPr>
                <w:i/>
                <w:sz w:val="18"/>
              </w:rPr>
            </w:pPr>
            <w:r w:rsidRPr="00121B19">
              <w:rPr>
                <w:i/>
                <w:sz w:val="18"/>
                <w:szCs w:val="18"/>
              </w:rPr>
              <w:t>Uwaga: cel – utrzymanie celu krajowego na poziomie regionu.</w:t>
            </w:r>
          </w:p>
        </w:tc>
        <w:tc>
          <w:tcPr>
            <w:tcW w:w="4076" w:type="dxa"/>
            <w:vMerge/>
            <w:shd w:val="clear" w:color="auto" w:fill="auto"/>
          </w:tcPr>
          <w:p w14:paraId="6AF6DCF8" w14:textId="77777777" w:rsidR="00EE58A9" w:rsidRDefault="00EE58A9" w:rsidP="00EE58A9">
            <w:pPr>
              <w:keepNext/>
            </w:pPr>
          </w:p>
        </w:tc>
      </w:tr>
    </w:tbl>
    <w:p w14:paraId="4BD5557F" w14:textId="77777777" w:rsidR="00EE58A9" w:rsidRDefault="00EE58A9" w:rsidP="00EE58A9">
      <w:pPr>
        <w:pStyle w:val="Legenda"/>
      </w:pPr>
    </w:p>
    <w:tbl>
      <w:tblPr>
        <w:tblW w:w="0" w:type="auto"/>
        <w:tblLook w:val="04A0" w:firstRow="1" w:lastRow="0" w:firstColumn="1" w:lastColumn="0" w:noHBand="0" w:noVBand="1"/>
      </w:tblPr>
      <w:tblGrid>
        <w:gridCol w:w="4986"/>
        <w:gridCol w:w="4076"/>
      </w:tblGrid>
      <w:tr w:rsidR="00EE58A9" w14:paraId="4479B209" w14:textId="77777777" w:rsidTr="00EE58A9">
        <w:tc>
          <w:tcPr>
            <w:tcW w:w="4986" w:type="dxa"/>
            <w:shd w:val="clear" w:color="auto" w:fill="auto"/>
          </w:tcPr>
          <w:p w14:paraId="523DD748" w14:textId="77777777" w:rsidR="00EE58A9" w:rsidRPr="00047D47" w:rsidRDefault="00EE58A9" w:rsidP="00EE58A9">
            <w:pPr>
              <w:pStyle w:val="Legenda"/>
              <w:rPr>
                <w:lang w:val="pl-PL" w:eastAsia="pl-PL"/>
              </w:rPr>
            </w:pPr>
            <w:bookmarkStart w:id="434" w:name="_Toc3896969"/>
            <w:bookmarkStart w:id="435" w:name="_Toc5311921"/>
            <w:r w:rsidRPr="00047D47">
              <w:rPr>
                <w:lang w:val="pl-PL" w:eastAsia="pl-PL"/>
              </w:rPr>
              <w:t xml:space="preserve">Wykres </w:t>
            </w:r>
            <w:r w:rsidR="00EB2119" w:rsidRPr="00047D47">
              <w:rPr>
                <w:lang w:val="pl-PL" w:eastAsia="pl-PL"/>
              </w:rPr>
              <w:fldChar w:fldCharType="begin"/>
            </w:r>
            <w:r w:rsidR="00EB2119" w:rsidRPr="00047D47">
              <w:rPr>
                <w:lang w:val="pl-PL" w:eastAsia="pl-PL"/>
              </w:rPr>
              <w:instrText xml:space="preserve"> SEQ Wykres \* ARABIC </w:instrText>
            </w:r>
            <w:r w:rsidR="00EB2119" w:rsidRPr="00047D47">
              <w:rPr>
                <w:lang w:val="pl-PL" w:eastAsia="pl-PL"/>
              </w:rPr>
              <w:fldChar w:fldCharType="separate"/>
            </w:r>
            <w:r w:rsidR="00763345">
              <w:rPr>
                <w:noProof/>
                <w:lang w:val="pl-PL" w:eastAsia="pl-PL"/>
              </w:rPr>
              <w:t>56</w:t>
            </w:r>
            <w:r w:rsidR="00EB2119" w:rsidRPr="00047D47">
              <w:rPr>
                <w:noProof/>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B+R</w:t>
            </w:r>
            <w:bookmarkEnd w:id="434"/>
            <w:bookmarkEnd w:id="435"/>
          </w:p>
        </w:tc>
        <w:tc>
          <w:tcPr>
            <w:tcW w:w="4076" w:type="dxa"/>
            <w:vMerge w:val="restart"/>
            <w:shd w:val="clear" w:color="auto" w:fill="auto"/>
          </w:tcPr>
          <w:p w14:paraId="2978BF72" w14:textId="77777777" w:rsidR="00EE58A9" w:rsidRPr="00404DA5" w:rsidRDefault="00EE58A9" w:rsidP="00EE58A9">
            <w:pPr>
              <w:rPr>
                <w:b/>
              </w:rPr>
            </w:pPr>
            <w:r w:rsidRPr="00404DA5">
              <w:rPr>
                <w:b/>
              </w:rPr>
              <w:t>estymowany wpływ w:</w:t>
            </w:r>
          </w:p>
          <w:p w14:paraId="18554D89"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0.03 p. proc.</w:t>
            </w:r>
          </w:p>
          <w:p w14:paraId="1B8C416F"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2019: </w:t>
            </w:r>
            <w:r w:rsidRPr="00C22C26">
              <w:rPr>
                <w:rFonts w:ascii="Lato" w:hAnsi="Lato"/>
                <w:sz w:val="20"/>
              </w:rPr>
              <w:t>0.07</w:t>
            </w:r>
            <w:r w:rsidRPr="00C22C26">
              <w:rPr>
                <w:rFonts w:ascii="Lato" w:hAnsi="Lato"/>
                <w:b/>
                <w:sz w:val="20"/>
              </w:rPr>
              <w:t xml:space="preserve"> </w:t>
            </w:r>
            <w:r w:rsidRPr="00C22C26">
              <w:rPr>
                <w:rFonts w:ascii="Lato" w:hAnsi="Lato"/>
                <w:sz w:val="20"/>
              </w:rPr>
              <w:t>p. proc.</w:t>
            </w:r>
          </w:p>
          <w:p w14:paraId="6EB70FCB" w14:textId="77777777" w:rsidR="00EE58A9" w:rsidRPr="00C22C26" w:rsidRDefault="00EE58A9" w:rsidP="00093E14">
            <w:pPr>
              <w:pStyle w:val="Akapitzlist"/>
              <w:numPr>
                <w:ilvl w:val="0"/>
                <w:numId w:val="23"/>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0.10 p. proc.</w:t>
            </w:r>
          </w:p>
          <w:p w14:paraId="7FE5E218" w14:textId="77777777" w:rsidR="00EE58A9" w:rsidRPr="00C22C26" w:rsidRDefault="00EE58A9" w:rsidP="00093E14">
            <w:pPr>
              <w:pStyle w:val="Akapitzlist"/>
              <w:numPr>
                <w:ilvl w:val="0"/>
                <w:numId w:val="23"/>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0.10 p. proc.</w:t>
            </w:r>
          </w:p>
          <w:p w14:paraId="311F9C98" w14:textId="77777777" w:rsidR="00EE58A9" w:rsidRPr="00C22C26" w:rsidRDefault="00EE58A9" w:rsidP="00093E14">
            <w:pPr>
              <w:pStyle w:val="Akapitzlist"/>
              <w:numPr>
                <w:ilvl w:val="0"/>
                <w:numId w:val="23"/>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0.09 p. proc.</w:t>
            </w:r>
          </w:p>
          <w:p w14:paraId="24C74006" w14:textId="77777777" w:rsidR="00EE58A9" w:rsidRPr="00404DA5" w:rsidRDefault="00EE58A9" w:rsidP="00093E14">
            <w:pPr>
              <w:pStyle w:val="Akapitzlist"/>
              <w:numPr>
                <w:ilvl w:val="0"/>
                <w:numId w:val="23"/>
              </w:numPr>
              <w:spacing w:before="0" w:after="0" w:line="240" w:lineRule="auto"/>
              <w:jc w:val="left"/>
              <w:rPr>
                <w:b/>
                <w:sz w:val="20"/>
                <w:szCs w:val="20"/>
              </w:rPr>
            </w:pPr>
            <w:r w:rsidRPr="00C22C26">
              <w:rPr>
                <w:rFonts w:ascii="Lato" w:hAnsi="Lato"/>
                <w:b/>
                <w:sz w:val="20"/>
              </w:rPr>
              <w:t xml:space="preserve">2023: </w:t>
            </w:r>
            <w:r w:rsidRPr="00C22C26">
              <w:rPr>
                <w:rFonts w:ascii="Lato" w:hAnsi="Lato"/>
                <w:sz w:val="20"/>
              </w:rPr>
              <w:t>0.09 p. proc</w:t>
            </w:r>
            <w:r w:rsidRPr="00404DA5">
              <w:rPr>
                <w:sz w:val="20"/>
                <w:szCs w:val="20"/>
              </w:rPr>
              <w:t>.</w:t>
            </w:r>
          </w:p>
          <w:p w14:paraId="0AEFE0A1" w14:textId="77777777" w:rsidR="00EE58A9" w:rsidRPr="00404DA5" w:rsidRDefault="00EE58A9" w:rsidP="00EE58A9">
            <w:pPr>
              <w:rPr>
                <w:b/>
                <w:highlight w:val="yellow"/>
              </w:rPr>
            </w:pPr>
          </w:p>
          <w:p w14:paraId="2F8927AD" w14:textId="77777777" w:rsidR="00EE58A9" w:rsidRPr="00404DA5" w:rsidRDefault="00EE58A9" w:rsidP="00EE58A9">
            <w:pPr>
              <w:rPr>
                <w:b/>
              </w:rPr>
            </w:pPr>
            <w:r w:rsidRPr="00404DA5">
              <w:rPr>
                <w:b/>
              </w:rPr>
              <w:t>osiągnięcie celu w:</w:t>
            </w:r>
          </w:p>
          <w:p w14:paraId="3BC3F19D"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6718DEBD"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nie</w:t>
            </w:r>
          </w:p>
          <w:p w14:paraId="4025D62C" w14:textId="77777777" w:rsidR="00EE58A9" w:rsidRPr="00C22C26" w:rsidRDefault="00EE58A9" w:rsidP="00093E14">
            <w:pPr>
              <w:pStyle w:val="Akapitzlist"/>
              <w:numPr>
                <w:ilvl w:val="0"/>
                <w:numId w:val="24"/>
              </w:numPr>
              <w:spacing w:before="0" w:after="0" w:line="240" w:lineRule="auto"/>
              <w:jc w:val="left"/>
              <w:rPr>
                <w:rFonts w:ascii="Lato" w:hAnsi="Lato"/>
                <w:sz w:val="20"/>
              </w:rPr>
            </w:pPr>
            <w:r w:rsidRPr="00C22C26">
              <w:rPr>
                <w:rFonts w:ascii="Lato" w:hAnsi="Lato"/>
                <w:b/>
                <w:sz w:val="20"/>
              </w:rPr>
              <w:t>2023:</w:t>
            </w:r>
            <w:r w:rsidRPr="00C22C26">
              <w:rPr>
                <w:rFonts w:ascii="Lato" w:hAnsi="Lato"/>
                <w:sz w:val="20"/>
              </w:rPr>
              <w:t xml:space="preserve"> nie</w:t>
            </w:r>
          </w:p>
          <w:p w14:paraId="069623D7" w14:textId="77777777" w:rsidR="00EE58A9" w:rsidRPr="00404DA5" w:rsidRDefault="00EE58A9" w:rsidP="00EE58A9">
            <w:pPr>
              <w:rPr>
                <w:highlight w:val="yellow"/>
              </w:rPr>
            </w:pPr>
          </w:p>
          <w:p w14:paraId="48E99804" w14:textId="77777777" w:rsidR="00EE58A9" w:rsidRPr="002651AD" w:rsidRDefault="00EE58A9" w:rsidP="00EE58A9">
            <w:r w:rsidRPr="007E12BB">
              <w:t>Konwergencja wskaźnika udziału B+R</w:t>
            </w:r>
            <w:r w:rsidR="00E66B89">
              <w:t xml:space="preserve"> w </w:t>
            </w:r>
            <w:r w:rsidRPr="007E12BB">
              <w:t>PKB ma miejsce, ale jej dotychczasowe tempo nie daje szans na osiągnięcie krajowego (ani tym bardziej europejskiego) celu ani</w:t>
            </w:r>
            <w:r w:rsidR="00E66B89">
              <w:t xml:space="preserve"> w </w:t>
            </w:r>
            <w:r w:rsidRPr="007E12BB">
              <w:t>perspektywie 2020, ani 2023 roku.</w:t>
            </w:r>
            <w:r>
              <w:t xml:space="preserve"> Na tym tle środki RPO wydają się mieć istotny wpływ na obserwowane wielkości wskaźnika, ale</w:t>
            </w:r>
            <w:r w:rsidR="00E66B89">
              <w:t xml:space="preserve"> w </w:t>
            </w:r>
            <w:r>
              <w:t xml:space="preserve">wielkościach absolutnych nie są duże. </w:t>
            </w:r>
          </w:p>
        </w:tc>
      </w:tr>
      <w:tr w:rsidR="00EE58A9" w14:paraId="16055E51" w14:textId="77777777" w:rsidTr="00EE58A9">
        <w:tblPrEx>
          <w:tblCellMar>
            <w:left w:w="70" w:type="dxa"/>
            <w:right w:w="70" w:type="dxa"/>
          </w:tblCellMar>
        </w:tblPrEx>
        <w:tc>
          <w:tcPr>
            <w:tcW w:w="4986" w:type="dxa"/>
            <w:shd w:val="clear" w:color="auto" w:fill="auto"/>
          </w:tcPr>
          <w:p w14:paraId="0BAFE248" w14:textId="7920016D" w:rsidR="00EE58A9" w:rsidRDefault="00C35619" w:rsidP="00EE58A9">
            <w:pPr>
              <w:jc w:val="center"/>
            </w:pPr>
            <w:r w:rsidRPr="00D508B6">
              <w:rPr>
                <w:noProof/>
              </w:rPr>
              <w:drawing>
                <wp:inline distT="0" distB="0" distL="0" distR="0" wp14:anchorId="53AD3871" wp14:editId="41230FC0">
                  <wp:extent cx="3036570" cy="2169795"/>
                  <wp:effectExtent l="0" t="0" r="11430" b="1905"/>
                  <wp:docPr id="95" name="Wykres 18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076" w:type="dxa"/>
            <w:vMerge/>
            <w:shd w:val="clear" w:color="auto" w:fill="auto"/>
          </w:tcPr>
          <w:p w14:paraId="7588A3EB" w14:textId="77777777" w:rsidR="00EE58A9" w:rsidRDefault="00EE58A9" w:rsidP="00EE58A9">
            <w:pPr>
              <w:jc w:val="center"/>
              <w:rPr>
                <w:noProof/>
              </w:rPr>
            </w:pPr>
          </w:p>
        </w:tc>
      </w:tr>
      <w:tr w:rsidR="00EE58A9" w14:paraId="1662CB0C" w14:textId="77777777" w:rsidTr="00EE58A9">
        <w:tc>
          <w:tcPr>
            <w:tcW w:w="4986" w:type="dxa"/>
            <w:shd w:val="clear" w:color="auto" w:fill="auto"/>
          </w:tcPr>
          <w:p w14:paraId="67000B49" w14:textId="77777777" w:rsidR="00EE58A9" w:rsidRPr="00121B19" w:rsidRDefault="00EE58A9" w:rsidP="00EE58A9">
            <w:pPr>
              <w:rPr>
                <w:i/>
                <w:sz w:val="18"/>
                <w:szCs w:val="18"/>
              </w:rPr>
            </w:pPr>
            <w:r w:rsidRPr="00121B19">
              <w:rPr>
                <w:i/>
                <w:sz w:val="18"/>
                <w:szCs w:val="18"/>
              </w:rPr>
              <w:t>Źródło: Oszacowanie własne.</w:t>
            </w:r>
          </w:p>
          <w:p w14:paraId="07BDE2C3" w14:textId="71EFAAA1" w:rsidR="00EE58A9" w:rsidRPr="00121B19" w:rsidRDefault="00077A4D" w:rsidP="00406E24">
            <w:pPr>
              <w:rPr>
                <w:i/>
                <w:sz w:val="18"/>
                <w:szCs w:val="18"/>
              </w:rPr>
            </w:pPr>
            <w:r w:rsidRPr="00121B19">
              <w:rPr>
                <w:i/>
                <w:sz w:val="18"/>
                <w:szCs w:val="18"/>
              </w:rPr>
              <w:t>U</w:t>
            </w:r>
            <w:r w:rsidR="00EE58A9" w:rsidRPr="00121B19">
              <w:rPr>
                <w:i/>
                <w:sz w:val="18"/>
                <w:szCs w:val="18"/>
              </w:rPr>
              <w:t>w</w:t>
            </w:r>
            <w:r w:rsidR="00406E24">
              <w:rPr>
                <w:i/>
                <w:sz w:val="18"/>
                <w:szCs w:val="18"/>
              </w:rPr>
              <w:t>a</w:t>
            </w:r>
            <w:r w:rsidR="00EE58A9" w:rsidRPr="00121B19">
              <w:rPr>
                <w:i/>
                <w:sz w:val="18"/>
                <w:szCs w:val="18"/>
              </w:rPr>
              <w:t>ga: cel – utrzymanie celu krajowego na poziomie regionu.</w:t>
            </w:r>
          </w:p>
        </w:tc>
        <w:tc>
          <w:tcPr>
            <w:tcW w:w="4076" w:type="dxa"/>
            <w:vMerge/>
            <w:shd w:val="clear" w:color="auto" w:fill="auto"/>
          </w:tcPr>
          <w:p w14:paraId="1AB11441" w14:textId="77777777" w:rsidR="00EE58A9" w:rsidRDefault="00EE58A9" w:rsidP="00EE58A9">
            <w:pPr>
              <w:keepNext/>
            </w:pPr>
          </w:p>
        </w:tc>
      </w:tr>
      <w:tr w:rsidR="00EE58A9" w14:paraId="1386661A" w14:textId="77777777" w:rsidTr="00EE58A9">
        <w:tc>
          <w:tcPr>
            <w:tcW w:w="4986" w:type="dxa"/>
            <w:shd w:val="clear" w:color="auto" w:fill="auto"/>
          </w:tcPr>
          <w:p w14:paraId="0EC6E8E6" w14:textId="77777777" w:rsidR="00EE58A9" w:rsidRPr="00047D47" w:rsidRDefault="00EE58A9" w:rsidP="00EE58A9">
            <w:pPr>
              <w:pStyle w:val="Legenda"/>
              <w:rPr>
                <w:lang w:val="pl-PL" w:eastAsia="pl-PL"/>
              </w:rPr>
            </w:pPr>
            <w:bookmarkStart w:id="436" w:name="_Toc3896970"/>
            <w:bookmarkStart w:id="437" w:name="_Toc5311922"/>
            <w:r w:rsidRPr="00047D47">
              <w:rPr>
                <w:lang w:val="pl-PL" w:eastAsia="pl-PL"/>
              </w:rPr>
              <w:lastRenderedPageBreak/>
              <w:t xml:space="preserve">Wykres </w:t>
            </w:r>
            <w:r w:rsidRPr="00047D47">
              <w:rPr>
                <w:lang w:val="pl-PL" w:eastAsia="pl-PL"/>
              </w:rPr>
              <w:fldChar w:fldCharType="begin"/>
            </w:r>
            <w:r w:rsidRPr="00047D47">
              <w:rPr>
                <w:noProof/>
                <w:lang w:val="pl-PL" w:eastAsia="pl-PL"/>
              </w:rPr>
              <w:instrText xml:space="preserve"> SEQ Wykres \* ARABIC </w:instrText>
            </w:r>
            <w:r w:rsidRPr="00047D47">
              <w:rPr>
                <w:lang w:val="pl-PL" w:eastAsia="pl-PL"/>
              </w:rPr>
              <w:fldChar w:fldCharType="separate"/>
            </w:r>
            <w:r w:rsidR="00763345">
              <w:rPr>
                <w:noProof/>
                <w:lang w:val="pl-PL" w:eastAsia="pl-PL"/>
              </w:rPr>
              <w:t>57</w:t>
            </w:r>
            <w:r w:rsidRPr="00047D47">
              <w:rPr>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gazy cieplarniane</w:t>
            </w:r>
            <w:bookmarkEnd w:id="436"/>
            <w:bookmarkEnd w:id="437"/>
          </w:p>
        </w:tc>
        <w:tc>
          <w:tcPr>
            <w:tcW w:w="4076" w:type="dxa"/>
            <w:vMerge w:val="restart"/>
            <w:shd w:val="clear" w:color="auto" w:fill="auto"/>
          </w:tcPr>
          <w:p w14:paraId="7FE18875" w14:textId="77777777" w:rsidR="00EE58A9" w:rsidRPr="00404DA5" w:rsidRDefault="00EE58A9" w:rsidP="00EE58A9">
            <w:pPr>
              <w:rPr>
                <w:b/>
              </w:rPr>
            </w:pPr>
            <w:r w:rsidRPr="00404DA5">
              <w:rPr>
                <w:b/>
              </w:rPr>
              <w:t>estymowany wpływ w:</w:t>
            </w:r>
          </w:p>
          <w:p w14:paraId="0A3CE698" w14:textId="77777777" w:rsidR="00EE58A9" w:rsidRPr="00C22C26" w:rsidRDefault="00EE58A9" w:rsidP="00093E14">
            <w:pPr>
              <w:pStyle w:val="Akapitzlist"/>
              <w:numPr>
                <w:ilvl w:val="0"/>
                <w:numId w:val="32"/>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0.3 Gg CO</w:t>
            </w:r>
            <w:r w:rsidRPr="00C22C26">
              <w:rPr>
                <w:rFonts w:ascii="Lato" w:hAnsi="Lato"/>
                <w:sz w:val="20"/>
                <w:vertAlign w:val="subscript"/>
              </w:rPr>
              <w:t>2</w:t>
            </w:r>
            <w:r w:rsidRPr="00C22C26">
              <w:rPr>
                <w:rFonts w:ascii="Lato" w:hAnsi="Lato"/>
                <w:sz w:val="20"/>
              </w:rPr>
              <w:t>e</w:t>
            </w:r>
          </w:p>
          <w:p w14:paraId="5D6712E2" w14:textId="77777777" w:rsidR="00EE58A9" w:rsidRPr="00C22C26" w:rsidRDefault="00EE58A9" w:rsidP="00093E14">
            <w:pPr>
              <w:pStyle w:val="Akapitzlist"/>
              <w:numPr>
                <w:ilvl w:val="0"/>
                <w:numId w:val="32"/>
              </w:numPr>
              <w:spacing w:before="0" w:after="0" w:line="240" w:lineRule="auto"/>
              <w:jc w:val="left"/>
              <w:rPr>
                <w:rFonts w:ascii="Lato" w:hAnsi="Lato"/>
                <w:sz w:val="20"/>
              </w:rPr>
            </w:pPr>
            <w:r w:rsidRPr="00C22C26">
              <w:rPr>
                <w:rFonts w:ascii="Lato" w:hAnsi="Lato"/>
                <w:b/>
                <w:sz w:val="20"/>
              </w:rPr>
              <w:t xml:space="preserve">2019: </w:t>
            </w:r>
            <w:r w:rsidRPr="00C22C26">
              <w:rPr>
                <w:rFonts w:ascii="Lato" w:hAnsi="Lato"/>
                <w:sz w:val="20"/>
              </w:rPr>
              <w:t>0.4</w:t>
            </w:r>
            <w:r w:rsidRPr="00C22C26">
              <w:rPr>
                <w:rFonts w:ascii="Lato" w:hAnsi="Lato"/>
                <w:b/>
                <w:sz w:val="20"/>
              </w:rPr>
              <w:t xml:space="preserve"> </w:t>
            </w:r>
            <w:r w:rsidRPr="00C22C26">
              <w:rPr>
                <w:rFonts w:ascii="Lato" w:hAnsi="Lato"/>
                <w:sz w:val="20"/>
              </w:rPr>
              <w:t>Gg CO</w:t>
            </w:r>
            <w:r w:rsidRPr="00C22C26">
              <w:rPr>
                <w:rFonts w:ascii="Lato" w:hAnsi="Lato"/>
                <w:sz w:val="20"/>
                <w:vertAlign w:val="subscript"/>
              </w:rPr>
              <w:t>2</w:t>
            </w:r>
            <w:r w:rsidRPr="00C22C26">
              <w:rPr>
                <w:rFonts w:ascii="Lato" w:hAnsi="Lato"/>
                <w:sz w:val="20"/>
              </w:rPr>
              <w:t>e</w:t>
            </w:r>
          </w:p>
          <w:p w14:paraId="564C54BF" w14:textId="77777777" w:rsidR="00EE58A9" w:rsidRPr="00C22C26" w:rsidRDefault="00EE58A9" w:rsidP="00093E14">
            <w:pPr>
              <w:pStyle w:val="Akapitzlist"/>
              <w:numPr>
                <w:ilvl w:val="0"/>
                <w:numId w:val="32"/>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0.4 Gg CO</w:t>
            </w:r>
            <w:r w:rsidRPr="00C22C26">
              <w:rPr>
                <w:rFonts w:ascii="Lato" w:hAnsi="Lato"/>
                <w:sz w:val="20"/>
                <w:vertAlign w:val="subscript"/>
              </w:rPr>
              <w:t>2</w:t>
            </w:r>
            <w:r w:rsidRPr="00C22C26">
              <w:rPr>
                <w:rFonts w:ascii="Lato" w:hAnsi="Lato"/>
                <w:sz w:val="20"/>
              </w:rPr>
              <w:t>e.</w:t>
            </w:r>
          </w:p>
          <w:p w14:paraId="495C0BC3" w14:textId="77777777" w:rsidR="00EE58A9" w:rsidRPr="00C22C26" w:rsidRDefault="00EE58A9" w:rsidP="00093E14">
            <w:pPr>
              <w:pStyle w:val="Akapitzlist"/>
              <w:numPr>
                <w:ilvl w:val="0"/>
                <w:numId w:val="32"/>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0.4 Gg CO</w:t>
            </w:r>
            <w:r w:rsidRPr="00C22C26">
              <w:rPr>
                <w:rFonts w:ascii="Lato" w:hAnsi="Lato"/>
                <w:sz w:val="20"/>
                <w:vertAlign w:val="subscript"/>
              </w:rPr>
              <w:t>2</w:t>
            </w:r>
            <w:r w:rsidRPr="00C22C26">
              <w:rPr>
                <w:rFonts w:ascii="Lato" w:hAnsi="Lato"/>
                <w:sz w:val="20"/>
              </w:rPr>
              <w:t>e</w:t>
            </w:r>
          </w:p>
          <w:p w14:paraId="6B3C12A7" w14:textId="77777777" w:rsidR="00EE58A9" w:rsidRPr="00C22C26" w:rsidRDefault="00EE58A9" w:rsidP="00093E14">
            <w:pPr>
              <w:pStyle w:val="Akapitzlist"/>
              <w:numPr>
                <w:ilvl w:val="0"/>
                <w:numId w:val="32"/>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0.4</w:t>
            </w:r>
            <w:r w:rsidRPr="00C22C26">
              <w:rPr>
                <w:rFonts w:ascii="Lato" w:hAnsi="Lato"/>
                <w:b/>
                <w:sz w:val="20"/>
              </w:rPr>
              <w:t xml:space="preserve"> </w:t>
            </w:r>
            <w:r w:rsidRPr="00C22C26">
              <w:rPr>
                <w:rFonts w:ascii="Lato" w:hAnsi="Lato"/>
                <w:sz w:val="20"/>
              </w:rPr>
              <w:t>Gg CO</w:t>
            </w:r>
            <w:r w:rsidRPr="00C22C26">
              <w:rPr>
                <w:rFonts w:ascii="Lato" w:hAnsi="Lato"/>
                <w:sz w:val="20"/>
                <w:vertAlign w:val="subscript"/>
              </w:rPr>
              <w:t>2</w:t>
            </w:r>
            <w:r w:rsidRPr="00C22C26">
              <w:rPr>
                <w:rFonts w:ascii="Lato" w:hAnsi="Lato"/>
                <w:sz w:val="20"/>
              </w:rPr>
              <w:t>e</w:t>
            </w:r>
          </w:p>
          <w:p w14:paraId="7AA47033" w14:textId="77777777" w:rsidR="00EE58A9" w:rsidRPr="00C22C26" w:rsidRDefault="00EE58A9" w:rsidP="00093E14">
            <w:pPr>
              <w:pStyle w:val="Akapitzlist"/>
              <w:numPr>
                <w:ilvl w:val="0"/>
                <w:numId w:val="32"/>
              </w:numPr>
              <w:spacing w:before="0" w:after="0" w:line="240" w:lineRule="auto"/>
              <w:jc w:val="left"/>
              <w:rPr>
                <w:rFonts w:ascii="Lato" w:hAnsi="Lato"/>
                <w:b/>
                <w:sz w:val="20"/>
              </w:rPr>
            </w:pPr>
            <w:r w:rsidRPr="00C22C26">
              <w:rPr>
                <w:rFonts w:ascii="Lato" w:hAnsi="Lato"/>
                <w:b/>
                <w:sz w:val="20"/>
              </w:rPr>
              <w:t xml:space="preserve">2023: </w:t>
            </w:r>
            <w:r w:rsidRPr="00C22C26">
              <w:rPr>
                <w:rFonts w:ascii="Lato" w:hAnsi="Lato"/>
                <w:sz w:val="20"/>
              </w:rPr>
              <w:t>0.4 Gg CO</w:t>
            </w:r>
            <w:r w:rsidRPr="00C22C26">
              <w:rPr>
                <w:rFonts w:ascii="Lato" w:hAnsi="Lato"/>
                <w:sz w:val="20"/>
                <w:vertAlign w:val="subscript"/>
              </w:rPr>
              <w:t>2</w:t>
            </w:r>
            <w:r w:rsidRPr="00C22C26">
              <w:rPr>
                <w:rFonts w:ascii="Lato" w:hAnsi="Lato"/>
                <w:sz w:val="20"/>
              </w:rPr>
              <w:t>e.</w:t>
            </w:r>
          </w:p>
          <w:p w14:paraId="11714526" w14:textId="77777777" w:rsidR="00EE58A9" w:rsidRPr="009B1D20" w:rsidRDefault="00EE58A9" w:rsidP="00EE58A9"/>
          <w:p w14:paraId="41767695" w14:textId="77777777" w:rsidR="00EE58A9" w:rsidRPr="00404DA5" w:rsidRDefault="00EE58A9" w:rsidP="00EE58A9">
            <w:pPr>
              <w:rPr>
                <w:b/>
              </w:rPr>
            </w:pPr>
            <w:r w:rsidRPr="00404DA5">
              <w:rPr>
                <w:b/>
              </w:rPr>
              <w:t>osiągnięcie celu w:</w:t>
            </w:r>
          </w:p>
          <w:p w14:paraId="78AFF94F" w14:textId="77777777" w:rsidR="00EE58A9" w:rsidRPr="00C22C26" w:rsidRDefault="00EE58A9" w:rsidP="00093E14">
            <w:pPr>
              <w:pStyle w:val="Akapitzlist"/>
              <w:numPr>
                <w:ilvl w:val="0"/>
                <w:numId w:val="33"/>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11FC3AF9" w14:textId="77777777" w:rsidR="00EE58A9" w:rsidRPr="00C22C26" w:rsidRDefault="00EE58A9" w:rsidP="00093E14">
            <w:pPr>
              <w:pStyle w:val="Akapitzlist"/>
              <w:numPr>
                <w:ilvl w:val="0"/>
                <w:numId w:val="33"/>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nie</w:t>
            </w:r>
          </w:p>
          <w:p w14:paraId="146F0BE5" w14:textId="77777777" w:rsidR="00EE58A9" w:rsidRPr="00C22C26" w:rsidRDefault="00EE58A9" w:rsidP="00093E14">
            <w:pPr>
              <w:pStyle w:val="Akapitzlist"/>
              <w:numPr>
                <w:ilvl w:val="0"/>
                <w:numId w:val="33"/>
              </w:numPr>
              <w:spacing w:before="0" w:after="0" w:line="240" w:lineRule="auto"/>
              <w:jc w:val="left"/>
              <w:rPr>
                <w:rFonts w:ascii="Lato" w:hAnsi="Lato"/>
                <w:sz w:val="20"/>
              </w:rPr>
            </w:pPr>
            <w:r w:rsidRPr="00C22C26">
              <w:rPr>
                <w:rFonts w:ascii="Lato" w:hAnsi="Lato"/>
                <w:b/>
                <w:sz w:val="20"/>
              </w:rPr>
              <w:t>2023:</w:t>
            </w:r>
            <w:r w:rsidRPr="00C22C26">
              <w:rPr>
                <w:rFonts w:ascii="Lato" w:hAnsi="Lato"/>
                <w:sz w:val="20"/>
              </w:rPr>
              <w:t xml:space="preserve"> nie</w:t>
            </w:r>
          </w:p>
          <w:p w14:paraId="032814D4" w14:textId="77777777" w:rsidR="00EE58A9" w:rsidRPr="00404DA5" w:rsidRDefault="00EE58A9" w:rsidP="00EE58A9">
            <w:pPr>
              <w:rPr>
                <w:highlight w:val="yellow"/>
              </w:rPr>
            </w:pPr>
          </w:p>
          <w:p w14:paraId="33B3CB2E" w14:textId="77777777" w:rsidR="00EE58A9" w:rsidRPr="00414362" w:rsidRDefault="00EE58A9" w:rsidP="00EE58A9">
            <w:r w:rsidRPr="00414362">
              <w:t>Podobnie jak</w:t>
            </w:r>
            <w:r w:rsidR="00E66B89">
              <w:t xml:space="preserve"> w </w:t>
            </w:r>
            <w:r w:rsidRPr="00414362">
              <w:t>innych województwach, skala emisji gazów cieplarnianych po 2014 roku rośnie. Cele przekroczono</w:t>
            </w:r>
            <w:r>
              <w:t xml:space="preserve"> znacząco</w:t>
            </w:r>
            <w:r w:rsidRPr="00414362">
              <w:t>,</w:t>
            </w:r>
            <w:r w:rsidR="00E66B89">
              <w:t xml:space="preserve"> a </w:t>
            </w:r>
            <w:r w:rsidRPr="00414362">
              <w:t>dalszy trend wzrostowy oddala województwo od nich – pomimo interwencji RPO WZ.</w:t>
            </w:r>
          </w:p>
        </w:tc>
      </w:tr>
      <w:tr w:rsidR="00EE58A9" w14:paraId="173DC453" w14:textId="77777777" w:rsidTr="00EE58A9">
        <w:tblPrEx>
          <w:tblCellMar>
            <w:left w:w="70" w:type="dxa"/>
            <w:right w:w="70" w:type="dxa"/>
          </w:tblCellMar>
        </w:tblPrEx>
        <w:tc>
          <w:tcPr>
            <w:tcW w:w="4986" w:type="dxa"/>
            <w:shd w:val="clear" w:color="auto" w:fill="auto"/>
          </w:tcPr>
          <w:p w14:paraId="2607BB61" w14:textId="5CB8C782" w:rsidR="00EE58A9" w:rsidRDefault="00C35619" w:rsidP="00EE58A9">
            <w:pPr>
              <w:jc w:val="center"/>
            </w:pPr>
            <w:r w:rsidRPr="00D508B6">
              <w:rPr>
                <w:noProof/>
              </w:rPr>
              <w:drawing>
                <wp:inline distT="0" distB="0" distL="0" distR="0" wp14:anchorId="375B1667" wp14:editId="18324CCB">
                  <wp:extent cx="3025775" cy="2170430"/>
                  <wp:effectExtent l="0" t="0" r="3175" b="1270"/>
                  <wp:docPr id="96" name="Wykres 18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4076" w:type="dxa"/>
            <w:vMerge/>
            <w:shd w:val="clear" w:color="auto" w:fill="auto"/>
          </w:tcPr>
          <w:p w14:paraId="11AC3A1A" w14:textId="77777777" w:rsidR="00EE58A9" w:rsidRDefault="00EE58A9" w:rsidP="00EE58A9">
            <w:pPr>
              <w:jc w:val="center"/>
              <w:rPr>
                <w:noProof/>
              </w:rPr>
            </w:pPr>
          </w:p>
        </w:tc>
      </w:tr>
      <w:tr w:rsidR="00EE58A9" w14:paraId="23EEFF76" w14:textId="77777777" w:rsidTr="00EE58A9">
        <w:tc>
          <w:tcPr>
            <w:tcW w:w="4986" w:type="dxa"/>
            <w:shd w:val="clear" w:color="auto" w:fill="auto"/>
          </w:tcPr>
          <w:p w14:paraId="37A16591" w14:textId="77777777" w:rsidR="00EE58A9" w:rsidRPr="00121B19" w:rsidRDefault="00EE58A9" w:rsidP="00EE58A9">
            <w:pPr>
              <w:rPr>
                <w:i/>
                <w:sz w:val="18"/>
                <w:szCs w:val="18"/>
              </w:rPr>
            </w:pPr>
            <w:r w:rsidRPr="00121B19">
              <w:rPr>
                <w:i/>
                <w:sz w:val="18"/>
                <w:szCs w:val="18"/>
              </w:rPr>
              <w:t>Źródło: Oszacowanie własne.</w:t>
            </w:r>
          </w:p>
          <w:p w14:paraId="45C2351B" w14:textId="77777777" w:rsidR="00EE58A9" w:rsidRPr="00404DA5" w:rsidRDefault="00EE58A9" w:rsidP="00EE58A9">
            <w:pPr>
              <w:rPr>
                <w:i/>
                <w:sz w:val="18"/>
              </w:rPr>
            </w:pPr>
            <w:r w:rsidRPr="00121B19">
              <w:rPr>
                <w:i/>
                <w:sz w:val="18"/>
                <w:szCs w:val="18"/>
              </w:rPr>
              <w:t>Uwaga: Jako punkt startowy przyjęto rok 2014 (początek realizacji RPO). Cel – udział województwa</w:t>
            </w:r>
            <w:r w:rsidR="00E66B89" w:rsidRPr="00121B19">
              <w:rPr>
                <w:i/>
                <w:sz w:val="18"/>
                <w:szCs w:val="18"/>
              </w:rPr>
              <w:t xml:space="preserve"> w </w:t>
            </w:r>
            <w:r w:rsidRPr="00121B19">
              <w:rPr>
                <w:i/>
                <w:sz w:val="18"/>
                <w:szCs w:val="18"/>
              </w:rPr>
              <w:t>celu krajowym proporcjonalnie do populacji.</w:t>
            </w:r>
          </w:p>
        </w:tc>
        <w:tc>
          <w:tcPr>
            <w:tcW w:w="4076" w:type="dxa"/>
            <w:vMerge/>
            <w:shd w:val="clear" w:color="auto" w:fill="auto"/>
          </w:tcPr>
          <w:p w14:paraId="467C26F2" w14:textId="77777777" w:rsidR="00EE58A9" w:rsidRDefault="00EE58A9" w:rsidP="00EE58A9">
            <w:pPr>
              <w:keepNext/>
            </w:pPr>
          </w:p>
        </w:tc>
      </w:tr>
    </w:tbl>
    <w:p w14:paraId="22CB1AC6" w14:textId="77777777" w:rsidR="00EE58A9" w:rsidRDefault="00EE58A9" w:rsidP="00EE58A9"/>
    <w:tbl>
      <w:tblPr>
        <w:tblW w:w="0" w:type="auto"/>
        <w:tblLook w:val="04A0" w:firstRow="1" w:lastRow="0" w:firstColumn="1" w:lastColumn="0" w:noHBand="0" w:noVBand="1"/>
      </w:tblPr>
      <w:tblGrid>
        <w:gridCol w:w="4986"/>
        <w:gridCol w:w="4076"/>
      </w:tblGrid>
      <w:tr w:rsidR="00EE58A9" w14:paraId="28100C5B" w14:textId="77777777" w:rsidTr="00EE58A9">
        <w:tc>
          <w:tcPr>
            <w:tcW w:w="4986" w:type="dxa"/>
            <w:shd w:val="clear" w:color="auto" w:fill="auto"/>
          </w:tcPr>
          <w:p w14:paraId="64CEEDA7" w14:textId="77777777" w:rsidR="00EE58A9" w:rsidRPr="00047D47" w:rsidRDefault="00EE58A9" w:rsidP="00EE58A9">
            <w:pPr>
              <w:pStyle w:val="Legenda"/>
              <w:rPr>
                <w:lang w:val="pl-PL" w:eastAsia="pl-PL"/>
              </w:rPr>
            </w:pPr>
            <w:bookmarkStart w:id="438" w:name="_Toc3896971"/>
            <w:bookmarkStart w:id="439" w:name="_Toc5311923"/>
            <w:r w:rsidRPr="00047D47">
              <w:rPr>
                <w:lang w:val="pl-PL" w:eastAsia="pl-PL"/>
              </w:rPr>
              <w:t xml:space="preserve">Wykres </w:t>
            </w:r>
            <w:r w:rsidR="00EB2119" w:rsidRPr="00047D47">
              <w:rPr>
                <w:lang w:val="pl-PL" w:eastAsia="pl-PL"/>
              </w:rPr>
              <w:fldChar w:fldCharType="begin"/>
            </w:r>
            <w:r w:rsidR="00EB2119" w:rsidRPr="00047D47">
              <w:rPr>
                <w:lang w:val="pl-PL" w:eastAsia="pl-PL"/>
              </w:rPr>
              <w:instrText xml:space="preserve"> SEQ Wykres \* ARABIC </w:instrText>
            </w:r>
            <w:r w:rsidR="00EB2119" w:rsidRPr="00047D47">
              <w:rPr>
                <w:lang w:val="pl-PL" w:eastAsia="pl-PL"/>
              </w:rPr>
              <w:fldChar w:fldCharType="separate"/>
            </w:r>
            <w:r w:rsidR="00763345">
              <w:rPr>
                <w:noProof/>
                <w:lang w:val="pl-PL" w:eastAsia="pl-PL"/>
              </w:rPr>
              <w:t>58</w:t>
            </w:r>
            <w:r w:rsidR="00EB2119" w:rsidRPr="00047D47">
              <w:rPr>
                <w:noProof/>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energia pierwotna</w:t>
            </w:r>
            <w:bookmarkEnd w:id="438"/>
            <w:bookmarkEnd w:id="439"/>
          </w:p>
        </w:tc>
        <w:tc>
          <w:tcPr>
            <w:tcW w:w="4076" w:type="dxa"/>
            <w:vMerge w:val="restart"/>
            <w:shd w:val="clear" w:color="auto" w:fill="auto"/>
          </w:tcPr>
          <w:p w14:paraId="718003B2" w14:textId="77777777" w:rsidR="00EE58A9" w:rsidRPr="00404DA5" w:rsidRDefault="00EE58A9" w:rsidP="00EE58A9">
            <w:pPr>
              <w:rPr>
                <w:b/>
                <w:szCs w:val="20"/>
              </w:rPr>
            </w:pPr>
            <w:r w:rsidRPr="00404DA5">
              <w:rPr>
                <w:b/>
                <w:szCs w:val="20"/>
              </w:rPr>
              <w:t>estymowany wpływ w:</w:t>
            </w:r>
          </w:p>
          <w:p w14:paraId="571AB04F" w14:textId="77777777" w:rsidR="00EE58A9" w:rsidRPr="00C22C26" w:rsidRDefault="00EE58A9" w:rsidP="00093E14">
            <w:pPr>
              <w:pStyle w:val="Akapitzlist"/>
              <w:numPr>
                <w:ilvl w:val="0"/>
                <w:numId w:val="31"/>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64 Mtoe</w:t>
            </w:r>
          </w:p>
          <w:p w14:paraId="35EAAF3A" w14:textId="77777777" w:rsidR="00EE58A9" w:rsidRPr="00C22C26" w:rsidRDefault="00EE58A9" w:rsidP="00093E14">
            <w:pPr>
              <w:pStyle w:val="Akapitzlist"/>
              <w:numPr>
                <w:ilvl w:val="0"/>
                <w:numId w:val="31"/>
              </w:numPr>
              <w:spacing w:before="0" w:after="0" w:line="240" w:lineRule="auto"/>
              <w:jc w:val="left"/>
              <w:rPr>
                <w:rFonts w:ascii="Lato" w:hAnsi="Lato"/>
                <w:sz w:val="20"/>
              </w:rPr>
            </w:pPr>
            <w:r w:rsidRPr="00C22C26">
              <w:rPr>
                <w:rFonts w:ascii="Lato" w:hAnsi="Lato"/>
                <w:b/>
                <w:sz w:val="20"/>
              </w:rPr>
              <w:t xml:space="preserve">2019: </w:t>
            </w:r>
            <w:r w:rsidRPr="00C22C26">
              <w:rPr>
                <w:rFonts w:ascii="Lato" w:hAnsi="Lato"/>
                <w:sz w:val="20"/>
              </w:rPr>
              <w:t>94 Mtoe</w:t>
            </w:r>
          </w:p>
          <w:p w14:paraId="07510676" w14:textId="77777777" w:rsidR="00EE58A9" w:rsidRPr="00C22C26" w:rsidRDefault="00EE58A9" w:rsidP="00093E14">
            <w:pPr>
              <w:pStyle w:val="Akapitzlist"/>
              <w:numPr>
                <w:ilvl w:val="0"/>
                <w:numId w:val="31"/>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115 Mtoe</w:t>
            </w:r>
          </w:p>
          <w:p w14:paraId="4A718DCC" w14:textId="77777777" w:rsidR="00EE58A9" w:rsidRPr="00C22C26" w:rsidRDefault="00EE58A9" w:rsidP="00093E14">
            <w:pPr>
              <w:pStyle w:val="Akapitzlist"/>
              <w:numPr>
                <w:ilvl w:val="0"/>
                <w:numId w:val="31"/>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109</w:t>
            </w:r>
            <w:r w:rsidRPr="00C22C26">
              <w:rPr>
                <w:rFonts w:ascii="Lato" w:hAnsi="Lato"/>
                <w:b/>
                <w:sz w:val="20"/>
              </w:rPr>
              <w:t xml:space="preserve"> </w:t>
            </w:r>
            <w:r w:rsidRPr="00C22C26">
              <w:rPr>
                <w:rFonts w:ascii="Lato" w:hAnsi="Lato"/>
                <w:sz w:val="20"/>
              </w:rPr>
              <w:t>Mtoe</w:t>
            </w:r>
          </w:p>
          <w:p w14:paraId="0159960B" w14:textId="77777777" w:rsidR="00EE58A9" w:rsidRPr="00C22C26" w:rsidRDefault="00EE58A9" w:rsidP="00093E14">
            <w:pPr>
              <w:pStyle w:val="Akapitzlist"/>
              <w:numPr>
                <w:ilvl w:val="0"/>
                <w:numId w:val="31"/>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104 Mtoe</w:t>
            </w:r>
          </w:p>
          <w:p w14:paraId="64DDC9AF" w14:textId="77777777" w:rsidR="00EE58A9" w:rsidRPr="00C22C26" w:rsidRDefault="00EE58A9" w:rsidP="00093E14">
            <w:pPr>
              <w:pStyle w:val="Akapitzlist"/>
              <w:numPr>
                <w:ilvl w:val="0"/>
                <w:numId w:val="31"/>
              </w:numPr>
              <w:spacing w:before="0" w:after="0" w:line="240" w:lineRule="auto"/>
              <w:jc w:val="left"/>
              <w:rPr>
                <w:rFonts w:ascii="Lato" w:hAnsi="Lato"/>
                <w:b/>
                <w:sz w:val="20"/>
              </w:rPr>
            </w:pPr>
            <w:r w:rsidRPr="00C22C26">
              <w:rPr>
                <w:rFonts w:ascii="Lato" w:hAnsi="Lato"/>
                <w:b/>
                <w:sz w:val="20"/>
              </w:rPr>
              <w:t xml:space="preserve">2023: </w:t>
            </w:r>
            <w:r w:rsidRPr="00C22C26">
              <w:rPr>
                <w:rFonts w:ascii="Lato" w:hAnsi="Lato"/>
                <w:sz w:val="20"/>
              </w:rPr>
              <w:t>99 Mtoe.</w:t>
            </w:r>
          </w:p>
          <w:p w14:paraId="2B8F266D" w14:textId="77777777" w:rsidR="00EE58A9" w:rsidRPr="00404DA5" w:rsidRDefault="00EE58A9" w:rsidP="00EE58A9">
            <w:pPr>
              <w:rPr>
                <w:szCs w:val="20"/>
              </w:rPr>
            </w:pPr>
          </w:p>
          <w:p w14:paraId="2DC1FF76" w14:textId="77777777" w:rsidR="00EE58A9" w:rsidRPr="00404DA5" w:rsidRDefault="00EE58A9" w:rsidP="00EE58A9">
            <w:pPr>
              <w:rPr>
                <w:b/>
                <w:szCs w:val="20"/>
              </w:rPr>
            </w:pPr>
            <w:r w:rsidRPr="00404DA5">
              <w:rPr>
                <w:b/>
                <w:szCs w:val="20"/>
              </w:rPr>
              <w:t>osiągnięcie celu w:</w:t>
            </w:r>
          </w:p>
          <w:p w14:paraId="06721FDF" w14:textId="77777777" w:rsidR="00EE58A9" w:rsidRPr="00C22C26" w:rsidRDefault="00EE58A9" w:rsidP="00093E14">
            <w:pPr>
              <w:pStyle w:val="Akapitzlist"/>
              <w:numPr>
                <w:ilvl w:val="0"/>
                <w:numId w:val="30"/>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633D64DB" w14:textId="77777777" w:rsidR="00EE58A9" w:rsidRPr="00C22C26" w:rsidRDefault="00EE58A9" w:rsidP="00093E14">
            <w:pPr>
              <w:pStyle w:val="Akapitzlist"/>
              <w:numPr>
                <w:ilvl w:val="0"/>
                <w:numId w:val="30"/>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nie</w:t>
            </w:r>
          </w:p>
          <w:p w14:paraId="45532443" w14:textId="77777777" w:rsidR="00EE58A9" w:rsidRPr="00404DA5" w:rsidRDefault="00EE58A9" w:rsidP="00093E14">
            <w:pPr>
              <w:pStyle w:val="Akapitzlist"/>
              <w:numPr>
                <w:ilvl w:val="0"/>
                <w:numId w:val="30"/>
              </w:numPr>
              <w:spacing w:before="0" w:after="0" w:line="240" w:lineRule="auto"/>
              <w:jc w:val="left"/>
              <w:rPr>
                <w:sz w:val="20"/>
                <w:szCs w:val="20"/>
              </w:rPr>
            </w:pPr>
            <w:r w:rsidRPr="00C22C26">
              <w:rPr>
                <w:rFonts w:ascii="Lato" w:hAnsi="Lato"/>
                <w:b/>
                <w:sz w:val="20"/>
              </w:rPr>
              <w:t xml:space="preserve">2023: </w:t>
            </w:r>
            <w:r w:rsidRPr="00C22C26">
              <w:rPr>
                <w:rFonts w:ascii="Lato" w:hAnsi="Lato"/>
                <w:sz w:val="20"/>
              </w:rPr>
              <w:t>nie</w:t>
            </w:r>
          </w:p>
          <w:p w14:paraId="21A2FE1A" w14:textId="77777777" w:rsidR="00EE58A9" w:rsidRPr="00404DA5" w:rsidRDefault="00EE58A9" w:rsidP="00EE58A9">
            <w:pPr>
              <w:rPr>
                <w:szCs w:val="20"/>
              </w:rPr>
            </w:pPr>
          </w:p>
          <w:p w14:paraId="04FAE42C" w14:textId="77777777" w:rsidR="00EE58A9" w:rsidRPr="00404DA5" w:rsidRDefault="00EE58A9" w:rsidP="00EE58A9">
            <w:pPr>
              <w:rPr>
                <w:szCs w:val="20"/>
              </w:rPr>
            </w:pPr>
            <w:r>
              <w:t xml:space="preserve">Dotychczasowy przebieg </w:t>
            </w:r>
            <w:r w:rsidRPr="00B42B0A">
              <w:t>zużycia energii pierwotnej</w:t>
            </w:r>
            <w:r w:rsidR="00E66B89">
              <w:t xml:space="preserve"> w </w:t>
            </w:r>
            <w:r>
              <w:t xml:space="preserve">województwie zachodniopomorskim cechował się dużą zmiennością – dlatego też </w:t>
            </w:r>
            <w:r w:rsidRPr="00B42B0A">
              <w:t>trudno</w:t>
            </w:r>
            <w:r w:rsidR="00E66B89">
              <w:t xml:space="preserve"> o </w:t>
            </w:r>
            <w:r w:rsidRPr="00B42B0A">
              <w:t>jednoznaczną opinię co do przyszłych trendów. Tym niemniej, po 2009 roku województwo systematycznie pozostaje powyżej poziomów wskazanych jako cel krajowy. Przyjęty</w:t>
            </w:r>
            <w:r w:rsidR="00E66B89">
              <w:t xml:space="preserve"> w </w:t>
            </w:r>
            <w:r w:rsidRPr="00B42B0A">
              <w:t>prognozie trend wzrostowy nie pozwala osiągnąć celu</w:t>
            </w:r>
            <w:r w:rsidR="00E66B89">
              <w:t xml:space="preserve"> </w:t>
            </w:r>
            <w:r w:rsidR="00E66B89">
              <w:lastRenderedPageBreak/>
              <w:t>w </w:t>
            </w:r>
            <w:r w:rsidRPr="00B42B0A">
              <w:t>horyzoncie 2020 ani 2023 roku. Zasadniczo bez radykalnego trendu spadkowego realizacja celu jest mało prawdopodobna. Odbieganie od celu powoduje, że</w:t>
            </w:r>
            <w:r>
              <w:t xml:space="preserve"> </w:t>
            </w:r>
            <w:r w:rsidRPr="00B42B0A">
              <w:t>interwencja RPO WZ nie przynosi oczekiwanych skutków.</w:t>
            </w:r>
          </w:p>
        </w:tc>
      </w:tr>
      <w:tr w:rsidR="00EE58A9" w14:paraId="64502533" w14:textId="77777777" w:rsidTr="00EE58A9">
        <w:tblPrEx>
          <w:tblCellMar>
            <w:left w:w="70" w:type="dxa"/>
            <w:right w:w="70" w:type="dxa"/>
          </w:tblCellMar>
        </w:tblPrEx>
        <w:tc>
          <w:tcPr>
            <w:tcW w:w="4986" w:type="dxa"/>
            <w:shd w:val="clear" w:color="auto" w:fill="auto"/>
          </w:tcPr>
          <w:p w14:paraId="0AB6C485" w14:textId="2B58AC3F" w:rsidR="00EE58A9" w:rsidRDefault="00C35619" w:rsidP="00EE58A9">
            <w:pPr>
              <w:jc w:val="center"/>
            </w:pPr>
            <w:r w:rsidRPr="00D508B6">
              <w:rPr>
                <w:noProof/>
              </w:rPr>
              <w:drawing>
                <wp:inline distT="0" distB="0" distL="0" distR="0" wp14:anchorId="3C772E9B" wp14:editId="6AED440E">
                  <wp:extent cx="3028950" cy="2170430"/>
                  <wp:effectExtent l="0" t="0" r="0" b="1270"/>
                  <wp:docPr id="97" name="Wykres 1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076" w:type="dxa"/>
            <w:vMerge/>
            <w:shd w:val="clear" w:color="auto" w:fill="auto"/>
          </w:tcPr>
          <w:p w14:paraId="209DE468" w14:textId="77777777" w:rsidR="00EE58A9" w:rsidRDefault="00EE58A9" w:rsidP="00EE58A9">
            <w:pPr>
              <w:jc w:val="center"/>
              <w:rPr>
                <w:noProof/>
              </w:rPr>
            </w:pPr>
          </w:p>
        </w:tc>
      </w:tr>
      <w:tr w:rsidR="00EE58A9" w14:paraId="795DCC90" w14:textId="77777777" w:rsidTr="00EE58A9">
        <w:tc>
          <w:tcPr>
            <w:tcW w:w="4986" w:type="dxa"/>
            <w:shd w:val="clear" w:color="auto" w:fill="auto"/>
          </w:tcPr>
          <w:p w14:paraId="71AFF0F0" w14:textId="77777777" w:rsidR="00EE58A9" w:rsidRPr="00121B19" w:rsidRDefault="00EE58A9" w:rsidP="00EE58A9">
            <w:pPr>
              <w:rPr>
                <w:i/>
                <w:sz w:val="18"/>
                <w:szCs w:val="18"/>
              </w:rPr>
            </w:pPr>
            <w:r w:rsidRPr="00121B19">
              <w:rPr>
                <w:i/>
                <w:sz w:val="18"/>
                <w:szCs w:val="18"/>
              </w:rPr>
              <w:t>Źródło: Oszacowanie własne.</w:t>
            </w:r>
          </w:p>
          <w:p w14:paraId="05BB181C" w14:textId="77777777" w:rsidR="00EE58A9" w:rsidRPr="00404DA5" w:rsidRDefault="00EE58A9" w:rsidP="00EE58A9">
            <w:pPr>
              <w:rPr>
                <w:i/>
                <w:sz w:val="18"/>
              </w:rPr>
            </w:pPr>
            <w:r w:rsidRPr="00121B19">
              <w:rPr>
                <w:i/>
                <w:sz w:val="18"/>
                <w:szCs w:val="18"/>
              </w:rPr>
              <w:t>Uwaga: cel – udział województwa</w:t>
            </w:r>
            <w:r w:rsidR="00E66B89" w:rsidRPr="00121B19">
              <w:rPr>
                <w:i/>
                <w:sz w:val="18"/>
                <w:szCs w:val="18"/>
              </w:rPr>
              <w:t xml:space="preserve"> w </w:t>
            </w:r>
            <w:r w:rsidRPr="00121B19">
              <w:rPr>
                <w:i/>
                <w:sz w:val="18"/>
                <w:szCs w:val="18"/>
              </w:rPr>
              <w:t>celu krajowym proporcjonalnie do populacji.</w:t>
            </w:r>
          </w:p>
        </w:tc>
        <w:tc>
          <w:tcPr>
            <w:tcW w:w="4076" w:type="dxa"/>
            <w:vMerge/>
            <w:shd w:val="clear" w:color="auto" w:fill="auto"/>
          </w:tcPr>
          <w:p w14:paraId="75989374" w14:textId="77777777" w:rsidR="00EE58A9" w:rsidRDefault="00EE58A9" w:rsidP="00EE58A9">
            <w:pPr>
              <w:keepNext/>
            </w:pPr>
          </w:p>
        </w:tc>
      </w:tr>
    </w:tbl>
    <w:p w14:paraId="1E7DA13B" w14:textId="77777777" w:rsidR="00EE58A9" w:rsidRDefault="00EE58A9" w:rsidP="00EE58A9"/>
    <w:tbl>
      <w:tblPr>
        <w:tblW w:w="0" w:type="auto"/>
        <w:tblLook w:val="04A0" w:firstRow="1" w:lastRow="0" w:firstColumn="1" w:lastColumn="0" w:noHBand="0" w:noVBand="1"/>
      </w:tblPr>
      <w:tblGrid>
        <w:gridCol w:w="4986"/>
        <w:gridCol w:w="4084"/>
      </w:tblGrid>
      <w:tr w:rsidR="00EE58A9" w14:paraId="161ECB1D" w14:textId="77777777" w:rsidTr="00EE58A9">
        <w:tc>
          <w:tcPr>
            <w:tcW w:w="4986" w:type="dxa"/>
            <w:shd w:val="clear" w:color="auto" w:fill="auto"/>
          </w:tcPr>
          <w:p w14:paraId="549F2415" w14:textId="77777777" w:rsidR="00EE58A9" w:rsidRPr="00047D47" w:rsidRDefault="00EE58A9" w:rsidP="00EE58A9">
            <w:pPr>
              <w:pStyle w:val="Legenda"/>
              <w:rPr>
                <w:lang w:val="pl-PL" w:eastAsia="pl-PL"/>
              </w:rPr>
            </w:pPr>
            <w:bookmarkStart w:id="440" w:name="_Toc3896972"/>
            <w:bookmarkStart w:id="441" w:name="_Toc5311924"/>
            <w:r w:rsidRPr="00047D47">
              <w:rPr>
                <w:lang w:val="pl-PL" w:eastAsia="pl-PL"/>
              </w:rPr>
              <w:t xml:space="preserve">Wykres </w:t>
            </w:r>
            <w:r w:rsidR="00EB2119" w:rsidRPr="00047D47">
              <w:rPr>
                <w:lang w:val="pl-PL" w:eastAsia="pl-PL"/>
              </w:rPr>
              <w:fldChar w:fldCharType="begin"/>
            </w:r>
            <w:r w:rsidR="00EB2119" w:rsidRPr="00047D47">
              <w:rPr>
                <w:lang w:val="pl-PL" w:eastAsia="pl-PL"/>
              </w:rPr>
              <w:instrText xml:space="preserve"> SEQ Wykres \* ARABIC </w:instrText>
            </w:r>
            <w:r w:rsidR="00EB2119" w:rsidRPr="00047D47">
              <w:rPr>
                <w:lang w:val="pl-PL" w:eastAsia="pl-PL"/>
              </w:rPr>
              <w:fldChar w:fldCharType="separate"/>
            </w:r>
            <w:r w:rsidR="00763345">
              <w:rPr>
                <w:noProof/>
                <w:lang w:val="pl-PL" w:eastAsia="pl-PL"/>
              </w:rPr>
              <w:t>59</w:t>
            </w:r>
            <w:r w:rsidR="00EB2119" w:rsidRPr="00047D47">
              <w:rPr>
                <w:noProof/>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młodzież</w:t>
            </w:r>
            <w:bookmarkEnd w:id="440"/>
            <w:bookmarkEnd w:id="441"/>
          </w:p>
        </w:tc>
        <w:tc>
          <w:tcPr>
            <w:tcW w:w="4084" w:type="dxa"/>
            <w:vMerge w:val="restart"/>
            <w:shd w:val="clear" w:color="auto" w:fill="auto"/>
          </w:tcPr>
          <w:p w14:paraId="783816B0" w14:textId="77777777" w:rsidR="00EE58A9" w:rsidRPr="00404DA5" w:rsidRDefault="00EE58A9" w:rsidP="00EE58A9">
            <w:pPr>
              <w:rPr>
                <w:b/>
                <w:szCs w:val="20"/>
              </w:rPr>
            </w:pPr>
            <w:r w:rsidRPr="00404DA5">
              <w:rPr>
                <w:b/>
                <w:szCs w:val="20"/>
              </w:rPr>
              <w:t>estymowany wpływ w:</w:t>
            </w:r>
          </w:p>
          <w:p w14:paraId="1ACB4EB5" w14:textId="77777777" w:rsidR="00EE58A9" w:rsidRPr="00C22C26" w:rsidRDefault="00EE58A9" w:rsidP="00093E14">
            <w:pPr>
              <w:pStyle w:val="Akapitzlist"/>
              <w:numPr>
                <w:ilvl w:val="0"/>
                <w:numId w:val="29"/>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1.9 p. proc.</w:t>
            </w:r>
          </w:p>
          <w:p w14:paraId="04973778" w14:textId="77777777" w:rsidR="00EE58A9" w:rsidRPr="00C22C26" w:rsidRDefault="00EE58A9" w:rsidP="00093E14">
            <w:pPr>
              <w:pStyle w:val="Akapitzlist"/>
              <w:numPr>
                <w:ilvl w:val="0"/>
                <w:numId w:val="29"/>
              </w:numPr>
              <w:spacing w:before="0" w:after="0" w:line="240" w:lineRule="auto"/>
              <w:jc w:val="left"/>
              <w:rPr>
                <w:rFonts w:ascii="Lato" w:hAnsi="Lato"/>
                <w:sz w:val="20"/>
              </w:rPr>
            </w:pPr>
            <w:r w:rsidRPr="00C22C26">
              <w:rPr>
                <w:rFonts w:ascii="Lato" w:hAnsi="Lato"/>
                <w:b/>
                <w:sz w:val="20"/>
              </w:rPr>
              <w:t xml:space="preserve">2019: </w:t>
            </w:r>
            <w:r w:rsidRPr="00C22C26">
              <w:rPr>
                <w:rFonts w:ascii="Lato" w:hAnsi="Lato"/>
                <w:sz w:val="20"/>
              </w:rPr>
              <w:t>2.3 p. proc.</w:t>
            </w:r>
          </w:p>
          <w:p w14:paraId="3837B589" w14:textId="77777777" w:rsidR="00EE58A9" w:rsidRPr="00C22C26" w:rsidRDefault="00EE58A9" w:rsidP="00093E14">
            <w:pPr>
              <w:pStyle w:val="Akapitzlist"/>
              <w:numPr>
                <w:ilvl w:val="0"/>
                <w:numId w:val="29"/>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2.6 p. proc.</w:t>
            </w:r>
          </w:p>
          <w:p w14:paraId="4C3C126C" w14:textId="77777777" w:rsidR="00EE58A9" w:rsidRPr="00C22C26" w:rsidRDefault="00EE58A9" w:rsidP="00093E14">
            <w:pPr>
              <w:pStyle w:val="Akapitzlist"/>
              <w:numPr>
                <w:ilvl w:val="0"/>
                <w:numId w:val="29"/>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2.4 p. proc.</w:t>
            </w:r>
          </w:p>
          <w:p w14:paraId="379BA847" w14:textId="77777777" w:rsidR="00EE58A9" w:rsidRPr="00C22C26" w:rsidRDefault="00EE58A9" w:rsidP="00093E14">
            <w:pPr>
              <w:pStyle w:val="Akapitzlist"/>
              <w:numPr>
                <w:ilvl w:val="0"/>
                <w:numId w:val="29"/>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2.3 p. proc.</w:t>
            </w:r>
          </w:p>
          <w:p w14:paraId="69938CF9" w14:textId="77777777" w:rsidR="00EE58A9" w:rsidRPr="00C22C26" w:rsidRDefault="00EE58A9" w:rsidP="00093E14">
            <w:pPr>
              <w:pStyle w:val="Akapitzlist"/>
              <w:numPr>
                <w:ilvl w:val="0"/>
                <w:numId w:val="29"/>
              </w:numPr>
              <w:spacing w:before="0" w:after="0" w:line="240" w:lineRule="auto"/>
              <w:jc w:val="left"/>
              <w:rPr>
                <w:rFonts w:ascii="Lato" w:hAnsi="Lato"/>
                <w:b/>
                <w:sz w:val="20"/>
              </w:rPr>
            </w:pPr>
            <w:r w:rsidRPr="00C22C26">
              <w:rPr>
                <w:rFonts w:ascii="Lato" w:hAnsi="Lato"/>
                <w:b/>
                <w:sz w:val="20"/>
              </w:rPr>
              <w:t xml:space="preserve">2023: </w:t>
            </w:r>
            <w:r w:rsidRPr="00C22C26">
              <w:rPr>
                <w:rFonts w:ascii="Lato" w:hAnsi="Lato"/>
                <w:sz w:val="20"/>
              </w:rPr>
              <w:t>2.2 p. proc.</w:t>
            </w:r>
          </w:p>
          <w:p w14:paraId="5C941CD9" w14:textId="77777777" w:rsidR="00EE58A9" w:rsidRPr="00404DA5" w:rsidRDefault="00EE58A9" w:rsidP="00EE58A9">
            <w:pPr>
              <w:rPr>
                <w:szCs w:val="20"/>
              </w:rPr>
            </w:pPr>
          </w:p>
          <w:p w14:paraId="39239C5B" w14:textId="77777777" w:rsidR="00EE58A9" w:rsidRPr="00404DA5" w:rsidRDefault="00EE58A9" w:rsidP="00EE58A9">
            <w:pPr>
              <w:rPr>
                <w:b/>
                <w:szCs w:val="20"/>
              </w:rPr>
            </w:pPr>
            <w:r w:rsidRPr="00404DA5">
              <w:rPr>
                <w:b/>
                <w:szCs w:val="20"/>
              </w:rPr>
              <w:t>osiągnięcie celu w:</w:t>
            </w:r>
          </w:p>
          <w:p w14:paraId="26321BA3" w14:textId="77777777" w:rsidR="00EE58A9" w:rsidRPr="00C22C26" w:rsidRDefault="00EE58A9" w:rsidP="00093E14">
            <w:pPr>
              <w:pStyle w:val="Akapitzlist"/>
              <w:numPr>
                <w:ilvl w:val="0"/>
                <w:numId w:val="28"/>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6B5B081D" w14:textId="77777777" w:rsidR="00EE58A9" w:rsidRPr="00C22C26" w:rsidRDefault="00EE58A9" w:rsidP="00093E14">
            <w:pPr>
              <w:pStyle w:val="Akapitzlist"/>
              <w:numPr>
                <w:ilvl w:val="0"/>
                <w:numId w:val="28"/>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nie</w:t>
            </w:r>
          </w:p>
          <w:p w14:paraId="1E5340D1" w14:textId="77777777" w:rsidR="00EE58A9" w:rsidRPr="00C22C26" w:rsidRDefault="00EE58A9" w:rsidP="00093E14">
            <w:pPr>
              <w:pStyle w:val="Akapitzlist"/>
              <w:numPr>
                <w:ilvl w:val="0"/>
                <w:numId w:val="28"/>
              </w:numPr>
              <w:spacing w:before="0" w:after="0" w:line="240" w:lineRule="auto"/>
              <w:jc w:val="left"/>
              <w:rPr>
                <w:rFonts w:ascii="Lato" w:hAnsi="Lato"/>
                <w:sz w:val="20"/>
              </w:rPr>
            </w:pPr>
            <w:r w:rsidRPr="00C22C26">
              <w:rPr>
                <w:rFonts w:ascii="Lato" w:hAnsi="Lato"/>
                <w:b/>
                <w:sz w:val="20"/>
              </w:rPr>
              <w:t>2023:</w:t>
            </w:r>
            <w:r w:rsidRPr="00C22C26">
              <w:rPr>
                <w:rFonts w:ascii="Lato" w:hAnsi="Lato"/>
                <w:sz w:val="20"/>
              </w:rPr>
              <w:t xml:space="preserve"> nie</w:t>
            </w:r>
          </w:p>
          <w:p w14:paraId="7AEA4433" w14:textId="77777777" w:rsidR="00EE58A9" w:rsidRPr="00404DA5" w:rsidRDefault="00EE58A9" w:rsidP="00EE58A9">
            <w:pPr>
              <w:rPr>
                <w:highlight w:val="yellow"/>
              </w:rPr>
            </w:pPr>
          </w:p>
          <w:p w14:paraId="0847542A" w14:textId="77777777" w:rsidR="00EE58A9" w:rsidRPr="00B42B0A" w:rsidRDefault="00EE58A9" w:rsidP="00EE58A9">
            <w:r w:rsidRPr="00B42B0A">
              <w:t>W województwie zachodniopomorskim odsetek młodzieży niekontynuującej nauki pozostaje systematycznie ok. dwukrotnie wyższy niż cel Strategii na poziomie krajowym.</w:t>
            </w:r>
          </w:p>
          <w:p w14:paraId="337477A5" w14:textId="77777777" w:rsidR="00EE58A9" w:rsidRPr="00517811" w:rsidRDefault="00EE58A9" w:rsidP="00EE58A9">
            <w:r w:rsidRPr="00B42B0A">
              <w:t>Ponadto, pozostaje dość trwały</w:t>
            </w:r>
            <w:r w:rsidR="00E66B89">
              <w:t xml:space="preserve"> w </w:t>
            </w:r>
            <w:r w:rsidRPr="00B42B0A">
              <w:t>czasie (nie podlega wyraźnym zmianom skorelowanym</w:t>
            </w:r>
            <w:r w:rsidR="00E66B89">
              <w:t xml:space="preserve"> z </w:t>
            </w:r>
            <w:r w:rsidRPr="00B42B0A">
              <w:t>cyklem koniunkturalnym). Dlatego, wziąwszy pod uwagę dotychczasowe tendencje, prawdopodobieństwo osiągnięcia pułapu 4.5%</w:t>
            </w:r>
            <w:r w:rsidR="00E66B89">
              <w:t xml:space="preserve"> w </w:t>
            </w:r>
            <w:r w:rsidRPr="00B42B0A">
              <w:t xml:space="preserve">horyzoncie 2018, 2020, czy 2023 roku nie jest prawdopodobne. </w:t>
            </w:r>
          </w:p>
        </w:tc>
      </w:tr>
      <w:tr w:rsidR="00EE58A9" w14:paraId="03902B93" w14:textId="77777777" w:rsidTr="00EE58A9">
        <w:tblPrEx>
          <w:tblCellMar>
            <w:left w:w="70" w:type="dxa"/>
            <w:right w:w="70" w:type="dxa"/>
          </w:tblCellMar>
        </w:tblPrEx>
        <w:tc>
          <w:tcPr>
            <w:tcW w:w="4986" w:type="dxa"/>
            <w:shd w:val="clear" w:color="auto" w:fill="auto"/>
          </w:tcPr>
          <w:p w14:paraId="3662C6AA" w14:textId="687B6A03" w:rsidR="00EE58A9" w:rsidRDefault="00C35619" w:rsidP="00EE58A9">
            <w:pPr>
              <w:jc w:val="center"/>
            </w:pPr>
            <w:r w:rsidRPr="00D508B6">
              <w:rPr>
                <w:noProof/>
              </w:rPr>
              <w:drawing>
                <wp:inline distT="0" distB="0" distL="0" distR="0" wp14:anchorId="4343CB32" wp14:editId="31E2E517">
                  <wp:extent cx="3028950" cy="2170430"/>
                  <wp:effectExtent l="0" t="0" r="0" b="1270"/>
                  <wp:docPr id="98" name="Wykres 18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084" w:type="dxa"/>
            <w:vMerge/>
            <w:shd w:val="clear" w:color="auto" w:fill="auto"/>
          </w:tcPr>
          <w:p w14:paraId="066C4B44" w14:textId="77777777" w:rsidR="00EE58A9" w:rsidRDefault="00EE58A9" w:rsidP="00EE58A9">
            <w:pPr>
              <w:jc w:val="center"/>
              <w:rPr>
                <w:noProof/>
              </w:rPr>
            </w:pPr>
          </w:p>
        </w:tc>
      </w:tr>
      <w:tr w:rsidR="00EE58A9" w14:paraId="3A46C295" w14:textId="77777777" w:rsidTr="00EE58A9">
        <w:tc>
          <w:tcPr>
            <w:tcW w:w="4986" w:type="dxa"/>
            <w:shd w:val="clear" w:color="auto" w:fill="auto"/>
          </w:tcPr>
          <w:p w14:paraId="4CE45EE6" w14:textId="77777777" w:rsidR="00EE58A9" w:rsidRPr="00121B19" w:rsidRDefault="00EE58A9" w:rsidP="00EE58A9">
            <w:pPr>
              <w:rPr>
                <w:i/>
                <w:sz w:val="18"/>
                <w:szCs w:val="18"/>
              </w:rPr>
            </w:pPr>
            <w:r w:rsidRPr="00121B19">
              <w:rPr>
                <w:i/>
                <w:sz w:val="18"/>
                <w:szCs w:val="18"/>
              </w:rPr>
              <w:t>Źródło: Oszacowanie własne.</w:t>
            </w:r>
          </w:p>
          <w:p w14:paraId="701975BE" w14:textId="77777777" w:rsidR="00EE58A9" w:rsidRPr="00121B19" w:rsidRDefault="00EE58A9" w:rsidP="00EE58A9">
            <w:pPr>
              <w:rPr>
                <w:i/>
                <w:sz w:val="18"/>
                <w:szCs w:val="18"/>
              </w:rPr>
            </w:pPr>
            <w:r w:rsidRPr="00121B19">
              <w:rPr>
                <w:i/>
                <w:sz w:val="18"/>
                <w:szCs w:val="18"/>
              </w:rPr>
              <w:t>Uwaga: cel – utrzymanie celu krajowego na poziomie regionu.</w:t>
            </w:r>
          </w:p>
        </w:tc>
        <w:tc>
          <w:tcPr>
            <w:tcW w:w="4084" w:type="dxa"/>
            <w:vMerge/>
            <w:shd w:val="clear" w:color="auto" w:fill="auto"/>
          </w:tcPr>
          <w:p w14:paraId="1BC6F236" w14:textId="77777777" w:rsidR="00EE58A9" w:rsidRDefault="00EE58A9" w:rsidP="00EE58A9">
            <w:pPr>
              <w:keepNext/>
            </w:pPr>
          </w:p>
        </w:tc>
      </w:tr>
    </w:tbl>
    <w:p w14:paraId="47A3941D" w14:textId="77777777" w:rsidR="00EE58A9" w:rsidRDefault="00EE58A9" w:rsidP="00EE58A9"/>
    <w:p w14:paraId="5515CABF" w14:textId="77777777" w:rsidR="006549D1" w:rsidRDefault="006549D1">
      <w:bookmarkStart w:id="442" w:name="_Toc3896973"/>
      <w:bookmarkStart w:id="443" w:name="_Toc5311925"/>
      <w:r>
        <w:rPr>
          <w:bCs/>
          <w:i/>
        </w:rPr>
        <w:br w:type="page"/>
      </w:r>
    </w:p>
    <w:tbl>
      <w:tblPr>
        <w:tblW w:w="0" w:type="auto"/>
        <w:tblLook w:val="04A0" w:firstRow="1" w:lastRow="0" w:firstColumn="1" w:lastColumn="0" w:noHBand="0" w:noVBand="1"/>
      </w:tblPr>
      <w:tblGrid>
        <w:gridCol w:w="4986"/>
        <w:gridCol w:w="112"/>
        <w:gridCol w:w="3964"/>
        <w:gridCol w:w="8"/>
      </w:tblGrid>
      <w:tr w:rsidR="00EE58A9" w14:paraId="093E420C" w14:textId="77777777" w:rsidTr="00EE58A9">
        <w:tc>
          <w:tcPr>
            <w:tcW w:w="4986" w:type="dxa"/>
            <w:shd w:val="clear" w:color="auto" w:fill="auto"/>
          </w:tcPr>
          <w:p w14:paraId="6975E909" w14:textId="20EA3C3E" w:rsidR="00EE58A9" w:rsidRPr="00047D47" w:rsidRDefault="00EE58A9" w:rsidP="00EE58A9">
            <w:pPr>
              <w:pStyle w:val="Legenda"/>
              <w:rPr>
                <w:lang w:val="pl-PL" w:eastAsia="pl-PL"/>
              </w:rPr>
            </w:pPr>
            <w:r w:rsidRPr="00047D47">
              <w:rPr>
                <w:lang w:val="pl-PL" w:eastAsia="pl-PL"/>
              </w:rPr>
              <w:lastRenderedPageBreak/>
              <w:t xml:space="preserve">Wykres </w:t>
            </w:r>
            <w:r w:rsidR="00EB2119" w:rsidRPr="00047D47">
              <w:rPr>
                <w:lang w:val="pl-PL" w:eastAsia="pl-PL"/>
              </w:rPr>
              <w:fldChar w:fldCharType="begin"/>
            </w:r>
            <w:r w:rsidR="00EB2119" w:rsidRPr="00047D47">
              <w:rPr>
                <w:lang w:val="pl-PL" w:eastAsia="pl-PL"/>
              </w:rPr>
              <w:instrText xml:space="preserve"> SEQ Wykres \* ARABIC </w:instrText>
            </w:r>
            <w:r w:rsidR="00EB2119" w:rsidRPr="00047D47">
              <w:rPr>
                <w:lang w:val="pl-PL" w:eastAsia="pl-PL"/>
              </w:rPr>
              <w:fldChar w:fldCharType="separate"/>
            </w:r>
            <w:r w:rsidR="00763345">
              <w:rPr>
                <w:noProof/>
                <w:lang w:val="pl-PL" w:eastAsia="pl-PL"/>
              </w:rPr>
              <w:t>60</w:t>
            </w:r>
            <w:r w:rsidR="00EB2119" w:rsidRPr="00047D47">
              <w:rPr>
                <w:noProof/>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wykształcenie</w:t>
            </w:r>
            <w:bookmarkEnd w:id="442"/>
            <w:bookmarkEnd w:id="443"/>
          </w:p>
        </w:tc>
        <w:tc>
          <w:tcPr>
            <w:tcW w:w="4084" w:type="dxa"/>
            <w:gridSpan w:val="3"/>
            <w:vMerge w:val="restart"/>
            <w:shd w:val="clear" w:color="auto" w:fill="auto"/>
          </w:tcPr>
          <w:p w14:paraId="6B79E991" w14:textId="77777777" w:rsidR="00EE58A9" w:rsidRPr="00404DA5" w:rsidRDefault="00EE58A9" w:rsidP="00EE58A9">
            <w:pPr>
              <w:rPr>
                <w:b/>
              </w:rPr>
            </w:pPr>
            <w:r w:rsidRPr="00404DA5">
              <w:rPr>
                <w:b/>
              </w:rPr>
              <w:t>estymowany wpływ:</w:t>
            </w:r>
          </w:p>
          <w:p w14:paraId="3F023DB6" w14:textId="77777777" w:rsidR="00EE58A9" w:rsidRPr="00404DA5" w:rsidRDefault="00EE58A9" w:rsidP="00EE58A9">
            <w:pPr>
              <w:rPr>
                <w:szCs w:val="20"/>
              </w:rPr>
            </w:pPr>
            <w:r w:rsidRPr="00404DA5">
              <w:rPr>
                <w:szCs w:val="20"/>
              </w:rPr>
              <w:t xml:space="preserve">brak wpływu – nie zidentyfikowano działań przypisanych temu zagadnieniu </w:t>
            </w:r>
          </w:p>
          <w:p w14:paraId="54064775" w14:textId="77777777" w:rsidR="00EE58A9" w:rsidRPr="00404DA5" w:rsidRDefault="00EE58A9" w:rsidP="00EE58A9">
            <w:pPr>
              <w:rPr>
                <w:szCs w:val="20"/>
                <w:highlight w:val="yellow"/>
              </w:rPr>
            </w:pPr>
          </w:p>
          <w:p w14:paraId="0FF03344" w14:textId="77777777" w:rsidR="00EE58A9" w:rsidRPr="00404DA5" w:rsidRDefault="00EE58A9" w:rsidP="00EE58A9">
            <w:pPr>
              <w:rPr>
                <w:b/>
                <w:szCs w:val="20"/>
              </w:rPr>
            </w:pPr>
            <w:r w:rsidRPr="00404DA5">
              <w:rPr>
                <w:b/>
                <w:szCs w:val="20"/>
              </w:rPr>
              <w:t>osiągnięcie celu w:</w:t>
            </w:r>
          </w:p>
          <w:p w14:paraId="0CEB706D" w14:textId="77777777" w:rsidR="00EE58A9" w:rsidRPr="00C22C26" w:rsidRDefault="00EE58A9" w:rsidP="00093E14">
            <w:pPr>
              <w:pStyle w:val="Akapitzlist"/>
              <w:numPr>
                <w:ilvl w:val="0"/>
                <w:numId w:val="25"/>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nie</w:t>
            </w:r>
          </w:p>
          <w:p w14:paraId="3F44CC55" w14:textId="77777777" w:rsidR="00EE58A9" w:rsidRPr="00C22C26" w:rsidRDefault="00EE58A9" w:rsidP="00093E14">
            <w:pPr>
              <w:pStyle w:val="Akapitzlist"/>
              <w:numPr>
                <w:ilvl w:val="0"/>
                <w:numId w:val="25"/>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prawdopodobnie</w:t>
            </w:r>
            <w:r w:rsidRPr="00C22C26">
              <w:rPr>
                <w:rFonts w:ascii="Lato" w:hAnsi="Lato"/>
                <w:b/>
                <w:sz w:val="20"/>
              </w:rPr>
              <w:t xml:space="preserve"> </w:t>
            </w:r>
            <w:r w:rsidRPr="00C22C26">
              <w:rPr>
                <w:rFonts w:ascii="Lato" w:hAnsi="Lato"/>
                <w:sz w:val="20"/>
              </w:rPr>
              <w:t>tak</w:t>
            </w:r>
          </w:p>
          <w:p w14:paraId="4D5F9E56" w14:textId="77777777" w:rsidR="00EE58A9" w:rsidRPr="00404DA5" w:rsidRDefault="00EE58A9" w:rsidP="00093E14">
            <w:pPr>
              <w:pStyle w:val="Akapitzlist"/>
              <w:numPr>
                <w:ilvl w:val="0"/>
                <w:numId w:val="25"/>
              </w:numPr>
              <w:spacing w:before="0" w:after="0" w:line="240" w:lineRule="auto"/>
              <w:jc w:val="left"/>
              <w:rPr>
                <w:sz w:val="20"/>
                <w:szCs w:val="20"/>
              </w:rPr>
            </w:pPr>
            <w:r w:rsidRPr="00C22C26">
              <w:rPr>
                <w:rFonts w:ascii="Lato" w:hAnsi="Lato"/>
                <w:b/>
                <w:sz w:val="20"/>
              </w:rPr>
              <w:t>2023:</w:t>
            </w:r>
            <w:r w:rsidRPr="00C22C26">
              <w:rPr>
                <w:rFonts w:ascii="Lato" w:hAnsi="Lato"/>
                <w:sz w:val="20"/>
              </w:rPr>
              <w:t xml:space="preserve"> tak</w:t>
            </w:r>
          </w:p>
          <w:p w14:paraId="684A31B1" w14:textId="77777777" w:rsidR="00EE58A9" w:rsidRPr="00824284" w:rsidRDefault="00EE58A9" w:rsidP="00EE58A9"/>
          <w:p w14:paraId="01613516" w14:textId="77777777" w:rsidR="00EE58A9" w:rsidRPr="004C3F4E" w:rsidRDefault="00EE58A9" w:rsidP="00EE58A9">
            <w:r w:rsidRPr="00824284">
              <w:t>Odsetek osób legitymujących się wyższym wykształceniem</w:t>
            </w:r>
            <w:r w:rsidR="00E66B89">
              <w:t xml:space="preserve"> w </w:t>
            </w:r>
            <w:r w:rsidRPr="00824284">
              <w:t>grupie 30-34 lata</w:t>
            </w:r>
            <w:r w:rsidR="00E66B89">
              <w:t xml:space="preserve"> w </w:t>
            </w:r>
            <w:r w:rsidRPr="00824284">
              <w:t>województwie zachodniopomorskim ulega systematycznej poprawie. Mimo braku interwencji RPO WZ</w:t>
            </w:r>
            <w:r w:rsidR="00E66B89">
              <w:t xml:space="preserve"> w </w:t>
            </w:r>
            <w:r w:rsidRPr="00824284">
              <w:t>tym zakresie, realizacja krajowego celu</w:t>
            </w:r>
            <w:r w:rsidR="00E66B89">
              <w:t xml:space="preserve"> w </w:t>
            </w:r>
            <w:r w:rsidRPr="00824284">
              <w:t>horyzoncie roku 2020 roku jest dość prawdopodobna,</w:t>
            </w:r>
            <w:r w:rsidR="00E66B89">
              <w:t xml:space="preserve"> a w </w:t>
            </w:r>
            <w:r w:rsidRPr="00824284">
              <w:t>2023 roku – właściwie pewna.</w:t>
            </w:r>
          </w:p>
        </w:tc>
      </w:tr>
      <w:tr w:rsidR="00EE58A9" w14:paraId="6D8161A1" w14:textId="77777777" w:rsidTr="00EE58A9">
        <w:tblPrEx>
          <w:tblCellMar>
            <w:left w:w="70" w:type="dxa"/>
            <w:right w:w="70" w:type="dxa"/>
          </w:tblCellMar>
        </w:tblPrEx>
        <w:tc>
          <w:tcPr>
            <w:tcW w:w="4986" w:type="dxa"/>
            <w:shd w:val="clear" w:color="auto" w:fill="auto"/>
          </w:tcPr>
          <w:p w14:paraId="34786A8D" w14:textId="77777777" w:rsidR="00EE58A9" w:rsidRDefault="00EE58A9" w:rsidP="00EE58A9">
            <w:pPr>
              <w:jc w:val="center"/>
            </w:pPr>
          </w:p>
          <w:p w14:paraId="0A9C7E4D" w14:textId="7DE1C304" w:rsidR="00EE58A9" w:rsidRDefault="00C35619" w:rsidP="00EE58A9">
            <w:pPr>
              <w:jc w:val="center"/>
            </w:pPr>
            <w:r w:rsidRPr="00D508B6">
              <w:rPr>
                <w:noProof/>
              </w:rPr>
              <w:drawing>
                <wp:inline distT="0" distB="0" distL="0" distR="0" wp14:anchorId="1AD723AB" wp14:editId="752DECC9">
                  <wp:extent cx="3028950" cy="2170430"/>
                  <wp:effectExtent l="0" t="0" r="0" b="1270"/>
                  <wp:docPr id="99" name="Wykres 18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4084" w:type="dxa"/>
            <w:gridSpan w:val="3"/>
            <w:vMerge/>
            <w:shd w:val="clear" w:color="auto" w:fill="auto"/>
          </w:tcPr>
          <w:p w14:paraId="30A60E5A" w14:textId="77777777" w:rsidR="00EE58A9" w:rsidRDefault="00EE58A9" w:rsidP="00EE58A9">
            <w:pPr>
              <w:jc w:val="center"/>
              <w:rPr>
                <w:noProof/>
              </w:rPr>
            </w:pPr>
          </w:p>
        </w:tc>
      </w:tr>
      <w:tr w:rsidR="00EE58A9" w14:paraId="28484032" w14:textId="77777777" w:rsidTr="00EE58A9">
        <w:tc>
          <w:tcPr>
            <w:tcW w:w="4986" w:type="dxa"/>
            <w:shd w:val="clear" w:color="auto" w:fill="auto"/>
          </w:tcPr>
          <w:p w14:paraId="178B5843" w14:textId="77777777" w:rsidR="00EE58A9" w:rsidRPr="00121B19" w:rsidRDefault="00EE58A9" w:rsidP="00EE58A9">
            <w:pPr>
              <w:rPr>
                <w:i/>
                <w:sz w:val="18"/>
                <w:szCs w:val="18"/>
              </w:rPr>
            </w:pPr>
            <w:r w:rsidRPr="00121B19">
              <w:rPr>
                <w:i/>
                <w:sz w:val="18"/>
                <w:szCs w:val="18"/>
              </w:rPr>
              <w:t>Źródło: Oszacowanie własne.</w:t>
            </w:r>
          </w:p>
          <w:p w14:paraId="57C5BA76" w14:textId="77777777" w:rsidR="00EE58A9" w:rsidRPr="00404DA5" w:rsidRDefault="00EE58A9" w:rsidP="00EE58A9">
            <w:pPr>
              <w:rPr>
                <w:i/>
                <w:sz w:val="18"/>
              </w:rPr>
            </w:pPr>
            <w:r w:rsidRPr="00121B19">
              <w:rPr>
                <w:i/>
                <w:sz w:val="18"/>
                <w:szCs w:val="18"/>
              </w:rPr>
              <w:t>Uwaga: cel – utrzymanie celu krajowego na poziomie regionu.</w:t>
            </w:r>
          </w:p>
        </w:tc>
        <w:tc>
          <w:tcPr>
            <w:tcW w:w="4084" w:type="dxa"/>
            <w:gridSpan w:val="3"/>
            <w:vMerge/>
            <w:shd w:val="clear" w:color="auto" w:fill="auto"/>
          </w:tcPr>
          <w:p w14:paraId="578F1C94" w14:textId="77777777" w:rsidR="00EE58A9" w:rsidRDefault="00EE58A9" w:rsidP="00EE58A9">
            <w:pPr>
              <w:keepNext/>
            </w:pPr>
          </w:p>
        </w:tc>
      </w:tr>
      <w:tr w:rsidR="00EE58A9" w14:paraId="349452B6" w14:textId="77777777" w:rsidTr="00EE58A9">
        <w:trPr>
          <w:gridAfter w:val="1"/>
          <w:wAfter w:w="8" w:type="dxa"/>
        </w:trPr>
        <w:tc>
          <w:tcPr>
            <w:tcW w:w="5098" w:type="dxa"/>
            <w:gridSpan w:val="2"/>
            <w:shd w:val="clear" w:color="auto" w:fill="auto"/>
          </w:tcPr>
          <w:p w14:paraId="76D37D40" w14:textId="77777777" w:rsidR="00EE58A9" w:rsidRPr="00047D47" w:rsidRDefault="00EE58A9" w:rsidP="00EE58A9">
            <w:pPr>
              <w:pStyle w:val="Legenda"/>
              <w:rPr>
                <w:lang w:val="pl-PL" w:eastAsia="pl-PL"/>
              </w:rPr>
            </w:pPr>
            <w:bookmarkStart w:id="444" w:name="_Toc3896974"/>
            <w:bookmarkStart w:id="445" w:name="_Toc5311926"/>
            <w:r w:rsidRPr="00047D47">
              <w:rPr>
                <w:lang w:val="pl-PL" w:eastAsia="pl-PL"/>
              </w:rPr>
              <w:t xml:space="preserve">Wykres </w:t>
            </w:r>
            <w:r w:rsidRPr="00047D47">
              <w:rPr>
                <w:lang w:val="pl-PL" w:eastAsia="pl-PL"/>
              </w:rPr>
              <w:fldChar w:fldCharType="begin"/>
            </w:r>
            <w:r w:rsidRPr="00047D47">
              <w:rPr>
                <w:noProof/>
                <w:lang w:val="pl-PL" w:eastAsia="pl-PL"/>
              </w:rPr>
              <w:instrText xml:space="preserve"> SEQ Wykres \* ARABIC </w:instrText>
            </w:r>
            <w:r w:rsidRPr="00047D47">
              <w:rPr>
                <w:lang w:val="pl-PL" w:eastAsia="pl-PL"/>
              </w:rPr>
              <w:fldChar w:fldCharType="separate"/>
            </w:r>
            <w:r w:rsidR="00763345">
              <w:rPr>
                <w:noProof/>
                <w:lang w:val="pl-PL" w:eastAsia="pl-PL"/>
              </w:rPr>
              <w:t>61</w:t>
            </w:r>
            <w:r w:rsidRPr="00047D47">
              <w:rPr>
                <w:lang w:val="pl-PL" w:eastAsia="pl-PL"/>
              </w:rPr>
              <w:fldChar w:fldCharType="end"/>
            </w:r>
            <w:r w:rsidRPr="00047D47">
              <w:rPr>
                <w:lang w:val="pl-PL" w:eastAsia="pl-PL"/>
              </w:rPr>
              <w:t>. Postęp województwa zachodniopomorskiego</w:t>
            </w:r>
            <w:r w:rsidR="00E66B89" w:rsidRPr="00047D47">
              <w:rPr>
                <w:lang w:val="pl-PL" w:eastAsia="pl-PL"/>
              </w:rPr>
              <w:t xml:space="preserve"> w </w:t>
            </w:r>
            <w:r w:rsidRPr="00047D47">
              <w:rPr>
                <w:lang w:val="pl-PL" w:eastAsia="pl-PL"/>
              </w:rPr>
              <w:t>osiąganiu wskaźnika Strategii Europa 2020 do 2020 roku – ubóstwo</w:t>
            </w:r>
            <w:bookmarkEnd w:id="444"/>
            <w:bookmarkEnd w:id="445"/>
          </w:p>
        </w:tc>
        <w:tc>
          <w:tcPr>
            <w:tcW w:w="3964" w:type="dxa"/>
            <w:vMerge w:val="restart"/>
            <w:shd w:val="clear" w:color="auto" w:fill="auto"/>
          </w:tcPr>
          <w:p w14:paraId="2A78FE35" w14:textId="77777777" w:rsidR="00EE58A9" w:rsidRPr="00404DA5" w:rsidRDefault="00EE58A9" w:rsidP="00EE58A9">
            <w:pPr>
              <w:rPr>
                <w:b/>
                <w:szCs w:val="20"/>
              </w:rPr>
            </w:pPr>
            <w:r w:rsidRPr="00404DA5">
              <w:rPr>
                <w:b/>
                <w:szCs w:val="20"/>
              </w:rPr>
              <w:t>estymowany wpływ w:</w:t>
            </w:r>
          </w:p>
          <w:p w14:paraId="7EBCF7C3" w14:textId="77777777" w:rsidR="00EE58A9" w:rsidRPr="00C22C26" w:rsidRDefault="00EE58A9" w:rsidP="00093E14">
            <w:pPr>
              <w:pStyle w:val="Akapitzlist"/>
              <w:numPr>
                <w:ilvl w:val="0"/>
                <w:numId w:val="27"/>
              </w:numPr>
              <w:spacing w:before="0" w:after="0" w:line="240" w:lineRule="auto"/>
              <w:jc w:val="left"/>
              <w:rPr>
                <w:rFonts w:ascii="Lato" w:hAnsi="Lato"/>
                <w:b/>
                <w:sz w:val="20"/>
              </w:rPr>
            </w:pPr>
            <w:r w:rsidRPr="00C22C26">
              <w:rPr>
                <w:rFonts w:ascii="Lato" w:hAnsi="Lato"/>
                <w:b/>
                <w:sz w:val="20"/>
              </w:rPr>
              <w:t xml:space="preserve">2018: </w:t>
            </w:r>
            <w:r w:rsidRPr="00C22C26">
              <w:rPr>
                <w:rFonts w:ascii="Lato" w:hAnsi="Lato"/>
                <w:sz w:val="20"/>
              </w:rPr>
              <w:t>-0.63 p. proc.</w:t>
            </w:r>
          </w:p>
          <w:p w14:paraId="327A031B" w14:textId="77777777" w:rsidR="00EE58A9" w:rsidRPr="00C22C26" w:rsidRDefault="00EE58A9" w:rsidP="00093E14">
            <w:pPr>
              <w:pStyle w:val="Akapitzlist"/>
              <w:numPr>
                <w:ilvl w:val="0"/>
                <w:numId w:val="27"/>
              </w:numPr>
              <w:spacing w:before="0" w:after="0" w:line="240" w:lineRule="auto"/>
              <w:jc w:val="left"/>
              <w:rPr>
                <w:rFonts w:ascii="Lato" w:hAnsi="Lato"/>
                <w:sz w:val="20"/>
              </w:rPr>
            </w:pPr>
            <w:r w:rsidRPr="00C22C26">
              <w:rPr>
                <w:rFonts w:ascii="Lato" w:hAnsi="Lato"/>
                <w:b/>
                <w:sz w:val="20"/>
              </w:rPr>
              <w:t xml:space="preserve">2019: </w:t>
            </w:r>
            <w:r w:rsidRPr="00C22C26">
              <w:rPr>
                <w:rFonts w:ascii="Lato" w:hAnsi="Lato"/>
                <w:sz w:val="20"/>
              </w:rPr>
              <w:t>-0.89 p. proc.</w:t>
            </w:r>
          </w:p>
          <w:p w14:paraId="0DD5E1AD" w14:textId="77777777" w:rsidR="00EE58A9" w:rsidRPr="00C22C26" w:rsidRDefault="00EE58A9" w:rsidP="00093E14">
            <w:pPr>
              <w:pStyle w:val="Akapitzlist"/>
              <w:numPr>
                <w:ilvl w:val="0"/>
                <w:numId w:val="27"/>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-1.04 p. proc.</w:t>
            </w:r>
          </w:p>
          <w:p w14:paraId="613F6C88" w14:textId="77777777" w:rsidR="00EE58A9" w:rsidRPr="00C22C26" w:rsidRDefault="00EE58A9" w:rsidP="00093E14">
            <w:pPr>
              <w:pStyle w:val="Akapitzlist"/>
              <w:numPr>
                <w:ilvl w:val="0"/>
                <w:numId w:val="27"/>
              </w:numPr>
              <w:spacing w:before="0" w:after="0" w:line="240" w:lineRule="auto"/>
              <w:jc w:val="left"/>
              <w:rPr>
                <w:rFonts w:ascii="Lato" w:hAnsi="Lato"/>
                <w:b/>
                <w:sz w:val="20"/>
              </w:rPr>
            </w:pPr>
            <w:r w:rsidRPr="00C22C26">
              <w:rPr>
                <w:rFonts w:ascii="Lato" w:hAnsi="Lato"/>
                <w:b/>
                <w:sz w:val="20"/>
              </w:rPr>
              <w:t xml:space="preserve">2021: </w:t>
            </w:r>
            <w:r w:rsidRPr="00C22C26">
              <w:rPr>
                <w:rFonts w:ascii="Lato" w:hAnsi="Lato"/>
                <w:sz w:val="20"/>
              </w:rPr>
              <w:t>-0.99 p. proc.</w:t>
            </w:r>
          </w:p>
          <w:p w14:paraId="59339092" w14:textId="77777777" w:rsidR="00EE58A9" w:rsidRPr="00C22C26" w:rsidRDefault="00EE58A9" w:rsidP="00093E14">
            <w:pPr>
              <w:pStyle w:val="Akapitzlist"/>
              <w:numPr>
                <w:ilvl w:val="0"/>
                <w:numId w:val="27"/>
              </w:numPr>
              <w:spacing w:before="0" w:after="0" w:line="240" w:lineRule="auto"/>
              <w:jc w:val="left"/>
              <w:rPr>
                <w:rFonts w:ascii="Lato" w:hAnsi="Lato"/>
                <w:sz w:val="20"/>
              </w:rPr>
            </w:pPr>
            <w:r w:rsidRPr="00C22C26">
              <w:rPr>
                <w:rFonts w:ascii="Lato" w:hAnsi="Lato"/>
                <w:b/>
                <w:sz w:val="20"/>
              </w:rPr>
              <w:t xml:space="preserve">2022: </w:t>
            </w:r>
            <w:r w:rsidRPr="00C22C26">
              <w:rPr>
                <w:rFonts w:ascii="Lato" w:hAnsi="Lato"/>
                <w:sz w:val="20"/>
              </w:rPr>
              <w:t>-0.95 p. proc.</w:t>
            </w:r>
          </w:p>
          <w:p w14:paraId="2A3E11D9" w14:textId="77777777" w:rsidR="00EE58A9" w:rsidRPr="00C22C26" w:rsidRDefault="00EE58A9" w:rsidP="00093E14">
            <w:pPr>
              <w:pStyle w:val="Akapitzlist"/>
              <w:numPr>
                <w:ilvl w:val="0"/>
                <w:numId w:val="27"/>
              </w:numPr>
              <w:spacing w:before="0" w:after="0" w:line="240" w:lineRule="auto"/>
              <w:jc w:val="left"/>
              <w:rPr>
                <w:rFonts w:ascii="Lato" w:hAnsi="Lato"/>
                <w:b/>
                <w:sz w:val="20"/>
              </w:rPr>
            </w:pPr>
            <w:r w:rsidRPr="00C22C26">
              <w:rPr>
                <w:rFonts w:ascii="Lato" w:hAnsi="Lato"/>
                <w:b/>
                <w:sz w:val="20"/>
              </w:rPr>
              <w:t xml:space="preserve">2023: </w:t>
            </w:r>
            <w:r w:rsidRPr="00C22C26">
              <w:rPr>
                <w:rFonts w:ascii="Lato" w:hAnsi="Lato"/>
                <w:sz w:val="20"/>
              </w:rPr>
              <w:t>-0.90 p. proc.</w:t>
            </w:r>
          </w:p>
          <w:p w14:paraId="2A3F7F62" w14:textId="77777777" w:rsidR="00EE58A9" w:rsidRPr="00404DA5" w:rsidRDefault="00EE58A9" w:rsidP="00EE58A9">
            <w:pPr>
              <w:rPr>
                <w:szCs w:val="20"/>
              </w:rPr>
            </w:pPr>
          </w:p>
          <w:p w14:paraId="6106AC5D" w14:textId="77777777" w:rsidR="00EE58A9" w:rsidRPr="00404DA5" w:rsidRDefault="00EE58A9" w:rsidP="00EE58A9">
            <w:pPr>
              <w:rPr>
                <w:b/>
                <w:szCs w:val="20"/>
              </w:rPr>
            </w:pPr>
            <w:r w:rsidRPr="00404DA5">
              <w:rPr>
                <w:b/>
                <w:szCs w:val="20"/>
              </w:rPr>
              <w:t>osiągnięcie celu w:</w:t>
            </w:r>
          </w:p>
          <w:p w14:paraId="580F5CDA" w14:textId="77777777" w:rsidR="00EE58A9" w:rsidRPr="00C22C26" w:rsidRDefault="00EE58A9" w:rsidP="00093E14">
            <w:pPr>
              <w:pStyle w:val="Akapitzlist"/>
              <w:numPr>
                <w:ilvl w:val="0"/>
                <w:numId w:val="26"/>
              </w:numPr>
              <w:spacing w:before="0" w:after="0" w:line="240" w:lineRule="auto"/>
              <w:jc w:val="left"/>
              <w:rPr>
                <w:rFonts w:ascii="Lato" w:hAnsi="Lato"/>
                <w:sz w:val="20"/>
              </w:rPr>
            </w:pPr>
            <w:r w:rsidRPr="00C22C26">
              <w:rPr>
                <w:rFonts w:ascii="Lato" w:hAnsi="Lato"/>
                <w:b/>
                <w:sz w:val="20"/>
              </w:rPr>
              <w:t xml:space="preserve">2018: </w:t>
            </w:r>
            <w:r w:rsidRPr="00C22C26">
              <w:rPr>
                <w:rFonts w:ascii="Lato" w:hAnsi="Lato"/>
                <w:sz w:val="20"/>
              </w:rPr>
              <w:t>tak</w:t>
            </w:r>
          </w:p>
          <w:p w14:paraId="6069F4B4" w14:textId="77777777" w:rsidR="00EE58A9" w:rsidRPr="00C22C26" w:rsidRDefault="00EE58A9" w:rsidP="00093E14">
            <w:pPr>
              <w:pStyle w:val="Akapitzlist"/>
              <w:numPr>
                <w:ilvl w:val="0"/>
                <w:numId w:val="26"/>
              </w:numPr>
              <w:spacing w:before="0" w:after="0" w:line="240" w:lineRule="auto"/>
              <w:jc w:val="left"/>
              <w:rPr>
                <w:rFonts w:ascii="Lato" w:hAnsi="Lato"/>
                <w:sz w:val="20"/>
              </w:rPr>
            </w:pPr>
            <w:r w:rsidRPr="00C22C26">
              <w:rPr>
                <w:rFonts w:ascii="Lato" w:hAnsi="Lato"/>
                <w:b/>
                <w:sz w:val="20"/>
              </w:rPr>
              <w:t xml:space="preserve">2020: </w:t>
            </w:r>
            <w:r w:rsidRPr="00C22C26">
              <w:rPr>
                <w:rFonts w:ascii="Lato" w:hAnsi="Lato"/>
                <w:sz w:val="20"/>
              </w:rPr>
              <w:t>tak</w:t>
            </w:r>
          </w:p>
          <w:p w14:paraId="5BDD919A" w14:textId="77777777" w:rsidR="00EE58A9" w:rsidRPr="00C22C26" w:rsidRDefault="00EE58A9" w:rsidP="00093E14">
            <w:pPr>
              <w:pStyle w:val="Akapitzlist"/>
              <w:numPr>
                <w:ilvl w:val="0"/>
                <w:numId w:val="26"/>
              </w:numPr>
              <w:spacing w:before="0" w:after="0" w:line="240" w:lineRule="auto"/>
              <w:jc w:val="left"/>
              <w:rPr>
                <w:rFonts w:ascii="Lato" w:hAnsi="Lato"/>
                <w:sz w:val="20"/>
              </w:rPr>
            </w:pPr>
            <w:r w:rsidRPr="00C22C26">
              <w:rPr>
                <w:rFonts w:ascii="Lato" w:hAnsi="Lato"/>
                <w:b/>
                <w:sz w:val="20"/>
              </w:rPr>
              <w:t>2023:</w:t>
            </w:r>
            <w:r w:rsidRPr="00C22C26">
              <w:rPr>
                <w:rFonts w:ascii="Lato" w:hAnsi="Lato"/>
                <w:sz w:val="20"/>
              </w:rPr>
              <w:t xml:space="preserve"> tak</w:t>
            </w:r>
          </w:p>
          <w:p w14:paraId="5E27B695" w14:textId="77777777" w:rsidR="00EE58A9" w:rsidRPr="00061823" w:rsidRDefault="00EE58A9" w:rsidP="00EE58A9">
            <w:r w:rsidRPr="00404DA5">
              <w:rPr>
                <w:szCs w:val="20"/>
              </w:rPr>
              <w:t>W horyzoncie objętym danymi, region odnotował ostry spadek liczby osób zagrożonych ubóstwem lub wykluczeniem społecznym. Wartość docelową osiągnięto już</w:t>
            </w:r>
            <w:r w:rsidR="00E66B89">
              <w:rPr>
                <w:szCs w:val="20"/>
              </w:rPr>
              <w:t xml:space="preserve"> w </w:t>
            </w:r>
            <w:r w:rsidRPr="00404DA5">
              <w:rPr>
                <w:szCs w:val="20"/>
              </w:rPr>
              <w:t>2017 roku</w:t>
            </w:r>
            <w:r w:rsidR="00E66B89">
              <w:rPr>
                <w:szCs w:val="20"/>
              </w:rPr>
              <w:t xml:space="preserve"> a </w:t>
            </w:r>
            <w:r w:rsidRPr="00404DA5">
              <w:rPr>
                <w:szCs w:val="20"/>
              </w:rPr>
              <w:t>utrzymanie tego trendu</w:t>
            </w:r>
            <w:r w:rsidR="00E66B89">
              <w:rPr>
                <w:szCs w:val="20"/>
              </w:rPr>
              <w:t xml:space="preserve"> w </w:t>
            </w:r>
            <w:r w:rsidRPr="00404DA5">
              <w:rPr>
                <w:szCs w:val="20"/>
              </w:rPr>
              <w:t>2020</w:t>
            </w:r>
            <w:r w:rsidR="00E66B89">
              <w:rPr>
                <w:szCs w:val="20"/>
              </w:rPr>
              <w:t xml:space="preserve"> i </w:t>
            </w:r>
            <w:r w:rsidRPr="00404DA5">
              <w:rPr>
                <w:szCs w:val="20"/>
              </w:rPr>
              <w:t>2023 graniczy</w:t>
            </w:r>
            <w:r w:rsidR="00E66B89">
              <w:rPr>
                <w:szCs w:val="20"/>
              </w:rPr>
              <w:t xml:space="preserve"> z </w:t>
            </w:r>
            <w:r w:rsidRPr="00404DA5">
              <w:rPr>
                <w:szCs w:val="20"/>
              </w:rPr>
              <w:t>pewnością, zwłaszcza zakładając utrzymanie względnie dobrej koniunktury</w:t>
            </w:r>
            <w:r w:rsidR="00E66B89">
              <w:rPr>
                <w:szCs w:val="20"/>
              </w:rPr>
              <w:t xml:space="preserve"> w </w:t>
            </w:r>
            <w:r w:rsidRPr="00404DA5">
              <w:rPr>
                <w:szCs w:val="20"/>
              </w:rPr>
              <w:t>gospodarce krajowej</w:t>
            </w:r>
            <w:r w:rsidR="00E66B89">
              <w:rPr>
                <w:szCs w:val="20"/>
              </w:rPr>
              <w:t xml:space="preserve"> i </w:t>
            </w:r>
            <w:r w:rsidRPr="00404DA5">
              <w:rPr>
                <w:szCs w:val="20"/>
              </w:rPr>
              <w:t>europejskiej. Estymowany wpływ RPO WZ na wskaźnik jest umiarkowany.</w:t>
            </w:r>
          </w:p>
        </w:tc>
      </w:tr>
      <w:tr w:rsidR="00EE58A9" w14:paraId="1EA8A9B2" w14:textId="77777777" w:rsidTr="00EE58A9">
        <w:tblPrEx>
          <w:tblCellMar>
            <w:left w:w="70" w:type="dxa"/>
            <w:right w:w="70" w:type="dxa"/>
          </w:tblCellMar>
        </w:tblPrEx>
        <w:trPr>
          <w:gridAfter w:val="1"/>
          <w:wAfter w:w="8" w:type="dxa"/>
        </w:trPr>
        <w:tc>
          <w:tcPr>
            <w:tcW w:w="5098" w:type="dxa"/>
            <w:gridSpan w:val="2"/>
            <w:shd w:val="clear" w:color="auto" w:fill="auto"/>
          </w:tcPr>
          <w:p w14:paraId="3935EF21" w14:textId="0CABA485" w:rsidR="00EE58A9" w:rsidRDefault="00C35619" w:rsidP="00EE58A9">
            <w:pPr>
              <w:jc w:val="center"/>
            </w:pPr>
            <w:r w:rsidRPr="00D508B6">
              <w:rPr>
                <w:noProof/>
              </w:rPr>
              <w:drawing>
                <wp:inline distT="0" distB="0" distL="0" distR="0" wp14:anchorId="4A801D2E" wp14:editId="4F806B92">
                  <wp:extent cx="3028950" cy="2170430"/>
                  <wp:effectExtent l="0" t="0" r="0" b="1270"/>
                  <wp:docPr id="100" name="Wykres 18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3964" w:type="dxa"/>
            <w:vMerge/>
            <w:shd w:val="clear" w:color="auto" w:fill="auto"/>
          </w:tcPr>
          <w:p w14:paraId="652384C0" w14:textId="77777777" w:rsidR="00EE58A9" w:rsidRDefault="00EE58A9" w:rsidP="00EE58A9">
            <w:pPr>
              <w:jc w:val="center"/>
              <w:rPr>
                <w:noProof/>
              </w:rPr>
            </w:pPr>
          </w:p>
        </w:tc>
      </w:tr>
      <w:tr w:rsidR="00EE58A9" w14:paraId="050EBBD5" w14:textId="77777777" w:rsidTr="00EE58A9">
        <w:trPr>
          <w:gridAfter w:val="1"/>
          <w:wAfter w:w="8" w:type="dxa"/>
        </w:trPr>
        <w:tc>
          <w:tcPr>
            <w:tcW w:w="5098" w:type="dxa"/>
            <w:gridSpan w:val="2"/>
            <w:shd w:val="clear" w:color="auto" w:fill="auto"/>
          </w:tcPr>
          <w:p w14:paraId="4782D360" w14:textId="77777777" w:rsidR="00EE58A9" w:rsidRPr="00121B19" w:rsidRDefault="00EE58A9" w:rsidP="00EE58A9">
            <w:pPr>
              <w:rPr>
                <w:i/>
                <w:sz w:val="18"/>
                <w:szCs w:val="18"/>
              </w:rPr>
            </w:pPr>
            <w:r w:rsidRPr="00121B19">
              <w:rPr>
                <w:i/>
                <w:sz w:val="18"/>
                <w:szCs w:val="18"/>
              </w:rPr>
              <w:t>Źródło: Oszacowanie własne.</w:t>
            </w:r>
          </w:p>
          <w:p w14:paraId="00F3EF2F" w14:textId="77777777" w:rsidR="00EE58A9" w:rsidRPr="00121B19" w:rsidRDefault="00EE58A9" w:rsidP="00EE58A9">
            <w:pPr>
              <w:rPr>
                <w:i/>
                <w:sz w:val="18"/>
                <w:szCs w:val="18"/>
              </w:rPr>
            </w:pPr>
            <w:r w:rsidRPr="00121B19">
              <w:rPr>
                <w:i/>
                <w:sz w:val="18"/>
                <w:szCs w:val="18"/>
              </w:rPr>
              <w:t>Uwaga: Jako punkt startowy przyjęto rok 2014 (początek realizacji RPO). Cel – udział województwa</w:t>
            </w:r>
            <w:r w:rsidR="00E66B89" w:rsidRPr="00121B19">
              <w:rPr>
                <w:i/>
                <w:sz w:val="18"/>
                <w:szCs w:val="18"/>
              </w:rPr>
              <w:t xml:space="preserve"> w </w:t>
            </w:r>
            <w:r w:rsidRPr="00121B19">
              <w:rPr>
                <w:i/>
                <w:sz w:val="18"/>
                <w:szCs w:val="18"/>
              </w:rPr>
              <w:t>celu krajowym proporcjonalnie do populacji.</w:t>
            </w:r>
          </w:p>
        </w:tc>
        <w:tc>
          <w:tcPr>
            <w:tcW w:w="3964" w:type="dxa"/>
            <w:vMerge/>
            <w:shd w:val="clear" w:color="auto" w:fill="auto"/>
          </w:tcPr>
          <w:p w14:paraId="292B815E" w14:textId="77777777" w:rsidR="00EE58A9" w:rsidRDefault="00EE58A9" w:rsidP="00EE58A9">
            <w:pPr>
              <w:keepNext/>
            </w:pPr>
          </w:p>
        </w:tc>
      </w:tr>
    </w:tbl>
    <w:p w14:paraId="2148A0B4" w14:textId="77777777" w:rsidR="00164862" w:rsidRPr="00404DA5" w:rsidRDefault="00164862">
      <w:pPr>
        <w:spacing w:after="200" w:line="276" w:lineRule="auto"/>
        <w:rPr>
          <w:b/>
          <w:bCs/>
          <w:color w:val="365F91"/>
          <w:szCs w:val="20"/>
        </w:rPr>
      </w:pPr>
    </w:p>
    <w:p w14:paraId="7A49CBB4" w14:textId="77777777" w:rsidR="00164862" w:rsidRPr="00801DB4" w:rsidRDefault="00164862" w:rsidP="00D45914">
      <w:pPr>
        <w:pStyle w:val="Nagwek1"/>
        <w:sectPr w:rsidR="00164862" w:rsidRPr="00801DB4">
          <w:headerReference w:type="default" r:id="rId116"/>
          <w:footerReference w:type="default" r:id="rId117"/>
          <w:pgSz w:w="11906" w:h="16838"/>
          <w:pgMar w:top="1417" w:right="1417" w:bottom="1417" w:left="1417" w:header="708" w:footer="708" w:gutter="0"/>
          <w:cols w:space="708"/>
          <w:docGrid w:linePitch="360"/>
        </w:sectPr>
      </w:pPr>
    </w:p>
    <w:p w14:paraId="7C18A452" w14:textId="77777777" w:rsidR="00164862" w:rsidRPr="007D76FB" w:rsidRDefault="00BE254B" w:rsidP="00D45914">
      <w:pPr>
        <w:pStyle w:val="Nagwek1"/>
      </w:pPr>
      <w:bookmarkStart w:id="446" w:name="_Toc6523763"/>
      <w:r w:rsidRPr="00801DB4">
        <w:lastRenderedPageBreak/>
        <w:t>WNIOSKI</w:t>
      </w:r>
      <w:r w:rsidR="00E66B89">
        <w:t xml:space="preserve"> I </w:t>
      </w:r>
      <w:r w:rsidRPr="00801DB4">
        <w:t>REKOMENDACJE</w:t>
      </w:r>
      <w:bookmarkEnd w:id="446"/>
    </w:p>
    <w:p w14:paraId="318B20AD" w14:textId="64372A70" w:rsidR="008F5645" w:rsidRPr="00233296" w:rsidRDefault="00987C06" w:rsidP="00233296">
      <w:pPr>
        <w:rPr>
          <w:i/>
          <w:szCs w:val="20"/>
        </w:rPr>
      </w:pPr>
      <w:r w:rsidRPr="008B706B">
        <w:rPr>
          <w:i/>
          <w:szCs w:val="20"/>
        </w:rPr>
        <w:t>(załącznik</w:t>
      </w:r>
      <w:r w:rsidR="00E66B89">
        <w:rPr>
          <w:i/>
          <w:szCs w:val="20"/>
        </w:rPr>
        <w:t xml:space="preserve"> w </w:t>
      </w:r>
      <w:r w:rsidR="00233296">
        <w:rPr>
          <w:i/>
          <w:szCs w:val="20"/>
        </w:rPr>
        <w:t>osobnym pliku)</w:t>
      </w:r>
    </w:p>
    <w:p w14:paraId="4171566D" w14:textId="77777777" w:rsidR="00C010F3" w:rsidRPr="00801DB4" w:rsidRDefault="00692A4E" w:rsidP="00D45914">
      <w:pPr>
        <w:pStyle w:val="Nagwek1"/>
      </w:pPr>
      <w:bookmarkStart w:id="447" w:name="_Toc6523764"/>
      <w:r w:rsidRPr="00801DB4">
        <w:t>ZAŁĄCZNIKI</w:t>
      </w:r>
      <w:bookmarkEnd w:id="447"/>
    </w:p>
    <w:p w14:paraId="340D7BAD" w14:textId="77777777" w:rsidR="00C010F3" w:rsidRPr="00D45914" w:rsidRDefault="00C010F3" w:rsidP="00D45914">
      <w:pPr>
        <w:pStyle w:val="Nagwek2"/>
      </w:pPr>
      <w:bookmarkStart w:id="448" w:name="_Toc6523765"/>
      <w:r w:rsidRPr="00D45914">
        <w:t>Spis tabel</w:t>
      </w:r>
      <w:bookmarkEnd w:id="448"/>
    </w:p>
    <w:p w14:paraId="26A0B3D2" w14:textId="77777777" w:rsidR="00233296" w:rsidRPr="00233296" w:rsidRDefault="00B24CD8">
      <w:pPr>
        <w:pStyle w:val="Spisilustracji"/>
        <w:tabs>
          <w:tab w:val="right" w:leader="dot" w:pos="9060"/>
        </w:tabs>
        <w:rPr>
          <w:rFonts w:eastAsiaTheme="minorEastAsia" w:cstheme="minorBidi"/>
          <w:noProof/>
          <w:szCs w:val="20"/>
        </w:rPr>
      </w:pPr>
      <w:r w:rsidRPr="002606AA">
        <w:rPr>
          <w:sz w:val="18"/>
          <w:szCs w:val="20"/>
        </w:rPr>
        <w:fldChar w:fldCharType="begin"/>
      </w:r>
      <w:r w:rsidRPr="002606AA">
        <w:rPr>
          <w:sz w:val="18"/>
          <w:szCs w:val="20"/>
        </w:rPr>
        <w:instrText xml:space="preserve"> TOC \h \z \c "Tabela" </w:instrText>
      </w:r>
      <w:r w:rsidRPr="002606AA">
        <w:rPr>
          <w:sz w:val="18"/>
          <w:szCs w:val="20"/>
        </w:rPr>
        <w:fldChar w:fldCharType="separate"/>
      </w:r>
      <w:hyperlink w:anchor="_Toc8824112" w:history="1">
        <w:r w:rsidR="00233296" w:rsidRPr="00233296">
          <w:rPr>
            <w:rStyle w:val="Hipercze"/>
            <w:noProof/>
            <w:szCs w:val="20"/>
          </w:rPr>
          <w:t>Tabela 1 Struktura próby badania ilościowego zrealizowanego z beneficjentami według OP</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_Toc8824112 \h </w:instrText>
        </w:r>
        <w:r w:rsidR="00233296" w:rsidRPr="00233296">
          <w:rPr>
            <w:noProof/>
            <w:webHidden/>
            <w:szCs w:val="20"/>
          </w:rPr>
        </w:r>
        <w:r w:rsidR="00233296" w:rsidRPr="00233296">
          <w:rPr>
            <w:noProof/>
            <w:webHidden/>
            <w:szCs w:val="20"/>
          </w:rPr>
          <w:fldChar w:fldCharType="separate"/>
        </w:r>
        <w:r w:rsidR="00E667FD">
          <w:rPr>
            <w:noProof/>
            <w:webHidden/>
            <w:szCs w:val="20"/>
          </w:rPr>
          <w:t>28</w:t>
        </w:r>
        <w:r w:rsidR="00233296" w:rsidRPr="00233296">
          <w:rPr>
            <w:noProof/>
            <w:webHidden/>
            <w:szCs w:val="20"/>
          </w:rPr>
          <w:fldChar w:fldCharType="end"/>
        </w:r>
      </w:hyperlink>
    </w:p>
    <w:p w14:paraId="7E1F41E6" w14:textId="77777777" w:rsidR="00233296" w:rsidRPr="00233296" w:rsidRDefault="00FA14F6">
      <w:pPr>
        <w:pStyle w:val="Spisilustracji"/>
        <w:tabs>
          <w:tab w:val="right" w:leader="dot" w:pos="9060"/>
        </w:tabs>
        <w:rPr>
          <w:rFonts w:eastAsiaTheme="minorEastAsia" w:cstheme="minorBidi"/>
          <w:noProof/>
          <w:szCs w:val="20"/>
        </w:rPr>
      </w:pPr>
      <w:hyperlink w:anchor="_Toc8824113" w:history="1">
        <w:r w:rsidR="00233296" w:rsidRPr="00233296">
          <w:rPr>
            <w:rStyle w:val="Hipercze"/>
            <w:noProof/>
            <w:szCs w:val="20"/>
          </w:rPr>
          <w:t>Tabela 2 Struktura próby badania ilościowego dotyczącego potencjału absorpcyjnego według typu wnioskodawcy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_Toc8824113 \h </w:instrText>
        </w:r>
        <w:r w:rsidR="00233296" w:rsidRPr="00233296">
          <w:rPr>
            <w:noProof/>
            <w:webHidden/>
            <w:szCs w:val="20"/>
          </w:rPr>
        </w:r>
        <w:r w:rsidR="00233296" w:rsidRPr="00233296">
          <w:rPr>
            <w:noProof/>
            <w:webHidden/>
            <w:szCs w:val="20"/>
          </w:rPr>
          <w:fldChar w:fldCharType="separate"/>
        </w:r>
        <w:r w:rsidR="00E667FD">
          <w:rPr>
            <w:noProof/>
            <w:webHidden/>
            <w:szCs w:val="20"/>
          </w:rPr>
          <w:t>28</w:t>
        </w:r>
        <w:r w:rsidR="00233296" w:rsidRPr="00233296">
          <w:rPr>
            <w:noProof/>
            <w:webHidden/>
            <w:szCs w:val="20"/>
          </w:rPr>
          <w:fldChar w:fldCharType="end"/>
        </w:r>
      </w:hyperlink>
    </w:p>
    <w:p w14:paraId="103000C1" w14:textId="77777777" w:rsidR="00233296" w:rsidRPr="00233296" w:rsidRDefault="00FA14F6">
      <w:pPr>
        <w:pStyle w:val="Spisilustracji"/>
        <w:tabs>
          <w:tab w:val="right" w:leader="dot" w:pos="9060"/>
        </w:tabs>
        <w:rPr>
          <w:rFonts w:eastAsiaTheme="minorEastAsia" w:cstheme="minorBidi"/>
          <w:noProof/>
          <w:szCs w:val="20"/>
        </w:rPr>
      </w:pPr>
      <w:hyperlink w:anchor="_Toc8824114" w:history="1">
        <w:r w:rsidR="00233296" w:rsidRPr="00233296">
          <w:rPr>
            <w:rStyle w:val="Hipercze"/>
            <w:noProof/>
            <w:szCs w:val="20"/>
          </w:rPr>
          <w:t>Tabela 3 Wskaźniki wybrane do Ram Wykonania – stopień osiągnięcia wartości pośrednich i docelowych – OP I Gospodarka, innowacje, nowoczesne technologie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_Toc8824114 \h </w:instrText>
        </w:r>
        <w:r w:rsidR="00233296" w:rsidRPr="00233296">
          <w:rPr>
            <w:noProof/>
            <w:webHidden/>
            <w:szCs w:val="20"/>
          </w:rPr>
        </w:r>
        <w:r w:rsidR="00233296" w:rsidRPr="00233296">
          <w:rPr>
            <w:noProof/>
            <w:webHidden/>
            <w:szCs w:val="20"/>
          </w:rPr>
          <w:fldChar w:fldCharType="separate"/>
        </w:r>
        <w:r w:rsidR="00E667FD">
          <w:rPr>
            <w:noProof/>
            <w:webHidden/>
            <w:szCs w:val="20"/>
          </w:rPr>
          <w:t>39</w:t>
        </w:r>
        <w:r w:rsidR="00233296" w:rsidRPr="00233296">
          <w:rPr>
            <w:noProof/>
            <w:webHidden/>
            <w:szCs w:val="20"/>
          </w:rPr>
          <w:fldChar w:fldCharType="end"/>
        </w:r>
      </w:hyperlink>
    </w:p>
    <w:p w14:paraId="1C99AAAE" w14:textId="77777777" w:rsidR="00233296" w:rsidRPr="00233296" w:rsidRDefault="00FA14F6">
      <w:pPr>
        <w:pStyle w:val="Spisilustracji"/>
        <w:tabs>
          <w:tab w:val="right" w:leader="dot" w:pos="9060"/>
        </w:tabs>
        <w:rPr>
          <w:rFonts w:eastAsiaTheme="minorEastAsia" w:cstheme="minorBidi"/>
          <w:noProof/>
          <w:szCs w:val="20"/>
        </w:rPr>
      </w:pPr>
      <w:hyperlink w:anchor="_Toc8824115" w:history="1">
        <w:r w:rsidR="00233296" w:rsidRPr="00233296">
          <w:rPr>
            <w:rStyle w:val="Hipercze"/>
            <w:noProof/>
            <w:szCs w:val="20"/>
          </w:rPr>
          <w:t>Tabela 4 Wskaźniki produktu (PI 1b)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_Toc8824115 \h </w:instrText>
        </w:r>
        <w:r w:rsidR="00233296" w:rsidRPr="00233296">
          <w:rPr>
            <w:noProof/>
            <w:webHidden/>
            <w:szCs w:val="20"/>
          </w:rPr>
        </w:r>
        <w:r w:rsidR="00233296" w:rsidRPr="00233296">
          <w:rPr>
            <w:noProof/>
            <w:webHidden/>
            <w:szCs w:val="20"/>
          </w:rPr>
          <w:fldChar w:fldCharType="separate"/>
        </w:r>
        <w:r w:rsidR="00E667FD">
          <w:rPr>
            <w:noProof/>
            <w:webHidden/>
            <w:szCs w:val="20"/>
          </w:rPr>
          <w:t>40</w:t>
        </w:r>
        <w:r w:rsidR="00233296" w:rsidRPr="00233296">
          <w:rPr>
            <w:noProof/>
            <w:webHidden/>
            <w:szCs w:val="20"/>
          </w:rPr>
          <w:fldChar w:fldCharType="end"/>
        </w:r>
      </w:hyperlink>
    </w:p>
    <w:p w14:paraId="4E35A263" w14:textId="77777777" w:rsidR="00233296" w:rsidRPr="00233296" w:rsidRDefault="00FA14F6">
      <w:pPr>
        <w:pStyle w:val="Spisilustracji"/>
        <w:tabs>
          <w:tab w:val="right" w:leader="dot" w:pos="9060"/>
        </w:tabs>
        <w:rPr>
          <w:rFonts w:eastAsiaTheme="minorEastAsia" w:cstheme="minorBidi"/>
          <w:noProof/>
          <w:szCs w:val="20"/>
        </w:rPr>
      </w:pPr>
      <w:hyperlink w:anchor="_Toc8824116" w:history="1">
        <w:r w:rsidR="00233296" w:rsidRPr="00233296">
          <w:rPr>
            <w:rStyle w:val="Hipercze"/>
            <w:noProof/>
            <w:szCs w:val="20"/>
          </w:rPr>
          <w:t>Tabela 5. Prognozowany poziom realizacji wskaźnika rezultatu strategicznego na rok 2023 dla PI 1b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_Toc8824116 \h </w:instrText>
        </w:r>
        <w:r w:rsidR="00233296" w:rsidRPr="00233296">
          <w:rPr>
            <w:noProof/>
            <w:webHidden/>
            <w:szCs w:val="20"/>
          </w:rPr>
        </w:r>
        <w:r w:rsidR="00233296" w:rsidRPr="00233296">
          <w:rPr>
            <w:noProof/>
            <w:webHidden/>
            <w:szCs w:val="20"/>
          </w:rPr>
          <w:fldChar w:fldCharType="separate"/>
        </w:r>
        <w:r w:rsidR="00E667FD">
          <w:rPr>
            <w:noProof/>
            <w:webHidden/>
            <w:szCs w:val="20"/>
          </w:rPr>
          <w:t>42</w:t>
        </w:r>
        <w:r w:rsidR="00233296" w:rsidRPr="00233296">
          <w:rPr>
            <w:noProof/>
            <w:webHidden/>
            <w:szCs w:val="20"/>
          </w:rPr>
          <w:fldChar w:fldCharType="end"/>
        </w:r>
      </w:hyperlink>
    </w:p>
    <w:p w14:paraId="7AA38D3F" w14:textId="77777777" w:rsidR="00233296" w:rsidRPr="00233296" w:rsidRDefault="00FA14F6">
      <w:pPr>
        <w:pStyle w:val="Spisilustracji"/>
        <w:tabs>
          <w:tab w:val="right" w:leader="dot" w:pos="9060"/>
        </w:tabs>
        <w:rPr>
          <w:rFonts w:eastAsiaTheme="minorEastAsia" w:cstheme="minorBidi"/>
          <w:noProof/>
          <w:szCs w:val="20"/>
        </w:rPr>
      </w:pPr>
      <w:hyperlink w:anchor="_Toc8824117" w:history="1">
        <w:r w:rsidR="00233296" w:rsidRPr="00233296">
          <w:rPr>
            <w:rStyle w:val="Hipercze"/>
            <w:noProof/>
            <w:szCs w:val="20"/>
          </w:rPr>
          <w:t>Tabela 6. Wskaźnik rezultatu dla PI 1b w latach 2012-2018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_Toc8824117 \h </w:instrText>
        </w:r>
        <w:r w:rsidR="00233296" w:rsidRPr="00233296">
          <w:rPr>
            <w:noProof/>
            <w:webHidden/>
            <w:szCs w:val="20"/>
          </w:rPr>
        </w:r>
        <w:r w:rsidR="00233296" w:rsidRPr="00233296">
          <w:rPr>
            <w:noProof/>
            <w:webHidden/>
            <w:szCs w:val="20"/>
          </w:rPr>
          <w:fldChar w:fldCharType="separate"/>
        </w:r>
        <w:r w:rsidR="00E667FD">
          <w:rPr>
            <w:noProof/>
            <w:webHidden/>
            <w:szCs w:val="20"/>
          </w:rPr>
          <w:t>42</w:t>
        </w:r>
        <w:r w:rsidR="00233296" w:rsidRPr="00233296">
          <w:rPr>
            <w:noProof/>
            <w:webHidden/>
            <w:szCs w:val="20"/>
          </w:rPr>
          <w:fldChar w:fldCharType="end"/>
        </w:r>
      </w:hyperlink>
    </w:p>
    <w:p w14:paraId="6F6EAF8E" w14:textId="77777777" w:rsidR="00233296" w:rsidRPr="00233296" w:rsidRDefault="00FA14F6">
      <w:pPr>
        <w:pStyle w:val="Spisilustracji"/>
        <w:tabs>
          <w:tab w:val="right" w:leader="dot" w:pos="9060"/>
        </w:tabs>
        <w:rPr>
          <w:rFonts w:eastAsiaTheme="minorEastAsia" w:cstheme="minorBidi"/>
          <w:noProof/>
          <w:szCs w:val="20"/>
        </w:rPr>
      </w:pPr>
      <w:hyperlink w:anchor="_Toc8824118" w:history="1">
        <w:r w:rsidR="00233296" w:rsidRPr="00233296">
          <w:rPr>
            <w:rStyle w:val="Hipercze"/>
            <w:noProof/>
            <w:szCs w:val="20"/>
          </w:rPr>
          <w:t>Tabela 7 Prognozowany poziom realizacji wskaźników produktu i rezultatu bezpośredniego na rok 2023 – PI 1b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_Toc8824118 \h </w:instrText>
        </w:r>
        <w:r w:rsidR="00233296" w:rsidRPr="00233296">
          <w:rPr>
            <w:noProof/>
            <w:webHidden/>
            <w:szCs w:val="20"/>
          </w:rPr>
        </w:r>
        <w:r w:rsidR="00233296" w:rsidRPr="00233296">
          <w:rPr>
            <w:noProof/>
            <w:webHidden/>
            <w:szCs w:val="20"/>
          </w:rPr>
          <w:fldChar w:fldCharType="separate"/>
        </w:r>
        <w:r w:rsidR="00E667FD">
          <w:rPr>
            <w:noProof/>
            <w:webHidden/>
            <w:szCs w:val="20"/>
          </w:rPr>
          <w:t>45</w:t>
        </w:r>
        <w:r w:rsidR="00233296" w:rsidRPr="00233296">
          <w:rPr>
            <w:noProof/>
            <w:webHidden/>
            <w:szCs w:val="20"/>
          </w:rPr>
          <w:fldChar w:fldCharType="end"/>
        </w:r>
      </w:hyperlink>
    </w:p>
    <w:p w14:paraId="0451DC97" w14:textId="77777777" w:rsidR="00233296" w:rsidRPr="00233296" w:rsidRDefault="00FA14F6">
      <w:pPr>
        <w:pStyle w:val="Spisilustracji"/>
        <w:tabs>
          <w:tab w:val="right" w:leader="dot" w:pos="9060"/>
        </w:tabs>
        <w:rPr>
          <w:rFonts w:eastAsiaTheme="minorEastAsia" w:cstheme="minorBidi"/>
          <w:noProof/>
          <w:szCs w:val="20"/>
        </w:rPr>
      </w:pPr>
      <w:hyperlink w:anchor="_Toc8824119" w:history="1">
        <w:r w:rsidR="00233296" w:rsidRPr="00233296">
          <w:rPr>
            <w:rStyle w:val="Hipercze"/>
            <w:noProof/>
            <w:szCs w:val="20"/>
          </w:rPr>
          <w:t>Tabela 8 Wskaźniki wymagające zmiany wartości – PI 1b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_Toc8824119 \h </w:instrText>
        </w:r>
        <w:r w:rsidR="00233296" w:rsidRPr="00233296">
          <w:rPr>
            <w:noProof/>
            <w:webHidden/>
            <w:szCs w:val="20"/>
          </w:rPr>
        </w:r>
        <w:r w:rsidR="00233296" w:rsidRPr="00233296">
          <w:rPr>
            <w:noProof/>
            <w:webHidden/>
            <w:szCs w:val="20"/>
          </w:rPr>
          <w:fldChar w:fldCharType="separate"/>
        </w:r>
        <w:r w:rsidR="00E667FD">
          <w:rPr>
            <w:noProof/>
            <w:webHidden/>
            <w:szCs w:val="20"/>
          </w:rPr>
          <w:t>46</w:t>
        </w:r>
        <w:r w:rsidR="00233296" w:rsidRPr="00233296">
          <w:rPr>
            <w:noProof/>
            <w:webHidden/>
            <w:szCs w:val="20"/>
          </w:rPr>
          <w:fldChar w:fldCharType="end"/>
        </w:r>
      </w:hyperlink>
    </w:p>
    <w:p w14:paraId="53884606" w14:textId="77777777" w:rsidR="00233296" w:rsidRPr="00233296" w:rsidRDefault="00FA14F6">
      <w:pPr>
        <w:pStyle w:val="Spisilustracji"/>
        <w:tabs>
          <w:tab w:val="right" w:leader="dot" w:pos="9060"/>
        </w:tabs>
        <w:rPr>
          <w:rFonts w:eastAsiaTheme="minorEastAsia" w:cstheme="minorBidi"/>
          <w:noProof/>
          <w:szCs w:val="20"/>
        </w:rPr>
      </w:pPr>
      <w:hyperlink w:anchor="_Toc8824120" w:history="1">
        <w:r w:rsidR="00233296" w:rsidRPr="00233296">
          <w:rPr>
            <w:rStyle w:val="Hipercze"/>
            <w:noProof/>
            <w:szCs w:val="20"/>
          </w:rPr>
          <w:t>Tabela 9 Wskaźniki produktu (PI 1a)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_Toc8824120 \h </w:instrText>
        </w:r>
        <w:r w:rsidR="00233296" w:rsidRPr="00233296">
          <w:rPr>
            <w:noProof/>
            <w:webHidden/>
            <w:szCs w:val="20"/>
          </w:rPr>
        </w:r>
        <w:r w:rsidR="00233296" w:rsidRPr="00233296">
          <w:rPr>
            <w:noProof/>
            <w:webHidden/>
            <w:szCs w:val="20"/>
          </w:rPr>
          <w:fldChar w:fldCharType="separate"/>
        </w:r>
        <w:r w:rsidR="00E667FD">
          <w:rPr>
            <w:noProof/>
            <w:webHidden/>
            <w:szCs w:val="20"/>
          </w:rPr>
          <w:t>46</w:t>
        </w:r>
        <w:r w:rsidR="00233296" w:rsidRPr="00233296">
          <w:rPr>
            <w:noProof/>
            <w:webHidden/>
            <w:szCs w:val="20"/>
          </w:rPr>
          <w:fldChar w:fldCharType="end"/>
        </w:r>
      </w:hyperlink>
    </w:p>
    <w:p w14:paraId="2DF344B9" w14:textId="77777777" w:rsidR="00233296" w:rsidRPr="00233296" w:rsidRDefault="00FA14F6">
      <w:pPr>
        <w:pStyle w:val="Spisilustracji"/>
        <w:tabs>
          <w:tab w:val="right" w:leader="dot" w:pos="9060"/>
        </w:tabs>
        <w:rPr>
          <w:rFonts w:eastAsiaTheme="minorEastAsia" w:cstheme="minorBidi"/>
          <w:noProof/>
          <w:szCs w:val="20"/>
        </w:rPr>
      </w:pPr>
      <w:hyperlink w:anchor="_Toc8824121" w:history="1">
        <w:r w:rsidR="00233296" w:rsidRPr="00233296">
          <w:rPr>
            <w:rStyle w:val="Hipercze"/>
            <w:noProof/>
            <w:szCs w:val="20"/>
          </w:rPr>
          <w:t>Tabela 10. Prognozowany poziom realizacji wskaźnika rezultatu strategicznego na rok 2023 dla PI 1a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_Toc8824121 \h </w:instrText>
        </w:r>
        <w:r w:rsidR="00233296" w:rsidRPr="00233296">
          <w:rPr>
            <w:noProof/>
            <w:webHidden/>
            <w:szCs w:val="20"/>
          </w:rPr>
        </w:r>
        <w:r w:rsidR="00233296" w:rsidRPr="00233296">
          <w:rPr>
            <w:noProof/>
            <w:webHidden/>
            <w:szCs w:val="20"/>
          </w:rPr>
          <w:fldChar w:fldCharType="separate"/>
        </w:r>
        <w:r w:rsidR="00E667FD">
          <w:rPr>
            <w:noProof/>
            <w:webHidden/>
            <w:szCs w:val="20"/>
          </w:rPr>
          <w:t>48</w:t>
        </w:r>
        <w:r w:rsidR="00233296" w:rsidRPr="00233296">
          <w:rPr>
            <w:noProof/>
            <w:webHidden/>
            <w:szCs w:val="20"/>
          </w:rPr>
          <w:fldChar w:fldCharType="end"/>
        </w:r>
      </w:hyperlink>
    </w:p>
    <w:p w14:paraId="68A0404D" w14:textId="77777777" w:rsidR="00233296" w:rsidRPr="00233296" w:rsidRDefault="00FA14F6">
      <w:pPr>
        <w:pStyle w:val="Spisilustracji"/>
        <w:tabs>
          <w:tab w:val="right" w:leader="dot" w:pos="9060"/>
        </w:tabs>
        <w:rPr>
          <w:rFonts w:eastAsiaTheme="minorEastAsia" w:cstheme="minorBidi"/>
          <w:noProof/>
          <w:szCs w:val="20"/>
        </w:rPr>
      </w:pPr>
      <w:hyperlink w:anchor="_Toc8824122" w:history="1">
        <w:r w:rsidR="00233296" w:rsidRPr="00233296">
          <w:rPr>
            <w:rStyle w:val="Hipercze"/>
            <w:noProof/>
            <w:szCs w:val="20"/>
          </w:rPr>
          <w:t>Tabela 11. Wskaźnik rezultatu dla PI 1a w latach 2012-2018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_Toc8824122 \h </w:instrText>
        </w:r>
        <w:r w:rsidR="00233296" w:rsidRPr="00233296">
          <w:rPr>
            <w:noProof/>
            <w:webHidden/>
            <w:szCs w:val="20"/>
          </w:rPr>
        </w:r>
        <w:r w:rsidR="00233296" w:rsidRPr="00233296">
          <w:rPr>
            <w:noProof/>
            <w:webHidden/>
            <w:szCs w:val="20"/>
          </w:rPr>
          <w:fldChar w:fldCharType="separate"/>
        </w:r>
        <w:r w:rsidR="00E667FD">
          <w:rPr>
            <w:noProof/>
            <w:webHidden/>
            <w:szCs w:val="20"/>
          </w:rPr>
          <w:t>48</w:t>
        </w:r>
        <w:r w:rsidR="00233296" w:rsidRPr="00233296">
          <w:rPr>
            <w:noProof/>
            <w:webHidden/>
            <w:szCs w:val="20"/>
          </w:rPr>
          <w:fldChar w:fldCharType="end"/>
        </w:r>
      </w:hyperlink>
    </w:p>
    <w:p w14:paraId="66CFB4AB" w14:textId="77777777" w:rsidR="00233296" w:rsidRPr="00233296" w:rsidRDefault="00FA14F6">
      <w:pPr>
        <w:pStyle w:val="Spisilustracji"/>
        <w:tabs>
          <w:tab w:val="right" w:leader="dot" w:pos="9060"/>
        </w:tabs>
        <w:rPr>
          <w:rFonts w:eastAsiaTheme="minorEastAsia" w:cstheme="minorBidi"/>
          <w:noProof/>
          <w:szCs w:val="20"/>
        </w:rPr>
      </w:pPr>
      <w:hyperlink w:anchor="_Toc8824123" w:history="1">
        <w:r w:rsidR="00233296" w:rsidRPr="00233296">
          <w:rPr>
            <w:rStyle w:val="Hipercze"/>
            <w:noProof/>
            <w:szCs w:val="20"/>
          </w:rPr>
          <w:t>Tabela 12 Prognozowany poziom realizacji wskaźników produktu i rezultatu bezpośredniego na rok 2023 – PI 1a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_Toc8824123 \h </w:instrText>
        </w:r>
        <w:r w:rsidR="00233296" w:rsidRPr="00233296">
          <w:rPr>
            <w:noProof/>
            <w:webHidden/>
            <w:szCs w:val="20"/>
          </w:rPr>
        </w:r>
        <w:r w:rsidR="00233296" w:rsidRPr="00233296">
          <w:rPr>
            <w:noProof/>
            <w:webHidden/>
            <w:szCs w:val="20"/>
          </w:rPr>
          <w:fldChar w:fldCharType="separate"/>
        </w:r>
        <w:r w:rsidR="00E667FD">
          <w:rPr>
            <w:noProof/>
            <w:webHidden/>
            <w:szCs w:val="20"/>
          </w:rPr>
          <w:t>49</w:t>
        </w:r>
        <w:r w:rsidR="00233296" w:rsidRPr="00233296">
          <w:rPr>
            <w:noProof/>
            <w:webHidden/>
            <w:szCs w:val="20"/>
          </w:rPr>
          <w:fldChar w:fldCharType="end"/>
        </w:r>
      </w:hyperlink>
    </w:p>
    <w:p w14:paraId="4952F723" w14:textId="77777777" w:rsidR="00233296" w:rsidRPr="00233296" w:rsidRDefault="00FA14F6">
      <w:pPr>
        <w:pStyle w:val="Spisilustracji"/>
        <w:tabs>
          <w:tab w:val="right" w:leader="dot" w:pos="9060"/>
        </w:tabs>
        <w:rPr>
          <w:rFonts w:eastAsiaTheme="minorEastAsia" w:cstheme="minorBidi"/>
          <w:noProof/>
          <w:szCs w:val="20"/>
        </w:rPr>
      </w:pPr>
      <w:hyperlink w:anchor="_Toc8824124" w:history="1">
        <w:r w:rsidR="00233296" w:rsidRPr="00233296">
          <w:rPr>
            <w:rStyle w:val="Hipercze"/>
            <w:noProof/>
            <w:szCs w:val="20"/>
          </w:rPr>
          <w:t>Tabela 13 Wskaźniki wymagające zmiany wartości – PI 1a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_Toc8824124 \h </w:instrText>
        </w:r>
        <w:r w:rsidR="00233296" w:rsidRPr="00233296">
          <w:rPr>
            <w:noProof/>
            <w:webHidden/>
            <w:szCs w:val="20"/>
          </w:rPr>
        </w:r>
        <w:r w:rsidR="00233296" w:rsidRPr="00233296">
          <w:rPr>
            <w:noProof/>
            <w:webHidden/>
            <w:szCs w:val="20"/>
          </w:rPr>
          <w:fldChar w:fldCharType="separate"/>
        </w:r>
        <w:r w:rsidR="00E667FD">
          <w:rPr>
            <w:noProof/>
            <w:webHidden/>
            <w:szCs w:val="20"/>
          </w:rPr>
          <w:t>50</w:t>
        </w:r>
        <w:r w:rsidR="00233296" w:rsidRPr="00233296">
          <w:rPr>
            <w:noProof/>
            <w:webHidden/>
            <w:szCs w:val="20"/>
          </w:rPr>
          <w:fldChar w:fldCharType="end"/>
        </w:r>
      </w:hyperlink>
    </w:p>
    <w:p w14:paraId="0EDFCC97" w14:textId="77777777" w:rsidR="00233296" w:rsidRPr="00233296" w:rsidRDefault="00FA14F6">
      <w:pPr>
        <w:pStyle w:val="Spisilustracji"/>
        <w:tabs>
          <w:tab w:val="right" w:leader="dot" w:pos="9060"/>
        </w:tabs>
        <w:rPr>
          <w:rFonts w:eastAsiaTheme="minorEastAsia" w:cstheme="minorBidi"/>
          <w:noProof/>
          <w:szCs w:val="20"/>
        </w:rPr>
      </w:pPr>
      <w:hyperlink w:anchor="_Toc8824125" w:history="1">
        <w:r w:rsidR="00233296" w:rsidRPr="00233296">
          <w:rPr>
            <w:rStyle w:val="Hipercze"/>
            <w:noProof/>
            <w:szCs w:val="20"/>
          </w:rPr>
          <w:t>Tabela 14 Wskaźniki produktu (PI 3c)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_Toc8824125 \h </w:instrText>
        </w:r>
        <w:r w:rsidR="00233296" w:rsidRPr="00233296">
          <w:rPr>
            <w:noProof/>
            <w:webHidden/>
            <w:szCs w:val="20"/>
          </w:rPr>
        </w:r>
        <w:r w:rsidR="00233296" w:rsidRPr="00233296">
          <w:rPr>
            <w:noProof/>
            <w:webHidden/>
            <w:szCs w:val="20"/>
          </w:rPr>
          <w:fldChar w:fldCharType="separate"/>
        </w:r>
        <w:r w:rsidR="00E667FD">
          <w:rPr>
            <w:noProof/>
            <w:webHidden/>
            <w:szCs w:val="20"/>
          </w:rPr>
          <w:t>51</w:t>
        </w:r>
        <w:r w:rsidR="00233296" w:rsidRPr="00233296">
          <w:rPr>
            <w:noProof/>
            <w:webHidden/>
            <w:szCs w:val="20"/>
          </w:rPr>
          <w:fldChar w:fldCharType="end"/>
        </w:r>
      </w:hyperlink>
    </w:p>
    <w:p w14:paraId="3AB86C49" w14:textId="77777777" w:rsidR="00233296" w:rsidRPr="00233296" w:rsidRDefault="00FA14F6">
      <w:pPr>
        <w:pStyle w:val="Spisilustracji"/>
        <w:tabs>
          <w:tab w:val="right" w:leader="dot" w:pos="9060"/>
        </w:tabs>
        <w:rPr>
          <w:rFonts w:eastAsiaTheme="minorEastAsia" w:cstheme="minorBidi"/>
          <w:noProof/>
          <w:szCs w:val="20"/>
        </w:rPr>
      </w:pPr>
      <w:hyperlink w:anchor="_Toc8824126" w:history="1">
        <w:r w:rsidR="00233296" w:rsidRPr="00233296">
          <w:rPr>
            <w:rStyle w:val="Hipercze"/>
            <w:noProof/>
            <w:szCs w:val="20"/>
          </w:rPr>
          <w:t>Tabela 15 Prognozowany poziom realizacji wskaźników produktu i rezultatu bezpośredniego na rok 2023 – PI 3c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_Toc8824126 \h </w:instrText>
        </w:r>
        <w:r w:rsidR="00233296" w:rsidRPr="00233296">
          <w:rPr>
            <w:noProof/>
            <w:webHidden/>
            <w:szCs w:val="20"/>
          </w:rPr>
        </w:r>
        <w:r w:rsidR="00233296" w:rsidRPr="00233296">
          <w:rPr>
            <w:noProof/>
            <w:webHidden/>
            <w:szCs w:val="20"/>
          </w:rPr>
          <w:fldChar w:fldCharType="separate"/>
        </w:r>
        <w:r w:rsidR="00E667FD">
          <w:rPr>
            <w:noProof/>
            <w:webHidden/>
            <w:szCs w:val="20"/>
          </w:rPr>
          <w:t>54</w:t>
        </w:r>
        <w:r w:rsidR="00233296" w:rsidRPr="00233296">
          <w:rPr>
            <w:noProof/>
            <w:webHidden/>
            <w:szCs w:val="20"/>
          </w:rPr>
          <w:fldChar w:fldCharType="end"/>
        </w:r>
      </w:hyperlink>
    </w:p>
    <w:p w14:paraId="501F0589" w14:textId="77777777" w:rsidR="00233296" w:rsidRPr="00233296" w:rsidRDefault="00FA14F6">
      <w:pPr>
        <w:pStyle w:val="Spisilustracji"/>
        <w:tabs>
          <w:tab w:val="right" w:leader="dot" w:pos="9060"/>
        </w:tabs>
        <w:rPr>
          <w:rFonts w:eastAsiaTheme="minorEastAsia" w:cstheme="minorBidi"/>
          <w:noProof/>
          <w:szCs w:val="20"/>
        </w:rPr>
      </w:pPr>
      <w:hyperlink w:anchor="_Toc8824127" w:history="1">
        <w:r w:rsidR="00233296" w:rsidRPr="00233296">
          <w:rPr>
            <w:rStyle w:val="Hipercze"/>
            <w:noProof/>
            <w:szCs w:val="20"/>
          </w:rPr>
          <w:t>Tabela 16 Wskaźniki produktu (PI 3a)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_Toc8824127 \h </w:instrText>
        </w:r>
        <w:r w:rsidR="00233296" w:rsidRPr="00233296">
          <w:rPr>
            <w:noProof/>
            <w:webHidden/>
            <w:szCs w:val="20"/>
          </w:rPr>
        </w:r>
        <w:r w:rsidR="00233296" w:rsidRPr="00233296">
          <w:rPr>
            <w:noProof/>
            <w:webHidden/>
            <w:szCs w:val="20"/>
          </w:rPr>
          <w:fldChar w:fldCharType="separate"/>
        </w:r>
        <w:r w:rsidR="00E667FD">
          <w:rPr>
            <w:noProof/>
            <w:webHidden/>
            <w:szCs w:val="20"/>
          </w:rPr>
          <w:t>56</w:t>
        </w:r>
        <w:r w:rsidR="00233296" w:rsidRPr="00233296">
          <w:rPr>
            <w:noProof/>
            <w:webHidden/>
            <w:szCs w:val="20"/>
          </w:rPr>
          <w:fldChar w:fldCharType="end"/>
        </w:r>
      </w:hyperlink>
    </w:p>
    <w:p w14:paraId="51242A84" w14:textId="77777777" w:rsidR="00233296" w:rsidRPr="00233296" w:rsidRDefault="00FA14F6">
      <w:pPr>
        <w:pStyle w:val="Spisilustracji"/>
        <w:tabs>
          <w:tab w:val="right" w:leader="dot" w:pos="9060"/>
        </w:tabs>
        <w:rPr>
          <w:rFonts w:eastAsiaTheme="minorEastAsia" w:cstheme="minorBidi"/>
          <w:noProof/>
          <w:szCs w:val="20"/>
        </w:rPr>
      </w:pPr>
      <w:hyperlink w:anchor="_Toc8824128" w:history="1">
        <w:r w:rsidR="00233296" w:rsidRPr="00233296">
          <w:rPr>
            <w:rStyle w:val="Hipercze"/>
            <w:noProof/>
            <w:szCs w:val="20"/>
          </w:rPr>
          <w:t>Tabela 17 Prognozowany poziom realizacji wskaźników produktu i rezultatu bezpośredniego na rok 2023 – PI 3a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_Toc8824128 \h </w:instrText>
        </w:r>
        <w:r w:rsidR="00233296" w:rsidRPr="00233296">
          <w:rPr>
            <w:noProof/>
            <w:webHidden/>
            <w:szCs w:val="20"/>
          </w:rPr>
        </w:r>
        <w:r w:rsidR="00233296" w:rsidRPr="00233296">
          <w:rPr>
            <w:noProof/>
            <w:webHidden/>
            <w:szCs w:val="20"/>
          </w:rPr>
          <w:fldChar w:fldCharType="separate"/>
        </w:r>
        <w:r w:rsidR="00E667FD">
          <w:rPr>
            <w:noProof/>
            <w:webHidden/>
            <w:szCs w:val="20"/>
          </w:rPr>
          <w:t>62</w:t>
        </w:r>
        <w:r w:rsidR="00233296" w:rsidRPr="00233296">
          <w:rPr>
            <w:noProof/>
            <w:webHidden/>
            <w:szCs w:val="20"/>
          </w:rPr>
          <w:fldChar w:fldCharType="end"/>
        </w:r>
      </w:hyperlink>
    </w:p>
    <w:p w14:paraId="737FEA4F" w14:textId="77777777" w:rsidR="00233296" w:rsidRPr="00233296" w:rsidRDefault="00FA14F6">
      <w:pPr>
        <w:pStyle w:val="Spisilustracji"/>
        <w:tabs>
          <w:tab w:val="right" w:leader="dot" w:pos="9060"/>
        </w:tabs>
        <w:rPr>
          <w:rFonts w:eastAsiaTheme="minorEastAsia" w:cstheme="minorBidi"/>
          <w:noProof/>
          <w:szCs w:val="20"/>
        </w:rPr>
      </w:pPr>
      <w:hyperlink w:anchor="_Toc8824129" w:history="1">
        <w:r w:rsidR="00233296" w:rsidRPr="00233296">
          <w:rPr>
            <w:rStyle w:val="Hipercze"/>
            <w:noProof/>
            <w:szCs w:val="20"/>
          </w:rPr>
          <w:t>Tabela 18 Średnie stężenia roczne pyły PM 2,5 i PM 10 w województwie zachodniopomorskim w latach 2012-2017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_Toc8824129 \h </w:instrText>
        </w:r>
        <w:r w:rsidR="00233296" w:rsidRPr="00233296">
          <w:rPr>
            <w:noProof/>
            <w:webHidden/>
            <w:szCs w:val="20"/>
          </w:rPr>
        </w:r>
        <w:r w:rsidR="00233296" w:rsidRPr="00233296">
          <w:rPr>
            <w:noProof/>
            <w:webHidden/>
            <w:szCs w:val="20"/>
          </w:rPr>
          <w:fldChar w:fldCharType="separate"/>
        </w:r>
        <w:r w:rsidR="00E667FD">
          <w:rPr>
            <w:noProof/>
            <w:webHidden/>
            <w:szCs w:val="20"/>
          </w:rPr>
          <w:t>69</w:t>
        </w:r>
        <w:r w:rsidR="00233296" w:rsidRPr="00233296">
          <w:rPr>
            <w:noProof/>
            <w:webHidden/>
            <w:szCs w:val="20"/>
          </w:rPr>
          <w:fldChar w:fldCharType="end"/>
        </w:r>
      </w:hyperlink>
    </w:p>
    <w:p w14:paraId="0D4CC92C" w14:textId="77777777" w:rsidR="00233296" w:rsidRPr="00233296" w:rsidRDefault="00FA14F6">
      <w:pPr>
        <w:pStyle w:val="Spisilustracji"/>
        <w:tabs>
          <w:tab w:val="right" w:leader="dot" w:pos="9060"/>
        </w:tabs>
        <w:rPr>
          <w:rFonts w:eastAsiaTheme="minorEastAsia" w:cstheme="minorBidi"/>
          <w:noProof/>
          <w:szCs w:val="20"/>
        </w:rPr>
      </w:pPr>
      <w:hyperlink w:anchor="_Toc8824130" w:history="1">
        <w:r w:rsidR="00233296" w:rsidRPr="00233296">
          <w:rPr>
            <w:rStyle w:val="Hipercze"/>
            <w:noProof/>
            <w:szCs w:val="20"/>
          </w:rPr>
          <w:t>Tabela 19 Wskaźniki wybrane do Ram Wykonania – stopień osiągnięcia wartości pośrednich i docelowych – OP II Gospodarka niskoemisyjna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_Toc8824130 \h </w:instrText>
        </w:r>
        <w:r w:rsidR="00233296" w:rsidRPr="00233296">
          <w:rPr>
            <w:noProof/>
            <w:webHidden/>
            <w:szCs w:val="20"/>
          </w:rPr>
        </w:r>
        <w:r w:rsidR="00233296" w:rsidRPr="00233296">
          <w:rPr>
            <w:noProof/>
            <w:webHidden/>
            <w:szCs w:val="20"/>
          </w:rPr>
          <w:fldChar w:fldCharType="separate"/>
        </w:r>
        <w:r w:rsidR="00E667FD">
          <w:rPr>
            <w:noProof/>
            <w:webHidden/>
            <w:szCs w:val="20"/>
          </w:rPr>
          <w:t>71</w:t>
        </w:r>
        <w:r w:rsidR="00233296" w:rsidRPr="00233296">
          <w:rPr>
            <w:noProof/>
            <w:webHidden/>
            <w:szCs w:val="20"/>
          </w:rPr>
          <w:fldChar w:fldCharType="end"/>
        </w:r>
      </w:hyperlink>
    </w:p>
    <w:p w14:paraId="55CE42D2" w14:textId="77777777" w:rsidR="00233296" w:rsidRPr="00233296" w:rsidRDefault="00FA14F6">
      <w:pPr>
        <w:pStyle w:val="Spisilustracji"/>
        <w:tabs>
          <w:tab w:val="right" w:leader="dot" w:pos="9060"/>
        </w:tabs>
        <w:rPr>
          <w:rFonts w:eastAsiaTheme="minorEastAsia" w:cstheme="minorBidi"/>
          <w:noProof/>
          <w:szCs w:val="20"/>
        </w:rPr>
      </w:pPr>
      <w:hyperlink w:anchor="_Toc8824131" w:history="1">
        <w:r w:rsidR="00233296" w:rsidRPr="00233296">
          <w:rPr>
            <w:rStyle w:val="Hipercze"/>
            <w:noProof/>
            <w:szCs w:val="20"/>
          </w:rPr>
          <w:t>Tabela 20 Wskaźniki produktu (PI 4a)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_Toc8824131 \h </w:instrText>
        </w:r>
        <w:r w:rsidR="00233296" w:rsidRPr="00233296">
          <w:rPr>
            <w:noProof/>
            <w:webHidden/>
            <w:szCs w:val="20"/>
          </w:rPr>
        </w:r>
        <w:r w:rsidR="00233296" w:rsidRPr="00233296">
          <w:rPr>
            <w:noProof/>
            <w:webHidden/>
            <w:szCs w:val="20"/>
          </w:rPr>
          <w:fldChar w:fldCharType="separate"/>
        </w:r>
        <w:r w:rsidR="00E667FD">
          <w:rPr>
            <w:noProof/>
            <w:webHidden/>
            <w:szCs w:val="20"/>
          </w:rPr>
          <w:t>74</w:t>
        </w:r>
        <w:r w:rsidR="00233296" w:rsidRPr="00233296">
          <w:rPr>
            <w:noProof/>
            <w:webHidden/>
            <w:szCs w:val="20"/>
          </w:rPr>
          <w:fldChar w:fldCharType="end"/>
        </w:r>
      </w:hyperlink>
    </w:p>
    <w:p w14:paraId="64E66813" w14:textId="77777777" w:rsidR="00233296" w:rsidRPr="00233296" w:rsidRDefault="00FA14F6">
      <w:pPr>
        <w:pStyle w:val="Spisilustracji"/>
        <w:tabs>
          <w:tab w:val="right" w:leader="dot" w:pos="9060"/>
        </w:tabs>
        <w:rPr>
          <w:rFonts w:eastAsiaTheme="minorEastAsia" w:cstheme="minorBidi"/>
          <w:noProof/>
          <w:szCs w:val="20"/>
        </w:rPr>
      </w:pPr>
      <w:hyperlink w:anchor="_Toc8824132" w:history="1">
        <w:r w:rsidR="00233296" w:rsidRPr="00233296">
          <w:rPr>
            <w:rStyle w:val="Hipercze"/>
            <w:noProof/>
            <w:szCs w:val="20"/>
          </w:rPr>
          <w:t>Tabela 21. Wskaźnik rezultatu dla PI 4a w latach 2012-2018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_Toc8824132 \h </w:instrText>
        </w:r>
        <w:r w:rsidR="00233296" w:rsidRPr="00233296">
          <w:rPr>
            <w:noProof/>
            <w:webHidden/>
            <w:szCs w:val="20"/>
          </w:rPr>
        </w:r>
        <w:r w:rsidR="00233296" w:rsidRPr="00233296">
          <w:rPr>
            <w:noProof/>
            <w:webHidden/>
            <w:szCs w:val="20"/>
          </w:rPr>
          <w:fldChar w:fldCharType="separate"/>
        </w:r>
        <w:r w:rsidR="00E667FD">
          <w:rPr>
            <w:noProof/>
            <w:webHidden/>
            <w:szCs w:val="20"/>
          </w:rPr>
          <w:t>75</w:t>
        </w:r>
        <w:r w:rsidR="00233296" w:rsidRPr="00233296">
          <w:rPr>
            <w:noProof/>
            <w:webHidden/>
            <w:szCs w:val="20"/>
          </w:rPr>
          <w:fldChar w:fldCharType="end"/>
        </w:r>
      </w:hyperlink>
    </w:p>
    <w:p w14:paraId="76338F6B" w14:textId="77777777" w:rsidR="00233296" w:rsidRPr="00233296" w:rsidRDefault="00FA14F6">
      <w:pPr>
        <w:pStyle w:val="Spisilustracji"/>
        <w:tabs>
          <w:tab w:val="right" w:leader="dot" w:pos="9060"/>
        </w:tabs>
        <w:rPr>
          <w:rFonts w:eastAsiaTheme="minorEastAsia" w:cstheme="minorBidi"/>
          <w:noProof/>
          <w:szCs w:val="20"/>
        </w:rPr>
      </w:pPr>
      <w:hyperlink w:anchor="_Toc8824133" w:history="1">
        <w:r w:rsidR="00233296" w:rsidRPr="00233296">
          <w:rPr>
            <w:rStyle w:val="Hipercze"/>
            <w:noProof/>
            <w:szCs w:val="20"/>
          </w:rPr>
          <w:t>Tabela 22 Prognozowany poziom realizacji wskaźników produktu na rok 2023 – PI 4a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_Toc8824133 \h </w:instrText>
        </w:r>
        <w:r w:rsidR="00233296" w:rsidRPr="00233296">
          <w:rPr>
            <w:noProof/>
            <w:webHidden/>
            <w:szCs w:val="20"/>
          </w:rPr>
        </w:r>
        <w:r w:rsidR="00233296" w:rsidRPr="00233296">
          <w:rPr>
            <w:noProof/>
            <w:webHidden/>
            <w:szCs w:val="20"/>
          </w:rPr>
          <w:fldChar w:fldCharType="separate"/>
        </w:r>
        <w:r w:rsidR="00E667FD">
          <w:rPr>
            <w:noProof/>
            <w:webHidden/>
            <w:szCs w:val="20"/>
          </w:rPr>
          <w:t>76</w:t>
        </w:r>
        <w:r w:rsidR="00233296" w:rsidRPr="00233296">
          <w:rPr>
            <w:noProof/>
            <w:webHidden/>
            <w:szCs w:val="20"/>
          </w:rPr>
          <w:fldChar w:fldCharType="end"/>
        </w:r>
      </w:hyperlink>
    </w:p>
    <w:p w14:paraId="3311F901" w14:textId="77777777" w:rsidR="00233296" w:rsidRPr="00233296" w:rsidRDefault="00FA14F6">
      <w:pPr>
        <w:pStyle w:val="Spisilustracji"/>
        <w:tabs>
          <w:tab w:val="right" w:leader="dot" w:pos="9060"/>
        </w:tabs>
        <w:rPr>
          <w:rFonts w:eastAsiaTheme="minorEastAsia" w:cstheme="minorBidi"/>
          <w:noProof/>
          <w:szCs w:val="20"/>
        </w:rPr>
      </w:pPr>
      <w:hyperlink w:anchor="_Toc8824134" w:history="1">
        <w:r w:rsidR="00233296" w:rsidRPr="00233296">
          <w:rPr>
            <w:rStyle w:val="Hipercze"/>
            <w:noProof/>
            <w:szCs w:val="20"/>
          </w:rPr>
          <w:t>Tabela 23 Wskaźniki produktu (PI 4c)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_Toc8824134 \h </w:instrText>
        </w:r>
        <w:r w:rsidR="00233296" w:rsidRPr="00233296">
          <w:rPr>
            <w:noProof/>
            <w:webHidden/>
            <w:szCs w:val="20"/>
          </w:rPr>
        </w:r>
        <w:r w:rsidR="00233296" w:rsidRPr="00233296">
          <w:rPr>
            <w:noProof/>
            <w:webHidden/>
            <w:szCs w:val="20"/>
          </w:rPr>
          <w:fldChar w:fldCharType="separate"/>
        </w:r>
        <w:r w:rsidR="00E667FD">
          <w:rPr>
            <w:noProof/>
            <w:webHidden/>
            <w:szCs w:val="20"/>
          </w:rPr>
          <w:t>77</w:t>
        </w:r>
        <w:r w:rsidR="00233296" w:rsidRPr="00233296">
          <w:rPr>
            <w:noProof/>
            <w:webHidden/>
            <w:szCs w:val="20"/>
          </w:rPr>
          <w:fldChar w:fldCharType="end"/>
        </w:r>
      </w:hyperlink>
    </w:p>
    <w:p w14:paraId="538A5C07" w14:textId="77777777" w:rsidR="00233296" w:rsidRPr="00233296" w:rsidRDefault="00FA14F6">
      <w:pPr>
        <w:pStyle w:val="Spisilustracji"/>
        <w:tabs>
          <w:tab w:val="right" w:leader="dot" w:pos="9060"/>
        </w:tabs>
        <w:rPr>
          <w:rFonts w:eastAsiaTheme="minorEastAsia" w:cstheme="minorBidi"/>
          <w:noProof/>
          <w:szCs w:val="20"/>
        </w:rPr>
      </w:pPr>
      <w:hyperlink w:anchor="_Toc8824135" w:history="1">
        <w:r w:rsidR="00233296" w:rsidRPr="00233296">
          <w:rPr>
            <w:rStyle w:val="Hipercze"/>
            <w:noProof/>
            <w:szCs w:val="20"/>
          </w:rPr>
          <w:t>Tabela 24 Prognozowany poziom realizacji wskaźników produktu na rok 2023 – PI 4c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_Toc8824135 \h </w:instrText>
        </w:r>
        <w:r w:rsidR="00233296" w:rsidRPr="00233296">
          <w:rPr>
            <w:noProof/>
            <w:webHidden/>
            <w:szCs w:val="20"/>
          </w:rPr>
        </w:r>
        <w:r w:rsidR="00233296" w:rsidRPr="00233296">
          <w:rPr>
            <w:noProof/>
            <w:webHidden/>
            <w:szCs w:val="20"/>
          </w:rPr>
          <w:fldChar w:fldCharType="separate"/>
        </w:r>
        <w:r w:rsidR="00E667FD">
          <w:rPr>
            <w:noProof/>
            <w:webHidden/>
            <w:szCs w:val="20"/>
          </w:rPr>
          <w:t>85</w:t>
        </w:r>
        <w:r w:rsidR="00233296" w:rsidRPr="00233296">
          <w:rPr>
            <w:noProof/>
            <w:webHidden/>
            <w:szCs w:val="20"/>
          </w:rPr>
          <w:fldChar w:fldCharType="end"/>
        </w:r>
      </w:hyperlink>
    </w:p>
    <w:p w14:paraId="7DF94903" w14:textId="77777777" w:rsidR="00233296" w:rsidRPr="00233296" w:rsidRDefault="00FA14F6">
      <w:pPr>
        <w:pStyle w:val="Spisilustracji"/>
        <w:tabs>
          <w:tab w:val="right" w:leader="dot" w:pos="9060"/>
        </w:tabs>
        <w:rPr>
          <w:rFonts w:eastAsiaTheme="minorEastAsia" w:cstheme="minorBidi"/>
          <w:noProof/>
          <w:szCs w:val="20"/>
        </w:rPr>
      </w:pPr>
      <w:hyperlink w:anchor="_Toc8824136" w:history="1">
        <w:r w:rsidR="00233296" w:rsidRPr="00233296">
          <w:rPr>
            <w:rStyle w:val="Hipercze"/>
            <w:noProof/>
            <w:szCs w:val="20"/>
          </w:rPr>
          <w:t>Tabela 25 Wskaźniki produktu (PI 4e)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_Toc8824136 \h </w:instrText>
        </w:r>
        <w:r w:rsidR="00233296" w:rsidRPr="00233296">
          <w:rPr>
            <w:noProof/>
            <w:webHidden/>
            <w:szCs w:val="20"/>
          </w:rPr>
        </w:r>
        <w:r w:rsidR="00233296" w:rsidRPr="00233296">
          <w:rPr>
            <w:noProof/>
            <w:webHidden/>
            <w:szCs w:val="20"/>
          </w:rPr>
          <w:fldChar w:fldCharType="separate"/>
        </w:r>
        <w:r w:rsidR="00E667FD">
          <w:rPr>
            <w:noProof/>
            <w:webHidden/>
            <w:szCs w:val="20"/>
          </w:rPr>
          <w:t>86</w:t>
        </w:r>
        <w:r w:rsidR="00233296" w:rsidRPr="00233296">
          <w:rPr>
            <w:noProof/>
            <w:webHidden/>
            <w:szCs w:val="20"/>
          </w:rPr>
          <w:fldChar w:fldCharType="end"/>
        </w:r>
      </w:hyperlink>
    </w:p>
    <w:p w14:paraId="5F72FB70" w14:textId="77777777" w:rsidR="00233296" w:rsidRPr="00233296" w:rsidRDefault="00FA14F6">
      <w:pPr>
        <w:pStyle w:val="Spisilustracji"/>
        <w:tabs>
          <w:tab w:val="right" w:leader="dot" w:pos="9060"/>
        </w:tabs>
        <w:rPr>
          <w:rFonts w:eastAsiaTheme="minorEastAsia" w:cstheme="minorBidi"/>
          <w:noProof/>
          <w:szCs w:val="20"/>
        </w:rPr>
      </w:pPr>
      <w:hyperlink w:anchor="_Toc8824137" w:history="1">
        <w:r w:rsidR="00233296" w:rsidRPr="00233296">
          <w:rPr>
            <w:rStyle w:val="Hipercze"/>
            <w:noProof/>
            <w:szCs w:val="20"/>
          </w:rPr>
          <w:t>Tabela 26 Prognozowany poziom realizacji wskaźników produktu na rok 2023 – PI 4e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_Toc8824137 \h </w:instrText>
        </w:r>
        <w:r w:rsidR="00233296" w:rsidRPr="00233296">
          <w:rPr>
            <w:noProof/>
            <w:webHidden/>
            <w:szCs w:val="20"/>
          </w:rPr>
        </w:r>
        <w:r w:rsidR="00233296" w:rsidRPr="00233296">
          <w:rPr>
            <w:noProof/>
            <w:webHidden/>
            <w:szCs w:val="20"/>
          </w:rPr>
          <w:fldChar w:fldCharType="separate"/>
        </w:r>
        <w:r w:rsidR="00E667FD">
          <w:rPr>
            <w:noProof/>
            <w:webHidden/>
            <w:szCs w:val="20"/>
          </w:rPr>
          <w:t>91</w:t>
        </w:r>
        <w:r w:rsidR="00233296" w:rsidRPr="00233296">
          <w:rPr>
            <w:noProof/>
            <w:webHidden/>
            <w:szCs w:val="20"/>
          </w:rPr>
          <w:fldChar w:fldCharType="end"/>
        </w:r>
      </w:hyperlink>
    </w:p>
    <w:p w14:paraId="5924E18F" w14:textId="77777777" w:rsidR="00233296" w:rsidRPr="00233296" w:rsidRDefault="00FA14F6">
      <w:pPr>
        <w:pStyle w:val="Spisilustracji"/>
        <w:tabs>
          <w:tab w:val="right" w:leader="dot" w:pos="9060"/>
        </w:tabs>
        <w:rPr>
          <w:rFonts w:eastAsiaTheme="minorEastAsia" w:cstheme="minorBidi"/>
          <w:noProof/>
          <w:szCs w:val="20"/>
        </w:rPr>
      </w:pPr>
      <w:hyperlink w:anchor="_Toc8824138" w:history="1">
        <w:r w:rsidR="00233296" w:rsidRPr="00233296">
          <w:rPr>
            <w:rStyle w:val="Hipercze"/>
            <w:noProof/>
            <w:szCs w:val="20"/>
          </w:rPr>
          <w:t>Tabela 27 Wskaźniki produktu (PI 4g)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_Toc8824138 \h </w:instrText>
        </w:r>
        <w:r w:rsidR="00233296" w:rsidRPr="00233296">
          <w:rPr>
            <w:noProof/>
            <w:webHidden/>
            <w:szCs w:val="20"/>
          </w:rPr>
        </w:r>
        <w:r w:rsidR="00233296" w:rsidRPr="00233296">
          <w:rPr>
            <w:noProof/>
            <w:webHidden/>
            <w:szCs w:val="20"/>
          </w:rPr>
          <w:fldChar w:fldCharType="separate"/>
        </w:r>
        <w:r w:rsidR="00E667FD">
          <w:rPr>
            <w:noProof/>
            <w:webHidden/>
            <w:szCs w:val="20"/>
          </w:rPr>
          <w:t>93</w:t>
        </w:r>
        <w:r w:rsidR="00233296" w:rsidRPr="00233296">
          <w:rPr>
            <w:noProof/>
            <w:webHidden/>
            <w:szCs w:val="20"/>
          </w:rPr>
          <w:fldChar w:fldCharType="end"/>
        </w:r>
      </w:hyperlink>
    </w:p>
    <w:p w14:paraId="76EE1E09" w14:textId="77777777" w:rsidR="00233296" w:rsidRPr="00233296" w:rsidRDefault="00FA14F6">
      <w:pPr>
        <w:pStyle w:val="Spisilustracji"/>
        <w:tabs>
          <w:tab w:val="right" w:leader="dot" w:pos="9060"/>
        </w:tabs>
        <w:rPr>
          <w:rFonts w:eastAsiaTheme="minorEastAsia" w:cstheme="minorBidi"/>
          <w:noProof/>
          <w:szCs w:val="20"/>
        </w:rPr>
      </w:pPr>
      <w:hyperlink w:anchor="_Toc8824139" w:history="1">
        <w:r w:rsidR="00233296" w:rsidRPr="00233296">
          <w:rPr>
            <w:rStyle w:val="Hipercze"/>
            <w:noProof/>
            <w:szCs w:val="20"/>
          </w:rPr>
          <w:t>Tabela 28. Wskaźnik rezultatu dla PI 4g w latach 2012-2018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_Toc8824139 \h </w:instrText>
        </w:r>
        <w:r w:rsidR="00233296" w:rsidRPr="00233296">
          <w:rPr>
            <w:noProof/>
            <w:webHidden/>
            <w:szCs w:val="20"/>
          </w:rPr>
        </w:r>
        <w:r w:rsidR="00233296" w:rsidRPr="00233296">
          <w:rPr>
            <w:noProof/>
            <w:webHidden/>
            <w:szCs w:val="20"/>
          </w:rPr>
          <w:fldChar w:fldCharType="separate"/>
        </w:r>
        <w:r w:rsidR="00E667FD">
          <w:rPr>
            <w:noProof/>
            <w:webHidden/>
            <w:szCs w:val="20"/>
          </w:rPr>
          <w:t>94</w:t>
        </w:r>
        <w:r w:rsidR="00233296" w:rsidRPr="00233296">
          <w:rPr>
            <w:noProof/>
            <w:webHidden/>
            <w:szCs w:val="20"/>
          </w:rPr>
          <w:fldChar w:fldCharType="end"/>
        </w:r>
      </w:hyperlink>
    </w:p>
    <w:p w14:paraId="28033F79" w14:textId="77777777" w:rsidR="00233296" w:rsidRPr="00233296" w:rsidRDefault="00FA14F6">
      <w:pPr>
        <w:pStyle w:val="Spisilustracji"/>
        <w:tabs>
          <w:tab w:val="right" w:leader="dot" w:pos="9060"/>
        </w:tabs>
        <w:rPr>
          <w:rFonts w:eastAsiaTheme="minorEastAsia" w:cstheme="minorBidi"/>
          <w:noProof/>
          <w:szCs w:val="20"/>
        </w:rPr>
      </w:pPr>
      <w:hyperlink w:anchor="_Toc8824140" w:history="1">
        <w:r w:rsidR="00233296" w:rsidRPr="00233296">
          <w:rPr>
            <w:rStyle w:val="Hipercze"/>
            <w:noProof/>
            <w:szCs w:val="20"/>
          </w:rPr>
          <w:t>Tabela 29 Prognozowany poziom realizacji wskaźników produktu na rok 2023 – PI 4g</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_Toc8824140 \h </w:instrText>
        </w:r>
        <w:r w:rsidR="00233296" w:rsidRPr="00233296">
          <w:rPr>
            <w:noProof/>
            <w:webHidden/>
            <w:szCs w:val="20"/>
          </w:rPr>
        </w:r>
        <w:r w:rsidR="00233296" w:rsidRPr="00233296">
          <w:rPr>
            <w:noProof/>
            <w:webHidden/>
            <w:szCs w:val="20"/>
          </w:rPr>
          <w:fldChar w:fldCharType="separate"/>
        </w:r>
        <w:r w:rsidR="00E667FD">
          <w:rPr>
            <w:noProof/>
            <w:webHidden/>
            <w:szCs w:val="20"/>
          </w:rPr>
          <w:t>95</w:t>
        </w:r>
        <w:r w:rsidR="00233296" w:rsidRPr="00233296">
          <w:rPr>
            <w:noProof/>
            <w:webHidden/>
            <w:szCs w:val="20"/>
          </w:rPr>
          <w:fldChar w:fldCharType="end"/>
        </w:r>
      </w:hyperlink>
    </w:p>
    <w:p w14:paraId="1FA6D6B5" w14:textId="77777777" w:rsidR="00233296" w:rsidRPr="00233296" w:rsidRDefault="00FA14F6">
      <w:pPr>
        <w:pStyle w:val="Spisilustracji"/>
        <w:tabs>
          <w:tab w:val="right" w:leader="dot" w:pos="9060"/>
        </w:tabs>
        <w:rPr>
          <w:rFonts w:eastAsiaTheme="minorEastAsia" w:cstheme="minorBidi"/>
          <w:noProof/>
          <w:szCs w:val="20"/>
        </w:rPr>
      </w:pPr>
      <w:hyperlink w:anchor="_Toc8824141" w:history="1">
        <w:r w:rsidR="00233296" w:rsidRPr="00233296">
          <w:rPr>
            <w:rStyle w:val="Hipercze"/>
            <w:noProof/>
            <w:szCs w:val="20"/>
          </w:rPr>
          <w:t>Tabela 30 Wskaźniki produktu (PI 6e)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_Toc8824141 \h </w:instrText>
        </w:r>
        <w:r w:rsidR="00233296" w:rsidRPr="00233296">
          <w:rPr>
            <w:noProof/>
            <w:webHidden/>
            <w:szCs w:val="20"/>
          </w:rPr>
        </w:r>
        <w:r w:rsidR="00233296" w:rsidRPr="00233296">
          <w:rPr>
            <w:noProof/>
            <w:webHidden/>
            <w:szCs w:val="20"/>
          </w:rPr>
          <w:fldChar w:fldCharType="separate"/>
        </w:r>
        <w:r w:rsidR="00E667FD">
          <w:rPr>
            <w:noProof/>
            <w:webHidden/>
            <w:szCs w:val="20"/>
          </w:rPr>
          <w:t>96</w:t>
        </w:r>
        <w:r w:rsidR="00233296" w:rsidRPr="00233296">
          <w:rPr>
            <w:noProof/>
            <w:webHidden/>
            <w:szCs w:val="20"/>
          </w:rPr>
          <w:fldChar w:fldCharType="end"/>
        </w:r>
      </w:hyperlink>
    </w:p>
    <w:p w14:paraId="5E8797BF" w14:textId="77777777" w:rsidR="00233296" w:rsidRPr="00233296" w:rsidRDefault="00FA14F6">
      <w:pPr>
        <w:pStyle w:val="Spisilustracji"/>
        <w:tabs>
          <w:tab w:val="right" w:leader="dot" w:pos="9060"/>
        </w:tabs>
        <w:rPr>
          <w:rFonts w:eastAsiaTheme="minorEastAsia" w:cstheme="minorBidi"/>
          <w:noProof/>
          <w:szCs w:val="20"/>
        </w:rPr>
      </w:pPr>
      <w:hyperlink w:anchor="_Toc8824142" w:history="1">
        <w:r w:rsidR="00233296" w:rsidRPr="00233296">
          <w:rPr>
            <w:rStyle w:val="Hipercze"/>
            <w:noProof/>
            <w:szCs w:val="20"/>
          </w:rPr>
          <w:t>Tabela 31 Specyficzne dla programu wskaźniki rezultatu w podziale na poszczególne cele (w odniesieniu do EFRR i Funduszu Spójności)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_Toc8824142 \h </w:instrText>
        </w:r>
        <w:r w:rsidR="00233296" w:rsidRPr="00233296">
          <w:rPr>
            <w:noProof/>
            <w:webHidden/>
            <w:szCs w:val="20"/>
          </w:rPr>
        </w:r>
        <w:r w:rsidR="00233296" w:rsidRPr="00233296">
          <w:rPr>
            <w:noProof/>
            <w:webHidden/>
            <w:szCs w:val="20"/>
          </w:rPr>
          <w:fldChar w:fldCharType="separate"/>
        </w:r>
        <w:r w:rsidR="00E667FD">
          <w:rPr>
            <w:noProof/>
            <w:webHidden/>
            <w:szCs w:val="20"/>
          </w:rPr>
          <w:t>99</w:t>
        </w:r>
        <w:r w:rsidR="00233296" w:rsidRPr="00233296">
          <w:rPr>
            <w:noProof/>
            <w:webHidden/>
            <w:szCs w:val="20"/>
          </w:rPr>
          <w:fldChar w:fldCharType="end"/>
        </w:r>
      </w:hyperlink>
    </w:p>
    <w:p w14:paraId="12D56ADB" w14:textId="77777777" w:rsidR="00233296" w:rsidRPr="00233296" w:rsidRDefault="00FA14F6">
      <w:pPr>
        <w:pStyle w:val="Spisilustracji"/>
        <w:tabs>
          <w:tab w:val="right" w:leader="dot" w:pos="9060"/>
        </w:tabs>
        <w:rPr>
          <w:rFonts w:eastAsiaTheme="minorEastAsia" w:cstheme="minorBidi"/>
          <w:noProof/>
          <w:szCs w:val="20"/>
        </w:rPr>
      </w:pPr>
      <w:hyperlink w:anchor="_Toc8824143" w:history="1">
        <w:r w:rsidR="00233296" w:rsidRPr="00233296">
          <w:rPr>
            <w:rStyle w:val="Hipercze"/>
            <w:noProof/>
            <w:szCs w:val="20"/>
          </w:rPr>
          <w:t>Tabela 32 Prognozowany poziom realizacji wskaźników produktu i rezultatu bezpośredniego na rok 2023 przy pozostałej alokacji – PI 6e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_Toc8824143 \h </w:instrText>
        </w:r>
        <w:r w:rsidR="00233296" w:rsidRPr="00233296">
          <w:rPr>
            <w:noProof/>
            <w:webHidden/>
            <w:szCs w:val="20"/>
          </w:rPr>
        </w:r>
        <w:r w:rsidR="00233296" w:rsidRPr="00233296">
          <w:rPr>
            <w:noProof/>
            <w:webHidden/>
            <w:szCs w:val="20"/>
          </w:rPr>
          <w:fldChar w:fldCharType="separate"/>
        </w:r>
        <w:r w:rsidR="00E667FD">
          <w:rPr>
            <w:noProof/>
            <w:webHidden/>
            <w:szCs w:val="20"/>
          </w:rPr>
          <w:t>101</w:t>
        </w:r>
        <w:r w:rsidR="00233296" w:rsidRPr="00233296">
          <w:rPr>
            <w:noProof/>
            <w:webHidden/>
            <w:szCs w:val="20"/>
          </w:rPr>
          <w:fldChar w:fldCharType="end"/>
        </w:r>
      </w:hyperlink>
    </w:p>
    <w:p w14:paraId="20711FB0" w14:textId="77777777" w:rsidR="00233296" w:rsidRPr="00233296" w:rsidRDefault="00FA14F6">
      <w:pPr>
        <w:pStyle w:val="Spisilustracji"/>
        <w:tabs>
          <w:tab w:val="right" w:leader="dot" w:pos="9060"/>
        </w:tabs>
        <w:rPr>
          <w:rFonts w:eastAsiaTheme="minorEastAsia" w:cstheme="minorBidi"/>
          <w:noProof/>
          <w:szCs w:val="20"/>
        </w:rPr>
      </w:pPr>
      <w:hyperlink w:anchor="_Toc8824144" w:history="1">
        <w:r w:rsidR="00233296" w:rsidRPr="00233296">
          <w:rPr>
            <w:rStyle w:val="Hipercze"/>
            <w:noProof/>
            <w:szCs w:val="20"/>
          </w:rPr>
          <w:t>Wykres 33 Odsetek ludności korzystających z kanalizacji w województwie zachodniopomorskim (lata 2002-2017)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_Toc8824144 \h </w:instrText>
        </w:r>
        <w:r w:rsidR="00233296" w:rsidRPr="00233296">
          <w:rPr>
            <w:noProof/>
            <w:webHidden/>
            <w:szCs w:val="20"/>
          </w:rPr>
        </w:r>
        <w:r w:rsidR="00233296" w:rsidRPr="00233296">
          <w:rPr>
            <w:noProof/>
            <w:webHidden/>
            <w:szCs w:val="20"/>
          </w:rPr>
          <w:fldChar w:fldCharType="separate"/>
        </w:r>
        <w:r w:rsidR="00E667FD">
          <w:rPr>
            <w:noProof/>
            <w:webHidden/>
            <w:szCs w:val="20"/>
          </w:rPr>
          <w:t>104</w:t>
        </w:r>
        <w:r w:rsidR="00233296" w:rsidRPr="00233296">
          <w:rPr>
            <w:noProof/>
            <w:webHidden/>
            <w:szCs w:val="20"/>
          </w:rPr>
          <w:fldChar w:fldCharType="end"/>
        </w:r>
      </w:hyperlink>
    </w:p>
    <w:p w14:paraId="2ED96B65" w14:textId="77777777" w:rsidR="00233296" w:rsidRPr="00233296" w:rsidRDefault="00FA14F6">
      <w:pPr>
        <w:pStyle w:val="Spisilustracji"/>
        <w:tabs>
          <w:tab w:val="right" w:leader="dot" w:pos="9060"/>
        </w:tabs>
        <w:rPr>
          <w:rFonts w:eastAsiaTheme="minorEastAsia" w:cstheme="minorBidi"/>
          <w:noProof/>
          <w:szCs w:val="20"/>
        </w:rPr>
      </w:pPr>
      <w:hyperlink w:anchor="_Toc8824145" w:history="1">
        <w:r w:rsidR="00233296" w:rsidRPr="00233296">
          <w:rPr>
            <w:rStyle w:val="Hipercze"/>
            <w:noProof/>
            <w:szCs w:val="20"/>
          </w:rPr>
          <w:t>Wykres 34 Odsetek ludności korzystających z wodociągów w województwie zachodniopomorskim (lata 2002-2017)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_Toc8824145 \h </w:instrText>
        </w:r>
        <w:r w:rsidR="00233296" w:rsidRPr="00233296">
          <w:rPr>
            <w:noProof/>
            <w:webHidden/>
            <w:szCs w:val="20"/>
          </w:rPr>
        </w:r>
        <w:r w:rsidR="00233296" w:rsidRPr="00233296">
          <w:rPr>
            <w:noProof/>
            <w:webHidden/>
            <w:szCs w:val="20"/>
          </w:rPr>
          <w:fldChar w:fldCharType="separate"/>
        </w:r>
        <w:r w:rsidR="00E667FD">
          <w:rPr>
            <w:noProof/>
            <w:webHidden/>
            <w:szCs w:val="20"/>
          </w:rPr>
          <w:t>105</w:t>
        </w:r>
        <w:r w:rsidR="00233296" w:rsidRPr="00233296">
          <w:rPr>
            <w:noProof/>
            <w:webHidden/>
            <w:szCs w:val="20"/>
          </w:rPr>
          <w:fldChar w:fldCharType="end"/>
        </w:r>
      </w:hyperlink>
    </w:p>
    <w:p w14:paraId="65F9CDF7" w14:textId="77777777" w:rsidR="00233296" w:rsidRPr="00233296" w:rsidRDefault="00FA14F6">
      <w:pPr>
        <w:pStyle w:val="Spisilustracji"/>
        <w:tabs>
          <w:tab w:val="right" w:leader="dot" w:pos="9060"/>
        </w:tabs>
        <w:rPr>
          <w:rFonts w:eastAsiaTheme="minorEastAsia" w:cstheme="minorBidi"/>
          <w:noProof/>
          <w:szCs w:val="20"/>
        </w:rPr>
      </w:pPr>
      <w:hyperlink w:anchor="_Toc8824146" w:history="1">
        <w:r w:rsidR="00233296" w:rsidRPr="00233296">
          <w:rPr>
            <w:rStyle w:val="Hipercze"/>
            <w:noProof/>
            <w:szCs w:val="20"/>
          </w:rPr>
          <w:t>Wykres 35 Ludność korzystająca z oczyszczalni ścieków województwie zachodniopomorskim w % ogólnej liczby ludności (lata 2002-2017).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_Toc8824146 \h </w:instrText>
        </w:r>
        <w:r w:rsidR="00233296" w:rsidRPr="00233296">
          <w:rPr>
            <w:noProof/>
            <w:webHidden/>
            <w:szCs w:val="20"/>
          </w:rPr>
        </w:r>
        <w:r w:rsidR="00233296" w:rsidRPr="00233296">
          <w:rPr>
            <w:noProof/>
            <w:webHidden/>
            <w:szCs w:val="20"/>
          </w:rPr>
          <w:fldChar w:fldCharType="separate"/>
        </w:r>
        <w:r w:rsidR="00E667FD">
          <w:rPr>
            <w:noProof/>
            <w:webHidden/>
            <w:szCs w:val="20"/>
          </w:rPr>
          <w:t>105</w:t>
        </w:r>
        <w:r w:rsidR="00233296" w:rsidRPr="00233296">
          <w:rPr>
            <w:noProof/>
            <w:webHidden/>
            <w:szCs w:val="20"/>
          </w:rPr>
          <w:fldChar w:fldCharType="end"/>
        </w:r>
      </w:hyperlink>
    </w:p>
    <w:p w14:paraId="3B5F797D" w14:textId="77777777" w:rsidR="00233296" w:rsidRPr="00233296" w:rsidRDefault="00FA14F6">
      <w:pPr>
        <w:pStyle w:val="Spisilustracji"/>
        <w:tabs>
          <w:tab w:val="right" w:leader="dot" w:pos="9060"/>
        </w:tabs>
        <w:rPr>
          <w:rFonts w:eastAsiaTheme="minorEastAsia" w:cstheme="minorBidi"/>
          <w:noProof/>
          <w:szCs w:val="20"/>
        </w:rPr>
      </w:pPr>
      <w:hyperlink w:anchor="_Toc8824147" w:history="1">
        <w:r w:rsidR="00233296" w:rsidRPr="00233296">
          <w:rPr>
            <w:rStyle w:val="Hipercze"/>
            <w:noProof/>
            <w:szCs w:val="20"/>
          </w:rPr>
          <w:t>Wykres 36 Wybrane mierniki do diagnozy sytuacji w PI 6a w latach 2005-2017 (liczba ludności w województwie zachodniopomorskim oraz dochód rozporządzalny)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_Toc8824147 \h </w:instrText>
        </w:r>
        <w:r w:rsidR="00233296" w:rsidRPr="00233296">
          <w:rPr>
            <w:noProof/>
            <w:webHidden/>
            <w:szCs w:val="20"/>
          </w:rPr>
        </w:r>
        <w:r w:rsidR="00233296" w:rsidRPr="00233296">
          <w:rPr>
            <w:noProof/>
            <w:webHidden/>
            <w:szCs w:val="20"/>
          </w:rPr>
          <w:fldChar w:fldCharType="separate"/>
        </w:r>
        <w:r w:rsidR="00E667FD">
          <w:rPr>
            <w:noProof/>
            <w:webHidden/>
            <w:szCs w:val="20"/>
          </w:rPr>
          <w:t>107</w:t>
        </w:r>
        <w:r w:rsidR="00233296" w:rsidRPr="00233296">
          <w:rPr>
            <w:noProof/>
            <w:webHidden/>
            <w:szCs w:val="20"/>
          </w:rPr>
          <w:fldChar w:fldCharType="end"/>
        </w:r>
      </w:hyperlink>
    </w:p>
    <w:p w14:paraId="58C47472" w14:textId="77777777" w:rsidR="00233296" w:rsidRPr="00233296" w:rsidRDefault="00FA14F6">
      <w:pPr>
        <w:pStyle w:val="Spisilustracji"/>
        <w:tabs>
          <w:tab w:val="right" w:leader="dot" w:pos="9060"/>
        </w:tabs>
        <w:rPr>
          <w:rFonts w:eastAsiaTheme="minorEastAsia" w:cstheme="minorBidi"/>
          <w:noProof/>
          <w:szCs w:val="20"/>
        </w:rPr>
      </w:pPr>
      <w:hyperlink w:anchor="_Toc8824148" w:history="1">
        <w:r w:rsidR="00233296" w:rsidRPr="00233296">
          <w:rPr>
            <w:rStyle w:val="Hipercze"/>
            <w:noProof/>
            <w:szCs w:val="20"/>
          </w:rPr>
          <w:t>Wykres 37 Masa zbieranych odpadów komunalnych ogółem i zmieszanych w latach 2005-2017 w województwie zachodniopomorskim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_Toc8824148 \h </w:instrText>
        </w:r>
        <w:r w:rsidR="00233296" w:rsidRPr="00233296">
          <w:rPr>
            <w:noProof/>
            <w:webHidden/>
            <w:szCs w:val="20"/>
          </w:rPr>
        </w:r>
        <w:r w:rsidR="00233296" w:rsidRPr="00233296">
          <w:rPr>
            <w:noProof/>
            <w:webHidden/>
            <w:szCs w:val="20"/>
          </w:rPr>
          <w:fldChar w:fldCharType="separate"/>
        </w:r>
        <w:r w:rsidR="00E667FD">
          <w:rPr>
            <w:noProof/>
            <w:webHidden/>
            <w:szCs w:val="20"/>
          </w:rPr>
          <w:t>107</w:t>
        </w:r>
        <w:r w:rsidR="00233296" w:rsidRPr="00233296">
          <w:rPr>
            <w:noProof/>
            <w:webHidden/>
            <w:szCs w:val="20"/>
          </w:rPr>
          <w:fldChar w:fldCharType="end"/>
        </w:r>
      </w:hyperlink>
    </w:p>
    <w:p w14:paraId="03B4108F" w14:textId="77777777" w:rsidR="00233296" w:rsidRPr="00233296" w:rsidRDefault="00FA14F6">
      <w:pPr>
        <w:pStyle w:val="Spisilustracji"/>
        <w:tabs>
          <w:tab w:val="right" w:leader="dot" w:pos="9060"/>
        </w:tabs>
        <w:rPr>
          <w:rFonts w:eastAsiaTheme="minorEastAsia" w:cstheme="minorBidi"/>
          <w:noProof/>
          <w:szCs w:val="20"/>
        </w:rPr>
      </w:pPr>
      <w:hyperlink w:anchor="_Toc8824149" w:history="1">
        <w:r w:rsidR="00233296" w:rsidRPr="00233296">
          <w:rPr>
            <w:rStyle w:val="Hipercze"/>
            <w:noProof/>
            <w:szCs w:val="20"/>
          </w:rPr>
          <w:t>Tabela 38 Udział masy składowanych odpadów komunalnych w latach 2005-2017 w masie zebranych odpadów komunalnych w województwie zachodniopomorskim [%]</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_Toc8824149 \h </w:instrText>
        </w:r>
        <w:r w:rsidR="00233296" w:rsidRPr="00233296">
          <w:rPr>
            <w:noProof/>
            <w:webHidden/>
            <w:szCs w:val="20"/>
          </w:rPr>
        </w:r>
        <w:r w:rsidR="00233296" w:rsidRPr="00233296">
          <w:rPr>
            <w:noProof/>
            <w:webHidden/>
            <w:szCs w:val="20"/>
          </w:rPr>
          <w:fldChar w:fldCharType="separate"/>
        </w:r>
        <w:r w:rsidR="00E667FD">
          <w:rPr>
            <w:noProof/>
            <w:webHidden/>
            <w:szCs w:val="20"/>
          </w:rPr>
          <w:t>108</w:t>
        </w:r>
        <w:r w:rsidR="00233296" w:rsidRPr="00233296">
          <w:rPr>
            <w:noProof/>
            <w:webHidden/>
            <w:szCs w:val="20"/>
          </w:rPr>
          <w:fldChar w:fldCharType="end"/>
        </w:r>
      </w:hyperlink>
    </w:p>
    <w:p w14:paraId="2DEBFAF1" w14:textId="77777777" w:rsidR="00233296" w:rsidRPr="00233296" w:rsidRDefault="00FA14F6">
      <w:pPr>
        <w:pStyle w:val="Spisilustracji"/>
        <w:tabs>
          <w:tab w:val="right" w:leader="dot" w:pos="9060"/>
        </w:tabs>
        <w:rPr>
          <w:rFonts w:eastAsiaTheme="minorEastAsia" w:cstheme="minorBidi"/>
          <w:noProof/>
          <w:szCs w:val="20"/>
        </w:rPr>
      </w:pPr>
      <w:hyperlink w:anchor="_Toc8824150" w:history="1">
        <w:r w:rsidR="00233296" w:rsidRPr="00233296">
          <w:rPr>
            <w:rStyle w:val="Hipercze"/>
            <w:noProof/>
            <w:szCs w:val="20"/>
          </w:rPr>
          <w:t>Tabela 39 Masa wyrobów zawierających azbest w województwie zachodniopomorskim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_Toc8824150 \h </w:instrText>
        </w:r>
        <w:r w:rsidR="00233296" w:rsidRPr="00233296">
          <w:rPr>
            <w:noProof/>
            <w:webHidden/>
            <w:szCs w:val="20"/>
          </w:rPr>
        </w:r>
        <w:r w:rsidR="00233296" w:rsidRPr="00233296">
          <w:rPr>
            <w:noProof/>
            <w:webHidden/>
            <w:szCs w:val="20"/>
          </w:rPr>
          <w:fldChar w:fldCharType="separate"/>
        </w:r>
        <w:r w:rsidR="00E667FD">
          <w:rPr>
            <w:noProof/>
            <w:webHidden/>
            <w:szCs w:val="20"/>
          </w:rPr>
          <w:t>109</w:t>
        </w:r>
        <w:r w:rsidR="00233296" w:rsidRPr="00233296">
          <w:rPr>
            <w:noProof/>
            <w:webHidden/>
            <w:szCs w:val="20"/>
          </w:rPr>
          <w:fldChar w:fldCharType="end"/>
        </w:r>
      </w:hyperlink>
    </w:p>
    <w:p w14:paraId="5106C3D8" w14:textId="77777777" w:rsidR="00233296" w:rsidRPr="00233296" w:rsidRDefault="00FA14F6">
      <w:pPr>
        <w:pStyle w:val="Spisilustracji"/>
        <w:tabs>
          <w:tab w:val="right" w:leader="dot" w:pos="9060"/>
        </w:tabs>
        <w:rPr>
          <w:rFonts w:eastAsiaTheme="minorEastAsia" w:cstheme="minorBidi"/>
          <w:noProof/>
          <w:szCs w:val="20"/>
        </w:rPr>
      </w:pPr>
      <w:hyperlink w:anchor="_Toc8824151" w:history="1">
        <w:r w:rsidR="00233296" w:rsidRPr="00233296">
          <w:rPr>
            <w:rStyle w:val="Hipercze"/>
            <w:noProof/>
            <w:szCs w:val="20"/>
          </w:rPr>
          <w:t>Tabela 40 Wskaźniki wybrane do Ram Wykonania – stopień osiągnięcia wartości pośrednich i docelowych – OP III Ochrona środowiska i adaptacja do zmian klimatu</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_Toc8824151 \h </w:instrText>
        </w:r>
        <w:r w:rsidR="00233296" w:rsidRPr="00233296">
          <w:rPr>
            <w:noProof/>
            <w:webHidden/>
            <w:szCs w:val="20"/>
          </w:rPr>
        </w:r>
        <w:r w:rsidR="00233296" w:rsidRPr="00233296">
          <w:rPr>
            <w:noProof/>
            <w:webHidden/>
            <w:szCs w:val="20"/>
          </w:rPr>
          <w:fldChar w:fldCharType="separate"/>
        </w:r>
        <w:r w:rsidR="00E667FD">
          <w:rPr>
            <w:noProof/>
            <w:webHidden/>
            <w:szCs w:val="20"/>
          </w:rPr>
          <w:t>110</w:t>
        </w:r>
        <w:r w:rsidR="00233296" w:rsidRPr="00233296">
          <w:rPr>
            <w:noProof/>
            <w:webHidden/>
            <w:szCs w:val="20"/>
          </w:rPr>
          <w:fldChar w:fldCharType="end"/>
        </w:r>
      </w:hyperlink>
    </w:p>
    <w:p w14:paraId="0B941C93" w14:textId="77777777" w:rsidR="00233296" w:rsidRPr="00233296" w:rsidRDefault="00FA14F6">
      <w:pPr>
        <w:pStyle w:val="Spisilustracji"/>
        <w:tabs>
          <w:tab w:val="right" w:leader="dot" w:pos="9060"/>
        </w:tabs>
        <w:rPr>
          <w:rFonts w:eastAsiaTheme="minorEastAsia" w:cstheme="minorBidi"/>
          <w:noProof/>
          <w:szCs w:val="20"/>
        </w:rPr>
      </w:pPr>
      <w:hyperlink w:anchor="_Toc8824152" w:history="1">
        <w:r w:rsidR="00233296" w:rsidRPr="00233296">
          <w:rPr>
            <w:rStyle w:val="Hipercze"/>
            <w:noProof/>
            <w:szCs w:val="20"/>
          </w:rPr>
          <w:t>Tabela 41 Wskaźniki produktu i rezultatu (PI 5b)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_Toc8824152 \h </w:instrText>
        </w:r>
        <w:r w:rsidR="00233296" w:rsidRPr="00233296">
          <w:rPr>
            <w:noProof/>
            <w:webHidden/>
            <w:szCs w:val="20"/>
          </w:rPr>
        </w:r>
        <w:r w:rsidR="00233296" w:rsidRPr="00233296">
          <w:rPr>
            <w:noProof/>
            <w:webHidden/>
            <w:szCs w:val="20"/>
          </w:rPr>
          <w:fldChar w:fldCharType="separate"/>
        </w:r>
        <w:r w:rsidR="00E667FD">
          <w:rPr>
            <w:noProof/>
            <w:webHidden/>
            <w:szCs w:val="20"/>
          </w:rPr>
          <w:t>114</w:t>
        </w:r>
        <w:r w:rsidR="00233296" w:rsidRPr="00233296">
          <w:rPr>
            <w:noProof/>
            <w:webHidden/>
            <w:szCs w:val="20"/>
          </w:rPr>
          <w:fldChar w:fldCharType="end"/>
        </w:r>
      </w:hyperlink>
    </w:p>
    <w:p w14:paraId="4C18E47B" w14:textId="77777777" w:rsidR="00233296" w:rsidRPr="00233296" w:rsidRDefault="00FA14F6">
      <w:pPr>
        <w:pStyle w:val="Spisilustracji"/>
        <w:tabs>
          <w:tab w:val="right" w:leader="dot" w:pos="9060"/>
        </w:tabs>
        <w:rPr>
          <w:rFonts w:eastAsiaTheme="minorEastAsia" w:cstheme="minorBidi"/>
          <w:noProof/>
          <w:szCs w:val="20"/>
        </w:rPr>
      </w:pPr>
      <w:hyperlink w:anchor="_Toc8824153" w:history="1">
        <w:r w:rsidR="00233296" w:rsidRPr="00233296">
          <w:rPr>
            <w:rStyle w:val="Hipercze"/>
            <w:noProof/>
            <w:szCs w:val="20"/>
          </w:rPr>
          <w:t>Tabela 42. Wskaźnik rezultatu strategicznego w PI 5b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_Toc8824153 \h </w:instrText>
        </w:r>
        <w:r w:rsidR="00233296" w:rsidRPr="00233296">
          <w:rPr>
            <w:noProof/>
            <w:webHidden/>
            <w:szCs w:val="20"/>
          </w:rPr>
        </w:r>
        <w:r w:rsidR="00233296" w:rsidRPr="00233296">
          <w:rPr>
            <w:noProof/>
            <w:webHidden/>
            <w:szCs w:val="20"/>
          </w:rPr>
          <w:fldChar w:fldCharType="separate"/>
        </w:r>
        <w:r w:rsidR="00E667FD">
          <w:rPr>
            <w:noProof/>
            <w:webHidden/>
            <w:szCs w:val="20"/>
          </w:rPr>
          <w:t>115</w:t>
        </w:r>
        <w:r w:rsidR="00233296" w:rsidRPr="00233296">
          <w:rPr>
            <w:noProof/>
            <w:webHidden/>
            <w:szCs w:val="20"/>
          </w:rPr>
          <w:fldChar w:fldCharType="end"/>
        </w:r>
      </w:hyperlink>
    </w:p>
    <w:p w14:paraId="72021B8C" w14:textId="77777777" w:rsidR="00233296" w:rsidRPr="00233296" w:rsidRDefault="00FA14F6">
      <w:pPr>
        <w:pStyle w:val="Spisilustracji"/>
        <w:tabs>
          <w:tab w:val="right" w:leader="dot" w:pos="9060"/>
        </w:tabs>
        <w:rPr>
          <w:rFonts w:eastAsiaTheme="minorEastAsia" w:cstheme="minorBidi"/>
          <w:noProof/>
          <w:szCs w:val="20"/>
        </w:rPr>
      </w:pPr>
      <w:hyperlink w:anchor="_Toc8824154" w:history="1">
        <w:r w:rsidR="00233296" w:rsidRPr="00233296">
          <w:rPr>
            <w:rStyle w:val="Hipercze"/>
            <w:noProof/>
            <w:szCs w:val="20"/>
          </w:rPr>
          <w:t>Tabela 43 Prognozowany poziom realizacji wskaźników produktu i rezultatu bezpośredniego na rok 2023 – PI 5b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_Toc8824154 \h </w:instrText>
        </w:r>
        <w:r w:rsidR="00233296" w:rsidRPr="00233296">
          <w:rPr>
            <w:noProof/>
            <w:webHidden/>
            <w:szCs w:val="20"/>
          </w:rPr>
        </w:r>
        <w:r w:rsidR="00233296" w:rsidRPr="00233296">
          <w:rPr>
            <w:noProof/>
            <w:webHidden/>
            <w:szCs w:val="20"/>
          </w:rPr>
          <w:fldChar w:fldCharType="separate"/>
        </w:r>
        <w:r w:rsidR="00E667FD">
          <w:rPr>
            <w:noProof/>
            <w:webHidden/>
            <w:szCs w:val="20"/>
          </w:rPr>
          <w:t>116</w:t>
        </w:r>
        <w:r w:rsidR="00233296" w:rsidRPr="00233296">
          <w:rPr>
            <w:noProof/>
            <w:webHidden/>
            <w:szCs w:val="20"/>
          </w:rPr>
          <w:fldChar w:fldCharType="end"/>
        </w:r>
      </w:hyperlink>
    </w:p>
    <w:p w14:paraId="55E7B408" w14:textId="77777777" w:rsidR="00233296" w:rsidRPr="00233296" w:rsidRDefault="00FA14F6">
      <w:pPr>
        <w:pStyle w:val="Spisilustracji"/>
        <w:tabs>
          <w:tab w:val="right" w:leader="dot" w:pos="9060"/>
        </w:tabs>
        <w:rPr>
          <w:rFonts w:eastAsiaTheme="minorEastAsia" w:cstheme="minorBidi"/>
          <w:noProof/>
          <w:szCs w:val="20"/>
        </w:rPr>
      </w:pPr>
      <w:hyperlink w:anchor="_Toc8824155" w:history="1">
        <w:r w:rsidR="00233296" w:rsidRPr="00233296">
          <w:rPr>
            <w:rStyle w:val="Hipercze"/>
            <w:noProof/>
            <w:szCs w:val="20"/>
          </w:rPr>
          <w:t>Tabela 44 Wskaźniki wymagające zmiany wartości – PI 5b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_Toc8824155 \h </w:instrText>
        </w:r>
        <w:r w:rsidR="00233296" w:rsidRPr="00233296">
          <w:rPr>
            <w:noProof/>
            <w:webHidden/>
            <w:szCs w:val="20"/>
          </w:rPr>
        </w:r>
        <w:r w:rsidR="00233296" w:rsidRPr="00233296">
          <w:rPr>
            <w:noProof/>
            <w:webHidden/>
            <w:szCs w:val="20"/>
          </w:rPr>
          <w:fldChar w:fldCharType="separate"/>
        </w:r>
        <w:r w:rsidR="00E667FD">
          <w:rPr>
            <w:noProof/>
            <w:webHidden/>
            <w:szCs w:val="20"/>
          </w:rPr>
          <w:t>117</w:t>
        </w:r>
        <w:r w:rsidR="00233296" w:rsidRPr="00233296">
          <w:rPr>
            <w:noProof/>
            <w:webHidden/>
            <w:szCs w:val="20"/>
          </w:rPr>
          <w:fldChar w:fldCharType="end"/>
        </w:r>
      </w:hyperlink>
    </w:p>
    <w:p w14:paraId="34F27F95" w14:textId="77777777" w:rsidR="00233296" w:rsidRPr="00233296" w:rsidRDefault="00FA14F6">
      <w:pPr>
        <w:pStyle w:val="Spisilustracji"/>
        <w:tabs>
          <w:tab w:val="right" w:leader="dot" w:pos="9060"/>
        </w:tabs>
        <w:rPr>
          <w:rFonts w:eastAsiaTheme="minorEastAsia" w:cstheme="minorBidi"/>
          <w:noProof/>
          <w:szCs w:val="20"/>
        </w:rPr>
      </w:pPr>
      <w:hyperlink w:anchor="_Toc8824156" w:history="1">
        <w:r w:rsidR="00233296" w:rsidRPr="00233296">
          <w:rPr>
            <w:rStyle w:val="Hipercze"/>
            <w:noProof/>
            <w:szCs w:val="20"/>
          </w:rPr>
          <w:t>Tabela 45 Wskaźniki produktu (PI 6b)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_Toc8824156 \h </w:instrText>
        </w:r>
        <w:r w:rsidR="00233296" w:rsidRPr="00233296">
          <w:rPr>
            <w:noProof/>
            <w:webHidden/>
            <w:szCs w:val="20"/>
          </w:rPr>
        </w:r>
        <w:r w:rsidR="00233296" w:rsidRPr="00233296">
          <w:rPr>
            <w:noProof/>
            <w:webHidden/>
            <w:szCs w:val="20"/>
          </w:rPr>
          <w:fldChar w:fldCharType="separate"/>
        </w:r>
        <w:r w:rsidR="00E667FD">
          <w:rPr>
            <w:noProof/>
            <w:webHidden/>
            <w:szCs w:val="20"/>
          </w:rPr>
          <w:t>118</w:t>
        </w:r>
        <w:r w:rsidR="00233296" w:rsidRPr="00233296">
          <w:rPr>
            <w:noProof/>
            <w:webHidden/>
            <w:szCs w:val="20"/>
          </w:rPr>
          <w:fldChar w:fldCharType="end"/>
        </w:r>
      </w:hyperlink>
    </w:p>
    <w:p w14:paraId="56154773" w14:textId="77777777" w:rsidR="00233296" w:rsidRPr="00233296" w:rsidRDefault="00FA14F6">
      <w:pPr>
        <w:pStyle w:val="Spisilustracji"/>
        <w:tabs>
          <w:tab w:val="right" w:leader="dot" w:pos="9060"/>
        </w:tabs>
        <w:rPr>
          <w:rFonts w:eastAsiaTheme="minorEastAsia" w:cstheme="minorBidi"/>
          <w:noProof/>
          <w:szCs w:val="20"/>
        </w:rPr>
      </w:pPr>
      <w:hyperlink w:anchor="_Toc8824157" w:history="1">
        <w:r w:rsidR="00233296" w:rsidRPr="00233296">
          <w:rPr>
            <w:rStyle w:val="Hipercze"/>
            <w:noProof/>
            <w:szCs w:val="20"/>
          </w:rPr>
          <w:t>Tabela 46 Komunalne osady ściekowe wytworzone w ciągu roku na terenie województwa zachodniopomorskiego [Mg]</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_Toc8824157 \h </w:instrText>
        </w:r>
        <w:r w:rsidR="00233296" w:rsidRPr="00233296">
          <w:rPr>
            <w:noProof/>
            <w:webHidden/>
            <w:szCs w:val="20"/>
          </w:rPr>
        </w:r>
        <w:r w:rsidR="00233296" w:rsidRPr="00233296">
          <w:rPr>
            <w:noProof/>
            <w:webHidden/>
            <w:szCs w:val="20"/>
          </w:rPr>
          <w:fldChar w:fldCharType="separate"/>
        </w:r>
        <w:r w:rsidR="00E667FD">
          <w:rPr>
            <w:noProof/>
            <w:webHidden/>
            <w:szCs w:val="20"/>
          </w:rPr>
          <w:t>123</w:t>
        </w:r>
        <w:r w:rsidR="00233296" w:rsidRPr="00233296">
          <w:rPr>
            <w:noProof/>
            <w:webHidden/>
            <w:szCs w:val="20"/>
          </w:rPr>
          <w:fldChar w:fldCharType="end"/>
        </w:r>
      </w:hyperlink>
    </w:p>
    <w:p w14:paraId="0962FC32" w14:textId="77777777" w:rsidR="00233296" w:rsidRPr="00233296" w:rsidRDefault="00FA14F6">
      <w:pPr>
        <w:pStyle w:val="Spisilustracji"/>
        <w:tabs>
          <w:tab w:val="right" w:leader="dot" w:pos="9060"/>
        </w:tabs>
        <w:rPr>
          <w:rFonts w:eastAsiaTheme="minorEastAsia" w:cstheme="minorBidi"/>
          <w:noProof/>
          <w:szCs w:val="20"/>
        </w:rPr>
      </w:pPr>
      <w:hyperlink w:anchor="_Toc8824158" w:history="1">
        <w:r w:rsidR="00233296" w:rsidRPr="00233296">
          <w:rPr>
            <w:rStyle w:val="Hipercze"/>
            <w:noProof/>
            <w:szCs w:val="20"/>
          </w:rPr>
          <w:t>Tabela 47 Specyficzne dla programu wskaźniki rezultatu w podziale na poszczególne cele (w odniesieniu do EFRR i Funduszu Spójności)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_Toc8824158 \h </w:instrText>
        </w:r>
        <w:r w:rsidR="00233296" w:rsidRPr="00233296">
          <w:rPr>
            <w:noProof/>
            <w:webHidden/>
            <w:szCs w:val="20"/>
          </w:rPr>
        </w:r>
        <w:r w:rsidR="00233296" w:rsidRPr="00233296">
          <w:rPr>
            <w:noProof/>
            <w:webHidden/>
            <w:szCs w:val="20"/>
          </w:rPr>
          <w:fldChar w:fldCharType="separate"/>
        </w:r>
        <w:r w:rsidR="00E667FD">
          <w:rPr>
            <w:noProof/>
            <w:webHidden/>
            <w:szCs w:val="20"/>
          </w:rPr>
          <w:t>125</w:t>
        </w:r>
        <w:r w:rsidR="00233296" w:rsidRPr="00233296">
          <w:rPr>
            <w:noProof/>
            <w:webHidden/>
            <w:szCs w:val="20"/>
          </w:rPr>
          <w:fldChar w:fldCharType="end"/>
        </w:r>
      </w:hyperlink>
    </w:p>
    <w:p w14:paraId="3571AF7B" w14:textId="77777777" w:rsidR="00233296" w:rsidRPr="00233296" w:rsidRDefault="00FA14F6">
      <w:pPr>
        <w:pStyle w:val="Spisilustracji"/>
        <w:tabs>
          <w:tab w:val="right" w:leader="dot" w:pos="9060"/>
        </w:tabs>
        <w:rPr>
          <w:rFonts w:eastAsiaTheme="minorEastAsia" w:cstheme="minorBidi"/>
          <w:noProof/>
          <w:szCs w:val="20"/>
        </w:rPr>
      </w:pPr>
      <w:hyperlink w:anchor="_Toc8824159" w:history="1">
        <w:r w:rsidR="00233296" w:rsidRPr="00233296">
          <w:rPr>
            <w:rStyle w:val="Hipercze"/>
            <w:noProof/>
            <w:szCs w:val="20"/>
          </w:rPr>
          <w:t>Tabela 48 Prognozowany poziom realizacji wskaźników produktu i rezultatu bezpośredniego na rok 2023– PI 6b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_Toc8824159 \h </w:instrText>
        </w:r>
        <w:r w:rsidR="00233296" w:rsidRPr="00233296">
          <w:rPr>
            <w:noProof/>
            <w:webHidden/>
            <w:szCs w:val="20"/>
          </w:rPr>
        </w:r>
        <w:r w:rsidR="00233296" w:rsidRPr="00233296">
          <w:rPr>
            <w:noProof/>
            <w:webHidden/>
            <w:szCs w:val="20"/>
          </w:rPr>
          <w:fldChar w:fldCharType="separate"/>
        </w:r>
        <w:r w:rsidR="00E667FD">
          <w:rPr>
            <w:noProof/>
            <w:webHidden/>
            <w:szCs w:val="20"/>
          </w:rPr>
          <w:t>130</w:t>
        </w:r>
        <w:r w:rsidR="00233296" w:rsidRPr="00233296">
          <w:rPr>
            <w:noProof/>
            <w:webHidden/>
            <w:szCs w:val="20"/>
          </w:rPr>
          <w:fldChar w:fldCharType="end"/>
        </w:r>
      </w:hyperlink>
    </w:p>
    <w:p w14:paraId="6565C6B1" w14:textId="77777777" w:rsidR="00233296" w:rsidRPr="00233296" w:rsidRDefault="00FA14F6">
      <w:pPr>
        <w:pStyle w:val="Spisilustracji"/>
        <w:tabs>
          <w:tab w:val="right" w:leader="dot" w:pos="9060"/>
        </w:tabs>
        <w:rPr>
          <w:rFonts w:eastAsiaTheme="minorEastAsia" w:cstheme="minorBidi"/>
          <w:noProof/>
          <w:szCs w:val="20"/>
        </w:rPr>
      </w:pPr>
      <w:hyperlink w:anchor="_Toc8824160" w:history="1">
        <w:r w:rsidR="00233296" w:rsidRPr="00233296">
          <w:rPr>
            <w:rStyle w:val="Hipercze"/>
            <w:noProof/>
            <w:szCs w:val="20"/>
          </w:rPr>
          <w:t>Tabela 49 Wskaźniki produktu (PI 6a)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_Toc8824160 \h </w:instrText>
        </w:r>
        <w:r w:rsidR="00233296" w:rsidRPr="00233296">
          <w:rPr>
            <w:noProof/>
            <w:webHidden/>
            <w:szCs w:val="20"/>
          </w:rPr>
        </w:r>
        <w:r w:rsidR="00233296" w:rsidRPr="00233296">
          <w:rPr>
            <w:noProof/>
            <w:webHidden/>
            <w:szCs w:val="20"/>
          </w:rPr>
          <w:fldChar w:fldCharType="separate"/>
        </w:r>
        <w:r w:rsidR="00E667FD">
          <w:rPr>
            <w:noProof/>
            <w:webHidden/>
            <w:szCs w:val="20"/>
          </w:rPr>
          <w:t>132</w:t>
        </w:r>
        <w:r w:rsidR="00233296" w:rsidRPr="00233296">
          <w:rPr>
            <w:noProof/>
            <w:webHidden/>
            <w:szCs w:val="20"/>
          </w:rPr>
          <w:fldChar w:fldCharType="end"/>
        </w:r>
      </w:hyperlink>
    </w:p>
    <w:p w14:paraId="0C84594F" w14:textId="77777777" w:rsidR="00233296" w:rsidRPr="00233296" w:rsidRDefault="00FA14F6">
      <w:pPr>
        <w:pStyle w:val="Spisilustracji"/>
        <w:tabs>
          <w:tab w:val="right" w:leader="dot" w:pos="9060"/>
        </w:tabs>
        <w:rPr>
          <w:rFonts w:eastAsiaTheme="minorEastAsia" w:cstheme="minorBidi"/>
          <w:noProof/>
          <w:szCs w:val="20"/>
        </w:rPr>
      </w:pPr>
      <w:hyperlink w:anchor="_Toc8824161" w:history="1">
        <w:r w:rsidR="00233296" w:rsidRPr="00233296">
          <w:rPr>
            <w:rStyle w:val="Hipercze"/>
            <w:noProof/>
            <w:szCs w:val="20"/>
          </w:rPr>
          <w:t>Tabela 50 Specyficzne dla programu wskaźniki rezultatu w podziale na poszczególne cele (w odniesieniu do EFRR i Funduszu Spójności)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_Toc8824161 \h </w:instrText>
        </w:r>
        <w:r w:rsidR="00233296" w:rsidRPr="00233296">
          <w:rPr>
            <w:noProof/>
            <w:webHidden/>
            <w:szCs w:val="20"/>
          </w:rPr>
        </w:r>
        <w:r w:rsidR="00233296" w:rsidRPr="00233296">
          <w:rPr>
            <w:noProof/>
            <w:webHidden/>
            <w:szCs w:val="20"/>
          </w:rPr>
          <w:fldChar w:fldCharType="separate"/>
        </w:r>
        <w:r w:rsidR="00E667FD">
          <w:rPr>
            <w:noProof/>
            <w:webHidden/>
            <w:szCs w:val="20"/>
          </w:rPr>
          <w:t>140</w:t>
        </w:r>
        <w:r w:rsidR="00233296" w:rsidRPr="00233296">
          <w:rPr>
            <w:noProof/>
            <w:webHidden/>
            <w:szCs w:val="20"/>
          </w:rPr>
          <w:fldChar w:fldCharType="end"/>
        </w:r>
      </w:hyperlink>
    </w:p>
    <w:p w14:paraId="4C62D97B" w14:textId="77777777" w:rsidR="00233296" w:rsidRPr="00233296" w:rsidRDefault="00FA14F6">
      <w:pPr>
        <w:pStyle w:val="Spisilustracji"/>
        <w:tabs>
          <w:tab w:val="right" w:leader="dot" w:pos="9060"/>
        </w:tabs>
        <w:rPr>
          <w:rFonts w:eastAsiaTheme="minorEastAsia" w:cstheme="minorBidi"/>
          <w:noProof/>
          <w:szCs w:val="20"/>
        </w:rPr>
      </w:pPr>
      <w:hyperlink w:anchor="_Toc8824162" w:history="1">
        <w:r w:rsidR="00233296" w:rsidRPr="00233296">
          <w:rPr>
            <w:rStyle w:val="Hipercze"/>
            <w:noProof/>
            <w:szCs w:val="20"/>
          </w:rPr>
          <w:t>Tabela 51 Wymagane obowiązującymi przepisami prawa określone poziomy recyklingu i przygotowania do ponownego użycia niezbędne do wykazania przez gminy w danym roku rozliczeniowym w [%].</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_Toc8824162 \h </w:instrText>
        </w:r>
        <w:r w:rsidR="00233296" w:rsidRPr="00233296">
          <w:rPr>
            <w:noProof/>
            <w:webHidden/>
            <w:szCs w:val="20"/>
          </w:rPr>
        </w:r>
        <w:r w:rsidR="00233296" w:rsidRPr="00233296">
          <w:rPr>
            <w:noProof/>
            <w:webHidden/>
            <w:szCs w:val="20"/>
          </w:rPr>
          <w:fldChar w:fldCharType="separate"/>
        </w:r>
        <w:r w:rsidR="00E667FD">
          <w:rPr>
            <w:noProof/>
            <w:webHidden/>
            <w:szCs w:val="20"/>
          </w:rPr>
          <w:t>143</w:t>
        </w:r>
        <w:r w:rsidR="00233296" w:rsidRPr="00233296">
          <w:rPr>
            <w:noProof/>
            <w:webHidden/>
            <w:szCs w:val="20"/>
          </w:rPr>
          <w:fldChar w:fldCharType="end"/>
        </w:r>
      </w:hyperlink>
    </w:p>
    <w:p w14:paraId="073E1CDA" w14:textId="77777777" w:rsidR="00233296" w:rsidRPr="00233296" w:rsidRDefault="00FA14F6">
      <w:pPr>
        <w:pStyle w:val="Spisilustracji"/>
        <w:tabs>
          <w:tab w:val="right" w:leader="dot" w:pos="9060"/>
        </w:tabs>
        <w:rPr>
          <w:rFonts w:eastAsiaTheme="minorEastAsia" w:cstheme="minorBidi"/>
          <w:noProof/>
          <w:szCs w:val="20"/>
        </w:rPr>
      </w:pPr>
      <w:hyperlink w:anchor="_Toc8824163" w:history="1">
        <w:r w:rsidR="00233296" w:rsidRPr="00233296">
          <w:rPr>
            <w:rStyle w:val="Hipercze"/>
            <w:noProof/>
            <w:szCs w:val="20"/>
          </w:rPr>
          <w:t>Tabela 52 Prognozowany poziom realizacji wskaźników produktu i rezultatu bezpośredniego na rok 2023– PI 6a.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_Toc8824163 \h </w:instrText>
        </w:r>
        <w:r w:rsidR="00233296" w:rsidRPr="00233296">
          <w:rPr>
            <w:noProof/>
            <w:webHidden/>
            <w:szCs w:val="20"/>
          </w:rPr>
        </w:r>
        <w:r w:rsidR="00233296" w:rsidRPr="00233296">
          <w:rPr>
            <w:noProof/>
            <w:webHidden/>
            <w:szCs w:val="20"/>
          </w:rPr>
          <w:fldChar w:fldCharType="separate"/>
        </w:r>
        <w:r w:rsidR="00E667FD">
          <w:rPr>
            <w:noProof/>
            <w:webHidden/>
            <w:szCs w:val="20"/>
          </w:rPr>
          <w:t>147</w:t>
        </w:r>
        <w:r w:rsidR="00233296" w:rsidRPr="00233296">
          <w:rPr>
            <w:noProof/>
            <w:webHidden/>
            <w:szCs w:val="20"/>
          </w:rPr>
          <w:fldChar w:fldCharType="end"/>
        </w:r>
      </w:hyperlink>
    </w:p>
    <w:p w14:paraId="74E59083" w14:textId="77777777" w:rsidR="00233296" w:rsidRPr="00233296" w:rsidRDefault="00FA14F6">
      <w:pPr>
        <w:pStyle w:val="Spisilustracji"/>
        <w:tabs>
          <w:tab w:val="right" w:leader="dot" w:pos="9060"/>
        </w:tabs>
        <w:rPr>
          <w:rFonts w:eastAsiaTheme="minorEastAsia" w:cstheme="minorBidi"/>
          <w:noProof/>
          <w:szCs w:val="20"/>
        </w:rPr>
      </w:pPr>
      <w:hyperlink w:anchor="_Toc8824164" w:history="1">
        <w:r w:rsidR="00233296" w:rsidRPr="00233296">
          <w:rPr>
            <w:rStyle w:val="Hipercze"/>
            <w:noProof/>
            <w:szCs w:val="20"/>
          </w:rPr>
          <w:t>Tabela 53 Przeciętne miesięczne wydatki na kulturę i rekreację na 1 osobę w gospodarstwie domowym [zł]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_Toc8824164 \h </w:instrText>
        </w:r>
        <w:r w:rsidR="00233296" w:rsidRPr="00233296">
          <w:rPr>
            <w:noProof/>
            <w:webHidden/>
            <w:szCs w:val="20"/>
          </w:rPr>
        </w:r>
        <w:r w:rsidR="00233296" w:rsidRPr="00233296">
          <w:rPr>
            <w:noProof/>
            <w:webHidden/>
            <w:szCs w:val="20"/>
          </w:rPr>
          <w:fldChar w:fldCharType="separate"/>
        </w:r>
        <w:r w:rsidR="00E667FD">
          <w:rPr>
            <w:noProof/>
            <w:webHidden/>
            <w:szCs w:val="20"/>
          </w:rPr>
          <w:t>150</w:t>
        </w:r>
        <w:r w:rsidR="00233296" w:rsidRPr="00233296">
          <w:rPr>
            <w:noProof/>
            <w:webHidden/>
            <w:szCs w:val="20"/>
          </w:rPr>
          <w:fldChar w:fldCharType="end"/>
        </w:r>
      </w:hyperlink>
    </w:p>
    <w:p w14:paraId="25E5F012" w14:textId="77777777" w:rsidR="00233296" w:rsidRPr="00233296" w:rsidRDefault="00FA14F6">
      <w:pPr>
        <w:pStyle w:val="Spisilustracji"/>
        <w:tabs>
          <w:tab w:val="right" w:leader="dot" w:pos="9060"/>
        </w:tabs>
        <w:rPr>
          <w:rFonts w:eastAsiaTheme="minorEastAsia" w:cstheme="minorBidi"/>
          <w:noProof/>
          <w:szCs w:val="20"/>
        </w:rPr>
      </w:pPr>
      <w:hyperlink w:anchor="_Toc8824165" w:history="1">
        <w:r w:rsidR="00233296" w:rsidRPr="00233296">
          <w:rPr>
            <w:rStyle w:val="Hipercze"/>
            <w:noProof/>
            <w:szCs w:val="20"/>
          </w:rPr>
          <w:t>Tabela 54 Obszary prawnie chronione w województwie zachodniopomorskim [ha]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_Toc8824165 \h </w:instrText>
        </w:r>
        <w:r w:rsidR="00233296" w:rsidRPr="00233296">
          <w:rPr>
            <w:noProof/>
            <w:webHidden/>
            <w:szCs w:val="20"/>
          </w:rPr>
        </w:r>
        <w:r w:rsidR="00233296" w:rsidRPr="00233296">
          <w:rPr>
            <w:noProof/>
            <w:webHidden/>
            <w:szCs w:val="20"/>
          </w:rPr>
          <w:fldChar w:fldCharType="separate"/>
        </w:r>
        <w:r w:rsidR="00E667FD">
          <w:rPr>
            <w:noProof/>
            <w:webHidden/>
            <w:szCs w:val="20"/>
          </w:rPr>
          <w:t>151</w:t>
        </w:r>
        <w:r w:rsidR="00233296" w:rsidRPr="00233296">
          <w:rPr>
            <w:noProof/>
            <w:webHidden/>
            <w:szCs w:val="20"/>
          </w:rPr>
          <w:fldChar w:fldCharType="end"/>
        </w:r>
      </w:hyperlink>
    </w:p>
    <w:p w14:paraId="0137AD66" w14:textId="77777777" w:rsidR="00233296" w:rsidRPr="00233296" w:rsidRDefault="00FA14F6">
      <w:pPr>
        <w:pStyle w:val="Spisilustracji"/>
        <w:tabs>
          <w:tab w:val="right" w:leader="dot" w:pos="9060"/>
        </w:tabs>
        <w:rPr>
          <w:rFonts w:eastAsiaTheme="minorEastAsia" w:cstheme="minorBidi"/>
          <w:noProof/>
          <w:szCs w:val="20"/>
        </w:rPr>
      </w:pPr>
      <w:hyperlink w:anchor="_Toc8824166" w:history="1">
        <w:r w:rsidR="00233296" w:rsidRPr="00233296">
          <w:rPr>
            <w:rStyle w:val="Hipercze"/>
            <w:noProof/>
            <w:szCs w:val="20"/>
          </w:rPr>
          <w:t>Tabela 55 Wskaźniki wybrane do Ram Wykonania – stopień osiągnięcia wartości pośrednich i docelowych – OP IV Naturalne otoczenie człowieka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_Toc8824166 \h </w:instrText>
        </w:r>
        <w:r w:rsidR="00233296" w:rsidRPr="00233296">
          <w:rPr>
            <w:noProof/>
            <w:webHidden/>
            <w:szCs w:val="20"/>
          </w:rPr>
        </w:r>
        <w:r w:rsidR="00233296" w:rsidRPr="00233296">
          <w:rPr>
            <w:noProof/>
            <w:webHidden/>
            <w:szCs w:val="20"/>
          </w:rPr>
          <w:fldChar w:fldCharType="separate"/>
        </w:r>
        <w:r w:rsidR="00E667FD">
          <w:rPr>
            <w:noProof/>
            <w:webHidden/>
            <w:szCs w:val="20"/>
          </w:rPr>
          <w:t>153</w:t>
        </w:r>
        <w:r w:rsidR="00233296" w:rsidRPr="00233296">
          <w:rPr>
            <w:noProof/>
            <w:webHidden/>
            <w:szCs w:val="20"/>
          </w:rPr>
          <w:fldChar w:fldCharType="end"/>
        </w:r>
      </w:hyperlink>
    </w:p>
    <w:p w14:paraId="5003C0C6" w14:textId="77777777" w:rsidR="00233296" w:rsidRPr="00233296" w:rsidRDefault="00FA14F6">
      <w:pPr>
        <w:pStyle w:val="Spisilustracji"/>
        <w:tabs>
          <w:tab w:val="right" w:leader="dot" w:pos="9060"/>
        </w:tabs>
        <w:rPr>
          <w:rFonts w:eastAsiaTheme="minorEastAsia" w:cstheme="minorBidi"/>
          <w:noProof/>
          <w:szCs w:val="20"/>
        </w:rPr>
      </w:pPr>
      <w:hyperlink w:anchor="_Toc8824167" w:history="1">
        <w:r w:rsidR="00233296" w:rsidRPr="00233296">
          <w:rPr>
            <w:rStyle w:val="Hipercze"/>
            <w:noProof/>
            <w:szCs w:val="20"/>
          </w:rPr>
          <w:t>Tabela 56 Wskaźniki produktu (PI 6c)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_Toc8824167 \h </w:instrText>
        </w:r>
        <w:r w:rsidR="00233296" w:rsidRPr="00233296">
          <w:rPr>
            <w:noProof/>
            <w:webHidden/>
            <w:szCs w:val="20"/>
          </w:rPr>
        </w:r>
        <w:r w:rsidR="00233296" w:rsidRPr="00233296">
          <w:rPr>
            <w:noProof/>
            <w:webHidden/>
            <w:szCs w:val="20"/>
          </w:rPr>
          <w:fldChar w:fldCharType="separate"/>
        </w:r>
        <w:r w:rsidR="00E667FD">
          <w:rPr>
            <w:noProof/>
            <w:webHidden/>
            <w:szCs w:val="20"/>
          </w:rPr>
          <w:t>155</w:t>
        </w:r>
        <w:r w:rsidR="00233296" w:rsidRPr="00233296">
          <w:rPr>
            <w:noProof/>
            <w:webHidden/>
            <w:szCs w:val="20"/>
          </w:rPr>
          <w:fldChar w:fldCharType="end"/>
        </w:r>
      </w:hyperlink>
    </w:p>
    <w:p w14:paraId="3B0757E7" w14:textId="77777777" w:rsidR="00233296" w:rsidRPr="00233296" w:rsidRDefault="00FA14F6">
      <w:pPr>
        <w:pStyle w:val="Spisilustracji"/>
        <w:tabs>
          <w:tab w:val="right" w:leader="dot" w:pos="9060"/>
        </w:tabs>
        <w:rPr>
          <w:rFonts w:eastAsiaTheme="minorEastAsia" w:cstheme="minorBidi"/>
          <w:noProof/>
          <w:szCs w:val="20"/>
        </w:rPr>
      </w:pPr>
      <w:hyperlink w:anchor="_Toc8824168" w:history="1">
        <w:r w:rsidR="00233296" w:rsidRPr="00233296">
          <w:rPr>
            <w:rStyle w:val="Hipercze"/>
            <w:noProof/>
            <w:szCs w:val="20"/>
          </w:rPr>
          <w:t>Tabela 57 Prognozowany poziom realizacji wskaźnika rezultatu strategicznego na rok 2023 dla PI 6c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_Toc8824168 \h </w:instrText>
        </w:r>
        <w:r w:rsidR="00233296" w:rsidRPr="00233296">
          <w:rPr>
            <w:noProof/>
            <w:webHidden/>
            <w:szCs w:val="20"/>
          </w:rPr>
        </w:r>
        <w:r w:rsidR="00233296" w:rsidRPr="00233296">
          <w:rPr>
            <w:noProof/>
            <w:webHidden/>
            <w:szCs w:val="20"/>
          </w:rPr>
          <w:fldChar w:fldCharType="separate"/>
        </w:r>
        <w:r w:rsidR="00E667FD">
          <w:rPr>
            <w:noProof/>
            <w:webHidden/>
            <w:szCs w:val="20"/>
          </w:rPr>
          <w:t>157</w:t>
        </w:r>
        <w:r w:rsidR="00233296" w:rsidRPr="00233296">
          <w:rPr>
            <w:noProof/>
            <w:webHidden/>
            <w:szCs w:val="20"/>
          </w:rPr>
          <w:fldChar w:fldCharType="end"/>
        </w:r>
      </w:hyperlink>
    </w:p>
    <w:p w14:paraId="23C41468" w14:textId="77777777" w:rsidR="00233296" w:rsidRPr="00233296" w:rsidRDefault="00FA14F6">
      <w:pPr>
        <w:pStyle w:val="Spisilustracji"/>
        <w:tabs>
          <w:tab w:val="right" w:leader="dot" w:pos="9060"/>
        </w:tabs>
        <w:rPr>
          <w:rFonts w:eastAsiaTheme="minorEastAsia" w:cstheme="minorBidi"/>
          <w:noProof/>
          <w:szCs w:val="20"/>
        </w:rPr>
      </w:pPr>
      <w:hyperlink w:anchor="_Toc8824169" w:history="1">
        <w:r w:rsidR="00233296" w:rsidRPr="00233296">
          <w:rPr>
            <w:rStyle w:val="Hipercze"/>
            <w:noProof/>
            <w:szCs w:val="20"/>
          </w:rPr>
          <w:t>Tabela 58 Wysokość alokacji ogółem, alokacji głównej, rezerwy wykonania oraz poziom kontraktacji – w ramach PI 6c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_Toc8824169 \h </w:instrText>
        </w:r>
        <w:r w:rsidR="00233296" w:rsidRPr="00233296">
          <w:rPr>
            <w:noProof/>
            <w:webHidden/>
            <w:szCs w:val="20"/>
          </w:rPr>
        </w:r>
        <w:r w:rsidR="00233296" w:rsidRPr="00233296">
          <w:rPr>
            <w:noProof/>
            <w:webHidden/>
            <w:szCs w:val="20"/>
          </w:rPr>
          <w:fldChar w:fldCharType="separate"/>
        </w:r>
        <w:r w:rsidR="00E667FD">
          <w:rPr>
            <w:noProof/>
            <w:webHidden/>
            <w:szCs w:val="20"/>
          </w:rPr>
          <w:t>157</w:t>
        </w:r>
        <w:r w:rsidR="00233296" w:rsidRPr="00233296">
          <w:rPr>
            <w:noProof/>
            <w:webHidden/>
            <w:szCs w:val="20"/>
          </w:rPr>
          <w:fldChar w:fldCharType="end"/>
        </w:r>
      </w:hyperlink>
    </w:p>
    <w:p w14:paraId="344FAB4E" w14:textId="77777777" w:rsidR="00233296" w:rsidRPr="00233296" w:rsidRDefault="00FA14F6">
      <w:pPr>
        <w:pStyle w:val="Spisilustracji"/>
        <w:tabs>
          <w:tab w:val="right" w:leader="dot" w:pos="9060"/>
        </w:tabs>
        <w:rPr>
          <w:rFonts w:eastAsiaTheme="minorEastAsia" w:cstheme="minorBidi"/>
          <w:noProof/>
          <w:szCs w:val="20"/>
        </w:rPr>
      </w:pPr>
      <w:hyperlink w:anchor="_Toc8824170" w:history="1">
        <w:r w:rsidR="00233296" w:rsidRPr="00233296">
          <w:rPr>
            <w:rStyle w:val="Hipercze"/>
            <w:noProof/>
            <w:szCs w:val="20"/>
          </w:rPr>
          <w:t>Tabela 59 Prognozowany poziom realizacji wskaźników produktu i rezultatu bezpośredniego na rok 2023 – PI 6c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_Toc8824170 \h </w:instrText>
        </w:r>
        <w:r w:rsidR="00233296" w:rsidRPr="00233296">
          <w:rPr>
            <w:noProof/>
            <w:webHidden/>
            <w:szCs w:val="20"/>
          </w:rPr>
        </w:r>
        <w:r w:rsidR="00233296" w:rsidRPr="00233296">
          <w:rPr>
            <w:noProof/>
            <w:webHidden/>
            <w:szCs w:val="20"/>
          </w:rPr>
          <w:fldChar w:fldCharType="separate"/>
        </w:r>
        <w:r w:rsidR="00E667FD">
          <w:rPr>
            <w:noProof/>
            <w:webHidden/>
            <w:szCs w:val="20"/>
          </w:rPr>
          <w:t>158</w:t>
        </w:r>
        <w:r w:rsidR="00233296" w:rsidRPr="00233296">
          <w:rPr>
            <w:noProof/>
            <w:webHidden/>
            <w:szCs w:val="20"/>
          </w:rPr>
          <w:fldChar w:fldCharType="end"/>
        </w:r>
      </w:hyperlink>
    </w:p>
    <w:p w14:paraId="6F6B9AC9" w14:textId="77777777" w:rsidR="00233296" w:rsidRPr="00233296" w:rsidRDefault="00FA14F6">
      <w:pPr>
        <w:pStyle w:val="Spisilustracji"/>
        <w:tabs>
          <w:tab w:val="right" w:leader="dot" w:pos="9060"/>
        </w:tabs>
        <w:rPr>
          <w:rFonts w:eastAsiaTheme="minorEastAsia" w:cstheme="minorBidi"/>
          <w:noProof/>
          <w:szCs w:val="20"/>
        </w:rPr>
      </w:pPr>
      <w:hyperlink w:anchor="_Toc8824171" w:history="1">
        <w:r w:rsidR="00233296" w:rsidRPr="00233296">
          <w:rPr>
            <w:rStyle w:val="Hipercze"/>
            <w:noProof/>
            <w:szCs w:val="20"/>
          </w:rPr>
          <w:t>Tabela 60 Wskaźniki produktu (PI 6d)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_Toc8824171 \h </w:instrText>
        </w:r>
        <w:r w:rsidR="00233296" w:rsidRPr="00233296">
          <w:rPr>
            <w:noProof/>
            <w:webHidden/>
            <w:szCs w:val="20"/>
          </w:rPr>
        </w:r>
        <w:r w:rsidR="00233296" w:rsidRPr="00233296">
          <w:rPr>
            <w:noProof/>
            <w:webHidden/>
            <w:szCs w:val="20"/>
          </w:rPr>
          <w:fldChar w:fldCharType="separate"/>
        </w:r>
        <w:r w:rsidR="00E667FD">
          <w:rPr>
            <w:noProof/>
            <w:webHidden/>
            <w:szCs w:val="20"/>
          </w:rPr>
          <w:t>159</w:t>
        </w:r>
        <w:r w:rsidR="00233296" w:rsidRPr="00233296">
          <w:rPr>
            <w:noProof/>
            <w:webHidden/>
            <w:szCs w:val="20"/>
          </w:rPr>
          <w:fldChar w:fldCharType="end"/>
        </w:r>
      </w:hyperlink>
    </w:p>
    <w:p w14:paraId="0E1E0DDA" w14:textId="77777777" w:rsidR="00233296" w:rsidRPr="00233296" w:rsidRDefault="00FA14F6">
      <w:pPr>
        <w:pStyle w:val="Spisilustracji"/>
        <w:tabs>
          <w:tab w:val="right" w:leader="dot" w:pos="9060"/>
        </w:tabs>
        <w:rPr>
          <w:rFonts w:eastAsiaTheme="minorEastAsia" w:cstheme="minorBidi"/>
          <w:noProof/>
          <w:szCs w:val="20"/>
        </w:rPr>
      </w:pPr>
      <w:hyperlink w:anchor="_Toc8824172" w:history="1">
        <w:r w:rsidR="00233296" w:rsidRPr="00233296">
          <w:rPr>
            <w:rStyle w:val="Hipercze"/>
            <w:noProof/>
            <w:szCs w:val="20"/>
          </w:rPr>
          <w:t>Tabela 61. Prognozowany poziom realizacji wskaźnika rezultatu strategicznego na rok 2023 dla PI 6d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_Toc8824172 \h </w:instrText>
        </w:r>
        <w:r w:rsidR="00233296" w:rsidRPr="00233296">
          <w:rPr>
            <w:noProof/>
            <w:webHidden/>
            <w:szCs w:val="20"/>
          </w:rPr>
        </w:r>
        <w:r w:rsidR="00233296" w:rsidRPr="00233296">
          <w:rPr>
            <w:noProof/>
            <w:webHidden/>
            <w:szCs w:val="20"/>
          </w:rPr>
          <w:fldChar w:fldCharType="separate"/>
        </w:r>
        <w:r w:rsidR="00E667FD">
          <w:rPr>
            <w:noProof/>
            <w:webHidden/>
            <w:szCs w:val="20"/>
          </w:rPr>
          <w:t>161</w:t>
        </w:r>
        <w:r w:rsidR="00233296" w:rsidRPr="00233296">
          <w:rPr>
            <w:noProof/>
            <w:webHidden/>
            <w:szCs w:val="20"/>
          </w:rPr>
          <w:fldChar w:fldCharType="end"/>
        </w:r>
      </w:hyperlink>
    </w:p>
    <w:p w14:paraId="32062F59" w14:textId="77777777" w:rsidR="00233296" w:rsidRPr="00233296" w:rsidRDefault="00FA14F6">
      <w:pPr>
        <w:pStyle w:val="Spisilustracji"/>
        <w:tabs>
          <w:tab w:val="right" w:leader="dot" w:pos="9060"/>
        </w:tabs>
        <w:rPr>
          <w:rFonts w:eastAsiaTheme="minorEastAsia" w:cstheme="minorBidi"/>
          <w:noProof/>
          <w:szCs w:val="20"/>
        </w:rPr>
      </w:pPr>
      <w:hyperlink w:anchor="_Toc8824173" w:history="1">
        <w:r w:rsidR="00233296" w:rsidRPr="00233296">
          <w:rPr>
            <w:rStyle w:val="Hipercze"/>
            <w:noProof/>
            <w:szCs w:val="20"/>
          </w:rPr>
          <w:t>Tabela 62 Wysokość alokacji ogółem, alokacji głównej, rezerwy wykonania oraz poziom kontraktacji – w ramach PI 6d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_Toc8824173 \h </w:instrText>
        </w:r>
        <w:r w:rsidR="00233296" w:rsidRPr="00233296">
          <w:rPr>
            <w:noProof/>
            <w:webHidden/>
            <w:szCs w:val="20"/>
          </w:rPr>
        </w:r>
        <w:r w:rsidR="00233296" w:rsidRPr="00233296">
          <w:rPr>
            <w:noProof/>
            <w:webHidden/>
            <w:szCs w:val="20"/>
          </w:rPr>
          <w:fldChar w:fldCharType="separate"/>
        </w:r>
        <w:r w:rsidR="00E667FD">
          <w:rPr>
            <w:noProof/>
            <w:webHidden/>
            <w:szCs w:val="20"/>
          </w:rPr>
          <w:t>162</w:t>
        </w:r>
        <w:r w:rsidR="00233296" w:rsidRPr="00233296">
          <w:rPr>
            <w:noProof/>
            <w:webHidden/>
            <w:szCs w:val="20"/>
          </w:rPr>
          <w:fldChar w:fldCharType="end"/>
        </w:r>
      </w:hyperlink>
    </w:p>
    <w:p w14:paraId="32534A4A" w14:textId="77777777" w:rsidR="00233296" w:rsidRPr="00233296" w:rsidRDefault="00FA14F6">
      <w:pPr>
        <w:pStyle w:val="Spisilustracji"/>
        <w:tabs>
          <w:tab w:val="right" w:leader="dot" w:pos="9060"/>
        </w:tabs>
        <w:rPr>
          <w:rFonts w:eastAsiaTheme="minorEastAsia" w:cstheme="minorBidi"/>
          <w:noProof/>
          <w:szCs w:val="20"/>
        </w:rPr>
      </w:pPr>
      <w:hyperlink w:anchor="_Toc8824174" w:history="1">
        <w:r w:rsidR="00233296" w:rsidRPr="00233296">
          <w:rPr>
            <w:rStyle w:val="Hipercze"/>
            <w:noProof/>
            <w:szCs w:val="20"/>
          </w:rPr>
          <w:t>Tabela 63 Prognozowany poziom realizacji wskaźników produktu i rezultatu bezpośredniego na rok 2023 – PI 6d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_Toc8824174 \h </w:instrText>
        </w:r>
        <w:r w:rsidR="00233296" w:rsidRPr="00233296">
          <w:rPr>
            <w:noProof/>
            <w:webHidden/>
            <w:szCs w:val="20"/>
          </w:rPr>
        </w:r>
        <w:r w:rsidR="00233296" w:rsidRPr="00233296">
          <w:rPr>
            <w:noProof/>
            <w:webHidden/>
            <w:szCs w:val="20"/>
          </w:rPr>
          <w:fldChar w:fldCharType="separate"/>
        </w:r>
        <w:r w:rsidR="00E667FD">
          <w:rPr>
            <w:noProof/>
            <w:webHidden/>
            <w:szCs w:val="20"/>
          </w:rPr>
          <w:t>163</w:t>
        </w:r>
        <w:r w:rsidR="00233296" w:rsidRPr="00233296">
          <w:rPr>
            <w:noProof/>
            <w:webHidden/>
            <w:szCs w:val="20"/>
          </w:rPr>
          <w:fldChar w:fldCharType="end"/>
        </w:r>
      </w:hyperlink>
    </w:p>
    <w:p w14:paraId="4055D45F" w14:textId="77777777" w:rsidR="00233296" w:rsidRPr="00233296" w:rsidRDefault="00FA14F6">
      <w:pPr>
        <w:pStyle w:val="Spisilustracji"/>
        <w:tabs>
          <w:tab w:val="right" w:leader="dot" w:pos="9060"/>
        </w:tabs>
        <w:rPr>
          <w:rFonts w:eastAsiaTheme="minorEastAsia" w:cstheme="minorBidi"/>
          <w:noProof/>
          <w:szCs w:val="20"/>
        </w:rPr>
      </w:pPr>
      <w:hyperlink w:anchor="_Toc8824175" w:history="1">
        <w:r w:rsidR="00233296" w:rsidRPr="00233296">
          <w:rPr>
            <w:rStyle w:val="Hipercze"/>
            <w:noProof/>
            <w:szCs w:val="20"/>
          </w:rPr>
          <w:t>Tabela 64 Wskaźniki produktu (PI 8b)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_Toc8824175 \h </w:instrText>
        </w:r>
        <w:r w:rsidR="00233296" w:rsidRPr="00233296">
          <w:rPr>
            <w:noProof/>
            <w:webHidden/>
            <w:szCs w:val="20"/>
          </w:rPr>
        </w:r>
        <w:r w:rsidR="00233296" w:rsidRPr="00233296">
          <w:rPr>
            <w:noProof/>
            <w:webHidden/>
            <w:szCs w:val="20"/>
          </w:rPr>
          <w:fldChar w:fldCharType="separate"/>
        </w:r>
        <w:r w:rsidR="00E667FD">
          <w:rPr>
            <w:noProof/>
            <w:webHidden/>
            <w:szCs w:val="20"/>
          </w:rPr>
          <w:t>164</w:t>
        </w:r>
        <w:r w:rsidR="00233296" w:rsidRPr="00233296">
          <w:rPr>
            <w:noProof/>
            <w:webHidden/>
            <w:szCs w:val="20"/>
          </w:rPr>
          <w:fldChar w:fldCharType="end"/>
        </w:r>
      </w:hyperlink>
    </w:p>
    <w:p w14:paraId="37C11209" w14:textId="77777777" w:rsidR="00233296" w:rsidRPr="00233296" w:rsidRDefault="00FA14F6">
      <w:pPr>
        <w:pStyle w:val="Spisilustracji"/>
        <w:tabs>
          <w:tab w:val="right" w:leader="dot" w:pos="9060"/>
        </w:tabs>
        <w:rPr>
          <w:rFonts w:eastAsiaTheme="minorEastAsia" w:cstheme="minorBidi"/>
          <w:noProof/>
          <w:szCs w:val="20"/>
        </w:rPr>
      </w:pPr>
      <w:hyperlink w:anchor="_Toc8824176" w:history="1">
        <w:r w:rsidR="00233296" w:rsidRPr="00233296">
          <w:rPr>
            <w:rStyle w:val="Hipercze"/>
            <w:noProof/>
            <w:szCs w:val="20"/>
          </w:rPr>
          <w:t>Tabela 65 Obszary prawnie chronione ogółem [ha]; województwa i Polska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_Toc8824176 \h </w:instrText>
        </w:r>
        <w:r w:rsidR="00233296" w:rsidRPr="00233296">
          <w:rPr>
            <w:noProof/>
            <w:webHidden/>
            <w:szCs w:val="20"/>
          </w:rPr>
        </w:r>
        <w:r w:rsidR="00233296" w:rsidRPr="00233296">
          <w:rPr>
            <w:noProof/>
            <w:webHidden/>
            <w:szCs w:val="20"/>
          </w:rPr>
          <w:fldChar w:fldCharType="separate"/>
        </w:r>
        <w:r w:rsidR="00E667FD">
          <w:rPr>
            <w:noProof/>
            <w:webHidden/>
            <w:szCs w:val="20"/>
          </w:rPr>
          <w:t>165</w:t>
        </w:r>
        <w:r w:rsidR="00233296" w:rsidRPr="00233296">
          <w:rPr>
            <w:noProof/>
            <w:webHidden/>
            <w:szCs w:val="20"/>
          </w:rPr>
          <w:fldChar w:fldCharType="end"/>
        </w:r>
      </w:hyperlink>
    </w:p>
    <w:p w14:paraId="04DDAEBA" w14:textId="77777777" w:rsidR="00233296" w:rsidRPr="00233296" w:rsidRDefault="00FA14F6">
      <w:pPr>
        <w:pStyle w:val="Spisilustracji"/>
        <w:tabs>
          <w:tab w:val="right" w:leader="dot" w:pos="9060"/>
        </w:tabs>
        <w:rPr>
          <w:rFonts w:eastAsiaTheme="minorEastAsia" w:cstheme="minorBidi"/>
          <w:noProof/>
          <w:szCs w:val="20"/>
        </w:rPr>
      </w:pPr>
      <w:hyperlink w:anchor="_Toc8824177" w:history="1">
        <w:r w:rsidR="00233296" w:rsidRPr="00233296">
          <w:rPr>
            <w:rStyle w:val="Hipercze"/>
            <w:noProof/>
            <w:szCs w:val="20"/>
          </w:rPr>
          <w:t>Tabela 66 Prognozowany poziom realizacji wskaźników produktu i rezultatu bezpośredniego na rok 2023 – PI 8b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_Toc8824177 \h </w:instrText>
        </w:r>
        <w:r w:rsidR="00233296" w:rsidRPr="00233296">
          <w:rPr>
            <w:noProof/>
            <w:webHidden/>
            <w:szCs w:val="20"/>
          </w:rPr>
        </w:r>
        <w:r w:rsidR="00233296" w:rsidRPr="00233296">
          <w:rPr>
            <w:noProof/>
            <w:webHidden/>
            <w:szCs w:val="20"/>
          </w:rPr>
          <w:fldChar w:fldCharType="separate"/>
        </w:r>
        <w:r w:rsidR="00E667FD">
          <w:rPr>
            <w:noProof/>
            <w:webHidden/>
            <w:szCs w:val="20"/>
          </w:rPr>
          <w:t>167</w:t>
        </w:r>
        <w:r w:rsidR="00233296" w:rsidRPr="00233296">
          <w:rPr>
            <w:noProof/>
            <w:webHidden/>
            <w:szCs w:val="20"/>
          </w:rPr>
          <w:fldChar w:fldCharType="end"/>
        </w:r>
      </w:hyperlink>
    </w:p>
    <w:p w14:paraId="4784C5AD" w14:textId="77777777" w:rsidR="00233296" w:rsidRPr="00233296" w:rsidRDefault="00FA14F6">
      <w:pPr>
        <w:pStyle w:val="Spisilustracji"/>
        <w:tabs>
          <w:tab w:val="right" w:leader="dot" w:pos="9060"/>
        </w:tabs>
        <w:rPr>
          <w:rFonts w:eastAsiaTheme="minorEastAsia" w:cstheme="minorBidi"/>
          <w:noProof/>
          <w:szCs w:val="20"/>
        </w:rPr>
      </w:pPr>
      <w:hyperlink w:anchor="_Toc8824178" w:history="1">
        <w:r w:rsidR="00233296" w:rsidRPr="00233296">
          <w:rPr>
            <w:rStyle w:val="Hipercze"/>
            <w:noProof/>
            <w:szCs w:val="20"/>
          </w:rPr>
          <w:t>Tabela 67 Wskaźniki wybrane do Ram Wykonania – stopień osiągnięcia wartości pośrednich i docelowych – OP V Zrównoważony transport</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_Toc8824178 \h </w:instrText>
        </w:r>
        <w:r w:rsidR="00233296" w:rsidRPr="00233296">
          <w:rPr>
            <w:noProof/>
            <w:webHidden/>
            <w:szCs w:val="20"/>
          </w:rPr>
        </w:r>
        <w:r w:rsidR="00233296" w:rsidRPr="00233296">
          <w:rPr>
            <w:noProof/>
            <w:webHidden/>
            <w:szCs w:val="20"/>
          </w:rPr>
          <w:fldChar w:fldCharType="separate"/>
        </w:r>
        <w:r w:rsidR="00E667FD">
          <w:rPr>
            <w:noProof/>
            <w:webHidden/>
            <w:szCs w:val="20"/>
          </w:rPr>
          <w:t>172</w:t>
        </w:r>
        <w:r w:rsidR="00233296" w:rsidRPr="00233296">
          <w:rPr>
            <w:noProof/>
            <w:webHidden/>
            <w:szCs w:val="20"/>
          </w:rPr>
          <w:fldChar w:fldCharType="end"/>
        </w:r>
      </w:hyperlink>
    </w:p>
    <w:p w14:paraId="4BA048DA" w14:textId="77777777" w:rsidR="00233296" w:rsidRPr="00233296" w:rsidRDefault="00FA14F6">
      <w:pPr>
        <w:pStyle w:val="Spisilustracji"/>
        <w:tabs>
          <w:tab w:val="right" w:leader="dot" w:pos="9060"/>
        </w:tabs>
        <w:rPr>
          <w:rFonts w:eastAsiaTheme="minorEastAsia" w:cstheme="minorBidi"/>
          <w:noProof/>
          <w:szCs w:val="20"/>
        </w:rPr>
      </w:pPr>
      <w:hyperlink w:anchor="_Toc8824179" w:history="1">
        <w:r w:rsidR="00233296" w:rsidRPr="00233296">
          <w:rPr>
            <w:rStyle w:val="Hipercze"/>
            <w:noProof/>
            <w:szCs w:val="20"/>
          </w:rPr>
          <w:t>Tabela 68 Wskaźniki produktu (PI 7b)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_Toc8824179 \h </w:instrText>
        </w:r>
        <w:r w:rsidR="00233296" w:rsidRPr="00233296">
          <w:rPr>
            <w:noProof/>
            <w:webHidden/>
            <w:szCs w:val="20"/>
          </w:rPr>
        </w:r>
        <w:r w:rsidR="00233296" w:rsidRPr="00233296">
          <w:rPr>
            <w:noProof/>
            <w:webHidden/>
            <w:szCs w:val="20"/>
          </w:rPr>
          <w:fldChar w:fldCharType="separate"/>
        </w:r>
        <w:r w:rsidR="00E667FD">
          <w:rPr>
            <w:noProof/>
            <w:webHidden/>
            <w:szCs w:val="20"/>
          </w:rPr>
          <w:t>174</w:t>
        </w:r>
        <w:r w:rsidR="00233296" w:rsidRPr="00233296">
          <w:rPr>
            <w:noProof/>
            <w:webHidden/>
            <w:szCs w:val="20"/>
          </w:rPr>
          <w:fldChar w:fldCharType="end"/>
        </w:r>
      </w:hyperlink>
    </w:p>
    <w:p w14:paraId="5F17A637" w14:textId="77777777" w:rsidR="00233296" w:rsidRPr="00233296" w:rsidRDefault="00FA14F6">
      <w:pPr>
        <w:pStyle w:val="Spisilustracji"/>
        <w:tabs>
          <w:tab w:val="right" w:leader="dot" w:pos="9060"/>
        </w:tabs>
        <w:rPr>
          <w:rFonts w:eastAsiaTheme="minorEastAsia" w:cstheme="minorBidi"/>
          <w:noProof/>
          <w:szCs w:val="20"/>
        </w:rPr>
      </w:pPr>
      <w:hyperlink w:anchor="_Toc8824180" w:history="1">
        <w:r w:rsidR="00233296" w:rsidRPr="00233296">
          <w:rPr>
            <w:rStyle w:val="Hipercze"/>
            <w:noProof/>
            <w:szCs w:val="20"/>
          </w:rPr>
          <w:t>Tabela 69 Średni koszt realizacji jednostki wskaźnika programowego PI 7b w RPO WZ 2014-2020 oraz w benchmarkowych regionalnych programach operacyjnych (drogi wojewódzkie) – dofinansowanie UE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_Toc8824180 \h </w:instrText>
        </w:r>
        <w:r w:rsidR="00233296" w:rsidRPr="00233296">
          <w:rPr>
            <w:noProof/>
            <w:webHidden/>
            <w:szCs w:val="20"/>
          </w:rPr>
        </w:r>
        <w:r w:rsidR="00233296" w:rsidRPr="00233296">
          <w:rPr>
            <w:noProof/>
            <w:webHidden/>
            <w:szCs w:val="20"/>
          </w:rPr>
          <w:fldChar w:fldCharType="separate"/>
        </w:r>
        <w:r w:rsidR="00E667FD">
          <w:rPr>
            <w:noProof/>
            <w:webHidden/>
            <w:szCs w:val="20"/>
          </w:rPr>
          <w:t>175</w:t>
        </w:r>
        <w:r w:rsidR="00233296" w:rsidRPr="00233296">
          <w:rPr>
            <w:noProof/>
            <w:webHidden/>
            <w:szCs w:val="20"/>
          </w:rPr>
          <w:fldChar w:fldCharType="end"/>
        </w:r>
      </w:hyperlink>
    </w:p>
    <w:p w14:paraId="29506FB6" w14:textId="77777777" w:rsidR="00233296" w:rsidRPr="00233296" w:rsidRDefault="00FA14F6">
      <w:pPr>
        <w:pStyle w:val="Spisilustracji"/>
        <w:tabs>
          <w:tab w:val="right" w:leader="dot" w:pos="9060"/>
        </w:tabs>
        <w:rPr>
          <w:rFonts w:eastAsiaTheme="minorEastAsia" w:cstheme="minorBidi"/>
          <w:noProof/>
          <w:szCs w:val="20"/>
        </w:rPr>
      </w:pPr>
      <w:hyperlink w:anchor="_Toc8824181" w:history="1">
        <w:r w:rsidR="00233296" w:rsidRPr="00233296">
          <w:rPr>
            <w:rStyle w:val="Hipercze"/>
            <w:noProof/>
            <w:szCs w:val="20"/>
          </w:rPr>
          <w:t>Tabela 70 Prognozowany poziom realizacji wskaźnika rezultatu strategicznego na rok 2023 dla PI 7b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_Toc8824181 \h </w:instrText>
        </w:r>
        <w:r w:rsidR="00233296" w:rsidRPr="00233296">
          <w:rPr>
            <w:noProof/>
            <w:webHidden/>
            <w:szCs w:val="20"/>
          </w:rPr>
        </w:r>
        <w:r w:rsidR="00233296" w:rsidRPr="00233296">
          <w:rPr>
            <w:noProof/>
            <w:webHidden/>
            <w:szCs w:val="20"/>
          </w:rPr>
          <w:fldChar w:fldCharType="separate"/>
        </w:r>
        <w:r w:rsidR="00E667FD">
          <w:rPr>
            <w:noProof/>
            <w:webHidden/>
            <w:szCs w:val="20"/>
          </w:rPr>
          <w:t>176</w:t>
        </w:r>
        <w:r w:rsidR="00233296" w:rsidRPr="00233296">
          <w:rPr>
            <w:noProof/>
            <w:webHidden/>
            <w:szCs w:val="20"/>
          </w:rPr>
          <w:fldChar w:fldCharType="end"/>
        </w:r>
      </w:hyperlink>
    </w:p>
    <w:p w14:paraId="0DDA69E5" w14:textId="77777777" w:rsidR="00233296" w:rsidRPr="00233296" w:rsidRDefault="00FA14F6">
      <w:pPr>
        <w:pStyle w:val="Spisilustracji"/>
        <w:tabs>
          <w:tab w:val="right" w:leader="dot" w:pos="9060"/>
        </w:tabs>
        <w:rPr>
          <w:rFonts w:eastAsiaTheme="minorEastAsia" w:cstheme="minorBidi"/>
          <w:noProof/>
          <w:szCs w:val="20"/>
        </w:rPr>
      </w:pPr>
      <w:hyperlink w:anchor="_Toc8824182" w:history="1">
        <w:r w:rsidR="00233296" w:rsidRPr="00233296">
          <w:rPr>
            <w:rStyle w:val="Hipercze"/>
            <w:noProof/>
            <w:szCs w:val="20"/>
          </w:rPr>
          <w:t>Tabela 71 Wysokość alokacji ogółem, alokacji głównej, rezerwy wykonania oraz poziom kontraktacji – w ramach PI 7b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_Toc8824182 \h </w:instrText>
        </w:r>
        <w:r w:rsidR="00233296" w:rsidRPr="00233296">
          <w:rPr>
            <w:noProof/>
            <w:webHidden/>
            <w:szCs w:val="20"/>
          </w:rPr>
        </w:r>
        <w:r w:rsidR="00233296" w:rsidRPr="00233296">
          <w:rPr>
            <w:noProof/>
            <w:webHidden/>
            <w:szCs w:val="20"/>
          </w:rPr>
          <w:fldChar w:fldCharType="separate"/>
        </w:r>
        <w:r w:rsidR="00E667FD">
          <w:rPr>
            <w:noProof/>
            <w:webHidden/>
            <w:szCs w:val="20"/>
          </w:rPr>
          <w:t>176</w:t>
        </w:r>
        <w:r w:rsidR="00233296" w:rsidRPr="00233296">
          <w:rPr>
            <w:noProof/>
            <w:webHidden/>
            <w:szCs w:val="20"/>
          </w:rPr>
          <w:fldChar w:fldCharType="end"/>
        </w:r>
      </w:hyperlink>
    </w:p>
    <w:p w14:paraId="0F1D2254" w14:textId="77777777" w:rsidR="00233296" w:rsidRPr="00233296" w:rsidRDefault="00FA14F6">
      <w:pPr>
        <w:pStyle w:val="Spisilustracji"/>
        <w:tabs>
          <w:tab w:val="right" w:leader="dot" w:pos="9060"/>
        </w:tabs>
        <w:rPr>
          <w:rFonts w:eastAsiaTheme="minorEastAsia" w:cstheme="minorBidi"/>
          <w:noProof/>
          <w:szCs w:val="20"/>
        </w:rPr>
      </w:pPr>
      <w:hyperlink w:anchor="_Toc8824183" w:history="1">
        <w:r w:rsidR="00233296" w:rsidRPr="00233296">
          <w:rPr>
            <w:rStyle w:val="Hipercze"/>
            <w:noProof/>
            <w:szCs w:val="20"/>
          </w:rPr>
          <w:t>Tabela 72 Prognozowany poziom realizacji wskaźników produktu i rezultatu bezpośredniego na rok 2023 – PI 7b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_Toc8824183 \h </w:instrText>
        </w:r>
        <w:r w:rsidR="00233296" w:rsidRPr="00233296">
          <w:rPr>
            <w:noProof/>
            <w:webHidden/>
            <w:szCs w:val="20"/>
          </w:rPr>
        </w:r>
        <w:r w:rsidR="00233296" w:rsidRPr="00233296">
          <w:rPr>
            <w:noProof/>
            <w:webHidden/>
            <w:szCs w:val="20"/>
          </w:rPr>
          <w:fldChar w:fldCharType="separate"/>
        </w:r>
        <w:r w:rsidR="00E667FD">
          <w:rPr>
            <w:noProof/>
            <w:webHidden/>
            <w:szCs w:val="20"/>
          </w:rPr>
          <w:t>178</w:t>
        </w:r>
        <w:r w:rsidR="00233296" w:rsidRPr="00233296">
          <w:rPr>
            <w:noProof/>
            <w:webHidden/>
            <w:szCs w:val="20"/>
          </w:rPr>
          <w:fldChar w:fldCharType="end"/>
        </w:r>
      </w:hyperlink>
    </w:p>
    <w:p w14:paraId="6BBAA377" w14:textId="77777777" w:rsidR="00233296" w:rsidRPr="00233296" w:rsidRDefault="00FA14F6">
      <w:pPr>
        <w:pStyle w:val="Spisilustracji"/>
        <w:tabs>
          <w:tab w:val="right" w:leader="dot" w:pos="9060"/>
        </w:tabs>
        <w:rPr>
          <w:rFonts w:eastAsiaTheme="minorEastAsia" w:cstheme="minorBidi"/>
          <w:noProof/>
          <w:szCs w:val="20"/>
        </w:rPr>
      </w:pPr>
      <w:hyperlink w:anchor="_Toc8824184" w:history="1">
        <w:r w:rsidR="00233296" w:rsidRPr="00233296">
          <w:rPr>
            <w:rStyle w:val="Hipercze"/>
            <w:noProof/>
            <w:szCs w:val="20"/>
          </w:rPr>
          <w:t>Tabela 73 Wskaźniki produktu (PI 7d)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_Toc8824184 \h </w:instrText>
        </w:r>
        <w:r w:rsidR="00233296" w:rsidRPr="00233296">
          <w:rPr>
            <w:noProof/>
            <w:webHidden/>
            <w:szCs w:val="20"/>
          </w:rPr>
        </w:r>
        <w:r w:rsidR="00233296" w:rsidRPr="00233296">
          <w:rPr>
            <w:noProof/>
            <w:webHidden/>
            <w:szCs w:val="20"/>
          </w:rPr>
          <w:fldChar w:fldCharType="separate"/>
        </w:r>
        <w:r w:rsidR="00E667FD">
          <w:rPr>
            <w:noProof/>
            <w:webHidden/>
            <w:szCs w:val="20"/>
          </w:rPr>
          <w:t>180</w:t>
        </w:r>
        <w:r w:rsidR="00233296" w:rsidRPr="00233296">
          <w:rPr>
            <w:noProof/>
            <w:webHidden/>
            <w:szCs w:val="20"/>
          </w:rPr>
          <w:fldChar w:fldCharType="end"/>
        </w:r>
      </w:hyperlink>
    </w:p>
    <w:p w14:paraId="721DF9D9" w14:textId="77777777" w:rsidR="00233296" w:rsidRPr="00233296" w:rsidRDefault="00FA14F6">
      <w:pPr>
        <w:pStyle w:val="Spisilustracji"/>
        <w:tabs>
          <w:tab w:val="right" w:leader="dot" w:pos="9060"/>
        </w:tabs>
        <w:rPr>
          <w:rFonts w:eastAsiaTheme="minorEastAsia" w:cstheme="minorBidi"/>
          <w:noProof/>
          <w:szCs w:val="20"/>
        </w:rPr>
      </w:pPr>
      <w:hyperlink w:anchor="_Toc8824185" w:history="1">
        <w:r w:rsidR="00233296" w:rsidRPr="00233296">
          <w:rPr>
            <w:rStyle w:val="Hipercze"/>
            <w:noProof/>
            <w:szCs w:val="20"/>
          </w:rPr>
          <w:t>Tabela 74 Średni koszt realizacji jednostki wskaźników programowych PI 7d w RPO WZ 2014-2020 oraz w benchmarkowych regionalnych programach operacyjnych (dofinansowanie UE)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_Toc8824185 \h </w:instrText>
        </w:r>
        <w:r w:rsidR="00233296" w:rsidRPr="00233296">
          <w:rPr>
            <w:noProof/>
            <w:webHidden/>
            <w:szCs w:val="20"/>
          </w:rPr>
        </w:r>
        <w:r w:rsidR="00233296" w:rsidRPr="00233296">
          <w:rPr>
            <w:noProof/>
            <w:webHidden/>
            <w:szCs w:val="20"/>
          </w:rPr>
          <w:fldChar w:fldCharType="separate"/>
        </w:r>
        <w:r w:rsidR="00E667FD">
          <w:rPr>
            <w:noProof/>
            <w:webHidden/>
            <w:szCs w:val="20"/>
          </w:rPr>
          <w:t>181</w:t>
        </w:r>
        <w:r w:rsidR="00233296" w:rsidRPr="00233296">
          <w:rPr>
            <w:noProof/>
            <w:webHidden/>
            <w:szCs w:val="20"/>
          </w:rPr>
          <w:fldChar w:fldCharType="end"/>
        </w:r>
      </w:hyperlink>
    </w:p>
    <w:p w14:paraId="0306F026" w14:textId="77777777" w:rsidR="00233296" w:rsidRPr="00233296" w:rsidRDefault="00FA14F6">
      <w:pPr>
        <w:pStyle w:val="Spisilustracji"/>
        <w:tabs>
          <w:tab w:val="right" w:leader="dot" w:pos="9060"/>
        </w:tabs>
        <w:rPr>
          <w:rFonts w:eastAsiaTheme="minorEastAsia" w:cstheme="minorBidi"/>
          <w:noProof/>
          <w:szCs w:val="20"/>
        </w:rPr>
      </w:pPr>
      <w:hyperlink w:anchor="_Toc8824186" w:history="1">
        <w:r w:rsidR="00233296" w:rsidRPr="00233296">
          <w:rPr>
            <w:rStyle w:val="Hipercze"/>
            <w:noProof/>
            <w:szCs w:val="20"/>
          </w:rPr>
          <w:t>Tabela 75 Prognozowany poziom realizacji wskaźnika rezultatu strategicznego na rok 2023 dla PI 7d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_Toc8824186 \h </w:instrText>
        </w:r>
        <w:r w:rsidR="00233296" w:rsidRPr="00233296">
          <w:rPr>
            <w:noProof/>
            <w:webHidden/>
            <w:szCs w:val="20"/>
          </w:rPr>
        </w:r>
        <w:r w:rsidR="00233296" w:rsidRPr="00233296">
          <w:rPr>
            <w:noProof/>
            <w:webHidden/>
            <w:szCs w:val="20"/>
          </w:rPr>
          <w:fldChar w:fldCharType="separate"/>
        </w:r>
        <w:r w:rsidR="00E667FD">
          <w:rPr>
            <w:noProof/>
            <w:webHidden/>
            <w:szCs w:val="20"/>
          </w:rPr>
          <w:t>182</w:t>
        </w:r>
        <w:r w:rsidR="00233296" w:rsidRPr="00233296">
          <w:rPr>
            <w:noProof/>
            <w:webHidden/>
            <w:szCs w:val="20"/>
          </w:rPr>
          <w:fldChar w:fldCharType="end"/>
        </w:r>
      </w:hyperlink>
    </w:p>
    <w:p w14:paraId="3C378E16" w14:textId="77777777" w:rsidR="00233296" w:rsidRPr="00233296" w:rsidRDefault="00FA14F6">
      <w:pPr>
        <w:pStyle w:val="Spisilustracji"/>
        <w:tabs>
          <w:tab w:val="right" w:leader="dot" w:pos="9060"/>
        </w:tabs>
        <w:rPr>
          <w:rFonts w:eastAsiaTheme="minorEastAsia" w:cstheme="minorBidi"/>
          <w:noProof/>
          <w:szCs w:val="20"/>
        </w:rPr>
      </w:pPr>
      <w:hyperlink w:anchor="_Toc8824187" w:history="1">
        <w:r w:rsidR="00233296" w:rsidRPr="00233296">
          <w:rPr>
            <w:rStyle w:val="Hipercze"/>
            <w:noProof/>
            <w:szCs w:val="20"/>
          </w:rPr>
          <w:t>Tabela 76 Wysokość alokacji ogółem, alokacji głównej, rezerwy wykonania oraz poziom kontraktacji – w ramach PI 7d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_Toc8824187 \h </w:instrText>
        </w:r>
        <w:r w:rsidR="00233296" w:rsidRPr="00233296">
          <w:rPr>
            <w:noProof/>
            <w:webHidden/>
            <w:szCs w:val="20"/>
          </w:rPr>
        </w:r>
        <w:r w:rsidR="00233296" w:rsidRPr="00233296">
          <w:rPr>
            <w:noProof/>
            <w:webHidden/>
            <w:szCs w:val="20"/>
          </w:rPr>
          <w:fldChar w:fldCharType="separate"/>
        </w:r>
        <w:r w:rsidR="00E667FD">
          <w:rPr>
            <w:noProof/>
            <w:webHidden/>
            <w:szCs w:val="20"/>
          </w:rPr>
          <w:t>182</w:t>
        </w:r>
        <w:r w:rsidR="00233296" w:rsidRPr="00233296">
          <w:rPr>
            <w:noProof/>
            <w:webHidden/>
            <w:szCs w:val="20"/>
          </w:rPr>
          <w:fldChar w:fldCharType="end"/>
        </w:r>
      </w:hyperlink>
    </w:p>
    <w:p w14:paraId="3A52C93F" w14:textId="77777777" w:rsidR="00233296" w:rsidRPr="00233296" w:rsidRDefault="00FA14F6">
      <w:pPr>
        <w:pStyle w:val="Spisilustracji"/>
        <w:tabs>
          <w:tab w:val="right" w:leader="dot" w:pos="9060"/>
        </w:tabs>
        <w:rPr>
          <w:rFonts w:eastAsiaTheme="minorEastAsia" w:cstheme="minorBidi"/>
          <w:noProof/>
          <w:szCs w:val="20"/>
        </w:rPr>
      </w:pPr>
      <w:hyperlink w:anchor="_Toc8824188" w:history="1">
        <w:r w:rsidR="00233296" w:rsidRPr="00233296">
          <w:rPr>
            <w:rStyle w:val="Hipercze"/>
            <w:noProof/>
            <w:szCs w:val="20"/>
          </w:rPr>
          <w:t>Tabela 77 Prognozowany poziom realizacji wskaźników produktu i rezultatu bezpośredniego na rok 2023 – PI 7d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_Toc8824188 \h </w:instrText>
        </w:r>
        <w:r w:rsidR="00233296" w:rsidRPr="00233296">
          <w:rPr>
            <w:noProof/>
            <w:webHidden/>
            <w:szCs w:val="20"/>
          </w:rPr>
        </w:r>
        <w:r w:rsidR="00233296" w:rsidRPr="00233296">
          <w:rPr>
            <w:noProof/>
            <w:webHidden/>
            <w:szCs w:val="20"/>
          </w:rPr>
          <w:fldChar w:fldCharType="separate"/>
        </w:r>
        <w:r w:rsidR="00E667FD">
          <w:rPr>
            <w:noProof/>
            <w:webHidden/>
            <w:szCs w:val="20"/>
          </w:rPr>
          <w:t>183</w:t>
        </w:r>
        <w:r w:rsidR="00233296" w:rsidRPr="00233296">
          <w:rPr>
            <w:noProof/>
            <w:webHidden/>
            <w:szCs w:val="20"/>
          </w:rPr>
          <w:fldChar w:fldCharType="end"/>
        </w:r>
      </w:hyperlink>
    </w:p>
    <w:p w14:paraId="14FF4BE8" w14:textId="77777777" w:rsidR="00233296" w:rsidRPr="00233296" w:rsidRDefault="00FA14F6">
      <w:pPr>
        <w:pStyle w:val="Spisilustracji"/>
        <w:tabs>
          <w:tab w:val="right" w:leader="dot" w:pos="9060"/>
        </w:tabs>
        <w:rPr>
          <w:rFonts w:eastAsiaTheme="minorEastAsia" w:cstheme="minorBidi"/>
          <w:noProof/>
          <w:szCs w:val="20"/>
        </w:rPr>
      </w:pPr>
      <w:hyperlink w:anchor="_Toc8824189" w:history="1">
        <w:r w:rsidR="00233296" w:rsidRPr="00233296">
          <w:rPr>
            <w:rStyle w:val="Hipercze"/>
            <w:noProof/>
            <w:szCs w:val="20"/>
          </w:rPr>
          <w:t>Tabela 78 Wskaźniki wymagające zmiany wartości – PI 7d</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_Toc8824189 \h </w:instrText>
        </w:r>
        <w:r w:rsidR="00233296" w:rsidRPr="00233296">
          <w:rPr>
            <w:noProof/>
            <w:webHidden/>
            <w:szCs w:val="20"/>
          </w:rPr>
        </w:r>
        <w:r w:rsidR="00233296" w:rsidRPr="00233296">
          <w:rPr>
            <w:noProof/>
            <w:webHidden/>
            <w:szCs w:val="20"/>
          </w:rPr>
          <w:fldChar w:fldCharType="separate"/>
        </w:r>
        <w:r w:rsidR="00E667FD">
          <w:rPr>
            <w:noProof/>
            <w:webHidden/>
            <w:szCs w:val="20"/>
          </w:rPr>
          <w:t>184</w:t>
        </w:r>
        <w:r w:rsidR="00233296" w:rsidRPr="00233296">
          <w:rPr>
            <w:noProof/>
            <w:webHidden/>
            <w:szCs w:val="20"/>
          </w:rPr>
          <w:fldChar w:fldCharType="end"/>
        </w:r>
      </w:hyperlink>
    </w:p>
    <w:p w14:paraId="210FCAD7" w14:textId="77777777" w:rsidR="00233296" w:rsidRPr="00233296" w:rsidRDefault="00FA14F6">
      <w:pPr>
        <w:pStyle w:val="Spisilustracji"/>
        <w:tabs>
          <w:tab w:val="right" w:leader="dot" w:pos="9060"/>
        </w:tabs>
        <w:rPr>
          <w:rFonts w:eastAsiaTheme="minorEastAsia" w:cstheme="minorBidi"/>
          <w:noProof/>
          <w:szCs w:val="20"/>
        </w:rPr>
      </w:pPr>
      <w:hyperlink w:anchor="_Toc8824190" w:history="1">
        <w:r w:rsidR="00233296" w:rsidRPr="00233296">
          <w:rPr>
            <w:rStyle w:val="Hipercze"/>
            <w:noProof/>
            <w:szCs w:val="20"/>
          </w:rPr>
          <w:t>Tabela 79 Wskaźniki produktu (PI 7c)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_Toc8824190 \h </w:instrText>
        </w:r>
        <w:r w:rsidR="00233296" w:rsidRPr="00233296">
          <w:rPr>
            <w:noProof/>
            <w:webHidden/>
            <w:szCs w:val="20"/>
          </w:rPr>
        </w:r>
        <w:r w:rsidR="00233296" w:rsidRPr="00233296">
          <w:rPr>
            <w:noProof/>
            <w:webHidden/>
            <w:szCs w:val="20"/>
          </w:rPr>
          <w:fldChar w:fldCharType="separate"/>
        </w:r>
        <w:r w:rsidR="00E667FD">
          <w:rPr>
            <w:noProof/>
            <w:webHidden/>
            <w:szCs w:val="20"/>
          </w:rPr>
          <w:t>185</w:t>
        </w:r>
        <w:r w:rsidR="00233296" w:rsidRPr="00233296">
          <w:rPr>
            <w:noProof/>
            <w:webHidden/>
            <w:szCs w:val="20"/>
          </w:rPr>
          <w:fldChar w:fldCharType="end"/>
        </w:r>
      </w:hyperlink>
    </w:p>
    <w:p w14:paraId="75E55F7C" w14:textId="77777777" w:rsidR="00233296" w:rsidRPr="00233296" w:rsidRDefault="00FA14F6">
      <w:pPr>
        <w:pStyle w:val="Spisilustracji"/>
        <w:tabs>
          <w:tab w:val="right" w:leader="dot" w:pos="9060"/>
        </w:tabs>
        <w:rPr>
          <w:rFonts w:eastAsiaTheme="minorEastAsia" w:cstheme="minorBidi"/>
          <w:noProof/>
          <w:szCs w:val="20"/>
        </w:rPr>
      </w:pPr>
      <w:hyperlink w:anchor="_Toc8824191" w:history="1">
        <w:r w:rsidR="00233296" w:rsidRPr="00233296">
          <w:rPr>
            <w:rStyle w:val="Hipercze"/>
            <w:noProof/>
            <w:szCs w:val="20"/>
          </w:rPr>
          <w:t>Tabela 80. Prognozowany poziom realizacji wskaźnika rezultatu strategicznego na rok 2023 dla PI 7c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_Toc8824191 \h </w:instrText>
        </w:r>
        <w:r w:rsidR="00233296" w:rsidRPr="00233296">
          <w:rPr>
            <w:noProof/>
            <w:webHidden/>
            <w:szCs w:val="20"/>
          </w:rPr>
        </w:r>
        <w:r w:rsidR="00233296" w:rsidRPr="00233296">
          <w:rPr>
            <w:noProof/>
            <w:webHidden/>
            <w:szCs w:val="20"/>
          </w:rPr>
          <w:fldChar w:fldCharType="separate"/>
        </w:r>
        <w:r w:rsidR="00E667FD">
          <w:rPr>
            <w:noProof/>
            <w:webHidden/>
            <w:szCs w:val="20"/>
          </w:rPr>
          <w:t>186</w:t>
        </w:r>
        <w:r w:rsidR="00233296" w:rsidRPr="00233296">
          <w:rPr>
            <w:noProof/>
            <w:webHidden/>
            <w:szCs w:val="20"/>
          </w:rPr>
          <w:fldChar w:fldCharType="end"/>
        </w:r>
      </w:hyperlink>
    </w:p>
    <w:p w14:paraId="7B8D1FE3" w14:textId="77777777" w:rsidR="00233296" w:rsidRPr="00233296" w:rsidRDefault="00FA14F6">
      <w:pPr>
        <w:pStyle w:val="Spisilustracji"/>
        <w:tabs>
          <w:tab w:val="right" w:leader="dot" w:pos="9060"/>
        </w:tabs>
        <w:rPr>
          <w:rFonts w:eastAsiaTheme="minorEastAsia" w:cstheme="minorBidi"/>
          <w:noProof/>
          <w:szCs w:val="20"/>
        </w:rPr>
      </w:pPr>
      <w:hyperlink w:anchor="_Toc8824192" w:history="1">
        <w:r w:rsidR="00233296" w:rsidRPr="00233296">
          <w:rPr>
            <w:rStyle w:val="Hipercze"/>
            <w:noProof/>
            <w:szCs w:val="20"/>
          </w:rPr>
          <w:t>Tabela 81 Wysokość alokacji ogółem, alokacji głównej, rezerwy wykonania oraz poziom kontraktacji – w ramach PI 7c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_Toc8824192 \h </w:instrText>
        </w:r>
        <w:r w:rsidR="00233296" w:rsidRPr="00233296">
          <w:rPr>
            <w:noProof/>
            <w:webHidden/>
            <w:szCs w:val="20"/>
          </w:rPr>
        </w:r>
        <w:r w:rsidR="00233296" w:rsidRPr="00233296">
          <w:rPr>
            <w:noProof/>
            <w:webHidden/>
            <w:szCs w:val="20"/>
          </w:rPr>
          <w:fldChar w:fldCharType="separate"/>
        </w:r>
        <w:r w:rsidR="00E667FD">
          <w:rPr>
            <w:noProof/>
            <w:webHidden/>
            <w:szCs w:val="20"/>
          </w:rPr>
          <w:t>186</w:t>
        </w:r>
        <w:r w:rsidR="00233296" w:rsidRPr="00233296">
          <w:rPr>
            <w:noProof/>
            <w:webHidden/>
            <w:szCs w:val="20"/>
          </w:rPr>
          <w:fldChar w:fldCharType="end"/>
        </w:r>
      </w:hyperlink>
    </w:p>
    <w:p w14:paraId="700D53CE" w14:textId="77777777" w:rsidR="00233296" w:rsidRPr="00233296" w:rsidRDefault="00FA14F6">
      <w:pPr>
        <w:pStyle w:val="Spisilustracji"/>
        <w:tabs>
          <w:tab w:val="right" w:leader="dot" w:pos="9060"/>
        </w:tabs>
        <w:rPr>
          <w:rFonts w:eastAsiaTheme="minorEastAsia" w:cstheme="minorBidi"/>
          <w:noProof/>
          <w:szCs w:val="20"/>
        </w:rPr>
      </w:pPr>
      <w:hyperlink w:anchor="_Toc8824193" w:history="1">
        <w:r w:rsidR="00233296" w:rsidRPr="00233296">
          <w:rPr>
            <w:rStyle w:val="Hipercze"/>
            <w:noProof/>
            <w:szCs w:val="20"/>
          </w:rPr>
          <w:t>Tabela 82 Prognozowany poziom realizacji wskaźników produktu i rezultatu bezpośredniego na rok 2023 – PI 7c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_Toc8824193 \h </w:instrText>
        </w:r>
        <w:r w:rsidR="00233296" w:rsidRPr="00233296">
          <w:rPr>
            <w:noProof/>
            <w:webHidden/>
            <w:szCs w:val="20"/>
          </w:rPr>
        </w:r>
        <w:r w:rsidR="00233296" w:rsidRPr="00233296">
          <w:rPr>
            <w:noProof/>
            <w:webHidden/>
            <w:szCs w:val="20"/>
          </w:rPr>
          <w:fldChar w:fldCharType="separate"/>
        </w:r>
        <w:r w:rsidR="00E667FD">
          <w:rPr>
            <w:noProof/>
            <w:webHidden/>
            <w:szCs w:val="20"/>
          </w:rPr>
          <w:t>187</w:t>
        </w:r>
        <w:r w:rsidR="00233296" w:rsidRPr="00233296">
          <w:rPr>
            <w:noProof/>
            <w:webHidden/>
            <w:szCs w:val="20"/>
          </w:rPr>
          <w:fldChar w:fldCharType="end"/>
        </w:r>
      </w:hyperlink>
    </w:p>
    <w:p w14:paraId="4A54E7EB" w14:textId="77777777" w:rsidR="00233296" w:rsidRPr="00233296" w:rsidRDefault="00FA14F6">
      <w:pPr>
        <w:pStyle w:val="Spisilustracji"/>
        <w:tabs>
          <w:tab w:val="right" w:leader="dot" w:pos="9060"/>
        </w:tabs>
        <w:rPr>
          <w:rFonts w:eastAsiaTheme="minorEastAsia" w:cstheme="minorBidi"/>
          <w:noProof/>
          <w:szCs w:val="20"/>
        </w:rPr>
      </w:pPr>
      <w:hyperlink w:anchor="_Toc8824194" w:history="1">
        <w:r w:rsidR="00233296" w:rsidRPr="00233296">
          <w:rPr>
            <w:rStyle w:val="Hipercze"/>
            <w:noProof/>
            <w:szCs w:val="20"/>
          </w:rPr>
          <w:t>Tabela 83 Liczba osób bezrobotnych i stopa bezrobocia w województwie zachodniopomorskim i w porównaniu do Polski (stan na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_Toc8824194 \h </w:instrText>
        </w:r>
        <w:r w:rsidR="00233296" w:rsidRPr="00233296">
          <w:rPr>
            <w:noProof/>
            <w:webHidden/>
            <w:szCs w:val="20"/>
          </w:rPr>
        </w:r>
        <w:r w:rsidR="00233296" w:rsidRPr="00233296">
          <w:rPr>
            <w:noProof/>
            <w:webHidden/>
            <w:szCs w:val="20"/>
          </w:rPr>
          <w:fldChar w:fldCharType="separate"/>
        </w:r>
        <w:r w:rsidR="00E667FD">
          <w:rPr>
            <w:noProof/>
            <w:webHidden/>
            <w:szCs w:val="20"/>
          </w:rPr>
          <w:t>188</w:t>
        </w:r>
        <w:r w:rsidR="00233296" w:rsidRPr="00233296">
          <w:rPr>
            <w:noProof/>
            <w:webHidden/>
            <w:szCs w:val="20"/>
          </w:rPr>
          <w:fldChar w:fldCharType="end"/>
        </w:r>
      </w:hyperlink>
    </w:p>
    <w:p w14:paraId="3651F35F" w14:textId="77777777" w:rsidR="00233296" w:rsidRPr="00233296" w:rsidRDefault="00FA14F6">
      <w:pPr>
        <w:pStyle w:val="Spisilustracji"/>
        <w:tabs>
          <w:tab w:val="right" w:leader="dot" w:pos="9060"/>
        </w:tabs>
        <w:rPr>
          <w:rFonts w:eastAsiaTheme="minorEastAsia" w:cstheme="minorBidi"/>
          <w:noProof/>
          <w:szCs w:val="20"/>
        </w:rPr>
      </w:pPr>
      <w:hyperlink w:anchor="_Toc8824195" w:history="1">
        <w:r w:rsidR="00233296" w:rsidRPr="00233296">
          <w:rPr>
            <w:rStyle w:val="Hipercze"/>
            <w:noProof/>
            <w:szCs w:val="20"/>
          </w:rPr>
          <w:t>Tabela 84 Liczba / odsetek bezrobotnych kobiet według województw i w porównaniu do Polski (stan na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_Toc8824195 \h </w:instrText>
        </w:r>
        <w:r w:rsidR="00233296" w:rsidRPr="00233296">
          <w:rPr>
            <w:noProof/>
            <w:webHidden/>
            <w:szCs w:val="20"/>
          </w:rPr>
        </w:r>
        <w:r w:rsidR="00233296" w:rsidRPr="00233296">
          <w:rPr>
            <w:noProof/>
            <w:webHidden/>
            <w:szCs w:val="20"/>
          </w:rPr>
          <w:fldChar w:fldCharType="separate"/>
        </w:r>
        <w:r w:rsidR="00E667FD">
          <w:rPr>
            <w:noProof/>
            <w:webHidden/>
            <w:szCs w:val="20"/>
          </w:rPr>
          <w:t>188</w:t>
        </w:r>
        <w:r w:rsidR="00233296" w:rsidRPr="00233296">
          <w:rPr>
            <w:noProof/>
            <w:webHidden/>
            <w:szCs w:val="20"/>
          </w:rPr>
          <w:fldChar w:fldCharType="end"/>
        </w:r>
      </w:hyperlink>
    </w:p>
    <w:p w14:paraId="00F2448E" w14:textId="77777777" w:rsidR="00233296" w:rsidRPr="00233296" w:rsidRDefault="00FA14F6">
      <w:pPr>
        <w:pStyle w:val="Spisilustracji"/>
        <w:tabs>
          <w:tab w:val="right" w:leader="dot" w:pos="9060"/>
        </w:tabs>
        <w:rPr>
          <w:rFonts w:eastAsiaTheme="minorEastAsia" w:cstheme="minorBidi"/>
          <w:noProof/>
          <w:szCs w:val="20"/>
        </w:rPr>
      </w:pPr>
      <w:hyperlink w:anchor="_Toc8824196" w:history="1">
        <w:r w:rsidR="00233296" w:rsidRPr="00233296">
          <w:rPr>
            <w:rStyle w:val="Hipercze"/>
            <w:rFonts w:eastAsia="Lato"/>
            <w:bCs/>
            <w:noProof/>
            <w:szCs w:val="20"/>
          </w:rPr>
          <w:t>Tabela 85 Stopa bezrobocia rejestrowanego w powiatach województwa zachodniopomorskiego i w województwie (stan na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_Toc8824196 \h </w:instrText>
        </w:r>
        <w:r w:rsidR="00233296" w:rsidRPr="00233296">
          <w:rPr>
            <w:noProof/>
            <w:webHidden/>
            <w:szCs w:val="20"/>
          </w:rPr>
        </w:r>
        <w:r w:rsidR="00233296" w:rsidRPr="00233296">
          <w:rPr>
            <w:noProof/>
            <w:webHidden/>
            <w:szCs w:val="20"/>
          </w:rPr>
          <w:fldChar w:fldCharType="separate"/>
        </w:r>
        <w:r w:rsidR="00E667FD">
          <w:rPr>
            <w:noProof/>
            <w:webHidden/>
            <w:szCs w:val="20"/>
          </w:rPr>
          <w:t>189</w:t>
        </w:r>
        <w:r w:rsidR="00233296" w:rsidRPr="00233296">
          <w:rPr>
            <w:noProof/>
            <w:webHidden/>
            <w:szCs w:val="20"/>
          </w:rPr>
          <w:fldChar w:fldCharType="end"/>
        </w:r>
      </w:hyperlink>
    </w:p>
    <w:p w14:paraId="693CA22C" w14:textId="77777777" w:rsidR="00233296" w:rsidRPr="00233296" w:rsidRDefault="00FA14F6">
      <w:pPr>
        <w:pStyle w:val="Spisilustracji"/>
        <w:tabs>
          <w:tab w:val="right" w:leader="dot" w:pos="9060"/>
        </w:tabs>
        <w:rPr>
          <w:rFonts w:eastAsiaTheme="minorEastAsia" w:cstheme="minorBidi"/>
          <w:noProof/>
          <w:szCs w:val="20"/>
        </w:rPr>
      </w:pPr>
      <w:hyperlink w:anchor="_Toc8824197" w:history="1">
        <w:r w:rsidR="00233296" w:rsidRPr="00233296">
          <w:rPr>
            <w:rStyle w:val="Hipercze"/>
            <w:noProof/>
            <w:szCs w:val="20"/>
          </w:rPr>
          <w:t>Tabela 86 Liczba osób bezrobotnych w tym kobiet będących w sytuacji szczególnej na rynku pracy w województwie zachodniopomorskim (stan na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_Toc8824197 \h </w:instrText>
        </w:r>
        <w:r w:rsidR="00233296" w:rsidRPr="00233296">
          <w:rPr>
            <w:noProof/>
            <w:webHidden/>
            <w:szCs w:val="20"/>
          </w:rPr>
        </w:r>
        <w:r w:rsidR="00233296" w:rsidRPr="00233296">
          <w:rPr>
            <w:noProof/>
            <w:webHidden/>
            <w:szCs w:val="20"/>
          </w:rPr>
          <w:fldChar w:fldCharType="separate"/>
        </w:r>
        <w:r w:rsidR="00E667FD">
          <w:rPr>
            <w:noProof/>
            <w:webHidden/>
            <w:szCs w:val="20"/>
          </w:rPr>
          <w:t>190</w:t>
        </w:r>
        <w:r w:rsidR="00233296" w:rsidRPr="00233296">
          <w:rPr>
            <w:noProof/>
            <w:webHidden/>
            <w:szCs w:val="20"/>
          </w:rPr>
          <w:fldChar w:fldCharType="end"/>
        </w:r>
      </w:hyperlink>
    </w:p>
    <w:p w14:paraId="562660BB" w14:textId="77777777" w:rsidR="00233296" w:rsidRPr="00233296" w:rsidRDefault="00FA14F6">
      <w:pPr>
        <w:pStyle w:val="Spisilustracji"/>
        <w:tabs>
          <w:tab w:val="right" w:leader="dot" w:pos="9060"/>
        </w:tabs>
        <w:rPr>
          <w:rFonts w:eastAsiaTheme="minorEastAsia" w:cstheme="minorBidi"/>
          <w:noProof/>
          <w:szCs w:val="20"/>
        </w:rPr>
      </w:pPr>
      <w:hyperlink w:anchor="_Toc8824198" w:history="1">
        <w:r w:rsidR="00233296" w:rsidRPr="00233296">
          <w:rPr>
            <w:rStyle w:val="Hipercze"/>
            <w:noProof/>
            <w:szCs w:val="20"/>
          </w:rPr>
          <w:t>Tabela 87 Stopa bezrobocia długotrwałego w województwie zachodniopomorskim i w porównaniu do Polski; długotrwale bezrobotni w ogóle zarejestrowanych bezrobotnych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_Toc8824198 \h </w:instrText>
        </w:r>
        <w:r w:rsidR="00233296" w:rsidRPr="00233296">
          <w:rPr>
            <w:noProof/>
            <w:webHidden/>
            <w:szCs w:val="20"/>
          </w:rPr>
        </w:r>
        <w:r w:rsidR="00233296" w:rsidRPr="00233296">
          <w:rPr>
            <w:noProof/>
            <w:webHidden/>
            <w:szCs w:val="20"/>
          </w:rPr>
          <w:fldChar w:fldCharType="separate"/>
        </w:r>
        <w:r w:rsidR="00E667FD">
          <w:rPr>
            <w:noProof/>
            <w:webHidden/>
            <w:szCs w:val="20"/>
          </w:rPr>
          <w:t>191</w:t>
        </w:r>
        <w:r w:rsidR="00233296" w:rsidRPr="00233296">
          <w:rPr>
            <w:noProof/>
            <w:webHidden/>
            <w:szCs w:val="20"/>
          </w:rPr>
          <w:fldChar w:fldCharType="end"/>
        </w:r>
      </w:hyperlink>
    </w:p>
    <w:p w14:paraId="1959B6B5" w14:textId="77777777" w:rsidR="00233296" w:rsidRPr="00233296" w:rsidRDefault="00FA14F6">
      <w:pPr>
        <w:pStyle w:val="Spisilustracji"/>
        <w:tabs>
          <w:tab w:val="right" w:leader="dot" w:pos="9060"/>
        </w:tabs>
        <w:rPr>
          <w:rFonts w:eastAsiaTheme="minorEastAsia" w:cstheme="minorBidi"/>
          <w:noProof/>
          <w:szCs w:val="20"/>
        </w:rPr>
      </w:pPr>
      <w:hyperlink w:anchor="_Toc8824199" w:history="1">
        <w:r w:rsidR="00233296" w:rsidRPr="00233296">
          <w:rPr>
            <w:rStyle w:val="Hipercze"/>
            <w:noProof/>
            <w:szCs w:val="20"/>
          </w:rPr>
          <w:t>Tabela 88 Liczba i udział bezrobotnych w wieku 50 lat i więcej w ogólnej liczbie bezrobotnych w województwie zachodniopomorskim i w porównaniu do Polski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_Toc8824199 \h </w:instrText>
        </w:r>
        <w:r w:rsidR="00233296" w:rsidRPr="00233296">
          <w:rPr>
            <w:noProof/>
            <w:webHidden/>
            <w:szCs w:val="20"/>
          </w:rPr>
        </w:r>
        <w:r w:rsidR="00233296" w:rsidRPr="00233296">
          <w:rPr>
            <w:noProof/>
            <w:webHidden/>
            <w:szCs w:val="20"/>
          </w:rPr>
          <w:fldChar w:fldCharType="separate"/>
        </w:r>
        <w:r w:rsidR="00E667FD">
          <w:rPr>
            <w:noProof/>
            <w:webHidden/>
            <w:szCs w:val="20"/>
          </w:rPr>
          <w:t>192</w:t>
        </w:r>
        <w:r w:rsidR="00233296" w:rsidRPr="00233296">
          <w:rPr>
            <w:noProof/>
            <w:webHidden/>
            <w:szCs w:val="20"/>
          </w:rPr>
          <w:fldChar w:fldCharType="end"/>
        </w:r>
      </w:hyperlink>
    </w:p>
    <w:p w14:paraId="21C31041" w14:textId="77777777" w:rsidR="00233296" w:rsidRPr="00233296" w:rsidRDefault="00FA14F6">
      <w:pPr>
        <w:pStyle w:val="Spisilustracji"/>
        <w:tabs>
          <w:tab w:val="right" w:leader="dot" w:pos="9060"/>
        </w:tabs>
        <w:rPr>
          <w:rFonts w:eastAsiaTheme="minorEastAsia" w:cstheme="minorBidi"/>
          <w:noProof/>
          <w:szCs w:val="20"/>
        </w:rPr>
      </w:pPr>
      <w:hyperlink w:anchor="_Toc8824200" w:history="1">
        <w:r w:rsidR="00233296" w:rsidRPr="00233296">
          <w:rPr>
            <w:rStyle w:val="Hipercze"/>
            <w:noProof/>
            <w:szCs w:val="20"/>
          </w:rPr>
          <w:t>Tabela 89 Liczba osób biernych zawodowo w województwie zachodniopomorskim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_Toc8824200 \h </w:instrText>
        </w:r>
        <w:r w:rsidR="00233296" w:rsidRPr="00233296">
          <w:rPr>
            <w:noProof/>
            <w:webHidden/>
            <w:szCs w:val="20"/>
          </w:rPr>
        </w:r>
        <w:r w:rsidR="00233296" w:rsidRPr="00233296">
          <w:rPr>
            <w:noProof/>
            <w:webHidden/>
            <w:szCs w:val="20"/>
          </w:rPr>
          <w:fldChar w:fldCharType="separate"/>
        </w:r>
        <w:r w:rsidR="00E667FD">
          <w:rPr>
            <w:noProof/>
            <w:webHidden/>
            <w:szCs w:val="20"/>
          </w:rPr>
          <w:t>193</w:t>
        </w:r>
        <w:r w:rsidR="00233296" w:rsidRPr="00233296">
          <w:rPr>
            <w:noProof/>
            <w:webHidden/>
            <w:szCs w:val="20"/>
          </w:rPr>
          <w:fldChar w:fldCharType="end"/>
        </w:r>
      </w:hyperlink>
    </w:p>
    <w:p w14:paraId="53534090" w14:textId="77777777" w:rsidR="00233296" w:rsidRPr="00233296" w:rsidRDefault="00FA14F6">
      <w:pPr>
        <w:pStyle w:val="Spisilustracji"/>
        <w:tabs>
          <w:tab w:val="right" w:leader="dot" w:pos="9060"/>
        </w:tabs>
        <w:rPr>
          <w:rFonts w:eastAsiaTheme="minorEastAsia" w:cstheme="minorBidi"/>
          <w:noProof/>
          <w:szCs w:val="20"/>
        </w:rPr>
      </w:pPr>
      <w:hyperlink w:anchor="_Toc8824201" w:history="1">
        <w:r w:rsidR="00233296" w:rsidRPr="00233296">
          <w:rPr>
            <w:rStyle w:val="Hipercze"/>
            <w:noProof/>
            <w:szCs w:val="20"/>
          </w:rPr>
          <w:t>Tabela 90 Wskaźnik zatrudnienia w województwach i w porównaniu do Polski (dane za IV kwartał)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_Toc8824201 \h </w:instrText>
        </w:r>
        <w:r w:rsidR="00233296" w:rsidRPr="00233296">
          <w:rPr>
            <w:noProof/>
            <w:webHidden/>
            <w:szCs w:val="20"/>
          </w:rPr>
        </w:r>
        <w:r w:rsidR="00233296" w:rsidRPr="00233296">
          <w:rPr>
            <w:noProof/>
            <w:webHidden/>
            <w:szCs w:val="20"/>
          </w:rPr>
          <w:fldChar w:fldCharType="separate"/>
        </w:r>
        <w:r w:rsidR="00E667FD">
          <w:rPr>
            <w:noProof/>
            <w:webHidden/>
            <w:szCs w:val="20"/>
          </w:rPr>
          <w:t>193</w:t>
        </w:r>
        <w:r w:rsidR="00233296" w:rsidRPr="00233296">
          <w:rPr>
            <w:noProof/>
            <w:webHidden/>
            <w:szCs w:val="20"/>
          </w:rPr>
          <w:fldChar w:fldCharType="end"/>
        </w:r>
      </w:hyperlink>
    </w:p>
    <w:p w14:paraId="3BE0C1EF" w14:textId="77777777" w:rsidR="00233296" w:rsidRPr="00233296" w:rsidRDefault="00FA14F6">
      <w:pPr>
        <w:pStyle w:val="Spisilustracji"/>
        <w:tabs>
          <w:tab w:val="right" w:leader="dot" w:pos="9060"/>
        </w:tabs>
        <w:rPr>
          <w:rFonts w:eastAsiaTheme="minorEastAsia" w:cstheme="minorBidi"/>
          <w:noProof/>
          <w:szCs w:val="20"/>
        </w:rPr>
      </w:pPr>
      <w:hyperlink w:anchor="_Toc8824202" w:history="1">
        <w:r w:rsidR="00233296" w:rsidRPr="00233296">
          <w:rPr>
            <w:rStyle w:val="Hipercze"/>
            <w:rFonts w:eastAsia="Lato"/>
            <w:bCs/>
            <w:noProof/>
            <w:szCs w:val="20"/>
          </w:rPr>
          <w:t>Tabela 91 Wskaźnik zatrudnienia w województwie zachodniopomorskim i w porównaniu do Polski według grup wieku (dane za IV kwartał)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_Toc8824202 \h </w:instrText>
        </w:r>
        <w:r w:rsidR="00233296" w:rsidRPr="00233296">
          <w:rPr>
            <w:noProof/>
            <w:webHidden/>
            <w:szCs w:val="20"/>
          </w:rPr>
        </w:r>
        <w:r w:rsidR="00233296" w:rsidRPr="00233296">
          <w:rPr>
            <w:noProof/>
            <w:webHidden/>
            <w:szCs w:val="20"/>
          </w:rPr>
          <w:fldChar w:fldCharType="separate"/>
        </w:r>
        <w:r w:rsidR="00E667FD">
          <w:rPr>
            <w:noProof/>
            <w:webHidden/>
            <w:szCs w:val="20"/>
          </w:rPr>
          <w:t>194</w:t>
        </w:r>
        <w:r w:rsidR="00233296" w:rsidRPr="00233296">
          <w:rPr>
            <w:noProof/>
            <w:webHidden/>
            <w:szCs w:val="20"/>
          </w:rPr>
          <w:fldChar w:fldCharType="end"/>
        </w:r>
      </w:hyperlink>
    </w:p>
    <w:p w14:paraId="387CBDB3" w14:textId="77777777" w:rsidR="00233296" w:rsidRPr="00233296" w:rsidRDefault="00FA14F6">
      <w:pPr>
        <w:pStyle w:val="Spisilustracji"/>
        <w:tabs>
          <w:tab w:val="right" w:leader="dot" w:pos="9060"/>
        </w:tabs>
        <w:rPr>
          <w:rFonts w:eastAsiaTheme="minorEastAsia" w:cstheme="minorBidi"/>
          <w:noProof/>
          <w:szCs w:val="20"/>
        </w:rPr>
      </w:pPr>
      <w:hyperlink w:anchor="_Toc8824203" w:history="1">
        <w:r w:rsidR="00233296" w:rsidRPr="00233296">
          <w:rPr>
            <w:rStyle w:val="Hipercze"/>
            <w:noProof/>
            <w:szCs w:val="20"/>
          </w:rPr>
          <w:t>Tabela 92 Bezrobotni bez kwalifikacji i doświadczenia zawodowego w województwie zachodniopomorskim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_Toc8824203 \h </w:instrText>
        </w:r>
        <w:r w:rsidR="00233296" w:rsidRPr="00233296">
          <w:rPr>
            <w:noProof/>
            <w:webHidden/>
            <w:szCs w:val="20"/>
          </w:rPr>
        </w:r>
        <w:r w:rsidR="00233296" w:rsidRPr="00233296">
          <w:rPr>
            <w:noProof/>
            <w:webHidden/>
            <w:szCs w:val="20"/>
          </w:rPr>
          <w:fldChar w:fldCharType="separate"/>
        </w:r>
        <w:r w:rsidR="00E667FD">
          <w:rPr>
            <w:noProof/>
            <w:webHidden/>
            <w:szCs w:val="20"/>
          </w:rPr>
          <w:t>194</w:t>
        </w:r>
        <w:r w:rsidR="00233296" w:rsidRPr="00233296">
          <w:rPr>
            <w:noProof/>
            <w:webHidden/>
            <w:szCs w:val="20"/>
          </w:rPr>
          <w:fldChar w:fldCharType="end"/>
        </w:r>
      </w:hyperlink>
    </w:p>
    <w:p w14:paraId="248647A2" w14:textId="77777777" w:rsidR="00233296" w:rsidRPr="00233296" w:rsidRDefault="00FA14F6">
      <w:pPr>
        <w:pStyle w:val="Spisilustracji"/>
        <w:tabs>
          <w:tab w:val="right" w:leader="dot" w:pos="9060"/>
        </w:tabs>
        <w:rPr>
          <w:rFonts w:eastAsiaTheme="minorEastAsia" w:cstheme="minorBidi"/>
          <w:noProof/>
          <w:szCs w:val="20"/>
        </w:rPr>
      </w:pPr>
      <w:hyperlink w:anchor="_Toc8824204" w:history="1">
        <w:r w:rsidR="00233296" w:rsidRPr="00233296">
          <w:rPr>
            <w:rStyle w:val="Hipercze"/>
            <w:noProof/>
            <w:szCs w:val="20"/>
          </w:rPr>
          <w:t>Tabela 93 Struktura bezrobotnych w województwie zachodniopomorskim i w porównaniu do Polski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_Toc8824204 \h </w:instrText>
        </w:r>
        <w:r w:rsidR="00233296" w:rsidRPr="00233296">
          <w:rPr>
            <w:noProof/>
            <w:webHidden/>
            <w:szCs w:val="20"/>
          </w:rPr>
        </w:r>
        <w:r w:rsidR="00233296" w:rsidRPr="00233296">
          <w:rPr>
            <w:noProof/>
            <w:webHidden/>
            <w:szCs w:val="20"/>
          </w:rPr>
          <w:fldChar w:fldCharType="separate"/>
        </w:r>
        <w:r w:rsidR="00E667FD">
          <w:rPr>
            <w:noProof/>
            <w:webHidden/>
            <w:szCs w:val="20"/>
          </w:rPr>
          <w:t>195</w:t>
        </w:r>
        <w:r w:rsidR="00233296" w:rsidRPr="00233296">
          <w:rPr>
            <w:noProof/>
            <w:webHidden/>
            <w:szCs w:val="20"/>
          </w:rPr>
          <w:fldChar w:fldCharType="end"/>
        </w:r>
      </w:hyperlink>
    </w:p>
    <w:p w14:paraId="4E76CFE4" w14:textId="77777777" w:rsidR="00233296" w:rsidRPr="00233296" w:rsidRDefault="00FA14F6">
      <w:pPr>
        <w:pStyle w:val="Spisilustracji"/>
        <w:tabs>
          <w:tab w:val="right" w:leader="dot" w:pos="9060"/>
        </w:tabs>
        <w:rPr>
          <w:rFonts w:eastAsiaTheme="minorEastAsia" w:cstheme="minorBidi"/>
          <w:noProof/>
          <w:szCs w:val="20"/>
        </w:rPr>
      </w:pPr>
      <w:hyperlink w:anchor="_Toc8824205" w:history="1">
        <w:r w:rsidR="00233296" w:rsidRPr="00233296">
          <w:rPr>
            <w:rStyle w:val="Hipercze"/>
            <w:noProof/>
            <w:szCs w:val="20"/>
          </w:rPr>
          <w:t>Tabela 94 Bezrobotni bez kwalifikacji i doświadczenia zawodowego w województwach i w porównaniu do Polski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_Toc8824205 \h </w:instrText>
        </w:r>
        <w:r w:rsidR="00233296" w:rsidRPr="00233296">
          <w:rPr>
            <w:noProof/>
            <w:webHidden/>
            <w:szCs w:val="20"/>
          </w:rPr>
        </w:r>
        <w:r w:rsidR="00233296" w:rsidRPr="00233296">
          <w:rPr>
            <w:noProof/>
            <w:webHidden/>
            <w:szCs w:val="20"/>
          </w:rPr>
          <w:fldChar w:fldCharType="separate"/>
        </w:r>
        <w:r w:rsidR="00E667FD">
          <w:rPr>
            <w:noProof/>
            <w:webHidden/>
            <w:szCs w:val="20"/>
          </w:rPr>
          <w:t>196</w:t>
        </w:r>
        <w:r w:rsidR="00233296" w:rsidRPr="00233296">
          <w:rPr>
            <w:noProof/>
            <w:webHidden/>
            <w:szCs w:val="20"/>
          </w:rPr>
          <w:fldChar w:fldCharType="end"/>
        </w:r>
      </w:hyperlink>
    </w:p>
    <w:p w14:paraId="3F1246F4" w14:textId="77777777" w:rsidR="00233296" w:rsidRPr="00233296" w:rsidRDefault="00FA14F6">
      <w:pPr>
        <w:pStyle w:val="Spisilustracji"/>
        <w:tabs>
          <w:tab w:val="right" w:leader="dot" w:pos="9060"/>
        </w:tabs>
        <w:rPr>
          <w:rFonts w:eastAsiaTheme="minorEastAsia" w:cstheme="minorBidi"/>
          <w:noProof/>
          <w:szCs w:val="20"/>
        </w:rPr>
      </w:pPr>
      <w:hyperlink w:anchor="_Toc8824206" w:history="1">
        <w:r w:rsidR="00233296" w:rsidRPr="00233296">
          <w:rPr>
            <w:rStyle w:val="Hipercze"/>
            <w:noProof/>
            <w:szCs w:val="20"/>
          </w:rPr>
          <w:t>Tabela 95 Zwolnieni z przyczyn dot. zakładu pracy w poszczególnych województwach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_Toc8824206 \h </w:instrText>
        </w:r>
        <w:r w:rsidR="00233296" w:rsidRPr="00233296">
          <w:rPr>
            <w:noProof/>
            <w:webHidden/>
            <w:szCs w:val="20"/>
          </w:rPr>
        </w:r>
        <w:r w:rsidR="00233296" w:rsidRPr="00233296">
          <w:rPr>
            <w:noProof/>
            <w:webHidden/>
            <w:szCs w:val="20"/>
          </w:rPr>
          <w:fldChar w:fldCharType="separate"/>
        </w:r>
        <w:r w:rsidR="00E667FD">
          <w:rPr>
            <w:noProof/>
            <w:webHidden/>
            <w:szCs w:val="20"/>
          </w:rPr>
          <w:t>196</w:t>
        </w:r>
        <w:r w:rsidR="00233296" w:rsidRPr="00233296">
          <w:rPr>
            <w:noProof/>
            <w:webHidden/>
            <w:szCs w:val="20"/>
          </w:rPr>
          <w:fldChar w:fldCharType="end"/>
        </w:r>
      </w:hyperlink>
    </w:p>
    <w:p w14:paraId="3B38D269" w14:textId="77777777" w:rsidR="00233296" w:rsidRPr="00233296" w:rsidRDefault="00FA14F6">
      <w:pPr>
        <w:pStyle w:val="Spisilustracji"/>
        <w:tabs>
          <w:tab w:val="right" w:leader="dot" w:pos="9060"/>
        </w:tabs>
        <w:rPr>
          <w:rFonts w:eastAsiaTheme="minorEastAsia" w:cstheme="minorBidi"/>
          <w:noProof/>
          <w:szCs w:val="20"/>
        </w:rPr>
      </w:pPr>
      <w:hyperlink w:anchor="_Toc8824207" w:history="1">
        <w:r w:rsidR="00233296" w:rsidRPr="00233296">
          <w:rPr>
            <w:rStyle w:val="Hipercze"/>
            <w:noProof/>
            <w:szCs w:val="20"/>
          </w:rPr>
          <w:t>Tabela 96 Odsetek niewykorzystania wolnych miejsc pracy w województwie zachodniopomorskim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_Toc8824207 \h </w:instrText>
        </w:r>
        <w:r w:rsidR="00233296" w:rsidRPr="00233296">
          <w:rPr>
            <w:noProof/>
            <w:webHidden/>
            <w:szCs w:val="20"/>
          </w:rPr>
        </w:r>
        <w:r w:rsidR="00233296" w:rsidRPr="00233296">
          <w:rPr>
            <w:noProof/>
            <w:webHidden/>
            <w:szCs w:val="20"/>
          </w:rPr>
          <w:fldChar w:fldCharType="separate"/>
        </w:r>
        <w:r w:rsidR="00E667FD">
          <w:rPr>
            <w:noProof/>
            <w:webHidden/>
            <w:szCs w:val="20"/>
          </w:rPr>
          <w:t>197</w:t>
        </w:r>
        <w:r w:rsidR="00233296" w:rsidRPr="00233296">
          <w:rPr>
            <w:noProof/>
            <w:webHidden/>
            <w:szCs w:val="20"/>
          </w:rPr>
          <w:fldChar w:fldCharType="end"/>
        </w:r>
      </w:hyperlink>
    </w:p>
    <w:p w14:paraId="0DECE2D6" w14:textId="77777777" w:rsidR="00233296" w:rsidRPr="00233296" w:rsidRDefault="00FA14F6">
      <w:pPr>
        <w:pStyle w:val="Spisilustracji"/>
        <w:tabs>
          <w:tab w:val="right" w:leader="dot" w:pos="9060"/>
        </w:tabs>
        <w:rPr>
          <w:rFonts w:eastAsiaTheme="minorEastAsia" w:cstheme="minorBidi"/>
          <w:noProof/>
          <w:szCs w:val="20"/>
        </w:rPr>
      </w:pPr>
      <w:hyperlink w:anchor="_Toc8824208" w:history="1">
        <w:r w:rsidR="00233296" w:rsidRPr="00233296">
          <w:rPr>
            <w:rStyle w:val="Hipercze"/>
            <w:noProof/>
            <w:szCs w:val="20"/>
          </w:rPr>
          <w:t>Tabela 97 Struktura zatrudnienia rolnictwo/ przemysł/ usługi w województwie zachodniopomorskim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_Toc8824208 \h </w:instrText>
        </w:r>
        <w:r w:rsidR="00233296" w:rsidRPr="00233296">
          <w:rPr>
            <w:noProof/>
            <w:webHidden/>
            <w:szCs w:val="20"/>
          </w:rPr>
        </w:r>
        <w:r w:rsidR="00233296" w:rsidRPr="00233296">
          <w:rPr>
            <w:noProof/>
            <w:webHidden/>
            <w:szCs w:val="20"/>
          </w:rPr>
          <w:fldChar w:fldCharType="separate"/>
        </w:r>
        <w:r w:rsidR="00E667FD">
          <w:rPr>
            <w:noProof/>
            <w:webHidden/>
            <w:szCs w:val="20"/>
          </w:rPr>
          <w:t>198</w:t>
        </w:r>
        <w:r w:rsidR="00233296" w:rsidRPr="00233296">
          <w:rPr>
            <w:noProof/>
            <w:webHidden/>
            <w:szCs w:val="20"/>
          </w:rPr>
          <w:fldChar w:fldCharType="end"/>
        </w:r>
      </w:hyperlink>
    </w:p>
    <w:p w14:paraId="53C6D34E" w14:textId="77777777" w:rsidR="00233296" w:rsidRPr="00233296" w:rsidRDefault="00FA14F6">
      <w:pPr>
        <w:pStyle w:val="Spisilustracji"/>
        <w:tabs>
          <w:tab w:val="right" w:leader="dot" w:pos="9060"/>
        </w:tabs>
        <w:rPr>
          <w:rFonts w:eastAsiaTheme="minorEastAsia" w:cstheme="minorBidi"/>
          <w:noProof/>
          <w:szCs w:val="20"/>
        </w:rPr>
      </w:pPr>
      <w:hyperlink w:anchor="_Toc8824209" w:history="1">
        <w:r w:rsidR="00233296" w:rsidRPr="00233296">
          <w:rPr>
            <w:rStyle w:val="Hipercze"/>
            <w:noProof/>
            <w:szCs w:val="20"/>
          </w:rPr>
          <w:t>Tabela 98 Przeciętna liczba zatrudnionych w mikroprzedsiębiorstwach na podstawie umowy o pracę</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_Toc8824209 \h </w:instrText>
        </w:r>
        <w:r w:rsidR="00233296" w:rsidRPr="00233296">
          <w:rPr>
            <w:noProof/>
            <w:webHidden/>
            <w:szCs w:val="20"/>
          </w:rPr>
        </w:r>
        <w:r w:rsidR="00233296" w:rsidRPr="00233296">
          <w:rPr>
            <w:noProof/>
            <w:webHidden/>
            <w:szCs w:val="20"/>
          </w:rPr>
          <w:fldChar w:fldCharType="separate"/>
        </w:r>
        <w:r w:rsidR="00E667FD">
          <w:rPr>
            <w:noProof/>
            <w:webHidden/>
            <w:szCs w:val="20"/>
          </w:rPr>
          <w:t>198</w:t>
        </w:r>
        <w:r w:rsidR="00233296" w:rsidRPr="00233296">
          <w:rPr>
            <w:noProof/>
            <w:webHidden/>
            <w:szCs w:val="20"/>
          </w:rPr>
          <w:fldChar w:fldCharType="end"/>
        </w:r>
      </w:hyperlink>
    </w:p>
    <w:p w14:paraId="0DA52D95" w14:textId="77777777" w:rsidR="00233296" w:rsidRPr="00233296" w:rsidRDefault="00FA14F6">
      <w:pPr>
        <w:pStyle w:val="Spisilustracji"/>
        <w:tabs>
          <w:tab w:val="right" w:leader="dot" w:pos="9060"/>
        </w:tabs>
        <w:rPr>
          <w:rFonts w:eastAsiaTheme="minorEastAsia" w:cstheme="minorBidi"/>
          <w:noProof/>
          <w:szCs w:val="20"/>
        </w:rPr>
      </w:pPr>
      <w:hyperlink w:anchor="_Toc8824210" w:history="1">
        <w:r w:rsidR="00233296" w:rsidRPr="00233296">
          <w:rPr>
            <w:rStyle w:val="Hipercze"/>
            <w:noProof/>
            <w:szCs w:val="20"/>
          </w:rPr>
          <w:t>Tabela 99 Liczba nowo powstałych miejsc pracy; Polska i województwa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_Toc8824210 \h </w:instrText>
        </w:r>
        <w:r w:rsidR="00233296" w:rsidRPr="00233296">
          <w:rPr>
            <w:noProof/>
            <w:webHidden/>
            <w:szCs w:val="20"/>
          </w:rPr>
        </w:r>
        <w:r w:rsidR="00233296" w:rsidRPr="00233296">
          <w:rPr>
            <w:noProof/>
            <w:webHidden/>
            <w:szCs w:val="20"/>
          </w:rPr>
          <w:fldChar w:fldCharType="separate"/>
        </w:r>
        <w:r w:rsidR="00E667FD">
          <w:rPr>
            <w:noProof/>
            <w:webHidden/>
            <w:szCs w:val="20"/>
          </w:rPr>
          <w:t>198</w:t>
        </w:r>
        <w:r w:rsidR="00233296" w:rsidRPr="00233296">
          <w:rPr>
            <w:noProof/>
            <w:webHidden/>
            <w:szCs w:val="20"/>
          </w:rPr>
          <w:fldChar w:fldCharType="end"/>
        </w:r>
      </w:hyperlink>
    </w:p>
    <w:p w14:paraId="14D2633B" w14:textId="77777777" w:rsidR="00233296" w:rsidRPr="00233296" w:rsidRDefault="00FA14F6">
      <w:pPr>
        <w:pStyle w:val="Spisilustracji"/>
        <w:tabs>
          <w:tab w:val="right" w:leader="dot" w:pos="9060"/>
        </w:tabs>
        <w:rPr>
          <w:rFonts w:eastAsiaTheme="minorEastAsia" w:cstheme="minorBidi"/>
          <w:noProof/>
          <w:szCs w:val="20"/>
        </w:rPr>
      </w:pPr>
      <w:hyperlink w:anchor="_Toc8824211" w:history="1">
        <w:r w:rsidR="00233296" w:rsidRPr="00233296">
          <w:rPr>
            <w:rStyle w:val="Hipercze"/>
            <w:noProof/>
            <w:szCs w:val="20"/>
          </w:rPr>
          <w:t>Tabela 100 Liczba dzieci do lat 3 na jedno miejsce w żłobku, klubie dziecięcym i u dziennego opiekuna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_Toc8824211 \h </w:instrText>
        </w:r>
        <w:r w:rsidR="00233296" w:rsidRPr="00233296">
          <w:rPr>
            <w:noProof/>
            <w:webHidden/>
            <w:szCs w:val="20"/>
          </w:rPr>
        </w:r>
        <w:r w:rsidR="00233296" w:rsidRPr="00233296">
          <w:rPr>
            <w:noProof/>
            <w:webHidden/>
            <w:szCs w:val="20"/>
          </w:rPr>
          <w:fldChar w:fldCharType="separate"/>
        </w:r>
        <w:r w:rsidR="00E667FD">
          <w:rPr>
            <w:noProof/>
            <w:webHidden/>
            <w:szCs w:val="20"/>
          </w:rPr>
          <w:t>199</w:t>
        </w:r>
        <w:r w:rsidR="00233296" w:rsidRPr="00233296">
          <w:rPr>
            <w:noProof/>
            <w:webHidden/>
            <w:szCs w:val="20"/>
          </w:rPr>
          <w:fldChar w:fldCharType="end"/>
        </w:r>
      </w:hyperlink>
    </w:p>
    <w:p w14:paraId="66358774" w14:textId="77777777" w:rsidR="00233296" w:rsidRPr="00233296" w:rsidRDefault="00FA14F6">
      <w:pPr>
        <w:pStyle w:val="Spisilustracji"/>
        <w:tabs>
          <w:tab w:val="right" w:leader="dot" w:pos="9060"/>
        </w:tabs>
        <w:rPr>
          <w:rFonts w:eastAsiaTheme="minorEastAsia" w:cstheme="minorBidi"/>
          <w:noProof/>
          <w:szCs w:val="20"/>
        </w:rPr>
      </w:pPr>
      <w:hyperlink w:anchor="_Toc8824212" w:history="1">
        <w:r w:rsidR="00233296" w:rsidRPr="00233296">
          <w:rPr>
            <w:rStyle w:val="Hipercze"/>
            <w:noProof/>
            <w:szCs w:val="20"/>
          </w:rPr>
          <w:t>Tabela 101 Dzieci w żłobkach i klubach dziecięcych na 1000 dzieci w wieku do lat 3; Polska i województwa (31.XII)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_Toc8824212 \h </w:instrText>
        </w:r>
        <w:r w:rsidR="00233296" w:rsidRPr="00233296">
          <w:rPr>
            <w:noProof/>
            <w:webHidden/>
            <w:szCs w:val="20"/>
          </w:rPr>
        </w:r>
        <w:r w:rsidR="00233296" w:rsidRPr="00233296">
          <w:rPr>
            <w:noProof/>
            <w:webHidden/>
            <w:szCs w:val="20"/>
          </w:rPr>
          <w:fldChar w:fldCharType="separate"/>
        </w:r>
        <w:r w:rsidR="00E667FD">
          <w:rPr>
            <w:noProof/>
            <w:webHidden/>
            <w:szCs w:val="20"/>
          </w:rPr>
          <w:t>200</w:t>
        </w:r>
        <w:r w:rsidR="00233296" w:rsidRPr="00233296">
          <w:rPr>
            <w:noProof/>
            <w:webHidden/>
            <w:szCs w:val="20"/>
          </w:rPr>
          <w:fldChar w:fldCharType="end"/>
        </w:r>
      </w:hyperlink>
    </w:p>
    <w:p w14:paraId="2E9A4FBF" w14:textId="77777777" w:rsidR="00233296" w:rsidRPr="00233296" w:rsidRDefault="00FA14F6">
      <w:pPr>
        <w:pStyle w:val="Spisilustracji"/>
        <w:tabs>
          <w:tab w:val="right" w:leader="dot" w:pos="9060"/>
        </w:tabs>
        <w:rPr>
          <w:rFonts w:eastAsiaTheme="minorEastAsia" w:cstheme="minorBidi"/>
          <w:noProof/>
          <w:szCs w:val="20"/>
        </w:rPr>
      </w:pPr>
      <w:hyperlink w:anchor="_Toc8824213" w:history="1">
        <w:r w:rsidR="00233296" w:rsidRPr="00233296">
          <w:rPr>
            <w:rStyle w:val="Hipercze"/>
            <w:noProof/>
            <w:szCs w:val="20"/>
          </w:rPr>
          <w:t>Tabela 102 Współczynnik aktywności zawodowej według płci; Polska i województwa (dane za IV kwartał)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_Toc8824213 \h </w:instrText>
        </w:r>
        <w:r w:rsidR="00233296" w:rsidRPr="00233296">
          <w:rPr>
            <w:noProof/>
            <w:webHidden/>
            <w:szCs w:val="20"/>
          </w:rPr>
        </w:r>
        <w:r w:rsidR="00233296" w:rsidRPr="00233296">
          <w:rPr>
            <w:noProof/>
            <w:webHidden/>
            <w:szCs w:val="20"/>
          </w:rPr>
          <w:fldChar w:fldCharType="separate"/>
        </w:r>
        <w:r w:rsidR="00E667FD">
          <w:rPr>
            <w:noProof/>
            <w:webHidden/>
            <w:szCs w:val="20"/>
          </w:rPr>
          <w:t>201</w:t>
        </w:r>
        <w:r w:rsidR="00233296" w:rsidRPr="00233296">
          <w:rPr>
            <w:noProof/>
            <w:webHidden/>
            <w:szCs w:val="20"/>
          </w:rPr>
          <w:fldChar w:fldCharType="end"/>
        </w:r>
      </w:hyperlink>
    </w:p>
    <w:p w14:paraId="70F22DB9" w14:textId="77777777" w:rsidR="00233296" w:rsidRPr="00233296" w:rsidRDefault="00FA14F6">
      <w:pPr>
        <w:pStyle w:val="Spisilustracji"/>
        <w:tabs>
          <w:tab w:val="right" w:leader="dot" w:pos="9060"/>
        </w:tabs>
        <w:rPr>
          <w:rFonts w:eastAsiaTheme="minorEastAsia" w:cstheme="minorBidi"/>
          <w:noProof/>
          <w:szCs w:val="20"/>
        </w:rPr>
      </w:pPr>
      <w:hyperlink w:anchor="_Toc8824214" w:history="1">
        <w:r w:rsidR="00233296" w:rsidRPr="00233296">
          <w:rPr>
            <w:rStyle w:val="Hipercze"/>
            <w:noProof/>
            <w:szCs w:val="20"/>
          </w:rPr>
          <w:t>Tabela 103 Wskaźnik zatrudnienia według płci; Polska i województwa (dane za IV kwartał)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_Toc8824214 \h </w:instrText>
        </w:r>
        <w:r w:rsidR="00233296" w:rsidRPr="00233296">
          <w:rPr>
            <w:noProof/>
            <w:webHidden/>
            <w:szCs w:val="20"/>
          </w:rPr>
        </w:r>
        <w:r w:rsidR="00233296" w:rsidRPr="00233296">
          <w:rPr>
            <w:noProof/>
            <w:webHidden/>
            <w:szCs w:val="20"/>
          </w:rPr>
          <w:fldChar w:fldCharType="separate"/>
        </w:r>
        <w:r w:rsidR="00E667FD">
          <w:rPr>
            <w:noProof/>
            <w:webHidden/>
            <w:szCs w:val="20"/>
          </w:rPr>
          <w:t>201</w:t>
        </w:r>
        <w:r w:rsidR="00233296" w:rsidRPr="00233296">
          <w:rPr>
            <w:noProof/>
            <w:webHidden/>
            <w:szCs w:val="20"/>
          </w:rPr>
          <w:fldChar w:fldCharType="end"/>
        </w:r>
      </w:hyperlink>
    </w:p>
    <w:p w14:paraId="15D0FC29" w14:textId="77777777" w:rsidR="00233296" w:rsidRPr="00233296" w:rsidRDefault="00FA14F6">
      <w:pPr>
        <w:pStyle w:val="Spisilustracji"/>
        <w:tabs>
          <w:tab w:val="right" w:leader="dot" w:pos="9060"/>
        </w:tabs>
        <w:rPr>
          <w:rFonts w:eastAsiaTheme="minorEastAsia" w:cstheme="minorBidi"/>
          <w:noProof/>
          <w:szCs w:val="20"/>
        </w:rPr>
      </w:pPr>
      <w:hyperlink w:anchor="_Toc8824215" w:history="1">
        <w:r w:rsidR="00233296" w:rsidRPr="00233296">
          <w:rPr>
            <w:rStyle w:val="Hipercze"/>
            <w:noProof/>
            <w:szCs w:val="20"/>
          </w:rPr>
          <w:t>Tabela 104 Udział ludności wg ekonomicznych grup wieku w % ludności ogółem; Polska i województwa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_Toc8824215 \h </w:instrText>
        </w:r>
        <w:r w:rsidR="00233296" w:rsidRPr="00233296">
          <w:rPr>
            <w:noProof/>
            <w:webHidden/>
            <w:szCs w:val="20"/>
          </w:rPr>
        </w:r>
        <w:r w:rsidR="00233296" w:rsidRPr="00233296">
          <w:rPr>
            <w:noProof/>
            <w:webHidden/>
            <w:szCs w:val="20"/>
          </w:rPr>
          <w:fldChar w:fldCharType="separate"/>
        </w:r>
        <w:r w:rsidR="00E667FD">
          <w:rPr>
            <w:noProof/>
            <w:webHidden/>
            <w:szCs w:val="20"/>
          </w:rPr>
          <w:t>202</w:t>
        </w:r>
        <w:r w:rsidR="00233296" w:rsidRPr="00233296">
          <w:rPr>
            <w:noProof/>
            <w:webHidden/>
            <w:szCs w:val="20"/>
          </w:rPr>
          <w:fldChar w:fldCharType="end"/>
        </w:r>
      </w:hyperlink>
    </w:p>
    <w:p w14:paraId="0D665E61" w14:textId="77777777" w:rsidR="00233296" w:rsidRPr="00233296" w:rsidRDefault="00FA14F6">
      <w:pPr>
        <w:pStyle w:val="Spisilustracji"/>
        <w:tabs>
          <w:tab w:val="right" w:leader="dot" w:pos="9060"/>
        </w:tabs>
        <w:rPr>
          <w:rFonts w:eastAsiaTheme="minorEastAsia" w:cstheme="minorBidi"/>
          <w:noProof/>
          <w:szCs w:val="20"/>
        </w:rPr>
      </w:pPr>
      <w:hyperlink w:anchor="_Toc8824216" w:history="1">
        <w:r w:rsidR="00233296" w:rsidRPr="00233296">
          <w:rPr>
            <w:rStyle w:val="Hipercze"/>
            <w:noProof/>
            <w:szCs w:val="20"/>
          </w:rPr>
          <w:t>Tabela 105 Odsetek osób biernych zawodowo z powodu choroby lub niepełnosprawności; Polska i województwo zachodniopomorskie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_Toc8824216 \h </w:instrText>
        </w:r>
        <w:r w:rsidR="00233296" w:rsidRPr="00233296">
          <w:rPr>
            <w:noProof/>
            <w:webHidden/>
            <w:szCs w:val="20"/>
          </w:rPr>
        </w:r>
        <w:r w:rsidR="00233296" w:rsidRPr="00233296">
          <w:rPr>
            <w:noProof/>
            <w:webHidden/>
            <w:szCs w:val="20"/>
          </w:rPr>
          <w:fldChar w:fldCharType="separate"/>
        </w:r>
        <w:r w:rsidR="00E667FD">
          <w:rPr>
            <w:noProof/>
            <w:webHidden/>
            <w:szCs w:val="20"/>
          </w:rPr>
          <w:t>204</w:t>
        </w:r>
        <w:r w:rsidR="00233296" w:rsidRPr="00233296">
          <w:rPr>
            <w:noProof/>
            <w:webHidden/>
            <w:szCs w:val="20"/>
          </w:rPr>
          <w:fldChar w:fldCharType="end"/>
        </w:r>
      </w:hyperlink>
    </w:p>
    <w:p w14:paraId="2B3F6C88" w14:textId="77777777" w:rsidR="00233296" w:rsidRPr="00233296" w:rsidRDefault="00FA14F6">
      <w:pPr>
        <w:pStyle w:val="Spisilustracji"/>
        <w:tabs>
          <w:tab w:val="right" w:leader="dot" w:pos="9060"/>
        </w:tabs>
        <w:rPr>
          <w:rFonts w:eastAsiaTheme="minorEastAsia" w:cstheme="minorBidi"/>
          <w:noProof/>
          <w:szCs w:val="20"/>
        </w:rPr>
      </w:pPr>
      <w:hyperlink w:anchor="_Toc8824217" w:history="1">
        <w:r w:rsidR="00233296" w:rsidRPr="00233296">
          <w:rPr>
            <w:rStyle w:val="Hipercze"/>
            <w:noProof/>
            <w:szCs w:val="20"/>
          </w:rPr>
          <w:t>Tabela 106 Zgony z powodu chorób układu krążenia oraz z powodu nowotworów złośliwych na 100 tys. ludności; Polska i województwo zachodniopomorskie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_Toc8824217 \h </w:instrText>
        </w:r>
        <w:r w:rsidR="00233296" w:rsidRPr="00233296">
          <w:rPr>
            <w:noProof/>
            <w:webHidden/>
            <w:szCs w:val="20"/>
          </w:rPr>
        </w:r>
        <w:r w:rsidR="00233296" w:rsidRPr="00233296">
          <w:rPr>
            <w:noProof/>
            <w:webHidden/>
            <w:szCs w:val="20"/>
          </w:rPr>
          <w:fldChar w:fldCharType="separate"/>
        </w:r>
        <w:r w:rsidR="00E667FD">
          <w:rPr>
            <w:noProof/>
            <w:webHidden/>
            <w:szCs w:val="20"/>
          </w:rPr>
          <w:t>204</w:t>
        </w:r>
        <w:r w:rsidR="00233296" w:rsidRPr="00233296">
          <w:rPr>
            <w:noProof/>
            <w:webHidden/>
            <w:szCs w:val="20"/>
          </w:rPr>
          <w:fldChar w:fldCharType="end"/>
        </w:r>
      </w:hyperlink>
    </w:p>
    <w:p w14:paraId="3B336736" w14:textId="77777777" w:rsidR="00233296" w:rsidRPr="00233296" w:rsidRDefault="00FA14F6">
      <w:pPr>
        <w:pStyle w:val="Spisilustracji"/>
        <w:tabs>
          <w:tab w:val="right" w:leader="dot" w:pos="9060"/>
        </w:tabs>
        <w:rPr>
          <w:rFonts w:eastAsiaTheme="minorEastAsia" w:cstheme="minorBidi"/>
          <w:noProof/>
          <w:szCs w:val="20"/>
        </w:rPr>
      </w:pPr>
      <w:hyperlink w:anchor="_Toc8824218" w:history="1">
        <w:r w:rsidR="00233296" w:rsidRPr="00233296">
          <w:rPr>
            <w:rStyle w:val="Hipercze"/>
            <w:noProof/>
            <w:szCs w:val="20"/>
          </w:rPr>
          <w:t>Tabela 107 Wskaźniki wybrane do Ram Wykonania – stopień osiągnięcia wartości pośrednich i docelowych – OP VI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_Toc8824218 \h </w:instrText>
        </w:r>
        <w:r w:rsidR="00233296" w:rsidRPr="00233296">
          <w:rPr>
            <w:noProof/>
            <w:webHidden/>
            <w:szCs w:val="20"/>
          </w:rPr>
        </w:r>
        <w:r w:rsidR="00233296" w:rsidRPr="00233296">
          <w:rPr>
            <w:noProof/>
            <w:webHidden/>
            <w:szCs w:val="20"/>
          </w:rPr>
          <w:fldChar w:fldCharType="separate"/>
        </w:r>
        <w:r w:rsidR="00E667FD">
          <w:rPr>
            <w:noProof/>
            <w:webHidden/>
            <w:szCs w:val="20"/>
          </w:rPr>
          <w:t>204</w:t>
        </w:r>
        <w:r w:rsidR="00233296" w:rsidRPr="00233296">
          <w:rPr>
            <w:noProof/>
            <w:webHidden/>
            <w:szCs w:val="20"/>
          </w:rPr>
          <w:fldChar w:fldCharType="end"/>
        </w:r>
      </w:hyperlink>
    </w:p>
    <w:p w14:paraId="3E0B593C" w14:textId="77777777" w:rsidR="00233296" w:rsidRPr="00233296" w:rsidRDefault="00FA14F6">
      <w:pPr>
        <w:pStyle w:val="Spisilustracji"/>
        <w:tabs>
          <w:tab w:val="right" w:leader="dot" w:pos="9060"/>
        </w:tabs>
        <w:rPr>
          <w:rFonts w:eastAsiaTheme="minorEastAsia" w:cstheme="minorBidi"/>
          <w:noProof/>
          <w:szCs w:val="20"/>
        </w:rPr>
      </w:pPr>
      <w:hyperlink w:anchor="_Toc8824219" w:history="1">
        <w:r w:rsidR="00233296" w:rsidRPr="00233296">
          <w:rPr>
            <w:rStyle w:val="Hipercze"/>
            <w:noProof/>
            <w:szCs w:val="20"/>
          </w:rPr>
          <w:t>Tabela 108 Przeciętne wynagrodzenie w gospodarce narodowej; Polska i województwo zachodniopomorskie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_Toc8824219 \h </w:instrText>
        </w:r>
        <w:r w:rsidR="00233296" w:rsidRPr="00233296">
          <w:rPr>
            <w:noProof/>
            <w:webHidden/>
            <w:szCs w:val="20"/>
          </w:rPr>
        </w:r>
        <w:r w:rsidR="00233296" w:rsidRPr="00233296">
          <w:rPr>
            <w:noProof/>
            <w:webHidden/>
            <w:szCs w:val="20"/>
          </w:rPr>
          <w:fldChar w:fldCharType="separate"/>
        </w:r>
        <w:r w:rsidR="00E667FD">
          <w:rPr>
            <w:noProof/>
            <w:webHidden/>
            <w:szCs w:val="20"/>
          </w:rPr>
          <w:t>210</w:t>
        </w:r>
        <w:r w:rsidR="00233296" w:rsidRPr="00233296">
          <w:rPr>
            <w:noProof/>
            <w:webHidden/>
            <w:szCs w:val="20"/>
          </w:rPr>
          <w:fldChar w:fldCharType="end"/>
        </w:r>
      </w:hyperlink>
    </w:p>
    <w:p w14:paraId="546B2BBC" w14:textId="77777777" w:rsidR="00233296" w:rsidRPr="00233296" w:rsidRDefault="00FA14F6">
      <w:pPr>
        <w:pStyle w:val="Spisilustracji"/>
        <w:tabs>
          <w:tab w:val="right" w:leader="dot" w:pos="9060"/>
        </w:tabs>
        <w:rPr>
          <w:rFonts w:eastAsiaTheme="minorEastAsia" w:cstheme="minorBidi"/>
          <w:noProof/>
          <w:szCs w:val="20"/>
        </w:rPr>
      </w:pPr>
      <w:hyperlink w:anchor="_Toc8824220" w:history="1">
        <w:r w:rsidR="00233296" w:rsidRPr="00233296">
          <w:rPr>
            <w:rStyle w:val="Hipercze"/>
            <w:noProof/>
            <w:szCs w:val="20"/>
          </w:rPr>
          <w:t>Tabela 109 Wskaźniki produktu i rezultatu (PI 8v)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_Toc8824220 \h </w:instrText>
        </w:r>
        <w:r w:rsidR="00233296" w:rsidRPr="00233296">
          <w:rPr>
            <w:noProof/>
            <w:webHidden/>
            <w:szCs w:val="20"/>
          </w:rPr>
        </w:r>
        <w:r w:rsidR="00233296" w:rsidRPr="00233296">
          <w:rPr>
            <w:noProof/>
            <w:webHidden/>
            <w:szCs w:val="20"/>
          </w:rPr>
          <w:fldChar w:fldCharType="separate"/>
        </w:r>
        <w:r w:rsidR="00E667FD">
          <w:rPr>
            <w:noProof/>
            <w:webHidden/>
            <w:szCs w:val="20"/>
          </w:rPr>
          <w:t>212</w:t>
        </w:r>
        <w:r w:rsidR="00233296" w:rsidRPr="00233296">
          <w:rPr>
            <w:noProof/>
            <w:webHidden/>
            <w:szCs w:val="20"/>
          </w:rPr>
          <w:fldChar w:fldCharType="end"/>
        </w:r>
      </w:hyperlink>
    </w:p>
    <w:p w14:paraId="2E79BC71" w14:textId="77777777" w:rsidR="00233296" w:rsidRPr="00233296" w:rsidRDefault="00FA14F6">
      <w:pPr>
        <w:pStyle w:val="Spisilustracji"/>
        <w:tabs>
          <w:tab w:val="right" w:leader="dot" w:pos="9060"/>
        </w:tabs>
        <w:rPr>
          <w:rFonts w:eastAsiaTheme="minorEastAsia" w:cstheme="minorBidi"/>
          <w:noProof/>
          <w:szCs w:val="20"/>
        </w:rPr>
      </w:pPr>
      <w:hyperlink w:anchor="_Toc8824221" w:history="1">
        <w:r w:rsidR="00233296" w:rsidRPr="00233296">
          <w:rPr>
            <w:rStyle w:val="Hipercze"/>
            <w:noProof/>
            <w:szCs w:val="20"/>
          </w:rPr>
          <w:t>Tabela 110 Prognozowany poziom realizacji wskaźników produktu i rezultatu bezpośredniego na rok 2023 – PI 8v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_Toc8824221 \h </w:instrText>
        </w:r>
        <w:r w:rsidR="00233296" w:rsidRPr="00233296">
          <w:rPr>
            <w:noProof/>
            <w:webHidden/>
            <w:szCs w:val="20"/>
          </w:rPr>
        </w:r>
        <w:r w:rsidR="00233296" w:rsidRPr="00233296">
          <w:rPr>
            <w:noProof/>
            <w:webHidden/>
            <w:szCs w:val="20"/>
          </w:rPr>
          <w:fldChar w:fldCharType="separate"/>
        </w:r>
        <w:r w:rsidR="00E667FD">
          <w:rPr>
            <w:noProof/>
            <w:webHidden/>
            <w:szCs w:val="20"/>
          </w:rPr>
          <w:t>216</w:t>
        </w:r>
        <w:r w:rsidR="00233296" w:rsidRPr="00233296">
          <w:rPr>
            <w:noProof/>
            <w:webHidden/>
            <w:szCs w:val="20"/>
          </w:rPr>
          <w:fldChar w:fldCharType="end"/>
        </w:r>
      </w:hyperlink>
    </w:p>
    <w:p w14:paraId="0F3EF92B" w14:textId="77777777" w:rsidR="00233296" w:rsidRPr="00233296" w:rsidRDefault="00FA14F6">
      <w:pPr>
        <w:pStyle w:val="Spisilustracji"/>
        <w:tabs>
          <w:tab w:val="right" w:leader="dot" w:pos="9060"/>
        </w:tabs>
        <w:rPr>
          <w:rFonts w:eastAsiaTheme="minorEastAsia" w:cstheme="minorBidi"/>
          <w:noProof/>
          <w:szCs w:val="20"/>
        </w:rPr>
      </w:pPr>
      <w:hyperlink w:anchor="_Toc8824222" w:history="1">
        <w:r w:rsidR="00233296" w:rsidRPr="00233296">
          <w:rPr>
            <w:rStyle w:val="Hipercze"/>
            <w:noProof/>
            <w:szCs w:val="20"/>
          </w:rPr>
          <w:t>Tabela 111 Wskaźniki produktu i rezultatu (PI 8iii)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_Toc8824222 \h </w:instrText>
        </w:r>
        <w:r w:rsidR="00233296" w:rsidRPr="00233296">
          <w:rPr>
            <w:noProof/>
            <w:webHidden/>
            <w:szCs w:val="20"/>
          </w:rPr>
        </w:r>
        <w:r w:rsidR="00233296" w:rsidRPr="00233296">
          <w:rPr>
            <w:noProof/>
            <w:webHidden/>
            <w:szCs w:val="20"/>
          </w:rPr>
          <w:fldChar w:fldCharType="separate"/>
        </w:r>
        <w:r w:rsidR="00E667FD">
          <w:rPr>
            <w:noProof/>
            <w:webHidden/>
            <w:szCs w:val="20"/>
          </w:rPr>
          <w:t>217</w:t>
        </w:r>
        <w:r w:rsidR="00233296" w:rsidRPr="00233296">
          <w:rPr>
            <w:noProof/>
            <w:webHidden/>
            <w:szCs w:val="20"/>
          </w:rPr>
          <w:fldChar w:fldCharType="end"/>
        </w:r>
      </w:hyperlink>
    </w:p>
    <w:p w14:paraId="7DE9B059" w14:textId="77777777" w:rsidR="00233296" w:rsidRPr="00233296" w:rsidRDefault="00FA14F6">
      <w:pPr>
        <w:pStyle w:val="Spisilustracji"/>
        <w:tabs>
          <w:tab w:val="right" w:leader="dot" w:pos="9060"/>
        </w:tabs>
        <w:rPr>
          <w:rFonts w:eastAsiaTheme="minorEastAsia" w:cstheme="minorBidi"/>
          <w:noProof/>
          <w:szCs w:val="20"/>
        </w:rPr>
      </w:pPr>
      <w:hyperlink w:anchor="_Toc8824223" w:history="1">
        <w:r w:rsidR="00233296" w:rsidRPr="00233296">
          <w:rPr>
            <w:rStyle w:val="Hipercze"/>
            <w:noProof/>
            <w:szCs w:val="20"/>
          </w:rPr>
          <w:t>Tabela 112 Prognozowany poziom realizacji wskaźników produktu i rezultatu bezpośredniego na rok 2023 – PI 8iii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_Toc8824223 \h </w:instrText>
        </w:r>
        <w:r w:rsidR="00233296" w:rsidRPr="00233296">
          <w:rPr>
            <w:noProof/>
            <w:webHidden/>
            <w:szCs w:val="20"/>
          </w:rPr>
        </w:r>
        <w:r w:rsidR="00233296" w:rsidRPr="00233296">
          <w:rPr>
            <w:noProof/>
            <w:webHidden/>
            <w:szCs w:val="20"/>
          </w:rPr>
          <w:fldChar w:fldCharType="separate"/>
        </w:r>
        <w:r w:rsidR="00E667FD">
          <w:rPr>
            <w:noProof/>
            <w:webHidden/>
            <w:szCs w:val="20"/>
          </w:rPr>
          <w:t>220</w:t>
        </w:r>
        <w:r w:rsidR="00233296" w:rsidRPr="00233296">
          <w:rPr>
            <w:noProof/>
            <w:webHidden/>
            <w:szCs w:val="20"/>
          </w:rPr>
          <w:fldChar w:fldCharType="end"/>
        </w:r>
      </w:hyperlink>
    </w:p>
    <w:p w14:paraId="091F3C59" w14:textId="77777777" w:rsidR="00233296" w:rsidRPr="00233296" w:rsidRDefault="00FA14F6">
      <w:pPr>
        <w:pStyle w:val="Spisilustracji"/>
        <w:tabs>
          <w:tab w:val="right" w:leader="dot" w:pos="9060"/>
        </w:tabs>
        <w:rPr>
          <w:rFonts w:eastAsiaTheme="minorEastAsia" w:cstheme="minorBidi"/>
          <w:noProof/>
          <w:szCs w:val="20"/>
        </w:rPr>
      </w:pPr>
      <w:hyperlink w:anchor="_Toc8824224" w:history="1">
        <w:r w:rsidR="00233296" w:rsidRPr="00233296">
          <w:rPr>
            <w:rStyle w:val="Hipercze"/>
            <w:noProof/>
            <w:szCs w:val="20"/>
          </w:rPr>
          <w:t>Tabela 113 Wskaźniki produktu i rezultatu (PI 8i)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_Toc8824224 \h </w:instrText>
        </w:r>
        <w:r w:rsidR="00233296" w:rsidRPr="00233296">
          <w:rPr>
            <w:noProof/>
            <w:webHidden/>
            <w:szCs w:val="20"/>
          </w:rPr>
        </w:r>
        <w:r w:rsidR="00233296" w:rsidRPr="00233296">
          <w:rPr>
            <w:noProof/>
            <w:webHidden/>
            <w:szCs w:val="20"/>
          </w:rPr>
          <w:fldChar w:fldCharType="separate"/>
        </w:r>
        <w:r w:rsidR="00E667FD">
          <w:rPr>
            <w:noProof/>
            <w:webHidden/>
            <w:szCs w:val="20"/>
          </w:rPr>
          <w:t>222</w:t>
        </w:r>
        <w:r w:rsidR="00233296" w:rsidRPr="00233296">
          <w:rPr>
            <w:noProof/>
            <w:webHidden/>
            <w:szCs w:val="20"/>
          </w:rPr>
          <w:fldChar w:fldCharType="end"/>
        </w:r>
      </w:hyperlink>
    </w:p>
    <w:p w14:paraId="0E5AD91C" w14:textId="77777777" w:rsidR="00233296" w:rsidRPr="00233296" w:rsidRDefault="00FA14F6">
      <w:pPr>
        <w:pStyle w:val="Spisilustracji"/>
        <w:tabs>
          <w:tab w:val="right" w:leader="dot" w:pos="9060"/>
        </w:tabs>
        <w:rPr>
          <w:rFonts w:eastAsiaTheme="minorEastAsia" w:cstheme="minorBidi"/>
          <w:noProof/>
          <w:szCs w:val="20"/>
        </w:rPr>
      </w:pPr>
      <w:hyperlink w:anchor="_Toc8824225" w:history="1">
        <w:r w:rsidR="00233296" w:rsidRPr="00233296">
          <w:rPr>
            <w:rStyle w:val="Hipercze"/>
            <w:noProof/>
            <w:szCs w:val="20"/>
          </w:rPr>
          <w:t>Tabela 114 Wskaźniki wymagające zmiany wartości – PI 8i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_Toc8824225 \h </w:instrText>
        </w:r>
        <w:r w:rsidR="00233296" w:rsidRPr="00233296">
          <w:rPr>
            <w:noProof/>
            <w:webHidden/>
            <w:szCs w:val="20"/>
          </w:rPr>
        </w:r>
        <w:r w:rsidR="00233296" w:rsidRPr="00233296">
          <w:rPr>
            <w:noProof/>
            <w:webHidden/>
            <w:szCs w:val="20"/>
          </w:rPr>
          <w:fldChar w:fldCharType="separate"/>
        </w:r>
        <w:r w:rsidR="00E667FD">
          <w:rPr>
            <w:noProof/>
            <w:webHidden/>
            <w:szCs w:val="20"/>
          </w:rPr>
          <w:t>226</w:t>
        </w:r>
        <w:r w:rsidR="00233296" w:rsidRPr="00233296">
          <w:rPr>
            <w:noProof/>
            <w:webHidden/>
            <w:szCs w:val="20"/>
          </w:rPr>
          <w:fldChar w:fldCharType="end"/>
        </w:r>
      </w:hyperlink>
    </w:p>
    <w:p w14:paraId="4E47B22E" w14:textId="77777777" w:rsidR="00233296" w:rsidRPr="00233296" w:rsidRDefault="00FA14F6">
      <w:pPr>
        <w:pStyle w:val="Spisilustracji"/>
        <w:tabs>
          <w:tab w:val="right" w:leader="dot" w:pos="9060"/>
        </w:tabs>
        <w:rPr>
          <w:rFonts w:eastAsiaTheme="minorEastAsia" w:cstheme="minorBidi"/>
          <w:noProof/>
          <w:szCs w:val="20"/>
        </w:rPr>
      </w:pPr>
      <w:hyperlink w:anchor="_Toc8824226" w:history="1">
        <w:r w:rsidR="00233296" w:rsidRPr="00233296">
          <w:rPr>
            <w:rStyle w:val="Hipercze"/>
            <w:noProof/>
            <w:szCs w:val="20"/>
          </w:rPr>
          <w:t>Tabela 115 Wskaźniki produktu i rezultatu (PI 8iv)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_Toc8824226 \h </w:instrText>
        </w:r>
        <w:r w:rsidR="00233296" w:rsidRPr="00233296">
          <w:rPr>
            <w:noProof/>
            <w:webHidden/>
            <w:szCs w:val="20"/>
          </w:rPr>
        </w:r>
        <w:r w:rsidR="00233296" w:rsidRPr="00233296">
          <w:rPr>
            <w:noProof/>
            <w:webHidden/>
            <w:szCs w:val="20"/>
          </w:rPr>
          <w:fldChar w:fldCharType="separate"/>
        </w:r>
        <w:r w:rsidR="00E667FD">
          <w:rPr>
            <w:noProof/>
            <w:webHidden/>
            <w:szCs w:val="20"/>
          </w:rPr>
          <w:t>228</w:t>
        </w:r>
        <w:r w:rsidR="00233296" w:rsidRPr="00233296">
          <w:rPr>
            <w:noProof/>
            <w:webHidden/>
            <w:szCs w:val="20"/>
          </w:rPr>
          <w:fldChar w:fldCharType="end"/>
        </w:r>
      </w:hyperlink>
    </w:p>
    <w:p w14:paraId="2F8B7297" w14:textId="77777777" w:rsidR="00233296" w:rsidRPr="00233296" w:rsidRDefault="00FA14F6">
      <w:pPr>
        <w:pStyle w:val="Spisilustracji"/>
        <w:tabs>
          <w:tab w:val="right" w:leader="dot" w:pos="9060"/>
        </w:tabs>
        <w:rPr>
          <w:rFonts w:eastAsiaTheme="minorEastAsia" w:cstheme="minorBidi"/>
          <w:noProof/>
          <w:szCs w:val="20"/>
        </w:rPr>
      </w:pPr>
      <w:hyperlink w:anchor="_Toc8824227" w:history="1">
        <w:r w:rsidR="00233296" w:rsidRPr="00233296">
          <w:rPr>
            <w:rStyle w:val="Hipercze"/>
            <w:noProof/>
            <w:szCs w:val="20"/>
          </w:rPr>
          <w:t>Tabela 116 Wskaźniki produktu i rezultatu (PI 8vi)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_Toc8824227 \h </w:instrText>
        </w:r>
        <w:r w:rsidR="00233296" w:rsidRPr="00233296">
          <w:rPr>
            <w:noProof/>
            <w:webHidden/>
            <w:szCs w:val="20"/>
          </w:rPr>
        </w:r>
        <w:r w:rsidR="00233296" w:rsidRPr="00233296">
          <w:rPr>
            <w:noProof/>
            <w:webHidden/>
            <w:szCs w:val="20"/>
          </w:rPr>
          <w:fldChar w:fldCharType="separate"/>
        </w:r>
        <w:r w:rsidR="00E667FD">
          <w:rPr>
            <w:noProof/>
            <w:webHidden/>
            <w:szCs w:val="20"/>
          </w:rPr>
          <w:t>231</w:t>
        </w:r>
        <w:r w:rsidR="00233296" w:rsidRPr="00233296">
          <w:rPr>
            <w:noProof/>
            <w:webHidden/>
            <w:szCs w:val="20"/>
          </w:rPr>
          <w:fldChar w:fldCharType="end"/>
        </w:r>
      </w:hyperlink>
    </w:p>
    <w:p w14:paraId="13B7E991" w14:textId="77777777" w:rsidR="00233296" w:rsidRPr="00233296" w:rsidRDefault="00FA14F6">
      <w:pPr>
        <w:pStyle w:val="Spisilustracji"/>
        <w:tabs>
          <w:tab w:val="right" w:leader="dot" w:pos="9060"/>
        </w:tabs>
        <w:rPr>
          <w:rFonts w:eastAsiaTheme="minorEastAsia" w:cstheme="minorBidi"/>
          <w:noProof/>
          <w:szCs w:val="20"/>
        </w:rPr>
      </w:pPr>
      <w:hyperlink w:anchor="_Toc8824228" w:history="1">
        <w:r w:rsidR="00233296" w:rsidRPr="00233296">
          <w:rPr>
            <w:rStyle w:val="Hipercze"/>
            <w:noProof/>
            <w:szCs w:val="20"/>
          </w:rPr>
          <w:t>Tabela 117 Wskaźniki wybrane do Ram Wykonania – stopień osiągnięcia wartości pośrednich i docelowych – OP VII Włączenie społeczne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_Toc8824228 \h </w:instrText>
        </w:r>
        <w:r w:rsidR="00233296" w:rsidRPr="00233296">
          <w:rPr>
            <w:noProof/>
            <w:webHidden/>
            <w:szCs w:val="20"/>
          </w:rPr>
        </w:r>
        <w:r w:rsidR="00233296" w:rsidRPr="00233296">
          <w:rPr>
            <w:noProof/>
            <w:webHidden/>
            <w:szCs w:val="20"/>
          </w:rPr>
          <w:fldChar w:fldCharType="separate"/>
        </w:r>
        <w:r w:rsidR="00E667FD">
          <w:rPr>
            <w:noProof/>
            <w:webHidden/>
            <w:szCs w:val="20"/>
          </w:rPr>
          <w:t>238</w:t>
        </w:r>
        <w:r w:rsidR="00233296" w:rsidRPr="00233296">
          <w:rPr>
            <w:noProof/>
            <w:webHidden/>
            <w:szCs w:val="20"/>
          </w:rPr>
          <w:fldChar w:fldCharType="end"/>
        </w:r>
      </w:hyperlink>
    </w:p>
    <w:p w14:paraId="118829EF" w14:textId="77777777" w:rsidR="00233296" w:rsidRPr="00233296" w:rsidRDefault="00FA14F6">
      <w:pPr>
        <w:pStyle w:val="Spisilustracji"/>
        <w:tabs>
          <w:tab w:val="right" w:leader="dot" w:pos="9060"/>
        </w:tabs>
        <w:rPr>
          <w:rFonts w:eastAsiaTheme="minorEastAsia" w:cstheme="minorBidi"/>
          <w:noProof/>
          <w:szCs w:val="20"/>
        </w:rPr>
      </w:pPr>
      <w:hyperlink w:anchor="_Toc8824229" w:history="1">
        <w:r w:rsidR="00233296" w:rsidRPr="00233296">
          <w:rPr>
            <w:rStyle w:val="Hipercze"/>
            <w:noProof/>
            <w:szCs w:val="20"/>
          </w:rPr>
          <w:t>Tabela 118 Wskaźniki produktu i rezultatu (PI 9i)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_Toc8824229 \h </w:instrText>
        </w:r>
        <w:r w:rsidR="00233296" w:rsidRPr="00233296">
          <w:rPr>
            <w:noProof/>
            <w:webHidden/>
            <w:szCs w:val="20"/>
          </w:rPr>
        </w:r>
        <w:r w:rsidR="00233296" w:rsidRPr="00233296">
          <w:rPr>
            <w:noProof/>
            <w:webHidden/>
            <w:szCs w:val="20"/>
          </w:rPr>
          <w:fldChar w:fldCharType="separate"/>
        </w:r>
        <w:r w:rsidR="00E667FD">
          <w:rPr>
            <w:noProof/>
            <w:webHidden/>
            <w:szCs w:val="20"/>
          </w:rPr>
          <w:t>240</w:t>
        </w:r>
        <w:r w:rsidR="00233296" w:rsidRPr="00233296">
          <w:rPr>
            <w:noProof/>
            <w:webHidden/>
            <w:szCs w:val="20"/>
          </w:rPr>
          <w:fldChar w:fldCharType="end"/>
        </w:r>
      </w:hyperlink>
    </w:p>
    <w:p w14:paraId="2FBD6987" w14:textId="77777777" w:rsidR="00233296" w:rsidRPr="00233296" w:rsidRDefault="00FA14F6">
      <w:pPr>
        <w:pStyle w:val="Spisilustracji"/>
        <w:tabs>
          <w:tab w:val="right" w:leader="dot" w:pos="9060"/>
        </w:tabs>
        <w:rPr>
          <w:rFonts w:eastAsiaTheme="minorEastAsia" w:cstheme="minorBidi"/>
          <w:noProof/>
          <w:szCs w:val="20"/>
        </w:rPr>
      </w:pPr>
      <w:hyperlink w:anchor="_Toc8824230" w:history="1">
        <w:r w:rsidR="00233296" w:rsidRPr="00233296">
          <w:rPr>
            <w:rStyle w:val="Hipercze"/>
            <w:noProof/>
            <w:szCs w:val="20"/>
          </w:rPr>
          <w:t>Tabela 119 Prognozowany poziom realizacji wskaźników produktu i rezultatu bezpośredniego na rok 2023 – PI 9i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_Toc8824230 \h </w:instrText>
        </w:r>
        <w:r w:rsidR="00233296" w:rsidRPr="00233296">
          <w:rPr>
            <w:noProof/>
            <w:webHidden/>
            <w:szCs w:val="20"/>
          </w:rPr>
        </w:r>
        <w:r w:rsidR="00233296" w:rsidRPr="00233296">
          <w:rPr>
            <w:noProof/>
            <w:webHidden/>
            <w:szCs w:val="20"/>
          </w:rPr>
          <w:fldChar w:fldCharType="separate"/>
        </w:r>
        <w:r w:rsidR="00E667FD">
          <w:rPr>
            <w:noProof/>
            <w:webHidden/>
            <w:szCs w:val="20"/>
          </w:rPr>
          <w:t>245</w:t>
        </w:r>
        <w:r w:rsidR="00233296" w:rsidRPr="00233296">
          <w:rPr>
            <w:noProof/>
            <w:webHidden/>
            <w:szCs w:val="20"/>
          </w:rPr>
          <w:fldChar w:fldCharType="end"/>
        </w:r>
      </w:hyperlink>
    </w:p>
    <w:p w14:paraId="10862042" w14:textId="77777777" w:rsidR="00233296" w:rsidRPr="00233296" w:rsidRDefault="00FA14F6">
      <w:pPr>
        <w:pStyle w:val="Spisilustracji"/>
        <w:tabs>
          <w:tab w:val="right" w:leader="dot" w:pos="9060"/>
        </w:tabs>
        <w:rPr>
          <w:rFonts w:eastAsiaTheme="minorEastAsia" w:cstheme="minorBidi"/>
          <w:noProof/>
          <w:szCs w:val="20"/>
        </w:rPr>
      </w:pPr>
      <w:hyperlink w:anchor="_Toc8824231" w:history="1">
        <w:r w:rsidR="00233296" w:rsidRPr="00233296">
          <w:rPr>
            <w:rStyle w:val="Hipercze"/>
            <w:noProof/>
            <w:szCs w:val="20"/>
          </w:rPr>
          <w:t>Tabela 120 Wskaźniki wymagające zmiany wartości – PI 9i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_Toc8824231 \h </w:instrText>
        </w:r>
        <w:r w:rsidR="00233296" w:rsidRPr="00233296">
          <w:rPr>
            <w:noProof/>
            <w:webHidden/>
            <w:szCs w:val="20"/>
          </w:rPr>
        </w:r>
        <w:r w:rsidR="00233296" w:rsidRPr="00233296">
          <w:rPr>
            <w:noProof/>
            <w:webHidden/>
            <w:szCs w:val="20"/>
          </w:rPr>
          <w:fldChar w:fldCharType="separate"/>
        </w:r>
        <w:r w:rsidR="00E667FD">
          <w:rPr>
            <w:noProof/>
            <w:webHidden/>
            <w:szCs w:val="20"/>
          </w:rPr>
          <w:t>246</w:t>
        </w:r>
        <w:r w:rsidR="00233296" w:rsidRPr="00233296">
          <w:rPr>
            <w:noProof/>
            <w:webHidden/>
            <w:szCs w:val="20"/>
          </w:rPr>
          <w:fldChar w:fldCharType="end"/>
        </w:r>
      </w:hyperlink>
    </w:p>
    <w:p w14:paraId="04905102" w14:textId="77777777" w:rsidR="00233296" w:rsidRPr="00233296" w:rsidRDefault="00FA14F6">
      <w:pPr>
        <w:pStyle w:val="Spisilustracji"/>
        <w:tabs>
          <w:tab w:val="right" w:leader="dot" w:pos="9060"/>
        </w:tabs>
        <w:rPr>
          <w:rFonts w:eastAsiaTheme="minorEastAsia" w:cstheme="minorBidi"/>
          <w:noProof/>
          <w:szCs w:val="20"/>
        </w:rPr>
      </w:pPr>
      <w:hyperlink w:anchor="_Toc8824232" w:history="1">
        <w:r w:rsidR="00233296" w:rsidRPr="00233296">
          <w:rPr>
            <w:rStyle w:val="Hipercze"/>
            <w:noProof/>
            <w:szCs w:val="20"/>
          </w:rPr>
          <w:t>Tabela 121 Wskaźniki produktu i rezultatu (PI 9iv)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_Toc8824232 \h </w:instrText>
        </w:r>
        <w:r w:rsidR="00233296" w:rsidRPr="00233296">
          <w:rPr>
            <w:noProof/>
            <w:webHidden/>
            <w:szCs w:val="20"/>
          </w:rPr>
        </w:r>
        <w:r w:rsidR="00233296" w:rsidRPr="00233296">
          <w:rPr>
            <w:noProof/>
            <w:webHidden/>
            <w:szCs w:val="20"/>
          </w:rPr>
          <w:fldChar w:fldCharType="separate"/>
        </w:r>
        <w:r w:rsidR="00E667FD">
          <w:rPr>
            <w:noProof/>
            <w:webHidden/>
            <w:szCs w:val="20"/>
          </w:rPr>
          <w:t>247</w:t>
        </w:r>
        <w:r w:rsidR="00233296" w:rsidRPr="00233296">
          <w:rPr>
            <w:noProof/>
            <w:webHidden/>
            <w:szCs w:val="20"/>
          </w:rPr>
          <w:fldChar w:fldCharType="end"/>
        </w:r>
      </w:hyperlink>
    </w:p>
    <w:p w14:paraId="2F8062B7" w14:textId="77777777" w:rsidR="00233296" w:rsidRPr="00233296" w:rsidRDefault="00FA14F6">
      <w:pPr>
        <w:pStyle w:val="Spisilustracji"/>
        <w:tabs>
          <w:tab w:val="right" w:leader="dot" w:pos="9060"/>
        </w:tabs>
        <w:rPr>
          <w:rFonts w:eastAsiaTheme="minorEastAsia" w:cstheme="minorBidi"/>
          <w:noProof/>
          <w:szCs w:val="20"/>
        </w:rPr>
      </w:pPr>
      <w:hyperlink w:anchor="_Toc8824233" w:history="1">
        <w:r w:rsidR="00233296" w:rsidRPr="00233296">
          <w:rPr>
            <w:rStyle w:val="Hipercze"/>
            <w:noProof/>
            <w:szCs w:val="20"/>
          </w:rPr>
          <w:t>Tabela 122 Prognozowany poziom realizacji wskaźników produktu i rezultatu bezpośredniego na rok 2023 – PI 9iv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_Toc8824233 \h </w:instrText>
        </w:r>
        <w:r w:rsidR="00233296" w:rsidRPr="00233296">
          <w:rPr>
            <w:noProof/>
            <w:webHidden/>
            <w:szCs w:val="20"/>
          </w:rPr>
        </w:r>
        <w:r w:rsidR="00233296" w:rsidRPr="00233296">
          <w:rPr>
            <w:noProof/>
            <w:webHidden/>
            <w:szCs w:val="20"/>
          </w:rPr>
          <w:fldChar w:fldCharType="separate"/>
        </w:r>
        <w:r w:rsidR="00E667FD">
          <w:rPr>
            <w:noProof/>
            <w:webHidden/>
            <w:szCs w:val="20"/>
          </w:rPr>
          <w:t>250</w:t>
        </w:r>
        <w:r w:rsidR="00233296" w:rsidRPr="00233296">
          <w:rPr>
            <w:noProof/>
            <w:webHidden/>
            <w:szCs w:val="20"/>
          </w:rPr>
          <w:fldChar w:fldCharType="end"/>
        </w:r>
      </w:hyperlink>
    </w:p>
    <w:p w14:paraId="6B57C7AA" w14:textId="77777777" w:rsidR="00233296" w:rsidRPr="00233296" w:rsidRDefault="00FA14F6">
      <w:pPr>
        <w:pStyle w:val="Spisilustracji"/>
        <w:tabs>
          <w:tab w:val="right" w:leader="dot" w:pos="9060"/>
        </w:tabs>
        <w:rPr>
          <w:rFonts w:eastAsiaTheme="minorEastAsia" w:cstheme="minorBidi"/>
          <w:noProof/>
          <w:szCs w:val="20"/>
        </w:rPr>
      </w:pPr>
      <w:hyperlink w:anchor="_Toc8824234" w:history="1">
        <w:r w:rsidR="00233296" w:rsidRPr="00233296">
          <w:rPr>
            <w:rStyle w:val="Hipercze"/>
            <w:noProof/>
            <w:szCs w:val="20"/>
          </w:rPr>
          <w:t>Tabela 123 Wskaźniki wymagające zmiany wartości – PI 9iv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_Toc8824234 \h </w:instrText>
        </w:r>
        <w:r w:rsidR="00233296" w:rsidRPr="00233296">
          <w:rPr>
            <w:noProof/>
            <w:webHidden/>
            <w:szCs w:val="20"/>
          </w:rPr>
        </w:r>
        <w:r w:rsidR="00233296" w:rsidRPr="00233296">
          <w:rPr>
            <w:noProof/>
            <w:webHidden/>
            <w:szCs w:val="20"/>
          </w:rPr>
          <w:fldChar w:fldCharType="separate"/>
        </w:r>
        <w:r w:rsidR="00E667FD">
          <w:rPr>
            <w:noProof/>
            <w:webHidden/>
            <w:szCs w:val="20"/>
          </w:rPr>
          <w:t>252</w:t>
        </w:r>
        <w:r w:rsidR="00233296" w:rsidRPr="00233296">
          <w:rPr>
            <w:noProof/>
            <w:webHidden/>
            <w:szCs w:val="20"/>
          </w:rPr>
          <w:fldChar w:fldCharType="end"/>
        </w:r>
      </w:hyperlink>
    </w:p>
    <w:p w14:paraId="2193C603" w14:textId="77777777" w:rsidR="00233296" w:rsidRPr="00233296" w:rsidRDefault="00FA14F6">
      <w:pPr>
        <w:pStyle w:val="Spisilustracji"/>
        <w:tabs>
          <w:tab w:val="right" w:leader="dot" w:pos="9060"/>
        </w:tabs>
        <w:rPr>
          <w:rFonts w:eastAsiaTheme="minorEastAsia" w:cstheme="minorBidi"/>
          <w:noProof/>
          <w:szCs w:val="20"/>
        </w:rPr>
      </w:pPr>
      <w:hyperlink w:anchor="_Toc8824235" w:history="1">
        <w:r w:rsidR="00233296" w:rsidRPr="00233296">
          <w:rPr>
            <w:rStyle w:val="Hipercze"/>
            <w:noProof/>
            <w:szCs w:val="20"/>
          </w:rPr>
          <w:t>Tabela 124 Wskaźniki produktu i rezultatu (PI 9v)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_Toc8824235 \h </w:instrText>
        </w:r>
        <w:r w:rsidR="00233296" w:rsidRPr="00233296">
          <w:rPr>
            <w:noProof/>
            <w:webHidden/>
            <w:szCs w:val="20"/>
          </w:rPr>
        </w:r>
        <w:r w:rsidR="00233296" w:rsidRPr="00233296">
          <w:rPr>
            <w:noProof/>
            <w:webHidden/>
            <w:szCs w:val="20"/>
          </w:rPr>
          <w:fldChar w:fldCharType="separate"/>
        </w:r>
        <w:r w:rsidR="00E667FD">
          <w:rPr>
            <w:noProof/>
            <w:webHidden/>
            <w:szCs w:val="20"/>
          </w:rPr>
          <w:t>252</w:t>
        </w:r>
        <w:r w:rsidR="00233296" w:rsidRPr="00233296">
          <w:rPr>
            <w:noProof/>
            <w:webHidden/>
            <w:szCs w:val="20"/>
          </w:rPr>
          <w:fldChar w:fldCharType="end"/>
        </w:r>
      </w:hyperlink>
    </w:p>
    <w:p w14:paraId="3D20214E" w14:textId="77777777" w:rsidR="00233296" w:rsidRPr="00233296" w:rsidRDefault="00FA14F6">
      <w:pPr>
        <w:pStyle w:val="Spisilustracji"/>
        <w:tabs>
          <w:tab w:val="right" w:leader="dot" w:pos="9060"/>
        </w:tabs>
        <w:rPr>
          <w:rFonts w:eastAsiaTheme="minorEastAsia" w:cstheme="minorBidi"/>
          <w:noProof/>
          <w:szCs w:val="20"/>
        </w:rPr>
      </w:pPr>
      <w:hyperlink w:anchor="_Toc8824236" w:history="1">
        <w:r w:rsidR="00233296" w:rsidRPr="00233296">
          <w:rPr>
            <w:rStyle w:val="Hipercze"/>
            <w:noProof/>
            <w:szCs w:val="20"/>
          </w:rPr>
          <w:t>Tabela 125 Prognozowany poziom realizacji wskaźników produktu i rezultatu bezpośredniego na rok 2023 – PI 9v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_Toc8824236 \h </w:instrText>
        </w:r>
        <w:r w:rsidR="00233296" w:rsidRPr="00233296">
          <w:rPr>
            <w:noProof/>
            <w:webHidden/>
            <w:szCs w:val="20"/>
          </w:rPr>
        </w:r>
        <w:r w:rsidR="00233296" w:rsidRPr="00233296">
          <w:rPr>
            <w:noProof/>
            <w:webHidden/>
            <w:szCs w:val="20"/>
          </w:rPr>
          <w:fldChar w:fldCharType="separate"/>
        </w:r>
        <w:r w:rsidR="00E667FD">
          <w:rPr>
            <w:noProof/>
            <w:webHidden/>
            <w:szCs w:val="20"/>
          </w:rPr>
          <w:t>254</w:t>
        </w:r>
        <w:r w:rsidR="00233296" w:rsidRPr="00233296">
          <w:rPr>
            <w:noProof/>
            <w:webHidden/>
            <w:szCs w:val="20"/>
          </w:rPr>
          <w:fldChar w:fldCharType="end"/>
        </w:r>
      </w:hyperlink>
    </w:p>
    <w:p w14:paraId="14AA7A5D" w14:textId="77777777" w:rsidR="00233296" w:rsidRPr="00233296" w:rsidRDefault="00FA14F6">
      <w:pPr>
        <w:pStyle w:val="Spisilustracji"/>
        <w:tabs>
          <w:tab w:val="right" w:leader="dot" w:pos="9060"/>
        </w:tabs>
        <w:rPr>
          <w:rFonts w:eastAsiaTheme="minorEastAsia" w:cstheme="minorBidi"/>
          <w:noProof/>
          <w:szCs w:val="20"/>
        </w:rPr>
      </w:pPr>
      <w:hyperlink w:anchor="_Toc8824237" w:history="1">
        <w:r w:rsidR="00233296" w:rsidRPr="00233296">
          <w:rPr>
            <w:rStyle w:val="Hipercze"/>
            <w:noProof/>
            <w:szCs w:val="20"/>
          </w:rPr>
          <w:t>Tabela 126 Wskaźniki wymagające zmiany wartości – PI 9v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_Toc8824237 \h </w:instrText>
        </w:r>
        <w:r w:rsidR="00233296" w:rsidRPr="00233296">
          <w:rPr>
            <w:noProof/>
            <w:webHidden/>
            <w:szCs w:val="20"/>
          </w:rPr>
        </w:r>
        <w:r w:rsidR="00233296" w:rsidRPr="00233296">
          <w:rPr>
            <w:noProof/>
            <w:webHidden/>
            <w:szCs w:val="20"/>
          </w:rPr>
          <w:fldChar w:fldCharType="separate"/>
        </w:r>
        <w:r w:rsidR="00E667FD">
          <w:rPr>
            <w:noProof/>
            <w:webHidden/>
            <w:szCs w:val="20"/>
          </w:rPr>
          <w:t>255</w:t>
        </w:r>
        <w:r w:rsidR="00233296" w:rsidRPr="00233296">
          <w:rPr>
            <w:noProof/>
            <w:webHidden/>
            <w:szCs w:val="20"/>
          </w:rPr>
          <w:fldChar w:fldCharType="end"/>
        </w:r>
      </w:hyperlink>
    </w:p>
    <w:p w14:paraId="6B251122" w14:textId="77777777" w:rsidR="00233296" w:rsidRPr="00233296" w:rsidRDefault="00FA14F6">
      <w:pPr>
        <w:pStyle w:val="Spisilustracji"/>
        <w:tabs>
          <w:tab w:val="right" w:leader="dot" w:pos="9060"/>
        </w:tabs>
        <w:rPr>
          <w:rFonts w:eastAsiaTheme="minorEastAsia" w:cstheme="minorBidi"/>
          <w:noProof/>
          <w:szCs w:val="20"/>
        </w:rPr>
      </w:pPr>
      <w:hyperlink w:anchor="_Toc8824238" w:history="1">
        <w:r w:rsidR="00233296" w:rsidRPr="00233296">
          <w:rPr>
            <w:rStyle w:val="Hipercze"/>
            <w:noProof/>
            <w:szCs w:val="20"/>
          </w:rPr>
          <w:t>Tabela 127 Liczba dzieci w placówkach wychowania przedszkolnego na 1 tys. dzieci w wieku 3-5 lat w powiatach województwa zachodniopomorskiego</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_Toc8824238 \h </w:instrText>
        </w:r>
        <w:r w:rsidR="00233296" w:rsidRPr="00233296">
          <w:rPr>
            <w:noProof/>
            <w:webHidden/>
            <w:szCs w:val="20"/>
          </w:rPr>
        </w:r>
        <w:r w:rsidR="00233296" w:rsidRPr="00233296">
          <w:rPr>
            <w:noProof/>
            <w:webHidden/>
            <w:szCs w:val="20"/>
          </w:rPr>
          <w:fldChar w:fldCharType="separate"/>
        </w:r>
        <w:r w:rsidR="00E667FD">
          <w:rPr>
            <w:noProof/>
            <w:webHidden/>
            <w:szCs w:val="20"/>
          </w:rPr>
          <w:t>257</w:t>
        </w:r>
        <w:r w:rsidR="00233296" w:rsidRPr="00233296">
          <w:rPr>
            <w:noProof/>
            <w:webHidden/>
            <w:szCs w:val="20"/>
          </w:rPr>
          <w:fldChar w:fldCharType="end"/>
        </w:r>
      </w:hyperlink>
    </w:p>
    <w:p w14:paraId="080F2CE8" w14:textId="77777777" w:rsidR="00233296" w:rsidRPr="00233296" w:rsidRDefault="00FA14F6">
      <w:pPr>
        <w:pStyle w:val="Spisilustracji"/>
        <w:tabs>
          <w:tab w:val="right" w:leader="dot" w:pos="9060"/>
        </w:tabs>
        <w:rPr>
          <w:rFonts w:eastAsiaTheme="minorEastAsia" w:cstheme="minorBidi"/>
          <w:noProof/>
          <w:szCs w:val="20"/>
        </w:rPr>
      </w:pPr>
      <w:hyperlink w:anchor="_Toc8824239" w:history="1">
        <w:r w:rsidR="00233296" w:rsidRPr="00233296">
          <w:rPr>
            <w:rStyle w:val="Hipercze"/>
            <w:noProof/>
            <w:szCs w:val="20"/>
          </w:rPr>
          <w:t>Tabela 128 Liczba dzieci w placówkach wychowania przedszkolnego na 1 tys. dzieci w wieku 3-5 lat w powiecie kołobrzeskim i łobeskim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_Toc8824239 \h </w:instrText>
        </w:r>
        <w:r w:rsidR="00233296" w:rsidRPr="00233296">
          <w:rPr>
            <w:noProof/>
            <w:webHidden/>
            <w:szCs w:val="20"/>
          </w:rPr>
        </w:r>
        <w:r w:rsidR="00233296" w:rsidRPr="00233296">
          <w:rPr>
            <w:noProof/>
            <w:webHidden/>
            <w:szCs w:val="20"/>
          </w:rPr>
          <w:fldChar w:fldCharType="separate"/>
        </w:r>
        <w:r w:rsidR="00E667FD">
          <w:rPr>
            <w:noProof/>
            <w:webHidden/>
            <w:szCs w:val="20"/>
          </w:rPr>
          <w:t>257</w:t>
        </w:r>
        <w:r w:rsidR="00233296" w:rsidRPr="00233296">
          <w:rPr>
            <w:noProof/>
            <w:webHidden/>
            <w:szCs w:val="20"/>
          </w:rPr>
          <w:fldChar w:fldCharType="end"/>
        </w:r>
      </w:hyperlink>
    </w:p>
    <w:p w14:paraId="493A74F5" w14:textId="77777777" w:rsidR="00233296" w:rsidRPr="00233296" w:rsidRDefault="00FA14F6">
      <w:pPr>
        <w:pStyle w:val="Spisilustracji"/>
        <w:tabs>
          <w:tab w:val="right" w:leader="dot" w:pos="9060"/>
        </w:tabs>
        <w:rPr>
          <w:rFonts w:eastAsiaTheme="minorEastAsia" w:cstheme="minorBidi"/>
          <w:noProof/>
          <w:szCs w:val="20"/>
        </w:rPr>
      </w:pPr>
      <w:hyperlink w:anchor="_Toc8824240" w:history="1">
        <w:r w:rsidR="00233296" w:rsidRPr="00233296">
          <w:rPr>
            <w:rStyle w:val="Hipercze"/>
            <w:noProof/>
            <w:szCs w:val="20"/>
          </w:rPr>
          <w:t>Tabela 129 Urodzenia żywe w województwie zachodniopomorskim w latach 2012-2017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_Toc8824240 \h </w:instrText>
        </w:r>
        <w:r w:rsidR="00233296" w:rsidRPr="00233296">
          <w:rPr>
            <w:noProof/>
            <w:webHidden/>
            <w:szCs w:val="20"/>
          </w:rPr>
        </w:r>
        <w:r w:rsidR="00233296" w:rsidRPr="00233296">
          <w:rPr>
            <w:noProof/>
            <w:webHidden/>
            <w:szCs w:val="20"/>
          </w:rPr>
          <w:fldChar w:fldCharType="separate"/>
        </w:r>
        <w:r w:rsidR="00E667FD">
          <w:rPr>
            <w:noProof/>
            <w:webHidden/>
            <w:szCs w:val="20"/>
          </w:rPr>
          <w:t>259</w:t>
        </w:r>
        <w:r w:rsidR="00233296" w:rsidRPr="00233296">
          <w:rPr>
            <w:noProof/>
            <w:webHidden/>
            <w:szCs w:val="20"/>
          </w:rPr>
          <w:fldChar w:fldCharType="end"/>
        </w:r>
      </w:hyperlink>
    </w:p>
    <w:p w14:paraId="62A5A914" w14:textId="77777777" w:rsidR="00233296" w:rsidRPr="00233296" w:rsidRDefault="00FA14F6">
      <w:pPr>
        <w:pStyle w:val="Spisilustracji"/>
        <w:tabs>
          <w:tab w:val="right" w:leader="dot" w:pos="9060"/>
        </w:tabs>
        <w:rPr>
          <w:rFonts w:eastAsiaTheme="minorEastAsia" w:cstheme="minorBidi"/>
          <w:noProof/>
          <w:szCs w:val="20"/>
        </w:rPr>
      </w:pPr>
      <w:hyperlink w:anchor="_Toc8824241" w:history="1">
        <w:r w:rsidR="00233296" w:rsidRPr="00233296">
          <w:rPr>
            <w:rStyle w:val="Hipercze"/>
            <w:noProof/>
            <w:szCs w:val="20"/>
          </w:rPr>
          <w:t>Tabela 130 Bierność zawodowa kobiet w województwie zachodniopomorskim 2012-2017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_Toc8824241 \h </w:instrText>
        </w:r>
        <w:r w:rsidR="00233296" w:rsidRPr="00233296">
          <w:rPr>
            <w:noProof/>
            <w:webHidden/>
            <w:szCs w:val="20"/>
          </w:rPr>
        </w:r>
        <w:r w:rsidR="00233296" w:rsidRPr="00233296">
          <w:rPr>
            <w:noProof/>
            <w:webHidden/>
            <w:szCs w:val="20"/>
          </w:rPr>
          <w:fldChar w:fldCharType="separate"/>
        </w:r>
        <w:r w:rsidR="00E667FD">
          <w:rPr>
            <w:noProof/>
            <w:webHidden/>
            <w:szCs w:val="20"/>
          </w:rPr>
          <w:t>259</w:t>
        </w:r>
        <w:r w:rsidR="00233296" w:rsidRPr="00233296">
          <w:rPr>
            <w:noProof/>
            <w:webHidden/>
            <w:szCs w:val="20"/>
          </w:rPr>
          <w:fldChar w:fldCharType="end"/>
        </w:r>
      </w:hyperlink>
    </w:p>
    <w:p w14:paraId="08544873" w14:textId="77777777" w:rsidR="00233296" w:rsidRPr="00233296" w:rsidRDefault="00FA14F6">
      <w:pPr>
        <w:pStyle w:val="Spisilustracji"/>
        <w:tabs>
          <w:tab w:val="right" w:leader="dot" w:pos="9060"/>
        </w:tabs>
        <w:rPr>
          <w:rFonts w:eastAsiaTheme="minorEastAsia" w:cstheme="minorBidi"/>
          <w:noProof/>
          <w:szCs w:val="20"/>
        </w:rPr>
      </w:pPr>
      <w:hyperlink w:anchor="_Toc8824242" w:history="1">
        <w:r w:rsidR="00233296" w:rsidRPr="00233296">
          <w:rPr>
            <w:rStyle w:val="Hipercze"/>
            <w:noProof/>
            <w:szCs w:val="20"/>
          </w:rPr>
          <w:t>Tabela 131 Liczba uczniów w szkołach zawodowych w województwie zachodniopomorskim 2015-2017</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_Toc8824242 \h </w:instrText>
        </w:r>
        <w:r w:rsidR="00233296" w:rsidRPr="00233296">
          <w:rPr>
            <w:noProof/>
            <w:webHidden/>
            <w:szCs w:val="20"/>
          </w:rPr>
        </w:r>
        <w:r w:rsidR="00233296" w:rsidRPr="00233296">
          <w:rPr>
            <w:noProof/>
            <w:webHidden/>
            <w:szCs w:val="20"/>
          </w:rPr>
          <w:fldChar w:fldCharType="separate"/>
        </w:r>
        <w:r w:rsidR="00E667FD">
          <w:rPr>
            <w:noProof/>
            <w:webHidden/>
            <w:szCs w:val="20"/>
          </w:rPr>
          <w:t>261</w:t>
        </w:r>
        <w:r w:rsidR="00233296" w:rsidRPr="00233296">
          <w:rPr>
            <w:noProof/>
            <w:webHidden/>
            <w:szCs w:val="20"/>
          </w:rPr>
          <w:fldChar w:fldCharType="end"/>
        </w:r>
      </w:hyperlink>
    </w:p>
    <w:p w14:paraId="246C11A3" w14:textId="77777777" w:rsidR="00233296" w:rsidRPr="00233296" w:rsidRDefault="00FA14F6">
      <w:pPr>
        <w:pStyle w:val="Spisilustracji"/>
        <w:tabs>
          <w:tab w:val="right" w:leader="dot" w:pos="9060"/>
        </w:tabs>
        <w:rPr>
          <w:rFonts w:eastAsiaTheme="minorEastAsia" w:cstheme="minorBidi"/>
          <w:noProof/>
          <w:szCs w:val="20"/>
        </w:rPr>
      </w:pPr>
      <w:hyperlink w:anchor="_Toc8824243" w:history="1">
        <w:r w:rsidR="00233296" w:rsidRPr="00233296">
          <w:rPr>
            <w:rStyle w:val="Hipercze"/>
            <w:noProof/>
            <w:szCs w:val="20"/>
          </w:rPr>
          <w:t>Tabela 132 Wskaźniki wybrane do Ram Wykonania – stopień osiągnięcia wartości pośrednich i docelowych – OP VIII Edukacja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_Toc8824243 \h </w:instrText>
        </w:r>
        <w:r w:rsidR="00233296" w:rsidRPr="00233296">
          <w:rPr>
            <w:noProof/>
            <w:webHidden/>
            <w:szCs w:val="20"/>
          </w:rPr>
        </w:r>
        <w:r w:rsidR="00233296" w:rsidRPr="00233296">
          <w:rPr>
            <w:noProof/>
            <w:webHidden/>
            <w:szCs w:val="20"/>
          </w:rPr>
          <w:fldChar w:fldCharType="separate"/>
        </w:r>
        <w:r w:rsidR="00E667FD">
          <w:rPr>
            <w:noProof/>
            <w:webHidden/>
            <w:szCs w:val="20"/>
          </w:rPr>
          <w:t>262</w:t>
        </w:r>
        <w:r w:rsidR="00233296" w:rsidRPr="00233296">
          <w:rPr>
            <w:noProof/>
            <w:webHidden/>
            <w:szCs w:val="20"/>
          </w:rPr>
          <w:fldChar w:fldCharType="end"/>
        </w:r>
      </w:hyperlink>
    </w:p>
    <w:p w14:paraId="60ED53FC" w14:textId="77777777" w:rsidR="00233296" w:rsidRPr="00233296" w:rsidRDefault="00FA14F6">
      <w:pPr>
        <w:pStyle w:val="Spisilustracji"/>
        <w:tabs>
          <w:tab w:val="right" w:leader="dot" w:pos="9060"/>
        </w:tabs>
        <w:rPr>
          <w:rFonts w:eastAsiaTheme="minorEastAsia" w:cstheme="minorBidi"/>
          <w:noProof/>
          <w:szCs w:val="20"/>
        </w:rPr>
      </w:pPr>
      <w:hyperlink w:anchor="_Toc8824244" w:history="1">
        <w:r w:rsidR="00233296" w:rsidRPr="00233296">
          <w:rPr>
            <w:rStyle w:val="Hipercze"/>
            <w:noProof/>
            <w:szCs w:val="20"/>
          </w:rPr>
          <w:t>Tabela 133 Wskaźniki produktu i rezultatu (PI 10i)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_Toc8824244 \h </w:instrText>
        </w:r>
        <w:r w:rsidR="00233296" w:rsidRPr="00233296">
          <w:rPr>
            <w:noProof/>
            <w:webHidden/>
            <w:szCs w:val="20"/>
          </w:rPr>
        </w:r>
        <w:r w:rsidR="00233296" w:rsidRPr="00233296">
          <w:rPr>
            <w:noProof/>
            <w:webHidden/>
            <w:szCs w:val="20"/>
          </w:rPr>
          <w:fldChar w:fldCharType="separate"/>
        </w:r>
        <w:r w:rsidR="00E667FD">
          <w:rPr>
            <w:noProof/>
            <w:webHidden/>
            <w:szCs w:val="20"/>
          </w:rPr>
          <w:t>266</w:t>
        </w:r>
        <w:r w:rsidR="00233296" w:rsidRPr="00233296">
          <w:rPr>
            <w:noProof/>
            <w:webHidden/>
            <w:szCs w:val="20"/>
          </w:rPr>
          <w:fldChar w:fldCharType="end"/>
        </w:r>
      </w:hyperlink>
    </w:p>
    <w:p w14:paraId="0BBBC61D" w14:textId="77777777" w:rsidR="00233296" w:rsidRPr="00233296" w:rsidRDefault="00FA14F6">
      <w:pPr>
        <w:pStyle w:val="Spisilustracji"/>
        <w:tabs>
          <w:tab w:val="right" w:leader="dot" w:pos="9060"/>
        </w:tabs>
        <w:rPr>
          <w:rFonts w:eastAsiaTheme="minorEastAsia" w:cstheme="minorBidi"/>
          <w:noProof/>
          <w:szCs w:val="20"/>
        </w:rPr>
      </w:pPr>
      <w:hyperlink w:anchor="_Toc8824245" w:history="1">
        <w:r w:rsidR="00233296" w:rsidRPr="00233296">
          <w:rPr>
            <w:rStyle w:val="Hipercze"/>
            <w:rFonts w:eastAsia="Lato"/>
            <w:bCs/>
            <w:noProof/>
            <w:szCs w:val="20"/>
          </w:rPr>
          <w:t>Tabela 134 Prognozowany poziom realizacji wskaźników produktu i rezultatu bezpośredniego na rok 2023 – PI 10i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_Toc8824245 \h </w:instrText>
        </w:r>
        <w:r w:rsidR="00233296" w:rsidRPr="00233296">
          <w:rPr>
            <w:noProof/>
            <w:webHidden/>
            <w:szCs w:val="20"/>
          </w:rPr>
        </w:r>
        <w:r w:rsidR="00233296" w:rsidRPr="00233296">
          <w:rPr>
            <w:noProof/>
            <w:webHidden/>
            <w:szCs w:val="20"/>
          </w:rPr>
          <w:fldChar w:fldCharType="separate"/>
        </w:r>
        <w:r w:rsidR="00E667FD">
          <w:rPr>
            <w:noProof/>
            <w:webHidden/>
            <w:szCs w:val="20"/>
          </w:rPr>
          <w:t>271</w:t>
        </w:r>
        <w:r w:rsidR="00233296" w:rsidRPr="00233296">
          <w:rPr>
            <w:noProof/>
            <w:webHidden/>
            <w:szCs w:val="20"/>
          </w:rPr>
          <w:fldChar w:fldCharType="end"/>
        </w:r>
      </w:hyperlink>
    </w:p>
    <w:p w14:paraId="3DABF8AA" w14:textId="77777777" w:rsidR="00233296" w:rsidRPr="00233296" w:rsidRDefault="00FA14F6">
      <w:pPr>
        <w:pStyle w:val="Spisilustracji"/>
        <w:tabs>
          <w:tab w:val="right" w:leader="dot" w:pos="9060"/>
        </w:tabs>
        <w:rPr>
          <w:rFonts w:eastAsiaTheme="minorEastAsia" w:cstheme="minorBidi"/>
          <w:noProof/>
          <w:szCs w:val="20"/>
        </w:rPr>
      </w:pPr>
      <w:hyperlink w:anchor="_Toc8824246" w:history="1">
        <w:r w:rsidR="00233296" w:rsidRPr="00233296">
          <w:rPr>
            <w:rStyle w:val="Hipercze"/>
            <w:noProof/>
            <w:szCs w:val="20"/>
          </w:rPr>
          <w:t>Tabela 135 Wskaźniki wymagające zmiany wartości – PI 10i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_Toc8824246 \h </w:instrText>
        </w:r>
        <w:r w:rsidR="00233296" w:rsidRPr="00233296">
          <w:rPr>
            <w:noProof/>
            <w:webHidden/>
            <w:szCs w:val="20"/>
          </w:rPr>
        </w:r>
        <w:r w:rsidR="00233296" w:rsidRPr="00233296">
          <w:rPr>
            <w:noProof/>
            <w:webHidden/>
            <w:szCs w:val="20"/>
          </w:rPr>
          <w:fldChar w:fldCharType="separate"/>
        </w:r>
        <w:r w:rsidR="00E667FD">
          <w:rPr>
            <w:noProof/>
            <w:webHidden/>
            <w:szCs w:val="20"/>
          </w:rPr>
          <w:t>273</w:t>
        </w:r>
        <w:r w:rsidR="00233296" w:rsidRPr="00233296">
          <w:rPr>
            <w:noProof/>
            <w:webHidden/>
            <w:szCs w:val="20"/>
          </w:rPr>
          <w:fldChar w:fldCharType="end"/>
        </w:r>
      </w:hyperlink>
    </w:p>
    <w:p w14:paraId="096F5918" w14:textId="77777777" w:rsidR="00233296" w:rsidRPr="00233296" w:rsidRDefault="00FA14F6">
      <w:pPr>
        <w:pStyle w:val="Spisilustracji"/>
        <w:tabs>
          <w:tab w:val="right" w:leader="dot" w:pos="9060"/>
        </w:tabs>
        <w:rPr>
          <w:rFonts w:eastAsiaTheme="minorEastAsia" w:cstheme="minorBidi"/>
          <w:noProof/>
          <w:szCs w:val="20"/>
        </w:rPr>
      </w:pPr>
      <w:hyperlink w:anchor="_Toc8824247" w:history="1">
        <w:r w:rsidR="00233296" w:rsidRPr="00233296">
          <w:rPr>
            <w:rStyle w:val="Hipercze"/>
            <w:noProof/>
            <w:szCs w:val="20"/>
          </w:rPr>
          <w:t>Tabela 136 Wskaźniki produktu i rezultatu (PI 10iv)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_Toc8824247 \h </w:instrText>
        </w:r>
        <w:r w:rsidR="00233296" w:rsidRPr="00233296">
          <w:rPr>
            <w:noProof/>
            <w:webHidden/>
            <w:szCs w:val="20"/>
          </w:rPr>
        </w:r>
        <w:r w:rsidR="00233296" w:rsidRPr="00233296">
          <w:rPr>
            <w:noProof/>
            <w:webHidden/>
            <w:szCs w:val="20"/>
          </w:rPr>
          <w:fldChar w:fldCharType="separate"/>
        </w:r>
        <w:r w:rsidR="00E667FD">
          <w:rPr>
            <w:noProof/>
            <w:webHidden/>
            <w:szCs w:val="20"/>
          </w:rPr>
          <w:t>273</w:t>
        </w:r>
        <w:r w:rsidR="00233296" w:rsidRPr="00233296">
          <w:rPr>
            <w:noProof/>
            <w:webHidden/>
            <w:szCs w:val="20"/>
          </w:rPr>
          <w:fldChar w:fldCharType="end"/>
        </w:r>
      </w:hyperlink>
    </w:p>
    <w:p w14:paraId="0FB99E33" w14:textId="77777777" w:rsidR="00233296" w:rsidRPr="00233296" w:rsidRDefault="00FA14F6">
      <w:pPr>
        <w:pStyle w:val="Spisilustracji"/>
        <w:tabs>
          <w:tab w:val="right" w:leader="dot" w:pos="9060"/>
        </w:tabs>
        <w:rPr>
          <w:rFonts w:eastAsiaTheme="minorEastAsia" w:cstheme="minorBidi"/>
          <w:noProof/>
          <w:szCs w:val="20"/>
        </w:rPr>
      </w:pPr>
      <w:hyperlink w:anchor="_Toc8824248" w:history="1">
        <w:r w:rsidR="00233296" w:rsidRPr="00233296">
          <w:rPr>
            <w:rStyle w:val="Hipercze"/>
            <w:rFonts w:eastAsia="Lato"/>
            <w:bCs/>
            <w:noProof/>
            <w:szCs w:val="20"/>
          </w:rPr>
          <w:t>Tabela 137 Prognozowany poziom realizacji wskaźników produktu i rezultatu bezpośredniego na rok 2023 – PI 10iv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_Toc8824248 \h </w:instrText>
        </w:r>
        <w:r w:rsidR="00233296" w:rsidRPr="00233296">
          <w:rPr>
            <w:noProof/>
            <w:webHidden/>
            <w:szCs w:val="20"/>
          </w:rPr>
        </w:r>
        <w:r w:rsidR="00233296" w:rsidRPr="00233296">
          <w:rPr>
            <w:noProof/>
            <w:webHidden/>
            <w:szCs w:val="20"/>
          </w:rPr>
          <w:fldChar w:fldCharType="separate"/>
        </w:r>
        <w:r w:rsidR="00E667FD">
          <w:rPr>
            <w:noProof/>
            <w:webHidden/>
            <w:szCs w:val="20"/>
          </w:rPr>
          <w:t>279</w:t>
        </w:r>
        <w:r w:rsidR="00233296" w:rsidRPr="00233296">
          <w:rPr>
            <w:noProof/>
            <w:webHidden/>
            <w:szCs w:val="20"/>
          </w:rPr>
          <w:fldChar w:fldCharType="end"/>
        </w:r>
      </w:hyperlink>
    </w:p>
    <w:p w14:paraId="5EF6D202" w14:textId="77777777" w:rsidR="00233296" w:rsidRPr="00233296" w:rsidRDefault="00FA14F6">
      <w:pPr>
        <w:pStyle w:val="Spisilustracji"/>
        <w:tabs>
          <w:tab w:val="right" w:leader="dot" w:pos="9060"/>
        </w:tabs>
        <w:rPr>
          <w:rFonts w:eastAsiaTheme="minorEastAsia" w:cstheme="minorBidi"/>
          <w:noProof/>
          <w:szCs w:val="20"/>
        </w:rPr>
      </w:pPr>
      <w:hyperlink w:anchor="_Toc8824249" w:history="1">
        <w:r w:rsidR="00233296" w:rsidRPr="00233296">
          <w:rPr>
            <w:rStyle w:val="Hipercze"/>
            <w:noProof/>
            <w:szCs w:val="20"/>
          </w:rPr>
          <w:t>Tabela 138 Wskaźniki wymagające zmiany wartości – PI 10iv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_Toc8824249 \h </w:instrText>
        </w:r>
        <w:r w:rsidR="00233296" w:rsidRPr="00233296">
          <w:rPr>
            <w:noProof/>
            <w:webHidden/>
            <w:szCs w:val="20"/>
          </w:rPr>
        </w:r>
        <w:r w:rsidR="00233296" w:rsidRPr="00233296">
          <w:rPr>
            <w:noProof/>
            <w:webHidden/>
            <w:szCs w:val="20"/>
          </w:rPr>
          <w:fldChar w:fldCharType="separate"/>
        </w:r>
        <w:r w:rsidR="00E667FD">
          <w:rPr>
            <w:noProof/>
            <w:webHidden/>
            <w:szCs w:val="20"/>
          </w:rPr>
          <w:t>280</w:t>
        </w:r>
        <w:r w:rsidR="00233296" w:rsidRPr="00233296">
          <w:rPr>
            <w:noProof/>
            <w:webHidden/>
            <w:szCs w:val="20"/>
          </w:rPr>
          <w:fldChar w:fldCharType="end"/>
        </w:r>
      </w:hyperlink>
    </w:p>
    <w:p w14:paraId="3DE37B81" w14:textId="77777777" w:rsidR="00233296" w:rsidRPr="00233296" w:rsidRDefault="00FA14F6">
      <w:pPr>
        <w:pStyle w:val="Spisilustracji"/>
        <w:tabs>
          <w:tab w:val="right" w:leader="dot" w:pos="9060"/>
        </w:tabs>
        <w:rPr>
          <w:rFonts w:eastAsiaTheme="minorEastAsia" w:cstheme="minorBidi"/>
          <w:noProof/>
          <w:szCs w:val="20"/>
        </w:rPr>
      </w:pPr>
      <w:hyperlink w:anchor="_Toc8824250" w:history="1">
        <w:r w:rsidR="00233296" w:rsidRPr="00233296">
          <w:rPr>
            <w:rStyle w:val="Hipercze"/>
            <w:noProof/>
            <w:szCs w:val="20"/>
          </w:rPr>
          <w:t>Tabela 139 Wskaźniki produktu i rezultatu (PI 10iii)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_Toc8824250 \h </w:instrText>
        </w:r>
        <w:r w:rsidR="00233296" w:rsidRPr="00233296">
          <w:rPr>
            <w:noProof/>
            <w:webHidden/>
            <w:szCs w:val="20"/>
          </w:rPr>
        </w:r>
        <w:r w:rsidR="00233296" w:rsidRPr="00233296">
          <w:rPr>
            <w:noProof/>
            <w:webHidden/>
            <w:szCs w:val="20"/>
          </w:rPr>
          <w:fldChar w:fldCharType="separate"/>
        </w:r>
        <w:r w:rsidR="00E667FD">
          <w:rPr>
            <w:noProof/>
            <w:webHidden/>
            <w:szCs w:val="20"/>
          </w:rPr>
          <w:t>280</w:t>
        </w:r>
        <w:r w:rsidR="00233296" w:rsidRPr="00233296">
          <w:rPr>
            <w:noProof/>
            <w:webHidden/>
            <w:szCs w:val="20"/>
          </w:rPr>
          <w:fldChar w:fldCharType="end"/>
        </w:r>
      </w:hyperlink>
    </w:p>
    <w:p w14:paraId="5B05E977" w14:textId="77777777" w:rsidR="00233296" w:rsidRPr="00233296" w:rsidRDefault="00FA14F6">
      <w:pPr>
        <w:pStyle w:val="Spisilustracji"/>
        <w:tabs>
          <w:tab w:val="right" w:leader="dot" w:pos="9060"/>
        </w:tabs>
        <w:rPr>
          <w:rFonts w:eastAsiaTheme="minorEastAsia" w:cstheme="minorBidi"/>
          <w:noProof/>
          <w:szCs w:val="20"/>
        </w:rPr>
      </w:pPr>
      <w:hyperlink w:anchor="_Toc8824251" w:history="1">
        <w:r w:rsidR="00233296" w:rsidRPr="00233296">
          <w:rPr>
            <w:rStyle w:val="Hipercze"/>
            <w:rFonts w:eastAsia="Lato"/>
            <w:bCs/>
            <w:noProof/>
            <w:szCs w:val="20"/>
          </w:rPr>
          <w:t>Tabela 140 Prognozowany poziom realizacji wskaźników produktu i rezultatu bezpośredniego na rok 2023 – PI 10iii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_Toc8824251 \h </w:instrText>
        </w:r>
        <w:r w:rsidR="00233296" w:rsidRPr="00233296">
          <w:rPr>
            <w:noProof/>
            <w:webHidden/>
            <w:szCs w:val="20"/>
          </w:rPr>
        </w:r>
        <w:r w:rsidR="00233296" w:rsidRPr="00233296">
          <w:rPr>
            <w:noProof/>
            <w:webHidden/>
            <w:szCs w:val="20"/>
          </w:rPr>
          <w:fldChar w:fldCharType="separate"/>
        </w:r>
        <w:r w:rsidR="00E667FD">
          <w:rPr>
            <w:noProof/>
            <w:webHidden/>
            <w:szCs w:val="20"/>
          </w:rPr>
          <w:t>283</w:t>
        </w:r>
        <w:r w:rsidR="00233296" w:rsidRPr="00233296">
          <w:rPr>
            <w:noProof/>
            <w:webHidden/>
            <w:szCs w:val="20"/>
          </w:rPr>
          <w:fldChar w:fldCharType="end"/>
        </w:r>
      </w:hyperlink>
    </w:p>
    <w:p w14:paraId="0CDA5FC3" w14:textId="77777777" w:rsidR="00233296" w:rsidRPr="00233296" w:rsidRDefault="00FA14F6">
      <w:pPr>
        <w:pStyle w:val="Spisilustracji"/>
        <w:tabs>
          <w:tab w:val="right" w:leader="dot" w:pos="9060"/>
        </w:tabs>
        <w:rPr>
          <w:rFonts w:eastAsiaTheme="minorEastAsia" w:cstheme="minorBidi"/>
          <w:noProof/>
          <w:szCs w:val="20"/>
        </w:rPr>
      </w:pPr>
      <w:hyperlink w:anchor="_Toc8824252" w:history="1">
        <w:r w:rsidR="00233296" w:rsidRPr="00233296">
          <w:rPr>
            <w:rStyle w:val="Hipercze"/>
            <w:noProof/>
            <w:szCs w:val="20"/>
          </w:rPr>
          <w:t>Tabela 141 Wskaźniki wymagające zmiany wartości – PI 10iii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_Toc8824252 \h </w:instrText>
        </w:r>
        <w:r w:rsidR="00233296" w:rsidRPr="00233296">
          <w:rPr>
            <w:noProof/>
            <w:webHidden/>
            <w:szCs w:val="20"/>
          </w:rPr>
        </w:r>
        <w:r w:rsidR="00233296" w:rsidRPr="00233296">
          <w:rPr>
            <w:noProof/>
            <w:webHidden/>
            <w:szCs w:val="20"/>
          </w:rPr>
          <w:fldChar w:fldCharType="separate"/>
        </w:r>
        <w:r w:rsidR="00E667FD">
          <w:rPr>
            <w:noProof/>
            <w:webHidden/>
            <w:szCs w:val="20"/>
          </w:rPr>
          <w:t>284</w:t>
        </w:r>
        <w:r w:rsidR="00233296" w:rsidRPr="00233296">
          <w:rPr>
            <w:noProof/>
            <w:webHidden/>
            <w:szCs w:val="20"/>
          </w:rPr>
          <w:fldChar w:fldCharType="end"/>
        </w:r>
      </w:hyperlink>
    </w:p>
    <w:p w14:paraId="3098740A" w14:textId="77777777" w:rsidR="00233296" w:rsidRPr="00233296" w:rsidRDefault="00FA14F6">
      <w:pPr>
        <w:pStyle w:val="Spisilustracji"/>
        <w:tabs>
          <w:tab w:val="right" w:leader="dot" w:pos="9060"/>
        </w:tabs>
        <w:rPr>
          <w:rFonts w:eastAsiaTheme="minorEastAsia" w:cstheme="minorBidi"/>
          <w:noProof/>
          <w:szCs w:val="20"/>
        </w:rPr>
      </w:pPr>
      <w:hyperlink w:anchor="_Toc8824253" w:history="1">
        <w:r w:rsidR="00233296" w:rsidRPr="00233296">
          <w:rPr>
            <w:rStyle w:val="Hipercze"/>
            <w:noProof/>
            <w:szCs w:val="20"/>
          </w:rPr>
          <w:t>Tabela 142 Liczba uczniów szkół zawodowych na 10 tys. mieszkańców w regionach Polski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_Toc8824253 \h </w:instrText>
        </w:r>
        <w:r w:rsidR="00233296" w:rsidRPr="00233296">
          <w:rPr>
            <w:noProof/>
            <w:webHidden/>
            <w:szCs w:val="20"/>
          </w:rPr>
        </w:r>
        <w:r w:rsidR="00233296" w:rsidRPr="00233296">
          <w:rPr>
            <w:noProof/>
            <w:webHidden/>
            <w:szCs w:val="20"/>
          </w:rPr>
          <w:fldChar w:fldCharType="separate"/>
        </w:r>
        <w:r w:rsidR="00E667FD">
          <w:rPr>
            <w:noProof/>
            <w:webHidden/>
            <w:szCs w:val="20"/>
          </w:rPr>
          <w:t>288</w:t>
        </w:r>
        <w:r w:rsidR="00233296" w:rsidRPr="00233296">
          <w:rPr>
            <w:noProof/>
            <w:webHidden/>
            <w:szCs w:val="20"/>
          </w:rPr>
          <w:fldChar w:fldCharType="end"/>
        </w:r>
      </w:hyperlink>
    </w:p>
    <w:p w14:paraId="63A85FF3" w14:textId="77777777" w:rsidR="00233296" w:rsidRPr="00233296" w:rsidRDefault="00FA14F6">
      <w:pPr>
        <w:pStyle w:val="Spisilustracji"/>
        <w:tabs>
          <w:tab w:val="right" w:leader="dot" w:pos="9060"/>
        </w:tabs>
        <w:rPr>
          <w:rFonts w:eastAsiaTheme="minorEastAsia" w:cstheme="minorBidi"/>
          <w:noProof/>
          <w:szCs w:val="20"/>
        </w:rPr>
      </w:pPr>
      <w:hyperlink w:anchor="_Toc8824254" w:history="1">
        <w:r w:rsidR="00233296" w:rsidRPr="00233296">
          <w:rPr>
            <w:rStyle w:val="Hipercze"/>
            <w:noProof/>
            <w:szCs w:val="20"/>
          </w:rPr>
          <w:t>Tabela 143 Osoby korzystające z usług administracji publicznej za pomocą Internetu w ciągu ostatnich 12 miesięcy; Odsetek przedsiębiorstw korzystających z Internetu w kontaktach z administracją publiczną w celu odsyłania wypełnionych formularzy w formie elektronicznej w latach 2012-2017/2018 – w Polsce i województwie zachodniopomorskim</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_Toc8824254 \h </w:instrText>
        </w:r>
        <w:r w:rsidR="00233296" w:rsidRPr="00233296">
          <w:rPr>
            <w:noProof/>
            <w:webHidden/>
            <w:szCs w:val="20"/>
          </w:rPr>
        </w:r>
        <w:r w:rsidR="00233296" w:rsidRPr="00233296">
          <w:rPr>
            <w:noProof/>
            <w:webHidden/>
            <w:szCs w:val="20"/>
          </w:rPr>
          <w:fldChar w:fldCharType="separate"/>
        </w:r>
        <w:r w:rsidR="00E667FD">
          <w:rPr>
            <w:noProof/>
            <w:webHidden/>
            <w:szCs w:val="20"/>
          </w:rPr>
          <w:t>291</w:t>
        </w:r>
        <w:r w:rsidR="00233296" w:rsidRPr="00233296">
          <w:rPr>
            <w:noProof/>
            <w:webHidden/>
            <w:szCs w:val="20"/>
          </w:rPr>
          <w:fldChar w:fldCharType="end"/>
        </w:r>
      </w:hyperlink>
    </w:p>
    <w:p w14:paraId="4D75CF95" w14:textId="77777777" w:rsidR="00233296" w:rsidRPr="00233296" w:rsidRDefault="00FA14F6">
      <w:pPr>
        <w:pStyle w:val="Spisilustracji"/>
        <w:tabs>
          <w:tab w:val="right" w:leader="dot" w:pos="9060"/>
        </w:tabs>
        <w:rPr>
          <w:rFonts w:eastAsiaTheme="minorEastAsia" w:cstheme="minorBidi"/>
          <w:noProof/>
          <w:szCs w:val="20"/>
        </w:rPr>
      </w:pPr>
      <w:hyperlink w:anchor="_Toc8824255" w:history="1">
        <w:r w:rsidR="00233296" w:rsidRPr="00233296">
          <w:rPr>
            <w:rStyle w:val="Hipercze"/>
            <w:noProof/>
            <w:szCs w:val="20"/>
          </w:rPr>
          <w:t>Tabela 144 Wskaźniki wybrane do Ram Wykonania – stopień osiągnięcia wartości pośrednich i docelowych – OP IX Infrastruktura publiczna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_Toc8824255 \h </w:instrText>
        </w:r>
        <w:r w:rsidR="00233296" w:rsidRPr="00233296">
          <w:rPr>
            <w:noProof/>
            <w:webHidden/>
            <w:szCs w:val="20"/>
          </w:rPr>
        </w:r>
        <w:r w:rsidR="00233296" w:rsidRPr="00233296">
          <w:rPr>
            <w:noProof/>
            <w:webHidden/>
            <w:szCs w:val="20"/>
          </w:rPr>
          <w:fldChar w:fldCharType="separate"/>
        </w:r>
        <w:r w:rsidR="00E667FD">
          <w:rPr>
            <w:noProof/>
            <w:webHidden/>
            <w:szCs w:val="20"/>
          </w:rPr>
          <w:t>294</w:t>
        </w:r>
        <w:r w:rsidR="00233296" w:rsidRPr="00233296">
          <w:rPr>
            <w:noProof/>
            <w:webHidden/>
            <w:szCs w:val="20"/>
          </w:rPr>
          <w:fldChar w:fldCharType="end"/>
        </w:r>
      </w:hyperlink>
    </w:p>
    <w:p w14:paraId="3BA96CF5" w14:textId="77777777" w:rsidR="00233296" w:rsidRPr="00233296" w:rsidRDefault="00FA14F6">
      <w:pPr>
        <w:pStyle w:val="Spisilustracji"/>
        <w:tabs>
          <w:tab w:val="right" w:leader="dot" w:pos="9060"/>
        </w:tabs>
        <w:rPr>
          <w:rFonts w:eastAsiaTheme="minorEastAsia" w:cstheme="minorBidi"/>
          <w:noProof/>
          <w:szCs w:val="20"/>
        </w:rPr>
      </w:pPr>
      <w:hyperlink w:anchor="_Toc8824256" w:history="1">
        <w:r w:rsidR="00233296" w:rsidRPr="00233296">
          <w:rPr>
            <w:rStyle w:val="Hipercze"/>
            <w:noProof/>
            <w:szCs w:val="20"/>
          </w:rPr>
          <w:t>Tabela 145 Wskaźniki produktu (PI 9a)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_Toc8824256 \h </w:instrText>
        </w:r>
        <w:r w:rsidR="00233296" w:rsidRPr="00233296">
          <w:rPr>
            <w:noProof/>
            <w:webHidden/>
            <w:szCs w:val="20"/>
          </w:rPr>
        </w:r>
        <w:r w:rsidR="00233296" w:rsidRPr="00233296">
          <w:rPr>
            <w:noProof/>
            <w:webHidden/>
            <w:szCs w:val="20"/>
          </w:rPr>
          <w:fldChar w:fldCharType="separate"/>
        </w:r>
        <w:r w:rsidR="00E667FD">
          <w:rPr>
            <w:noProof/>
            <w:webHidden/>
            <w:szCs w:val="20"/>
          </w:rPr>
          <w:t>296</w:t>
        </w:r>
        <w:r w:rsidR="00233296" w:rsidRPr="00233296">
          <w:rPr>
            <w:noProof/>
            <w:webHidden/>
            <w:szCs w:val="20"/>
          </w:rPr>
          <w:fldChar w:fldCharType="end"/>
        </w:r>
      </w:hyperlink>
    </w:p>
    <w:p w14:paraId="6DC5C712" w14:textId="77777777" w:rsidR="00233296" w:rsidRPr="00233296" w:rsidRDefault="00FA14F6">
      <w:pPr>
        <w:pStyle w:val="Spisilustracji"/>
        <w:tabs>
          <w:tab w:val="right" w:leader="dot" w:pos="9060"/>
        </w:tabs>
        <w:rPr>
          <w:rFonts w:eastAsiaTheme="minorEastAsia" w:cstheme="minorBidi"/>
          <w:noProof/>
          <w:szCs w:val="20"/>
        </w:rPr>
      </w:pPr>
      <w:hyperlink w:anchor="_Toc8824257" w:history="1">
        <w:r w:rsidR="00233296" w:rsidRPr="00233296">
          <w:rPr>
            <w:rStyle w:val="Hipercze"/>
            <w:noProof/>
            <w:szCs w:val="20"/>
          </w:rPr>
          <w:t>Tabela 146 Wysokość alokacji ogółem, alokacji głównej, rezerwy wykonania oraz poziom kontraktacji – w ramach PI 9a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_Toc8824257 \h </w:instrText>
        </w:r>
        <w:r w:rsidR="00233296" w:rsidRPr="00233296">
          <w:rPr>
            <w:noProof/>
            <w:webHidden/>
            <w:szCs w:val="20"/>
          </w:rPr>
        </w:r>
        <w:r w:rsidR="00233296" w:rsidRPr="00233296">
          <w:rPr>
            <w:noProof/>
            <w:webHidden/>
            <w:szCs w:val="20"/>
          </w:rPr>
          <w:fldChar w:fldCharType="separate"/>
        </w:r>
        <w:r w:rsidR="00E667FD">
          <w:rPr>
            <w:noProof/>
            <w:webHidden/>
            <w:szCs w:val="20"/>
          </w:rPr>
          <w:t>298</w:t>
        </w:r>
        <w:r w:rsidR="00233296" w:rsidRPr="00233296">
          <w:rPr>
            <w:noProof/>
            <w:webHidden/>
            <w:szCs w:val="20"/>
          </w:rPr>
          <w:fldChar w:fldCharType="end"/>
        </w:r>
      </w:hyperlink>
    </w:p>
    <w:p w14:paraId="5772F619" w14:textId="77777777" w:rsidR="00233296" w:rsidRPr="00233296" w:rsidRDefault="00FA14F6">
      <w:pPr>
        <w:pStyle w:val="Spisilustracji"/>
        <w:tabs>
          <w:tab w:val="right" w:leader="dot" w:pos="9060"/>
        </w:tabs>
        <w:rPr>
          <w:rFonts w:eastAsiaTheme="minorEastAsia" w:cstheme="minorBidi"/>
          <w:noProof/>
          <w:szCs w:val="20"/>
        </w:rPr>
      </w:pPr>
      <w:hyperlink w:anchor="_Toc8824258" w:history="1">
        <w:r w:rsidR="00233296" w:rsidRPr="00233296">
          <w:rPr>
            <w:rStyle w:val="Hipercze"/>
            <w:noProof/>
            <w:szCs w:val="20"/>
          </w:rPr>
          <w:t>Tabela 147 Prognozowany poziom realizacji wskaźników produktu i rezultatu bezpośredniego na rok 2023– PI 9a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_Toc8824258 \h </w:instrText>
        </w:r>
        <w:r w:rsidR="00233296" w:rsidRPr="00233296">
          <w:rPr>
            <w:noProof/>
            <w:webHidden/>
            <w:szCs w:val="20"/>
          </w:rPr>
        </w:r>
        <w:r w:rsidR="00233296" w:rsidRPr="00233296">
          <w:rPr>
            <w:noProof/>
            <w:webHidden/>
            <w:szCs w:val="20"/>
          </w:rPr>
          <w:fldChar w:fldCharType="separate"/>
        </w:r>
        <w:r w:rsidR="00E667FD">
          <w:rPr>
            <w:noProof/>
            <w:webHidden/>
            <w:szCs w:val="20"/>
          </w:rPr>
          <w:t>299</w:t>
        </w:r>
        <w:r w:rsidR="00233296" w:rsidRPr="00233296">
          <w:rPr>
            <w:noProof/>
            <w:webHidden/>
            <w:szCs w:val="20"/>
          </w:rPr>
          <w:fldChar w:fldCharType="end"/>
        </w:r>
      </w:hyperlink>
    </w:p>
    <w:p w14:paraId="705800F5" w14:textId="77777777" w:rsidR="00233296" w:rsidRPr="00233296" w:rsidRDefault="00FA14F6">
      <w:pPr>
        <w:pStyle w:val="Spisilustracji"/>
        <w:tabs>
          <w:tab w:val="right" w:leader="dot" w:pos="9060"/>
        </w:tabs>
        <w:rPr>
          <w:rFonts w:eastAsiaTheme="minorEastAsia" w:cstheme="minorBidi"/>
          <w:noProof/>
          <w:szCs w:val="20"/>
        </w:rPr>
      </w:pPr>
      <w:hyperlink w:anchor="_Toc8824259" w:history="1">
        <w:r w:rsidR="00233296" w:rsidRPr="00233296">
          <w:rPr>
            <w:rStyle w:val="Hipercze"/>
            <w:noProof/>
            <w:szCs w:val="20"/>
          </w:rPr>
          <w:t>Tabela 148 Wskaźniki wymagające zmiany wartości – PI 9a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_Toc8824259 \h </w:instrText>
        </w:r>
        <w:r w:rsidR="00233296" w:rsidRPr="00233296">
          <w:rPr>
            <w:noProof/>
            <w:webHidden/>
            <w:szCs w:val="20"/>
          </w:rPr>
        </w:r>
        <w:r w:rsidR="00233296" w:rsidRPr="00233296">
          <w:rPr>
            <w:noProof/>
            <w:webHidden/>
            <w:szCs w:val="20"/>
          </w:rPr>
          <w:fldChar w:fldCharType="separate"/>
        </w:r>
        <w:r w:rsidR="00E667FD">
          <w:rPr>
            <w:noProof/>
            <w:webHidden/>
            <w:szCs w:val="20"/>
          </w:rPr>
          <w:t>301</w:t>
        </w:r>
        <w:r w:rsidR="00233296" w:rsidRPr="00233296">
          <w:rPr>
            <w:noProof/>
            <w:webHidden/>
            <w:szCs w:val="20"/>
          </w:rPr>
          <w:fldChar w:fldCharType="end"/>
        </w:r>
      </w:hyperlink>
    </w:p>
    <w:p w14:paraId="7B29BC13" w14:textId="77777777" w:rsidR="00233296" w:rsidRPr="00233296" w:rsidRDefault="00FA14F6">
      <w:pPr>
        <w:pStyle w:val="Spisilustracji"/>
        <w:tabs>
          <w:tab w:val="right" w:leader="dot" w:pos="9060"/>
        </w:tabs>
        <w:rPr>
          <w:rFonts w:eastAsiaTheme="minorEastAsia" w:cstheme="minorBidi"/>
          <w:noProof/>
          <w:szCs w:val="20"/>
        </w:rPr>
      </w:pPr>
      <w:hyperlink w:anchor="_Toc8824260" w:history="1">
        <w:r w:rsidR="00233296" w:rsidRPr="00233296">
          <w:rPr>
            <w:rStyle w:val="Hipercze"/>
            <w:noProof/>
            <w:szCs w:val="20"/>
          </w:rPr>
          <w:t>Tabela 149 Wskaźniki produktu (PI 9b)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_Toc8824260 \h </w:instrText>
        </w:r>
        <w:r w:rsidR="00233296" w:rsidRPr="00233296">
          <w:rPr>
            <w:noProof/>
            <w:webHidden/>
            <w:szCs w:val="20"/>
          </w:rPr>
        </w:r>
        <w:r w:rsidR="00233296" w:rsidRPr="00233296">
          <w:rPr>
            <w:noProof/>
            <w:webHidden/>
            <w:szCs w:val="20"/>
          </w:rPr>
          <w:fldChar w:fldCharType="separate"/>
        </w:r>
        <w:r w:rsidR="00E667FD">
          <w:rPr>
            <w:noProof/>
            <w:webHidden/>
            <w:szCs w:val="20"/>
          </w:rPr>
          <w:t>302</w:t>
        </w:r>
        <w:r w:rsidR="00233296" w:rsidRPr="00233296">
          <w:rPr>
            <w:noProof/>
            <w:webHidden/>
            <w:szCs w:val="20"/>
          </w:rPr>
          <w:fldChar w:fldCharType="end"/>
        </w:r>
      </w:hyperlink>
    </w:p>
    <w:p w14:paraId="0B211586" w14:textId="77777777" w:rsidR="00233296" w:rsidRPr="00233296" w:rsidRDefault="00FA14F6">
      <w:pPr>
        <w:pStyle w:val="Spisilustracji"/>
        <w:tabs>
          <w:tab w:val="right" w:leader="dot" w:pos="9060"/>
        </w:tabs>
        <w:rPr>
          <w:rFonts w:eastAsiaTheme="minorEastAsia" w:cstheme="minorBidi"/>
          <w:noProof/>
          <w:szCs w:val="20"/>
        </w:rPr>
      </w:pPr>
      <w:hyperlink w:anchor="_Toc8824261" w:history="1">
        <w:r w:rsidR="00233296" w:rsidRPr="00233296">
          <w:rPr>
            <w:rStyle w:val="Hipercze"/>
            <w:noProof/>
            <w:szCs w:val="20"/>
          </w:rPr>
          <w:t>Tabela 150 Wysokość alokacji ogółem, alokacji głównej, rezerwy wykonania oraz poziom kontraktacji – w ramach PI 9b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_Toc8824261 \h </w:instrText>
        </w:r>
        <w:r w:rsidR="00233296" w:rsidRPr="00233296">
          <w:rPr>
            <w:noProof/>
            <w:webHidden/>
            <w:szCs w:val="20"/>
          </w:rPr>
        </w:r>
        <w:r w:rsidR="00233296" w:rsidRPr="00233296">
          <w:rPr>
            <w:noProof/>
            <w:webHidden/>
            <w:szCs w:val="20"/>
          </w:rPr>
          <w:fldChar w:fldCharType="separate"/>
        </w:r>
        <w:r w:rsidR="00E667FD">
          <w:rPr>
            <w:noProof/>
            <w:webHidden/>
            <w:szCs w:val="20"/>
          </w:rPr>
          <w:t>303</w:t>
        </w:r>
        <w:r w:rsidR="00233296" w:rsidRPr="00233296">
          <w:rPr>
            <w:noProof/>
            <w:webHidden/>
            <w:szCs w:val="20"/>
          </w:rPr>
          <w:fldChar w:fldCharType="end"/>
        </w:r>
      </w:hyperlink>
    </w:p>
    <w:p w14:paraId="0F436975" w14:textId="77777777" w:rsidR="00233296" w:rsidRPr="00233296" w:rsidRDefault="00FA14F6">
      <w:pPr>
        <w:pStyle w:val="Spisilustracji"/>
        <w:tabs>
          <w:tab w:val="right" w:leader="dot" w:pos="9060"/>
        </w:tabs>
        <w:rPr>
          <w:rFonts w:eastAsiaTheme="minorEastAsia" w:cstheme="minorBidi"/>
          <w:noProof/>
          <w:szCs w:val="20"/>
        </w:rPr>
      </w:pPr>
      <w:hyperlink w:anchor="_Toc8824262" w:history="1">
        <w:r w:rsidR="00233296" w:rsidRPr="00233296">
          <w:rPr>
            <w:rStyle w:val="Hipercze"/>
            <w:noProof/>
            <w:szCs w:val="20"/>
          </w:rPr>
          <w:t>Tabela 151 Prognozowany poziom realizacji wskaźników produktu i rezultatu bezpośredniego na rok 2023– PI 9b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_Toc8824262 \h </w:instrText>
        </w:r>
        <w:r w:rsidR="00233296" w:rsidRPr="00233296">
          <w:rPr>
            <w:noProof/>
            <w:webHidden/>
            <w:szCs w:val="20"/>
          </w:rPr>
        </w:r>
        <w:r w:rsidR="00233296" w:rsidRPr="00233296">
          <w:rPr>
            <w:noProof/>
            <w:webHidden/>
            <w:szCs w:val="20"/>
          </w:rPr>
          <w:fldChar w:fldCharType="separate"/>
        </w:r>
        <w:r w:rsidR="00E667FD">
          <w:rPr>
            <w:noProof/>
            <w:webHidden/>
            <w:szCs w:val="20"/>
          </w:rPr>
          <w:t>304</w:t>
        </w:r>
        <w:r w:rsidR="00233296" w:rsidRPr="00233296">
          <w:rPr>
            <w:noProof/>
            <w:webHidden/>
            <w:szCs w:val="20"/>
          </w:rPr>
          <w:fldChar w:fldCharType="end"/>
        </w:r>
      </w:hyperlink>
    </w:p>
    <w:p w14:paraId="283174B0" w14:textId="77777777" w:rsidR="00233296" w:rsidRPr="00233296" w:rsidRDefault="00FA14F6">
      <w:pPr>
        <w:pStyle w:val="Spisilustracji"/>
        <w:tabs>
          <w:tab w:val="right" w:leader="dot" w:pos="9060"/>
        </w:tabs>
        <w:rPr>
          <w:rFonts w:eastAsiaTheme="minorEastAsia" w:cstheme="minorBidi"/>
          <w:noProof/>
          <w:szCs w:val="20"/>
        </w:rPr>
      </w:pPr>
      <w:hyperlink w:anchor="_Toc8824263" w:history="1">
        <w:r w:rsidR="00233296" w:rsidRPr="00233296">
          <w:rPr>
            <w:rStyle w:val="Hipercze"/>
            <w:noProof/>
            <w:szCs w:val="20"/>
          </w:rPr>
          <w:t>Tabela 152 Wskaźniki produktu (PI 9a)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_Toc8824263 \h </w:instrText>
        </w:r>
        <w:r w:rsidR="00233296" w:rsidRPr="00233296">
          <w:rPr>
            <w:noProof/>
            <w:webHidden/>
            <w:szCs w:val="20"/>
          </w:rPr>
        </w:r>
        <w:r w:rsidR="00233296" w:rsidRPr="00233296">
          <w:rPr>
            <w:noProof/>
            <w:webHidden/>
            <w:szCs w:val="20"/>
          </w:rPr>
          <w:fldChar w:fldCharType="separate"/>
        </w:r>
        <w:r w:rsidR="00E667FD">
          <w:rPr>
            <w:noProof/>
            <w:webHidden/>
            <w:szCs w:val="20"/>
          </w:rPr>
          <w:t>306</w:t>
        </w:r>
        <w:r w:rsidR="00233296" w:rsidRPr="00233296">
          <w:rPr>
            <w:noProof/>
            <w:webHidden/>
            <w:szCs w:val="20"/>
          </w:rPr>
          <w:fldChar w:fldCharType="end"/>
        </w:r>
      </w:hyperlink>
    </w:p>
    <w:p w14:paraId="0C564CD9" w14:textId="77777777" w:rsidR="00233296" w:rsidRPr="00233296" w:rsidRDefault="00FA14F6">
      <w:pPr>
        <w:pStyle w:val="Spisilustracji"/>
        <w:tabs>
          <w:tab w:val="right" w:leader="dot" w:pos="9060"/>
        </w:tabs>
        <w:rPr>
          <w:rFonts w:eastAsiaTheme="minorEastAsia" w:cstheme="minorBidi"/>
          <w:noProof/>
          <w:szCs w:val="20"/>
        </w:rPr>
      </w:pPr>
      <w:hyperlink w:anchor="_Toc8824264" w:history="1">
        <w:r w:rsidR="00233296" w:rsidRPr="00233296">
          <w:rPr>
            <w:rStyle w:val="Hipercze"/>
            <w:noProof/>
            <w:szCs w:val="20"/>
          </w:rPr>
          <w:t>Tabela 153 Średnie koszty jednostkowe wskaźników programowych RPO WZ 2014-2020 w województwach benchmarkowych (zł)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_Toc8824264 \h </w:instrText>
        </w:r>
        <w:r w:rsidR="00233296" w:rsidRPr="00233296">
          <w:rPr>
            <w:noProof/>
            <w:webHidden/>
            <w:szCs w:val="20"/>
          </w:rPr>
        </w:r>
        <w:r w:rsidR="00233296" w:rsidRPr="00233296">
          <w:rPr>
            <w:noProof/>
            <w:webHidden/>
            <w:szCs w:val="20"/>
          </w:rPr>
          <w:fldChar w:fldCharType="separate"/>
        </w:r>
        <w:r w:rsidR="00E667FD">
          <w:rPr>
            <w:noProof/>
            <w:webHidden/>
            <w:szCs w:val="20"/>
          </w:rPr>
          <w:t>308</w:t>
        </w:r>
        <w:r w:rsidR="00233296" w:rsidRPr="00233296">
          <w:rPr>
            <w:noProof/>
            <w:webHidden/>
            <w:szCs w:val="20"/>
          </w:rPr>
          <w:fldChar w:fldCharType="end"/>
        </w:r>
      </w:hyperlink>
    </w:p>
    <w:p w14:paraId="65CECA31" w14:textId="77777777" w:rsidR="00233296" w:rsidRPr="00233296" w:rsidRDefault="00FA14F6">
      <w:pPr>
        <w:pStyle w:val="Spisilustracji"/>
        <w:tabs>
          <w:tab w:val="right" w:leader="dot" w:pos="9060"/>
        </w:tabs>
        <w:rPr>
          <w:rFonts w:eastAsiaTheme="minorEastAsia" w:cstheme="minorBidi"/>
          <w:noProof/>
          <w:szCs w:val="20"/>
        </w:rPr>
      </w:pPr>
      <w:hyperlink w:anchor="_Toc8824265" w:history="1">
        <w:r w:rsidR="00233296" w:rsidRPr="00233296">
          <w:rPr>
            <w:rStyle w:val="Hipercze"/>
            <w:noProof/>
            <w:szCs w:val="20"/>
          </w:rPr>
          <w:t>Tabela 154 Wysokość alokacji ogółem, alokacji głównej, rezerwy wykonania oraz poziom kontraktacji – w ramach PI 9a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_Toc8824265 \h </w:instrText>
        </w:r>
        <w:r w:rsidR="00233296" w:rsidRPr="00233296">
          <w:rPr>
            <w:noProof/>
            <w:webHidden/>
            <w:szCs w:val="20"/>
          </w:rPr>
        </w:r>
        <w:r w:rsidR="00233296" w:rsidRPr="00233296">
          <w:rPr>
            <w:noProof/>
            <w:webHidden/>
            <w:szCs w:val="20"/>
          </w:rPr>
          <w:fldChar w:fldCharType="separate"/>
        </w:r>
        <w:r w:rsidR="00E667FD">
          <w:rPr>
            <w:noProof/>
            <w:webHidden/>
            <w:szCs w:val="20"/>
          </w:rPr>
          <w:t>309</w:t>
        </w:r>
        <w:r w:rsidR="00233296" w:rsidRPr="00233296">
          <w:rPr>
            <w:noProof/>
            <w:webHidden/>
            <w:szCs w:val="20"/>
          </w:rPr>
          <w:fldChar w:fldCharType="end"/>
        </w:r>
      </w:hyperlink>
    </w:p>
    <w:p w14:paraId="492F9DD4" w14:textId="77777777" w:rsidR="00233296" w:rsidRPr="00233296" w:rsidRDefault="00FA14F6">
      <w:pPr>
        <w:pStyle w:val="Spisilustracji"/>
        <w:tabs>
          <w:tab w:val="right" w:leader="dot" w:pos="9060"/>
        </w:tabs>
        <w:rPr>
          <w:rFonts w:eastAsiaTheme="minorEastAsia" w:cstheme="minorBidi"/>
          <w:noProof/>
          <w:szCs w:val="20"/>
        </w:rPr>
      </w:pPr>
      <w:hyperlink w:anchor="_Toc8824266" w:history="1">
        <w:r w:rsidR="00233296" w:rsidRPr="00233296">
          <w:rPr>
            <w:rStyle w:val="Hipercze"/>
            <w:noProof/>
            <w:szCs w:val="20"/>
          </w:rPr>
          <w:t>Tabela 155 Prognozowany poziom realizacji wskaźników produktu i rezultatu bezpośredniego na rok 2023– PI 10a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_Toc8824266 \h </w:instrText>
        </w:r>
        <w:r w:rsidR="00233296" w:rsidRPr="00233296">
          <w:rPr>
            <w:noProof/>
            <w:webHidden/>
            <w:szCs w:val="20"/>
          </w:rPr>
        </w:r>
        <w:r w:rsidR="00233296" w:rsidRPr="00233296">
          <w:rPr>
            <w:noProof/>
            <w:webHidden/>
            <w:szCs w:val="20"/>
          </w:rPr>
          <w:fldChar w:fldCharType="separate"/>
        </w:r>
        <w:r w:rsidR="00E667FD">
          <w:rPr>
            <w:noProof/>
            <w:webHidden/>
            <w:szCs w:val="20"/>
          </w:rPr>
          <w:t>311</w:t>
        </w:r>
        <w:r w:rsidR="00233296" w:rsidRPr="00233296">
          <w:rPr>
            <w:noProof/>
            <w:webHidden/>
            <w:szCs w:val="20"/>
          </w:rPr>
          <w:fldChar w:fldCharType="end"/>
        </w:r>
      </w:hyperlink>
    </w:p>
    <w:p w14:paraId="42C6BAA9" w14:textId="77777777" w:rsidR="00233296" w:rsidRPr="00233296" w:rsidRDefault="00FA14F6">
      <w:pPr>
        <w:pStyle w:val="Spisilustracji"/>
        <w:tabs>
          <w:tab w:val="right" w:leader="dot" w:pos="9060"/>
        </w:tabs>
        <w:rPr>
          <w:rFonts w:eastAsiaTheme="minorEastAsia" w:cstheme="minorBidi"/>
          <w:noProof/>
          <w:szCs w:val="20"/>
        </w:rPr>
      </w:pPr>
      <w:hyperlink w:anchor="_Toc8824267" w:history="1">
        <w:r w:rsidR="00233296" w:rsidRPr="00233296">
          <w:rPr>
            <w:rStyle w:val="Hipercze"/>
            <w:noProof/>
            <w:szCs w:val="20"/>
          </w:rPr>
          <w:t>Tabela 156 Wskaźniki produktu (PI 2c) – postęp rzeczowy</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_Toc8824267 \h </w:instrText>
        </w:r>
        <w:r w:rsidR="00233296" w:rsidRPr="00233296">
          <w:rPr>
            <w:noProof/>
            <w:webHidden/>
            <w:szCs w:val="20"/>
          </w:rPr>
        </w:r>
        <w:r w:rsidR="00233296" w:rsidRPr="00233296">
          <w:rPr>
            <w:noProof/>
            <w:webHidden/>
            <w:szCs w:val="20"/>
          </w:rPr>
          <w:fldChar w:fldCharType="separate"/>
        </w:r>
        <w:r w:rsidR="00E667FD">
          <w:rPr>
            <w:noProof/>
            <w:webHidden/>
            <w:szCs w:val="20"/>
          </w:rPr>
          <w:t>314</w:t>
        </w:r>
        <w:r w:rsidR="00233296" w:rsidRPr="00233296">
          <w:rPr>
            <w:noProof/>
            <w:webHidden/>
            <w:szCs w:val="20"/>
          </w:rPr>
          <w:fldChar w:fldCharType="end"/>
        </w:r>
      </w:hyperlink>
    </w:p>
    <w:p w14:paraId="5CF3CDC5" w14:textId="77777777" w:rsidR="00233296" w:rsidRPr="00233296" w:rsidRDefault="00FA14F6">
      <w:pPr>
        <w:pStyle w:val="Spisilustracji"/>
        <w:tabs>
          <w:tab w:val="right" w:leader="dot" w:pos="9060"/>
        </w:tabs>
        <w:rPr>
          <w:rFonts w:eastAsiaTheme="minorEastAsia" w:cstheme="minorBidi"/>
          <w:noProof/>
          <w:szCs w:val="20"/>
        </w:rPr>
      </w:pPr>
      <w:hyperlink w:anchor="_Toc8824268" w:history="1">
        <w:r w:rsidR="00233296" w:rsidRPr="00233296">
          <w:rPr>
            <w:rStyle w:val="Hipercze"/>
            <w:noProof/>
            <w:szCs w:val="20"/>
          </w:rPr>
          <w:t>Tabela 157 Prognozowany poziom realizacji wskaźników produktu i rezultatu bezpośredniego na rok 2023 – PI 2c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_Toc8824268 \h </w:instrText>
        </w:r>
        <w:r w:rsidR="00233296" w:rsidRPr="00233296">
          <w:rPr>
            <w:noProof/>
            <w:webHidden/>
            <w:szCs w:val="20"/>
          </w:rPr>
        </w:r>
        <w:r w:rsidR="00233296" w:rsidRPr="00233296">
          <w:rPr>
            <w:noProof/>
            <w:webHidden/>
            <w:szCs w:val="20"/>
          </w:rPr>
          <w:fldChar w:fldCharType="separate"/>
        </w:r>
        <w:r w:rsidR="00E667FD">
          <w:rPr>
            <w:noProof/>
            <w:webHidden/>
            <w:szCs w:val="20"/>
          </w:rPr>
          <w:t>316</w:t>
        </w:r>
        <w:r w:rsidR="00233296" w:rsidRPr="00233296">
          <w:rPr>
            <w:noProof/>
            <w:webHidden/>
            <w:szCs w:val="20"/>
          </w:rPr>
          <w:fldChar w:fldCharType="end"/>
        </w:r>
      </w:hyperlink>
    </w:p>
    <w:p w14:paraId="1029D962" w14:textId="77777777" w:rsidR="00233296" w:rsidRPr="00233296" w:rsidRDefault="00FA14F6">
      <w:pPr>
        <w:pStyle w:val="Spisilustracji"/>
        <w:tabs>
          <w:tab w:val="right" w:leader="dot" w:pos="9060"/>
        </w:tabs>
        <w:rPr>
          <w:rFonts w:eastAsiaTheme="minorEastAsia" w:cstheme="minorBidi"/>
          <w:noProof/>
          <w:szCs w:val="20"/>
        </w:rPr>
      </w:pPr>
      <w:hyperlink w:anchor="_Toc8824269" w:history="1">
        <w:r w:rsidR="00233296" w:rsidRPr="00233296">
          <w:rPr>
            <w:rStyle w:val="Hipercze"/>
            <w:noProof/>
            <w:szCs w:val="20"/>
          </w:rPr>
          <w:t>Tabela 158 Postęp finansowy Działań realizujących instrumenty terytorialne oraz analogicznego Działania wdrażanego w całym regionie - PI 3a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_Toc8824269 \h </w:instrText>
        </w:r>
        <w:r w:rsidR="00233296" w:rsidRPr="00233296">
          <w:rPr>
            <w:noProof/>
            <w:webHidden/>
            <w:szCs w:val="20"/>
          </w:rPr>
        </w:r>
        <w:r w:rsidR="00233296" w:rsidRPr="00233296">
          <w:rPr>
            <w:noProof/>
            <w:webHidden/>
            <w:szCs w:val="20"/>
          </w:rPr>
          <w:fldChar w:fldCharType="separate"/>
        </w:r>
        <w:r w:rsidR="00E667FD">
          <w:rPr>
            <w:noProof/>
            <w:webHidden/>
            <w:szCs w:val="20"/>
          </w:rPr>
          <w:t>320</w:t>
        </w:r>
        <w:r w:rsidR="00233296" w:rsidRPr="00233296">
          <w:rPr>
            <w:noProof/>
            <w:webHidden/>
            <w:szCs w:val="20"/>
          </w:rPr>
          <w:fldChar w:fldCharType="end"/>
        </w:r>
      </w:hyperlink>
    </w:p>
    <w:p w14:paraId="30853DC6" w14:textId="77777777" w:rsidR="00233296" w:rsidRPr="00233296" w:rsidRDefault="00FA14F6">
      <w:pPr>
        <w:pStyle w:val="Spisilustracji"/>
        <w:tabs>
          <w:tab w:val="right" w:leader="dot" w:pos="9060"/>
        </w:tabs>
        <w:rPr>
          <w:rFonts w:eastAsiaTheme="minorEastAsia" w:cstheme="minorBidi"/>
          <w:noProof/>
          <w:szCs w:val="20"/>
        </w:rPr>
      </w:pPr>
      <w:hyperlink w:anchor="_Toc8824270" w:history="1">
        <w:r w:rsidR="00233296" w:rsidRPr="00233296">
          <w:rPr>
            <w:rStyle w:val="Hipercze"/>
            <w:noProof/>
            <w:szCs w:val="20"/>
          </w:rPr>
          <w:t>Tabela 159 Udział projektów, z wybranych Działań realizujących instrumenty terytorialne oraz analogicznego Działania/Działań wdrażanego w całym regionie, w osiąganiu celów PI 4c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_Toc8824270 \h </w:instrText>
        </w:r>
        <w:r w:rsidR="00233296" w:rsidRPr="00233296">
          <w:rPr>
            <w:noProof/>
            <w:webHidden/>
            <w:szCs w:val="20"/>
          </w:rPr>
        </w:r>
        <w:r w:rsidR="00233296" w:rsidRPr="00233296">
          <w:rPr>
            <w:noProof/>
            <w:webHidden/>
            <w:szCs w:val="20"/>
          </w:rPr>
          <w:fldChar w:fldCharType="separate"/>
        </w:r>
        <w:r w:rsidR="00E667FD">
          <w:rPr>
            <w:noProof/>
            <w:webHidden/>
            <w:szCs w:val="20"/>
          </w:rPr>
          <w:t>322</w:t>
        </w:r>
        <w:r w:rsidR="00233296" w:rsidRPr="00233296">
          <w:rPr>
            <w:noProof/>
            <w:webHidden/>
            <w:szCs w:val="20"/>
          </w:rPr>
          <w:fldChar w:fldCharType="end"/>
        </w:r>
      </w:hyperlink>
    </w:p>
    <w:p w14:paraId="029F9F1D" w14:textId="77777777" w:rsidR="00233296" w:rsidRPr="00233296" w:rsidRDefault="00FA14F6">
      <w:pPr>
        <w:pStyle w:val="Spisilustracji"/>
        <w:tabs>
          <w:tab w:val="right" w:leader="dot" w:pos="9060"/>
        </w:tabs>
        <w:rPr>
          <w:rFonts w:eastAsiaTheme="minorEastAsia" w:cstheme="minorBidi"/>
          <w:noProof/>
          <w:szCs w:val="20"/>
        </w:rPr>
      </w:pPr>
      <w:hyperlink w:anchor="_Toc8824271" w:history="1">
        <w:r w:rsidR="00233296" w:rsidRPr="00233296">
          <w:rPr>
            <w:rStyle w:val="Hipercze"/>
            <w:noProof/>
            <w:szCs w:val="20"/>
          </w:rPr>
          <w:t>Tabela 160 Postęp finansowy Działań realizujących instrumenty terytorialne oraz analogicznego Działania/Działań wdrażanego w całym regionie - PI 4c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_Toc8824271 \h </w:instrText>
        </w:r>
        <w:r w:rsidR="00233296" w:rsidRPr="00233296">
          <w:rPr>
            <w:noProof/>
            <w:webHidden/>
            <w:szCs w:val="20"/>
          </w:rPr>
        </w:r>
        <w:r w:rsidR="00233296" w:rsidRPr="00233296">
          <w:rPr>
            <w:noProof/>
            <w:webHidden/>
            <w:szCs w:val="20"/>
          </w:rPr>
          <w:fldChar w:fldCharType="separate"/>
        </w:r>
        <w:r w:rsidR="00E667FD">
          <w:rPr>
            <w:noProof/>
            <w:webHidden/>
            <w:szCs w:val="20"/>
          </w:rPr>
          <w:t>324</w:t>
        </w:r>
        <w:r w:rsidR="00233296" w:rsidRPr="00233296">
          <w:rPr>
            <w:noProof/>
            <w:webHidden/>
            <w:szCs w:val="20"/>
          </w:rPr>
          <w:fldChar w:fldCharType="end"/>
        </w:r>
      </w:hyperlink>
    </w:p>
    <w:p w14:paraId="40A7C845" w14:textId="77777777" w:rsidR="00233296" w:rsidRPr="00233296" w:rsidRDefault="00FA14F6">
      <w:pPr>
        <w:pStyle w:val="Spisilustracji"/>
        <w:tabs>
          <w:tab w:val="right" w:leader="dot" w:pos="9060"/>
        </w:tabs>
        <w:rPr>
          <w:rFonts w:eastAsiaTheme="minorEastAsia" w:cstheme="minorBidi"/>
          <w:noProof/>
          <w:szCs w:val="20"/>
        </w:rPr>
      </w:pPr>
      <w:hyperlink w:anchor="_Toc8824272" w:history="1">
        <w:r w:rsidR="00233296" w:rsidRPr="00233296">
          <w:rPr>
            <w:rStyle w:val="Hipercze"/>
            <w:noProof/>
            <w:szCs w:val="20"/>
          </w:rPr>
          <w:t>Tabela 161 Udział projektów, z wybranych Działań realizujących instrumenty terytorialne oraz analogicznego Działania/Działań wdrażanego w całym regionie, w osiąganiu celów PI 4c</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_Toc8824272 \h </w:instrText>
        </w:r>
        <w:r w:rsidR="00233296" w:rsidRPr="00233296">
          <w:rPr>
            <w:noProof/>
            <w:webHidden/>
            <w:szCs w:val="20"/>
          </w:rPr>
        </w:r>
        <w:r w:rsidR="00233296" w:rsidRPr="00233296">
          <w:rPr>
            <w:noProof/>
            <w:webHidden/>
            <w:szCs w:val="20"/>
          </w:rPr>
          <w:fldChar w:fldCharType="separate"/>
        </w:r>
        <w:r w:rsidR="00E667FD">
          <w:rPr>
            <w:noProof/>
            <w:webHidden/>
            <w:szCs w:val="20"/>
          </w:rPr>
          <w:t>327</w:t>
        </w:r>
        <w:r w:rsidR="00233296" w:rsidRPr="00233296">
          <w:rPr>
            <w:noProof/>
            <w:webHidden/>
            <w:szCs w:val="20"/>
          </w:rPr>
          <w:fldChar w:fldCharType="end"/>
        </w:r>
      </w:hyperlink>
    </w:p>
    <w:p w14:paraId="7FBAC366" w14:textId="77777777" w:rsidR="00233296" w:rsidRPr="00233296" w:rsidRDefault="00FA14F6">
      <w:pPr>
        <w:pStyle w:val="Spisilustracji"/>
        <w:tabs>
          <w:tab w:val="right" w:leader="dot" w:pos="9060"/>
        </w:tabs>
        <w:rPr>
          <w:rFonts w:eastAsiaTheme="minorEastAsia" w:cstheme="minorBidi"/>
          <w:noProof/>
          <w:szCs w:val="20"/>
        </w:rPr>
      </w:pPr>
      <w:hyperlink w:anchor="_Toc8824273" w:history="1">
        <w:r w:rsidR="00233296" w:rsidRPr="00233296">
          <w:rPr>
            <w:rStyle w:val="Hipercze"/>
            <w:noProof/>
            <w:szCs w:val="20"/>
          </w:rPr>
          <w:t>Tabela 162 Postęp finansowy Działań realizujących instrumenty terytorialne oraz analogicznego Działania wdrażanego w całym regionie - PI 4e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_Toc8824273 \h </w:instrText>
        </w:r>
        <w:r w:rsidR="00233296" w:rsidRPr="00233296">
          <w:rPr>
            <w:noProof/>
            <w:webHidden/>
            <w:szCs w:val="20"/>
          </w:rPr>
        </w:r>
        <w:r w:rsidR="00233296" w:rsidRPr="00233296">
          <w:rPr>
            <w:noProof/>
            <w:webHidden/>
            <w:szCs w:val="20"/>
          </w:rPr>
          <w:fldChar w:fldCharType="separate"/>
        </w:r>
        <w:r w:rsidR="00E667FD">
          <w:rPr>
            <w:noProof/>
            <w:webHidden/>
            <w:szCs w:val="20"/>
          </w:rPr>
          <w:t>330</w:t>
        </w:r>
        <w:r w:rsidR="00233296" w:rsidRPr="00233296">
          <w:rPr>
            <w:noProof/>
            <w:webHidden/>
            <w:szCs w:val="20"/>
          </w:rPr>
          <w:fldChar w:fldCharType="end"/>
        </w:r>
      </w:hyperlink>
    </w:p>
    <w:p w14:paraId="3AE72A13" w14:textId="77777777" w:rsidR="00233296" w:rsidRPr="00233296" w:rsidRDefault="00FA14F6">
      <w:pPr>
        <w:pStyle w:val="Spisilustracji"/>
        <w:tabs>
          <w:tab w:val="right" w:leader="dot" w:pos="9060"/>
        </w:tabs>
        <w:rPr>
          <w:rFonts w:eastAsiaTheme="minorEastAsia" w:cstheme="minorBidi"/>
          <w:noProof/>
          <w:szCs w:val="20"/>
        </w:rPr>
      </w:pPr>
      <w:hyperlink w:anchor="_Toc8824274" w:history="1">
        <w:r w:rsidR="00233296" w:rsidRPr="00233296">
          <w:rPr>
            <w:rStyle w:val="Hipercze"/>
            <w:noProof/>
            <w:szCs w:val="20"/>
          </w:rPr>
          <w:t>Tabela 163 Udział projektów, z wybranych Działań realizujących instrumenty terytorialne oraz analogicznego Działania/Działań wdrażanego w całym regionie, w osiąganiu celów PI 4e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_Toc8824274 \h </w:instrText>
        </w:r>
        <w:r w:rsidR="00233296" w:rsidRPr="00233296">
          <w:rPr>
            <w:noProof/>
            <w:webHidden/>
            <w:szCs w:val="20"/>
          </w:rPr>
        </w:r>
        <w:r w:rsidR="00233296" w:rsidRPr="00233296">
          <w:rPr>
            <w:noProof/>
            <w:webHidden/>
            <w:szCs w:val="20"/>
          </w:rPr>
          <w:fldChar w:fldCharType="separate"/>
        </w:r>
        <w:r w:rsidR="00E667FD">
          <w:rPr>
            <w:noProof/>
            <w:webHidden/>
            <w:szCs w:val="20"/>
          </w:rPr>
          <w:t>332</w:t>
        </w:r>
        <w:r w:rsidR="00233296" w:rsidRPr="00233296">
          <w:rPr>
            <w:noProof/>
            <w:webHidden/>
            <w:szCs w:val="20"/>
          </w:rPr>
          <w:fldChar w:fldCharType="end"/>
        </w:r>
      </w:hyperlink>
    </w:p>
    <w:p w14:paraId="5145E4DB" w14:textId="77777777" w:rsidR="00233296" w:rsidRPr="00233296" w:rsidRDefault="00FA14F6">
      <w:pPr>
        <w:pStyle w:val="Spisilustracji"/>
        <w:tabs>
          <w:tab w:val="right" w:leader="dot" w:pos="9060"/>
        </w:tabs>
        <w:rPr>
          <w:rFonts w:eastAsiaTheme="minorEastAsia" w:cstheme="minorBidi"/>
          <w:noProof/>
          <w:szCs w:val="20"/>
        </w:rPr>
      </w:pPr>
      <w:hyperlink w:anchor="_Toc8824275" w:history="1">
        <w:r w:rsidR="00233296" w:rsidRPr="00233296">
          <w:rPr>
            <w:rStyle w:val="Hipercze"/>
            <w:noProof/>
            <w:szCs w:val="20"/>
          </w:rPr>
          <w:t>Tabela 164 Postęp finansowy Działań realizujących instrumenty terytorialne oraz analogicznego Działania wdrażanego w całym regionie - PI 7b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_Toc8824275 \h </w:instrText>
        </w:r>
        <w:r w:rsidR="00233296" w:rsidRPr="00233296">
          <w:rPr>
            <w:noProof/>
            <w:webHidden/>
            <w:szCs w:val="20"/>
          </w:rPr>
        </w:r>
        <w:r w:rsidR="00233296" w:rsidRPr="00233296">
          <w:rPr>
            <w:noProof/>
            <w:webHidden/>
            <w:szCs w:val="20"/>
          </w:rPr>
          <w:fldChar w:fldCharType="separate"/>
        </w:r>
        <w:r w:rsidR="00E667FD">
          <w:rPr>
            <w:noProof/>
            <w:webHidden/>
            <w:szCs w:val="20"/>
          </w:rPr>
          <w:t>335</w:t>
        </w:r>
        <w:r w:rsidR="00233296" w:rsidRPr="00233296">
          <w:rPr>
            <w:noProof/>
            <w:webHidden/>
            <w:szCs w:val="20"/>
          </w:rPr>
          <w:fldChar w:fldCharType="end"/>
        </w:r>
      </w:hyperlink>
    </w:p>
    <w:p w14:paraId="01698A1E" w14:textId="77777777" w:rsidR="00233296" w:rsidRPr="00233296" w:rsidRDefault="00FA14F6">
      <w:pPr>
        <w:pStyle w:val="Spisilustracji"/>
        <w:tabs>
          <w:tab w:val="right" w:leader="dot" w:pos="9060"/>
        </w:tabs>
        <w:rPr>
          <w:rFonts w:eastAsiaTheme="minorEastAsia" w:cstheme="minorBidi"/>
          <w:noProof/>
          <w:szCs w:val="20"/>
        </w:rPr>
      </w:pPr>
      <w:hyperlink w:anchor="_Toc8824276" w:history="1">
        <w:r w:rsidR="00233296" w:rsidRPr="00233296">
          <w:rPr>
            <w:rStyle w:val="Hipercze"/>
            <w:noProof/>
            <w:szCs w:val="20"/>
          </w:rPr>
          <w:t>Tabela 165 Udział projektów, z wybranych Działań realizujących instrumenty terytorialne oraz analogicznego Działania/Działań wdrażanego w całym regionie, w osiąganiu celów PI 7b</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_Toc8824276 \h </w:instrText>
        </w:r>
        <w:r w:rsidR="00233296" w:rsidRPr="00233296">
          <w:rPr>
            <w:noProof/>
            <w:webHidden/>
            <w:szCs w:val="20"/>
          </w:rPr>
        </w:r>
        <w:r w:rsidR="00233296" w:rsidRPr="00233296">
          <w:rPr>
            <w:noProof/>
            <w:webHidden/>
            <w:szCs w:val="20"/>
          </w:rPr>
          <w:fldChar w:fldCharType="separate"/>
        </w:r>
        <w:r w:rsidR="00E667FD">
          <w:rPr>
            <w:noProof/>
            <w:webHidden/>
            <w:szCs w:val="20"/>
          </w:rPr>
          <w:t>336</w:t>
        </w:r>
        <w:r w:rsidR="00233296" w:rsidRPr="00233296">
          <w:rPr>
            <w:noProof/>
            <w:webHidden/>
            <w:szCs w:val="20"/>
          </w:rPr>
          <w:fldChar w:fldCharType="end"/>
        </w:r>
      </w:hyperlink>
    </w:p>
    <w:p w14:paraId="48E44B3C" w14:textId="77777777" w:rsidR="00233296" w:rsidRPr="00233296" w:rsidRDefault="00FA14F6">
      <w:pPr>
        <w:pStyle w:val="Spisilustracji"/>
        <w:tabs>
          <w:tab w:val="right" w:leader="dot" w:pos="9060"/>
        </w:tabs>
        <w:rPr>
          <w:rFonts w:eastAsiaTheme="minorEastAsia" w:cstheme="minorBidi"/>
          <w:noProof/>
          <w:szCs w:val="20"/>
        </w:rPr>
      </w:pPr>
      <w:hyperlink w:anchor="_Toc8824277" w:history="1">
        <w:r w:rsidR="00233296" w:rsidRPr="00233296">
          <w:rPr>
            <w:rStyle w:val="Hipercze"/>
            <w:noProof/>
            <w:szCs w:val="20"/>
          </w:rPr>
          <w:t>Tabela 166 Postęp finansowy Działań realizujących instrumenty terytorialne oraz analogicznego Działania wdrażanego w całym regionie - PI 8iv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_Toc8824277 \h </w:instrText>
        </w:r>
        <w:r w:rsidR="00233296" w:rsidRPr="00233296">
          <w:rPr>
            <w:noProof/>
            <w:webHidden/>
            <w:szCs w:val="20"/>
          </w:rPr>
        </w:r>
        <w:r w:rsidR="00233296" w:rsidRPr="00233296">
          <w:rPr>
            <w:noProof/>
            <w:webHidden/>
            <w:szCs w:val="20"/>
          </w:rPr>
          <w:fldChar w:fldCharType="separate"/>
        </w:r>
        <w:r w:rsidR="00E667FD">
          <w:rPr>
            <w:noProof/>
            <w:webHidden/>
            <w:szCs w:val="20"/>
          </w:rPr>
          <w:t>338</w:t>
        </w:r>
        <w:r w:rsidR="00233296" w:rsidRPr="00233296">
          <w:rPr>
            <w:noProof/>
            <w:webHidden/>
            <w:szCs w:val="20"/>
          </w:rPr>
          <w:fldChar w:fldCharType="end"/>
        </w:r>
      </w:hyperlink>
    </w:p>
    <w:p w14:paraId="79270853" w14:textId="77777777" w:rsidR="00233296" w:rsidRPr="00233296" w:rsidRDefault="00FA14F6">
      <w:pPr>
        <w:pStyle w:val="Spisilustracji"/>
        <w:tabs>
          <w:tab w:val="right" w:leader="dot" w:pos="9060"/>
        </w:tabs>
        <w:rPr>
          <w:rFonts w:eastAsiaTheme="minorEastAsia" w:cstheme="minorBidi"/>
          <w:noProof/>
          <w:szCs w:val="20"/>
        </w:rPr>
      </w:pPr>
      <w:hyperlink w:anchor="_Toc8824278" w:history="1">
        <w:r w:rsidR="00233296" w:rsidRPr="00233296">
          <w:rPr>
            <w:rStyle w:val="Hipercze"/>
            <w:noProof/>
            <w:szCs w:val="20"/>
          </w:rPr>
          <w:t>Tabela 167 Udział projektów, z wybranych Działań realizujących instrumenty terytorialne oraz analogicznego Działania/Działań wdrażanego w całym regionie, w osiąganiu celów PI 8iv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_Toc8824278 \h </w:instrText>
        </w:r>
        <w:r w:rsidR="00233296" w:rsidRPr="00233296">
          <w:rPr>
            <w:noProof/>
            <w:webHidden/>
            <w:szCs w:val="20"/>
          </w:rPr>
        </w:r>
        <w:r w:rsidR="00233296" w:rsidRPr="00233296">
          <w:rPr>
            <w:noProof/>
            <w:webHidden/>
            <w:szCs w:val="20"/>
          </w:rPr>
          <w:fldChar w:fldCharType="separate"/>
        </w:r>
        <w:r w:rsidR="00E667FD">
          <w:rPr>
            <w:noProof/>
            <w:webHidden/>
            <w:szCs w:val="20"/>
          </w:rPr>
          <w:t>340</w:t>
        </w:r>
        <w:r w:rsidR="00233296" w:rsidRPr="00233296">
          <w:rPr>
            <w:noProof/>
            <w:webHidden/>
            <w:szCs w:val="20"/>
          </w:rPr>
          <w:fldChar w:fldCharType="end"/>
        </w:r>
      </w:hyperlink>
    </w:p>
    <w:p w14:paraId="6977410D" w14:textId="77777777" w:rsidR="00233296" w:rsidRPr="00233296" w:rsidRDefault="00FA14F6">
      <w:pPr>
        <w:pStyle w:val="Spisilustracji"/>
        <w:tabs>
          <w:tab w:val="right" w:leader="dot" w:pos="9060"/>
        </w:tabs>
        <w:rPr>
          <w:rFonts w:eastAsiaTheme="minorEastAsia" w:cstheme="minorBidi"/>
          <w:noProof/>
          <w:szCs w:val="20"/>
        </w:rPr>
      </w:pPr>
      <w:hyperlink w:anchor="_Toc8824279" w:history="1">
        <w:r w:rsidR="00233296" w:rsidRPr="00233296">
          <w:rPr>
            <w:rStyle w:val="Hipercze"/>
            <w:noProof/>
            <w:szCs w:val="20"/>
          </w:rPr>
          <w:t>Tabela 168 Postęp finansowy Działań realizujących instrumenty terytorialne oraz analogicznego Działania wdrażanego w całym regionie - PI 10i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_Toc8824279 \h </w:instrText>
        </w:r>
        <w:r w:rsidR="00233296" w:rsidRPr="00233296">
          <w:rPr>
            <w:noProof/>
            <w:webHidden/>
            <w:szCs w:val="20"/>
          </w:rPr>
        </w:r>
        <w:r w:rsidR="00233296" w:rsidRPr="00233296">
          <w:rPr>
            <w:noProof/>
            <w:webHidden/>
            <w:szCs w:val="20"/>
          </w:rPr>
          <w:fldChar w:fldCharType="separate"/>
        </w:r>
        <w:r w:rsidR="00E667FD">
          <w:rPr>
            <w:noProof/>
            <w:webHidden/>
            <w:szCs w:val="20"/>
          </w:rPr>
          <w:t>342</w:t>
        </w:r>
        <w:r w:rsidR="00233296" w:rsidRPr="00233296">
          <w:rPr>
            <w:noProof/>
            <w:webHidden/>
            <w:szCs w:val="20"/>
          </w:rPr>
          <w:fldChar w:fldCharType="end"/>
        </w:r>
      </w:hyperlink>
    </w:p>
    <w:p w14:paraId="1F0774F4" w14:textId="77777777" w:rsidR="00233296" w:rsidRPr="00233296" w:rsidRDefault="00FA14F6">
      <w:pPr>
        <w:pStyle w:val="Spisilustracji"/>
        <w:tabs>
          <w:tab w:val="right" w:leader="dot" w:pos="9060"/>
        </w:tabs>
        <w:rPr>
          <w:rFonts w:eastAsiaTheme="minorEastAsia" w:cstheme="minorBidi"/>
          <w:noProof/>
          <w:szCs w:val="20"/>
        </w:rPr>
      </w:pPr>
      <w:hyperlink w:anchor="_Toc8824280" w:history="1">
        <w:r w:rsidR="00233296" w:rsidRPr="00233296">
          <w:rPr>
            <w:rStyle w:val="Hipercze"/>
            <w:noProof/>
            <w:szCs w:val="20"/>
          </w:rPr>
          <w:t>Tabela 169 Udział projektów, z wybranych Działań realizujących instrumenty terytorialne oraz analogicznego Działania/Działań wdrażanego w całym regionie, w osiąganiu celów PI 10i</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_Toc8824280 \h </w:instrText>
        </w:r>
        <w:r w:rsidR="00233296" w:rsidRPr="00233296">
          <w:rPr>
            <w:noProof/>
            <w:webHidden/>
            <w:szCs w:val="20"/>
          </w:rPr>
        </w:r>
        <w:r w:rsidR="00233296" w:rsidRPr="00233296">
          <w:rPr>
            <w:noProof/>
            <w:webHidden/>
            <w:szCs w:val="20"/>
          </w:rPr>
          <w:fldChar w:fldCharType="separate"/>
        </w:r>
        <w:r w:rsidR="00E667FD">
          <w:rPr>
            <w:noProof/>
            <w:webHidden/>
            <w:szCs w:val="20"/>
          </w:rPr>
          <w:t>346</w:t>
        </w:r>
        <w:r w:rsidR="00233296" w:rsidRPr="00233296">
          <w:rPr>
            <w:noProof/>
            <w:webHidden/>
            <w:szCs w:val="20"/>
          </w:rPr>
          <w:fldChar w:fldCharType="end"/>
        </w:r>
      </w:hyperlink>
    </w:p>
    <w:p w14:paraId="7C1E7753" w14:textId="77777777" w:rsidR="00233296" w:rsidRPr="00233296" w:rsidRDefault="00FA14F6">
      <w:pPr>
        <w:pStyle w:val="Spisilustracji"/>
        <w:tabs>
          <w:tab w:val="right" w:leader="dot" w:pos="9060"/>
        </w:tabs>
        <w:rPr>
          <w:rFonts w:eastAsiaTheme="minorEastAsia" w:cstheme="minorBidi"/>
          <w:noProof/>
          <w:szCs w:val="20"/>
        </w:rPr>
      </w:pPr>
      <w:hyperlink w:anchor="_Toc8824281" w:history="1">
        <w:r w:rsidR="00233296" w:rsidRPr="00233296">
          <w:rPr>
            <w:rStyle w:val="Hipercze"/>
            <w:noProof/>
            <w:szCs w:val="20"/>
          </w:rPr>
          <w:t>Tabela 170 Postęp finansowy Działań realizujących instrumenty terytorialne oraz analogicznego Działania wdrażanego w całym regionie - PI 10iv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_Toc8824281 \h </w:instrText>
        </w:r>
        <w:r w:rsidR="00233296" w:rsidRPr="00233296">
          <w:rPr>
            <w:noProof/>
            <w:webHidden/>
            <w:szCs w:val="20"/>
          </w:rPr>
        </w:r>
        <w:r w:rsidR="00233296" w:rsidRPr="00233296">
          <w:rPr>
            <w:noProof/>
            <w:webHidden/>
            <w:szCs w:val="20"/>
          </w:rPr>
          <w:fldChar w:fldCharType="separate"/>
        </w:r>
        <w:r w:rsidR="00E667FD">
          <w:rPr>
            <w:noProof/>
            <w:webHidden/>
            <w:szCs w:val="20"/>
          </w:rPr>
          <w:t>350</w:t>
        </w:r>
        <w:r w:rsidR="00233296" w:rsidRPr="00233296">
          <w:rPr>
            <w:noProof/>
            <w:webHidden/>
            <w:szCs w:val="20"/>
          </w:rPr>
          <w:fldChar w:fldCharType="end"/>
        </w:r>
      </w:hyperlink>
    </w:p>
    <w:p w14:paraId="37D49E51" w14:textId="77777777" w:rsidR="00233296" w:rsidRPr="00233296" w:rsidRDefault="00FA14F6">
      <w:pPr>
        <w:pStyle w:val="Spisilustracji"/>
        <w:tabs>
          <w:tab w:val="right" w:leader="dot" w:pos="9060"/>
        </w:tabs>
        <w:rPr>
          <w:rFonts w:eastAsiaTheme="minorEastAsia" w:cstheme="minorBidi"/>
          <w:noProof/>
          <w:szCs w:val="20"/>
        </w:rPr>
      </w:pPr>
      <w:hyperlink w:anchor="_Toc8824282" w:history="1">
        <w:r w:rsidR="00233296" w:rsidRPr="00233296">
          <w:rPr>
            <w:rStyle w:val="Hipercze"/>
            <w:noProof/>
            <w:szCs w:val="20"/>
          </w:rPr>
          <w:t>Tabela 171 Udział projektów, z wybranych Działań realizujących instrumenty terytorialne oraz analogicznego Działania/Działań wdrażanego w całym regionie, w osiąganiu celów PI 10iv</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_Toc8824282 \h </w:instrText>
        </w:r>
        <w:r w:rsidR="00233296" w:rsidRPr="00233296">
          <w:rPr>
            <w:noProof/>
            <w:webHidden/>
            <w:szCs w:val="20"/>
          </w:rPr>
        </w:r>
        <w:r w:rsidR="00233296" w:rsidRPr="00233296">
          <w:rPr>
            <w:noProof/>
            <w:webHidden/>
            <w:szCs w:val="20"/>
          </w:rPr>
          <w:fldChar w:fldCharType="separate"/>
        </w:r>
        <w:r w:rsidR="00E667FD">
          <w:rPr>
            <w:noProof/>
            <w:webHidden/>
            <w:szCs w:val="20"/>
          </w:rPr>
          <w:t>354</w:t>
        </w:r>
        <w:r w:rsidR="00233296" w:rsidRPr="00233296">
          <w:rPr>
            <w:noProof/>
            <w:webHidden/>
            <w:szCs w:val="20"/>
          </w:rPr>
          <w:fldChar w:fldCharType="end"/>
        </w:r>
      </w:hyperlink>
    </w:p>
    <w:p w14:paraId="72CA6A4E" w14:textId="77777777" w:rsidR="00233296" w:rsidRPr="00233296" w:rsidRDefault="00FA14F6">
      <w:pPr>
        <w:pStyle w:val="Spisilustracji"/>
        <w:tabs>
          <w:tab w:val="right" w:leader="dot" w:pos="9060"/>
        </w:tabs>
        <w:rPr>
          <w:rFonts w:eastAsiaTheme="minorEastAsia" w:cstheme="minorBidi"/>
          <w:noProof/>
          <w:szCs w:val="20"/>
        </w:rPr>
      </w:pPr>
      <w:hyperlink w:anchor="_Toc8824283" w:history="1">
        <w:r w:rsidR="00233296" w:rsidRPr="00233296">
          <w:rPr>
            <w:rStyle w:val="Hipercze"/>
            <w:noProof/>
            <w:szCs w:val="20"/>
          </w:rPr>
          <w:t>Tabela 172 Postęp finansowy Działań realizujących instrumenty terytorialne oraz analogicznego Działania wdrażanego w całym regionie - PI 10a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_Toc8824283 \h </w:instrText>
        </w:r>
        <w:r w:rsidR="00233296" w:rsidRPr="00233296">
          <w:rPr>
            <w:noProof/>
            <w:webHidden/>
            <w:szCs w:val="20"/>
          </w:rPr>
        </w:r>
        <w:r w:rsidR="00233296" w:rsidRPr="00233296">
          <w:rPr>
            <w:noProof/>
            <w:webHidden/>
            <w:szCs w:val="20"/>
          </w:rPr>
          <w:fldChar w:fldCharType="separate"/>
        </w:r>
        <w:r w:rsidR="00E667FD">
          <w:rPr>
            <w:noProof/>
            <w:webHidden/>
            <w:szCs w:val="20"/>
          </w:rPr>
          <w:t>358</w:t>
        </w:r>
        <w:r w:rsidR="00233296" w:rsidRPr="00233296">
          <w:rPr>
            <w:noProof/>
            <w:webHidden/>
            <w:szCs w:val="20"/>
          </w:rPr>
          <w:fldChar w:fldCharType="end"/>
        </w:r>
      </w:hyperlink>
    </w:p>
    <w:p w14:paraId="5A5D2D38" w14:textId="77777777" w:rsidR="00233296" w:rsidRPr="00233296" w:rsidRDefault="00FA14F6">
      <w:pPr>
        <w:pStyle w:val="Spisilustracji"/>
        <w:tabs>
          <w:tab w:val="right" w:leader="dot" w:pos="9060"/>
        </w:tabs>
        <w:rPr>
          <w:rFonts w:eastAsiaTheme="minorEastAsia" w:cstheme="minorBidi"/>
          <w:noProof/>
          <w:szCs w:val="20"/>
        </w:rPr>
      </w:pPr>
      <w:hyperlink w:anchor="_Toc8824284" w:history="1">
        <w:r w:rsidR="00233296" w:rsidRPr="00233296">
          <w:rPr>
            <w:rStyle w:val="Hipercze"/>
            <w:noProof/>
            <w:szCs w:val="20"/>
          </w:rPr>
          <w:t>Tabela 173 Udział projektów, z wybranych Działań realizujących instrumenty terytorialne oraz analogicznego Działania/Działań wdrażanego w całym regionie, w osiąganiu celów PI 10a</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_Toc8824284 \h </w:instrText>
        </w:r>
        <w:r w:rsidR="00233296" w:rsidRPr="00233296">
          <w:rPr>
            <w:noProof/>
            <w:webHidden/>
            <w:szCs w:val="20"/>
          </w:rPr>
        </w:r>
        <w:r w:rsidR="00233296" w:rsidRPr="00233296">
          <w:rPr>
            <w:noProof/>
            <w:webHidden/>
            <w:szCs w:val="20"/>
          </w:rPr>
          <w:fldChar w:fldCharType="separate"/>
        </w:r>
        <w:r w:rsidR="00E667FD">
          <w:rPr>
            <w:noProof/>
            <w:webHidden/>
            <w:szCs w:val="20"/>
          </w:rPr>
          <w:t>360</w:t>
        </w:r>
        <w:r w:rsidR="00233296" w:rsidRPr="00233296">
          <w:rPr>
            <w:noProof/>
            <w:webHidden/>
            <w:szCs w:val="20"/>
          </w:rPr>
          <w:fldChar w:fldCharType="end"/>
        </w:r>
      </w:hyperlink>
    </w:p>
    <w:p w14:paraId="439C92FD" w14:textId="77777777" w:rsidR="00233296" w:rsidRPr="00233296" w:rsidRDefault="00FA14F6">
      <w:pPr>
        <w:pStyle w:val="Spisilustracji"/>
        <w:tabs>
          <w:tab w:val="right" w:leader="dot" w:pos="9060"/>
        </w:tabs>
        <w:rPr>
          <w:rFonts w:eastAsiaTheme="minorEastAsia" w:cstheme="minorBidi"/>
          <w:noProof/>
          <w:szCs w:val="20"/>
        </w:rPr>
      </w:pPr>
      <w:hyperlink w:anchor="_Toc8824285" w:history="1">
        <w:r w:rsidR="00233296" w:rsidRPr="00233296">
          <w:rPr>
            <w:rStyle w:val="Hipercze"/>
            <w:noProof/>
            <w:szCs w:val="20"/>
          </w:rPr>
          <w:t>Tabela 174. Podział działań do analizy instrumentów finansowych</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_Toc8824285 \h </w:instrText>
        </w:r>
        <w:r w:rsidR="00233296" w:rsidRPr="00233296">
          <w:rPr>
            <w:noProof/>
            <w:webHidden/>
            <w:szCs w:val="20"/>
          </w:rPr>
        </w:r>
        <w:r w:rsidR="00233296" w:rsidRPr="00233296">
          <w:rPr>
            <w:noProof/>
            <w:webHidden/>
            <w:szCs w:val="20"/>
          </w:rPr>
          <w:fldChar w:fldCharType="separate"/>
        </w:r>
        <w:r w:rsidR="00E667FD">
          <w:rPr>
            <w:noProof/>
            <w:webHidden/>
            <w:szCs w:val="20"/>
          </w:rPr>
          <w:t>368</w:t>
        </w:r>
        <w:r w:rsidR="00233296" w:rsidRPr="00233296">
          <w:rPr>
            <w:noProof/>
            <w:webHidden/>
            <w:szCs w:val="20"/>
          </w:rPr>
          <w:fldChar w:fldCharType="end"/>
        </w:r>
      </w:hyperlink>
    </w:p>
    <w:p w14:paraId="68BFBEFC" w14:textId="77777777" w:rsidR="00233296" w:rsidRPr="00233296" w:rsidRDefault="00FA14F6">
      <w:pPr>
        <w:pStyle w:val="Spisilustracji"/>
        <w:tabs>
          <w:tab w:val="right" w:leader="dot" w:pos="9060"/>
        </w:tabs>
        <w:rPr>
          <w:rFonts w:eastAsiaTheme="minorEastAsia" w:cstheme="minorBidi"/>
          <w:noProof/>
          <w:szCs w:val="20"/>
        </w:rPr>
      </w:pPr>
      <w:hyperlink w:anchor="_Toc8824286" w:history="1">
        <w:r w:rsidR="00233296" w:rsidRPr="00233296">
          <w:rPr>
            <w:rStyle w:val="Hipercze"/>
            <w:noProof/>
            <w:szCs w:val="20"/>
          </w:rPr>
          <w:t>Tabela 175. Wartości wskaźnika „Liczba przedsiębiorstw otrzymujących wsparcie (CI)” dla wybranych Działań</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_Toc8824286 \h </w:instrText>
        </w:r>
        <w:r w:rsidR="00233296" w:rsidRPr="00233296">
          <w:rPr>
            <w:noProof/>
            <w:webHidden/>
            <w:szCs w:val="20"/>
          </w:rPr>
        </w:r>
        <w:r w:rsidR="00233296" w:rsidRPr="00233296">
          <w:rPr>
            <w:noProof/>
            <w:webHidden/>
            <w:szCs w:val="20"/>
          </w:rPr>
          <w:fldChar w:fldCharType="separate"/>
        </w:r>
        <w:r w:rsidR="00E667FD">
          <w:rPr>
            <w:noProof/>
            <w:webHidden/>
            <w:szCs w:val="20"/>
          </w:rPr>
          <w:t>368</w:t>
        </w:r>
        <w:r w:rsidR="00233296" w:rsidRPr="00233296">
          <w:rPr>
            <w:noProof/>
            <w:webHidden/>
            <w:szCs w:val="20"/>
          </w:rPr>
          <w:fldChar w:fldCharType="end"/>
        </w:r>
      </w:hyperlink>
    </w:p>
    <w:p w14:paraId="1F0EC9E7" w14:textId="77777777" w:rsidR="00233296" w:rsidRPr="00233296" w:rsidRDefault="00FA14F6">
      <w:pPr>
        <w:pStyle w:val="Spisilustracji"/>
        <w:tabs>
          <w:tab w:val="right" w:leader="dot" w:pos="9060"/>
        </w:tabs>
        <w:rPr>
          <w:rFonts w:eastAsiaTheme="minorEastAsia" w:cstheme="minorBidi"/>
          <w:noProof/>
          <w:szCs w:val="20"/>
        </w:rPr>
      </w:pPr>
      <w:hyperlink w:anchor="_Toc8824287" w:history="1">
        <w:r w:rsidR="00233296" w:rsidRPr="00233296">
          <w:rPr>
            <w:rStyle w:val="Hipercze"/>
            <w:noProof/>
            <w:szCs w:val="20"/>
          </w:rPr>
          <w:t>Tabela 176. Wartości wskaźnika „Liczba utworzonych miejsc pracy w ramach udzielonych z EFS środków na podjęcie działalności gospodarczej” dla wybranych Działań</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_Toc8824287 \h </w:instrText>
        </w:r>
        <w:r w:rsidR="00233296" w:rsidRPr="00233296">
          <w:rPr>
            <w:noProof/>
            <w:webHidden/>
            <w:szCs w:val="20"/>
          </w:rPr>
        </w:r>
        <w:r w:rsidR="00233296" w:rsidRPr="00233296">
          <w:rPr>
            <w:noProof/>
            <w:webHidden/>
            <w:szCs w:val="20"/>
          </w:rPr>
          <w:fldChar w:fldCharType="separate"/>
        </w:r>
        <w:r w:rsidR="00E667FD">
          <w:rPr>
            <w:noProof/>
            <w:webHidden/>
            <w:szCs w:val="20"/>
          </w:rPr>
          <w:t>370</w:t>
        </w:r>
        <w:r w:rsidR="00233296" w:rsidRPr="00233296">
          <w:rPr>
            <w:noProof/>
            <w:webHidden/>
            <w:szCs w:val="20"/>
          </w:rPr>
          <w:fldChar w:fldCharType="end"/>
        </w:r>
      </w:hyperlink>
    </w:p>
    <w:p w14:paraId="15645C2B" w14:textId="77777777" w:rsidR="00233296" w:rsidRPr="00233296" w:rsidRDefault="00FA14F6">
      <w:pPr>
        <w:pStyle w:val="Spisilustracji"/>
        <w:tabs>
          <w:tab w:val="right" w:leader="dot" w:pos="9060"/>
        </w:tabs>
        <w:rPr>
          <w:rFonts w:eastAsiaTheme="minorEastAsia" w:cstheme="minorBidi"/>
          <w:noProof/>
          <w:szCs w:val="20"/>
        </w:rPr>
      </w:pPr>
      <w:hyperlink w:anchor="_Toc8824288" w:history="1">
        <w:r w:rsidR="00233296" w:rsidRPr="00233296">
          <w:rPr>
            <w:rStyle w:val="Hipercze"/>
            <w:noProof/>
            <w:szCs w:val="20"/>
          </w:rPr>
          <w:t>Tabela 177 Dane dot. stanu zatrudnienia w IZ RPO WZ w latach 2014-2018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_Toc8824288 \h </w:instrText>
        </w:r>
        <w:r w:rsidR="00233296" w:rsidRPr="00233296">
          <w:rPr>
            <w:noProof/>
            <w:webHidden/>
            <w:szCs w:val="20"/>
          </w:rPr>
        </w:r>
        <w:r w:rsidR="00233296" w:rsidRPr="00233296">
          <w:rPr>
            <w:noProof/>
            <w:webHidden/>
            <w:szCs w:val="20"/>
          </w:rPr>
          <w:fldChar w:fldCharType="separate"/>
        </w:r>
        <w:r w:rsidR="00E667FD">
          <w:rPr>
            <w:noProof/>
            <w:webHidden/>
            <w:szCs w:val="20"/>
          </w:rPr>
          <w:t>376</w:t>
        </w:r>
        <w:r w:rsidR="00233296" w:rsidRPr="00233296">
          <w:rPr>
            <w:noProof/>
            <w:webHidden/>
            <w:szCs w:val="20"/>
          </w:rPr>
          <w:fldChar w:fldCharType="end"/>
        </w:r>
      </w:hyperlink>
    </w:p>
    <w:p w14:paraId="46308868" w14:textId="77777777" w:rsidR="00233296" w:rsidRPr="00233296" w:rsidRDefault="00FA14F6">
      <w:pPr>
        <w:pStyle w:val="Spisilustracji"/>
        <w:tabs>
          <w:tab w:val="right" w:leader="dot" w:pos="9060"/>
        </w:tabs>
        <w:rPr>
          <w:rFonts w:eastAsiaTheme="minorEastAsia" w:cstheme="minorBidi"/>
          <w:noProof/>
          <w:szCs w:val="20"/>
        </w:rPr>
      </w:pPr>
      <w:hyperlink w:anchor="_Toc8824289" w:history="1">
        <w:r w:rsidR="00233296" w:rsidRPr="00233296">
          <w:rPr>
            <w:rStyle w:val="Hipercze"/>
            <w:noProof/>
            <w:szCs w:val="20"/>
          </w:rPr>
          <w:t>Tabela 178 Dane dot. rotacji pracowników w IZ RPO WZ w latach 2014-2018</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_Toc8824289 \h </w:instrText>
        </w:r>
        <w:r w:rsidR="00233296" w:rsidRPr="00233296">
          <w:rPr>
            <w:noProof/>
            <w:webHidden/>
            <w:szCs w:val="20"/>
          </w:rPr>
        </w:r>
        <w:r w:rsidR="00233296" w:rsidRPr="00233296">
          <w:rPr>
            <w:noProof/>
            <w:webHidden/>
            <w:szCs w:val="20"/>
          </w:rPr>
          <w:fldChar w:fldCharType="separate"/>
        </w:r>
        <w:r w:rsidR="00E667FD">
          <w:rPr>
            <w:noProof/>
            <w:webHidden/>
            <w:szCs w:val="20"/>
          </w:rPr>
          <w:t>377</w:t>
        </w:r>
        <w:r w:rsidR="00233296" w:rsidRPr="00233296">
          <w:rPr>
            <w:noProof/>
            <w:webHidden/>
            <w:szCs w:val="20"/>
          </w:rPr>
          <w:fldChar w:fldCharType="end"/>
        </w:r>
      </w:hyperlink>
    </w:p>
    <w:p w14:paraId="4EEDCCC1" w14:textId="77777777" w:rsidR="00233296" w:rsidRPr="00233296" w:rsidRDefault="00FA14F6">
      <w:pPr>
        <w:pStyle w:val="Spisilustracji"/>
        <w:tabs>
          <w:tab w:val="right" w:leader="dot" w:pos="9060"/>
        </w:tabs>
        <w:rPr>
          <w:rFonts w:eastAsiaTheme="minorEastAsia" w:cstheme="minorBidi"/>
          <w:noProof/>
          <w:szCs w:val="20"/>
        </w:rPr>
      </w:pPr>
      <w:hyperlink w:anchor="_Toc8824290" w:history="1">
        <w:r w:rsidR="00233296" w:rsidRPr="00233296">
          <w:rPr>
            <w:rStyle w:val="Hipercze"/>
            <w:noProof/>
            <w:szCs w:val="20"/>
          </w:rPr>
          <w:t>Tabela 179 Ocena sprawozdawczości i kwestii dot. kosztów projektów przez beneficjentów</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_Toc8824290 \h </w:instrText>
        </w:r>
        <w:r w:rsidR="00233296" w:rsidRPr="00233296">
          <w:rPr>
            <w:noProof/>
            <w:webHidden/>
            <w:szCs w:val="20"/>
          </w:rPr>
        </w:r>
        <w:r w:rsidR="00233296" w:rsidRPr="00233296">
          <w:rPr>
            <w:noProof/>
            <w:webHidden/>
            <w:szCs w:val="20"/>
          </w:rPr>
          <w:fldChar w:fldCharType="separate"/>
        </w:r>
        <w:r w:rsidR="00E667FD">
          <w:rPr>
            <w:noProof/>
            <w:webHidden/>
            <w:szCs w:val="20"/>
          </w:rPr>
          <w:t>386</w:t>
        </w:r>
        <w:r w:rsidR="00233296" w:rsidRPr="00233296">
          <w:rPr>
            <w:noProof/>
            <w:webHidden/>
            <w:szCs w:val="20"/>
          </w:rPr>
          <w:fldChar w:fldCharType="end"/>
        </w:r>
      </w:hyperlink>
    </w:p>
    <w:p w14:paraId="13D4F330" w14:textId="77777777" w:rsidR="00233296" w:rsidRPr="00233296" w:rsidRDefault="00FA14F6">
      <w:pPr>
        <w:pStyle w:val="Spisilustracji"/>
        <w:tabs>
          <w:tab w:val="right" w:leader="dot" w:pos="9060"/>
        </w:tabs>
        <w:rPr>
          <w:rFonts w:eastAsiaTheme="minorEastAsia" w:cstheme="minorBidi"/>
          <w:noProof/>
          <w:szCs w:val="20"/>
        </w:rPr>
      </w:pPr>
      <w:hyperlink w:anchor="_Toc8824291" w:history="1">
        <w:r w:rsidR="00233296" w:rsidRPr="00233296">
          <w:rPr>
            <w:rStyle w:val="Hipercze"/>
            <w:noProof/>
            <w:szCs w:val="20"/>
          </w:rPr>
          <w:t>Tabela 180 Podział liczby projektów ze względu na planowany rok ich zakończenia dla umów zawartych w latach 2015-2019</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_Toc8824291 \h </w:instrText>
        </w:r>
        <w:r w:rsidR="00233296" w:rsidRPr="00233296">
          <w:rPr>
            <w:noProof/>
            <w:webHidden/>
            <w:szCs w:val="20"/>
          </w:rPr>
        </w:r>
        <w:r w:rsidR="00233296" w:rsidRPr="00233296">
          <w:rPr>
            <w:noProof/>
            <w:webHidden/>
            <w:szCs w:val="20"/>
          </w:rPr>
          <w:fldChar w:fldCharType="separate"/>
        </w:r>
        <w:r w:rsidR="00E667FD">
          <w:rPr>
            <w:noProof/>
            <w:webHidden/>
            <w:szCs w:val="20"/>
          </w:rPr>
          <w:t>392</w:t>
        </w:r>
        <w:r w:rsidR="00233296" w:rsidRPr="00233296">
          <w:rPr>
            <w:noProof/>
            <w:webHidden/>
            <w:szCs w:val="20"/>
          </w:rPr>
          <w:fldChar w:fldCharType="end"/>
        </w:r>
      </w:hyperlink>
    </w:p>
    <w:p w14:paraId="6B824191" w14:textId="77777777" w:rsidR="00233296" w:rsidRPr="00233296" w:rsidRDefault="00FA14F6">
      <w:pPr>
        <w:pStyle w:val="Spisilustracji"/>
        <w:tabs>
          <w:tab w:val="right" w:leader="dot" w:pos="9060"/>
        </w:tabs>
        <w:rPr>
          <w:rFonts w:eastAsiaTheme="minorEastAsia" w:cstheme="minorBidi"/>
          <w:noProof/>
          <w:szCs w:val="20"/>
        </w:rPr>
      </w:pPr>
      <w:hyperlink w:anchor="_Toc8824292" w:history="1">
        <w:r w:rsidR="00233296" w:rsidRPr="00233296">
          <w:rPr>
            <w:rStyle w:val="Hipercze"/>
            <w:noProof/>
            <w:szCs w:val="20"/>
          </w:rPr>
          <w:t>Tabela 181. Wskaźniki Strategii Europa 2020 i ich wartości docelowe</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_Toc8824292 \h </w:instrText>
        </w:r>
        <w:r w:rsidR="00233296" w:rsidRPr="00233296">
          <w:rPr>
            <w:noProof/>
            <w:webHidden/>
            <w:szCs w:val="20"/>
          </w:rPr>
        </w:r>
        <w:r w:rsidR="00233296" w:rsidRPr="00233296">
          <w:rPr>
            <w:noProof/>
            <w:webHidden/>
            <w:szCs w:val="20"/>
          </w:rPr>
          <w:fldChar w:fldCharType="separate"/>
        </w:r>
        <w:r w:rsidR="00E667FD">
          <w:rPr>
            <w:noProof/>
            <w:webHidden/>
            <w:szCs w:val="20"/>
          </w:rPr>
          <w:t>401</w:t>
        </w:r>
        <w:r w:rsidR="00233296" w:rsidRPr="00233296">
          <w:rPr>
            <w:noProof/>
            <w:webHidden/>
            <w:szCs w:val="20"/>
          </w:rPr>
          <w:fldChar w:fldCharType="end"/>
        </w:r>
      </w:hyperlink>
    </w:p>
    <w:p w14:paraId="7F1A3C4D" w14:textId="77777777" w:rsidR="00233296" w:rsidRPr="00233296" w:rsidRDefault="00FA14F6">
      <w:pPr>
        <w:pStyle w:val="Spisilustracji"/>
        <w:tabs>
          <w:tab w:val="right" w:leader="dot" w:pos="9060"/>
        </w:tabs>
        <w:rPr>
          <w:rFonts w:eastAsiaTheme="minorEastAsia" w:cstheme="minorBidi"/>
          <w:noProof/>
          <w:szCs w:val="20"/>
        </w:rPr>
      </w:pPr>
      <w:hyperlink w:anchor="_Toc8824293" w:history="1">
        <w:r w:rsidR="00233296" w:rsidRPr="00233296">
          <w:rPr>
            <w:rStyle w:val="Hipercze"/>
            <w:noProof/>
            <w:szCs w:val="20"/>
          </w:rPr>
          <w:t>Tabela 182. Obszary RPO WZ bezpośrednio wpływające na realizację Strategii Europa 2020</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_Toc8824293 \h </w:instrText>
        </w:r>
        <w:r w:rsidR="00233296" w:rsidRPr="00233296">
          <w:rPr>
            <w:noProof/>
            <w:webHidden/>
            <w:szCs w:val="20"/>
          </w:rPr>
        </w:r>
        <w:r w:rsidR="00233296" w:rsidRPr="00233296">
          <w:rPr>
            <w:noProof/>
            <w:webHidden/>
            <w:szCs w:val="20"/>
          </w:rPr>
          <w:fldChar w:fldCharType="separate"/>
        </w:r>
        <w:r w:rsidR="00E667FD">
          <w:rPr>
            <w:noProof/>
            <w:webHidden/>
            <w:szCs w:val="20"/>
          </w:rPr>
          <w:t>402</w:t>
        </w:r>
        <w:r w:rsidR="00233296" w:rsidRPr="00233296">
          <w:rPr>
            <w:noProof/>
            <w:webHidden/>
            <w:szCs w:val="20"/>
          </w:rPr>
          <w:fldChar w:fldCharType="end"/>
        </w:r>
      </w:hyperlink>
    </w:p>
    <w:p w14:paraId="2C885414" w14:textId="77777777" w:rsidR="00233296" w:rsidRPr="00233296" w:rsidRDefault="00FA14F6">
      <w:pPr>
        <w:pStyle w:val="Spisilustracji"/>
        <w:tabs>
          <w:tab w:val="right" w:leader="dot" w:pos="9060"/>
        </w:tabs>
        <w:rPr>
          <w:rFonts w:eastAsiaTheme="minorEastAsia" w:cstheme="minorBidi"/>
          <w:noProof/>
          <w:szCs w:val="20"/>
        </w:rPr>
      </w:pPr>
      <w:hyperlink w:anchor="_Toc8824294" w:history="1">
        <w:r w:rsidR="00233296" w:rsidRPr="00233296">
          <w:rPr>
            <w:rStyle w:val="Hipercze"/>
            <w:noProof/>
            <w:szCs w:val="20"/>
          </w:rPr>
          <w:t>Tabela 183. Historyczny przebieg wskaźników Strategii Europa 2020 dla województwa zachodniopomorskiego</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_Toc8824294 \h </w:instrText>
        </w:r>
        <w:r w:rsidR="00233296" w:rsidRPr="00233296">
          <w:rPr>
            <w:noProof/>
            <w:webHidden/>
            <w:szCs w:val="20"/>
          </w:rPr>
        </w:r>
        <w:r w:rsidR="00233296" w:rsidRPr="00233296">
          <w:rPr>
            <w:noProof/>
            <w:webHidden/>
            <w:szCs w:val="20"/>
          </w:rPr>
          <w:fldChar w:fldCharType="separate"/>
        </w:r>
        <w:r w:rsidR="00E667FD">
          <w:rPr>
            <w:noProof/>
            <w:webHidden/>
            <w:szCs w:val="20"/>
          </w:rPr>
          <w:t>402</w:t>
        </w:r>
        <w:r w:rsidR="00233296" w:rsidRPr="00233296">
          <w:rPr>
            <w:noProof/>
            <w:webHidden/>
            <w:szCs w:val="20"/>
          </w:rPr>
          <w:fldChar w:fldCharType="end"/>
        </w:r>
      </w:hyperlink>
    </w:p>
    <w:p w14:paraId="050E51B8" w14:textId="77777777" w:rsidR="00233296" w:rsidRPr="00233296" w:rsidRDefault="00FA14F6">
      <w:pPr>
        <w:pStyle w:val="Spisilustracji"/>
        <w:tabs>
          <w:tab w:val="right" w:leader="dot" w:pos="9060"/>
        </w:tabs>
        <w:rPr>
          <w:rFonts w:eastAsiaTheme="minorEastAsia" w:cstheme="minorBidi"/>
          <w:noProof/>
          <w:szCs w:val="20"/>
        </w:rPr>
      </w:pPr>
      <w:hyperlink w:anchor="_Toc8824295" w:history="1">
        <w:r w:rsidR="00233296" w:rsidRPr="00233296">
          <w:rPr>
            <w:rStyle w:val="Hipercze"/>
            <w:noProof/>
            <w:szCs w:val="20"/>
          </w:rPr>
          <w:t>Tabela 184. Struktura interwencji RPO WZ w czasie – wielkości skumulowane (w mln zł)</w:t>
        </w:r>
        <w:r w:rsidR="00233296" w:rsidRPr="00233296">
          <w:rPr>
            <w:noProof/>
            <w:webHidden/>
            <w:szCs w:val="20"/>
          </w:rPr>
          <w:tab/>
        </w:r>
        <w:r w:rsidR="00233296" w:rsidRPr="00233296">
          <w:rPr>
            <w:noProof/>
            <w:webHidden/>
            <w:szCs w:val="20"/>
          </w:rPr>
          <w:fldChar w:fldCharType="begin"/>
        </w:r>
        <w:r w:rsidR="00233296" w:rsidRPr="00233296">
          <w:rPr>
            <w:noProof/>
            <w:webHidden/>
            <w:szCs w:val="20"/>
          </w:rPr>
          <w:instrText xml:space="preserve"> PAGEREF _Toc8824295 \h </w:instrText>
        </w:r>
        <w:r w:rsidR="00233296" w:rsidRPr="00233296">
          <w:rPr>
            <w:noProof/>
            <w:webHidden/>
            <w:szCs w:val="20"/>
          </w:rPr>
        </w:r>
        <w:r w:rsidR="00233296" w:rsidRPr="00233296">
          <w:rPr>
            <w:noProof/>
            <w:webHidden/>
            <w:szCs w:val="20"/>
          </w:rPr>
          <w:fldChar w:fldCharType="separate"/>
        </w:r>
        <w:r w:rsidR="00E667FD">
          <w:rPr>
            <w:noProof/>
            <w:webHidden/>
            <w:szCs w:val="20"/>
          </w:rPr>
          <w:t>404</w:t>
        </w:r>
        <w:r w:rsidR="00233296" w:rsidRPr="00233296">
          <w:rPr>
            <w:noProof/>
            <w:webHidden/>
            <w:szCs w:val="20"/>
          </w:rPr>
          <w:fldChar w:fldCharType="end"/>
        </w:r>
      </w:hyperlink>
    </w:p>
    <w:p w14:paraId="11D259D7" w14:textId="77777777" w:rsidR="00C010F3" w:rsidRPr="00801DB4" w:rsidRDefault="00B24CD8" w:rsidP="00C010F3">
      <w:pPr>
        <w:rPr>
          <w:szCs w:val="20"/>
        </w:rPr>
      </w:pPr>
      <w:r w:rsidRPr="002606AA">
        <w:rPr>
          <w:sz w:val="18"/>
          <w:szCs w:val="20"/>
        </w:rPr>
        <w:fldChar w:fldCharType="end"/>
      </w:r>
    </w:p>
    <w:p w14:paraId="4DCD38DD" w14:textId="77777777" w:rsidR="00C010F3" w:rsidRPr="00801DB4" w:rsidRDefault="00C010F3" w:rsidP="00D45914">
      <w:pPr>
        <w:pStyle w:val="Nagwek2"/>
      </w:pPr>
      <w:bookmarkStart w:id="449" w:name="_Toc6523766"/>
      <w:r w:rsidRPr="00801DB4">
        <w:lastRenderedPageBreak/>
        <w:t>Spis wykresów</w:t>
      </w:r>
      <w:bookmarkEnd w:id="449"/>
    </w:p>
    <w:p w14:paraId="550B531F" w14:textId="77777777" w:rsidR="00396596" w:rsidRPr="00233296" w:rsidRDefault="00B24CD8">
      <w:pPr>
        <w:pStyle w:val="Spisilustracji"/>
        <w:tabs>
          <w:tab w:val="right" w:leader="dot" w:pos="9060"/>
        </w:tabs>
        <w:rPr>
          <w:noProof/>
          <w:szCs w:val="20"/>
        </w:rPr>
      </w:pPr>
      <w:r w:rsidRPr="00396596">
        <w:rPr>
          <w:szCs w:val="20"/>
        </w:rPr>
        <w:fldChar w:fldCharType="begin"/>
      </w:r>
      <w:r w:rsidRPr="00396596">
        <w:rPr>
          <w:szCs w:val="20"/>
        </w:rPr>
        <w:instrText xml:space="preserve"> TOC \h \z \c "Wykres" </w:instrText>
      </w:r>
      <w:r w:rsidRPr="00396596">
        <w:rPr>
          <w:szCs w:val="20"/>
        </w:rPr>
        <w:fldChar w:fldCharType="separate"/>
      </w:r>
      <w:hyperlink w:anchor="_Toc5311867" w:history="1">
        <w:r w:rsidR="00396596" w:rsidRPr="00233296">
          <w:rPr>
            <w:rStyle w:val="Hipercze"/>
            <w:noProof/>
            <w:szCs w:val="20"/>
          </w:rPr>
          <w:t>Wykres 1 Wielkość nakładów wewnętrznych na B+R</w:t>
        </w:r>
        <w:r w:rsidR="00E66B89" w:rsidRPr="00233296">
          <w:rPr>
            <w:rStyle w:val="Hipercze"/>
            <w:noProof/>
            <w:szCs w:val="20"/>
          </w:rPr>
          <w:t xml:space="preserve"> w </w:t>
        </w:r>
        <w:r w:rsidR="00396596" w:rsidRPr="00233296">
          <w:rPr>
            <w:rStyle w:val="Hipercze"/>
            <w:noProof/>
            <w:szCs w:val="20"/>
          </w:rPr>
          <w:t>relacji do PKB (ceny bieżące)</w:t>
        </w:r>
        <w:r w:rsidR="00E66B89" w:rsidRPr="00233296">
          <w:rPr>
            <w:rStyle w:val="Hipercze"/>
            <w:noProof/>
            <w:szCs w:val="20"/>
          </w:rPr>
          <w:t xml:space="preserve"> w </w:t>
        </w:r>
        <w:r w:rsidR="00396596" w:rsidRPr="00233296">
          <w:rPr>
            <w:rStyle w:val="Hipercze"/>
            <w:noProof/>
            <w:szCs w:val="20"/>
          </w:rPr>
          <w:t>województwie zachodniopomorskim na tle Polski</w:t>
        </w:r>
        <w:r w:rsidR="00E66B89" w:rsidRPr="00233296">
          <w:rPr>
            <w:rStyle w:val="Hipercze"/>
            <w:noProof/>
            <w:szCs w:val="20"/>
          </w:rPr>
          <w:t xml:space="preserve"> w </w:t>
        </w:r>
        <w:r w:rsidR="00396596" w:rsidRPr="00233296">
          <w:rPr>
            <w:rStyle w:val="Hipercze"/>
            <w:noProof/>
            <w:szCs w:val="20"/>
          </w:rPr>
          <w:t>latach 2012-2016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_Toc5311867 \h </w:instrText>
        </w:r>
        <w:r w:rsidR="00396596" w:rsidRPr="00233296">
          <w:rPr>
            <w:noProof/>
            <w:webHidden/>
            <w:szCs w:val="20"/>
          </w:rPr>
        </w:r>
        <w:r w:rsidR="00396596" w:rsidRPr="00233296">
          <w:rPr>
            <w:noProof/>
            <w:webHidden/>
            <w:szCs w:val="20"/>
          </w:rPr>
          <w:fldChar w:fldCharType="separate"/>
        </w:r>
        <w:r w:rsidR="00E667FD">
          <w:rPr>
            <w:noProof/>
            <w:webHidden/>
            <w:szCs w:val="20"/>
          </w:rPr>
          <w:t>32</w:t>
        </w:r>
        <w:r w:rsidR="00396596" w:rsidRPr="00233296">
          <w:rPr>
            <w:noProof/>
            <w:webHidden/>
            <w:szCs w:val="20"/>
          </w:rPr>
          <w:fldChar w:fldCharType="end"/>
        </w:r>
      </w:hyperlink>
    </w:p>
    <w:p w14:paraId="2E80A820" w14:textId="77777777" w:rsidR="00396596" w:rsidRPr="00233296" w:rsidRDefault="00FA14F6">
      <w:pPr>
        <w:pStyle w:val="Spisilustracji"/>
        <w:tabs>
          <w:tab w:val="right" w:leader="dot" w:pos="9060"/>
        </w:tabs>
        <w:rPr>
          <w:noProof/>
          <w:szCs w:val="20"/>
        </w:rPr>
      </w:pPr>
      <w:hyperlink w:anchor="_Toc5311868" w:history="1">
        <w:r w:rsidR="00396596" w:rsidRPr="00233296">
          <w:rPr>
            <w:rStyle w:val="Hipercze"/>
            <w:noProof/>
            <w:szCs w:val="20"/>
          </w:rPr>
          <w:t>Wykres 2 Udział nakładów na działalność B+R finansowanych</w:t>
        </w:r>
        <w:r w:rsidR="00E66B89" w:rsidRPr="00233296">
          <w:rPr>
            <w:rStyle w:val="Hipercze"/>
            <w:noProof/>
            <w:szCs w:val="20"/>
          </w:rPr>
          <w:t xml:space="preserve"> z </w:t>
        </w:r>
        <w:r w:rsidR="00396596" w:rsidRPr="00233296">
          <w:rPr>
            <w:rStyle w:val="Hipercze"/>
            <w:noProof/>
            <w:szCs w:val="20"/>
          </w:rPr>
          <w:t>sektora przedsiębiorstw</w:t>
        </w:r>
        <w:r w:rsidR="00E66B89" w:rsidRPr="00233296">
          <w:rPr>
            <w:rStyle w:val="Hipercze"/>
            <w:noProof/>
            <w:szCs w:val="20"/>
          </w:rPr>
          <w:t xml:space="preserve"> w </w:t>
        </w:r>
        <w:r w:rsidR="00396596" w:rsidRPr="00233296">
          <w:rPr>
            <w:rStyle w:val="Hipercze"/>
            <w:noProof/>
            <w:szCs w:val="20"/>
          </w:rPr>
          <w:t>nakładach na działalność B+R ogółem</w:t>
        </w:r>
        <w:r w:rsidR="00E66B89" w:rsidRPr="00233296">
          <w:rPr>
            <w:rStyle w:val="Hipercze"/>
            <w:noProof/>
            <w:szCs w:val="20"/>
          </w:rPr>
          <w:t xml:space="preserve"> w </w:t>
        </w:r>
        <w:r w:rsidR="00396596" w:rsidRPr="00233296">
          <w:rPr>
            <w:rStyle w:val="Hipercze"/>
            <w:noProof/>
            <w:szCs w:val="20"/>
          </w:rPr>
          <w:t>województwie zachodniopomorskim na tle Polski</w:t>
        </w:r>
        <w:r w:rsidR="00E66B89" w:rsidRPr="00233296">
          <w:rPr>
            <w:rStyle w:val="Hipercze"/>
            <w:noProof/>
            <w:szCs w:val="20"/>
          </w:rPr>
          <w:t xml:space="preserve"> w </w:t>
        </w:r>
        <w:r w:rsidR="00396596" w:rsidRPr="00233296">
          <w:rPr>
            <w:rStyle w:val="Hipercze"/>
            <w:noProof/>
            <w:szCs w:val="20"/>
          </w:rPr>
          <w:t>latach 2012-2016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_Toc5311868 \h </w:instrText>
        </w:r>
        <w:r w:rsidR="00396596" w:rsidRPr="00233296">
          <w:rPr>
            <w:noProof/>
            <w:webHidden/>
            <w:szCs w:val="20"/>
          </w:rPr>
        </w:r>
        <w:r w:rsidR="00396596" w:rsidRPr="00233296">
          <w:rPr>
            <w:noProof/>
            <w:webHidden/>
            <w:szCs w:val="20"/>
          </w:rPr>
          <w:fldChar w:fldCharType="separate"/>
        </w:r>
        <w:r w:rsidR="00E667FD">
          <w:rPr>
            <w:noProof/>
            <w:webHidden/>
            <w:szCs w:val="20"/>
          </w:rPr>
          <w:t>33</w:t>
        </w:r>
        <w:r w:rsidR="00396596" w:rsidRPr="00233296">
          <w:rPr>
            <w:noProof/>
            <w:webHidden/>
            <w:szCs w:val="20"/>
          </w:rPr>
          <w:fldChar w:fldCharType="end"/>
        </w:r>
      </w:hyperlink>
    </w:p>
    <w:p w14:paraId="18BEA1A1" w14:textId="77777777" w:rsidR="00396596" w:rsidRPr="00233296" w:rsidRDefault="00FA14F6">
      <w:pPr>
        <w:pStyle w:val="Spisilustracji"/>
        <w:tabs>
          <w:tab w:val="right" w:leader="dot" w:pos="9060"/>
        </w:tabs>
        <w:rPr>
          <w:noProof/>
          <w:szCs w:val="20"/>
        </w:rPr>
      </w:pPr>
      <w:hyperlink w:anchor="_Toc5311869" w:history="1">
        <w:r w:rsidR="00396596" w:rsidRPr="00233296">
          <w:rPr>
            <w:rStyle w:val="Hipercze"/>
            <w:noProof/>
            <w:szCs w:val="20"/>
          </w:rPr>
          <w:t xml:space="preserve">Wykres 3 </w:t>
        </w:r>
        <w:r w:rsidR="00396596" w:rsidRPr="00233296">
          <w:rPr>
            <w:rStyle w:val="Hipercze"/>
            <w:rFonts w:cs="Calibri"/>
            <w:noProof/>
            <w:szCs w:val="20"/>
          </w:rPr>
          <w:t>Udział nakładów ponoszonych przez sektor przedsiębiorstw</w:t>
        </w:r>
        <w:r w:rsidR="00E66B89" w:rsidRPr="00233296">
          <w:rPr>
            <w:rStyle w:val="Hipercze"/>
            <w:rFonts w:cs="Calibri"/>
            <w:noProof/>
            <w:szCs w:val="20"/>
          </w:rPr>
          <w:t xml:space="preserve"> w </w:t>
        </w:r>
        <w:r w:rsidR="00396596" w:rsidRPr="00233296">
          <w:rPr>
            <w:rStyle w:val="Hipercze"/>
            <w:rFonts w:cs="Calibri"/>
            <w:noProof/>
            <w:szCs w:val="20"/>
          </w:rPr>
          <w:t>nakładach na działalność B+R ogółem</w:t>
        </w:r>
        <w:r w:rsidR="00E66B89" w:rsidRPr="00233296">
          <w:rPr>
            <w:rStyle w:val="Hipercze"/>
            <w:rFonts w:cs="Calibri"/>
            <w:noProof/>
            <w:szCs w:val="20"/>
          </w:rPr>
          <w:t xml:space="preserve"> w </w:t>
        </w:r>
        <w:r w:rsidR="00396596" w:rsidRPr="00233296">
          <w:rPr>
            <w:rStyle w:val="Hipercze"/>
            <w:rFonts w:cs="Calibri"/>
            <w:noProof/>
            <w:szCs w:val="20"/>
          </w:rPr>
          <w:t>województwie zachodniopomorskim na tle Polski</w:t>
        </w:r>
        <w:r w:rsidR="00E66B89" w:rsidRPr="00233296">
          <w:rPr>
            <w:rStyle w:val="Hipercze"/>
            <w:rFonts w:cs="Calibri"/>
            <w:noProof/>
            <w:szCs w:val="20"/>
          </w:rPr>
          <w:t xml:space="preserve"> w </w:t>
        </w:r>
        <w:r w:rsidR="00396596" w:rsidRPr="00233296">
          <w:rPr>
            <w:rStyle w:val="Hipercze"/>
            <w:rFonts w:cs="Calibri"/>
            <w:noProof/>
            <w:szCs w:val="20"/>
          </w:rPr>
          <w:t>latach 2012-2017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_Toc5311869 \h </w:instrText>
        </w:r>
        <w:r w:rsidR="00396596" w:rsidRPr="00233296">
          <w:rPr>
            <w:noProof/>
            <w:webHidden/>
            <w:szCs w:val="20"/>
          </w:rPr>
        </w:r>
        <w:r w:rsidR="00396596" w:rsidRPr="00233296">
          <w:rPr>
            <w:noProof/>
            <w:webHidden/>
            <w:szCs w:val="20"/>
          </w:rPr>
          <w:fldChar w:fldCharType="separate"/>
        </w:r>
        <w:r w:rsidR="00E667FD">
          <w:rPr>
            <w:noProof/>
            <w:webHidden/>
            <w:szCs w:val="20"/>
          </w:rPr>
          <w:t>33</w:t>
        </w:r>
        <w:r w:rsidR="00396596" w:rsidRPr="00233296">
          <w:rPr>
            <w:noProof/>
            <w:webHidden/>
            <w:szCs w:val="20"/>
          </w:rPr>
          <w:fldChar w:fldCharType="end"/>
        </w:r>
      </w:hyperlink>
    </w:p>
    <w:p w14:paraId="644B5455" w14:textId="77777777" w:rsidR="00396596" w:rsidRPr="00233296" w:rsidRDefault="00FA14F6">
      <w:pPr>
        <w:pStyle w:val="Spisilustracji"/>
        <w:tabs>
          <w:tab w:val="right" w:leader="dot" w:pos="9060"/>
        </w:tabs>
        <w:rPr>
          <w:noProof/>
          <w:szCs w:val="20"/>
        </w:rPr>
      </w:pPr>
      <w:hyperlink w:anchor="_Toc5311870" w:history="1">
        <w:r w:rsidR="00396596" w:rsidRPr="00233296">
          <w:rPr>
            <w:rStyle w:val="Hipercze"/>
            <w:noProof/>
            <w:szCs w:val="20"/>
          </w:rPr>
          <w:t>Wykres 4. Alokacja aparatury naukowo-badawczej względem kraju</w:t>
        </w:r>
        <w:r w:rsidR="00E66B89" w:rsidRPr="00233296">
          <w:rPr>
            <w:rStyle w:val="Hipercze"/>
            <w:noProof/>
            <w:szCs w:val="20"/>
          </w:rPr>
          <w:t xml:space="preserve"> w </w:t>
        </w:r>
        <w:r w:rsidR="00396596" w:rsidRPr="00233296">
          <w:rPr>
            <w:rStyle w:val="Hipercze"/>
            <w:noProof/>
            <w:szCs w:val="20"/>
          </w:rPr>
          <w:t>latach 2012-2017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_Toc5311870 \h </w:instrText>
        </w:r>
        <w:r w:rsidR="00396596" w:rsidRPr="00233296">
          <w:rPr>
            <w:noProof/>
            <w:webHidden/>
            <w:szCs w:val="20"/>
          </w:rPr>
        </w:r>
        <w:r w:rsidR="00396596" w:rsidRPr="00233296">
          <w:rPr>
            <w:noProof/>
            <w:webHidden/>
            <w:szCs w:val="20"/>
          </w:rPr>
          <w:fldChar w:fldCharType="separate"/>
        </w:r>
        <w:r w:rsidR="00E667FD">
          <w:rPr>
            <w:noProof/>
            <w:webHidden/>
            <w:szCs w:val="20"/>
          </w:rPr>
          <w:t>34</w:t>
        </w:r>
        <w:r w:rsidR="00396596" w:rsidRPr="00233296">
          <w:rPr>
            <w:noProof/>
            <w:webHidden/>
            <w:szCs w:val="20"/>
          </w:rPr>
          <w:fldChar w:fldCharType="end"/>
        </w:r>
      </w:hyperlink>
    </w:p>
    <w:p w14:paraId="38EF3F95" w14:textId="77777777" w:rsidR="00396596" w:rsidRPr="00233296" w:rsidRDefault="00FA14F6">
      <w:pPr>
        <w:pStyle w:val="Spisilustracji"/>
        <w:tabs>
          <w:tab w:val="right" w:leader="dot" w:pos="9060"/>
        </w:tabs>
        <w:rPr>
          <w:noProof/>
          <w:szCs w:val="20"/>
        </w:rPr>
      </w:pPr>
      <w:hyperlink w:anchor="_Toc5311871" w:history="1">
        <w:r w:rsidR="00396596" w:rsidRPr="00233296">
          <w:rPr>
            <w:rStyle w:val="Hipercze"/>
            <w:noProof/>
            <w:szCs w:val="20"/>
          </w:rPr>
          <w:t>Wykres 5. Średni udział przedsiębiorstw innowacyjnych</w:t>
        </w:r>
        <w:r w:rsidR="00E66B89" w:rsidRPr="00233296">
          <w:rPr>
            <w:rStyle w:val="Hipercze"/>
            <w:noProof/>
            <w:szCs w:val="20"/>
          </w:rPr>
          <w:t xml:space="preserve"> w </w:t>
        </w:r>
        <w:r w:rsidR="00396596" w:rsidRPr="00233296">
          <w:rPr>
            <w:rStyle w:val="Hipercze"/>
            <w:noProof/>
            <w:szCs w:val="20"/>
          </w:rPr>
          <w:t>ogólnej liczbie przedsiębiorstw</w:t>
        </w:r>
        <w:r w:rsidR="00E66B89" w:rsidRPr="00233296">
          <w:rPr>
            <w:rStyle w:val="Hipercze"/>
            <w:noProof/>
            <w:szCs w:val="20"/>
          </w:rPr>
          <w:t xml:space="preserve"> w </w:t>
        </w:r>
        <w:r w:rsidR="00396596" w:rsidRPr="00233296">
          <w:rPr>
            <w:rStyle w:val="Hipercze"/>
            <w:noProof/>
            <w:szCs w:val="20"/>
          </w:rPr>
          <w:t>województwie zachodniopomorskim na tle Polski</w:t>
        </w:r>
        <w:r w:rsidR="00E66B89" w:rsidRPr="00233296">
          <w:rPr>
            <w:rStyle w:val="Hipercze"/>
            <w:noProof/>
            <w:szCs w:val="20"/>
          </w:rPr>
          <w:t xml:space="preserve"> w </w:t>
        </w:r>
        <w:r w:rsidR="00396596" w:rsidRPr="00233296">
          <w:rPr>
            <w:rStyle w:val="Hipercze"/>
            <w:noProof/>
            <w:szCs w:val="20"/>
          </w:rPr>
          <w:t>latach 2012-2017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_Toc5311871 \h </w:instrText>
        </w:r>
        <w:r w:rsidR="00396596" w:rsidRPr="00233296">
          <w:rPr>
            <w:noProof/>
            <w:webHidden/>
            <w:szCs w:val="20"/>
          </w:rPr>
        </w:r>
        <w:r w:rsidR="00396596" w:rsidRPr="00233296">
          <w:rPr>
            <w:noProof/>
            <w:webHidden/>
            <w:szCs w:val="20"/>
          </w:rPr>
          <w:fldChar w:fldCharType="separate"/>
        </w:r>
        <w:r w:rsidR="00E667FD">
          <w:rPr>
            <w:noProof/>
            <w:webHidden/>
            <w:szCs w:val="20"/>
          </w:rPr>
          <w:t>35</w:t>
        </w:r>
        <w:r w:rsidR="00396596" w:rsidRPr="00233296">
          <w:rPr>
            <w:noProof/>
            <w:webHidden/>
            <w:szCs w:val="20"/>
          </w:rPr>
          <w:fldChar w:fldCharType="end"/>
        </w:r>
      </w:hyperlink>
    </w:p>
    <w:p w14:paraId="4D6716E3" w14:textId="77777777" w:rsidR="00396596" w:rsidRPr="00233296" w:rsidRDefault="00FA14F6">
      <w:pPr>
        <w:pStyle w:val="Spisilustracji"/>
        <w:tabs>
          <w:tab w:val="right" w:leader="dot" w:pos="9060"/>
        </w:tabs>
        <w:rPr>
          <w:noProof/>
          <w:szCs w:val="20"/>
        </w:rPr>
      </w:pPr>
      <w:hyperlink w:anchor="_Toc5311872" w:history="1">
        <w:r w:rsidR="00396596" w:rsidRPr="00233296">
          <w:rPr>
            <w:rStyle w:val="Hipercze"/>
            <w:noProof/>
            <w:szCs w:val="20"/>
          </w:rPr>
          <w:t>Wykres 6. Udział przychodów netto ze sprzedaży produktów innowacyjnych</w:t>
        </w:r>
        <w:r w:rsidR="00E66B89" w:rsidRPr="00233296">
          <w:rPr>
            <w:rStyle w:val="Hipercze"/>
            <w:noProof/>
            <w:szCs w:val="20"/>
          </w:rPr>
          <w:t xml:space="preserve"> w </w:t>
        </w:r>
        <w:r w:rsidR="00396596" w:rsidRPr="00233296">
          <w:rPr>
            <w:rStyle w:val="Hipercze"/>
            <w:noProof/>
            <w:szCs w:val="20"/>
          </w:rPr>
          <w:t>przedsiębiorstwach przemysłowych</w:t>
        </w:r>
        <w:r w:rsidR="00E66B89" w:rsidRPr="00233296">
          <w:rPr>
            <w:rStyle w:val="Hipercze"/>
            <w:noProof/>
            <w:szCs w:val="20"/>
          </w:rPr>
          <w:t xml:space="preserve"> w </w:t>
        </w:r>
        <w:r w:rsidR="00396596" w:rsidRPr="00233296">
          <w:rPr>
            <w:rStyle w:val="Hipercze"/>
            <w:noProof/>
            <w:szCs w:val="20"/>
          </w:rPr>
          <w:t>województwie zachodniopomorskim na tle Polski</w:t>
        </w:r>
        <w:r w:rsidR="00E66B89" w:rsidRPr="00233296">
          <w:rPr>
            <w:rStyle w:val="Hipercze"/>
            <w:noProof/>
            <w:szCs w:val="20"/>
          </w:rPr>
          <w:t xml:space="preserve"> w </w:t>
        </w:r>
        <w:r w:rsidR="00396596" w:rsidRPr="00233296">
          <w:rPr>
            <w:rStyle w:val="Hipercze"/>
            <w:noProof/>
            <w:szCs w:val="20"/>
          </w:rPr>
          <w:t>latach 2012-2017 (w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_Toc5311872 \h </w:instrText>
        </w:r>
        <w:r w:rsidR="00396596" w:rsidRPr="00233296">
          <w:rPr>
            <w:noProof/>
            <w:webHidden/>
            <w:szCs w:val="20"/>
          </w:rPr>
        </w:r>
        <w:r w:rsidR="00396596" w:rsidRPr="00233296">
          <w:rPr>
            <w:noProof/>
            <w:webHidden/>
            <w:szCs w:val="20"/>
          </w:rPr>
          <w:fldChar w:fldCharType="separate"/>
        </w:r>
        <w:r w:rsidR="00E667FD">
          <w:rPr>
            <w:noProof/>
            <w:webHidden/>
            <w:szCs w:val="20"/>
          </w:rPr>
          <w:t>35</w:t>
        </w:r>
        <w:r w:rsidR="00396596" w:rsidRPr="00233296">
          <w:rPr>
            <w:noProof/>
            <w:webHidden/>
            <w:szCs w:val="20"/>
          </w:rPr>
          <w:fldChar w:fldCharType="end"/>
        </w:r>
      </w:hyperlink>
    </w:p>
    <w:p w14:paraId="06E5E18D" w14:textId="77777777" w:rsidR="00396596" w:rsidRPr="00233296" w:rsidRDefault="00FA14F6">
      <w:pPr>
        <w:pStyle w:val="Spisilustracji"/>
        <w:tabs>
          <w:tab w:val="right" w:leader="dot" w:pos="9060"/>
        </w:tabs>
        <w:rPr>
          <w:noProof/>
          <w:szCs w:val="20"/>
        </w:rPr>
      </w:pPr>
      <w:hyperlink w:anchor="_Toc5311873" w:history="1">
        <w:r w:rsidR="00396596" w:rsidRPr="00233296">
          <w:rPr>
            <w:rStyle w:val="Hipercze"/>
            <w:noProof/>
            <w:szCs w:val="20"/>
          </w:rPr>
          <w:t>Wykres 7 Średni udział przedsiębiorstw innowacyjnych -</w:t>
        </w:r>
        <w:r w:rsidR="00E66B89" w:rsidRPr="00233296">
          <w:rPr>
            <w:rStyle w:val="Hipercze"/>
            <w:noProof/>
            <w:szCs w:val="20"/>
          </w:rPr>
          <w:t xml:space="preserve"> w </w:t>
        </w:r>
        <w:r w:rsidR="00396596" w:rsidRPr="00233296">
          <w:rPr>
            <w:rStyle w:val="Hipercze"/>
            <w:noProof/>
            <w:szCs w:val="20"/>
          </w:rPr>
          <w:t>ogólnej liczbie przedsiębiorstw przemysłowych</w:t>
        </w:r>
        <w:r w:rsidR="00E66B89" w:rsidRPr="00233296">
          <w:rPr>
            <w:rStyle w:val="Hipercze"/>
            <w:noProof/>
            <w:szCs w:val="20"/>
          </w:rPr>
          <w:t xml:space="preserve"> i z </w:t>
        </w:r>
        <w:r w:rsidR="00396596" w:rsidRPr="00233296">
          <w:rPr>
            <w:rStyle w:val="Hipercze"/>
            <w:noProof/>
            <w:szCs w:val="20"/>
          </w:rPr>
          <w:t>sektora usług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_Toc5311873 \h </w:instrText>
        </w:r>
        <w:r w:rsidR="00396596" w:rsidRPr="00233296">
          <w:rPr>
            <w:noProof/>
            <w:webHidden/>
            <w:szCs w:val="20"/>
          </w:rPr>
        </w:r>
        <w:r w:rsidR="00396596" w:rsidRPr="00233296">
          <w:rPr>
            <w:noProof/>
            <w:webHidden/>
            <w:szCs w:val="20"/>
          </w:rPr>
          <w:fldChar w:fldCharType="separate"/>
        </w:r>
        <w:r w:rsidR="00E667FD">
          <w:rPr>
            <w:noProof/>
            <w:webHidden/>
            <w:szCs w:val="20"/>
          </w:rPr>
          <w:t>53</w:t>
        </w:r>
        <w:r w:rsidR="00396596" w:rsidRPr="00233296">
          <w:rPr>
            <w:noProof/>
            <w:webHidden/>
            <w:szCs w:val="20"/>
          </w:rPr>
          <w:fldChar w:fldCharType="end"/>
        </w:r>
      </w:hyperlink>
    </w:p>
    <w:p w14:paraId="3C0AA4F5" w14:textId="77777777" w:rsidR="00396596" w:rsidRPr="00233296" w:rsidRDefault="00FA14F6">
      <w:pPr>
        <w:pStyle w:val="Spisilustracji"/>
        <w:tabs>
          <w:tab w:val="right" w:leader="dot" w:pos="9060"/>
        </w:tabs>
        <w:rPr>
          <w:noProof/>
          <w:szCs w:val="20"/>
        </w:rPr>
      </w:pPr>
      <w:hyperlink w:anchor="_Toc5311874" w:history="1">
        <w:r w:rsidR="00396596" w:rsidRPr="00233296">
          <w:rPr>
            <w:rStyle w:val="Hipercze"/>
            <w:noProof/>
            <w:szCs w:val="20"/>
          </w:rPr>
          <w:t>Wykres 8 Nakłady inwestycyjne</w:t>
        </w:r>
        <w:r w:rsidR="00E66B89" w:rsidRPr="00233296">
          <w:rPr>
            <w:rStyle w:val="Hipercze"/>
            <w:noProof/>
            <w:szCs w:val="20"/>
          </w:rPr>
          <w:t xml:space="preserve"> w </w:t>
        </w:r>
        <w:r w:rsidR="00396596" w:rsidRPr="00233296">
          <w:rPr>
            <w:rStyle w:val="Hipercze"/>
            <w:noProof/>
            <w:szCs w:val="20"/>
          </w:rPr>
          <w:t>przedsiębiorstwach</w:t>
        </w:r>
        <w:r w:rsidR="00E66B89" w:rsidRPr="00233296">
          <w:rPr>
            <w:rStyle w:val="Hipercze"/>
            <w:noProof/>
            <w:szCs w:val="20"/>
          </w:rPr>
          <w:t xml:space="preserve"> w </w:t>
        </w:r>
        <w:r w:rsidR="00396596" w:rsidRPr="00233296">
          <w:rPr>
            <w:rStyle w:val="Hipercze"/>
            <w:noProof/>
            <w:szCs w:val="20"/>
          </w:rPr>
          <w:t>stosunku do PKB</w:t>
        </w:r>
        <w:r w:rsidR="00E66B89" w:rsidRPr="00233296">
          <w:rPr>
            <w:rStyle w:val="Hipercze"/>
            <w:noProof/>
            <w:szCs w:val="20"/>
          </w:rPr>
          <w:t xml:space="preserve"> w </w:t>
        </w:r>
        <w:r w:rsidR="00396596" w:rsidRPr="00233296">
          <w:rPr>
            <w:rStyle w:val="Hipercze"/>
            <w:noProof/>
            <w:szCs w:val="20"/>
          </w:rPr>
          <w:t>%</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_Toc5311874 \h </w:instrText>
        </w:r>
        <w:r w:rsidR="00396596" w:rsidRPr="00233296">
          <w:rPr>
            <w:noProof/>
            <w:webHidden/>
            <w:szCs w:val="20"/>
          </w:rPr>
        </w:r>
        <w:r w:rsidR="00396596" w:rsidRPr="00233296">
          <w:rPr>
            <w:noProof/>
            <w:webHidden/>
            <w:szCs w:val="20"/>
          </w:rPr>
          <w:fldChar w:fldCharType="separate"/>
        </w:r>
        <w:r w:rsidR="00E667FD">
          <w:rPr>
            <w:noProof/>
            <w:webHidden/>
            <w:szCs w:val="20"/>
          </w:rPr>
          <w:t>60</w:t>
        </w:r>
        <w:r w:rsidR="00396596" w:rsidRPr="00233296">
          <w:rPr>
            <w:noProof/>
            <w:webHidden/>
            <w:szCs w:val="20"/>
          </w:rPr>
          <w:fldChar w:fldCharType="end"/>
        </w:r>
      </w:hyperlink>
    </w:p>
    <w:p w14:paraId="7F671075" w14:textId="77777777" w:rsidR="00396596" w:rsidRPr="00233296" w:rsidRDefault="00FA14F6">
      <w:pPr>
        <w:pStyle w:val="Spisilustracji"/>
        <w:tabs>
          <w:tab w:val="right" w:leader="dot" w:pos="9060"/>
        </w:tabs>
        <w:rPr>
          <w:noProof/>
          <w:szCs w:val="20"/>
        </w:rPr>
      </w:pPr>
      <w:hyperlink w:anchor="_Toc5311875" w:history="1">
        <w:r w:rsidR="00396596" w:rsidRPr="00233296">
          <w:rPr>
            <w:rStyle w:val="Hipercze"/>
            <w:noProof/>
            <w:szCs w:val="20"/>
          </w:rPr>
          <w:t>Wykres 9 Odsetek przedsiębiorstw przemysłowych, które współpracowały</w:t>
        </w:r>
        <w:r w:rsidR="00E66B89" w:rsidRPr="00233296">
          <w:rPr>
            <w:rStyle w:val="Hipercze"/>
            <w:noProof/>
            <w:szCs w:val="20"/>
          </w:rPr>
          <w:t xml:space="preserve"> w </w:t>
        </w:r>
        <w:r w:rsidR="00396596" w:rsidRPr="00233296">
          <w:rPr>
            <w:rStyle w:val="Hipercze"/>
            <w:noProof/>
            <w:szCs w:val="20"/>
          </w:rPr>
          <w:t>zakresie działalności innowacyjnej</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_Toc5311875 \h </w:instrText>
        </w:r>
        <w:r w:rsidR="00396596" w:rsidRPr="00233296">
          <w:rPr>
            <w:noProof/>
            <w:webHidden/>
            <w:szCs w:val="20"/>
          </w:rPr>
        </w:r>
        <w:r w:rsidR="00396596" w:rsidRPr="00233296">
          <w:rPr>
            <w:noProof/>
            <w:webHidden/>
            <w:szCs w:val="20"/>
          </w:rPr>
          <w:fldChar w:fldCharType="separate"/>
        </w:r>
        <w:r w:rsidR="00E667FD">
          <w:rPr>
            <w:noProof/>
            <w:webHidden/>
            <w:szCs w:val="20"/>
          </w:rPr>
          <w:t>60</w:t>
        </w:r>
        <w:r w:rsidR="00396596" w:rsidRPr="00233296">
          <w:rPr>
            <w:noProof/>
            <w:webHidden/>
            <w:szCs w:val="20"/>
          </w:rPr>
          <w:fldChar w:fldCharType="end"/>
        </w:r>
      </w:hyperlink>
    </w:p>
    <w:p w14:paraId="2FEF6752" w14:textId="77777777" w:rsidR="00396596" w:rsidRPr="00233296" w:rsidRDefault="00FA14F6">
      <w:pPr>
        <w:pStyle w:val="Spisilustracji"/>
        <w:tabs>
          <w:tab w:val="right" w:leader="dot" w:pos="9060"/>
        </w:tabs>
        <w:rPr>
          <w:noProof/>
          <w:szCs w:val="20"/>
        </w:rPr>
      </w:pPr>
      <w:hyperlink w:anchor="_Toc5311876" w:history="1">
        <w:r w:rsidR="00396596" w:rsidRPr="00233296">
          <w:rPr>
            <w:rStyle w:val="Hipercze"/>
            <w:noProof/>
            <w:szCs w:val="20"/>
          </w:rPr>
          <w:t>Wykres 10. Udział energii odnawialnej</w:t>
        </w:r>
        <w:r w:rsidR="00E66B89" w:rsidRPr="00233296">
          <w:rPr>
            <w:rStyle w:val="Hipercze"/>
            <w:noProof/>
            <w:szCs w:val="20"/>
          </w:rPr>
          <w:t xml:space="preserve"> w </w:t>
        </w:r>
        <w:r w:rsidR="00396596" w:rsidRPr="00233296">
          <w:rPr>
            <w:rStyle w:val="Hipercze"/>
            <w:noProof/>
            <w:szCs w:val="20"/>
          </w:rPr>
          <w:t>produkcji energii elektrycznej ogółem</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i w </w:t>
        </w:r>
        <w:r w:rsidR="00396596" w:rsidRPr="00233296">
          <w:rPr>
            <w:rStyle w:val="Hipercze"/>
            <w:noProof/>
            <w:szCs w:val="20"/>
          </w:rPr>
          <w:t>Polsce</w:t>
        </w:r>
        <w:r w:rsidR="00E66B89" w:rsidRPr="00233296">
          <w:rPr>
            <w:rStyle w:val="Hipercze"/>
            <w:noProof/>
            <w:szCs w:val="20"/>
          </w:rPr>
          <w:t xml:space="preserve"> w </w:t>
        </w:r>
        <w:r w:rsidR="00396596" w:rsidRPr="00233296">
          <w:rPr>
            <w:rStyle w:val="Hipercze"/>
            <w:noProof/>
            <w:szCs w:val="20"/>
          </w:rPr>
          <w:t>latach 2012-2017[%]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_Toc5311876 \h </w:instrText>
        </w:r>
        <w:r w:rsidR="00396596" w:rsidRPr="00233296">
          <w:rPr>
            <w:noProof/>
            <w:webHidden/>
            <w:szCs w:val="20"/>
          </w:rPr>
        </w:r>
        <w:r w:rsidR="00396596" w:rsidRPr="00233296">
          <w:rPr>
            <w:noProof/>
            <w:webHidden/>
            <w:szCs w:val="20"/>
          </w:rPr>
          <w:fldChar w:fldCharType="separate"/>
        </w:r>
        <w:r w:rsidR="00E667FD">
          <w:rPr>
            <w:noProof/>
            <w:webHidden/>
            <w:szCs w:val="20"/>
          </w:rPr>
          <w:t>64</w:t>
        </w:r>
        <w:r w:rsidR="00396596" w:rsidRPr="00233296">
          <w:rPr>
            <w:noProof/>
            <w:webHidden/>
            <w:szCs w:val="20"/>
          </w:rPr>
          <w:fldChar w:fldCharType="end"/>
        </w:r>
      </w:hyperlink>
    </w:p>
    <w:p w14:paraId="0E5B705C" w14:textId="77777777" w:rsidR="00396596" w:rsidRPr="00233296" w:rsidRDefault="00FA14F6">
      <w:pPr>
        <w:pStyle w:val="Spisilustracji"/>
        <w:tabs>
          <w:tab w:val="right" w:leader="dot" w:pos="9060"/>
        </w:tabs>
        <w:rPr>
          <w:noProof/>
          <w:szCs w:val="20"/>
        </w:rPr>
      </w:pPr>
      <w:hyperlink w:anchor="_Toc5311877" w:history="1">
        <w:r w:rsidR="00396596" w:rsidRPr="00233296">
          <w:rPr>
            <w:rStyle w:val="Hipercze"/>
            <w:noProof/>
            <w:szCs w:val="20"/>
          </w:rPr>
          <w:t>Wykres 11. Udział energii cieplnej wytworzonej</w:t>
        </w:r>
        <w:r w:rsidR="00E66B89" w:rsidRPr="00233296">
          <w:rPr>
            <w:rStyle w:val="Hipercze"/>
            <w:noProof/>
            <w:szCs w:val="20"/>
          </w:rPr>
          <w:t xml:space="preserve"> w </w:t>
        </w:r>
        <w:r w:rsidR="00396596" w:rsidRPr="00233296">
          <w:rPr>
            <w:rStyle w:val="Hipercze"/>
            <w:noProof/>
            <w:szCs w:val="20"/>
          </w:rPr>
          <w:t>kogeneracji</w:t>
        </w:r>
        <w:r w:rsidR="00E66B89" w:rsidRPr="00233296">
          <w:rPr>
            <w:rStyle w:val="Hipercze"/>
            <w:noProof/>
            <w:szCs w:val="20"/>
          </w:rPr>
          <w:t xml:space="preserve"> w </w:t>
        </w:r>
        <w:r w:rsidR="00396596" w:rsidRPr="00233296">
          <w:rPr>
            <w:rStyle w:val="Hipercze"/>
            <w:noProof/>
            <w:szCs w:val="20"/>
          </w:rPr>
          <w:t>produkcji energii cieplnej ogółem</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i w </w:t>
        </w:r>
        <w:r w:rsidR="00396596" w:rsidRPr="00233296">
          <w:rPr>
            <w:rStyle w:val="Hipercze"/>
            <w:noProof/>
            <w:szCs w:val="20"/>
          </w:rPr>
          <w:t>Polsce</w:t>
        </w:r>
        <w:r w:rsidR="00E66B89" w:rsidRPr="00233296">
          <w:rPr>
            <w:rStyle w:val="Hipercze"/>
            <w:noProof/>
            <w:szCs w:val="20"/>
          </w:rPr>
          <w:t xml:space="preserve"> w </w:t>
        </w:r>
        <w:r w:rsidR="00396596" w:rsidRPr="00233296">
          <w:rPr>
            <w:rStyle w:val="Hipercze"/>
            <w:noProof/>
            <w:szCs w:val="20"/>
          </w:rPr>
          <w:t>latach 2012-2017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_Toc5311877 \h </w:instrText>
        </w:r>
        <w:r w:rsidR="00396596" w:rsidRPr="00233296">
          <w:rPr>
            <w:noProof/>
            <w:webHidden/>
            <w:szCs w:val="20"/>
          </w:rPr>
        </w:r>
        <w:r w:rsidR="00396596" w:rsidRPr="00233296">
          <w:rPr>
            <w:noProof/>
            <w:webHidden/>
            <w:szCs w:val="20"/>
          </w:rPr>
          <w:fldChar w:fldCharType="separate"/>
        </w:r>
        <w:r w:rsidR="00E667FD">
          <w:rPr>
            <w:noProof/>
            <w:webHidden/>
            <w:szCs w:val="20"/>
          </w:rPr>
          <w:t>65</w:t>
        </w:r>
        <w:r w:rsidR="00396596" w:rsidRPr="00233296">
          <w:rPr>
            <w:noProof/>
            <w:webHidden/>
            <w:szCs w:val="20"/>
          </w:rPr>
          <w:fldChar w:fldCharType="end"/>
        </w:r>
      </w:hyperlink>
    </w:p>
    <w:p w14:paraId="64F23C68" w14:textId="77777777" w:rsidR="00396596" w:rsidRPr="00233296" w:rsidRDefault="00FA14F6">
      <w:pPr>
        <w:pStyle w:val="Spisilustracji"/>
        <w:tabs>
          <w:tab w:val="right" w:leader="dot" w:pos="9060"/>
        </w:tabs>
        <w:rPr>
          <w:noProof/>
          <w:szCs w:val="20"/>
        </w:rPr>
      </w:pPr>
      <w:hyperlink w:anchor="_Toc5311878" w:history="1">
        <w:r w:rsidR="00396596" w:rsidRPr="00233296">
          <w:rPr>
            <w:rStyle w:val="Hipercze"/>
            <w:noProof/>
            <w:szCs w:val="20"/>
          </w:rPr>
          <w:t>Wykres 12. Sprzedaż energii cieplnej do budynków mieszkalnych oraz do urzędów</w:t>
        </w:r>
        <w:r w:rsidR="00E66B89" w:rsidRPr="00233296">
          <w:rPr>
            <w:rStyle w:val="Hipercze"/>
            <w:noProof/>
            <w:szCs w:val="20"/>
          </w:rPr>
          <w:t xml:space="preserve"> i </w:t>
        </w:r>
        <w:r w:rsidR="00396596" w:rsidRPr="00233296">
          <w:rPr>
            <w:rStyle w:val="Hipercze"/>
            <w:noProof/>
            <w:szCs w:val="20"/>
          </w:rPr>
          <w:t>instytucji</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2007-2017 [GJ]</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_Toc5311878 \h </w:instrText>
        </w:r>
        <w:r w:rsidR="00396596" w:rsidRPr="00233296">
          <w:rPr>
            <w:noProof/>
            <w:webHidden/>
            <w:szCs w:val="20"/>
          </w:rPr>
        </w:r>
        <w:r w:rsidR="00396596" w:rsidRPr="00233296">
          <w:rPr>
            <w:noProof/>
            <w:webHidden/>
            <w:szCs w:val="20"/>
          </w:rPr>
          <w:fldChar w:fldCharType="separate"/>
        </w:r>
        <w:r w:rsidR="00E667FD">
          <w:rPr>
            <w:noProof/>
            <w:webHidden/>
            <w:szCs w:val="20"/>
          </w:rPr>
          <w:t>66</w:t>
        </w:r>
        <w:r w:rsidR="00396596" w:rsidRPr="00233296">
          <w:rPr>
            <w:noProof/>
            <w:webHidden/>
            <w:szCs w:val="20"/>
          </w:rPr>
          <w:fldChar w:fldCharType="end"/>
        </w:r>
      </w:hyperlink>
    </w:p>
    <w:p w14:paraId="3C044A75" w14:textId="77777777" w:rsidR="00396596" w:rsidRPr="00233296" w:rsidRDefault="00FA14F6">
      <w:pPr>
        <w:pStyle w:val="Spisilustracji"/>
        <w:tabs>
          <w:tab w:val="right" w:leader="dot" w:pos="9060"/>
        </w:tabs>
        <w:rPr>
          <w:noProof/>
          <w:szCs w:val="20"/>
        </w:rPr>
      </w:pPr>
      <w:hyperlink w:anchor="_Toc5311879" w:history="1">
        <w:r w:rsidR="00396596" w:rsidRPr="00233296">
          <w:rPr>
            <w:rStyle w:val="Hipercze"/>
            <w:noProof/>
            <w:szCs w:val="20"/>
          </w:rPr>
          <w:t>Wykres 13. Przewozy pasażerów komunikacją miejską</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2012-2017 [mln osób]</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_Toc5311879 \h </w:instrText>
        </w:r>
        <w:r w:rsidR="00396596" w:rsidRPr="00233296">
          <w:rPr>
            <w:noProof/>
            <w:webHidden/>
            <w:szCs w:val="20"/>
          </w:rPr>
        </w:r>
        <w:r w:rsidR="00396596" w:rsidRPr="00233296">
          <w:rPr>
            <w:noProof/>
            <w:webHidden/>
            <w:szCs w:val="20"/>
          </w:rPr>
          <w:fldChar w:fldCharType="separate"/>
        </w:r>
        <w:r w:rsidR="00E667FD">
          <w:rPr>
            <w:noProof/>
            <w:webHidden/>
            <w:szCs w:val="20"/>
          </w:rPr>
          <w:t>68</w:t>
        </w:r>
        <w:r w:rsidR="00396596" w:rsidRPr="00233296">
          <w:rPr>
            <w:noProof/>
            <w:webHidden/>
            <w:szCs w:val="20"/>
          </w:rPr>
          <w:fldChar w:fldCharType="end"/>
        </w:r>
      </w:hyperlink>
    </w:p>
    <w:p w14:paraId="0BA93AD5" w14:textId="77777777" w:rsidR="00396596" w:rsidRPr="00233296" w:rsidRDefault="00FA14F6">
      <w:pPr>
        <w:pStyle w:val="Spisilustracji"/>
        <w:tabs>
          <w:tab w:val="right" w:leader="dot" w:pos="9060"/>
        </w:tabs>
        <w:rPr>
          <w:noProof/>
          <w:szCs w:val="20"/>
        </w:rPr>
      </w:pPr>
      <w:hyperlink w:anchor="_Toc5311880" w:history="1">
        <w:r w:rsidR="00396596" w:rsidRPr="00233296">
          <w:rPr>
            <w:rStyle w:val="Hipercze"/>
            <w:noProof/>
            <w:szCs w:val="20"/>
          </w:rPr>
          <w:t>Wykres 14. Sprzedaż energii cieplnej do budynków mieszkalnych</w:t>
        </w:r>
        <w:r w:rsidR="00E66B89" w:rsidRPr="00233296">
          <w:rPr>
            <w:rStyle w:val="Hipercze"/>
            <w:noProof/>
            <w:szCs w:val="20"/>
          </w:rPr>
          <w:t xml:space="preserve"> w </w:t>
        </w:r>
        <w:r w:rsidR="00396596" w:rsidRPr="00233296">
          <w:rPr>
            <w:rStyle w:val="Hipercze"/>
            <w:noProof/>
            <w:szCs w:val="20"/>
          </w:rPr>
          <w:t>przeliczeniu na kubaturę budynków mieszkalnych</w:t>
        </w:r>
        <w:r w:rsidR="00E66B89" w:rsidRPr="00233296">
          <w:rPr>
            <w:rStyle w:val="Hipercze"/>
            <w:noProof/>
            <w:szCs w:val="20"/>
          </w:rPr>
          <w:t xml:space="preserve"> w </w:t>
        </w:r>
        <w:r w:rsidR="00396596" w:rsidRPr="00233296">
          <w:rPr>
            <w:rStyle w:val="Hipercze"/>
            <w:noProof/>
            <w:szCs w:val="20"/>
          </w:rPr>
          <w:t>latach 2007-2016</w:t>
        </w:r>
        <w:r w:rsidR="00E66B89" w:rsidRPr="00233296">
          <w:rPr>
            <w:rStyle w:val="Hipercze"/>
            <w:noProof/>
            <w:szCs w:val="20"/>
          </w:rPr>
          <w:t xml:space="preserve"> w </w:t>
        </w:r>
        <w:r w:rsidR="00396596" w:rsidRPr="00233296">
          <w:rPr>
            <w:rStyle w:val="Hipercze"/>
            <w:noProof/>
            <w:szCs w:val="20"/>
          </w:rPr>
          <w:t>województwie zachodniopomorskim wraz</w:t>
        </w:r>
        <w:r w:rsidR="00E66B89" w:rsidRPr="00233296">
          <w:rPr>
            <w:rStyle w:val="Hipercze"/>
            <w:noProof/>
            <w:szCs w:val="20"/>
          </w:rPr>
          <w:t xml:space="preserve"> z </w:t>
        </w:r>
        <w:r w:rsidR="00396596" w:rsidRPr="00233296">
          <w:rPr>
            <w:rStyle w:val="Hipercze"/>
            <w:noProof/>
            <w:szCs w:val="20"/>
          </w:rPr>
          <w:t>przewidywanym trendem do roku 2023 [GJ/dam3]</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_Toc5311880 \h </w:instrText>
        </w:r>
        <w:r w:rsidR="00396596" w:rsidRPr="00233296">
          <w:rPr>
            <w:noProof/>
            <w:webHidden/>
            <w:szCs w:val="20"/>
          </w:rPr>
        </w:r>
        <w:r w:rsidR="00396596" w:rsidRPr="00233296">
          <w:rPr>
            <w:noProof/>
            <w:webHidden/>
            <w:szCs w:val="20"/>
          </w:rPr>
          <w:fldChar w:fldCharType="separate"/>
        </w:r>
        <w:r w:rsidR="00E667FD">
          <w:rPr>
            <w:noProof/>
            <w:webHidden/>
            <w:szCs w:val="20"/>
          </w:rPr>
          <w:t>81</w:t>
        </w:r>
        <w:r w:rsidR="00396596" w:rsidRPr="00233296">
          <w:rPr>
            <w:noProof/>
            <w:webHidden/>
            <w:szCs w:val="20"/>
          </w:rPr>
          <w:fldChar w:fldCharType="end"/>
        </w:r>
      </w:hyperlink>
    </w:p>
    <w:p w14:paraId="7642A610" w14:textId="77777777" w:rsidR="00396596" w:rsidRPr="00233296" w:rsidRDefault="00FA14F6">
      <w:pPr>
        <w:pStyle w:val="Spisilustracji"/>
        <w:tabs>
          <w:tab w:val="right" w:leader="dot" w:pos="9060"/>
        </w:tabs>
        <w:rPr>
          <w:noProof/>
          <w:szCs w:val="20"/>
        </w:rPr>
      </w:pPr>
      <w:hyperlink w:anchor="_Toc5311881" w:history="1">
        <w:r w:rsidR="00396596" w:rsidRPr="00233296">
          <w:rPr>
            <w:rStyle w:val="Hipercze"/>
            <w:noProof/>
            <w:szCs w:val="20"/>
          </w:rPr>
          <w:t>Wykres 15. Sprzedaż energii cieplnej do urzędów</w:t>
        </w:r>
        <w:r w:rsidR="00E66B89" w:rsidRPr="00233296">
          <w:rPr>
            <w:rStyle w:val="Hipercze"/>
            <w:noProof/>
            <w:szCs w:val="20"/>
          </w:rPr>
          <w:t xml:space="preserve"> i </w:t>
        </w:r>
        <w:r w:rsidR="00396596" w:rsidRPr="00233296">
          <w:rPr>
            <w:rStyle w:val="Hipercze"/>
            <w:noProof/>
            <w:szCs w:val="20"/>
          </w:rPr>
          <w:t>instytucji</w:t>
        </w:r>
        <w:r w:rsidR="00E66B89" w:rsidRPr="00233296">
          <w:rPr>
            <w:rStyle w:val="Hipercze"/>
            <w:noProof/>
            <w:szCs w:val="20"/>
          </w:rPr>
          <w:t xml:space="preserve"> w </w:t>
        </w:r>
        <w:r w:rsidR="00396596" w:rsidRPr="00233296">
          <w:rPr>
            <w:rStyle w:val="Hipercze"/>
            <w:noProof/>
            <w:szCs w:val="20"/>
          </w:rPr>
          <w:t>latach 2007-2017</w:t>
        </w:r>
        <w:r w:rsidR="00E66B89" w:rsidRPr="00233296">
          <w:rPr>
            <w:rStyle w:val="Hipercze"/>
            <w:noProof/>
            <w:szCs w:val="20"/>
          </w:rPr>
          <w:t xml:space="preserve"> w </w:t>
        </w:r>
        <w:r w:rsidR="00396596" w:rsidRPr="00233296">
          <w:rPr>
            <w:rStyle w:val="Hipercze"/>
            <w:noProof/>
            <w:szCs w:val="20"/>
          </w:rPr>
          <w:t>województwie zachodniopomorskim wraz</w:t>
        </w:r>
        <w:r w:rsidR="00E66B89" w:rsidRPr="00233296">
          <w:rPr>
            <w:rStyle w:val="Hipercze"/>
            <w:noProof/>
            <w:szCs w:val="20"/>
          </w:rPr>
          <w:t xml:space="preserve"> z </w:t>
        </w:r>
        <w:r w:rsidR="00396596" w:rsidRPr="00233296">
          <w:rPr>
            <w:rStyle w:val="Hipercze"/>
            <w:noProof/>
            <w:szCs w:val="20"/>
          </w:rPr>
          <w:t>przewidywanym trendem do roku 2023 [GJ]</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_Toc5311881 \h </w:instrText>
        </w:r>
        <w:r w:rsidR="00396596" w:rsidRPr="00233296">
          <w:rPr>
            <w:noProof/>
            <w:webHidden/>
            <w:szCs w:val="20"/>
          </w:rPr>
        </w:r>
        <w:r w:rsidR="00396596" w:rsidRPr="00233296">
          <w:rPr>
            <w:noProof/>
            <w:webHidden/>
            <w:szCs w:val="20"/>
          </w:rPr>
          <w:fldChar w:fldCharType="separate"/>
        </w:r>
        <w:r w:rsidR="00E667FD">
          <w:rPr>
            <w:noProof/>
            <w:webHidden/>
            <w:szCs w:val="20"/>
          </w:rPr>
          <w:t>81</w:t>
        </w:r>
        <w:r w:rsidR="00396596" w:rsidRPr="00233296">
          <w:rPr>
            <w:noProof/>
            <w:webHidden/>
            <w:szCs w:val="20"/>
          </w:rPr>
          <w:fldChar w:fldCharType="end"/>
        </w:r>
      </w:hyperlink>
    </w:p>
    <w:p w14:paraId="75E9A5DA" w14:textId="77777777" w:rsidR="00396596" w:rsidRPr="00233296" w:rsidRDefault="00FA14F6">
      <w:pPr>
        <w:pStyle w:val="Spisilustracji"/>
        <w:tabs>
          <w:tab w:val="right" w:leader="dot" w:pos="9060"/>
        </w:tabs>
        <w:rPr>
          <w:noProof/>
          <w:szCs w:val="20"/>
        </w:rPr>
      </w:pPr>
      <w:hyperlink w:anchor="_Toc5311882" w:history="1">
        <w:r w:rsidR="00396596" w:rsidRPr="00233296">
          <w:rPr>
            <w:rStyle w:val="Hipercze"/>
            <w:noProof/>
            <w:szCs w:val="20"/>
          </w:rPr>
          <w:t>Wykres 16 Przewozy pasażerów środkami komunikacji miejskiej</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2009-2017 wraz</w:t>
        </w:r>
        <w:r w:rsidR="00E66B89" w:rsidRPr="00233296">
          <w:rPr>
            <w:rStyle w:val="Hipercze"/>
            <w:noProof/>
            <w:szCs w:val="20"/>
          </w:rPr>
          <w:t xml:space="preserve"> z </w:t>
        </w:r>
        <w:r w:rsidR="00396596" w:rsidRPr="00233296">
          <w:rPr>
            <w:rStyle w:val="Hipercze"/>
            <w:noProof/>
            <w:szCs w:val="20"/>
          </w:rPr>
          <w:t>przewidywaną linią trendu do roku 2023</w:t>
        </w:r>
        <w:r w:rsidR="00E66B89" w:rsidRPr="00233296">
          <w:rPr>
            <w:rStyle w:val="Hipercze"/>
            <w:noProof/>
            <w:szCs w:val="20"/>
          </w:rPr>
          <w:t xml:space="preserve"> i </w:t>
        </w:r>
        <w:r w:rsidR="00396596" w:rsidRPr="00233296">
          <w:rPr>
            <w:rStyle w:val="Hipercze"/>
            <w:noProof/>
            <w:szCs w:val="20"/>
          </w:rPr>
          <w:t>wartością docelową wskaźnika założoną na rok 2023 [mln osób]</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_Toc5311882 \h </w:instrText>
        </w:r>
        <w:r w:rsidR="00396596" w:rsidRPr="00233296">
          <w:rPr>
            <w:noProof/>
            <w:webHidden/>
            <w:szCs w:val="20"/>
          </w:rPr>
        </w:r>
        <w:r w:rsidR="00396596" w:rsidRPr="00233296">
          <w:rPr>
            <w:noProof/>
            <w:webHidden/>
            <w:szCs w:val="20"/>
          </w:rPr>
          <w:fldChar w:fldCharType="separate"/>
        </w:r>
        <w:r w:rsidR="00E667FD">
          <w:rPr>
            <w:noProof/>
            <w:webHidden/>
            <w:szCs w:val="20"/>
          </w:rPr>
          <w:t>89</w:t>
        </w:r>
        <w:r w:rsidR="00396596" w:rsidRPr="00233296">
          <w:rPr>
            <w:noProof/>
            <w:webHidden/>
            <w:szCs w:val="20"/>
          </w:rPr>
          <w:fldChar w:fldCharType="end"/>
        </w:r>
      </w:hyperlink>
    </w:p>
    <w:p w14:paraId="1F8C87B8" w14:textId="77777777" w:rsidR="00396596" w:rsidRPr="00233296" w:rsidRDefault="00FA14F6">
      <w:pPr>
        <w:pStyle w:val="Spisilustracji"/>
        <w:tabs>
          <w:tab w:val="right" w:leader="dot" w:pos="9060"/>
        </w:tabs>
        <w:rPr>
          <w:noProof/>
          <w:szCs w:val="20"/>
        </w:rPr>
      </w:pPr>
      <w:hyperlink w:anchor="_Toc5311883" w:history="1">
        <w:r w:rsidR="00396596" w:rsidRPr="00233296">
          <w:rPr>
            <w:rStyle w:val="Hipercze"/>
            <w:noProof/>
            <w:szCs w:val="20"/>
          </w:rPr>
          <w:t>Wykres 17 Liczba ludności na 1 miejsce</w:t>
        </w:r>
        <w:r w:rsidR="00E66B89" w:rsidRPr="00233296">
          <w:rPr>
            <w:rStyle w:val="Hipercze"/>
            <w:noProof/>
            <w:szCs w:val="20"/>
          </w:rPr>
          <w:t xml:space="preserve"> w </w:t>
        </w:r>
        <w:r w:rsidR="00396596" w:rsidRPr="00233296">
          <w:rPr>
            <w:rStyle w:val="Hipercze"/>
            <w:noProof/>
            <w:szCs w:val="20"/>
          </w:rPr>
          <w:t>kinach oraz teatrach</w:t>
        </w:r>
        <w:r w:rsidR="00E66B89" w:rsidRPr="00233296">
          <w:rPr>
            <w:rStyle w:val="Hipercze"/>
            <w:noProof/>
            <w:szCs w:val="20"/>
          </w:rPr>
          <w:t xml:space="preserve"> i </w:t>
        </w:r>
        <w:r w:rsidR="00396596" w:rsidRPr="00233296">
          <w:rPr>
            <w:rStyle w:val="Hipercze"/>
            <w:noProof/>
            <w:szCs w:val="20"/>
          </w:rPr>
          <w:t>instytucjach muzycznych</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i w </w:t>
        </w:r>
        <w:r w:rsidR="00396596" w:rsidRPr="00233296">
          <w:rPr>
            <w:rStyle w:val="Hipercze"/>
            <w:noProof/>
            <w:szCs w:val="20"/>
          </w:rPr>
          <w:t>Polsce.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_Toc5311883 \h </w:instrText>
        </w:r>
        <w:r w:rsidR="00396596" w:rsidRPr="00233296">
          <w:rPr>
            <w:noProof/>
            <w:webHidden/>
            <w:szCs w:val="20"/>
          </w:rPr>
        </w:r>
        <w:r w:rsidR="00396596" w:rsidRPr="00233296">
          <w:rPr>
            <w:noProof/>
            <w:webHidden/>
            <w:szCs w:val="20"/>
          </w:rPr>
          <w:fldChar w:fldCharType="separate"/>
        </w:r>
        <w:r w:rsidR="00E667FD">
          <w:rPr>
            <w:noProof/>
            <w:webHidden/>
            <w:szCs w:val="20"/>
          </w:rPr>
          <w:t>150</w:t>
        </w:r>
        <w:r w:rsidR="00396596" w:rsidRPr="00233296">
          <w:rPr>
            <w:noProof/>
            <w:webHidden/>
            <w:szCs w:val="20"/>
          </w:rPr>
          <w:fldChar w:fldCharType="end"/>
        </w:r>
      </w:hyperlink>
    </w:p>
    <w:p w14:paraId="6D3F6A7E" w14:textId="77777777" w:rsidR="00396596" w:rsidRPr="00233296" w:rsidRDefault="00FA14F6">
      <w:pPr>
        <w:pStyle w:val="Spisilustracji"/>
        <w:tabs>
          <w:tab w:val="right" w:leader="dot" w:pos="9060"/>
        </w:tabs>
        <w:rPr>
          <w:noProof/>
          <w:szCs w:val="20"/>
        </w:rPr>
      </w:pPr>
      <w:hyperlink w:anchor="_Toc5311884" w:history="1">
        <w:r w:rsidR="00396596" w:rsidRPr="00233296">
          <w:rPr>
            <w:rStyle w:val="Hipercze"/>
            <w:noProof/>
            <w:szCs w:val="20"/>
          </w:rPr>
          <w:t>Wykres 18 Wypadki drogowe</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2014-2017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_Toc5311884 \h </w:instrText>
        </w:r>
        <w:r w:rsidR="00396596" w:rsidRPr="00233296">
          <w:rPr>
            <w:noProof/>
            <w:webHidden/>
            <w:szCs w:val="20"/>
          </w:rPr>
        </w:r>
        <w:r w:rsidR="00396596" w:rsidRPr="00233296">
          <w:rPr>
            <w:noProof/>
            <w:webHidden/>
            <w:szCs w:val="20"/>
          </w:rPr>
          <w:fldChar w:fldCharType="separate"/>
        </w:r>
        <w:r w:rsidR="00E667FD">
          <w:rPr>
            <w:noProof/>
            <w:webHidden/>
            <w:szCs w:val="20"/>
          </w:rPr>
          <w:t>169</w:t>
        </w:r>
        <w:r w:rsidR="00396596" w:rsidRPr="00233296">
          <w:rPr>
            <w:noProof/>
            <w:webHidden/>
            <w:szCs w:val="20"/>
          </w:rPr>
          <w:fldChar w:fldCharType="end"/>
        </w:r>
      </w:hyperlink>
    </w:p>
    <w:p w14:paraId="34E55D02" w14:textId="77777777" w:rsidR="00396596" w:rsidRPr="00233296" w:rsidRDefault="00FA14F6">
      <w:pPr>
        <w:pStyle w:val="Spisilustracji"/>
        <w:tabs>
          <w:tab w:val="right" w:leader="dot" w:pos="9060"/>
        </w:tabs>
        <w:rPr>
          <w:noProof/>
          <w:szCs w:val="20"/>
        </w:rPr>
      </w:pPr>
      <w:hyperlink w:anchor="_Toc5311885" w:history="1">
        <w:r w:rsidR="00396596" w:rsidRPr="00233296">
          <w:rPr>
            <w:rStyle w:val="Hipercze"/>
            <w:noProof/>
            <w:szCs w:val="20"/>
          </w:rPr>
          <w:t>Wykres 19 Udział poszczególnych Działań</w:t>
        </w:r>
        <w:r w:rsidR="00E66B89" w:rsidRPr="00233296">
          <w:rPr>
            <w:rStyle w:val="Hipercze"/>
            <w:noProof/>
            <w:szCs w:val="20"/>
          </w:rPr>
          <w:t xml:space="preserve"> w </w:t>
        </w:r>
        <w:r w:rsidR="00396596" w:rsidRPr="00233296">
          <w:rPr>
            <w:rStyle w:val="Hipercze"/>
            <w:noProof/>
            <w:szCs w:val="20"/>
          </w:rPr>
          <w:t>generowaniu przyrostu wskaźników programowych Priorytetu Inwestycyjnego 7b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_Toc5311885 \h </w:instrText>
        </w:r>
        <w:r w:rsidR="00396596" w:rsidRPr="00233296">
          <w:rPr>
            <w:noProof/>
            <w:webHidden/>
            <w:szCs w:val="20"/>
          </w:rPr>
        </w:r>
        <w:r w:rsidR="00396596" w:rsidRPr="00233296">
          <w:rPr>
            <w:noProof/>
            <w:webHidden/>
            <w:szCs w:val="20"/>
          </w:rPr>
          <w:fldChar w:fldCharType="separate"/>
        </w:r>
        <w:r w:rsidR="00E667FD">
          <w:rPr>
            <w:noProof/>
            <w:webHidden/>
            <w:szCs w:val="20"/>
          </w:rPr>
          <w:t>174</w:t>
        </w:r>
        <w:r w:rsidR="00396596" w:rsidRPr="00233296">
          <w:rPr>
            <w:noProof/>
            <w:webHidden/>
            <w:szCs w:val="20"/>
          </w:rPr>
          <w:fldChar w:fldCharType="end"/>
        </w:r>
      </w:hyperlink>
    </w:p>
    <w:p w14:paraId="5E2DEBAB" w14:textId="77777777" w:rsidR="00396596" w:rsidRPr="00233296" w:rsidRDefault="00FA14F6">
      <w:pPr>
        <w:pStyle w:val="Spisilustracji"/>
        <w:tabs>
          <w:tab w:val="right" w:leader="dot" w:pos="9060"/>
        </w:tabs>
        <w:rPr>
          <w:noProof/>
          <w:szCs w:val="20"/>
        </w:rPr>
      </w:pPr>
      <w:hyperlink w:anchor="_Toc5311886" w:history="1">
        <w:r w:rsidR="00396596" w:rsidRPr="00233296">
          <w:rPr>
            <w:rStyle w:val="Hipercze"/>
            <w:noProof/>
            <w:szCs w:val="20"/>
          </w:rPr>
          <w:t>Wykres 20 Stopa bezrobocia rejestrowanego</w:t>
        </w:r>
        <w:r w:rsidR="00E66B89" w:rsidRPr="00233296">
          <w:rPr>
            <w:rStyle w:val="Hipercze"/>
            <w:noProof/>
            <w:szCs w:val="20"/>
          </w:rPr>
          <w:t xml:space="preserve"> w </w:t>
        </w:r>
        <w:r w:rsidR="00396596" w:rsidRPr="00233296">
          <w:rPr>
            <w:rStyle w:val="Hipercze"/>
            <w:noProof/>
            <w:szCs w:val="20"/>
          </w:rPr>
          <w:t>województwie zachodniopomorskim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_Toc5311886 \h </w:instrText>
        </w:r>
        <w:r w:rsidR="00396596" w:rsidRPr="00233296">
          <w:rPr>
            <w:noProof/>
            <w:webHidden/>
            <w:szCs w:val="20"/>
          </w:rPr>
        </w:r>
        <w:r w:rsidR="00396596" w:rsidRPr="00233296">
          <w:rPr>
            <w:noProof/>
            <w:webHidden/>
            <w:szCs w:val="20"/>
          </w:rPr>
          <w:fldChar w:fldCharType="separate"/>
        </w:r>
        <w:r w:rsidR="00E667FD">
          <w:rPr>
            <w:noProof/>
            <w:webHidden/>
            <w:szCs w:val="20"/>
          </w:rPr>
          <w:t>234</w:t>
        </w:r>
        <w:r w:rsidR="00396596" w:rsidRPr="00233296">
          <w:rPr>
            <w:noProof/>
            <w:webHidden/>
            <w:szCs w:val="20"/>
          </w:rPr>
          <w:fldChar w:fldCharType="end"/>
        </w:r>
      </w:hyperlink>
    </w:p>
    <w:p w14:paraId="22B6E613" w14:textId="77777777" w:rsidR="00396596" w:rsidRPr="00233296" w:rsidRDefault="00FA14F6">
      <w:pPr>
        <w:pStyle w:val="Spisilustracji"/>
        <w:tabs>
          <w:tab w:val="right" w:leader="dot" w:pos="9060"/>
        </w:tabs>
        <w:rPr>
          <w:noProof/>
          <w:szCs w:val="20"/>
        </w:rPr>
      </w:pPr>
      <w:hyperlink w:anchor="_Toc5311887" w:history="1">
        <w:r w:rsidR="00396596" w:rsidRPr="00233296">
          <w:rPr>
            <w:rStyle w:val="Hipercze"/>
            <w:noProof/>
            <w:szCs w:val="20"/>
          </w:rPr>
          <w:t>Wykres 21 Wskaźnik zatrudnienia osób niepełnosprawnych</w:t>
        </w:r>
        <w:r w:rsidR="00E66B89" w:rsidRPr="00233296">
          <w:rPr>
            <w:rStyle w:val="Hipercze"/>
            <w:noProof/>
            <w:szCs w:val="20"/>
          </w:rPr>
          <w:t xml:space="preserve"> w </w:t>
        </w:r>
        <w:r w:rsidR="00396596" w:rsidRPr="00233296">
          <w:rPr>
            <w:rStyle w:val="Hipercze"/>
            <w:noProof/>
            <w:szCs w:val="20"/>
          </w:rPr>
          <w:t>wieku 16-64 lata [%]</w:t>
        </w:r>
        <w:r w:rsidR="00E66B89" w:rsidRPr="00233296">
          <w:rPr>
            <w:rStyle w:val="Hipercze"/>
            <w:noProof/>
            <w:szCs w:val="20"/>
          </w:rPr>
          <w:t xml:space="preserve"> w </w:t>
        </w:r>
        <w:r w:rsidR="00396596" w:rsidRPr="00233296">
          <w:rPr>
            <w:rStyle w:val="Hipercze"/>
            <w:noProof/>
            <w:szCs w:val="20"/>
          </w:rPr>
          <w:t>województwie zachodniopomorskim</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_Toc5311887 \h </w:instrText>
        </w:r>
        <w:r w:rsidR="00396596" w:rsidRPr="00233296">
          <w:rPr>
            <w:noProof/>
            <w:webHidden/>
            <w:szCs w:val="20"/>
          </w:rPr>
        </w:r>
        <w:r w:rsidR="00396596" w:rsidRPr="00233296">
          <w:rPr>
            <w:noProof/>
            <w:webHidden/>
            <w:szCs w:val="20"/>
          </w:rPr>
          <w:fldChar w:fldCharType="separate"/>
        </w:r>
        <w:r w:rsidR="00E667FD">
          <w:rPr>
            <w:noProof/>
            <w:webHidden/>
            <w:szCs w:val="20"/>
          </w:rPr>
          <w:t>234</w:t>
        </w:r>
        <w:r w:rsidR="00396596" w:rsidRPr="00233296">
          <w:rPr>
            <w:noProof/>
            <w:webHidden/>
            <w:szCs w:val="20"/>
          </w:rPr>
          <w:fldChar w:fldCharType="end"/>
        </w:r>
      </w:hyperlink>
    </w:p>
    <w:p w14:paraId="5DA53068" w14:textId="77777777" w:rsidR="00396596" w:rsidRPr="00233296" w:rsidRDefault="00FA14F6">
      <w:pPr>
        <w:pStyle w:val="Spisilustracji"/>
        <w:tabs>
          <w:tab w:val="right" w:leader="dot" w:pos="9060"/>
        </w:tabs>
        <w:rPr>
          <w:noProof/>
          <w:szCs w:val="20"/>
        </w:rPr>
      </w:pPr>
      <w:hyperlink w:anchor="_Toc5311888" w:history="1">
        <w:r w:rsidR="00396596" w:rsidRPr="00233296">
          <w:rPr>
            <w:rStyle w:val="Hipercze"/>
            <w:noProof/>
            <w:szCs w:val="20"/>
          </w:rPr>
          <w:t>Wykres 22</w:t>
        </w:r>
        <w:r w:rsidR="00396596" w:rsidRPr="00233296">
          <w:rPr>
            <w:rStyle w:val="Hipercze"/>
            <w:b/>
            <w:noProof/>
            <w:kern w:val="24"/>
            <w:szCs w:val="20"/>
          </w:rPr>
          <w:t xml:space="preserve"> </w:t>
        </w:r>
        <w:r w:rsidR="00396596" w:rsidRPr="00233296">
          <w:rPr>
            <w:rStyle w:val="Hipercze"/>
            <w:noProof/>
            <w:szCs w:val="20"/>
          </w:rPr>
          <w:t>Udział osób pozostających bez pracy powyżej dwunastu miesięcy</w:t>
        </w:r>
        <w:r w:rsidR="00E66B89" w:rsidRPr="00233296">
          <w:rPr>
            <w:rStyle w:val="Hipercze"/>
            <w:noProof/>
            <w:szCs w:val="20"/>
          </w:rPr>
          <w:t xml:space="preserve"> w </w:t>
        </w:r>
        <w:r w:rsidR="00396596" w:rsidRPr="00233296">
          <w:rPr>
            <w:rStyle w:val="Hipercze"/>
            <w:noProof/>
            <w:szCs w:val="20"/>
          </w:rPr>
          <w:t>ogólnej liczbie osób bezrobotnych zarejestrowanych</w:t>
        </w:r>
        <w:r w:rsidR="00E66B89" w:rsidRPr="00233296">
          <w:rPr>
            <w:rStyle w:val="Hipercze"/>
            <w:noProof/>
            <w:szCs w:val="20"/>
          </w:rPr>
          <w:t xml:space="preserve"> w </w:t>
        </w:r>
        <w:r w:rsidR="00396596" w:rsidRPr="00233296">
          <w:rPr>
            <w:rStyle w:val="Hipercze"/>
            <w:noProof/>
            <w:szCs w:val="20"/>
          </w:rPr>
          <w:t>województwie zachodniopomorskim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_Toc5311888 \h </w:instrText>
        </w:r>
        <w:r w:rsidR="00396596" w:rsidRPr="00233296">
          <w:rPr>
            <w:noProof/>
            <w:webHidden/>
            <w:szCs w:val="20"/>
          </w:rPr>
        </w:r>
        <w:r w:rsidR="00396596" w:rsidRPr="00233296">
          <w:rPr>
            <w:noProof/>
            <w:webHidden/>
            <w:szCs w:val="20"/>
          </w:rPr>
          <w:fldChar w:fldCharType="separate"/>
        </w:r>
        <w:r w:rsidR="00E667FD">
          <w:rPr>
            <w:noProof/>
            <w:webHidden/>
            <w:szCs w:val="20"/>
          </w:rPr>
          <w:t>235</w:t>
        </w:r>
        <w:r w:rsidR="00396596" w:rsidRPr="00233296">
          <w:rPr>
            <w:noProof/>
            <w:webHidden/>
            <w:szCs w:val="20"/>
          </w:rPr>
          <w:fldChar w:fldCharType="end"/>
        </w:r>
      </w:hyperlink>
    </w:p>
    <w:p w14:paraId="253EE6E4" w14:textId="77777777" w:rsidR="00396596" w:rsidRPr="00233296" w:rsidRDefault="00FA14F6">
      <w:pPr>
        <w:pStyle w:val="Spisilustracji"/>
        <w:tabs>
          <w:tab w:val="right" w:leader="dot" w:pos="9060"/>
        </w:tabs>
        <w:rPr>
          <w:noProof/>
          <w:szCs w:val="20"/>
        </w:rPr>
      </w:pPr>
      <w:hyperlink w:anchor="_Toc5311889" w:history="1">
        <w:r w:rsidR="00396596" w:rsidRPr="00233296">
          <w:rPr>
            <w:rStyle w:val="Hipercze"/>
            <w:noProof/>
            <w:szCs w:val="20"/>
          </w:rPr>
          <w:t>Wykres 23 Wskaźnik zagrożenia ubóstwem relatywnym</w:t>
        </w:r>
        <w:r w:rsidR="00E66B89" w:rsidRPr="00233296">
          <w:rPr>
            <w:rStyle w:val="Hipercze"/>
            <w:noProof/>
            <w:szCs w:val="20"/>
          </w:rPr>
          <w:t xml:space="preserve"> w </w:t>
        </w:r>
        <w:r w:rsidR="00396596" w:rsidRPr="00233296">
          <w:rPr>
            <w:rStyle w:val="Hipercze"/>
            <w:noProof/>
            <w:szCs w:val="20"/>
          </w:rPr>
          <w:t>województwie zachodniopomorskim [%]</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_Toc5311889 \h </w:instrText>
        </w:r>
        <w:r w:rsidR="00396596" w:rsidRPr="00233296">
          <w:rPr>
            <w:noProof/>
            <w:webHidden/>
            <w:szCs w:val="20"/>
          </w:rPr>
        </w:r>
        <w:r w:rsidR="00396596" w:rsidRPr="00233296">
          <w:rPr>
            <w:noProof/>
            <w:webHidden/>
            <w:szCs w:val="20"/>
          </w:rPr>
          <w:fldChar w:fldCharType="separate"/>
        </w:r>
        <w:r w:rsidR="00E667FD">
          <w:rPr>
            <w:noProof/>
            <w:webHidden/>
            <w:szCs w:val="20"/>
          </w:rPr>
          <w:t>236</w:t>
        </w:r>
        <w:r w:rsidR="00396596" w:rsidRPr="00233296">
          <w:rPr>
            <w:noProof/>
            <w:webHidden/>
            <w:szCs w:val="20"/>
          </w:rPr>
          <w:fldChar w:fldCharType="end"/>
        </w:r>
      </w:hyperlink>
    </w:p>
    <w:p w14:paraId="792C7BE3" w14:textId="77777777" w:rsidR="00396596" w:rsidRPr="00233296" w:rsidRDefault="00FA14F6">
      <w:pPr>
        <w:pStyle w:val="Spisilustracji"/>
        <w:tabs>
          <w:tab w:val="right" w:leader="dot" w:pos="9060"/>
        </w:tabs>
        <w:rPr>
          <w:noProof/>
          <w:szCs w:val="20"/>
        </w:rPr>
      </w:pPr>
      <w:hyperlink w:anchor="_Toc5311890" w:history="1">
        <w:r w:rsidR="00396596" w:rsidRPr="00233296">
          <w:rPr>
            <w:rStyle w:val="Hipercze"/>
            <w:noProof/>
            <w:szCs w:val="20"/>
          </w:rPr>
          <w:t>Wykres 24 Przeciętny miesięczny dochód do dyspozycji na 1 osobę</w:t>
        </w:r>
        <w:r w:rsidR="00E66B89" w:rsidRPr="00233296">
          <w:rPr>
            <w:rStyle w:val="Hipercze"/>
            <w:noProof/>
            <w:szCs w:val="20"/>
          </w:rPr>
          <w:t xml:space="preserve"> w </w:t>
        </w:r>
        <w:r w:rsidR="00396596" w:rsidRPr="00233296">
          <w:rPr>
            <w:rStyle w:val="Hipercze"/>
            <w:noProof/>
            <w:szCs w:val="20"/>
          </w:rPr>
          <w:t>gospodarstwie domowym</w:t>
        </w:r>
        <w:r w:rsidR="00E66B89" w:rsidRPr="00233296">
          <w:rPr>
            <w:rStyle w:val="Hipercze"/>
            <w:noProof/>
            <w:szCs w:val="20"/>
          </w:rPr>
          <w:t xml:space="preserve"> w </w:t>
        </w:r>
        <w:r w:rsidR="00396596" w:rsidRPr="00233296">
          <w:rPr>
            <w:rStyle w:val="Hipercze"/>
            <w:noProof/>
            <w:szCs w:val="20"/>
          </w:rPr>
          <w:t>województwie zachodniopomorskim</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_Toc5311890 \h </w:instrText>
        </w:r>
        <w:r w:rsidR="00396596" w:rsidRPr="00233296">
          <w:rPr>
            <w:noProof/>
            <w:webHidden/>
            <w:szCs w:val="20"/>
          </w:rPr>
        </w:r>
        <w:r w:rsidR="00396596" w:rsidRPr="00233296">
          <w:rPr>
            <w:noProof/>
            <w:webHidden/>
            <w:szCs w:val="20"/>
          </w:rPr>
          <w:fldChar w:fldCharType="separate"/>
        </w:r>
        <w:r w:rsidR="00E667FD">
          <w:rPr>
            <w:noProof/>
            <w:webHidden/>
            <w:szCs w:val="20"/>
          </w:rPr>
          <w:t>236</w:t>
        </w:r>
        <w:r w:rsidR="00396596" w:rsidRPr="00233296">
          <w:rPr>
            <w:noProof/>
            <w:webHidden/>
            <w:szCs w:val="20"/>
          </w:rPr>
          <w:fldChar w:fldCharType="end"/>
        </w:r>
      </w:hyperlink>
    </w:p>
    <w:p w14:paraId="3A99A31C" w14:textId="77777777" w:rsidR="00396596" w:rsidRPr="00233296" w:rsidRDefault="00FA14F6">
      <w:pPr>
        <w:pStyle w:val="Spisilustracji"/>
        <w:tabs>
          <w:tab w:val="right" w:leader="dot" w:pos="9060"/>
        </w:tabs>
        <w:rPr>
          <w:noProof/>
          <w:szCs w:val="20"/>
        </w:rPr>
      </w:pPr>
      <w:hyperlink w:anchor="_Toc5311891" w:history="1">
        <w:r w:rsidR="00396596" w:rsidRPr="00233296">
          <w:rPr>
            <w:rStyle w:val="Hipercze"/>
            <w:noProof/>
            <w:szCs w:val="20"/>
          </w:rPr>
          <w:t>Wykres 25 Liczba osób korzystających ze świadczeń pomocy społecznej na 10 tys. ludności</w:t>
        </w:r>
        <w:r w:rsidR="00E66B89" w:rsidRPr="00233296">
          <w:rPr>
            <w:rStyle w:val="Hipercze"/>
            <w:noProof/>
            <w:szCs w:val="20"/>
          </w:rPr>
          <w:t xml:space="preserve"> w </w:t>
        </w:r>
        <w:r w:rsidR="00396596" w:rsidRPr="00233296">
          <w:rPr>
            <w:rStyle w:val="Hipercze"/>
            <w:noProof/>
            <w:szCs w:val="20"/>
          </w:rPr>
          <w:t>województwie zachodniopomorskim</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_Toc5311891 \h </w:instrText>
        </w:r>
        <w:r w:rsidR="00396596" w:rsidRPr="00233296">
          <w:rPr>
            <w:noProof/>
            <w:webHidden/>
            <w:szCs w:val="20"/>
          </w:rPr>
        </w:r>
        <w:r w:rsidR="00396596" w:rsidRPr="00233296">
          <w:rPr>
            <w:noProof/>
            <w:webHidden/>
            <w:szCs w:val="20"/>
          </w:rPr>
          <w:fldChar w:fldCharType="separate"/>
        </w:r>
        <w:r w:rsidR="00E667FD">
          <w:rPr>
            <w:noProof/>
            <w:webHidden/>
            <w:szCs w:val="20"/>
          </w:rPr>
          <w:t>236</w:t>
        </w:r>
        <w:r w:rsidR="00396596" w:rsidRPr="00233296">
          <w:rPr>
            <w:noProof/>
            <w:webHidden/>
            <w:szCs w:val="20"/>
          </w:rPr>
          <w:fldChar w:fldCharType="end"/>
        </w:r>
      </w:hyperlink>
    </w:p>
    <w:p w14:paraId="33133586" w14:textId="77777777" w:rsidR="00396596" w:rsidRPr="00233296" w:rsidRDefault="00FA14F6">
      <w:pPr>
        <w:pStyle w:val="Spisilustracji"/>
        <w:tabs>
          <w:tab w:val="right" w:leader="dot" w:pos="9060"/>
        </w:tabs>
        <w:rPr>
          <w:noProof/>
          <w:szCs w:val="20"/>
        </w:rPr>
      </w:pPr>
      <w:hyperlink w:anchor="_Toc5311892" w:history="1">
        <w:r w:rsidR="00396596" w:rsidRPr="00233296">
          <w:rPr>
            <w:rStyle w:val="Hipercze"/>
            <w:noProof/>
            <w:szCs w:val="20"/>
          </w:rPr>
          <w:t>Wykres 26 Liczba oddziałów przedszkolnych</w:t>
        </w:r>
        <w:r w:rsidR="00E66B89" w:rsidRPr="00233296">
          <w:rPr>
            <w:rStyle w:val="Hipercze"/>
            <w:noProof/>
            <w:szCs w:val="20"/>
          </w:rPr>
          <w:t xml:space="preserve"> i </w:t>
        </w:r>
        <w:r w:rsidR="00396596" w:rsidRPr="00233296">
          <w:rPr>
            <w:rStyle w:val="Hipercze"/>
            <w:noProof/>
            <w:szCs w:val="20"/>
          </w:rPr>
          <w:t>miejsc</w:t>
        </w:r>
        <w:r w:rsidR="00E66B89" w:rsidRPr="00233296">
          <w:rPr>
            <w:rStyle w:val="Hipercze"/>
            <w:noProof/>
            <w:szCs w:val="20"/>
          </w:rPr>
          <w:t xml:space="preserve"> w </w:t>
        </w:r>
        <w:r w:rsidR="00396596" w:rsidRPr="00233296">
          <w:rPr>
            <w:rStyle w:val="Hipercze"/>
            <w:noProof/>
            <w:szCs w:val="20"/>
          </w:rPr>
          <w:t>nich</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2012-2017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_Toc5311892 \h </w:instrText>
        </w:r>
        <w:r w:rsidR="00396596" w:rsidRPr="00233296">
          <w:rPr>
            <w:noProof/>
            <w:webHidden/>
            <w:szCs w:val="20"/>
          </w:rPr>
        </w:r>
        <w:r w:rsidR="00396596" w:rsidRPr="00233296">
          <w:rPr>
            <w:noProof/>
            <w:webHidden/>
            <w:szCs w:val="20"/>
          </w:rPr>
          <w:fldChar w:fldCharType="separate"/>
        </w:r>
        <w:r w:rsidR="00E667FD">
          <w:rPr>
            <w:noProof/>
            <w:webHidden/>
            <w:szCs w:val="20"/>
          </w:rPr>
          <w:t>256</w:t>
        </w:r>
        <w:r w:rsidR="00396596" w:rsidRPr="00233296">
          <w:rPr>
            <w:noProof/>
            <w:webHidden/>
            <w:szCs w:val="20"/>
          </w:rPr>
          <w:fldChar w:fldCharType="end"/>
        </w:r>
      </w:hyperlink>
    </w:p>
    <w:p w14:paraId="02F9330B" w14:textId="77777777" w:rsidR="00396596" w:rsidRPr="00233296" w:rsidRDefault="00FA14F6">
      <w:pPr>
        <w:pStyle w:val="Spisilustracji"/>
        <w:tabs>
          <w:tab w:val="right" w:leader="dot" w:pos="9060"/>
        </w:tabs>
        <w:rPr>
          <w:noProof/>
          <w:szCs w:val="20"/>
        </w:rPr>
      </w:pPr>
      <w:hyperlink w:anchor="_Toc5311893" w:history="1">
        <w:r w:rsidR="00396596" w:rsidRPr="00233296">
          <w:rPr>
            <w:rStyle w:val="Hipercze"/>
            <w:noProof/>
            <w:szCs w:val="20"/>
          </w:rPr>
          <w:t>Wykres 27 Liczba dzieci</w:t>
        </w:r>
        <w:r w:rsidR="00E66B89" w:rsidRPr="00233296">
          <w:rPr>
            <w:rStyle w:val="Hipercze"/>
            <w:noProof/>
            <w:szCs w:val="20"/>
          </w:rPr>
          <w:t xml:space="preserve"> w </w:t>
        </w:r>
        <w:r w:rsidR="00396596" w:rsidRPr="00233296">
          <w:rPr>
            <w:rStyle w:val="Hipercze"/>
            <w:noProof/>
            <w:szCs w:val="20"/>
          </w:rPr>
          <w:t>placówkach wychowania przedszkolnego na 1 tys. dzieci</w:t>
        </w:r>
        <w:r w:rsidR="00E66B89" w:rsidRPr="00233296">
          <w:rPr>
            <w:rStyle w:val="Hipercze"/>
            <w:noProof/>
            <w:szCs w:val="20"/>
          </w:rPr>
          <w:t xml:space="preserve"> w </w:t>
        </w:r>
        <w:r w:rsidR="00396596" w:rsidRPr="00233296">
          <w:rPr>
            <w:rStyle w:val="Hipercze"/>
            <w:noProof/>
            <w:szCs w:val="20"/>
          </w:rPr>
          <w:t>wieku 3-5 lat</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_Toc5311893 \h </w:instrText>
        </w:r>
        <w:r w:rsidR="00396596" w:rsidRPr="00233296">
          <w:rPr>
            <w:noProof/>
            <w:webHidden/>
            <w:szCs w:val="20"/>
          </w:rPr>
        </w:r>
        <w:r w:rsidR="00396596" w:rsidRPr="00233296">
          <w:rPr>
            <w:noProof/>
            <w:webHidden/>
            <w:szCs w:val="20"/>
          </w:rPr>
          <w:fldChar w:fldCharType="separate"/>
        </w:r>
        <w:r w:rsidR="00E667FD">
          <w:rPr>
            <w:noProof/>
            <w:webHidden/>
            <w:szCs w:val="20"/>
          </w:rPr>
          <w:t>256</w:t>
        </w:r>
        <w:r w:rsidR="00396596" w:rsidRPr="00233296">
          <w:rPr>
            <w:noProof/>
            <w:webHidden/>
            <w:szCs w:val="20"/>
          </w:rPr>
          <w:fldChar w:fldCharType="end"/>
        </w:r>
      </w:hyperlink>
    </w:p>
    <w:p w14:paraId="2D27ECE9" w14:textId="77777777" w:rsidR="00396596" w:rsidRPr="00233296" w:rsidRDefault="00FA14F6">
      <w:pPr>
        <w:pStyle w:val="Spisilustracji"/>
        <w:tabs>
          <w:tab w:val="right" w:leader="dot" w:pos="9060"/>
        </w:tabs>
        <w:rPr>
          <w:noProof/>
          <w:szCs w:val="20"/>
        </w:rPr>
      </w:pPr>
      <w:hyperlink w:anchor="_Toc5311894" w:history="1">
        <w:r w:rsidR="00396596" w:rsidRPr="00233296">
          <w:rPr>
            <w:rStyle w:val="Hipercze"/>
            <w:noProof/>
            <w:szCs w:val="20"/>
          </w:rPr>
          <w:t>Wykres 28 Liczba dzieci</w:t>
        </w:r>
        <w:r w:rsidR="00E66B89" w:rsidRPr="00233296">
          <w:rPr>
            <w:rStyle w:val="Hipercze"/>
            <w:noProof/>
            <w:szCs w:val="20"/>
          </w:rPr>
          <w:t xml:space="preserve"> w </w:t>
        </w:r>
        <w:r w:rsidR="00396596" w:rsidRPr="00233296">
          <w:rPr>
            <w:rStyle w:val="Hipercze"/>
            <w:noProof/>
            <w:szCs w:val="20"/>
          </w:rPr>
          <w:t>wieku lat 3-5 uczęszczających do przedszkoli na 1 tys. dzieci</w:t>
        </w:r>
        <w:r w:rsidR="00E66B89" w:rsidRPr="00233296">
          <w:rPr>
            <w:rStyle w:val="Hipercze"/>
            <w:noProof/>
            <w:szCs w:val="20"/>
          </w:rPr>
          <w:t xml:space="preserve"> w </w:t>
        </w:r>
        <w:r w:rsidR="00396596" w:rsidRPr="00233296">
          <w:rPr>
            <w:rStyle w:val="Hipercze"/>
            <w:noProof/>
            <w:szCs w:val="20"/>
          </w:rPr>
          <w:t>wieku lat 3-5</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2012-2017.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_Toc5311894 \h </w:instrText>
        </w:r>
        <w:r w:rsidR="00396596" w:rsidRPr="00233296">
          <w:rPr>
            <w:noProof/>
            <w:webHidden/>
            <w:szCs w:val="20"/>
          </w:rPr>
        </w:r>
        <w:r w:rsidR="00396596" w:rsidRPr="00233296">
          <w:rPr>
            <w:noProof/>
            <w:webHidden/>
            <w:szCs w:val="20"/>
          </w:rPr>
          <w:fldChar w:fldCharType="separate"/>
        </w:r>
        <w:r w:rsidR="00E667FD">
          <w:rPr>
            <w:noProof/>
            <w:webHidden/>
            <w:szCs w:val="20"/>
          </w:rPr>
          <w:t>258</w:t>
        </w:r>
        <w:r w:rsidR="00396596" w:rsidRPr="00233296">
          <w:rPr>
            <w:noProof/>
            <w:webHidden/>
            <w:szCs w:val="20"/>
          </w:rPr>
          <w:fldChar w:fldCharType="end"/>
        </w:r>
      </w:hyperlink>
    </w:p>
    <w:p w14:paraId="6FB87E29" w14:textId="77777777" w:rsidR="00396596" w:rsidRPr="00233296" w:rsidRDefault="00FA14F6">
      <w:pPr>
        <w:pStyle w:val="Spisilustracji"/>
        <w:tabs>
          <w:tab w:val="right" w:leader="dot" w:pos="9060"/>
        </w:tabs>
        <w:rPr>
          <w:noProof/>
          <w:szCs w:val="20"/>
        </w:rPr>
      </w:pPr>
      <w:hyperlink w:anchor="_Toc5311895" w:history="1">
        <w:r w:rsidR="00396596" w:rsidRPr="00233296">
          <w:rPr>
            <w:rStyle w:val="Hipercze"/>
            <w:noProof/>
            <w:szCs w:val="20"/>
          </w:rPr>
          <w:t>Wykres 29 Zdawalność egzaminów maturalnych</w:t>
        </w:r>
        <w:r w:rsidR="00E66B89" w:rsidRPr="00233296">
          <w:rPr>
            <w:rStyle w:val="Hipercze"/>
            <w:noProof/>
            <w:szCs w:val="20"/>
          </w:rPr>
          <w:t xml:space="preserve"> w </w:t>
        </w:r>
        <w:r w:rsidR="00396596" w:rsidRPr="00233296">
          <w:rPr>
            <w:rStyle w:val="Hipercze"/>
            <w:noProof/>
            <w:szCs w:val="20"/>
          </w:rPr>
          <w:t>województwie zachodniopomorskim na tle kraju</w:t>
        </w:r>
        <w:r w:rsidR="00E66B89" w:rsidRPr="00233296">
          <w:rPr>
            <w:rStyle w:val="Hipercze"/>
            <w:noProof/>
            <w:szCs w:val="20"/>
          </w:rPr>
          <w:t xml:space="preserve"> w </w:t>
        </w:r>
        <w:r w:rsidR="00396596" w:rsidRPr="00233296">
          <w:rPr>
            <w:rStyle w:val="Hipercze"/>
            <w:noProof/>
            <w:szCs w:val="20"/>
          </w:rPr>
          <w:t>latach 2012-2017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_Toc5311895 \h </w:instrText>
        </w:r>
        <w:r w:rsidR="00396596" w:rsidRPr="00233296">
          <w:rPr>
            <w:noProof/>
            <w:webHidden/>
            <w:szCs w:val="20"/>
          </w:rPr>
        </w:r>
        <w:r w:rsidR="00396596" w:rsidRPr="00233296">
          <w:rPr>
            <w:noProof/>
            <w:webHidden/>
            <w:szCs w:val="20"/>
          </w:rPr>
          <w:fldChar w:fldCharType="separate"/>
        </w:r>
        <w:r w:rsidR="00E667FD">
          <w:rPr>
            <w:noProof/>
            <w:webHidden/>
            <w:szCs w:val="20"/>
          </w:rPr>
          <w:t>260</w:t>
        </w:r>
        <w:r w:rsidR="00396596" w:rsidRPr="00233296">
          <w:rPr>
            <w:noProof/>
            <w:webHidden/>
            <w:szCs w:val="20"/>
          </w:rPr>
          <w:fldChar w:fldCharType="end"/>
        </w:r>
      </w:hyperlink>
    </w:p>
    <w:p w14:paraId="13CCE1BC" w14:textId="77777777" w:rsidR="00396596" w:rsidRPr="00233296" w:rsidRDefault="00FA14F6">
      <w:pPr>
        <w:pStyle w:val="Spisilustracji"/>
        <w:tabs>
          <w:tab w:val="right" w:leader="dot" w:pos="9060"/>
        </w:tabs>
        <w:rPr>
          <w:noProof/>
          <w:szCs w:val="20"/>
        </w:rPr>
      </w:pPr>
      <w:hyperlink w:anchor="_Toc5311896" w:history="1">
        <w:r w:rsidR="00396596" w:rsidRPr="00233296">
          <w:rPr>
            <w:rStyle w:val="Hipercze"/>
            <w:noProof/>
            <w:szCs w:val="20"/>
          </w:rPr>
          <w:t>Wykres 30 Wykształcenie bezrobotnych rejestrowanych</w:t>
        </w:r>
        <w:r w:rsidR="00E66B89" w:rsidRPr="00233296">
          <w:rPr>
            <w:rStyle w:val="Hipercze"/>
            <w:noProof/>
            <w:szCs w:val="20"/>
          </w:rPr>
          <w:t xml:space="preserve"> w </w:t>
        </w:r>
        <w:r w:rsidR="00396596" w:rsidRPr="00233296">
          <w:rPr>
            <w:rStyle w:val="Hipercze"/>
            <w:noProof/>
            <w:szCs w:val="20"/>
          </w:rPr>
          <w:t>województwie zachodniopomorskim na tle kraju</w:t>
        </w:r>
        <w:r w:rsidR="00E66B89" w:rsidRPr="00233296">
          <w:rPr>
            <w:rStyle w:val="Hipercze"/>
            <w:noProof/>
            <w:szCs w:val="20"/>
          </w:rPr>
          <w:t xml:space="preserve"> w </w:t>
        </w:r>
        <w:r w:rsidR="00396596" w:rsidRPr="00233296">
          <w:rPr>
            <w:rStyle w:val="Hipercze"/>
            <w:noProof/>
            <w:szCs w:val="20"/>
          </w:rPr>
          <w:t>2018 roku</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_Toc5311896 \h </w:instrText>
        </w:r>
        <w:r w:rsidR="00396596" w:rsidRPr="00233296">
          <w:rPr>
            <w:noProof/>
            <w:webHidden/>
            <w:szCs w:val="20"/>
          </w:rPr>
        </w:r>
        <w:r w:rsidR="00396596" w:rsidRPr="00233296">
          <w:rPr>
            <w:noProof/>
            <w:webHidden/>
            <w:szCs w:val="20"/>
          </w:rPr>
          <w:fldChar w:fldCharType="separate"/>
        </w:r>
        <w:r w:rsidR="00E667FD">
          <w:rPr>
            <w:noProof/>
            <w:webHidden/>
            <w:szCs w:val="20"/>
          </w:rPr>
          <w:t>262</w:t>
        </w:r>
        <w:r w:rsidR="00396596" w:rsidRPr="00233296">
          <w:rPr>
            <w:noProof/>
            <w:webHidden/>
            <w:szCs w:val="20"/>
          </w:rPr>
          <w:fldChar w:fldCharType="end"/>
        </w:r>
      </w:hyperlink>
    </w:p>
    <w:p w14:paraId="35FCA012" w14:textId="77777777" w:rsidR="00396596" w:rsidRPr="00233296" w:rsidRDefault="00FA14F6">
      <w:pPr>
        <w:pStyle w:val="Spisilustracji"/>
        <w:tabs>
          <w:tab w:val="right" w:leader="dot" w:pos="9060"/>
        </w:tabs>
        <w:rPr>
          <w:noProof/>
          <w:szCs w:val="20"/>
        </w:rPr>
      </w:pPr>
      <w:hyperlink w:anchor="_Toc5311897" w:history="1">
        <w:r w:rsidR="00396596" w:rsidRPr="00233296">
          <w:rPr>
            <w:rStyle w:val="Hipercze"/>
            <w:noProof/>
            <w:szCs w:val="20"/>
          </w:rPr>
          <w:t>Wykres 31 Liczba osób</w:t>
        </w:r>
        <w:r w:rsidR="00E66B89" w:rsidRPr="00233296">
          <w:rPr>
            <w:rStyle w:val="Hipercze"/>
            <w:noProof/>
            <w:szCs w:val="20"/>
          </w:rPr>
          <w:t xml:space="preserve"> w </w:t>
        </w:r>
        <w:r w:rsidR="00396596" w:rsidRPr="00233296">
          <w:rPr>
            <w:rStyle w:val="Hipercze"/>
            <w:noProof/>
            <w:szCs w:val="20"/>
          </w:rPr>
          <w:t>wieku 65+</w:t>
        </w:r>
        <w:r w:rsidR="00E66B89" w:rsidRPr="00233296">
          <w:rPr>
            <w:rStyle w:val="Hipercze"/>
            <w:noProof/>
            <w:szCs w:val="20"/>
          </w:rPr>
          <w:t xml:space="preserve"> w </w:t>
        </w:r>
        <w:r w:rsidR="00396596" w:rsidRPr="00233296">
          <w:rPr>
            <w:rStyle w:val="Hipercze"/>
            <w:noProof/>
            <w:szCs w:val="20"/>
          </w:rPr>
          <w:t>regionie zachodniopomorskim</w:t>
        </w:r>
        <w:r w:rsidR="00E66B89" w:rsidRPr="00233296">
          <w:rPr>
            <w:rStyle w:val="Hipercze"/>
            <w:noProof/>
            <w:szCs w:val="20"/>
          </w:rPr>
          <w:t xml:space="preserve"> w </w:t>
        </w:r>
        <w:r w:rsidR="00396596" w:rsidRPr="00233296">
          <w:rPr>
            <w:rStyle w:val="Hipercze"/>
            <w:noProof/>
            <w:szCs w:val="20"/>
          </w:rPr>
          <w:t>latach 2014-2017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_Toc5311897 \h </w:instrText>
        </w:r>
        <w:r w:rsidR="00396596" w:rsidRPr="00233296">
          <w:rPr>
            <w:noProof/>
            <w:webHidden/>
            <w:szCs w:val="20"/>
          </w:rPr>
        </w:r>
        <w:r w:rsidR="00396596" w:rsidRPr="00233296">
          <w:rPr>
            <w:noProof/>
            <w:webHidden/>
            <w:szCs w:val="20"/>
          </w:rPr>
          <w:fldChar w:fldCharType="separate"/>
        </w:r>
        <w:r w:rsidR="00E667FD">
          <w:rPr>
            <w:noProof/>
            <w:webHidden/>
            <w:szCs w:val="20"/>
          </w:rPr>
          <w:t>285</w:t>
        </w:r>
        <w:r w:rsidR="00396596" w:rsidRPr="00233296">
          <w:rPr>
            <w:noProof/>
            <w:webHidden/>
            <w:szCs w:val="20"/>
          </w:rPr>
          <w:fldChar w:fldCharType="end"/>
        </w:r>
      </w:hyperlink>
    </w:p>
    <w:p w14:paraId="3795A3E9" w14:textId="77777777" w:rsidR="00396596" w:rsidRPr="00233296" w:rsidRDefault="00FA14F6">
      <w:pPr>
        <w:pStyle w:val="Spisilustracji"/>
        <w:tabs>
          <w:tab w:val="right" w:leader="dot" w:pos="9060"/>
        </w:tabs>
        <w:rPr>
          <w:noProof/>
          <w:szCs w:val="20"/>
        </w:rPr>
      </w:pPr>
      <w:hyperlink w:anchor="_Toc5311898" w:history="1">
        <w:r w:rsidR="00396596" w:rsidRPr="00233296">
          <w:rPr>
            <w:rStyle w:val="Hipercze"/>
            <w:noProof/>
            <w:szCs w:val="20"/>
          </w:rPr>
          <w:t>Wykres 32 Wskaźnik zatrudnienia osób</w:t>
        </w:r>
        <w:r w:rsidR="00E66B89" w:rsidRPr="00233296">
          <w:rPr>
            <w:rStyle w:val="Hipercze"/>
            <w:noProof/>
            <w:szCs w:val="20"/>
          </w:rPr>
          <w:t xml:space="preserve"> z </w:t>
        </w:r>
        <w:r w:rsidR="00396596" w:rsidRPr="00233296">
          <w:rPr>
            <w:rStyle w:val="Hipercze"/>
            <w:noProof/>
            <w:szCs w:val="20"/>
          </w:rPr>
          <w:t>wyksztalceniem zasadniczym zawodowym, średnim zawodowym</w:t>
        </w:r>
        <w:r w:rsidR="00E66B89" w:rsidRPr="00233296">
          <w:rPr>
            <w:rStyle w:val="Hipercze"/>
            <w:noProof/>
            <w:szCs w:val="20"/>
          </w:rPr>
          <w:t xml:space="preserve"> i </w:t>
        </w:r>
        <w:r w:rsidR="00396596" w:rsidRPr="00233296">
          <w:rPr>
            <w:rStyle w:val="Hipercze"/>
            <w:noProof/>
            <w:szCs w:val="20"/>
          </w:rPr>
          <w:t>policealnym</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2014-2017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_Toc5311898 \h </w:instrText>
        </w:r>
        <w:r w:rsidR="00396596" w:rsidRPr="00233296">
          <w:rPr>
            <w:noProof/>
            <w:webHidden/>
            <w:szCs w:val="20"/>
          </w:rPr>
        </w:r>
        <w:r w:rsidR="00396596" w:rsidRPr="00233296">
          <w:rPr>
            <w:noProof/>
            <w:webHidden/>
            <w:szCs w:val="20"/>
          </w:rPr>
          <w:fldChar w:fldCharType="separate"/>
        </w:r>
        <w:r w:rsidR="00E667FD">
          <w:rPr>
            <w:noProof/>
            <w:webHidden/>
            <w:szCs w:val="20"/>
          </w:rPr>
          <w:t>289</w:t>
        </w:r>
        <w:r w:rsidR="00396596" w:rsidRPr="00233296">
          <w:rPr>
            <w:noProof/>
            <w:webHidden/>
            <w:szCs w:val="20"/>
          </w:rPr>
          <w:fldChar w:fldCharType="end"/>
        </w:r>
      </w:hyperlink>
    </w:p>
    <w:p w14:paraId="02BE0587" w14:textId="77777777" w:rsidR="00396596" w:rsidRPr="00233296" w:rsidRDefault="00FA14F6">
      <w:pPr>
        <w:pStyle w:val="Spisilustracji"/>
        <w:tabs>
          <w:tab w:val="right" w:leader="dot" w:pos="9060"/>
        </w:tabs>
        <w:rPr>
          <w:noProof/>
          <w:szCs w:val="20"/>
        </w:rPr>
      </w:pPr>
      <w:hyperlink w:anchor="_Toc5311899" w:history="1">
        <w:r w:rsidR="00396596" w:rsidRPr="00233296">
          <w:rPr>
            <w:rStyle w:val="Hipercze"/>
            <w:noProof/>
            <w:szCs w:val="20"/>
          </w:rPr>
          <w:t>Wykres 33 Odsetek przedsiębiorstw posiadających dostęp do Internetu szerokopasmowego</w:t>
        </w:r>
        <w:r w:rsidR="00E66B89" w:rsidRPr="00233296">
          <w:rPr>
            <w:rStyle w:val="Hipercze"/>
            <w:noProof/>
            <w:szCs w:val="20"/>
          </w:rPr>
          <w:t xml:space="preserve"> w </w:t>
        </w:r>
        <w:r w:rsidR="00396596" w:rsidRPr="00233296">
          <w:rPr>
            <w:rStyle w:val="Hipercze"/>
            <w:noProof/>
            <w:szCs w:val="20"/>
          </w:rPr>
          <w:t>latach 2012-2017 –</w:t>
        </w:r>
        <w:r w:rsidR="00E66B89" w:rsidRPr="00233296">
          <w:rPr>
            <w:rStyle w:val="Hipercze"/>
            <w:noProof/>
            <w:szCs w:val="20"/>
          </w:rPr>
          <w:t xml:space="preserve"> w </w:t>
        </w:r>
        <w:r w:rsidR="00396596" w:rsidRPr="00233296">
          <w:rPr>
            <w:rStyle w:val="Hipercze"/>
            <w:noProof/>
            <w:szCs w:val="20"/>
          </w:rPr>
          <w:t>Polsce</w:t>
        </w:r>
        <w:r w:rsidR="00E66B89" w:rsidRPr="00233296">
          <w:rPr>
            <w:rStyle w:val="Hipercze"/>
            <w:noProof/>
            <w:szCs w:val="20"/>
          </w:rPr>
          <w:t xml:space="preserve"> i </w:t>
        </w:r>
        <w:r w:rsidR="00396596" w:rsidRPr="00233296">
          <w:rPr>
            <w:rStyle w:val="Hipercze"/>
            <w:noProof/>
            <w:szCs w:val="20"/>
          </w:rPr>
          <w:t>województwie zachodniopomorskim</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_Toc5311899 \h </w:instrText>
        </w:r>
        <w:r w:rsidR="00396596" w:rsidRPr="00233296">
          <w:rPr>
            <w:noProof/>
            <w:webHidden/>
            <w:szCs w:val="20"/>
          </w:rPr>
        </w:r>
        <w:r w:rsidR="00396596" w:rsidRPr="00233296">
          <w:rPr>
            <w:noProof/>
            <w:webHidden/>
            <w:szCs w:val="20"/>
          </w:rPr>
          <w:fldChar w:fldCharType="separate"/>
        </w:r>
        <w:r w:rsidR="00E667FD">
          <w:rPr>
            <w:noProof/>
            <w:webHidden/>
            <w:szCs w:val="20"/>
          </w:rPr>
          <w:t>290</w:t>
        </w:r>
        <w:r w:rsidR="00396596" w:rsidRPr="00233296">
          <w:rPr>
            <w:noProof/>
            <w:webHidden/>
            <w:szCs w:val="20"/>
          </w:rPr>
          <w:fldChar w:fldCharType="end"/>
        </w:r>
      </w:hyperlink>
    </w:p>
    <w:p w14:paraId="4EE6C463" w14:textId="77777777" w:rsidR="00396596" w:rsidRPr="00233296" w:rsidRDefault="00FA14F6">
      <w:pPr>
        <w:pStyle w:val="Spisilustracji"/>
        <w:tabs>
          <w:tab w:val="right" w:leader="dot" w:pos="9060"/>
        </w:tabs>
        <w:rPr>
          <w:noProof/>
          <w:szCs w:val="20"/>
        </w:rPr>
      </w:pPr>
      <w:hyperlink w:anchor="_Toc5311900" w:history="1">
        <w:r w:rsidR="00396596" w:rsidRPr="00233296">
          <w:rPr>
            <w:rStyle w:val="Hipercze"/>
            <w:noProof/>
            <w:szCs w:val="20"/>
          </w:rPr>
          <w:t>Wykres 34 Odsetek osób posiadających podstawowe lub ponadpodstawowe umiejętności cyfrowe</w:t>
        </w:r>
        <w:r w:rsidR="00E66B89" w:rsidRPr="00233296">
          <w:rPr>
            <w:rStyle w:val="Hipercze"/>
            <w:noProof/>
            <w:szCs w:val="20"/>
          </w:rPr>
          <w:t xml:space="preserve"> w </w:t>
        </w:r>
        <w:r w:rsidR="00396596" w:rsidRPr="00233296">
          <w:rPr>
            <w:rStyle w:val="Hipercze"/>
            <w:noProof/>
            <w:szCs w:val="20"/>
          </w:rPr>
          <w:t>latach 2015-2018 –</w:t>
        </w:r>
        <w:r w:rsidR="00E66B89" w:rsidRPr="00233296">
          <w:rPr>
            <w:rStyle w:val="Hipercze"/>
            <w:noProof/>
            <w:szCs w:val="20"/>
          </w:rPr>
          <w:t xml:space="preserve"> w </w:t>
        </w:r>
        <w:r w:rsidR="00396596" w:rsidRPr="00233296">
          <w:rPr>
            <w:rStyle w:val="Hipercze"/>
            <w:noProof/>
            <w:szCs w:val="20"/>
          </w:rPr>
          <w:t>Polsce</w:t>
        </w:r>
        <w:r w:rsidR="00E66B89" w:rsidRPr="00233296">
          <w:rPr>
            <w:rStyle w:val="Hipercze"/>
            <w:noProof/>
            <w:szCs w:val="20"/>
          </w:rPr>
          <w:t xml:space="preserve"> i </w:t>
        </w:r>
        <w:r w:rsidR="00396596" w:rsidRPr="00233296">
          <w:rPr>
            <w:rStyle w:val="Hipercze"/>
            <w:noProof/>
            <w:szCs w:val="20"/>
          </w:rPr>
          <w:t>województwie zachodniopomorskim</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_Toc5311900 \h </w:instrText>
        </w:r>
        <w:r w:rsidR="00396596" w:rsidRPr="00233296">
          <w:rPr>
            <w:noProof/>
            <w:webHidden/>
            <w:szCs w:val="20"/>
          </w:rPr>
        </w:r>
        <w:r w:rsidR="00396596" w:rsidRPr="00233296">
          <w:rPr>
            <w:noProof/>
            <w:webHidden/>
            <w:szCs w:val="20"/>
          </w:rPr>
          <w:fldChar w:fldCharType="separate"/>
        </w:r>
        <w:r w:rsidR="00E667FD">
          <w:rPr>
            <w:noProof/>
            <w:webHidden/>
            <w:szCs w:val="20"/>
          </w:rPr>
          <w:t>290</w:t>
        </w:r>
        <w:r w:rsidR="00396596" w:rsidRPr="00233296">
          <w:rPr>
            <w:noProof/>
            <w:webHidden/>
            <w:szCs w:val="20"/>
          </w:rPr>
          <w:fldChar w:fldCharType="end"/>
        </w:r>
      </w:hyperlink>
    </w:p>
    <w:p w14:paraId="0608FA97" w14:textId="77777777" w:rsidR="00396596" w:rsidRPr="00233296" w:rsidRDefault="00FA14F6">
      <w:pPr>
        <w:pStyle w:val="Spisilustracji"/>
        <w:tabs>
          <w:tab w:val="right" w:leader="dot" w:pos="9060"/>
        </w:tabs>
        <w:rPr>
          <w:noProof/>
          <w:szCs w:val="20"/>
        </w:rPr>
      </w:pPr>
      <w:hyperlink w:anchor="_Toc5311901" w:history="1">
        <w:r w:rsidR="00396596" w:rsidRPr="00233296">
          <w:rPr>
            <w:rStyle w:val="Hipercze"/>
            <w:noProof/>
            <w:szCs w:val="20"/>
          </w:rPr>
          <w:t>Wykres 35 Średni czas pobytu chorego</w:t>
        </w:r>
        <w:r w:rsidR="00E66B89" w:rsidRPr="00233296">
          <w:rPr>
            <w:rStyle w:val="Hipercze"/>
            <w:noProof/>
            <w:szCs w:val="20"/>
          </w:rPr>
          <w:t xml:space="preserve"> w </w:t>
        </w:r>
        <w:r w:rsidR="00396596" w:rsidRPr="00233296">
          <w:rPr>
            <w:rStyle w:val="Hipercze"/>
            <w:noProof/>
            <w:szCs w:val="20"/>
          </w:rPr>
          <w:t>szpitalu</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2013-2017 (dni)</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_Toc5311901 \h </w:instrText>
        </w:r>
        <w:r w:rsidR="00396596" w:rsidRPr="00233296">
          <w:rPr>
            <w:noProof/>
            <w:webHidden/>
            <w:szCs w:val="20"/>
          </w:rPr>
        </w:r>
        <w:r w:rsidR="00396596" w:rsidRPr="00233296">
          <w:rPr>
            <w:noProof/>
            <w:webHidden/>
            <w:szCs w:val="20"/>
          </w:rPr>
          <w:fldChar w:fldCharType="separate"/>
        </w:r>
        <w:r w:rsidR="00E667FD">
          <w:rPr>
            <w:noProof/>
            <w:webHidden/>
            <w:szCs w:val="20"/>
          </w:rPr>
          <w:t>297</w:t>
        </w:r>
        <w:r w:rsidR="00396596" w:rsidRPr="00233296">
          <w:rPr>
            <w:noProof/>
            <w:webHidden/>
            <w:szCs w:val="20"/>
          </w:rPr>
          <w:fldChar w:fldCharType="end"/>
        </w:r>
      </w:hyperlink>
    </w:p>
    <w:p w14:paraId="21821733" w14:textId="77777777" w:rsidR="00396596" w:rsidRPr="00233296" w:rsidRDefault="00FA14F6">
      <w:pPr>
        <w:pStyle w:val="Spisilustracji"/>
        <w:tabs>
          <w:tab w:val="right" w:leader="dot" w:pos="9060"/>
        </w:tabs>
        <w:rPr>
          <w:noProof/>
          <w:szCs w:val="20"/>
        </w:rPr>
      </w:pPr>
      <w:hyperlink w:anchor="_Toc5311902" w:history="1">
        <w:r w:rsidR="00396596" w:rsidRPr="00233296">
          <w:rPr>
            <w:rStyle w:val="Hipercze"/>
            <w:noProof/>
            <w:szCs w:val="20"/>
          </w:rPr>
          <w:t>Wykres 36 Liczba gospodarstw domowych korzystających ze środowiskowej pomocy społecznej</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2013-2017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_Toc5311902 \h </w:instrText>
        </w:r>
        <w:r w:rsidR="00396596" w:rsidRPr="00233296">
          <w:rPr>
            <w:noProof/>
            <w:webHidden/>
            <w:szCs w:val="20"/>
          </w:rPr>
        </w:r>
        <w:r w:rsidR="00396596" w:rsidRPr="00233296">
          <w:rPr>
            <w:noProof/>
            <w:webHidden/>
            <w:szCs w:val="20"/>
          </w:rPr>
          <w:fldChar w:fldCharType="separate"/>
        </w:r>
        <w:r w:rsidR="00E667FD">
          <w:rPr>
            <w:noProof/>
            <w:webHidden/>
            <w:szCs w:val="20"/>
          </w:rPr>
          <w:t>298</w:t>
        </w:r>
        <w:r w:rsidR="00396596" w:rsidRPr="00233296">
          <w:rPr>
            <w:noProof/>
            <w:webHidden/>
            <w:szCs w:val="20"/>
          </w:rPr>
          <w:fldChar w:fldCharType="end"/>
        </w:r>
      </w:hyperlink>
    </w:p>
    <w:p w14:paraId="16C0B6AD" w14:textId="77777777" w:rsidR="00396596" w:rsidRPr="00233296" w:rsidRDefault="00FA14F6">
      <w:pPr>
        <w:pStyle w:val="Spisilustracji"/>
        <w:tabs>
          <w:tab w:val="right" w:leader="dot" w:pos="9060"/>
        </w:tabs>
        <w:rPr>
          <w:noProof/>
          <w:szCs w:val="20"/>
        </w:rPr>
      </w:pPr>
      <w:hyperlink w:anchor="_Toc5311903" w:history="1">
        <w:r w:rsidR="00396596" w:rsidRPr="00233296">
          <w:rPr>
            <w:rStyle w:val="Hipercze"/>
            <w:noProof/>
            <w:szCs w:val="20"/>
          </w:rPr>
          <w:t>Wykres 37 Odsetek mieszkańców żyjących</w:t>
        </w:r>
        <w:r w:rsidR="00E66B89" w:rsidRPr="00233296">
          <w:rPr>
            <w:rStyle w:val="Hipercze"/>
            <w:noProof/>
            <w:szCs w:val="20"/>
          </w:rPr>
          <w:t xml:space="preserve"> w </w:t>
        </w:r>
        <w:r w:rsidR="00396596" w:rsidRPr="00233296">
          <w:rPr>
            <w:rStyle w:val="Hipercze"/>
            <w:noProof/>
            <w:szCs w:val="20"/>
          </w:rPr>
          <w:t>rodzinach korzystających</w:t>
        </w:r>
        <w:r w:rsidR="00E66B89" w:rsidRPr="00233296">
          <w:rPr>
            <w:rStyle w:val="Hipercze"/>
            <w:noProof/>
            <w:szCs w:val="20"/>
          </w:rPr>
          <w:t xml:space="preserve"> z </w:t>
        </w:r>
        <w:r w:rsidR="00396596" w:rsidRPr="00233296">
          <w:rPr>
            <w:rStyle w:val="Hipercze"/>
            <w:noProof/>
            <w:szCs w:val="20"/>
          </w:rPr>
          <w:t>pomocy społecznej na terenie SWW</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2013-2016</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_Toc5311903 \h </w:instrText>
        </w:r>
        <w:r w:rsidR="00396596" w:rsidRPr="00233296">
          <w:rPr>
            <w:noProof/>
            <w:webHidden/>
            <w:szCs w:val="20"/>
          </w:rPr>
        </w:r>
        <w:r w:rsidR="00396596" w:rsidRPr="00233296">
          <w:rPr>
            <w:noProof/>
            <w:webHidden/>
            <w:szCs w:val="20"/>
          </w:rPr>
          <w:fldChar w:fldCharType="separate"/>
        </w:r>
        <w:r w:rsidR="00E667FD">
          <w:rPr>
            <w:noProof/>
            <w:webHidden/>
            <w:szCs w:val="20"/>
          </w:rPr>
          <w:t>303</w:t>
        </w:r>
        <w:r w:rsidR="00396596" w:rsidRPr="00233296">
          <w:rPr>
            <w:noProof/>
            <w:webHidden/>
            <w:szCs w:val="20"/>
          </w:rPr>
          <w:fldChar w:fldCharType="end"/>
        </w:r>
      </w:hyperlink>
    </w:p>
    <w:p w14:paraId="7A2CD8B2" w14:textId="77777777" w:rsidR="00396596" w:rsidRPr="00233296" w:rsidRDefault="00FA14F6">
      <w:pPr>
        <w:pStyle w:val="Spisilustracji"/>
        <w:tabs>
          <w:tab w:val="right" w:leader="dot" w:pos="9060"/>
        </w:tabs>
        <w:rPr>
          <w:noProof/>
          <w:szCs w:val="20"/>
        </w:rPr>
      </w:pPr>
      <w:hyperlink w:anchor="_Toc5311904" w:history="1">
        <w:r w:rsidR="00396596" w:rsidRPr="00233296">
          <w:rPr>
            <w:rStyle w:val="Hipercze"/>
            <w:noProof/>
            <w:szCs w:val="20"/>
          </w:rPr>
          <w:t>Wykres 38 Zdawalność egzaminów maturalnych (w stosunku do średniej krajowej)</w:t>
        </w:r>
        <w:r w:rsidR="00E66B89" w:rsidRPr="00233296">
          <w:rPr>
            <w:rStyle w:val="Hipercze"/>
            <w:noProof/>
            <w:szCs w:val="20"/>
          </w:rPr>
          <w:t xml:space="preserve"> w </w:t>
        </w:r>
        <w:r w:rsidR="00396596" w:rsidRPr="00233296">
          <w:rPr>
            <w:rStyle w:val="Hipercze"/>
            <w:noProof/>
            <w:szCs w:val="20"/>
          </w:rPr>
          <w:t>województwie zachodniopomorskim</w:t>
        </w:r>
        <w:r w:rsidR="00E66B89" w:rsidRPr="00233296">
          <w:rPr>
            <w:rStyle w:val="Hipercze"/>
            <w:noProof/>
            <w:szCs w:val="20"/>
          </w:rPr>
          <w:t xml:space="preserve"> w </w:t>
        </w:r>
        <w:r w:rsidR="00396596" w:rsidRPr="00233296">
          <w:rPr>
            <w:rStyle w:val="Hipercze"/>
            <w:noProof/>
            <w:szCs w:val="20"/>
          </w:rPr>
          <w:t>latach 2013-2017</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_Toc5311904 \h </w:instrText>
        </w:r>
        <w:r w:rsidR="00396596" w:rsidRPr="00233296">
          <w:rPr>
            <w:noProof/>
            <w:webHidden/>
            <w:szCs w:val="20"/>
          </w:rPr>
        </w:r>
        <w:r w:rsidR="00396596" w:rsidRPr="00233296">
          <w:rPr>
            <w:noProof/>
            <w:webHidden/>
            <w:szCs w:val="20"/>
          </w:rPr>
          <w:fldChar w:fldCharType="separate"/>
        </w:r>
        <w:r w:rsidR="00E667FD">
          <w:rPr>
            <w:noProof/>
            <w:webHidden/>
            <w:szCs w:val="20"/>
          </w:rPr>
          <w:t>309</w:t>
        </w:r>
        <w:r w:rsidR="00396596" w:rsidRPr="00233296">
          <w:rPr>
            <w:noProof/>
            <w:webHidden/>
            <w:szCs w:val="20"/>
          </w:rPr>
          <w:fldChar w:fldCharType="end"/>
        </w:r>
      </w:hyperlink>
    </w:p>
    <w:p w14:paraId="25821A4E" w14:textId="77777777" w:rsidR="00396596" w:rsidRPr="00233296" w:rsidRDefault="00FA14F6">
      <w:pPr>
        <w:pStyle w:val="Spisilustracji"/>
        <w:tabs>
          <w:tab w:val="right" w:leader="dot" w:pos="9060"/>
        </w:tabs>
        <w:rPr>
          <w:noProof/>
          <w:szCs w:val="20"/>
        </w:rPr>
      </w:pPr>
      <w:hyperlink w:anchor="_Toc5311905" w:history="1">
        <w:r w:rsidR="00396596" w:rsidRPr="00233296">
          <w:rPr>
            <w:rStyle w:val="Hipercze"/>
            <w:noProof/>
            <w:szCs w:val="20"/>
          </w:rPr>
          <w:t>Wykres 39 Ocena trafności zakresu przedmiotowego wsparcia realizowanego</w:t>
        </w:r>
        <w:r w:rsidR="00E66B89" w:rsidRPr="00233296">
          <w:rPr>
            <w:rStyle w:val="Hipercze"/>
            <w:noProof/>
            <w:szCs w:val="20"/>
          </w:rPr>
          <w:t xml:space="preserve"> w </w:t>
        </w:r>
        <w:r w:rsidR="00396596" w:rsidRPr="00233296">
          <w:rPr>
            <w:rStyle w:val="Hipercze"/>
            <w:noProof/>
            <w:szCs w:val="20"/>
          </w:rPr>
          <w:t>ramach ZIT</w:t>
        </w:r>
        <w:r w:rsidR="00E66B89" w:rsidRPr="00233296">
          <w:rPr>
            <w:rStyle w:val="Hipercze"/>
            <w:noProof/>
            <w:szCs w:val="20"/>
          </w:rPr>
          <w:t xml:space="preserve"> i </w:t>
        </w:r>
        <w:r w:rsidR="00396596" w:rsidRPr="00233296">
          <w:rPr>
            <w:rStyle w:val="Hipercze"/>
            <w:noProof/>
            <w:szCs w:val="20"/>
          </w:rPr>
          <w:t>KS</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_Toc5311905 \h </w:instrText>
        </w:r>
        <w:r w:rsidR="00396596" w:rsidRPr="00233296">
          <w:rPr>
            <w:noProof/>
            <w:webHidden/>
            <w:szCs w:val="20"/>
          </w:rPr>
        </w:r>
        <w:r w:rsidR="00396596" w:rsidRPr="00233296">
          <w:rPr>
            <w:noProof/>
            <w:webHidden/>
            <w:szCs w:val="20"/>
          </w:rPr>
          <w:fldChar w:fldCharType="separate"/>
        </w:r>
        <w:r w:rsidR="00E667FD">
          <w:rPr>
            <w:noProof/>
            <w:webHidden/>
            <w:szCs w:val="20"/>
          </w:rPr>
          <w:t>362</w:t>
        </w:r>
        <w:r w:rsidR="00396596" w:rsidRPr="00233296">
          <w:rPr>
            <w:noProof/>
            <w:webHidden/>
            <w:szCs w:val="20"/>
          </w:rPr>
          <w:fldChar w:fldCharType="end"/>
        </w:r>
      </w:hyperlink>
    </w:p>
    <w:p w14:paraId="0B37DCB5" w14:textId="77777777" w:rsidR="00396596" w:rsidRPr="00233296" w:rsidRDefault="00FA14F6">
      <w:pPr>
        <w:pStyle w:val="Spisilustracji"/>
        <w:tabs>
          <w:tab w:val="right" w:leader="dot" w:pos="9060"/>
        </w:tabs>
        <w:rPr>
          <w:noProof/>
          <w:szCs w:val="20"/>
        </w:rPr>
      </w:pPr>
      <w:hyperlink w:anchor="_Toc5311906" w:history="1">
        <w:r w:rsidR="00396596" w:rsidRPr="00233296">
          <w:rPr>
            <w:rStyle w:val="Hipercze"/>
            <w:noProof/>
            <w:szCs w:val="20"/>
          </w:rPr>
          <w:t>Wykres 40 Wpływ projektów ZIT / KS na wzmacnianie mocnych stron obszarów ZIT/KS</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_Toc5311906 \h </w:instrText>
        </w:r>
        <w:r w:rsidR="00396596" w:rsidRPr="00233296">
          <w:rPr>
            <w:noProof/>
            <w:webHidden/>
            <w:szCs w:val="20"/>
          </w:rPr>
        </w:r>
        <w:r w:rsidR="00396596" w:rsidRPr="00233296">
          <w:rPr>
            <w:noProof/>
            <w:webHidden/>
            <w:szCs w:val="20"/>
          </w:rPr>
          <w:fldChar w:fldCharType="separate"/>
        </w:r>
        <w:r w:rsidR="00E667FD">
          <w:rPr>
            <w:noProof/>
            <w:webHidden/>
            <w:szCs w:val="20"/>
          </w:rPr>
          <w:t>363</w:t>
        </w:r>
        <w:r w:rsidR="00396596" w:rsidRPr="00233296">
          <w:rPr>
            <w:noProof/>
            <w:webHidden/>
            <w:szCs w:val="20"/>
          </w:rPr>
          <w:fldChar w:fldCharType="end"/>
        </w:r>
      </w:hyperlink>
    </w:p>
    <w:p w14:paraId="791AD255" w14:textId="77777777" w:rsidR="00396596" w:rsidRPr="00233296" w:rsidRDefault="00FA14F6">
      <w:pPr>
        <w:pStyle w:val="Spisilustracji"/>
        <w:tabs>
          <w:tab w:val="right" w:leader="dot" w:pos="9060"/>
        </w:tabs>
        <w:rPr>
          <w:noProof/>
          <w:szCs w:val="20"/>
        </w:rPr>
      </w:pPr>
      <w:hyperlink w:anchor="_Toc5311907" w:history="1">
        <w:r w:rsidR="00396596" w:rsidRPr="00233296">
          <w:rPr>
            <w:rStyle w:val="Hipercze"/>
            <w:noProof/>
            <w:szCs w:val="20"/>
          </w:rPr>
          <w:t>Wykres 41 Wpływ projektów ZIT / KS na dysproporcje rozwojowe istniejące wewnątrz województwa zachodniopomorskiego</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_Toc5311907 \h </w:instrText>
        </w:r>
        <w:r w:rsidR="00396596" w:rsidRPr="00233296">
          <w:rPr>
            <w:noProof/>
            <w:webHidden/>
            <w:szCs w:val="20"/>
          </w:rPr>
        </w:r>
        <w:r w:rsidR="00396596" w:rsidRPr="00233296">
          <w:rPr>
            <w:noProof/>
            <w:webHidden/>
            <w:szCs w:val="20"/>
          </w:rPr>
          <w:fldChar w:fldCharType="separate"/>
        </w:r>
        <w:r w:rsidR="00E667FD">
          <w:rPr>
            <w:noProof/>
            <w:webHidden/>
            <w:szCs w:val="20"/>
          </w:rPr>
          <w:t>363</w:t>
        </w:r>
        <w:r w:rsidR="00396596" w:rsidRPr="00233296">
          <w:rPr>
            <w:noProof/>
            <w:webHidden/>
            <w:szCs w:val="20"/>
          </w:rPr>
          <w:fldChar w:fldCharType="end"/>
        </w:r>
      </w:hyperlink>
    </w:p>
    <w:p w14:paraId="15040B21" w14:textId="77777777" w:rsidR="00396596" w:rsidRPr="00233296" w:rsidRDefault="00FA14F6">
      <w:pPr>
        <w:pStyle w:val="Spisilustracji"/>
        <w:tabs>
          <w:tab w:val="right" w:leader="dot" w:pos="9060"/>
        </w:tabs>
        <w:rPr>
          <w:noProof/>
          <w:szCs w:val="20"/>
        </w:rPr>
      </w:pPr>
      <w:hyperlink w:anchor="_Toc5311908" w:history="1">
        <w:r w:rsidR="00396596" w:rsidRPr="00233296">
          <w:rPr>
            <w:rStyle w:val="Hipercze"/>
            <w:noProof/>
            <w:szCs w:val="20"/>
          </w:rPr>
          <w:t>Wykres 42 Wpływ projektów ZIT / KS na poprawę wybranych aspektów sytuacji społeczno-gospodarczej obszarów, na których są one realizowane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_Toc5311908 \h </w:instrText>
        </w:r>
        <w:r w:rsidR="00396596" w:rsidRPr="00233296">
          <w:rPr>
            <w:noProof/>
            <w:webHidden/>
            <w:szCs w:val="20"/>
          </w:rPr>
        </w:r>
        <w:r w:rsidR="00396596" w:rsidRPr="00233296">
          <w:rPr>
            <w:noProof/>
            <w:webHidden/>
            <w:szCs w:val="20"/>
          </w:rPr>
          <w:fldChar w:fldCharType="separate"/>
        </w:r>
        <w:r w:rsidR="00E667FD">
          <w:rPr>
            <w:noProof/>
            <w:webHidden/>
            <w:szCs w:val="20"/>
          </w:rPr>
          <w:t>364</w:t>
        </w:r>
        <w:r w:rsidR="00396596" w:rsidRPr="00233296">
          <w:rPr>
            <w:noProof/>
            <w:webHidden/>
            <w:szCs w:val="20"/>
          </w:rPr>
          <w:fldChar w:fldCharType="end"/>
        </w:r>
      </w:hyperlink>
    </w:p>
    <w:p w14:paraId="572BBB64" w14:textId="77777777" w:rsidR="00396596" w:rsidRPr="00233296" w:rsidRDefault="00FA14F6">
      <w:pPr>
        <w:pStyle w:val="Spisilustracji"/>
        <w:tabs>
          <w:tab w:val="right" w:leader="dot" w:pos="9060"/>
        </w:tabs>
        <w:rPr>
          <w:noProof/>
          <w:szCs w:val="20"/>
        </w:rPr>
      </w:pPr>
      <w:hyperlink w:anchor="_Toc5311909" w:history="1">
        <w:r w:rsidR="00396596" w:rsidRPr="00233296">
          <w:rPr>
            <w:rStyle w:val="Hipercze"/>
            <w:noProof/>
            <w:szCs w:val="20"/>
          </w:rPr>
          <w:t>Wykres 43 Liczba etatów</w:t>
        </w:r>
        <w:r w:rsidR="00E66B89" w:rsidRPr="00233296">
          <w:rPr>
            <w:rStyle w:val="Hipercze"/>
            <w:noProof/>
            <w:szCs w:val="20"/>
          </w:rPr>
          <w:t xml:space="preserve"> i </w:t>
        </w:r>
        <w:r w:rsidR="00396596" w:rsidRPr="00233296">
          <w:rPr>
            <w:rStyle w:val="Hipercze"/>
            <w:noProof/>
            <w:szCs w:val="20"/>
          </w:rPr>
          <w:t>osób</w:t>
        </w:r>
        <w:r w:rsidR="00E66B89" w:rsidRPr="00233296">
          <w:rPr>
            <w:rStyle w:val="Hipercze"/>
            <w:noProof/>
            <w:szCs w:val="20"/>
          </w:rPr>
          <w:t xml:space="preserve"> w </w:t>
        </w:r>
        <w:r w:rsidR="00396596" w:rsidRPr="00233296">
          <w:rPr>
            <w:rStyle w:val="Hipercze"/>
            <w:noProof/>
            <w:szCs w:val="20"/>
          </w:rPr>
          <w:t>jednostkach zaangażowanych we wdrażaniu RPO</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_Toc5311909 \h </w:instrText>
        </w:r>
        <w:r w:rsidR="00396596" w:rsidRPr="00233296">
          <w:rPr>
            <w:noProof/>
            <w:webHidden/>
            <w:szCs w:val="20"/>
          </w:rPr>
        </w:r>
        <w:r w:rsidR="00396596" w:rsidRPr="00233296">
          <w:rPr>
            <w:noProof/>
            <w:webHidden/>
            <w:szCs w:val="20"/>
          </w:rPr>
          <w:fldChar w:fldCharType="separate"/>
        </w:r>
        <w:r w:rsidR="00E667FD">
          <w:rPr>
            <w:noProof/>
            <w:webHidden/>
            <w:szCs w:val="20"/>
          </w:rPr>
          <w:t>375</w:t>
        </w:r>
        <w:r w:rsidR="00396596" w:rsidRPr="00233296">
          <w:rPr>
            <w:noProof/>
            <w:webHidden/>
            <w:szCs w:val="20"/>
          </w:rPr>
          <w:fldChar w:fldCharType="end"/>
        </w:r>
      </w:hyperlink>
    </w:p>
    <w:p w14:paraId="43C0D354" w14:textId="77777777" w:rsidR="00396596" w:rsidRPr="00233296" w:rsidRDefault="00FA14F6">
      <w:pPr>
        <w:pStyle w:val="Spisilustracji"/>
        <w:tabs>
          <w:tab w:val="right" w:leader="dot" w:pos="9060"/>
        </w:tabs>
        <w:rPr>
          <w:noProof/>
          <w:szCs w:val="20"/>
        </w:rPr>
      </w:pPr>
      <w:hyperlink w:anchor="_Toc5311910" w:history="1">
        <w:r w:rsidR="00396596" w:rsidRPr="00233296">
          <w:rPr>
            <w:rStyle w:val="Hipercze"/>
            <w:noProof/>
            <w:szCs w:val="20"/>
          </w:rPr>
          <w:t>Wykres 44 Liczba pracowników instytucji zaangażowanych we wdrażanie RPO WZ, która wzięła udział</w:t>
        </w:r>
        <w:r w:rsidR="00E66B89" w:rsidRPr="00233296">
          <w:rPr>
            <w:rStyle w:val="Hipercze"/>
            <w:noProof/>
            <w:szCs w:val="20"/>
          </w:rPr>
          <w:t xml:space="preserve"> w </w:t>
        </w:r>
        <w:r w:rsidR="00396596" w:rsidRPr="00233296">
          <w:rPr>
            <w:rStyle w:val="Hipercze"/>
            <w:noProof/>
            <w:szCs w:val="20"/>
          </w:rPr>
          <w:t>szkoleniach</w:t>
        </w:r>
        <w:r w:rsidR="00E66B89" w:rsidRPr="00233296">
          <w:rPr>
            <w:rStyle w:val="Hipercze"/>
            <w:noProof/>
            <w:szCs w:val="20"/>
          </w:rPr>
          <w:t xml:space="preserve"> z </w:t>
        </w:r>
        <w:r w:rsidR="00396596" w:rsidRPr="00233296">
          <w:rPr>
            <w:rStyle w:val="Hipercze"/>
            <w:noProof/>
            <w:szCs w:val="20"/>
          </w:rPr>
          <w:t>wyodrębnionych bloków tematycznych</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_Toc5311910 \h </w:instrText>
        </w:r>
        <w:r w:rsidR="00396596" w:rsidRPr="00233296">
          <w:rPr>
            <w:noProof/>
            <w:webHidden/>
            <w:szCs w:val="20"/>
          </w:rPr>
        </w:r>
        <w:r w:rsidR="00396596" w:rsidRPr="00233296">
          <w:rPr>
            <w:noProof/>
            <w:webHidden/>
            <w:szCs w:val="20"/>
          </w:rPr>
          <w:fldChar w:fldCharType="separate"/>
        </w:r>
        <w:r w:rsidR="00E667FD">
          <w:rPr>
            <w:noProof/>
            <w:webHidden/>
            <w:szCs w:val="20"/>
          </w:rPr>
          <w:t>378</w:t>
        </w:r>
        <w:r w:rsidR="00396596" w:rsidRPr="00233296">
          <w:rPr>
            <w:noProof/>
            <w:webHidden/>
            <w:szCs w:val="20"/>
          </w:rPr>
          <w:fldChar w:fldCharType="end"/>
        </w:r>
      </w:hyperlink>
    </w:p>
    <w:p w14:paraId="57781BD9" w14:textId="77777777" w:rsidR="00396596" w:rsidRPr="00233296" w:rsidRDefault="00FA14F6">
      <w:pPr>
        <w:pStyle w:val="Spisilustracji"/>
        <w:tabs>
          <w:tab w:val="right" w:leader="dot" w:pos="9060"/>
        </w:tabs>
        <w:rPr>
          <w:noProof/>
          <w:szCs w:val="20"/>
        </w:rPr>
      </w:pPr>
      <w:hyperlink w:anchor="_Toc5311911" w:history="1">
        <w:r w:rsidR="00396596" w:rsidRPr="00233296">
          <w:rPr>
            <w:rStyle w:val="Hipercze"/>
            <w:noProof/>
            <w:szCs w:val="20"/>
          </w:rPr>
          <w:t>Wykres 45 Ocena etapu opracowania wniosku</w:t>
        </w:r>
        <w:r w:rsidR="00E66B89" w:rsidRPr="00233296">
          <w:rPr>
            <w:rStyle w:val="Hipercze"/>
            <w:noProof/>
            <w:szCs w:val="20"/>
          </w:rPr>
          <w:t xml:space="preserve"> o </w:t>
        </w:r>
        <w:r w:rsidR="00396596" w:rsidRPr="00233296">
          <w:rPr>
            <w:rStyle w:val="Hipercze"/>
            <w:noProof/>
            <w:szCs w:val="20"/>
          </w:rPr>
          <w:t>dofinansowanie – opinie wnioskodawców RPO WZ 2014-2020</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_Toc5311911 \h </w:instrText>
        </w:r>
        <w:r w:rsidR="00396596" w:rsidRPr="00233296">
          <w:rPr>
            <w:noProof/>
            <w:webHidden/>
            <w:szCs w:val="20"/>
          </w:rPr>
        </w:r>
        <w:r w:rsidR="00396596" w:rsidRPr="00233296">
          <w:rPr>
            <w:noProof/>
            <w:webHidden/>
            <w:szCs w:val="20"/>
          </w:rPr>
          <w:fldChar w:fldCharType="separate"/>
        </w:r>
        <w:r w:rsidR="00E667FD">
          <w:rPr>
            <w:noProof/>
            <w:webHidden/>
            <w:szCs w:val="20"/>
          </w:rPr>
          <w:t>383</w:t>
        </w:r>
        <w:r w:rsidR="00396596" w:rsidRPr="00233296">
          <w:rPr>
            <w:noProof/>
            <w:webHidden/>
            <w:szCs w:val="20"/>
          </w:rPr>
          <w:fldChar w:fldCharType="end"/>
        </w:r>
      </w:hyperlink>
    </w:p>
    <w:p w14:paraId="35D147F9" w14:textId="77777777" w:rsidR="00396596" w:rsidRPr="00233296" w:rsidRDefault="00FA14F6">
      <w:pPr>
        <w:pStyle w:val="Spisilustracji"/>
        <w:tabs>
          <w:tab w:val="right" w:leader="dot" w:pos="9060"/>
        </w:tabs>
        <w:rPr>
          <w:noProof/>
          <w:szCs w:val="20"/>
        </w:rPr>
      </w:pPr>
      <w:hyperlink w:anchor="_Toc5311912" w:history="1">
        <w:r w:rsidR="00396596" w:rsidRPr="00233296">
          <w:rPr>
            <w:rStyle w:val="Hipercze"/>
            <w:noProof/>
            <w:szCs w:val="20"/>
          </w:rPr>
          <w:t>Wykres 46 Ocena kryteriów wyboru projektów</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_Toc5311912 \h </w:instrText>
        </w:r>
        <w:r w:rsidR="00396596" w:rsidRPr="00233296">
          <w:rPr>
            <w:noProof/>
            <w:webHidden/>
            <w:szCs w:val="20"/>
          </w:rPr>
        </w:r>
        <w:r w:rsidR="00396596" w:rsidRPr="00233296">
          <w:rPr>
            <w:noProof/>
            <w:webHidden/>
            <w:szCs w:val="20"/>
          </w:rPr>
          <w:fldChar w:fldCharType="separate"/>
        </w:r>
        <w:r w:rsidR="00E667FD">
          <w:rPr>
            <w:noProof/>
            <w:webHidden/>
            <w:szCs w:val="20"/>
          </w:rPr>
          <w:t>384</w:t>
        </w:r>
        <w:r w:rsidR="00396596" w:rsidRPr="00233296">
          <w:rPr>
            <w:noProof/>
            <w:webHidden/>
            <w:szCs w:val="20"/>
          </w:rPr>
          <w:fldChar w:fldCharType="end"/>
        </w:r>
      </w:hyperlink>
    </w:p>
    <w:p w14:paraId="38C2E3C3" w14:textId="77777777" w:rsidR="00396596" w:rsidRPr="00233296" w:rsidRDefault="00FA14F6">
      <w:pPr>
        <w:pStyle w:val="Spisilustracji"/>
        <w:tabs>
          <w:tab w:val="right" w:leader="dot" w:pos="9060"/>
        </w:tabs>
        <w:rPr>
          <w:noProof/>
          <w:szCs w:val="20"/>
        </w:rPr>
      </w:pPr>
      <w:hyperlink w:anchor="_Toc5311913" w:history="1">
        <w:r w:rsidR="00396596" w:rsidRPr="00233296">
          <w:rPr>
            <w:rStyle w:val="Hipercze"/>
            <w:noProof/>
            <w:szCs w:val="20"/>
          </w:rPr>
          <w:t>Wykres 47 Ocena działań IOK</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_Toc5311913 \h </w:instrText>
        </w:r>
        <w:r w:rsidR="00396596" w:rsidRPr="00233296">
          <w:rPr>
            <w:noProof/>
            <w:webHidden/>
            <w:szCs w:val="20"/>
          </w:rPr>
        </w:r>
        <w:r w:rsidR="00396596" w:rsidRPr="00233296">
          <w:rPr>
            <w:noProof/>
            <w:webHidden/>
            <w:szCs w:val="20"/>
          </w:rPr>
          <w:fldChar w:fldCharType="separate"/>
        </w:r>
        <w:r w:rsidR="00E667FD">
          <w:rPr>
            <w:noProof/>
            <w:webHidden/>
            <w:szCs w:val="20"/>
          </w:rPr>
          <w:t>384</w:t>
        </w:r>
        <w:r w:rsidR="00396596" w:rsidRPr="00233296">
          <w:rPr>
            <w:noProof/>
            <w:webHidden/>
            <w:szCs w:val="20"/>
          </w:rPr>
          <w:fldChar w:fldCharType="end"/>
        </w:r>
      </w:hyperlink>
    </w:p>
    <w:p w14:paraId="27A8948C" w14:textId="77777777" w:rsidR="00396596" w:rsidRPr="00233296" w:rsidRDefault="00FA14F6">
      <w:pPr>
        <w:pStyle w:val="Spisilustracji"/>
        <w:tabs>
          <w:tab w:val="right" w:leader="dot" w:pos="9060"/>
        </w:tabs>
        <w:rPr>
          <w:noProof/>
          <w:szCs w:val="20"/>
        </w:rPr>
      </w:pPr>
      <w:hyperlink w:anchor="_Toc5311914" w:history="1">
        <w:r w:rsidR="00396596" w:rsidRPr="00233296">
          <w:rPr>
            <w:rStyle w:val="Hipercze"/>
            <w:noProof/>
            <w:szCs w:val="20"/>
          </w:rPr>
          <w:t>Wykres 48 Trudności jakie wystąpiły na etapie realizacji projektu</w:t>
        </w:r>
        <w:r w:rsidR="00E66B89" w:rsidRPr="00233296">
          <w:rPr>
            <w:rStyle w:val="Hipercze"/>
            <w:noProof/>
            <w:szCs w:val="20"/>
          </w:rPr>
          <w:t xml:space="preserve"> w </w:t>
        </w:r>
        <w:r w:rsidR="00396596" w:rsidRPr="00233296">
          <w:rPr>
            <w:rStyle w:val="Hipercze"/>
            <w:noProof/>
            <w:szCs w:val="20"/>
          </w:rPr>
          <w:t>ocenie beneficjentów</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_Toc5311914 \h </w:instrText>
        </w:r>
        <w:r w:rsidR="00396596" w:rsidRPr="00233296">
          <w:rPr>
            <w:noProof/>
            <w:webHidden/>
            <w:szCs w:val="20"/>
          </w:rPr>
        </w:r>
        <w:r w:rsidR="00396596" w:rsidRPr="00233296">
          <w:rPr>
            <w:noProof/>
            <w:webHidden/>
            <w:szCs w:val="20"/>
          </w:rPr>
          <w:fldChar w:fldCharType="separate"/>
        </w:r>
        <w:r w:rsidR="00E667FD">
          <w:rPr>
            <w:noProof/>
            <w:webHidden/>
            <w:szCs w:val="20"/>
          </w:rPr>
          <w:t>387</w:t>
        </w:r>
        <w:r w:rsidR="00396596" w:rsidRPr="00233296">
          <w:rPr>
            <w:noProof/>
            <w:webHidden/>
            <w:szCs w:val="20"/>
          </w:rPr>
          <w:fldChar w:fldCharType="end"/>
        </w:r>
      </w:hyperlink>
    </w:p>
    <w:p w14:paraId="09577722" w14:textId="77777777" w:rsidR="00396596" w:rsidRPr="00233296" w:rsidRDefault="00FA14F6">
      <w:pPr>
        <w:pStyle w:val="Spisilustracji"/>
        <w:tabs>
          <w:tab w:val="right" w:leader="dot" w:pos="9060"/>
        </w:tabs>
        <w:rPr>
          <w:noProof/>
          <w:szCs w:val="20"/>
        </w:rPr>
      </w:pPr>
      <w:hyperlink w:anchor="_Toc5311915" w:history="1">
        <w:r w:rsidR="00396596" w:rsidRPr="00233296">
          <w:rPr>
            <w:rStyle w:val="Hipercze"/>
            <w:noProof/>
            <w:szCs w:val="20"/>
          </w:rPr>
          <w:t>Wykres 49 Czy beneficjenci RPO WZ 2014-2020 spotkali się</w:t>
        </w:r>
        <w:r w:rsidR="00E66B89" w:rsidRPr="00233296">
          <w:rPr>
            <w:rStyle w:val="Hipercze"/>
            <w:noProof/>
            <w:szCs w:val="20"/>
          </w:rPr>
          <w:t xml:space="preserve"> z </w:t>
        </w:r>
        <w:r w:rsidR="00396596" w:rsidRPr="00233296">
          <w:rPr>
            <w:rStyle w:val="Hipercze"/>
            <w:noProof/>
            <w:szCs w:val="20"/>
          </w:rPr>
          <w:t>działaniami informacyjnymi</w:t>
        </w:r>
        <w:r w:rsidR="00E66B89" w:rsidRPr="00233296">
          <w:rPr>
            <w:rStyle w:val="Hipercze"/>
            <w:noProof/>
            <w:szCs w:val="20"/>
          </w:rPr>
          <w:t xml:space="preserve"> i </w:t>
        </w:r>
        <w:r w:rsidR="00396596" w:rsidRPr="00233296">
          <w:rPr>
            <w:rStyle w:val="Hipercze"/>
            <w:noProof/>
            <w:szCs w:val="20"/>
          </w:rPr>
          <w:t>promocyjnymi podejmowanymi przez Instytucję Organizującą Konkurs dotyczącymi zasad horyzontalnych?</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_Toc5311915 \h </w:instrText>
        </w:r>
        <w:r w:rsidR="00396596" w:rsidRPr="00233296">
          <w:rPr>
            <w:noProof/>
            <w:webHidden/>
            <w:szCs w:val="20"/>
          </w:rPr>
        </w:r>
        <w:r w:rsidR="00396596" w:rsidRPr="00233296">
          <w:rPr>
            <w:noProof/>
            <w:webHidden/>
            <w:szCs w:val="20"/>
          </w:rPr>
          <w:fldChar w:fldCharType="separate"/>
        </w:r>
        <w:r w:rsidR="00E667FD">
          <w:rPr>
            <w:noProof/>
            <w:webHidden/>
            <w:szCs w:val="20"/>
          </w:rPr>
          <w:t>395</w:t>
        </w:r>
        <w:r w:rsidR="00396596" w:rsidRPr="00233296">
          <w:rPr>
            <w:noProof/>
            <w:webHidden/>
            <w:szCs w:val="20"/>
          </w:rPr>
          <w:fldChar w:fldCharType="end"/>
        </w:r>
      </w:hyperlink>
    </w:p>
    <w:p w14:paraId="7B8216A2" w14:textId="77777777" w:rsidR="00396596" w:rsidRPr="00233296" w:rsidRDefault="00FA14F6">
      <w:pPr>
        <w:pStyle w:val="Spisilustracji"/>
        <w:tabs>
          <w:tab w:val="right" w:leader="dot" w:pos="9060"/>
        </w:tabs>
        <w:rPr>
          <w:noProof/>
          <w:szCs w:val="20"/>
        </w:rPr>
      </w:pPr>
      <w:hyperlink w:anchor="_Toc5311916" w:history="1">
        <w:r w:rsidR="00396596" w:rsidRPr="00233296">
          <w:rPr>
            <w:rStyle w:val="Hipercze"/>
            <w:noProof/>
            <w:szCs w:val="20"/>
          </w:rPr>
          <w:t>Wykres 50 Czy szkolenia/spotkania dla wnioskodawców przyczyniły się do podniesienia wiedzy</w:t>
        </w:r>
        <w:r w:rsidR="00E66B89" w:rsidRPr="00233296">
          <w:rPr>
            <w:rStyle w:val="Hipercze"/>
            <w:noProof/>
            <w:szCs w:val="20"/>
          </w:rPr>
          <w:t xml:space="preserve"> z </w:t>
        </w:r>
        <w:r w:rsidR="00396596" w:rsidRPr="00233296">
          <w:rPr>
            <w:rStyle w:val="Hipercze"/>
            <w:noProof/>
            <w:szCs w:val="20"/>
          </w:rPr>
          <w:t>zakresu zasad horyzontalnych i/lub praktycznych umiejętności wdrażania zasad horyzontalnych?</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_Toc5311916 \h </w:instrText>
        </w:r>
        <w:r w:rsidR="00396596" w:rsidRPr="00233296">
          <w:rPr>
            <w:noProof/>
            <w:webHidden/>
            <w:szCs w:val="20"/>
          </w:rPr>
        </w:r>
        <w:r w:rsidR="00396596" w:rsidRPr="00233296">
          <w:rPr>
            <w:noProof/>
            <w:webHidden/>
            <w:szCs w:val="20"/>
          </w:rPr>
          <w:fldChar w:fldCharType="separate"/>
        </w:r>
        <w:r w:rsidR="00E667FD">
          <w:rPr>
            <w:noProof/>
            <w:webHidden/>
            <w:szCs w:val="20"/>
          </w:rPr>
          <w:t>396</w:t>
        </w:r>
        <w:r w:rsidR="00396596" w:rsidRPr="00233296">
          <w:rPr>
            <w:noProof/>
            <w:webHidden/>
            <w:szCs w:val="20"/>
          </w:rPr>
          <w:fldChar w:fldCharType="end"/>
        </w:r>
      </w:hyperlink>
    </w:p>
    <w:p w14:paraId="48AB4966" w14:textId="77777777" w:rsidR="00396596" w:rsidRPr="00233296" w:rsidRDefault="00FA14F6">
      <w:pPr>
        <w:pStyle w:val="Spisilustracji"/>
        <w:tabs>
          <w:tab w:val="right" w:leader="dot" w:pos="9060"/>
        </w:tabs>
        <w:rPr>
          <w:noProof/>
          <w:szCs w:val="20"/>
        </w:rPr>
      </w:pPr>
      <w:hyperlink w:anchor="_Toc5311917" w:history="1">
        <w:r w:rsidR="00396596" w:rsidRPr="00233296">
          <w:rPr>
            <w:rStyle w:val="Hipercze"/>
            <w:noProof/>
            <w:szCs w:val="20"/>
          </w:rPr>
          <w:t>Wykres 51 Czy przy opracowywaniu projektu brano pod uwagę zasady horyzontalne?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_Toc5311917 \h </w:instrText>
        </w:r>
        <w:r w:rsidR="00396596" w:rsidRPr="00233296">
          <w:rPr>
            <w:noProof/>
            <w:webHidden/>
            <w:szCs w:val="20"/>
          </w:rPr>
        </w:r>
        <w:r w:rsidR="00396596" w:rsidRPr="00233296">
          <w:rPr>
            <w:noProof/>
            <w:webHidden/>
            <w:szCs w:val="20"/>
          </w:rPr>
          <w:fldChar w:fldCharType="separate"/>
        </w:r>
        <w:r w:rsidR="00E667FD">
          <w:rPr>
            <w:noProof/>
            <w:webHidden/>
            <w:szCs w:val="20"/>
          </w:rPr>
          <w:t>396</w:t>
        </w:r>
        <w:r w:rsidR="00396596" w:rsidRPr="00233296">
          <w:rPr>
            <w:noProof/>
            <w:webHidden/>
            <w:szCs w:val="20"/>
          </w:rPr>
          <w:fldChar w:fldCharType="end"/>
        </w:r>
      </w:hyperlink>
    </w:p>
    <w:p w14:paraId="6E2BB454" w14:textId="77777777" w:rsidR="00396596" w:rsidRPr="00233296" w:rsidRDefault="00FA14F6">
      <w:pPr>
        <w:pStyle w:val="Spisilustracji"/>
        <w:tabs>
          <w:tab w:val="right" w:leader="dot" w:pos="9060"/>
        </w:tabs>
        <w:rPr>
          <w:noProof/>
          <w:szCs w:val="20"/>
        </w:rPr>
      </w:pPr>
      <w:hyperlink w:anchor="_Toc5311918" w:history="1">
        <w:r w:rsidR="00396596" w:rsidRPr="00233296">
          <w:rPr>
            <w:rStyle w:val="Hipercze"/>
            <w:noProof/>
            <w:szCs w:val="20"/>
          </w:rPr>
          <w:t>Wykres 52 Ocena funkcjonujących</w:t>
        </w:r>
        <w:r w:rsidR="00E66B89" w:rsidRPr="00233296">
          <w:rPr>
            <w:rStyle w:val="Hipercze"/>
            <w:noProof/>
            <w:szCs w:val="20"/>
          </w:rPr>
          <w:t xml:space="preserve"> w </w:t>
        </w:r>
        <w:r w:rsidR="00396596" w:rsidRPr="00233296">
          <w:rPr>
            <w:rStyle w:val="Hipercze"/>
            <w:noProof/>
            <w:szCs w:val="20"/>
          </w:rPr>
          <w:t>RPO WZ 2014-2020 zasad</w:t>
        </w:r>
        <w:r w:rsidR="00E66B89" w:rsidRPr="00233296">
          <w:rPr>
            <w:rStyle w:val="Hipercze"/>
            <w:noProof/>
            <w:szCs w:val="20"/>
          </w:rPr>
          <w:t xml:space="preserve"> i </w:t>
        </w:r>
        <w:r w:rsidR="00396596" w:rsidRPr="00233296">
          <w:rPr>
            <w:rStyle w:val="Hipercze"/>
            <w:noProof/>
            <w:szCs w:val="20"/>
          </w:rPr>
          <w:t>wymogów związanych</w:t>
        </w:r>
        <w:r w:rsidR="00E66B89" w:rsidRPr="00233296">
          <w:rPr>
            <w:rStyle w:val="Hipercze"/>
            <w:noProof/>
            <w:szCs w:val="20"/>
          </w:rPr>
          <w:t xml:space="preserve"> z </w:t>
        </w:r>
        <w:r w:rsidR="00396596" w:rsidRPr="00233296">
          <w:rPr>
            <w:rStyle w:val="Hipercze"/>
            <w:noProof/>
            <w:szCs w:val="20"/>
          </w:rPr>
          <w:t>zasadami horyzontalnymi przez beneficjentów RPO WZ 2014-2020.</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_Toc5311918 \h </w:instrText>
        </w:r>
        <w:r w:rsidR="00396596" w:rsidRPr="00233296">
          <w:rPr>
            <w:noProof/>
            <w:webHidden/>
            <w:szCs w:val="20"/>
          </w:rPr>
        </w:r>
        <w:r w:rsidR="00396596" w:rsidRPr="00233296">
          <w:rPr>
            <w:noProof/>
            <w:webHidden/>
            <w:szCs w:val="20"/>
          </w:rPr>
          <w:fldChar w:fldCharType="separate"/>
        </w:r>
        <w:r w:rsidR="00E667FD">
          <w:rPr>
            <w:noProof/>
            <w:webHidden/>
            <w:szCs w:val="20"/>
          </w:rPr>
          <w:t>398</w:t>
        </w:r>
        <w:r w:rsidR="00396596" w:rsidRPr="00233296">
          <w:rPr>
            <w:noProof/>
            <w:webHidden/>
            <w:szCs w:val="20"/>
          </w:rPr>
          <w:fldChar w:fldCharType="end"/>
        </w:r>
      </w:hyperlink>
    </w:p>
    <w:p w14:paraId="1DB1F866" w14:textId="77777777" w:rsidR="00396596" w:rsidRPr="00233296" w:rsidRDefault="00FA14F6">
      <w:pPr>
        <w:pStyle w:val="Spisilustracji"/>
        <w:tabs>
          <w:tab w:val="right" w:leader="dot" w:pos="9060"/>
        </w:tabs>
        <w:rPr>
          <w:noProof/>
          <w:szCs w:val="20"/>
        </w:rPr>
      </w:pPr>
      <w:hyperlink w:anchor="_Toc5311919" w:history="1">
        <w:r w:rsidR="00396596" w:rsidRPr="00233296">
          <w:rPr>
            <w:rStyle w:val="Hipercze"/>
            <w:noProof/>
            <w:szCs w:val="20"/>
          </w:rPr>
          <w:t>Wykres 53 Ocena wpływu zasad horyzontalnych na realizację projektów przez beneficjentów RPO WZ 2014-2020.</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_Toc5311919 \h </w:instrText>
        </w:r>
        <w:r w:rsidR="00396596" w:rsidRPr="00233296">
          <w:rPr>
            <w:noProof/>
            <w:webHidden/>
            <w:szCs w:val="20"/>
          </w:rPr>
        </w:r>
        <w:r w:rsidR="00396596" w:rsidRPr="00233296">
          <w:rPr>
            <w:noProof/>
            <w:webHidden/>
            <w:szCs w:val="20"/>
          </w:rPr>
          <w:fldChar w:fldCharType="separate"/>
        </w:r>
        <w:r w:rsidR="00E667FD">
          <w:rPr>
            <w:noProof/>
            <w:webHidden/>
            <w:szCs w:val="20"/>
          </w:rPr>
          <w:t>400</w:t>
        </w:r>
        <w:r w:rsidR="00396596" w:rsidRPr="00233296">
          <w:rPr>
            <w:noProof/>
            <w:webHidden/>
            <w:szCs w:val="20"/>
          </w:rPr>
          <w:fldChar w:fldCharType="end"/>
        </w:r>
      </w:hyperlink>
    </w:p>
    <w:p w14:paraId="4F931A86" w14:textId="77777777" w:rsidR="00396596" w:rsidRPr="00233296" w:rsidRDefault="00FA14F6">
      <w:pPr>
        <w:pStyle w:val="Spisilustracji"/>
        <w:tabs>
          <w:tab w:val="right" w:leader="dot" w:pos="9060"/>
        </w:tabs>
        <w:rPr>
          <w:noProof/>
          <w:szCs w:val="20"/>
        </w:rPr>
      </w:pPr>
      <w:hyperlink w:anchor="_Toc5311920" w:history="1">
        <w:r w:rsidR="00396596" w:rsidRPr="00233296">
          <w:rPr>
            <w:rStyle w:val="Hipercze"/>
            <w:noProof/>
            <w:szCs w:val="20"/>
          </w:rPr>
          <w:t>Wykres 54.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zatrudnienie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_Toc5311920 \h </w:instrText>
        </w:r>
        <w:r w:rsidR="00396596" w:rsidRPr="00233296">
          <w:rPr>
            <w:noProof/>
            <w:webHidden/>
            <w:szCs w:val="20"/>
          </w:rPr>
        </w:r>
        <w:r w:rsidR="00396596" w:rsidRPr="00233296">
          <w:rPr>
            <w:noProof/>
            <w:webHidden/>
            <w:szCs w:val="20"/>
          </w:rPr>
          <w:fldChar w:fldCharType="separate"/>
        </w:r>
        <w:r w:rsidR="00E667FD">
          <w:rPr>
            <w:noProof/>
            <w:webHidden/>
            <w:szCs w:val="20"/>
          </w:rPr>
          <w:t>404</w:t>
        </w:r>
        <w:r w:rsidR="00396596" w:rsidRPr="00233296">
          <w:rPr>
            <w:noProof/>
            <w:webHidden/>
            <w:szCs w:val="20"/>
          </w:rPr>
          <w:fldChar w:fldCharType="end"/>
        </w:r>
      </w:hyperlink>
    </w:p>
    <w:p w14:paraId="596D6CBB" w14:textId="77777777" w:rsidR="00396596" w:rsidRPr="00233296" w:rsidRDefault="00FA14F6">
      <w:pPr>
        <w:pStyle w:val="Spisilustracji"/>
        <w:tabs>
          <w:tab w:val="right" w:leader="dot" w:pos="9060"/>
        </w:tabs>
        <w:rPr>
          <w:noProof/>
          <w:szCs w:val="20"/>
        </w:rPr>
      </w:pPr>
      <w:hyperlink w:anchor="_Toc5311921" w:history="1">
        <w:r w:rsidR="00396596" w:rsidRPr="00233296">
          <w:rPr>
            <w:rStyle w:val="Hipercze"/>
            <w:noProof/>
            <w:szCs w:val="20"/>
          </w:rPr>
          <w:t>Wykres 55.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B+R</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_Toc5311921 \h </w:instrText>
        </w:r>
        <w:r w:rsidR="00396596" w:rsidRPr="00233296">
          <w:rPr>
            <w:noProof/>
            <w:webHidden/>
            <w:szCs w:val="20"/>
          </w:rPr>
        </w:r>
        <w:r w:rsidR="00396596" w:rsidRPr="00233296">
          <w:rPr>
            <w:noProof/>
            <w:webHidden/>
            <w:szCs w:val="20"/>
          </w:rPr>
          <w:fldChar w:fldCharType="separate"/>
        </w:r>
        <w:r w:rsidR="00E667FD">
          <w:rPr>
            <w:noProof/>
            <w:webHidden/>
            <w:szCs w:val="20"/>
          </w:rPr>
          <w:t>405</w:t>
        </w:r>
        <w:r w:rsidR="00396596" w:rsidRPr="00233296">
          <w:rPr>
            <w:noProof/>
            <w:webHidden/>
            <w:szCs w:val="20"/>
          </w:rPr>
          <w:fldChar w:fldCharType="end"/>
        </w:r>
      </w:hyperlink>
    </w:p>
    <w:p w14:paraId="55F12AE8" w14:textId="77777777" w:rsidR="00396596" w:rsidRPr="00233296" w:rsidRDefault="00FA14F6">
      <w:pPr>
        <w:pStyle w:val="Spisilustracji"/>
        <w:tabs>
          <w:tab w:val="right" w:leader="dot" w:pos="9060"/>
        </w:tabs>
        <w:rPr>
          <w:noProof/>
          <w:szCs w:val="20"/>
        </w:rPr>
      </w:pPr>
      <w:hyperlink w:anchor="_Toc5311922" w:history="1">
        <w:r w:rsidR="00396596" w:rsidRPr="00233296">
          <w:rPr>
            <w:rStyle w:val="Hipercze"/>
            <w:noProof/>
            <w:szCs w:val="20"/>
          </w:rPr>
          <w:t>Wykres 56.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gazy cieplarniane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_Toc5311922 \h </w:instrText>
        </w:r>
        <w:r w:rsidR="00396596" w:rsidRPr="00233296">
          <w:rPr>
            <w:noProof/>
            <w:webHidden/>
            <w:szCs w:val="20"/>
          </w:rPr>
        </w:r>
        <w:r w:rsidR="00396596" w:rsidRPr="00233296">
          <w:rPr>
            <w:noProof/>
            <w:webHidden/>
            <w:szCs w:val="20"/>
          </w:rPr>
          <w:fldChar w:fldCharType="separate"/>
        </w:r>
        <w:r w:rsidR="00E667FD">
          <w:rPr>
            <w:noProof/>
            <w:webHidden/>
            <w:szCs w:val="20"/>
          </w:rPr>
          <w:t>406</w:t>
        </w:r>
        <w:r w:rsidR="00396596" w:rsidRPr="00233296">
          <w:rPr>
            <w:noProof/>
            <w:webHidden/>
            <w:szCs w:val="20"/>
          </w:rPr>
          <w:fldChar w:fldCharType="end"/>
        </w:r>
      </w:hyperlink>
    </w:p>
    <w:p w14:paraId="2007F27B" w14:textId="77777777" w:rsidR="00396596" w:rsidRPr="00233296" w:rsidRDefault="00FA14F6">
      <w:pPr>
        <w:pStyle w:val="Spisilustracji"/>
        <w:tabs>
          <w:tab w:val="right" w:leader="dot" w:pos="9060"/>
        </w:tabs>
        <w:rPr>
          <w:noProof/>
          <w:szCs w:val="20"/>
        </w:rPr>
      </w:pPr>
      <w:hyperlink w:anchor="_Toc5311923" w:history="1">
        <w:r w:rsidR="00396596" w:rsidRPr="00233296">
          <w:rPr>
            <w:rStyle w:val="Hipercze"/>
            <w:noProof/>
            <w:szCs w:val="20"/>
          </w:rPr>
          <w:t>Wykres 57.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energia pierwotna</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_Toc5311923 \h </w:instrText>
        </w:r>
        <w:r w:rsidR="00396596" w:rsidRPr="00233296">
          <w:rPr>
            <w:noProof/>
            <w:webHidden/>
            <w:szCs w:val="20"/>
          </w:rPr>
        </w:r>
        <w:r w:rsidR="00396596" w:rsidRPr="00233296">
          <w:rPr>
            <w:noProof/>
            <w:webHidden/>
            <w:szCs w:val="20"/>
          </w:rPr>
          <w:fldChar w:fldCharType="separate"/>
        </w:r>
        <w:r w:rsidR="00E667FD">
          <w:rPr>
            <w:noProof/>
            <w:webHidden/>
            <w:szCs w:val="20"/>
          </w:rPr>
          <w:t>406</w:t>
        </w:r>
        <w:r w:rsidR="00396596" w:rsidRPr="00233296">
          <w:rPr>
            <w:noProof/>
            <w:webHidden/>
            <w:szCs w:val="20"/>
          </w:rPr>
          <w:fldChar w:fldCharType="end"/>
        </w:r>
      </w:hyperlink>
    </w:p>
    <w:p w14:paraId="6BEE173F" w14:textId="77777777" w:rsidR="00396596" w:rsidRPr="00233296" w:rsidRDefault="00FA14F6">
      <w:pPr>
        <w:pStyle w:val="Spisilustracji"/>
        <w:tabs>
          <w:tab w:val="right" w:leader="dot" w:pos="9060"/>
        </w:tabs>
        <w:rPr>
          <w:noProof/>
          <w:szCs w:val="20"/>
        </w:rPr>
      </w:pPr>
      <w:hyperlink w:anchor="_Toc5311924" w:history="1">
        <w:r w:rsidR="00396596" w:rsidRPr="00233296">
          <w:rPr>
            <w:rStyle w:val="Hipercze"/>
            <w:noProof/>
            <w:szCs w:val="20"/>
          </w:rPr>
          <w:t>Wykres 58.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młodzież</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_Toc5311924 \h </w:instrText>
        </w:r>
        <w:r w:rsidR="00396596" w:rsidRPr="00233296">
          <w:rPr>
            <w:noProof/>
            <w:webHidden/>
            <w:szCs w:val="20"/>
          </w:rPr>
        </w:r>
        <w:r w:rsidR="00396596" w:rsidRPr="00233296">
          <w:rPr>
            <w:noProof/>
            <w:webHidden/>
            <w:szCs w:val="20"/>
          </w:rPr>
          <w:fldChar w:fldCharType="separate"/>
        </w:r>
        <w:r w:rsidR="00E667FD">
          <w:rPr>
            <w:noProof/>
            <w:webHidden/>
            <w:szCs w:val="20"/>
          </w:rPr>
          <w:t>407</w:t>
        </w:r>
        <w:r w:rsidR="00396596" w:rsidRPr="00233296">
          <w:rPr>
            <w:noProof/>
            <w:webHidden/>
            <w:szCs w:val="20"/>
          </w:rPr>
          <w:fldChar w:fldCharType="end"/>
        </w:r>
      </w:hyperlink>
    </w:p>
    <w:p w14:paraId="27FEBF6E" w14:textId="77777777" w:rsidR="00396596" w:rsidRPr="00233296" w:rsidRDefault="00FA14F6">
      <w:pPr>
        <w:pStyle w:val="Spisilustracji"/>
        <w:tabs>
          <w:tab w:val="right" w:leader="dot" w:pos="9060"/>
        </w:tabs>
        <w:rPr>
          <w:noProof/>
          <w:szCs w:val="20"/>
        </w:rPr>
      </w:pPr>
      <w:hyperlink w:anchor="_Toc5311925" w:history="1">
        <w:r w:rsidR="00396596" w:rsidRPr="00233296">
          <w:rPr>
            <w:rStyle w:val="Hipercze"/>
            <w:noProof/>
            <w:szCs w:val="20"/>
          </w:rPr>
          <w:t>Wykres 59.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wykształcenie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_Toc5311925 \h </w:instrText>
        </w:r>
        <w:r w:rsidR="00396596" w:rsidRPr="00233296">
          <w:rPr>
            <w:noProof/>
            <w:webHidden/>
            <w:szCs w:val="20"/>
          </w:rPr>
        </w:r>
        <w:r w:rsidR="00396596" w:rsidRPr="00233296">
          <w:rPr>
            <w:noProof/>
            <w:webHidden/>
            <w:szCs w:val="20"/>
          </w:rPr>
          <w:fldChar w:fldCharType="separate"/>
        </w:r>
        <w:r w:rsidR="00E667FD">
          <w:rPr>
            <w:noProof/>
            <w:webHidden/>
            <w:szCs w:val="20"/>
          </w:rPr>
          <w:t>408</w:t>
        </w:r>
        <w:r w:rsidR="00396596" w:rsidRPr="00233296">
          <w:rPr>
            <w:noProof/>
            <w:webHidden/>
            <w:szCs w:val="20"/>
          </w:rPr>
          <w:fldChar w:fldCharType="end"/>
        </w:r>
      </w:hyperlink>
    </w:p>
    <w:p w14:paraId="73029608" w14:textId="77777777" w:rsidR="00396596" w:rsidRPr="00233296" w:rsidRDefault="00FA14F6">
      <w:pPr>
        <w:pStyle w:val="Spisilustracji"/>
        <w:tabs>
          <w:tab w:val="right" w:leader="dot" w:pos="9060"/>
        </w:tabs>
        <w:rPr>
          <w:noProof/>
          <w:szCs w:val="20"/>
        </w:rPr>
      </w:pPr>
      <w:hyperlink w:anchor="_Toc5311926" w:history="1">
        <w:r w:rsidR="00396596" w:rsidRPr="00233296">
          <w:rPr>
            <w:rStyle w:val="Hipercze"/>
            <w:noProof/>
            <w:szCs w:val="20"/>
          </w:rPr>
          <w:t>Wykres 60. Postęp województwa zachodniopomorskiego</w:t>
        </w:r>
        <w:r w:rsidR="00E66B89" w:rsidRPr="00233296">
          <w:rPr>
            <w:rStyle w:val="Hipercze"/>
            <w:noProof/>
            <w:szCs w:val="20"/>
          </w:rPr>
          <w:t xml:space="preserve"> w </w:t>
        </w:r>
        <w:r w:rsidR="00396596" w:rsidRPr="00233296">
          <w:rPr>
            <w:rStyle w:val="Hipercze"/>
            <w:noProof/>
            <w:szCs w:val="20"/>
          </w:rPr>
          <w:t>osiąganiu wskaźnika Strategii Europa 2020 do 2020 roku – ubóstwo</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_Toc5311926 \h </w:instrText>
        </w:r>
        <w:r w:rsidR="00396596" w:rsidRPr="00233296">
          <w:rPr>
            <w:noProof/>
            <w:webHidden/>
            <w:szCs w:val="20"/>
          </w:rPr>
        </w:r>
        <w:r w:rsidR="00396596" w:rsidRPr="00233296">
          <w:rPr>
            <w:noProof/>
            <w:webHidden/>
            <w:szCs w:val="20"/>
          </w:rPr>
          <w:fldChar w:fldCharType="separate"/>
        </w:r>
        <w:r w:rsidR="00E667FD">
          <w:rPr>
            <w:noProof/>
            <w:webHidden/>
            <w:szCs w:val="20"/>
          </w:rPr>
          <w:t>408</w:t>
        </w:r>
        <w:r w:rsidR="00396596" w:rsidRPr="00233296">
          <w:rPr>
            <w:noProof/>
            <w:webHidden/>
            <w:szCs w:val="20"/>
          </w:rPr>
          <w:fldChar w:fldCharType="end"/>
        </w:r>
      </w:hyperlink>
    </w:p>
    <w:p w14:paraId="45429E27" w14:textId="77777777" w:rsidR="00C010F3" w:rsidRPr="00396596" w:rsidRDefault="00B24CD8" w:rsidP="00C010F3">
      <w:pPr>
        <w:rPr>
          <w:szCs w:val="20"/>
        </w:rPr>
      </w:pPr>
      <w:r w:rsidRPr="00396596">
        <w:rPr>
          <w:szCs w:val="20"/>
        </w:rPr>
        <w:fldChar w:fldCharType="end"/>
      </w:r>
    </w:p>
    <w:p w14:paraId="27BA11B7" w14:textId="77777777" w:rsidR="00C010F3" w:rsidRPr="00801DB4" w:rsidRDefault="00C010F3" w:rsidP="00D45914">
      <w:pPr>
        <w:pStyle w:val="Nagwek2"/>
      </w:pPr>
      <w:bookmarkStart w:id="450" w:name="_Toc6523767"/>
      <w:r w:rsidRPr="00801DB4">
        <w:t>Spis rysunków</w:t>
      </w:r>
      <w:r w:rsidR="00E66B89">
        <w:t xml:space="preserve"> i </w:t>
      </w:r>
      <w:r w:rsidR="00F921F6">
        <w:t>map</w:t>
      </w:r>
      <w:bookmarkEnd w:id="450"/>
    </w:p>
    <w:p w14:paraId="28466143" w14:textId="77777777" w:rsidR="00396596" w:rsidRPr="00233296" w:rsidRDefault="00B24CD8">
      <w:pPr>
        <w:pStyle w:val="Spisilustracji"/>
        <w:tabs>
          <w:tab w:val="right" w:leader="dot" w:pos="9060"/>
        </w:tabs>
        <w:rPr>
          <w:rFonts w:ascii="Calibri" w:hAnsi="Calibri"/>
          <w:noProof/>
          <w:szCs w:val="20"/>
        </w:rPr>
      </w:pPr>
      <w:r w:rsidRPr="00233296">
        <w:rPr>
          <w:szCs w:val="20"/>
        </w:rPr>
        <w:fldChar w:fldCharType="begin"/>
      </w:r>
      <w:r w:rsidRPr="00233296">
        <w:rPr>
          <w:szCs w:val="20"/>
        </w:rPr>
        <w:instrText xml:space="preserve"> TOC \h \z \c "Rysunek" </w:instrText>
      </w:r>
      <w:r w:rsidRPr="00233296">
        <w:rPr>
          <w:szCs w:val="20"/>
        </w:rPr>
        <w:fldChar w:fldCharType="separate"/>
      </w:r>
      <w:hyperlink w:anchor="_Toc5311927" w:history="1">
        <w:r w:rsidR="00396596" w:rsidRPr="00233296">
          <w:rPr>
            <w:rStyle w:val="Hipercze"/>
            <w:noProof/>
            <w:szCs w:val="20"/>
          </w:rPr>
          <w:t>Rysunek 1 Średnia liczba dni potrzebnych na procedowanie wniosku</w:t>
        </w:r>
        <w:r w:rsidR="00E66B89" w:rsidRPr="00233296">
          <w:rPr>
            <w:rStyle w:val="Hipercze"/>
            <w:noProof/>
            <w:szCs w:val="20"/>
          </w:rPr>
          <w:t xml:space="preserve"> o </w:t>
        </w:r>
        <w:r w:rsidR="00396596" w:rsidRPr="00233296">
          <w:rPr>
            <w:rStyle w:val="Hipercze"/>
            <w:noProof/>
            <w:szCs w:val="20"/>
          </w:rPr>
          <w:t>dofinansowanie do podpisania umowy</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_Toc5311927 \h </w:instrText>
        </w:r>
        <w:r w:rsidR="00396596" w:rsidRPr="00233296">
          <w:rPr>
            <w:noProof/>
            <w:webHidden/>
            <w:szCs w:val="20"/>
          </w:rPr>
        </w:r>
        <w:r w:rsidR="00396596" w:rsidRPr="00233296">
          <w:rPr>
            <w:noProof/>
            <w:webHidden/>
            <w:szCs w:val="20"/>
          </w:rPr>
          <w:fldChar w:fldCharType="separate"/>
        </w:r>
        <w:r w:rsidR="00E667FD">
          <w:rPr>
            <w:noProof/>
            <w:webHidden/>
            <w:szCs w:val="20"/>
          </w:rPr>
          <w:t>380</w:t>
        </w:r>
        <w:r w:rsidR="00396596" w:rsidRPr="00233296">
          <w:rPr>
            <w:noProof/>
            <w:webHidden/>
            <w:szCs w:val="20"/>
          </w:rPr>
          <w:fldChar w:fldCharType="end"/>
        </w:r>
      </w:hyperlink>
    </w:p>
    <w:p w14:paraId="2F0E21A1" w14:textId="77777777" w:rsidR="00396596" w:rsidRPr="00233296" w:rsidRDefault="00FA14F6">
      <w:pPr>
        <w:pStyle w:val="Spisilustracji"/>
        <w:tabs>
          <w:tab w:val="right" w:leader="dot" w:pos="9060"/>
        </w:tabs>
        <w:rPr>
          <w:rFonts w:ascii="Calibri" w:hAnsi="Calibri"/>
          <w:noProof/>
          <w:szCs w:val="20"/>
        </w:rPr>
      </w:pPr>
      <w:hyperlink w:anchor="_Toc5311928" w:history="1">
        <w:r w:rsidR="00396596" w:rsidRPr="00233296">
          <w:rPr>
            <w:rStyle w:val="Hipercze"/>
            <w:noProof/>
            <w:szCs w:val="20"/>
          </w:rPr>
          <w:t>Rysunek 2 Czasy trwania etapów</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_Toc5311928 \h </w:instrText>
        </w:r>
        <w:r w:rsidR="00396596" w:rsidRPr="00233296">
          <w:rPr>
            <w:noProof/>
            <w:webHidden/>
            <w:szCs w:val="20"/>
          </w:rPr>
        </w:r>
        <w:r w:rsidR="00396596" w:rsidRPr="00233296">
          <w:rPr>
            <w:noProof/>
            <w:webHidden/>
            <w:szCs w:val="20"/>
          </w:rPr>
          <w:fldChar w:fldCharType="separate"/>
        </w:r>
        <w:r w:rsidR="00E667FD">
          <w:rPr>
            <w:noProof/>
            <w:webHidden/>
            <w:szCs w:val="20"/>
          </w:rPr>
          <w:t>381</w:t>
        </w:r>
        <w:r w:rsidR="00396596" w:rsidRPr="00233296">
          <w:rPr>
            <w:noProof/>
            <w:webHidden/>
            <w:szCs w:val="20"/>
          </w:rPr>
          <w:fldChar w:fldCharType="end"/>
        </w:r>
      </w:hyperlink>
    </w:p>
    <w:p w14:paraId="4C2CF29B" w14:textId="77777777" w:rsidR="00396596" w:rsidRPr="00233296" w:rsidRDefault="00FA14F6">
      <w:pPr>
        <w:pStyle w:val="Spisilustracji"/>
        <w:tabs>
          <w:tab w:val="right" w:leader="dot" w:pos="9060"/>
        </w:tabs>
        <w:rPr>
          <w:rFonts w:ascii="Calibri" w:hAnsi="Calibri"/>
          <w:noProof/>
          <w:szCs w:val="20"/>
        </w:rPr>
      </w:pPr>
      <w:hyperlink w:anchor="_Toc5311929" w:history="1">
        <w:r w:rsidR="00396596" w:rsidRPr="00233296">
          <w:rPr>
            <w:rStyle w:val="Hipercze"/>
            <w:noProof/>
            <w:szCs w:val="20"/>
          </w:rPr>
          <w:t>Rysunek 3 Czy opisanie we wniosku zgodności projektu</w:t>
        </w:r>
        <w:r w:rsidR="00E66B89" w:rsidRPr="00233296">
          <w:rPr>
            <w:rStyle w:val="Hipercze"/>
            <w:noProof/>
            <w:szCs w:val="20"/>
          </w:rPr>
          <w:t xml:space="preserve"> z </w:t>
        </w:r>
        <w:r w:rsidR="00396596" w:rsidRPr="00233296">
          <w:rPr>
            <w:rStyle w:val="Hipercze"/>
            <w:noProof/>
            <w:szCs w:val="20"/>
          </w:rPr>
          <w:t>zasadami horyzontalnymi sprawiło trudność beneficjentom RPO WZ 2014-2020?</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_Toc5311929 \h </w:instrText>
        </w:r>
        <w:r w:rsidR="00396596" w:rsidRPr="00233296">
          <w:rPr>
            <w:noProof/>
            <w:webHidden/>
            <w:szCs w:val="20"/>
          </w:rPr>
        </w:r>
        <w:r w:rsidR="00396596" w:rsidRPr="00233296">
          <w:rPr>
            <w:noProof/>
            <w:webHidden/>
            <w:szCs w:val="20"/>
          </w:rPr>
          <w:fldChar w:fldCharType="separate"/>
        </w:r>
        <w:r w:rsidR="00E667FD">
          <w:rPr>
            <w:noProof/>
            <w:webHidden/>
            <w:szCs w:val="20"/>
          </w:rPr>
          <w:t>397</w:t>
        </w:r>
        <w:r w:rsidR="00396596" w:rsidRPr="00233296">
          <w:rPr>
            <w:noProof/>
            <w:webHidden/>
            <w:szCs w:val="20"/>
          </w:rPr>
          <w:fldChar w:fldCharType="end"/>
        </w:r>
      </w:hyperlink>
    </w:p>
    <w:p w14:paraId="73640B55" w14:textId="77777777" w:rsidR="00396596" w:rsidRPr="00233296" w:rsidRDefault="00FA14F6">
      <w:pPr>
        <w:pStyle w:val="Spisilustracji"/>
        <w:tabs>
          <w:tab w:val="right" w:leader="dot" w:pos="9060"/>
        </w:tabs>
        <w:rPr>
          <w:rFonts w:ascii="Calibri" w:hAnsi="Calibri"/>
          <w:noProof/>
          <w:szCs w:val="20"/>
        </w:rPr>
      </w:pPr>
      <w:hyperlink w:anchor="_Toc5311930" w:history="1">
        <w:r w:rsidR="00396596" w:rsidRPr="00233296">
          <w:rPr>
            <w:rStyle w:val="Hipercze"/>
            <w:noProof/>
            <w:szCs w:val="20"/>
          </w:rPr>
          <w:t>Rysunek 4 Czy wystąpiły trudności, ograniczenia</w:t>
        </w:r>
        <w:r w:rsidR="00E66B89" w:rsidRPr="00233296">
          <w:rPr>
            <w:rStyle w:val="Hipercze"/>
            <w:noProof/>
            <w:szCs w:val="20"/>
          </w:rPr>
          <w:t xml:space="preserve"> w </w:t>
        </w:r>
        <w:r w:rsidR="00396596" w:rsidRPr="00233296">
          <w:rPr>
            <w:rStyle w:val="Hipercze"/>
            <w:noProof/>
            <w:szCs w:val="20"/>
          </w:rPr>
          <w:t>związku</w:t>
        </w:r>
        <w:r w:rsidR="00E66B89" w:rsidRPr="00233296">
          <w:rPr>
            <w:rStyle w:val="Hipercze"/>
            <w:noProof/>
            <w:szCs w:val="20"/>
          </w:rPr>
          <w:t xml:space="preserve"> z </w:t>
        </w:r>
        <w:r w:rsidR="00396596" w:rsidRPr="00233296">
          <w:rPr>
            <w:rStyle w:val="Hipercze"/>
            <w:noProof/>
            <w:szCs w:val="20"/>
          </w:rPr>
          <w:t>realizacją zasad horyzontalnych</w:t>
        </w:r>
        <w:r w:rsidR="00E66B89" w:rsidRPr="00233296">
          <w:rPr>
            <w:rStyle w:val="Hipercze"/>
            <w:noProof/>
            <w:szCs w:val="20"/>
          </w:rPr>
          <w:t xml:space="preserve"> w </w:t>
        </w:r>
        <w:r w:rsidR="00396596" w:rsidRPr="00233296">
          <w:rPr>
            <w:rStyle w:val="Hipercze"/>
            <w:noProof/>
            <w:szCs w:val="20"/>
          </w:rPr>
          <w:t>projekcie?</w:t>
        </w:r>
        <w:r w:rsidR="00396596" w:rsidRPr="00233296">
          <w:rPr>
            <w:noProof/>
            <w:webHidden/>
            <w:szCs w:val="20"/>
          </w:rPr>
          <w:tab/>
        </w:r>
        <w:r w:rsidR="00396596" w:rsidRPr="00233296">
          <w:rPr>
            <w:noProof/>
            <w:webHidden/>
            <w:szCs w:val="20"/>
          </w:rPr>
          <w:fldChar w:fldCharType="begin"/>
        </w:r>
        <w:r w:rsidR="00396596" w:rsidRPr="00233296">
          <w:rPr>
            <w:noProof/>
            <w:webHidden/>
            <w:szCs w:val="20"/>
          </w:rPr>
          <w:instrText xml:space="preserve"> PAGEREF _Toc5311930 \h </w:instrText>
        </w:r>
        <w:r w:rsidR="00396596" w:rsidRPr="00233296">
          <w:rPr>
            <w:noProof/>
            <w:webHidden/>
            <w:szCs w:val="20"/>
          </w:rPr>
        </w:r>
        <w:r w:rsidR="00396596" w:rsidRPr="00233296">
          <w:rPr>
            <w:noProof/>
            <w:webHidden/>
            <w:szCs w:val="20"/>
          </w:rPr>
          <w:fldChar w:fldCharType="separate"/>
        </w:r>
        <w:r w:rsidR="00E667FD">
          <w:rPr>
            <w:noProof/>
            <w:webHidden/>
            <w:szCs w:val="20"/>
          </w:rPr>
          <w:t>399</w:t>
        </w:r>
        <w:r w:rsidR="00396596" w:rsidRPr="00233296">
          <w:rPr>
            <w:noProof/>
            <w:webHidden/>
            <w:szCs w:val="20"/>
          </w:rPr>
          <w:fldChar w:fldCharType="end"/>
        </w:r>
      </w:hyperlink>
    </w:p>
    <w:p w14:paraId="6013B2B7" w14:textId="77777777" w:rsidR="00F921F6" w:rsidRPr="00233296" w:rsidRDefault="00B24CD8" w:rsidP="00C010F3">
      <w:pPr>
        <w:rPr>
          <w:noProof/>
          <w:szCs w:val="20"/>
        </w:rPr>
      </w:pPr>
      <w:r w:rsidRPr="00233296">
        <w:rPr>
          <w:szCs w:val="20"/>
        </w:rPr>
        <w:fldChar w:fldCharType="end"/>
      </w:r>
      <w:r w:rsidRPr="00233296">
        <w:rPr>
          <w:szCs w:val="20"/>
        </w:rPr>
        <w:t xml:space="preserve"> </w:t>
      </w:r>
      <w:r w:rsidR="00F921F6" w:rsidRPr="00233296">
        <w:rPr>
          <w:szCs w:val="20"/>
        </w:rPr>
        <w:fldChar w:fldCharType="begin"/>
      </w:r>
      <w:r w:rsidR="00F921F6" w:rsidRPr="00233296">
        <w:rPr>
          <w:szCs w:val="20"/>
        </w:rPr>
        <w:instrText xml:space="preserve"> TOC \h \z \c "Mapa" </w:instrText>
      </w:r>
      <w:r w:rsidR="00F921F6" w:rsidRPr="00233296">
        <w:rPr>
          <w:szCs w:val="20"/>
        </w:rPr>
        <w:fldChar w:fldCharType="separate"/>
      </w:r>
    </w:p>
    <w:p w14:paraId="6EBBF39D" w14:textId="77777777" w:rsidR="00F921F6" w:rsidRPr="00233296" w:rsidRDefault="00FA14F6">
      <w:pPr>
        <w:pStyle w:val="Spisilustracji"/>
        <w:tabs>
          <w:tab w:val="right" w:leader="dot" w:pos="9060"/>
        </w:tabs>
        <w:rPr>
          <w:rFonts w:ascii="Calibri" w:hAnsi="Calibri"/>
          <w:noProof/>
          <w:szCs w:val="20"/>
        </w:rPr>
      </w:pPr>
      <w:hyperlink w:anchor="_Toc6521450" w:history="1">
        <w:r w:rsidR="00F921F6" w:rsidRPr="00233296">
          <w:rPr>
            <w:rStyle w:val="Hipercze"/>
            <w:noProof/>
            <w:szCs w:val="20"/>
          </w:rPr>
          <w:t>Mapa 1 Wartość ogółem projektów RPO WZ 2014-2020 per capita –</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zaznaczeniem obszarów ZIT oraz KS</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_Toc6521450 \h </w:instrText>
        </w:r>
        <w:r w:rsidR="00F921F6" w:rsidRPr="00233296">
          <w:rPr>
            <w:noProof/>
            <w:webHidden/>
            <w:szCs w:val="20"/>
          </w:rPr>
        </w:r>
        <w:r w:rsidR="00F921F6" w:rsidRPr="00233296">
          <w:rPr>
            <w:noProof/>
            <w:webHidden/>
            <w:szCs w:val="20"/>
          </w:rPr>
          <w:fldChar w:fldCharType="separate"/>
        </w:r>
        <w:r w:rsidR="00E667FD">
          <w:rPr>
            <w:noProof/>
            <w:webHidden/>
            <w:szCs w:val="20"/>
          </w:rPr>
          <w:t>319</w:t>
        </w:r>
        <w:r w:rsidR="00F921F6" w:rsidRPr="00233296">
          <w:rPr>
            <w:noProof/>
            <w:webHidden/>
            <w:szCs w:val="20"/>
          </w:rPr>
          <w:fldChar w:fldCharType="end"/>
        </w:r>
      </w:hyperlink>
    </w:p>
    <w:p w14:paraId="3B7DC5C5" w14:textId="77777777" w:rsidR="00F921F6" w:rsidRPr="00233296" w:rsidRDefault="00FA14F6">
      <w:pPr>
        <w:pStyle w:val="Spisilustracji"/>
        <w:tabs>
          <w:tab w:val="right" w:leader="dot" w:pos="9060"/>
        </w:tabs>
        <w:rPr>
          <w:rFonts w:ascii="Calibri" w:hAnsi="Calibri"/>
          <w:noProof/>
          <w:szCs w:val="20"/>
        </w:rPr>
      </w:pPr>
      <w:hyperlink w:anchor="_Toc6521451" w:history="1">
        <w:r w:rsidR="00F921F6" w:rsidRPr="00233296">
          <w:rPr>
            <w:rStyle w:val="Hipercze"/>
            <w:noProof/>
            <w:szCs w:val="20"/>
          </w:rPr>
          <w:t>Mapa 2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3a</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_Toc6521451 \h </w:instrText>
        </w:r>
        <w:r w:rsidR="00F921F6" w:rsidRPr="00233296">
          <w:rPr>
            <w:noProof/>
            <w:webHidden/>
            <w:szCs w:val="20"/>
          </w:rPr>
        </w:r>
        <w:r w:rsidR="00F921F6" w:rsidRPr="00233296">
          <w:rPr>
            <w:noProof/>
            <w:webHidden/>
            <w:szCs w:val="20"/>
          </w:rPr>
          <w:fldChar w:fldCharType="separate"/>
        </w:r>
        <w:r w:rsidR="00E667FD">
          <w:rPr>
            <w:noProof/>
            <w:webHidden/>
            <w:szCs w:val="20"/>
          </w:rPr>
          <w:t>321</w:t>
        </w:r>
        <w:r w:rsidR="00F921F6" w:rsidRPr="00233296">
          <w:rPr>
            <w:noProof/>
            <w:webHidden/>
            <w:szCs w:val="20"/>
          </w:rPr>
          <w:fldChar w:fldCharType="end"/>
        </w:r>
      </w:hyperlink>
    </w:p>
    <w:p w14:paraId="6318FA98" w14:textId="77777777" w:rsidR="00F921F6" w:rsidRPr="00233296" w:rsidRDefault="00FA14F6">
      <w:pPr>
        <w:pStyle w:val="Spisilustracji"/>
        <w:tabs>
          <w:tab w:val="right" w:leader="dot" w:pos="9060"/>
        </w:tabs>
        <w:rPr>
          <w:rFonts w:ascii="Calibri" w:hAnsi="Calibri"/>
          <w:noProof/>
          <w:szCs w:val="20"/>
        </w:rPr>
      </w:pPr>
      <w:hyperlink w:anchor="_Toc6521452" w:history="1">
        <w:r w:rsidR="00F921F6" w:rsidRPr="00233296">
          <w:rPr>
            <w:rStyle w:val="Hipercze"/>
            <w:noProof/>
            <w:szCs w:val="20"/>
          </w:rPr>
          <w:t>Mapa 3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4c</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_Toc6521452 \h </w:instrText>
        </w:r>
        <w:r w:rsidR="00F921F6" w:rsidRPr="00233296">
          <w:rPr>
            <w:noProof/>
            <w:webHidden/>
            <w:szCs w:val="20"/>
          </w:rPr>
        </w:r>
        <w:r w:rsidR="00F921F6" w:rsidRPr="00233296">
          <w:rPr>
            <w:noProof/>
            <w:webHidden/>
            <w:szCs w:val="20"/>
          </w:rPr>
          <w:fldChar w:fldCharType="separate"/>
        </w:r>
        <w:r w:rsidR="00E667FD">
          <w:rPr>
            <w:noProof/>
            <w:webHidden/>
            <w:szCs w:val="20"/>
          </w:rPr>
          <w:t>326</w:t>
        </w:r>
        <w:r w:rsidR="00F921F6" w:rsidRPr="00233296">
          <w:rPr>
            <w:noProof/>
            <w:webHidden/>
            <w:szCs w:val="20"/>
          </w:rPr>
          <w:fldChar w:fldCharType="end"/>
        </w:r>
      </w:hyperlink>
    </w:p>
    <w:p w14:paraId="505285DD" w14:textId="77777777" w:rsidR="00F921F6" w:rsidRPr="00233296" w:rsidRDefault="00FA14F6">
      <w:pPr>
        <w:pStyle w:val="Spisilustracji"/>
        <w:tabs>
          <w:tab w:val="right" w:leader="dot" w:pos="9060"/>
        </w:tabs>
        <w:rPr>
          <w:rFonts w:ascii="Calibri" w:hAnsi="Calibri"/>
          <w:noProof/>
          <w:szCs w:val="20"/>
        </w:rPr>
      </w:pPr>
      <w:hyperlink w:anchor="_Toc6521453" w:history="1">
        <w:r w:rsidR="00F921F6" w:rsidRPr="00233296">
          <w:rPr>
            <w:rStyle w:val="Hipercze"/>
            <w:noProof/>
            <w:szCs w:val="20"/>
          </w:rPr>
          <w:t>Mapa 4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4e</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_Toc6521453 \h </w:instrText>
        </w:r>
        <w:r w:rsidR="00F921F6" w:rsidRPr="00233296">
          <w:rPr>
            <w:noProof/>
            <w:webHidden/>
            <w:szCs w:val="20"/>
          </w:rPr>
        </w:r>
        <w:r w:rsidR="00F921F6" w:rsidRPr="00233296">
          <w:rPr>
            <w:noProof/>
            <w:webHidden/>
            <w:szCs w:val="20"/>
          </w:rPr>
          <w:fldChar w:fldCharType="separate"/>
        </w:r>
        <w:r w:rsidR="00E667FD">
          <w:rPr>
            <w:noProof/>
            <w:webHidden/>
            <w:szCs w:val="20"/>
          </w:rPr>
          <w:t>331</w:t>
        </w:r>
        <w:r w:rsidR="00F921F6" w:rsidRPr="00233296">
          <w:rPr>
            <w:noProof/>
            <w:webHidden/>
            <w:szCs w:val="20"/>
          </w:rPr>
          <w:fldChar w:fldCharType="end"/>
        </w:r>
      </w:hyperlink>
    </w:p>
    <w:p w14:paraId="08E657AA" w14:textId="77777777" w:rsidR="00F921F6" w:rsidRPr="00233296" w:rsidRDefault="00FA14F6">
      <w:pPr>
        <w:pStyle w:val="Spisilustracji"/>
        <w:tabs>
          <w:tab w:val="right" w:leader="dot" w:pos="9060"/>
        </w:tabs>
        <w:rPr>
          <w:rFonts w:ascii="Calibri" w:hAnsi="Calibri"/>
          <w:noProof/>
          <w:szCs w:val="20"/>
        </w:rPr>
      </w:pPr>
      <w:hyperlink w:anchor="_Toc6521454" w:history="1">
        <w:r w:rsidR="00F921F6" w:rsidRPr="00233296">
          <w:rPr>
            <w:rStyle w:val="Hipercze"/>
            <w:noProof/>
            <w:szCs w:val="20"/>
          </w:rPr>
          <w:t>Mapa 5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7b</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_Toc6521454 \h </w:instrText>
        </w:r>
        <w:r w:rsidR="00F921F6" w:rsidRPr="00233296">
          <w:rPr>
            <w:noProof/>
            <w:webHidden/>
            <w:szCs w:val="20"/>
          </w:rPr>
        </w:r>
        <w:r w:rsidR="00F921F6" w:rsidRPr="00233296">
          <w:rPr>
            <w:noProof/>
            <w:webHidden/>
            <w:szCs w:val="20"/>
          </w:rPr>
          <w:fldChar w:fldCharType="separate"/>
        </w:r>
        <w:r w:rsidR="00E667FD">
          <w:rPr>
            <w:noProof/>
            <w:webHidden/>
            <w:szCs w:val="20"/>
          </w:rPr>
          <w:t>336</w:t>
        </w:r>
        <w:r w:rsidR="00F921F6" w:rsidRPr="00233296">
          <w:rPr>
            <w:noProof/>
            <w:webHidden/>
            <w:szCs w:val="20"/>
          </w:rPr>
          <w:fldChar w:fldCharType="end"/>
        </w:r>
      </w:hyperlink>
    </w:p>
    <w:p w14:paraId="07BDC936" w14:textId="77777777" w:rsidR="00F921F6" w:rsidRPr="00233296" w:rsidRDefault="00FA14F6">
      <w:pPr>
        <w:pStyle w:val="Spisilustracji"/>
        <w:tabs>
          <w:tab w:val="right" w:leader="dot" w:pos="9060"/>
        </w:tabs>
        <w:rPr>
          <w:rFonts w:ascii="Calibri" w:hAnsi="Calibri"/>
          <w:noProof/>
          <w:szCs w:val="20"/>
        </w:rPr>
      </w:pPr>
      <w:hyperlink w:anchor="_Toc6521455" w:history="1">
        <w:r w:rsidR="00F921F6" w:rsidRPr="00233296">
          <w:rPr>
            <w:rStyle w:val="Hipercze"/>
            <w:noProof/>
            <w:szCs w:val="20"/>
          </w:rPr>
          <w:t>Mapa 6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8iv</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_Toc6521455 \h </w:instrText>
        </w:r>
        <w:r w:rsidR="00F921F6" w:rsidRPr="00233296">
          <w:rPr>
            <w:noProof/>
            <w:webHidden/>
            <w:szCs w:val="20"/>
          </w:rPr>
        </w:r>
        <w:r w:rsidR="00F921F6" w:rsidRPr="00233296">
          <w:rPr>
            <w:noProof/>
            <w:webHidden/>
            <w:szCs w:val="20"/>
          </w:rPr>
          <w:fldChar w:fldCharType="separate"/>
        </w:r>
        <w:r w:rsidR="00E667FD">
          <w:rPr>
            <w:noProof/>
            <w:webHidden/>
            <w:szCs w:val="20"/>
          </w:rPr>
          <w:t>339</w:t>
        </w:r>
        <w:r w:rsidR="00F921F6" w:rsidRPr="00233296">
          <w:rPr>
            <w:noProof/>
            <w:webHidden/>
            <w:szCs w:val="20"/>
          </w:rPr>
          <w:fldChar w:fldCharType="end"/>
        </w:r>
      </w:hyperlink>
    </w:p>
    <w:p w14:paraId="16DCD5CA" w14:textId="77777777" w:rsidR="00F921F6" w:rsidRPr="00233296" w:rsidRDefault="00FA14F6">
      <w:pPr>
        <w:pStyle w:val="Spisilustracji"/>
        <w:tabs>
          <w:tab w:val="right" w:leader="dot" w:pos="9060"/>
        </w:tabs>
        <w:rPr>
          <w:rFonts w:ascii="Calibri" w:hAnsi="Calibri"/>
          <w:noProof/>
          <w:szCs w:val="20"/>
        </w:rPr>
      </w:pPr>
      <w:hyperlink w:anchor="_Toc6521456" w:history="1">
        <w:r w:rsidR="00F921F6" w:rsidRPr="00233296">
          <w:rPr>
            <w:rStyle w:val="Hipercze"/>
            <w:noProof/>
            <w:szCs w:val="20"/>
          </w:rPr>
          <w:t>Mapa 7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10i</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_Toc6521456 \h </w:instrText>
        </w:r>
        <w:r w:rsidR="00F921F6" w:rsidRPr="00233296">
          <w:rPr>
            <w:noProof/>
            <w:webHidden/>
            <w:szCs w:val="20"/>
          </w:rPr>
        </w:r>
        <w:r w:rsidR="00F921F6" w:rsidRPr="00233296">
          <w:rPr>
            <w:noProof/>
            <w:webHidden/>
            <w:szCs w:val="20"/>
          </w:rPr>
          <w:fldChar w:fldCharType="separate"/>
        </w:r>
        <w:r w:rsidR="00E667FD">
          <w:rPr>
            <w:noProof/>
            <w:webHidden/>
            <w:szCs w:val="20"/>
          </w:rPr>
          <w:t>345</w:t>
        </w:r>
        <w:r w:rsidR="00F921F6" w:rsidRPr="00233296">
          <w:rPr>
            <w:noProof/>
            <w:webHidden/>
            <w:szCs w:val="20"/>
          </w:rPr>
          <w:fldChar w:fldCharType="end"/>
        </w:r>
      </w:hyperlink>
    </w:p>
    <w:p w14:paraId="31027090" w14:textId="77777777" w:rsidR="00F921F6" w:rsidRPr="00233296" w:rsidRDefault="00FA14F6">
      <w:pPr>
        <w:pStyle w:val="Spisilustracji"/>
        <w:tabs>
          <w:tab w:val="right" w:leader="dot" w:pos="9060"/>
        </w:tabs>
        <w:rPr>
          <w:rFonts w:ascii="Calibri" w:hAnsi="Calibri"/>
          <w:noProof/>
          <w:szCs w:val="20"/>
        </w:rPr>
      </w:pPr>
      <w:hyperlink w:anchor="_Toc6521457" w:history="1">
        <w:r w:rsidR="00F921F6" w:rsidRPr="00233296">
          <w:rPr>
            <w:rStyle w:val="Hipercze"/>
            <w:noProof/>
            <w:szCs w:val="20"/>
          </w:rPr>
          <w:t>Mapa 8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10iv</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_Toc6521457 \h </w:instrText>
        </w:r>
        <w:r w:rsidR="00F921F6" w:rsidRPr="00233296">
          <w:rPr>
            <w:noProof/>
            <w:webHidden/>
            <w:szCs w:val="20"/>
          </w:rPr>
        </w:r>
        <w:r w:rsidR="00F921F6" w:rsidRPr="00233296">
          <w:rPr>
            <w:noProof/>
            <w:webHidden/>
            <w:szCs w:val="20"/>
          </w:rPr>
          <w:fldChar w:fldCharType="separate"/>
        </w:r>
        <w:r w:rsidR="00E667FD">
          <w:rPr>
            <w:noProof/>
            <w:webHidden/>
            <w:szCs w:val="20"/>
          </w:rPr>
          <w:t>353</w:t>
        </w:r>
        <w:r w:rsidR="00F921F6" w:rsidRPr="00233296">
          <w:rPr>
            <w:noProof/>
            <w:webHidden/>
            <w:szCs w:val="20"/>
          </w:rPr>
          <w:fldChar w:fldCharType="end"/>
        </w:r>
      </w:hyperlink>
    </w:p>
    <w:p w14:paraId="45A51768" w14:textId="77777777" w:rsidR="00F921F6" w:rsidRPr="00233296" w:rsidRDefault="00FA14F6">
      <w:pPr>
        <w:pStyle w:val="Spisilustracji"/>
        <w:tabs>
          <w:tab w:val="right" w:leader="dot" w:pos="9060"/>
        </w:tabs>
        <w:rPr>
          <w:rFonts w:ascii="Calibri" w:hAnsi="Calibri"/>
          <w:noProof/>
          <w:szCs w:val="20"/>
        </w:rPr>
      </w:pPr>
      <w:hyperlink w:anchor="_Toc6521458" w:history="1">
        <w:r w:rsidR="00F921F6" w:rsidRPr="00233296">
          <w:rPr>
            <w:rStyle w:val="Hipercze"/>
            <w:noProof/>
            <w:szCs w:val="20"/>
          </w:rPr>
          <w:t>Mapa 9 Wartość projektów ogółem</w:t>
        </w:r>
        <w:r w:rsidR="00E66B89" w:rsidRPr="00233296">
          <w:rPr>
            <w:rStyle w:val="Hipercze"/>
            <w:noProof/>
            <w:szCs w:val="20"/>
          </w:rPr>
          <w:t xml:space="preserve"> z </w:t>
        </w:r>
        <w:r w:rsidR="00F921F6" w:rsidRPr="00233296">
          <w:rPr>
            <w:rStyle w:val="Hipercze"/>
            <w:noProof/>
            <w:szCs w:val="20"/>
          </w:rPr>
          <w:t>Działań realizujących instrumenty terytorialne oraz analogicznego Działania wdrażanego</w:t>
        </w:r>
        <w:r w:rsidR="00E66B89" w:rsidRPr="00233296">
          <w:rPr>
            <w:rStyle w:val="Hipercze"/>
            <w:noProof/>
            <w:szCs w:val="20"/>
          </w:rPr>
          <w:t xml:space="preserve"> w </w:t>
        </w:r>
        <w:r w:rsidR="00F921F6" w:rsidRPr="00233296">
          <w:rPr>
            <w:rStyle w:val="Hipercze"/>
            <w:noProof/>
            <w:szCs w:val="20"/>
          </w:rPr>
          <w:t>całym regionie,</w:t>
        </w:r>
        <w:r w:rsidR="00E66B89" w:rsidRPr="00233296">
          <w:rPr>
            <w:rStyle w:val="Hipercze"/>
            <w:noProof/>
            <w:szCs w:val="20"/>
          </w:rPr>
          <w:t xml:space="preserve"> w </w:t>
        </w:r>
        <w:r w:rsidR="00F921F6" w:rsidRPr="00233296">
          <w:rPr>
            <w:rStyle w:val="Hipercze"/>
            <w:noProof/>
            <w:szCs w:val="20"/>
          </w:rPr>
          <w:t>podziale na gminy</w:t>
        </w:r>
        <w:r w:rsidR="00E66B89" w:rsidRPr="00233296">
          <w:rPr>
            <w:rStyle w:val="Hipercze"/>
            <w:noProof/>
            <w:szCs w:val="20"/>
          </w:rPr>
          <w:t xml:space="preserve"> z </w:t>
        </w:r>
        <w:r w:rsidR="00F921F6" w:rsidRPr="00233296">
          <w:rPr>
            <w:rStyle w:val="Hipercze"/>
            <w:noProof/>
            <w:szCs w:val="20"/>
          </w:rPr>
          <w:t>wyszczególnieniem gmin należących do ZIT/KS - PI 10a</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_Toc6521458 \h </w:instrText>
        </w:r>
        <w:r w:rsidR="00F921F6" w:rsidRPr="00233296">
          <w:rPr>
            <w:noProof/>
            <w:webHidden/>
            <w:szCs w:val="20"/>
          </w:rPr>
        </w:r>
        <w:r w:rsidR="00F921F6" w:rsidRPr="00233296">
          <w:rPr>
            <w:noProof/>
            <w:webHidden/>
            <w:szCs w:val="20"/>
          </w:rPr>
          <w:fldChar w:fldCharType="separate"/>
        </w:r>
        <w:r w:rsidR="00E667FD">
          <w:rPr>
            <w:noProof/>
            <w:webHidden/>
            <w:szCs w:val="20"/>
          </w:rPr>
          <w:t>359</w:t>
        </w:r>
        <w:r w:rsidR="00F921F6" w:rsidRPr="00233296">
          <w:rPr>
            <w:noProof/>
            <w:webHidden/>
            <w:szCs w:val="20"/>
          </w:rPr>
          <w:fldChar w:fldCharType="end"/>
        </w:r>
      </w:hyperlink>
    </w:p>
    <w:p w14:paraId="697FDB7A" w14:textId="77777777" w:rsidR="00F921F6" w:rsidRPr="00233296" w:rsidRDefault="00FA14F6">
      <w:pPr>
        <w:pStyle w:val="Spisilustracji"/>
        <w:tabs>
          <w:tab w:val="right" w:leader="dot" w:pos="9060"/>
        </w:tabs>
        <w:rPr>
          <w:rFonts w:ascii="Calibri" w:hAnsi="Calibri"/>
          <w:noProof/>
          <w:szCs w:val="20"/>
        </w:rPr>
      </w:pPr>
      <w:hyperlink w:anchor="_Toc6521459" w:history="1">
        <w:r w:rsidR="00F921F6" w:rsidRPr="00233296">
          <w:rPr>
            <w:rStyle w:val="Hipercze"/>
            <w:noProof/>
            <w:szCs w:val="20"/>
          </w:rPr>
          <w:t>Mapa 10 Wartość</w:t>
        </w:r>
        <w:r w:rsidR="00E66B89" w:rsidRPr="00233296">
          <w:rPr>
            <w:rStyle w:val="Hipercze"/>
            <w:noProof/>
            <w:szCs w:val="20"/>
          </w:rPr>
          <w:t xml:space="preserve"> i </w:t>
        </w:r>
        <w:r w:rsidR="00F921F6" w:rsidRPr="00233296">
          <w:rPr>
            <w:rStyle w:val="Hipercze"/>
            <w:noProof/>
            <w:szCs w:val="20"/>
          </w:rPr>
          <w:t>liczba projektów ogółem wg powiatów</w:t>
        </w:r>
        <w:r w:rsidR="00F921F6" w:rsidRPr="00233296">
          <w:rPr>
            <w:noProof/>
            <w:webHidden/>
            <w:szCs w:val="20"/>
          </w:rPr>
          <w:tab/>
        </w:r>
        <w:r w:rsidR="00F921F6" w:rsidRPr="00233296">
          <w:rPr>
            <w:noProof/>
            <w:webHidden/>
            <w:szCs w:val="20"/>
          </w:rPr>
          <w:fldChar w:fldCharType="begin"/>
        </w:r>
        <w:r w:rsidR="00F921F6" w:rsidRPr="00233296">
          <w:rPr>
            <w:noProof/>
            <w:webHidden/>
            <w:szCs w:val="20"/>
          </w:rPr>
          <w:instrText xml:space="preserve"> PAGEREF _Toc6521459 \h </w:instrText>
        </w:r>
        <w:r w:rsidR="00F921F6" w:rsidRPr="00233296">
          <w:rPr>
            <w:noProof/>
            <w:webHidden/>
            <w:szCs w:val="20"/>
          </w:rPr>
        </w:r>
        <w:r w:rsidR="00F921F6" w:rsidRPr="00233296">
          <w:rPr>
            <w:noProof/>
            <w:webHidden/>
            <w:szCs w:val="20"/>
          </w:rPr>
          <w:fldChar w:fldCharType="separate"/>
        </w:r>
        <w:r w:rsidR="00E667FD">
          <w:rPr>
            <w:noProof/>
            <w:webHidden/>
            <w:szCs w:val="20"/>
          </w:rPr>
          <w:t>376</w:t>
        </w:r>
        <w:r w:rsidR="00F921F6" w:rsidRPr="00233296">
          <w:rPr>
            <w:noProof/>
            <w:webHidden/>
            <w:szCs w:val="20"/>
          </w:rPr>
          <w:fldChar w:fldCharType="end"/>
        </w:r>
      </w:hyperlink>
    </w:p>
    <w:p w14:paraId="6913CA55" w14:textId="77777777" w:rsidR="00C010F3" w:rsidRPr="00801DB4" w:rsidRDefault="00F921F6" w:rsidP="00C010F3">
      <w:pPr>
        <w:rPr>
          <w:szCs w:val="20"/>
        </w:rPr>
      </w:pPr>
      <w:r w:rsidRPr="00233296">
        <w:rPr>
          <w:szCs w:val="20"/>
        </w:rPr>
        <w:fldChar w:fldCharType="end"/>
      </w:r>
    </w:p>
    <w:p w14:paraId="3746181D" w14:textId="77777777" w:rsidR="00C010F3" w:rsidRPr="00D45914" w:rsidRDefault="00692A4E" w:rsidP="00D45914">
      <w:pPr>
        <w:pStyle w:val="Nagwek1"/>
      </w:pPr>
      <w:bookmarkStart w:id="451" w:name="_Toc6523768"/>
      <w:r w:rsidRPr="00D45914">
        <w:t>ANEKSY</w:t>
      </w:r>
      <w:bookmarkEnd w:id="451"/>
    </w:p>
    <w:p w14:paraId="1717E655" w14:textId="77777777" w:rsidR="00927AD2" w:rsidRDefault="00927AD2" w:rsidP="00927AD2">
      <w:pPr>
        <w:pStyle w:val="Nagwek2"/>
      </w:pPr>
      <w:bookmarkStart w:id="452" w:name="_Toc6523769"/>
      <w:r>
        <w:t>Podsumowanie – syntetyczne odpowiedzi na postawione pytania badawcze</w:t>
      </w:r>
      <w:bookmarkEnd w:id="452"/>
    </w:p>
    <w:p w14:paraId="0AEBFD89" w14:textId="77777777" w:rsidR="00927AD2" w:rsidRPr="008B706B" w:rsidRDefault="00927AD2" w:rsidP="008B706B">
      <w:pPr>
        <w:rPr>
          <w:i/>
          <w:szCs w:val="20"/>
        </w:rPr>
      </w:pPr>
      <w:r w:rsidRPr="008B706B">
        <w:rPr>
          <w:i/>
          <w:szCs w:val="20"/>
        </w:rPr>
        <w:t>(załącznik</w:t>
      </w:r>
      <w:r w:rsidR="00E66B89">
        <w:rPr>
          <w:i/>
          <w:szCs w:val="20"/>
        </w:rPr>
        <w:t xml:space="preserve"> w </w:t>
      </w:r>
      <w:r w:rsidRPr="008B706B">
        <w:rPr>
          <w:i/>
          <w:szCs w:val="20"/>
        </w:rPr>
        <w:t>osobnym pliku)</w:t>
      </w:r>
    </w:p>
    <w:p w14:paraId="1A6A1C28" w14:textId="77777777" w:rsidR="00C010F3" w:rsidRPr="00801DB4" w:rsidRDefault="00C010F3" w:rsidP="00D45914">
      <w:pPr>
        <w:pStyle w:val="Nagwek2"/>
      </w:pPr>
      <w:bookmarkStart w:id="453" w:name="_Toc6523770"/>
      <w:r w:rsidRPr="00801DB4">
        <w:t>Narzędzia badawcze</w:t>
      </w:r>
      <w:bookmarkEnd w:id="453"/>
      <w:r w:rsidRPr="00801DB4">
        <w:t xml:space="preserve"> </w:t>
      </w:r>
    </w:p>
    <w:p w14:paraId="73C6E486" w14:textId="77777777" w:rsidR="00C010F3" w:rsidRPr="00801DB4" w:rsidRDefault="009C5A52" w:rsidP="00C010F3">
      <w:pPr>
        <w:rPr>
          <w:szCs w:val="20"/>
        </w:rPr>
      </w:pPr>
      <w:r w:rsidRPr="008B706B">
        <w:rPr>
          <w:i/>
          <w:szCs w:val="20"/>
        </w:rPr>
        <w:t>(załącznik</w:t>
      </w:r>
      <w:r w:rsidR="00E66B89">
        <w:rPr>
          <w:i/>
          <w:szCs w:val="20"/>
        </w:rPr>
        <w:t xml:space="preserve"> w </w:t>
      </w:r>
      <w:r w:rsidRPr="008B706B">
        <w:rPr>
          <w:i/>
          <w:szCs w:val="20"/>
        </w:rPr>
        <w:t>wersji elektronicznej – osobny plik)</w:t>
      </w:r>
    </w:p>
    <w:p w14:paraId="3039D926" w14:textId="77777777" w:rsidR="00C010F3" w:rsidRPr="00801DB4" w:rsidRDefault="00C010F3" w:rsidP="00D45914">
      <w:pPr>
        <w:pStyle w:val="Nagwek2"/>
      </w:pPr>
      <w:bookmarkStart w:id="454" w:name="_Toc6523771"/>
      <w:r w:rsidRPr="00801DB4">
        <w:lastRenderedPageBreak/>
        <w:t>Dane pierwotne zebrane</w:t>
      </w:r>
      <w:r w:rsidR="00E66B89">
        <w:t xml:space="preserve"> w </w:t>
      </w:r>
      <w:r w:rsidRPr="00801DB4">
        <w:t>trakcie badania</w:t>
      </w:r>
      <w:bookmarkEnd w:id="454"/>
    </w:p>
    <w:p w14:paraId="364C5302" w14:textId="77777777" w:rsidR="00D970E8" w:rsidRDefault="009C5A52" w:rsidP="00D970E8">
      <w:pPr>
        <w:rPr>
          <w:i/>
          <w:szCs w:val="20"/>
        </w:rPr>
      </w:pPr>
      <w:r w:rsidRPr="008B706B">
        <w:rPr>
          <w:i/>
          <w:szCs w:val="20"/>
        </w:rPr>
        <w:t>(załącznik</w:t>
      </w:r>
      <w:r w:rsidR="00E66B89">
        <w:rPr>
          <w:i/>
          <w:szCs w:val="20"/>
        </w:rPr>
        <w:t xml:space="preserve"> w </w:t>
      </w:r>
      <w:r w:rsidRPr="008B706B">
        <w:rPr>
          <w:i/>
          <w:szCs w:val="20"/>
        </w:rPr>
        <w:t>wersji elektronicznej – osobny plik)</w:t>
      </w:r>
    </w:p>
    <w:p w14:paraId="29194327" w14:textId="77777777" w:rsidR="000B6AA7" w:rsidRPr="00801DB4" w:rsidRDefault="000B6AA7" w:rsidP="000B6AA7">
      <w:pPr>
        <w:pStyle w:val="Nagwek2"/>
      </w:pPr>
      <w:bookmarkStart w:id="455" w:name="_Toc6523772"/>
      <w:r>
        <w:t>Odtworzone logiki interwencji dla OP I-IX RPO WZ 2014-2020</w:t>
      </w:r>
      <w:bookmarkEnd w:id="455"/>
    </w:p>
    <w:p w14:paraId="4931F753" w14:textId="77777777" w:rsidR="000B6AA7" w:rsidRPr="008B706B" w:rsidRDefault="000B6AA7" w:rsidP="000B6AA7">
      <w:pPr>
        <w:rPr>
          <w:i/>
          <w:szCs w:val="20"/>
        </w:rPr>
      </w:pPr>
      <w:r w:rsidRPr="008B706B">
        <w:rPr>
          <w:i/>
          <w:szCs w:val="20"/>
        </w:rPr>
        <w:t>(załącznik</w:t>
      </w:r>
      <w:r w:rsidR="00E66B89">
        <w:rPr>
          <w:i/>
          <w:szCs w:val="20"/>
        </w:rPr>
        <w:t xml:space="preserve"> w </w:t>
      </w:r>
      <w:r w:rsidRPr="008B706B">
        <w:rPr>
          <w:i/>
          <w:szCs w:val="20"/>
        </w:rPr>
        <w:t>wersji elektronicznej – osobny plik)</w:t>
      </w:r>
    </w:p>
    <w:p w14:paraId="1CEA01EC" w14:textId="77777777" w:rsidR="000B6AA7" w:rsidRPr="008B706B" w:rsidRDefault="000B6AA7" w:rsidP="00D970E8">
      <w:pPr>
        <w:rPr>
          <w:i/>
          <w:szCs w:val="20"/>
        </w:rPr>
      </w:pPr>
    </w:p>
    <w:p w14:paraId="58587B3F" w14:textId="77777777" w:rsidR="00164862" w:rsidRDefault="00164862" w:rsidP="00C010F3">
      <w:pPr>
        <w:rPr>
          <w:szCs w:val="20"/>
        </w:rPr>
      </w:pPr>
    </w:p>
    <w:p w14:paraId="557D08C9" w14:textId="77777777" w:rsidR="004B1A5D" w:rsidRPr="00801DB4" w:rsidRDefault="004B1A5D" w:rsidP="00C010F3">
      <w:pPr>
        <w:rPr>
          <w:szCs w:val="20"/>
        </w:rPr>
      </w:pPr>
    </w:p>
    <w:sectPr w:rsidR="004B1A5D" w:rsidRPr="00801DB4" w:rsidSect="008F5645">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EC412F" w16cid:durableId="2086836F"/>
  <w16cid:commentId w16cid:paraId="158D68E4" w16cid:durableId="20868370"/>
  <w16cid:commentId w16cid:paraId="0DBCF186" w16cid:durableId="20868373"/>
  <w16cid:commentId w16cid:paraId="248A675D" w16cid:durableId="20868374"/>
  <w16cid:commentId w16cid:paraId="6CAC31C6" w16cid:durableId="208683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77F11" w14:textId="77777777" w:rsidR="00DA68F9" w:rsidRDefault="00DA68F9" w:rsidP="00717735">
      <w:r>
        <w:separator/>
      </w:r>
    </w:p>
  </w:endnote>
  <w:endnote w:type="continuationSeparator" w:id="0">
    <w:p w14:paraId="19501255" w14:textId="77777777" w:rsidR="00DA68F9" w:rsidRDefault="00DA68F9" w:rsidP="00717735">
      <w:r>
        <w:continuationSeparator/>
      </w:r>
    </w:p>
  </w:endnote>
  <w:endnote w:type="continuationNotice" w:id="1">
    <w:p w14:paraId="2487ED96" w14:textId="77777777" w:rsidR="00DA68F9" w:rsidRDefault="00DA68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EE"/>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MyriadPro-Regular">
    <w:altName w:val="Corbel"/>
    <w:panose1 w:val="00000000000000000000"/>
    <w:charset w:val="EE"/>
    <w:family w:val="swiss"/>
    <w:notTrueType/>
    <w:pitch w:val="default"/>
    <w:sig w:usb0="00000005" w:usb1="00000000" w:usb2="00000000" w:usb3="00000000" w:csb0="00000002" w:csb1="00000000"/>
  </w:font>
  <w:font w:name="SymbolMT">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Lato,TT16Ft00">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257">
    <w:altName w:val="Times New Roman"/>
    <w:charset w:val="EE"/>
    <w:family w:val="auto"/>
    <w:pitch w:val="variable"/>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E7E20" w14:textId="77777777" w:rsidR="00763345" w:rsidRPr="00AA2E5C" w:rsidRDefault="00763345">
    <w:pPr>
      <w:pStyle w:val="Stopka"/>
      <w:jc w:val="center"/>
      <w:rPr>
        <w:rFonts w:ascii="Lato" w:hAnsi="Lato"/>
        <w:sz w:val="20"/>
      </w:rPr>
    </w:pPr>
    <w:r w:rsidRPr="00AA2E5C">
      <w:rPr>
        <w:rFonts w:ascii="Lato" w:hAnsi="Lato"/>
        <w:noProof/>
        <w:sz w:val="20"/>
      </w:rPr>
      <w:fldChar w:fldCharType="begin"/>
    </w:r>
    <w:r w:rsidRPr="00AA2E5C">
      <w:rPr>
        <w:rFonts w:ascii="Lato" w:hAnsi="Lato"/>
        <w:noProof/>
        <w:sz w:val="20"/>
      </w:rPr>
      <w:instrText>PAGE   \* MERGEFORMAT</w:instrText>
    </w:r>
    <w:r w:rsidRPr="00AA2E5C">
      <w:rPr>
        <w:rFonts w:ascii="Lato" w:hAnsi="Lato"/>
        <w:noProof/>
        <w:sz w:val="20"/>
      </w:rPr>
      <w:fldChar w:fldCharType="separate"/>
    </w:r>
    <w:r w:rsidR="00E667FD">
      <w:rPr>
        <w:rFonts w:ascii="Lato" w:hAnsi="Lato"/>
        <w:noProof/>
        <w:sz w:val="20"/>
      </w:rPr>
      <w:t>3</w:t>
    </w:r>
    <w:r w:rsidRPr="00AA2E5C">
      <w:rPr>
        <w:rFonts w:ascii="Lato" w:hAnsi="Lato"/>
        <w:noProof/>
        <w:sz w:val="20"/>
      </w:rPr>
      <w:fldChar w:fldCharType="end"/>
    </w:r>
  </w:p>
  <w:p w14:paraId="52F95D4D" w14:textId="77777777" w:rsidR="00763345" w:rsidRPr="00AA2E5C" w:rsidRDefault="00763345">
    <w:pPr>
      <w:pStyle w:val="Stopka"/>
      <w:rPr>
        <w:rFonts w:ascii="Lato" w:hAnsi="Lato"/>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9AF9" w14:textId="77777777" w:rsidR="00763345" w:rsidRDefault="00763345">
    <w:pPr>
      <w:pStyle w:val="Stopka"/>
      <w:jc w:val="center"/>
    </w:pPr>
    <w:r w:rsidRPr="00C22C26">
      <w:rPr>
        <w:rFonts w:ascii="Lato" w:hAnsi="Lato"/>
        <w:noProof/>
        <w:sz w:val="20"/>
      </w:rPr>
      <w:fldChar w:fldCharType="begin"/>
    </w:r>
    <w:r w:rsidRPr="00C22C26">
      <w:rPr>
        <w:rFonts w:ascii="Lato" w:hAnsi="Lato"/>
        <w:noProof/>
        <w:sz w:val="20"/>
      </w:rPr>
      <w:instrText xml:space="preserve"> PAGE   \* MERGEFORMAT </w:instrText>
    </w:r>
    <w:r w:rsidRPr="00C22C26">
      <w:rPr>
        <w:rFonts w:ascii="Lato" w:hAnsi="Lato"/>
        <w:noProof/>
        <w:sz w:val="20"/>
      </w:rPr>
      <w:fldChar w:fldCharType="separate"/>
    </w:r>
    <w:r w:rsidR="00E667FD">
      <w:rPr>
        <w:rFonts w:ascii="Lato" w:hAnsi="Lato"/>
        <w:noProof/>
        <w:sz w:val="20"/>
      </w:rPr>
      <w:t>1</w:t>
    </w:r>
    <w:r w:rsidRPr="00C22C26">
      <w:rPr>
        <w:rFonts w:ascii="Lato" w:hAnsi="Lato"/>
        <w:noProof/>
        <w:sz w:val="20"/>
      </w:rPr>
      <w:fldChar w:fldCharType="end"/>
    </w:r>
  </w:p>
  <w:p w14:paraId="08BF169B" w14:textId="77777777" w:rsidR="00763345" w:rsidRDefault="00763345" w:rsidP="00C22C2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6F7F3" w14:textId="77777777" w:rsidR="00763345" w:rsidRDefault="00763345">
    <w:pPr>
      <w:pStyle w:val="Stopka"/>
      <w:jc w:val="center"/>
    </w:pPr>
    <w:r>
      <w:rPr>
        <w:rFonts w:ascii="Lato" w:hAnsi="Lato"/>
        <w:sz w:val="20"/>
        <w:lang w:val="pl-PL"/>
      </w:rPr>
      <w:t xml:space="preserve"> </w:t>
    </w:r>
    <w:r w:rsidRPr="00C22C26">
      <w:rPr>
        <w:rFonts w:ascii="Lato" w:hAnsi="Lato"/>
        <w:sz w:val="20"/>
      </w:rPr>
      <w:fldChar w:fldCharType="begin"/>
    </w:r>
    <w:r w:rsidRPr="00C22C26">
      <w:rPr>
        <w:rFonts w:ascii="Lato" w:hAnsi="Lato"/>
        <w:noProof/>
        <w:sz w:val="20"/>
      </w:rPr>
      <w:instrText>PAGE   \* MERGEFORMAT</w:instrText>
    </w:r>
    <w:r w:rsidRPr="00C22C26">
      <w:rPr>
        <w:rFonts w:ascii="Lato" w:hAnsi="Lato"/>
        <w:sz w:val="20"/>
      </w:rPr>
      <w:fldChar w:fldCharType="separate"/>
    </w:r>
    <w:r w:rsidR="00E667FD">
      <w:rPr>
        <w:rFonts w:ascii="Lato" w:hAnsi="Lato"/>
        <w:noProof/>
        <w:sz w:val="20"/>
      </w:rPr>
      <w:t>400</w:t>
    </w:r>
    <w:r w:rsidRPr="00C22C26">
      <w:rPr>
        <w:rFonts w:ascii="Lato" w:hAnsi="Lato"/>
        <w:sz w:val="20"/>
      </w:rPr>
      <w:fldChar w:fldCharType="end"/>
    </w:r>
  </w:p>
  <w:p w14:paraId="3C22D801" w14:textId="77777777" w:rsidR="00763345" w:rsidRDefault="0076334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E698D" w14:textId="77777777" w:rsidR="00DA68F9" w:rsidRDefault="00DA68F9" w:rsidP="00717735">
      <w:r>
        <w:separator/>
      </w:r>
    </w:p>
  </w:footnote>
  <w:footnote w:type="continuationSeparator" w:id="0">
    <w:p w14:paraId="755429A6" w14:textId="77777777" w:rsidR="00DA68F9" w:rsidRDefault="00DA68F9" w:rsidP="00717735">
      <w:r>
        <w:continuationSeparator/>
      </w:r>
    </w:p>
  </w:footnote>
  <w:footnote w:type="continuationNotice" w:id="1">
    <w:p w14:paraId="6D0C1A1C" w14:textId="77777777" w:rsidR="00DA68F9" w:rsidRDefault="00DA68F9">
      <w:pPr>
        <w:spacing w:before="0" w:after="0" w:line="240" w:lineRule="auto"/>
      </w:pPr>
    </w:p>
  </w:footnote>
  <w:footnote w:id="2">
    <w:p w14:paraId="4E4A1D5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Pod uwagę zostali wzięci wyłącznie wnioskodawcy, których wnioski były oznaczone jako „Odrzucone/Negatywnie ocenione”. Nie brano</w:t>
      </w:r>
    </w:p>
    <w:p w14:paraId="0C5481BA"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 xml:space="preserve"> pod uwagę beneficjentów, których wnioski zostały zatwierdzone (i trwa zawieranie umowy) lub którzy wycofali wniosek lub których wnioski są w trakcie weryfikacji/oceny.</w:t>
      </w:r>
    </w:p>
  </w:footnote>
  <w:footnote w:id="3">
    <w:p w14:paraId="21017E5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cs="Calibri"/>
          <w:sz w:val="16"/>
          <w:szCs w:val="16"/>
        </w:rPr>
        <w:footnoteRef/>
      </w:r>
      <w:r w:rsidRPr="00CA715D">
        <w:rPr>
          <w:rFonts w:ascii="Lato" w:hAnsi="Lato" w:cs="Calibri"/>
          <w:sz w:val="16"/>
          <w:szCs w:val="16"/>
        </w:rPr>
        <w:t xml:space="preserve"> Oszacowania liczby unikalnych beneficjentów w ramach OP dokonano z wykorzystaniem zmiennej NIP beneficjenta.</w:t>
      </w:r>
      <w:r w:rsidRPr="00CA715D">
        <w:rPr>
          <w:rStyle w:val="Odwoanieprzypisudolnego"/>
          <w:rFonts w:ascii="Lato" w:hAnsi="Lato" w:cs="Calibri"/>
          <w:sz w:val="16"/>
          <w:szCs w:val="16"/>
        </w:rPr>
        <w:t>.</w:t>
      </w:r>
    </w:p>
  </w:footnote>
  <w:footnote w:id="4">
    <w:p w14:paraId="5159555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Dane wykorzystane do skonstruowania tej odpowiedzi pochodzą z bazy STRATEG (</w:t>
      </w:r>
      <w:hyperlink r:id="rId1" w:history="1">
        <w:r w:rsidRPr="00CA715D">
          <w:rPr>
            <w:rStyle w:val="Hipercze"/>
            <w:rFonts w:ascii="Lato" w:hAnsi="Lato"/>
            <w:sz w:val="16"/>
            <w:szCs w:val="16"/>
          </w:rPr>
          <w:t>https://strateg.stat.gov.pl/</w:t>
        </w:r>
      </w:hyperlink>
      <w:r w:rsidRPr="00CA715D">
        <w:rPr>
          <w:rFonts w:ascii="Lato" w:hAnsi="Lato"/>
          <w:sz w:val="16"/>
          <w:szCs w:val="16"/>
        </w:rPr>
        <w:t xml:space="preserve">) i są raportowane dla wykorzystanych wskaźników. </w:t>
      </w:r>
    </w:p>
  </w:footnote>
  <w:footnote w:id="5">
    <w:p w14:paraId="6B2B6369"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LB&amp;E, Ocena trafności wsparcia sfery B+R w ramach RPO WŁ 2014-2020, raport końcowy z badania ewaluacyjnego, Warszawa, marzec 2019, s. 48.</w:t>
      </w:r>
    </w:p>
  </w:footnote>
  <w:footnote w:id="6">
    <w:p w14:paraId="7A91A28F" w14:textId="77777777" w:rsidR="00763345" w:rsidRPr="00CA715D" w:rsidRDefault="00763345" w:rsidP="00CA715D">
      <w:pPr>
        <w:pStyle w:val="Tekstprzypisudolnego"/>
        <w:spacing w:before="0" w:after="0"/>
        <w:rPr>
          <w:rFonts w:ascii="Lato" w:hAnsi="Lato"/>
          <w:sz w:val="16"/>
          <w:szCs w:val="16"/>
          <w:lang w:val="en-US"/>
        </w:rPr>
      </w:pPr>
      <w:r w:rsidRPr="00CA715D">
        <w:rPr>
          <w:rStyle w:val="Odwoanieprzypisudolnego"/>
          <w:rFonts w:ascii="Lato" w:hAnsi="Lato"/>
          <w:sz w:val="16"/>
          <w:szCs w:val="16"/>
        </w:rPr>
        <w:footnoteRef/>
      </w:r>
      <w:r w:rsidRPr="00CA715D">
        <w:rPr>
          <w:rFonts w:ascii="Lato" w:hAnsi="Lato"/>
          <w:sz w:val="16"/>
          <w:szCs w:val="16"/>
          <w:lang w:val="en-US"/>
        </w:rPr>
        <w:t xml:space="preserve"> Dzienis, A., Kowalski, A.M, Lachowicz, M., Mackiewicz, M., Napiórkowski, T.M., Weresa, M.A. (2019), “A study on structural reform in Poland 2013–2018”, Directorate-General for Internal Market, Industry, Entrepreneurship and SMEs (European Commission), https://publications.europa.eu/en/publication-detail/-/publication/2a32fbb5-28fa-11e9-8d04-01aa75ed71a1/language-en/format-PDF/source-88031586.</w:t>
      </w:r>
    </w:p>
  </w:footnote>
  <w:footnote w:id="7">
    <w:p w14:paraId="40164C0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BDL GUS.</w:t>
      </w:r>
    </w:p>
  </w:footnote>
  <w:footnote w:id="8">
    <w:p w14:paraId="32704B3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Energetyka cieplna w liczbach 2012-2017, Urząd Regulacji Energetyki.</w:t>
      </w:r>
    </w:p>
  </w:footnote>
  <w:footnote w:id="9">
    <w:p w14:paraId="190160A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EUROPA 2020 Strategia na rzecz inteligentnego i zrównoważonego rozwoju sprzyjającego włączeniu społecznemu, 03.03.2010, Bruksela.</w:t>
      </w:r>
    </w:p>
  </w:footnote>
  <w:footnote w:id="10">
    <w:p w14:paraId="64E6D0CB" w14:textId="77777777" w:rsidR="00763345" w:rsidRPr="00CA715D" w:rsidRDefault="00763345" w:rsidP="00CA715D">
      <w:pPr>
        <w:pStyle w:val="Tekstprzypisudolnego"/>
        <w:spacing w:before="0" w:after="0" w:line="240" w:lineRule="auto"/>
        <w:rPr>
          <w:rFonts w:ascii="Lato" w:hAnsi="Lato"/>
          <w:b/>
          <w:sz w:val="16"/>
          <w:szCs w:val="16"/>
        </w:rPr>
      </w:pPr>
      <w:r w:rsidRPr="00CA715D">
        <w:rPr>
          <w:rStyle w:val="Odwoanieprzypisudolnego"/>
          <w:rFonts w:ascii="Lato" w:hAnsi="Lato"/>
          <w:sz w:val="16"/>
          <w:szCs w:val="16"/>
        </w:rPr>
        <w:footnoteRef/>
      </w:r>
      <w:r w:rsidRPr="00CA715D">
        <w:rPr>
          <w:rFonts w:ascii="Lato" w:hAnsi="Lato"/>
          <w:sz w:val="16"/>
          <w:szCs w:val="16"/>
        </w:rPr>
        <w:t xml:space="preserve"> Strategia Bezpieczeństwo Energetyczne i Środowisko - perspektywa do 2020 r., kwiecień 2014, Warszawa.</w:t>
      </w:r>
    </w:p>
  </w:footnote>
  <w:footnote w:id="11">
    <w:p w14:paraId="05E4F6E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Dyrektywa 2004/8/WE Parlamentu Europejskiego i Rady z 11 lutego 2004 r. w sprawie promowania kogeneracji w oparciu o zapotrzebowanie na ciepło użytkowe na wewnętrznym rynku energii oraz wnosząca poprawki do Dyrektywy 92/42/EWG, mająca na celu promowanie kogeneracji na krajowych rynkach energii.</w:t>
      </w:r>
    </w:p>
  </w:footnote>
  <w:footnote w:id="12">
    <w:p w14:paraId="3BE1D39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Ustawa z dnia 14 grudnia 2018 r. o promowaniu energii elektrycznej z wysokosprawnej kogeneracji.</w:t>
      </w:r>
    </w:p>
  </w:footnote>
  <w:footnote w:id="13">
    <w:p w14:paraId="61800EF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Calibri" w:hAnsi="Lato" w:cs="Calibri"/>
          <w:sz w:val="16"/>
          <w:szCs w:val="16"/>
        </w:rPr>
        <w:footnoteRef/>
      </w:r>
      <w:r w:rsidRPr="00CA715D">
        <w:rPr>
          <w:rFonts w:ascii="Lato" w:hAnsi="Lato" w:cs="Calibri"/>
          <w:sz w:val="16"/>
          <w:szCs w:val="16"/>
        </w:rPr>
        <w:t xml:space="preserve"> </w:t>
      </w:r>
      <w:r w:rsidRPr="00CA715D">
        <w:rPr>
          <w:rFonts w:ascii="Lato" w:hAnsi="Lato"/>
          <w:sz w:val="16"/>
          <w:szCs w:val="16"/>
        </w:rPr>
        <w:t>Strategia modernizacji budynków: Mapa drogowa 2050, Kraków 2014, s.11.</w:t>
      </w:r>
    </w:p>
  </w:footnote>
  <w:footnote w:id="14">
    <w:p w14:paraId="08CC01C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Calibri" w:hAnsi="Lato" w:cs="Calibri"/>
          <w:sz w:val="16"/>
          <w:szCs w:val="16"/>
        </w:rPr>
        <w:footnoteRef/>
      </w:r>
      <w:r w:rsidRPr="00CA715D">
        <w:rPr>
          <w:rFonts w:ascii="Lato" w:hAnsi="Lato" w:cs="Calibri"/>
          <w:sz w:val="16"/>
          <w:szCs w:val="16"/>
        </w:rPr>
        <w:t xml:space="preserve"> W </w:t>
      </w:r>
      <w:r w:rsidRPr="00CA715D">
        <w:rPr>
          <w:rFonts w:ascii="Lato" w:hAnsi="Lato"/>
          <w:sz w:val="16"/>
          <w:szCs w:val="16"/>
        </w:rPr>
        <w:t>latach 2000-2015 – dane z projektu ODYSEE-MURE (http://www.odyssee-mure.eu/publications/efficiency-trends-policies-profiles/).</w:t>
      </w:r>
    </w:p>
  </w:footnote>
  <w:footnote w:id="15">
    <w:p w14:paraId="156C675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Calibri" w:hAnsi="Lato"/>
          <w:sz w:val="16"/>
          <w:szCs w:val="16"/>
        </w:rPr>
        <w:footnoteRef/>
      </w:r>
      <w:r w:rsidRPr="00CA715D">
        <w:rPr>
          <w:rFonts w:ascii="Lato" w:hAnsi="Lato"/>
          <w:sz w:val="16"/>
          <w:szCs w:val="16"/>
        </w:rPr>
        <w:t xml:space="preserve"> Główny Urząd Statystyczny, Efektywność wykorzystania energii w latach 2006-2016, Warszawa-Wrocław 2018, s. 14.</w:t>
      </w:r>
    </w:p>
  </w:footnote>
  <w:footnote w:id="16">
    <w:p w14:paraId="7AC6263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Calibri" w:hAnsi="Lato" w:cs="Calibri"/>
          <w:sz w:val="16"/>
          <w:szCs w:val="16"/>
        </w:rPr>
        <w:footnoteRef/>
      </w:r>
      <w:r w:rsidRPr="00CA715D">
        <w:rPr>
          <w:rFonts w:ascii="Lato" w:hAnsi="Lato" w:cs="Calibri"/>
          <w:sz w:val="16"/>
          <w:szCs w:val="16"/>
        </w:rPr>
        <w:t xml:space="preserve"> </w:t>
      </w:r>
      <w:r w:rsidRPr="00CA715D">
        <w:rPr>
          <w:rFonts w:ascii="Lato" w:hAnsi="Lato"/>
          <w:sz w:val="16"/>
          <w:szCs w:val="16"/>
        </w:rPr>
        <w:t>Główny Urząd Statystyczny, Zużycie energii w gospodarstwach domowych w 2015 r., Warszawa 2017, s. 86.</w:t>
      </w:r>
    </w:p>
  </w:footnote>
  <w:footnote w:id="17">
    <w:p w14:paraId="1EB5C8A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Calibri" w:hAnsi="Lato" w:cs="Calibri"/>
          <w:sz w:val="16"/>
          <w:szCs w:val="16"/>
        </w:rPr>
        <w:footnoteRef/>
      </w:r>
      <w:r w:rsidRPr="00CA715D">
        <w:rPr>
          <w:rFonts w:ascii="Lato" w:hAnsi="Lato" w:cs="Calibri"/>
          <w:sz w:val="16"/>
          <w:szCs w:val="16"/>
        </w:rPr>
        <w:t xml:space="preserve"> </w:t>
      </w:r>
      <w:r w:rsidRPr="00CA715D">
        <w:rPr>
          <w:rFonts w:ascii="Lato" w:hAnsi="Lato"/>
          <w:sz w:val="16"/>
          <w:szCs w:val="16"/>
        </w:rPr>
        <w:t>Ministerstwo Infrastruktury i Budownictwa, Poradnik w zakresie poprawy charakterystyki energetycznej budynków, Warszawa 2016, s. 19.</w:t>
      </w:r>
    </w:p>
  </w:footnote>
  <w:footnote w:id="18">
    <w:p w14:paraId="3EDE93A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Urząd Statystyczny w Szczecinie, Raport z wyników w województwie zachodniopomorskim. Narodowy Spis Powszechny Ludności i Mieszkań 2011, Szczecin 2012, s. 94.</w:t>
      </w:r>
    </w:p>
  </w:footnote>
  <w:footnote w:id="19">
    <w:p w14:paraId="7BD2DB8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https://ec.europa.eu/regional_policy/pl/2021_2027/#2</w:t>
      </w:r>
    </w:p>
  </w:footnote>
  <w:footnote w:id="20">
    <w:p w14:paraId="633CF241" w14:textId="77777777" w:rsidR="00763345" w:rsidRPr="00CA715D" w:rsidRDefault="00763345" w:rsidP="00CA715D">
      <w:pPr>
        <w:pStyle w:val="Tekstprzypisudolnego"/>
        <w:spacing w:before="0" w:after="0" w:line="240" w:lineRule="auto"/>
        <w:rPr>
          <w:rFonts w:ascii="Lato" w:hAnsi="Lato" w:cs="Calibri"/>
          <w:sz w:val="16"/>
          <w:szCs w:val="16"/>
        </w:rPr>
      </w:pPr>
      <w:r w:rsidRPr="00CA715D">
        <w:rPr>
          <w:rStyle w:val="Odwoanieprzypisudolnego"/>
          <w:rFonts w:ascii="Lato" w:hAnsi="Lato" w:cs="Calibri"/>
          <w:sz w:val="16"/>
          <w:szCs w:val="16"/>
        </w:rPr>
        <w:footnoteRef/>
      </w:r>
      <w:r w:rsidRPr="00CA715D">
        <w:rPr>
          <w:rFonts w:ascii="Lato" w:hAnsi="Lato" w:cs="Calibri"/>
          <w:sz w:val="16"/>
          <w:szCs w:val="16"/>
        </w:rPr>
        <w:t xml:space="preserve"> Dyrektywa Parlamentu Europejskiego i Rady 2012/27/UE z dnia 25 października 2012 r. w sprawie efektywności energetycznej, zmiany dyrektyw 2009/125/WE i 2010/30/WE oraz uchylenia dyrektyw 2004/8/WE i 2006/32/WE.</w:t>
      </w:r>
    </w:p>
  </w:footnote>
  <w:footnote w:id="21">
    <w:p w14:paraId="34269F93" w14:textId="77777777" w:rsidR="00763345" w:rsidRPr="00CA715D" w:rsidRDefault="00763345" w:rsidP="00CA715D">
      <w:pPr>
        <w:pStyle w:val="Tekstprzypisudolnego"/>
        <w:spacing w:before="0" w:after="0" w:line="240" w:lineRule="auto"/>
        <w:rPr>
          <w:rFonts w:ascii="Lato" w:hAnsi="Lato" w:cs="Calibri"/>
          <w:sz w:val="16"/>
          <w:szCs w:val="16"/>
        </w:rPr>
      </w:pPr>
      <w:r w:rsidRPr="00CA715D">
        <w:rPr>
          <w:rStyle w:val="Odwoanieprzypisudolnego"/>
          <w:rFonts w:ascii="Lato" w:hAnsi="Lato" w:cs="Calibri"/>
          <w:sz w:val="16"/>
          <w:szCs w:val="16"/>
        </w:rPr>
        <w:footnoteRef/>
      </w:r>
      <w:r w:rsidRPr="00CA715D">
        <w:rPr>
          <w:rFonts w:ascii="Lato" w:hAnsi="Lato" w:cs="Calibri"/>
          <w:sz w:val="16"/>
          <w:szCs w:val="16"/>
        </w:rPr>
        <w:t xml:space="preserve"> Ustawa z dnia 20 maja 2016 r. o efektywności energetycznej; Ustawa z dnia 27 kwietnia 2001 r. Prawo ochrony środowiska (Dz. U. z 2018 r. poz. 799, 1356, 1479, 1564, 1590, 1592, 1648, 1722, 2161).</w:t>
      </w:r>
    </w:p>
  </w:footnote>
  <w:footnote w:id="22">
    <w:p w14:paraId="48C49CD3" w14:textId="77777777" w:rsidR="00763345" w:rsidRPr="00CA715D" w:rsidRDefault="00763345" w:rsidP="00CA715D">
      <w:pPr>
        <w:pStyle w:val="Tekstprzypisudolnego"/>
        <w:spacing w:before="0" w:after="0" w:line="240" w:lineRule="auto"/>
        <w:rPr>
          <w:rFonts w:ascii="Lato" w:hAnsi="Lato" w:cs="Calibri"/>
          <w:sz w:val="16"/>
          <w:szCs w:val="16"/>
        </w:rPr>
      </w:pPr>
      <w:r w:rsidRPr="00CA715D">
        <w:rPr>
          <w:rStyle w:val="Odwoanieprzypisudolnego"/>
          <w:rFonts w:ascii="Lato" w:hAnsi="Lato" w:cs="Calibri"/>
          <w:sz w:val="16"/>
          <w:szCs w:val="16"/>
        </w:rPr>
        <w:footnoteRef/>
      </w:r>
      <w:r w:rsidRPr="00CA715D">
        <w:rPr>
          <w:rFonts w:ascii="Lato" w:hAnsi="Lato" w:cs="Calibri"/>
          <w:sz w:val="16"/>
          <w:szCs w:val="16"/>
        </w:rPr>
        <w:t xml:space="preserve"> Ministerstwo Gospodarki, </w:t>
      </w:r>
      <w:r w:rsidRPr="00CA715D">
        <w:rPr>
          <w:rFonts w:ascii="Lato" w:hAnsi="Lato" w:cs="Calibri"/>
          <w:i/>
          <w:sz w:val="16"/>
          <w:szCs w:val="16"/>
        </w:rPr>
        <w:t>Polityka Energetyczna Polski do 2030 roku</w:t>
      </w:r>
      <w:r w:rsidRPr="00CA715D">
        <w:rPr>
          <w:rFonts w:ascii="Lato" w:hAnsi="Lato" w:cs="Calibri"/>
          <w:sz w:val="16"/>
          <w:szCs w:val="16"/>
        </w:rPr>
        <w:t>. Dokument przyjęty przez Radę Ministrów w dniu 10 listopada 2009 roku.</w:t>
      </w:r>
    </w:p>
  </w:footnote>
  <w:footnote w:id="23">
    <w:p w14:paraId="39C11D00"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Dane GUS na temat parkingów „Park&amp;Ride” dostępne są od roku 2016.</w:t>
      </w:r>
    </w:p>
  </w:footnote>
  <w:footnote w:id="24">
    <w:p w14:paraId="4082546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Aneks 1 do RPO WZ 2014-2020 w zakresie zmiany wskaźników do Ram Wykonania oraz metodologii szacowania wskaźników</w:t>
      </w:r>
    </w:p>
    <w:p w14:paraId="62EBDCBC"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 xml:space="preserve"> Załącznik nr 1 do Regionalnego Programu Operacyjnego Województwa Zachodniopomorskiego 2014-2020. Informacja dotycząca ustanowienia Ram Wykonania do przekazania KE, 2014.</w:t>
      </w:r>
    </w:p>
  </w:footnote>
  <w:footnote w:id="25">
    <w:p w14:paraId="0D800DC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Aneks 1 do RPO WZ 2014-2020 w zakresie zmiany wskaźników do Ram Wykonania oraz metodologii szacowania wskaźników.</w:t>
      </w:r>
    </w:p>
  </w:footnote>
  <w:footnote w:id="26">
    <w:p w14:paraId="049DAAAB"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 Alsabry, W. Pigalski, Tm. Maciejewski, Teoretyczne a rzeczywiste zapotrzebowanie energetyczne na centralne ogrzewanie i wentylację mieszkań w budownictwie wielorodzinnym, [w:] Przegląd budowlany 11/2010, s. 39-45.</w:t>
      </w:r>
    </w:p>
  </w:footnote>
  <w:footnote w:id="27">
    <w:p w14:paraId="2FA9230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http://www.rpo.wzp.pl/sites/default/files/lista_rankingowa_25_20190130.pdf</w:t>
      </w:r>
    </w:p>
  </w:footnote>
  <w:footnote w:id="28">
    <w:p w14:paraId="06B0E91C"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Budowa, przebudowa obiektów/systemu infrastruktury zintegrowanego systemu transportu publicznego w celu ograniczenia ruchu drogowego w centrach miast.</w:t>
      </w:r>
    </w:p>
  </w:footnote>
  <w:footnote w:id="29">
    <w:p w14:paraId="4BEB816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Energetyka cieplna w liczbach 2013-2017, Urząd Regulacji Energetyki</w:t>
      </w:r>
    </w:p>
  </w:footnote>
  <w:footnote w:id="30">
    <w:p w14:paraId="24D143E3" w14:textId="77777777" w:rsidR="00763345" w:rsidRPr="00CA715D" w:rsidRDefault="00763345" w:rsidP="00CA715D">
      <w:pPr>
        <w:spacing w:before="0" w:after="0" w:line="240" w:lineRule="auto"/>
        <w:rPr>
          <w:rFonts w:cs="Calibri"/>
          <w:sz w:val="16"/>
          <w:szCs w:val="16"/>
        </w:rPr>
      </w:pPr>
      <w:r w:rsidRPr="00CA715D">
        <w:rPr>
          <w:rFonts w:cs="Calibri"/>
          <w:sz w:val="16"/>
          <w:szCs w:val="16"/>
        </w:rPr>
        <w:footnoteRef/>
      </w:r>
      <w:r w:rsidRPr="00CA715D">
        <w:rPr>
          <w:rFonts w:cs="Calibri"/>
          <w:sz w:val="16"/>
          <w:szCs w:val="16"/>
        </w:rPr>
        <w:t xml:space="preserve"> Natalia Gołąb, Ochrona przeciwpowodziowa Polski w latach 2007–2016, w: [red] Zofia Wilk-Woś, Andrzej Marjański, Bezpieczeństwo i zagrożenia kryzysowe. Źródła i rodzaje zagrożeń bezpieczeństwa, s.96</w:t>
      </w:r>
    </w:p>
  </w:footnote>
  <w:footnote w:id="31">
    <w:p w14:paraId="0B2616A9" w14:textId="77777777" w:rsidR="00763345" w:rsidRPr="00CA715D" w:rsidRDefault="00763345" w:rsidP="00CA715D">
      <w:pPr>
        <w:spacing w:before="0" w:after="0" w:line="240" w:lineRule="auto"/>
        <w:rPr>
          <w:sz w:val="16"/>
          <w:szCs w:val="16"/>
        </w:rPr>
      </w:pPr>
      <w:r w:rsidRPr="00CA715D">
        <w:rPr>
          <w:rFonts w:cs="Calibri"/>
          <w:sz w:val="16"/>
          <w:szCs w:val="16"/>
        </w:rPr>
        <w:footnoteRef/>
      </w:r>
      <w:r w:rsidRPr="00CA715D">
        <w:rPr>
          <w:rFonts w:cs="Calibri"/>
          <w:sz w:val="16"/>
          <w:szCs w:val="16"/>
        </w:rPr>
        <w:t xml:space="preserve"> Sweco Consulting Sp. z o.o, IMiGW – PIB. Raport z przeglądu i aktualizacji wstępnej oceny ryzyka powodziowego. Warszawa, grudzień 2018, zał. Mapa obszarów narażonych na niebezpieczeństwo powodzi</w:t>
      </w:r>
    </w:p>
  </w:footnote>
  <w:footnote w:id="32">
    <w:p w14:paraId="4F4017E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Lato" w:hAnsi="Lato"/>
          <w:sz w:val="16"/>
          <w:szCs w:val="16"/>
        </w:rPr>
        <w:footnoteRef/>
      </w:r>
      <w:r w:rsidRPr="00CA715D">
        <w:rPr>
          <w:rStyle w:val="Odwoanieprzypisudolnego"/>
          <w:rFonts w:ascii="Lato" w:eastAsia="Lato" w:hAnsi="Lato"/>
          <w:sz w:val="16"/>
          <w:szCs w:val="16"/>
        </w:rPr>
        <w:t xml:space="preserve"> </w:t>
      </w:r>
      <w:r w:rsidRPr="00CA715D">
        <w:rPr>
          <w:rFonts w:ascii="Lato" w:hAnsi="Lato"/>
          <w:sz w:val="16"/>
          <w:szCs w:val="16"/>
        </w:rPr>
        <w:t>Zmiany w prawodawstwie w zakresie ochrony środowiska spowodowały utratę faktycznej kontroli przez samorządy województwa nad wojewódzkimi funduszami ochrony środowiska. W przypadku RPO WZ nieuzasadnione stało się dalsze powierzanie Wojewódzkiemu Funduszowi Ochrony Środowiska i Gospodarki Wodnej w Szczecinie roli Instytucji Pośredniczącej RPO WZ (pierwotnym założeniem było komplementarne łączenie strumienia środków krajowych z unijnymi, które w kontekście utraty wpływu na ten podmiot przez Zarząd Województwa i podporządkowania funduszy ochrony środowiska ministrowi właściwemu ds. środowiska stanęło pod znakiem zapytania). Mimo, że IZ RPO WZ dołożyła wszelkich starań, aby zminimalizować wpływ zmiany organizacyjnej w systemie realizacji RPO WZ na tempo wdrażania Programu (przejęcie zadań IP przez IZ), przez pewien czas po zmianie dokonanej w maju 2017 r. funkcjonowanie systemu nie mogło być optymalne.</w:t>
      </w:r>
    </w:p>
  </w:footnote>
  <w:footnote w:id="33">
    <w:p w14:paraId="68E1CFD5" w14:textId="77777777" w:rsidR="00763345" w:rsidRPr="00CA715D" w:rsidRDefault="00763345" w:rsidP="00CA715D">
      <w:pPr>
        <w:pStyle w:val="Tekstprzypisudolnego"/>
        <w:spacing w:before="0" w:after="0" w:line="240" w:lineRule="auto"/>
        <w:rPr>
          <w:rFonts w:ascii="Lato" w:hAnsi="Lato" w:cs="Calibri"/>
          <w:sz w:val="16"/>
          <w:szCs w:val="16"/>
        </w:rPr>
      </w:pPr>
      <w:r w:rsidRPr="00CA715D">
        <w:rPr>
          <w:rStyle w:val="Odwoanieprzypisudolnego"/>
          <w:rFonts w:ascii="Lato" w:eastAsia="Lato" w:hAnsi="Lato" w:cs="Calibri"/>
          <w:sz w:val="16"/>
          <w:szCs w:val="16"/>
        </w:rPr>
        <w:footnoteRef/>
      </w:r>
      <w:r w:rsidRPr="00CA715D">
        <w:rPr>
          <w:rFonts w:ascii="Lato" w:hAnsi="Lato" w:cs="Calibri"/>
          <w:sz w:val="16"/>
          <w:szCs w:val="16"/>
        </w:rPr>
        <w:t xml:space="preserve"> </w:t>
      </w:r>
      <w:r w:rsidRPr="00CA715D">
        <w:rPr>
          <w:rFonts w:ascii="Lato" w:hAnsi="Lato" w:cs="Calibri"/>
          <w:iCs/>
          <w:color w:val="000000"/>
          <w:sz w:val="16"/>
          <w:szCs w:val="16"/>
        </w:rPr>
        <w:t>Dokument opracowany przez KZGW na potrzeby tworzenia i weryfikacji obszaru i granic aglomeracji w celu prawidłowego ich wyznaczania zgodnie z celami i przepisami dyrektywy Rady 91/271/EWG dotyczącej oczyszczania ścieków komunalnych, implementowanymi do prawodawstwa polskiego.</w:t>
      </w:r>
    </w:p>
  </w:footnote>
  <w:footnote w:id="34">
    <w:p w14:paraId="39EF133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olor w:val="000000"/>
          <w:sz w:val="16"/>
          <w:szCs w:val="16"/>
        </w:rPr>
        <w:t>Wykorzystanie ustabilizowanych KOŚ do produkcji nawozu lub środka wspomagającego wzrost roślin jest regulowane przez ustawę z dnia 10 lipca 2007 r. o nawozach i nawożeniu (tj. Dz.U. 2018 poz. 1259) oraz wydany na jej podstawie akt wykonawczy – rozporządzenie Ministra Rolnictwa i Rozwoju Wsi z dnia 18 czerwca 2008 r. w sprawie wykonania niektórych przepisów ustawy o nawozach i nawożeniu (Dz.U. 2008 nr 119 poz. 765).</w:t>
      </w:r>
    </w:p>
  </w:footnote>
  <w:footnote w:id="35">
    <w:p w14:paraId="23C01F76"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color w:val="000000"/>
          <w:sz w:val="16"/>
          <w:szCs w:val="16"/>
          <w:vertAlign w:val="superscript"/>
        </w:rPr>
        <w:footnoteRef/>
      </w:r>
      <w:r w:rsidRPr="00CA715D">
        <w:rPr>
          <w:rFonts w:ascii="Lato" w:hAnsi="Lato"/>
          <w:color w:val="000000"/>
          <w:sz w:val="16"/>
          <w:szCs w:val="16"/>
          <w:vertAlign w:val="superscript"/>
        </w:rPr>
        <w:t xml:space="preserve"> </w:t>
      </w:r>
      <w:r w:rsidRPr="00CA715D">
        <w:rPr>
          <w:rFonts w:ascii="Lato" w:hAnsi="Lato"/>
          <w:color w:val="000000"/>
          <w:sz w:val="16"/>
          <w:szCs w:val="16"/>
        </w:rPr>
        <w:t>Zgodnie z przepisami ustawy o odpadach KOŚ mogą być stosowane na gruntach pod warunkiem spełniania wymogów określonych w art. 96 ustawy z dnia 14 grudnia 2012 r. o odpadach (tj. Dz.U. 2018 poz. 992) oraz określonych w rozporządzeniu Ministra Środowiska z dnia 6 lutego 2015 r. w sprawie komunalnych osadów ściekowych (Dz.U. 2015 poz. 257).</w:t>
      </w:r>
    </w:p>
  </w:footnote>
  <w:footnote w:id="36">
    <w:p w14:paraId="1C83B17C" w14:textId="77777777" w:rsidR="00763345" w:rsidRPr="00CA715D" w:rsidRDefault="00763345" w:rsidP="00CA715D">
      <w:pPr>
        <w:pStyle w:val="Tekstprzypisudolnego"/>
        <w:spacing w:before="0" w:after="0" w:line="240" w:lineRule="auto"/>
        <w:rPr>
          <w:rFonts w:ascii="Lato" w:hAnsi="Lato"/>
          <w:color w:val="000000"/>
          <w:sz w:val="16"/>
          <w:szCs w:val="16"/>
        </w:rPr>
      </w:pPr>
      <w:r w:rsidRPr="00CA715D">
        <w:rPr>
          <w:rFonts w:ascii="Lato" w:hAnsi="Lato"/>
          <w:color w:val="000000"/>
          <w:sz w:val="16"/>
          <w:szCs w:val="16"/>
          <w:vertAlign w:val="superscript"/>
        </w:rPr>
        <w:footnoteRef/>
      </w:r>
      <w:r w:rsidRPr="00CA715D">
        <w:rPr>
          <w:rFonts w:ascii="Lato" w:hAnsi="Lato"/>
          <w:color w:val="000000"/>
          <w:sz w:val="16"/>
          <w:szCs w:val="16"/>
        </w:rPr>
        <w:t xml:space="preserve"> Wymagania dotyczące termicznego przekształcania odpadów, w tym KOŚ określono w art. 155-163 ustawy z dnia 14 grudnia 2012 r. o odpadach (tj</w:t>
      </w:r>
      <w:r w:rsidRPr="00CA715D">
        <w:rPr>
          <w:rFonts w:ascii="Lato" w:hAnsi="Lato"/>
          <w:color w:val="000000"/>
          <w:sz w:val="16"/>
          <w:szCs w:val="16"/>
          <w:vertAlign w:val="superscript"/>
        </w:rPr>
        <w:t>.</w:t>
      </w:r>
      <w:r w:rsidRPr="00CA715D">
        <w:rPr>
          <w:rFonts w:ascii="Lato" w:hAnsi="Lato"/>
          <w:color w:val="000000"/>
          <w:sz w:val="16"/>
          <w:szCs w:val="16"/>
        </w:rPr>
        <w:t xml:space="preserve"> Dz.U. 2018 poz. 992).</w:t>
      </w:r>
    </w:p>
  </w:footnote>
  <w:footnote w:id="37">
    <w:p w14:paraId="033C9DB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Wskaźnik Kluczowy etap wdrażania (KEW) jest stosowany wówczas, gdy wartość celu pośredniego oszacowana dla wskaźnika produktu jest równa zeru, a może być stosowany również wtedy, gdy jest ona niewielka lub trudna do oszacowania. Celem pośrednim (na koniec 2018 r.) było osiągnięcie wskaźnika KEW</w:t>
      </w:r>
    </w:p>
  </w:footnote>
  <w:footnote w:id="38">
    <w:p w14:paraId="477A594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Wynikający z linii demarkacyjnej z POIiŚ.</w:t>
      </w:r>
    </w:p>
  </w:footnote>
  <w:footnote w:id="39">
    <w:p w14:paraId="3BBEF72C"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Informacja kwartalna z realizacji programu operacyjnego IV kwartał 2018 r. Regionalny Program Operacyjny Województwa Zachodniopomorskiego 2014-2020.</w:t>
      </w:r>
    </w:p>
  </w:footnote>
  <w:footnote w:id="40">
    <w:p w14:paraId="281D145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n=10</w:t>
      </w:r>
    </w:p>
  </w:footnote>
  <w:footnote w:id="41">
    <w:p w14:paraId="7EA1769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n=8</w:t>
      </w:r>
    </w:p>
  </w:footnote>
  <w:footnote w:id="42">
    <w:p w14:paraId="1350434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n=10</w:t>
      </w:r>
    </w:p>
  </w:footnote>
  <w:footnote w:id="43">
    <w:p w14:paraId="0932819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n=17</w:t>
      </w:r>
    </w:p>
  </w:footnote>
  <w:footnote w:id="44">
    <w:p w14:paraId="71A17209"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zł, wg kursu z 28.12.2018</w:t>
      </w:r>
    </w:p>
  </w:footnote>
  <w:footnote w:id="45">
    <w:p w14:paraId="59A0C5B8"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J.w.</w:t>
      </w:r>
    </w:p>
  </w:footnote>
  <w:footnote w:id="46">
    <w:p w14:paraId="07CE06D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Przegląd regionalny</w:t>
      </w:r>
    </w:p>
  </w:footnote>
  <w:footnote w:id="47">
    <w:p w14:paraId="05E8A47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Wydział Zarządzania Strategicznego Urząd Marszałkowski Województwa Zachodniopomorskiego Szczecin, 2016.</w:t>
      </w:r>
    </w:p>
  </w:footnote>
  <w:footnote w:id="48">
    <w:p w14:paraId="48FA64F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Oszacowanie oczekiwanych rezultatów interwencji za pomocą miar dostępności transportowej dostosowanych do potrzeb dokumentów strategicznych i operacyjnych dot. perspektywy finansowej 2014-2020 (aktualizacja), IGiPZ PAN 2017</w:t>
      </w:r>
    </w:p>
  </w:footnote>
  <w:footnote w:id="49">
    <w:p w14:paraId="48FF20C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Oszacowanie oczekiwanych rezultatów interwencji za pomocą miar dostępności transportowej dostosowanych do potrzeb dokumentów strategicznych i operacyjnych dot. perspektywy finansowej 2014-2020 (aktualizacja), IGiPZ PAN 2017</w:t>
      </w:r>
    </w:p>
  </w:footnote>
  <w:footnote w:id="50">
    <w:p w14:paraId="7E98769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Oszacowanie oczekiwanych rezultatów interwencji za pomocą miar dostępności transportowej dostosowanych do potrzeb dokumentów strategicznych i operacyjnych dot. perspektywy finansowej 2014-2020 (aktualizacja), IGiPZ PAN 2017</w:t>
      </w:r>
    </w:p>
  </w:footnote>
  <w:footnote w:id="51">
    <w:p w14:paraId="3A0A369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M.in. Analiza sytuacji społeczno-ekonomicznej województwa zachodniopomorskiego w obszarach odziaływania EFS, Zachodniopomorskie Regionalne Obserwatorium Terytorialne, grudzień 2018 rok.</w:t>
      </w:r>
    </w:p>
  </w:footnote>
  <w:footnote w:id="52">
    <w:p w14:paraId="34DD912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Zgodnie z definicją bierności zawodowej BAEL / Zeszyt metodologiczny. Badanie Aktywności Ekonomicznej Ludności GUS, Warszawa 2018 r.</w:t>
      </w:r>
    </w:p>
  </w:footnote>
  <w:footnote w:id="53">
    <w:p w14:paraId="3317666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Regionalny program operacyjny województwa Zachodniopomorskiego 2014-2020, lipiec 2018 rok, s. 9</w:t>
      </w:r>
    </w:p>
  </w:footnote>
  <w:footnote w:id="54">
    <w:p w14:paraId="23BF7AD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M.in.: Konferencja naukowa zmiany na rynku pracy – perspektywa pracodawcy i pracownika, Akademia Pomorska, Słupsk, 2018 r.; </w:t>
      </w:r>
    </w:p>
  </w:footnote>
  <w:footnote w:id="55">
    <w:p w14:paraId="03D78D21" w14:textId="77777777" w:rsidR="00763345" w:rsidRPr="00CA715D" w:rsidRDefault="00763345" w:rsidP="00CA715D">
      <w:pPr>
        <w:pStyle w:val="Tekstprzypisudolnego"/>
        <w:spacing w:before="0" w:after="0" w:line="240" w:lineRule="auto"/>
        <w:rPr>
          <w:rFonts w:ascii="Lato" w:hAnsi="Lato"/>
          <w:sz w:val="16"/>
          <w:szCs w:val="16"/>
          <w:lang w:val="en-GB"/>
        </w:rPr>
      </w:pPr>
      <w:r w:rsidRPr="00CA715D">
        <w:rPr>
          <w:rStyle w:val="Odwoanieprzypisudolnego"/>
          <w:rFonts w:ascii="Lato" w:hAnsi="Lato"/>
          <w:sz w:val="16"/>
          <w:szCs w:val="16"/>
        </w:rPr>
        <w:footnoteRef/>
      </w:r>
      <w:r w:rsidRPr="00CA715D">
        <w:rPr>
          <w:rFonts w:ascii="Lato" w:hAnsi="Lato"/>
          <w:sz w:val="16"/>
          <w:szCs w:val="16"/>
          <w:lang w:val="en-GB"/>
        </w:rPr>
        <w:t xml:space="preserve"> M.in.: (1) Asset Building and Low-income Families, Signe-Mary McKernan, Michael Wayne Sherraden, The Urban Institute, 2008; (2) Assessing creditworthiness in consumer credit Summary of research findings, FCA / Financial Conduct Authority, July 2017</w:t>
      </w:r>
    </w:p>
  </w:footnote>
  <w:footnote w:id="56">
    <w:p w14:paraId="7F4DDF5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Aneks 1 do RPO WZ 2014-2020 w zakresie zmiany wskaźników do ram wykonania oraz metodologii szacowania wskaźników, s. 8.</w:t>
      </w:r>
    </w:p>
  </w:footnote>
  <w:footnote w:id="57">
    <w:p w14:paraId="697ECB5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obliczenia własne wykonawcy na podstawie danych SL2014 z dnia 07.01.2019 r. zweryfikowane z danymi zawartymi w informacji kwartalnej za IV kwartał 2018 rok</w:t>
      </w:r>
    </w:p>
  </w:footnote>
  <w:footnote w:id="58">
    <w:p w14:paraId="404C0A2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Alokacja UE ogółem (alokacja główna + rezerwa wykonania/RW) na Działania po uwzględnieniu zmian w Programie (zł, wg kursu z 28.12.2018) wynosi 374 343 600,00 zł; alokacja główna na Działanie (bez RW) wynosi 348 193 333,00 zł.</w:t>
      </w:r>
    </w:p>
  </w:footnote>
  <w:footnote w:id="59">
    <w:p w14:paraId="402E0E1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Umowy o dofinansowanie projektów (UoD) wg stanu na 07.01.2019 r.</w:t>
      </w:r>
    </w:p>
  </w:footnote>
  <w:footnote w:id="60">
    <w:p w14:paraId="41DFBB0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Wartość dofinansowania UE projektów realizujących w ramach Działania 6.5 wskaźnik: 129 355 109,11 zł / wartość docelowa wskaźnika wg. UoD: 14 023 osób.</w:t>
      </w:r>
    </w:p>
  </w:footnote>
  <w:footnote w:id="61">
    <w:p w14:paraId="3F18107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Załącznik do Programu Operacyjnego Województwa Zachodniopomorskiego na lata 2014 2020 zawierający informacje dotyczące Metodologii szacowania wartości docelowych dla wskaźników wybranych do realizacji w RPO WZ 2014-2020</w:t>
      </w:r>
    </w:p>
  </w:footnote>
  <w:footnote w:id="62">
    <w:p w14:paraId="193C227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Moduł do przeliczania cen bieżących na ceny stałe</w:t>
      </w:r>
      <w:r w:rsidRPr="00CA715D">
        <w:rPr>
          <w:rFonts w:ascii="Lato" w:hAnsi="Lato"/>
          <w:sz w:val="16"/>
          <w:szCs w:val="16"/>
        </w:rPr>
        <w:t xml:space="preserve"> został opracowany w ramach ekspertyzy „Analiza trafności oraz spójności systemu ram wykonania dla Umowy Partnerstwa i programów operacyjnych na lata 2014-2020”, wykonanej na zlecenia Ministerstwa Infrastruktury i Rozwoju przez IMAPP, wrzesień 2014 r.</w:t>
      </w:r>
    </w:p>
  </w:footnote>
  <w:footnote w:id="63">
    <w:p w14:paraId="3302C70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Definicja pojęcia stosowana w BAEL/ Badanie Aktywności Ekonomicznej Ludności, GUS: „stopa bezrobocia – procentowy udział bezrobotnych danej kategorii w liczbie aktywnych zawodowo danej kategorii, Zeszyt metodologiczny. Badanie Aktywności Ekonomicznej Ludności. GUS 2018 r.</w:t>
      </w:r>
    </w:p>
  </w:footnote>
  <w:footnote w:id="64">
    <w:p w14:paraId="0C9B5B2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Style w:val="Odwoanieprzypisudolnego"/>
          <w:rFonts w:ascii="Lato" w:hAnsi="Lato"/>
          <w:sz w:val="16"/>
          <w:szCs w:val="16"/>
        </w:rPr>
        <w:t xml:space="preserve"> </w:t>
      </w:r>
      <w:r w:rsidRPr="00CA715D">
        <w:rPr>
          <w:rFonts w:ascii="Lato" w:hAnsi="Lato"/>
          <w:sz w:val="16"/>
          <w:szCs w:val="16"/>
        </w:rPr>
        <w:t>Zgodnie z art. art. 49. ustawy z dnia 20 kwietnia 2004 r. o promocji zatrudnienia i instytucjach rynku pracy (Dz. U. z 2018 r. poz. 1265) osoby będące w szczególnej sytuacji na rynku pracy to:</w:t>
      </w:r>
    </w:p>
    <w:p w14:paraId="3F048C55"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1) bezrobotni do 30 roku życia,</w:t>
      </w:r>
    </w:p>
    <w:p w14:paraId="2C887651"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2) bezrobotni długotrwale,</w:t>
      </w:r>
    </w:p>
    <w:p w14:paraId="0A2FC850"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3) bezrobotni powyżej 50 roku życia,</w:t>
      </w:r>
    </w:p>
    <w:p w14:paraId="66245218"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4) bezrobotni korzystającym ze świadczeń z pomocy społecznej,</w:t>
      </w:r>
    </w:p>
    <w:p w14:paraId="1A6E42EE"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5) bezrobotni posiadającym co najmniej jedno dziecko do 6 roku życia lub co najmniej jedno dziecko niepełnosprawne do 18 roku życia,</w:t>
      </w:r>
    </w:p>
    <w:p w14:paraId="130A60A2"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6) bezrobotni niepełnosprawnym,</w:t>
      </w:r>
    </w:p>
    <w:p w14:paraId="1029D4DC" w14:textId="77777777" w:rsidR="00763345" w:rsidRPr="00CA715D" w:rsidRDefault="00763345" w:rsidP="00CA715D">
      <w:pPr>
        <w:pStyle w:val="Tekstprzypisudolnego"/>
        <w:spacing w:before="0" w:after="0" w:line="240" w:lineRule="auto"/>
        <w:rPr>
          <w:rFonts w:ascii="Lato" w:hAnsi="Lato"/>
          <w:sz w:val="16"/>
          <w:szCs w:val="16"/>
        </w:rPr>
      </w:pPr>
      <w:r w:rsidRPr="00CA715D">
        <w:rPr>
          <w:rFonts w:ascii="Lato" w:hAnsi="Lato"/>
          <w:sz w:val="16"/>
          <w:szCs w:val="16"/>
        </w:rPr>
        <w:t>7) poszukujący pracy niepozostający w zatrudnieniu lub niewykonujący innej pracy zarobkowej opiekunowie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w:t>
      </w:r>
    </w:p>
  </w:footnote>
  <w:footnote w:id="65">
    <w:p w14:paraId="2FD7C3A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Wg. stanu na październik 2018 rok – dane Ministerstwa Rodziny, Pracy i Polityki Społecznej</w:t>
      </w:r>
    </w:p>
  </w:footnote>
  <w:footnote w:id="66">
    <w:p w14:paraId="0378CAD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Style w:val="Odwoanieprzypisudolnego"/>
          <w:rFonts w:ascii="Lato" w:hAnsi="Lato"/>
          <w:sz w:val="16"/>
          <w:szCs w:val="16"/>
        </w:rPr>
        <w:t xml:space="preserve"> </w:t>
      </w:r>
      <w:r w:rsidRPr="00CA715D">
        <w:rPr>
          <w:rFonts w:ascii="Lato" w:hAnsi="Lato"/>
          <w:sz w:val="16"/>
          <w:szCs w:val="16"/>
        </w:rPr>
        <w:t>Wartość docelowa wskaźnika zakładana w projektach mających podpisaną UoD wynosi 2 458 osób (źródło: informacja kwartalna za IV kwartał 2019 rok)</w:t>
      </w:r>
    </w:p>
  </w:footnote>
  <w:footnote w:id="67">
    <w:p w14:paraId="4C09407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Ewaluacja ex-ante Regionalnego Programu Operacyjnego Województwa Zachodniopomorskiego 2014-2020”, Raport końcowy z badania, ECORYS Polska Sp. z o.o. oraz Agrotec Polska Sp. z o.o., 2014 r..</w:t>
      </w:r>
    </w:p>
  </w:footnote>
  <w:footnote w:id="68">
    <w:p w14:paraId="19F9EF5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Umowy o dofinansowanie projektów (UoD) wg stanu na 07.01.2019 r.</w:t>
      </w:r>
    </w:p>
  </w:footnote>
  <w:footnote w:id="69">
    <w:p w14:paraId="245FB09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Alokacja UE ogółem (alokacja główna + rezerwa wykonania/RW) na Działania po uwzględnieniu zmian w Programie (zł, wg kursu z 28.12.2018) wynosi 374 343 600,00 zł; alokacja główna na Działanie (bez RW) wynosi 348 193 333,00 zł.</w:t>
      </w:r>
    </w:p>
  </w:footnote>
  <w:footnote w:id="70">
    <w:p w14:paraId="0606CF2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Umowy o dofinansowanie projektów (UoD) wg stanu na 07.01.2019 r.</w:t>
      </w:r>
    </w:p>
  </w:footnote>
  <w:footnote w:id="71">
    <w:p w14:paraId="4E46B2E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bookmarkStart w:id="232" w:name="_Hlk1491376"/>
      <w:r w:rsidRPr="00CA715D">
        <w:rPr>
          <w:rFonts w:ascii="Lato" w:hAnsi="Lato"/>
          <w:sz w:val="16"/>
          <w:szCs w:val="16"/>
        </w:rPr>
        <w:t>Wartość dofinansowania UE projektów realizujących w ramach Działania 6.5 wskaźnik: 127 595 579,49 zł / wartość docelowa wskaźnika wg. UoD: 2 465 osób.</w:t>
      </w:r>
      <w:bookmarkEnd w:id="232"/>
    </w:p>
  </w:footnote>
  <w:footnote w:id="72">
    <w:p w14:paraId="094A6C0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Załącznik do Programu Operacyjnego Województwa Zachodniopomorskiego na lata 2014 2020 zawierający informacje dotyczące Metodologii szacowania wartości docelowych dla wskaźników wybranych do realizacji w RPO WZ 2014-2020</w:t>
      </w:r>
    </w:p>
  </w:footnote>
  <w:footnote w:id="73">
    <w:p w14:paraId="071E80F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Zgodnie z Komunikatem Prezesa Głównego Urzędu Statystycznego z dnia 11 lutego 2014 r. w sprawie przeciętnego wynagrodzenia w gospodarce narodowej w 2013 r. (Art. 20 pkt 1 lit. a ustawy z dnia 17 grudnia 1998 r. o emeryturach i rentach z Funduszu Ubezpieczeń Społecznych (Dz. U. z 2013 r. poz. 1440, 1717 i 1734)</w:t>
      </w:r>
    </w:p>
  </w:footnote>
  <w:footnote w:id="74">
    <w:p w14:paraId="384731D8" w14:textId="77777777" w:rsidR="00763345" w:rsidRPr="00CA715D" w:rsidRDefault="00763345" w:rsidP="00CA715D">
      <w:pPr>
        <w:pStyle w:val="Tekstprzypisudolnego"/>
        <w:spacing w:before="0" w:after="0" w:line="240" w:lineRule="auto"/>
        <w:rPr>
          <w:rFonts w:ascii="Lato" w:hAnsi="Lato"/>
          <w:sz w:val="16"/>
          <w:szCs w:val="16"/>
          <w:lang w:val="en-GB"/>
        </w:rPr>
      </w:pPr>
      <w:r w:rsidRPr="00CA715D">
        <w:rPr>
          <w:rStyle w:val="Odwoanieprzypisudolnego"/>
          <w:rFonts w:ascii="Lato" w:hAnsi="Lato"/>
          <w:sz w:val="16"/>
          <w:szCs w:val="16"/>
        </w:rPr>
        <w:footnoteRef/>
      </w:r>
      <w:r w:rsidRPr="00CA715D">
        <w:rPr>
          <w:rFonts w:ascii="Lato" w:hAnsi="Lato"/>
          <w:sz w:val="16"/>
          <w:szCs w:val="16"/>
          <w:lang w:val="en-GB"/>
        </w:rPr>
        <w:t xml:space="preserve"> M.in. 1) A. Libner, Mali szukają pieniędzy - kapitał dla MSP, Raport 2011 r., 2) Asset Building and Low-income Families, … op.cit.; 3) Assessing creditworthiness in consumer credit … op.cit.</w:t>
      </w:r>
    </w:p>
  </w:footnote>
  <w:footnote w:id="75">
    <w:p w14:paraId="1E4FED5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Wartość docelowa wskaźnika zakładana w projektach mających podpisaną UoD wynosi 15 810 (wg stanu na 07.01.2019 r.)</w:t>
      </w:r>
    </w:p>
  </w:footnote>
  <w:footnote w:id="76">
    <w:p w14:paraId="7B50A2C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Alokacja UE ogółem (alokacja główna + rezerwa wykonania/RW) na Działanie po uwzględnieniu zmian w Programie (zł, wg kursu z 28.12.2018) wynosi 120 435 372,00 zł.; alokacja główna na Działanie (bez RW) wynosi 112 022 201,82 zł.</w:t>
      </w:r>
    </w:p>
  </w:footnote>
  <w:footnote w:id="77">
    <w:p w14:paraId="5F80ADE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Wartość dofinansowania UE projektów realizujących w ramach Działania 6.5 wskaźnik: 68 539 479,52 zł / wartość docelowa wskaźnika wg</w:t>
      </w:r>
      <w:r w:rsidRPr="00CA715D">
        <w:rPr>
          <w:rFonts w:ascii="Lato" w:hAnsi="Lato"/>
          <w:sz w:val="16"/>
          <w:szCs w:val="16"/>
          <w:lang w:val="pl-PL"/>
        </w:rPr>
        <w:t xml:space="preserve"> </w:t>
      </w:r>
      <w:r w:rsidRPr="00CA715D">
        <w:rPr>
          <w:rFonts w:ascii="Lato" w:hAnsi="Lato"/>
          <w:sz w:val="16"/>
          <w:szCs w:val="16"/>
        </w:rPr>
        <w:t>UoD: 15 810 osób.</w:t>
      </w:r>
    </w:p>
  </w:footnote>
  <w:footnote w:id="78">
    <w:p w14:paraId="669BCD5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Moduł do przeliczania cen bieżących na ceny stałe</w:t>
      </w:r>
      <w:r w:rsidRPr="00CA715D">
        <w:rPr>
          <w:rFonts w:ascii="Lato" w:hAnsi="Lato"/>
          <w:sz w:val="16"/>
          <w:szCs w:val="16"/>
        </w:rPr>
        <w:t xml:space="preserve"> … op. cit..</w:t>
      </w:r>
    </w:p>
  </w:footnote>
  <w:footnote w:id="79">
    <w:p w14:paraId="022116F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zł, wg kursu z 28.12.2018</w:t>
      </w:r>
    </w:p>
  </w:footnote>
  <w:footnote w:id="80">
    <w:p w14:paraId="4A7BAAF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J.w.</w:t>
      </w:r>
    </w:p>
  </w:footnote>
  <w:footnote w:id="81">
    <w:p w14:paraId="055ADBB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(Dz. U. poz. 656 oraz z 2015 r. poz. 1373)</w:t>
      </w:r>
    </w:p>
  </w:footnote>
  <w:footnote w:id="82">
    <w:p w14:paraId="09ACC4D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Rozporządzenie Ministra Rozwoju z dnia 15 lipca 2016 r. zmieniające rozporządzenie w sprawie Krajowego Systemu Usług dla Małych i Średnich Przedsiębiorstw Dz.U. 2016 poz. 1129</w:t>
      </w:r>
    </w:p>
  </w:footnote>
  <w:footnote w:id="83">
    <w:p w14:paraId="44093F0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Całkowita prognozowana wartość wskaźnika do osiągnięcia (wartość docelowa w UoD + prognozowana proporcjonalna z kosztu jednostkowego w UoD)</w:t>
      </w:r>
    </w:p>
  </w:footnote>
  <w:footnote w:id="84">
    <w:p w14:paraId="31C2F8B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Prognoza proporcjonalna z pozostałej alokacji</w:t>
      </w:r>
    </w:p>
  </w:footnote>
  <w:footnote w:id="85">
    <w:p w14:paraId="1FCC0E7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Prognozowany % osiągnięcia wartości wskaźnika w Programie (Całkowita prognozowana wartość wskaźnika do osiągnięcia/ Zakładana wartość w Programie)</w:t>
      </w:r>
    </w:p>
  </w:footnote>
  <w:footnote w:id="86">
    <w:p w14:paraId="72530B5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zł, wg kursu z 28.12.2018</w:t>
      </w:r>
    </w:p>
  </w:footnote>
  <w:footnote w:id="87">
    <w:p w14:paraId="76E635C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J.w.</w:t>
      </w:r>
    </w:p>
  </w:footnote>
  <w:footnote w:id="88">
    <w:p w14:paraId="78AB2B2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Ewaluacja ex-ante </w:t>
      </w:r>
      <w:bookmarkStart w:id="250" w:name="_Hlk6475138"/>
      <w:r w:rsidRPr="00CA715D">
        <w:rPr>
          <w:rFonts w:ascii="Lato" w:hAnsi="Lato"/>
          <w:sz w:val="16"/>
          <w:szCs w:val="16"/>
        </w:rPr>
        <w:t xml:space="preserve">instrumentów finansowych wdrażanych w województwie zachodniopomorskim w latach 2014-2020 </w:t>
      </w:r>
      <w:bookmarkEnd w:id="250"/>
      <w:r w:rsidRPr="00CA715D">
        <w:rPr>
          <w:rFonts w:ascii="Lato" w:hAnsi="Lato"/>
          <w:sz w:val="16"/>
          <w:szCs w:val="16"/>
        </w:rPr>
        <w:t>Raport końcowy, IMAPP i PAG Uniconsult, Warszawa 2014 r.</w:t>
      </w:r>
    </w:p>
  </w:footnote>
  <w:footnote w:id="89">
    <w:p w14:paraId="59A25E3D"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Op. cit.</w:t>
      </w:r>
    </w:p>
  </w:footnote>
  <w:footnote w:id="90">
    <w:p w14:paraId="45062E7D"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Op. cit.</w:t>
      </w:r>
    </w:p>
  </w:footnote>
  <w:footnote w:id="91">
    <w:p w14:paraId="19325392"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zaleceń sformułowanych w raporcie końcowym z ewaluacji ex-ante instrumentów finansowych wdrażanych w województwie zachodniopomorskim w latach 2014-2020, op. cit.</w:t>
      </w:r>
    </w:p>
  </w:footnote>
  <w:footnote w:id="92">
    <w:p w14:paraId="3ABCB99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zł, wg kursu z 28.12.2018</w:t>
      </w:r>
    </w:p>
  </w:footnote>
  <w:footnote w:id="93">
    <w:p w14:paraId="7527CBF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J.w.</w:t>
      </w:r>
    </w:p>
  </w:footnote>
  <w:footnote w:id="94">
    <w:p w14:paraId="12C97A5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zł, wg kursu z 28.12.2018</w:t>
      </w:r>
    </w:p>
  </w:footnote>
  <w:footnote w:id="95">
    <w:p w14:paraId="5667DFFB"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J.w.</w:t>
      </w:r>
    </w:p>
  </w:footnote>
  <w:footnote w:id="96">
    <w:p w14:paraId="6A0881BD"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Krajowe ramy strategiczne Policy paper dla ochrony zdrowia na lata 2014–2020, Warszawa, lipiec 2015 r.</w:t>
      </w:r>
    </w:p>
  </w:footnote>
  <w:footnote w:id="97">
    <w:p w14:paraId="63661C87"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 Czupryna, S. Poździoch, A. Ryś, W.C. Włodarczyk, Zdrowie publiczne, T. I i II, UWM, Kraków 2001; Kitajewska W., Szeląg W., Kopański Z, Maslyak Z., Sklyarow I. Choroby cywilizacyjne i ich prewencja; Journal of Clinical Health care – www.jchc.eu/numery/2014-1/2014-11</w:t>
      </w:r>
    </w:p>
  </w:footnote>
  <w:footnote w:id="98">
    <w:p w14:paraId="5F61645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RPO WZ 2014-2020</w:t>
      </w:r>
    </w:p>
  </w:footnote>
  <w:footnote w:id="99">
    <w:p w14:paraId="3652929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dane UM WZ zamieszczone na stronie </w:t>
      </w:r>
      <w:hyperlink r:id="rId2" w:history="1">
        <w:r w:rsidRPr="00CA715D">
          <w:rPr>
            <w:rStyle w:val="Hipercze"/>
            <w:rFonts w:ascii="Lato" w:hAnsi="Lato"/>
            <w:sz w:val="16"/>
            <w:szCs w:val="16"/>
          </w:rPr>
          <w:t>www.es.wzp.pl</w:t>
        </w:r>
      </w:hyperlink>
      <w:r w:rsidRPr="00CA715D">
        <w:rPr>
          <w:rFonts w:ascii="Lato" w:hAnsi="Lato"/>
          <w:sz w:val="16"/>
          <w:szCs w:val="16"/>
        </w:rPr>
        <w:t xml:space="preserve"> [dostępne dane: stan na październik 2018]</w:t>
      </w:r>
    </w:p>
  </w:footnote>
  <w:footnote w:id="100">
    <w:p w14:paraId="18CEFE9B"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dane GUS</w:t>
      </w:r>
    </w:p>
  </w:footnote>
  <w:footnote w:id="101">
    <w:p w14:paraId="580A3FE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Analiza sytuacji społeczno - ekonomicznej województwa zachodniopomorskiego w obszarach oddziaływania Europejskiego Funduszu Społecznego [raport]</w:t>
      </w:r>
    </w:p>
  </w:footnote>
  <w:footnote w:id="102">
    <w:p w14:paraId="1C4322B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Lista zawodów deficytowych w Województwie Zachodniopomorskim według struktury klasyfikacji zawodów i specjalności</w:t>
      </w:r>
    </w:p>
  </w:footnote>
  <w:footnote w:id="103">
    <w:p w14:paraId="56989CF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dane GUS</w:t>
      </w:r>
    </w:p>
  </w:footnote>
  <w:footnote w:id="104">
    <w:p w14:paraId="37CB076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Według zapisów Regionalnego Programu Operacyjnego Województwa Zachodniopomorskiego 2014-2020 (wersja obowiązująca od 26.07.2018, Tabela 6. Ramy Wykonania osi priorytetowej, w podziale na fundusze i kategorie regionów, str. 237) wskaźnik włączony do RW </w:t>
      </w:r>
      <w:r w:rsidRPr="00CA715D">
        <w:rPr>
          <w:rFonts w:ascii="Lato" w:hAnsi="Lato"/>
          <w:i/>
          <w:sz w:val="16"/>
          <w:szCs w:val="16"/>
        </w:rPr>
        <w:t xml:space="preserve">Liczba osób zagrożonych ubóstwem lub wykluczeniem społecznym objętych wsparciem w programie </w:t>
      </w:r>
      <w:r w:rsidRPr="00CA715D">
        <w:rPr>
          <w:rFonts w:ascii="Lato" w:hAnsi="Lato"/>
          <w:sz w:val="16"/>
          <w:szCs w:val="16"/>
        </w:rPr>
        <w:t xml:space="preserve">powinien osiągnąć w 2023 roku wartość 15230 osób i dotyczy projektów realizowanych w ramach PI9i. Z informacji kwartalnej (na dzień 31.12.2018, tabela nr 4) wynika jednak, że ww. wskaźnik realizują PI9i, PI9iv, PI9v. Wartość kumulatywna wskaźnika / KEW oraz Cel pośredni na 2018 r. zostały policzone w informacji kwartalnej jako sumy tych wartości dla PI9i, PI9iv, PI9v, zatem zgodnie z logiką interwencji sugerujemy, że również wartość wskaźnika założona do osiągnięcia w 2023 roku powinna być sumą wartości wskaźników założonych do osiągnięcia w 2023 w ramach poszczególnych PI tj. - PI9i, PI9iv oraz PI9v - suma ta wynosi 30406. W niniejszym raporcie analizy oraz dane zostały przedstawione z uwzględnieniem liczby 30406 osób. </w:t>
      </w:r>
    </w:p>
  </w:footnote>
  <w:footnote w:id="105">
    <w:p w14:paraId="02E6BE9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RPO WZ 2014-2020</w:t>
      </w:r>
    </w:p>
  </w:footnote>
  <w:footnote w:id="106">
    <w:p w14:paraId="6929D8E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dane GUS</w:t>
      </w:r>
    </w:p>
  </w:footnote>
  <w:footnote w:id="107">
    <w:p w14:paraId="0573FFE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metodologii szacowania kosztów jednostkowych z uwagi na brak projektów tego typu w poprzedniej perspektywie finansowej nie oszacowano kosztu dla miejsca świadczenia usługi zdrowotnej. W ramach RPO WZ nie wsparto jak dotąd żadnego miejsca. W pozostałych województwach koszt ten jest bardzo zróżnicowany. Nieznany jest koszt rzeczywisty wsparcia miejsca świadczenia usługi zdrowotnej. W związku z powyższym nie jest zasadne prognozowanie tego kosztu w ramach obecnie realizowanego badania. </w:t>
      </w:r>
    </w:p>
  </w:footnote>
  <w:footnote w:id="108">
    <w:p w14:paraId="4E2CF87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związku z niskim stopniem realizacji tego wskaźnika w ramach RPO WZ wynikającym z faktu, że żaden projekt nie zakończył jeszcze swojej realizacji rzetelne zaprognozowanie tego wskaźnika rezultatu nie jest zasadne w ramach obecnie realizowanego badania. </w:t>
      </w:r>
    </w:p>
  </w:footnote>
  <w:footnote w:id="109">
    <w:p w14:paraId="2E43D16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font257"/>
          <w:sz w:val="16"/>
          <w:szCs w:val="16"/>
        </w:rPr>
        <w:t>Evalu i WiseEuropa (2017) na zlecenie Ministerstwa Rozwoju. Badanie wpływu polityki spójności 2007-2013 na poziom ubóstwa i zapobieganie wykluczeniu społecznemu, s. 83</w:t>
      </w:r>
    </w:p>
    <w:p w14:paraId="7AC45744" w14:textId="77777777" w:rsidR="00763345" w:rsidRPr="00CA715D" w:rsidRDefault="00763345" w:rsidP="00CA715D">
      <w:pPr>
        <w:pStyle w:val="Tekstprzypisudolnego"/>
        <w:spacing w:before="0" w:after="0" w:line="240" w:lineRule="auto"/>
        <w:rPr>
          <w:rFonts w:ascii="Lato" w:hAnsi="Lato"/>
          <w:sz w:val="16"/>
          <w:szCs w:val="16"/>
        </w:rPr>
      </w:pPr>
    </w:p>
  </w:footnote>
  <w:footnote w:id="110">
    <w:p w14:paraId="5954D485"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Edukacja i wychowanie w województwie zachodniopomorskim w latach szkolnych 2014/15–2016/17, Urząd Statystyczny w Szczecinie 2018.</w:t>
      </w:r>
    </w:p>
  </w:footnote>
  <w:footnote w:id="111">
    <w:p w14:paraId="2669E63B"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Analiza sytuacji społeczno - ekonomicznej województwa zachodniopomorskiego w obszarach oddziaływania Europejskiego Funduszu Społecznego [raport]</w:t>
      </w:r>
    </w:p>
  </w:footnote>
  <w:footnote w:id="112">
    <w:p w14:paraId="47B23F33"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 </w:t>
      </w:r>
      <w:r w:rsidRPr="00CA715D">
        <w:rPr>
          <w:rFonts w:ascii="Lato" w:hAnsi="Lato" w:cs="Calibri"/>
          <w:sz w:val="16"/>
          <w:szCs w:val="16"/>
        </w:rPr>
        <w:t>nie obowiązek uczęszczania do przedszkola, jak w przypadku sześciolatków.</w:t>
      </w:r>
    </w:p>
  </w:footnote>
  <w:footnote w:id="113">
    <w:p w14:paraId="1C2F523C"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analizie pominięto miasta na prawach powiatów.</w:t>
      </w:r>
    </w:p>
  </w:footnote>
  <w:footnote w:id="114">
    <w:p w14:paraId="5E727EF1"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Wymieniony najniższy poziom współczynnika powszechności edukacji przedszkolnej wśród dzieci w wieku 3-5 lat jest obserwowany w gminie Brojce. Drugą gminą o najniższej wartości tego współczynnika jest Darłowo (39,9%).</w:t>
      </w:r>
    </w:p>
  </w:footnote>
  <w:footnote w:id="115">
    <w:p w14:paraId="697CD7C3" w14:textId="77777777" w:rsidR="00763345" w:rsidRPr="00CA715D" w:rsidRDefault="00763345" w:rsidP="00CA715D">
      <w:pPr>
        <w:pStyle w:val="Tekstprzypisudolnego"/>
        <w:spacing w:before="0" w:after="0"/>
        <w:rPr>
          <w:rFonts w:ascii="Lato" w:hAnsi="Lato" w:cs="Calibri"/>
          <w:sz w:val="16"/>
          <w:szCs w:val="16"/>
        </w:rPr>
      </w:pPr>
      <w:r w:rsidRPr="00CA715D">
        <w:rPr>
          <w:rStyle w:val="Odwoanieprzypisudolnego"/>
          <w:rFonts w:ascii="Lato" w:eastAsia="Calibri" w:hAnsi="Lato" w:cs="Calibri"/>
          <w:sz w:val="16"/>
          <w:szCs w:val="16"/>
        </w:rPr>
        <w:footnoteRef/>
      </w:r>
      <w:r w:rsidRPr="00CA715D">
        <w:rPr>
          <w:rFonts w:ascii="Lato" w:hAnsi="Lato" w:cs="Calibri"/>
          <w:sz w:val="16"/>
          <w:szCs w:val="16"/>
        </w:rPr>
        <w:t xml:space="preserve"> </w:t>
      </w:r>
      <w:r w:rsidRPr="00CA715D">
        <w:rPr>
          <w:rStyle w:val="leaf"/>
          <w:rFonts w:ascii="Lato" w:hAnsi="Lato" w:cs="Calibri"/>
          <w:sz w:val="16"/>
          <w:szCs w:val="16"/>
        </w:rPr>
        <w:t>Średniookresowe efekty projektu Cyfrowa Szkoła, IBE 2016.</w:t>
      </w:r>
    </w:p>
  </w:footnote>
  <w:footnote w:id="116">
    <w:p w14:paraId="756E4979"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Liczba ta obejmuje uczniów zasadniczych szkół zawodowych i szkół przysposabiających.</w:t>
      </w:r>
    </w:p>
  </w:footnote>
  <w:footnote w:id="117">
    <w:p w14:paraId="2305ADE8"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Diagnoza oferty i potrzeb placówek edukacyjnych województwa zachodniopomorskiego w obszarze szkolnictwa zawodowego Instytut Analiz, Diagnoz i Prognoz Gospodarczych, Szczecin 2014.</w:t>
      </w:r>
    </w:p>
  </w:footnote>
  <w:footnote w:id="118">
    <w:p w14:paraId="2BED5601"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Źródło: Edukacja i wychowanie w województwie zachodniopomorskim w latach szkolnych 2014/15–2016/17, Urząd Statystyczny w Szczecinie 2018.</w:t>
      </w:r>
    </w:p>
  </w:footnote>
  <w:footnote w:id="119">
    <w:p w14:paraId="4B092B18"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Informacja udzielona przez IZ RPO WZ na podstawie wstępnych wyników badania ewaluacyjnego pt. </w:t>
      </w:r>
      <w:r w:rsidRPr="00CA715D">
        <w:rPr>
          <w:rFonts w:ascii="Lato" w:hAnsi="Lato"/>
          <w:i/>
          <w:sz w:val="16"/>
          <w:szCs w:val="16"/>
        </w:rPr>
        <w:t>Ewaluacja działań podejmowanych w ramach RPO WZ 2014-2020 na rzecz edukacji zawodowej w powiązaniu z zapotrzebowaniem regionalnego rynku pracy</w:t>
      </w:r>
      <w:r w:rsidRPr="00CA715D">
        <w:rPr>
          <w:rFonts w:ascii="Lato" w:hAnsi="Lato"/>
          <w:sz w:val="16"/>
          <w:szCs w:val="16"/>
        </w:rPr>
        <w:t>, realizowanego na zlecenie Urzędu Marszałkowskiego Województwa Zachodniopomorskiego.</w:t>
      </w:r>
    </w:p>
  </w:footnote>
  <w:footnote w:id="120">
    <w:p w14:paraId="39C7238B"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Zub M., Penszko P. (red.) (2018) Ewaluacja wsparcia realizowanego w obszarze edukacji w ramach Europejskiego Funduszu Społecznego I Raport cząstkowy. Warszawa: Ministerstwo Inwestycji i Rozwoju.</w:t>
      </w:r>
    </w:p>
  </w:footnote>
  <w:footnote w:id="121">
    <w:p w14:paraId="27AB4D9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i/>
          <w:sz w:val="16"/>
          <w:szCs w:val="16"/>
        </w:rPr>
        <w:t>Analiza sytuacji województw w obszarach oddziaływania Europejskiego Funduszu Społecznego w latach 2015-2017</w:t>
      </w:r>
      <w:r w:rsidRPr="00CA715D">
        <w:rPr>
          <w:rFonts w:ascii="Lato" w:hAnsi="Lato"/>
          <w:sz w:val="16"/>
          <w:szCs w:val="16"/>
        </w:rPr>
        <w:t>, Re-Source 2018.</w:t>
      </w:r>
    </w:p>
  </w:footnote>
  <w:footnote w:id="122">
    <w:p w14:paraId="71CC2EE8"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Biuletyn statystyczny CSIOZ dla lat 2013 i 2018. </w:t>
      </w:r>
    </w:p>
  </w:footnote>
  <w:footnote w:id="123">
    <w:p w14:paraId="41307C0F"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Przegląd regionalny województwa zachodniopomorskiego</w:t>
      </w:r>
      <w:r w:rsidRPr="00CA715D">
        <w:rPr>
          <w:rFonts w:ascii="Lato" w:hAnsi="Lato"/>
          <w:sz w:val="16"/>
          <w:szCs w:val="16"/>
        </w:rPr>
        <w:t>, 2018.</w:t>
      </w:r>
    </w:p>
  </w:footnote>
  <w:footnote w:id="124">
    <w:p w14:paraId="7C141600"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w:t>
      </w:r>
      <w:r w:rsidRPr="00CA715D">
        <w:rPr>
          <w:rFonts w:ascii="Lato" w:hAnsi="Lato" w:cs="Arial"/>
          <w:sz w:val="16"/>
          <w:szCs w:val="16"/>
        </w:rPr>
        <w:t>pecjalna Strefa Włączenia na obszarze województwa zachodniopomorskiego oraz planowane kierunki działań interwencyjnych, UM WZ 2018</w:t>
      </w:r>
    </w:p>
  </w:footnote>
  <w:footnote w:id="125">
    <w:p w14:paraId="299CF3F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roku 2017 podjęto decyzję o przesunięciu środków przeznaczonych na realizację Działania 9.4 Inwestycje w infrastrukturę podmiotów prowadzących kształcenie ogólne na poziomie podstawowym, gimnazjalnym i ponadgimnazjalnym na Działanie 9.8. Infrastruktura szkolnictwa zawodowego oraz Działanie 9.9. Infrastruktura szkolnictwa zawodowego w ramach Kontraktów Samorządowych.</w:t>
      </w:r>
    </w:p>
  </w:footnote>
  <w:footnote w:id="126">
    <w:p w14:paraId="0547146F" w14:textId="77777777" w:rsidR="00763345" w:rsidRPr="00CA715D" w:rsidRDefault="00763345" w:rsidP="00CA715D">
      <w:pPr>
        <w:spacing w:before="0" w:after="0" w:line="240" w:lineRule="auto"/>
        <w:rPr>
          <w:sz w:val="16"/>
          <w:szCs w:val="16"/>
        </w:rPr>
      </w:pPr>
      <w:r w:rsidRPr="00CA715D">
        <w:rPr>
          <w:rStyle w:val="Odwoanieprzypisudolnego"/>
          <w:sz w:val="16"/>
          <w:szCs w:val="16"/>
        </w:rPr>
        <w:footnoteRef/>
      </w:r>
      <w:r w:rsidRPr="00CA715D">
        <w:rPr>
          <w:sz w:val="16"/>
          <w:szCs w:val="16"/>
        </w:rPr>
        <w:t xml:space="preserve"> </w:t>
      </w:r>
      <w:r w:rsidRPr="00CA715D">
        <w:rPr>
          <w:i/>
          <w:sz w:val="16"/>
          <w:szCs w:val="16"/>
        </w:rPr>
        <w:t>Diagnoza oferty i potrzeb placówek edukacyjnych województwa zachodniopomorskiego w obszarze szkolnictwa zawodowego</w:t>
      </w:r>
      <w:r w:rsidRPr="00CA715D">
        <w:rPr>
          <w:sz w:val="16"/>
          <w:szCs w:val="16"/>
        </w:rPr>
        <w:t>, 2014, badanie zlecone przez WUP Szczecin.</w:t>
      </w:r>
    </w:p>
    <w:p w14:paraId="12E79C6D" w14:textId="77777777" w:rsidR="00763345" w:rsidRPr="00CA715D" w:rsidRDefault="00763345" w:rsidP="00CA715D">
      <w:pPr>
        <w:pStyle w:val="Tekstprzypisudolnego"/>
        <w:spacing w:before="0" w:after="0" w:line="240" w:lineRule="auto"/>
        <w:rPr>
          <w:rFonts w:ascii="Lato" w:hAnsi="Lato"/>
          <w:sz w:val="16"/>
          <w:szCs w:val="16"/>
        </w:rPr>
      </w:pPr>
    </w:p>
  </w:footnote>
  <w:footnote w:id="127">
    <w:p w14:paraId="5A68BA9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eastAsia="Calibri" w:hAnsi="Lato" w:cs="Segoe UI"/>
          <w:color w:val="000000"/>
          <w:sz w:val="16"/>
          <w:szCs w:val="16"/>
          <w:lang w:eastAsia="en-US"/>
        </w:rPr>
        <w:t>Sytuacja_osób_młodych_na_rynku_pracy_w_województwie_zachodniopomorskim_w_2017 roku, WUP Szczecin 2018.</w:t>
      </w:r>
    </w:p>
  </w:footnote>
  <w:footnote w:id="128">
    <w:p w14:paraId="7ECC220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Barometr zawodów 2019 – województwo zachodniopomorskie, WUP Szczecin 2018.</w:t>
      </w:r>
    </w:p>
  </w:footnote>
  <w:footnote w:id="129">
    <w:p w14:paraId="78415BB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Wpływ cyfryzacji na działanie administracji publicznej w Polsce, PBS, Warszawa 2012; Wpływ cyfryzacji na działanie administracji publicznej w Polsce, ASM, Warszawa 2015.</w:t>
      </w:r>
    </w:p>
  </w:footnote>
  <w:footnote w:id="130">
    <w:p w14:paraId="7E67CC0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Style w:val="Odwoanieprzypisudolnego"/>
          <w:rFonts w:ascii="Lato" w:hAnsi="Lato"/>
          <w:sz w:val="16"/>
          <w:szCs w:val="16"/>
        </w:rPr>
        <w:t xml:space="preserve"> </w:t>
      </w:r>
      <w:r w:rsidRPr="00CA715D">
        <w:rPr>
          <w:rFonts w:ascii="Lato" w:hAnsi="Lato"/>
          <w:sz w:val="16"/>
          <w:szCs w:val="16"/>
        </w:rPr>
        <w:t>Społeczeństwo informacyjne w Polsce. Wyniki badań statystycznych z lat 2014–2018, GUS, Warszawa, Szczecin 2018.</w:t>
      </w:r>
    </w:p>
  </w:footnote>
  <w:footnote w:id="131">
    <w:p w14:paraId="6F0BE975"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Otwarte dane publiczne (Open data) to dane instytucji i urzędów, z których każdy może korzystać. Na bazie otwartych danych publicznych na świecie powstaje coraz więcej nowoczesnych produktów i usług. Są one źródłem realnych oszczędności środków finansowych i czasu. Odbiorcy mogą korzystać z zasobów danych publicznych realizując własne cele, rozwijając działalność gospodarczą, społeczną oraz prowadząc badania.</w:t>
      </w:r>
    </w:p>
  </w:footnote>
  <w:footnote w:id="132">
    <w:p w14:paraId="37082C8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Może wynikać to jednak z metodologii szacowania tego wskaźnika, która opiera się na badaniu reprezentacyjnym, ankietowym, realizowanym metodą wywiadu bezpośredniego, w którym udział jest dobrowolny. Badanie odbywa się w kwietniu każdego roku.</w:t>
      </w:r>
    </w:p>
  </w:footnote>
  <w:footnote w:id="133">
    <w:p w14:paraId="4FA04C92" w14:textId="77777777" w:rsidR="00763345" w:rsidRPr="00CA715D" w:rsidRDefault="00763345" w:rsidP="00CA715D">
      <w:pPr>
        <w:spacing w:before="0" w:after="0" w:line="240" w:lineRule="auto"/>
        <w:rPr>
          <w:color w:val="000000"/>
          <w:sz w:val="16"/>
          <w:szCs w:val="16"/>
        </w:rPr>
      </w:pPr>
      <w:r w:rsidRPr="00CA715D">
        <w:rPr>
          <w:rStyle w:val="Odwoanieprzypisudolnego"/>
          <w:sz w:val="16"/>
          <w:szCs w:val="16"/>
        </w:rPr>
        <w:footnoteRef/>
      </w:r>
      <w:r w:rsidRPr="00CA715D">
        <w:rPr>
          <w:sz w:val="16"/>
          <w:szCs w:val="16"/>
        </w:rPr>
        <w:t xml:space="preserve"> Prognoza została przeprowadzona poprzez podzielenie alokacji PI 9b nie objętej umowami o dofinansowanie na dzień 07.01.2019 roku w wysokości </w:t>
      </w:r>
      <w:r w:rsidRPr="00CA715D">
        <w:rPr>
          <w:color w:val="000000"/>
          <w:sz w:val="16"/>
          <w:szCs w:val="16"/>
        </w:rPr>
        <w:t xml:space="preserve">117 409 504,95 przez średni koszt zrewitalizowania 1 ha powierzchni w dotychczas realizowanych projektach w wysokości 2 477 361,78 zł oraz przez średni koszt wsparcia 1 obiektu na zrewitalizowanych obszarach w wysokości 647 257,70 zł . </w:t>
      </w:r>
    </w:p>
  </w:footnote>
  <w:footnote w:id="134">
    <w:p w14:paraId="53A6529B"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Co wedle kursu z 28.12.2018 roku stanowiło 86 056 000 zł.</w:t>
      </w:r>
    </w:p>
  </w:footnote>
  <w:footnote w:id="135">
    <w:p w14:paraId="2EBBEEC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Przedstawiony już wcześniej wskaźnik </w:t>
      </w:r>
      <w:r w:rsidRPr="00CA715D">
        <w:rPr>
          <w:rFonts w:ascii="Lato" w:hAnsi="Lato" w:cs="Calibri"/>
          <w:i/>
          <w:color w:val="000000"/>
          <w:sz w:val="16"/>
          <w:szCs w:val="16"/>
        </w:rPr>
        <w:t>Osoby korzystające z usług administracji publicznej za pomocą Internetu w ciągu ostatnich 12 miesięcy.</w:t>
      </w:r>
    </w:p>
  </w:footnote>
  <w:footnote w:id="136">
    <w:p w14:paraId="7AC44CC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strateg.gov.pl.</w:t>
      </w:r>
      <w:r w:rsidRPr="00CA715D">
        <w:rPr>
          <w:rFonts w:ascii="Lato" w:hAnsi="Lato"/>
          <w:i/>
          <w:sz w:val="16"/>
          <w:szCs w:val="16"/>
        </w:rPr>
        <w:t xml:space="preserve"> </w:t>
      </w:r>
    </w:p>
  </w:footnote>
  <w:footnote w:id="137">
    <w:p w14:paraId="57C1DA70"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38">
    <w:p w14:paraId="42E5CF6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39">
    <w:p w14:paraId="0553998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eastAsia="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40">
    <w:p w14:paraId="7334F54D"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41">
    <w:p w14:paraId="51B38C7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Stowarzyszenie Szczecińskiego Obszaru Metropolitalnego, Strategia Zintegrowanych Inwestycji Terytorialnych Szczecińskiego Obszaru Metropolitalnego (wersja 2.0), Szczecin 2018, s. 160, 163.</w:t>
      </w:r>
    </w:p>
  </w:footnote>
  <w:footnote w:id="142">
    <w:p w14:paraId="701FECD1"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43">
    <w:p w14:paraId="13CD145A"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44">
    <w:p w14:paraId="3D926F14"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45">
    <w:p w14:paraId="35BC167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Stowarzyszenie Szczecińskiego Obszaru Metropolitalnego, Strategia Zintegrowanych Inwestycji Terytorialnych Szczecińskiego Obszaru Metropolitalnego (wersja 2.0), Szczecin 2018, s. 183.</w:t>
      </w:r>
    </w:p>
  </w:footnote>
  <w:footnote w:id="146">
    <w:p w14:paraId="0BB61ED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Strategia Zintegrowanych Inwestycji Terytorialnych Koszalińsko-Kołobrzesko-Białogardzkiego Obszaru Funkcjonalnego, 2016, s. 123.</w:t>
      </w:r>
    </w:p>
  </w:footnote>
  <w:footnote w:id="147">
    <w:p w14:paraId="64CA92AB"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48">
    <w:p w14:paraId="4A69A587"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49">
    <w:p w14:paraId="52000C1A"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50">
    <w:p w14:paraId="66DD160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 </w:t>
      </w:r>
      <w:r w:rsidRPr="00CA715D">
        <w:rPr>
          <w:rFonts w:ascii="Lato" w:hAnsi="Lato" w:cs="Calibri"/>
          <w:sz w:val="16"/>
          <w:szCs w:val="16"/>
        </w:rPr>
        <w:t>środkami rezerwy wykonania</w:t>
      </w:r>
    </w:p>
  </w:footnote>
  <w:footnote w:id="151">
    <w:p w14:paraId="4AA35A3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 </w:t>
      </w:r>
      <w:r w:rsidRPr="00CA715D">
        <w:rPr>
          <w:rFonts w:ascii="Lato" w:hAnsi="Lato" w:cs="Calibri"/>
          <w:sz w:val="16"/>
          <w:szCs w:val="16"/>
        </w:rPr>
        <w:t>środkami rezerwy wykonania</w:t>
      </w:r>
    </w:p>
  </w:footnote>
  <w:footnote w:id="152">
    <w:p w14:paraId="77C9E9D7" w14:textId="77777777" w:rsidR="00763345" w:rsidRPr="00CA715D" w:rsidRDefault="00763345" w:rsidP="00CA715D">
      <w:pPr>
        <w:pStyle w:val="Tekstprzypisudolnego"/>
        <w:spacing w:before="0" w:after="0"/>
        <w:rPr>
          <w:rFonts w:ascii="Lato" w:hAnsi="Lato"/>
          <w:sz w:val="16"/>
          <w:szCs w:val="16"/>
          <w:lang w:val="pl-PL"/>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53">
    <w:p w14:paraId="181CDDD6"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54">
    <w:p w14:paraId="2677109E"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55">
    <w:p w14:paraId="40C547E1"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56">
    <w:p w14:paraId="6B634B57" w14:textId="77777777" w:rsidR="00763345" w:rsidRPr="00CA715D" w:rsidRDefault="00763345" w:rsidP="00CA715D">
      <w:pPr>
        <w:spacing w:before="0" w:after="0" w:line="240" w:lineRule="auto"/>
        <w:rPr>
          <w:rFonts w:cs="Calibri"/>
          <w:sz w:val="16"/>
          <w:szCs w:val="16"/>
        </w:rPr>
      </w:pPr>
      <w:r w:rsidRPr="00CA715D">
        <w:rPr>
          <w:rStyle w:val="Odwoanieprzypisudolnego"/>
          <w:sz w:val="16"/>
          <w:szCs w:val="16"/>
        </w:rPr>
        <w:footnoteRef/>
      </w:r>
      <w:r w:rsidRPr="00CA715D">
        <w:rPr>
          <w:sz w:val="16"/>
          <w:szCs w:val="16"/>
        </w:rPr>
        <w:t xml:space="preserve"> </w:t>
      </w:r>
      <w:r w:rsidRPr="00CA715D">
        <w:rPr>
          <w:rFonts w:cs="Calibri"/>
          <w:sz w:val="16"/>
          <w:szCs w:val="16"/>
        </w:rPr>
        <w:t>ITI, jst uczestniczące we wdrażaniu KS</w:t>
      </w:r>
    </w:p>
  </w:footnote>
  <w:footnote w:id="157">
    <w:p w14:paraId="5B4E492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ITI, JST uczestniczące we wdrażaniu KS</w:t>
      </w:r>
    </w:p>
  </w:footnote>
  <w:footnote w:id="158">
    <w:p w14:paraId="655A5E39"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59">
    <w:p w14:paraId="56DD9BDA"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60">
    <w:p w14:paraId="0EB0F0A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61">
    <w:p w14:paraId="350D3D8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ze środkami rezerwy wykonania</w:t>
      </w:r>
    </w:p>
  </w:footnote>
  <w:footnote w:id="162">
    <w:p w14:paraId="57FEAF2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Zgodnie z SOOP, w Działaniu 9.4 alokacja wynosi 0 zł, nie ma także żadnych zawartych UoD.</w:t>
      </w:r>
    </w:p>
  </w:footnote>
  <w:footnote w:id="163">
    <w:p w14:paraId="6093153B"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64">
    <w:p w14:paraId="05A26801"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Analiza skuteczności i efektywności instrumentów terytorialnych wdrażanych na poziomie regionalnym i lokalnym w ramach środków polityki spójności 2014-2020 oraz instrumentów terytorialnych i programów sektorowych wdrażanych w ramach krajowych środków budżetowych – rekomendacje dla systemu wdrażania KSRR 2030, ALEKSANDER NOWORÓL KONSULTING na zlecenie Ministerstwa Inwestycji i Rozwoju, Kraków – Warszawa, lipiec 2018.</w:t>
      </w:r>
    </w:p>
  </w:footnote>
  <w:footnote w:id="165">
    <w:p w14:paraId="427CB39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Analiza skuteczności i efektywności instrumentów terytorialnych wdrażanych na poziomie regionalnym i lokalnym w ramach środków polityki spójności 2014-2020 oraz instrumentów terytorialnych i programów sektorowych wdrażanych w ramach krajowych środków budżetowych – rekomendacje dla systemu wdrażania KSRR 2030, ALEKSANDER NOWORÓL KONSULTING na zlecenie Ministerstwa Inwestycji i Rozwoju, Kraków – Warszawa, lipiec 2018.</w:t>
      </w:r>
    </w:p>
  </w:footnote>
  <w:footnote w:id="166">
    <w:p w14:paraId="4502C82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Ewaluacja działań podejmowanych na rzecz edukacji w ramach RPO WK-P 2014-2020, EVALU, 2018. </w:t>
      </w:r>
    </w:p>
  </w:footnote>
  <w:footnote w:id="167">
    <w:p w14:paraId="16C461C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Ewaluacja systemu realizacji Regionalnego Programu Operacyjnego Województwa Podlaskiego na lata 2014-2020, EVALU Sp. z o.o., Białystok 2018.</w:t>
      </w:r>
    </w:p>
  </w:footnote>
  <w:footnote w:id="168">
    <w:p w14:paraId="70A9E735" w14:textId="33714B70" w:rsidR="00763345" w:rsidRPr="0049276B" w:rsidRDefault="00763345">
      <w:pPr>
        <w:pStyle w:val="Tekstprzypisudolnego"/>
      </w:pPr>
      <w:r>
        <w:rPr>
          <w:rStyle w:val="Odwoanieprzypisudolnego"/>
        </w:rPr>
        <w:footnoteRef/>
      </w:r>
      <w:r>
        <w:t xml:space="preserve"> </w:t>
      </w:r>
      <w:r w:rsidRPr="0049276B">
        <w:rPr>
          <w:rFonts w:ascii="Lato" w:hAnsi="Lato"/>
          <w:sz w:val="16"/>
          <w:szCs w:val="16"/>
        </w:rPr>
        <w:t>Wyniki prognoz identyczne jak w przypadku przyjęcia założenia proporcjonalnego podziału pozostałej alokacji na dany wskaźnik zgodnie z dotychczasową proporcją.</w:t>
      </w:r>
    </w:p>
  </w:footnote>
  <w:footnote w:id="169">
    <w:p w14:paraId="06E79CD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Opis funkcji i procedur IZ/IC w ramach Regionalnego Programu Operacyjnego Województwa Zachodniopomorskiego 2014-2020</w:t>
      </w:r>
      <w:r w:rsidRPr="00CA715D">
        <w:rPr>
          <w:rFonts w:ascii="Lato" w:hAnsi="Lato"/>
          <w:sz w:val="16"/>
          <w:szCs w:val="16"/>
        </w:rPr>
        <w:t>, wersja 4.0, Szczecin, 30 maja 2018 r.</w:t>
      </w:r>
    </w:p>
  </w:footnote>
  <w:footnote w:id="170">
    <w:p w14:paraId="7E7952A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Opis funkcji i procedur IZ/IC w ramach Regionalnego Programu Operacyjnego Województwa Zachodniopomorskiego 2014-2020</w:t>
      </w:r>
      <w:r w:rsidRPr="00CA715D">
        <w:rPr>
          <w:rFonts w:ascii="Lato" w:hAnsi="Lato"/>
          <w:sz w:val="16"/>
          <w:szCs w:val="16"/>
        </w:rPr>
        <w:t>, wersja 4.0, Szczecin, 30 maja 2018 r.</w:t>
      </w:r>
    </w:p>
  </w:footnote>
  <w:footnote w:id="171">
    <w:p w14:paraId="0F659DE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danych przekazanych przez Zamawiającego: Baza złożonych WoD wg stanu na 11.02.2019 r. (czyli informacja o wnioskach, które wpłynęły do UM do 11.02.2019).</w:t>
      </w:r>
    </w:p>
  </w:footnote>
  <w:footnote w:id="172">
    <w:p w14:paraId="48666AEC"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 procesie grupowania (tworzenia przedziałów dla gmin) wykorzystano metodykę Jenksa (metoda naturalnego podziału) najlepiej opisującą rozkład przestrzenny zgromadzonych informacji. Polega ona na wyznaczeniu przedziałów (klas) poprzez porównanie sum kwadratów różnic. Wartości o podobnych różnicach rozdzielone są danymi skrajnymi przydzielonymi do grupy poprzedzającej i następującej.</w:t>
      </w:r>
    </w:p>
  </w:footnote>
  <w:footnote w:id="173">
    <w:p w14:paraId="1C20C3B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31.03.2016 (uwzględniając okres po 30.06.2015). </w:t>
      </w:r>
    </w:p>
  </w:footnote>
  <w:footnote w:id="174">
    <w:p w14:paraId="30001C9E"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31.10.2016 (uwzględniając okres po 31.03.2016).</w:t>
      </w:r>
    </w:p>
  </w:footnote>
  <w:footnote w:id="175">
    <w:p w14:paraId="0F569F8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31.03.2017 (uwzględniając okres po 31.10.2016).</w:t>
      </w:r>
    </w:p>
  </w:footnote>
  <w:footnote w:id="176">
    <w:p w14:paraId="0932FED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31.03.2016 (uwzględniając okres po 30.06.2015). </w:t>
      </w:r>
    </w:p>
  </w:footnote>
  <w:footnote w:id="177">
    <w:p w14:paraId="0467878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31.10.2016 (uwzględniając okres po 31.03.2016).</w:t>
      </w:r>
    </w:p>
  </w:footnote>
  <w:footnote w:id="178">
    <w:p w14:paraId="12C6FE7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Ankieta prezentuje dane wg stanu na dzień 31.03.2017 (uwzględniając okres po 31.10.2016).</w:t>
      </w:r>
    </w:p>
  </w:footnote>
  <w:footnote w:id="179">
    <w:p w14:paraId="771CEC7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cs="Calibri"/>
          <w:sz w:val="16"/>
          <w:szCs w:val="16"/>
        </w:rPr>
        <w:t>Na</w:t>
      </w:r>
      <w:r w:rsidRPr="00CA715D">
        <w:rPr>
          <w:rFonts w:ascii="Lato" w:hAnsi="Lato"/>
          <w:sz w:val="16"/>
          <w:szCs w:val="16"/>
        </w:rPr>
        <w:t xml:space="preserve"> podstawie opracowania MIiR pn. Potencjał administracyjny systemu instytucjonalnego służącego realizacji Umowy Partnerstwa w zakresie Polityki Spójności, stan na dzień 30.06.2018 r.</w:t>
      </w:r>
    </w:p>
  </w:footnote>
  <w:footnote w:id="180">
    <w:p w14:paraId="2BA7F41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Sprawozdanie roczne z wdrażania Regionalnego Programu Operacyjnego Województwa Zachodniopomorskiego 2014-2020 za 2017 r.</w:t>
      </w:r>
    </w:p>
  </w:footnote>
  <w:footnote w:id="181">
    <w:p w14:paraId="654BB0A7"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badań jakościowych.</w:t>
      </w:r>
    </w:p>
  </w:footnote>
  <w:footnote w:id="182">
    <w:p w14:paraId="23C4ED8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Raport z badania ewaluacyjnego pt. "Ocena postępu wdrażania Regionalnego Programu Operacyjnego Województwa Zachodniopomorskiego na lata 2007-2013" Agrotec Polska Sp. z o.o., Warszawa, 2011.</w:t>
      </w:r>
    </w:p>
  </w:footnote>
  <w:footnote w:id="183">
    <w:p w14:paraId="54D84AD9"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Raport końcowy z badania ewaluacyjnego „Ewaluacja bieżąca kryteriów i systemu wyboru projektów RPO WZ 2014-2020”, </w:t>
      </w:r>
      <w:r w:rsidRPr="00CA715D">
        <w:rPr>
          <w:rFonts w:ascii="Lato" w:hAnsi="Lato" w:cs="Arial"/>
          <w:color w:val="000000"/>
          <w:sz w:val="16"/>
          <w:szCs w:val="16"/>
          <w:shd w:val="clear" w:color="auto" w:fill="FFFFFF"/>
        </w:rPr>
        <w:t>Pracownia Badań i Doradztwa „Re-Source” Korczyński Sarapata Sp.J., 2018.</w:t>
      </w:r>
    </w:p>
  </w:footnote>
  <w:footnote w:id="184">
    <w:p w14:paraId="08BC50A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Raport końcowy z badania ewaluacyjnego „Ewaluacja bieżąca kryteriów i systemu wyboru projektów RPO WZ 2014-2020”, </w:t>
      </w:r>
      <w:r w:rsidRPr="00CA715D">
        <w:rPr>
          <w:rFonts w:ascii="Lato" w:hAnsi="Lato" w:cs="Arial"/>
          <w:color w:val="000000"/>
          <w:sz w:val="16"/>
          <w:szCs w:val="16"/>
          <w:shd w:val="clear" w:color="auto" w:fill="FFFFFF"/>
        </w:rPr>
        <w:t>Pracownia Badań i Doradztwa „Re-Source” Korczyński Sarapata Sp.J., 2018.</w:t>
      </w:r>
    </w:p>
  </w:footnote>
  <w:footnote w:id="185">
    <w:p w14:paraId="3B6E1C9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Raport końcowy z badania ewaluacyjnego „Ewaluacja bieżąca kryteriów i systemu wyboru projektów RPO WZ 2014-2020”, </w:t>
      </w:r>
      <w:r w:rsidRPr="00CA715D">
        <w:rPr>
          <w:rFonts w:ascii="Lato" w:hAnsi="Lato" w:cs="Arial"/>
          <w:color w:val="000000"/>
          <w:sz w:val="16"/>
          <w:szCs w:val="16"/>
          <w:shd w:val="clear" w:color="auto" w:fill="FFFFFF"/>
        </w:rPr>
        <w:t>Pracownia Badań i Doradztwa „Re-Source” Korczyński Sarapata Sp.J., 2018.</w:t>
      </w:r>
    </w:p>
  </w:footnote>
  <w:footnote w:id="186">
    <w:p w14:paraId="0A4C6AA3"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87">
    <w:p w14:paraId="30A39A2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Sprawozdanie roczne z wdrażania Regionalnego Programu Operacyjnego Województwa Zachodniopomorskiego 2014-2020 za 2014 i 2015 r.</w:t>
      </w:r>
    </w:p>
  </w:footnote>
  <w:footnote w:id="188">
    <w:p w14:paraId="0F5D80B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Raport końcowy z badania ewaluacyjnego „Ewaluacja bieżąca kryteriów i systemu wyboru projektów RPO WZ 2014-2020”, </w:t>
      </w:r>
      <w:r w:rsidRPr="00CA715D">
        <w:rPr>
          <w:rFonts w:ascii="Lato" w:hAnsi="Lato" w:cs="Arial"/>
          <w:color w:val="000000"/>
          <w:sz w:val="16"/>
          <w:szCs w:val="16"/>
          <w:shd w:val="clear" w:color="auto" w:fill="FFFFFF"/>
        </w:rPr>
        <w:t>Pracownia Badań i Doradztwa „Re-Source” Korczyński Sarapata Sp.J., 2018, s. 27.</w:t>
      </w:r>
    </w:p>
  </w:footnote>
  <w:footnote w:id="189">
    <w:p w14:paraId="111FCF50"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0">
    <w:p w14:paraId="0C60F9F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1">
    <w:p w14:paraId="7F61702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2">
    <w:p w14:paraId="5817C388"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3">
    <w:p w14:paraId="22B529E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4">
    <w:p w14:paraId="1B1623B2"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5">
    <w:p w14:paraId="3B6418C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informacji kwartalnych z realizacji Regionalnego Programu Operacyjnego Województwa Zachodniopomorskiego 2014-2020 z lat 2015-2018.</w:t>
      </w:r>
    </w:p>
  </w:footnote>
  <w:footnote w:id="196">
    <w:p w14:paraId="0A17CEE9" w14:textId="77777777" w:rsidR="00763345" w:rsidRPr="00CA715D" w:rsidRDefault="00763345" w:rsidP="00CA715D">
      <w:pPr>
        <w:pStyle w:val="Tekstprzypisudolnego"/>
        <w:spacing w:before="0" w:after="0"/>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panelu ekspertów.</w:t>
      </w:r>
    </w:p>
  </w:footnote>
  <w:footnote w:id="197">
    <w:p w14:paraId="4E6965BC"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Ewaluacja bieżąca kryteriów i systemu wyboru projektów RPO WZ 2014-2020,</w:t>
      </w:r>
      <w:r w:rsidRPr="00CA715D">
        <w:rPr>
          <w:rFonts w:ascii="Lato" w:hAnsi="Lato"/>
          <w:sz w:val="16"/>
          <w:szCs w:val="16"/>
        </w:rPr>
        <w:t xml:space="preserve"> Pracownia Badań i Doradztwa “Re-Source” Korczyński Sarapata sp.j., 2018.</w:t>
      </w:r>
    </w:p>
  </w:footnote>
  <w:footnote w:id="198">
    <w:p w14:paraId="3C70B3C4"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Ewaluacja bieżąca kryteriów i systemu wyboru projektów RPO WZ 2014-2020,</w:t>
      </w:r>
      <w:r w:rsidRPr="00CA715D">
        <w:rPr>
          <w:rFonts w:ascii="Lato" w:hAnsi="Lato"/>
          <w:sz w:val="16"/>
          <w:szCs w:val="16"/>
        </w:rPr>
        <w:t xml:space="preserve"> Pracownia Badań i Doradztwa “Re-Source” Korczyński Sarapata sp.j., 2018, s. 152.</w:t>
      </w:r>
    </w:p>
  </w:footnote>
  <w:footnote w:id="199">
    <w:p w14:paraId="4AAD3135"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Kryteria wyboru projektów EFRR, załącznik nr 3 do Szczegółowego Opisu Osi Priorytetowych (wersja 35.0) RPO WZ 2014-2020.</w:t>
      </w:r>
    </w:p>
  </w:footnote>
  <w:footnote w:id="200">
    <w:p w14:paraId="71459146"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RPO WZ 2014-2020, s. 452.</w:t>
      </w:r>
    </w:p>
  </w:footnote>
  <w:footnote w:id="201">
    <w:p w14:paraId="14E30E2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Kryteria wyboru projektów dla EFS, załącznik nr 3 do Szczegółowego Opisu Osi Priorytetowych (wersja 35.0) RPO WZ 2014-2020.</w:t>
      </w:r>
    </w:p>
  </w:footnote>
  <w:footnote w:id="202">
    <w:p w14:paraId="65A30BB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RPO WZ 2014-2020, s. 454.</w:t>
      </w:r>
    </w:p>
  </w:footnote>
  <w:footnote w:id="203">
    <w:p w14:paraId="3B06517D"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Na podstawie badania CAWI z beneficjentami </w:t>
      </w:r>
      <w:r w:rsidRPr="00CA715D">
        <w:rPr>
          <w:rFonts w:ascii="Lato" w:hAnsi="Lato" w:cs="Calibri"/>
          <w:sz w:val="16"/>
          <w:szCs w:val="16"/>
        </w:rPr>
        <w:t>OP I-IX RPO WZ 2014-2020, n=177.</w:t>
      </w:r>
    </w:p>
  </w:footnote>
  <w:footnote w:id="204">
    <w:p w14:paraId="7C70FD9A"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Ewaluacja bieżąca kryteriów i systemu wyboru projektów RPO WZ 2014-2020,</w:t>
      </w:r>
      <w:r w:rsidRPr="00CA715D">
        <w:rPr>
          <w:rFonts w:ascii="Lato" w:hAnsi="Lato"/>
          <w:sz w:val="16"/>
          <w:szCs w:val="16"/>
        </w:rPr>
        <w:t xml:space="preserve"> Pracownia Badań i Doradztwa “Re-Source” Korczyński Sarapata sp.j., 2018, s. 159.</w:t>
      </w:r>
    </w:p>
  </w:footnote>
  <w:footnote w:id="205">
    <w:p w14:paraId="15BDEAF1" w14:textId="77777777" w:rsidR="00763345" w:rsidRPr="00CA715D" w:rsidRDefault="00763345" w:rsidP="00CA715D">
      <w:pPr>
        <w:pStyle w:val="Tekstprzypisudolnego"/>
        <w:spacing w:before="0" w:after="0" w:line="240" w:lineRule="auto"/>
        <w:rPr>
          <w:rFonts w:ascii="Lato" w:hAnsi="Lato"/>
          <w:sz w:val="16"/>
          <w:szCs w:val="16"/>
        </w:rPr>
      </w:pPr>
      <w:r w:rsidRPr="00CA715D">
        <w:rPr>
          <w:rStyle w:val="Odwoanieprzypisudolnego"/>
          <w:rFonts w:ascii="Lato" w:hAnsi="Lato"/>
          <w:sz w:val="16"/>
          <w:szCs w:val="16"/>
        </w:rPr>
        <w:footnoteRef/>
      </w:r>
      <w:r w:rsidRPr="00CA715D">
        <w:rPr>
          <w:rFonts w:ascii="Lato" w:hAnsi="Lato"/>
          <w:sz w:val="16"/>
          <w:szCs w:val="16"/>
        </w:rPr>
        <w:t xml:space="preserve"> </w:t>
      </w:r>
      <w:r w:rsidRPr="00CA715D">
        <w:rPr>
          <w:rFonts w:ascii="Lato" w:hAnsi="Lato"/>
          <w:i/>
          <w:sz w:val="16"/>
          <w:szCs w:val="16"/>
        </w:rPr>
        <w:t>Ewaluacja bieżąca kryteriów i systemu wyboru projektów RPO WZ 2014-2020,</w:t>
      </w:r>
      <w:r w:rsidRPr="00CA715D">
        <w:rPr>
          <w:rFonts w:ascii="Lato" w:hAnsi="Lato"/>
          <w:sz w:val="16"/>
          <w:szCs w:val="16"/>
        </w:rPr>
        <w:t xml:space="preserve"> Pracownia Badań i Doradztwa “Re-Source” Korczyński Sarapata sp.j., 2018, s. 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0537B" w14:textId="77777777" w:rsidR="00763345" w:rsidRDefault="0076334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4AA4"/>
    <w:multiLevelType w:val="hybridMultilevel"/>
    <w:tmpl w:val="727A13D0"/>
    <w:lvl w:ilvl="0" w:tplc="028AB21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C00566"/>
    <w:multiLevelType w:val="hybridMultilevel"/>
    <w:tmpl w:val="777E7898"/>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B1970"/>
    <w:multiLevelType w:val="hybridMultilevel"/>
    <w:tmpl w:val="3B56C284"/>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2250A2"/>
    <w:multiLevelType w:val="hybridMultilevel"/>
    <w:tmpl w:val="16B43FE8"/>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270C92"/>
    <w:multiLevelType w:val="hybridMultilevel"/>
    <w:tmpl w:val="C0F0613A"/>
    <w:lvl w:ilvl="0" w:tplc="6100CB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C3E5392"/>
    <w:multiLevelType w:val="hybridMultilevel"/>
    <w:tmpl w:val="82FC6A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1E5F26"/>
    <w:multiLevelType w:val="hybridMultilevel"/>
    <w:tmpl w:val="E5C2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8E3C53"/>
    <w:multiLevelType w:val="hybridMultilevel"/>
    <w:tmpl w:val="4B602F10"/>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43246D"/>
    <w:multiLevelType w:val="hybridMultilevel"/>
    <w:tmpl w:val="29D433B2"/>
    <w:lvl w:ilvl="0" w:tplc="028AB21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875EAD"/>
    <w:multiLevelType w:val="hybridMultilevel"/>
    <w:tmpl w:val="B948767E"/>
    <w:lvl w:ilvl="0" w:tplc="2B4A23A2">
      <w:start w:val="1"/>
      <w:numFmt w:val="lowerLetter"/>
      <w:lvlText w:val="%1."/>
      <w:lvlJc w:val="left"/>
      <w:pPr>
        <w:ind w:left="720" w:hanging="360"/>
      </w:pPr>
      <w:rPr>
        <w:rFonts w:ascii="Lato" w:eastAsia="Calibri" w:hAnsi="Lato"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A41483"/>
    <w:multiLevelType w:val="hybridMultilevel"/>
    <w:tmpl w:val="87682D68"/>
    <w:lvl w:ilvl="0" w:tplc="0415000F">
      <w:start w:val="1"/>
      <w:numFmt w:val="decimal"/>
      <w:lvlText w:val="%1."/>
      <w:lvlJc w:val="left"/>
      <w:pPr>
        <w:ind w:left="720" w:hanging="360"/>
      </w:pPr>
      <w:rPr>
        <w:rFonts w:hint="default"/>
      </w:rPr>
    </w:lvl>
    <w:lvl w:ilvl="1" w:tplc="32FA089C">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C24437"/>
    <w:multiLevelType w:val="hybridMultilevel"/>
    <w:tmpl w:val="5AFE5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571E4F"/>
    <w:multiLevelType w:val="hybridMultilevel"/>
    <w:tmpl w:val="9A564874"/>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ABA126D"/>
    <w:multiLevelType w:val="hybridMultilevel"/>
    <w:tmpl w:val="49C81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4D3320"/>
    <w:multiLevelType w:val="hybridMultilevel"/>
    <w:tmpl w:val="03448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780FD6"/>
    <w:multiLevelType w:val="hybridMultilevel"/>
    <w:tmpl w:val="7B46A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7436FD"/>
    <w:multiLevelType w:val="hybridMultilevel"/>
    <w:tmpl w:val="73E22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9D54FC"/>
    <w:multiLevelType w:val="hybridMultilevel"/>
    <w:tmpl w:val="3A448B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956C8C"/>
    <w:multiLevelType w:val="hybridMultilevel"/>
    <w:tmpl w:val="E8D27B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9E2310"/>
    <w:multiLevelType w:val="multilevel"/>
    <w:tmpl w:val="9260FDCE"/>
    <w:lvl w:ilvl="0">
      <w:start w:val="1"/>
      <w:numFmt w:val="decimal"/>
      <w:pStyle w:val="Odpow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6390C21"/>
    <w:multiLevelType w:val="hybridMultilevel"/>
    <w:tmpl w:val="D9925284"/>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336785"/>
    <w:multiLevelType w:val="hybridMultilevel"/>
    <w:tmpl w:val="9E1C08FC"/>
    <w:lvl w:ilvl="0" w:tplc="0818CB64">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105B66"/>
    <w:multiLevelType w:val="hybridMultilevel"/>
    <w:tmpl w:val="62F86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854C85"/>
    <w:multiLevelType w:val="hybridMultilevel"/>
    <w:tmpl w:val="BE08B6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7C5D31"/>
    <w:multiLevelType w:val="hybridMultilevel"/>
    <w:tmpl w:val="C700E284"/>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24C392C"/>
    <w:multiLevelType w:val="hybridMultilevel"/>
    <w:tmpl w:val="36C234E0"/>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626A73"/>
    <w:multiLevelType w:val="hybridMultilevel"/>
    <w:tmpl w:val="0CD808FC"/>
    <w:lvl w:ilvl="0" w:tplc="6100CB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35C92A8D"/>
    <w:multiLevelType w:val="hybridMultilevel"/>
    <w:tmpl w:val="3A9A81EE"/>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3750314D"/>
    <w:multiLevelType w:val="hybridMultilevel"/>
    <w:tmpl w:val="4A12E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780727F"/>
    <w:multiLevelType w:val="hybridMultilevel"/>
    <w:tmpl w:val="8B8E726E"/>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AC14636"/>
    <w:multiLevelType w:val="hybridMultilevel"/>
    <w:tmpl w:val="6E8C5A30"/>
    <w:lvl w:ilvl="0" w:tplc="04150017">
      <w:start w:val="1"/>
      <w:numFmt w:val="lowerLetter"/>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1" w15:restartNumberingAfterBreak="0">
    <w:nsid w:val="3AFE738B"/>
    <w:multiLevelType w:val="hybridMultilevel"/>
    <w:tmpl w:val="D7AC7E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B4914B4"/>
    <w:multiLevelType w:val="hybridMultilevel"/>
    <w:tmpl w:val="F0CA3300"/>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D81380"/>
    <w:multiLevelType w:val="hybridMultilevel"/>
    <w:tmpl w:val="7954F6A6"/>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78611A"/>
    <w:multiLevelType w:val="multilevel"/>
    <w:tmpl w:val="CE2E76DA"/>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40634B5D"/>
    <w:multiLevelType w:val="hybridMultilevel"/>
    <w:tmpl w:val="B426AD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31009CE"/>
    <w:multiLevelType w:val="hybridMultilevel"/>
    <w:tmpl w:val="B81200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E6490B"/>
    <w:multiLevelType w:val="hybridMultilevel"/>
    <w:tmpl w:val="FAA8C0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AD762D8"/>
    <w:multiLevelType w:val="hybridMultilevel"/>
    <w:tmpl w:val="354E8244"/>
    <w:lvl w:ilvl="0" w:tplc="04150001">
      <w:start w:val="1"/>
      <w:numFmt w:val="bullet"/>
      <w:lvlText w:val=""/>
      <w:lvlJc w:val="left"/>
      <w:pPr>
        <w:ind w:left="720" w:hanging="360"/>
      </w:pPr>
      <w:rPr>
        <w:rFonts w:ascii="Symbol" w:hAnsi="Symbol" w:hint="default"/>
      </w:rPr>
    </w:lvl>
    <w:lvl w:ilvl="1" w:tplc="1354FF90">
      <w:numFmt w:val="bullet"/>
      <w:lvlText w:val="•"/>
      <w:lvlJc w:val="left"/>
      <w:pPr>
        <w:ind w:left="1785" w:hanging="705"/>
      </w:pPr>
      <w:rPr>
        <w:rFonts w:ascii="Lato" w:eastAsia="Times New Roman" w:hAnsi="Lato"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665900"/>
    <w:multiLevelType w:val="hybridMultilevel"/>
    <w:tmpl w:val="2F18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FE66C5"/>
    <w:multiLevelType w:val="hybridMultilevel"/>
    <w:tmpl w:val="A7609EB4"/>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7719B0"/>
    <w:multiLevelType w:val="hybridMultilevel"/>
    <w:tmpl w:val="6C208026"/>
    <w:lvl w:ilvl="0" w:tplc="028AB21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F646319"/>
    <w:multiLevelType w:val="hybridMultilevel"/>
    <w:tmpl w:val="22B4D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893FE7"/>
    <w:multiLevelType w:val="hybridMultilevel"/>
    <w:tmpl w:val="611275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53217EA"/>
    <w:multiLevelType w:val="hybridMultilevel"/>
    <w:tmpl w:val="25741A28"/>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74B1213"/>
    <w:multiLevelType w:val="hybridMultilevel"/>
    <w:tmpl w:val="2E829F82"/>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B7596B"/>
    <w:multiLevelType w:val="hybridMultilevel"/>
    <w:tmpl w:val="4F6665CA"/>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7D72B31"/>
    <w:multiLevelType w:val="hybridMultilevel"/>
    <w:tmpl w:val="7A464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615046"/>
    <w:multiLevelType w:val="hybridMultilevel"/>
    <w:tmpl w:val="BF2CB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89A5900"/>
    <w:multiLevelType w:val="hybridMultilevel"/>
    <w:tmpl w:val="5008D932"/>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6A4B3E"/>
    <w:multiLevelType w:val="hybridMultilevel"/>
    <w:tmpl w:val="4B602F10"/>
    <w:lvl w:ilvl="0" w:tplc="04150013">
      <w:start w:val="1"/>
      <w:numFmt w:val="upp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D9974D8"/>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5DB24AA6"/>
    <w:multiLevelType w:val="hybridMultilevel"/>
    <w:tmpl w:val="04465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F4C3ABA"/>
    <w:multiLevelType w:val="hybridMultilevel"/>
    <w:tmpl w:val="6C381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FBE4AFF"/>
    <w:multiLevelType w:val="hybridMultilevel"/>
    <w:tmpl w:val="DEE0E9BC"/>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D81882"/>
    <w:multiLevelType w:val="hybridMultilevel"/>
    <w:tmpl w:val="47D0793A"/>
    <w:lvl w:ilvl="0" w:tplc="38E05136">
      <w:start w:val="1"/>
      <w:numFmt w:val="decimal"/>
      <w:lvlText w:val="%1)"/>
      <w:lvlJc w:val="left"/>
      <w:pPr>
        <w:ind w:left="144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62A21AFD"/>
    <w:multiLevelType w:val="hybridMultilevel"/>
    <w:tmpl w:val="0C50D3E0"/>
    <w:lvl w:ilvl="0" w:tplc="FA1EEE00">
      <w:start w:val="1"/>
      <w:numFmt w:val="bullet"/>
      <w:lvlText w:val="•"/>
      <w:lvlJc w:val="left"/>
      <w:pPr>
        <w:tabs>
          <w:tab w:val="num" w:pos="720"/>
        </w:tabs>
        <w:ind w:left="720" w:hanging="360"/>
      </w:pPr>
      <w:rPr>
        <w:rFonts w:ascii="Times New Roman" w:hAnsi="Times New Roman" w:hint="default"/>
      </w:rPr>
    </w:lvl>
    <w:lvl w:ilvl="1" w:tplc="1DAEE83C" w:tentative="1">
      <w:start w:val="1"/>
      <w:numFmt w:val="bullet"/>
      <w:lvlText w:val="•"/>
      <w:lvlJc w:val="left"/>
      <w:pPr>
        <w:tabs>
          <w:tab w:val="num" w:pos="1440"/>
        </w:tabs>
        <w:ind w:left="1440" w:hanging="360"/>
      </w:pPr>
      <w:rPr>
        <w:rFonts w:ascii="Times New Roman" w:hAnsi="Times New Roman" w:hint="default"/>
      </w:rPr>
    </w:lvl>
    <w:lvl w:ilvl="2" w:tplc="09D24234" w:tentative="1">
      <w:start w:val="1"/>
      <w:numFmt w:val="bullet"/>
      <w:lvlText w:val="•"/>
      <w:lvlJc w:val="left"/>
      <w:pPr>
        <w:tabs>
          <w:tab w:val="num" w:pos="2160"/>
        </w:tabs>
        <w:ind w:left="2160" w:hanging="360"/>
      </w:pPr>
      <w:rPr>
        <w:rFonts w:ascii="Times New Roman" w:hAnsi="Times New Roman" w:hint="default"/>
      </w:rPr>
    </w:lvl>
    <w:lvl w:ilvl="3" w:tplc="37228FF6" w:tentative="1">
      <w:start w:val="1"/>
      <w:numFmt w:val="bullet"/>
      <w:lvlText w:val="•"/>
      <w:lvlJc w:val="left"/>
      <w:pPr>
        <w:tabs>
          <w:tab w:val="num" w:pos="2880"/>
        </w:tabs>
        <w:ind w:left="2880" w:hanging="360"/>
      </w:pPr>
      <w:rPr>
        <w:rFonts w:ascii="Times New Roman" w:hAnsi="Times New Roman" w:hint="default"/>
      </w:rPr>
    </w:lvl>
    <w:lvl w:ilvl="4" w:tplc="74EACC94" w:tentative="1">
      <w:start w:val="1"/>
      <w:numFmt w:val="bullet"/>
      <w:lvlText w:val="•"/>
      <w:lvlJc w:val="left"/>
      <w:pPr>
        <w:tabs>
          <w:tab w:val="num" w:pos="3600"/>
        </w:tabs>
        <w:ind w:left="3600" w:hanging="360"/>
      </w:pPr>
      <w:rPr>
        <w:rFonts w:ascii="Times New Roman" w:hAnsi="Times New Roman" w:hint="default"/>
      </w:rPr>
    </w:lvl>
    <w:lvl w:ilvl="5" w:tplc="C4DCD868" w:tentative="1">
      <w:start w:val="1"/>
      <w:numFmt w:val="bullet"/>
      <w:lvlText w:val="•"/>
      <w:lvlJc w:val="left"/>
      <w:pPr>
        <w:tabs>
          <w:tab w:val="num" w:pos="4320"/>
        </w:tabs>
        <w:ind w:left="4320" w:hanging="360"/>
      </w:pPr>
      <w:rPr>
        <w:rFonts w:ascii="Times New Roman" w:hAnsi="Times New Roman" w:hint="default"/>
      </w:rPr>
    </w:lvl>
    <w:lvl w:ilvl="6" w:tplc="A86241B4" w:tentative="1">
      <w:start w:val="1"/>
      <w:numFmt w:val="bullet"/>
      <w:lvlText w:val="•"/>
      <w:lvlJc w:val="left"/>
      <w:pPr>
        <w:tabs>
          <w:tab w:val="num" w:pos="5040"/>
        </w:tabs>
        <w:ind w:left="5040" w:hanging="360"/>
      </w:pPr>
      <w:rPr>
        <w:rFonts w:ascii="Times New Roman" w:hAnsi="Times New Roman" w:hint="default"/>
      </w:rPr>
    </w:lvl>
    <w:lvl w:ilvl="7" w:tplc="111CC87C" w:tentative="1">
      <w:start w:val="1"/>
      <w:numFmt w:val="bullet"/>
      <w:lvlText w:val="•"/>
      <w:lvlJc w:val="left"/>
      <w:pPr>
        <w:tabs>
          <w:tab w:val="num" w:pos="5760"/>
        </w:tabs>
        <w:ind w:left="5760" w:hanging="360"/>
      </w:pPr>
      <w:rPr>
        <w:rFonts w:ascii="Times New Roman" w:hAnsi="Times New Roman" w:hint="default"/>
      </w:rPr>
    </w:lvl>
    <w:lvl w:ilvl="8" w:tplc="CCD212FC"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904086C"/>
    <w:multiLevelType w:val="hybridMultilevel"/>
    <w:tmpl w:val="91A84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9DE2D13"/>
    <w:multiLevelType w:val="hybridMultilevel"/>
    <w:tmpl w:val="C5FE22D2"/>
    <w:lvl w:ilvl="0" w:tplc="6100CB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6A185E7D"/>
    <w:multiLevelType w:val="hybridMultilevel"/>
    <w:tmpl w:val="78C6E090"/>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AE648C0"/>
    <w:multiLevelType w:val="hybridMultilevel"/>
    <w:tmpl w:val="645CB860"/>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B126DDC"/>
    <w:multiLevelType w:val="hybridMultilevel"/>
    <w:tmpl w:val="AF70FA6A"/>
    <w:lvl w:ilvl="0" w:tplc="6100CB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6E7E2DBF"/>
    <w:multiLevelType w:val="hybridMultilevel"/>
    <w:tmpl w:val="607E46CE"/>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FD87B16"/>
    <w:multiLevelType w:val="hybridMultilevel"/>
    <w:tmpl w:val="8A905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7D332F1"/>
    <w:multiLevelType w:val="hybridMultilevel"/>
    <w:tmpl w:val="F1DE6D64"/>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383DD8"/>
    <w:multiLevelType w:val="hybridMultilevel"/>
    <w:tmpl w:val="9AB6DE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787B46C8"/>
    <w:multiLevelType w:val="hybridMultilevel"/>
    <w:tmpl w:val="651EA556"/>
    <w:lvl w:ilvl="0" w:tplc="6100C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7550A2"/>
    <w:multiLevelType w:val="hybridMultilevel"/>
    <w:tmpl w:val="479A3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A6F4F55"/>
    <w:multiLevelType w:val="hybridMultilevel"/>
    <w:tmpl w:val="47B68BEC"/>
    <w:lvl w:ilvl="0" w:tplc="6100CB0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4"/>
  </w:num>
  <w:num w:numId="2">
    <w:abstractNumId w:val="18"/>
  </w:num>
  <w:num w:numId="3">
    <w:abstractNumId w:val="56"/>
  </w:num>
  <w:num w:numId="4">
    <w:abstractNumId w:val="14"/>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35"/>
  </w:num>
  <w:num w:numId="9">
    <w:abstractNumId w:val="9"/>
  </w:num>
  <w:num w:numId="10">
    <w:abstractNumId w:val="65"/>
  </w:num>
  <w:num w:numId="11">
    <w:abstractNumId w:val="51"/>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52"/>
  </w:num>
  <w:num w:numId="15">
    <w:abstractNumId w:val="15"/>
  </w:num>
  <w:num w:numId="16">
    <w:abstractNumId w:val="16"/>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7"/>
  </w:num>
  <w:num w:numId="20">
    <w:abstractNumId w:val="50"/>
  </w:num>
  <w:num w:numId="21">
    <w:abstractNumId w:val="40"/>
  </w:num>
  <w:num w:numId="22">
    <w:abstractNumId w:val="63"/>
  </w:num>
  <w:num w:numId="23">
    <w:abstractNumId w:val="48"/>
  </w:num>
  <w:num w:numId="24">
    <w:abstractNumId w:val="28"/>
  </w:num>
  <w:num w:numId="25">
    <w:abstractNumId w:val="11"/>
  </w:num>
  <w:num w:numId="26">
    <w:abstractNumId w:val="53"/>
  </w:num>
  <w:num w:numId="27">
    <w:abstractNumId w:val="39"/>
  </w:num>
  <w:num w:numId="28">
    <w:abstractNumId w:val="13"/>
  </w:num>
  <w:num w:numId="29">
    <w:abstractNumId w:val="57"/>
  </w:num>
  <w:num w:numId="30">
    <w:abstractNumId w:val="22"/>
  </w:num>
  <w:num w:numId="31">
    <w:abstractNumId w:val="47"/>
  </w:num>
  <w:num w:numId="32">
    <w:abstractNumId w:val="42"/>
  </w:num>
  <w:num w:numId="33">
    <w:abstractNumId w:val="67"/>
  </w:num>
  <w:num w:numId="34">
    <w:abstractNumId w:val="17"/>
  </w:num>
  <w:num w:numId="35">
    <w:abstractNumId w:val="5"/>
  </w:num>
  <w:num w:numId="36">
    <w:abstractNumId w:val="36"/>
  </w:num>
  <w:num w:numId="37">
    <w:abstractNumId w:val="43"/>
  </w:num>
  <w:num w:numId="38">
    <w:abstractNumId w:val="23"/>
  </w:num>
  <w:num w:numId="39">
    <w:abstractNumId w:val="37"/>
  </w:num>
  <w:num w:numId="40">
    <w:abstractNumId w:val="10"/>
  </w:num>
  <w:num w:numId="41">
    <w:abstractNumId w:val="19"/>
  </w:num>
  <w:num w:numId="42">
    <w:abstractNumId w:val="6"/>
  </w:num>
  <w:num w:numId="43">
    <w:abstractNumId w:val="64"/>
  </w:num>
  <w:num w:numId="44">
    <w:abstractNumId w:val="45"/>
  </w:num>
  <w:num w:numId="45">
    <w:abstractNumId w:val="1"/>
  </w:num>
  <w:num w:numId="46">
    <w:abstractNumId w:val="68"/>
  </w:num>
  <w:num w:numId="47">
    <w:abstractNumId w:val="46"/>
  </w:num>
  <w:num w:numId="48">
    <w:abstractNumId w:val="62"/>
  </w:num>
  <w:num w:numId="49">
    <w:abstractNumId w:val="24"/>
  </w:num>
  <w:num w:numId="50">
    <w:abstractNumId w:val="27"/>
  </w:num>
  <w:num w:numId="51">
    <w:abstractNumId w:val="59"/>
  </w:num>
  <w:num w:numId="52">
    <w:abstractNumId w:val="41"/>
  </w:num>
  <w:num w:numId="53">
    <w:abstractNumId w:val="0"/>
  </w:num>
  <w:num w:numId="54">
    <w:abstractNumId w:val="8"/>
  </w:num>
  <w:num w:numId="55">
    <w:abstractNumId w:val="20"/>
  </w:num>
  <w:num w:numId="56">
    <w:abstractNumId w:val="60"/>
  </w:num>
  <w:num w:numId="57">
    <w:abstractNumId w:val="3"/>
  </w:num>
  <w:num w:numId="58">
    <w:abstractNumId w:val="49"/>
  </w:num>
  <w:num w:numId="59">
    <w:abstractNumId w:val="4"/>
  </w:num>
  <w:num w:numId="60">
    <w:abstractNumId w:val="58"/>
  </w:num>
  <w:num w:numId="61">
    <w:abstractNumId w:val="61"/>
  </w:num>
  <w:num w:numId="62">
    <w:abstractNumId w:val="26"/>
  </w:num>
  <w:num w:numId="63">
    <w:abstractNumId w:val="54"/>
  </w:num>
  <w:num w:numId="64">
    <w:abstractNumId w:val="25"/>
  </w:num>
  <w:num w:numId="65">
    <w:abstractNumId w:val="2"/>
  </w:num>
  <w:num w:numId="66">
    <w:abstractNumId w:val="66"/>
  </w:num>
  <w:num w:numId="67">
    <w:abstractNumId w:val="44"/>
  </w:num>
  <w:num w:numId="68">
    <w:abstractNumId w:val="29"/>
  </w:num>
  <w:num w:numId="69">
    <w:abstractNumId w:val="32"/>
  </w:num>
  <w:num w:numId="70">
    <w:abstractNumId w:val="33"/>
  </w:num>
  <w:num w:numId="71">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C7F"/>
    <w:rsid w:val="0000186E"/>
    <w:rsid w:val="000018DD"/>
    <w:rsid w:val="00001C5A"/>
    <w:rsid w:val="00003122"/>
    <w:rsid w:val="000042BB"/>
    <w:rsid w:val="00005634"/>
    <w:rsid w:val="000057DA"/>
    <w:rsid w:val="000068D7"/>
    <w:rsid w:val="00007756"/>
    <w:rsid w:val="00010101"/>
    <w:rsid w:val="000134C6"/>
    <w:rsid w:val="00013C96"/>
    <w:rsid w:val="00014D5D"/>
    <w:rsid w:val="000168E1"/>
    <w:rsid w:val="00017B6F"/>
    <w:rsid w:val="0002009B"/>
    <w:rsid w:val="00020AD7"/>
    <w:rsid w:val="0002309A"/>
    <w:rsid w:val="00023435"/>
    <w:rsid w:val="00024587"/>
    <w:rsid w:val="00024F00"/>
    <w:rsid w:val="00026766"/>
    <w:rsid w:val="00026C04"/>
    <w:rsid w:val="00030FE3"/>
    <w:rsid w:val="000327B4"/>
    <w:rsid w:val="000368A6"/>
    <w:rsid w:val="00036905"/>
    <w:rsid w:val="00036F5B"/>
    <w:rsid w:val="0003702E"/>
    <w:rsid w:val="00037594"/>
    <w:rsid w:val="00037AB9"/>
    <w:rsid w:val="000406EE"/>
    <w:rsid w:val="00041A1D"/>
    <w:rsid w:val="00041C52"/>
    <w:rsid w:val="00042989"/>
    <w:rsid w:val="00043B85"/>
    <w:rsid w:val="00046096"/>
    <w:rsid w:val="00047D47"/>
    <w:rsid w:val="000506C9"/>
    <w:rsid w:val="00050FB4"/>
    <w:rsid w:val="0005182A"/>
    <w:rsid w:val="00053FF9"/>
    <w:rsid w:val="0005663B"/>
    <w:rsid w:val="00061113"/>
    <w:rsid w:val="0006170B"/>
    <w:rsid w:val="00063548"/>
    <w:rsid w:val="00065B71"/>
    <w:rsid w:val="000675C8"/>
    <w:rsid w:val="0007098C"/>
    <w:rsid w:val="00070EF7"/>
    <w:rsid w:val="0007243A"/>
    <w:rsid w:val="00072E2D"/>
    <w:rsid w:val="000770BF"/>
    <w:rsid w:val="000773D9"/>
    <w:rsid w:val="000777D9"/>
    <w:rsid w:val="000779D4"/>
    <w:rsid w:val="00077A4D"/>
    <w:rsid w:val="00077BFE"/>
    <w:rsid w:val="00080153"/>
    <w:rsid w:val="00080593"/>
    <w:rsid w:val="000815B3"/>
    <w:rsid w:val="00081B75"/>
    <w:rsid w:val="00082434"/>
    <w:rsid w:val="000831F9"/>
    <w:rsid w:val="00086013"/>
    <w:rsid w:val="00086662"/>
    <w:rsid w:val="00086D09"/>
    <w:rsid w:val="00087E50"/>
    <w:rsid w:val="0009094C"/>
    <w:rsid w:val="00090DDA"/>
    <w:rsid w:val="00090F9E"/>
    <w:rsid w:val="0009202F"/>
    <w:rsid w:val="00093145"/>
    <w:rsid w:val="00093803"/>
    <w:rsid w:val="00093E14"/>
    <w:rsid w:val="00093F3F"/>
    <w:rsid w:val="00094427"/>
    <w:rsid w:val="00095691"/>
    <w:rsid w:val="00096A96"/>
    <w:rsid w:val="00097699"/>
    <w:rsid w:val="000976CA"/>
    <w:rsid w:val="000A1BF1"/>
    <w:rsid w:val="000A20D0"/>
    <w:rsid w:val="000A2475"/>
    <w:rsid w:val="000A4260"/>
    <w:rsid w:val="000A479F"/>
    <w:rsid w:val="000A67C1"/>
    <w:rsid w:val="000B119B"/>
    <w:rsid w:val="000B1358"/>
    <w:rsid w:val="000B1FC2"/>
    <w:rsid w:val="000B22EE"/>
    <w:rsid w:val="000B31B2"/>
    <w:rsid w:val="000B401C"/>
    <w:rsid w:val="000B6AA7"/>
    <w:rsid w:val="000C06B0"/>
    <w:rsid w:val="000C16C1"/>
    <w:rsid w:val="000C2C26"/>
    <w:rsid w:val="000C369F"/>
    <w:rsid w:val="000C3F17"/>
    <w:rsid w:val="000C58DD"/>
    <w:rsid w:val="000C5F82"/>
    <w:rsid w:val="000C6569"/>
    <w:rsid w:val="000D766A"/>
    <w:rsid w:val="000D76A8"/>
    <w:rsid w:val="000D7841"/>
    <w:rsid w:val="000D7B04"/>
    <w:rsid w:val="000D7CD8"/>
    <w:rsid w:val="000E3980"/>
    <w:rsid w:val="000E5231"/>
    <w:rsid w:val="000E54D4"/>
    <w:rsid w:val="000E5C80"/>
    <w:rsid w:val="000F353F"/>
    <w:rsid w:val="000F73A9"/>
    <w:rsid w:val="00101324"/>
    <w:rsid w:val="00103133"/>
    <w:rsid w:val="00106EB5"/>
    <w:rsid w:val="00111045"/>
    <w:rsid w:val="00112A48"/>
    <w:rsid w:val="001154DE"/>
    <w:rsid w:val="0011576F"/>
    <w:rsid w:val="00116CFB"/>
    <w:rsid w:val="00117ACB"/>
    <w:rsid w:val="00117F20"/>
    <w:rsid w:val="0012041D"/>
    <w:rsid w:val="00121B19"/>
    <w:rsid w:val="00123564"/>
    <w:rsid w:val="001245CE"/>
    <w:rsid w:val="0012636F"/>
    <w:rsid w:val="001313B8"/>
    <w:rsid w:val="001325E8"/>
    <w:rsid w:val="001337B4"/>
    <w:rsid w:val="0013433B"/>
    <w:rsid w:val="00135976"/>
    <w:rsid w:val="001360C5"/>
    <w:rsid w:val="001369E7"/>
    <w:rsid w:val="00137500"/>
    <w:rsid w:val="0013771A"/>
    <w:rsid w:val="0014000C"/>
    <w:rsid w:val="00140BF0"/>
    <w:rsid w:val="001429F9"/>
    <w:rsid w:val="00143722"/>
    <w:rsid w:val="00145C9E"/>
    <w:rsid w:val="0015000B"/>
    <w:rsid w:val="0015110E"/>
    <w:rsid w:val="00153938"/>
    <w:rsid w:val="0015414F"/>
    <w:rsid w:val="00155388"/>
    <w:rsid w:val="00155CD7"/>
    <w:rsid w:val="00156340"/>
    <w:rsid w:val="00161EC8"/>
    <w:rsid w:val="0016247A"/>
    <w:rsid w:val="00162D47"/>
    <w:rsid w:val="00163C0B"/>
    <w:rsid w:val="00164862"/>
    <w:rsid w:val="00165C10"/>
    <w:rsid w:val="00170E0E"/>
    <w:rsid w:val="00171DE4"/>
    <w:rsid w:val="00174701"/>
    <w:rsid w:val="00175D15"/>
    <w:rsid w:val="00177606"/>
    <w:rsid w:val="0018076F"/>
    <w:rsid w:val="00180D61"/>
    <w:rsid w:val="00181125"/>
    <w:rsid w:val="00184554"/>
    <w:rsid w:val="001876E5"/>
    <w:rsid w:val="0019101A"/>
    <w:rsid w:val="001916E7"/>
    <w:rsid w:val="0019270C"/>
    <w:rsid w:val="00192953"/>
    <w:rsid w:val="001951B5"/>
    <w:rsid w:val="001A224B"/>
    <w:rsid w:val="001A22D2"/>
    <w:rsid w:val="001A3707"/>
    <w:rsid w:val="001A41AF"/>
    <w:rsid w:val="001A5A53"/>
    <w:rsid w:val="001A74D6"/>
    <w:rsid w:val="001B122E"/>
    <w:rsid w:val="001B2DBF"/>
    <w:rsid w:val="001B3238"/>
    <w:rsid w:val="001B3576"/>
    <w:rsid w:val="001B3887"/>
    <w:rsid w:val="001B3B05"/>
    <w:rsid w:val="001B4F1F"/>
    <w:rsid w:val="001B547C"/>
    <w:rsid w:val="001B687B"/>
    <w:rsid w:val="001B7C2A"/>
    <w:rsid w:val="001C32CD"/>
    <w:rsid w:val="001C357C"/>
    <w:rsid w:val="001C3974"/>
    <w:rsid w:val="001C4D0C"/>
    <w:rsid w:val="001C5C91"/>
    <w:rsid w:val="001C6558"/>
    <w:rsid w:val="001C6BBB"/>
    <w:rsid w:val="001C7312"/>
    <w:rsid w:val="001C7463"/>
    <w:rsid w:val="001C751C"/>
    <w:rsid w:val="001D1CE9"/>
    <w:rsid w:val="001D23AE"/>
    <w:rsid w:val="001D3274"/>
    <w:rsid w:val="001E19EF"/>
    <w:rsid w:val="001E22FA"/>
    <w:rsid w:val="001E25B2"/>
    <w:rsid w:val="001E3657"/>
    <w:rsid w:val="001E39EE"/>
    <w:rsid w:val="001E6254"/>
    <w:rsid w:val="001E6378"/>
    <w:rsid w:val="001E6A5B"/>
    <w:rsid w:val="001E6DA0"/>
    <w:rsid w:val="001F11BC"/>
    <w:rsid w:val="001F1B66"/>
    <w:rsid w:val="001F2FC0"/>
    <w:rsid w:val="001F3CAC"/>
    <w:rsid w:val="001F4A07"/>
    <w:rsid w:val="001F4A0E"/>
    <w:rsid w:val="001F611B"/>
    <w:rsid w:val="001F670D"/>
    <w:rsid w:val="001F6FA7"/>
    <w:rsid w:val="00201E21"/>
    <w:rsid w:val="00202FB8"/>
    <w:rsid w:val="002043BC"/>
    <w:rsid w:val="0020546F"/>
    <w:rsid w:val="0020631C"/>
    <w:rsid w:val="00207446"/>
    <w:rsid w:val="00210F1B"/>
    <w:rsid w:val="002122C6"/>
    <w:rsid w:val="00216B8D"/>
    <w:rsid w:val="00216F79"/>
    <w:rsid w:val="00217CFE"/>
    <w:rsid w:val="00217F37"/>
    <w:rsid w:val="002204F6"/>
    <w:rsid w:val="002206E0"/>
    <w:rsid w:val="00222F10"/>
    <w:rsid w:val="00223984"/>
    <w:rsid w:val="00224492"/>
    <w:rsid w:val="00226440"/>
    <w:rsid w:val="002275A8"/>
    <w:rsid w:val="00232206"/>
    <w:rsid w:val="00233296"/>
    <w:rsid w:val="00235971"/>
    <w:rsid w:val="00235A1A"/>
    <w:rsid w:val="00235BF4"/>
    <w:rsid w:val="0023696E"/>
    <w:rsid w:val="00240B0E"/>
    <w:rsid w:val="0024382D"/>
    <w:rsid w:val="00244E44"/>
    <w:rsid w:val="00251FE1"/>
    <w:rsid w:val="00253D15"/>
    <w:rsid w:val="00254593"/>
    <w:rsid w:val="002558DC"/>
    <w:rsid w:val="002563DC"/>
    <w:rsid w:val="00257AAA"/>
    <w:rsid w:val="002606AA"/>
    <w:rsid w:val="002637CB"/>
    <w:rsid w:val="00265055"/>
    <w:rsid w:val="00265B35"/>
    <w:rsid w:val="00266600"/>
    <w:rsid w:val="00270BF4"/>
    <w:rsid w:val="00273D25"/>
    <w:rsid w:val="002755B9"/>
    <w:rsid w:val="002770EE"/>
    <w:rsid w:val="00283E18"/>
    <w:rsid w:val="0028542B"/>
    <w:rsid w:val="00285DC1"/>
    <w:rsid w:val="00285E39"/>
    <w:rsid w:val="00286397"/>
    <w:rsid w:val="002865C0"/>
    <w:rsid w:val="00287B7E"/>
    <w:rsid w:val="0029075A"/>
    <w:rsid w:val="0029091A"/>
    <w:rsid w:val="00290F05"/>
    <w:rsid w:val="00290F8D"/>
    <w:rsid w:val="00291431"/>
    <w:rsid w:val="00291FF7"/>
    <w:rsid w:val="00292FD7"/>
    <w:rsid w:val="002938AC"/>
    <w:rsid w:val="00294400"/>
    <w:rsid w:val="00295A45"/>
    <w:rsid w:val="002A160E"/>
    <w:rsid w:val="002A2F40"/>
    <w:rsid w:val="002A59F8"/>
    <w:rsid w:val="002A5FDF"/>
    <w:rsid w:val="002A6D3A"/>
    <w:rsid w:val="002A73C8"/>
    <w:rsid w:val="002B01C3"/>
    <w:rsid w:val="002B0A20"/>
    <w:rsid w:val="002B37BF"/>
    <w:rsid w:val="002B4E85"/>
    <w:rsid w:val="002B785E"/>
    <w:rsid w:val="002C01EB"/>
    <w:rsid w:val="002C06AA"/>
    <w:rsid w:val="002C1F4C"/>
    <w:rsid w:val="002C2219"/>
    <w:rsid w:val="002C45DC"/>
    <w:rsid w:val="002C6712"/>
    <w:rsid w:val="002C69BF"/>
    <w:rsid w:val="002C7471"/>
    <w:rsid w:val="002C7B61"/>
    <w:rsid w:val="002C7CF4"/>
    <w:rsid w:val="002D0E3D"/>
    <w:rsid w:val="002D49B2"/>
    <w:rsid w:val="002D5EA1"/>
    <w:rsid w:val="002E32CB"/>
    <w:rsid w:val="002E7AD0"/>
    <w:rsid w:val="002E7F29"/>
    <w:rsid w:val="002F0BED"/>
    <w:rsid w:val="002F223C"/>
    <w:rsid w:val="002F474C"/>
    <w:rsid w:val="002F57C4"/>
    <w:rsid w:val="002F5B5A"/>
    <w:rsid w:val="003004FD"/>
    <w:rsid w:val="003007FE"/>
    <w:rsid w:val="00300A1A"/>
    <w:rsid w:val="00300C64"/>
    <w:rsid w:val="003010AA"/>
    <w:rsid w:val="00302281"/>
    <w:rsid w:val="00302DFC"/>
    <w:rsid w:val="00303308"/>
    <w:rsid w:val="0030417A"/>
    <w:rsid w:val="0030445A"/>
    <w:rsid w:val="00307DD3"/>
    <w:rsid w:val="00307E3B"/>
    <w:rsid w:val="00312788"/>
    <w:rsid w:val="00312B81"/>
    <w:rsid w:val="00313CFF"/>
    <w:rsid w:val="00317382"/>
    <w:rsid w:val="00317456"/>
    <w:rsid w:val="00325855"/>
    <w:rsid w:val="0032614F"/>
    <w:rsid w:val="003263FE"/>
    <w:rsid w:val="00326731"/>
    <w:rsid w:val="0032746E"/>
    <w:rsid w:val="003315C2"/>
    <w:rsid w:val="0033324A"/>
    <w:rsid w:val="00336497"/>
    <w:rsid w:val="00337858"/>
    <w:rsid w:val="00341F2F"/>
    <w:rsid w:val="00342264"/>
    <w:rsid w:val="0034248D"/>
    <w:rsid w:val="00343B42"/>
    <w:rsid w:val="003459B6"/>
    <w:rsid w:val="003464E6"/>
    <w:rsid w:val="00347ED9"/>
    <w:rsid w:val="00350477"/>
    <w:rsid w:val="00350828"/>
    <w:rsid w:val="00351CBD"/>
    <w:rsid w:val="00351FE5"/>
    <w:rsid w:val="00354961"/>
    <w:rsid w:val="003567D9"/>
    <w:rsid w:val="00360112"/>
    <w:rsid w:val="00360681"/>
    <w:rsid w:val="0036227A"/>
    <w:rsid w:val="0036305A"/>
    <w:rsid w:val="00364430"/>
    <w:rsid w:val="00364EC3"/>
    <w:rsid w:val="00366732"/>
    <w:rsid w:val="00366A10"/>
    <w:rsid w:val="00366FB1"/>
    <w:rsid w:val="00370077"/>
    <w:rsid w:val="003700A8"/>
    <w:rsid w:val="003700B5"/>
    <w:rsid w:val="00370D80"/>
    <w:rsid w:val="00373BAB"/>
    <w:rsid w:val="00374994"/>
    <w:rsid w:val="00377A13"/>
    <w:rsid w:val="00380A63"/>
    <w:rsid w:val="0038101F"/>
    <w:rsid w:val="003824A1"/>
    <w:rsid w:val="00384277"/>
    <w:rsid w:val="00384A8D"/>
    <w:rsid w:val="003850AB"/>
    <w:rsid w:val="00391A84"/>
    <w:rsid w:val="00391D8D"/>
    <w:rsid w:val="003930C4"/>
    <w:rsid w:val="0039348F"/>
    <w:rsid w:val="00394844"/>
    <w:rsid w:val="00394C24"/>
    <w:rsid w:val="00395936"/>
    <w:rsid w:val="00395DF5"/>
    <w:rsid w:val="0039628A"/>
    <w:rsid w:val="00396596"/>
    <w:rsid w:val="003978BC"/>
    <w:rsid w:val="003A3D03"/>
    <w:rsid w:val="003A5A3E"/>
    <w:rsid w:val="003A6028"/>
    <w:rsid w:val="003A69F5"/>
    <w:rsid w:val="003B0DD2"/>
    <w:rsid w:val="003B4622"/>
    <w:rsid w:val="003B495C"/>
    <w:rsid w:val="003B49B7"/>
    <w:rsid w:val="003B67CC"/>
    <w:rsid w:val="003B6875"/>
    <w:rsid w:val="003C1E99"/>
    <w:rsid w:val="003C223B"/>
    <w:rsid w:val="003D45BC"/>
    <w:rsid w:val="003D4A39"/>
    <w:rsid w:val="003E2647"/>
    <w:rsid w:val="003E2D60"/>
    <w:rsid w:val="003E5F72"/>
    <w:rsid w:val="003E74DC"/>
    <w:rsid w:val="003F109D"/>
    <w:rsid w:val="003F168C"/>
    <w:rsid w:val="003F513A"/>
    <w:rsid w:val="003F59E3"/>
    <w:rsid w:val="003F6A1F"/>
    <w:rsid w:val="003F73C3"/>
    <w:rsid w:val="003F7C59"/>
    <w:rsid w:val="00400D96"/>
    <w:rsid w:val="00400FDE"/>
    <w:rsid w:val="00401F21"/>
    <w:rsid w:val="00404DA5"/>
    <w:rsid w:val="00405DFE"/>
    <w:rsid w:val="00406848"/>
    <w:rsid w:val="00406E24"/>
    <w:rsid w:val="00407522"/>
    <w:rsid w:val="00410B29"/>
    <w:rsid w:val="00411E02"/>
    <w:rsid w:val="004142C9"/>
    <w:rsid w:val="00414A49"/>
    <w:rsid w:val="0041531A"/>
    <w:rsid w:val="004157AF"/>
    <w:rsid w:val="00415846"/>
    <w:rsid w:val="00415BC6"/>
    <w:rsid w:val="00415C67"/>
    <w:rsid w:val="004168F2"/>
    <w:rsid w:val="004209AD"/>
    <w:rsid w:val="00421F08"/>
    <w:rsid w:val="0042389C"/>
    <w:rsid w:val="004253DE"/>
    <w:rsid w:val="004305D6"/>
    <w:rsid w:val="0043138F"/>
    <w:rsid w:val="00432330"/>
    <w:rsid w:val="0043356E"/>
    <w:rsid w:val="00436042"/>
    <w:rsid w:val="00436235"/>
    <w:rsid w:val="00436246"/>
    <w:rsid w:val="004362F9"/>
    <w:rsid w:val="00437AA8"/>
    <w:rsid w:val="00442460"/>
    <w:rsid w:val="00442D1F"/>
    <w:rsid w:val="00443D3E"/>
    <w:rsid w:val="004456AE"/>
    <w:rsid w:val="0044756A"/>
    <w:rsid w:val="0045160A"/>
    <w:rsid w:val="00452C88"/>
    <w:rsid w:val="00454FD3"/>
    <w:rsid w:val="00456101"/>
    <w:rsid w:val="004569CA"/>
    <w:rsid w:val="00456D27"/>
    <w:rsid w:val="0046191B"/>
    <w:rsid w:val="00462AD4"/>
    <w:rsid w:val="0046344B"/>
    <w:rsid w:val="00465BD0"/>
    <w:rsid w:val="00470628"/>
    <w:rsid w:val="00471DD9"/>
    <w:rsid w:val="00472EC3"/>
    <w:rsid w:val="00473A0C"/>
    <w:rsid w:val="004742DC"/>
    <w:rsid w:val="00475876"/>
    <w:rsid w:val="00480013"/>
    <w:rsid w:val="004802D1"/>
    <w:rsid w:val="004804E5"/>
    <w:rsid w:val="00481A86"/>
    <w:rsid w:val="00481EC6"/>
    <w:rsid w:val="004826F5"/>
    <w:rsid w:val="00482764"/>
    <w:rsid w:val="00482B26"/>
    <w:rsid w:val="0048335E"/>
    <w:rsid w:val="00483560"/>
    <w:rsid w:val="00483EEF"/>
    <w:rsid w:val="00484084"/>
    <w:rsid w:val="00484270"/>
    <w:rsid w:val="0048472F"/>
    <w:rsid w:val="00490F38"/>
    <w:rsid w:val="0049233B"/>
    <w:rsid w:val="0049276B"/>
    <w:rsid w:val="00495DB6"/>
    <w:rsid w:val="00496407"/>
    <w:rsid w:val="004964BE"/>
    <w:rsid w:val="00497964"/>
    <w:rsid w:val="004A04D4"/>
    <w:rsid w:val="004A1204"/>
    <w:rsid w:val="004A1C36"/>
    <w:rsid w:val="004A3DBC"/>
    <w:rsid w:val="004A4F76"/>
    <w:rsid w:val="004A5C0E"/>
    <w:rsid w:val="004A6315"/>
    <w:rsid w:val="004A637E"/>
    <w:rsid w:val="004A7B2C"/>
    <w:rsid w:val="004B0FFD"/>
    <w:rsid w:val="004B189C"/>
    <w:rsid w:val="004B1A5D"/>
    <w:rsid w:val="004B371B"/>
    <w:rsid w:val="004B45CD"/>
    <w:rsid w:val="004B56D9"/>
    <w:rsid w:val="004B5738"/>
    <w:rsid w:val="004B7142"/>
    <w:rsid w:val="004C0C1D"/>
    <w:rsid w:val="004C17F4"/>
    <w:rsid w:val="004C51C7"/>
    <w:rsid w:val="004C5240"/>
    <w:rsid w:val="004D3070"/>
    <w:rsid w:val="004D4242"/>
    <w:rsid w:val="004D45E1"/>
    <w:rsid w:val="004D5995"/>
    <w:rsid w:val="004D674A"/>
    <w:rsid w:val="004E02AF"/>
    <w:rsid w:val="004E0497"/>
    <w:rsid w:val="004E2259"/>
    <w:rsid w:val="004E242D"/>
    <w:rsid w:val="004E27AD"/>
    <w:rsid w:val="004E29DD"/>
    <w:rsid w:val="004E4524"/>
    <w:rsid w:val="004E740F"/>
    <w:rsid w:val="004E7B42"/>
    <w:rsid w:val="004E7C14"/>
    <w:rsid w:val="004E7D77"/>
    <w:rsid w:val="004F028D"/>
    <w:rsid w:val="004F2051"/>
    <w:rsid w:val="004F3D7E"/>
    <w:rsid w:val="004F3FBF"/>
    <w:rsid w:val="004F4131"/>
    <w:rsid w:val="004F441B"/>
    <w:rsid w:val="004F49BE"/>
    <w:rsid w:val="004F7934"/>
    <w:rsid w:val="00500277"/>
    <w:rsid w:val="005008C5"/>
    <w:rsid w:val="005011E2"/>
    <w:rsid w:val="00502670"/>
    <w:rsid w:val="00502B83"/>
    <w:rsid w:val="00503A7B"/>
    <w:rsid w:val="00503FB2"/>
    <w:rsid w:val="00505477"/>
    <w:rsid w:val="00506A65"/>
    <w:rsid w:val="005076BF"/>
    <w:rsid w:val="00512445"/>
    <w:rsid w:val="00520AA0"/>
    <w:rsid w:val="00526AA8"/>
    <w:rsid w:val="0052708E"/>
    <w:rsid w:val="0052743D"/>
    <w:rsid w:val="00530EE3"/>
    <w:rsid w:val="0053132A"/>
    <w:rsid w:val="00533350"/>
    <w:rsid w:val="00534721"/>
    <w:rsid w:val="00534F20"/>
    <w:rsid w:val="005351F2"/>
    <w:rsid w:val="00535805"/>
    <w:rsid w:val="00536DBE"/>
    <w:rsid w:val="0053750C"/>
    <w:rsid w:val="00537F34"/>
    <w:rsid w:val="00540988"/>
    <w:rsid w:val="00542759"/>
    <w:rsid w:val="00543A90"/>
    <w:rsid w:val="0054508E"/>
    <w:rsid w:val="00545AB8"/>
    <w:rsid w:val="00546F39"/>
    <w:rsid w:val="00547B2A"/>
    <w:rsid w:val="00550467"/>
    <w:rsid w:val="00551A82"/>
    <w:rsid w:val="00554F41"/>
    <w:rsid w:val="00557901"/>
    <w:rsid w:val="005603B9"/>
    <w:rsid w:val="00561CE1"/>
    <w:rsid w:val="00561FAF"/>
    <w:rsid w:val="00565685"/>
    <w:rsid w:val="00565A63"/>
    <w:rsid w:val="0057098B"/>
    <w:rsid w:val="00571B1B"/>
    <w:rsid w:val="00574562"/>
    <w:rsid w:val="00574B93"/>
    <w:rsid w:val="00574E31"/>
    <w:rsid w:val="0057512B"/>
    <w:rsid w:val="005751E2"/>
    <w:rsid w:val="00575CDA"/>
    <w:rsid w:val="005773C1"/>
    <w:rsid w:val="00583709"/>
    <w:rsid w:val="005845CC"/>
    <w:rsid w:val="00587B3D"/>
    <w:rsid w:val="00590A95"/>
    <w:rsid w:val="0059131E"/>
    <w:rsid w:val="00592B70"/>
    <w:rsid w:val="00593680"/>
    <w:rsid w:val="00593C01"/>
    <w:rsid w:val="00594DA0"/>
    <w:rsid w:val="00595782"/>
    <w:rsid w:val="005A06CB"/>
    <w:rsid w:val="005A1692"/>
    <w:rsid w:val="005A55BE"/>
    <w:rsid w:val="005A6BEB"/>
    <w:rsid w:val="005B0140"/>
    <w:rsid w:val="005B4E7D"/>
    <w:rsid w:val="005B58BD"/>
    <w:rsid w:val="005B6C05"/>
    <w:rsid w:val="005C07B8"/>
    <w:rsid w:val="005C0881"/>
    <w:rsid w:val="005C380D"/>
    <w:rsid w:val="005C3E9A"/>
    <w:rsid w:val="005C491C"/>
    <w:rsid w:val="005D1592"/>
    <w:rsid w:val="005D187D"/>
    <w:rsid w:val="005D32BD"/>
    <w:rsid w:val="005D3B1E"/>
    <w:rsid w:val="005D4850"/>
    <w:rsid w:val="005D4915"/>
    <w:rsid w:val="005D667D"/>
    <w:rsid w:val="005D6905"/>
    <w:rsid w:val="005E0478"/>
    <w:rsid w:val="005E13FC"/>
    <w:rsid w:val="005E1B8C"/>
    <w:rsid w:val="005E255B"/>
    <w:rsid w:val="005E2C98"/>
    <w:rsid w:val="005E3EC4"/>
    <w:rsid w:val="005E6538"/>
    <w:rsid w:val="005F04FC"/>
    <w:rsid w:val="005F29BA"/>
    <w:rsid w:val="005F34F5"/>
    <w:rsid w:val="005F5F96"/>
    <w:rsid w:val="00600B60"/>
    <w:rsid w:val="00601AD9"/>
    <w:rsid w:val="00602141"/>
    <w:rsid w:val="00602453"/>
    <w:rsid w:val="006024ED"/>
    <w:rsid w:val="00602872"/>
    <w:rsid w:val="00603C0B"/>
    <w:rsid w:val="00604DEB"/>
    <w:rsid w:val="006052AE"/>
    <w:rsid w:val="00606862"/>
    <w:rsid w:val="006071DF"/>
    <w:rsid w:val="006106BB"/>
    <w:rsid w:val="00615512"/>
    <w:rsid w:val="00617401"/>
    <w:rsid w:val="00622EE0"/>
    <w:rsid w:val="006249E8"/>
    <w:rsid w:val="0062611E"/>
    <w:rsid w:val="0062768D"/>
    <w:rsid w:val="006301C1"/>
    <w:rsid w:val="00632F28"/>
    <w:rsid w:val="00632FDE"/>
    <w:rsid w:val="00634F6B"/>
    <w:rsid w:val="006362E4"/>
    <w:rsid w:val="0064157E"/>
    <w:rsid w:val="00644A85"/>
    <w:rsid w:val="00650832"/>
    <w:rsid w:val="00650B0D"/>
    <w:rsid w:val="00652F18"/>
    <w:rsid w:val="00653C55"/>
    <w:rsid w:val="006549D1"/>
    <w:rsid w:val="00654D80"/>
    <w:rsid w:val="00654E17"/>
    <w:rsid w:val="00655545"/>
    <w:rsid w:val="006558FF"/>
    <w:rsid w:val="0065616B"/>
    <w:rsid w:val="006565EB"/>
    <w:rsid w:val="00656CDC"/>
    <w:rsid w:val="006573B3"/>
    <w:rsid w:val="00660CBD"/>
    <w:rsid w:val="0066174E"/>
    <w:rsid w:val="006627AC"/>
    <w:rsid w:val="00663E5D"/>
    <w:rsid w:val="00664716"/>
    <w:rsid w:val="00664906"/>
    <w:rsid w:val="006654AE"/>
    <w:rsid w:val="00665A07"/>
    <w:rsid w:val="00666AD8"/>
    <w:rsid w:val="0067000D"/>
    <w:rsid w:val="00671202"/>
    <w:rsid w:val="0067237C"/>
    <w:rsid w:val="00674371"/>
    <w:rsid w:val="00674475"/>
    <w:rsid w:val="00675CDE"/>
    <w:rsid w:val="006776AE"/>
    <w:rsid w:val="00677A3C"/>
    <w:rsid w:val="00681693"/>
    <w:rsid w:val="0068246E"/>
    <w:rsid w:val="006829B2"/>
    <w:rsid w:val="006836F5"/>
    <w:rsid w:val="006838C0"/>
    <w:rsid w:val="0068759D"/>
    <w:rsid w:val="00690B31"/>
    <w:rsid w:val="00690CD0"/>
    <w:rsid w:val="0069261A"/>
    <w:rsid w:val="00692A4E"/>
    <w:rsid w:val="006957C2"/>
    <w:rsid w:val="006959D6"/>
    <w:rsid w:val="006A1757"/>
    <w:rsid w:val="006A2522"/>
    <w:rsid w:val="006A2ED6"/>
    <w:rsid w:val="006A3262"/>
    <w:rsid w:val="006A396F"/>
    <w:rsid w:val="006A5C1B"/>
    <w:rsid w:val="006A5EAC"/>
    <w:rsid w:val="006A67AB"/>
    <w:rsid w:val="006B0356"/>
    <w:rsid w:val="006B23B5"/>
    <w:rsid w:val="006B7D2F"/>
    <w:rsid w:val="006C3690"/>
    <w:rsid w:val="006C522F"/>
    <w:rsid w:val="006C784E"/>
    <w:rsid w:val="006D4B29"/>
    <w:rsid w:val="006D4CCA"/>
    <w:rsid w:val="006D557C"/>
    <w:rsid w:val="006D5A71"/>
    <w:rsid w:val="006D7485"/>
    <w:rsid w:val="006D7681"/>
    <w:rsid w:val="006E0098"/>
    <w:rsid w:val="006E0D6E"/>
    <w:rsid w:val="006E1621"/>
    <w:rsid w:val="006E2CCD"/>
    <w:rsid w:val="006E34DC"/>
    <w:rsid w:val="006E6425"/>
    <w:rsid w:val="006E6CFA"/>
    <w:rsid w:val="006F105A"/>
    <w:rsid w:val="006F306E"/>
    <w:rsid w:val="006F39E9"/>
    <w:rsid w:val="006F4D8F"/>
    <w:rsid w:val="006F5342"/>
    <w:rsid w:val="006F765C"/>
    <w:rsid w:val="006F7756"/>
    <w:rsid w:val="00701EEC"/>
    <w:rsid w:val="00703AED"/>
    <w:rsid w:val="00707A80"/>
    <w:rsid w:val="007116D2"/>
    <w:rsid w:val="00711DD5"/>
    <w:rsid w:val="00712232"/>
    <w:rsid w:val="00712509"/>
    <w:rsid w:val="007134DD"/>
    <w:rsid w:val="00713A64"/>
    <w:rsid w:val="0071421C"/>
    <w:rsid w:val="0071595E"/>
    <w:rsid w:val="00716460"/>
    <w:rsid w:val="00717735"/>
    <w:rsid w:val="007203E2"/>
    <w:rsid w:val="00720FE9"/>
    <w:rsid w:val="007220A6"/>
    <w:rsid w:val="00723DE8"/>
    <w:rsid w:val="00723FA1"/>
    <w:rsid w:val="00724F83"/>
    <w:rsid w:val="007250AE"/>
    <w:rsid w:val="00732D7E"/>
    <w:rsid w:val="007337C7"/>
    <w:rsid w:val="007339FF"/>
    <w:rsid w:val="007379AB"/>
    <w:rsid w:val="0074061F"/>
    <w:rsid w:val="00740D2F"/>
    <w:rsid w:val="007429B4"/>
    <w:rsid w:val="0074340E"/>
    <w:rsid w:val="007451D3"/>
    <w:rsid w:val="007453AE"/>
    <w:rsid w:val="00751381"/>
    <w:rsid w:val="0075269A"/>
    <w:rsid w:val="00754ED4"/>
    <w:rsid w:val="00755001"/>
    <w:rsid w:val="007550BA"/>
    <w:rsid w:val="0075695B"/>
    <w:rsid w:val="00756EC1"/>
    <w:rsid w:val="00757175"/>
    <w:rsid w:val="007571A5"/>
    <w:rsid w:val="00760BF7"/>
    <w:rsid w:val="0076125A"/>
    <w:rsid w:val="007616F1"/>
    <w:rsid w:val="00762897"/>
    <w:rsid w:val="00763345"/>
    <w:rsid w:val="00763D60"/>
    <w:rsid w:val="00764B62"/>
    <w:rsid w:val="007653AE"/>
    <w:rsid w:val="00765F3B"/>
    <w:rsid w:val="00765FD2"/>
    <w:rsid w:val="00767557"/>
    <w:rsid w:val="007704FA"/>
    <w:rsid w:val="00770E7D"/>
    <w:rsid w:val="00771C46"/>
    <w:rsid w:val="007727CB"/>
    <w:rsid w:val="0077488A"/>
    <w:rsid w:val="00775E47"/>
    <w:rsid w:val="00775E50"/>
    <w:rsid w:val="00777B79"/>
    <w:rsid w:val="00777D38"/>
    <w:rsid w:val="00780D1C"/>
    <w:rsid w:val="007818A9"/>
    <w:rsid w:val="00782073"/>
    <w:rsid w:val="00782AD7"/>
    <w:rsid w:val="00786A72"/>
    <w:rsid w:val="0079222C"/>
    <w:rsid w:val="00792824"/>
    <w:rsid w:val="00795357"/>
    <w:rsid w:val="007955DE"/>
    <w:rsid w:val="0079612E"/>
    <w:rsid w:val="007969E8"/>
    <w:rsid w:val="00796F61"/>
    <w:rsid w:val="007975B8"/>
    <w:rsid w:val="007A04C8"/>
    <w:rsid w:val="007A1D93"/>
    <w:rsid w:val="007A4C75"/>
    <w:rsid w:val="007A5088"/>
    <w:rsid w:val="007A508C"/>
    <w:rsid w:val="007A5323"/>
    <w:rsid w:val="007A7601"/>
    <w:rsid w:val="007B0732"/>
    <w:rsid w:val="007B1841"/>
    <w:rsid w:val="007B190B"/>
    <w:rsid w:val="007B37A2"/>
    <w:rsid w:val="007B4DC0"/>
    <w:rsid w:val="007C0DBD"/>
    <w:rsid w:val="007C1AF0"/>
    <w:rsid w:val="007C251B"/>
    <w:rsid w:val="007C2A7F"/>
    <w:rsid w:val="007C779D"/>
    <w:rsid w:val="007C7FAE"/>
    <w:rsid w:val="007D08CE"/>
    <w:rsid w:val="007D3921"/>
    <w:rsid w:val="007D4D55"/>
    <w:rsid w:val="007D4ED8"/>
    <w:rsid w:val="007D621D"/>
    <w:rsid w:val="007D76FB"/>
    <w:rsid w:val="007E0050"/>
    <w:rsid w:val="007E1346"/>
    <w:rsid w:val="007E15C3"/>
    <w:rsid w:val="007E200B"/>
    <w:rsid w:val="007E4636"/>
    <w:rsid w:val="007E6F69"/>
    <w:rsid w:val="007E7C1F"/>
    <w:rsid w:val="007F0718"/>
    <w:rsid w:val="007F0C09"/>
    <w:rsid w:val="007F0C1C"/>
    <w:rsid w:val="007F116A"/>
    <w:rsid w:val="007F26C2"/>
    <w:rsid w:val="007F42AD"/>
    <w:rsid w:val="007F5283"/>
    <w:rsid w:val="007F62AB"/>
    <w:rsid w:val="007F7D4A"/>
    <w:rsid w:val="0080054C"/>
    <w:rsid w:val="00800797"/>
    <w:rsid w:val="00801DB4"/>
    <w:rsid w:val="00802386"/>
    <w:rsid w:val="00802457"/>
    <w:rsid w:val="00803660"/>
    <w:rsid w:val="00803CAF"/>
    <w:rsid w:val="00804F60"/>
    <w:rsid w:val="00805F54"/>
    <w:rsid w:val="00807CA9"/>
    <w:rsid w:val="00810AC8"/>
    <w:rsid w:val="00811512"/>
    <w:rsid w:val="00811603"/>
    <w:rsid w:val="0081201E"/>
    <w:rsid w:val="00812F84"/>
    <w:rsid w:val="00813B72"/>
    <w:rsid w:val="00826740"/>
    <w:rsid w:val="00832107"/>
    <w:rsid w:val="008323DB"/>
    <w:rsid w:val="00832796"/>
    <w:rsid w:val="0083335A"/>
    <w:rsid w:val="00833AEA"/>
    <w:rsid w:val="00834071"/>
    <w:rsid w:val="008340EC"/>
    <w:rsid w:val="00836D92"/>
    <w:rsid w:val="00841D0E"/>
    <w:rsid w:val="00842220"/>
    <w:rsid w:val="008444FE"/>
    <w:rsid w:val="00845F2B"/>
    <w:rsid w:val="00846631"/>
    <w:rsid w:val="008467BC"/>
    <w:rsid w:val="00846F70"/>
    <w:rsid w:val="008475F6"/>
    <w:rsid w:val="008478CC"/>
    <w:rsid w:val="008506D9"/>
    <w:rsid w:val="00852484"/>
    <w:rsid w:val="00852FD2"/>
    <w:rsid w:val="00863989"/>
    <w:rsid w:val="00864DC7"/>
    <w:rsid w:val="00865ABA"/>
    <w:rsid w:val="00866905"/>
    <w:rsid w:val="00866CBA"/>
    <w:rsid w:val="00870E71"/>
    <w:rsid w:val="0087111C"/>
    <w:rsid w:val="00873753"/>
    <w:rsid w:val="008755C3"/>
    <w:rsid w:val="00875733"/>
    <w:rsid w:val="00877436"/>
    <w:rsid w:val="00881754"/>
    <w:rsid w:val="00881780"/>
    <w:rsid w:val="00881C41"/>
    <w:rsid w:val="0088246F"/>
    <w:rsid w:val="0088306C"/>
    <w:rsid w:val="00884E9B"/>
    <w:rsid w:val="008868B2"/>
    <w:rsid w:val="00891BC3"/>
    <w:rsid w:val="00892444"/>
    <w:rsid w:val="00892976"/>
    <w:rsid w:val="00895601"/>
    <w:rsid w:val="008964CA"/>
    <w:rsid w:val="00897C3B"/>
    <w:rsid w:val="008A1D55"/>
    <w:rsid w:val="008A3C9A"/>
    <w:rsid w:val="008A5B19"/>
    <w:rsid w:val="008B06BE"/>
    <w:rsid w:val="008B33E8"/>
    <w:rsid w:val="008B4943"/>
    <w:rsid w:val="008B6BD7"/>
    <w:rsid w:val="008B706B"/>
    <w:rsid w:val="008B7FC0"/>
    <w:rsid w:val="008C0BA9"/>
    <w:rsid w:val="008C197C"/>
    <w:rsid w:val="008C3E30"/>
    <w:rsid w:val="008C54CD"/>
    <w:rsid w:val="008D0A04"/>
    <w:rsid w:val="008D0CB9"/>
    <w:rsid w:val="008D2023"/>
    <w:rsid w:val="008D3B67"/>
    <w:rsid w:val="008D430F"/>
    <w:rsid w:val="008D6EE0"/>
    <w:rsid w:val="008D708E"/>
    <w:rsid w:val="008E0741"/>
    <w:rsid w:val="008E357F"/>
    <w:rsid w:val="008E42AB"/>
    <w:rsid w:val="008E433B"/>
    <w:rsid w:val="008E7EF2"/>
    <w:rsid w:val="008F08E6"/>
    <w:rsid w:val="008F1092"/>
    <w:rsid w:val="008F1BDE"/>
    <w:rsid w:val="008F1CDB"/>
    <w:rsid w:val="008F226F"/>
    <w:rsid w:val="008F22FD"/>
    <w:rsid w:val="008F25B5"/>
    <w:rsid w:val="008F4A09"/>
    <w:rsid w:val="008F5645"/>
    <w:rsid w:val="008F65DC"/>
    <w:rsid w:val="008F7BB2"/>
    <w:rsid w:val="00900178"/>
    <w:rsid w:val="00900DC8"/>
    <w:rsid w:val="009012BC"/>
    <w:rsid w:val="00902B9D"/>
    <w:rsid w:val="00902C74"/>
    <w:rsid w:val="00903AD3"/>
    <w:rsid w:val="00904292"/>
    <w:rsid w:val="00904499"/>
    <w:rsid w:val="009058A2"/>
    <w:rsid w:val="00910AB0"/>
    <w:rsid w:val="00912B4D"/>
    <w:rsid w:val="009135A8"/>
    <w:rsid w:val="0091474D"/>
    <w:rsid w:val="00916B61"/>
    <w:rsid w:val="0091797D"/>
    <w:rsid w:val="00920D56"/>
    <w:rsid w:val="00923D41"/>
    <w:rsid w:val="00924928"/>
    <w:rsid w:val="009261FF"/>
    <w:rsid w:val="00926BED"/>
    <w:rsid w:val="00927AD2"/>
    <w:rsid w:val="0093014F"/>
    <w:rsid w:val="00932F0B"/>
    <w:rsid w:val="00934774"/>
    <w:rsid w:val="00934A8D"/>
    <w:rsid w:val="00935A95"/>
    <w:rsid w:val="00935AFE"/>
    <w:rsid w:val="00936093"/>
    <w:rsid w:val="00936104"/>
    <w:rsid w:val="0093717A"/>
    <w:rsid w:val="00937862"/>
    <w:rsid w:val="009402A1"/>
    <w:rsid w:val="0094076E"/>
    <w:rsid w:val="009424FF"/>
    <w:rsid w:val="00944123"/>
    <w:rsid w:val="0094418C"/>
    <w:rsid w:val="00946359"/>
    <w:rsid w:val="00946C30"/>
    <w:rsid w:val="00952E85"/>
    <w:rsid w:val="009544BB"/>
    <w:rsid w:val="009569D4"/>
    <w:rsid w:val="009627EC"/>
    <w:rsid w:val="0096307B"/>
    <w:rsid w:val="009639CE"/>
    <w:rsid w:val="00964DC4"/>
    <w:rsid w:val="00966B0C"/>
    <w:rsid w:val="00967F16"/>
    <w:rsid w:val="009710F6"/>
    <w:rsid w:val="0097284A"/>
    <w:rsid w:val="009736D8"/>
    <w:rsid w:val="00973705"/>
    <w:rsid w:val="00975948"/>
    <w:rsid w:val="00981868"/>
    <w:rsid w:val="00983C73"/>
    <w:rsid w:val="00983FFE"/>
    <w:rsid w:val="0098667A"/>
    <w:rsid w:val="00986AEC"/>
    <w:rsid w:val="00986F2D"/>
    <w:rsid w:val="00987362"/>
    <w:rsid w:val="009874CC"/>
    <w:rsid w:val="00987C06"/>
    <w:rsid w:val="00990613"/>
    <w:rsid w:val="00991242"/>
    <w:rsid w:val="00993B68"/>
    <w:rsid w:val="0099494A"/>
    <w:rsid w:val="009974B7"/>
    <w:rsid w:val="0099779B"/>
    <w:rsid w:val="009A1A59"/>
    <w:rsid w:val="009A26AC"/>
    <w:rsid w:val="009A4588"/>
    <w:rsid w:val="009A6A60"/>
    <w:rsid w:val="009B0EC6"/>
    <w:rsid w:val="009B18D1"/>
    <w:rsid w:val="009B1E76"/>
    <w:rsid w:val="009B354B"/>
    <w:rsid w:val="009B6F33"/>
    <w:rsid w:val="009B73B3"/>
    <w:rsid w:val="009B7E0F"/>
    <w:rsid w:val="009C26D2"/>
    <w:rsid w:val="009C4037"/>
    <w:rsid w:val="009C4AA4"/>
    <w:rsid w:val="009C5A52"/>
    <w:rsid w:val="009C6108"/>
    <w:rsid w:val="009D096A"/>
    <w:rsid w:val="009D215A"/>
    <w:rsid w:val="009D382C"/>
    <w:rsid w:val="009D3A39"/>
    <w:rsid w:val="009D46E5"/>
    <w:rsid w:val="009D4D1F"/>
    <w:rsid w:val="009D6B39"/>
    <w:rsid w:val="009D6FD4"/>
    <w:rsid w:val="009D7E29"/>
    <w:rsid w:val="009E03BA"/>
    <w:rsid w:val="009E2ED4"/>
    <w:rsid w:val="009E394C"/>
    <w:rsid w:val="009E3E23"/>
    <w:rsid w:val="009E566D"/>
    <w:rsid w:val="009E5A3C"/>
    <w:rsid w:val="009F2535"/>
    <w:rsid w:val="009F39A0"/>
    <w:rsid w:val="009F3ADB"/>
    <w:rsid w:val="009F53DA"/>
    <w:rsid w:val="009F57F0"/>
    <w:rsid w:val="009F676A"/>
    <w:rsid w:val="009F7E33"/>
    <w:rsid w:val="00A0212E"/>
    <w:rsid w:val="00A04A32"/>
    <w:rsid w:val="00A0649D"/>
    <w:rsid w:val="00A07589"/>
    <w:rsid w:val="00A13E5F"/>
    <w:rsid w:val="00A165F1"/>
    <w:rsid w:val="00A17351"/>
    <w:rsid w:val="00A2069A"/>
    <w:rsid w:val="00A211CF"/>
    <w:rsid w:val="00A216C6"/>
    <w:rsid w:val="00A2198C"/>
    <w:rsid w:val="00A22A32"/>
    <w:rsid w:val="00A22B01"/>
    <w:rsid w:val="00A24610"/>
    <w:rsid w:val="00A25B8B"/>
    <w:rsid w:val="00A2648B"/>
    <w:rsid w:val="00A30AC0"/>
    <w:rsid w:val="00A335CA"/>
    <w:rsid w:val="00A33A63"/>
    <w:rsid w:val="00A33E5C"/>
    <w:rsid w:val="00A34CD0"/>
    <w:rsid w:val="00A400EA"/>
    <w:rsid w:val="00A43511"/>
    <w:rsid w:val="00A443BB"/>
    <w:rsid w:val="00A44917"/>
    <w:rsid w:val="00A454BD"/>
    <w:rsid w:val="00A50F67"/>
    <w:rsid w:val="00A516C9"/>
    <w:rsid w:val="00A51EB4"/>
    <w:rsid w:val="00A525CD"/>
    <w:rsid w:val="00A5354E"/>
    <w:rsid w:val="00A54285"/>
    <w:rsid w:val="00A556B2"/>
    <w:rsid w:val="00A64A2B"/>
    <w:rsid w:val="00A71C8E"/>
    <w:rsid w:val="00A74593"/>
    <w:rsid w:val="00A75E5C"/>
    <w:rsid w:val="00A76A23"/>
    <w:rsid w:val="00A80B3E"/>
    <w:rsid w:val="00A80FA0"/>
    <w:rsid w:val="00A824E5"/>
    <w:rsid w:val="00A838EB"/>
    <w:rsid w:val="00A85452"/>
    <w:rsid w:val="00A85593"/>
    <w:rsid w:val="00A87FA0"/>
    <w:rsid w:val="00A9019C"/>
    <w:rsid w:val="00A905E5"/>
    <w:rsid w:val="00A917B4"/>
    <w:rsid w:val="00A9282C"/>
    <w:rsid w:val="00A94A90"/>
    <w:rsid w:val="00A95033"/>
    <w:rsid w:val="00A9664D"/>
    <w:rsid w:val="00AA039F"/>
    <w:rsid w:val="00AA0412"/>
    <w:rsid w:val="00AA05D8"/>
    <w:rsid w:val="00AA27C7"/>
    <w:rsid w:val="00AA2E5C"/>
    <w:rsid w:val="00AA390E"/>
    <w:rsid w:val="00AA41E5"/>
    <w:rsid w:val="00AA47DE"/>
    <w:rsid w:val="00AA5EDC"/>
    <w:rsid w:val="00AA5F92"/>
    <w:rsid w:val="00AA62A0"/>
    <w:rsid w:val="00AA6879"/>
    <w:rsid w:val="00AB25F7"/>
    <w:rsid w:val="00AB35F5"/>
    <w:rsid w:val="00AB61D6"/>
    <w:rsid w:val="00AB7410"/>
    <w:rsid w:val="00AC11E7"/>
    <w:rsid w:val="00AC1CE0"/>
    <w:rsid w:val="00AC39AF"/>
    <w:rsid w:val="00AC3C09"/>
    <w:rsid w:val="00AC4233"/>
    <w:rsid w:val="00AC522B"/>
    <w:rsid w:val="00AC619D"/>
    <w:rsid w:val="00AC69A4"/>
    <w:rsid w:val="00AC70B8"/>
    <w:rsid w:val="00AC7A7C"/>
    <w:rsid w:val="00AD161B"/>
    <w:rsid w:val="00AD2A23"/>
    <w:rsid w:val="00AD4B52"/>
    <w:rsid w:val="00AD5B58"/>
    <w:rsid w:val="00AD5C76"/>
    <w:rsid w:val="00AD7D69"/>
    <w:rsid w:val="00AE0043"/>
    <w:rsid w:val="00AE02BB"/>
    <w:rsid w:val="00AE1D3C"/>
    <w:rsid w:val="00AE3619"/>
    <w:rsid w:val="00AE3DB4"/>
    <w:rsid w:val="00AE4ED3"/>
    <w:rsid w:val="00AE6716"/>
    <w:rsid w:val="00AE7A5F"/>
    <w:rsid w:val="00AF0180"/>
    <w:rsid w:val="00AF0EEE"/>
    <w:rsid w:val="00AF481E"/>
    <w:rsid w:val="00AF5126"/>
    <w:rsid w:val="00AF5205"/>
    <w:rsid w:val="00AF5282"/>
    <w:rsid w:val="00B000F8"/>
    <w:rsid w:val="00B00978"/>
    <w:rsid w:val="00B031D1"/>
    <w:rsid w:val="00B04152"/>
    <w:rsid w:val="00B07FD7"/>
    <w:rsid w:val="00B11E35"/>
    <w:rsid w:val="00B1648B"/>
    <w:rsid w:val="00B1709A"/>
    <w:rsid w:val="00B17910"/>
    <w:rsid w:val="00B17A40"/>
    <w:rsid w:val="00B20005"/>
    <w:rsid w:val="00B201C8"/>
    <w:rsid w:val="00B22ED5"/>
    <w:rsid w:val="00B24CD8"/>
    <w:rsid w:val="00B25928"/>
    <w:rsid w:val="00B2711F"/>
    <w:rsid w:val="00B27A02"/>
    <w:rsid w:val="00B27D3E"/>
    <w:rsid w:val="00B3085C"/>
    <w:rsid w:val="00B314BE"/>
    <w:rsid w:val="00B32239"/>
    <w:rsid w:val="00B34DBA"/>
    <w:rsid w:val="00B36152"/>
    <w:rsid w:val="00B410BA"/>
    <w:rsid w:val="00B43929"/>
    <w:rsid w:val="00B473DC"/>
    <w:rsid w:val="00B508D9"/>
    <w:rsid w:val="00B50E9C"/>
    <w:rsid w:val="00B54165"/>
    <w:rsid w:val="00B54A87"/>
    <w:rsid w:val="00B54B6E"/>
    <w:rsid w:val="00B55E46"/>
    <w:rsid w:val="00B6538D"/>
    <w:rsid w:val="00B65604"/>
    <w:rsid w:val="00B673BB"/>
    <w:rsid w:val="00B70735"/>
    <w:rsid w:val="00B72A80"/>
    <w:rsid w:val="00B72AFC"/>
    <w:rsid w:val="00B732AA"/>
    <w:rsid w:val="00B744BF"/>
    <w:rsid w:val="00B7661A"/>
    <w:rsid w:val="00B808B4"/>
    <w:rsid w:val="00B814E9"/>
    <w:rsid w:val="00B8221B"/>
    <w:rsid w:val="00B82E34"/>
    <w:rsid w:val="00B831C5"/>
    <w:rsid w:val="00B86632"/>
    <w:rsid w:val="00B91B17"/>
    <w:rsid w:val="00B91F55"/>
    <w:rsid w:val="00B92719"/>
    <w:rsid w:val="00B928BE"/>
    <w:rsid w:val="00B934A9"/>
    <w:rsid w:val="00B94B63"/>
    <w:rsid w:val="00B95757"/>
    <w:rsid w:val="00B97F01"/>
    <w:rsid w:val="00BA114F"/>
    <w:rsid w:val="00BA309F"/>
    <w:rsid w:val="00BA3B1C"/>
    <w:rsid w:val="00BA5090"/>
    <w:rsid w:val="00BB1CCC"/>
    <w:rsid w:val="00BB1D2D"/>
    <w:rsid w:val="00BB2A44"/>
    <w:rsid w:val="00BB2B6A"/>
    <w:rsid w:val="00BB3F8F"/>
    <w:rsid w:val="00BB4A24"/>
    <w:rsid w:val="00BB6CF3"/>
    <w:rsid w:val="00BC18D4"/>
    <w:rsid w:val="00BC2FCC"/>
    <w:rsid w:val="00BC3D73"/>
    <w:rsid w:val="00BC4205"/>
    <w:rsid w:val="00BD4C2D"/>
    <w:rsid w:val="00BE20D0"/>
    <w:rsid w:val="00BE235D"/>
    <w:rsid w:val="00BE254B"/>
    <w:rsid w:val="00BE2F87"/>
    <w:rsid w:val="00BE5721"/>
    <w:rsid w:val="00BE5937"/>
    <w:rsid w:val="00BE5AF2"/>
    <w:rsid w:val="00BE5F98"/>
    <w:rsid w:val="00BE6593"/>
    <w:rsid w:val="00BF03D7"/>
    <w:rsid w:val="00BF0516"/>
    <w:rsid w:val="00BF3663"/>
    <w:rsid w:val="00BF447B"/>
    <w:rsid w:val="00BF46D8"/>
    <w:rsid w:val="00BF5744"/>
    <w:rsid w:val="00BF5C6B"/>
    <w:rsid w:val="00BF6D9D"/>
    <w:rsid w:val="00BF708A"/>
    <w:rsid w:val="00BF78E9"/>
    <w:rsid w:val="00BF7FE4"/>
    <w:rsid w:val="00C0068E"/>
    <w:rsid w:val="00C00D23"/>
    <w:rsid w:val="00C010F3"/>
    <w:rsid w:val="00C052CC"/>
    <w:rsid w:val="00C06A4D"/>
    <w:rsid w:val="00C074AF"/>
    <w:rsid w:val="00C0766B"/>
    <w:rsid w:val="00C07A22"/>
    <w:rsid w:val="00C10C7F"/>
    <w:rsid w:val="00C10FEB"/>
    <w:rsid w:val="00C116F1"/>
    <w:rsid w:val="00C12072"/>
    <w:rsid w:val="00C139C9"/>
    <w:rsid w:val="00C140E5"/>
    <w:rsid w:val="00C147AB"/>
    <w:rsid w:val="00C15B83"/>
    <w:rsid w:val="00C1751E"/>
    <w:rsid w:val="00C209D5"/>
    <w:rsid w:val="00C20A24"/>
    <w:rsid w:val="00C212B3"/>
    <w:rsid w:val="00C21550"/>
    <w:rsid w:val="00C22533"/>
    <w:rsid w:val="00C22603"/>
    <w:rsid w:val="00C22C26"/>
    <w:rsid w:val="00C265DE"/>
    <w:rsid w:val="00C26DC0"/>
    <w:rsid w:val="00C272CD"/>
    <w:rsid w:val="00C27B1B"/>
    <w:rsid w:val="00C346D7"/>
    <w:rsid w:val="00C35619"/>
    <w:rsid w:val="00C36081"/>
    <w:rsid w:val="00C362D8"/>
    <w:rsid w:val="00C375BB"/>
    <w:rsid w:val="00C40280"/>
    <w:rsid w:val="00C4109A"/>
    <w:rsid w:val="00C43525"/>
    <w:rsid w:val="00C44108"/>
    <w:rsid w:val="00C452A7"/>
    <w:rsid w:val="00C45320"/>
    <w:rsid w:val="00C46662"/>
    <w:rsid w:val="00C512F7"/>
    <w:rsid w:val="00C51F30"/>
    <w:rsid w:val="00C545A1"/>
    <w:rsid w:val="00C5562D"/>
    <w:rsid w:val="00C55662"/>
    <w:rsid w:val="00C56787"/>
    <w:rsid w:val="00C61917"/>
    <w:rsid w:val="00C637DB"/>
    <w:rsid w:val="00C64335"/>
    <w:rsid w:val="00C65C69"/>
    <w:rsid w:val="00C65D56"/>
    <w:rsid w:val="00C66EFF"/>
    <w:rsid w:val="00C67269"/>
    <w:rsid w:val="00C741AD"/>
    <w:rsid w:val="00C7420D"/>
    <w:rsid w:val="00C74652"/>
    <w:rsid w:val="00C74E5F"/>
    <w:rsid w:val="00C76ACF"/>
    <w:rsid w:val="00C80F06"/>
    <w:rsid w:val="00C8329F"/>
    <w:rsid w:val="00C86D37"/>
    <w:rsid w:val="00C87139"/>
    <w:rsid w:val="00C9128D"/>
    <w:rsid w:val="00C9271A"/>
    <w:rsid w:val="00C94E58"/>
    <w:rsid w:val="00C96CD7"/>
    <w:rsid w:val="00C97900"/>
    <w:rsid w:val="00CA37F7"/>
    <w:rsid w:val="00CA38CA"/>
    <w:rsid w:val="00CA38CF"/>
    <w:rsid w:val="00CA715D"/>
    <w:rsid w:val="00CA74F5"/>
    <w:rsid w:val="00CA76CE"/>
    <w:rsid w:val="00CB3F77"/>
    <w:rsid w:val="00CB79B5"/>
    <w:rsid w:val="00CC0714"/>
    <w:rsid w:val="00CC13AD"/>
    <w:rsid w:val="00CC3F49"/>
    <w:rsid w:val="00CC5FFF"/>
    <w:rsid w:val="00CC767C"/>
    <w:rsid w:val="00CD0E3B"/>
    <w:rsid w:val="00CD0FE5"/>
    <w:rsid w:val="00CD46D7"/>
    <w:rsid w:val="00CD4E20"/>
    <w:rsid w:val="00CD523A"/>
    <w:rsid w:val="00CD644B"/>
    <w:rsid w:val="00CD674A"/>
    <w:rsid w:val="00CD6DE8"/>
    <w:rsid w:val="00CD7111"/>
    <w:rsid w:val="00CE0C89"/>
    <w:rsid w:val="00CE24A1"/>
    <w:rsid w:val="00CE2628"/>
    <w:rsid w:val="00CE4A0B"/>
    <w:rsid w:val="00CE5B42"/>
    <w:rsid w:val="00CF0608"/>
    <w:rsid w:val="00CF2183"/>
    <w:rsid w:val="00CF3FF4"/>
    <w:rsid w:val="00CF4C92"/>
    <w:rsid w:val="00CF512D"/>
    <w:rsid w:val="00CF60B0"/>
    <w:rsid w:val="00CF71F2"/>
    <w:rsid w:val="00D010E6"/>
    <w:rsid w:val="00D01920"/>
    <w:rsid w:val="00D02EDC"/>
    <w:rsid w:val="00D02FFE"/>
    <w:rsid w:val="00D03483"/>
    <w:rsid w:val="00D0451B"/>
    <w:rsid w:val="00D0551E"/>
    <w:rsid w:val="00D063AD"/>
    <w:rsid w:val="00D06958"/>
    <w:rsid w:val="00D118F6"/>
    <w:rsid w:val="00D15EC8"/>
    <w:rsid w:val="00D163AB"/>
    <w:rsid w:val="00D1673E"/>
    <w:rsid w:val="00D16F88"/>
    <w:rsid w:val="00D2054F"/>
    <w:rsid w:val="00D21299"/>
    <w:rsid w:val="00D250D4"/>
    <w:rsid w:val="00D25946"/>
    <w:rsid w:val="00D26B5F"/>
    <w:rsid w:val="00D27635"/>
    <w:rsid w:val="00D276EA"/>
    <w:rsid w:val="00D27BAA"/>
    <w:rsid w:val="00D328DE"/>
    <w:rsid w:val="00D358E9"/>
    <w:rsid w:val="00D36580"/>
    <w:rsid w:val="00D36B4C"/>
    <w:rsid w:val="00D36BB8"/>
    <w:rsid w:val="00D45914"/>
    <w:rsid w:val="00D469BD"/>
    <w:rsid w:val="00D469E5"/>
    <w:rsid w:val="00D512AD"/>
    <w:rsid w:val="00D5197A"/>
    <w:rsid w:val="00D52B88"/>
    <w:rsid w:val="00D52DBE"/>
    <w:rsid w:val="00D53EDE"/>
    <w:rsid w:val="00D54C7F"/>
    <w:rsid w:val="00D554E8"/>
    <w:rsid w:val="00D56804"/>
    <w:rsid w:val="00D575B0"/>
    <w:rsid w:val="00D61B59"/>
    <w:rsid w:val="00D63003"/>
    <w:rsid w:val="00D64368"/>
    <w:rsid w:val="00D6591A"/>
    <w:rsid w:val="00D71518"/>
    <w:rsid w:val="00D736FC"/>
    <w:rsid w:val="00D7542C"/>
    <w:rsid w:val="00D75F37"/>
    <w:rsid w:val="00D76EDF"/>
    <w:rsid w:val="00D818A2"/>
    <w:rsid w:val="00D86361"/>
    <w:rsid w:val="00D87AE8"/>
    <w:rsid w:val="00D91182"/>
    <w:rsid w:val="00D92B99"/>
    <w:rsid w:val="00D94639"/>
    <w:rsid w:val="00D970E8"/>
    <w:rsid w:val="00DA062B"/>
    <w:rsid w:val="00DA442E"/>
    <w:rsid w:val="00DA49AD"/>
    <w:rsid w:val="00DA5AAF"/>
    <w:rsid w:val="00DA5E1F"/>
    <w:rsid w:val="00DA68F9"/>
    <w:rsid w:val="00DB2594"/>
    <w:rsid w:val="00DB385A"/>
    <w:rsid w:val="00DB464A"/>
    <w:rsid w:val="00DB479C"/>
    <w:rsid w:val="00DB48C7"/>
    <w:rsid w:val="00DB492E"/>
    <w:rsid w:val="00DB6664"/>
    <w:rsid w:val="00DC0BB6"/>
    <w:rsid w:val="00DC0BD2"/>
    <w:rsid w:val="00DC0F67"/>
    <w:rsid w:val="00DC2825"/>
    <w:rsid w:val="00DC469E"/>
    <w:rsid w:val="00DC6B1F"/>
    <w:rsid w:val="00DC6F4C"/>
    <w:rsid w:val="00DD1D97"/>
    <w:rsid w:val="00DD2068"/>
    <w:rsid w:val="00DD2E27"/>
    <w:rsid w:val="00DE0A94"/>
    <w:rsid w:val="00DE1630"/>
    <w:rsid w:val="00DE4313"/>
    <w:rsid w:val="00DE5C8D"/>
    <w:rsid w:val="00DE6E6A"/>
    <w:rsid w:val="00DE75EA"/>
    <w:rsid w:val="00DF215F"/>
    <w:rsid w:val="00DF21AB"/>
    <w:rsid w:val="00DF284B"/>
    <w:rsid w:val="00E00025"/>
    <w:rsid w:val="00E0060C"/>
    <w:rsid w:val="00E02AD0"/>
    <w:rsid w:val="00E03284"/>
    <w:rsid w:val="00E0759D"/>
    <w:rsid w:val="00E07E7C"/>
    <w:rsid w:val="00E10937"/>
    <w:rsid w:val="00E11B7A"/>
    <w:rsid w:val="00E13442"/>
    <w:rsid w:val="00E13B53"/>
    <w:rsid w:val="00E14901"/>
    <w:rsid w:val="00E152AC"/>
    <w:rsid w:val="00E16EC8"/>
    <w:rsid w:val="00E172CC"/>
    <w:rsid w:val="00E17A39"/>
    <w:rsid w:val="00E203FD"/>
    <w:rsid w:val="00E204CD"/>
    <w:rsid w:val="00E20815"/>
    <w:rsid w:val="00E214CA"/>
    <w:rsid w:val="00E21C3D"/>
    <w:rsid w:val="00E223FE"/>
    <w:rsid w:val="00E22BBB"/>
    <w:rsid w:val="00E23AAE"/>
    <w:rsid w:val="00E23C6A"/>
    <w:rsid w:val="00E25CB5"/>
    <w:rsid w:val="00E304B4"/>
    <w:rsid w:val="00E31BB1"/>
    <w:rsid w:val="00E32260"/>
    <w:rsid w:val="00E325C6"/>
    <w:rsid w:val="00E40C8E"/>
    <w:rsid w:val="00E442B7"/>
    <w:rsid w:val="00E4475B"/>
    <w:rsid w:val="00E450F0"/>
    <w:rsid w:val="00E47AB0"/>
    <w:rsid w:val="00E50038"/>
    <w:rsid w:val="00E523A9"/>
    <w:rsid w:val="00E52752"/>
    <w:rsid w:val="00E559A1"/>
    <w:rsid w:val="00E55D06"/>
    <w:rsid w:val="00E60726"/>
    <w:rsid w:val="00E608FF"/>
    <w:rsid w:val="00E6171D"/>
    <w:rsid w:val="00E629C6"/>
    <w:rsid w:val="00E65088"/>
    <w:rsid w:val="00E6578F"/>
    <w:rsid w:val="00E667FD"/>
    <w:rsid w:val="00E66B89"/>
    <w:rsid w:val="00E701E8"/>
    <w:rsid w:val="00E7064B"/>
    <w:rsid w:val="00E70668"/>
    <w:rsid w:val="00E70D0C"/>
    <w:rsid w:val="00E7355B"/>
    <w:rsid w:val="00E74904"/>
    <w:rsid w:val="00E7659A"/>
    <w:rsid w:val="00E7713E"/>
    <w:rsid w:val="00E83113"/>
    <w:rsid w:val="00E83D3F"/>
    <w:rsid w:val="00E8405D"/>
    <w:rsid w:val="00E84703"/>
    <w:rsid w:val="00E90D53"/>
    <w:rsid w:val="00E91D49"/>
    <w:rsid w:val="00E940A2"/>
    <w:rsid w:val="00E94CBE"/>
    <w:rsid w:val="00E97E5C"/>
    <w:rsid w:val="00EA33DF"/>
    <w:rsid w:val="00EA55C5"/>
    <w:rsid w:val="00EA5F62"/>
    <w:rsid w:val="00EA6BAF"/>
    <w:rsid w:val="00EB1772"/>
    <w:rsid w:val="00EB2119"/>
    <w:rsid w:val="00EB298B"/>
    <w:rsid w:val="00EB2A3D"/>
    <w:rsid w:val="00EB3A61"/>
    <w:rsid w:val="00EB4A0A"/>
    <w:rsid w:val="00EB5216"/>
    <w:rsid w:val="00EB56E4"/>
    <w:rsid w:val="00EB7867"/>
    <w:rsid w:val="00EC229D"/>
    <w:rsid w:val="00EC3D3C"/>
    <w:rsid w:val="00EC53D7"/>
    <w:rsid w:val="00EC5989"/>
    <w:rsid w:val="00EC75CE"/>
    <w:rsid w:val="00ED412D"/>
    <w:rsid w:val="00ED471E"/>
    <w:rsid w:val="00ED7199"/>
    <w:rsid w:val="00ED72CE"/>
    <w:rsid w:val="00ED7F06"/>
    <w:rsid w:val="00ED7FF1"/>
    <w:rsid w:val="00EE183D"/>
    <w:rsid w:val="00EE19B6"/>
    <w:rsid w:val="00EE1EED"/>
    <w:rsid w:val="00EE373D"/>
    <w:rsid w:val="00EE58A9"/>
    <w:rsid w:val="00EE66C6"/>
    <w:rsid w:val="00EE66DC"/>
    <w:rsid w:val="00EF0760"/>
    <w:rsid w:val="00EF13E7"/>
    <w:rsid w:val="00EF161F"/>
    <w:rsid w:val="00EF1765"/>
    <w:rsid w:val="00EF2A15"/>
    <w:rsid w:val="00EF32A7"/>
    <w:rsid w:val="00EF4E96"/>
    <w:rsid w:val="00EF5054"/>
    <w:rsid w:val="00EF6E58"/>
    <w:rsid w:val="00EF7D97"/>
    <w:rsid w:val="00F005FA"/>
    <w:rsid w:val="00F009CE"/>
    <w:rsid w:val="00F00EE3"/>
    <w:rsid w:val="00F021E3"/>
    <w:rsid w:val="00F0672B"/>
    <w:rsid w:val="00F07785"/>
    <w:rsid w:val="00F07A9D"/>
    <w:rsid w:val="00F10E7C"/>
    <w:rsid w:val="00F11466"/>
    <w:rsid w:val="00F1294A"/>
    <w:rsid w:val="00F12F77"/>
    <w:rsid w:val="00F148E5"/>
    <w:rsid w:val="00F1759B"/>
    <w:rsid w:val="00F17BFC"/>
    <w:rsid w:val="00F20062"/>
    <w:rsid w:val="00F2112E"/>
    <w:rsid w:val="00F2122D"/>
    <w:rsid w:val="00F24C99"/>
    <w:rsid w:val="00F26A3C"/>
    <w:rsid w:val="00F31142"/>
    <w:rsid w:val="00F3597F"/>
    <w:rsid w:val="00F379E3"/>
    <w:rsid w:val="00F4087F"/>
    <w:rsid w:val="00F415AB"/>
    <w:rsid w:val="00F42EF6"/>
    <w:rsid w:val="00F4592B"/>
    <w:rsid w:val="00F4658A"/>
    <w:rsid w:val="00F468C0"/>
    <w:rsid w:val="00F46A4F"/>
    <w:rsid w:val="00F51529"/>
    <w:rsid w:val="00F52EDD"/>
    <w:rsid w:val="00F535EF"/>
    <w:rsid w:val="00F57406"/>
    <w:rsid w:val="00F5769E"/>
    <w:rsid w:val="00F616EC"/>
    <w:rsid w:val="00F62193"/>
    <w:rsid w:val="00F66C3B"/>
    <w:rsid w:val="00F71A82"/>
    <w:rsid w:val="00F74992"/>
    <w:rsid w:val="00F74B98"/>
    <w:rsid w:val="00F76B2C"/>
    <w:rsid w:val="00F80B98"/>
    <w:rsid w:val="00F8134F"/>
    <w:rsid w:val="00F873F2"/>
    <w:rsid w:val="00F90A2B"/>
    <w:rsid w:val="00F9134B"/>
    <w:rsid w:val="00F9159D"/>
    <w:rsid w:val="00F91756"/>
    <w:rsid w:val="00F91A66"/>
    <w:rsid w:val="00F921F6"/>
    <w:rsid w:val="00F929D2"/>
    <w:rsid w:val="00F93EA5"/>
    <w:rsid w:val="00F94E76"/>
    <w:rsid w:val="00FA1249"/>
    <w:rsid w:val="00FA14F6"/>
    <w:rsid w:val="00FA1EB6"/>
    <w:rsid w:val="00FA35D5"/>
    <w:rsid w:val="00FA4A0D"/>
    <w:rsid w:val="00FA5A5E"/>
    <w:rsid w:val="00FA5E30"/>
    <w:rsid w:val="00FA7F1B"/>
    <w:rsid w:val="00FB03FC"/>
    <w:rsid w:val="00FB10C5"/>
    <w:rsid w:val="00FB192B"/>
    <w:rsid w:val="00FB19EF"/>
    <w:rsid w:val="00FB370A"/>
    <w:rsid w:val="00FB395A"/>
    <w:rsid w:val="00FB529C"/>
    <w:rsid w:val="00FB5CB5"/>
    <w:rsid w:val="00FB6A64"/>
    <w:rsid w:val="00FB72B6"/>
    <w:rsid w:val="00FC2872"/>
    <w:rsid w:val="00FC36C6"/>
    <w:rsid w:val="00FC3897"/>
    <w:rsid w:val="00FC3B7E"/>
    <w:rsid w:val="00FC3BE8"/>
    <w:rsid w:val="00FC7CE3"/>
    <w:rsid w:val="00FD3A19"/>
    <w:rsid w:val="00FD3C8B"/>
    <w:rsid w:val="00FD47F1"/>
    <w:rsid w:val="00FD4D23"/>
    <w:rsid w:val="00FD594C"/>
    <w:rsid w:val="00FE1112"/>
    <w:rsid w:val="00FE1208"/>
    <w:rsid w:val="00FE43CD"/>
    <w:rsid w:val="00FE449A"/>
    <w:rsid w:val="00FE73B6"/>
    <w:rsid w:val="00FE7471"/>
    <w:rsid w:val="00FF1AC8"/>
    <w:rsid w:val="00FF3824"/>
    <w:rsid w:val="00FF60A0"/>
    <w:rsid w:val="00FF67C4"/>
    <w:rsid w:val="00FF7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9A4DB"/>
  <w15:chartTrackingRefBased/>
  <w15:docId w15:val="{E98200A8-3470-46A5-B379-21AF4A68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08E"/>
    <w:pPr>
      <w:spacing w:before="120" w:after="120" w:line="288" w:lineRule="auto"/>
      <w:jc w:val="both"/>
    </w:pPr>
    <w:rPr>
      <w:rFonts w:ascii="Lato" w:eastAsia="Times New Roman" w:hAnsi="Lato"/>
      <w:szCs w:val="24"/>
    </w:rPr>
  </w:style>
  <w:style w:type="paragraph" w:styleId="Nagwek1">
    <w:name w:val="heading 1"/>
    <w:basedOn w:val="Normalny"/>
    <w:next w:val="Normalny"/>
    <w:link w:val="Nagwek1Znak"/>
    <w:autoRedefine/>
    <w:uiPriority w:val="9"/>
    <w:qFormat/>
    <w:rsid w:val="00D45914"/>
    <w:pPr>
      <w:keepNext/>
      <w:keepLines/>
      <w:numPr>
        <w:numId w:val="1"/>
      </w:numPr>
      <w:spacing w:before="480"/>
      <w:outlineLvl w:val="0"/>
    </w:pPr>
    <w:rPr>
      <w:b/>
      <w:bCs/>
      <w:color w:val="365F91"/>
      <w:sz w:val="28"/>
      <w:szCs w:val="28"/>
      <w:lang w:val="x-none" w:eastAsia="x-none"/>
    </w:rPr>
  </w:style>
  <w:style w:type="paragraph" w:styleId="Nagwek2">
    <w:name w:val="heading 2"/>
    <w:basedOn w:val="Normalny"/>
    <w:next w:val="Normalny"/>
    <w:link w:val="Nagwek2Znak"/>
    <w:autoRedefine/>
    <w:uiPriority w:val="9"/>
    <w:unhideWhenUsed/>
    <w:qFormat/>
    <w:rsid w:val="00D45914"/>
    <w:pPr>
      <w:keepNext/>
      <w:keepLines/>
      <w:numPr>
        <w:ilvl w:val="1"/>
        <w:numId w:val="1"/>
      </w:numPr>
      <w:spacing w:before="200"/>
      <w:outlineLvl w:val="1"/>
    </w:pPr>
    <w:rPr>
      <w:b/>
      <w:bCs/>
      <w:color w:val="4F81BD"/>
      <w:sz w:val="24"/>
      <w:lang w:val="x-none" w:eastAsia="x-none"/>
    </w:rPr>
  </w:style>
  <w:style w:type="paragraph" w:styleId="Nagwek3">
    <w:name w:val="heading 3"/>
    <w:aliases w:val="Nagłówek 3 - działania"/>
    <w:basedOn w:val="Normalny"/>
    <w:next w:val="Normalny"/>
    <w:link w:val="Nagwek3Znak"/>
    <w:autoRedefine/>
    <w:uiPriority w:val="9"/>
    <w:unhideWhenUsed/>
    <w:qFormat/>
    <w:rsid w:val="00987362"/>
    <w:pPr>
      <w:keepNext/>
      <w:keepLines/>
      <w:numPr>
        <w:ilvl w:val="2"/>
        <w:numId w:val="1"/>
      </w:numPr>
      <w:spacing w:before="200" w:after="0" w:line="240" w:lineRule="auto"/>
      <w:outlineLvl w:val="2"/>
    </w:pPr>
    <w:rPr>
      <w:b/>
      <w:bCs/>
      <w:color w:val="4F81BD"/>
      <w:szCs w:val="20"/>
      <w:lang w:val="x-none" w:eastAsia="x-none"/>
    </w:rPr>
  </w:style>
  <w:style w:type="paragraph" w:styleId="Nagwek4">
    <w:name w:val="heading 4"/>
    <w:basedOn w:val="Normalny"/>
    <w:next w:val="Normalny"/>
    <w:link w:val="Nagwek4Znak"/>
    <w:uiPriority w:val="9"/>
    <w:unhideWhenUsed/>
    <w:qFormat/>
    <w:rsid w:val="00C10C7F"/>
    <w:pPr>
      <w:keepNext/>
      <w:keepLines/>
      <w:numPr>
        <w:ilvl w:val="3"/>
        <w:numId w:val="1"/>
      </w:numPr>
      <w:spacing w:before="200"/>
      <w:outlineLvl w:val="3"/>
    </w:pPr>
    <w:rPr>
      <w:rFonts w:ascii="Cambria" w:hAnsi="Cambria"/>
      <w:b/>
      <w:bCs/>
      <w:i/>
      <w:iCs/>
      <w:color w:val="4F81BD"/>
      <w:lang w:val="x-none" w:eastAsia="x-none"/>
    </w:rPr>
  </w:style>
  <w:style w:type="paragraph" w:styleId="Nagwek5">
    <w:name w:val="heading 5"/>
    <w:basedOn w:val="Normalny"/>
    <w:next w:val="Normalny"/>
    <w:link w:val="Nagwek5Znak"/>
    <w:uiPriority w:val="9"/>
    <w:semiHidden/>
    <w:unhideWhenUsed/>
    <w:qFormat/>
    <w:rsid w:val="00C10C7F"/>
    <w:pPr>
      <w:keepNext/>
      <w:keepLines/>
      <w:numPr>
        <w:ilvl w:val="4"/>
        <w:numId w:val="1"/>
      </w:numPr>
      <w:spacing w:before="200"/>
      <w:outlineLvl w:val="4"/>
    </w:pPr>
    <w:rPr>
      <w:rFonts w:ascii="Cambria" w:hAnsi="Cambria"/>
      <w:color w:val="243F60"/>
      <w:lang w:val="x-none" w:eastAsia="x-none"/>
    </w:rPr>
  </w:style>
  <w:style w:type="paragraph" w:styleId="Nagwek6">
    <w:name w:val="heading 6"/>
    <w:basedOn w:val="Normalny"/>
    <w:next w:val="Normalny"/>
    <w:link w:val="Nagwek6Znak"/>
    <w:uiPriority w:val="9"/>
    <w:semiHidden/>
    <w:unhideWhenUsed/>
    <w:qFormat/>
    <w:rsid w:val="00C10C7F"/>
    <w:pPr>
      <w:keepNext/>
      <w:keepLines/>
      <w:numPr>
        <w:ilvl w:val="5"/>
        <w:numId w:val="1"/>
      </w:numPr>
      <w:spacing w:before="200"/>
      <w:outlineLvl w:val="5"/>
    </w:pPr>
    <w:rPr>
      <w:rFonts w:ascii="Cambria" w:hAnsi="Cambria"/>
      <w:i/>
      <w:iCs/>
      <w:color w:val="243F60"/>
      <w:lang w:val="x-none" w:eastAsia="x-none"/>
    </w:rPr>
  </w:style>
  <w:style w:type="paragraph" w:styleId="Nagwek7">
    <w:name w:val="heading 7"/>
    <w:basedOn w:val="Normalny"/>
    <w:next w:val="Normalny"/>
    <w:link w:val="Nagwek7Znak"/>
    <w:uiPriority w:val="9"/>
    <w:semiHidden/>
    <w:unhideWhenUsed/>
    <w:qFormat/>
    <w:rsid w:val="00C10C7F"/>
    <w:pPr>
      <w:keepNext/>
      <w:keepLines/>
      <w:numPr>
        <w:ilvl w:val="6"/>
        <w:numId w:val="1"/>
      </w:numPr>
      <w:spacing w:before="200"/>
      <w:outlineLvl w:val="6"/>
    </w:pPr>
    <w:rPr>
      <w:rFonts w:ascii="Cambria" w:hAnsi="Cambria"/>
      <w:i/>
      <w:iCs/>
      <w:color w:val="404040"/>
      <w:lang w:val="x-none" w:eastAsia="x-none"/>
    </w:rPr>
  </w:style>
  <w:style w:type="paragraph" w:styleId="Nagwek8">
    <w:name w:val="heading 8"/>
    <w:basedOn w:val="Normalny"/>
    <w:next w:val="Normalny"/>
    <w:link w:val="Nagwek8Znak"/>
    <w:uiPriority w:val="9"/>
    <w:semiHidden/>
    <w:unhideWhenUsed/>
    <w:qFormat/>
    <w:rsid w:val="00C10C7F"/>
    <w:pPr>
      <w:keepNext/>
      <w:keepLines/>
      <w:numPr>
        <w:ilvl w:val="7"/>
        <w:numId w:val="1"/>
      </w:numPr>
      <w:spacing w:before="200"/>
      <w:outlineLvl w:val="7"/>
    </w:pPr>
    <w:rPr>
      <w:rFonts w:ascii="Cambria" w:hAnsi="Cambria"/>
      <w:color w:val="404040"/>
      <w:szCs w:val="20"/>
      <w:lang w:val="x-none" w:eastAsia="x-none"/>
    </w:rPr>
  </w:style>
  <w:style w:type="paragraph" w:styleId="Nagwek9">
    <w:name w:val="heading 9"/>
    <w:basedOn w:val="Normalny"/>
    <w:next w:val="Normalny"/>
    <w:link w:val="Nagwek9Znak"/>
    <w:uiPriority w:val="9"/>
    <w:semiHidden/>
    <w:unhideWhenUsed/>
    <w:qFormat/>
    <w:rsid w:val="00C10C7F"/>
    <w:pPr>
      <w:keepNext/>
      <w:keepLines/>
      <w:numPr>
        <w:ilvl w:val="8"/>
        <w:numId w:val="1"/>
      </w:numPr>
      <w:spacing w:before="200"/>
      <w:outlineLvl w:val="8"/>
    </w:pPr>
    <w:rPr>
      <w:rFonts w:ascii="Cambria" w:hAnsi="Cambria"/>
      <w:i/>
      <w:iCs/>
      <w:color w:val="40404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45914"/>
    <w:rPr>
      <w:rFonts w:ascii="Lato" w:eastAsia="Times New Roman" w:hAnsi="Lato"/>
      <w:b/>
      <w:bCs/>
      <w:color w:val="365F91"/>
      <w:sz w:val="28"/>
      <w:szCs w:val="28"/>
      <w:lang w:val="x-none"/>
    </w:rPr>
  </w:style>
  <w:style w:type="character" w:customStyle="1" w:styleId="Nagwek2Znak">
    <w:name w:val="Nagłówek 2 Znak"/>
    <w:link w:val="Nagwek2"/>
    <w:uiPriority w:val="9"/>
    <w:rsid w:val="00D45914"/>
    <w:rPr>
      <w:rFonts w:ascii="Lato" w:eastAsia="Times New Roman" w:hAnsi="Lato"/>
      <w:b/>
      <w:bCs/>
      <w:color w:val="4F81BD"/>
      <w:sz w:val="24"/>
      <w:szCs w:val="24"/>
      <w:lang w:val="x-none"/>
    </w:rPr>
  </w:style>
  <w:style w:type="character" w:customStyle="1" w:styleId="Nagwek3Znak">
    <w:name w:val="Nagłówek 3 Znak"/>
    <w:aliases w:val="Nagłówek 3 - działania Znak"/>
    <w:link w:val="Nagwek3"/>
    <w:uiPriority w:val="9"/>
    <w:rsid w:val="00410B29"/>
    <w:rPr>
      <w:rFonts w:ascii="Lato" w:eastAsia="Times New Roman" w:hAnsi="Lato"/>
      <w:b/>
      <w:bCs/>
      <w:color w:val="4F81BD"/>
      <w:lang w:val="x-none" w:eastAsia="x-none"/>
    </w:rPr>
  </w:style>
  <w:style w:type="character" w:customStyle="1" w:styleId="Nagwek4Znak">
    <w:name w:val="Nagłówek 4 Znak"/>
    <w:link w:val="Nagwek4"/>
    <w:uiPriority w:val="9"/>
    <w:rsid w:val="00C10C7F"/>
    <w:rPr>
      <w:rFonts w:ascii="Cambria" w:eastAsia="Times New Roman" w:hAnsi="Cambria"/>
      <w:b/>
      <w:bCs/>
      <w:i/>
      <w:iCs/>
      <w:color w:val="4F81BD"/>
      <w:szCs w:val="24"/>
      <w:lang w:val="x-none"/>
    </w:rPr>
  </w:style>
  <w:style w:type="character" w:customStyle="1" w:styleId="Nagwek5Znak">
    <w:name w:val="Nagłówek 5 Znak"/>
    <w:link w:val="Nagwek5"/>
    <w:uiPriority w:val="9"/>
    <w:semiHidden/>
    <w:rsid w:val="00C10C7F"/>
    <w:rPr>
      <w:rFonts w:ascii="Cambria" w:eastAsia="Times New Roman" w:hAnsi="Cambria"/>
      <w:color w:val="243F60"/>
      <w:szCs w:val="24"/>
      <w:lang w:val="x-none"/>
    </w:rPr>
  </w:style>
  <w:style w:type="character" w:customStyle="1" w:styleId="Nagwek6Znak">
    <w:name w:val="Nagłówek 6 Znak"/>
    <w:link w:val="Nagwek6"/>
    <w:uiPriority w:val="9"/>
    <w:semiHidden/>
    <w:rsid w:val="00C10C7F"/>
    <w:rPr>
      <w:rFonts w:ascii="Cambria" w:eastAsia="Times New Roman" w:hAnsi="Cambria"/>
      <w:i/>
      <w:iCs/>
      <w:color w:val="243F60"/>
      <w:szCs w:val="24"/>
      <w:lang w:val="x-none"/>
    </w:rPr>
  </w:style>
  <w:style w:type="character" w:customStyle="1" w:styleId="Nagwek7Znak">
    <w:name w:val="Nagłówek 7 Znak"/>
    <w:link w:val="Nagwek7"/>
    <w:uiPriority w:val="9"/>
    <w:semiHidden/>
    <w:rsid w:val="00C10C7F"/>
    <w:rPr>
      <w:rFonts w:ascii="Cambria" w:eastAsia="Times New Roman" w:hAnsi="Cambria"/>
      <w:i/>
      <w:iCs/>
      <w:color w:val="404040"/>
      <w:szCs w:val="24"/>
      <w:lang w:val="x-none"/>
    </w:rPr>
  </w:style>
  <w:style w:type="character" w:customStyle="1" w:styleId="Nagwek8Znak">
    <w:name w:val="Nagłówek 8 Znak"/>
    <w:link w:val="Nagwek8"/>
    <w:uiPriority w:val="9"/>
    <w:semiHidden/>
    <w:rsid w:val="00C10C7F"/>
    <w:rPr>
      <w:rFonts w:ascii="Cambria" w:eastAsia="Times New Roman" w:hAnsi="Cambria"/>
      <w:color w:val="404040"/>
      <w:lang w:val="x-none"/>
    </w:rPr>
  </w:style>
  <w:style w:type="character" w:customStyle="1" w:styleId="Nagwek9Znak">
    <w:name w:val="Nagłówek 9 Znak"/>
    <w:link w:val="Nagwek9"/>
    <w:uiPriority w:val="9"/>
    <w:semiHidden/>
    <w:rsid w:val="00C10C7F"/>
    <w:rPr>
      <w:rFonts w:ascii="Cambria" w:eastAsia="Times New Roman" w:hAnsi="Cambria"/>
      <w:i/>
      <w:iCs/>
      <w:color w:val="404040"/>
      <w:lang w:val="x-none"/>
    </w:rPr>
  </w:style>
  <w:style w:type="table" w:styleId="Tabela-Siatka">
    <w:name w:val="Table Grid"/>
    <w:aliases w:val="ECORYS Tabela"/>
    <w:basedOn w:val="Standardowy"/>
    <w:uiPriority w:val="59"/>
    <w:rsid w:val="00290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evalu Legenda,Tytuł tabeli,Podpis rys,EPL Tytuł wykresu/tabeli,A_podpis_tab_rys,podpis_tabel,Legenda Znak Znak Znak,Legenda Znak Znak Znak Znak,Legenda Znak Znak Znak Znak Znak Znak,Legenda Znak Znak Znak Znak Znak Znak Znak,Legenda Znak Znak Z"/>
    <w:basedOn w:val="Normalny"/>
    <w:next w:val="Normalny"/>
    <w:link w:val="LegendaZnak"/>
    <w:autoRedefine/>
    <w:uiPriority w:val="35"/>
    <w:unhideWhenUsed/>
    <w:qFormat/>
    <w:rsid w:val="00897C3B"/>
    <w:pPr>
      <w:keepNext/>
      <w:spacing w:line="276" w:lineRule="auto"/>
    </w:pPr>
    <w:rPr>
      <w:rFonts w:eastAsia="Lato"/>
      <w:bCs/>
      <w:i/>
      <w:color w:val="4F81BD"/>
      <w:szCs w:val="20"/>
      <w:lang w:val="x-none" w:eastAsia="x-none"/>
    </w:rPr>
  </w:style>
  <w:style w:type="character" w:customStyle="1" w:styleId="LegendaZnak">
    <w:name w:val="Legenda Znak"/>
    <w:aliases w:val="evalu Legenda Znak,Tytuł tabeli Znak,Podpis rys Znak,EPL Tytuł wykresu/tabeli Znak,A_podpis_tab_rys Znak,podpis_tabel Znak,Legenda Znak Znak Znak Znak1,Legenda Znak Znak Znak Znak Znak,Legenda Znak Znak Znak Znak Znak Znak Znak1"/>
    <w:link w:val="Legenda"/>
    <w:uiPriority w:val="35"/>
    <w:qFormat/>
    <w:rsid w:val="00897C3B"/>
    <w:rPr>
      <w:rFonts w:ascii="Lato" w:eastAsia="Lato" w:hAnsi="Lato"/>
      <w:bCs/>
      <w:i/>
      <w:color w:val="4F81BD"/>
    </w:rPr>
  </w:style>
  <w:style w:type="character" w:styleId="Odwoaniedokomentarza">
    <w:name w:val="annotation reference"/>
    <w:uiPriority w:val="99"/>
    <w:unhideWhenUsed/>
    <w:qFormat/>
    <w:rsid w:val="00E21C3D"/>
    <w:rPr>
      <w:sz w:val="16"/>
      <w:szCs w:val="16"/>
    </w:rPr>
  </w:style>
  <w:style w:type="paragraph" w:styleId="Tekstkomentarza">
    <w:name w:val="annotation text"/>
    <w:basedOn w:val="Normalny"/>
    <w:link w:val="TekstkomentarzaZnak"/>
    <w:uiPriority w:val="99"/>
    <w:unhideWhenUsed/>
    <w:rsid w:val="00987362"/>
    <w:rPr>
      <w:rFonts w:ascii="Times New Roman" w:hAnsi="Times New Roman"/>
      <w:szCs w:val="20"/>
      <w:lang w:val="x-none" w:eastAsia="x-none"/>
    </w:rPr>
  </w:style>
  <w:style w:type="character" w:customStyle="1" w:styleId="TekstkomentarzaZnak">
    <w:name w:val="Tekst komentarza Znak"/>
    <w:link w:val="Tekstkomentarza"/>
    <w:uiPriority w:val="99"/>
    <w:rsid w:val="00E21C3D"/>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987362"/>
    <w:rPr>
      <w:b/>
      <w:bCs/>
    </w:rPr>
  </w:style>
  <w:style w:type="character" w:customStyle="1" w:styleId="TematkomentarzaZnak">
    <w:name w:val="Temat komentarza Znak"/>
    <w:link w:val="Tematkomentarza"/>
    <w:uiPriority w:val="99"/>
    <w:semiHidden/>
    <w:rsid w:val="00E21C3D"/>
    <w:rPr>
      <w:rFonts w:ascii="Times New Roman" w:eastAsia="Times New Roman" w:hAnsi="Times New Roman"/>
      <w:b/>
      <w:bCs/>
    </w:rPr>
  </w:style>
  <w:style w:type="paragraph" w:styleId="Tekstdymka">
    <w:name w:val="Balloon Text"/>
    <w:basedOn w:val="Normalny"/>
    <w:link w:val="TekstdymkaZnak"/>
    <w:uiPriority w:val="99"/>
    <w:semiHidden/>
    <w:unhideWhenUsed/>
    <w:rsid w:val="00E21C3D"/>
    <w:rPr>
      <w:rFonts w:ascii="Tahoma" w:hAnsi="Tahoma"/>
      <w:sz w:val="16"/>
      <w:szCs w:val="16"/>
      <w:lang w:val="x-none"/>
    </w:rPr>
  </w:style>
  <w:style w:type="character" w:customStyle="1" w:styleId="TekstdymkaZnak">
    <w:name w:val="Tekst dymka Znak"/>
    <w:link w:val="Tekstdymka"/>
    <w:uiPriority w:val="99"/>
    <w:semiHidden/>
    <w:rsid w:val="00E21C3D"/>
    <w:rPr>
      <w:rFonts w:ascii="Tahoma" w:eastAsia="Times New Roman" w:hAnsi="Tahoma" w:cs="Tahoma"/>
      <w:sz w:val="16"/>
      <w:szCs w:val="16"/>
      <w:lang w:eastAsia="pl-PL"/>
    </w:rPr>
  </w:style>
  <w:style w:type="paragraph" w:styleId="Akapitzlist">
    <w:name w:val="List Paragraph"/>
    <w:aliases w:val="maz_wyliczenie,opis dzialania,K-P_odwolanie,A_wyliczenie,Akapit z listą5CxSpLast,Akapit z listą5,BulletC,Tekst punktowanie,Numerowanie,Akapit z listą 1,List Paragraph,Table of contents numbered,sw tekst,EPL lista punktowana z wyrózneniem"/>
    <w:basedOn w:val="Normalny"/>
    <w:link w:val="AkapitzlistZnak"/>
    <w:uiPriority w:val="34"/>
    <w:qFormat/>
    <w:rsid w:val="00164862"/>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maz_wyliczenie Znak,opis dzialania Znak,K-P_odwolanie Znak,A_wyliczenie Znak,Akapit z listą5CxSpLast Znak,Akapit z listą5 Znak,BulletC Znak,Tekst punktowanie Znak,Numerowanie Znak,Akapit z listą 1 Znak,List Paragraph Znak"/>
    <w:link w:val="Akapitzlist"/>
    <w:uiPriority w:val="34"/>
    <w:qFormat/>
    <w:locked/>
    <w:rsid w:val="00164862"/>
  </w:style>
  <w:style w:type="paragraph" w:styleId="Zwykytekst">
    <w:name w:val="Plain Text"/>
    <w:basedOn w:val="Normalny"/>
    <w:link w:val="ZwykytekstZnak"/>
    <w:uiPriority w:val="99"/>
    <w:unhideWhenUsed/>
    <w:rsid w:val="00987362"/>
    <w:rPr>
      <w:rFonts w:ascii="Calibri" w:eastAsia="Calibri" w:hAnsi="Calibri"/>
      <w:szCs w:val="20"/>
    </w:rPr>
  </w:style>
  <w:style w:type="character" w:customStyle="1" w:styleId="ZwykytekstZnak">
    <w:name w:val="Zwykły tekst Znak"/>
    <w:link w:val="Zwykytekst"/>
    <w:uiPriority w:val="99"/>
    <w:rsid w:val="00617401"/>
  </w:style>
  <w:style w:type="paragraph" w:styleId="Tekstprzypisukocowego">
    <w:name w:val="endnote text"/>
    <w:basedOn w:val="Normalny"/>
    <w:link w:val="TekstprzypisukocowegoZnak"/>
    <w:uiPriority w:val="99"/>
    <w:semiHidden/>
    <w:unhideWhenUsed/>
    <w:rsid w:val="00987362"/>
    <w:rPr>
      <w:rFonts w:ascii="Times New Roman" w:hAnsi="Times New Roman"/>
      <w:szCs w:val="20"/>
      <w:lang w:val="x-none" w:eastAsia="x-none"/>
    </w:rPr>
  </w:style>
  <w:style w:type="character" w:customStyle="1" w:styleId="TekstprzypisukocowegoZnak">
    <w:name w:val="Tekst przypisu końcowego Znak"/>
    <w:link w:val="Tekstprzypisukocowego"/>
    <w:uiPriority w:val="99"/>
    <w:semiHidden/>
    <w:rsid w:val="00717735"/>
    <w:rPr>
      <w:rFonts w:ascii="Times New Roman" w:eastAsia="Times New Roman" w:hAnsi="Times New Roman"/>
    </w:rPr>
  </w:style>
  <w:style w:type="character" w:styleId="Odwoanieprzypisukocowego">
    <w:name w:val="endnote reference"/>
    <w:uiPriority w:val="99"/>
    <w:semiHidden/>
    <w:unhideWhenUsed/>
    <w:rsid w:val="00717735"/>
    <w:rPr>
      <w:vertAlign w:val="superscript"/>
    </w:rPr>
  </w:style>
  <w:style w:type="character" w:styleId="Hipercze">
    <w:name w:val="Hyperlink"/>
    <w:uiPriority w:val="99"/>
    <w:unhideWhenUsed/>
    <w:rsid w:val="00A211CF"/>
    <w:rPr>
      <w:color w:val="0000FF"/>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unhideWhenUsed/>
    <w:qFormat/>
    <w:rsid w:val="00987362"/>
    <w:rPr>
      <w:rFonts w:ascii="Times New Roman" w:hAnsi="Times New Roman"/>
      <w:szCs w:val="20"/>
      <w:lang w:val="x-none" w:eastAsia="x-none"/>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uiPriority w:val="99"/>
    <w:qFormat/>
    <w:rsid w:val="000773D9"/>
    <w:rPr>
      <w:rFonts w:ascii="Times New Roman" w:eastAsia="Times New Roman" w:hAnsi="Times New Roman"/>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uiPriority w:val="99"/>
    <w:unhideWhenUsed/>
    <w:qFormat/>
    <w:rsid w:val="000773D9"/>
    <w:rPr>
      <w:vertAlign w:val="superscript"/>
    </w:rPr>
  </w:style>
  <w:style w:type="character" w:customStyle="1" w:styleId="podpistabeliZnak">
    <w:name w:val="podpis tabeli Znak"/>
    <w:rsid w:val="003B0DD2"/>
    <w:rPr>
      <w:rFonts w:ascii="Lato" w:eastAsia="Lato" w:hAnsi="Lato"/>
      <w:b/>
      <w:bCs/>
      <w:color w:val="4F81BD"/>
    </w:rPr>
  </w:style>
  <w:style w:type="character" w:customStyle="1" w:styleId="Zakotwiczenieprzypisudolnego">
    <w:name w:val="Zakotwiczenie przypisu dolnego"/>
    <w:rsid w:val="0066174E"/>
    <w:rPr>
      <w:vertAlign w:val="superscript"/>
    </w:rPr>
  </w:style>
  <w:style w:type="paragraph" w:styleId="NormalnyWeb">
    <w:name w:val="Normal (Web)"/>
    <w:basedOn w:val="Normalny"/>
    <w:link w:val="NormalnyWebZnak"/>
    <w:uiPriority w:val="99"/>
    <w:unhideWhenUsed/>
    <w:qFormat/>
    <w:rsid w:val="00987362"/>
    <w:pPr>
      <w:spacing w:before="100" w:beforeAutospacing="1" w:after="100" w:afterAutospacing="1"/>
    </w:pPr>
    <w:rPr>
      <w:rFonts w:ascii="Times New Roman" w:hAnsi="Times New Roman"/>
      <w:sz w:val="24"/>
      <w:lang w:val="x-none" w:eastAsia="x-none"/>
    </w:rPr>
  </w:style>
  <w:style w:type="character" w:customStyle="1" w:styleId="NormalnyWebZnak">
    <w:name w:val="Normalny (Web) Znak"/>
    <w:link w:val="NormalnyWeb"/>
    <w:uiPriority w:val="99"/>
    <w:qFormat/>
    <w:rsid w:val="00902C74"/>
    <w:rPr>
      <w:rFonts w:ascii="Times New Roman" w:eastAsia="Times New Roman" w:hAnsi="Times New Roman"/>
      <w:sz w:val="24"/>
      <w:szCs w:val="24"/>
    </w:rPr>
  </w:style>
  <w:style w:type="character" w:customStyle="1" w:styleId="normaltextrun">
    <w:name w:val="normaltextrun"/>
    <w:basedOn w:val="Domylnaczcionkaakapitu"/>
    <w:rsid w:val="00210F1B"/>
  </w:style>
  <w:style w:type="character" w:customStyle="1" w:styleId="spellingerror">
    <w:name w:val="spellingerror"/>
    <w:basedOn w:val="Domylnaczcionkaakapitu"/>
    <w:rsid w:val="00210F1B"/>
  </w:style>
  <w:style w:type="paragraph" w:customStyle="1" w:styleId="evaluTresc">
    <w:name w:val="evalu Tresc"/>
    <w:basedOn w:val="Normalny"/>
    <w:qFormat/>
    <w:rsid w:val="0052708E"/>
    <w:rPr>
      <w:rFonts w:eastAsia="Calibri"/>
      <w:szCs w:val="20"/>
      <w:lang w:eastAsia="en-US"/>
    </w:rPr>
  </w:style>
  <w:style w:type="table" w:customStyle="1" w:styleId="Tabelasiatki4akcent12">
    <w:name w:val="Tabela siatki 4 — akcent 12"/>
    <w:basedOn w:val="Standardowy"/>
    <w:uiPriority w:val="49"/>
    <w:rsid w:val="00775E4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Bezodstpw">
    <w:name w:val="No Spacing"/>
    <w:link w:val="BezodstpwZnak"/>
    <w:uiPriority w:val="1"/>
    <w:qFormat/>
    <w:rsid w:val="00987362"/>
    <w:pPr>
      <w:spacing w:before="60" w:line="276" w:lineRule="auto"/>
      <w:ind w:left="-11"/>
    </w:pPr>
    <w:rPr>
      <w:rFonts w:eastAsia="Times New Roman"/>
    </w:rPr>
  </w:style>
  <w:style w:type="character" w:customStyle="1" w:styleId="BezodstpwZnak">
    <w:name w:val="Bez odstępów Znak"/>
    <w:link w:val="Bezodstpw"/>
    <w:uiPriority w:val="1"/>
    <w:qFormat/>
    <w:rsid w:val="00792824"/>
    <w:rPr>
      <w:rFonts w:eastAsia="Times New Roman"/>
      <w:lang w:val="pl-PL" w:eastAsia="pl-PL" w:bidi="ar-SA"/>
    </w:rPr>
  </w:style>
  <w:style w:type="paragraph" w:customStyle="1" w:styleId="Default">
    <w:name w:val="Default"/>
    <w:link w:val="DefaultZnak"/>
    <w:qFormat/>
    <w:rsid w:val="00792824"/>
    <w:pPr>
      <w:autoSpaceDE w:val="0"/>
      <w:autoSpaceDN w:val="0"/>
      <w:adjustRightInd w:val="0"/>
    </w:pPr>
    <w:rPr>
      <w:rFonts w:ascii="Arial" w:hAnsi="Arial"/>
      <w:color w:val="000000"/>
      <w:sz w:val="24"/>
      <w:szCs w:val="24"/>
    </w:rPr>
  </w:style>
  <w:style w:type="character" w:customStyle="1" w:styleId="DefaultZnak">
    <w:name w:val="Default Znak"/>
    <w:link w:val="Default"/>
    <w:qFormat/>
    <w:locked/>
    <w:rsid w:val="00792824"/>
    <w:rPr>
      <w:rFonts w:ascii="Arial" w:hAnsi="Arial"/>
      <w:color w:val="000000"/>
      <w:sz w:val="24"/>
      <w:szCs w:val="24"/>
      <w:lang w:bidi="ar-SA"/>
    </w:rPr>
  </w:style>
  <w:style w:type="paragraph" w:styleId="Nagwekspisutreci">
    <w:name w:val="TOC Heading"/>
    <w:basedOn w:val="Nagwek1"/>
    <w:next w:val="Normalny"/>
    <w:uiPriority w:val="39"/>
    <w:unhideWhenUsed/>
    <w:qFormat/>
    <w:rsid w:val="00792824"/>
    <w:pPr>
      <w:numPr>
        <w:numId w:val="0"/>
      </w:numPr>
      <w:spacing w:before="240" w:line="259" w:lineRule="auto"/>
      <w:outlineLvl w:val="9"/>
    </w:pPr>
    <w:rPr>
      <w:b w:val="0"/>
      <w:bCs w:val="0"/>
      <w:sz w:val="32"/>
      <w:szCs w:val="32"/>
    </w:rPr>
  </w:style>
  <w:style w:type="paragraph" w:styleId="Spistreci1">
    <w:name w:val="toc 1"/>
    <w:basedOn w:val="Normalny"/>
    <w:next w:val="Normalny"/>
    <w:autoRedefine/>
    <w:uiPriority w:val="39"/>
    <w:unhideWhenUsed/>
    <w:rsid w:val="00792824"/>
    <w:pPr>
      <w:spacing w:after="100"/>
    </w:pPr>
  </w:style>
  <w:style w:type="paragraph" w:styleId="Spistreci2">
    <w:name w:val="toc 2"/>
    <w:basedOn w:val="Normalny"/>
    <w:next w:val="Normalny"/>
    <w:autoRedefine/>
    <w:uiPriority w:val="39"/>
    <w:unhideWhenUsed/>
    <w:rsid w:val="00792824"/>
    <w:pPr>
      <w:spacing w:after="100"/>
      <w:ind w:left="240"/>
    </w:pPr>
  </w:style>
  <w:style w:type="paragraph" w:styleId="Spistreci3">
    <w:name w:val="toc 3"/>
    <w:basedOn w:val="Normalny"/>
    <w:next w:val="Normalny"/>
    <w:autoRedefine/>
    <w:uiPriority w:val="39"/>
    <w:unhideWhenUsed/>
    <w:rsid w:val="00792824"/>
    <w:pPr>
      <w:spacing w:after="100"/>
      <w:ind w:left="480"/>
    </w:pPr>
  </w:style>
  <w:style w:type="character" w:customStyle="1" w:styleId="TekstpodstawowyZnak">
    <w:name w:val="Tekst podstawowy Znak"/>
    <w:aliases w:val="Body Text 12 Znak,bt Znak,Tekst wcięty 2 st Znak,(ALT+½) Znak"/>
    <w:basedOn w:val="Domylnaczcionkaakapitu"/>
    <w:link w:val="Tekstpodstawowy"/>
    <w:uiPriority w:val="99"/>
    <w:semiHidden/>
    <w:locked/>
    <w:rsid w:val="00F468C0"/>
  </w:style>
  <w:style w:type="paragraph" w:styleId="Tekstpodstawowy">
    <w:name w:val="Body Text"/>
    <w:aliases w:val="Body Text 12,bt,Tekst wcięty 2 st,(ALT+½)"/>
    <w:basedOn w:val="Normalny"/>
    <w:link w:val="TekstpodstawowyZnak"/>
    <w:uiPriority w:val="99"/>
    <w:semiHidden/>
    <w:unhideWhenUsed/>
    <w:rsid w:val="00F468C0"/>
    <w:pPr>
      <w:spacing w:before="100" w:line="276" w:lineRule="auto"/>
    </w:pPr>
    <w:rPr>
      <w:rFonts w:ascii="Calibri" w:eastAsia="Calibri" w:hAnsi="Calibri"/>
      <w:sz w:val="22"/>
      <w:szCs w:val="22"/>
      <w:lang w:eastAsia="en-US"/>
    </w:rPr>
  </w:style>
  <w:style w:type="character" w:customStyle="1" w:styleId="TekstpodstawowyZnak1">
    <w:name w:val="Tekst podstawowy Znak1"/>
    <w:uiPriority w:val="99"/>
    <w:semiHidden/>
    <w:rsid w:val="00F468C0"/>
    <w:rPr>
      <w:rFonts w:ascii="Times New Roman" w:eastAsia="Times New Roman" w:hAnsi="Times New Roman" w:cs="Times New Roman"/>
      <w:sz w:val="24"/>
      <w:szCs w:val="24"/>
      <w:lang w:eastAsia="pl-PL"/>
    </w:rPr>
  </w:style>
  <w:style w:type="paragraph" w:customStyle="1" w:styleId="UPStopkawykresutabeli">
    <w:name w:val="UP Stopka wykresu / tabeli"/>
    <w:basedOn w:val="Normalny"/>
    <w:rsid w:val="00F468C0"/>
    <w:pPr>
      <w:keepNext/>
    </w:pPr>
    <w:rPr>
      <w:rFonts w:ascii="Calibri" w:eastAsia="Calibri" w:hAnsi="Calibri" w:cs="Calibri"/>
      <w:i/>
      <w:iCs/>
      <w:sz w:val="18"/>
      <w:szCs w:val="18"/>
    </w:rPr>
  </w:style>
  <w:style w:type="character" w:customStyle="1" w:styleId="UPtytuwykresutabeliZnak">
    <w:name w:val="UP tytuł wykresu/tabeli Znak"/>
    <w:link w:val="UPtytuwykresutabeli"/>
    <w:locked/>
    <w:rsid w:val="00F468C0"/>
    <w:rPr>
      <w:b/>
      <w:bCs/>
      <w:color w:val="0073B7"/>
    </w:rPr>
  </w:style>
  <w:style w:type="paragraph" w:customStyle="1" w:styleId="UPtytuwykresutabeli">
    <w:name w:val="UP tytuł wykresu/tabeli"/>
    <w:basedOn w:val="Normalny"/>
    <w:link w:val="UPtytuwykresutabeliZnak"/>
    <w:rsid w:val="00987362"/>
    <w:pPr>
      <w:keepNext/>
      <w:spacing w:line="276" w:lineRule="auto"/>
    </w:pPr>
    <w:rPr>
      <w:rFonts w:ascii="Calibri" w:eastAsia="Calibri" w:hAnsi="Calibri"/>
      <w:b/>
      <w:bCs/>
      <w:color w:val="0073B7"/>
      <w:szCs w:val="20"/>
      <w:lang w:val="x-none" w:eastAsia="x-none"/>
    </w:rPr>
  </w:style>
  <w:style w:type="paragraph" w:customStyle="1" w:styleId="UPSrodtytul">
    <w:name w:val="UP Srodtytul"/>
    <w:basedOn w:val="Normalny"/>
    <w:rsid w:val="00F468C0"/>
    <w:pPr>
      <w:spacing w:before="240" w:line="276" w:lineRule="auto"/>
    </w:pPr>
    <w:rPr>
      <w:rFonts w:ascii="Calibri" w:eastAsia="Calibri" w:hAnsi="Calibri" w:cs="Calibri"/>
      <w:b/>
      <w:bCs/>
      <w:i/>
      <w:iCs/>
      <w:color w:val="0073BA"/>
      <w:sz w:val="22"/>
      <w:szCs w:val="22"/>
      <w:lang w:eastAsia="en-US"/>
    </w:rPr>
  </w:style>
  <w:style w:type="paragraph" w:customStyle="1" w:styleId="UPtresc">
    <w:name w:val="UP tresc"/>
    <w:basedOn w:val="Normalny"/>
    <w:qFormat/>
    <w:rsid w:val="00F468C0"/>
    <w:pPr>
      <w:spacing w:line="276" w:lineRule="auto"/>
    </w:pPr>
    <w:rPr>
      <w:rFonts w:ascii="Calibri" w:eastAsia="Calibri" w:hAnsi="Calibri" w:cs="Calibri"/>
      <w:sz w:val="22"/>
      <w:szCs w:val="22"/>
      <w:lang w:eastAsia="en-US"/>
    </w:rPr>
  </w:style>
  <w:style w:type="paragraph" w:customStyle="1" w:styleId="Tekstgwny">
    <w:name w:val="Tekst główny"/>
    <w:basedOn w:val="Normalny"/>
    <w:qFormat/>
    <w:rsid w:val="00C97900"/>
    <w:pPr>
      <w:spacing w:line="276" w:lineRule="auto"/>
    </w:pPr>
    <w:rPr>
      <w:rFonts w:ascii="Myriad Pro" w:eastAsia="Calibri" w:hAnsi="Myriad Pro"/>
      <w:lang w:eastAsia="en-US"/>
    </w:rPr>
  </w:style>
  <w:style w:type="paragraph" w:customStyle="1" w:styleId="Typprojektu">
    <w:name w:val="Typ projektu"/>
    <w:basedOn w:val="Tekstgwny"/>
    <w:qFormat/>
    <w:rsid w:val="00C97900"/>
    <w:pPr>
      <w:numPr>
        <w:numId w:val="6"/>
      </w:numPr>
      <w:spacing w:before="240"/>
    </w:pPr>
  </w:style>
  <w:style w:type="character" w:styleId="Odwoanieintensywne">
    <w:name w:val="Intense Reference"/>
    <w:uiPriority w:val="32"/>
    <w:qFormat/>
    <w:rsid w:val="00B410BA"/>
    <w:rPr>
      <w:rFonts w:ascii="Lato" w:hAnsi="Lato"/>
      <w:b/>
      <w:bCs/>
      <w:i w:val="0"/>
      <w:smallCaps/>
      <w:color w:val="4F81BD"/>
      <w:spacing w:val="5"/>
      <w:sz w:val="20"/>
    </w:rPr>
  </w:style>
  <w:style w:type="paragraph" w:customStyle="1" w:styleId="OcenapostpwPI">
    <w:name w:val="Ocena postępów PI"/>
    <w:basedOn w:val="Normalny"/>
    <w:link w:val="OcenapostpwPIZnak"/>
    <w:qFormat/>
    <w:rsid w:val="009135A8"/>
    <w:rPr>
      <w:rFonts w:eastAsia="Calibri"/>
      <w:b/>
      <w:i/>
      <w:color w:val="4F81BD"/>
      <w:lang w:val="x-none"/>
    </w:rPr>
  </w:style>
  <w:style w:type="character" w:customStyle="1" w:styleId="OcenapostpwPIZnak">
    <w:name w:val="Ocena postępów PI Znak"/>
    <w:link w:val="OcenapostpwPI"/>
    <w:rsid w:val="009135A8"/>
    <w:rPr>
      <w:rFonts w:ascii="Lato" w:eastAsia="Calibri" w:hAnsi="Lato" w:cs="Times New Roman"/>
      <w:b/>
      <w:i/>
      <w:color w:val="4F81BD"/>
      <w:sz w:val="20"/>
      <w:szCs w:val="24"/>
      <w:lang w:eastAsia="pl-PL"/>
    </w:rPr>
  </w:style>
  <w:style w:type="paragraph" w:customStyle="1" w:styleId="rdo">
    <w:name w:val="źródło"/>
    <w:link w:val="rdoZnak"/>
    <w:qFormat/>
    <w:rsid w:val="006052AE"/>
    <w:pPr>
      <w:spacing w:after="120" w:line="276" w:lineRule="auto"/>
      <w:jc w:val="both"/>
    </w:pPr>
    <w:rPr>
      <w:rFonts w:ascii="Lato" w:hAnsi="Lato"/>
      <w:bCs/>
      <w:i/>
      <w:iCs/>
      <w:sz w:val="18"/>
    </w:rPr>
  </w:style>
  <w:style w:type="character" w:customStyle="1" w:styleId="rdoZnak">
    <w:name w:val="źródło Znak"/>
    <w:link w:val="rdo"/>
    <w:rsid w:val="006052AE"/>
    <w:rPr>
      <w:rFonts w:ascii="Lato" w:hAnsi="Lato"/>
      <w:bCs/>
      <w:i/>
      <w:iCs/>
      <w:sz w:val="18"/>
      <w:lang w:bidi="ar-SA"/>
    </w:rPr>
  </w:style>
  <w:style w:type="character" w:customStyle="1" w:styleId="fontstyle01">
    <w:name w:val="fontstyle01"/>
    <w:rsid w:val="000A20D0"/>
    <w:rPr>
      <w:rFonts w:ascii="MyriadPro-Regular" w:hAnsi="MyriadPro-Regular" w:hint="default"/>
      <w:b w:val="0"/>
      <w:bCs w:val="0"/>
      <w:i w:val="0"/>
      <w:iCs w:val="0"/>
      <w:color w:val="000000"/>
      <w:sz w:val="24"/>
      <w:szCs w:val="24"/>
    </w:rPr>
  </w:style>
  <w:style w:type="character" w:customStyle="1" w:styleId="fontstyle21">
    <w:name w:val="fontstyle21"/>
    <w:rsid w:val="000A20D0"/>
    <w:rPr>
      <w:rFonts w:ascii="MyriadPro-Regular" w:hAnsi="MyriadPro-Regular" w:hint="default"/>
      <w:b w:val="0"/>
      <w:bCs w:val="0"/>
      <w:i w:val="0"/>
      <w:iCs w:val="0"/>
      <w:color w:val="000000"/>
      <w:sz w:val="18"/>
      <w:szCs w:val="18"/>
    </w:rPr>
  </w:style>
  <w:style w:type="character" w:styleId="Pogrubienie">
    <w:name w:val="Strong"/>
    <w:qFormat/>
    <w:rsid w:val="000A20D0"/>
    <w:rPr>
      <w:rFonts w:ascii="Times New Roman" w:hAnsi="Times New Roman" w:cs="Times New Roman" w:hint="default"/>
      <w:b/>
      <w:bCs w:val="0"/>
    </w:rPr>
  </w:style>
  <w:style w:type="character" w:customStyle="1" w:styleId="TekstpodstawowywcityZnak">
    <w:name w:val="Tekst podstawowy wcięty Znak"/>
    <w:link w:val="Tekstpodstawowywcity"/>
    <w:uiPriority w:val="99"/>
    <w:semiHidden/>
    <w:rsid w:val="000A20D0"/>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0A20D0"/>
    <w:pPr>
      <w:spacing w:before="0" w:line="240" w:lineRule="auto"/>
      <w:ind w:left="283"/>
      <w:jc w:val="left"/>
    </w:pPr>
    <w:rPr>
      <w:rFonts w:ascii="Times New Roman" w:hAnsi="Times New Roman"/>
      <w:sz w:val="24"/>
      <w:lang w:val="x-none"/>
    </w:rPr>
  </w:style>
  <w:style w:type="paragraph" w:styleId="Nagwek">
    <w:name w:val="header"/>
    <w:basedOn w:val="Normalny"/>
    <w:link w:val="NagwekZnak"/>
    <w:uiPriority w:val="99"/>
    <w:unhideWhenUsed/>
    <w:rsid w:val="000A20D0"/>
    <w:pPr>
      <w:tabs>
        <w:tab w:val="center" w:pos="4536"/>
        <w:tab w:val="right" w:pos="9072"/>
      </w:tabs>
      <w:spacing w:before="0" w:after="0" w:line="240" w:lineRule="auto"/>
      <w:jc w:val="left"/>
    </w:pPr>
    <w:rPr>
      <w:rFonts w:ascii="Times New Roman" w:hAnsi="Times New Roman"/>
      <w:sz w:val="24"/>
      <w:lang w:val="x-none"/>
    </w:rPr>
  </w:style>
  <w:style w:type="character" w:customStyle="1" w:styleId="NagwekZnak">
    <w:name w:val="Nagłówek Znak"/>
    <w:link w:val="Nagwek"/>
    <w:uiPriority w:val="99"/>
    <w:rsid w:val="000A20D0"/>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0A20D0"/>
    <w:pPr>
      <w:tabs>
        <w:tab w:val="center" w:pos="4536"/>
        <w:tab w:val="right" w:pos="9072"/>
      </w:tabs>
      <w:spacing w:before="0" w:after="0" w:line="240" w:lineRule="auto"/>
      <w:jc w:val="left"/>
    </w:pPr>
    <w:rPr>
      <w:rFonts w:ascii="Times New Roman" w:hAnsi="Times New Roman"/>
      <w:sz w:val="24"/>
      <w:lang w:val="x-none"/>
    </w:rPr>
  </w:style>
  <w:style w:type="character" w:customStyle="1" w:styleId="StopkaZnak">
    <w:name w:val="Stopka Znak"/>
    <w:link w:val="Stopka"/>
    <w:uiPriority w:val="99"/>
    <w:rsid w:val="000A20D0"/>
    <w:rPr>
      <w:rFonts w:ascii="Times New Roman" w:eastAsia="Times New Roman" w:hAnsi="Times New Roman" w:cs="Times New Roman"/>
      <w:sz w:val="24"/>
      <w:szCs w:val="24"/>
      <w:lang w:eastAsia="pl-PL"/>
    </w:rPr>
  </w:style>
  <w:style w:type="character" w:customStyle="1" w:styleId="fontstyle31">
    <w:name w:val="fontstyle31"/>
    <w:rsid w:val="000A20D0"/>
    <w:rPr>
      <w:rFonts w:ascii="SymbolMT" w:hAnsi="SymbolMT" w:hint="default"/>
      <w:b w:val="0"/>
      <w:bCs w:val="0"/>
      <w:i w:val="0"/>
      <w:iCs w:val="0"/>
      <w:color w:val="000000"/>
      <w:sz w:val="16"/>
      <w:szCs w:val="16"/>
    </w:rPr>
  </w:style>
  <w:style w:type="table" w:customStyle="1" w:styleId="Siatkatabelijasna1">
    <w:name w:val="Siatka tabeli — jasna1"/>
    <w:basedOn w:val="Standardowy"/>
    <w:uiPriority w:val="40"/>
    <w:rsid w:val="00065B7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kstkomentarzaZnak1">
    <w:name w:val="Tekst komentarza Znak1"/>
    <w:uiPriority w:val="99"/>
    <w:semiHidden/>
    <w:rsid w:val="00065B71"/>
    <w:rPr>
      <w:sz w:val="20"/>
      <w:szCs w:val="20"/>
    </w:rPr>
  </w:style>
  <w:style w:type="character" w:customStyle="1" w:styleId="TematkomentarzaZnak1">
    <w:name w:val="Temat komentarza Znak1"/>
    <w:uiPriority w:val="99"/>
    <w:semiHidden/>
    <w:rsid w:val="00065B71"/>
    <w:rPr>
      <w:b/>
      <w:bCs/>
      <w:sz w:val="20"/>
      <w:szCs w:val="20"/>
    </w:rPr>
  </w:style>
  <w:style w:type="character" w:customStyle="1" w:styleId="TekstdymkaZnak1">
    <w:name w:val="Tekst dymka Znak1"/>
    <w:uiPriority w:val="99"/>
    <w:semiHidden/>
    <w:rsid w:val="00065B71"/>
    <w:rPr>
      <w:rFonts w:ascii="Segoe UI" w:hAnsi="Segoe UI" w:cs="Segoe UI"/>
      <w:sz w:val="18"/>
      <w:szCs w:val="18"/>
    </w:rPr>
  </w:style>
  <w:style w:type="table" w:customStyle="1" w:styleId="ECORYSTabela1">
    <w:name w:val="ECORYS Tabela1"/>
    <w:basedOn w:val="Standardowy"/>
    <w:next w:val="Tabela-Siatka"/>
    <w:uiPriority w:val="59"/>
    <w:rsid w:val="001F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B24CD8"/>
    <w:pPr>
      <w:spacing w:after="0"/>
    </w:pPr>
  </w:style>
  <w:style w:type="paragraph" w:customStyle="1" w:styleId="Instrukcje">
    <w:name w:val="Instrukcje"/>
    <w:basedOn w:val="Normalny"/>
    <w:qFormat/>
    <w:rsid w:val="00A556B2"/>
    <w:pPr>
      <w:spacing w:before="0"/>
    </w:pPr>
    <w:rPr>
      <w:rFonts w:ascii="Calibri" w:hAnsi="Calibri" w:cs="Calibri"/>
      <w:color w:val="FF0000"/>
      <w:sz w:val="22"/>
      <w:szCs w:val="22"/>
      <w:lang w:eastAsia="en-US"/>
    </w:rPr>
  </w:style>
  <w:style w:type="character" w:customStyle="1" w:styleId="leaf">
    <w:name w:val="leaf"/>
    <w:basedOn w:val="Domylnaczcionkaakapitu"/>
    <w:rsid w:val="00290F8D"/>
  </w:style>
  <w:style w:type="paragraph" w:customStyle="1" w:styleId="Odpowied">
    <w:name w:val="Odpowiedź"/>
    <w:basedOn w:val="Normalny"/>
    <w:rsid w:val="00290F8D"/>
    <w:pPr>
      <w:numPr>
        <w:numId w:val="41"/>
      </w:numPr>
      <w:suppressAutoHyphens/>
      <w:spacing w:after="0" w:line="240" w:lineRule="auto"/>
      <w:jc w:val="left"/>
    </w:pPr>
    <w:rPr>
      <w:rFonts w:ascii="Arial" w:hAnsi="Arial" w:cs="Arial"/>
      <w:sz w:val="22"/>
      <w:szCs w:val="20"/>
      <w:lang w:eastAsia="zh-CN"/>
    </w:rPr>
  </w:style>
  <w:style w:type="table" w:customStyle="1" w:styleId="Siatkatabelijasna2">
    <w:name w:val="Siatka tabeli — jasna2"/>
    <w:basedOn w:val="Standardowy"/>
    <w:uiPriority w:val="40"/>
    <w:rsid w:val="0098736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oprawka">
    <w:name w:val="Revision"/>
    <w:hidden/>
    <w:uiPriority w:val="99"/>
    <w:semiHidden/>
    <w:rsid w:val="00987362"/>
    <w:rPr>
      <w:rFonts w:ascii="Lato" w:eastAsia="Times New Roman" w:hAnsi="Lato"/>
      <w:szCs w:val="24"/>
    </w:rPr>
  </w:style>
  <w:style w:type="paragraph" w:customStyle="1" w:styleId="ust">
    <w:name w:val="ust"/>
    <w:basedOn w:val="Normalny"/>
    <w:pPr>
      <w:spacing w:before="100" w:beforeAutospacing="1" w:after="100" w:afterAutospacing="1" w:line="240" w:lineRule="auto"/>
      <w:jc w:val="left"/>
    </w:pPr>
    <w:rPr>
      <w:rFonts w:ascii="Times New Roman" w:hAnsi="Times New Roman"/>
      <w:sz w:val="24"/>
    </w:rPr>
  </w:style>
  <w:style w:type="paragraph" w:customStyle="1" w:styleId="TytuTAB">
    <w:name w:val="Tytuł TAB"/>
    <w:aliases w:val="WYK,RYS"/>
    <w:basedOn w:val="Legenda"/>
    <w:link w:val="TytuTABZnak"/>
    <w:qFormat/>
    <w:rsid w:val="00534F20"/>
  </w:style>
  <w:style w:type="character" w:customStyle="1" w:styleId="TytuTABZnak">
    <w:name w:val="Tytuł TAB Znak"/>
    <w:aliases w:val="WYK Znak,RYS Znak"/>
    <w:link w:val="TytuTAB"/>
    <w:rsid w:val="00534F20"/>
    <w:rPr>
      <w:rFonts w:ascii="Lato" w:eastAsia="Lato" w:hAnsi="Lato"/>
      <w:bCs/>
      <w:i/>
      <w:color w:val="4F81BD"/>
    </w:rPr>
  </w:style>
  <w:style w:type="character" w:styleId="Uwydatnienie">
    <w:name w:val="Emphasis"/>
    <w:uiPriority w:val="20"/>
    <w:qFormat/>
    <w:rsid w:val="00354961"/>
    <w:rPr>
      <w:i/>
      <w:iCs/>
    </w:rPr>
  </w:style>
  <w:style w:type="character" w:customStyle="1" w:styleId="TekstpodstawowywcityZnak1">
    <w:name w:val="Tekst podstawowy wcięty Znak1"/>
    <w:uiPriority w:val="99"/>
    <w:semiHidden/>
    <w:rsid w:val="00BE5937"/>
    <w:rPr>
      <w:rFonts w:ascii="Lato" w:eastAsia="Times New Roman" w:hAnsi="Lato" w:cs="Times New Roman"/>
      <w:sz w:val="20"/>
      <w:szCs w:val="24"/>
      <w:lang w:eastAsia="pl-PL"/>
    </w:rPr>
  </w:style>
  <w:style w:type="table" w:customStyle="1" w:styleId="Tabelasiatki4akcent13">
    <w:name w:val="Tabela siatki 4 — akcent 13"/>
    <w:basedOn w:val="Standardowy"/>
    <w:uiPriority w:val="49"/>
    <w:rsid w:val="000057DA"/>
    <w:rPr>
      <w:rFonts w:ascii="Lato" w:hAnsi="Lato"/>
      <w:sz w:val="18"/>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Lato" w:hAnsi="Lato"/>
        <w:b/>
        <w:bCs/>
        <w:color w:val="FFFFFF"/>
        <w:sz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7124">
      <w:bodyDiv w:val="1"/>
      <w:marLeft w:val="0"/>
      <w:marRight w:val="0"/>
      <w:marTop w:val="0"/>
      <w:marBottom w:val="0"/>
      <w:divBdr>
        <w:top w:val="none" w:sz="0" w:space="0" w:color="auto"/>
        <w:left w:val="none" w:sz="0" w:space="0" w:color="auto"/>
        <w:bottom w:val="none" w:sz="0" w:space="0" w:color="auto"/>
        <w:right w:val="none" w:sz="0" w:space="0" w:color="auto"/>
      </w:divBdr>
    </w:div>
    <w:div w:id="54859137">
      <w:bodyDiv w:val="1"/>
      <w:marLeft w:val="0"/>
      <w:marRight w:val="0"/>
      <w:marTop w:val="0"/>
      <w:marBottom w:val="0"/>
      <w:divBdr>
        <w:top w:val="none" w:sz="0" w:space="0" w:color="auto"/>
        <w:left w:val="none" w:sz="0" w:space="0" w:color="auto"/>
        <w:bottom w:val="none" w:sz="0" w:space="0" w:color="auto"/>
        <w:right w:val="none" w:sz="0" w:space="0" w:color="auto"/>
      </w:divBdr>
    </w:div>
    <w:div w:id="147718903">
      <w:bodyDiv w:val="1"/>
      <w:marLeft w:val="0"/>
      <w:marRight w:val="0"/>
      <w:marTop w:val="0"/>
      <w:marBottom w:val="0"/>
      <w:divBdr>
        <w:top w:val="none" w:sz="0" w:space="0" w:color="auto"/>
        <w:left w:val="none" w:sz="0" w:space="0" w:color="auto"/>
        <w:bottom w:val="none" w:sz="0" w:space="0" w:color="auto"/>
        <w:right w:val="none" w:sz="0" w:space="0" w:color="auto"/>
      </w:divBdr>
    </w:div>
    <w:div w:id="190606992">
      <w:bodyDiv w:val="1"/>
      <w:marLeft w:val="0"/>
      <w:marRight w:val="0"/>
      <w:marTop w:val="0"/>
      <w:marBottom w:val="0"/>
      <w:divBdr>
        <w:top w:val="none" w:sz="0" w:space="0" w:color="auto"/>
        <w:left w:val="none" w:sz="0" w:space="0" w:color="auto"/>
        <w:bottom w:val="none" w:sz="0" w:space="0" w:color="auto"/>
        <w:right w:val="none" w:sz="0" w:space="0" w:color="auto"/>
      </w:divBdr>
    </w:div>
    <w:div w:id="404380518">
      <w:bodyDiv w:val="1"/>
      <w:marLeft w:val="0"/>
      <w:marRight w:val="0"/>
      <w:marTop w:val="0"/>
      <w:marBottom w:val="0"/>
      <w:divBdr>
        <w:top w:val="none" w:sz="0" w:space="0" w:color="auto"/>
        <w:left w:val="none" w:sz="0" w:space="0" w:color="auto"/>
        <w:bottom w:val="none" w:sz="0" w:space="0" w:color="auto"/>
        <w:right w:val="none" w:sz="0" w:space="0" w:color="auto"/>
      </w:divBdr>
    </w:div>
    <w:div w:id="433130751">
      <w:bodyDiv w:val="1"/>
      <w:marLeft w:val="0"/>
      <w:marRight w:val="0"/>
      <w:marTop w:val="0"/>
      <w:marBottom w:val="0"/>
      <w:divBdr>
        <w:top w:val="none" w:sz="0" w:space="0" w:color="auto"/>
        <w:left w:val="none" w:sz="0" w:space="0" w:color="auto"/>
        <w:bottom w:val="none" w:sz="0" w:space="0" w:color="auto"/>
        <w:right w:val="none" w:sz="0" w:space="0" w:color="auto"/>
      </w:divBdr>
      <w:divsChild>
        <w:div w:id="1462649718">
          <w:marLeft w:val="475"/>
          <w:marRight w:val="0"/>
          <w:marTop w:val="72"/>
          <w:marBottom w:val="120"/>
          <w:divBdr>
            <w:top w:val="none" w:sz="0" w:space="0" w:color="auto"/>
            <w:left w:val="none" w:sz="0" w:space="0" w:color="auto"/>
            <w:bottom w:val="none" w:sz="0" w:space="0" w:color="auto"/>
            <w:right w:val="none" w:sz="0" w:space="0" w:color="auto"/>
          </w:divBdr>
        </w:div>
      </w:divsChild>
    </w:div>
    <w:div w:id="847016527">
      <w:bodyDiv w:val="1"/>
      <w:marLeft w:val="0"/>
      <w:marRight w:val="0"/>
      <w:marTop w:val="0"/>
      <w:marBottom w:val="0"/>
      <w:divBdr>
        <w:top w:val="none" w:sz="0" w:space="0" w:color="auto"/>
        <w:left w:val="none" w:sz="0" w:space="0" w:color="auto"/>
        <w:bottom w:val="none" w:sz="0" w:space="0" w:color="auto"/>
        <w:right w:val="none" w:sz="0" w:space="0" w:color="auto"/>
      </w:divBdr>
    </w:div>
    <w:div w:id="862859899">
      <w:bodyDiv w:val="1"/>
      <w:marLeft w:val="0"/>
      <w:marRight w:val="0"/>
      <w:marTop w:val="0"/>
      <w:marBottom w:val="0"/>
      <w:divBdr>
        <w:top w:val="none" w:sz="0" w:space="0" w:color="auto"/>
        <w:left w:val="none" w:sz="0" w:space="0" w:color="auto"/>
        <w:bottom w:val="none" w:sz="0" w:space="0" w:color="auto"/>
        <w:right w:val="none" w:sz="0" w:space="0" w:color="auto"/>
      </w:divBdr>
    </w:div>
    <w:div w:id="887381519">
      <w:bodyDiv w:val="1"/>
      <w:marLeft w:val="0"/>
      <w:marRight w:val="0"/>
      <w:marTop w:val="0"/>
      <w:marBottom w:val="0"/>
      <w:divBdr>
        <w:top w:val="none" w:sz="0" w:space="0" w:color="auto"/>
        <w:left w:val="none" w:sz="0" w:space="0" w:color="auto"/>
        <w:bottom w:val="none" w:sz="0" w:space="0" w:color="auto"/>
        <w:right w:val="none" w:sz="0" w:space="0" w:color="auto"/>
      </w:divBdr>
    </w:div>
    <w:div w:id="939293870">
      <w:bodyDiv w:val="1"/>
      <w:marLeft w:val="0"/>
      <w:marRight w:val="0"/>
      <w:marTop w:val="0"/>
      <w:marBottom w:val="0"/>
      <w:divBdr>
        <w:top w:val="none" w:sz="0" w:space="0" w:color="auto"/>
        <w:left w:val="none" w:sz="0" w:space="0" w:color="auto"/>
        <w:bottom w:val="none" w:sz="0" w:space="0" w:color="auto"/>
        <w:right w:val="none" w:sz="0" w:space="0" w:color="auto"/>
      </w:divBdr>
    </w:div>
    <w:div w:id="995886802">
      <w:bodyDiv w:val="1"/>
      <w:marLeft w:val="0"/>
      <w:marRight w:val="0"/>
      <w:marTop w:val="0"/>
      <w:marBottom w:val="0"/>
      <w:divBdr>
        <w:top w:val="none" w:sz="0" w:space="0" w:color="auto"/>
        <w:left w:val="none" w:sz="0" w:space="0" w:color="auto"/>
        <w:bottom w:val="none" w:sz="0" w:space="0" w:color="auto"/>
        <w:right w:val="none" w:sz="0" w:space="0" w:color="auto"/>
      </w:divBdr>
    </w:div>
    <w:div w:id="1023750700">
      <w:bodyDiv w:val="1"/>
      <w:marLeft w:val="0"/>
      <w:marRight w:val="0"/>
      <w:marTop w:val="0"/>
      <w:marBottom w:val="0"/>
      <w:divBdr>
        <w:top w:val="none" w:sz="0" w:space="0" w:color="auto"/>
        <w:left w:val="none" w:sz="0" w:space="0" w:color="auto"/>
        <w:bottom w:val="none" w:sz="0" w:space="0" w:color="auto"/>
        <w:right w:val="none" w:sz="0" w:space="0" w:color="auto"/>
      </w:divBdr>
    </w:div>
    <w:div w:id="1371564065">
      <w:bodyDiv w:val="1"/>
      <w:marLeft w:val="0"/>
      <w:marRight w:val="0"/>
      <w:marTop w:val="0"/>
      <w:marBottom w:val="0"/>
      <w:divBdr>
        <w:top w:val="none" w:sz="0" w:space="0" w:color="auto"/>
        <w:left w:val="none" w:sz="0" w:space="0" w:color="auto"/>
        <w:bottom w:val="none" w:sz="0" w:space="0" w:color="auto"/>
        <w:right w:val="none" w:sz="0" w:space="0" w:color="auto"/>
      </w:divBdr>
    </w:div>
    <w:div w:id="1378580297">
      <w:bodyDiv w:val="1"/>
      <w:marLeft w:val="0"/>
      <w:marRight w:val="0"/>
      <w:marTop w:val="0"/>
      <w:marBottom w:val="0"/>
      <w:divBdr>
        <w:top w:val="none" w:sz="0" w:space="0" w:color="auto"/>
        <w:left w:val="none" w:sz="0" w:space="0" w:color="auto"/>
        <w:bottom w:val="none" w:sz="0" w:space="0" w:color="auto"/>
        <w:right w:val="none" w:sz="0" w:space="0" w:color="auto"/>
      </w:divBdr>
    </w:div>
    <w:div w:id="1470977635">
      <w:bodyDiv w:val="1"/>
      <w:marLeft w:val="0"/>
      <w:marRight w:val="0"/>
      <w:marTop w:val="0"/>
      <w:marBottom w:val="0"/>
      <w:divBdr>
        <w:top w:val="none" w:sz="0" w:space="0" w:color="auto"/>
        <w:left w:val="none" w:sz="0" w:space="0" w:color="auto"/>
        <w:bottom w:val="none" w:sz="0" w:space="0" w:color="auto"/>
        <w:right w:val="none" w:sz="0" w:space="0" w:color="auto"/>
      </w:divBdr>
    </w:div>
    <w:div w:id="1653486993">
      <w:bodyDiv w:val="1"/>
      <w:marLeft w:val="0"/>
      <w:marRight w:val="0"/>
      <w:marTop w:val="0"/>
      <w:marBottom w:val="0"/>
      <w:divBdr>
        <w:top w:val="none" w:sz="0" w:space="0" w:color="auto"/>
        <w:left w:val="none" w:sz="0" w:space="0" w:color="auto"/>
        <w:bottom w:val="none" w:sz="0" w:space="0" w:color="auto"/>
        <w:right w:val="none" w:sz="0" w:space="0" w:color="auto"/>
      </w:divBdr>
      <w:divsChild>
        <w:div w:id="509370280">
          <w:marLeft w:val="475"/>
          <w:marRight w:val="0"/>
          <w:marTop w:val="77"/>
          <w:marBottom w:val="120"/>
          <w:divBdr>
            <w:top w:val="none" w:sz="0" w:space="0" w:color="auto"/>
            <w:left w:val="none" w:sz="0" w:space="0" w:color="auto"/>
            <w:bottom w:val="none" w:sz="0" w:space="0" w:color="auto"/>
            <w:right w:val="none" w:sz="0" w:space="0" w:color="auto"/>
          </w:divBdr>
        </w:div>
      </w:divsChild>
    </w:div>
    <w:div w:id="1786001858">
      <w:bodyDiv w:val="1"/>
      <w:marLeft w:val="0"/>
      <w:marRight w:val="0"/>
      <w:marTop w:val="0"/>
      <w:marBottom w:val="0"/>
      <w:divBdr>
        <w:top w:val="none" w:sz="0" w:space="0" w:color="auto"/>
        <w:left w:val="none" w:sz="0" w:space="0" w:color="auto"/>
        <w:bottom w:val="none" w:sz="0" w:space="0" w:color="auto"/>
        <w:right w:val="none" w:sz="0" w:space="0" w:color="auto"/>
      </w:divBdr>
    </w:div>
    <w:div w:id="1931771340">
      <w:bodyDiv w:val="1"/>
      <w:marLeft w:val="0"/>
      <w:marRight w:val="0"/>
      <w:marTop w:val="0"/>
      <w:marBottom w:val="0"/>
      <w:divBdr>
        <w:top w:val="none" w:sz="0" w:space="0" w:color="auto"/>
        <w:left w:val="none" w:sz="0" w:space="0" w:color="auto"/>
        <w:bottom w:val="none" w:sz="0" w:space="0" w:color="auto"/>
        <w:right w:val="none" w:sz="0" w:space="0" w:color="auto"/>
      </w:divBdr>
    </w:div>
    <w:div w:id="200836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footer" Target="footer3.xml"/><Relationship Id="rId21" Type="http://schemas.openxmlformats.org/officeDocument/2006/relationships/diagramColors" Target="diagrams/colors1.xml"/><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chart" Target="charts/chart47.xml"/><Relationship Id="rId89" Type="http://schemas.microsoft.com/office/2007/relationships/diagramDrawing" Target="diagrams/drawing2.xml"/><Relationship Id="rId112" Type="http://schemas.openxmlformats.org/officeDocument/2006/relationships/chart" Target="charts/chart62.xml"/><Relationship Id="rId16" Type="http://schemas.openxmlformats.org/officeDocument/2006/relationships/hyperlink" Target="http://www.rpo.wzp.pl" TargetMode="External"/><Relationship Id="rId107" Type="http://schemas.openxmlformats.org/officeDocument/2006/relationships/image" Target="media/image18.emf"/><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image" Target="media/image5.emf"/><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chart" Target="charts/chart39.xml"/><Relationship Id="rId74" Type="http://schemas.openxmlformats.org/officeDocument/2006/relationships/image" Target="media/image12.png"/><Relationship Id="rId79" Type="http://schemas.openxmlformats.org/officeDocument/2006/relationships/chart" Target="charts/chart43.xml"/><Relationship Id="rId87" Type="http://schemas.openxmlformats.org/officeDocument/2006/relationships/diagramQuickStyle" Target="diagrams/quickStyle2.xml"/><Relationship Id="rId102" Type="http://schemas.openxmlformats.org/officeDocument/2006/relationships/chart" Target="charts/chart54.xml"/><Relationship Id="rId110" Type="http://schemas.openxmlformats.org/officeDocument/2006/relationships/chart" Target="charts/chart60.xml"/><Relationship Id="rId115" Type="http://schemas.openxmlformats.org/officeDocument/2006/relationships/chart" Target="charts/chart65.xml"/><Relationship Id="rId123"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chart" Target="charts/chart34.xml"/><Relationship Id="rId82" Type="http://schemas.openxmlformats.org/officeDocument/2006/relationships/chart" Target="charts/chart46.xml"/><Relationship Id="rId90" Type="http://schemas.openxmlformats.org/officeDocument/2006/relationships/diagramData" Target="diagrams/data3.xml"/><Relationship Id="rId95" Type="http://schemas.openxmlformats.org/officeDocument/2006/relationships/chart" Target="charts/chart48.xml"/><Relationship Id="rId19" Type="http://schemas.openxmlformats.org/officeDocument/2006/relationships/diagramLayout" Target="diagrams/layout1.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footer" Target="footer2.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image" Target="media/image7.png"/><Relationship Id="rId77" Type="http://schemas.openxmlformats.org/officeDocument/2006/relationships/image" Target="media/image15.png"/><Relationship Id="rId100" Type="http://schemas.openxmlformats.org/officeDocument/2006/relationships/chart" Target="charts/chart53.xml"/><Relationship Id="rId105" Type="http://schemas.openxmlformats.org/officeDocument/2006/relationships/image" Target="media/image17.emf"/><Relationship Id="rId113" Type="http://schemas.openxmlformats.org/officeDocument/2006/relationships/chart" Target="charts/chart63.xm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4.xml"/><Relationship Id="rId72" Type="http://schemas.openxmlformats.org/officeDocument/2006/relationships/image" Target="media/image10.png"/><Relationship Id="rId80" Type="http://schemas.openxmlformats.org/officeDocument/2006/relationships/chart" Target="charts/chart44.xml"/><Relationship Id="rId85" Type="http://schemas.openxmlformats.org/officeDocument/2006/relationships/diagramData" Target="diagrams/data2.xml"/><Relationship Id="rId93" Type="http://schemas.openxmlformats.org/officeDocument/2006/relationships/diagramColors" Target="diagrams/colors3.xml"/><Relationship Id="rId98" Type="http://schemas.openxmlformats.org/officeDocument/2006/relationships/chart" Target="charts/chart5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po.wzp.pl" TargetMode="External"/><Relationship Id="rId25" Type="http://schemas.openxmlformats.org/officeDocument/2006/relationships/chart" Target="charts/chart3.xml"/><Relationship Id="rId33" Type="http://schemas.openxmlformats.org/officeDocument/2006/relationships/image" Target="media/image6.emf"/><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chart" Target="charts/chart40.xml"/><Relationship Id="rId103" Type="http://schemas.openxmlformats.org/officeDocument/2006/relationships/chart" Target="charts/chart55.xml"/><Relationship Id="rId108" Type="http://schemas.openxmlformats.org/officeDocument/2006/relationships/chart" Target="charts/chart58.xml"/><Relationship Id="rId116" Type="http://schemas.openxmlformats.org/officeDocument/2006/relationships/header" Target="header1.xml"/><Relationship Id="rId20" Type="http://schemas.openxmlformats.org/officeDocument/2006/relationships/diagramQuickStyle" Target="diagrams/quickStyle1.xml"/><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chart" Target="charts/chart35.xm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image" Target="media/image16.png"/><Relationship Id="rId88" Type="http://schemas.openxmlformats.org/officeDocument/2006/relationships/diagramColors" Target="diagrams/colors2.xml"/><Relationship Id="rId91" Type="http://schemas.openxmlformats.org/officeDocument/2006/relationships/diagramLayout" Target="diagrams/layout3.xml"/><Relationship Id="rId96" Type="http://schemas.openxmlformats.org/officeDocument/2006/relationships/chart" Target="charts/chart49.xml"/><Relationship Id="rId111" Type="http://schemas.openxmlformats.org/officeDocument/2006/relationships/chart" Target="charts/chart6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corys@ecorys.pl"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chart" Target="charts/chart30.xml"/><Relationship Id="rId106" Type="http://schemas.openxmlformats.org/officeDocument/2006/relationships/chart" Target="charts/chart57.xml"/><Relationship Id="rId114" Type="http://schemas.openxmlformats.org/officeDocument/2006/relationships/chart" Target="charts/chart64.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image" Target="media/image11.png"/><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diagramLayout" Target="diagrams/layout2.xml"/><Relationship Id="rId94" Type="http://schemas.microsoft.com/office/2007/relationships/diagramDrawing" Target="diagrams/drawing3.xml"/><Relationship Id="rId99" Type="http://schemas.openxmlformats.org/officeDocument/2006/relationships/chart" Target="charts/chart52.xml"/><Relationship Id="rId101" Type="http://schemas.openxmlformats.org/officeDocument/2006/relationships/hyperlink" Target="http://www.rpo.wzp.p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valu@evalu.pl" TargetMode="External"/><Relationship Id="rId18" Type="http://schemas.openxmlformats.org/officeDocument/2006/relationships/diagramData" Target="diagrams/data1.xml"/><Relationship Id="rId39" Type="http://schemas.openxmlformats.org/officeDocument/2006/relationships/chart" Target="charts/chart12.xml"/><Relationship Id="rId109" Type="http://schemas.openxmlformats.org/officeDocument/2006/relationships/chart" Target="charts/chart59.xml"/><Relationship Id="rId34" Type="http://schemas.openxmlformats.org/officeDocument/2006/relationships/chart" Target="charts/chart7.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image" Target="media/image14.png"/><Relationship Id="rId97" Type="http://schemas.openxmlformats.org/officeDocument/2006/relationships/chart" Target="charts/chart50.xml"/><Relationship Id="rId104" Type="http://schemas.openxmlformats.org/officeDocument/2006/relationships/chart" Target="charts/chart56.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diagramQuickStyle" Target="diagrams/quickStyle3.xml"/><Relationship Id="rId2" Type="http://schemas.openxmlformats.org/officeDocument/2006/relationships/customXml" Target="../customXml/item2.xml"/><Relationship Id="rId2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s.wzp.pl" TargetMode="External"/><Relationship Id="rId1" Type="http://schemas.openxmlformats.org/officeDocument/2006/relationships/hyperlink" Target="https://strateg.stat.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92.168.0.2\dysk%20Paw&#322;a\zz_MID\07_wska&#378;niki%20-%20diagnozy%20spolgosp\PI%206b_wod_kan\46,%2047,%2048_Korzystaj&#261;cy%20z%20instalacji%20w%20%25%20og&#243;&#322;u%20ludno&#347;ci.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192.168.0.2\dysk%20Paw&#322;a\zz_MID\07_wska&#378;niki%20-%20diagnozy%20spolgosp\PI%206b_wod_kan\46,%2047,%2048_Korzystaj&#261;cy%20z%20instalacji%20w%20%25%20og&#243;&#322;u%20ludno&#347;ci.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192.168.0.2\dysk%20Paw&#322;a\zz_MID\07_wska&#378;niki%20-%20diagnozy%20spolgosp\PI%206b_wod_kan\46,%2047,%2048_Korzystaj&#261;cy%20z%20instalacji%20w%20%25%20og&#243;&#322;u%20ludno&#347;ci.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192.168.0.2\dysk%20Paw&#322;a\zz_MID\07_wska&#378;niki%20-%20diagnozy%20spolgosp\PI%206a_odpady\zz_wykresiwa%20RK.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192.168.0.2\dysk%20Paw&#322;a\zz_MID\07_wska&#378;niki%20-%20diagnozy%20spolgosp\PI%206a_odpady\zz_wykresiwa%20RK.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Evalu\Desktop\mid-term%20lubelski\lublin%2025.02\RCz%20Lublin%20Wska&#378;niki%2026.02.2019%20FIN.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Zuzia\AppData\Local\Temp\Rar$DIa7520.34495\Analizy%20na%20wskaznikach_efrr_wzp_06032019.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Klaudyna\Desktop\PAULINA\mid%20term%20zachodniopomorskie\wykresy%20do%20analizy%20spo&#322;%20-%20gosdp.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Klaudyna\Desktop\PAULINA\mid%20term%20zachodniopomorskie\wykresy%20do%20analizy%20spo&#322;%20-%20gosdp.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Klaudyna\Desktop\PAULINA\mid%20term%20zachodniopomorskie\wykresy%20do%20analizy%20spo&#322;%20-%20gosdp.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Klaudyna\Desktop\PAULINA\mid%20term%20zachodniopomorskie\wykresy%20do%20analizy%20spo&#322;%20-%20gosdp.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Klaudyna\Desktop\PAULINA\mid%20term%20zachodniopomorskie\wykresy%20do%20analizy%20spo&#322;%20-%20gosdp.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Dokumenty\Aktudok\Evalu\MIDTERMY\RPO%20Zachodniopomorskie\RK%20Edukacja\Diagnoza\WYCH_3534_XTAB_20190317145729.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Dokumenty\Aktudok\Evalu\MIDTERMY\RPO%20Zachodniopomorskie\RK%20Edukacja\Diagnoza\WYCH_3534_XTAB_20190317145729.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Dokumenty\Aktudok\Evalu\MIDTERMY\RPO%20Zachodniopomorskie\RK%20Edukacja\Diagnoza\WYCH_3534_XTAB_20190317145729.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Zuzia\Documents\mid%20term%20zachpom\wykresy.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Zuzia\Documents\mid%20term%20zachpom\15.04nowe,%20nowe%20wykresy%20plus%20poprawione.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Zuzia\Documents\mid%20term%20zachpom\nowe%20wykresy.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Zuzia\AppData\Local\Temp\Rar$DIa5240.6359\Wyniki%20WZ%20potencja&#322;.xls"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Zuzia\AppData\Local\Temp\Rar$DIa5240.6359\Wyniki%20WZ%20potencja&#322;.xls"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Zuzia\Documents\mid%20term%20zachpom\nowe%20wykresy.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Zuzia\AppData\Local\Temp\Rar$DIa5240.6359\Wyniki%20WZ%20potencja&#322;.xls"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lenovo\OneDrive\seba\realizowane\mid%20term%20WZP\RK\PI%202c\Wykresy%20PI%202c_ZIT%20KS.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PC\Documents\OLA\______PROJEKTY_____\mid%20term%20WZ\RK\zzz_robocze%20AK\zarz&#261;dzanie%20RPO\ak_Liczba%20etat&#243;w%20i%20os&#243;b%20ZACH-POM%20i%20LUBELSKIE.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D:\mid%20term%20WZ\zzz_robocze%20AK\zarz&#261;dzanie%20RPO\uwagi\zmiany%20harmonogram&#243;w%20nabor&#243;w.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D:\mid%20term%20WZ\zzz_robocze%20AK\zarz&#261;dzanie%20RPO\wykresy%20ak%20zarzadzanie_Wyniki%20WZ%20wnioskodawcy.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Olkers\Documents\DOKSY%20OLA\EVALU\__Projekty__\mid%20term%20WZ\RK\CAWI%20benki%20i%20wnioskodawcy\ak_wykresy%20polityki%20horyzont_Wyniki%20WZ%20wnioskodawcy.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Olkers\Documents\DOKSY%20OLA\EVALU\__Projekty__\mid%20term%20WZ\RK\CAWI%20benki%20i%20wnioskodawcy\ak_wykresy%20polityki%20horyzont_Wyniki%20WZ%20wnioskodawcy.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Olkers\Documents\DOKSY%20OLA\EVALU\__Projekty__\mid%20term%20WZ\RK\CAWI%20benki%20i%20wnioskodawcy\ak_wykresy%20polityki%20horyzont_Wyniki%20WZ%20wnioskodawcy.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Olkers\Documents\DOKSY%20OLA\EVALU\__Projekty__\mid%20term%20WZ\RK\CAWI%20benki%20i%20wnioskodawcy\ak_wykresy%20polityki%20horyzont_Wyniki%20WZ%20wnioskodawcy.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Olkers\Documents\DOKSY%20OLA\EVALU\__Projekty__\mid%20term%20WZ\RK\CAWI%20benki%20i%20wnioskodawcy\ak_wykresy%20polityki%20horyzont_Wyniki%20WZ%20wnioskodawcy.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Sonia\Desktop\Ecorys_midtermy\SE2020_wykresy_zachpom_1704.xlsx" TargetMode="External"/><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atarzyna.oblakowska\Desktop\luty%20wypluty\Zachodniopon\RK%20na%2014032018\Tabela%20wska&#378;niki%20diagnostyczne%20Szczeci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atarzyna.oblakowska\Desktop\luty%20wypluty\Zachodniopon\RK%20na%2014032018\Tabela%20wska&#378;niki%20diagnostyczne%20Szczeci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aulina.gawrys\Desktop\Desk%20mid-termy\Dane%20z%20GUS\sprzeda&#380;%20energii%20cieplnej.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TABLICA!$A$64</c:f>
              <c:strCache>
                <c:ptCount val="1"/>
                <c:pt idx="0">
                  <c:v>Zachodniopomorskie</c:v>
                </c:pt>
              </c:strCache>
            </c:strRef>
          </c:tx>
          <c:marker>
            <c:symbol val="none"/>
          </c:marker>
          <c:dLbls>
            <c:dLbl>
              <c:idx val="1"/>
              <c:layout>
                <c:manualLayout>
                  <c:x val="-6.4056737588652476E-2"/>
                  <c:y val="-8.95105061019915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33-43CD-B996-C109BDF14F09}"/>
                </c:ext>
                <c:ext xmlns:c15="http://schemas.microsoft.com/office/drawing/2012/chart" uri="{CE6537A1-D6FC-4f65-9D91-7224C49458BB}"/>
              </c:extLst>
            </c:dLbl>
            <c:dLbl>
              <c:idx val="4"/>
              <c:layout>
                <c:manualLayout>
                  <c:x val="-3.5687943262411349E-2"/>
                  <c:y val="-8.95105061019914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33-43CD-B996-C109BDF14F09}"/>
                </c:ext>
                <c:ext xmlns:c15="http://schemas.microsoft.com/office/drawing/2012/chart" uri="{CE6537A1-D6FC-4f65-9D91-7224C49458BB}"/>
              </c:extLst>
            </c:dLbl>
            <c:spPr>
              <a:noFill/>
              <a:ln w="25318">
                <a:noFill/>
              </a:ln>
            </c:spPr>
            <c:txPr>
              <a:bodyPr/>
              <a:lstStyle/>
              <a:p>
                <a:pPr>
                  <a:defRPr sz="798">
                    <a:solidFill>
                      <a:schemeClr val="accent5">
                        <a:lumMod val="75000"/>
                      </a:schemeClr>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TABLICA!$B$63:$F$63</c:f>
              <c:strCache>
                <c:ptCount val="5"/>
                <c:pt idx="0">
                  <c:v>2012</c:v>
                </c:pt>
                <c:pt idx="1">
                  <c:v>2013</c:v>
                </c:pt>
                <c:pt idx="2">
                  <c:v>2014</c:v>
                </c:pt>
                <c:pt idx="3">
                  <c:v>2015</c:v>
                </c:pt>
                <c:pt idx="4">
                  <c:v>2016</c:v>
                </c:pt>
              </c:strCache>
            </c:strRef>
          </c:cat>
          <c:val>
            <c:numRef>
              <c:f>TABLICA!$B$64:$F$64</c:f>
              <c:numCache>
                <c:formatCode>#,##0.00</c:formatCode>
                <c:ptCount val="5"/>
                <c:pt idx="0">
                  <c:v>0.37</c:v>
                </c:pt>
                <c:pt idx="1">
                  <c:v>0.3</c:v>
                </c:pt>
                <c:pt idx="2">
                  <c:v>0.28000000000000003</c:v>
                </c:pt>
                <c:pt idx="3">
                  <c:v>0.33</c:v>
                </c:pt>
                <c:pt idx="4">
                  <c:v>0.27</c:v>
                </c:pt>
              </c:numCache>
            </c:numRef>
          </c:val>
          <c:smooth val="0"/>
          <c:extLst xmlns:c16r2="http://schemas.microsoft.com/office/drawing/2015/06/chart">
            <c:ext xmlns:c16="http://schemas.microsoft.com/office/drawing/2014/chart" uri="{C3380CC4-5D6E-409C-BE32-E72D297353CC}">
              <c16:uniqueId val="{00000002-7733-43CD-B996-C109BDF14F09}"/>
            </c:ext>
          </c:extLst>
        </c:ser>
        <c:ser>
          <c:idx val="1"/>
          <c:order val="1"/>
          <c:tx>
            <c:strRef>
              <c:f>TABLICA!$A$65</c:f>
              <c:strCache>
                <c:ptCount val="1"/>
                <c:pt idx="0">
                  <c:v>POLSKA</c:v>
                </c:pt>
              </c:strCache>
            </c:strRef>
          </c:tx>
          <c:marker>
            <c:symbol val="none"/>
          </c:marker>
          <c:dLbls>
            <c:dLbl>
              <c:idx val="0"/>
              <c:layout>
                <c:manualLayout>
                  <c:x val="-4.4198581560283688E-2"/>
                  <c:y val="6.86815842934887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33-43CD-B996-C109BDF14F09}"/>
                </c:ext>
                <c:ext xmlns:c15="http://schemas.microsoft.com/office/drawing/2012/chart" uri="{CE6537A1-D6FC-4f65-9D91-7224C49458BB}"/>
              </c:extLst>
            </c:dLbl>
            <c:dLbl>
              <c:idx val="1"/>
              <c:layout>
                <c:manualLayout>
                  <c:x val="-4.4198581560283688E-2"/>
                  <c:y val="6.86815842934887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33-43CD-B996-C109BDF14F09}"/>
                </c:ext>
                <c:ext xmlns:c15="http://schemas.microsoft.com/office/drawing/2012/chart" uri="{CE6537A1-D6FC-4f65-9D91-7224C49458BB}"/>
              </c:extLst>
            </c:dLbl>
            <c:dLbl>
              <c:idx val="2"/>
              <c:layout>
                <c:manualLayout>
                  <c:x val="-4.4198581560283688E-2"/>
                  <c:y val="7.62145409789877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33-43CD-B996-C109BDF14F09}"/>
                </c:ext>
                <c:ext xmlns:c15="http://schemas.microsoft.com/office/drawing/2012/chart" uri="{CE6537A1-D6FC-4f65-9D91-7224C49458BB}"/>
              </c:extLst>
            </c:dLbl>
            <c:dLbl>
              <c:idx val="3"/>
              <c:layout>
                <c:manualLayout>
                  <c:x val="-4.9872340425531916E-2"/>
                  <c:y val="7.62145409789877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33-43CD-B996-C109BDF14F09}"/>
                </c:ext>
                <c:ext xmlns:c15="http://schemas.microsoft.com/office/drawing/2012/chart" uri="{CE6537A1-D6FC-4f65-9D91-7224C49458BB}"/>
              </c:extLst>
            </c:dLbl>
            <c:dLbl>
              <c:idx val="4"/>
              <c:layout>
                <c:manualLayout>
                  <c:x val="-4.4198581560283792E-2"/>
                  <c:y val="9.12804543499858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33-43CD-B996-C109BDF14F09}"/>
                </c:ext>
                <c:ext xmlns:c15="http://schemas.microsoft.com/office/drawing/2012/chart" uri="{CE6537A1-D6FC-4f65-9D91-7224C49458BB}"/>
              </c:extLst>
            </c:dLbl>
            <c:spPr>
              <a:noFill/>
              <a:ln w="25318">
                <a:noFill/>
              </a:ln>
            </c:spPr>
            <c:txPr>
              <a:bodyPr/>
              <a:lstStyle/>
              <a:p>
                <a:pPr>
                  <a:defRPr sz="798"/>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TABLICA!$B$63:$F$63</c:f>
              <c:strCache>
                <c:ptCount val="5"/>
                <c:pt idx="0">
                  <c:v>2012</c:v>
                </c:pt>
                <c:pt idx="1">
                  <c:v>2013</c:v>
                </c:pt>
                <c:pt idx="2">
                  <c:v>2014</c:v>
                </c:pt>
                <c:pt idx="3">
                  <c:v>2015</c:v>
                </c:pt>
                <c:pt idx="4">
                  <c:v>2016</c:v>
                </c:pt>
              </c:strCache>
            </c:strRef>
          </c:cat>
          <c:val>
            <c:numRef>
              <c:f>TABLICA!$B$65:$F$65</c:f>
              <c:numCache>
                <c:formatCode>#,##0.00</c:formatCode>
                <c:ptCount val="5"/>
                <c:pt idx="0">
                  <c:v>0.88</c:v>
                </c:pt>
                <c:pt idx="1">
                  <c:v>0.87</c:v>
                </c:pt>
                <c:pt idx="2">
                  <c:v>0.94</c:v>
                </c:pt>
                <c:pt idx="3">
                  <c:v>1</c:v>
                </c:pt>
                <c:pt idx="4">
                  <c:v>0.97</c:v>
                </c:pt>
              </c:numCache>
            </c:numRef>
          </c:val>
          <c:smooth val="0"/>
          <c:extLst xmlns:c16r2="http://schemas.microsoft.com/office/drawing/2015/06/chart">
            <c:ext xmlns:c16="http://schemas.microsoft.com/office/drawing/2014/chart" uri="{C3380CC4-5D6E-409C-BE32-E72D297353CC}">
              <c16:uniqueId val="{00000008-7733-43CD-B996-C109BDF14F09}"/>
            </c:ext>
          </c:extLst>
        </c:ser>
        <c:dLbls>
          <c:showLegendKey val="0"/>
          <c:showVal val="0"/>
          <c:showCatName val="0"/>
          <c:showSerName val="0"/>
          <c:showPercent val="0"/>
          <c:showBubbleSize val="0"/>
        </c:dLbls>
        <c:smooth val="0"/>
        <c:axId val="417002048"/>
        <c:axId val="417002440"/>
      </c:lineChart>
      <c:catAx>
        <c:axId val="417002048"/>
        <c:scaling>
          <c:orientation val="minMax"/>
        </c:scaling>
        <c:delete val="0"/>
        <c:axPos val="b"/>
        <c:numFmt formatCode="General" sourceLinked="0"/>
        <c:majorTickMark val="out"/>
        <c:minorTickMark val="none"/>
        <c:tickLblPos val="nextTo"/>
        <c:crossAx val="417002440"/>
        <c:crosses val="autoZero"/>
        <c:auto val="1"/>
        <c:lblAlgn val="ctr"/>
        <c:lblOffset val="100"/>
        <c:noMultiLvlLbl val="0"/>
      </c:catAx>
      <c:valAx>
        <c:axId val="417002440"/>
        <c:scaling>
          <c:orientation val="minMax"/>
        </c:scaling>
        <c:delete val="0"/>
        <c:axPos val="l"/>
        <c:majorGridlines/>
        <c:numFmt formatCode="#,##0.00" sourceLinked="1"/>
        <c:majorTickMark val="out"/>
        <c:minorTickMark val="none"/>
        <c:tickLblPos val="nextTo"/>
        <c:crossAx val="417002048"/>
        <c:crosses val="autoZero"/>
        <c:crossBetween val="between"/>
      </c:valAx>
    </c:plotArea>
    <c:legend>
      <c:legendPos val="r"/>
      <c:overlay val="0"/>
    </c:legend>
    <c:plotVisOnly val="1"/>
    <c:dispBlanksAs val="gap"/>
    <c:showDLblsOverMax val="0"/>
  </c:chart>
  <c:txPr>
    <a:bodyPr/>
    <a:lstStyle/>
    <a:p>
      <a:pPr>
        <a:defRPr sz="898"/>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TABLICA!$A$19</c:f>
              <c:strCache>
                <c:ptCount val="1"/>
                <c:pt idx="0">
                  <c:v>ZACHODNIOPOMORSKIE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TABLICA!$B$2:$G$2</c:f>
              <c:strCache>
                <c:ptCount val="6"/>
                <c:pt idx="0">
                  <c:v>2012</c:v>
                </c:pt>
                <c:pt idx="1">
                  <c:v>2013</c:v>
                </c:pt>
                <c:pt idx="2">
                  <c:v>2014</c:v>
                </c:pt>
                <c:pt idx="3">
                  <c:v>2015</c:v>
                </c:pt>
                <c:pt idx="4">
                  <c:v>2016</c:v>
                </c:pt>
                <c:pt idx="5">
                  <c:v>2017</c:v>
                </c:pt>
              </c:strCache>
            </c:strRef>
          </c:cat>
          <c:val>
            <c:numRef>
              <c:f>TABLICA!$B$19:$G$19</c:f>
              <c:numCache>
                <c:formatCode>#,##0.0</c:formatCode>
                <c:ptCount val="6"/>
                <c:pt idx="0">
                  <c:v>181</c:v>
                </c:pt>
                <c:pt idx="1">
                  <c:v>177.1</c:v>
                </c:pt>
                <c:pt idx="2">
                  <c:v>175</c:v>
                </c:pt>
                <c:pt idx="3">
                  <c:v>176.7</c:v>
                </c:pt>
                <c:pt idx="4">
                  <c:v>179.5</c:v>
                </c:pt>
                <c:pt idx="5">
                  <c:v>180.1</c:v>
                </c:pt>
              </c:numCache>
            </c:numRef>
          </c:val>
          <c:smooth val="0"/>
          <c:extLst xmlns:c16r2="http://schemas.microsoft.com/office/drawing/2015/06/chart">
            <c:ext xmlns:c16="http://schemas.microsoft.com/office/drawing/2014/chart" uri="{C3380CC4-5D6E-409C-BE32-E72D297353CC}">
              <c16:uniqueId val="{00000000-2A1A-48D0-A406-667D0749E970}"/>
            </c:ext>
          </c:extLst>
        </c:ser>
        <c:dLbls>
          <c:showLegendKey val="0"/>
          <c:showVal val="0"/>
          <c:showCatName val="0"/>
          <c:showSerName val="0"/>
          <c:showPercent val="0"/>
          <c:showBubbleSize val="0"/>
        </c:dLbls>
        <c:smooth val="0"/>
        <c:axId val="361245264"/>
        <c:axId val="361249184"/>
      </c:lineChart>
      <c:catAx>
        <c:axId val="3612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9184"/>
        <c:crosses val="autoZero"/>
        <c:auto val="1"/>
        <c:lblAlgn val="ctr"/>
        <c:lblOffset val="100"/>
        <c:noMultiLvlLbl val="0"/>
      </c:catAx>
      <c:valAx>
        <c:axId val="36124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5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73" cap="rnd">
              <a:solidFill>
                <a:schemeClr val="accent1"/>
              </a:solidFill>
              <a:round/>
            </a:ln>
            <a:effectLst/>
          </c:spPr>
          <c:marker>
            <c:symbol val="circle"/>
            <c:size val="3"/>
            <c:spPr>
              <a:solidFill>
                <a:schemeClr val="accent1"/>
              </a:solidFill>
              <a:ln w="9525">
                <a:solidFill>
                  <a:schemeClr val="accent1"/>
                </a:solidFill>
              </a:ln>
              <a:effectLst/>
            </c:spPr>
          </c:marker>
          <c:dLbls>
            <c:dLbl>
              <c:idx val="1"/>
              <c:layout>
                <c:manualLayout>
                  <c:x val="-4.4704986039424514E-2"/>
                  <c:y val="-8.63631817158861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A6-442B-8479-0998E3D557CC}"/>
                </c:ext>
                <c:ext xmlns:c15="http://schemas.microsoft.com/office/drawing/2012/chart" uri="{CE6537A1-D6FC-4f65-9D91-7224C49458BB}"/>
              </c:extLst>
            </c:dLbl>
            <c:dLbl>
              <c:idx val="4"/>
              <c:layout>
                <c:manualLayout>
                  <c:x val="-4.4704986039424535E-2"/>
                  <c:y val="-6.7682507976059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A6-442B-8479-0998E3D557CC}"/>
                </c:ext>
                <c:ext xmlns:c15="http://schemas.microsoft.com/office/drawing/2012/chart" uri="{CE6537A1-D6FC-4f65-9D91-7224C49458BB}"/>
              </c:extLst>
            </c:dLbl>
            <c:dLbl>
              <c:idx val="5"/>
              <c:layout>
                <c:manualLayout>
                  <c:x val="-4.47049860394245E-2"/>
                  <c:y val="-8.16930132809293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A6-442B-8479-0998E3D557CC}"/>
                </c:ext>
                <c:ext xmlns:c15="http://schemas.microsoft.com/office/drawing/2012/chart" uri="{CE6537A1-D6FC-4f65-9D91-7224C49458BB}"/>
              </c:extLst>
            </c:dLbl>
            <c:dLbl>
              <c:idx val="6"/>
              <c:layout>
                <c:manualLayout>
                  <c:x val="-4.47049860394245E-2"/>
                  <c:y val="-8.16930132809293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A6-442B-8479-0998E3D557CC}"/>
                </c:ext>
                <c:ext xmlns:c15="http://schemas.microsoft.com/office/drawing/2012/chart" uri="{CE6537A1-D6FC-4f65-9D91-7224C49458BB}"/>
              </c:extLst>
            </c:dLbl>
            <c:dLbl>
              <c:idx val="8"/>
              <c:layout>
                <c:manualLayout>
                  <c:x val="-4.47049860394245E-2"/>
                  <c:y val="-8.636318171588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7A6-442B-8479-0998E3D557CC}"/>
                </c:ext>
                <c:ext xmlns:c15="http://schemas.microsoft.com/office/drawing/2012/chart" uri="{CE6537A1-D6FC-4f65-9D91-7224C49458BB}"/>
              </c:extLst>
            </c:dLbl>
            <c:dLbl>
              <c:idx val="9"/>
              <c:layout>
                <c:manualLayout>
                  <c:x val="-3.1945815385517003E-2"/>
                  <c:y val="-7.23526764110160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7A6-442B-8479-0998E3D557CC}"/>
                </c:ext>
                <c:ext xmlns:c15="http://schemas.microsoft.com/office/drawing/2012/chart" uri="{CE6537A1-D6FC-4f65-9D91-7224C49458BB}"/>
              </c:extLst>
            </c:dLbl>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49" cap="rnd">
                <a:solidFill>
                  <a:schemeClr val="tx1">
                    <a:lumMod val="75000"/>
                    <a:lumOff val="25000"/>
                  </a:schemeClr>
                </a:solidFill>
                <a:prstDash val="sysDot"/>
              </a:ln>
              <a:effectLst/>
            </c:spPr>
            <c:trendlineType val="log"/>
            <c:dispRSqr val="0"/>
            <c:dispEq val="0"/>
          </c:trendline>
          <c:cat>
            <c:numRef>
              <c:f>Arkusz1!$B$42:$R$42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Arkusz1!$B$43:$R$43</c:f>
              <c:numCache>
                <c:formatCode>0.00</c:formatCode>
                <c:ptCount val="17"/>
                <c:pt idx="0">
                  <c:v>120.57808055041654</c:v>
                </c:pt>
                <c:pt idx="1">
                  <c:v>123.13027124947249</c:v>
                </c:pt>
                <c:pt idx="2">
                  <c:v>120.76622152338732</c:v>
                </c:pt>
                <c:pt idx="3">
                  <c:v>142.53152965660769</c:v>
                </c:pt>
                <c:pt idx="4">
                  <c:v>127.74598864576045</c:v>
                </c:pt>
                <c:pt idx="5">
                  <c:v>132.8988446952994</c:v>
                </c:pt>
                <c:pt idx="6">
                  <c:v>159.63891160597703</c:v>
                </c:pt>
                <c:pt idx="7">
                  <c:v>157.62834852748981</c:v>
                </c:pt>
                <c:pt idx="8">
                  <c:v>158.16397250856701</c:v>
                </c:pt>
                <c:pt idx="9">
                  <c:v>116.1006974333749</c:v>
                </c:pt>
                <c:pt idx="16" formatCode="General">
                  <c:v>148.88</c:v>
                </c:pt>
              </c:numCache>
            </c:numRef>
          </c:val>
          <c:smooth val="0"/>
          <c:extLst xmlns:c16r2="http://schemas.microsoft.com/office/drawing/2015/06/chart">
            <c:ext xmlns:c16="http://schemas.microsoft.com/office/drawing/2014/chart" uri="{C3380CC4-5D6E-409C-BE32-E72D297353CC}">
              <c16:uniqueId val="{00000007-87A6-442B-8479-0998E3D557CC}"/>
            </c:ext>
          </c:extLst>
        </c:ser>
        <c:dLbls>
          <c:showLegendKey val="0"/>
          <c:showVal val="0"/>
          <c:showCatName val="0"/>
          <c:showSerName val="0"/>
          <c:showPercent val="0"/>
          <c:showBubbleSize val="0"/>
        </c:dLbls>
        <c:marker val="1"/>
        <c:smooth val="0"/>
        <c:axId val="361250360"/>
        <c:axId val="361252712"/>
      </c:lineChart>
      <c:catAx>
        <c:axId val="36125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52712"/>
        <c:crosses val="autoZero"/>
        <c:auto val="1"/>
        <c:lblAlgn val="ctr"/>
        <c:lblOffset val="100"/>
        <c:noMultiLvlLbl val="0"/>
      </c:catAx>
      <c:valAx>
        <c:axId val="361252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50360"/>
        <c:crosses val="autoZero"/>
        <c:crossBetween val="between"/>
      </c:valAx>
      <c:spPr>
        <a:noFill/>
        <a:ln w="25413">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43" cap="rnd">
              <a:solidFill>
                <a:schemeClr val="accent1"/>
              </a:solidFill>
              <a:round/>
            </a:ln>
            <a:effectLst/>
          </c:spPr>
          <c:marker>
            <c:symbol val="circle"/>
            <c:size val="3"/>
            <c:spPr>
              <a:solidFill>
                <a:schemeClr val="accent1"/>
              </a:solidFill>
              <a:ln w="9514">
                <a:solidFill>
                  <a:schemeClr val="accent1"/>
                </a:solidFill>
              </a:ln>
              <a:effectLst/>
            </c:spPr>
          </c:marker>
          <c:dLbls>
            <c:dLbl>
              <c:idx val="1"/>
              <c:layout>
                <c:manualLayout>
                  <c:x val="-5.2597282260401744E-2"/>
                  <c:y val="-0.1101489467881769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96-425B-9041-613965AC2A96}"/>
                </c:ext>
                <c:ext xmlns:c15="http://schemas.microsoft.com/office/drawing/2012/chart" uri="{CE6537A1-D6FC-4f65-9D91-7224C49458BB}"/>
              </c:extLst>
            </c:dLbl>
            <c:dLbl>
              <c:idx val="3"/>
              <c:layout>
                <c:manualLayout>
                  <c:x val="-5.0808749994897602E-2"/>
                  <c:y val="-7.70615748925260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96-425B-9041-613965AC2A96}"/>
                </c:ext>
                <c:ext xmlns:c15="http://schemas.microsoft.com/office/drawing/2012/chart" uri="{CE6537A1-D6FC-4f65-9D91-7224C49458BB}"/>
              </c:extLst>
            </c:dLbl>
            <c:dLbl>
              <c:idx val="4"/>
              <c:layout>
                <c:manualLayout>
                  <c:x val="-5.0523668989276842E-2"/>
                  <c:y val="-4.8013037124982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96-425B-9041-613965AC2A96}"/>
                </c:ext>
                <c:ext xmlns:c15="http://schemas.microsoft.com/office/drawing/2012/chart" uri="{CE6537A1-D6FC-4f65-9D91-7224C49458BB}"/>
              </c:extLst>
            </c:dLbl>
            <c:dLbl>
              <c:idx val="5"/>
              <c:layout>
                <c:manualLayout>
                  <c:x val="-5.0523668989276807E-2"/>
                  <c:y val="-5.8369022068848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96-425B-9041-613965AC2A96}"/>
                </c:ext>
                <c:ext xmlns:c15="http://schemas.microsoft.com/office/drawing/2012/chart" uri="{CE6537A1-D6FC-4f65-9D91-7224C49458BB}"/>
              </c:extLst>
            </c:dLbl>
            <c:dLbl>
              <c:idx val="6"/>
              <c:layout>
                <c:manualLayout>
                  <c:x val="-5.0523668989276883E-2"/>
                  <c:y val="-9.46149693723783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96-425B-9041-613965AC2A96}"/>
                </c:ext>
                <c:ext xmlns:c15="http://schemas.microsoft.com/office/drawing/2012/chart" uri="{CE6537A1-D6FC-4f65-9D91-7224C49458BB}"/>
              </c:extLst>
            </c:dLbl>
            <c:dLbl>
              <c:idx val="7"/>
              <c:layout>
                <c:manualLayout>
                  <c:x val="-5.0523668989276807E-2"/>
                  <c:y val="-0.120504931732042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E96-425B-9041-613965AC2A96}"/>
                </c:ext>
                <c:ext xmlns:c15="http://schemas.microsoft.com/office/drawing/2012/chart" uri="{CE6537A1-D6FC-4f65-9D91-7224C49458BB}"/>
              </c:extLst>
            </c:dLbl>
            <c:dLbl>
              <c:idx val="9"/>
              <c:layout>
                <c:manualLayout>
                  <c:x val="-5.0523668989276731E-2"/>
                  <c:y val="-7.39029994846470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E96-425B-9041-613965AC2A96}"/>
                </c:ext>
                <c:ext xmlns:c15="http://schemas.microsoft.com/office/drawing/2012/chart" uri="{CE6537A1-D6FC-4f65-9D91-7224C49458BB}"/>
              </c:extLst>
            </c:dLbl>
            <c:spPr>
              <a:noFill/>
              <a:ln w="25396">
                <a:noFill/>
              </a:ln>
            </c:spPr>
            <c:txPr>
              <a:bodyPr rot="0" spcFirstLastPara="1" vertOverflow="ellipsis" vert="horz" wrap="square" lIns="38100" tIns="19050" rIns="38100" bIns="19050" anchor="ctr" anchorCtr="1">
                <a:spAutoFit/>
              </a:bodyPr>
              <a:lstStyle/>
              <a:p>
                <a:pPr>
                  <a:defRPr sz="798"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30" cap="rnd">
                <a:solidFill>
                  <a:schemeClr val="tx1">
                    <a:lumMod val="75000"/>
                    <a:lumOff val="25000"/>
                  </a:schemeClr>
                </a:solidFill>
                <a:prstDash val="sysDot"/>
              </a:ln>
              <a:effectLst/>
            </c:spPr>
            <c:trendlineType val="log"/>
            <c:dispRSqr val="0"/>
            <c:dispEq val="0"/>
          </c:trendline>
          <c:cat>
            <c:numRef>
              <c:f>Arkusz1!$B$62:$R$62</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Arkusz1!$B$63:$R$63</c:f>
              <c:numCache>
                <c:formatCode>#,##0</c:formatCode>
                <c:ptCount val="17"/>
                <c:pt idx="0">
                  <c:v>1012334.4</c:v>
                </c:pt>
                <c:pt idx="1">
                  <c:v>1219426.3999999999</c:v>
                </c:pt>
                <c:pt idx="2">
                  <c:v>1225546.5</c:v>
                </c:pt>
                <c:pt idx="3">
                  <c:v>1323427</c:v>
                </c:pt>
                <c:pt idx="4">
                  <c:v>1095617</c:v>
                </c:pt>
                <c:pt idx="5">
                  <c:v>1152899</c:v>
                </c:pt>
                <c:pt idx="6">
                  <c:v>1244697</c:v>
                </c:pt>
                <c:pt idx="7">
                  <c:v>1370049</c:v>
                </c:pt>
                <c:pt idx="8">
                  <c:v>1955541</c:v>
                </c:pt>
                <c:pt idx="9">
                  <c:v>2188138</c:v>
                </c:pt>
                <c:pt idx="10">
                  <c:v>2496548</c:v>
                </c:pt>
                <c:pt idx="16">
                  <c:v>900000</c:v>
                </c:pt>
              </c:numCache>
            </c:numRef>
          </c:val>
          <c:smooth val="0"/>
          <c:extLst xmlns:c16r2="http://schemas.microsoft.com/office/drawing/2015/06/chart">
            <c:ext xmlns:c16="http://schemas.microsoft.com/office/drawing/2014/chart" uri="{C3380CC4-5D6E-409C-BE32-E72D297353CC}">
              <c16:uniqueId val="{00000008-9E96-425B-9041-613965AC2A96}"/>
            </c:ext>
          </c:extLst>
        </c:ser>
        <c:dLbls>
          <c:showLegendKey val="0"/>
          <c:showVal val="0"/>
          <c:showCatName val="0"/>
          <c:showSerName val="0"/>
          <c:showPercent val="0"/>
          <c:showBubbleSize val="0"/>
        </c:dLbls>
        <c:marker val="1"/>
        <c:smooth val="0"/>
        <c:axId val="361244480"/>
        <c:axId val="361244872"/>
      </c:lineChart>
      <c:catAx>
        <c:axId val="361244480"/>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361244872"/>
        <c:crosses val="autoZero"/>
        <c:auto val="1"/>
        <c:lblAlgn val="ctr"/>
        <c:lblOffset val="100"/>
        <c:noMultiLvlLbl val="0"/>
      </c:catAx>
      <c:valAx>
        <c:axId val="361244872"/>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361244480"/>
        <c:crosses val="autoZero"/>
        <c:crossBetween val="between"/>
      </c:valAx>
      <c:spPr>
        <a:noFill/>
        <a:ln w="25413">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66" cap="rnd">
              <a:solidFill>
                <a:schemeClr val="accent1"/>
              </a:solidFill>
              <a:round/>
            </a:ln>
            <a:effectLst/>
          </c:spPr>
          <c:marker>
            <c:symbol val="circle"/>
            <c:size val="4"/>
            <c:spPr>
              <a:solidFill>
                <a:schemeClr val="accent1"/>
              </a:solidFill>
              <a:ln w="9522">
                <a:solidFill>
                  <a:schemeClr val="accent1"/>
                </a:solidFill>
              </a:ln>
              <a:effectLst/>
            </c:spPr>
          </c:marker>
          <c:dPt>
            <c:idx val="14"/>
            <c:marker>
              <c:spPr>
                <a:solidFill>
                  <a:srgbClr val="0070C0"/>
                </a:solidFill>
                <a:ln w="9522">
                  <a:solidFill>
                    <a:srgbClr val="0070C0"/>
                  </a:solidFill>
                </a:ln>
                <a:effectLst/>
              </c:spPr>
            </c:marker>
            <c:bubble3D val="0"/>
            <c:spPr>
              <a:ln w="28566" cap="rnd">
                <a:solidFill>
                  <a:srgbClr val="0070C0"/>
                </a:solidFill>
                <a:round/>
              </a:ln>
              <a:effectLst/>
            </c:spPr>
            <c:extLst xmlns:c16r2="http://schemas.microsoft.com/office/drawing/2015/06/chart">
              <c:ext xmlns:c16="http://schemas.microsoft.com/office/drawing/2014/chart" uri="{C3380CC4-5D6E-409C-BE32-E72D297353CC}">
                <c16:uniqueId val="{00000001-5D17-44BD-A9D5-A21194F3E93B}"/>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44" cap="rnd">
                <a:solidFill>
                  <a:schemeClr val="bg2">
                    <a:lumMod val="50000"/>
                  </a:schemeClr>
                </a:solidFill>
                <a:prstDash val="sysDot"/>
              </a:ln>
              <a:effectLst/>
            </c:spPr>
            <c:trendlineType val="exp"/>
            <c:dispRSqr val="0"/>
            <c:dispEq val="0"/>
          </c:trendline>
          <c:cat>
            <c:strRef>
              <c:f>TABLICA!$N$24:$AB$24</c:f>
              <c:strCach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strCache>
            </c:strRef>
          </c:cat>
          <c:val>
            <c:numRef>
              <c:f>TABLICA!$N$25:$AB$25</c:f>
              <c:numCache>
                <c:formatCode>#\ ##0.0</c:formatCode>
                <c:ptCount val="15"/>
                <c:pt idx="0">
                  <c:v>181</c:v>
                </c:pt>
                <c:pt idx="1">
                  <c:v>180</c:v>
                </c:pt>
                <c:pt idx="2">
                  <c:v>182.2</c:v>
                </c:pt>
                <c:pt idx="3">
                  <c:v>181</c:v>
                </c:pt>
                <c:pt idx="4">
                  <c:v>177.1</c:v>
                </c:pt>
                <c:pt idx="5">
                  <c:v>175</c:v>
                </c:pt>
                <c:pt idx="6">
                  <c:v>176.7</c:v>
                </c:pt>
                <c:pt idx="7">
                  <c:v>179.5</c:v>
                </c:pt>
                <c:pt idx="8">
                  <c:v>180.1</c:v>
                </c:pt>
                <c:pt idx="14" formatCode="General">
                  <c:v>173.7</c:v>
                </c:pt>
              </c:numCache>
            </c:numRef>
          </c:val>
          <c:smooth val="0"/>
          <c:extLst xmlns:c16r2="http://schemas.microsoft.com/office/drawing/2015/06/chart">
            <c:ext xmlns:c16="http://schemas.microsoft.com/office/drawing/2014/chart" uri="{C3380CC4-5D6E-409C-BE32-E72D297353CC}">
              <c16:uniqueId val="{00000003-5D17-44BD-A9D5-A21194F3E93B}"/>
            </c:ext>
          </c:extLst>
        </c:ser>
        <c:dLbls>
          <c:showLegendKey val="0"/>
          <c:showVal val="0"/>
          <c:showCatName val="0"/>
          <c:showSerName val="0"/>
          <c:showPercent val="0"/>
          <c:showBubbleSize val="0"/>
        </c:dLbls>
        <c:marker val="1"/>
        <c:smooth val="0"/>
        <c:axId val="317463320"/>
        <c:axId val="317466064"/>
      </c:lineChart>
      <c:catAx>
        <c:axId val="31746332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466064"/>
        <c:crosses val="autoZero"/>
        <c:auto val="1"/>
        <c:lblAlgn val="ctr"/>
        <c:lblOffset val="100"/>
        <c:noMultiLvlLbl val="0"/>
      </c:catAx>
      <c:valAx>
        <c:axId val="317466064"/>
        <c:scaling>
          <c:orientation val="minMax"/>
          <c:min val="0"/>
        </c:scaling>
        <c:delete val="0"/>
        <c:axPos val="l"/>
        <c:majorGridlines>
          <c:spPr>
            <a:ln w="9522" cap="flat" cmpd="sng" algn="ctr">
              <a:solidFill>
                <a:schemeClr val="tx1">
                  <a:lumMod val="15000"/>
                  <a:lumOff val="85000"/>
                </a:schemeClr>
              </a:solidFill>
              <a:round/>
            </a:ln>
            <a:effectLst/>
          </c:spPr>
        </c:majorGridlines>
        <c:numFmt formatCode="#\ ##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7463320"/>
        <c:crosses val="autoZero"/>
        <c:crossBetween val="between"/>
      </c:valAx>
      <c:spPr>
        <a:noFill/>
        <a:ln w="25400">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'[46, 47, 48_Korzystający z instalacji w % ogółu ludności.xlsx]zachpom'!$B$29</c:f>
              <c:strCache>
                <c:ptCount val="1"/>
                <c:pt idx="0">
                  <c:v>ogółem</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ludności.xlsx]zachpom'!$C$29:$R$29</c:f>
              <c:numCache>
                <c:formatCode>#,##0.0</c:formatCode>
                <c:ptCount val="16"/>
                <c:pt idx="0">
                  <c:v>72.099999999999994</c:v>
                </c:pt>
                <c:pt idx="1">
                  <c:v>72.099999999999994</c:v>
                </c:pt>
                <c:pt idx="2">
                  <c:v>73</c:v>
                </c:pt>
                <c:pt idx="3">
                  <c:v>73.3</c:v>
                </c:pt>
                <c:pt idx="4">
                  <c:v>73.599999999999994</c:v>
                </c:pt>
                <c:pt idx="5">
                  <c:v>73.900000000000006</c:v>
                </c:pt>
                <c:pt idx="6">
                  <c:v>74.2</c:v>
                </c:pt>
                <c:pt idx="7">
                  <c:v>74.5</c:v>
                </c:pt>
                <c:pt idx="8">
                  <c:v>74.8</c:v>
                </c:pt>
                <c:pt idx="9">
                  <c:v>76</c:v>
                </c:pt>
                <c:pt idx="10">
                  <c:v>77</c:v>
                </c:pt>
                <c:pt idx="11">
                  <c:v>77.5</c:v>
                </c:pt>
                <c:pt idx="12">
                  <c:v>80.400000000000006</c:v>
                </c:pt>
                <c:pt idx="13">
                  <c:v>80.599999999999994</c:v>
                </c:pt>
                <c:pt idx="14">
                  <c:v>80.8</c:v>
                </c:pt>
                <c:pt idx="15">
                  <c:v>81</c:v>
                </c:pt>
              </c:numCache>
            </c:numRef>
          </c:val>
          <c:smooth val="0"/>
          <c:extLst xmlns:c16r2="http://schemas.microsoft.com/office/drawing/2015/06/chart">
            <c:ext xmlns:c16="http://schemas.microsoft.com/office/drawing/2014/chart" uri="{C3380CC4-5D6E-409C-BE32-E72D297353CC}">
              <c16:uniqueId val="{00000000-6D7A-445C-9386-880ECD0C855E}"/>
            </c:ext>
          </c:extLst>
        </c:ser>
        <c:ser>
          <c:idx val="1"/>
          <c:order val="1"/>
          <c:tx>
            <c:strRef>
              <c:f>'[46, 47, 48_Korzystający z instalacji w % ogółu ludności.xlsx]zachpom'!$B$30</c:f>
              <c:strCache>
                <c:ptCount val="1"/>
                <c:pt idx="0">
                  <c:v>miasta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ludności.xlsx]zachpom'!$C$30:$R$30</c:f>
              <c:numCache>
                <c:formatCode>#,##0.0</c:formatCode>
                <c:ptCount val="16"/>
                <c:pt idx="0">
                  <c:v>89.2</c:v>
                </c:pt>
                <c:pt idx="1">
                  <c:v>89.3</c:v>
                </c:pt>
                <c:pt idx="2">
                  <c:v>89.8</c:v>
                </c:pt>
                <c:pt idx="3">
                  <c:v>89.9</c:v>
                </c:pt>
                <c:pt idx="4">
                  <c:v>90</c:v>
                </c:pt>
                <c:pt idx="5">
                  <c:v>90</c:v>
                </c:pt>
                <c:pt idx="6">
                  <c:v>90.3</c:v>
                </c:pt>
                <c:pt idx="7">
                  <c:v>90.4</c:v>
                </c:pt>
                <c:pt idx="8">
                  <c:v>90.4</c:v>
                </c:pt>
                <c:pt idx="9">
                  <c:v>90.6</c:v>
                </c:pt>
                <c:pt idx="10">
                  <c:v>90.7</c:v>
                </c:pt>
                <c:pt idx="11">
                  <c:v>90.8</c:v>
                </c:pt>
                <c:pt idx="12">
                  <c:v>91.5</c:v>
                </c:pt>
                <c:pt idx="13">
                  <c:v>91.6</c:v>
                </c:pt>
                <c:pt idx="14">
                  <c:v>91.6</c:v>
                </c:pt>
                <c:pt idx="15">
                  <c:v>91.8</c:v>
                </c:pt>
              </c:numCache>
            </c:numRef>
          </c:val>
          <c:smooth val="0"/>
          <c:extLst xmlns:c16r2="http://schemas.microsoft.com/office/drawing/2015/06/chart">
            <c:ext xmlns:c16="http://schemas.microsoft.com/office/drawing/2014/chart" uri="{C3380CC4-5D6E-409C-BE32-E72D297353CC}">
              <c16:uniqueId val="{00000001-6D7A-445C-9386-880ECD0C855E}"/>
            </c:ext>
          </c:extLst>
        </c:ser>
        <c:ser>
          <c:idx val="2"/>
          <c:order val="2"/>
          <c:tx>
            <c:strRef>
              <c:f>'[46, 47, 48_Korzystający z instalacji w % ogółu ludności.xlsx]zachpom'!$B$31</c:f>
              <c:strCache>
                <c:ptCount val="1"/>
                <c:pt idx="0">
                  <c:v>wieś</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ludności.xlsx]zachpom'!$C$31:$R$31</c:f>
              <c:numCache>
                <c:formatCode>#,##0.0</c:formatCode>
                <c:ptCount val="16"/>
                <c:pt idx="0">
                  <c:v>33.1</c:v>
                </c:pt>
                <c:pt idx="1">
                  <c:v>33.1</c:v>
                </c:pt>
                <c:pt idx="2">
                  <c:v>35.200000000000003</c:v>
                </c:pt>
                <c:pt idx="3">
                  <c:v>36</c:v>
                </c:pt>
                <c:pt idx="4">
                  <c:v>37.200000000000003</c:v>
                </c:pt>
                <c:pt idx="5">
                  <c:v>38.1</c:v>
                </c:pt>
                <c:pt idx="6">
                  <c:v>38.9</c:v>
                </c:pt>
                <c:pt idx="7">
                  <c:v>39.700000000000003</c:v>
                </c:pt>
                <c:pt idx="8">
                  <c:v>40.4</c:v>
                </c:pt>
                <c:pt idx="9">
                  <c:v>43.8</c:v>
                </c:pt>
                <c:pt idx="10">
                  <c:v>46.7</c:v>
                </c:pt>
                <c:pt idx="11">
                  <c:v>48.3</c:v>
                </c:pt>
                <c:pt idx="12">
                  <c:v>55.9</c:v>
                </c:pt>
                <c:pt idx="13">
                  <c:v>56.6</c:v>
                </c:pt>
                <c:pt idx="14">
                  <c:v>57.4</c:v>
                </c:pt>
                <c:pt idx="15">
                  <c:v>57.5</c:v>
                </c:pt>
              </c:numCache>
            </c:numRef>
          </c:val>
          <c:smooth val="0"/>
          <c:extLst xmlns:c16r2="http://schemas.microsoft.com/office/drawing/2015/06/chart">
            <c:ext xmlns:c16="http://schemas.microsoft.com/office/drawing/2014/chart" uri="{C3380CC4-5D6E-409C-BE32-E72D297353CC}">
              <c16:uniqueId val="{00000002-6D7A-445C-9386-880ECD0C855E}"/>
            </c:ext>
          </c:extLst>
        </c:ser>
        <c:dLbls>
          <c:showLegendKey val="0"/>
          <c:showVal val="0"/>
          <c:showCatName val="0"/>
          <c:showSerName val="0"/>
          <c:showPercent val="0"/>
          <c:showBubbleSize val="0"/>
        </c:dLbls>
        <c:marker val="1"/>
        <c:smooth val="0"/>
        <c:axId val="317470376"/>
        <c:axId val="308837440"/>
      </c:lineChart>
      <c:catAx>
        <c:axId val="317470376"/>
        <c:scaling>
          <c:orientation val="minMax"/>
        </c:scaling>
        <c:delete val="0"/>
        <c:axPos val="b"/>
        <c:title>
          <c:tx>
            <c:rich>
              <a:bodyPr/>
              <a:lstStyle/>
              <a:p>
                <a:pPr>
                  <a:defRPr/>
                </a:pPr>
                <a:r>
                  <a:rPr lang="pl-PL"/>
                  <a:t>rok</a:t>
                </a:r>
              </a:p>
            </c:rich>
          </c:tx>
          <c:overlay val="0"/>
        </c:title>
        <c:numFmt formatCode="General" sourceLinked="0"/>
        <c:majorTickMark val="out"/>
        <c:minorTickMark val="none"/>
        <c:tickLblPos val="nextTo"/>
        <c:crossAx val="308837440"/>
        <c:crosses val="autoZero"/>
        <c:auto val="1"/>
        <c:lblAlgn val="ctr"/>
        <c:lblOffset val="100"/>
        <c:noMultiLvlLbl val="0"/>
      </c:catAx>
      <c:valAx>
        <c:axId val="308837440"/>
        <c:scaling>
          <c:orientation val="minMax"/>
          <c:max val="100"/>
          <c:min val="30"/>
        </c:scaling>
        <c:delete val="0"/>
        <c:axPos val="l"/>
        <c:majorGridlines>
          <c:spPr>
            <a:ln w="3175">
              <a:solidFill>
                <a:schemeClr val="bg1">
                  <a:lumMod val="85000"/>
                </a:schemeClr>
              </a:solidFill>
              <a:prstDash val="sysDot"/>
            </a:ln>
          </c:spPr>
        </c:majorGridlines>
        <c:title>
          <c:tx>
            <c:rich>
              <a:bodyPr rot="-5400000" vert="horz"/>
              <a:lstStyle/>
              <a:p>
                <a:pPr>
                  <a:defRPr/>
                </a:pPr>
                <a:r>
                  <a:rPr lang="pl-PL"/>
                  <a:t>%</a:t>
                </a:r>
              </a:p>
            </c:rich>
          </c:tx>
          <c:overlay val="0"/>
        </c:title>
        <c:numFmt formatCode="General" sourceLinked="0"/>
        <c:majorTickMark val="out"/>
        <c:minorTickMark val="none"/>
        <c:tickLblPos val="nextTo"/>
        <c:crossAx val="31747037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800">
          <a:latin typeface="Lato"/>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874122174931347E-2"/>
          <c:y val="1.5800107214714872E-2"/>
          <c:w val="0.8893652244509368"/>
          <c:h val="0.78077740282464703"/>
        </c:manualLayout>
      </c:layout>
      <c:lineChart>
        <c:grouping val="standard"/>
        <c:varyColors val="0"/>
        <c:ser>
          <c:idx val="0"/>
          <c:order val="0"/>
          <c:tx>
            <c:strRef>
              <c:f>'[46, 47, 48_Korzystający z instalacji w % ogółu ludności.xlsx]zachpom'!$B$56</c:f>
              <c:strCache>
                <c:ptCount val="1"/>
                <c:pt idx="0">
                  <c:v>ogółem</c:v>
                </c:pt>
              </c:strCache>
            </c:strRef>
          </c:tx>
          <c:dLbls>
            <c:dLbl>
              <c:idx val="12"/>
              <c:layout>
                <c:manualLayout>
                  <c:x val="-3.8111902678831813E-2"/>
                  <c:y val="-2.99408091229975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69-4FAF-B010-529F6EC3E36D}"/>
                </c:ext>
                <c:ext xmlns:c15="http://schemas.microsoft.com/office/drawing/2012/chart" uri="{CE6537A1-D6FC-4f65-9D91-7224C49458BB}"/>
              </c:extLst>
            </c:dLbl>
            <c:dLbl>
              <c:idx val="13"/>
              <c:layout>
                <c:manualLayout>
                  <c:x val="-3.8138045023706976E-2"/>
                  <c:y val="-2.99626305554986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69-4FAF-B010-529F6EC3E36D}"/>
                </c:ext>
                <c:ext xmlns:c15="http://schemas.microsoft.com/office/drawing/2012/chart" uri="{CE6537A1-D6FC-4f65-9D91-7224C49458BB}"/>
              </c:extLst>
            </c:dLbl>
            <c:dLbl>
              <c:idx val="14"/>
              <c:layout>
                <c:manualLayout>
                  <c:x val="-3.8138045023706976E-2"/>
                  <c:y val="-2.60188716626328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69-4FAF-B010-529F6EC3E36D}"/>
                </c:ext>
                <c:ext xmlns:c15="http://schemas.microsoft.com/office/drawing/2012/chart" uri="{CE6537A1-D6FC-4f65-9D91-7224C49458BB}"/>
              </c:extLst>
            </c:dLbl>
            <c:dLbl>
              <c:idx val="15"/>
              <c:layout>
                <c:manualLayout>
                  <c:x val="-2.4149758240116594E-2"/>
                  <c:y val="-2.60188716626328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69-4FAF-B010-529F6EC3E36D}"/>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ludności.xlsx]zachpom'!$C$56:$R$56</c:f>
              <c:numCache>
                <c:formatCode>#,##0.0</c:formatCode>
                <c:ptCount val="16"/>
                <c:pt idx="0">
                  <c:v>92.7</c:v>
                </c:pt>
                <c:pt idx="1">
                  <c:v>92.2</c:v>
                </c:pt>
                <c:pt idx="2">
                  <c:v>92.9</c:v>
                </c:pt>
                <c:pt idx="3">
                  <c:v>93</c:v>
                </c:pt>
                <c:pt idx="4">
                  <c:v>93.1</c:v>
                </c:pt>
                <c:pt idx="5">
                  <c:v>93.1</c:v>
                </c:pt>
                <c:pt idx="6">
                  <c:v>93.2</c:v>
                </c:pt>
                <c:pt idx="7">
                  <c:v>93.3</c:v>
                </c:pt>
                <c:pt idx="8">
                  <c:v>93.3</c:v>
                </c:pt>
                <c:pt idx="9">
                  <c:v>93.4</c:v>
                </c:pt>
                <c:pt idx="10">
                  <c:v>93.6</c:v>
                </c:pt>
                <c:pt idx="11">
                  <c:v>93.7</c:v>
                </c:pt>
                <c:pt idx="12">
                  <c:v>96.2</c:v>
                </c:pt>
                <c:pt idx="13">
                  <c:v>96.2</c:v>
                </c:pt>
                <c:pt idx="14">
                  <c:v>96.3</c:v>
                </c:pt>
                <c:pt idx="15">
                  <c:v>96.3</c:v>
                </c:pt>
              </c:numCache>
            </c:numRef>
          </c:val>
          <c:smooth val="0"/>
          <c:extLst xmlns:c16r2="http://schemas.microsoft.com/office/drawing/2015/06/chart">
            <c:ext xmlns:c16="http://schemas.microsoft.com/office/drawing/2014/chart" uri="{C3380CC4-5D6E-409C-BE32-E72D297353CC}">
              <c16:uniqueId val="{00000004-0769-4FAF-B010-529F6EC3E36D}"/>
            </c:ext>
          </c:extLst>
        </c:ser>
        <c:ser>
          <c:idx val="1"/>
          <c:order val="1"/>
          <c:tx>
            <c:strRef>
              <c:f>'[46, 47, 48_Korzystający z instalacji w % ogółu ludności.xlsx]zachpom'!$B$57</c:f>
              <c:strCache>
                <c:ptCount val="1"/>
                <c:pt idx="0">
                  <c:v>miasta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ludności.xlsx]zachpom'!$C$57:$R$57</c:f>
              <c:numCache>
                <c:formatCode>#,##0.0</c:formatCode>
                <c:ptCount val="16"/>
                <c:pt idx="0">
                  <c:v>96.6</c:v>
                </c:pt>
                <c:pt idx="1">
                  <c:v>96.6</c:v>
                </c:pt>
                <c:pt idx="2">
                  <c:v>96.7</c:v>
                </c:pt>
                <c:pt idx="3">
                  <c:v>96.8</c:v>
                </c:pt>
                <c:pt idx="4">
                  <c:v>96.8</c:v>
                </c:pt>
                <c:pt idx="5">
                  <c:v>96.9</c:v>
                </c:pt>
                <c:pt idx="6">
                  <c:v>96.9</c:v>
                </c:pt>
                <c:pt idx="7">
                  <c:v>96.9</c:v>
                </c:pt>
                <c:pt idx="8">
                  <c:v>96.8</c:v>
                </c:pt>
                <c:pt idx="9">
                  <c:v>96.8</c:v>
                </c:pt>
                <c:pt idx="10">
                  <c:v>96.8</c:v>
                </c:pt>
                <c:pt idx="11">
                  <c:v>96.9</c:v>
                </c:pt>
                <c:pt idx="12">
                  <c:v>97.7</c:v>
                </c:pt>
                <c:pt idx="13">
                  <c:v>97.7</c:v>
                </c:pt>
                <c:pt idx="14">
                  <c:v>97.7</c:v>
                </c:pt>
                <c:pt idx="15">
                  <c:v>97.7</c:v>
                </c:pt>
              </c:numCache>
            </c:numRef>
          </c:val>
          <c:smooth val="0"/>
          <c:extLst xmlns:c16r2="http://schemas.microsoft.com/office/drawing/2015/06/chart">
            <c:ext xmlns:c16="http://schemas.microsoft.com/office/drawing/2014/chart" uri="{C3380CC4-5D6E-409C-BE32-E72D297353CC}">
              <c16:uniqueId val="{00000005-0769-4FAF-B010-529F6EC3E36D}"/>
            </c:ext>
          </c:extLst>
        </c:ser>
        <c:ser>
          <c:idx val="2"/>
          <c:order val="2"/>
          <c:tx>
            <c:strRef>
              <c:f>'[46, 47, 48_Korzystający z instalacji w % ogółu ludności.xlsx]zachpom'!$B$58</c:f>
              <c:strCache>
                <c:ptCount val="1"/>
                <c:pt idx="0">
                  <c:v>wieś</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ludności.xlsx]zachpom'!$C$28:$R$28</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ludności.xlsx]zachpom'!$C$58:$R$58</c:f>
              <c:numCache>
                <c:formatCode>#,##0.0</c:formatCode>
                <c:ptCount val="16"/>
                <c:pt idx="0">
                  <c:v>83.7</c:v>
                </c:pt>
                <c:pt idx="1">
                  <c:v>82.2</c:v>
                </c:pt>
                <c:pt idx="2">
                  <c:v>84.1</c:v>
                </c:pt>
                <c:pt idx="3">
                  <c:v>84.4</c:v>
                </c:pt>
                <c:pt idx="4">
                  <c:v>84.6</c:v>
                </c:pt>
                <c:pt idx="5">
                  <c:v>84.9</c:v>
                </c:pt>
                <c:pt idx="6">
                  <c:v>85.2</c:v>
                </c:pt>
                <c:pt idx="7">
                  <c:v>85.5</c:v>
                </c:pt>
                <c:pt idx="8">
                  <c:v>85.7</c:v>
                </c:pt>
                <c:pt idx="9">
                  <c:v>86</c:v>
                </c:pt>
                <c:pt idx="10">
                  <c:v>86.5</c:v>
                </c:pt>
                <c:pt idx="11">
                  <c:v>86.7</c:v>
                </c:pt>
                <c:pt idx="12">
                  <c:v>93</c:v>
                </c:pt>
                <c:pt idx="13">
                  <c:v>93</c:v>
                </c:pt>
                <c:pt idx="14">
                  <c:v>93.2</c:v>
                </c:pt>
                <c:pt idx="15">
                  <c:v>93.3</c:v>
                </c:pt>
              </c:numCache>
            </c:numRef>
          </c:val>
          <c:smooth val="0"/>
          <c:extLst xmlns:c16r2="http://schemas.microsoft.com/office/drawing/2015/06/chart">
            <c:ext xmlns:c16="http://schemas.microsoft.com/office/drawing/2014/chart" uri="{C3380CC4-5D6E-409C-BE32-E72D297353CC}">
              <c16:uniqueId val="{00000006-0769-4FAF-B010-529F6EC3E36D}"/>
            </c:ext>
          </c:extLst>
        </c:ser>
        <c:dLbls>
          <c:showLegendKey val="0"/>
          <c:showVal val="0"/>
          <c:showCatName val="0"/>
          <c:showSerName val="0"/>
          <c:showPercent val="0"/>
          <c:showBubbleSize val="0"/>
        </c:dLbls>
        <c:marker val="1"/>
        <c:smooth val="0"/>
        <c:axId val="472580944"/>
        <c:axId val="472580160"/>
      </c:lineChart>
      <c:catAx>
        <c:axId val="472580944"/>
        <c:scaling>
          <c:orientation val="minMax"/>
        </c:scaling>
        <c:delete val="0"/>
        <c:axPos val="b"/>
        <c:title>
          <c:tx>
            <c:rich>
              <a:bodyPr/>
              <a:lstStyle/>
              <a:p>
                <a:pPr>
                  <a:defRPr/>
                </a:pPr>
                <a:r>
                  <a:rPr lang="pl-PL"/>
                  <a:t>rok</a:t>
                </a:r>
              </a:p>
            </c:rich>
          </c:tx>
          <c:layout>
            <c:manualLayout>
              <c:xMode val="edge"/>
              <c:yMode val="edge"/>
              <c:x val="0.50150958438014814"/>
              <c:y val="0.88257339044740624"/>
            </c:manualLayout>
          </c:layout>
          <c:overlay val="0"/>
        </c:title>
        <c:numFmt formatCode="General" sourceLinked="0"/>
        <c:majorTickMark val="out"/>
        <c:minorTickMark val="none"/>
        <c:tickLblPos val="nextTo"/>
        <c:crossAx val="472580160"/>
        <c:crosses val="autoZero"/>
        <c:auto val="1"/>
        <c:lblAlgn val="ctr"/>
        <c:lblOffset val="100"/>
        <c:noMultiLvlLbl val="0"/>
      </c:catAx>
      <c:valAx>
        <c:axId val="472580160"/>
        <c:scaling>
          <c:orientation val="minMax"/>
          <c:min val="80"/>
        </c:scaling>
        <c:delete val="0"/>
        <c:axPos val="l"/>
        <c:title>
          <c:tx>
            <c:rich>
              <a:bodyPr rot="-5400000" vert="horz"/>
              <a:lstStyle/>
              <a:p>
                <a:pPr>
                  <a:defRPr/>
                </a:pPr>
                <a:r>
                  <a:rPr lang="pl-PL"/>
                  <a:t>%</a:t>
                </a:r>
              </a:p>
            </c:rich>
          </c:tx>
          <c:overlay val="0"/>
        </c:title>
        <c:numFmt formatCode="General" sourceLinked="0"/>
        <c:majorTickMark val="out"/>
        <c:minorTickMark val="none"/>
        <c:tickLblPos val="nextTo"/>
        <c:crossAx val="472580944"/>
        <c:crosses val="autoZero"/>
        <c:crossBetween val="between"/>
      </c:valAx>
      <c:spPr>
        <a:noFill/>
        <a:ln w="25400">
          <a:noFill/>
        </a:ln>
      </c:spPr>
    </c:plotArea>
    <c:legend>
      <c:legendPos val="b"/>
      <c:layout>
        <c:manualLayout>
          <c:xMode val="edge"/>
          <c:yMode val="edge"/>
          <c:x val="0.35152482525104017"/>
          <c:y val="0.92542598841811441"/>
          <c:w val="0.36312421353198282"/>
          <c:h val="7.4574011581885591E-2"/>
        </c:manualLayout>
      </c:layout>
      <c:overlay val="0"/>
    </c:legend>
    <c:plotVisOnly val="1"/>
    <c:dispBlanksAs val="gap"/>
    <c:showDLblsOverMax val="0"/>
  </c:chart>
  <c:spPr>
    <a:ln>
      <a:noFill/>
    </a:ln>
  </c:spPr>
  <c:txPr>
    <a:bodyPr/>
    <a:lstStyle/>
    <a:p>
      <a:pPr>
        <a:defRPr sz="800">
          <a:latin typeface="Lato"/>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37279017808724"/>
          <c:y val="5.1570557899671826E-2"/>
          <c:w val="0.87338478557948851"/>
          <c:h val="0.71651512970161435"/>
        </c:manualLayout>
      </c:layout>
      <c:lineChart>
        <c:grouping val="standard"/>
        <c:varyColors val="0"/>
        <c:ser>
          <c:idx val="0"/>
          <c:order val="0"/>
          <c:tx>
            <c:strRef>
              <c:f>'[46, 47, 48_Korzystający z instalacji w % ogółu ludności.xlsx]zachpom'!$B$84</c:f>
              <c:strCache>
                <c:ptCount val="1"/>
                <c:pt idx="0">
                  <c:v>ogółem</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ludności.xlsx]zachpom'!$C$83:$R$83</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ludności.xlsx]zachpom'!$C$84:$R$84</c:f>
              <c:numCache>
                <c:formatCode>0.0</c:formatCode>
                <c:ptCount val="16"/>
                <c:pt idx="0">
                  <c:v>57.8</c:v>
                </c:pt>
                <c:pt idx="1">
                  <c:v>58.96</c:v>
                </c:pt>
                <c:pt idx="2">
                  <c:v>59.35</c:v>
                </c:pt>
                <c:pt idx="3">
                  <c:v>59.84</c:v>
                </c:pt>
                <c:pt idx="4">
                  <c:v>60.36</c:v>
                </c:pt>
                <c:pt idx="5">
                  <c:v>60.36</c:v>
                </c:pt>
                <c:pt idx="6">
                  <c:v>60.07</c:v>
                </c:pt>
                <c:pt idx="7">
                  <c:v>76.989999999999995</c:v>
                </c:pt>
                <c:pt idx="8">
                  <c:v>78.2</c:v>
                </c:pt>
                <c:pt idx="9">
                  <c:v>80.3</c:v>
                </c:pt>
                <c:pt idx="10">
                  <c:v>80.900000000000006</c:v>
                </c:pt>
                <c:pt idx="11">
                  <c:v>81.900000000000006</c:v>
                </c:pt>
                <c:pt idx="12">
                  <c:v>82.1</c:v>
                </c:pt>
                <c:pt idx="13">
                  <c:v>83.7</c:v>
                </c:pt>
                <c:pt idx="14">
                  <c:v>84</c:v>
                </c:pt>
                <c:pt idx="15">
                  <c:v>81.400000000000006</c:v>
                </c:pt>
              </c:numCache>
            </c:numRef>
          </c:val>
          <c:smooth val="0"/>
          <c:extLst xmlns:c16r2="http://schemas.microsoft.com/office/drawing/2015/06/chart">
            <c:ext xmlns:c16="http://schemas.microsoft.com/office/drawing/2014/chart" uri="{C3380CC4-5D6E-409C-BE32-E72D297353CC}">
              <c16:uniqueId val="{00000000-097D-4202-92C8-A50EA8A038C8}"/>
            </c:ext>
          </c:extLst>
        </c:ser>
        <c:ser>
          <c:idx val="1"/>
          <c:order val="1"/>
          <c:tx>
            <c:strRef>
              <c:f>'[46, 47, 48_Korzystający z instalacji w % ogółu ludności.xlsx]zachpom'!$B$85</c:f>
              <c:strCache>
                <c:ptCount val="1"/>
                <c:pt idx="0">
                  <c:v>miasta</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ludności.xlsx]zachpom'!$C$83:$R$83</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ludności.xlsx]zachpom'!$C$85:$R$85</c:f>
              <c:numCache>
                <c:formatCode>0.0</c:formatCode>
                <c:ptCount val="16"/>
                <c:pt idx="0">
                  <c:v>68.739999999999995</c:v>
                </c:pt>
                <c:pt idx="1">
                  <c:v>69.13</c:v>
                </c:pt>
                <c:pt idx="2">
                  <c:v>69.52</c:v>
                </c:pt>
                <c:pt idx="3">
                  <c:v>69.63</c:v>
                </c:pt>
                <c:pt idx="4">
                  <c:v>69.77</c:v>
                </c:pt>
                <c:pt idx="5">
                  <c:v>69.430000000000007</c:v>
                </c:pt>
                <c:pt idx="6">
                  <c:v>68.87</c:v>
                </c:pt>
                <c:pt idx="7">
                  <c:v>92.22</c:v>
                </c:pt>
                <c:pt idx="8">
                  <c:v>93.4</c:v>
                </c:pt>
                <c:pt idx="9">
                  <c:v>93.9</c:v>
                </c:pt>
                <c:pt idx="10">
                  <c:v>94.7</c:v>
                </c:pt>
                <c:pt idx="11">
                  <c:v>94.8</c:v>
                </c:pt>
                <c:pt idx="12">
                  <c:v>94.9</c:v>
                </c:pt>
                <c:pt idx="13">
                  <c:v>96.2</c:v>
                </c:pt>
                <c:pt idx="14">
                  <c:v>96.3</c:v>
                </c:pt>
                <c:pt idx="15">
                  <c:v>92.5</c:v>
                </c:pt>
              </c:numCache>
            </c:numRef>
          </c:val>
          <c:smooth val="0"/>
          <c:extLst xmlns:c16r2="http://schemas.microsoft.com/office/drawing/2015/06/chart">
            <c:ext xmlns:c16="http://schemas.microsoft.com/office/drawing/2014/chart" uri="{C3380CC4-5D6E-409C-BE32-E72D297353CC}">
              <c16:uniqueId val="{00000001-097D-4202-92C8-A50EA8A038C8}"/>
            </c:ext>
          </c:extLst>
        </c:ser>
        <c:ser>
          <c:idx val="2"/>
          <c:order val="2"/>
          <c:tx>
            <c:strRef>
              <c:f>'[46, 47, 48_Korzystający z instalacji w % ogółu ludności.xlsx]zachpom'!$B$86</c:f>
              <c:strCache>
                <c:ptCount val="1"/>
                <c:pt idx="0">
                  <c:v>wieś</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'[46, 47, 48_Korzystający z instalacji w % ogółu ludności.xlsx]zachpom'!$C$83:$R$83</c:f>
              <c:strCach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strCache>
            </c:strRef>
          </c:cat>
          <c:val>
            <c:numRef>
              <c:f>'[46, 47, 48_Korzystający z instalacji w % ogółu ludności.xlsx]zachpom'!$C$86:$R$86</c:f>
              <c:numCache>
                <c:formatCode>0.0</c:formatCode>
                <c:ptCount val="16"/>
                <c:pt idx="0">
                  <c:v>32.99</c:v>
                </c:pt>
                <c:pt idx="1">
                  <c:v>36</c:v>
                </c:pt>
                <c:pt idx="2">
                  <c:v>36.42</c:v>
                </c:pt>
                <c:pt idx="3">
                  <c:v>37.880000000000003</c:v>
                </c:pt>
                <c:pt idx="4">
                  <c:v>39.409999999999997</c:v>
                </c:pt>
                <c:pt idx="5">
                  <c:v>40.270000000000003</c:v>
                </c:pt>
                <c:pt idx="6">
                  <c:v>40.71</c:v>
                </c:pt>
                <c:pt idx="7">
                  <c:v>43.6</c:v>
                </c:pt>
                <c:pt idx="8">
                  <c:v>44.8</c:v>
                </c:pt>
                <c:pt idx="9">
                  <c:v>50.1</c:v>
                </c:pt>
                <c:pt idx="10">
                  <c:v>50.3</c:v>
                </c:pt>
                <c:pt idx="11">
                  <c:v>53.8</c:v>
                </c:pt>
                <c:pt idx="12">
                  <c:v>54.2</c:v>
                </c:pt>
                <c:pt idx="13">
                  <c:v>56.7</c:v>
                </c:pt>
                <c:pt idx="14">
                  <c:v>57.1</c:v>
                </c:pt>
                <c:pt idx="15">
                  <c:v>57.1</c:v>
                </c:pt>
              </c:numCache>
            </c:numRef>
          </c:val>
          <c:smooth val="0"/>
          <c:extLst xmlns:c16r2="http://schemas.microsoft.com/office/drawing/2015/06/chart">
            <c:ext xmlns:c16="http://schemas.microsoft.com/office/drawing/2014/chart" uri="{C3380CC4-5D6E-409C-BE32-E72D297353CC}">
              <c16:uniqueId val="{00000002-097D-4202-92C8-A50EA8A038C8}"/>
            </c:ext>
          </c:extLst>
        </c:ser>
        <c:dLbls>
          <c:showLegendKey val="0"/>
          <c:showVal val="0"/>
          <c:showCatName val="0"/>
          <c:showSerName val="0"/>
          <c:showPercent val="0"/>
          <c:showBubbleSize val="0"/>
        </c:dLbls>
        <c:marker val="1"/>
        <c:smooth val="0"/>
        <c:axId val="410086936"/>
        <c:axId val="323266784"/>
      </c:lineChart>
      <c:catAx>
        <c:axId val="410086936"/>
        <c:scaling>
          <c:orientation val="minMax"/>
        </c:scaling>
        <c:delete val="0"/>
        <c:axPos val="b"/>
        <c:title>
          <c:tx>
            <c:rich>
              <a:bodyPr/>
              <a:lstStyle/>
              <a:p>
                <a:pPr>
                  <a:defRPr/>
                </a:pPr>
                <a:r>
                  <a:rPr lang="pl-PL"/>
                  <a:t>rok</a:t>
                </a:r>
              </a:p>
            </c:rich>
          </c:tx>
          <c:overlay val="0"/>
        </c:title>
        <c:numFmt formatCode="General" sourceLinked="0"/>
        <c:majorTickMark val="out"/>
        <c:minorTickMark val="none"/>
        <c:tickLblPos val="nextTo"/>
        <c:crossAx val="323266784"/>
        <c:crosses val="autoZero"/>
        <c:auto val="1"/>
        <c:lblAlgn val="ctr"/>
        <c:lblOffset val="100"/>
        <c:noMultiLvlLbl val="0"/>
      </c:catAx>
      <c:valAx>
        <c:axId val="323266784"/>
        <c:scaling>
          <c:orientation val="minMax"/>
          <c:max val="100"/>
          <c:min val="25"/>
        </c:scaling>
        <c:delete val="0"/>
        <c:axPos val="l"/>
        <c:title>
          <c:tx>
            <c:rich>
              <a:bodyPr rot="-5400000" vert="horz"/>
              <a:lstStyle/>
              <a:p>
                <a:pPr>
                  <a:defRPr/>
                </a:pPr>
                <a:r>
                  <a:rPr lang="pl-PL"/>
                  <a:t>%</a:t>
                </a:r>
              </a:p>
            </c:rich>
          </c:tx>
          <c:overlay val="0"/>
        </c:title>
        <c:numFmt formatCode="General" sourceLinked="0"/>
        <c:majorTickMark val="out"/>
        <c:minorTickMark val="none"/>
        <c:tickLblPos val="nextTo"/>
        <c:crossAx val="41008693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800" b="0">
          <a:latin typeface="Lato"/>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'[zz_wykresiwa RK.xlsx]Arkusz1'!$B$45</c:f>
              <c:strCache>
                <c:ptCount val="1"/>
                <c:pt idx="0">
                  <c:v>Liczba ludności</c:v>
                </c:pt>
              </c:strCache>
            </c:strRef>
          </c:tx>
          <c:cat>
            <c:strRef>
              <c:f>'[zz_wykresiwa RK.xlsx]Arkusz1'!$C$44:$O$44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'[zz_wykresiwa RK.xlsx]Arkusz1'!$C$45:$O$45</c:f>
              <c:numCache>
                <c:formatCode>#,##0</c:formatCode>
                <c:ptCount val="13"/>
                <c:pt idx="0">
                  <c:v>1694178</c:v>
                </c:pt>
                <c:pt idx="1">
                  <c:v>1692838</c:v>
                </c:pt>
                <c:pt idx="2">
                  <c:v>1692271</c:v>
                </c:pt>
                <c:pt idx="3">
                  <c:v>1692957</c:v>
                </c:pt>
                <c:pt idx="4">
                  <c:v>1693198</c:v>
                </c:pt>
                <c:pt idx="5">
                  <c:v>1723741</c:v>
                </c:pt>
                <c:pt idx="6">
                  <c:v>1722739</c:v>
                </c:pt>
                <c:pt idx="7">
                  <c:v>1721405</c:v>
                </c:pt>
                <c:pt idx="8">
                  <c:v>1718861</c:v>
                </c:pt>
                <c:pt idx="9">
                  <c:v>1715431</c:v>
                </c:pt>
                <c:pt idx="10">
                  <c:v>1710482</c:v>
                </c:pt>
                <c:pt idx="11">
                  <c:v>1708174</c:v>
                </c:pt>
                <c:pt idx="12">
                  <c:v>1705533</c:v>
                </c:pt>
              </c:numCache>
            </c:numRef>
          </c:val>
          <c:smooth val="0"/>
          <c:extLst xmlns:c16r2="http://schemas.microsoft.com/office/drawing/2015/06/chart">
            <c:ext xmlns:c16="http://schemas.microsoft.com/office/drawing/2014/chart" uri="{C3380CC4-5D6E-409C-BE32-E72D297353CC}">
              <c16:uniqueId val="{00000000-E948-43F9-B4E4-38362DCD2388}"/>
            </c:ext>
          </c:extLst>
        </c:ser>
        <c:dLbls>
          <c:showLegendKey val="0"/>
          <c:showVal val="0"/>
          <c:showCatName val="0"/>
          <c:showSerName val="0"/>
          <c:showPercent val="0"/>
          <c:showBubbleSize val="0"/>
        </c:dLbls>
        <c:marker val="1"/>
        <c:smooth val="0"/>
        <c:axId val="361253496"/>
        <c:axId val="346136104"/>
      </c:lineChart>
      <c:lineChart>
        <c:grouping val="standard"/>
        <c:varyColors val="0"/>
        <c:ser>
          <c:idx val="1"/>
          <c:order val="1"/>
          <c:tx>
            <c:strRef>
              <c:f>'[zz_wykresiwa RK.xlsx]Arkusz1'!$B$46</c:f>
              <c:strCache>
                <c:ptCount val="1"/>
                <c:pt idx="0">
                  <c:v>Przeciętny miesięczny dochód rozporządzalny na 1 osobę</c:v>
                </c:pt>
              </c:strCache>
            </c:strRef>
          </c:tx>
          <c:cat>
            <c:strRef>
              <c:f>'[zz_wykresiwa RK.xlsx]Arkusz1'!$C$44:$O$44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'[zz_wykresiwa RK.xlsx]Arkusz1'!$C$46:$N$46</c:f>
              <c:numCache>
                <c:formatCode>#,##0.00</c:formatCode>
                <c:ptCount val="12"/>
                <c:pt idx="0">
                  <c:v>762.54</c:v>
                </c:pt>
                <c:pt idx="1">
                  <c:v>834.75</c:v>
                </c:pt>
                <c:pt idx="2">
                  <c:v>903.57</c:v>
                </c:pt>
                <c:pt idx="3">
                  <c:v>1048.9100000000001</c:v>
                </c:pt>
                <c:pt idx="4">
                  <c:v>1139.67</c:v>
                </c:pt>
                <c:pt idx="5">
                  <c:v>1186.9100000000001</c:v>
                </c:pt>
                <c:pt idx="6">
                  <c:v>1231.0999999999999</c:v>
                </c:pt>
                <c:pt idx="7">
                  <c:v>1263.56</c:v>
                </c:pt>
                <c:pt idx="8">
                  <c:v>1255.9000000000001</c:v>
                </c:pt>
                <c:pt idx="9">
                  <c:v>1365.4</c:v>
                </c:pt>
                <c:pt idx="10">
                  <c:v>1426.85</c:v>
                </c:pt>
                <c:pt idx="11">
                  <c:v>1482.9</c:v>
                </c:pt>
              </c:numCache>
            </c:numRef>
          </c:val>
          <c:smooth val="0"/>
          <c:extLst xmlns:c16r2="http://schemas.microsoft.com/office/drawing/2015/06/chart">
            <c:ext xmlns:c16="http://schemas.microsoft.com/office/drawing/2014/chart" uri="{C3380CC4-5D6E-409C-BE32-E72D297353CC}">
              <c16:uniqueId val="{00000001-E948-43F9-B4E4-38362DCD2388}"/>
            </c:ext>
          </c:extLst>
        </c:ser>
        <c:dLbls>
          <c:showLegendKey val="0"/>
          <c:showVal val="0"/>
          <c:showCatName val="0"/>
          <c:showSerName val="0"/>
          <c:showPercent val="0"/>
          <c:showBubbleSize val="0"/>
        </c:dLbls>
        <c:marker val="1"/>
        <c:smooth val="0"/>
        <c:axId val="303831504"/>
        <c:axId val="612016944"/>
      </c:lineChart>
      <c:catAx>
        <c:axId val="361253496"/>
        <c:scaling>
          <c:orientation val="minMax"/>
        </c:scaling>
        <c:delete val="0"/>
        <c:axPos val="b"/>
        <c:numFmt formatCode="General" sourceLinked="0"/>
        <c:majorTickMark val="out"/>
        <c:minorTickMark val="none"/>
        <c:tickLblPos val="nextTo"/>
        <c:crossAx val="346136104"/>
        <c:crosses val="autoZero"/>
        <c:auto val="1"/>
        <c:lblAlgn val="ctr"/>
        <c:lblOffset val="100"/>
        <c:noMultiLvlLbl val="0"/>
      </c:catAx>
      <c:valAx>
        <c:axId val="346136104"/>
        <c:scaling>
          <c:orientation val="minMax"/>
        </c:scaling>
        <c:delete val="0"/>
        <c:axPos val="l"/>
        <c:majorGridlines/>
        <c:title>
          <c:tx>
            <c:rich>
              <a:bodyPr rot="-5400000" vert="horz"/>
              <a:lstStyle/>
              <a:p>
                <a:pPr>
                  <a:defRPr/>
                </a:pPr>
                <a:r>
                  <a:rPr lang="pl-PL"/>
                  <a:t>Liczba ludności</a:t>
                </a:r>
              </a:p>
            </c:rich>
          </c:tx>
          <c:overlay val="0"/>
        </c:title>
        <c:numFmt formatCode="#,##0" sourceLinked="1"/>
        <c:majorTickMark val="out"/>
        <c:minorTickMark val="none"/>
        <c:tickLblPos val="nextTo"/>
        <c:crossAx val="361253496"/>
        <c:crosses val="autoZero"/>
        <c:crossBetween val="between"/>
      </c:valAx>
      <c:valAx>
        <c:axId val="612016944"/>
        <c:scaling>
          <c:orientation val="minMax"/>
        </c:scaling>
        <c:delete val="0"/>
        <c:axPos val="r"/>
        <c:title>
          <c:tx>
            <c:rich>
              <a:bodyPr rot="-5400000" vert="horz"/>
              <a:lstStyle/>
              <a:p>
                <a:pPr>
                  <a:defRPr/>
                </a:pPr>
                <a:r>
                  <a:rPr lang="pl-PL"/>
                  <a:t>dochód rozporządzalny</a:t>
                </a:r>
              </a:p>
            </c:rich>
          </c:tx>
          <c:overlay val="0"/>
        </c:title>
        <c:numFmt formatCode="#,##0.00" sourceLinked="1"/>
        <c:majorTickMark val="out"/>
        <c:minorTickMark val="none"/>
        <c:tickLblPos val="nextTo"/>
        <c:crossAx val="303831504"/>
        <c:crosses val="max"/>
        <c:crossBetween val="between"/>
      </c:valAx>
      <c:catAx>
        <c:axId val="303831504"/>
        <c:scaling>
          <c:orientation val="minMax"/>
        </c:scaling>
        <c:delete val="1"/>
        <c:axPos val="b"/>
        <c:numFmt formatCode="General" sourceLinked="1"/>
        <c:majorTickMark val="out"/>
        <c:minorTickMark val="none"/>
        <c:tickLblPos val="nextTo"/>
        <c:crossAx val="612016944"/>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Lato"/>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'[zz_wykresiwa RK.xlsx]Arkusz1'!$B$120</c:f>
              <c:strCache>
                <c:ptCount val="1"/>
                <c:pt idx="0">
                  <c:v>masa zebranych odpadów komunalnych ogółem [Mg]</c:v>
                </c:pt>
              </c:strCache>
            </c:strRef>
          </c:tx>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'[zz_wykresiwa RK.xlsx]Arkusz1'!$C$119:$O$119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'[zz_wykresiwa RK.xlsx]Arkusz1'!$C$120:$O$120</c:f>
              <c:numCache>
                <c:formatCode>#,##0.00</c:formatCode>
                <c:ptCount val="13"/>
                <c:pt idx="0">
                  <c:v>502490.5</c:v>
                </c:pt>
                <c:pt idx="1">
                  <c:v>507115.06</c:v>
                </c:pt>
                <c:pt idx="2">
                  <c:v>525069.34</c:v>
                </c:pt>
                <c:pt idx="3">
                  <c:v>532997.19999999995</c:v>
                </c:pt>
                <c:pt idx="4">
                  <c:v>539195.22</c:v>
                </c:pt>
                <c:pt idx="5">
                  <c:v>522370.82</c:v>
                </c:pt>
                <c:pt idx="6">
                  <c:v>536797.76</c:v>
                </c:pt>
                <c:pt idx="7">
                  <c:v>511202.72</c:v>
                </c:pt>
                <c:pt idx="8">
                  <c:v>519510.71</c:v>
                </c:pt>
                <c:pt idx="9">
                  <c:v>549442.03</c:v>
                </c:pt>
                <c:pt idx="10">
                  <c:v>576808.9</c:v>
                </c:pt>
                <c:pt idx="11">
                  <c:v>606083.69999999995</c:v>
                </c:pt>
                <c:pt idx="12">
                  <c:v>638533.61</c:v>
                </c:pt>
              </c:numCache>
            </c:numRef>
          </c:val>
          <c:smooth val="0"/>
          <c:extLst xmlns:c16r2="http://schemas.microsoft.com/office/drawing/2015/06/chart">
            <c:ext xmlns:c16="http://schemas.microsoft.com/office/drawing/2014/chart" uri="{C3380CC4-5D6E-409C-BE32-E72D297353CC}">
              <c16:uniqueId val="{00000000-93A7-47ED-A20A-1AB23D40A2ED}"/>
            </c:ext>
          </c:extLst>
        </c:ser>
        <c:dLbls>
          <c:showLegendKey val="0"/>
          <c:showVal val="0"/>
          <c:showCatName val="0"/>
          <c:showSerName val="0"/>
          <c:showPercent val="0"/>
          <c:showBubbleSize val="0"/>
        </c:dLbls>
        <c:marker val="1"/>
        <c:smooth val="0"/>
        <c:axId val="303837384"/>
        <c:axId val="303836208"/>
      </c:lineChart>
      <c:lineChart>
        <c:grouping val="standard"/>
        <c:varyColors val="0"/>
        <c:ser>
          <c:idx val="1"/>
          <c:order val="1"/>
          <c:tx>
            <c:strRef>
              <c:f>'[zz_wykresiwa RK.xlsx]Arkusz1'!$B$121</c:f>
              <c:strCache>
                <c:ptCount val="1"/>
                <c:pt idx="0">
                  <c:v>masa zebranych odpadów zmieszanych [Mg]</c:v>
                </c:pt>
              </c:strCache>
            </c:strRef>
          </c:tx>
          <c:dLbls>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'[zz_wykresiwa RK.xlsx]Arkusz1'!$C$119:$O$119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'[zz_wykresiwa RK.xlsx]Arkusz1'!$C$121:$O$121</c:f>
              <c:numCache>
                <c:formatCode>#,##0.00</c:formatCode>
                <c:ptCount val="13"/>
                <c:pt idx="0">
                  <c:v>489124.76</c:v>
                </c:pt>
                <c:pt idx="1">
                  <c:v>487137.16</c:v>
                </c:pt>
                <c:pt idx="2">
                  <c:v>501183.94</c:v>
                </c:pt>
                <c:pt idx="3">
                  <c:v>499741.5</c:v>
                </c:pt>
                <c:pt idx="4">
                  <c:v>501930.52</c:v>
                </c:pt>
                <c:pt idx="5">
                  <c:v>480651.12</c:v>
                </c:pt>
                <c:pt idx="6">
                  <c:v>481912.46</c:v>
                </c:pt>
                <c:pt idx="7">
                  <c:v>462296.22</c:v>
                </c:pt>
                <c:pt idx="8">
                  <c:v>455152.91</c:v>
                </c:pt>
                <c:pt idx="9">
                  <c:v>451916.43</c:v>
                </c:pt>
                <c:pt idx="10">
                  <c:v>461865.36</c:v>
                </c:pt>
                <c:pt idx="11">
                  <c:v>486078.44</c:v>
                </c:pt>
                <c:pt idx="12">
                  <c:v>492997.26</c:v>
                </c:pt>
              </c:numCache>
            </c:numRef>
          </c:val>
          <c:smooth val="0"/>
          <c:extLst xmlns:c16r2="http://schemas.microsoft.com/office/drawing/2015/06/chart">
            <c:ext xmlns:c16="http://schemas.microsoft.com/office/drawing/2014/chart" uri="{C3380CC4-5D6E-409C-BE32-E72D297353CC}">
              <c16:uniqueId val="{00000001-93A7-47ED-A20A-1AB23D40A2ED}"/>
            </c:ext>
          </c:extLst>
        </c:ser>
        <c:dLbls>
          <c:showLegendKey val="0"/>
          <c:showVal val="0"/>
          <c:showCatName val="0"/>
          <c:showSerName val="0"/>
          <c:showPercent val="0"/>
          <c:showBubbleSize val="0"/>
        </c:dLbls>
        <c:marker val="1"/>
        <c:smooth val="0"/>
        <c:axId val="303836600"/>
        <c:axId val="303833072"/>
      </c:lineChart>
      <c:catAx>
        <c:axId val="303837384"/>
        <c:scaling>
          <c:orientation val="minMax"/>
        </c:scaling>
        <c:delete val="0"/>
        <c:axPos val="b"/>
        <c:numFmt formatCode="General" sourceLinked="0"/>
        <c:majorTickMark val="out"/>
        <c:minorTickMark val="none"/>
        <c:tickLblPos val="nextTo"/>
        <c:txPr>
          <a:bodyPr/>
          <a:lstStyle/>
          <a:p>
            <a:pPr>
              <a:defRPr sz="800"/>
            </a:pPr>
            <a:endParaRPr lang="pl-PL"/>
          </a:p>
        </c:txPr>
        <c:crossAx val="303836208"/>
        <c:crosses val="autoZero"/>
        <c:auto val="1"/>
        <c:lblAlgn val="ctr"/>
        <c:lblOffset val="100"/>
        <c:noMultiLvlLbl val="0"/>
      </c:catAx>
      <c:valAx>
        <c:axId val="303836208"/>
        <c:scaling>
          <c:orientation val="minMax"/>
          <c:min val="400000"/>
        </c:scaling>
        <c:delete val="0"/>
        <c:axPos val="l"/>
        <c:majorGridlines>
          <c:spPr>
            <a:ln w="3175">
              <a:prstDash val="sysDot"/>
            </a:ln>
          </c:spPr>
        </c:majorGridlines>
        <c:numFmt formatCode="#,##0.00" sourceLinked="1"/>
        <c:majorTickMark val="out"/>
        <c:minorTickMark val="none"/>
        <c:tickLblPos val="nextTo"/>
        <c:txPr>
          <a:bodyPr/>
          <a:lstStyle/>
          <a:p>
            <a:pPr>
              <a:defRPr sz="800"/>
            </a:pPr>
            <a:endParaRPr lang="pl-PL"/>
          </a:p>
        </c:txPr>
        <c:crossAx val="303837384"/>
        <c:crosses val="autoZero"/>
        <c:crossBetween val="between"/>
      </c:valAx>
      <c:valAx>
        <c:axId val="303833072"/>
        <c:scaling>
          <c:orientation val="minMax"/>
          <c:max val="850000"/>
          <c:min val="500000"/>
        </c:scaling>
        <c:delete val="1"/>
        <c:axPos val="r"/>
        <c:numFmt formatCode="#,##0.00" sourceLinked="1"/>
        <c:majorTickMark val="out"/>
        <c:minorTickMark val="none"/>
        <c:tickLblPos val="nextTo"/>
        <c:crossAx val="303836600"/>
        <c:crosses val="max"/>
        <c:crossBetween val="between"/>
      </c:valAx>
      <c:catAx>
        <c:axId val="303836600"/>
        <c:scaling>
          <c:orientation val="minMax"/>
        </c:scaling>
        <c:delete val="1"/>
        <c:axPos val="b"/>
        <c:numFmt formatCode="General" sourceLinked="1"/>
        <c:majorTickMark val="out"/>
        <c:minorTickMark val="none"/>
        <c:tickLblPos val="nextTo"/>
        <c:crossAx val="30383307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700">
          <a:latin typeface="Lato"/>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'[RCz Lublin Wskaźniki 26.02.2019 FIN.xlsx]OP 7'!$Q$129</c:f>
              <c:strCache>
                <c:ptCount val="1"/>
                <c:pt idx="0">
                  <c:v>teatr, instytucje muzyczne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'[RCz Lublin Wskaźniki 26.02.2019 FIN.xlsx]OP 7'!$R$128:$AB$128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'[RCz Lublin Wskaźniki 26.02.2019 FIN.xlsx]OP 7'!$R$129:$AB$129</c:f>
              <c:numCache>
                <c:formatCode>0</c:formatCode>
                <c:ptCount val="11"/>
                <c:pt idx="0">
                  <c:v>582.74</c:v>
                </c:pt>
                <c:pt idx="1">
                  <c:v>571.75</c:v>
                </c:pt>
                <c:pt idx="2">
                  <c:v>575.14</c:v>
                </c:pt>
                <c:pt idx="3">
                  <c:v>532.35</c:v>
                </c:pt>
                <c:pt idx="4">
                  <c:v>524.11</c:v>
                </c:pt>
                <c:pt idx="5">
                  <c:v>595.02</c:v>
                </c:pt>
                <c:pt idx="6">
                  <c:v>494.21</c:v>
                </c:pt>
                <c:pt idx="7">
                  <c:v>423.98</c:v>
                </c:pt>
                <c:pt idx="8">
                  <c:v>405.71</c:v>
                </c:pt>
                <c:pt idx="9">
                  <c:v>444</c:v>
                </c:pt>
                <c:pt idx="10">
                  <c:v>422</c:v>
                </c:pt>
              </c:numCache>
            </c:numRef>
          </c:val>
          <c:smooth val="0"/>
          <c:extLst xmlns:c16r2="http://schemas.microsoft.com/office/drawing/2015/06/chart">
            <c:ext xmlns:c16="http://schemas.microsoft.com/office/drawing/2014/chart" uri="{C3380CC4-5D6E-409C-BE32-E72D297353CC}">
              <c16:uniqueId val="{00000000-777C-47C7-81DE-8E1B6B0BDCA7}"/>
            </c:ext>
          </c:extLst>
        </c:ser>
        <c:ser>
          <c:idx val="1"/>
          <c:order val="1"/>
          <c:tx>
            <c:strRef>
              <c:f>'[RCz Lublin Wskaźniki 26.02.2019 FIN.xlsx]OP 7'!$Q$130</c:f>
              <c:strCache>
                <c:ptCount val="1"/>
                <c:pt idx="0">
                  <c:v>kina</c:v>
                </c:pt>
              </c:strCache>
            </c:strRef>
          </c:tx>
          <c:spPr>
            <a:ln w="28575" cap="rnd">
              <a:solidFill>
                <a:schemeClr val="accent2"/>
              </a:solidFill>
              <a:round/>
            </a:ln>
            <a:effectLst/>
          </c:spPr>
          <c:marker>
            <c:symbol val="none"/>
          </c:marker>
          <c:dLbls>
            <c:dLbl>
              <c:idx val="0"/>
              <c:layout>
                <c:manualLayout>
                  <c:x val="-2.2018969602379018E-3"/>
                  <c:y val="-3.4627104258744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7C-47C7-81DE-8E1B6B0BDCA7}"/>
                </c:ext>
                <c:ext xmlns:c15="http://schemas.microsoft.com/office/drawing/2012/chart" uri="{CE6537A1-D6FC-4f65-9D91-7224C49458BB}"/>
              </c:extLst>
            </c:dLbl>
            <c:dLbl>
              <c:idx val="1"/>
              <c:layout>
                <c:manualLayout>
                  <c:x val="-4.4037939204757638E-3"/>
                  <c:y val="-4.4520562618385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7C-47C7-81DE-8E1B6B0BDCA7}"/>
                </c:ext>
                <c:ext xmlns:c15="http://schemas.microsoft.com/office/drawing/2012/chart" uri="{CE6537A1-D6FC-4f65-9D91-7224C49458BB}"/>
              </c:extLst>
            </c:dLbl>
            <c:dLbl>
              <c:idx val="2"/>
              <c:layout>
                <c:manualLayout>
                  <c:x val="0"/>
                  <c:y val="-9.8934583596412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7C-47C7-81DE-8E1B6B0BDCA7}"/>
                </c:ext>
                <c:ext xmlns:c15="http://schemas.microsoft.com/office/drawing/2012/chart" uri="{CE6537A1-D6FC-4f65-9D91-7224C49458BB}"/>
              </c:extLst>
            </c:dLbl>
            <c:dLbl>
              <c:idx val="3"/>
              <c:layout>
                <c:manualLayout>
                  <c:x val="-8.0735289214439323E-17"/>
                  <c:y val="-1.9786916719282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7C-47C7-81DE-8E1B6B0BDCA7}"/>
                </c:ext>
                <c:ext xmlns:c15="http://schemas.microsoft.com/office/drawing/2012/chart" uri="{CE6537A1-D6FC-4f65-9D91-7224C49458BB}"/>
              </c:extLst>
            </c:dLbl>
            <c:dLbl>
              <c:idx val="4"/>
              <c:layout>
                <c:manualLayout>
                  <c:x val="0"/>
                  <c:y val="-1.48401875394619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7C-47C7-81DE-8E1B6B0BDCA7}"/>
                </c:ext>
                <c:ext xmlns:c15="http://schemas.microsoft.com/office/drawing/2012/chart" uri="{CE6537A1-D6FC-4f65-9D91-7224C49458BB}"/>
              </c:extLst>
            </c:dLbl>
            <c:dLbl>
              <c:idx val="5"/>
              <c:layout>
                <c:manualLayout>
                  <c:x val="0"/>
                  <c:y val="-2.9680375078923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7C-47C7-81DE-8E1B6B0BDCA7}"/>
                </c:ext>
                <c:ext xmlns:c15="http://schemas.microsoft.com/office/drawing/2012/chart" uri="{CE6537A1-D6FC-4f65-9D91-7224C49458BB}"/>
              </c:extLst>
            </c:dLbl>
            <c:dLbl>
              <c:idx val="6"/>
              <c:layout>
                <c:manualLayout>
                  <c:x val="-8.0735289214439323E-17"/>
                  <c:y val="-2.9680375078923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7C-47C7-81DE-8E1B6B0BDCA7}"/>
                </c:ext>
                <c:ext xmlns:c15="http://schemas.microsoft.com/office/drawing/2012/chart" uri="{CE6537A1-D6FC-4f65-9D91-7224C49458BB}"/>
              </c:extLst>
            </c:dLbl>
            <c:dLbl>
              <c:idx val="7"/>
              <c:layout>
                <c:manualLayout>
                  <c:x val="-8.0735289214439323E-17"/>
                  <c:y val="-3.4627104258744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7C-47C7-81DE-8E1B6B0BDCA7}"/>
                </c:ext>
                <c:ext xmlns:c15="http://schemas.microsoft.com/office/drawing/2012/chart" uri="{CE6537A1-D6FC-4f65-9D91-7224C49458BB}"/>
              </c:extLst>
            </c:dLbl>
            <c:dLbl>
              <c:idx val="8"/>
              <c:layout>
                <c:manualLayout>
                  <c:x val="-1.6147057842887865E-16"/>
                  <c:y val="-1.9786916719282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7C-47C7-81DE-8E1B6B0BDCA7}"/>
                </c:ext>
                <c:ext xmlns:c15="http://schemas.microsoft.com/office/drawing/2012/chart" uri="{CE6537A1-D6FC-4f65-9D91-7224C49458BB}"/>
              </c:extLst>
            </c:dLbl>
            <c:dLbl>
              <c:idx val="9"/>
              <c:layout>
                <c:manualLayout>
                  <c:x val="0"/>
                  <c:y val="-2.9680375078923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7C-47C7-81DE-8E1B6B0BDCA7}"/>
                </c:ext>
                <c:ext xmlns:c15="http://schemas.microsoft.com/office/drawing/2012/chart" uri="{CE6537A1-D6FC-4f65-9D91-7224C49458BB}"/>
              </c:extLst>
            </c:dLbl>
            <c:dLbl>
              <c:idx val="10"/>
              <c:layout>
                <c:manualLayout>
                  <c:x val="-1.6147057842887865E-16"/>
                  <c:y val="-3.4627104258744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7C-47C7-81DE-8E1B6B0BDC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'[RCz Lublin Wskaźniki 26.02.2019 FIN.xlsx]OP 7'!$R$128:$AB$128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'[RCz Lublin Wskaźniki 26.02.2019 FIN.xlsx]OP 7'!$R$130:$AB$130</c:f>
              <c:numCache>
                <c:formatCode>0</c:formatCode>
                <c:ptCount val="11"/>
                <c:pt idx="0">
                  <c:v>181</c:v>
                </c:pt>
                <c:pt idx="1">
                  <c:v>191</c:v>
                </c:pt>
                <c:pt idx="2">
                  <c:v>210</c:v>
                </c:pt>
                <c:pt idx="3">
                  <c:v>194</c:v>
                </c:pt>
                <c:pt idx="4">
                  <c:v>197</c:v>
                </c:pt>
                <c:pt idx="5">
                  <c:v>173</c:v>
                </c:pt>
                <c:pt idx="6">
                  <c:v>175</c:v>
                </c:pt>
                <c:pt idx="7">
                  <c:v>166</c:v>
                </c:pt>
                <c:pt idx="8">
                  <c:v>156</c:v>
                </c:pt>
                <c:pt idx="9">
                  <c:v>156</c:v>
                </c:pt>
                <c:pt idx="10">
                  <c:v>152</c:v>
                </c:pt>
              </c:numCache>
            </c:numRef>
          </c:val>
          <c:smooth val="0"/>
          <c:extLst xmlns:c16r2="http://schemas.microsoft.com/office/drawing/2015/06/chart">
            <c:ext xmlns:c16="http://schemas.microsoft.com/office/drawing/2014/chart" uri="{C3380CC4-5D6E-409C-BE32-E72D297353CC}">
              <c16:uniqueId val="{0000000C-777C-47C7-81DE-8E1B6B0BDCA7}"/>
            </c:ext>
          </c:extLst>
        </c:ser>
        <c:ser>
          <c:idx val="2"/>
          <c:order val="2"/>
          <c:tx>
            <c:strRef>
              <c:f>'[RCz Lublin Wskaźniki 26.02.2019 FIN.xlsx]OP 7'!$Q$131</c:f>
              <c:strCache>
                <c:ptCount val="1"/>
                <c:pt idx="0">
                  <c:v>teatr, instytucje muzyczne - Polska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'[RCz Lublin Wskaźniki 26.02.2019 FIN.xlsx]OP 7'!$R$128:$AB$128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'[RCz Lublin Wskaźniki 26.02.2019 FIN.xlsx]OP 7'!$R$131:$AB$131</c:f>
              <c:numCache>
                <c:formatCode>0</c:formatCode>
                <c:ptCount val="11"/>
                <c:pt idx="0">
                  <c:v>550.33000000000004</c:v>
                </c:pt>
                <c:pt idx="1">
                  <c:v>543.87</c:v>
                </c:pt>
                <c:pt idx="2">
                  <c:v>541.17999999999995</c:v>
                </c:pt>
                <c:pt idx="3">
                  <c:v>529.54999999999995</c:v>
                </c:pt>
                <c:pt idx="4">
                  <c:v>505.77</c:v>
                </c:pt>
                <c:pt idx="5">
                  <c:v>494.67</c:v>
                </c:pt>
                <c:pt idx="6">
                  <c:v>469.92</c:v>
                </c:pt>
                <c:pt idx="7">
                  <c:v>453.6</c:v>
                </c:pt>
                <c:pt idx="8">
                  <c:v>433.56</c:v>
                </c:pt>
                <c:pt idx="9">
                  <c:v>408</c:v>
                </c:pt>
                <c:pt idx="10">
                  <c:v>405</c:v>
                </c:pt>
              </c:numCache>
            </c:numRef>
          </c:val>
          <c:smooth val="0"/>
          <c:extLst xmlns:c16r2="http://schemas.microsoft.com/office/drawing/2015/06/chart">
            <c:ext xmlns:c16="http://schemas.microsoft.com/office/drawing/2014/chart" uri="{C3380CC4-5D6E-409C-BE32-E72D297353CC}">
              <c16:uniqueId val="{0000000D-777C-47C7-81DE-8E1B6B0BDCA7}"/>
            </c:ext>
          </c:extLst>
        </c:ser>
        <c:ser>
          <c:idx val="3"/>
          <c:order val="3"/>
          <c:tx>
            <c:strRef>
              <c:f>'[RCz Lublin Wskaźniki 26.02.2019 FIN.xlsx]OP 7'!$Q$132</c:f>
              <c:strCache>
                <c:ptCount val="1"/>
                <c:pt idx="0">
                  <c:v>kina - Polska</c:v>
                </c:pt>
              </c:strCache>
            </c:strRef>
          </c:tx>
          <c:spPr>
            <a:ln w="28575" cap="rnd">
              <a:solidFill>
                <a:schemeClr val="accent4"/>
              </a:solidFill>
              <a:round/>
            </a:ln>
            <a:effectLst/>
          </c:spPr>
          <c:marker>
            <c:symbol val="none"/>
          </c:marker>
          <c:dLbls>
            <c:dLbl>
              <c:idx val="5"/>
              <c:layout>
                <c:manualLayout>
                  <c:x val="0"/>
                  <c:y val="1.484018753946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77C-47C7-81DE-8E1B6B0BDCA7}"/>
                </c:ext>
                <c:ext xmlns:c15="http://schemas.microsoft.com/office/drawing/2012/chart" uri="{CE6537A1-D6FC-4f65-9D91-7224C49458BB}"/>
              </c:extLst>
            </c:dLbl>
            <c:dLbl>
              <c:idx val="6"/>
              <c:layout>
                <c:manualLayout>
                  <c:x val="-4.4037939204758843E-3"/>
                  <c:y val="1.9786916719282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77C-47C7-81DE-8E1B6B0BDCA7}"/>
                </c:ext>
                <c:ext xmlns:c15="http://schemas.microsoft.com/office/drawing/2012/chart" uri="{CE6537A1-D6FC-4f65-9D91-7224C49458BB}"/>
              </c:extLst>
            </c:dLbl>
            <c:dLbl>
              <c:idx val="7"/>
              <c:layout>
                <c:manualLayout>
                  <c:x val="-8.0735289214439323E-17"/>
                  <c:y val="1.97869167192824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77C-47C7-81DE-8E1B6B0BDCA7}"/>
                </c:ext>
                <c:ext xmlns:c15="http://schemas.microsoft.com/office/drawing/2012/chart" uri="{CE6537A1-D6FC-4f65-9D91-7224C49458BB}"/>
              </c:extLst>
            </c:dLbl>
            <c:dLbl>
              <c:idx val="8"/>
              <c:layout>
                <c:manualLayout>
                  <c:x val="0"/>
                  <c:y val="3.9573833438564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77C-47C7-81DE-8E1B6B0BDCA7}"/>
                </c:ext>
                <c:ext xmlns:c15="http://schemas.microsoft.com/office/drawing/2012/chart" uri="{CE6537A1-D6FC-4f65-9D91-7224C49458BB}"/>
              </c:extLst>
            </c:dLbl>
            <c:dLbl>
              <c:idx val="9"/>
              <c:layout>
                <c:manualLayout>
                  <c:x val="0"/>
                  <c:y val="2.4733645899102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77C-47C7-81DE-8E1B6B0BDC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'[RCz Lublin Wskaźniki 26.02.2019 FIN.xlsx]OP 7'!$R$128:$AB$128</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'[RCz Lublin Wskaźniki 26.02.2019 FIN.xlsx]OP 7'!$R$132:$AB$132</c:f>
              <c:numCache>
                <c:formatCode>0</c:formatCode>
                <c:ptCount val="11"/>
                <c:pt idx="0">
                  <c:v>156</c:v>
                </c:pt>
                <c:pt idx="1">
                  <c:v>153</c:v>
                </c:pt>
                <c:pt idx="2">
                  <c:v>154</c:v>
                </c:pt>
                <c:pt idx="3">
                  <c:v>155</c:v>
                </c:pt>
                <c:pt idx="4">
                  <c:v>155</c:v>
                </c:pt>
                <c:pt idx="5">
                  <c:v>149</c:v>
                </c:pt>
                <c:pt idx="6">
                  <c:v>142</c:v>
                </c:pt>
                <c:pt idx="7">
                  <c:v>144</c:v>
                </c:pt>
                <c:pt idx="8">
                  <c:v>142</c:v>
                </c:pt>
                <c:pt idx="9">
                  <c:v>136</c:v>
                </c:pt>
                <c:pt idx="10">
                  <c:v>133</c:v>
                </c:pt>
              </c:numCache>
            </c:numRef>
          </c:val>
          <c:smooth val="0"/>
          <c:extLst xmlns:c16r2="http://schemas.microsoft.com/office/drawing/2015/06/chart">
            <c:ext xmlns:c16="http://schemas.microsoft.com/office/drawing/2014/chart" uri="{C3380CC4-5D6E-409C-BE32-E72D297353CC}">
              <c16:uniqueId val="{00000013-777C-47C7-81DE-8E1B6B0BDCA7}"/>
            </c:ext>
          </c:extLst>
        </c:ser>
        <c:dLbls>
          <c:showLegendKey val="0"/>
          <c:showVal val="0"/>
          <c:showCatName val="0"/>
          <c:showSerName val="0"/>
          <c:showPercent val="0"/>
          <c:showBubbleSize val="0"/>
        </c:dLbls>
        <c:smooth val="0"/>
        <c:axId val="303831112"/>
        <c:axId val="303842872"/>
      </c:lineChart>
      <c:catAx>
        <c:axId val="30383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42872"/>
        <c:crosses val="autoZero"/>
        <c:auto val="1"/>
        <c:lblAlgn val="ctr"/>
        <c:lblOffset val="100"/>
        <c:noMultiLvlLbl val="0"/>
      </c:catAx>
      <c:valAx>
        <c:axId val="30384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3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TABLICA!$A$64</c:f>
              <c:strCache>
                <c:ptCount val="1"/>
                <c:pt idx="0">
                  <c:v>Zachodniopomorskie</c:v>
                </c:pt>
              </c:strCache>
            </c:strRef>
          </c:tx>
          <c:marker>
            <c:symbol val="none"/>
          </c:marker>
          <c:dLbls>
            <c:dLbl>
              <c:idx val="3"/>
              <c:layout>
                <c:manualLayout>
                  <c:x val="-3.7458442694663217E-2"/>
                  <c:y val="3.67416235132770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2C-40C2-84A4-F1DA811C28BD}"/>
                </c:ext>
                <c:ext xmlns:c15="http://schemas.microsoft.com/office/drawing/2012/chart" uri="{CE6537A1-D6FC-4f65-9D91-7224C49458BB}"/>
              </c:extLst>
            </c:dLbl>
            <c:dLbl>
              <c:idx val="4"/>
              <c:layout>
                <c:manualLayout>
                  <c:x val="-2.3569553805774277E-2"/>
                  <c:y val="6.07656475373010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2C-40C2-84A4-F1DA811C28BD}"/>
                </c:ext>
                <c:ext xmlns:c15="http://schemas.microsoft.com/office/drawing/2012/chart" uri="{CE6537A1-D6FC-4f65-9D91-7224C49458BB}"/>
              </c:extLst>
            </c:dLbl>
            <c:spPr>
              <a:noFill/>
              <a:ln w="25388">
                <a:noFill/>
              </a:ln>
            </c:spPr>
            <c:txPr>
              <a:bodyPr/>
              <a:lstStyle/>
              <a:p>
                <a:pPr>
                  <a:defRPr sz="800">
                    <a:solidFill>
                      <a:srgbClr val="7030A0"/>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TABLICA!$B$63:$F$63</c:f>
              <c:strCache>
                <c:ptCount val="5"/>
                <c:pt idx="0">
                  <c:v>2012</c:v>
                </c:pt>
                <c:pt idx="1">
                  <c:v>2013</c:v>
                </c:pt>
                <c:pt idx="2">
                  <c:v>2014</c:v>
                </c:pt>
                <c:pt idx="3">
                  <c:v>2015</c:v>
                </c:pt>
                <c:pt idx="4">
                  <c:v>2016</c:v>
                </c:pt>
              </c:strCache>
            </c:strRef>
          </c:cat>
          <c:val>
            <c:numRef>
              <c:f>TABLICA!$B$64:$F$64</c:f>
              <c:numCache>
                <c:formatCode>#\ ##0.0</c:formatCode>
                <c:ptCount val="5"/>
                <c:pt idx="0">
                  <c:v>18.899999999999999</c:v>
                </c:pt>
                <c:pt idx="1">
                  <c:v>21.4</c:v>
                </c:pt>
                <c:pt idx="2">
                  <c:v>27</c:v>
                </c:pt>
                <c:pt idx="3">
                  <c:v>35.299999999999997</c:v>
                </c:pt>
                <c:pt idx="4">
                  <c:v>46.6</c:v>
                </c:pt>
              </c:numCache>
            </c:numRef>
          </c:val>
          <c:smooth val="0"/>
          <c:extLst xmlns:c16r2="http://schemas.microsoft.com/office/drawing/2015/06/chart">
            <c:ext xmlns:c16="http://schemas.microsoft.com/office/drawing/2014/chart" uri="{C3380CC4-5D6E-409C-BE32-E72D297353CC}">
              <c16:uniqueId val="{00000002-902C-40C2-84A4-F1DA811C28BD}"/>
            </c:ext>
          </c:extLst>
        </c:ser>
        <c:ser>
          <c:idx val="1"/>
          <c:order val="1"/>
          <c:tx>
            <c:strRef>
              <c:f>TABLICA!$A$65</c:f>
              <c:strCache>
                <c:ptCount val="1"/>
                <c:pt idx="0">
                  <c:v>POLSKA</c:v>
                </c:pt>
              </c:strCache>
            </c:strRef>
          </c:tx>
          <c:marker>
            <c:symbol val="none"/>
          </c:marker>
          <c:dLbls>
            <c:spPr>
              <a:noFill/>
              <a:ln w="25388">
                <a:noFill/>
              </a:ln>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TABLICA!$B$63:$F$63</c:f>
              <c:strCache>
                <c:ptCount val="5"/>
                <c:pt idx="0">
                  <c:v>2012</c:v>
                </c:pt>
                <c:pt idx="1">
                  <c:v>2013</c:v>
                </c:pt>
                <c:pt idx="2">
                  <c:v>2014</c:v>
                </c:pt>
                <c:pt idx="3">
                  <c:v>2015</c:v>
                </c:pt>
                <c:pt idx="4">
                  <c:v>2016</c:v>
                </c:pt>
              </c:strCache>
            </c:strRef>
          </c:cat>
          <c:val>
            <c:numRef>
              <c:f>TABLICA!$B$65:$F$65</c:f>
              <c:numCache>
                <c:formatCode>#\ ##0.0</c:formatCode>
                <c:ptCount val="5"/>
                <c:pt idx="0">
                  <c:v>32.299999999999997</c:v>
                </c:pt>
                <c:pt idx="1">
                  <c:v>37.299999999999997</c:v>
                </c:pt>
                <c:pt idx="2">
                  <c:v>39</c:v>
                </c:pt>
                <c:pt idx="3">
                  <c:v>39</c:v>
                </c:pt>
                <c:pt idx="4">
                  <c:v>53.1</c:v>
                </c:pt>
              </c:numCache>
            </c:numRef>
          </c:val>
          <c:smooth val="0"/>
          <c:extLst xmlns:c16r2="http://schemas.microsoft.com/office/drawing/2015/06/chart">
            <c:ext xmlns:c16="http://schemas.microsoft.com/office/drawing/2014/chart" uri="{C3380CC4-5D6E-409C-BE32-E72D297353CC}">
              <c16:uniqueId val="{00000003-902C-40C2-84A4-F1DA811C28BD}"/>
            </c:ext>
          </c:extLst>
        </c:ser>
        <c:dLbls>
          <c:showLegendKey val="0"/>
          <c:showVal val="0"/>
          <c:showCatName val="0"/>
          <c:showSerName val="0"/>
          <c:showPercent val="0"/>
          <c:showBubbleSize val="0"/>
        </c:dLbls>
        <c:smooth val="0"/>
        <c:axId val="417006360"/>
        <c:axId val="417002832"/>
      </c:lineChart>
      <c:catAx>
        <c:axId val="417006360"/>
        <c:scaling>
          <c:orientation val="minMax"/>
        </c:scaling>
        <c:delete val="0"/>
        <c:axPos val="b"/>
        <c:numFmt formatCode="General" sourceLinked="0"/>
        <c:majorTickMark val="out"/>
        <c:minorTickMark val="none"/>
        <c:tickLblPos val="nextTo"/>
        <c:crossAx val="417002832"/>
        <c:crosses val="autoZero"/>
        <c:auto val="1"/>
        <c:lblAlgn val="ctr"/>
        <c:lblOffset val="100"/>
        <c:noMultiLvlLbl val="0"/>
      </c:catAx>
      <c:valAx>
        <c:axId val="417002832"/>
        <c:scaling>
          <c:orientation val="minMax"/>
        </c:scaling>
        <c:delete val="0"/>
        <c:axPos val="l"/>
        <c:majorGridlines/>
        <c:numFmt formatCode="#,##0" sourceLinked="0"/>
        <c:majorTickMark val="out"/>
        <c:minorTickMark val="none"/>
        <c:tickLblPos val="nextTo"/>
        <c:crossAx val="417006360"/>
        <c:crosses val="autoZero"/>
        <c:crossBetween val="between"/>
      </c:valAx>
    </c:plotArea>
    <c:legend>
      <c:legendPos val="r"/>
      <c:overlay val="0"/>
    </c:legend>
    <c:plotVisOnly val="1"/>
    <c:dispBlanksAs val="gap"/>
    <c:showDLblsOverMax val="0"/>
  </c:chart>
  <c:txPr>
    <a:bodyPr/>
    <a:lstStyle/>
    <a:p>
      <a:pPr>
        <a:defRPr sz="900"/>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Arkusz1!$H$3</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Arkusz1!$I$2:$L$2</c:f>
              <c:numCache>
                <c:formatCode>General</c:formatCode>
                <c:ptCount val="4"/>
                <c:pt idx="0">
                  <c:v>2014</c:v>
                </c:pt>
                <c:pt idx="1">
                  <c:v>2015</c:v>
                </c:pt>
                <c:pt idx="2">
                  <c:v>2016</c:v>
                </c:pt>
                <c:pt idx="3">
                  <c:v>2017</c:v>
                </c:pt>
              </c:numCache>
            </c:numRef>
          </c:cat>
          <c:val>
            <c:numRef>
              <c:f>Arkusz1!$I$3:$L$3</c:f>
              <c:numCache>
                <c:formatCode>General</c:formatCode>
                <c:ptCount val="4"/>
                <c:pt idx="0">
                  <c:v>1418</c:v>
                </c:pt>
                <c:pt idx="1">
                  <c:v>1298</c:v>
                </c:pt>
                <c:pt idx="2">
                  <c:v>1332</c:v>
                </c:pt>
                <c:pt idx="3">
                  <c:v>1232</c:v>
                </c:pt>
              </c:numCache>
            </c:numRef>
          </c:val>
          <c:smooth val="0"/>
          <c:extLst xmlns:c16r2="http://schemas.microsoft.com/office/drawing/2015/06/chart">
            <c:ext xmlns:c16="http://schemas.microsoft.com/office/drawing/2014/chart" uri="{C3380CC4-5D6E-409C-BE32-E72D297353CC}">
              <c16:uniqueId val="{00000000-C66D-45A7-83D8-AAE0473F53A4}"/>
            </c:ext>
          </c:extLst>
        </c:ser>
        <c:dLbls>
          <c:showLegendKey val="0"/>
          <c:showVal val="0"/>
          <c:showCatName val="0"/>
          <c:showSerName val="0"/>
          <c:showPercent val="0"/>
          <c:showBubbleSize val="0"/>
        </c:dLbls>
        <c:smooth val="0"/>
        <c:axId val="303837776"/>
        <c:axId val="303831896"/>
      </c:lineChart>
      <c:catAx>
        <c:axId val="30383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3831896"/>
        <c:crosses val="autoZero"/>
        <c:auto val="1"/>
        <c:lblAlgn val="ctr"/>
        <c:lblOffset val="100"/>
        <c:noMultiLvlLbl val="0"/>
      </c:catAx>
      <c:valAx>
        <c:axId val="303831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3837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Arkusz2!$C$4</c:f>
              <c:strCache>
                <c:ptCount val="1"/>
                <c:pt idx="0">
                  <c:v>Całkowita długość nowych dróg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Arkusz2!$D$3:$G$3</c:f>
              <c:strCache>
                <c:ptCount val="4"/>
                <c:pt idx="0">
                  <c:v>Działanie 5.1</c:v>
                </c:pt>
                <c:pt idx="1">
                  <c:v>Działanie 5.2</c:v>
                </c:pt>
                <c:pt idx="2">
                  <c:v>Działanie 5.3</c:v>
                </c:pt>
                <c:pt idx="3">
                  <c:v>Działanie 5.4</c:v>
                </c:pt>
              </c:strCache>
            </c:strRef>
          </c:cat>
          <c:val>
            <c:numRef>
              <c:f>Arkusz2!$D$4:$G$4</c:f>
              <c:numCache>
                <c:formatCode>0%</c:formatCode>
                <c:ptCount val="4"/>
                <c:pt idx="0">
                  <c:v>0.66</c:v>
                </c:pt>
                <c:pt idx="1">
                  <c:v>0.15</c:v>
                </c:pt>
                <c:pt idx="2">
                  <c:v>0.18</c:v>
                </c:pt>
                <c:pt idx="3">
                  <c:v>0</c:v>
                </c:pt>
              </c:numCache>
            </c:numRef>
          </c:val>
          <c:extLst xmlns:c16r2="http://schemas.microsoft.com/office/drawing/2015/06/chart">
            <c:ext xmlns:c16="http://schemas.microsoft.com/office/drawing/2014/chart" uri="{C3380CC4-5D6E-409C-BE32-E72D297353CC}">
              <c16:uniqueId val="{00000000-0731-4C5A-9859-2B2C33663990}"/>
            </c:ext>
          </c:extLst>
        </c:ser>
        <c:ser>
          <c:idx val="1"/>
          <c:order val="1"/>
          <c:tx>
            <c:strRef>
              <c:f>Arkusz2!$C$5</c:f>
              <c:strCache>
                <c:ptCount val="1"/>
                <c:pt idx="0">
                  <c:v>Całkowita długość przebudowanych lub zmodernizowanych dróg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Arkusz2!$D$3:$G$3</c:f>
              <c:strCache>
                <c:ptCount val="4"/>
                <c:pt idx="0">
                  <c:v>Działanie 5.1</c:v>
                </c:pt>
                <c:pt idx="1">
                  <c:v>Działanie 5.2</c:v>
                </c:pt>
                <c:pt idx="2">
                  <c:v>Działanie 5.3</c:v>
                </c:pt>
                <c:pt idx="3">
                  <c:v>Działanie 5.4</c:v>
                </c:pt>
              </c:strCache>
            </c:strRef>
          </c:cat>
          <c:val>
            <c:numRef>
              <c:f>Arkusz2!$D$5:$G$5</c:f>
              <c:numCache>
                <c:formatCode>0%</c:formatCode>
                <c:ptCount val="4"/>
                <c:pt idx="0">
                  <c:v>0.7</c:v>
                </c:pt>
                <c:pt idx="1">
                  <c:v>0.08</c:v>
                </c:pt>
                <c:pt idx="2">
                  <c:v>0.05</c:v>
                </c:pt>
                <c:pt idx="3">
                  <c:v>0.16</c:v>
                </c:pt>
              </c:numCache>
            </c:numRef>
          </c:val>
          <c:extLst xmlns:c16r2="http://schemas.microsoft.com/office/drawing/2015/06/chart">
            <c:ext xmlns:c16="http://schemas.microsoft.com/office/drawing/2014/chart" uri="{C3380CC4-5D6E-409C-BE32-E72D297353CC}">
              <c16:uniqueId val="{00000001-0731-4C5A-9859-2B2C33663990}"/>
            </c:ext>
          </c:extLst>
        </c:ser>
        <c:dLbls>
          <c:dLblPos val="outEnd"/>
          <c:showLegendKey val="0"/>
          <c:showVal val="1"/>
          <c:showCatName val="0"/>
          <c:showSerName val="0"/>
          <c:showPercent val="0"/>
          <c:showBubbleSize val="0"/>
        </c:dLbls>
        <c:gapWidth val="219"/>
        <c:overlap val="-27"/>
        <c:axId val="303838168"/>
        <c:axId val="303833464"/>
      </c:barChart>
      <c:catAx>
        <c:axId val="30383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33464"/>
        <c:crosses val="autoZero"/>
        <c:auto val="1"/>
        <c:lblAlgn val="ctr"/>
        <c:lblOffset val="100"/>
        <c:noMultiLvlLbl val="0"/>
      </c:catAx>
      <c:valAx>
        <c:axId val="303833464"/>
        <c:scaling>
          <c:orientation val="minMax"/>
        </c:scaling>
        <c:delete val="1"/>
        <c:axPos val="l"/>
        <c:numFmt formatCode="0%" sourceLinked="1"/>
        <c:majorTickMark val="none"/>
        <c:minorTickMark val="none"/>
        <c:tickLblPos val="nextTo"/>
        <c:crossAx val="30383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bezrobocie!$A$2:$A$7</c:f>
              <c:numCache>
                <c:formatCode>General</c:formatCode>
                <c:ptCount val="6"/>
                <c:pt idx="0">
                  <c:v>2012</c:v>
                </c:pt>
                <c:pt idx="1">
                  <c:v>2013</c:v>
                </c:pt>
                <c:pt idx="2">
                  <c:v>2014</c:v>
                </c:pt>
                <c:pt idx="3">
                  <c:v>2015</c:v>
                </c:pt>
                <c:pt idx="4">
                  <c:v>2016</c:v>
                </c:pt>
                <c:pt idx="5">
                  <c:v>2017</c:v>
                </c:pt>
              </c:numCache>
            </c:numRef>
          </c:cat>
          <c:val>
            <c:numRef>
              <c:f>bezrobocie!$B$2:$B$7</c:f>
              <c:numCache>
                <c:formatCode>0%</c:formatCode>
                <c:ptCount val="6"/>
                <c:pt idx="0" formatCode="0.0%">
                  <c:v>0.182</c:v>
                </c:pt>
                <c:pt idx="1">
                  <c:v>0.18</c:v>
                </c:pt>
                <c:pt idx="2" formatCode="0.0%">
                  <c:v>0.155</c:v>
                </c:pt>
                <c:pt idx="3" formatCode="0.0%">
                  <c:v>0.13100000000000001</c:v>
                </c:pt>
                <c:pt idx="4" formatCode="0.0%">
                  <c:v>0.109</c:v>
                </c:pt>
                <c:pt idx="5" formatCode="0.0%">
                  <c:v>8.6999999999999994E-2</c:v>
                </c:pt>
              </c:numCache>
            </c:numRef>
          </c:val>
          <c:smooth val="0"/>
          <c:extLst xmlns:c16r2="http://schemas.microsoft.com/office/drawing/2015/06/chart">
            <c:ext xmlns:c16="http://schemas.microsoft.com/office/drawing/2014/chart" uri="{C3380CC4-5D6E-409C-BE32-E72D297353CC}">
              <c16:uniqueId val="{00000000-DB21-4E05-88CE-BDC9127F93D9}"/>
            </c:ext>
          </c:extLst>
        </c:ser>
        <c:dLbls>
          <c:dLblPos val="t"/>
          <c:showLegendKey val="0"/>
          <c:showVal val="1"/>
          <c:showCatName val="0"/>
          <c:showSerName val="0"/>
          <c:showPercent val="0"/>
          <c:showBubbleSize val="0"/>
        </c:dLbls>
        <c:smooth val="0"/>
        <c:axId val="303838560"/>
        <c:axId val="303835816"/>
      </c:lineChart>
      <c:catAx>
        <c:axId val="303838560"/>
        <c:scaling>
          <c:orientation val="minMax"/>
        </c:scaling>
        <c:delete val="0"/>
        <c:axPos val="b"/>
        <c:numFmt formatCode="General" sourceLinked="1"/>
        <c:majorTickMark val="out"/>
        <c:minorTickMark val="none"/>
        <c:tickLblPos val="nextTo"/>
        <c:crossAx val="303835816"/>
        <c:crosses val="autoZero"/>
        <c:auto val="1"/>
        <c:lblAlgn val="ctr"/>
        <c:lblOffset val="100"/>
        <c:noMultiLvlLbl val="0"/>
      </c:catAx>
      <c:valAx>
        <c:axId val="303835816"/>
        <c:scaling>
          <c:orientation val="minMax"/>
        </c:scaling>
        <c:delete val="1"/>
        <c:axPos val="l"/>
        <c:numFmt formatCode="0.0%" sourceLinked="1"/>
        <c:majorTickMark val="out"/>
        <c:minorTickMark val="none"/>
        <c:tickLblPos val="nextTo"/>
        <c:crossAx val="303838560"/>
        <c:crosses val="autoZero"/>
        <c:crossBetween val="between"/>
      </c:valAx>
    </c:plotArea>
    <c:plotVisOnly val="1"/>
    <c:dispBlanksAs val="gap"/>
    <c:showDLblsOverMax val="0"/>
  </c:chart>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'zatrudnienie niepełnospr'!$A$2:$A$7</c:f>
              <c:numCache>
                <c:formatCode>General</c:formatCode>
                <c:ptCount val="6"/>
                <c:pt idx="0">
                  <c:v>2012</c:v>
                </c:pt>
                <c:pt idx="1">
                  <c:v>2013</c:v>
                </c:pt>
                <c:pt idx="2">
                  <c:v>2014</c:v>
                </c:pt>
                <c:pt idx="3">
                  <c:v>2015</c:v>
                </c:pt>
                <c:pt idx="4">
                  <c:v>2016</c:v>
                </c:pt>
                <c:pt idx="5">
                  <c:v>2017</c:v>
                </c:pt>
              </c:numCache>
            </c:numRef>
          </c:cat>
          <c:val>
            <c:numRef>
              <c:f>'zatrudnienie niepełnospr'!$B$2:$B$7</c:f>
              <c:numCache>
                <c:formatCode>0.0%</c:formatCode>
                <c:ptCount val="6"/>
                <c:pt idx="0">
                  <c:v>0.156</c:v>
                </c:pt>
                <c:pt idx="1">
                  <c:v>0.16300000000000001</c:v>
                </c:pt>
                <c:pt idx="2" formatCode="0%">
                  <c:v>0.2</c:v>
                </c:pt>
                <c:pt idx="3">
                  <c:v>0.14899999999999999</c:v>
                </c:pt>
                <c:pt idx="4">
                  <c:v>0.16500000000000001</c:v>
                </c:pt>
                <c:pt idx="5">
                  <c:v>0.189</c:v>
                </c:pt>
              </c:numCache>
            </c:numRef>
          </c:val>
          <c:smooth val="0"/>
          <c:extLst xmlns:c16r2="http://schemas.microsoft.com/office/drawing/2015/06/chart">
            <c:ext xmlns:c16="http://schemas.microsoft.com/office/drawing/2014/chart" uri="{C3380CC4-5D6E-409C-BE32-E72D297353CC}">
              <c16:uniqueId val="{00000000-69F0-4F78-A5C1-78456B6181C5}"/>
            </c:ext>
          </c:extLst>
        </c:ser>
        <c:dLbls>
          <c:dLblPos val="t"/>
          <c:showLegendKey val="0"/>
          <c:showVal val="1"/>
          <c:showCatName val="0"/>
          <c:showSerName val="0"/>
          <c:showPercent val="0"/>
          <c:showBubbleSize val="0"/>
        </c:dLbls>
        <c:smooth val="0"/>
        <c:axId val="303834640"/>
        <c:axId val="303835032"/>
      </c:lineChart>
      <c:catAx>
        <c:axId val="303834640"/>
        <c:scaling>
          <c:orientation val="minMax"/>
        </c:scaling>
        <c:delete val="0"/>
        <c:axPos val="b"/>
        <c:numFmt formatCode="General" sourceLinked="1"/>
        <c:majorTickMark val="out"/>
        <c:minorTickMark val="none"/>
        <c:tickLblPos val="nextTo"/>
        <c:crossAx val="303835032"/>
        <c:crosses val="autoZero"/>
        <c:auto val="1"/>
        <c:lblAlgn val="ctr"/>
        <c:lblOffset val="100"/>
        <c:noMultiLvlLbl val="0"/>
      </c:catAx>
      <c:valAx>
        <c:axId val="303835032"/>
        <c:scaling>
          <c:orientation val="minMax"/>
        </c:scaling>
        <c:delete val="1"/>
        <c:axPos val="l"/>
        <c:numFmt formatCode="0.0%" sourceLinked="1"/>
        <c:majorTickMark val="out"/>
        <c:minorTickMark val="none"/>
        <c:tickLblPos val="nextTo"/>
        <c:crossAx val="303834640"/>
        <c:crosses val="autoZero"/>
        <c:crossBetween val="between"/>
      </c:valAx>
    </c:plotArea>
    <c:plotVisOnly val="1"/>
    <c:dispBlanksAs val="gap"/>
    <c:showDLblsOverMax val="0"/>
  </c:chart>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2"/>
              <c:layout>
                <c:manualLayout>
                  <c:x val="-5.0925337632079971E-17"/>
                  <c:y val="6.9444444444444448E-2"/>
                </c:manualLayout>
              </c:layout>
              <c:spPr>
                <a:noFill/>
                <a:ln w="25373">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B7-4373-BB10-59AEDE7CFB13}"/>
                </c:ext>
                <c:ext xmlns:c15="http://schemas.microsoft.com/office/drawing/2012/chart" uri="{CE6537A1-D6FC-4f65-9D91-7224C49458BB}"/>
              </c:extLst>
            </c:dLbl>
            <c:dLbl>
              <c:idx val="3"/>
              <c:layout>
                <c:manualLayout>
                  <c:x val="0"/>
                  <c:y val="-3.2407407407407406E-2"/>
                </c:manualLayout>
              </c:layout>
              <c:spPr>
                <a:noFill/>
                <a:ln w="25373">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B7-4373-BB10-59AEDE7CFB13}"/>
                </c:ext>
                <c:ext xmlns:c15="http://schemas.microsoft.com/office/drawing/2012/chart" uri="{CE6537A1-D6FC-4f65-9D91-7224C49458BB}"/>
              </c:extLst>
            </c:dLbl>
            <c:dLbl>
              <c:idx val="4"/>
              <c:layout>
                <c:manualLayout>
                  <c:x val="0"/>
                  <c:y val="6.9444444444444364E-2"/>
                </c:manualLayout>
              </c:layout>
              <c:spPr>
                <a:noFill/>
                <a:ln w="25373">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B7-4373-BB10-59AEDE7CFB13}"/>
                </c:ext>
                <c:ext xmlns:c15="http://schemas.microsoft.com/office/drawing/2012/chart" uri="{CE6537A1-D6FC-4f65-9D91-7224C49458BB}"/>
              </c:extLst>
            </c:dLbl>
            <c:dLbl>
              <c:idx val="5"/>
              <c:layout>
                <c:manualLayout>
                  <c:x val="-1.0185067526415994E-16"/>
                  <c:y val="-1.3888888888888888E-2"/>
                </c:manualLayout>
              </c:layout>
              <c:spPr>
                <a:noFill/>
                <a:ln w="25373">
                  <a:noFill/>
                </a:ln>
              </c:spPr>
              <c:txPr>
                <a:bodyPr wrap="square" lIns="38100" tIns="19050" rIns="38100" bIns="19050" anchor="ctr">
                  <a:spAutoFit/>
                </a:bodyPr>
                <a:lstStyle/>
                <a:p>
                  <a:pPr>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B7-4373-BB10-59AEDE7CFB13}"/>
                </c:ext>
                <c:ext xmlns:c15="http://schemas.microsoft.com/office/drawing/2012/chart" uri="{CE6537A1-D6FC-4f65-9D91-7224C49458BB}"/>
              </c:extLst>
            </c:dLbl>
            <c:spPr>
              <a:noFill/>
              <a:ln w="2537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'udział bezrobotnych długotr'!$A$1:$A$6</c:f>
              <c:numCache>
                <c:formatCode>General</c:formatCode>
                <c:ptCount val="6"/>
                <c:pt idx="0">
                  <c:v>2012</c:v>
                </c:pt>
                <c:pt idx="1">
                  <c:v>2013</c:v>
                </c:pt>
                <c:pt idx="2">
                  <c:v>2014</c:v>
                </c:pt>
                <c:pt idx="3">
                  <c:v>2015</c:v>
                </c:pt>
                <c:pt idx="4">
                  <c:v>2016</c:v>
                </c:pt>
                <c:pt idx="5">
                  <c:v>2017</c:v>
                </c:pt>
              </c:numCache>
            </c:numRef>
          </c:cat>
          <c:val>
            <c:numRef>
              <c:f>'udział bezrobotnych długotr'!$B$1:$B$6</c:f>
              <c:numCache>
                <c:formatCode>0.00%</c:formatCode>
                <c:ptCount val="6"/>
                <c:pt idx="0" formatCode="0.0%">
                  <c:v>0.55700000000000005</c:v>
                </c:pt>
                <c:pt idx="1">
                  <c:v>0.57499999999999996</c:v>
                </c:pt>
                <c:pt idx="2">
                  <c:v>0.65</c:v>
                </c:pt>
                <c:pt idx="3">
                  <c:v>0.64700000000000002</c:v>
                </c:pt>
                <c:pt idx="4">
                  <c:v>0.63900000000000001</c:v>
                </c:pt>
                <c:pt idx="5">
                  <c:v>0.64600000000000002</c:v>
                </c:pt>
              </c:numCache>
            </c:numRef>
          </c:val>
          <c:smooth val="0"/>
          <c:extLst xmlns:c16r2="http://schemas.microsoft.com/office/drawing/2015/06/chart">
            <c:ext xmlns:c16="http://schemas.microsoft.com/office/drawing/2014/chart" uri="{C3380CC4-5D6E-409C-BE32-E72D297353CC}">
              <c16:uniqueId val="{00000004-46B7-4373-BB10-59AEDE7CFB13}"/>
            </c:ext>
          </c:extLst>
        </c:ser>
        <c:dLbls>
          <c:showLegendKey val="0"/>
          <c:showVal val="0"/>
          <c:showCatName val="0"/>
          <c:showSerName val="0"/>
          <c:showPercent val="0"/>
          <c:showBubbleSize val="0"/>
        </c:dLbls>
        <c:smooth val="0"/>
        <c:axId val="303835424"/>
        <c:axId val="303836992"/>
      </c:lineChart>
      <c:catAx>
        <c:axId val="303835424"/>
        <c:scaling>
          <c:orientation val="minMax"/>
        </c:scaling>
        <c:delete val="0"/>
        <c:axPos val="b"/>
        <c:numFmt formatCode="General" sourceLinked="1"/>
        <c:majorTickMark val="out"/>
        <c:minorTickMark val="none"/>
        <c:tickLblPos val="nextTo"/>
        <c:crossAx val="303836992"/>
        <c:crosses val="autoZero"/>
        <c:auto val="1"/>
        <c:lblAlgn val="ctr"/>
        <c:lblOffset val="100"/>
        <c:noMultiLvlLbl val="0"/>
      </c:catAx>
      <c:valAx>
        <c:axId val="303836992"/>
        <c:scaling>
          <c:orientation val="minMax"/>
        </c:scaling>
        <c:delete val="1"/>
        <c:axPos val="l"/>
        <c:numFmt formatCode="0.0%" sourceLinked="1"/>
        <c:majorTickMark val="out"/>
        <c:minorTickMark val="none"/>
        <c:tickLblPos val="nextTo"/>
        <c:crossAx val="303835424"/>
        <c:crosses val="autoZero"/>
        <c:crossBetween val="between"/>
      </c:valAx>
    </c:plotArea>
    <c:plotVisOnly val="1"/>
    <c:dispBlanksAs val="gap"/>
    <c:showDLblsOverMax val="0"/>
  </c:chart>
  <c:spPr>
    <a:noFill/>
    <a:ln>
      <a:solidFill>
        <a:sysClr val="window" lastClr="FFFFFF">
          <a:lumMod val="85000"/>
        </a:sysClr>
      </a:solidFill>
    </a:ln>
  </c:spPr>
  <c:txPr>
    <a:bodyPr/>
    <a:lstStyle/>
    <a:p>
      <a:pPr>
        <a:defRPr sz="899">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'ubost rela'!$A$1:$A$6</c:f>
              <c:numCache>
                <c:formatCode>General</c:formatCode>
                <c:ptCount val="6"/>
                <c:pt idx="0">
                  <c:v>2012</c:v>
                </c:pt>
                <c:pt idx="1">
                  <c:v>2013</c:v>
                </c:pt>
                <c:pt idx="2">
                  <c:v>2014</c:v>
                </c:pt>
                <c:pt idx="3">
                  <c:v>2015</c:v>
                </c:pt>
                <c:pt idx="4">
                  <c:v>2016</c:v>
                </c:pt>
                <c:pt idx="5">
                  <c:v>2017</c:v>
                </c:pt>
              </c:numCache>
            </c:numRef>
          </c:cat>
          <c:val>
            <c:numRef>
              <c:f>'ubost rela'!$B$1:$B$6</c:f>
              <c:numCache>
                <c:formatCode>0.0%</c:formatCode>
                <c:ptCount val="6"/>
                <c:pt idx="0">
                  <c:v>0.14799999999999999</c:v>
                </c:pt>
                <c:pt idx="1">
                  <c:v>0.153</c:v>
                </c:pt>
                <c:pt idx="2">
                  <c:v>0.153</c:v>
                </c:pt>
                <c:pt idx="3">
                  <c:v>0.107</c:v>
                </c:pt>
                <c:pt idx="4">
                  <c:v>0.11799999999999999</c:v>
                </c:pt>
                <c:pt idx="5">
                  <c:v>9.0999999999999998E-2</c:v>
                </c:pt>
              </c:numCache>
            </c:numRef>
          </c:val>
          <c:smooth val="0"/>
          <c:extLst xmlns:c16r2="http://schemas.microsoft.com/office/drawing/2015/06/chart">
            <c:ext xmlns:c16="http://schemas.microsoft.com/office/drawing/2014/chart" uri="{C3380CC4-5D6E-409C-BE32-E72D297353CC}">
              <c16:uniqueId val="{00000000-8C2B-4C1D-B81A-91D61EFF2F77}"/>
            </c:ext>
          </c:extLst>
        </c:ser>
        <c:dLbls>
          <c:dLblPos val="t"/>
          <c:showLegendKey val="0"/>
          <c:showVal val="1"/>
          <c:showCatName val="0"/>
          <c:showSerName val="0"/>
          <c:showPercent val="0"/>
          <c:showBubbleSize val="0"/>
        </c:dLbls>
        <c:smooth val="0"/>
        <c:axId val="303839736"/>
        <c:axId val="303841696"/>
      </c:lineChart>
      <c:catAx>
        <c:axId val="303839736"/>
        <c:scaling>
          <c:orientation val="minMax"/>
        </c:scaling>
        <c:delete val="0"/>
        <c:axPos val="b"/>
        <c:numFmt formatCode="General" sourceLinked="1"/>
        <c:majorTickMark val="out"/>
        <c:minorTickMark val="none"/>
        <c:tickLblPos val="nextTo"/>
        <c:crossAx val="303841696"/>
        <c:crosses val="autoZero"/>
        <c:auto val="1"/>
        <c:lblAlgn val="ctr"/>
        <c:lblOffset val="100"/>
        <c:noMultiLvlLbl val="0"/>
      </c:catAx>
      <c:valAx>
        <c:axId val="303841696"/>
        <c:scaling>
          <c:orientation val="minMax"/>
        </c:scaling>
        <c:delete val="1"/>
        <c:axPos val="l"/>
        <c:numFmt formatCode="0.0%" sourceLinked="1"/>
        <c:majorTickMark val="out"/>
        <c:minorTickMark val="none"/>
        <c:tickLblPos val="nextTo"/>
        <c:crossAx val="303839736"/>
        <c:crosses val="autoZero"/>
        <c:crossBetween val="between"/>
      </c:valAx>
    </c:plotArea>
    <c:plotVisOnly val="1"/>
    <c:dispBlanksAs val="gap"/>
    <c:showDLblsOverMax val="0"/>
  </c:chart>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dochod!$A$1:$A$6</c:f>
              <c:numCache>
                <c:formatCode>General</c:formatCode>
                <c:ptCount val="6"/>
                <c:pt idx="0">
                  <c:v>2012</c:v>
                </c:pt>
                <c:pt idx="1">
                  <c:v>2013</c:v>
                </c:pt>
                <c:pt idx="2">
                  <c:v>2014</c:v>
                </c:pt>
                <c:pt idx="3">
                  <c:v>2015</c:v>
                </c:pt>
                <c:pt idx="4">
                  <c:v>2016</c:v>
                </c:pt>
                <c:pt idx="5">
                  <c:v>2017</c:v>
                </c:pt>
              </c:numCache>
            </c:numRef>
          </c:cat>
          <c:val>
            <c:numRef>
              <c:f>dochod!$B$1:$B$6</c:f>
              <c:numCache>
                <c:formatCode>#,##0.00</c:formatCode>
                <c:ptCount val="6"/>
                <c:pt idx="0">
                  <c:v>1221.46</c:v>
                </c:pt>
                <c:pt idx="1">
                  <c:v>1215.49</c:v>
                </c:pt>
                <c:pt idx="2">
                  <c:v>1321.27</c:v>
                </c:pt>
                <c:pt idx="3">
                  <c:v>1384.42</c:v>
                </c:pt>
                <c:pt idx="4">
                  <c:v>1441.21</c:v>
                </c:pt>
                <c:pt idx="5">
                  <c:v>1603.9</c:v>
                </c:pt>
              </c:numCache>
            </c:numRef>
          </c:val>
          <c:smooth val="0"/>
          <c:extLst xmlns:c16r2="http://schemas.microsoft.com/office/drawing/2015/06/chart">
            <c:ext xmlns:c16="http://schemas.microsoft.com/office/drawing/2014/chart" uri="{C3380CC4-5D6E-409C-BE32-E72D297353CC}">
              <c16:uniqueId val="{00000000-6C05-41BC-AF6B-5BCF876E778F}"/>
            </c:ext>
          </c:extLst>
        </c:ser>
        <c:dLbls>
          <c:dLblPos val="t"/>
          <c:showLegendKey val="0"/>
          <c:showVal val="1"/>
          <c:showCatName val="0"/>
          <c:showSerName val="0"/>
          <c:showPercent val="0"/>
          <c:showBubbleSize val="0"/>
        </c:dLbls>
        <c:smooth val="0"/>
        <c:axId val="303840520"/>
        <c:axId val="303842088"/>
      </c:lineChart>
      <c:catAx>
        <c:axId val="303840520"/>
        <c:scaling>
          <c:orientation val="minMax"/>
        </c:scaling>
        <c:delete val="0"/>
        <c:axPos val="b"/>
        <c:numFmt formatCode="General" sourceLinked="1"/>
        <c:majorTickMark val="out"/>
        <c:minorTickMark val="none"/>
        <c:tickLblPos val="nextTo"/>
        <c:crossAx val="303842088"/>
        <c:crosses val="autoZero"/>
        <c:auto val="1"/>
        <c:lblAlgn val="ctr"/>
        <c:lblOffset val="100"/>
        <c:noMultiLvlLbl val="0"/>
      </c:catAx>
      <c:valAx>
        <c:axId val="303842088"/>
        <c:scaling>
          <c:orientation val="minMax"/>
        </c:scaling>
        <c:delete val="1"/>
        <c:axPos val="l"/>
        <c:numFmt formatCode="#,##0.00" sourceLinked="1"/>
        <c:majorTickMark val="out"/>
        <c:minorTickMark val="none"/>
        <c:tickLblPos val="nextTo"/>
        <c:crossAx val="303840520"/>
        <c:crosses val="autoZero"/>
        <c:crossBetween val="between"/>
      </c:valAx>
    </c:plotArea>
    <c:plotVisOnly val="1"/>
    <c:dispBlanksAs val="gap"/>
    <c:showDLblsOverMax val="0"/>
  </c:chart>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'benef pomocy spol'!$A$1:$A$6</c:f>
              <c:numCache>
                <c:formatCode>General</c:formatCode>
                <c:ptCount val="6"/>
                <c:pt idx="0">
                  <c:v>2012</c:v>
                </c:pt>
                <c:pt idx="1">
                  <c:v>2013</c:v>
                </c:pt>
                <c:pt idx="2">
                  <c:v>2014</c:v>
                </c:pt>
                <c:pt idx="3">
                  <c:v>2015</c:v>
                </c:pt>
                <c:pt idx="4">
                  <c:v>2016</c:v>
                </c:pt>
                <c:pt idx="5">
                  <c:v>2017</c:v>
                </c:pt>
              </c:numCache>
            </c:numRef>
          </c:cat>
          <c:val>
            <c:numRef>
              <c:f>'benef pomocy spol'!$B$1:$B$6</c:f>
              <c:numCache>
                <c:formatCode>General</c:formatCode>
                <c:ptCount val="6"/>
                <c:pt idx="0">
                  <c:v>586</c:v>
                </c:pt>
                <c:pt idx="1">
                  <c:v>599</c:v>
                </c:pt>
                <c:pt idx="2">
                  <c:v>543</c:v>
                </c:pt>
                <c:pt idx="3">
                  <c:v>502</c:v>
                </c:pt>
                <c:pt idx="4">
                  <c:v>455</c:v>
                </c:pt>
                <c:pt idx="5">
                  <c:v>400</c:v>
                </c:pt>
              </c:numCache>
            </c:numRef>
          </c:val>
          <c:smooth val="0"/>
          <c:extLst xmlns:c16r2="http://schemas.microsoft.com/office/drawing/2015/06/chart">
            <c:ext xmlns:c16="http://schemas.microsoft.com/office/drawing/2014/chart" uri="{C3380CC4-5D6E-409C-BE32-E72D297353CC}">
              <c16:uniqueId val="{00000000-992D-40A3-AFCB-2FB02C25ADFC}"/>
            </c:ext>
          </c:extLst>
        </c:ser>
        <c:dLbls>
          <c:dLblPos val="t"/>
          <c:showLegendKey val="0"/>
          <c:showVal val="1"/>
          <c:showCatName val="0"/>
          <c:showSerName val="0"/>
          <c:showPercent val="0"/>
          <c:showBubbleSize val="0"/>
        </c:dLbls>
        <c:smooth val="0"/>
        <c:axId val="303842480"/>
        <c:axId val="303844048"/>
      </c:lineChart>
      <c:catAx>
        <c:axId val="303842480"/>
        <c:scaling>
          <c:orientation val="minMax"/>
        </c:scaling>
        <c:delete val="0"/>
        <c:axPos val="b"/>
        <c:numFmt formatCode="General" sourceLinked="1"/>
        <c:majorTickMark val="out"/>
        <c:minorTickMark val="none"/>
        <c:tickLblPos val="nextTo"/>
        <c:crossAx val="303844048"/>
        <c:crosses val="autoZero"/>
        <c:auto val="1"/>
        <c:lblAlgn val="ctr"/>
        <c:lblOffset val="100"/>
        <c:noMultiLvlLbl val="0"/>
      </c:catAx>
      <c:valAx>
        <c:axId val="303844048"/>
        <c:scaling>
          <c:orientation val="minMax"/>
        </c:scaling>
        <c:delete val="1"/>
        <c:axPos val="l"/>
        <c:numFmt formatCode="General" sourceLinked="1"/>
        <c:majorTickMark val="out"/>
        <c:minorTickMark val="none"/>
        <c:tickLblPos val="nextTo"/>
        <c:crossAx val="303842480"/>
        <c:crosses val="autoZero"/>
        <c:crossBetween val="between"/>
      </c:valAx>
    </c:plotArea>
    <c:plotVisOnly val="1"/>
    <c:dispBlanksAs val="gap"/>
    <c:showDLblsOverMax val="0"/>
  </c:chart>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TABLICA!$J$20</c:f>
              <c:strCache>
                <c:ptCount val="1"/>
                <c:pt idx="0">
                  <c:v>miejsca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TABLICA!$K$19:$P$19</c:f>
              <c:strCache>
                <c:ptCount val="6"/>
                <c:pt idx="0">
                  <c:v>2012</c:v>
                </c:pt>
                <c:pt idx="1">
                  <c:v>2013</c:v>
                </c:pt>
                <c:pt idx="2">
                  <c:v>2014</c:v>
                </c:pt>
                <c:pt idx="3">
                  <c:v>2015</c:v>
                </c:pt>
                <c:pt idx="4">
                  <c:v>2016</c:v>
                </c:pt>
                <c:pt idx="5">
                  <c:v>2017</c:v>
                </c:pt>
              </c:strCache>
            </c:strRef>
          </c:cat>
          <c:val>
            <c:numRef>
              <c:f>TABLICA!$K$20:$P$20</c:f>
              <c:numCache>
                <c:formatCode>#,##0</c:formatCode>
                <c:ptCount val="6"/>
                <c:pt idx="0">
                  <c:v>38928</c:v>
                </c:pt>
                <c:pt idx="1">
                  <c:v>41233</c:v>
                </c:pt>
                <c:pt idx="2">
                  <c:v>41638</c:v>
                </c:pt>
                <c:pt idx="3">
                  <c:v>40967</c:v>
                </c:pt>
                <c:pt idx="4">
                  <c:v>44154</c:v>
                </c:pt>
                <c:pt idx="5">
                  <c:v>46526</c:v>
                </c:pt>
              </c:numCache>
            </c:numRef>
          </c:val>
          <c:smooth val="0"/>
          <c:extLst xmlns:c16r2="http://schemas.microsoft.com/office/drawing/2015/06/chart">
            <c:ext xmlns:c16="http://schemas.microsoft.com/office/drawing/2014/chart" uri="{C3380CC4-5D6E-409C-BE32-E72D297353CC}">
              <c16:uniqueId val="{00000000-304D-4421-9216-0DD39FB12317}"/>
            </c:ext>
          </c:extLst>
        </c:ser>
        <c:dLbls>
          <c:showLegendKey val="0"/>
          <c:showVal val="0"/>
          <c:showCatName val="0"/>
          <c:showSerName val="0"/>
          <c:showPercent val="0"/>
          <c:showBubbleSize val="0"/>
        </c:dLbls>
        <c:marker val="1"/>
        <c:smooth val="0"/>
        <c:axId val="303846400"/>
        <c:axId val="303844832"/>
      </c:lineChart>
      <c:lineChart>
        <c:grouping val="standard"/>
        <c:varyColors val="0"/>
        <c:ser>
          <c:idx val="1"/>
          <c:order val="1"/>
          <c:tx>
            <c:strRef>
              <c:f>TABLICA!$J$21</c:f>
              <c:strCache>
                <c:ptCount val="1"/>
                <c:pt idx="0">
                  <c:v>oddziały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TABLICA!$K$19:$P$19</c:f>
              <c:strCache>
                <c:ptCount val="6"/>
                <c:pt idx="0">
                  <c:v>2012</c:v>
                </c:pt>
                <c:pt idx="1">
                  <c:v>2013</c:v>
                </c:pt>
                <c:pt idx="2">
                  <c:v>2014</c:v>
                </c:pt>
                <c:pt idx="3">
                  <c:v>2015</c:v>
                </c:pt>
                <c:pt idx="4">
                  <c:v>2016</c:v>
                </c:pt>
                <c:pt idx="5">
                  <c:v>2017</c:v>
                </c:pt>
              </c:strCache>
            </c:strRef>
          </c:cat>
          <c:val>
            <c:numRef>
              <c:f>TABLICA!$K$21:$P$21</c:f>
              <c:numCache>
                <c:formatCode>#,##0</c:formatCode>
                <c:ptCount val="6"/>
                <c:pt idx="0">
                  <c:v>2329</c:v>
                </c:pt>
                <c:pt idx="1">
                  <c:v>2505</c:v>
                </c:pt>
                <c:pt idx="2">
                  <c:v>2467</c:v>
                </c:pt>
                <c:pt idx="3">
                  <c:v>2303</c:v>
                </c:pt>
                <c:pt idx="4">
                  <c:v>2535</c:v>
                </c:pt>
                <c:pt idx="5">
                  <c:v>2692</c:v>
                </c:pt>
              </c:numCache>
            </c:numRef>
          </c:val>
          <c:smooth val="0"/>
          <c:extLst xmlns:c16r2="http://schemas.microsoft.com/office/drawing/2015/06/chart">
            <c:ext xmlns:c16="http://schemas.microsoft.com/office/drawing/2014/chart" uri="{C3380CC4-5D6E-409C-BE32-E72D297353CC}">
              <c16:uniqueId val="{00000001-304D-4421-9216-0DD39FB12317}"/>
            </c:ext>
          </c:extLst>
        </c:ser>
        <c:dLbls>
          <c:showLegendKey val="0"/>
          <c:showVal val="0"/>
          <c:showCatName val="0"/>
          <c:showSerName val="0"/>
          <c:showPercent val="0"/>
          <c:showBubbleSize val="0"/>
        </c:dLbls>
        <c:marker val="1"/>
        <c:smooth val="0"/>
        <c:axId val="303846008"/>
        <c:axId val="303843656"/>
      </c:lineChart>
      <c:catAx>
        <c:axId val="3038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44832"/>
        <c:crosses val="autoZero"/>
        <c:auto val="1"/>
        <c:lblAlgn val="ctr"/>
        <c:lblOffset val="100"/>
        <c:noMultiLvlLbl val="0"/>
      </c:catAx>
      <c:valAx>
        <c:axId val="30384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46400"/>
        <c:crosses val="autoZero"/>
        <c:crossBetween val="between"/>
      </c:valAx>
      <c:valAx>
        <c:axId val="303843656"/>
        <c:scaling>
          <c:orientation val="minMax"/>
          <c:max val="3800"/>
          <c:min val="21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46008"/>
        <c:crosses val="max"/>
        <c:crossBetween val="between"/>
      </c:valAx>
      <c:catAx>
        <c:axId val="303846008"/>
        <c:scaling>
          <c:orientation val="minMax"/>
        </c:scaling>
        <c:delete val="1"/>
        <c:axPos val="b"/>
        <c:numFmt formatCode="General" sourceLinked="1"/>
        <c:majorTickMark val="out"/>
        <c:minorTickMark val="none"/>
        <c:tickLblPos val="none"/>
        <c:crossAx val="303843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TABLICA!$B$16</c:f>
              <c:strCache>
                <c:ptCount val="1"/>
                <c:pt idx="0">
                  <c:v>POLSKA</c:v>
                </c:pt>
              </c:strCache>
            </c:strRef>
          </c:tx>
          <c:spPr>
            <a:solidFill>
              <a:srgbClr val="4F81BD"/>
            </a:solidFill>
            <a:ln w="25382">
              <a:noFill/>
            </a:ln>
          </c:spPr>
          <c:invertIfNegative val="0"/>
          <c:dLbls>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TABLICA!$C$15:$H$15</c:f>
              <c:strCache>
                <c:ptCount val="6"/>
                <c:pt idx="0">
                  <c:v>2012</c:v>
                </c:pt>
                <c:pt idx="1">
                  <c:v>2013</c:v>
                </c:pt>
                <c:pt idx="2">
                  <c:v>2014</c:v>
                </c:pt>
                <c:pt idx="3">
                  <c:v>2015</c:v>
                </c:pt>
                <c:pt idx="4">
                  <c:v>2016</c:v>
                </c:pt>
                <c:pt idx="5">
                  <c:v>2017</c:v>
                </c:pt>
              </c:strCache>
            </c:strRef>
          </c:cat>
          <c:val>
            <c:numRef>
              <c:f>TABLICA!$C$16:$H$16</c:f>
              <c:numCache>
                <c:formatCode>#,##0</c:formatCode>
                <c:ptCount val="6"/>
                <c:pt idx="0">
                  <c:v>697</c:v>
                </c:pt>
                <c:pt idx="1">
                  <c:v>741</c:v>
                </c:pt>
                <c:pt idx="2">
                  <c:v>794</c:v>
                </c:pt>
                <c:pt idx="3">
                  <c:v>842</c:v>
                </c:pt>
                <c:pt idx="4">
                  <c:v>811</c:v>
                </c:pt>
                <c:pt idx="5">
                  <c:v>847</c:v>
                </c:pt>
              </c:numCache>
            </c:numRef>
          </c:val>
          <c:extLst xmlns:c16r2="http://schemas.microsoft.com/office/drawing/2015/06/chart">
            <c:ext xmlns:c16="http://schemas.microsoft.com/office/drawing/2014/chart" uri="{C3380CC4-5D6E-409C-BE32-E72D297353CC}">
              <c16:uniqueId val="{00000000-DE82-432C-ABA5-D495C8074A86}"/>
            </c:ext>
          </c:extLst>
        </c:ser>
        <c:ser>
          <c:idx val="1"/>
          <c:order val="1"/>
          <c:tx>
            <c:strRef>
              <c:f>TABLICA!$B$17</c:f>
              <c:strCache>
                <c:ptCount val="1"/>
                <c:pt idx="0">
                  <c:v>ZACHODNIOPOMORSKIE</c:v>
                </c:pt>
              </c:strCache>
            </c:strRef>
          </c:tx>
          <c:spPr>
            <a:solidFill>
              <a:srgbClr val="C0504D"/>
            </a:solidFill>
            <a:ln w="25382">
              <a:noFill/>
            </a:ln>
          </c:spPr>
          <c:invertIfNegative val="0"/>
          <c:dLbls>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TABLICA!$C$15:$H$15</c:f>
              <c:strCache>
                <c:ptCount val="6"/>
                <c:pt idx="0">
                  <c:v>2012</c:v>
                </c:pt>
                <c:pt idx="1">
                  <c:v>2013</c:v>
                </c:pt>
                <c:pt idx="2">
                  <c:v>2014</c:v>
                </c:pt>
                <c:pt idx="3">
                  <c:v>2015</c:v>
                </c:pt>
                <c:pt idx="4">
                  <c:v>2016</c:v>
                </c:pt>
                <c:pt idx="5">
                  <c:v>2017</c:v>
                </c:pt>
              </c:strCache>
            </c:strRef>
          </c:cat>
          <c:val>
            <c:numRef>
              <c:f>TABLICA!$C$17:$H$17</c:f>
              <c:numCache>
                <c:formatCode>#,##0</c:formatCode>
                <c:ptCount val="6"/>
                <c:pt idx="0">
                  <c:v>659</c:v>
                </c:pt>
                <c:pt idx="1">
                  <c:v>702</c:v>
                </c:pt>
                <c:pt idx="2">
                  <c:v>758</c:v>
                </c:pt>
                <c:pt idx="3">
                  <c:v>799</c:v>
                </c:pt>
                <c:pt idx="4">
                  <c:v>767</c:v>
                </c:pt>
                <c:pt idx="5">
                  <c:v>810</c:v>
                </c:pt>
              </c:numCache>
            </c:numRef>
          </c:val>
          <c:extLst xmlns:c16r2="http://schemas.microsoft.com/office/drawing/2015/06/chart">
            <c:ext xmlns:c16="http://schemas.microsoft.com/office/drawing/2014/chart" uri="{C3380CC4-5D6E-409C-BE32-E72D297353CC}">
              <c16:uniqueId val="{00000001-DE82-432C-ABA5-D495C8074A86}"/>
            </c:ext>
          </c:extLst>
        </c:ser>
        <c:dLbls>
          <c:showLegendKey val="0"/>
          <c:showVal val="0"/>
          <c:showCatName val="0"/>
          <c:showSerName val="0"/>
          <c:showPercent val="0"/>
          <c:showBubbleSize val="0"/>
        </c:dLbls>
        <c:gapWidth val="219"/>
        <c:overlap val="-27"/>
        <c:axId val="303844440"/>
        <c:axId val="303845224"/>
      </c:barChart>
      <c:catAx>
        <c:axId val="303844440"/>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303845224"/>
        <c:crosses val="autoZero"/>
        <c:auto val="1"/>
        <c:lblAlgn val="ctr"/>
        <c:lblOffset val="100"/>
        <c:noMultiLvlLbl val="0"/>
      </c:catAx>
      <c:valAx>
        <c:axId val="303845224"/>
        <c:scaling>
          <c:orientation val="minMax"/>
        </c:scaling>
        <c:delete val="1"/>
        <c:axPos val="l"/>
        <c:numFmt formatCode="#,##0" sourceLinked="1"/>
        <c:majorTickMark val="out"/>
        <c:minorTickMark val="none"/>
        <c:tickLblPos val="nextTo"/>
        <c:crossAx val="303844440"/>
        <c:crosses val="autoZero"/>
        <c:crossBetween val="between"/>
      </c:valAx>
      <c:spPr>
        <a:noFill/>
        <a:ln w="25376">
          <a:noFill/>
        </a:ln>
      </c:spPr>
    </c:plotArea>
    <c:legend>
      <c:legendPos val="b"/>
      <c:overlay val="0"/>
      <c:spPr>
        <a:noFill/>
        <a:ln w="2538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TABLICA!$B$13:$C$13</c:f>
              <c:strCache>
                <c:ptCount val="2"/>
                <c:pt idx="0">
                  <c:v>POLSKA</c:v>
                </c:pt>
              </c:strCache>
            </c:strRef>
          </c:tx>
          <c:spPr>
            <a:ln w="28565" cap="rnd">
              <a:solidFill>
                <a:schemeClr val="accent1"/>
              </a:solidFill>
              <a:round/>
            </a:ln>
            <a:effectLst/>
          </c:spPr>
          <c:marker>
            <c:symbol val="none"/>
          </c:marker>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TABLICA!$D$12:$I$12</c:f>
              <c:strCache>
                <c:ptCount val="6"/>
                <c:pt idx="0">
                  <c:v>2012</c:v>
                </c:pt>
                <c:pt idx="1">
                  <c:v>2013</c:v>
                </c:pt>
                <c:pt idx="2">
                  <c:v>2014</c:v>
                </c:pt>
                <c:pt idx="3">
                  <c:v>2015</c:v>
                </c:pt>
                <c:pt idx="4">
                  <c:v>2016</c:v>
                </c:pt>
                <c:pt idx="5">
                  <c:v>2017</c:v>
                </c:pt>
              </c:strCache>
            </c:strRef>
          </c:cat>
          <c:val>
            <c:numRef>
              <c:f>TABLICA!$D$13:$I$13</c:f>
              <c:numCache>
                <c:formatCode>#\ ##0.0</c:formatCode>
                <c:ptCount val="6"/>
                <c:pt idx="0">
                  <c:v>37.200000000000003</c:v>
                </c:pt>
                <c:pt idx="1">
                  <c:v>43.6</c:v>
                </c:pt>
                <c:pt idx="2">
                  <c:v>46.6</c:v>
                </c:pt>
                <c:pt idx="3">
                  <c:v>46.6</c:v>
                </c:pt>
                <c:pt idx="4">
                  <c:v>65.7</c:v>
                </c:pt>
                <c:pt idx="5">
                  <c:v>64.5</c:v>
                </c:pt>
              </c:numCache>
            </c:numRef>
          </c:val>
          <c:smooth val="0"/>
          <c:extLst xmlns:c16r2="http://schemas.microsoft.com/office/drawing/2015/06/chart">
            <c:ext xmlns:c16="http://schemas.microsoft.com/office/drawing/2014/chart" uri="{C3380CC4-5D6E-409C-BE32-E72D297353CC}">
              <c16:uniqueId val="{00000000-AF4B-49E0-A561-CF66654D6965}"/>
            </c:ext>
          </c:extLst>
        </c:ser>
        <c:ser>
          <c:idx val="1"/>
          <c:order val="1"/>
          <c:tx>
            <c:strRef>
              <c:f>TABLICA!$B$14:$C$14</c:f>
              <c:strCache>
                <c:ptCount val="2"/>
                <c:pt idx="0">
                  <c:v>Zachodniopomorskie</c:v>
                </c:pt>
              </c:strCache>
            </c:strRef>
          </c:tx>
          <c:spPr>
            <a:ln w="28565" cap="rnd">
              <a:solidFill>
                <a:schemeClr val="accent2"/>
              </a:solidFill>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1-AF4B-49E0-A561-CF66654D6965}"/>
                </c:ext>
                <c:ext xmlns:c15="http://schemas.microsoft.com/office/drawing/2012/chart" uri="{CE6537A1-D6FC-4f65-9D91-7224C49458BB}"/>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TABLICA!$D$12:$I$12</c:f>
              <c:strCache>
                <c:ptCount val="6"/>
                <c:pt idx="0">
                  <c:v>2012</c:v>
                </c:pt>
                <c:pt idx="1">
                  <c:v>2013</c:v>
                </c:pt>
                <c:pt idx="2">
                  <c:v>2014</c:v>
                </c:pt>
                <c:pt idx="3">
                  <c:v>2015</c:v>
                </c:pt>
                <c:pt idx="4">
                  <c:v>2016</c:v>
                </c:pt>
                <c:pt idx="5">
                  <c:v>2017</c:v>
                </c:pt>
              </c:strCache>
            </c:strRef>
          </c:cat>
          <c:val>
            <c:numRef>
              <c:f>TABLICA!$D$14:$I$14</c:f>
              <c:numCache>
                <c:formatCode>#\ ##0.0</c:formatCode>
                <c:ptCount val="6"/>
                <c:pt idx="0">
                  <c:v>20.2</c:v>
                </c:pt>
                <c:pt idx="1">
                  <c:v>0</c:v>
                </c:pt>
                <c:pt idx="2">
                  <c:v>31.8</c:v>
                </c:pt>
                <c:pt idx="3">
                  <c:v>38.5</c:v>
                </c:pt>
                <c:pt idx="4">
                  <c:v>51.6</c:v>
                </c:pt>
                <c:pt idx="5">
                  <c:v>49.2</c:v>
                </c:pt>
              </c:numCache>
            </c:numRef>
          </c:val>
          <c:smooth val="0"/>
          <c:extLst xmlns:c16r2="http://schemas.microsoft.com/office/drawing/2015/06/chart">
            <c:ext xmlns:c16="http://schemas.microsoft.com/office/drawing/2014/chart" uri="{C3380CC4-5D6E-409C-BE32-E72D297353CC}">
              <c16:uniqueId val="{00000002-AF4B-49E0-A561-CF66654D6965}"/>
            </c:ext>
          </c:extLst>
        </c:ser>
        <c:dLbls>
          <c:showLegendKey val="0"/>
          <c:showVal val="0"/>
          <c:showCatName val="0"/>
          <c:showSerName val="0"/>
          <c:showPercent val="0"/>
          <c:showBubbleSize val="0"/>
        </c:dLbls>
        <c:smooth val="0"/>
        <c:axId val="417004400"/>
        <c:axId val="417004792"/>
      </c:lineChart>
      <c:catAx>
        <c:axId val="41700440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04792"/>
        <c:crosses val="autoZero"/>
        <c:auto val="1"/>
        <c:lblAlgn val="ctr"/>
        <c:lblOffset val="100"/>
        <c:noMultiLvlLbl val="0"/>
      </c:catAx>
      <c:valAx>
        <c:axId val="417004792"/>
        <c:scaling>
          <c:orientation val="minMax"/>
        </c:scaling>
        <c:delete val="0"/>
        <c:axPos val="l"/>
        <c:majorGridlines>
          <c:spPr>
            <a:ln w="9522" cap="flat" cmpd="sng" algn="ctr">
              <a:solidFill>
                <a:schemeClr val="tx1">
                  <a:lumMod val="15000"/>
                  <a:lumOff val="85000"/>
                </a:schemeClr>
              </a:solidFill>
              <a:round/>
            </a:ln>
            <a:effectLst/>
          </c:spPr>
        </c:majorGridlines>
        <c:numFmt formatCode="#\ ##0.0"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004400"/>
        <c:crosses val="autoZero"/>
        <c:crossBetween val="between"/>
      </c:valAx>
      <c:spPr>
        <a:noFill/>
        <a:ln w="25391">
          <a:noFill/>
        </a:ln>
      </c:spPr>
    </c:plotArea>
    <c:legend>
      <c:legendPos val="r"/>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'przedszkola wieś miasto'!$J$3</c:f>
              <c:strCache>
                <c:ptCount val="1"/>
                <c:pt idx="0">
                  <c:v>miasto</c:v>
                </c:pt>
              </c:strCache>
            </c:strRef>
          </c:tx>
          <c:spPr>
            <a:ln w="28522" cap="rnd">
              <a:solidFill>
                <a:schemeClr val="accent1"/>
              </a:solidFill>
              <a:round/>
            </a:ln>
            <a:effectLst/>
          </c:spPr>
          <c:marker>
            <c:symbol val="none"/>
          </c:marker>
          <c:dLbls>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 wieś miasto'!$K$2:$P$2</c:f>
              <c:numCache>
                <c:formatCode>General</c:formatCode>
                <c:ptCount val="6"/>
                <c:pt idx="0">
                  <c:v>2012</c:v>
                </c:pt>
                <c:pt idx="1">
                  <c:v>2013</c:v>
                </c:pt>
                <c:pt idx="2">
                  <c:v>2014</c:v>
                </c:pt>
                <c:pt idx="3">
                  <c:v>2015</c:v>
                </c:pt>
                <c:pt idx="4">
                  <c:v>2016</c:v>
                </c:pt>
                <c:pt idx="5">
                  <c:v>2017</c:v>
                </c:pt>
              </c:numCache>
            </c:numRef>
          </c:cat>
          <c:val>
            <c:numRef>
              <c:f>'przedszkola wieś miasto'!$K$3:$P$3</c:f>
              <c:numCache>
                <c:formatCode>0</c:formatCode>
                <c:ptCount val="6"/>
                <c:pt idx="0">
                  <c:v>819</c:v>
                </c:pt>
                <c:pt idx="1">
                  <c:v>859</c:v>
                </c:pt>
                <c:pt idx="2">
                  <c:v>923</c:v>
                </c:pt>
                <c:pt idx="3">
                  <c:v>980</c:v>
                </c:pt>
                <c:pt idx="4">
                  <c:v>953</c:v>
                </c:pt>
                <c:pt idx="5">
                  <c:v>1006</c:v>
                </c:pt>
              </c:numCache>
            </c:numRef>
          </c:val>
          <c:smooth val="0"/>
          <c:extLst xmlns:c16r2="http://schemas.microsoft.com/office/drawing/2015/06/chart">
            <c:ext xmlns:c16="http://schemas.microsoft.com/office/drawing/2014/chart" uri="{C3380CC4-5D6E-409C-BE32-E72D297353CC}">
              <c16:uniqueId val="{00000000-754B-4531-884F-0266F4F4D7EA}"/>
            </c:ext>
          </c:extLst>
        </c:ser>
        <c:ser>
          <c:idx val="2"/>
          <c:order val="1"/>
          <c:tx>
            <c:strRef>
              <c:f>'przedszkola wieś miasto'!$J$5</c:f>
              <c:strCache>
                <c:ptCount val="1"/>
                <c:pt idx="0">
                  <c:v>wieś</c:v>
                </c:pt>
              </c:strCache>
            </c:strRef>
          </c:tx>
          <c:spPr>
            <a:ln w="28522" cap="rnd">
              <a:solidFill>
                <a:schemeClr val="accent3"/>
              </a:solidFill>
              <a:round/>
            </a:ln>
            <a:effectLst/>
          </c:spPr>
          <c:marker>
            <c:symbol val="none"/>
          </c:marker>
          <c:dLbls>
            <c:spPr>
              <a:noFill/>
              <a:ln w="2536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'przedszkola wieś miasto'!$K$2:$P$2</c:f>
              <c:numCache>
                <c:formatCode>General</c:formatCode>
                <c:ptCount val="6"/>
                <c:pt idx="0">
                  <c:v>2012</c:v>
                </c:pt>
                <c:pt idx="1">
                  <c:v>2013</c:v>
                </c:pt>
                <c:pt idx="2">
                  <c:v>2014</c:v>
                </c:pt>
                <c:pt idx="3">
                  <c:v>2015</c:v>
                </c:pt>
                <c:pt idx="4">
                  <c:v>2016</c:v>
                </c:pt>
                <c:pt idx="5">
                  <c:v>2017</c:v>
                </c:pt>
              </c:numCache>
            </c:numRef>
          </c:cat>
          <c:val>
            <c:numRef>
              <c:f>'przedszkola wieś miasto'!$K$5:$P$5</c:f>
              <c:numCache>
                <c:formatCode>0</c:formatCode>
                <c:ptCount val="6"/>
                <c:pt idx="0">
                  <c:v>359</c:v>
                </c:pt>
                <c:pt idx="1">
                  <c:v>402</c:v>
                </c:pt>
                <c:pt idx="2">
                  <c:v>443</c:v>
                </c:pt>
                <c:pt idx="3">
                  <c:v>458</c:v>
                </c:pt>
                <c:pt idx="4">
                  <c:v>420</c:v>
                </c:pt>
                <c:pt idx="5">
                  <c:v>436</c:v>
                </c:pt>
              </c:numCache>
            </c:numRef>
          </c:val>
          <c:smooth val="0"/>
          <c:extLst xmlns:c16r2="http://schemas.microsoft.com/office/drawing/2015/06/chart">
            <c:ext xmlns:c16="http://schemas.microsoft.com/office/drawing/2014/chart" uri="{C3380CC4-5D6E-409C-BE32-E72D297353CC}">
              <c16:uniqueId val="{00000001-754B-4531-884F-0266F4F4D7EA}"/>
            </c:ext>
          </c:extLst>
        </c:ser>
        <c:dLbls>
          <c:showLegendKey val="0"/>
          <c:showVal val="0"/>
          <c:showCatName val="0"/>
          <c:showSerName val="0"/>
          <c:showPercent val="0"/>
          <c:showBubbleSize val="0"/>
        </c:dLbls>
        <c:smooth val="0"/>
        <c:axId val="611284576"/>
        <c:axId val="611292416"/>
      </c:lineChart>
      <c:catAx>
        <c:axId val="611284576"/>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611292416"/>
        <c:crosses val="autoZero"/>
        <c:auto val="1"/>
        <c:lblAlgn val="ctr"/>
        <c:lblOffset val="100"/>
        <c:noMultiLvlLbl val="0"/>
      </c:catAx>
      <c:valAx>
        <c:axId val="611292416"/>
        <c:scaling>
          <c:orientation val="minMax"/>
        </c:scaling>
        <c:delete val="0"/>
        <c:axPos val="l"/>
        <c:majorGridlines>
          <c:spPr>
            <a:ln w="9507" cap="flat" cmpd="sng" algn="ctr">
              <a:solidFill>
                <a:schemeClr val="tx1">
                  <a:lumMod val="15000"/>
                  <a:lumOff val="85000"/>
                </a:schemeClr>
              </a:solidFill>
              <a:round/>
            </a:ln>
            <a:effectLst/>
          </c:spPr>
        </c:majorGridlines>
        <c:numFmt formatCode="0" sourceLinked="1"/>
        <c:majorTickMark val="none"/>
        <c:minorTickMark val="none"/>
        <c:tickLblPos val="nextTo"/>
        <c:spPr>
          <a:ln w="951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611284576"/>
        <c:crosses val="autoZero"/>
        <c:crossBetween val="between"/>
      </c:valAx>
      <c:spPr>
        <a:noFill/>
        <a:ln w="25363">
          <a:noFill/>
        </a:ln>
      </c:spPr>
    </c:plotArea>
    <c:legend>
      <c:legendPos val="b"/>
      <c:overlay val="0"/>
      <c:spPr>
        <a:noFill/>
        <a:ln w="2536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'zdawalność egzaminów maturalnyc'!$B$11</c:f>
              <c:strCache>
                <c:ptCount val="1"/>
                <c:pt idx="0">
                  <c:v>POLSKA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'zdawalność egzaminów maturalnyc'!$C$10:$H$10</c:f>
              <c:strCache>
                <c:ptCount val="6"/>
                <c:pt idx="0">
                  <c:v>2012</c:v>
                </c:pt>
                <c:pt idx="1">
                  <c:v>2013</c:v>
                </c:pt>
                <c:pt idx="2">
                  <c:v>2014</c:v>
                </c:pt>
                <c:pt idx="3">
                  <c:v>2015</c:v>
                </c:pt>
                <c:pt idx="4">
                  <c:v>2016</c:v>
                </c:pt>
                <c:pt idx="5">
                  <c:v>2017</c:v>
                </c:pt>
              </c:strCache>
            </c:strRef>
          </c:cat>
          <c:val>
            <c:numRef>
              <c:f>'zdawalność egzaminów maturalnyc'!$C$11:$H$11</c:f>
              <c:numCache>
                <c:formatCode>#,##0</c:formatCode>
                <c:ptCount val="6"/>
                <c:pt idx="0">
                  <c:v>80</c:v>
                </c:pt>
                <c:pt idx="1">
                  <c:v>81</c:v>
                </c:pt>
                <c:pt idx="2">
                  <c:v>71</c:v>
                </c:pt>
                <c:pt idx="3">
                  <c:v>74</c:v>
                </c:pt>
                <c:pt idx="4">
                  <c:v>79</c:v>
                </c:pt>
                <c:pt idx="5">
                  <c:v>78</c:v>
                </c:pt>
              </c:numCache>
            </c:numRef>
          </c:val>
          <c:smooth val="0"/>
          <c:extLst xmlns:c16r2="http://schemas.microsoft.com/office/drawing/2015/06/chart">
            <c:ext xmlns:c16="http://schemas.microsoft.com/office/drawing/2014/chart" uri="{C3380CC4-5D6E-409C-BE32-E72D297353CC}">
              <c16:uniqueId val="{00000000-D64F-4E6E-AF30-63A1130931A0}"/>
            </c:ext>
          </c:extLst>
        </c:ser>
        <c:ser>
          <c:idx val="1"/>
          <c:order val="1"/>
          <c:tx>
            <c:strRef>
              <c:f>'zdawalność egzaminów maturalnyc'!$B$12</c:f>
              <c:strCache>
                <c:ptCount val="1"/>
                <c:pt idx="0">
                  <c:v>ZACHODNIOPOMORSKIE</c:v>
                </c:pt>
              </c:strCache>
            </c:strRef>
          </c:tx>
          <c:spPr>
            <a:ln w="28575" cap="rnd">
              <a:solidFill>
                <a:schemeClr val="accent2"/>
              </a:solidFill>
              <a:round/>
            </a:ln>
            <a:effectLst/>
          </c:spPr>
          <c:marker>
            <c:symbol val="none"/>
          </c:marker>
          <c:dLbls>
            <c:dLbl>
              <c:idx val="0"/>
              <c:layout>
                <c:manualLayout>
                  <c:x val="-3.6277777777777812E-2"/>
                  <c:y val="5.32753718285214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4F-4E6E-AF30-63A1130931A0}"/>
                </c:ext>
                <c:ext xmlns:c15="http://schemas.microsoft.com/office/drawing/2012/chart" uri="{CE6537A1-D6FC-4f65-9D91-7224C49458BB}"/>
              </c:extLst>
            </c:dLbl>
            <c:dLbl>
              <c:idx val="1"/>
              <c:layout>
                <c:manualLayout>
                  <c:x val="-5.2944444444444468E-2"/>
                  <c:y val="7.17938903470399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4F-4E6E-AF30-63A1130931A0}"/>
                </c:ext>
                <c:ext xmlns:c15="http://schemas.microsoft.com/office/drawing/2012/chart" uri="{CE6537A1-D6FC-4f65-9D91-7224C49458BB}"/>
              </c:extLst>
            </c:dLbl>
            <c:dLbl>
              <c:idx val="4"/>
              <c:layout>
                <c:manualLayout>
                  <c:x val="-1.6833333333333339E-2"/>
                  <c:y val="8.56827792359288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4F-4E6E-AF30-63A1130931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'zdawalność egzaminów maturalnyc'!$C$10:$H$10</c:f>
              <c:strCache>
                <c:ptCount val="6"/>
                <c:pt idx="0">
                  <c:v>2012</c:v>
                </c:pt>
                <c:pt idx="1">
                  <c:v>2013</c:v>
                </c:pt>
                <c:pt idx="2">
                  <c:v>2014</c:v>
                </c:pt>
                <c:pt idx="3">
                  <c:v>2015</c:v>
                </c:pt>
                <c:pt idx="4">
                  <c:v>2016</c:v>
                </c:pt>
                <c:pt idx="5">
                  <c:v>2017</c:v>
                </c:pt>
              </c:strCache>
            </c:strRef>
          </c:cat>
          <c:val>
            <c:numRef>
              <c:f>'zdawalność egzaminów maturalnyc'!$C$12:$H$12</c:f>
              <c:numCache>
                <c:formatCode>#,##0</c:formatCode>
                <c:ptCount val="6"/>
                <c:pt idx="0">
                  <c:v>78</c:v>
                </c:pt>
                <c:pt idx="1">
                  <c:v>79</c:v>
                </c:pt>
                <c:pt idx="2">
                  <c:v>67</c:v>
                </c:pt>
                <c:pt idx="3">
                  <c:v>70</c:v>
                </c:pt>
                <c:pt idx="4">
                  <c:v>76</c:v>
                </c:pt>
                <c:pt idx="5">
                  <c:v>74.2</c:v>
                </c:pt>
              </c:numCache>
            </c:numRef>
          </c:val>
          <c:smooth val="0"/>
          <c:extLst xmlns:c16r2="http://schemas.microsoft.com/office/drawing/2015/06/chart">
            <c:ext xmlns:c16="http://schemas.microsoft.com/office/drawing/2014/chart" uri="{C3380CC4-5D6E-409C-BE32-E72D297353CC}">
              <c16:uniqueId val="{00000004-D64F-4E6E-AF30-63A1130931A0}"/>
            </c:ext>
          </c:extLst>
        </c:ser>
        <c:dLbls>
          <c:showLegendKey val="0"/>
          <c:showVal val="1"/>
          <c:showCatName val="0"/>
          <c:showSerName val="0"/>
          <c:showPercent val="0"/>
          <c:showBubbleSize val="0"/>
        </c:dLbls>
        <c:smooth val="0"/>
        <c:axId val="611286144"/>
        <c:axId val="611287320"/>
      </c:lineChart>
      <c:catAx>
        <c:axId val="6112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87320"/>
        <c:crosses val="autoZero"/>
        <c:auto val="1"/>
        <c:lblAlgn val="ctr"/>
        <c:lblOffset val="100"/>
        <c:noMultiLvlLbl val="0"/>
      </c:catAx>
      <c:valAx>
        <c:axId val="611287320"/>
        <c:scaling>
          <c:orientation val="minMax"/>
          <c:min val="60"/>
        </c:scaling>
        <c:delete val="1"/>
        <c:axPos val="l"/>
        <c:numFmt formatCode="#,##0" sourceLinked="1"/>
        <c:majorTickMark val="none"/>
        <c:minorTickMark val="none"/>
        <c:tickLblPos val="none"/>
        <c:crossAx val="6112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'bezrobotni rej wykształcenie'!$A$22</c:f>
              <c:strCache>
                <c:ptCount val="1"/>
                <c:pt idx="0">
                  <c:v>Polska</c:v>
                </c:pt>
              </c:strCache>
            </c:strRef>
          </c:tx>
          <c:spPr>
            <a:solidFill>
              <a:schemeClr val="accent1"/>
            </a:solidFill>
            <a:ln>
              <a:noFill/>
            </a:ln>
            <a:effectLst/>
          </c:spPr>
          <c:invertIfNegative val="0"/>
          <c:dLbls>
            <c:dLbl>
              <c:idx val="3"/>
              <c:layout>
                <c:manualLayout>
                  <c:x val="-2.500000000000000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FE-45DA-9E81-E324338777C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 rej wykształcenie'!$B$21:$F$21</c:f>
              <c:strCache>
                <c:ptCount val="5"/>
                <c:pt idx="0">
                  <c:v>wyższe</c:v>
                </c:pt>
                <c:pt idx="1">
                  <c:v>policealne, średnie zawodowe</c:v>
                </c:pt>
                <c:pt idx="2">
                  <c:v>średnie ogólnokształcące</c:v>
                </c:pt>
                <c:pt idx="3">
                  <c:v>zasadnicze zawodowe</c:v>
                </c:pt>
                <c:pt idx="4">
                  <c:v>gimnazjalne i poniżej</c:v>
                </c:pt>
              </c:strCache>
            </c:strRef>
          </c:cat>
          <c:val>
            <c:numRef>
              <c:f>'bezrobotni rej wykształcenie'!$B$22:$F$22</c:f>
              <c:numCache>
                <c:formatCode>0.0%</c:formatCode>
                <c:ptCount val="5"/>
                <c:pt idx="0">
                  <c:v>0.1408748998852293</c:v>
                </c:pt>
                <c:pt idx="1">
                  <c:v>0.21968896301739738</c:v>
                </c:pt>
                <c:pt idx="2">
                  <c:v>0.21968896301739738</c:v>
                </c:pt>
                <c:pt idx="3">
                  <c:v>0.25647443254535096</c:v>
                </c:pt>
                <c:pt idx="4">
                  <c:v>0.27034497279355313</c:v>
                </c:pt>
              </c:numCache>
            </c:numRef>
          </c:val>
          <c:extLst xmlns:c16r2="http://schemas.microsoft.com/office/drawing/2015/06/chart">
            <c:ext xmlns:c16="http://schemas.microsoft.com/office/drawing/2014/chart" uri="{C3380CC4-5D6E-409C-BE32-E72D297353CC}">
              <c16:uniqueId val="{00000001-73FE-45DA-9E81-E324338777C6}"/>
            </c:ext>
          </c:extLst>
        </c:ser>
        <c:ser>
          <c:idx val="1"/>
          <c:order val="1"/>
          <c:tx>
            <c:strRef>
              <c:f>'bezrobotni rej wykształcenie'!$A$23</c:f>
              <c:strCache>
                <c:ptCount val="1"/>
                <c:pt idx="0">
                  <c:v>Zachodniopomorskie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 rej wykształcenie'!$B$21:$F$21</c:f>
              <c:strCache>
                <c:ptCount val="5"/>
                <c:pt idx="0">
                  <c:v>wyższe</c:v>
                </c:pt>
                <c:pt idx="1">
                  <c:v>policealne, średnie zawodowe</c:v>
                </c:pt>
                <c:pt idx="2">
                  <c:v>średnie ogólnokształcące</c:v>
                </c:pt>
                <c:pt idx="3">
                  <c:v>zasadnicze zawodowe</c:v>
                </c:pt>
                <c:pt idx="4">
                  <c:v>gimnazjalne i poniżej</c:v>
                </c:pt>
              </c:strCache>
            </c:strRef>
          </c:cat>
          <c:val>
            <c:numRef>
              <c:f>'bezrobotni rej wykształcenie'!$B$23:$F$23</c:f>
              <c:numCache>
                <c:formatCode>0.0%</c:formatCode>
                <c:ptCount val="5"/>
                <c:pt idx="0">
                  <c:v>0.11069083952871614</c:v>
                </c:pt>
                <c:pt idx="1">
                  <c:v>0.18479631320377374</c:v>
                </c:pt>
                <c:pt idx="2">
                  <c:v>0.18479631320377374</c:v>
                </c:pt>
                <c:pt idx="3">
                  <c:v>0.25511934263727665</c:v>
                </c:pt>
                <c:pt idx="4">
                  <c:v>0.32896395808877882</c:v>
                </c:pt>
              </c:numCache>
            </c:numRef>
          </c:val>
          <c:extLst xmlns:c16r2="http://schemas.microsoft.com/office/drawing/2015/06/chart">
            <c:ext xmlns:c16="http://schemas.microsoft.com/office/drawing/2014/chart" uri="{C3380CC4-5D6E-409C-BE32-E72D297353CC}">
              <c16:uniqueId val="{00000002-73FE-45DA-9E81-E324338777C6}"/>
            </c:ext>
          </c:extLst>
        </c:ser>
        <c:dLbls>
          <c:showLegendKey val="0"/>
          <c:showVal val="1"/>
          <c:showCatName val="0"/>
          <c:showSerName val="0"/>
          <c:showPercent val="0"/>
          <c:showBubbleSize val="0"/>
        </c:dLbls>
        <c:gapWidth val="219"/>
        <c:overlap val="-27"/>
        <c:axId val="611287712"/>
        <c:axId val="611292808"/>
      </c:barChart>
      <c:catAx>
        <c:axId val="6112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2808"/>
        <c:crosses val="autoZero"/>
        <c:auto val="1"/>
        <c:lblAlgn val="ctr"/>
        <c:lblOffset val="100"/>
        <c:noMultiLvlLbl val="0"/>
      </c:catAx>
      <c:valAx>
        <c:axId val="611292808"/>
        <c:scaling>
          <c:orientation val="minMax"/>
        </c:scaling>
        <c:delete val="1"/>
        <c:axPos val="l"/>
        <c:numFmt formatCode="0.0%" sourceLinked="1"/>
        <c:majorTickMark val="none"/>
        <c:minorTickMark val="none"/>
        <c:tickLblPos val="none"/>
        <c:crossAx val="6112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Arkusz1!$J$24</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Arkusz1!$K$23:$N$23</c:f>
              <c:numCache>
                <c:formatCode>mmm\-yy</c:formatCode>
                <c:ptCount val="4"/>
                <c:pt idx="0" formatCode="General">
                  <c:v>2014</c:v>
                </c:pt>
                <c:pt idx="1">
                  <c:v>2015</c:v>
                </c:pt>
                <c:pt idx="2" formatCode="General">
                  <c:v>2016</c:v>
                </c:pt>
                <c:pt idx="3" formatCode="General">
                  <c:v>2017</c:v>
                </c:pt>
              </c:numCache>
            </c:numRef>
          </c:cat>
          <c:val>
            <c:numRef>
              <c:f>Arkusz1!$K$24:$N$24</c:f>
              <c:numCache>
                <c:formatCode>#,##0</c:formatCode>
                <c:ptCount val="4"/>
                <c:pt idx="0">
                  <c:v>251236</c:v>
                </c:pt>
                <c:pt idx="1">
                  <c:v>263460</c:v>
                </c:pt>
                <c:pt idx="2">
                  <c:v>276802</c:v>
                </c:pt>
                <c:pt idx="3">
                  <c:v>289263</c:v>
                </c:pt>
              </c:numCache>
            </c:numRef>
          </c:val>
          <c:smooth val="0"/>
          <c:extLst xmlns:c16r2="http://schemas.microsoft.com/office/drawing/2015/06/chart">
            <c:ext xmlns:c16="http://schemas.microsoft.com/office/drawing/2014/chart" uri="{C3380CC4-5D6E-409C-BE32-E72D297353CC}">
              <c16:uniqueId val="{00000000-BBF9-4C78-A204-686A30FE2E03}"/>
            </c:ext>
          </c:extLst>
        </c:ser>
        <c:dLbls>
          <c:showLegendKey val="0"/>
          <c:showVal val="0"/>
          <c:showCatName val="0"/>
          <c:showSerName val="0"/>
          <c:showPercent val="0"/>
          <c:showBubbleSize val="0"/>
        </c:dLbls>
        <c:smooth val="0"/>
        <c:axId val="611284968"/>
        <c:axId val="611288496"/>
      </c:lineChart>
      <c:catAx>
        <c:axId val="61128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88496"/>
        <c:crosses val="autoZero"/>
        <c:auto val="1"/>
        <c:lblAlgn val="ctr"/>
        <c:lblOffset val="100"/>
        <c:noMultiLvlLbl val="0"/>
      </c:catAx>
      <c:valAx>
        <c:axId val="61128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84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Arkusz1!$C$7</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Arkusz1!$D$6:$H$6</c:f>
              <c:numCache>
                <c:formatCode>General</c:formatCode>
                <c:ptCount val="5"/>
                <c:pt idx="0">
                  <c:v>2013</c:v>
                </c:pt>
                <c:pt idx="1">
                  <c:v>2014</c:v>
                </c:pt>
                <c:pt idx="2">
                  <c:v>2015</c:v>
                </c:pt>
                <c:pt idx="3">
                  <c:v>2016</c:v>
                </c:pt>
                <c:pt idx="4">
                  <c:v>2017</c:v>
                </c:pt>
              </c:numCache>
            </c:numRef>
          </c:cat>
          <c:val>
            <c:numRef>
              <c:f>Arkusz1!$D$7:$H$7</c:f>
              <c:numCache>
                <c:formatCode>General</c:formatCode>
                <c:ptCount val="5"/>
                <c:pt idx="0">
                  <c:v>48.89</c:v>
                </c:pt>
                <c:pt idx="1">
                  <c:v>48.69</c:v>
                </c:pt>
                <c:pt idx="2">
                  <c:v>48.34</c:v>
                </c:pt>
                <c:pt idx="3">
                  <c:v>47.85</c:v>
                </c:pt>
                <c:pt idx="4">
                  <c:v>46.29</c:v>
                </c:pt>
              </c:numCache>
            </c:numRef>
          </c:val>
          <c:smooth val="0"/>
          <c:extLst xmlns:c16r2="http://schemas.microsoft.com/office/drawing/2015/06/chart">
            <c:ext xmlns:c16="http://schemas.microsoft.com/office/drawing/2014/chart" uri="{C3380CC4-5D6E-409C-BE32-E72D297353CC}">
              <c16:uniqueId val="{00000000-16B9-4C92-AEDF-AE3C9D721BD2}"/>
            </c:ext>
          </c:extLst>
        </c:ser>
        <c:dLbls>
          <c:dLblPos val="t"/>
          <c:showLegendKey val="0"/>
          <c:showVal val="1"/>
          <c:showCatName val="0"/>
          <c:showSerName val="0"/>
          <c:showPercent val="0"/>
          <c:showBubbleSize val="0"/>
        </c:dLbls>
        <c:smooth val="0"/>
        <c:axId val="611293200"/>
        <c:axId val="611294376"/>
      </c:lineChart>
      <c:catAx>
        <c:axId val="61129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4376"/>
        <c:crosses val="autoZero"/>
        <c:auto val="1"/>
        <c:lblAlgn val="ctr"/>
        <c:lblOffset val="100"/>
        <c:noMultiLvlLbl val="0"/>
      </c:catAx>
      <c:valAx>
        <c:axId val="61129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3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Arkusz1!$E$3</c:f>
              <c:strCache>
                <c:ptCount val="1"/>
                <c:pt idx="0">
                  <c:v>Wskaźnik zatrudnienia osób z wyksztalceniem zasadniczym zawodowym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Arkusz1!$F$2:$I$2</c:f>
              <c:numCache>
                <c:formatCode>General</c:formatCode>
                <c:ptCount val="4"/>
                <c:pt idx="0">
                  <c:v>2014</c:v>
                </c:pt>
                <c:pt idx="1">
                  <c:v>2015</c:v>
                </c:pt>
                <c:pt idx="2">
                  <c:v>2016</c:v>
                </c:pt>
                <c:pt idx="3">
                  <c:v>2017</c:v>
                </c:pt>
              </c:numCache>
            </c:numRef>
          </c:cat>
          <c:val>
            <c:numRef>
              <c:f>Arkusz1!$F$3:$I$3</c:f>
              <c:numCache>
                <c:formatCode>#,##0.0</c:formatCode>
                <c:ptCount val="4"/>
                <c:pt idx="0">
                  <c:v>53</c:v>
                </c:pt>
                <c:pt idx="1">
                  <c:v>50.7</c:v>
                </c:pt>
                <c:pt idx="2">
                  <c:v>52.6</c:v>
                </c:pt>
                <c:pt idx="3">
                  <c:v>52.1</c:v>
                </c:pt>
              </c:numCache>
            </c:numRef>
          </c:val>
          <c:smooth val="0"/>
          <c:extLst xmlns:c16r2="http://schemas.microsoft.com/office/drawing/2015/06/chart">
            <c:ext xmlns:c16="http://schemas.microsoft.com/office/drawing/2014/chart" uri="{C3380CC4-5D6E-409C-BE32-E72D297353CC}">
              <c16:uniqueId val="{00000000-77EA-4888-B8E8-51624B5A0049}"/>
            </c:ext>
          </c:extLst>
        </c:ser>
        <c:ser>
          <c:idx val="1"/>
          <c:order val="1"/>
          <c:tx>
            <c:strRef>
              <c:f>Arkusz1!$E$4</c:f>
              <c:strCache>
                <c:ptCount val="1"/>
                <c:pt idx="0">
                  <c:v>Wskaźnik zatrudnienia osób z wykształceniem średnim zawodowym i policealnym</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Arkusz1!$F$2:$I$2</c:f>
              <c:numCache>
                <c:formatCode>General</c:formatCode>
                <c:ptCount val="4"/>
                <c:pt idx="0">
                  <c:v>2014</c:v>
                </c:pt>
                <c:pt idx="1">
                  <c:v>2015</c:v>
                </c:pt>
                <c:pt idx="2">
                  <c:v>2016</c:v>
                </c:pt>
                <c:pt idx="3">
                  <c:v>2017</c:v>
                </c:pt>
              </c:numCache>
            </c:numRef>
          </c:cat>
          <c:val>
            <c:numRef>
              <c:f>Arkusz1!$F$4:$I$4</c:f>
              <c:numCache>
                <c:formatCode>#,##0.0</c:formatCode>
                <c:ptCount val="4"/>
                <c:pt idx="0">
                  <c:v>57.4</c:v>
                </c:pt>
                <c:pt idx="1">
                  <c:v>55.6</c:v>
                </c:pt>
                <c:pt idx="2">
                  <c:v>57</c:v>
                </c:pt>
                <c:pt idx="3">
                  <c:v>58.6</c:v>
                </c:pt>
              </c:numCache>
            </c:numRef>
          </c:val>
          <c:smooth val="0"/>
          <c:extLst xmlns:c16r2="http://schemas.microsoft.com/office/drawing/2015/06/chart">
            <c:ext xmlns:c16="http://schemas.microsoft.com/office/drawing/2014/chart" uri="{C3380CC4-5D6E-409C-BE32-E72D297353CC}">
              <c16:uniqueId val="{00000001-77EA-4888-B8E8-51624B5A0049}"/>
            </c:ext>
          </c:extLst>
        </c:ser>
        <c:dLbls>
          <c:dLblPos val="t"/>
          <c:showLegendKey val="0"/>
          <c:showVal val="1"/>
          <c:showCatName val="0"/>
          <c:showSerName val="0"/>
          <c:showPercent val="0"/>
          <c:showBubbleSize val="0"/>
        </c:dLbls>
        <c:smooth val="0"/>
        <c:axId val="611285360"/>
        <c:axId val="611288888"/>
      </c:lineChart>
      <c:catAx>
        <c:axId val="61128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88888"/>
        <c:crosses val="autoZero"/>
        <c:auto val="1"/>
        <c:lblAlgn val="ctr"/>
        <c:lblOffset val="100"/>
        <c:noMultiLvlLbl val="0"/>
      </c:catAx>
      <c:valAx>
        <c:axId val="611288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8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2844141069397E-2"/>
          <c:y val="0.10679611650485436"/>
          <c:w val="0.94994311717861202"/>
          <c:h val="0.52509364727467323"/>
        </c:manualLayout>
      </c:layout>
      <c:barChart>
        <c:barDir val="col"/>
        <c:grouping val="clustered"/>
        <c:varyColors val="0"/>
        <c:ser>
          <c:idx val="0"/>
          <c:order val="0"/>
          <c:tx>
            <c:strRef>
              <c:f>Arkusz1!$A$4</c:f>
              <c:strCache>
                <c:ptCount val="1"/>
                <c:pt idx="0">
                  <c:v>Polska</c:v>
                </c:pt>
              </c:strCache>
            </c:strRef>
          </c:tx>
          <c:spPr>
            <a:solidFill>
              <a:schemeClr val="accent1"/>
            </a:solidFill>
            <a:ln>
              <a:noFill/>
            </a:ln>
            <a:effectLst/>
          </c:spPr>
          <c:invertIfNegative val="0"/>
          <c:dLbls>
            <c:dLbl>
              <c:idx val="5"/>
              <c:layout>
                <c:manualLayout>
                  <c:x val="-2.520478890989288E-3"/>
                  <c:y val="2.575107296137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93-42F4-BA4F-C0B2EB8685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Arkusz1!$B$3:$G$3</c:f>
              <c:numCache>
                <c:formatCode>General</c:formatCode>
                <c:ptCount val="6"/>
                <c:pt idx="0">
                  <c:v>2012</c:v>
                </c:pt>
                <c:pt idx="1">
                  <c:v>2013</c:v>
                </c:pt>
                <c:pt idx="2">
                  <c:v>2014</c:v>
                </c:pt>
                <c:pt idx="3">
                  <c:v>2015</c:v>
                </c:pt>
                <c:pt idx="4">
                  <c:v>2016</c:v>
                </c:pt>
                <c:pt idx="5">
                  <c:v>2017</c:v>
                </c:pt>
              </c:numCache>
            </c:numRef>
          </c:cat>
          <c:val>
            <c:numRef>
              <c:f>Arkusz1!$B$4:$G$4</c:f>
              <c:numCache>
                <c:formatCode>0.0%</c:formatCode>
                <c:ptCount val="6"/>
                <c:pt idx="0">
                  <c:v>0.81899999999999995</c:v>
                </c:pt>
                <c:pt idx="1">
                  <c:v>0.82599999999999996</c:v>
                </c:pt>
                <c:pt idx="2">
                  <c:v>0.90400000000000003</c:v>
                </c:pt>
                <c:pt idx="3">
                  <c:v>0.91900000000000004</c:v>
                </c:pt>
                <c:pt idx="4">
                  <c:v>0.93200000000000005</c:v>
                </c:pt>
                <c:pt idx="5">
                  <c:v>0.94599999999999995</c:v>
                </c:pt>
              </c:numCache>
            </c:numRef>
          </c:val>
          <c:extLst xmlns:c16r2="http://schemas.microsoft.com/office/drawing/2015/06/chart">
            <c:ext xmlns:c16="http://schemas.microsoft.com/office/drawing/2014/chart" uri="{C3380CC4-5D6E-409C-BE32-E72D297353CC}">
              <c16:uniqueId val="{00000001-6B93-42F4-BA4F-C0B2EB868563}"/>
            </c:ext>
          </c:extLst>
        </c:ser>
        <c:ser>
          <c:idx val="1"/>
          <c:order val="1"/>
          <c:tx>
            <c:strRef>
              <c:f>Arkusz1!$A$5</c:f>
              <c:strCache>
                <c:ptCount val="1"/>
                <c:pt idx="0">
                  <c:v>Zachodniopomorskie</c:v>
                </c:pt>
              </c:strCache>
            </c:strRef>
          </c:tx>
          <c:spPr>
            <a:solidFill>
              <a:schemeClr val="accent2"/>
            </a:solidFill>
            <a:ln>
              <a:noFill/>
            </a:ln>
            <a:effectLst/>
          </c:spPr>
          <c:invertIfNegative val="0"/>
          <c:dLbls>
            <c:dLbl>
              <c:idx val="0"/>
              <c:layout>
                <c:manualLayout>
                  <c:x val="1.5122873345935728E-2"/>
                  <c:y val="8.58369098712446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93-42F4-BA4F-C0B2EB868563}"/>
                </c:ext>
                <c:ext xmlns:c15="http://schemas.microsoft.com/office/drawing/2012/chart" uri="{CE6537A1-D6FC-4f65-9D91-7224C49458BB}"/>
              </c:extLst>
            </c:dLbl>
            <c:dLbl>
              <c:idx val="1"/>
              <c:layout>
                <c:manualLayout>
                  <c:x val="1.2602394454946439E-2"/>
                  <c:y val="-3.934146254838796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93-42F4-BA4F-C0B2EB8685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Arkusz1!$B$3:$G$3</c:f>
              <c:numCache>
                <c:formatCode>General</c:formatCode>
                <c:ptCount val="6"/>
                <c:pt idx="0">
                  <c:v>2012</c:v>
                </c:pt>
                <c:pt idx="1">
                  <c:v>2013</c:v>
                </c:pt>
                <c:pt idx="2">
                  <c:v>2014</c:v>
                </c:pt>
                <c:pt idx="3">
                  <c:v>2015</c:v>
                </c:pt>
                <c:pt idx="4">
                  <c:v>2016</c:v>
                </c:pt>
                <c:pt idx="5">
                  <c:v>2017</c:v>
                </c:pt>
              </c:numCache>
            </c:numRef>
          </c:cat>
          <c:val>
            <c:numRef>
              <c:f>Arkusz1!$B$5:$G$5</c:f>
              <c:numCache>
                <c:formatCode>0.0%</c:formatCode>
                <c:ptCount val="6"/>
                <c:pt idx="0">
                  <c:v>0.83099999999999996</c:v>
                </c:pt>
                <c:pt idx="1">
                  <c:v>0.84099999999999997</c:v>
                </c:pt>
                <c:pt idx="2">
                  <c:v>0.88</c:v>
                </c:pt>
                <c:pt idx="3">
                  <c:v>0.86699999999999999</c:v>
                </c:pt>
                <c:pt idx="4">
                  <c:v>0.90300000000000002</c:v>
                </c:pt>
                <c:pt idx="5">
                  <c:v>0.95799999999999996</c:v>
                </c:pt>
              </c:numCache>
            </c:numRef>
          </c:val>
          <c:extLst xmlns:c16r2="http://schemas.microsoft.com/office/drawing/2015/06/chart">
            <c:ext xmlns:c16="http://schemas.microsoft.com/office/drawing/2014/chart" uri="{C3380CC4-5D6E-409C-BE32-E72D297353CC}">
              <c16:uniqueId val="{00000004-6B93-42F4-BA4F-C0B2EB868563}"/>
            </c:ext>
          </c:extLst>
        </c:ser>
        <c:dLbls>
          <c:showLegendKey val="0"/>
          <c:showVal val="1"/>
          <c:showCatName val="0"/>
          <c:showSerName val="0"/>
          <c:showPercent val="0"/>
          <c:showBubbleSize val="0"/>
        </c:dLbls>
        <c:gapWidth val="150"/>
        <c:axId val="611285752"/>
        <c:axId val="611294768"/>
      </c:barChart>
      <c:catAx>
        <c:axId val="61128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94768"/>
        <c:crosses val="autoZero"/>
        <c:auto val="1"/>
        <c:lblAlgn val="ctr"/>
        <c:lblOffset val="100"/>
        <c:noMultiLvlLbl val="0"/>
      </c:catAx>
      <c:valAx>
        <c:axId val="611294768"/>
        <c:scaling>
          <c:orientation val="minMax"/>
        </c:scaling>
        <c:delete val="1"/>
        <c:axPos val="l"/>
        <c:numFmt formatCode="0.0%" sourceLinked="1"/>
        <c:majorTickMark val="none"/>
        <c:minorTickMark val="none"/>
        <c:tickLblPos val="nextTo"/>
        <c:crossAx val="611285752"/>
        <c:crosses val="autoZero"/>
        <c:crossBetween val="between"/>
      </c:valAx>
      <c:spPr>
        <a:noFill/>
        <a:ln>
          <a:noFill/>
        </a:ln>
        <a:effectLst/>
      </c:spPr>
    </c:plotArea>
    <c:legend>
      <c:legendPos val="b"/>
      <c:layout>
        <c:manualLayout>
          <c:xMode val="edge"/>
          <c:yMode val="edge"/>
          <c:x val="0.32529610419857924"/>
          <c:y val="0.80881583976760207"/>
          <c:w val="0.34940761244434887"/>
          <c:h val="0.16205794664016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Arkusz1!$A$16</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Arkusz1!$B$15:$E$15</c:f>
              <c:numCache>
                <c:formatCode>General</c:formatCode>
                <c:ptCount val="4"/>
                <c:pt idx="0">
                  <c:v>2015</c:v>
                </c:pt>
                <c:pt idx="1">
                  <c:v>2016</c:v>
                </c:pt>
                <c:pt idx="2">
                  <c:v>2017</c:v>
                </c:pt>
                <c:pt idx="3">
                  <c:v>2018</c:v>
                </c:pt>
              </c:numCache>
            </c:numRef>
          </c:cat>
          <c:val>
            <c:numRef>
              <c:f>Arkusz1!$B$16:$E$16</c:f>
              <c:numCache>
                <c:formatCode>0.0%</c:formatCode>
                <c:ptCount val="4"/>
                <c:pt idx="0">
                  <c:v>0.40100000000000002</c:v>
                </c:pt>
                <c:pt idx="1">
                  <c:v>0.44400000000000001</c:v>
                </c:pt>
                <c:pt idx="2">
                  <c:v>0.46400000000000002</c:v>
                </c:pt>
                <c:pt idx="3">
                  <c:v>0.45899999999999996</c:v>
                </c:pt>
              </c:numCache>
            </c:numRef>
          </c:val>
          <c:extLst xmlns:c16r2="http://schemas.microsoft.com/office/drawing/2015/06/chart">
            <c:ext xmlns:c16="http://schemas.microsoft.com/office/drawing/2014/chart" uri="{C3380CC4-5D6E-409C-BE32-E72D297353CC}">
              <c16:uniqueId val="{00000000-0E24-414A-A297-31FB66F5EF4D}"/>
            </c:ext>
          </c:extLst>
        </c:ser>
        <c:ser>
          <c:idx val="1"/>
          <c:order val="1"/>
          <c:tx>
            <c:strRef>
              <c:f>Arkusz1!$A$17</c:f>
              <c:strCache>
                <c:ptCount val="1"/>
                <c:pt idx="0">
                  <c:v>Zachodniopomorskie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Arkusz1!$B$15:$E$15</c:f>
              <c:numCache>
                <c:formatCode>General</c:formatCode>
                <c:ptCount val="4"/>
                <c:pt idx="0">
                  <c:v>2015</c:v>
                </c:pt>
                <c:pt idx="1">
                  <c:v>2016</c:v>
                </c:pt>
                <c:pt idx="2">
                  <c:v>2017</c:v>
                </c:pt>
                <c:pt idx="3">
                  <c:v>2018</c:v>
                </c:pt>
              </c:numCache>
            </c:numRef>
          </c:cat>
          <c:val>
            <c:numRef>
              <c:f>Arkusz1!$B$17:$E$17</c:f>
              <c:numCache>
                <c:formatCode>0.0%</c:formatCode>
                <c:ptCount val="4"/>
                <c:pt idx="0">
                  <c:v>0.42799999999999999</c:v>
                </c:pt>
                <c:pt idx="1">
                  <c:v>0.501</c:v>
                </c:pt>
                <c:pt idx="2">
                  <c:v>0.57099999999999995</c:v>
                </c:pt>
                <c:pt idx="3">
                  <c:v>0.47299999999999998</c:v>
                </c:pt>
              </c:numCache>
            </c:numRef>
          </c:val>
          <c:extLst xmlns:c16r2="http://schemas.microsoft.com/office/drawing/2015/06/chart">
            <c:ext xmlns:c16="http://schemas.microsoft.com/office/drawing/2014/chart" uri="{C3380CC4-5D6E-409C-BE32-E72D297353CC}">
              <c16:uniqueId val="{00000001-0E24-414A-A297-31FB66F5EF4D}"/>
            </c:ext>
          </c:extLst>
        </c:ser>
        <c:dLbls>
          <c:dLblPos val="outEnd"/>
          <c:showLegendKey val="0"/>
          <c:showVal val="1"/>
          <c:showCatName val="0"/>
          <c:showSerName val="0"/>
          <c:showPercent val="0"/>
          <c:showBubbleSize val="0"/>
        </c:dLbls>
        <c:gapWidth val="219"/>
        <c:overlap val="-27"/>
        <c:axId val="611289672"/>
        <c:axId val="611295160"/>
      </c:barChart>
      <c:catAx>
        <c:axId val="61128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5160"/>
        <c:crosses val="autoZero"/>
        <c:auto val="1"/>
        <c:lblAlgn val="ctr"/>
        <c:lblOffset val="100"/>
        <c:noMultiLvlLbl val="0"/>
      </c:catAx>
      <c:valAx>
        <c:axId val="611295160"/>
        <c:scaling>
          <c:orientation val="minMax"/>
        </c:scaling>
        <c:delete val="1"/>
        <c:axPos val="l"/>
        <c:numFmt formatCode="0.0%" sourceLinked="1"/>
        <c:majorTickMark val="none"/>
        <c:minorTickMark val="none"/>
        <c:tickLblPos val="nextTo"/>
        <c:crossAx val="61128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Arkusz1!$A$3</c:f>
              <c:strCache>
                <c:ptCount val="1"/>
                <c:pt idx="0">
                  <c:v>średni czas pobytu chorego w szpitalu (dni)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Arkusz1!$B$2:$F$2</c:f>
              <c:numCache>
                <c:formatCode>General</c:formatCode>
                <c:ptCount val="5"/>
                <c:pt idx="0">
                  <c:v>2013</c:v>
                </c:pt>
                <c:pt idx="1">
                  <c:v>2014</c:v>
                </c:pt>
                <c:pt idx="2">
                  <c:v>2015</c:v>
                </c:pt>
                <c:pt idx="3">
                  <c:v>2016</c:v>
                </c:pt>
                <c:pt idx="4">
                  <c:v>2017</c:v>
                </c:pt>
              </c:numCache>
            </c:numRef>
          </c:cat>
          <c:val>
            <c:numRef>
              <c:f>Arkusz1!$B$3:$F$3</c:f>
              <c:numCache>
                <c:formatCode>General</c:formatCode>
                <c:ptCount val="5"/>
                <c:pt idx="0">
                  <c:v>5.5</c:v>
                </c:pt>
                <c:pt idx="1">
                  <c:v>5.4</c:v>
                </c:pt>
                <c:pt idx="2">
                  <c:v>5.34</c:v>
                </c:pt>
                <c:pt idx="3">
                  <c:v>5.3</c:v>
                </c:pt>
                <c:pt idx="4">
                  <c:v>4.92</c:v>
                </c:pt>
              </c:numCache>
            </c:numRef>
          </c:val>
          <c:smooth val="0"/>
          <c:extLst xmlns:c16r2="http://schemas.microsoft.com/office/drawing/2015/06/chart">
            <c:ext xmlns:c16="http://schemas.microsoft.com/office/drawing/2014/chart" uri="{C3380CC4-5D6E-409C-BE32-E72D297353CC}">
              <c16:uniqueId val="{00000000-6356-48D3-81DA-04187996C787}"/>
            </c:ext>
          </c:extLst>
        </c:ser>
        <c:dLbls>
          <c:dLblPos val="t"/>
          <c:showLegendKey val="0"/>
          <c:showVal val="1"/>
          <c:showCatName val="0"/>
          <c:showSerName val="0"/>
          <c:showPercent val="0"/>
          <c:showBubbleSize val="0"/>
        </c:dLbls>
        <c:smooth val="0"/>
        <c:axId val="611283008"/>
        <c:axId val="611283400"/>
      </c:lineChart>
      <c:catAx>
        <c:axId val="6112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83400"/>
        <c:crosses val="autoZero"/>
        <c:auto val="1"/>
        <c:lblAlgn val="ctr"/>
        <c:lblOffset val="100"/>
        <c:noMultiLvlLbl val="0"/>
      </c:catAx>
      <c:valAx>
        <c:axId val="611283400"/>
        <c:scaling>
          <c:orientation val="minMax"/>
        </c:scaling>
        <c:delete val="1"/>
        <c:axPos val="l"/>
        <c:numFmt formatCode="General" sourceLinked="1"/>
        <c:majorTickMark val="none"/>
        <c:minorTickMark val="none"/>
        <c:tickLblPos val="nextTo"/>
        <c:crossAx val="611283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Arkusz1!$A$25</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Arkusz1!$B$24:$F$24</c:f>
              <c:numCache>
                <c:formatCode>General</c:formatCode>
                <c:ptCount val="5"/>
                <c:pt idx="0">
                  <c:v>2013</c:v>
                </c:pt>
                <c:pt idx="1">
                  <c:v>2014</c:v>
                </c:pt>
                <c:pt idx="2">
                  <c:v>2015</c:v>
                </c:pt>
                <c:pt idx="3">
                  <c:v>2016</c:v>
                </c:pt>
                <c:pt idx="4">
                  <c:v>2017</c:v>
                </c:pt>
              </c:numCache>
            </c:numRef>
          </c:cat>
          <c:val>
            <c:numRef>
              <c:f>Arkusz1!$B$25:$F$25</c:f>
              <c:numCache>
                <c:formatCode>General</c:formatCode>
                <c:ptCount val="5"/>
                <c:pt idx="0">
                  <c:v>65348</c:v>
                </c:pt>
                <c:pt idx="1">
                  <c:v>60287</c:v>
                </c:pt>
                <c:pt idx="2">
                  <c:v>56113</c:v>
                </c:pt>
                <c:pt idx="3">
                  <c:v>52282</c:v>
                </c:pt>
                <c:pt idx="4">
                  <c:v>48096</c:v>
                </c:pt>
              </c:numCache>
            </c:numRef>
          </c:val>
          <c:smooth val="0"/>
          <c:extLst xmlns:c16r2="http://schemas.microsoft.com/office/drawing/2015/06/chart">
            <c:ext xmlns:c16="http://schemas.microsoft.com/office/drawing/2014/chart" uri="{C3380CC4-5D6E-409C-BE32-E72D297353CC}">
              <c16:uniqueId val="{00000000-F8C2-4B9E-9032-8AC414AB1054}"/>
            </c:ext>
          </c:extLst>
        </c:ser>
        <c:dLbls>
          <c:showLegendKey val="0"/>
          <c:showVal val="0"/>
          <c:showCatName val="0"/>
          <c:showSerName val="0"/>
          <c:showPercent val="0"/>
          <c:showBubbleSize val="0"/>
        </c:dLbls>
        <c:smooth val="0"/>
        <c:axId val="611290848"/>
        <c:axId val="611284184"/>
      </c:lineChart>
      <c:catAx>
        <c:axId val="6112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84184"/>
        <c:crosses val="autoZero"/>
        <c:auto val="1"/>
        <c:lblAlgn val="ctr"/>
        <c:lblOffset val="100"/>
        <c:noMultiLvlLbl val="0"/>
      </c:catAx>
      <c:valAx>
        <c:axId val="61128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90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Arkusz1!$G$3</c:f>
              <c:strCache>
                <c:ptCount val="1"/>
                <c:pt idx="0">
                  <c:v>2012</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Arkusz1!$G$4:$G$19</c:f>
              <c:numCache>
                <c:formatCode>0.0</c:formatCode>
                <c:ptCount val="16"/>
                <c:pt idx="0">
                  <c:v>12.8</c:v>
                </c:pt>
                <c:pt idx="1">
                  <c:v>2.1</c:v>
                </c:pt>
                <c:pt idx="2">
                  <c:v>4.9000000000000004</c:v>
                </c:pt>
                <c:pt idx="3">
                  <c:v>0.2</c:v>
                </c:pt>
                <c:pt idx="4">
                  <c:v>6.6</c:v>
                </c:pt>
                <c:pt idx="5">
                  <c:v>11.5</c:v>
                </c:pt>
                <c:pt idx="6">
                  <c:v>30.6</c:v>
                </c:pt>
                <c:pt idx="7">
                  <c:v>0.9</c:v>
                </c:pt>
                <c:pt idx="8">
                  <c:v>4.3</c:v>
                </c:pt>
                <c:pt idx="9">
                  <c:v>1</c:v>
                </c:pt>
                <c:pt idx="10">
                  <c:v>4.9000000000000004</c:v>
                </c:pt>
                <c:pt idx="11">
                  <c:v>6.9</c:v>
                </c:pt>
                <c:pt idx="12">
                  <c:v>0.2</c:v>
                </c:pt>
                <c:pt idx="13">
                  <c:v>1.5</c:v>
                </c:pt>
                <c:pt idx="14">
                  <c:v>9.1</c:v>
                </c:pt>
                <c:pt idx="15">
                  <c:v>2.4</c:v>
                </c:pt>
              </c:numCache>
            </c:numRef>
          </c:val>
          <c:extLst xmlns:c16r2="http://schemas.microsoft.com/office/drawing/2015/06/chart">
            <c:ext xmlns:c16="http://schemas.microsoft.com/office/drawing/2014/chart" uri="{C3380CC4-5D6E-409C-BE32-E72D297353CC}">
              <c16:uniqueId val="{00000000-D946-4B24-AE72-7E671CB20F0C}"/>
            </c:ext>
          </c:extLst>
        </c:ser>
        <c:ser>
          <c:idx val="1"/>
          <c:order val="1"/>
          <c:tx>
            <c:strRef>
              <c:f>Arkusz1!$H$3</c:f>
              <c:strCache>
                <c:ptCount val="1"/>
                <c:pt idx="0">
                  <c:v>2013</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Arkusz1!$H$4:$H$19</c:f>
              <c:numCache>
                <c:formatCode>0.0</c:formatCode>
                <c:ptCount val="16"/>
                <c:pt idx="0">
                  <c:v>10.1</c:v>
                </c:pt>
                <c:pt idx="1">
                  <c:v>2</c:v>
                </c:pt>
                <c:pt idx="2">
                  <c:v>4.7</c:v>
                </c:pt>
                <c:pt idx="3">
                  <c:v>0.6</c:v>
                </c:pt>
                <c:pt idx="4">
                  <c:v>6.5</c:v>
                </c:pt>
                <c:pt idx="5">
                  <c:v>10.6</c:v>
                </c:pt>
                <c:pt idx="6">
                  <c:v>31.6</c:v>
                </c:pt>
                <c:pt idx="7">
                  <c:v>0.9</c:v>
                </c:pt>
                <c:pt idx="8">
                  <c:v>4.7</c:v>
                </c:pt>
                <c:pt idx="10">
                  <c:v>9.8000000000000007</c:v>
                </c:pt>
                <c:pt idx="11">
                  <c:v>6.9</c:v>
                </c:pt>
                <c:pt idx="13">
                  <c:v>0.6</c:v>
                </c:pt>
                <c:pt idx="14">
                  <c:v>7.2</c:v>
                </c:pt>
                <c:pt idx="15">
                  <c:v>1.7</c:v>
                </c:pt>
              </c:numCache>
            </c:numRef>
          </c:val>
          <c:extLst xmlns:c16r2="http://schemas.microsoft.com/office/drawing/2015/06/chart">
            <c:ext xmlns:c16="http://schemas.microsoft.com/office/drawing/2014/chart" uri="{C3380CC4-5D6E-409C-BE32-E72D297353CC}">
              <c16:uniqueId val="{00000001-D946-4B24-AE72-7E671CB20F0C}"/>
            </c:ext>
          </c:extLst>
        </c:ser>
        <c:ser>
          <c:idx val="2"/>
          <c:order val="2"/>
          <c:tx>
            <c:strRef>
              <c:f>Arkusz1!$I$3</c:f>
              <c:strCache>
                <c:ptCount val="1"/>
                <c:pt idx="0">
                  <c:v>2014</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Arkusz1!$I$4:$I$19</c:f>
              <c:numCache>
                <c:formatCode>0.0</c:formatCode>
                <c:ptCount val="16"/>
                <c:pt idx="0">
                  <c:v>10.1</c:v>
                </c:pt>
                <c:pt idx="1">
                  <c:v>1.9</c:v>
                </c:pt>
                <c:pt idx="2">
                  <c:v>5.8</c:v>
                </c:pt>
                <c:pt idx="3">
                  <c:v>0.2</c:v>
                </c:pt>
                <c:pt idx="4">
                  <c:v>5.5</c:v>
                </c:pt>
                <c:pt idx="5">
                  <c:v>10.3</c:v>
                </c:pt>
                <c:pt idx="6">
                  <c:v>31.3</c:v>
                </c:pt>
                <c:pt idx="7">
                  <c:v>0.9</c:v>
                </c:pt>
                <c:pt idx="9">
                  <c:v>1.2</c:v>
                </c:pt>
                <c:pt idx="10">
                  <c:v>10.1</c:v>
                </c:pt>
                <c:pt idx="11">
                  <c:v>7.6</c:v>
                </c:pt>
                <c:pt idx="13">
                  <c:v>1</c:v>
                </c:pt>
                <c:pt idx="14">
                  <c:v>7.2</c:v>
                </c:pt>
                <c:pt idx="15">
                  <c:v>1.6</c:v>
                </c:pt>
              </c:numCache>
            </c:numRef>
          </c:val>
          <c:extLst xmlns:c16r2="http://schemas.microsoft.com/office/drawing/2015/06/chart">
            <c:ext xmlns:c16="http://schemas.microsoft.com/office/drawing/2014/chart" uri="{C3380CC4-5D6E-409C-BE32-E72D297353CC}">
              <c16:uniqueId val="{00000002-D946-4B24-AE72-7E671CB20F0C}"/>
            </c:ext>
          </c:extLst>
        </c:ser>
        <c:ser>
          <c:idx val="3"/>
          <c:order val="3"/>
          <c:tx>
            <c:strRef>
              <c:f>Arkusz1!$J$3</c:f>
              <c:strCache>
                <c:ptCount val="1"/>
                <c:pt idx="0">
                  <c:v>2015</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Arkusz1!$J$4:$J$19</c:f>
              <c:numCache>
                <c:formatCode>0.0</c:formatCode>
                <c:ptCount val="16"/>
                <c:pt idx="0">
                  <c:v>13.6</c:v>
                </c:pt>
                <c:pt idx="1">
                  <c:v>2</c:v>
                </c:pt>
                <c:pt idx="2">
                  <c:v>6.7</c:v>
                </c:pt>
                <c:pt idx="3">
                  <c:v>0.2</c:v>
                </c:pt>
                <c:pt idx="4">
                  <c:v>4.8</c:v>
                </c:pt>
                <c:pt idx="5">
                  <c:v>12.1</c:v>
                </c:pt>
                <c:pt idx="6">
                  <c:v>32.1</c:v>
                </c:pt>
                <c:pt idx="7">
                  <c:v>0.8</c:v>
                </c:pt>
                <c:pt idx="8">
                  <c:v>5.4</c:v>
                </c:pt>
                <c:pt idx="9">
                  <c:v>1.6</c:v>
                </c:pt>
                <c:pt idx="10">
                  <c:v>4.0999999999999996</c:v>
                </c:pt>
                <c:pt idx="11">
                  <c:v>6.8</c:v>
                </c:pt>
                <c:pt idx="12">
                  <c:v>0.7</c:v>
                </c:pt>
                <c:pt idx="13">
                  <c:v>0.8</c:v>
                </c:pt>
                <c:pt idx="14">
                  <c:v>6.7</c:v>
                </c:pt>
                <c:pt idx="15">
                  <c:v>1.6</c:v>
                </c:pt>
              </c:numCache>
            </c:numRef>
          </c:val>
          <c:extLst xmlns:c16r2="http://schemas.microsoft.com/office/drawing/2015/06/chart">
            <c:ext xmlns:c16="http://schemas.microsoft.com/office/drawing/2014/chart" uri="{C3380CC4-5D6E-409C-BE32-E72D297353CC}">
              <c16:uniqueId val="{00000003-D946-4B24-AE72-7E671CB20F0C}"/>
            </c:ext>
          </c:extLst>
        </c:ser>
        <c:ser>
          <c:idx val="4"/>
          <c:order val="4"/>
          <c:tx>
            <c:strRef>
              <c:f>Arkusz1!$K$3</c:f>
              <c:strCache>
                <c:ptCount val="1"/>
                <c:pt idx="0">
                  <c:v>2016</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Arkusz1!$K$4:$K$19</c:f>
              <c:numCache>
                <c:formatCode>0.0</c:formatCode>
                <c:ptCount val="16"/>
                <c:pt idx="0">
                  <c:v>13.4</c:v>
                </c:pt>
                <c:pt idx="1">
                  <c:v>1.9</c:v>
                </c:pt>
                <c:pt idx="2">
                  <c:v>6.8</c:v>
                </c:pt>
                <c:pt idx="3">
                  <c:v>0.2</c:v>
                </c:pt>
                <c:pt idx="4">
                  <c:v>4.2</c:v>
                </c:pt>
                <c:pt idx="5">
                  <c:v>12.2</c:v>
                </c:pt>
                <c:pt idx="6">
                  <c:v>32.299999999999997</c:v>
                </c:pt>
                <c:pt idx="7">
                  <c:v>0.7</c:v>
                </c:pt>
                <c:pt idx="8">
                  <c:v>5</c:v>
                </c:pt>
                <c:pt idx="9">
                  <c:v>1.6</c:v>
                </c:pt>
                <c:pt idx="10">
                  <c:v>4.0999999999999996</c:v>
                </c:pt>
                <c:pt idx="11">
                  <c:v>6.6</c:v>
                </c:pt>
                <c:pt idx="12">
                  <c:v>0.7</c:v>
                </c:pt>
                <c:pt idx="13">
                  <c:v>0.8</c:v>
                </c:pt>
                <c:pt idx="14">
                  <c:v>8</c:v>
                </c:pt>
                <c:pt idx="15">
                  <c:v>1.5</c:v>
                </c:pt>
              </c:numCache>
            </c:numRef>
          </c:val>
          <c:extLst xmlns:c16r2="http://schemas.microsoft.com/office/drawing/2015/06/chart">
            <c:ext xmlns:c16="http://schemas.microsoft.com/office/drawing/2014/chart" uri="{C3380CC4-5D6E-409C-BE32-E72D297353CC}">
              <c16:uniqueId val="{00000004-D946-4B24-AE72-7E671CB20F0C}"/>
            </c:ext>
          </c:extLst>
        </c:ser>
        <c:ser>
          <c:idx val="5"/>
          <c:order val="5"/>
          <c:tx>
            <c:strRef>
              <c:f>Arkusz1!$L$3</c:f>
              <c:strCache>
                <c:ptCount val="1"/>
                <c:pt idx="0">
                  <c:v>2017</c:v>
                </c:pt>
              </c:strCache>
            </c:strRef>
          </c:tx>
          <c:invertIfNegative val="0"/>
          <c:dLbls>
            <c:spPr>
              <a:noFill/>
              <a:ln w="25388">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Arkusz1!$F$4:$F$19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Arkusz1!$L$4:$L$19</c:f>
              <c:numCache>
                <c:formatCode>0.0</c:formatCode>
                <c:ptCount val="16"/>
                <c:pt idx="0">
                  <c:v>12.50113010183861</c:v>
                </c:pt>
                <c:pt idx="1">
                  <c:v>1.8915999136139499</c:v>
                </c:pt>
                <c:pt idx="2">
                  <c:v>7.1174516025612355</c:v>
                </c:pt>
                <c:pt idx="3">
                  <c:v>0.28647015339509357</c:v>
                </c:pt>
                <c:pt idx="4">
                  <c:v>5.0110434479359274</c:v>
                </c:pt>
                <c:pt idx="5">
                  <c:v>12.637724582663349</c:v>
                </c:pt>
                <c:pt idx="6">
                  <c:v>29.973862745612649</c:v>
                </c:pt>
                <c:pt idx="7">
                  <c:v>0.73268396054638774</c:v>
                </c:pt>
                <c:pt idx="8">
                  <c:v>4.8327741372017474</c:v>
                </c:pt>
                <c:pt idx="9">
                  <c:v>1.7198514319397686</c:v>
                </c:pt>
                <c:pt idx="10">
                  <c:v>4.424721425696327</c:v>
                </c:pt>
                <c:pt idx="11">
                  <c:v>6.756291762824052</c:v>
                </c:pt>
                <c:pt idx="12">
                  <c:v>1.1960930652585582</c:v>
                </c:pt>
                <c:pt idx="13">
                  <c:v>2.0360633899718921</c:v>
                </c:pt>
                <c:pt idx="14">
                  <c:v>7.3967368960301085</c:v>
                </c:pt>
                <c:pt idx="15">
                  <c:v>1.4855013829103372</c:v>
                </c:pt>
              </c:numCache>
            </c:numRef>
          </c:val>
          <c:extLst xmlns:c16r2="http://schemas.microsoft.com/office/drawing/2015/06/chart">
            <c:ext xmlns:c16="http://schemas.microsoft.com/office/drawing/2014/chart" uri="{C3380CC4-5D6E-409C-BE32-E72D297353CC}">
              <c16:uniqueId val="{00000005-D946-4B24-AE72-7E671CB20F0C}"/>
            </c:ext>
          </c:extLst>
        </c:ser>
        <c:dLbls>
          <c:showLegendKey val="0"/>
          <c:showVal val="0"/>
          <c:showCatName val="0"/>
          <c:showSerName val="0"/>
          <c:showPercent val="0"/>
          <c:showBubbleSize val="0"/>
        </c:dLbls>
        <c:gapWidth val="150"/>
        <c:axId val="417003224"/>
        <c:axId val="417007928"/>
      </c:barChart>
      <c:catAx>
        <c:axId val="417003224"/>
        <c:scaling>
          <c:orientation val="minMax"/>
        </c:scaling>
        <c:delete val="0"/>
        <c:axPos val="l"/>
        <c:numFmt formatCode="General" sourceLinked="0"/>
        <c:majorTickMark val="out"/>
        <c:minorTickMark val="none"/>
        <c:tickLblPos val="nextTo"/>
        <c:crossAx val="417007928"/>
        <c:crosses val="autoZero"/>
        <c:auto val="1"/>
        <c:lblAlgn val="ctr"/>
        <c:lblOffset val="100"/>
        <c:noMultiLvlLbl val="0"/>
      </c:catAx>
      <c:valAx>
        <c:axId val="417007928"/>
        <c:scaling>
          <c:orientation val="minMax"/>
        </c:scaling>
        <c:delete val="0"/>
        <c:axPos val="b"/>
        <c:majorGridlines/>
        <c:numFmt formatCode="0" sourceLinked="0"/>
        <c:majorTickMark val="out"/>
        <c:minorTickMark val="none"/>
        <c:tickLblPos val="nextTo"/>
        <c:crossAx val="417003224"/>
        <c:crosses val="autoZero"/>
        <c:crossBetween val="between"/>
      </c:valAx>
    </c:plotArea>
    <c:legend>
      <c:legendPos val="r"/>
      <c:overlay val="0"/>
    </c:legend>
    <c:plotVisOnly val="1"/>
    <c:dispBlanksAs val="gap"/>
    <c:showDLblsOverMax val="0"/>
  </c:chart>
  <c:txPr>
    <a:bodyPr/>
    <a:lstStyle/>
    <a:p>
      <a:pPr>
        <a:defRPr sz="799"/>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Arkusz1!$B$20</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Arkusz1!$C$19:$F$19</c:f>
              <c:numCache>
                <c:formatCode>General</c:formatCode>
                <c:ptCount val="4"/>
                <c:pt idx="0">
                  <c:v>2013</c:v>
                </c:pt>
                <c:pt idx="1">
                  <c:v>2014</c:v>
                </c:pt>
                <c:pt idx="2">
                  <c:v>2015</c:v>
                </c:pt>
                <c:pt idx="3">
                  <c:v>2016</c:v>
                </c:pt>
              </c:numCache>
            </c:numRef>
          </c:cat>
          <c:val>
            <c:numRef>
              <c:f>Arkusz1!$C$20:$F$20</c:f>
              <c:numCache>
                <c:formatCode>General</c:formatCode>
                <c:ptCount val="4"/>
                <c:pt idx="0">
                  <c:v>17.8</c:v>
                </c:pt>
                <c:pt idx="1">
                  <c:v>14.5</c:v>
                </c:pt>
                <c:pt idx="2">
                  <c:v>13.5</c:v>
                </c:pt>
                <c:pt idx="3">
                  <c:v>9.9</c:v>
                </c:pt>
              </c:numCache>
            </c:numRef>
          </c:val>
          <c:smooth val="0"/>
          <c:extLst xmlns:c16r2="http://schemas.microsoft.com/office/drawing/2015/06/chart">
            <c:ext xmlns:c16="http://schemas.microsoft.com/office/drawing/2014/chart" uri="{C3380CC4-5D6E-409C-BE32-E72D297353CC}">
              <c16:uniqueId val="{00000000-B324-4C15-9DC8-9F07E53524B9}"/>
            </c:ext>
          </c:extLst>
        </c:ser>
        <c:dLbls>
          <c:dLblPos val="t"/>
          <c:showLegendKey val="0"/>
          <c:showVal val="1"/>
          <c:showCatName val="0"/>
          <c:showSerName val="0"/>
          <c:showPercent val="0"/>
          <c:showBubbleSize val="0"/>
        </c:dLbls>
        <c:smooth val="0"/>
        <c:axId val="611292024"/>
        <c:axId val="611299080"/>
      </c:lineChart>
      <c:catAx>
        <c:axId val="61129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9080"/>
        <c:crosses val="autoZero"/>
        <c:auto val="1"/>
        <c:lblAlgn val="ctr"/>
        <c:lblOffset val="100"/>
        <c:noMultiLvlLbl val="0"/>
      </c:catAx>
      <c:valAx>
        <c:axId val="611299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2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Arkusz1!$N$29</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Arkusz1!$O$28:$S$28</c:f>
              <c:numCache>
                <c:formatCode>General</c:formatCode>
                <c:ptCount val="5"/>
                <c:pt idx="0">
                  <c:v>2013</c:v>
                </c:pt>
                <c:pt idx="1">
                  <c:v>2014</c:v>
                </c:pt>
                <c:pt idx="2">
                  <c:v>2015</c:v>
                </c:pt>
                <c:pt idx="3">
                  <c:v>2016</c:v>
                </c:pt>
                <c:pt idx="4">
                  <c:v>2017</c:v>
                </c:pt>
              </c:numCache>
            </c:numRef>
          </c:cat>
          <c:val>
            <c:numRef>
              <c:f>Arkusz1!$O$29:$S$29</c:f>
              <c:numCache>
                <c:formatCode>General</c:formatCode>
                <c:ptCount val="5"/>
                <c:pt idx="0">
                  <c:v>97.53</c:v>
                </c:pt>
                <c:pt idx="1">
                  <c:v>94.37</c:v>
                </c:pt>
                <c:pt idx="2">
                  <c:v>94.59</c:v>
                </c:pt>
                <c:pt idx="3">
                  <c:v>96.2</c:v>
                </c:pt>
                <c:pt idx="4">
                  <c:v>94.52</c:v>
                </c:pt>
              </c:numCache>
            </c:numRef>
          </c:val>
          <c:smooth val="0"/>
          <c:extLst xmlns:c16r2="http://schemas.microsoft.com/office/drawing/2015/06/chart">
            <c:ext xmlns:c16="http://schemas.microsoft.com/office/drawing/2014/chart" uri="{C3380CC4-5D6E-409C-BE32-E72D297353CC}">
              <c16:uniqueId val="{00000000-C5A6-4512-8321-97A0B14AC761}"/>
            </c:ext>
          </c:extLst>
        </c:ser>
        <c:dLbls>
          <c:dLblPos val="t"/>
          <c:showLegendKey val="0"/>
          <c:showVal val="1"/>
          <c:showCatName val="0"/>
          <c:showSerName val="0"/>
          <c:showPercent val="0"/>
          <c:showBubbleSize val="0"/>
        </c:dLbls>
        <c:smooth val="0"/>
        <c:axId val="611306136"/>
        <c:axId val="611299472"/>
      </c:lineChart>
      <c:catAx>
        <c:axId val="61130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9472"/>
        <c:crosses val="autoZero"/>
        <c:auto val="1"/>
        <c:lblAlgn val="ctr"/>
        <c:lblOffset val="100"/>
        <c:noMultiLvlLbl val="0"/>
      </c:catAx>
      <c:valAx>
        <c:axId val="61129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306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ZIT_KS!$B$4</c:f>
              <c:strCache>
                <c:ptCount val="1"/>
                <c:pt idx="0">
                  <c:v>ZIT (n=58)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ZIT_KS!$A$5:$A$7</c:f>
              <c:strCache>
                <c:ptCount val="3"/>
                <c:pt idx="0">
                  <c:v>Zakres odpowiada w wystarczającym stopniu na wyzwania rozwojowe obszaru metropolitarnego / funkcjonalnego</c:v>
                </c:pt>
                <c:pt idx="1">
                  <c:v>Zakres w niewystarczającym stopniu odpowiada na wyzwania rozwojowe obszaru metropolitarnego / funkcjonalnego</c:v>
                </c:pt>
                <c:pt idx="2">
                  <c:v>Nie wiem, trudno powiedzieć</c:v>
                </c:pt>
              </c:strCache>
            </c:strRef>
          </c:cat>
          <c:val>
            <c:numRef>
              <c:f>ZIT_KS!$B$5:$B$7</c:f>
              <c:numCache>
                <c:formatCode>####.0%</c:formatCode>
                <c:ptCount val="3"/>
                <c:pt idx="0">
                  <c:v>0.43103448275862066</c:v>
                </c:pt>
                <c:pt idx="1">
                  <c:v>0.10344827586206896</c:v>
                </c:pt>
                <c:pt idx="2">
                  <c:v>0.46551724137931033</c:v>
                </c:pt>
              </c:numCache>
            </c:numRef>
          </c:val>
          <c:extLst xmlns:c16r2="http://schemas.microsoft.com/office/drawing/2015/06/chart">
            <c:ext xmlns:c16="http://schemas.microsoft.com/office/drawing/2014/chart" uri="{C3380CC4-5D6E-409C-BE32-E72D297353CC}">
              <c16:uniqueId val="{00000000-1E69-4E6E-96C4-757EF721B58F}"/>
            </c:ext>
          </c:extLst>
        </c:ser>
        <c:ser>
          <c:idx val="1"/>
          <c:order val="1"/>
          <c:tx>
            <c:strRef>
              <c:f>ZIT_KS!$C$4</c:f>
              <c:strCache>
                <c:ptCount val="1"/>
                <c:pt idx="0">
                  <c:v>KS (n=39)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ZIT_KS!$A$5:$A$7</c:f>
              <c:strCache>
                <c:ptCount val="3"/>
                <c:pt idx="0">
                  <c:v>Zakres odpowiada w wystarczającym stopniu na wyzwania rozwojowe obszaru metropolitarnego / funkcjonalnego</c:v>
                </c:pt>
                <c:pt idx="1">
                  <c:v>Zakres w niewystarczającym stopniu odpowiada na wyzwania rozwojowe obszaru metropolitarnego / funkcjonalnego</c:v>
                </c:pt>
                <c:pt idx="2">
                  <c:v>Nie wiem, trudno powiedzieć</c:v>
                </c:pt>
              </c:strCache>
            </c:strRef>
          </c:cat>
          <c:val>
            <c:numRef>
              <c:f>ZIT_KS!$C$5:$C$7</c:f>
              <c:numCache>
                <c:formatCode>####.0%</c:formatCode>
                <c:ptCount val="3"/>
                <c:pt idx="0">
                  <c:v>0.20512820512820512</c:v>
                </c:pt>
                <c:pt idx="1">
                  <c:v>0.30769230769230771</c:v>
                </c:pt>
                <c:pt idx="2">
                  <c:v>0.48717948717948717</c:v>
                </c:pt>
              </c:numCache>
            </c:numRef>
          </c:val>
          <c:extLst xmlns:c16r2="http://schemas.microsoft.com/office/drawing/2015/06/chart">
            <c:ext xmlns:c16="http://schemas.microsoft.com/office/drawing/2014/chart" uri="{C3380CC4-5D6E-409C-BE32-E72D297353CC}">
              <c16:uniqueId val="{00000001-1E69-4E6E-96C4-757EF721B58F}"/>
            </c:ext>
          </c:extLst>
        </c:ser>
        <c:dLbls>
          <c:showLegendKey val="0"/>
          <c:showVal val="0"/>
          <c:showCatName val="0"/>
          <c:showSerName val="0"/>
          <c:showPercent val="0"/>
          <c:showBubbleSize val="0"/>
        </c:dLbls>
        <c:gapWidth val="182"/>
        <c:axId val="611299864"/>
        <c:axId val="611297904"/>
      </c:barChart>
      <c:catAx>
        <c:axId val="611299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97904"/>
        <c:crosses val="autoZero"/>
        <c:auto val="1"/>
        <c:lblAlgn val="ctr"/>
        <c:lblOffset val="100"/>
        <c:noMultiLvlLbl val="0"/>
      </c:catAx>
      <c:valAx>
        <c:axId val="611297904"/>
        <c:scaling>
          <c:orientation val="minMax"/>
        </c:scaling>
        <c:delete val="1"/>
        <c:axPos val="t"/>
        <c:numFmt formatCode="####.0%" sourceLinked="1"/>
        <c:majorTickMark val="out"/>
        <c:minorTickMark val="none"/>
        <c:tickLblPos val="nextTo"/>
        <c:crossAx val="61129986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ZIT_KS!$B$17</c:f>
              <c:strCache>
                <c:ptCount val="1"/>
                <c:pt idx="0">
                  <c:v>ZIT (n=58)</c:v>
                </c:pt>
              </c:strCache>
            </c:strRef>
          </c:tx>
          <c:spPr>
            <a:solidFill>
              <a:schemeClr val="accent1"/>
            </a:solidFill>
            <a:ln>
              <a:noFill/>
            </a:ln>
            <a:effectLst/>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ZIT_KS!$A$18:$A$20</c:f>
              <c:strCache>
                <c:ptCount val="3"/>
                <c:pt idx="0">
                  <c:v>Projekty wzmacniają w wystarczającym stopniu mocne strony naszego obszaru metropolitarnego / funkcjonalnego</c:v>
                </c:pt>
                <c:pt idx="1">
                  <c:v>Projekty w niewystarczającym stopniu wzmacniają mocne strony naszego obszaru metropolitarnego / funkcjonalnego</c:v>
                </c:pt>
                <c:pt idx="2">
                  <c:v>Nie wiem, trudno powiedzieć</c:v>
                </c:pt>
              </c:strCache>
            </c:strRef>
          </c:cat>
          <c:val>
            <c:numRef>
              <c:f>ZIT_KS!$B$18:$B$20</c:f>
              <c:numCache>
                <c:formatCode>####.0%</c:formatCode>
                <c:ptCount val="3"/>
                <c:pt idx="0">
                  <c:v>0.43103448275862066</c:v>
                </c:pt>
                <c:pt idx="1">
                  <c:v>5.1724137931034482E-2</c:v>
                </c:pt>
                <c:pt idx="2">
                  <c:v>0.51724137931034486</c:v>
                </c:pt>
              </c:numCache>
            </c:numRef>
          </c:val>
          <c:extLst xmlns:c16r2="http://schemas.microsoft.com/office/drawing/2015/06/chart">
            <c:ext xmlns:c16="http://schemas.microsoft.com/office/drawing/2014/chart" uri="{C3380CC4-5D6E-409C-BE32-E72D297353CC}">
              <c16:uniqueId val="{00000000-DFDC-4470-AA08-1B667EA9538B}"/>
            </c:ext>
          </c:extLst>
        </c:ser>
        <c:ser>
          <c:idx val="1"/>
          <c:order val="1"/>
          <c:tx>
            <c:strRef>
              <c:f>ZIT_KS!$C$17</c:f>
              <c:strCache>
                <c:ptCount val="1"/>
                <c:pt idx="0">
                  <c:v>KS (n=39)</c:v>
                </c:pt>
              </c:strCache>
            </c:strRef>
          </c:tx>
          <c:spPr>
            <a:solidFill>
              <a:schemeClr val="accent2"/>
            </a:solidFill>
            <a:ln>
              <a:noFill/>
            </a:ln>
            <a:effectLst/>
          </c:spPr>
          <c:invertIfNegative val="0"/>
          <c:dLbls>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ZIT_KS!$A$18:$A$20</c:f>
              <c:strCache>
                <c:ptCount val="3"/>
                <c:pt idx="0">
                  <c:v>Projekty wzmacniają w wystarczającym stopniu mocne strony naszego obszaru metropolitarnego / funkcjonalnego</c:v>
                </c:pt>
                <c:pt idx="1">
                  <c:v>Projekty w niewystarczającym stopniu wzmacniają mocne strony naszego obszaru metropolitarnego / funkcjonalnego</c:v>
                </c:pt>
                <c:pt idx="2">
                  <c:v>Nie wiem, trudno powiedzieć</c:v>
                </c:pt>
              </c:strCache>
            </c:strRef>
          </c:cat>
          <c:val>
            <c:numRef>
              <c:f>ZIT_KS!$C$18:$C$20</c:f>
              <c:numCache>
                <c:formatCode>####.0%</c:formatCode>
                <c:ptCount val="3"/>
                <c:pt idx="0">
                  <c:v>0.33333333333333326</c:v>
                </c:pt>
                <c:pt idx="1">
                  <c:v>0.17948717948717949</c:v>
                </c:pt>
                <c:pt idx="2">
                  <c:v>0.48717948717948717</c:v>
                </c:pt>
              </c:numCache>
            </c:numRef>
          </c:val>
          <c:extLst xmlns:c16r2="http://schemas.microsoft.com/office/drawing/2015/06/chart">
            <c:ext xmlns:c16="http://schemas.microsoft.com/office/drawing/2014/chart" uri="{C3380CC4-5D6E-409C-BE32-E72D297353CC}">
              <c16:uniqueId val="{00000001-DFDC-4470-AA08-1B667EA9538B}"/>
            </c:ext>
          </c:extLst>
        </c:ser>
        <c:dLbls>
          <c:showLegendKey val="0"/>
          <c:showVal val="0"/>
          <c:showCatName val="0"/>
          <c:showSerName val="0"/>
          <c:showPercent val="0"/>
          <c:showBubbleSize val="0"/>
        </c:dLbls>
        <c:gapWidth val="182"/>
        <c:axId val="611301824"/>
        <c:axId val="611304568"/>
      </c:barChart>
      <c:catAx>
        <c:axId val="611301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11304568"/>
        <c:crosses val="autoZero"/>
        <c:auto val="1"/>
        <c:lblAlgn val="ctr"/>
        <c:lblOffset val="100"/>
        <c:noMultiLvlLbl val="0"/>
      </c:catAx>
      <c:valAx>
        <c:axId val="611304568"/>
        <c:scaling>
          <c:orientation val="minMax"/>
        </c:scaling>
        <c:delete val="1"/>
        <c:axPos val="t"/>
        <c:numFmt formatCode="####.0%" sourceLinked="1"/>
        <c:majorTickMark val="out"/>
        <c:minorTickMark val="none"/>
        <c:tickLblPos val="nextTo"/>
        <c:crossAx val="611301824"/>
        <c:crosses val="autoZero"/>
        <c:crossBetween val="between"/>
      </c:valAx>
      <c:spPr>
        <a:noFill/>
        <a:ln w="25400">
          <a:noFill/>
        </a:ln>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ZIT_KS!$B$26</c:f>
              <c:strCache>
                <c:ptCount val="1"/>
                <c:pt idx="0">
                  <c:v>ZIT (n=58)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ZIT_KS!$A$27:$A$30</c:f>
              <c:strCache>
                <c:ptCount val="4"/>
                <c:pt idx="0">
                  <c:v>Projekty wpłyną na zwiększenie dysproporcji rozwojowych między naszym obszarem a resztą regionu</c:v>
                </c:pt>
                <c:pt idx="1">
                  <c:v>Projekty wpłyną na zmniejszenie dysproporcji między naszym obszarem a resztą regionu</c:v>
                </c:pt>
                <c:pt idx="2">
                  <c:v>Projekty nie zmienią dysproporcji między naszym obszarem a resztą regionu</c:v>
                </c:pt>
                <c:pt idx="3">
                  <c:v>Nie wiem, trudno powiedzieć</c:v>
                </c:pt>
              </c:strCache>
            </c:strRef>
          </c:cat>
          <c:val>
            <c:numRef>
              <c:f>ZIT_KS!$B$27:$B$30</c:f>
              <c:numCache>
                <c:formatCode>####.0%</c:formatCode>
                <c:ptCount val="4"/>
                <c:pt idx="0">
                  <c:v>0.13793103448275862</c:v>
                </c:pt>
                <c:pt idx="1">
                  <c:v>0.31034482758620691</c:v>
                </c:pt>
                <c:pt idx="2">
                  <c:v>0.10344827586206896</c:v>
                </c:pt>
                <c:pt idx="3">
                  <c:v>0.44827586206896552</c:v>
                </c:pt>
              </c:numCache>
            </c:numRef>
          </c:val>
          <c:extLst xmlns:c16r2="http://schemas.microsoft.com/office/drawing/2015/06/chart">
            <c:ext xmlns:c16="http://schemas.microsoft.com/office/drawing/2014/chart" uri="{C3380CC4-5D6E-409C-BE32-E72D297353CC}">
              <c16:uniqueId val="{00000000-97E8-4785-87BA-7A35990419ED}"/>
            </c:ext>
          </c:extLst>
        </c:ser>
        <c:ser>
          <c:idx val="1"/>
          <c:order val="1"/>
          <c:tx>
            <c:strRef>
              <c:f>ZIT_KS!$C$26</c:f>
              <c:strCache>
                <c:ptCount val="1"/>
                <c:pt idx="0">
                  <c:v>KS (n=39)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ZIT_KS!$A$27:$A$30</c:f>
              <c:strCache>
                <c:ptCount val="4"/>
                <c:pt idx="0">
                  <c:v>Projekty wpłyną na zwiększenie dysproporcji rozwojowych między naszym obszarem a resztą regionu</c:v>
                </c:pt>
                <c:pt idx="1">
                  <c:v>Projekty wpłyną na zmniejszenie dysproporcji między naszym obszarem a resztą regionu</c:v>
                </c:pt>
                <c:pt idx="2">
                  <c:v>Projekty nie zmienią dysproporcji między naszym obszarem a resztą regionu</c:v>
                </c:pt>
                <c:pt idx="3">
                  <c:v>Nie wiem, trudno powiedzieć</c:v>
                </c:pt>
              </c:strCache>
            </c:strRef>
          </c:cat>
          <c:val>
            <c:numRef>
              <c:f>ZIT_KS!$C$27:$C$30</c:f>
              <c:numCache>
                <c:formatCode>####.0%</c:formatCode>
                <c:ptCount val="4"/>
                <c:pt idx="0">
                  <c:v>0.10256410256410256</c:v>
                </c:pt>
                <c:pt idx="1">
                  <c:v>0.48717948717948717</c:v>
                </c:pt>
                <c:pt idx="2">
                  <c:v>0.10256410256410256</c:v>
                </c:pt>
                <c:pt idx="3">
                  <c:v>0.30769230769230771</c:v>
                </c:pt>
              </c:numCache>
            </c:numRef>
          </c:val>
          <c:extLst xmlns:c16r2="http://schemas.microsoft.com/office/drawing/2015/06/chart">
            <c:ext xmlns:c16="http://schemas.microsoft.com/office/drawing/2014/chart" uri="{C3380CC4-5D6E-409C-BE32-E72D297353CC}">
              <c16:uniqueId val="{00000001-97E8-4785-87BA-7A35990419ED}"/>
            </c:ext>
          </c:extLst>
        </c:ser>
        <c:dLbls>
          <c:showLegendKey val="0"/>
          <c:showVal val="0"/>
          <c:showCatName val="0"/>
          <c:showSerName val="0"/>
          <c:showPercent val="0"/>
          <c:showBubbleSize val="0"/>
        </c:dLbls>
        <c:gapWidth val="219"/>
        <c:overlap val="-27"/>
        <c:axId val="611306920"/>
        <c:axId val="611304176"/>
      </c:barChart>
      <c:catAx>
        <c:axId val="61130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304176"/>
        <c:crosses val="autoZero"/>
        <c:auto val="1"/>
        <c:lblAlgn val="ctr"/>
        <c:lblOffset val="100"/>
        <c:noMultiLvlLbl val="0"/>
      </c:catAx>
      <c:valAx>
        <c:axId val="611304176"/>
        <c:scaling>
          <c:orientation val="minMax"/>
        </c:scaling>
        <c:delete val="1"/>
        <c:axPos val="l"/>
        <c:numFmt formatCode="####.0%" sourceLinked="1"/>
        <c:majorTickMark val="out"/>
        <c:minorTickMark val="none"/>
        <c:tickLblPos val="nextTo"/>
        <c:crossAx val="611306920"/>
        <c:crosses val="autoZero"/>
        <c:crossBetween val="between"/>
      </c:valAx>
      <c:spPr>
        <a:noFill/>
        <a:ln w="25400">
          <a:noFill/>
        </a:ln>
        <a:effectLst/>
      </c:spPr>
    </c:plotArea>
    <c:legend>
      <c:legendPos val="b"/>
      <c:layout>
        <c:manualLayout>
          <c:xMode val="edge"/>
          <c:yMode val="edge"/>
          <c:x val="0.38610677137580018"/>
          <c:y val="0.8777491651505277"/>
          <c:w val="0.24101397047591272"/>
          <c:h val="8.5682244784139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90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ZIT_KS!$B$35</c:f>
              <c:strCache>
                <c:ptCount val="1"/>
                <c:pt idx="0">
                  <c:v>ZIT (n=58)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ZIT_KS!$A$36:$A$41</c:f>
              <c:strCache>
                <c:ptCount val="6"/>
                <c:pt idx="0">
                  <c:v>Jakość usług gospodarczych dla firm  </c:v>
                </c:pt>
                <c:pt idx="1">
                  <c:v>Animowanie wydarzeń kulturalnych i społecznych istotnych dla mieszkańców  </c:v>
                </c:pt>
                <c:pt idx="2">
                  <c:v>Wzmocnienie innowacyjności  </c:v>
                </c:pt>
                <c:pt idx="3">
                  <c:v>Miejsca pracy dla mieszkańców  </c:v>
                </c:pt>
                <c:pt idx="4">
                  <c:v>Dostępność komunikacyjnej dla mieszkańców gmin  </c:v>
                </c:pt>
                <c:pt idx="5">
                  <c:v>Jakość życia mieszkańców  </c:v>
                </c:pt>
              </c:strCache>
            </c:strRef>
          </c:cat>
          <c:val>
            <c:numRef>
              <c:f>ZIT_KS!$B$36:$B$41</c:f>
              <c:numCache>
                <c:formatCode>####.0%</c:formatCode>
                <c:ptCount val="6"/>
                <c:pt idx="0">
                  <c:v>0.36206896551724133</c:v>
                </c:pt>
                <c:pt idx="1">
                  <c:v>0.36206896551724133</c:v>
                </c:pt>
                <c:pt idx="2">
                  <c:v>0.44827586206896552</c:v>
                </c:pt>
                <c:pt idx="3">
                  <c:v>0.34482758620689657</c:v>
                </c:pt>
                <c:pt idx="4">
                  <c:v>0.5</c:v>
                </c:pt>
                <c:pt idx="5">
                  <c:v>0.77586206896551735</c:v>
                </c:pt>
              </c:numCache>
            </c:numRef>
          </c:val>
          <c:extLst xmlns:c16r2="http://schemas.microsoft.com/office/drawing/2015/06/chart">
            <c:ext xmlns:c16="http://schemas.microsoft.com/office/drawing/2014/chart" uri="{C3380CC4-5D6E-409C-BE32-E72D297353CC}">
              <c16:uniqueId val="{00000000-60ED-4B8F-B25F-079679BAEA37}"/>
            </c:ext>
          </c:extLst>
        </c:ser>
        <c:ser>
          <c:idx val="1"/>
          <c:order val="1"/>
          <c:tx>
            <c:strRef>
              <c:f>ZIT_KS!$C$35</c:f>
              <c:strCache>
                <c:ptCount val="1"/>
                <c:pt idx="0">
                  <c:v>KS (n=39)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ZIT_KS!$A$36:$A$41</c:f>
              <c:strCache>
                <c:ptCount val="6"/>
                <c:pt idx="0">
                  <c:v>Jakość usług gospodarczych dla firm  </c:v>
                </c:pt>
                <c:pt idx="1">
                  <c:v>Animowanie wydarzeń kulturalnych i społecznych istotnych dla mieszkańców  </c:v>
                </c:pt>
                <c:pt idx="2">
                  <c:v>Wzmocnienie innowacyjności  </c:v>
                </c:pt>
                <c:pt idx="3">
                  <c:v>Miejsca pracy dla mieszkańców  </c:v>
                </c:pt>
                <c:pt idx="4">
                  <c:v>Dostępność komunikacyjnej dla mieszkańców gmin  </c:v>
                </c:pt>
                <c:pt idx="5">
                  <c:v>Jakość życia mieszkańców  </c:v>
                </c:pt>
              </c:strCache>
            </c:strRef>
          </c:cat>
          <c:val>
            <c:numRef>
              <c:f>ZIT_KS!$C$36:$C$41</c:f>
              <c:numCache>
                <c:formatCode>####.0%</c:formatCode>
                <c:ptCount val="6"/>
                <c:pt idx="0">
                  <c:v>0.20512820512820512</c:v>
                </c:pt>
                <c:pt idx="1">
                  <c:v>0.23076923076923075</c:v>
                </c:pt>
                <c:pt idx="2">
                  <c:v>0.20512820512820512</c:v>
                </c:pt>
                <c:pt idx="3">
                  <c:v>0.41025641025641024</c:v>
                </c:pt>
                <c:pt idx="4">
                  <c:v>0.35897435897435898</c:v>
                </c:pt>
                <c:pt idx="5">
                  <c:v>0.5641025641025641</c:v>
                </c:pt>
              </c:numCache>
            </c:numRef>
          </c:val>
          <c:extLst xmlns:c16r2="http://schemas.microsoft.com/office/drawing/2015/06/chart">
            <c:ext xmlns:c16="http://schemas.microsoft.com/office/drawing/2014/chart" uri="{C3380CC4-5D6E-409C-BE32-E72D297353CC}">
              <c16:uniqueId val="{00000001-60ED-4B8F-B25F-079679BAEA37}"/>
            </c:ext>
          </c:extLst>
        </c:ser>
        <c:dLbls>
          <c:dLblPos val="outEnd"/>
          <c:showLegendKey val="0"/>
          <c:showVal val="1"/>
          <c:showCatName val="0"/>
          <c:showSerName val="0"/>
          <c:showPercent val="0"/>
          <c:showBubbleSize val="0"/>
        </c:dLbls>
        <c:gapWidth val="182"/>
        <c:axId val="611305744"/>
        <c:axId val="611297512"/>
      </c:barChart>
      <c:catAx>
        <c:axId val="61130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297512"/>
        <c:crosses val="autoZero"/>
        <c:auto val="1"/>
        <c:lblAlgn val="ctr"/>
        <c:lblOffset val="100"/>
        <c:noMultiLvlLbl val="0"/>
      </c:catAx>
      <c:valAx>
        <c:axId val="611297512"/>
        <c:scaling>
          <c:orientation val="minMax"/>
        </c:scaling>
        <c:delete val="1"/>
        <c:axPos val="b"/>
        <c:numFmt formatCode="####.0%" sourceLinked="1"/>
        <c:majorTickMark val="none"/>
        <c:minorTickMark val="none"/>
        <c:tickLblPos val="nextTo"/>
        <c:crossAx val="61130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ETAT_OSOBY_Zachodniopomorskie!$B$4</c:f>
              <c:strCache>
                <c:ptCount val="1"/>
                <c:pt idx="0">
                  <c:v>Liczba etatów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ETAT_OSOBY_Zachodniopomorskie!$D$3:$F$3</c:f>
              <c:numCache>
                <c:formatCode>General</c:formatCode>
                <c:ptCount val="3"/>
                <c:pt idx="0">
                  <c:v>2015</c:v>
                </c:pt>
                <c:pt idx="1">
                  <c:v>2016</c:v>
                </c:pt>
                <c:pt idx="2">
                  <c:v>2018</c:v>
                </c:pt>
              </c:numCache>
            </c:numRef>
          </c:cat>
          <c:val>
            <c:numRef>
              <c:f>ETAT_OSOBY_Zachodniopomorskie!$D$4:$F$4</c:f>
              <c:numCache>
                <c:formatCode>General</c:formatCode>
                <c:ptCount val="3"/>
                <c:pt idx="0">
                  <c:v>144</c:v>
                </c:pt>
                <c:pt idx="1">
                  <c:v>272</c:v>
                </c:pt>
                <c:pt idx="2">
                  <c:v>375</c:v>
                </c:pt>
              </c:numCache>
            </c:numRef>
          </c:val>
          <c:extLst xmlns:c16r2="http://schemas.microsoft.com/office/drawing/2015/06/chart">
            <c:ext xmlns:c16="http://schemas.microsoft.com/office/drawing/2014/chart" uri="{C3380CC4-5D6E-409C-BE32-E72D297353CC}">
              <c16:uniqueId val="{00000000-F6C3-46D4-B3B0-82D3DC404418}"/>
            </c:ext>
          </c:extLst>
        </c:ser>
        <c:ser>
          <c:idx val="1"/>
          <c:order val="1"/>
          <c:tx>
            <c:strRef>
              <c:f>ETAT_OSOBY_Zachodniopomorskie!$B$5</c:f>
              <c:strCache>
                <c:ptCount val="1"/>
                <c:pt idx="0">
                  <c:v>Liczba osób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ETAT_OSOBY_Zachodniopomorskie!$D$3:$F$3</c:f>
              <c:numCache>
                <c:formatCode>General</c:formatCode>
                <c:ptCount val="3"/>
                <c:pt idx="0">
                  <c:v>2015</c:v>
                </c:pt>
                <c:pt idx="1">
                  <c:v>2016</c:v>
                </c:pt>
                <c:pt idx="2">
                  <c:v>2018</c:v>
                </c:pt>
              </c:numCache>
            </c:numRef>
          </c:cat>
          <c:val>
            <c:numRef>
              <c:f>ETAT_OSOBY_Zachodniopomorskie!$D$5:$F$5</c:f>
              <c:numCache>
                <c:formatCode>General</c:formatCode>
                <c:ptCount val="3"/>
                <c:pt idx="0">
                  <c:v>155</c:v>
                </c:pt>
                <c:pt idx="1">
                  <c:v>340</c:v>
                </c:pt>
                <c:pt idx="2">
                  <c:v>393</c:v>
                </c:pt>
              </c:numCache>
            </c:numRef>
          </c:val>
          <c:extLst xmlns:c16r2="http://schemas.microsoft.com/office/drawing/2015/06/chart">
            <c:ext xmlns:c16="http://schemas.microsoft.com/office/drawing/2014/chart" uri="{C3380CC4-5D6E-409C-BE32-E72D297353CC}">
              <c16:uniqueId val="{00000001-F6C3-46D4-B3B0-82D3DC404418}"/>
            </c:ext>
          </c:extLst>
        </c:ser>
        <c:dLbls>
          <c:showLegendKey val="0"/>
          <c:showVal val="0"/>
          <c:showCatName val="0"/>
          <c:showSerName val="0"/>
          <c:showPercent val="0"/>
          <c:showBubbleSize val="0"/>
        </c:dLbls>
        <c:gapWidth val="219"/>
        <c:overlap val="-27"/>
        <c:axId val="611300648"/>
        <c:axId val="611301040"/>
      </c:barChart>
      <c:catAx>
        <c:axId val="61130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301040"/>
        <c:crosses val="autoZero"/>
        <c:auto val="1"/>
        <c:lblAlgn val="ctr"/>
        <c:lblOffset val="100"/>
        <c:noMultiLvlLbl val="0"/>
      </c:catAx>
      <c:valAx>
        <c:axId val="611301040"/>
        <c:scaling>
          <c:orientation val="minMax"/>
        </c:scaling>
        <c:delete val="1"/>
        <c:axPos val="l"/>
        <c:numFmt formatCode="General" sourceLinked="1"/>
        <c:majorTickMark val="none"/>
        <c:minorTickMark val="none"/>
        <c:tickLblPos val="nextTo"/>
        <c:crossAx val="611300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Arkusz2!$A$5</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Arkusz2!$B$4:$G$4</c:f>
              <c:strCache>
                <c:ptCount val="6"/>
                <c:pt idx="0">
                  <c:v>Fundusze UE</c:v>
                </c:pt>
                <c:pt idx="1">
                  <c:v>Kwestie horyzontalne </c:v>
                </c:pt>
                <c:pt idx="2">
                  <c:v>Finanse i księgowość</c:v>
                </c:pt>
                <c:pt idx="3">
                  <c:v>Organizacja i zarządzanie </c:v>
                </c:pt>
                <c:pt idx="4">
                  <c:v>Szkolenia informatyczne </c:v>
                </c:pt>
                <c:pt idx="5">
                  <c:v>Języki obce</c:v>
                </c:pt>
              </c:strCache>
            </c:strRef>
          </c:cat>
          <c:val>
            <c:numRef>
              <c:f>Arkusz2!$B$5:$G$5</c:f>
              <c:numCache>
                <c:formatCode>General</c:formatCode>
                <c:ptCount val="6"/>
                <c:pt idx="0">
                  <c:v>13</c:v>
                </c:pt>
                <c:pt idx="1">
                  <c:v>38</c:v>
                </c:pt>
                <c:pt idx="2">
                  <c:v>12</c:v>
                </c:pt>
                <c:pt idx="3">
                  <c:v>14</c:v>
                </c:pt>
                <c:pt idx="4">
                  <c:v>11</c:v>
                </c:pt>
                <c:pt idx="5">
                  <c:v>58</c:v>
                </c:pt>
              </c:numCache>
            </c:numRef>
          </c:val>
          <c:extLst xmlns:c16r2="http://schemas.microsoft.com/office/drawing/2015/06/chart">
            <c:ext xmlns:c16="http://schemas.microsoft.com/office/drawing/2014/chart" uri="{C3380CC4-5D6E-409C-BE32-E72D297353CC}">
              <c16:uniqueId val="{00000000-E223-468A-B0FE-28FC09AEB1AF}"/>
            </c:ext>
          </c:extLst>
        </c:ser>
        <c:ser>
          <c:idx val="1"/>
          <c:order val="1"/>
          <c:tx>
            <c:strRef>
              <c:f>Arkusz2!$A$6</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Arkusz2!$B$4:$G$4</c:f>
              <c:strCache>
                <c:ptCount val="6"/>
                <c:pt idx="0">
                  <c:v>Fundusze UE</c:v>
                </c:pt>
                <c:pt idx="1">
                  <c:v>Kwestie horyzontalne </c:v>
                </c:pt>
                <c:pt idx="2">
                  <c:v>Finanse i księgowość</c:v>
                </c:pt>
                <c:pt idx="3">
                  <c:v>Organizacja i zarządzanie </c:v>
                </c:pt>
                <c:pt idx="4">
                  <c:v>Szkolenia informatyczne </c:v>
                </c:pt>
                <c:pt idx="5">
                  <c:v>Języki obce</c:v>
                </c:pt>
              </c:strCache>
            </c:strRef>
          </c:cat>
          <c:val>
            <c:numRef>
              <c:f>Arkusz2!$B$6:$G$6</c:f>
              <c:numCache>
                <c:formatCode>General</c:formatCode>
                <c:ptCount val="6"/>
                <c:pt idx="0">
                  <c:v>155</c:v>
                </c:pt>
                <c:pt idx="1">
                  <c:v>44</c:v>
                </c:pt>
                <c:pt idx="2">
                  <c:v>2</c:v>
                </c:pt>
                <c:pt idx="3">
                  <c:v>28</c:v>
                </c:pt>
                <c:pt idx="4">
                  <c:v>53</c:v>
                </c:pt>
                <c:pt idx="5">
                  <c:v>44</c:v>
                </c:pt>
              </c:numCache>
            </c:numRef>
          </c:val>
          <c:extLst xmlns:c16r2="http://schemas.microsoft.com/office/drawing/2015/06/chart">
            <c:ext xmlns:c16="http://schemas.microsoft.com/office/drawing/2014/chart" uri="{C3380CC4-5D6E-409C-BE32-E72D297353CC}">
              <c16:uniqueId val="{00000001-E223-468A-B0FE-28FC09AEB1AF}"/>
            </c:ext>
          </c:extLst>
        </c:ser>
        <c:dLbls>
          <c:showLegendKey val="0"/>
          <c:showVal val="1"/>
          <c:showCatName val="0"/>
          <c:showSerName val="0"/>
          <c:showPercent val="0"/>
          <c:showBubbleSize val="0"/>
        </c:dLbls>
        <c:gapWidth val="150"/>
        <c:axId val="611301432"/>
        <c:axId val="611305352"/>
      </c:barChart>
      <c:catAx>
        <c:axId val="61130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611305352"/>
        <c:crosses val="autoZero"/>
        <c:auto val="1"/>
        <c:lblAlgn val="ctr"/>
        <c:lblOffset val="100"/>
        <c:noMultiLvlLbl val="0"/>
      </c:catAx>
      <c:valAx>
        <c:axId val="611305352"/>
        <c:scaling>
          <c:orientation val="minMax"/>
        </c:scaling>
        <c:delete val="1"/>
        <c:axPos val="l"/>
        <c:numFmt formatCode="General" sourceLinked="1"/>
        <c:majorTickMark val="none"/>
        <c:minorTickMark val="none"/>
        <c:tickLblPos val="nextTo"/>
        <c:crossAx val="61130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810017985096081"/>
          <c:y val="5.030871255431054E-2"/>
          <c:w val="0.43763600631866534"/>
          <c:h val="0.79560041845901208"/>
        </c:manualLayout>
      </c:layout>
      <c:barChart>
        <c:barDir val="bar"/>
        <c:grouping val="clustered"/>
        <c:varyColors val="0"/>
        <c:ser>
          <c:idx val="0"/>
          <c:order val="0"/>
          <c:tx>
            <c:strRef>
              <c:f>Arkusz1!$N$4</c:f>
              <c:strCache>
                <c:ptCount val="1"/>
                <c:pt idx="0">
                  <c:v>EFRR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Arkusz1!$M$5:$M$8</c:f>
              <c:strCache>
                <c:ptCount val="4"/>
                <c:pt idx="0">
                  <c:v>Wysoko oceniam dostęp do informacji potrzebnych na etapie przygotowania wniosku|wniosków o dofinansowanie</c:v>
                </c:pt>
                <c:pt idx="1">
                  <c:v>Na etapie przygotowania wniosku|wniosków o przyznanie pomocy brakowało nam praktycznych informacji</c:v>
                </c:pt>
                <c:pt idx="2">
                  <c:v>Osoby w naszej instytucji odpowiedzialne za wniosek|wnioski miały problemy ze zrozumieniem zapisów w regulaminie konkursu lub dokumentach potrzebnych na etapie przygotowania wniosku</c:v>
                </c:pt>
                <c:pt idx="3">
                  <c:v>We wniosku|wnioskach trzeba podać zbyt szczegółowe dane, które mogą się zmienić w trakcie realizacji projektu</c:v>
                </c:pt>
              </c:strCache>
            </c:strRef>
          </c:cat>
          <c:val>
            <c:numRef>
              <c:f>Arkusz1!$N$5:$N$8</c:f>
              <c:numCache>
                <c:formatCode>0%</c:formatCode>
                <c:ptCount val="4"/>
                <c:pt idx="0">
                  <c:v>0.83379501385041555</c:v>
                </c:pt>
                <c:pt idx="1">
                  <c:v>0.33795013850415512</c:v>
                </c:pt>
                <c:pt idx="2">
                  <c:v>0.24099722991689751</c:v>
                </c:pt>
                <c:pt idx="3">
                  <c:v>0.5817174515235457</c:v>
                </c:pt>
              </c:numCache>
            </c:numRef>
          </c:val>
          <c:extLst xmlns:c16r2="http://schemas.microsoft.com/office/drawing/2015/06/chart">
            <c:ext xmlns:c16="http://schemas.microsoft.com/office/drawing/2014/chart" uri="{C3380CC4-5D6E-409C-BE32-E72D297353CC}">
              <c16:uniqueId val="{00000000-47E6-4916-AD28-0FD9CB721D0A}"/>
            </c:ext>
          </c:extLst>
        </c:ser>
        <c:ser>
          <c:idx val="1"/>
          <c:order val="1"/>
          <c:tx>
            <c:strRef>
              <c:f>Arkusz1!$P$4</c:f>
              <c:strCache>
                <c:ptCount val="1"/>
                <c:pt idx="0">
                  <c:v>EFS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Arkusz1!$M$5:$M$8</c:f>
              <c:strCache>
                <c:ptCount val="4"/>
                <c:pt idx="0">
                  <c:v>Wysoko oceniam dostęp do informacji potrzebnych na etapie przygotowania wniosku|wniosków o dofinansowanie</c:v>
                </c:pt>
                <c:pt idx="1">
                  <c:v>Na etapie przygotowania wniosku|wniosków o przyznanie pomocy brakowało nam praktycznych informacji</c:v>
                </c:pt>
                <c:pt idx="2">
                  <c:v>Osoby w naszej instytucji odpowiedzialne za wniosek|wnioski miały problemy ze zrozumieniem zapisów w regulaminie konkursu lub dokumentach potrzebnych na etapie przygotowania wniosku</c:v>
                </c:pt>
                <c:pt idx="3">
                  <c:v>We wniosku|wnioskach trzeba podać zbyt szczegółowe dane, które mogą się zmienić w trakcie realizacji projektu</c:v>
                </c:pt>
              </c:strCache>
            </c:strRef>
          </c:cat>
          <c:val>
            <c:numRef>
              <c:f>Arkusz1!$P$5:$P$8</c:f>
              <c:numCache>
                <c:formatCode>0%</c:formatCode>
                <c:ptCount val="4"/>
                <c:pt idx="0">
                  <c:v>0.82269503546099276</c:v>
                </c:pt>
                <c:pt idx="1">
                  <c:v>0.32624113475177302</c:v>
                </c:pt>
                <c:pt idx="2">
                  <c:v>0.25531914893617019</c:v>
                </c:pt>
                <c:pt idx="3">
                  <c:v>0.6063829787234043</c:v>
                </c:pt>
              </c:numCache>
            </c:numRef>
          </c:val>
          <c:extLst xmlns:c16r2="http://schemas.microsoft.com/office/drawing/2015/06/chart">
            <c:ext xmlns:c16="http://schemas.microsoft.com/office/drawing/2014/chart" uri="{C3380CC4-5D6E-409C-BE32-E72D297353CC}">
              <c16:uniqueId val="{00000001-47E6-4916-AD28-0FD9CB721D0A}"/>
            </c:ext>
          </c:extLst>
        </c:ser>
        <c:dLbls>
          <c:dLblPos val="outEnd"/>
          <c:showLegendKey val="0"/>
          <c:showVal val="1"/>
          <c:showCatName val="0"/>
          <c:showSerName val="0"/>
          <c:showPercent val="0"/>
          <c:showBubbleSize val="0"/>
        </c:dLbls>
        <c:gapWidth val="182"/>
        <c:axId val="308148184"/>
        <c:axId val="308143872"/>
      </c:barChart>
      <c:catAx>
        <c:axId val="308148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43872"/>
        <c:crosses val="autoZero"/>
        <c:auto val="1"/>
        <c:lblAlgn val="ctr"/>
        <c:lblOffset val="100"/>
        <c:noMultiLvlLbl val="0"/>
      </c:catAx>
      <c:valAx>
        <c:axId val="308143872"/>
        <c:scaling>
          <c:orientation val="minMax"/>
        </c:scaling>
        <c:delete val="1"/>
        <c:axPos val="t"/>
        <c:numFmt formatCode="0%" sourceLinked="1"/>
        <c:majorTickMark val="none"/>
        <c:minorTickMark val="none"/>
        <c:tickLblPos val="nextTo"/>
        <c:crossAx val="30814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r>
              <a:rPr lang="pl-PL" sz="1000"/>
              <a:t>EFRR</a:t>
            </a:r>
          </a:p>
        </c:rich>
      </c:tx>
      <c:layout>
        <c:manualLayout>
          <c:xMode val="edge"/>
          <c:yMode val="edge"/>
          <c:x val="0.59858180710836562"/>
          <c:y val="3.8017642923244561E-2"/>
        </c:manualLayout>
      </c:layout>
      <c:overlay val="0"/>
      <c:spPr>
        <a:noFill/>
        <a:ln>
          <a:noFill/>
        </a:ln>
        <a:effectLst/>
      </c:spPr>
    </c:title>
    <c:autoTitleDeleted val="0"/>
    <c:plotArea>
      <c:layout>
        <c:manualLayout>
          <c:layoutTarget val="inner"/>
          <c:xMode val="edge"/>
          <c:yMode val="edge"/>
          <c:x val="0.51256299455274068"/>
          <c:y val="0.10095497175372888"/>
          <c:w val="0.44223462204886194"/>
          <c:h val="0.89589470888246736"/>
        </c:manualLayout>
      </c:layout>
      <c:barChart>
        <c:barDir val="bar"/>
        <c:grouping val="percentStacked"/>
        <c:varyColors val="0"/>
        <c:ser>
          <c:idx val="0"/>
          <c:order val="0"/>
          <c:tx>
            <c:strRef>
              <c:f>Arkusz1!$M$13</c:f>
              <c:strCache>
                <c:ptCount val="1"/>
                <c:pt idx="0">
                  <c:v>zgadzam się/ raczej się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Arkusz1!$M$14:$M$15</c:f>
              <c:numCache>
                <c:formatCode>0%</c:formatCode>
                <c:ptCount val="2"/>
                <c:pt idx="0">
                  <c:v>0.40443213296398889</c:v>
                </c:pt>
                <c:pt idx="1">
                  <c:v>0.31301939058171746</c:v>
                </c:pt>
              </c:numCache>
            </c:numRef>
          </c:val>
          <c:extLst xmlns:c16r2="http://schemas.microsoft.com/office/drawing/2015/06/chart">
            <c:ext xmlns:c16="http://schemas.microsoft.com/office/drawing/2014/chart" uri="{C3380CC4-5D6E-409C-BE32-E72D297353CC}">
              <c16:uniqueId val="{00000000-7DAC-48A7-A864-C1DC2BAFA91C}"/>
            </c:ext>
          </c:extLst>
        </c:ser>
        <c:ser>
          <c:idx val="1"/>
          <c:order val="1"/>
          <c:tx>
            <c:strRef>
              <c:f>Arkusz1!$N$13</c:f>
              <c:strCache>
                <c:ptCount val="1"/>
                <c:pt idx="0">
                  <c:v>raczej się nie zgadzam/ nie zgadzam się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Arkusz1!$N$14:$N$15</c:f>
              <c:numCache>
                <c:formatCode>0%</c:formatCode>
                <c:ptCount val="2"/>
                <c:pt idx="0">
                  <c:v>0.36288088642659277</c:v>
                </c:pt>
                <c:pt idx="1">
                  <c:v>0.41274238227146814</c:v>
                </c:pt>
              </c:numCache>
            </c:numRef>
          </c:val>
          <c:extLst xmlns:c16r2="http://schemas.microsoft.com/office/drawing/2015/06/chart">
            <c:ext xmlns:c16="http://schemas.microsoft.com/office/drawing/2014/chart" uri="{C3380CC4-5D6E-409C-BE32-E72D297353CC}">
              <c16:uniqueId val="{00000001-7DAC-48A7-A864-C1DC2BAFA91C}"/>
            </c:ext>
          </c:extLst>
        </c:ser>
        <c:ser>
          <c:idx val="2"/>
          <c:order val="2"/>
          <c:tx>
            <c:strRef>
              <c:f>Arkusz1!$O$13</c:f>
              <c:strCache>
                <c:ptCount val="1"/>
                <c:pt idx="0">
                  <c:v>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Arkusz1!$O$14:$O$15</c:f>
              <c:numCache>
                <c:formatCode>0%</c:formatCode>
                <c:ptCount val="2"/>
                <c:pt idx="0">
                  <c:v>0.23268698060941831</c:v>
                </c:pt>
                <c:pt idx="1">
                  <c:v>0.2742382271468144</c:v>
                </c:pt>
              </c:numCache>
            </c:numRef>
          </c:val>
          <c:extLst xmlns:c16r2="http://schemas.microsoft.com/office/drawing/2015/06/chart">
            <c:ext xmlns:c16="http://schemas.microsoft.com/office/drawing/2014/chart" uri="{C3380CC4-5D6E-409C-BE32-E72D297353CC}">
              <c16:uniqueId val="{00000002-7DAC-48A7-A864-C1DC2BAFA91C}"/>
            </c:ext>
          </c:extLst>
        </c:ser>
        <c:dLbls>
          <c:dLblPos val="ctr"/>
          <c:showLegendKey val="0"/>
          <c:showVal val="1"/>
          <c:showCatName val="0"/>
          <c:showSerName val="0"/>
          <c:showPercent val="0"/>
          <c:showBubbleSize val="0"/>
        </c:dLbls>
        <c:gapWidth val="150"/>
        <c:overlap val="100"/>
        <c:axId val="308146616"/>
        <c:axId val="308142696"/>
      </c:barChart>
      <c:catAx>
        <c:axId val="308146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42696"/>
        <c:crosses val="autoZero"/>
        <c:auto val="1"/>
        <c:lblAlgn val="ctr"/>
        <c:lblOffset val="100"/>
        <c:noMultiLvlLbl val="0"/>
      </c:catAx>
      <c:valAx>
        <c:axId val="308142696"/>
        <c:scaling>
          <c:orientation val="minMax"/>
        </c:scaling>
        <c:delete val="1"/>
        <c:axPos val="t"/>
        <c:numFmt formatCode="0%" sourceLinked="1"/>
        <c:majorTickMark val="none"/>
        <c:minorTickMark val="none"/>
        <c:tickLblPos val="nextTo"/>
        <c:crossAx val="30814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TABLICA!$A$65</c:f>
              <c:strCache>
                <c:ptCount val="1"/>
                <c:pt idx="0">
                  <c:v>Zachodniopomorskie</c:v>
                </c:pt>
              </c:strCache>
            </c:strRef>
          </c:tx>
          <c:marker>
            <c:symbol val="none"/>
          </c:marker>
          <c:dLbls>
            <c:dLbl>
              <c:idx val="3"/>
              <c:layout>
                <c:manualLayout>
                  <c:x val="-4.57917760279965E-2"/>
                  <c:y val="0.1439152181449016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81-4E97-A9BB-F00D3FF1D547}"/>
                </c:ext>
                <c:ext xmlns:c15="http://schemas.microsoft.com/office/drawing/2012/chart" uri="{CE6537A1-D6FC-4f65-9D91-7224C49458BB}"/>
              </c:extLst>
            </c:dLbl>
            <c:dLbl>
              <c:idx val="4"/>
              <c:layout>
                <c:manualLayout>
                  <c:x val="-4.3277777777777776E-2"/>
                  <c:y val="6.21542118555934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81-4E97-A9BB-F00D3FF1D547}"/>
                </c:ext>
                <c:ext xmlns:c15="http://schemas.microsoft.com/office/drawing/2012/chart" uri="{CE6537A1-D6FC-4f65-9D91-7224C49458BB}"/>
              </c:extLst>
            </c:dLbl>
            <c:spPr>
              <a:noFill/>
              <a:ln w="25395">
                <a:noFill/>
              </a:ln>
            </c:spPr>
            <c:txPr>
              <a:bodyPr/>
              <a:lstStyle/>
              <a:p>
                <a:pPr>
                  <a:defRPr sz="799">
                    <a:solidFill>
                      <a:srgbClr val="7030A0"/>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TABLICA!$B$64:$G$64</c:f>
              <c:strCache>
                <c:ptCount val="6"/>
                <c:pt idx="0">
                  <c:v>2012</c:v>
                </c:pt>
                <c:pt idx="1">
                  <c:v>2013</c:v>
                </c:pt>
                <c:pt idx="2">
                  <c:v>2014</c:v>
                </c:pt>
                <c:pt idx="3">
                  <c:v>2015</c:v>
                </c:pt>
                <c:pt idx="4">
                  <c:v>2016</c:v>
                </c:pt>
                <c:pt idx="5">
                  <c:v>2017</c:v>
                </c:pt>
              </c:strCache>
            </c:strRef>
          </c:cat>
          <c:val>
            <c:numRef>
              <c:f>TABLICA!$B$65:$G$65</c:f>
              <c:numCache>
                <c:formatCode>#\ ##0.0</c:formatCode>
                <c:ptCount val="6"/>
                <c:pt idx="0">
                  <c:v>14.91</c:v>
                </c:pt>
                <c:pt idx="1">
                  <c:v>14.615</c:v>
                </c:pt>
                <c:pt idx="2">
                  <c:v>14.07</c:v>
                </c:pt>
                <c:pt idx="3">
                  <c:v>15.775</c:v>
                </c:pt>
                <c:pt idx="4">
                  <c:v>11.91</c:v>
                </c:pt>
                <c:pt idx="5">
                  <c:v>13.65</c:v>
                </c:pt>
              </c:numCache>
            </c:numRef>
          </c:val>
          <c:smooth val="0"/>
          <c:extLst xmlns:c16r2="http://schemas.microsoft.com/office/drawing/2015/06/chart">
            <c:ext xmlns:c16="http://schemas.microsoft.com/office/drawing/2014/chart" uri="{C3380CC4-5D6E-409C-BE32-E72D297353CC}">
              <c16:uniqueId val="{00000002-ED81-4E97-A9BB-F00D3FF1D547}"/>
            </c:ext>
          </c:extLst>
        </c:ser>
        <c:ser>
          <c:idx val="1"/>
          <c:order val="1"/>
          <c:tx>
            <c:strRef>
              <c:f>TABLICA!$A$66</c:f>
              <c:strCache>
                <c:ptCount val="1"/>
                <c:pt idx="0">
                  <c:v>POLSKA</c:v>
                </c:pt>
              </c:strCache>
            </c:strRef>
          </c:tx>
          <c:marker>
            <c:symbol val="none"/>
          </c:marker>
          <c:dLbls>
            <c:dLbl>
              <c:idx val="2"/>
              <c:layout>
                <c:manualLayout>
                  <c:x val="-4.6055555555555558E-2"/>
                  <c:y val="-8.1022136383895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81-4E97-A9BB-F00D3FF1D547}"/>
                </c:ext>
                <c:ext xmlns:c15="http://schemas.microsoft.com/office/drawing/2012/chart" uri="{CE6537A1-D6FC-4f65-9D91-7224C49458BB}"/>
              </c:extLst>
            </c:dLbl>
            <c:dLbl>
              <c:idx val="3"/>
              <c:layout>
                <c:manualLayout>
                  <c:x val="-4.57917760279965E-2"/>
                  <c:y val="-0.1124686772643985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81-4E97-A9BB-F00D3FF1D547}"/>
                </c:ext>
                <c:ext xmlns:c15="http://schemas.microsoft.com/office/drawing/2012/chart" uri="{CE6537A1-D6FC-4f65-9D91-7224C49458BB}"/>
              </c:extLst>
            </c:dLbl>
            <c:dLbl>
              <c:idx val="4"/>
              <c:layout>
                <c:manualLayout>
                  <c:x val="-4.8833333333333333E-2"/>
                  <c:y val="-6.8443520031694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81-4E97-A9BB-F00D3FF1D547}"/>
                </c:ext>
                <c:ext xmlns:c15="http://schemas.microsoft.com/office/drawing/2012/chart" uri="{CE6537A1-D6FC-4f65-9D91-7224C49458BB}"/>
              </c:extLst>
            </c:dLbl>
            <c:spPr>
              <a:noFill/>
              <a:ln w="25395">
                <a:noFill/>
              </a:ln>
            </c:spPr>
            <c:txPr>
              <a:bodyPr/>
              <a:lstStyle/>
              <a:p>
                <a:pPr>
                  <a:defRPr sz="799"/>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TABLICA!$B$64:$G$64</c:f>
              <c:strCache>
                <c:ptCount val="6"/>
                <c:pt idx="0">
                  <c:v>2012</c:v>
                </c:pt>
                <c:pt idx="1">
                  <c:v>2013</c:v>
                </c:pt>
                <c:pt idx="2">
                  <c:v>2014</c:v>
                </c:pt>
                <c:pt idx="3">
                  <c:v>2015</c:v>
                </c:pt>
                <c:pt idx="4">
                  <c:v>2016</c:v>
                </c:pt>
                <c:pt idx="5">
                  <c:v>2017</c:v>
                </c:pt>
              </c:strCache>
            </c:strRef>
          </c:cat>
          <c:val>
            <c:numRef>
              <c:f>TABLICA!$B$66:$G$66</c:f>
              <c:numCache>
                <c:formatCode>#\ ##0.0</c:formatCode>
                <c:ptCount val="6"/>
                <c:pt idx="0">
                  <c:v>14.445</c:v>
                </c:pt>
                <c:pt idx="1">
                  <c:v>14.27</c:v>
                </c:pt>
                <c:pt idx="2">
                  <c:v>14.465</c:v>
                </c:pt>
                <c:pt idx="3">
                  <c:v>13.685</c:v>
                </c:pt>
                <c:pt idx="4">
                  <c:v>16.125</c:v>
                </c:pt>
                <c:pt idx="5">
                  <c:v>14.45</c:v>
                </c:pt>
              </c:numCache>
            </c:numRef>
          </c:val>
          <c:smooth val="0"/>
          <c:extLst xmlns:c16r2="http://schemas.microsoft.com/office/drawing/2015/06/chart">
            <c:ext xmlns:c16="http://schemas.microsoft.com/office/drawing/2014/chart" uri="{C3380CC4-5D6E-409C-BE32-E72D297353CC}">
              <c16:uniqueId val="{00000006-ED81-4E97-A9BB-F00D3FF1D547}"/>
            </c:ext>
          </c:extLst>
        </c:ser>
        <c:dLbls>
          <c:showLegendKey val="0"/>
          <c:showVal val="0"/>
          <c:showCatName val="0"/>
          <c:showSerName val="0"/>
          <c:showPercent val="0"/>
          <c:showBubbleSize val="0"/>
        </c:dLbls>
        <c:smooth val="0"/>
        <c:axId val="416989112"/>
        <c:axId val="416976960"/>
      </c:lineChart>
      <c:catAx>
        <c:axId val="416989112"/>
        <c:scaling>
          <c:orientation val="minMax"/>
        </c:scaling>
        <c:delete val="0"/>
        <c:axPos val="b"/>
        <c:numFmt formatCode="General" sourceLinked="0"/>
        <c:majorTickMark val="out"/>
        <c:minorTickMark val="none"/>
        <c:tickLblPos val="nextTo"/>
        <c:crossAx val="416976960"/>
        <c:crosses val="autoZero"/>
        <c:auto val="1"/>
        <c:lblAlgn val="ctr"/>
        <c:lblOffset val="100"/>
        <c:noMultiLvlLbl val="0"/>
      </c:catAx>
      <c:valAx>
        <c:axId val="416976960"/>
        <c:scaling>
          <c:orientation val="minMax"/>
        </c:scaling>
        <c:delete val="0"/>
        <c:axPos val="l"/>
        <c:majorGridlines/>
        <c:numFmt formatCode="#,##0" sourceLinked="0"/>
        <c:majorTickMark val="out"/>
        <c:minorTickMark val="none"/>
        <c:tickLblPos val="nextTo"/>
        <c:crossAx val="416989112"/>
        <c:crosses val="autoZero"/>
        <c:crossBetween val="between"/>
        <c:majorUnit val="5"/>
      </c:valAx>
    </c:plotArea>
    <c:legend>
      <c:legendPos val="r"/>
      <c:overlay val="0"/>
    </c:legend>
    <c:plotVisOnly val="1"/>
    <c:dispBlanksAs val="gap"/>
    <c:showDLblsOverMax val="0"/>
  </c:chart>
  <c:txPr>
    <a:bodyPr/>
    <a:lstStyle/>
    <a:p>
      <a:pPr>
        <a:defRPr sz="899"/>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r>
              <a:rPr lang="pl-PL" sz="1000"/>
              <a:t>EFS</a:t>
            </a:r>
          </a:p>
        </c:rich>
      </c:tx>
      <c:layout>
        <c:manualLayout>
          <c:xMode val="edge"/>
          <c:yMode val="edge"/>
          <c:x val="0.19812345135179782"/>
          <c:y val="3.7634408602150539E-2"/>
        </c:manualLayout>
      </c:layout>
      <c:overlay val="0"/>
      <c:spPr>
        <a:noFill/>
        <a:ln>
          <a:noFill/>
        </a:ln>
        <a:effectLst/>
      </c:spPr>
    </c:title>
    <c:autoTitleDeleted val="0"/>
    <c:plotArea>
      <c:layout>
        <c:manualLayout>
          <c:layoutTarget val="inner"/>
          <c:xMode val="edge"/>
          <c:yMode val="edge"/>
          <c:x val="5.3987730061349694E-2"/>
          <c:y val="3.5861845682573813E-2"/>
          <c:w val="0.52765566880827008"/>
          <c:h val="0.94388404401479331"/>
        </c:manualLayout>
      </c:layout>
      <c:barChart>
        <c:barDir val="bar"/>
        <c:grouping val="percentStacked"/>
        <c:varyColors val="0"/>
        <c:ser>
          <c:idx val="0"/>
          <c:order val="0"/>
          <c:tx>
            <c:strRef>
              <c:f>Arkusz1!$P$13</c:f>
              <c:strCache>
                <c:ptCount val="1"/>
                <c:pt idx="0">
                  <c:v>zgadzam się/ raczej się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Arkusz1!$G$14:$G$15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Arkusz1!$P$14:$P$15</c:f>
              <c:numCache>
                <c:formatCode>0%</c:formatCode>
                <c:ptCount val="2"/>
                <c:pt idx="0">
                  <c:v>0.46453900709219853</c:v>
                </c:pt>
                <c:pt idx="1">
                  <c:v>0.35815602836879434</c:v>
                </c:pt>
              </c:numCache>
            </c:numRef>
          </c:val>
          <c:extLst xmlns:c16r2="http://schemas.microsoft.com/office/drawing/2015/06/chart">
            <c:ext xmlns:c16="http://schemas.microsoft.com/office/drawing/2014/chart" uri="{C3380CC4-5D6E-409C-BE32-E72D297353CC}">
              <c16:uniqueId val="{00000000-2DFE-4912-A754-6A0C66953C2B}"/>
            </c:ext>
          </c:extLst>
        </c:ser>
        <c:ser>
          <c:idx val="1"/>
          <c:order val="1"/>
          <c:tx>
            <c:strRef>
              <c:f>Arkusz1!$Q$13</c:f>
              <c:strCache>
                <c:ptCount val="1"/>
                <c:pt idx="0">
                  <c:v>raczej się nie zgadzam/ nie zgadzam się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Arkusz1!$G$14:$G$15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Arkusz1!$Q$14:$Q$15</c:f>
              <c:numCache>
                <c:formatCode>0%</c:formatCode>
                <c:ptCount val="2"/>
                <c:pt idx="0">
                  <c:v>0.29078014184397161</c:v>
                </c:pt>
                <c:pt idx="1">
                  <c:v>0.36524822695035458</c:v>
                </c:pt>
              </c:numCache>
            </c:numRef>
          </c:val>
          <c:extLst xmlns:c16r2="http://schemas.microsoft.com/office/drawing/2015/06/chart">
            <c:ext xmlns:c16="http://schemas.microsoft.com/office/drawing/2014/chart" uri="{C3380CC4-5D6E-409C-BE32-E72D297353CC}">
              <c16:uniqueId val="{00000001-2DFE-4912-A754-6A0C66953C2B}"/>
            </c:ext>
          </c:extLst>
        </c:ser>
        <c:ser>
          <c:idx val="2"/>
          <c:order val="2"/>
          <c:tx>
            <c:strRef>
              <c:f>Arkusz1!$R$13</c:f>
              <c:strCache>
                <c:ptCount val="1"/>
                <c:pt idx="0">
                  <c:v>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Arkusz1!$G$14:$G$15</c:f>
              <c:strCache>
                <c:ptCount val="2"/>
                <c:pt idx="0">
                  <c:v>Kryteria oceny projektu miały wpływ na podniesienie wartości merytorycznej naszego projektu lub jakości rozwiązań technicznych stosowanych w projekcie|projektach</c:v>
                </c:pt>
                <c:pt idx="1">
                  <c:v>Kryteria oceny projektów w zbyt małym stopniu punktują wartość merytoryczną projektu</c:v>
                </c:pt>
              </c:strCache>
            </c:strRef>
          </c:cat>
          <c:val>
            <c:numRef>
              <c:f>Arkusz1!$R$14:$R$15</c:f>
              <c:numCache>
                <c:formatCode>0%</c:formatCode>
                <c:ptCount val="2"/>
                <c:pt idx="0">
                  <c:v>0.24468085106382978</c:v>
                </c:pt>
                <c:pt idx="1">
                  <c:v>0.27659574468085107</c:v>
                </c:pt>
              </c:numCache>
            </c:numRef>
          </c:val>
          <c:extLst xmlns:c16r2="http://schemas.microsoft.com/office/drawing/2015/06/chart">
            <c:ext xmlns:c16="http://schemas.microsoft.com/office/drawing/2014/chart" uri="{C3380CC4-5D6E-409C-BE32-E72D297353CC}">
              <c16:uniqueId val="{00000002-2DFE-4912-A754-6A0C66953C2B}"/>
            </c:ext>
          </c:extLst>
        </c:ser>
        <c:dLbls>
          <c:dLblPos val="ctr"/>
          <c:showLegendKey val="0"/>
          <c:showVal val="1"/>
          <c:showCatName val="0"/>
          <c:showSerName val="0"/>
          <c:showPercent val="0"/>
          <c:showBubbleSize val="0"/>
        </c:dLbls>
        <c:gapWidth val="150"/>
        <c:overlap val="100"/>
        <c:axId val="308143088"/>
        <c:axId val="308139560"/>
      </c:barChart>
      <c:catAx>
        <c:axId val="308143088"/>
        <c:scaling>
          <c:orientation val="maxMin"/>
        </c:scaling>
        <c:delete val="1"/>
        <c:axPos val="l"/>
        <c:numFmt formatCode="General" sourceLinked="1"/>
        <c:majorTickMark val="none"/>
        <c:minorTickMark val="none"/>
        <c:tickLblPos val="nextTo"/>
        <c:crossAx val="308139560"/>
        <c:crosses val="autoZero"/>
        <c:auto val="1"/>
        <c:lblAlgn val="ctr"/>
        <c:lblOffset val="100"/>
        <c:noMultiLvlLbl val="0"/>
      </c:catAx>
      <c:valAx>
        <c:axId val="308139560"/>
        <c:scaling>
          <c:orientation val="minMax"/>
        </c:scaling>
        <c:delete val="1"/>
        <c:axPos val="t"/>
        <c:numFmt formatCode="0%" sourceLinked="1"/>
        <c:majorTickMark val="none"/>
        <c:minorTickMark val="none"/>
        <c:tickLblPos val="nextTo"/>
        <c:crossAx val="308143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r>
              <a:rPr lang="pl-PL" sz="1000"/>
              <a:t>EFRR</a:t>
            </a:r>
          </a:p>
        </c:rich>
      </c:tx>
      <c:layout>
        <c:manualLayout>
          <c:xMode val="edge"/>
          <c:yMode val="edge"/>
          <c:x val="0.69786182030276522"/>
          <c:y val="3.549638869663619E-2"/>
        </c:manualLayout>
      </c:layout>
      <c:overlay val="0"/>
      <c:spPr>
        <a:noFill/>
        <a:ln>
          <a:noFill/>
        </a:ln>
        <a:effectLst/>
      </c:spPr>
    </c:title>
    <c:autoTitleDeleted val="0"/>
    <c:plotArea>
      <c:layout>
        <c:manualLayout>
          <c:layoutTarget val="inner"/>
          <c:xMode val="edge"/>
          <c:yMode val="edge"/>
          <c:x val="0.51136446714549644"/>
          <c:y val="5.627705627705628E-2"/>
          <c:w val="0.44262967756383026"/>
          <c:h val="0.89610389610389607"/>
        </c:manualLayout>
      </c:layout>
      <c:barChart>
        <c:barDir val="bar"/>
        <c:grouping val="percentStacked"/>
        <c:varyColors val="0"/>
        <c:ser>
          <c:idx val="0"/>
          <c:order val="0"/>
          <c:tx>
            <c:strRef>
              <c:f>Arkusz3!$O$2</c:f>
              <c:strCache>
                <c:ptCount val="1"/>
                <c:pt idx="0">
                  <c:v>zgadzam się/ raczej się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Arkusz3!$A$3:$A$5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Arkusz3!$O$3:$O$5</c:f>
              <c:numCache>
                <c:formatCode>0%</c:formatCode>
                <c:ptCount val="3"/>
                <c:pt idx="0">
                  <c:v>0.45714285714285713</c:v>
                </c:pt>
                <c:pt idx="1">
                  <c:v>0.17857142857142855</c:v>
                </c:pt>
                <c:pt idx="2">
                  <c:v>0.13571428571428573</c:v>
                </c:pt>
              </c:numCache>
            </c:numRef>
          </c:val>
          <c:extLst xmlns:c16r2="http://schemas.microsoft.com/office/drawing/2015/06/chart">
            <c:ext xmlns:c16="http://schemas.microsoft.com/office/drawing/2014/chart" uri="{C3380CC4-5D6E-409C-BE32-E72D297353CC}">
              <c16:uniqueId val="{00000000-7CA2-4588-86C0-8A880A616F15}"/>
            </c:ext>
          </c:extLst>
        </c:ser>
        <c:ser>
          <c:idx val="1"/>
          <c:order val="1"/>
          <c:tx>
            <c:strRef>
              <c:f>Arkusz3!$P$2</c:f>
              <c:strCache>
                <c:ptCount val="1"/>
                <c:pt idx="0">
                  <c:v>raczej się nie zgadzam/ nie zgadzam się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Arkusz3!$A$3:$A$5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Arkusz3!$P$3:$P$5</c:f>
              <c:numCache>
                <c:formatCode>0%</c:formatCode>
                <c:ptCount val="3"/>
                <c:pt idx="0">
                  <c:v>0.25714285714285712</c:v>
                </c:pt>
                <c:pt idx="1">
                  <c:v>0.68571428571428572</c:v>
                </c:pt>
                <c:pt idx="2">
                  <c:v>0.68571428571428572</c:v>
                </c:pt>
              </c:numCache>
            </c:numRef>
          </c:val>
          <c:extLst xmlns:c16r2="http://schemas.microsoft.com/office/drawing/2015/06/chart">
            <c:ext xmlns:c16="http://schemas.microsoft.com/office/drawing/2014/chart" uri="{C3380CC4-5D6E-409C-BE32-E72D297353CC}">
              <c16:uniqueId val="{00000001-7CA2-4588-86C0-8A880A616F15}"/>
            </c:ext>
          </c:extLst>
        </c:ser>
        <c:ser>
          <c:idx val="2"/>
          <c:order val="2"/>
          <c:tx>
            <c:strRef>
              <c:f>Arkusz3!$Q$2</c:f>
              <c:strCache>
                <c:ptCount val="1"/>
                <c:pt idx="0">
                  <c:v>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Arkusz3!$A$3:$A$5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Arkusz3!$Q$3:$Q$5</c:f>
              <c:numCache>
                <c:formatCode>0%</c:formatCode>
                <c:ptCount val="3"/>
                <c:pt idx="0">
                  <c:v>0.2857142857142857</c:v>
                </c:pt>
                <c:pt idx="1">
                  <c:v>0.1357142857142857</c:v>
                </c:pt>
                <c:pt idx="2">
                  <c:v>0.17857142857142858</c:v>
                </c:pt>
              </c:numCache>
            </c:numRef>
          </c:val>
          <c:extLst xmlns:c16r2="http://schemas.microsoft.com/office/drawing/2015/06/chart">
            <c:ext xmlns:c16="http://schemas.microsoft.com/office/drawing/2014/chart" uri="{C3380CC4-5D6E-409C-BE32-E72D297353CC}">
              <c16:uniqueId val="{00000002-7CA2-4588-86C0-8A880A616F15}"/>
            </c:ext>
          </c:extLst>
        </c:ser>
        <c:dLbls>
          <c:dLblPos val="ctr"/>
          <c:showLegendKey val="0"/>
          <c:showVal val="1"/>
          <c:showCatName val="0"/>
          <c:showSerName val="0"/>
          <c:showPercent val="0"/>
          <c:showBubbleSize val="0"/>
        </c:dLbls>
        <c:gapWidth val="182"/>
        <c:overlap val="100"/>
        <c:axId val="308147008"/>
        <c:axId val="308148576"/>
      </c:barChart>
      <c:catAx>
        <c:axId val="308147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48576"/>
        <c:crosses val="autoZero"/>
        <c:auto val="1"/>
        <c:lblAlgn val="ctr"/>
        <c:lblOffset val="100"/>
        <c:noMultiLvlLbl val="0"/>
      </c:catAx>
      <c:valAx>
        <c:axId val="308148576"/>
        <c:scaling>
          <c:orientation val="minMax"/>
        </c:scaling>
        <c:delete val="1"/>
        <c:axPos val="t"/>
        <c:numFmt formatCode="0%" sourceLinked="1"/>
        <c:majorTickMark val="none"/>
        <c:minorTickMark val="none"/>
        <c:tickLblPos val="nextTo"/>
        <c:crossAx val="30814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r>
              <a:rPr lang="pl-PL" sz="1000"/>
              <a:t>EFS</a:t>
            </a:r>
          </a:p>
        </c:rich>
      </c:tx>
      <c:layout>
        <c:manualLayout>
          <c:xMode val="edge"/>
          <c:yMode val="edge"/>
          <c:x val="0.26786587320149335"/>
          <c:y val="2.6622282221346459E-2"/>
        </c:manualLayout>
      </c:layout>
      <c:overlay val="0"/>
      <c:spPr>
        <a:noFill/>
        <a:ln>
          <a:noFill/>
        </a:ln>
        <a:effectLst/>
      </c:spPr>
    </c:title>
    <c:autoTitleDeleted val="0"/>
    <c:plotArea>
      <c:layout>
        <c:manualLayout>
          <c:layoutTarget val="inner"/>
          <c:xMode val="edge"/>
          <c:yMode val="edge"/>
          <c:x val="5.2293796054195388E-2"/>
          <c:y val="5.6423611111111112E-2"/>
          <c:w val="0.57539683579486012"/>
          <c:h val="0.89583333333333337"/>
        </c:manualLayout>
      </c:layout>
      <c:barChart>
        <c:barDir val="bar"/>
        <c:grouping val="percentStacked"/>
        <c:varyColors val="0"/>
        <c:ser>
          <c:idx val="0"/>
          <c:order val="0"/>
          <c:tx>
            <c:strRef>
              <c:f>Arkusz3!$S$2</c:f>
              <c:strCache>
                <c:ptCount val="1"/>
                <c:pt idx="0">
                  <c:v>zgadzam się/ raczej się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Arkusz3!$H$3:$H$5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Arkusz3!$S$3:$S$5</c:f>
              <c:numCache>
                <c:formatCode>0%</c:formatCode>
                <c:ptCount val="3"/>
                <c:pt idx="0">
                  <c:v>0.45</c:v>
                </c:pt>
                <c:pt idx="1">
                  <c:v>0.16250000000000001</c:v>
                </c:pt>
                <c:pt idx="2">
                  <c:v>0.22499999999999998</c:v>
                </c:pt>
              </c:numCache>
            </c:numRef>
          </c:val>
          <c:extLst xmlns:c16r2="http://schemas.microsoft.com/office/drawing/2015/06/chart">
            <c:ext xmlns:c16="http://schemas.microsoft.com/office/drawing/2014/chart" uri="{C3380CC4-5D6E-409C-BE32-E72D297353CC}">
              <c16:uniqueId val="{00000000-7A8B-49E9-BDFA-86E11E50E50C}"/>
            </c:ext>
          </c:extLst>
        </c:ser>
        <c:ser>
          <c:idx val="1"/>
          <c:order val="1"/>
          <c:tx>
            <c:strRef>
              <c:f>Arkusz3!$T$2</c:f>
              <c:strCache>
                <c:ptCount val="1"/>
                <c:pt idx="0">
                  <c:v>raczej się nie zgadzam/ nie zgadzam się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Arkusz3!$H$3:$H$5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Arkusz3!$T$3:$T$5</c:f>
              <c:numCache>
                <c:formatCode>0%</c:formatCode>
                <c:ptCount val="3"/>
                <c:pt idx="0">
                  <c:v>0.3125</c:v>
                </c:pt>
                <c:pt idx="1">
                  <c:v>0.65</c:v>
                </c:pt>
                <c:pt idx="2">
                  <c:v>0.61250000000000004</c:v>
                </c:pt>
              </c:numCache>
            </c:numRef>
          </c:val>
          <c:extLst xmlns:c16r2="http://schemas.microsoft.com/office/drawing/2015/06/chart">
            <c:ext xmlns:c16="http://schemas.microsoft.com/office/drawing/2014/chart" uri="{C3380CC4-5D6E-409C-BE32-E72D297353CC}">
              <c16:uniqueId val="{00000001-7A8B-49E9-BDFA-86E11E50E50C}"/>
            </c:ext>
          </c:extLst>
        </c:ser>
        <c:ser>
          <c:idx val="2"/>
          <c:order val="2"/>
          <c:tx>
            <c:strRef>
              <c:f>Arkusz3!$U$2</c:f>
              <c:strCache>
                <c:ptCount val="1"/>
                <c:pt idx="0">
                  <c:v>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Arkusz3!$H$3:$H$5</c:f>
              <c:strCache>
                <c:ptCount val="3"/>
                <c:pt idx="0">
                  <c:v>Uwagi Instytucji Organizującej Konkurs miały pozytywny wpływ na projekt</c:v>
                </c:pt>
                <c:pt idx="1">
                  <c:v>Problemem była zbyt duża ingerencja w projekt ze strony Instytucji Organizującej Konkurs</c:v>
                </c:pt>
                <c:pt idx="2">
                  <c:v>Uwagi Instytucji Organizującej Konkurs sprawiły, że projekt w mniejszym stopniu odpowiadał na nasze potrzeby</c:v>
                </c:pt>
              </c:strCache>
            </c:strRef>
          </c:cat>
          <c:val>
            <c:numRef>
              <c:f>Arkusz3!$U$3:$U$5</c:f>
              <c:numCache>
                <c:formatCode>0%</c:formatCode>
                <c:ptCount val="3"/>
                <c:pt idx="0">
                  <c:v>0.23749999999999999</c:v>
                </c:pt>
                <c:pt idx="1">
                  <c:v>0.1875</c:v>
                </c:pt>
                <c:pt idx="2">
                  <c:v>0.16250000000000001</c:v>
                </c:pt>
              </c:numCache>
            </c:numRef>
          </c:val>
          <c:extLst xmlns:c16r2="http://schemas.microsoft.com/office/drawing/2015/06/chart">
            <c:ext xmlns:c16="http://schemas.microsoft.com/office/drawing/2014/chart" uri="{C3380CC4-5D6E-409C-BE32-E72D297353CC}">
              <c16:uniqueId val="{00000002-7A8B-49E9-BDFA-86E11E50E50C}"/>
            </c:ext>
          </c:extLst>
        </c:ser>
        <c:dLbls>
          <c:dLblPos val="ctr"/>
          <c:showLegendKey val="0"/>
          <c:showVal val="1"/>
          <c:showCatName val="0"/>
          <c:showSerName val="0"/>
          <c:showPercent val="0"/>
          <c:showBubbleSize val="0"/>
        </c:dLbls>
        <c:gapWidth val="182"/>
        <c:overlap val="100"/>
        <c:axId val="308140736"/>
        <c:axId val="308141128"/>
      </c:barChart>
      <c:catAx>
        <c:axId val="308140736"/>
        <c:scaling>
          <c:orientation val="maxMin"/>
        </c:scaling>
        <c:delete val="1"/>
        <c:axPos val="l"/>
        <c:numFmt formatCode="General" sourceLinked="1"/>
        <c:majorTickMark val="none"/>
        <c:minorTickMark val="none"/>
        <c:tickLblPos val="nextTo"/>
        <c:crossAx val="308141128"/>
        <c:crosses val="autoZero"/>
        <c:auto val="1"/>
        <c:lblAlgn val="ctr"/>
        <c:lblOffset val="100"/>
        <c:noMultiLvlLbl val="0"/>
      </c:catAx>
      <c:valAx>
        <c:axId val="308141128"/>
        <c:scaling>
          <c:orientation val="minMax"/>
        </c:scaling>
        <c:delete val="1"/>
        <c:axPos val="t"/>
        <c:numFmt formatCode="0%" sourceLinked="1"/>
        <c:majorTickMark val="none"/>
        <c:minorTickMark val="none"/>
        <c:tickLblPos val="nextTo"/>
        <c:crossAx val="30814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61DE-4DC3-B172-D5B56B46ABB3}"/>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61DE-4DC3-B172-D5B56B46ABB3}"/>
              </c:ext>
            </c:extLst>
          </c:dPt>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61DE-4DC3-B172-D5B56B46ABB3}"/>
              </c:ext>
            </c:extLst>
          </c:dPt>
          <c:dPt>
            <c:idx val="8"/>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7-61DE-4DC3-B172-D5B56B46ABB3}"/>
              </c:ext>
            </c:extLst>
          </c:dPt>
          <c:dPt>
            <c:idx val="1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61DE-4DC3-B172-D5B56B46ABB3}"/>
              </c:ext>
            </c:extLst>
          </c:dPt>
          <c:dLbls>
            <c:dLbl>
              <c:idx val="13"/>
              <c:layout>
                <c:manualLayout>
                  <c:x val="3.326403326403326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1DE-4DC3-B172-D5B56B46AB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'A14'!$B$2:$B$15</c:f>
              <c:strCache>
                <c:ptCount val="14"/>
                <c:pt idx="0">
                  <c:v>Nie odnotowano żadnych trudności</c:v>
                </c:pt>
                <c:pt idx="1">
                  <c:v>Trudności na etapie przeprowadzenia zamówień publicznych, problemy ze znalezieniem wykonawców</c:v>
                </c:pt>
                <c:pt idx="2">
                  <c:v>Problemy związane z istotnym wzrostem kosztów realizacji projektu</c:v>
                </c:pt>
                <c:pt idx="3">
                  <c:v>Trudności z rekrutacją uczestników projektu (grupy docelowej) [EFS]</c:v>
                </c:pt>
                <c:pt idx="4">
                  <c:v>Problemy na etapie realizacji projektu (robót, zakupów, dostaw)</c:v>
                </c:pt>
                <c:pt idx="5">
                  <c:v>Problemy z przepisami – ich interpretacją lub zmianą</c:v>
                </c:pt>
                <c:pt idx="6">
                  <c:v>Problemy ze znalezieniem pracowników|personelu projektu</c:v>
                </c:pt>
                <c:pt idx="7">
                  <c:v>Problemy z uzyskaniem niezbędnych pozwoleń związanych z realizowaną inwestycją [EFRR]</c:v>
                </c:pt>
                <c:pt idx="8">
                  <c:v>Problemy z zakończeniem uczestnictwa w projekcie przez osoby zrekrutowane do projektu [EFS]</c:v>
                </c:pt>
                <c:pt idx="9">
                  <c:v>Problemy z nierzetelnymi wykonawcami</c:v>
                </c:pt>
                <c:pt idx="10">
                  <c:v>Trudna sytuacja finansowa beneficjenta</c:v>
                </c:pt>
                <c:pt idx="11">
                  <c:v>Spadek popytu na efekty (produkty) projektu</c:v>
                </c:pt>
                <c:pt idx="12">
                  <c:v>Problemy z partnerami projektu</c:v>
                </c:pt>
                <c:pt idx="13">
                  <c:v>Trudna sytuacja finansowa wykonawców [EFRR]</c:v>
                </c:pt>
              </c:strCache>
            </c:strRef>
          </c:cat>
          <c:val>
            <c:numRef>
              <c:f>'A14'!$D$2:$D$15</c:f>
              <c:numCache>
                <c:formatCode>0%</c:formatCode>
                <c:ptCount val="14"/>
                <c:pt idx="0">
                  <c:v>0.18535469107551489</c:v>
                </c:pt>
                <c:pt idx="1">
                  <c:v>0.34324942791762014</c:v>
                </c:pt>
                <c:pt idx="2">
                  <c:v>0.19679633867276888</c:v>
                </c:pt>
                <c:pt idx="3">
                  <c:v>0.14187643020594964</c:v>
                </c:pt>
                <c:pt idx="4">
                  <c:v>0.14187643020594964</c:v>
                </c:pt>
                <c:pt idx="5">
                  <c:v>0.13729977116704806</c:v>
                </c:pt>
                <c:pt idx="6">
                  <c:v>0.11441647597254007</c:v>
                </c:pt>
                <c:pt idx="7">
                  <c:v>0.10297482837528606</c:v>
                </c:pt>
                <c:pt idx="8">
                  <c:v>9.1533180778032019E-2</c:v>
                </c:pt>
                <c:pt idx="9">
                  <c:v>5.9496567505720827E-2</c:v>
                </c:pt>
                <c:pt idx="10">
                  <c:v>4.576659038901601E-2</c:v>
                </c:pt>
                <c:pt idx="11">
                  <c:v>2.7459954233409613E-2</c:v>
                </c:pt>
                <c:pt idx="12">
                  <c:v>2.0594965675057208E-2</c:v>
                </c:pt>
                <c:pt idx="13">
                  <c:v>9.1533180778032037E-3</c:v>
                </c:pt>
              </c:numCache>
            </c:numRef>
          </c:val>
          <c:extLst xmlns:c16r2="http://schemas.microsoft.com/office/drawing/2015/06/chart">
            <c:ext xmlns:c16="http://schemas.microsoft.com/office/drawing/2014/chart" uri="{C3380CC4-5D6E-409C-BE32-E72D297353CC}">
              <c16:uniqueId val="{0000000A-61DE-4DC3-B172-D5B56B46ABB3}"/>
            </c:ext>
          </c:extLst>
        </c:ser>
        <c:dLbls>
          <c:dLblPos val="ctr"/>
          <c:showLegendKey val="0"/>
          <c:showVal val="1"/>
          <c:showCatName val="0"/>
          <c:showSerName val="0"/>
          <c:showPercent val="0"/>
          <c:showBubbleSize val="0"/>
        </c:dLbls>
        <c:gapWidth val="150"/>
        <c:overlap val="100"/>
        <c:axId val="308145832"/>
        <c:axId val="308152104"/>
      </c:barChart>
      <c:catAx>
        <c:axId val="30814583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52104"/>
        <c:crosses val="autoZero"/>
        <c:auto val="1"/>
        <c:lblAlgn val="ctr"/>
        <c:lblOffset val="100"/>
        <c:noMultiLvlLbl val="0"/>
      </c:catAx>
      <c:valAx>
        <c:axId val="308152104"/>
        <c:scaling>
          <c:orientation val="minMax"/>
        </c:scaling>
        <c:delete val="1"/>
        <c:axPos val="t"/>
        <c:numFmt formatCode="0%" sourceLinked="1"/>
        <c:majorTickMark val="out"/>
        <c:minorTickMark val="none"/>
        <c:tickLblPos val="nextTo"/>
        <c:crossAx val="308145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Arkusz1!$B$4</c:f>
              <c:strCache>
                <c:ptCount val="1"/>
                <c:pt idx="0">
                  <c:v>Tak</c:v>
                </c:pt>
              </c:strCache>
            </c:strRef>
          </c:tx>
          <c:spPr>
            <a:solidFill>
              <a:schemeClr val="accent1"/>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Arkusz1!$C$2:$K$3</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Arkusz1!$C$4:$K$4</c:f>
              <c:numCache>
                <c:formatCode>0%</c:formatCode>
                <c:ptCount val="9"/>
                <c:pt idx="0">
                  <c:v>0.27906976744186046</c:v>
                </c:pt>
                <c:pt idx="1">
                  <c:v>0.33695652173913049</c:v>
                </c:pt>
                <c:pt idx="2">
                  <c:v>0.22222222222222221</c:v>
                </c:pt>
                <c:pt idx="3">
                  <c:v>0.2</c:v>
                </c:pt>
                <c:pt idx="4">
                  <c:v>0.35714285714285715</c:v>
                </c:pt>
                <c:pt idx="5">
                  <c:v>0.38709677419354838</c:v>
                </c:pt>
                <c:pt idx="6">
                  <c:v>0.59459459459459463</c:v>
                </c:pt>
                <c:pt idx="7">
                  <c:v>0.54761904761904767</c:v>
                </c:pt>
                <c:pt idx="8">
                  <c:v>0.59756097560975607</c:v>
                </c:pt>
              </c:numCache>
            </c:numRef>
          </c:val>
          <c:extLst xmlns:c16r2="http://schemas.microsoft.com/office/drawing/2015/06/chart">
            <c:ext xmlns:c16="http://schemas.microsoft.com/office/drawing/2014/chart" uri="{C3380CC4-5D6E-409C-BE32-E72D297353CC}">
              <c16:uniqueId val="{00000000-4091-4543-B493-243E50DA751B}"/>
            </c:ext>
          </c:extLst>
        </c:ser>
        <c:ser>
          <c:idx val="1"/>
          <c:order val="1"/>
          <c:tx>
            <c:strRef>
              <c:f>Arkusz1!$B$5</c:f>
              <c:strCache>
                <c:ptCount val="1"/>
                <c:pt idx="0">
                  <c:v>Nie</c:v>
                </c:pt>
              </c:strCache>
            </c:strRef>
          </c:tx>
          <c:spPr>
            <a:solidFill>
              <a:schemeClr val="accent2"/>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Arkusz1!$C$2:$K$3</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Arkusz1!$C$5:$K$5</c:f>
              <c:numCache>
                <c:formatCode>0%</c:formatCode>
                <c:ptCount val="9"/>
                <c:pt idx="0">
                  <c:v>0.22093023255813954</c:v>
                </c:pt>
                <c:pt idx="1">
                  <c:v>0.19565217391304349</c:v>
                </c:pt>
                <c:pt idx="2">
                  <c:v>0.33333333333333326</c:v>
                </c:pt>
                <c:pt idx="3">
                  <c:v>0.2</c:v>
                </c:pt>
                <c:pt idx="4">
                  <c:v>7.1428571428571425E-2</c:v>
                </c:pt>
                <c:pt idx="5">
                  <c:v>0.16129032258064516</c:v>
                </c:pt>
                <c:pt idx="6">
                  <c:v>5.405405405405405E-2</c:v>
                </c:pt>
                <c:pt idx="7">
                  <c:v>7.1428571428571425E-2</c:v>
                </c:pt>
                <c:pt idx="8">
                  <c:v>0.12195121951219512</c:v>
                </c:pt>
              </c:numCache>
            </c:numRef>
          </c:val>
          <c:extLst xmlns:c16r2="http://schemas.microsoft.com/office/drawing/2015/06/chart">
            <c:ext xmlns:c16="http://schemas.microsoft.com/office/drawing/2014/chart" uri="{C3380CC4-5D6E-409C-BE32-E72D297353CC}">
              <c16:uniqueId val="{00000001-4091-4543-B493-243E50DA751B}"/>
            </c:ext>
          </c:extLst>
        </c:ser>
        <c:ser>
          <c:idx val="2"/>
          <c:order val="2"/>
          <c:tx>
            <c:strRef>
              <c:f>Arkusz1!$B$6</c:f>
              <c:strCache>
                <c:ptCount val="1"/>
                <c:pt idx="0">
                  <c:v>Nie wiem, nie pamiętam</c:v>
                </c:pt>
              </c:strCache>
            </c:strRef>
          </c:tx>
          <c:spPr>
            <a:solidFill>
              <a:schemeClr val="bg1">
                <a:lumMod val="65000"/>
              </a:schemeClr>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Arkusz1!$C$2:$K$3</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Arkusz1!$C$6:$K$6</c:f>
              <c:numCache>
                <c:formatCode>0%</c:formatCode>
                <c:ptCount val="9"/>
                <c:pt idx="0">
                  <c:v>0.5</c:v>
                </c:pt>
                <c:pt idx="1">
                  <c:v>0.46739130434782611</c:v>
                </c:pt>
                <c:pt idx="2">
                  <c:v>0.44444444444444442</c:v>
                </c:pt>
                <c:pt idx="3">
                  <c:v>0.6</c:v>
                </c:pt>
                <c:pt idx="4">
                  <c:v>0.5714285714285714</c:v>
                </c:pt>
                <c:pt idx="5">
                  <c:v>0.45161290322580638</c:v>
                </c:pt>
                <c:pt idx="6">
                  <c:v>0.35135135135135137</c:v>
                </c:pt>
                <c:pt idx="7">
                  <c:v>0.38095238095238093</c:v>
                </c:pt>
                <c:pt idx="8">
                  <c:v>0.28048780487804881</c:v>
                </c:pt>
              </c:numCache>
            </c:numRef>
          </c:val>
          <c:extLst xmlns:c16r2="http://schemas.microsoft.com/office/drawing/2015/06/chart">
            <c:ext xmlns:c16="http://schemas.microsoft.com/office/drawing/2014/chart" uri="{C3380CC4-5D6E-409C-BE32-E72D297353CC}">
              <c16:uniqueId val="{00000002-4091-4543-B493-243E50DA751B}"/>
            </c:ext>
          </c:extLst>
        </c:ser>
        <c:dLbls>
          <c:showLegendKey val="0"/>
          <c:showVal val="0"/>
          <c:showCatName val="0"/>
          <c:showSerName val="0"/>
          <c:showPercent val="0"/>
          <c:showBubbleSize val="0"/>
        </c:dLbls>
        <c:gapWidth val="150"/>
        <c:overlap val="100"/>
        <c:axId val="308154456"/>
        <c:axId val="308155240"/>
      </c:barChart>
      <c:catAx>
        <c:axId val="30815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308155240"/>
        <c:crosses val="autoZero"/>
        <c:auto val="1"/>
        <c:lblAlgn val="ctr"/>
        <c:lblOffset val="100"/>
        <c:noMultiLvlLbl val="0"/>
      </c:catAx>
      <c:valAx>
        <c:axId val="308155240"/>
        <c:scaling>
          <c:orientation val="minMax"/>
          <c:max val="1"/>
        </c:scaling>
        <c:delete val="1"/>
        <c:axPos val="l"/>
        <c:numFmt formatCode="0%" sourceLinked="1"/>
        <c:majorTickMark val="out"/>
        <c:minorTickMark val="none"/>
        <c:tickLblPos val="nextTo"/>
        <c:crossAx val="308154456"/>
        <c:crosses val="autoZero"/>
        <c:crossBetween val="between"/>
      </c:valAx>
      <c:spPr>
        <a:noFill/>
        <a:ln w="25400">
          <a:noFill/>
        </a:ln>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Arkusz2!$B$3</c:f>
              <c:strCache>
                <c:ptCount val="1"/>
                <c:pt idx="0">
                  <c:v>Tak</c:v>
                </c:pt>
              </c:strCache>
            </c:strRef>
          </c:tx>
          <c:spPr>
            <a:solidFill>
              <a:schemeClr val="accent1"/>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Arkusz2!$C$1:$K$2</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Arkusz2!$C$3:$K$3</c:f>
              <c:numCache>
                <c:formatCode>0%</c:formatCode>
                <c:ptCount val="9"/>
                <c:pt idx="0">
                  <c:v>1</c:v>
                </c:pt>
                <c:pt idx="1">
                  <c:v>0.82352941176470584</c:v>
                </c:pt>
                <c:pt idx="2">
                  <c:v>1</c:v>
                </c:pt>
                <c:pt idx="3">
                  <c:v>0.8</c:v>
                </c:pt>
                <c:pt idx="4">
                  <c:v>1</c:v>
                </c:pt>
                <c:pt idx="5">
                  <c:v>0.8</c:v>
                </c:pt>
                <c:pt idx="6">
                  <c:v>0.95</c:v>
                </c:pt>
                <c:pt idx="7">
                  <c:v>0.86363636363636365</c:v>
                </c:pt>
                <c:pt idx="8">
                  <c:v>0.90909090909090906</c:v>
                </c:pt>
              </c:numCache>
            </c:numRef>
          </c:val>
          <c:extLst xmlns:c16r2="http://schemas.microsoft.com/office/drawing/2015/06/chart">
            <c:ext xmlns:c16="http://schemas.microsoft.com/office/drawing/2014/chart" uri="{C3380CC4-5D6E-409C-BE32-E72D297353CC}">
              <c16:uniqueId val="{00000000-0355-4631-8292-4A6EBA948BEA}"/>
            </c:ext>
          </c:extLst>
        </c:ser>
        <c:ser>
          <c:idx val="1"/>
          <c:order val="1"/>
          <c:tx>
            <c:strRef>
              <c:f>Arkusz2!$B$4</c:f>
              <c:strCache>
                <c:ptCount val="1"/>
                <c:pt idx="0">
                  <c:v>Nie</c:v>
                </c:pt>
              </c:strCache>
            </c:strRef>
          </c:tx>
          <c:spPr>
            <a:solidFill>
              <a:schemeClr val="accent2"/>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Arkusz2!$C$1:$K$2</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Arkusz2!$C$4:$K$4</c:f>
              <c:numCache>
                <c:formatCode>0%</c:formatCode>
                <c:ptCount val="9"/>
                <c:pt idx="1">
                  <c:v>5.8823529411764698E-2</c:v>
                </c:pt>
                <c:pt idx="7">
                  <c:v>4.5454545454545456E-2</c:v>
                </c:pt>
              </c:numCache>
            </c:numRef>
          </c:val>
          <c:extLst xmlns:c16r2="http://schemas.microsoft.com/office/drawing/2015/06/chart">
            <c:ext xmlns:c16="http://schemas.microsoft.com/office/drawing/2014/chart" uri="{C3380CC4-5D6E-409C-BE32-E72D297353CC}">
              <c16:uniqueId val="{00000001-0355-4631-8292-4A6EBA948BEA}"/>
            </c:ext>
          </c:extLst>
        </c:ser>
        <c:ser>
          <c:idx val="2"/>
          <c:order val="2"/>
          <c:tx>
            <c:strRef>
              <c:f>Arkusz2!$B$5</c:f>
              <c:strCache>
                <c:ptCount val="1"/>
                <c:pt idx="0">
                  <c:v>Nie wiem| trudno powiedzieć</c:v>
                </c:pt>
              </c:strCache>
            </c:strRef>
          </c:tx>
          <c:spPr>
            <a:solidFill>
              <a:schemeClr val="bg1">
                <a:lumMod val="65000"/>
              </a:schemeClr>
            </a:solidFill>
            <a:ln>
              <a:noFill/>
            </a:ln>
            <a:effectLst/>
          </c:spPr>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Arkusz2!$C$1:$K$2</c:f>
              <c:multiLvlStrCache>
                <c:ptCount val="9"/>
                <c:lvl>
                  <c:pt idx="0">
                    <c:v>OP I</c:v>
                  </c:pt>
                  <c:pt idx="1">
                    <c:v>OP II</c:v>
                  </c:pt>
                  <c:pt idx="2">
                    <c:v>OP III</c:v>
                  </c:pt>
                  <c:pt idx="3">
                    <c:v>OP IV</c:v>
                  </c:pt>
                  <c:pt idx="4">
                    <c:v>OP V</c:v>
                  </c:pt>
                  <c:pt idx="5">
                    <c:v>OP IX</c:v>
                  </c:pt>
                  <c:pt idx="6">
                    <c:v>OP VI</c:v>
                  </c:pt>
                  <c:pt idx="7">
                    <c:v>OP VII</c:v>
                  </c:pt>
                  <c:pt idx="8">
                    <c:v>OP VIII</c:v>
                  </c:pt>
                </c:lvl>
                <c:lvl>
                  <c:pt idx="0">
                    <c:v>EFRR</c:v>
                  </c:pt>
                  <c:pt idx="6">
                    <c:v>EFS</c:v>
                  </c:pt>
                </c:lvl>
              </c:multiLvlStrCache>
            </c:multiLvlStrRef>
          </c:cat>
          <c:val>
            <c:numRef>
              <c:f>Arkusz2!$C$5:$K$5</c:f>
              <c:numCache>
                <c:formatCode>0%</c:formatCode>
                <c:ptCount val="9"/>
                <c:pt idx="1">
                  <c:v>0.1176470588235294</c:v>
                </c:pt>
                <c:pt idx="3">
                  <c:v>0.2</c:v>
                </c:pt>
                <c:pt idx="5">
                  <c:v>0.2</c:v>
                </c:pt>
                <c:pt idx="6">
                  <c:v>0.05</c:v>
                </c:pt>
                <c:pt idx="7">
                  <c:v>9.0909090909090912E-2</c:v>
                </c:pt>
                <c:pt idx="8">
                  <c:v>9.0909090909090912E-2</c:v>
                </c:pt>
              </c:numCache>
            </c:numRef>
          </c:val>
          <c:extLst xmlns:c16r2="http://schemas.microsoft.com/office/drawing/2015/06/chart">
            <c:ext xmlns:c16="http://schemas.microsoft.com/office/drawing/2014/chart" uri="{C3380CC4-5D6E-409C-BE32-E72D297353CC}">
              <c16:uniqueId val="{00000002-0355-4631-8292-4A6EBA948BEA}"/>
            </c:ext>
          </c:extLst>
        </c:ser>
        <c:dLbls>
          <c:showLegendKey val="0"/>
          <c:showVal val="0"/>
          <c:showCatName val="0"/>
          <c:showSerName val="0"/>
          <c:showPercent val="0"/>
          <c:showBubbleSize val="0"/>
        </c:dLbls>
        <c:gapWidth val="150"/>
        <c:overlap val="100"/>
        <c:axId val="308161120"/>
        <c:axId val="308158768"/>
      </c:barChart>
      <c:catAx>
        <c:axId val="30816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308158768"/>
        <c:crosses val="autoZero"/>
        <c:auto val="1"/>
        <c:lblAlgn val="ctr"/>
        <c:lblOffset val="100"/>
        <c:noMultiLvlLbl val="0"/>
      </c:catAx>
      <c:valAx>
        <c:axId val="308158768"/>
        <c:scaling>
          <c:orientation val="minMax"/>
          <c:max val="1"/>
        </c:scaling>
        <c:delete val="1"/>
        <c:axPos val="l"/>
        <c:numFmt formatCode="0%" sourceLinked="1"/>
        <c:majorTickMark val="none"/>
        <c:minorTickMark val="none"/>
        <c:tickLblPos val="nextTo"/>
        <c:crossAx val="308161120"/>
        <c:crosses val="autoZero"/>
        <c:crossBetween val="between"/>
      </c:valAx>
      <c:spPr>
        <a:noFill/>
        <a:ln w="25400">
          <a:noFill/>
        </a:ln>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Arkusz3!$D$3</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Arkusz3!$E$1:$J$2</c:f>
              <c:multiLvlStrCache>
                <c:ptCount val="6"/>
                <c:lvl>
                  <c:pt idx="0">
                    <c:v>ogółem</c:v>
                  </c:pt>
                  <c:pt idx="1">
                    <c:v>EFRR</c:v>
                  </c:pt>
                  <c:pt idx="2">
                    <c:v>EFS</c:v>
                  </c:pt>
                  <c:pt idx="3">
                    <c:v>ogółem</c:v>
                  </c:pt>
                  <c:pt idx="4">
                    <c:v>EFRR</c:v>
                  </c:pt>
                  <c:pt idx="5">
                    <c:v>EFS</c:v>
                  </c:pt>
                </c:lvl>
                <c:lvl>
                  <c:pt idx="0">
                    <c:v>Zrównoważony rozwój, czyli taka realizacji projektu, aby nie pozostawać w konflikcie z interesami ochrony środowiska i ładu przestrzennego</c:v>
                  </c:pt>
                  <c:pt idx="3">
                    <c:v>Równość szans i niedyskryminacja, czyli dopasowanie projektu do potrzeb różnych grup docelowych oraz niedyskryminacja osób ze względu na płeć, wiek, miejsce zamieszkania czy niepełnosprawność</c:v>
                  </c:pt>
                </c:lvl>
              </c:multiLvlStrCache>
            </c:multiLvlStrRef>
          </c:cat>
          <c:val>
            <c:numRef>
              <c:f>Arkusz3!$E$3:$J$3</c:f>
              <c:numCache>
                <c:formatCode>0%</c:formatCode>
                <c:ptCount val="6"/>
                <c:pt idx="0">
                  <c:v>0.80320366132723109</c:v>
                </c:pt>
                <c:pt idx="1">
                  <c:v>0.86956521739130432</c:v>
                </c:pt>
                <c:pt idx="2">
                  <c:v>0.68944099378881984</c:v>
                </c:pt>
                <c:pt idx="3">
                  <c:v>0.85354691075514877</c:v>
                </c:pt>
                <c:pt idx="4">
                  <c:v>0.81159420289855078</c:v>
                </c:pt>
                <c:pt idx="5">
                  <c:v>0.92546583850931663</c:v>
                </c:pt>
              </c:numCache>
            </c:numRef>
          </c:val>
          <c:extLst xmlns:c16r2="http://schemas.microsoft.com/office/drawing/2015/06/chart">
            <c:ext xmlns:c16="http://schemas.microsoft.com/office/drawing/2014/chart" uri="{C3380CC4-5D6E-409C-BE32-E72D297353CC}">
              <c16:uniqueId val="{00000000-5FC9-4AA0-ACA9-DAA0FE97ADDF}"/>
            </c:ext>
          </c:extLst>
        </c:ser>
        <c:ser>
          <c:idx val="1"/>
          <c:order val="1"/>
          <c:tx>
            <c:strRef>
              <c:f>Arkusz3!$D$4</c:f>
              <c:strCache>
                <c:ptCount val="1"/>
                <c:pt idx="0">
                  <c:v>Nie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Arkusz3!$E$1:$J$2</c:f>
              <c:multiLvlStrCache>
                <c:ptCount val="6"/>
                <c:lvl>
                  <c:pt idx="0">
                    <c:v>ogółem</c:v>
                  </c:pt>
                  <c:pt idx="1">
                    <c:v>EFRR</c:v>
                  </c:pt>
                  <c:pt idx="2">
                    <c:v>EFS</c:v>
                  </c:pt>
                  <c:pt idx="3">
                    <c:v>ogółem</c:v>
                  </c:pt>
                  <c:pt idx="4">
                    <c:v>EFRR</c:v>
                  </c:pt>
                  <c:pt idx="5">
                    <c:v>EFS</c:v>
                  </c:pt>
                </c:lvl>
                <c:lvl>
                  <c:pt idx="0">
                    <c:v>Zrównoważony rozwój, czyli taka realizacji projektu, aby nie pozostawać w konflikcie z interesami ochrony środowiska i ładu przestrzennego</c:v>
                  </c:pt>
                  <c:pt idx="3">
                    <c:v>Równość szans i niedyskryminacja, czyli dopasowanie projektu do potrzeb różnych grup docelowych oraz niedyskryminacja osób ze względu na płeć, wiek, miejsce zamieszkania czy niepełnosprawność</c:v>
                  </c:pt>
                </c:lvl>
              </c:multiLvlStrCache>
            </c:multiLvlStrRef>
          </c:cat>
          <c:val>
            <c:numRef>
              <c:f>Arkusz3!$E$4:$J$4</c:f>
              <c:numCache>
                <c:formatCode>0%</c:formatCode>
                <c:ptCount val="6"/>
                <c:pt idx="0">
                  <c:v>3.8901601830663615E-2</c:v>
                </c:pt>
                <c:pt idx="1">
                  <c:v>1.4492753623188406E-2</c:v>
                </c:pt>
                <c:pt idx="2">
                  <c:v>8.0745341614906832E-2</c:v>
                </c:pt>
                <c:pt idx="3">
                  <c:v>2.0594965675057208E-2</c:v>
                </c:pt>
                <c:pt idx="4">
                  <c:v>2.8985507246376812E-2</c:v>
                </c:pt>
                <c:pt idx="5">
                  <c:v>6.2111801242236021E-3</c:v>
                </c:pt>
              </c:numCache>
            </c:numRef>
          </c:val>
          <c:extLst xmlns:c16r2="http://schemas.microsoft.com/office/drawing/2015/06/chart">
            <c:ext xmlns:c16="http://schemas.microsoft.com/office/drawing/2014/chart" uri="{C3380CC4-5D6E-409C-BE32-E72D297353CC}">
              <c16:uniqueId val="{00000001-5FC9-4AA0-ACA9-DAA0FE97ADDF}"/>
            </c:ext>
          </c:extLst>
        </c:ser>
        <c:ser>
          <c:idx val="2"/>
          <c:order val="2"/>
          <c:tx>
            <c:strRef>
              <c:f>Arkusz3!$D$5</c:f>
              <c:strCache>
                <c:ptCount val="1"/>
                <c:pt idx="0">
                  <c:v>Nie wiem| nie pamiętam</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Arkusz3!$E$1:$J$2</c:f>
              <c:multiLvlStrCache>
                <c:ptCount val="6"/>
                <c:lvl>
                  <c:pt idx="0">
                    <c:v>ogółem</c:v>
                  </c:pt>
                  <c:pt idx="1">
                    <c:v>EFRR</c:v>
                  </c:pt>
                  <c:pt idx="2">
                    <c:v>EFS</c:v>
                  </c:pt>
                  <c:pt idx="3">
                    <c:v>ogółem</c:v>
                  </c:pt>
                  <c:pt idx="4">
                    <c:v>EFRR</c:v>
                  </c:pt>
                  <c:pt idx="5">
                    <c:v>EFS</c:v>
                  </c:pt>
                </c:lvl>
                <c:lvl>
                  <c:pt idx="0">
                    <c:v>Zrównoważony rozwój, czyli taka realizacji projektu, aby nie pozostawać w konflikcie z interesami ochrony środowiska i ładu przestrzennego</c:v>
                  </c:pt>
                  <c:pt idx="3">
                    <c:v>Równość szans i niedyskryminacja, czyli dopasowanie projektu do potrzeb różnych grup docelowych oraz niedyskryminacja osób ze względu na płeć, wiek, miejsce zamieszkania czy niepełnosprawność</c:v>
                  </c:pt>
                </c:lvl>
              </c:multiLvlStrCache>
            </c:multiLvlStrRef>
          </c:cat>
          <c:val>
            <c:numRef>
              <c:f>Arkusz3!$E$5:$J$5</c:f>
              <c:numCache>
                <c:formatCode>0%</c:formatCode>
                <c:ptCount val="6"/>
                <c:pt idx="0">
                  <c:v>0.15789473684210525</c:v>
                </c:pt>
                <c:pt idx="1">
                  <c:v>0.11594202898550725</c:v>
                </c:pt>
                <c:pt idx="2">
                  <c:v>0.22981366459627328</c:v>
                </c:pt>
                <c:pt idx="3">
                  <c:v>0.12585812356979406</c:v>
                </c:pt>
                <c:pt idx="4">
                  <c:v>0.15942028985507245</c:v>
                </c:pt>
                <c:pt idx="5">
                  <c:v>6.8322981366459631E-2</c:v>
                </c:pt>
              </c:numCache>
            </c:numRef>
          </c:val>
          <c:extLst xmlns:c16r2="http://schemas.microsoft.com/office/drawing/2015/06/chart">
            <c:ext xmlns:c16="http://schemas.microsoft.com/office/drawing/2014/chart" uri="{C3380CC4-5D6E-409C-BE32-E72D297353CC}">
              <c16:uniqueId val="{00000002-5FC9-4AA0-ACA9-DAA0FE97ADDF}"/>
            </c:ext>
          </c:extLst>
        </c:ser>
        <c:dLbls>
          <c:dLblPos val="ctr"/>
          <c:showLegendKey val="0"/>
          <c:showVal val="1"/>
          <c:showCatName val="0"/>
          <c:showSerName val="0"/>
          <c:showPercent val="0"/>
          <c:showBubbleSize val="0"/>
        </c:dLbls>
        <c:gapWidth val="150"/>
        <c:overlap val="100"/>
        <c:axId val="308155632"/>
        <c:axId val="308152888"/>
      </c:barChart>
      <c:catAx>
        <c:axId val="30815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52888"/>
        <c:crosses val="autoZero"/>
        <c:auto val="1"/>
        <c:lblAlgn val="ctr"/>
        <c:lblOffset val="100"/>
        <c:noMultiLvlLbl val="0"/>
      </c:catAx>
      <c:valAx>
        <c:axId val="308152888"/>
        <c:scaling>
          <c:orientation val="minMax"/>
        </c:scaling>
        <c:delete val="1"/>
        <c:axPos val="l"/>
        <c:numFmt formatCode="0%" sourceLinked="1"/>
        <c:majorTickMark val="none"/>
        <c:minorTickMark val="none"/>
        <c:tickLblPos val="nextTo"/>
        <c:crossAx val="30815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Arkusz6!$B$2</c:f>
              <c:strCache>
                <c:ptCount val="1"/>
                <c:pt idx="0">
                  <c:v>Bardzo niska ocena</c:v>
                </c:pt>
              </c:strCache>
            </c:strRef>
          </c:tx>
          <c:spPr>
            <a:solidFill>
              <a:schemeClr val="accent2"/>
            </a:solidFill>
            <a:ln>
              <a:noFill/>
            </a:ln>
            <a:effectLst/>
          </c:spPr>
          <c:invertIfNegative val="0"/>
          <c:dLbls>
            <c:dLbl>
              <c:idx val="0"/>
              <c:layout>
                <c:manualLayout>
                  <c:x val="-1.9845644983461964E-2"/>
                  <c:y val="3.520369359770622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B6-4D7B-9953-0DBCED55C8ED}"/>
                </c:ext>
                <c:ext xmlns:c15="http://schemas.microsoft.com/office/drawing/2012/chart" uri="{CE6537A1-D6FC-4f65-9D91-7224C49458BB}"/>
              </c:extLst>
            </c:dLbl>
            <c:dLbl>
              <c:idx val="1"/>
              <c:layout>
                <c:manualLayout>
                  <c:x val="-1.1025358324145534E-2"/>
                  <c:y val="3.52036935977062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B6-4D7B-9953-0DBCED55C8ED}"/>
                </c:ext>
                <c:ext xmlns:c15="http://schemas.microsoft.com/office/drawing/2012/chart" uri="{CE6537A1-D6FC-4f65-9D91-7224C49458BB}"/>
              </c:extLst>
            </c:dLbl>
            <c:dLbl>
              <c:idx val="2"/>
              <c:layout>
                <c:manualLayout>
                  <c:x val="-8.8202866593164279E-3"/>
                  <c:y val="3.96041336417106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B6-4D7B-9953-0DBCED55C8E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E0B6-4D7B-9953-0DBCED55C8ED}"/>
                </c:ext>
                <c:ext xmlns:c15="http://schemas.microsoft.com/office/drawing/2012/chart" uri="{CE6537A1-D6FC-4f65-9D91-7224C49458BB}"/>
              </c:extLst>
            </c:dLbl>
            <c:dLbl>
              <c:idx val="5"/>
              <c:layout>
                <c:manualLayout>
                  <c:x val="0"/>
                  <c:y val="3.520352035203520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B6-4D7B-9953-0DBCED55C8ED}"/>
                </c:ext>
                <c:ext xmlns:c15="http://schemas.microsoft.com/office/drawing/2012/chart" uri="{CE6537A1-D6FC-4f65-9D91-7224C49458BB}"/>
              </c:extLst>
            </c:dLbl>
            <c:dLbl>
              <c:idx val="6"/>
              <c:layout>
                <c:manualLayout>
                  <c:x val="-2.2050716648291876E-3"/>
                  <c:y val="3.300330033003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B6-4D7B-9953-0DBCED55C8ED}"/>
                </c:ext>
                <c:ext xmlns:c15="http://schemas.microsoft.com/office/drawing/2012/chart" uri="{CE6537A1-D6FC-4f65-9D91-7224C49458BB}"/>
              </c:extLst>
            </c:dLbl>
            <c:dLbl>
              <c:idx val="7"/>
              <c:layout>
                <c:manualLayout>
                  <c:x val="0"/>
                  <c:y val="2.640264026402640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B6-4D7B-9953-0DBCED55C8ED}"/>
                </c:ext>
                <c:ext xmlns:c15="http://schemas.microsoft.com/office/drawing/2012/chart" uri="{CE6537A1-D6FC-4f65-9D91-7224C49458BB}"/>
              </c:extLst>
            </c:dLbl>
            <c:dLbl>
              <c:idx val="8"/>
              <c:layout>
                <c:manualLayout>
                  <c:x val="-2.205071664829107E-3"/>
                  <c:y val="3.080308030803080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B6-4D7B-9953-0DBCED55C8ED}"/>
                </c:ext>
                <c:ext xmlns:c15="http://schemas.microsoft.com/office/drawing/2012/chart" uri="{CE6537A1-D6FC-4f65-9D91-7224C49458BB}"/>
              </c:extLst>
            </c:dLbl>
            <c:dLbl>
              <c:idx val="9"/>
              <c:layout>
                <c:manualLayout>
                  <c:x val="0"/>
                  <c:y val="2.860286028602868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0B6-4D7B-9953-0DBCED55C8ED}"/>
                </c:ext>
                <c:ext xmlns:c15="http://schemas.microsoft.com/office/drawing/2012/chart" uri="{CE6537A1-D6FC-4f65-9D91-7224C49458BB}"/>
              </c:extLst>
            </c:dLbl>
            <c:dLbl>
              <c:idx val="10"/>
              <c:layout>
                <c:manualLayout>
                  <c:x val="0"/>
                  <c:y val="2.640264026402656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0B6-4D7B-9953-0DBCED55C8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Arkusz6!$B$3:$B$13</c:f>
              <c:numCache>
                <c:formatCode>0%</c:formatCode>
                <c:ptCount val="11"/>
                <c:pt idx="0">
                  <c:v>5.6980056980056983E-3</c:v>
                </c:pt>
                <c:pt idx="1">
                  <c:v>8.0428954423592495E-3</c:v>
                </c:pt>
                <c:pt idx="2">
                  <c:v>5.6980056980056983E-3</c:v>
                </c:pt>
                <c:pt idx="3">
                  <c:v>2.6809651474530832E-3</c:v>
                </c:pt>
                <c:pt idx="5">
                  <c:v>8.5470085470085479E-3</c:v>
                </c:pt>
                <c:pt idx="6">
                  <c:v>8.0428954423592495E-3</c:v>
                </c:pt>
                <c:pt idx="7">
                  <c:v>8.5470085470085479E-3</c:v>
                </c:pt>
                <c:pt idx="8">
                  <c:v>1.0723860589812333E-2</c:v>
                </c:pt>
                <c:pt idx="9">
                  <c:v>8.5470085470085479E-3</c:v>
                </c:pt>
                <c:pt idx="10">
                  <c:v>5.3619302949061663E-3</c:v>
                </c:pt>
              </c:numCache>
            </c:numRef>
          </c:val>
          <c:extLst xmlns:c16r2="http://schemas.microsoft.com/office/drawing/2015/06/chart">
            <c:ext xmlns:c16="http://schemas.microsoft.com/office/drawing/2014/chart" uri="{C3380CC4-5D6E-409C-BE32-E72D297353CC}">
              <c16:uniqueId val="{0000000A-E0B6-4D7B-9953-0DBCED55C8ED}"/>
            </c:ext>
          </c:extLst>
        </c:ser>
        <c:ser>
          <c:idx val="1"/>
          <c:order val="1"/>
          <c:tx>
            <c:strRef>
              <c:f>Arkusz6!$C$2</c:f>
              <c:strCache>
                <c:ptCount val="1"/>
                <c:pt idx="0">
                  <c:v>Niska ocena</c:v>
                </c:pt>
              </c:strCache>
            </c:strRef>
          </c:tx>
          <c:spPr>
            <a:solidFill>
              <a:schemeClr val="accent4"/>
            </a:solidFill>
            <a:ln>
              <a:noFill/>
            </a:ln>
            <a:effectLst/>
          </c:spPr>
          <c:invertIfNegative val="0"/>
          <c:dLbls>
            <c:dLbl>
              <c:idx val="0"/>
              <c:layout>
                <c:manualLayout>
                  <c:x val="2.2050716648291068E-2"/>
                  <c:y val="3.52045598260613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0B6-4D7B-9953-0DBCED55C8ED}"/>
                </c:ext>
                <c:ext xmlns:c15="http://schemas.microsoft.com/office/drawing/2012/chart" uri="{CE6537A1-D6FC-4f65-9D91-7224C49458BB}"/>
              </c:extLst>
            </c:dLbl>
            <c:dLbl>
              <c:idx val="1"/>
              <c:layout>
                <c:manualLayout>
                  <c:x val="1.5435501653803668E-2"/>
                  <c:y val="3.74046066023925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0B6-4D7B-9953-0DBCED55C8ED}"/>
                </c:ext>
                <c:ext xmlns:c15="http://schemas.microsoft.com/office/drawing/2012/chart" uri="{CE6537A1-D6FC-4f65-9D91-7224C49458BB}"/>
              </c:extLst>
            </c:dLbl>
            <c:dLbl>
              <c:idx val="2"/>
              <c:layout>
                <c:manualLayout>
                  <c:x val="1.9845644983461964E-2"/>
                  <c:y val="3.96039603960396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0B6-4D7B-9953-0DBCED55C8ED}"/>
                </c:ext>
                <c:ext xmlns:c15="http://schemas.microsoft.com/office/drawing/2012/chart" uri="{CE6537A1-D6FC-4f65-9D91-7224C49458BB}"/>
              </c:extLst>
            </c:dLbl>
            <c:dLbl>
              <c:idx val="3"/>
              <c:layout>
                <c:manualLayout>
                  <c:x val="8.8202866593164279E-3"/>
                  <c:y val="3.300330033003304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0B6-4D7B-9953-0DBCED55C8ED}"/>
                </c:ext>
                <c:ext xmlns:c15="http://schemas.microsoft.com/office/drawing/2012/chart" uri="{CE6537A1-D6FC-4f65-9D91-7224C49458BB}"/>
              </c:extLst>
            </c:dLbl>
            <c:dLbl>
              <c:idx val="5"/>
              <c:layout>
                <c:manualLayout>
                  <c:x val="1.7640573318632856E-2"/>
                  <c:y val="3.300330033003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0B6-4D7B-9953-0DBCED55C8ED}"/>
                </c:ext>
                <c:ext xmlns:c15="http://schemas.microsoft.com/office/drawing/2012/chart" uri="{CE6537A1-D6FC-4f65-9D91-7224C49458BB}"/>
              </c:extLst>
            </c:dLbl>
            <c:dLbl>
              <c:idx val="6"/>
              <c:layout>
                <c:manualLayout>
                  <c:x val="1.3230429988974642E-2"/>
                  <c:y val="2.64026402640264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0B6-4D7B-9953-0DBCED55C8ED}"/>
                </c:ext>
                <c:ext xmlns:c15="http://schemas.microsoft.com/office/drawing/2012/chart" uri="{CE6537A1-D6FC-4f65-9D91-7224C49458BB}"/>
              </c:extLst>
            </c:dLbl>
            <c:dLbl>
              <c:idx val="7"/>
              <c:layout>
                <c:manualLayout>
                  <c:x val="1.5435501653803748E-2"/>
                  <c:y val="3.300330033003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0B6-4D7B-9953-0DBCED55C8ED}"/>
                </c:ext>
                <c:ext xmlns:c15="http://schemas.microsoft.com/office/drawing/2012/chart" uri="{CE6537A1-D6FC-4f65-9D91-7224C49458BB}"/>
              </c:extLst>
            </c:dLbl>
            <c:dLbl>
              <c:idx val="8"/>
              <c:layout>
                <c:manualLayout>
                  <c:x val="1.9845644983461964E-2"/>
                  <c:y val="3.300330033003308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0B6-4D7B-9953-0DBCED55C8ED}"/>
                </c:ext>
                <c:ext xmlns:c15="http://schemas.microsoft.com/office/drawing/2012/chart" uri="{CE6537A1-D6FC-4f65-9D91-7224C49458BB}"/>
              </c:extLst>
            </c:dLbl>
            <c:dLbl>
              <c:idx val="9"/>
              <c:layout>
                <c:manualLayout>
                  <c:x val="1.984564498346188E-2"/>
                  <c:y val="3.080308030803080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0B6-4D7B-9953-0DBCED55C8ED}"/>
                </c:ext>
                <c:ext xmlns:c15="http://schemas.microsoft.com/office/drawing/2012/chart" uri="{CE6537A1-D6FC-4f65-9D91-7224C49458BB}"/>
              </c:extLst>
            </c:dLbl>
            <c:dLbl>
              <c:idx val="10"/>
              <c:layout>
                <c:manualLayout>
                  <c:x val="1.9845644983461964E-2"/>
                  <c:y val="3.080308030803096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0B6-4D7B-9953-0DBCED55C8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Arkusz6!$C$3:$C$13</c:f>
              <c:numCache>
                <c:formatCode>0%</c:formatCode>
                <c:ptCount val="11"/>
                <c:pt idx="0">
                  <c:v>3.1339031339031341E-2</c:v>
                </c:pt>
                <c:pt idx="1">
                  <c:v>4.0214477211796246E-2</c:v>
                </c:pt>
                <c:pt idx="2">
                  <c:v>4.843304843304843E-2</c:v>
                </c:pt>
                <c:pt idx="3">
                  <c:v>4.8257372654155493E-2</c:v>
                </c:pt>
                <c:pt idx="5">
                  <c:v>5.4131054131054131E-2</c:v>
                </c:pt>
                <c:pt idx="6">
                  <c:v>5.0938337801608578E-2</c:v>
                </c:pt>
                <c:pt idx="7">
                  <c:v>4.2735042735042736E-2</c:v>
                </c:pt>
                <c:pt idx="8">
                  <c:v>4.2895442359249331E-2</c:v>
                </c:pt>
                <c:pt idx="9">
                  <c:v>3.7037037037037035E-2</c:v>
                </c:pt>
                <c:pt idx="10">
                  <c:v>4.2895442359249331E-2</c:v>
                </c:pt>
              </c:numCache>
            </c:numRef>
          </c:val>
          <c:extLst xmlns:c16r2="http://schemas.microsoft.com/office/drawing/2015/06/chart">
            <c:ext xmlns:c16="http://schemas.microsoft.com/office/drawing/2014/chart" uri="{C3380CC4-5D6E-409C-BE32-E72D297353CC}">
              <c16:uniqueId val="{00000015-E0B6-4D7B-9953-0DBCED55C8ED}"/>
            </c:ext>
          </c:extLst>
        </c:ser>
        <c:ser>
          <c:idx val="2"/>
          <c:order val="2"/>
          <c:tx>
            <c:strRef>
              <c:f>Arkusz6!$D$2</c:f>
              <c:strCache>
                <c:ptCount val="1"/>
                <c:pt idx="0">
                  <c:v>Średnia ocena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Arkusz6!$D$3:$D$13</c:f>
              <c:numCache>
                <c:formatCode>0%</c:formatCode>
                <c:ptCount val="11"/>
                <c:pt idx="0">
                  <c:v>0.37606837606837606</c:v>
                </c:pt>
                <c:pt idx="1">
                  <c:v>0.27345844504021449</c:v>
                </c:pt>
                <c:pt idx="2">
                  <c:v>0.37321937321937321</c:v>
                </c:pt>
                <c:pt idx="3">
                  <c:v>0.26005361930294907</c:v>
                </c:pt>
                <c:pt idx="5">
                  <c:v>0.37037037037037041</c:v>
                </c:pt>
                <c:pt idx="6">
                  <c:v>0.29222520107238603</c:v>
                </c:pt>
                <c:pt idx="7">
                  <c:v>0.36467236467236469</c:v>
                </c:pt>
                <c:pt idx="8">
                  <c:v>0.29490616621983912</c:v>
                </c:pt>
                <c:pt idx="9">
                  <c:v>0.35612535612535612</c:v>
                </c:pt>
                <c:pt idx="10">
                  <c:v>0.28150134048257375</c:v>
                </c:pt>
              </c:numCache>
            </c:numRef>
          </c:val>
          <c:extLst xmlns:c16r2="http://schemas.microsoft.com/office/drawing/2015/06/chart">
            <c:ext xmlns:c16="http://schemas.microsoft.com/office/drawing/2014/chart" uri="{C3380CC4-5D6E-409C-BE32-E72D297353CC}">
              <c16:uniqueId val="{00000016-E0B6-4D7B-9953-0DBCED55C8ED}"/>
            </c:ext>
          </c:extLst>
        </c:ser>
        <c:ser>
          <c:idx val="3"/>
          <c:order val="3"/>
          <c:tx>
            <c:strRef>
              <c:f>Arkusz6!$E$2</c:f>
              <c:strCache>
                <c:ptCount val="1"/>
                <c:pt idx="0">
                  <c:v>Wysoka ocena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Arkusz6!$E$3:$E$13</c:f>
              <c:numCache>
                <c:formatCode>0%</c:formatCode>
                <c:ptCount val="11"/>
                <c:pt idx="0">
                  <c:v>0.37891737891737892</c:v>
                </c:pt>
                <c:pt idx="1">
                  <c:v>0.41554959785522788</c:v>
                </c:pt>
                <c:pt idx="2">
                  <c:v>0.36752136752136755</c:v>
                </c:pt>
                <c:pt idx="3">
                  <c:v>0.42359249329758714</c:v>
                </c:pt>
                <c:pt idx="5">
                  <c:v>0.33903133903133909</c:v>
                </c:pt>
                <c:pt idx="6">
                  <c:v>0.36461126005361932</c:v>
                </c:pt>
                <c:pt idx="7">
                  <c:v>0.32478632478632474</c:v>
                </c:pt>
                <c:pt idx="8">
                  <c:v>0.33780160857908847</c:v>
                </c:pt>
                <c:pt idx="9">
                  <c:v>0.29629629629629628</c:v>
                </c:pt>
                <c:pt idx="10">
                  <c:v>0.30831099195710454</c:v>
                </c:pt>
              </c:numCache>
            </c:numRef>
          </c:val>
          <c:extLst xmlns:c16r2="http://schemas.microsoft.com/office/drawing/2015/06/chart">
            <c:ext xmlns:c16="http://schemas.microsoft.com/office/drawing/2014/chart" uri="{C3380CC4-5D6E-409C-BE32-E72D297353CC}">
              <c16:uniqueId val="{00000017-E0B6-4D7B-9953-0DBCED55C8ED}"/>
            </c:ext>
          </c:extLst>
        </c:ser>
        <c:ser>
          <c:idx val="4"/>
          <c:order val="4"/>
          <c:tx>
            <c:strRef>
              <c:f>Arkusz6!$F$2</c:f>
              <c:strCache>
                <c:ptCount val="1"/>
                <c:pt idx="0">
                  <c:v>Bardzo wysoka ocena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Arkusz6!$F$3:$F$13</c:f>
              <c:numCache>
                <c:formatCode>0%</c:formatCode>
                <c:ptCount val="11"/>
                <c:pt idx="0">
                  <c:v>7.9772079772079771E-2</c:v>
                </c:pt>
                <c:pt idx="1">
                  <c:v>0.15281501340482573</c:v>
                </c:pt>
                <c:pt idx="2">
                  <c:v>7.1225071225071226E-2</c:v>
                </c:pt>
                <c:pt idx="3">
                  <c:v>0.13941018766756033</c:v>
                </c:pt>
                <c:pt idx="5">
                  <c:v>6.5527065527065526E-2</c:v>
                </c:pt>
                <c:pt idx="6">
                  <c:v>0.13136729222520108</c:v>
                </c:pt>
                <c:pt idx="7">
                  <c:v>5.6980056980056981E-2</c:v>
                </c:pt>
                <c:pt idx="8">
                  <c:v>0.12600536193029491</c:v>
                </c:pt>
                <c:pt idx="9">
                  <c:v>5.128205128205128E-2</c:v>
                </c:pt>
                <c:pt idx="10">
                  <c:v>0.1126005361930295</c:v>
                </c:pt>
              </c:numCache>
            </c:numRef>
          </c:val>
          <c:extLst xmlns:c16r2="http://schemas.microsoft.com/office/drawing/2015/06/chart">
            <c:ext xmlns:c16="http://schemas.microsoft.com/office/drawing/2014/chart" uri="{C3380CC4-5D6E-409C-BE32-E72D297353CC}">
              <c16:uniqueId val="{00000018-E0B6-4D7B-9953-0DBCED55C8ED}"/>
            </c:ext>
          </c:extLst>
        </c:ser>
        <c:ser>
          <c:idx val="5"/>
          <c:order val="5"/>
          <c:tx>
            <c:strRef>
              <c:f>Arkusz6!$G$2</c:f>
              <c:strCache>
                <c:ptCount val="1"/>
                <c:pt idx="0">
                  <c:v>Nie wiem| Trudno powiedzieć| Nie dotyczy</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Arkusz6!$A$3:$A$13</c:f>
              <c:strCache>
                <c:ptCount val="11"/>
                <c:pt idx="0">
                  <c:v>Zrozumiałość pojęć związanych z zasadą zrównoważonego rozwoju</c:v>
                </c:pt>
                <c:pt idx="1">
                  <c:v>Zrozumiałość pojęć związanych z zasadami równości szans, niedyskryminacji i równouprawnienia płci</c:v>
                </c:pt>
                <c:pt idx="2">
                  <c:v>Zrozumiałość zasad jak wypełnić wniosek o dofinansowanie w części poświęconej zasadzie zrównoważonego rozwoju</c:v>
                </c:pt>
                <c:pt idx="3">
                  <c:v>Zrozumiałość zasad jak wypełnić wniosek o dofinansowanie w części poświęconej zasadom równości szans, niedyskryminacji i równouprawnienia płci</c:v>
                </c:pt>
                <c:pt idx="5">
                  <c:v>Przydatność dokumentów dot. zasady zrównoważonego rozwoju na etapie przygotowania wniosku o dofinansowanie</c:v>
                </c:pt>
                <c:pt idx="6">
                  <c:v>Przydatność dokumentów dot. zasad równości szans, niedyskryminacji i równouprawnienia płci na etapie przygotowania wniosku o dofinansowanie</c:v>
                </c:pt>
                <c:pt idx="7">
                  <c:v>Przydatność dokumentów dot. zasady zrównoważonego rozwoju na etapie realizacji projektu</c:v>
                </c:pt>
                <c:pt idx="8">
                  <c:v>Przydatność dokumentów dot. zasad równości szans, niedyskryminacji i równouprawnienia płci na etapie realizacji projektu</c:v>
                </c:pt>
                <c:pt idx="9">
                  <c:v>Przydatność dokumentów dot. zasady zrównoważonego rozwoju na etapie rozliczania projektu</c:v>
                </c:pt>
                <c:pt idx="10">
                  <c:v>Przydatność dokumentów dot. zasad równości szans, niedyskryminacji i równouprawnienia płci na etapie rozliczania projektu</c:v>
                </c:pt>
              </c:strCache>
            </c:strRef>
          </c:cat>
          <c:val>
            <c:numRef>
              <c:f>Arkusz6!$G$3:$G$13</c:f>
              <c:numCache>
                <c:formatCode>0%</c:formatCode>
                <c:ptCount val="11"/>
                <c:pt idx="0">
                  <c:v>0.12820512820512819</c:v>
                </c:pt>
                <c:pt idx="1">
                  <c:v>0.10991957104557643</c:v>
                </c:pt>
                <c:pt idx="2">
                  <c:v>0.13390313390313391</c:v>
                </c:pt>
                <c:pt idx="3">
                  <c:v>0.12600536193029491</c:v>
                </c:pt>
                <c:pt idx="5">
                  <c:v>0.16239316239316237</c:v>
                </c:pt>
                <c:pt idx="6">
                  <c:v>0.15281501340482573</c:v>
                </c:pt>
                <c:pt idx="7">
                  <c:v>0.20227920227920229</c:v>
                </c:pt>
                <c:pt idx="8">
                  <c:v>0.18766756032171583</c:v>
                </c:pt>
                <c:pt idx="9">
                  <c:v>0.25071225071225073</c:v>
                </c:pt>
                <c:pt idx="10">
                  <c:v>0.24932975871313673</c:v>
                </c:pt>
              </c:numCache>
            </c:numRef>
          </c:val>
          <c:extLst xmlns:c16r2="http://schemas.microsoft.com/office/drawing/2015/06/chart">
            <c:ext xmlns:c16="http://schemas.microsoft.com/office/drawing/2014/chart" uri="{C3380CC4-5D6E-409C-BE32-E72D297353CC}">
              <c16:uniqueId val="{00000019-E0B6-4D7B-9953-0DBCED55C8ED}"/>
            </c:ext>
          </c:extLst>
        </c:ser>
        <c:dLbls>
          <c:dLblPos val="ctr"/>
          <c:showLegendKey val="0"/>
          <c:showVal val="1"/>
          <c:showCatName val="0"/>
          <c:showSerName val="0"/>
          <c:showPercent val="0"/>
          <c:showBubbleSize val="0"/>
        </c:dLbls>
        <c:gapWidth val="150"/>
        <c:overlap val="100"/>
        <c:axId val="308157984"/>
        <c:axId val="308152496"/>
      </c:barChart>
      <c:catAx>
        <c:axId val="308157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52496"/>
        <c:crosses val="autoZero"/>
        <c:auto val="1"/>
        <c:lblAlgn val="ctr"/>
        <c:lblOffset val="100"/>
        <c:noMultiLvlLbl val="0"/>
      </c:catAx>
      <c:valAx>
        <c:axId val="308152496"/>
        <c:scaling>
          <c:orientation val="minMax"/>
          <c:max val="1"/>
        </c:scaling>
        <c:delete val="1"/>
        <c:axPos val="t"/>
        <c:numFmt formatCode="0%" sourceLinked="1"/>
        <c:majorTickMark val="none"/>
        <c:minorTickMark val="none"/>
        <c:tickLblPos val="nextTo"/>
        <c:crossAx val="3081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Arkusz8!$B$1</c:f>
              <c:strCache>
                <c:ptCount val="1"/>
                <c:pt idx="0">
                  <c:v>Zgadzam się</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Arkusz8!$A$2:$A$15</c:f>
              <c:strCache>
                <c:ptCount val="14"/>
                <c:pt idx="0">
                  <c:v>Konieczność uwzględnienia zasady zrównoważonego rozwoju sprawiła, że nasz projekt jest lepszy</c:v>
                </c:pt>
                <c:pt idx="1">
                  <c:v>Konieczność uwzględnienia zasad równouprawnienia płci, równości szans i niedyskryminacji sprawiła, że nasz projekt jest lepszy</c:v>
                </c:pt>
                <c:pt idx="3">
                  <c:v>Konieczność uwzględnienia zasady zrównoważonego rozwoju sprawiła, że nakłady pracy w projekcie są dużo większe</c:v>
                </c:pt>
                <c:pt idx="4">
                  <c:v>Konieczność uwzględnienia zasad równouprawnienia płci, równości szans i niedyskryminacji sprawiła, że nakłady pracy w projekcie są dużo większe</c:v>
                </c:pt>
                <c:pt idx="6">
                  <c:v>Konieczność uwzględnienia zasady zrównoważonego rozwoju spowodowała podwyższenie kosztów projektu</c:v>
                </c:pt>
                <c:pt idx="7">
                  <c:v>Konieczność uwzględnienia zasad równouprawnienia płci, równości szans i niedyskryminacji spowodowała podwyższenie kosztów projektu</c:v>
                </c:pt>
                <c:pt idx="9">
                  <c:v>Konieczność realizacji projektu w zgodzie z zasadą zrównoważonego rozwoju stanowi utrudnienie realizacyjne</c:v>
                </c:pt>
                <c:pt idx="10">
                  <c:v>Konieczność realizacji projektu w zgodzie z zasadą równouprawnienia płci, równości szans i niedyskryminacji stanowi utrudnienie realizacyjne</c:v>
                </c:pt>
                <c:pt idx="12">
                  <c:v>W takim projekcie jak nasz stosowanie zasady zrównoważonego rozwoju nie jest potrzebne</c:v>
                </c:pt>
                <c:pt idx="13">
                  <c:v>W takim projekcie jak nasz stosowanie zasad równouprawnienia płci, równości szans i niedyskryminacji nie jest potrzebne</c:v>
                </c:pt>
              </c:strCache>
            </c:strRef>
          </c:cat>
          <c:val>
            <c:numRef>
              <c:f>Arkusz8!$B$2:$B$15</c:f>
              <c:numCache>
                <c:formatCode>0%</c:formatCode>
                <c:ptCount val="14"/>
                <c:pt idx="0">
                  <c:v>0.16239316239316237</c:v>
                </c:pt>
                <c:pt idx="1">
                  <c:v>0.18766756032171583</c:v>
                </c:pt>
                <c:pt idx="3">
                  <c:v>4.843304843304843E-2</c:v>
                </c:pt>
                <c:pt idx="4">
                  <c:v>4.0214477211796246E-2</c:v>
                </c:pt>
                <c:pt idx="6">
                  <c:v>3.7037037037037035E-2</c:v>
                </c:pt>
                <c:pt idx="7">
                  <c:v>1.876675603217158E-2</c:v>
                </c:pt>
                <c:pt idx="9">
                  <c:v>1.9943019943019943E-2</c:v>
                </c:pt>
                <c:pt idx="10">
                  <c:v>1.6085790884718499E-2</c:v>
                </c:pt>
                <c:pt idx="12">
                  <c:v>6.2678062678062682E-2</c:v>
                </c:pt>
                <c:pt idx="13">
                  <c:v>0.10723860589812333</c:v>
                </c:pt>
              </c:numCache>
            </c:numRef>
          </c:val>
          <c:extLst xmlns:c16r2="http://schemas.microsoft.com/office/drawing/2015/06/chart">
            <c:ext xmlns:c16="http://schemas.microsoft.com/office/drawing/2014/chart" uri="{C3380CC4-5D6E-409C-BE32-E72D297353CC}">
              <c16:uniqueId val="{00000000-9C15-41F7-AD33-DAA55B16340F}"/>
            </c:ext>
          </c:extLst>
        </c:ser>
        <c:ser>
          <c:idx val="1"/>
          <c:order val="1"/>
          <c:tx>
            <c:strRef>
              <c:f>Arkusz8!$C$1</c:f>
              <c:strCache>
                <c:ptCount val="1"/>
                <c:pt idx="0">
                  <c:v>Raczej się zgadzam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Arkusz8!$A$2:$A$15</c:f>
              <c:strCache>
                <c:ptCount val="14"/>
                <c:pt idx="0">
                  <c:v>Konieczność uwzględnienia zasady zrównoważonego rozwoju sprawiła, że nasz projekt jest lepszy</c:v>
                </c:pt>
                <c:pt idx="1">
                  <c:v>Konieczność uwzględnienia zasad równouprawnienia płci, równości szans i niedyskryminacji sprawiła, że nasz projekt jest lepszy</c:v>
                </c:pt>
                <c:pt idx="3">
                  <c:v>Konieczność uwzględnienia zasady zrównoważonego rozwoju sprawiła, że nakłady pracy w projekcie są dużo większe</c:v>
                </c:pt>
                <c:pt idx="4">
                  <c:v>Konieczność uwzględnienia zasad równouprawnienia płci, równości szans i niedyskryminacji sprawiła, że nakłady pracy w projekcie są dużo większe</c:v>
                </c:pt>
                <c:pt idx="6">
                  <c:v>Konieczność uwzględnienia zasady zrównoważonego rozwoju spowodowała podwyższenie kosztów projektu</c:v>
                </c:pt>
                <c:pt idx="7">
                  <c:v>Konieczność uwzględnienia zasad równouprawnienia płci, równości szans i niedyskryminacji spowodowała podwyższenie kosztów projektu</c:v>
                </c:pt>
                <c:pt idx="9">
                  <c:v>Konieczność realizacji projektu w zgodzie z zasadą zrównoważonego rozwoju stanowi utrudnienie realizacyjne</c:v>
                </c:pt>
                <c:pt idx="10">
                  <c:v>Konieczność realizacji projektu w zgodzie z zasadą równouprawnienia płci, równości szans i niedyskryminacji stanowi utrudnienie realizacyjne</c:v>
                </c:pt>
                <c:pt idx="12">
                  <c:v>W takim projekcie jak nasz stosowanie zasady zrównoważonego rozwoju nie jest potrzebne</c:v>
                </c:pt>
                <c:pt idx="13">
                  <c:v>W takim projekcie jak nasz stosowanie zasad równouprawnienia płci, równości szans i niedyskryminacji nie jest potrzebne</c:v>
                </c:pt>
              </c:strCache>
            </c:strRef>
          </c:cat>
          <c:val>
            <c:numRef>
              <c:f>Arkusz8!$C$2:$C$15</c:f>
              <c:numCache>
                <c:formatCode>0%</c:formatCode>
                <c:ptCount val="14"/>
                <c:pt idx="0">
                  <c:v>0.37037037037037041</c:v>
                </c:pt>
                <c:pt idx="1">
                  <c:v>0.28418230563002683</c:v>
                </c:pt>
                <c:pt idx="3">
                  <c:v>0.18803418803418803</c:v>
                </c:pt>
                <c:pt idx="4">
                  <c:v>0.13941018766756033</c:v>
                </c:pt>
                <c:pt idx="6">
                  <c:v>0.11965811965811966</c:v>
                </c:pt>
                <c:pt idx="7">
                  <c:v>0.10991957104557643</c:v>
                </c:pt>
                <c:pt idx="9">
                  <c:v>0.11396011396011396</c:v>
                </c:pt>
                <c:pt idx="10">
                  <c:v>0.1126005361930295</c:v>
                </c:pt>
                <c:pt idx="12">
                  <c:v>0.13105413105413105</c:v>
                </c:pt>
                <c:pt idx="13">
                  <c:v>0.15549597855227881</c:v>
                </c:pt>
              </c:numCache>
            </c:numRef>
          </c:val>
          <c:extLst xmlns:c16r2="http://schemas.microsoft.com/office/drawing/2015/06/chart">
            <c:ext xmlns:c16="http://schemas.microsoft.com/office/drawing/2014/chart" uri="{C3380CC4-5D6E-409C-BE32-E72D297353CC}">
              <c16:uniqueId val="{00000001-9C15-41F7-AD33-DAA55B16340F}"/>
            </c:ext>
          </c:extLst>
        </c:ser>
        <c:ser>
          <c:idx val="2"/>
          <c:order val="2"/>
          <c:tx>
            <c:strRef>
              <c:f>Arkusz8!$D$1</c:f>
              <c:strCache>
                <c:ptCount val="1"/>
                <c:pt idx="0">
                  <c:v>Raczej się NIE zgadzam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Arkusz8!$A$2:$A$15</c:f>
              <c:strCache>
                <c:ptCount val="14"/>
                <c:pt idx="0">
                  <c:v>Konieczność uwzględnienia zasady zrównoważonego rozwoju sprawiła, że nasz projekt jest lepszy</c:v>
                </c:pt>
                <c:pt idx="1">
                  <c:v>Konieczność uwzględnienia zasad równouprawnienia płci, równości szans i niedyskryminacji sprawiła, że nasz projekt jest lepszy</c:v>
                </c:pt>
                <c:pt idx="3">
                  <c:v>Konieczność uwzględnienia zasady zrównoważonego rozwoju sprawiła, że nakłady pracy w projekcie są dużo większe</c:v>
                </c:pt>
                <c:pt idx="4">
                  <c:v>Konieczność uwzględnienia zasad równouprawnienia płci, równości szans i niedyskryminacji sprawiła, że nakłady pracy w projekcie są dużo większe</c:v>
                </c:pt>
                <c:pt idx="6">
                  <c:v>Konieczność uwzględnienia zasady zrównoważonego rozwoju spowodowała podwyższenie kosztów projektu</c:v>
                </c:pt>
                <c:pt idx="7">
                  <c:v>Konieczność uwzględnienia zasad równouprawnienia płci, równości szans i niedyskryminacji spowodowała podwyższenie kosztów projektu</c:v>
                </c:pt>
                <c:pt idx="9">
                  <c:v>Konieczność realizacji projektu w zgodzie z zasadą zrównoważonego rozwoju stanowi utrudnienie realizacyjne</c:v>
                </c:pt>
                <c:pt idx="10">
                  <c:v>Konieczność realizacji projektu w zgodzie z zasadą równouprawnienia płci, równości szans i niedyskryminacji stanowi utrudnienie realizacyjne</c:v>
                </c:pt>
                <c:pt idx="12">
                  <c:v>W takim projekcie jak nasz stosowanie zasady zrównoważonego rozwoju nie jest potrzebne</c:v>
                </c:pt>
                <c:pt idx="13">
                  <c:v>W takim projekcie jak nasz stosowanie zasad równouprawnienia płci, równości szans i niedyskryminacji nie jest potrzebne</c:v>
                </c:pt>
              </c:strCache>
            </c:strRef>
          </c:cat>
          <c:val>
            <c:numRef>
              <c:f>Arkusz8!$D$2:$D$15</c:f>
              <c:numCache>
                <c:formatCode>0%</c:formatCode>
                <c:ptCount val="14"/>
                <c:pt idx="0">
                  <c:v>0.11680911680911681</c:v>
                </c:pt>
                <c:pt idx="1">
                  <c:v>0.13136729222520108</c:v>
                </c:pt>
                <c:pt idx="3">
                  <c:v>0.33618233618233617</c:v>
                </c:pt>
                <c:pt idx="4">
                  <c:v>0.34048257372654156</c:v>
                </c:pt>
                <c:pt idx="6">
                  <c:v>0.37606837606837606</c:v>
                </c:pt>
                <c:pt idx="7">
                  <c:v>0.33780160857908847</c:v>
                </c:pt>
                <c:pt idx="9">
                  <c:v>0.40740740740740738</c:v>
                </c:pt>
                <c:pt idx="10">
                  <c:v>0.32439678284182305</c:v>
                </c:pt>
                <c:pt idx="12">
                  <c:v>0.24216524216524216</c:v>
                </c:pt>
                <c:pt idx="13">
                  <c:v>0.20375335120643431</c:v>
                </c:pt>
              </c:numCache>
            </c:numRef>
          </c:val>
          <c:extLst xmlns:c16r2="http://schemas.microsoft.com/office/drawing/2015/06/chart">
            <c:ext xmlns:c16="http://schemas.microsoft.com/office/drawing/2014/chart" uri="{C3380CC4-5D6E-409C-BE32-E72D297353CC}">
              <c16:uniqueId val="{00000002-9C15-41F7-AD33-DAA55B16340F}"/>
            </c:ext>
          </c:extLst>
        </c:ser>
        <c:ser>
          <c:idx val="3"/>
          <c:order val="3"/>
          <c:tx>
            <c:strRef>
              <c:f>Arkusz8!$E$1</c:f>
              <c:strCache>
                <c:ptCount val="1"/>
                <c:pt idx="0">
                  <c:v>NIE zgadzam się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Arkusz8!$A$2:$A$15</c:f>
              <c:strCache>
                <c:ptCount val="14"/>
                <c:pt idx="0">
                  <c:v>Konieczność uwzględnienia zasady zrównoważonego rozwoju sprawiła, że nasz projekt jest lepszy</c:v>
                </c:pt>
                <c:pt idx="1">
                  <c:v>Konieczność uwzględnienia zasad równouprawnienia płci, równości szans i niedyskryminacji sprawiła, że nasz projekt jest lepszy</c:v>
                </c:pt>
                <c:pt idx="3">
                  <c:v>Konieczność uwzględnienia zasady zrównoważonego rozwoju sprawiła, że nakłady pracy w projekcie są dużo większe</c:v>
                </c:pt>
                <c:pt idx="4">
                  <c:v>Konieczność uwzględnienia zasad równouprawnienia płci, równości szans i niedyskryminacji sprawiła, że nakłady pracy w projekcie są dużo większe</c:v>
                </c:pt>
                <c:pt idx="6">
                  <c:v>Konieczność uwzględnienia zasady zrównoważonego rozwoju spowodowała podwyższenie kosztów projektu</c:v>
                </c:pt>
                <c:pt idx="7">
                  <c:v>Konieczność uwzględnienia zasad równouprawnienia płci, równości szans i niedyskryminacji spowodowała podwyższenie kosztów projektu</c:v>
                </c:pt>
                <c:pt idx="9">
                  <c:v>Konieczność realizacji projektu w zgodzie z zasadą zrównoważonego rozwoju stanowi utrudnienie realizacyjne</c:v>
                </c:pt>
                <c:pt idx="10">
                  <c:v>Konieczność realizacji projektu w zgodzie z zasadą równouprawnienia płci, równości szans i niedyskryminacji stanowi utrudnienie realizacyjne</c:v>
                </c:pt>
                <c:pt idx="12">
                  <c:v>W takim projekcie jak nasz stosowanie zasady zrównoważonego rozwoju nie jest potrzebne</c:v>
                </c:pt>
                <c:pt idx="13">
                  <c:v>W takim projekcie jak nasz stosowanie zasad równouprawnienia płci, równości szans i niedyskryminacji nie jest potrzebne</c:v>
                </c:pt>
              </c:strCache>
            </c:strRef>
          </c:cat>
          <c:val>
            <c:numRef>
              <c:f>Arkusz8!$E$2:$E$15</c:f>
              <c:numCache>
                <c:formatCode>0%</c:formatCode>
                <c:ptCount val="14"/>
                <c:pt idx="0">
                  <c:v>3.7037037037037035E-2</c:v>
                </c:pt>
                <c:pt idx="1">
                  <c:v>9.1152815013404831E-2</c:v>
                </c:pt>
                <c:pt idx="3">
                  <c:v>0.14814814814814814</c:v>
                </c:pt>
                <c:pt idx="4">
                  <c:v>0.21447721179624665</c:v>
                </c:pt>
                <c:pt idx="6">
                  <c:v>0.20512820512820512</c:v>
                </c:pt>
                <c:pt idx="7">
                  <c:v>0.29222520107238603</c:v>
                </c:pt>
                <c:pt idx="9">
                  <c:v>0.21082621082621084</c:v>
                </c:pt>
                <c:pt idx="10">
                  <c:v>0.2975871313672922</c:v>
                </c:pt>
                <c:pt idx="12">
                  <c:v>0.1965811965811966</c:v>
                </c:pt>
                <c:pt idx="13">
                  <c:v>0.2546916890080429</c:v>
                </c:pt>
              </c:numCache>
            </c:numRef>
          </c:val>
          <c:extLst xmlns:c16r2="http://schemas.microsoft.com/office/drawing/2015/06/chart">
            <c:ext xmlns:c16="http://schemas.microsoft.com/office/drawing/2014/chart" uri="{C3380CC4-5D6E-409C-BE32-E72D297353CC}">
              <c16:uniqueId val="{00000003-9C15-41F7-AD33-DAA55B16340F}"/>
            </c:ext>
          </c:extLst>
        </c:ser>
        <c:ser>
          <c:idx val="4"/>
          <c:order val="4"/>
          <c:tx>
            <c:strRef>
              <c:f>Arkusz8!$F$1</c:f>
              <c:strCache>
                <c:ptCount val="1"/>
                <c:pt idx="0">
                  <c:v>Trudno powiedzieć</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Arkusz8!$A$2:$A$15</c:f>
              <c:strCache>
                <c:ptCount val="14"/>
                <c:pt idx="0">
                  <c:v>Konieczność uwzględnienia zasady zrównoważonego rozwoju sprawiła, że nasz projekt jest lepszy</c:v>
                </c:pt>
                <c:pt idx="1">
                  <c:v>Konieczność uwzględnienia zasad równouprawnienia płci, równości szans i niedyskryminacji sprawiła, że nasz projekt jest lepszy</c:v>
                </c:pt>
                <c:pt idx="3">
                  <c:v>Konieczność uwzględnienia zasady zrównoważonego rozwoju sprawiła, że nakłady pracy w projekcie są dużo większe</c:v>
                </c:pt>
                <c:pt idx="4">
                  <c:v>Konieczność uwzględnienia zasad równouprawnienia płci, równości szans i niedyskryminacji sprawiła, że nakłady pracy w projekcie są dużo większe</c:v>
                </c:pt>
                <c:pt idx="6">
                  <c:v>Konieczność uwzględnienia zasady zrównoważonego rozwoju spowodowała podwyższenie kosztów projektu</c:v>
                </c:pt>
                <c:pt idx="7">
                  <c:v>Konieczność uwzględnienia zasad równouprawnienia płci, równości szans i niedyskryminacji spowodowała podwyższenie kosztów projektu</c:v>
                </c:pt>
                <c:pt idx="9">
                  <c:v>Konieczność realizacji projektu w zgodzie z zasadą zrównoważonego rozwoju stanowi utrudnienie realizacyjne</c:v>
                </c:pt>
                <c:pt idx="10">
                  <c:v>Konieczność realizacji projektu w zgodzie z zasadą równouprawnienia płci, równości szans i niedyskryminacji stanowi utrudnienie realizacyjne</c:v>
                </c:pt>
                <c:pt idx="12">
                  <c:v>W takim projekcie jak nasz stosowanie zasady zrównoważonego rozwoju nie jest potrzebne</c:v>
                </c:pt>
                <c:pt idx="13">
                  <c:v>W takim projekcie jak nasz stosowanie zasad równouprawnienia płci, równości szans i niedyskryminacji nie jest potrzebne</c:v>
                </c:pt>
              </c:strCache>
            </c:strRef>
          </c:cat>
          <c:val>
            <c:numRef>
              <c:f>Arkusz8!$F$2:$F$15</c:f>
              <c:numCache>
                <c:formatCode>0%</c:formatCode>
                <c:ptCount val="14"/>
                <c:pt idx="0">
                  <c:v>0.31339031339031337</c:v>
                </c:pt>
                <c:pt idx="1">
                  <c:v>0.30563002680965146</c:v>
                </c:pt>
                <c:pt idx="3">
                  <c:v>0.27920227920227919</c:v>
                </c:pt>
                <c:pt idx="4">
                  <c:v>0.26541554959785524</c:v>
                </c:pt>
                <c:pt idx="6">
                  <c:v>0.2621082621082621</c:v>
                </c:pt>
                <c:pt idx="7">
                  <c:v>0.24128686327077747</c:v>
                </c:pt>
                <c:pt idx="9">
                  <c:v>0.24786324786324787</c:v>
                </c:pt>
                <c:pt idx="10">
                  <c:v>0.24932975871313673</c:v>
                </c:pt>
                <c:pt idx="12">
                  <c:v>0.36752136752136755</c:v>
                </c:pt>
                <c:pt idx="13">
                  <c:v>0.27882037533512066</c:v>
                </c:pt>
              </c:numCache>
            </c:numRef>
          </c:val>
          <c:extLst xmlns:c16r2="http://schemas.microsoft.com/office/drawing/2015/06/chart">
            <c:ext xmlns:c16="http://schemas.microsoft.com/office/drawing/2014/chart" uri="{C3380CC4-5D6E-409C-BE32-E72D297353CC}">
              <c16:uniqueId val="{00000004-9C15-41F7-AD33-DAA55B16340F}"/>
            </c:ext>
          </c:extLst>
        </c:ser>
        <c:dLbls>
          <c:dLblPos val="ctr"/>
          <c:showLegendKey val="0"/>
          <c:showVal val="1"/>
          <c:showCatName val="0"/>
          <c:showSerName val="0"/>
          <c:showPercent val="0"/>
          <c:showBubbleSize val="0"/>
        </c:dLbls>
        <c:gapWidth val="150"/>
        <c:overlap val="100"/>
        <c:axId val="308154064"/>
        <c:axId val="308158376"/>
      </c:barChart>
      <c:catAx>
        <c:axId val="30815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308158376"/>
        <c:crosses val="autoZero"/>
        <c:auto val="1"/>
        <c:lblAlgn val="ctr"/>
        <c:lblOffset val="100"/>
        <c:noMultiLvlLbl val="0"/>
      </c:catAx>
      <c:valAx>
        <c:axId val="308158376"/>
        <c:scaling>
          <c:orientation val="minMax"/>
          <c:max val="1"/>
        </c:scaling>
        <c:delete val="1"/>
        <c:axPos val="t"/>
        <c:numFmt formatCode="0%" sourceLinked="1"/>
        <c:majorTickMark val="none"/>
        <c:minorTickMark val="none"/>
        <c:tickLblPos val="nextTo"/>
        <c:crossAx val="30815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0"/>
          <a:ea typeface="Lato" panose="020F0502020204030203" pitchFamily="34" charset="0"/>
          <a:cs typeface="Lato" panose="020F0502020204030203" pitchFamily="34" charset="0"/>
        </a:defRPr>
      </a:pPr>
      <a:endParaRPr lang="pl-PL"/>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6302604420846"/>
          <c:y val="6.3958969189557485E-2"/>
          <c:w val="0.80748445767195764"/>
          <c:h val="0.68551601190976208"/>
        </c:manualLayout>
      </c:layout>
      <c:lineChart>
        <c:grouping val="standard"/>
        <c:varyColors val="0"/>
        <c:ser>
          <c:idx val="0"/>
          <c:order val="0"/>
          <c:tx>
            <c:strRef>
              <c:f>wykresy!$B$2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wykresy!$B$3:$B$26</c:f>
              <c:numCache>
                <c:formatCode>0.00</c:formatCode>
                <c:ptCount val="24"/>
                <c:pt idx="0">
                  <c:v>57.4</c:v>
                </c:pt>
                <c:pt idx="1">
                  <c:v>56.3</c:v>
                </c:pt>
                <c:pt idx="2">
                  <c:v>52</c:v>
                </c:pt>
                <c:pt idx="3">
                  <c:v>51.9</c:v>
                </c:pt>
                <c:pt idx="4">
                  <c:v>54.2</c:v>
                </c:pt>
                <c:pt idx="5">
                  <c:v>53.9</c:v>
                </c:pt>
                <c:pt idx="6">
                  <c:v>54.5</c:v>
                </c:pt>
                <c:pt idx="7">
                  <c:v>57</c:v>
                </c:pt>
                <c:pt idx="8">
                  <c:v>59.4</c:v>
                </c:pt>
                <c:pt idx="9">
                  <c:v>60.5</c:v>
                </c:pt>
                <c:pt idx="10">
                  <c:v>58.9</c:v>
                </c:pt>
                <c:pt idx="11">
                  <c:v>58.6</c:v>
                </c:pt>
                <c:pt idx="12">
                  <c:v>60.4</c:v>
                </c:pt>
                <c:pt idx="13">
                  <c:v>61.6</c:v>
                </c:pt>
                <c:pt idx="14">
                  <c:v>63.2</c:v>
                </c:pt>
                <c:pt idx="15">
                  <c:v>64.099999999999994</c:v>
                </c:pt>
                <c:pt idx="16">
                  <c:v>64.8</c:v>
                </c:pt>
                <c:pt idx="17">
                  <c:v>67.5</c:v>
                </c:pt>
                <c:pt idx="18">
                  <c:v>68.919999999999987</c:v>
                </c:pt>
              </c:numCache>
            </c:numRef>
          </c:val>
          <c:smooth val="0"/>
          <c:extLst xmlns:c16r2="http://schemas.microsoft.com/office/drawing/2015/06/chart">
            <c:ext xmlns:c16="http://schemas.microsoft.com/office/drawing/2014/chart" uri="{C3380CC4-5D6E-409C-BE32-E72D297353CC}">
              <c16:uniqueId val="{00000000-72FD-4E53-8FE9-583F4B2A6A94}"/>
            </c:ext>
          </c:extLst>
        </c:ser>
        <c:ser>
          <c:idx val="1"/>
          <c:order val="1"/>
          <c:tx>
            <c:strRef>
              <c:f>wykresy!$C$2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wykresy!$C$3:$C$26</c:f>
              <c:numCache>
                <c:formatCode>General</c:formatCode>
                <c:ptCount val="24"/>
                <c:pt idx="18" formatCode="0.00">
                  <c:v>68.919999999999987</c:v>
                </c:pt>
                <c:pt idx="19" formatCode="0.00">
                  <c:v>69.713473684210527</c:v>
                </c:pt>
                <c:pt idx="20" formatCode="0.00">
                  <c:v>70.506947368421066</c:v>
                </c:pt>
                <c:pt idx="21" formatCode="0.00">
                  <c:v>71.300421052631606</c:v>
                </c:pt>
                <c:pt idx="22" formatCode="0.00">
                  <c:v>72.093894736842145</c:v>
                </c:pt>
                <c:pt idx="23" formatCode="0.00">
                  <c:v>72.887368421052457</c:v>
                </c:pt>
              </c:numCache>
            </c:numRef>
          </c:val>
          <c:smooth val="0"/>
          <c:extLst xmlns:c16r2="http://schemas.microsoft.com/office/drawing/2015/06/chart">
            <c:ext xmlns:c16="http://schemas.microsoft.com/office/drawing/2014/chart" uri="{C3380CC4-5D6E-409C-BE32-E72D297353CC}">
              <c16:uniqueId val="{00000001-72FD-4E53-8FE9-583F4B2A6A94}"/>
            </c:ext>
          </c:extLst>
        </c:ser>
        <c:ser>
          <c:idx val="2"/>
          <c:order val="2"/>
          <c:tx>
            <c:strRef>
              <c:f>wykresy!$D$2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wykresy!$D$3:$D$26</c:f>
              <c:numCache>
                <c:formatCode>General</c:formatCode>
                <c:ptCount val="24"/>
                <c:pt idx="10" formatCode="0.00">
                  <c:v>71</c:v>
                </c:pt>
                <c:pt idx="11" formatCode="0.00">
                  <c:v>71</c:v>
                </c:pt>
                <c:pt idx="12" formatCode="0.00">
                  <c:v>71</c:v>
                </c:pt>
                <c:pt idx="13" formatCode="0.00">
                  <c:v>71</c:v>
                </c:pt>
                <c:pt idx="14" formatCode="0.00">
                  <c:v>71</c:v>
                </c:pt>
                <c:pt idx="15" formatCode="0.00">
                  <c:v>71</c:v>
                </c:pt>
                <c:pt idx="16" formatCode="0.00">
                  <c:v>71</c:v>
                </c:pt>
                <c:pt idx="17" formatCode="0.00">
                  <c:v>71</c:v>
                </c:pt>
                <c:pt idx="18" formatCode="0.00">
                  <c:v>71</c:v>
                </c:pt>
                <c:pt idx="19" formatCode="0.00">
                  <c:v>71</c:v>
                </c:pt>
                <c:pt idx="20" formatCode="0.00">
                  <c:v>71</c:v>
                </c:pt>
                <c:pt idx="21" formatCode="0.00">
                  <c:v>71</c:v>
                </c:pt>
                <c:pt idx="22" formatCode="0.00">
                  <c:v>71</c:v>
                </c:pt>
                <c:pt idx="23" formatCode="0.00">
                  <c:v>71</c:v>
                </c:pt>
              </c:numCache>
            </c:numRef>
          </c:val>
          <c:smooth val="0"/>
          <c:extLst xmlns:c16r2="http://schemas.microsoft.com/office/drawing/2015/06/chart">
            <c:ext xmlns:c16="http://schemas.microsoft.com/office/drawing/2014/chart" uri="{C3380CC4-5D6E-409C-BE32-E72D297353CC}">
              <c16:uniqueId val="{00000002-72FD-4E53-8FE9-583F4B2A6A94}"/>
            </c:ext>
          </c:extLst>
        </c:ser>
        <c:dLbls>
          <c:showLegendKey val="0"/>
          <c:showVal val="0"/>
          <c:showCatName val="0"/>
          <c:showSerName val="0"/>
          <c:showPercent val="0"/>
          <c:showBubbleSize val="0"/>
        </c:dLbls>
        <c:smooth val="0"/>
        <c:axId val="308161904"/>
        <c:axId val="308162688"/>
      </c:lineChart>
      <c:catAx>
        <c:axId val="30816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2688"/>
        <c:crosses val="autoZero"/>
        <c:auto val="1"/>
        <c:lblAlgn val="ctr"/>
        <c:lblOffset val="100"/>
        <c:noMultiLvlLbl val="0"/>
      </c:catAx>
      <c:valAx>
        <c:axId val="30816268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a:t>
                </a:r>
              </a:p>
            </c:rich>
          </c:tx>
          <c:layout>
            <c:manualLayout>
              <c:xMode val="edge"/>
              <c:yMode val="edge"/>
              <c:x val="1.8332010582010585E-2"/>
              <c:y val="7.6331205175338437E-2"/>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1904"/>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TABLICA!$A$67</c:f>
              <c:strCache>
                <c:ptCount val="1"/>
                <c:pt idx="0">
                  <c:v>Zachodniopomorskie</c:v>
                </c:pt>
              </c:strCache>
            </c:strRef>
          </c:tx>
          <c:marker>
            <c:symbol val="none"/>
          </c:marker>
          <c:dLbls>
            <c:spPr>
              <a:noFill/>
              <a:ln w="25377">
                <a:noFill/>
              </a:ln>
            </c:spPr>
            <c:txPr>
              <a:bodyPr/>
              <a:lstStyle/>
              <a:p>
                <a:pPr>
                  <a:defRPr sz="799">
                    <a:solidFill>
                      <a:srgbClr val="7030A0"/>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TABLICA!$B$66:$G$66</c:f>
              <c:strCache>
                <c:ptCount val="6"/>
                <c:pt idx="0">
                  <c:v>2012</c:v>
                </c:pt>
                <c:pt idx="1">
                  <c:v>2013</c:v>
                </c:pt>
                <c:pt idx="2">
                  <c:v>2014</c:v>
                </c:pt>
                <c:pt idx="3">
                  <c:v>2015</c:v>
                </c:pt>
                <c:pt idx="4">
                  <c:v>2016</c:v>
                </c:pt>
                <c:pt idx="5">
                  <c:v>2017</c:v>
                </c:pt>
              </c:strCache>
            </c:strRef>
          </c:cat>
          <c:val>
            <c:numRef>
              <c:f>TABLICA!$B$67:$G$67</c:f>
              <c:numCache>
                <c:formatCode>#,##0.00</c:formatCode>
                <c:ptCount val="6"/>
                <c:pt idx="0">
                  <c:v>3.98</c:v>
                </c:pt>
                <c:pt idx="1">
                  <c:v>4.74</c:v>
                </c:pt>
                <c:pt idx="2">
                  <c:v>6.39</c:v>
                </c:pt>
                <c:pt idx="3">
                  <c:v>5.98</c:v>
                </c:pt>
                <c:pt idx="4">
                  <c:v>5.97</c:v>
                </c:pt>
                <c:pt idx="5">
                  <c:v>5.57</c:v>
                </c:pt>
              </c:numCache>
            </c:numRef>
          </c:val>
          <c:smooth val="0"/>
          <c:extLst xmlns:c16r2="http://schemas.microsoft.com/office/drawing/2015/06/chart">
            <c:ext xmlns:c16="http://schemas.microsoft.com/office/drawing/2014/chart" uri="{C3380CC4-5D6E-409C-BE32-E72D297353CC}">
              <c16:uniqueId val="{00000000-55DB-4002-9759-5A9B070ED312}"/>
            </c:ext>
          </c:extLst>
        </c:ser>
        <c:ser>
          <c:idx val="1"/>
          <c:order val="1"/>
          <c:tx>
            <c:strRef>
              <c:f>TABLICA!$A$68</c:f>
              <c:strCache>
                <c:ptCount val="1"/>
                <c:pt idx="0">
                  <c:v>POLSKA</c:v>
                </c:pt>
              </c:strCache>
            </c:strRef>
          </c:tx>
          <c:marker>
            <c:symbol val="none"/>
          </c:marker>
          <c:dLbls>
            <c:dLbl>
              <c:idx val="0"/>
              <c:layout>
                <c:manualLayout>
                  <c:x val="-4.6055555555555544E-2"/>
                  <c:y val="-8.2266783318751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DB-4002-9759-5A9B070ED312}"/>
                </c:ext>
                <c:ext xmlns:c15="http://schemas.microsoft.com/office/drawing/2012/chart" uri="{CE6537A1-D6FC-4f65-9D91-7224C49458BB}"/>
              </c:extLst>
            </c:dLbl>
            <c:spPr>
              <a:noFill/>
              <a:ln w="25377">
                <a:noFill/>
              </a:ln>
            </c:spPr>
            <c:txPr>
              <a:bodyPr/>
              <a:lstStyle/>
              <a:p>
                <a:pPr>
                  <a:defRPr sz="799"/>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TABLICA!$B$66:$G$66</c:f>
              <c:strCache>
                <c:ptCount val="6"/>
                <c:pt idx="0">
                  <c:v>2012</c:v>
                </c:pt>
                <c:pt idx="1">
                  <c:v>2013</c:v>
                </c:pt>
                <c:pt idx="2">
                  <c:v>2014</c:v>
                </c:pt>
                <c:pt idx="3">
                  <c:v>2015</c:v>
                </c:pt>
                <c:pt idx="4">
                  <c:v>2016</c:v>
                </c:pt>
                <c:pt idx="5">
                  <c:v>2017</c:v>
                </c:pt>
              </c:strCache>
            </c:strRef>
          </c:cat>
          <c:val>
            <c:numRef>
              <c:f>TABLICA!$B$68:$G$68</c:f>
              <c:numCache>
                <c:formatCode>#,##0.00</c:formatCode>
                <c:ptCount val="6"/>
                <c:pt idx="0">
                  <c:v>9.2200000000000006</c:v>
                </c:pt>
                <c:pt idx="1">
                  <c:v>8.65</c:v>
                </c:pt>
                <c:pt idx="2">
                  <c:v>8.7799999999999994</c:v>
                </c:pt>
                <c:pt idx="3">
                  <c:v>9.5</c:v>
                </c:pt>
                <c:pt idx="4">
                  <c:v>8.1199999999999992</c:v>
                </c:pt>
                <c:pt idx="5">
                  <c:v>7.08</c:v>
                </c:pt>
              </c:numCache>
            </c:numRef>
          </c:val>
          <c:smooth val="0"/>
          <c:extLst xmlns:c16r2="http://schemas.microsoft.com/office/drawing/2015/06/chart">
            <c:ext xmlns:c16="http://schemas.microsoft.com/office/drawing/2014/chart" uri="{C3380CC4-5D6E-409C-BE32-E72D297353CC}">
              <c16:uniqueId val="{00000002-55DB-4002-9759-5A9B070ED312}"/>
            </c:ext>
          </c:extLst>
        </c:ser>
        <c:dLbls>
          <c:showLegendKey val="0"/>
          <c:showVal val="0"/>
          <c:showCatName val="0"/>
          <c:showSerName val="0"/>
          <c:showPercent val="0"/>
          <c:showBubbleSize val="0"/>
        </c:dLbls>
        <c:smooth val="0"/>
        <c:axId val="361249968"/>
        <c:axId val="361245656"/>
      </c:lineChart>
      <c:catAx>
        <c:axId val="361249968"/>
        <c:scaling>
          <c:orientation val="minMax"/>
        </c:scaling>
        <c:delete val="0"/>
        <c:axPos val="b"/>
        <c:numFmt formatCode="General" sourceLinked="0"/>
        <c:majorTickMark val="out"/>
        <c:minorTickMark val="none"/>
        <c:tickLblPos val="nextTo"/>
        <c:crossAx val="361245656"/>
        <c:crosses val="autoZero"/>
        <c:auto val="1"/>
        <c:lblAlgn val="ctr"/>
        <c:lblOffset val="100"/>
        <c:noMultiLvlLbl val="0"/>
      </c:catAx>
      <c:valAx>
        <c:axId val="361245656"/>
        <c:scaling>
          <c:orientation val="minMax"/>
        </c:scaling>
        <c:delete val="0"/>
        <c:axPos val="l"/>
        <c:majorGridlines/>
        <c:numFmt formatCode="#,##0" sourceLinked="0"/>
        <c:majorTickMark val="out"/>
        <c:minorTickMark val="none"/>
        <c:tickLblPos val="nextTo"/>
        <c:crossAx val="361249968"/>
        <c:crosses val="autoZero"/>
        <c:crossBetween val="between"/>
        <c:majorUnit val="2"/>
      </c:valAx>
    </c:plotArea>
    <c:legend>
      <c:legendPos val="r"/>
      <c:overlay val="0"/>
    </c:legend>
    <c:plotVisOnly val="1"/>
    <c:dispBlanksAs val="gap"/>
    <c:showDLblsOverMax val="0"/>
  </c:chart>
  <c:txPr>
    <a:bodyPr/>
    <a:lstStyle/>
    <a:p>
      <a:pPr>
        <a:defRPr sz="899"/>
      </a:pPr>
      <a:endParaRPr lang="pl-PL"/>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6779100529101"/>
          <c:y val="6.3959197969055109E-2"/>
          <c:w val="0.80748445767195764"/>
          <c:h val="0.6854742418703198"/>
        </c:manualLayout>
      </c:layout>
      <c:lineChart>
        <c:grouping val="standard"/>
        <c:varyColors val="0"/>
        <c:ser>
          <c:idx val="0"/>
          <c:order val="0"/>
          <c:tx>
            <c:strRef>
              <c:f>wykresy!$E$2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wykresy!$E$3:$E$26</c:f>
              <c:numCache>
                <c:formatCode>General</c:formatCode>
                <c:ptCount val="24"/>
                <c:pt idx="2" formatCode="0.00">
                  <c:v>2.5999999999999999E-3</c:v>
                </c:pt>
                <c:pt idx="3" formatCode="0.00">
                  <c:v>1.7000000000000001E-3</c:v>
                </c:pt>
                <c:pt idx="4" formatCode="0.00">
                  <c:v>1.7000000000000001E-3</c:v>
                </c:pt>
                <c:pt idx="5" formatCode="0.00">
                  <c:v>1.7000000000000001E-3</c:v>
                </c:pt>
                <c:pt idx="6" formatCode="0.00">
                  <c:v>1.9E-3</c:v>
                </c:pt>
                <c:pt idx="7" formatCode="0.00">
                  <c:v>2.3999999999999998E-3</c:v>
                </c:pt>
                <c:pt idx="8" formatCode="0.00">
                  <c:v>2.3999999999999998E-3</c:v>
                </c:pt>
                <c:pt idx="9" formatCode="0.00">
                  <c:v>2.2000000000000001E-3</c:v>
                </c:pt>
                <c:pt idx="10" formatCode="0.00">
                  <c:v>3.0999999999999999E-3</c:v>
                </c:pt>
                <c:pt idx="11" formatCode="0.00">
                  <c:v>3.4000000000000002E-3</c:v>
                </c:pt>
                <c:pt idx="12" formatCode="0.00">
                  <c:v>3.7000000000000002E-3</c:v>
                </c:pt>
                <c:pt idx="13" formatCode="0.00">
                  <c:v>3.0000000000000001E-3</c:v>
                </c:pt>
                <c:pt idx="14" formatCode="0.00">
                  <c:v>2.8000000000000004E-3</c:v>
                </c:pt>
                <c:pt idx="15" formatCode="0.00">
                  <c:v>3.3E-3</c:v>
                </c:pt>
                <c:pt idx="16" formatCode="0.00">
                  <c:v>2.7000000000000001E-3</c:v>
                </c:pt>
                <c:pt idx="17" formatCode="0.00">
                  <c:v>4.4706019009301268E-3</c:v>
                </c:pt>
                <c:pt idx="18" formatCode="0.00">
                  <c:v>4.4706019009301268E-3</c:v>
                </c:pt>
              </c:numCache>
            </c:numRef>
          </c:val>
          <c:smooth val="0"/>
          <c:extLst xmlns:c16r2="http://schemas.microsoft.com/office/drawing/2015/06/chart">
            <c:ext xmlns:c16="http://schemas.microsoft.com/office/drawing/2014/chart" uri="{C3380CC4-5D6E-409C-BE32-E72D297353CC}">
              <c16:uniqueId val="{00000000-822A-40C9-BC11-FA638C79E638}"/>
            </c:ext>
          </c:extLst>
        </c:ser>
        <c:ser>
          <c:idx val="1"/>
          <c:order val="1"/>
          <c:tx>
            <c:strRef>
              <c:f>wykresy!$F$2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wykresy!$F$3:$F$26</c:f>
              <c:numCache>
                <c:formatCode>General</c:formatCode>
                <c:ptCount val="24"/>
                <c:pt idx="18" formatCode="0.00">
                  <c:v>4.4706019009301268E-3</c:v>
                </c:pt>
                <c:pt idx="19" formatCode="0.00">
                  <c:v>4.6116779512093697E-3</c:v>
                </c:pt>
                <c:pt idx="20" formatCode="0.00">
                  <c:v>4.7527540014886682E-3</c:v>
                </c:pt>
                <c:pt idx="21" formatCode="0.00">
                  <c:v>4.8938300517679667E-3</c:v>
                </c:pt>
                <c:pt idx="22" formatCode="0.00">
                  <c:v>5.0349061020472652E-3</c:v>
                </c:pt>
                <c:pt idx="23" formatCode="0.00">
                  <c:v>5.1759821523265637E-3</c:v>
                </c:pt>
              </c:numCache>
            </c:numRef>
          </c:val>
          <c:smooth val="0"/>
          <c:extLst xmlns:c16r2="http://schemas.microsoft.com/office/drawing/2015/06/chart">
            <c:ext xmlns:c16="http://schemas.microsoft.com/office/drawing/2014/chart" uri="{C3380CC4-5D6E-409C-BE32-E72D297353CC}">
              <c16:uniqueId val="{00000001-822A-40C9-BC11-FA638C79E638}"/>
            </c:ext>
          </c:extLst>
        </c:ser>
        <c:ser>
          <c:idx val="2"/>
          <c:order val="2"/>
          <c:tx>
            <c:strRef>
              <c:f>wykresy!$G$2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wykresy!$G$3:$G$26</c:f>
              <c:numCache>
                <c:formatCode>General</c:formatCode>
                <c:ptCount val="24"/>
                <c:pt idx="10" formatCode="0.00">
                  <c:v>1.7000000000000001E-2</c:v>
                </c:pt>
                <c:pt idx="11" formatCode="0.00">
                  <c:v>1.7000000000000001E-2</c:v>
                </c:pt>
                <c:pt idx="12" formatCode="0.00">
                  <c:v>1.7000000000000001E-2</c:v>
                </c:pt>
                <c:pt idx="13" formatCode="0.00">
                  <c:v>1.7000000000000001E-2</c:v>
                </c:pt>
                <c:pt idx="14" formatCode="0.00">
                  <c:v>1.7000000000000001E-2</c:v>
                </c:pt>
                <c:pt idx="15" formatCode="0.00">
                  <c:v>1.7000000000000001E-2</c:v>
                </c:pt>
                <c:pt idx="16" formatCode="0.00">
                  <c:v>1.7000000000000001E-2</c:v>
                </c:pt>
                <c:pt idx="17" formatCode="0.00">
                  <c:v>1.7000000000000001E-2</c:v>
                </c:pt>
                <c:pt idx="18" formatCode="0.00">
                  <c:v>1.7000000000000001E-2</c:v>
                </c:pt>
                <c:pt idx="19" formatCode="0.00">
                  <c:v>1.7000000000000001E-2</c:v>
                </c:pt>
                <c:pt idx="20" formatCode="0.00">
                  <c:v>1.7000000000000001E-2</c:v>
                </c:pt>
                <c:pt idx="21" formatCode="0.00">
                  <c:v>1.7000000000000001E-2</c:v>
                </c:pt>
                <c:pt idx="22" formatCode="0.00">
                  <c:v>1.7000000000000001E-2</c:v>
                </c:pt>
                <c:pt idx="23" formatCode="0.00">
                  <c:v>1.7000000000000001E-2</c:v>
                </c:pt>
              </c:numCache>
            </c:numRef>
          </c:val>
          <c:smooth val="0"/>
          <c:extLst xmlns:c16r2="http://schemas.microsoft.com/office/drawing/2015/06/chart">
            <c:ext xmlns:c16="http://schemas.microsoft.com/office/drawing/2014/chart" uri="{C3380CC4-5D6E-409C-BE32-E72D297353CC}">
              <c16:uniqueId val="{00000002-822A-40C9-BC11-FA638C79E638}"/>
            </c:ext>
          </c:extLst>
        </c:ser>
        <c:dLbls>
          <c:showLegendKey val="0"/>
          <c:showVal val="0"/>
          <c:showCatName val="0"/>
          <c:showSerName val="0"/>
          <c:showPercent val="0"/>
          <c:showBubbleSize val="0"/>
        </c:dLbls>
        <c:smooth val="0"/>
        <c:axId val="308161512"/>
        <c:axId val="308163472"/>
      </c:lineChart>
      <c:catAx>
        <c:axId val="30816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3472"/>
        <c:crosses val="autoZero"/>
        <c:auto val="1"/>
        <c:lblAlgn val="ctr"/>
        <c:lblOffset val="100"/>
        <c:noMultiLvlLbl val="0"/>
      </c:catAx>
      <c:valAx>
        <c:axId val="30816347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1512"/>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6779100529101"/>
          <c:y val="6.3959197969055109E-2"/>
          <c:w val="0.80748445767195764"/>
          <c:h val="0.69144289194411002"/>
        </c:manualLayout>
      </c:layout>
      <c:lineChart>
        <c:grouping val="standard"/>
        <c:varyColors val="0"/>
        <c:ser>
          <c:idx val="0"/>
          <c:order val="0"/>
          <c:tx>
            <c:strRef>
              <c:f>wykresy!$H$2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wykresy!$H$3:$H$26</c:f>
              <c:numCache>
                <c:formatCode>General</c:formatCode>
                <c:ptCount val="24"/>
                <c:pt idx="10" formatCode="0.00">
                  <c:v>16.497343094117188</c:v>
                </c:pt>
                <c:pt idx="11" formatCode="0.00">
                  <c:v>15.798158151041328</c:v>
                </c:pt>
                <c:pt idx="12" formatCode="0.00">
                  <c:v>14.999712562694802</c:v>
                </c:pt>
                <c:pt idx="13" formatCode="0.00">
                  <c:v>14.914965819681539</c:v>
                </c:pt>
                <c:pt idx="14" formatCode="0.00">
                  <c:v>14.943553453307308</c:v>
                </c:pt>
                <c:pt idx="15" formatCode="0.00">
                  <c:v>15.653849788914577</c:v>
                </c:pt>
                <c:pt idx="16" formatCode="0.00">
                  <c:v>16.45995699815559</c:v>
                </c:pt>
                <c:pt idx="17" formatCode="0.00">
                  <c:v>17.126760527961306</c:v>
                </c:pt>
                <c:pt idx="18" formatCode="0.00">
                  <c:v>17.905646963374085</c:v>
                </c:pt>
              </c:numCache>
            </c:numRef>
          </c:val>
          <c:smooth val="0"/>
          <c:extLst xmlns:c16r2="http://schemas.microsoft.com/office/drawing/2015/06/chart">
            <c:ext xmlns:c16="http://schemas.microsoft.com/office/drawing/2014/chart" uri="{C3380CC4-5D6E-409C-BE32-E72D297353CC}">
              <c16:uniqueId val="{00000000-507D-4B9E-A3BC-8CBFC5619643}"/>
            </c:ext>
          </c:extLst>
        </c:ser>
        <c:ser>
          <c:idx val="1"/>
          <c:order val="1"/>
          <c:tx>
            <c:strRef>
              <c:f>wykresy!$I$2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wykresy!$I$3:$I$26</c:f>
              <c:numCache>
                <c:formatCode>General</c:formatCode>
                <c:ptCount val="24"/>
                <c:pt idx="18" formatCode="0.00">
                  <c:v>17.905646963374085</c:v>
                </c:pt>
                <c:pt idx="19" formatCode="0.00">
                  <c:v>18.126953554173113</c:v>
                </c:pt>
                <c:pt idx="20" formatCode="0.00">
                  <c:v>18.348260144972144</c:v>
                </c:pt>
                <c:pt idx="21" formatCode="0.00">
                  <c:v>18.569566735771176</c:v>
                </c:pt>
                <c:pt idx="22" formatCode="0.00">
                  <c:v>18.790873326570207</c:v>
                </c:pt>
                <c:pt idx="23" formatCode="0.00">
                  <c:v>19.012179917369238</c:v>
                </c:pt>
              </c:numCache>
            </c:numRef>
          </c:val>
          <c:smooth val="0"/>
          <c:extLst xmlns:c16r2="http://schemas.microsoft.com/office/drawing/2015/06/chart">
            <c:ext xmlns:c16="http://schemas.microsoft.com/office/drawing/2014/chart" uri="{C3380CC4-5D6E-409C-BE32-E72D297353CC}">
              <c16:uniqueId val="{00000001-507D-4B9E-A3BC-8CBFC5619643}"/>
            </c:ext>
          </c:extLst>
        </c:ser>
        <c:ser>
          <c:idx val="2"/>
          <c:order val="2"/>
          <c:tx>
            <c:strRef>
              <c:f>wykresy!$J$2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wykresy!$J$3:$J$26</c:f>
              <c:numCache>
                <c:formatCode>General</c:formatCode>
                <c:ptCount val="24"/>
                <c:pt idx="15" formatCode="0.00">
                  <c:v>15.653849788914577</c:v>
                </c:pt>
                <c:pt idx="16" formatCode="0.00">
                  <c:v>15.653849788914577</c:v>
                </c:pt>
                <c:pt idx="17" formatCode="0.00">
                  <c:v>15.653849788914577</c:v>
                </c:pt>
                <c:pt idx="18" formatCode="0.00">
                  <c:v>15.653849788914577</c:v>
                </c:pt>
                <c:pt idx="19" formatCode="0.00">
                  <c:v>15.653849788914577</c:v>
                </c:pt>
                <c:pt idx="20" formatCode="0.00">
                  <c:v>15.653849788914577</c:v>
                </c:pt>
                <c:pt idx="21" formatCode="0.00">
                  <c:v>15.653849788914577</c:v>
                </c:pt>
                <c:pt idx="22" formatCode="0.00">
                  <c:v>15.653849788914577</c:v>
                </c:pt>
                <c:pt idx="23" formatCode="0.00">
                  <c:v>15.653849788914577</c:v>
                </c:pt>
              </c:numCache>
            </c:numRef>
          </c:val>
          <c:smooth val="0"/>
          <c:extLst xmlns:c16r2="http://schemas.microsoft.com/office/drawing/2015/06/chart">
            <c:ext xmlns:c16="http://schemas.microsoft.com/office/drawing/2014/chart" uri="{C3380CC4-5D6E-409C-BE32-E72D297353CC}">
              <c16:uniqueId val="{00000002-507D-4B9E-A3BC-8CBFC5619643}"/>
            </c:ext>
          </c:extLst>
        </c:ser>
        <c:dLbls>
          <c:showLegendKey val="0"/>
          <c:showVal val="0"/>
          <c:showCatName val="0"/>
          <c:showSerName val="0"/>
          <c:showPercent val="0"/>
          <c:showBubbleSize val="0"/>
        </c:dLbls>
        <c:smooth val="0"/>
        <c:axId val="308170136"/>
        <c:axId val="308170528"/>
      </c:lineChart>
      <c:catAx>
        <c:axId val="30817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70528"/>
        <c:crosses val="autoZero"/>
        <c:auto val="1"/>
        <c:lblAlgn val="ctr"/>
        <c:lblOffset val="100"/>
        <c:noMultiLvlLbl val="0"/>
      </c:catAx>
      <c:valAx>
        <c:axId val="30817052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pl-PL" b="1"/>
                  <a:t>Gg</a:t>
                </a:r>
                <a:r>
                  <a:rPr lang="pl-PL" b="1" baseline="0"/>
                  <a:t> CO</a:t>
                </a:r>
                <a:r>
                  <a:rPr lang="pl-PL" b="1" baseline="-25000"/>
                  <a:t>2</a:t>
                </a:r>
                <a:r>
                  <a:rPr lang="pl-PL" b="1" baseline="0"/>
                  <a:t>e</a:t>
                </a:r>
                <a:endParaRPr lang="en-US" b="1"/>
              </a:p>
            </c:rich>
          </c:tx>
          <c:layout>
            <c:manualLayout>
              <c:xMode val="edge"/>
              <c:yMode val="edge"/>
              <c:x val="1.8332010582010585E-2"/>
              <c:y val="7.6331205175338437E-2"/>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70136"/>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66567460317461"/>
          <c:y val="6.3959197969055109E-2"/>
          <c:w val="0.77388657407407413"/>
          <c:h val="0.70899905729939616"/>
        </c:manualLayout>
      </c:layout>
      <c:lineChart>
        <c:grouping val="standard"/>
        <c:varyColors val="0"/>
        <c:ser>
          <c:idx val="0"/>
          <c:order val="0"/>
          <c:tx>
            <c:strRef>
              <c:f>wykresy!$K$2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wykresy!$K$3:$K$26</c:f>
              <c:numCache>
                <c:formatCode>0.00</c:formatCode>
                <c:ptCount val="24"/>
                <c:pt idx="1">
                  <c:v>3464.6670361132719</c:v>
                </c:pt>
                <c:pt idx="2">
                  <c:v>3443.7942266156842</c:v>
                </c:pt>
                <c:pt idx="3">
                  <c:v>3273.7464668923712</c:v>
                </c:pt>
                <c:pt idx="4">
                  <c:v>3242.4636395139337</c:v>
                </c:pt>
                <c:pt idx="5">
                  <c:v>3317.4242360599751</c:v>
                </c:pt>
                <c:pt idx="6">
                  <c:v>3399.7453431722447</c:v>
                </c:pt>
                <c:pt idx="7">
                  <c:v>3384.0836012981522</c:v>
                </c:pt>
                <c:pt idx="8">
                  <c:v>3569.2920332637441</c:v>
                </c:pt>
                <c:pt idx="9">
                  <c:v>3319.3583983400972</c:v>
                </c:pt>
                <c:pt idx="10">
                  <c:v>3610.4676422988796</c:v>
                </c:pt>
                <c:pt idx="11">
                  <c:v>3862.1149096080399</c:v>
                </c:pt>
                <c:pt idx="12">
                  <c:v>3704.1353408011319</c:v>
                </c:pt>
                <c:pt idx="13">
                  <c:v>3689.7186334377025</c:v>
                </c:pt>
                <c:pt idx="14">
                  <c:v>3540.0753673612676</c:v>
                </c:pt>
                <c:pt idx="15">
                  <c:v>3540.8124159635504</c:v>
                </c:pt>
                <c:pt idx="16">
                  <c:v>3725.6846521132602</c:v>
                </c:pt>
                <c:pt idx="17">
                  <c:v>3446.7673720170073</c:v>
                </c:pt>
                <c:pt idx="18">
                  <c:v>3594.4434681606617</c:v>
                </c:pt>
              </c:numCache>
            </c:numRef>
          </c:val>
          <c:smooth val="0"/>
          <c:extLst xmlns:c16r2="http://schemas.microsoft.com/office/drawing/2015/06/chart">
            <c:ext xmlns:c16="http://schemas.microsoft.com/office/drawing/2014/chart" uri="{C3380CC4-5D6E-409C-BE32-E72D297353CC}">
              <c16:uniqueId val="{00000000-5583-4183-BE3E-95D7CAE2358F}"/>
            </c:ext>
          </c:extLst>
        </c:ser>
        <c:ser>
          <c:idx val="1"/>
          <c:order val="1"/>
          <c:tx>
            <c:strRef>
              <c:f>wykresy!$L$2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wykresy!$L$3:$L$26</c:f>
              <c:numCache>
                <c:formatCode>General</c:formatCode>
                <c:ptCount val="24"/>
                <c:pt idx="18" formatCode="0.00">
                  <c:v>3594.4434681606617</c:v>
                </c:pt>
                <c:pt idx="19" formatCode="0.00">
                  <c:v>3607.9509368735598</c:v>
                </c:pt>
                <c:pt idx="20" formatCode="0.00">
                  <c:v>3621.458405586458</c:v>
                </c:pt>
                <c:pt idx="21" formatCode="0.00">
                  <c:v>3634.9658742993561</c:v>
                </c:pt>
                <c:pt idx="22" formatCode="0.00">
                  <c:v>3648.4733430122578</c:v>
                </c:pt>
                <c:pt idx="23" formatCode="0.00">
                  <c:v>3661.9808117251559</c:v>
                </c:pt>
              </c:numCache>
            </c:numRef>
          </c:val>
          <c:smooth val="0"/>
          <c:extLst xmlns:c16r2="http://schemas.microsoft.com/office/drawing/2015/06/chart">
            <c:ext xmlns:c16="http://schemas.microsoft.com/office/drawing/2014/chart" uri="{C3380CC4-5D6E-409C-BE32-E72D297353CC}">
              <c16:uniqueId val="{00000001-5583-4183-BE3E-95D7CAE2358F}"/>
            </c:ext>
          </c:extLst>
        </c:ser>
        <c:ser>
          <c:idx val="2"/>
          <c:order val="2"/>
          <c:tx>
            <c:strRef>
              <c:f>wykresy!$M$2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wykresy!$M$3:$M$26</c:f>
              <c:numCache>
                <c:formatCode>General</c:formatCode>
                <c:ptCount val="24"/>
                <c:pt idx="10" formatCode="0.00">
                  <c:v>3312.5895299251206</c:v>
                </c:pt>
                <c:pt idx="11" formatCode="0.00">
                  <c:v>3312.5895299251206</c:v>
                </c:pt>
                <c:pt idx="12" formatCode="0.00">
                  <c:v>3312.5895299251206</c:v>
                </c:pt>
                <c:pt idx="13" formatCode="0.00">
                  <c:v>3312.5895299251206</c:v>
                </c:pt>
                <c:pt idx="14" formatCode="0.00">
                  <c:v>3312.5895299251206</c:v>
                </c:pt>
                <c:pt idx="15" formatCode="0.00">
                  <c:v>3312.5895299251206</c:v>
                </c:pt>
                <c:pt idx="16" formatCode="0.00">
                  <c:v>3312.5895299251206</c:v>
                </c:pt>
                <c:pt idx="17" formatCode="0.00">
                  <c:v>3312.5895299251206</c:v>
                </c:pt>
                <c:pt idx="18" formatCode="0.00">
                  <c:v>3312.5895299251206</c:v>
                </c:pt>
                <c:pt idx="19" formatCode="0.00">
                  <c:v>3312.5895299251206</c:v>
                </c:pt>
                <c:pt idx="20" formatCode="0.00">
                  <c:v>3312.5895299251206</c:v>
                </c:pt>
                <c:pt idx="21" formatCode="0.00">
                  <c:v>3312.5895299251206</c:v>
                </c:pt>
                <c:pt idx="22" formatCode="0.00">
                  <c:v>3312.5895299251206</c:v>
                </c:pt>
                <c:pt idx="23" formatCode="0.00">
                  <c:v>3312.5895299251206</c:v>
                </c:pt>
              </c:numCache>
            </c:numRef>
          </c:val>
          <c:smooth val="0"/>
          <c:extLst xmlns:c16r2="http://schemas.microsoft.com/office/drawing/2015/06/chart">
            <c:ext xmlns:c16="http://schemas.microsoft.com/office/drawing/2014/chart" uri="{C3380CC4-5D6E-409C-BE32-E72D297353CC}">
              <c16:uniqueId val="{00000002-5583-4183-BE3E-95D7CAE2358F}"/>
            </c:ext>
          </c:extLst>
        </c:ser>
        <c:dLbls>
          <c:showLegendKey val="0"/>
          <c:showVal val="0"/>
          <c:showCatName val="0"/>
          <c:showSerName val="0"/>
          <c:showPercent val="0"/>
          <c:showBubbleSize val="0"/>
        </c:dLbls>
        <c:smooth val="0"/>
        <c:axId val="308168960"/>
        <c:axId val="308167000"/>
      </c:lineChart>
      <c:catAx>
        <c:axId val="3081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7000"/>
        <c:crosses val="autoZero"/>
        <c:auto val="1"/>
        <c:lblAlgn val="ctr"/>
        <c:lblOffset val="100"/>
        <c:noMultiLvlLbl val="0"/>
      </c:catAx>
      <c:valAx>
        <c:axId val="308167000"/>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pl-PL" b="1"/>
                  <a:t>mld toe</a:t>
                </a:r>
                <a:endParaRPr lang="en-US" b="1"/>
              </a:p>
            </c:rich>
          </c:tx>
          <c:layout>
            <c:manualLayout>
              <c:xMode val="edge"/>
              <c:yMode val="edge"/>
              <c:x val="1.8332010582010585E-2"/>
              <c:y val="7.6331205175338437E-2"/>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8960"/>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6779100529101"/>
          <c:y val="6.3959197969055109E-2"/>
          <c:w val="0.80748445767195764"/>
          <c:h val="0.69714529723070029"/>
        </c:manualLayout>
      </c:layout>
      <c:lineChart>
        <c:grouping val="standard"/>
        <c:varyColors val="0"/>
        <c:ser>
          <c:idx val="0"/>
          <c:order val="0"/>
          <c:tx>
            <c:strRef>
              <c:f>wykresy!$Q$2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wykresy!$Q$3:$Q$26</c:f>
              <c:numCache>
                <c:formatCode>0.00</c:formatCode>
                <c:ptCount val="24"/>
                <c:pt idx="1">
                  <c:v>7.6</c:v>
                </c:pt>
                <c:pt idx="2">
                  <c:v>9.8000000000000007</c:v>
                </c:pt>
                <c:pt idx="3">
                  <c:v>9.4</c:v>
                </c:pt>
                <c:pt idx="4">
                  <c:v>8.6</c:v>
                </c:pt>
                <c:pt idx="5">
                  <c:v>8.6</c:v>
                </c:pt>
                <c:pt idx="6">
                  <c:v>9.6999999999999993</c:v>
                </c:pt>
                <c:pt idx="7">
                  <c:v>9.1999999999999993</c:v>
                </c:pt>
                <c:pt idx="8">
                  <c:v>8.6999999999999993</c:v>
                </c:pt>
                <c:pt idx="9">
                  <c:v>8.1999999999999993</c:v>
                </c:pt>
                <c:pt idx="10">
                  <c:v>9.1</c:v>
                </c:pt>
                <c:pt idx="11">
                  <c:v>10.1</c:v>
                </c:pt>
                <c:pt idx="12">
                  <c:v>8.6</c:v>
                </c:pt>
                <c:pt idx="13">
                  <c:v>8.9</c:v>
                </c:pt>
                <c:pt idx="14">
                  <c:v>9.6999999999999993</c:v>
                </c:pt>
                <c:pt idx="15">
                  <c:v>9.6999999999999993</c:v>
                </c:pt>
                <c:pt idx="16">
                  <c:v>10.199999999999999</c:v>
                </c:pt>
                <c:pt idx="17">
                  <c:v>10</c:v>
                </c:pt>
                <c:pt idx="18">
                  <c:v>9.8866666666666703</c:v>
                </c:pt>
              </c:numCache>
            </c:numRef>
          </c:val>
          <c:smooth val="0"/>
          <c:extLst xmlns:c16r2="http://schemas.microsoft.com/office/drawing/2015/06/chart">
            <c:ext xmlns:c16="http://schemas.microsoft.com/office/drawing/2014/chart" uri="{C3380CC4-5D6E-409C-BE32-E72D297353CC}">
              <c16:uniqueId val="{00000000-6072-4804-B710-54B6D4693391}"/>
            </c:ext>
          </c:extLst>
        </c:ser>
        <c:ser>
          <c:idx val="1"/>
          <c:order val="1"/>
          <c:tx>
            <c:strRef>
              <c:f>wykresy!$R$2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wykresy!$R$3:$R$26</c:f>
              <c:numCache>
                <c:formatCode>General</c:formatCode>
                <c:ptCount val="24"/>
                <c:pt idx="18" formatCode="0.00">
                  <c:v>9.8866666666666703</c:v>
                </c:pt>
                <c:pt idx="19" formatCode="0.00">
                  <c:v>9.9597041623666911</c:v>
                </c:pt>
                <c:pt idx="20" formatCode="0.00">
                  <c:v>10.03274165806674</c:v>
                </c:pt>
                <c:pt idx="21" formatCode="0.00">
                  <c:v>10.105779153766761</c:v>
                </c:pt>
                <c:pt idx="22" formatCode="0.00">
                  <c:v>10.17881664946681</c:v>
                </c:pt>
                <c:pt idx="23" formatCode="0.00">
                  <c:v>10.251854145166831</c:v>
                </c:pt>
              </c:numCache>
            </c:numRef>
          </c:val>
          <c:smooth val="0"/>
          <c:extLst xmlns:c16r2="http://schemas.microsoft.com/office/drawing/2015/06/chart">
            <c:ext xmlns:c16="http://schemas.microsoft.com/office/drawing/2014/chart" uri="{C3380CC4-5D6E-409C-BE32-E72D297353CC}">
              <c16:uniqueId val="{00000001-6072-4804-B710-54B6D4693391}"/>
            </c:ext>
          </c:extLst>
        </c:ser>
        <c:ser>
          <c:idx val="2"/>
          <c:order val="2"/>
          <c:tx>
            <c:strRef>
              <c:f>wykresy!$S$2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wykresy!$S$3:$S$26</c:f>
              <c:numCache>
                <c:formatCode>General</c:formatCode>
                <c:ptCount val="24"/>
                <c:pt idx="10" formatCode="0.00">
                  <c:v>4.5</c:v>
                </c:pt>
                <c:pt idx="11" formatCode="0.00">
                  <c:v>4.5</c:v>
                </c:pt>
                <c:pt idx="12" formatCode="0.00">
                  <c:v>4.5</c:v>
                </c:pt>
                <c:pt idx="13" formatCode="0.00">
                  <c:v>4.5</c:v>
                </c:pt>
                <c:pt idx="14" formatCode="0.00">
                  <c:v>4.5</c:v>
                </c:pt>
                <c:pt idx="15" formatCode="0.00">
                  <c:v>4.5</c:v>
                </c:pt>
                <c:pt idx="16" formatCode="0.00">
                  <c:v>4.5</c:v>
                </c:pt>
                <c:pt idx="17" formatCode="0.00">
                  <c:v>4.5</c:v>
                </c:pt>
                <c:pt idx="18" formatCode="0.00">
                  <c:v>4.5</c:v>
                </c:pt>
                <c:pt idx="19" formatCode="0.00">
                  <c:v>4.5</c:v>
                </c:pt>
                <c:pt idx="20" formatCode="0.00">
                  <c:v>4.5</c:v>
                </c:pt>
                <c:pt idx="21" formatCode="0.00">
                  <c:v>4.5</c:v>
                </c:pt>
                <c:pt idx="22" formatCode="0.00">
                  <c:v>4.5</c:v>
                </c:pt>
                <c:pt idx="23" formatCode="0.00">
                  <c:v>4.5</c:v>
                </c:pt>
              </c:numCache>
            </c:numRef>
          </c:val>
          <c:smooth val="0"/>
          <c:extLst xmlns:c16r2="http://schemas.microsoft.com/office/drawing/2015/06/chart">
            <c:ext xmlns:c16="http://schemas.microsoft.com/office/drawing/2014/chart" uri="{C3380CC4-5D6E-409C-BE32-E72D297353CC}">
              <c16:uniqueId val="{00000002-6072-4804-B710-54B6D4693391}"/>
            </c:ext>
          </c:extLst>
        </c:ser>
        <c:dLbls>
          <c:showLegendKey val="0"/>
          <c:showVal val="0"/>
          <c:showCatName val="0"/>
          <c:showSerName val="0"/>
          <c:showPercent val="0"/>
          <c:showBubbleSize val="0"/>
        </c:dLbls>
        <c:smooth val="0"/>
        <c:axId val="308164648"/>
        <c:axId val="308169352"/>
      </c:lineChart>
      <c:catAx>
        <c:axId val="30816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9352"/>
        <c:crosses val="autoZero"/>
        <c:auto val="1"/>
        <c:lblAlgn val="ctr"/>
        <c:lblOffset val="100"/>
        <c:noMultiLvlLbl val="0"/>
      </c:catAx>
      <c:valAx>
        <c:axId val="308169352"/>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a:t>
                </a:r>
              </a:p>
            </c:rich>
          </c:tx>
          <c:layout>
            <c:manualLayout>
              <c:xMode val="edge"/>
              <c:yMode val="edge"/>
              <c:x val="2.6962632275132275E-2"/>
              <c:y val="7.6011180269251299E-2"/>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4648"/>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6779100529101"/>
          <c:y val="6.3959197969055109E-2"/>
          <c:w val="0.80748445767195764"/>
          <c:h val="0.70307217726504823"/>
        </c:manualLayout>
      </c:layout>
      <c:lineChart>
        <c:grouping val="standard"/>
        <c:varyColors val="0"/>
        <c:ser>
          <c:idx val="0"/>
          <c:order val="0"/>
          <c:tx>
            <c:strRef>
              <c:f>wykresy!$N$2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wykresy!$N$3:$N$26</c:f>
              <c:numCache>
                <c:formatCode>0.00</c:formatCode>
                <c:ptCount val="24"/>
                <c:pt idx="1">
                  <c:v>0.12</c:v>
                </c:pt>
                <c:pt idx="2">
                  <c:v>0.12300000000000001</c:v>
                </c:pt>
                <c:pt idx="3">
                  <c:v>0.16500000000000001</c:v>
                </c:pt>
                <c:pt idx="4">
                  <c:v>0.20899999999999999</c:v>
                </c:pt>
                <c:pt idx="5">
                  <c:v>0.21</c:v>
                </c:pt>
                <c:pt idx="6">
                  <c:v>0.248</c:v>
                </c:pt>
                <c:pt idx="7">
                  <c:v>0.26300000000000001</c:v>
                </c:pt>
                <c:pt idx="8">
                  <c:v>0.313</c:v>
                </c:pt>
                <c:pt idx="9">
                  <c:v>0.29299999999999998</c:v>
                </c:pt>
                <c:pt idx="10">
                  <c:v>0.315</c:v>
                </c:pt>
                <c:pt idx="11">
                  <c:v>0.33399999999999996</c:v>
                </c:pt>
                <c:pt idx="12">
                  <c:v>0.33700000000000002</c:v>
                </c:pt>
                <c:pt idx="13">
                  <c:v>0.36499999999999999</c:v>
                </c:pt>
                <c:pt idx="14">
                  <c:v>0.35399999999999998</c:v>
                </c:pt>
                <c:pt idx="15">
                  <c:v>0.39899999999999997</c:v>
                </c:pt>
                <c:pt idx="16">
                  <c:v>0.433</c:v>
                </c:pt>
                <c:pt idx="17">
                  <c:v>0.41299999999999998</c:v>
                </c:pt>
                <c:pt idx="18">
                  <c:v>0.42572832266890331</c:v>
                </c:pt>
              </c:numCache>
            </c:numRef>
          </c:val>
          <c:smooth val="0"/>
          <c:extLst xmlns:c16r2="http://schemas.microsoft.com/office/drawing/2015/06/chart">
            <c:ext xmlns:c16="http://schemas.microsoft.com/office/drawing/2014/chart" uri="{C3380CC4-5D6E-409C-BE32-E72D297353CC}">
              <c16:uniqueId val="{00000000-3ED7-4447-986F-4B81F3C5E17B}"/>
            </c:ext>
          </c:extLst>
        </c:ser>
        <c:ser>
          <c:idx val="1"/>
          <c:order val="1"/>
          <c:tx>
            <c:strRef>
              <c:f>wykresy!$O$2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wykresy!$O$3:$O$26</c:f>
              <c:numCache>
                <c:formatCode>General</c:formatCode>
                <c:ptCount val="24"/>
                <c:pt idx="18" formatCode="0.00">
                  <c:v>0.42572832266890331</c:v>
                </c:pt>
                <c:pt idx="19" formatCode="0.00">
                  <c:v>0.4381009815610355</c:v>
                </c:pt>
                <c:pt idx="20" formatCode="0.00">
                  <c:v>0.45014588916967446</c:v>
                </c:pt>
                <c:pt idx="21" formatCode="0.00">
                  <c:v>0.46188749539641388</c:v>
                </c:pt>
                <c:pt idx="22" formatCode="0.00">
                  <c:v>0.47334736010253275</c:v>
                </c:pt>
                <c:pt idx="23" formatCode="0.00">
                  <c:v>0.48454460945709354</c:v>
                </c:pt>
              </c:numCache>
            </c:numRef>
          </c:val>
          <c:smooth val="0"/>
          <c:extLst xmlns:c16r2="http://schemas.microsoft.com/office/drawing/2015/06/chart">
            <c:ext xmlns:c16="http://schemas.microsoft.com/office/drawing/2014/chart" uri="{C3380CC4-5D6E-409C-BE32-E72D297353CC}">
              <c16:uniqueId val="{00000001-3ED7-4447-986F-4B81F3C5E17B}"/>
            </c:ext>
          </c:extLst>
        </c:ser>
        <c:ser>
          <c:idx val="2"/>
          <c:order val="2"/>
          <c:tx>
            <c:strRef>
              <c:f>wykresy!$P$2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wykresy!$P$3:$P$26</c:f>
              <c:numCache>
                <c:formatCode>General</c:formatCode>
                <c:ptCount val="24"/>
                <c:pt idx="10" formatCode="0.00">
                  <c:v>0.45</c:v>
                </c:pt>
                <c:pt idx="11" formatCode="0.00">
                  <c:v>0.45</c:v>
                </c:pt>
                <c:pt idx="12" formatCode="0.00">
                  <c:v>0.45</c:v>
                </c:pt>
                <c:pt idx="13" formatCode="0.00">
                  <c:v>0.45</c:v>
                </c:pt>
                <c:pt idx="14" formatCode="0.00">
                  <c:v>0.45</c:v>
                </c:pt>
                <c:pt idx="15" formatCode="0.00">
                  <c:v>0.45</c:v>
                </c:pt>
                <c:pt idx="16" formatCode="0.00">
                  <c:v>0.45</c:v>
                </c:pt>
                <c:pt idx="17" formatCode="0.00">
                  <c:v>0.45</c:v>
                </c:pt>
                <c:pt idx="18" formatCode="0.00">
                  <c:v>0.45</c:v>
                </c:pt>
                <c:pt idx="19" formatCode="0.00">
                  <c:v>0.45</c:v>
                </c:pt>
                <c:pt idx="20" formatCode="0.00">
                  <c:v>0.45</c:v>
                </c:pt>
                <c:pt idx="21" formatCode="0.00">
                  <c:v>0.45</c:v>
                </c:pt>
                <c:pt idx="22" formatCode="0.00">
                  <c:v>0.45</c:v>
                </c:pt>
                <c:pt idx="23" formatCode="0.00">
                  <c:v>0.45</c:v>
                </c:pt>
              </c:numCache>
            </c:numRef>
          </c:val>
          <c:smooth val="0"/>
          <c:extLst xmlns:c16r2="http://schemas.microsoft.com/office/drawing/2015/06/chart">
            <c:ext xmlns:c16="http://schemas.microsoft.com/office/drawing/2014/chart" uri="{C3380CC4-5D6E-409C-BE32-E72D297353CC}">
              <c16:uniqueId val="{00000002-3ED7-4447-986F-4B81F3C5E17B}"/>
            </c:ext>
          </c:extLst>
        </c:ser>
        <c:dLbls>
          <c:showLegendKey val="0"/>
          <c:showVal val="0"/>
          <c:showCatName val="0"/>
          <c:showSerName val="0"/>
          <c:showPercent val="0"/>
          <c:showBubbleSize val="0"/>
        </c:dLbls>
        <c:smooth val="0"/>
        <c:axId val="308165040"/>
        <c:axId val="308168176"/>
      </c:lineChart>
      <c:catAx>
        <c:axId val="30816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8176"/>
        <c:crosses val="autoZero"/>
        <c:auto val="1"/>
        <c:lblAlgn val="ctr"/>
        <c:lblOffset val="100"/>
        <c:noMultiLvlLbl val="0"/>
      </c:catAx>
      <c:valAx>
        <c:axId val="3081681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5040"/>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6779100529101"/>
          <c:y val="6.3959197969055109E-2"/>
          <c:w val="0.80748445767195764"/>
          <c:h val="0.68529153716200453"/>
        </c:manualLayout>
      </c:layout>
      <c:lineChart>
        <c:grouping val="standard"/>
        <c:varyColors val="0"/>
        <c:ser>
          <c:idx val="0"/>
          <c:order val="0"/>
          <c:tx>
            <c:strRef>
              <c:f>wykresy!$T$2</c:f>
              <c:strCache>
                <c:ptCount val="1"/>
                <c:pt idx="0">
                  <c:v>dane historyczne</c:v>
                </c:pt>
              </c:strCache>
            </c:strRef>
          </c:tx>
          <c:spPr>
            <a:ln w="28575" cap="rnd">
              <a:solidFill>
                <a:schemeClr val="accent1"/>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wykresy!$T$3:$T$26</c:f>
              <c:numCache>
                <c:formatCode>General</c:formatCode>
                <c:ptCount val="24"/>
                <c:pt idx="0" formatCode="0.00">
                  <c:v>0</c:v>
                </c:pt>
                <c:pt idx="12" formatCode="0.00">
                  <c:v>26.448299305616437</c:v>
                </c:pt>
                <c:pt idx="13" formatCode="0.00">
                  <c:v>24.058465668183288</c:v>
                </c:pt>
                <c:pt idx="14" formatCode="0.00">
                  <c:v>23.575957466430019</c:v>
                </c:pt>
                <c:pt idx="15" formatCode="0.00">
                  <c:v>22.711846094251719</c:v>
                </c:pt>
                <c:pt idx="16" formatCode="0.00">
                  <c:v>20.315444310988333</c:v>
                </c:pt>
                <c:pt idx="17" formatCode="0.00">
                  <c:v>19.078089484288913</c:v>
                </c:pt>
                <c:pt idx="18" formatCode="0.00">
                  <c:v>17.803594599919506</c:v>
                </c:pt>
              </c:numCache>
            </c:numRef>
          </c:val>
          <c:smooth val="0"/>
          <c:extLst xmlns:c16r2="http://schemas.microsoft.com/office/drawing/2015/06/chart">
            <c:ext xmlns:c16="http://schemas.microsoft.com/office/drawing/2014/chart" uri="{C3380CC4-5D6E-409C-BE32-E72D297353CC}">
              <c16:uniqueId val="{00000000-96FA-42B6-8BE4-45F139B098DD}"/>
            </c:ext>
          </c:extLst>
        </c:ser>
        <c:ser>
          <c:idx val="1"/>
          <c:order val="1"/>
          <c:tx>
            <c:strRef>
              <c:f>wykresy!$U$2</c:f>
              <c:strCache>
                <c:ptCount val="1"/>
                <c:pt idx="0">
                  <c:v>prognoza</c:v>
                </c:pt>
              </c:strCache>
            </c:strRef>
          </c:tx>
          <c:spPr>
            <a:ln w="28575" cap="rnd">
              <a:solidFill>
                <a:schemeClr val="accent2"/>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wykresy!$U$3:$U$26</c:f>
              <c:numCache>
                <c:formatCode>General</c:formatCode>
                <c:ptCount val="24"/>
                <c:pt idx="18" formatCode="0.00">
                  <c:v>17.803594599919506</c:v>
                </c:pt>
                <c:pt idx="19" formatCode="0.00">
                  <c:v>16.405188184193776</c:v>
                </c:pt>
                <c:pt idx="20" formatCode="0.00">
                  <c:v>15.006781768468045</c:v>
                </c:pt>
                <c:pt idx="21" formatCode="0.00">
                  <c:v>13.608375352742314</c:v>
                </c:pt>
                <c:pt idx="22" formatCode="0.00">
                  <c:v>12.209968937016583</c:v>
                </c:pt>
                <c:pt idx="23" formatCode="0.00">
                  <c:v>10.811562521290853</c:v>
                </c:pt>
              </c:numCache>
            </c:numRef>
          </c:val>
          <c:smooth val="0"/>
          <c:extLst xmlns:c16r2="http://schemas.microsoft.com/office/drawing/2015/06/chart">
            <c:ext xmlns:c16="http://schemas.microsoft.com/office/drawing/2014/chart" uri="{C3380CC4-5D6E-409C-BE32-E72D297353CC}">
              <c16:uniqueId val="{00000001-96FA-42B6-8BE4-45F139B098DD}"/>
            </c:ext>
          </c:extLst>
        </c:ser>
        <c:ser>
          <c:idx val="2"/>
          <c:order val="2"/>
          <c:tx>
            <c:strRef>
              <c:f>wykresy!$V$2</c:f>
              <c:strCache>
                <c:ptCount val="1"/>
                <c:pt idx="0">
                  <c:v>cel Europa 2020</c:v>
                </c:pt>
              </c:strCache>
            </c:strRef>
          </c:tx>
          <c:spPr>
            <a:ln w="28575" cap="rnd">
              <a:solidFill>
                <a:schemeClr val="accent3"/>
              </a:solidFill>
              <a:round/>
            </a:ln>
            <a:effectLst/>
          </c:spPr>
          <c:marker>
            <c:symbol val="none"/>
          </c:marker>
          <c:cat>
            <c:numRef>
              <c:f>wykresy!$A$3:$A$26</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wykresy!$V$3:$V$26</c:f>
              <c:numCache>
                <c:formatCode>General</c:formatCode>
                <c:ptCount val="24"/>
                <c:pt idx="15" formatCode="0.00">
                  <c:v>18.81184609425172</c:v>
                </c:pt>
                <c:pt idx="16" formatCode="0.00">
                  <c:v>18.81184609425172</c:v>
                </c:pt>
                <c:pt idx="17" formatCode="0.00">
                  <c:v>18.81184609425172</c:v>
                </c:pt>
                <c:pt idx="18" formatCode="0.00">
                  <c:v>18.81184609425172</c:v>
                </c:pt>
                <c:pt idx="19" formatCode="0.00">
                  <c:v>18.81184609425172</c:v>
                </c:pt>
                <c:pt idx="20" formatCode="0.00">
                  <c:v>18.81184609425172</c:v>
                </c:pt>
                <c:pt idx="21" formatCode="0.00">
                  <c:v>18.81184609425172</c:v>
                </c:pt>
                <c:pt idx="22" formatCode="0.00">
                  <c:v>18.81184609425172</c:v>
                </c:pt>
                <c:pt idx="23" formatCode="0.00">
                  <c:v>18.81184609425172</c:v>
                </c:pt>
              </c:numCache>
            </c:numRef>
          </c:val>
          <c:smooth val="0"/>
          <c:extLst xmlns:c16r2="http://schemas.microsoft.com/office/drawing/2015/06/chart">
            <c:ext xmlns:c16="http://schemas.microsoft.com/office/drawing/2014/chart" uri="{C3380CC4-5D6E-409C-BE32-E72D297353CC}">
              <c16:uniqueId val="{00000002-96FA-42B6-8BE4-45F139B098DD}"/>
            </c:ext>
          </c:extLst>
        </c:ser>
        <c:dLbls>
          <c:showLegendKey val="0"/>
          <c:showVal val="0"/>
          <c:showCatName val="0"/>
          <c:showSerName val="0"/>
          <c:showPercent val="0"/>
          <c:showBubbleSize val="0"/>
        </c:dLbls>
        <c:smooth val="0"/>
        <c:axId val="308167392"/>
        <c:axId val="308166608"/>
      </c:lineChart>
      <c:catAx>
        <c:axId val="3081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6608"/>
        <c:crosses val="autoZero"/>
        <c:auto val="1"/>
        <c:lblAlgn val="ctr"/>
        <c:lblOffset val="100"/>
        <c:noMultiLvlLbl val="0"/>
      </c:catAx>
      <c:valAx>
        <c:axId val="30816660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a:t>
                </a:r>
              </a:p>
            </c:rich>
          </c:tx>
          <c:layout>
            <c:manualLayout>
              <c:xMode val="edge"/>
              <c:yMode val="edge"/>
              <c:x val="2.6962632275132275E-2"/>
              <c:y val="7.6011180269251299E-2"/>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08167392"/>
        <c:crosses val="autoZero"/>
        <c:crossBetween val="between"/>
      </c:valAx>
      <c:spPr>
        <a:noFill/>
        <a:ln>
          <a:noFill/>
        </a:ln>
        <a:effectLst/>
      </c:spPr>
    </c:plotArea>
    <c:legend>
      <c:legendPos val="b"/>
      <c:layout>
        <c:manualLayout>
          <c:xMode val="edge"/>
          <c:yMode val="edge"/>
          <c:x val="2.9664021164021163E-2"/>
          <c:y val="0.88467199736288493"/>
          <c:w val="0.93359755291005286"/>
          <c:h val="8.04411673812668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'OP4'!$S$126</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'OP4'!$T$125:$Y$125</c:f>
              <c:numCache>
                <c:formatCode>General</c:formatCode>
                <c:ptCount val="6"/>
                <c:pt idx="0">
                  <c:v>2012</c:v>
                </c:pt>
                <c:pt idx="1">
                  <c:v>2013</c:v>
                </c:pt>
                <c:pt idx="2">
                  <c:v>2014</c:v>
                </c:pt>
                <c:pt idx="3">
                  <c:v>2015</c:v>
                </c:pt>
                <c:pt idx="4">
                  <c:v>2016</c:v>
                </c:pt>
                <c:pt idx="5">
                  <c:v>2017</c:v>
                </c:pt>
              </c:numCache>
            </c:numRef>
          </c:cat>
          <c:val>
            <c:numRef>
              <c:f>'OP4'!$T$126:$Y$126</c:f>
              <c:numCache>
                <c:formatCode>#,##0.0</c:formatCode>
                <c:ptCount val="6"/>
                <c:pt idx="0">
                  <c:v>10.41014</c:v>
                </c:pt>
                <c:pt idx="1">
                  <c:v>10.371230000000001</c:v>
                </c:pt>
                <c:pt idx="2">
                  <c:v>12.47419</c:v>
                </c:pt>
                <c:pt idx="3">
                  <c:v>13.747299999999999</c:v>
                </c:pt>
                <c:pt idx="4">
                  <c:v>13.697889999999999</c:v>
                </c:pt>
                <c:pt idx="5">
                  <c:v>14.0878</c:v>
                </c:pt>
              </c:numCache>
            </c:numRef>
          </c:val>
          <c:smooth val="0"/>
          <c:extLst xmlns:c16r2="http://schemas.microsoft.com/office/drawing/2015/06/chart">
            <c:ext xmlns:c16="http://schemas.microsoft.com/office/drawing/2014/chart" uri="{C3380CC4-5D6E-409C-BE32-E72D297353CC}">
              <c16:uniqueId val="{00000000-CE10-43EB-9600-CC621FE26BDC}"/>
            </c:ext>
          </c:extLst>
        </c:ser>
        <c:ser>
          <c:idx val="1"/>
          <c:order val="1"/>
          <c:tx>
            <c:strRef>
              <c:f>'OP4'!$S$127</c:f>
              <c:strCache>
                <c:ptCount val="1"/>
                <c:pt idx="0">
                  <c:v>Zachodniopomorskie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'OP4'!$T$125:$Y$125</c:f>
              <c:numCache>
                <c:formatCode>General</c:formatCode>
                <c:ptCount val="6"/>
                <c:pt idx="0">
                  <c:v>2012</c:v>
                </c:pt>
                <c:pt idx="1">
                  <c:v>2013</c:v>
                </c:pt>
                <c:pt idx="2">
                  <c:v>2014</c:v>
                </c:pt>
                <c:pt idx="3">
                  <c:v>2015</c:v>
                </c:pt>
                <c:pt idx="4">
                  <c:v>2016</c:v>
                </c:pt>
                <c:pt idx="5">
                  <c:v>2017</c:v>
                </c:pt>
              </c:numCache>
            </c:numRef>
          </c:cat>
          <c:val>
            <c:numRef>
              <c:f>'OP4'!$T$127:$Y$127</c:f>
              <c:numCache>
                <c:formatCode>#,##0.0</c:formatCode>
                <c:ptCount val="6"/>
                <c:pt idx="0">
                  <c:v>27.02581</c:v>
                </c:pt>
                <c:pt idx="1">
                  <c:v>30.443359999999998</c:v>
                </c:pt>
                <c:pt idx="2">
                  <c:v>35.123399999999997</c:v>
                </c:pt>
                <c:pt idx="3">
                  <c:v>38.60078</c:v>
                </c:pt>
                <c:pt idx="4">
                  <c:v>41.797550000000001</c:v>
                </c:pt>
                <c:pt idx="5">
                  <c:v>47.794910000000002</c:v>
                </c:pt>
              </c:numCache>
            </c:numRef>
          </c:val>
          <c:smooth val="0"/>
          <c:extLst xmlns:c16r2="http://schemas.microsoft.com/office/drawing/2015/06/chart">
            <c:ext xmlns:c16="http://schemas.microsoft.com/office/drawing/2014/chart" uri="{C3380CC4-5D6E-409C-BE32-E72D297353CC}">
              <c16:uniqueId val="{00000001-CE10-43EB-9600-CC621FE26BDC}"/>
            </c:ext>
          </c:extLst>
        </c:ser>
        <c:dLbls>
          <c:showLegendKey val="0"/>
          <c:showVal val="0"/>
          <c:showCatName val="0"/>
          <c:showSerName val="0"/>
          <c:showPercent val="0"/>
          <c:showBubbleSize val="0"/>
        </c:dLbls>
        <c:marker val="1"/>
        <c:smooth val="0"/>
        <c:axId val="361250752"/>
        <c:axId val="361246832"/>
      </c:lineChart>
      <c:catAx>
        <c:axId val="36125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6832"/>
        <c:crosses val="autoZero"/>
        <c:auto val="1"/>
        <c:lblAlgn val="ctr"/>
        <c:lblOffset val="100"/>
        <c:noMultiLvlLbl val="0"/>
      </c:catAx>
      <c:valAx>
        <c:axId val="361246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5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'OP4'!$R$218</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'OP4'!$S$217:$X$217</c:f>
              <c:numCache>
                <c:formatCode>General</c:formatCode>
                <c:ptCount val="6"/>
                <c:pt idx="0">
                  <c:v>2012</c:v>
                </c:pt>
                <c:pt idx="1">
                  <c:v>2013</c:v>
                </c:pt>
                <c:pt idx="2">
                  <c:v>2014</c:v>
                </c:pt>
                <c:pt idx="3">
                  <c:v>2015</c:v>
                </c:pt>
                <c:pt idx="4">
                  <c:v>2016</c:v>
                </c:pt>
                <c:pt idx="5">
                  <c:v>2017</c:v>
                </c:pt>
              </c:numCache>
            </c:numRef>
          </c:cat>
          <c:val>
            <c:numRef>
              <c:f>'OP4'!$S$218:$X$218</c:f>
              <c:numCache>
                <c:formatCode>#,##0.0</c:formatCode>
                <c:ptCount val="6"/>
                <c:pt idx="0">
                  <c:v>62.541421258325535</c:v>
                </c:pt>
                <c:pt idx="1">
                  <c:v>62.758727009321461</c:v>
                </c:pt>
                <c:pt idx="2">
                  <c:v>64.265432499765424</c:v>
                </c:pt>
                <c:pt idx="3">
                  <c:v>63.338085548777975</c:v>
                </c:pt>
                <c:pt idx="4">
                  <c:v>61.149295304898864</c:v>
                </c:pt>
                <c:pt idx="5">
                  <c:v>61.076009442945576</c:v>
                </c:pt>
              </c:numCache>
            </c:numRef>
          </c:val>
          <c:smooth val="0"/>
          <c:extLst xmlns:c16r2="http://schemas.microsoft.com/office/drawing/2015/06/chart">
            <c:ext xmlns:c16="http://schemas.microsoft.com/office/drawing/2014/chart" uri="{C3380CC4-5D6E-409C-BE32-E72D297353CC}">
              <c16:uniqueId val="{00000000-9A53-4F96-9E19-375F758B5BAA}"/>
            </c:ext>
          </c:extLst>
        </c:ser>
        <c:ser>
          <c:idx val="1"/>
          <c:order val="1"/>
          <c:tx>
            <c:strRef>
              <c:f>'OP4'!$R$219</c:f>
              <c:strCache>
                <c:ptCount val="1"/>
                <c:pt idx="0">
                  <c:v>Zachodniopomorskie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'OP4'!$S$217:$X$217</c:f>
              <c:numCache>
                <c:formatCode>General</c:formatCode>
                <c:ptCount val="6"/>
                <c:pt idx="0">
                  <c:v>2012</c:v>
                </c:pt>
                <c:pt idx="1">
                  <c:v>2013</c:v>
                </c:pt>
                <c:pt idx="2">
                  <c:v>2014</c:v>
                </c:pt>
                <c:pt idx="3">
                  <c:v>2015</c:v>
                </c:pt>
                <c:pt idx="4">
                  <c:v>2016</c:v>
                </c:pt>
                <c:pt idx="5">
                  <c:v>2017</c:v>
                </c:pt>
              </c:numCache>
            </c:numRef>
          </c:cat>
          <c:val>
            <c:numRef>
              <c:f>'OP4'!$S$219:$X$219</c:f>
              <c:numCache>
                <c:formatCode>#,##0.0</c:formatCode>
                <c:ptCount val="6"/>
                <c:pt idx="0">
                  <c:v>38.072193710605177</c:v>
                </c:pt>
                <c:pt idx="1">
                  <c:v>31.684271467115249</c:v>
                </c:pt>
                <c:pt idx="2">
                  <c:v>30.720693281536438</c:v>
                </c:pt>
                <c:pt idx="3">
                  <c:v>38.876524690143619</c:v>
                </c:pt>
                <c:pt idx="4">
                  <c:v>31.417168377418079</c:v>
                </c:pt>
                <c:pt idx="5">
                  <c:v>21.573711979207218</c:v>
                </c:pt>
              </c:numCache>
            </c:numRef>
          </c:val>
          <c:smooth val="0"/>
          <c:extLst xmlns:c16r2="http://schemas.microsoft.com/office/drawing/2015/06/chart">
            <c:ext xmlns:c16="http://schemas.microsoft.com/office/drawing/2014/chart" uri="{C3380CC4-5D6E-409C-BE32-E72D297353CC}">
              <c16:uniqueId val="{00000001-9A53-4F96-9E19-375F758B5BAA}"/>
            </c:ext>
          </c:extLst>
        </c:ser>
        <c:dLbls>
          <c:showLegendKey val="0"/>
          <c:showVal val="0"/>
          <c:showCatName val="0"/>
          <c:showSerName val="0"/>
          <c:showPercent val="0"/>
          <c:showBubbleSize val="0"/>
        </c:dLbls>
        <c:marker val="1"/>
        <c:smooth val="0"/>
        <c:axId val="361248008"/>
        <c:axId val="361246048"/>
      </c:lineChart>
      <c:catAx>
        <c:axId val="36124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6048"/>
        <c:crosses val="autoZero"/>
        <c:auto val="1"/>
        <c:lblAlgn val="ctr"/>
        <c:lblOffset val="100"/>
        <c:noMultiLvlLbl val="0"/>
      </c:catAx>
      <c:valAx>
        <c:axId val="36124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8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ogółem!$AK$31</c:f>
              <c:strCache>
                <c:ptCount val="1"/>
                <c:pt idx="0">
                  <c:v>budynki mieszkalne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ogółem!$AL$30:$AR$30</c:f>
              <c:strCache>
                <c:ptCount val="7"/>
                <c:pt idx="0">
                  <c:v>2011</c:v>
                </c:pt>
                <c:pt idx="1">
                  <c:v>2012</c:v>
                </c:pt>
                <c:pt idx="2">
                  <c:v>2013</c:v>
                </c:pt>
                <c:pt idx="3">
                  <c:v>2014</c:v>
                </c:pt>
                <c:pt idx="4">
                  <c:v>2015</c:v>
                </c:pt>
                <c:pt idx="5">
                  <c:v>2016</c:v>
                </c:pt>
                <c:pt idx="6">
                  <c:v>2017</c:v>
                </c:pt>
              </c:strCache>
            </c:strRef>
          </c:cat>
          <c:val>
            <c:numRef>
              <c:f>ogółem!$AL$31:$AR$31</c:f>
              <c:numCache>
                <c:formatCode>#,##0</c:formatCode>
                <c:ptCount val="7"/>
                <c:pt idx="0">
                  <c:v>6426543</c:v>
                </c:pt>
                <c:pt idx="1">
                  <c:v>6781230</c:v>
                </c:pt>
                <c:pt idx="2">
                  <c:v>7983749.5</c:v>
                </c:pt>
                <c:pt idx="3">
                  <c:v>9829625</c:v>
                </c:pt>
                <c:pt idx="4">
                  <c:v>9041744</c:v>
                </c:pt>
                <c:pt idx="5">
                  <c:v>6608800</c:v>
                </c:pt>
                <c:pt idx="6">
                  <c:v>6954759</c:v>
                </c:pt>
              </c:numCache>
            </c:numRef>
          </c:val>
          <c:smooth val="0"/>
          <c:extLst xmlns:c16r2="http://schemas.microsoft.com/office/drawing/2015/06/chart">
            <c:ext xmlns:c16="http://schemas.microsoft.com/office/drawing/2014/chart" uri="{C3380CC4-5D6E-409C-BE32-E72D297353CC}">
              <c16:uniqueId val="{00000000-1393-4AA3-AAF1-45DC0313EC47}"/>
            </c:ext>
          </c:extLst>
        </c:ser>
        <c:ser>
          <c:idx val="1"/>
          <c:order val="1"/>
          <c:tx>
            <c:strRef>
              <c:f>ogółem!$AK$32</c:f>
              <c:strCache>
                <c:ptCount val="1"/>
                <c:pt idx="0">
                  <c:v>urzędy i instytucje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ogółem!$AL$30:$AR$30</c:f>
              <c:strCache>
                <c:ptCount val="7"/>
                <c:pt idx="0">
                  <c:v>2011</c:v>
                </c:pt>
                <c:pt idx="1">
                  <c:v>2012</c:v>
                </c:pt>
                <c:pt idx="2">
                  <c:v>2013</c:v>
                </c:pt>
                <c:pt idx="3">
                  <c:v>2014</c:v>
                </c:pt>
                <c:pt idx="4">
                  <c:v>2015</c:v>
                </c:pt>
                <c:pt idx="5">
                  <c:v>2016</c:v>
                </c:pt>
                <c:pt idx="6">
                  <c:v>2017</c:v>
                </c:pt>
              </c:strCache>
            </c:strRef>
          </c:cat>
          <c:val>
            <c:numRef>
              <c:f>ogółem!$AL$32:$AR$32</c:f>
              <c:numCache>
                <c:formatCode>#,##0</c:formatCode>
                <c:ptCount val="7"/>
                <c:pt idx="0">
                  <c:v>1095617</c:v>
                </c:pt>
                <c:pt idx="1">
                  <c:v>1152899</c:v>
                </c:pt>
                <c:pt idx="2">
                  <c:v>1244697</c:v>
                </c:pt>
                <c:pt idx="3">
                  <c:v>1370049</c:v>
                </c:pt>
                <c:pt idx="4">
                  <c:v>1955541</c:v>
                </c:pt>
                <c:pt idx="5">
                  <c:v>2188138</c:v>
                </c:pt>
                <c:pt idx="6">
                  <c:v>2496548</c:v>
                </c:pt>
              </c:numCache>
            </c:numRef>
          </c:val>
          <c:smooth val="0"/>
          <c:extLst xmlns:c16r2="http://schemas.microsoft.com/office/drawing/2015/06/chart">
            <c:ext xmlns:c16="http://schemas.microsoft.com/office/drawing/2014/chart" uri="{C3380CC4-5D6E-409C-BE32-E72D297353CC}">
              <c16:uniqueId val="{00000001-1393-4AA3-AAF1-45DC0313EC47}"/>
            </c:ext>
          </c:extLst>
        </c:ser>
        <c:dLbls>
          <c:dLblPos val="t"/>
          <c:showLegendKey val="0"/>
          <c:showVal val="1"/>
          <c:showCatName val="0"/>
          <c:showSerName val="0"/>
          <c:showPercent val="0"/>
          <c:showBubbleSize val="0"/>
        </c:dLbls>
        <c:marker val="1"/>
        <c:smooth val="0"/>
        <c:axId val="361253888"/>
        <c:axId val="361242520"/>
      </c:lineChart>
      <c:catAx>
        <c:axId val="3612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42520"/>
        <c:crosses val="autoZero"/>
        <c:auto val="1"/>
        <c:lblAlgn val="ctr"/>
        <c:lblOffset val="100"/>
        <c:noMultiLvlLbl val="0"/>
      </c:catAx>
      <c:valAx>
        <c:axId val="361242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12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2ED7D-9B4E-465B-9CA0-934AAB1620AC}" type="doc">
      <dgm:prSet loTypeId="urn:microsoft.com/office/officeart/2005/8/layout/hProcess9" loCatId="process" qsTypeId="urn:microsoft.com/office/officeart/2005/8/quickstyle/simple4" qsCatId="simple" csTypeId="urn:microsoft.com/office/officeart/2005/8/colors/accent2_2" csCatId="accent2" phldr="1"/>
      <dgm:spPr/>
    </dgm:pt>
    <dgm:pt modelId="{8D63223B-AE26-4223-A2C8-DD6F18F43ADD}">
      <dgm:prSet phldrT="[Tekst]"/>
      <dgm:spPr>
        <a:xfrm>
          <a:off x="2608" y="583120"/>
          <a:ext cx="1140653" cy="77749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a:solidFill>
                <a:sysClr val="window" lastClr="FFFFFF"/>
              </a:solidFill>
              <a:latin typeface="Calibri"/>
              <a:ea typeface="+mn-ea"/>
              <a:cs typeface="+mn-cs"/>
            </a:rPr>
            <a:t>I etap badawczy – OPRACOWANIE RAPORTU METODOLOGICZNEGO </a:t>
          </a:r>
        </a:p>
      </dgm:t>
    </dgm:pt>
    <dgm:pt modelId="{C18E2882-48A4-4A68-82EA-CCC570360515}" type="parTrans" cxnId="{BF3FE18E-17B0-4321-BF2B-74FD5805DBC1}">
      <dgm:prSet/>
      <dgm:spPr/>
      <dgm:t>
        <a:bodyPr/>
        <a:lstStyle/>
        <a:p>
          <a:endParaRPr lang="pl-PL"/>
        </a:p>
      </dgm:t>
    </dgm:pt>
    <dgm:pt modelId="{BD33070E-9147-4AEB-9836-01851EEF5E7C}" type="sibTrans" cxnId="{BF3FE18E-17B0-4321-BF2B-74FD5805DBC1}">
      <dgm:prSet/>
      <dgm:spPr/>
      <dgm:t>
        <a:bodyPr/>
        <a:lstStyle/>
        <a:p>
          <a:endParaRPr lang="pl-PL"/>
        </a:p>
      </dgm:t>
    </dgm:pt>
    <dgm:pt modelId="{D9883D58-D17D-46E6-ACF2-803A61361C6E}">
      <dgm:prSet/>
      <dgm:spPr>
        <a:xfrm>
          <a:off x="1200294" y="583120"/>
          <a:ext cx="1140653" cy="77749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a:solidFill>
                <a:sysClr val="window" lastClr="FFFFFF"/>
              </a:solidFill>
              <a:latin typeface="Calibri"/>
              <a:ea typeface="+mn-ea"/>
              <a:cs typeface="+mn-cs"/>
            </a:rPr>
            <a:t>II etap badawczy – OPRACOWANIE RAPORTU CZĄSTKOWEGO</a:t>
          </a:r>
        </a:p>
      </dgm:t>
    </dgm:pt>
    <dgm:pt modelId="{E2A4C4FD-931E-4340-ADE3-D5DDDAEDE7B6}" type="parTrans" cxnId="{A1C5B258-8FCE-48B7-81EC-DE568C0F8943}">
      <dgm:prSet/>
      <dgm:spPr/>
      <dgm:t>
        <a:bodyPr/>
        <a:lstStyle/>
        <a:p>
          <a:endParaRPr lang="pl-PL"/>
        </a:p>
      </dgm:t>
    </dgm:pt>
    <dgm:pt modelId="{2FAE546E-DF43-484B-9828-6E06A95D106F}" type="sibTrans" cxnId="{A1C5B258-8FCE-48B7-81EC-DE568C0F8943}">
      <dgm:prSet/>
      <dgm:spPr/>
      <dgm:t>
        <a:bodyPr/>
        <a:lstStyle/>
        <a:p>
          <a:endParaRPr lang="pl-PL"/>
        </a:p>
      </dgm:t>
    </dgm:pt>
    <dgm:pt modelId="{0D7B0CE0-EBF1-4D7C-8D33-A4F4A8E393CE}">
      <dgm:prSet/>
      <dgm:spPr>
        <a:xfrm>
          <a:off x="2397980" y="583120"/>
          <a:ext cx="1140653" cy="77749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a:solidFill>
                <a:sysClr val="window" lastClr="FFFFFF"/>
              </a:solidFill>
              <a:latin typeface="Calibri"/>
              <a:ea typeface="+mn-ea"/>
              <a:cs typeface="+mn-cs"/>
            </a:rPr>
            <a:t>III etap badawczy – OPRACOWANIE RAPORTU KOŃCOWEGO</a:t>
          </a:r>
        </a:p>
      </dgm:t>
    </dgm:pt>
    <dgm:pt modelId="{BB4A4D19-C900-45BB-9138-78F58F5A2DF7}" type="parTrans" cxnId="{976C5F88-4372-48CA-A5CC-EBF1D938909B}">
      <dgm:prSet/>
      <dgm:spPr/>
      <dgm:t>
        <a:bodyPr/>
        <a:lstStyle/>
        <a:p>
          <a:endParaRPr lang="pl-PL"/>
        </a:p>
      </dgm:t>
    </dgm:pt>
    <dgm:pt modelId="{0F3C0A0B-1C35-4A67-AC17-FD696CB5CB93}" type="sibTrans" cxnId="{976C5F88-4372-48CA-A5CC-EBF1D938909B}">
      <dgm:prSet/>
      <dgm:spPr/>
      <dgm:t>
        <a:bodyPr/>
        <a:lstStyle/>
        <a:p>
          <a:endParaRPr lang="pl-PL"/>
        </a:p>
      </dgm:t>
    </dgm:pt>
    <dgm:pt modelId="{3B25BD31-33FC-4318-BE2F-6596BAFB242C}">
      <dgm:prSet/>
      <dgm:spPr>
        <a:xfrm>
          <a:off x="3595666" y="583120"/>
          <a:ext cx="1140653" cy="77749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a:solidFill>
                <a:sysClr val="window" lastClr="FFFFFF"/>
              </a:solidFill>
              <a:latin typeface="Calibri"/>
              <a:ea typeface="+mn-ea"/>
              <a:cs typeface="+mn-cs"/>
            </a:rPr>
            <a:t>IV etap badawczy – WYPRACOWANIE I UZGODNIENIE REKOMENDACJI </a:t>
          </a:r>
        </a:p>
      </dgm:t>
    </dgm:pt>
    <dgm:pt modelId="{E41CDB88-7C9B-44BF-B16D-D3E1949508AD}" type="parTrans" cxnId="{E6200496-ECD9-4386-A416-BC8087D0CAF3}">
      <dgm:prSet/>
      <dgm:spPr/>
      <dgm:t>
        <a:bodyPr/>
        <a:lstStyle/>
        <a:p>
          <a:endParaRPr lang="pl-PL"/>
        </a:p>
      </dgm:t>
    </dgm:pt>
    <dgm:pt modelId="{AE9FD069-9E41-48A4-B50D-A00C9DC59F5B}" type="sibTrans" cxnId="{E6200496-ECD9-4386-A416-BC8087D0CAF3}">
      <dgm:prSet/>
      <dgm:spPr/>
      <dgm:t>
        <a:bodyPr/>
        <a:lstStyle/>
        <a:p>
          <a:endParaRPr lang="pl-PL"/>
        </a:p>
      </dgm:t>
    </dgm:pt>
    <dgm:pt modelId="{12F2D07E-2F21-4E58-9ED4-9A7D1366EBF7}">
      <dgm:prSet/>
      <dgm:spPr>
        <a:xfrm>
          <a:off x="4793352" y="583120"/>
          <a:ext cx="1140653" cy="77749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a:solidFill>
                <a:sysClr val="window" lastClr="FFFFFF"/>
              </a:solidFill>
              <a:latin typeface="Calibri"/>
              <a:ea typeface="+mn-ea"/>
              <a:cs typeface="+mn-cs"/>
            </a:rPr>
            <a:t>V etap badawczy – TRZYKROTNA PREZENTACJA WYNIKÓW BADANIA</a:t>
          </a:r>
        </a:p>
      </dgm:t>
    </dgm:pt>
    <dgm:pt modelId="{6B0DD2A9-594D-4B24-A825-953658AEADC9}" type="parTrans" cxnId="{51B69681-96EA-4F93-9C7A-95C8F8038096}">
      <dgm:prSet/>
      <dgm:spPr/>
      <dgm:t>
        <a:bodyPr/>
        <a:lstStyle/>
        <a:p>
          <a:endParaRPr lang="pl-PL"/>
        </a:p>
      </dgm:t>
    </dgm:pt>
    <dgm:pt modelId="{5EF80314-014E-4FE3-A36E-4E64C2F507AD}" type="sibTrans" cxnId="{51B69681-96EA-4F93-9C7A-95C8F8038096}">
      <dgm:prSet/>
      <dgm:spPr/>
      <dgm:t>
        <a:bodyPr/>
        <a:lstStyle/>
        <a:p>
          <a:endParaRPr lang="pl-PL"/>
        </a:p>
      </dgm:t>
    </dgm:pt>
    <dgm:pt modelId="{B0B89C77-E57E-436B-894A-CD0553A5B602}" type="pres">
      <dgm:prSet presAssocID="{39B2ED7D-9B4E-465B-9CA0-934AAB1620AC}" presName="CompostProcess" presStyleCnt="0">
        <dgm:presLayoutVars>
          <dgm:dir/>
          <dgm:resizeHandles val="exact"/>
        </dgm:presLayoutVars>
      </dgm:prSet>
      <dgm:spPr/>
    </dgm:pt>
    <dgm:pt modelId="{119C5274-2ADC-4F6F-8B4C-C67547322505}" type="pres">
      <dgm:prSet presAssocID="{39B2ED7D-9B4E-465B-9CA0-934AAB1620AC}" presName="arrow" presStyleLbl="bgShp" presStyleIdx="0" presStyleCnt="1"/>
      <dgm:spPr>
        <a:xfrm>
          <a:off x="445246" y="0"/>
          <a:ext cx="5046122" cy="1943735"/>
        </a:xfrm>
        <a:prstGeom prst="rightArrow">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gm:spPr>
    </dgm:pt>
    <dgm:pt modelId="{0C84B729-A8C2-41AF-AC89-616F4D541B56}" type="pres">
      <dgm:prSet presAssocID="{39B2ED7D-9B4E-465B-9CA0-934AAB1620AC}" presName="linearProcess" presStyleCnt="0"/>
      <dgm:spPr/>
    </dgm:pt>
    <dgm:pt modelId="{C8EE1984-C53F-43CA-8C8C-F9AE1EF41EDA}" type="pres">
      <dgm:prSet presAssocID="{8D63223B-AE26-4223-A2C8-DD6F18F43ADD}" presName="textNode" presStyleLbl="node1" presStyleIdx="0" presStyleCnt="5">
        <dgm:presLayoutVars>
          <dgm:bulletEnabled val="1"/>
        </dgm:presLayoutVars>
      </dgm:prSet>
      <dgm:spPr>
        <a:prstGeom prst="roundRect">
          <a:avLst/>
        </a:prstGeom>
      </dgm:spPr>
      <dgm:t>
        <a:bodyPr/>
        <a:lstStyle/>
        <a:p>
          <a:endParaRPr lang="pl-PL"/>
        </a:p>
      </dgm:t>
    </dgm:pt>
    <dgm:pt modelId="{DD3611DD-8461-4EA6-91E9-CD240BA7F667}" type="pres">
      <dgm:prSet presAssocID="{BD33070E-9147-4AEB-9836-01851EEF5E7C}" presName="sibTrans" presStyleCnt="0"/>
      <dgm:spPr/>
    </dgm:pt>
    <dgm:pt modelId="{28F8B131-1626-40B6-BF31-6F5F08FB3204}" type="pres">
      <dgm:prSet presAssocID="{D9883D58-D17D-46E6-ACF2-803A61361C6E}" presName="textNode" presStyleLbl="node1" presStyleIdx="1" presStyleCnt="5">
        <dgm:presLayoutVars>
          <dgm:bulletEnabled val="1"/>
        </dgm:presLayoutVars>
      </dgm:prSet>
      <dgm:spPr>
        <a:prstGeom prst="roundRect">
          <a:avLst/>
        </a:prstGeom>
      </dgm:spPr>
      <dgm:t>
        <a:bodyPr/>
        <a:lstStyle/>
        <a:p>
          <a:endParaRPr lang="pl-PL"/>
        </a:p>
      </dgm:t>
    </dgm:pt>
    <dgm:pt modelId="{CB68A736-D86A-498E-BAB1-4240325360B6}" type="pres">
      <dgm:prSet presAssocID="{2FAE546E-DF43-484B-9828-6E06A95D106F}" presName="sibTrans" presStyleCnt="0"/>
      <dgm:spPr/>
    </dgm:pt>
    <dgm:pt modelId="{32B0BAC0-3D2D-4305-8E93-2AC15FBC52C8}" type="pres">
      <dgm:prSet presAssocID="{0D7B0CE0-EBF1-4D7C-8D33-A4F4A8E393CE}" presName="textNode" presStyleLbl="node1" presStyleIdx="2" presStyleCnt="5">
        <dgm:presLayoutVars>
          <dgm:bulletEnabled val="1"/>
        </dgm:presLayoutVars>
      </dgm:prSet>
      <dgm:spPr>
        <a:prstGeom prst="roundRect">
          <a:avLst/>
        </a:prstGeom>
      </dgm:spPr>
      <dgm:t>
        <a:bodyPr/>
        <a:lstStyle/>
        <a:p>
          <a:endParaRPr lang="pl-PL"/>
        </a:p>
      </dgm:t>
    </dgm:pt>
    <dgm:pt modelId="{8BE662BD-447B-414D-AF4E-D7068F53D020}" type="pres">
      <dgm:prSet presAssocID="{0F3C0A0B-1C35-4A67-AC17-FD696CB5CB93}" presName="sibTrans" presStyleCnt="0"/>
      <dgm:spPr/>
    </dgm:pt>
    <dgm:pt modelId="{2C298395-3EF5-428C-B04C-DF4984585A1A}" type="pres">
      <dgm:prSet presAssocID="{3B25BD31-33FC-4318-BE2F-6596BAFB242C}" presName="textNode" presStyleLbl="node1" presStyleIdx="3" presStyleCnt="5">
        <dgm:presLayoutVars>
          <dgm:bulletEnabled val="1"/>
        </dgm:presLayoutVars>
      </dgm:prSet>
      <dgm:spPr>
        <a:prstGeom prst="roundRect">
          <a:avLst/>
        </a:prstGeom>
      </dgm:spPr>
      <dgm:t>
        <a:bodyPr/>
        <a:lstStyle/>
        <a:p>
          <a:endParaRPr lang="pl-PL"/>
        </a:p>
      </dgm:t>
    </dgm:pt>
    <dgm:pt modelId="{8E0A4C55-CD0C-4EFC-9E70-0810FFFC900A}" type="pres">
      <dgm:prSet presAssocID="{AE9FD069-9E41-48A4-B50D-A00C9DC59F5B}" presName="sibTrans" presStyleCnt="0"/>
      <dgm:spPr/>
    </dgm:pt>
    <dgm:pt modelId="{F46D9B3F-A4EA-4662-9BFA-CA1696C3162E}" type="pres">
      <dgm:prSet presAssocID="{12F2D07E-2F21-4E58-9ED4-9A7D1366EBF7}" presName="textNode" presStyleLbl="node1" presStyleIdx="4" presStyleCnt="5">
        <dgm:presLayoutVars>
          <dgm:bulletEnabled val="1"/>
        </dgm:presLayoutVars>
      </dgm:prSet>
      <dgm:spPr>
        <a:prstGeom prst="roundRect">
          <a:avLst/>
        </a:prstGeom>
      </dgm:spPr>
      <dgm:t>
        <a:bodyPr/>
        <a:lstStyle/>
        <a:p>
          <a:endParaRPr lang="pl-PL"/>
        </a:p>
      </dgm:t>
    </dgm:pt>
  </dgm:ptLst>
  <dgm:cxnLst>
    <dgm:cxn modelId="{89DCDADF-058D-4265-84B1-C4F4DB1E0B44}" type="presOf" srcId="{3B25BD31-33FC-4318-BE2F-6596BAFB242C}" destId="{2C298395-3EF5-428C-B04C-DF4984585A1A}" srcOrd="0" destOrd="0" presId="urn:microsoft.com/office/officeart/2005/8/layout/hProcess9"/>
    <dgm:cxn modelId="{A1C5B258-8FCE-48B7-81EC-DE568C0F8943}" srcId="{39B2ED7D-9B4E-465B-9CA0-934AAB1620AC}" destId="{D9883D58-D17D-46E6-ACF2-803A61361C6E}" srcOrd="1" destOrd="0" parTransId="{E2A4C4FD-931E-4340-ADE3-D5DDDAEDE7B6}" sibTransId="{2FAE546E-DF43-484B-9828-6E06A95D106F}"/>
    <dgm:cxn modelId="{BF3FE18E-17B0-4321-BF2B-74FD5805DBC1}" srcId="{39B2ED7D-9B4E-465B-9CA0-934AAB1620AC}" destId="{8D63223B-AE26-4223-A2C8-DD6F18F43ADD}" srcOrd="0" destOrd="0" parTransId="{C18E2882-48A4-4A68-82EA-CCC570360515}" sibTransId="{BD33070E-9147-4AEB-9836-01851EEF5E7C}"/>
    <dgm:cxn modelId="{EDDEED21-C972-494D-823E-127C191AEFE7}" type="presOf" srcId="{D9883D58-D17D-46E6-ACF2-803A61361C6E}" destId="{28F8B131-1626-40B6-BF31-6F5F08FB3204}" srcOrd="0" destOrd="0" presId="urn:microsoft.com/office/officeart/2005/8/layout/hProcess9"/>
    <dgm:cxn modelId="{3ACAD7BD-57BF-40C7-9A5A-AF3C1855BA6E}" type="presOf" srcId="{12F2D07E-2F21-4E58-9ED4-9A7D1366EBF7}" destId="{F46D9B3F-A4EA-4662-9BFA-CA1696C3162E}" srcOrd="0" destOrd="0" presId="urn:microsoft.com/office/officeart/2005/8/layout/hProcess9"/>
    <dgm:cxn modelId="{E6200496-ECD9-4386-A416-BC8087D0CAF3}" srcId="{39B2ED7D-9B4E-465B-9CA0-934AAB1620AC}" destId="{3B25BD31-33FC-4318-BE2F-6596BAFB242C}" srcOrd="3" destOrd="0" parTransId="{E41CDB88-7C9B-44BF-B16D-D3E1949508AD}" sibTransId="{AE9FD069-9E41-48A4-B50D-A00C9DC59F5B}"/>
    <dgm:cxn modelId="{B35E8E9F-EBBE-4A2D-AF1C-181F9891F261}" type="presOf" srcId="{39B2ED7D-9B4E-465B-9CA0-934AAB1620AC}" destId="{B0B89C77-E57E-436B-894A-CD0553A5B602}" srcOrd="0" destOrd="0" presId="urn:microsoft.com/office/officeart/2005/8/layout/hProcess9"/>
    <dgm:cxn modelId="{8DE6B629-463C-4D1D-BF70-55A1D90D2829}" type="presOf" srcId="{0D7B0CE0-EBF1-4D7C-8D33-A4F4A8E393CE}" destId="{32B0BAC0-3D2D-4305-8E93-2AC15FBC52C8}" srcOrd="0" destOrd="0" presId="urn:microsoft.com/office/officeart/2005/8/layout/hProcess9"/>
    <dgm:cxn modelId="{976C5F88-4372-48CA-A5CC-EBF1D938909B}" srcId="{39B2ED7D-9B4E-465B-9CA0-934AAB1620AC}" destId="{0D7B0CE0-EBF1-4D7C-8D33-A4F4A8E393CE}" srcOrd="2" destOrd="0" parTransId="{BB4A4D19-C900-45BB-9138-78F58F5A2DF7}" sibTransId="{0F3C0A0B-1C35-4A67-AC17-FD696CB5CB93}"/>
    <dgm:cxn modelId="{B55BDEBD-7AE1-49EF-91A1-261FD1F99AF5}" type="presOf" srcId="{8D63223B-AE26-4223-A2C8-DD6F18F43ADD}" destId="{C8EE1984-C53F-43CA-8C8C-F9AE1EF41EDA}" srcOrd="0" destOrd="0" presId="urn:microsoft.com/office/officeart/2005/8/layout/hProcess9"/>
    <dgm:cxn modelId="{51B69681-96EA-4F93-9C7A-95C8F8038096}" srcId="{39B2ED7D-9B4E-465B-9CA0-934AAB1620AC}" destId="{12F2D07E-2F21-4E58-9ED4-9A7D1366EBF7}" srcOrd="4" destOrd="0" parTransId="{6B0DD2A9-594D-4B24-A825-953658AEADC9}" sibTransId="{5EF80314-014E-4FE3-A36E-4E64C2F507AD}"/>
    <dgm:cxn modelId="{A2441475-D1D8-4230-8858-626F7A551193}" type="presParOf" srcId="{B0B89C77-E57E-436B-894A-CD0553A5B602}" destId="{119C5274-2ADC-4F6F-8B4C-C67547322505}" srcOrd="0" destOrd="0" presId="urn:microsoft.com/office/officeart/2005/8/layout/hProcess9"/>
    <dgm:cxn modelId="{301F2A01-B264-4195-B8E4-A2244388ADCB}" type="presParOf" srcId="{B0B89C77-E57E-436B-894A-CD0553A5B602}" destId="{0C84B729-A8C2-41AF-AC89-616F4D541B56}" srcOrd="1" destOrd="0" presId="urn:microsoft.com/office/officeart/2005/8/layout/hProcess9"/>
    <dgm:cxn modelId="{9EA9976C-73AB-42E2-8727-F431B4E28B61}" type="presParOf" srcId="{0C84B729-A8C2-41AF-AC89-616F4D541B56}" destId="{C8EE1984-C53F-43CA-8C8C-F9AE1EF41EDA}" srcOrd="0" destOrd="0" presId="urn:microsoft.com/office/officeart/2005/8/layout/hProcess9"/>
    <dgm:cxn modelId="{449819D3-A35D-4290-AC3A-257A6EDE1E88}" type="presParOf" srcId="{0C84B729-A8C2-41AF-AC89-616F4D541B56}" destId="{DD3611DD-8461-4EA6-91E9-CD240BA7F667}" srcOrd="1" destOrd="0" presId="urn:microsoft.com/office/officeart/2005/8/layout/hProcess9"/>
    <dgm:cxn modelId="{EE2B7948-4517-48D1-9B50-4CD0D2306D53}" type="presParOf" srcId="{0C84B729-A8C2-41AF-AC89-616F4D541B56}" destId="{28F8B131-1626-40B6-BF31-6F5F08FB3204}" srcOrd="2" destOrd="0" presId="urn:microsoft.com/office/officeart/2005/8/layout/hProcess9"/>
    <dgm:cxn modelId="{3AC13C2A-2D72-4B8A-A357-4B2D697DC0D5}" type="presParOf" srcId="{0C84B729-A8C2-41AF-AC89-616F4D541B56}" destId="{CB68A736-D86A-498E-BAB1-4240325360B6}" srcOrd="3" destOrd="0" presId="urn:microsoft.com/office/officeart/2005/8/layout/hProcess9"/>
    <dgm:cxn modelId="{2BEA574C-6AB5-4CF1-A964-789FF4C2A803}" type="presParOf" srcId="{0C84B729-A8C2-41AF-AC89-616F4D541B56}" destId="{32B0BAC0-3D2D-4305-8E93-2AC15FBC52C8}" srcOrd="4" destOrd="0" presId="urn:microsoft.com/office/officeart/2005/8/layout/hProcess9"/>
    <dgm:cxn modelId="{B669AD02-611B-40C6-B492-070C939F70C2}" type="presParOf" srcId="{0C84B729-A8C2-41AF-AC89-616F4D541B56}" destId="{8BE662BD-447B-414D-AF4E-D7068F53D020}" srcOrd="5" destOrd="0" presId="urn:microsoft.com/office/officeart/2005/8/layout/hProcess9"/>
    <dgm:cxn modelId="{0990B07B-5698-44D5-9361-2DD21FD69E55}" type="presParOf" srcId="{0C84B729-A8C2-41AF-AC89-616F4D541B56}" destId="{2C298395-3EF5-428C-B04C-DF4984585A1A}" srcOrd="6" destOrd="0" presId="urn:microsoft.com/office/officeart/2005/8/layout/hProcess9"/>
    <dgm:cxn modelId="{57F74A04-FDD4-4A95-97D5-9D2A9878D2DC}" type="presParOf" srcId="{0C84B729-A8C2-41AF-AC89-616F4D541B56}" destId="{8E0A4C55-CD0C-4EFC-9E70-0810FFFC900A}" srcOrd="7" destOrd="0" presId="urn:microsoft.com/office/officeart/2005/8/layout/hProcess9"/>
    <dgm:cxn modelId="{23EA31EA-AC78-4D0D-84A3-748F52FE54F4}" type="presParOf" srcId="{0C84B729-A8C2-41AF-AC89-616F4D541B56}" destId="{F46D9B3F-A4EA-4662-9BFA-CA1696C3162E}" srcOrd="8"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73D4CE-69E8-494E-A173-E2CB3443CC78}" type="doc">
      <dgm:prSet loTypeId="urn:microsoft.com/office/officeart/2008/layout/CircleAccentTimeline" loCatId="process" qsTypeId="urn:microsoft.com/office/officeart/2005/8/quickstyle/simple1" qsCatId="simple" csTypeId="urn:microsoft.com/office/officeart/2005/8/colors/colorful4" csCatId="colorful" phldr="1"/>
      <dgm:spPr/>
      <dgm:t>
        <a:bodyPr/>
        <a:lstStyle/>
        <a:p>
          <a:endParaRPr lang="pl-PL"/>
        </a:p>
      </dgm:t>
    </dgm:pt>
    <dgm:pt modelId="{81BD1FE7-CF1F-44A5-9553-7A18DBBB1DF3}">
      <dgm:prSet phldrT="[Tekst]" custT="1"/>
      <dgm:spPr>
        <a:xfrm rot="17700000">
          <a:off x="281448" y="713322"/>
          <a:ext cx="982668" cy="473570"/>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Początek weryfikacji WoD</a:t>
          </a:r>
        </a:p>
      </dgm:t>
    </dgm:pt>
    <dgm:pt modelId="{15DECD8A-6FEE-4232-AB00-7D8E41EBD650}" type="parTrans" cxnId="{4FF4933F-939C-40CC-8B4C-653ADBB5ECB7}">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3E5A560D-AF12-41C7-BB29-A1B21A2F000F}" type="sibTrans" cxnId="{4FF4933F-939C-40CC-8B4C-653ADBB5ECB7}">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5DFDA1A1-7A7C-4C61-9811-566E154DC2BD}">
      <dgm:prSet phldrT="[Tekst]" custT="1"/>
      <dgm:spPr>
        <a:xfrm rot="17700000">
          <a:off x="366986" y="2118916"/>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ogółem: 152</a:t>
          </a:r>
        </a:p>
      </dgm:t>
    </dgm:pt>
    <dgm:pt modelId="{48CB5978-396F-44A4-9776-E73ABEE0B04B}" type="parTrans" cxnId="{7C45CA38-2518-421B-B661-8878CE7BDF6D}">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7EBEE3D4-F683-45CE-B848-4A93B241181A}" type="sibTrans" cxnId="{7C45CA38-2518-421B-B661-8878CE7BDF6D}">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F2872A6E-140F-4BA6-9C25-E5BA4BE36A6D}">
      <dgm:prSet phldrT="[Tekst]" custT="1"/>
      <dgm:spPr>
        <a:xfrm rot="17700000">
          <a:off x="836781" y="2193245"/>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EFRR: 176</a:t>
          </a:r>
        </a:p>
      </dgm:t>
    </dgm:pt>
    <dgm:pt modelId="{B7E0E8DC-2832-45D2-9877-296D0F3C8D3F}" type="parTrans" cxnId="{0280456F-04EC-4E29-88B7-748CB689DA52}">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28297737-4F97-42B9-8105-19FA6E09ADF8}" type="sibTrans" cxnId="{0280456F-04EC-4E29-88B7-748CB689DA52}">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7DD216D5-B1A3-49EA-84A9-D36928AD3645}">
      <dgm:prSet phldrT="[Tekst]" custT="1"/>
      <dgm:spPr>
        <a:xfrm rot="17700000">
          <a:off x="2540928" y="713322"/>
          <a:ext cx="982668" cy="473570"/>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Zatwierdzenie/ odrzucenie WoD</a:t>
          </a:r>
        </a:p>
      </dgm:t>
    </dgm:pt>
    <dgm:pt modelId="{92FEF76D-C92D-4563-B364-FB89924BFA8D}" type="parTrans" cxnId="{55E53FEE-0604-439A-8C2C-212F3641EB8F}">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B730364A-3A42-4112-B3F7-2A7DC9A53107}" type="sibTrans" cxnId="{55E53FEE-0604-439A-8C2C-212F3641EB8F}">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634E4F54-50E3-49E8-BAF7-B3FA6AF9A43F}">
      <dgm:prSet phldrT="[Tekst]" custT="1"/>
      <dgm:spPr>
        <a:xfrm rot="17700000">
          <a:off x="2655008" y="2137939"/>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ogółem: 94</a:t>
          </a:r>
        </a:p>
      </dgm:t>
    </dgm:pt>
    <dgm:pt modelId="{D0B52F57-B020-4993-ACA6-51BB84C9E7A0}" type="parTrans" cxnId="{BE4F07EB-26F4-47D8-938D-9DD4520F8EE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5DFA2BAC-A54C-42C3-BFD7-09EA0133A633}" type="sibTrans" cxnId="{BE4F07EB-26F4-47D8-938D-9DD4520F8EE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43379AA0-990C-4ACB-AAAF-08F95B425E1D}">
      <dgm:prSet phldrT="[Tekst]" custT="1"/>
      <dgm:spPr>
        <a:xfrm rot="17700000">
          <a:off x="3132102" y="2140591"/>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EFRR: 102</a:t>
          </a:r>
        </a:p>
      </dgm:t>
    </dgm:pt>
    <dgm:pt modelId="{1EBCF8F2-F5FE-40EF-8156-C5AA9E96439A}" type="parTrans" cxnId="{34D69AB1-1D67-470F-BA46-CA6A09170904}">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8187E422-22EF-4BE0-ACE7-12D9671B7438}" type="sibTrans" cxnId="{34D69AB1-1D67-470F-BA46-CA6A09170904}">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66B552FD-223A-42A4-B9E9-AF5E30A13B8F}">
      <dgm:prSet phldrT="[Tekst]" custT="1"/>
      <dgm:spPr>
        <a:xfrm rot="17700000">
          <a:off x="4800408" y="713322"/>
          <a:ext cx="982668" cy="473570"/>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Podpisanie UoD</a:t>
          </a:r>
        </a:p>
      </dgm:t>
    </dgm:pt>
    <dgm:pt modelId="{A8710295-427C-423F-8E97-315B1BC66161}" type="parTrans" cxnId="{E4C42597-3D41-40F4-B8D7-6EA88164B3BD}">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E161E248-05BD-4C15-AF4F-756F84A3491F}" type="sibTrans" cxnId="{E4C42597-3D41-40F4-B8D7-6EA88164B3BD}">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B785933F-BEC3-4CA0-AF7E-F8E047D8EA4F}">
      <dgm:prSet phldrT="[Tekst]" custT="1"/>
      <dgm:spPr>
        <a:xfrm rot="17700000">
          <a:off x="1401699" y="2166474"/>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EFS: 115</a:t>
          </a:r>
        </a:p>
      </dgm:t>
    </dgm:pt>
    <dgm:pt modelId="{7DAB7BBF-315A-4F82-9254-AE7BB4E6D0C2}" type="parTrans" cxnId="{313C3695-218C-4386-A58D-1ABAFEC7C46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F1494F02-27CC-4CE5-BD19-D7701AC4DCA6}" type="sibTrans" cxnId="{313C3695-218C-4386-A58D-1ABAFEC7C46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1DB2563B-0910-465D-A038-12BCCE11C1A1}">
      <dgm:prSet phldrT="[Tekst]" custT="1"/>
      <dgm:spPr>
        <a:xfrm rot="17700000">
          <a:off x="3651673" y="2118916"/>
          <a:ext cx="850054" cy="409864"/>
        </a:xfrm>
        <a:noFill/>
        <a:ln>
          <a:noFill/>
        </a:ln>
        <a:effectLst/>
      </dgm:spPr>
      <dgm:t>
        <a:bodyPr/>
        <a:lstStyle/>
        <a:p>
          <a:r>
            <a:rPr lang="pl-PL" sz="900">
              <a:solidFill>
                <a:sysClr val="windowText" lastClr="000000">
                  <a:hueOff val="0"/>
                  <a:satOff val="0"/>
                  <a:lumOff val="0"/>
                  <a:alphaOff val="0"/>
                </a:sysClr>
              </a:solidFill>
              <a:latin typeface="+mn-lt"/>
              <a:ea typeface="+mn-ea"/>
              <a:cs typeface="+mn-cs"/>
            </a:rPr>
            <a:t>EFS: 83</a:t>
          </a:r>
        </a:p>
      </dgm:t>
    </dgm:pt>
    <dgm:pt modelId="{1175A277-C244-4EA6-BD8F-384C2821F5DD}" type="parTrans" cxnId="{E2394965-0B1F-47E9-98F0-7835192D67A4}">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B42E0A9A-4C96-48F2-AAA7-93CB2A613F98}" type="sibTrans" cxnId="{E2394965-0B1F-47E9-98F0-7835192D67A4}">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019F8FA4-2C93-4EAE-AD06-53588A0EB310}" type="pres">
      <dgm:prSet presAssocID="{5B73D4CE-69E8-494E-A173-E2CB3443CC78}" presName="Name0" presStyleCnt="0">
        <dgm:presLayoutVars>
          <dgm:dir/>
        </dgm:presLayoutVars>
      </dgm:prSet>
      <dgm:spPr/>
      <dgm:t>
        <a:bodyPr/>
        <a:lstStyle/>
        <a:p>
          <a:endParaRPr lang="pl-PL"/>
        </a:p>
      </dgm:t>
    </dgm:pt>
    <dgm:pt modelId="{5E8DEBFD-821E-45E8-99C3-CB0842131CA8}" type="pres">
      <dgm:prSet presAssocID="{81BD1FE7-CF1F-44A5-9553-7A18DBBB1DF3}" presName="parComposite" presStyleCnt="0"/>
      <dgm:spPr/>
    </dgm:pt>
    <dgm:pt modelId="{E37C862C-4D9D-430A-881A-3126A7F160BE}" type="pres">
      <dgm:prSet presAssocID="{81BD1FE7-CF1F-44A5-9553-7A18DBBB1DF3}" presName="parBigCircle" presStyleLbl="node0" presStyleIdx="0" presStyleCnt="3"/>
      <dgm:spPr>
        <a:xfrm>
          <a:off x="2914" y="1357734"/>
          <a:ext cx="790491" cy="790491"/>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003F461-9280-4050-9BCB-A72249C8143B}" type="pres">
      <dgm:prSet presAssocID="{81BD1FE7-CF1F-44A5-9553-7A18DBBB1DF3}" presName="parTx" presStyleLbl="revTx" presStyleIdx="0" presStyleCnt="15"/>
      <dgm:spPr>
        <a:prstGeom prst="rect">
          <a:avLst/>
        </a:prstGeom>
      </dgm:spPr>
      <dgm:t>
        <a:bodyPr/>
        <a:lstStyle/>
        <a:p>
          <a:endParaRPr lang="pl-PL"/>
        </a:p>
      </dgm:t>
    </dgm:pt>
    <dgm:pt modelId="{4751B5AD-5812-420A-AAC6-8E0A013F2C0D}" type="pres">
      <dgm:prSet presAssocID="{81BD1FE7-CF1F-44A5-9553-7A18DBBB1DF3}" presName="bSpace" presStyleCnt="0"/>
      <dgm:spPr/>
    </dgm:pt>
    <dgm:pt modelId="{B9FA1688-3CA4-4B0B-ABE5-A770DE2CF0AB}" type="pres">
      <dgm:prSet presAssocID="{81BD1FE7-CF1F-44A5-9553-7A18DBBB1DF3}" presName="parBackupNorm" presStyleCnt="0"/>
      <dgm:spPr/>
    </dgm:pt>
    <dgm:pt modelId="{06848E80-F821-4B01-92C8-7F60558DD1D6}" type="pres">
      <dgm:prSet presAssocID="{3E5A560D-AF12-41C7-BB29-A1B21A2F000F}" presName="parSpace" presStyleCnt="0"/>
      <dgm:spPr/>
    </dgm:pt>
    <dgm:pt modelId="{8603BFF1-5D90-49A8-AD76-000765313963}" type="pres">
      <dgm:prSet presAssocID="{5DFDA1A1-7A7C-4C61-9811-566E154DC2BD}" presName="desBackupLeftNorm" presStyleCnt="0"/>
      <dgm:spPr/>
    </dgm:pt>
    <dgm:pt modelId="{FDBEB47E-A342-450F-8275-52F83AC903FE}" type="pres">
      <dgm:prSet presAssocID="{5DFDA1A1-7A7C-4C61-9811-566E154DC2BD}" presName="desComposite" presStyleCnt="0"/>
      <dgm:spPr/>
    </dgm:pt>
    <dgm:pt modelId="{CCA495A9-32D2-48D4-9634-77A99FF9A869}" type="pres">
      <dgm:prSet presAssocID="{5DFDA1A1-7A7C-4C61-9811-566E154DC2BD}" presName="desCircle" presStyleLbl="node1" presStyleIdx="0" presStyleCnt="6" custScaleX="111030" custScaleY="109313"/>
      <dgm:spPr>
        <a:xfrm>
          <a:off x="830319" y="1528716"/>
          <a:ext cx="455572" cy="448527"/>
        </a:xfrm>
        <a:prstGeom prst="ellipse">
          <a:avLst/>
        </a:prstGeom>
        <a:solidFill>
          <a:srgbClr val="9BBB59"/>
        </a:solidFill>
        <a:ln w="25400" cap="flat" cmpd="sng" algn="ctr">
          <a:solidFill>
            <a:sysClr val="window" lastClr="FFFFFF">
              <a:hueOff val="0"/>
              <a:satOff val="0"/>
              <a:lumOff val="0"/>
              <a:alphaOff val="0"/>
            </a:sysClr>
          </a:solidFill>
          <a:prstDash val="solid"/>
        </a:ln>
        <a:effectLst/>
      </dgm:spPr>
    </dgm:pt>
    <dgm:pt modelId="{A7327C95-A500-4D4C-8A41-232F17AC7D1B}" type="pres">
      <dgm:prSet presAssocID="{5DFDA1A1-7A7C-4C61-9811-566E154DC2BD}" presName="chTx" presStyleLbl="revTx" presStyleIdx="1" presStyleCnt="15"/>
      <dgm:spPr>
        <a:prstGeom prst="rect">
          <a:avLst/>
        </a:prstGeom>
      </dgm:spPr>
      <dgm:t>
        <a:bodyPr/>
        <a:lstStyle/>
        <a:p>
          <a:endParaRPr lang="pl-PL"/>
        </a:p>
      </dgm:t>
    </dgm:pt>
    <dgm:pt modelId="{3E96FC08-8F21-405E-B441-3DC0291A9F1D}" type="pres">
      <dgm:prSet presAssocID="{5DFDA1A1-7A7C-4C61-9811-566E154DC2BD}" presName="desTx" presStyleLbl="revTx" presStyleIdx="2" presStyleCnt="15">
        <dgm:presLayoutVars>
          <dgm:bulletEnabled val="1"/>
        </dgm:presLayoutVars>
      </dgm:prSet>
      <dgm:spPr>
        <a:xfrm rot="17700000">
          <a:off x="899171" y="977179"/>
          <a:ext cx="850054" cy="409864"/>
        </a:xfrm>
        <a:prstGeom prst="rect">
          <a:avLst/>
        </a:prstGeom>
        <a:noFill/>
        <a:ln>
          <a:noFill/>
        </a:ln>
        <a:effectLst/>
      </dgm:spPr>
    </dgm:pt>
    <dgm:pt modelId="{EF6DBA25-45BF-4B0F-9E2F-922CFED2A069}" type="pres">
      <dgm:prSet presAssocID="{5DFDA1A1-7A7C-4C61-9811-566E154DC2BD}" presName="desBackupRightNorm" presStyleCnt="0"/>
      <dgm:spPr/>
    </dgm:pt>
    <dgm:pt modelId="{9E5BDC3C-8D91-4203-BAC6-34A5A2B9B3CE}" type="pres">
      <dgm:prSet presAssocID="{7EBEE3D4-F683-45CE-B848-4A93B241181A}" presName="desSpace" presStyleCnt="0"/>
      <dgm:spPr/>
    </dgm:pt>
    <dgm:pt modelId="{6688143F-67A6-4ADB-A59B-3DFED5BCB637}" type="pres">
      <dgm:prSet presAssocID="{F2872A6E-140F-4BA6-9C25-E5BA4BE36A6D}" presName="desBackupLeftNorm" presStyleCnt="0"/>
      <dgm:spPr/>
    </dgm:pt>
    <dgm:pt modelId="{2FEC4D67-85E8-4BF8-B6D5-7AE76A8813EC}" type="pres">
      <dgm:prSet presAssocID="{F2872A6E-140F-4BA6-9C25-E5BA4BE36A6D}" presName="desComposite" presStyleCnt="0"/>
      <dgm:spPr/>
    </dgm:pt>
    <dgm:pt modelId="{03967024-6336-497F-8E63-E59FCE69EBA4}" type="pres">
      <dgm:prSet presAssocID="{F2872A6E-140F-4BA6-9C25-E5BA4BE36A6D}" presName="desCircle" presStyleLbl="node1" presStyleIdx="1" presStyleCnt="6" custScaleX="143330" custScaleY="135195" custLinFactNeighborX="10352"/>
      <dgm:spPr>
        <a:xfrm>
          <a:off x="1276324" y="1475617"/>
          <a:ext cx="588104" cy="554725"/>
        </a:xfrm>
        <a:prstGeom prst="ellipse">
          <a:avLst/>
        </a:prstGeom>
        <a:solidFill>
          <a:srgbClr val="4F81BD"/>
        </a:solidFill>
        <a:ln w="25400" cap="flat" cmpd="sng" algn="ctr">
          <a:solidFill>
            <a:sysClr val="window" lastClr="FFFFFF">
              <a:hueOff val="0"/>
              <a:satOff val="0"/>
              <a:lumOff val="0"/>
              <a:alphaOff val="0"/>
            </a:sysClr>
          </a:solidFill>
          <a:prstDash val="solid"/>
        </a:ln>
        <a:effectLst/>
      </dgm:spPr>
    </dgm:pt>
    <dgm:pt modelId="{A139D791-63B1-4A47-87FC-38C7A06AAFFF}" type="pres">
      <dgm:prSet presAssocID="{F2872A6E-140F-4BA6-9C25-E5BA4BE36A6D}" presName="chTx" presStyleLbl="revTx" presStyleIdx="3" presStyleCnt="15" custLinFactNeighborY="7877"/>
      <dgm:spPr>
        <a:prstGeom prst="rect">
          <a:avLst/>
        </a:prstGeom>
      </dgm:spPr>
      <dgm:t>
        <a:bodyPr/>
        <a:lstStyle/>
        <a:p>
          <a:endParaRPr lang="pl-PL"/>
        </a:p>
      </dgm:t>
    </dgm:pt>
    <dgm:pt modelId="{DDF56469-1B00-4A5E-821E-602BD5287760}" type="pres">
      <dgm:prSet presAssocID="{F2872A6E-140F-4BA6-9C25-E5BA4BE36A6D}" presName="desTx" presStyleLbl="revTx" presStyleIdx="4" presStyleCnt="15">
        <dgm:presLayoutVars>
          <dgm:bulletEnabled val="1"/>
        </dgm:presLayoutVars>
      </dgm:prSet>
      <dgm:spPr>
        <a:xfrm rot="17700000">
          <a:off x="1368965" y="977179"/>
          <a:ext cx="850054" cy="409864"/>
        </a:xfrm>
        <a:prstGeom prst="rect">
          <a:avLst/>
        </a:prstGeom>
        <a:noFill/>
        <a:ln>
          <a:noFill/>
        </a:ln>
        <a:effectLst/>
      </dgm:spPr>
    </dgm:pt>
    <dgm:pt modelId="{0CE31BB2-8410-4F6F-981C-3F25BE924131}" type="pres">
      <dgm:prSet presAssocID="{F2872A6E-140F-4BA6-9C25-E5BA4BE36A6D}" presName="desBackupRightNorm" presStyleCnt="0"/>
      <dgm:spPr/>
    </dgm:pt>
    <dgm:pt modelId="{EABE943C-C10A-45A8-B78B-16BD9650A32B}" type="pres">
      <dgm:prSet presAssocID="{28297737-4F97-42B9-8105-19FA6E09ADF8}" presName="desSpace" presStyleCnt="0"/>
      <dgm:spPr/>
    </dgm:pt>
    <dgm:pt modelId="{3C4B9249-2536-4B9B-91EC-DA4BC02CA324}" type="pres">
      <dgm:prSet presAssocID="{B785933F-BEC3-4CA0-AF7E-F8E047D8EA4F}" presName="desBackupLeftNorm" presStyleCnt="0"/>
      <dgm:spPr/>
    </dgm:pt>
    <dgm:pt modelId="{672AA93A-D71E-41AB-A052-1D626A2A99DE}" type="pres">
      <dgm:prSet presAssocID="{B785933F-BEC3-4CA0-AF7E-F8E047D8EA4F}" presName="desComposite" presStyleCnt="0"/>
      <dgm:spPr/>
    </dgm:pt>
    <dgm:pt modelId="{8B993F94-CE98-4F34-BE90-1EBCA2C06C91}" type="pres">
      <dgm:prSet presAssocID="{B785933F-BEC3-4CA0-AF7E-F8E047D8EA4F}" presName="desCircle" presStyleLbl="node1" presStyleIdx="2" presStyleCnt="6" custLinFactNeighborX="18116"/>
      <dgm:spPr>
        <a:xfrm>
          <a:off x="1866870" y="1547822"/>
          <a:ext cx="410315" cy="410315"/>
        </a:xfrm>
        <a:prstGeom prst="ellipse">
          <a:avLst/>
        </a:prstGeom>
        <a:solidFill>
          <a:srgbClr val="FFC000"/>
        </a:solidFill>
        <a:ln w="25400" cap="flat" cmpd="sng" algn="ctr">
          <a:solidFill>
            <a:sysClr val="window" lastClr="FFFFFF">
              <a:hueOff val="0"/>
              <a:satOff val="0"/>
              <a:lumOff val="0"/>
              <a:alphaOff val="0"/>
            </a:sysClr>
          </a:solidFill>
          <a:prstDash val="solid"/>
        </a:ln>
        <a:effectLst/>
      </dgm:spPr>
    </dgm:pt>
    <dgm:pt modelId="{1E920010-9F88-4023-9750-12F7AA416BBA}" type="pres">
      <dgm:prSet presAssocID="{B785933F-BEC3-4CA0-AF7E-F8E047D8EA4F}" presName="chTx" presStyleLbl="revTx" presStyleIdx="5" presStyleCnt="15" custLinFactNeighborX="13018" custLinFactNeighborY="5040"/>
      <dgm:spPr>
        <a:prstGeom prst="rect">
          <a:avLst/>
        </a:prstGeom>
      </dgm:spPr>
      <dgm:t>
        <a:bodyPr/>
        <a:lstStyle/>
        <a:p>
          <a:endParaRPr lang="pl-PL"/>
        </a:p>
      </dgm:t>
    </dgm:pt>
    <dgm:pt modelId="{01958925-4C24-4982-8309-2E8CE15E34D9}" type="pres">
      <dgm:prSet presAssocID="{B785933F-BEC3-4CA0-AF7E-F8E047D8EA4F}" presName="desTx" presStyleLbl="revTx" presStyleIdx="6" presStyleCnt="15">
        <dgm:presLayoutVars>
          <dgm:bulletEnabled val="1"/>
        </dgm:presLayoutVars>
      </dgm:prSet>
      <dgm:spPr>
        <a:xfrm rot="17700000">
          <a:off x="1838760" y="977179"/>
          <a:ext cx="850054" cy="409864"/>
        </a:xfrm>
        <a:prstGeom prst="rect">
          <a:avLst/>
        </a:prstGeom>
        <a:noFill/>
        <a:ln>
          <a:noFill/>
        </a:ln>
        <a:effectLst/>
      </dgm:spPr>
    </dgm:pt>
    <dgm:pt modelId="{A6D41033-7430-4A8B-8286-81764E3C698F}" type="pres">
      <dgm:prSet presAssocID="{B785933F-BEC3-4CA0-AF7E-F8E047D8EA4F}" presName="desBackupRightNorm" presStyleCnt="0"/>
      <dgm:spPr/>
    </dgm:pt>
    <dgm:pt modelId="{36AA9F43-11A2-4F19-AE0A-D0384941B3C2}" type="pres">
      <dgm:prSet presAssocID="{F1494F02-27CC-4CE5-BD19-D7701AC4DCA6}" presName="desSpace" presStyleCnt="0"/>
      <dgm:spPr/>
    </dgm:pt>
    <dgm:pt modelId="{9F06E964-4EDE-4FB2-A989-5CB2FA9A10BC}" type="pres">
      <dgm:prSet presAssocID="{7DD216D5-B1A3-49EA-84A9-D36928AD3645}" presName="parComposite" presStyleCnt="0"/>
      <dgm:spPr/>
    </dgm:pt>
    <dgm:pt modelId="{523AD9EF-C037-43DC-880C-9F044C8C5428}" type="pres">
      <dgm:prSet presAssocID="{7DD216D5-B1A3-49EA-84A9-D36928AD3645}" presName="parBigCircle" presStyleLbl="node0" presStyleIdx="1" presStyleCnt="3" custLinFactNeighborX="4813"/>
      <dgm:spPr>
        <a:xfrm>
          <a:off x="2300441" y="1357734"/>
          <a:ext cx="790491" cy="790491"/>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8FA19D7-7638-4634-BE26-17140A7E3BF9}" type="pres">
      <dgm:prSet presAssocID="{7DD216D5-B1A3-49EA-84A9-D36928AD3645}" presName="parTx" presStyleLbl="revTx" presStyleIdx="7" presStyleCnt="15"/>
      <dgm:spPr>
        <a:prstGeom prst="rect">
          <a:avLst/>
        </a:prstGeom>
      </dgm:spPr>
      <dgm:t>
        <a:bodyPr/>
        <a:lstStyle/>
        <a:p>
          <a:endParaRPr lang="pl-PL"/>
        </a:p>
      </dgm:t>
    </dgm:pt>
    <dgm:pt modelId="{0C99C954-CE8F-4616-93AC-B658D4FAF014}" type="pres">
      <dgm:prSet presAssocID="{7DD216D5-B1A3-49EA-84A9-D36928AD3645}" presName="bSpace" presStyleCnt="0"/>
      <dgm:spPr/>
    </dgm:pt>
    <dgm:pt modelId="{B097BC4E-FD1B-4A9C-AF9A-55CA8B4AFB58}" type="pres">
      <dgm:prSet presAssocID="{7DD216D5-B1A3-49EA-84A9-D36928AD3645}" presName="parBackupNorm" presStyleCnt="0"/>
      <dgm:spPr/>
    </dgm:pt>
    <dgm:pt modelId="{727026D5-A1CA-48FD-AFAA-26CCD3F5D7F6}" type="pres">
      <dgm:prSet presAssocID="{B730364A-3A42-4112-B3F7-2A7DC9A53107}" presName="parSpace" presStyleCnt="0"/>
      <dgm:spPr/>
    </dgm:pt>
    <dgm:pt modelId="{1754FD81-21B5-4C07-B623-231E1F97517F}" type="pres">
      <dgm:prSet presAssocID="{634E4F54-50E3-49E8-BAF7-B3FA6AF9A43F}" presName="desBackupLeftNorm" presStyleCnt="0"/>
      <dgm:spPr/>
    </dgm:pt>
    <dgm:pt modelId="{CB8C2D56-F9B4-410B-9714-0780EF78289D}" type="pres">
      <dgm:prSet presAssocID="{634E4F54-50E3-49E8-BAF7-B3FA6AF9A43F}" presName="desComposite" presStyleCnt="0"/>
      <dgm:spPr/>
    </dgm:pt>
    <dgm:pt modelId="{37F40C2A-7306-4FD6-B988-737558D472F1}" type="pres">
      <dgm:prSet presAssocID="{634E4F54-50E3-49E8-BAF7-B3FA6AF9A43F}" presName="desCircle" presStyleLbl="node1" presStyleIdx="3" presStyleCnt="6" custScaleX="81288" custScaleY="78581"/>
      <dgm:spPr>
        <a:xfrm>
          <a:off x="3150818" y="1591765"/>
          <a:ext cx="333536" cy="322429"/>
        </a:xfrm>
        <a:prstGeom prst="ellipse">
          <a:avLst/>
        </a:prstGeom>
        <a:solidFill>
          <a:srgbClr val="9BBB59"/>
        </a:solidFill>
        <a:ln w="25400" cap="flat" cmpd="sng" algn="ctr">
          <a:solidFill>
            <a:sysClr val="window" lastClr="FFFFFF">
              <a:hueOff val="0"/>
              <a:satOff val="0"/>
              <a:lumOff val="0"/>
              <a:alphaOff val="0"/>
            </a:sysClr>
          </a:solidFill>
          <a:prstDash val="solid"/>
        </a:ln>
        <a:effectLst/>
      </dgm:spPr>
    </dgm:pt>
    <dgm:pt modelId="{C4C06F09-5C84-4EDD-A935-00B1A91120DC}" type="pres">
      <dgm:prSet presAssocID="{634E4F54-50E3-49E8-BAF7-B3FA6AF9A43F}" presName="chTx" presStyleLbl="revTx" presStyleIdx="8" presStyleCnt="15" custLinFactNeighborX="3906" custLinFactNeighborY="2016"/>
      <dgm:spPr>
        <a:prstGeom prst="rect">
          <a:avLst/>
        </a:prstGeom>
      </dgm:spPr>
      <dgm:t>
        <a:bodyPr/>
        <a:lstStyle/>
        <a:p>
          <a:endParaRPr lang="pl-PL"/>
        </a:p>
      </dgm:t>
    </dgm:pt>
    <dgm:pt modelId="{511EF88F-D66C-4E8D-B1AA-AE83BA08BB5A}" type="pres">
      <dgm:prSet presAssocID="{634E4F54-50E3-49E8-BAF7-B3FA6AF9A43F}" presName="desTx" presStyleLbl="revTx" presStyleIdx="9" presStyleCnt="15">
        <dgm:presLayoutVars>
          <dgm:bulletEnabled val="1"/>
        </dgm:presLayoutVars>
      </dgm:prSet>
      <dgm:spPr>
        <a:xfrm rot="17700000">
          <a:off x="3158651" y="977179"/>
          <a:ext cx="850054" cy="409864"/>
        </a:xfrm>
        <a:prstGeom prst="rect">
          <a:avLst/>
        </a:prstGeom>
        <a:noFill/>
        <a:ln>
          <a:noFill/>
        </a:ln>
        <a:effectLst/>
      </dgm:spPr>
    </dgm:pt>
    <dgm:pt modelId="{B67C5A55-0543-42FF-B3FE-D81B98CB8C41}" type="pres">
      <dgm:prSet presAssocID="{634E4F54-50E3-49E8-BAF7-B3FA6AF9A43F}" presName="desBackupRightNorm" presStyleCnt="0"/>
      <dgm:spPr/>
    </dgm:pt>
    <dgm:pt modelId="{43CC6A30-0FD9-4E78-8FBF-456DAEF9723F}" type="pres">
      <dgm:prSet presAssocID="{5DFA2BAC-A54C-42C3-BFD7-09EA0133A633}" presName="desSpace" presStyleCnt="0"/>
      <dgm:spPr/>
    </dgm:pt>
    <dgm:pt modelId="{75249E23-1551-47EA-8ACF-27222FE4B8A9}" type="pres">
      <dgm:prSet presAssocID="{43379AA0-990C-4ACB-AAAF-08F95B425E1D}" presName="desBackupLeftNorm" presStyleCnt="0"/>
      <dgm:spPr/>
    </dgm:pt>
    <dgm:pt modelId="{052AEF6D-CEF4-4E8B-9A66-2229BA63079E}" type="pres">
      <dgm:prSet presAssocID="{43379AA0-990C-4ACB-AAAF-08F95B425E1D}" presName="desComposite" presStyleCnt="0"/>
      <dgm:spPr/>
    </dgm:pt>
    <dgm:pt modelId="{027403D4-9C69-46E9-B8A3-0DA739AA05AA}" type="pres">
      <dgm:prSet presAssocID="{43379AA0-990C-4ACB-AAAF-08F95B425E1D}" presName="desCircle" presStyleLbl="node1" presStyleIdx="4" presStyleCnt="6" custScaleX="96981" custScaleY="92492" custLinFactNeighborX="9273"/>
      <dgm:spPr>
        <a:xfrm>
          <a:off x="3626465" y="1563225"/>
          <a:ext cx="397927" cy="379508"/>
        </a:xfrm>
        <a:prstGeom prst="ellipse">
          <a:avLst/>
        </a:prstGeom>
        <a:solidFill>
          <a:srgbClr val="4F81BD"/>
        </a:solidFill>
        <a:ln w="25400" cap="flat" cmpd="sng" algn="ctr">
          <a:solidFill>
            <a:sysClr val="window" lastClr="FFFFFF">
              <a:hueOff val="0"/>
              <a:satOff val="0"/>
              <a:lumOff val="0"/>
              <a:alphaOff val="0"/>
            </a:sysClr>
          </a:solidFill>
          <a:prstDash val="solid"/>
        </a:ln>
        <a:effectLst/>
      </dgm:spPr>
    </dgm:pt>
    <dgm:pt modelId="{E492C500-5A0C-48DC-9C54-1DC300583AC6}" type="pres">
      <dgm:prSet presAssocID="{43379AA0-990C-4ACB-AAAF-08F95B425E1D}" presName="chTx" presStyleLbl="revTx" presStyleIdx="10" presStyleCnt="15" custLinFactNeighborX="4905" custLinFactNeighborY="2297"/>
      <dgm:spPr>
        <a:prstGeom prst="rect">
          <a:avLst/>
        </a:prstGeom>
      </dgm:spPr>
      <dgm:t>
        <a:bodyPr/>
        <a:lstStyle/>
        <a:p>
          <a:endParaRPr lang="pl-PL"/>
        </a:p>
      </dgm:t>
    </dgm:pt>
    <dgm:pt modelId="{C79446FF-A1BA-4445-B05B-8DBB146E9BB3}" type="pres">
      <dgm:prSet presAssocID="{43379AA0-990C-4ACB-AAAF-08F95B425E1D}" presName="desTx" presStyleLbl="revTx" presStyleIdx="11" presStyleCnt="15">
        <dgm:presLayoutVars>
          <dgm:bulletEnabled val="1"/>
        </dgm:presLayoutVars>
      </dgm:prSet>
      <dgm:spPr>
        <a:xfrm rot="17700000">
          <a:off x="3628445" y="977179"/>
          <a:ext cx="850054" cy="409864"/>
        </a:xfrm>
        <a:prstGeom prst="rect">
          <a:avLst/>
        </a:prstGeom>
        <a:noFill/>
        <a:ln>
          <a:noFill/>
        </a:ln>
        <a:effectLst/>
      </dgm:spPr>
    </dgm:pt>
    <dgm:pt modelId="{F5E7DDAA-719D-4E2C-91FD-64491EFFF4D7}" type="pres">
      <dgm:prSet presAssocID="{43379AA0-990C-4ACB-AAAF-08F95B425E1D}" presName="desBackupRightNorm" presStyleCnt="0"/>
      <dgm:spPr/>
    </dgm:pt>
    <dgm:pt modelId="{047D16B8-9640-4D01-BACF-FB32108D9EE1}" type="pres">
      <dgm:prSet presAssocID="{8187E422-22EF-4BE0-ACE7-12D9671B7438}" presName="desSpace" presStyleCnt="0"/>
      <dgm:spPr/>
    </dgm:pt>
    <dgm:pt modelId="{838BBC3A-F52E-41DC-8872-243CA9D918A2}" type="pres">
      <dgm:prSet presAssocID="{1DB2563B-0910-465D-A038-12BCCE11C1A1}" presName="desBackupLeftNorm" presStyleCnt="0"/>
      <dgm:spPr/>
    </dgm:pt>
    <dgm:pt modelId="{D59F5AD7-F5AF-41DA-80EE-38B7713660BB}" type="pres">
      <dgm:prSet presAssocID="{1DB2563B-0910-465D-A038-12BCCE11C1A1}" presName="desComposite" presStyleCnt="0"/>
      <dgm:spPr/>
    </dgm:pt>
    <dgm:pt modelId="{DB2E89A3-B8C6-4360-B326-86DDBCEA1055}" type="pres">
      <dgm:prSet presAssocID="{1DB2563B-0910-465D-A038-12BCCE11C1A1}" presName="desCircle" presStyleLbl="node1" presStyleIdx="5" presStyleCnt="6" custScaleX="68810" custScaleY="73081" custLinFactNeighborX="11592"/>
      <dgm:spPr>
        <a:xfrm>
          <a:off x="4163570" y="1603048"/>
          <a:ext cx="282337" cy="299862"/>
        </a:xfrm>
        <a:prstGeom prst="ellipse">
          <a:avLst/>
        </a:prstGeom>
        <a:solidFill>
          <a:srgbClr val="FFC000"/>
        </a:solidFill>
        <a:ln w="25400" cap="flat" cmpd="sng" algn="ctr">
          <a:solidFill>
            <a:sysClr val="window" lastClr="FFFFFF">
              <a:hueOff val="0"/>
              <a:satOff val="0"/>
              <a:lumOff val="0"/>
              <a:alphaOff val="0"/>
            </a:sysClr>
          </a:solidFill>
          <a:prstDash val="solid"/>
        </a:ln>
        <a:effectLst/>
      </dgm:spPr>
    </dgm:pt>
    <dgm:pt modelId="{F5956901-38D0-49D1-BE17-34BF540ECBD5}" type="pres">
      <dgm:prSet presAssocID="{1DB2563B-0910-465D-A038-12BCCE11C1A1}" presName="chTx" presStyleLbl="revTx" presStyleIdx="12" presStyleCnt="15" custLinFactNeighborX="11717"/>
      <dgm:spPr>
        <a:prstGeom prst="rect">
          <a:avLst/>
        </a:prstGeom>
      </dgm:spPr>
      <dgm:t>
        <a:bodyPr/>
        <a:lstStyle/>
        <a:p>
          <a:endParaRPr lang="pl-PL"/>
        </a:p>
      </dgm:t>
    </dgm:pt>
    <dgm:pt modelId="{F48BD3BB-F594-46DB-8E21-4D34ECF72025}" type="pres">
      <dgm:prSet presAssocID="{1DB2563B-0910-465D-A038-12BCCE11C1A1}" presName="desTx" presStyleLbl="revTx" presStyleIdx="13" presStyleCnt="15">
        <dgm:presLayoutVars>
          <dgm:bulletEnabled val="1"/>
        </dgm:presLayoutVars>
      </dgm:prSet>
      <dgm:spPr>
        <a:xfrm rot="17700000">
          <a:off x="4098240" y="977179"/>
          <a:ext cx="850054" cy="409864"/>
        </a:xfrm>
        <a:prstGeom prst="rect">
          <a:avLst/>
        </a:prstGeom>
        <a:noFill/>
        <a:ln>
          <a:noFill/>
        </a:ln>
        <a:effectLst/>
      </dgm:spPr>
    </dgm:pt>
    <dgm:pt modelId="{0053353B-2942-4811-8F1E-D3D311330DC8}" type="pres">
      <dgm:prSet presAssocID="{1DB2563B-0910-465D-A038-12BCCE11C1A1}" presName="desBackupRightNorm" presStyleCnt="0"/>
      <dgm:spPr/>
    </dgm:pt>
    <dgm:pt modelId="{455E8983-1572-452C-A1C1-920B7488491F}" type="pres">
      <dgm:prSet presAssocID="{B42E0A9A-4C96-48F2-AAA7-93CB2A613F98}" presName="desSpace" presStyleCnt="0"/>
      <dgm:spPr/>
    </dgm:pt>
    <dgm:pt modelId="{D9B0758E-D86C-4510-9DC0-3616155A7A27}" type="pres">
      <dgm:prSet presAssocID="{66B552FD-223A-42A4-B9E9-AF5E30A13B8F}" presName="parComposite" presStyleCnt="0"/>
      <dgm:spPr/>
    </dgm:pt>
    <dgm:pt modelId="{67772545-AD25-40AA-AC9F-27325A8D0F87}" type="pres">
      <dgm:prSet presAssocID="{66B552FD-223A-42A4-B9E9-AF5E30A13B8F}" presName="parBigCircle" presStyleLbl="node0" presStyleIdx="2" presStyleCnt="3"/>
      <dgm:spPr>
        <a:xfrm>
          <a:off x="4521875" y="1357734"/>
          <a:ext cx="790491" cy="790491"/>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6717094-25C8-4892-A1BF-E2D867BFA8F1}" type="pres">
      <dgm:prSet presAssocID="{66B552FD-223A-42A4-B9E9-AF5E30A13B8F}" presName="parTx" presStyleLbl="revTx" presStyleIdx="14" presStyleCnt="15"/>
      <dgm:spPr>
        <a:prstGeom prst="rect">
          <a:avLst/>
        </a:prstGeom>
      </dgm:spPr>
      <dgm:t>
        <a:bodyPr/>
        <a:lstStyle/>
        <a:p>
          <a:endParaRPr lang="pl-PL"/>
        </a:p>
      </dgm:t>
    </dgm:pt>
    <dgm:pt modelId="{567C8F18-20BC-4C72-BBA0-9CE67A8D21F1}" type="pres">
      <dgm:prSet presAssocID="{66B552FD-223A-42A4-B9E9-AF5E30A13B8F}" presName="bSpace" presStyleCnt="0"/>
      <dgm:spPr/>
    </dgm:pt>
    <dgm:pt modelId="{7F5BBE18-30B5-48C0-881B-930AD76868A9}" type="pres">
      <dgm:prSet presAssocID="{66B552FD-223A-42A4-B9E9-AF5E30A13B8F}" presName="parBackupNorm" presStyleCnt="0"/>
      <dgm:spPr/>
    </dgm:pt>
    <dgm:pt modelId="{9527A107-BE5F-428A-9507-86439A18BB89}" type="pres">
      <dgm:prSet presAssocID="{E161E248-05BD-4C15-AF4F-756F84A3491F}" presName="parSpace" presStyleCnt="0"/>
      <dgm:spPr/>
    </dgm:pt>
  </dgm:ptLst>
  <dgm:cxnLst>
    <dgm:cxn modelId="{7C45CA38-2518-421B-B661-8878CE7BDF6D}" srcId="{81BD1FE7-CF1F-44A5-9553-7A18DBBB1DF3}" destId="{5DFDA1A1-7A7C-4C61-9811-566E154DC2BD}" srcOrd="0" destOrd="0" parTransId="{48CB5978-396F-44A4-9776-E73ABEE0B04B}" sibTransId="{7EBEE3D4-F683-45CE-B848-4A93B241181A}"/>
    <dgm:cxn modelId="{4FF4933F-939C-40CC-8B4C-653ADBB5ECB7}" srcId="{5B73D4CE-69E8-494E-A173-E2CB3443CC78}" destId="{81BD1FE7-CF1F-44A5-9553-7A18DBBB1DF3}" srcOrd="0" destOrd="0" parTransId="{15DECD8A-6FEE-4232-AB00-7D8E41EBD650}" sibTransId="{3E5A560D-AF12-41C7-BB29-A1B21A2F000F}"/>
    <dgm:cxn modelId="{E4C42597-3D41-40F4-B8D7-6EA88164B3BD}" srcId="{5B73D4CE-69E8-494E-A173-E2CB3443CC78}" destId="{66B552FD-223A-42A4-B9E9-AF5E30A13B8F}" srcOrd="2" destOrd="0" parTransId="{A8710295-427C-423F-8E97-315B1BC66161}" sibTransId="{E161E248-05BD-4C15-AF4F-756F84A3491F}"/>
    <dgm:cxn modelId="{86AECD11-410B-46E1-8723-CADC4EC87272}" type="presOf" srcId="{F2872A6E-140F-4BA6-9C25-E5BA4BE36A6D}" destId="{A139D791-63B1-4A47-87FC-38C7A06AAFFF}" srcOrd="0" destOrd="0" presId="urn:microsoft.com/office/officeart/2008/layout/CircleAccentTimeline"/>
    <dgm:cxn modelId="{E2394965-0B1F-47E9-98F0-7835192D67A4}" srcId="{7DD216D5-B1A3-49EA-84A9-D36928AD3645}" destId="{1DB2563B-0910-465D-A038-12BCCE11C1A1}" srcOrd="2" destOrd="0" parTransId="{1175A277-C244-4EA6-BD8F-384C2821F5DD}" sibTransId="{B42E0A9A-4C96-48F2-AAA7-93CB2A613F98}"/>
    <dgm:cxn modelId="{9E8DE3CF-0F70-42E2-AC59-E59DDE9A9CC3}" type="presOf" srcId="{634E4F54-50E3-49E8-BAF7-B3FA6AF9A43F}" destId="{C4C06F09-5C84-4EDD-A935-00B1A91120DC}" srcOrd="0" destOrd="0" presId="urn:microsoft.com/office/officeart/2008/layout/CircleAccentTimeline"/>
    <dgm:cxn modelId="{6F3C98E3-852C-4EAF-903E-D6DBDD352FC1}" type="presOf" srcId="{5DFDA1A1-7A7C-4C61-9811-566E154DC2BD}" destId="{A7327C95-A500-4D4C-8A41-232F17AC7D1B}" srcOrd="0" destOrd="0" presId="urn:microsoft.com/office/officeart/2008/layout/CircleAccentTimeline"/>
    <dgm:cxn modelId="{BE4F07EB-26F4-47D8-938D-9DD4520F8EE5}" srcId="{7DD216D5-B1A3-49EA-84A9-D36928AD3645}" destId="{634E4F54-50E3-49E8-BAF7-B3FA6AF9A43F}" srcOrd="0" destOrd="0" parTransId="{D0B52F57-B020-4993-ACA6-51BB84C9E7A0}" sibTransId="{5DFA2BAC-A54C-42C3-BFD7-09EA0133A633}"/>
    <dgm:cxn modelId="{55E53FEE-0604-439A-8C2C-212F3641EB8F}" srcId="{5B73D4CE-69E8-494E-A173-E2CB3443CC78}" destId="{7DD216D5-B1A3-49EA-84A9-D36928AD3645}" srcOrd="1" destOrd="0" parTransId="{92FEF76D-C92D-4563-B364-FB89924BFA8D}" sibTransId="{B730364A-3A42-4112-B3F7-2A7DC9A53107}"/>
    <dgm:cxn modelId="{313C3695-218C-4386-A58D-1ABAFEC7C465}" srcId="{81BD1FE7-CF1F-44A5-9553-7A18DBBB1DF3}" destId="{B785933F-BEC3-4CA0-AF7E-F8E047D8EA4F}" srcOrd="2" destOrd="0" parTransId="{7DAB7BBF-315A-4F82-9254-AE7BB4E6D0C2}" sibTransId="{F1494F02-27CC-4CE5-BD19-D7701AC4DCA6}"/>
    <dgm:cxn modelId="{2FC4473B-ACA6-4D4C-96FC-1643156E3E54}" type="presOf" srcId="{5B73D4CE-69E8-494E-A173-E2CB3443CC78}" destId="{019F8FA4-2C93-4EAE-AD06-53588A0EB310}" srcOrd="0" destOrd="0" presId="urn:microsoft.com/office/officeart/2008/layout/CircleAccentTimeline"/>
    <dgm:cxn modelId="{0280456F-04EC-4E29-88B7-748CB689DA52}" srcId="{81BD1FE7-CF1F-44A5-9553-7A18DBBB1DF3}" destId="{F2872A6E-140F-4BA6-9C25-E5BA4BE36A6D}" srcOrd="1" destOrd="0" parTransId="{B7E0E8DC-2832-45D2-9877-296D0F3C8D3F}" sibTransId="{28297737-4F97-42B9-8105-19FA6E09ADF8}"/>
    <dgm:cxn modelId="{34D69AB1-1D67-470F-BA46-CA6A09170904}" srcId="{7DD216D5-B1A3-49EA-84A9-D36928AD3645}" destId="{43379AA0-990C-4ACB-AAAF-08F95B425E1D}" srcOrd="1" destOrd="0" parTransId="{1EBCF8F2-F5FE-40EF-8156-C5AA9E96439A}" sibTransId="{8187E422-22EF-4BE0-ACE7-12D9671B7438}"/>
    <dgm:cxn modelId="{AE19E4D0-0392-4CB4-B01B-92A3616F9476}" type="presOf" srcId="{7DD216D5-B1A3-49EA-84A9-D36928AD3645}" destId="{68FA19D7-7638-4634-BE26-17140A7E3BF9}" srcOrd="0" destOrd="0" presId="urn:microsoft.com/office/officeart/2008/layout/CircleAccentTimeline"/>
    <dgm:cxn modelId="{E6C80FF5-D011-4249-B7B5-AD0A2E20452F}" type="presOf" srcId="{81BD1FE7-CF1F-44A5-9553-7A18DBBB1DF3}" destId="{5003F461-9280-4050-9BCB-A72249C8143B}" srcOrd="0" destOrd="0" presId="urn:microsoft.com/office/officeart/2008/layout/CircleAccentTimeline"/>
    <dgm:cxn modelId="{9C4FBC33-0AC9-4937-9A1A-7D7BA772385D}" type="presOf" srcId="{43379AA0-990C-4ACB-AAAF-08F95B425E1D}" destId="{E492C500-5A0C-48DC-9C54-1DC300583AC6}" srcOrd="0" destOrd="0" presId="urn:microsoft.com/office/officeart/2008/layout/CircleAccentTimeline"/>
    <dgm:cxn modelId="{EE29E678-C55E-49B0-ABD3-17F4D450720C}" type="presOf" srcId="{66B552FD-223A-42A4-B9E9-AF5E30A13B8F}" destId="{B6717094-25C8-4892-A1BF-E2D867BFA8F1}" srcOrd="0" destOrd="0" presId="urn:microsoft.com/office/officeart/2008/layout/CircleAccentTimeline"/>
    <dgm:cxn modelId="{688A7A63-3293-4139-9474-7BC358D06360}" type="presOf" srcId="{1DB2563B-0910-465D-A038-12BCCE11C1A1}" destId="{F5956901-38D0-49D1-BE17-34BF540ECBD5}" srcOrd="0" destOrd="0" presId="urn:microsoft.com/office/officeart/2008/layout/CircleAccentTimeline"/>
    <dgm:cxn modelId="{7839D8ED-460F-4648-B87D-5A1C48030048}" type="presOf" srcId="{B785933F-BEC3-4CA0-AF7E-F8E047D8EA4F}" destId="{1E920010-9F88-4023-9750-12F7AA416BBA}" srcOrd="0" destOrd="0" presId="urn:microsoft.com/office/officeart/2008/layout/CircleAccentTimeline"/>
    <dgm:cxn modelId="{DB0823D3-5C4D-4E3B-8DC9-9F4A2E93A413}" type="presParOf" srcId="{019F8FA4-2C93-4EAE-AD06-53588A0EB310}" destId="{5E8DEBFD-821E-45E8-99C3-CB0842131CA8}" srcOrd="0" destOrd="0" presId="urn:microsoft.com/office/officeart/2008/layout/CircleAccentTimeline"/>
    <dgm:cxn modelId="{C2A8A30E-2DC7-459F-B3A2-F0FFD7A5FEEE}" type="presParOf" srcId="{5E8DEBFD-821E-45E8-99C3-CB0842131CA8}" destId="{E37C862C-4D9D-430A-881A-3126A7F160BE}" srcOrd="0" destOrd="0" presId="urn:microsoft.com/office/officeart/2008/layout/CircleAccentTimeline"/>
    <dgm:cxn modelId="{83318360-6AAE-45F9-B313-BA1E8748A010}" type="presParOf" srcId="{5E8DEBFD-821E-45E8-99C3-CB0842131CA8}" destId="{5003F461-9280-4050-9BCB-A72249C8143B}" srcOrd="1" destOrd="0" presId="urn:microsoft.com/office/officeart/2008/layout/CircleAccentTimeline"/>
    <dgm:cxn modelId="{D98FD95E-AC40-4D81-B959-5ED718BC95B3}" type="presParOf" srcId="{5E8DEBFD-821E-45E8-99C3-CB0842131CA8}" destId="{4751B5AD-5812-420A-AAC6-8E0A013F2C0D}" srcOrd="2" destOrd="0" presId="urn:microsoft.com/office/officeart/2008/layout/CircleAccentTimeline"/>
    <dgm:cxn modelId="{11B90082-98C7-4E7D-B263-C2D6DF1DB0ED}" type="presParOf" srcId="{019F8FA4-2C93-4EAE-AD06-53588A0EB310}" destId="{B9FA1688-3CA4-4B0B-ABE5-A770DE2CF0AB}" srcOrd="1" destOrd="0" presId="urn:microsoft.com/office/officeart/2008/layout/CircleAccentTimeline"/>
    <dgm:cxn modelId="{740DD8BE-9D7D-4C8E-92AA-0D1734C54069}" type="presParOf" srcId="{019F8FA4-2C93-4EAE-AD06-53588A0EB310}" destId="{06848E80-F821-4B01-92C8-7F60558DD1D6}" srcOrd="2" destOrd="0" presId="urn:microsoft.com/office/officeart/2008/layout/CircleAccentTimeline"/>
    <dgm:cxn modelId="{141BD098-F135-4F6F-8985-1EF184CF2E07}" type="presParOf" srcId="{019F8FA4-2C93-4EAE-AD06-53588A0EB310}" destId="{8603BFF1-5D90-49A8-AD76-000765313963}" srcOrd="3" destOrd="0" presId="urn:microsoft.com/office/officeart/2008/layout/CircleAccentTimeline"/>
    <dgm:cxn modelId="{EEA986F8-5333-419B-9297-E7069A040BF8}" type="presParOf" srcId="{019F8FA4-2C93-4EAE-AD06-53588A0EB310}" destId="{FDBEB47E-A342-450F-8275-52F83AC903FE}" srcOrd="4" destOrd="0" presId="urn:microsoft.com/office/officeart/2008/layout/CircleAccentTimeline"/>
    <dgm:cxn modelId="{31A71806-1F1A-4887-A1A9-08873B14E3FC}" type="presParOf" srcId="{FDBEB47E-A342-450F-8275-52F83AC903FE}" destId="{CCA495A9-32D2-48D4-9634-77A99FF9A869}" srcOrd="0" destOrd="0" presId="urn:microsoft.com/office/officeart/2008/layout/CircleAccentTimeline"/>
    <dgm:cxn modelId="{350C828D-5749-4478-99F3-6E737E76824A}" type="presParOf" srcId="{FDBEB47E-A342-450F-8275-52F83AC903FE}" destId="{A7327C95-A500-4D4C-8A41-232F17AC7D1B}" srcOrd="1" destOrd="0" presId="urn:microsoft.com/office/officeart/2008/layout/CircleAccentTimeline"/>
    <dgm:cxn modelId="{B6779348-9F6B-49DB-8E1C-A7EB20053B7D}" type="presParOf" srcId="{FDBEB47E-A342-450F-8275-52F83AC903FE}" destId="{3E96FC08-8F21-405E-B441-3DC0291A9F1D}" srcOrd="2" destOrd="0" presId="urn:microsoft.com/office/officeart/2008/layout/CircleAccentTimeline"/>
    <dgm:cxn modelId="{5615A661-72C7-4E36-B766-9A6028C4C22E}" type="presParOf" srcId="{019F8FA4-2C93-4EAE-AD06-53588A0EB310}" destId="{EF6DBA25-45BF-4B0F-9E2F-922CFED2A069}" srcOrd="5" destOrd="0" presId="urn:microsoft.com/office/officeart/2008/layout/CircleAccentTimeline"/>
    <dgm:cxn modelId="{35435507-C82F-4E50-8327-DB37AE89ED7C}" type="presParOf" srcId="{019F8FA4-2C93-4EAE-AD06-53588A0EB310}" destId="{9E5BDC3C-8D91-4203-BAC6-34A5A2B9B3CE}" srcOrd="6" destOrd="0" presId="urn:microsoft.com/office/officeart/2008/layout/CircleAccentTimeline"/>
    <dgm:cxn modelId="{A61763A7-252D-4E1E-A974-17D42E555D00}" type="presParOf" srcId="{019F8FA4-2C93-4EAE-AD06-53588A0EB310}" destId="{6688143F-67A6-4ADB-A59B-3DFED5BCB637}" srcOrd="7" destOrd="0" presId="urn:microsoft.com/office/officeart/2008/layout/CircleAccentTimeline"/>
    <dgm:cxn modelId="{909A9899-D8B6-4348-8CCB-CFC651AA82E7}" type="presParOf" srcId="{019F8FA4-2C93-4EAE-AD06-53588A0EB310}" destId="{2FEC4D67-85E8-4BF8-B6D5-7AE76A8813EC}" srcOrd="8" destOrd="0" presId="urn:microsoft.com/office/officeart/2008/layout/CircleAccentTimeline"/>
    <dgm:cxn modelId="{99782F3A-8603-4EAA-B34C-E54A26B70E07}" type="presParOf" srcId="{2FEC4D67-85E8-4BF8-B6D5-7AE76A8813EC}" destId="{03967024-6336-497F-8E63-E59FCE69EBA4}" srcOrd="0" destOrd="0" presId="urn:microsoft.com/office/officeart/2008/layout/CircleAccentTimeline"/>
    <dgm:cxn modelId="{CD0ED725-D0F4-4AF2-93C2-5CB8FFE5AE3D}" type="presParOf" srcId="{2FEC4D67-85E8-4BF8-B6D5-7AE76A8813EC}" destId="{A139D791-63B1-4A47-87FC-38C7A06AAFFF}" srcOrd="1" destOrd="0" presId="urn:microsoft.com/office/officeart/2008/layout/CircleAccentTimeline"/>
    <dgm:cxn modelId="{40C3ACE5-85D0-4C6E-9699-6948136A08EF}" type="presParOf" srcId="{2FEC4D67-85E8-4BF8-B6D5-7AE76A8813EC}" destId="{DDF56469-1B00-4A5E-821E-602BD5287760}" srcOrd="2" destOrd="0" presId="urn:microsoft.com/office/officeart/2008/layout/CircleAccentTimeline"/>
    <dgm:cxn modelId="{E686114D-CC1B-4571-A0B3-0FB2043AC2F4}" type="presParOf" srcId="{019F8FA4-2C93-4EAE-AD06-53588A0EB310}" destId="{0CE31BB2-8410-4F6F-981C-3F25BE924131}" srcOrd="9" destOrd="0" presId="urn:microsoft.com/office/officeart/2008/layout/CircleAccentTimeline"/>
    <dgm:cxn modelId="{B30A462B-936F-421F-9B67-ECAF1A2815F2}" type="presParOf" srcId="{019F8FA4-2C93-4EAE-AD06-53588A0EB310}" destId="{EABE943C-C10A-45A8-B78B-16BD9650A32B}" srcOrd="10" destOrd="0" presId="urn:microsoft.com/office/officeart/2008/layout/CircleAccentTimeline"/>
    <dgm:cxn modelId="{B464866D-CE86-4156-9290-79585199CF98}" type="presParOf" srcId="{019F8FA4-2C93-4EAE-AD06-53588A0EB310}" destId="{3C4B9249-2536-4B9B-91EC-DA4BC02CA324}" srcOrd="11" destOrd="0" presId="urn:microsoft.com/office/officeart/2008/layout/CircleAccentTimeline"/>
    <dgm:cxn modelId="{37A2EDE2-0FF0-46A4-9B8D-F70B499A7DCF}" type="presParOf" srcId="{019F8FA4-2C93-4EAE-AD06-53588A0EB310}" destId="{672AA93A-D71E-41AB-A052-1D626A2A99DE}" srcOrd="12" destOrd="0" presId="urn:microsoft.com/office/officeart/2008/layout/CircleAccentTimeline"/>
    <dgm:cxn modelId="{ACFA10B9-AD03-4939-8C48-C4338ADA6D98}" type="presParOf" srcId="{672AA93A-D71E-41AB-A052-1D626A2A99DE}" destId="{8B993F94-CE98-4F34-BE90-1EBCA2C06C91}" srcOrd="0" destOrd="0" presId="urn:microsoft.com/office/officeart/2008/layout/CircleAccentTimeline"/>
    <dgm:cxn modelId="{5E067392-EF07-451B-ABF1-2B13D25029DA}" type="presParOf" srcId="{672AA93A-D71E-41AB-A052-1D626A2A99DE}" destId="{1E920010-9F88-4023-9750-12F7AA416BBA}" srcOrd="1" destOrd="0" presId="urn:microsoft.com/office/officeart/2008/layout/CircleAccentTimeline"/>
    <dgm:cxn modelId="{E8C3E1FB-EB9D-4EB6-A956-C574658F40DB}" type="presParOf" srcId="{672AA93A-D71E-41AB-A052-1D626A2A99DE}" destId="{01958925-4C24-4982-8309-2E8CE15E34D9}" srcOrd="2" destOrd="0" presId="urn:microsoft.com/office/officeart/2008/layout/CircleAccentTimeline"/>
    <dgm:cxn modelId="{2F9EE98A-BAAC-486E-AC73-CB7923AFEF95}" type="presParOf" srcId="{019F8FA4-2C93-4EAE-AD06-53588A0EB310}" destId="{A6D41033-7430-4A8B-8286-81764E3C698F}" srcOrd="13" destOrd="0" presId="urn:microsoft.com/office/officeart/2008/layout/CircleAccentTimeline"/>
    <dgm:cxn modelId="{8DF28481-64FC-4E95-803E-CC82C8CC528E}" type="presParOf" srcId="{019F8FA4-2C93-4EAE-AD06-53588A0EB310}" destId="{36AA9F43-11A2-4F19-AE0A-D0384941B3C2}" srcOrd="14" destOrd="0" presId="urn:microsoft.com/office/officeart/2008/layout/CircleAccentTimeline"/>
    <dgm:cxn modelId="{2A94908E-A55A-432E-B594-96569D61EA92}" type="presParOf" srcId="{019F8FA4-2C93-4EAE-AD06-53588A0EB310}" destId="{9F06E964-4EDE-4FB2-A989-5CB2FA9A10BC}" srcOrd="15" destOrd="0" presId="urn:microsoft.com/office/officeart/2008/layout/CircleAccentTimeline"/>
    <dgm:cxn modelId="{0C073C74-6BC9-483E-87FA-C2FE3FE3BDB7}" type="presParOf" srcId="{9F06E964-4EDE-4FB2-A989-5CB2FA9A10BC}" destId="{523AD9EF-C037-43DC-880C-9F044C8C5428}" srcOrd="0" destOrd="0" presId="urn:microsoft.com/office/officeart/2008/layout/CircleAccentTimeline"/>
    <dgm:cxn modelId="{8F9449AA-53CD-49D1-8AD5-BBFAEA632423}" type="presParOf" srcId="{9F06E964-4EDE-4FB2-A989-5CB2FA9A10BC}" destId="{68FA19D7-7638-4634-BE26-17140A7E3BF9}" srcOrd="1" destOrd="0" presId="urn:microsoft.com/office/officeart/2008/layout/CircleAccentTimeline"/>
    <dgm:cxn modelId="{EF2A51EF-3FEF-4060-8AAF-615F4603664E}" type="presParOf" srcId="{9F06E964-4EDE-4FB2-A989-5CB2FA9A10BC}" destId="{0C99C954-CE8F-4616-93AC-B658D4FAF014}" srcOrd="2" destOrd="0" presId="urn:microsoft.com/office/officeart/2008/layout/CircleAccentTimeline"/>
    <dgm:cxn modelId="{CC8FAB52-60DB-41B6-A60D-949D785EFD9C}" type="presParOf" srcId="{019F8FA4-2C93-4EAE-AD06-53588A0EB310}" destId="{B097BC4E-FD1B-4A9C-AF9A-55CA8B4AFB58}" srcOrd="16" destOrd="0" presId="urn:microsoft.com/office/officeart/2008/layout/CircleAccentTimeline"/>
    <dgm:cxn modelId="{DDCE3B48-6166-4D9B-ABD5-85F8C53C0132}" type="presParOf" srcId="{019F8FA4-2C93-4EAE-AD06-53588A0EB310}" destId="{727026D5-A1CA-48FD-AFAA-26CCD3F5D7F6}" srcOrd="17" destOrd="0" presId="urn:microsoft.com/office/officeart/2008/layout/CircleAccentTimeline"/>
    <dgm:cxn modelId="{7F07E86A-52A1-4A81-B73F-DE3A9510B5CA}" type="presParOf" srcId="{019F8FA4-2C93-4EAE-AD06-53588A0EB310}" destId="{1754FD81-21B5-4C07-B623-231E1F97517F}" srcOrd="18" destOrd="0" presId="urn:microsoft.com/office/officeart/2008/layout/CircleAccentTimeline"/>
    <dgm:cxn modelId="{FABC3B03-89D9-4D48-A74C-15319169BED5}" type="presParOf" srcId="{019F8FA4-2C93-4EAE-AD06-53588A0EB310}" destId="{CB8C2D56-F9B4-410B-9714-0780EF78289D}" srcOrd="19" destOrd="0" presId="urn:microsoft.com/office/officeart/2008/layout/CircleAccentTimeline"/>
    <dgm:cxn modelId="{8FC9D30E-E3F1-47D1-B4C3-9BB5D822E0D2}" type="presParOf" srcId="{CB8C2D56-F9B4-410B-9714-0780EF78289D}" destId="{37F40C2A-7306-4FD6-B988-737558D472F1}" srcOrd="0" destOrd="0" presId="urn:microsoft.com/office/officeart/2008/layout/CircleAccentTimeline"/>
    <dgm:cxn modelId="{9B155A98-84F6-42A4-A6E7-7C42E2027AA4}" type="presParOf" srcId="{CB8C2D56-F9B4-410B-9714-0780EF78289D}" destId="{C4C06F09-5C84-4EDD-A935-00B1A91120DC}" srcOrd="1" destOrd="0" presId="urn:microsoft.com/office/officeart/2008/layout/CircleAccentTimeline"/>
    <dgm:cxn modelId="{545D307A-A3DA-40D0-9EB0-CFE3D2931AE7}" type="presParOf" srcId="{CB8C2D56-F9B4-410B-9714-0780EF78289D}" destId="{511EF88F-D66C-4E8D-B1AA-AE83BA08BB5A}" srcOrd="2" destOrd="0" presId="urn:microsoft.com/office/officeart/2008/layout/CircleAccentTimeline"/>
    <dgm:cxn modelId="{0388699C-B688-478A-A139-832D02DD1545}" type="presParOf" srcId="{019F8FA4-2C93-4EAE-AD06-53588A0EB310}" destId="{B67C5A55-0543-42FF-B3FE-D81B98CB8C41}" srcOrd="20" destOrd="0" presId="urn:microsoft.com/office/officeart/2008/layout/CircleAccentTimeline"/>
    <dgm:cxn modelId="{B45893F3-91FB-41D3-97C7-DDFF05129959}" type="presParOf" srcId="{019F8FA4-2C93-4EAE-AD06-53588A0EB310}" destId="{43CC6A30-0FD9-4E78-8FBF-456DAEF9723F}" srcOrd="21" destOrd="0" presId="urn:microsoft.com/office/officeart/2008/layout/CircleAccentTimeline"/>
    <dgm:cxn modelId="{0BCA9247-715B-443E-A1C5-A323BDE9267E}" type="presParOf" srcId="{019F8FA4-2C93-4EAE-AD06-53588A0EB310}" destId="{75249E23-1551-47EA-8ACF-27222FE4B8A9}" srcOrd="22" destOrd="0" presId="urn:microsoft.com/office/officeart/2008/layout/CircleAccentTimeline"/>
    <dgm:cxn modelId="{9B40571E-6B91-4060-8397-7F23A7E00236}" type="presParOf" srcId="{019F8FA4-2C93-4EAE-AD06-53588A0EB310}" destId="{052AEF6D-CEF4-4E8B-9A66-2229BA63079E}" srcOrd="23" destOrd="0" presId="urn:microsoft.com/office/officeart/2008/layout/CircleAccentTimeline"/>
    <dgm:cxn modelId="{B53B9554-4344-47AF-A23D-62089F79D2C8}" type="presParOf" srcId="{052AEF6D-CEF4-4E8B-9A66-2229BA63079E}" destId="{027403D4-9C69-46E9-B8A3-0DA739AA05AA}" srcOrd="0" destOrd="0" presId="urn:microsoft.com/office/officeart/2008/layout/CircleAccentTimeline"/>
    <dgm:cxn modelId="{EC01B4C6-CF35-4506-95B3-02FC478EB55D}" type="presParOf" srcId="{052AEF6D-CEF4-4E8B-9A66-2229BA63079E}" destId="{E492C500-5A0C-48DC-9C54-1DC300583AC6}" srcOrd="1" destOrd="0" presId="urn:microsoft.com/office/officeart/2008/layout/CircleAccentTimeline"/>
    <dgm:cxn modelId="{28A4A9CA-BA46-407C-8B65-01D888A78790}" type="presParOf" srcId="{052AEF6D-CEF4-4E8B-9A66-2229BA63079E}" destId="{C79446FF-A1BA-4445-B05B-8DBB146E9BB3}" srcOrd="2" destOrd="0" presId="urn:microsoft.com/office/officeart/2008/layout/CircleAccentTimeline"/>
    <dgm:cxn modelId="{599491C6-AD17-4B78-8DE3-78E7C9E2C2F0}" type="presParOf" srcId="{019F8FA4-2C93-4EAE-AD06-53588A0EB310}" destId="{F5E7DDAA-719D-4E2C-91FD-64491EFFF4D7}" srcOrd="24" destOrd="0" presId="urn:microsoft.com/office/officeart/2008/layout/CircleAccentTimeline"/>
    <dgm:cxn modelId="{E4677250-DF99-47E8-B145-E4FF19BC4F68}" type="presParOf" srcId="{019F8FA4-2C93-4EAE-AD06-53588A0EB310}" destId="{047D16B8-9640-4D01-BACF-FB32108D9EE1}" srcOrd="25" destOrd="0" presId="urn:microsoft.com/office/officeart/2008/layout/CircleAccentTimeline"/>
    <dgm:cxn modelId="{67FA6968-3A0A-40BF-A42D-A4491F988860}" type="presParOf" srcId="{019F8FA4-2C93-4EAE-AD06-53588A0EB310}" destId="{838BBC3A-F52E-41DC-8872-243CA9D918A2}" srcOrd="26" destOrd="0" presId="urn:microsoft.com/office/officeart/2008/layout/CircleAccentTimeline"/>
    <dgm:cxn modelId="{891EF063-C73A-4411-8E6A-006869801BD3}" type="presParOf" srcId="{019F8FA4-2C93-4EAE-AD06-53588A0EB310}" destId="{D59F5AD7-F5AF-41DA-80EE-38B7713660BB}" srcOrd="27" destOrd="0" presId="urn:microsoft.com/office/officeart/2008/layout/CircleAccentTimeline"/>
    <dgm:cxn modelId="{99AA6D39-8564-4782-9898-D9A41F10E29D}" type="presParOf" srcId="{D59F5AD7-F5AF-41DA-80EE-38B7713660BB}" destId="{DB2E89A3-B8C6-4360-B326-86DDBCEA1055}" srcOrd="0" destOrd="0" presId="urn:microsoft.com/office/officeart/2008/layout/CircleAccentTimeline"/>
    <dgm:cxn modelId="{31E741D0-6093-4629-8BA0-2FB01C8CE475}" type="presParOf" srcId="{D59F5AD7-F5AF-41DA-80EE-38B7713660BB}" destId="{F5956901-38D0-49D1-BE17-34BF540ECBD5}" srcOrd="1" destOrd="0" presId="urn:microsoft.com/office/officeart/2008/layout/CircleAccentTimeline"/>
    <dgm:cxn modelId="{ECF691B9-072B-4B64-8D4A-F64F3E2BED76}" type="presParOf" srcId="{D59F5AD7-F5AF-41DA-80EE-38B7713660BB}" destId="{F48BD3BB-F594-46DB-8E21-4D34ECF72025}" srcOrd="2" destOrd="0" presId="urn:microsoft.com/office/officeart/2008/layout/CircleAccentTimeline"/>
    <dgm:cxn modelId="{083AD4F4-2337-4827-B007-FA000D331234}" type="presParOf" srcId="{019F8FA4-2C93-4EAE-AD06-53588A0EB310}" destId="{0053353B-2942-4811-8F1E-D3D311330DC8}" srcOrd="28" destOrd="0" presId="urn:microsoft.com/office/officeart/2008/layout/CircleAccentTimeline"/>
    <dgm:cxn modelId="{AD7E180A-5934-4F79-985C-4E4F2B1E3CB8}" type="presParOf" srcId="{019F8FA4-2C93-4EAE-AD06-53588A0EB310}" destId="{455E8983-1572-452C-A1C1-920B7488491F}" srcOrd="29" destOrd="0" presId="urn:microsoft.com/office/officeart/2008/layout/CircleAccentTimeline"/>
    <dgm:cxn modelId="{CB7D03C5-406D-4373-8ADC-EE2FC79BF73D}" type="presParOf" srcId="{019F8FA4-2C93-4EAE-AD06-53588A0EB310}" destId="{D9B0758E-D86C-4510-9DC0-3616155A7A27}" srcOrd="30" destOrd="0" presId="urn:microsoft.com/office/officeart/2008/layout/CircleAccentTimeline"/>
    <dgm:cxn modelId="{B3B7698D-7EA2-4B7B-8EB8-18ED583711F2}" type="presParOf" srcId="{D9B0758E-D86C-4510-9DC0-3616155A7A27}" destId="{67772545-AD25-40AA-AC9F-27325A8D0F87}" srcOrd="0" destOrd="0" presId="urn:microsoft.com/office/officeart/2008/layout/CircleAccentTimeline"/>
    <dgm:cxn modelId="{21CA8CFE-FCC5-4A91-B3D7-803948465BAB}" type="presParOf" srcId="{D9B0758E-D86C-4510-9DC0-3616155A7A27}" destId="{B6717094-25C8-4892-A1BF-E2D867BFA8F1}" srcOrd="1" destOrd="0" presId="urn:microsoft.com/office/officeart/2008/layout/CircleAccentTimeline"/>
    <dgm:cxn modelId="{4209E157-AEDC-49FB-8763-84D4F6CCEE5B}" type="presParOf" srcId="{D9B0758E-D86C-4510-9DC0-3616155A7A27}" destId="{567C8F18-20BC-4C72-BBA0-9CE67A8D21F1}" srcOrd="2" destOrd="0" presId="urn:microsoft.com/office/officeart/2008/layout/CircleAccentTimeline"/>
    <dgm:cxn modelId="{7C98777E-0DB2-4E54-AB96-F5A1028F4FF8}" type="presParOf" srcId="{019F8FA4-2C93-4EAE-AD06-53588A0EB310}" destId="{7F5BBE18-30B5-48C0-881B-930AD76868A9}" srcOrd="31" destOrd="0" presId="urn:microsoft.com/office/officeart/2008/layout/CircleAccentTimeline"/>
    <dgm:cxn modelId="{323F4188-D116-4C92-9409-2F96066567F8}" type="presParOf" srcId="{019F8FA4-2C93-4EAE-AD06-53588A0EB310}" destId="{9527A107-BE5F-428A-9507-86439A18BB89}" srcOrd="32" destOrd="0" presId="urn:microsoft.com/office/officeart/2008/layout/CircleAccentTimeline"/>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29FCB5-39EE-460D-887E-3D13FD7EC5AA}" type="doc">
      <dgm:prSet loTypeId="urn:microsoft.com/office/officeart/2009/3/layout/IncreasingArrowsProcess" loCatId="process" qsTypeId="urn:microsoft.com/office/officeart/2005/8/quickstyle/simple4" qsCatId="simple" csTypeId="urn:microsoft.com/office/officeart/2005/8/colors/colorful3" csCatId="colorful" phldr="1"/>
      <dgm:spPr/>
      <dgm:t>
        <a:bodyPr/>
        <a:lstStyle/>
        <a:p>
          <a:endParaRPr lang="pl-PL"/>
        </a:p>
      </dgm:t>
    </dgm:pt>
    <dgm:pt modelId="{76DB4EE6-FA0E-4CEB-B0A1-DC4ACB1D1B8F}">
      <dgm:prSet phldrT="[Tekst]" custT="1"/>
      <dgm:spPr>
        <a:xfrm>
          <a:off x="0" y="227168"/>
          <a:ext cx="5484495" cy="798816"/>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900">
              <a:solidFill>
                <a:sysClr val="window" lastClr="FFFFFF"/>
              </a:solidFill>
              <a:latin typeface="+mn-lt"/>
              <a:ea typeface="+mn-ea"/>
              <a:cs typeface="+mn-cs"/>
            </a:rPr>
            <a:t>złożenie WoD - podpisanie umowy (cały cykl pomyślnego procedowania WoD)</a:t>
          </a:r>
        </a:p>
      </dgm:t>
    </dgm:pt>
    <dgm:pt modelId="{DAFB0BC0-50BC-433B-9729-583F0733A470}" type="parTrans" cxnId="{07D3E2AD-E218-47E7-8A46-43C747D25B19}">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3852D4C3-F4F1-4DCA-A2ED-49EA83168295}" type="sibTrans" cxnId="{07D3E2AD-E218-47E7-8A46-43C747D25B19}">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333049E0-6D6A-44DB-A3E8-B498C74B04FB}">
      <dgm:prSet phldrT="[Tekst]" custT="1"/>
      <dgm:spPr>
        <a:xfrm>
          <a:off x="19041" y="810890"/>
          <a:ext cx="2474570" cy="937448"/>
        </a:xfrm>
        <a:solidFill>
          <a:sysClr val="window" lastClr="FFFFFF">
            <a:hueOff val="0"/>
            <a:satOff val="0"/>
            <a:lumOff val="0"/>
            <a:alphaOff val="0"/>
          </a:sysClr>
        </a:solidFill>
        <a:ln w="9525" cap="flat" cmpd="sng" algn="ctr">
          <a:solidFill>
            <a:srgbClr val="9BBB59">
              <a:hueOff val="0"/>
              <a:satOff val="0"/>
              <a:lumOff val="0"/>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ogółem: 251</a:t>
          </a:r>
        </a:p>
        <a:p>
          <a:r>
            <a:rPr lang="pl-PL" sz="900">
              <a:solidFill>
                <a:sysClr val="windowText" lastClr="000000">
                  <a:hueOff val="0"/>
                  <a:satOff val="0"/>
                  <a:lumOff val="0"/>
                  <a:alphaOff val="0"/>
                </a:sysClr>
              </a:solidFill>
              <a:latin typeface="+mn-lt"/>
              <a:ea typeface="+mn-ea"/>
              <a:cs typeface="+mn-cs"/>
            </a:rPr>
            <a:t>EFRR: 296</a:t>
          </a:r>
        </a:p>
        <a:p>
          <a:r>
            <a:rPr lang="pl-PL" sz="900">
              <a:solidFill>
                <a:sysClr val="windowText" lastClr="000000">
                  <a:hueOff val="0"/>
                  <a:satOff val="0"/>
                  <a:lumOff val="0"/>
                  <a:alphaOff val="0"/>
                </a:sysClr>
              </a:solidFill>
              <a:latin typeface="+mn-lt"/>
              <a:ea typeface="+mn-ea"/>
              <a:cs typeface="+mn-cs"/>
            </a:rPr>
            <a:t>EFS: 196</a:t>
          </a:r>
        </a:p>
        <a:p>
          <a:r>
            <a:rPr lang="pl-PL" sz="900">
              <a:solidFill>
                <a:sysClr val="windowText" lastClr="000000">
                  <a:hueOff val="0"/>
                  <a:satOff val="0"/>
                  <a:lumOff val="0"/>
                  <a:alphaOff val="0"/>
                </a:sysClr>
              </a:solidFill>
              <a:latin typeface="+mn-lt"/>
              <a:ea typeface="+mn-ea"/>
              <a:cs typeface="+mn-cs"/>
            </a:rPr>
            <a:t>tryb konkursowy: 271</a:t>
          </a:r>
        </a:p>
        <a:p>
          <a:r>
            <a:rPr lang="pl-PL" sz="900">
              <a:solidFill>
                <a:sysClr val="windowText" lastClr="000000">
                  <a:hueOff val="0"/>
                  <a:satOff val="0"/>
                  <a:lumOff val="0"/>
                  <a:alphaOff val="0"/>
                </a:sysClr>
              </a:solidFill>
              <a:latin typeface="+mn-lt"/>
              <a:ea typeface="+mn-ea"/>
              <a:cs typeface="+mn-cs"/>
            </a:rPr>
            <a:t>tryb pozakonkursowy: 117</a:t>
          </a:r>
        </a:p>
      </dgm:t>
    </dgm:pt>
    <dgm:pt modelId="{139BB383-4F23-41C8-95DD-99632D41DB81}" type="parTrans" cxnId="{9233F6FF-3491-45D3-90AB-3BCCE3024246}">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482718C5-E786-4FD4-B8B0-ABDB5CB279BD}" type="sibTrans" cxnId="{9233F6FF-3491-45D3-90AB-3BCCE3024246}">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382ED085-494E-48AC-BD5E-4277A18BE1D8}">
      <dgm:prSet phldrT="[Tekst]" custT="1"/>
      <dgm:spPr>
        <a:xfrm>
          <a:off x="2533836" y="493351"/>
          <a:ext cx="2950658" cy="798816"/>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900">
              <a:solidFill>
                <a:sysClr val="window" lastClr="FFFFFF"/>
              </a:solidFill>
              <a:latin typeface="+mn-lt"/>
              <a:ea typeface="+mn-ea"/>
              <a:cs typeface="+mn-cs"/>
            </a:rPr>
            <a:t>złożenie WoP - certfikacja WoP przez IC </a:t>
          </a:r>
          <a:br>
            <a:rPr lang="pl-PL" sz="900">
              <a:solidFill>
                <a:sysClr val="window" lastClr="FFFFFF"/>
              </a:solidFill>
              <a:latin typeface="+mn-lt"/>
              <a:ea typeface="+mn-ea"/>
              <a:cs typeface="+mn-cs"/>
            </a:rPr>
          </a:br>
          <a:r>
            <a:rPr lang="pl-PL" sz="900">
              <a:solidFill>
                <a:sysClr val="window" lastClr="FFFFFF"/>
              </a:solidFill>
              <a:latin typeface="+mn-lt"/>
              <a:ea typeface="+mn-ea"/>
              <a:cs typeface="+mn-cs"/>
            </a:rPr>
            <a:t>(cały cykl procedowania WoP finansowego)</a:t>
          </a:r>
        </a:p>
      </dgm:t>
    </dgm:pt>
    <dgm:pt modelId="{79F65770-D719-4490-9EEE-01DC34BCE265}" type="parTrans" cxnId="{D6D5D5BA-130E-45CF-A3B0-9B07667FE127}">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ECA73DE7-B03E-4BCE-8408-7BFC5054BB8D}" type="sibTrans" cxnId="{D6D5D5BA-130E-45CF-A3B0-9B07667FE127}">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D8CD3E0B-7E6B-46CD-A64B-1FF6EB960AAF}">
      <dgm:prSet phldrT="[Tekst]" custT="1"/>
      <dgm:spPr>
        <a:xfrm>
          <a:off x="2552891" y="1088485"/>
          <a:ext cx="2533836" cy="895583"/>
        </a:xfr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ogółem: 90</a:t>
          </a:r>
        </a:p>
      </dgm:t>
    </dgm:pt>
    <dgm:pt modelId="{82FD070D-A3E8-418E-8CD5-074B88793222}" type="parTrans" cxnId="{44C36976-56F2-4A00-8794-46BC744CC9EE}">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F8689DB8-92F9-438C-AEE9-7BBAED0C8037}" type="sibTrans" cxnId="{44C36976-56F2-4A00-8794-46BC744CC9EE}">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BB7C686F-907C-44FE-A82D-E26D935A9E36}">
      <dgm:prSet custT="1"/>
      <dgm:spPr>
        <a:xfrm>
          <a:off x="2552891" y="1088485"/>
          <a:ext cx="2533836" cy="895583"/>
        </a:xfr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EFRR: 88</a:t>
          </a:r>
        </a:p>
      </dgm:t>
    </dgm:pt>
    <dgm:pt modelId="{8856D0F6-5AA5-44C9-8499-BDA68FC38E8D}" type="parTrans" cxnId="{19608BFF-9B1A-4F46-8C8E-36FABA015C1E}">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6A1AD5F6-D9F3-42CB-9668-D429C28E8EA1}" type="sibTrans" cxnId="{19608BFF-9B1A-4F46-8C8E-36FABA015C1E}">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F43762FE-9744-47F6-8C7D-F75558FD9AE2}">
      <dgm:prSet custT="1"/>
      <dgm:spPr>
        <a:xfrm>
          <a:off x="2552891" y="1088485"/>
          <a:ext cx="2533836" cy="895583"/>
        </a:xfr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EFS: 91</a:t>
          </a:r>
        </a:p>
      </dgm:t>
    </dgm:pt>
    <dgm:pt modelId="{086F6FB8-AAE5-4A52-A9D8-F48003D815E5}" type="parTrans" cxnId="{04C1C1F1-C5F1-422A-AEDE-9716FC06A991}">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20E56FD6-2A5C-4DDE-8E44-475936CFC482}" type="sibTrans" cxnId="{04C1C1F1-C5F1-422A-AEDE-9716FC06A991}">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5744A7DA-87B4-4327-890F-A151415CB492}">
      <dgm:prSet custT="1"/>
      <dgm:spPr>
        <a:xfrm>
          <a:off x="2552891" y="1088485"/>
          <a:ext cx="2533836" cy="895583"/>
        </a:xfr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tryb konkursowy: 91</a:t>
          </a:r>
        </a:p>
      </dgm:t>
    </dgm:pt>
    <dgm:pt modelId="{342D139E-637E-4CC2-96B8-7FE8FE8CC67D}" type="parTrans" cxnId="{4EC470A7-6E31-4C90-ABA7-FFD8D0E4A3D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3082F7ED-64EE-4C30-BAC3-A398FD6BB3EA}" type="sibTrans" cxnId="{4EC470A7-6E31-4C90-ABA7-FFD8D0E4A3D5}">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2D24D3F4-098D-4DA9-94C1-859B686E3550}">
      <dgm:prSet custT="1"/>
      <dgm:spPr>
        <a:xfrm>
          <a:off x="2552891" y="1088485"/>
          <a:ext cx="2533836" cy="895583"/>
        </a:xfr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ln>
        <a:effectLst/>
      </dgm:spPr>
      <dgm:t>
        <a:bodyPr/>
        <a:lstStyle/>
        <a:p>
          <a:r>
            <a:rPr lang="pl-PL" sz="900">
              <a:solidFill>
                <a:sysClr val="windowText" lastClr="000000">
                  <a:hueOff val="0"/>
                  <a:satOff val="0"/>
                  <a:lumOff val="0"/>
                  <a:alphaOff val="0"/>
                </a:sysClr>
              </a:solidFill>
              <a:latin typeface="+mn-lt"/>
              <a:ea typeface="+mn-ea"/>
              <a:cs typeface="+mn-cs"/>
            </a:rPr>
            <a:t>tryb pozakonkursowy: 81</a:t>
          </a:r>
        </a:p>
      </dgm:t>
    </dgm:pt>
    <dgm:pt modelId="{1FA8BFD8-2AAF-4874-89CB-E8766922B309}" type="parTrans" cxnId="{A6EB603C-A13D-4A65-9136-9925D88FB84B}">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EE692ADD-B50F-4FDA-9235-FAA73A5B2AA7}" type="sibTrans" cxnId="{A6EB603C-A13D-4A65-9136-9925D88FB84B}">
      <dgm:prSet/>
      <dgm:spPr/>
      <dgm:t>
        <a:bodyPr/>
        <a:lstStyle/>
        <a:p>
          <a:endParaRPr lang="pl-PL" sz="900">
            <a:latin typeface="Lato" panose="020F0502020204030203" pitchFamily="34" charset="0"/>
            <a:ea typeface="Lato" panose="020F0502020204030203" pitchFamily="34" charset="0"/>
            <a:cs typeface="Lato" panose="020F0502020204030203" pitchFamily="34" charset="0"/>
          </a:endParaRPr>
        </a:p>
      </dgm:t>
    </dgm:pt>
    <dgm:pt modelId="{C181451E-4099-4DE8-8848-853633A8781E}" type="pres">
      <dgm:prSet presAssocID="{2029FCB5-39EE-460D-887E-3D13FD7EC5AA}" presName="Name0" presStyleCnt="0">
        <dgm:presLayoutVars>
          <dgm:chMax val="5"/>
          <dgm:chPref val="5"/>
          <dgm:dir/>
          <dgm:animLvl val="lvl"/>
        </dgm:presLayoutVars>
      </dgm:prSet>
      <dgm:spPr/>
      <dgm:t>
        <a:bodyPr/>
        <a:lstStyle/>
        <a:p>
          <a:endParaRPr lang="pl-PL"/>
        </a:p>
      </dgm:t>
    </dgm:pt>
    <dgm:pt modelId="{B28B7E3F-7F40-44F4-A4CF-2EF86EEC40B5}" type="pres">
      <dgm:prSet presAssocID="{76DB4EE6-FA0E-4CEB-B0A1-DC4ACB1D1B8F}" presName="parentText1" presStyleLbl="node1" presStyleIdx="0" presStyleCnt="2">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3CE314FA-7C31-4BFA-9C7F-4D5B1E06800D}" type="pres">
      <dgm:prSet presAssocID="{76DB4EE6-FA0E-4CEB-B0A1-DC4ACB1D1B8F}" presName="childText1" presStyleLbl="solidAlignAcc1" presStyleIdx="0" presStyleCnt="2" custScaleX="97661" custScaleY="52577" custLinFactNeighborX="-418" custLinFactNeighborY="-25633">
        <dgm:presLayoutVars>
          <dgm:chMax val="0"/>
          <dgm:chPref val="0"/>
          <dgm:bulletEnabled val="1"/>
        </dgm:presLayoutVars>
      </dgm:prSet>
      <dgm:spPr>
        <a:prstGeom prst="rect">
          <a:avLst/>
        </a:prstGeom>
      </dgm:spPr>
      <dgm:t>
        <a:bodyPr/>
        <a:lstStyle/>
        <a:p>
          <a:endParaRPr lang="pl-PL"/>
        </a:p>
      </dgm:t>
    </dgm:pt>
    <dgm:pt modelId="{14796917-F0BF-4E3C-86EB-95A633FD57BB}" type="pres">
      <dgm:prSet presAssocID="{382ED085-494E-48AC-BD5E-4277A18BE1D8}" presName="parentText2" presStyleLbl="node1" presStyleIdx="1" presStyleCnt="2">
        <dgm:presLayoutVars>
          <dgm:chMax/>
          <dgm:chPref val="3"/>
          <dgm:bulletEnabled val="1"/>
        </dgm:presLayoutVars>
      </dgm:prSet>
      <dgm:spPr>
        <a:prstGeom prst="rightArrow">
          <a:avLst>
            <a:gd name="adj1" fmla="val 50000"/>
            <a:gd name="adj2" fmla="val 50000"/>
          </a:avLst>
        </a:prstGeom>
      </dgm:spPr>
      <dgm:t>
        <a:bodyPr/>
        <a:lstStyle/>
        <a:p>
          <a:endParaRPr lang="pl-PL"/>
        </a:p>
      </dgm:t>
    </dgm:pt>
    <dgm:pt modelId="{33BA7187-217F-4C8C-8327-20B9B9DFE153}" type="pres">
      <dgm:prSet presAssocID="{382ED085-494E-48AC-BD5E-4277A18BE1D8}" presName="childText2" presStyleLbl="solidAlignAcc1" presStyleIdx="1" presStyleCnt="2" custScaleY="50229" custLinFactNeighborX="752" custLinFactNeighborY="-26167">
        <dgm:presLayoutVars>
          <dgm:chMax val="0"/>
          <dgm:chPref val="0"/>
          <dgm:bulletEnabled val="1"/>
        </dgm:presLayoutVars>
      </dgm:prSet>
      <dgm:spPr>
        <a:prstGeom prst="rect">
          <a:avLst/>
        </a:prstGeom>
      </dgm:spPr>
      <dgm:t>
        <a:bodyPr/>
        <a:lstStyle/>
        <a:p>
          <a:endParaRPr lang="pl-PL"/>
        </a:p>
      </dgm:t>
    </dgm:pt>
  </dgm:ptLst>
  <dgm:cxnLst>
    <dgm:cxn modelId="{9233F6FF-3491-45D3-90AB-3BCCE3024246}" srcId="{76DB4EE6-FA0E-4CEB-B0A1-DC4ACB1D1B8F}" destId="{333049E0-6D6A-44DB-A3E8-B498C74B04FB}" srcOrd="0" destOrd="0" parTransId="{139BB383-4F23-41C8-95DD-99632D41DB81}" sibTransId="{482718C5-E786-4FD4-B8B0-ABDB5CB279BD}"/>
    <dgm:cxn modelId="{1C615BC6-3DB6-4E62-9080-12A3D23C5039}" type="presOf" srcId="{5744A7DA-87B4-4327-890F-A151415CB492}" destId="{33BA7187-217F-4C8C-8327-20B9B9DFE153}" srcOrd="0" destOrd="3" presId="urn:microsoft.com/office/officeart/2009/3/layout/IncreasingArrowsProcess"/>
    <dgm:cxn modelId="{E943C2B1-F5AC-4AC3-BCD2-DE31D84043DE}" type="presOf" srcId="{2D24D3F4-098D-4DA9-94C1-859B686E3550}" destId="{33BA7187-217F-4C8C-8327-20B9B9DFE153}" srcOrd="0" destOrd="4" presId="urn:microsoft.com/office/officeart/2009/3/layout/IncreasingArrowsProcess"/>
    <dgm:cxn modelId="{04C1C1F1-C5F1-422A-AEDE-9716FC06A991}" srcId="{382ED085-494E-48AC-BD5E-4277A18BE1D8}" destId="{F43762FE-9744-47F6-8C7D-F75558FD9AE2}" srcOrd="2" destOrd="0" parTransId="{086F6FB8-AAE5-4A52-A9D8-F48003D815E5}" sibTransId="{20E56FD6-2A5C-4DDE-8E44-475936CFC482}"/>
    <dgm:cxn modelId="{4EC470A7-6E31-4C90-ABA7-FFD8D0E4A3D5}" srcId="{382ED085-494E-48AC-BD5E-4277A18BE1D8}" destId="{5744A7DA-87B4-4327-890F-A151415CB492}" srcOrd="3" destOrd="0" parTransId="{342D139E-637E-4CC2-96B8-7FE8FE8CC67D}" sibTransId="{3082F7ED-64EE-4C30-BAC3-A398FD6BB3EA}"/>
    <dgm:cxn modelId="{38D9F34A-56D8-45EE-9DDA-565809C1DD6E}" type="presOf" srcId="{382ED085-494E-48AC-BD5E-4277A18BE1D8}" destId="{14796917-F0BF-4E3C-86EB-95A633FD57BB}" srcOrd="0" destOrd="0" presId="urn:microsoft.com/office/officeart/2009/3/layout/IncreasingArrowsProcess"/>
    <dgm:cxn modelId="{4F34D4FA-E740-404A-BB9E-60B921626E4A}" type="presOf" srcId="{D8CD3E0B-7E6B-46CD-A64B-1FF6EB960AAF}" destId="{33BA7187-217F-4C8C-8327-20B9B9DFE153}" srcOrd="0" destOrd="0" presId="urn:microsoft.com/office/officeart/2009/3/layout/IncreasingArrowsProcess"/>
    <dgm:cxn modelId="{4A3D4F2B-0D83-46AF-83AF-BC73239A0E67}" type="presOf" srcId="{333049E0-6D6A-44DB-A3E8-B498C74B04FB}" destId="{3CE314FA-7C31-4BFA-9C7F-4D5B1E06800D}" srcOrd="0" destOrd="0" presId="urn:microsoft.com/office/officeart/2009/3/layout/IncreasingArrowsProcess"/>
    <dgm:cxn modelId="{A6EB603C-A13D-4A65-9136-9925D88FB84B}" srcId="{382ED085-494E-48AC-BD5E-4277A18BE1D8}" destId="{2D24D3F4-098D-4DA9-94C1-859B686E3550}" srcOrd="4" destOrd="0" parTransId="{1FA8BFD8-2AAF-4874-89CB-E8766922B309}" sibTransId="{EE692ADD-B50F-4FDA-9235-FAA73A5B2AA7}"/>
    <dgm:cxn modelId="{FB497E26-F3A3-4746-8A59-2D4818C858B9}" type="presOf" srcId="{76DB4EE6-FA0E-4CEB-B0A1-DC4ACB1D1B8F}" destId="{B28B7E3F-7F40-44F4-A4CF-2EF86EEC40B5}" srcOrd="0" destOrd="0" presId="urn:microsoft.com/office/officeart/2009/3/layout/IncreasingArrowsProcess"/>
    <dgm:cxn modelId="{6C7C5BAD-3B50-42FA-8DE9-06208D30331F}" type="presOf" srcId="{F43762FE-9744-47F6-8C7D-F75558FD9AE2}" destId="{33BA7187-217F-4C8C-8327-20B9B9DFE153}" srcOrd="0" destOrd="2" presId="urn:microsoft.com/office/officeart/2009/3/layout/IncreasingArrowsProcess"/>
    <dgm:cxn modelId="{07D3E2AD-E218-47E7-8A46-43C747D25B19}" srcId="{2029FCB5-39EE-460D-887E-3D13FD7EC5AA}" destId="{76DB4EE6-FA0E-4CEB-B0A1-DC4ACB1D1B8F}" srcOrd="0" destOrd="0" parTransId="{DAFB0BC0-50BC-433B-9729-583F0733A470}" sibTransId="{3852D4C3-F4F1-4DCA-A2ED-49EA83168295}"/>
    <dgm:cxn modelId="{19608BFF-9B1A-4F46-8C8E-36FABA015C1E}" srcId="{382ED085-494E-48AC-BD5E-4277A18BE1D8}" destId="{BB7C686F-907C-44FE-A82D-E26D935A9E36}" srcOrd="1" destOrd="0" parTransId="{8856D0F6-5AA5-44C9-8499-BDA68FC38E8D}" sibTransId="{6A1AD5F6-D9F3-42CB-9668-D429C28E8EA1}"/>
    <dgm:cxn modelId="{11B43129-DC7D-4E0B-B03C-F0BC2A59F4DC}" type="presOf" srcId="{BB7C686F-907C-44FE-A82D-E26D935A9E36}" destId="{33BA7187-217F-4C8C-8327-20B9B9DFE153}" srcOrd="0" destOrd="1" presId="urn:microsoft.com/office/officeart/2009/3/layout/IncreasingArrowsProcess"/>
    <dgm:cxn modelId="{FBEA7DFA-C86F-4D9B-802F-3AF34216DF50}" type="presOf" srcId="{2029FCB5-39EE-460D-887E-3D13FD7EC5AA}" destId="{C181451E-4099-4DE8-8848-853633A8781E}" srcOrd="0" destOrd="0" presId="urn:microsoft.com/office/officeart/2009/3/layout/IncreasingArrowsProcess"/>
    <dgm:cxn modelId="{D6D5D5BA-130E-45CF-A3B0-9B07667FE127}" srcId="{2029FCB5-39EE-460D-887E-3D13FD7EC5AA}" destId="{382ED085-494E-48AC-BD5E-4277A18BE1D8}" srcOrd="1" destOrd="0" parTransId="{79F65770-D719-4490-9EEE-01DC34BCE265}" sibTransId="{ECA73DE7-B03E-4BCE-8408-7BFC5054BB8D}"/>
    <dgm:cxn modelId="{44C36976-56F2-4A00-8794-46BC744CC9EE}" srcId="{382ED085-494E-48AC-BD5E-4277A18BE1D8}" destId="{D8CD3E0B-7E6B-46CD-A64B-1FF6EB960AAF}" srcOrd="0" destOrd="0" parTransId="{82FD070D-A3E8-418E-8CD5-074B88793222}" sibTransId="{F8689DB8-92F9-438C-AEE9-7BBAED0C8037}"/>
    <dgm:cxn modelId="{DA026B08-FFAF-4F62-B6B9-86C85CFA51CB}" type="presParOf" srcId="{C181451E-4099-4DE8-8848-853633A8781E}" destId="{B28B7E3F-7F40-44F4-A4CF-2EF86EEC40B5}" srcOrd="0" destOrd="0" presId="urn:microsoft.com/office/officeart/2009/3/layout/IncreasingArrowsProcess"/>
    <dgm:cxn modelId="{B8C6E724-EB43-47AD-AE9F-1955851CEBBE}" type="presParOf" srcId="{C181451E-4099-4DE8-8848-853633A8781E}" destId="{3CE314FA-7C31-4BFA-9C7F-4D5B1E06800D}" srcOrd="1" destOrd="0" presId="urn:microsoft.com/office/officeart/2009/3/layout/IncreasingArrowsProcess"/>
    <dgm:cxn modelId="{8FC823E4-0A3B-44C6-A8F9-74732C1C28AF}" type="presParOf" srcId="{C181451E-4099-4DE8-8848-853633A8781E}" destId="{14796917-F0BF-4E3C-86EB-95A633FD57BB}" srcOrd="2" destOrd="0" presId="urn:microsoft.com/office/officeart/2009/3/layout/IncreasingArrowsProcess"/>
    <dgm:cxn modelId="{EB315D78-5B73-47EC-996E-86DCACAA8741}" type="presParOf" srcId="{C181451E-4099-4DE8-8848-853633A8781E}" destId="{33BA7187-217F-4C8C-8327-20B9B9DFE153}" srcOrd="3" destOrd="0" presId="urn:microsoft.com/office/officeart/2009/3/layout/IncreasingArrowsProcess"/>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C5274-2ADC-4F6F-8B4C-C67547322505}">
      <dsp:nvSpPr>
        <dsp:cNvPr id="0" name=""/>
        <dsp:cNvSpPr/>
      </dsp:nvSpPr>
      <dsp:spPr>
        <a:xfrm>
          <a:off x="445436" y="0"/>
          <a:ext cx="5048281" cy="1941830"/>
        </a:xfrm>
        <a:prstGeom prst="rightArrow">
          <a:avLst/>
        </a:prstGeom>
        <a:solidFill>
          <a:srgbClr val="C0504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8EE1984-C53F-43CA-8C8C-F9AE1EF41EDA}">
      <dsp:nvSpPr>
        <dsp:cNvPr id="0" name=""/>
        <dsp:cNvSpPr/>
      </dsp:nvSpPr>
      <dsp:spPr>
        <a:xfrm>
          <a:off x="2609" y="582549"/>
          <a:ext cx="1141141" cy="77673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I etap badawczy – OPRACOWANIE RAPORTU METODOLOGICZNEGO </a:t>
          </a:r>
        </a:p>
      </dsp:txBody>
      <dsp:txXfrm>
        <a:off x="40526" y="620466"/>
        <a:ext cx="1065307" cy="700898"/>
      </dsp:txXfrm>
    </dsp:sp>
    <dsp:sp modelId="{28F8B131-1626-40B6-BF31-6F5F08FB3204}">
      <dsp:nvSpPr>
        <dsp:cNvPr id="0" name=""/>
        <dsp:cNvSpPr/>
      </dsp:nvSpPr>
      <dsp:spPr>
        <a:xfrm>
          <a:off x="1200808" y="582549"/>
          <a:ext cx="1141141" cy="77673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II etap badawczy – OPRACOWANIE RAPORTU CZĄSTKOWEGO</a:t>
          </a:r>
        </a:p>
      </dsp:txBody>
      <dsp:txXfrm>
        <a:off x="1238725" y="620466"/>
        <a:ext cx="1065307" cy="700898"/>
      </dsp:txXfrm>
    </dsp:sp>
    <dsp:sp modelId="{32B0BAC0-3D2D-4305-8E93-2AC15FBC52C8}">
      <dsp:nvSpPr>
        <dsp:cNvPr id="0" name=""/>
        <dsp:cNvSpPr/>
      </dsp:nvSpPr>
      <dsp:spPr>
        <a:xfrm>
          <a:off x="2399006" y="582549"/>
          <a:ext cx="1141141" cy="77673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III etap badawczy – OPRACOWANIE RAPORTU KOŃCOWEGO</a:t>
          </a:r>
        </a:p>
      </dsp:txBody>
      <dsp:txXfrm>
        <a:off x="2436923" y="620466"/>
        <a:ext cx="1065307" cy="700898"/>
      </dsp:txXfrm>
    </dsp:sp>
    <dsp:sp modelId="{2C298395-3EF5-428C-B04C-DF4984585A1A}">
      <dsp:nvSpPr>
        <dsp:cNvPr id="0" name=""/>
        <dsp:cNvSpPr/>
      </dsp:nvSpPr>
      <dsp:spPr>
        <a:xfrm>
          <a:off x="3597205" y="582549"/>
          <a:ext cx="1141141" cy="77673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IV etap badawczy – WYPRACOWANIE I UZGODNIENIE REKOMENDACJI </a:t>
          </a:r>
        </a:p>
      </dsp:txBody>
      <dsp:txXfrm>
        <a:off x="3635122" y="620466"/>
        <a:ext cx="1065307" cy="700898"/>
      </dsp:txXfrm>
    </dsp:sp>
    <dsp:sp modelId="{F46D9B3F-A4EA-4662-9BFA-CA1696C3162E}">
      <dsp:nvSpPr>
        <dsp:cNvPr id="0" name=""/>
        <dsp:cNvSpPr/>
      </dsp:nvSpPr>
      <dsp:spPr>
        <a:xfrm>
          <a:off x="4795403" y="582549"/>
          <a:ext cx="1141141" cy="776732"/>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V etap badawczy – TRZYKROTNA PREZENTACJA WYNIKÓW BADANIA</a:t>
          </a:r>
        </a:p>
      </dsp:txBody>
      <dsp:txXfrm>
        <a:off x="4833320" y="620466"/>
        <a:ext cx="1065307" cy="700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7C862C-4D9D-430A-881A-3126A7F160BE}">
      <dsp:nvSpPr>
        <dsp:cNvPr id="0" name=""/>
        <dsp:cNvSpPr/>
      </dsp:nvSpPr>
      <dsp:spPr>
        <a:xfrm>
          <a:off x="1404" y="1357417"/>
          <a:ext cx="791524" cy="791524"/>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03F461-9280-4050-9BCB-A72249C8143B}">
      <dsp:nvSpPr>
        <dsp:cNvPr id="0" name=""/>
        <dsp:cNvSpPr/>
      </dsp:nvSpPr>
      <dsp:spPr>
        <a:xfrm rot="17700000">
          <a:off x="280302" y="712163"/>
          <a:ext cx="983952" cy="474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Początek weryfikacji WoD</a:t>
          </a:r>
        </a:p>
      </dsp:txBody>
      <dsp:txXfrm>
        <a:off x="280302" y="712163"/>
        <a:ext cx="983952" cy="474189"/>
      </dsp:txXfrm>
    </dsp:sp>
    <dsp:sp modelId="{CCA495A9-32D2-48D4-9634-77A99FF9A869}">
      <dsp:nvSpPr>
        <dsp:cNvPr id="0" name=""/>
        <dsp:cNvSpPr/>
      </dsp:nvSpPr>
      <dsp:spPr>
        <a:xfrm>
          <a:off x="829891" y="1528622"/>
          <a:ext cx="456168" cy="449113"/>
        </a:xfrm>
        <a:prstGeom prst="ellipse">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327C95-A500-4D4C-8A41-232F17AC7D1B}">
      <dsp:nvSpPr>
        <dsp:cNvPr id="0" name=""/>
        <dsp:cNvSpPr/>
      </dsp:nvSpPr>
      <dsp:spPr>
        <a:xfrm rot="17700000">
          <a:off x="365952" y="2119594"/>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ogółem: 152</a:t>
          </a:r>
        </a:p>
      </dsp:txBody>
      <dsp:txXfrm>
        <a:off x="365952" y="2119594"/>
        <a:ext cx="851165" cy="410400"/>
      </dsp:txXfrm>
    </dsp:sp>
    <dsp:sp modelId="{3E96FC08-8F21-405E-B441-3DC0291A9F1D}">
      <dsp:nvSpPr>
        <dsp:cNvPr id="0" name=""/>
        <dsp:cNvSpPr/>
      </dsp:nvSpPr>
      <dsp:spPr>
        <a:xfrm rot="17700000">
          <a:off x="898832"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03967024-6336-497F-8E63-E59FCE69EBA4}">
      <dsp:nvSpPr>
        <dsp:cNvPr id="0" name=""/>
        <dsp:cNvSpPr/>
      </dsp:nvSpPr>
      <dsp:spPr>
        <a:xfrm>
          <a:off x="1276478" y="1475454"/>
          <a:ext cx="588873" cy="555450"/>
        </a:xfrm>
        <a:prstGeom prst="ellipse">
          <a:avLst/>
        </a:prstGeom>
        <a:solidFill>
          <a:srgbClr val="4F81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39D791-63B1-4A47-87FC-38C7A06AAFFF}">
      <dsp:nvSpPr>
        <dsp:cNvPr id="0" name=""/>
        <dsp:cNvSpPr/>
      </dsp:nvSpPr>
      <dsp:spPr>
        <a:xfrm rot="17700000">
          <a:off x="836360" y="2194020"/>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EFRR: 176</a:t>
          </a:r>
        </a:p>
      </dsp:txBody>
      <dsp:txXfrm>
        <a:off x="836360" y="2194020"/>
        <a:ext cx="851165" cy="410400"/>
      </dsp:txXfrm>
    </dsp:sp>
    <dsp:sp modelId="{DDF56469-1B00-4A5E-821E-602BD5287760}">
      <dsp:nvSpPr>
        <dsp:cNvPr id="0" name=""/>
        <dsp:cNvSpPr/>
      </dsp:nvSpPr>
      <dsp:spPr>
        <a:xfrm rot="17700000">
          <a:off x="1369241"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8B993F94-CE98-4F34-BE90-1EBCA2C06C91}">
      <dsp:nvSpPr>
        <dsp:cNvPr id="0" name=""/>
        <dsp:cNvSpPr/>
      </dsp:nvSpPr>
      <dsp:spPr>
        <a:xfrm>
          <a:off x="1867796" y="1547754"/>
          <a:ext cx="410851" cy="410851"/>
        </a:xfrm>
        <a:prstGeom prst="ellipse">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920010-9F88-4023-9750-12F7AA416BBA}">
      <dsp:nvSpPr>
        <dsp:cNvPr id="0" name=""/>
        <dsp:cNvSpPr/>
      </dsp:nvSpPr>
      <dsp:spPr>
        <a:xfrm rot="17700000">
          <a:off x="1402017" y="2167215"/>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EFS: 115</a:t>
          </a:r>
        </a:p>
      </dsp:txBody>
      <dsp:txXfrm>
        <a:off x="1402017" y="2167215"/>
        <a:ext cx="851165" cy="410400"/>
      </dsp:txXfrm>
    </dsp:sp>
    <dsp:sp modelId="{01958925-4C24-4982-8309-2E8CE15E34D9}">
      <dsp:nvSpPr>
        <dsp:cNvPr id="0" name=""/>
        <dsp:cNvSpPr/>
      </dsp:nvSpPr>
      <dsp:spPr>
        <a:xfrm rot="17700000">
          <a:off x="1839649"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523AD9EF-C037-43DC-880C-9F044C8C5428}">
      <dsp:nvSpPr>
        <dsp:cNvPr id="0" name=""/>
        <dsp:cNvSpPr/>
      </dsp:nvSpPr>
      <dsp:spPr>
        <a:xfrm>
          <a:off x="2301934" y="1357417"/>
          <a:ext cx="791524" cy="791524"/>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FA19D7-7638-4634-BE26-17140A7E3BF9}">
      <dsp:nvSpPr>
        <dsp:cNvPr id="0" name=""/>
        <dsp:cNvSpPr/>
      </dsp:nvSpPr>
      <dsp:spPr>
        <a:xfrm rot="17700000">
          <a:off x="2542736" y="712163"/>
          <a:ext cx="983952" cy="474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Zatwierdzenie/ odrzucenie WoD</a:t>
          </a:r>
        </a:p>
      </dsp:txBody>
      <dsp:txXfrm>
        <a:off x="2542736" y="712163"/>
        <a:ext cx="983952" cy="474189"/>
      </dsp:txXfrm>
    </dsp:sp>
    <dsp:sp modelId="{37F40C2A-7306-4FD6-B988-737558D472F1}">
      <dsp:nvSpPr>
        <dsp:cNvPr id="0" name=""/>
        <dsp:cNvSpPr/>
      </dsp:nvSpPr>
      <dsp:spPr>
        <a:xfrm>
          <a:off x="3153422" y="1591754"/>
          <a:ext cx="333972" cy="322851"/>
        </a:xfrm>
        <a:prstGeom prst="ellipse">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C06F09-5C84-4EDD-A935-00B1A91120DC}">
      <dsp:nvSpPr>
        <dsp:cNvPr id="0" name=""/>
        <dsp:cNvSpPr/>
      </dsp:nvSpPr>
      <dsp:spPr>
        <a:xfrm rot="17700000">
          <a:off x="2656965" y="2138642"/>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ogółem: 94</a:t>
          </a:r>
        </a:p>
      </dsp:txBody>
      <dsp:txXfrm>
        <a:off x="2656965" y="2138642"/>
        <a:ext cx="851165" cy="410400"/>
      </dsp:txXfrm>
    </dsp:sp>
    <dsp:sp modelId="{511EF88F-D66C-4E8D-B1AA-AE83BA08BB5A}">
      <dsp:nvSpPr>
        <dsp:cNvPr id="0" name=""/>
        <dsp:cNvSpPr/>
      </dsp:nvSpPr>
      <dsp:spPr>
        <a:xfrm rot="17700000">
          <a:off x="3161266"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027403D4-9C69-46E9-B8A3-0DA739AA05AA}">
      <dsp:nvSpPr>
        <dsp:cNvPr id="0" name=""/>
        <dsp:cNvSpPr/>
      </dsp:nvSpPr>
      <dsp:spPr>
        <a:xfrm>
          <a:off x="3629692" y="1563177"/>
          <a:ext cx="398447" cy="380004"/>
        </a:xfrm>
        <a:prstGeom prst="ellipse">
          <a:avLst/>
        </a:prstGeom>
        <a:solidFill>
          <a:srgbClr val="4F81B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92C500-5A0C-48DC-9C54-1DC300583AC6}">
      <dsp:nvSpPr>
        <dsp:cNvPr id="0" name=""/>
        <dsp:cNvSpPr/>
      </dsp:nvSpPr>
      <dsp:spPr>
        <a:xfrm rot="17700000">
          <a:off x="3134683" y="2141297"/>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EFRR: 102</a:t>
          </a:r>
        </a:p>
      </dsp:txBody>
      <dsp:txXfrm>
        <a:off x="3134683" y="2141297"/>
        <a:ext cx="851165" cy="410400"/>
      </dsp:txXfrm>
    </dsp:sp>
    <dsp:sp modelId="{C79446FF-A1BA-4445-B05B-8DBB146E9BB3}">
      <dsp:nvSpPr>
        <dsp:cNvPr id="0" name=""/>
        <dsp:cNvSpPr/>
      </dsp:nvSpPr>
      <dsp:spPr>
        <a:xfrm rot="17700000">
          <a:off x="3631675"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DB2E89A3-B8C6-4360-B326-86DDBCEA1055}">
      <dsp:nvSpPr>
        <dsp:cNvPr id="0" name=""/>
        <dsp:cNvSpPr/>
      </dsp:nvSpPr>
      <dsp:spPr>
        <a:xfrm>
          <a:off x="4167498" y="1603052"/>
          <a:ext cx="282706" cy="300254"/>
        </a:xfrm>
        <a:prstGeom prst="ellipse">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956901-38D0-49D1-BE17-34BF540ECBD5}">
      <dsp:nvSpPr>
        <dsp:cNvPr id="0" name=""/>
        <dsp:cNvSpPr/>
      </dsp:nvSpPr>
      <dsp:spPr>
        <a:xfrm rot="17700000">
          <a:off x="3654932" y="2119594"/>
          <a:ext cx="851165"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860" bIns="0" numCol="1" spcCol="1270" anchor="ctr" anchorCtr="0">
          <a:noAutofit/>
        </a:bodyPr>
        <a:lstStyle/>
        <a:p>
          <a:pPr lvl="0" algn="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EFS: 83</a:t>
          </a:r>
        </a:p>
      </dsp:txBody>
      <dsp:txXfrm>
        <a:off x="3654932" y="2119594"/>
        <a:ext cx="851165" cy="410400"/>
      </dsp:txXfrm>
    </dsp:sp>
    <dsp:sp modelId="{F48BD3BB-F594-46DB-8E21-4D34ECF72025}">
      <dsp:nvSpPr>
        <dsp:cNvPr id="0" name=""/>
        <dsp:cNvSpPr/>
      </dsp:nvSpPr>
      <dsp:spPr>
        <a:xfrm rot="17700000">
          <a:off x="4102083" y="976365"/>
          <a:ext cx="851165" cy="410400"/>
        </a:xfrm>
        <a:prstGeom prst="rect">
          <a:avLst/>
        </a:prstGeom>
        <a:noFill/>
        <a:ln>
          <a:noFill/>
        </a:ln>
        <a:effectLst/>
      </dsp:spPr>
      <dsp:style>
        <a:lnRef idx="0">
          <a:scrgbClr r="0" g="0" b="0"/>
        </a:lnRef>
        <a:fillRef idx="0">
          <a:scrgbClr r="0" g="0" b="0"/>
        </a:fillRef>
        <a:effectRef idx="0">
          <a:scrgbClr r="0" g="0" b="0"/>
        </a:effectRef>
        <a:fontRef idx="minor"/>
      </dsp:style>
    </dsp:sp>
    <dsp:sp modelId="{67772545-AD25-40AA-AC9F-27325A8D0F87}">
      <dsp:nvSpPr>
        <dsp:cNvPr id="0" name=""/>
        <dsp:cNvSpPr/>
      </dsp:nvSpPr>
      <dsp:spPr>
        <a:xfrm>
          <a:off x="4526272" y="1357417"/>
          <a:ext cx="791524" cy="791524"/>
        </a:xfrm>
        <a:prstGeom prst="donut">
          <a:avLst>
            <a:gd name="adj" fmla="val 2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717094-25C8-4892-A1BF-E2D867BFA8F1}">
      <dsp:nvSpPr>
        <dsp:cNvPr id="0" name=""/>
        <dsp:cNvSpPr/>
      </dsp:nvSpPr>
      <dsp:spPr>
        <a:xfrm rot="17700000">
          <a:off x="4805169" y="712163"/>
          <a:ext cx="983952" cy="474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0" bIns="0" numCol="1" spcCol="1270" anchor="ctr" anchorCtr="0">
          <a:noAutofit/>
        </a:bodyPr>
        <a:lstStyle/>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Podpisanie UoD</a:t>
          </a:r>
        </a:p>
      </dsp:txBody>
      <dsp:txXfrm>
        <a:off x="4805169" y="712163"/>
        <a:ext cx="983952" cy="4741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B7E3F-7F40-44F4-A4CF-2EF86EEC40B5}">
      <dsp:nvSpPr>
        <dsp:cNvPr id="0" name=""/>
        <dsp:cNvSpPr/>
      </dsp:nvSpPr>
      <dsp:spPr>
        <a:xfrm>
          <a:off x="70248" y="216273"/>
          <a:ext cx="5346538" cy="778723"/>
        </a:xfrm>
        <a:prstGeom prst="rightArrow">
          <a:avLst>
            <a:gd name="adj1" fmla="val 5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123622" numCol="1" spcCol="1270" anchor="ctr" anchorCtr="0">
          <a:noAutofit/>
        </a:bodyPr>
        <a:lstStyle/>
        <a:p>
          <a:pPr lvl="0" algn="l" defTabSz="400050">
            <a:lnSpc>
              <a:spcPct val="90000"/>
            </a:lnSpc>
            <a:spcBef>
              <a:spcPct val="0"/>
            </a:spcBef>
            <a:spcAft>
              <a:spcPct val="35000"/>
            </a:spcAft>
          </a:pPr>
          <a:r>
            <a:rPr lang="pl-PL" sz="900" kern="1200">
              <a:solidFill>
                <a:sysClr val="window" lastClr="FFFFFF"/>
              </a:solidFill>
              <a:latin typeface="+mn-lt"/>
              <a:ea typeface="+mn-ea"/>
              <a:cs typeface="+mn-cs"/>
            </a:rPr>
            <a:t>złożenie WoD - podpisanie umowy (cały cykl pomyślnego procedowania WoD)</a:t>
          </a:r>
        </a:p>
      </dsp:txBody>
      <dsp:txXfrm>
        <a:off x="70248" y="410954"/>
        <a:ext cx="5151857" cy="389361"/>
      </dsp:txXfrm>
    </dsp:sp>
    <dsp:sp modelId="{3CE314FA-7C31-4BFA-9C7F-4D5B1E06800D}">
      <dsp:nvSpPr>
        <dsp:cNvPr id="0" name=""/>
        <dsp:cNvSpPr/>
      </dsp:nvSpPr>
      <dsp:spPr>
        <a:xfrm>
          <a:off x="88811" y="785313"/>
          <a:ext cx="2412325" cy="913867"/>
        </a:xfrm>
        <a:prstGeom prst="rect">
          <a:avLst/>
        </a:prstGeom>
        <a:solidFill>
          <a:sysClr val="window" lastClr="FFFFFF">
            <a:hueOff val="0"/>
            <a:satOff val="0"/>
            <a:lumOff val="0"/>
            <a:alphaOff val="0"/>
          </a:sysClr>
        </a:solidFill>
        <a:ln w="9525" cap="flat" cmpd="sng" algn="ctr">
          <a:solidFill>
            <a:srgbClr val="9BBB5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ogółem: 251</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EFRR: 296</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EFS: 196</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tryb konkursowy: 271</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tryb pozakonkursowy: 117</a:t>
          </a:r>
        </a:p>
      </dsp:txBody>
      <dsp:txXfrm>
        <a:off x="88811" y="785313"/>
        <a:ext cx="2412325" cy="913867"/>
      </dsp:txXfrm>
    </dsp:sp>
    <dsp:sp modelId="{14796917-F0BF-4E3C-86EB-95A633FD57BB}">
      <dsp:nvSpPr>
        <dsp:cNvPr id="0" name=""/>
        <dsp:cNvSpPr/>
      </dsp:nvSpPr>
      <dsp:spPr>
        <a:xfrm>
          <a:off x="2540349" y="475761"/>
          <a:ext cx="2876437" cy="778723"/>
        </a:xfrm>
        <a:prstGeom prst="rightArrow">
          <a:avLst>
            <a:gd name="adj1" fmla="val 50000"/>
            <a:gd name="adj2" fmla="val 50000"/>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254000" bIns="123622" numCol="1" spcCol="1270" anchor="ctr" anchorCtr="0">
          <a:noAutofit/>
        </a:bodyPr>
        <a:lstStyle/>
        <a:p>
          <a:pPr lvl="0" algn="l" defTabSz="400050">
            <a:lnSpc>
              <a:spcPct val="90000"/>
            </a:lnSpc>
            <a:spcBef>
              <a:spcPct val="0"/>
            </a:spcBef>
            <a:spcAft>
              <a:spcPct val="35000"/>
            </a:spcAft>
          </a:pPr>
          <a:r>
            <a:rPr lang="pl-PL" sz="900" kern="1200">
              <a:solidFill>
                <a:sysClr val="window" lastClr="FFFFFF"/>
              </a:solidFill>
              <a:latin typeface="+mn-lt"/>
              <a:ea typeface="+mn-ea"/>
              <a:cs typeface="+mn-cs"/>
            </a:rPr>
            <a:t>złożenie WoP - certfikacja WoP przez IC </a:t>
          </a:r>
          <a:br>
            <a:rPr lang="pl-PL" sz="900" kern="1200">
              <a:solidFill>
                <a:sysClr val="window" lastClr="FFFFFF"/>
              </a:solidFill>
              <a:latin typeface="+mn-lt"/>
              <a:ea typeface="+mn-ea"/>
              <a:cs typeface="+mn-cs"/>
            </a:rPr>
          </a:br>
          <a:r>
            <a:rPr lang="pl-PL" sz="900" kern="1200">
              <a:solidFill>
                <a:sysClr val="window" lastClr="FFFFFF"/>
              </a:solidFill>
              <a:latin typeface="+mn-lt"/>
              <a:ea typeface="+mn-ea"/>
              <a:cs typeface="+mn-cs"/>
            </a:rPr>
            <a:t>(cały cykl procedowania WoP finansowego)</a:t>
          </a:r>
        </a:p>
      </dsp:txBody>
      <dsp:txXfrm>
        <a:off x="2540349" y="670442"/>
        <a:ext cx="2681756" cy="389361"/>
      </dsp:txXfrm>
    </dsp:sp>
    <dsp:sp modelId="{33BA7187-217F-4C8C-8327-20B9B9DFE153}">
      <dsp:nvSpPr>
        <dsp:cNvPr id="0" name=""/>
        <dsp:cNvSpPr/>
      </dsp:nvSpPr>
      <dsp:spPr>
        <a:xfrm>
          <a:off x="2558924" y="1055924"/>
          <a:ext cx="2470100" cy="873056"/>
        </a:xfrm>
        <a:prstGeom prst="rect">
          <a:avLst/>
        </a:prstGeom>
        <a:solidFill>
          <a:sysClr val="window" lastClr="FFFFFF">
            <a:hueOff val="0"/>
            <a:satOff val="0"/>
            <a:lumOff val="0"/>
            <a:alphaOff val="0"/>
          </a:sysClr>
        </a:solidFill>
        <a:ln w="9525" cap="flat" cmpd="sng" algn="ctr">
          <a:solidFill>
            <a:srgbClr val="9BBB59">
              <a:hueOff val="11250264"/>
              <a:satOff val="-16880"/>
              <a:lumOff val="-274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ogółem: 90</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EFRR: 88</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EFS: 91</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tryb konkursowy: 91</a:t>
          </a:r>
        </a:p>
        <a:p>
          <a:pPr lvl="0" algn="l"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mn-lt"/>
              <a:ea typeface="+mn-ea"/>
              <a:cs typeface="+mn-cs"/>
            </a:rPr>
            <a:t>tryb pozakonkursowy: 81</a:t>
          </a:r>
        </a:p>
      </dsp:txBody>
      <dsp:txXfrm>
        <a:off x="2558924" y="1055924"/>
        <a:ext cx="2470100" cy="8730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D9BC4-2B15-43A7-88BC-C59F10EDB3B4}">
  <ds:schemaRefs>
    <ds:schemaRef ds:uri="http://schemas.openxmlformats.org/officeDocument/2006/bibliography"/>
  </ds:schemaRefs>
</ds:datastoreItem>
</file>

<file path=customXml/itemProps2.xml><?xml version="1.0" encoding="utf-8"?>
<ds:datastoreItem xmlns:ds="http://schemas.openxmlformats.org/officeDocument/2006/customXml" ds:itemID="{922EE2EF-D02E-4D45-A803-931913270772}">
  <ds:schemaRefs>
    <ds:schemaRef ds:uri="http://schemas.openxmlformats.org/officeDocument/2006/bibliography"/>
  </ds:schemaRefs>
</ds:datastoreItem>
</file>

<file path=customXml/itemProps3.xml><?xml version="1.0" encoding="utf-8"?>
<ds:datastoreItem xmlns:ds="http://schemas.openxmlformats.org/officeDocument/2006/customXml" ds:itemID="{CC531D79-B66E-4C7C-A5E3-AF603E0BC14F}">
  <ds:schemaRefs>
    <ds:schemaRef ds:uri="http://schemas.openxmlformats.org/officeDocument/2006/bibliography"/>
  </ds:schemaRefs>
</ds:datastoreItem>
</file>

<file path=customXml/itemProps4.xml><?xml version="1.0" encoding="utf-8"?>
<ds:datastoreItem xmlns:ds="http://schemas.openxmlformats.org/officeDocument/2006/customXml" ds:itemID="{310DD996-D61E-401B-800E-E914A3B2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421</Pages>
  <Words>168223</Words>
  <Characters>1009339</Characters>
  <Application>Microsoft Office Word</Application>
  <DocSecurity>0</DocSecurity>
  <Lines>8411</Lines>
  <Paragraphs>2350</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1175212</CharactersWithSpaces>
  <SharedDoc>false</SharedDoc>
  <HLinks>
    <vt:vector size="1782" baseType="variant">
      <vt:variant>
        <vt:i4>2490368</vt:i4>
      </vt:variant>
      <vt:variant>
        <vt:i4>2606</vt:i4>
      </vt:variant>
      <vt:variant>
        <vt:i4>0</vt:i4>
      </vt:variant>
      <vt:variant>
        <vt:i4>5</vt:i4>
      </vt:variant>
      <vt:variant>
        <vt:lpwstr/>
      </vt:variant>
      <vt:variant>
        <vt:lpwstr>_Toc6521459</vt:lpwstr>
      </vt:variant>
      <vt:variant>
        <vt:i4>2490368</vt:i4>
      </vt:variant>
      <vt:variant>
        <vt:i4>2600</vt:i4>
      </vt:variant>
      <vt:variant>
        <vt:i4>0</vt:i4>
      </vt:variant>
      <vt:variant>
        <vt:i4>5</vt:i4>
      </vt:variant>
      <vt:variant>
        <vt:lpwstr/>
      </vt:variant>
      <vt:variant>
        <vt:lpwstr>_Toc6521458</vt:lpwstr>
      </vt:variant>
      <vt:variant>
        <vt:i4>2490368</vt:i4>
      </vt:variant>
      <vt:variant>
        <vt:i4>2594</vt:i4>
      </vt:variant>
      <vt:variant>
        <vt:i4>0</vt:i4>
      </vt:variant>
      <vt:variant>
        <vt:i4>5</vt:i4>
      </vt:variant>
      <vt:variant>
        <vt:lpwstr/>
      </vt:variant>
      <vt:variant>
        <vt:lpwstr>_Toc6521457</vt:lpwstr>
      </vt:variant>
      <vt:variant>
        <vt:i4>2490368</vt:i4>
      </vt:variant>
      <vt:variant>
        <vt:i4>2588</vt:i4>
      </vt:variant>
      <vt:variant>
        <vt:i4>0</vt:i4>
      </vt:variant>
      <vt:variant>
        <vt:i4>5</vt:i4>
      </vt:variant>
      <vt:variant>
        <vt:lpwstr/>
      </vt:variant>
      <vt:variant>
        <vt:lpwstr>_Toc6521456</vt:lpwstr>
      </vt:variant>
      <vt:variant>
        <vt:i4>2490368</vt:i4>
      </vt:variant>
      <vt:variant>
        <vt:i4>2582</vt:i4>
      </vt:variant>
      <vt:variant>
        <vt:i4>0</vt:i4>
      </vt:variant>
      <vt:variant>
        <vt:i4>5</vt:i4>
      </vt:variant>
      <vt:variant>
        <vt:lpwstr/>
      </vt:variant>
      <vt:variant>
        <vt:lpwstr>_Toc6521455</vt:lpwstr>
      </vt:variant>
      <vt:variant>
        <vt:i4>2490368</vt:i4>
      </vt:variant>
      <vt:variant>
        <vt:i4>2576</vt:i4>
      </vt:variant>
      <vt:variant>
        <vt:i4>0</vt:i4>
      </vt:variant>
      <vt:variant>
        <vt:i4>5</vt:i4>
      </vt:variant>
      <vt:variant>
        <vt:lpwstr/>
      </vt:variant>
      <vt:variant>
        <vt:lpwstr>_Toc6521454</vt:lpwstr>
      </vt:variant>
      <vt:variant>
        <vt:i4>2490368</vt:i4>
      </vt:variant>
      <vt:variant>
        <vt:i4>2570</vt:i4>
      </vt:variant>
      <vt:variant>
        <vt:i4>0</vt:i4>
      </vt:variant>
      <vt:variant>
        <vt:i4>5</vt:i4>
      </vt:variant>
      <vt:variant>
        <vt:lpwstr/>
      </vt:variant>
      <vt:variant>
        <vt:lpwstr>_Toc6521453</vt:lpwstr>
      </vt:variant>
      <vt:variant>
        <vt:i4>2490368</vt:i4>
      </vt:variant>
      <vt:variant>
        <vt:i4>2564</vt:i4>
      </vt:variant>
      <vt:variant>
        <vt:i4>0</vt:i4>
      </vt:variant>
      <vt:variant>
        <vt:i4>5</vt:i4>
      </vt:variant>
      <vt:variant>
        <vt:lpwstr/>
      </vt:variant>
      <vt:variant>
        <vt:lpwstr>_Toc6521452</vt:lpwstr>
      </vt:variant>
      <vt:variant>
        <vt:i4>2490368</vt:i4>
      </vt:variant>
      <vt:variant>
        <vt:i4>2558</vt:i4>
      </vt:variant>
      <vt:variant>
        <vt:i4>0</vt:i4>
      </vt:variant>
      <vt:variant>
        <vt:i4>5</vt:i4>
      </vt:variant>
      <vt:variant>
        <vt:lpwstr/>
      </vt:variant>
      <vt:variant>
        <vt:lpwstr>_Toc6521451</vt:lpwstr>
      </vt:variant>
      <vt:variant>
        <vt:i4>2490368</vt:i4>
      </vt:variant>
      <vt:variant>
        <vt:i4>2552</vt:i4>
      </vt:variant>
      <vt:variant>
        <vt:i4>0</vt:i4>
      </vt:variant>
      <vt:variant>
        <vt:i4>5</vt:i4>
      </vt:variant>
      <vt:variant>
        <vt:lpwstr/>
      </vt:variant>
      <vt:variant>
        <vt:lpwstr>_Toc6521450</vt:lpwstr>
      </vt:variant>
      <vt:variant>
        <vt:i4>2490381</vt:i4>
      </vt:variant>
      <vt:variant>
        <vt:i4>2543</vt:i4>
      </vt:variant>
      <vt:variant>
        <vt:i4>0</vt:i4>
      </vt:variant>
      <vt:variant>
        <vt:i4>5</vt:i4>
      </vt:variant>
      <vt:variant>
        <vt:lpwstr/>
      </vt:variant>
      <vt:variant>
        <vt:lpwstr>_Toc5311930</vt:lpwstr>
      </vt:variant>
      <vt:variant>
        <vt:i4>2555917</vt:i4>
      </vt:variant>
      <vt:variant>
        <vt:i4>2537</vt:i4>
      </vt:variant>
      <vt:variant>
        <vt:i4>0</vt:i4>
      </vt:variant>
      <vt:variant>
        <vt:i4>5</vt:i4>
      </vt:variant>
      <vt:variant>
        <vt:lpwstr/>
      </vt:variant>
      <vt:variant>
        <vt:lpwstr>_Toc5311929</vt:lpwstr>
      </vt:variant>
      <vt:variant>
        <vt:i4>2555917</vt:i4>
      </vt:variant>
      <vt:variant>
        <vt:i4>2531</vt:i4>
      </vt:variant>
      <vt:variant>
        <vt:i4>0</vt:i4>
      </vt:variant>
      <vt:variant>
        <vt:i4>5</vt:i4>
      </vt:variant>
      <vt:variant>
        <vt:lpwstr/>
      </vt:variant>
      <vt:variant>
        <vt:lpwstr>_Toc5311928</vt:lpwstr>
      </vt:variant>
      <vt:variant>
        <vt:i4>2555917</vt:i4>
      </vt:variant>
      <vt:variant>
        <vt:i4>2525</vt:i4>
      </vt:variant>
      <vt:variant>
        <vt:i4>0</vt:i4>
      </vt:variant>
      <vt:variant>
        <vt:i4>5</vt:i4>
      </vt:variant>
      <vt:variant>
        <vt:lpwstr/>
      </vt:variant>
      <vt:variant>
        <vt:lpwstr>_Toc5311927</vt:lpwstr>
      </vt:variant>
      <vt:variant>
        <vt:i4>2555917</vt:i4>
      </vt:variant>
      <vt:variant>
        <vt:i4>2516</vt:i4>
      </vt:variant>
      <vt:variant>
        <vt:i4>0</vt:i4>
      </vt:variant>
      <vt:variant>
        <vt:i4>5</vt:i4>
      </vt:variant>
      <vt:variant>
        <vt:lpwstr/>
      </vt:variant>
      <vt:variant>
        <vt:lpwstr>_Toc5311926</vt:lpwstr>
      </vt:variant>
      <vt:variant>
        <vt:i4>2555917</vt:i4>
      </vt:variant>
      <vt:variant>
        <vt:i4>2510</vt:i4>
      </vt:variant>
      <vt:variant>
        <vt:i4>0</vt:i4>
      </vt:variant>
      <vt:variant>
        <vt:i4>5</vt:i4>
      </vt:variant>
      <vt:variant>
        <vt:lpwstr/>
      </vt:variant>
      <vt:variant>
        <vt:lpwstr>_Toc5311925</vt:lpwstr>
      </vt:variant>
      <vt:variant>
        <vt:i4>2555917</vt:i4>
      </vt:variant>
      <vt:variant>
        <vt:i4>2504</vt:i4>
      </vt:variant>
      <vt:variant>
        <vt:i4>0</vt:i4>
      </vt:variant>
      <vt:variant>
        <vt:i4>5</vt:i4>
      </vt:variant>
      <vt:variant>
        <vt:lpwstr/>
      </vt:variant>
      <vt:variant>
        <vt:lpwstr>_Toc5311924</vt:lpwstr>
      </vt:variant>
      <vt:variant>
        <vt:i4>2555917</vt:i4>
      </vt:variant>
      <vt:variant>
        <vt:i4>2498</vt:i4>
      </vt:variant>
      <vt:variant>
        <vt:i4>0</vt:i4>
      </vt:variant>
      <vt:variant>
        <vt:i4>5</vt:i4>
      </vt:variant>
      <vt:variant>
        <vt:lpwstr/>
      </vt:variant>
      <vt:variant>
        <vt:lpwstr>_Toc5311923</vt:lpwstr>
      </vt:variant>
      <vt:variant>
        <vt:i4>2555917</vt:i4>
      </vt:variant>
      <vt:variant>
        <vt:i4>2492</vt:i4>
      </vt:variant>
      <vt:variant>
        <vt:i4>0</vt:i4>
      </vt:variant>
      <vt:variant>
        <vt:i4>5</vt:i4>
      </vt:variant>
      <vt:variant>
        <vt:lpwstr/>
      </vt:variant>
      <vt:variant>
        <vt:lpwstr>_Toc5311922</vt:lpwstr>
      </vt:variant>
      <vt:variant>
        <vt:i4>2555917</vt:i4>
      </vt:variant>
      <vt:variant>
        <vt:i4>2486</vt:i4>
      </vt:variant>
      <vt:variant>
        <vt:i4>0</vt:i4>
      </vt:variant>
      <vt:variant>
        <vt:i4>5</vt:i4>
      </vt:variant>
      <vt:variant>
        <vt:lpwstr/>
      </vt:variant>
      <vt:variant>
        <vt:lpwstr>_Toc5311921</vt:lpwstr>
      </vt:variant>
      <vt:variant>
        <vt:i4>2555917</vt:i4>
      </vt:variant>
      <vt:variant>
        <vt:i4>2480</vt:i4>
      </vt:variant>
      <vt:variant>
        <vt:i4>0</vt:i4>
      </vt:variant>
      <vt:variant>
        <vt:i4>5</vt:i4>
      </vt:variant>
      <vt:variant>
        <vt:lpwstr/>
      </vt:variant>
      <vt:variant>
        <vt:lpwstr>_Toc5311920</vt:lpwstr>
      </vt:variant>
      <vt:variant>
        <vt:i4>2359309</vt:i4>
      </vt:variant>
      <vt:variant>
        <vt:i4>2474</vt:i4>
      </vt:variant>
      <vt:variant>
        <vt:i4>0</vt:i4>
      </vt:variant>
      <vt:variant>
        <vt:i4>5</vt:i4>
      </vt:variant>
      <vt:variant>
        <vt:lpwstr/>
      </vt:variant>
      <vt:variant>
        <vt:lpwstr>_Toc5311919</vt:lpwstr>
      </vt:variant>
      <vt:variant>
        <vt:i4>2359309</vt:i4>
      </vt:variant>
      <vt:variant>
        <vt:i4>2468</vt:i4>
      </vt:variant>
      <vt:variant>
        <vt:i4>0</vt:i4>
      </vt:variant>
      <vt:variant>
        <vt:i4>5</vt:i4>
      </vt:variant>
      <vt:variant>
        <vt:lpwstr/>
      </vt:variant>
      <vt:variant>
        <vt:lpwstr>_Toc5311918</vt:lpwstr>
      </vt:variant>
      <vt:variant>
        <vt:i4>2359309</vt:i4>
      </vt:variant>
      <vt:variant>
        <vt:i4>2462</vt:i4>
      </vt:variant>
      <vt:variant>
        <vt:i4>0</vt:i4>
      </vt:variant>
      <vt:variant>
        <vt:i4>5</vt:i4>
      </vt:variant>
      <vt:variant>
        <vt:lpwstr/>
      </vt:variant>
      <vt:variant>
        <vt:lpwstr>_Toc5311917</vt:lpwstr>
      </vt:variant>
      <vt:variant>
        <vt:i4>2359309</vt:i4>
      </vt:variant>
      <vt:variant>
        <vt:i4>2456</vt:i4>
      </vt:variant>
      <vt:variant>
        <vt:i4>0</vt:i4>
      </vt:variant>
      <vt:variant>
        <vt:i4>5</vt:i4>
      </vt:variant>
      <vt:variant>
        <vt:lpwstr/>
      </vt:variant>
      <vt:variant>
        <vt:lpwstr>_Toc5311916</vt:lpwstr>
      </vt:variant>
      <vt:variant>
        <vt:i4>2359309</vt:i4>
      </vt:variant>
      <vt:variant>
        <vt:i4>2450</vt:i4>
      </vt:variant>
      <vt:variant>
        <vt:i4>0</vt:i4>
      </vt:variant>
      <vt:variant>
        <vt:i4>5</vt:i4>
      </vt:variant>
      <vt:variant>
        <vt:lpwstr/>
      </vt:variant>
      <vt:variant>
        <vt:lpwstr>_Toc5311915</vt:lpwstr>
      </vt:variant>
      <vt:variant>
        <vt:i4>2359309</vt:i4>
      </vt:variant>
      <vt:variant>
        <vt:i4>2444</vt:i4>
      </vt:variant>
      <vt:variant>
        <vt:i4>0</vt:i4>
      </vt:variant>
      <vt:variant>
        <vt:i4>5</vt:i4>
      </vt:variant>
      <vt:variant>
        <vt:lpwstr/>
      </vt:variant>
      <vt:variant>
        <vt:lpwstr>_Toc5311914</vt:lpwstr>
      </vt:variant>
      <vt:variant>
        <vt:i4>2359309</vt:i4>
      </vt:variant>
      <vt:variant>
        <vt:i4>2438</vt:i4>
      </vt:variant>
      <vt:variant>
        <vt:i4>0</vt:i4>
      </vt:variant>
      <vt:variant>
        <vt:i4>5</vt:i4>
      </vt:variant>
      <vt:variant>
        <vt:lpwstr/>
      </vt:variant>
      <vt:variant>
        <vt:lpwstr>_Toc5311913</vt:lpwstr>
      </vt:variant>
      <vt:variant>
        <vt:i4>2359309</vt:i4>
      </vt:variant>
      <vt:variant>
        <vt:i4>2432</vt:i4>
      </vt:variant>
      <vt:variant>
        <vt:i4>0</vt:i4>
      </vt:variant>
      <vt:variant>
        <vt:i4>5</vt:i4>
      </vt:variant>
      <vt:variant>
        <vt:lpwstr/>
      </vt:variant>
      <vt:variant>
        <vt:lpwstr>_Toc5311912</vt:lpwstr>
      </vt:variant>
      <vt:variant>
        <vt:i4>2359309</vt:i4>
      </vt:variant>
      <vt:variant>
        <vt:i4>2426</vt:i4>
      </vt:variant>
      <vt:variant>
        <vt:i4>0</vt:i4>
      </vt:variant>
      <vt:variant>
        <vt:i4>5</vt:i4>
      </vt:variant>
      <vt:variant>
        <vt:lpwstr/>
      </vt:variant>
      <vt:variant>
        <vt:lpwstr>_Toc5311911</vt:lpwstr>
      </vt:variant>
      <vt:variant>
        <vt:i4>2359309</vt:i4>
      </vt:variant>
      <vt:variant>
        <vt:i4>2420</vt:i4>
      </vt:variant>
      <vt:variant>
        <vt:i4>0</vt:i4>
      </vt:variant>
      <vt:variant>
        <vt:i4>5</vt:i4>
      </vt:variant>
      <vt:variant>
        <vt:lpwstr/>
      </vt:variant>
      <vt:variant>
        <vt:lpwstr>_Toc5311910</vt:lpwstr>
      </vt:variant>
      <vt:variant>
        <vt:i4>2424845</vt:i4>
      </vt:variant>
      <vt:variant>
        <vt:i4>2414</vt:i4>
      </vt:variant>
      <vt:variant>
        <vt:i4>0</vt:i4>
      </vt:variant>
      <vt:variant>
        <vt:i4>5</vt:i4>
      </vt:variant>
      <vt:variant>
        <vt:lpwstr/>
      </vt:variant>
      <vt:variant>
        <vt:lpwstr>_Toc5311909</vt:lpwstr>
      </vt:variant>
      <vt:variant>
        <vt:i4>2424845</vt:i4>
      </vt:variant>
      <vt:variant>
        <vt:i4>2408</vt:i4>
      </vt:variant>
      <vt:variant>
        <vt:i4>0</vt:i4>
      </vt:variant>
      <vt:variant>
        <vt:i4>5</vt:i4>
      </vt:variant>
      <vt:variant>
        <vt:lpwstr/>
      </vt:variant>
      <vt:variant>
        <vt:lpwstr>_Toc5311908</vt:lpwstr>
      </vt:variant>
      <vt:variant>
        <vt:i4>2424845</vt:i4>
      </vt:variant>
      <vt:variant>
        <vt:i4>2402</vt:i4>
      </vt:variant>
      <vt:variant>
        <vt:i4>0</vt:i4>
      </vt:variant>
      <vt:variant>
        <vt:i4>5</vt:i4>
      </vt:variant>
      <vt:variant>
        <vt:lpwstr/>
      </vt:variant>
      <vt:variant>
        <vt:lpwstr>_Toc5311907</vt:lpwstr>
      </vt:variant>
      <vt:variant>
        <vt:i4>2424845</vt:i4>
      </vt:variant>
      <vt:variant>
        <vt:i4>2396</vt:i4>
      </vt:variant>
      <vt:variant>
        <vt:i4>0</vt:i4>
      </vt:variant>
      <vt:variant>
        <vt:i4>5</vt:i4>
      </vt:variant>
      <vt:variant>
        <vt:lpwstr/>
      </vt:variant>
      <vt:variant>
        <vt:lpwstr>_Toc5311906</vt:lpwstr>
      </vt:variant>
      <vt:variant>
        <vt:i4>2424845</vt:i4>
      </vt:variant>
      <vt:variant>
        <vt:i4>2390</vt:i4>
      </vt:variant>
      <vt:variant>
        <vt:i4>0</vt:i4>
      </vt:variant>
      <vt:variant>
        <vt:i4>5</vt:i4>
      </vt:variant>
      <vt:variant>
        <vt:lpwstr/>
      </vt:variant>
      <vt:variant>
        <vt:lpwstr>_Toc5311905</vt:lpwstr>
      </vt:variant>
      <vt:variant>
        <vt:i4>2424845</vt:i4>
      </vt:variant>
      <vt:variant>
        <vt:i4>2384</vt:i4>
      </vt:variant>
      <vt:variant>
        <vt:i4>0</vt:i4>
      </vt:variant>
      <vt:variant>
        <vt:i4>5</vt:i4>
      </vt:variant>
      <vt:variant>
        <vt:lpwstr/>
      </vt:variant>
      <vt:variant>
        <vt:lpwstr>_Toc5311904</vt:lpwstr>
      </vt:variant>
      <vt:variant>
        <vt:i4>2424845</vt:i4>
      </vt:variant>
      <vt:variant>
        <vt:i4>2378</vt:i4>
      </vt:variant>
      <vt:variant>
        <vt:i4>0</vt:i4>
      </vt:variant>
      <vt:variant>
        <vt:i4>5</vt:i4>
      </vt:variant>
      <vt:variant>
        <vt:lpwstr/>
      </vt:variant>
      <vt:variant>
        <vt:lpwstr>_Toc5311903</vt:lpwstr>
      </vt:variant>
      <vt:variant>
        <vt:i4>2424845</vt:i4>
      </vt:variant>
      <vt:variant>
        <vt:i4>2372</vt:i4>
      </vt:variant>
      <vt:variant>
        <vt:i4>0</vt:i4>
      </vt:variant>
      <vt:variant>
        <vt:i4>5</vt:i4>
      </vt:variant>
      <vt:variant>
        <vt:lpwstr/>
      </vt:variant>
      <vt:variant>
        <vt:lpwstr>_Toc5311902</vt:lpwstr>
      </vt:variant>
      <vt:variant>
        <vt:i4>2424845</vt:i4>
      </vt:variant>
      <vt:variant>
        <vt:i4>2366</vt:i4>
      </vt:variant>
      <vt:variant>
        <vt:i4>0</vt:i4>
      </vt:variant>
      <vt:variant>
        <vt:i4>5</vt:i4>
      </vt:variant>
      <vt:variant>
        <vt:lpwstr/>
      </vt:variant>
      <vt:variant>
        <vt:lpwstr>_Toc5311901</vt:lpwstr>
      </vt:variant>
      <vt:variant>
        <vt:i4>2424845</vt:i4>
      </vt:variant>
      <vt:variant>
        <vt:i4>2360</vt:i4>
      </vt:variant>
      <vt:variant>
        <vt:i4>0</vt:i4>
      </vt:variant>
      <vt:variant>
        <vt:i4>5</vt:i4>
      </vt:variant>
      <vt:variant>
        <vt:lpwstr/>
      </vt:variant>
      <vt:variant>
        <vt:lpwstr>_Toc5311900</vt:lpwstr>
      </vt:variant>
      <vt:variant>
        <vt:i4>2883596</vt:i4>
      </vt:variant>
      <vt:variant>
        <vt:i4>2354</vt:i4>
      </vt:variant>
      <vt:variant>
        <vt:i4>0</vt:i4>
      </vt:variant>
      <vt:variant>
        <vt:i4>5</vt:i4>
      </vt:variant>
      <vt:variant>
        <vt:lpwstr/>
      </vt:variant>
      <vt:variant>
        <vt:lpwstr>_Toc5311899</vt:lpwstr>
      </vt:variant>
      <vt:variant>
        <vt:i4>2883596</vt:i4>
      </vt:variant>
      <vt:variant>
        <vt:i4>2348</vt:i4>
      </vt:variant>
      <vt:variant>
        <vt:i4>0</vt:i4>
      </vt:variant>
      <vt:variant>
        <vt:i4>5</vt:i4>
      </vt:variant>
      <vt:variant>
        <vt:lpwstr/>
      </vt:variant>
      <vt:variant>
        <vt:lpwstr>_Toc5311898</vt:lpwstr>
      </vt:variant>
      <vt:variant>
        <vt:i4>2883596</vt:i4>
      </vt:variant>
      <vt:variant>
        <vt:i4>2342</vt:i4>
      </vt:variant>
      <vt:variant>
        <vt:i4>0</vt:i4>
      </vt:variant>
      <vt:variant>
        <vt:i4>5</vt:i4>
      </vt:variant>
      <vt:variant>
        <vt:lpwstr/>
      </vt:variant>
      <vt:variant>
        <vt:lpwstr>_Toc5311897</vt:lpwstr>
      </vt:variant>
      <vt:variant>
        <vt:i4>2883596</vt:i4>
      </vt:variant>
      <vt:variant>
        <vt:i4>2336</vt:i4>
      </vt:variant>
      <vt:variant>
        <vt:i4>0</vt:i4>
      </vt:variant>
      <vt:variant>
        <vt:i4>5</vt:i4>
      </vt:variant>
      <vt:variant>
        <vt:lpwstr/>
      </vt:variant>
      <vt:variant>
        <vt:lpwstr>_Toc5311896</vt:lpwstr>
      </vt:variant>
      <vt:variant>
        <vt:i4>2883596</vt:i4>
      </vt:variant>
      <vt:variant>
        <vt:i4>2330</vt:i4>
      </vt:variant>
      <vt:variant>
        <vt:i4>0</vt:i4>
      </vt:variant>
      <vt:variant>
        <vt:i4>5</vt:i4>
      </vt:variant>
      <vt:variant>
        <vt:lpwstr/>
      </vt:variant>
      <vt:variant>
        <vt:lpwstr>_Toc5311895</vt:lpwstr>
      </vt:variant>
      <vt:variant>
        <vt:i4>2883596</vt:i4>
      </vt:variant>
      <vt:variant>
        <vt:i4>2324</vt:i4>
      </vt:variant>
      <vt:variant>
        <vt:i4>0</vt:i4>
      </vt:variant>
      <vt:variant>
        <vt:i4>5</vt:i4>
      </vt:variant>
      <vt:variant>
        <vt:lpwstr/>
      </vt:variant>
      <vt:variant>
        <vt:lpwstr>_Toc5311894</vt:lpwstr>
      </vt:variant>
      <vt:variant>
        <vt:i4>2883596</vt:i4>
      </vt:variant>
      <vt:variant>
        <vt:i4>2318</vt:i4>
      </vt:variant>
      <vt:variant>
        <vt:i4>0</vt:i4>
      </vt:variant>
      <vt:variant>
        <vt:i4>5</vt:i4>
      </vt:variant>
      <vt:variant>
        <vt:lpwstr/>
      </vt:variant>
      <vt:variant>
        <vt:lpwstr>_Toc5311893</vt:lpwstr>
      </vt:variant>
      <vt:variant>
        <vt:i4>2883596</vt:i4>
      </vt:variant>
      <vt:variant>
        <vt:i4>2312</vt:i4>
      </vt:variant>
      <vt:variant>
        <vt:i4>0</vt:i4>
      </vt:variant>
      <vt:variant>
        <vt:i4>5</vt:i4>
      </vt:variant>
      <vt:variant>
        <vt:lpwstr/>
      </vt:variant>
      <vt:variant>
        <vt:lpwstr>_Toc5311892</vt:lpwstr>
      </vt:variant>
      <vt:variant>
        <vt:i4>2883596</vt:i4>
      </vt:variant>
      <vt:variant>
        <vt:i4>2306</vt:i4>
      </vt:variant>
      <vt:variant>
        <vt:i4>0</vt:i4>
      </vt:variant>
      <vt:variant>
        <vt:i4>5</vt:i4>
      </vt:variant>
      <vt:variant>
        <vt:lpwstr/>
      </vt:variant>
      <vt:variant>
        <vt:lpwstr>_Toc5311891</vt:lpwstr>
      </vt:variant>
      <vt:variant>
        <vt:i4>2883596</vt:i4>
      </vt:variant>
      <vt:variant>
        <vt:i4>2300</vt:i4>
      </vt:variant>
      <vt:variant>
        <vt:i4>0</vt:i4>
      </vt:variant>
      <vt:variant>
        <vt:i4>5</vt:i4>
      </vt:variant>
      <vt:variant>
        <vt:lpwstr/>
      </vt:variant>
      <vt:variant>
        <vt:lpwstr>_Toc5311890</vt:lpwstr>
      </vt:variant>
      <vt:variant>
        <vt:i4>2949132</vt:i4>
      </vt:variant>
      <vt:variant>
        <vt:i4>2294</vt:i4>
      </vt:variant>
      <vt:variant>
        <vt:i4>0</vt:i4>
      </vt:variant>
      <vt:variant>
        <vt:i4>5</vt:i4>
      </vt:variant>
      <vt:variant>
        <vt:lpwstr/>
      </vt:variant>
      <vt:variant>
        <vt:lpwstr>_Toc5311889</vt:lpwstr>
      </vt:variant>
      <vt:variant>
        <vt:i4>2949132</vt:i4>
      </vt:variant>
      <vt:variant>
        <vt:i4>2288</vt:i4>
      </vt:variant>
      <vt:variant>
        <vt:i4>0</vt:i4>
      </vt:variant>
      <vt:variant>
        <vt:i4>5</vt:i4>
      </vt:variant>
      <vt:variant>
        <vt:lpwstr/>
      </vt:variant>
      <vt:variant>
        <vt:lpwstr>_Toc5311888</vt:lpwstr>
      </vt:variant>
      <vt:variant>
        <vt:i4>2949132</vt:i4>
      </vt:variant>
      <vt:variant>
        <vt:i4>2282</vt:i4>
      </vt:variant>
      <vt:variant>
        <vt:i4>0</vt:i4>
      </vt:variant>
      <vt:variant>
        <vt:i4>5</vt:i4>
      </vt:variant>
      <vt:variant>
        <vt:lpwstr/>
      </vt:variant>
      <vt:variant>
        <vt:lpwstr>_Toc5311887</vt:lpwstr>
      </vt:variant>
      <vt:variant>
        <vt:i4>2949132</vt:i4>
      </vt:variant>
      <vt:variant>
        <vt:i4>2276</vt:i4>
      </vt:variant>
      <vt:variant>
        <vt:i4>0</vt:i4>
      </vt:variant>
      <vt:variant>
        <vt:i4>5</vt:i4>
      </vt:variant>
      <vt:variant>
        <vt:lpwstr/>
      </vt:variant>
      <vt:variant>
        <vt:lpwstr>_Toc5311886</vt:lpwstr>
      </vt:variant>
      <vt:variant>
        <vt:i4>2949132</vt:i4>
      </vt:variant>
      <vt:variant>
        <vt:i4>2270</vt:i4>
      </vt:variant>
      <vt:variant>
        <vt:i4>0</vt:i4>
      </vt:variant>
      <vt:variant>
        <vt:i4>5</vt:i4>
      </vt:variant>
      <vt:variant>
        <vt:lpwstr/>
      </vt:variant>
      <vt:variant>
        <vt:lpwstr>_Toc5311885</vt:lpwstr>
      </vt:variant>
      <vt:variant>
        <vt:i4>2949132</vt:i4>
      </vt:variant>
      <vt:variant>
        <vt:i4>2264</vt:i4>
      </vt:variant>
      <vt:variant>
        <vt:i4>0</vt:i4>
      </vt:variant>
      <vt:variant>
        <vt:i4>5</vt:i4>
      </vt:variant>
      <vt:variant>
        <vt:lpwstr/>
      </vt:variant>
      <vt:variant>
        <vt:lpwstr>_Toc5311884</vt:lpwstr>
      </vt:variant>
      <vt:variant>
        <vt:i4>2949132</vt:i4>
      </vt:variant>
      <vt:variant>
        <vt:i4>2258</vt:i4>
      </vt:variant>
      <vt:variant>
        <vt:i4>0</vt:i4>
      </vt:variant>
      <vt:variant>
        <vt:i4>5</vt:i4>
      </vt:variant>
      <vt:variant>
        <vt:lpwstr/>
      </vt:variant>
      <vt:variant>
        <vt:lpwstr>_Toc5311883</vt:lpwstr>
      </vt:variant>
      <vt:variant>
        <vt:i4>2949132</vt:i4>
      </vt:variant>
      <vt:variant>
        <vt:i4>2252</vt:i4>
      </vt:variant>
      <vt:variant>
        <vt:i4>0</vt:i4>
      </vt:variant>
      <vt:variant>
        <vt:i4>5</vt:i4>
      </vt:variant>
      <vt:variant>
        <vt:lpwstr/>
      </vt:variant>
      <vt:variant>
        <vt:lpwstr>_Toc5311882</vt:lpwstr>
      </vt:variant>
      <vt:variant>
        <vt:i4>2949132</vt:i4>
      </vt:variant>
      <vt:variant>
        <vt:i4>2246</vt:i4>
      </vt:variant>
      <vt:variant>
        <vt:i4>0</vt:i4>
      </vt:variant>
      <vt:variant>
        <vt:i4>5</vt:i4>
      </vt:variant>
      <vt:variant>
        <vt:lpwstr/>
      </vt:variant>
      <vt:variant>
        <vt:lpwstr>_Toc5311881</vt:lpwstr>
      </vt:variant>
      <vt:variant>
        <vt:i4>2949132</vt:i4>
      </vt:variant>
      <vt:variant>
        <vt:i4>2240</vt:i4>
      </vt:variant>
      <vt:variant>
        <vt:i4>0</vt:i4>
      </vt:variant>
      <vt:variant>
        <vt:i4>5</vt:i4>
      </vt:variant>
      <vt:variant>
        <vt:lpwstr/>
      </vt:variant>
      <vt:variant>
        <vt:lpwstr>_Toc5311880</vt:lpwstr>
      </vt:variant>
      <vt:variant>
        <vt:i4>2228236</vt:i4>
      </vt:variant>
      <vt:variant>
        <vt:i4>2234</vt:i4>
      </vt:variant>
      <vt:variant>
        <vt:i4>0</vt:i4>
      </vt:variant>
      <vt:variant>
        <vt:i4>5</vt:i4>
      </vt:variant>
      <vt:variant>
        <vt:lpwstr/>
      </vt:variant>
      <vt:variant>
        <vt:lpwstr>_Toc5311879</vt:lpwstr>
      </vt:variant>
      <vt:variant>
        <vt:i4>2228236</vt:i4>
      </vt:variant>
      <vt:variant>
        <vt:i4>2228</vt:i4>
      </vt:variant>
      <vt:variant>
        <vt:i4>0</vt:i4>
      </vt:variant>
      <vt:variant>
        <vt:i4>5</vt:i4>
      </vt:variant>
      <vt:variant>
        <vt:lpwstr/>
      </vt:variant>
      <vt:variant>
        <vt:lpwstr>_Toc5311878</vt:lpwstr>
      </vt:variant>
      <vt:variant>
        <vt:i4>2228236</vt:i4>
      </vt:variant>
      <vt:variant>
        <vt:i4>2222</vt:i4>
      </vt:variant>
      <vt:variant>
        <vt:i4>0</vt:i4>
      </vt:variant>
      <vt:variant>
        <vt:i4>5</vt:i4>
      </vt:variant>
      <vt:variant>
        <vt:lpwstr/>
      </vt:variant>
      <vt:variant>
        <vt:lpwstr>_Toc5311877</vt:lpwstr>
      </vt:variant>
      <vt:variant>
        <vt:i4>2228236</vt:i4>
      </vt:variant>
      <vt:variant>
        <vt:i4>2216</vt:i4>
      </vt:variant>
      <vt:variant>
        <vt:i4>0</vt:i4>
      </vt:variant>
      <vt:variant>
        <vt:i4>5</vt:i4>
      </vt:variant>
      <vt:variant>
        <vt:lpwstr/>
      </vt:variant>
      <vt:variant>
        <vt:lpwstr>_Toc5311876</vt:lpwstr>
      </vt:variant>
      <vt:variant>
        <vt:i4>2228236</vt:i4>
      </vt:variant>
      <vt:variant>
        <vt:i4>2210</vt:i4>
      </vt:variant>
      <vt:variant>
        <vt:i4>0</vt:i4>
      </vt:variant>
      <vt:variant>
        <vt:i4>5</vt:i4>
      </vt:variant>
      <vt:variant>
        <vt:lpwstr/>
      </vt:variant>
      <vt:variant>
        <vt:lpwstr>_Toc5311875</vt:lpwstr>
      </vt:variant>
      <vt:variant>
        <vt:i4>2228236</vt:i4>
      </vt:variant>
      <vt:variant>
        <vt:i4>2204</vt:i4>
      </vt:variant>
      <vt:variant>
        <vt:i4>0</vt:i4>
      </vt:variant>
      <vt:variant>
        <vt:i4>5</vt:i4>
      </vt:variant>
      <vt:variant>
        <vt:lpwstr/>
      </vt:variant>
      <vt:variant>
        <vt:lpwstr>_Toc5311874</vt:lpwstr>
      </vt:variant>
      <vt:variant>
        <vt:i4>2228236</vt:i4>
      </vt:variant>
      <vt:variant>
        <vt:i4>2198</vt:i4>
      </vt:variant>
      <vt:variant>
        <vt:i4>0</vt:i4>
      </vt:variant>
      <vt:variant>
        <vt:i4>5</vt:i4>
      </vt:variant>
      <vt:variant>
        <vt:lpwstr/>
      </vt:variant>
      <vt:variant>
        <vt:lpwstr>_Toc5311873</vt:lpwstr>
      </vt:variant>
      <vt:variant>
        <vt:i4>2228236</vt:i4>
      </vt:variant>
      <vt:variant>
        <vt:i4>2192</vt:i4>
      </vt:variant>
      <vt:variant>
        <vt:i4>0</vt:i4>
      </vt:variant>
      <vt:variant>
        <vt:i4>5</vt:i4>
      </vt:variant>
      <vt:variant>
        <vt:lpwstr/>
      </vt:variant>
      <vt:variant>
        <vt:lpwstr>_Toc5311872</vt:lpwstr>
      </vt:variant>
      <vt:variant>
        <vt:i4>2228236</vt:i4>
      </vt:variant>
      <vt:variant>
        <vt:i4>2186</vt:i4>
      </vt:variant>
      <vt:variant>
        <vt:i4>0</vt:i4>
      </vt:variant>
      <vt:variant>
        <vt:i4>5</vt:i4>
      </vt:variant>
      <vt:variant>
        <vt:lpwstr/>
      </vt:variant>
      <vt:variant>
        <vt:lpwstr>_Toc5311871</vt:lpwstr>
      </vt:variant>
      <vt:variant>
        <vt:i4>2228236</vt:i4>
      </vt:variant>
      <vt:variant>
        <vt:i4>2180</vt:i4>
      </vt:variant>
      <vt:variant>
        <vt:i4>0</vt:i4>
      </vt:variant>
      <vt:variant>
        <vt:i4>5</vt:i4>
      </vt:variant>
      <vt:variant>
        <vt:lpwstr/>
      </vt:variant>
      <vt:variant>
        <vt:lpwstr>_Toc5311870</vt:lpwstr>
      </vt:variant>
      <vt:variant>
        <vt:i4>2293772</vt:i4>
      </vt:variant>
      <vt:variant>
        <vt:i4>2174</vt:i4>
      </vt:variant>
      <vt:variant>
        <vt:i4>0</vt:i4>
      </vt:variant>
      <vt:variant>
        <vt:i4>5</vt:i4>
      </vt:variant>
      <vt:variant>
        <vt:lpwstr/>
      </vt:variant>
      <vt:variant>
        <vt:lpwstr>_Toc5311869</vt:lpwstr>
      </vt:variant>
      <vt:variant>
        <vt:i4>2293772</vt:i4>
      </vt:variant>
      <vt:variant>
        <vt:i4>2168</vt:i4>
      </vt:variant>
      <vt:variant>
        <vt:i4>0</vt:i4>
      </vt:variant>
      <vt:variant>
        <vt:i4>5</vt:i4>
      </vt:variant>
      <vt:variant>
        <vt:lpwstr/>
      </vt:variant>
      <vt:variant>
        <vt:lpwstr>_Toc5311868</vt:lpwstr>
      </vt:variant>
      <vt:variant>
        <vt:i4>2293772</vt:i4>
      </vt:variant>
      <vt:variant>
        <vt:i4>2162</vt:i4>
      </vt:variant>
      <vt:variant>
        <vt:i4>0</vt:i4>
      </vt:variant>
      <vt:variant>
        <vt:i4>5</vt:i4>
      </vt:variant>
      <vt:variant>
        <vt:lpwstr/>
      </vt:variant>
      <vt:variant>
        <vt:lpwstr>_Toc5311867</vt:lpwstr>
      </vt:variant>
      <vt:variant>
        <vt:i4>2490368</vt:i4>
      </vt:variant>
      <vt:variant>
        <vt:i4>2153</vt:i4>
      </vt:variant>
      <vt:variant>
        <vt:i4>0</vt:i4>
      </vt:variant>
      <vt:variant>
        <vt:i4>5</vt:i4>
      </vt:variant>
      <vt:variant>
        <vt:lpwstr/>
      </vt:variant>
      <vt:variant>
        <vt:lpwstr>_Toc6523479</vt:lpwstr>
      </vt:variant>
      <vt:variant>
        <vt:i4>2490368</vt:i4>
      </vt:variant>
      <vt:variant>
        <vt:i4>2147</vt:i4>
      </vt:variant>
      <vt:variant>
        <vt:i4>0</vt:i4>
      </vt:variant>
      <vt:variant>
        <vt:i4>5</vt:i4>
      </vt:variant>
      <vt:variant>
        <vt:lpwstr/>
      </vt:variant>
      <vt:variant>
        <vt:lpwstr>_Toc6523478</vt:lpwstr>
      </vt:variant>
      <vt:variant>
        <vt:i4>2490368</vt:i4>
      </vt:variant>
      <vt:variant>
        <vt:i4>2141</vt:i4>
      </vt:variant>
      <vt:variant>
        <vt:i4>0</vt:i4>
      </vt:variant>
      <vt:variant>
        <vt:i4>5</vt:i4>
      </vt:variant>
      <vt:variant>
        <vt:lpwstr/>
      </vt:variant>
      <vt:variant>
        <vt:lpwstr>_Toc6523477</vt:lpwstr>
      </vt:variant>
      <vt:variant>
        <vt:i4>2490368</vt:i4>
      </vt:variant>
      <vt:variant>
        <vt:i4>2135</vt:i4>
      </vt:variant>
      <vt:variant>
        <vt:i4>0</vt:i4>
      </vt:variant>
      <vt:variant>
        <vt:i4>5</vt:i4>
      </vt:variant>
      <vt:variant>
        <vt:lpwstr/>
      </vt:variant>
      <vt:variant>
        <vt:lpwstr>_Toc6523476</vt:lpwstr>
      </vt:variant>
      <vt:variant>
        <vt:i4>2490368</vt:i4>
      </vt:variant>
      <vt:variant>
        <vt:i4>2129</vt:i4>
      </vt:variant>
      <vt:variant>
        <vt:i4>0</vt:i4>
      </vt:variant>
      <vt:variant>
        <vt:i4>5</vt:i4>
      </vt:variant>
      <vt:variant>
        <vt:lpwstr/>
      </vt:variant>
      <vt:variant>
        <vt:lpwstr>_Toc6523475</vt:lpwstr>
      </vt:variant>
      <vt:variant>
        <vt:i4>2490368</vt:i4>
      </vt:variant>
      <vt:variant>
        <vt:i4>2123</vt:i4>
      </vt:variant>
      <vt:variant>
        <vt:i4>0</vt:i4>
      </vt:variant>
      <vt:variant>
        <vt:i4>5</vt:i4>
      </vt:variant>
      <vt:variant>
        <vt:lpwstr/>
      </vt:variant>
      <vt:variant>
        <vt:lpwstr>_Toc6523474</vt:lpwstr>
      </vt:variant>
      <vt:variant>
        <vt:i4>2490368</vt:i4>
      </vt:variant>
      <vt:variant>
        <vt:i4>2117</vt:i4>
      </vt:variant>
      <vt:variant>
        <vt:i4>0</vt:i4>
      </vt:variant>
      <vt:variant>
        <vt:i4>5</vt:i4>
      </vt:variant>
      <vt:variant>
        <vt:lpwstr/>
      </vt:variant>
      <vt:variant>
        <vt:lpwstr>_Toc6523473</vt:lpwstr>
      </vt:variant>
      <vt:variant>
        <vt:i4>2490368</vt:i4>
      </vt:variant>
      <vt:variant>
        <vt:i4>2111</vt:i4>
      </vt:variant>
      <vt:variant>
        <vt:i4>0</vt:i4>
      </vt:variant>
      <vt:variant>
        <vt:i4>5</vt:i4>
      </vt:variant>
      <vt:variant>
        <vt:lpwstr/>
      </vt:variant>
      <vt:variant>
        <vt:lpwstr>_Toc6523472</vt:lpwstr>
      </vt:variant>
      <vt:variant>
        <vt:i4>2490368</vt:i4>
      </vt:variant>
      <vt:variant>
        <vt:i4>2105</vt:i4>
      </vt:variant>
      <vt:variant>
        <vt:i4>0</vt:i4>
      </vt:variant>
      <vt:variant>
        <vt:i4>5</vt:i4>
      </vt:variant>
      <vt:variant>
        <vt:lpwstr/>
      </vt:variant>
      <vt:variant>
        <vt:lpwstr>_Toc6523471</vt:lpwstr>
      </vt:variant>
      <vt:variant>
        <vt:i4>2490368</vt:i4>
      </vt:variant>
      <vt:variant>
        <vt:i4>2099</vt:i4>
      </vt:variant>
      <vt:variant>
        <vt:i4>0</vt:i4>
      </vt:variant>
      <vt:variant>
        <vt:i4>5</vt:i4>
      </vt:variant>
      <vt:variant>
        <vt:lpwstr/>
      </vt:variant>
      <vt:variant>
        <vt:lpwstr>_Toc6523470</vt:lpwstr>
      </vt:variant>
      <vt:variant>
        <vt:i4>2555904</vt:i4>
      </vt:variant>
      <vt:variant>
        <vt:i4>2093</vt:i4>
      </vt:variant>
      <vt:variant>
        <vt:i4>0</vt:i4>
      </vt:variant>
      <vt:variant>
        <vt:i4>5</vt:i4>
      </vt:variant>
      <vt:variant>
        <vt:lpwstr/>
      </vt:variant>
      <vt:variant>
        <vt:lpwstr>_Toc6523469</vt:lpwstr>
      </vt:variant>
      <vt:variant>
        <vt:i4>2555904</vt:i4>
      </vt:variant>
      <vt:variant>
        <vt:i4>2087</vt:i4>
      </vt:variant>
      <vt:variant>
        <vt:i4>0</vt:i4>
      </vt:variant>
      <vt:variant>
        <vt:i4>5</vt:i4>
      </vt:variant>
      <vt:variant>
        <vt:lpwstr/>
      </vt:variant>
      <vt:variant>
        <vt:lpwstr>_Toc6523468</vt:lpwstr>
      </vt:variant>
      <vt:variant>
        <vt:i4>2555904</vt:i4>
      </vt:variant>
      <vt:variant>
        <vt:i4>2081</vt:i4>
      </vt:variant>
      <vt:variant>
        <vt:i4>0</vt:i4>
      </vt:variant>
      <vt:variant>
        <vt:i4>5</vt:i4>
      </vt:variant>
      <vt:variant>
        <vt:lpwstr/>
      </vt:variant>
      <vt:variant>
        <vt:lpwstr>_Toc6523467</vt:lpwstr>
      </vt:variant>
      <vt:variant>
        <vt:i4>2555904</vt:i4>
      </vt:variant>
      <vt:variant>
        <vt:i4>2075</vt:i4>
      </vt:variant>
      <vt:variant>
        <vt:i4>0</vt:i4>
      </vt:variant>
      <vt:variant>
        <vt:i4>5</vt:i4>
      </vt:variant>
      <vt:variant>
        <vt:lpwstr/>
      </vt:variant>
      <vt:variant>
        <vt:lpwstr>_Toc6523466</vt:lpwstr>
      </vt:variant>
      <vt:variant>
        <vt:i4>2555904</vt:i4>
      </vt:variant>
      <vt:variant>
        <vt:i4>2069</vt:i4>
      </vt:variant>
      <vt:variant>
        <vt:i4>0</vt:i4>
      </vt:variant>
      <vt:variant>
        <vt:i4>5</vt:i4>
      </vt:variant>
      <vt:variant>
        <vt:lpwstr/>
      </vt:variant>
      <vt:variant>
        <vt:lpwstr>_Toc6523465</vt:lpwstr>
      </vt:variant>
      <vt:variant>
        <vt:i4>2555904</vt:i4>
      </vt:variant>
      <vt:variant>
        <vt:i4>2063</vt:i4>
      </vt:variant>
      <vt:variant>
        <vt:i4>0</vt:i4>
      </vt:variant>
      <vt:variant>
        <vt:i4>5</vt:i4>
      </vt:variant>
      <vt:variant>
        <vt:lpwstr/>
      </vt:variant>
      <vt:variant>
        <vt:lpwstr>_Toc6523464</vt:lpwstr>
      </vt:variant>
      <vt:variant>
        <vt:i4>2555904</vt:i4>
      </vt:variant>
      <vt:variant>
        <vt:i4>2057</vt:i4>
      </vt:variant>
      <vt:variant>
        <vt:i4>0</vt:i4>
      </vt:variant>
      <vt:variant>
        <vt:i4>5</vt:i4>
      </vt:variant>
      <vt:variant>
        <vt:lpwstr/>
      </vt:variant>
      <vt:variant>
        <vt:lpwstr>_Toc6523463</vt:lpwstr>
      </vt:variant>
      <vt:variant>
        <vt:i4>2555904</vt:i4>
      </vt:variant>
      <vt:variant>
        <vt:i4>2051</vt:i4>
      </vt:variant>
      <vt:variant>
        <vt:i4>0</vt:i4>
      </vt:variant>
      <vt:variant>
        <vt:i4>5</vt:i4>
      </vt:variant>
      <vt:variant>
        <vt:lpwstr/>
      </vt:variant>
      <vt:variant>
        <vt:lpwstr>_Toc6523462</vt:lpwstr>
      </vt:variant>
      <vt:variant>
        <vt:i4>2555904</vt:i4>
      </vt:variant>
      <vt:variant>
        <vt:i4>2045</vt:i4>
      </vt:variant>
      <vt:variant>
        <vt:i4>0</vt:i4>
      </vt:variant>
      <vt:variant>
        <vt:i4>5</vt:i4>
      </vt:variant>
      <vt:variant>
        <vt:lpwstr/>
      </vt:variant>
      <vt:variant>
        <vt:lpwstr>_Toc6523461</vt:lpwstr>
      </vt:variant>
      <vt:variant>
        <vt:i4>2555904</vt:i4>
      </vt:variant>
      <vt:variant>
        <vt:i4>2039</vt:i4>
      </vt:variant>
      <vt:variant>
        <vt:i4>0</vt:i4>
      </vt:variant>
      <vt:variant>
        <vt:i4>5</vt:i4>
      </vt:variant>
      <vt:variant>
        <vt:lpwstr/>
      </vt:variant>
      <vt:variant>
        <vt:lpwstr>_Toc6523460</vt:lpwstr>
      </vt:variant>
      <vt:variant>
        <vt:i4>2359296</vt:i4>
      </vt:variant>
      <vt:variant>
        <vt:i4>2033</vt:i4>
      </vt:variant>
      <vt:variant>
        <vt:i4>0</vt:i4>
      </vt:variant>
      <vt:variant>
        <vt:i4>5</vt:i4>
      </vt:variant>
      <vt:variant>
        <vt:lpwstr/>
      </vt:variant>
      <vt:variant>
        <vt:lpwstr>_Toc6523459</vt:lpwstr>
      </vt:variant>
      <vt:variant>
        <vt:i4>2359296</vt:i4>
      </vt:variant>
      <vt:variant>
        <vt:i4>2027</vt:i4>
      </vt:variant>
      <vt:variant>
        <vt:i4>0</vt:i4>
      </vt:variant>
      <vt:variant>
        <vt:i4>5</vt:i4>
      </vt:variant>
      <vt:variant>
        <vt:lpwstr/>
      </vt:variant>
      <vt:variant>
        <vt:lpwstr>_Toc6523458</vt:lpwstr>
      </vt:variant>
      <vt:variant>
        <vt:i4>2359296</vt:i4>
      </vt:variant>
      <vt:variant>
        <vt:i4>2021</vt:i4>
      </vt:variant>
      <vt:variant>
        <vt:i4>0</vt:i4>
      </vt:variant>
      <vt:variant>
        <vt:i4>5</vt:i4>
      </vt:variant>
      <vt:variant>
        <vt:lpwstr/>
      </vt:variant>
      <vt:variant>
        <vt:lpwstr>_Toc6523457</vt:lpwstr>
      </vt:variant>
      <vt:variant>
        <vt:i4>2359296</vt:i4>
      </vt:variant>
      <vt:variant>
        <vt:i4>2015</vt:i4>
      </vt:variant>
      <vt:variant>
        <vt:i4>0</vt:i4>
      </vt:variant>
      <vt:variant>
        <vt:i4>5</vt:i4>
      </vt:variant>
      <vt:variant>
        <vt:lpwstr/>
      </vt:variant>
      <vt:variant>
        <vt:lpwstr>_Toc6523456</vt:lpwstr>
      </vt:variant>
      <vt:variant>
        <vt:i4>2359296</vt:i4>
      </vt:variant>
      <vt:variant>
        <vt:i4>2009</vt:i4>
      </vt:variant>
      <vt:variant>
        <vt:i4>0</vt:i4>
      </vt:variant>
      <vt:variant>
        <vt:i4>5</vt:i4>
      </vt:variant>
      <vt:variant>
        <vt:lpwstr/>
      </vt:variant>
      <vt:variant>
        <vt:lpwstr>_Toc6523455</vt:lpwstr>
      </vt:variant>
      <vt:variant>
        <vt:i4>2359296</vt:i4>
      </vt:variant>
      <vt:variant>
        <vt:i4>2003</vt:i4>
      </vt:variant>
      <vt:variant>
        <vt:i4>0</vt:i4>
      </vt:variant>
      <vt:variant>
        <vt:i4>5</vt:i4>
      </vt:variant>
      <vt:variant>
        <vt:lpwstr/>
      </vt:variant>
      <vt:variant>
        <vt:lpwstr>_Toc6523454</vt:lpwstr>
      </vt:variant>
      <vt:variant>
        <vt:i4>2359296</vt:i4>
      </vt:variant>
      <vt:variant>
        <vt:i4>1997</vt:i4>
      </vt:variant>
      <vt:variant>
        <vt:i4>0</vt:i4>
      </vt:variant>
      <vt:variant>
        <vt:i4>5</vt:i4>
      </vt:variant>
      <vt:variant>
        <vt:lpwstr/>
      </vt:variant>
      <vt:variant>
        <vt:lpwstr>_Toc6523453</vt:lpwstr>
      </vt:variant>
      <vt:variant>
        <vt:i4>2359296</vt:i4>
      </vt:variant>
      <vt:variant>
        <vt:i4>1991</vt:i4>
      </vt:variant>
      <vt:variant>
        <vt:i4>0</vt:i4>
      </vt:variant>
      <vt:variant>
        <vt:i4>5</vt:i4>
      </vt:variant>
      <vt:variant>
        <vt:lpwstr/>
      </vt:variant>
      <vt:variant>
        <vt:lpwstr>_Toc6523452</vt:lpwstr>
      </vt:variant>
      <vt:variant>
        <vt:i4>2359296</vt:i4>
      </vt:variant>
      <vt:variant>
        <vt:i4>1985</vt:i4>
      </vt:variant>
      <vt:variant>
        <vt:i4>0</vt:i4>
      </vt:variant>
      <vt:variant>
        <vt:i4>5</vt:i4>
      </vt:variant>
      <vt:variant>
        <vt:lpwstr/>
      </vt:variant>
      <vt:variant>
        <vt:lpwstr>_Toc6523451</vt:lpwstr>
      </vt:variant>
      <vt:variant>
        <vt:i4>2359296</vt:i4>
      </vt:variant>
      <vt:variant>
        <vt:i4>1979</vt:i4>
      </vt:variant>
      <vt:variant>
        <vt:i4>0</vt:i4>
      </vt:variant>
      <vt:variant>
        <vt:i4>5</vt:i4>
      </vt:variant>
      <vt:variant>
        <vt:lpwstr/>
      </vt:variant>
      <vt:variant>
        <vt:lpwstr>_Toc6523450</vt:lpwstr>
      </vt:variant>
      <vt:variant>
        <vt:i4>2424832</vt:i4>
      </vt:variant>
      <vt:variant>
        <vt:i4>1973</vt:i4>
      </vt:variant>
      <vt:variant>
        <vt:i4>0</vt:i4>
      </vt:variant>
      <vt:variant>
        <vt:i4>5</vt:i4>
      </vt:variant>
      <vt:variant>
        <vt:lpwstr/>
      </vt:variant>
      <vt:variant>
        <vt:lpwstr>_Toc6523449</vt:lpwstr>
      </vt:variant>
      <vt:variant>
        <vt:i4>2424832</vt:i4>
      </vt:variant>
      <vt:variant>
        <vt:i4>1967</vt:i4>
      </vt:variant>
      <vt:variant>
        <vt:i4>0</vt:i4>
      </vt:variant>
      <vt:variant>
        <vt:i4>5</vt:i4>
      </vt:variant>
      <vt:variant>
        <vt:lpwstr/>
      </vt:variant>
      <vt:variant>
        <vt:lpwstr>_Toc6523448</vt:lpwstr>
      </vt:variant>
      <vt:variant>
        <vt:i4>2424832</vt:i4>
      </vt:variant>
      <vt:variant>
        <vt:i4>1961</vt:i4>
      </vt:variant>
      <vt:variant>
        <vt:i4>0</vt:i4>
      </vt:variant>
      <vt:variant>
        <vt:i4>5</vt:i4>
      </vt:variant>
      <vt:variant>
        <vt:lpwstr/>
      </vt:variant>
      <vt:variant>
        <vt:lpwstr>_Toc6523447</vt:lpwstr>
      </vt:variant>
      <vt:variant>
        <vt:i4>2424832</vt:i4>
      </vt:variant>
      <vt:variant>
        <vt:i4>1955</vt:i4>
      </vt:variant>
      <vt:variant>
        <vt:i4>0</vt:i4>
      </vt:variant>
      <vt:variant>
        <vt:i4>5</vt:i4>
      </vt:variant>
      <vt:variant>
        <vt:lpwstr/>
      </vt:variant>
      <vt:variant>
        <vt:lpwstr>_Toc6523446</vt:lpwstr>
      </vt:variant>
      <vt:variant>
        <vt:i4>2424832</vt:i4>
      </vt:variant>
      <vt:variant>
        <vt:i4>1949</vt:i4>
      </vt:variant>
      <vt:variant>
        <vt:i4>0</vt:i4>
      </vt:variant>
      <vt:variant>
        <vt:i4>5</vt:i4>
      </vt:variant>
      <vt:variant>
        <vt:lpwstr/>
      </vt:variant>
      <vt:variant>
        <vt:lpwstr>_Toc6523445</vt:lpwstr>
      </vt:variant>
      <vt:variant>
        <vt:i4>2424832</vt:i4>
      </vt:variant>
      <vt:variant>
        <vt:i4>1943</vt:i4>
      </vt:variant>
      <vt:variant>
        <vt:i4>0</vt:i4>
      </vt:variant>
      <vt:variant>
        <vt:i4>5</vt:i4>
      </vt:variant>
      <vt:variant>
        <vt:lpwstr/>
      </vt:variant>
      <vt:variant>
        <vt:lpwstr>_Toc6523444</vt:lpwstr>
      </vt:variant>
      <vt:variant>
        <vt:i4>2424832</vt:i4>
      </vt:variant>
      <vt:variant>
        <vt:i4>1937</vt:i4>
      </vt:variant>
      <vt:variant>
        <vt:i4>0</vt:i4>
      </vt:variant>
      <vt:variant>
        <vt:i4>5</vt:i4>
      </vt:variant>
      <vt:variant>
        <vt:lpwstr/>
      </vt:variant>
      <vt:variant>
        <vt:lpwstr>_Toc6523443</vt:lpwstr>
      </vt:variant>
      <vt:variant>
        <vt:i4>2424832</vt:i4>
      </vt:variant>
      <vt:variant>
        <vt:i4>1931</vt:i4>
      </vt:variant>
      <vt:variant>
        <vt:i4>0</vt:i4>
      </vt:variant>
      <vt:variant>
        <vt:i4>5</vt:i4>
      </vt:variant>
      <vt:variant>
        <vt:lpwstr/>
      </vt:variant>
      <vt:variant>
        <vt:lpwstr>_Toc6523442</vt:lpwstr>
      </vt:variant>
      <vt:variant>
        <vt:i4>2424832</vt:i4>
      </vt:variant>
      <vt:variant>
        <vt:i4>1925</vt:i4>
      </vt:variant>
      <vt:variant>
        <vt:i4>0</vt:i4>
      </vt:variant>
      <vt:variant>
        <vt:i4>5</vt:i4>
      </vt:variant>
      <vt:variant>
        <vt:lpwstr/>
      </vt:variant>
      <vt:variant>
        <vt:lpwstr>_Toc6523441</vt:lpwstr>
      </vt:variant>
      <vt:variant>
        <vt:i4>2424832</vt:i4>
      </vt:variant>
      <vt:variant>
        <vt:i4>1919</vt:i4>
      </vt:variant>
      <vt:variant>
        <vt:i4>0</vt:i4>
      </vt:variant>
      <vt:variant>
        <vt:i4>5</vt:i4>
      </vt:variant>
      <vt:variant>
        <vt:lpwstr/>
      </vt:variant>
      <vt:variant>
        <vt:lpwstr>_Toc6523440</vt:lpwstr>
      </vt:variant>
      <vt:variant>
        <vt:i4>2228224</vt:i4>
      </vt:variant>
      <vt:variant>
        <vt:i4>1913</vt:i4>
      </vt:variant>
      <vt:variant>
        <vt:i4>0</vt:i4>
      </vt:variant>
      <vt:variant>
        <vt:i4>5</vt:i4>
      </vt:variant>
      <vt:variant>
        <vt:lpwstr/>
      </vt:variant>
      <vt:variant>
        <vt:lpwstr>_Toc6523439</vt:lpwstr>
      </vt:variant>
      <vt:variant>
        <vt:i4>2228224</vt:i4>
      </vt:variant>
      <vt:variant>
        <vt:i4>1907</vt:i4>
      </vt:variant>
      <vt:variant>
        <vt:i4>0</vt:i4>
      </vt:variant>
      <vt:variant>
        <vt:i4>5</vt:i4>
      </vt:variant>
      <vt:variant>
        <vt:lpwstr/>
      </vt:variant>
      <vt:variant>
        <vt:lpwstr>_Toc6523438</vt:lpwstr>
      </vt:variant>
      <vt:variant>
        <vt:i4>2228224</vt:i4>
      </vt:variant>
      <vt:variant>
        <vt:i4>1901</vt:i4>
      </vt:variant>
      <vt:variant>
        <vt:i4>0</vt:i4>
      </vt:variant>
      <vt:variant>
        <vt:i4>5</vt:i4>
      </vt:variant>
      <vt:variant>
        <vt:lpwstr/>
      </vt:variant>
      <vt:variant>
        <vt:lpwstr>_Toc6523437</vt:lpwstr>
      </vt:variant>
      <vt:variant>
        <vt:i4>2228224</vt:i4>
      </vt:variant>
      <vt:variant>
        <vt:i4>1895</vt:i4>
      </vt:variant>
      <vt:variant>
        <vt:i4>0</vt:i4>
      </vt:variant>
      <vt:variant>
        <vt:i4>5</vt:i4>
      </vt:variant>
      <vt:variant>
        <vt:lpwstr/>
      </vt:variant>
      <vt:variant>
        <vt:lpwstr>_Toc6523436</vt:lpwstr>
      </vt:variant>
      <vt:variant>
        <vt:i4>2228224</vt:i4>
      </vt:variant>
      <vt:variant>
        <vt:i4>1889</vt:i4>
      </vt:variant>
      <vt:variant>
        <vt:i4>0</vt:i4>
      </vt:variant>
      <vt:variant>
        <vt:i4>5</vt:i4>
      </vt:variant>
      <vt:variant>
        <vt:lpwstr/>
      </vt:variant>
      <vt:variant>
        <vt:lpwstr>_Toc6523435</vt:lpwstr>
      </vt:variant>
      <vt:variant>
        <vt:i4>2228224</vt:i4>
      </vt:variant>
      <vt:variant>
        <vt:i4>1883</vt:i4>
      </vt:variant>
      <vt:variant>
        <vt:i4>0</vt:i4>
      </vt:variant>
      <vt:variant>
        <vt:i4>5</vt:i4>
      </vt:variant>
      <vt:variant>
        <vt:lpwstr/>
      </vt:variant>
      <vt:variant>
        <vt:lpwstr>_Toc6523434</vt:lpwstr>
      </vt:variant>
      <vt:variant>
        <vt:i4>2228224</vt:i4>
      </vt:variant>
      <vt:variant>
        <vt:i4>1877</vt:i4>
      </vt:variant>
      <vt:variant>
        <vt:i4>0</vt:i4>
      </vt:variant>
      <vt:variant>
        <vt:i4>5</vt:i4>
      </vt:variant>
      <vt:variant>
        <vt:lpwstr/>
      </vt:variant>
      <vt:variant>
        <vt:lpwstr>_Toc6523433</vt:lpwstr>
      </vt:variant>
      <vt:variant>
        <vt:i4>2228224</vt:i4>
      </vt:variant>
      <vt:variant>
        <vt:i4>1871</vt:i4>
      </vt:variant>
      <vt:variant>
        <vt:i4>0</vt:i4>
      </vt:variant>
      <vt:variant>
        <vt:i4>5</vt:i4>
      </vt:variant>
      <vt:variant>
        <vt:lpwstr/>
      </vt:variant>
      <vt:variant>
        <vt:lpwstr>_Toc6523432</vt:lpwstr>
      </vt:variant>
      <vt:variant>
        <vt:i4>2228224</vt:i4>
      </vt:variant>
      <vt:variant>
        <vt:i4>1865</vt:i4>
      </vt:variant>
      <vt:variant>
        <vt:i4>0</vt:i4>
      </vt:variant>
      <vt:variant>
        <vt:i4>5</vt:i4>
      </vt:variant>
      <vt:variant>
        <vt:lpwstr/>
      </vt:variant>
      <vt:variant>
        <vt:lpwstr>_Toc6523431</vt:lpwstr>
      </vt:variant>
      <vt:variant>
        <vt:i4>2228224</vt:i4>
      </vt:variant>
      <vt:variant>
        <vt:i4>1859</vt:i4>
      </vt:variant>
      <vt:variant>
        <vt:i4>0</vt:i4>
      </vt:variant>
      <vt:variant>
        <vt:i4>5</vt:i4>
      </vt:variant>
      <vt:variant>
        <vt:lpwstr/>
      </vt:variant>
      <vt:variant>
        <vt:lpwstr>_Toc6523430</vt:lpwstr>
      </vt:variant>
      <vt:variant>
        <vt:i4>2293760</vt:i4>
      </vt:variant>
      <vt:variant>
        <vt:i4>1853</vt:i4>
      </vt:variant>
      <vt:variant>
        <vt:i4>0</vt:i4>
      </vt:variant>
      <vt:variant>
        <vt:i4>5</vt:i4>
      </vt:variant>
      <vt:variant>
        <vt:lpwstr/>
      </vt:variant>
      <vt:variant>
        <vt:lpwstr>_Toc6523429</vt:lpwstr>
      </vt:variant>
      <vt:variant>
        <vt:i4>2293760</vt:i4>
      </vt:variant>
      <vt:variant>
        <vt:i4>1847</vt:i4>
      </vt:variant>
      <vt:variant>
        <vt:i4>0</vt:i4>
      </vt:variant>
      <vt:variant>
        <vt:i4>5</vt:i4>
      </vt:variant>
      <vt:variant>
        <vt:lpwstr/>
      </vt:variant>
      <vt:variant>
        <vt:lpwstr>_Toc6523428</vt:lpwstr>
      </vt:variant>
      <vt:variant>
        <vt:i4>2293760</vt:i4>
      </vt:variant>
      <vt:variant>
        <vt:i4>1841</vt:i4>
      </vt:variant>
      <vt:variant>
        <vt:i4>0</vt:i4>
      </vt:variant>
      <vt:variant>
        <vt:i4>5</vt:i4>
      </vt:variant>
      <vt:variant>
        <vt:lpwstr/>
      </vt:variant>
      <vt:variant>
        <vt:lpwstr>_Toc6523427</vt:lpwstr>
      </vt:variant>
      <vt:variant>
        <vt:i4>2293760</vt:i4>
      </vt:variant>
      <vt:variant>
        <vt:i4>1835</vt:i4>
      </vt:variant>
      <vt:variant>
        <vt:i4>0</vt:i4>
      </vt:variant>
      <vt:variant>
        <vt:i4>5</vt:i4>
      </vt:variant>
      <vt:variant>
        <vt:lpwstr/>
      </vt:variant>
      <vt:variant>
        <vt:lpwstr>_Toc6523426</vt:lpwstr>
      </vt:variant>
      <vt:variant>
        <vt:i4>2293760</vt:i4>
      </vt:variant>
      <vt:variant>
        <vt:i4>1829</vt:i4>
      </vt:variant>
      <vt:variant>
        <vt:i4>0</vt:i4>
      </vt:variant>
      <vt:variant>
        <vt:i4>5</vt:i4>
      </vt:variant>
      <vt:variant>
        <vt:lpwstr/>
      </vt:variant>
      <vt:variant>
        <vt:lpwstr>_Toc6523425</vt:lpwstr>
      </vt:variant>
      <vt:variant>
        <vt:i4>2293760</vt:i4>
      </vt:variant>
      <vt:variant>
        <vt:i4>1823</vt:i4>
      </vt:variant>
      <vt:variant>
        <vt:i4>0</vt:i4>
      </vt:variant>
      <vt:variant>
        <vt:i4>5</vt:i4>
      </vt:variant>
      <vt:variant>
        <vt:lpwstr/>
      </vt:variant>
      <vt:variant>
        <vt:lpwstr>_Toc6523424</vt:lpwstr>
      </vt:variant>
      <vt:variant>
        <vt:i4>2293760</vt:i4>
      </vt:variant>
      <vt:variant>
        <vt:i4>1817</vt:i4>
      </vt:variant>
      <vt:variant>
        <vt:i4>0</vt:i4>
      </vt:variant>
      <vt:variant>
        <vt:i4>5</vt:i4>
      </vt:variant>
      <vt:variant>
        <vt:lpwstr/>
      </vt:variant>
      <vt:variant>
        <vt:lpwstr>_Toc6523423</vt:lpwstr>
      </vt:variant>
      <vt:variant>
        <vt:i4>2293760</vt:i4>
      </vt:variant>
      <vt:variant>
        <vt:i4>1811</vt:i4>
      </vt:variant>
      <vt:variant>
        <vt:i4>0</vt:i4>
      </vt:variant>
      <vt:variant>
        <vt:i4>5</vt:i4>
      </vt:variant>
      <vt:variant>
        <vt:lpwstr/>
      </vt:variant>
      <vt:variant>
        <vt:lpwstr>_Toc6523422</vt:lpwstr>
      </vt:variant>
      <vt:variant>
        <vt:i4>2293760</vt:i4>
      </vt:variant>
      <vt:variant>
        <vt:i4>1805</vt:i4>
      </vt:variant>
      <vt:variant>
        <vt:i4>0</vt:i4>
      </vt:variant>
      <vt:variant>
        <vt:i4>5</vt:i4>
      </vt:variant>
      <vt:variant>
        <vt:lpwstr/>
      </vt:variant>
      <vt:variant>
        <vt:lpwstr>_Toc6523421</vt:lpwstr>
      </vt:variant>
      <vt:variant>
        <vt:i4>2293760</vt:i4>
      </vt:variant>
      <vt:variant>
        <vt:i4>1799</vt:i4>
      </vt:variant>
      <vt:variant>
        <vt:i4>0</vt:i4>
      </vt:variant>
      <vt:variant>
        <vt:i4>5</vt:i4>
      </vt:variant>
      <vt:variant>
        <vt:lpwstr/>
      </vt:variant>
      <vt:variant>
        <vt:lpwstr>_Toc6523420</vt:lpwstr>
      </vt:variant>
      <vt:variant>
        <vt:i4>2097152</vt:i4>
      </vt:variant>
      <vt:variant>
        <vt:i4>1793</vt:i4>
      </vt:variant>
      <vt:variant>
        <vt:i4>0</vt:i4>
      </vt:variant>
      <vt:variant>
        <vt:i4>5</vt:i4>
      </vt:variant>
      <vt:variant>
        <vt:lpwstr/>
      </vt:variant>
      <vt:variant>
        <vt:lpwstr>_Toc6523419</vt:lpwstr>
      </vt:variant>
      <vt:variant>
        <vt:i4>2097152</vt:i4>
      </vt:variant>
      <vt:variant>
        <vt:i4>1787</vt:i4>
      </vt:variant>
      <vt:variant>
        <vt:i4>0</vt:i4>
      </vt:variant>
      <vt:variant>
        <vt:i4>5</vt:i4>
      </vt:variant>
      <vt:variant>
        <vt:lpwstr/>
      </vt:variant>
      <vt:variant>
        <vt:lpwstr>_Toc6523418</vt:lpwstr>
      </vt:variant>
      <vt:variant>
        <vt:i4>2097152</vt:i4>
      </vt:variant>
      <vt:variant>
        <vt:i4>1781</vt:i4>
      </vt:variant>
      <vt:variant>
        <vt:i4>0</vt:i4>
      </vt:variant>
      <vt:variant>
        <vt:i4>5</vt:i4>
      </vt:variant>
      <vt:variant>
        <vt:lpwstr/>
      </vt:variant>
      <vt:variant>
        <vt:lpwstr>_Toc6523417</vt:lpwstr>
      </vt:variant>
      <vt:variant>
        <vt:i4>2097152</vt:i4>
      </vt:variant>
      <vt:variant>
        <vt:i4>1775</vt:i4>
      </vt:variant>
      <vt:variant>
        <vt:i4>0</vt:i4>
      </vt:variant>
      <vt:variant>
        <vt:i4>5</vt:i4>
      </vt:variant>
      <vt:variant>
        <vt:lpwstr/>
      </vt:variant>
      <vt:variant>
        <vt:lpwstr>_Toc6523416</vt:lpwstr>
      </vt:variant>
      <vt:variant>
        <vt:i4>2097152</vt:i4>
      </vt:variant>
      <vt:variant>
        <vt:i4>1769</vt:i4>
      </vt:variant>
      <vt:variant>
        <vt:i4>0</vt:i4>
      </vt:variant>
      <vt:variant>
        <vt:i4>5</vt:i4>
      </vt:variant>
      <vt:variant>
        <vt:lpwstr/>
      </vt:variant>
      <vt:variant>
        <vt:lpwstr>_Toc6523415</vt:lpwstr>
      </vt:variant>
      <vt:variant>
        <vt:i4>2097152</vt:i4>
      </vt:variant>
      <vt:variant>
        <vt:i4>1763</vt:i4>
      </vt:variant>
      <vt:variant>
        <vt:i4>0</vt:i4>
      </vt:variant>
      <vt:variant>
        <vt:i4>5</vt:i4>
      </vt:variant>
      <vt:variant>
        <vt:lpwstr/>
      </vt:variant>
      <vt:variant>
        <vt:lpwstr>_Toc6523414</vt:lpwstr>
      </vt:variant>
      <vt:variant>
        <vt:i4>2097152</vt:i4>
      </vt:variant>
      <vt:variant>
        <vt:i4>1757</vt:i4>
      </vt:variant>
      <vt:variant>
        <vt:i4>0</vt:i4>
      </vt:variant>
      <vt:variant>
        <vt:i4>5</vt:i4>
      </vt:variant>
      <vt:variant>
        <vt:lpwstr/>
      </vt:variant>
      <vt:variant>
        <vt:lpwstr>_Toc6523413</vt:lpwstr>
      </vt:variant>
      <vt:variant>
        <vt:i4>2097152</vt:i4>
      </vt:variant>
      <vt:variant>
        <vt:i4>1751</vt:i4>
      </vt:variant>
      <vt:variant>
        <vt:i4>0</vt:i4>
      </vt:variant>
      <vt:variant>
        <vt:i4>5</vt:i4>
      </vt:variant>
      <vt:variant>
        <vt:lpwstr/>
      </vt:variant>
      <vt:variant>
        <vt:lpwstr>_Toc6523412</vt:lpwstr>
      </vt:variant>
      <vt:variant>
        <vt:i4>2097152</vt:i4>
      </vt:variant>
      <vt:variant>
        <vt:i4>1745</vt:i4>
      </vt:variant>
      <vt:variant>
        <vt:i4>0</vt:i4>
      </vt:variant>
      <vt:variant>
        <vt:i4>5</vt:i4>
      </vt:variant>
      <vt:variant>
        <vt:lpwstr/>
      </vt:variant>
      <vt:variant>
        <vt:lpwstr>_Toc6523411</vt:lpwstr>
      </vt:variant>
      <vt:variant>
        <vt:i4>2097152</vt:i4>
      </vt:variant>
      <vt:variant>
        <vt:i4>1739</vt:i4>
      </vt:variant>
      <vt:variant>
        <vt:i4>0</vt:i4>
      </vt:variant>
      <vt:variant>
        <vt:i4>5</vt:i4>
      </vt:variant>
      <vt:variant>
        <vt:lpwstr/>
      </vt:variant>
      <vt:variant>
        <vt:lpwstr>_Toc6523410</vt:lpwstr>
      </vt:variant>
      <vt:variant>
        <vt:i4>2162688</vt:i4>
      </vt:variant>
      <vt:variant>
        <vt:i4>1733</vt:i4>
      </vt:variant>
      <vt:variant>
        <vt:i4>0</vt:i4>
      </vt:variant>
      <vt:variant>
        <vt:i4>5</vt:i4>
      </vt:variant>
      <vt:variant>
        <vt:lpwstr/>
      </vt:variant>
      <vt:variant>
        <vt:lpwstr>_Toc6523409</vt:lpwstr>
      </vt:variant>
      <vt:variant>
        <vt:i4>2162688</vt:i4>
      </vt:variant>
      <vt:variant>
        <vt:i4>1727</vt:i4>
      </vt:variant>
      <vt:variant>
        <vt:i4>0</vt:i4>
      </vt:variant>
      <vt:variant>
        <vt:i4>5</vt:i4>
      </vt:variant>
      <vt:variant>
        <vt:lpwstr/>
      </vt:variant>
      <vt:variant>
        <vt:lpwstr>_Toc6523408</vt:lpwstr>
      </vt:variant>
      <vt:variant>
        <vt:i4>2162688</vt:i4>
      </vt:variant>
      <vt:variant>
        <vt:i4>1721</vt:i4>
      </vt:variant>
      <vt:variant>
        <vt:i4>0</vt:i4>
      </vt:variant>
      <vt:variant>
        <vt:i4>5</vt:i4>
      </vt:variant>
      <vt:variant>
        <vt:lpwstr/>
      </vt:variant>
      <vt:variant>
        <vt:lpwstr>_Toc6523407</vt:lpwstr>
      </vt:variant>
      <vt:variant>
        <vt:i4>2162688</vt:i4>
      </vt:variant>
      <vt:variant>
        <vt:i4>1715</vt:i4>
      </vt:variant>
      <vt:variant>
        <vt:i4>0</vt:i4>
      </vt:variant>
      <vt:variant>
        <vt:i4>5</vt:i4>
      </vt:variant>
      <vt:variant>
        <vt:lpwstr/>
      </vt:variant>
      <vt:variant>
        <vt:lpwstr>_Toc6523406</vt:lpwstr>
      </vt:variant>
      <vt:variant>
        <vt:i4>2162688</vt:i4>
      </vt:variant>
      <vt:variant>
        <vt:i4>1709</vt:i4>
      </vt:variant>
      <vt:variant>
        <vt:i4>0</vt:i4>
      </vt:variant>
      <vt:variant>
        <vt:i4>5</vt:i4>
      </vt:variant>
      <vt:variant>
        <vt:lpwstr/>
      </vt:variant>
      <vt:variant>
        <vt:lpwstr>_Toc6523405</vt:lpwstr>
      </vt:variant>
      <vt:variant>
        <vt:i4>2162688</vt:i4>
      </vt:variant>
      <vt:variant>
        <vt:i4>1703</vt:i4>
      </vt:variant>
      <vt:variant>
        <vt:i4>0</vt:i4>
      </vt:variant>
      <vt:variant>
        <vt:i4>5</vt:i4>
      </vt:variant>
      <vt:variant>
        <vt:lpwstr/>
      </vt:variant>
      <vt:variant>
        <vt:lpwstr>_Toc6523404</vt:lpwstr>
      </vt:variant>
      <vt:variant>
        <vt:i4>2162688</vt:i4>
      </vt:variant>
      <vt:variant>
        <vt:i4>1697</vt:i4>
      </vt:variant>
      <vt:variant>
        <vt:i4>0</vt:i4>
      </vt:variant>
      <vt:variant>
        <vt:i4>5</vt:i4>
      </vt:variant>
      <vt:variant>
        <vt:lpwstr/>
      </vt:variant>
      <vt:variant>
        <vt:lpwstr>_Toc6523403</vt:lpwstr>
      </vt:variant>
      <vt:variant>
        <vt:i4>2162688</vt:i4>
      </vt:variant>
      <vt:variant>
        <vt:i4>1691</vt:i4>
      </vt:variant>
      <vt:variant>
        <vt:i4>0</vt:i4>
      </vt:variant>
      <vt:variant>
        <vt:i4>5</vt:i4>
      </vt:variant>
      <vt:variant>
        <vt:lpwstr/>
      </vt:variant>
      <vt:variant>
        <vt:lpwstr>_Toc6523402</vt:lpwstr>
      </vt:variant>
      <vt:variant>
        <vt:i4>2162688</vt:i4>
      </vt:variant>
      <vt:variant>
        <vt:i4>1685</vt:i4>
      </vt:variant>
      <vt:variant>
        <vt:i4>0</vt:i4>
      </vt:variant>
      <vt:variant>
        <vt:i4>5</vt:i4>
      </vt:variant>
      <vt:variant>
        <vt:lpwstr/>
      </vt:variant>
      <vt:variant>
        <vt:lpwstr>_Toc6523401</vt:lpwstr>
      </vt:variant>
      <vt:variant>
        <vt:i4>2162688</vt:i4>
      </vt:variant>
      <vt:variant>
        <vt:i4>1679</vt:i4>
      </vt:variant>
      <vt:variant>
        <vt:i4>0</vt:i4>
      </vt:variant>
      <vt:variant>
        <vt:i4>5</vt:i4>
      </vt:variant>
      <vt:variant>
        <vt:lpwstr/>
      </vt:variant>
      <vt:variant>
        <vt:lpwstr>_Toc6523400</vt:lpwstr>
      </vt:variant>
      <vt:variant>
        <vt:i4>2621447</vt:i4>
      </vt:variant>
      <vt:variant>
        <vt:i4>1673</vt:i4>
      </vt:variant>
      <vt:variant>
        <vt:i4>0</vt:i4>
      </vt:variant>
      <vt:variant>
        <vt:i4>5</vt:i4>
      </vt:variant>
      <vt:variant>
        <vt:lpwstr/>
      </vt:variant>
      <vt:variant>
        <vt:lpwstr>_Toc6523399</vt:lpwstr>
      </vt:variant>
      <vt:variant>
        <vt:i4>2621447</vt:i4>
      </vt:variant>
      <vt:variant>
        <vt:i4>1667</vt:i4>
      </vt:variant>
      <vt:variant>
        <vt:i4>0</vt:i4>
      </vt:variant>
      <vt:variant>
        <vt:i4>5</vt:i4>
      </vt:variant>
      <vt:variant>
        <vt:lpwstr/>
      </vt:variant>
      <vt:variant>
        <vt:lpwstr>_Toc6523398</vt:lpwstr>
      </vt:variant>
      <vt:variant>
        <vt:i4>2621447</vt:i4>
      </vt:variant>
      <vt:variant>
        <vt:i4>1661</vt:i4>
      </vt:variant>
      <vt:variant>
        <vt:i4>0</vt:i4>
      </vt:variant>
      <vt:variant>
        <vt:i4>5</vt:i4>
      </vt:variant>
      <vt:variant>
        <vt:lpwstr/>
      </vt:variant>
      <vt:variant>
        <vt:lpwstr>_Toc6523397</vt:lpwstr>
      </vt:variant>
      <vt:variant>
        <vt:i4>2621447</vt:i4>
      </vt:variant>
      <vt:variant>
        <vt:i4>1655</vt:i4>
      </vt:variant>
      <vt:variant>
        <vt:i4>0</vt:i4>
      </vt:variant>
      <vt:variant>
        <vt:i4>5</vt:i4>
      </vt:variant>
      <vt:variant>
        <vt:lpwstr/>
      </vt:variant>
      <vt:variant>
        <vt:lpwstr>_Toc6523396</vt:lpwstr>
      </vt:variant>
      <vt:variant>
        <vt:i4>2621447</vt:i4>
      </vt:variant>
      <vt:variant>
        <vt:i4>1649</vt:i4>
      </vt:variant>
      <vt:variant>
        <vt:i4>0</vt:i4>
      </vt:variant>
      <vt:variant>
        <vt:i4>5</vt:i4>
      </vt:variant>
      <vt:variant>
        <vt:lpwstr/>
      </vt:variant>
      <vt:variant>
        <vt:lpwstr>_Toc6523395</vt:lpwstr>
      </vt:variant>
      <vt:variant>
        <vt:i4>2621447</vt:i4>
      </vt:variant>
      <vt:variant>
        <vt:i4>1643</vt:i4>
      </vt:variant>
      <vt:variant>
        <vt:i4>0</vt:i4>
      </vt:variant>
      <vt:variant>
        <vt:i4>5</vt:i4>
      </vt:variant>
      <vt:variant>
        <vt:lpwstr/>
      </vt:variant>
      <vt:variant>
        <vt:lpwstr>_Toc6523394</vt:lpwstr>
      </vt:variant>
      <vt:variant>
        <vt:i4>2621447</vt:i4>
      </vt:variant>
      <vt:variant>
        <vt:i4>1637</vt:i4>
      </vt:variant>
      <vt:variant>
        <vt:i4>0</vt:i4>
      </vt:variant>
      <vt:variant>
        <vt:i4>5</vt:i4>
      </vt:variant>
      <vt:variant>
        <vt:lpwstr/>
      </vt:variant>
      <vt:variant>
        <vt:lpwstr>_Toc6523393</vt:lpwstr>
      </vt:variant>
      <vt:variant>
        <vt:i4>2621447</vt:i4>
      </vt:variant>
      <vt:variant>
        <vt:i4>1631</vt:i4>
      </vt:variant>
      <vt:variant>
        <vt:i4>0</vt:i4>
      </vt:variant>
      <vt:variant>
        <vt:i4>5</vt:i4>
      </vt:variant>
      <vt:variant>
        <vt:lpwstr/>
      </vt:variant>
      <vt:variant>
        <vt:lpwstr>_Toc6523392</vt:lpwstr>
      </vt:variant>
      <vt:variant>
        <vt:i4>2621447</vt:i4>
      </vt:variant>
      <vt:variant>
        <vt:i4>1625</vt:i4>
      </vt:variant>
      <vt:variant>
        <vt:i4>0</vt:i4>
      </vt:variant>
      <vt:variant>
        <vt:i4>5</vt:i4>
      </vt:variant>
      <vt:variant>
        <vt:lpwstr/>
      </vt:variant>
      <vt:variant>
        <vt:lpwstr>_Toc6523391</vt:lpwstr>
      </vt:variant>
      <vt:variant>
        <vt:i4>2621447</vt:i4>
      </vt:variant>
      <vt:variant>
        <vt:i4>1619</vt:i4>
      </vt:variant>
      <vt:variant>
        <vt:i4>0</vt:i4>
      </vt:variant>
      <vt:variant>
        <vt:i4>5</vt:i4>
      </vt:variant>
      <vt:variant>
        <vt:lpwstr/>
      </vt:variant>
      <vt:variant>
        <vt:lpwstr>_Toc6523390</vt:lpwstr>
      </vt:variant>
      <vt:variant>
        <vt:i4>2686983</vt:i4>
      </vt:variant>
      <vt:variant>
        <vt:i4>1613</vt:i4>
      </vt:variant>
      <vt:variant>
        <vt:i4>0</vt:i4>
      </vt:variant>
      <vt:variant>
        <vt:i4>5</vt:i4>
      </vt:variant>
      <vt:variant>
        <vt:lpwstr/>
      </vt:variant>
      <vt:variant>
        <vt:lpwstr>_Toc6523389</vt:lpwstr>
      </vt:variant>
      <vt:variant>
        <vt:i4>2686983</vt:i4>
      </vt:variant>
      <vt:variant>
        <vt:i4>1607</vt:i4>
      </vt:variant>
      <vt:variant>
        <vt:i4>0</vt:i4>
      </vt:variant>
      <vt:variant>
        <vt:i4>5</vt:i4>
      </vt:variant>
      <vt:variant>
        <vt:lpwstr/>
      </vt:variant>
      <vt:variant>
        <vt:lpwstr>_Toc6523388</vt:lpwstr>
      </vt:variant>
      <vt:variant>
        <vt:i4>2686983</vt:i4>
      </vt:variant>
      <vt:variant>
        <vt:i4>1601</vt:i4>
      </vt:variant>
      <vt:variant>
        <vt:i4>0</vt:i4>
      </vt:variant>
      <vt:variant>
        <vt:i4>5</vt:i4>
      </vt:variant>
      <vt:variant>
        <vt:lpwstr/>
      </vt:variant>
      <vt:variant>
        <vt:lpwstr>_Toc6523387</vt:lpwstr>
      </vt:variant>
      <vt:variant>
        <vt:i4>2686983</vt:i4>
      </vt:variant>
      <vt:variant>
        <vt:i4>1595</vt:i4>
      </vt:variant>
      <vt:variant>
        <vt:i4>0</vt:i4>
      </vt:variant>
      <vt:variant>
        <vt:i4>5</vt:i4>
      </vt:variant>
      <vt:variant>
        <vt:lpwstr/>
      </vt:variant>
      <vt:variant>
        <vt:lpwstr>_Toc6523386</vt:lpwstr>
      </vt:variant>
      <vt:variant>
        <vt:i4>2686983</vt:i4>
      </vt:variant>
      <vt:variant>
        <vt:i4>1589</vt:i4>
      </vt:variant>
      <vt:variant>
        <vt:i4>0</vt:i4>
      </vt:variant>
      <vt:variant>
        <vt:i4>5</vt:i4>
      </vt:variant>
      <vt:variant>
        <vt:lpwstr/>
      </vt:variant>
      <vt:variant>
        <vt:lpwstr>_Toc6523385</vt:lpwstr>
      </vt:variant>
      <vt:variant>
        <vt:i4>2686983</vt:i4>
      </vt:variant>
      <vt:variant>
        <vt:i4>1583</vt:i4>
      </vt:variant>
      <vt:variant>
        <vt:i4>0</vt:i4>
      </vt:variant>
      <vt:variant>
        <vt:i4>5</vt:i4>
      </vt:variant>
      <vt:variant>
        <vt:lpwstr/>
      </vt:variant>
      <vt:variant>
        <vt:lpwstr>_Toc6523384</vt:lpwstr>
      </vt:variant>
      <vt:variant>
        <vt:i4>2686983</vt:i4>
      </vt:variant>
      <vt:variant>
        <vt:i4>1577</vt:i4>
      </vt:variant>
      <vt:variant>
        <vt:i4>0</vt:i4>
      </vt:variant>
      <vt:variant>
        <vt:i4>5</vt:i4>
      </vt:variant>
      <vt:variant>
        <vt:lpwstr/>
      </vt:variant>
      <vt:variant>
        <vt:lpwstr>_Toc6523383</vt:lpwstr>
      </vt:variant>
      <vt:variant>
        <vt:i4>2686983</vt:i4>
      </vt:variant>
      <vt:variant>
        <vt:i4>1571</vt:i4>
      </vt:variant>
      <vt:variant>
        <vt:i4>0</vt:i4>
      </vt:variant>
      <vt:variant>
        <vt:i4>5</vt:i4>
      </vt:variant>
      <vt:variant>
        <vt:lpwstr/>
      </vt:variant>
      <vt:variant>
        <vt:lpwstr>_Toc6523382</vt:lpwstr>
      </vt:variant>
      <vt:variant>
        <vt:i4>2686983</vt:i4>
      </vt:variant>
      <vt:variant>
        <vt:i4>1565</vt:i4>
      </vt:variant>
      <vt:variant>
        <vt:i4>0</vt:i4>
      </vt:variant>
      <vt:variant>
        <vt:i4>5</vt:i4>
      </vt:variant>
      <vt:variant>
        <vt:lpwstr/>
      </vt:variant>
      <vt:variant>
        <vt:lpwstr>_Toc6523381</vt:lpwstr>
      </vt:variant>
      <vt:variant>
        <vt:i4>2686983</vt:i4>
      </vt:variant>
      <vt:variant>
        <vt:i4>1559</vt:i4>
      </vt:variant>
      <vt:variant>
        <vt:i4>0</vt:i4>
      </vt:variant>
      <vt:variant>
        <vt:i4>5</vt:i4>
      </vt:variant>
      <vt:variant>
        <vt:lpwstr/>
      </vt:variant>
      <vt:variant>
        <vt:lpwstr>_Toc6523380</vt:lpwstr>
      </vt:variant>
      <vt:variant>
        <vt:i4>2490375</vt:i4>
      </vt:variant>
      <vt:variant>
        <vt:i4>1553</vt:i4>
      </vt:variant>
      <vt:variant>
        <vt:i4>0</vt:i4>
      </vt:variant>
      <vt:variant>
        <vt:i4>5</vt:i4>
      </vt:variant>
      <vt:variant>
        <vt:lpwstr/>
      </vt:variant>
      <vt:variant>
        <vt:lpwstr>_Toc6523379</vt:lpwstr>
      </vt:variant>
      <vt:variant>
        <vt:i4>2490375</vt:i4>
      </vt:variant>
      <vt:variant>
        <vt:i4>1547</vt:i4>
      </vt:variant>
      <vt:variant>
        <vt:i4>0</vt:i4>
      </vt:variant>
      <vt:variant>
        <vt:i4>5</vt:i4>
      </vt:variant>
      <vt:variant>
        <vt:lpwstr/>
      </vt:variant>
      <vt:variant>
        <vt:lpwstr>_Toc6523378</vt:lpwstr>
      </vt:variant>
      <vt:variant>
        <vt:i4>2490375</vt:i4>
      </vt:variant>
      <vt:variant>
        <vt:i4>1541</vt:i4>
      </vt:variant>
      <vt:variant>
        <vt:i4>0</vt:i4>
      </vt:variant>
      <vt:variant>
        <vt:i4>5</vt:i4>
      </vt:variant>
      <vt:variant>
        <vt:lpwstr/>
      </vt:variant>
      <vt:variant>
        <vt:lpwstr>_Toc6523377</vt:lpwstr>
      </vt:variant>
      <vt:variant>
        <vt:i4>2490375</vt:i4>
      </vt:variant>
      <vt:variant>
        <vt:i4>1535</vt:i4>
      </vt:variant>
      <vt:variant>
        <vt:i4>0</vt:i4>
      </vt:variant>
      <vt:variant>
        <vt:i4>5</vt:i4>
      </vt:variant>
      <vt:variant>
        <vt:lpwstr/>
      </vt:variant>
      <vt:variant>
        <vt:lpwstr>_Toc6523376</vt:lpwstr>
      </vt:variant>
      <vt:variant>
        <vt:i4>2490375</vt:i4>
      </vt:variant>
      <vt:variant>
        <vt:i4>1529</vt:i4>
      </vt:variant>
      <vt:variant>
        <vt:i4>0</vt:i4>
      </vt:variant>
      <vt:variant>
        <vt:i4>5</vt:i4>
      </vt:variant>
      <vt:variant>
        <vt:lpwstr/>
      </vt:variant>
      <vt:variant>
        <vt:lpwstr>_Toc6523375</vt:lpwstr>
      </vt:variant>
      <vt:variant>
        <vt:i4>2490375</vt:i4>
      </vt:variant>
      <vt:variant>
        <vt:i4>1523</vt:i4>
      </vt:variant>
      <vt:variant>
        <vt:i4>0</vt:i4>
      </vt:variant>
      <vt:variant>
        <vt:i4>5</vt:i4>
      </vt:variant>
      <vt:variant>
        <vt:lpwstr/>
      </vt:variant>
      <vt:variant>
        <vt:lpwstr>_Toc6523374</vt:lpwstr>
      </vt:variant>
      <vt:variant>
        <vt:i4>2490375</vt:i4>
      </vt:variant>
      <vt:variant>
        <vt:i4>1517</vt:i4>
      </vt:variant>
      <vt:variant>
        <vt:i4>0</vt:i4>
      </vt:variant>
      <vt:variant>
        <vt:i4>5</vt:i4>
      </vt:variant>
      <vt:variant>
        <vt:lpwstr/>
      </vt:variant>
      <vt:variant>
        <vt:lpwstr>_Toc6523373</vt:lpwstr>
      </vt:variant>
      <vt:variant>
        <vt:i4>2490375</vt:i4>
      </vt:variant>
      <vt:variant>
        <vt:i4>1511</vt:i4>
      </vt:variant>
      <vt:variant>
        <vt:i4>0</vt:i4>
      </vt:variant>
      <vt:variant>
        <vt:i4>5</vt:i4>
      </vt:variant>
      <vt:variant>
        <vt:lpwstr/>
      </vt:variant>
      <vt:variant>
        <vt:lpwstr>_Toc6523372</vt:lpwstr>
      </vt:variant>
      <vt:variant>
        <vt:i4>2490375</vt:i4>
      </vt:variant>
      <vt:variant>
        <vt:i4>1505</vt:i4>
      </vt:variant>
      <vt:variant>
        <vt:i4>0</vt:i4>
      </vt:variant>
      <vt:variant>
        <vt:i4>5</vt:i4>
      </vt:variant>
      <vt:variant>
        <vt:lpwstr/>
      </vt:variant>
      <vt:variant>
        <vt:lpwstr>_Toc6523371</vt:lpwstr>
      </vt:variant>
      <vt:variant>
        <vt:i4>2490375</vt:i4>
      </vt:variant>
      <vt:variant>
        <vt:i4>1499</vt:i4>
      </vt:variant>
      <vt:variant>
        <vt:i4>0</vt:i4>
      </vt:variant>
      <vt:variant>
        <vt:i4>5</vt:i4>
      </vt:variant>
      <vt:variant>
        <vt:lpwstr/>
      </vt:variant>
      <vt:variant>
        <vt:lpwstr>_Toc6523370</vt:lpwstr>
      </vt:variant>
      <vt:variant>
        <vt:i4>2555911</vt:i4>
      </vt:variant>
      <vt:variant>
        <vt:i4>1493</vt:i4>
      </vt:variant>
      <vt:variant>
        <vt:i4>0</vt:i4>
      </vt:variant>
      <vt:variant>
        <vt:i4>5</vt:i4>
      </vt:variant>
      <vt:variant>
        <vt:lpwstr/>
      </vt:variant>
      <vt:variant>
        <vt:lpwstr>_Toc6523369</vt:lpwstr>
      </vt:variant>
      <vt:variant>
        <vt:i4>2555911</vt:i4>
      </vt:variant>
      <vt:variant>
        <vt:i4>1487</vt:i4>
      </vt:variant>
      <vt:variant>
        <vt:i4>0</vt:i4>
      </vt:variant>
      <vt:variant>
        <vt:i4>5</vt:i4>
      </vt:variant>
      <vt:variant>
        <vt:lpwstr/>
      </vt:variant>
      <vt:variant>
        <vt:lpwstr>_Toc6523368</vt:lpwstr>
      </vt:variant>
      <vt:variant>
        <vt:i4>2555911</vt:i4>
      </vt:variant>
      <vt:variant>
        <vt:i4>1481</vt:i4>
      </vt:variant>
      <vt:variant>
        <vt:i4>0</vt:i4>
      </vt:variant>
      <vt:variant>
        <vt:i4>5</vt:i4>
      </vt:variant>
      <vt:variant>
        <vt:lpwstr/>
      </vt:variant>
      <vt:variant>
        <vt:lpwstr>_Toc6523367</vt:lpwstr>
      </vt:variant>
      <vt:variant>
        <vt:i4>2555911</vt:i4>
      </vt:variant>
      <vt:variant>
        <vt:i4>1475</vt:i4>
      </vt:variant>
      <vt:variant>
        <vt:i4>0</vt:i4>
      </vt:variant>
      <vt:variant>
        <vt:i4>5</vt:i4>
      </vt:variant>
      <vt:variant>
        <vt:lpwstr/>
      </vt:variant>
      <vt:variant>
        <vt:lpwstr>_Toc6523366</vt:lpwstr>
      </vt:variant>
      <vt:variant>
        <vt:i4>2555911</vt:i4>
      </vt:variant>
      <vt:variant>
        <vt:i4>1469</vt:i4>
      </vt:variant>
      <vt:variant>
        <vt:i4>0</vt:i4>
      </vt:variant>
      <vt:variant>
        <vt:i4>5</vt:i4>
      </vt:variant>
      <vt:variant>
        <vt:lpwstr/>
      </vt:variant>
      <vt:variant>
        <vt:lpwstr>_Toc6523365</vt:lpwstr>
      </vt:variant>
      <vt:variant>
        <vt:i4>2555911</vt:i4>
      </vt:variant>
      <vt:variant>
        <vt:i4>1463</vt:i4>
      </vt:variant>
      <vt:variant>
        <vt:i4>0</vt:i4>
      </vt:variant>
      <vt:variant>
        <vt:i4>5</vt:i4>
      </vt:variant>
      <vt:variant>
        <vt:lpwstr/>
      </vt:variant>
      <vt:variant>
        <vt:lpwstr>_Toc6523364</vt:lpwstr>
      </vt:variant>
      <vt:variant>
        <vt:i4>2555911</vt:i4>
      </vt:variant>
      <vt:variant>
        <vt:i4>1457</vt:i4>
      </vt:variant>
      <vt:variant>
        <vt:i4>0</vt:i4>
      </vt:variant>
      <vt:variant>
        <vt:i4>5</vt:i4>
      </vt:variant>
      <vt:variant>
        <vt:lpwstr/>
      </vt:variant>
      <vt:variant>
        <vt:lpwstr>_Toc6523363</vt:lpwstr>
      </vt:variant>
      <vt:variant>
        <vt:i4>2555911</vt:i4>
      </vt:variant>
      <vt:variant>
        <vt:i4>1451</vt:i4>
      </vt:variant>
      <vt:variant>
        <vt:i4>0</vt:i4>
      </vt:variant>
      <vt:variant>
        <vt:i4>5</vt:i4>
      </vt:variant>
      <vt:variant>
        <vt:lpwstr/>
      </vt:variant>
      <vt:variant>
        <vt:lpwstr>_Toc6523362</vt:lpwstr>
      </vt:variant>
      <vt:variant>
        <vt:i4>2555911</vt:i4>
      </vt:variant>
      <vt:variant>
        <vt:i4>1445</vt:i4>
      </vt:variant>
      <vt:variant>
        <vt:i4>0</vt:i4>
      </vt:variant>
      <vt:variant>
        <vt:i4>5</vt:i4>
      </vt:variant>
      <vt:variant>
        <vt:lpwstr/>
      </vt:variant>
      <vt:variant>
        <vt:lpwstr>_Toc6523361</vt:lpwstr>
      </vt:variant>
      <vt:variant>
        <vt:i4>2555911</vt:i4>
      </vt:variant>
      <vt:variant>
        <vt:i4>1439</vt:i4>
      </vt:variant>
      <vt:variant>
        <vt:i4>0</vt:i4>
      </vt:variant>
      <vt:variant>
        <vt:i4>5</vt:i4>
      </vt:variant>
      <vt:variant>
        <vt:lpwstr/>
      </vt:variant>
      <vt:variant>
        <vt:lpwstr>_Toc6523360</vt:lpwstr>
      </vt:variant>
      <vt:variant>
        <vt:i4>2359303</vt:i4>
      </vt:variant>
      <vt:variant>
        <vt:i4>1433</vt:i4>
      </vt:variant>
      <vt:variant>
        <vt:i4>0</vt:i4>
      </vt:variant>
      <vt:variant>
        <vt:i4>5</vt:i4>
      </vt:variant>
      <vt:variant>
        <vt:lpwstr/>
      </vt:variant>
      <vt:variant>
        <vt:lpwstr>_Toc6523359</vt:lpwstr>
      </vt:variant>
      <vt:variant>
        <vt:i4>2359303</vt:i4>
      </vt:variant>
      <vt:variant>
        <vt:i4>1427</vt:i4>
      </vt:variant>
      <vt:variant>
        <vt:i4>0</vt:i4>
      </vt:variant>
      <vt:variant>
        <vt:i4>5</vt:i4>
      </vt:variant>
      <vt:variant>
        <vt:lpwstr/>
      </vt:variant>
      <vt:variant>
        <vt:lpwstr>_Toc6523358</vt:lpwstr>
      </vt:variant>
      <vt:variant>
        <vt:i4>2359303</vt:i4>
      </vt:variant>
      <vt:variant>
        <vt:i4>1421</vt:i4>
      </vt:variant>
      <vt:variant>
        <vt:i4>0</vt:i4>
      </vt:variant>
      <vt:variant>
        <vt:i4>5</vt:i4>
      </vt:variant>
      <vt:variant>
        <vt:lpwstr/>
      </vt:variant>
      <vt:variant>
        <vt:lpwstr>_Toc6523357</vt:lpwstr>
      </vt:variant>
      <vt:variant>
        <vt:i4>2359303</vt:i4>
      </vt:variant>
      <vt:variant>
        <vt:i4>1415</vt:i4>
      </vt:variant>
      <vt:variant>
        <vt:i4>0</vt:i4>
      </vt:variant>
      <vt:variant>
        <vt:i4>5</vt:i4>
      </vt:variant>
      <vt:variant>
        <vt:lpwstr/>
      </vt:variant>
      <vt:variant>
        <vt:lpwstr>_Toc6523356</vt:lpwstr>
      </vt:variant>
      <vt:variant>
        <vt:i4>2359303</vt:i4>
      </vt:variant>
      <vt:variant>
        <vt:i4>1409</vt:i4>
      </vt:variant>
      <vt:variant>
        <vt:i4>0</vt:i4>
      </vt:variant>
      <vt:variant>
        <vt:i4>5</vt:i4>
      </vt:variant>
      <vt:variant>
        <vt:lpwstr/>
      </vt:variant>
      <vt:variant>
        <vt:lpwstr>_Toc6523355</vt:lpwstr>
      </vt:variant>
      <vt:variant>
        <vt:i4>2359303</vt:i4>
      </vt:variant>
      <vt:variant>
        <vt:i4>1403</vt:i4>
      </vt:variant>
      <vt:variant>
        <vt:i4>0</vt:i4>
      </vt:variant>
      <vt:variant>
        <vt:i4>5</vt:i4>
      </vt:variant>
      <vt:variant>
        <vt:lpwstr/>
      </vt:variant>
      <vt:variant>
        <vt:lpwstr>_Toc6523354</vt:lpwstr>
      </vt:variant>
      <vt:variant>
        <vt:i4>2359303</vt:i4>
      </vt:variant>
      <vt:variant>
        <vt:i4>1397</vt:i4>
      </vt:variant>
      <vt:variant>
        <vt:i4>0</vt:i4>
      </vt:variant>
      <vt:variant>
        <vt:i4>5</vt:i4>
      </vt:variant>
      <vt:variant>
        <vt:lpwstr/>
      </vt:variant>
      <vt:variant>
        <vt:lpwstr>_Toc6523353</vt:lpwstr>
      </vt:variant>
      <vt:variant>
        <vt:i4>2359303</vt:i4>
      </vt:variant>
      <vt:variant>
        <vt:i4>1391</vt:i4>
      </vt:variant>
      <vt:variant>
        <vt:i4>0</vt:i4>
      </vt:variant>
      <vt:variant>
        <vt:i4>5</vt:i4>
      </vt:variant>
      <vt:variant>
        <vt:lpwstr/>
      </vt:variant>
      <vt:variant>
        <vt:lpwstr>_Toc6523352</vt:lpwstr>
      </vt:variant>
      <vt:variant>
        <vt:i4>2359303</vt:i4>
      </vt:variant>
      <vt:variant>
        <vt:i4>1385</vt:i4>
      </vt:variant>
      <vt:variant>
        <vt:i4>0</vt:i4>
      </vt:variant>
      <vt:variant>
        <vt:i4>5</vt:i4>
      </vt:variant>
      <vt:variant>
        <vt:lpwstr/>
      </vt:variant>
      <vt:variant>
        <vt:lpwstr>_Toc6523351</vt:lpwstr>
      </vt:variant>
      <vt:variant>
        <vt:i4>2359303</vt:i4>
      </vt:variant>
      <vt:variant>
        <vt:i4>1379</vt:i4>
      </vt:variant>
      <vt:variant>
        <vt:i4>0</vt:i4>
      </vt:variant>
      <vt:variant>
        <vt:i4>5</vt:i4>
      </vt:variant>
      <vt:variant>
        <vt:lpwstr/>
      </vt:variant>
      <vt:variant>
        <vt:lpwstr>_Toc6523350</vt:lpwstr>
      </vt:variant>
      <vt:variant>
        <vt:i4>2424839</vt:i4>
      </vt:variant>
      <vt:variant>
        <vt:i4>1373</vt:i4>
      </vt:variant>
      <vt:variant>
        <vt:i4>0</vt:i4>
      </vt:variant>
      <vt:variant>
        <vt:i4>5</vt:i4>
      </vt:variant>
      <vt:variant>
        <vt:lpwstr/>
      </vt:variant>
      <vt:variant>
        <vt:lpwstr>_Toc6523349</vt:lpwstr>
      </vt:variant>
      <vt:variant>
        <vt:i4>2424839</vt:i4>
      </vt:variant>
      <vt:variant>
        <vt:i4>1367</vt:i4>
      </vt:variant>
      <vt:variant>
        <vt:i4>0</vt:i4>
      </vt:variant>
      <vt:variant>
        <vt:i4>5</vt:i4>
      </vt:variant>
      <vt:variant>
        <vt:lpwstr/>
      </vt:variant>
      <vt:variant>
        <vt:lpwstr>_Toc6523348</vt:lpwstr>
      </vt:variant>
      <vt:variant>
        <vt:i4>2424839</vt:i4>
      </vt:variant>
      <vt:variant>
        <vt:i4>1361</vt:i4>
      </vt:variant>
      <vt:variant>
        <vt:i4>0</vt:i4>
      </vt:variant>
      <vt:variant>
        <vt:i4>5</vt:i4>
      </vt:variant>
      <vt:variant>
        <vt:lpwstr/>
      </vt:variant>
      <vt:variant>
        <vt:lpwstr>_Toc6523347</vt:lpwstr>
      </vt:variant>
      <vt:variant>
        <vt:i4>2424839</vt:i4>
      </vt:variant>
      <vt:variant>
        <vt:i4>1355</vt:i4>
      </vt:variant>
      <vt:variant>
        <vt:i4>0</vt:i4>
      </vt:variant>
      <vt:variant>
        <vt:i4>5</vt:i4>
      </vt:variant>
      <vt:variant>
        <vt:lpwstr/>
      </vt:variant>
      <vt:variant>
        <vt:lpwstr>_Toc6523346</vt:lpwstr>
      </vt:variant>
      <vt:variant>
        <vt:i4>2424839</vt:i4>
      </vt:variant>
      <vt:variant>
        <vt:i4>1349</vt:i4>
      </vt:variant>
      <vt:variant>
        <vt:i4>0</vt:i4>
      </vt:variant>
      <vt:variant>
        <vt:i4>5</vt:i4>
      </vt:variant>
      <vt:variant>
        <vt:lpwstr/>
      </vt:variant>
      <vt:variant>
        <vt:lpwstr>_Toc6523345</vt:lpwstr>
      </vt:variant>
      <vt:variant>
        <vt:i4>2424839</vt:i4>
      </vt:variant>
      <vt:variant>
        <vt:i4>1343</vt:i4>
      </vt:variant>
      <vt:variant>
        <vt:i4>0</vt:i4>
      </vt:variant>
      <vt:variant>
        <vt:i4>5</vt:i4>
      </vt:variant>
      <vt:variant>
        <vt:lpwstr/>
      </vt:variant>
      <vt:variant>
        <vt:lpwstr>_Toc6523344</vt:lpwstr>
      </vt:variant>
      <vt:variant>
        <vt:i4>2424839</vt:i4>
      </vt:variant>
      <vt:variant>
        <vt:i4>1337</vt:i4>
      </vt:variant>
      <vt:variant>
        <vt:i4>0</vt:i4>
      </vt:variant>
      <vt:variant>
        <vt:i4>5</vt:i4>
      </vt:variant>
      <vt:variant>
        <vt:lpwstr/>
      </vt:variant>
      <vt:variant>
        <vt:lpwstr>_Toc6523343</vt:lpwstr>
      </vt:variant>
      <vt:variant>
        <vt:i4>2424839</vt:i4>
      </vt:variant>
      <vt:variant>
        <vt:i4>1331</vt:i4>
      </vt:variant>
      <vt:variant>
        <vt:i4>0</vt:i4>
      </vt:variant>
      <vt:variant>
        <vt:i4>5</vt:i4>
      </vt:variant>
      <vt:variant>
        <vt:lpwstr/>
      </vt:variant>
      <vt:variant>
        <vt:lpwstr>_Toc6523342</vt:lpwstr>
      </vt:variant>
      <vt:variant>
        <vt:i4>2424839</vt:i4>
      </vt:variant>
      <vt:variant>
        <vt:i4>1325</vt:i4>
      </vt:variant>
      <vt:variant>
        <vt:i4>0</vt:i4>
      </vt:variant>
      <vt:variant>
        <vt:i4>5</vt:i4>
      </vt:variant>
      <vt:variant>
        <vt:lpwstr/>
      </vt:variant>
      <vt:variant>
        <vt:lpwstr>_Toc6523341</vt:lpwstr>
      </vt:variant>
      <vt:variant>
        <vt:i4>2424839</vt:i4>
      </vt:variant>
      <vt:variant>
        <vt:i4>1319</vt:i4>
      </vt:variant>
      <vt:variant>
        <vt:i4>0</vt:i4>
      </vt:variant>
      <vt:variant>
        <vt:i4>5</vt:i4>
      </vt:variant>
      <vt:variant>
        <vt:lpwstr/>
      </vt:variant>
      <vt:variant>
        <vt:lpwstr>_Toc6523340</vt:lpwstr>
      </vt:variant>
      <vt:variant>
        <vt:i4>2228231</vt:i4>
      </vt:variant>
      <vt:variant>
        <vt:i4>1313</vt:i4>
      </vt:variant>
      <vt:variant>
        <vt:i4>0</vt:i4>
      </vt:variant>
      <vt:variant>
        <vt:i4>5</vt:i4>
      </vt:variant>
      <vt:variant>
        <vt:lpwstr/>
      </vt:variant>
      <vt:variant>
        <vt:lpwstr>_Toc6523339</vt:lpwstr>
      </vt:variant>
      <vt:variant>
        <vt:i4>2228231</vt:i4>
      </vt:variant>
      <vt:variant>
        <vt:i4>1307</vt:i4>
      </vt:variant>
      <vt:variant>
        <vt:i4>0</vt:i4>
      </vt:variant>
      <vt:variant>
        <vt:i4>5</vt:i4>
      </vt:variant>
      <vt:variant>
        <vt:lpwstr/>
      </vt:variant>
      <vt:variant>
        <vt:lpwstr>_Toc6523338</vt:lpwstr>
      </vt:variant>
      <vt:variant>
        <vt:i4>2228231</vt:i4>
      </vt:variant>
      <vt:variant>
        <vt:i4>1301</vt:i4>
      </vt:variant>
      <vt:variant>
        <vt:i4>0</vt:i4>
      </vt:variant>
      <vt:variant>
        <vt:i4>5</vt:i4>
      </vt:variant>
      <vt:variant>
        <vt:lpwstr/>
      </vt:variant>
      <vt:variant>
        <vt:lpwstr>_Toc6523337</vt:lpwstr>
      </vt:variant>
      <vt:variant>
        <vt:i4>2228231</vt:i4>
      </vt:variant>
      <vt:variant>
        <vt:i4>1295</vt:i4>
      </vt:variant>
      <vt:variant>
        <vt:i4>0</vt:i4>
      </vt:variant>
      <vt:variant>
        <vt:i4>5</vt:i4>
      </vt:variant>
      <vt:variant>
        <vt:lpwstr/>
      </vt:variant>
      <vt:variant>
        <vt:lpwstr>_Toc6523336</vt:lpwstr>
      </vt:variant>
      <vt:variant>
        <vt:i4>2228231</vt:i4>
      </vt:variant>
      <vt:variant>
        <vt:i4>1289</vt:i4>
      </vt:variant>
      <vt:variant>
        <vt:i4>0</vt:i4>
      </vt:variant>
      <vt:variant>
        <vt:i4>5</vt:i4>
      </vt:variant>
      <vt:variant>
        <vt:lpwstr/>
      </vt:variant>
      <vt:variant>
        <vt:lpwstr>_Toc6523335</vt:lpwstr>
      </vt:variant>
      <vt:variant>
        <vt:i4>2228231</vt:i4>
      </vt:variant>
      <vt:variant>
        <vt:i4>1283</vt:i4>
      </vt:variant>
      <vt:variant>
        <vt:i4>0</vt:i4>
      </vt:variant>
      <vt:variant>
        <vt:i4>5</vt:i4>
      </vt:variant>
      <vt:variant>
        <vt:lpwstr/>
      </vt:variant>
      <vt:variant>
        <vt:lpwstr>_Toc6523334</vt:lpwstr>
      </vt:variant>
      <vt:variant>
        <vt:i4>2228231</vt:i4>
      </vt:variant>
      <vt:variant>
        <vt:i4>1277</vt:i4>
      </vt:variant>
      <vt:variant>
        <vt:i4>0</vt:i4>
      </vt:variant>
      <vt:variant>
        <vt:i4>5</vt:i4>
      </vt:variant>
      <vt:variant>
        <vt:lpwstr/>
      </vt:variant>
      <vt:variant>
        <vt:lpwstr>_Toc6523333</vt:lpwstr>
      </vt:variant>
      <vt:variant>
        <vt:i4>2228231</vt:i4>
      </vt:variant>
      <vt:variant>
        <vt:i4>1271</vt:i4>
      </vt:variant>
      <vt:variant>
        <vt:i4>0</vt:i4>
      </vt:variant>
      <vt:variant>
        <vt:i4>5</vt:i4>
      </vt:variant>
      <vt:variant>
        <vt:lpwstr/>
      </vt:variant>
      <vt:variant>
        <vt:lpwstr>_Toc6523332</vt:lpwstr>
      </vt:variant>
      <vt:variant>
        <vt:i4>2228231</vt:i4>
      </vt:variant>
      <vt:variant>
        <vt:i4>1265</vt:i4>
      </vt:variant>
      <vt:variant>
        <vt:i4>0</vt:i4>
      </vt:variant>
      <vt:variant>
        <vt:i4>5</vt:i4>
      </vt:variant>
      <vt:variant>
        <vt:lpwstr/>
      </vt:variant>
      <vt:variant>
        <vt:lpwstr>_Toc6523331</vt:lpwstr>
      </vt:variant>
      <vt:variant>
        <vt:i4>2228231</vt:i4>
      </vt:variant>
      <vt:variant>
        <vt:i4>1259</vt:i4>
      </vt:variant>
      <vt:variant>
        <vt:i4>0</vt:i4>
      </vt:variant>
      <vt:variant>
        <vt:i4>5</vt:i4>
      </vt:variant>
      <vt:variant>
        <vt:lpwstr/>
      </vt:variant>
      <vt:variant>
        <vt:lpwstr>_Toc6523330</vt:lpwstr>
      </vt:variant>
      <vt:variant>
        <vt:i4>2293767</vt:i4>
      </vt:variant>
      <vt:variant>
        <vt:i4>1253</vt:i4>
      </vt:variant>
      <vt:variant>
        <vt:i4>0</vt:i4>
      </vt:variant>
      <vt:variant>
        <vt:i4>5</vt:i4>
      </vt:variant>
      <vt:variant>
        <vt:lpwstr/>
      </vt:variant>
      <vt:variant>
        <vt:lpwstr>_Toc6523329</vt:lpwstr>
      </vt:variant>
      <vt:variant>
        <vt:i4>2293767</vt:i4>
      </vt:variant>
      <vt:variant>
        <vt:i4>1247</vt:i4>
      </vt:variant>
      <vt:variant>
        <vt:i4>0</vt:i4>
      </vt:variant>
      <vt:variant>
        <vt:i4>5</vt:i4>
      </vt:variant>
      <vt:variant>
        <vt:lpwstr/>
      </vt:variant>
      <vt:variant>
        <vt:lpwstr>_Toc6523328</vt:lpwstr>
      </vt:variant>
      <vt:variant>
        <vt:i4>2293767</vt:i4>
      </vt:variant>
      <vt:variant>
        <vt:i4>1241</vt:i4>
      </vt:variant>
      <vt:variant>
        <vt:i4>0</vt:i4>
      </vt:variant>
      <vt:variant>
        <vt:i4>5</vt:i4>
      </vt:variant>
      <vt:variant>
        <vt:lpwstr/>
      </vt:variant>
      <vt:variant>
        <vt:lpwstr>_Toc6523327</vt:lpwstr>
      </vt:variant>
      <vt:variant>
        <vt:i4>2293767</vt:i4>
      </vt:variant>
      <vt:variant>
        <vt:i4>1235</vt:i4>
      </vt:variant>
      <vt:variant>
        <vt:i4>0</vt:i4>
      </vt:variant>
      <vt:variant>
        <vt:i4>5</vt:i4>
      </vt:variant>
      <vt:variant>
        <vt:lpwstr/>
      </vt:variant>
      <vt:variant>
        <vt:lpwstr>_Toc6523326</vt:lpwstr>
      </vt:variant>
      <vt:variant>
        <vt:i4>2293767</vt:i4>
      </vt:variant>
      <vt:variant>
        <vt:i4>1229</vt:i4>
      </vt:variant>
      <vt:variant>
        <vt:i4>0</vt:i4>
      </vt:variant>
      <vt:variant>
        <vt:i4>5</vt:i4>
      </vt:variant>
      <vt:variant>
        <vt:lpwstr/>
      </vt:variant>
      <vt:variant>
        <vt:lpwstr>_Toc6523325</vt:lpwstr>
      </vt:variant>
      <vt:variant>
        <vt:i4>2293767</vt:i4>
      </vt:variant>
      <vt:variant>
        <vt:i4>1223</vt:i4>
      </vt:variant>
      <vt:variant>
        <vt:i4>0</vt:i4>
      </vt:variant>
      <vt:variant>
        <vt:i4>5</vt:i4>
      </vt:variant>
      <vt:variant>
        <vt:lpwstr/>
      </vt:variant>
      <vt:variant>
        <vt:lpwstr>_Toc6523324</vt:lpwstr>
      </vt:variant>
      <vt:variant>
        <vt:i4>2293767</vt:i4>
      </vt:variant>
      <vt:variant>
        <vt:i4>1217</vt:i4>
      </vt:variant>
      <vt:variant>
        <vt:i4>0</vt:i4>
      </vt:variant>
      <vt:variant>
        <vt:i4>5</vt:i4>
      </vt:variant>
      <vt:variant>
        <vt:lpwstr/>
      </vt:variant>
      <vt:variant>
        <vt:lpwstr>_Toc6523323</vt:lpwstr>
      </vt:variant>
      <vt:variant>
        <vt:i4>2293767</vt:i4>
      </vt:variant>
      <vt:variant>
        <vt:i4>1211</vt:i4>
      </vt:variant>
      <vt:variant>
        <vt:i4>0</vt:i4>
      </vt:variant>
      <vt:variant>
        <vt:i4>5</vt:i4>
      </vt:variant>
      <vt:variant>
        <vt:lpwstr/>
      </vt:variant>
      <vt:variant>
        <vt:lpwstr>_Toc6523322</vt:lpwstr>
      </vt:variant>
      <vt:variant>
        <vt:i4>2293767</vt:i4>
      </vt:variant>
      <vt:variant>
        <vt:i4>1205</vt:i4>
      </vt:variant>
      <vt:variant>
        <vt:i4>0</vt:i4>
      </vt:variant>
      <vt:variant>
        <vt:i4>5</vt:i4>
      </vt:variant>
      <vt:variant>
        <vt:lpwstr/>
      </vt:variant>
      <vt:variant>
        <vt:lpwstr>_Toc6523321</vt:lpwstr>
      </vt:variant>
      <vt:variant>
        <vt:i4>2293767</vt:i4>
      </vt:variant>
      <vt:variant>
        <vt:i4>1199</vt:i4>
      </vt:variant>
      <vt:variant>
        <vt:i4>0</vt:i4>
      </vt:variant>
      <vt:variant>
        <vt:i4>5</vt:i4>
      </vt:variant>
      <vt:variant>
        <vt:lpwstr/>
      </vt:variant>
      <vt:variant>
        <vt:lpwstr>_Toc6523320</vt:lpwstr>
      </vt:variant>
      <vt:variant>
        <vt:i4>2097159</vt:i4>
      </vt:variant>
      <vt:variant>
        <vt:i4>1193</vt:i4>
      </vt:variant>
      <vt:variant>
        <vt:i4>0</vt:i4>
      </vt:variant>
      <vt:variant>
        <vt:i4>5</vt:i4>
      </vt:variant>
      <vt:variant>
        <vt:lpwstr/>
      </vt:variant>
      <vt:variant>
        <vt:lpwstr>_Toc6523319</vt:lpwstr>
      </vt:variant>
      <vt:variant>
        <vt:i4>2097159</vt:i4>
      </vt:variant>
      <vt:variant>
        <vt:i4>1187</vt:i4>
      </vt:variant>
      <vt:variant>
        <vt:i4>0</vt:i4>
      </vt:variant>
      <vt:variant>
        <vt:i4>5</vt:i4>
      </vt:variant>
      <vt:variant>
        <vt:lpwstr/>
      </vt:variant>
      <vt:variant>
        <vt:lpwstr>_Toc6523318</vt:lpwstr>
      </vt:variant>
      <vt:variant>
        <vt:i4>2097159</vt:i4>
      </vt:variant>
      <vt:variant>
        <vt:i4>1181</vt:i4>
      </vt:variant>
      <vt:variant>
        <vt:i4>0</vt:i4>
      </vt:variant>
      <vt:variant>
        <vt:i4>5</vt:i4>
      </vt:variant>
      <vt:variant>
        <vt:lpwstr/>
      </vt:variant>
      <vt:variant>
        <vt:lpwstr>_Toc6523317</vt:lpwstr>
      </vt:variant>
      <vt:variant>
        <vt:i4>2097159</vt:i4>
      </vt:variant>
      <vt:variant>
        <vt:i4>1175</vt:i4>
      </vt:variant>
      <vt:variant>
        <vt:i4>0</vt:i4>
      </vt:variant>
      <vt:variant>
        <vt:i4>5</vt:i4>
      </vt:variant>
      <vt:variant>
        <vt:lpwstr/>
      </vt:variant>
      <vt:variant>
        <vt:lpwstr>_Toc6523316</vt:lpwstr>
      </vt:variant>
      <vt:variant>
        <vt:i4>2097159</vt:i4>
      </vt:variant>
      <vt:variant>
        <vt:i4>1169</vt:i4>
      </vt:variant>
      <vt:variant>
        <vt:i4>0</vt:i4>
      </vt:variant>
      <vt:variant>
        <vt:i4>5</vt:i4>
      </vt:variant>
      <vt:variant>
        <vt:lpwstr/>
      </vt:variant>
      <vt:variant>
        <vt:lpwstr>_Toc6523315</vt:lpwstr>
      </vt:variant>
      <vt:variant>
        <vt:i4>2097159</vt:i4>
      </vt:variant>
      <vt:variant>
        <vt:i4>1163</vt:i4>
      </vt:variant>
      <vt:variant>
        <vt:i4>0</vt:i4>
      </vt:variant>
      <vt:variant>
        <vt:i4>5</vt:i4>
      </vt:variant>
      <vt:variant>
        <vt:lpwstr/>
      </vt:variant>
      <vt:variant>
        <vt:lpwstr>_Toc6523314</vt:lpwstr>
      </vt:variant>
      <vt:variant>
        <vt:i4>2097159</vt:i4>
      </vt:variant>
      <vt:variant>
        <vt:i4>1157</vt:i4>
      </vt:variant>
      <vt:variant>
        <vt:i4>0</vt:i4>
      </vt:variant>
      <vt:variant>
        <vt:i4>5</vt:i4>
      </vt:variant>
      <vt:variant>
        <vt:lpwstr/>
      </vt:variant>
      <vt:variant>
        <vt:lpwstr>_Toc6523313</vt:lpwstr>
      </vt:variant>
      <vt:variant>
        <vt:i4>2097159</vt:i4>
      </vt:variant>
      <vt:variant>
        <vt:i4>1151</vt:i4>
      </vt:variant>
      <vt:variant>
        <vt:i4>0</vt:i4>
      </vt:variant>
      <vt:variant>
        <vt:i4>5</vt:i4>
      </vt:variant>
      <vt:variant>
        <vt:lpwstr/>
      </vt:variant>
      <vt:variant>
        <vt:lpwstr>_Toc6523312</vt:lpwstr>
      </vt:variant>
      <vt:variant>
        <vt:i4>2097159</vt:i4>
      </vt:variant>
      <vt:variant>
        <vt:i4>1145</vt:i4>
      </vt:variant>
      <vt:variant>
        <vt:i4>0</vt:i4>
      </vt:variant>
      <vt:variant>
        <vt:i4>5</vt:i4>
      </vt:variant>
      <vt:variant>
        <vt:lpwstr/>
      </vt:variant>
      <vt:variant>
        <vt:lpwstr>_Toc6523311</vt:lpwstr>
      </vt:variant>
      <vt:variant>
        <vt:i4>2097159</vt:i4>
      </vt:variant>
      <vt:variant>
        <vt:i4>1139</vt:i4>
      </vt:variant>
      <vt:variant>
        <vt:i4>0</vt:i4>
      </vt:variant>
      <vt:variant>
        <vt:i4>5</vt:i4>
      </vt:variant>
      <vt:variant>
        <vt:lpwstr/>
      </vt:variant>
      <vt:variant>
        <vt:lpwstr>_Toc6523310</vt:lpwstr>
      </vt:variant>
      <vt:variant>
        <vt:i4>2162695</vt:i4>
      </vt:variant>
      <vt:variant>
        <vt:i4>1133</vt:i4>
      </vt:variant>
      <vt:variant>
        <vt:i4>0</vt:i4>
      </vt:variant>
      <vt:variant>
        <vt:i4>5</vt:i4>
      </vt:variant>
      <vt:variant>
        <vt:lpwstr/>
      </vt:variant>
      <vt:variant>
        <vt:lpwstr>_Toc6523309</vt:lpwstr>
      </vt:variant>
      <vt:variant>
        <vt:i4>2162695</vt:i4>
      </vt:variant>
      <vt:variant>
        <vt:i4>1127</vt:i4>
      </vt:variant>
      <vt:variant>
        <vt:i4>0</vt:i4>
      </vt:variant>
      <vt:variant>
        <vt:i4>5</vt:i4>
      </vt:variant>
      <vt:variant>
        <vt:lpwstr/>
      </vt:variant>
      <vt:variant>
        <vt:lpwstr>_Toc6523308</vt:lpwstr>
      </vt:variant>
      <vt:variant>
        <vt:i4>2162695</vt:i4>
      </vt:variant>
      <vt:variant>
        <vt:i4>1121</vt:i4>
      </vt:variant>
      <vt:variant>
        <vt:i4>0</vt:i4>
      </vt:variant>
      <vt:variant>
        <vt:i4>5</vt:i4>
      </vt:variant>
      <vt:variant>
        <vt:lpwstr/>
      </vt:variant>
      <vt:variant>
        <vt:lpwstr>_Toc6523307</vt:lpwstr>
      </vt:variant>
      <vt:variant>
        <vt:i4>2162695</vt:i4>
      </vt:variant>
      <vt:variant>
        <vt:i4>1115</vt:i4>
      </vt:variant>
      <vt:variant>
        <vt:i4>0</vt:i4>
      </vt:variant>
      <vt:variant>
        <vt:i4>5</vt:i4>
      </vt:variant>
      <vt:variant>
        <vt:lpwstr/>
      </vt:variant>
      <vt:variant>
        <vt:lpwstr>_Toc6523306</vt:lpwstr>
      </vt:variant>
      <vt:variant>
        <vt:i4>2162695</vt:i4>
      </vt:variant>
      <vt:variant>
        <vt:i4>1109</vt:i4>
      </vt:variant>
      <vt:variant>
        <vt:i4>0</vt:i4>
      </vt:variant>
      <vt:variant>
        <vt:i4>5</vt:i4>
      </vt:variant>
      <vt:variant>
        <vt:lpwstr/>
      </vt:variant>
      <vt:variant>
        <vt:lpwstr>_Toc6523305</vt:lpwstr>
      </vt:variant>
      <vt:variant>
        <vt:i4>2162695</vt:i4>
      </vt:variant>
      <vt:variant>
        <vt:i4>1103</vt:i4>
      </vt:variant>
      <vt:variant>
        <vt:i4>0</vt:i4>
      </vt:variant>
      <vt:variant>
        <vt:i4>5</vt:i4>
      </vt:variant>
      <vt:variant>
        <vt:lpwstr/>
      </vt:variant>
      <vt:variant>
        <vt:lpwstr>_Toc6523304</vt:lpwstr>
      </vt:variant>
      <vt:variant>
        <vt:i4>2162695</vt:i4>
      </vt:variant>
      <vt:variant>
        <vt:i4>1097</vt:i4>
      </vt:variant>
      <vt:variant>
        <vt:i4>0</vt:i4>
      </vt:variant>
      <vt:variant>
        <vt:i4>5</vt:i4>
      </vt:variant>
      <vt:variant>
        <vt:lpwstr/>
      </vt:variant>
      <vt:variant>
        <vt:lpwstr>_Toc6523303</vt:lpwstr>
      </vt:variant>
      <vt:variant>
        <vt:i4>2162695</vt:i4>
      </vt:variant>
      <vt:variant>
        <vt:i4>1091</vt:i4>
      </vt:variant>
      <vt:variant>
        <vt:i4>0</vt:i4>
      </vt:variant>
      <vt:variant>
        <vt:i4>5</vt:i4>
      </vt:variant>
      <vt:variant>
        <vt:lpwstr/>
      </vt:variant>
      <vt:variant>
        <vt:lpwstr>_Toc6523302</vt:lpwstr>
      </vt:variant>
      <vt:variant>
        <vt:i4>2162695</vt:i4>
      </vt:variant>
      <vt:variant>
        <vt:i4>1085</vt:i4>
      </vt:variant>
      <vt:variant>
        <vt:i4>0</vt:i4>
      </vt:variant>
      <vt:variant>
        <vt:i4>5</vt:i4>
      </vt:variant>
      <vt:variant>
        <vt:lpwstr/>
      </vt:variant>
      <vt:variant>
        <vt:lpwstr>_Toc6523301</vt:lpwstr>
      </vt:variant>
      <vt:variant>
        <vt:i4>2162695</vt:i4>
      </vt:variant>
      <vt:variant>
        <vt:i4>1079</vt:i4>
      </vt:variant>
      <vt:variant>
        <vt:i4>0</vt:i4>
      </vt:variant>
      <vt:variant>
        <vt:i4>5</vt:i4>
      </vt:variant>
      <vt:variant>
        <vt:lpwstr/>
      </vt:variant>
      <vt:variant>
        <vt:lpwstr>_Toc6523300</vt:lpwstr>
      </vt:variant>
      <vt:variant>
        <vt:i4>2621446</vt:i4>
      </vt:variant>
      <vt:variant>
        <vt:i4>1073</vt:i4>
      </vt:variant>
      <vt:variant>
        <vt:i4>0</vt:i4>
      </vt:variant>
      <vt:variant>
        <vt:i4>5</vt:i4>
      </vt:variant>
      <vt:variant>
        <vt:lpwstr/>
      </vt:variant>
      <vt:variant>
        <vt:lpwstr>_Toc6523299</vt:lpwstr>
      </vt:variant>
      <vt:variant>
        <vt:i4>2621446</vt:i4>
      </vt:variant>
      <vt:variant>
        <vt:i4>1067</vt:i4>
      </vt:variant>
      <vt:variant>
        <vt:i4>0</vt:i4>
      </vt:variant>
      <vt:variant>
        <vt:i4>5</vt:i4>
      </vt:variant>
      <vt:variant>
        <vt:lpwstr/>
      </vt:variant>
      <vt:variant>
        <vt:lpwstr>_Toc6523298</vt:lpwstr>
      </vt:variant>
      <vt:variant>
        <vt:i4>2621446</vt:i4>
      </vt:variant>
      <vt:variant>
        <vt:i4>1061</vt:i4>
      </vt:variant>
      <vt:variant>
        <vt:i4>0</vt:i4>
      </vt:variant>
      <vt:variant>
        <vt:i4>5</vt:i4>
      </vt:variant>
      <vt:variant>
        <vt:lpwstr/>
      </vt:variant>
      <vt:variant>
        <vt:lpwstr>_Toc6523297</vt:lpwstr>
      </vt:variant>
      <vt:variant>
        <vt:i4>7209014</vt:i4>
      </vt:variant>
      <vt:variant>
        <vt:i4>1002</vt:i4>
      </vt:variant>
      <vt:variant>
        <vt:i4>0</vt:i4>
      </vt:variant>
      <vt:variant>
        <vt:i4>5</vt:i4>
      </vt:variant>
      <vt:variant>
        <vt:lpwstr>http://www.rpo.wzp.pl/</vt:lpwstr>
      </vt:variant>
      <vt:variant>
        <vt:lpwstr/>
      </vt:variant>
      <vt:variant>
        <vt:i4>7209014</vt:i4>
      </vt:variant>
      <vt:variant>
        <vt:i4>213</vt:i4>
      </vt:variant>
      <vt:variant>
        <vt:i4>0</vt:i4>
      </vt:variant>
      <vt:variant>
        <vt:i4>5</vt:i4>
      </vt:variant>
      <vt:variant>
        <vt:lpwstr>http://www.rpo.wzp.pl/</vt:lpwstr>
      </vt:variant>
      <vt:variant>
        <vt:lpwstr/>
      </vt:variant>
      <vt:variant>
        <vt:i4>2490371</vt:i4>
      </vt:variant>
      <vt:variant>
        <vt:i4>206</vt:i4>
      </vt:variant>
      <vt:variant>
        <vt:i4>0</vt:i4>
      </vt:variant>
      <vt:variant>
        <vt:i4>5</vt:i4>
      </vt:variant>
      <vt:variant>
        <vt:lpwstr/>
      </vt:variant>
      <vt:variant>
        <vt:lpwstr>_Toc6523772</vt:lpwstr>
      </vt:variant>
      <vt:variant>
        <vt:i4>2490371</vt:i4>
      </vt:variant>
      <vt:variant>
        <vt:i4>200</vt:i4>
      </vt:variant>
      <vt:variant>
        <vt:i4>0</vt:i4>
      </vt:variant>
      <vt:variant>
        <vt:i4>5</vt:i4>
      </vt:variant>
      <vt:variant>
        <vt:lpwstr/>
      </vt:variant>
      <vt:variant>
        <vt:lpwstr>_Toc6523771</vt:lpwstr>
      </vt:variant>
      <vt:variant>
        <vt:i4>2490371</vt:i4>
      </vt:variant>
      <vt:variant>
        <vt:i4>194</vt:i4>
      </vt:variant>
      <vt:variant>
        <vt:i4>0</vt:i4>
      </vt:variant>
      <vt:variant>
        <vt:i4>5</vt:i4>
      </vt:variant>
      <vt:variant>
        <vt:lpwstr/>
      </vt:variant>
      <vt:variant>
        <vt:lpwstr>_Toc6523770</vt:lpwstr>
      </vt:variant>
      <vt:variant>
        <vt:i4>2555907</vt:i4>
      </vt:variant>
      <vt:variant>
        <vt:i4>188</vt:i4>
      </vt:variant>
      <vt:variant>
        <vt:i4>0</vt:i4>
      </vt:variant>
      <vt:variant>
        <vt:i4>5</vt:i4>
      </vt:variant>
      <vt:variant>
        <vt:lpwstr/>
      </vt:variant>
      <vt:variant>
        <vt:lpwstr>_Toc6523769</vt:lpwstr>
      </vt:variant>
      <vt:variant>
        <vt:i4>2555907</vt:i4>
      </vt:variant>
      <vt:variant>
        <vt:i4>182</vt:i4>
      </vt:variant>
      <vt:variant>
        <vt:i4>0</vt:i4>
      </vt:variant>
      <vt:variant>
        <vt:i4>5</vt:i4>
      </vt:variant>
      <vt:variant>
        <vt:lpwstr/>
      </vt:variant>
      <vt:variant>
        <vt:lpwstr>_Toc6523768</vt:lpwstr>
      </vt:variant>
      <vt:variant>
        <vt:i4>2555907</vt:i4>
      </vt:variant>
      <vt:variant>
        <vt:i4>176</vt:i4>
      </vt:variant>
      <vt:variant>
        <vt:i4>0</vt:i4>
      </vt:variant>
      <vt:variant>
        <vt:i4>5</vt:i4>
      </vt:variant>
      <vt:variant>
        <vt:lpwstr/>
      </vt:variant>
      <vt:variant>
        <vt:lpwstr>_Toc6523767</vt:lpwstr>
      </vt:variant>
      <vt:variant>
        <vt:i4>2555907</vt:i4>
      </vt:variant>
      <vt:variant>
        <vt:i4>170</vt:i4>
      </vt:variant>
      <vt:variant>
        <vt:i4>0</vt:i4>
      </vt:variant>
      <vt:variant>
        <vt:i4>5</vt:i4>
      </vt:variant>
      <vt:variant>
        <vt:lpwstr/>
      </vt:variant>
      <vt:variant>
        <vt:lpwstr>_Toc6523766</vt:lpwstr>
      </vt:variant>
      <vt:variant>
        <vt:i4>2555907</vt:i4>
      </vt:variant>
      <vt:variant>
        <vt:i4>164</vt:i4>
      </vt:variant>
      <vt:variant>
        <vt:i4>0</vt:i4>
      </vt:variant>
      <vt:variant>
        <vt:i4>5</vt:i4>
      </vt:variant>
      <vt:variant>
        <vt:lpwstr/>
      </vt:variant>
      <vt:variant>
        <vt:lpwstr>_Toc6523765</vt:lpwstr>
      </vt:variant>
      <vt:variant>
        <vt:i4>2555907</vt:i4>
      </vt:variant>
      <vt:variant>
        <vt:i4>158</vt:i4>
      </vt:variant>
      <vt:variant>
        <vt:i4>0</vt:i4>
      </vt:variant>
      <vt:variant>
        <vt:i4>5</vt:i4>
      </vt:variant>
      <vt:variant>
        <vt:lpwstr/>
      </vt:variant>
      <vt:variant>
        <vt:lpwstr>_Toc6523764</vt:lpwstr>
      </vt:variant>
      <vt:variant>
        <vt:i4>2555907</vt:i4>
      </vt:variant>
      <vt:variant>
        <vt:i4>152</vt:i4>
      </vt:variant>
      <vt:variant>
        <vt:i4>0</vt:i4>
      </vt:variant>
      <vt:variant>
        <vt:i4>5</vt:i4>
      </vt:variant>
      <vt:variant>
        <vt:lpwstr/>
      </vt:variant>
      <vt:variant>
        <vt:lpwstr>_Toc6523763</vt:lpwstr>
      </vt:variant>
      <vt:variant>
        <vt:i4>2555907</vt:i4>
      </vt:variant>
      <vt:variant>
        <vt:i4>146</vt:i4>
      </vt:variant>
      <vt:variant>
        <vt:i4>0</vt:i4>
      </vt:variant>
      <vt:variant>
        <vt:i4>5</vt:i4>
      </vt:variant>
      <vt:variant>
        <vt:lpwstr/>
      </vt:variant>
      <vt:variant>
        <vt:lpwstr>_Toc6523762</vt:lpwstr>
      </vt:variant>
      <vt:variant>
        <vt:i4>2555907</vt:i4>
      </vt:variant>
      <vt:variant>
        <vt:i4>140</vt:i4>
      </vt:variant>
      <vt:variant>
        <vt:i4>0</vt:i4>
      </vt:variant>
      <vt:variant>
        <vt:i4>5</vt:i4>
      </vt:variant>
      <vt:variant>
        <vt:lpwstr/>
      </vt:variant>
      <vt:variant>
        <vt:lpwstr>_Toc6523761</vt:lpwstr>
      </vt:variant>
      <vt:variant>
        <vt:i4>2555907</vt:i4>
      </vt:variant>
      <vt:variant>
        <vt:i4>134</vt:i4>
      </vt:variant>
      <vt:variant>
        <vt:i4>0</vt:i4>
      </vt:variant>
      <vt:variant>
        <vt:i4>5</vt:i4>
      </vt:variant>
      <vt:variant>
        <vt:lpwstr/>
      </vt:variant>
      <vt:variant>
        <vt:lpwstr>_Toc6523760</vt:lpwstr>
      </vt:variant>
      <vt:variant>
        <vt:i4>2359299</vt:i4>
      </vt:variant>
      <vt:variant>
        <vt:i4>128</vt:i4>
      </vt:variant>
      <vt:variant>
        <vt:i4>0</vt:i4>
      </vt:variant>
      <vt:variant>
        <vt:i4>5</vt:i4>
      </vt:variant>
      <vt:variant>
        <vt:lpwstr/>
      </vt:variant>
      <vt:variant>
        <vt:lpwstr>_Toc6523759</vt:lpwstr>
      </vt:variant>
      <vt:variant>
        <vt:i4>2359299</vt:i4>
      </vt:variant>
      <vt:variant>
        <vt:i4>122</vt:i4>
      </vt:variant>
      <vt:variant>
        <vt:i4>0</vt:i4>
      </vt:variant>
      <vt:variant>
        <vt:i4>5</vt:i4>
      </vt:variant>
      <vt:variant>
        <vt:lpwstr/>
      </vt:variant>
      <vt:variant>
        <vt:lpwstr>_Toc6523758</vt:lpwstr>
      </vt:variant>
      <vt:variant>
        <vt:i4>2359299</vt:i4>
      </vt:variant>
      <vt:variant>
        <vt:i4>116</vt:i4>
      </vt:variant>
      <vt:variant>
        <vt:i4>0</vt:i4>
      </vt:variant>
      <vt:variant>
        <vt:i4>5</vt:i4>
      </vt:variant>
      <vt:variant>
        <vt:lpwstr/>
      </vt:variant>
      <vt:variant>
        <vt:lpwstr>_Toc6523757</vt:lpwstr>
      </vt:variant>
      <vt:variant>
        <vt:i4>2359299</vt:i4>
      </vt:variant>
      <vt:variant>
        <vt:i4>110</vt:i4>
      </vt:variant>
      <vt:variant>
        <vt:i4>0</vt:i4>
      </vt:variant>
      <vt:variant>
        <vt:i4>5</vt:i4>
      </vt:variant>
      <vt:variant>
        <vt:lpwstr/>
      </vt:variant>
      <vt:variant>
        <vt:lpwstr>_Toc6523756</vt:lpwstr>
      </vt:variant>
      <vt:variant>
        <vt:i4>2359299</vt:i4>
      </vt:variant>
      <vt:variant>
        <vt:i4>104</vt:i4>
      </vt:variant>
      <vt:variant>
        <vt:i4>0</vt:i4>
      </vt:variant>
      <vt:variant>
        <vt:i4>5</vt:i4>
      </vt:variant>
      <vt:variant>
        <vt:lpwstr/>
      </vt:variant>
      <vt:variant>
        <vt:lpwstr>_Toc6523755</vt:lpwstr>
      </vt:variant>
      <vt:variant>
        <vt:i4>2359299</vt:i4>
      </vt:variant>
      <vt:variant>
        <vt:i4>98</vt:i4>
      </vt:variant>
      <vt:variant>
        <vt:i4>0</vt:i4>
      </vt:variant>
      <vt:variant>
        <vt:i4>5</vt:i4>
      </vt:variant>
      <vt:variant>
        <vt:lpwstr/>
      </vt:variant>
      <vt:variant>
        <vt:lpwstr>_Toc6523754</vt:lpwstr>
      </vt:variant>
      <vt:variant>
        <vt:i4>2359299</vt:i4>
      </vt:variant>
      <vt:variant>
        <vt:i4>92</vt:i4>
      </vt:variant>
      <vt:variant>
        <vt:i4>0</vt:i4>
      </vt:variant>
      <vt:variant>
        <vt:i4>5</vt:i4>
      </vt:variant>
      <vt:variant>
        <vt:lpwstr/>
      </vt:variant>
      <vt:variant>
        <vt:lpwstr>_Toc6523753</vt:lpwstr>
      </vt:variant>
      <vt:variant>
        <vt:i4>2359299</vt:i4>
      </vt:variant>
      <vt:variant>
        <vt:i4>86</vt:i4>
      </vt:variant>
      <vt:variant>
        <vt:i4>0</vt:i4>
      </vt:variant>
      <vt:variant>
        <vt:i4>5</vt:i4>
      </vt:variant>
      <vt:variant>
        <vt:lpwstr/>
      </vt:variant>
      <vt:variant>
        <vt:lpwstr>_Toc6523752</vt:lpwstr>
      </vt:variant>
      <vt:variant>
        <vt:i4>2359299</vt:i4>
      </vt:variant>
      <vt:variant>
        <vt:i4>80</vt:i4>
      </vt:variant>
      <vt:variant>
        <vt:i4>0</vt:i4>
      </vt:variant>
      <vt:variant>
        <vt:i4>5</vt:i4>
      </vt:variant>
      <vt:variant>
        <vt:lpwstr/>
      </vt:variant>
      <vt:variant>
        <vt:lpwstr>_Toc6523751</vt:lpwstr>
      </vt:variant>
      <vt:variant>
        <vt:i4>2359299</vt:i4>
      </vt:variant>
      <vt:variant>
        <vt:i4>74</vt:i4>
      </vt:variant>
      <vt:variant>
        <vt:i4>0</vt:i4>
      </vt:variant>
      <vt:variant>
        <vt:i4>5</vt:i4>
      </vt:variant>
      <vt:variant>
        <vt:lpwstr/>
      </vt:variant>
      <vt:variant>
        <vt:lpwstr>_Toc6523750</vt:lpwstr>
      </vt:variant>
      <vt:variant>
        <vt:i4>2424835</vt:i4>
      </vt:variant>
      <vt:variant>
        <vt:i4>68</vt:i4>
      </vt:variant>
      <vt:variant>
        <vt:i4>0</vt:i4>
      </vt:variant>
      <vt:variant>
        <vt:i4>5</vt:i4>
      </vt:variant>
      <vt:variant>
        <vt:lpwstr/>
      </vt:variant>
      <vt:variant>
        <vt:lpwstr>_Toc6523749</vt:lpwstr>
      </vt:variant>
      <vt:variant>
        <vt:i4>2424835</vt:i4>
      </vt:variant>
      <vt:variant>
        <vt:i4>62</vt:i4>
      </vt:variant>
      <vt:variant>
        <vt:i4>0</vt:i4>
      </vt:variant>
      <vt:variant>
        <vt:i4>5</vt:i4>
      </vt:variant>
      <vt:variant>
        <vt:lpwstr/>
      </vt:variant>
      <vt:variant>
        <vt:lpwstr>_Toc6523748</vt:lpwstr>
      </vt:variant>
      <vt:variant>
        <vt:i4>2424835</vt:i4>
      </vt:variant>
      <vt:variant>
        <vt:i4>56</vt:i4>
      </vt:variant>
      <vt:variant>
        <vt:i4>0</vt:i4>
      </vt:variant>
      <vt:variant>
        <vt:i4>5</vt:i4>
      </vt:variant>
      <vt:variant>
        <vt:lpwstr/>
      </vt:variant>
      <vt:variant>
        <vt:lpwstr>_Toc6523747</vt:lpwstr>
      </vt:variant>
      <vt:variant>
        <vt:i4>2424835</vt:i4>
      </vt:variant>
      <vt:variant>
        <vt:i4>50</vt:i4>
      </vt:variant>
      <vt:variant>
        <vt:i4>0</vt:i4>
      </vt:variant>
      <vt:variant>
        <vt:i4>5</vt:i4>
      </vt:variant>
      <vt:variant>
        <vt:lpwstr/>
      </vt:variant>
      <vt:variant>
        <vt:lpwstr>_Toc6523746</vt:lpwstr>
      </vt:variant>
      <vt:variant>
        <vt:i4>2424835</vt:i4>
      </vt:variant>
      <vt:variant>
        <vt:i4>44</vt:i4>
      </vt:variant>
      <vt:variant>
        <vt:i4>0</vt:i4>
      </vt:variant>
      <vt:variant>
        <vt:i4>5</vt:i4>
      </vt:variant>
      <vt:variant>
        <vt:lpwstr/>
      </vt:variant>
      <vt:variant>
        <vt:lpwstr>_Toc6523745</vt:lpwstr>
      </vt:variant>
      <vt:variant>
        <vt:i4>2424835</vt:i4>
      </vt:variant>
      <vt:variant>
        <vt:i4>38</vt:i4>
      </vt:variant>
      <vt:variant>
        <vt:i4>0</vt:i4>
      </vt:variant>
      <vt:variant>
        <vt:i4>5</vt:i4>
      </vt:variant>
      <vt:variant>
        <vt:lpwstr/>
      </vt:variant>
      <vt:variant>
        <vt:lpwstr>_Toc6523744</vt:lpwstr>
      </vt:variant>
      <vt:variant>
        <vt:i4>2424835</vt:i4>
      </vt:variant>
      <vt:variant>
        <vt:i4>32</vt:i4>
      </vt:variant>
      <vt:variant>
        <vt:i4>0</vt:i4>
      </vt:variant>
      <vt:variant>
        <vt:i4>5</vt:i4>
      </vt:variant>
      <vt:variant>
        <vt:lpwstr/>
      </vt:variant>
      <vt:variant>
        <vt:lpwstr>_Toc6523743</vt:lpwstr>
      </vt:variant>
      <vt:variant>
        <vt:i4>2424835</vt:i4>
      </vt:variant>
      <vt:variant>
        <vt:i4>26</vt:i4>
      </vt:variant>
      <vt:variant>
        <vt:i4>0</vt:i4>
      </vt:variant>
      <vt:variant>
        <vt:i4>5</vt:i4>
      </vt:variant>
      <vt:variant>
        <vt:lpwstr/>
      </vt:variant>
      <vt:variant>
        <vt:lpwstr>_Toc6523742</vt:lpwstr>
      </vt:variant>
      <vt:variant>
        <vt:i4>2424835</vt:i4>
      </vt:variant>
      <vt:variant>
        <vt:i4>20</vt:i4>
      </vt:variant>
      <vt:variant>
        <vt:i4>0</vt:i4>
      </vt:variant>
      <vt:variant>
        <vt:i4>5</vt:i4>
      </vt:variant>
      <vt:variant>
        <vt:lpwstr/>
      </vt:variant>
      <vt:variant>
        <vt:lpwstr>_Toc6523741</vt:lpwstr>
      </vt:variant>
      <vt:variant>
        <vt:i4>2424835</vt:i4>
      </vt:variant>
      <vt:variant>
        <vt:i4>14</vt:i4>
      </vt:variant>
      <vt:variant>
        <vt:i4>0</vt:i4>
      </vt:variant>
      <vt:variant>
        <vt:i4>5</vt:i4>
      </vt:variant>
      <vt:variant>
        <vt:lpwstr/>
      </vt:variant>
      <vt:variant>
        <vt:lpwstr>_Toc6523740</vt:lpwstr>
      </vt:variant>
      <vt:variant>
        <vt:i4>2228227</vt:i4>
      </vt:variant>
      <vt:variant>
        <vt:i4>8</vt:i4>
      </vt:variant>
      <vt:variant>
        <vt:i4>0</vt:i4>
      </vt:variant>
      <vt:variant>
        <vt:i4>5</vt:i4>
      </vt:variant>
      <vt:variant>
        <vt:lpwstr/>
      </vt:variant>
      <vt:variant>
        <vt:lpwstr>_Toc6523739</vt:lpwstr>
      </vt:variant>
      <vt:variant>
        <vt:i4>4391029</vt:i4>
      </vt:variant>
      <vt:variant>
        <vt:i4>3</vt:i4>
      </vt:variant>
      <vt:variant>
        <vt:i4>0</vt:i4>
      </vt:variant>
      <vt:variant>
        <vt:i4>5</vt:i4>
      </vt:variant>
      <vt:variant>
        <vt:lpwstr>mailto:ecorys@ecorys.pl</vt:lpwstr>
      </vt:variant>
      <vt:variant>
        <vt:lpwstr/>
      </vt:variant>
      <vt:variant>
        <vt:i4>1179684</vt:i4>
      </vt:variant>
      <vt:variant>
        <vt:i4>0</vt:i4>
      </vt:variant>
      <vt:variant>
        <vt:i4>0</vt:i4>
      </vt:variant>
      <vt:variant>
        <vt:i4>5</vt:i4>
      </vt:variant>
      <vt:variant>
        <vt:lpwstr>mailto:evalu@evalu.pl</vt:lpwstr>
      </vt:variant>
      <vt:variant>
        <vt:lpwstr/>
      </vt:variant>
      <vt:variant>
        <vt:i4>5767252</vt:i4>
      </vt:variant>
      <vt:variant>
        <vt:i4>3</vt:i4>
      </vt:variant>
      <vt:variant>
        <vt:i4>0</vt:i4>
      </vt:variant>
      <vt:variant>
        <vt:i4>5</vt:i4>
      </vt:variant>
      <vt:variant>
        <vt:lpwstr>http://www.es.wzp.pl/</vt:lpwstr>
      </vt:variant>
      <vt:variant>
        <vt:lpwstr/>
      </vt:variant>
      <vt:variant>
        <vt:i4>65603</vt:i4>
      </vt:variant>
      <vt:variant>
        <vt:i4>0</vt:i4>
      </vt:variant>
      <vt:variant>
        <vt:i4>0</vt:i4>
      </vt:variant>
      <vt:variant>
        <vt:i4>5</vt:i4>
      </vt:variant>
      <vt:variant>
        <vt:lpwstr>https://strateg.stat.gov.pl/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Śnieżek</dc:creator>
  <cp:keywords/>
  <cp:lastModifiedBy>Sebastian P</cp:lastModifiedBy>
  <cp:revision>31</cp:revision>
  <cp:lastPrinted>2019-05-17T12:09:00Z</cp:lastPrinted>
  <dcterms:created xsi:type="dcterms:W3CDTF">2019-05-15T10:58:00Z</dcterms:created>
  <dcterms:modified xsi:type="dcterms:W3CDTF">2019-05-17T13:11:00Z</dcterms:modified>
</cp:coreProperties>
</file>